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C5E" w:rsidRDefault="00852C5E" w:rsidP="00852C5E">
      <w:pPr>
        <w:pStyle w:val="Portada1"/>
      </w:pPr>
      <w:bookmarkStart w:id="0" w:name="_GoBack"/>
      <w:bookmarkEnd w:id="0"/>
      <w:r>
        <w:t>TRIBUNAL CONSTITUCIONAL</w:t>
      </w:r>
    </w:p>
    <w:p w:rsidR="0085709A" w:rsidRDefault="0085709A" w:rsidP="00852C5E">
      <w:pPr>
        <w:pStyle w:val="Portada1"/>
      </w:pPr>
    </w:p>
    <w:p w:rsidR="00852C5E" w:rsidRDefault="00852C5E" w:rsidP="00852C5E">
      <w:pPr>
        <w:pStyle w:val="Portada2"/>
      </w:pPr>
      <w:r>
        <w:t>SECRETARÍA GENERAL</w:t>
      </w:r>
    </w:p>
    <w:p w:rsidR="00852C5E" w:rsidRDefault="00852C5E" w:rsidP="00852C5E">
      <w:pPr>
        <w:pStyle w:val="Portada2"/>
      </w:pPr>
    </w:p>
    <w:p w:rsidR="00852C5E" w:rsidRDefault="00852C5E" w:rsidP="00852C5E">
      <w:pPr>
        <w:pStyle w:val="Portada2"/>
      </w:pPr>
    </w:p>
    <w:p w:rsidR="00852C5E" w:rsidRDefault="00852C5E" w:rsidP="00852C5E">
      <w:pPr>
        <w:pStyle w:val="Portada2"/>
      </w:pPr>
    </w:p>
    <w:p w:rsidR="00852C5E" w:rsidRDefault="00852C5E" w:rsidP="00852C5E">
      <w:pPr>
        <w:pStyle w:val="Portada2"/>
      </w:pPr>
    </w:p>
    <w:p w:rsidR="00852C5E" w:rsidRDefault="00852C5E" w:rsidP="00852C5E">
      <w:pPr>
        <w:pStyle w:val="Portada2"/>
      </w:pPr>
    </w:p>
    <w:p w:rsidR="00852C5E" w:rsidRDefault="00852C5E" w:rsidP="00852C5E">
      <w:pPr>
        <w:pStyle w:val="Portada2"/>
      </w:pPr>
    </w:p>
    <w:p w:rsidR="00852C5E" w:rsidRDefault="00852C5E" w:rsidP="00852C5E">
      <w:pPr>
        <w:pStyle w:val="Portada2"/>
      </w:pPr>
    </w:p>
    <w:p w:rsidR="00852C5E" w:rsidRDefault="00852C5E" w:rsidP="00852C5E">
      <w:pPr>
        <w:pStyle w:val="Portada2"/>
      </w:pPr>
    </w:p>
    <w:p w:rsidR="00852C5E" w:rsidRDefault="00852C5E" w:rsidP="00852C5E">
      <w:pPr>
        <w:pStyle w:val="PortadaPrincipal"/>
      </w:pPr>
      <w:r>
        <w:t>JURISPRUDENCIA</w:t>
      </w:r>
    </w:p>
    <w:p w:rsidR="00852C5E" w:rsidRDefault="00852C5E" w:rsidP="00852C5E">
      <w:pPr>
        <w:pStyle w:val="PortadaPrincipal"/>
      </w:pPr>
      <w:r>
        <w:t>CONSTITUCIONAL</w:t>
      </w:r>
    </w:p>
    <w:p w:rsidR="00852C5E" w:rsidRDefault="00852C5E" w:rsidP="00852C5E">
      <w:pPr>
        <w:pStyle w:val="PortadaPrincipal"/>
      </w:pPr>
    </w:p>
    <w:p w:rsidR="00852C5E" w:rsidRPr="00852C5E" w:rsidRDefault="00852C5E" w:rsidP="00852C5E">
      <w:pPr>
        <w:pStyle w:val="Portada1"/>
        <w:rPr>
          <w:b/>
        </w:rPr>
      </w:pPr>
      <w:r w:rsidRPr="00852C5E">
        <w:rPr>
          <w:b/>
        </w:rPr>
        <w:t>TOMO NONAGÉSIMO SEXTO</w:t>
      </w:r>
    </w:p>
    <w:p w:rsidR="00852C5E" w:rsidRPr="00852C5E" w:rsidRDefault="00852C5E" w:rsidP="00852C5E">
      <w:pPr>
        <w:pStyle w:val="Portada1"/>
        <w:rPr>
          <w:b/>
        </w:rPr>
      </w:pPr>
      <w:r w:rsidRPr="00852C5E">
        <w:rPr>
          <w:b/>
        </w:rPr>
        <w:t>(enero - junio 2015)</w:t>
      </w:r>
    </w:p>
    <w:p w:rsidR="00852C5E" w:rsidRDefault="00852C5E" w:rsidP="00852C5E">
      <w:pPr>
        <w:pStyle w:val="Portada1"/>
      </w:pPr>
    </w:p>
    <w:p w:rsidR="00852C5E" w:rsidRDefault="00852C5E" w:rsidP="00852C5E">
      <w:pPr>
        <w:pStyle w:val="Portada1"/>
      </w:pPr>
    </w:p>
    <w:p w:rsidR="00852C5E" w:rsidRDefault="00852C5E" w:rsidP="00852C5E">
      <w:pPr>
        <w:pStyle w:val="Portada1"/>
      </w:pPr>
    </w:p>
    <w:p w:rsidR="00852C5E" w:rsidRDefault="00852C5E" w:rsidP="00852C5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852C5E" w:rsidRDefault="00852C5E" w:rsidP="00852C5E">
      <w:pPr>
        <w:pStyle w:val="Portada1"/>
      </w:pPr>
    </w:p>
    <w:p w:rsidR="00852C5E" w:rsidRDefault="00852C5E" w:rsidP="00852C5E">
      <w:pPr>
        <w:pStyle w:val="Portada1"/>
      </w:pPr>
    </w:p>
    <w:p w:rsidR="00852C5E" w:rsidRDefault="00852C5E" w:rsidP="00852C5E">
      <w:pPr>
        <w:pStyle w:val="Portada1"/>
      </w:pPr>
    </w:p>
    <w:p w:rsidR="00852C5E" w:rsidRDefault="00852C5E" w:rsidP="00852C5E">
      <w:pPr>
        <w:pStyle w:val="Portada1"/>
      </w:pPr>
    </w:p>
    <w:p w:rsidR="00852C5E" w:rsidRDefault="00852C5E" w:rsidP="00852C5E">
      <w:pPr>
        <w:pStyle w:val="Portada1"/>
      </w:pPr>
    </w:p>
    <w:p w:rsidR="00852C5E" w:rsidRDefault="00852C5E" w:rsidP="00852C5E">
      <w:pPr>
        <w:pStyle w:val="Portada2"/>
      </w:pPr>
      <w:r>
        <w:t>MADRID 2015</w:t>
      </w:r>
    </w:p>
    <w:p w:rsidR="00FD0DC7" w:rsidRDefault="00FD0DC7">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D0DC7" w:rsidRDefault="00FD0DC7" w:rsidP="00FD0DC7">
      <w:pPr>
        <w:pStyle w:val="CabeceraApartadoDerecha"/>
      </w:pPr>
      <w:r>
        <w:lastRenderedPageBreak/>
        <w:t>CONTENIDO</w:t>
      </w:r>
    </w:p>
    <w:p w:rsidR="0085709A" w:rsidRDefault="0085709A" w:rsidP="00FD0DC7">
      <w:pPr>
        <w:pStyle w:val="CabeceraApartadoDerecha"/>
      </w:pPr>
    </w:p>
    <w:p w:rsidR="00FD0DC7" w:rsidRDefault="00FD0DC7" w:rsidP="00FD0DC7">
      <w:pPr>
        <w:pStyle w:val="EntradandiceSumario"/>
        <w:keepNext w:val="0"/>
      </w:pPr>
      <w:r>
        <w:t>1. SENTENCIAS: STC 1/2015 A STC 147/2015</w:t>
      </w:r>
      <w:r>
        <w:tab/>
      </w:r>
      <w:r>
        <w:tab/>
      </w:r>
      <w:r>
        <w:fldChar w:fldCharType="begin"/>
      </w:r>
      <w:r>
        <w:instrText xml:space="preserve"> PAGEREF SUMARIOSENTENCIAS \h </w:instrText>
      </w:r>
      <w:r>
        <w:fldChar w:fldCharType="separate"/>
      </w:r>
      <w:r w:rsidR="00AA6B4A">
        <w:rPr>
          <w:noProof/>
        </w:rPr>
        <w:t>3</w:t>
      </w:r>
      <w:r>
        <w:fldChar w:fldCharType="end"/>
      </w:r>
    </w:p>
    <w:p w:rsidR="00FD0DC7" w:rsidRDefault="00FD0DC7" w:rsidP="00FD0DC7">
      <w:pPr>
        <w:pStyle w:val="EntradandiceSumario"/>
        <w:keepNext w:val="0"/>
      </w:pPr>
    </w:p>
    <w:p w:rsidR="00FD0DC7" w:rsidRDefault="00FD0DC7" w:rsidP="00FD0DC7">
      <w:pPr>
        <w:pStyle w:val="EntradandiceSumario"/>
        <w:keepNext w:val="0"/>
      </w:pPr>
      <w:bookmarkStart w:id="1" w:name="SUMARIOSINDICES"/>
      <w:r>
        <w:t>2. AUTOS: ATC 1/2015 A ATC 114/2015</w:t>
      </w:r>
      <w:r>
        <w:tab/>
      </w:r>
      <w:r>
        <w:tab/>
      </w:r>
      <w:r>
        <w:fldChar w:fldCharType="begin"/>
      </w:r>
      <w:r>
        <w:instrText xml:space="preserve"> PAGEREF SUMARIOSAUTOS \h </w:instrText>
      </w:r>
      <w:r>
        <w:fldChar w:fldCharType="separate"/>
      </w:r>
      <w:r w:rsidR="00AA6B4A">
        <w:rPr>
          <w:noProof/>
        </w:rPr>
        <w:t>32</w:t>
      </w:r>
      <w:r>
        <w:fldChar w:fldCharType="end"/>
      </w:r>
    </w:p>
    <w:bookmarkEnd w:id="1"/>
    <w:p w:rsidR="00FD0DC7" w:rsidRDefault="00FD0DC7" w:rsidP="00FD0DC7">
      <w:pPr>
        <w:pStyle w:val="EntradandiceSumario"/>
        <w:keepNext w:val="0"/>
      </w:pPr>
    </w:p>
    <w:p w:rsidR="00FD0DC7" w:rsidRDefault="00FD0DC7" w:rsidP="00FD0DC7">
      <w:pPr>
        <w:pStyle w:val="EntradandiceSumario"/>
        <w:keepNext w:val="0"/>
      </w:pPr>
      <w:r>
        <w:t>3. ÍNDICE DE DISPOSICIONES CON FUERZA DE LEY IMPUGNADAS:</w:t>
      </w:r>
    </w:p>
    <w:p w:rsidR="00FD0DC7" w:rsidRDefault="00FD0DC7" w:rsidP="00FD0DC7">
      <w:pPr>
        <w:pStyle w:val="EntradandiceSumario"/>
        <w:keepNext w:val="0"/>
      </w:pPr>
    </w:p>
    <w:p w:rsidR="00FD0DC7" w:rsidRDefault="00FD0DC7" w:rsidP="00FD0DC7">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AA6B4A">
        <w:rPr>
          <w:noProof/>
        </w:rPr>
        <w:t>3069</w:t>
      </w:r>
      <w:r>
        <w:fldChar w:fldCharType="end"/>
      </w:r>
    </w:p>
    <w:p w:rsidR="00FD0DC7" w:rsidRDefault="00FD0DC7" w:rsidP="00FD0DC7">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AA6B4A">
        <w:rPr>
          <w:noProof/>
        </w:rPr>
        <w:t>3073</w:t>
      </w:r>
      <w:r>
        <w:fldChar w:fldCharType="end"/>
      </w:r>
    </w:p>
    <w:p w:rsidR="00FD0DC7" w:rsidRDefault="00FD0DC7" w:rsidP="00FD0DC7"/>
    <w:p w:rsidR="00FD0DC7" w:rsidRDefault="00FD0DC7" w:rsidP="00FD0DC7">
      <w:pPr>
        <w:pStyle w:val="EntradandiceSumario"/>
        <w:keepNext w:val="0"/>
      </w:pPr>
      <w:r>
        <w:t>4. ÍNDICE DE DISPOSICIONES GENERALES IMPUGNADAS:</w:t>
      </w:r>
    </w:p>
    <w:p w:rsidR="00FD0DC7" w:rsidRDefault="00FD0DC7" w:rsidP="00FD0DC7">
      <w:pPr>
        <w:pStyle w:val="EntradandiceSumario"/>
        <w:keepNext w:val="0"/>
      </w:pPr>
    </w:p>
    <w:p w:rsidR="00FD0DC7" w:rsidRDefault="00FD0DC7" w:rsidP="00FD0DC7">
      <w:pPr>
        <w:pStyle w:val="EntradandiceSumarioNivel2"/>
        <w:keepNext w:val="0"/>
      </w:pPr>
      <w:r>
        <w:t>A) Disposiciones del Estado</w:t>
      </w:r>
      <w:r>
        <w:tab/>
      </w:r>
      <w:r>
        <w:tab/>
      </w:r>
      <w:r>
        <w:fldChar w:fldCharType="begin"/>
      </w:r>
      <w:r>
        <w:instrText xml:space="preserve"> PAGEREF INDICE22803 \h </w:instrText>
      </w:r>
      <w:r>
        <w:fldChar w:fldCharType="separate"/>
      </w:r>
      <w:r w:rsidR="00AA6B4A">
        <w:rPr>
          <w:noProof/>
        </w:rPr>
        <w:t>3080</w:t>
      </w:r>
      <w:r>
        <w:fldChar w:fldCharType="end"/>
      </w:r>
    </w:p>
    <w:p w:rsidR="00FD0DC7" w:rsidRDefault="00FD0DC7" w:rsidP="00FD0DC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AA6B4A">
        <w:rPr>
          <w:noProof/>
        </w:rPr>
        <w:t>3082</w:t>
      </w:r>
      <w:r>
        <w:fldChar w:fldCharType="end"/>
      </w:r>
    </w:p>
    <w:p w:rsidR="00FD0DC7" w:rsidRDefault="00FD0DC7" w:rsidP="00FD0DC7"/>
    <w:p w:rsidR="00FD0DC7" w:rsidRDefault="00FD0DC7" w:rsidP="00FD0DC7">
      <w:pPr>
        <w:pStyle w:val="EntradandiceSumario"/>
        <w:keepNext w:val="0"/>
      </w:pPr>
      <w:r>
        <w:t>5. ÍNDICE DE DISPOSICIONES CITADAS:</w:t>
      </w:r>
    </w:p>
    <w:p w:rsidR="00FD0DC7" w:rsidRDefault="00FD0DC7" w:rsidP="00FD0DC7">
      <w:pPr>
        <w:pStyle w:val="EntradandiceSumario"/>
        <w:keepNext w:val="0"/>
      </w:pPr>
    </w:p>
    <w:p w:rsidR="00FD0DC7" w:rsidRDefault="00FD0DC7" w:rsidP="00FD0DC7">
      <w:pPr>
        <w:pStyle w:val="EntradandiceSumarioNivel2"/>
        <w:keepNext w:val="0"/>
      </w:pPr>
      <w:r>
        <w:t>A) Constitución</w:t>
      </w:r>
      <w:r>
        <w:tab/>
      </w:r>
      <w:r>
        <w:tab/>
      </w:r>
      <w:r>
        <w:fldChar w:fldCharType="begin"/>
      </w:r>
      <w:r>
        <w:instrText xml:space="preserve"> PAGEREF INDICE22804 \h </w:instrText>
      </w:r>
      <w:r>
        <w:fldChar w:fldCharType="separate"/>
      </w:r>
      <w:r w:rsidR="00AA6B4A">
        <w:rPr>
          <w:noProof/>
        </w:rPr>
        <w:t>3085</w:t>
      </w:r>
      <w:r>
        <w:fldChar w:fldCharType="end"/>
      </w:r>
    </w:p>
    <w:p w:rsidR="00FD0DC7" w:rsidRDefault="00FD0DC7" w:rsidP="00FD0DC7">
      <w:pPr>
        <w:pStyle w:val="EntradandiceSumarioNivel2"/>
        <w:keepNext w:val="0"/>
      </w:pPr>
      <w:r>
        <w:t>B) Tribunal Constitucional</w:t>
      </w:r>
      <w:r>
        <w:tab/>
      </w:r>
      <w:r>
        <w:tab/>
      </w:r>
      <w:r>
        <w:fldChar w:fldCharType="begin"/>
      </w:r>
      <w:r>
        <w:instrText xml:space="preserve"> PAGEREF INDICE22843 \h </w:instrText>
      </w:r>
      <w:r>
        <w:fldChar w:fldCharType="separate"/>
      </w:r>
      <w:r w:rsidR="00AA6B4A">
        <w:rPr>
          <w:noProof/>
        </w:rPr>
        <w:t>3093</w:t>
      </w:r>
      <w:r>
        <w:fldChar w:fldCharType="end"/>
      </w:r>
    </w:p>
    <w:p w:rsidR="00FD0DC7" w:rsidRDefault="00FD0DC7" w:rsidP="00FD0DC7">
      <w:pPr>
        <w:pStyle w:val="EntradandiceSumarioNivel2"/>
        <w:keepNext w:val="0"/>
      </w:pPr>
      <w:r>
        <w:t>C) Cortes Generales</w:t>
      </w:r>
      <w:r>
        <w:tab/>
      </w:r>
      <w:r>
        <w:tab/>
      </w:r>
      <w:r>
        <w:fldChar w:fldCharType="begin"/>
      </w:r>
      <w:r>
        <w:instrText xml:space="preserve"> PAGEREF INDICE22844 \h </w:instrText>
      </w:r>
      <w:r>
        <w:fldChar w:fldCharType="separate"/>
      </w:r>
      <w:r w:rsidR="00AA6B4A">
        <w:rPr>
          <w:noProof/>
        </w:rPr>
        <w:t>3099</w:t>
      </w:r>
      <w:r>
        <w:fldChar w:fldCharType="end"/>
      </w:r>
    </w:p>
    <w:p w:rsidR="00FD0DC7" w:rsidRDefault="00FD0DC7" w:rsidP="00FD0DC7">
      <w:pPr>
        <w:pStyle w:val="EntradandiceSumarioNivel2"/>
        <w:keepNext w:val="0"/>
      </w:pPr>
      <w:r>
        <w:t>D) Leyes Orgánicas</w:t>
      </w:r>
      <w:r>
        <w:tab/>
      </w:r>
      <w:r>
        <w:tab/>
      </w:r>
      <w:r>
        <w:fldChar w:fldCharType="begin"/>
      </w:r>
      <w:r>
        <w:instrText xml:space="preserve"> PAGEREF INDICE22845 \h </w:instrText>
      </w:r>
      <w:r>
        <w:fldChar w:fldCharType="separate"/>
      </w:r>
      <w:r w:rsidR="00AA6B4A">
        <w:rPr>
          <w:noProof/>
        </w:rPr>
        <w:t>3099</w:t>
      </w:r>
      <w:r>
        <w:fldChar w:fldCharType="end"/>
      </w:r>
    </w:p>
    <w:p w:rsidR="00FD0DC7" w:rsidRDefault="00FD0DC7" w:rsidP="00FD0DC7">
      <w:pPr>
        <w:pStyle w:val="EntradandiceSumarioNivel2"/>
        <w:keepNext w:val="0"/>
      </w:pPr>
      <w:r>
        <w:t>E) Leyes de las Cortes Generales</w:t>
      </w:r>
      <w:r>
        <w:tab/>
      </w:r>
      <w:r>
        <w:tab/>
      </w:r>
      <w:r>
        <w:fldChar w:fldCharType="begin"/>
      </w:r>
      <w:r>
        <w:instrText xml:space="preserve"> PAGEREF INDICE22846 \h </w:instrText>
      </w:r>
      <w:r>
        <w:fldChar w:fldCharType="separate"/>
      </w:r>
      <w:r w:rsidR="00AA6B4A">
        <w:rPr>
          <w:noProof/>
        </w:rPr>
        <w:t>3104</w:t>
      </w:r>
      <w:r>
        <w:fldChar w:fldCharType="end"/>
      </w:r>
    </w:p>
    <w:p w:rsidR="00FD0DC7" w:rsidRDefault="00FD0DC7" w:rsidP="00FD0DC7">
      <w:pPr>
        <w:pStyle w:val="EntradandiceSumarioNivel2"/>
        <w:keepNext w:val="0"/>
      </w:pPr>
      <w:r>
        <w:t>F) Reales Decretos Legislativos</w:t>
      </w:r>
      <w:r>
        <w:tab/>
      </w:r>
      <w:r>
        <w:tab/>
      </w:r>
      <w:r>
        <w:fldChar w:fldCharType="begin"/>
      </w:r>
      <w:r>
        <w:instrText xml:space="preserve"> PAGEREF INDICE22847 \h </w:instrText>
      </w:r>
      <w:r>
        <w:fldChar w:fldCharType="separate"/>
      </w:r>
      <w:r w:rsidR="00AA6B4A">
        <w:rPr>
          <w:noProof/>
        </w:rPr>
        <w:t>3123</w:t>
      </w:r>
      <w:r>
        <w:fldChar w:fldCharType="end"/>
      </w:r>
    </w:p>
    <w:p w:rsidR="00FD0DC7" w:rsidRDefault="00FD0DC7" w:rsidP="00FD0DC7">
      <w:pPr>
        <w:pStyle w:val="EntradandiceSumarioNivel2"/>
        <w:keepNext w:val="0"/>
      </w:pPr>
      <w:r>
        <w:t>G) Reales Decretos-leyes</w:t>
      </w:r>
      <w:r>
        <w:tab/>
      </w:r>
      <w:r>
        <w:tab/>
      </w:r>
      <w:r>
        <w:fldChar w:fldCharType="begin"/>
      </w:r>
      <w:r>
        <w:instrText xml:space="preserve"> PAGEREF INDICE22848 \h </w:instrText>
      </w:r>
      <w:r>
        <w:fldChar w:fldCharType="separate"/>
      </w:r>
      <w:r w:rsidR="00AA6B4A">
        <w:rPr>
          <w:noProof/>
        </w:rPr>
        <w:t>3129</w:t>
      </w:r>
      <w:r>
        <w:fldChar w:fldCharType="end"/>
      </w:r>
    </w:p>
    <w:p w:rsidR="00FD0DC7" w:rsidRDefault="00FD0DC7" w:rsidP="00FD0DC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A6B4A">
        <w:rPr>
          <w:noProof/>
        </w:rPr>
        <w:t>3135</w:t>
      </w:r>
      <w:r>
        <w:fldChar w:fldCharType="end"/>
      </w:r>
    </w:p>
    <w:p w:rsidR="00FD0DC7" w:rsidRDefault="00FD0DC7" w:rsidP="00FD0DC7">
      <w:pPr>
        <w:pStyle w:val="EntradandiceSumarioNivel2"/>
        <w:keepNext w:val="0"/>
      </w:pPr>
      <w:r>
        <w:t>I) Legislación preconstitucional</w:t>
      </w:r>
      <w:r>
        <w:tab/>
      </w:r>
      <w:r>
        <w:tab/>
      </w:r>
      <w:r>
        <w:fldChar w:fldCharType="begin"/>
      </w:r>
      <w:r>
        <w:instrText xml:space="preserve"> PAGEREF INDICE22850 \h </w:instrText>
      </w:r>
      <w:r>
        <w:fldChar w:fldCharType="separate"/>
      </w:r>
      <w:r w:rsidR="00AA6B4A">
        <w:rPr>
          <w:noProof/>
        </w:rPr>
        <w:t>3144</w:t>
      </w:r>
      <w:r>
        <w:fldChar w:fldCharType="end"/>
      </w:r>
    </w:p>
    <w:p w:rsidR="00FD0DC7" w:rsidRDefault="00FD0DC7" w:rsidP="00FD0DC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A6B4A">
        <w:rPr>
          <w:noProof/>
        </w:rPr>
        <w:t>3145</w:t>
      </w:r>
      <w:r>
        <w:fldChar w:fldCharType="end"/>
      </w:r>
    </w:p>
    <w:p w:rsidR="00FD0DC7" w:rsidRDefault="00FD0DC7" w:rsidP="00FD0DC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A6B4A">
        <w:rPr>
          <w:noProof/>
        </w:rPr>
        <w:t>3181</w:t>
      </w:r>
      <w:r>
        <w:fldChar w:fldCharType="end"/>
      </w:r>
    </w:p>
    <w:p w:rsidR="00FD0DC7" w:rsidRDefault="00FD0DC7" w:rsidP="00FD0DC7">
      <w:pPr>
        <w:pStyle w:val="EntradandiceSumarioNivel2"/>
        <w:keepNext w:val="0"/>
      </w:pPr>
      <w:r>
        <w:t>M) Unión Europea</w:t>
      </w:r>
      <w:r>
        <w:tab/>
      </w:r>
      <w:r>
        <w:tab/>
      </w:r>
      <w:r>
        <w:fldChar w:fldCharType="begin"/>
      </w:r>
      <w:r>
        <w:instrText xml:space="preserve"> PAGEREF INDICE22871 \h </w:instrText>
      </w:r>
      <w:r>
        <w:fldChar w:fldCharType="separate"/>
      </w:r>
      <w:r w:rsidR="00AA6B4A">
        <w:rPr>
          <w:noProof/>
        </w:rPr>
        <w:t>3182</w:t>
      </w:r>
      <w:r>
        <w:fldChar w:fldCharType="end"/>
      </w:r>
    </w:p>
    <w:p w:rsidR="00FD0DC7" w:rsidRDefault="00FD0DC7" w:rsidP="00FD0DC7">
      <w:pPr>
        <w:pStyle w:val="EntradandiceSumarioNivel2"/>
        <w:keepNext w:val="0"/>
      </w:pPr>
      <w:r>
        <w:t>N) Consejo de Europa</w:t>
      </w:r>
      <w:r>
        <w:tab/>
      </w:r>
      <w:r>
        <w:tab/>
      </w:r>
      <w:r>
        <w:fldChar w:fldCharType="begin"/>
      </w:r>
      <w:r>
        <w:instrText xml:space="preserve"> PAGEREF INDICE27994 \h </w:instrText>
      </w:r>
      <w:r>
        <w:fldChar w:fldCharType="separate"/>
      </w:r>
      <w:r w:rsidR="00AA6B4A">
        <w:rPr>
          <w:noProof/>
        </w:rPr>
        <w:t>3184</w:t>
      </w:r>
      <w:r>
        <w:fldChar w:fldCharType="end"/>
      </w:r>
    </w:p>
    <w:p w:rsidR="00FD0DC7" w:rsidRDefault="00FD0DC7" w:rsidP="00FD0DC7"/>
    <w:p w:rsidR="00FD0DC7" w:rsidRDefault="00FD0DC7" w:rsidP="00FD0DC7">
      <w:pPr>
        <w:pStyle w:val="EntradandiceSumario"/>
        <w:keepNext w:val="0"/>
      </w:pPr>
      <w:r>
        <w:t>6. ÍNDICE DE RESOLUCIONES JUDICIALES DE OTROS TRIBUNALES CITADAS:</w:t>
      </w:r>
    </w:p>
    <w:p w:rsidR="00FD0DC7" w:rsidRDefault="00FD0DC7" w:rsidP="00FD0DC7">
      <w:pPr>
        <w:pStyle w:val="EntradandiceSumario"/>
        <w:keepNext w:val="0"/>
      </w:pPr>
    </w:p>
    <w:p w:rsidR="00FD0DC7" w:rsidRDefault="00FD0DC7" w:rsidP="00FD0DC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A6B4A">
        <w:rPr>
          <w:noProof/>
        </w:rPr>
        <w:t>3185</w:t>
      </w:r>
      <w:r>
        <w:fldChar w:fldCharType="end"/>
      </w:r>
    </w:p>
    <w:p w:rsidR="00FD0DC7" w:rsidRDefault="00FD0DC7" w:rsidP="00FD0DC7">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AA6B4A">
        <w:rPr>
          <w:noProof/>
        </w:rPr>
        <w:t>3189</w:t>
      </w:r>
      <w:r>
        <w:fldChar w:fldCharType="end"/>
      </w:r>
    </w:p>
    <w:p w:rsidR="00FD0DC7" w:rsidRDefault="00FD0DC7" w:rsidP="00FD0DC7">
      <w:pPr>
        <w:pStyle w:val="EntradandiceSumarioNivel2"/>
        <w:keepNext w:val="0"/>
      </w:pPr>
      <w:r>
        <w:t>C) Tribunal Supremo</w:t>
      </w:r>
      <w:r>
        <w:tab/>
      </w:r>
      <w:r>
        <w:tab/>
      </w:r>
      <w:r>
        <w:fldChar w:fldCharType="begin"/>
      </w:r>
      <w:r>
        <w:instrText xml:space="preserve"> PAGEREF INDICE22925 \h </w:instrText>
      </w:r>
      <w:r>
        <w:fldChar w:fldCharType="separate"/>
      </w:r>
      <w:r w:rsidR="00AA6B4A">
        <w:rPr>
          <w:noProof/>
        </w:rPr>
        <w:t>3190</w:t>
      </w:r>
      <w:r>
        <w:fldChar w:fldCharType="end"/>
      </w:r>
    </w:p>
    <w:p w:rsidR="00FD0DC7" w:rsidRDefault="00FD0DC7" w:rsidP="00FD0DC7"/>
    <w:p w:rsidR="00FD0DC7" w:rsidRDefault="00FD0DC7" w:rsidP="00FD0DC7">
      <w:pPr>
        <w:pStyle w:val="EntradandiceSumario"/>
        <w:keepNext w:val="0"/>
      </w:pPr>
      <w:r>
        <w:t>7. ÍNDICE ANALÍTICO</w:t>
      </w:r>
      <w:r>
        <w:tab/>
      </w:r>
      <w:r>
        <w:tab/>
      </w:r>
      <w:r>
        <w:fldChar w:fldCharType="begin"/>
      </w:r>
      <w:r>
        <w:instrText xml:space="preserve"> PAGEREF INDICE5ALFABETICO \h </w:instrText>
      </w:r>
      <w:r>
        <w:fldChar w:fldCharType="separate"/>
      </w:r>
      <w:r w:rsidR="00AA6B4A">
        <w:rPr>
          <w:noProof/>
        </w:rPr>
        <w:t>3193</w:t>
      </w:r>
      <w:r>
        <w:fldChar w:fldCharType="end"/>
      </w:r>
    </w:p>
    <w:p w:rsidR="00FD0DC7" w:rsidRDefault="00FD0DC7" w:rsidP="00FD0DC7"/>
    <w:p w:rsidR="00FD0DC7" w:rsidRDefault="00FD0DC7" w:rsidP="00FD0DC7">
      <w:pPr>
        <w:pStyle w:val="EntradandiceSumario"/>
        <w:keepNext w:val="0"/>
      </w:pPr>
      <w:r>
        <w:t>8. ABREVIATURAS Y ACRÓNIMOS</w:t>
      </w:r>
      <w:r>
        <w:tab/>
      </w:r>
      <w:r>
        <w:tab/>
      </w:r>
      <w:r>
        <w:fldChar w:fldCharType="begin"/>
      </w:r>
      <w:r>
        <w:instrText xml:space="preserve"> PAGEREF ACRONIMOS \h </w:instrText>
      </w:r>
      <w:r>
        <w:fldChar w:fldCharType="separate"/>
      </w:r>
      <w:r w:rsidR="00AA6B4A">
        <w:rPr>
          <w:noProof/>
        </w:rPr>
        <w:t>3219</w:t>
      </w:r>
      <w:r>
        <w:fldChar w:fldCharType="end"/>
      </w:r>
    </w:p>
    <w:p w:rsidR="00FD0DC7" w:rsidRDefault="00FD0DC7">
      <w:pPr>
        <w:spacing w:after="160" w:line="259" w:lineRule="auto"/>
        <w:rPr>
          <w:rFonts w:ascii="Times New Roman" w:eastAsia="Times New Roman" w:hAnsi="Times New Roman" w:cs="Times New Roman"/>
          <w:sz w:val="24"/>
          <w:szCs w:val="24"/>
          <w:lang w:eastAsia="es-ES"/>
        </w:rPr>
      </w:pPr>
      <w:r>
        <w:br w:type="page"/>
      </w:r>
    </w:p>
    <w:p w:rsidR="00FD0DC7" w:rsidRDefault="00FD0DC7" w:rsidP="00FD0DC7">
      <w:pPr>
        <w:pStyle w:val="EntradandiceSumario"/>
        <w:keepNext w:val="0"/>
      </w:pPr>
    </w:p>
    <w:p w:rsidR="00FD0DC7" w:rsidRDefault="00FD0DC7" w:rsidP="00FD0DC7"/>
    <w:p w:rsidR="00FD0DC7" w:rsidRDefault="00FD0DC7" w:rsidP="00FD0DC7"/>
    <w:p w:rsidR="00FD0DC7" w:rsidRDefault="00FD0DC7" w:rsidP="00FD0DC7">
      <w:pPr>
        <w:pStyle w:val="Ttulondice"/>
      </w:pPr>
      <w:bookmarkStart w:id="2" w:name="SUMARIOSENTENCIAS"/>
      <w:r>
        <w:t>1. SENTENCIAS: STC 1/2015 A STC 147/2015</w:t>
      </w:r>
    </w:p>
    <w:bookmarkEnd w:id="2"/>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EntradandiceSentencia"/>
      </w:pPr>
      <w:r>
        <w:t>Sala Segunda. Sentencia 1/2015, de 19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5178-2013. </w:t>
      </w:r>
      <w:r w:rsidRPr="00FD0DC7">
        <w:rPr>
          <w:rStyle w:val="TextoNormalCursivaCaracter"/>
        </w:rPr>
        <w:t xml:space="preserve"> Vulneración del derecho a ejercer las funciones representativas en condiciones de igualdad: inadmisión de iniciativas parlamentarias sin motivación (STC 40/2003).</w:t>
      </w:r>
      <w:r>
        <w:tab/>
      </w:r>
      <w:r>
        <w:tab/>
      </w:r>
      <w:r>
        <w:fldChar w:fldCharType="begin"/>
      </w:r>
      <w:r>
        <w:instrText xml:space="preserve"> PAGEREF SENTENCIA_2015_1 \h </w:instrText>
      </w:r>
      <w:r>
        <w:fldChar w:fldCharType="separate"/>
      </w:r>
      <w:r w:rsidR="00AA6B4A">
        <w:rPr>
          <w:noProof/>
        </w:rPr>
        <w:t>47</w:t>
      </w:r>
      <w:r>
        <w:fldChar w:fldCharType="end"/>
      </w:r>
    </w:p>
    <w:p w:rsidR="0085709A" w:rsidRDefault="0085709A" w:rsidP="00FD0DC7"/>
    <w:p w:rsidR="00FD0DC7" w:rsidRDefault="00FD0DC7" w:rsidP="00FD0DC7">
      <w:pPr>
        <w:pStyle w:val="EntradandiceSentencia"/>
      </w:pPr>
      <w:r>
        <w:t>Sala Segunda. Sentencia 2/2015, de 19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5865-2013. </w:t>
      </w:r>
      <w:r w:rsidRPr="00FD0DC7">
        <w:rPr>
          <w:rStyle w:val="TextoNormalCursivaCaracter"/>
        </w:rPr>
        <w:t xml:space="preserve"> Supuesta vulneración de los derechos a la tutela judicial efectiva, a la presunción de inocencia y a la legalidad sancionadora: condena fundada en actividad probatoria de cuyo resultado se infiere, de manera no irrazonable, arbitraria ni contraria a la lógica, la culpabilidad del acusado; interpretación no irrazonable del tipo.</w:t>
      </w:r>
      <w:r>
        <w:tab/>
      </w:r>
      <w:r>
        <w:tab/>
      </w:r>
      <w:r>
        <w:fldChar w:fldCharType="begin"/>
      </w:r>
      <w:r>
        <w:instrText xml:space="preserve"> PAGEREF SENTENCIA_2015_2 \h </w:instrText>
      </w:r>
      <w:r>
        <w:fldChar w:fldCharType="separate"/>
      </w:r>
      <w:r w:rsidR="00AA6B4A">
        <w:rPr>
          <w:noProof/>
        </w:rPr>
        <w:t>66</w:t>
      </w:r>
      <w:r>
        <w:fldChar w:fldCharType="end"/>
      </w:r>
    </w:p>
    <w:p w:rsidR="00FD0DC7" w:rsidRDefault="00FD0DC7" w:rsidP="00FD0DC7"/>
    <w:p w:rsidR="00FD0DC7" w:rsidRDefault="00FD0DC7" w:rsidP="00FD0DC7">
      <w:pPr>
        <w:pStyle w:val="EntradandiceSentencia"/>
      </w:pPr>
      <w:r>
        <w:t>Sala Segunda. Sentencia 3/2015, de 19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7045-2013. </w:t>
      </w:r>
      <w:r w:rsidRPr="00FD0DC7">
        <w:rPr>
          <w:rStyle w:val="TextoNormalCursivaCaracter"/>
        </w:rPr>
        <w:t xml:space="preserve"> Derechos a la presunción de inocencia y a la legalidad penal; principio de seguridad jurídica: interpretación conforme con la Constitución del precepto legal relativo a la reiteración de las faltas de hurto (STC 185/2014).</w:t>
      </w:r>
      <w:r>
        <w:tab/>
      </w:r>
      <w:r>
        <w:tab/>
      </w:r>
      <w:r>
        <w:fldChar w:fldCharType="begin"/>
      </w:r>
      <w:r>
        <w:instrText xml:space="preserve"> PAGEREF SENTENCIA_2015_3 \h </w:instrText>
      </w:r>
      <w:r>
        <w:fldChar w:fldCharType="separate"/>
      </w:r>
      <w:r w:rsidR="00AA6B4A">
        <w:rPr>
          <w:noProof/>
        </w:rPr>
        <w:t>80</w:t>
      </w:r>
      <w:r>
        <w:fldChar w:fldCharType="end"/>
      </w:r>
    </w:p>
    <w:p w:rsidR="00FD0DC7" w:rsidRDefault="00FD0DC7" w:rsidP="00FD0DC7"/>
    <w:p w:rsidR="00FD0DC7" w:rsidRDefault="00FD0DC7" w:rsidP="00FD0DC7">
      <w:pPr>
        <w:pStyle w:val="EntradandiceSentencia"/>
      </w:pPr>
      <w:r>
        <w:t>Sala Segunda. Sentencia 4/2015, de 19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7360-2013. </w:t>
      </w:r>
      <w:r w:rsidRPr="00FD0DC7">
        <w:rPr>
          <w:rStyle w:val="TextoNormalCursivaCaracter"/>
        </w:rPr>
        <w:t xml:space="preserve"> Derechos a la presunción de inocencia y a la legalidad penal; principio de seguridad jurídica: inadmisión de la cuestión de inconstitucionalidad.</w:t>
      </w:r>
      <w:r>
        <w:tab/>
      </w:r>
      <w:r>
        <w:tab/>
      </w:r>
      <w:r>
        <w:fldChar w:fldCharType="begin"/>
      </w:r>
      <w:r>
        <w:instrText xml:space="preserve"> PAGEREF SENTENCIA_2015_4 \h </w:instrText>
      </w:r>
      <w:r>
        <w:fldChar w:fldCharType="separate"/>
      </w:r>
      <w:r w:rsidR="00AA6B4A">
        <w:rPr>
          <w:noProof/>
        </w:rPr>
        <w:t>89</w:t>
      </w:r>
      <w:r>
        <w:fldChar w:fldCharType="end"/>
      </w:r>
    </w:p>
    <w:p w:rsidR="00FD0DC7" w:rsidRDefault="00FD0DC7" w:rsidP="00FD0DC7"/>
    <w:p w:rsidR="00FD0DC7" w:rsidRDefault="00FD0DC7" w:rsidP="00FD0DC7">
      <w:pPr>
        <w:pStyle w:val="EntradandiceSentencia"/>
      </w:pPr>
      <w:r>
        <w:t>Pleno. Sentencia 5/2015, de 22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6964-2009. </w:t>
      </w:r>
      <w:r w:rsidRPr="00FD0DC7">
        <w:rPr>
          <w:rStyle w:val="TextoNormalCursivaCaracter"/>
        </w:rPr>
        <w:t xml:space="preserve"> Competencias sobre condiciones básicas de igualdad, costas y medio ambiente: nulidad de los preceptos legales autonómicos que establecen limitaciones o servidumbres sobre los terrenos colindantes con el dominio público marítimo-terrestre y regulan su deslinde; interpretación conforme del precepto que crea un censo de edificaciones singulares ubicadas en el demanio marítimo-terrestre (STC 87/2012).</w:t>
      </w:r>
      <w:r>
        <w:tab/>
      </w:r>
      <w:r>
        <w:tab/>
      </w:r>
      <w:r>
        <w:fldChar w:fldCharType="begin"/>
      </w:r>
      <w:r>
        <w:instrText xml:space="preserve"> PAGEREF SENTENCIA_2015_5 \h </w:instrText>
      </w:r>
      <w:r>
        <w:fldChar w:fldCharType="separate"/>
      </w:r>
      <w:r w:rsidR="00AA6B4A">
        <w:rPr>
          <w:noProof/>
        </w:rPr>
        <w:t>99</w:t>
      </w:r>
      <w:r>
        <w:fldChar w:fldCharType="end"/>
      </w:r>
    </w:p>
    <w:p w:rsidR="00FD0DC7" w:rsidRDefault="00FD0DC7" w:rsidP="00FD0DC7"/>
    <w:p w:rsidR="00FD0DC7" w:rsidRDefault="00FD0DC7" w:rsidP="00FD0DC7">
      <w:pPr>
        <w:pStyle w:val="EntradandiceSentencia"/>
      </w:pPr>
      <w:r>
        <w:t>Pleno. Sentencia 6/2015, de 22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Conflicto positivo de competencia 823-2011. </w:t>
      </w:r>
      <w:r w:rsidRPr="00FD0DC7">
        <w:rPr>
          <w:rStyle w:val="TextoNormalCursivaCaracter"/>
        </w:rPr>
        <w:t xml:space="preserve"> Conflicto positivo de competencia 823-2011. Competencias sobre sanidad, productos farmacéuticos y Seguridad Social: ejercicio acorde con el bloque de constitucionalidad de las competencias autonómicas (STC 211/2014). Voto particular.</w:t>
      </w:r>
      <w:r>
        <w:tab/>
      </w:r>
      <w:r>
        <w:tab/>
      </w:r>
      <w:r>
        <w:fldChar w:fldCharType="begin"/>
      </w:r>
      <w:r>
        <w:instrText xml:space="preserve"> PAGEREF SENTENCIA_2015_6 \h </w:instrText>
      </w:r>
      <w:r>
        <w:fldChar w:fldCharType="separate"/>
      </w:r>
      <w:r w:rsidR="00AA6B4A">
        <w:rPr>
          <w:noProof/>
        </w:rPr>
        <w:t>128</w:t>
      </w:r>
      <w:r>
        <w:fldChar w:fldCharType="end"/>
      </w:r>
    </w:p>
    <w:p w:rsidR="00FD0DC7" w:rsidRDefault="00FD0DC7" w:rsidP="00FD0DC7"/>
    <w:p w:rsidR="00FD0DC7" w:rsidRDefault="00FD0DC7" w:rsidP="00FD0DC7">
      <w:pPr>
        <w:pStyle w:val="EntradandiceSentencia"/>
      </w:pPr>
      <w:r>
        <w:t>Pleno. Sentencia 7/2015, 22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2399-2012. </w:t>
      </w:r>
      <w:r w:rsidRPr="00FD0DC7">
        <w:rPr>
          <w:rStyle w:val="TextoNormalCursivaCaracter"/>
        </w:rPr>
        <w:t xml:space="preserve"> Vulneración del derecho a la tutela judicial efectiva (acceso al recurso): inadmisión de recurso de casación acordada sin atribuir ninguna virtualidad a un escrito de la parte recurrente en el que trata de reparar la ausencia de cita en el escrito de preparación de las concretas infracciones normativas o jurisprudenciales que considera infringidas. Voto particular.</w:t>
      </w:r>
      <w:r>
        <w:tab/>
      </w:r>
      <w:r>
        <w:tab/>
      </w:r>
      <w:r>
        <w:fldChar w:fldCharType="begin"/>
      </w:r>
      <w:r>
        <w:instrText xml:space="preserve"> PAGEREF SENTENCIA_2015_7 \h </w:instrText>
      </w:r>
      <w:r>
        <w:fldChar w:fldCharType="separate"/>
      </w:r>
      <w:r w:rsidR="00AA6B4A">
        <w:rPr>
          <w:noProof/>
        </w:rPr>
        <w:t>143</w:t>
      </w:r>
      <w:r>
        <w:fldChar w:fldCharType="end"/>
      </w:r>
    </w:p>
    <w:p w:rsidR="00FD0DC7" w:rsidRDefault="00FD0DC7" w:rsidP="00FD0DC7"/>
    <w:p w:rsidR="00FD0DC7" w:rsidRDefault="00FD0DC7" w:rsidP="00FD0DC7">
      <w:pPr>
        <w:pStyle w:val="EntradandiceSentencia"/>
      </w:pPr>
      <w:r>
        <w:t>Pleno. Sentencia 8/2015, de 22 de enero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5610-2012. </w:t>
      </w:r>
      <w:r w:rsidRPr="00FD0DC7">
        <w:rPr>
          <w:rStyle w:val="TextoNormalCursivaCaracter"/>
        </w:rPr>
        <w:t xml:space="preserve"> Derechos a la igualdad, a la libertad sindical, a la tutela judicial efectiva, a la negociación colectiva y al acceso a las funciones públicas en condiciones de igualdad: constitucionalidad de los preceptos legales relativos al contrato de trabajo por tiempo indefinido de apoyo a los emprendedores; modificación sustancial de las condiciones de trabajo, negociación colectiva; extinción del contrato de trabajo, procesos por despido; aplicación de la suspensión del contrato o reducción de jornada por causas económicas, técnicas, organizativas o de producción, o derivadas de fuerza mayor en el sector público; y nulidad de las cláusulas de los convenios colectivos que posibiliten la extinción de los contratos de trabajo por cumplimiento de la edad ordinaria de jubilación. Voto particular.</w:t>
      </w:r>
      <w:r>
        <w:tab/>
      </w:r>
      <w:r>
        <w:tab/>
      </w:r>
      <w:r>
        <w:fldChar w:fldCharType="begin"/>
      </w:r>
      <w:r>
        <w:instrText xml:space="preserve"> PAGEREF SENTENCIA_2015_8 \h </w:instrText>
      </w:r>
      <w:r>
        <w:fldChar w:fldCharType="separate"/>
      </w:r>
      <w:r w:rsidR="00AA6B4A">
        <w:rPr>
          <w:noProof/>
        </w:rPr>
        <w:t>169</w:t>
      </w:r>
      <w:r>
        <w:fldChar w:fldCharType="end"/>
      </w:r>
    </w:p>
    <w:p w:rsidR="00FD0DC7" w:rsidRDefault="00FD0DC7" w:rsidP="00FD0DC7"/>
    <w:p w:rsidR="00FD0DC7" w:rsidRDefault="00FD0DC7" w:rsidP="00FD0DC7">
      <w:pPr>
        <w:pStyle w:val="EntradandiceSentencia"/>
      </w:pPr>
      <w:r>
        <w:t>Sala Primera. Sentencia 9/2015, de 2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4930-2012. </w:t>
      </w:r>
      <w:r w:rsidRPr="00FD0DC7">
        <w:rPr>
          <w:rStyle w:val="TextoNormalCursivaCaracter"/>
        </w:rPr>
        <w:t xml:space="preserve"> Vulneración del derecho a la tutela judicial efectiva (resolución fundada en Derecho): resolución judicial carente de una estimación expresa o tácita de las pruebas practicadas que permita conocer las razones que condujeron al órgano judicial a descartar su valoración.</w:t>
      </w:r>
      <w:r>
        <w:tab/>
      </w:r>
      <w:r>
        <w:tab/>
      </w:r>
      <w:r>
        <w:fldChar w:fldCharType="begin"/>
      </w:r>
      <w:r>
        <w:instrText xml:space="preserve"> PAGEREF SENTENCIA_2015_9 \h </w:instrText>
      </w:r>
      <w:r>
        <w:fldChar w:fldCharType="separate"/>
      </w:r>
      <w:r w:rsidR="00AA6B4A">
        <w:rPr>
          <w:noProof/>
        </w:rPr>
        <w:t>249</w:t>
      </w:r>
      <w:r>
        <w:fldChar w:fldCharType="end"/>
      </w:r>
    </w:p>
    <w:p w:rsidR="00FD0DC7" w:rsidRDefault="00FD0DC7" w:rsidP="00FD0DC7"/>
    <w:p w:rsidR="00FD0DC7" w:rsidRDefault="00FD0DC7" w:rsidP="00FD0DC7">
      <w:pPr>
        <w:pStyle w:val="EntradandiceSentencia"/>
      </w:pPr>
      <w:r>
        <w:t>Sala Primera. Sentencia 10/2015, de 2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6926-2013. </w:t>
      </w:r>
      <w:r w:rsidRPr="00FD0DC7">
        <w:rPr>
          <w:rStyle w:val="TextoNormalCursivaCaracter"/>
        </w:rPr>
        <w:t xml:space="preserve"> Derecho a la legalidad sancionadora: nulidad del precepto legal que vulnera la vertiente material del derecho a la legalidad sancionadora al remitir la calificación de las infracciones administrativas al momento aplicativo (STC 166/2012).</w:t>
      </w:r>
      <w:r>
        <w:tab/>
      </w:r>
      <w:r>
        <w:tab/>
      </w:r>
      <w:r>
        <w:fldChar w:fldCharType="begin"/>
      </w:r>
      <w:r>
        <w:instrText xml:space="preserve"> PAGEREF SENTENCIA_2015_10 \h </w:instrText>
      </w:r>
      <w:r>
        <w:fldChar w:fldCharType="separate"/>
      </w:r>
      <w:r w:rsidR="00AA6B4A">
        <w:rPr>
          <w:noProof/>
        </w:rPr>
        <w:t>262</w:t>
      </w:r>
      <w:r>
        <w:fldChar w:fldCharType="end"/>
      </w:r>
    </w:p>
    <w:p w:rsidR="00FD0DC7" w:rsidRDefault="00FD0DC7" w:rsidP="00FD0DC7"/>
    <w:p w:rsidR="00FD0DC7" w:rsidRDefault="00FD0DC7" w:rsidP="00FD0DC7">
      <w:pPr>
        <w:pStyle w:val="EntradandiceSentencia"/>
      </w:pPr>
      <w:r>
        <w:t>Pleno. Sentencia 11/2015, de 5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76-2012. </w:t>
      </w:r>
      <w:r w:rsidRPr="00FD0DC7">
        <w:rPr>
          <w:rStyle w:val="TextoNormalCursivaCaracter"/>
        </w:rPr>
        <w:t xml:space="preserve"> Competencias sobre legislación civil y ordenación general de la economía: constitucionalidad del precepto legal estatal que prevé la creación de un registro autonómico sobre explotaciones agrarias de titularidad compartida (STC 112/2013).</w:t>
      </w:r>
      <w:r>
        <w:tab/>
      </w:r>
      <w:r>
        <w:tab/>
      </w:r>
      <w:r>
        <w:fldChar w:fldCharType="begin"/>
      </w:r>
      <w:r>
        <w:instrText xml:space="preserve"> PAGEREF SENTENCIA_2015_11 \h </w:instrText>
      </w:r>
      <w:r>
        <w:fldChar w:fldCharType="separate"/>
      </w:r>
      <w:r w:rsidR="00AA6B4A">
        <w:rPr>
          <w:noProof/>
        </w:rPr>
        <w:t>270</w:t>
      </w:r>
      <w:r>
        <w:fldChar w:fldCharType="end"/>
      </w:r>
    </w:p>
    <w:p w:rsidR="00FD0DC7" w:rsidRDefault="00FD0DC7" w:rsidP="00FD0DC7"/>
    <w:p w:rsidR="00FD0DC7" w:rsidRDefault="00FD0DC7" w:rsidP="00FD0DC7">
      <w:pPr>
        <w:pStyle w:val="EntradandiceSentencia"/>
      </w:pPr>
      <w:r>
        <w:t>Pleno. Sentencia 12/2015, de 5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3931-2013. </w:t>
      </w:r>
      <w:r w:rsidRPr="00FD0DC7">
        <w:rPr>
          <w:rStyle w:val="TextoNormalCursivaCaracter"/>
        </w:rPr>
        <w:t xml:space="preserve"> Límites a los decretos-leyes: justificación suficiente de la concurrencia del presupuesto habilitante y de la conexión de sentido entre la situación de urgencia y las medidas ideadas para hacerle frente. Votos particulares.</w:t>
      </w:r>
      <w:r>
        <w:tab/>
      </w:r>
      <w:r>
        <w:tab/>
      </w:r>
      <w:r>
        <w:fldChar w:fldCharType="begin"/>
      </w:r>
      <w:r>
        <w:instrText xml:space="preserve"> PAGEREF SENTENCIA_2015_12 \h </w:instrText>
      </w:r>
      <w:r>
        <w:fldChar w:fldCharType="separate"/>
      </w:r>
      <w:r w:rsidR="00AA6B4A">
        <w:rPr>
          <w:noProof/>
        </w:rPr>
        <w:t>285</w:t>
      </w:r>
      <w:r>
        <w:fldChar w:fldCharType="end"/>
      </w:r>
    </w:p>
    <w:p w:rsidR="00FD0DC7" w:rsidRDefault="00FD0DC7" w:rsidP="00FD0DC7"/>
    <w:p w:rsidR="00FD0DC7" w:rsidRDefault="00FD0DC7" w:rsidP="00FD0DC7">
      <w:pPr>
        <w:pStyle w:val="EntradandiceSentencia"/>
      </w:pPr>
      <w:r>
        <w:t>Pleno. Sentencia 13/2015, de 5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1399-2014. </w:t>
      </w:r>
      <w:r w:rsidRPr="00FD0DC7">
        <w:rPr>
          <w:rStyle w:val="TextoNormalCursivaCaracter"/>
        </w:rPr>
        <w:t xml:space="preserve"> Competencias sobre aguas: nulidad de los preceptos legales aprobados sin solicitar la emisión del informe, previsto en el Estatuto de Autonomía de Aragón, respecto de cualquier propuesta de obra hidráulica o de transferencia de aguas que afecte al territorio de esta Comunidad Autónoma (STC 110/2011).</w:t>
      </w:r>
      <w:r>
        <w:tab/>
      </w:r>
      <w:r>
        <w:tab/>
      </w:r>
      <w:r>
        <w:fldChar w:fldCharType="begin"/>
      </w:r>
      <w:r>
        <w:instrText xml:space="preserve"> PAGEREF SENTENCIA_2015_13 \h </w:instrText>
      </w:r>
      <w:r>
        <w:fldChar w:fldCharType="separate"/>
      </w:r>
      <w:r w:rsidR="00AA6B4A">
        <w:rPr>
          <w:noProof/>
        </w:rPr>
        <w:t>313</w:t>
      </w:r>
      <w:r>
        <w:fldChar w:fldCharType="end"/>
      </w:r>
    </w:p>
    <w:p w:rsidR="00FD0DC7" w:rsidRDefault="00FD0DC7" w:rsidP="00FD0DC7"/>
    <w:p w:rsidR="00FD0DC7" w:rsidRDefault="00FD0DC7" w:rsidP="00FD0DC7">
      <w:pPr>
        <w:pStyle w:val="EntradandiceSentencia"/>
      </w:pPr>
      <w:r>
        <w:t>Pleno. Sentencia 14/2015, de 5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3552-2014. </w:t>
      </w:r>
      <w:r w:rsidRPr="00FD0DC7">
        <w:rPr>
          <w:rStyle w:val="TextoNormalCursivaCaracter"/>
        </w:rPr>
        <w:t xml:space="preserve"> Competencias sobre fundaciones, legislación mercantil, ordenación del crédito y la banca y general de la economía: interpretación conforme del ámbito de aplicación de la ley foral, que no regula las fundaciones bancarias sino las ordinarias que resulten de la transformación de cajas de ahorro de Navarra y sean de competencia de la Comunidad Foral.</w:t>
      </w:r>
      <w:r>
        <w:tab/>
      </w:r>
      <w:r>
        <w:tab/>
      </w:r>
      <w:r>
        <w:fldChar w:fldCharType="begin"/>
      </w:r>
      <w:r>
        <w:instrText xml:space="preserve"> PAGEREF SENTENCIA_2015_14 \h </w:instrText>
      </w:r>
      <w:r>
        <w:fldChar w:fldCharType="separate"/>
      </w:r>
      <w:r w:rsidR="00AA6B4A">
        <w:rPr>
          <w:noProof/>
        </w:rPr>
        <w:t>334</w:t>
      </w:r>
      <w:r>
        <w:fldChar w:fldCharType="end"/>
      </w:r>
    </w:p>
    <w:p w:rsidR="00FD0DC7" w:rsidRDefault="00FD0DC7" w:rsidP="00FD0DC7"/>
    <w:p w:rsidR="00FD0DC7" w:rsidRDefault="00FD0DC7" w:rsidP="00FD0DC7">
      <w:pPr>
        <w:pStyle w:val="EntradandiceSentencia"/>
      </w:pPr>
      <w:r>
        <w:t>Pleno. Sentencia 15/2015, de 5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6408-2014. </w:t>
      </w:r>
      <w:r w:rsidRPr="00FD0DC7">
        <w:rPr>
          <w:rStyle w:val="TextoNormalCursivaCaracter"/>
        </w:rPr>
        <w:t xml:space="preserve"> Autonomía política, principios pluralista y de interdicción de la arbitrariedad, derecho de acceso a los cargos públicos y sistema de representación proporcional: constitucionalidad de la ley autonómica que reduce la composición de las Cortes de Castilla-La Mancha (STC 197/2014).</w:t>
      </w:r>
      <w:r>
        <w:tab/>
      </w:r>
      <w:r>
        <w:tab/>
      </w:r>
      <w:r>
        <w:fldChar w:fldCharType="begin"/>
      </w:r>
      <w:r>
        <w:instrText xml:space="preserve"> PAGEREF SENTENCIA_2015_15 \h </w:instrText>
      </w:r>
      <w:r>
        <w:fldChar w:fldCharType="separate"/>
      </w:r>
      <w:r w:rsidR="00AA6B4A">
        <w:rPr>
          <w:noProof/>
        </w:rPr>
        <w:t>350</w:t>
      </w:r>
      <w:r>
        <w:fldChar w:fldCharType="end"/>
      </w:r>
    </w:p>
    <w:p w:rsidR="00FD0DC7" w:rsidRDefault="00FD0DC7" w:rsidP="00FD0DC7"/>
    <w:p w:rsidR="00FD0DC7" w:rsidRDefault="00FD0DC7" w:rsidP="00FD0DC7">
      <w:pPr>
        <w:pStyle w:val="EntradandiceSentencia"/>
      </w:pPr>
      <w:r>
        <w:t>Sala Primera. Sentencia 16/2015,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1114-2012. </w:t>
      </w:r>
      <w:r w:rsidRPr="00FD0DC7">
        <w:rPr>
          <w:rStyle w:val="TextoNormalCursivaCaracter"/>
        </w:rPr>
        <w:t xml:space="preserve"> Recurso de amparo 1114-2012. 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SENTENCIA_2015_16 \h </w:instrText>
      </w:r>
      <w:r>
        <w:fldChar w:fldCharType="separate"/>
      </w:r>
      <w:r w:rsidR="00AA6B4A">
        <w:rPr>
          <w:noProof/>
        </w:rPr>
        <w:t>369</w:t>
      </w:r>
      <w:r>
        <w:fldChar w:fldCharType="end"/>
      </w:r>
    </w:p>
    <w:p w:rsidR="00FD0DC7" w:rsidRDefault="00FD0DC7" w:rsidP="00FD0DC7"/>
    <w:p w:rsidR="00FD0DC7" w:rsidRDefault="00FD0DC7" w:rsidP="00FD0DC7">
      <w:pPr>
        <w:pStyle w:val="EntradandiceSentencia"/>
      </w:pPr>
      <w:r>
        <w:t>Sala Segunda. Sentencia 17/2015,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2246-2012. </w:t>
      </w:r>
      <w:r w:rsidRPr="00FD0DC7">
        <w:rPr>
          <w:rStyle w:val="TextoNormalCursivaCaracter"/>
        </w:rPr>
        <w:t xml:space="preserve"> 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r>
        <w:tab/>
      </w:r>
      <w:r>
        <w:tab/>
      </w:r>
      <w:r>
        <w:fldChar w:fldCharType="begin"/>
      </w:r>
      <w:r>
        <w:instrText xml:space="preserve"> PAGEREF SENTENCIA_2015_17 \h </w:instrText>
      </w:r>
      <w:r>
        <w:fldChar w:fldCharType="separate"/>
      </w:r>
      <w:r w:rsidR="00AA6B4A">
        <w:rPr>
          <w:noProof/>
        </w:rPr>
        <w:t>386</w:t>
      </w:r>
      <w:r>
        <w:fldChar w:fldCharType="end"/>
      </w:r>
    </w:p>
    <w:p w:rsidR="00FD0DC7" w:rsidRDefault="00FD0DC7" w:rsidP="00FD0DC7"/>
    <w:p w:rsidR="00FD0DC7" w:rsidRDefault="00FD0DC7" w:rsidP="00FD0DC7">
      <w:pPr>
        <w:pStyle w:val="EntradandiceSentencia"/>
      </w:pPr>
      <w:r>
        <w:t>Sala Segunda. Sentencia 18/2015,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3571-2012. </w:t>
      </w:r>
      <w:r w:rsidRPr="00FD0DC7">
        <w:rPr>
          <w:rStyle w:val="TextoNormalCursivaCaracter"/>
        </w:rPr>
        <w:t xml:space="preserve"> Vulneración de los derechos a la intimidad y a la propia imagen: difusión de imágenes sobre aspectos de la vida privada del recurrente captadas sin su consentimiento.</w:t>
      </w:r>
      <w:r>
        <w:tab/>
      </w:r>
      <w:r>
        <w:tab/>
      </w:r>
      <w:r>
        <w:fldChar w:fldCharType="begin"/>
      </w:r>
      <w:r>
        <w:instrText xml:space="preserve"> PAGEREF SENTENCIA_2015_18 \h </w:instrText>
      </w:r>
      <w:r>
        <w:fldChar w:fldCharType="separate"/>
      </w:r>
      <w:r w:rsidR="00AA6B4A">
        <w:rPr>
          <w:noProof/>
        </w:rPr>
        <w:t>397</w:t>
      </w:r>
      <w:r>
        <w:fldChar w:fldCharType="end"/>
      </w:r>
    </w:p>
    <w:p w:rsidR="00FD0DC7" w:rsidRDefault="00FD0DC7" w:rsidP="00FD0DC7"/>
    <w:p w:rsidR="00FD0DC7" w:rsidRDefault="00FD0DC7" w:rsidP="00FD0DC7">
      <w:pPr>
        <w:pStyle w:val="EntradandiceSentencia"/>
      </w:pPr>
      <w:r>
        <w:t>Sala Primera. Sentencia 19/2015,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3738-2012. </w:t>
      </w:r>
      <w:r w:rsidRPr="00FD0DC7">
        <w:rPr>
          <w:rStyle w:val="TextoNormalCursivaCaracter"/>
        </w:rPr>
        <w:t xml:space="preserve"> Vulneración del derecho a participar en los asuntos públicos: inadmisión fundada en un hecho no configurado legalmente como causa de inadmisión de una iniciativa legislativa popular. Voto particular.</w:t>
      </w:r>
      <w:r>
        <w:tab/>
      </w:r>
      <w:r>
        <w:tab/>
      </w:r>
      <w:r>
        <w:fldChar w:fldCharType="begin"/>
      </w:r>
      <w:r>
        <w:instrText xml:space="preserve"> PAGEREF SENTENCIA_2015_19 \h </w:instrText>
      </w:r>
      <w:r>
        <w:fldChar w:fldCharType="separate"/>
      </w:r>
      <w:r w:rsidR="00AA6B4A">
        <w:rPr>
          <w:noProof/>
        </w:rPr>
        <w:t>419</w:t>
      </w:r>
      <w:r>
        <w:fldChar w:fldCharType="end"/>
      </w:r>
    </w:p>
    <w:p w:rsidR="00FD0DC7" w:rsidRDefault="00FD0DC7" w:rsidP="00FD0DC7"/>
    <w:p w:rsidR="00FD0DC7" w:rsidRDefault="00FD0DC7" w:rsidP="00FD0DC7">
      <w:pPr>
        <w:pStyle w:val="EntradandiceSentencia"/>
      </w:pPr>
      <w:r>
        <w:t>Sala Segunda. Sentencia 20/2015,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5479-2012. </w:t>
      </w:r>
      <w:r w:rsidRPr="00FD0DC7">
        <w:rPr>
          <w:rStyle w:val="TextoNormalCursivaCaracter"/>
        </w:rPr>
        <w:t xml:space="preserve"> 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r>
        <w:tab/>
      </w:r>
      <w:r>
        <w:tab/>
      </w:r>
      <w:r>
        <w:fldChar w:fldCharType="begin"/>
      </w:r>
      <w:r>
        <w:instrText xml:space="preserve"> PAGEREF SENTENCIA_2015_20 \h </w:instrText>
      </w:r>
      <w:r>
        <w:fldChar w:fldCharType="separate"/>
      </w:r>
      <w:r w:rsidR="00AA6B4A">
        <w:rPr>
          <w:noProof/>
        </w:rPr>
        <w:t>438</w:t>
      </w:r>
      <w:r>
        <w:fldChar w:fldCharType="end"/>
      </w:r>
    </w:p>
    <w:p w:rsidR="00FD0DC7" w:rsidRDefault="00FD0DC7" w:rsidP="00FD0DC7"/>
    <w:p w:rsidR="00FD0DC7" w:rsidRDefault="00FD0DC7" w:rsidP="00FD0DC7">
      <w:pPr>
        <w:pStyle w:val="EntradandiceSentencia"/>
      </w:pPr>
      <w:r>
        <w:t>Sala Segunda. Sentencia 21/2015,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716-2013. </w:t>
      </w:r>
      <w:r w:rsidRPr="00FD0DC7">
        <w:rPr>
          <w:rStyle w:val="TextoNormalCursivaCaracter"/>
        </w:rPr>
        <w:t xml:space="preserve"> Vulneración del derecho a la legalidad sancionadora: STC 30/2013 (resolución sancionadora que carece de fundamento razonable en la infracción administrativa aplicada).</w:t>
      </w:r>
      <w:r>
        <w:tab/>
      </w:r>
      <w:r>
        <w:tab/>
      </w:r>
      <w:r>
        <w:fldChar w:fldCharType="begin"/>
      </w:r>
      <w:r>
        <w:instrText xml:space="preserve"> PAGEREF SENTENCIA_2015_21 \h </w:instrText>
      </w:r>
      <w:r>
        <w:fldChar w:fldCharType="separate"/>
      </w:r>
      <w:r w:rsidR="00AA6B4A">
        <w:rPr>
          <w:noProof/>
        </w:rPr>
        <w:t>446</w:t>
      </w:r>
      <w:r>
        <w:fldChar w:fldCharType="end"/>
      </w:r>
    </w:p>
    <w:p w:rsidR="00FD0DC7" w:rsidRDefault="00FD0DC7" w:rsidP="00FD0DC7"/>
    <w:p w:rsidR="00FD0DC7" w:rsidRDefault="00FD0DC7" w:rsidP="00FD0DC7">
      <w:pPr>
        <w:pStyle w:val="EntradandiceSentencia"/>
      </w:pPr>
      <w:r>
        <w:t>Sala Segunda. Sentencia 22/2015,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4538-2013. </w:t>
      </w:r>
      <w:r w:rsidRPr="00FD0DC7">
        <w:rPr>
          <w:rStyle w:val="TextoNormalCursivaCaracter"/>
        </w:rPr>
        <w:t xml:space="preserve"> Límites a la potestad tributaria de las Comunidades Autónomas: nulidad de los preceptos legales que gravan actividades sujetas al impuesto sobre actividades económicas sin finalidad extrafiscal (STC 179/2006).</w:t>
      </w:r>
      <w:r>
        <w:tab/>
      </w:r>
      <w:r>
        <w:tab/>
      </w:r>
      <w:r>
        <w:fldChar w:fldCharType="begin"/>
      </w:r>
      <w:r>
        <w:instrText xml:space="preserve"> PAGEREF SENTENCIA_2015_22 \h </w:instrText>
      </w:r>
      <w:r>
        <w:fldChar w:fldCharType="separate"/>
      </w:r>
      <w:r w:rsidR="00AA6B4A">
        <w:rPr>
          <w:noProof/>
        </w:rPr>
        <w:t>453</w:t>
      </w:r>
      <w:r>
        <w:fldChar w:fldCharType="end"/>
      </w:r>
    </w:p>
    <w:p w:rsidR="00FD0DC7" w:rsidRDefault="00FD0DC7" w:rsidP="00FD0DC7"/>
    <w:p w:rsidR="00FD0DC7" w:rsidRDefault="00FD0DC7" w:rsidP="00FD0DC7">
      <w:pPr>
        <w:pStyle w:val="EntradandiceSentencia"/>
      </w:pPr>
      <w:r>
        <w:t>Sala Primera. Sentencia 23/2015,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7512-2013. </w:t>
      </w:r>
      <w:r w:rsidRPr="00FD0DC7">
        <w:rPr>
          <w:rStyle w:val="TextoNormalCursivaCaracter"/>
        </w:rPr>
        <w:t xml:space="preserve"> Vulneración del derecho a ejercer las funciones representativas en condiciones de igualdad: inadmisión de iniciativas parlamentarias sin motivación (STC 40/2003).</w:t>
      </w:r>
      <w:r>
        <w:tab/>
      </w:r>
      <w:r>
        <w:tab/>
      </w:r>
      <w:r>
        <w:fldChar w:fldCharType="begin"/>
      </w:r>
      <w:r>
        <w:instrText xml:space="preserve"> PAGEREF SENTENCIA_2015_23 \h </w:instrText>
      </w:r>
      <w:r>
        <w:fldChar w:fldCharType="separate"/>
      </w:r>
      <w:r w:rsidR="00AA6B4A">
        <w:rPr>
          <w:noProof/>
        </w:rPr>
        <w:t>468</w:t>
      </w:r>
      <w:r>
        <w:fldChar w:fldCharType="end"/>
      </w:r>
    </w:p>
    <w:p w:rsidR="00FD0DC7" w:rsidRDefault="00FD0DC7" w:rsidP="00FD0DC7"/>
    <w:p w:rsidR="00FD0DC7" w:rsidRDefault="00FD0DC7" w:rsidP="00FD0DC7">
      <w:pPr>
        <w:pStyle w:val="EntradandiceSentencia"/>
      </w:pPr>
      <w:r>
        <w:t>Sala Segunda. Sentencia 24/2015, de 16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2126-2014. </w:t>
      </w:r>
      <w:r w:rsidRPr="00FD0DC7">
        <w:rPr>
          <w:rStyle w:val="TextoNormalCursivaCaracter"/>
        </w:rPr>
        <w:t xml:space="preserve"> Vulneración del derecho de reunión: prohibición de manifestaciones fundada en un supuesto ejercicio abusivo del derecho (STC 284/2005) y en el agotamiento del fin del derecho a manifestarse.</w:t>
      </w:r>
      <w:r>
        <w:tab/>
      </w:r>
      <w:r>
        <w:tab/>
      </w:r>
      <w:r>
        <w:fldChar w:fldCharType="begin"/>
      </w:r>
      <w:r>
        <w:instrText xml:space="preserve"> PAGEREF SENTENCIA_2015_24 \h </w:instrText>
      </w:r>
      <w:r>
        <w:fldChar w:fldCharType="separate"/>
      </w:r>
      <w:r w:rsidR="00AA6B4A">
        <w:rPr>
          <w:noProof/>
        </w:rPr>
        <w:t>490</w:t>
      </w:r>
      <w:r>
        <w:fldChar w:fldCharType="end"/>
      </w:r>
    </w:p>
    <w:p w:rsidR="00FD0DC7" w:rsidRDefault="00FD0DC7" w:rsidP="00FD0DC7"/>
    <w:p w:rsidR="00FD0DC7" w:rsidRDefault="00FD0DC7" w:rsidP="00FD0DC7">
      <w:pPr>
        <w:pStyle w:val="EntradandiceSentencia"/>
      </w:pPr>
      <w:r>
        <w:t>Pleno. Sentencia 25/2015, de 19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Conflicto positivo de competencia 3321-2008. </w:t>
      </w:r>
      <w:r w:rsidRPr="00FD0DC7">
        <w:rPr>
          <w:rStyle w:val="TextoNormalCursivaCaracter"/>
        </w:rPr>
        <w:t xml:space="preserve"> Competencias en materia de educación: nulidad del precepto reglamentario estatal que establece el carácter no territorializable de las becas de movilidad. Votos particulares.</w:t>
      </w:r>
      <w:r>
        <w:tab/>
      </w:r>
      <w:r>
        <w:tab/>
      </w:r>
      <w:r>
        <w:fldChar w:fldCharType="begin"/>
      </w:r>
      <w:r>
        <w:instrText xml:space="preserve"> PAGEREF SENTENCIA_2015_25 \h </w:instrText>
      </w:r>
      <w:r>
        <w:fldChar w:fldCharType="separate"/>
      </w:r>
      <w:r w:rsidR="00AA6B4A">
        <w:rPr>
          <w:noProof/>
        </w:rPr>
        <w:t>504</w:t>
      </w:r>
      <w:r>
        <w:fldChar w:fldCharType="end"/>
      </w:r>
    </w:p>
    <w:p w:rsidR="00FD0DC7" w:rsidRDefault="00FD0DC7" w:rsidP="00FD0DC7"/>
    <w:p w:rsidR="00FD0DC7" w:rsidRDefault="00FD0DC7" w:rsidP="00FD0DC7">
      <w:pPr>
        <w:pStyle w:val="EntradandiceSentencia"/>
      </w:pPr>
      <w:r>
        <w:t>Pleno. Sentencia 26/2015, de 19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1808-2013. </w:t>
      </w:r>
      <w:r w:rsidRPr="00FD0DC7">
        <w:rPr>
          <w:rStyle w:val="TextoNormalCursivaCaracter"/>
        </w:rPr>
        <w:t xml:space="preserve"> Competencias financieras, finalidad recaudatoria de los tributos y compensación por ocupación del hecho imponible: constitucionalidad del precepto legal estatal que regula el impuesto sobre los depósitos en las entidades de crédito. Voto particular.</w:t>
      </w:r>
      <w:r>
        <w:tab/>
      </w:r>
      <w:r>
        <w:tab/>
      </w:r>
      <w:r>
        <w:fldChar w:fldCharType="begin"/>
      </w:r>
      <w:r>
        <w:instrText xml:space="preserve"> PAGEREF SENTENCIA_2015_26 \h </w:instrText>
      </w:r>
      <w:r>
        <w:fldChar w:fldCharType="separate"/>
      </w:r>
      <w:r w:rsidR="00AA6B4A">
        <w:rPr>
          <w:noProof/>
        </w:rPr>
        <w:t>534</w:t>
      </w:r>
      <w:r>
        <w:fldChar w:fldCharType="end"/>
      </w:r>
    </w:p>
    <w:p w:rsidR="00FD0DC7" w:rsidRDefault="00FD0DC7" w:rsidP="00FD0DC7"/>
    <w:p w:rsidR="00FD0DC7" w:rsidRDefault="00FD0DC7" w:rsidP="00FD0DC7">
      <w:pPr>
        <w:pStyle w:val="EntradandiceSentencia"/>
      </w:pPr>
      <w:r>
        <w:t>Pleno. Sentencia 27/2015, de 19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6368-2013. </w:t>
      </w:r>
      <w:r w:rsidRPr="00FD0DC7">
        <w:rPr>
          <w:rStyle w:val="TextoNormalCursivaCaracter"/>
        </w:rPr>
        <w:t xml:space="preserve"> Competencias en materia laboral y límites a los decretos leyes: nulidad por falta de acreditación de la concurrencia del presupuesto habilitante para abordar la reforma urgente de algunas de las obligaciones de los beneficiarios de las prestaciones por desempleo y de la competencia para sancionar el incumplimiento del deber de mantener la inscripción como demandantes de empleo.</w:t>
      </w:r>
      <w:r>
        <w:tab/>
      </w:r>
      <w:r>
        <w:tab/>
      </w:r>
      <w:r>
        <w:fldChar w:fldCharType="begin"/>
      </w:r>
      <w:r>
        <w:instrText xml:space="preserve"> PAGEREF SENTENCIA_2015_27 \h </w:instrText>
      </w:r>
      <w:r>
        <w:fldChar w:fldCharType="separate"/>
      </w:r>
      <w:r w:rsidR="00AA6B4A">
        <w:rPr>
          <w:noProof/>
        </w:rPr>
        <w:t>555</w:t>
      </w:r>
      <w:r>
        <w:fldChar w:fldCharType="end"/>
      </w:r>
    </w:p>
    <w:p w:rsidR="00FD0DC7" w:rsidRDefault="00FD0DC7" w:rsidP="00FD0DC7"/>
    <w:p w:rsidR="00FD0DC7" w:rsidRDefault="00FD0DC7" w:rsidP="00FD0DC7">
      <w:pPr>
        <w:pStyle w:val="EntradandiceSentencia"/>
      </w:pPr>
      <w:r>
        <w:t>Pleno. Sentencia 28/2015, de 19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6412-2013. </w:t>
      </w:r>
      <w:r w:rsidRPr="00FD0DC7">
        <w:rPr>
          <w:rStyle w:val="TextoNormalCursivaCaracter"/>
        </w:rPr>
        <w:t xml:space="preserve"> Límites a los decretos leyes: acreditación de la concurrencia del presupuesto habilitante para la regulación legal urgente del impuesto sobre el valor de la producción de la energía eléctrica (STC 183/2014).</w:t>
      </w:r>
      <w:r>
        <w:tab/>
      </w:r>
      <w:r>
        <w:tab/>
      </w:r>
      <w:r>
        <w:fldChar w:fldCharType="begin"/>
      </w:r>
      <w:r>
        <w:instrText xml:space="preserve"> PAGEREF SENTENCIA_2015_28 \h </w:instrText>
      </w:r>
      <w:r>
        <w:fldChar w:fldCharType="separate"/>
      </w:r>
      <w:r w:rsidR="00AA6B4A">
        <w:rPr>
          <w:noProof/>
        </w:rPr>
        <w:t>574</w:t>
      </w:r>
      <w:r>
        <w:fldChar w:fldCharType="end"/>
      </w:r>
    </w:p>
    <w:p w:rsidR="00FD0DC7" w:rsidRDefault="00FD0DC7" w:rsidP="00FD0DC7"/>
    <w:p w:rsidR="00FD0DC7" w:rsidRDefault="00FD0DC7" w:rsidP="00FD0DC7">
      <w:pPr>
        <w:pStyle w:val="EntradandiceSentencia"/>
      </w:pPr>
      <w:r>
        <w:t>Pleno. Sentencia 29/2015, de 19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1772-2014. </w:t>
      </w:r>
      <w:r w:rsidRPr="00FD0DC7">
        <w:rPr>
          <w:rStyle w:val="TextoNormalCursivaCaracter"/>
        </w:rPr>
        <w:t xml:space="preserve"> Límites a los decretos leyes: falta de acreditación del presupuesto habilitante para aprobar con carácter urgente el precepto legal que enumera los supuestos en los que se requiere acto expreso de conformidad, aprobación o autorización administrativa en materia de ordenación territorial y urbanística.</w:t>
      </w:r>
      <w:r>
        <w:tab/>
      </w:r>
      <w:r>
        <w:tab/>
      </w:r>
      <w:r>
        <w:fldChar w:fldCharType="begin"/>
      </w:r>
      <w:r>
        <w:instrText xml:space="preserve"> PAGEREF SENTENCIA_2015_29 \h </w:instrText>
      </w:r>
      <w:r>
        <w:fldChar w:fldCharType="separate"/>
      </w:r>
      <w:r w:rsidR="00AA6B4A">
        <w:rPr>
          <w:noProof/>
        </w:rPr>
        <w:t>584</w:t>
      </w:r>
      <w:r>
        <w:fldChar w:fldCharType="end"/>
      </w:r>
    </w:p>
    <w:p w:rsidR="00FD0DC7" w:rsidRDefault="00FD0DC7" w:rsidP="00FD0DC7"/>
    <w:p w:rsidR="00FD0DC7" w:rsidRDefault="00FD0DC7" w:rsidP="00FD0DC7">
      <w:pPr>
        <w:pStyle w:val="EntradandiceSentencia"/>
      </w:pPr>
      <w:r>
        <w:t>Pleno. Sentencia 30/2015, de 19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5832-2014. </w:t>
      </w:r>
      <w:r w:rsidRPr="00FD0DC7">
        <w:rPr>
          <w:rStyle w:val="TextoNormalCursivaCaracter"/>
        </w:rPr>
        <w:t xml:space="preserve"> Límites a la potestad tributaria de las Comunidades Autónomas: nulidad del precepto legal que regula el impuesto sobre los depósitos en las entidades de crédito (STC 26/2015). Voto particular.</w:t>
      </w:r>
      <w:r>
        <w:tab/>
      </w:r>
      <w:r>
        <w:tab/>
      </w:r>
      <w:r>
        <w:fldChar w:fldCharType="begin"/>
      </w:r>
      <w:r>
        <w:instrText xml:space="preserve"> PAGEREF SENTENCIA_2015_30 \h </w:instrText>
      </w:r>
      <w:r>
        <w:fldChar w:fldCharType="separate"/>
      </w:r>
      <w:r w:rsidR="00AA6B4A">
        <w:rPr>
          <w:noProof/>
        </w:rPr>
        <w:t>597</w:t>
      </w:r>
      <w:r>
        <w:fldChar w:fldCharType="end"/>
      </w:r>
    </w:p>
    <w:p w:rsidR="00FD0DC7" w:rsidRDefault="00FD0DC7" w:rsidP="00FD0DC7"/>
    <w:p w:rsidR="00FD0DC7" w:rsidRDefault="00FD0DC7" w:rsidP="00FD0DC7">
      <w:pPr>
        <w:pStyle w:val="EntradandiceSentencia"/>
      </w:pPr>
      <w:r>
        <w:t>Pleno. Sentencia 31/2015, de 25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5829-2014. </w:t>
      </w:r>
      <w:r w:rsidRPr="00FD0DC7">
        <w:rPr>
          <w:rStyle w:val="TextoNormalCursivaCaracter"/>
        </w:rPr>
        <w:t xml:space="preserve"> Competencias sobre consultas referendarias: nulidad de los preceptos legales autonómicos relativos a las consultas referendarias generales.</w:t>
      </w:r>
      <w:r>
        <w:tab/>
      </w:r>
      <w:r>
        <w:tab/>
      </w:r>
      <w:r>
        <w:fldChar w:fldCharType="begin"/>
      </w:r>
      <w:r>
        <w:instrText xml:space="preserve"> PAGEREF SENTENCIA_2015_31 \h </w:instrText>
      </w:r>
      <w:r>
        <w:fldChar w:fldCharType="separate"/>
      </w:r>
      <w:r w:rsidR="00AA6B4A">
        <w:rPr>
          <w:noProof/>
        </w:rPr>
        <w:t>613</w:t>
      </w:r>
      <w:r>
        <w:fldChar w:fldCharType="end"/>
      </w:r>
    </w:p>
    <w:p w:rsidR="00FD0DC7" w:rsidRDefault="00FD0DC7" w:rsidP="00FD0DC7"/>
    <w:p w:rsidR="00FD0DC7" w:rsidRDefault="00FD0DC7" w:rsidP="00FD0DC7">
      <w:pPr>
        <w:pStyle w:val="EntradandiceSentencia"/>
      </w:pPr>
      <w:r>
        <w:t>Pleno. Sentencia 32/2015, de 25 de febrero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Impugnación de disposiciones autonómicas 5830-2014. </w:t>
      </w:r>
      <w:r w:rsidRPr="00FD0DC7">
        <w:rPr>
          <w:rStyle w:val="TextoNormalCursivaCaracter"/>
        </w:rPr>
        <w:t xml:space="preserve"> Competencias sobre consultas referendarias: nulidad del Decreto autonómico que convoca una consulta referendaria general (STC 31/2015).</w:t>
      </w:r>
      <w:r>
        <w:tab/>
      </w:r>
      <w:r>
        <w:tab/>
      </w:r>
      <w:r>
        <w:fldChar w:fldCharType="begin"/>
      </w:r>
      <w:r>
        <w:instrText xml:space="preserve"> PAGEREF SENTENCIA_2015_32 \h </w:instrText>
      </w:r>
      <w:r>
        <w:fldChar w:fldCharType="separate"/>
      </w:r>
      <w:r w:rsidR="00AA6B4A">
        <w:rPr>
          <w:noProof/>
        </w:rPr>
        <w:t>644</w:t>
      </w:r>
      <w:r>
        <w:fldChar w:fldCharType="end"/>
      </w:r>
    </w:p>
    <w:p w:rsidR="00FD0DC7" w:rsidRDefault="00FD0DC7" w:rsidP="00FD0DC7"/>
    <w:p w:rsidR="00FD0DC7" w:rsidRDefault="00FD0DC7" w:rsidP="00FD0DC7">
      <w:pPr>
        <w:pStyle w:val="EntradandiceSentencia"/>
      </w:pPr>
      <w:r>
        <w:t>Sala Segunda. Sentencia 33/2015,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686-2012. </w:t>
      </w:r>
      <w:r w:rsidRPr="00FD0DC7">
        <w:rPr>
          <w:rStyle w:val="TextoNormalCursivaCaracter"/>
        </w:rPr>
        <w:t xml:space="preserve"> Supuesta vulneración de los derechos a la tutela judicial efectiva, a un proceso con todas las garantías y a la presunción de inocencia: valor de las declaraciones autoinculpatorias prestadas en diligencias policiales (STC 165/2014).</w:t>
      </w:r>
      <w:r>
        <w:tab/>
      </w:r>
      <w:r>
        <w:tab/>
      </w:r>
      <w:r>
        <w:fldChar w:fldCharType="begin"/>
      </w:r>
      <w:r>
        <w:instrText xml:space="preserve"> PAGEREF SENTENCIA_2015_33 \h </w:instrText>
      </w:r>
      <w:r>
        <w:fldChar w:fldCharType="separate"/>
      </w:r>
      <w:r w:rsidR="00AA6B4A">
        <w:rPr>
          <w:noProof/>
        </w:rPr>
        <w:t>662</w:t>
      </w:r>
      <w:r>
        <w:fldChar w:fldCharType="end"/>
      </w:r>
    </w:p>
    <w:p w:rsidR="00FD0DC7" w:rsidRDefault="00FD0DC7" w:rsidP="00FD0DC7"/>
    <w:p w:rsidR="00FD0DC7" w:rsidRDefault="00FD0DC7" w:rsidP="00FD0DC7">
      <w:pPr>
        <w:pStyle w:val="EntradandiceSentencia"/>
      </w:pPr>
      <w:r>
        <w:t>Sala Primera. Sentencia 34/2015,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1716-2012. </w:t>
      </w:r>
      <w:r w:rsidRPr="00FD0DC7">
        <w:rPr>
          <w:rStyle w:val="TextoNormalCursivaCaracter"/>
        </w:rPr>
        <w:t xml:space="preserve"> 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SENTENCIA_2015_34 \h </w:instrText>
      </w:r>
      <w:r>
        <w:fldChar w:fldCharType="separate"/>
      </w:r>
      <w:r w:rsidR="00AA6B4A">
        <w:rPr>
          <w:noProof/>
        </w:rPr>
        <w:t>679</w:t>
      </w:r>
      <w:r>
        <w:fldChar w:fldCharType="end"/>
      </w:r>
    </w:p>
    <w:p w:rsidR="00FD0DC7" w:rsidRDefault="00FD0DC7" w:rsidP="00FD0DC7"/>
    <w:p w:rsidR="00FD0DC7" w:rsidRDefault="00FD0DC7" w:rsidP="00FD0DC7">
      <w:pPr>
        <w:pStyle w:val="EntradandiceSentencia"/>
      </w:pPr>
      <w:r>
        <w:t>Sala Primera. Sentencia 35/2015,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2605-2012. </w:t>
      </w:r>
      <w:r w:rsidRPr="00FD0DC7">
        <w:rPr>
          <w:rStyle w:val="TextoNormalCursivaCaracter"/>
        </w:rPr>
        <w:t xml:space="preserve"> 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SENTENCIA_2015_35 \h </w:instrText>
      </w:r>
      <w:r>
        <w:fldChar w:fldCharType="separate"/>
      </w:r>
      <w:r w:rsidR="00AA6B4A">
        <w:rPr>
          <w:noProof/>
        </w:rPr>
        <w:t>688</w:t>
      </w:r>
      <w:r>
        <w:fldChar w:fldCharType="end"/>
      </w:r>
    </w:p>
    <w:p w:rsidR="00FD0DC7" w:rsidRDefault="00FD0DC7" w:rsidP="00FD0DC7"/>
    <w:p w:rsidR="00FD0DC7" w:rsidRDefault="00FD0DC7" w:rsidP="00FD0DC7">
      <w:pPr>
        <w:pStyle w:val="EntradandiceSentencia"/>
      </w:pPr>
      <w:r>
        <w:t>Sala Primera. Sentencia 36/2015,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2860-2012. </w:t>
      </w:r>
      <w:r w:rsidRPr="00FD0DC7">
        <w:rPr>
          <w:rStyle w:val="TextoNormalCursivaCaracter"/>
        </w:rPr>
        <w:t xml:space="preserve"> 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SENTENCIA_2015_36 \h </w:instrText>
      </w:r>
      <w:r>
        <w:fldChar w:fldCharType="separate"/>
      </w:r>
      <w:r w:rsidR="00AA6B4A">
        <w:rPr>
          <w:noProof/>
        </w:rPr>
        <w:t>700</w:t>
      </w:r>
      <w:r>
        <w:fldChar w:fldCharType="end"/>
      </w:r>
    </w:p>
    <w:p w:rsidR="00FD0DC7" w:rsidRDefault="00FD0DC7" w:rsidP="00FD0DC7"/>
    <w:p w:rsidR="00FD0DC7" w:rsidRDefault="00FD0DC7" w:rsidP="00FD0DC7">
      <w:pPr>
        <w:pStyle w:val="EntradandiceSentencia"/>
      </w:pPr>
      <w:r>
        <w:t>Sala Primera. Sentencia 37/2015,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3176-2012. </w:t>
      </w:r>
      <w:r w:rsidRPr="00FD0DC7">
        <w:rPr>
          <w:rStyle w:val="TextoNormalCursivaCaracter"/>
        </w:rPr>
        <w:t xml:space="preserve"> 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r>
        <w:tab/>
      </w:r>
      <w:r>
        <w:tab/>
      </w:r>
      <w:r>
        <w:fldChar w:fldCharType="begin"/>
      </w:r>
      <w:r>
        <w:instrText xml:space="preserve"> PAGEREF SENTENCIA_2015_37 \h </w:instrText>
      </w:r>
      <w:r>
        <w:fldChar w:fldCharType="separate"/>
      </w:r>
      <w:r w:rsidR="00AA6B4A">
        <w:rPr>
          <w:noProof/>
        </w:rPr>
        <w:t>710</w:t>
      </w:r>
      <w:r>
        <w:fldChar w:fldCharType="end"/>
      </w:r>
    </w:p>
    <w:p w:rsidR="00FD0DC7" w:rsidRDefault="00FD0DC7" w:rsidP="00FD0DC7"/>
    <w:p w:rsidR="00FD0DC7" w:rsidRDefault="00FD0DC7" w:rsidP="00FD0DC7">
      <w:pPr>
        <w:pStyle w:val="EntradandiceSentencia"/>
      </w:pPr>
      <w:r>
        <w:t>Sala Segunda. Sentencia 38/2015,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3315-2012. </w:t>
      </w:r>
      <w:r w:rsidRPr="00FD0DC7">
        <w:rPr>
          <w:rStyle w:val="TextoNormalCursivaCaracter"/>
        </w:rPr>
        <w:t xml:space="preserve"> 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w:t>
      </w:r>
      <w:r>
        <w:tab/>
      </w:r>
      <w:r>
        <w:tab/>
      </w:r>
      <w:r>
        <w:fldChar w:fldCharType="begin"/>
      </w:r>
      <w:r>
        <w:instrText xml:space="preserve"> PAGEREF SENTENCIA_2015_38 \h </w:instrText>
      </w:r>
      <w:r>
        <w:fldChar w:fldCharType="separate"/>
      </w:r>
      <w:r w:rsidR="00AA6B4A">
        <w:rPr>
          <w:noProof/>
        </w:rPr>
        <w:t>721</w:t>
      </w:r>
      <w:r>
        <w:fldChar w:fldCharType="end"/>
      </w:r>
    </w:p>
    <w:p w:rsidR="00FD0DC7" w:rsidRDefault="00FD0DC7" w:rsidP="00FD0DC7"/>
    <w:p w:rsidR="00FD0DC7" w:rsidRDefault="00FD0DC7" w:rsidP="00FD0DC7">
      <w:pPr>
        <w:pStyle w:val="EntradandiceSentencia"/>
      </w:pPr>
      <w:r>
        <w:t>Sala Segunda. Sentencia 39/2015,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4219-2012. </w:t>
      </w:r>
      <w:r w:rsidRPr="00FD0DC7">
        <w:rPr>
          <w:rStyle w:val="TextoNormalCursivaCaracter"/>
        </w:rPr>
        <w:t xml:space="preserve"> Vulneración del derecho a la tutela judicial efectiva (acceso a la justicia): resolución judicial que no examina una premisa lógica del proceso racional de formación de la decisión, sino que remite a la parte demandante a un proceso posterior.</w:t>
      </w:r>
      <w:r>
        <w:tab/>
      </w:r>
      <w:r>
        <w:tab/>
      </w:r>
      <w:r>
        <w:fldChar w:fldCharType="begin"/>
      </w:r>
      <w:r>
        <w:instrText xml:space="preserve"> PAGEREF SENTENCIA_2015_39 \h </w:instrText>
      </w:r>
      <w:r>
        <w:fldChar w:fldCharType="separate"/>
      </w:r>
      <w:r w:rsidR="00AA6B4A">
        <w:rPr>
          <w:noProof/>
        </w:rPr>
        <w:t>730</w:t>
      </w:r>
      <w:r>
        <w:fldChar w:fldCharType="end"/>
      </w:r>
    </w:p>
    <w:p w:rsidR="00FD0DC7" w:rsidRDefault="00FD0DC7" w:rsidP="00FD0DC7"/>
    <w:p w:rsidR="00FD0DC7" w:rsidRDefault="00FD0DC7" w:rsidP="00FD0DC7">
      <w:pPr>
        <w:pStyle w:val="EntradandiceSentencia"/>
      </w:pPr>
      <w:r>
        <w:t>Sala Primera. Sentencia 40/2015,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5280-2012. </w:t>
      </w:r>
      <w:r w:rsidRPr="00FD0DC7">
        <w:rPr>
          <w:rStyle w:val="TextoNormalCursivaCaracter"/>
        </w:rPr>
        <w:t xml:space="preserve"> 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SENTENCIA_2015_40 \h </w:instrText>
      </w:r>
      <w:r>
        <w:fldChar w:fldCharType="separate"/>
      </w:r>
      <w:r w:rsidR="00AA6B4A">
        <w:rPr>
          <w:noProof/>
        </w:rPr>
        <w:t>744</w:t>
      </w:r>
      <w:r>
        <w:fldChar w:fldCharType="end"/>
      </w:r>
    </w:p>
    <w:p w:rsidR="00FD0DC7" w:rsidRDefault="00FD0DC7" w:rsidP="00FD0DC7"/>
    <w:p w:rsidR="00FD0DC7" w:rsidRDefault="00FD0DC7" w:rsidP="00FD0DC7">
      <w:pPr>
        <w:pStyle w:val="EntradandiceSentencia"/>
      </w:pPr>
      <w:r>
        <w:t>Sala Primera. Sentencia 41/2015,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2285-2013. </w:t>
      </w:r>
      <w:r w:rsidRPr="00FD0DC7">
        <w:rPr>
          <w:rStyle w:val="TextoNormalCursivaCaracter"/>
        </w:rPr>
        <w:t xml:space="preserve"> Discriminación por razón de edad: inconstitucionalidad del precepto legal que impide participar en los procedimientos de instalación de nuevas oficinas de farmacia a los farmacéuticos mayores de sesenta y cinco años (STC 63/2011).</w:t>
      </w:r>
      <w:r>
        <w:tab/>
      </w:r>
      <w:r>
        <w:tab/>
      </w:r>
      <w:r>
        <w:fldChar w:fldCharType="begin"/>
      </w:r>
      <w:r>
        <w:instrText xml:space="preserve"> PAGEREF SENTENCIA_2015_41 \h </w:instrText>
      </w:r>
      <w:r>
        <w:fldChar w:fldCharType="separate"/>
      </w:r>
      <w:r w:rsidR="00AA6B4A">
        <w:rPr>
          <w:noProof/>
        </w:rPr>
        <w:t>760</w:t>
      </w:r>
      <w:r>
        <w:fldChar w:fldCharType="end"/>
      </w:r>
    </w:p>
    <w:p w:rsidR="00FD0DC7" w:rsidRDefault="00FD0DC7" w:rsidP="00FD0DC7"/>
    <w:p w:rsidR="00FD0DC7" w:rsidRDefault="00FD0DC7" w:rsidP="00FD0DC7">
      <w:pPr>
        <w:pStyle w:val="EntradandiceSentencia"/>
      </w:pPr>
      <w:r>
        <w:t>Sala Segunda. Sentencia 42/2015,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3188-2013. </w:t>
      </w:r>
      <w:r w:rsidRPr="00FD0DC7">
        <w:rPr>
          <w:rStyle w:val="TextoNormalCursivaCaracter"/>
        </w:rPr>
        <w:t xml:space="preserve"> Vulneración del derecho a la libertad personal: inadmisión de una petición de habeas corpus por razones de fondo (STC 35/2008).</w:t>
      </w:r>
      <w:r>
        <w:tab/>
      </w:r>
      <w:r>
        <w:tab/>
      </w:r>
      <w:r>
        <w:fldChar w:fldCharType="begin"/>
      </w:r>
      <w:r>
        <w:instrText xml:space="preserve"> PAGEREF SENTENCIA_2015_42 \h </w:instrText>
      </w:r>
      <w:r>
        <w:fldChar w:fldCharType="separate"/>
      </w:r>
      <w:r w:rsidR="00AA6B4A">
        <w:rPr>
          <w:noProof/>
        </w:rPr>
        <w:t>767</w:t>
      </w:r>
      <w:r>
        <w:fldChar w:fldCharType="end"/>
      </w:r>
    </w:p>
    <w:p w:rsidR="00FD0DC7" w:rsidRDefault="00FD0DC7" w:rsidP="00FD0DC7"/>
    <w:p w:rsidR="00FD0DC7" w:rsidRDefault="00FD0DC7" w:rsidP="00FD0DC7">
      <w:pPr>
        <w:pStyle w:val="EntradandiceSentencia"/>
      </w:pPr>
      <w:r>
        <w:t>Sala Segunda. Sentencia 43/2015, de 2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1591-2014. </w:t>
      </w:r>
      <w:r w:rsidRPr="00FD0DC7">
        <w:rPr>
          <w:rStyle w:val="TextoNormalCursivaCaracter"/>
        </w:rPr>
        <w:t xml:space="preserve"> Competencias sobre urbanismo: inadmisión parcial y pérdida sobrevenida de objeto de la cuestión de inconstitucionalidad (STC 141/2014); constitucionalidad del precepto legal que excluye la valoración de expectativas derivadas de la asignación de edificabilidades y usos por la ordenación territorial y urbanística aún no realizados.</w:t>
      </w:r>
      <w:r>
        <w:tab/>
      </w:r>
      <w:r>
        <w:tab/>
      </w:r>
      <w:r>
        <w:fldChar w:fldCharType="begin"/>
      </w:r>
      <w:r>
        <w:instrText xml:space="preserve"> PAGEREF SENTENCIA_2015_43 \h </w:instrText>
      </w:r>
      <w:r>
        <w:fldChar w:fldCharType="separate"/>
      </w:r>
      <w:r w:rsidR="00AA6B4A">
        <w:rPr>
          <w:noProof/>
        </w:rPr>
        <w:t>774</w:t>
      </w:r>
      <w:r>
        <w:fldChar w:fldCharType="end"/>
      </w:r>
    </w:p>
    <w:p w:rsidR="00FD0DC7" w:rsidRDefault="00FD0DC7" w:rsidP="00FD0DC7"/>
    <w:p w:rsidR="00FD0DC7" w:rsidRDefault="00FD0DC7" w:rsidP="00FD0DC7">
      <w:pPr>
        <w:pStyle w:val="EntradandiceSentencia"/>
      </w:pPr>
      <w:r>
        <w:t>Pleno. Sentencia 44/2015, de 5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1955-2005. </w:t>
      </w:r>
      <w:r w:rsidRPr="00FD0DC7">
        <w:rPr>
          <w:rStyle w:val="TextoNormalCursivaCaracter"/>
        </w:rPr>
        <w:t xml:space="preserve"> Límites materiales de las leyes de presupuestos: nulidad del precepto de la Ley de presupuestos que limita la autonomía de las Cámaras legislativas al regular el procedimiento de determinación del objetivo de estabilidad presupuestaria.</w:t>
      </w:r>
      <w:r>
        <w:tab/>
      </w:r>
      <w:r>
        <w:tab/>
      </w:r>
      <w:r>
        <w:fldChar w:fldCharType="begin"/>
      </w:r>
      <w:r>
        <w:instrText xml:space="preserve"> PAGEREF SENTENCIA_2015_44 \h </w:instrText>
      </w:r>
      <w:r>
        <w:fldChar w:fldCharType="separate"/>
      </w:r>
      <w:r w:rsidR="00AA6B4A">
        <w:rPr>
          <w:noProof/>
        </w:rPr>
        <w:t>790</w:t>
      </w:r>
      <w:r>
        <w:fldChar w:fldCharType="end"/>
      </w:r>
    </w:p>
    <w:p w:rsidR="00FD0DC7" w:rsidRDefault="00FD0DC7" w:rsidP="00FD0DC7"/>
    <w:p w:rsidR="00FD0DC7" w:rsidRDefault="00FD0DC7" w:rsidP="00FD0DC7">
      <w:pPr>
        <w:pStyle w:val="EntradandiceSentencia"/>
      </w:pPr>
      <w:r>
        <w:t>Pleno. Sentencia 45/2015, de 5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Conflicto positivo de competencia 7869-2009. </w:t>
      </w:r>
      <w:r w:rsidRPr="00FD0DC7">
        <w:rPr>
          <w:rStyle w:val="TextoNormalCursivaCaracter"/>
        </w:rPr>
        <w:t xml:space="preserve"> Competencias sobre minas y medio ambiente: adecuado ejercicio de las competencias básicas estatales.</w:t>
      </w:r>
      <w:r>
        <w:tab/>
      </w:r>
      <w:r>
        <w:tab/>
      </w:r>
      <w:r>
        <w:fldChar w:fldCharType="begin"/>
      </w:r>
      <w:r>
        <w:instrText xml:space="preserve"> PAGEREF SENTENCIA_2015_45 \h </w:instrText>
      </w:r>
      <w:r>
        <w:fldChar w:fldCharType="separate"/>
      </w:r>
      <w:r w:rsidR="00AA6B4A">
        <w:rPr>
          <w:noProof/>
        </w:rPr>
        <w:t>826</w:t>
      </w:r>
      <w:r>
        <w:fldChar w:fldCharType="end"/>
      </w:r>
    </w:p>
    <w:p w:rsidR="00FD0DC7" w:rsidRDefault="00FD0DC7" w:rsidP="00FD0DC7"/>
    <w:p w:rsidR="00FD0DC7" w:rsidRDefault="00FD0DC7" w:rsidP="00FD0DC7">
      <w:pPr>
        <w:pStyle w:val="EntradandiceSentencia"/>
      </w:pPr>
      <w:r>
        <w:t>Pleno. Sentencia 46/2015, de 5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2502-2010. </w:t>
      </w:r>
      <w:r w:rsidRPr="00FD0DC7">
        <w:rPr>
          <w:rStyle w:val="TextoNormalCursivaCaracter"/>
        </w:rPr>
        <w:t xml:space="preserve"> Potestades del Síndic de Greuges: interpretación conforme de los preceptos que definen las funciones de protección y garantía de los derechos constitucionales y estatutarios (STC 31/2010); nulidad de los preceptos legales autonómicos que atribuyen al Síndic de Greuges la condición de autoridad catalana para la prevención de la tortura y de otros tratos o penas crueles, inhumanos o degradantes.</w:t>
      </w:r>
      <w:r>
        <w:tab/>
      </w:r>
      <w:r>
        <w:tab/>
      </w:r>
      <w:r>
        <w:fldChar w:fldCharType="begin"/>
      </w:r>
      <w:r>
        <w:instrText xml:space="preserve"> PAGEREF SENTENCIA_2015_46 \h </w:instrText>
      </w:r>
      <w:r>
        <w:fldChar w:fldCharType="separate"/>
      </w:r>
      <w:r w:rsidR="00AA6B4A">
        <w:rPr>
          <w:noProof/>
        </w:rPr>
        <w:t>858</w:t>
      </w:r>
      <w:r>
        <w:fldChar w:fldCharType="end"/>
      </w:r>
    </w:p>
    <w:p w:rsidR="00FD0DC7" w:rsidRDefault="00FD0DC7" w:rsidP="00FD0DC7"/>
    <w:p w:rsidR="00FD0DC7" w:rsidRDefault="00FD0DC7" w:rsidP="00FD0DC7">
      <w:pPr>
        <w:pStyle w:val="EntradandiceSentencia"/>
      </w:pPr>
      <w:r>
        <w:t>Pleno. Sentencia 47/2015, de 5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2856-2011. </w:t>
      </w:r>
      <w:r w:rsidRPr="00FD0DC7">
        <w:rPr>
          <w:rStyle w:val="TextoNormalCursivaCaracter"/>
        </w:rPr>
        <w:t xml:space="preserve"> Principios de seguridad jurídica, interdicción de la arbitrariedad e igualdad; límites a los decretos-leyes: constitucionalidad de los preceptos legales dictados al amparo de las competencias estatales sobre bases de ordenación del crédito, banca y seguros, acreditación de la concurrencia del presupuesto habilitante para la regulación urgente.</w:t>
      </w:r>
      <w:r>
        <w:tab/>
      </w:r>
      <w:r>
        <w:tab/>
      </w:r>
      <w:r>
        <w:fldChar w:fldCharType="begin"/>
      </w:r>
      <w:r>
        <w:instrText xml:space="preserve"> PAGEREF SENTENCIA_2015_47 \h </w:instrText>
      </w:r>
      <w:r>
        <w:fldChar w:fldCharType="separate"/>
      </w:r>
      <w:r w:rsidR="00AA6B4A">
        <w:rPr>
          <w:noProof/>
        </w:rPr>
        <w:t>879</w:t>
      </w:r>
      <w:r>
        <w:fldChar w:fldCharType="end"/>
      </w:r>
    </w:p>
    <w:p w:rsidR="00FD0DC7" w:rsidRDefault="00FD0DC7" w:rsidP="00FD0DC7"/>
    <w:p w:rsidR="00FD0DC7" w:rsidRDefault="00FD0DC7" w:rsidP="00FD0DC7">
      <w:pPr>
        <w:pStyle w:val="EntradandiceSentencia"/>
      </w:pPr>
      <w:r>
        <w:t>Pleno. Sentencia 48/2015, de 5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6045-2012. </w:t>
      </w:r>
      <w:r w:rsidRPr="00FD0DC7">
        <w:rPr>
          <w:rStyle w:val="TextoNormalCursivaCaracter"/>
        </w:rPr>
        <w:t xml:space="preserve"> Principio de seguridad jurídica y límites a los decretos-leyes: acreditación de la concurrencia del presupuesto habilitante y de la conexión de sentido para la reforma de las medidas de fomento de la producción de energías renovables. Voto particular.</w:t>
      </w:r>
      <w:r>
        <w:tab/>
      </w:r>
      <w:r>
        <w:tab/>
      </w:r>
      <w:r>
        <w:fldChar w:fldCharType="begin"/>
      </w:r>
      <w:r>
        <w:instrText xml:space="preserve"> PAGEREF SENTENCIA_2015_48 \h </w:instrText>
      </w:r>
      <w:r>
        <w:fldChar w:fldCharType="separate"/>
      </w:r>
      <w:r w:rsidR="00AA6B4A">
        <w:rPr>
          <w:noProof/>
        </w:rPr>
        <w:t>900</w:t>
      </w:r>
      <w:r>
        <w:fldChar w:fldCharType="end"/>
      </w:r>
    </w:p>
    <w:p w:rsidR="00FD0DC7" w:rsidRDefault="00FD0DC7" w:rsidP="00FD0DC7"/>
    <w:p w:rsidR="00FD0DC7" w:rsidRDefault="00FD0DC7" w:rsidP="00FD0DC7">
      <w:pPr>
        <w:pStyle w:val="EntradandiceSentencia"/>
      </w:pPr>
      <w:r>
        <w:t>Pleno. Sentencia 49/2015, de 5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1114-2013. </w:t>
      </w:r>
      <w:r w:rsidRPr="00FD0DC7">
        <w:rPr>
          <w:rStyle w:val="TextoNormalCursivaCaracter"/>
        </w:rPr>
        <w:t xml:space="preserve"> Principio de irretroactividad de las normas restrictivas de derechos individuales, expropiación de derechos y pensiones adecuadas y actualizadas: constitucionalidad del precepto sobre actualización y revalorización de pensiones. Voto particular.</w:t>
      </w:r>
      <w:r>
        <w:tab/>
      </w:r>
      <w:r>
        <w:tab/>
      </w:r>
      <w:r>
        <w:fldChar w:fldCharType="begin"/>
      </w:r>
      <w:r>
        <w:instrText xml:space="preserve"> PAGEREF SENTENCIA_2015_49 \h </w:instrText>
      </w:r>
      <w:r>
        <w:fldChar w:fldCharType="separate"/>
      </w:r>
      <w:r w:rsidR="00AA6B4A">
        <w:rPr>
          <w:noProof/>
        </w:rPr>
        <w:t>923</w:t>
      </w:r>
      <w:r>
        <w:fldChar w:fldCharType="end"/>
      </w:r>
    </w:p>
    <w:p w:rsidR="00FD0DC7" w:rsidRDefault="00FD0DC7" w:rsidP="00FD0DC7"/>
    <w:p w:rsidR="00FD0DC7" w:rsidRDefault="00FD0DC7" w:rsidP="00FD0DC7">
      <w:pPr>
        <w:pStyle w:val="EntradandiceSentencia"/>
      </w:pPr>
      <w:r>
        <w:t>Pleno. Sentencia 50/2015, de 5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1549-2014. </w:t>
      </w:r>
      <w:r w:rsidRPr="00FD0DC7">
        <w:rPr>
          <w:rStyle w:val="TextoNormalCursivaCaracter"/>
        </w:rPr>
        <w:t xml:space="preserve"> Derecho a la tutela judicial efectiva (ejecución): nulidad de la Ley que impide la ejecución de la sentencia anulatoria de un plan de ordenación de los recursos naturales. Voto particular.</w:t>
      </w:r>
      <w:r>
        <w:tab/>
      </w:r>
      <w:r>
        <w:tab/>
      </w:r>
      <w:r>
        <w:fldChar w:fldCharType="begin"/>
      </w:r>
      <w:r>
        <w:instrText xml:space="preserve"> PAGEREF SENTENCIA_2015_50 \h </w:instrText>
      </w:r>
      <w:r>
        <w:fldChar w:fldCharType="separate"/>
      </w:r>
      <w:r w:rsidR="00AA6B4A">
        <w:rPr>
          <w:noProof/>
        </w:rPr>
        <w:t>952</w:t>
      </w:r>
      <w:r>
        <w:fldChar w:fldCharType="end"/>
      </w:r>
    </w:p>
    <w:p w:rsidR="00FD0DC7" w:rsidRDefault="00FD0DC7" w:rsidP="00FD0DC7"/>
    <w:p w:rsidR="00FD0DC7" w:rsidRDefault="00FD0DC7" w:rsidP="00FD0DC7">
      <w:pPr>
        <w:pStyle w:val="EntradandiceSentencia"/>
      </w:pPr>
      <w:r>
        <w:t>Sala Primera. Sentencia 51/2015, de 16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3626-2012.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w:t>
      </w:r>
      <w:r>
        <w:tab/>
      </w:r>
      <w:r>
        <w:tab/>
      </w:r>
      <w:r>
        <w:fldChar w:fldCharType="begin"/>
      </w:r>
      <w:r>
        <w:instrText xml:space="preserve"> PAGEREF SENTENCIA_2015_51 \h </w:instrText>
      </w:r>
      <w:r>
        <w:fldChar w:fldCharType="separate"/>
      </w:r>
      <w:r w:rsidR="00AA6B4A">
        <w:rPr>
          <w:noProof/>
        </w:rPr>
        <w:t>981</w:t>
      </w:r>
      <w:r>
        <w:fldChar w:fldCharType="end"/>
      </w:r>
    </w:p>
    <w:p w:rsidR="00FD0DC7" w:rsidRDefault="00FD0DC7" w:rsidP="00FD0DC7"/>
    <w:p w:rsidR="00FD0DC7" w:rsidRDefault="00FD0DC7" w:rsidP="00FD0DC7">
      <w:pPr>
        <w:pStyle w:val="EntradandiceSentencia"/>
      </w:pPr>
      <w:r>
        <w:t>Sala Primera. Sentencia 52/2015, de 16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3819-2012. </w:t>
      </w:r>
      <w:r w:rsidRPr="00FD0DC7">
        <w:rPr>
          <w:rStyle w:val="TextoNormalCursivaCaracter"/>
        </w:rPr>
        <w:t xml:space="preserve"> 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r>
        <w:tab/>
      </w:r>
      <w:r>
        <w:tab/>
      </w:r>
      <w:r>
        <w:fldChar w:fldCharType="begin"/>
      </w:r>
      <w:r>
        <w:instrText xml:space="preserve"> PAGEREF SENTENCIA_2015_52 \h </w:instrText>
      </w:r>
      <w:r>
        <w:fldChar w:fldCharType="separate"/>
      </w:r>
      <w:r w:rsidR="00AA6B4A">
        <w:rPr>
          <w:noProof/>
        </w:rPr>
        <w:t>987</w:t>
      </w:r>
      <w:r>
        <w:fldChar w:fldCharType="end"/>
      </w:r>
    </w:p>
    <w:p w:rsidR="00FD0DC7" w:rsidRDefault="00FD0DC7" w:rsidP="00FD0DC7"/>
    <w:p w:rsidR="00FD0DC7" w:rsidRDefault="00FD0DC7" w:rsidP="00FD0DC7">
      <w:pPr>
        <w:pStyle w:val="EntradandiceSentencia"/>
      </w:pPr>
      <w:r>
        <w:t>Sala Primera. Sentencia 53/2015, de 16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6372-2012.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SENTENCIA_2015_53 \h </w:instrText>
      </w:r>
      <w:r>
        <w:fldChar w:fldCharType="separate"/>
      </w:r>
      <w:r w:rsidR="00AA6B4A">
        <w:rPr>
          <w:noProof/>
        </w:rPr>
        <w:t>997</w:t>
      </w:r>
      <w:r>
        <w:fldChar w:fldCharType="end"/>
      </w:r>
    </w:p>
    <w:p w:rsidR="00FD0DC7" w:rsidRDefault="00FD0DC7" w:rsidP="00FD0DC7"/>
    <w:p w:rsidR="00FD0DC7" w:rsidRDefault="00FD0DC7" w:rsidP="00FD0DC7">
      <w:pPr>
        <w:pStyle w:val="EntradandiceSentencia"/>
      </w:pPr>
      <w:r>
        <w:t>Sala Segunda. Sentencia 54/2015, de 16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2603-2013. </w:t>
      </w:r>
      <w:r w:rsidRPr="00FD0DC7">
        <w:rPr>
          <w:rStyle w:val="TextoNormalCursivaCaracter"/>
        </w:rPr>
        <w:t xml:space="preserve"> Vulneración de los derechos a la inviolabilidad del domicilio y a un proceso con todas las garantías: entrada en las dependencias de la empresa realizada sin instrucción de derechos; vulneración de la garantía de no autoincriminación.</w:t>
      </w:r>
      <w:r>
        <w:tab/>
      </w:r>
      <w:r>
        <w:tab/>
      </w:r>
      <w:r>
        <w:fldChar w:fldCharType="begin"/>
      </w:r>
      <w:r>
        <w:instrText xml:space="preserve"> PAGEREF SENTENCIA_2015_54 \h </w:instrText>
      </w:r>
      <w:r>
        <w:fldChar w:fldCharType="separate"/>
      </w:r>
      <w:r w:rsidR="00AA6B4A">
        <w:rPr>
          <w:noProof/>
        </w:rPr>
        <w:t>1011</w:t>
      </w:r>
      <w:r>
        <w:fldChar w:fldCharType="end"/>
      </w:r>
    </w:p>
    <w:p w:rsidR="00FD0DC7" w:rsidRDefault="00FD0DC7" w:rsidP="00FD0DC7"/>
    <w:p w:rsidR="00FD0DC7" w:rsidRDefault="00FD0DC7" w:rsidP="00FD0DC7">
      <w:pPr>
        <w:pStyle w:val="EntradandiceSentencia"/>
      </w:pPr>
      <w:r>
        <w:t>Sala Primera. Sentencia 55/2015, de 16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3222-2013. </w:t>
      </w:r>
      <w:r w:rsidRPr="00FD0DC7">
        <w:rPr>
          <w:rStyle w:val="TextoNormalCursivaCaracter"/>
        </w:rPr>
        <w:t xml:space="preserve"> Supuesta vulneración de los derechos a la tutela judicial efectiva y a la presunción de inocencia: falta de documentación de la vista oral no causante de indefensión, control de la valoración judicial de la prueba de cargo (STC 137/2005).</w:t>
      </w:r>
      <w:r>
        <w:tab/>
      </w:r>
      <w:r>
        <w:tab/>
      </w:r>
      <w:r>
        <w:fldChar w:fldCharType="begin"/>
      </w:r>
      <w:r>
        <w:instrText xml:space="preserve"> PAGEREF SENTENCIA_2015_55 \h </w:instrText>
      </w:r>
      <w:r>
        <w:fldChar w:fldCharType="separate"/>
      </w:r>
      <w:r w:rsidR="00AA6B4A">
        <w:rPr>
          <w:noProof/>
        </w:rPr>
        <w:t>1030</w:t>
      </w:r>
      <w:r>
        <w:fldChar w:fldCharType="end"/>
      </w:r>
    </w:p>
    <w:p w:rsidR="00FD0DC7" w:rsidRDefault="00FD0DC7" w:rsidP="00FD0DC7"/>
    <w:p w:rsidR="00FD0DC7" w:rsidRDefault="00FD0DC7" w:rsidP="00FD0DC7">
      <w:pPr>
        <w:pStyle w:val="EntradandiceSentencia"/>
      </w:pPr>
      <w:r>
        <w:t>Sala Segunda. Sentencia 56/2015, de 16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2965-2014. </w:t>
      </w:r>
      <w:r w:rsidRPr="00FD0DC7">
        <w:rPr>
          <w:rStyle w:val="TextoNormalCursivaCaracter"/>
        </w:rPr>
        <w:t xml:space="preserve"> Derecho de propiedad y expropiación forzosa: inadmisión parcial y pérdida sobrevenida de objeto de la cuestión de inconstitucionalidad (STC 141/2014); constitucionalidad del precepto legal que excluye la valoración de expectativas derivadas de la asignación de edificabilidades y usos por la ordenación territorial y urbanística aún no realizados (STC 43/2015).</w:t>
      </w:r>
      <w:r>
        <w:tab/>
      </w:r>
      <w:r>
        <w:tab/>
      </w:r>
      <w:r>
        <w:fldChar w:fldCharType="begin"/>
      </w:r>
      <w:r>
        <w:instrText xml:space="preserve"> PAGEREF SENTENCIA_2015_56 \h </w:instrText>
      </w:r>
      <w:r>
        <w:fldChar w:fldCharType="separate"/>
      </w:r>
      <w:r w:rsidR="00AA6B4A">
        <w:rPr>
          <w:noProof/>
        </w:rPr>
        <w:t>1055</w:t>
      </w:r>
      <w:r>
        <w:fldChar w:fldCharType="end"/>
      </w:r>
    </w:p>
    <w:p w:rsidR="00FD0DC7" w:rsidRDefault="00FD0DC7" w:rsidP="00FD0DC7"/>
    <w:p w:rsidR="00FD0DC7" w:rsidRDefault="00FD0DC7" w:rsidP="00FD0DC7">
      <w:pPr>
        <w:pStyle w:val="EntradandiceSentencia"/>
      </w:pPr>
      <w:r>
        <w:t>Pleno. Sentencia 57/2015, de 18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7826-2004. </w:t>
      </w:r>
      <w:r w:rsidRPr="00FD0DC7">
        <w:rPr>
          <w:rStyle w:val="TextoNormalCursivaCaracter"/>
        </w:rPr>
        <w:t xml:space="preserve"> Competencias sobre ordenación del territorio, urbanismo y medio ambiente; autonomía local: nulidad de los preceptos legales que imponen la dirección de los crecimientos urbanísticos, permiten al Gobierno autonómico prescindir enteramente de la clasificación urbanística del suelo en el diseño y ejecución de sus políticas sectoriales con incidencia territorial, y hacen depender el ejercicio de la potestad sancionadora municipal de la adaptación del planeamiento a la Ley; interpretación conforme del precepto legal que atribuye fuerza vinculante a los informes emitidos por un órgano autonómico.</w:t>
      </w:r>
      <w:r>
        <w:tab/>
      </w:r>
      <w:r>
        <w:tab/>
      </w:r>
      <w:r>
        <w:fldChar w:fldCharType="begin"/>
      </w:r>
      <w:r>
        <w:instrText xml:space="preserve"> PAGEREF SENTENCIA_2015_57 \h </w:instrText>
      </w:r>
      <w:r>
        <w:fldChar w:fldCharType="separate"/>
      </w:r>
      <w:r w:rsidR="00AA6B4A">
        <w:rPr>
          <w:noProof/>
        </w:rPr>
        <w:t>1067</w:t>
      </w:r>
      <w:r>
        <w:fldChar w:fldCharType="end"/>
      </w:r>
    </w:p>
    <w:p w:rsidR="00FD0DC7" w:rsidRDefault="00FD0DC7" w:rsidP="00FD0DC7"/>
    <w:p w:rsidR="00FD0DC7" w:rsidRDefault="00FD0DC7" w:rsidP="00FD0DC7">
      <w:pPr>
        <w:pStyle w:val="EntradandiceSentencia"/>
      </w:pPr>
      <w:r>
        <w:t>Pleno. Sentencia 58/2015, de 18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Conflicto positivo de competencia 5937-2011. </w:t>
      </w:r>
      <w:r w:rsidRPr="00FD0DC7">
        <w:rPr>
          <w:rStyle w:val="TextoNormalCursivaCaracter"/>
        </w:rPr>
        <w:t xml:space="preserve"> Competencias sobre ordenación general de la economía, ganadería y sanidad: constitucionalidad de las disposiciones estatales sobre condiciones mínimas que deben reunir las explotaciones equinas, libros de explotación y programas sanitarios de control oficial (STC 158/2011). Voto particular.</w:t>
      </w:r>
      <w:r>
        <w:tab/>
      </w:r>
      <w:r>
        <w:tab/>
      </w:r>
      <w:r>
        <w:fldChar w:fldCharType="begin"/>
      </w:r>
      <w:r>
        <w:instrText xml:space="preserve"> PAGEREF SENTENCIA_2015_58 \h </w:instrText>
      </w:r>
      <w:r>
        <w:fldChar w:fldCharType="separate"/>
      </w:r>
      <w:r w:rsidR="00AA6B4A">
        <w:rPr>
          <w:noProof/>
        </w:rPr>
        <w:t>1154</w:t>
      </w:r>
      <w:r>
        <w:fldChar w:fldCharType="end"/>
      </w:r>
    </w:p>
    <w:p w:rsidR="00FD0DC7" w:rsidRDefault="00FD0DC7" w:rsidP="00FD0DC7"/>
    <w:p w:rsidR="00FD0DC7" w:rsidRDefault="00FD0DC7" w:rsidP="00FD0DC7">
      <w:pPr>
        <w:pStyle w:val="EntradandiceSentencia"/>
      </w:pPr>
      <w:r>
        <w:t>Pleno. Sentencia 59/2015, de 18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1873-2013. </w:t>
      </w:r>
      <w:r w:rsidRPr="00FD0DC7">
        <w:rPr>
          <w:rStyle w:val="TextoNormalCursivaCaracter"/>
        </w:rPr>
        <w:t xml:space="preserve"> Competencias financieras, finalidad recaudatoria de los tributos, compensación por ocupación del hecho imponible y facultades de enmienda del Senado: STC 26/2015 (constitucionalidad del precepto legal estatal que regula el impuesto sobre los depósitos en las entidades de crédito), concurrencia del requisito de la conexión de homogeneidad en el ejercicio del derecho de enmienda (STC 119/2011). Voto particular.</w:t>
      </w:r>
      <w:r>
        <w:tab/>
      </w:r>
      <w:r>
        <w:tab/>
      </w:r>
      <w:r>
        <w:fldChar w:fldCharType="begin"/>
      </w:r>
      <w:r>
        <w:instrText xml:space="preserve"> PAGEREF SENTENCIA_2015_59 \h </w:instrText>
      </w:r>
      <w:r>
        <w:fldChar w:fldCharType="separate"/>
      </w:r>
      <w:r w:rsidR="00AA6B4A">
        <w:rPr>
          <w:noProof/>
        </w:rPr>
        <w:t>1171</w:t>
      </w:r>
      <w:r>
        <w:fldChar w:fldCharType="end"/>
      </w:r>
    </w:p>
    <w:p w:rsidR="00FD0DC7" w:rsidRDefault="00FD0DC7" w:rsidP="00FD0DC7"/>
    <w:p w:rsidR="00FD0DC7" w:rsidRDefault="00FD0DC7" w:rsidP="00FD0DC7">
      <w:pPr>
        <w:pStyle w:val="EntradandiceSentencia"/>
      </w:pPr>
      <w:r>
        <w:t>Pleno. Sentencia 60/2015, de 18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3337-2013. </w:t>
      </w:r>
      <w:r w:rsidRPr="00FD0DC7">
        <w:rPr>
          <w:rStyle w:val="TextoNormalCursivaCaracter"/>
        </w:rPr>
        <w:t xml:space="preserve"> Límites a la potestad tributaria de las Comunidades Autónomas: nulidad del precepto legal que supedita el disfrute de una bonificación tributaria a la residencia habitual en la Comunidad Valenciana.</w:t>
      </w:r>
      <w:r>
        <w:tab/>
      </w:r>
      <w:r>
        <w:tab/>
      </w:r>
      <w:r>
        <w:fldChar w:fldCharType="begin"/>
      </w:r>
      <w:r>
        <w:instrText xml:space="preserve"> PAGEREF SENTENCIA_2015_60 \h </w:instrText>
      </w:r>
      <w:r>
        <w:fldChar w:fldCharType="separate"/>
      </w:r>
      <w:r w:rsidR="00AA6B4A">
        <w:rPr>
          <w:noProof/>
        </w:rPr>
        <w:t>1187</w:t>
      </w:r>
      <w:r>
        <w:fldChar w:fldCharType="end"/>
      </w:r>
    </w:p>
    <w:p w:rsidR="00FD0DC7" w:rsidRDefault="00FD0DC7" w:rsidP="00FD0DC7"/>
    <w:p w:rsidR="00FD0DC7" w:rsidRDefault="00FD0DC7" w:rsidP="00FD0DC7">
      <w:pPr>
        <w:pStyle w:val="EntradandiceSentencia"/>
      </w:pPr>
      <w:r>
        <w:t>Pleno. Sentencia 61/2015, de 18 de marzo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Conflicto positivo de competencia 4305-2013 . </w:t>
      </w:r>
      <w:r w:rsidRPr="00FD0DC7">
        <w:rPr>
          <w:rStyle w:val="TextoNormalCursivaCaracter"/>
        </w:rPr>
        <w:t xml:space="preserve"> Competencias en materia laboral: preceptos reglamentarios estatales que vulneran competencias autonómicas al atribuir el ejercicio de funciones ejecutivas al Servicio Público de Empleo Estatal.</w:t>
      </w:r>
      <w:r>
        <w:tab/>
      </w:r>
      <w:r>
        <w:tab/>
      </w:r>
      <w:r>
        <w:fldChar w:fldCharType="begin"/>
      </w:r>
      <w:r>
        <w:instrText xml:space="preserve"> PAGEREF SENTENCIA_2015_61 \h </w:instrText>
      </w:r>
      <w:r>
        <w:fldChar w:fldCharType="separate"/>
      </w:r>
      <w:r w:rsidR="00AA6B4A">
        <w:rPr>
          <w:noProof/>
        </w:rPr>
        <w:t>1208</w:t>
      </w:r>
      <w:r>
        <w:fldChar w:fldCharType="end"/>
      </w:r>
    </w:p>
    <w:p w:rsidR="00FD0DC7" w:rsidRDefault="00FD0DC7" w:rsidP="00FD0DC7"/>
    <w:p w:rsidR="00FD0DC7" w:rsidRDefault="00FD0DC7" w:rsidP="00FD0DC7">
      <w:pPr>
        <w:pStyle w:val="EntradandiceSentencia"/>
      </w:pPr>
      <w:r>
        <w:t>Sala Primera. Sentencia 62/2015, de 13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6069-2009. </w:t>
      </w:r>
      <w:r w:rsidRPr="00FD0DC7">
        <w:rPr>
          <w:rStyle w:val="TextoNormalCursivaCaracter"/>
        </w:rPr>
        <w:t xml:space="preserve"> Límites materiales de las leyes de presupuestos: constitucionalidad del precepto legal que introduce el descuento sobre el volumen de ventas de productos farmacéuticos al Sistema Nacional de Salud (STC 44/2015).</w:t>
      </w:r>
      <w:r>
        <w:tab/>
      </w:r>
      <w:r>
        <w:tab/>
      </w:r>
      <w:r>
        <w:fldChar w:fldCharType="begin"/>
      </w:r>
      <w:r>
        <w:instrText xml:space="preserve"> PAGEREF SENTENCIA_2015_62 \h </w:instrText>
      </w:r>
      <w:r>
        <w:fldChar w:fldCharType="separate"/>
      </w:r>
      <w:r w:rsidR="00AA6B4A">
        <w:rPr>
          <w:noProof/>
        </w:rPr>
        <w:t>1222</w:t>
      </w:r>
      <w:r>
        <w:fldChar w:fldCharType="end"/>
      </w:r>
    </w:p>
    <w:p w:rsidR="00FD0DC7" w:rsidRDefault="00FD0DC7" w:rsidP="00FD0DC7"/>
    <w:p w:rsidR="00FD0DC7" w:rsidRDefault="00FD0DC7" w:rsidP="00FD0DC7">
      <w:pPr>
        <w:pStyle w:val="EntradandiceSentencia"/>
      </w:pPr>
      <w:r>
        <w:t>Sala Primera. Sentencia 63/2015, de 13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4416-2012. </w:t>
      </w:r>
      <w:r w:rsidRPr="00FD0DC7">
        <w:rPr>
          <w:rStyle w:val="TextoNormalCursivaCaracter"/>
        </w:rPr>
        <w:t xml:space="preserve"> Vulneración del derecho a la tutela judicial efectiva en relación con los derechos a la libertad personal y a la legalidad penal: resoluciones judiciales que no satisfacen el canon de motivación reforzada exigible en materia de prescripción de las penas (STC 97/2010). Voto particular.</w:t>
      </w:r>
      <w:r>
        <w:tab/>
      </w:r>
      <w:r>
        <w:tab/>
      </w:r>
      <w:r>
        <w:fldChar w:fldCharType="begin"/>
      </w:r>
      <w:r>
        <w:instrText xml:space="preserve"> PAGEREF SENTENCIA_2015_63 \h </w:instrText>
      </w:r>
      <w:r>
        <w:fldChar w:fldCharType="separate"/>
      </w:r>
      <w:r w:rsidR="00AA6B4A">
        <w:rPr>
          <w:noProof/>
        </w:rPr>
        <w:t>1238</w:t>
      </w:r>
      <w:r>
        <w:fldChar w:fldCharType="end"/>
      </w:r>
    </w:p>
    <w:p w:rsidR="00FD0DC7" w:rsidRDefault="00FD0DC7" w:rsidP="00FD0DC7"/>
    <w:p w:rsidR="00FD0DC7" w:rsidRDefault="00FD0DC7" w:rsidP="00FD0DC7">
      <w:pPr>
        <w:pStyle w:val="EntradandiceSentencia"/>
      </w:pPr>
      <w:r>
        <w:t>Sala Primera. Sentencia 64/2015, de 13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4592-2012. </w:t>
      </w:r>
      <w:r w:rsidRPr="00FD0DC7">
        <w:rPr>
          <w:rStyle w:val="TextoNormalCursivaCaracter"/>
        </w:rPr>
        <w:t xml:space="preserve"> 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r>
        <w:tab/>
      </w:r>
      <w:r>
        <w:tab/>
      </w:r>
      <w:r>
        <w:fldChar w:fldCharType="begin"/>
      </w:r>
      <w:r>
        <w:instrText xml:space="preserve"> PAGEREF SENTENCIA_2015_64 \h </w:instrText>
      </w:r>
      <w:r>
        <w:fldChar w:fldCharType="separate"/>
      </w:r>
      <w:r w:rsidR="00AA6B4A">
        <w:rPr>
          <w:noProof/>
        </w:rPr>
        <w:t>1255</w:t>
      </w:r>
      <w:r>
        <w:fldChar w:fldCharType="end"/>
      </w:r>
    </w:p>
    <w:p w:rsidR="00FD0DC7" w:rsidRDefault="00FD0DC7" w:rsidP="00FD0DC7"/>
    <w:p w:rsidR="00FD0DC7" w:rsidRDefault="00FD0DC7" w:rsidP="00FD0DC7">
      <w:pPr>
        <w:pStyle w:val="EntradandiceSentencia"/>
      </w:pPr>
      <w:r>
        <w:t>Sala Primera. Sentencia 65/2015, de 13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1485-2013, 1486-2013. </w:t>
      </w:r>
      <w:r w:rsidRPr="00FD0DC7">
        <w:rPr>
          <w:rStyle w:val="TextoNormalCursivaCaracter"/>
        </w:rPr>
        <w:t xml:space="preserve"> Supuesta vulneración de las libertades de expresión e información: condena por injurias graves por las inequívocas acusaciones de falta de probidad dirigidas contra el juzgador en un determinado proceso. Votos particulares.</w:t>
      </w:r>
      <w:r>
        <w:tab/>
      </w:r>
      <w:r>
        <w:tab/>
      </w:r>
      <w:r>
        <w:fldChar w:fldCharType="begin"/>
      </w:r>
      <w:r>
        <w:instrText xml:space="preserve"> PAGEREF SENTENCIA_2015_65 \h </w:instrText>
      </w:r>
      <w:r>
        <w:fldChar w:fldCharType="separate"/>
      </w:r>
      <w:r w:rsidR="00AA6B4A">
        <w:rPr>
          <w:noProof/>
        </w:rPr>
        <w:t>1266</w:t>
      </w:r>
      <w:r>
        <w:fldChar w:fldCharType="end"/>
      </w:r>
    </w:p>
    <w:p w:rsidR="00FD0DC7" w:rsidRDefault="00FD0DC7" w:rsidP="00FD0DC7"/>
    <w:p w:rsidR="00FD0DC7" w:rsidRDefault="00FD0DC7" w:rsidP="00FD0DC7">
      <w:pPr>
        <w:pStyle w:val="EntradandiceSentencia"/>
      </w:pPr>
      <w:r>
        <w:t>Sala Segunda. Sentencia 66/2015, de 13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3875-2013. </w:t>
      </w:r>
      <w:r w:rsidRPr="00FD0DC7">
        <w:rPr>
          <w:rStyle w:val="TextoNormalCursivaCaracter"/>
        </w:rPr>
        <w:t xml:space="preserve"> Supuesta vulneración del derecho a la igualdad: utilización del criterio de la edad superior a cincuenta y cinco años como factor determinante para la selección de los trabajadores afectados por un despido colectivo.</w:t>
      </w:r>
      <w:r>
        <w:tab/>
      </w:r>
      <w:r>
        <w:tab/>
      </w:r>
      <w:r>
        <w:fldChar w:fldCharType="begin"/>
      </w:r>
      <w:r>
        <w:instrText xml:space="preserve"> PAGEREF SENTENCIA_2015_66 \h </w:instrText>
      </w:r>
      <w:r>
        <w:fldChar w:fldCharType="separate"/>
      </w:r>
      <w:r w:rsidR="00AA6B4A">
        <w:rPr>
          <w:noProof/>
        </w:rPr>
        <w:t>1293</w:t>
      </w:r>
      <w:r>
        <w:fldChar w:fldCharType="end"/>
      </w:r>
    </w:p>
    <w:p w:rsidR="00FD0DC7" w:rsidRDefault="00FD0DC7" w:rsidP="00FD0DC7"/>
    <w:p w:rsidR="00FD0DC7" w:rsidRDefault="00FD0DC7" w:rsidP="00FD0DC7">
      <w:pPr>
        <w:pStyle w:val="EntradandiceSentencia"/>
      </w:pPr>
      <w:r>
        <w:t>Pleno. Sentencia 67/2015, de 14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1713-2012.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SENTENCIA_2015_67 \h </w:instrText>
      </w:r>
      <w:r>
        <w:fldChar w:fldCharType="separate"/>
      </w:r>
      <w:r w:rsidR="00AA6B4A">
        <w:rPr>
          <w:noProof/>
        </w:rPr>
        <w:t>1307</w:t>
      </w:r>
      <w:r>
        <w:fldChar w:fldCharType="end"/>
      </w:r>
    </w:p>
    <w:p w:rsidR="00FD0DC7" w:rsidRDefault="00FD0DC7" w:rsidP="00FD0DC7"/>
    <w:p w:rsidR="00FD0DC7" w:rsidRDefault="00FD0DC7" w:rsidP="00FD0DC7">
      <w:pPr>
        <w:pStyle w:val="EntradandiceSentencia"/>
      </w:pPr>
      <w:r>
        <w:t>Pleno. Sentencia 68/2015, de 14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2604-2012.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SENTENCIA_2015_68 \h </w:instrText>
      </w:r>
      <w:r>
        <w:fldChar w:fldCharType="separate"/>
      </w:r>
      <w:r w:rsidR="00AA6B4A">
        <w:rPr>
          <w:noProof/>
        </w:rPr>
        <w:t>1315</w:t>
      </w:r>
      <w:r>
        <w:fldChar w:fldCharType="end"/>
      </w:r>
    </w:p>
    <w:p w:rsidR="00FD0DC7" w:rsidRDefault="00FD0DC7" w:rsidP="00FD0DC7"/>
    <w:p w:rsidR="00FD0DC7" w:rsidRDefault="00FD0DC7" w:rsidP="00FD0DC7">
      <w:pPr>
        <w:pStyle w:val="EntradandiceSentencia"/>
      </w:pPr>
      <w:r>
        <w:t>Pleno. Sentencia 69/2015, de 14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3045-2012. </w:t>
      </w:r>
      <w:r w:rsidRPr="00FD0DC7">
        <w:rPr>
          <w:rStyle w:val="TextoNormalCursivaCaracter"/>
        </w:rPr>
        <w:t xml:space="preserve"> 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SENTENCIA_2015_69 \h </w:instrText>
      </w:r>
      <w:r>
        <w:fldChar w:fldCharType="separate"/>
      </w:r>
      <w:r w:rsidR="00AA6B4A">
        <w:rPr>
          <w:noProof/>
        </w:rPr>
        <w:t>1324</w:t>
      </w:r>
      <w:r>
        <w:fldChar w:fldCharType="end"/>
      </w:r>
    </w:p>
    <w:p w:rsidR="00FD0DC7" w:rsidRDefault="00FD0DC7" w:rsidP="00FD0DC7"/>
    <w:p w:rsidR="00FD0DC7" w:rsidRDefault="00FD0DC7" w:rsidP="00FD0DC7">
      <w:pPr>
        <w:pStyle w:val="EntradandiceSentencia"/>
      </w:pPr>
      <w:r>
        <w:t>Pleno. Sentencia 70/2015, de 14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3985-2012.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 Votos particulares.</w:t>
      </w:r>
      <w:r>
        <w:tab/>
      </w:r>
      <w:r>
        <w:tab/>
      </w:r>
      <w:r>
        <w:fldChar w:fldCharType="begin"/>
      </w:r>
      <w:r>
        <w:instrText xml:space="preserve"> PAGEREF SENTENCIA_2015_70 \h </w:instrText>
      </w:r>
      <w:r>
        <w:fldChar w:fldCharType="separate"/>
      </w:r>
      <w:r w:rsidR="00AA6B4A">
        <w:rPr>
          <w:noProof/>
        </w:rPr>
        <w:t>1335</w:t>
      </w:r>
      <w:r>
        <w:fldChar w:fldCharType="end"/>
      </w:r>
    </w:p>
    <w:p w:rsidR="00FD0DC7" w:rsidRDefault="00FD0DC7" w:rsidP="00FD0DC7"/>
    <w:p w:rsidR="00FD0DC7" w:rsidRDefault="00FD0DC7" w:rsidP="00FD0DC7">
      <w:pPr>
        <w:pStyle w:val="EntradandiceSentencia"/>
      </w:pPr>
      <w:r>
        <w:t>Pleno. Sentencia 71/2015, de 14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4503-2012.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SENTENCIA_2015_71 \h </w:instrText>
      </w:r>
      <w:r>
        <w:fldChar w:fldCharType="separate"/>
      </w:r>
      <w:r w:rsidR="00AA6B4A">
        <w:rPr>
          <w:noProof/>
        </w:rPr>
        <w:t>1344</w:t>
      </w:r>
      <w:r>
        <w:fldChar w:fldCharType="end"/>
      </w:r>
    </w:p>
    <w:p w:rsidR="00FD0DC7" w:rsidRDefault="00FD0DC7" w:rsidP="00FD0DC7"/>
    <w:p w:rsidR="00FD0DC7" w:rsidRDefault="00FD0DC7" w:rsidP="00FD0DC7">
      <w:pPr>
        <w:pStyle w:val="EntradandiceSentencia"/>
      </w:pPr>
      <w:r>
        <w:t>Pleno. Sentencia 72/2015, de 14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112-2013.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w:t>
      </w:r>
      <w:r>
        <w:tab/>
      </w:r>
      <w:r>
        <w:tab/>
      </w:r>
      <w:r>
        <w:fldChar w:fldCharType="begin"/>
      </w:r>
      <w:r>
        <w:instrText xml:space="preserve"> PAGEREF SENTENCIA_2015_72 \h </w:instrText>
      </w:r>
      <w:r>
        <w:fldChar w:fldCharType="separate"/>
      </w:r>
      <w:r w:rsidR="00AA6B4A">
        <w:rPr>
          <w:noProof/>
        </w:rPr>
        <w:t>1352</w:t>
      </w:r>
      <w:r>
        <w:fldChar w:fldCharType="end"/>
      </w:r>
    </w:p>
    <w:p w:rsidR="00FD0DC7" w:rsidRDefault="00FD0DC7" w:rsidP="00FD0DC7"/>
    <w:p w:rsidR="00FD0DC7" w:rsidRDefault="00FD0DC7" w:rsidP="00FD0DC7">
      <w:pPr>
        <w:pStyle w:val="EntradandiceSentencia"/>
      </w:pPr>
      <w:r>
        <w:t>Pleno. Sentencia 73/2015, de 14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1881-2013. </w:t>
      </w:r>
      <w:r w:rsidRPr="00FD0DC7">
        <w:rPr>
          <w:rStyle w:val="TextoNormalCursivaCaracter"/>
        </w:rPr>
        <w:t xml:space="preserve"> Competencias financieras, finalidad recaudatoria de los tributos, compensación por ocupación del hecho imponible y facultades de enmienda del Senado: constitucionalidad del precepto legal estatal que regula el impuesto sobre los depósitos en las entidades de crédito (SSTC 26/2015 y 59/2015). Voto particular.</w:t>
      </w:r>
      <w:r>
        <w:tab/>
      </w:r>
      <w:r>
        <w:tab/>
      </w:r>
      <w:r>
        <w:fldChar w:fldCharType="begin"/>
      </w:r>
      <w:r>
        <w:instrText xml:space="preserve"> PAGEREF SENTENCIA_2015_73 \h </w:instrText>
      </w:r>
      <w:r>
        <w:fldChar w:fldCharType="separate"/>
      </w:r>
      <w:r w:rsidR="00AA6B4A">
        <w:rPr>
          <w:noProof/>
        </w:rPr>
        <w:t>1361</w:t>
      </w:r>
      <w:r>
        <w:fldChar w:fldCharType="end"/>
      </w:r>
    </w:p>
    <w:p w:rsidR="00FD0DC7" w:rsidRDefault="00FD0DC7" w:rsidP="00FD0DC7"/>
    <w:p w:rsidR="00FD0DC7" w:rsidRDefault="00FD0DC7" w:rsidP="00FD0DC7">
      <w:pPr>
        <w:pStyle w:val="EntradandiceSentencia"/>
      </w:pPr>
      <w:r>
        <w:t>Sala Segunda. Sentencia 74/2015, de 27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9400-2009. </w:t>
      </w:r>
      <w:r w:rsidRPr="00FD0DC7">
        <w:rPr>
          <w:rStyle w:val="TextoNormalCursivaCaracter"/>
        </w:rPr>
        <w:t xml:space="preserve"> Vulneración del derecho a un proceso sin dilaciones indebidas: demora superior a dos años en la celebración de la vista del juicio en un procedimiento abreviado contencioso-administrativo (STC 142/2010).</w:t>
      </w:r>
      <w:r>
        <w:tab/>
      </w:r>
      <w:r>
        <w:tab/>
      </w:r>
      <w:r>
        <w:fldChar w:fldCharType="begin"/>
      </w:r>
      <w:r>
        <w:instrText xml:space="preserve"> PAGEREF SENTENCIA_2015_74 \h </w:instrText>
      </w:r>
      <w:r>
        <w:fldChar w:fldCharType="separate"/>
      </w:r>
      <w:r w:rsidR="00AA6B4A">
        <w:rPr>
          <w:noProof/>
        </w:rPr>
        <w:t>1376</w:t>
      </w:r>
      <w:r>
        <w:fldChar w:fldCharType="end"/>
      </w:r>
    </w:p>
    <w:p w:rsidR="00FD0DC7" w:rsidRDefault="00FD0DC7" w:rsidP="00FD0DC7"/>
    <w:p w:rsidR="00FD0DC7" w:rsidRDefault="00FD0DC7" w:rsidP="00FD0DC7">
      <w:pPr>
        <w:pStyle w:val="EntradandiceSentencia"/>
      </w:pPr>
      <w:r>
        <w:t>Sala Primera. Sentencia 75/2015, de 27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1664-2012. </w:t>
      </w:r>
      <w:r w:rsidRPr="00FD0DC7">
        <w:rPr>
          <w:rStyle w:val="TextoNormalCursivaCaracter"/>
        </w:rPr>
        <w:t xml:space="preserve"> 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SENTENCIA_2015_75 \h </w:instrText>
      </w:r>
      <w:r>
        <w:fldChar w:fldCharType="separate"/>
      </w:r>
      <w:r w:rsidR="00AA6B4A">
        <w:rPr>
          <w:noProof/>
        </w:rPr>
        <w:t>1386</w:t>
      </w:r>
      <w:r>
        <w:fldChar w:fldCharType="end"/>
      </w:r>
    </w:p>
    <w:p w:rsidR="00FD0DC7" w:rsidRDefault="00FD0DC7" w:rsidP="00FD0DC7"/>
    <w:p w:rsidR="00FD0DC7" w:rsidRDefault="00FD0DC7" w:rsidP="00FD0DC7">
      <w:pPr>
        <w:pStyle w:val="EntradandiceSentencia"/>
      </w:pPr>
      <w:r>
        <w:t>Sala Primera. Sentencia 76/2015, de 27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6696-2012. </w:t>
      </w:r>
      <w:r w:rsidRPr="00FD0DC7">
        <w:rPr>
          <w:rStyle w:val="TextoNormalCursivaCaracter"/>
        </w:rPr>
        <w:t xml:space="preserve"> Supuesta vulneración del derecho a la tutela judicial efectiva (acceso al recurso): inadmisión de un recurso de casación basada en la omisión, en el escrito de preparación, de la cita de las normas y jurisprudencia que el recurrente consideraba infringidas (STC 7/2015).</w:t>
      </w:r>
      <w:r>
        <w:tab/>
      </w:r>
      <w:r>
        <w:tab/>
      </w:r>
      <w:r>
        <w:fldChar w:fldCharType="begin"/>
      </w:r>
      <w:r>
        <w:instrText xml:space="preserve"> PAGEREF SENTENCIA_2015_76 \h </w:instrText>
      </w:r>
      <w:r>
        <w:fldChar w:fldCharType="separate"/>
      </w:r>
      <w:r w:rsidR="00AA6B4A">
        <w:rPr>
          <w:noProof/>
        </w:rPr>
        <w:t>1398</w:t>
      </w:r>
      <w:r>
        <w:fldChar w:fldCharType="end"/>
      </w:r>
    </w:p>
    <w:p w:rsidR="00FD0DC7" w:rsidRDefault="00FD0DC7" w:rsidP="00FD0DC7"/>
    <w:p w:rsidR="00FD0DC7" w:rsidRDefault="00FD0DC7" w:rsidP="00FD0DC7">
      <w:pPr>
        <w:pStyle w:val="EntradandiceSentencia"/>
      </w:pPr>
      <w:r>
        <w:t>Sala Primera. Sentencia 77/2015, de 27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3303-2013. </w:t>
      </w:r>
      <w:r w:rsidRPr="00FD0DC7">
        <w:rPr>
          <w:rStyle w:val="TextoNormalCursivaCaracter"/>
        </w:rPr>
        <w:t xml:space="preserve"> Vulneración del derecho a la igualdad ante el deber de contribuir, en conexión con el principio de protección económica de la familia: resolución judicial que, al atribuir eficacia constitutiva al título de familia numerosa, excluye a los recurrentes del disfrute de un beneficio fiscal. Voto particular.</w:t>
      </w:r>
      <w:r>
        <w:tab/>
      </w:r>
      <w:r>
        <w:tab/>
      </w:r>
      <w:r>
        <w:fldChar w:fldCharType="begin"/>
      </w:r>
      <w:r>
        <w:instrText xml:space="preserve"> PAGEREF SENTENCIA_2015_77 \h </w:instrText>
      </w:r>
      <w:r>
        <w:fldChar w:fldCharType="separate"/>
      </w:r>
      <w:r w:rsidR="00AA6B4A">
        <w:rPr>
          <w:noProof/>
        </w:rPr>
        <w:t>1410</w:t>
      </w:r>
      <w:r>
        <w:fldChar w:fldCharType="end"/>
      </w:r>
    </w:p>
    <w:p w:rsidR="00FD0DC7" w:rsidRDefault="00FD0DC7" w:rsidP="00FD0DC7"/>
    <w:p w:rsidR="00FD0DC7" w:rsidRDefault="00FD0DC7" w:rsidP="00FD0DC7">
      <w:pPr>
        <w:pStyle w:val="EntradandiceSentencia"/>
      </w:pPr>
      <w:r>
        <w:t>Pleno. Sentencia 78/2015,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3814-2012. </w:t>
      </w:r>
      <w:r w:rsidRPr="00FD0DC7">
        <w:rPr>
          <w:rStyle w:val="TextoNormalCursivaCaracter"/>
        </w:rPr>
        <w:t xml:space="preserve"> 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 Voto particular.</w:t>
      </w:r>
      <w:r>
        <w:tab/>
      </w:r>
      <w:r>
        <w:tab/>
      </w:r>
      <w:r>
        <w:fldChar w:fldCharType="begin"/>
      </w:r>
      <w:r>
        <w:instrText xml:space="preserve"> PAGEREF SENTENCIA_2015_78 \h </w:instrText>
      </w:r>
      <w:r>
        <w:fldChar w:fldCharType="separate"/>
      </w:r>
      <w:r w:rsidR="00AA6B4A">
        <w:rPr>
          <w:noProof/>
        </w:rPr>
        <w:t>1434</w:t>
      </w:r>
      <w:r>
        <w:fldChar w:fldCharType="end"/>
      </w:r>
    </w:p>
    <w:p w:rsidR="00FD0DC7" w:rsidRDefault="00FD0DC7" w:rsidP="00FD0DC7"/>
    <w:p w:rsidR="00FD0DC7" w:rsidRDefault="00FD0DC7" w:rsidP="00FD0DC7">
      <w:pPr>
        <w:pStyle w:val="EntradandiceSentencia"/>
      </w:pPr>
      <w:r>
        <w:t>Pleno. Sentencia 79/2015,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4921-2012. </w:t>
      </w:r>
      <w:r w:rsidRPr="00FD0DC7">
        <w:rPr>
          <w:rStyle w:val="TextoNormalCursivaCaracter"/>
        </w:rPr>
        <w:t xml:space="preserve"> Derechos a la igualdad y a la tutela judicial efectiva, principio de mantenimiento de un régimen público de Seguridad Social que garantice prestaciones sociales suficientes ante situaciones de necesidad: inadmisión de la cuestión de inconstitucionalidad por inadecuada formulación del juicio de relevancia.</w:t>
      </w:r>
      <w:r>
        <w:tab/>
      </w:r>
      <w:r>
        <w:tab/>
      </w:r>
      <w:r>
        <w:fldChar w:fldCharType="begin"/>
      </w:r>
      <w:r>
        <w:instrText xml:space="preserve"> PAGEREF SENTENCIA_2015_79 \h </w:instrText>
      </w:r>
      <w:r>
        <w:fldChar w:fldCharType="separate"/>
      </w:r>
      <w:r w:rsidR="00AA6B4A">
        <w:rPr>
          <w:noProof/>
        </w:rPr>
        <w:t>1444</w:t>
      </w:r>
      <w:r>
        <w:fldChar w:fldCharType="end"/>
      </w:r>
    </w:p>
    <w:p w:rsidR="00FD0DC7" w:rsidRDefault="00FD0DC7" w:rsidP="00FD0DC7"/>
    <w:p w:rsidR="00FD0DC7" w:rsidRDefault="00FD0DC7" w:rsidP="00FD0DC7">
      <w:pPr>
        <w:pStyle w:val="EntradandiceSentencia"/>
      </w:pPr>
      <w:r>
        <w:t>Pleno. Sentencia 80/2015,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5157-2012. </w:t>
      </w:r>
      <w:r w:rsidRPr="00FD0DC7">
        <w:rPr>
          <w:rStyle w:val="TextoNormalCursivaCaracter"/>
        </w:rPr>
        <w:t xml:space="preserve"> 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w:t>
      </w:r>
      <w:r>
        <w:tab/>
      </w:r>
      <w:r>
        <w:tab/>
      </w:r>
      <w:r>
        <w:fldChar w:fldCharType="begin"/>
      </w:r>
      <w:r>
        <w:instrText xml:space="preserve"> PAGEREF SENTENCIA_2015_80 \h </w:instrText>
      </w:r>
      <w:r>
        <w:fldChar w:fldCharType="separate"/>
      </w:r>
      <w:r w:rsidR="00AA6B4A">
        <w:rPr>
          <w:noProof/>
        </w:rPr>
        <w:t>1463</w:t>
      </w:r>
      <w:r>
        <w:fldChar w:fldCharType="end"/>
      </w:r>
    </w:p>
    <w:p w:rsidR="00FD0DC7" w:rsidRDefault="00FD0DC7" w:rsidP="00FD0DC7"/>
    <w:p w:rsidR="00FD0DC7" w:rsidRDefault="00FD0DC7" w:rsidP="00FD0DC7">
      <w:pPr>
        <w:pStyle w:val="EntradandiceSentencia"/>
      </w:pPr>
      <w:r>
        <w:t>Pleno. Sentencia 81/2015,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5736-2012. </w:t>
      </w:r>
      <w:r w:rsidRPr="00FD0DC7">
        <w:rPr>
          <w:rStyle w:val="TextoNormalCursivaCaracter"/>
        </w:rPr>
        <w:t xml:space="preserve"> Límites a los decretos-leyes, competencias en materia de ordenación general de la economía y función pública y principio de seguridad jurídica: acreditación de la concurrencia del presupuesto habilitante y de la conexión de sentido en la supresión de la paga extraordinaria y de la paga adicional de complemento específico, correspondientes al mes de diciembre de 2012; observancia de los límites materiales de los decretos-leyes.</w:t>
      </w:r>
      <w:r>
        <w:tab/>
      </w:r>
      <w:r>
        <w:tab/>
      </w:r>
      <w:r>
        <w:fldChar w:fldCharType="begin"/>
      </w:r>
      <w:r>
        <w:instrText xml:space="preserve"> PAGEREF SENTENCIA_2015_81 \h </w:instrText>
      </w:r>
      <w:r>
        <w:fldChar w:fldCharType="separate"/>
      </w:r>
      <w:r w:rsidR="00AA6B4A">
        <w:rPr>
          <w:noProof/>
        </w:rPr>
        <w:t>1472</w:t>
      </w:r>
      <w:r>
        <w:fldChar w:fldCharType="end"/>
      </w:r>
    </w:p>
    <w:p w:rsidR="00FD0DC7" w:rsidRDefault="00FD0DC7" w:rsidP="00FD0DC7"/>
    <w:p w:rsidR="00FD0DC7" w:rsidRDefault="00FD0DC7" w:rsidP="00FD0DC7">
      <w:pPr>
        <w:pStyle w:val="EntradandiceSentencia"/>
      </w:pPr>
      <w:r>
        <w:t>Pleno. Sentencia 82/2015,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5985-2012. </w:t>
      </w:r>
      <w:r w:rsidRPr="00FD0DC7">
        <w:rPr>
          <w:rStyle w:val="TextoNormalCursivaCaracter"/>
        </w:rPr>
        <w:t xml:space="preserve"> 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w:t>
      </w:r>
      <w:r>
        <w:tab/>
      </w:r>
      <w:r>
        <w:tab/>
      </w:r>
      <w:r>
        <w:fldChar w:fldCharType="begin"/>
      </w:r>
      <w:r>
        <w:instrText xml:space="preserve"> PAGEREF SENTENCIA_2015_82 \h </w:instrText>
      </w:r>
      <w:r>
        <w:fldChar w:fldCharType="separate"/>
      </w:r>
      <w:r w:rsidR="00AA6B4A">
        <w:rPr>
          <w:noProof/>
        </w:rPr>
        <w:t>1499</w:t>
      </w:r>
      <w:r>
        <w:fldChar w:fldCharType="end"/>
      </w:r>
    </w:p>
    <w:p w:rsidR="00FD0DC7" w:rsidRDefault="00FD0DC7" w:rsidP="00FD0DC7"/>
    <w:p w:rsidR="00FD0DC7" w:rsidRDefault="00FD0DC7" w:rsidP="00FD0DC7">
      <w:pPr>
        <w:pStyle w:val="EntradandiceSentencia"/>
      </w:pPr>
      <w:r>
        <w:t>Pleno. Sentencia 83/2015,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1697-2013. </w:t>
      </w:r>
      <w:r w:rsidRPr="00FD0DC7">
        <w:rPr>
          <w:rStyle w:val="TextoNormalCursivaCaracter"/>
        </w:rPr>
        <w:t xml:space="preserve"> Principio de irretroactividad de las normas restrictivas de derechos individuales: extinción, por pérdida de objeto, de la cuestión de inconstitucionalidad.</w:t>
      </w:r>
      <w:r>
        <w:tab/>
      </w:r>
      <w:r>
        <w:tab/>
      </w:r>
      <w:r>
        <w:fldChar w:fldCharType="begin"/>
      </w:r>
      <w:r>
        <w:instrText xml:space="preserve"> PAGEREF SENTENCIA_2015_83 \h </w:instrText>
      </w:r>
      <w:r>
        <w:fldChar w:fldCharType="separate"/>
      </w:r>
      <w:r w:rsidR="00AA6B4A">
        <w:rPr>
          <w:noProof/>
        </w:rPr>
        <w:t>1509</w:t>
      </w:r>
      <w:r>
        <w:fldChar w:fldCharType="end"/>
      </w:r>
    </w:p>
    <w:p w:rsidR="00FD0DC7" w:rsidRDefault="00FD0DC7" w:rsidP="00FD0DC7"/>
    <w:p w:rsidR="00FD0DC7" w:rsidRDefault="00FD0DC7" w:rsidP="00FD0DC7">
      <w:pPr>
        <w:pStyle w:val="EntradandiceSentencia"/>
      </w:pPr>
      <w:r>
        <w:t>Pleno. Sentencia 84/2015,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1884-2013. </w:t>
      </w:r>
      <w:r w:rsidRPr="00FD0DC7">
        <w:rPr>
          <w:rStyle w:val="TextoNormalCursivaCaracter"/>
        </w:rPr>
        <w:t xml:space="preserve"> Principios de legalidad y seguridad jurídica, procedimiento legislativo, principio de mantenimiento de un régimen público de Seguridad Social que garantice prestaciones sociales suficientes ante situaciones de necesidad, competencias sobre contratos y concesiones administrativas, sanidad y Seguridad Social: nulidad del precepto legal que otorgaba preferencia, en la adjudicación de los centros de atención primaria, a las sociedades de profesionales compuestas íntegra o mayoritariamente por profesionales del Servicio Madrileño de Salud.</w:t>
      </w:r>
      <w:r>
        <w:tab/>
      </w:r>
      <w:r>
        <w:tab/>
      </w:r>
      <w:r>
        <w:fldChar w:fldCharType="begin"/>
      </w:r>
      <w:r>
        <w:instrText xml:space="preserve"> PAGEREF SENTENCIA_2015_84 \h </w:instrText>
      </w:r>
      <w:r>
        <w:fldChar w:fldCharType="separate"/>
      </w:r>
      <w:r w:rsidR="00AA6B4A">
        <w:rPr>
          <w:noProof/>
        </w:rPr>
        <w:t>1525</w:t>
      </w:r>
      <w:r>
        <w:fldChar w:fldCharType="end"/>
      </w:r>
    </w:p>
    <w:p w:rsidR="00FD0DC7" w:rsidRDefault="00FD0DC7" w:rsidP="00FD0DC7"/>
    <w:p w:rsidR="00FD0DC7" w:rsidRDefault="00FD0DC7" w:rsidP="00FD0DC7">
      <w:pPr>
        <w:pStyle w:val="EntradandiceSentencia"/>
      </w:pPr>
      <w:r>
        <w:t>Pleno. Sentencia 85/2015, de 30 de abril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6228-2013. </w:t>
      </w:r>
      <w:r w:rsidRPr="00FD0DC7">
        <w:rPr>
          <w:rStyle w:val="TextoNormalCursivaCaracter"/>
        </w:rPr>
        <w:t xml:space="preserve"> Competencias sobre ordenación general de la economía y agricultura: nulidad de los preceptos legales que atribuyen a la Administración del Estado el ejercicio de funciones ejecutivas.</w:t>
      </w:r>
      <w:r>
        <w:tab/>
      </w:r>
      <w:r>
        <w:tab/>
      </w:r>
      <w:r>
        <w:fldChar w:fldCharType="begin"/>
      </w:r>
      <w:r>
        <w:instrText xml:space="preserve"> PAGEREF SENTENCIA_2015_85 \h </w:instrText>
      </w:r>
      <w:r>
        <w:fldChar w:fldCharType="separate"/>
      </w:r>
      <w:r w:rsidR="00AA6B4A">
        <w:rPr>
          <w:noProof/>
        </w:rPr>
        <w:t>1563</w:t>
      </w:r>
      <w:r>
        <w:fldChar w:fldCharType="end"/>
      </w:r>
    </w:p>
    <w:p w:rsidR="00FD0DC7" w:rsidRDefault="00FD0DC7" w:rsidP="00FD0DC7"/>
    <w:p w:rsidR="00FD0DC7" w:rsidRDefault="00FD0DC7" w:rsidP="00FD0DC7">
      <w:pPr>
        <w:pStyle w:val="EntradandiceSentencia"/>
      </w:pPr>
      <w:r>
        <w:t>Sala Primera. Sentencia 86/2015, de 7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electoral 2606-2015. </w:t>
      </w:r>
      <w:r w:rsidRPr="00FD0DC7">
        <w:rPr>
          <w:rStyle w:val="TextoNormalCursivaCaracter"/>
        </w:rPr>
        <w:t xml:space="preserve"> Vulneración del derecho a acceder a los cargos públicos en condiciones de igualdad: anulación de una candidatura sin brindar la oportunidad de subsanar los defectos padecidos en su composición.</w:t>
      </w:r>
      <w:r>
        <w:tab/>
      </w:r>
      <w:r>
        <w:tab/>
      </w:r>
      <w:r>
        <w:fldChar w:fldCharType="begin"/>
      </w:r>
      <w:r>
        <w:instrText xml:space="preserve"> PAGEREF SENTENCIA_2015_86 \h </w:instrText>
      </w:r>
      <w:r>
        <w:fldChar w:fldCharType="separate"/>
      </w:r>
      <w:r w:rsidR="00AA6B4A">
        <w:rPr>
          <w:noProof/>
        </w:rPr>
        <w:t>1580</w:t>
      </w:r>
      <w:r>
        <w:fldChar w:fldCharType="end"/>
      </w:r>
    </w:p>
    <w:p w:rsidR="00FD0DC7" w:rsidRDefault="00FD0DC7" w:rsidP="00FD0DC7"/>
    <w:p w:rsidR="00FD0DC7" w:rsidRDefault="00FD0DC7" w:rsidP="00FD0DC7">
      <w:pPr>
        <w:pStyle w:val="EntradandiceSentencia"/>
      </w:pPr>
      <w:r>
        <w:t>Sala Segunda. Sentencia 87/2015, de 11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4521-2009. </w:t>
      </w:r>
      <w:r w:rsidRPr="00FD0DC7">
        <w:rPr>
          <w:rStyle w:val="TextoNormalCursivaCaracter"/>
        </w:rPr>
        <w:t xml:space="preserve"> Vulneración del derecho a un proceso sin dilaciones indebidas: demora superior a tres años en la celebración de la vista del juicio en un procedimiento abreviado contencioso-administrativo (STC 142/2010).</w:t>
      </w:r>
      <w:r>
        <w:tab/>
      </w:r>
      <w:r>
        <w:tab/>
      </w:r>
      <w:r>
        <w:fldChar w:fldCharType="begin"/>
      </w:r>
      <w:r>
        <w:instrText xml:space="preserve"> PAGEREF SENTENCIA_2015_87 \h </w:instrText>
      </w:r>
      <w:r>
        <w:fldChar w:fldCharType="separate"/>
      </w:r>
      <w:r w:rsidR="00AA6B4A">
        <w:rPr>
          <w:noProof/>
        </w:rPr>
        <w:t>1589</w:t>
      </w:r>
      <w:r>
        <w:fldChar w:fldCharType="end"/>
      </w:r>
    </w:p>
    <w:p w:rsidR="00FD0DC7" w:rsidRDefault="00FD0DC7" w:rsidP="00FD0DC7"/>
    <w:p w:rsidR="00FD0DC7" w:rsidRDefault="00FD0DC7" w:rsidP="00FD0DC7">
      <w:pPr>
        <w:pStyle w:val="EntradandiceSentencia"/>
      </w:pPr>
      <w:r>
        <w:t>Sala Segunda. Sentencia 88/2015, de 11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2151-2010. </w:t>
      </w:r>
      <w:r w:rsidRPr="00FD0DC7">
        <w:rPr>
          <w:rStyle w:val="TextoNormalCursivaCaracter"/>
        </w:rPr>
        <w:t xml:space="preserve"> Vulneración del derecho a un proceso sin dilaciones indebidas: demora superior a dos años en la celebración de la vista del juicio en un procedimiento abreviado contencioso-administrativo (STC 142/2010).</w:t>
      </w:r>
      <w:r>
        <w:tab/>
      </w:r>
      <w:r>
        <w:tab/>
      </w:r>
      <w:r>
        <w:fldChar w:fldCharType="begin"/>
      </w:r>
      <w:r>
        <w:instrText xml:space="preserve"> PAGEREF SENTENCIA_2015_88 \h </w:instrText>
      </w:r>
      <w:r>
        <w:fldChar w:fldCharType="separate"/>
      </w:r>
      <w:r w:rsidR="00AA6B4A">
        <w:rPr>
          <w:noProof/>
        </w:rPr>
        <w:t>1598</w:t>
      </w:r>
      <w:r>
        <w:fldChar w:fldCharType="end"/>
      </w:r>
    </w:p>
    <w:p w:rsidR="00FD0DC7" w:rsidRDefault="00FD0DC7" w:rsidP="00FD0DC7"/>
    <w:p w:rsidR="00FD0DC7" w:rsidRDefault="00FD0DC7" w:rsidP="00FD0DC7">
      <w:pPr>
        <w:pStyle w:val="EntradandiceSentencia"/>
      </w:pPr>
      <w:r>
        <w:t>Sala Segunda. Sentencia 89/2015, de 11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7556-2013. </w:t>
      </w:r>
      <w:r w:rsidRPr="00FD0DC7">
        <w:rPr>
          <w:rStyle w:val="TextoNormalCursivaCaracter"/>
        </w:rPr>
        <w:t xml:space="preserve"> Vulneración del derecho a la tutela judicial sin indefensión: emplazamiento mediante edictos de la demandada sin agotar los medios de conocimiento de su domicilio real (STC 122/2013).</w:t>
      </w:r>
      <w:r>
        <w:tab/>
      </w:r>
      <w:r>
        <w:tab/>
      </w:r>
      <w:r>
        <w:fldChar w:fldCharType="begin"/>
      </w:r>
      <w:r>
        <w:instrText xml:space="preserve"> PAGEREF SENTENCIA_2015_89 \h </w:instrText>
      </w:r>
      <w:r>
        <w:fldChar w:fldCharType="separate"/>
      </w:r>
      <w:r w:rsidR="00AA6B4A">
        <w:rPr>
          <w:noProof/>
        </w:rPr>
        <w:t>1607</w:t>
      </w:r>
      <w:r>
        <w:fldChar w:fldCharType="end"/>
      </w:r>
    </w:p>
    <w:p w:rsidR="00FD0DC7" w:rsidRDefault="00FD0DC7" w:rsidP="00FD0DC7"/>
    <w:p w:rsidR="00FD0DC7" w:rsidRDefault="00FD0DC7" w:rsidP="00FD0DC7">
      <w:pPr>
        <w:pStyle w:val="EntradandiceSentencia"/>
      </w:pPr>
      <w:r>
        <w:t>Sala Segunda. Sentencia 90/2015, de 11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393-2014. </w:t>
      </w:r>
      <w:r w:rsidRPr="00FD0DC7">
        <w:rPr>
          <w:rStyle w:val="TextoNormalCursivaCaracter"/>
        </w:rPr>
        <w:t xml:space="preserve"> Vulneración del derecho a la tutela judicial efectiva (acceso al recurso legal): denegación del derecho a la asistencia jurídica gratuita al no haberse solicitado en primera instancia ni acreditado que las circunstancias económicas y condiciones necesarias para su obtención sobrevinieran posteriormente.</w:t>
      </w:r>
      <w:r>
        <w:tab/>
      </w:r>
      <w:r>
        <w:tab/>
      </w:r>
      <w:r>
        <w:fldChar w:fldCharType="begin"/>
      </w:r>
      <w:r>
        <w:instrText xml:space="preserve"> PAGEREF SENTENCIA_2015_90 \h </w:instrText>
      </w:r>
      <w:r>
        <w:fldChar w:fldCharType="separate"/>
      </w:r>
      <w:r w:rsidR="00AA6B4A">
        <w:rPr>
          <w:noProof/>
        </w:rPr>
        <w:t>1616</w:t>
      </w:r>
      <w:r>
        <w:fldChar w:fldCharType="end"/>
      </w:r>
    </w:p>
    <w:p w:rsidR="00FD0DC7" w:rsidRDefault="00FD0DC7" w:rsidP="00FD0DC7"/>
    <w:p w:rsidR="00FD0DC7" w:rsidRDefault="00FD0DC7" w:rsidP="00FD0DC7">
      <w:pPr>
        <w:pStyle w:val="EntradandiceSentencia"/>
      </w:pPr>
      <w:r>
        <w:t>Sala Segunda. Sentencia 91/2015, de 11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4102-2014. </w:t>
      </w:r>
      <w:r w:rsidRPr="00FD0DC7">
        <w:rPr>
          <w:rStyle w:val="TextoNormalCursivaCaracter"/>
        </w:rPr>
        <w:t xml:space="preserve"> Vulneración del derecho a la tutela judicial efectiva (acceso al recurso): inadmisión sin motivación de un incidente de nulidad de actuaciones (STC 204/2014).</w:t>
      </w:r>
      <w:r>
        <w:tab/>
      </w:r>
      <w:r>
        <w:tab/>
      </w:r>
      <w:r>
        <w:fldChar w:fldCharType="begin"/>
      </w:r>
      <w:r>
        <w:instrText xml:space="preserve"> PAGEREF SENTENCIA_2015_91 \h </w:instrText>
      </w:r>
      <w:r>
        <w:fldChar w:fldCharType="separate"/>
      </w:r>
      <w:r w:rsidR="00AA6B4A">
        <w:rPr>
          <w:noProof/>
        </w:rPr>
        <w:t>1628</w:t>
      </w:r>
      <w:r>
        <w:fldChar w:fldCharType="end"/>
      </w:r>
    </w:p>
    <w:p w:rsidR="00FD0DC7" w:rsidRDefault="00FD0DC7" w:rsidP="00FD0DC7"/>
    <w:p w:rsidR="00FD0DC7" w:rsidRDefault="00FD0DC7" w:rsidP="00FD0DC7">
      <w:pPr>
        <w:pStyle w:val="EntradandiceSentencia"/>
      </w:pPr>
      <w:r>
        <w:t>Pleno. Sentencia 92/2015, de 14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Conflicto en defensa de la autonomía local 1501-2005. </w:t>
      </w:r>
      <w:r w:rsidRPr="00FD0DC7">
        <w:rPr>
          <w:rStyle w:val="TextoNormalCursivaCaracter"/>
        </w:rPr>
        <w:t xml:space="preserve"> Autonomía local, ordenación del territorio, urbanismo y medio ambiente: extinción parcial del conflicto en defensa de la autonomía local, constitucionalidad de los preceptos legales cuyas determinaciones urbanísticas y de ordenación territorial se imponen a los instrumentos de planeamiento local (STC 57/2015).</w:t>
      </w:r>
      <w:r>
        <w:tab/>
      </w:r>
      <w:r>
        <w:tab/>
      </w:r>
      <w:r>
        <w:fldChar w:fldCharType="begin"/>
      </w:r>
      <w:r>
        <w:instrText xml:space="preserve"> PAGEREF SENTENCIA_2015_92 \h </w:instrText>
      </w:r>
      <w:r>
        <w:fldChar w:fldCharType="separate"/>
      </w:r>
      <w:r w:rsidR="00AA6B4A">
        <w:rPr>
          <w:noProof/>
        </w:rPr>
        <w:t>1635</w:t>
      </w:r>
      <w:r>
        <w:fldChar w:fldCharType="end"/>
      </w:r>
    </w:p>
    <w:p w:rsidR="00FD0DC7" w:rsidRDefault="00FD0DC7" w:rsidP="00FD0DC7"/>
    <w:p w:rsidR="00FD0DC7" w:rsidRDefault="00FD0DC7" w:rsidP="00FD0DC7">
      <w:pPr>
        <w:pStyle w:val="EntradandiceSentencia"/>
      </w:pPr>
      <w:r>
        <w:t>Pleno. Sentencia 93/2015, de 14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4286-2013. </w:t>
      </w:r>
      <w:r w:rsidRPr="00FD0DC7">
        <w:rPr>
          <w:rStyle w:val="TextoNormalCursivaCaracter"/>
        </w:rPr>
        <w:t xml:space="preserve"> Límites a los decretos-leyes, derecho de propiedad y competencias sobre condiciones básicas de igualdad, legislación civil y ordenación general de la economía: Nulidad de los preceptos legales que definen el contenido esencial del derecho de propiedad y regulan la expropiación de viviendas deshabitadas, interpretación conforme del precepto que establece la definición de viviendas deshabitadas. Votos particulares.</w:t>
      </w:r>
      <w:r>
        <w:tab/>
      </w:r>
      <w:r>
        <w:tab/>
      </w:r>
      <w:r>
        <w:fldChar w:fldCharType="begin"/>
      </w:r>
      <w:r>
        <w:instrText xml:space="preserve"> PAGEREF SENTENCIA_2015_93 \h </w:instrText>
      </w:r>
      <w:r>
        <w:fldChar w:fldCharType="separate"/>
      </w:r>
      <w:r w:rsidR="00AA6B4A">
        <w:rPr>
          <w:noProof/>
        </w:rPr>
        <w:t>1673</w:t>
      </w:r>
      <w:r>
        <w:fldChar w:fldCharType="end"/>
      </w:r>
    </w:p>
    <w:p w:rsidR="00FD0DC7" w:rsidRDefault="00FD0DC7" w:rsidP="00FD0DC7"/>
    <w:p w:rsidR="00FD0DC7" w:rsidRDefault="00FD0DC7" w:rsidP="00FD0DC7">
      <w:pPr>
        <w:pStyle w:val="EntradandiceSentencia"/>
      </w:pPr>
      <w:r>
        <w:t>Pleno. Sentencia 94/2015, de 14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4834-2013. </w:t>
      </w:r>
      <w:r w:rsidRPr="00FD0DC7">
        <w:rPr>
          <w:rStyle w:val="TextoNormalCursivaCaracter"/>
        </w:rPr>
        <w:t xml:space="preserve"> Competencias sobre ordenación general de la economía y principios de coordinación entre haciendas públicas y de estabilidad presupuestaria: nulidad de la Ley Foral, que establece el término para el abono del complemento personal transitorio por pérdida de poder adquisitivo.</w:t>
      </w:r>
      <w:r>
        <w:tab/>
      </w:r>
      <w:r>
        <w:tab/>
      </w:r>
      <w:r>
        <w:fldChar w:fldCharType="begin"/>
      </w:r>
      <w:r>
        <w:instrText xml:space="preserve"> PAGEREF SENTENCIA_2015_94 \h </w:instrText>
      </w:r>
      <w:r>
        <w:fldChar w:fldCharType="separate"/>
      </w:r>
      <w:r w:rsidR="00AA6B4A">
        <w:rPr>
          <w:noProof/>
        </w:rPr>
        <w:t>1726</w:t>
      </w:r>
      <w:r>
        <w:fldChar w:fldCharType="end"/>
      </w:r>
    </w:p>
    <w:p w:rsidR="00FD0DC7" w:rsidRDefault="00FD0DC7" w:rsidP="00FD0DC7"/>
    <w:p w:rsidR="00FD0DC7" w:rsidRDefault="00FD0DC7" w:rsidP="00FD0DC7">
      <w:pPr>
        <w:pStyle w:val="EntradandiceSentencia"/>
      </w:pPr>
      <w:r>
        <w:t>Pleno. Sentencia 95/2015, de 14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7434-2013. </w:t>
      </w:r>
      <w:r w:rsidRPr="00FD0DC7">
        <w:rPr>
          <w:rStyle w:val="TextoNormalCursivaCaracter"/>
        </w:rPr>
        <w:t xml:space="preserve"> Principio de irretroactividad de las normas restrictivas de derechos individuales y límites a los decretos-leyes: acreditación de la concurrencia del presupuesto habilitante; constitucionalidad de la suspensión de la paga única compensatoria prevista para el caso de que el índice de precios al consumo real sea superior al previsto (STC 49/2015). Voto particular.</w:t>
      </w:r>
      <w:r>
        <w:tab/>
      </w:r>
      <w:r>
        <w:tab/>
      </w:r>
      <w:r>
        <w:fldChar w:fldCharType="begin"/>
      </w:r>
      <w:r>
        <w:instrText xml:space="preserve"> PAGEREF SENTENCIA_2015_95 \h </w:instrText>
      </w:r>
      <w:r>
        <w:fldChar w:fldCharType="separate"/>
      </w:r>
      <w:r w:rsidR="00AA6B4A">
        <w:rPr>
          <w:noProof/>
        </w:rPr>
        <w:t>1738</w:t>
      </w:r>
      <w:r>
        <w:fldChar w:fldCharType="end"/>
      </w:r>
    </w:p>
    <w:p w:rsidR="00FD0DC7" w:rsidRDefault="00FD0DC7" w:rsidP="00FD0DC7"/>
    <w:p w:rsidR="00FD0DC7" w:rsidRDefault="00FD0DC7" w:rsidP="00FD0DC7">
      <w:pPr>
        <w:pStyle w:val="EntradandiceSentencia"/>
      </w:pPr>
      <w:r>
        <w:t>Sala Segunda. Sentencia 96/2015, de 25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5619-2012. </w:t>
      </w:r>
      <w:r w:rsidRPr="00FD0DC7">
        <w:rPr>
          <w:rStyle w:val="TextoNormalCursivaCaracter"/>
        </w:rPr>
        <w:t xml:space="preserve"> Vulneración del derecho a la tutela judicial efectiva (acceso al recurso): inadmisión sin motivación de un incidente de nulidad de actuaciones (STC 204/2014).</w:t>
      </w:r>
      <w:r>
        <w:tab/>
      </w:r>
      <w:r>
        <w:tab/>
      </w:r>
      <w:r>
        <w:fldChar w:fldCharType="begin"/>
      </w:r>
      <w:r>
        <w:instrText xml:space="preserve"> PAGEREF SENTENCIA_2015_96 \h </w:instrText>
      </w:r>
      <w:r>
        <w:fldChar w:fldCharType="separate"/>
      </w:r>
      <w:r w:rsidR="00AA6B4A">
        <w:rPr>
          <w:noProof/>
        </w:rPr>
        <w:t>1758</w:t>
      </w:r>
      <w:r>
        <w:fldChar w:fldCharType="end"/>
      </w:r>
    </w:p>
    <w:p w:rsidR="00FD0DC7" w:rsidRDefault="00FD0DC7" w:rsidP="00FD0DC7"/>
    <w:p w:rsidR="00FD0DC7" w:rsidRDefault="00FD0DC7" w:rsidP="00FD0DC7">
      <w:pPr>
        <w:pStyle w:val="EntradandiceSentencia"/>
      </w:pPr>
      <w:r>
        <w:t>Sala Primera. Sentencia 97/2015, de 25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5391-2013. </w:t>
      </w:r>
      <w:r w:rsidRPr="00FD0DC7">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SENTENCIA_2015_97 \h </w:instrText>
      </w:r>
      <w:r>
        <w:fldChar w:fldCharType="separate"/>
      </w:r>
      <w:r w:rsidR="00AA6B4A">
        <w:rPr>
          <w:noProof/>
        </w:rPr>
        <w:t>1766</w:t>
      </w:r>
      <w:r>
        <w:fldChar w:fldCharType="end"/>
      </w:r>
    </w:p>
    <w:p w:rsidR="00FD0DC7" w:rsidRDefault="00FD0DC7" w:rsidP="00FD0DC7"/>
    <w:p w:rsidR="00FD0DC7" w:rsidRDefault="00FD0DC7" w:rsidP="00FD0DC7">
      <w:pPr>
        <w:pStyle w:val="EntradandiceSentencia"/>
      </w:pPr>
      <w:r>
        <w:t>Sala Segunda. Sentencia 98/2015, de 25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6628-2013. </w:t>
      </w:r>
      <w:r w:rsidRPr="00FD0DC7">
        <w:rPr>
          <w:rStyle w:val="TextoNormalCursivaCaracter"/>
        </w:rPr>
        <w:t xml:space="preserve"> Vulneración del derecho a la tutela judicial efectiva (acceso al recurso): inadmisión sin motivación de un incidente de nulidad de actuaciones (STC 204/2014).</w:t>
      </w:r>
      <w:r>
        <w:tab/>
      </w:r>
      <w:r>
        <w:tab/>
      </w:r>
      <w:r>
        <w:fldChar w:fldCharType="begin"/>
      </w:r>
      <w:r>
        <w:instrText xml:space="preserve"> PAGEREF SENTENCIA_2015_98 \h </w:instrText>
      </w:r>
      <w:r>
        <w:fldChar w:fldCharType="separate"/>
      </w:r>
      <w:r w:rsidR="00AA6B4A">
        <w:rPr>
          <w:noProof/>
        </w:rPr>
        <w:t>1780</w:t>
      </w:r>
      <w:r>
        <w:fldChar w:fldCharType="end"/>
      </w:r>
    </w:p>
    <w:p w:rsidR="00FD0DC7" w:rsidRDefault="00FD0DC7" w:rsidP="00FD0DC7"/>
    <w:p w:rsidR="00FD0DC7" w:rsidRDefault="00FD0DC7" w:rsidP="00FD0DC7">
      <w:pPr>
        <w:pStyle w:val="EntradandiceSentencia"/>
      </w:pPr>
      <w:r>
        <w:t>Sala Primera. Sentencia 99/2015, de 25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1082-2014. </w:t>
      </w:r>
      <w:r w:rsidRPr="00FD0DC7">
        <w:rPr>
          <w:rStyle w:val="TextoNormalCursivaCaracter"/>
        </w:rPr>
        <w:t xml:space="preserve"> Supuesta vulneración de los derechos a la tutela judicial efectiva, al juez ordinario predeterminado por la ley y a un proceso con todas las garantías: negativa no arbitraria ni irrazonable a plantear cuestión prejudicial ante el Tribunal de Justicia de la Unión Europea (STC 27/2013).</w:t>
      </w:r>
      <w:r>
        <w:tab/>
      </w:r>
      <w:r>
        <w:tab/>
      </w:r>
      <w:r>
        <w:fldChar w:fldCharType="begin"/>
      </w:r>
      <w:r>
        <w:instrText xml:space="preserve"> PAGEREF SENTENCIA_2015_99 \h </w:instrText>
      </w:r>
      <w:r>
        <w:fldChar w:fldCharType="separate"/>
      </w:r>
      <w:r w:rsidR="00AA6B4A">
        <w:rPr>
          <w:noProof/>
        </w:rPr>
        <w:t>1787</w:t>
      </w:r>
      <w:r>
        <w:fldChar w:fldCharType="end"/>
      </w:r>
    </w:p>
    <w:p w:rsidR="00FD0DC7" w:rsidRDefault="00FD0DC7" w:rsidP="00FD0DC7"/>
    <w:p w:rsidR="00FD0DC7" w:rsidRDefault="00FD0DC7" w:rsidP="00FD0DC7">
      <w:pPr>
        <w:pStyle w:val="EntradandiceSentencia"/>
      </w:pPr>
      <w:r>
        <w:t>Sala Primera. Sentencia 100/2015, de 25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1629-2014. </w:t>
      </w:r>
      <w:r w:rsidRPr="00FD0DC7">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SENTENCIA_2015_100 \h </w:instrText>
      </w:r>
      <w:r>
        <w:fldChar w:fldCharType="separate"/>
      </w:r>
      <w:r w:rsidR="00AA6B4A">
        <w:rPr>
          <w:noProof/>
        </w:rPr>
        <w:t>1803</w:t>
      </w:r>
      <w:r>
        <w:fldChar w:fldCharType="end"/>
      </w:r>
    </w:p>
    <w:p w:rsidR="00FD0DC7" w:rsidRDefault="00FD0DC7" w:rsidP="00FD0DC7"/>
    <w:p w:rsidR="00FD0DC7" w:rsidRDefault="00FD0DC7" w:rsidP="00FD0DC7">
      <w:pPr>
        <w:pStyle w:val="EntradandiceSentencia"/>
      </w:pPr>
      <w:r>
        <w:t>Sala Segunda. Sentencia 101/2015, de 25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3874-2014. </w:t>
      </w:r>
      <w:r w:rsidRPr="00FD0DC7">
        <w:rPr>
          <w:rStyle w:val="TextoNormalCursivaCaracter"/>
        </w:rPr>
        <w:t xml:space="preserve"> Vulneración del derecho a la tutela judicial efectiva (resolución fundada en Derecho): Sentencia que establece una presunción de ganancialidad del bien controvertido (STC 102/2014).</w:t>
      </w:r>
      <w:r>
        <w:tab/>
      </w:r>
      <w:r>
        <w:tab/>
      </w:r>
      <w:r>
        <w:fldChar w:fldCharType="begin"/>
      </w:r>
      <w:r>
        <w:instrText xml:space="preserve"> PAGEREF SENTENCIA_2015_101 \h </w:instrText>
      </w:r>
      <w:r>
        <w:fldChar w:fldCharType="separate"/>
      </w:r>
      <w:r w:rsidR="00AA6B4A">
        <w:rPr>
          <w:noProof/>
        </w:rPr>
        <w:t>1814</w:t>
      </w:r>
      <w:r>
        <w:fldChar w:fldCharType="end"/>
      </w:r>
    </w:p>
    <w:p w:rsidR="00FD0DC7" w:rsidRDefault="00FD0DC7" w:rsidP="00FD0DC7"/>
    <w:p w:rsidR="00FD0DC7" w:rsidRDefault="00FD0DC7" w:rsidP="00FD0DC7">
      <w:pPr>
        <w:pStyle w:val="EntradandiceSentencia"/>
      </w:pPr>
      <w:r>
        <w:t>Pleno. Sentencia 102/2015, de 26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275-2015. </w:t>
      </w:r>
      <w:r w:rsidRPr="00FD0DC7">
        <w:rPr>
          <w:rStyle w:val="TextoNormalCursivaCaracter"/>
        </w:rPr>
        <w:t xml:space="preserve"> Competencias financieras, finalidad recaudatoria de los tributos, compensación por ocupación del hecho imponible: constitucionalidad del precepto legal estatal que regula el impuesto sobre los depósitos en las entidades de crédito (STC 73/2015).</w:t>
      </w:r>
      <w:r>
        <w:tab/>
      </w:r>
      <w:r>
        <w:tab/>
      </w:r>
      <w:r>
        <w:fldChar w:fldCharType="begin"/>
      </w:r>
      <w:r>
        <w:instrText xml:space="preserve"> PAGEREF SENTENCIA_2015_102 \h </w:instrText>
      </w:r>
      <w:r>
        <w:fldChar w:fldCharType="separate"/>
      </w:r>
      <w:r w:rsidR="00AA6B4A">
        <w:rPr>
          <w:noProof/>
        </w:rPr>
        <w:t>1823</w:t>
      </w:r>
      <w:r>
        <w:fldChar w:fldCharType="end"/>
      </w:r>
    </w:p>
    <w:p w:rsidR="00FD0DC7" w:rsidRDefault="00FD0DC7" w:rsidP="00FD0DC7"/>
    <w:p w:rsidR="00FD0DC7" w:rsidRDefault="00FD0DC7" w:rsidP="00FD0DC7">
      <w:pPr>
        <w:pStyle w:val="EntradandiceSentencia"/>
      </w:pPr>
      <w:r>
        <w:t>Pleno. Sentencia 103/2015,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1895-2012. </w:t>
      </w:r>
      <w:r w:rsidRPr="00FD0DC7">
        <w:rPr>
          <w:rStyle w:val="TextoNormalCursivaCaracter"/>
        </w:rPr>
        <w:t xml:space="preserve"> Principios de irretroactividad de las normas restrictivas de derechos individuales y de seguridad jurídica, competencias sobre contratación pública y concesiones y en materia de procedimiento administrativo: constitucionalidad del precepto legal autonómico que modifica el régimen jurídico del Canal de Isabel II.</w:t>
      </w:r>
      <w:r>
        <w:tab/>
      </w:r>
      <w:r>
        <w:tab/>
      </w:r>
      <w:r>
        <w:fldChar w:fldCharType="begin"/>
      </w:r>
      <w:r>
        <w:instrText xml:space="preserve"> PAGEREF SENTENCIA_2015_103 \h </w:instrText>
      </w:r>
      <w:r>
        <w:fldChar w:fldCharType="separate"/>
      </w:r>
      <w:r w:rsidR="00AA6B4A">
        <w:rPr>
          <w:noProof/>
        </w:rPr>
        <w:t>1838</w:t>
      </w:r>
      <w:r>
        <w:fldChar w:fldCharType="end"/>
      </w:r>
    </w:p>
    <w:p w:rsidR="00FD0DC7" w:rsidRDefault="00FD0DC7" w:rsidP="00FD0DC7"/>
    <w:p w:rsidR="00FD0DC7" w:rsidRDefault="00FD0DC7" w:rsidP="00FD0DC7">
      <w:pPr>
        <w:pStyle w:val="EntradandiceSentencia"/>
      </w:pPr>
      <w:r>
        <w:t>Pleno. Sentencia 104/2015,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2063-2012. </w:t>
      </w:r>
      <w:r w:rsidRPr="00FD0DC7">
        <w:rPr>
          <w:rStyle w:val="TextoNormalCursivaCaracter"/>
        </w:rPr>
        <w:t xml:space="preserve"> Límites de los decretos-leyes autonómicos: constitucionalidad de las disposiciones sobre personal laboral del sector público de la Comunidad Valenciana contenidas en el Decreto-ley impugnado. Voto particular.</w:t>
      </w:r>
      <w:r>
        <w:tab/>
      </w:r>
      <w:r>
        <w:tab/>
      </w:r>
      <w:r>
        <w:fldChar w:fldCharType="begin"/>
      </w:r>
      <w:r>
        <w:instrText xml:space="preserve"> PAGEREF SENTENCIA_2015_104 \h </w:instrText>
      </w:r>
      <w:r>
        <w:fldChar w:fldCharType="separate"/>
      </w:r>
      <w:r w:rsidR="00AA6B4A">
        <w:rPr>
          <w:noProof/>
        </w:rPr>
        <w:t>1867</w:t>
      </w:r>
      <w:r>
        <w:fldChar w:fldCharType="end"/>
      </w:r>
    </w:p>
    <w:p w:rsidR="00FD0DC7" w:rsidRDefault="00FD0DC7" w:rsidP="00FD0DC7"/>
    <w:p w:rsidR="00FD0DC7" w:rsidRDefault="00FD0DC7" w:rsidP="00FD0DC7">
      <w:pPr>
        <w:pStyle w:val="EntradandiceSentencia"/>
      </w:pPr>
      <w:r>
        <w:t>Pleno. Sentencia 105/2015,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6066-2012. </w:t>
      </w:r>
      <w:r w:rsidRPr="00FD0DC7">
        <w:rPr>
          <w:rStyle w:val="TextoNormalCursivaCaracter"/>
        </w:rPr>
        <w:t xml:space="preserve"> Límites de los decretos-leyes y principio de seguridad jurídica: pérdida sobrevenida parcial del objeto del recurso, constitucionalidad de las disposiciones subsistentes (STC 48/2015).</w:t>
      </w:r>
      <w:r>
        <w:tab/>
      </w:r>
      <w:r>
        <w:tab/>
      </w:r>
      <w:r>
        <w:fldChar w:fldCharType="begin"/>
      </w:r>
      <w:r>
        <w:instrText xml:space="preserve"> PAGEREF SENTENCIA_2015_105 \h </w:instrText>
      </w:r>
      <w:r>
        <w:fldChar w:fldCharType="separate"/>
      </w:r>
      <w:r w:rsidR="00AA6B4A">
        <w:rPr>
          <w:noProof/>
        </w:rPr>
        <w:t>1905</w:t>
      </w:r>
      <w:r>
        <w:fldChar w:fldCharType="end"/>
      </w:r>
    </w:p>
    <w:p w:rsidR="00FD0DC7" w:rsidRDefault="00FD0DC7" w:rsidP="00FD0DC7"/>
    <w:p w:rsidR="00FD0DC7" w:rsidRDefault="00FD0DC7" w:rsidP="00FD0DC7">
      <w:pPr>
        <w:pStyle w:val="EntradandiceSentencia"/>
      </w:pPr>
      <w:r>
        <w:t>Pleno. Sentencia 106/2015,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6084-2012. </w:t>
      </w:r>
      <w:r w:rsidRPr="00FD0DC7">
        <w:rPr>
          <w:rStyle w:val="TextoNormalCursivaCaracter"/>
        </w:rPr>
        <w:t xml:space="preserve"> Límites de los decretos-leyes y principio de seguridad jurídica: pérdida sobrevenida parcial del objeto del recurso, constitucionalidad de las disposiciones subsistentes (STC 48/2015).</w:t>
      </w:r>
      <w:r>
        <w:tab/>
      </w:r>
      <w:r>
        <w:tab/>
      </w:r>
      <w:r>
        <w:fldChar w:fldCharType="begin"/>
      </w:r>
      <w:r>
        <w:instrText xml:space="preserve"> PAGEREF SENTENCIA_2015_106 \h </w:instrText>
      </w:r>
      <w:r>
        <w:fldChar w:fldCharType="separate"/>
      </w:r>
      <w:r w:rsidR="00AA6B4A">
        <w:rPr>
          <w:noProof/>
        </w:rPr>
        <w:t>1916</w:t>
      </w:r>
      <w:r>
        <w:fldChar w:fldCharType="end"/>
      </w:r>
    </w:p>
    <w:p w:rsidR="00FD0DC7" w:rsidRDefault="00FD0DC7" w:rsidP="00FD0DC7"/>
    <w:p w:rsidR="00FD0DC7" w:rsidRDefault="00FD0DC7" w:rsidP="00FD0DC7">
      <w:pPr>
        <w:pStyle w:val="EntradandiceSentencia"/>
      </w:pPr>
      <w:r>
        <w:t>Pleno. Sentencia 107/2015,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7279-2012. </w:t>
      </w:r>
      <w:r w:rsidRPr="00FD0DC7">
        <w:rPr>
          <w:rStyle w:val="TextoNormalCursivaCaracter"/>
        </w:rPr>
        <w:t xml:space="preserve"> Límites a los decretos-leyes autonómicos: nulidad del decreto-ley que, vulnerando las limitaciones establecidas por el Estatuto de Autonomía, crea un tributo autonómico (STC 93/2015).</w:t>
      </w:r>
      <w:r>
        <w:tab/>
      </w:r>
      <w:r>
        <w:tab/>
      </w:r>
      <w:r>
        <w:fldChar w:fldCharType="begin"/>
      </w:r>
      <w:r>
        <w:instrText xml:space="preserve"> PAGEREF SENTENCIA_2015_107 \h </w:instrText>
      </w:r>
      <w:r>
        <w:fldChar w:fldCharType="separate"/>
      </w:r>
      <w:r w:rsidR="00AA6B4A">
        <w:rPr>
          <w:noProof/>
        </w:rPr>
        <w:t>1928</w:t>
      </w:r>
      <w:r>
        <w:fldChar w:fldCharType="end"/>
      </w:r>
    </w:p>
    <w:p w:rsidR="00FD0DC7" w:rsidRDefault="00FD0DC7" w:rsidP="00FD0DC7"/>
    <w:p w:rsidR="00FD0DC7" w:rsidRDefault="00FD0DC7" w:rsidP="00FD0DC7">
      <w:pPr>
        <w:pStyle w:val="EntradandiceSentencia"/>
      </w:pPr>
      <w:r>
        <w:t>Pleno. Sentencia 108/2015,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631-2013. </w:t>
      </w:r>
      <w:r w:rsidRPr="00FD0DC7">
        <w:rPr>
          <w:rStyle w:val="TextoNormalCursivaCaracter"/>
        </w:rPr>
        <w:t xml:space="preserve"> Límites materiales de las leyes de presupuestos: nulidad del precepto legal autonómico que establece un impuesto sobre los depósitos en las entidades de crédito (STC 30/2015).</w:t>
      </w:r>
      <w:r>
        <w:tab/>
      </w:r>
      <w:r>
        <w:tab/>
      </w:r>
      <w:r>
        <w:fldChar w:fldCharType="begin"/>
      </w:r>
      <w:r>
        <w:instrText xml:space="preserve"> PAGEREF SENTENCIA_2015_108 \h </w:instrText>
      </w:r>
      <w:r>
        <w:fldChar w:fldCharType="separate"/>
      </w:r>
      <w:r w:rsidR="00AA6B4A">
        <w:rPr>
          <w:noProof/>
        </w:rPr>
        <w:t>1943</w:t>
      </w:r>
      <w:r>
        <w:fldChar w:fldCharType="end"/>
      </w:r>
    </w:p>
    <w:p w:rsidR="00FD0DC7" w:rsidRDefault="00FD0DC7" w:rsidP="00FD0DC7"/>
    <w:p w:rsidR="00FD0DC7" w:rsidRDefault="00FD0DC7" w:rsidP="00FD0DC7">
      <w:pPr>
        <w:pStyle w:val="EntradandiceSentencia"/>
      </w:pPr>
      <w:r>
        <w:t>Pleno. Sentencia 109/2015,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1457-2014. </w:t>
      </w:r>
      <w:r w:rsidRPr="00FD0DC7">
        <w:rPr>
          <w:rStyle w:val="TextoNormalCursivaCaracter"/>
        </w:rPr>
        <w:t xml:space="preserve"> Principio de irretroactividad de las normas restrictivas de derechos individuales, expropiación de derechos y pensiones adecuadas y actualizadas: constitucionalidad del precepto sobre actualización y revalorización de pensiones (STC 49/2015). Voto particular.</w:t>
      </w:r>
      <w:r>
        <w:tab/>
      </w:r>
      <w:r>
        <w:tab/>
      </w:r>
      <w:r>
        <w:fldChar w:fldCharType="begin"/>
      </w:r>
      <w:r>
        <w:instrText xml:space="preserve"> PAGEREF SENTENCIA_2015_109 \h </w:instrText>
      </w:r>
      <w:r>
        <w:fldChar w:fldCharType="separate"/>
      </w:r>
      <w:r w:rsidR="00AA6B4A">
        <w:rPr>
          <w:noProof/>
        </w:rPr>
        <w:t>1954</w:t>
      </w:r>
      <w:r>
        <w:fldChar w:fldCharType="end"/>
      </w:r>
    </w:p>
    <w:p w:rsidR="00FD0DC7" w:rsidRDefault="00FD0DC7" w:rsidP="00FD0DC7"/>
    <w:p w:rsidR="00FD0DC7" w:rsidRDefault="00FD0DC7" w:rsidP="00FD0DC7">
      <w:pPr>
        <w:pStyle w:val="EntradandiceSentencia"/>
      </w:pPr>
      <w:r>
        <w:t>Pleno. Sentencia 110/2015,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2502-2014. </w:t>
      </w:r>
      <w:r w:rsidRPr="00FD0DC7">
        <w:rPr>
          <w:rStyle w:val="TextoNormalCursivaCaracter"/>
        </w:rPr>
        <w:t xml:space="preserve"> Principios de igualdad e interdicción de la arbitrariedad de los poderes públicos: constitucionalidad del precepto legal que establece la regla para el cálculo de la base reguladora de las prestaciones de jubilación e incapacidad permanente de los trabajadores contratados a tiempo parcial (STC 156/2014). Voto particular.</w:t>
      </w:r>
      <w:r>
        <w:tab/>
      </w:r>
      <w:r>
        <w:tab/>
      </w:r>
      <w:r>
        <w:fldChar w:fldCharType="begin"/>
      </w:r>
      <w:r>
        <w:instrText xml:space="preserve"> PAGEREF SENTENCIA_2015_110 \h </w:instrText>
      </w:r>
      <w:r>
        <w:fldChar w:fldCharType="separate"/>
      </w:r>
      <w:r w:rsidR="00AA6B4A">
        <w:rPr>
          <w:noProof/>
        </w:rPr>
        <w:t>1968</w:t>
      </w:r>
      <w:r>
        <w:fldChar w:fldCharType="end"/>
      </w:r>
    </w:p>
    <w:p w:rsidR="00FD0DC7" w:rsidRDefault="00FD0DC7" w:rsidP="00FD0DC7"/>
    <w:p w:rsidR="00FD0DC7" w:rsidRDefault="00FD0DC7" w:rsidP="00FD0DC7">
      <w:pPr>
        <w:pStyle w:val="EntradandiceSentencia"/>
      </w:pPr>
      <w:r>
        <w:t>Pleno. Sentencia 111/2015, de 28 de mayo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7870-2014. </w:t>
      </w:r>
      <w:r w:rsidRPr="00FD0DC7">
        <w:rPr>
          <w:rStyle w:val="TextoNormalCursivaCaracter"/>
        </w:rPr>
        <w:t xml:space="preserve"> Límites a la potestad tributaria de las Comunidades Autónomas: nulidad del precepto legal que regula el impuesto sobre los depósitos en las entidades de crédito (STC 30/2015).</w:t>
      </w:r>
      <w:r>
        <w:tab/>
      </w:r>
      <w:r>
        <w:tab/>
      </w:r>
      <w:r>
        <w:fldChar w:fldCharType="begin"/>
      </w:r>
      <w:r>
        <w:instrText xml:space="preserve"> PAGEREF SENTENCIA_2015_111 \h </w:instrText>
      </w:r>
      <w:r>
        <w:fldChar w:fldCharType="separate"/>
      </w:r>
      <w:r w:rsidR="00AA6B4A">
        <w:rPr>
          <w:noProof/>
        </w:rPr>
        <w:t>1998</w:t>
      </w:r>
      <w:r>
        <w:fldChar w:fldCharType="end"/>
      </w:r>
    </w:p>
    <w:p w:rsidR="00FD0DC7" w:rsidRDefault="00FD0DC7" w:rsidP="00FD0DC7"/>
    <w:p w:rsidR="00FD0DC7" w:rsidRDefault="00FD0DC7" w:rsidP="00FD0DC7">
      <w:pPr>
        <w:pStyle w:val="EntradandiceSentencia"/>
      </w:pPr>
      <w:r>
        <w:t>Sala Segunda. Sentencia 112/2015,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1281-2013. </w:t>
      </w:r>
      <w:r w:rsidRPr="00FD0DC7">
        <w:rPr>
          <w:rStyle w:val="TextoNormalCursivaCaracter"/>
        </w:rPr>
        <w:t xml:space="preserve"> Supuesta vulneración de los derechos a la tutela judicial efectiva y a la presunción de inocencia: resoluciones judiciales que anulan la Sentencia de instancia y el veredicto del jurado, y ordenan la retroacción de actuaciones sin prejuzgar el resultado del nuevo enjuiciamiento.</w:t>
      </w:r>
      <w:r>
        <w:tab/>
      </w:r>
      <w:r>
        <w:tab/>
      </w:r>
      <w:r>
        <w:fldChar w:fldCharType="begin"/>
      </w:r>
      <w:r>
        <w:instrText xml:space="preserve"> PAGEREF SENTENCIA_2015_112 \h </w:instrText>
      </w:r>
      <w:r>
        <w:fldChar w:fldCharType="separate"/>
      </w:r>
      <w:r w:rsidR="00AA6B4A">
        <w:rPr>
          <w:noProof/>
        </w:rPr>
        <w:t>2006</w:t>
      </w:r>
      <w:r>
        <w:fldChar w:fldCharType="end"/>
      </w:r>
    </w:p>
    <w:p w:rsidR="00FD0DC7" w:rsidRDefault="00FD0DC7" w:rsidP="00FD0DC7"/>
    <w:p w:rsidR="00FD0DC7" w:rsidRDefault="00FD0DC7" w:rsidP="00FD0DC7">
      <w:pPr>
        <w:pStyle w:val="EntradandiceSentencia"/>
      </w:pPr>
      <w:r>
        <w:t>Sala Primera. Sentencia 113/2015,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5080-2013. </w:t>
      </w:r>
      <w:r w:rsidRPr="00FD0DC7">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SENTENCIA_2015_113 \h </w:instrText>
      </w:r>
      <w:r>
        <w:fldChar w:fldCharType="separate"/>
      </w:r>
      <w:r w:rsidR="00AA6B4A">
        <w:rPr>
          <w:noProof/>
        </w:rPr>
        <w:t>2032</w:t>
      </w:r>
      <w:r>
        <w:fldChar w:fldCharType="end"/>
      </w:r>
    </w:p>
    <w:p w:rsidR="00FD0DC7" w:rsidRDefault="00FD0DC7" w:rsidP="00FD0DC7"/>
    <w:p w:rsidR="00FD0DC7" w:rsidRDefault="00FD0DC7" w:rsidP="00FD0DC7">
      <w:pPr>
        <w:pStyle w:val="EntradandiceSentencia"/>
      </w:pPr>
      <w:r>
        <w:t>Sala Primera. Sentencia 114/2015,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5490-2013. </w:t>
      </w:r>
      <w:r w:rsidRPr="00FD0DC7">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SENTENCIA_2015_114 \h </w:instrText>
      </w:r>
      <w:r>
        <w:fldChar w:fldCharType="separate"/>
      </w:r>
      <w:r w:rsidR="00AA6B4A">
        <w:rPr>
          <w:noProof/>
        </w:rPr>
        <w:t>2042</w:t>
      </w:r>
      <w:r>
        <w:fldChar w:fldCharType="end"/>
      </w:r>
    </w:p>
    <w:p w:rsidR="00FD0DC7" w:rsidRDefault="00FD0DC7" w:rsidP="00FD0DC7"/>
    <w:p w:rsidR="00FD0DC7" w:rsidRDefault="00FD0DC7" w:rsidP="00FD0DC7">
      <w:pPr>
        <w:pStyle w:val="EntradandiceSentencia"/>
      </w:pPr>
      <w:r>
        <w:t>Sala Segunda. Sentencia 115/2015,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1040-2015. </w:t>
      </w:r>
      <w:r w:rsidRPr="00FD0DC7">
        <w:rPr>
          <w:rStyle w:val="TextoNormalCursivaCaracter"/>
        </w:rPr>
        <w:t xml:space="preserve"> Vulneración del derecho a la tutela judicial efectiva (acceso a la justicia): inadmisión de demanda de retracto sin causa legal, al exigir el cumplimiento de una carga de consignación inexistente (STC 144/2004).</w:t>
      </w:r>
      <w:r>
        <w:tab/>
      </w:r>
      <w:r>
        <w:tab/>
      </w:r>
      <w:r>
        <w:fldChar w:fldCharType="begin"/>
      </w:r>
      <w:r>
        <w:instrText xml:space="preserve"> PAGEREF SENTENCIA_2015_115 \h </w:instrText>
      </w:r>
      <w:r>
        <w:fldChar w:fldCharType="separate"/>
      </w:r>
      <w:r w:rsidR="00AA6B4A">
        <w:rPr>
          <w:noProof/>
        </w:rPr>
        <w:t>2056</w:t>
      </w:r>
      <w:r>
        <w:fldChar w:fldCharType="end"/>
      </w:r>
    </w:p>
    <w:p w:rsidR="00FD0DC7" w:rsidRDefault="00FD0DC7" w:rsidP="00FD0DC7"/>
    <w:p w:rsidR="00FD0DC7" w:rsidRDefault="00FD0DC7" w:rsidP="00FD0DC7">
      <w:pPr>
        <w:pStyle w:val="EntradandiceSentencia"/>
      </w:pPr>
      <w:r>
        <w:t>Sala Segunda. Sentencia 116/2015,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1458-2014.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SENTENCIA_2015_116 \h </w:instrText>
      </w:r>
      <w:r>
        <w:fldChar w:fldCharType="separate"/>
      </w:r>
      <w:r w:rsidR="00AA6B4A">
        <w:rPr>
          <w:noProof/>
        </w:rPr>
        <w:t>2067</w:t>
      </w:r>
      <w:r>
        <w:fldChar w:fldCharType="end"/>
      </w:r>
    </w:p>
    <w:p w:rsidR="00FD0DC7" w:rsidRDefault="00FD0DC7" w:rsidP="00FD0DC7"/>
    <w:p w:rsidR="00FD0DC7" w:rsidRDefault="00FD0DC7" w:rsidP="00FD0DC7">
      <w:pPr>
        <w:pStyle w:val="EntradandiceSentencia"/>
      </w:pPr>
      <w:r>
        <w:t>Sala Segunda. Sentencia 117/2015,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1459-2014.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w:t>
      </w:r>
      <w:r>
        <w:tab/>
      </w:r>
      <w:r>
        <w:tab/>
      </w:r>
      <w:r>
        <w:fldChar w:fldCharType="begin"/>
      </w:r>
      <w:r>
        <w:instrText xml:space="preserve"> PAGEREF SENTENCIA_2015_117 \h </w:instrText>
      </w:r>
      <w:r>
        <w:fldChar w:fldCharType="separate"/>
      </w:r>
      <w:r w:rsidR="00AA6B4A">
        <w:rPr>
          <w:noProof/>
        </w:rPr>
        <w:t>2081</w:t>
      </w:r>
      <w:r>
        <w:fldChar w:fldCharType="end"/>
      </w:r>
    </w:p>
    <w:p w:rsidR="00FD0DC7" w:rsidRDefault="00FD0DC7" w:rsidP="00FD0DC7"/>
    <w:p w:rsidR="00FD0DC7" w:rsidRDefault="00FD0DC7" w:rsidP="00FD0DC7">
      <w:pPr>
        <w:pStyle w:val="EntradandiceSentencia"/>
      </w:pPr>
      <w:r>
        <w:t>Sala Segunda. Sentencia 118/2015,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1460-2014.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w:t>
      </w:r>
      <w:r>
        <w:tab/>
      </w:r>
      <w:r>
        <w:tab/>
      </w:r>
      <w:r>
        <w:fldChar w:fldCharType="begin"/>
      </w:r>
      <w:r>
        <w:instrText xml:space="preserve"> PAGEREF SENTENCIA_2015_118 \h </w:instrText>
      </w:r>
      <w:r>
        <w:fldChar w:fldCharType="separate"/>
      </w:r>
      <w:r w:rsidR="00AA6B4A">
        <w:rPr>
          <w:noProof/>
        </w:rPr>
        <w:t>2095</w:t>
      </w:r>
      <w:r>
        <w:fldChar w:fldCharType="end"/>
      </w:r>
    </w:p>
    <w:p w:rsidR="00FD0DC7" w:rsidRDefault="00FD0DC7" w:rsidP="00FD0DC7"/>
    <w:p w:rsidR="00FD0DC7" w:rsidRDefault="00FD0DC7" w:rsidP="00FD0DC7">
      <w:pPr>
        <w:pStyle w:val="EntradandiceSentencia"/>
      </w:pPr>
      <w:r>
        <w:t>Sala Primera. Sentencia 119/2015,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1461-2014.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SENTENCIA_2015_119 \h </w:instrText>
      </w:r>
      <w:r>
        <w:fldChar w:fldCharType="separate"/>
      </w:r>
      <w:r w:rsidR="00AA6B4A">
        <w:rPr>
          <w:noProof/>
        </w:rPr>
        <w:t>2108</w:t>
      </w:r>
      <w:r>
        <w:fldChar w:fldCharType="end"/>
      </w:r>
    </w:p>
    <w:p w:rsidR="00FD0DC7" w:rsidRDefault="00FD0DC7" w:rsidP="00FD0DC7"/>
    <w:p w:rsidR="00FD0DC7" w:rsidRDefault="00FD0DC7" w:rsidP="00FD0DC7">
      <w:pPr>
        <w:pStyle w:val="EntradandiceSentencia"/>
      </w:pPr>
      <w:r>
        <w:t>Sala Primera. Sentencia 120/2015,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1462-2014.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SENTENCIA_2015_120 \h </w:instrText>
      </w:r>
      <w:r>
        <w:fldChar w:fldCharType="separate"/>
      </w:r>
      <w:r w:rsidR="00AA6B4A">
        <w:rPr>
          <w:noProof/>
        </w:rPr>
        <w:t>2122</w:t>
      </w:r>
      <w:r>
        <w:fldChar w:fldCharType="end"/>
      </w:r>
    </w:p>
    <w:p w:rsidR="00FD0DC7" w:rsidRDefault="00FD0DC7" w:rsidP="00FD0DC7"/>
    <w:p w:rsidR="00FD0DC7" w:rsidRDefault="00FD0DC7" w:rsidP="00FD0DC7">
      <w:pPr>
        <w:pStyle w:val="EntradandiceSentencia"/>
      </w:pPr>
      <w:r>
        <w:t>Sala Segunda. Sentencia 121/2015,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1463-2014.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w:t>
      </w:r>
      <w:r>
        <w:tab/>
      </w:r>
      <w:r>
        <w:tab/>
      </w:r>
      <w:r>
        <w:fldChar w:fldCharType="begin"/>
      </w:r>
      <w:r>
        <w:instrText xml:space="preserve"> PAGEREF SENTENCIA_2015_121 \h </w:instrText>
      </w:r>
      <w:r>
        <w:fldChar w:fldCharType="separate"/>
      </w:r>
      <w:r w:rsidR="00AA6B4A">
        <w:rPr>
          <w:noProof/>
        </w:rPr>
        <w:t>2136</w:t>
      </w:r>
      <w:r>
        <w:fldChar w:fldCharType="end"/>
      </w:r>
    </w:p>
    <w:p w:rsidR="00FD0DC7" w:rsidRDefault="00FD0DC7" w:rsidP="00FD0DC7"/>
    <w:p w:rsidR="00FD0DC7" w:rsidRDefault="00FD0DC7" w:rsidP="00FD0DC7">
      <w:pPr>
        <w:pStyle w:val="EntradandiceSentencia"/>
      </w:pPr>
      <w:r>
        <w:t>Sala Segunda. Sentencia 122/2015,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2131-2014.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w:t>
      </w:r>
      <w:r>
        <w:tab/>
      </w:r>
      <w:r>
        <w:tab/>
      </w:r>
      <w:r>
        <w:fldChar w:fldCharType="begin"/>
      </w:r>
      <w:r>
        <w:instrText xml:space="preserve"> PAGEREF SENTENCIA_2015_122 \h </w:instrText>
      </w:r>
      <w:r>
        <w:fldChar w:fldCharType="separate"/>
      </w:r>
      <w:r w:rsidR="00AA6B4A">
        <w:rPr>
          <w:noProof/>
        </w:rPr>
        <w:t>2149</w:t>
      </w:r>
      <w:r>
        <w:fldChar w:fldCharType="end"/>
      </w:r>
    </w:p>
    <w:p w:rsidR="00FD0DC7" w:rsidRDefault="00FD0DC7" w:rsidP="00FD0DC7"/>
    <w:p w:rsidR="00FD0DC7" w:rsidRDefault="00FD0DC7" w:rsidP="00FD0DC7">
      <w:pPr>
        <w:pStyle w:val="EntradandiceSentencia"/>
      </w:pPr>
      <w:r>
        <w:t>Sala Segunda. Sentencia 123/2015,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3450-2014.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w:t>
      </w:r>
      <w:r>
        <w:tab/>
      </w:r>
      <w:r>
        <w:tab/>
      </w:r>
      <w:r>
        <w:fldChar w:fldCharType="begin"/>
      </w:r>
      <w:r>
        <w:instrText xml:space="preserve"> PAGEREF SENTENCIA_2015_123 \h </w:instrText>
      </w:r>
      <w:r>
        <w:fldChar w:fldCharType="separate"/>
      </w:r>
      <w:r w:rsidR="00AA6B4A">
        <w:rPr>
          <w:noProof/>
        </w:rPr>
        <w:t>2162</w:t>
      </w:r>
      <w:r>
        <w:fldChar w:fldCharType="end"/>
      </w:r>
    </w:p>
    <w:p w:rsidR="00FD0DC7" w:rsidRDefault="00FD0DC7" w:rsidP="00FD0DC7"/>
    <w:p w:rsidR="00FD0DC7" w:rsidRDefault="00FD0DC7" w:rsidP="00FD0DC7">
      <w:pPr>
        <w:pStyle w:val="EntradandiceSentencia"/>
      </w:pPr>
      <w:r>
        <w:t>Sala Segunda. Sentencia 124/2015,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3834-2014. </w:t>
      </w:r>
      <w:r w:rsidRPr="00FD0DC7">
        <w:rPr>
          <w:rStyle w:val="TextoNormalCursivaCaracter"/>
        </w:rPr>
        <w:t xml:space="preserve"> Vulneración del derecho a la tutela judicial efectiva (acceso al recurso legal): denegación del derecho a la asistencia jurídica gratuita al no haberse solicitado en primera instancia (STC 90/2015).</w:t>
      </w:r>
      <w:r>
        <w:tab/>
      </w:r>
      <w:r>
        <w:tab/>
      </w:r>
      <w:r>
        <w:fldChar w:fldCharType="begin"/>
      </w:r>
      <w:r>
        <w:instrText xml:space="preserve"> PAGEREF SENTENCIA_2015_124 \h </w:instrText>
      </w:r>
      <w:r>
        <w:fldChar w:fldCharType="separate"/>
      </w:r>
      <w:r w:rsidR="00AA6B4A">
        <w:rPr>
          <w:noProof/>
        </w:rPr>
        <w:t>2175</w:t>
      </w:r>
      <w:r>
        <w:fldChar w:fldCharType="end"/>
      </w:r>
    </w:p>
    <w:p w:rsidR="00FD0DC7" w:rsidRDefault="00FD0DC7" w:rsidP="00FD0DC7"/>
    <w:p w:rsidR="00FD0DC7" w:rsidRDefault="00FD0DC7" w:rsidP="00FD0DC7">
      <w:pPr>
        <w:pStyle w:val="EntradandiceSentencia"/>
      </w:pPr>
      <w:r>
        <w:t>Sala Primera. Sentencia 125/2015,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6288-2014.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SENTENCIA_2015_125 \h </w:instrText>
      </w:r>
      <w:r>
        <w:fldChar w:fldCharType="separate"/>
      </w:r>
      <w:r w:rsidR="00AA6B4A">
        <w:rPr>
          <w:noProof/>
        </w:rPr>
        <w:t>2185</w:t>
      </w:r>
      <w:r>
        <w:fldChar w:fldCharType="end"/>
      </w:r>
    </w:p>
    <w:p w:rsidR="00FD0DC7" w:rsidRDefault="00FD0DC7" w:rsidP="00FD0DC7"/>
    <w:p w:rsidR="00FD0DC7" w:rsidRDefault="00FD0DC7" w:rsidP="00FD0DC7">
      <w:pPr>
        <w:pStyle w:val="EntradandiceSentencia"/>
      </w:pPr>
      <w:r>
        <w:t>Sala Segunda. Sentencia 126/2015,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6289-2014.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SENTENCIA_2015_126 \h </w:instrText>
      </w:r>
      <w:r>
        <w:fldChar w:fldCharType="separate"/>
      </w:r>
      <w:r w:rsidR="00AA6B4A">
        <w:rPr>
          <w:noProof/>
        </w:rPr>
        <w:t>2199</w:t>
      </w:r>
      <w:r>
        <w:fldChar w:fldCharType="end"/>
      </w:r>
    </w:p>
    <w:p w:rsidR="00FD0DC7" w:rsidRDefault="00FD0DC7" w:rsidP="00FD0DC7"/>
    <w:p w:rsidR="00FD0DC7" w:rsidRDefault="00FD0DC7" w:rsidP="00FD0DC7">
      <w:pPr>
        <w:pStyle w:val="EntradandiceSentencia"/>
      </w:pPr>
      <w:r>
        <w:t>Sala Primera. Sentencia 127/2015,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6396-2014.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SENTENCIA_2015_127 \h </w:instrText>
      </w:r>
      <w:r>
        <w:fldChar w:fldCharType="separate"/>
      </w:r>
      <w:r w:rsidR="00AA6B4A">
        <w:rPr>
          <w:noProof/>
        </w:rPr>
        <w:t>2213</w:t>
      </w:r>
      <w:r>
        <w:fldChar w:fldCharType="end"/>
      </w:r>
    </w:p>
    <w:p w:rsidR="00FD0DC7" w:rsidRDefault="00FD0DC7" w:rsidP="00FD0DC7"/>
    <w:p w:rsidR="00FD0DC7" w:rsidRDefault="00FD0DC7" w:rsidP="00FD0DC7">
      <w:pPr>
        <w:pStyle w:val="EntradandiceSentencia"/>
      </w:pPr>
      <w:r>
        <w:t>Sala Segunda. Sentencia 128/2015,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6397-2014.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w:t>
      </w:r>
      <w:r>
        <w:tab/>
      </w:r>
      <w:r>
        <w:tab/>
      </w:r>
      <w:r>
        <w:fldChar w:fldCharType="begin"/>
      </w:r>
      <w:r>
        <w:instrText xml:space="preserve"> PAGEREF SENTENCIA_2015_128 \h </w:instrText>
      </w:r>
      <w:r>
        <w:fldChar w:fldCharType="separate"/>
      </w:r>
      <w:r w:rsidR="00AA6B4A">
        <w:rPr>
          <w:noProof/>
        </w:rPr>
        <w:t>2227</w:t>
      </w:r>
      <w:r>
        <w:fldChar w:fldCharType="end"/>
      </w:r>
    </w:p>
    <w:p w:rsidR="00FD0DC7" w:rsidRDefault="00FD0DC7" w:rsidP="00FD0DC7"/>
    <w:p w:rsidR="00FD0DC7" w:rsidRDefault="00FD0DC7" w:rsidP="00FD0DC7">
      <w:pPr>
        <w:pStyle w:val="EntradandiceSentencia"/>
      </w:pPr>
      <w:r>
        <w:t>Sala Segunda. Sentencia 129/2015,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6398-2014.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SENTENCIA_2015_129 \h </w:instrText>
      </w:r>
      <w:r>
        <w:fldChar w:fldCharType="separate"/>
      </w:r>
      <w:r w:rsidR="00AA6B4A">
        <w:rPr>
          <w:noProof/>
        </w:rPr>
        <w:t>2241</w:t>
      </w:r>
      <w:r>
        <w:fldChar w:fldCharType="end"/>
      </w:r>
    </w:p>
    <w:p w:rsidR="00FD0DC7" w:rsidRDefault="00FD0DC7" w:rsidP="00FD0DC7"/>
    <w:p w:rsidR="00FD0DC7" w:rsidRDefault="00FD0DC7" w:rsidP="00FD0DC7">
      <w:pPr>
        <w:pStyle w:val="EntradandiceSentencia"/>
      </w:pPr>
      <w:r>
        <w:t>Sala Primera. Sentencia 130/2015,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6481-2014.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SENTENCIA_2015_130 \h </w:instrText>
      </w:r>
      <w:r>
        <w:fldChar w:fldCharType="separate"/>
      </w:r>
      <w:r w:rsidR="00AA6B4A">
        <w:rPr>
          <w:noProof/>
        </w:rPr>
        <w:t>2255</w:t>
      </w:r>
      <w:r>
        <w:fldChar w:fldCharType="end"/>
      </w:r>
    </w:p>
    <w:p w:rsidR="00FD0DC7" w:rsidRDefault="00FD0DC7" w:rsidP="00FD0DC7"/>
    <w:p w:rsidR="00FD0DC7" w:rsidRDefault="00FD0DC7" w:rsidP="00FD0DC7">
      <w:pPr>
        <w:pStyle w:val="EntradandiceSentencia"/>
      </w:pPr>
      <w:r>
        <w:t>Sala Primera. Sentencia 131/2015,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6482-2014.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SENTENCIA_2015_131 \h </w:instrText>
      </w:r>
      <w:r>
        <w:fldChar w:fldCharType="separate"/>
      </w:r>
      <w:r w:rsidR="00AA6B4A">
        <w:rPr>
          <w:noProof/>
        </w:rPr>
        <w:t>2269</w:t>
      </w:r>
      <w:r>
        <w:fldChar w:fldCharType="end"/>
      </w:r>
    </w:p>
    <w:p w:rsidR="00FD0DC7" w:rsidRDefault="00FD0DC7" w:rsidP="00FD0DC7"/>
    <w:p w:rsidR="00FD0DC7" w:rsidRDefault="00FD0DC7" w:rsidP="00FD0DC7">
      <w:pPr>
        <w:pStyle w:val="EntradandiceSentencia"/>
      </w:pPr>
      <w:r>
        <w:t>Sala Segunda. Sentencia 132/2015,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6483-2014.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w:t>
      </w:r>
      <w:r>
        <w:tab/>
      </w:r>
      <w:r>
        <w:tab/>
      </w:r>
      <w:r>
        <w:fldChar w:fldCharType="begin"/>
      </w:r>
      <w:r>
        <w:instrText xml:space="preserve"> PAGEREF SENTENCIA_2015_132 \h </w:instrText>
      </w:r>
      <w:r>
        <w:fldChar w:fldCharType="separate"/>
      </w:r>
      <w:r w:rsidR="00AA6B4A">
        <w:rPr>
          <w:noProof/>
        </w:rPr>
        <w:t>2283</w:t>
      </w:r>
      <w:r>
        <w:fldChar w:fldCharType="end"/>
      </w:r>
    </w:p>
    <w:p w:rsidR="00FD0DC7" w:rsidRDefault="00FD0DC7" w:rsidP="00FD0DC7"/>
    <w:p w:rsidR="00FD0DC7" w:rsidRDefault="00FD0DC7" w:rsidP="00FD0DC7">
      <w:pPr>
        <w:pStyle w:val="EntradandiceSentencia"/>
      </w:pPr>
      <w:r>
        <w:t>Sala Segunda. Sentencia 133/2015,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6484-2014.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SENTENCIA_2015_133 \h </w:instrText>
      </w:r>
      <w:r>
        <w:fldChar w:fldCharType="separate"/>
      </w:r>
      <w:r w:rsidR="00AA6B4A">
        <w:rPr>
          <w:noProof/>
        </w:rPr>
        <w:t>2297</w:t>
      </w:r>
      <w:r>
        <w:fldChar w:fldCharType="end"/>
      </w:r>
    </w:p>
    <w:p w:rsidR="00FD0DC7" w:rsidRDefault="00FD0DC7" w:rsidP="00FD0DC7"/>
    <w:p w:rsidR="00FD0DC7" w:rsidRDefault="00FD0DC7" w:rsidP="00FD0DC7">
      <w:pPr>
        <w:pStyle w:val="EntradandiceSentencia"/>
      </w:pPr>
      <w:r>
        <w:t>Sala Segunda. Sentencia 134/2015,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6721-2014.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SENTENCIA_2015_134 \h </w:instrText>
      </w:r>
      <w:r>
        <w:fldChar w:fldCharType="separate"/>
      </w:r>
      <w:r w:rsidR="00AA6B4A">
        <w:rPr>
          <w:noProof/>
        </w:rPr>
        <w:t>2311</w:t>
      </w:r>
      <w:r>
        <w:fldChar w:fldCharType="end"/>
      </w:r>
    </w:p>
    <w:p w:rsidR="00FD0DC7" w:rsidRDefault="00FD0DC7" w:rsidP="00FD0DC7"/>
    <w:p w:rsidR="00FD0DC7" w:rsidRDefault="00FD0DC7" w:rsidP="00FD0DC7">
      <w:pPr>
        <w:pStyle w:val="EntradandiceSentencia"/>
      </w:pPr>
      <w:r>
        <w:t>Sala Primera. Sentencia 135/2015, de 8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6722-2014.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SENTENCIA_2015_135 \h </w:instrText>
      </w:r>
      <w:r>
        <w:fldChar w:fldCharType="separate"/>
      </w:r>
      <w:r w:rsidR="00AA6B4A">
        <w:rPr>
          <w:noProof/>
        </w:rPr>
        <w:t>2325</w:t>
      </w:r>
      <w:r>
        <w:fldChar w:fldCharType="end"/>
      </w:r>
    </w:p>
    <w:p w:rsidR="00FD0DC7" w:rsidRDefault="00FD0DC7" w:rsidP="00FD0DC7"/>
    <w:p w:rsidR="00FD0DC7" w:rsidRDefault="00FD0DC7" w:rsidP="00FD0DC7">
      <w:pPr>
        <w:pStyle w:val="EntradandiceSentencia"/>
      </w:pPr>
      <w:r>
        <w:t>Pleno. Sentencia 136/2015, de 11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inconstitucionalidad 2205-2013. </w:t>
      </w:r>
      <w:r w:rsidRPr="00FD0DC7">
        <w:rPr>
          <w:rStyle w:val="TextoNormalCursivaCaracter"/>
        </w:rPr>
        <w:t xml:space="preserve"> Límites de los decretos-leyes, principios de seguridad jurídica e igualdad tributaria: nulidad de los preceptos legales que disponen la repercusión obligatoria de los tributos o recargos autonómicos a los consumidores de energía eléctrica del propio territorio.</w:t>
      </w:r>
      <w:r>
        <w:tab/>
      </w:r>
      <w:r>
        <w:tab/>
      </w:r>
      <w:r>
        <w:fldChar w:fldCharType="begin"/>
      </w:r>
      <w:r>
        <w:instrText xml:space="preserve"> PAGEREF SENTENCIA_2015_136 \h </w:instrText>
      </w:r>
      <w:r>
        <w:fldChar w:fldCharType="separate"/>
      </w:r>
      <w:r w:rsidR="00AA6B4A">
        <w:rPr>
          <w:noProof/>
        </w:rPr>
        <w:t>2337</w:t>
      </w:r>
      <w:r>
        <w:fldChar w:fldCharType="end"/>
      </w:r>
    </w:p>
    <w:p w:rsidR="00FD0DC7" w:rsidRDefault="00FD0DC7" w:rsidP="00FD0DC7"/>
    <w:p w:rsidR="00FD0DC7" w:rsidRDefault="00FD0DC7" w:rsidP="00FD0DC7">
      <w:pPr>
        <w:pStyle w:val="EntradandiceSentencia"/>
      </w:pPr>
      <w:r>
        <w:t>Pleno. Sentencia 137/2015, de 11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Impugnación de disposiciones autonómicas 6415-2014. </w:t>
      </w:r>
      <w:r w:rsidRPr="00FD0DC7">
        <w:rPr>
          <w:rStyle w:val="TextoNormalCursivaCaracter"/>
        </w:rPr>
        <w:t xml:space="preserve"> Competencias sobre consultas ciudadanas: nulidad de los preceptos reglamentarios que regulan las consultas mediante preguntas directas (STC 31/2015).</w:t>
      </w:r>
      <w:r>
        <w:tab/>
      </w:r>
      <w:r>
        <w:tab/>
      </w:r>
      <w:r>
        <w:fldChar w:fldCharType="begin"/>
      </w:r>
      <w:r>
        <w:instrText xml:space="preserve"> PAGEREF SENTENCIA_2015_137 \h </w:instrText>
      </w:r>
      <w:r>
        <w:fldChar w:fldCharType="separate"/>
      </w:r>
      <w:r w:rsidR="00AA6B4A">
        <w:rPr>
          <w:noProof/>
        </w:rPr>
        <w:t>2358</w:t>
      </w:r>
      <w:r>
        <w:fldChar w:fldCharType="end"/>
      </w:r>
    </w:p>
    <w:p w:rsidR="00FD0DC7" w:rsidRDefault="00FD0DC7" w:rsidP="00FD0DC7"/>
    <w:p w:rsidR="00FD0DC7" w:rsidRDefault="00FD0DC7" w:rsidP="00FD0DC7">
      <w:pPr>
        <w:pStyle w:val="EntradandiceSentencia"/>
      </w:pPr>
      <w:r>
        <w:t>Pleno. Sentencia 138/2015, de 11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Impugnación de disposiciones autonómicas 6540-2014. </w:t>
      </w:r>
      <w:r w:rsidRPr="00FD0DC7">
        <w:rPr>
          <w:rStyle w:val="TextoNormalCursivaCaracter"/>
        </w:rPr>
        <w:t xml:space="preserve"> Competencias sobre consultas referendarias: inconstitucionalidad de las actuaciones de la Generalitat de Cataluña relativas a la convocatoria para que catalanes y residentes en Cataluña manifestaran su opinión sobre el futuro político de Cataluña, contenidas en una página web, así como cualquier otra actuación no formalizada jurídicamente y vinculada a esa consulta.</w:t>
      </w:r>
      <w:r>
        <w:tab/>
      </w:r>
      <w:r>
        <w:tab/>
      </w:r>
      <w:r>
        <w:fldChar w:fldCharType="begin"/>
      </w:r>
      <w:r>
        <w:instrText xml:space="preserve"> PAGEREF SENTENCIA_2015_138 \h </w:instrText>
      </w:r>
      <w:r>
        <w:fldChar w:fldCharType="separate"/>
      </w:r>
      <w:r w:rsidR="00AA6B4A">
        <w:rPr>
          <w:noProof/>
        </w:rPr>
        <w:t>2392</w:t>
      </w:r>
      <w:r>
        <w:fldChar w:fldCharType="end"/>
      </w:r>
    </w:p>
    <w:p w:rsidR="00FD0DC7" w:rsidRDefault="00FD0DC7" w:rsidP="00FD0DC7"/>
    <w:p w:rsidR="00FD0DC7" w:rsidRDefault="00FD0DC7" w:rsidP="00FD0DC7">
      <w:pPr>
        <w:pStyle w:val="EntradandiceSentencia"/>
      </w:pPr>
      <w:r>
        <w:t>Sala Primera. Sentencia 139/2015, de 22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3457-2012. </w:t>
      </w:r>
      <w:r w:rsidRPr="00FD0DC7">
        <w:rPr>
          <w:rStyle w:val="TextoNormalCursivaCaracter"/>
        </w:rPr>
        <w:t xml:space="preserve"> 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r>
        <w:tab/>
      </w:r>
      <w:r>
        <w:tab/>
      </w:r>
      <w:r>
        <w:fldChar w:fldCharType="begin"/>
      </w:r>
      <w:r>
        <w:instrText xml:space="preserve"> PAGEREF SENTENCIA_2015_139 \h </w:instrText>
      </w:r>
      <w:r>
        <w:fldChar w:fldCharType="separate"/>
      </w:r>
      <w:r w:rsidR="00AA6B4A">
        <w:rPr>
          <w:noProof/>
        </w:rPr>
        <w:t>2411</w:t>
      </w:r>
      <w:r>
        <w:fldChar w:fldCharType="end"/>
      </w:r>
    </w:p>
    <w:p w:rsidR="00FD0DC7" w:rsidRDefault="00FD0DC7" w:rsidP="00FD0DC7"/>
    <w:p w:rsidR="00FD0DC7" w:rsidRDefault="00FD0DC7" w:rsidP="00FD0DC7">
      <w:pPr>
        <w:pStyle w:val="EntradandiceSentencia"/>
      </w:pPr>
      <w:r>
        <w:t>Sala Segunda. Sentencia 140/2015, de 22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693-2014. </w:t>
      </w:r>
      <w:r w:rsidRPr="00FD0DC7">
        <w:rPr>
          <w:rStyle w:val="TextoNormalCursivaCaracter"/>
        </w:rPr>
        <w:t xml:space="preserve"> Derechos a la igualdad, a la libertad sindical, a la tutela judicial efectiva, a la negociación colectiva y al acceso a las funciones públicas en condiciones de igualdad, principio de interdicción de la arbitrariedad: STC 119/2014 (constitucionalidad del período de prueba establecido para el contrato de trabajo por tiempo indefinido de apoyo a los emprendedores). Voto particular.</w:t>
      </w:r>
      <w:r>
        <w:tab/>
      </w:r>
      <w:r>
        <w:tab/>
      </w:r>
      <w:r>
        <w:fldChar w:fldCharType="begin"/>
      </w:r>
      <w:r>
        <w:instrText xml:space="preserve"> PAGEREF SENTENCIA_2015_140 \h </w:instrText>
      </w:r>
      <w:r>
        <w:fldChar w:fldCharType="separate"/>
      </w:r>
      <w:r w:rsidR="00AA6B4A">
        <w:rPr>
          <w:noProof/>
        </w:rPr>
        <w:t>2419</w:t>
      </w:r>
      <w:r>
        <w:fldChar w:fldCharType="end"/>
      </w:r>
    </w:p>
    <w:p w:rsidR="00FD0DC7" w:rsidRDefault="00FD0DC7" w:rsidP="00FD0DC7"/>
    <w:p w:rsidR="00FD0DC7" w:rsidRDefault="00FD0DC7" w:rsidP="00FD0DC7">
      <w:pPr>
        <w:pStyle w:val="EntradandiceSentencia"/>
      </w:pPr>
      <w:r>
        <w:t>Sala Segunda. Sentencia 141/2015, de 22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2857-2014. </w:t>
      </w:r>
      <w:r w:rsidRPr="00FD0DC7">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SENTENCIA_2015_141 \h </w:instrText>
      </w:r>
      <w:r>
        <w:fldChar w:fldCharType="separate"/>
      </w:r>
      <w:r w:rsidR="00AA6B4A">
        <w:rPr>
          <w:noProof/>
        </w:rPr>
        <w:t>2435</w:t>
      </w:r>
      <w:r>
        <w:fldChar w:fldCharType="end"/>
      </w:r>
    </w:p>
    <w:p w:rsidR="00FD0DC7" w:rsidRDefault="00FD0DC7" w:rsidP="00FD0DC7"/>
    <w:p w:rsidR="00FD0DC7" w:rsidRDefault="00FD0DC7" w:rsidP="00FD0DC7">
      <w:pPr>
        <w:pStyle w:val="EntradandiceSentencia"/>
      </w:pPr>
      <w:r>
        <w:t>Sala Segunda. Sentencia 142/2015, de 22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2949-2014. </w:t>
      </w:r>
      <w:r w:rsidRPr="00FD0DC7">
        <w:rPr>
          <w:rStyle w:val="TextoNormalCursivaCaracter"/>
        </w:rPr>
        <w:t xml:space="preserve"> Vulneración del derecho a la tutela judicial efectiva (acceso al recurso): inadmisión sin motivación de un incidente de nulidad de actuaciones (STC 91/2015).</w:t>
      </w:r>
      <w:r>
        <w:tab/>
      </w:r>
      <w:r>
        <w:tab/>
      </w:r>
      <w:r>
        <w:fldChar w:fldCharType="begin"/>
      </w:r>
      <w:r>
        <w:instrText xml:space="preserve"> PAGEREF SENTENCIA_2015_142 \h </w:instrText>
      </w:r>
      <w:r>
        <w:fldChar w:fldCharType="separate"/>
      </w:r>
      <w:r w:rsidR="00AA6B4A">
        <w:rPr>
          <w:noProof/>
        </w:rPr>
        <w:t>2446</w:t>
      </w:r>
      <w:r>
        <w:fldChar w:fldCharType="end"/>
      </w:r>
    </w:p>
    <w:p w:rsidR="00FD0DC7" w:rsidRDefault="00FD0DC7" w:rsidP="00FD0DC7"/>
    <w:p w:rsidR="00FD0DC7" w:rsidRDefault="00FD0DC7" w:rsidP="00FD0DC7">
      <w:pPr>
        <w:pStyle w:val="EntradandiceSentencia"/>
      </w:pPr>
      <w:r>
        <w:t>Sala Segunda. Sentencia 143/2015, de 22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7477-2014. </w:t>
      </w:r>
      <w:r w:rsidRPr="00FD0DC7">
        <w:rPr>
          <w:rStyle w:val="TextoNormalCursivaCaracter"/>
        </w:rPr>
        <w:t xml:space="preserve"> Competencias sobre ordenación general de la economía: nulidad del precepto legal autonómico que no excepciona al personal laboral no directivo de las sociedades mercantiles públicas de la reducción salarial establecida en la legislación básica estatal (STC 219/2013).</w:t>
      </w:r>
      <w:r>
        <w:tab/>
      </w:r>
      <w:r>
        <w:tab/>
      </w:r>
      <w:r>
        <w:fldChar w:fldCharType="begin"/>
      </w:r>
      <w:r>
        <w:instrText xml:space="preserve"> PAGEREF SENTENCIA_2015_143 \h </w:instrText>
      </w:r>
      <w:r>
        <w:fldChar w:fldCharType="separate"/>
      </w:r>
      <w:r w:rsidR="00AA6B4A">
        <w:rPr>
          <w:noProof/>
        </w:rPr>
        <w:t>2453</w:t>
      </w:r>
      <w:r>
        <w:fldChar w:fldCharType="end"/>
      </w:r>
    </w:p>
    <w:p w:rsidR="00FD0DC7" w:rsidRDefault="00FD0DC7" w:rsidP="00FD0DC7"/>
    <w:p w:rsidR="00FD0DC7" w:rsidRDefault="00FD0DC7" w:rsidP="00FD0DC7">
      <w:pPr>
        <w:pStyle w:val="EntradandiceSentencia"/>
      </w:pPr>
      <w:r>
        <w:t>Sala Primera. Sentencia 144/2015, de 22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Cuestión de inconstitucionalidad 89-2015. </w:t>
      </w:r>
      <w:r w:rsidRPr="00FD0DC7">
        <w:rPr>
          <w:rStyle w:val="TextoNormalCursivaCaracter"/>
        </w:rPr>
        <w:t xml:space="preserve"> Principio de irretroactividad de las normas restrictivas de derechos individuales, expropiación de derechos y pensiones adecuadas y actualizadas: STC 49/2015 (constitucionalidad del precepto sobre actualización y revalorización de pensiones). Voto particular.</w:t>
      </w:r>
      <w:r>
        <w:tab/>
      </w:r>
      <w:r>
        <w:tab/>
      </w:r>
      <w:r>
        <w:fldChar w:fldCharType="begin"/>
      </w:r>
      <w:r>
        <w:instrText xml:space="preserve"> PAGEREF SENTENCIA_2015_144 \h </w:instrText>
      </w:r>
      <w:r>
        <w:fldChar w:fldCharType="separate"/>
      </w:r>
      <w:r w:rsidR="00AA6B4A">
        <w:rPr>
          <w:noProof/>
        </w:rPr>
        <w:t>2466</w:t>
      </w:r>
      <w:r>
        <w:fldChar w:fldCharType="end"/>
      </w:r>
    </w:p>
    <w:p w:rsidR="00FD0DC7" w:rsidRDefault="00FD0DC7" w:rsidP="00FD0DC7"/>
    <w:p w:rsidR="00FD0DC7" w:rsidRDefault="00FD0DC7" w:rsidP="00FD0DC7">
      <w:pPr>
        <w:pStyle w:val="EntradandiceSentencia"/>
      </w:pPr>
      <w:r>
        <w:t>Pleno. Sentencia 145/2015, de 25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412-2012. </w:t>
      </w:r>
      <w:r w:rsidRPr="00FD0DC7">
        <w:rPr>
          <w:rStyle w:val="TextoNormalCursivaCaracter"/>
        </w:rPr>
        <w:t xml:space="preserve"> Vulneración del derecho a la objeción de conciencia, vinculado al derecho a la libertad ideológica: sanción impuesta al carecer la oficina de farmacia de existencias de preservativos y del medicamento con el principio activo levonorgestrel. Votos particulares.</w:t>
      </w:r>
      <w:r>
        <w:tab/>
      </w:r>
      <w:r>
        <w:tab/>
      </w:r>
      <w:r>
        <w:fldChar w:fldCharType="begin"/>
      </w:r>
      <w:r>
        <w:instrText xml:space="preserve"> PAGEREF SENTENCIA_2015_145 \h </w:instrText>
      </w:r>
      <w:r>
        <w:fldChar w:fldCharType="separate"/>
      </w:r>
      <w:r w:rsidR="00AA6B4A">
        <w:rPr>
          <w:noProof/>
        </w:rPr>
        <w:t>2478</w:t>
      </w:r>
      <w:r>
        <w:fldChar w:fldCharType="end"/>
      </w:r>
    </w:p>
    <w:p w:rsidR="00FD0DC7" w:rsidRDefault="00FD0DC7" w:rsidP="00FD0DC7"/>
    <w:p w:rsidR="00FD0DC7" w:rsidRDefault="00FD0DC7" w:rsidP="00FD0DC7">
      <w:pPr>
        <w:pStyle w:val="EntradandiceSentencia"/>
      </w:pPr>
      <w:r>
        <w:t>Pleno. Sentencia 146/2015, de 25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Recurso de amparo 6280-2012. </w:t>
      </w:r>
      <w:r w:rsidRPr="00FD0DC7">
        <w:rPr>
          <w:rStyle w:val="TextoNormalCursivaCaracter"/>
        </w:rPr>
        <w:t xml:space="preserve"> Supuesta vulneración del derecho a la legalidad sancionadora: subsunción de la conducta consistente en la emisión de facturas carentes de sustento real en operación económica, en el tipo relativo al incumplimiento de las obligaciones de facturación. Voto particular.</w:t>
      </w:r>
      <w:r>
        <w:tab/>
      </w:r>
      <w:r>
        <w:tab/>
      </w:r>
      <w:r>
        <w:fldChar w:fldCharType="begin"/>
      </w:r>
      <w:r>
        <w:instrText xml:space="preserve"> PAGEREF SENTENCIA_2015_146 \h </w:instrText>
      </w:r>
      <w:r>
        <w:fldChar w:fldCharType="separate"/>
      </w:r>
      <w:r w:rsidR="00AA6B4A">
        <w:rPr>
          <w:noProof/>
        </w:rPr>
        <w:t>2513</w:t>
      </w:r>
      <w:r>
        <w:fldChar w:fldCharType="end"/>
      </w:r>
    </w:p>
    <w:p w:rsidR="00FD0DC7" w:rsidRDefault="00FD0DC7" w:rsidP="00FD0DC7"/>
    <w:p w:rsidR="00FD0DC7" w:rsidRDefault="00FD0DC7" w:rsidP="00FD0DC7">
      <w:pPr>
        <w:pStyle w:val="EntradandiceSentencia"/>
      </w:pPr>
      <w:r>
        <w:t>Pleno. Sentencia 147/2015, de 25 de junio de 2015</w:t>
      </w:r>
    </w:p>
    <w:p w:rsidR="00FD0DC7" w:rsidRDefault="00FD0DC7" w:rsidP="00FD0DC7">
      <w:pPr>
        <w:pStyle w:val="EntradandiceSentencia"/>
      </w:pPr>
    </w:p>
    <w:p w:rsidR="00FD0DC7" w:rsidRDefault="00FD0DC7" w:rsidP="00FD0DC7">
      <w:pPr>
        <w:pStyle w:val="EntradaSumario"/>
      </w:pPr>
      <w:r w:rsidRPr="00FD0DC7">
        <w:rPr>
          <w:rStyle w:val="TextoNormalCaracter"/>
        </w:rPr>
        <w:t xml:space="preserve">Impugnación de disposiciones autonómicas 6416-2014. </w:t>
      </w:r>
      <w:r w:rsidRPr="00FD0DC7">
        <w:rPr>
          <w:rStyle w:val="TextoNormalCursivaCaracter"/>
        </w:rPr>
        <w:t xml:space="preserve"> Competencias sobre consultas ciudadanas: nulidad de los preceptos reglamentarios que regulan las consultas mediante preguntas directas (STC 137/2015).</w:t>
      </w:r>
      <w:r>
        <w:tab/>
      </w:r>
      <w:r>
        <w:tab/>
      </w:r>
      <w:r>
        <w:fldChar w:fldCharType="begin"/>
      </w:r>
      <w:r>
        <w:instrText xml:space="preserve"> PAGEREF SENTENCIA_2015_147 \h </w:instrText>
      </w:r>
      <w:r>
        <w:fldChar w:fldCharType="separate"/>
      </w:r>
      <w:r w:rsidR="00AA6B4A">
        <w:rPr>
          <w:noProof/>
        </w:rPr>
        <w:t>2538</w:t>
      </w:r>
      <w:r>
        <w:fldChar w:fldCharType="end"/>
      </w:r>
    </w:p>
    <w:p w:rsidR="00FD0DC7" w:rsidRDefault="00FD0DC7">
      <w:pPr>
        <w:spacing w:after="160" w:line="259" w:lineRule="auto"/>
      </w:pPr>
      <w:r>
        <w:br w:type="page"/>
      </w:r>
    </w:p>
    <w:p w:rsidR="00FD0DC7" w:rsidRDefault="00FD0DC7" w:rsidP="00FD0DC7"/>
    <w:p w:rsidR="00FD0DC7" w:rsidRDefault="00FD0DC7" w:rsidP="00FD0DC7"/>
    <w:p w:rsidR="00FD0DC7" w:rsidRDefault="00FD0DC7" w:rsidP="00FD0DC7"/>
    <w:p w:rsidR="00FD0DC7" w:rsidRDefault="00FD0DC7" w:rsidP="00FD0DC7">
      <w:pPr>
        <w:pStyle w:val="Ttulondice"/>
      </w:pPr>
      <w:bookmarkStart w:id="3" w:name="SUMARIOSAUTOS"/>
      <w:r>
        <w:t>2. AUTOS: ATC 1/2015 A ATC 114/2015</w:t>
      </w:r>
    </w:p>
    <w:bookmarkEnd w:id="3"/>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Ttulondice"/>
      </w:pPr>
    </w:p>
    <w:p w:rsidR="00FD0DC7" w:rsidRDefault="00FD0DC7" w:rsidP="00FD0DC7">
      <w:pPr>
        <w:pStyle w:val="EntradandiceAuto"/>
      </w:pPr>
      <w:r>
        <w:t>Sección Cuarta. Auto 1/2015, de 9 de enero de 2015. Recurso de amparo 5320-2014. Acuerda el desistimiento en el recurso de amparo 5320-2014, promovido en pleito civil.</w:t>
      </w:r>
      <w:r>
        <w:tab/>
      </w:r>
      <w:r>
        <w:tab/>
      </w:r>
      <w:r>
        <w:fldChar w:fldCharType="begin"/>
      </w:r>
      <w:r>
        <w:instrText xml:space="preserve"> PAGEREF AUTO_2015_1 \h </w:instrText>
      </w:r>
      <w:r>
        <w:fldChar w:fldCharType="separate"/>
      </w:r>
      <w:r w:rsidR="00AA6B4A">
        <w:rPr>
          <w:noProof/>
        </w:rPr>
        <w:t>2556</w:t>
      </w:r>
      <w:r>
        <w:fldChar w:fldCharType="end"/>
      </w:r>
    </w:p>
    <w:p w:rsidR="0085709A" w:rsidRDefault="0085709A" w:rsidP="00FD0DC7"/>
    <w:p w:rsidR="00FD0DC7" w:rsidRDefault="00FD0DC7" w:rsidP="00FD0DC7">
      <w:pPr>
        <w:pStyle w:val="EntradandiceAuto"/>
      </w:pPr>
      <w:r>
        <w:t>Sección Cuarta. Auto 2/2015, de 13 de enero de 2015. Acepta una abstención en el recurso de amparo 6564-2013, promovido por don José María Ruiz Mateos y Jiménez de Tejada y otras personas en proceso contencioso-administrativo.</w:t>
      </w:r>
      <w:r>
        <w:tab/>
      </w:r>
      <w:r>
        <w:tab/>
      </w:r>
      <w:r>
        <w:fldChar w:fldCharType="begin"/>
      </w:r>
      <w:r>
        <w:instrText xml:space="preserve"> PAGEREF AUTO_2015_2 \h </w:instrText>
      </w:r>
      <w:r>
        <w:fldChar w:fldCharType="separate"/>
      </w:r>
      <w:r w:rsidR="00AA6B4A">
        <w:rPr>
          <w:noProof/>
        </w:rPr>
        <w:t>2557</w:t>
      </w:r>
      <w:r>
        <w:fldChar w:fldCharType="end"/>
      </w:r>
    </w:p>
    <w:p w:rsidR="00FD0DC7" w:rsidRDefault="00FD0DC7" w:rsidP="00FD0DC7"/>
    <w:p w:rsidR="00FD0DC7" w:rsidRDefault="00FD0DC7" w:rsidP="00FD0DC7">
      <w:pPr>
        <w:pStyle w:val="EntradandiceAuto"/>
      </w:pPr>
      <w:r>
        <w:t>Sección Primera. Auto 3/2015, de 14 de enero de 2015. Acuerda el desistimiento en el recurso de amparo 6348-2013, promovido en proceso contencioso-administrativo.</w:t>
      </w:r>
      <w:r>
        <w:tab/>
      </w:r>
      <w:r>
        <w:tab/>
      </w:r>
      <w:r>
        <w:fldChar w:fldCharType="begin"/>
      </w:r>
      <w:r>
        <w:instrText xml:space="preserve"> PAGEREF AUTO_2015_3 \h </w:instrText>
      </w:r>
      <w:r>
        <w:fldChar w:fldCharType="separate"/>
      </w:r>
      <w:r w:rsidR="00AA6B4A">
        <w:rPr>
          <w:noProof/>
        </w:rPr>
        <w:t>2558</w:t>
      </w:r>
      <w:r>
        <w:fldChar w:fldCharType="end"/>
      </w:r>
    </w:p>
    <w:p w:rsidR="00FD0DC7" w:rsidRDefault="00FD0DC7" w:rsidP="00FD0DC7"/>
    <w:p w:rsidR="00FD0DC7" w:rsidRDefault="00FD0DC7" w:rsidP="00FD0DC7">
      <w:pPr>
        <w:pStyle w:val="EntradandiceAuto"/>
      </w:pPr>
      <w:r>
        <w:t>Sala Segunda. Auto 4/2015, de 15 de enero de 2015. Acepta una abstención en el recurso de amparo 5987-2012, promovido por Vista San Felipe, S.L., en proceso contencioso-administrativo.</w:t>
      </w:r>
      <w:r>
        <w:tab/>
      </w:r>
      <w:r>
        <w:tab/>
      </w:r>
      <w:r>
        <w:fldChar w:fldCharType="begin"/>
      </w:r>
      <w:r>
        <w:instrText xml:space="preserve"> PAGEREF AUTO_2015_4 \h </w:instrText>
      </w:r>
      <w:r>
        <w:fldChar w:fldCharType="separate"/>
      </w:r>
      <w:r w:rsidR="00AA6B4A">
        <w:rPr>
          <w:noProof/>
        </w:rPr>
        <w:t>2559</w:t>
      </w:r>
      <w:r>
        <w:fldChar w:fldCharType="end"/>
      </w:r>
    </w:p>
    <w:p w:rsidR="00FD0DC7" w:rsidRDefault="00FD0DC7" w:rsidP="00FD0DC7"/>
    <w:p w:rsidR="00FD0DC7" w:rsidRDefault="00FD0DC7" w:rsidP="00FD0DC7">
      <w:pPr>
        <w:pStyle w:val="EntradandiceAuto"/>
      </w:pPr>
      <w:r>
        <w:t>Sala Segunda. Auto 5/2015, de 15 de enero de 2015. Acepta una abstención en el recurso de amparo 6996-2012, promovido por Vista San Felipe, S.L., en proceso contencioso-administrativo.</w:t>
      </w:r>
      <w:r>
        <w:tab/>
      </w:r>
      <w:r>
        <w:tab/>
      </w:r>
      <w:r>
        <w:fldChar w:fldCharType="begin"/>
      </w:r>
      <w:r>
        <w:instrText xml:space="preserve"> PAGEREF AUTO_2015_5 \h </w:instrText>
      </w:r>
      <w:r>
        <w:fldChar w:fldCharType="separate"/>
      </w:r>
      <w:r w:rsidR="00AA6B4A">
        <w:rPr>
          <w:noProof/>
        </w:rPr>
        <w:t>2561</w:t>
      </w:r>
      <w:r>
        <w:fldChar w:fldCharType="end"/>
      </w:r>
    </w:p>
    <w:p w:rsidR="00FD0DC7" w:rsidRDefault="00FD0DC7" w:rsidP="00FD0DC7"/>
    <w:p w:rsidR="00FD0DC7" w:rsidRDefault="00FD0DC7" w:rsidP="00FD0DC7">
      <w:pPr>
        <w:pStyle w:val="EntradandiceAuto"/>
      </w:pPr>
      <w:r>
        <w:t>Sección Cuarta. Auto 6/2015, de 19 de enero de 2015. Acepta una abstención en el recurso de amparo 1651-2013, promovido por la asociación Al Andalus y otros en proceso contencioso-administrativo.</w:t>
      </w:r>
      <w:r>
        <w:tab/>
      </w:r>
      <w:r>
        <w:tab/>
      </w:r>
      <w:r>
        <w:fldChar w:fldCharType="begin"/>
      </w:r>
      <w:r>
        <w:instrText xml:space="preserve"> PAGEREF AUTO_2015_6 \h </w:instrText>
      </w:r>
      <w:r>
        <w:fldChar w:fldCharType="separate"/>
      </w:r>
      <w:r w:rsidR="00AA6B4A">
        <w:rPr>
          <w:noProof/>
        </w:rPr>
        <w:t>2563</w:t>
      </w:r>
      <w:r>
        <w:fldChar w:fldCharType="end"/>
      </w:r>
    </w:p>
    <w:p w:rsidR="00FD0DC7" w:rsidRDefault="00FD0DC7" w:rsidP="00FD0DC7"/>
    <w:p w:rsidR="00FD0DC7" w:rsidRDefault="00FD0DC7" w:rsidP="00FD0DC7">
      <w:pPr>
        <w:pStyle w:val="EntradandiceAuto"/>
      </w:pPr>
      <w:r>
        <w:t>Sala Segunda. Auto 7/2015, de 19 de enero de 2015. Acuerda la suspensión en el recurso de amparo 3834-2014, promovido por doña Matilde Torres Sánchez en proceso contencioso-administrativo.</w:t>
      </w:r>
      <w:r>
        <w:tab/>
      </w:r>
      <w:r>
        <w:tab/>
      </w:r>
      <w:r>
        <w:fldChar w:fldCharType="begin"/>
      </w:r>
      <w:r>
        <w:instrText xml:space="preserve"> PAGEREF AUTO_2015_7 \h </w:instrText>
      </w:r>
      <w:r>
        <w:fldChar w:fldCharType="separate"/>
      </w:r>
      <w:r w:rsidR="00AA6B4A">
        <w:rPr>
          <w:noProof/>
        </w:rPr>
        <w:t>2565</w:t>
      </w:r>
      <w:r>
        <w:fldChar w:fldCharType="end"/>
      </w:r>
    </w:p>
    <w:p w:rsidR="00FD0DC7" w:rsidRDefault="00FD0DC7" w:rsidP="00FD0DC7"/>
    <w:p w:rsidR="00FD0DC7" w:rsidRDefault="00FD0DC7" w:rsidP="00FD0DC7">
      <w:pPr>
        <w:pStyle w:val="EntradandiceAuto"/>
      </w:pPr>
      <w:r>
        <w:t>Pleno. Auto 8/2015, de 20 de enero de 2015. Inadmite a trámite la cuestión de inconstitucionalidad 2995-2014, planteada por la Sala de lo Contencioso-Administrativo del Tribunal Superior de Justicia de Castilla-La Mancha, en relación con diversos preceptos de la Ley 8/2007, de 28 de mayo, y del texto refundido de la Ley de suelo.</w:t>
      </w:r>
      <w:r>
        <w:tab/>
      </w:r>
      <w:r>
        <w:tab/>
      </w:r>
      <w:r>
        <w:fldChar w:fldCharType="begin"/>
      </w:r>
      <w:r>
        <w:instrText xml:space="preserve"> PAGEREF AUTO_2015_8 \h </w:instrText>
      </w:r>
      <w:r>
        <w:fldChar w:fldCharType="separate"/>
      </w:r>
      <w:r w:rsidR="00AA6B4A">
        <w:rPr>
          <w:noProof/>
        </w:rPr>
        <w:t>2568</w:t>
      </w:r>
      <w:r>
        <w:fldChar w:fldCharType="end"/>
      </w:r>
    </w:p>
    <w:p w:rsidR="00FD0DC7" w:rsidRDefault="00FD0DC7" w:rsidP="00FD0DC7"/>
    <w:p w:rsidR="00FD0DC7" w:rsidRDefault="00FD0DC7" w:rsidP="00FD0DC7">
      <w:pPr>
        <w:pStyle w:val="EntradandiceAuto"/>
      </w:pPr>
      <w:r>
        <w:t>Pleno. Auto 9/2015, de 20 de enero de 2015. Inadmite a trámite la cuestión de inconstitucionalidad 6421-2014, planteada por el Juzgado de lo Social núm. 3 de Alicante en relación con diversos preceptos del Real Decreto-ley 20/2012, de 13 de julio, de medidas para garantizar la estabilidad presupuestaria y de fomento de la competitividad.</w:t>
      </w:r>
      <w:r>
        <w:tab/>
      </w:r>
      <w:r>
        <w:tab/>
      </w:r>
      <w:r>
        <w:fldChar w:fldCharType="begin"/>
      </w:r>
      <w:r>
        <w:instrText xml:space="preserve"> PAGEREF AUTO_2015_9 \h </w:instrText>
      </w:r>
      <w:r>
        <w:fldChar w:fldCharType="separate"/>
      </w:r>
      <w:r w:rsidR="00AA6B4A">
        <w:rPr>
          <w:noProof/>
        </w:rPr>
        <w:t>2575</w:t>
      </w:r>
      <w:r>
        <w:fldChar w:fldCharType="end"/>
      </w:r>
    </w:p>
    <w:p w:rsidR="00FD0DC7" w:rsidRDefault="00FD0DC7" w:rsidP="00FD0DC7"/>
    <w:p w:rsidR="00FD0DC7" w:rsidRDefault="00FD0DC7" w:rsidP="00FD0DC7">
      <w:pPr>
        <w:pStyle w:val="EntradandiceAuto"/>
      </w:pPr>
      <w:r>
        <w:t>Pleno. Auto 10/2015, de 20 de enero de 2015. Inadmite a trámite la cuestión de inconstitucionalidad 6422-2014, planteada por el Juzgado de lo Social núm. 3 de Alicante en relación con diversos preceptos del Real Decreto-ley 20/2012, de 13 de julio, de medidas para garantizar la estabilidad presupuestaria y de fomento de la competitividad.</w:t>
      </w:r>
      <w:r>
        <w:tab/>
      </w:r>
      <w:r>
        <w:tab/>
      </w:r>
      <w:r>
        <w:fldChar w:fldCharType="begin"/>
      </w:r>
      <w:r>
        <w:instrText xml:space="preserve"> PAGEREF AUTO_2015_10 \h </w:instrText>
      </w:r>
      <w:r>
        <w:fldChar w:fldCharType="separate"/>
      </w:r>
      <w:r w:rsidR="00AA6B4A">
        <w:rPr>
          <w:noProof/>
        </w:rPr>
        <w:t>2583</w:t>
      </w:r>
      <w:r>
        <w:fldChar w:fldCharType="end"/>
      </w:r>
    </w:p>
    <w:p w:rsidR="00FD0DC7" w:rsidRDefault="00FD0DC7" w:rsidP="00FD0DC7"/>
    <w:p w:rsidR="00FD0DC7" w:rsidRDefault="00FD0DC7" w:rsidP="00FD0DC7">
      <w:pPr>
        <w:pStyle w:val="EntradandiceAuto"/>
      </w:pPr>
      <w:r>
        <w:t>Sección Primera. Auto 11/2015, de 21 de enero de 2015. Acuerda el desistimiento en el recurso de amparo 4266-2014, promovido en pleito civil.</w:t>
      </w:r>
      <w:r>
        <w:tab/>
      </w:r>
      <w:r>
        <w:tab/>
      </w:r>
      <w:r>
        <w:fldChar w:fldCharType="begin"/>
      </w:r>
      <w:r>
        <w:instrText xml:space="preserve"> PAGEREF AUTO_2015_11 \h </w:instrText>
      </w:r>
      <w:r>
        <w:fldChar w:fldCharType="separate"/>
      </w:r>
      <w:r w:rsidR="00AA6B4A">
        <w:rPr>
          <w:noProof/>
        </w:rPr>
        <w:t>2590</w:t>
      </w:r>
      <w:r>
        <w:fldChar w:fldCharType="end"/>
      </w:r>
    </w:p>
    <w:p w:rsidR="00FD0DC7" w:rsidRDefault="00FD0DC7" w:rsidP="00FD0DC7"/>
    <w:p w:rsidR="00FD0DC7" w:rsidRDefault="00FD0DC7" w:rsidP="00FD0DC7">
      <w:pPr>
        <w:pStyle w:val="EntradandiceAuto"/>
      </w:pPr>
      <w:r>
        <w:t>Sección Cuarta. Auto 12/2015, de 23 de enero de 2015. Acuerda el desistimiento en el recurso de amparo 7673-2014, promovido en proceso contencioso-administrativo.</w:t>
      </w:r>
      <w:r>
        <w:tab/>
      </w:r>
      <w:r>
        <w:tab/>
      </w:r>
      <w:r>
        <w:fldChar w:fldCharType="begin"/>
      </w:r>
      <w:r>
        <w:instrText xml:space="preserve"> PAGEREF AUTO_2015_12 \h </w:instrText>
      </w:r>
      <w:r>
        <w:fldChar w:fldCharType="separate"/>
      </w:r>
      <w:r w:rsidR="00AA6B4A">
        <w:rPr>
          <w:noProof/>
        </w:rPr>
        <w:t>2591</w:t>
      </w:r>
      <w:r>
        <w:fldChar w:fldCharType="end"/>
      </w:r>
    </w:p>
    <w:p w:rsidR="00FD0DC7" w:rsidRDefault="00FD0DC7" w:rsidP="00FD0DC7"/>
    <w:p w:rsidR="00FD0DC7" w:rsidRDefault="00FD0DC7" w:rsidP="00FD0DC7">
      <w:pPr>
        <w:pStyle w:val="EntradandiceAuto"/>
      </w:pPr>
      <w:r>
        <w:t>Sección Cuarta. Auto 13/2015, de 28 de enero de 2015. Acuerda la extinción, por pérdida de objeto, del expediente de justicia gratuita instado en el recurso de amparo 7715-2010, promovido por don Antoni Rius i Cardona en proceso causa penal.</w:t>
      </w:r>
      <w:r>
        <w:tab/>
      </w:r>
      <w:r>
        <w:tab/>
      </w:r>
      <w:r>
        <w:fldChar w:fldCharType="begin"/>
      </w:r>
      <w:r>
        <w:instrText xml:space="preserve"> PAGEREF AUTO_2015_13 \h </w:instrText>
      </w:r>
      <w:r>
        <w:fldChar w:fldCharType="separate"/>
      </w:r>
      <w:r w:rsidR="00AA6B4A">
        <w:rPr>
          <w:noProof/>
        </w:rPr>
        <w:t>2592</w:t>
      </w:r>
      <w:r>
        <w:fldChar w:fldCharType="end"/>
      </w:r>
    </w:p>
    <w:p w:rsidR="00FD0DC7" w:rsidRDefault="00FD0DC7" w:rsidP="00FD0DC7"/>
    <w:p w:rsidR="00FD0DC7" w:rsidRDefault="00FD0DC7" w:rsidP="00FD0DC7">
      <w:pPr>
        <w:pStyle w:val="EntradandiceAuto"/>
      </w:pPr>
      <w:r>
        <w:t>Sección Cuarta. Auto 14/2015, de 29 de enero de 2015. Acepta una abstención en el recurso de amparo 6126-2013, promovido por Tribaba, S.L., en proceso contencioso-administrativo.</w:t>
      </w:r>
      <w:r>
        <w:tab/>
      </w:r>
      <w:r>
        <w:tab/>
      </w:r>
      <w:r>
        <w:fldChar w:fldCharType="begin"/>
      </w:r>
      <w:r>
        <w:instrText xml:space="preserve"> PAGEREF AUTO_2015_14 \h </w:instrText>
      </w:r>
      <w:r>
        <w:fldChar w:fldCharType="separate"/>
      </w:r>
      <w:r w:rsidR="00AA6B4A">
        <w:rPr>
          <w:noProof/>
        </w:rPr>
        <w:t>2599</w:t>
      </w:r>
      <w:r>
        <w:fldChar w:fldCharType="end"/>
      </w:r>
    </w:p>
    <w:p w:rsidR="00FD0DC7" w:rsidRDefault="00FD0DC7" w:rsidP="00FD0DC7"/>
    <w:p w:rsidR="00FD0DC7" w:rsidRDefault="00FD0DC7" w:rsidP="00FD0DC7">
      <w:pPr>
        <w:pStyle w:val="EntradandiceAuto"/>
      </w:pPr>
      <w:r>
        <w:t>Sección Cuarta. Auto 15/2015, de 29 de enero de 2015. Acepta una abstención en el recurso de amparo 6128-2013, promovido por Grupo Gavia Playa, S.L., en proceso contencioso-administrativo.</w:t>
      </w:r>
      <w:r>
        <w:tab/>
      </w:r>
      <w:r>
        <w:tab/>
      </w:r>
      <w:r>
        <w:fldChar w:fldCharType="begin"/>
      </w:r>
      <w:r>
        <w:instrText xml:space="preserve"> PAGEREF AUTO_2015_15 \h </w:instrText>
      </w:r>
      <w:r>
        <w:fldChar w:fldCharType="separate"/>
      </w:r>
      <w:r w:rsidR="00AA6B4A">
        <w:rPr>
          <w:noProof/>
        </w:rPr>
        <w:t>2601</w:t>
      </w:r>
      <w:r>
        <w:fldChar w:fldCharType="end"/>
      </w:r>
    </w:p>
    <w:p w:rsidR="00FD0DC7" w:rsidRDefault="00FD0DC7" w:rsidP="00FD0DC7"/>
    <w:p w:rsidR="00FD0DC7" w:rsidRDefault="00FD0DC7" w:rsidP="00FD0DC7">
      <w:pPr>
        <w:pStyle w:val="EntradandiceAuto"/>
      </w:pPr>
      <w:r>
        <w:t>Sala Primera. Auto 16/2015, de 2 de febrero de 2015. Elevar al Pleno cuestión interna de inconstitucionalidad para dictar Sentencia del recurso de amparo 5886-2012.</w:t>
      </w:r>
      <w:r>
        <w:tab/>
      </w:r>
      <w:r>
        <w:tab/>
      </w:r>
      <w:r>
        <w:fldChar w:fldCharType="begin"/>
      </w:r>
      <w:r>
        <w:instrText xml:space="preserve"> PAGEREF AUTO_2015_16 \h </w:instrText>
      </w:r>
      <w:r>
        <w:fldChar w:fldCharType="separate"/>
      </w:r>
      <w:r w:rsidR="00AA6B4A">
        <w:rPr>
          <w:noProof/>
        </w:rPr>
        <w:t>2603</w:t>
      </w:r>
      <w:r>
        <w:fldChar w:fldCharType="end"/>
      </w:r>
    </w:p>
    <w:p w:rsidR="00FD0DC7" w:rsidRDefault="00FD0DC7" w:rsidP="00FD0DC7"/>
    <w:p w:rsidR="00FD0DC7" w:rsidRDefault="00FD0DC7" w:rsidP="00FD0DC7">
      <w:pPr>
        <w:pStyle w:val="EntradandiceAuto"/>
      </w:pPr>
      <w:r>
        <w:t>Sala Primera. Auto 17/2015, de 2 de febrero de 2015. Deniega la aclaración de la Sentencia 200/2014, de 15 de diciembre, dictada en el recurso de amparo 405-2013, promovido por don Luis de Velasco Rami, portavoz del Grupo Parlamentario de Unión Progreso y Democracia en la Asamblea de Madrid.</w:t>
      </w:r>
      <w:r>
        <w:tab/>
      </w:r>
      <w:r>
        <w:tab/>
      </w:r>
      <w:r>
        <w:fldChar w:fldCharType="begin"/>
      </w:r>
      <w:r>
        <w:instrText xml:space="preserve"> PAGEREF AUTO_2015_17 \h </w:instrText>
      </w:r>
      <w:r>
        <w:fldChar w:fldCharType="separate"/>
      </w:r>
      <w:r w:rsidR="00AA6B4A">
        <w:rPr>
          <w:noProof/>
        </w:rPr>
        <w:t>2607</w:t>
      </w:r>
      <w:r>
        <w:fldChar w:fldCharType="end"/>
      </w:r>
    </w:p>
    <w:p w:rsidR="00FD0DC7" w:rsidRDefault="00FD0DC7" w:rsidP="00FD0DC7"/>
    <w:p w:rsidR="00FD0DC7" w:rsidRDefault="00FD0DC7" w:rsidP="00FD0DC7">
      <w:pPr>
        <w:pStyle w:val="EntradandiceAuto"/>
      </w:pPr>
      <w:r>
        <w:t>Sección Primera. Auto 18/2015, de 2 de febrero de 2015. Estima el recurso de súplica del Ministerio Fiscal sobre inadmisión del recurso de amparo 4887-2013, promovido por doña Nouria Taibi en causa penal.</w:t>
      </w:r>
      <w:r>
        <w:tab/>
      </w:r>
      <w:r>
        <w:tab/>
      </w:r>
      <w:r>
        <w:fldChar w:fldCharType="begin"/>
      </w:r>
      <w:r>
        <w:instrText xml:space="preserve"> PAGEREF AUTO_2015_18 \h </w:instrText>
      </w:r>
      <w:r>
        <w:fldChar w:fldCharType="separate"/>
      </w:r>
      <w:r w:rsidR="00AA6B4A">
        <w:rPr>
          <w:noProof/>
        </w:rPr>
        <w:t>2609</w:t>
      </w:r>
      <w:r>
        <w:fldChar w:fldCharType="end"/>
      </w:r>
    </w:p>
    <w:p w:rsidR="00FD0DC7" w:rsidRDefault="00FD0DC7" w:rsidP="00FD0DC7"/>
    <w:p w:rsidR="00FD0DC7" w:rsidRDefault="00FD0DC7" w:rsidP="00FD0DC7">
      <w:pPr>
        <w:pStyle w:val="EntradandiceAuto"/>
      </w:pPr>
      <w:r>
        <w:t>Sección Segunda. Auto 19/2015, de 2 de febrero de 2015. Acuerda el desistimiento en el recurso de amparo 3557-2014, promovido en pleito civil.</w:t>
      </w:r>
      <w:r>
        <w:tab/>
      </w:r>
      <w:r>
        <w:tab/>
      </w:r>
      <w:r>
        <w:fldChar w:fldCharType="begin"/>
      </w:r>
      <w:r>
        <w:instrText xml:space="preserve"> PAGEREF AUTO_2015_19 \h </w:instrText>
      </w:r>
      <w:r>
        <w:fldChar w:fldCharType="separate"/>
      </w:r>
      <w:r w:rsidR="00AA6B4A">
        <w:rPr>
          <w:noProof/>
        </w:rPr>
        <w:t>2611</w:t>
      </w:r>
      <w:r>
        <w:fldChar w:fldCharType="end"/>
      </w:r>
    </w:p>
    <w:p w:rsidR="00FD0DC7" w:rsidRDefault="00FD0DC7" w:rsidP="00FD0DC7"/>
    <w:p w:rsidR="00FD0DC7" w:rsidRDefault="00FD0DC7" w:rsidP="00FD0DC7">
      <w:pPr>
        <w:pStyle w:val="EntradandiceAuto"/>
      </w:pPr>
      <w:r>
        <w:t>Pleno. Auto 20/2015, de 3 de febrero de 2015. Inadmite a trámite la cuestión de inconstitucionalidad 4430-2014, planteada por la Sala de lo Contencioso-Administrativo de la Audiencia Nacional en relación con el artículo 191.6 de la Ley 58/2003, de 17 de diciembre, general tributaria.</w:t>
      </w:r>
      <w:r>
        <w:tab/>
      </w:r>
      <w:r>
        <w:tab/>
      </w:r>
      <w:r>
        <w:fldChar w:fldCharType="begin"/>
      </w:r>
      <w:r>
        <w:instrText xml:space="preserve"> PAGEREF AUTO_2015_20 \h </w:instrText>
      </w:r>
      <w:r>
        <w:fldChar w:fldCharType="separate"/>
      </w:r>
      <w:r w:rsidR="00AA6B4A">
        <w:rPr>
          <w:noProof/>
        </w:rPr>
        <w:t>2612</w:t>
      </w:r>
      <w:r>
        <w:fldChar w:fldCharType="end"/>
      </w:r>
    </w:p>
    <w:p w:rsidR="00FD0DC7" w:rsidRDefault="00FD0DC7" w:rsidP="00FD0DC7"/>
    <w:p w:rsidR="00FD0DC7" w:rsidRDefault="00FD0DC7" w:rsidP="00FD0DC7">
      <w:pPr>
        <w:pStyle w:val="EntradandiceAuto"/>
      </w:pPr>
      <w:r>
        <w:t>Pleno. Auto 21/2015, de 3 de febrero de 2015. Inadmite a trámite la cuestión de inconstitucionalidad 4708-2014, planteada por el Tribunal Superior de Justicia de Castilla-La Mancha en relación con los artículos 22.1 a) y 2 de la Ley 8/2007, de 28 de mayo, del texto refundido de la Ley de suelo.</w:t>
      </w:r>
      <w:r>
        <w:tab/>
      </w:r>
      <w:r>
        <w:tab/>
      </w:r>
      <w:r>
        <w:fldChar w:fldCharType="begin"/>
      </w:r>
      <w:r>
        <w:instrText xml:space="preserve"> PAGEREF AUTO_2015_21 \h </w:instrText>
      </w:r>
      <w:r>
        <w:fldChar w:fldCharType="separate"/>
      </w:r>
      <w:r w:rsidR="00AA6B4A">
        <w:rPr>
          <w:noProof/>
        </w:rPr>
        <w:t>2622</w:t>
      </w:r>
      <w:r>
        <w:fldChar w:fldCharType="end"/>
      </w:r>
    </w:p>
    <w:p w:rsidR="00FD0DC7" w:rsidRDefault="00FD0DC7" w:rsidP="00FD0DC7"/>
    <w:p w:rsidR="00FD0DC7" w:rsidRDefault="00FD0DC7" w:rsidP="00FD0DC7">
      <w:pPr>
        <w:pStyle w:val="EntradandiceAuto"/>
      </w:pPr>
      <w:r>
        <w:t>Pleno. Auto 22/2015, de 3 de febrero de 2015. Inadmite a trámite la cuestión de inconstitucionalidad 5368-2014, planteada por el Tribunal Superior de Castilla-La Mancha en relación con los artículos 22.1 a) y 2 de la Ley 8/2007, de 28 de mayo, del texto refundido de la Ley de Suelo.</w:t>
      </w:r>
      <w:r>
        <w:tab/>
      </w:r>
      <w:r>
        <w:tab/>
      </w:r>
      <w:r>
        <w:fldChar w:fldCharType="begin"/>
      </w:r>
      <w:r>
        <w:instrText xml:space="preserve"> PAGEREF AUTO_2015_22 \h </w:instrText>
      </w:r>
      <w:r>
        <w:fldChar w:fldCharType="separate"/>
      </w:r>
      <w:r w:rsidR="00AA6B4A">
        <w:rPr>
          <w:noProof/>
        </w:rPr>
        <w:t>2628</w:t>
      </w:r>
      <w:r>
        <w:fldChar w:fldCharType="end"/>
      </w:r>
    </w:p>
    <w:p w:rsidR="00FD0DC7" w:rsidRDefault="00FD0DC7" w:rsidP="00FD0DC7"/>
    <w:p w:rsidR="00FD0DC7" w:rsidRDefault="00FD0DC7" w:rsidP="00FD0DC7">
      <w:pPr>
        <w:pStyle w:val="EntradandiceAuto"/>
      </w:pPr>
      <w:r>
        <w:t>Pleno. Auto 23/2015, de 3 de febrero de 2015. No ha lugar a pronunciarse sobre el mantenimiento o levantamiento de la suspensión del Decreto-ley 6/2013, de 23 de diciembre, por el que se modifica la Ley 22/2010, de 20 de julio, del código de consumo de Cataluña, planteado por el Presidente del Gobierno en el recurso de inconstitucionalidad 5831-2014.</w:t>
      </w:r>
      <w:r>
        <w:tab/>
      </w:r>
      <w:r>
        <w:tab/>
      </w:r>
      <w:r>
        <w:fldChar w:fldCharType="begin"/>
      </w:r>
      <w:r>
        <w:instrText xml:space="preserve"> PAGEREF AUTO_2015_23 \h </w:instrText>
      </w:r>
      <w:r>
        <w:fldChar w:fldCharType="separate"/>
      </w:r>
      <w:r w:rsidR="00AA6B4A">
        <w:rPr>
          <w:noProof/>
        </w:rPr>
        <w:t>2634</w:t>
      </w:r>
      <w:r>
        <w:fldChar w:fldCharType="end"/>
      </w:r>
    </w:p>
    <w:p w:rsidR="00FD0DC7" w:rsidRDefault="00FD0DC7" w:rsidP="00FD0DC7"/>
    <w:p w:rsidR="00FD0DC7" w:rsidRDefault="00FD0DC7" w:rsidP="00FD0DC7">
      <w:pPr>
        <w:pStyle w:val="EntradandiceAuto"/>
      </w:pPr>
      <w:r>
        <w:t>Sala Segunda. Auto 24/2015, de 16 de febrero de 2015. Desestima el recurso de súplica de la representación procesal sobre inadmisión del recurso de amparo 6112-2012, promovido por don Abdelkader Castellanos de la Fuente y otras personas en proceso contencioso-administrativo.</w:t>
      </w:r>
      <w:r>
        <w:tab/>
      </w:r>
      <w:r>
        <w:tab/>
      </w:r>
      <w:r>
        <w:fldChar w:fldCharType="begin"/>
      </w:r>
      <w:r>
        <w:instrText xml:space="preserve"> PAGEREF AUTO_2015_24 \h </w:instrText>
      </w:r>
      <w:r>
        <w:fldChar w:fldCharType="separate"/>
      </w:r>
      <w:r w:rsidR="00AA6B4A">
        <w:rPr>
          <w:noProof/>
        </w:rPr>
        <w:t>2640</w:t>
      </w:r>
      <w:r>
        <w:fldChar w:fldCharType="end"/>
      </w:r>
    </w:p>
    <w:p w:rsidR="00FD0DC7" w:rsidRDefault="00FD0DC7" w:rsidP="00FD0DC7"/>
    <w:p w:rsidR="00FD0DC7" w:rsidRDefault="00FD0DC7" w:rsidP="00FD0DC7">
      <w:pPr>
        <w:pStyle w:val="EntradandiceAuto"/>
      </w:pPr>
      <w:r>
        <w:t>Sala Segunda. Auto 25/2015, de 16 de febrero de 2015. Acuerda el desistimiento en el recurso de amparo 2649-2013, promovido en proceso contencioso-administrativo.</w:t>
      </w:r>
      <w:r>
        <w:tab/>
      </w:r>
      <w:r>
        <w:tab/>
      </w:r>
      <w:r>
        <w:fldChar w:fldCharType="begin"/>
      </w:r>
      <w:r>
        <w:instrText xml:space="preserve"> PAGEREF AUTO_2015_25 \h </w:instrText>
      </w:r>
      <w:r>
        <w:fldChar w:fldCharType="separate"/>
      </w:r>
      <w:r w:rsidR="00AA6B4A">
        <w:rPr>
          <w:noProof/>
        </w:rPr>
        <w:t>2643</w:t>
      </w:r>
      <w:r>
        <w:fldChar w:fldCharType="end"/>
      </w:r>
    </w:p>
    <w:p w:rsidR="00FD0DC7" w:rsidRDefault="00FD0DC7" w:rsidP="00FD0DC7"/>
    <w:p w:rsidR="00FD0DC7" w:rsidRDefault="00FD0DC7" w:rsidP="00FD0DC7">
      <w:pPr>
        <w:pStyle w:val="EntradandiceAuto"/>
      </w:pPr>
      <w:r>
        <w:t>Sección Segunda. Auto 26/2015, de 16 de febrero de 2015. Desestima el recurso de súplica del Ministerio Fiscal sobre inadmisión del recurso de amparo 2755-2013, promovido por don Domingo Francisco Hernández Rodríguez, en proceso penal.</w:t>
      </w:r>
      <w:r>
        <w:tab/>
      </w:r>
      <w:r>
        <w:tab/>
      </w:r>
      <w:r>
        <w:fldChar w:fldCharType="begin"/>
      </w:r>
      <w:r>
        <w:instrText xml:space="preserve"> PAGEREF AUTO_2015_26 \h </w:instrText>
      </w:r>
      <w:r>
        <w:fldChar w:fldCharType="separate"/>
      </w:r>
      <w:r w:rsidR="00AA6B4A">
        <w:rPr>
          <w:noProof/>
        </w:rPr>
        <w:t>2644</w:t>
      </w:r>
      <w:r>
        <w:fldChar w:fldCharType="end"/>
      </w:r>
    </w:p>
    <w:p w:rsidR="00FD0DC7" w:rsidRDefault="00FD0DC7" w:rsidP="00FD0DC7"/>
    <w:p w:rsidR="00FD0DC7" w:rsidRDefault="00FD0DC7" w:rsidP="00FD0DC7">
      <w:pPr>
        <w:pStyle w:val="EntradandiceAuto"/>
      </w:pPr>
      <w:r>
        <w:t>Sala Segunda. Auto 27/2015, de 16 de febrero de 2015. Deniega la suspensión en el recurso de amparo 3372-2013, promovido por don Juan Díez López en pleito civil.</w:t>
      </w:r>
      <w:r>
        <w:tab/>
      </w:r>
      <w:r>
        <w:tab/>
      </w:r>
      <w:r>
        <w:fldChar w:fldCharType="begin"/>
      </w:r>
      <w:r>
        <w:instrText xml:space="preserve"> PAGEREF AUTO_2015_27 \h </w:instrText>
      </w:r>
      <w:r>
        <w:fldChar w:fldCharType="separate"/>
      </w:r>
      <w:r w:rsidR="00AA6B4A">
        <w:rPr>
          <w:noProof/>
        </w:rPr>
        <w:t>2648</w:t>
      </w:r>
      <w:r>
        <w:fldChar w:fldCharType="end"/>
      </w:r>
    </w:p>
    <w:p w:rsidR="00FD0DC7" w:rsidRDefault="00FD0DC7" w:rsidP="00FD0DC7"/>
    <w:p w:rsidR="00FD0DC7" w:rsidRDefault="00FD0DC7" w:rsidP="00FD0DC7">
      <w:pPr>
        <w:pStyle w:val="EntradandiceAuto"/>
      </w:pPr>
      <w:r>
        <w:t>Sala Segunda. Auto 28/2015, de 16 de febrero de 2015. Acuerda la extinción, por desaparición sobrevenida de objeto, de la cuestión de inconstitucionalidad 331-2014, planteada por la Sala de lo Contencioso-Administrativo de la Audiencia Nacional en relación con la disposición adicional decimocuarta del Decreto Legislativo 1/2000, de 8 de mayo, de ordenación del territorio de Canarias y de espacios naturales de Canarias.</w:t>
      </w:r>
      <w:r>
        <w:tab/>
      </w:r>
      <w:r>
        <w:tab/>
      </w:r>
      <w:r>
        <w:fldChar w:fldCharType="begin"/>
      </w:r>
      <w:r>
        <w:instrText xml:space="preserve"> PAGEREF AUTO_2015_28 \h </w:instrText>
      </w:r>
      <w:r>
        <w:fldChar w:fldCharType="separate"/>
      </w:r>
      <w:r w:rsidR="00AA6B4A">
        <w:rPr>
          <w:noProof/>
        </w:rPr>
        <w:t>2651</w:t>
      </w:r>
      <w:r>
        <w:fldChar w:fldCharType="end"/>
      </w:r>
    </w:p>
    <w:p w:rsidR="00FD0DC7" w:rsidRDefault="00FD0DC7" w:rsidP="00FD0DC7"/>
    <w:p w:rsidR="00FD0DC7" w:rsidRDefault="00FD0DC7" w:rsidP="00FD0DC7">
      <w:pPr>
        <w:pStyle w:val="EntradandiceAuto"/>
      </w:pPr>
      <w:r>
        <w:t>Sala Segunda. Auto 29/2015, de 16 de febrero de 2015. Deniega la suspensión en el recurso de amparo 1040-2014 y acuerda la anotación preventiva de la demanda de amparo en el Registro de la Propiedad, promovido por Secciones Mobiliarias, S.L., en pleito civil.</w:t>
      </w:r>
      <w:r>
        <w:tab/>
      </w:r>
      <w:r>
        <w:tab/>
      </w:r>
      <w:r>
        <w:fldChar w:fldCharType="begin"/>
      </w:r>
      <w:r>
        <w:instrText xml:space="preserve"> PAGEREF AUTO_2015_29 \h </w:instrText>
      </w:r>
      <w:r>
        <w:fldChar w:fldCharType="separate"/>
      </w:r>
      <w:r w:rsidR="00AA6B4A">
        <w:rPr>
          <w:noProof/>
        </w:rPr>
        <w:t>2659</w:t>
      </w:r>
      <w:r>
        <w:fldChar w:fldCharType="end"/>
      </w:r>
    </w:p>
    <w:p w:rsidR="00FD0DC7" w:rsidRDefault="00FD0DC7" w:rsidP="00FD0DC7"/>
    <w:p w:rsidR="00FD0DC7" w:rsidRDefault="00FD0DC7" w:rsidP="00FD0DC7">
      <w:pPr>
        <w:pStyle w:val="EntradandiceAuto"/>
      </w:pPr>
      <w:r>
        <w:t>Sección Segunda. Auto 30/2015, de 16 de febrero de 2015. Acuerda el desistimiento en el recurso de amparo 3661-2014, promovido en pleito civil.</w:t>
      </w:r>
      <w:r>
        <w:tab/>
      </w:r>
      <w:r>
        <w:tab/>
      </w:r>
      <w:r>
        <w:fldChar w:fldCharType="begin"/>
      </w:r>
      <w:r>
        <w:instrText xml:space="preserve"> PAGEREF AUTO_2015_30 \h </w:instrText>
      </w:r>
      <w:r>
        <w:fldChar w:fldCharType="separate"/>
      </w:r>
      <w:r w:rsidR="00AA6B4A">
        <w:rPr>
          <w:noProof/>
        </w:rPr>
        <w:t>2664</w:t>
      </w:r>
      <w:r>
        <w:fldChar w:fldCharType="end"/>
      </w:r>
    </w:p>
    <w:p w:rsidR="00FD0DC7" w:rsidRDefault="00FD0DC7" w:rsidP="00FD0DC7"/>
    <w:p w:rsidR="00FD0DC7" w:rsidRDefault="00FD0DC7" w:rsidP="00FD0DC7">
      <w:pPr>
        <w:pStyle w:val="EntradandiceAuto"/>
      </w:pPr>
      <w:r>
        <w:t>Sección Segunda. Auto 31/2015, de 16 de febrero de 2015. Estima el recurso de súplica del Ministerio Fiscal sobre inadmisión del recurso de amparo 4529-2014, promovido por don Joan Nogué i Canals en pleito civil, e inadmite a trámite el recurso de amparo 4529-2014 por insuficiente justificación de la especial trascendencia constitucional.</w:t>
      </w:r>
      <w:r>
        <w:tab/>
      </w:r>
      <w:r>
        <w:tab/>
      </w:r>
      <w:r>
        <w:fldChar w:fldCharType="begin"/>
      </w:r>
      <w:r>
        <w:instrText xml:space="preserve"> PAGEREF AUTO_2015_31 \h </w:instrText>
      </w:r>
      <w:r>
        <w:fldChar w:fldCharType="separate"/>
      </w:r>
      <w:r w:rsidR="00AA6B4A">
        <w:rPr>
          <w:noProof/>
        </w:rPr>
        <w:t>2665</w:t>
      </w:r>
      <w:r>
        <w:fldChar w:fldCharType="end"/>
      </w:r>
    </w:p>
    <w:p w:rsidR="00FD0DC7" w:rsidRDefault="00FD0DC7" w:rsidP="00FD0DC7"/>
    <w:p w:rsidR="00FD0DC7" w:rsidRDefault="00FD0DC7" w:rsidP="00FD0DC7">
      <w:pPr>
        <w:pStyle w:val="EntradandiceAuto"/>
      </w:pPr>
      <w:r>
        <w:t>Pleno. Auto 32/2015, de 17 de febrero de 2015. Mantiene la suspensión acordada en el recurso de inconstitucionalidad 7357-2013, interpuesto por el Presidente del Gobierno en relación con el artículo 1 y la disposición adicional primera de la Ley del Parlamento de Andalucía 4/2013, de 1 de octubre, de medidas para asegurar el cumplimiento de la función social de la vivienda; además, no ha lugar al recibimiento de prueba de los documentos presentados por la Junta de Andalucía. Voto particular.</w:t>
      </w:r>
      <w:r>
        <w:tab/>
      </w:r>
      <w:r>
        <w:tab/>
      </w:r>
      <w:r>
        <w:fldChar w:fldCharType="begin"/>
      </w:r>
      <w:r>
        <w:instrText xml:space="preserve"> PAGEREF AUTO_2015_32 \h </w:instrText>
      </w:r>
      <w:r>
        <w:fldChar w:fldCharType="separate"/>
      </w:r>
      <w:r w:rsidR="00AA6B4A">
        <w:rPr>
          <w:noProof/>
        </w:rPr>
        <w:t>2668</w:t>
      </w:r>
      <w:r>
        <w:fldChar w:fldCharType="end"/>
      </w:r>
    </w:p>
    <w:p w:rsidR="00FD0DC7" w:rsidRDefault="00FD0DC7" w:rsidP="00FD0DC7"/>
    <w:p w:rsidR="00FD0DC7" w:rsidRDefault="00FD0DC7" w:rsidP="00FD0DC7">
      <w:pPr>
        <w:pStyle w:val="EntradandiceAuto"/>
      </w:pPr>
      <w:r>
        <w:t>Pleno. Auto 33/2015, de 17 de febrero de 2015. Inadmite a trámite la cuestión de inconstitucionalidad 930-2014, planteada por el Juzgado de lo Social núm. 34 de Madrid en relación con la disposición transitoria quinta, los artículos 18.Siete y 18.Ocho de la Ley 3/2012, de 6 de julio, de medidas urgentes para la reforma del mercado laboral. Voto particular.</w:t>
      </w:r>
      <w:r>
        <w:tab/>
      </w:r>
      <w:r>
        <w:tab/>
      </w:r>
      <w:r>
        <w:fldChar w:fldCharType="begin"/>
      </w:r>
      <w:r>
        <w:instrText xml:space="preserve"> PAGEREF AUTO_2015_33 \h </w:instrText>
      </w:r>
      <w:r>
        <w:fldChar w:fldCharType="separate"/>
      </w:r>
      <w:r w:rsidR="00AA6B4A">
        <w:rPr>
          <w:noProof/>
        </w:rPr>
        <w:t>2682</w:t>
      </w:r>
      <w:r>
        <w:fldChar w:fldCharType="end"/>
      </w:r>
    </w:p>
    <w:p w:rsidR="00FD0DC7" w:rsidRDefault="00FD0DC7" w:rsidP="00FD0DC7"/>
    <w:p w:rsidR="00FD0DC7" w:rsidRDefault="00FD0DC7" w:rsidP="00FD0DC7">
      <w:pPr>
        <w:pStyle w:val="EntradandiceAuto"/>
      </w:pPr>
      <w:r>
        <w:t>Pleno. Auto 34/2015, de 17 de febrero de 2015. Inadmite a trámite la cuestión de inconstitucionalidad 983-2014, planteada por el Juzgado de lo Social núm. 34 de Madrid en relación con la disposición transitoria quinta, los artículos 18.Siete y 18.Ocho de la Ley 3/2012, de 6 de julio, de medidas urgentes para la reforma del mercado laboral. Voto particular.</w:t>
      </w:r>
      <w:r>
        <w:tab/>
      </w:r>
      <w:r>
        <w:tab/>
      </w:r>
      <w:r>
        <w:fldChar w:fldCharType="begin"/>
      </w:r>
      <w:r>
        <w:instrText xml:space="preserve"> PAGEREF AUTO_2015_34 \h </w:instrText>
      </w:r>
      <w:r>
        <w:fldChar w:fldCharType="separate"/>
      </w:r>
      <w:r w:rsidR="00AA6B4A">
        <w:rPr>
          <w:noProof/>
        </w:rPr>
        <w:t>2698</w:t>
      </w:r>
      <w:r>
        <w:fldChar w:fldCharType="end"/>
      </w:r>
    </w:p>
    <w:p w:rsidR="00FD0DC7" w:rsidRDefault="00FD0DC7" w:rsidP="00FD0DC7"/>
    <w:p w:rsidR="00FD0DC7" w:rsidRDefault="00FD0DC7" w:rsidP="00FD0DC7">
      <w:pPr>
        <w:pStyle w:val="EntradandiceAuto"/>
      </w:pPr>
      <w:r>
        <w:t>Pleno. Auto 35/2015, de 17 de febrero de 2015. Inadmite a trámite la cuestión de inconstitucionalidad 984-2014, planteada por el Juzgado de lo Social núm. 34 de Madrid en relación con el Real Decreto-ley 3/2012, de 10 de febrero, de medidas urgentes para la reforma del mercado laboral, globalmente considerado. Voto particular.</w:t>
      </w:r>
      <w:r>
        <w:tab/>
      </w:r>
      <w:r>
        <w:tab/>
      </w:r>
      <w:r>
        <w:fldChar w:fldCharType="begin"/>
      </w:r>
      <w:r>
        <w:instrText xml:space="preserve"> PAGEREF AUTO_2015_35 \h </w:instrText>
      </w:r>
      <w:r>
        <w:fldChar w:fldCharType="separate"/>
      </w:r>
      <w:r w:rsidR="00AA6B4A">
        <w:rPr>
          <w:noProof/>
        </w:rPr>
        <w:t>2714</w:t>
      </w:r>
      <w:r>
        <w:fldChar w:fldCharType="end"/>
      </w:r>
    </w:p>
    <w:p w:rsidR="00FD0DC7" w:rsidRDefault="00FD0DC7" w:rsidP="00FD0DC7"/>
    <w:p w:rsidR="00FD0DC7" w:rsidRDefault="00FD0DC7" w:rsidP="00FD0DC7">
      <w:pPr>
        <w:pStyle w:val="EntradandiceAuto"/>
      </w:pPr>
      <w:r>
        <w:t>Pleno. Auto 36/2015, de 17 de febrero de 2015. Inadmite a trámite la cuestión de inconstitucionalidad 4876-2014, planteada por el Tribunal Superior de Justicia de Castilla-La Mancha en relación con varios artículos de la Ley 8/2007, de 28 de mayo, de suelo y de su texto refundido.</w:t>
      </w:r>
      <w:r>
        <w:tab/>
      </w:r>
      <w:r>
        <w:tab/>
      </w:r>
      <w:r>
        <w:fldChar w:fldCharType="begin"/>
      </w:r>
      <w:r>
        <w:instrText xml:space="preserve"> PAGEREF AUTO_2015_36 \h </w:instrText>
      </w:r>
      <w:r>
        <w:fldChar w:fldCharType="separate"/>
      </w:r>
      <w:r w:rsidR="00AA6B4A">
        <w:rPr>
          <w:noProof/>
        </w:rPr>
        <w:t>2728</w:t>
      </w:r>
      <w:r>
        <w:fldChar w:fldCharType="end"/>
      </w:r>
    </w:p>
    <w:p w:rsidR="00FD0DC7" w:rsidRDefault="00FD0DC7" w:rsidP="00FD0DC7"/>
    <w:p w:rsidR="00FD0DC7" w:rsidRDefault="00FD0DC7" w:rsidP="00FD0DC7">
      <w:pPr>
        <w:pStyle w:val="EntradandiceAuto"/>
      </w:pPr>
      <w:r>
        <w:t>Pleno. Auto 37/2015, de 17 de febrero de 2015. Inadmite a trámite la cuestión de inconstitucionalidad 5842-2014, planteada por el Tribunal Superior de Justicia de Canarias en relación con la disposición adicional trigésimo quinta de la Ley del Parlamento de Canarias 11/2010, de 30 de diciembre, por la que se aprueban los presupuestos de la Comunidad Autónoma.</w:t>
      </w:r>
      <w:r>
        <w:tab/>
      </w:r>
      <w:r>
        <w:tab/>
      </w:r>
      <w:r>
        <w:fldChar w:fldCharType="begin"/>
      </w:r>
      <w:r>
        <w:instrText xml:space="preserve"> PAGEREF AUTO_2015_37 \h </w:instrText>
      </w:r>
      <w:r>
        <w:fldChar w:fldCharType="separate"/>
      </w:r>
      <w:r w:rsidR="00AA6B4A">
        <w:rPr>
          <w:noProof/>
        </w:rPr>
        <w:t>2733</w:t>
      </w:r>
      <w:r>
        <w:fldChar w:fldCharType="end"/>
      </w:r>
    </w:p>
    <w:p w:rsidR="00FD0DC7" w:rsidRDefault="00FD0DC7" w:rsidP="00FD0DC7"/>
    <w:p w:rsidR="00FD0DC7" w:rsidRDefault="00FD0DC7" w:rsidP="00FD0DC7">
      <w:pPr>
        <w:pStyle w:val="EntradandiceAuto"/>
      </w:pPr>
      <w:r>
        <w:t>Pleno. Auto 38/2015, de 17 de febrero de 2015. Inadmite a trámite la cuestión de inconstitucionalidad 6027-2014, planteada por el Tribunal Superior de Justicia de Castilla-La Mancha en relación con los artículos 22.1 a) y 2 de la Ley 8/2007, de 28 de mayo, de suelo, y artículo 2 del Real Decreto Legislativo 2/2008, de 20 de junio, del texto refundido de la Ley de suelo.</w:t>
      </w:r>
      <w:r>
        <w:tab/>
      </w:r>
      <w:r>
        <w:tab/>
      </w:r>
      <w:r>
        <w:fldChar w:fldCharType="begin"/>
      </w:r>
      <w:r>
        <w:instrText xml:space="preserve"> PAGEREF AUTO_2015_38 \h </w:instrText>
      </w:r>
      <w:r>
        <w:fldChar w:fldCharType="separate"/>
      </w:r>
      <w:r w:rsidR="00AA6B4A">
        <w:rPr>
          <w:noProof/>
        </w:rPr>
        <w:t>2740</w:t>
      </w:r>
      <w:r>
        <w:fldChar w:fldCharType="end"/>
      </w:r>
    </w:p>
    <w:p w:rsidR="00FD0DC7" w:rsidRDefault="00FD0DC7" w:rsidP="00FD0DC7"/>
    <w:p w:rsidR="00FD0DC7" w:rsidRDefault="00FD0DC7" w:rsidP="00FD0DC7">
      <w:pPr>
        <w:pStyle w:val="EntradandiceAuto"/>
      </w:pPr>
      <w:r>
        <w:t>Sección Tercera. Auto 39/2015, de 20 de febrero de 2015. Acuerda el desistimiento en el recurso de amparo 1699-2012, promovido en proceso contencioso-administrativo.</w:t>
      </w:r>
      <w:r>
        <w:tab/>
      </w:r>
      <w:r>
        <w:tab/>
      </w:r>
      <w:r>
        <w:fldChar w:fldCharType="begin"/>
      </w:r>
      <w:r>
        <w:instrText xml:space="preserve"> PAGEREF AUTO_2015_39 \h </w:instrText>
      </w:r>
      <w:r>
        <w:fldChar w:fldCharType="separate"/>
      </w:r>
      <w:r w:rsidR="00AA6B4A">
        <w:rPr>
          <w:noProof/>
        </w:rPr>
        <w:t>2746</w:t>
      </w:r>
      <w:r>
        <w:fldChar w:fldCharType="end"/>
      </w:r>
    </w:p>
    <w:p w:rsidR="00FD0DC7" w:rsidRDefault="00FD0DC7" w:rsidP="00FD0DC7"/>
    <w:p w:rsidR="00FD0DC7" w:rsidRDefault="00FD0DC7" w:rsidP="00FD0DC7">
      <w:pPr>
        <w:pStyle w:val="EntradandiceAuto"/>
      </w:pPr>
      <w:r>
        <w:t>Sección Cuarta. Auto 40/2015, de 20 de febrero de 2015. Acuerda el desistimiento en el recurso de amparo 5280-2014, promovido en proceso contencioso-administrativo.</w:t>
      </w:r>
      <w:r>
        <w:tab/>
      </w:r>
      <w:r>
        <w:tab/>
      </w:r>
      <w:r>
        <w:fldChar w:fldCharType="begin"/>
      </w:r>
      <w:r>
        <w:instrText xml:space="preserve"> PAGEREF AUTO_2015_40 \h </w:instrText>
      </w:r>
      <w:r>
        <w:fldChar w:fldCharType="separate"/>
      </w:r>
      <w:r w:rsidR="00AA6B4A">
        <w:rPr>
          <w:noProof/>
        </w:rPr>
        <w:t>2747</w:t>
      </w:r>
      <w:r>
        <w:fldChar w:fldCharType="end"/>
      </w:r>
    </w:p>
    <w:p w:rsidR="00FD0DC7" w:rsidRDefault="00FD0DC7" w:rsidP="00FD0DC7"/>
    <w:p w:rsidR="00FD0DC7" w:rsidRDefault="00FD0DC7" w:rsidP="00FD0DC7">
      <w:pPr>
        <w:pStyle w:val="EntradandiceAuto"/>
      </w:pPr>
      <w:r>
        <w:t>Sección Tercera. Auto 41/2015, de 20 de febrero de 2015. Acuerda el desistimiento en el recurso de amparo 279-2015, promovido en causa penal.</w:t>
      </w:r>
      <w:r>
        <w:tab/>
      </w:r>
      <w:r>
        <w:tab/>
      </w:r>
      <w:r>
        <w:fldChar w:fldCharType="begin"/>
      </w:r>
      <w:r>
        <w:instrText xml:space="preserve"> PAGEREF AUTO_2015_41 \h </w:instrText>
      </w:r>
      <w:r>
        <w:fldChar w:fldCharType="separate"/>
      </w:r>
      <w:r w:rsidR="00AA6B4A">
        <w:rPr>
          <w:noProof/>
        </w:rPr>
        <w:t>2748</w:t>
      </w:r>
      <w:r>
        <w:fldChar w:fldCharType="end"/>
      </w:r>
    </w:p>
    <w:p w:rsidR="00FD0DC7" w:rsidRDefault="00FD0DC7" w:rsidP="00FD0DC7"/>
    <w:p w:rsidR="00FD0DC7" w:rsidRDefault="00FD0DC7" w:rsidP="00FD0DC7">
      <w:pPr>
        <w:pStyle w:val="EntradandiceAuto"/>
      </w:pPr>
      <w:r>
        <w:t>Sección Cuarta. Auto 42/2015, de 24 de febrero de 2015. Estima justificada  una abstención en el recurso de amparo 7383-2013, promovido por la Universidad de Burgos en proceso contencioso-administrativo.</w:t>
      </w:r>
      <w:r>
        <w:tab/>
      </w:r>
      <w:r>
        <w:tab/>
      </w:r>
      <w:r>
        <w:fldChar w:fldCharType="begin"/>
      </w:r>
      <w:r>
        <w:instrText xml:space="preserve"> PAGEREF AUTO_2015_42 \h </w:instrText>
      </w:r>
      <w:r>
        <w:fldChar w:fldCharType="separate"/>
      </w:r>
      <w:r w:rsidR="00AA6B4A">
        <w:rPr>
          <w:noProof/>
        </w:rPr>
        <w:t>2749</w:t>
      </w:r>
      <w:r>
        <w:fldChar w:fldCharType="end"/>
      </w:r>
    </w:p>
    <w:p w:rsidR="00FD0DC7" w:rsidRDefault="00FD0DC7" w:rsidP="00FD0DC7"/>
    <w:p w:rsidR="00FD0DC7" w:rsidRDefault="00FD0DC7" w:rsidP="00FD0DC7">
      <w:pPr>
        <w:pStyle w:val="EntradandiceAuto"/>
      </w:pPr>
      <w:r>
        <w:t>Sección Primera. Auto 43/2015, de 25 de febrero de 2015. Desestima el recurso de súplica del Ministerio Fiscal sobre inadmisión del recurso de amparo 4742-2012, promovido por don Jesús Miguel Álvarez Fernández en proceso contencioso-administrativo.</w:t>
      </w:r>
      <w:r>
        <w:tab/>
      </w:r>
      <w:r>
        <w:tab/>
      </w:r>
      <w:r>
        <w:fldChar w:fldCharType="begin"/>
      </w:r>
      <w:r>
        <w:instrText xml:space="preserve"> PAGEREF AUTO_2015_43 \h </w:instrText>
      </w:r>
      <w:r>
        <w:fldChar w:fldCharType="separate"/>
      </w:r>
      <w:r w:rsidR="00AA6B4A">
        <w:rPr>
          <w:noProof/>
        </w:rPr>
        <w:t>2751</w:t>
      </w:r>
      <w:r>
        <w:fldChar w:fldCharType="end"/>
      </w:r>
    </w:p>
    <w:p w:rsidR="00FD0DC7" w:rsidRDefault="00FD0DC7" w:rsidP="00FD0DC7"/>
    <w:p w:rsidR="00FD0DC7" w:rsidRDefault="00FD0DC7" w:rsidP="00FD0DC7">
      <w:pPr>
        <w:pStyle w:val="EntradandiceAuto"/>
      </w:pPr>
      <w:r>
        <w:t>Sección Primera. Auto 44/2015, de 25 de febrero de 2015. Desestima el recurso de súplica del Ministerio Fiscal sobre inadmisión del recurso de amparo 6197-2012, promovido por doña María Isabel Hernández Bernal en causa penal.</w:t>
      </w:r>
      <w:r>
        <w:tab/>
      </w:r>
      <w:r>
        <w:tab/>
      </w:r>
      <w:r>
        <w:fldChar w:fldCharType="begin"/>
      </w:r>
      <w:r>
        <w:instrText xml:space="preserve"> PAGEREF AUTO_2015_44 \h </w:instrText>
      </w:r>
      <w:r>
        <w:fldChar w:fldCharType="separate"/>
      </w:r>
      <w:r w:rsidR="00AA6B4A">
        <w:rPr>
          <w:noProof/>
        </w:rPr>
        <w:t>2755</w:t>
      </w:r>
      <w:r>
        <w:fldChar w:fldCharType="end"/>
      </w:r>
    </w:p>
    <w:p w:rsidR="00FD0DC7" w:rsidRDefault="00FD0DC7" w:rsidP="00FD0DC7"/>
    <w:p w:rsidR="00FD0DC7" w:rsidRDefault="00FD0DC7" w:rsidP="00FD0DC7">
      <w:pPr>
        <w:pStyle w:val="EntradandiceAuto"/>
      </w:pPr>
      <w:r>
        <w:t>Sección Primera. Auto 45/2015, de 25 de febrero de 2015. Desestima el recurso de súplica del Ministerio Fiscal sobre inadmisión del recurso de amparo 6141-2013, promovido por don Ángel Rubio Pablos en proceso contencioso-administrativo.</w:t>
      </w:r>
      <w:r>
        <w:tab/>
      </w:r>
      <w:r>
        <w:tab/>
      </w:r>
      <w:r>
        <w:fldChar w:fldCharType="begin"/>
      </w:r>
      <w:r>
        <w:instrText xml:space="preserve"> PAGEREF AUTO_2015_45 \h </w:instrText>
      </w:r>
      <w:r>
        <w:fldChar w:fldCharType="separate"/>
      </w:r>
      <w:r w:rsidR="00AA6B4A">
        <w:rPr>
          <w:noProof/>
        </w:rPr>
        <w:t>2759</w:t>
      </w:r>
      <w:r>
        <w:fldChar w:fldCharType="end"/>
      </w:r>
    </w:p>
    <w:p w:rsidR="00FD0DC7" w:rsidRDefault="00FD0DC7" w:rsidP="00FD0DC7"/>
    <w:p w:rsidR="00FD0DC7" w:rsidRDefault="00FD0DC7" w:rsidP="00FD0DC7">
      <w:pPr>
        <w:pStyle w:val="EntradandiceAuto"/>
      </w:pPr>
      <w:r>
        <w:t>Sección Primera. Auto 46/2015, de 25 de febrero de 2015. Acuerda el desistimiento en el recurso de amparo 3923-2014, promovido en pleito civil.</w:t>
      </w:r>
      <w:r>
        <w:tab/>
      </w:r>
      <w:r>
        <w:tab/>
      </w:r>
      <w:r>
        <w:fldChar w:fldCharType="begin"/>
      </w:r>
      <w:r>
        <w:instrText xml:space="preserve"> PAGEREF AUTO_2015_46 \h </w:instrText>
      </w:r>
      <w:r>
        <w:fldChar w:fldCharType="separate"/>
      </w:r>
      <w:r w:rsidR="00AA6B4A">
        <w:rPr>
          <w:noProof/>
        </w:rPr>
        <w:t>2763</w:t>
      </w:r>
      <w:r>
        <w:fldChar w:fldCharType="end"/>
      </w:r>
    </w:p>
    <w:p w:rsidR="00FD0DC7" w:rsidRDefault="00FD0DC7" w:rsidP="00FD0DC7"/>
    <w:p w:rsidR="00FD0DC7" w:rsidRDefault="00FD0DC7" w:rsidP="00FD0DC7">
      <w:pPr>
        <w:pStyle w:val="EntradandiceAuto"/>
      </w:pPr>
      <w:r>
        <w:t>Sección Primera. Auto 47/2015, de 25 de febrero de 2015. Acuerda el desistimiento en el recurso de amparo 7498-2014, promovido en causa penal.</w:t>
      </w:r>
      <w:r>
        <w:tab/>
      </w:r>
      <w:r>
        <w:tab/>
      </w:r>
      <w:r>
        <w:fldChar w:fldCharType="begin"/>
      </w:r>
      <w:r>
        <w:instrText xml:space="preserve"> PAGEREF AUTO_2015_47 \h </w:instrText>
      </w:r>
      <w:r>
        <w:fldChar w:fldCharType="separate"/>
      </w:r>
      <w:r w:rsidR="00AA6B4A">
        <w:rPr>
          <w:noProof/>
        </w:rPr>
        <w:t>2764</w:t>
      </w:r>
      <w:r>
        <w:fldChar w:fldCharType="end"/>
      </w:r>
    </w:p>
    <w:p w:rsidR="00FD0DC7" w:rsidRDefault="00FD0DC7" w:rsidP="00FD0DC7"/>
    <w:p w:rsidR="00FD0DC7" w:rsidRDefault="00FD0DC7" w:rsidP="00FD0DC7">
      <w:pPr>
        <w:pStyle w:val="EntradandiceAuto"/>
      </w:pPr>
      <w:r>
        <w:t>Sección Cuarta. Auto 48/2015, de 26 de febrero de 2015. Acepta una abstención en el recurso de amparo 5904-2014, promovido por don Rafael Faet Oltra en pleito civil.</w:t>
      </w:r>
      <w:r>
        <w:tab/>
      </w:r>
      <w:r>
        <w:tab/>
      </w:r>
      <w:r>
        <w:fldChar w:fldCharType="begin"/>
      </w:r>
      <w:r>
        <w:instrText xml:space="preserve"> PAGEREF AUTO_2015_48 \h </w:instrText>
      </w:r>
      <w:r>
        <w:fldChar w:fldCharType="separate"/>
      </w:r>
      <w:r w:rsidR="00AA6B4A">
        <w:rPr>
          <w:noProof/>
        </w:rPr>
        <w:t>2765</w:t>
      </w:r>
      <w:r>
        <w:fldChar w:fldCharType="end"/>
      </w:r>
    </w:p>
    <w:p w:rsidR="00FD0DC7" w:rsidRDefault="00FD0DC7" w:rsidP="00FD0DC7"/>
    <w:p w:rsidR="00FD0DC7" w:rsidRDefault="00FD0DC7" w:rsidP="00FD0DC7">
      <w:pPr>
        <w:pStyle w:val="EntradandiceAuto"/>
      </w:pPr>
      <w:r>
        <w:t>Sección Cuarta. Auto 49/2015, de 27 de febrero de 2015. Inadmite la solicitud de nulidad de actuaciones y estima el recurso de súplica del Ministerio Fiscal sobre inadmisión del recurso de amparo 2407-2013, promovido por doña Dolores Mayor Sánchez y otras personas en proceso contencioso-administrativo.</w:t>
      </w:r>
      <w:r>
        <w:tab/>
      </w:r>
      <w:r>
        <w:tab/>
      </w:r>
      <w:r>
        <w:fldChar w:fldCharType="begin"/>
      </w:r>
      <w:r>
        <w:instrText xml:space="preserve"> PAGEREF AUTO_2015_49 \h </w:instrText>
      </w:r>
      <w:r>
        <w:fldChar w:fldCharType="separate"/>
      </w:r>
      <w:r w:rsidR="00AA6B4A">
        <w:rPr>
          <w:noProof/>
        </w:rPr>
        <w:t>2767</w:t>
      </w:r>
      <w:r>
        <w:fldChar w:fldCharType="end"/>
      </w:r>
    </w:p>
    <w:p w:rsidR="00FD0DC7" w:rsidRDefault="00FD0DC7" w:rsidP="00FD0DC7"/>
    <w:p w:rsidR="00FD0DC7" w:rsidRDefault="00FD0DC7" w:rsidP="00FD0DC7">
      <w:pPr>
        <w:pStyle w:val="EntradandiceAuto"/>
      </w:pPr>
      <w:r>
        <w:t>Sala Segunda. Auto 50/2015, de 2 de marzo de 2015. Deniega la suspensión y ordena la anotación preventiva de la demanda en el recurso de amparo 6203-2013, promovido por doña María del Carmen Mateos Pérez en pleito civil.</w:t>
      </w:r>
      <w:r>
        <w:tab/>
      </w:r>
      <w:r>
        <w:tab/>
      </w:r>
      <w:r>
        <w:fldChar w:fldCharType="begin"/>
      </w:r>
      <w:r>
        <w:instrText xml:space="preserve"> PAGEREF AUTO_2015_50 \h </w:instrText>
      </w:r>
      <w:r>
        <w:fldChar w:fldCharType="separate"/>
      </w:r>
      <w:r w:rsidR="00AA6B4A">
        <w:rPr>
          <w:noProof/>
        </w:rPr>
        <w:t>2773</w:t>
      </w:r>
      <w:r>
        <w:fldChar w:fldCharType="end"/>
      </w:r>
    </w:p>
    <w:p w:rsidR="00FD0DC7" w:rsidRDefault="00FD0DC7" w:rsidP="00FD0DC7"/>
    <w:p w:rsidR="00FD0DC7" w:rsidRDefault="00FD0DC7" w:rsidP="00FD0DC7">
      <w:pPr>
        <w:pStyle w:val="EntradandiceAuto"/>
      </w:pPr>
      <w:r>
        <w:t>Pleno. Auto 51/2015, de 3 de marzo de 2015. Acuerda la extinción, por pérdida de objeto, del recurso de inconstitucionalidad 2007-2012, interpuesto por el Gobierno de Canarias en relación con el artículo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w:t>
      </w:r>
      <w:r>
        <w:tab/>
      </w:r>
      <w:r>
        <w:tab/>
      </w:r>
      <w:r>
        <w:fldChar w:fldCharType="begin"/>
      </w:r>
      <w:r>
        <w:instrText xml:space="preserve"> PAGEREF AUTO_2015_51 \h </w:instrText>
      </w:r>
      <w:r>
        <w:fldChar w:fldCharType="separate"/>
      </w:r>
      <w:r w:rsidR="00AA6B4A">
        <w:rPr>
          <w:noProof/>
        </w:rPr>
        <w:t>2776</w:t>
      </w:r>
      <w:r>
        <w:fldChar w:fldCharType="end"/>
      </w:r>
    </w:p>
    <w:p w:rsidR="00FD0DC7" w:rsidRDefault="00FD0DC7" w:rsidP="00FD0DC7"/>
    <w:p w:rsidR="00FD0DC7" w:rsidRDefault="00FD0DC7" w:rsidP="00FD0DC7">
      <w:pPr>
        <w:pStyle w:val="EntradandiceAuto"/>
      </w:pPr>
      <w:r>
        <w:t>Pleno. Auto 52/2015, de 3 de marzo de 2015. Inadmite a trámite la cuestión de inconstitucionalidad 6323-2014, planteada por el Tribunal Superior de Justicia de Murcia en relación con el artículo 2, apartados 1 y 2.2, y 6 del Real Decreto-ley 20/2012, de 13 de julio, de medidas para garantizar la estabilidad presupuestaria y de fomento de la competitividad.</w:t>
      </w:r>
      <w:r>
        <w:tab/>
      </w:r>
      <w:r>
        <w:tab/>
      </w:r>
      <w:r>
        <w:fldChar w:fldCharType="begin"/>
      </w:r>
      <w:r>
        <w:instrText xml:space="preserve"> PAGEREF AUTO_2015_52 \h </w:instrText>
      </w:r>
      <w:r>
        <w:fldChar w:fldCharType="separate"/>
      </w:r>
      <w:r w:rsidR="00AA6B4A">
        <w:rPr>
          <w:noProof/>
        </w:rPr>
        <w:t>2779</w:t>
      </w:r>
      <w:r>
        <w:fldChar w:fldCharType="end"/>
      </w:r>
    </w:p>
    <w:p w:rsidR="00FD0DC7" w:rsidRDefault="00FD0DC7" w:rsidP="00FD0DC7"/>
    <w:p w:rsidR="00FD0DC7" w:rsidRDefault="00FD0DC7" w:rsidP="00FD0DC7">
      <w:pPr>
        <w:pStyle w:val="EntradandiceAuto"/>
      </w:pPr>
      <w:r>
        <w:t>Pleno. Auto 53/2015, de 3 de marzo de 2015. Mantiene la suspensión acordada en la impugnación de las disposiciones autonómicas 6415-2014, promovida por el Gobierno de la Nación en relación con diversos preceptos del Decreto del Gobierno de Canarias 95/2014, de 25 de septiembre, por el que se aprueba el Reglamento de las consultas a la ciudadanía en asuntos de interés general de competencia de la Comunidad Autónoma de Canarias.</w:t>
      </w:r>
      <w:r>
        <w:tab/>
      </w:r>
      <w:r>
        <w:tab/>
      </w:r>
      <w:r>
        <w:fldChar w:fldCharType="begin"/>
      </w:r>
      <w:r>
        <w:instrText xml:space="preserve"> PAGEREF AUTO_2015_53 \h </w:instrText>
      </w:r>
      <w:r>
        <w:fldChar w:fldCharType="separate"/>
      </w:r>
      <w:r w:rsidR="00AA6B4A">
        <w:rPr>
          <w:noProof/>
        </w:rPr>
        <w:t>2785</w:t>
      </w:r>
      <w:r>
        <w:fldChar w:fldCharType="end"/>
      </w:r>
    </w:p>
    <w:p w:rsidR="00FD0DC7" w:rsidRDefault="00FD0DC7" w:rsidP="00FD0DC7"/>
    <w:p w:rsidR="00FD0DC7" w:rsidRDefault="00FD0DC7" w:rsidP="00FD0DC7">
      <w:pPr>
        <w:pStyle w:val="EntradandiceAuto"/>
      </w:pPr>
      <w:r>
        <w:t>Pleno. Auto 54/2015, de 3 de marzo de 2015. Acuerda la extinción del incidente cautelar de suspensión en el proceso de la impugnación de disposiciones autonómicas 6416-2014, promovida por el Gobierno de la Nación en relación con diversos preceptos del Decreto del Gobierno de Canarias 107/2014, de 2 de octubre, de por el que se convoca consulta ciudadana mediante pregunta directa en el ámbito territorial de Canarias. El motivo de la pérdida de objeto es haber transcurrido ya la fecha en que iba a celebrase la consulta.</w:t>
      </w:r>
      <w:r>
        <w:tab/>
      </w:r>
      <w:r>
        <w:tab/>
      </w:r>
      <w:r>
        <w:fldChar w:fldCharType="begin"/>
      </w:r>
      <w:r>
        <w:instrText xml:space="preserve"> PAGEREF AUTO_2015_54 \h </w:instrText>
      </w:r>
      <w:r>
        <w:fldChar w:fldCharType="separate"/>
      </w:r>
      <w:r w:rsidR="00AA6B4A">
        <w:rPr>
          <w:noProof/>
        </w:rPr>
        <w:t>2792</w:t>
      </w:r>
      <w:r>
        <w:fldChar w:fldCharType="end"/>
      </w:r>
    </w:p>
    <w:p w:rsidR="00FD0DC7" w:rsidRDefault="00FD0DC7" w:rsidP="00FD0DC7"/>
    <w:p w:rsidR="00FD0DC7" w:rsidRDefault="00FD0DC7" w:rsidP="00FD0DC7">
      <w:pPr>
        <w:pStyle w:val="EntradandiceAuto"/>
      </w:pPr>
      <w:r>
        <w:t>Pleno. Auto 55/2015, de 5 de marzo de 2015. Deniega la aclaración de la Sentencia 27/2015, de 19 de febrero, dictada en el recurso de inconstitucionalidad 6368-2013, interpuesto por la Generalitat de Cataluña.</w:t>
      </w:r>
      <w:r>
        <w:tab/>
      </w:r>
      <w:r>
        <w:tab/>
      </w:r>
      <w:r>
        <w:fldChar w:fldCharType="begin"/>
      </w:r>
      <w:r>
        <w:instrText xml:space="preserve"> PAGEREF AUTO_2015_55 \h </w:instrText>
      </w:r>
      <w:r>
        <w:fldChar w:fldCharType="separate"/>
      </w:r>
      <w:r w:rsidR="00AA6B4A">
        <w:rPr>
          <w:noProof/>
        </w:rPr>
        <w:t>2797</w:t>
      </w:r>
      <w:r>
        <w:fldChar w:fldCharType="end"/>
      </w:r>
    </w:p>
    <w:p w:rsidR="00FD0DC7" w:rsidRDefault="00FD0DC7" w:rsidP="00FD0DC7"/>
    <w:p w:rsidR="00FD0DC7" w:rsidRDefault="00FD0DC7" w:rsidP="00FD0DC7">
      <w:pPr>
        <w:pStyle w:val="EntradandiceAuto"/>
      </w:pPr>
      <w:r>
        <w:t>Sala Primera. Auto 56/2015, de 16 de marzo de 2015. Acuerda la acumulación del recurso de amparo 1486-2013 al 1485-2013, promovidos ambos en causas penales.</w:t>
      </w:r>
      <w:r>
        <w:tab/>
      </w:r>
      <w:r>
        <w:tab/>
      </w:r>
      <w:r>
        <w:fldChar w:fldCharType="begin"/>
      </w:r>
      <w:r>
        <w:instrText xml:space="preserve"> PAGEREF AUTO_2015_56 \h </w:instrText>
      </w:r>
      <w:r>
        <w:fldChar w:fldCharType="separate"/>
      </w:r>
      <w:r w:rsidR="00AA6B4A">
        <w:rPr>
          <w:noProof/>
        </w:rPr>
        <w:t>2800</w:t>
      </w:r>
      <w:r>
        <w:fldChar w:fldCharType="end"/>
      </w:r>
    </w:p>
    <w:p w:rsidR="00FD0DC7" w:rsidRDefault="00FD0DC7" w:rsidP="00FD0DC7"/>
    <w:p w:rsidR="00FD0DC7" w:rsidRDefault="00FD0DC7" w:rsidP="00FD0DC7">
      <w:pPr>
        <w:pStyle w:val="EntradandiceAuto"/>
      </w:pPr>
      <w:r>
        <w:t>Sala Segunda. Auto 57/2015, de 16 de marzo de 2015. Inadmite el recurso de súplica de la representación procesal sobre inadmisión del recurso de amparo 2875-2014, promovido por don Pedro Zúñiga Alcón en pleito civil.</w:t>
      </w:r>
      <w:r>
        <w:tab/>
      </w:r>
      <w:r>
        <w:tab/>
      </w:r>
      <w:r>
        <w:fldChar w:fldCharType="begin"/>
      </w:r>
      <w:r>
        <w:instrText xml:space="preserve"> PAGEREF AUTO_2015_57 \h </w:instrText>
      </w:r>
      <w:r>
        <w:fldChar w:fldCharType="separate"/>
      </w:r>
      <w:r w:rsidR="00AA6B4A">
        <w:rPr>
          <w:noProof/>
        </w:rPr>
        <w:t>2801</w:t>
      </w:r>
      <w:r>
        <w:fldChar w:fldCharType="end"/>
      </w:r>
    </w:p>
    <w:p w:rsidR="00FD0DC7" w:rsidRDefault="00FD0DC7" w:rsidP="00FD0DC7"/>
    <w:p w:rsidR="00FD0DC7" w:rsidRDefault="00FD0DC7" w:rsidP="00FD0DC7">
      <w:pPr>
        <w:pStyle w:val="EntradandiceAuto"/>
      </w:pPr>
      <w:r>
        <w:t>Sección Segunda. Auto 58/2015, de 16 de marzo de 2015. Acuerda el desistimiento en el recurso de amparo 5283-2014, promovido en proceso causa penal.</w:t>
      </w:r>
      <w:r>
        <w:tab/>
      </w:r>
      <w:r>
        <w:tab/>
      </w:r>
      <w:r>
        <w:fldChar w:fldCharType="begin"/>
      </w:r>
      <w:r>
        <w:instrText xml:space="preserve"> PAGEREF AUTO_2015_58 \h </w:instrText>
      </w:r>
      <w:r>
        <w:fldChar w:fldCharType="separate"/>
      </w:r>
      <w:r w:rsidR="00AA6B4A">
        <w:rPr>
          <w:noProof/>
        </w:rPr>
        <w:t>2805</w:t>
      </w:r>
      <w:r>
        <w:fldChar w:fldCharType="end"/>
      </w:r>
    </w:p>
    <w:p w:rsidR="00FD0DC7" w:rsidRDefault="00FD0DC7" w:rsidP="00FD0DC7"/>
    <w:p w:rsidR="00FD0DC7" w:rsidRDefault="00FD0DC7" w:rsidP="00FD0DC7">
      <w:pPr>
        <w:pStyle w:val="EntradandiceAuto"/>
      </w:pPr>
      <w:r>
        <w:t>Sala Segunda. Auto 59/2015, de 16 de marzo de 2015. Acuerda la suspensión y la anotación preventiva de la demanda en el recurso de amparo 6076-2014, promovido por doña María Adelaida Londoño Molinares en pleito civil.</w:t>
      </w:r>
      <w:r>
        <w:tab/>
      </w:r>
      <w:r>
        <w:tab/>
      </w:r>
      <w:r>
        <w:fldChar w:fldCharType="begin"/>
      </w:r>
      <w:r>
        <w:instrText xml:space="preserve"> PAGEREF AUTO_2015_59 \h </w:instrText>
      </w:r>
      <w:r>
        <w:fldChar w:fldCharType="separate"/>
      </w:r>
      <w:r w:rsidR="00AA6B4A">
        <w:rPr>
          <w:noProof/>
        </w:rPr>
        <w:t>2806</w:t>
      </w:r>
      <w:r>
        <w:fldChar w:fldCharType="end"/>
      </w:r>
    </w:p>
    <w:p w:rsidR="00FD0DC7" w:rsidRDefault="00FD0DC7" w:rsidP="00FD0DC7"/>
    <w:p w:rsidR="00FD0DC7" w:rsidRDefault="00FD0DC7" w:rsidP="00FD0DC7">
      <w:pPr>
        <w:pStyle w:val="EntradandiceAuto"/>
      </w:pPr>
      <w:r>
        <w:t>Pleno. Auto 60/2015, de 17 de marzo de 2015. Inadmite a trámite la cuestión de inconstitucionalidad 3451-2014, planteada por el Tribunal Superior de Justicia de Cataluña en relación con el artículo 4.3 de la Ley 3/2012, de 6 de julio, de medidas urgentes para la reforma del mercado laboral.</w:t>
      </w:r>
      <w:r>
        <w:tab/>
      </w:r>
      <w:r>
        <w:tab/>
      </w:r>
      <w:r>
        <w:fldChar w:fldCharType="begin"/>
      </w:r>
      <w:r>
        <w:instrText xml:space="preserve"> PAGEREF AUTO_2015_60 \h </w:instrText>
      </w:r>
      <w:r>
        <w:fldChar w:fldCharType="separate"/>
      </w:r>
      <w:r w:rsidR="00AA6B4A">
        <w:rPr>
          <w:noProof/>
        </w:rPr>
        <w:t>2810</w:t>
      </w:r>
      <w:r>
        <w:fldChar w:fldCharType="end"/>
      </w:r>
    </w:p>
    <w:p w:rsidR="00FD0DC7" w:rsidRDefault="00FD0DC7" w:rsidP="00FD0DC7"/>
    <w:p w:rsidR="00FD0DC7" w:rsidRDefault="00FD0DC7" w:rsidP="00FD0DC7">
      <w:pPr>
        <w:pStyle w:val="EntradandiceAuto"/>
      </w:pPr>
      <w:r>
        <w:t>Pleno. Auto 61/2015, de 17 de marzo de 2015. Inadmite a trámite la cuestión de inconstitucionalidad 4875-2014, planteada por la Sala de lo Contencioso-Administrativo del Tribunal Superior de Justicia de Castilla-La Mancha en relación con los artículos 22.1 a) y 2 de la Ley 8/2007, de 28 de mayo, de suelo y 23.1 a) y 2 del Real Decreto Legislativo 2/2008, de 20 de junio, por el que se aprueba el texto refundido de la Ley de suelo.</w:t>
      </w:r>
      <w:r>
        <w:tab/>
      </w:r>
      <w:r>
        <w:tab/>
      </w:r>
      <w:r>
        <w:fldChar w:fldCharType="begin"/>
      </w:r>
      <w:r>
        <w:instrText xml:space="preserve"> PAGEREF AUTO_2015_61 \h </w:instrText>
      </w:r>
      <w:r>
        <w:fldChar w:fldCharType="separate"/>
      </w:r>
      <w:r w:rsidR="00AA6B4A">
        <w:rPr>
          <w:noProof/>
        </w:rPr>
        <w:t>2814</w:t>
      </w:r>
      <w:r>
        <w:fldChar w:fldCharType="end"/>
      </w:r>
    </w:p>
    <w:p w:rsidR="00FD0DC7" w:rsidRDefault="00FD0DC7" w:rsidP="00FD0DC7"/>
    <w:p w:rsidR="00FD0DC7" w:rsidRDefault="00FD0DC7" w:rsidP="00FD0DC7">
      <w:pPr>
        <w:pStyle w:val="EntradandiceAuto"/>
      </w:pPr>
      <w:r>
        <w:t>Pleno. Auto 62/2015, de 17 de marzo de 2015. Inadmite a trámite la cuestión de inconstitucionalidad 5975-2014, planteada por la Sala de lo Contencioso-Administrativo del Tribunal Superior de Justicia de Castilla-La Mancha en relación con los artículos 23 .1 a) y 2  en relación con los arts. 12 y 25 del Real Decreto Legislativo 2/2008, de 20 de junio, por el que se aprueba el texto refundido de la Ley de suelo.</w:t>
      </w:r>
      <w:r>
        <w:tab/>
      </w:r>
      <w:r>
        <w:tab/>
      </w:r>
      <w:r>
        <w:fldChar w:fldCharType="begin"/>
      </w:r>
      <w:r>
        <w:instrText xml:space="preserve"> PAGEREF AUTO_2015_62 \h </w:instrText>
      </w:r>
      <w:r>
        <w:fldChar w:fldCharType="separate"/>
      </w:r>
      <w:r w:rsidR="00AA6B4A">
        <w:rPr>
          <w:noProof/>
        </w:rPr>
        <w:t>2820</w:t>
      </w:r>
      <w:r>
        <w:fldChar w:fldCharType="end"/>
      </w:r>
    </w:p>
    <w:p w:rsidR="00FD0DC7" w:rsidRDefault="00FD0DC7" w:rsidP="00FD0DC7"/>
    <w:p w:rsidR="00FD0DC7" w:rsidRDefault="00FD0DC7" w:rsidP="00FD0DC7">
      <w:pPr>
        <w:pStyle w:val="EntradandiceAuto"/>
      </w:pPr>
      <w:r>
        <w:t>Pleno. Auto 63/2015, de 17 de marzo de 2015. Levanta la suspensión en el recurso de inconstitucionalidad 6513-2014, interpuesto por el Presidente del Gobierno en relación con el artículo 167.1 y disposiciones transitorias quinta y octava de la Ley 2/2014, de 27 de enero, de medidas fiscales, administrativas, financieras y del sector público  de Cataluña.</w:t>
      </w:r>
      <w:r>
        <w:tab/>
      </w:r>
      <w:r>
        <w:tab/>
      </w:r>
      <w:r>
        <w:fldChar w:fldCharType="begin"/>
      </w:r>
      <w:r>
        <w:instrText xml:space="preserve"> PAGEREF AUTO_2015_63 \h </w:instrText>
      </w:r>
      <w:r>
        <w:fldChar w:fldCharType="separate"/>
      </w:r>
      <w:r w:rsidR="00AA6B4A">
        <w:rPr>
          <w:noProof/>
        </w:rPr>
        <w:t>2826</w:t>
      </w:r>
      <w:r>
        <w:fldChar w:fldCharType="end"/>
      </w:r>
    </w:p>
    <w:p w:rsidR="00FD0DC7" w:rsidRDefault="00FD0DC7" w:rsidP="00FD0DC7"/>
    <w:p w:rsidR="00FD0DC7" w:rsidRDefault="00FD0DC7" w:rsidP="00FD0DC7">
      <w:pPr>
        <w:pStyle w:val="EntradandiceAuto"/>
      </w:pPr>
      <w:r>
        <w:t>Sala Segunda. Auto 64/2015, de 7 de abril de 2015. Acepta una abstención en el recurso de amparo 2282-2014, contencioso promovido por don Juan Ignacio Medrano Sánchez y otras personas en proceso contencioso-administrativo.</w:t>
      </w:r>
      <w:r>
        <w:tab/>
      </w:r>
      <w:r>
        <w:tab/>
      </w:r>
      <w:r>
        <w:fldChar w:fldCharType="begin"/>
      </w:r>
      <w:r>
        <w:instrText xml:space="preserve"> PAGEREF AUTO_2015_64 \h </w:instrText>
      </w:r>
      <w:r>
        <w:fldChar w:fldCharType="separate"/>
      </w:r>
      <w:r w:rsidR="00AA6B4A">
        <w:rPr>
          <w:noProof/>
        </w:rPr>
        <w:t>2840</w:t>
      </w:r>
      <w:r>
        <w:fldChar w:fldCharType="end"/>
      </w:r>
    </w:p>
    <w:p w:rsidR="00FD0DC7" w:rsidRDefault="00FD0DC7" w:rsidP="00FD0DC7"/>
    <w:p w:rsidR="00FD0DC7" w:rsidRDefault="00FD0DC7" w:rsidP="00FD0DC7">
      <w:pPr>
        <w:pStyle w:val="EntradandiceAuto"/>
      </w:pPr>
      <w:r>
        <w:t>Sala Segunda. Auto 65/2015, de 13 de abril de 2015. Inadmite el incidente de ejecución de la STC 199/2014, de 15 de diciembre, dictada en el recurso de amparo 11-2013, promovido por don Antonio Cuerda Riezu en proceso contencioso-administrativo.</w:t>
      </w:r>
      <w:r>
        <w:tab/>
      </w:r>
      <w:r>
        <w:tab/>
      </w:r>
      <w:r>
        <w:fldChar w:fldCharType="begin"/>
      </w:r>
      <w:r>
        <w:instrText xml:space="preserve"> PAGEREF AUTO_2015_65 \h </w:instrText>
      </w:r>
      <w:r>
        <w:fldChar w:fldCharType="separate"/>
      </w:r>
      <w:r w:rsidR="00AA6B4A">
        <w:rPr>
          <w:noProof/>
        </w:rPr>
        <w:t>2842</w:t>
      </w:r>
      <w:r>
        <w:fldChar w:fldCharType="end"/>
      </w:r>
    </w:p>
    <w:p w:rsidR="00FD0DC7" w:rsidRDefault="00FD0DC7" w:rsidP="00FD0DC7"/>
    <w:p w:rsidR="00FD0DC7" w:rsidRDefault="00FD0DC7" w:rsidP="00FD0DC7">
      <w:pPr>
        <w:pStyle w:val="EntradandiceAuto"/>
      </w:pPr>
      <w:r>
        <w:t>Pleno. Auto 66/2015, de 14 de abril de 2015. Inadmite a trámite la cuestión de inconstitucionalidad 5121-2014, planteada por el Juzgado de Primera Instancia núm. 8 de A Coruña en relación con diversos preceptos de la Ley 10/2012, de 20 de noviembre, que regula determinadas tasas en el ámbito de la Administración de Justicia y del Instituto Nacional de Toxicología y Ciencias Forenses.</w:t>
      </w:r>
      <w:r>
        <w:tab/>
      </w:r>
      <w:r>
        <w:tab/>
      </w:r>
      <w:r>
        <w:fldChar w:fldCharType="begin"/>
      </w:r>
      <w:r>
        <w:instrText xml:space="preserve"> PAGEREF AUTO_2015_66 \h </w:instrText>
      </w:r>
      <w:r>
        <w:fldChar w:fldCharType="separate"/>
      </w:r>
      <w:r w:rsidR="00AA6B4A">
        <w:rPr>
          <w:noProof/>
        </w:rPr>
        <w:t>2845</w:t>
      </w:r>
      <w:r>
        <w:fldChar w:fldCharType="end"/>
      </w:r>
    </w:p>
    <w:p w:rsidR="00FD0DC7" w:rsidRDefault="00FD0DC7" w:rsidP="00FD0DC7"/>
    <w:p w:rsidR="00FD0DC7" w:rsidRDefault="00FD0DC7" w:rsidP="00FD0DC7">
      <w:pPr>
        <w:pStyle w:val="EntradandiceAuto"/>
      </w:pPr>
      <w:r>
        <w:t>Pleno. Auto 67/2015, de 14 de abril de 2015. Acuerda el levantamiento parcial de la suspensión en el recurso de inconstitucional 7067-2014, planteado por el Presidente del Gobierno respecto de diversos preceptos de la Ley del Parlamento de Cataluña 3/2014, de 19 de febrero, de horarios comerciales y de medidas para determinadas actividades de promoción. Voto particular.</w:t>
      </w:r>
      <w:r>
        <w:tab/>
      </w:r>
      <w:r>
        <w:tab/>
      </w:r>
      <w:r>
        <w:fldChar w:fldCharType="begin"/>
      </w:r>
      <w:r>
        <w:instrText xml:space="preserve"> PAGEREF AUTO_2015_67 \h </w:instrText>
      </w:r>
      <w:r>
        <w:fldChar w:fldCharType="separate"/>
      </w:r>
      <w:r w:rsidR="00AA6B4A">
        <w:rPr>
          <w:noProof/>
        </w:rPr>
        <w:t>2852</w:t>
      </w:r>
      <w:r>
        <w:fldChar w:fldCharType="end"/>
      </w:r>
    </w:p>
    <w:p w:rsidR="00FD0DC7" w:rsidRDefault="00FD0DC7" w:rsidP="00FD0DC7"/>
    <w:p w:rsidR="00FD0DC7" w:rsidRDefault="00FD0DC7" w:rsidP="00FD0DC7">
      <w:pPr>
        <w:pStyle w:val="EntradandiceAuto"/>
      </w:pPr>
      <w:r>
        <w:t>Pleno. Auto 68/2015, de 14 de abril de 2015. Acuerda la acumulación de los recursos de inconstitucionalidad 7874-2014 y 21-2015 al 7848-2014, planteados por el Parlamento de Cataluña en relación con diversos preceptos del Real Decreto-ley 13/2014, de 3 de octubre, por el que se adoptan medidas urgentes en relación con el sistema gasista y la titularidad de las centrales nucleares.</w:t>
      </w:r>
      <w:r>
        <w:tab/>
      </w:r>
      <w:r>
        <w:tab/>
      </w:r>
      <w:r>
        <w:fldChar w:fldCharType="begin"/>
      </w:r>
      <w:r>
        <w:instrText xml:space="preserve"> PAGEREF AUTO_2015_68 \h </w:instrText>
      </w:r>
      <w:r>
        <w:fldChar w:fldCharType="separate"/>
      </w:r>
      <w:r w:rsidR="00AA6B4A">
        <w:rPr>
          <w:noProof/>
        </w:rPr>
        <w:t>2861</w:t>
      </w:r>
      <w:r>
        <w:fldChar w:fldCharType="end"/>
      </w:r>
    </w:p>
    <w:p w:rsidR="00FD0DC7" w:rsidRDefault="00FD0DC7" w:rsidP="00FD0DC7"/>
    <w:p w:rsidR="00FD0DC7" w:rsidRDefault="00FD0DC7" w:rsidP="00FD0DC7">
      <w:pPr>
        <w:pStyle w:val="EntradandiceAuto"/>
      </w:pPr>
      <w:r>
        <w:t>Pleno. Auto 69/2015, de 14 de abril de 2015. Inadmite a trámite la cuestión de inconstitucionalidad 242-2015, planteada por el Juzgado de lo Contencioso-Administrativo núm. 22 de Madrid en relación con el inciso inicial del artículo 48.2 de la Ley  8/2012, de 28 de diciembre, de medidas fiscales y administrativas de la Comunidad de Madrid.</w:t>
      </w:r>
      <w:r>
        <w:tab/>
      </w:r>
      <w:r>
        <w:tab/>
      </w:r>
      <w:r>
        <w:fldChar w:fldCharType="begin"/>
      </w:r>
      <w:r>
        <w:instrText xml:space="preserve"> PAGEREF AUTO_2015_69 \h </w:instrText>
      </w:r>
      <w:r>
        <w:fldChar w:fldCharType="separate"/>
      </w:r>
      <w:r w:rsidR="00AA6B4A">
        <w:rPr>
          <w:noProof/>
        </w:rPr>
        <w:t>2864</w:t>
      </w:r>
      <w:r>
        <w:fldChar w:fldCharType="end"/>
      </w:r>
    </w:p>
    <w:p w:rsidR="00FD0DC7" w:rsidRDefault="00FD0DC7" w:rsidP="00FD0DC7"/>
    <w:p w:rsidR="00FD0DC7" w:rsidRDefault="00FD0DC7" w:rsidP="00FD0DC7">
      <w:pPr>
        <w:pStyle w:val="EntradandiceAuto"/>
      </w:pPr>
      <w:r>
        <w:t>Pleno. Auto 70/2015, de 14 de abril de 2015. Inadmite a trámite el conflicto en defensa de la autonomía local 432-2015, planteado por el Consejo Insular de Formentera en relación con el artículo 186.1 de la Ley 4/2014, de 20 de junio, de transportes terrestres y movilidad sostenible de las Illes Balears.</w:t>
      </w:r>
      <w:r>
        <w:tab/>
      </w:r>
      <w:r>
        <w:tab/>
      </w:r>
      <w:r>
        <w:fldChar w:fldCharType="begin"/>
      </w:r>
      <w:r>
        <w:instrText xml:space="preserve"> PAGEREF AUTO_2015_70 \h </w:instrText>
      </w:r>
      <w:r>
        <w:fldChar w:fldCharType="separate"/>
      </w:r>
      <w:r w:rsidR="00AA6B4A">
        <w:rPr>
          <w:noProof/>
        </w:rPr>
        <w:t>2874</w:t>
      </w:r>
      <w:r>
        <w:fldChar w:fldCharType="end"/>
      </w:r>
    </w:p>
    <w:p w:rsidR="00FD0DC7" w:rsidRDefault="00FD0DC7" w:rsidP="00FD0DC7"/>
    <w:p w:rsidR="00FD0DC7" w:rsidRDefault="00FD0DC7" w:rsidP="00FD0DC7">
      <w:pPr>
        <w:pStyle w:val="EntradandiceAuto"/>
      </w:pPr>
      <w:r>
        <w:t>Sección Cuarta. Auto 71/2015, de 17 de abril de 2015. Acuerda el desistimiento en el recurso de amparo 218-2015, promovido en causa penal.</w:t>
      </w:r>
      <w:r>
        <w:tab/>
      </w:r>
      <w:r>
        <w:tab/>
      </w:r>
      <w:r>
        <w:fldChar w:fldCharType="begin"/>
      </w:r>
      <w:r>
        <w:instrText xml:space="preserve"> PAGEREF AUTO_2015_71 \h </w:instrText>
      </w:r>
      <w:r>
        <w:fldChar w:fldCharType="separate"/>
      </w:r>
      <w:r w:rsidR="00AA6B4A">
        <w:rPr>
          <w:noProof/>
        </w:rPr>
        <w:t>2879</w:t>
      </w:r>
      <w:r>
        <w:fldChar w:fldCharType="end"/>
      </w:r>
    </w:p>
    <w:p w:rsidR="00FD0DC7" w:rsidRDefault="00FD0DC7" w:rsidP="00FD0DC7"/>
    <w:p w:rsidR="00FD0DC7" w:rsidRDefault="00FD0DC7" w:rsidP="00FD0DC7">
      <w:pPr>
        <w:pStyle w:val="EntradandiceAuto"/>
      </w:pPr>
      <w:r>
        <w:t>Sección Tercera. Auto 72/2015, de 21 de abril de 2015. Acepta una abstención en el recurso de amparo 1355-2013, promovido por don Carlos Falcó y Fernández de Córdova en proceso contencioso-administrativo.</w:t>
      </w:r>
      <w:r>
        <w:tab/>
      </w:r>
      <w:r>
        <w:tab/>
      </w:r>
      <w:r>
        <w:fldChar w:fldCharType="begin"/>
      </w:r>
      <w:r>
        <w:instrText xml:space="preserve"> PAGEREF AUTO_2015_72 \h </w:instrText>
      </w:r>
      <w:r>
        <w:fldChar w:fldCharType="separate"/>
      </w:r>
      <w:r w:rsidR="00AA6B4A">
        <w:rPr>
          <w:noProof/>
        </w:rPr>
        <w:t>2880</w:t>
      </w:r>
      <w:r>
        <w:fldChar w:fldCharType="end"/>
      </w:r>
    </w:p>
    <w:p w:rsidR="00FD0DC7" w:rsidRDefault="00FD0DC7" w:rsidP="00FD0DC7"/>
    <w:p w:rsidR="00FD0DC7" w:rsidRDefault="00FD0DC7" w:rsidP="00FD0DC7">
      <w:pPr>
        <w:pStyle w:val="EntradandiceAuto"/>
      </w:pPr>
      <w:r>
        <w:t>Sección Segunda. Auto 73/2015, de 21 de abril de 2015. Desestima el recurso de súplica del Ministerio Fiscal sobre inadmisión del recurso de amparo 6133-2014, promovido por don Rafael Muñoz Bella en proceso de habeas corpus.</w:t>
      </w:r>
      <w:r>
        <w:tab/>
      </w:r>
      <w:r>
        <w:tab/>
      </w:r>
      <w:r>
        <w:fldChar w:fldCharType="begin"/>
      </w:r>
      <w:r>
        <w:instrText xml:space="preserve"> PAGEREF AUTO_2015_73 \h </w:instrText>
      </w:r>
      <w:r>
        <w:fldChar w:fldCharType="separate"/>
      </w:r>
      <w:r w:rsidR="00AA6B4A">
        <w:rPr>
          <w:noProof/>
        </w:rPr>
        <w:t>2881</w:t>
      </w:r>
      <w:r>
        <w:fldChar w:fldCharType="end"/>
      </w:r>
    </w:p>
    <w:p w:rsidR="00FD0DC7" w:rsidRDefault="00FD0DC7" w:rsidP="00FD0DC7"/>
    <w:p w:rsidR="00FD0DC7" w:rsidRDefault="00FD0DC7" w:rsidP="00FD0DC7">
      <w:pPr>
        <w:pStyle w:val="EntradandiceAuto"/>
      </w:pPr>
      <w:r>
        <w:t>Pleno. Auto 74/2015, de 28 de abril de 2015. Inadmite a trámite la cuestión de inconstitucionalidad 5140-2014, planteada por el Juzgado de Primera Instancia e Instrucción núm. 7 de San Javier (Murcia) en relación con el artículo 1 de la Ley 1/2013, de 14 de mayo, de medidas para reforzar la protección a los deudores hipotecarios, reestructuración de deuda y alquiler social.</w:t>
      </w:r>
      <w:r>
        <w:tab/>
      </w:r>
      <w:r>
        <w:tab/>
      </w:r>
      <w:r>
        <w:fldChar w:fldCharType="begin"/>
      </w:r>
      <w:r>
        <w:instrText xml:space="preserve"> PAGEREF AUTO_2015_74 \h </w:instrText>
      </w:r>
      <w:r>
        <w:fldChar w:fldCharType="separate"/>
      </w:r>
      <w:r w:rsidR="00AA6B4A">
        <w:rPr>
          <w:noProof/>
        </w:rPr>
        <w:t>2888</w:t>
      </w:r>
      <w:r>
        <w:fldChar w:fldCharType="end"/>
      </w:r>
    </w:p>
    <w:p w:rsidR="00FD0DC7" w:rsidRDefault="00FD0DC7" w:rsidP="00FD0DC7"/>
    <w:p w:rsidR="00FD0DC7" w:rsidRDefault="00FD0DC7" w:rsidP="00FD0DC7">
      <w:pPr>
        <w:pStyle w:val="EntradandiceAuto"/>
      </w:pPr>
      <w:r>
        <w:t>Sección Primera. Auto 75/2015, de 29 de abril de 2015. Acuerda el desistimiento en el recurso de amparo 3353-2012, promovido en proceso contencioso-administrativo.</w:t>
      </w:r>
      <w:r>
        <w:tab/>
      </w:r>
      <w:r>
        <w:tab/>
      </w:r>
      <w:r>
        <w:fldChar w:fldCharType="begin"/>
      </w:r>
      <w:r>
        <w:instrText xml:space="preserve"> PAGEREF AUTO_2015_75 \h </w:instrText>
      </w:r>
      <w:r>
        <w:fldChar w:fldCharType="separate"/>
      </w:r>
      <w:r w:rsidR="00AA6B4A">
        <w:rPr>
          <w:noProof/>
        </w:rPr>
        <w:t>2896</w:t>
      </w:r>
      <w:r>
        <w:fldChar w:fldCharType="end"/>
      </w:r>
    </w:p>
    <w:p w:rsidR="00FD0DC7" w:rsidRDefault="00FD0DC7" w:rsidP="00FD0DC7"/>
    <w:p w:rsidR="00FD0DC7" w:rsidRDefault="00FD0DC7" w:rsidP="00FD0DC7">
      <w:pPr>
        <w:pStyle w:val="EntradandiceAuto"/>
      </w:pPr>
      <w:r>
        <w:t>Pleno. Auto 76/2015, de 30 de abril de 2015. Inadmite a trámite la cuestión de inconstitucionalidad 6349-2014, planteada por el Juzgado de Primera Instancia núm. 1 de Gandesa en relación con el artículo 451.12 del Código civil de Cataluña. Voto particular.</w:t>
      </w:r>
      <w:r>
        <w:tab/>
      </w:r>
      <w:r>
        <w:tab/>
      </w:r>
      <w:r>
        <w:fldChar w:fldCharType="begin"/>
      </w:r>
      <w:r>
        <w:instrText xml:space="preserve"> PAGEREF AUTO_2015_76 \h </w:instrText>
      </w:r>
      <w:r>
        <w:fldChar w:fldCharType="separate"/>
      </w:r>
      <w:r w:rsidR="00AA6B4A">
        <w:rPr>
          <w:noProof/>
        </w:rPr>
        <w:t>2897</w:t>
      </w:r>
      <w:r>
        <w:fldChar w:fldCharType="end"/>
      </w:r>
    </w:p>
    <w:p w:rsidR="00FD0DC7" w:rsidRDefault="00FD0DC7" w:rsidP="00FD0DC7"/>
    <w:p w:rsidR="00FD0DC7" w:rsidRDefault="00FD0DC7" w:rsidP="00FD0DC7">
      <w:pPr>
        <w:pStyle w:val="EntradandiceAuto"/>
      </w:pPr>
      <w:r>
        <w:t>Sala Primera. Auto 77/2015, de 7 de mayo de 2015. Rectifica un error material de la Sentencia 77/2015, de 27 de abril, en el recurso de amparo 3303-2013, promovido por don Miguel Andrés Milano Aspe y doña Kelli Marie Angevine.</w:t>
      </w:r>
      <w:r>
        <w:tab/>
      </w:r>
      <w:r>
        <w:tab/>
      </w:r>
      <w:r>
        <w:fldChar w:fldCharType="begin"/>
      </w:r>
      <w:r>
        <w:instrText xml:space="preserve"> PAGEREF AUTO_2015_77 \h </w:instrText>
      </w:r>
      <w:r>
        <w:fldChar w:fldCharType="separate"/>
      </w:r>
      <w:r w:rsidR="00AA6B4A">
        <w:rPr>
          <w:noProof/>
        </w:rPr>
        <w:t>2907</w:t>
      </w:r>
      <w:r>
        <w:fldChar w:fldCharType="end"/>
      </w:r>
    </w:p>
    <w:p w:rsidR="00FD0DC7" w:rsidRDefault="00FD0DC7" w:rsidP="00FD0DC7"/>
    <w:p w:rsidR="00FD0DC7" w:rsidRDefault="00FD0DC7" w:rsidP="00FD0DC7">
      <w:pPr>
        <w:pStyle w:val="EntradandiceAuto"/>
      </w:pPr>
      <w:r>
        <w:t>Sala Primera. Auto 78/2015, de 7 de mayo de 2015. Desestima el recurso de súplica del Ministerio Fiscal sobre inadmisión del recurso de amparo electoral 2512-2015, promovido por el Partido Popular.</w:t>
      </w:r>
      <w:r>
        <w:tab/>
      </w:r>
      <w:r>
        <w:tab/>
      </w:r>
      <w:r>
        <w:fldChar w:fldCharType="begin"/>
      </w:r>
      <w:r>
        <w:instrText xml:space="preserve"> PAGEREF AUTO_2015_78 \h </w:instrText>
      </w:r>
      <w:r>
        <w:fldChar w:fldCharType="separate"/>
      </w:r>
      <w:r w:rsidR="00AA6B4A">
        <w:rPr>
          <w:noProof/>
        </w:rPr>
        <w:t>2909</w:t>
      </w:r>
      <w:r>
        <w:fldChar w:fldCharType="end"/>
      </w:r>
    </w:p>
    <w:p w:rsidR="00FD0DC7" w:rsidRDefault="00FD0DC7" w:rsidP="00FD0DC7"/>
    <w:p w:rsidR="00FD0DC7" w:rsidRDefault="00FD0DC7" w:rsidP="00FD0DC7">
      <w:pPr>
        <w:pStyle w:val="EntradandiceAuto"/>
      </w:pPr>
      <w:r>
        <w:t>Sala Primera. Auto 79/2015, de 7 de mayo de 2015. Desestima el recurso de súplica del Ministerio Fiscal sobre inadmisión del recurso de amparo electoral 2515-2015, promovido por Ganemos-Izquierda Unida-Los Verdes.</w:t>
      </w:r>
      <w:r>
        <w:tab/>
      </w:r>
      <w:r>
        <w:tab/>
      </w:r>
      <w:r>
        <w:fldChar w:fldCharType="begin"/>
      </w:r>
      <w:r>
        <w:instrText xml:space="preserve"> PAGEREF AUTO_2015_79 \h </w:instrText>
      </w:r>
      <w:r>
        <w:fldChar w:fldCharType="separate"/>
      </w:r>
      <w:r w:rsidR="00AA6B4A">
        <w:rPr>
          <w:noProof/>
        </w:rPr>
        <w:t>2914</w:t>
      </w:r>
      <w:r>
        <w:fldChar w:fldCharType="end"/>
      </w:r>
    </w:p>
    <w:p w:rsidR="00FD0DC7" w:rsidRDefault="00FD0DC7" w:rsidP="00FD0DC7"/>
    <w:p w:rsidR="00FD0DC7" w:rsidRDefault="00FD0DC7" w:rsidP="00FD0DC7">
      <w:pPr>
        <w:pStyle w:val="EntradandiceAuto"/>
      </w:pPr>
      <w:r>
        <w:t>Sala Primera. Auto 80/2015, de 7 de mayo de 2015. Desestima el recurso de súplica del Ministerio Fiscal sobre inadmisión del recurso de amparo electoral 2516-2015, promovido por Ciudadanos-Partido de la Ciudadanía.</w:t>
      </w:r>
      <w:r>
        <w:tab/>
      </w:r>
      <w:r>
        <w:tab/>
      </w:r>
      <w:r>
        <w:fldChar w:fldCharType="begin"/>
      </w:r>
      <w:r>
        <w:instrText xml:space="preserve"> PAGEREF AUTO_2015_80 \h </w:instrText>
      </w:r>
      <w:r>
        <w:fldChar w:fldCharType="separate"/>
      </w:r>
      <w:r w:rsidR="00AA6B4A">
        <w:rPr>
          <w:noProof/>
        </w:rPr>
        <w:t>2921</w:t>
      </w:r>
      <w:r>
        <w:fldChar w:fldCharType="end"/>
      </w:r>
    </w:p>
    <w:p w:rsidR="00FD0DC7" w:rsidRDefault="00FD0DC7" w:rsidP="00FD0DC7"/>
    <w:p w:rsidR="00FD0DC7" w:rsidRDefault="00FD0DC7" w:rsidP="00FD0DC7">
      <w:pPr>
        <w:pStyle w:val="EntradandiceAuto"/>
      </w:pPr>
      <w:r>
        <w:t>Sala Primera. Auto 81/2015, de 7 de mayo de 2015. Desestima el recurso de súplica del Ministerio Fiscal sobre inadmisión del recurso de amparo electoral 2517-2015, promovido por Agrupación Electoral Gozón Puede.</w:t>
      </w:r>
      <w:r>
        <w:tab/>
      </w:r>
      <w:r>
        <w:tab/>
      </w:r>
      <w:r>
        <w:fldChar w:fldCharType="begin"/>
      </w:r>
      <w:r>
        <w:instrText xml:space="preserve"> PAGEREF AUTO_2015_81 \h </w:instrText>
      </w:r>
      <w:r>
        <w:fldChar w:fldCharType="separate"/>
      </w:r>
      <w:r w:rsidR="00AA6B4A">
        <w:rPr>
          <w:noProof/>
        </w:rPr>
        <w:t>2926</w:t>
      </w:r>
      <w:r>
        <w:fldChar w:fldCharType="end"/>
      </w:r>
    </w:p>
    <w:p w:rsidR="00FD0DC7" w:rsidRDefault="00FD0DC7" w:rsidP="00FD0DC7"/>
    <w:p w:rsidR="00FD0DC7" w:rsidRDefault="00FD0DC7" w:rsidP="00FD0DC7">
      <w:pPr>
        <w:pStyle w:val="EntradandiceAuto"/>
      </w:pPr>
      <w:r>
        <w:t>Sección Segunda. Auto 82/2015, de 11 de mayo de 2015. Se declara incompetente para enjuiciar la impugnación de la resolución de la Comisión Central de Asistencia Jurídica Gratuita de 5 de noviembre, dictada en el recurso de amparo 5145-2014, promovido por don Víctor Javier Suárez Ruiz.</w:t>
      </w:r>
      <w:r>
        <w:tab/>
      </w:r>
      <w:r>
        <w:tab/>
      </w:r>
      <w:r>
        <w:fldChar w:fldCharType="begin"/>
      </w:r>
      <w:r>
        <w:instrText xml:space="preserve"> PAGEREF AUTO_2015_82 \h </w:instrText>
      </w:r>
      <w:r>
        <w:fldChar w:fldCharType="separate"/>
      </w:r>
      <w:r w:rsidR="00AA6B4A">
        <w:rPr>
          <w:noProof/>
        </w:rPr>
        <w:t>2932</w:t>
      </w:r>
      <w:r>
        <w:fldChar w:fldCharType="end"/>
      </w:r>
    </w:p>
    <w:p w:rsidR="00FD0DC7" w:rsidRDefault="00FD0DC7" w:rsidP="00FD0DC7"/>
    <w:p w:rsidR="00FD0DC7" w:rsidRDefault="00FD0DC7" w:rsidP="00FD0DC7">
      <w:pPr>
        <w:pStyle w:val="EntradandiceAuto"/>
      </w:pPr>
      <w:r>
        <w:t>Pleno. Auto 83/2015, de 12 de mayo de 2015. Acepta dos abstenciones en el recurso de amparo 2341-2012, promovido por don Marcus August Baier en proceso contencioso-administrativo.</w:t>
      </w:r>
      <w:r>
        <w:tab/>
      </w:r>
      <w:r>
        <w:tab/>
      </w:r>
      <w:r>
        <w:fldChar w:fldCharType="begin"/>
      </w:r>
      <w:r>
        <w:instrText xml:space="preserve"> PAGEREF AUTO_2015_83 \h </w:instrText>
      </w:r>
      <w:r>
        <w:fldChar w:fldCharType="separate"/>
      </w:r>
      <w:r w:rsidR="00AA6B4A">
        <w:rPr>
          <w:noProof/>
        </w:rPr>
        <w:t>2936</w:t>
      </w:r>
      <w:r>
        <w:fldChar w:fldCharType="end"/>
      </w:r>
    </w:p>
    <w:p w:rsidR="00FD0DC7" w:rsidRDefault="00FD0DC7" w:rsidP="00FD0DC7"/>
    <w:p w:rsidR="00FD0DC7" w:rsidRDefault="00FD0DC7" w:rsidP="00FD0DC7">
      <w:pPr>
        <w:pStyle w:val="EntradandiceAuto"/>
      </w:pPr>
      <w:r>
        <w:t>Pleno. Auto 84/2015, de 12 de mayo de 2015. Inadmite a trámite la cuestión de inconstitucionalidad 450-2015, planteada por el Juzgado de Primera Instancia núm. 1 de Catarroja (Valencia) en relación con el artículo 129 de la Ley hipotecaria, en la redacción dada por la Ley 1/2000, de 7 de enero, de enjuiciamiento civil.</w:t>
      </w:r>
      <w:r>
        <w:tab/>
      </w:r>
      <w:r>
        <w:tab/>
      </w:r>
      <w:r>
        <w:fldChar w:fldCharType="begin"/>
      </w:r>
      <w:r>
        <w:instrText xml:space="preserve"> PAGEREF AUTO_2015_84 \h </w:instrText>
      </w:r>
      <w:r>
        <w:fldChar w:fldCharType="separate"/>
      </w:r>
      <w:r w:rsidR="00AA6B4A">
        <w:rPr>
          <w:noProof/>
        </w:rPr>
        <w:t>2938</w:t>
      </w:r>
      <w:r>
        <w:fldChar w:fldCharType="end"/>
      </w:r>
    </w:p>
    <w:p w:rsidR="00FD0DC7" w:rsidRDefault="00FD0DC7" w:rsidP="00FD0DC7"/>
    <w:p w:rsidR="00FD0DC7" w:rsidRDefault="00FD0DC7" w:rsidP="00FD0DC7">
      <w:pPr>
        <w:pStyle w:val="EntradandiceAuto"/>
      </w:pPr>
      <w:r>
        <w:t>Sección Cuarta. Auto 85/2015, de 14 de mayo de 2015. Acuerda el desistimiento en el recurso de amparo 72-2015, promovido en causa penal.</w:t>
      </w:r>
      <w:r>
        <w:tab/>
      </w:r>
      <w:r>
        <w:tab/>
      </w:r>
      <w:r>
        <w:fldChar w:fldCharType="begin"/>
      </w:r>
      <w:r>
        <w:instrText xml:space="preserve"> PAGEREF AUTO_2015_85 \h </w:instrText>
      </w:r>
      <w:r>
        <w:fldChar w:fldCharType="separate"/>
      </w:r>
      <w:r w:rsidR="00AA6B4A">
        <w:rPr>
          <w:noProof/>
        </w:rPr>
        <w:t>2945</w:t>
      </w:r>
      <w:r>
        <w:fldChar w:fldCharType="end"/>
      </w:r>
    </w:p>
    <w:p w:rsidR="00FD0DC7" w:rsidRDefault="00FD0DC7" w:rsidP="00FD0DC7"/>
    <w:p w:rsidR="00FD0DC7" w:rsidRDefault="00FD0DC7" w:rsidP="00FD0DC7">
      <w:pPr>
        <w:pStyle w:val="EntradandiceAuto"/>
      </w:pPr>
      <w:r>
        <w:t>Sección Segunda. Auto 86/2015, de 18 de mayo de 2015. Desestima el recurso de súplica del Ministerio Fiscal sobre inadmisión del recurso de amparo 2146-2014, promovido por don David Ros Leal.</w:t>
      </w:r>
      <w:r>
        <w:tab/>
      </w:r>
      <w:r>
        <w:tab/>
      </w:r>
      <w:r>
        <w:fldChar w:fldCharType="begin"/>
      </w:r>
      <w:r>
        <w:instrText xml:space="preserve"> PAGEREF AUTO_2015_86 \h </w:instrText>
      </w:r>
      <w:r>
        <w:fldChar w:fldCharType="separate"/>
      </w:r>
      <w:r w:rsidR="00AA6B4A">
        <w:rPr>
          <w:noProof/>
        </w:rPr>
        <w:t>2946</w:t>
      </w:r>
      <w:r>
        <w:fldChar w:fldCharType="end"/>
      </w:r>
    </w:p>
    <w:p w:rsidR="00FD0DC7" w:rsidRDefault="00FD0DC7" w:rsidP="00FD0DC7"/>
    <w:p w:rsidR="00FD0DC7" w:rsidRDefault="00FD0DC7" w:rsidP="00FD0DC7">
      <w:pPr>
        <w:pStyle w:val="EntradandiceAuto"/>
      </w:pPr>
      <w:r>
        <w:t>Sección Segunda. Auto 87/2015, de 18 de mayo de 2015. Desestima el recurso de súplica del Ministerio Fiscal sobre inadmisión del recurso de amparo 6009-2014, promovido por don Eufemiano Díaz Hernández y doña María de la Peña Armas Padilla, en proceso hipotecario.</w:t>
      </w:r>
      <w:r>
        <w:tab/>
      </w:r>
      <w:r>
        <w:tab/>
      </w:r>
      <w:r>
        <w:fldChar w:fldCharType="begin"/>
      </w:r>
      <w:r>
        <w:instrText xml:space="preserve"> PAGEREF AUTO_2015_87 \h </w:instrText>
      </w:r>
      <w:r>
        <w:fldChar w:fldCharType="separate"/>
      </w:r>
      <w:r w:rsidR="00AA6B4A">
        <w:rPr>
          <w:noProof/>
        </w:rPr>
        <w:t>2951</w:t>
      </w:r>
      <w:r>
        <w:fldChar w:fldCharType="end"/>
      </w:r>
    </w:p>
    <w:p w:rsidR="00FD0DC7" w:rsidRDefault="00FD0DC7" w:rsidP="00FD0DC7"/>
    <w:p w:rsidR="00FD0DC7" w:rsidRDefault="00FD0DC7" w:rsidP="00FD0DC7">
      <w:pPr>
        <w:pStyle w:val="EntradandiceAuto"/>
      </w:pPr>
      <w:r>
        <w:t>Sala Primera. Auto 88/2015, de 25 de mayo de 2015. Declara que no se ha producido funcionamiento anormal en la tramitación del recurso de amparo 1453-2013, promovido por don Christian Johnson en causa penal.</w:t>
      </w:r>
      <w:r>
        <w:tab/>
      </w:r>
      <w:r>
        <w:tab/>
      </w:r>
      <w:r>
        <w:fldChar w:fldCharType="begin"/>
      </w:r>
      <w:r>
        <w:instrText xml:space="preserve"> PAGEREF AUTO_2015_88 \h </w:instrText>
      </w:r>
      <w:r>
        <w:fldChar w:fldCharType="separate"/>
      </w:r>
      <w:r w:rsidR="00AA6B4A">
        <w:rPr>
          <w:noProof/>
        </w:rPr>
        <w:t>2955</w:t>
      </w:r>
      <w:r>
        <w:fldChar w:fldCharType="end"/>
      </w:r>
    </w:p>
    <w:p w:rsidR="00FD0DC7" w:rsidRDefault="00FD0DC7" w:rsidP="00FD0DC7"/>
    <w:p w:rsidR="00FD0DC7" w:rsidRDefault="00FD0DC7" w:rsidP="00FD0DC7">
      <w:pPr>
        <w:pStyle w:val="EntradandiceAuto"/>
      </w:pPr>
      <w:r>
        <w:t>Sección Segunda. Auto 89/2015, de 25 de mayo de 2015. Acuerda el desistimiento en el recurso de amparo 1084-2014, promovido en proceso contencioso-administrativo.</w:t>
      </w:r>
      <w:r>
        <w:tab/>
      </w:r>
      <w:r>
        <w:tab/>
      </w:r>
      <w:r>
        <w:fldChar w:fldCharType="begin"/>
      </w:r>
      <w:r>
        <w:instrText xml:space="preserve"> PAGEREF AUTO_2015_89 \h </w:instrText>
      </w:r>
      <w:r>
        <w:fldChar w:fldCharType="separate"/>
      </w:r>
      <w:r w:rsidR="00AA6B4A">
        <w:rPr>
          <w:noProof/>
        </w:rPr>
        <w:t>2960</w:t>
      </w:r>
      <w:r>
        <w:fldChar w:fldCharType="end"/>
      </w:r>
    </w:p>
    <w:p w:rsidR="00FD0DC7" w:rsidRDefault="00FD0DC7" w:rsidP="00FD0DC7"/>
    <w:p w:rsidR="00FD0DC7" w:rsidRDefault="00FD0DC7" w:rsidP="00FD0DC7">
      <w:pPr>
        <w:pStyle w:val="EntradandiceAuto"/>
      </w:pPr>
      <w:r>
        <w:t>Sala Segunda. Auto 90/2015, de 25 de mayo de 2015. Acuerda la suspensión en el recurso de amparo 1250-2014, promovido por don Oumar Fall en proceso contencioso-administrativo.</w:t>
      </w:r>
      <w:r>
        <w:tab/>
      </w:r>
      <w:r>
        <w:tab/>
      </w:r>
      <w:r>
        <w:fldChar w:fldCharType="begin"/>
      </w:r>
      <w:r>
        <w:instrText xml:space="preserve"> PAGEREF AUTO_2015_90 \h </w:instrText>
      </w:r>
      <w:r>
        <w:fldChar w:fldCharType="separate"/>
      </w:r>
      <w:r w:rsidR="00AA6B4A">
        <w:rPr>
          <w:noProof/>
        </w:rPr>
        <w:t>2961</w:t>
      </w:r>
      <w:r>
        <w:fldChar w:fldCharType="end"/>
      </w:r>
    </w:p>
    <w:p w:rsidR="00FD0DC7" w:rsidRDefault="00FD0DC7" w:rsidP="00FD0DC7"/>
    <w:p w:rsidR="00FD0DC7" w:rsidRDefault="00FD0DC7" w:rsidP="00FD0DC7">
      <w:pPr>
        <w:pStyle w:val="EntradandiceAuto"/>
      </w:pPr>
      <w:r>
        <w:t>Sección Segunda. Auto 91/2015, de 25 de mayo de 2015. Acuerda el desistimiento en el recurso de amparo 3480-2014, promovido en causa penal.</w:t>
      </w:r>
      <w:r>
        <w:tab/>
      </w:r>
      <w:r>
        <w:tab/>
      </w:r>
      <w:r>
        <w:fldChar w:fldCharType="begin"/>
      </w:r>
      <w:r>
        <w:instrText xml:space="preserve"> PAGEREF AUTO_2015_91 \h </w:instrText>
      </w:r>
      <w:r>
        <w:fldChar w:fldCharType="separate"/>
      </w:r>
      <w:r w:rsidR="00AA6B4A">
        <w:rPr>
          <w:noProof/>
        </w:rPr>
        <w:t>2964</w:t>
      </w:r>
      <w:r>
        <w:fldChar w:fldCharType="end"/>
      </w:r>
    </w:p>
    <w:p w:rsidR="00FD0DC7" w:rsidRDefault="00FD0DC7" w:rsidP="00FD0DC7"/>
    <w:p w:rsidR="00FD0DC7" w:rsidRDefault="00FD0DC7" w:rsidP="00FD0DC7">
      <w:pPr>
        <w:pStyle w:val="EntradandiceAuto"/>
      </w:pPr>
      <w:r>
        <w:t>Sala Segunda. Auto 92/2015, de 25 de mayo de 2015. Mantiene la suspensión acordada por providencia en el recurso de amparo 3719-2014, promovido por don Juan Blas López Rodríguez en causa penal.</w:t>
      </w:r>
      <w:r>
        <w:tab/>
      </w:r>
      <w:r>
        <w:tab/>
      </w:r>
      <w:r>
        <w:fldChar w:fldCharType="begin"/>
      </w:r>
      <w:r>
        <w:instrText xml:space="preserve"> PAGEREF AUTO_2015_92 \h </w:instrText>
      </w:r>
      <w:r>
        <w:fldChar w:fldCharType="separate"/>
      </w:r>
      <w:r w:rsidR="00AA6B4A">
        <w:rPr>
          <w:noProof/>
        </w:rPr>
        <w:t>2965</w:t>
      </w:r>
      <w:r>
        <w:fldChar w:fldCharType="end"/>
      </w:r>
    </w:p>
    <w:p w:rsidR="00FD0DC7" w:rsidRDefault="00FD0DC7" w:rsidP="00FD0DC7"/>
    <w:p w:rsidR="00FD0DC7" w:rsidRDefault="00FD0DC7" w:rsidP="00FD0DC7">
      <w:pPr>
        <w:pStyle w:val="EntradandiceAuto"/>
      </w:pPr>
      <w:r>
        <w:t>Sección Segunda. Auto 93/2015, de 25 de mayo de 2015. Acuerda el desistimiento en el recurso de amparo 4637-2014, promovido en causa penal.</w:t>
      </w:r>
      <w:r>
        <w:tab/>
      </w:r>
      <w:r>
        <w:tab/>
      </w:r>
      <w:r>
        <w:fldChar w:fldCharType="begin"/>
      </w:r>
      <w:r>
        <w:instrText xml:space="preserve"> PAGEREF AUTO_2015_93 \h </w:instrText>
      </w:r>
      <w:r>
        <w:fldChar w:fldCharType="separate"/>
      </w:r>
      <w:r w:rsidR="00AA6B4A">
        <w:rPr>
          <w:noProof/>
        </w:rPr>
        <w:t>2969</w:t>
      </w:r>
      <w:r>
        <w:fldChar w:fldCharType="end"/>
      </w:r>
    </w:p>
    <w:p w:rsidR="00FD0DC7" w:rsidRDefault="00FD0DC7" w:rsidP="00FD0DC7"/>
    <w:p w:rsidR="00FD0DC7" w:rsidRDefault="00FD0DC7" w:rsidP="00FD0DC7">
      <w:pPr>
        <w:pStyle w:val="EntradandiceAuto"/>
      </w:pPr>
      <w:r>
        <w:t>Sala Primera. Auto 94/2015, de 25 de mayo de 2015. Acuerda la suspensión en el recurso de amparo 5251-2014, promovido por don Florentino Renedo García y otra persona en causa penal.</w:t>
      </w:r>
      <w:r>
        <w:tab/>
      </w:r>
      <w:r>
        <w:tab/>
      </w:r>
      <w:r>
        <w:fldChar w:fldCharType="begin"/>
      </w:r>
      <w:r>
        <w:instrText xml:space="preserve"> PAGEREF AUTO_2015_94 \h </w:instrText>
      </w:r>
      <w:r>
        <w:fldChar w:fldCharType="separate"/>
      </w:r>
      <w:r w:rsidR="00AA6B4A">
        <w:rPr>
          <w:noProof/>
        </w:rPr>
        <w:t>2970</w:t>
      </w:r>
      <w:r>
        <w:fldChar w:fldCharType="end"/>
      </w:r>
    </w:p>
    <w:p w:rsidR="00FD0DC7" w:rsidRDefault="00FD0DC7" w:rsidP="00FD0DC7"/>
    <w:p w:rsidR="00FD0DC7" w:rsidRDefault="00FD0DC7" w:rsidP="00FD0DC7">
      <w:pPr>
        <w:pStyle w:val="EntradandiceAuto"/>
      </w:pPr>
      <w:r>
        <w:t>Sala Segunda. Auto 95/2015, de 25 de mayo de 2015. Deniega la suspensión y acuerda la anotación preventiva de la demanda en el recurso de amparo 5290-2014, promovido por NCG División Grupo Inmobiliario, S.L., en causa penal.</w:t>
      </w:r>
      <w:r>
        <w:tab/>
      </w:r>
      <w:r>
        <w:tab/>
      </w:r>
      <w:r>
        <w:fldChar w:fldCharType="begin"/>
      </w:r>
      <w:r>
        <w:instrText xml:space="preserve"> PAGEREF AUTO_2015_95 \h </w:instrText>
      </w:r>
      <w:r>
        <w:fldChar w:fldCharType="separate"/>
      </w:r>
      <w:r w:rsidR="00AA6B4A">
        <w:rPr>
          <w:noProof/>
        </w:rPr>
        <w:t>2973</w:t>
      </w:r>
      <w:r>
        <w:fldChar w:fldCharType="end"/>
      </w:r>
    </w:p>
    <w:p w:rsidR="00FD0DC7" w:rsidRDefault="00FD0DC7" w:rsidP="00FD0DC7"/>
    <w:p w:rsidR="00FD0DC7" w:rsidRDefault="00FD0DC7" w:rsidP="00FD0DC7">
      <w:pPr>
        <w:pStyle w:val="EntradandiceAuto"/>
      </w:pPr>
      <w:r>
        <w:t>Sección Segunda. Auto 96/2015, de 25 de mayo de 2015. Acuerda el desistimiento en el recurso de amparo 7087-2014, promovido en causa penal.</w:t>
      </w:r>
      <w:r>
        <w:tab/>
      </w:r>
      <w:r>
        <w:tab/>
      </w:r>
      <w:r>
        <w:fldChar w:fldCharType="begin"/>
      </w:r>
      <w:r>
        <w:instrText xml:space="preserve"> PAGEREF AUTO_2015_96 \h </w:instrText>
      </w:r>
      <w:r>
        <w:fldChar w:fldCharType="separate"/>
      </w:r>
      <w:r w:rsidR="00AA6B4A">
        <w:rPr>
          <w:noProof/>
        </w:rPr>
        <w:t>2981</w:t>
      </w:r>
      <w:r>
        <w:fldChar w:fldCharType="end"/>
      </w:r>
    </w:p>
    <w:p w:rsidR="00FD0DC7" w:rsidRDefault="00FD0DC7" w:rsidP="00FD0DC7"/>
    <w:p w:rsidR="00FD0DC7" w:rsidRDefault="00FD0DC7" w:rsidP="00FD0DC7">
      <w:pPr>
        <w:pStyle w:val="EntradandiceAuto"/>
      </w:pPr>
      <w:r>
        <w:t>Pleno. Auto 97/2015, de 26 de mayo de 2015. Inadmite a trámite la cuestión de inconstitucionalidad 952-2015, planteada por la Sala de lo Contencioso-Administrativo del Tribunal Superior de Justicia de Canarias en relación con la disposición transitoria séptima de la Ley del Parlamento de Canarias 4/1999, de 15 de marzo, del patrimonio histórico.</w:t>
      </w:r>
      <w:r>
        <w:tab/>
      </w:r>
      <w:r>
        <w:tab/>
      </w:r>
      <w:r>
        <w:fldChar w:fldCharType="begin"/>
      </w:r>
      <w:r>
        <w:instrText xml:space="preserve"> PAGEREF AUTO_2015_97 \h </w:instrText>
      </w:r>
      <w:r>
        <w:fldChar w:fldCharType="separate"/>
      </w:r>
      <w:r w:rsidR="00AA6B4A">
        <w:rPr>
          <w:noProof/>
        </w:rPr>
        <w:t>2982</w:t>
      </w:r>
      <w:r>
        <w:fldChar w:fldCharType="end"/>
      </w:r>
    </w:p>
    <w:p w:rsidR="00FD0DC7" w:rsidRDefault="00FD0DC7" w:rsidP="00FD0DC7"/>
    <w:p w:rsidR="00FD0DC7" w:rsidRDefault="00FD0DC7" w:rsidP="00FD0DC7">
      <w:pPr>
        <w:pStyle w:val="EntradandiceAuto"/>
      </w:pPr>
      <w:r>
        <w:t>Sección Segunda. Auto 98/2015, de 1 de junio de 2015. Desestima el recurso de súplica del Ministerio Fiscal sobre inadmisión del recurso de amparo 2105-2014, promovido por don Njie en pleito civil.</w:t>
      </w:r>
      <w:r>
        <w:tab/>
      </w:r>
      <w:r>
        <w:tab/>
      </w:r>
      <w:r>
        <w:fldChar w:fldCharType="begin"/>
      </w:r>
      <w:r>
        <w:instrText xml:space="preserve"> PAGEREF AUTO_2015_98 \h </w:instrText>
      </w:r>
      <w:r>
        <w:fldChar w:fldCharType="separate"/>
      </w:r>
      <w:r w:rsidR="00AA6B4A">
        <w:rPr>
          <w:noProof/>
        </w:rPr>
        <w:t>2992</w:t>
      </w:r>
      <w:r>
        <w:fldChar w:fldCharType="end"/>
      </w:r>
    </w:p>
    <w:p w:rsidR="00FD0DC7" w:rsidRDefault="00FD0DC7" w:rsidP="00FD0DC7"/>
    <w:p w:rsidR="00FD0DC7" w:rsidRDefault="00FD0DC7" w:rsidP="00FD0DC7">
      <w:pPr>
        <w:pStyle w:val="EntradandiceAuto"/>
      </w:pPr>
      <w:r>
        <w:t>Sección Tercera. Auto 99/2015, de 1 de junio de 2015. Estima el recurso de súplica del Ministerio Fiscal sobre inadmisión del recurso de amparo 3564-2014, promovido por el Sindicato Andaluz de Funcionarios en proceso contencioso-administrativo.</w:t>
      </w:r>
      <w:r>
        <w:tab/>
      </w:r>
      <w:r>
        <w:tab/>
      </w:r>
      <w:r>
        <w:fldChar w:fldCharType="begin"/>
      </w:r>
      <w:r>
        <w:instrText xml:space="preserve"> PAGEREF AUTO_2015_99 \h </w:instrText>
      </w:r>
      <w:r>
        <w:fldChar w:fldCharType="separate"/>
      </w:r>
      <w:r w:rsidR="00AA6B4A">
        <w:rPr>
          <w:noProof/>
        </w:rPr>
        <w:t>2999</w:t>
      </w:r>
      <w:r>
        <w:fldChar w:fldCharType="end"/>
      </w:r>
    </w:p>
    <w:p w:rsidR="00FD0DC7" w:rsidRDefault="00FD0DC7" w:rsidP="00FD0DC7"/>
    <w:p w:rsidR="00FD0DC7" w:rsidRDefault="00FD0DC7" w:rsidP="00FD0DC7">
      <w:pPr>
        <w:pStyle w:val="EntradandiceAuto"/>
      </w:pPr>
      <w:r>
        <w:t>Sala Segunda. Auto 100/2015, de 8 de junio de 2015. Acuerda la acumulación del recurso de amparo 6996-2012 al 5987-2012, promovidos ambos en procesos contencioso-administrativos.</w:t>
      </w:r>
      <w:r>
        <w:tab/>
      </w:r>
      <w:r>
        <w:tab/>
      </w:r>
      <w:r>
        <w:fldChar w:fldCharType="begin"/>
      </w:r>
      <w:r>
        <w:instrText xml:space="preserve"> PAGEREF AUTO_2015_100 \h </w:instrText>
      </w:r>
      <w:r>
        <w:fldChar w:fldCharType="separate"/>
      </w:r>
      <w:r w:rsidR="00AA6B4A">
        <w:rPr>
          <w:noProof/>
        </w:rPr>
        <w:t>3003</w:t>
      </w:r>
      <w:r>
        <w:fldChar w:fldCharType="end"/>
      </w:r>
    </w:p>
    <w:p w:rsidR="00FD0DC7" w:rsidRDefault="00FD0DC7" w:rsidP="00FD0DC7"/>
    <w:p w:rsidR="00FD0DC7" w:rsidRDefault="00FD0DC7" w:rsidP="00FD0DC7">
      <w:pPr>
        <w:pStyle w:val="EntradandiceAuto"/>
      </w:pPr>
      <w:r>
        <w:t>Pleno. Auto 101/2015, de 9 de junio de 2015. Inadmite a trámite la cuestión de inconstitucionalidad 4913-2014, planteada por el Tribunal Superior de Justicia de las Illes Balears en relación con el artículo 9.3 del Decreto-ley del Gobierno de las Illes Balears 5/2012, de 1 de junio, de medidas urgentes en materia de personal y administrativas para la reducción del déficit público del sector público de la Comunidad Autónoma y de otras instituciones autonómicas.</w:t>
      </w:r>
      <w:r>
        <w:tab/>
      </w:r>
      <w:r>
        <w:tab/>
      </w:r>
      <w:r>
        <w:fldChar w:fldCharType="begin"/>
      </w:r>
      <w:r>
        <w:instrText xml:space="preserve"> PAGEREF AUTO_2015_101 \h </w:instrText>
      </w:r>
      <w:r>
        <w:fldChar w:fldCharType="separate"/>
      </w:r>
      <w:r w:rsidR="00AA6B4A">
        <w:rPr>
          <w:noProof/>
        </w:rPr>
        <w:t>3004</w:t>
      </w:r>
      <w:r>
        <w:fldChar w:fldCharType="end"/>
      </w:r>
    </w:p>
    <w:p w:rsidR="00FD0DC7" w:rsidRDefault="00FD0DC7" w:rsidP="00FD0DC7"/>
    <w:p w:rsidR="00FD0DC7" w:rsidRDefault="00FD0DC7" w:rsidP="00FD0DC7">
      <w:pPr>
        <w:pStyle w:val="EntradandiceAuto"/>
      </w:pPr>
      <w:r>
        <w:t>Pleno. Auto 102/2015, de 9 de junio de 2015. Desestima el recurso de súplica interpuesto por el Consejo Insular de Formentera frente al Auto 70/2015, de 14 de abril por el que se inadmite a trámite el conflicto en defensa de la autonomía local 432-2015.</w:t>
      </w:r>
      <w:r>
        <w:tab/>
      </w:r>
      <w:r>
        <w:tab/>
      </w:r>
      <w:r>
        <w:fldChar w:fldCharType="begin"/>
      </w:r>
      <w:r>
        <w:instrText xml:space="preserve"> PAGEREF AUTO_2015_102 \h </w:instrText>
      </w:r>
      <w:r>
        <w:fldChar w:fldCharType="separate"/>
      </w:r>
      <w:r w:rsidR="00AA6B4A">
        <w:rPr>
          <w:noProof/>
        </w:rPr>
        <w:t>3014</w:t>
      </w:r>
      <w:r>
        <w:fldChar w:fldCharType="end"/>
      </w:r>
    </w:p>
    <w:p w:rsidR="00FD0DC7" w:rsidRDefault="00FD0DC7" w:rsidP="00FD0DC7"/>
    <w:p w:rsidR="00FD0DC7" w:rsidRDefault="00FD0DC7" w:rsidP="00FD0DC7">
      <w:pPr>
        <w:pStyle w:val="EntradandiceAuto"/>
      </w:pPr>
      <w:r>
        <w:t>Pleno. Auto 103/2015, de 9 de junio de 2015. Inadmite a trámite la cuestión de inconstitucionalidad 907-2015, planteada por el Juzgado de lo Contencioso-Administrativo núm. 7 de Murcia en relación con el artículo 12 de la Ley de la Asamblea Regional de Murcia 5/2012, de 29 de junio, de ajuste presupuestario y de medidas en materia de función pública.</w:t>
      </w:r>
      <w:r>
        <w:tab/>
      </w:r>
      <w:r>
        <w:tab/>
      </w:r>
      <w:r>
        <w:fldChar w:fldCharType="begin"/>
      </w:r>
      <w:r>
        <w:instrText xml:space="preserve"> PAGEREF AUTO_2015_103 \h </w:instrText>
      </w:r>
      <w:r>
        <w:fldChar w:fldCharType="separate"/>
      </w:r>
      <w:r w:rsidR="00AA6B4A">
        <w:rPr>
          <w:noProof/>
        </w:rPr>
        <w:t>3019</w:t>
      </w:r>
      <w:r>
        <w:fldChar w:fldCharType="end"/>
      </w:r>
    </w:p>
    <w:p w:rsidR="00FD0DC7" w:rsidRDefault="00FD0DC7" w:rsidP="00FD0DC7"/>
    <w:p w:rsidR="00FD0DC7" w:rsidRDefault="00FD0DC7" w:rsidP="00FD0DC7">
      <w:pPr>
        <w:pStyle w:val="EntradandiceAuto"/>
      </w:pPr>
      <w:r>
        <w:t>Sección Tercera. Auto 104/2015, de 12 de junio de 2015. Acuerda el desistimiento en el recurso de amparo 3582-2014, promovido por la Universidad Pública de Navarra en proceso contencioso-administrativo.</w:t>
      </w:r>
      <w:r>
        <w:tab/>
      </w:r>
      <w:r>
        <w:tab/>
      </w:r>
      <w:r>
        <w:fldChar w:fldCharType="begin"/>
      </w:r>
      <w:r>
        <w:instrText xml:space="preserve"> PAGEREF AUTO_2015_104 \h </w:instrText>
      </w:r>
      <w:r>
        <w:fldChar w:fldCharType="separate"/>
      </w:r>
      <w:r w:rsidR="00AA6B4A">
        <w:rPr>
          <w:noProof/>
        </w:rPr>
        <w:t>3028</w:t>
      </w:r>
      <w:r>
        <w:fldChar w:fldCharType="end"/>
      </w:r>
    </w:p>
    <w:p w:rsidR="00FD0DC7" w:rsidRDefault="00FD0DC7" w:rsidP="00FD0DC7"/>
    <w:p w:rsidR="00FD0DC7" w:rsidRDefault="00FD0DC7" w:rsidP="00FD0DC7">
      <w:pPr>
        <w:pStyle w:val="EntradandiceAuto"/>
      </w:pPr>
      <w:r>
        <w:t>Sección Tercera. Auto 105/2015, de 12 de junio de 2015. Acuerda el desistimiento en el recurso de amparo 1502-2015, promovido en causa penal.</w:t>
      </w:r>
      <w:r>
        <w:tab/>
      </w:r>
      <w:r>
        <w:tab/>
      </w:r>
      <w:r>
        <w:fldChar w:fldCharType="begin"/>
      </w:r>
      <w:r>
        <w:instrText xml:space="preserve"> PAGEREF AUTO_2015_105 \h </w:instrText>
      </w:r>
      <w:r>
        <w:fldChar w:fldCharType="separate"/>
      </w:r>
      <w:r w:rsidR="00AA6B4A">
        <w:rPr>
          <w:noProof/>
        </w:rPr>
        <w:t>3029</w:t>
      </w:r>
      <w:r>
        <w:fldChar w:fldCharType="end"/>
      </w:r>
    </w:p>
    <w:p w:rsidR="00FD0DC7" w:rsidRDefault="00FD0DC7" w:rsidP="00FD0DC7"/>
    <w:p w:rsidR="00FD0DC7" w:rsidRDefault="00FD0DC7" w:rsidP="00FD0DC7">
      <w:pPr>
        <w:pStyle w:val="EntradandiceAuto"/>
      </w:pPr>
      <w:r>
        <w:t>Sección Tercera. Auto 106/2015, de 15 de junio de 2015. Estima el recurso de súplica del Ministerio Fiscal sobre inadmisión del recurso de amparo 4692-2014, promovido por don Francisco de Paula Martorell de la Capilla en causa penal.</w:t>
      </w:r>
      <w:r>
        <w:tab/>
      </w:r>
      <w:r>
        <w:tab/>
      </w:r>
      <w:r>
        <w:fldChar w:fldCharType="begin"/>
      </w:r>
      <w:r>
        <w:instrText xml:space="preserve"> PAGEREF AUTO_2015_106 \h </w:instrText>
      </w:r>
      <w:r>
        <w:fldChar w:fldCharType="separate"/>
      </w:r>
      <w:r w:rsidR="00AA6B4A">
        <w:rPr>
          <w:noProof/>
        </w:rPr>
        <w:t>3030</w:t>
      </w:r>
      <w:r>
        <w:fldChar w:fldCharType="end"/>
      </w:r>
    </w:p>
    <w:p w:rsidR="00FD0DC7" w:rsidRDefault="00FD0DC7" w:rsidP="00FD0DC7"/>
    <w:p w:rsidR="00FD0DC7" w:rsidRDefault="00FD0DC7" w:rsidP="00FD0DC7">
      <w:pPr>
        <w:pStyle w:val="EntradandiceAuto"/>
      </w:pPr>
      <w:r>
        <w:t>Sección Segunda. Auto 107/2015, de 17 de junio de 2015. Acuerda el desistimiento en el recurso de amparo 304-2015, promovido en causa penal.</w:t>
      </w:r>
      <w:r>
        <w:tab/>
      </w:r>
      <w:r>
        <w:tab/>
      </w:r>
      <w:r>
        <w:fldChar w:fldCharType="begin"/>
      </w:r>
      <w:r>
        <w:instrText xml:space="preserve"> PAGEREF AUTO_2015_107 \h </w:instrText>
      </w:r>
      <w:r>
        <w:fldChar w:fldCharType="separate"/>
      </w:r>
      <w:r w:rsidR="00AA6B4A">
        <w:rPr>
          <w:noProof/>
        </w:rPr>
        <w:t>3033</w:t>
      </w:r>
      <w:r>
        <w:fldChar w:fldCharType="end"/>
      </w:r>
    </w:p>
    <w:p w:rsidR="00FD0DC7" w:rsidRDefault="00FD0DC7" w:rsidP="00FD0DC7"/>
    <w:p w:rsidR="00FD0DC7" w:rsidRDefault="00FD0DC7" w:rsidP="00FD0DC7">
      <w:pPr>
        <w:pStyle w:val="EntradandiceAuto"/>
      </w:pPr>
      <w:r>
        <w:t>Sala Segunda. Auto 108/2015, de 22 de junio de 2015. Acuerda la extinción, por pérdida de objeto, del recurso de amparo 9701-2009, promovido por don Chek Faal en proceso contencioso-administrativo.</w:t>
      </w:r>
      <w:r>
        <w:tab/>
      </w:r>
      <w:r>
        <w:tab/>
      </w:r>
      <w:r>
        <w:fldChar w:fldCharType="begin"/>
      </w:r>
      <w:r>
        <w:instrText xml:space="preserve"> PAGEREF AUTO_2015_108 \h </w:instrText>
      </w:r>
      <w:r>
        <w:fldChar w:fldCharType="separate"/>
      </w:r>
      <w:r w:rsidR="00AA6B4A">
        <w:rPr>
          <w:noProof/>
        </w:rPr>
        <w:t>3034</w:t>
      </w:r>
      <w:r>
        <w:fldChar w:fldCharType="end"/>
      </w:r>
    </w:p>
    <w:p w:rsidR="00FD0DC7" w:rsidRDefault="00FD0DC7" w:rsidP="00FD0DC7"/>
    <w:p w:rsidR="00FD0DC7" w:rsidRDefault="00FD0DC7" w:rsidP="00FD0DC7">
      <w:pPr>
        <w:pStyle w:val="EntradandiceAuto"/>
      </w:pPr>
      <w:r>
        <w:t>Sala Primera. Auto 109/2015, de 22 de junio de 2015. Declara que no se ha producido funcionamiento anormal en la tramitación del recurso de amparo 6208-2011, promovido por don Óscar Antón Miguel en proceso contencioso-administrativo.</w:t>
      </w:r>
      <w:r>
        <w:tab/>
      </w:r>
      <w:r>
        <w:tab/>
      </w:r>
      <w:r>
        <w:fldChar w:fldCharType="begin"/>
      </w:r>
      <w:r>
        <w:instrText xml:space="preserve"> PAGEREF AUTO_2015_109 \h </w:instrText>
      </w:r>
      <w:r>
        <w:fldChar w:fldCharType="separate"/>
      </w:r>
      <w:r w:rsidR="00AA6B4A">
        <w:rPr>
          <w:noProof/>
        </w:rPr>
        <w:t>3037</w:t>
      </w:r>
      <w:r>
        <w:fldChar w:fldCharType="end"/>
      </w:r>
    </w:p>
    <w:p w:rsidR="00FD0DC7" w:rsidRDefault="00FD0DC7" w:rsidP="00FD0DC7"/>
    <w:p w:rsidR="00FD0DC7" w:rsidRDefault="00FD0DC7" w:rsidP="00FD0DC7">
      <w:pPr>
        <w:pStyle w:val="EntradandiceAuto"/>
      </w:pPr>
      <w:r>
        <w:t>Sección Segunda. Auto 110/2015, de 22 de junio de 2015. Desestima el recurso de súplica del Ministerio Fiscal sobre inadmisión del recurso de amparo 3759-2013, promovido por don José Juan Arroyo Luelmo en proceso contencioso-administrativo.</w:t>
      </w:r>
      <w:r>
        <w:tab/>
      </w:r>
      <w:r>
        <w:tab/>
      </w:r>
      <w:r>
        <w:fldChar w:fldCharType="begin"/>
      </w:r>
      <w:r>
        <w:instrText xml:space="preserve"> PAGEREF AUTO_2015_110 \h </w:instrText>
      </w:r>
      <w:r>
        <w:fldChar w:fldCharType="separate"/>
      </w:r>
      <w:r w:rsidR="00AA6B4A">
        <w:rPr>
          <w:noProof/>
        </w:rPr>
        <w:t>3044</w:t>
      </w:r>
      <w:r>
        <w:fldChar w:fldCharType="end"/>
      </w:r>
    </w:p>
    <w:p w:rsidR="00FD0DC7" w:rsidRDefault="00FD0DC7" w:rsidP="00FD0DC7"/>
    <w:p w:rsidR="00FD0DC7" w:rsidRDefault="00FD0DC7" w:rsidP="00FD0DC7">
      <w:pPr>
        <w:pStyle w:val="EntradandiceAuto"/>
      </w:pPr>
      <w:r>
        <w:t>Pleno. Auto 111/2015, de 23 de junio de 2015. Inadmite a trámite la cuestión de inconstitucionalidad 5880-2014, planteada por la Sala de lo Contencioso-Administrativo de la Audiencia Nacional en relación con el artículo 191.6 de la Ley 58/2003, de 17 de diciembre, general tributaria.</w:t>
      </w:r>
      <w:r>
        <w:tab/>
      </w:r>
      <w:r>
        <w:tab/>
      </w:r>
      <w:r>
        <w:fldChar w:fldCharType="begin"/>
      </w:r>
      <w:r>
        <w:instrText xml:space="preserve"> PAGEREF AUTO_2015_111 \h </w:instrText>
      </w:r>
      <w:r>
        <w:fldChar w:fldCharType="separate"/>
      </w:r>
      <w:r w:rsidR="00AA6B4A">
        <w:rPr>
          <w:noProof/>
        </w:rPr>
        <w:t>3047</w:t>
      </w:r>
      <w:r>
        <w:fldChar w:fldCharType="end"/>
      </w:r>
    </w:p>
    <w:p w:rsidR="00FD0DC7" w:rsidRDefault="00FD0DC7" w:rsidP="00FD0DC7"/>
    <w:p w:rsidR="00FD0DC7" w:rsidRDefault="00FD0DC7" w:rsidP="00FD0DC7">
      <w:pPr>
        <w:pStyle w:val="EntradandiceAuto"/>
      </w:pPr>
      <w:r>
        <w:t>Pleno. Auto 112/2015, de 23 de junio de 2015. Inadmite a trámite la cuestión de inconstitucionalidad 374-2015, planteada por el Juzgado de lo Social núm. 33 de Barcelona en relación con el epígrafe e) de la disposición adicional tercera de la Ley 40/2007, de 4 de diciembre, de medidas en materia de Seguridad Social.</w:t>
      </w:r>
      <w:r>
        <w:tab/>
      </w:r>
      <w:r>
        <w:tab/>
      </w:r>
      <w:r>
        <w:fldChar w:fldCharType="begin"/>
      </w:r>
      <w:r>
        <w:instrText xml:space="preserve"> PAGEREF AUTO_2015_112 \h </w:instrText>
      </w:r>
      <w:r>
        <w:fldChar w:fldCharType="separate"/>
      </w:r>
      <w:r w:rsidR="00AA6B4A">
        <w:rPr>
          <w:noProof/>
        </w:rPr>
        <w:t>3057</w:t>
      </w:r>
      <w:r>
        <w:fldChar w:fldCharType="end"/>
      </w:r>
    </w:p>
    <w:p w:rsidR="00FD0DC7" w:rsidRDefault="00FD0DC7" w:rsidP="00FD0DC7"/>
    <w:p w:rsidR="00FD0DC7" w:rsidRDefault="00FD0DC7" w:rsidP="00FD0DC7">
      <w:pPr>
        <w:pStyle w:val="EntradandiceAuto"/>
      </w:pPr>
      <w:r>
        <w:t>Sección Cuarta. Auto 113/2015, de 26 de junio de 2015. Acuerda el desistimiento en el recurso de amparo 3469-2014, promovido en litigio social.</w:t>
      </w:r>
      <w:r>
        <w:tab/>
      </w:r>
      <w:r>
        <w:tab/>
      </w:r>
      <w:r>
        <w:fldChar w:fldCharType="begin"/>
      </w:r>
      <w:r>
        <w:instrText xml:space="preserve"> PAGEREF AUTO_2015_113 \h </w:instrText>
      </w:r>
      <w:r>
        <w:fldChar w:fldCharType="separate"/>
      </w:r>
      <w:r w:rsidR="00AA6B4A">
        <w:rPr>
          <w:noProof/>
        </w:rPr>
        <w:t>3065</w:t>
      </w:r>
      <w:r>
        <w:fldChar w:fldCharType="end"/>
      </w:r>
    </w:p>
    <w:p w:rsidR="00FD0DC7" w:rsidRDefault="00FD0DC7" w:rsidP="00FD0DC7"/>
    <w:p w:rsidR="00FD0DC7" w:rsidRDefault="00FD0DC7" w:rsidP="00FD0DC7">
      <w:pPr>
        <w:pStyle w:val="EntradandiceAuto"/>
      </w:pPr>
      <w:r>
        <w:t>Sección Cuarta. Auto 114/2015, de 26 de junio de 2015. Declararse incompetente para el enjuiciamiento de la impugnación de la resolución de la Comisión Central de Asistencia Jurídica Gratuita para el recurso de amparo, promovida por doña María Huguet Gómez.</w:t>
      </w:r>
      <w:r>
        <w:tab/>
      </w:r>
      <w:r>
        <w:tab/>
      </w:r>
      <w:r>
        <w:fldChar w:fldCharType="begin"/>
      </w:r>
      <w:r>
        <w:instrText xml:space="preserve"> PAGEREF AUTO_2015_114 \h </w:instrText>
      </w:r>
      <w:r>
        <w:fldChar w:fldCharType="separate"/>
      </w:r>
      <w:r w:rsidR="00AA6B4A">
        <w:rPr>
          <w:noProof/>
        </w:rPr>
        <w:t>3066</w:t>
      </w:r>
      <w:r>
        <w:fldChar w:fldCharType="end"/>
      </w:r>
    </w:p>
    <w:p w:rsidR="00FD0DC7" w:rsidRDefault="00FD0DC7">
      <w:pPr>
        <w:spacing w:after="160" w:line="259" w:lineRule="auto"/>
      </w:pPr>
      <w:r>
        <w:br w:type="page"/>
      </w:r>
    </w:p>
    <w:p w:rsidR="00FD0DC7" w:rsidRDefault="00FD0DC7" w:rsidP="0085709A"/>
    <w:p w:rsidR="00FD0DC7" w:rsidRDefault="00FD0DC7" w:rsidP="0085709A"/>
    <w:p w:rsidR="0085709A" w:rsidRDefault="0085709A" w:rsidP="0085709A"/>
    <w:p w:rsidR="0085709A" w:rsidRDefault="0085709A" w:rsidP="0085709A"/>
    <w:p w:rsidR="0085709A" w:rsidRDefault="0085709A" w:rsidP="0085709A"/>
    <w:p w:rsidR="0085709A" w:rsidRDefault="0085709A" w:rsidP="0085709A"/>
    <w:p w:rsidR="0085709A" w:rsidRDefault="0085709A" w:rsidP="0085709A"/>
    <w:p w:rsidR="0085709A" w:rsidRDefault="0085709A" w:rsidP="0085709A"/>
    <w:p w:rsidR="0085709A" w:rsidRDefault="0085709A" w:rsidP="0085709A">
      <w:pPr>
        <w:pStyle w:val="CabeceraApartado"/>
      </w:pPr>
      <w:r>
        <w:t>SENTENCIAS</w:t>
      </w:r>
    </w:p>
    <w:p w:rsidR="0085709A" w:rsidRDefault="0085709A">
      <w:pPr>
        <w:spacing w:after="160" w:line="259" w:lineRule="auto"/>
        <w:rPr>
          <w:rFonts w:ascii="Times New Roman" w:eastAsia="Times New Roman" w:hAnsi="Times New Roman" w:cs="Times New Roman"/>
          <w:sz w:val="48"/>
          <w:szCs w:val="24"/>
          <w:lang w:eastAsia="es-ES"/>
        </w:rPr>
      </w:pPr>
      <w:r>
        <w:br w:type="page"/>
      </w:r>
    </w:p>
    <w:p w:rsidR="0085709A" w:rsidRDefault="0085709A" w:rsidP="0085709A">
      <w:pPr>
        <w:pStyle w:val="TtuloResolucin"/>
      </w:pPr>
      <w:bookmarkStart w:id="4" w:name="SENTENCIA_2015_1"/>
      <w:r>
        <w:t>SENTENCIA 1/2015, de 19 de enero de 2015</w:t>
      </w:r>
    </w:p>
    <w:bookmarkEnd w:id="4"/>
    <w:p w:rsidR="0085709A" w:rsidRDefault="0085709A" w:rsidP="0085709A">
      <w:pPr>
        <w:pStyle w:val="TtuloResolucin"/>
      </w:pPr>
      <w:r>
        <w:t>Sala Segunda</w:t>
      </w:r>
    </w:p>
    <w:p w:rsidR="0085709A" w:rsidRDefault="0085709A" w:rsidP="0085709A">
      <w:pPr>
        <w:pStyle w:val="TtuloBOE"/>
      </w:pPr>
      <w:r>
        <w:t>(BOE núm. 47, de 24 de febrero de 2015)</w:t>
      </w:r>
    </w:p>
    <w:p w:rsidR="0085709A" w:rsidRDefault="0085709A" w:rsidP="0085709A">
      <w:pPr>
        <w:pStyle w:val="TextoNormalCentrado"/>
      </w:pPr>
      <w:r>
        <w:t>ECLI:ES:TC:2015:1</w:t>
      </w:r>
    </w:p>
    <w:p w:rsidR="0085709A" w:rsidRDefault="0085709A" w:rsidP="0085709A">
      <w:pPr>
        <w:pStyle w:val="TextoNormalCentrado"/>
      </w:pPr>
    </w:p>
    <w:p w:rsidR="0085709A" w:rsidRDefault="0085709A" w:rsidP="0085709A">
      <w:pPr>
        <w:pStyle w:val="SntesisDescriptiva"/>
      </w:pPr>
      <w:r>
        <w:t>Recurso de amparo 5178-2013. Promovido por don Luis de Velasco Rami, portavoz del Grupo Parlamentario de Unión Progreso y Democracia en la Asamblea de Madrid, en relación con diversos acuerdos de la Mesa de la Cámara sobre inadmisión de solicitudes de comparecencia, preguntas de respuesta oral en Pleno y proposición no de ley.</w:t>
      </w:r>
    </w:p>
    <w:p w:rsidR="0085709A" w:rsidRDefault="0085709A" w:rsidP="0085709A">
      <w:pPr>
        <w:pStyle w:val="SntesisDescriptiva"/>
      </w:pPr>
    </w:p>
    <w:p w:rsidR="0085709A" w:rsidRDefault="0085709A" w:rsidP="0085709A">
      <w:pPr>
        <w:pStyle w:val="SntesisAnaltica"/>
      </w:pPr>
      <w:r>
        <w:t>Vulneración del derecho a ejercer las funciones representativas en condiciones de igualdad: inadmisión de iniciativas parlamentarias sin motivación (STC 40/2003).</w:t>
      </w:r>
    </w:p>
    <w:p w:rsidR="0085709A" w:rsidRDefault="0085709A" w:rsidP="0085709A">
      <w:pPr>
        <w:pStyle w:val="SntesisAnaltica"/>
      </w:pPr>
    </w:p>
    <w:p w:rsidR="0085709A" w:rsidRDefault="0085709A" w:rsidP="0085709A">
      <w:pPr>
        <w:pStyle w:val="Extracto"/>
      </w:pPr>
      <w:r>
        <w:t>1.</w:t>
      </w:r>
      <w:r>
        <w:tab/>
        <w:t>La Mesa de la Asamblea de la Comunidad de Madrid, con inobservancia del Reglamento parlamentario, obstaculizó el ejercicio del derecho de representación política garantizado por el art. 23.2 CE [FJ 5].</w:t>
      </w:r>
    </w:p>
    <w:p w:rsidR="0085709A" w:rsidRDefault="0085709A" w:rsidP="0085709A">
      <w:pPr>
        <w:pStyle w:val="Extracto"/>
      </w:pPr>
    </w:p>
    <w:p w:rsidR="0085709A" w:rsidRDefault="0085709A" w:rsidP="0085709A">
      <w:pPr>
        <w:pStyle w:val="Extracto"/>
      </w:pPr>
      <w:r>
        <w:t>2.</w:t>
      </w:r>
      <w:r>
        <w:tab/>
        <w:t>La decisión de la Mesa de la Asamblea de inadmitir las preguntas parlamentarias no se fundamenta en los límites materiales contemplados por el Reglamento de la Cámara (STC 107/2001) [FJ 6].</w:t>
      </w:r>
    </w:p>
    <w:p w:rsidR="0085709A" w:rsidRDefault="0085709A" w:rsidP="0085709A">
      <w:pPr>
        <w:pStyle w:val="Extracto"/>
      </w:pPr>
    </w:p>
    <w:p w:rsidR="0085709A" w:rsidRDefault="0085709A" w:rsidP="0085709A">
      <w:pPr>
        <w:pStyle w:val="Extracto"/>
      </w:pPr>
      <w:r>
        <w:t>3.</w:t>
      </w:r>
      <w:r>
        <w:tab/>
        <w:t>Los órganos parlamentarios tienen el deber de motivar expresa, suficiente y adecuadamente la aplicación de las normas cuando pueda resultar de la misma una limitación al ejercicio de aquellos derechos que integran el estatuto constitucionalmente relevante de los representantes políticos (SSTC 38/1999 y 40/2003) [FJ 7].</w:t>
      </w:r>
    </w:p>
    <w:p w:rsidR="0085709A" w:rsidRDefault="0085709A" w:rsidP="0085709A">
      <w:pPr>
        <w:pStyle w:val="Extracto"/>
      </w:pPr>
    </w:p>
    <w:p w:rsidR="0085709A" w:rsidRDefault="0085709A" w:rsidP="0085709A">
      <w:pPr>
        <w:pStyle w:val="Extracto"/>
      </w:pPr>
      <w:r>
        <w:t>4.</w:t>
      </w:r>
      <w:r>
        <w:tab/>
        <w:t>Se reitera la jurisprudencia sobre el derecho de los ciudadanos a acceder en condiciones de igualdad a las funciones y cargos públicos con los requisitos que señalen las leyes, en relación con el derecho de los ciudadanos a participar en los asuntos públicos (SSTC 38/1999, 78/2006) [FJ 3].</w:t>
      </w:r>
    </w:p>
    <w:p w:rsidR="0085709A" w:rsidRDefault="0085709A" w:rsidP="0085709A">
      <w:pPr>
        <w:pStyle w:val="Extracto"/>
      </w:pPr>
    </w:p>
    <w:p w:rsidR="0085709A" w:rsidRDefault="0085709A" w:rsidP="0085709A">
      <w:pPr>
        <w:pStyle w:val="Extracto"/>
      </w:pPr>
      <w:r>
        <w:t>5.</w:t>
      </w:r>
      <w:r>
        <w:tab/>
        <w:t>Los amparos parlamentarios,</w:t>
      </w:r>
      <w:r w:rsidRPr="0085709A">
        <w:rPr>
          <w:i/>
        </w:rPr>
        <w:t xml:space="preserve"> ex </w:t>
      </w:r>
      <w:r>
        <w:t>art. 42 LOTC, al igual que los amparos electorales, tienen la particularidad de la ausencia de una vía jurisdiccional previa al amparo constitucional, que los sitúa en una posición especial a la hora de determinar su dimensión objetiva al valorar la especial trascendencia constitucional por parte de este Tribunal (STC 155/2009) [FJ 2].</w:t>
      </w:r>
    </w:p>
    <w:p w:rsidR="0085709A" w:rsidRDefault="0085709A" w:rsidP="0085709A">
      <w:pPr>
        <w:pStyle w:val="Extracto"/>
      </w:pPr>
    </w:p>
    <w:p w:rsidR="0085709A" w:rsidRDefault="0085709A" w:rsidP="0085709A">
      <w:pPr>
        <w:pStyle w:val="Extracto"/>
      </w:pPr>
      <w:r>
        <w:t>6.</w:t>
      </w:r>
      <w:r>
        <w:tab/>
        <w:t>Dado que las resoluciones impugnadas han sido adoptadas en una legislatura aún no finalizada, procede retrotraer las actuaciones al momento anterior a la mencionada adopción, restableciéndose el derecho fundamental a la participación política (art. 23.2 CE) del Diputado recurrente en amparo [FJ 10].</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5178-2013, promovido por don Luis de Velasco Rami, Portavoz del Grupo Parlamentario de Unión Progreso y Democracia (GUPyD) en la Asamblea de Madrid, representado por la Procuradora de los Tribunales doña María José Bueno Ramírez y defendido por el Letrado don Andrés Herzog Sánchez,  contra los siguientes Acuerdos de la Mesa de la Asamblea de Madrid: de 29 de abril de 2013, por el que se inadmitieron a trámite las solicitudes de comparecencia 206/13 y 207/13, y de 3 de junio de 2013, desestimatorio de la reconsideración; de 6 de mayo de 2013, por el que se inadmitieron a trámite las preguntas de respuesta oral en Pleno 465/13 y 466/13, y de 3 de junio de 2013, desestimatorio de la reconsideración; y de 13 de mayo de 2013, por el que se inadmitió a trámite la proposición no de ley 63/13, así como el Acuerdo de 10 de junio de 2013, desestimatorio de la reconsideración. Ha comparecido la Asamblea de Madrid, a través de sus representantes. Ha intervenido el Ministerio Fiscal. Ha sido Ponente el Magistrado don Fernando Valdés Dal-Re, quien expresa el parecer de la Sala.</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Procuradora de los Tribunales doña María José Bueno Ramírez, en nombre y representación de don Luis de Velasco Rami, portavoz del Grupo Parlamentario de Unión Progreso y Democracia en la Asamblea de Madrid, interpuso demanda de amparo contra los acuerdos parlamentarios que se mencionan en el encabezamiento de esta Sentencia, mediante escrito registrado en este Tribunal el 10 de septiembre de 2013.</w:t>
      </w:r>
    </w:p>
    <w:p w:rsidR="0085709A" w:rsidRDefault="0085709A" w:rsidP="0085709A">
      <w:pPr>
        <w:pStyle w:val="TextoNormal"/>
      </w:pPr>
    </w:p>
    <w:p w:rsidR="0085709A" w:rsidRDefault="0085709A" w:rsidP="0085709A">
      <w:pPr>
        <w:pStyle w:val="TextoNormal"/>
      </w:pPr>
      <w:r w:rsidRPr="0085709A">
        <w:rPr>
          <w:rStyle w:val="NumeroAFNegritaCaracter"/>
        </w:rPr>
        <w:t>2</w:t>
      </w:r>
      <w:r>
        <w:t>. El recurso tiene su origen en la inadmisión, por parte de la Mesa de la Asamblea de Madrid, de las iniciativas parlamentarias que a continuación se relacionan.</w:t>
      </w:r>
    </w:p>
    <w:p w:rsidR="0085709A" w:rsidRDefault="0085709A" w:rsidP="0085709A">
      <w:pPr>
        <w:pStyle w:val="TextoNormal"/>
      </w:pPr>
    </w:p>
    <w:p w:rsidR="0085709A" w:rsidRDefault="0085709A" w:rsidP="0085709A">
      <w:pPr>
        <w:pStyle w:val="TextoNormal"/>
      </w:pPr>
      <w:r>
        <w:t>a) Por sendos acuerdos de 29 abril de 2013 la Mesa de la Asamblea de Madrid inadmitió a trámite las siguientes solicitudes de comparecencia:</w:t>
      </w:r>
    </w:p>
    <w:p w:rsidR="0085709A" w:rsidRDefault="0085709A" w:rsidP="0085709A">
      <w:pPr>
        <w:pStyle w:val="TextoNormal"/>
      </w:pPr>
    </w:p>
    <w:p w:rsidR="0085709A" w:rsidRDefault="0085709A" w:rsidP="0085709A">
      <w:pPr>
        <w:pStyle w:val="TextoNormal"/>
      </w:pPr>
      <w:r>
        <w:t>— 606-2013, por la que el Grupo Parlamentario de Unión Progreso y Democracia solicitaba la comparecencia [por vía del art. 211 del Reglamento de la Asamblea de Madrid (RAM)] del Sr. Presidente de la Confederación Hidrográfica del Tajo ante la Comisión de Medio Ambiente y Ordenación del Territorio, con el objeto de que expusiera la propuesta del plan hidrológico y su impacto en la Comunidad de Madrid.</w:t>
      </w:r>
    </w:p>
    <w:p w:rsidR="0085709A" w:rsidRDefault="0085709A" w:rsidP="0085709A">
      <w:pPr>
        <w:pStyle w:val="TextoNormal"/>
      </w:pPr>
    </w:p>
    <w:p w:rsidR="0085709A" w:rsidRDefault="0085709A" w:rsidP="0085709A">
      <w:pPr>
        <w:pStyle w:val="TextoNormal"/>
      </w:pPr>
      <w:r>
        <w:t>— 607-2013, por la que el Grupo Parlamentario de Unión Progreso y Democracia solicitaba la comparecencia (por vía del art. 211 RAM) del Sr. Presidente de la Confederación Hidrográfica del Tajo ante la Comisión de Medio Ambiente y Ordenación del Territorio, con el objeto de que expusiera el impacto de la Directiva marco del agua en el ámbito de la Comunidad de Madrid.</w:t>
      </w:r>
    </w:p>
    <w:p w:rsidR="0085709A" w:rsidRDefault="0085709A" w:rsidP="0085709A">
      <w:pPr>
        <w:pStyle w:val="TextoNormal"/>
      </w:pPr>
    </w:p>
    <w:p w:rsidR="0085709A" w:rsidRDefault="0085709A" w:rsidP="0085709A">
      <w:pPr>
        <w:pStyle w:val="TextoNormal"/>
      </w:pPr>
      <w:r>
        <w:t>Respecto de estas dos iniciativas la Mesa acuerda, “de conformidad con lo dispuesto en el art. 49.1 c) del Reglamento de la Asamblea”, la no admisión a trámite “por depender el compareciente del Ministerio de Agricultura, Alimentación y Medio Ambiente, cuyo control corresponde a las Cortes generales”.</w:t>
      </w:r>
    </w:p>
    <w:p w:rsidR="0085709A" w:rsidRDefault="0085709A" w:rsidP="0085709A">
      <w:pPr>
        <w:pStyle w:val="TextoNormal"/>
      </w:pPr>
    </w:p>
    <w:p w:rsidR="0085709A" w:rsidRDefault="0085709A" w:rsidP="0085709A">
      <w:pPr>
        <w:pStyle w:val="TextoNormal"/>
      </w:pPr>
      <w:r>
        <w:t>Frente a los anteriores acuerdos de inadmisión el portavoz del Grupo Parlamentario de Unión Progreso y Democracia presentó escrito de reconsideración, de conformidad con lo previsto en el art 49.2 RAM. La Mesa de la Asamblea de Madrid desestimó, por acuerdo de 3 de junio de 2013, los escritos de reconsideración presentados y confirmó los acuerdos iniciales limitándose a reiterar el motivo de inadmisión expresado en dichos acuerdos, sin hacer valoración o consideración alguna respecto de las alegaciones elevadas en los escritos de reconsideración.</w:t>
      </w:r>
    </w:p>
    <w:p w:rsidR="0085709A" w:rsidRDefault="0085709A" w:rsidP="0085709A">
      <w:pPr>
        <w:pStyle w:val="TextoNormal"/>
      </w:pPr>
    </w:p>
    <w:p w:rsidR="0085709A" w:rsidRDefault="0085709A" w:rsidP="0085709A">
      <w:pPr>
        <w:pStyle w:val="TextoNormal"/>
      </w:pPr>
      <w:r>
        <w:t>b) Por acuerdo de 6 de mayo de 2013, la Mesa de la Asamblea de Madrid inadmitió a trámite las siguientes preguntas de respuesta oral en Pleno:</w:t>
      </w:r>
    </w:p>
    <w:p w:rsidR="0085709A" w:rsidRDefault="0085709A" w:rsidP="0085709A">
      <w:pPr>
        <w:pStyle w:val="TextoNormal"/>
      </w:pPr>
    </w:p>
    <w:p w:rsidR="0085709A" w:rsidRDefault="0085709A" w:rsidP="0085709A">
      <w:pPr>
        <w:pStyle w:val="TextoNormal"/>
      </w:pPr>
      <w:r>
        <w:t>— 465-2013, mediante la que se solicita preguntar al Presidente del Gobierno de la Comunidad “si considera usted que en la Comunidad de Madrid se ha realizado una reforma radical de la Administración, como la que reclama Esperanza Aguirre”.</w:t>
      </w:r>
    </w:p>
    <w:p w:rsidR="0085709A" w:rsidRDefault="0085709A" w:rsidP="0085709A">
      <w:pPr>
        <w:pStyle w:val="TextoNormal"/>
      </w:pPr>
    </w:p>
    <w:p w:rsidR="0085709A" w:rsidRDefault="0085709A" w:rsidP="0085709A">
      <w:pPr>
        <w:pStyle w:val="TextoNormal"/>
      </w:pPr>
      <w:r>
        <w:t>La Mesa, de conformidad con lo dispuesto en el art. 49.1 c) RAM, mediante acuerdo adoptado el 6 de mayo de 2013, dispuso la no admisión a trámite de dicha pregunta “por no ser su objeto competencia del Gobierno de la Comunidad de Madrid”. El portavoz del Grupo Parlamentario de Unión Progreso y Democracia (UPyD), de conformidad con lo establecido en el art. 49.2 RAM, solicitó la reconsideración del acuerdo anteriormente referido. La Mesa, mediante acuerdo de 3 de junio de 2013, desestimó dicha solicitud y ratificó su anterior acuerdo, “por no ser su objeto competencia del Gobierno de la Comunidad de Madrid”, sin hacer valoración o consideración alguna respecto de las alegaciones elevadas en los escritos de reconsideración.</w:t>
      </w:r>
    </w:p>
    <w:p w:rsidR="0085709A" w:rsidRDefault="0085709A" w:rsidP="0085709A">
      <w:pPr>
        <w:pStyle w:val="TextoNormal"/>
      </w:pPr>
    </w:p>
    <w:p w:rsidR="0085709A" w:rsidRDefault="0085709A" w:rsidP="0085709A">
      <w:pPr>
        <w:pStyle w:val="TextoNormal"/>
      </w:pPr>
      <w:r>
        <w:t>— 466-2013, por la que se solicita la admisión a trámite de la siguiente pregunta dirigida al Gobierno de la Comunidad: “si conoce el Gobierno de la Comunidad las razones por las que las Vegas Sands no ha presentado a esta fecha su oferta sobre Eurovegas”.</w:t>
      </w:r>
    </w:p>
    <w:p w:rsidR="0085709A" w:rsidRDefault="0085709A" w:rsidP="0085709A">
      <w:pPr>
        <w:pStyle w:val="TextoNormal"/>
      </w:pPr>
    </w:p>
    <w:p w:rsidR="0085709A" w:rsidRDefault="0085709A" w:rsidP="0085709A">
      <w:pPr>
        <w:pStyle w:val="TextoNormal"/>
      </w:pPr>
      <w:r>
        <w:t>La Mesa, de conformidad con lo dispuesto en el art. 49.1 c) RAM, mediante acuerdo adoptado el 6 de mayo de 2013, dispuso la no admisión a trámite de dicha pregunta “por referirse su objeto a una decisión empresarial, no siendo por tanto una acción de Gobierno”. El portavoz del Grupo Parlamentario de UPyD, de conformidad con lo establecido en el art. 49.2 RAM, solicitó la reconsideración del acuerdo anteriormente referido. La Mesa, por acuerdo de 3 de junio de 2013, desestimó dicha solicitud y ratificó su anterior acuerdo por referirse el objeto de la pregunta “a una decisión empresarial, no siendo por tanto una acción del Gobierno”, sin hacer valoración o consideración alguna respecto de las alegaciones elevadas en los escritos de reconsideración.</w:t>
      </w:r>
    </w:p>
    <w:p w:rsidR="0085709A" w:rsidRDefault="0085709A" w:rsidP="0085709A">
      <w:pPr>
        <w:pStyle w:val="TextoNormal"/>
      </w:pPr>
    </w:p>
    <w:p w:rsidR="0085709A" w:rsidRDefault="0085709A" w:rsidP="0085709A">
      <w:pPr>
        <w:pStyle w:val="TextoNormal"/>
      </w:pPr>
      <w:r>
        <w:t>c) Por acuerdo de 13 de mayo de 2013 la Mesa de la Asamblea de Madrid inadmitió a trámite la siguiente solicitud de proposición no de ley:</w:t>
      </w:r>
    </w:p>
    <w:p w:rsidR="0085709A" w:rsidRDefault="0085709A" w:rsidP="0085709A">
      <w:pPr>
        <w:pStyle w:val="TextoNormal"/>
      </w:pPr>
    </w:p>
    <w:p w:rsidR="0085709A" w:rsidRDefault="0085709A" w:rsidP="0085709A">
      <w:pPr>
        <w:pStyle w:val="TextoNormal"/>
      </w:pPr>
      <w:r>
        <w:lastRenderedPageBreak/>
        <w:t>— Proposición no de ley 63-2013, por la que el Grupo Parlamentario de UPyD en la Asamblea de Madrid, al amparo de lo dispuesto en los arts. 205 y concordantes RAM, solicita que la Asamblea de Madrid “inste al Gobierno de la Comunidad de Madrid a interponer todas las acciones judiciales pertinentes, incluidas las penales, frente a los responsables de la emisión de las preferentes de Caja Madrid durante el año 2009”.</w:t>
      </w:r>
    </w:p>
    <w:p w:rsidR="0085709A" w:rsidRDefault="0085709A" w:rsidP="0085709A">
      <w:pPr>
        <w:pStyle w:val="TextoNormal"/>
      </w:pPr>
    </w:p>
    <w:p w:rsidR="0085709A" w:rsidRDefault="0085709A" w:rsidP="0085709A">
      <w:pPr>
        <w:pStyle w:val="TextoNormal"/>
      </w:pPr>
      <w:r>
        <w:t>La Mesa, a la vista de las consideraciones efectuadas en un informe jurídico que aporta como motivación, de conformidad con el art. 49.1 c) RAM y con los arts. 9 y 16 del Estatuto de Autonomía de la Comunidad de Madrid, acuerda su no admisión a trámite por entender que “el Consejo de Gobierno de la Comunidad de Madrid carece de competencias sobre la materia objeto de la iniciativa, por no ser viable el ejercicio de las funciones de impulso, orientación y control del Gobierno”.</w:t>
      </w:r>
    </w:p>
    <w:p w:rsidR="0085709A" w:rsidRDefault="0085709A" w:rsidP="0085709A">
      <w:pPr>
        <w:pStyle w:val="TextoNormal"/>
      </w:pPr>
    </w:p>
    <w:p w:rsidR="0085709A" w:rsidRDefault="0085709A" w:rsidP="0085709A">
      <w:pPr>
        <w:pStyle w:val="TextoNormal"/>
      </w:pPr>
      <w:r>
        <w:t>El portavoz del Grupo Parlamentario de UPyD, de conformidad con lo establecido en el art. 49.2 RAM, solicitó la reconsideración del acuerdo anteriormente referido. La Mesa, de conformidad con el art. 49.2 RAM, desestimó dicha solicitud por acuerdo de 10 de junio de 2013 y ratificó su anterior acuerdo sin aportar nueva motivación al respecto y sin hacer valoración o consideración alguna respecto de las alegaciones elevadas en los escritos de reconsideración.</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se plantea al amparo del art. 42 de la Ley Orgánica del Tribunal Constitucional (LOTC) y tiene por objeto la impugnación de los acuerdos de la Mesa de la Asamblea de Madrid anteriormente referidos, al entender el recurrente que vulneran el derecho a 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esas decisiones han impedido de forma arbitraria la tramitación de solicitudes de comparecencia, la formulación de preguntas de respuesta oral en Pleno y la tramitación de una proposición no de ley, iniciativas que forman parte del núcleo esencial de la función representativa del Diputado recurrente y del Grupo Parlamentario de Unión Progreso y Democracia en la Asamblea de Madrid, aduciendo que el órgano rector de la Cámara ha fundado sus resoluciones en un juicio de oportunidad política y que viene inadmitiendo, de forma reiterada, la presentación de iniciativas parlamentarias por parte del Grupo Parlamentario de Unión, Progreso y Democracia, lo que ha dado lugar a la interposición de diversos recursos de amparo.</w:t>
      </w:r>
    </w:p>
    <w:p w:rsidR="0085709A" w:rsidRDefault="0085709A" w:rsidP="0085709A">
      <w:pPr>
        <w:pStyle w:val="TextoNormal"/>
      </w:pPr>
    </w:p>
    <w:p w:rsidR="0085709A" w:rsidRDefault="0085709A" w:rsidP="0085709A">
      <w:pPr>
        <w:pStyle w:val="TextoNormal"/>
      </w:pPr>
      <w:r>
        <w:t>Así, tras exponer parte de la jurisprudencia de este Tribunal acerca del art. 23 CE, el recurrente pone de manifiesto que todas las iniciativas rechazadas se presentaron de acuerdo con los requisitos contemplados en el Reglamento de la Asamblea, afirmando que la Mesa se ha excedido en su interpretación de dicha norma, constriñendo el derecho de participación política de los representantes políticos integrados en el Grupo Parlamentario de Unión, Progreso y Democracia e impidiendo de forma arbitraria la tramitación de iniciativas parlamentarias que forman parte del núcleo esencial de la función representativa, toda vez que son instrumentos básicos para controlar la acción del Gobierno y para plantear en sede parlamentaria los debates políticos que interesan a los ciudadanos. En consecuencia, se solicita la nulidad de cada uno de los Acuerdos anteriormente citados.</w:t>
      </w:r>
    </w:p>
    <w:p w:rsidR="0085709A" w:rsidRDefault="0085709A" w:rsidP="0085709A">
      <w:pPr>
        <w:pStyle w:val="TextoNormal"/>
      </w:pPr>
    </w:p>
    <w:p w:rsidR="0085709A" w:rsidRDefault="0085709A" w:rsidP="0085709A">
      <w:pPr>
        <w:pStyle w:val="TextoNormal"/>
      </w:pPr>
      <w:r>
        <w:lastRenderedPageBreak/>
        <w:t>Más en concreto, en relación con las comparecencias inadmitidas por la Mesa, el recurrente expone que en ambas iniciativas se solicitó la presencia del compareciente por la vía del art. 211 RAM, rotulado “De las comparecencias de otras entidades o personas a efectos de informe y asesoramiento”, con explícita declaración de que el objeto de la misma residía en solicitar información sobre la propuesta de plan hidrológico, así como respecto de la Directiva marco del agua y su respectivo impacto en la Comunidad de Madrid, siendo una materia de actualidad y que afecta directamente a la Comunidad Autónoma. En este sentido, insiste en que la comparecencia no va dirigida al control de la actuación del Presidente de la Confederación Hidrográfica del Tajo, ni del Ministerio competente, sino que sólo busca obtener información a fin de llevar a cabo la labor de fiscalización del Gobierno de la Comunidad de Madrid en la gestión del agua. Extremos que fueron expuestos en el escrito de reconsideración interpuesto ante la Mesa.</w:t>
      </w:r>
    </w:p>
    <w:p w:rsidR="0085709A" w:rsidRDefault="0085709A" w:rsidP="0085709A">
      <w:pPr>
        <w:pStyle w:val="TextoNormal"/>
      </w:pPr>
    </w:p>
    <w:p w:rsidR="0085709A" w:rsidRDefault="0085709A" w:rsidP="0085709A">
      <w:pPr>
        <w:pStyle w:val="TextoNormal"/>
      </w:pPr>
      <w:r>
        <w:t>En cuanto a la inadmisión de la pregunta relativa al proyecto Eurovegas, el recurrente entiende que se refiere a una materia en relación con la que los miembros del Gobierno de la Comunidad de Madrid han hecho declaraciones públicas, siendo patente que ha habido contactos entre el Gobierno y Las Vegas Sands (citando en este sentido diversas informaciones aparecidas en la prensa), añadiendo que la caracterización como proyecto empresarial privado no implica, en modo alguno, que deba escapar del control político en sede parlamentaria, ya que el Gobierno ha negociado directamente con la empresa y ha aprobado leyes para facilitar la inversión. También aducen que mientras el Grupo Parlamentario de UPyD ha visto inadmitidas de forma sistemática todas las solicitudes de comparecencia o de preguntas sobre el proyecto Eurovegas, sí fue admitida la comparecencia del Consejero de Medio Ambiente y Ordenación del Territorio, solicitada por el Grupo Parlamentario Izquierda Unida-Los Verdes, con el objeto de dar cuenta del impacto medioambiental que tendrá la instalación del proyecto de Eurovegas en la región. Por lo que respecta a la pregunta dirigida al Presidente de la Comunidad en relación con “la reforma radical de la Administración, como la que reclamaba Esperanza Aguirre”, el recurrente aduce que se cumplen los requisitos previstos en el art. 192 RAM por lo que, en aplicación de la jurisprudencia vertida en la STC 40/2003, de 27 de febrero, FJ 2, la verificación de la admisibilidad ha de ser de carácter puramente formal. Así, argumenta que la pregunta versa sobre la reforma de la Administración, al hilo de las declaraciones de la que fue Presidenta de la Comunidad de Madrid desde el comienzo de la legislatura y hasta hace menos de un año, por lo que, dado que la mayoría de los actuales miembros del Gobierno lo eran también del suyo, considera muy razonable preguntar si el Gobierno de la Comunidad en esta legislatura ha llevado a cabo una reforma de la Administración en esas u otras condiciones.</w:t>
      </w:r>
    </w:p>
    <w:p w:rsidR="0085709A" w:rsidRDefault="0085709A" w:rsidP="0085709A">
      <w:pPr>
        <w:pStyle w:val="TextoNormal"/>
      </w:pPr>
    </w:p>
    <w:p w:rsidR="0085709A" w:rsidRDefault="0085709A" w:rsidP="0085709A">
      <w:pPr>
        <w:pStyle w:val="TextoNormal"/>
      </w:pPr>
      <w:r>
        <w:t xml:space="preserve">Por último, en relación con la proposición no de ley rechazada, el recurrente aduce que no se puede declarar, como hace la Mesa, que dicha iniciativa no se ajusta a lo dispuesto en los arts. 205 y 206 RAM, citando en este sentido la STC 141/2007, en la que se recoge que es necesario “interpretar las normas parlamentarias del modo más favorable al ejercicio de los derechos y facultades de los representantes”. Por otro lado, el recurrente apela a la necesidad de motivación de los acuerdos de la Mesa, argumentando que, en el caso que nos ocupa, la inadmisión se fundamenta de una forma genérica o inespecífica, pues se limita a exponer que el Gobierno “carece de competencia sobre la materia”, remitiéndose a las consideraciones jurídicas recogidas en un informe del Secretario General que fue evacuado con motivo de otra iniciativa parlamentaria presentada por el Grupo Parlamentario de UPyD y en el que no se entra en momento alguno “a valorar si la iniciativa presentada por este Grupo, </w:t>
      </w:r>
      <w:r>
        <w:lastRenderedPageBreak/>
        <w:t>en concreto, y, en especial, si las medidas que en ella se incluyen, exceden o no del ámbito competencial de la Comunidad de Madrid. En dicho informe se argumenta jurídicamente tan solo la vinculación de las proposiciones no de ley al ejercicio de funciones de impulso, orientación y control de la acción del gobierno”.</w:t>
      </w:r>
    </w:p>
    <w:p w:rsidR="0085709A" w:rsidRDefault="0085709A" w:rsidP="0085709A">
      <w:pPr>
        <w:pStyle w:val="TextoNormal"/>
      </w:pPr>
    </w:p>
    <w:p w:rsidR="0085709A" w:rsidRDefault="0085709A" w:rsidP="0085709A">
      <w:pPr>
        <w:pStyle w:val="TextoNormal"/>
      </w:pPr>
      <w:r>
        <w:t>Asimismo, el recurrente sostiene que la Comunidad de Madrid ostenta competencia sobre esta materia, pues en el art. 6 de la Ley 4/2003, de 11 de marzo, de cajas de ahorro de la Comunidad de Madrid, se establece: “En el marco de lo dispuesto en la presente Ley y en la legislación básica estatal, la Comunidad de Madrid ejercerá sus competencias administrativas en materia de supervisión, inspección y control de lo dispuesto en la normativa aplicable y, en especial, de la actividad económico-financiera y benéfico-social de las Cajas de Ahorros con domicilio social en el territorio de la Comunidad de Madrid, y el resto de competencias que se le atribuyen respecto a las Cajas de Ahorros, a través de la Consejería competente en materia de Hacienda Pública y política financiera”. Y en cuanto a la referencia exacta de la proposición no de ley sobre la exigencia de responsabilidad, dicha Ley señala, en su art. 75 (dentro del apartado dedicado a disciplina, inspección y sanción), que “en el marco de la legislación básica estatal, y sin perjuicio de las facultades que puedan corresponder a la Administración General del Estado y al Banco de España, la Comunidad de Madrid, a través de la Consejería competente, ostentará las funciones de disciplina y sanción respecto de las Cajas de Ahorros con domicilio social en la Comunidad de Madrid”. Añadiendo que las exigencias de responsabilidad administrativa por parte de la Comunidad de Madrid está específicamente contemplada en el art. 77 de la citada Ley, a tenor del cual “las Cajas de Ahorros, así como quienes ostenten cargos de administración o dirección en las mismas, que infrinjan normas de ordenación y disciplina de las entidades de crédito, emanadas del Estado o de la Comunidad de Madrid, incurrirán en responsabilidad administrativa sancionable con arreglo a lo dispuesto en la legislación básica estatal y en la presente Ley.”</w:t>
      </w:r>
    </w:p>
    <w:p w:rsidR="0085709A" w:rsidRDefault="0085709A" w:rsidP="0085709A">
      <w:pPr>
        <w:pStyle w:val="TextoNormal"/>
      </w:pPr>
    </w:p>
    <w:p w:rsidR="0085709A" w:rsidRDefault="0085709A" w:rsidP="0085709A">
      <w:pPr>
        <w:pStyle w:val="TextoNormal"/>
      </w:pPr>
      <w:r>
        <w:t>Quedando así claro, según los recurrentes, que la competencia en materia de disciplina, inspección y sanción de las cajas de ahorro en el territorio de la Comunidad de Madrid corresponde al Consejo de Gobierno de dicha Comunidad, con la inadmisión de la proposición no de ley resulta evidente el deseo de evitar el debate, sin que se alcance a comprender las razones por las que se priva a la Asamblea de la discusión sobre una cuestión que es de máxima actualidad pública y que constituye una de las principales preocupaciones de los ciudadanos españoles y madrileños. También alegan vulneración del derecho a la igualdad, al haber sido admitida una proposición no de ley del Grupo Parlamentario Socialista (proposición no de ley 66-2013, registro general de entrada 6025) en la que se propone que la Asamblea de Madrid inste al Gobierno de la Comunidad de Madrid para que exija al Gobierno de España una serie de actuaciones, que se detallan, en relación con la entidad financiera Bankia. Para el recurrente, ambas iniciativas versan sobre un objeto similar y, mientras una fue admitida a trámite, la presentada por el Grupo de UPyD fue rechazada.</w:t>
      </w:r>
    </w:p>
    <w:p w:rsidR="0085709A" w:rsidRDefault="0085709A" w:rsidP="0085709A">
      <w:pPr>
        <w:pStyle w:val="TextoNormal"/>
      </w:pPr>
    </w:p>
    <w:p w:rsidR="0085709A" w:rsidRDefault="0085709A" w:rsidP="0085709A">
      <w:pPr>
        <w:pStyle w:val="TextoNormal"/>
      </w:pPr>
      <w:r>
        <w:t xml:space="preserve">En el escrito de demanda se justifica la trascendencia constitucional del recurso argumentando que, de ser admitido a trámite, permitirá al Tribunal Constitucional fijar el alcance de la potestad que tiene la Mesa de la Asamblea de Madrid para inadmitir propuestas de los diputados y grupos parlamentarios y evitar así el elevado grado de arbitrariedad que muestran sus decisiones, añadiendo que, dado que no hay cauce de tutela ante la jurisdicción ordinaria, el recurso de amparo aparece como el único remedio posible para defender no </w:t>
      </w:r>
      <w:r>
        <w:lastRenderedPageBreak/>
        <w:t>sólo los derechos de representación política de los diputados integrados en el Grupo Parlamentario de Unión Progreso y Democracia en la Asamblea de Madrid, sino también la separación de poderes y la democracia en la Comunidad de Madrid, frente a una reiterada inadmisión de iniciativas parlamentarias planteadas por el recurrente y que ha impedido debates esenciales en la Asamblea sobre asuntos de interés público.</w:t>
      </w:r>
    </w:p>
    <w:p w:rsidR="0085709A" w:rsidRDefault="0085709A" w:rsidP="0085709A">
      <w:pPr>
        <w:pStyle w:val="TextoNormal"/>
      </w:pPr>
    </w:p>
    <w:p w:rsidR="0085709A" w:rsidRDefault="0085709A" w:rsidP="0085709A">
      <w:pPr>
        <w:pStyle w:val="TextoNormal"/>
      </w:pPr>
      <w:r w:rsidRPr="0085709A">
        <w:rPr>
          <w:rStyle w:val="NumeroAFNegritaCaracter"/>
        </w:rPr>
        <w:t>4</w:t>
      </w:r>
      <w:r>
        <w:t>. La Sala Segunda de este Tribunal, por providencia de 7 de abril de 2014, acordó admitir a trámite la demanda de amparo y, en aplicación de lo dispuesto en el art. 51 LOTC, requerir al Presidente de la Asamblea de Madrid la remisión del testimonio de las actuaciones, acompañándose copia de la demanda a los efectos de su personación en el presente proceso.</w:t>
      </w:r>
    </w:p>
    <w:p w:rsidR="0085709A" w:rsidRDefault="0085709A" w:rsidP="0085709A">
      <w:pPr>
        <w:pStyle w:val="TextoNormal"/>
      </w:pPr>
    </w:p>
    <w:p w:rsidR="0085709A" w:rsidRDefault="0085709A" w:rsidP="0085709A">
      <w:pPr>
        <w:pStyle w:val="TextoNormal"/>
      </w:pPr>
      <w:r w:rsidRPr="0085709A">
        <w:rPr>
          <w:rStyle w:val="NumeroAFNegritaCaracter"/>
        </w:rPr>
        <w:t>5</w:t>
      </w:r>
      <w:r>
        <w:t>. La Secretaría de Justicia de la Sala Segunda de este Tribunal, por diligencia de ordenación de 6 de mayo de 2014, acordó tener por personados y parte a los Letrados del Cuerpo de Letrados de la Asamblea de Madrid y dar vista de las actuaciones al Ministerio Fiscal y a las partes personadas por plazo común de veinte días para presentar las alegaciones que estimasen pertinentes, de conformidad con el art. 52 LOTC.</w:t>
      </w:r>
    </w:p>
    <w:p w:rsidR="0085709A" w:rsidRDefault="0085709A" w:rsidP="0085709A">
      <w:pPr>
        <w:pStyle w:val="TextoNormal"/>
      </w:pPr>
    </w:p>
    <w:p w:rsidR="0085709A" w:rsidRDefault="0085709A" w:rsidP="0085709A">
      <w:pPr>
        <w:pStyle w:val="TextoNormal"/>
      </w:pPr>
      <w:r w:rsidRPr="0085709A">
        <w:rPr>
          <w:rStyle w:val="NumeroAFNegritaCaracter"/>
        </w:rPr>
        <w:t>6</w:t>
      </w:r>
      <w:r>
        <w:t>. El Ministerio Fiscal presentó su escrito de alegaciones en este Tribunal el 2 de junio de 2014, en el que interesa que se dicte Sentencia estimando el recurso de amparo y declarando la nulidad de todas las resoluciones recurridas, por haber vulnerado, al recurrente y al Grupo Parlamentario al que representa, el derecho a ejercer en condiciones de igualdad el cargo público representativo reconocido en el art. 23.2 CE.</w:t>
      </w:r>
    </w:p>
    <w:p w:rsidR="0085709A" w:rsidRDefault="0085709A" w:rsidP="0085709A">
      <w:pPr>
        <w:pStyle w:val="TextoNormal"/>
      </w:pPr>
    </w:p>
    <w:p w:rsidR="0085709A" w:rsidRDefault="0085709A" w:rsidP="0085709A">
      <w:pPr>
        <w:pStyle w:val="TextoNormal"/>
      </w:pPr>
      <w:r>
        <w:t>Tras exponer detalladamente los antecedentes de los que trae causa el recurso y constatar que en el presente caso se cumplen todos los requisitos de legitimación necesarios para que el recurrente actúe en su propio nombre y en el del Grupo Parlamentario de UPyD, el Fiscal entra en la cuestión de fondo recordando, en primer lugar, la doctrina de este Tribunal respecto de los derechos recogidos en el art. 23.2 CE para pasar a analizar, en segundo término, los acuerdos de la Mesa de la Asamblea que inadmitieron la solicitud de las dos comparecencias parlamentarias presentadas.</w:t>
      </w:r>
    </w:p>
    <w:p w:rsidR="0085709A" w:rsidRDefault="0085709A" w:rsidP="0085709A">
      <w:pPr>
        <w:pStyle w:val="TextoNormal"/>
      </w:pPr>
    </w:p>
    <w:p w:rsidR="0085709A" w:rsidRDefault="0085709A" w:rsidP="0085709A">
      <w:pPr>
        <w:pStyle w:val="TextoNormal"/>
      </w:pPr>
      <w:r>
        <w:t xml:space="preserve">En este sentido, el Ministerio Fiscal reproduce los preceptos del Estatuto de Autonomía de Madrid y del Reglamento de la Asamblea de Madrid relativos a la materia, concluyendo que la Mesa de la Asamblea, al inadmitir las referidas comparecencias, ha realizado un control material o de contenido que ha excedido de la función que le corresponde de conformidad con la normativa aplicable, restringiendo de manera ilegítima los derechos que integran el núcleo de la función parlamentaria de los recurrentes, toda vez que la causa de denegación que se recoge en los acuerdos iniciales de inadmisión se refiere a cuestiones de naturaleza material, lo que no le corresponde a la Mesa, añadiendo, a mayor abundamiento, que las razones expuestas para la inadmisión carecen de lógica, puesto que las comparecencias no se solicitan para controlar la actuación del Presidente de la Confederación Hidrográfica del Tajo, como expone la Mesa en el acuerdo de inadmisión, sino, muy al contrario, en aplicación del art. 211 RAM y, por tanto, respecto de una persona que no pertenece a la Comunidad de Madrid, para que informe sobre materias de su competencia y que tienen impacto directo en esta Comunidad. El Fiscal añade que los acuerdos firmes que desestimaron los escritos de reconsideración carecen de una motivación expresa y suficiente, dado que no </w:t>
      </w:r>
      <w:r>
        <w:lastRenderedPageBreak/>
        <w:t>contienen ninguna referencia o valoración que permita conocer las razones de tal decisión, ni tienen en cuenta las alegaciones elevadas por el recurrente.</w:t>
      </w:r>
    </w:p>
    <w:p w:rsidR="0085709A" w:rsidRDefault="0085709A" w:rsidP="0085709A">
      <w:pPr>
        <w:pStyle w:val="TextoNormal"/>
      </w:pPr>
    </w:p>
    <w:p w:rsidR="0085709A" w:rsidRDefault="0085709A" w:rsidP="0085709A">
      <w:pPr>
        <w:pStyle w:val="TextoNormal"/>
      </w:pPr>
      <w:r>
        <w:t>Con respecto a los acuerdos que inadmitieron las dos preguntas para contestación oral en el Pleno, el Fiscal aduce que ninguno de los motivos de inadmisión que se enumeran en el art. 192.3 RAM se corresponde con los motivos expuestos por la Mesa para inadmitir dichas preguntas, excediéndose así de la función que en esta fase de admisión el Reglamento otorga a la Mesa, a lo que se añade que los Acuerdos que desestimaron los escritos de reconsideración carecen de una motivación expresa y suficiente, limitándose a reiterar los motivos ya expresados en los acuerdos iniciales de inadmisión y sin tener en cuenta las alegaciones elevadas por el recurrente.</w:t>
      </w:r>
    </w:p>
    <w:p w:rsidR="0085709A" w:rsidRDefault="0085709A" w:rsidP="0085709A">
      <w:pPr>
        <w:pStyle w:val="TextoNormal"/>
      </w:pPr>
    </w:p>
    <w:p w:rsidR="0085709A" w:rsidRDefault="0085709A" w:rsidP="0085709A">
      <w:pPr>
        <w:pStyle w:val="TextoNormal"/>
      </w:pPr>
      <w:r>
        <w:t>Por último, en cuanto a los acuerdos que inadmitieron la proposición no de ley 64-2013, el Fiscal expone que el acuerdo inicial de inadmisión no contiene una motivación que cumpla con la debida e individualizada motivación para justificar la limitación de la facultad parlamentaria, puesto que el titular de la misma no puede conocer las exactas razones que se han tenido en consideración para acordar la inadmisión, toda vez que la Mesa se remite a un informe jurídico que, a su vez, se remite a otro que no se aporta y que fue dictado en relación con una proposición no de ley diferente a la que ahora se inadmite, añadiendo que, en todo caso, la Mesa ha realizado un control de carácter material sin que los preceptos del Estatuto de Autonomía o del Reglamento que regulan este tipo de iniciativas parlamentarias le hayan atribuido tal facultad, siendo la Asamblea el órgano competente para pronunciarse sobre esta materia. Asimismo, aduce que el acuerdo que desestimó el escrito de reconsideración no hace ningún tipo de valoración respecto de las alegaciones que en dichos escritos se formulan, limitándose a reiterar la causa de inadmisión ya expuesta.</w:t>
      </w:r>
    </w:p>
    <w:p w:rsidR="0085709A" w:rsidRDefault="0085709A" w:rsidP="0085709A">
      <w:pPr>
        <w:pStyle w:val="TextoNormal"/>
      </w:pPr>
    </w:p>
    <w:p w:rsidR="0085709A" w:rsidRDefault="0085709A" w:rsidP="0085709A">
      <w:pPr>
        <w:pStyle w:val="TextoNormal"/>
      </w:pPr>
      <w:r>
        <w:t xml:space="preserve">En consecuencia, el Fiscal sostiene que los acuerdos impugnados restringen inmotivadamente una facultad vinculada al ejercicio del </w:t>
      </w:r>
      <w:r w:rsidRPr="0085709A">
        <w:rPr>
          <w:i/>
        </w:rPr>
        <w:t>ius in officium</w:t>
      </w:r>
      <w:r>
        <w:t xml:space="preserve"> del recurrente y del Grupo Parlamentario al que representa, con la consiguiente vulneración del art. 23.2 CE, solicitando que se acuerde la nulidad de los mismos.</w:t>
      </w:r>
    </w:p>
    <w:p w:rsidR="0085709A" w:rsidRDefault="0085709A" w:rsidP="0085709A">
      <w:pPr>
        <w:pStyle w:val="TextoNormal"/>
      </w:pPr>
    </w:p>
    <w:p w:rsidR="0085709A" w:rsidRDefault="0085709A" w:rsidP="0085709A">
      <w:pPr>
        <w:pStyle w:val="TextoNormal"/>
      </w:pPr>
      <w:r w:rsidRPr="0085709A">
        <w:rPr>
          <w:rStyle w:val="NumeroAFNegritaCaracter"/>
        </w:rPr>
        <w:t>7</w:t>
      </w:r>
      <w:r>
        <w:t>. Los Letrados de la Asamblea de Madrid, mediante escrito registrado el 16 de junio de 2014, formularon sus alegaciones solicitando la inadmisión a trámite del recurso por no concurrir los presupuestos procesales exigidos al respecto al haberse efectuado, a su juicio, una indebida acumulación de iniciativas parlamentarias de distinto género y materia que han sido objeto de tratamiento en sesiones distintas de la Mesa de la Asamblea de Madrid y, en su defecto, interesan que este Tribunal acuerde que el recurso de amparo no es susceptible de admisión por insuficiente justificación de la especial trascendencia constitucional por parte de los recurrentes (</w:t>
      </w:r>
      <w:r w:rsidRPr="0085709A">
        <w:rPr>
          <w:i/>
        </w:rPr>
        <w:t>ex</w:t>
      </w:r>
      <w:r>
        <w:t xml:space="preserve"> art. 49.1 LOTC) y por carecer de la trascendencia constitucional requerida, en los términos exigidos por el art. 50.1 LOTC. Subsidiariamente solicitan que se dicte Sentencia denegando el amparo, al entender que no ha existido vulneración, en ninguno de los supuestos cuestionados, de los derechos fundamentales reconocidos en el artículo 23 CE.</w:t>
      </w:r>
    </w:p>
    <w:p w:rsidR="0085709A" w:rsidRDefault="0085709A" w:rsidP="0085709A">
      <w:pPr>
        <w:pStyle w:val="TextoNormal"/>
      </w:pPr>
    </w:p>
    <w:p w:rsidR="0085709A" w:rsidRDefault="0085709A" w:rsidP="0085709A">
      <w:pPr>
        <w:pStyle w:val="TextoNormal"/>
      </w:pPr>
      <w:r>
        <w:t xml:space="preserve">Expuestos los óbices de admisibilidad anteriormente referidos, los representantes de la Asamblea de Madrid ponen de manifiesto que el presente recurso se incardina en una estrategia articulada por el recurrente para poner en tela de juicio la función de la Mesa de la Asamblea de calificación y admisión a trámite de los escritos parlamentarios, añadiendo </w:t>
      </w:r>
      <w:r>
        <w:lastRenderedPageBreak/>
        <w:t>que, de ser cierto el entramado de arbitrariedades que se denuncian en la demanda de amparo y que se exponen para justificar la especial trascendencia constitucional del recurso, el recurrente debería haber acudido a la jurisdicción penal, ejerciendo las acciones oportunas contra las personas responsables. Los letrados afirman, asimismo, que, dado que el recurso no goza de especial trascendencia constitucional, se pone en práctica una estrategia procesal que comprende la denuncia de arbitrariedad para intentar justificar, sin éxito, dicha trascendencia.</w:t>
      </w:r>
    </w:p>
    <w:p w:rsidR="0085709A" w:rsidRDefault="0085709A" w:rsidP="0085709A">
      <w:pPr>
        <w:pStyle w:val="TextoNormal"/>
      </w:pPr>
    </w:p>
    <w:p w:rsidR="0085709A" w:rsidRDefault="0085709A" w:rsidP="0085709A">
      <w:pPr>
        <w:pStyle w:val="TextoNormal"/>
      </w:pPr>
      <w:r>
        <w:t xml:space="preserve">Sobre los motivos sustantivos o de fondo del recurso, y comenzando con las comparecencias inadmitidas, los letrados alegan que los acuerdos de la Mesa se ajustan a Derecho en virtud de lo dispuesto en el art. 49.1.c RAM y están debidamente motivados, sin que se hayan cercenado las facultades de los parlamentarios incardinadas en el seno del </w:t>
      </w:r>
      <w:r w:rsidRPr="0085709A">
        <w:rPr>
          <w:i/>
        </w:rPr>
        <w:t>ius in officium</w:t>
      </w:r>
      <w:r>
        <w:t xml:space="preserve"> del artículo 23 CE, al entender que queda suficientemente motivada la inadmisión. Más en concreto, consideran que las comparecencias que se inadmiten versan sobre materias que no son de la competencia de la Asamblea de Madrid, sino de las Cortes Generales, razón que entienden suficiente para justifica la inadmisión a trámite.</w:t>
      </w:r>
    </w:p>
    <w:p w:rsidR="0085709A" w:rsidRDefault="0085709A" w:rsidP="0085709A">
      <w:pPr>
        <w:pStyle w:val="TextoNormal"/>
      </w:pPr>
    </w:p>
    <w:p w:rsidR="0085709A" w:rsidRDefault="0085709A" w:rsidP="0085709A">
      <w:pPr>
        <w:pStyle w:val="TextoNormal"/>
      </w:pPr>
      <w:r>
        <w:t>En relación con las preguntas formuladas e inadmitidas por la Mesa, los Letrados de la Asamblea de Madrid aducen que la pregunta dirigida al Presidente del Gobierno de la Comunidad, relativa a si “considera que en la Comunidad de Madrid se ha realizado una reforma radical de la Administración”, excede de las competencias de la Comunidad, pues entienden que a la Asamblea le corresponde una labor de control del Consejo de Gobierno de la Comunidad y tal pregunta se sitúa en el ámbito estatal. Respecto de la inadmisión de la pregunta dirigida al Gobierno de la Comunidad para que explique si conoce las razones por las que Las Vegas Sands no ha presentado a esta fecha su oferta sobre Eurovegas, entienden que dicho acuerdo está perfectamente justificado porque la pregunta se refiere a una materia que depende de la exclusiva voluntad de la referida empresa, quedando al margen de la competencia de la Comunidad de Madrid.</w:t>
      </w:r>
    </w:p>
    <w:p w:rsidR="0085709A" w:rsidRDefault="0085709A" w:rsidP="0085709A">
      <w:pPr>
        <w:pStyle w:val="TextoNormal"/>
      </w:pPr>
    </w:p>
    <w:p w:rsidR="0085709A" w:rsidRDefault="0085709A" w:rsidP="0085709A">
      <w:pPr>
        <w:pStyle w:val="TextoNormal"/>
      </w:pPr>
      <w:r>
        <w:t>Por último, y en relación con la proposición no de ley rechazada, los Letrados de la Asamblea de Madrid sostienen que el acuerdo de inadmisión está perfectamente motivado, toda vez que se remite a un informe jurídico dictado con ocasión de otra iniciativa presentada por el Grupo Parlamentario recurrente. También alegan que la materia que se plantea no pertenece a la competencia de la Comunidad de Madrid, porque Bankia no tiene naturaleza de caja de ahorros, sino que se trata de una sociedad anónima inscrita en el registro especial del Banco de España y, finalmente, que de los arts. 9, 12 y 16 del Estatuto de Autonomía, así como del Reglamento de la Cámara, se podría derivar una interpretación según la cual se habilita a la Mesa para que pueda desarrollar un control material de este tipo de iniciativas, evitando que la Cámara tenga que pronunciarse sobre conflictos o problemas que no son de su estricta competencia o no sean producto del ejercicio de la función de impulso, orientación y control de la acción de Gobierno.</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15 de enero de 2015 se señaló para la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Como se ha expuesto con mayor detalle en los antecedentes de esta Sentencia, el recurso de amparo se dirige contra una serie de acuerdos de la Mesa de la Asamblea de Madrid, por los que se inadmitieron diversas iniciativas parlamentarias presentadas por el portavoz del Grupo Parlamentario de Unión, Progreso y Democracia.</w:t>
      </w:r>
    </w:p>
    <w:p w:rsidR="0085709A" w:rsidRDefault="0085709A" w:rsidP="0085709A">
      <w:pPr>
        <w:pStyle w:val="TextoNormal"/>
      </w:pPr>
    </w:p>
    <w:p w:rsidR="0085709A" w:rsidRDefault="0085709A" w:rsidP="0085709A">
      <w:pPr>
        <w:pStyle w:val="TextoNormal"/>
      </w:pPr>
      <w:r>
        <w:t>El demandante de amparo considera que los acuerdos impugnados vulneran el derecho de 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dichos acuerdos de inadmisión han impedido de forma arbitraria la tramitación de dos comparecencias, la formulación de dos preguntas y la tramitación y toma de postura sobre una proposición no de ley, iniciativas que forman parte del núcleo esencial de la función representativa, toda vez que en el Reglamento de la Cámara no existe disposición alguna que autorice a la Mesa, en esta fase del procedimiento, a actuar de filtro de dichas iniciativas parlamentarias más allá de una estricta y rigurosa fiscalización de sus elementos formales, de modo que, como se expone con más detenimiento en los antecedentes de esta Sentencia, el recurrente entiende que los motivos esgrimidos por la Mesa de la Cámara para inadmitir la referidas iniciativas, además de ser insuficientes, exceden del ámbito de control que tiene atribuido el órgano rector, por cuanto tienen que ver con valoraciones jurídicas de oportunidad, impidiendo la tramitación de iniciativas parlamentarias correctamente planteadas, hasta el punto de erigirse en un obstáculo para el ejercicio de la función representativa por haber impedido el debate sobre asuntos de indudable interés público.</w:t>
      </w:r>
    </w:p>
    <w:p w:rsidR="0085709A" w:rsidRDefault="0085709A" w:rsidP="0085709A">
      <w:pPr>
        <w:pStyle w:val="TextoNormal"/>
      </w:pPr>
    </w:p>
    <w:p w:rsidR="0085709A" w:rsidRDefault="0085709A" w:rsidP="0085709A">
      <w:pPr>
        <w:pStyle w:val="TextoNormal"/>
      </w:pPr>
      <w:r>
        <w:t>El Ministerio Fiscal interesa que se dicte Sentencia estimando el recurso de amparo y que se declare la nulidad de todas las resoluciones recurridas, por haber vulnerado el derecho del recurrente a ejercer en condiciones de igualdad el cargo público representativo reconocido en el art. 23.2 CE, de acuerdo con las razones expuestas de forma más detallada en los antecedentes de esta Sentencia.</w:t>
      </w:r>
    </w:p>
    <w:p w:rsidR="0085709A" w:rsidRDefault="0085709A" w:rsidP="0085709A">
      <w:pPr>
        <w:pStyle w:val="TextoNormal"/>
      </w:pPr>
    </w:p>
    <w:p w:rsidR="0085709A" w:rsidRDefault="0085709A" w:rsidP="0085709A">
      <w:pPr>
        <w:pStyle w:val="TextoNormal"/>
      </w:pPr>
      <w:r>
        <w:t>La Asamblea de Madrid formuló alegaciones solicitando la inadmisión a trámite del recurso por no concurrir los presupuestos procesales exigidos al haberse efectuado una indebida acumulación de iniciativas parlamentarias de distinto género y materia que han sido objeto de tratamiento en sesiones distintas de la Mesa y, en su defecto, solicita que este Tribunal acuerde que el recurso de amparo no es susceptible de admisión por carecer de la trascendencia constitucional requerida, en los términos exigidos por los artículos 49.1 y 50.1 Ley Orgánica del Tribunal Constitucional (LOTC). Subsidiariamente la representación procesal de la Asamblea de Madrid solicita que se dicte Sentencia denegando el amparo, al no haber existido vulneración de los derechos fundamentales reconocidos en el art. 23 CE, por las razones que han quedado expuestas en los antecedentes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en el fondo de las cuestiones suscitadas en este proceso, es necesario examinar las objeciones de inadmisibilidad alegadas por la representación procesal de la Asamblea de Madrid. En este sentido debemos señalar, en primer lugar, que ningún problema constitucional se deriva de la acumulación en una misma demanda de varias denun</w:t>
      </w:r>
      <w:r>
        <w:lastRenderedPageBreak/>
        <w:t xml:space="preserve">cias relativas a la vulneración de los derechos recogidos en el art. 23 CE durante la tramitación de diferentes iniciativas parlamentarias (aunque no tengan la misma naturaleza, como es el caso) siempre que, con respecto a cada una de ellas, se observen los requisitos de procedibilidad correspondientes, pues la línea argumental de todo el recurso es similar, al versar sobre la restricción de las facultades integradas en el </w:t>
      </w:r>
      <w:r w:rsidRPr="0085709A">
        <w:rPr>
          <w:i/>
        </w:rPr>
        <w:t>ius in officium</w:t>
      </w:r>
      <w:r>
        <w:t xml:space="preserve"> de los representantes políticos (SSTC 74/2009, de 23 de marzo, FJ 2, y 33/2010, de 19 de julio, FJ 3, entre otras).</w:t>
      </w:r>
    </w:p>
    <w:p w:rsidR="0085709A" w:rsidRDefault="0085709A" w:rsidP="0085709A">
      <w:pPr>
        <w:pStyle w:val="TextoNormal"/>
      </w:pPr>
    </w:p>
    <w:p w:rsidR="0085709A" w:rsidRDefault="0085709A" w:rsidP="0085709A">
      <w:pPr>
        <w:pStyle w:val="TextoNormal"/>
      </w:pPr>
      <w:r>
        <w:t>En segundo lugar, y en relación con la especial trascendencia constitucional del recurso, de las alegaciones de los Letrados de la Asamblea de Madrid se desprende, por un lado, que consideran que la demanda adolece de una insuficiente justificación de la especial trascendencia constitucional (</w:t>
      </w:r>
      <w:r w:rsidRPr="0085709A">
        <w:rPr>
          <w:i/>
        </w:rPr>
        <w:t>ex</w:t>
      </w:r>
      <w:r>
        <w:t xml:space="preserve"> art. 49.1 LOTC) y, por otro, que estamos ante un recurso que carece de especial trascendencia constitucional [</w:t>
      </w:r>
      <w:r w:rsidRPr="0085709A">
        <w:rPr>
          <w:i/>
        </w:rPr>
        <w:t>ex</w:t>
      </w:r>
      <w:r>
        <w:t xml:space="preserve"> art. 50.1 b) LOTC]. Con respecto al cumplimiento de la carga del demandante de justificar la especial trascendencia constitucional del recurso debemos señalar que, tal y como ha quedado reflejado en los antecedentes de esta Sentencia, el demandante hace un esfuerzo argumental tendente a disociar los argumentos dirigidos a evidenciar la existencia de la lesión del derecho fundamental y los razonamientos específicamente dirigidos a justificar que el recurso presenta especial trascendencia constitucional (STC 17/2011, de 28 de febrero, FJ 2), cumpliendo así con el requisito derivado del art. 49.1 LOTC. Por lo que se refiere a la exigencia material de la especial trascendencia constitucional del recurso de amparo, debemos recordar que se trata de un requisito que sólo corresponde valorar a este Tribunal, </w:t>
      </w:r>
      <w:r w:rsidRPr="0085709A">
        <w:rPr>
          <w:i/>
        </w:rPr>
        <w:t>ex</w:t>
      </w:r>
      <w:r>
        <w:t xml:space="preserve"> art. 50.1 b) LOTC, atendiendo para ello a los tres criterios que en el precepto se enuncian (STC 155/2009, de 25 de junio, FJ 2).</w:t>
      </w:r>
    </w:p>
    <w:p w:rsidR="0085709A" w:rsidRDefault="0085709A" w:rsidP="0085709A">
      <w:pPr>
        <w:pStyle w:val="TextoNormal"/>
      </w:pPr>
    </w:p>
    <w:p w:rsidR="0085709A" w:rsidRDefault="0085709A" w:rsidP="0085709A">
      <w:pPr>
        <w:pStyle w:val="TextoNormal"/>
      </w:pPr>
      <w:r>
        <w:t xml:space="preserve">En este sentido, los amparos parlamentarios, </w:t>
      </w:r>
      <w:r w:rsidRPr="0085709A">
        <w:rPr>
          <w:i/>
        </w:rPr>
        <w:t>ex</w:t>
      </w:r>
      <w:r>
        <w:t xml:space="preserve">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85709A">
        <w:rPr>
          <w:i/>
        </w:rPr>
        <w:t>interna corporis acta</w:t>
      </w:r>
      <w:r>
        <w:t xml:space="preserve">, según la cual los actos de calificación y admisión de iniciativas parlamentarias no son objeto de fiscalización por los tribunales ordinarios. Esta circunstancia ha de conjugarse con el ejercicio del </w:t>
      </w:r>
      <w:r w:rsidRPr="0085709A">
        <w:rPr>
          <w:i/>
        </w:rPr>
        <w:t>ius in officium</w:t>
      </w:r>
      <w:r>
        <w:t xml:space="preserve">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respecto de la valoración de la especial trascendencia constitucional por parte de este Tribunal (STC 155/2009, FJ 2), dada la repercusión general que tiene el ejercicio de la función representativa y que excede del ámbito particular del parlamentario y del grupo en el que se integra. Por otra parte, el presente recurso se inserta en una serie de demandas de amparo presentadas por el mismo recurrente, en las que se denuncia un proceder continuado del órgano rector de la Asamblea de Madrid lesivo del derecho fundamental cuya tutela se reclama y que justificaría la intervención de este Tribunal.</w:t>
      </w:r>
    </w:p>
    <w:p w:rsidR="0085709A" w:rsidRDefault="0085709A" w:rsidP="0085709A">
      <w:pPr>
        <w:pStyle w:val="TextoNormal"/>
      </w:pPr>
    </w:p>
    <w:p w:rsidR="0085709A" w:rsidRDefault="0085709A" w:rsidP="0085709A">
      <w:pPr>
        <w:pStyle w:val="TextoNormal"/>
      </w:pPr>
      <w:r>
        <w:t>Por lo expuesto, las dos causas de inadmisión anteriormente referidas y aducidas por los Letrados de la Asamblea de Madrid deben ser rechazadas.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Entrando ya en el análisis de fondo del recurso de amparo, la cuestión suscitada se contrae a determinar si los acuerdos de la Asamblea de Madrid de no admitir a trámite las iniciativas parlamentarias que se mencionan en el encabezamiento de esta Sentencia han vulnerado el derecho del recurrente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para ponerla en conexión con la potestad de la Mesa de la Cámara de calificar y admitir o no a trámite las iniciativas parlamentarias, recogida y perfilada, entre otras muchas, en las SSTC 38/1999, de 22 de marzo, FFJJ 2 y 3; 107/2001, de 23 de abril, FJ 3; 203/2001, de 15 de octubre, FFJJ 2 y 3; 177/2002, de 14 de octubre, FJ 3; 40/2003, de 27 de febrero, FJ 2, y 78/2006, de 13 de marzo, FJ 3.</w:t>
      </w:r>
    </w:p>
    <w:p w:rsidR="0085709A" w:rsidRDefault="0085709A" w:rsidP="0085709A">
      <w:pPr>
        <w:pStyle w:val="TextoNormal"/>
      </w:pPr>
    </w:p>
    <w:p w:rsidR="0085709A" w:rsidRDefault="0085709A" w:rsidP="0085709A">
      <w:pPr>
        <w:pStyle w:val="TextoNormal"/>
      </w:pPr>
      <w:r>
        <w:t xml:space="preserve">Tal como proclama la citada STC 40/2003, FJ 2,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FJ 2, entre otras). Esta garantía añadida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FJ 3 y 40/2003, FJ 2) … Sin embargo, hemos precisado que no cualquier acto del órgano parlamentario que infrinja la legalidad del </w:t>
      </w:r>
      <w:r w:rsidRPr="0085709A">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w:t>
      </w:r>
      <w:r w:rsidRPr="0085709A">
        <w:rPr>
          <w:i/>
        </w:rPr>
        <w:t>ex</w:t>
      </w:r>
      <w:r>
        <w:t xml:space="preserve"> art. 23.1 CE (SSTC 38/1999, FJ 2; 107/2001, FJ 3 y 40/2003, FJ 2, entre otras muchas)”.</w:t>
      </w:r>
    </w:p>
    <w:p w:rsidR="0085709A" w:rsidRDefault="0085709A" w:rsidP="0085709A">
      <w:pPr>
        <w:pStyle w:val="TextoNormal"/>
      </w:pPr>
    </w:p>
    <w:p w:rsidR="0085709A" w:rsidRDefault="0085709A" w:rsidP="0085709A">
      <w:pPr>
        <w:pStyle w:val="TextoNormal"/>
      </w:pPr>
      <w:r>
        <w:t xml:space="preserve">Asimismo hemos recordado que no vulnera aquel </w:t>
      </w:r>
      <w:r w:rsidRPr="0085709A">
        <w:rPr>
          <w:i/>
        </w:rPr>
        <w:t>ius in officium</w:t>
      </w:r>
      <w:r>
        <w:t xml:space="preserve">, el ejercicio de la función de control por las mesas de las cámaras, estatales o autonómicas, sobre los escritos y documentos parlamentarios, “siempre que tras ese examen de la iniciativa a la luz del canon normativo del Reglamento parlamentario no se esconda un juicio sobre la oportunidad política” (STC 40/2003, FJ 2). Únicamente puede existir un control material cuando la limitación venga establecida en la propia Constitución, las leyes que integran el bloque de la constitucionalidad o el reglamento parlamentario concreto de aplicación. En caso contrario </w:t>
      </w:r>
      <w:r>
        <w:lastRenderedPageBreak/>
        <w:t>la verificación será siempre formal, de modo que “cualquier rechazo arbitrario o no motivado causará lesión” del derecho del parlamentario, debiendo tenerse presente también “el principio de interpretación más favorable a la eficacia de los derechos fundamentales, que ha sido afirmado por este Tribunal también en relación con el art. 23.2 CE (SSTC 177/2002, FJ 3 y 40/2003, FJ 2)” [STC 201/2014, de 15 de diciembre, FJ 3].</w:t>
      </w:r>
    </w:p>
    <w:p w:rsidR="0085709A" w:rsidRDefault="0085709A" w:rsidP="0085709A">
      <w:pPr>
        <w:pStyle w:val="TextoNormal"/>
      </w:pPr>
    </w:p>
    <w:p w:rsidR="0085709A" w:rsidRDefault="0085709A" w:rsidP="0085709A">
      <w:pPr>
        <w:pStyle w:val="TextoNormal"/>
      </w:pPr>
      <w:r w:rsidRPr="0085709A">
        <w:rPr>
          <w:rStyle w:val="NumeroAFNegritaCaracter"/>
        </w:rPr>
        <w:t>4</w:t>
      </w:r>
      <w:r>
        <w:t>. Sentada esta doctrina de carácter general, hemos de proceder al análisis de las lesiones alegadas, teniendo en cuenta la normativa configuradora de la potestad de la Mesa de la Cámara de calificar y admitir o no a trámite los escritos y documentos de índole parlamentaria que, en este caso, está constituida por el Estatuto de Autonomía de la Comunidad de Madrid y por el Reglamento de la Asamblea de Madrid.</w:t>
      </w:r>
    </w:p>
    <w:p w:rsidR="0085709A" w:rsidRDefault="0085709A" w:rsidP="0085709A">
      <w:pPr>
        <w:pStyle w:val="TextoNormal"/>
      </w:pPr>
    </w:p>
    <w:p w:rsidR="0085709A" w:rsidRDefault="0085709A" w:rsidP="0085709A">
      <w:pPr>
        <w:pStyle w:val="TextoNormal"/>
      </w:pPr>
      <w:r>
        <w:t>El Estatuto de Autonomía, en lo que a iniciativas parlamentarias se refiere, se limita a recoger en su art. 16.2 que “el Reglamento establecerá las iniciativas parlamentarias que permitan a la Asamblea ejercer el control ordinario del Gobierno y obtener del mismo y de la Administración de la Comunidad la información precisa para el ejercicio de sus funciones”, añadiendo que el Reglamento regulará el procedimiento a seguir para la aprobación por la Asamblea, en el ejercicio de sus funciones de impulso, orientación y control de la acción de gobierno, de resoluciones o mociones de carácter no legislativo.</w:t>
      </w:r>
    </w:p>
    <w:p w:rsidR="0085709A" w:rsidRDefault="0085709A" w:rsidP="0085709A">
      <w:pPr>
        <w:pStyle w:val="TextoNormal"/>
      </w:pPr>
    </w:p>
    <w:p w:rsidR="0085709A" w:rsidRDefault="0085709A" w:rsidP="0085709A">
      <w:pPr>
        <w:pStyle w:val="TextoNormal"/>
      </w:pPr>
      <w:r>
        <w:t>Comenzando por el análisis de las comparecencias rechazadas, debemos señalar, en primer lugar, que el art 49.1 c) del Reglamento de la Asamblea de Madrid (RAM), en el que se basan expresamente los acuerdos iniciales de inadmisión impugnados, establece que corresponde a la Mesa de la Asamblea “calificar los escritos y documentos de índole parlamentaria, resolver sobre la admisión o inadmisión a trámite de los mismos y decidir su tramitación, con arreglo en todo caso a lo dispuesto en el presente Reglamento”, siendo en esta primera fase de calificación y admisión a trámite en la que hay que situar el análisis de los acuerdos recurridos. Por otra parte, estamos ante comparecencias que se solicitan en aplicación del art. 211 RAM, que dispone: “otras entidades o personas podrán comparecer ante las Comisiones a efectos de informe y asesoramiento sobre materias de competencia o interés de la Comunidad de Madrid por acuerdo de la Comisión competente en ejercicio de las facultades previstas en el artículo 70.1 e) de este Reglamento, a iniciativa de un Grupo Parlamentario o de la quinta parte de los Diputados miembros de la Comisión correspondiente”. En consecuencia, a la vista de los preceptos reproducidos, a la Mesa, en esta fase del procedimiento parlamentario [</w:t>
      </w:r>
      <w:r w:rsidRPr="0085709A">
        <w:rPr>
          <w:i/>
        </w:rPr>
        <w:t>ex</w:t>
      </w:r>
      <w:r>
        <w:t xml:space="preserve"> art. 49.1 c) RAM], le corresponde analizar los requisitos de legitimación, sin que pueda rechazar </w:t>
      </w:r>
      <w:r w:rsidRPr="0085709A">
        <w:rPr>
          <w:i/>
        </w:rPr>
        <w:t>a limine</w:t>
      </w:r>
      <w:r>
        <w:t xml:space="preserve"> la solicitud de admisión a trámite mediante argumentos de índole material, facultad ésta que reside en la comisión competente o, de acuerdo con la delegación prevista en el art. 70.2 RAM, en la mesa de la comisión competente.</w:t>
      </w:r>
    </w:p>
    <w:p w:rsidR="0085709A" w:rsidRDefault="0085709A" w:rsidP="0085709A">
      <w:pPr>
        <w:pStyle w:val="TextoNormal"/>
      </w:pPr>
    </w:p>
    <w:p w:rsidR="0085709A" w:rsidRDefault="0085709A" w:rsidP="0085709A">
      <w:pPr>
        <w:pStyle w:val="TextoNormal"/>
      </w:pPr>
      <w:r>
        <w:t xml:space="preserve">En segundo término, “debemos recordar que este Tribunal se ha ocupado ya en otras ocasiones de la naturaleza de la facultad parlamentaria de instar la comparecencia de determinadas personas, así como de su régimen jurídico. Con carácter general, hay que entender que estas iniciativas, cuando, como sucede en este caso, aparecen previstas en el Reglamento de la Cámara, se integran en el </w:t>
      </w:r>
      <w:r w:rsidRPr="0085709A">
        <w:rPr>
          <w:i/>
        </w:rPr>
        <w:t>ius in officium</w:t>
      </w:r>
      <w:r>
        <w:t xml:space="preserve"> del representante. En concreto y respecto a las solicitudes de comparecencia que aparecen previstas en las normas o usos parlamentarios, hemos destacado que, en cuanto su finalidad sea el control del Gobierno, dicha </w:t>
      </w:r>
      <w:r>
        <w:lastRenderedPageBreak/>
        <w:t>facultad ha de entenderse incluida dentro del núcleo básico de la función parlamentaria garantizado por el art. 23.2 CE (SSTC 177/2002, de 14 de octubre, FJ 5; 208/2003 de 1 de diciembre, FJ 5, y 33/2010, de 19 de junio, FJ 5). Por ello, como dijimos en el ATC 181/2003, de 2 de junio, FJ 2,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la STC 177/2002, de 14 de octubre, FJ 3).</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De acuerdo con lo que se viene de exponer, se está ya en condiciones de analizar los acuerdos de la Mesa de la Asamblea que inadmitieron las dos solicitudes de comparecencia presentadas por el Grupo Parlamentario de Unión Progreso y Democracia, reproducidas en los antecedentes de esta Sentencia. De acuerdo con la normativa reproducida, la solicitud de las dos comparecencias rechazadas cuenta con cobertura reglamentaria, sin que el órgano rector de la Cámara pueda rechazar </w:t>
      </w:r>
      <w:r w:rsidRPr="0085709A">
        <w:rPr>
          <w:i/>
        </w:rPr>
        <w:t>a limine</w:t>
      </w:r>
      <w:r>
        <w:t xml:space="preserve"> su tramitación, salvo que la iniciativa se ejerza con manifiesta inobservancia de los trámites reglamentarios previstos o no tenga encaje normativo, lo que evidentemente no es el caso.</w:t>
      </w:r>
    </w:p>
    <w:p w:rsidR="0085709A" w:rsidRDefault="0085709A" w:rsidP="0085709A">
      <w:pPr>
        <w:pStyle w:val="TextoNormal"/>
      </w:pPr>
    </w:p>
    <w:p w:rsidR="0085709A" w:rsidRDefault="0085709A" w:rsidP="0085709A">
      <w:pPr>
        <w:pStyle w:val="TextoNormal"/>
      </w:pPr>
      <w:r>
        <w:t>Así, con apoyo en el art. 211.1 RAM, se solicita la presencia del compareciente ante la Comisión de Medio Ambiente y Ordenación del territorio, con explícita declaración de que el objeto de sendas comparecencias reside en solicitar información sobre la propuesta de plan hidrológico, así como el de la Directiva marco del agua y sus respectivos impactos en la Comunidad de Madrid, siendo una materia de actualidad y que afecta directamente a la Comunidad Autónoma. En este sentido, el recurrente insiste en que resulta evidente que la comparecencia no va dirigida al control de la actuación del Presidente de la Confederación Hidrográfica del Tajo, ni del Ministerio competente, sino que sólo busca obtener información (en los términos previstos en el art. 211.1 RAM) a fin de llevar a cabo la labor de fiscalización del Gobierno de la Comunidad de Madrid en la gestión del agua. Estos extremos también fueron expuestos en el escrito de reconsideración interpuesto ante la Mesa.</w:t>
      </w:r>
    </w:p>
    <w:p w:rsidR="0085709A" w:rsidRDefault="0085709A" w:rsidP="0085709A">
      <w:pPr>
        <w:pStyle w:val="TextoNormal"/>
      </w:pPr>
    </w:p>
    <w:p w:rsidR="0085709A" w:rsidRDefault="0085709A" w:rsidP="0085709A">
      <w:pPr>
        <w:pStyle w:val="TextoNormal"/>
      </w:pPr>
      <w:r>
        <w:t xml:space="preserve">En consecuencia y como con razón indica el Fiscal, lo procedente por parte de la Mesa de la Asamblea, en aplicación del Reglamento, era dar curso a las solicitudes de comparecencia, remitiéndolas a la mesa de las correspondientes comisiones para que fueran los órganos parlamentarios destinatarios de las mismas los que decidieran, tras el oportuno debate y votación, su formalización o no. Con inobservancia del Reglamento parlamentario (art. 211.1 RAM), el órgano rector de la Asamblea ha obstaculizado el ejercicio de una facultad que la norma atribuye a los representantes y que está integrada en el marco funcional del </w:t>
      </w:r>
      <w:r w:rsidRPr="0085709A">
        <w:rPr>
          <w:i/>
        </w:rPr>
        <w:t>status</w:t>
      </w:r>
      <w:r>
        <w:t xml:space="preserve"> de los parlamentarios garantizado por el art. 23.2 CE, y, fuera de toda lógica, tanto formal, como material, rechaza la tramitación de sendas solicitudes “por depender el compareciente del Ministerio de Agricultura, Alimentación y Medio Ambiente”. Así, los acuerdos recurridos se fundan en una comprensión restrictiva de las posibilidades de solicitud de comparecencia ante las comisiones permanentes “que no respeta adecuadamente el núcleo esencial del derecho de representación política, por cuanto supone formular un juicio sobre la improcedencia de la comparecencia que no puede admitirse que tenga amparo en el texto del Reglamento de la Cámara ni, en consecuencia, que responda a una interpretación más favorable de la eficacia del derecho fundamental en juego” (STC 191/2013, FJ 5).</w:t>
      </w:r>
    </w:p>
    <w:p w:rsidR="0085709A" w:rsidRDefault="0085709A" w:rsidP="0085709A">
      <w:pPr>
        <w:pStyle w:val="TextoNormal"/>
      </w:pPr>
    </w:p>
    <w:p w:rsidR="0085709A" w:rsidRDefault="0085709A" w:rsidP="0085709A">
      <w:pPr>
        <w:pStyle w:val="TextoNormal"/>
      </w:pPr>
      <w:r>
        <w:lastRenderedPageBreak/>
        <w:t>Por otra parte, en los acuerdos que desestiman la reconsideración formulada en relación con las comparecencias rechazadas, la Mesa se limita a reiterar los motivos de inadmisión anteriormente expuestos, sin dar respuesta a las alegaciones concretas elevadas por la parte recurrente, por lo que debemos insistir en el deber de los órganos parlamentarios de motivar expresa, suficiente y adecuadamente la aplicación de las normas cuando pueda resultar de la misma una limitación al ejercicio de aquellos derechos y facultades que integran el estatus constitucionalmente relevante de los representantes políticos (SSTC 38/1999, FJ 2; 107/2001, FJ 7; 203/2001, FJ 3; 277/2002, de 14 de octubre, FJ 5 y 40/2003, FJ 6).</w:t>
      </w:r>
    </w:p>
    <w:p w:rsidR="0085709A" w:rsidRDefault="0085709A" w:rsidP="0085709A">
      <w:pPr>
        <w:pStyle w:val="TextoNormal"/>
      </w:pPr>
    </w:p>
    <w:p w:rsidR="0085709A" w:rsidRDefault="0085709A" w:rsidP="0085709A">
      <w:pPr>
        <w:pStyle w:val="TextoNormal"/>
      </w:pPr>
      <w:r>
        <w:t>De todo ello resulta que los acuerdos impugnados, al no haber admitido a trámite las comparecencias solicitadas, han cercenado indebidamente el derecho del Grupo Parlamentario de Unión Progreso y Democracia a ejercer, sin traba ilegítima alguna, las funciones que el Reglamento de la Cámara le confiere, no pudiendo dejar de reiterar que la facultad de solicitar comparecencias pertenece al núcleo de la función representativa parlamentaria (art. 23.2 CE), como ya se ha expuesto.</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En cuanto a los acuerdos que inadmitieron sendas preguntas de respuesta oral en el Pleno, el Reglamento de la Asamblea de Madrid se limita a disponer, en el art. 191: </w:t>
      </w:r>
    </w:p>
    <w:p w:rsidR="0085709A" w:rsidRDefault="0085709A" w:rsidP="0085709A">
      <w:pPr>
        <w:pStyle w:val="TextoNormal"/>
      </w:pPr>
    </w:p>
    <w:p w:rsidR="0085709A" w:rsidRDefault="0085709A" w:rsidP="0085709A">
      <w:pPr>
        <w:pStyle w:val="TextoNormal"/>
      </w:pPr>
      <w:r>
        <w:t xml:space="preserve">“1. Los Diputados podrán formular preguntas al Consejo de Gobierno. </w:t>
      </w:r>
    </w:p>
    <w:p w:rsidR="0085709A" w:rsidRDefault="0085709A" w:rsidP="0085709A">
      <w:pPr>
        <w:pStyle w:val="TextoNormal"/>
      </w:pPr>
    </w:p>
    <w:p w:rsidR="0085709A" w:rsidRDefault="0085709A" w:rsidP="0085709A">
      <w:pPr>
        <w:pStyle w:val="TextoNormal"/>
      </w:pPr>
      <w:r>
        <w:t>2. Los Diputados, con el visto bueno del Portavoz del Grupo Parlamentario respectivo, podrán formular preguntas de respuesta oral en Pleno directamente al Presidente del Consejo de Gobierno.”</w:t>
      </w:r>
    </w:p>
    <w:p w:rsidR="0085709A" w:rsidRDefault="0085709A" w:rsidP="0085709A">
      <w:pPr>
        <w:pStyle w:val="TextoNormal"/>
      </w:pPr>
    </w:p>
    <w:p w:rsidR="0085709A" w:rsidRDefault="0085709A" w:rsidP="0085709A">
      <w:pPr>
        <w:pStyle w:val="TextoNormal"/>
      </w:pPr>
      <w:r>
        <w:t xml:space="preserve">Asimismo, el art. 192 RAM estatuye: </w:t>
      </w:r>
    </w:p>
    <w:p w:rsidR="0085709A" w:rsidRDefault="0085709A" w:rsidP="0085709A">
      <w:pPr>
        <w:pStyle w:val="TextoNormal"/>
      </w:pPr>
    </w:p>
    <w:p w:rsidR="0085709A" w:rsidRDefault="0085709A" w:rsidP="0085709A">
      <w:pPr>
        <w:pStyle w:val="TextoNormal"/>
      </w:pPr>
      <w:r>
        <w:t xml:space="preserve">“1. Las preguntas deberán presentarse por escrito ante la Mesa. </w:t>
      </w:r>
    </w:p>
    <w:p w:rsidR="0085709A" w:rsidRDefault="0085709A" w:rsidP="0085709A">
      <w:pPr>
        <w:pStyle w:val="TextoNormal"/>
      </w:pPr>
    </w:p>
    <w:p w:rsidR="0085709A" w:rsidRDefault="0085709A" w:rsidP="0085709A">
      <w:pPr>
        <w:pStyle w:val="TextoNormal"/>
      </w:pPr>
      <w:r>
        <w:t xml:space="preserve">2. El escrito no podrá contener más que la escueta y estricta formulación de una sola cuestión, interrogando sobre un hecho, una situación o una información, sobre si el Consejo de Gobierno ha tomado o va a tomar alguna providencia en relación con un asunto o si va a remitir a la Asamblea algún documento o a informarle acerca de algún extremo. </w:t>
      </w:r>
    </w:p>
    <w:p w:rsidR="0085709A" w:rsidRDefault="0085709A" w:rsidP="0085709A">
      <w:pPr>
        <w:pStyle w:val="TextoNormal"/>
      </w:pPr>
    </w:p>
    <w:p w:rsidR="0085709A" w:rsidRDefault="0085709A" w:rsidP="0085709A">
      <w:pPr>
        <w:pStyle w:val="TextoNormal"/>
      </w:pPr>
      <w:r>
        <w:t xml:space="preserve">3. La Mesa procederá a la calificación, resolución sobre la admisión o inadmisión a trámite y decisión de la tramitación de las preguntas presentadas de acuerdo con lo establecido en este artículo, comprobando en particular el cumplimiento de los requisitos siguientes: </w:t>
      </w:r>
    </w:p>
    <w:p w:rsidR="0085709A" w:rsidRDefault="0085709A" w:rsidP="0085709A">
      <w:pPr>
        <w:pStyle w:val="TextoNormal"/>
      </w:pPr>
    </w:p>
    <w:p w:rsidR="0085709A" w:rsidRDefault="0085709A" w:rsidP="0085709A">
      <w:pPr>
        <w:pStyle w:val="TextoNormal"/>
      </w:pPr>
      <w:r>
        <w:t xml:space="preserve">a) Las preguntas de respuesta por escrito a través de las que se soliciten datos, informes o documentos que, por su naturaleza, sean incluibles en el ámbito de las previsiones del artículo 18 del presente Reglamento, serán calificadas como solicitudes de información al amparo de lo dispuesto en dicho artículo. </w:t>
      </w:r>
    </w:p>
    <w:p w:rsidR="0085709A" w:rsidRDefault="0085709A" w:rsidP="0085709A">
      <w:pPr>
        <w:pStyle w:val="TextoNormal"/>
      </w:pPr>
    </w:p>
    <w:p w:rsidR="0085709A" w:rsidRDefault="0085709A" w:rsidP="0085709A">
      <w:pPr>
        <w:pStyle w:val="TextoNormal"/>
      </w:pPr>
      <w:r>
        <w:t xml:space="preserve">b) No será admitida a trámite la pregunta que sea de exclusivo interés personal de quien la formula o de cualquier otra persona singularizada, ni las que se refieran expresamente a personas que no tengan una trascendencia pública en el ámbito de la Comunidad de Madrid. </w:t>
      </w:r>
    </w:p>
    <w:p w:rsidR="0085709A" w:rsidRDefault="0085709A" w:rsidP="0085709A">
      <w:pPr>
        <w:pStyle w:val="TextoNormal"/>
      </w:pPr>
    </w:p>
    <w:p w:rsidR="0085709A" w:rsidRDefault="0085709A" w:rsidP="0085709A">
      <w:pPr>
        <w:pStyle w:val="TextoNormal"/>
      </w:pPr>
      <w:r>
        <w:lastRenderedPageBreak/>
        <w:t xml:space="preserve">c) No será admitida a trámite la pregunta en cuyos antecedentes o formulación se profirieren palabras o vertieren conceptos contrarios a las reglas de la cortesía parlamentaria. </w:t>
      </w:r>
    </w:p>
    <w:p w:rsidR="0085709A" w:rsidRDefault="0085709A" w:rsidP="0085709A">
      <w:pPr>
        <w:pStyle w:val="TextoNormal"/>
      </w:pPr>
    </w:p>
    <w:p w:rsidR="0085709A" w:rsidRDefault="0085709A" w:rsidP="0085709A">
      <w:pPr>
        <w:pStyle w:val="TextoNormal"/>
      </w:pPr>
      <w:r>
        <w:t xml:space="preserve">d) No será admitida a trámite aquella pregunta que suponga consulta de índole estrictamente jurídica. </w:t>
      </w:r>
    </w:p>
    <w:p w:rsidR="0085709A" w:rsidRDefault="0085709A" w:rsidP="0085709A">
      <w:pPr>
        <w:pStyle w:val="TextoNormal"/>
      </w:pPr>
    </w:p>
    <w:p w:rsidR="0085709A" w:rsidRDefault="0085709A" w:rsidP="0085709A">
      <w:pPr>
        <w:pStyle w:val="TextoNormal"/>
      </w:pPr>
      <w:r>
        <w:t xml:space="preserve">e) No serán admitidas a trámite las preguntas de respuesta oral que pudieran ser reiterativas de otra pregunta de respuesta oral sustanciada en el mismo período de sesiones ordinarias. </w:t>
      </w:r>
    </w:p>
    <w:p w:rsidR="0085709A" w:rsidRDefault="0085709A" w:rsidP="0085709A">
      <w:pPr>
        <w:pStyle w:val="TextoNormal"/>
      </w:pPr>
    </w:p>
    <w:p w:rsidR="0085709A" w:rsidRDefault="0085709A" w:rsidP="0085709A">
      <w:pPr>
        <w:pStyle w:val="TextoNormal"/>
      </w:pPr>
      <w:r>
        <w:t xml:space="preserve">f) En defecto de indicación expresa, se entenderá que quien formula la pregunta solicita respuesta por escrito y, si solicitara respuesta oral y no lo especificara, se entenderá que ésta ha de tener lugar en Comisión. </w:t>
      </w:r>
    </w:p>
    <w:p w:rsidR="0085709A" w:rsidRDefault="0085709A" w:rsidP="0085709A">
      <w:pPr>
        <w:pStyle w:val="TextoNormal"/>
      </w:pPr>
    </w:p>
    <w:p w:rsidR="0085709A" w:rsidRDefault="0085709A" w:rsidP="0085709A">
      <w:pPr>
        <w:pStyle w:val="TextoNormal"/>
      </w:pPr>
      <w:r>
        <w:t>g) Podrán acumularse a efectos de tramitación las preguntas de igual naturaleza relativas al mismo objeto o a objetos conexos entre sí.”</w:t>
      </w:r>
    </w:p>
    <w:p w:rsidR="0085709A" w:rsidRDefault="0085709A" w:rsidP="0085709A">
      <w:pPr>
        <w:pStyle w:val="TextoNormal"/>
      </w:pPr>
    </w:p>
    <w:p w:rsidR="0085709A" w:rsidRDefault="0085709A" w:rsidP="0085709A">
      <w:pPr>
        <w:pStyle w:val="TextoNormal"/>
      </w:pPr>
      <w:r>
        <w:t>De acuerdo con lo dispuesto en el precepto transcrito, la decisión de la Mesa no se apoya en ninguno de los límites materiales contemplados por el Reglamento de la Cámara, pues las preguntas inadmitidas, reproducidas en los antecedentes de esta Sentencia, no resultan ser una consulta jurídica, ni de interés estrictamente personal del Diputado recurrente u “otra persona singularizada”, ni contienen expresiones contrarias “a las reglas de la cortesía parlamentaria”, ni consta que pudieran ser reiterativas de otra pregunta de respuesta oral sustanciada en el mismo período de sesiones ordinarias, siendo pertinente recordar que este Tribunal ha venido sosteniendo que, “si la legalidad aplicable no impone límite material alguno a la iniciativa, la verificación de su admisibilidad ha de ser siempre formal, cuidando únicamente de que la iniciativa cumpla con los requisitos de forma que le exige esa legalidad” (STC 107/2001, FJ 3 y doctrina allí citada).</w:t>
      </w:r>
    </w:p>
    <w:p w:rsidR="0085709A" w:rsidRDefault="0085709A" w:rsidP="0085709A">
      <w:pPr>
        <w:pStyle w:val="TextoNormal"/>
      </w:pPr>
    </w:p>
    <w:p w:rsidR="0085709A" w:rsidRDefault="0085709A" w:rsidP="0085709A">
      <w:pPr>
        <w:pStyle w:val="TextoNormal"/>
      </w:pPr>
      <w:r>
        <w:t>Así, la pregunta de respuesta oral en Pleno 465-2013 fue inadmitida “por no ser su objeto competencia del Gobierno de la Comunidad de Madrid”, pero tal causa no se contempla en el Reglamento de la Asamblea como supuesto de inadmisión en el momento de la calificación y admisión a trámite de la iniciativa parlamentaria [</w:t>
      </w:r>
      <w:r w:rsidRPr="0085709A">
        <w:rPr>
          <w:i/>
        </w:rPr>
        <w:t>ex</w:t>
      </w:r>
      <w:r>
        <w:t xml:space="preserve"> art. 49.1 c)], como tampoco se contempla la inadmisión </w:t>
      </w:r>
      <w:r w:rsidRPr="0085709A">
        <w:rPr>
          <w:i/>
        </w:rPr>
        <w:t>a limine</w:t>
      </w:r>
      <w:r>
        <w:t xml:space="preserve"> por parte de la Mesa por tratarse de una materia que se escapa de la “acción del Gobierno”, tal y como ocurre con la pregunta con respuesta oral en Pleno 466-2013. Por otro lado, sin perjuicio de lo anterior y como razona el Ministerio Fiscal, la Mesa no aporta ninguna argumentación de fondo para inadmitir dichas iniciativas y para desestimar los escritos de reconsideración de los acuerdos iniciales de inadmisión. En los acuerdos que desestiman la solicitud de reconsideración de la inadmisión de las citadas preguntas por parte de la Mesa, ni se explica la falta de cobertura legal de los motivos en el que se basa las decisiones impugnadas, ni se expone ninguna razón de fondo por la que se considera que el objeto de las preguntas planteadas no es competencia del Gobierno o es ajena a la acción política del Consejo de Gobierno. Y todo ello, a pesar de que los recurrentes aportan argumentos que avalan la pertinencia de las mismas y su conexión, tanto con competencias de la Comunidad, como con la acción política del Consejo de Gobierno, lo que hace necesario insistir, una vez más, en el deber de los órganos parlamentarios de motivar expresa, suficiente y adecuadamente la aplicación de las normas cuando pueda resultar de las mismas una limitación al ejercicio de aquellos derechos y facultades que integran el </w:t>
      </w:r>
      <w:r>
        <w:lastRenderedPageBreak/>
        <w:t>estatuto constitucionalmente relevante de los representantes políticos (SSTC 38/1999, FJ 2; 107/2001, FJ 7; 203/2001, FJ 3; 277/2002, FJ 5 y 40/2003, FJ 6).</w:t>
      </w:r>
    </w:p>
    <w:p w:rsidR="0085709A" w:rsidRDefault="0085709A" w:rsidP="0085709A">
      <w:pPr>
        <w:pStyle w:val="TextoNormal"/>
      </w:pPr>
    </w:p>
    <w:p w:rsidR="0085709A" w:rsidRDefault="0085709A" w:rsidP="0085709A">
      <w:pPr>
        <w:pStyle w:val="TextoNormal"/>
      </w:pPr>
      <w:r>
        <w:t xml:space="preserve">En consecuencia, los acuerdos impugnados, al no haber admitido a trámite las preguntas formuladas, han cercenado indebidamente el derecho del recurrente a ejercer, sin traba ilegítima alguna, las funciones que el Reglamento de la Cámara le confiere, no pudiendo dejar de resaltarse que la facultad de formular preguntas de respuesta oral ante el Pleno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w:t>
      </w:r>
      <w:r w:rsidRPr="0085709A">
        <w:rPr>
          <w:i/>
        </w:rPr>
        <w:t>ius in officium</w:t>
      </w:r>
      <w:r>
        <w:t xml:space="preserve"> del representante (SSTC 225/1992, de 14 de diciembre, FJ 2; 107/2001, FJ 4; 74/2009, FJ 3, y 44/2010, FJ 4).</w:t>
      </w:r>
    </w:p>
    <w:p w:rsidR="0085709A" w:rsidRDefault="0085709A" w:rsidP="0085709A">
      <w:pPr>
        <w:pStyle w:val="TextoNormal"/>
      </w:pPr>
    </w:p>
    <w:p w:rsidR="0085709A" w:rsidRDefault="0085709A" w:rsidP="0085709A">
      <w:pPr>
        <w:pStyle w:val="TextoNormal"/>
      </w:pPr>
      <w:r w:rsidRPr="0085709A">
        <w:rPr>
          <w:rStyle w:val="NumeroAFNegritaCaracter"/>
        </w:rPr>
        <w:t>7</w:t>
      </w:r>
      <w:r>
        <w:t>. Por último, corresponde analizar el acuerdo de la Mesa de la Asamblea de Madrid de 13 de mayo de 2013, que inadmitió a trámite la proposición no de ley presentada por el Grupo Parlamentario de Unión Progreso y Democracia, argumentando que “el Consejo de Gobierno de la Comunidad de Madrid carece de competencias sobre la materia objeto de la iniciativa, por no ser viable el ejercicio de las funciones de impulso, orientación y control del Gobierno”, así como el acuerdo de 10 de junio de 2013, que desestimó el escrito de reconsideración y que se limitó a reiterar la causa de inadmisión ya expresada en el acuerdo inicial de inadmisión, sin hacer ninguna referencia o consideración respecto de las razones aducidas por los recurrentes en el escrito de reconsideración.</w:t>
      </w:r>
    </w:p>
    <w:p w:rsidR="0085709A" w:rsidRDefault="0085709A" w:rsidP="0085709A">
      <w:pPr>
        <w:pStyle w:val="TextoNormal"/>
      </w:pPr>
    </w:p>
    <w:p w:rsidR="0085709A" w:rsidRDefault="0085709A" w:rsidP="0085709A">
      <w:pPr>
        <w:pStyle w:val="TextoNormal"/>
      </w:pPr>
      <w:r>
        <w:t>El art. 205 RAM confiere a los grupos parlamentarios la facultad de “presentar proposiciones no de ley a través de las cuales formulen propuestas de resolución a la Asamblea” y, en cuanto a su formulación, el art. 206 RAM únicamente dispone su presentación por escrito y la oportuna calificación y admisión a trámite por parte de la Mesa de la Cámara, previendo su tramitación en el Pleno o Comisión correspondiente, a solicitud del proponente y de la importancia del asunto. La previsión normativa se completa con la posible acumulación de este tipo de iniciativas, a los efectos de su tramitación, cuando su objeto sea el mismo o semejante. En definitiva, de dicha regulación se colige que el papel que corresponde desempeñar a la Mesa en el ejercicio de su función de calificación y admisión a trámite respecto de las proposiciones no de ley [</w:t>
      </w:r>
      <w:r w:rsidRPr="0085709A">
        <w:rPr>
          <w:i/>
        </w:rPr>
        <w:t>ex</w:t>
      </w:r>
      <w:r>
        <w:t xml:space="preserve"> art. 49.1 c) RAM] se ciñe a la verificación de los requisitos formales reglamentariamente establecidos, sin que se extienda también al examen del contenido material de la iniciativa, toda vez que el Reglamento de la Cámara no le otorga dicha facultad.</w:t>
      </w:r>
    </w:p>
    <w:p w:rsidR="0085709A" w:rsidRDefault="0085709A" w:rsidP="0085709A">
      <w:pPr>
        <w:pStyle w:val="TextoNormal"/>
      </w:pPr>
    </w:p>
    <w:p w:rsidR="0085709A" w:rsidRDefault="0085709A" w:rsidP="0085709A">
      <w:pPr>
        <w:pStyle w:val="TextoNormal"/>
      </w:pPr>
      <w:r>
        <w:t xml:space="preserve">Hemos de recordar, asimismo, que la relevancia de las proposiciones no de ley para el </w:t>
      </w:r>
      <w:r w:rsidRPr="0085709A">
        <w:rPr>
          <w:i/>
        </w:rPr>
        <w:t>ius in officium</w:t>
      </w:r>
      <w:r>
        <w:t xml:space="preserve"> de los representantes ha sido reconocida reiteradamente por la doctrina de este Tribunal, insistiendo en que se trata de una facultad que pertenece al núcleo de la función representativa parlamentaria y que se configura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w:t>
      </w:r>
      <w:r>
        <w:lastRenderedPageBreak/>
        <w:t>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FJ 7 y 78/2006, FJ 3).</w:t>
      </w:r>
    </w:p>
    <w:p w:rsidR="0085709A" w:rsidRDefault="0085709A" w:rsidP="0085709A">
      <w:pPr>
        <w:pStyle w:val="TextoNormal"/>
      </w:pPr>
    </w:p>
    <w:p w:rsidR="0085709A" w:rsidRDefault="0085709A" w:rsidP="0085709A">
      <w:pPr>
        <w:pStyle w:val="TextoNormal"/>
      </w:pPr>
      <w:r>
        <w:t xml:space="preserve">Como se ha expuesto, ninguna restricción material se deriva del art. 16.2 del Estatuto de Autonomía de la Comunidad de Madrid, ni del art. 205 RAM para la presentación de este tipo de iniciativas y, por consiguiente, no existe disposición alguna que proscriba </w:t>
      </w:r>
      <w:r w:rsidRPr="0085709A">
        <w:rPr>
          <w:i/>
        </w:rPr>
        <w:t>a limine</w:t>
      </w:r>
      <w:r>
        <w:t>, en aplicación del art. 49.1 c) de esta última norma, la admisión a trámite de proposiciones no de ley en función del contenido material de las mismas.</w:t>
      </w:r>
    </w:p>
    <w:p w:rsidR="0085709A" w:rsidRDefault="0085709A" w:rsidP="0085709A">
      <w:pPr>
        <w:pStyle w:val="TextoNormal"/>
      </w:pPr>
    </w:p>
    <w:p w:rsidR="0085709A" w:rsidRDefault="0085709A" w:rsidP="0085709A">
      <w:pPr>
        <w:pStyle w:val="TextoNormal"/>
      </w:pPr>
      <w:r>
        <w:t>Por otra parte y sin perjuicio de lo anteriormente expuesto, del razonamiento que acompaña a las resoluciones del órgano rector de la Cámara no es posible deducir los motivos por los que la iniciativa escapa de la competencia del Consejo de la Comunidad de Madrid. Esta falta de motivación resulta especialmente patente en el acuerdo de 10 de junio de 2013 que desestima la solicitud de reconsideración, toda vez que la Mesa no responde a las alegaciones concretas elevadas por los recurrentes en su escrito de reconsideración y se limita a ratificar su acuerdo inicial de inadmisión, cuya justificación se remite a un informe jurídico registrado con fecha de 20 de junio de 2012, que fue evacuado con motivo de otra iniciativa distinta a la que nos ocupa, de cuyo contenido no se desprende si la Comunidad de Madrid ostenta respecto de Caja Madrid alguna posición de control que le permita dirigirse a la misma como destinatario de su acción en relación con los responsables de la emisión de las preferentes de Caja Madrid durante el año 2009, sino que se remite a su vez a otro informe jurídico, vulnerándose así de forma patente la necesaria individualización de la motivación de inadmisión a fin de que puedan ser conocidas, en el caso concreto, las razones que la fundamentan, dado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y 277/2002, de 14 de octubre, FJ 5; y ATC 188/1999, de 10 de mayo, FJ 5 y 40/2003, de 27 de febrero).</w:t>
      </w:r>
    </w:p>
    <w:p w:rsidR="0085709A" w:rsidRDefault="0085709A" w:rsidP="0085709A">
      <w:pPr>
        <w:pStyle w:val="TextoNormal"/>
      </w:pPr>
    </w:p>
    <w:p w:rsidR="0085709A" w:rsidRDefault="0085709A" w:rsidP="0085709A">
      <w:pPr>
        <w:pStyle w:val="TextoNormal"/>
      </w:pPr>
      <w:r>
        <w:t>La aplicación de la doctrina constitucional resumida en el fundamento jurídico tercero de esta Sentencia, a la luz de los preceptos reglamentarios anteriormente citados, conduce a afirmar que los acuerdos impugnados han cercenado indebidamente el derecho del recurrente, y del grupo parlamentario al que representa, a ejercer, sin traba ilegítima alguna, las funciones que el Reglamento de la Cámara les confiere, hurtando, además, al órgano parlamentario competente la posibilidad de debatir y pronunciarse sobre la iniciativa propuesta.</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Las anteriores conclusiones conducen necesariamente, como ha quedado expuesto, al otorgamiento del amparo solicitado contra todos los acuerdos impugnados de la Asamblea de Madrid, si bien es necesario precisar el alcance de nuestro fallo, pues, a diferencia de lo sucedido en otras ocasiones, en que la adopción de las resoluciones impugnadas tuvo lugar en una legislatura ya finalizada, por lo que no cabía adoptar en el fallo de nuestra Sentencia una medida destinada al pleno restablecimiento del derecho vulnerado (por todas, SSTC 107/2001, FJ 10; 177/2002, FJ 11; 40/2003, FJ 9; 74/2009, FJ 5 y 44/2010, FJ 6), en el </w:t>
      </w:r>
      <w:r>
        <w:lastRenderedPageBreak/>
        <w:t>presente caso las resoluciones impugnadas han sido adoptadas en una legislatura aún no finalizada, lo que permite un pronunciamiento destinado a conseguir el pleno restablecimiento del derecho fundamental a la participación política (art. 23.2 CE) del Diputado recurrente en amparo, tal como éste interesa.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por don Luis de Velasco Rami, portavoz del Grupo Parlamentario de Unión Progreso y Democracia en la Asamblea de Madrid y, en consecuencia:</w:t>
      </w:r>
    </w:p>
    <w:p w:rsidR="0085709A" w:rsidRDefault="0085709A" w:rsidP="0085709A">
      <w:pPr>
        <w:pStyle w:val="TextoNormal"/>
      </w:pPr>
    </w:p>
    <w:p w:rsidR="0085709A" w:rsidRDefault="0085709A" w:rsidP="0085709A">
      <w:pPr>
        <w:pStyle w:val="TextoNormal"/>
      </w:pPr>
      <w:r>
        <w:t>1º Declarar que se ha vulnerado su derecho a ejercer las funciones representativas con los requisitos que señalan las leyes (art. 23.2 CE).</w:t>
      </w:r>
    </w:p>
    <w:p w:rsidR="0085709A" w:rsidRDefault="0085709A" w:rsidP="0085709A">
      <w:pPr>
        <w:pStyle w:val="TextoNormal"/>
      </w:pPr>
    </w:p>
    <w:p w:rsidR="0085709A" w:rsidRDefault="0085709A" w:rsidP="0085709A">
      <w:pPr>
        <w:pStyle w:val="TextoNormal"/>
      </w:pPr>
      <w:r>
        <w:t>2º Restablecer al recurrente en su derecho y, a tal fin, declarar la nulidad de los siguientes acuerdos de la Mesa de la Asamblea de Madrid: de 29 de abril de 2013, por el que se inadmitieron a trámite las solicitudes de comparecencia 606-2013 y 607-2013, y de 3 de junio de 2013, desestimatorio de la reconsideración; de 6 de mayo de 2013, por el que se inadmitieron a trámite las preguntas de respuesta oral en Pleno 465-2013 y 466-2013, y de 3 de junio de 2013, desestimatorio de la reconsideración; y de 13 de mayo de 2013, por el que se inadmitió a trámite la proposición no de ley 63-2013, así como el acuerdo de 10 de junio de 2013, desestimatorio de la reconsideración.</w:t>
      </w:r>
    </w:p>
    <w:p w:rsidR="0085709A" w:rsidRDefault="0085709A" w:rsidP="0085709A">
      <w:pPr>
        <w:pStyle w:val="TextoNormal"/>
      </w:pPr>
    </w:p>
    <w:p w:rsidR="0085709A" w:rsidRDefault="0085709A" w:rsidP="0085709A">
      <w:pPr>
        <w:pStyle w:val="TextoNormal"/>
      </w:pPr>
      <w:r>
        <w:t>3º Retrotraer las actuaciones al momento anterior al de dictarse los citados acuerdos de inadmisión de 29 de abril, 6 de mayo y de 13 de mayo, todos ellos de 2013, para que la Mesa de la Asamblea de Madrid adopte nuevas resoluciones respetuosas con el derecho fundamental reconocido.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 w:name="SENTENCIA_2015_2"/>
      <w:r>
        <w:lastRenderedPageBreak/>
        <w:t>SENTENCIA 2/2015, de 19 de enero de 2015</w:t>
      </w:r>
    </w:p>
    <w:bookmarkEnd w:id="5"/>
    <w:p w:rsidR="0085709A" w:rsidRDefault="0085709A" w:rsidP="0085709A">
      <w:pPr>
        <w:pStyle w:val="TtuloResolucin"/>
      </w:pPr>
      <w:r>
        <w:t>Sala Segunda</w:t>
      </w:r>
    </w:p>
    <w:p w:rsidR="0085709A" w:rsidRDefault="0085709A" w:rsidP="0085709A">
      <w:pPr>
        <w:pStyle w:val="TtuloBOE"/>
      </w:pPr>
      <w:r>
        <w:t>(BOE núm. 47, de 24 de febrero de 2015)</w:t>
      </w:r>
    </w:p>
    <w:p w:rsidR="0085709A" w:rsidRDefault="0085709A" w:rsidP="0085709A">
      <w:pPr>
        <w:pStyle w:val="TextoNormalCentrado"/>
      </w:pPr>
      <w:r>
        <w:t>ECLI:ES:TC:2015:2</w:t>
      </w:r>
    </w:p>
    <w:p w:rsidR="0085709A" w:rsidRDefault="0085709A" w:rsidP="0085709A">
      <w:pPr>
        <w:pStyle w:val="TextoNormalCentrado"/>
      </w:pPr>
    </w:p>
    <w:p w:rsidR="0085709A" w:rsidRDefault="0085709A" w:rsidP="0085709A">
      <w:pPr>
        <w:pStyle w:val="SntesisDescriptiva"/>
      </w:pPr>
      <w:r>
        <w:t>Recurso de amparo 5865-2013. Promovido por don Francisco Javier Merino de la Cuesta respecto de las Sentencias de la Audiencia Provincial de Madrid y de un Juzgado de lo Penal que le condenaron por un delito de información privilegiada.</w:t>
      </w:r>
    </w:p>
    <w:p w:rsidR="0085709A" w:rsidRDefault="0085709A" w:rsidP="0085709A">
      <w:pPr>
        <w:pStyle w:val="SntesisDescriptiva"/>
      </w:pPr>
    </w:p>
    <w:p w:rsidR="0085709A" w:rsidRDefault="0085709A" w:rsidP="0085709A">
      <w:pPr>
        <w:pStyle w:val="SntesisAnaltica"/>
      </w:pPr>
      <w:r>
        <w:t>Supuesta vulneración de los derechos a la tutela judicial efectiva, a la presunción de inocencia y a la legalidad sancionadora: condena fundada en actividad probatoria de cuyo resultado se infiere, de manera no irrazonable, arbitraria ni contraria a la lógica, la culpabilidad del acusado; interpretación no irrazonable del tipo.</w:t>
      </w:r>
    </w:p>
    <w:p w:rsidR="0085709A" w:rsidRDefault="0085709A" w:rsidP="0085709A">
      <w:pPr>
        <w:pStyle w:val="SntesisAnaltica"/>
      </w:pPr>
    </w:p>
    <w:p w:rsidR="0085709A" w:rsidRDefault="0085709A" w:rsidP="0085709A">
      <w:pPr>
        <w:pStyle w:val="Extracto"/>
      </w:pPr>
      <w:r>
        <w:t>1.</w:t>
      </w:r>
      <w:r>
        <w:tab/>
        <w:t xml:space="preserve">No se observa vulneración alguna del derecho a la presunción de inocencia, pues la valoración de la concurrencia de los elementos normativos del tipo –relevancia de la información y carácter privilegiado de la información </w:t>
      </w:r>
      <w:r w:rsidRPr="0085709A">
        <w:rPr>
          <w:i/>
        </w:rPr>
        <w:t>ex</w:t>
      </w:r>
      <w:r>
        <w:t xml:space="preserve"> art. 285.1 CP– fue fruto de una ponderación suficiente y razonable de los elementos de prueba existentes en la que se tuvo suficientemente en cuenta la prueba de descargo aportada por el recurrente de amparo [FFJJ 5, 6].</w:t>
      </w:r>
    </w:p>
    <w:p w:rsidR="0085709A" w:rsidRDefault="0085709A" w:rsidP="0085709A">
      <w:pPr>
        <w:pStyle w:val="Extracto"/>
      </w:pPr>
    </w:p>
    <w:p w:rsidR="0085709A" w:rsidRDefault="0085709A" w:rsidP="0085709A">
      <w:pPr>
        <w:pStyle w:val="Extracto"/>
      </w:pPr>
      <w:r>
        <w:t>2.</w:t>
      </w:r>
      <w:r>
        <w:tab/>
        <w:t>La subsunción que realizan las Sentencias impugnadas difiere notablemente, en sus presupuestos fácticos, de la descrita en la demanda de amparo, sin que quepa formular tacha de irrazonabilidad alguna, ni en el plano argumental ni en el axiológico, al juicio aplicativo efectuado por los órganos judiciales [FJ 9].</w:t>
      </w:r>
    </w:p>
    <w:p w:rsidR="0085709A" w:rsidRDefault="0085709A" w:rsidP="0085709A">
      <w:pPr>
        <w:pStyle w:val="Extracto"/>
      </w:pPr>
    </w:p>
    <w:p w:rsidR="0085709A" w:rsidRDefault="0085709A" w:rsidP="0085709A">
      <w:pPr>
        <w:pStyle w:val="Extracto"/>
      </w:pPr>
      <w:r>
        <w:t>3.</w:t>
      </w:r>
      <w:r>
        <w:tab/>
        <w:t>En la consideración de los hechos probados debe respetarse tanto el parámetro metodológico, que exige no incurrir en quiebras lógicas y que sea acorde con los modelos de argumentación aceptados dentro de la comunidad jurídica, como el parámetro axiológico, que requiere ajuste a los valores que informan nuestro ordenamiento constitucional (SSTC 138/2004, 196/2013) [FJ 8].</w:t>
      </w:r>
    </w:p>
    <w:p w:rsidR="0085709A" w:rsidRDefault="0085709A" w:rsidP="0085709A">
      <w:pPr>
        <w:pStyle w:val="Extracto"/>
      </w:pPr>
    </w:p>
    <w:p w:rsidR="0085709A" w:rsidRDefault="0085709A" w:rsidP="0085709A">
      <w:pPr>
        <w:pStyle w:val="Extracto"/>
      </w:pPr>
      <w:r>
        <w:t>4.</w:t>
      </w:r>
      <w:r>
        <w:tab/>
        <w:t>Cuando un elemento normativo del tipo penal exige una valoración del juez, el derecho a la presunción de inocencia impone que esa valoración se realice ponderando todos los medios de prueba obrantes en autos y teniendo en cuenta la versión o la prueba de descargo aportada por los acusados (SSTC 148/1985, 88/2013) [FJ 4].</w:t>
      </w:r>
    </w:p>
    <w:p w:rsidR="0085709A" w:rsidRDefault="0085709A" w:rsidP="0085709A">
      <w:pPr>
        <w:pStyle w:val="Extracto"/>
      </w:pPr>
    </w:p>
    <w:p w:rsidR="0085709A" w:rsidRDefault="0085709A" w:rsidP="0085709A">
      <w:pPr>
        <w:pStyle w:val="Extracto"/>
      </w:pPr>
      <w:r>
        <w:t>5.</w:t>
      </w:r>
      <w:r>
        <w:tab/>
        <w:t>El derecho fundamental a la legalidad penal, art. 25.1 CE, ha de reputarse vulnerado cuando la conducta que ha sido declarada probada en la sentencia es subsumida de un modo irrazonable en el tipo penal (SSTC 91/2009, 196/2013) [FJ 8].</w:t>
      </w:r>
    </w:p>
    <w:p w:rsidR="0085709A" w:rsidRDefault="0085709A" w:rsidP="0085709A">
      <w:pPr>
        <w:pStyle w:val="Extracto"/>
      </w:pPr>
    </w:p>
    <w:p w:rsidR="0085709A" w:rsidRDefault="0085709A" w:rsidP="0085709A">
      <w:pPr>
        <w:pStyle w:val="Extracto"/>
      </w:pPr>
      <w:r>
        <w:t>6.</w:t>
      </w:r>
      <w:r>
        <w:tab/>
        <w:t>Las exigencias propias de la prueba indiciaria no deben trasladarse mecánicamente a la valoración de la concurrencia de un elemento normativo del tipo, ya que la actividad intelectual del juez no pretende probar un hecho –el típico– a través de otro hecho –el básico–, sino que tiende a comprobar que un juicio de valor es compatible con la prueba desarrollada en el seno del proceso, considerada en su conjunto [FJ 4].</w:t>
      </w:r>
    </w:p>
    <w:p w:rsidR="0085709A" w:rsidRDefault="0085709A" w:rsidP="0085709A">
      <w:pPr>
        <w:pStyle w:val="Extracto"/>
      </w:pPr>
    </w:p>
    <w:p w:rsidR="0085709A" w:rsidRDefault="0085709A" w:rsidP="0085709A">
      <w:pPr>
        <w:pStyle w:val="Extracto"/>
      </w:pPr>
      <w:r>
        <w:t>7.</w:t>
      </w:r>
      <w:r>
        <w:tab/>
        <w:t xml:space="preserve">Se rechaza una lectura restrictiva del art. 44.1 c) LOTC, de manera que no es exigible la cita ante el órgano judicial </w:t>
      </w:r>
      <w:r w:rsidRPr="0085709A">
        <w:rPr>
          <w:i/>
        </w:rPr>
        <w:t>a quo</w:t>
      </w:r>
      <w:r>
        <w:t xml:space="preserve"> del precepto constitucional que se estima vulnerado ni la reproducción del </w:t>
      </w:r>
      <w:r w:rsidRPr="0085709A">
        <w:rPr>
          <w:i/>
        </w:rPr>
        <w:t>nomen iuris</w:t>
      </w:r>
      <w:r>
        <w:t xml:space="preserve"> del derecho fundamental en juego, bastando efectuar una descripción suficiente de la violación sufrida,  de forma que se haya permitido al órgano judicial advertir su relevancia constitucional y se le haya dado la oportunidad de repararla (STC 136/2002)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5865-2013, promovido por don Francisco Javier Merino de la Cuesta, representado por la Procuradora de los Tribunales doña Soledad Fernández Urías y asistido por el Abogado don Esteban Mestre Delgado, contra la Sentencia de 27 de mayo 2013 dictada por la Sección Séptima de la Audiencia Provincial de Madrid en el Rollo de Apelación núm. 210-2012, seguido contra la Sentencia de 21 de febrero de 2012 dictada por el Juzgado de lo Penal núm. 25 de Madrid en el Juicio Oral núm. 297-2011. Ha intervenido el Ministerio Fiscal.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11 de octubre de 2013, doña Soledad Fernández Urías, Procuradora de los Tribunales, en nombre y representación de don Francisco Javier Merino de la Cuesta, interpuso recurso de amparo contra las resoluciones judiciales que se citan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t>a) Mediante Sentencia de 21 de febrero de 2012, el Juzgado de lo Penal núm. 25 de Madrid condenó al recurrente de amparo, como autor de un delito de información privilegiada previsto en el art. 285.1 del Código penal (CP), a la pena de un año de prisión, con accesoria de inhabilitación especial para el ejercicio del derecho de sufragio pasivo, y a la de multa de 1.564.603,25 €. La Sentencia acordó, asimismo, el decomiso, en concepto de ganancia obtenida por el autor del delito, de una cantidad igual a la fijada como importe de la multa.</w:t>
      </w:r>
    </w:p>
    <w:p w:rsidR="0085709A" w:rsidRDefault="0085709A" w:rsidP="0085709A">
      <w:pPr>
        <w:pStyle w:val="TextoNormal"/>
      </w:pPr>
    </w:p>
    <w:p w:rsidR="0085709A" w:rsidRDefault="0085709A" w:rsidP="0085709A">
      <w:pPr>
        <w:pStyle w:val="TextoNormal"/>
      </w:pPr>
      <w:r>
        <w:t>Según se declara probado en la Sentencia, el recurrente de amparo tuvo conocimiento, como miembro del Consejo de Administración de la compañía Cartera Hotelera, S.A., del acuerdo adoptado por esta entidad en fecha 16 de octubre de 2006 para desprenderse de su participación en Occidental Hoteles Management BV. Esta participación, que alcanzaba un 17 por 100 del accionariado, estaba instrumentada a través de la titularidad intermedia de la sociedad SIL Investment y constituía el único activo de Cartera Hotelera, S.A. El acuerdo aludido fijaba un precio de venta que ascendía a 4,94 € por acción. El recurrente también tuvo conocimiento de las diversas ofertas que, para concluir la operación, habían sido recibidas. Aprovechando esa información, el demandante de amparo ordenó, en fecha 5 de diciembre de 2006, la venta, por un precio no inferior a 6 € por acción, de la participación que la sociedad luxemburguesa SEA Management, S.A., de la que era fideicomisario único, poseía en Cartera Hotelera, S.A. El precio finalmente obtenido con esta venta, concluida entre los días 6 y 13 de diciembre, fue de 7,71 € por acción.</w:t>
      </w:r>
    </w:p>
    <w:p w:rsidR="0085709A" w:rsidRDefault="0085709A" w:rsidP="0085709A">
      <w:pPr>
        <w:pStyle w:val="TextoNormal"/>
      </w:pPr>
    </w:p>
    <w:p w:rsidR="0085709A" w:rsidRDefault="0085709A" w:rsidP="0085709A">
      <w:pPr>
        <w:pStyle w:val="TextoNormal"/>
      </w:pPr>
      <w:r>
        <w:t>En fecha 28 de febrero de 2007, un grupo inversor compró por 434 millones de euros la totalidad de las acciones de Occidental Hoteles, incluido el paquete accionarial perteneciente a Cartera Hotelera. Esta entidad comunicó el 1 de marzo de 2007 a la Comisión Nacional del Mercado de Valores que el valor liquidativo de las acciones de su titularidad sería de 4,5 € por acción. Una vez que se hicieron públicos los detalles de la venta, la cotización bursátil de Cartera Hotelera se desplomó, llegando a alcanzar cada acción de esta entidad un valor próximo al precio obtenido por cada acción de Occidental. El recurrente de amparo obtuvo, de este modo, una ganancia de 1.564.603,25 €, ya que la información a la que había tenido acceso en su condición de miembro del consejo de administración de Cartera Hotelera le había permitido anticiparse a esta depreciación.</w:t>
      </w:r>
    </w:p>
    <w:p w:rsidR="0085709A" w:rsidRDefault="0085709A" w:rsidP="0085709A">
      <w:pPr>
        <w:pStyle w:val="TextoNormal"/>
      </w:pPr>
    </w:p>
    <w:p w:rsidR="0085709A" w:rsidRDefault="0085709A" w:rsidP="0085709A">
      <w:pPr>
        <w:pStyle w:val="TextoNormal"/>
      </w:pPr>
      <w:r>
        <w:t>b) Recaída la condena, el demandante de amparo presentó recurso de apelación, que fue desestimado por la Sección Séptima de la Audiencia Provincial de Madrid en Sentencia de 27 de mayo de 2013. Dicha resolución descarta las diversas alegaciones formuladas por el recurrente, tanto en lo que se refiere a los supuestos errores de hecho y de valoración de prueba como en lo relativo a la interpretación del tenor del art. 285.1 CP.</w:t>
      </w:r>
    </w:p>
    <w:p w:rsidR="0085709A" w:rsidRDefault="0085709A" w:rsidP="0085709A">
      <w:pPr>
        <w:pStyle w:val="TextoNormal"/>
      </w:pPr>
    </w:p>
    <w:p w:rsidR="0085709A" w:rsidRDefault="0085709A" w:rsidP="0085709A">
      <w:pPr>
        <w:pStyle w:val="TextoNormal"/>
      </w:pPr>
      <w:r w:rsidRPr="0085709A">
        <w:rPr>
          <w:rStyle w:val="NumeroAFNegritaCaracter"/>
        </w:rPr>
        <w:t>3</w:t>
      </w:r>
      <w:r>
        <w:t>. En su escrito de demanda, el recurrente de amparo considera que la condena recaída vulnera su derecho a la presunción de inocencia (art. 24.2 CE) y su derecho a obtener tutela judicial efectiva (art. 24.1 CE) en conexión con el “principio de legalidad penal” (art. 25.1 CE). El actor funda su queja en los siguientes argumentos:</w:t>
      </w:r>
    </w:p>
    <w:p w:rsidR="0085709A" w:rsidRDefault="0085709A" w:rsidP="0085709A">
      <w:pPr>
        <w:pStyle w:val="TextoNormal"/>
      </w:pPr>
    </w:p>
    <w:p w:rsidR="0085709A" w:rsidRDefault="0085709A" w:rsidP="0085709A">
      <w:pPr>
        <w:pStyle w:val="TextoNormal"/>
      </w:pPr>
      <w:r>
        <w:t>a) En cuanto a la primera vulneración alegada, considera el demandante que la Sentencia condenatoria se basa en “meras hipótesis” y “conjeturas contra reo” que no alcanzan el rango de prueba suficiente para desvirtuar el derecho a la presunción de inocencia. Entendiendo que la condena se funda en meros indicios, el actor considera que la construcción de la inferencia lógica se basa exclusivamente en los elementos de convicción perjudiciales para el reo.</w:t>
      </w:r>
    </w:p>
    <w:p w:rsidR="0085709A" w:rsidRDefault="0085709A" w:rsidP="0085709A">
      <w:pPr>
        <w:pStyle w:val="TextoNormal"/>
      </w:pPr>
    </w:p>
    <w:p w:rsidR="0085709A" w:rsidRDefault="0085709A" w:rsidP="0085709A">
      <w:pPr>
        <w:pStyle w:val="TextoNormal"/>
      </w:pPr>
      <w:r>
        <w:t xml:space="preserve">Según el recurrente, las resoluciones impugnadas descartaron “numerosos elementos de prueba” que, en su opinión, indicaban: (i) que las ofertas valoradas en la reunión de 16 de octubre de 2006 del consejo de administración de Cartera Hotelera, al que asistió el actor, </w:t>
      </w:r>
      <w:r>
        <w:lastRenderedPageBreak/>
        <w:t xml:space="preserve">fueron rechazadas; (ii) que el precio de 4,94 € por acción fijado en dicho consejo de administración era un precio de mínimos, que no impedía la venta por otro superior; (iii) que la información que el recurrente pudo obtener en esa reunión del consejo de administración era de conocimiento público, ya que había aparecido en la prensa económica; (iv) que la venta que finalmente fue consumada se realizó en virtud de un proceso de negociación distinto al indicado, pues fue iniciado el 24 de noviembre de 2006 por el propio comité consultivo de Occidental Hoteles, al que el recurrente de amparo no pertenecía; (v) que ese proceso de negociación difería sustancialmente del anterior, ya que implicaba a todos los propietarios de occidental y afectaba, por ello, al 100 por 100 del accionariado de esta compañía —y no sólo al paquete accionarial minoritario (un 17 por 100 que, indirectamente, ostentaba Cartera Hotelera en dicha entidad—; (vi) que, al ser distinta la negociación, el precio de venta se determinó </w:t>
      </w:r>
      <w:r w:rsidRPr="0085709A">
        <w:rPr>
          <w:i/>
        </w:rPr>
        <w:t>ex novo</w:t>
      </w:r>
      <w:r>
        <w:t>, sin que procediera del previamente fijado por Cartera Hotelera en la negociación ya frustrada; (vii) que el recurrente de amparo sólo tuvo conocimiento de ese segundo proceso negociador cuando fue informado del mismo por el consejo de administración de Cartera Hotelera el 18 de enero de 2007, esto es, una vez que ya había vendido las acciones de Sea Management, y (viii) que el actor no fue el beneficiario exclusivo de la venta de las acciones de Sea Management, pues compartía la titularidad fiduciaria con sus tres hermanos.</w:t>
      </w:r>
    </w:p>
    <w:p w:rsidR="0085709A" w:rsidRDefault="0085709A" w:rsidP="0085709A">
      <w:pPr>
        <w:pStyle w:val="TextoNormal"/>
      </w:pPr>
    </w:p>
    <w:p w:rsidR="0085709A" w:rsidRDefault="0085709A" w:rsidP="0085709A">
      <w:pPr>
        <w:pStyle w:val="TextoNormal"/>
      </w:pPr>
      <w:r>
        <w:t>En suma, a juicio del recurrente de amparo, todos estos datos acreditaban: (i) que no había dispuesto de ninguna información “relevante”, pues cuando dio la orden de venta de sus acciones ya se había frustrado el proceso de negociación relativo al paquete accionarial de Cartera Hotelera y aún no había tenido conocimiento del proceso de venta concerniente a la integridad del accionariado de occidental; (ii) que la información que conocía en diciembre de 2006 en modo alguno podía considerarse “privilegiada”, pues la prensa económica había dado noticia de las diversas negociaciones tendentes a la venta del paquete accionarial que Cartera Hotelera ostentaba en occidental y (iii) que el beneficio obtenido fue, en realidad, una cuarta parte del tomado en consideración en la Sentencia, ya que debía imputarse a los cuatro titulares fiduciarios de Sea Management.</w:t>
      </w:r>
    </w:p>
    <w:p w:rsidR="0085709A" w:rsidRDefault="0085709A" w:rsidP="0085709A">
      <w:pPr>
        <w:pStyle w:val="TextoNormal"/>
      </w:pPr>
    </w:p>
    <w:p w:rsidR="0085709A" w:rsidRDefault="0085709A" w:rsidP="0085709A">
      <w:pPr>
        <w:pStyle w:val="TextoNormal"/>
      </w:pPr>
      <w:r>
        <w:t>b) En cuanto al segundo motivo de amparo, el recurrente estima que tanto la Sentencia de instancia como la de apelación realizan una interpretación “extensiva, arbitraria, irrazonable y contra reo” del art. 285.1 CP y del art. 81 de la Ley del mercado de valores —como precepto de la legislación administrativa que vendría a integrar el tipo objetivo de la infracción criminal—.</w:t>
      </w:r>
    </w:p>
    <w:p w:rsidR="0085709A" w:rsidRDefault="0085709A" w:rsidP="0085709A">
      <w:pPr>
        <w:pStyle w:val="TextoNormal"/>
      </w:pPr>
    </w:p>
    <w:p w:rsidR="0085709A" w:rsidRDefault="0085709A" w:rsidP="0085709A">
      <w:pPr>
        <w:pStyle w:val="TextoNormal"/>
      </w:pPr>
      <w:r>
        <w:t xml:space="preserve">Según razona el actor: (i) la “información relevante” a que se refiere el art. 285.1 CP ha de tener una relación causal directa con el beneficio obtenido, relación que no concurriría en este caso, pues el precio que motivó la bajada de la cotización de Cartera Hotelera fue el de 4,5 € por acción fijado en febrero de 2007 y no el de 4,94 € fijado, en un proceso de negociación completamente diferente, en octubre de 2006; (ii) la “información privilegiada” prevista en el tipo no puede identificarse, como hace la Sentencia, con una información pública, difundida por los medios de comunicación, pues, si la información es accesible, los inversores tienen la posibilidad de reaccionar ante la misma; (iii) el tipo requiere una información precisa, concreta y específica, con capacidad de influir en la cotización bursátil, cualidades que no poseía la información que tenía el recurrente, pues el precio de venta en 4,94 € por acción era una mera propuesta y (iv) el beneficio que el art. 285.1 CP exige como condición objetiva de punibilidad debe ser entendido como beneficio personal del autor y </w:t>
      </w:r>
      <w:r>
        <w:lastRenderedPageBreak/>
        <w:t>no como ganancia total generada por la operación, por lo que sólo cabía atribuir al recurrente, como cotitular fiduciario, una cuarta parte del total del importe computado como beneficio –cuarta parte que estaría por debajo del límite típico de los 600.000 €—.</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13 de febrero de 2014 la Sala Segunda acordó admitir a trámite la demanda, y, en aplicación de lo dispuesto en el art. 51 de la Ley Orgánica del Tribunal Constitucional (LOTC), dirigir atenta comunicación a la Sección Séptima de la Audiencia Provincial de Madrid y al Juzgado de lo Penal núm. 25 de Madrid a fin de que, en plazo que no excediera de diez días, remitieran, respectivamente, certificación o fotocopia adverada de las actuaciones correspondientes al rollo de apelación núm. 210-2012 y del juicio oral núm. 297-2011, interesándose al propio tiempo del Juzgado que emplazara a quienes hubieran sido parte en el procedimiento, excepto a la parte recurrente en amparo, para que pudieran comparecer en el plazo de diez días.</w:t>
      </w:r>
    </w:p>
    <w:p w:rsidR="0085709A" w:rsidRDefault="0085709A" w:rsidP="0085709A">
      <w:pPr>
        <w:pStyle w:val="TextoNormal"/>
      </w:pPr>
    </w:p>
    <w:p w:rsidR="0085709A" w:rsidRDefault="0085709A" w:rsidP="0085709A">
      <w:pPr>
        <w:pStyle w:val="TextoNormal"/>
      </w:pPr>
      <w:r>
        <w:t>Asimismo, se acordó la formación de pieza separada de suspensión. Por Auto de 24 de marzo de 2014 la Sala Segunda de este Tribunal acordó suspender la ejecución de la pena privativa de libertad de un año y la accesoria de inhabilitación especial para el ejercicio del derecho de sufragio pasivo por ese tiempo, denegando la suspensión en lo relativo al pago de la multa, al comiso de la ganancia obtenida y al pago de las costas.</w:t>
      </w:r>
    </w:p>
    <w:p w:rsidR="0085709A" w:rsidRDefault="0085709A" w:rsidP="0085709A">
      <w:pPr>
        <w:pStyle w:val="TextoNormal"/>
      </w:pPr>
    </w:p>
    <w:p w:rsidR="0085709A" w:rsidRDefault="0085709A" w:rsidP="0085709A">
      <w:pPr>
        <w:pStyle w:val="TextoNormal"/>
      </w:pPr>
      <w:r w:rsidRPr="0085709A">
        <w:rPr>
          <w:rStyle w:val="NumeroAFNegritaCaracter"/>
        </w:rPr>
        <w:t>5</w:t>
      </w:r>
      <w:r>
        <w:t>. Una vez recibidos los testimonios solicitados y cumplimentados los emplazamientos requeridos, la Sala Segunda, por diligencia de ordenación de su Secretaría de Justicia de fecha 27 de marzo de 2014, acordó dar vista de las actuaciones a la parte recurrente y al Ministerio Fiscal, por plazo común de veinte días, para que formularan las alegaciones que estimaran pertinentes, conforme determina el art. 52.1 LOTC.</w:t>
      </w:r>
    </w:p>
    <w:p w:rsidR="0085709A" w:rsidRDefault="0085709A" w:rsidP="0085709A">
      <w:pPr>
        <w:pStyle w:val="TextoNormal"/>
      </w:pPr>
    </w:p>
    <w:p w:rsidR="0085709A" w:rsidRDefault="0085709A" w:rsidP="0085709A">
      <w:pPr>
        <w:pStyle w:val="TextoNormal"/>
      </w:pPr>
      <w:r w:rsidRPr="0085709A">
        <w:rPr>
          <w:rStyle w:val="NumeroAFNegritaCaracter"/>
        </w:rPr>
        <w:t>6</w:t>
      </w:r>
      <w:r>
        <w:t>. La representación del recurrente de amparo presentó sus alegaciones en escrito registrado el 8 de mayo de 2014, en el que ratificó las ya efectuadas en la demanda de amparo, exponiéndolas nuevamente, esta vez de forma resumida.</w:t>
      </w:r>
    </w:p>
    <w:p w:rsidR="0085709A" w:rsidRDefault="0085709A" w:rsidP="0085709A">
      <w:pPr>
        <w:pStyle w:val="TextoNormal"/>
      </w:pPr>
    </w:p>
    <w:p w:rsidR="0085709A" w:rsidRDefault="0085709A" w:rsidP="0085709A">
      <w:pPr>
        <w:pStyle w:val="TextoNormal"/>
      </w:pPr>
      <w:r w:rsidRPr="0085709A">
        <w:rPr>
          <w:rStyle w:val="NumeroAFNegritaCaracter"/>
        </w:rPr>
        <w:t>7</w:t>
      </w:r>
      <w:r>
        <w:t>. El Ministerio Fiscal presentó sus alegaciones mediante escrito de fecha 23 de mayo de 2014, en el que interesa la íntegra desestimación de la demanda de amparo.</w:t>
      </w:r>
    </w:p>
    <w:p w:rsidR="0085709A" w:rsidRDefault="0085709A" w:rsidP="0085709A">
      <w:pPr>
        <w:pStyle w:val="TextoNormal"/>
      </w:pPr>
    </w:p>
    <w:p w:rsidR="0085709A" w:rsidRDefault="0085709A" w:rsidP="0085709A">
      <w:pPr>
        <w:pStyle w:val="TextoNormal"/>
      </w:pPr>
      <w:r>
        <w:t xml:space="preserve">Opone, en primer lugar, el Fiscal un óbice procesal, ya que entiende que el demandante de amparo no denunció, en el recurso de apelación interpuesto frente a la Sentencia del Juzgado de lo Penal, la supuesta vulneración de su derecho a la presunción de inocencia (art. 24.2 CE). Habría incumplido, así, en relación con el primer motivo de amparo, el requisito previsto en el art. 44.1 c) LOTC. Según el Fiscal, el recurso de apelación aludía exclusivamente a los graves errores existentes en la valoración de las pruebas, sin que hiciera mención alguna al carácter indirecto de las mismas ni al incumplimiento de los requisitos propios de una prueba de naturaleza indiciaria. Más allá del óbice planteado, el Ministerio Fiscal estima que no se produjo la alegada violación del art. 24.2 CE, pues el </w:t>
      </w:r>
      <w:r w:rsidRPr="0085709A">
        <w:rPr>
          <w:i/>
        </w:rPr>
        <w:t>iter</w:t>
      </w:r>
      <w:r>
        <w:t xml:space="preserve"> discursivo de las dos resoluciones impugnadas –que el Fiscal glosa detalladamente, con cita literal de amplios pasajes— no fue, en lo relativo a la inferencia de la culpabilidad del acusado, ni irrazonable, ni arbitrario ni contrario a la lógica. No existió, en su opinión, una selección voluntarista de los elementos de convicción perjudiciales para el recurrente, sino </w:t>
      </w:r>
      <w:r>
        <w:lastRenderedPageBreak/>
        <w:t>una operación valorativa irreprochable basada exclusivamente en las reglas de la sana crítica.</w:t>
      </w:r>
    </w:p>
    <w:p w:rsidR="0085709A" w:rsidRDefault="0085709A" w:rsidP="0085709A">
      <w:pPr>
        <w:pStyle w:val="TextoNormal"/>
      </w:pPr>
    </w:p>
    <w:p w:rsidR="0085709A" w:rsidRDefault="0085709A" w:rsidP="0085709A">
      <w:pPr>
        <w:pStyle w:val="TextoNormal"/>
      </w:pPr>
      <w:r>
        <w:t>En cuanto a la alegación de vulneración del derecho a la tutela judicial efectiva (art. 24.1 CE) vinculado al derecho a la legalidad penal (art. 25.2 CE), el Fiscal considera, en primer lugar, que las Sentencias discutidas superan ampliamente el canon de control externo que este Tribunal utiliza para determinar la existencia de una motivación acorde con el derecho a la tutela judicial efectiva. No se observa, en su opinión, “déficit alguno de arbitrariedad o irrazonabilidad, ni, cabe añadir, se ha propugnado, esgrimido o advertido … la existencia de un error patente”. En segundo lugar, estima el representante del Ministerio Fiscal que también se ha satisfecho el canon de constitucionalidad aplicable desde el prisma del art. 25.1 CE, pues la interpretación realizada tanto en instancia como en apelación de los requisitos típicos del art. 285.1 CP “encuentra pleno encaje en la protección que el tipo penal dispensa al bien jurídico protegido”.</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15 de enero de 2015, se señaló para la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Como ha quedado expuesto en los antecedentes, el recurrente en amparo fue condenado en Sentencia de 21 de febrero de 2012, dictada por el Juzgado de lo Penal núm. 25 de Madrid, como autor de un delito de uso de información privilegiada previsto en el art. 285.1 del Código penal (CP). Dicha condena fue confirmada en apelación por la Sentencia de 27 de mayo de 2013 dictada por la Sección Séptima de la Audiencia Provincial de Madrid. El recurrente estima que estas resoluciones vulneraron su derecho a la presunción de inocencia (art. 24.2 CE). En su opinión, el Juzgado de lo Penal y la Audiencia Provincial tuvieron exclusivamente en cuenta los indicios que le eran perjudiciales, descartando indebidamente otros datos que resultaban probados y que evidenciaban su inocencia, pues ponían de manifiesto que la información que había conocido en su condición de miembro del consejo de administración de Cartera Hotelera ni era relevante, ni era privilegiada, ni dio lugar al beneficio que las resoluciones consideraron obtenido. También entiende el recurrente que las resoluciones impugnadas realizan una interpretación “extensiva, arbitraria, irrazonable y contra reo” del art. 285.1 CP y del art. 81 de la Ley del mercado de valores, vulnerando con ello su derecho a la tutela judicial efectiva (art. 24.1 CE) en relación con su derecho a la legalidad penal (art. 25.1 CE). En su opinión, la interpretación realizada por los órganos del Poder Judicial ignora exigencias típicas incluidas en el art. 285.1 CP, como son la existencia de una conexión causal entre la información privilegiada y el beneficio obtenido, el carácter reservado y concreto de la información utilizada y la obtención de un beneficio individualizado —que no puede identificarse, sin más, con la ganancia global de la operación—.</w:t>
      </w:r>
    </w:p>
    <w:p w:rsidR="0085709A" w:rsidRDefault="0085709A" w:rsidP="0085709A">
      <w:pPr>
        <w:pStyle w:val="TextoNormal"/>
      </w:pPr>
    </w:p>
    <w:p w:rsidR="0085709A" w:rsidRDefault="0085709A" w:rsidP="0085709A">
      <w:pPr>
        <w:pStyle w:val="TextoNormal"/>
      </w:pPr>
      <w:r>
        <w:t>El Ministerio Fiscal interesa, por su parte, la desestimación del amparo. Opone, de un lado, un óbice procesal, al entender que el recurrente no denunció en el proceso judicial la violación de su derecho a la presunción de inocencia. Entiende, asimismo, por las razones que han quedado expuestas en los antecedentes, que no se produjeron las vulneraciones de derechos fundamentales denunciadas por el actor.</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Nuestro examen debe comenzar por el óbice formal planteado por el Ministerio Fiscal, ya que, de concurrir el mismo, procedería, sin necesidad de ulterior análisis y sin que a ello se oponga que el procedimiento haya alcanzado el trámite de Sentencia, la inadmisión del primer motivo amparo (</w:t>
      </w:r>
      <w:r w:rsidRPr="0085709A">
        <w:rPr>
          <w:i/>
        </w:rPr>
        <w:t>ex multis</w:t>
      </w:r>
      <w:r>
        <w:t xml:space="preserve"> SSTC 44/2013, de 25 de febrero, FJ 2, y 126/2013, de 3 de junio, FJ 2).</w:t>
      </w:r>
    </w:p>
    <w:p w:rsidR="0085709A" w:rsidRDefault="0085709A" w:rsidP="0085709A">
      <w:pPr>
        <w:pStyle w:val="TextoNormal"/>
      </w:pPr>
    </w:p>
    <w:p w:rsidR="0085709A" w:rsidRDefault="0085709A" w:rsidP="0085709A">
      <w:pPr>
        <w:pStyle w:val="TextoNormal"/>
      </w:pPr>
      <w:r>
        <w:t>A juicio del Fiscal, el recurso de apelación interpuesto frente a la Sentencia dictada por el Juzgado de lo Penal nada decía sobre la posible vulneración del derecho a la presunción de inocencia ni sobre el carácter meramente indirecto o indiciario de la prueba valorada en primera instancia. Con ello, el actor habría incumplido el requisito previsto en el art. 44.1 c) de la Ley Orgánica del Tribunal Constitucional (LOTC), que exige la inmediata denuncia de la violación de su derecho fundamental.</w:t>
      </w:r>
    </w:p>
    <w:p w:rsidR="0085709A" w:rsidRDefault="0085709A" w:rsidP="0085709A">
      <w:pPr>
        <w:pStyle w:val="TextoNormal"/>
      </w:pPr>
    </w:p>
    <w:p w:rsidR="0085709A" w:rsidRDefault="0085709A" w:rsidP="0085709A">
      <w:pPr>
        <w:pStyle w:val="TextoNormal"/>
      </w:pPr>
      <w:r>
        <w:t xml:space="preserve">Hemos de recordar, en primer lugar, que este Tribunal ha rechazado una lectura puramente formalista y gratuitamente restrictiva del requisito previsto en el art. 44.1 c) LOTC. No es exigible, según nuestra doctrina, la cita ante el órgano judicial </w:t>
      </w:r>
      <w:r w:rsidRPr="0085709A">
        <w:rPr>
          <w:i/>
        </w:rPr>
        <w:t>a quo</w:t>
      </w:r>
      <w:r>
        <w:t xml:space="preserve"> del precepto constitucional que se estima vulnerado ni tampoco la reproducción del </w:t>
      </w:r>
      <w:r w:rsidRPr="0085709A">
        <w:rPr>
          <w:i/>
        </w:rPr>
        <w:t>nomen iuris</w:t>
      </w:r>
      <w:r>
        <w:t xml:space="preserve"> del derecho fundamental en juego. Basta para enervar el óbice del art. 44.1 c) LOTC que se haya realizado una descripción suficiente de la violación sufrida, de forma que se haya permitido al órgano judicial advertir su relevancia constitucional y se le haya dado la oportunidad de repararla (STC 136/2002, de 3 de junio, FJ 2). Esta interpretación veda toda lectura mecánica del requisito de denuncia previa, orientándolo al cumplimiento de su finalidad última, que, como ha declarado repetidamente este Tribunal, no es la pronta y exacta calificación jurídica de la vulneración sufrida sino la garantía efectiva de la subsidiariedad de la jurisdicción de amparo (SSTC 93/2007, de 7 de mayo, FJ 3; 58/2010, de 4 de octubre, FJ 2; 45/2011, de 11 de abril, FJ 2; y 47/2014, de 7 de abril, FJ 2).</w:t>
      </w:r>
    </w:p>
    <w:p w:rsidR="0085709A" w:rsidRDefault="0085709A" w:rsidP="0085709A">
      <w:pPr>
        <w:pStyle w:val="TextoNormal"/>
      </w:pPr>
    </w:p>
    <w:p w:rsidR="0085709A" w:rsidRDefault="0085709A" w:rsidP="0085709A">
      <w:pPr>
        <w:pStyle w:val="TextoNormal"/>
      </w:pPr>
      <w:r>
        <w:t>Una atenta lectura del recurso de apelación presentado por el actor frente a la Sentencia dictada por el Juzgado de lo Penal evidencia que el error en la valoración de la prueba puesto de manifiesto en el mismo coincide sustancialmente con la vulneración del art. 24.2 CE que se describe en la demanda de amparo. Puede comprobarse, asimismo, que dicho recurso de apelación señala expresamente que la condena de instancia está fundada en una “prueba incriminatoria indirecta basada en hipótesis, suposiciones, indicios y presunciones contra reo”, prueba que el recurrente ya entonces consideraba “contraria al derecho a la presunción de inocencia”. Tanto desde una óptica sustantiva como desde un plano puramente formal hubo, pues, invocación inmediata de la lesión sufrida. El óbice opuesto por el Ministerio Fiscal debe ser, en consecuencia, descartado.</w:t>
      </w:r>
    </w:p>
    <w:p w:rsidR="0085709A" w:rsidRDefault="0085709A" w:rsidP="0085709A">
      <w:pPr>
        <w:pStyle w:val="TextoNormal"/>
      </w:pPr>
    </w:p>
    <w:p w:rsidR="0085709A" w:rsidRDefault="0085709A" w:rsidP="0085709A">
      <w:pPr>
        <w:pStyle w:val="TextoNormal"/>
      </w:pPr>
      <w:r w:rsidRPr="0085709A">
        <w:rPr>
          <w:rStyle w:val="NumeroAFNegritaCaracter"/>
        </w:rPr>
        <w:t>3</w:t>
      </w:r>
      <w:r>
        <w:t>. Entrando ya en el fondo del recurso, el demandante alega, como primer motivo de amparo, la violación de su derecho a la presunción de inocencia. Según el actor, la condena se fundó en meros indicios que no eran unívocos ni concluyentes, ya que quedaban desacreditados por la presencia de otros “contraindicios” relevantes. Se habría producido, en su opinión, un defecto en la inferencia lógica derivado de la insuficiente valoración de los datos fácticos beneficiosos para el acusado —defecto éste sobre el que hemos tenido la oportunidad de pronunciarnos en otras ocasiones anteriores (recientemente en las SSTC 133/2014, de 22 de julio, y 146/2014, de 22 de septiembre)—.</w:t>
      </w:r>
    </w:p>
    <w:p w:rsidR="0085709A" w:rsidRDefault="0085709A" w:rsidP="0085709A">
      <w:pPr>
        <w:pStyle w:val="TextoNormal"/>
      </w:pPr>
    </w:p>
    <w:p w:rsidR="0085709A" w:rsidRDefault="0085709A" w:rsidP="0085709A">
      <w:pPr>
        <w:pStyle w:val="TextoNormal"/>
      </w:pPr>
      <w:r>
        <w:lastRenderedPageBreak/>
        <w:t>El recurrente proyecta este planteamiento genérico sobre tres elementos concretos del tipo previsto en el art. 285.1 CP: (i) la relevancia de la información obtenida en el consejo de administración de 16 de octubre de 2006, (ii) el carácter privilegiado de esa información y (iii) el beneficio realmente obtenido por el actor en la venta efectuada en diciembre de 2006. El examen detenido de estas tres quejas revela, sin embargo, que no subyace en ellas una problemática común, ligada a la naturaleza indiciaria de la prueba. Debemos, por ello, analizar cada vulneración de forma separada, determinando la verdadera etiología de la lesión que se estima producida en cada caso.</w:t>
      </w:r>
    </w:p>
    <w:p w:rsidR="0085709A" w:rsidRDefault="0085709A" w:rsidP="0085709A">
      <w:pPr>
        <w:pStyle w:val="TextoNormal"/>
      </w:pPr>
    </w:p>
    <w:p w:rsidR="0085709A" w:rsidRDefault="0085709A" w:rsidP="0085709A">
      <w:pPr>
        <w:pStyle w:val="TextoNormal"/>
      </w:pPr>
      <w:r w:rsidRPr="0085709A">
        <w:rPr>
          <w:rStyle w:val="NumeroAFNegritaCaracter"/>
        </w:rPr>
        <w:t>4</w:t>
      </w:r>
      <w:r>
        <w:t>. La denuncia del actor se refiere, en primer lugar, a la defectuosa inferencia del carácter “relevante” y de la naturaleza “privilegiada” de la información. Entiende el recurrente que no puede considerarse “relevante” una información relativa a procesos de negociación frustrados, que nada tuvieron que ver con el que finalmente condujo a la venta de la compañía occidental; asimismo, tampoco puede considerarse “privilegiada” una información de la que se hicieron eco los medios de comunicación —y que resultó, por ello, accesible al resto de los miembros de la “comunidad inversora”—.</w:t>
      </w:r>
    </w:p>
    <w:p w:rsidR="0085709A" w:rsidRDefault="0085709A" w:rsidP="0085709A">
      <w:pPr>
        <w:pStyle w:val="TextoNormal"/>
      </w:pPr>
    </w:p>
    <w:p w:rsidR="0085709A" w:rsidRDefault="0085709A" w:rsidP="0085709A">
      <w:pPr>
        <w:pStyle w:val="TextoNormal"/>
      </w:pPr>
      <w:r>
        <w:t>Debe señalarse, en primer lugar, que la “relevancia” y el carácter “privilegiado” de la información son elementos normativos, y no fácticos, del tipo penal, que dependen de un juicio de valor que debe realizar el juzgador con arreglo a “criterios de experiencia” (STC 73/2007, de 16 de abril, FJ 4) y de acuerdo con los elementos de hecho que resultan de la prueba practicada (SSTC 68/2004, de 19 de abril, FJ 2, y 319/2006, de 15 de noviembre, FJ 2). A diferencia de la inferencia propia de la prueba indiciaria, la utilización de criterios de experiencia para valorar la concurrencia de un elemento normativo del tipo no persigue ningún efecto sustitutivo de una prueba directa coyunturalmente inasequible. Al contrario, es la propia naturaleza normativa del elemento típico la que obliga al juez a recurrir a dichos criterios. De ahí que las exigencias propias de la prueba indiciaria no deban trasladarse mecánicamente a la valoración de la concurrencia de un elemento normativo del tipo, ya que la actividad intelectual del juez no pretende, en este caso, probar un hecho (el típico) a través de otro hecho (el básico) sino que tiende, más bien, a comprobar que un juicio de valor es compatible con la prueba desarrollada en el seno del proceso, considerada en su conjunto. No se trata, pues, de ir de un hecho a otro a través de una inferencia sino de realizar una valoración jurídica con base en los hechos que han resultado probados.</w:t>
      </w:r>
    </w:p>
    <w:p w:rsidR="0085709A" w:rsidRDefault="0085709A" w:rsidP="0085709A">
      <w:pPr>
        <w:pStyle w:val="TextoNormal"/>
      </w:pPr>
    </w:p>
    <w:p w:rsidR="0085709A" w:rsidRDefault="0085709A" w:rsidP="0085709A">
      <w:pPr>
        <w:pStyle w:val="TextoNormal"/>
      </w:pPr>
      <w:r>
        <w:t>En estos casos en los que un elemento normativo del tipo penal exige “una valoración del juez”, el derecho a la presunción de inocencia impone, como ya tempranamente tuvo la oportunidad de señalar este Tribunal, que esa valoración se realice “ponderando todos los medios de prueba obrantes en autos” (SSTC 148/1985, de 30 de octubre, FJ 4; 22/1988, de 18 de febrero, FJ 3; 68/2004, de 19 de abril, FJ 2; y 319/2006, de 15 de noviembre, FJ 2). Como también hemos afirmado con anterioridad, el órgano jurisdiccional, al realizar esa ponderación, debe tener en cuenta la versión o la prueba de descargo aportada por los acusados, ya que el derecho a la presunción de inocencia “se extiende a verificar si se ha dejado de someter a valoración … la prueba de descargo aportada, exigiéndose ponderar los distintos elementos probatorios” (SSTC 104/2011, de 20 de junio, FJ 2, y 88/2013, de 11 de abril, FJ 12).</w:t>
      </w:r>
    </w:p>
    <w:p w:rsidR="0085709A" w:rsidRDefault="0085709A" w:rsidP="0085709A">
      <w:pPr>
        <w:pStyle w:val="TextoNormal"/>
      </w:pPr>
    </w:p>
    <w:p w:rsidR="0085709A" w:rsidRDefault="0085709A" w:rsidP="0085709A">
      <w:pPr>
        <w:pStyle w:val="TextoNormal"/>
      </w:pPr>
      <w:r>
        <w:lastRenderedPageBreak/>
        <w:t>De lo expuesto se infiere que nuestro cometido no es determinar si se han respetado los requisitos que, en defecto de prueba directa, permiten fundar la condena en una prueba meramente indiciaria. De acuerdo con la doctrina de este Tribunal, debemos comprobar, más bien, si la valoración de dos “elementos normativos” previstos en el art. 285.1 CP se ha llevado a efecto ponderando suficientemente las pruebas practicadas y sin despreciar indebidamente las presentadas en descargo. La verificación de tales extremos debe sustanciarse, tal y como es doctrina consolidada por este Tribunal en materia de presunción de inocencia, en el ámbito de la razonabilidad del discurso que une la actividad probatoria con las conclusiones del juzgador, sin injerencia alguna en la actividad probatoria propiamente dicha, pues este Tribunal no puede sustituir a los Jueces y Magistrados del Poder Judicial en la función exclusiva que les atribuye el art. 117.3 CE (por todas, STC 76/2007, de 16 de abril, FJ 3).</w:t>
      </w:r>
    </w:p>
    <w:p w:rsidR="0085709A" w:rsidRDefault="0085709A" w:rsidP="0085709A">
      <w:pPr>
        <w:pStyle w:val="TextoNormal"/>
      </w:pPr>
    </w:p>
    <w:p w:rsidR="0085709A" w:rsidRDefault="0085709A" w:rsidP="0085709A">
      <w:pPr>
        <w:pStyle w:val="TextoNormal"/>
      </w:pPr>
      <w:r w:rsidRPr="0085709A">
        <w:rPr>
          <w:rStyle w:val="NumeroAFNegritaCaracter"/>
        </w:rPr>
        <w:t>5</w:t>
      </w:r>
      <w:r>
        <w:t>. Con estas premisas, debe analizarse primero la valoración relativa a la existencia de una “información relevante”. Si se leen los fragmentos de las resoluciones impugnadas que abordan este extremo, se constata, en primer lugar, que la información considerada relevante es la determinación tomada en octubre de 2006 por el consejo de administración de Cartera Hotelera de desprenderse de las acciones que constituían el único activo de esta entidad por un precio muy inferior del que cabía deducir de su cotización bursátil, en el entendimiento de que esa determinación se materializó finalmente en la venta acaecida en febrero de 2007.</w:t>
      </w:r>
    </w:p>
    <w:p w:rsidR="0085709A" w:rsidRDefault="0085709A" w:rsidP="0085709A">
      <w:pPr>
        <w:pStyle w:val="TextoNormal"/>
      </w:pPr>
    </w:p>
    <w:p w:rsidR="0085709A" w:rsidRDefault="0085709A" w:rsidP="0085709A">
      <w:pPr>
        <w:pStyle w:val="TextoNormal"/>
      </w:pPr>
      <w:r>
        <w:t>Desde el punto de vista de la ponderación de los medios de prueba, puede decirse que esta valoración estuvo apoyada en un soporte probatorio suficiente, pues la prueba documental practicada permitió comprobar que las características esenciales de la decisión de venta adoptada en octubre de 2006 –la afectación de la totalidad del activo patrimonial y el precio situado muy por debajo del deducible de la cotización— seguían presentes en la enajenación finalmente acaecida en febrero de 2007. En la medida en que los precios por acción eran sustancialmente iguales (4,94 y 4,5 € respectivamente) e iban referidos a todas las acciones de titularidad de Cartera Hotelera, las resoluciones judiciales concluyeron que la venta de 2007 respondió a la misma voluntad manifestada por el consejo de administración en octubre de 2006.</w:t>
      </w:r>
    </w:p>
    <w:p w:rsidR="0085709A" w:rsidRDefault="0085709A" w:rsidP="0085709A">
      <w:pPr>
        <w:pStyle w:val="TextoNormal"/>
      </w:pPr>
    </w:p>
    <w:p w:rsidR="0085709A" w:rsidRDefault="0085709A" w:rsidP="0085709A">
      <w:pPr>
        <w:pStyle w:val="TextoNormal"/>
      </w:pPr>
      <w:r>
        <w:t>En cuanto a la valoración de la prueba presentada por el actor, la lectura de las resoluciones demuestra que los tribunales de instancia y apelación la tuvieron en cuenta, si bien descartaron razonadamente su eficacia de descargo. Según las Sentencias dictadas, el recurrente de amparo trató de poner de manifiesto que la venta finalmente consumada no provenía de las negociaciones de las que él había tenido conocimiento en su condición de consejero de Cartera Hotelera. Las resoluciones judiciales restan importancia a esta actividad de descargo, pues consideran que la información relevante fue la decisión misma de vender en determinadas condiciones, al margen del concreto proceso negociador en el que esas condiciones resultaron aceptadas. Dicho de otro modo, la información “relevante” eran las condiciones de venta que Cartera Hotelera estaba dispuesta a aceptar —y no el concreto comprador u otras circunstancias accesorias ligadas a una negociación determinada—, pues eran justamente esas condiciones —venta íntegra del activo a bajo precio— las que, según las resoluciones impugnadas, permitían pronosticar el subsiguiente ajuste de la cotización bursátil.</w:t>
      </w:r>
    </w:p>
    <w:p w:rsidR="0085709A" w:rsidRDefault="0085709A" w:rsidP="0085709A">
      <w:pPr>
        <w:pStyle w:val="TextoNormal"/>
      </w:pPr>
    </w:p>
    <w:p w:rsidR="0085709A" w:rsidRDefault="0085709A" w:rsidP="0085709A">
      <w:pPr>
        <w:pStyle w:val="TextoNormal"/>
      </w:pPr>
      <w:r>
        <w:lastRenderedPageBreak/>
        <w:t>Desde esa comprensión de los hechos, los tribunales llegaron a la conclusión, en absoluto irrazonable, de que la decisión de venta adoptada por el recurrente de amparo en diciembre de 2006 le permitió anticiparse al esperado ajuste, que habría de producirse, antes o después, una vez que esas condiciones fueran materializadas en un proceso de negociación concreto. No se observa, por tanto, vulneración alguna del derecho a la presunción de inocencia, pues la valoración de la concurrencia del elemento normativo del tipo fue fruto de una ponderación suficiente y razonable de los elementos de prueba existentes en la que se tuvo suficientemente en cuenta la prueba de descargo aportada por el recurrente de amparo.</w:t>
      </w:r>
    </w:p>
    <w:p w:rsidR="0085709A" w:rsidRDefault="0085709A" w:rsidP="0085709A">
      <w:pPr>
        <w:pStyle w:val="TextoNormal"/>
      </w:pPr>
    </w:p>
    <w:p w:rsidR="0085709A" w:rsidRDefault="0085709A" w:rsidP="0085709A">
      <w:pPr>
        <w:pStyle w:val="TextoNormal"/>
      </w:pPr>
      <w:r w:rsidRPr="0085709A">
        <w:rPr>
          <w:rStyle w:val="NumeroAFNegritaCaracter"/>
        </w:rPr>
        <w:t>6</w:t>
      </w:r>
      <w:r>
        <w:t>. Otro tanto puede decirse de la alegación del actor relativa a la falta de prueba del carácter “privilegiado” de la información. El recurrente entiende que la información de la que tuvo conocimiento estuvo en todo momento al alcance del resto de inversores, ya que fue divulgada por la prensa económica. Las resoluciones impugnadas realizan un análisis pormenorizado de los recortes de prensa aportados por el recurrente en el trámite de cuestiones previas y concluyen que las noticias aparecidas en prensa fueron “inexactas” y “contradictorias” ya que hicieron referencia a distintas cantidades, nunca coincidentes, supuestamente ofrecidas a Cartera Hotelera por eventuales compradores. Ninguna de estas noticias dio cuenta, en cambio, de la información realmente relevante, que, según reiteran las resoluciones, era el precio por acción que Cartera Hotelera estaba dispuesta a aceptar por su paquete accionarial en occidental. Las resoluciones estiman que, al no haber trascendido los datos verdaderamente decisivos, la información tuvo carácter “privilegiado”, pues el recurrente sólo pudo conocerla en su condición de miembro del consejo de administración de Cartera Hotelera, posición que le daba una evidente ventaja frente al resto de inversores.</w:t>
      </w:r>
    </w:p>
    <w:p w:rsidR="0085709A" w:rsidRDefault="0085709A" w:rsidP="0085709A">
      <w:pPr>
        <w:pStyle w:val="TextoNormal"/>
      </w:pPr>
    </w:p>
    <w:p w:rsidR="0085709A" w:rsidRDefault="0085709A" w:rsidP="0085709A">
      <w:pPr>
        <w:pStyle w:val="TextoNormal"/>
      </w:pPr>
      <w:r>
        <w:t>Tampoco se observa, en este caso, violación alguna del derecho del recurrente a la presunción de inocencia, ya que la ponderación realizada vuelve a tener suficientemente en cuenta los datos que fueron aportados en descargo.</w:t>
      </w:r>
    </w:p>
    <w:p w:rsidR="0085709A" w:rsidRDefault="0085709A" w:rsidP="0085709A">
      <w:pPr>
        <w:pStyle w:val="TextoNormal"/>
      </w:pPr>
    </w:p>
    <w:p w:rsidR="0085709A" w:rsidRDefault="0085709A" w:rsidP="0085709A">
      <w:pPr>
        <w:pStyle w:val="TextoNormal"/>
      </w:pPr>
      <w:r w:rsidRPr="0085709A">
        <w:rPr>
          <w:rStyle w:val="NumeroAFNegritaCaracter"/>
        </w:rPr>
        <w:t>7</w:t>
      </w:r>
      <w:r>
        <w:t>. Resta por analizar, dentro del primer motivo de la demanda, la queja referente al cómputo del beneficio obtenido por el autor del delito. Ésta es, en principio, la única de las tres quejas planteadas por el recurrente que versa sobre un elemento fáctico del tipo penal susceptible de ser analizado desde la perspectiva constitucional que propone, que es la propia de la prueba indiciaria. Sin embargo, una lectura atenta de las resoluciones impugnadas vuelve a poner de manifiesto que la lesión denunciada tampoco está ligada a la dinámica propia de este tipo de prueba.</w:t>
      </w:r>
    </w:p>
    <w:p w:rsidR="0085709A" w:rsidRDefault="0085709A" w:rsidP="0085709A">
      <w:pPr>
        <w:pStyle w:val="TextoNormal"/>
      </w:pPr>
    </w:p>
    <w:p w:rsidR="0085709A" w:rsidRDefault="0085709A" w:rsidP="0085709A">
      <w:pPr>
        <w:pStyle w:val="TextoNormal"/>
      </w:pPr>
      <w:r>
        <w:t>En la demanda de amparo se alega que las Sentencias dictadas por el Juzgado de lo Penal y la Audiencia Provincial despreciaron las pruebas aportadas por la defensa que ponían de manifiesto que el beneficio realmente obtenido por el recurrente había sido muy inferior a los 600.000 € fijados por el art. 285.1 CP —como límite mínimo establecido en dicho precepto para apreciar la existencia de delito—. Se afirma, así, que el contrato de 16 de marzo de 1994, aportado a las actuaciones, demostraba que el actor compartía con sus tres hermanos el fideicomiso de las acciones vendidas en diciembre de 2006. Según el recurrente, si se hubiera tenido en cuenta dicho documento, la única conclusión lógica habría sido la de atribuirle una cuarta parte del beneficio total de la operación (cifrado en 1.564.603,25 €), lo que habría debido llevar al dictado de una Sentencia absolutoria, al no rebasar dicha fracción de la cantidad total el límite típico de los 600.000 €.</w:t>
      </w:r>
    </w:p>
    <w:p w:rsidR="0085709A" w:rsidRDefault="0085709A" w:rsidP="0085709A">
      <w:pPr>
        <w:pStyle w:val="TextoNormal"/>
      </w:pPr>
    </w:p>
    <w:p w:rsidR="0085709A" w:rsidRDefault="0085709A" w:rsidP="0085709A">
      <w:pPr>
        <w:pStyle w:val="TextoNormal"/>
      </w:pPr>
      <w:r>
        <w:lastRenderedPageBreak/>
        <w:t>Estas alegaciones del recurrente tropiezan, nuevamente, con el verdadero contenido de las resoluciones impugnadas, que fundan el beneficio individualmente obtenido por el actor en una prueba documental directa. En efecto, la lectura de la Sentencia dictada por el Juzgado de lo Penal demuestra que el órgano judicial tuvo presente el referido contrato de 16 de marzo de 1994 —en el que, ciertamente, se estableció un fideicomiso compartido por el recurrente con sus tres hermanos—. No obstante, la referida resolución constató igualmente, de acuerdo con la documental contenida en el anexo 20 de las actuaciones, que con posterioridad a dicho negocio jurídico se celebró un segundo contrato, de fecha 2 de diciembre de 1998, que dejó al demandante de amparo en la posición de fideicomisario único de las acciones de Sea Management. Este contrato estuvo en vigor hasta el mes de julio de 2008 —y, por ello, la resolución entiende que era el vigente cuando el recurrente procedió a la venta de las acciones—.</w:t>
      </w:r>
    </w:p>
    <w:p w:rsidR="0085709A" w:rsidRDefault="0085709A" w:rsidP="0085709A">
      <w:pPr>
        <w:pStyle w:val="TextoNormal"/>
      </w:pPr>
    </w:p>
    <w:p w:rsidR="0085709A" w:rsidRDefault="0085709A" w:rsidP="0085709A">
      <w:pPr>
        <w:pStyle w:val="TextoNormal"/>
      </w:pPr>
      <w:r>
        <w:t>Estos datos revelan que no estamos, como pretende el recurrente, ante indicios y contraindicios en pugna, sino ante una prueba directa que, de acuerdo con lo expuesto en las resoluciones combatidas por el actor, llevó a los órganos del Poder Judicial a considerar plenamente probado que el recurrente fue el beneficiario único de la venta efectuada en diciembre de 2006, descartando —por un puro tracto cronológico— la alegación formulada en su descargo. Tampoco en este punto puede acogerse, pues, la alegada vulneración del derecho a la presunción de inocencia.</w:t>
      </w:r>
    </w:p>
    <w:p w:rsidR="0085709A" w:rsidRDefault="0085709A" w:rsidP="0085709A">
      <w:pPr>
        <w:pStyle w:val="TextoNormal"/>
      </w:pPr>
    </w:p>
    <w:p w:rsidR="0085709A" w:rsidRDefault="0085709A" w:rsidP="0085709A">
      <w:pPr>
        <w:pStyle w:val="TextoNormal"/>
      </w:pPr>
      <w:r w:rsidRPr="0085709A">
        <w:rPr>
          <w:rStyle w:val="NumeroAFNegritaCaracter"/>
        </w:rPr>
        <w:t>8</w:t>
      </w:r>
      <w:r>
        <w:t>. El recurrente plantea, como segundo motivo de amparo, la violación de sus derechos a la tutela judicial efectiva y a la legalidad penal. Dicha lesión deriva, en su opinión, de la interpretación “extensiva, arbitraria, irrazonable y contra reo” que las resoluciones impugnadas habrían efectuado en relación con cuatro exigencias típicas del art. 285.1 CP: (i) la conexión causal entre la información privilegiada y el beneficio obtenido, (ii) la confidencialidad de esa información (iii) su carácter concreto y (iv) la naturaleza individualizada del beneficio.</w:t>
      </w:r>
    </w:p>
    <w:p w:rsidR="0085709A" w:rsidRDefault="0085709A" w:rsidP="0085709A">
      <w:pPr>
        <w:pStyle w:val="TextoNormal"/>
      </w:pPr>
    </w:p>
    <w:p w:rsidR="0085709A" w:rsidRDefault="0085709A" w:rsidP="0085709A">
      <w:pPr>
        <w:pStyle w:val="TextoNormal"/>
      </w:pPr>
      <w:r>
        <w:t xml:space="preserve">Hemos de recordar, como premisa general, que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 Esta violación del art. 25.1 CE puede proceder de la interpretación misma del precepto sustantivo aplicado, ya que el Juez puede atribuir a la norma penal un contenido que exceda, en perjuicio del acusado, del tenor literal posible del precepto, incurriendo en tal caso en una analogía </w:t>
      </w:r>
      <w:r w:rsidRPr="0085709A">
        <w:rPr>
          <w:i/>
        </w:rPr>
        <w:t>in malam partem</w:t>
      </w:r>
      <w:r>
        <w:t xml:space="preserve"> que ha de entenderse constitucionalmente proscrita. Cuando la interpretación de la norma sustantiva resulta, en cambio, compatible con el tenor literal posible de la norma aplicada, la lesión del art. 25.1 CE puede derivar del juicio de subsunción que se realiza con base a los hechos probados. De acuerdo con nuestra doctrina, ese juicio de subsunción debe respetar un doble parámetro de razonabilidad: (i) el metodológico, que exige que no incurra en quiebras lógicas y que sea acorde con los modelos de argumentación aceptados dentro de la comunidad jurídica, y (ii) el axiológico, que requiere que se ajuste a los criterios y valores que informan nuestro ordenamiento constitucional (SSTC 138/2004, de 13 de septiembre, FJ 3; 242/2005, de 10 de octubre, FJ 4; 9/2006, de 16 de enero, FJ 4; 242/2005, de 10 de octubre, FJ 4; 262/2006, de 11 de septiembre, FJ 4, 129/2008, de 27 de octubre, FJ 3; 91/2009, de 20 de abril, FJ 6; </w:t>
      </w:r>
      <w:r>
        <w:lastRenderedPageBreak/>
        <w:t>153/2011, de 17 de octubre, FJ 8; y 196/2013, de 2 de diciembre, FJ 5). El canon de razonabilidad que impone el art. 25.1 CE es, pues, más exigente que el que, por norma general, caracteriza al derecho a la tutela judicial efectiva (art. 24.1 CE). Por ello, dicho canon ha de ser nuestro parámetro principal para examinar la lesión denunciada por el recurrente.</w:t>
      </w:r>
    </w:p>
    <w:p w:rsidR="0085709A" w:rsidRDefault="0085709A" w:rsidP="0085709A">
      <w:pPr>
        <w:pStyle w:val="TextoNormal"/>
      </w:pPr>
    </w:p>
    <w:p w:rsidR="0085709A" w:rsidRDefault="0085709A" w:rsidP="0085709A">
      <w:pPr>
        <w:pStyle w:val="TextoNormal"/>
      </w:pPr>
      <w:r w:rsidRPr="0085709A">
        <w:rPr>
          <w:rStyle w:val="NumeroAFNegritaCaracter"/>
        </w:rPr>
        <w:t>9</w:t>
      </w:r>
      <w:r>
        <w:t>. Hecha esta aclaración, puede advertirse que las objeciones planteadas por el actor en relación con el nexo causal y el carácter concreto y reservado de la información privilegiada no derivan de la interpretación misma del art. 285.1 CP. Apoyándose en el art. 81 de la Ley de mercado de valores (en sus distintas redacciones), en el Derecho de la Unión Europea (en particular, en las Directivas 2003/124/CE y 2003/6/CE), en la interpretación realizada por la Sala de lo Contencioso-Administrativo de la Audiencia Nacional y en el criterio mantenido por la propia Audiencia Provincial de Madrid, la Sentencia condenatoria considera, con abundante cita doctrinal, que el artículo 285.1 CP exige una información concreta –que no consista en meros “rumores o conjeturas”—, confidencial —lo que exige que “no haya sido notificada, publicada o divulgada”—, y con capacidad de influir de manera apreciable en el mercado —lo que implica una conexión causal con el beneficio finalmente obtenido por el autor del delito—.</w:t>
      </w:r>
    </w:p>
    <w:p w:rsidR="0085709A" w:rsidRDefault="0085709A" w:rsidP="0085709A">
      <w:pPr>
        <w:pStyle w:val="TextoNormal"/>
      </w:pPr>
    </w:p>
    <w:p w:rsidR="0085709A" w:rsidRDefault="0085709A" w:rsidP="0085709A">
      <w:pPr>
        <w:pStyle w:val="TextoNormal"/>
      </w:pPr>
      <w:r>
        <w:t>Estos parámetros interpretativos son los mismos que el recurrente deduce del tenor literal posible del precepto. Ha de entenderse, por ello, que —a salvo de lo que se dirá sobre el beneficio individualizado— la violación que se denuncia se ha materializado en el ámbito del juicio de subsunción. No obstante, las tachas de irrazonabilidad señaladas por el actor tropiezan en este punto con un importante escollo: la reconstrucción que el recurrente realiza del juicio de subsunción guarda poca o ninguna relación con el que realmente efectúan los órganos judiciales en las resoluciones cuestionadas. Atendiendo al contenido de dichas resoluciones, puede advertirse que el juicio de subsunción difiere del transcrito en la demanda de amparo en los siguientes extremos:</w:t>
      </w:r>
    </w:p>
    <w:p w:rsidR="0085709A" w:rsidRDefault="0085709A" w:rsidP="0085709A">
      <w:pPr>
        <w:pStyle w:val="TextoNormal"/>
      </w:pPr>
    </w:p>
    <w:p w:rsidR="0085709A" w:rsidRDefault="0085709A" w:rsidP="0085709A">
      <w:pPr>
        <w:pStyle w:val="TextoNormal"/>
      </w:pPr>
      <w:r>
        <w:t>a) El actor estima, en primer lugar, que no existió nexo causal alguno entre la información de la que dispuso y la que provocó el desplome bursátil de Cartera Hotelera, pues el proceso de negociación del que tuvo conocimiento en octubre de 2006 no fue el mismo que finalmente dio lugar a la venta de las acciones de la entidad. Sin embargo, como ya hemos tenido la oportunidad de señalar, las resoluciones impugnadas no identifican la información relevante con una determinada negociación en curso. Para ellas, el extremo fáctico que constituye la “información privilegiada” es la voluntad conformada en el consejo de administración de 16 de octubre de 2006 de vender todo el activo patrimonial de Cartera Hotelera a un precio notablemente inferior al deducible de la cotización bursátil de la entidad. Desde esta óptica, entienden que la depreciación de las acciones de la compañía no se debió a ninguna circunstancia particular ligada a las peculiaridades de un proceso de negociación concreto sino a las condiciones que Cartera Hotelera estaba dispuesta a aceptar y que finalmente se materializaron en febrero de 2007 —momento en el que, al desprenderse la sociedad de su único activo, su valor bursátil descendió hasta alcanzar el precio obtenido en subrogación del mismo—.</w:t>
      </w:r>
    </w:p>
    <w:p w:rsidR="0085709A" w:rsidRDefault="0085709A" w:rsidP="0085709A">
      <w:pPr>
        <w:pStyle w:val="TextoNormal"/>
      </w:pPr>
    </w:p>
    <w:p w:rsidR="0085709A" w:rsidRDefault="0085709A" w:rsidP="0085709A">
      <w:pPr>
        <w:pStyle w:val="TextoNormal"/>
      </w:pPr>
      <w:r>
        <w:t xml:space="preserve">b) En cuanto al carácter reservado de la información típica, en nada afecta al juicio de subsunción efectuado el hecho de que las negociaciones que estaban en curso en octubre de 2006 fueran divulgadas por la prensa económica, ya que fueron los datos que no aparecieron en los medios de comunicación —en concreto, el acuerdo adoptado por Cartera Hotelera </w:t>
      </w:r>
      <w:r>
        <w:lastRenderedPageBreak/>
        <w:t>para desprenderse a un determinado precio de su participación en Occidental— los que generaron, según las referidas resoluciones, una depreciación significativa de las acciones de la entidad.</w:t>
      </w:r>
    </w:p>
    <w:p w:rsidR="0085709A" w:rsidRDefault="0085709A" w:rsidP="0085709A">
      <w:pPr>
        <w:pStyle w:val="TextoNormal"/>
      </w:pPr>
    </w:p>
    <w:p w:rsidR="0085709A" w:rsidRDefault="0085709A" w:rsidP="0085709A">
      <w:pPr>
        <w:pStyle w:val="TextoNormal"/>
      </w:pPr>
      <w:r>
        <w:t>c) En relación con la existencia de una información “concreta”, susceptible de sustentar la condena de acuerdo con el art. 285.1 CP, el actor entiende que la falta de razonabilidad del juicio de subsunción obedece a que el indicado precio de 4,94 € por acción no fue más que una mera propuesta que no llegó a aprobarse, por lo que carecía de capacidad real para influir en la cotización bursátil de la entidad. Esta alegación del actor fue expresamente descartada por las resoluciones impugnadas, que dieron por probado que el consejo de administración de Cartera Hotelera tomó la decisión firme de aceptar cualquier oferta que alcanzara el precio aludido. El cuestionamiento del juicio de subsunción enmascara, pues, en este caso, una pura discrepancia probatoria, que no puede ser revisada desde la óptica del art. 25.1 CE, ya que la violación de este derecho fundamental, al afectar a la incardinación en una norma sustantiva de los hechos considerados probados, se ha de producir en un momento posterior al de la crítica de la prueba.</w:t>
      </w:r>
    </w:p>
    <w:p w:rsidR="0085709A" w:rsidRDefault="0085709A" w:rsidP="0085709A">
      <w:pPr>
        <w:pStyle w:val="TextoNormal"/>
      </w:pPr>
    </w:p>
    <w:p w:rsidR="0085709A" w:rsidRDefault="0085709A" w:rsidP="0085709A">
      <w:pPr>
        <w:pStyle w:val="TextoNormal"/>
      </w:pPr>
      <w:r>
        <w:t>En suma, la subsunción que realizan las Sentencias impugnadas difiere notablemente, en sus presupuestos fácticos, de la descrita en la demanda de amparo, sin que quepa formular tacha de irrazonabilidad alguna, ni en el plano argumental ni en el axiológico, al juicio aplicativo verdaderamente efectuado por los órganos del Poder Judicial.</w:t>
      </w:r>
    </w:p>
    <w:p w:rsidR="0085709A" w:rsidRDefault="0085709A" w:rsidP="0085709A">
      <w:pPr>
        <w:pStyle w:val="TextoNormal"/>
      </w:pPr>
    </w:p>
    <w:p w:rsidR="0085709A" w:rsidRDefault="0085709A" w:rsidP="0085709A">
      <w:pPr>
        <w:pStyle w:val="TextoNormal"/>
      </w:pPr>
      <w:r w:rsidRPr="0085709A">
        <w:rPr>
          <w:rStyle w:val="NumeroAFNegritaCaracter"/>
        </w:rPr>
        <w:t>10</w:t>
      </w:r>
      <w:r>
        <w:t>. El recurrente considera, finalmente, que el tenor literal del art. 285.1 CP sólo admite un cómputo individualizado del beneficio obtenido. En este caso, la vulneración del art. 25.1 CE se plantea, por tanto, en el ámbito de la interpretación del tipo.</w:t>
      </w:r>
    </w:p>
    <w:p w:rsidR="0085709A" w:rsidRDefault="0085709A" w:rsidP="0085709A">
      <w:pPr>
        <w:pStyle w:val="TextoNormal"/>
      </w:pPr>
    </w:p>
    <w:p w:rsidR="0085709A" w:rsidRDefault="0085709A" w:rsidP="0085709A">
      <w:pPr>
        <w:pStyle w:val="TextoNormal"/>
      </w:pPr>
      <w:r>
        <w:t>El actor vuelve a partir, sin embargo, de un presupuesto fáctico ajeno a los hechos declarados probados. Debemos recordar, tal y como señalamos al abordar la posible violación del art. 24.2 CE, que la Sentencia de instancia consideró probado que la ganancia de la operación fue íntegramente percibida por el recurrente, como único fideicomisario de las acciones de Sea Management. De ahí que la argumentación de la Sentencia del Juzgado de lo Penal sobre la posibilidad de computar el beneficio generado a terceras personas se realice, según declara expresamente dicha resolución, a simples “efectos dialécticos”. No procede, por tanto, que este Tribunal revise, a mera prevención, la compatibilidad con el art. 25.1 CE de una interpretación del tipo penal que no guarda relación directa con la condena impuesta.</w:t>
      </w:r>
    </w:p>
    <w:p w:rsidR="0085709A" w:rsidRDefault="0085709A" w:rsidP="0085709A">
      <w:pPr>
        <w:pStyle w:val="TextoNormal"/>
      </w:pPr>
    </w:p>
    <w:p w:rsidR="0085709A" w:rsidRDefault="0085709A" w:rsidP="0085709A">
      <w:pPr>
        <w:pStyle w:val="TextoNormal"/>
      </w:pPr>
      <w:r w:rsidRPr="0085709A">
        <w:rPr>
          <w:rStyle w:val="NumeroAFNegritaCaracter"/>
        </w:rPr>
        <w:t>11</w:t>
      </w:r>
      <w:r>
        <w:t>. Lo expuesto determina la desestimación del recurso de amparo.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solicitado por don Javier Merino de la Cuesta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 w:name="SENTENCIA_2015_3"/>
      <w:r>
        <w:lastRenderedPageBreak/>
        <w:t>SENTENCIA 3/2015, de 19 de enero de 2015</w:t>
      </w:r>
    </w:p>
    <w:bookmarkEnd w:id="6"/>
    <w:p w:rsidR="0085709A" w:rsidRDefault="0085709A" w:rsidP="0085709A">
      <w:pPr>
        <w:pStyle w:val="TtuloResolucin"/>
      </w:pPr>
      <w:r>
        <w:t>Sala Segunda</w:t>
      </w:r>
    </w:p>
    <w:p w:rsidR="0085709A" w:rsidRDefault="0085709A" w:rsidP="0085709A">
      <w:pPr>
        <w:pStyle w:val="TtuloBOE"/>
      </w:pPr>
      <w:r>
        <w:t>(BOE núm. 47, de 24 de febrero de 2015)</w:t>
      </w:r>
    </w:p>
    <w:p w:rsidR="0085709A" w:rsidRDefault="0085709A" w:rsidP="0085709A">
      <w:pPr>
        <w:pStyle w:val="TextoNormalCentrado"/>
      </w:pPr>
      <w:r>
        <w:t>ECLI:ES:TC:2015:3</w:t>
      </w:r>
    </w:p>
    <w:p w:rsidR="0085709A" w:rsidRDefault="0085709A" w:rsidP="0085709A">
      <w:pPr>
        <w:pStyle w:val="TextoNormalCentrado"/>
      </w:pPr>
    </w:p>
    <w:p w:rsidR="0085709A" w:rsidRDefault="0085709A" w:rsidP="0085709A">
      <w:pPr>
        <w:pStyle w:val="SntesisDescriptiva"/>
      </w:pPr>
      <w:r>
        <w:t>Cuestión de inconstitucionalidad 7045-2013. Planteada por la Audiencia Provincial de Barcelona en relación con el segundo párrafo del artículo 623.1 del Código penal.</w:t>
      </w:r>
    </w:p>
    <w:p w:rsidR="0085709A" w:rsidRDefault="0085709A" w:rsidP="0085709A">
      <w:pPr>
        <w:pStyle w:val="SntesisDescriptiva"/>
      </w:pPr>
    </w:p>
    <w:p w:rsidR="0085709A" w:rsidRDefault="0085709A" w:rsidP="0085709A">
      <w:pPr>
        <w:pStyle w:val="SntesisAnaltica"/>
      </w:pPr>
      <w:r>
        <w:t>Derechos a la presunción de inocencia y a la legalidad penal; principio de seguridad jurídica: interpretación conforme con la Constitución del precepto legal relativo a la reiteración de las faltas de hurto (STC 185/2014).</w:t>
      </w:r>
    </w:p>
    <w:p w:rsidR="0085709A" w:rsidRDefault="0085709A" w:rsidP="0085709A">
      <w:pPr>
        <w:pStyle w:val="SntesisAnaltica"/>
      </w:pPr>
    </w:p>
    <w:p w:rsidR="0085709A" w:rsidRDefault="0085709A" w:rsidP="0085709A">
      <w:pPr>
        <w:pStyle w:val="Extracto"/>
      </w:pPr>
      <w:r>
        <w:t>1.</w:t>
      </w:r>
      <w:r>
        <w:tab/>
        <w:t>Asunto idéntico al resuelto por la STC 185/2014 [FJ 1].</w:t>
      </w:r>
    </w:p>
    <w:p w:rsidR="0085709A" w:rsidRDefault="0085709A" w:rsidP="0085709A">
      <w:pPr>
        <w:pStyle w:val="Extracto"/>
      </w:pPr>
    </w:p>
    <w:p w:rsidR="0085709A" w:rsidRDefault="0085709A" w:rsidP="0085709A">
      <w:pPr>
        <w:pStyle w:val="Extracto"/>
      </w:pPr>
      <w:r>
        <w:t>2.</w:t>
      </w:r>
      <w:r>
        <w:tab/>
        <w:t>Es requisito de apreciación de reiteración de faltas de hurto la previa comisión de varias infracciones en un plazo temporal próximo, probadas y declaradas como tales en previa sentencia firme, sin que pueda bastar para su apreciación la existencia de previas denuncias, imputaciones o condenas no firmes (STC 185/2014) [FJ 3].</w:t>
      </w:r>
    </w:p>
    <w:p w:rsidR="0085709A" w:rsidRDefault="0085709A" w:rsidP="0085709A">
      <w:pPr>
        <w:pStyle w:val="Extracto"/>
      </w:pPr>
    </w:p>
    <w:p w:rsidR="0085709A" w:rsidRDefault="0085709A" w:rsidP="0085709A">
      <w:pPr>
        <w:pStyle w:val="Extracto"/>
      </w:pPr>
      <w:r>
        <w:t>3.</w:t>
      </w:r>
      <w:r>
        <w:tab/>
        <w:t>No hubo divergencia entre los reproches de inconstitucionalidad que el órgano judicial desarrolló en el Auto de planteamiento y los que esbozó mediante providencia, por lo que las partes pudieron determinar cuál era la eventual duda de constitucionalidad (SSTC 183/2013, 38/2014; ATC 57/2014) [FJ 2 a)].</w:t>
      </w:r>
    </w:p>
    <w:p w:rsidR="0085709A" w:rsidRDefault="0085709A" w:rsidP="0085709A">
      <w:pPr>
        <w:pStyle w:val="Extracto"/>
      </w:pPr>
    </w:p>
    <w:p w:rsidR="0085709A" w:rsidRDefault="0085709A" w:rsidP="0085709A">
      <w:pPr>
        <w:pStyle w:val="Extracto"/>
      </w:pPr>
      <w:r>
        <w:t>4.</w:t>
      </w:r>
      <w:r>
        <w:tab/>
        <w:t>Se supera el control sobre el juicio de relevancia que debe atender tanto a si la constitucionalidad afecta a la regla legal en la que debe fundamentarse la resolución, como a si el pronunciamiento sobre la validez condiciona la resolución del juzgador [FJ 2 b)].</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7045-2013, planteada por la Sección Sexta de la Audiencia Provincial de Barcelona en relación con el art. 623.1 párrafo segundo del Código penal, por posible vulneración de los arts. 24.2, 25.1 y 9.3 CE. Han formulado ale</w:t>
      </w:r>
      <w:r>
        <w:lastRenderedPageBreak/>
        <w:t>gaciones el Abogado del Estado y el Fiscal General del Estado y se han personado el Congreso y el Senado.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3 de diciembre de 2014 tuvo entrada en el Registro General de este Tribunal un escrito de la Sección Sexta de la Audiencia Provincial de Barcelona al que se acompaña, junto con el testimonio del correspondiente procedimiento (recurso de apelación de juicio de faltas núm. 79-2013), el Auto de 8 de noviembre de 2013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0085709A" w:rsidRDefault="0085709A" w:rsidP="0085709A">
      <w:pPr>
        <w:pStyle w:val="TextoNormal"/>
      </w:pPr>
    </w:p>
    <w:p w:rsidR="0085709A" w:rsidRDefault="0085709A" w:rsidP="0085709A">
      <w:pPr>
        <w:pStyle w:val="TextoNormal"/>
      </w:pPr>
      <w:r>
        <w:t>La cuestión de inconstitucionalidad se propone por el mismo órgano judicial que planteó la cuestión registrada con el núm. 5318-2013, resuelta por el Pleno de este Tribunal en STC 185/2014, de 6 de noviembre, en la que se abordaron las dudas de constitucionalidad formuladas ahora en idénticos términos en el Auto de planteamiento.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presente cuestión, según resulta del Auto de planteamiento y de la documentación adjunta, son los siguientes:</w:t>
      </w:r>
    </w:p>
    <w:p w:rsidR="0085709A" w:rsidRDefault="0085709A" w:rsidP="0085709A">
      <w:pPr>
        <w:pStyle w:val="TextoNormal"/>
      </w:pPr>
    </w:p>
    <w:p w:rsidR="0085709A" w:rsidRDefault="0085709A" w:rsidP="0085709A">
      <w:pPr>
        <w:pStyle w:val="TextoNormal"/>
      </w:pPr>
      <w:r>
        <w:t xml:space="preserve">a) Doña Erika Osmanovic fue condenada en el juicio de faltas núm. 182-2013 seguido ante el Juzgado de Instrucción núm. 1 de Barcelona, por Sentencia de 18 de marzo de 2013, como autora de una falta de hurto prevista y penada en el art. 623.1 del Código penal (CP), donde se le impuso la pena de diez días de localización permanente a cumplir en centro penitenciario.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tercero de la Sentencia impuso la pena de localización permanente “dado que a las denunciadas les constan varios antecedentes policiales por faltas de hurto reiteradas y que habitualmente cometen este tipo de hechos como </w:t>
      </w:r>
      <w:r w:rsidRPr="0085709A">
        <w:rPr>
          <w:i/>
        </w:rPr>
        <w:t>modus vivendi</w:t>
      </w:r>
      <w:r>
        <w:t xml:space="preserve"> según manifestaciones del testigo Guarda Urbano”.</w:t>
      </w:r>
    </w:p>
    <w:p w:rsidR="0085709A" w:rsidRDefault="0085709A" w:rsidP="0085709A">
      <w:pPr>
        <w:pStyle w:val="TextoNormal"/>
      </w:pPr>
    </w:p>
    <w:p w:rsidR="0085709A" w:rsidRDefault="0085709A" w:rsidP="0085709A">
      <w:pPr>
        <w:pStyle w:val="TextoNormal"/>
      </w:pPr>
      <w:r>
        <w:t>b) La Sentencia fue recurrida en apelación por dos motivos: se niega que existiera prueba de cargo suficiente, ya que la víctima no compareció en el juicio oral; subsidiariamente, se rechaza que existan elementos suficientes para imponer la pena de localización permanente, ya que el art. 623.1 CP al sancionar la perpetración reiterada de faltas adolece de indeterminación contraria al principio de legalidad y al no exigir que las infracciones hayan sido enjuiciadas vulnera el principio de presunción de inocencia.</w:t>
      </w:r>
    </w:p>
    <w:p w:rsidR="0085709A" w:rsidRDefault="0085709A" w:rsidP="0085709A">
      <w:pPr>
        <w:pStyle w:val="TextoNormal"/>
      </w:pPr>
    </w:p>
    <w:p w:rsidR="0085709A" w:rsidRDefault="0085709A" w:rsidP="0085709A">
      <w:pPr>
        <w:pStyle w:val="TextoNormal"/>
      </w:pPr>
      <w:r>
        <w:t xml:space="preserve">c) Una vez finalizada la tramitación del recurso como el rollo de apelación núm. 79-2013, mediante providencia de 5 de septiembre de 2013, el Magistrado designado para conocer como órgano unipersonal del recurso de apelación, de conformidad con lo dispuesto en el </w:t>
      </w:r>
      <w:r>
        <w:lastRenderedPageBreak/>
        <w:t>art. 35.2 de la Ley Orgánica del Tribunal Constitucional (LOTC), acordó conceder a las partes personadas un plazo de diez días para formular alegaciones sobre la oportunidad de promover cuestión de inconstitucionalidad respecto del art. 623.1 párrafo segundo CP, por su posible contradicción con los arts. 24.2, 25.1 y 9.3 CE. Considera el proponente que “la mención ‘hayan sido o no enjuiciadas’ es contraria al derecho fundamental a la presunción de inocencia reconocido en el artículo 24.2 CE, al permitir que hechos que no hayan sido declarados probados por una Sentencia firme sean considerados como cometidos para aplicar la respuesta penal agravada”, lo cual implica, añade, “una violación del principio de culpabilidad en su faceta de responsabilidad por el hecho”. La providencia se plantea que “hipotéticamente, cabría aventurar una posible ‘interpretación adecuadora’, que tendría más de operación reconstructiva, entendiendo que la citada mención ha de entenderse en el solo sentido de incluir los hechos que vayan a ser enjuiciados en el mismo procedimiento o los declarados probados en sentencia firme. Sin embargo, tal solución, a su juicio, forzaría la literalidad de la disposición y la génesis del precepto y tendría costes inasumibles desde la perspectiva del principio de seguridad jurídica (artículo 9.3 CE) y legalidad penal (artículo 25.1 CE), tanto en su vertiente formal (reserva de ley) como material (principio de taxatividad)”.</w:t>
      </w:r>
    </w:p>
    <w:p w:rsidR="0085709A" w:rsidRDefault="0085709A" w:rsidP="0085709A">
      <w:pPr>
        <w:pStyle w:val="TextoNormal"/>
      </w:pPr>
    </w:p>
    <w:p w:rsidR="0085709A" w:rsidRDefault="0085709A" w:rsidP="0085709A">
      <w:pPr>
        <w:pStyle w:val="TextoNormal"/>
      </w:pPr>
      <w:r>
        <w:t xml:space="preserve">d) El Ministerio Fiscal, mediante escrito presentado el 1 de octubre de 2013, sin entrar en el fondo, pero recordando que no puede prosperar una cuestión que plantee dudas interpretativas, consideró que “la norma cuestionada es determinante para la resolución del recurso porque ha sido el art. 623.1 CP el precepto aplicado al caso de autos por el juzgador </w:t>
      </w:r>
      <w:r w:rsidRPr="0085709A">
        <w:rPr>
          <w:i/>
        </w:rPr>
        <w:t>a quo</w:t>
      </w:r>
      <w:r>
        <w:t xml:space="preserve"> y el que debe aplicar, en su caso, el juzgador </w:t>
      </w:r>
      <w:r w:rsidRPr="0085709A">
        <w:rPr>
          <w:i/>
        </w:rPr>
        <w:t>ad quem</w:t>
      </w:r>
      <w:r>
        <w:t>, y que también el momento procesal es el oportuno, pues sólo resta dictar sentencia para concluir el rollo de apelación”. La apelante condenada dejó pasar el plazo sin presentar alegaciones.</w:t>
      </w:r>
    </w:p>
    <w:p w:rsidR="0085709A" w:rsidRDefault="0085709A" w:rsidP="0085709A">
      <w:pPr>
        <w:pStyle w:val="TextoNormal"/>
      </w:pPr>
    </w:p>
    <w:p w:rsidR="0085709A" w:rsidRDefault="0085709A" w:rsidP="0085709A">
      <w:pPr>
        <w:pStyle w:val="TextoNormal"/>
      </w:pPr>
      <w:r>
        <w:t>e) El órgano judicial dictó Auto el 8 de noviembre de 2013 en el que acordó plantear la presente cuestión de inconstitucionalidad en relación con el art. 623.1, párrafo segundo, CP por posible vulneración de los art. 24.2, 25.1 y 9.3 CE.</w:t>
      </w:r>
    </w:p>
    <w:p w:rsidR="0085709A" w:rsidRDefault="0085709A" w:rsidP="0085709A">
      <w:pPr>
        <w:pStyle w:val="TextoNormal"/>
      </w:pPr>
    </w:p>
    <w:p w:rsidR="0085709A" w:rsidRDefault="0085709A" w:rsidP="0085709A">
      <w:pPr>
        <w:pStyle w:val="TextoNormal"/>
      </w:pPr>
      <w:r w:rsidRPr="0085709A">
        <w:rPr>
          <w:rStyle w:val="NumeroAFNegritaCaracter"/>
        </w:rPr>
        <w:t>3</w:t>
      </w:r>
      <w:r>
        <w:t>. En la fundamentación jurídica del Auto de planteamiento, el órgano judicial proponente realiza las siguientes consideraciones:</w:t>
      </w:r>
    </w:p>
    <w:p w:rsidR="0085709A" w:rsidRDefault="0085709A" w:rsidP="0085709A">
      <w:pPr>
        <w:pStyle w:val="TextoNormal"/>
      </w:pPr>
    </w:p>
    <w:p w:rsidR="0085709A" w:rsidRDefault="0085709A" w:rsidP="0085709A">
      <w:pPr>
        <w:pStyle w:val="TextoNormal"/>
      </w:pPr>
      <w:r>
        <w:t>a) Inicia el desarrollo del juicio de relevancia constitucional señalando como objeto de la cuestión la cláusula definitoria de la reiteración contenida en el párrafo segundo del art. 623.1 CP y, en concreto, señala como fuente de las posibles vulneraciones constitucionales que se refiera a las “infracciones cometidas, hayan sido o no enjuiciadas”. A esa expresión atribuye, de un lado, la vulneración del derecho a la presunción de inocencia (art. 24.2 CE) y del principio de culpabilidad (cuya posible incardinación estaría en los arts. 10, 25.1, 15 y 24.2 CE) y, de otro lado, la del principio de legalidad penal y de seguridad jurídica (arts. 25.1 y 9.1 CE).</w:t>
      </w:r>
    </w:p>
    <w:p w:rsidR="0085709A" w:rsidRDefault="0085709A" w:rsidP="0085709A">
      <w:pPr>
        <w:pStyle w:val="TextoNormal"/>
      </w:pPr>
    </w:p>
    <w:p w:rsidR="0085709A" w:rsidRDefault="0085709A" w:rsidP="0085709A">
      <w:pPr>
        <w:pStyle w:val="TextoNormal"/>
      </w:pPr>
      <w:r>
        <w:t xml:space="preserve">b) El órgano judicial inicia la justificación de la lesión del derecho a la presunción de inocencia del art. 24.2 CE recordando que constituye un límite frente al legislador penal, que no puede introducir figuras delictivas basadas en hechos presuntos o en presunciones de culpabilidad. La dicción legal, que incluye faltas cometidas no enjuiciadas y enjuiciadas pero sin Sentencia firme, permite que hechos que no hayan sido declarados probados por una Sentencia firme sean considerados cometidos para aplicar la respuesta penal agravada, </w:t>
      </w:r>
      <w:r>
        <w:lastRenderedPageBreak/>
        <w:t>pues bastaría con acreditar que existen denuncias por faltas de hurto que han dado lugar a los correspondientes procedimientos en trámite o condenas previas no firmes. Asimismo considera que admitir que la acumulación de diversas denuncias o detenciones por presuntas faltas de hurto fuera suficiente para afirmar la condición de autor de las mismas en otro proceso (en el que se plantea la reiteración) viola el principio de culpabilidad en su faceta de responsabilidad por el hecho, que excluye la sanción por el modo de ser o de conducirse en la vida y precisa una Sentencia firme de condena previa la sustanciación de un proceso con todas las garantías.</w:t>
      </w:r>
    </w:p>
    <w:p w:rsidR="0085709A" w:rsidRDefault="0085709A" w:rsidP="0085709A">
      <w:pPr>
        <w:pStyle w:val="TextoNormal"/>
      </w:pPr>
    </w:p>
    <w:p w:rsidR="0085709A" w:rsidRDefault="0085709A" w:rsidP="0085709A">
      <w:pPr>
        <w:pStyle w:val="TextoNormal"/>
      </w:pPr>
      <w:r>
        <w:t>c) En segundo lugar, el órgano judicial desarrolla en el fundamento jurídico 7 del Auto la vulneración de los principios de legalidad penal y de seguridad jurídica, que vincula tanto a la propia norma como a la posibilidad de una interpretación conforme a la Constitución. Por lo que se refiere a la disposición recurrida, sostiene que una interpretación que sólo incluyera los hechos que vayan a ser enjuiciados en el mismo procedimiento o los declarados probados en Sentencia firme sería acorde con los principios de presunción de inocencia y de culpabilidad, pero no solucionaría los problemas de legalidad penal que presenta el precepto en la vertiente de taxatividad. Dado que su tenor literal permite interpretaciones lesivas de la presunción de inocencia y es preciso el complemento judicial para excluirlas, la disposición adolece de falta de certeza, lo que impide a sus destinatarios prever con suficiente seguridad el ámbito de lo prohibido y los efectos jurídicos de sus acciones, lo que a su vez supone una violación del derecho a la seguridad jurídica (art. 9.3 CE) tanto en su vertiente objetiva (certeza) como subjetiva (previsibilidad). Concluye el planteamiento del fundamento de la vulneración del principio de legalidad con el argumento de que la mediación de un Juez que interprete el precepto en el sentido conforme con la Constitución pugna además con la potestad exclusiva del legislador para definir los comportamientos penalmente reprensibles y compromete el principio de división de poderes en la medida en que la opción por una interpretación acomodada restringe el ámbito objetivo de la norma en un sentido contrario al que pretendió el legislador.</w:t>
      </w:r>
    </w:p>
    <w:p w:rsidR="0085709A" w:rsidRDefault="0085709A" w:rsidP="0085709A">
      <w:pPr>
        <w:pStyle w:val="TextoNormal"/>
      </w:pPr>
    </w:p>
    <w:p w:rsidR="0085709A" w:rsidRDefault="0085709A" w:rsidP="0085709A">
      <w:pPr>
        <w:pStyle w:val="TextoNormal"/>
      </w:pPr>
      <w:r>
        <w:t>Por lo que atañe a los problemas de legalidad de la interpretación conforme a la Constitución, considera que un entendimiento de la norma en el sentido de limitar las infracciones relevantes a las declaradas en Sentencia firme o a las enjuiciadas en el mismo procedimiento evitaría el reproche de lesión de la presunción de inocencia, pero sería una interpretación a caballo entre una “interpretación conforme” y una “reconstrucción” de la disposición, a cuya notable reducción del ámbito objetivo de la disposición cabe oponer tres objeciones: la génesis del precepto, su tenor literal y la vertiente formal (reserva de ley) y material (principio de taxatividad) del principio de legalidad. La duda sobre su amplitud y, en su caso, sobre la admisibilidad de tal reconstrucción así como la posibilidad de que la interpretación disconforme con el texto constitucional se imponga (posibilidad que acredita mediante un repaso por las distintas interpretaciones adoptadas por los órganos judiciales) lleva al proponente a insistir en la atribución al Tribunal Constitucional de la tarea de expulsar o acomodar en el ordenamiento a aquéllas disposiciones que incorporen contenidos susceptibles de interpretaciones incompatibles con la Constitución.</w:t>
      </w:r>
    </w:p>
    <w:p w:rsidR="0085709A" w:rsidRDefault="0085709A" w:rsidP="0085709A">
      <w:pPr>
        <w:pStyle w:val="TextoNormal"/>
      </w:pPr>
    </w:p>
    <w:p w:rsidR="0085709A" w:rsidRDefault="0085709A" w:rsidP="0085709A">
      <w:pPr>
        <w:pStyle w:val="TextoNormal"/>
      </w:pPr>
      <w:r>
        <w:t xml:space="preserve">d) El Auto concluye con el pertinente juicio de relevancia procesal, donde se defiende la relevancia de la norma cuestionada para la resolución del recurso de apelación, que juzga sustentado en dos motivos: la disconformidad con la Sentencia dictada y la disconformidad con la pena de localización permanente en centro penitenciario. Expone que la expulsión o </w:t>
      </w:r>
      <w:r>
        <w:lastRenderedPageBreak/>
        <w:t>la interpretación conforme a las exigencias constitucionales del cuestionado art. 623.1 CP, párrafo segundo, conllevaría su estimación, pues impediría atender al dato de que tenía varios antecedentes policiales por faltas de hurto reiteradas en el que se asienta la aplicación del precepto. Por otro lado, sostiene también que el momento procesal es el oportuno, pues está concluso el procedimiento y se plantea dentro del plazo para dictar Sentencia resolutoria del recurso de apelación.</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11 de febrero de 2014, el Pleno, a propuesta de la Sección Tercera de este Tribunal, acordó admitir a trámite la presente cuestión de inconstitucionalidad y deferir a la Sala Segunda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el día 20 de febrero de 2014, el Presidente del Congreso de los Diputados comunicó a este Tribunal que la Mesa de dicha Cámara acordó la personación en el proceso, ofreciendo su colaboración a los efectos del art. 88.1 LOTC. Por escrito registrado el 6 de marzo de 2014, el Presidente del Senado comunicó a este Tribunal que la Mesa de dicha Cámara acordó la personación en el proceso,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se personó en el procedimiento en nombre del Gobierno mediante escrito registrado el 4 de marzo de 2014 y formuló las alegaciones que se resumen a continuación, solicitando la desestimación íntegra de la cuestión planteada.</w:t>
      </w:r>
    </w:p>
    <w:p w:rsidR="0085709A" w:rsidRDefault="0085709A" w:rsidP="0085709A">
      <w:pPr>
        <w:pStyle w:val="TextoNormal"/>
      </w:pPr>
    </w:p>
    <w:p w:rsidR="0085709A" w:rsidRDefault="0085709A" w:rsidP="0085709A">
      <w:pPr>
        <w:pStyle w:val="TextoNormal"/>
      </w:pPr>
      <w:r>
        <w:t>El representante de Gobierno comienza con una precisión sobre el objeto de la cuestión y el significado del precepto cuestionado que adolece de confusión, pues lo entiende como una definición de la circunstancia de reiteración que “si concurre hace que la infracción penal pueda calificarse como delito, con arreglo a lo previsto en el art. 234 [CP]”, cuando su ámbito de aplicación es la reiteración de la falta de hurto que no alcanza a ser delito (por un importe total inferior a los 400 €) y su sentido es conducir a la pena de localización permanente, cuyo cumplimiento puede decretarse que se haga en centro penitenciario, e impedir que se imponga una pena de multa conforme al párrafo primero del art. 623.1 CP.</w:t>
      </w:r>
    </w:p>
    <w:p w:rsidR="0085709A" w:rsidRDefault="0085709A" w:rsidP="0085709A">
      <w:pPr>
        <w:pStyle w:val="TextoNormal"/>
      </w:pPr>
    </w:p>
    <w:p w:rsidR="0085709A" w:rsidRDefault="0085709A" w:rsidP="0085709A">
      <w:pPr>
        <w:pStyle w:val="TextoNormal"/>
      </w:pPr>
      <w:r>
        <w:t>El Abogado del Estado sostiene que cabe una interpretación alternativa del precepto acorde con la Constitución, que ha sido asumida por otros Tribunales, y que entiende que la locución “hayan sido o no enjuiciadas” pone de relieve la existencia de un presupuesto de hecho, el cual, como todo hecho traído a colación en el seno del proceso por la parte acusadora como fundamento de la acusación, ha de ser objeto de prueba. A pesar de ello, considera que el órgano proponente, al no compartir esa interpretación, eleva la cuestión al Tribunal al amparo del art. 37 LOTC de forma correcta.</w:t>
      </w:r>
    </w:p>
    <w:p w:rsidR="0085709A" w:rsidRDefault="0085709A" w:rsidP="0085709A">
      <w:pPr>
        <w:pStyle w:val="TextoNormal"/>
      </w:pPr>
    </w:p>
    <w:p w:rsidR="0085709A" w:rsidRDefault="0085709A" w:rsidP="0085709A">
      <w:pPr>
        <w:pStyle w:val="TextoNormal"/>
      </w:pPr>
      <w:r>
        <w:lastRenderedPageBreak/>
        <w:t>En el examen de la cuestión de fondo rechaza que se vulnere la presunción de inocencia con el argumento de que no se trata de una norma que restrinja el enjuiciamiento del supuesto de hecho en sí, limite las posibilidades de defensa del imputado o altere la carga de la prueba presumiendo una culpabilidad del acusado. La expresión “hayan sido o no enjuiciadas” se refiere a la circunstancia contingente de que las infracciones anteriores hayan sido o no objeto de enjuiciamiento, que como presupuesto de hecho debe probarse siguiendo los postulados del principio acusatorio. Tampoco comparte la denuncia de vulneración del principio de legalidad conforme al art. 25.1 CE, pues entiende, sin ulteriores razonamientos, que el precepto enuncia el supuesto de hecho definitorio de la conducta punible con claridad al ponerse en relación con la configuración del art. 234 CP, por lo que satisface la exigencia material de certeza, por lo que tampoco se ve lesionado el principio de seguridad jurídica consagrado en el art. 9.3 CE, y tiene rango de ley orgánica, por lo que se respeta la garantía formal.</w:t>
      </w:r>
    </w:p>
    <w:p w:rsidR="0085709A" w:rsidRDefault="0085709A" w:rsidP="0085709A">
      <w:pPr>
        <w:pStyle w:val="TextoNormal"/>
      </w:pPr>
    </w:p>
    <w:p w:rsidR="0085709A" w:rsidRDefault="0085709A" w:rsidP="0085709A">
      <w:pPr>
        <w:pStyle w:val="TextoNormal"/>
      </w:pPr>
      <w:r w:rsidRPr="0085709A">
        <w:rPr>
          <w:rStyle w:val="NumeroAFNegritaCaracter"/>
        </w:rPr>
        <w:t>7</w:t>
      </w:r>
      <w:r>
        <w:t>. El Fiscal General del Estado, mediante escrito registrado del 17 de marzo de 2014, solicitó alternativamente la inadmisión o la desestimación de la cuestión planteada y, subsidiariamente, que se dicte una Sentencia interpretativa, todo ello con base en las alegaciones que seguidamente se exponen.</w:t>
      </w:r>
    </w:p>
    <w:p w:rsidR="0085709A" w:rsidRDefault="0085709A" w:rsidP="0085709A">
      <w:pPr>
        <w:pStyle w:val="TextoNormal"/>
      </w:pPr>
    </w:p>
    <w:p w:rsidR="0085709A" w:rsidRDefault="0085709A" w:rsidP="0085709A">
      <w:pPr>
        <w:pStyle w:val="TextoNormal"/>
      </w:pPr>
      <w:r>
        <w:t>a) El escrito plantea en inicio dos posibles óbices procesales relativos al correcto cumplimiento del trámite de audiencia y a la pertinencia del juicio de relevancia.</w:t>
      </w:r>
    </w:p>
    <w:p w:rsidR="0085709A" w:rsidRDefault="0085709A" w:rsidP="0085709A">
      <w:pPr>
        <w:pStyle w:val="TextoNormal"/>
      </w:pPr>
    </w:p>
    <w:p w:rsidR="0085709A" w:rsidRDefault="0085709A" w:rsidP="0085709A">
      <w:pPr>
        <w:pStyle w:val="TextoNormal"/>
      </w:pPr>
      <w:r>
        <w:t>En primer lugar y tal y como se alegó ya en relación con la cuestión resuelta en la STC 185/2014 [antecedente 7 a)], se apunta la posible incoherencia entre la providencia de apertura del trámite de audiencia en fase judicial y el Auto de planteamiento.</w:t>
      </w:r>
    </w:p>
    <w:p w:rsidR="0085709A" w:rsidRDefault="0085709A" w:rsidP="0085709A">
      <w:pPr>
        <w:pStyle w:val="TextoNormal"/>
      </w:pPr>
    </w:p>
    <w:p w:rsidR="0085709A" w:rsidRDefault="0085709A" w:rsidP="0085709A">
      <w:pPr>
        <w:pStyle w:val="TextoNormal"/>
      </w:pPr>
      <w:r>
        <w:t>Como segundo óbice procesal se plantea que no era necesario someter la disposición legal cuestionada al juicio de constitucionalidad para resolver el proceso por razones parcialmente coincidentes con las sintetizadas en el antecedente 7 a) de la STC 185/2014. El Fiscal parte de que la apelante manifestó en su recurso no estar de acuerdo con la Sentencia sobre la base de que no existió prueba de cargo suficiente para desvirtuar la presunción de inocencia y de que la pena de localización permanente no puede asentarse en la existencia de tres denuncias previas, por lo que procedería una pena de multa en caso de no ser absuelta. Desde la premisa de que el órgano judicial debía tener la certeza de que procedía la condena cuando planteó la cuestión, pues, si fuera la absolución, no tendría que plantearse la aplicación del párrafo segundo del art. 623.1 CP, el Fiscal contempla varias opciones respecto a las consecuencias penales de la conducta que no dependen exclusivamente de la constitucionalidad del precepto. El art. 623.1 deja en manos del Juez la decisión sobre el lugar de cumplimiento de la localización permanente (casa o centro penitenciario) en caso de perpetración reiterada de la falta de hurto, de modo que el órgano podía resolver la apelación decretando que la pena se cumpla en domicilio; posibilidad presente aun cuando el precepto fuera considerado inválido, pues es una pena prevista como alternativa a la pena de multa para la falta de hurto básica. Incluso, propone alternativamente, podría imponer una pena de multa si aplicara la interpretación acomodada a la Constitución que el órgano proponente comparte (aunque juzga contraria al principio de legalidad) y que ya ha aplicado en otras ocasiones.</w:t>
      </w:r>
    </w:p>
    <w:p w:rsidR="0085709A" w:rsidRDefault="0085709A" w:rsidP="0085709A">
      <w:pPr>
        <w:pStyle w:val="TextoNormal"/>
      </w:pPr>
    </w:p>
    <w:p w:rsidR="0085709A" w:rsidRDefault="0085709A" w:rsidP="0085709A">
      <w:pPr>
        <w:pStyle w:val="TextoNormal"/>
      </w:pPr>
      <w:r>
        <w:lastRenderedPageBreak/>
        <w:t>b) Las alegaciones efectuadas por el Fiscal General sobre el fondo son coincidentes con las resumidas en las letras c), d) y e) del antecedente 7 de la STC 185/2014, por lo que concluye asimismo que basta con declarar infundada la cuestión por fluir naturalmente la interpretación que aboga por excluir del ámbito típico las meras denuncias, antecedentes policiales o imputaciones sobre los que no existe actividad probatoria alguna o Sentencia firme. Subsidiariamente considera que, si se insiste en dictar una Sentencia interpretativa para erradicar las interpretaciones ya efectuadas en contra de la Constitución, debería, en todo caso, cristalizar en una exégesis en tales términos.</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15 de enero de 2015, se señaló para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Sección Sexta de la Audiencia Provincial de Barcelona promovió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0085709A" w:rsidRDefault="0085709A" w:rsidP="0085709A">
      <w:pPr>
        <w:pStyle w:val="TextoNormal"/>
      </w:pPr>
    </w:p>
    <w:p w:rsidR="0085709A" w:rsidRDefault="0085709A" w:rsidP="0085709A">
      <w:pPr>
        <w:pStyle w:val="TextoNormal"/>
      </w:pPr>
      <w:r>
        <w:t>Tanto el Abogado del Estado como el Fiscal General del Estado interesan la desestimación de la cuestión planteada, si bien el Fiscal General solicita alternativamente la inadmisión por adolecer de dos defectos procesales relativos al cumplimiento del trámite de audiencia y a la pertinencia del juicio de relevancia y, subsidiariamente, que se dicte una Sentencia interpretativa.</w:t>
      </w:r>
    </w:p>
    <w:p w:rsidR="0085709A" w:rsidRDefault="0085709A" w:rsidP="0085709A">
      <w:pPr>
        <w:pStyle w:val="TextoNormal"/>
      </w:pPr>
    </w:p>
    <w:p w:rsidR="0085709A" w:rsidRDefault="0085709A" w:rsidP="0085709A">
      <w:pPr>
        <w:pStyle w:val="TextoNormal"/>
      </w:pPr>
      <w:r>
        <w:t>Como se puso de manifiesto reiteradamente en los antecedentes, las objeciones de fondo planteadas en la presente cuestión de inconstitucionalidad son idénticas a las resueltas en la reciente STC 185/2014, de 6 de noviembre, donde se dio respuesta a otra demanda formulada por el mismo órgano judicial respecto al párrafo segundo del art. 623.1 CP, y cuyos pronunciamientos habrán de guiar la presente resolución. La única diferencia, y es sólo parcial, atañe a los óbices procesales reprochados a la cuestión, que se abordarán antes de entrar a analizar el fondo de la cuestión.</w:t>
      </w:r>
    </w:p>
    <w:p w:rsidR="0085709A" w:rsidRDefault="0085709A" w:rsidP="0085709A">
      <w:pPr>
        <w:pStyle w:val="TextoNormal"/>
      </w:pPr>
    </w:p>
    <w:p w:rsidR="0085709A" w:rsidRDefault="0085709A" w:rsidP="0085709A">
      <w:pPr>
        <w:pStyle w:val="TextoNormal"/>
      </w:pPr>
      <w:r w:rsidRPr="0085709A">
        <w:rPr>
          <w:rStyle w:val="NumeroAFNegritaCaracter"/>
        </w:rPr>
        <w:t>2</w:t>
      </w:r>
      <w:r>
        <w:t>.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(recientemente, SSTC 42/2013, de 14 de febrero, FJ 2; 183/2013, de 23 de octubre, FJ 2; y 75/2014, de 8 de mayo, FJ 2 y jurisprudencia allí citada).</w:t>
      </w:r>
    </w:p>
    <w:p w:rsidR="0085709A" w:rsidRDefault="0085709A" w:rsidP="0085709A">
      <w:pPr>
        <w:pStyle w:val="TextoNormal"/>
      </w:pPr>
    </w:p>
    <w:p w:rsidR="0085709A" w:rsidRDefault="0085709A" w:rsidP="0085709A">
      <w:pPr>
        <w:pStyle w:val="TextoNormal"/>
      </w:pPr>
      <w:r>
        <w:t xml:space="preserve">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w:t>
      </w:r>
      <w:r>
        <w:lastRenderedPageBreak/>
        <w:t>al respecto. Idéntica tacha se analizó y se rechazó en el fundamento jurídico 2 a) de la STC 185/2014, al concluirse que no hay una divergencia manifiesta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0085709A" w:rsidRDefault="0085709A" w:rsidP="0085709A">
      <w:pPr>
        <w:pStyle w:val="TextoNormal"/>
      </w:pPr>
    </w:p>
    <w:p w:rsidR="0085709A" w:rsidRDefault="0085709A" w:rsidP="0085709A">
      <w:pPr>
        <w:pStyle w:val="TextoNormal"/>
      </w:pPr>
      <w:r>
        <w:t>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la condena en que se concrete el recurso de apelación conoce múltiples posibilidades penológicas —respecto a la imposición de la pena de localización permanente, en domicilio o centro penitenciario, e incluso de multa— que pueden concurrir con independencia del resultado del examen de constitucionalidad del precepto cuestionado.</w:t>
      </w:r>
    </w:p>
    <w:p w:rsidR="0085709A" w:rsidRDefault="0085709A" w:rsidP="0085709A">
      <w:pPr>
        <w:pStyle w:val="TextoNormal"/>
      </w:pPr>
    </w:p>
    <w:p w:rsidR="0085709A" w:rsidRDefault="0085709A" w:rsidP="0085709A">
      <w:pPr>
        <w:pStyle w:val="TextoNormal"/>
      </w:pPr>
      <w:r>
        <w:t>En el presente proceso constitucional, el control sobre el juicio de relevancia debe atender tanto a si la constitucionalidad afecta a la regla legal en la que debe fundamentarse la resolución como a si el pronunciamiento sobre la validez condiciona la resolución del juzgador. Es evidente que es así en el presente caso, pues la norma es sin duda aplicable y la no validez de la norma afecta a la resolución del proceso, no sólo al impedir que se imponga el cumplimiento de la pena de localización permanente en centro penitenciario, sino al abrirse asimismo la posibilidad de sancionar la conducta con una pena de multa y no de localización permanente.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[por todas, STC 41/2010, de 22 de julio, FJ 2 c)]. Debe rechazarse, en consecuencia, el óbice opuesto por el Fiscal General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Al abordar ahora las vulneraciones de preceptos constitucionales imputadas a la norma cuestionada, hay que insistir de nuevo en la identidad del contenido de fondo de la presente cuestión de inconstitucionalidad y el de la resuelta en la STC 185/2014, tanto en lo relativo al precepto impugnado y los motivos de inconstitucionalidad aducidos como en lo atinente a su concreto desarrollo argumentativo. El órgano judicial proponente sostiene que el párrafo segundo del art. 623.1 CP cuestionado y, en concreto, su referencia a “infracciones cometidas, hayan sido o no enjuiciadas”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0085709A" w:rsidRDefault="0085709A" w:rsidP="0085709A">
      <w:pPr>
        <w:pStyle w:val="TextoNormal"/>
      </w:pPr>
    </w:p>
    <w:p w:rsidR="0085709A" w:rsidRDefault="0085709A" w:rsidP="0085709A">
      <w:pPr>
        <w:pStyle w:val="TextoNormal"/>
      </w:pPr>
      <w:r>
        <w:lastRenderedPageBreak/>
        <w:t xml:space="preserve">En la STC 185/2014 se rechazan las dudas enunciadas por entender que el precepto impugnado admite una interpretación conforme con la Constitución que no sólo no fuerza el tenor literal del precepto, sino que se acomoda al mismo a la par que constituye el resultado exegético inmediato de una interpretación atenta a los principios constitucionales rectores del </w:t>
      </w:r>
      <w:r w:rsidRPr="0085709A">
        <w:rPr>
          <w:i/>
        </w:rPr>
        <w:t>ius puniendi</w:t>
      </w:r>
      <w:r>
        <w:t xml:space="preserve"> y acorde con los criterios hermenéuticos al uso en Derecho penal. Esa comprensión </w:t>
      </w:r>
      <w:r w:rsidRPr="0085709A">
        <w:rPr>
          <w:i/>
        </w:rPr>
        <w:t>secundum constitutionem</w:t>
      </w:r>
      <w:r>
        <w:t xml:space="preserve"> establece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0085709A" w:rsidRDefault="0085709A" w:rsidP="0085709A">
      <w:pPr>
        <w:pStyle w:val="TextoNormal"/>
      </w:pPr>
    </w:p>
    <w:p w:rsidR="0085709A" w:rsidRDefault="0085709A" w:rsidP="0085709A">
      <w:pPr>
        <w:pStyle w:val="TextoNormal"/>
      </w:pPr>
      <w:r>
        <w:t>2º Desestimar, en consecuencia,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 w:name="SENTENCIA_2015_4"/>
      <w:r>
        <w:lastRenderedPageBreak/>
        <w:t>SENTENCIA 4/2015, de 19 de enero de 2015</w:t>
      </w:r>
    </w:p>
    <w:bookmarkEnd w:id="7"/>
    <w:p w:rsidR="0085709A" w:rsidRDefault="0085709A" w:rsidP="0085709A">
      <w:pPr>
        <w:pStyle w:val="TtuloResolucin"/>
      </w:pPr>
      <w:r>
        <w:t>Sala Segunda</w:t>
      </w:r>
    </w:p>
    <w:p w:rsidR="0085709A" w:rsidRDefault="0085709A" w:rsidP="0085709A">
      <w:pPr>
        <w:pStyle w:val="TtuloBOE"/>
      </w:pPr>
      <w:r>
        <w:t>(BOE núm. 47, de 24 de febrero de 2015)</w:t>
      </w:r>
    </w:p>
    <w:p w:rsidR="0085709A" w:rsidRDefault="0085709A" w:rsidP="0085709A">
      <w:pPr>
        <w:pStyle w:val="TextoNormalCentrado"/>
      </w:pPr>
      <w:r>
        <w:t>ECLI:ES:TC:2015:4</w:t>
      </w:r>
    </w:p>
    <w:p w:rsidR="0085709A" w:rsidRDefault="0085709A" w:rsidP="0085709A">
      <w:pPr>
        <w:pStyle w:val="TextoNormalCentrado"/>
      </w:pPr>
    </w:p>
    <w:p w:rsidR="0085709A" w:rsidRDefault="0085709A" w:rsidP="0085709A">
      <w:pPr>
        <w:pStyle w:val="SntesisDescriptiva"/>
      </w:pPr>
      <w:r>
        <w:t>Cuestión de inconstitucionalidad 7360-2013. Planteada por la Audiencia Provincial de Barcelona en relación con el segundo párrafo del artículo 623.1 del Código penal.</w:t>
      </w:r>
    </w:p>
    <w:p w:rsidR="0085709A" w:rsidRDefault="0085709A" w:rsidP="0085709A">
      <w:pPr>
        <w:pStyle w:val="SntesisDescriptiva"/>
      </w:pPr>
    </w:p>
    <w:p w:rsidR="0085709A" w:rsidRDefault="0085709A" w:rsidP="0085709A">
      <w:pPr>
        <w:pStyle w:val="SntesisAnaltica"/>
      </w:pPr>
      <w:r>
        <w:t>Derechos a la presunción de inocencia y a la legalidad penal; principio de seguridad jurídica: inadmisión de la cuestión de inconstitucionalidad.</w:t>
      </w:r>
    </w:p>
    <w:p w:rsidR="0085709A" w:rsidRDefault="0085709A" w:rsidP="0085709A">
      <w:pPr>
        <w:pStyle w:val="SntesisAnaltica"/>
      </w:pPr>
    </w:p>
    <w:p w:rsidR="0085709A" w:rsidRDefault="0085709A" w:rsidP="0085709A">
      <w:pPr>
        <w:pStyle w:val="Extracto"/>
      </w:pPr>
      <w:r>
        <w:t>1.</w:t>
      </w:r>
      <w:r>
        <w:tab/>
        <w:t>Se inadmite a trámite la cuestión de inconstitucionalidad dado que no se han satisfecho suficientemente los juicios de aplicabilidad y relevancia exigidos por el art. 35.2 LOTC [FJ 2b)].</w:t>
      </w:r>
    </w:p>
    <w:p w:rsidR="0085709A" w:rsidRDefault="0085709A" w:rsidP="0085709A">
      <w:pPr>
        <w:pStyle w:val="Extracto"/>
      </w:pPr>
    </w:p>
    <w:p w:rsidR="0085709A" w:rsidRDefault="0085709A" w:rsidP="0085709A">
      <w:pPr>
        <w:pStyle w:val="Extracto"/>
      </w:pPr>
      <w:r>
        <w:t>2.</w:t>
      </w:r>
      <w:r>
        <w:tab/>
        <w:t>Procede declarar la inadmisibilidad de aquella cuestión de inconstitucionalidad en que el juicio de relevancia formulado resulte notoriamente inconsistente o evidentemente errado,  sin necesidad de un análisis de fondo (SSTC 17/1981, 40/2014) [FJ 2 b)].</w:t>
      </w:r>
    </w:p>
    <w:p w:rsidR="0085709A" w:rsidRDefault="0085709A" w:rsidP="0085709A">
      <w:pPr>
        <w:pStyle w:val="Extracto"/>
      </w:pPr>
    </w:p>
    <w:p w:rsidR="0085709A" w:rsidRDefault="0085709A" w:rsidP="0085709A">
      <w:pPr>
        <w:pStyle w:val="Extracto"/>
      </w:pPr>
      <w:r>
        <w:t>3.</w:t>
      </w:r>
      <w:r>
        <w:tab/>
        <w:t xml:space="preserve">El juicio de relevancia se afirma cuando resulta notorio el nexo causal entre la validez de la norma legal cuestionada y la decisión a adoptar, pudiendo existir una relación lógica entre la eventual anulación de la disposición legal cuestionada y la satisfacción de la pretensión ejercitada en el proceso </w:t>
      </w:r>
      <w:r w:rsidRPr="0085709A">
        <w:rPr>
          <w:i/>
        </w:rPr>
        <w:t xml:space="preserve">a quo </w:t>
      </w:r>
      <w:r>
        <w:t>(SSTC 174/1998, 60/2013) [FJ 2 b)].</w:t>
      </w:r>
    </w:p>
    <w:p w:rsidR="0085709A" w:rsidRDefault="0085709A" w:rsidP="0085709A">
      <w:pPr>
        <w:pStyle w:val="Extracto"/>
      </w:pPr>
    </w:p>
    <w:p w:rsidR="0085709A" w:rsidRDefault="0085709A" w:rsidP="0085709A">
      <w:pPr>
        <w:pStyle w:val="Extracto"/>
      </w:pPr>
      <w:r>
        <w:t>4.</w:t>
      </w:r>
      <w:r>
        <w:tab/>
        <w:t>En la medida en que el precepto cuestionado no resulta aplicable al caso, el juicio de relevancia efectuado por el órgano judicial carece de consistencia [FJ 2 b)].</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7360-2013, planteada por la Sección Sexta de la Audiencia Provincial de Barcelona en relación con el art. 623.1, párrafo segundo, del Código Penal, por posible vulneración de los art. 24.2, 25.1 y 9.3 CE. Han formulado ale</w:t>
      </w:r>
      <w:r>
        <w:lastRenderedPageBreak/>
        <w:t>gaciones el Abogado del Estado y el Fiscal General del Estado y se han personado el Congreso y el Senado.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19 de diciembre de 2013 tuvo entrada en el Registro General de este Tribunal un escrito de la Sección Sexta de la Audiencia Provincial de Barcelona al que se acompaña, junto con el testimonio del correspondiente procedimiento (recurso de apelación de juicio de faltas 88-2013), el Auto de 28 de noviembre de 2013 en el que se acuerda plantear cuestión de inconstitucionalidad en relación con el art. 623.1, párrafo segundo, del Código penal (CP), por posible vulneración del derecho a la presunción de inocencia (art. 24.2 CE), y de los principios de culpabilidad, en su vertiente de responsabilidad por el hecho, de legalidad penal (art. 25.1 CE) y de seguridad jurídica (art. 9.3 CE).</w:t>
      </w:r>
    </w:p>
    <w:p w:rsidR="0085709A" w:rsidRDefault="0085709A" w:rsidP="0085709A">
      <w:pPr>
        <w:pStyle w:val="TextoNormal"/>
      </w:pPr>
    </w:p>
    <w:p w:rsidR="0085709A" w:rsidRDefault="0085709A" w:rsidP="0085709A">
      <w:pPr>
        <w:pStyle w:val="TextoNormal"/>
      </w:pPr>
      <w:r>
        <w:t>La cuestión de inconstitucionalidad se propone por el mismo órgano judicial que planteó la cuestión registrada con el núm. 5318-2013, resuelta por el Pleno de este Tribunal en la STC 185/2014, de 6 de noviembre, en la que se abordaron las dudas de constitucionalidad formuladas ahora en idénticos términos que en el Auto de planteamiento.</w:t>
      </w:r>
    </w:p>
    <w:p w:rsidR="0085709A" w:rsidRDefault="0085709A" w:rsidP="0085709A">
      <w:pPr>
        <w:pStyle w:val="TextoNormal"/>
      </w:pPr>
    </w:p>
    <w:p w:rsidR="0085709A" w:rsidRDefault="0085709A" w:rsidP="0085709A">
      <w:pPr>
        <w:pStyle w:val="TextoNormal"/>
      </w:pPr>
      <w:r w:rsidRPr="0085709A">
        <w:rPr>
          <w:rStyle w:val="NumeroAFNegritaCaracter"/>
        </w:rPr>
        <w:t>2</w:t>
      </w:r>
      <w:r>
        <w:t>. Según resulta del Auto de planteamiento y de la documentación adjunta, los antecedentes de la presente cuestión son los siguientes:</w:t>
      </w:r>
    </w:p>
    <w:p w:rsidR="0085709A" w:rsidRDefault="0085709A" w:rsidP="0085709A">
      <w:pPr>
        <w:pStyle w:val="TextoNormal"/>
      </w:pPr>
    </w:p>
    <w:p w:rsidR="0085709A" w:rsidRDefault="0085709A" w:rsidP="0085709A">
      <w:pPr>
        <w:pStyle w:val="TextoNormal"/>
      </w:pPr>
      <w:r>
        <w:t>a) Don Costinel Cucu, doña Ahrira Constata, don Antonio Alberto Mociu y doña Theodora Cesarella Iamandita fueron condenados en el juicio de faltas núm. 641-2013 por virtud de Sentencia de 11 de junio de 2013, dictada por el Juzgado de Instrucción núm. 11 de Barcelona. El Juzgado les reputó autores de una falta de hurto del art. 623.1 en grado de tentativa y les impuso una pena de doce días de localización permanente a cumplir en su domicilio.</w:t>
      </w:r>
    </w:p>
    <w:p w:rsidR="0085709A" w:rsidRDefault="0085709A" w:rsidP="0085709A">
      <w:pPr>
        <w:pStyle w:val="TextoNormal"/>
      </w:pPr>
    </w:p>
    <w:p w:rsidR="0085709A" w:rsidRDefault="0085709A" w:rsidP="0085709A">
      <w:pPr>
        <w:pStyle w:val="TextoNormal"/>
      </w:pPr>
      <w:r>
        <w:t>El citado art. 623.1 CP sanciona inicialmente la falta de hurto con pena de multa o localización permanente, si bien también prevé la imposición de la pena de localización permanente (y no de la alternativa pena de multa), que el Juez puede disponer que se cumpla en centro penitenciario, en caso de perpetración reiterada de la falta de hurto (hurto cuyo valor no exceda de los 400 €). Conforme a su párrafo segundo, “para apreciar la reiteración, se atenderá al número de infracciones cometidas, hayan sido o no enjuiciadas, y a la proximidad temporal de las mismas”.</w:t>
      </w:r>
    </w:p>
    <w:p w:rsidR="0085709A" w:rsidRDefault="0085709A" w:rsidP="0085709A">
      <w:pPr>
        <w:pStyle w:val="TextoNormal"/>
      </w:pPr>
    </w:p>
    <w:p w:rsidR="0085709A" w:rsidRDefault="0085709A" w:rsidP="0085709A">
      <w:pPr>
        <w:pStyle w:val="TextoNormal"/>
      </w:pPr>
      <w:r>
        <w:t>Pues bien, el párrafo cuarto del fundamento de Derecho primero de la Sentencia justificó la imposición de la pena de localización permanente a cumplir en domicilio porque, según se destaca de modo textual, “es la procedente si se tiene en cuenta que consta que se dedican habitualmente a este tipo de hechos delictivos, por lo que cabe considerar que dicha pena debe primar, en estos casos, frente a la posibilidad de la multa”.</w:t>
      </w:r>
    </w:p>
    <w:p w:rsidR="0085709A" w:rsidRDefault="0085709A" w:rsidP="0085709A">
      <w:pPr>
        <w:pStyle w:val="TextoNormal"/>
      </w:pPr>
    </w:p>
    <w:p w:rsidR="0085709A" w:rsidRDefault="0085709A" w:rsidP="0085709A">
      <w:pPr>
        <w:pStyle w:val="TextoNormal"/>
      </w:pPr>
      <w:r>
        <w:t>b) La Sentencia fue recurrida en apelación por los cuatro condenados mediante escritos redactados y firmados de puño y letra por éstos, en los que manifestaban no estar de acuerdo con la Sentencia, puntualizando el Sr. Mociu y la Sra. Iamandita que eran inocentes.</w:t>
      </w:r>
    </w:p>
    <w:p w:rsidR="0085709A" w:rsidRDefault="0085709A" w:rsidP="0085709A">
      <w:pPr>
        <w:pStyle w:val="TextoNormal"/>
      </w:pPr>
    </w:p>
    <w:p w:rsidR="0085709A" w:rsidRDefault="0085709A" w:rsidP="0085709A">
      <w:pPr>
        <w:pStyle w:val="TextoNormal"/>
      </w:pPr>
      <w:r>
        <w:t>c) Una vez finalizada la tramitación del recurso como el rollo de apelación núm. 88-2013, mediante providencia de 5 de septiembre de 2013, el Magistrado designado para conocer como órgano unipersonal del recurso de apelación, de conformidad con lo dispuesto en el art. 35.2 de la Ley Orgánica del Tribunal Constitucional (LOTC), acordó conceder a las partes personadas y al Ministerio Fiscal un plazo de diez días para formular alegaciones sobre la oportunidad de promover cuestión de inconstitucionalidad respecto del art. 623.1 párrafo segundo del Código penal, por su posible contradicción con los arts. 24.2, 25.1 y 9.3 CE.</w:t>
      </w:r>
    </w:p>
    <w:p w:rsidR="0085709A" w:rsidRDefault="0085709A" w:rsidP="0085709A">
      <w:pPr>
        <w:pStyle w:val="TextoNormal"/>
      </w:pPr>
    </w:p>
    <w:p w:rsidR="0085709A" w:rsidRDefault="0085709A" w:rsidP="0085709A">
      <w:pPr>
        <w:pStyle w:val="TextoNormal"/>
      </w:pPr>
      <w:r>
        <w:t xml:space="preserve">d) El Ministerio Fiscal, en el trámite de audiencia del art. 35 LOTC y por medio de escrito presentado el 8 de octubre de 2013, sin llegar a entrar en el fondo pero recordando que no puede prosperar una cuestión que suscite dudas interpretativas, se opuso al planteamiento de la cuestión de inconstitucionalidad porque consideró que “la norma cuestionada no es determinante para la resolución del recurso, porque pese a que por el juzgado </w:t>
      </w:r>
      <w:r w:rsidRPr="0085709A">
        <w:rPr>
          <w:i/>
        </w:rPr>
        <w:t>a quo</w:t>
      </w:r>
      <w:r>
        <w:t xml:space="preserve"> ha sido aplicado el art. 623.1, no apreció sin embargo la reiteración de acciones en los condenados, tal como erróneamente cree la Sala: ni en el relato de hechos se habla de eso ni, por supuesto, en los fundamentos de Derecho de la sentencia”.</w:t>
      </w:r>
    </w:p>
    <w:p w:rsidR="0085709A" w:rsidRDefault="0085709A" w:rsidP="0085709A">
      <w:pPr>
        <w:pStyle w:val="TextoNormal"/>
      </w:pPr>
    </w:p>
    <w:p w:rsidR="0085709A" w:rsidRDefault="0085709A" w:rsidP="0085709A">
      <w:pPr>
        <w:pStyle w:val="TextoNormal"/>
      </w:pPr>
      <w:r>
        <w:t>En consecuencia, concluye sus alegaciones afirmando que, para resolver el recurso, la Audiencia no tenía que recurrir, en este caso, al subtipo agravado de reiteración de faltas porque no fue objeto de juicio, por lo que la cuestión carecía de relevancia y el precepto sobre el que suscitaba sus dudas el Tribunal no era aplicable al caso. Los recurrentes en apelación no presentaron alegaciones.</w:t>
      </w:r>
    </w:p>
    <w:p w:rsidR="0085709A" w:rsidRDefault="0085709A" w:rsidP="0085709A">
      <w:pPr>
        <w:pStyle w:val="TextoNormal"/>
      </w:pPr>
    </w:p>
    <w:p w:rsidR="0085709A" w:rsidRDefault="0085709A" w:rsidP="0085709A">
      <w:pPr>
        <w:pStyle w:val="TextoNormal"/>
      </w:pPr>
      <w:r>
        <w:t>e) El órgano judicial dictó Auto el 28 de noviembre de 2013 en el que acordó plantear la presente cuestión de inconstitucionalidad en relación con el art. 623.1, párrafo segundo, del Código penal por posible vulneración de los arts. 24.2, 25.1 y 9.3 CE.</w:t>
      </w:r>
    </w:p>
    <w:p w:rsidR="0085709A" w:rsidRDefault="0085709A" w:rsidP="0085709A">
      <w:pPr>
        <w:pStyle w:val="TextoNormal"/>
      </w:pPr>
    </w:p>
    <w:p w:rsidR="0085709A" w:rsidRDefault="0085709A" w:rsidP="0085709A">
      <w:pPr>
        <w:pStyle w:val="TextoNormal"/>
      </w:pPr>
      <w:r w:rsidRPr="0085709A">
        <w:rPr>
          <w:rStyle w:val="NumeroAFNegritaCaracter"/>
        </w:rPr>
        <w:t>3</w:t>
      </w:r>
      <w:r>
        <w:t>. En lo que ahora es de interés, la fundamentación jurídica del Auto de planteamiento hizo las siguientes consideraciones en relación con el juicio de relevancia: Frente a lo afirmado por el Ministerio Fiscal, el órgano judicial entendía que la Sentencia de primera instancia había aplicado el precepto y párrafo objeto de la cuestión puesto que, en el párrafo citado por el Fiscal, se afirmaba que los acusados se dedican habitualmente a ese tipo de hechos delictivos, apoyándose para ello en lo que constaba en las actuaciones, de ahí que, con sustento en dichos antecedentes fácticos, había justificado la aplicación de la pena de localización permanente en lugar de la de multa.</w:t>
      </w:r>
    </w:p>
    <w:p w:rsidR="0085709A" w:rsidRDefault="0085709A" w:rsidP="0085709A">
      <w:pPr>
        <w:pStyle w:val="TextoNormal"/>
      </w:pPr>
    </w:p>
    <w:p w:rsidR="0085709A" w:rsidRDefault="0085709A" w:rsidP="0085709A">
      <w:pPr>
        <w:pStyle w:val="TextoNormal"/>
      </w:pPr>
      <w:r>
        <w:t>Asimismo, el Auto expone que la expulsión o la interpretación conforme a las exigencias constitucionales del cuestionado art. 623.1, párrafo segundo, conllevaría la estimación de los recursos, al menos en lo que respecta a la procedencia de las penas de localización permanente. Por otro lado, sostiene también que el momento procesal es el oportuno, pues está concluso el procedimiento y se plantea dentro del plazo para dictar Sentencia resolutoria de los recursos de apelación.</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Por providencia de 11 de febrero de 2014, el Pleno, a propuesta de la Sección Cuarta de este Tribunal, acordó admitir a trámite la presente cuestión de inconstitucionalidad y deferir a la Sala Segunda el conocimiento de la misma, de conformidad con lo dispuesto por </w:t>
      </w:r>
      <w:r>
        <w:lastRenderedPageBreak/>
        <w:t>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permaneciera suspendido el proceso hasta que el Tribunal resolviera definitivamente la presente cuestión y ordenó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el día 20 de febrero de 2014, el Presidente del Congreso de los Diputados comunicó a este Tribunal que la Mesa de dicha Cámara acordó la personación en el proceso, ofreciendo su colaboración a los efectos del art. 88.1 LOTC. Por escrito registrado el 6 de marzo de 2014, el Presidente del Senado comunicó a este Tribunal que la Mesa de dicha Cámara acordó la personación en el proceso,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se personó en el procedimiento en nombre del Gobierno mediante escrito registrado el 4 de marzo de 2014 y comenzó sus alegaciones con una precisión sobre el objeto de la cuestión y el significado del precepto cuestionado que adolece de confusión, pues lo entiende como una definición de la circunstancia de reiteración que “si concurre hace que la infracción penal pueda calificarse como delito, con arreglo a lo previsto en el art. 234 [CP]”, cuando su ámbito de aplicación es la reiteración de la falta de hurto que no alcanza a ser delito (por un importe total inferior a los 400 €) y su sentido es conducir a la pena de localización permanente, cuyo cumplimiento puede decretarse que se haga en centro penitenciario, e impedir que se imponga una pena de multa conforme al párrafo primero del art. 623.1 CP.</w:t>
      </w:r>
    </w:p>
    <w:p w:rsidR="0085709A" w:rsidRDefault="0085709A" w:rsidP="0085709A">
      <w:pPr>
        <w:pStyle w:val="TextoNormal"/>
      </w:pPr>
    </w:p>
    <w:p w:rsidR="0085709A" w:rsidRDefault="0085709A" w:rsidP="0085709A">
      <w:pPr>
        <w:pStyle w:val="TextoNormal"/>
      </w:pPr>
      <w:r>
        <w:t>El Abogado del Estado sostiene que cabe una interpretación alternativa del precepto acorde con la Constitución, que ha sido asumida por otros Tribunales, y que entiende que la locución “hayan sido o no enjuiciadas” pone de relieve la existencia de un presupuesto de hecho, el cual, como todo hecho traído a colación en el seno del proceso por la parte acusadora como fundamento de la acusación, ha de ser objeto de prueba. A pesar de ello, considera que el órgano proponente, al no compartir esa interpretación, eleva la cuestión al Tribunal al amparo del art. 37 LOTC de forma correcta.</w:t>
      </w:r>
    </w:p>
    <w:p w:rsidR="0085709A" w:rsidRDefault="0085709A" w:rsidP="0085709A">
      <w:pPr>
        <w:pStyle w:val="TextoNormal"/>
      </w:pPr>
    </w:p>
    <w:p w:rsidR="0085709A" w:rsidRDefault="0085709A" w:rsidP="0085709A">
      <w:pPr>
        <w:pStyle w:val="TextoNormal"/>
      </w:pPr>
      <w:r>
        <w:t>En el examen de la cuestión de fondo rechaza que se vulnere la presunción de inocencia con el argumento de que no se trata de una norma que restrinja el enjuiciamiento del supuesto de hecho en sí, limite las posibilidades de defensa del imputado o altere la carga de la prueba presumiendo una culpabilidad del acusado. La expresión “hayan sido o no enjuiciadas” se refiere a la circunstancia contingente de que las infracciones anteriores hayan sido o no objeto de enjuiciamiento, que como presupuesto de hecho debe probarse siguiendo los postulados del principio acusatorio. Tampoco comparte la denuncia de vulneración del principio de legalidad conforme al art. 25.1 CE, pues entiende, sin ulteriores razonamientos, que el precepto enuncia el supuesto de hecho definitorio de la conducta punible con claridad al ponerse en relación con la configuración del art. 234 CP, por lo que satisface la exigencia material de certeza, por lo que tampoco se ve lesionado el principio de seguridad jurídica consagrado en el art. 9.3 CE, y tiene rango de ley orgánica, por lo que se respeta la garantía formal.</w:t>
      </w:r>
    </w:p>
    <w:p w:rsidR="0085709A" w:rsidRDefault="0085709A" w:rsidP="0085709A">
      <w:pPr>
        <w:pStyle w:val="TextoNormal"/>
      </w:pPr>
    </w:p>
    <w:p w:rsidR="0085709A" w:rsidRDefault="0085709A" w:rsidP="0085709A">
      <w:pPr>
        <w:pStyle w:val="TextoNormal"/>
      </w:pPr>
      <w:r w:rsidRPr="0085709A">
        <w:rPr>
          <w:rStyle w:val="NumeroAFNegritaCaracter"/>
        </w:rPr>
        <w:t>7</w:t>
      </w:r>
      <w:r>
        <w:t>. El Fiscal General del Estado, mediante escrito registrado el día 18 de marzo de 2014, solicitó alternativamente la inadmisión o la desestimación de la cuestión planteada y, subsidiariamente, que fuera dictada una Sentencia interpretativa, todo ello con base en las alegaciones que seguidamente se exponen.</w:t>
      </w:r>
    </w:p>
    <w:p w:rsidR="0085709A" w:rsidRDefault="0085709A" w:rsidP="0085709A">
      <w:pPr>
        <w:pStyle w:val="TextoNormal"/>
      </w:pPr>
    </w:p>
    <w:p w:rsidR="0085709A" w:rsidRDefault="0085709A" w:rsidP="0085709A">
      <w:pPr>
        <w:pStyle w:val="TextoNormal"/>
      </w:pPr>
      <w:r>
        <w:t>a) El escrito plantea en inicio dos posibles óbices procesales relativos al correcto cumplimiento del trámite de audiencia y a la pertinencia del juicio de relevancia.</w:t>
      </w:r>
    </w:p>
    <w:p w:rsidR="0085709A" w:rsidRDefault="0085709A" w:rsidP="0085709A">
      <w:pPr>
        <w:pStyle w:val="TextoNormal"/>
      </w:pPr>
    </w:p>
    <w:p w:rsidR="0085709A" w:rsidRDefault="0085709A" w:rsidP="0085709A">
      <w:pPr>
        <w:pStyle w:val="TextoNormal"/>
      </w:pPr>
      <w:r>
        <w:t>En primer lugar y tal y como alegó ya en relación con la cuestión resuelta en la STC 185/2014 [antecedente 7 a)], se apunta la posible incoherencia entre la providencia de apertura del trámite de audiencia en fase judicial y el Auto de planteamiento.</w:t>
      </w:r>
    </w:p>
    <w:p w:rsidR="0085709A" w:rsidRDefault="0085709A" w:rsidP="0085709A">
      <w:pPr>
        <w:pStyle w:val="TextoNormal"/>
      </w:pPr>
    </w:p>
    <w:p w:rsidR="0085709A" w:rsidRDefault="0085709A" w:rsidP="0085709A">
      <w:pPr>
        <w:pStyle w:val="TextoNormal"/>
      </w:pPr>
      <w:r>
        <w:t>Como segundo óbice procesal, destaca el Fiscal que no era necesario someter la disposición legal cuestionada al juicio de constitucionalidad para resolver el proceso, por cuanto entiende que el párrafo del precepto penal aplicable a la resolución del recurso de apelación no es el que ha sido objeto de cuestionamiento, dado que el Juzgado de Instrucción, en la Sentencia de primera instancia, había condenado a los acusados como autores de una falta de hurto en grado de tentativa sin haber apreciado la reiteración, de ahí que el art. 623.1, párrafo segundo CP ahora cuestionado, no resultara aplicable a la resolución del recurso de apelación, careciendo, por ende, del necesario juicio de relevancia.</w:t>
      </w:r>
    </w:p>
    <w:p w:rsidR="0085709A" w:rsidRDefault="0085709A" w:rsidP="0085709A">
      <w:pPr>
        <w:pStyle w:val="TextoNormal"/>
      </w:pPr>
    </w:p>
    <w:p w:rsidR="0085709A" w:rsidRDefault="0085709A" w:rsidP="0085709A">
      <w:pPr>
        <w:pStyle w:val="TextoNormal"/>
      </w:pPr>
      <w:r>
        <w:t>Además, insiste el escrito del Fiscal en la tesis de que, incluso si procediera dictar una Sentencia condenatoria en el supuesto de autos por la comisión de una falta reiterada de hurto, se abrirían varias opciones respecto a las consecuencias penales de la conducta de los acusados, que no dependen exclusivamente de la constitucionalidad del precepto. El Fiscal señala, al respecto, que el art. 623.1 CP deja en manos del Juez la decisión sobre el lugar de cumplimiento de la localización permanente (casa o centro penitenciario) en caso de perpetración reiterada de la falta de hurto, de modo que el órgano judicial puede resolver la apelación acordando que la pena se cumpla en domicilio. Por ello, concluye su expositivo el Ministerio Fiscal afirmando que los juicios de aplicabilidad y de relevancia del precepto presentan notable debilidad, pues el resultado de la cuestión no condiciona el resultado del proceso.</w:t>
      </w:r>
    </w:p>
    <w:p w:rsidR="0085709A" w:rsidRDefault="0085709A" w:rsidP="0085709A">
      <w:pPr>
        <w:pStyle w:val="TextoNormal"/>
      </w:pPr>
    </w:p>
    <w:p w:rsidR="0085709A" w:rsidRDefault="0085709A" w:rsidP="0085709A">
      <w:pPr>
        <w:pStyle w:val="TextoNormal"/>
      </w:pPr>
      <w:r>
        <w:t>b) Las alegaciones sobre el fondo se apoyan en dos consideraciones: la posibilidad de que el órgano proponente hubiera resuelto mediante una interpretación conforme a la Constitución de la norma cuestionada, respetuosa del derecho de presunción de inocencia, que no considera contraria a los principios de legalidad y seguridad jurídica y que, con el planteamiento de la cuestión, busca una Sentencia interpretativa que vede interpretaciones lesivas del derecho a la presunción de inocencia y del principio de culpabilidad.</w:t>
      </w:r>
    </w:p>
    <w:p w:rsidR="0085709A" w:rsidRDefault="0085709A" w:rsidP="0085709A">
      <w:pPr>
        <w:pStyle w:val="TextoNormal"/>
      </w:pPr>
    </w:p>
    <w:p w:rsidR="0085709A" w:rsidRDefault="0085709A" w:rsidP="0085709A">
      <w:pPr>
        <w:pStyle w:val="TextoNormal"/>
      </w:pPr>
      <w:r>
        <w:t xml:space="preserve">En relación con la primera, considera el Fiscal que la interpretación impuesta por las exigencias de los principios de presunción de inocencia y de culpabilidad identifica el término “infracciones cometidas” con la realización de actos previstos como faltas respecto a los que se acrediten los elementos de antijuridicidad, tipicidad, culpabilidad y punibilidad. Ello se traduce, en lo que atañe a las infracciones cometidas “enjuiciadas”, en hechos constitutivos de falta ya sentenciados en firme con condena; y en lo relativo a las “no enjuiciadas”, en hechos tipificados como faltas que sean atribuidos al sujeto y respecto de los que </w:t>
      </w:r>
      <w:r>
        <w:lastRenderedPageBreak/>
        <w:t>se despliegue en el mismo procedimiento una actividad probatoria específica y resulten probados y declarados como tal.</w:t>
      </w:r>
    </w:p>
    <w:p w:rsidR="0085709A" w:rsidRDefault="0085709A" w:rsidP="0085709A">
      <w:pPr>
        <w:pStyle w:val="TextoNormal"/>
      </w:pPr>
    </w:p>
    <w:p w:rsidR="0085709A" w:rsidRDefault="0085709A" w:rsidP="0085709A">
      <w:pPr>
        <w:pStyle w:val="TextoNormal"/>
      </w:pPr>
      <w:r>
        <w:t xml:space="preserve">A continuación rebate el Fiscal que desde la anterior perspectiva se sostengan las infracciones de los principios de legalidad y de seguridad jurídica que el órgano proponente imputa tanto a la interpretación </w:t>
      </w:r>
      <w:r w:rsidRPr="0085709A">
        <w:rPr>
          <w:i/>
        </w:rPr>
        <w:t>secundum constitutionem</w:t>
      </w:r>
      <w:r>
        <w:t xml:space="preserve"> como a la disposición cuestionada.</w:t>
      </w:r>
    </w:p>
    <w:p w:rsidR="0085709A" w:rsidRDefault="0085709A" w:rsidP="0085709A">
      <w:pPr>
        <w:pStyle w:val="TextoNormal"/>
      </w:pPr>
    </w:p>
    <w:p w:rsidR="0085709A" w:rsidRDefault="0085709A" w:rsidP="0085709A">
      <w:pPr>
        <w:pStyle w:val="TextoNormal"/>
      </w:pPr>
      <w:r>
        <w:t xml:space="preserve">En relación con la interpretación acomodada a la Constitución, con cuyo contenido coincide el órgano proponente, niega que se trate de una reconstrucción o de una interpretación que restrinja el propósito del legislador; y ello por dos razones. De un lado, porque la interpretación constitucional es la única sostenible de una norma, y la confluencia del principio de interpretación conforme a la Constitución y el principio de conservación de las disposiciones legales conduce al aserto de que una disposición legal no debe ser declarada nula cuando alguna de sus acepciones puede ser interpretada en concordancia con la Constitución, como se recoge en el art. 5.3 de la Ley Orgánica del Poder Judicial. De otro lado, por cuanto la interpretación acomodada a la Constitución, lejos de resultar forzada, es la que fluye naturalmente del tenor de la disposición al aplicarse parámetros razonables y atenderse a las exigencias constitucionales propias del sistema penal en un Estado de Derecho. A su juicio, ni fuerza la literalidad ni incurre en falta de taxatividad o certeza que hagan imprevisible la aplicación de la norma, problemas que provendrían más bien de las interpretaciones no ajustadas a la Constitución. Apunta que buena prueba del respeto de la interpretación constitucional al principio de legalidad es que una hipotética Sentencia interpretativa del Tribunal Constitucional que limite el ámbito de aplicación del precepto cuestionado, dándole el contenido defendido como respetuoso de la presunción de inocencia, no le ofrece dudas de legalidad al proponente, y una misma interpretación no puede ser a la vez vulneradora o no del principio de legalidad en función de quien la emita. Concluye que esa interpretación no lesiona la garantía formal ni material del principio de legalidad, pero tampoco el principio vinculado </w:t>
      </w:r>
      <w:r w:rsidRPr="0085709A">
        <w:rPr>
          <w:i/>
        </w:rPr>
        <w:t>non bis in idem</w:t>
      </w:r>
      <w:r>
        <w:t>, al tiempo que satisface las exigencias de los principios de presunción de inocencia y de culpabilidad.</w:t>
      </w:r>
    </w:p>
    <w:p w:rsidR="0085709A" w:rsidRDefault="0085709A" w:rsidP="0085709A">
      <w:pPr>
        <w:pStyle w:val="TextoNormal"/>
      </w:pPr>
    </w:p>
    <w:p w:rsidR="0085709A" w:rsidRDefault="0085709A" w:rsidP="0085709A">
      <w:pPr>
        <w:pStyle w:val="TextoNormal"/>
      </w:pPr>
      <w:r>
        <w:t>En relación con el precepto, estima que no presenta deficiencias de taxatividad y previsibilidad constitutivas de infracción de los principios proclamados en los arts. 25.1 y 9.3 CE, por cuanto resulta obvio que las infracciones cometidas deben resultar acreditadas, de modo que el sustrato fáctico de aplicación no puede ser otro que hechos acreditados y la circunstancia de que sea necesaria la interposición de un Juez que interprete el precepto en tal sentido no difiere de lo previsible respecto a toda disposición legal. Insiste en que son las interpretaciones vulneradoras de la presunción de inocencia las que son absolutamente irrazonables y deficitarias. Por ello, advierte, infringirían no sólo la presunción de inocencia (art. 24.2 CE) y el principio de culpabilidad (arts. 24.2 y 25 CE), sino incluso el derecho a la tutela judicial efectiva en su vertiente de derecho a una respuesta fundada en Derecho por ser ésta irrazonable y no ajustada a Derecho (art. 24.1 CE) y hasta el principio de legalidad (art. 25.1 CE) por resultar extravagante y errática en cuanto a su soporte metodológico y axiológico.</w:t>
      </w:r>
    </w:p>
    <w:p w:rsidR="0085709A" w:rsidRDefault="0085709A" w:rsidP="0085709A">
      <w:pPr>
        <w:pStyle w:val="TextoNormal"/>
      </w:pPr>
    </w:p>
    <w:p w:rsidR="0085709A" w:rsidRDefault="0085709A" w:rsidP="0085709A">
      <w:pPr>
        <w:pStyle w:val="TextoNormal"/>
      </w:pPr>
      <w:r>
        <w:t xml:space="preserve">En las alegaciones finales se contempla el supuesto de que el Tribunal decidiera dictar una sentencia interpretativa, donde se aboga por excluir del ámbito típico las meras denuncias, antecedentes policiales o imputaciones sobre los que no existe actividad probatoria alguna o sentencia firme. No obstante, insiste que para ello basta con declarar infundada la </w:t>
      </w:r>
      <w:r>
        <w:lastRenderedPageBreak/>
        <w:t>cuestión por fluir naturalmente tal interpretación; y, si se insiste en dictar una sentencia interpretativa para erradicar las interpretaciones ya efectuadas en contra de la Constitución, debería, en todo caso, cristalizar en una exégesis en tales términos, esto es, los hechos deben estar acreditados, hayan sido enjuiciados en procesos anteriores o lo sean en el que se trata de aplicar la respuesta penal agravada.</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15 de enero de 2015, se señaló para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Sección Sexta de la Audiencia Provincial de Barcelona ha promovido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0085709A" w:rsidRDefault="0085709A" w:rsidP="0085709A">
      <w:pPr>
        <w:pStyle w:val="TextoNormal"/>
      </w:pPr>
    </w:p>
    <w:p w:rsidR="0085709A" w:rsidRDefault="0085709A" w:rsidP="0085709A">
      <w:pPr>
        <w:pStyle w:val="TextoNormal"/>
      </w:pPr>
      <w:r>
        <w:t>Tanto el Abogado del Estado como el Fiscal General del Estado interesan la desestimación de la cuestión planteada, si bien el Fiscal General solicita, con carácter previo, la inadmisión, por adolecer de dos defectos procesales relativos al cumplimiento del trámite de audiencia y a la pertinencia del juicio de relevancia y, subsidiariamente, que se dicte una Sentencia interpretativa.</w:t>
      </w:r>
    </w:p>
    <w:p w:rsidR="0085709A" w:rsidRDefault="0085709A" w:rsidP="0085709A">
      <w:pPr>
        <w:pStyle w:val="TextoNormal"/>
      </w:pPr>
    </w:p>
    <w:p w:rsidR="0085709A" w:rsidRDefault="0085709A" w:rsidP="0085709A">
      <w:pPr>
        <w:pStyle w:val="TextoNormal"/>
      </w:pPr>
      <w:r>
        <w:t>Como se puso de manifiesto reiteradamente en los antecedentes, las objeciones de fondo planteadas en la presente cuestión de inconstitucionalidad son idénticas a las resueltas en la reciente STC 185/2014, de 6 de noviembre, donde se dio respuesta a otra cuestión de inconstitucionalidad formulada por el mismo órgano judicial respecto al párrafo segundo del art. 623.1 CP. La única diferencia, trascendental en el caso de autos, atañe a los óbices procesales reprochados a la cuestión.</w:t>
      </w:r>
    </w:p>
    <w:p w:rsidR="0085709A" w:rsidRDefault="0085709A" w:rsidP="0085709A">
      <w:pPr>
        <w:pStyle w:val="TextoNormal"/>
      </w:pPr>
    </w:p>
    <w:p w:rsidR="0085709A" w:rsidRDefault="0085709A" w:rsidP="0085709A">
      <w:pPr>
        <w:pStyle w:val="TextoNormal"/>
      </w:pPr>
      <w:r w:rsidRPr="0085709A">
        <w:rPr>
          <w:rStyle w:val="NumeroAFNegritaCaracter"/>
        </w:rPr>
        <w:t>2</w:t>
      </w:r>
      <w:r>
        <w:t>. Se ha alegado por el Fiscal General del Estado que la presente cuestión de inconstitucionalidad no reúne los requisitos establecidos por el art. 35 de la Ley Orgánica del Tribunal Constitucional (LOTC) en lo que concierne al trámite de audiencia y al juicio de relevancia. Es procedente examinar tales objeciones, pues ningún impedimento existe para realizar un pronunciamiento de inadmisión de una cuestión de inconstitucionalidad en la fase de resolución de la misma, esto es, mediante Sentencia (recientemente, SSTC 42/2013, de 14 de febrero, FJ 2; 183/2013, de 23 de octubre, FJ 2; y 75/2014, de 8 de mayo, FJ 2 y jurisprudencia allí citada).</w:t>
      </w:r>
    </w:p>
    <w:p w:rsidR="0085709A" w:rsidRDefault="0085709A" w:rsidP="0085709A">
      <w:pPr>
        <w:pStyle w:val="TextoNormal"/>
      </w:pPr>
    </w:p>
    <w:p w:rsidR="0085709A" w:rsidRDefault="0085709A" w:rsidP="0085709A">
      <w:pPr>
        <w:pStyle w:val="TextoNormal"/>
      </w:pPr>
      <w:r>
        <w:t xml:space="preserve">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habría impedido a las partes realizar alegaciones al respecto. Idéntica tacha se analizó y se rechazó ya en el fundamento jurídico 2 a) de la STC 185/2014, al concluirse que no hay una divergencia manifiesta entre los reproches de inconstitucionalidad que el órgano judicial desarrolla en el Auto de planteamiento </w:t>
      </w:r>
      <w:r>
        <w:lastRenderedPageBreak/>
        <w:t>y los que esbozó en la providencia, ya que en ella se enunciaron con claridad, tanto el artículo cuestionado como los preceptos constitucionales eventualmente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0085709A" w:rsidRDefault="0085709A" w:rsidP="0085709A">
      <w:pPr>
        <w:pStyle w:val="TextoNormal"/>
      </w:pPr>
    </w:p>
    <w:p w:rsidR="0085709A" w:rsidRDefault="0085709A" w:rsidP="0085709A">
      <w:pPr>
        <w:pStyle w:val="TextoNormal"/>
      </w:pPr>
      <w:r>
        <w:t>b) El segundo óbice procesal alegado por el Fiscal General del Estado afecta al juicio de relevancia, imprescindible, conforme al art. 35 LOTC, para admitir a trámite una cuestión de inconstitucionalidad, respecto del que aquél aprecia dos carencias. De un lado, niega que la norma cuestionada sea aplicable al caso, ya que estima que, en la Sentencia impugnada en apelación, no había sido apreciada la reiteración de faltas, sino que el Juzgado de Instrucción aplicó el tipo básico de la falta de hurto. Y, de otro lado, cuestiona que esa norma sea decisiva en la resolución del proceso, pues las condenas en que se concreten los recursos de apelación conocen múltiples posibilidades penológicas –respecto a la duración y el tipo de pena aplicable— que pueden concurrir con independencia del resultado del examen de constitucionalidad del precepto cuestionado.</w:t>
      </w:r>
    </w:p>
    <w:p w:rsidR="0085709A" w:rsidRDefault="0085709A" w:rsidP="0085709A">
      <w:pPr>
        <w:pStyle w:val="TextoNormal"/>
      </w:pPr>
    </w:p>
    <w:p w:rsidR="0085709A" w:rsidRDefault="0085709A" w:rsidP="0085709A">
      <w:pPr>
        <w:pStyle w:val="TextoNormal"/>
      </w:pPr>
      <w:r>
        <w:t>Pues bien, de conformidad con lo que disponen los arts. 163 CE y 35.1 LOTC, son requisitos ineludibles para el planteamiento de una cuestión de inconstitucionalidad que la norma cuestionada posea rango legal, que sea aplicable al caso y que de su validez dependa el fallo o decisión del proceso. Estos dos últimos requisitos se encuentran en estrecha conexión y resultan esenciales para garantizar el control concreto de la constitucionalidad de la Ley, impidiendo que el órgano judicial convierta dicho control en abstracto, al carecer de legitimación para ello [entre muchas, últimamente, SSTC 84/2012, de 18 de abril, FJ 2; 146/2012, de 5 de julio, FJ 3; 60/2013, de 13 de marzo, FJ 1 b); y 18/2014, de 30 de enero, FJ 2].</w:t>
      </w:r>
    </w:p>
    <w:p w:rsidR="0085709A" w:rsidRDefault="0085709A" w:rsidP="0085709A">
      <w:pPr>
        <w:pStyle w:val="TextoNormal"/>
      </w:pPr>
    </w:p>
    <w:p w:rsidR="0085709A" w:rsidRDefault="0085709A" w:rsidP="0085709A">
      <w:pPr>
        <w:pStyle w:val="TextoNormal"/>
      </w:pPr>
      <w:r>
        <w:t>Ya en la STC 17/1981, de 1 de junio, FJ 4, se advirtió que la aplicabilidad de la norma es condición necesaria, aunque no suficiente, para que el fallo dependa de su validez. Es constante la jurisprudencia constitucional que señala que corresponde al órgano judicial proponente determinar con claridad que la disposición cuestionada es aplicable al proceso en cuyo seno se suscita, de modo que el control del juicio de aplicabilidad que corresponde efectuar a este Tribunal es meramente externo, sin que pueda sustituirlo en la selección e interpretación de la norma aplicable. No obstante, en el ejercicio de tales facultades de revisión y con el objetivo de garantizar que la cuestión de inconstitucionalidad responda a la finalidad concreta que la justifica, cabe declarar la inadmisibilidad de aquella cuestión de inconstitucionalidad en que el juicio de relevancia formulado resulte notoriamente inconsistente o evidentemente errado sin necesidad de un análisis de fondo [SSTC 151/2011, de 29 de septiembre, FJ 2; 27/2012, de 1 de marzo, FJ 2 B) a); o 40/2014, de 11 de marzo, FJ 2 b)].</w:t>
      </w:r>
    </w:p>
    <w:p w:rsidR="0085709A" w:rsidRDefault="0085709A" w:rsidP="0085709A">
      <w:pPr>
        <w:pStyle w:val="TextoNormal"/>
      </w:pPr>
    </w:p>
    <w:p w:rsidR="0085709A" w:rsidRDefault="0085709A" w:rsidP="0085709A">
      <w:pPr>
        <w:pStyle w:val="TextoNormal"/>
      </w:pPr>
      <w:r>
        <w:t xml:space="preserve">Por su parte, la relevancia se afirma cuando “existe una clara interdependencia entre pretensión procesal, proceso y resolución judicial (SSTC 174/1998, de 23 de julio, FJ 2; y 146/2012, de 5 de julio, FJ 4), resultando notorio, en consecuencia, el nexo causal entre la validez de la norma legal cuestionada y la decisión a adoptar (SSTC 96/2008, de 24 de julio, FJ 2; y 100/2012, de 8 de mayo, FJ 2), al existir ‘una relación lógica entre la eventual anulación de la disposición legal cuestionada y la satisfacción de la pretensión ejercitada en el proceso </w:t>
      </w:r>
      <w:r w:rsidRPr="0085709A">
        <w:rPr>
          <w:i/>
        </w:rPr>
        <w:t>a quo</w:t>
      </w:r>
      <w:r>
        <w:t xml:space="preserve">’ (SSTC 3/2012, de 13 de enero, FJ 3; y 4/2012, de 13 de enero, FJ 3)” [STC </w:t>
      </w:r>
      <w:r>
        <w:lastRenderedPageBreak/>
        <w:t xml:space="preserve">60/2013, FJ 1 b)]. También son los Jueces y Tribunales ordinarios que plantean las cuestiones de inconstitucionalidad a los que corresponde comprobar y exteriorizar, </w:t>
      </w:r>
      <w:r w:rsidRPr="0085709A">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[últimamente, SSTC 87/2012, de 18 de abril, FJ 2; 146/2012, de 5 de julio, FJ 3; 60/2013, de 13 de marzo, FJ 1 b); 53/2014, de 10 de abril, FJ 1 b); y 82/2014, de 28 de mayo, FJ 2 a)].</w:t>
      </w:r>
    </w:p>
    <w:p w:rsidR="0085709A" w:rsidRDefault="0085709A" w:rsidP="0085709A">
      <w:pPr>
        <w:pStyle w:val="TextoNormal"/>
      </w:pPr>
    </w:p>
    <w:p w:rsidR="0085709A" w:rsidRDefault="0085709A" w:rsidP="0085709A">
      <w:pPr>
        <w:pStyle w:val="TextoNormal"/>
      </w:pPr>
      <w:r>
        <w:t>En la presente cuestión, exteriorizado el juicio de aplicabilidad y relevancia por el órgano judicial proponente, debe atenderse en su control, tanto a si la duda de constitucionalidad afecta a la regla legal en la que debe fundamentarse la resolución del caso, como a si el pronunciamiento sobre la validez condiciona la resolución del juzgador, extremos ambos rechazados por el Fiscal.</w:t>
      </w:r>
    </w:p>
    <w:p w:rsidR="0085709A" w:rsidRDefault="0085709A" w:rsidP="0085709A">
      <w:pPr>
        <w:pStyle w:val="TextoNormal"/>
      </w:pPr>
    </w:p>
    <w:p w:rsidR="0085709A" w:rsidRDefault="0085709A" w:rsidP="0085709A">
      <w:pPr>
        <w:pStyle w:val="TextoNormal"/>
      </w:pPr>
      <w:r>
        <w:t xml:space="preserve">En relación con la aplicabilidad del precepto, la lectura del Auto de planteamiento evidencia que el órgano judicial parte de un presupuesto distinto al sostenido por el Fiscal, pues estima que se aplicó la reiteración de faltas y que, desde tal premisa, sería evidente que el fallo del proceso dependería de forma necesaria de la validez o invalidez de la norma que se somete a contraste de constitucionalidad. Sin embargo, hemos de coincidir con el Ministerio Fiscal en que ese entendimiento por parte del órgano judicial </w:t>
      </w:r>
      <w:r w:rsidRPr="0085709A">
        <w:rPr>
          <w:i/>
        </w:rPr>
        <w:t>ad quem</w:t>
      </w:r>
      <w:r>
        <w:t xml:space="preserve"> es una posibilidad que se sostiene de forma insatisfactoria en la referencia que se hace en el Auto de planteamiento de la cuestión a la circunstancia fáctica que se menciona en la Sentencia de instancia impugnada a la habitualidad delictiva como razón para imponer la pena de localización permanente y no la de multa. Y es que precisamente esa disyuntiva penológica (multa/localización permanente) sólo es posible respecto a la falta de hurto básica tipificada en el inciso primero del párrafo primero del art. 623.1 CP y no cuando se acude a la perpetración reiterada de la misma, donde, conforme al inciso segundo del párrafo primero del art. 623.1 CP, la única pena posible es la localización permanente y la única opción que permite el legislador al Juez afecta exclusivamente al lugar de cumplimiento de la pena de localización permanente, domicilio o centro penitenciario. Esta alternativa, que denotaría la aplicación del precepto cuestionado, no se refleja en la resolución judicial de instancia, que en ningún momento ha barajado la posibilidad de imponer la pena de localización permanente en centro penitenciario; como tampoco se contiene mención alguna a la figura de la perpetración reiterada de la falta de hurto y a su definición en el párrafo segundo del art. 623.1 CP, o siquiera a la previsión general de decretar que la pena de localización permanente se cumpla en centro penitenciario en atención a la reiteración del hecho recogida en el art. 37.1 CP.</w:t>
      </w:r>
    </w:p>
    <w:p w:rsidR="0085709A" w:rsidRDefault="0085709A" w:rsidP="0085709A">
      <w:pPr>
        <w:pStyle w:val="TextoNormal"/>
      </w:pPr>
    </w:p>
    <w:p w:rsidR="0085709A" w:rsidRDefault="0085709A" w:rsidP="0085709A">
      <w:pPr>
        <w:pStyle w:val="TextoNormal"/>
      </w:pPr>
      <w:r>
        <w:t xml:space="preserve">Cabe por ello concluir que, en el presente supuesto, la aplicabilidad del precepto está deficientemente acreditada, pues, sin necesidad de entrar a analizar el fondo, se colige que se asienta en una argumentación equivocada, que utiliza únicamente la referencia a la habitualidad para elegir entre la pena de multa y la de localización permanente por parte del Juez </w:t>
      </w:r>
      <w:r w:rsidRPr="0085709A">
        <w:rPr>
          <w:i/>
        </w:rPr>
        <w:t>a quo</w:t>
      </w:r>
      <w:r>
        <w:t xml:space="preserve">, que, sin embargo, es la alternativa penológica característica de la falta básica de hurto </w:t>
      </w:r>
      <w:r>
        <w:lastRenderedPageBreak/>
        <w:t>y no de la falta reiterada, al tiempo que obvia la ausencia de toda mención a la figura de la perpetración reiterada de faltas de hurto o al cumplimiento en centro penitenciario de la pena de localización permanente.</w:t>
      </w:r>
    </w:p>
    <w:p w:rsidR="0085709A" w:rsidRDefault="0085709A" w:rsidP="0085709A">
      <w:pPr>
        <w:pStyle w:val="TextoNormal"/>
      </w:pPr>
    </w:p>
    <w:p w:rsidR="0085709A" w:rsidRDefault="0085709A" w:rsidP="0085709A">
      <w:pPr>
        <w:pStyle w:val="TextoNormal"/>
      </w:pPr>
      <w:r>
        <w:t>Así pues, en la medida en que el precepto cuestionado no resulta aplicable al caso, pues no fue la norma sobre la que el juzgador de instancia fundamentó su fallo condenatorio en la primera instancia, el juicio de relevancia efectuado por el órgano judicial carece de consistencia, pues pierde su base y opera sobre un precepto legal no aplicado, lo que impide que la validez de la norma cuestionada afecte de forma necesaria a la resolución del proceso. La posibilidad de imponer una pena de multa es posible en la falta de hurto efectivamente aplicada si así lo considera conveniente el órgano judicial proponente que debe resolver la apelación, y en ningún caso se ha planteado la imposición de la pena de localización permanente con cumplimiento en centro penitenciario, que es la única consecuencia penológica asociada en exclusiva a los supuestos de perpetración reiterada de la falta de hurto.</w:t>
      </w:r>
    </w:p>
    <w:p w:rsidR="0085709A" w:rsidRDefault="0085709A" w:rsidP="0085709A">
      <w:pPr>
        <w:pStyle w:val="TextoNormal"/>
      </w:pPr>
    </w:p>
    <w:p w:rsidR="0085709A" w:rsidRDefault="0085709A" w:rsidP="0085709A">
      <w:pPr>
        <w:pStyle w:val="TextoNormal"/>
      </w:pPr>
      <w:r>
        <w:t>Debe acogerse, en consecuencia, el óbice opuesto por el Fiscal General del Estado.</w:t>
      </w:r>
    </w:p>
    <w:p w:rsidR="0085709A" w:rsidRDefault="0085709A" w:rsidP="0085709A">
      <w:pPr>
        <w:pStyle w:val="TextoNormal"/>
      </w:pPr>
    </w:p>
    <w:p w:rsidR="0085709A" w:rsidRDefault="0085709A" w:rsidP="0085709A">
      <w:pPr>
        <w:pStyle w:val="TextoNormal"/>
      </w:pPr>
      <w:r>
        <w:t>A tenor de la doctrina constitucional expuesta, se concluye que en este caso no se han satisfecho suficientemente los juicios de aplicabilidad y relevancia exigidos por el art. 35.2 LOTC, circunstancia que determina la inadmisión a trámite de la presente cuestión de inconstitucionalidad en aplicación de lo dispuesto en el art. 37.1 LOTC.</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Inadmitir la cuestión de inconstitucionalidad núm. 7360-2013, planteada por la Sección Sexta de la Audiencia Provincial de Barcelona.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 w:name="SENTENCIA_2015_5"/>
      <w:r>
        <w:lastRenderedPageBreak/>
        <w:t>SENTENCIA 5/2015, de 22 de enero de 2015</w:t>
      </w:r>
    </w:p>
    <w:bookmarkEnd w:id="8"/>
    <w:p w:rsidR="0085709A" w:rsidRDefault="0085709A" w:rsidP="0085709A">
      <w:pPr>
        <w:pStyle w:val="TtuloResolucin"/>
      </w:pPr>
      <w:r>
        <w:t>Pleno</w:t>
      </w:r>
    </w:p>
    <w:p w:rsidR="0085709A" w:rsidRDefault="0085709A" w:rsidP="0085709A">
      <w:pPr>
        <w:pStyle w:val="TtuloBOE"/>
      </w:pPr>
      <w:r>
        <w:t>(BOE núm. 47, de 24 de febrero de 2015)</w:t>
      </w:r>
    </w:p>
    <w:p w:rsidR="0085709A" w:rsidRDefault="0085709A" w:rsidP="0085709A">
      <w:pPr>
        <w:pStyle w:val="TextoNormalCentrado"/>
      </w:pPr>
      <w:r>
        <w:t>ECLI:ES:TC:2015:5</w:t>
      </w:r>
    </w:p>
    <w:p w:rsidR="0085709A" w:rsidRDefault="0085709A" w:rsidP="0085709A">
      <w:pPr>
        <w:pStyle w:val="TextoNormalCentrado"/>
      </w:pPr>
    </w:p>
    <w:p w:rsidR="0085709A" w:rsidRDefault="0085709A" w:rsidP="0085709A">
      <w:pPr>
        <w:pStyle w:val="SntesisDescriptiva"/>
      </w:pPr>
      <w:r>
        <w:t>Recurso de inconstitucionalidad 6964-2009. Interpuesto por el Presidente del Gobierno en relación con diversos preceptos de la Ley 7/2009, de 6 de mayo, de modificación del texto refundido de las Leyes de ordenación del territorio de Canarias y de espacios naturales de Canarias sobre declaración y ordenación de áreas urbanas en el litoral canario.</w:t>
      </w:r>
    </w:p>
    <w:p w:rsidR="0085709A" w:rsidRDefault="0085709A" w:rsidP="0085709A">
      <w:pPr>
        <w:pStyle w:val="SntesisDescriptiva"/>
      </w:pPr>
    </w:p>
    <w:p w:rsidR="0085709A" w:rsidRDefault="0085709A" w:rsidP="0085709A">
      <w:pPr>
        <w:pStyle w:val="SntesisAnaltica"/>
      </w:pPr>
      <w:r>
        <w:t>Competencias sobre condiciones básicas de igualdad, costas y medio ambiente: nulidad de los preceptos legales autonómicos que establecen limitaciones o servidumbres sobre los terrenos colindantes con el dominio público marítimo-terrestre y regulan su deslinde; interpretación conforme del precepto que crea un censo de edificaciones singulares ubicadas en el demanio marítimo-terrestre (STC 87/2012).</w:t>
      </w:r>
    </w:p>
    <w:p w:rsidR="0085709A" w:rsidRDefault="0085709A" w:rsidP="0085709A">
      <w:pPr>
        <w:pStyle w:val="SntesisAnaltica"/>
      </w:pPr>
    </w:p>
    <w:p w:rsidR="0085709A" w:rsidRDefault="0085709A" w:rsidP="0085709A">
      <w:pPr>
        <w:pStyle w:val="Extracto"/>
      </w:pPr>
      <w:r>
        <w:t>1.</w:t>
      </w:r>
      <w:r>
        <w:tab/>
        <w:t>Las competencias estatutarias en materia de ordenación del litoral no justifican la intervención autonómica en materia de regulación del dominio público marítimo terrestre, o de las servidumbres de protección adyacentes [FJ 5].</w:t>
      </w:r>
    </w:p>
    <w:p w:rsidR="0085709A" w:rsidRDefault="0085709A" w:rsidP="0085709A">
      <w:pPr>
        <w:pStyle w:val="Extracto"/>
      </w:pPr>
    </w:p>
    <w:p w:rsidR="0085709A" w:rsidRDefault="0085709A" w:rsidP="0085709A">
      <w:pPr>
        <w:pStyle w:val="Extracto"/>
      </w:pPr>
      <w:r>
        <w:t>2.</w:t>
      </w:r>
      <w:r>
        <w:tab/>
        <w:t>En virtud de los art. 149.1.23 CE y 149.1.1 CE, únicamente al Estado corresponde establecer limitaciones y servidumbres sobre el demanio marítimo-terrestre y sus terrenos colindantes y, entre ellas, la adopción de disposiciones que regulen la servidumbre de protección y conservación (STC 87/2012) [FJ 5].</w:t>
      </w:r>
    </w:p>
    <w:p w:rsidR="0085709A" w:rsidRDefault="0085709A" w:rsidP="0085709A">
      <w:pPr>
        <w:pStyle w:val="Extracto"/>
      </w:pPr>
    </w:p>
    <w:p w:rsidR="0085709A" w:rsidRDefault="0085709A" w:rsidP="0085709A">
      <w:pPr>
        <w:pStyle w:val="Extracto"/>
      </w:pPr>
      <w:r>
        <w:t>3.</w:t>
      </w:r>
      <w:r>
        <w:tab/>
        <w:t>Se estima el recurso planteado en relación con el precepto que determina que es competencia de la Administración autonómica la fijación del límite interior de la zona de servidumbre de protección del dominio marítimo-terrestre [FJ 6].</w:t>
      </w:r>
    </w:p>
    <w:p w:rsidR="0085709A" w:rsidRDefault="0085709A" w:rsidP="0085709A">
      <w:pPr>
        <w:pStyle w:val="Extracto"/>
      </w:pPr>
    </w:p>
    <w:p w:rsidR="0085709A" w:rsidRDefault="0085709A" w:rsidP="0085709A">
      <w:pPr>
        <w:pStyle w:val="Extracto"/>
      </w:pPr>
      <w:r>
        <w:t>4.</w:t>
      </w:r>
      <w:r>
        <w:tab/>
        <w:t>Atañe al Estado realizar las operaciones de deslinde de la zona de servidumbre de protección, en la medida en que tales operaciones tienen por finalidad determinar qué bienes concretos, que territorios precisos, integran el dominio público marítimo terrestre y la correlativa y consecutiva zona de servidumbre de protección, cuya finalidad es preservar los bienes demaniales [FJ 6].</w:t>
      </w:r>
    </w:p>
    <w:p w:rsidR="0085709A" w:rsidRDefault="0085709A" w:rsidP="0085709A">
      <w:pPr>
        <w:pStyle w:val="Extracto"/>
      </w:pPr>
    </w:p>
    <w:p w:rsidR="0085709A" w:rsidRDefault="0085709A" w:rsidP="0085709A">
      <w:pPr>
        <w:pStyle w:val="Extracto"/>
      </w:pPr>
      <w:r>
        <w:t>5.</w:t>
      </w:r>
      <w:r>
        <w:tab/>
        <w:t>El ejercicio de la necesaria colaboración de la Administración urbanística, respecto a las acciones concretas necesarias para establecer definitivamente el deslinde, no implica la traslación de la competencia de deslinde a la Administración autonómica [FJ 6].</w:t>
      </w:r>
    </w:p>
    <w:p w:rsidR="0085709A" w:rsidRDefault="0085709A" w:rsidP="0085709A">
      <w:pPr>
        <w:pStyle w:val="Extracto"/>
      </w:pPr>
    </w:p>
    <w:p w:rsidR="0085709A" w:rsidRDefault="0085709A" w:rsidP="0085709A">
      <w:pPr>
        <w:pStyle w:val="Extracto"/>
      </w:pPr>
      <w:r>
        <w:t>6.</w:t>
      </w:r>
      <w:r>
        <w:tab/>
        <w:t>La norma autonómica no puede asociar consecuencia alguna a la inclusión de una determinada obra o instalación en el censo de las edificaciones ubicadas en el demanio marítimo-terrestre y en sus zonas de servidumbre de tránsito pues ello sería tanto como intervenir en su régimen de protección,  que corresponde en exclusiva al Estado [FJ 7].</w:t>
      </w:r>
    </w:p>
    <w:p w:rsidR="0085709A" w:rsidRDefault="0085709A" w:rsidP="0085709A">
      <w:pPr>
        <w:pStyle w:val="Extracto"/>
      </w:pPr>
    </w:p>
    <w:p w:rsidR="0085709A" w:rsidRDefault="0085709A" w:rsidP="0085709A">
      <w:pPr>
        <w:pStyle w:val="Extracto"/>
      </w:pPr>
      <w:r>
        <w:lastRenderedPageBreak/>
        <w:t>7.</w:t>
      </w:r>
      <w:r>
        <w:tab/>
        <w:t>No corresponde al legislador autonómico establecer que el desarrollo de soporte urbanístico se efectuará independientemente de que el Estado asuma o no la posición autonómica respecto del interés público de una obra o instalación incluida en el censo y, por tanto, sin tener en cuenta la competencia del Estado, que es plena, para determinar la aplicación de la disposición transitoria cuarta de la Ley de costas [FJ 7].</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6964-2009,  promovido por el Presidente del Gobierno, frente a los artículos 1, 2 y 3 de la Ley de la Comunidad Autónoma de Canarias 7/2009, de 6 de mayo, de modificación del Texto Refundido de las Leyes de Ordenación del Territorio de Canarias y de Espacios Naturales de Canarias sobre declaración y ordenación de áreas urbanas en el litoral canario. Han comparecido el Congreso y el Senado y formulado alegaciones el Gobierno y el Parlamento de Canarias.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28 de julio de 2009, el Abogado del Estado, en nombre del Presidente del Gobierno, presentó recurso de inconstitucionalidad contra los artículos 1, 2 y 3 de la Ley de la Comunidad Autónoma de Canarias 7/2009, de 6 de mayo, de modificación del Decreto Legislativo 1/2000, de 8 de mayo, por el que se aprueba el texto refundido de las Leyes de ordenación del territorio de Canarias y de espacios naturales de Canarias.</w:t>
      </w:r>
    </w:p>
    <w:p w:rsidR="0085709A" w:rsidRDefault="0085709A" w:rsidP="0085709A">
      <w:pPr>
        <w:pStyle w:val="TextoNormal"/>
      </w:pPr>
    </w:p>
    <w:p w:rsidR="0085709A" w:rsidRDefault="0085709A" w:rsidP="0085709A">
      <w:pPr>
        <w:pStyle w:val="TextoNormal"/>
      </w:pPr>
      <w:r>
        <w:t>En la demanda se hizo expresa invocación del art. 161.2 CE, a los efectos de que se acordase la suspensión de la vigencia y aplicación del precepto legal impugnado.</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Para el Abogado del Estado, los artículos 1, 2 y 3 de la Ley 7/2009, que son impugnados y que introducen, respectivamente, las disposiciones adicionales decimotercera, decimocuarta y decimoquinta en el Decreto Legislativo 1/2000, vulneran las competencias del Estado derivadas de los artículos 132 y 149.1 apartados 1, 8 y 23 CE, por resultar contrarios </w:t>
      </w:r>
      <w:r>
        <w:lastRenderedPageBreak/>
        <w:t>a la legislación estatal dictada en ejercicio de tales competencias. Antes de profundizar en las razones que dan sustento a la impugnación de la Ley canaria 7/2009, esta parte apunta la evidente similitud entre el presente recurso de inconstitucionalidad y el recurso número 3644-2009, promovido por el Presidente del Gobierno contra la disposición adicional segunda de la Ley de la Comunidad Autónoma de Galicia 18/2008, de 29 de diciembre, de vivienda, por lo que anuncia que ambos recursos siguen un similar esquema argumental.</w:t>
      </w:r>
    </w:p>
    <w:p w:rsidR="0085709A" w:rsidRDefault="0085709A" w:rsidP="0085709A">
      <w:pPr>
        <w:pStyle w:val="TextoNormal"/>
      </w:pPr>
    </w:p>
    <w:p w:rsidR="0085709A" w:rsidRDefault="0085709A" w:rsidP="0085709A">
      <w:pPr>
        <w:pStyle w:val="TextoNormal"/>
      </w:pPr>
      <w:r>
        <w:t>En primer término se aborda la cuestión de la delimitación competencial que debe enmarcar el proceso constitucional incoado. El Abogado del Estado, a falta de pronunciamiento expreso en la norma impugnada, deduce del apartado III de la exposición de motivos de la Ley 7/2009 y de lo contenido en el Decreto Legislativo 1/2000 al que esta modifica, que su dictado se ampara en la competencia autonómica exclusiva sobre “ordenación del territorio y del litoral, urbanismo y vivienda” (art 30. 15 de la Ley Orgánica 10/1982, de 10 agosto, por la que se aprueba el Estatuto de Autonomía de Canarias), así como en la competencia de desarrollo legislativo y ejecución en materia de “protección del medio ambiente, incluidos los vertidos en el ámbito territorial de la Comunidad” (art. 32.12 del Estatuto de Autonomía de Canarias: EACan). Estando presentes en el supuesto dos competencias materiales, el Abogado del Estado estima que la competencia prevalente en este caso es la que se refiere a la “ordenación del territorio y del litoral, urbanismo y vivienda”, cuyo alcance ha perfilado el Tribunal Constitucional en sentencias como las SSTC 149/1998, de 2 de julio, y 46/2007, de 1 de marzo. La Abogacía del Estado considera que la legislación autonómica impugnada se dicta desconociendo los límites que la jurisprudencia constitucional vincula al ejercicio de las competencias autonómicas en la materia y que se asocian al ejercicio de las potestades estatales derivadas del art. 132 CE, en relación con los apartados 1, 8 y 23 del art. 149.1 CE.</w:t>
      </w:r>
    </w:p>
    <w:p w:rsidR="0085709A" w:rsidRDefault="0085709A" w:rsidP="0085709A">
      <w:pPr>
        <w:pStyle w:val="TextoNormal"/>
      </w:pPr>
    </w:p>
    <w:p w:rsidR="0085709A" w:rsidRDefault="0085709A" w:rsidP="0085709A">
      <w:pPr>
        <w:pStyle w:val="TextoNormal"/>
      </w:pPr>
      <w:r>
        <w:t>En segundo lugar, el recurrente caracteriza la inconstitucionalidad atribuida a la norma impugnada como mediata o indirecta, por concurrir la vulneración del orden de distribución de competencias legítimamente articulado por el Estado a través del dictado de la ley 22/1988, de 28 de julio, de costas (LC), que actúa en este caso como norma básica de referencia. Para justificar el carácter básico de la normativa estatal referida, el Abogado del Estado acude a lo dispuesto en la STC 149/1991, de 4 de julio, que declaraba la constitucionalidad de la mayor parte de los preceptos de la Ley de costas de 1988, y en particular consideraba expresamente conformes a la Constitución los arts. 23 y la disposición transitoria tercera de la Ley de costas [fundamentos jurídicos 3 d) y 8 d)], así como a lo determinado en la STC 198/1991, de 17 de octubre, en relación con las disposiciones transitorias séptima y novena del Real Decreto 1471/1989, también consideradas conformes a la Constitución.</w:t>
      </w:r>
    </w:p>
    <w:p w:rsidR="0085709A" w:rsidRDefault="0085709A" w:rsidP="0085709A">
      <w:pPr>
        <w:pStyle w:val="TextoNormal"/>
      </w:pPr>
    </w:p>
    <w:p w:rsidR="0085709A" w:rsidRDefault="0085709A" w:rsidP="0085709A">
      <w:pPr>
        <w:pStyle w:val="TextoNormal"/>
      </w:pPr>
      <w:r>
        <w:t>Seguidamente la demanda se detiene en cada uno de los preceptos impugnados para justificar la contradicción entre aquellos y la norma interpuesta de verificación del ajuste constitucional.</w:t>
      </w:r>
    </w:p>
    <w:p w:rsidR="0085709A" w:rsidRDefault="0085709A" w:rsidP="0085709A">
      <w:pPr>
        <w:pStyle w:val="TextoNormal"/>
      </w:pPr>
    </w:p>
    <w:p w:rsidR="0085709A" w:rsidRDefault="0085709A" w:rsidP="0085709A">
      <w:pPr>
        <w:pStyle w:val="TextoNormal"/>
      </w:pPr>
      <w:r>
        <w:t>a) La disposición adicional decimotercera del Decreto Legislativo 1/2000, introducida por el art. 1 de la Ley 7/2009, se opone, según el Abogado del Estado, al art. 23.1 de la Ley de costas en la redacción vigente al momento de la interposición del recurso.</w:t>
      </w:r>
    </w:p>
    <w:p w:rsidR="0085709A" w:rsidRDefault="0085709A" w:rsidP="0085709A">
      <w:pPr>
        <w:pStyle w:val="TextoNormal"/>
      </w:pPr>
    </w:p>
    <w:p w:rsidR="0085709A" w:rsidRDefault="0085709A" w:rsidP="0085709A">
      <w:pPr>
        <w:pStyle w:val="TextoNormal"/>
      </w:pPr>
      <w:r>
        <w:lastRenderedPageBreak/>
        <w:t>Este precepto establecía que “la servidumbre de protección recaerá sobre una zona de 100 metros medida tierra adentro desde el límite interior de la ribera del mar”, pudiendo ser ampliada la extensión de esta zona por la administración del Estado, “de acuerdo con la de la Comunidad Autónoma y el Ayuntamiento correspondiente, hasta un máximo de otros 100 metros, cuando sea necesario para asegurar la efectividad de la servidumbre, en atención a las peculiaridades del tramo de costa de que se trate” (apartado 2 del art. 23 LC). Además la disposición transitoria tercera de la Ley de costas establecía un régimen transitorio para la aplicación de esta servidumbre de protección, distinguiendo entre:</w:t>
      </w:r>
    </w:p>
    <w:p w:rsidR="0085709A" w:rsidRDefault="0085709A" w:rsidP="0085709A">
      <w:pPr>
        <w:pStyle w:val="TextoNormal"/>
      </w:pPr>
    </w:p>
    <w:p w:rsidR="0085709A" w:rsidRDefault="0085709A" w:rsidP="0085709A">
      <w:pPr>
        <w:pStyle w:val="TextoNormal"/>
      </w:pPr>
      <w:r>
        <w:t>(i) Los terrenos que a la entrada en vigor de la Ley estuvieran clasificados como suelo urbanizable no programado y suelo no urbanizable, a los que, de acuerdo con el apartado 1 de la disposición transitoria, les serían de inmediata aplicación “las disposiciones contenidas en el Título II sobre zonas de servidumbre de protección y de influencia”, entre las que se encuentra el art. 23 LC.</w:t>
      </w:r>
    </w:p>
    <w:p w:rsidR="0085709A" w:rsidRDefault="0085709A" w:rsidP="0085709A">
      <w:pPr>
        <w:pStyle w:val="TextoNormal"/>
      </w:pPr>
    </w:p>
    <w:p w:rsidR="0085709A" w:rsidRDefault="0085709A" w:rsidP="0085709A">
      <w:pPr>
        <w:pStyle w:val="TextoNormal"/>
      </w:pPr>
      <w:r>
        <w:t>(ii) Los terrenos que, a la entrada en vigor de la Ley estuvieran clasificados como suelo urbanizable programado o apto para la urbanización, respecto de los que el párrafo 2 de la disposición transitoria prevé el mantenimiento del aprovechamiento urbanístico atribuido, distinguiéndose la aplicación de la zona de servidumbre en función de que existiera plan parcial aprobado definitivamente.</w:t>
      </w:r>
    </w:p>
    <w:p w:rsidR="0085709A" w:rsidRDefault="0085709A" w:rsidP="0085709A">
      <w:pPr>
        <w:pStyle w:val="TextoNormal"/>
      </w:pPr>
    </w:p>
    <w:p w:rsidR="0085709A" w:rsidRDefault="0085709A" w:rsidP="0085709A">
      <w:pPr>
        <w:pStyle w:val="TextoNormal"/>
      </w:pPr>
      <w:r>
        <w:t>iii) Y los terrenos clasificados como suelo urbano a la entrada en vigor de la Ley, que estarán sujetos a una servidumbre de protección de 20 metros (párrafo 3, de la disposición transitoria tercera).</w:t>
      </w:r>
    </w:p>
    <w:p w:rsidR="0085709A" w:rsidRDefault="0085709A" w:rsidP="0085709A">
      <w:pPr>
        <w:pStyle w:val="TextoNormal"/>
      </w:pPr>
    </w:p>
    <w:p w:rsidR="0085709A" w:rsidRDefault="0085709A" w:rsidP="0085709A">
      <w:pPr>
        <w:pStyle w:val="TextoNormal"/>
      </w:pPr>
      <w:r>
        <w:t>De modo que la Ley de costas, desarrollada en este punto por las disposiciones transitorias séptima y novena del Real Decreto 1471/1989, de 1 de diciembre, sólo permite la aplicación de la servidumbre de 20 metros, de forma transitoria, a los terrenos que estuvieran clasificados como urbanos a la entrada en vigor de aquella Ley, prescribiéndose la aplicación, en los demás supuestos, de la servidumbre de 100 metros, como medida de protección del medio ambiente y, en concreto, del dominio público marítimo-terrestre. Fijado de este modo el contenido de la norma básica de contraste, la Abogacía del Estado entiende que el art. 1 de la Ley 7/2009, pretende incidir en el régimen de aplicación en el tiempo de un precepto estatal, al introducir un régimen transitorio diferente para Canarias. Reconoce el Abogado del Estado que si bien la Comunidad Autónoma de Canarias tiene competencia para incidir normativamente en la protección del dominio marítimo-terrestre a través de su facultad de desarrollo de la legislación básica estatal, no la tendría en cambio para afectar al régimen transitorio de la legislación básica, ni siquiera en el caso de que no pretendiese más que reproducir lo establecido en las disposiciones transitorias de esta ley estatal (con cita de la STC 341/2005, de 21 de diciembre, FJ 9), dándose la circunstancia, en este caso, de que la Comunidad Autónoma incide en el régimen transitorio de la ley estatal en sentido incompatible con la legislación básica, tal y como se deduce de la lectura de la disposición adicional decimotercera del Decreto Legislativo 1/2000, que establece lo siguiente:</w:t>
      </w:r>
    </w:p>
    <w:p w:rsidR="0085709A" w:rsidRDefault="0085709A" w:rsidP="0085709A">
      <w:pPr>
        <w:pStyle w:val="TextoNormal"/>
      </w:pPr>
    </w:p>
    <w:p w:rsidR="0085709A" w:rsidRDefault="0085709A" w:rsidP="0085709A">
      <w:pPr>
        <w:pStyle w:val="TextoNormal"/>
      </w:pPr>
      <w:r>
        <w:t xml:space="preserve">“1. A los efectos de la aplicación del régimen transitorio de la Ley de Costas, se considerarán áreas urbanas, con independencia de la existencia o no de instrumento de ordenación sobre las mismas y de la clase y categoría de suelo que en su caso se estableciera, las que, a </w:t>
      </w:r>
      <w:r>
        <w:lastRenderedPageBreak/>
        <w:t>29 de julio de 1988, se encontraran en alguno de los siguientes supuestos: a) Las que comprendan terrenos que cuenten con acceso rodado, abastecimiento de agua, evacuación de aguas y suministro de energía eléctrica. b) Las que comprendan terrenos consolidados por la edificación al menos en dos terceras partes de su superficie, si el municipio en el que se ubicara tuviera en esa fecha planeamiento general en vigor. c) Las que comprendan terrenos consolidados por la edificación al menos en la mitad de su superficie, si el municipio en el que se ubicara el asentamiento no tuviera en esa fecha planeamiento general en vigor. 2. Dicha declaración se efectuará por el órgano autonómico que se determine reglamentariamente, a iniciativa del Cabildo o del Ayuntamiento competente, que aportará los medios de prueba que sirvan de motivación al correspondiente acto.”</w:t>
      </w:r>
    </w:p>
    <w:p w:rsidR="0085709A" w:rsidRDefault="0085709A" w:rsidP="0085709A">
      <w:pPr>
        <w:pStyle w:val="TextoNormal"/>
      </w:pPr>
    </w:p>
    <w:p w:rsidR="0085709A" w:rsidRDefault="0085709A" w:rsidP="0085709A">
      <w:pPr>
        <w:pStyle w:val="TextoNormal"/>
      </w:pPr>
      <w:r>
        <w:t>La disposición impugnada, tal y como se deriva de la lectura del precepto a la luz de lo dispuesto en la exposición de motivos de la Ley canaria 7/2009, pretende aplicar la servidumbre reducida de 20 metros de la disposición transitoria tercera de la Ley de costas a suelo expresamente clasificado, a la entrada en vigor de la legislación de costas, como suelo rústico de asentamiento rural, en contra de lo que prevé la norma básica, que es la aplicación de la servidumbre reducida a los terrenos clasificados como suelo urbano a la entrada en vigor de la Ley, en virtud de lo establecido en la disposición transitoria novena del Real Decreto 1471/1989. Sintetiza la Abogacía del Estado su impugnación estableciendo que disposición adicional decimotercera del Decreto Legislativo canario 1/2000, vulnera las previsiones de la normativa básica estatal: 1) al pretender la aplicación de la servidumbre reducida a terrenos expresamente clasificados como rústicos a la fecha de la entrada en vigor de la Ley; 2) al pretender la aplicación de la servidumbre reducida a terrenos no clasificados que, al tiempo de la entrada en vigor de la Ley de costas, reunieran las circunstancias de la disposición adicional decimotercera, pero respecto de los que, en ese momento, no existiera acto expreso alguno de reconocimiento de la concurrencia de esas circunstancias.</w:t>
      </w:r>
    </w:p>
    <w:p w:rsidR="0085709A" w:rsidRDefault="0085709A" w:rsidP="0085709A">
      <w:pPr>
        <w:pStyle w:val="TextoNormal"/>
      </w:pPr>
    </w:p>
    <w:p w:rsidR="0085709A" w:rsidRDefault="0085709A" w:rsidP="0085709A">
      <w:pPr>
        <w:pStyle w:val="TextoNormal"/>
      </w:pPr>
      <w:r>
        <w:t xml:space="preserve">b) El art. 2 de la Ley 7/2009, que introduce la disposición adicional decimocuarta del Decreto Legislativo 1/2000, establece que “la administración urbanística actuante fijará el límite interior de la zona de servidumbre de protección del dominio público marítimo-terrestre y establecerá la ordenación de los terrenos comprendidos en la misma, teniendo en cuenta la línea de ribera del mar que a tal efecto le comunique la administración del Estado, comunicación que irá acompañada del correspondiente proyecto técnico y expediente administrativo”. Frente a esta disposición, el Abogado del Estado afirma que la legislación básica estatal configura el deslinde como competencia exclusiva plena del Estado, de lo que se deduce la contradicción entre la normativa autonómica y la básica estatal contenida en los arts. 11, 12, 13 y 110 a) de la Ley de costas, así como en los arts. 18 y siguientes del Real Decreto 1471/1989, que realizan el desarrollo reglamentario de la facultad estatal de deslinde. Reproduciendo los argumentos contenidos en la demanda que dio lugar al recurso de inconstitucionalidad 3644-2009, la Abogacía del Estado afirma que las citadas disposiciones de la Ley de costas, y del Real Decreto 1471/1989 han de ser considerados básicos, y ello en virtud de que se dictan en desarrollo de la competencia estatal, </w:t>
      </w:r>
      <w:r w:rsidRPr="0085709A">
        <w:rPr>
          <w:i/>
        </w:rPr>
        <w:t>ex</w:t>
      </w:r>
      <w:r>
        <w:t xml:space="preserve"> arts. 132, 149.1. 1, 8 y 23 CE, relativa a la determinación de aquellas categorías de bienes que integran el dominio público natural (con cita de la STC 227/1988). Si la delimitación del dominio púbico es un </w:t>
      </w:r>
      <w:r w:rsidRPr="0085709A">
        <w:rPr>
          <w:i/>
        </w:rPr>
        <w:t>prius</w:t>
      </w:r>
      <w:r>
        <w:t xml:space="preserve"> para el concreto ejercicio de las competencias que sobre él se ostenten, sólo el Estado, como titular de ese dominio público, puede efectuar la operación de deslinde.</w:t>
      </w:r>
    </w:p>
    <w:p w:rsidR="0085709A" w:rsidRDefault="0085709A" w:rsidP="0085709A">
      <w:pPr>
        <w:pStyle w:val="TextoNormal"/>
      </w:pPr>
    </w:p>
    <w:p w:rsidR="0085709A" w:rsidRDefault="0085709A" w:rsidP="0085709A">
      <w:pPr>
        <w:pStyle w:val="TextoNormal"/>
      </w:pPr>
      <w:r>
        <w:lastRenderedPageBreak/>
        <w:t>Teniendo en cuenta, por tanto, que los arts. 132 CE y 149.1 apartados 1, 8 y 23 CE, sustentan la competencia plena del Estado para la delimitación del dominio público marítimo-terrestre, lo que abarca desde la definición legal de dicho demanio, hasta su material deslinde, así como la definición del régimen jurídico del dominio público y de su zona de servidumbre, resulta evidente que la regulación autonómica excede el ámbito competencial que le está reservado a la Comunidad Autónoma de Canarias. La ley canaria desconoce la competencia estatal y atribuye a la Administración autonómica la facultad de efectivo deslinde del dominio público marítimo terrestre mediante la fijación del límite interior de la zona de servidumbre de protección, que coincide con el límite exterior del demanio natural. Afirma el Abogado del Estado que si en el recurso de inconstitucionalidad 3644-2009 se cuestionaba el indebido condicionamiento de una competencia exclusiva ajena, en este caso la Comunidad Autónoma de Canarias va más lejos, asumiendo directamente una competencia ajena. Acudiendo a la exposición de motivos de la Ley impugnada, la Abogacía del Estado interpreta que la legislación canaria impugnada pretende reaccionar frente a la posibilidad de que el Estado modifique el deslinde del dominio público marítimo-terrestre en perjuicio de las propiedades colindantes, y lo hace desconociendo una competencia ajena, la del Estado para deslindar el dominio público marítimo-terrestre.</w:t>
      </w:r>
    </w:p>
    <w:p w:rsidR="0085709A" w:rsidRDefault="0085709A" w:rsidP="0085709A">
      <w:pPr>
        <w:pStyle w:val="TextoNormal"/>
      </w:pPr>
    </w:p>
    <w:p w:rsidR="0085709A" w:rsidRDefault="0085709A" w:rsidP="0085709A">
      <w:pPr>
        <w:pStyle w:val="TextoNormal"/>
      </w:pPr>
      <w:r>
        <w:t>c) Por último, el Abogado del Estado se centra en los argumentos de inconstitucionalidad mediata relativos al art. 3 de la Ley 7/2009, que introduce la disposición adicional decimoquinta del Decreto Legislativo 1/2000, cuya dicción literal es la que sigue:</w:t>
      </w:r>
    </w:p>
    <w:p w:rsidR="0085709A" w:rsidRDefault="0085709A" w:rsidP="0085709A">
      <w:pPr>
        <w:pStyle w:val="TextoNormal"/>
      </w:pPr>
    </w:p>
    <w:p w:rsidR="0085709A" w:rsidRDefault="0085709A" w:rsidP="0085709A">
      <w:pPr>
        <w:pStyle w:val="TextoNormal"/>
      </w:pPr>
      <w:r>
        <w:t>“1. La Consejería competente en materia de ordenación del territorio y urbanismo formulará un censo de edificaciones que, ubicadas en el demanio marítimo-terrestre y en sus zonas de servidumbre de tránsito y servidumbre de protección, tengan un valor etnográfico, arquitectónico o pintoresco, debiendo valorarse su antigüedad, integración en el litoral y finalidad social, al objeto de su consideración en el otorgamiento de concesiones y autorizaciones que puedan solicitar los titulares de las mismas al amparo de la disposición transitoria cuarta de la Ley de Costas.</w:t>
      </w:r>
    </w:p>
    <w:p w:rsidR="0085709A" w:rsidRDefault="0085709A" w:rsidP="0085709A">
      <w:pPr>
        <w:pStyle w:val="TextoNormal"/>
      </w:pPr>
    </w:p>
    <w:p w:rsidR="0085709A" w:rsidRDefault="0085709A" w:rsidP="0085709A">
      <w:pPr>
        <w:pStyle w:val="TextoNormal"/>
      </w:pPr>
      <w:r>
        <w:t xml:space="preserve">2. La inclusión en el censo requerirá el compromiso del titular de la edificación o, en su defecto, del Ayuntamiento respectivo, de instalación de los servicios urbanísticos básicos en el área en que se ubique la misma, especialmente del sistema de evacuación de aguas residuales que impida su vertido incontrolado al mar. </w:t>
      </w:r>
    </w:p>
    <w:p w:rsidR="0085709A" w:rsidRDefault="0085709A" w:rsidP="0085709A">
      <w:pPr>
        <w:pStyle w:val="TextoNormal"/>
      </w:pPr>
    </w:p>
    <w:p w:rsidR="0085709A" w:rsidRDefault="0085709A" w:rsidP="0085709A">
      <w:pPr>
        <w:pStyle w:val="TextoNormal"/>
      </w:pPr>
      <w:r>
        <w:t>3. El censo se aprobará mediante Decreto del Consejo de Gobierno, a propuesta de la Consejería competente en materia de ordenación del territorio y urbanismo y a iniciativa de los respectivos Ayuntamientos, que deberán remitir la relación de edificaciones, los compromisos a que se refiere el apartado anterior y el proyecto de urbanización primaria del área, en el plazo de un año a partir de la entrada en vigor de la presente norma.”</w:t>
      </w:r>
    </w:p>
    <w:p w:rsidR="0085709A" w:rsidRDefault="0085709A" w:rsidP="0085709A">
      <w:pPr>
        <w:pStyle w:val="TextoNormal"/>
      </w:pPr>
    </w:p>
    <w:p w:rsidR="0085709A" w:rsidRDefault="0085709A" w:rsidP="0085709A">
      <w:pPr>
        <w:pStyle w:val="TextoNormal"/>
      </w:pPr>
      <w:r>
        <w:t>Frente a ello, la disposición transitoria cuarta de la Ley de costas, declarada expresamente constitucional por el fundamento jurídico 8 e) de la STC 149/1991, excepto en la referencia a la Administración del Estado que realiza el apartado 2 c), prescribe que:</w:t>
      </w:r>
    </w:p>
    <w:p w:rsidR="0085709A" w:rsidRDefault="0085709A" w:rsidP="0085709A">
      <w:pPr>
        <w:pStyle w:val="TextoNormal"/>
      </w:pPr>
    </w:p>
    <w:p w:rsidR="0085709A" w:rsidRDefault="0085709A" w:rsidP="0085709A">
      <w:pPr>
        <w:pStyle w:val="TextoNormal"/>
      </w:pPr>
      <w:r>
        <w:t xml:space="preserve">“l. Las obras e instalaciones construidas con anterioridad a la entrada en vigor de la presente Ley, sin la autorización o concesión exigible con arreglo a la legislación de costas </w:t>
      </w:r>
      <w:r>
        <w:lastRenderedPageBreak/>
        <w:t>entonces vigente, serán demolidas cuando no proceda su legalización por razones de interés público.</w:t>
      </w:r>
    </w:p>
    <w:p w:rsidR="0085709A" w:rsidRDefault="0085709A" w:rsidP="0085709A">
      <w:pPr>
        <w:pStyle w:val="TextoNormal"/>
      </w:pPr>
    </w:p>
    <w:p w:rsidR="0085709A" w:rsidRDefault="0085709A" w:rsidP="0085709A">
      <w:pPr>
        <w:pStyle w:val="TextoNormal"/>
      </w:pPr>
      <w:r>
        <w:t>2. En las obras e instalaciones legalizadas conforme a lo previsto en el apartado anterior, así como en las construidas o que puedan construirse al amparo de licencia municipal y, cuando fuera exigible, autorización de la administración del Estado otorgada con anterioridad a la entrada en vigor de esta Ley, que resulten contrarias a lo establecido en la misma, se aplicarán las siguientes reglas:</w:t>
      </w:r>
    </w:p>
    <w:p w:rsidR="0085709A" w:rsidRDefault="0085709A" w:rsidP="0085709A">
      <w:pPr>
        <w:pStyle w:val="TextoNormal"/>
      </w:pPr>
    </w:p>
    <w:p w:rsidR="0085709A" w:rsidRDefault="0085709A" w:rsidP="0085709A">
      <w:pPr>
        <w:pStyle w:val="TextoNormal"/>
      </w:pPr>
      <w:r>
        <w:t>a) Si ocupan terrenos de dominio público marítimo-terrestre, serán demolidas al extinguirse la concesión.</w:t>
      </w:r>
    </w:p>
    <w:p w:rsidR="0085709A" w:rsidRDefault="0085709A" w:rsidP="0085709A">
      <w:pPr>
        <w:pStyle w:val="TextoNormal"/>
      </w:pPr>
    </w:p>
    <w:p w:rsidR="0085709A" w:rsidRDefault="0085709A" w:rsidP="0085709A">
      <w:pPr>
        <w:pStyle w:val="TextoNormal"/>
      </w:pPr>
      <w:r>
        <w:t>b) Si se emplazan en la zona de servidumbre de tránsito, no se permitirán obras de consolidación, aumento de volumen, modernización o incremento de su valor de expropiación, pero sí las pequeñas reparaciones que exija la higiene, ornato y conservación previa autorización de la administración del Estado. Esta no se otorgará si no se garantiza cuando sea necesario la localización alternativa de la servidumbre.</w:t>
      </w:r>
    </w:p>
    <w:p w:rsidR="0085709A" w:rsidRDefault="0085709A" w:rsidP="0085709A">
      <w:pPr>
        <w:pStyle w:val="TextoNormal"/>
      </w:pPr>
    </w:p>
    <w:p w:rsidR="0085709A" w:rsidRDefault="0085709A" w:rsidP="0085709A">
      <w:pPr>
        <w:pStyle w:val="TextoNormal"/>
      </w:pPr>
      <w:r>
        <w:t>c) En el resto de la zona de servidumbre de protección y en los términos en que la misma se aplica a las diferentes clases de suelo conforme a lo establecido en la disposición transitoria tercera, podrán realizarse, previa autorización de la administración del Estado, obras de reparación y mejora, siempre que no impliquen aumento de volumen de las construcciones existentes y sin que el incremento de valor que aquéllas comporten pueda ser tenido en cuenta a efectos expropiatorios. En caso de demolición total o parcial, las nuevas construcciones deberán ajustarse íntegramente a las disposiciones de esta Ley.”</w:t>
      </w:r>
    </w:p>
    <w:p w:rsidR="0085709A" w:rsidRDefault="0085709A" w:rsidP="0085709A">
      <w:pPr>
        <w:pStyle w:val="TextoNormal"/>
      </w:pPr>
    </w:p>
    <w:p w:rsidR="0085709A" w:rsidRDefault="0085709A" w:rsidP="0085709A">
      <w:pPr>
        <w:pStyle w:val="TextoNormal"/>
      </w:pPr>
      <w:r>
        <w:t>A juicio del Abogado del Estado el legislador autonómico no puede crear registros administrativos que tengan por efecto condicionar el ejercicio de una competencia ajena, de modo que, en este caso, siendo la autorización de competencia estatal o local, el legislador autonómico no puede condicionar su concesión mediante la imposición de tomar en consideración una previa decisión exclusiva de la Comunidad Autónoma, habiéndose manifestado ya en este sentido el Tribunal Constitucional en los fundamentos jurídicos 11 y 12 de la STC 46/2007. La Abogacía del Estado estima que la Comunidad Autónoma obliga al Estado a tomar en consideración el censo en la adopción de decisiones sobre las autorizaciones y concesiones en dominio público marítimo- terrestre, con lo que, en la práctica, viene a desplazar el centro decisorio del Estado a la Comunidad, así como los criterios decisorios, debiendo ceder la protección del demanio natural a que atiende la legislación de costas en beneficio de los valores de las edificaciones a que se refiere la disposición impugnada. En último término, y como argumento conclusivo, el Abogado del Estado recuerda que, en el caso de que la disposición impugnada pretendiera conformar un mecanismo de coordinación, estaría invadiendo también la competencia estatal, porque es al Estado, como titular de la potestad legislativa básica, a quien corresponde establecer las técnicas de coordinación.</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El Pleno del Tribunal Constitucional, a propuesta de la Sección Cuarta, por providencia de 29 de julio de 2009, acordó admitir a trámite el recurso de inconstitucionalidad y dar traslado de la demanda y documentos presentados, conforme establece el art. 34 de la Ley Orgánica del Tribunal Constitucional (LOTC), al Congreso de los Diputados, al Senado, al </w:t>
      </w:r>
      <w:r>
        <w:lastRenderedPageBreak/>
        <w:t>Gobierno de Canarias y al Parlamento de Canarias,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produjo la suspensión de la vigencia y aplicación de los preceptos impugnados desde la fecha de interposición del recurso para las partes en el proceso y desde el día en que aparece publicada la suspensión en el “Boletín Oficial del Estado” para los terceros. Finalmente, se acordó publicar la incoación del recurso en el “Boletín Oficial del Estado” y en el “Diario Oficial de Canarias”.</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sendos escritos presentado en el Registro General de este Tribunal el día 9 de septiembre de 2009 los Presidentes del Congreso de los Diputados y del Senado comunicaron los acuerdos de las Mesas de una y otra Cámara de dar por personadas a ambas Cámaras en el procedimiento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5</w:t>
      </w:r>
      <w:r>
        <w:t>. La Letrada del Servicio jurídico del Gobierno de Canarias, evacuó el día 17 de septiembre de 2009 el trámite de alegaciones conferido, interesando la desestimación del recurso interpuesto por el Estado. El escrito de alegaciones fue registrado el 18 de septiembre de 2009.</w:t>
      </w:r>
    </w:p>
    <w:p w:rsidR="0085709A" w:rsidRDefault="0085709A" w:rsidP="0085709A">
      <w:pPr>
        <w:pStyle w:val="TextoNormal"/>
      </w:pPr>
    </w:p>
    <w:p w:rsidR="0085709A" w:rsidRDefault="0085709A" w:rsidP="0085709A">
      <w:pPr>
        <w:pStyle w:val="TextoNormal"/>
      </w:pPr>
      <w:r>
        <w:t>La Letrada del Gobierno arranca sus alegaciones definiendo la competencia de la Comunidad Autónoma de Canarias en que se basa el dictado de la Ley 7/2009, por remisión al art. 148.1.3 CE, que establece que las Comunidades Autónomas podrán asumir competencias sobre ordenación del territorio, urbanismo y vivienda, así como a arts. 30.15 y 16 y 32.12 del Estatuto de Autonomía de Canarias, aprobado por Ley Orgánica 10/1982, de 10 de agosto, modificada por la Ley Orgánica 4/1996, de 30 de diciembre. El art. 30 ECAn atribuye a la Comunidad Autónoma competencia exclusiva sobre ordenación del territorio y del litoral, urbanismo y vivienda (apartado 15) y sobre espacios naturales protegidos (apartado 16), y el art. 32.12 EACan asume competencias de desarrollo legislativo y ejecución sobre protección del medio ambiente, incluidos los vertidos en el ámbito territorial de la Comunidad Autónoma. Estas competencias habrán de ser interpretadas, y así lo reconoce esta parte, a la luz de lo contenido, fundamentalmente, en las SSTC 149/1991, 149/1998 y 46/2007.</w:t>
      </w:r>
    </w:p>
    <w:p w:rsidR="0085709A" w:rsidRDefault="0085709A" w:rsidP="0085709A">
      <w:pPr>
        <w:pStyle w:val="TextoNormal"/>
      </w:pPr>
    </w:p>
    <w:p w:rsidR="0085709A" w:rsidRDefault="0085709A" w:rsidP="0085709A">
      <w:pPr>
        <w:pStyle w:val="TextoNormal"/>
      </w:pPr>
      <w:r>
        <w:t xml:space="preserve">A partir de esta delimitación competencial, y dada la concurrencia de títulos, la Letrada autonómica substrae la regulación impugnada del ámbito de la legislación medioambiental, para llevarla al terreno de la regulación de los usos del suelo, espacio en el que la competencia estatal no irá tan lejos, pues no estará amparada en el art. 149.1.23 CE (con cita de la STC 36/1994, FJ 30), ni en el art. 149.1.1 CE (con cita de la STC 61/1997, FFJJ 8 y 9). Y es que esta parte considera que el recurso del Presidente del Gobierno realiza una interpretación expansiva del ámbito material que reserva al Estado el art. 49.1.23 CE. Por un lado porque la protección del medio ambiente </w:t>
      </w:r>
      <w:r w:rsidRPr="0085709A">
        <w:rPr>
          <w:i/>
        </w:rPr>
        <w:t>ex</w:t>
      </w:r>
      <w:r>
        <w:t xml:space="preserve"> art. 45 CE no se configura como un derecho fundamental a efectos de la invocación del art. 149.1.1 CE, con lo que no sirve este precepto como justificación de la competencia estatal (con cita de la STC 152/1988, de 20 de julio, FJ 2), y de otro porque el apartado 23 del art. 149.1 CE no habilita al Estado para regular ni la totalidad del suelo no urbanizable, ni, por supuesto, el suelo urbano. A juicio de esta parte el Tribunal Constitucional en sentencias como las  SSTC 61/1997, FJ 16, y 164/2001, FJ </w:t>
      </w:r>
      <w:r>
        <w:lastRenderedPageBreak/>
        <w:t>32, habilita al Estado para regular sobre suelo no urbanizable de especial protección basándose en la atribución contenida en el art. 149.1.23 CE, y para regular sobre suelo no urbanizable basándose en el art. 149.1.1 CE, que permite al Estado establecer las condiciones de igualdad de los titulares dominicales.</w:t>
      </w:r>
    </w:p>
    <w:p w:rsidR="0085709A" w:rsidRDefault="0085709A" w:rsidP="0085709A">
      <w:pPr>
        <w:pStyle w:val="TextoNormal"/>
      </w:pPr>
    </w:p>
    <w:p w:rsidR="0085709A" w:rsidRDefault="0085709A" w:rsidP="0085709A">
      <w:pPr>
        <w:pStyle w:val="TextoNormal"/>
      </w:pPr>
      <w:r>
        <w:t>Teniendo en cuenta los anteriores razonamientos, el Gobierno de Canarias parte de la consideración genérica de que la clasificación del suelo y la planificación de los usos del suelo son técnicas propiamente urbanísticas, y por ello de competencia exclusiva de las Comunidades Autónomas (con cita de la SSTC 36/1994, FJ 30; y 61/1997, FF JJ 7, 8 y 9). Junto a ello y siendo la disposición transitoria novena.3 del Reglamento de costas, y no la Ley de costas, la norma que determina lo que es suelo urbano, no puede entenderse que la norma reglamentaria sea básica, máxime si se tiene en cuenta la jurisprudencia contenida en la STC 1/2003, referida al concepto formal de las bases. En virtud de lo anterior no se imponen a la Comunidad Autónoma límites materiales a la determinación de qué sea suelo urbano a los efectos de la aplicación de las disposiciones transitorias de la Ley de costas. La Letrada del Gobierno de Canarias insiste en que si la finalidad de las disposiciones transitorias de la Ley de costas es garantizar la igualdad de todos los españoles en relación con las limitaciones sobre la propiedad (art. 33 CE), dado que el papel de las normas básicas es establecer normas mínimas o primarias, bastaría con establecer genéricamente la anchura de la servidumbre de protección en función de las distintas clases de suelo, sin definir lo que se entiende por cada una de ellas.</w:t>
      </w:r>
    </w:p>
    <w:p w:rsidR="0085709A" w:rsidRDefault="0085709A" w:rsidP="0085709A">
      <w:pPr>
        <w:pStyle w:val="TextoNormal"/>
      </w:pPr>
    </w:p>
    <w:p w:rsidR="0085709A" w:rsidRDefault="0085709A" w:rsidP="0085709A">
      <w:pPr>
        <w:pStyle w:val="TextoNormal"/>
      </w:pPr>
      <w:r>
        <w:t>a) En relación con el art. 1 de la Ley 7/2009, el escrito de alegaciones niega la contradicción entre la disposición estatal de referencia, cuyo carácter básico rechaza, y la disposición autonómica. Esta parte afirma que la singularidad del régimen establecido por el art. 1 de la Ley Canaria 7/2009 es que no exige que los terrenos excluidos de la servidumbre de protección extensa estuvieran formalmente declarados como urbanos por el planeamiento, a fecha 29 de julio de 1988, sino que considera suficiente que los terrenos cuenten con los requisitos legales exigidos en aquella fecha para ser considerados como urbanos, encomendándose a la administración autonómica la declaración o reconocimiento de esas áreas urbanas a petición del ayuntamiento o cabildo, en quienes recaen la carga de la prueba de la concurrencia de los supuestos determinantes de la condición de suelo urbano. La representación procesal del Gobierno canario recuerda que la disposición impugnada reproduce, al referirse a los criterios legales antes aludidos, el contenido de los arts. 78 a 81 del texto refundido de la Ley del suelo de 1976, normativa vigente al momento de la entrada en vigor la Ley de costas, de manera que la Ley 7/2009, no añadiendo nada nuevo a la regulación urbanística tradicional, por lo que, amparada en sus propias competencias, la Comunidad Autónoma se ha limitado a repetir o que la ley estatal establece.</w:t>
      </w:r>
    </w:p>
    <w:p w:rsidR="0085709A" w:rsidRDefault="0085709A" w:rsidP="0085709A">
      <w:pPr>
        <w:pStyle w:val="TextoNormal"/>
      </w:pPr>
    </w:p>
    <w:p w:rsidR="0085709A" w:rsidRDefault="0085709A" w:rsidP="0085709A">
      <w:pPr>
        <w:pStyle w:val="TextoNormal"/>
      </w:pPr>
      <w:r>
        <w:t>La Letrada autonómica reconoce, no obstante, el elemento diferenciador entre la normativa estatal y la autonómica, esto es la circunstancia de que la norma autonómica otorga idéntico régimen al suelo urbano clasificado como tal y al suelo no clasificado como urbano pero que cumpliera las condiciones para serlo, pero la justifica afirmando que en materia de suelo urbano, la realidad se impone sobre la clasificación formal, de modo que si el terreno de que se trata cumple los requisitos determinantes de esa clase de suelo, lo será, con independencia de lo que diga lo que diga el plan, y aplicándose al caso el concepto de la fuerza normativa de lo fáctico (por todas las Sentencias de la Sala Tercera del Tribunal Supremo de 17 de noviembre de 2001, de 30 de junio de 2006, y de 23 de septiembre de 2008).</w:t>
      </w:r>
    </w:p>
    <w:p w:rsidR="0085709A" w:rsidRDefault="0085709A" w:rsidP="0085709A">
      <w:pPr>
        <w:pStyle w:val="TextoNormal"/>
      </w:pPr>
    </w:p>
    <w:p w:rsidR="0085709A" w:rsidRDefault="0085709A" w:rsidP="0085709A">
      <w:pPr>
        <w:pStyle w:val="TextoNormal"/>
      </w:pPr>
      <w:r>
        <w:t>En síntesis, estima esta parte, interpretando la disposición transitoria novena, apartado tercero, del Reglamento de costas que suelo urbano será aquel que cumpla los criterios determinados por la ley, independientemente de que esté o no clasificado pudiendo, en el caso de situaciones urbanas consolidadas, reconocerse tal situación tanto por resolución administrativa, como por resolución judicial. En este contexto, es la Ley canaria 7/2009 la que determina qué sea suelo urbano, autorizando la declaración por la administración de áreas urbanas en el litoral, a partir de los criterios legales de clasificación, que se imponen sobre el plan y lo hace en ejercicio de la competencia autonómica de desarrollo legislativo de protección del medio ambiente y en virtud de la competencia exclusiva en materia de urbanismo. Así, la declaración por la administración autonómica de área urbana en el litoral, es vinculante para la administración del Estado que no tiene competencia para reconsiderar por sí misma el cumplimiento de la legislación urbanística, de modo que la Administración de costas no puede separarse de una decisión adoptada por la Administración autonómica dictada en el ejercicio de una competencia exclusiva, la ordenación del territorio, sin perjuicio de que pueda recurrir ante los Tribunales en el supuesto de entender que esa declaración vulnera de algún modo su competencia.</w:t>
      </w:r>
    </w:p>
    <w:p w:rsidR="0085709A" w:rsidRDefault="0085709A" w:rsidP="0085709A">
      <w:pPr>
        <w:pStyle w:val="TextoNormal"/>
      </w:pPr>
    </w:p>
    <w:p w:rsidR="0085709A" w:rsidRDefault="0085709A" w:rsidP="0085709A">
      <w:pPr>
        <w:pStyle w:val="TextoNormal"/>
      </w:pPr>
      <w:r>
        <w:t xml:space="preserve">A juicio de esta parte, la determinación de la anchura de la servidumbre de protección no actúa la competencia del Estado para la protección del medio ambiente, puesto que, en este caso, estamos hablando de la aplicación de la servidumbre a un suelo urbano </w:t>
      </w:r>
      <w:r w:rsidRPr="0085709A">
        <w:rPr>
          <w:i/>
        </w:rPr>
        <w:t>de facto</w:t>
      </w:r>
      <w:r>
        <w:t>, sin especiales valores medioambientales, transformado antes de la entrada en vigor de la Ley de costas. Se está hablando del establecimiento de un límite o línea que en ningún caso colinda con el dominio público marítimo terrestre, por lo que el Estado difícilmente puede amparar esta cuestión en la protección del dominio público, ya que, por un lado, estamos hablando de suelo transformado en el momento de entrar en vigor la Ley de costas, y por otro, que la línea interior de la servidumbre de protección no colinda con el dominio público, sino con la zona de influencia. A los argumentos anteriores se añade uno más, que incide en la finalidad de la norma aprobada, en particular en lo que hace a la reducción de la servidumbre de protección a 20 metros, y que la Letrada autonómica vincula a la voluntad estatal de evitar el pago de indemnizaciones a los propietarios de los terrenos, partiendo de los derechos adquiridos y la realidad existente en la fecha de entrada en vigor de la Ley de costas. Por ello, de los dos títulos competenciales en juego: la competencia del Estado para la protección del medio ambiente y la competencia de las Comunidades Autónomas para la ordenación del territorio, del litoral y del urbanismo, debe primar claramente este último por ser el interés prevalente.</w:t>
      </w:r>
    </w:p>
    <w:p w:rsidR="0085709A" w:rsidRDefault="0085709A" w:rsidP="0085709A">
      <w:pPr>
        <w:pStyle w:val="TextoNormal"/>
      </w:pPr>
    </w:p>
    <w:p w:rsidR="0085709A" w:rsidRDefault="0085709A" w:rsidP="0085709A">
      <w:pPr>
        <w:pStyle w:val="TextoNormal"/>
      </w:pPr>
      <w:r>
        <w:t>Como argumento adicional, en defensa de la constitucionalidad de la norma autonómica impugnada, se entiende aplicable el principio de conservación de la norma, y el de interpretación de todo el ordenamiento conforme a la Constitución (con cita de las SSTC 108/1986, de 29 de julio; 76/1996, de 30 de abril; y 233/1999, de 16 de diciembre, y 202/2003).</w:t>
      </w:r>
    </w:p>
    <w:p w:rsidR="0085709A" w:rsidRDefault="0085709A" w:rsidP="0085709A">
      <w:pPr>
        <w:pStyle w:val="TextoNormal"/>
      </w:pPr>
    </w:p>
    <w:p w:rsidR="0085709A" w:rsidRDefault="0085709A" w:rsidP="0085709A">
      <w:pPr>
        <w:pStyle w:val="TextoNormal"/>
      </w:pPr>
      <w:r>
        <w:t xml:space="preserve">b) Respecto de la impugnación del art. 2 de la Ley 7/2009, la Letrada del Gobierno canario niega que exista precepto básico alguno en la Ley de costas que determine de forma expresa la competencia de la administración del Estado para determinar el límite interior de la servidumbre de protección, pero asume que los arts. 19 y 26 del Real Decreto 1471/1989, son los preceptos que señalan que el deslinde determinará el límite interior del dominio público marítimo terrestre, refiriéndose tales artículos a la señalización y localización del </w:t>
      </w:r>
      <w:r>
        <w:lastRenderedPageBreak/>
        <w:t>deslinde, pero no a su establecimiento. Teniendo este argumento en cuenta, el escrito de alegaciones solicita un pronunciamiento expreso del Tribunal Constitucional sobre el carácter básico de los arts. 19 y 26 del Reglamento de costas, para poder enjuiciar después el ajuste constitucional del art. 2 de la Ley 7/2009.</w:t>
      </w:r>
    </w:p>
    <w:p w:rsidR="0085709A" w:rsidRDefault="0085709A" w:rsidP="0085709A">
      <w:pPr>
        <w:pStyle w:val="TextoNormal"/>
      </w:pPr>
    </w:p>
    <w:p w:rsidR="0085709A" w:rsidRDefault="0085709A" w:rsidP="0085709A">
      <w:pPr>
        <w:pStyle w:val="TextoNormal"/>
      </w:pPr>
      <w:r>
        <w:t xml:space="preserve">El Gobierno canario estima que el reparto de competencias en materia de protección del medio ambiente, implican que la regulación del dominio público y de las servidumbres legales es legislación básica en materia de protección del medio ambiente, siendo competencia estatal el deslinde del dominio público marítimo terrestre a efectos de la fijación del límite interior de la ribera del mar a partir del cual se computan las servidumbres, mientras que la proyección concreta sobre el terreno de las servidumbres legales integra las competencias autonómicas de desarrollo y ejecución en materia de protección del medio ambiente, y de ordenación del territorio, del litoral y del urbanismo. Insiste la Letrada autonómica en los argumentos expuestos para justificar la constitucionalidad del art. 1 de la Ley 7/2009, afirmando que la competencia estatal </w:t>
      </w:r>
      <w:r w:rsidRPr="0085709A">
        <w:rPr>
          <w:i/>
        </w:rPr>
        <w:t>ex</w:t>
      </w:r>
      <w:r>
        <w:t xml:space="preserve"> art. 149.1 23 CE tiene difícil encaje cuando estamos hablando de un suelo urbano, cuando lo que se discute es la anchura de la servidumbre de protección en función de la clase de suelo, o dicho de otro modo el límite interior de la servidumbre de protección, límite que no colinda con el dominio público marítimo-terrestre sobre el que si tiene competencia el Estado. En este punto insiste de nuevo la Letrada autonómica en la necesidad de aplicar el principio de conservación de la norma y de interpretación de todo el ordenamiento conforme a la Constitución.</w:t>
      </w:r>
    </w:p>
    <w:p w:rsidR="0085709A" w:rsidRDefault="0085709A" w:rsidP="0085709A">
      <w:pPr>
        <w:pStyle w:val="TextoNormal"/>
      </w:pPr>
    </w:p>
    <w:p w:rsidR="0085709A" w:rsidRDefault="0085709A" w:rsidP="0085709A">
      <w:pPr>
        <w:pStyle w:val="TextoNormal"/>
      </w:pPr>
      <w:r>
        <w:t>c) Por último, y respondiendo a los argumentos impugnatorios del art. 3 de la Ley 7/2009, la Letrada del Gobierno canario afirma que la nueva disposición adicional decimoquinta del Decreto Legislativo 1/2000, tiene una función instrumental, siendo su finalidad facilitar que los inmuebles a los que se refiere el censo previsto, se puedan acoger a los procesos de legalización que, por causa de interés público, admite el régimen transitorio de la Ley de costas. El escrito de alegaciones enmarca este precepto en el ámbito de la disposición transitoria cuarta de la Ley de costas, y las disposiciones transitorias duodécima y decimotercera del Reglamento que la desarrolla, y afirma que la finalidad de la norma autonómica es establecer algunos parámetros para objetivar las razones de interés público que, de acuerdo con la Ley de costas, pueden llevar a la legalización de construcciones y edificaciones sin títulos ubicadas tanto en el dominio público, como en el espacio sobre el que se proyectan las servidumbres. Así se entiende que el precepto autonómico establece unos parámetros a ser considerados, pero no prejuzga ni vincula a la Administración competente para resolver, cuando sea la administración del Estado, en función del lugar en que se ubique la edificación. En otras palabras, el censo al que se refiere el art. 3 de la Ley 7/2009, será vinculante dependiendo del lugar en el que se ubique la edificación, ya que en el dominio público será un simple criterio a tener en cuenta que no vincula al órgano competente para resolver. Este censo sí resulta vinculante a la hora de conceder autorizaciones en la zona de servidumbre de protección, al ser ésta una competencia autonómica.</w:t>
      </w:r>
    </w:p>
    <w:p w:rsidR="0085709A" w:rsidRDefault="0085709A" w:rsidP="0085709A">
      <w:pPr>
        <w:pStyle w:val="TextoNormal"/>
      </w:pPr>
    </w:p>
    <w:p w:rsidR="0085709A" w:rsidRDefault="0085709A" w:rsidP="0085709A">
      <w:pPr>
        <w:pStyle w:val="TextoNormal"/>
      </w:pPr>
      <w:r w:rsidRPr="0085709A">
        <w:rPr>
          <w:rStyle w:val="NumeroAFNegritaCaracter"/>
        </w:rPr>
        <w:t>6</w:t>
      </w:r>
      <w:r>
        <w:t>. El día 21 de septiembre de 2009 el Letrado Secretario General del Parlamento de Canarias, presentó ante el Tribunal Constitucional sus alegaciones, en nombre y representación de la Cámara autonómica, solicitando la desestimación del recurso interpuesto.</w:t>
      </w:r>
    </w:p>
    <w:p w:rsidR="0085709A" w:rsidRDefault="0085709A" w:rsidP="0085709A">
      <w:pPr>
        <w:pStyle w:val="TextoNormal"/>
      </w:pPr>
    </w:p>
    <w:p w:rsidR="0085709A" w:rsidRDefault="0085709A" w:rsidP="0085709A">
      <w:pPr>
        <w:pStyle w:val="TextoNormal"/>
      </w:pPr>
      <w:r>
        <w:lastRenderedPageBreak/>
        <w:t>Los argumentos de esta parte arrancan de la definición de la delimitación competencial que en materia de urbanismo y ordenación territorial, así como en materia de medio ambiente, se deducen de la Constitución, del Estatuto de Autonomía de Canarias y de la jurisprudencia constitucional alusiva, de la que el Letrado del Parlamento autonómico destaca las SSTC 149/1991, 102/1995, 40/1998, 149/1998, 164/2001 y 46/2007.</w:t>
      </w:r>
    </w:p>
    <w:p w:rsidR="0085709A" w:rsidRDefault="0085709A" w:rsidP="0085709A">
      <w:pPr>
        <w:pStyle w:val="TextoNormal"/>
      </w:pPr>
    </w:p>
    <w:p w:rsidR="0085709A" w:rsidRDefault="0085709A" w:rsidP="0085709A">
      <w:pPr>
        <w:pStyle w:val="TextoNormal"/>
      </w:pPr>
      <w:r>
        <w:t>a) En relación con la impugnación del art. 1 de la Ley 7/2009, el Letrado del Parlamento canario niega que la norma autonómica condicione la aplicación de la disposición transitoria tercera de la Ley de costas, porque la aplicación de la norma estatal no exige un acto expreso de clasificación del suelo urbano con anterioridad a la vigencia de la Ley de costas, y una cosa es que los requisitos determinantes de la clasificación deban existir sobre el terreno en un momento anterior a la introducción de las categorías previstas en la Ley de costas y otra muy distinta exigir que el acto de constatación de unas determinadas circunstancias relevantes según el derecho intertemporal de la referida norma legal deba existir incluso antes de su promulgación.</w:t>
      </w:r>
    </w:p>
    <w:p w:rsidR="0085709A" w:rsidRDefault="0085709A" w:rsidP="0085709A">
      <w:pPr>
        <w:pStyle w:val="TextoNormal"/>
      </w:pPr>
    </w:p>
    <w:p w:rsidR="0085709A" w:rsidRDefault="0085709A" w:rsidP="0085709A">
      <w:pPr>
        <w:pStyle w:val="TextoNormal"/>
      </w:pPr>
      <w:r>
        <w:t>La Ley 7/2009 no añade ningún requisito material a la regulación urbanística existente antes de que la Comunidad Autónoma de Canarias hiciera uso de sus competencias legislativas en la materia de ordenación territorial y urbanismo, conteniendo simplemente una remisión que recurre a la repetición literal de los preceptos de la norma estatal de referencia, esto es los artículos 78 y 81 del texto refundido de la Ley del suelo de 1976. Las puntualizaciones que se recogen en el precepto cuestionado son de escaso calado, a juicio de esta parte, y tratan simplemente de reflejar pronunciamientos judiciales recaídos en interpretación del marco normativo preexistente, como las Sentencias de la Sala Tercera del Tribunal Supremo de 8 de mayo de 2003, y de la Audiencia Nacional de 11 de septiembre de 2008, de 18 de febrero de 2009 y de 21 de mayo de 2009, pronunciamientos, todos ellos, que coinciden en la consideración de que, en la definición del suelo urbano, la realidad prevalece sobre la clasificación formal. Afirma el Letrado autonómico que si el terreno de que se trata cumple los requisitos de dotación habrá de ser reputado como urbano, tanto en ausencia del plan como contra las determinaciones del plan, pues estas dos circunstancias no harían sino constatar que el planificador no ejerció correctamente sus potestades, que son regladas y que no puede apartarse de los parámetros legales. Así, para considerar un suelo como urbano, a los efectos de la aplicación de la servidumbre reducida prevista en la disposición transitoria tercera de la ley de costas, solo es necesaria la constatación de los elementos sustantivos previstos por la Ley, así como su reconocimiento por un acto administrativo expreso, que obviamente no tendrá fuerza constitutiva sino meramente declarativa. Por último, y por lo que respecta a la competencia para declarar urbanos o no urbanos unos determinados terrenos con la consecuencia de que las limitaciones previstas en la Ley de costas le sean aplicadas en una u otra forma, también los Tribunales han venido respaldando sin fisuras, y a través de una nutrida jurisprudencia citada en el escrito de alegaciones, la atribución de esa función a la Administración urbanística, esto es la Administración autonómica.</w:t>
      </w:r>
    </w:p>
    <w:p w:rsidR="0085709A" w:rsidRDefault="0085709A" w:rsidP="0085709A">
      <w:pPr>
        <w:pStyle w:val="TextoNormal"/>
      </w:pPr>
    </w:p>
    <w:p w:rsidR="0085709A" w:rsidRDefault="0085709A" w:rsidP="0085709A">
      <w:pPr>
        <w:pStyle w:val="TextoNormal"/>
      </w:pPr>
      <w:r>
        <w:t xml:space="preserve">La representación procesal del Parlamento de Canarias entiende que la Administración del Estado no puede arrogarse la competencia de calificación urbanística de los terrenos de propiedad privada colindantes con el dominio público marítimo terrestre, sirviéndose del instrumento del deslinde del dominio costero e imponiendo una clasificación a la zona de servidumbre de protección, porque ello supondría vaciar las competencias urbanísticas que </w:t>
      </w:r>
      <w:r>
        <w:lastRenderedPageBreak/>
        <w:t>le corresponden legítimamente a la Comunidad Autónoma de Canarias. Además se argumenta que el empleo del término áreas urbanas en lugar de suelo urbano, por parte de la norma impugnada, no implica un apartamiento de la norma básica, pues existe equivalencia conceptual de los dos términos. Añade por último el Letrado que no existe el riesgo de que a través de esa mínima diferencia de enunciado se esconda la intención de albergar a otros tipos de suelos introducidos lícitamente con posterioridad por la legislación autonómica, ya que lo crucial en todo caso será si el suelo en cuestión era susceptible de ser considerado como urbano el 29 de julio de 1988, fecha anterior a cualquier innovación autonómica en la clasificación de suelos, que se habría dado por primera vez con la Ley 91/999, de 13 de mayo, de ordenación del territorio de Canarias.</w:t>
      </w:r>
    </w:p>
    <w:p w:rsidR="0085709A" w:rsidRDefault="0085709A" w:rsidP="0085709A">
      <w:pPr>
        <w:pStyle w:val="TextoNormal"/>
      </w:pPr>
    </w:p>
    <w:p w:rsidR="0085709A" w:rsidRDefault="0085709A" w:rsidP="0085709A">
      <w:pPr>
        <w:pStyle w:val="TextoNormal"/>
      </w:pPr>
      <w:r>
        <w:t>b) En relación con la impugnación del art. 2 de la Ley 7/2009, el Letrado del Parlamento canario, descarta la competencia estatal en materia de establecimiento del límite interior de la servidumbre de protección, al considerar que el deslinde supone la delimitación separadora entre los bienes públicos y los privados, y que los terrenos de la servidumbre de protección no están comprendidos en el deslinde, que solo contemplará la línea exterior de la zona de protección, coincidente con la línea interior del dominio público.</w:t>
      </w:r>
    </w:p>
    <w:p w:rsidR="0085709A" w:rsidRDefault="0085709A" w:rsidP="0085709A">
      <w:pPr>
        <w:pStyle w:val="TextoNormal"/>
      </w:pPr>
    </w:p>
    <w:p w:rsidR="0085709A" w:rsidRDefault="0085709A" w:rsidP="0085709A">
      <w:pPr>
        <w:pStyle w:val="TextoNormal"/>
      </w:pPr>
      <w:r>
        <w:t>Se insiste en esta idea al afirmar que la servidumbre alude a terrenos no integrados en el dominio público marítimo terrestre, sino a terrenos adyacentes al mismo, que de ordinario serán de titularidad privada sujeta a limitaciones derivadas de la colindancia de esta franja respecto al demanio. En el escrito de alegaciones se afirma que tampoco queda conculcado el artículo 18 y siguientes del Reglamento de costas, en la medida en que el deslinde debe contener el límite interior del dominio público marítimo-terrestre, sin perjuicio de que se puedan delimitar también las distintas clases de pertenencias que lo integran, pero esta línea no coincide con el límite interior de la zona de servidumbre, cuya fijación la nueva Ley encomienda a la Comunidad Autónoma de Canarias, sino con la línea exterior de la zona de servidumbre. No se compadece con la distribución de competencias que la Administración del Estado pueda decidir o no la reducción espacial de la servidumbre de protección a 20 metros, pues en tal supuesto estaría determinando, incluso contra la opinión de la Comunidad Autónoma, la consideración de urbano o no urbano del suelo afectado. Si bien la determinación del ancho de la franja de servidumbre es fruto de una previsión legal del Estado que la anuda a un dato puramente urbanístico, la apreciación de este dato incumbe a la instancia pública que tiene competencia en esta materia y que es la Administración autonómica. Concluye su argumentación el Letrado del Parlamento de Canarias afirmando, que, en aplicación de la doctrina constitucional contenida en la STC 149/1991, FJ 3, compete a las Comunidades Autónomas ordenar y gestionar la servidumbre de protección y la zona de influencia , lo que incluye, entre otras, las potestades autorizadoras, y la fijación de la línea interior —hacia tierra— de la referida zona de servidumbre de protección, mientras que es competencia del Estado la potestad de deslinde del dominio público marítimo terrestre, esto es de la fijación de la línea de ribera del mar, que de ordinario coincidirá con la línea interior —hacia tierra— del dominio público terrestre (y, por ende, con la línea exterior —hacia el mar— de la zona de servidumbre de protección). Eso supone que el régimen de las servidumbres previsto en la Ley de costas se conecta con la competencia estatal sobre legislación básica en materia de medio ambiente, pero su aplicación y ejecución (y la restitución sobre el terreno o sea la proyección espacial de las previsiones legales se revela plenamente como una media de ejecución) forman parte de la competencia autonómica.</w:t>
      </w:r>
    </w:p>
    <w:p w:rsidR="0085709A" w:rsidRDefault="0085709A" w:rsidP="0085709A">
      <w:pPr>
        <w:pStyle w:val="TextoNormal"/>
      </w:pPr>
    </w:p>
    <w:p w:rsidR="0085709A" w:rsidRDefault="0085709A" w:rsidP="0085709A">
      <w:pPr>
        <w:pStyle w:val="TextoNormal"/>
      </w:pPr>
      <w:r>
        <w:lastRenderedPageBreak/>
        <w:t>c) Por último, y respondiendo a la impugnación del artículo 3 de la Ley 7/2009, el Letrado autonómico afirma que el Abogado del Estado realiza una lectura errada del precepto, que se limita a contener un mandato al Gobierno de Canarias para que elabore un censo de edificaciones situadas en el dominio público o en sus zonas de servidumbre, para asegurar que los informes que pueda emitir la Administración de la Comunidad Autónoma apliquen un tratamiento igualitario, y sin tal actividad condicione los actos administrativos que puedan corresponder a cualquier administración, en orden a la declaración del carácter legalizable o ilegalizable de las edificaciones afectadas.</w:t>
      </w:r>
    </w:p>
    <w:p w:rsidR="0085709A" w:rsidRDefault="0085709A" w:rsidP="0085709A">
      <w:pPr>
        <w:pStyle w:val="TextoNormal"/>
      </w:pPr>
    </w:p>
    <w:p w:rsidR="0085709A" w:rsidRDefault="0085709A" w:rsidP="0085709A">
      <w:pPr>
        <w:pStyle w:val="TextoNormal"/>
      </w:pPr>
      <w:r>
        <w:t>Esta parte argumenta que la norma cuestionada pretende garantizar, ante el silencio de la norma estatal, que el criterio aplicable por el Gobierno de Canarias sea homogéneo, objetivo y transparente tanto en los casos en que deba informar una decisión ajena, como en aquellos que deba adoptar una propia. Junto a ello el escrito de alegaciones asume que el registro persigue aflorar una situación esencialmente clandestina, pero también tolerada por las distintas Administraciones, que para su adecuada reconducción requiere previamente una evaluación cuantitativa y cualitativa. Insiste el Letrado en que la inclusión en el censo no cambia la expectativa de los titulares de las construcciones en cuanto a su legalización, pues no tiene efecto sustantivo de ninguna clase, sin perjuicio de que los juicios y valoraciones que vierta la Administración en el registro puedan luego esgrimirse como antecedentes cuya corrección requiriera una expresa motivación, o incluso como actos propios del parecer de los órganos, sea a la hora de informar o decidir los expedientes individuales de legalización. Y se concluye afirmando que, respecto de las edificaciones en el dominio público marítimo terrestre, la administración de la Comunidad Autónoma puede informar los procedimientos donde se ventile la legalización o la declaración de ilegalizable de las construcciones ejecutadas en cualquiera de las pertenencias del demanio, aunque en tales casos la competencia para legalizar en el dominio público marítimo-terrestre corresponde a la Administración general del Estado.</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providencia de 22 de octubre de 2009, el Pleno del Tribunal Constitucional acordó que, próximo a finalizar el plazo de los cinco meses que señala el art. 161.2 CE desde que se produjo la suspensión de preceptos impugnados en este recurso de inconstitucionalidad, se oyera a las partes personadas —Abogado del Estado, Gobierno de Canarias y Parlamento de Canarias— para que, en el plazo de cinco días, expusieran lo que consideren conveniente acerca del mantenimiento o levantamiento de dicha suspensión.</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mediante escrito registrado el 2 de noviembre de 2009, evacuó el trámite conferido, interesando el mantenimiento de la suspensión. Por escrito registrado el día 4 de noviembre de 2009 la Letrada del servicio jurídico del Gobierno de Canarias solicita el levantamiento de la suspensión, puesto que el mismo, a su juicio, ni perjudica al interés general ni determina la constitución de situaciones jurídicas subjetivas de imposible o difícil reparación en el supuesto de estimarse el recurso. Por último el Letrado del Parlamento de Canarias evacuó el trámite de alegaciones conferido mediante escrito registrado en fecha 6 de noviembre de 2009, solicitando también el levantamiento de la suspensión. El Pleno del Tribunal Constitucional, por ATC 277/2009, de 10 de diciembre, acordó mantener la suspensión de la vigencia y aplicación del art. 1 de la Ley de Canarias 7/2009, de 6 de mayo, de modificación del texto refundido de las Leyes de ordenación del territorio de Canarias y de espacios naturales de Canarias sobre declaración y ordenación de áreas urbanas en el litoral canario, así como levantar la de sus arts. 2 y 3.</w:t>
      </w:r>
    </w:p>
    <w:p w:rsidR="0085709A" w:rsidRDefault="0085709A" w:rsidP="0085709A">
      <w:pPr>
        <w:pStyle w:val="TextoNormal"/>
      </w:pPr>
    </w:p>
    <w:p w:rsidR="0085709A" w:rsidRDefault="0085709A" w:rsidP="0085709A">
      <w:pPr>
        <w:pStyle w:val="TextoNormal"/>
      </w:pPr>
      <w:r w:rsidRPr="0085709A">
        <w:rPr>
          <w:rStyle w:val="NumeroAFNegritaCaracter"/>
        </w:rPr>
        <w:t>9</w:t>
      </w:r>
      <w:r>
        <w:t>. Mediante providencia de 20 de enero de 2015, se señaló para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ha sido interpuesto por el Abogado del Estado, en nombre del Presidente del Gobierno de la Nación, contra los artículos 1, 2 y 3 de la Ley de la Comunidad Autónoma de Canarias 7/2009, de 6 de mayo, de modificación del texto refundido de las Leyes de ordenación del territorio de Canarias y de espacios naturales de Canarias sobre declaración y ordenación de áreas urbanas en el litoral canario.</w:t>
      </w:r>
    </w:p>
    <w:p w:rsidR="0085709A" w:rsidRDefault="0085709A" w:rsidP="0085709A">
      <w:pPr>
        <w:pStyle w:val="TextoNormal"/>
      </w:pPr>
    </w:p>
    <w:p w:rsidR="0085709A" w:rsidRDefault="0085709A" w:rsidP="0085709A">
      <w:pPr>
        <w:pStyle w:val="TextoNormal"/>
      </w:pPr>
      <w:r>
        <w:t xml:space="preserve">El art. 1 impugnado supone la aplicación singular, al territorio costero canario, del régimen transitorio de la Ley de costas, introduciéndose algunas variaciones a esa aplicación, mientras que el art. 2, determina que es competencia de la Administración autonómica la fijación del límite interior de la zona de servidumbre de protección del dominio público marítimo-terrestre. Por último el art. 3 atribuye a la Administración autonómica la potestad para elaborar un censo de las edificaciones ubicadas en el demanio marítimo-terrestre y en sus zonas de servidumbre de tránsito y protección, a los efectos, entre otras consecuencias que se anudan a la inclusión en el registro censal, de aplicar sobre las mismas la disposición transitoria cuarta de la Ley de costas. El Abogado del Estado reprocha a las disposiciones impugnadas la vulneración de las competencias estatales </w:t>
      </w:r>
      <w:r w:rsidRPr="0085709A">
        <w:rPr>
          <w:i/>
        </w:rPr>
        <w:t>ex</w:t>
      </w:r>
      <w:r>
        <w:t xml:space="preserve"> arts. 132 y 149.1.1, 8 y 23 CE, tal como las mismas han sido ejercidas a través de la Ley 22/1988, de 28 de julio, de costas y del Real Decreto 1471/1989, de 1 de diciembre, por el que se aprueba el reglamento general para desarrollo y ejecución de la Ley 22/1988, de 28 de julio, de costas (LC).</w:t>
      </w:r>
    </w:p>
    <w:p w:rsidR="0085709A" w:rsidRDefault="0085709A" w:rsidP="0085709A">
      <w:pPr>
        <w:pStyle w:val="TextoNormal"/>
      </w:pPr>
    </w:p>
    <w:p w:rsidR="0085709A" w:rsidRDefault="0085709A" w:rsidP="0085709A">
      <w:pPr>
        <w:pStyle w:val="TextoNormal"/>
      </w:pPr>
      <w:r>
        <w:t>Por el contrario, tanto el Gobierno como el Parlamento canarios sostienen, de manera esencialmente coincidente, que concurriendo en este ámbito material distintos títulos competenciales, cumple dar prioridad al relativo a la regulación de los usos del suelo, y no al que se refiere a la protección medioambiental, de manera tal que la normativa autonómica impugnada no sería sino expresión de la competencia autonómica en materia de clasificación del suelo y planificación de los usos del suelo, competencias puramente urbanísticas y, como tales, exclusivamente autonómicas.</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proceder al examen de la cuestión de fondo, resulta conveniente realizar algunas precisiones de orden procesal relativas a la pervivencia del conflicto y al parámetro de referencia que ha de servir al enjuiciamiento de las disposiciones impugnadas.</w:t>
      </w:r>
    </w:p>
    <w:p w:rsidR="0085709A" w:rsidRDefault="0085709A" w:rsidP="0085709A">
      <w:pPr>
        <w:pStyle w:val="TextoNormal"/>
      </w:pPr>
    </w:p>
    <w:p w:rsidR="0085709A" w:rsidRDefault="0085709A" w:rsidP="0085709A">
      <w:pPr>
        <w:pStyle w:val="TextoNormal"/>
      </w:pPr>
      <w:r>
        <w:t xml:space="preserve">a) Por un lado cumple decir que el Decreto Legislativo 1/2000, de 8 de mayo, al que da nueva redacción la Ley de la Comunidad Autónoma de Canarias 7/2009, fue modificado por la Ley 1/2013, de 25 de abril, de modificación del texto refundido de las Leyes de ordenación del territorio de Canarias y de espacios naturales de Canarias. No obstante la Ley 1/2013 se limitó a derogar el art. 44.4 y la disposición derogatoria, modificando además el art. 34 c) y añadiendo el art. 44 </w:t>
      </w:r>
      <w:r w:rsidRPr="0085709A">
        <w:rPr>
          <w:i/>
        </w:rPr>
        <w:t>bis</w:t>
      </w:r>
      <w:r>
        <w:t xml:space="preserve">, al Decreto Legislativo 1/2000, de 8 de mayo. Las modificaciones referidas no hacen alusión, ni afectan de forma directa a ninguno de los preceptos ni de los contenidos que son objeto del presente recurso de inconstitucionalidad, de </w:t>
      </w:r>
      <w:r>
        <w:lastRenderedPageBreak/>
        <w:t>modo que las innovaciones legislativas acaecidas en la ley que es objeto del recurso, en nada afectan al proceso del que estamos conociendo.</w:t>
      </w:r>
    </w:p>
    <w:p w:rsidR="0085709A" w:rsidRDefault="0085709A" w:rsidP="0085709A">
      <w:pPr>
        <w:pStyle w:val="TextoNormal"/>
      </w:pPr>
    </w:p>
    <w:p w:rsidR="0085709A" w:rsidRDefault="0085709A" w:rsidP="0085709A">
      <w:pPr>
        <w:pStyle w:val="TextoNormal"/>
      </w:pPr>
      <w:r>
        <w:t>b) Por otro lado deben apuntarse las modificaciones legislativas introducidas en la normativa estatal que sirve de parámetro de la validez constitucional de la disposición recurrida. En este contexto, y teniendo presente que el recurrente imputa vicios de inconstitucionalidad mediata a la Ley objeto del recurso de inconstitucionalidad, es obligado referir las modificaciones a que se han visto sujetos la Ley de costas y el Reglamento de costas, que se invocan en este proceso, como parámetro interpuesto de la constitucionalidad de la norma impugnada. Los vicios de inconstitucionalidad que el recurso atribuye a los arts. 1, 2 y 3 de la Ley canaria 7/2009, tienen en común achacar a la ley autonómica un exceso competencial, que conduce a una regulación autonómica incompatible con la normativa estatal básica en materia de protección del litoral, contenida tanto en la Ley 22/1988, de 28 de julio, de costas, como en el Real Decreto 1471/1989, de 1 de diciembre, por el que se aprueba el Reglamento general para desarrollo y ejecución de la Ley 22/1988, de 28 de julio, de costas. Ambas normas han sido modificadas tras la interposición del recurso de inconstitucionalidad que nos ocupa. La primera, tras la aprobación de la Ley 2/2013, de 29 de mayo, de protección y uso sostenible del litoral, y el segundo ha sido expresamente derogada por el Real Decreto 876/2014, de 10 de octubre, por el que se aprueba el Reglamento general de costas.</w:t>
      </w:r>
    </w:p>
    <w:p w:rsidR="0085709A" w:rsidRDefault="0085709A" w:rsidP="0085709A">
      <w:pPr>
        <w:pStyle w:val="TextoNormal"/>
      </w:pPr>
    </w:p>
    <w:p w:rsidR="0085709A" w:rsidRDefault="0085709A" w:rsidP="0085709A">
      <w:pPr>
        <w:pStyle w:val="TextoNormal"/>
      </w:pPr>
      <w:r>
        <w:t>Entre las disposiciones de la Ley de costas que encuentran nueva redacción con la Ley 2/2013 se hallan algunas de las que invoca el recurso como disposiciones básicas de referencia para determinar la inconstitucionalidad mediata de la norma impugnada. La Ley 2/2013, tal y como pone de relieve expresamente su exposición de motivos, introduce una novedad respecto de la zona de servidumbre de protección, reduciendo el ancho de esta servidumbre de 100 metros a 20 metros respecto de aquellos núcleos de población que, sin poder acogerse en su día a lo dispuesto en la disposición transitoria tercera de la Ley de costas por no ser suelo calificado como urbano, sí tenían en la fecha de entrada en vigor de la Ley 22/1988, de 28 de julio, las características propias del suelo urbano. Esta modificación normativa se traduce en la dicción literal de la disposición transitoria primera de la Ley 2/2013, referida a la aplicación de la disposición transitoria tercera, apartado 3, de la Ley 22/1988, de 28 de julio, de costas y que establece lo siguiente:</w:t>
      </w:r>
    </w:p>
    <w:p w:rsidR="0085709A" w:rsidRDefault="0085709A" w:rsidP="0085709A">
      <w:pPr>
        <w:pStyle w:val="TextoNormal"/>
      </w:pPr>
    </w:p>
    <w:p w:rsidR="0085709A" w:rsidRDefault="0085709A" w:rsidP="0085709A">
      <w:pPr>
        <w:pStyle w:val="TextoNormal"/>
      </w:pPr>
      <w:r>
        <w:t>“1. En el plazo de dos años desde la entrada en vigor de la presente Ley, se podrá instar que el régimen previsto en la disposición transitoria tercera, apartado 3, de la Ley 22/1988, de 28 de julio, de Costas, se aplique igualmente a los núcleos o áreas que, a su entrada en vigor, no estuvieran clasificados como suelo urbano pero que, en ese momento, reunieran alguno de los siguientes requisitos:</w:t>
      </w:r>
    </w:p>
    <w:p w:rsidR="0085709A" w:rsidRDefault="0085709A" w:rsidP="0085709A">
      <w:pPr>
        <w:pStyle w:val="TextoNormal"/>
      </w:pPr>
    </w:p>
    <w:p w:rsidR="0085709A" w:rsidRDefault="0085709A" w:rsidP="0085709A">
      <w:pPr>
        <w:pStyle w:val="TextoNormal"/>
      </w:pPr>
      <w:r>
        <w:t>a) En municipios con planeamiento, los terrenos que, o bien cuenten con acceso rodado, abastecimiento de agua, evacuación de aguas residuales y suministro de energía eléctrica y estuvieran consolidados por la edificación en al menos un tercio de su superficie, o bien, careciendo de alguno de los requisitos citados, estuvieran comprendidos en áreas consolidadas por la edificación como mínimo en dos terceras partes de su superficie, de conformidad con la ordenación de aplicación.</w:t>
      </w:r>
    </w:p>
    <w:p w:rsidR="0085709A" w:rsidRDefault="0085709A" w:rsidP="0085709A">
      <w:pPr>
        <w:pStyle w:val="TextoNormal"/>
      </w:pPr>
    </w:p>
    <w:p w:rsidR="0085709A" w:rsidRDefault="0085709A" w:rsidP="0085709A">
      <w:pPr>
        <w:pStyle w:val="TextoNormal"/>
      </w:pPr>
      <w:r>
        <w:t xml:space="preserve">b) En municipios sin planeamiento, los terrenos que, o bien cuenten con acceso rodado, abastecimiento de agua, evacuación de aguas residuales y suministro de energía eléctrica y </w:t>
      </w:r>
      <w:r>
        <w:lastRenderedPageBreak/>
        <w:t>estuvieran consolidados por la edificación en al menos un tercio de su superficie, o bien, careciendo de alguno de los requisitos citados, estuvieran comprendidos en áreas consolidadas por la edificación como mínimo en la mitad de su superficie.</w:t>
      </w:r>
    </w:p>
    <w:p w:rsidR="0085709A" w:rsidRDefault="0085709A" w:rsidP="0085709A">
      <w:pPr>
        <w:pStyle w:val="TextoNormal"/>
      </w:pPr>
    </w:p>
    <w:p w:rsidR="0085709A" w:rsidRDefault="0085709A" w:rsidP="0085709A">
      <w:pPr>
        <w:pStyle w:val="TextoNormal"/>
      </w:pPr>
      <w:r>
        <w:t>2. Esta disposición se aplicará a los núcleos o áreas delimitados por el planeamiento, y en defecto de este, serán delimitados por la administración urbanística competente; en ambos casos, previo informe favorable del Ministerio de Agricultura, Alimentación y Medio Ambiente que deberá pronunciarse sobre la delimitación y compatibilidad de tales núcleos o áreas con la integridad y defensa del dominio público marítimo-terrestre. Este informe deberá emitirse en el plazo de dieciocho meses desde que haya sido solicitado por la administración urbanística. En caso de que no se emitiera en este plazo se entenderá que es favorable.</w:t>
      </w:r>
    </w:p>
    <w:p w:rsidR="0085709A" w:rsidRDefault="0085709A" w:rsidP="0085709A">
      <w:pPr>
        <w:pStyle w:val="TextoNormal"/>
      </w:pPr>
    </w:p>
    <w:p w:rsidR="0085709A" w:rsidRDefault="0085709A" w:rsidP="0085709A">
      <w:pPr>
        <w:pStyle w:val="TextoNormal"/>
      </w:pPr>
      <w:r>
        <w:t>3. Las Administraciones urbanísticas que ya hayan delimitado o clasificado como suelo urbano a los núcleos o áreas a los que se refiere el apartado primero de esta disposición deberán solicitar al Ministerio de Agricultura, Alimentación y Medio Ambiente el informe previsto en el apartado segundo de esta disposición en el plazo de tres meses desde la entrada en vigor de la presente Ley. El informe deberá emitirse en el plazo de dieciocho meses desde que haya sido solicitado. En caso de que no se emitiera en ese plazo se entenderá que es favorable.</w:t>
      </w:r>
    </w:p>
    <w:p w:rsidR="0085709A" w:rsidRDefault="0085709A" w:rsidP="0085709A">
      <w:pPr>
        <w:pStyle w:val="TextoNormal"/>
      </w:pPr>
    </w:p>
    <w:p w:rsidR="0085709A" w:rsidRDefault="0085709A" w:rsidP="0085709A">
      <w:pPr>
        <w:pStyle w:val="TextoNormal"/>
      </w:pPr>
      <w:r>
        <w:t>4. No obstante, en los núcleos y áreas a los que se refiere la presente disposición, no se podrán autorizar nuevas construcciones de las prohibidas en el artículo 25 de la Ley 22/1988, de 28 de julio, de Costas.”</w:t>
      </w:r>
    </w:p>
    <w:p w:rsidR="0085709A" w:rsidRDefault="0085709A" w:rsidP="0085709A">
      <w:pPr>
        <w:pStyle w:val="TextoNormal"/>
      </w:pPr>
    </w:p>
    <w:p w:rsidR="0085709A" w:rsidRDefault="0085709A" w:rsidP="0085709A">
      <w:pPr>
        <w:pStyle w:val="TextoNormal"/>
      </w:pPr>
      <w:r>
        <w:t>La Ley 2/2013 modifica, asimismo, el art. 11 LC, añadiendo un párrafo 2; los apartados 2 y 4 del art. 12, suprimiendo el antiguo apartado 6; y el apartado 2 del art. 13 CE. Si bien todos estos preceptos son invocados como parámetro en la impugnación por inconstitucionalidad mediata de la nueva disposición transitoria decimocuarta del Decreto Legislativo canario 1/2000, lo único relevante, a los efectos del presente recurso de inconstitucionalidad, dentro de este conjunto de modificaciones, es que el art. 11, en el que actualmente es el apartado 1, mantiene la atribución de la competencia a la Administración del Estado para determinar el dominio público marítimo-terrestre a través de la práctica de los oportunos deslindes, ateniéndose a las características de los bienes que lo integran conforme a lo dispuesto en los artículos 3, 4 y 5 de la Ley.</w:t>
      </w:r>
    </w:p>
    <w:p w:rsidR="0085709A" w:rsidRDefault="0085709A" w:rsidP="0085709A">
      <w:pPr>
        <w:pStyle w:val="TextoNormal"/>
      </w:pPr>
    </w:p>
    <w:p w:rsidR="0085709A" w:rsidRDefault="0085709A" w:rsidP="0085709A">
      <w:pPr>
        <w:pStyle w:val="TextoNormal"/>
      </w:pPr>
      <w:r>
        <w:t>Por último, y en lo relativo a la disposición transitoria cuarta, invocada como parámetro, en la impugnación del art. 3 de la Ley canaria 7/2009, la Ley 2/2013 modifica el apartado 2 y se añade el apartado 3, quedando la redacción del precepto en los términos literales que transcribimos por el interés que ello tiene para nuestro posterior pronunciamiento:</w:t>
      </w:r>
    </w:p>
    <w:p w:rsidR="0085709A" w:rsidRDefault="0085709A" w:rsidP="0085709A">
      <w:pPr>
        <w:pStyle w:val="TextoNormal"/>
      </w:pPr>
    </w:p>
    <w:p w:rsidR="0085709A" w:rsidRDefault="0085709A" w:rsidP="0085709A">
      <w:pPr>
        <w:pStyle w:val="TextoNormal"/>
      </w:pPr>
      <w:r>
        <w:t>“1. Las obras e instalaciones construidas con anterioridad a la entrada en vigor de la presente Ley, sin la autorización o concesión exigible con arreglo a la legislación de costas entonces vigente, serán demolidas cuando no proceda su legalización por razones de interés público.</w:t>
      </w:r>
    </w:p>
    <w:p w:rsidR="0085709A" w:rsidRDefault="0085709A" w:rsidP="0085709A">
      <w:pPr>
        <w:pStyle w:val="TextoNormal"/>
      </w:pPr>
    </w:p>
    <w:p w:rsidR="0085709A" w:rsidRDefault="0085709A" w:rsidP="0085709A">
      <w:pPr>
        <w:pStyle w:val="TextoNormal"/>
      </w:pPr>
      <w:r>
        <w:t xml:space="preserve">2. En las obras e instalaciones legalizadas conforme a lo previsto en el apartado anterior, así como en las construidas o que puedan construirse al amparo de licencia municipal y, </w:t>
      </w:r>
      <w:r>
        <w:lastRenderedPageBreak/>
        <w:t>cuando fuera exigible, autorización de la Administración del Estado otorgada con anterioridad a la entrada en vigor de esta Ley, que resulten contrarias a lo establecido en la misma, se aplicarán las siguientes reglas:</w:t>
      </w:r>
    </w:p>
    <w:p w:rsidR="0085709A" w:rsidRDefault="0085709A" w:rsidP="0085709A">
      <w:pPr>
        <w:pStyle w:val="TextoNormal"/>
      </w:pPr>
    </w:p>
    <w:p w:rsidR="0085709A" w:rsidRDefault="0085709A" w:rsidP="0085709A">
      <w:pPr>
        <w:pStyle w:val="TextoNormal"/>
      </w:pPr>
      <w:r>
        <w:t>a) Si ocupan terrenos de dominio público marítimo-terrestre, serán demolidas al extinguirse la concesión.</w:t>
      </w:r>
    </w:p>
    <w:p w:rsidR="0085709A" w:rsidRDefault="0085709A" w:rsidP="0085709A">
      <w:pPr>
        <w:pStyle w:val="TextoNormal"/>
      </w:pPr>
    </w:p>
    <w:p w:rsidR="0085709A" w:rsidRDefault="0085709A" w:rsidP="0085709A">
      <w:pPr>
        <w:pStyle w:val="TextoNormal"/>
      </w:pPr>
      <w:r>
        <w:t>Mientras la concesión esté vigente, sus titulares podrán realizar obras de reparación, mejora, consolidación y modernización siempre que no impliquen aumento de volumen, altura ni superficie de las construcciones existentes.</w:t>
      </w:r>
    </w:p>
    <w:p w:rsidR="0085709A" w:rsidRDefault="0085709A" w:rsidP="0085709A">
      <w:pPr>
        <w:pStyle w:val="TextoNormal"/>
      </w:pPr>
    </w:p>
    <w:p w:rsidR="0085709A" w:rsidRDefault="0085709A" w:rsidP="0085709A">
      <w:pPr>
        <w:pStyle w:val="TextoNormal"/>
      </w:pPr>
      <w:r>
        <w:t>b) Si se emplazan en la zona de servidumbre de tránsito, los titulares de las construcciones e instalaciones podrán realizar las obras de reparación, mejora, consolidación y modernización siempre que no impliquen aumento de volumen, altura ni superficie de las construcciones existentes y sin que el incremento de valor que aquellas comporten pueda ser tenido en cuenta a efectos expropiatorios. Tales obras no podrán ser autorizadas por el órgano urbanístico competente, sin que con carácter previo, la administración del Estado emita un informe favorable en el que conste que la servidumbre de tránsito queda garantizada. Este informe deberá emitirse en el plazo de dos meses desde su solicitud, si en dicho plazo no se emitiera se entenderá que tiene carácter favorable.</w:t>
      </w:r>
    </w:p>
    <w:p w:rsidR="0085709A" w:rsidRDefault="0085709A" w:rsidP="0085709A">
      <w:pPr>
        <w:pStyle w:val="TextoNormal"/>
      </w:pPr>
    </w:p>
    <w:p w:rsidR="0085709A" w:rsidRDefault="0085709A" w:rsidP="0085709A">
      <w:pPr>
        <w:pStyle w:val="TextoNormal"/>
      </w:pPr>
      <w:r>
        <w:t>c) En el resto de la zona de servidumbre de protección y en los términos en que la misma se aplica a las diferentes clases de suelo conforme a lo establecido en la disposición transitoria tercera, podrán realizarse obras de reparación, mejora, consolidación y modernización siempre que no impliquen aumento de volumen, altura ni superficie de las construcciones existentes y sin que el incremento de valor que aquellas comporten pueda ser tenido en cuenta a efectos expropiatorios. En caso de demolición total o parcial, las nuevas construcciones deberán ajustarse íntegramente a las disposiciones de esta Ley.”</w:t>
      </w:r>
    </w:p>
    <w:p w:rsidR="0085709A" w:rsidRDefault="0085709A" w:rsidP="0085709A">
      <w:pPr>
        <w:pStyle w:val="TextoNormal"/>
      </w:pPr>
    </w:p>
    <w:p w:rsidR="0085709A" w:rsidRDefault="0085709A" w:rsidP="0085709A">
      <w:pPr>
        <w:pStyle w:val="TextoNormal"/>
      </w:pPr>
      <w:r w:rsidRPr="0085709A">
        <w:rPr>
          <w:rStyle w:val="NumeroAFNegritaCaracter"/>
        </w:rPr>
        <w:t>3</w:t>
      </w:r>
      <w:r>
        <w:t>. Las obras, a las que se refiere el apartado segundo de esta disposición transitoria, cuando les sea aplicable, deberán:</w:t>
      </w:r>
    </w:p>
    <w:p w:rsidR="0085709A" w:rsidRDefault="0085709A" w:rsidP="0085709A">
      <w:pPr>
        <w:pStyle w:val="TextoNormal"/>
      </w:pPr>
    </w:p>
    <w:p w:rsidR="0085709A" w:rsidRDefault="0085709A" w:rsidP="0085709A">
      <w:pPr>
        <w:pStyle w:val="TextoNormal"/>
      </w:pPr>
      <w:r>
        <w:t>a) Suponer una mejora en la eficiencia energética. A tal efecto, tendrán que obtener una calificación energética final que alcance una mejora de dos letras o una letra B, lo que se acreditará mediante la certificación de eficiencia energética, de acuerdo con lo previsto en el Real Decreto 235/2013, de 5 de abril, por el que se aprueba el procedimiento básico para la certificación de la eficiencia energética de los edificios o lo que cualquier otra norma pueda establecer en el futuro para la certificación de edificios existentes.</w:t>
      </w:r>
    </w:p>
    <w:p w:rsidR="0085709A" w:rsidRDefault="0085709A" w:rsidP="0085709A">
      <w:pPr>
        <w:pStyle w:val="TextoNormal"/>
      </w:pPr>
    </w:p>
    <w:p w:rsidR="0085709A" w:rsidRDefault="0085709A" w:rsidP="0085709A">
      <w:pPr>
        <w:pStyle w:val="TextoNormal"/>
      </w:pPr>
      <w:r>
        <w:t>b) Emplear los mecanismos, sistemas, instalaciones y equipamientos individuales y/o colectivos que supongan un ahorro efectivo en el consumo de agua. En el caso de que afecten a jardines y espacios verdes, para su riego fomentarán el uso de recursos hídricos marginales, tales como aguas regeneradas o aguas de lluvia almacenadas.</w:t>
      </w:r>
    </w:p>
    <w:p w:rsidR="0085709A" w:rsidRDefault="0085709A" w:rsidP="0085709A">
      <w:pPr>
        <w:pStyle w:val="TextoNormal"/>
      </w:pPr>
    </w:p>
    <w:p w:rsidR="0085709A" w:rsidRDefault="0085709A" w:rsidP="0085709A">
      <w:pPr>
        <w:pStyle w:val="TextoNormal"/>
      </w:pPr>
      <w:r>
        <w:t xml:space="preserve">No podrán ser autorizadas por el órgano urbanístico competente sin que los titulares de las concesiones acrediten haber presentado ante la administración del Estado y los de las construcciones e instalaciones ante los órganos competentes de las Comunidades Autónomas una declaración responsable en la que de manera expresa y clara manifiesten que tales </w:t>
      </w:r>
      <w:r>
        <w:lastRenderedPageBreak/>
        <w:t xml:space="preserve">obras no supondrán un aumento del volumen, altura ni superficie de las construcciones existentes y que cumplen con los requisitos establecidos anteriormente sobre eficiencia energética y ahorro de agua, cuando les sean de aplicación. La declaración responsable se ajustará a lo dispuesto en el artículo 71 </w:t>
      </w:r>
      <w:r w:rsidRPr="0085709A">
        <w:rPr>
          <w:i/>
        </w:rPr>
        <w:t>bis</w:t>
      </w:r>
      <w:r>
        <w:t xml:space="preserve"> de la Ley 30/1992, de 26 de noviembre, de régimen jurídico de las Administraciones públicas y procedimiento administrativo común.</w:t>
      </w:r>
    </w:p>
    <w:p w:rsidR="0085709A" w:rsidRDefault="0085709A" w:rsidP="0085709A">
      <w:pPr>
        <w:pStyle w:val="TextoNormal"/>
      </w:pPr>
    </w:p>
    <w:p w:rsidR="0085709A" w:rsidRDefault="0085709A" w:rsidP="0085709A">
      <w:pPr>
        <w:pStyle w:val="TextoNormal"/>
      </w:pPr>
      <w:r>
        <w:t xml:space="preserve">Debemos añadir, a las precisiones que acaban de realizarse, que la Ley 2/2013, de 29 de mayo, de protección y uso sostenible del litoral, ha sido objeto de cinco recursos de inconstitucionalidad, los numerados como recurso de inconstitucionalidad 4906-2013, recurso de inconstitucionalidad 4912-2013, recurso de inconstitucionalidad 5009-2013, recurso de inconstitucionalidad 5012-2013 y recurso de inconstitucionalidad 5020-2013. En algunos de estos recursos se identifican como objeto de impugnación la nueva redacción de los arts. 23 y de la disposición transitoria cuarta, así como la disposición transitoria primera de la Ley 2/2013 que modula el régimen transitorio contenido en la disposición transitoria tercera de la Ley de costas de 1988. Por tanto una parte del parámetro teórico de referencia necesario para resolver el presente recurso está </w:t>
      </w:r>
      <w:r w:rsidRPr="0085709A">
        <w:rPr>
          <w:i/>
        </w:rPr>
        <w:t>sub iudice</w:t>
      </w:r>
      <w:r>
        <w:t xml:space="preserve"> en este Tribunal, lo que no obstará, por las razones que expondremos, a la resolución del presente recurso sin que ello suponga prejuzgar la constitucionalidad o inconstitucionalidad de las disposiciones a las que acabamos de hacer referencia. Es decir, la respuesta que debamos dar en relación con la eventual invasión competencial de la normativa básica por la Ley canaria 7/2009, por el propio alcance de esa respuesta, no prejuzgará la contestación que hayamos de formular, en su momento, para resolver los recursos de inconstitucionalidad previamente referidos y en los que se cuestiona, entre otras cosas, la validez de las normas que, por ser </w:t>
      </w:r>
      <w:r w:rsidRPr="0085709A">
        <w:rPr>
          <w:i/>
        </w:rPr>
        <w:t>ius superveniens</w:t>
      </w:r>
      <w:r>
        <w:t xml:space="preserve"> y tratarse de resolver, en este caso, y una controversia de base competencial, hemos de tener en cuenta.</w:t>
      </w:r>
    </w:p>
    <w:p w:rsidR="0085709A" w:rsidRDefault="0085709A" w:rsidP="0085709A">
      <w:pPr>
        <w:pStyle w:val="TextoNormal"/>
      </w:pPr>
    </w:p>
    <w:p w:rsidR="0085709A" w:rsidRDefault="0085709A" w:rsidP="0085709A">
      <w:pPr>
        <w:pStyle w:val="TextoNormal"/>
      </w:pPr>
      <w:r>
        <w:t>Por lo que hace al Real Decreto 1471/1989, el mismo ha estado vigente hasta el 12 de octubre de 2014, siendo derogado por el Real Decreto 876/2014, de 10 de octubre, por el que se aprueba el Reglamento general de costas. Las disposiciones del nuevo Reglamento general de costas que interesan, en el marco del presente proceso constitucional, son las disposiciones transitorias octava, novena, y décima, que desarrollan respectivamente los apartados 1, 2 y 3 de la disposición transitoria tercera de la Ley 22/1988, modificaciones cuya dicción literal se traerá al texto si fuera preciso, al hilo del análisis concreto de las disposiciones impugnadas.</w:t>
      </w:r>
    </w:p>
    <w:p w:rsidR="0085709A" w:rsidRDefault="0085709A" w:rsidP="0085709A">
      <w:pPr>
        <w:pStyle w:val="TextoNormal"/>
      </w:pPr>
    </w:p>
    <w:p w:rsidR="0085709A" w:rsidRDefault="0085709A" w:rsidP="0085709A">
      <w:pPr>
        <w:pStyle w:val="TextoNormal"/>
      </w:pPr>
      <w:r>
        <w:t xml:space="preserve">Teniendo presente este nuevo marco normativo, es preciso traer a colación nuestra doctrina sobre el </w:t>
      </w:r>
      <w:r w:rsidRPr="0085709A">
        <w:rPr>
          <w:i/>
        </w:rPr>
        <w:t>ius superveniens</w:t>
      </w:r>
      <w:r>
        <w:t xml:space="preserve"> en procesos de naturaleza competencial, como el que ahora nos ocupa a pesar de adoptar la forma de recurso de inconstitucionalidad, según la cual el control de las normas que incurren en un posible exceso competencial debe hacerse de acuerdo con las normas del bloque de la constitucionalidad, y con las demás normas que operan como parámetro de enjuiciamiento, que estén vigentes en el momento de dictar sentencia [por todas SSTC 135/2006, de 27 de abril, FJ 3 a); 1/2011, de 14 de febrero, FJ 2; 5/2012, de 17 de enero, FJ 3; y 148/2012, de 5 de julio, FJ 2 y doctrina en ellas citada]. En la medida en que el Abogado del Estado caracteriza la inconstitucionalidad atribuida a la norma impugnada como inconstitucionalidad mediata, es preciso, desde el punto de vista lógico, definir el marco de enjuiciamiento en los términos en que acaba de ser realizado sin perjuicio de que, como se verá, no es preciso acudir al argumento de la inconstitucionalidad mediata para resolver las cuestiones planteadas en el presente recurso de inconstitucionali</w:t>
      </w:r>
      <w:r>
        <w:lastRenderedPageBreak/>
        <w:t>dad, lo que garantiza, por lo demás, que este pronunciamiento no prejuzgue el ajuste constitucional de la Ley 2/2013, de 29 de mayo, de protección y uso sostenible del litoral, cuestión que es objeto de otros procesos constitucionales.</w:t>
      </w:r>
    </w:p>
    <w:p w:rsidR="0085709A" w:rsidRDefault="0085709A" w:rsidP="0085709A">
      <w:pPr>
        <w:pStyle w:val="TextoNormal"/>
      </w:pPr>
    </w:p>
    <w:p w:rsidR="0085709A" w:rsidRDefault="0085709A" w:rsidP="0085709A">
      <w:pPr>
        <w:pStyle w:val="TextoNormal"/>
      </w:pPr>
      <w:r w:rsidRPr="0085709A">
        <w:rPr>
          <w:rStyle w:val="NumeroAFNegritaCaracter"/>
        </w:rPr>
        <w:t>4</w:t>
      </w:r>
      <w:r>
        <w:t>. Establecido el objeto del recurso y el parámetro de control a emplear, la resolución de las cuestiones planteadas exige partir de una adecuada delimitación competencial del ámbito material en el que se inscribe la regulación impugnada. Para ello se hace indispensable la remisión a la doctrina elaborada por la STC 149/1991, de 4 de julio, que resuelve varios recursos de inconstitucionalidad acumulados e interpuestos contra la Ley 22/1988, de 28 de julio, de costas. En dicho pronunciamiento el Tribunal determina, en primer lugar, que la ordenación del litoral, inexistente como competencia específica en el texto constitucional, se ha de considerar integrada dentro de la competencia sobre ordenación del territorio a que se refiere el art. 148.1.3 CE, a la que define más como una política que como una concreta técnica y una política, además, de enorme amplitud [STC 149/1991, FJ 1 b)]. En segundo término se entiende que el ejercicio de esta competencia autonómica, habrá de tener en cuenta “la incidencia territorial de todas las actuaciones de los poderes públicos, a fin de garantizar de ese modo el mejor uso de los recursos del suelo y del subsuelo, del aire y del agua y el equilibrio entre las distintas partes del territorio mismo” [STC 149/1991, FJ 1 b)]. Y en tercer lugar se reconoce que el objetivo de la Ley impugnada, esto es la Ley de costas, no es la ordenación del territorio sino la determinación, protección, utilización y policía del dominio público marítimo-terrestre y especialmente de la ribera del mar, y que son dos los títulos competenciales que juegan en este ámbito. Por un lado el enunciado en el art. 149.1.1 CE, que opera aquí para asegurar una igualdad básica en el ejercicio del derecho a disfrutar de un medio ambiente adecuado al desarrollo de la persona (art. 45 CE), así como para asegurar la igualdad de todos los españoles en el ejercicio del derecho que garantiza el art. 33.1 y 2 CE, y que se verá afectado por los límites que la protección y servidumbres impuestas a los territorios colindantes al dominio público marítimo-terrestre exijan. Por otro lado, “el que, en relación con la protección del medio ambiente consagra el art. 149.1.23. Como se sabe, la competencia allí reservada al Estado es la relativa al establecimiento de la legislación básica, que puede ser complementada con normas adicionales, cuando así lo prevén los respectivos Estatutos, así como el ejercicio de las funciones de ejecución necesarias para la efectividad de esa legislación. Es, sin duda, la protección de la naturaleza la finalidad inmediata que persiguen las normas mediante las que se establecen limitaciones en el uso de los terrenos colindantes a fin de preservar las características propias (incluso, claro está, los valores paisajísticos) de la zona marítimo-terrestre y, por tanto, es a partir de esa finalidad primaria como se han de articular, para respetar la delimitación competencial que impone el bloque de la constitucionalidad, la obligación que al legislador estatal impone el art. 132.2 de la CE y las competencias asumidas por las Comunidades Autónomas” [FJ 1 d)].</w:t>
      </w:r>
    </w:p>
    <w:p w:rsidR="0085709A" w:rsidRDefault="0085709A" w:rsidP="0085709A">
      <w:pPr>
        <w:pStyle w:val="TextoNormal"/>
      </w:pPr>
    </w:p>
    <w:p w:rsidR="0085709A" w:rsidRDefault="0085709A" w:rsidP="0085709A">
      <w:pPr>
        <w:pStyle w:val="TextoNormal"/>
      </w:pPr>
      <w:r>
        <w:t xml:space="preserve">La STC 149/1991 insiste en este particular en el FJ 3 b), que afirma que “la sujeción, con carácter general, de los terrenos colindantes con el dominio público a las servidumbres y limitaciones del dominio que regula la Ley trae razón de ser, como antes se dijo, de la propia naturaleza, características y función social de los bienes que integran el dominio público marítimo- terrestre, lo que obliga a limitar el uso que pueda hacerse de tales terrenos colindantes al amparo, genéricamente, del título resultante del art. 149.1.23 CE Como también hemos dicho, tratándose de terrenos que no forman parte del dominio público, esta limitación sólo puede hacerse derivar de la competencia estatal para dictar la legislación básica </w:t>
      </w:r>
      <w:r>
        <w:lastRenderedPageBreak/>
        <w:t>sobre protección del medio ambiente, cuya ejecución corresponde a las Comunidades Autónomas”. Es más, al analizar la constitucionalidad de la disposición transitoria tercera de la Ley, llamada hoy como parámetro de constitucionalidad con el que contrastar el ajuste de la disposición transitoria decimotercera del Decreto Legislativo de Canarias 1/2000, la STC 149/1991, FJ 8 d) establece que la disposición transitoria tercera incide, sin duda, en las situaciones urbanísticas preexistentes de los terrenos sobre los que recaen la servidumbre de protección y las limitaciones previstas en la zona de influencia que prevé, “afectando de esa forma a las competencias de las Comunidades Autónomas y Ayuntamientos en la materia de urbanismo”, pero quedando justificada esa incidencia en virtud de la competencia estatal recogida en el art. art. 149.1.23 CE. Y añade “que este régimen transitorio encuentra además complementaria cobertura en la competencia que al Estado reserva el art. 149.1.1 CE, ya que con él se garantiza que las limitaciones y servidumbres que establece la Ley no tengan una proyección desigual sobre las facultades de los propietarios según las diversas situaciones urbanísticas de los terrenos e inmuebles de su titularidad. Es decir, si la necesidad de asegurar la igualdad de todos los españoles en el ejercicio del derecho que garantiza el art. 33.1 CE, no quedaría plenamente asegurada si el Estado no regulase las condiciones básicas de la propiedad sobre los terrenos colindantes del dominio público marítimo-terrestre sujetos a las limitaciones ya conocidas, tampoco lo quedaría si no procediese a fijar los criterios a los que transitoriamente, en atención al planeamiento y circunstancias urbanísticas preexistentes en cada caso, deba acomodarse y ajustarse la aplicación de dichas limitaciones”.</w:t>
      </w:r>
    </w:p>
    <w:p w:rsidR="0085709A" w:rsidRDefault="0085709A" w:rsidP="0085709A">
      <w:pPr>
        <w:pStyle w:val="TextoNormal"/>
      </w:pPr>
    </w:p>
    <w:p w:rsidR="0085709A" w:rsidRDefault="0085709A" w:rsidP="0085709A">
      <w:pPr>
        <w:pStyle w:val="TextoNormal"/>
      </w:pPr>
      <w:r>
        <w:t>Así pues, resulta evidente que, siendo la finalidad de la norma estatal de referencia, la protección de la naturaleza, a través del establecimiento de limitaciones en el uso de los terrenos colindantes, a fin de preservar las características propias de la zona marítimo-terrestre, debe ser el contenido en el art. 149.1.23 CE el título competencial prioritario a tener en cuenta para resolver el presente recurso de inconstitucionalidad, título al que acompañará la mención del art. 149.1.1 CE, en los términos recogidos en la STC 149/1991. No debemos perder de vista que idéntico es el criterio que se recoge en la STC 198/1991, de 17 de octubre, resolutoria de los conflictos positivos de competencia planteados frente al Real Decreto 1471/1989, de 1 de diciembre, por el que se aprueba el Reglamento general para el desarrollo y ejecución de la Ley 22/1988, de costas, en las SSTC 87/2012, de 18 de abril, y 137/2012, de 19 de junio, que resolvían una cuestión de inconstitucionalidad y un recurso, respectivamente, en relación con la disposición adicional tercera de la Ley del Parlamento de Galicia 9/2002, de 30 de diciembre, de ordenación urbanística y protección del medio rural de Galicia; y en la STC 34/2014, de 27 de febrero, que resuelve un recurso de inconstitucionalidad planteado frente a diversos preceptos de la Ley del Parlamento de Andalucía 21/2007, de 18 de diciembre de régimen jurídico y económico de los puertos de Andalucía.</w:t>
      </w:r>
    </w:p>
    <w:p w:rsidR="0085709A" w:rsidRDefault="0085709A" w:rsidP="0085709A">
      <w:pPr>
        <w:pStyle w:val="TextoNormal"/>
      </w:pPr>
    </w:p>
    <w:p w:rsidR="0085709A" w:rsidRDefault="0085709A" w:rsidP="0085709A">
      <w:pPr>
        <w:pStyle w:val="TextoNormal"/>
      </w:pPr>
      <w:r>
        <w:t xml:space="preserve">La citada STC 87/2012, resuelve una impugnación casi idéntica a la que se plantea en el presente recurso de inconstitucionalidad en relación con el art. 1 de la Ley canaria 7/2009. En su fundamento jurídico 4 se dice que los arts. 23.1 LC y la disposición transitoria tercera LC, preceptos invocados también en el presente proceso como parámetro de constitucionalidad mediata de la norma canaria, prevén una reducción excepcional de la servidumbre de protección de costas, no existiendo duda alguna respecto del hecho de que, “el Estado ejerce una competencia propia, </w:t>
      </w:r>
      <w:r w:rsidRPr="0085709A">
        <w:rPr>
          <w:i/>
        </w:rPr>
        <w:t>ex</w:t>
      </w:r>
      <w:r>
        <w:t xml:space="preserve"> art. 149.1.23 CE, y, de forma conexa, </w:t>
      </w:r>
      <w:r w:rsidRPr="0085709A">
        <w:rPr>
          <w:i/>
        </w:rPr>
        <w:t>ex</w:t>
      </w:r>
      <w:r>
        <w:t xml:space="preserve"> art. 149.1.1 CE, para establecer servidumbres y limitaciones en los terrenos colindantes con el dominio público </w:t>
      </w:r>
      <w:r>
        <w:lastRenderedPageBreak/>
        <w:t>marítimo-terrestre —y, entre ellas, la servidumbre de protección— a los efectos de garantizar la protección y defensa de sus condiciones medioambientales, y ello sin perjuicio alguno de las competencias autonómicas para la ordenación del territorio y el urbanismo, que no se ven desconocidas por aquella regulación. Lo que sirve tanto para el régimen establecido con vocación de futuro en la legislación de costas como para el régimen transitorio. En estos términos, sólo al Estado compete, en efecto, el establecimiento de tales servidumbres y limitaciones y, por ende, la precisión de su alcance y contenido”. Por tanto, nuestra jurisprudencia es clara a la hora de reconocer que corresponde en exclusiva al Estado el establecimiento de las servidumbres y limitaciones vinculadas a los terrenos que integran el dominio público marítimo terrestre, en virtud de lo dispuesto en los arts. 149.1.1 CE y 149.1.23 CE en los términos expuestos.</w:t>
      </w:r>
    </w:p>
    <w:p w:rsidR="0085709A" w:rsidRDefault="0085709A" w:rsidP="0085709A">
      <w:pPr>
        <w:pStyle w:val="TextoNormal"/>
      </w:pPr>
    </w:p>
    <w:p w:rsidR="0085709A" w:rsidRDefault="0085709A" w:rsidP="0085709A">
      <w:pPr>
        <w:pStyle w:val="TextoNormal"/>
      </w:pPr>
      <w:r w:rsidRPr="0085709A">
        <w:rPr>
          <w:rStyle w:val="NumeroAFNegritaCaracter"/>
        </w:rPr>
        <w:t>5</w:t>
      </w:r>
      <w:r>
        <w:t>. Habiendo definido el marco competencial en el que nos movemos, es preciso analizar cada una de las impugnaciones realizadas por el Presidente del Gobierno en el recurso de inconstitucionalidad, siguiendo para ello el orden contenido en la demanda y reproducido en la exposición de las alegaciones.</w:t>
      </w:r>
    </w:p>
    <w:p w:rsidR="0085709A" w:rsidRDefault="0085709A" w:rsidP="0085709A">
      <w:pPr>
        <w:pStyle w:val="TextoNormal"/>
      </w:pPr>
    </w:p>
    <w:p w:rsidR="0085709A" w:rsidRDefault="0085709A" w:rsidP="0085709A">
      <w:pPr>
        <w:pStyle w:val="TextoNormal"/>
      </w:pPr>
      <w:r>
        <w:t>Por lo que se refiere a la impugnación del art. 1 de la Ley 7/2009, debe recordarse que la misma plantea una cuestión idéntica a la que resuelve la STC 137/2012, de 19 de junio, que a su vez se remite a lo resuelto por la STC 87/2012, de 8 de abril. Ambas Sentencias se referían a la impugnación de la disposición adicional tercera de la Ley gallega 9/2002, que introducía excepciones o modulaciones al régimen transitorio de la Ley de costas en materia de extensión de la servidumbre de protección.</w:t>
      </w:r>
    </w:p>
    <w:p w:rsidR="0085709A" w:rsidRDefault="0085709A" w:rsidP="0085709A">
      <w:pPr>
        <w:pStyle w:val="TextoNormal"/>
      </w:pPr>
    </w:p>
    <w:p w:rsidR="0085709A" w:rsidRDefault="0085709A" w:rsidP="0085709A">
      <w:pPr>
        <w:pStyle w:val="TextoNormal"/>
      </w:pPr>
      <w:r>
        <w:t>Recuérdese que el tenor literal de la norma impugnada es el siguiente:</w:t>
      </w:r>
    </w:p>
    <w:p w:rsidR="0085709A" w:rsidRDefault="0085709A" w:rsidP="0085709A">
      <w:pPr>
        <w:pStyle w:val="TextoNormal"/>
      </w:pPr>
    </w:p>
    <w:p w:rsidR="0085709A" w:rsidRDefault="0085709A" w:rsidP="0085709A">
      <w:pPr>
        <w:pStyle w:val="TextoNormal"/>
      </w:pPr>
      <w:r>
        <w:t>“1. A los efectos de la aplicación del régimen transitorio de la Ley de Costas, se considerarán áreas urbanas, con independencia de la existencia o no de instrumento de ordenación sobre las mismas y de la clase y categoría de suelo que en su caso se estableciera, las que, a 29 de julio de 1988, se encontraran en alguno de los siguientes supuestos:</w:t>
      </w:r>
    </w:p>
    <w:p w:rsidR="0085709A" w:rsidRDefault="0085709A" w:rsidP="0085709A">
      <w:pPr>
        <w:pStyle w:val="TextoNormal"/>
      </w:pPr>
    </w:p>
    <w:p w:rsidR="0085709A" w:rsidRDefault="0085709A" w:rsidP="0085709A">
      <w:pPr>
        <w:pStyle w:val="TextoNormal"/>
      </w:pPr>
      <w:r>
        <w:t>a) Las que comprendan terrenos que cuenten con acceso rodado, abastecimiento de agua, evacuación de aguas y suministro de energía eléctrica.</w:t>
      </w:r>
    </w:p>
    <w:p w:rsidR="0085709A" w:rsidRDefault="0085709A" w:rsidP="0085709A">
      <w:pPr>
        <w:pStyle w:val="TextoNormal"/>
      </w:pPr>
    </w:p>
    <w:p w:rsidR="0085709A" w:rsidRDefault="0085709A" w:rsidP="0085709A">
      <w:pPr>
        <w:pStyle w:val="TextoNormal"/>
      </w:pPr>
      <w:r>
        <w:t>b) Las que comprendan terrenos consolidados por la edificación al menos en dos terceras partes de su superficie, si el municipio en el que se ubicara tuviera en esa fecha planeamiento general en vigor.</w:t>
      </w:r>
    </w:p>
    <w:p w:rsidR="0085709A" w:rsidRDefault="0085709A" w:rsidP="0085709A">
      <w:pPr>
        <w:pStyle w:val="TextoNormal"/>
      </w:pPr>
    </w:p>
    <w:p w:rsidR="0085709A" w:rsidRDefault="0085709A" w:rsidP="0085709A">
      <w:pPr>
        <w:pStyle w:val="TextoNormal"/>
      </w:pPr>
      <w:r>
        <w:t>c) Las que comprendan terrenos consolidados por la edificación al menos en la mitad de su superficie, si el municipio en el que se ubicara el asentamiento no tuviera en esa fecha planeamiento general en vigor.</w:t>
      </w:r>
    </w:p>
    <w:p w:rsidR="0085709A" w:rsidRDefault="0085709A" w:rsidP="0085709A">
      <w:pPr>
        <w:pStyle w:val="TextoNormal"/>
      </w:pPr>
    </w:p>
    <w:p w:rsidR="0085709A" w:rsidRDefault="0085709A" w:rsidP="0085709A">
      <w:pPr>
        <w:pStyle w:val="TextoNormal"/>
      </w:pPr>
      <w:r>
        <w:t>2. Dicha declaración se efectuará por el órgano autonómico que se determine reglamentariamente, a iniciativa del Cabildo o del Ayuntamiento competente, que aportará los medios de prueba que sirvan de motivación al correspondiente acto.”</w:t>
      </w:r>
    </w:p>
    <w:p w:rsidR="0085709A" w:rsidRDefault="0085709A" w:rsidP="0085709A">
      <w:pPr>
        <w:pStyle w:val="TextoNormal"/>
      </w:pPr>
    </w:p>
    <w:p w:rsidR="0085709A" w:rsidRDefault="0085709A" w:rsidP="0085709A">
      <w:pPr>
        <w:pStyle w:val="TextoNormal"/>
      </w:pPr>
      <w:r>
        <w:t xml:space="preserve">En el momento de aprobación de esta disposición autonómica, la disposición transitoria tercera de la Ley de costas de 1988, en su apartado primero, exigía la clasificación como </w:t>
      </w:r>
      <w:r>
        <w:lastRenderedPageBreak/>
        <w:t>suelo urbano de los terrenos a los que se pretendiese aplicar la servidumbre de protección reducida a 20 metros, suponiendo la normativa autonómica impugnada una excepción a este régimen, al considerar equivalentes, a los efectos de la determinación de la extensión de la servidumbre de protección, los terrenos clasificados como urbanos y los terrenos que cuenten con determinadas características propias del suelo urbano, independientemente de su clasificación y del entorno en que se sitúen. Ahora bien, la referida previsión de la Ley de costas de 1988 ha sido modificada por la Ley 2/2013, cuya disposición transitoria primera introduce una modulación en la aplicación de la disposición transitoria tercera, apartado 3 de la Ley de costas de 1988, en el sentido literal reproducido en el fundamento jurídico 1 de esta Sentencia. La lectura sistemática de la normativa expuesta permite deducir que la norma autonómica impugnada pretende modular la aplicación del régimen transitorio de la Ley de costas, pretendiendo su aplicación a determinadas zonas que, sin estar clasificadas como suelo urbano fueran a la entrada en vigor de la Ley, y de facto, zonas asimilables al suelo urbano, y ello por poseer una serie de características que contempla la norma (contar con acceso rodado, abastecimiento de agua, evacuación de aguas y suministro de energía eléctrica, comprender terrenos consolidados por la edificación al menos en dos terceras partes de su superficie si el municipio en el que se ubicara tuviera en esa fecha planeamiento general en vigor; o comprender terrenos consolidados por la edificación al menos en la mitad de su superficie, si el municipio en el que se ubicara el asentamiento no tuviera en esa fecha planeamiento general en vigor). Ello supone la introducción de un criterio no contemplado en la Ley de costas en su versión de 1988, pero que se introduce en la disposición transitoria de la Ley 2/2013, que viene a recoger una modulación del régimen transitorio de la Ley de 1988 en sentido altamente coincidente con lo dispuesto en la norma autonómica impugnada, pues reconoce la posibilidad de aplicar el régimen transitorio de la Ley de 1988 a los terrenos que, por la fuerza normativa de lo fáctico, fuesen urbanos en 1988 por poseer determinadas características (de nuevo se hace referencia a la existencia de terrenos con acceso rodado, abastecimiento de agua, evacuación de aguas residuales y suministro de energía eléctrica y que tuvieran edificación consolidada en al menos un tercio de su superficie cuando existiese planeamiento; y en los municipios sin planeamiento se hace referencia a las mismas condiciones físicas cuando estuvieran comprendidos en áreas consolidadas por la edificación en la mitad de su superficie).</w:t>
      </w:r>
    </w:p>
    <w:p w:rsidR="0085709A" w:rsidRDefault="0085709A" w:rsidP="0085709A">
      <w:pPr>
        <w:pStyle w:val="TextoNormal"/>
      </w:pPr>
    </w:p>
    <w:p w:rsidR="0085709A" w:rsidRDefault="0085709A" w:rsidP="0085709A">
      <w:pPr>
        <w:pStyle w:val="TextoNormal"/>
      </w:pPr>
      <w:r>
        <w:t>Descritos en estos términos el conflicto, vemos que la modificación de la Ley estatal que sirve como parámetro de referencia podría condicionar el análisis de constitucionalidad de la norma autonómica, si debiéramos entrar a valorar la observancia del contenido material de la norma básica por parte de la norma autonómica. Si debiéramos razonar en estos términos, sería obligado hacer un previo análisis del ajuste constitucional de las nuevas bases estatales, cosa que, ya adelantábamos, no sería preciso hacer. Y esto es así porque la STC 87/2012 dejó claramente marcada la jurisprudencia en materia del alcance de la regulación estatal en este ámbito, limitando el margen de actuación de las Comunidades Autónomas. Traer a este supuesto la jurisprudencia allí formulada supone que no sea necesario valorar las diferencias o semejanzas entre el régimen transitorio estatal actual, y el régimen transitorio que pretendía introducir la Comunidad Autónoma canaria y que nunca llegó a ser aplicado al encontrarse en suspenso por mor de lo dispuesto en nuestro ATC 277/2009.</w:t>
      </w:r>
    </w:p>
    <w:p w:rsidR="0085709A" w:rsidRDefault="0085709A" w:rsidP="0085709A">
      <w:pPr>
        <w:pStyle w:val="TextoNormal"/>
      </w:pPr>
    </w:p>
    <w:p w:rsidR="0085709A" w:rsidRDefault="0085709A" w:rsidP="0085709A">
      <w:pPr>
        <w:pStyle w:val="TextoNormal"/>
      </w:pPr>
      <w:r>
        <w:t xml:space="preserve">La STC 87/2012, de 18 de abril, FJ 5, establece con meridiana claridad, y se basa para realizar tal afirmación en las SSTC 149/1991, de 4 de julio, y 198/1991 de 17 de octubre , </w:t>
      </w:r>
      <w:r>
        <w:lastRenderedPageBreak/>
        <w:t xml:space="preserve">citadas también en este texto, que sólo al Estado corresponde establecer limitaciones y servidumbres sobre los terrenos colindantes al demanio marítimo-terrestre y, entre ellas, la servidumbre de protección, basando su competencia en las facultades que la Constitución reconoce al Estado para establecer una legislación básica en materia de medio ambiente, </w:t>
      </w:r>
      <w:r w:rsidRPr="0085709A">
        <w:rPr>
          <w:i/>
        </w:rPr>
        <w:t>ex</w:t>
      </w:r>
      <w:r>
        <w:t xml:space="preserve"> art. 149.1.23 CE, en conexión con su competencia </w:t>
      </w:r>
      <w:r w:rsidRPr="0085709A">
        <w:rPr>
          <w:i/>
        </w:rPr>
        <w:t>ex</w:t>
      </w:r>
      <w:r>
        <w:t xml:space="preserve"> art. 149.1.1 CE para fijar en condiciones de igualdad el ejercicio del derecho de propiedad en todo el territorio, en la medida en que la servidumbre de protección supone una limitación del contenido de la propiedad privada colindante al dominio público marítimo terrestre en aras a garantizar su función social (art. 33 CE). Dicho esto, la doctrina de la STC 87/2012 determina que “las Comunidades Autónomas no pueden establecer disposición alguna al respecto, ni siquiera para reproducir con exactitud las previsiones estatales, operación que quedaría vedada por la doctrina sobre la </w:t>
      </w:r>
      <w:r w:rsidRPr="0085709A">
        <w:rPr>
          <w:i/>
        </w:rPr>
        <w:t>lex repetita</w:t>
      </w:r>
      <w:r>
        <w:t xml:space="preserve"> sistematizada por la STC 341/2005, de 21 de diciembre, FJ 9, y cuyo origen último está en la STC 10/1982, de 23 de marzo, FJ 8,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(STC 47/2004, de 25 de marzo, FJ 8)”. Y esta observación es particularmente relevante en el asunto que cumple resolver, porque va a evitar entrar a la consideración de cuan coincidente sea o no la legislación estatal actualmente vigente, con la legislación autonómica impugnada. Decíamos allí y repetimos en este momento que “la Comunidad Autónoma carece, simple y llanamente, de competencia para adoptar disposición alguna para determinar, ni siquiera por remisión mimética a la legislación estatal, limitaciones o servidumbres sobre los terrenos colindantes con el dominio público marítimo-terrestre dirigidas a su protección y conservación, lo que determina la inconstitucionalidad de la disposición sometida a cuestionamiento. No puede oponerse a esta conclusión, como pretenden la Xunta de Galicia y el Parlamento gallego, que el legislador gallego ha ejercido, al aprobar tal disposición, sus competencias en materia de ordenación del territorio y urbanismo, ya que, tal y como dejó sentado la reiteradamente citada STC 149/1991, estas competencias no pueden incidir en la fijación por el Estado de la servidumbre de protección de costas en ejercicio de competencias que sólo a él corresponden” (STC 87/2012, FJ 5).</w:t>
      </w:r>
    </w:p>
    <w:p w:rsidR="0085709A" w:rsidRDefault="0085709A" w:rsidP="0085709A">
      <w:pPr>
        <w:pStyle w:val="TextoNormal"/>
      </w:pPr>
    </w:p>
    <w:p w:rsidR="0085709A" w:rsidRDefault="0085709A" w:rsidP="0085709A">
      <w:pPr>
        <w:pStyle w:val="TextoNormal"/>
      </w:pPr>
      <w:r>
        <w:t>Por lo tanto, la aplicación de la doctrina expuesta a la solución del recurso de inconstitucionalidad en este punto, nos lleva a la estimación de los motivos esgrimidos por el recurrente, y ello sin entrar a valorar, porque no resulta necesario, el ajuste constitucional de la disposición transitoria primera de la Ley 2/2013. No teniendo la Comunidad Autónoma de Canarias competencia alguna que justifique la regulación de las limitaciones o servidumbres sobre los terrenos colindantes con el dominio público marítimo-terrestre dirigidas a su protección y conservación, poco importa que la regulación contenida en la Ley canaria impugnada sea o no coincidente en gran medida con la normativa estatal actualmente en vigor, y cuya constitucionalidad no se prejuzga. Sea como sea, la norma autonómica carece de la necesaria cobertura competencial que justifique su dictado, en la medida en que las competencias estatutarias en materia de ordenación del litoral no justifican la intervención autonómica en materia de regulación del dominio público marítimo terrestre, o de las servidumbres de protección adyacentes. Por lo expuesto procede declarar inconstitucional y nulo el precepto impugnado.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El art. 2 de la Ley 7/2009 establece, como se expone en los antecedentes y recordamos aquí que “la Administración urbanística actuante fijará el límite interior de la zona de servidumbre de protección del dominio público marítimo-terrestre y establecerá la ordenación de los terrenos comprendidos en la misma, teniendo en cuenta la línea de ribera del mar que a tal efecto le comunique la Administración del Estado, comunicación que irá acompañada del correspondiente proyecto técnico y expediente administrativo”.</w:t>
      </w:r>
    </w:p>
    <w:p w:rsidR="0085709A" w:rsidRDefault="0085709A" w:rsidP="0085709A">
      <w:pPr>
        <w:pStyle w:val="TextoNormal"/>
      </w:pPr>
    </w:p>
    <w:p w:rsidR="0085709A" w:rsidRDefault="0085709A" w:rsidP="0085709A">
      <w:pPr>
        <w:pStyle w:val="TextoNormal"/>
      </w:pPr>
      <w:r>
        <w:t>En este caso el recurso de inconstitucionalidad plantea el problema de cuál es la Administración competente para efectuar el deslinde de la zona de servidumbre de protección del dominio público marítimo-terrestre, no sólo en su límite exterior, que corresponde con la determinación de la línea interna de la ribera del mar o de las rías, sino en su límite interior, que corresponde con la determinación del alcance concreto de 20, 100 o 200 metros, de la servidumbre de protección. Entiende el recurrente que la competencia de deslinde es estatal, mientras que Gobierno y Parlamento autonómicos asumen que esa es una competencia de la administración urbanística (autonómica o local) puesto que la extensión de la zona de la servidumbre de protección, y por tanto la fijación definitiva del deslinde, depende de la calificación de los terrenos que en ella se ubican, y por tanto, de la actuación de la administración urbanística de quien depende tal calificación.</w:t>
      </w:r>
    </w:p>
    <w:p w:rsidR="0085709A" w:rsidRDefault="0085709A" w:rsidP="0085709A">
      <w:pPr>
        <w:pStyle w:val="TextoNormal"/>
      </w:pPr>
    </w:p>
    <w:p w:rsidR="0085709A" w:rsidRDefault="0085709A" w:rsidP="0085709A">
      <w:pPr>
        <w:pStyle w:val="TextoNormal"/>
      </w:pPr>
      <w:r>
        <w:t>Un problema muy similar resuelve la STC 137/2012, en relación con la disposición adicional segunda de la Ley del Parlamento de Galicia 18/2008, de 29 de diciembre, de vivienda, que establecía en su apartado 3: “En los deslindes del dominio público marítimo-terrestre el límite interior de su zona de servidumbre de protección habrá de ajustarse a la realidad urbanística preexistente reconocida expresamente por la administración urbanística autonómica”. En aquel caso no se atribuía la competencia de deslinde a la Administración urbanística sino que se limitaba a condicionar la definición del deslinde, sin establecer quien debía realizarlo, a la realidad urbanística predefinida por la Comunidad Autónoma. Allí, el Tribunal estimó el recurso de inconstitucionalidad planteado por el Presidente del Gobierno, afirmando que, tal y como teníamos previamente declarado en la STC 46/2007, de 1 de marzo, FJ 12, “el ejercicio de la competencia autonómica sobre ordenación del litoral no puede a su vez reducir el contenido de las facultades que corresponden al Estado en cuanto titular del dominio público marítimo-terrestre, entre las que se encuentra la definición de los criterios para determinar los bienes integrantes de dicho dominio público y la delimitación concreta de tales bienes, con el alcance determinado en la STC 149/1991, de 4 de julio, FJ 2 a)”. A este respecto, de los arts. 11 y 12 de la Ley de costas, y 18 y ss. de su Reglamento se desprende que el procedimiento de deslinde para la determinación del dominio público marítimo terrestre será aprobado por la Administración del Estado, mediante un procedimiento en el que se garantiza la previa audiencia de la Comunidad Autónoma, y que habrá de atenerse únicamente a las características de los bienes que lo integran.</w:t>
      </w:r>
    </w:p>
    <w:p w:rsidR="0085709A" w:rsidRDefault="0085709A" w:rsidP="0085709A">
      <w:pPr>
        <w:pStyle w:val="TextoNormal"/>
      </w:pPr>
    </w:p>
    <w:p w:rsidR="0085709A" w:rsidRDefault="0085709A" w:rsidP="0085709A">
      <w:pPr>
        <w:pStyle w:val="TextoNormal"/>
      </w:pPr>
      <w:r>
        <w:t xml:space="preserve">Es decir, tal y como se afirma en nuestra jurisprudencia previa, “le corresponde al Estado definir legislativamente el dominio público estatal y establecer el régimen jurídico de los bienes que lo integran, así como adoptar las medidas precisas para proteger la integridad del demanio, preservar sus características naturales y su libre utilización” (STC 46/2007, de 1 de marzo, FJ 12). Dentro de las facultades que se asocian a esa potestad, está la de realizar las operaciones de deslinde de la zona de servidumbre de protección, en la medida en que tales operaciones tienen por finalidad determinar qué bienes concretos, que territorios precisos, integran el dominio público marítimo terrestre y la correlativa y consecutiva zona de </w:t>
      </w:r>
      <w:r>
        <w:lastRenderedPageBreak/>
        <w:t>servidumbre de protección, cuya finalidad es preservar los bienes demaniales. No entraremos aquí a valorar el modo en que la Ley de costas, en su versión de 1988, o en la de 2013, define y configura las operaciones de deslinde. Basta con establecer que la operación de deslinde es una actividad vinculada estrecha e indefectiblemente a la definición de los elementos que integran el dominio público marítimo terrestre, competencia que nuestra jurisprudencia ya ha atribuido de forma incontrovertida al Estado, y que dentro de tal operación de deslinde está la demarcación de la zona de servidumbre de protección del dominio público marítimo-terrestre, tal y como recogen, siguiendo en ello la doctrina constitucional fijada, el art. 11 de la Ley 22/1988, de 28 de julio, de costas, en su versión actualmente vigente, y el art. 18 del Real Decreto 876/2014, de 10 de octubre, por el que se aprueba el Reglamento general de costas. Ello no supone dejar de reconocer la necesaria colaboración de la Administración urbanística en este ámbito. Resulta evidente que la específica extensión de la servidumbre de protección, y por tanto el trazado de la línea que marca la separación entre el territorio sujeto a esa servidumbre y la zona de influencia exige para su concreción de la actuación de la Administración urbanística, en la medida en que a esta última corresponde calificar el uso y destino de los terrenos, calificación que deberá ser tenida en cuenta, como determina la propia normativa básica, a la hora de realizar el deslinde. No obstante, ese ejercicio coordinado de las acciones concretas necesarias para establecer definitivamente el deslinde, no implica la traslación de la competencia de deslinde a la administración urbanística. Se trata aquí de que las competencias, locales o autonómicas, en materia urbanística se proyectarán de algún modo sobre la competencia estatal en materia de protección del medio ambiente, cuando en ejercicio de esta competencia se trate de efectuar las labores de deslinde, para definir, exactamente, hasta donde alcanza esa protección. Pero esa proyección de hecho, no supone una modificación de la distribución competencial a la que venimos haciendo referencia, y en relación con la cual nuestra jurisprudencia se ha pronunciado con claridad, lo que lleva a estimar el recurso planteado por el Presidente del Gobierno en relación con el art. 2 de la Ley canaria 7/2009.</w:t>
      </w:r>
    </w:p>
    <w:p w:rsidR="0085709A" w:rsidRDefault="0085709A" w:rsidP="0085709A">
      <w:pPr>
        <w:pStyle w:val="TextoNormal"/>
      </w:pPr>
    </w:p>
    <w:p w:rsidR="0085709A" w:rsidRDefault="0085709A" w:rsidP="0085709A">
      <w:pPr>
        <w:pStyle w:val="TextoNormal"/>
      </w:pPr>
      <w:r w:rsidRPr="0085709A">
        <w:rPr>
          <w:rStyle w:val="NumeroAFNegritaCaracter"/>
        </w:rPr>
        <w:t>7</w:t>
      </w:r>
      <w:r>
        <w:t>. El art. 3 de la Ley canaria 7/2009, establece, introduciendo en el Decreto Legislativo 1/2000, como ya se ha referido, una disposición adicional decimoquinta, lo siguiente:</w:t>
      </w:r>
    </w:p>
    <w:p w:rsidR="0085709A" w:rsidRDefault="0085709A" w:rsidP="0085709A">
      <w:pPr>
        <w:pStyle w:val="TextoNormal"/>
      </w:pPr>
    </w:p>
    <w:p w:rsidR="0085709A" w:rsidRDefault="0085709A" w:rsidP="0085709A">
      <w:pPr>
        <w:pStyle w:val="TextoNormal"/>
      </w:pPr>
      <w:r>
        <w:t>“1. La Consejería competente en materia de ordenación del territorio y urbanismo formulará un censo de edificaciones que, ubicadas en el demanio marítimo-terrestre y en sus zonas de servidumbre de tránsito y servidumbre de protección, tengan un valor etnográfico, arquitectónico o pintoresco, debiendo valorarse su antigüedad, integración en el litoral y finalidad social, al objeto de su consideración en el otorgamiento de concesiones y autorizaciones que puedan solicitar los titulares de las mismas al amparo de la disposición transitoria cuarta de la Ley de Costas.</w:t>
      </w:r>
    </w:p>
    <w:p w:rsidR="0085709A" w:rsidRDefault="0085709A" w:rsidP="0085709A">
      <w:pPr>
        <w:pStyle w:val="TextoNormal"/>
      </w:pPr>
    </w:p>
    <w:p w:rsidR="0085709A" w:rsidRDefault="0085709A" w:rsidP="0085709A">
      <w:pPr>
        <w:pStyle w:val="TextoNormal"/>
      </w:pPr>
      <w:r>
        <w:t>2. La inclusión en el censo requerirá el compromiso del titular de la edificación o, en su defecto, del Ayuntamiento respectivo, de instalación de los servicios urbanísticos básicos en el área en que se ubique la misma, especialmente del sistema de evacuación de aguas residuales que impida su vertido incontrolado al mar.</w:t>
      </w:r>
    </w:p>
    <w:p w:rsidR="0085709A" w:rsidRDefault="0085709A" w:rsidP="0085709A">
      <w:pPr>
        <w:pStyle w:val="TextoNormal"/>
      </w:pPr>
    </w:p>
    <w:p w:rsidR="0085709A" w:rsidRDefault="0085709A" w:rsidP="0085709A">
      <w:pPr>
        <w:pStyle w:val="TextoNormal"/>
      </w:pPr>
      <w:r>
        <w:t xml:space="preserve">3. El censo se aprobará mediante Decreto del Consejo de Gobierno, a propuesta de la Consejería competente en materia de ordenación del territorio y urbanismo y a iniciativa de </w:t>
      </w:r>
      <w:r>
        <w:lastRenderedPageBreak/>
        <w:t>los respectivos Ayuntamientos, que deberán remitir la relación de edificaciones, los compromisos a que se refiere el apartado anterior y el proyecto de urbanización primaria del área, en el plazo de un año a partir de la entrada en vigor de la presente norma.”</w:t>
      </w:r>
    </w:p>
    <w:p w:rsidR="0085709A" w:rsidRDefault="0085709A" w:rsidP="0085709A">
      <w:pPr>
        <w:pStyle w:val="TextoNormal"/>
      </w:pPr>
    </w:p>
    <w:p w:rsidR="0085709A" w:rsidRDefault="0085709A" w:rsidP="0085709A">
      <w:pPr>
        <w:pStyle w:val="TextoNormal"/>
      </w:pPr>
      <w:r>
        <w:t>Resulta posible predicar la constitucionalidad del apartado 1 del art. 3 de la Ley 7/2009, que se refiere estrictamente a la formación del censo de edificaciones siempre y cuando se entienda en el siguiente sentido: por un lado se ha de considerar que es competencia estatal la determinación del régimen transitorio de aplicación de la Ley de costas, lo que incluye la posibilidad de excluir un bien de la regla general de demolición de las obras e instalaciones preexistentes a la entrada en vigor de la Ley de costas cuando no se sujeten a sus dictados. La plena eficacia de la competencia estatal de protección del dominio público marítimo- terrestre y sus zonas de servidumbre pasa por asegurar que las construcciones que no cumplan los dictados de la Ley de costas puedan ser demolidos, salvo que existan razones de suficiente peso que justifiquen su mantenimiento, y que, en todo caso, cumplirá concretar al Estado, para asegurar el pleno ejercicio de sus competencias al respecto. Por otro lado hemos de admitir que la Comunidad Autónoma puede establecer el censo al que se refiere la norma impugnada, en ejercicio de sus propias competencias en materia de ordenación del territorio y urbanismo, con el objetivo de sistematizar y ordenar la información de la que posee en relación con las edificaciones ubicadas en el demanio que, por razones que son del interés de la Comunidad Autónoma, entiende que podrían ser incluidas entre las edificaciones protegibles en virtud de la aplicación régimen transitorio de la Ley de costas. Pero en cualquier caso, es preciso entender, como decíamos en el ATC 277/2009, que el censo autonómico al que se refiere el apartado 1 del art. 3 de la Ley canaria 7/2009, puede recoger edificaciones que se ajusten a criterios definidores de “razones de interés público” que justifiquen o faciliten al Estado razones para la legalización, sin que por ello se desplace la competencia decisoria a la hora de aplicar el régimen transitorio de la Ley de costas, correspondiendo al Estado, que seguirá o no los criterios facilitados por la Comunidad canaria y plasmados en el censo, determinar en el caso concreto las edificaciones que serán legalizadas a pesar de no responder a los criterios establecidos en la Ley de costas. En este orden de razonamiento, es posible entender que el instrumento censal que desarrolla la legislación canaria, actúa como mecanismo de colaboración entre administraciones, mecanismo previsto expresamente en la disposición transitoria decimotercera del Real Decreto 876/2014, de 10 de octubre, por el que se aprueba el Reglamento general de costas, y que determina que, para la legalización, las razones de interés público deberán ser apreciadas por acuerdo entre las tres Administraciones (estatal, autonómica y local), sin perjuicio de que sea el órgano competente para dictar la resolución quien recabe el informe de las otras Administraciones. Por tanto, la Administración autonómica canaria, cuando deba responder al informe solicitado por la Administración estatal a la hora de proceder a una determinada legalización, total o parcial, podrá acudir al contenido del censo previamente realizado para evacuar dicho informe, dando sentido, en ese momento, a la configuración del censo dentro del juego de distribución de competencias entre el Estado y la Comunidad Autónoma en este ámbito.</w:t>
      </w:r>
    </w:p>
    <w:p w:rsidR="0085709A" w:rsidRDefault="0085709A" w:rsidP="0085709A">
      <w:pPr>
        <w:pStyle w:val="TextoNormal"/>
      </w:pPr>
    </w:p>
    <w:p w:rsidR="0085709A" w:rsidRDefault="0085709A" w:rsidP="0085709A">
      <w:pPr>
        <w:pStyle w:val="TextoNormal"/>
      </w:pPr>
      <w:r>
        <w:t xml:space="preserve">Ahora bien, más allá de la elaboración del censo a efectos meramente informativos, la norma autonómica no puede asociar consecuencia alguna a la inclusión de una determinada obra o instalación en el censo, pues ello sería tanto como intervenir, de forma indirecta, en el régimen de protección del dominio público marítimo-terrestre y de sus servidumbres, </w:t>
      </w:r>
      <w:r>
        <w:lastRenderedPageBreak/>
        <w:t xml:space="preserve">régimen que corresponde, como venimos diciendo hasta el momento, en exclusiva, al Estado. En los apartados 2 y 3 del art. 3 impugnado, el legislador autonómico determina que la inclusión de una edificación en el censo implica el compromiso del titular de la edificación o del ayuntamiento correspondiente de instalar servicios urbanísticos básicos que sustenten la edificación en cuestión. Esa determinación se describe en términos tan categóricos que implica que el legislador autonómico asume que el desarrollo de ese soporte urbanístico, que viene a ser tanto como exigir la urbanización </w:t>
      </w:r>
      <w:r w:rsidRPr="0085709A">
        <w:rPr>
          <w:i/>
        </w:rPr>
        <w:t>de facto</w:t>
      </w:r>
      <w:r>
        <w:t xml:space="preserve"> de los terrenos colindantes a la construcción censada, se hará independientemente de que el Estado asuma o no la posición autonómica respecto del interés público de una determinada obra o instalación incluida en el censo, y por tanto sin tener en cuenta la competencia del Estado, que es plena, para determinar la aplicación de la disposición transitoria cuarta de la Ley de costas.</w:t>
      </w:r>
    </w:p>
    <w:p w:rsidR="0085709A" w:rsidRDefault="0085709A" w:rsidP="0085709A">
      <w:pPr>
        <w:pStyle w:val="TextoNormal"/>
      </w:pPr>
    </w:p>
    <w:p w:rsidR="0085709A" w:rsidRDefault="0085709A" w:rsidP="0085709A">
      <w:pPr>
        <w:pStyle w:val="TextoNormal"/>
      </w:pPr>
      <w:r>
        <w:t xml:space="preserve">De nuevo, y para evitar prejuzgar la constitucionalidad de la redacción actual de la disposición transitoria cuarta de la Ley de costas, no valoramos el ajuste o desajuste de la norma impugnada respecto de la normativa básica con la que no es en absoluto coincidente, ni en la versión vigente en el año 1988, ni en la vigente en la actualidad. Bastará con aplicar aquí la misma </w:t>
      </w:r>
      <w:r w:rsidRPr="0085709A">
        <w:rPr>
          <w:i/>
        </w:rPr>
        <w:t>ratio decidendi</w:t>
      </w:r>
      <w:r>
        <w:t xml:space="preserve"> que inspira la declaración de inconstitucionalidad del art. 1 de la Ley canaria 7/2009. Acudiendo a lo que establecimos en la STC 87/2012, la Comunidad Autónoma carece que de competencia para adoptar disposición alguna que determine limitaciones o servidumbres sobre los terrenos colindantes con el dominio público marítimo-terrestre dirigidas a su protección y conservación. Los apartados 2 y 3 del precepto impugnado pretenden a todas luces determinar y modular el alcance que la norma estatal otorga a las medidas de protección que se proyectan sobre el dominio público marítimo-terrestre y sobre sus terrenos colindantes, en este caso en lo relativo a la salvaguarda o condena de unas determinadas edificaciones, obras o construcciones ubicadas en aquellos espacios, lo que lleva a considerar la inconstitucionalidad de los apartados referidos.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parcialmente el presente recurso de inconstitucionalidad y, en consecuencia:</w:t>
      </w:r>
    </w:p>
    <w:p w:rsidR="0085709A" w:rsidRDefault="0085709A" w:rsidP="0085709A">
      <w:pPr>
        <w:pStyle w:val="TextoNormal"/>
      </w:pPr>
    </w:p>
    <w:p w:rsidR="0085709A" w:rsidRDefault="0085709A" w:rsidP="0085709A">
      <w:pPr>
        <w:pStyle w:val="TextoNormal"/>
      </w:pPr>
      <w:r>
        <w:t>1º Declarar inconstitucionales y nulos los artículos 1 y 2, y los apartados 2 y 3 del art. 3 de la Ley de la Comunidad Autónoma de Canarias 7/2009, de 6 de mayo, de modificación del texto refundido de las Leyes de ordenación del territorio de Canarias y de espacios naturales de Canarias sobre declaración y ordenación de áreas urbanas en el litoral canario.</w:t>
      </w:r>
    </w:p>
    <w:p w:rsidR="0085709A" w:rsidRDefault="0085709A" w:rsidP="0085709A">
      <w:pPr>
        <w:pStyle w:val="TextoNormal"/>
      </w:pPr>
    </w:p>
    <w:p w:rsidR="0085709A" w:rsidRDefault="0085709A" w:rsidP="0085709A">
      <w:pPr>
        <w:pStyle w:val="TextoNormal"/>
      </w:pPr>
      <w:r>
        <w:t>2º. Declarar que el apartado 1 del artículo 3 de la Ley de la Comunidad Autónoma de Canarias 7/2009, de 6 de mayo, no es inconstitucional interpretado en el sentido expresado en el fundamento jurídico sexto.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lastRenderedPageBreak/>
        <w:br w:type="page"/>
      </w:r>
    </w:p>
    <w:p w:rsidR="0085709A" w:rsidRDefault="0085709A" w:rsidP="0085709A">
      <w:pPr>
        <w:pStyle w:val="TtuloResolucin"/>
      </w:pPr>
      <w:bookmarkStart w:id="9" w:name="SENTENCIA_2015_6"/>
      <w:r>
        <w:lastRenderedPageBreak/>
        <w:t>SENTENCIA 6/2015, de 22 de enero de 2015</w:t>
      </w:r>
    </w:p>
    <w:bookmarkEnd w:id="9"/>
    <w:p w:rsidR="0085709A" w:rsidRDefault="0085709A" w:rsidP="0085709A">
      <w:pPr>
        <w:pStyle w:val="TtuloResolucin"/>
      </w:pPr>
      <w:r>
        <w:t>Pleno</w:t>
      </w:r>
    </w:p>
    <w:p w:rsidR="0085709A" w:rsidRDefault="0085709A" w:rsidP="0085709A">
      <w:pPr>
        <w:pStyle w:val="TtuloBOE"/>
      </w:pPr>
      <w:r>
        <w:t>(BOE núm. 47, de 24 de febrero de 2015)</w:t>
      </w:r>
    </w:p>
    <w:p w:rsidR="0085709A" w:rsidRDefault="0085709A" w:rsidP="0085709A">
      <w:pPr>
        <w:pStyle w:val="TextoNormalCentrado"/>
      </w:pPr>
      <w:r>
        <w:t>ECLI:ES:TC:2015:6</w:t>
      </w:r>
    </w:p>
    <w:p w:rsidR="0085709A" w:rsidRDefault="0085709A" w:rsidP="0085709A">
      <w:pPr>
        <w:pStyle w:val="TextoNormalCentrado"/>
      </w:pPr>
    </w:p>
    <w:p w:rsidR="0085709A" w:rsidRDefault="0085709A" w:rsidP="0085709A">
      <w:pPr>
        <w:pStyle w:val="SntesisDescriptiva"/>
      </w:pPr>
      <w:r>
        <w:t>Conflicto positivo de competencia 823-2011. Planteado por el Gobierno de la Nación respecto de la resolución de 30 de diciembre de 2010 por la que se hace público el acuerdo del Consejo de la Xunta de Galicia por el que se aprueba el catálogo priorizado de productos farmacéuticos de la Comunidad Autónoma de Galicia.</w:t>
      </w:r>
    </w:p>
    <w:p w:rsidR="0085709A" w:rsidRDefault="0085709A" w:rsidP="0085709A">
      <w:pPr>
        <w:pStyle w:val="SntesisDescriptiva"/>
      </w:pPr>
    </w:p>
    <w:p w:rsidR="0085709A" w:rsidRDefault="0085709A" w:rsidP="0085709A">
      <w:pPr>
        <w:pStyle w:val="SntesisAnaltica"/>
      </w:pPr>
      <w:r>
        <w:t>Conflicto positivo de competencia 823-2011. Competencias sobre sanidad, productos farmacéuticos y Seguridad Social: ejercicio acorde con el bloque de constitucionalidad de las competencias autonómicas (STC 211/2014). Voto particular.</w:t>
      </w:r>
    </w:p>
    <w:p w:rsidR="0085709A" w:rsidRDefault="0085709A" w:rsidP="0085709A">
      <w:pPr>
        <w:pStyle w:val="SntesisAnaltica"/>
      </w:pPr>
    </w:p>
    <w:p w:rsidR="0085709A" w:rsidRDefault="0085709A" w:rsidP="0085709A">
      <w:pPr>
        <w:pStyle w:val="Extracto"/>
      </w:pPr>
      <w:r>
        <w:t>1.</w:t>
      </w:r>
      <w:r>
        <w:tab/>
        <w:t>Las cuestiones suscitadas en el presente conflicto, en relación a la aprobación del catálogo priorizado de productos farmacéuticos de la Comunidad Autónoma de Galicia, ya han sido resueltas por la STC 211/2014 [FJ 2].</w:t>
      </w:r>
    </w:p>
    <w:p w:rsidR="0085709A" w:rsidRDefault="0085709A" w:rsidP="0085709A">
      <w:pPr>
        <w:pStyle w:val="Extracto"/>
      </w:pPr>
    </w:p>
    <w:p w:rsidR="0085709A" w:rsidRDefault="0085709A" w:rsidP="0085709A">
      <w:pPr>
        <w:pStyle w:val="Extracto"/>
      </w:pPr>
      <w:r>
        <w:t>2.</w:t>
      </w:r>
      <w:r>
        <w:tab/>
        <w:t>La creación de un catálogo de productos farmacéuticos priorizado no puede incardinarse en el título competencial relativo a la legislación sobre productos farmacéuticos, art. 149.1.16 CE, pues no tiene por objeto la ordenación de los medicamentos en cuanto ‘sustancias’ cuya fabricación y comercialización está sometida al control de los poderes públicos, en orden a garantizar los derechos de los pacientes y usuarios que los consumen (SSTC 98/2004, 211/2014) [FJ 2 a)].</w:t>
      </w:r>
    </w:p>
    <w:p w:rsidR="0085709A" w:rsidRDefault="0085709A" w:rsidP="0085709A">
      <w:pPr>
        <w:pStyle w:val="Extracto"/>
      </w:pPr>
    </w:p>
    <w:p w:rsidR="0085709A" w:rsidRDefault="0085709A" w:rsidP="0085709A">
      <w:pPr>
        <w:pStyle w:val="Extracto"/>
      </w:pPr>
      <w:r>
        <w:t>3.</w:t>
      </w:r>
      <w:r>
        <w:tab/>
        <w:t>La creación de un catálogo de productos farmacéuticos priorizado no puede encuadrarse dentro del título relativo al régimen económico de la Seguridad Social, art. 149.1.17 CE, pues la creación de aquel catálogo no se circunscribe a la asistencia sanitaria dispensada por el sistema de Seguridad Social sino que se extiende al contenido de una prestación sanitaria –el medicamento– proporcionada por el Sistema Nacional de Salud con carácter universalista a todos los ciudadanos y sin que se afecte de forma directa al régimen económico de la Seguridad Social (STC 211/2014) [FJ 2 a)].</w:t>
      </w:r>
    </w:p>
    <w:p w:rsidR="0085709A" w:rsidRDefault="0085709A" w:rsidP="0085709A">
      <w:pPr>
        <w:pStyle w:val="Extracto"/>
      </w:pPr>
    </w:p>
    <w:p w:rsidR="0085709A" w:rsidRDefault="0085709A" w:rsidP="0085709A">
      <w:pPr>
        <w:pStyle w:val="Extracto"/>
      </w:pPr>
      <w:r>
        <w:t>4.</w:t>
      </w:r>
      <w:r>
        <w:tab/>
        <w:t>No puede encuadrarse la creación de un catálogo de productos farmacéuticos priorizado en la competencia reconocida al Estado en el art. 149.1.1 CE pues, dada la función uniformadora que ha de cumplir la normativa básica, tal competencia queda absorbida por la que le corresponde al Estado en la regulación de las bases de la sanidad, que es más específica y puede dotarse también de un mayor contenido (STC 211/2014) [FJ 2 a)].</w:t>
      </w:r>
    </w:p>
    <w:p w:rsidR="0085709A" w:rsidRDefault="0085709A" w:rsidP="0085709A">
      <w:pPr>
        <w:pStyle w:val="Extracto"/>
      </w:pPr>
    </w:p>
    <w:p w:rsidR="0085709A" w:rsidRDefault="0085709A" w:rsidP="0085709A">
      <w:pPr>
        <w:pStyle w:val="Extracto"/>
      </w:pPr>
      <w:r>
        <w:t>5.</w:t>
      </w:r>
      <w:r>
        <w:tab/>
        <w:t>En tanto que la creación de un catálogo de productos farmacéuticos priorizado afecta a la prescripción y dispensación de medicamentos, es decir, al contenido de una de las prestaciones proporcionadas por el Sistema Nacional de Salud, la materia regulada es la sanidad, sobre la que el Estado tiene la competencia sobre las bases y la coordinación general, ex art. 149.1.16 CE [FJ 2 a)].</w:t>
      </w:r>
    </w:p>
    <w:p w:rsidR="0085709A" w:rsidRDefault="0085709A" w:rsidP="0085709A">
      <w:pPr>
        <w:pStyle w:val="Extracto"/>
      </w:pPr>
    </w:p>
    <w:p w:rsidR="0085709A" w:rsidRDefault="0085709A" w:rsidP="0085709A">
      <w:pPr>
        <w:pStyle w:val="Extracto"/>
      </w:pPr>
      <w:r>
        <w:lastRenderedPageBreak/>
        <w:t>6.</w:t>
      </w:r>
      <w:r>
        <w:tab/>
        <w:t>La financiación pública del medicamento constituye un aspecto esencial o nuclear de la regulación de la prestación farmacéutica, al ser un presupuesto necesario para el acceso de los ciudadanos a los medicamentos en condiciones de igualdad, a precio razonable y con un precio público ajustado, por lo que cabe concluir que los artículos 85 –régimen de la prescripción de medicamentos y productos sanitarios– y 88 –financiación pública de los medicamentos– de la Ley sobre garantías y uso racional de los medicamentos son preceptos básicos (STC 98/2004) [FJ 2 b)].</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conflicto positivo de competencia núm. 823-2011, interpuesto por el Presidente del Gobierno, representado por el Abogado del Estado, contra la resolución de 30 de diciembre de 2010 por la que se hace público el acuerdo del Consejo de la Xunta de Galicia por el que se aprueba el catálogo priorizado de productos farmacéuticos de la Comunidad Autónoma de Galicia, así como contra las restantes actuaciones determinantes de la aprobación del mismo y contra el propio catálogo. Han comparecido y formulado alegaciones el Consejo de la Xunta de Galicia y el Parlamento de Galicia.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11 de febrero de 2011, el Abogado del Estado, en nombre del Presidente del Gobierno, interpuso conflicto positivo de competencia contra la resolución de 30 de diciembre de 2010 por la que se hace público el acuerdo del Consejo de la Xunta de Galicia por el que se aprueba el catálogo priorizado de productos farmacéuticos de la Comunidad Autónoma de Galicia, así como contra las restantes actuaciones determinantes de la aprobación del mismo, tal como aparece recogida en la página web oficial del Servicio Gallego de Salud (http://www.sergas.es/ /farmacia/catalogo_priorizado_productos_farmaceuticos_Galicia.pdf.) y contra el propio catálogo.</w:t>
      </w:r>
    </w:p>
    <w:p w:rsidR="0085709A" w:rsidRDefault="0085709A" w:rsidP="0085709A">
      <w:pPr>
        <w:pStyle w:val="TextoNormal"/>
      </w:pPr>
    </w:p>
    <w:p w:rsidR="0085709A" w:rsidRDefault="0085709A" w:rsidP="0085709A">
      <w:pPr>
        <w:pStyle w:val="TextoNormal"/>
      </w:pPr>
      <w:r w:rsidRPr="0085709A">
        <w:rPr>
          <w:rStyle w:val="NumeroAFNegritaCaracter"/>
        </w:rPr>
        <w:t>2</w:t>
      </w:r>
      <w:r>
        <w:t>. Los motivos del recurso de inconstitucionalidad interpuesto por el Presidente del Gobierno son los que, sucintamente, se recogen a continuación:</w:t>
      </w:r>
    </w:p>
    <w:p w:rsidR="0085709A" w:rsidRDefault="0085709A" w:rsidP="0085709A">
      <w:pPr>
        <w:pStyle w:val="TextoNormal"/>
      </w:pPr>
    </w:p>
    <w:p w:rsidR="0085709A" w:rsidRDefault="0085709A" w:rsidP="0085709A">
      <w:pPr>
        <w:pStyle w:val="TextoNormal"/>
      </w:pPr>
      <w:r>
        <w:t>a) Comienza el escrito del Abogado del Estado recordando los antecedentes del conflicto. Con fecha de 28 de diciembre de 2010, el “Diario Oficial de Galicia”, publicó la Ley 12/2010, de 22 de diciembre, de la Comunidad Autónoma de Galicia sobre racionalización del gasto en la prestación farmacéutica. En desarrollo de la Ley se dictó la resolución de 30 de diciembre de 2010 por la que se hizo público el acuerdo del Consejo de la Xunta de Galicia aprobatorio del catálogo priorizado de productos farmacéuticos de la Comunidad Autónoma de Galicia. En la página web del Servicio Gallego de Salud (http://www.sergas.es/ /farmacia/catalogo_priorizado_productos_farmaceuticos_Galicia.pdf) apareció detallado el catalogo priorizado de productos farmacéuticos de Galicia.</w:t>
      </w:r>
    </w:p>
    <w:p w:rsidR="0085709A" w:rsidRDefault="0085709A" w:rsidP="0085709A">
      <w:pPr>
        <w:pStyle w:val="TextoNormal"/>
      </w:pPr>
    </w:p>
    <w:p w:rsidR="0085709A" w:rsidRDefault="0085709A" w:rsidP="0085709A">
      <w:pPr>
        <w:pStyle w:val="TextoNormal"/>
      </w:pPr>
      <w:r>
        <w:t>En este catálogo destaca el Abogado del Estado que se señalan determinadas prestaciones como no incluidas entre los productos farmacéuticos financiados por el Servicio Gallego de Salud, a pesar de sí estar comprendidas en el nomenclátor estatal.</w:t>
      </w:r>
    </w:p>
    <w:p w:rsidR="0085709A" w:rsidRDefault="0085709A" w:rsidP="0085709A">
      <w:pPr>
        <w:pStyle w:val="TextoNormal"/>
      </w:pPr>
    </w:p>
    <w:p w:rsidR="0085709A" w:rsidRDefault="0085709A" w:rsidP="0085709A">
      <w:pPr>
        <w:pStyle w:val="TextoNormal"/>
      </w:pPr>
      <w:r>
        <w:t>Señala, igualmente, el Abogado del Estado que, en su reunión de 4 de febrero de 2011, el Consejo de Ministros acordó plantear directamente conflicto positivo de competencia en relación con el mencionado acuerdo de 30 de diciembre de 2010, así como respecto de las restantes actuaciones determinantes de la aprobación del mismo y del propio catálogo publicado.</w:t>
      </w:r>
    </w:p>
    <w:p w:rsidR="0085709A" w:rsidRDefault="0085709A" w:rsidP="0085709A">
      <w:pPr>
        <w:pStyle w:val="TextoNormal"/>
      </w:pPr>
    </w:p>
    <w:p w:rsidR="0085709A" w:rsidRDefault="0085709A" w:rsidP="0085709A">
      <w:pPr>
        <w:pStyle w:val="TextoNormal"/>
      </w:pPr>
      <w:r>
        <w:t>Subraya el Abogado del Estado, que con la misma fecha del presente conflicto interpuso el Presidente del Gobierno recurso de inconstitucionalidad contra la Ley 12/2010, de 22 de diciembre, de la Comunidad Autónoma de Galicia sobre racionalización del gasto en la prestación farmacéutica, por lo que, dada la evidente conexión entre ambos procesos constitucionales, se señala que, en el presente conflicto, se emplean los mismos argumentos que sirven de base al citado recurso de inconstitucionalidad y se solicita, con expresa invocación del art. 161.2 CE, la suspensión de los actos autonómicos objeto de conflicto.</w:t>
      </w:r>
    </w:p>
    <w:p w:rsidR="0085709A" w:rsidRDefault="0085709A" w:rsidP="0085709A">
      <w:pPr>
        <w:pStyle w:val="TextoNormal"/>
      </w:pPr>
    </w:p>
    <w:p w:rsidR="0085709A" w:rsidRDefault="0085709A" w:rsidP="0085709A">
      <w:pPr>
        <w:pStyle w:val="TextoNormal"/>
      </w:pPr>
      <w:r>
        <w:t>b) Prosigue el escrito de interposición del conflicto recordando los títulos competenciales y la normativa estatal existente en materia de prestaciones farmacéuticas. Analiza, en primer lugar, la trascendencia que tiene para este proceso constitucional la competencia reconocida en el art. 149.1.1 CE, precepto que, a su juicio, faculta al Estado para la consecución de la igualdad efectiva en el ámbito prestacional sanitario.</w:t>
      </w:r>
    </w:p>
    <w:p w:rsidR="0085709A" w:rsidRDefault="0085709A" w:rsidP="0085709A">
      <w:pPr>
        <w:pStyle w:val="TextoNormal"/>
      </w:pPr>
    </w:p>
    <w:p w:rsidR="0085709A" w:rsidRDefault="0085709A" w:rsidP="0085709A">
      <w:pPr>
        <w:pStyle w:val="TextoNormal"/>
      </w:pPr>
      <w:r>
        <w:t>Tras recordar la doctrina constitucional sobre el art. 149.1.1 CE considera el Abogado del Estado que no hay duda respecto al alcance que hay que dar a los criterios de igualdad y equidad manejados por la Ley 14/1986, de 25 de abril, general de sanidad, y por la Ley 16/2003, de 28 de mayo, de cohesión y calidad del Sistema Nacional de Salud, como principios que, en el ámbito de las prestaciones sanitarias, obligan al Estado a garantizar un mínimo común denominador; un nivel mínimo de prestaciones suficiente para hacer efectivo el derecho a la salud de todos los ciudadanos.</w:t>
      </w:r>
    </w:p>
    <w:p w:rsidR="0085709A" w:rsidRDefault="0085709A" w:rsidP="0085709A">
      <w:pPr>
        <w:pStyle w:val="TextoNormal"/>
      </w:pPr>
    </w:p>
    <w:p w:rsidR="0085709A" w:rsidRDefault="0085709A" w:rsidP="0085709A">
      <w:pPr>
        <w:pStyle w:val="TextoNormal"/>
      </w:pPr>
      <w:r>
        <w:t>c) El Abogado del Estado analiza, en segundo lugar, la competencia estatal regulada en el art. 149.1.16 CE, centrándose en las competencias sobre “bases y coordinación general de la sanidad” y la de “legislación sobre productos farmacéuticos”.</w:t>
      </w:r>
    </w:p>
    <w:p w:rsidR="0085709A" w:rsidRDefault="0085709A" w:rsidP="0085709A">
      <w:pPr>
        <w:pStyle w:val="TextoNormal"/>
      </w:pPr>
    </w:p>
    <w:p w:rsidR="0085709A" w:rsidRDefault="0085709A" w:rsidP="0085709A">
      <w:pPr>
        <w:pStyle w:val="TextoNormal"/>
      </w:pPr>
      <w:r>
        <w:lastRenderedPageBreak/>
        <w:t>Indica que mientras que la regulación de cuestiones relativas a la estructura, organización y funcionamiento coherente del sistema sanitario se encuadra en el título competencial del art. 149.1.16 CE, el régimen jurídico de las prestaciones sanitarias se incardina de manera fundamental en lo que son “condiciones básicas de igualdad” en el ejercicio del derecho a la protección de la salud y, por tanto, además de en el número 16, también en el título competencial que prevé el número 1 del art. 149.1 CE, de modo que la regulación del catálogo de prestaciones sanitarias fija el contenido primario y común del derecho a la protección de la salud de todas las personas. Así, señala que el art. 7.1 Ley 16/2003 establece que el catálogo de prestaciones del Sistema Nacional de Salud tiene como objeto garantizar las condiciones básicas y comunes para una atención integral, continuada y en el nivel adecuado de atención, debiéndose considerar como prestaciones de atención sanitaria del Sistema Nacional de Salud los servicios o conjuntos de servicios preventivos, diagnósticos, terapéuticos, de rehabilitación y de promoción y mantenimiento de la salud dirigidos a los ciudadanos; finalmente, se indican las prestaciones que comprenderá el catálogo.</w:t>
      </w:r>
    </w:p>
    <w:p w:rsidR="0085709A" w:rsidRDefault="0085709A" w:rsidP="0085709A">
      <w:pPr>
        <w:pStyle w:val="TextoNormal"/>
      </w:pPr>
    </w:p>
    <w:p w:rsidR="0085709A" w:rsidRDefault="0085709A" w:rsidP="0085709A">
      <w:pPr>
        <w:pStyle w:val="TextoNormal"/>
      </w:pPr>
      <w:r>
        <w:t>Por su parte, en el Real Decreto 1030/2006, de 15 de septiembre, por el que se establece la cartera de servicios comunes del Sistema Nacional de Salud, se definen las prestaciones que el sistema sanitario público oferta en la actualidad a los ciudadanos y que se hacen efectivas mediante la cartera de servicios comunes a la que tendrán acceso los usuarios del Sistema Nacional de Salud en condiciones de igualdad efectiva, en tanto que dichos servicios tienen la consideración de básicos y comunes; a tal efecto, según afirma, han de entenderse por tales los necesarios para llevar a cabo una atención sanitaria adecuada, integral y continuada a todos los usuarios del Sistema Nacional de Salud.</w:t>
      </w:r>
    </w:p>
    <w:p w:rsidR="0085709A" w:rsidRDefault="0085709A" w:rsidP="0085709A">
      <w:pPr>
        <w:pStyle w:val="TextoNormal"/>
      </w:pPr>
    </w:p>
    <w:p w:rsidR="0085709A" w:rsidRDefault="0085709A" w:rsidP="0085709A">
      <w:pPr>
        <w:pStyle w:val="TextoNormal"/>
      </w:pPr>
      <w:r>
        <w:t>Así, señala que la Ley al fijar el catálogo de prestaciones sanitarias, con la colaboración del reglamento, fija el contenido primario y común del derecho a la protección de la salud de todas las personas. Mediante este catálogo de prestaciones se fijan las condiciones básicas y comunes para una atención integral, por lo que su contenido es indisponible por las Comunidades Autónomas. Estas podrán añadir nuevas prestaciones con cargo a sus presupuestos, pero no podrán excluir ninguna de las previstas en el catálogo general.</w:t>
      </w:r>
    </w:p>
    <w:p w:rsidR="0085709A" w:rsidRDefault="0085709A" w:rsidP="0085709A">
      <w:pPr>
        <w:pStyle w:val="TextoNormal"/>
      </w:pPr>
    </w:p>
    <w:p w:rsidR="0085709A" w:rsidRDefault="0085709A" w:rsidP="0085709A">
      <w:pPr>
        <w:pStyle w:val="TextoNormal"/>
      </w:pPr>
      <w:r>
        <w:t>Por lo que respecta a la competencia en materia de legislación sobre productos farmacéuticos, recuerda que le corresponde al Estado la competencia normativa única y exclusiva, esto es, dictar la legislación completa, no sólo las bases; en consecuencia, lo que las Comunidades Autónomas pueden asumir es únicamente la competencia ejecutiva. Tras exponer la doctrina sentada por la STC 152/2003 en cuanto a la delimitación entre los títulos competenciales “productos farmacéuticos” y “ordenación farmacéutica o de establecimientos farmacéuticos”, indica que la regulación relativa a la dispensación de medicamentos corresponde al Estado, en tanto forma parte del régimen de los productos farmacéuticos. Esta exclusiva competencia estatal se ejerce por la Dirección General de Farmacia y Productos Sanitarios, mediante la aprobación del nomenclátor oficial de productos farmacéuticos del Sistema Nacional de Salud. El nomenclátor, gestionado y actualizado mensualmente por la Dirección General de Farmacia y Productos Sanitarios, contiene la relación de todos los medicamentos y productos sanitarios incluidos en la financiación pública, con la identificación de cada producto, su precio, así como la información para su facturación. Los datos del nomenclátor, que son necesarios para la facturación de las recetas con cargo a fondos públicos, se envían tras su actualización mensual por la Dirección General de Farmacia y Pro</w:t>
      </w:r>
      <w:r>
        <w:lastRenderedPageBreak/>
        <w:t>ductos Sanitarios a todas las Comunidades Autónomas, así como a mutualidades de funcionarios y al Consejo General de Colegios Oficiales de Farmacéuticos quien a su vez lo remite a todos los colegios farmacéuticos de España.</w:t>
      </w:r>
    </w:p>
    <w:p w:rsidR="0085709A" w:rsidRDefault="0085709A" w:rsidP="0085709A">
      <w:pPr>
        <w:pStyle w:val="TextoNormal"/>
      </w:pPr>
    </w:p>
    <w:p w:rsidR="0085709A" w:rsidRDefault="0085709A" w:rsidP="0085709A">
      <w:pPr>
        <w:pStyle w:val="TextoNormal"/>
      </w:pPr>
      <w:r>
        <w:t>d) Expuestas las anteriores consideraciones en torno a ambas vertientes del título competencial del Estado sobre sanidad procede el Abogado del Estado a realizar las oportunas consideraciones sobre la virtualidad del art. 149.1.17 CE.</w:t>
      </w:r>
    </w:p>
    <w:p w:rsidR="0085709A" w:rsidRDefault="0085709A" w:rsidP="0085709A">
      <w:pPr>
        <w:pStyle w:val="TextoNormal"/>
      </w:pPr>
    </w:p>
    <w:p w:rsidR="0085709A" w:rsidRDefault="0085709A" w:rsidP="0085709A">
      <w:pPr>
        <w:pStyle w:val="TextoNormal"/>
      </w:pPr>
      <w:r>
        <w:t>Tras exponer la doctrina constitucional sobre la materia indica que el art. 33.2 del Estatuto de Galicia sólo puede entenderse en el sentido de que la Comunidad pueda asumir la gestión de aquellas actuaciones administrativas puramente instrumentales o accesorias al régimen económico de la Seguridad Social. Así, considera que es precisamente la competencia que recoge el art. 149.1.17 CE la que ampara el dictado por el Estado de, entre otros, los arts. 88 y 89 de la Ley 29/2006, de 26 de julio, sobre garantías y uso racional de los medicamentos y productos sanitarios. El art. 88 consagra en su apartado 1 el principio de igualdad territorial en la financiación pública de los medicamentos y productos sanitarios, reconociendo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Ahora bien, a juicio del Abogado del Estado, la posibilidad que ofrece este precepto a las Comunidades Autónomas en orden a adoptar las medidas que les permitan racionalizar la prescripción y la utilización de medicamentos no puede entenderse como legitimadora de la creación del catálogo priorizado gallego que supone una directa vulneración de la normativa estatal con quiebra de la cohesión del Sistema Nacional de Salud. Por otra parte, del tenor del art. 89 de la Ley 29/2006 resulta, a su juicio, que es al Ministerio de Sanidad, Política Social e Igualdad al que corresponde decidir si determinado medicamento se incluye o no en la prestación farmacéutica del Sistema Nacional de Salud y que, entre los criterios para la fijación del precio de los medicamentos, se incluye el de racionalización del gasto público destinado a prestación farmacéutica, lo que significa que el Ministerio habrá de valorarlo a la hora de incluir un medicamento en la financiación del Sistema Nacional de Salud. Igualmente, que para excluir o someter a especiales condiciones de financiación determinado medicamento se observará asimismo, entre otros, el criterio de racionalización del gasto público destinado a prestación farmacéutica y que la revisión periódica y la actualización de los medicamentos y productos sanitarios incluidos en la prestación farmacéutica del Sistema Nacional de Salud se atribuye al Gobierno, que además, para llevarlas a cabo, deberá valorar, entre otros criterios, el de racionalización del gasto público destinado a prestación farmacéutica.</w:t>
      </w:r>
    </w:p>
    <w:p w:rsidR="0085709A" w:rsidRDefault="0085709A" w:rsidP="0085709A">
      <w:pPr>
        <w:pStyle w:val="TextoNormal"/>
      </w:pPr>
    </w:p>
    <w:p w:rsidR="0085709A" w:rsidRDefault="0085709A" w:rsidP="0085709A">
      <w:pPr>
        <w:pStyle w:val="TextoNormal"/>
      </w:pPr>
      <w:r>
        <w:t xml:space="preserve">e) A continuación, atendiendo a la doctrina constitucional, el Abogado del Estado comprueba si por los preceptos básicos estatales de contraste se respeta efectivamente la doble dimensión, formal y material, consustanciales a la noción constitucional de bases. A su juicio, se dan los requisitos formales y materiales para confirmar que el régimen contenido en los preceptos legales que sirven de parámetro de constitucionalidad se configura como propio de las bases de la sanidad, según lo previsto en el art. 149.1.16 CE. Señala que los preceptos de la Ley 16/2003 y 29/2006 relativos a la ordenación de las prestaciones sanitarias cumplimentan, sin duda, la perspectiva formal que permite acreditar su carácter básico, al hallarse incluidos en norma de rango legal. Por su parte, los contenidos en el Real Decreto </w:t>
      </w:r>
      <w:r>
        <w:lastRenderedPageBreak/>
        <w:t>1030/2006 tampoco podrían tacharse de insuficiente rango pues recuerda que el Tribunal Constitucional ha admitido reiteradamente normas básicas aprobadas por reales decretos. De este modo, el Estado trata de garantizar, mediante el establecimiento de un mínimo común denominador recogido en la cartera de servicios general, la igualdad de todos los españoles en el ejercicio de su derecho a la protección de la salud. Insiste en que en la fijación por el Estado de una cartera de servicios comunes del Sistema Nacional de Salud concurre indudablemente la exigencia material de lo básico, constituyendo así un nivel mínimo homogéneo susceptible de ampliación comunitaria.</w:t>
      </w:r>
    </w:p>
    <w:p w:rsidR="0085709A" w:rsidRDefault="0085709A" w:rsidP="0085709A">
      <w:pPr>
        <w:pStyle w:val="TextoNormal"/>
      </w:pPr>
    </w:p>
    <w:p w:rsidR="0085709A" w:rsidRDefault="0085709A" w:rsidP="0085709A">
      <w:pPr>
        <w:pStyle w:val="TextoNormal"/>
      </w:pPr>
      <w:r>
        <w:t>f) Por lo que se refiere a las competencias de la Comunidad Autónoma de Galicia en materia de Sanidad (art. 33 del Estatuto de Autonomía de Galicia), recuerda el Abogado del Estado que las Comunidades Autónomas pueden fijar específicas carteras de servicios pero siempre que al hacerlo respeten lo establecido por el Estado en materia de productos farmacéuticos financiados, respeto que necesariamente se traduce en la íntegra asunción por tales entidades de la cartera de servicios común del Sistema Nacional de Salud. La cartera de servicios estatal sólo resulta susceptible de ampliación o mejora por parte de las Comunidades Autónomas, nunca de restricción. Así, dentro de la normativa mínima que las Comunidades Autónomas han de respetar en su integridad, señala el Abogado del Estado que se halla el sistema de precios de referencia establecido por el Estado al objeto de determinar el alcance de la financiación pública de los medicamentos y, por supuesto, el conjunto de medicamentos incluidos a través del nomenclátor en el Sistema Nacional de Salud.</w:t>
      </w:r>
    </w:p>
    <w:p w:rsidR="0085709A" w:rsidRDefault="0085709A" w:rsidP="0085709A">
      <w:pPr>
        <w:pStyle w:val="TextoNormal"/>
      </w:pPr>
    </w:p>
    <w:p w:rsidR="0085709A" w:rsidRDefault="0085709A" w:rsidP="0085709A">
      <w:pPr>
        <w:pStyle w:val="TextoNormal"/>
      </w:pPr>
      <w:r>
        <w:t>Añade que una Comunidad Autónoma, en materia de financiación de medicamentos, sólo puede mejorar lo regulado por el Estado. Este deber de respeto no pasa simplemente por la aceptación del mínimo que representa la relación de los productos incluidos por el Estado, excluyendo el resto, sino por asumir la totalidad del nomenclátor aprobado por el Estado, en los términos en que fue aprobado por el mismo. Una fragmentación del nomenclátor, en función de los diversos y heterogéneos criterios que se podrían adoptar por cada Comunidad Autónoma, alteraría sustancialmente la integridad del mismo y, por tanto, el reparto competencial vigente en la materia.</w:t>
      </w:r>
    </w:p>
    <w:p w:rsidR="0085709A" w:rsidRDefault="0085709A" w:rsidP="0085709A">
      <w:pPr>
        <w:pStyle w:val="TextoNormal"/>
      </w:pPr>
    </w:p>
    <w:p w:rsidR="0085709A" w:rsidRDefault="0085709A" w:rsidP="0085709A">
      <w:pPr>
        <w:pStyle w:val="TextoNormal"/>
      </w:pPr>
      <w:r>
        <w:t>g) Por lo que se refiere a los concretos actos autonómicos, destaca el escrito de interposición del conflicto que los mismos especifican determinados productos farmacéuticos del nomenclátor oficial financiados por el Sistema Nacional de Salud que, sin embargo, no van a ser financiados por el Servicio Gallego de Salud.</w:t>
      </w:r>
    </w:p>
    <w:p w:rsidR="0085709A" w:rsidRDefault="0085709A" w:rsidP="0085709A">
      <w:pPr>
        <w:pStyle w:val="TextoNormal"/>
      </w:pPr>
    </w:p>
    <w:p w:rsidR="0085709A" w:rsidRDefault="0085709A" w:rsidP="0085709A">
      <w:pPr>
        <w:pStyle w:val="TextoNormal"/>
      </w:pPr>
      <w:r>
        <w:t>De acuerdo con el escrito del Abogado del Estado los actos autonómicos impugnados adolecen de los vicios de inconstitucionalidad derivados de la vulneración de los títulos competenciales estatales señalados por incumplimiento de la normativa dictada por el Estado al amparo de los mismos.</w:t>
      </w:r>
    </w:p>
    <w:p w:rsidR="0085709A" w:rsidRDefault="0085709A" w:rsidP="0085709A">
      <w:pPr>
        <w:pStyle w:val="TextoNormal"/>
      </w:pPr>
    </w:p>
    <w:p w:rsidR="0085709A" w:rsidRDefault="0085709A" w:rsidP="0085709A">
      <w:pPr>
        <w:pStyle w:val="TextoNormal"/>
      </w:pPr>
      <w:r>
        <w:t xml:space="preserve">Señala el escrito de interposición que los objetivos que se persiguen con la Ley 12/2010 ya vienen recogidos en la Ley 29/2006, de 26 de julio, sobre garantías y uso racional de los medicamentos y productos sanitarios. Por tanto, para conseguir la racionalización del gasto, potenciar los medicamentos genéricos o incentivar la prescripción de principio activo y dispensación del medicamento de menor precio no se precisa una ley autonómica, pues aquellos son principios que ya se contemplan en la legislación estatal y que se vienen observando </w:t>
      </w:r>
      <w:r>
        <w:lastRenderedPageBreak/>
        <w:t>en su aplicación práctica. Insiste en que la Comunidad Autónoma de Galicia carece de competencia para llevar a cabo la financiación selectiva del nomenclátor oficial mediante la implantación de un catálogo priorizado de medicamentos. Explica que en el sistema previsto en la Ley 12/2010, la Comunidad Autónoma gallega sólo financiará, de entre todos los medicamentos que por decisión del Ministerio de Sanidad, Política Social e Igualdad deben financiarse con cargo a fondos públicos, aquellos que tengan menor precio y se incluyan en el catálogo priorizado, limitando de esta forma el alcance de una decisión estatal que queda restringida al conjunto de medicamentos más económicos seleccionados por la Comunidad Autónoma que los convierte en acreedores exclusivos de financiación con cargo a sus fondos públicos. Ello supone, a su juicio, una ruptura de la igualdad en el acceso a la prestación farmacéutica reconocida como mínima y común por la normativa estatal, pues los ciudadanos residentes en la Comunidad Autónoma de Galicia no podrán disponer de todos los medicamentos financiados por el Sistema Nacional de Salud, resultando de este modo discriminados respecto a los del resto de Comunidades Autónomas. Asimismo, indica que, en el nomenclátor, no figuran principios activos sino todos los medicamentos registrados como financiables por el Sistema Nacional de Salud y, por tanto, incluidos en la prestación farmacéutica. Con el catálogo priorizado, a su juicio, la Comunidad demandada parte de la premisa falsa de que dos medicamentos con el mismo principio activo son siempre intercambiables, cuando muchas veces no es así y cuando, en todo caso, habrá de ser el facultativo y no la Administración quien decida si un paciente mantiene el tratamiento o lo cambia.</w:t>
      </w:r>
    </w:p>
    <w:p w:rsidR="0085709A" w:rsidRDefault="0085709A" w:rsidP="0085709A">
      <w:pPr>
        <w:pStyle w:val="TextoNormal"/>
      </w:pPr>
    </w:p>
    <w:p w:rsidR="0085709A" w:rsidRDefault="0085709A" w:rsidP="0085709A">
      <w:pPr>
        <w:pStyle w:val="TextoNormal"/>
      </w:pPr>
      <w:r>
        <w:t>Además, considera que resulta igualmente comprometida la continuidad asistencial pues en Galicia no podrá garantizarse la continuidad de determinados tratamientos a pacientes que, proviniendo de otra Comunidad Autónoma, deban continuar su tratamiento en aquélla. Así, con la adopción del catálogo priorizado habrá pacientes que no puedan seguir su tratamiento actual, pues su medicamento quedará fuera del catálogo de financiados; a cambio, los pacientes recibirán un tratamiento alternativo que podría cambiar cada dos meses, período mínimo de vigencia del catálogo.</w:t>
      </w:r>
    </w:p>
    <w:p w:rsidR="0085709A" w:rsidRDefault="0085709A" w:rsidP="0085709A">
      <w:pPr>
        <w:pStyle w:val="TextoNormal"/>
      </w:pPr>
    </w:p>
    <w:p w:rsidR="0085709A" w:rsidRDefault="0085709A" w:rsidP="0085709A">
      <w:pPr>
        <w:pStyle w:val="TextoNormal"/>
      </w:pPr>
      <w:r>
        <w:t>Las condiciones de dispensación de los productos farmacéuticos variarán así en función del lugar del España en el que residan o se desplacen los usuarios del Sistema Nacional de Salud, lo que comporta una restricción en la capacidad de prescripción en esta Comunidad que se traduce en una vulneración de la libertad de prescripción de los médicos, en tanto que se verán obligados a priorizar los fármacos que habrán de decidir en los diagnósticos de los pacientes.</w:t>
      </w:r>
    </w:p>
    <w:p w:rsidR="0085709A" w:rsidRDefault="0085709A" w:rsidP="0085709A">
      <w:pPr>
        <w:pStyle w:val="TextoNormal"/>
      </w:pPr>
    </w:p>
    <w:p w:rsidR="0085709A" w:rsidRDefault="0085709A" w:rsidP="0085709A">
      <w:pPr>
        <w:pStyle w:val="TextoNormal"/>
      </w:pPr>
      <w:r>
        <w:t>Finalmente, afirma que los actos impugnados suponen también una ruptura de la configuración constitucional del régimen económico del Sistema Nacional de Salud. Con la normativa gallega se está produciendo una clara alteración de la fórmula de disposición de recursos del sistema sanitario que vulnera el régimen establecido que ha de mantener su carácter general para que cumpla su fin y los mandatos constitucionales sobre competencias. Si una vez determinada la cartera de servicios del Sistema Nacional de Salud únicamente al Estado corresponde establecer las formas de cobertura de esta prestación tanto en el régimen general de la Seguridad Social como en los diferentes regímenes especiales, la decisión autonómica de dejar al margen del sistema de financiación pública determinados medicamentos no incluyéndolos en el catálogo priorizado de productos farmacéuticos, supone una infracción de la normativa estatal.</w:t>
      </w:r>
    </w:p>
    <w:p w:rsidR="0085709A" w:rsidRDefault="0085709A" w:rsidP="0085709A">
      <w:pPr>
        <w:pStyle w:val="TextoNormal"/>
      </w:pPr>
    </w:p>
    <w:p w:rsidR="0085709A" w:rsidRDefault="0085709A" w:rsidP="0085709A">
      <w:pPr>
        <w:pStyle w:val="TextoNormal"/>
      </w:pPr>
      <w:r>
        <w:lastRenderedPageBreak/>
        <w:t>En definitiva, para el Abogado del Estado los actos autonómicos objeto de conflicto comprometen gravemente la cohesión del Sistema Nacional de Salud. No pueden admitirse iniciativas aisladas autonómicas que no hayan sido debatidas y aprobadas en el seno del consejo interterritorial del Sistema Nacional de Salud. Es más, a su juicio, si cada Comunidad Autónoma pudiera fijar su propio catálogo de medicamentos financiados con criterios específicos y diferenciados, no habría impedimento para extender esta práctica a cualquier otra prestación sanitaria.</w:t>
      </w:r>
    </w:p>
    <w:p w:rsidR="0085709A" w:rsidRDefault="0085709A" w:rsidP="0085709A">
      <w:pPr>
        <w:pStyle w:val="TextoNormal"/>
      </w:pPr>
    </w:p>
    <w:p w:rsidR="0085709A" w:rsidRDefault="0085709A" w:rsidP="0085709A">
      <w:pPr>
        <w:pStyle w:val="TextoNormal"/>
      </w:pPr>
      <w:r w:rsidRPr="0085709A">
        <w:rPr>
          <w:rStyle w:val="NumeroAFNegritaCaracter"/>
        </w:rPr>
        <w:t>3</w:t>
      </w:r>
      <w:r>
        <w:t>. El Pleno, a propuesta de la Sección Segunda, acordó, por providencia de 1 de marzo de 2011, admitir a trámite el conflicto positivo de competencia así como dar traslado de la demanda y de los documentos presentados a la Xunta de Galicia por conducto de su Presidente, al objeto de que en el plazo de veinte días aportara cuantos documentos y alegaciones considerase convenientes. Asimismo, se tuvo por invocado el art. 161.2 CE, lo que, a su tenor y conforme dispone el art. 64.2 de la Ley Orgánica del Tribunal Constitucional (LOTC), produce la suspensión de la vigencia y aplicación de los actos autonómicos impugnados desde la fecha de interposición del conflicto. Igualmente, se acordó comunicar la incoación del conflicto a la Sala de lo Contencioso-Administrativo del Tribunal Superior de Justicia de Galicia por si ante la misma estuviera impugnado o se impugnare el citado acuerdo, para que en tal caso se suspendiera el curso del proceso hasta la decisión del conflicto, según dispone el art. 61.2 LOTC. Por último, también se ordenó publicar la incoación del conflicto y de la suspensión acordada en el “Boletín Oficial del Estado” y en el “Diario Oficial de Galicia”.</w:t>
      </w:r>
    </w:p>
    <w:p w:rsidR="0085709A" w:rsidRDefault="0085709A" w:rsidP="0085709A">
      <w:pPr>
        <w:pStyle w:val="TextoNormal"/>
      </w:pPr>
    </w:p>
    <w:p w:rsidR="0085709A" w:rsidRDefault="0085709A" w:rsidP="0085709A">
      <w:pPr>
        <w:pStyle w:val="TextoNormal"/>
      </w:pPr>
      <w:r w:rsidRPr="0085709A">
        <w:rPr>
          <w:rStyle w:val="NumeroAFNegritaCaracter"/>
        </w:rPr>
        <w:t>4</w:t>
      </w:r>
      <w:r>
        <w:t>. El Letrado de la Xunta de Galicia se personó, mediante escrito de alegaciones registrado en el Tribunal el 1 de abril de 2011, interesando la desestimación del conflicto interpuesto por las razones que, resumidamente, se exponen a continuación:</w:t>
      </w:r>
    </w:p>
    <w:p w:rsidR="0085709A" w:rsidRDefault="0085709A" w:rsidP="0085709A">
      <w:pPr>
        <w:pStyle w:val="TextoNormal"/>
      </w:pPr>
    </w:p>
    <w:p w:rsidR="0085709A" w:rsidRDefault="0085709A" w:rsidP="0085709A">
      <w:pPr>
        <w:pStyle w:val="TextoNormal"/>
      </w:pPr>
      <w:r>
        <w:t>a) Comienza su escrito destacando que el acuerdo del Consejo de Gobierno de la Xunta impugnado nace como consecuencia de un mandato legal, el de la Ley 12/2010, de 22 de diciembre, sobre racionalización del gasto en la prestación farmacéutica; según refiere, dicha Ley no elimina medicamentos, ni altera ni los precios, ni los conjuntos de intercambio, ni los principios activos fijados por el Estado al efecto de la financiación pública, ni altera el nomenclátor estatal ni crea tampoco un nomenclátor gallego ajeno al mismo.</w:t>
      </w:r>
    </w:p>
    <w:p w:rsidR="0085709A" w:rsidRDefault="0085709A" w:rsidP="0085709A">
      <w:pPr>
        <w:pStyle w:val="TextoNormal"/>
      </w:pPr>
    </w:p>
    <w:p w:rsidR="0085709A" w:rsidRDefault="0085709A" w:rsidP="0085709A">
      <w:pPr>
        <w:pStyle w:val="TextoNormal"/>
      </w:pPr>
      <w:r>
        <w:t>Tras describir el contenido de los actos autonómicos impugnados, sostiene el escrito del Letrado de la Xunta de Galicia que la complejidad del nomenclátor estatal, su acceso y la mejor gestión de la información, hacen aconsejable diseñar un instrumento y documento donde se plasme, con permanente actualización, la información del nomenclátor estatal, que es el objetivo que cumple este catálogo priorizado autonómico.</w:t>
      </w:r>
    </w:p>
    <w:p w:rsidR="0085709A" w:rsidRDefault="0085709A" w:rsidP="0085709A">
      <w:pPr>
        <w:pStyle w:val="TextoNormal"/>
      </w:pPr>
    </w:p>
    <w:p w:rsidR="0085709A" w:rsidRDefault="0085709A" w:rsidP="0085709A">
      <w:pPr>
        <w:pStyle w:val="TextoNormal"/>
      </w:pPr>
      <w:r>
        <w:t xml:space="preserve">Procede, a continuación, el Letrado de la Xunta a destacar que la puesta en marcha de este catálogo no ha generado reacciones adversas del colectivo médico ni de la sociedad civil, lo que, a su juicio, no es un dato baladí, pues sería difícil de imaginar que, de haber sido gravosa la medida implantada para la salud de los ciudadanos o para los quehaceres profesionales del personal sanitario, sus agrupaciones no hubieran accionado judicialmente contra la misma, y no lo han hecho. Es más, indica que la Organización Médica Colegial ha informado que no hay afectación desde el punto de vista deontológico ni una vulneración </w:t>
      </w:r>
      <w:r>
        <w:lastRenderedPageBreak/>
        <w:t>de la libertad de prescripción del médico, como tampoco de un riesgo para la seguridad de los pacientes.</w:t>
      </w:r>
    </w:p>
    <w:p w:rsidR="0085709A" w:rsidRDefault="0085709A" w:rsidP="0085709A">
      <w:pPr>
        <w:pStyle w:val="TextoNormal"/>
      </w:pPr>
    </w:p>
    <w:p w:rsidR="0085709A" w:rsidRDefault="0085709A" w:rsidP="0085709A">
      <w:pPr>
        <w:pStyle w:val="TextoNormal"/>
      </w:pPr>
      <w:r>
        <w:t>Señala el Letrado de la Xunta de Galicia que no se está creando un nomenclátor gallego frente al estatal, sino que, partiendo del nomenclátor estatal, el legislador gallego establece la procedencia de que los médicos del Servicio Gallego de Salud prioricen los que, dentro de ese listado estatal y con pleno respeto a las agrupaciones de medicamentos en él contenidos, prescriban los de menos precio e igual eficacia terapéutica, sin perjuicio de que existen mecanismos para traspasar esa regla de priorización si fuera oportuno.</w:t>
      </w:r>
    </w:p>
    <w:p w:rsidR="0085709A" w:rsidRDefault="0085709A" w:rsidP="0085709A">
      <w:pPr>
        <w:pStyle w:val="TextoNormal"/>
      </w:pPr>
    </w:p>
    <w:p w:rsidR="0085709A" w:rsidRDefault="0085709A" w:rsidP="0085709A">
      <w:pPr>
        <w:pStyle w:val="TextoNormal"/>
      </w:pPr>
      <w:r>
        <w:t>b) Para el Letrado de la Xunta de Galicia el Estado parte de una configuración del catálogo priorizado que no se ajusta a la realidad, pues su posición se basa en que el mismo excluye de la financiación pública determinados medicamentos, cuando ni esto sucede ni se afecta al precio de los mismos ni a ninguna competencia del Estado, sino que parte de su respeto. Afirma que todos los medicamentos financiables en el Sistema Nacional de Salud pueden ser prescritos por un facultativo médico del Servicio Gallego de Salud y dispensados a los pacientes que los necesiten con cargo a los presupuestos de la Comunidad Autónoma de Galicia.</w:t>
      </w:r>
    </w:p>
    <w:p w:rsidR="0085709A" w:rsidRDefault="0085709A" w:rsidP="0085709A">
      <w:pPr>
        <w:pStyle w:val="TextoNormal"/>
      </w:pPr>
    </w:p>
    <w:p w:rsidR="0085709A" w:rsidRDefault="0085709A" w:rsidP="0085709A">
      <w:pPr>
        <w:pStyle w:val="TextoNormal"/>
      </w:pPr>
      <w:r>
        <w:t>Indica que lo que significa el catálogo priorizado de productos farmacéuticos de la Comunidad Autónoma de Galicia es que, sin excluir la financiación de ninguno de los medicamentos, se establece que, dentro de una serie de principios activos (en la actualidad 34, dentro de los más de 1.000 que tiene el nomenclátor), de modo prioritario, los médicos del Servicio Gallego de Salud procedan a recetar los que, siendo clínicamente de igual eficacia, sean de menor precio, pero estableciendo mecanismos para que, si a pesar de lo dicho, el médico del Servicio Gallego de Salud entiende que procede recetar uno de los medicamentos no priorizado, pueda hacerlo a través del protocolo previsto en el art. 4.3 de la Ley 12/2010. Es, por tanto y a su juicio, una medida de racionalización: a igual eficacia terapéutica y farmacológica, procede que el médico del Servicio Gallego de Salud recete el de menor precio, que fundamentalmente habrá de ser genérico.</w:t>
      </w:r>
    </w:p>
    <w:p w:rsidR="0085709A" w:rsidRDefault="0085709A" w:rsidP="0085709A">
      <w:pPr>
        <w:pStyle w:val="TextoNormal"/>
      </w:pPr>
    </w:p>
    <w:p w:rsidR="0085709A" w:rsidRDefault="0085709A" w:rsidP="0085709A">
      <w:pPr>
        <w:pStyle w:val="TextoNormal"/>
      </w:pPr>
      <w:r>
        <w:t>Recuerda el Letrado de la Xunta de Galicia que el nomenclátor oficial de productos farmacéuticos está organizado por principios activos y, dentro de ellos, por los llamados conjuntos de intercambio, en cuanto que cada una de las distintas presentaciones de los medicamentos tiene asignada en tal instrumento un determinado conjunto de intercambio. Los conjuntos de intercambio implican que los medicamentos incluidos en este conjunto son intercambiables entre sí. Así, recuerda que los medicamentos insertos en un conjunto de intercambio comparten el mismo principio activo, la misma dosis, la misma presentación e igual número de unidades por envase. De este modo, insiste en que, a partir de la misma categorización de medicamentos intercambiables que hace el Estado, el médico del Servicio Gallego de Salud debe elegir los de menos precio.</w:t>
      </w:r>
    </w:p>
    <w:p w:rsidR="0085709A" w:rsidRDefault="0085709A" w:rsidP="0085709A">
      <w:pPr>
        <w:pStyle w:val="TextoNormal"/>
      </w:pPr>
    </w:p>
    <w:p w:rsidR="0085709A" w:rsidRDefault="0085709A" w:rsidP="0085709A">
      <w:pPr>
        <w:pStyle w:val="TextoNormal"/>
      </w:pPr>
      <w:r>
        <w:t xml:space="preserve">c) Considera el Letrado de la Xunta de Galicia que el mecanismo previsto en el art. 4.3 de la Ley 12/2010 es, en primer lugar, una prueba directa inserta en el propio texto normativo de la Ley de que no se elimina de la financiación pública ninguno de los medicamentos sometidos a tal régimen. Si este artículo dispone el protocolo para prescribir medicamentos que no se ajustan a la regla de priorización, esto es, que no están en el instrumento donde se </w:t>
      </w:r>
      <w:r>
        <w:lastRenderedPageBreak/>
        <w:t>organiza esa regla, el catálogo priorizado significa que ese medicamento con precio no menor también puede ser prescrito por un médico del sistema sanitario público gallego y, a su vez, dispensado luego por la farmacia, con sometimiento al régimen de financiación pública. Si ante medicamentos perfectamente intercambiables entre sí, el médico del servicio público de salud opta por una especialidad farmacéutica más gravosa para el erario público y también para el ciudadano, no es que no pueda hacerlo, sino que, con esta Ley, lo puede hacer incluso en relación a los principios activos sometidos a racionalización, pero con una explicación por parte del facultativo.</w:t>
      </w:r>
    </w:p>
    <w:p w:rsidR="0085709A" w:rsidRDefault="0085709A" w:rsidP="0085709A">
      <w:pPr>
        <w:pStyle w:val="TextoNormal"/>
      </w:pPr>
    </w:p>
    <w:p w:rsidR="0085709A" w:rsidRDefault="0085709A" w:rsidP="0085709A">
      <w:pPr>
        <w:pStyle w:val="TextoNormal"/>
      </w:pPr>
      <w:r>
        <w:t>d) A continuación el Letrado de la Xunta de Galicia analiza las manifestaciones vertidas por la representación procesal del Estado.</w:t>
      </w:r>
    </w:p>
    <w:p w:rsidR="0085709A" w:rsidRDefault="0085709A" w:rsidP="0085709A">
      <w:pPr>
        <w:pStyle w:val="TextoNormal"/>
      </w:pPr>
    </w:p>
    <w:p w:rsidR="0085709A" w:rsidRDefault="0085709A" w:rsidP="0085709A">
      <w:pPr>
        <w:pStyle w:val="TextoNormal"/>
      </w:pPr>
      <w:r>
        <w:t>Considera que es muestra de la falta de concreción que se debe exigir a un accionante de un conflicto positivo de competencia el hecho de que el escrito rector nunca haga un análisis de los actos autonómicos impugnados, uno a uno, expresando qué partes de cada uno o porqué cada uno de ellos supone una confrontación insalvable con el bloque de constitucionalidad. A su juicio, gran parte del escrito rector es una disertación genérica sobre títulos competenciales, con escasas o nulas referencias al caso concreto que nos ocupa.</w:t>
      </w:r>
    </w:p>
    <w:p w:rsidR="0085709A" w:rsidRDefault="0085709A" w:rsidP="0085709A">
      <w:pPr>
        <w:pStyle w:val="TextoNormal"/>
      </w:pPr>
    </w:p>
    <w:p w:rsidR="0085709A" w:rsidRDefault="0085709A" w:rsidP="0085709A">
      <w:pPr>
        <w:pStyle w:val="TextoNormal"/>
      </w:pPr>
      <w:r>
        <w:t>Por lo que se refiere, en primer lugar, a los títulos competenciales citados, considera el Letrado de la Xunta de Galicia que el art. 149.1.1 CE no es invocable en este caso en el que no se elimina de la financiación pública ningún medicamento, sino que en determinados principios activos, se prioriza la prescripción de ciertos medicamentos de precio menor pero perfectamente intercambiables. Señala que es evidente que puede haber diferentes políticas autonómicas en materia de sanidad, pues para eso tienen esa competencia y responsabilidad, y de hecho, las hay. Además, indica que el propio art. 88 de la Ley 29/2006, de 26 de julio, así lo prevé cuando señala que “[s]e reconoce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w:t>
      </w:r>
    </w:p>
    <w:p w:rsidR="0085709A" w:rsidRDefault="0085709A" w:rsidP="0085709A">
      <w:pPr>
        <w:pStyle w:val="TextoNormal"/>
      </w:pPr>
    </w:p>
    <w:p w:rsidR="0085709A" w:rsidRDefault="0085709A" w:rsidP="0085709A">
      <w:pPr>
        <w:pStyle w:val="TextoNormal"/>
      </w:pPr>
      <w:r>
        <w:t>e) En segundo lugar, en relación con el art. 149.1.16 CE, señala que es la propia legislación estatal básica la que impone la necesidad de que se adopten políticas de racionalización del gasto farmacéutico, como así lo hace la Ley 29/2006, de 26 de julio, o el Real Decreto 1030/2006, de 15 de septiembre. En este sentido, indica que la facultad del Estado de dictar la normativa básica no puede impedir, ni que el legislador gallego dicte normas, ni en definitiva, que desarrolle políticas propias, máxime cuando esa normativa, gestión y políticas autonómicas van encaminadas a conseguir los objetivos que recoge e, incluso, impone la propia normativa estatal básica para con las Comunidades Autónomas.</w:t>
      </w:r>
    </w:p>
    <w:p w:rsidR="0085709A" w:rsidRDefault="0085709A" w:rsidP="0085709A">
      <w:pPr>
        <w:pStyle w:val="TextoNormal"/>
      </w:pPr>
    </w:p>
    <w:p w:rsidR="0085709A" w:rsidRDefault="0085709A" w:rsidP="0085709A">
      <w:pPr>
        <w:pStyle w:val="TextoNormal"/>
      </w:pPr>
      <w:r>
        <w:t xml:space="preserve">En cuanto a la referencia a las facultades estatales de coordinación en materia sanitaria, señala que la coordinación no puede ser la causa para justificar la enervación de políticas propias autonómicas. En este sentido, indica que el Consejo Interterritorial de Salud es un órgano de coordinación pero no un órgano que pueda imponer la uniformidad o laminar las posibilidades de las Comunidades Autónomas de generar políticas propias. Interpretar que sólo cabe implantar políticas autonómicas si se recibe el beneplácito de tal Consejo es, a su </w:t>
      </w:r>
      <w:r>
        <w:lastRenderedPageBreak/>
        <w:t>juicio, contrario a la Constitución, pues haríamos de la coordinación un elemento de vaciamiento de las legítimas facultades autonómicas que le han sido atribuidas por el bloque de constitucionalidad.</w:t>
      </w:r>
    </w:p>
    <w:p w:rsidR="0085709A" w:rsidRDefault="0085709A" w:rsidP="0085709A">
      <w:pPr>
        <w:pStyle w:val="TextoNormal"/>
      </w:pPr>
    </w:p>
    <w:p w:rsidR="0085709A" w:rsidRDefault="0085709A" w:rsidP="0085709A">
      <w:pPr>
        <w:pStyle w:val="TextoNormal"/>
      </w:pPr>
      <w:r>
        <w:t>Insiste en señalar que la Comunidad Autónoma de Galicia no está reduciendo los medicamentos sometidos a financiación pública por la exclusión de alguno de ellos de tal financiación, sino que estamos ante una política de racionalización, sin eliminación de ninguno.</w:t>
      </w:r>
    </w:p>
    <w:p w:rsidR="0085709A" w:rsidRDefault="0085709A" w:rsidP="0085709A">
      <w:pPr>
        <w:pStyle w:val="TextoNormal"/>
      </w:pPr>
    </w:p>
    <w:p w:rsidR="0085709A" w:rsidRDefault="0085709A" w:rsidP="0085709A">
      <w:pPr>
        <w:pStyle w:val="TextoNormal"/>
      </w:pPr>
      <w:r>
        <w:t>f) Por lo que se refiere al art. 149.1.16 CE, en cuanto a la competencia estatal respecto a la “legislación sobre productos farmacéuticos”, recuerda que la STC 98/2004, de 25 de mayo, rechaza categóricamente el título competencial relativo a la “legislación sobre productos farmacéuticos”, al no formar parte esta Ley gallega de la materia de ordenación de los medicamentos, esto es, al no formar parte del marco jurídico para la seguridad y calidad en la fabricación de los medicamentos comercializados para el consumo de los usuarios, en orden a garantizar los derechos de los pacientes. La ley gallega busca actuar en relación a la prescripción de medicamentos por parte de los profesionales sanitarios sometidos a su organización, los del Servicio Gallego de Salud, dándoles las pautas de racionalización correspondientes.</w:t>
      </w:r>
    </w:p>
    <w:p w:rsidR="0085709A" w:rsidRDefault="0085709A" w:rsidP="0085709A">
      <w:pPr>
        <w:pStyle w:val="TextoNormal"/>
      </w:pPr>
    </w:p>
    <w:p w:rsidR="0085709A" w:rsidRDefault="0085709A" w:rsidP="0085709A">
      <w:pPr>
        <w:pStyle w:val="TextoNormal"/>
      </w:pPr>
      <w:r>
        <w:t>Siguiendo lo dispuesto en la STC 152/2003, recuerda que el título competencial de legislación de productos farmacéuticos sólo permite su entrada en caso de que se esté ante la actividad productiva de medicamentos, o de reglas de dispensación que afecten a las garantías de salubridad del medicamento, lo que nunca sucedería en el caso gallego por ser especialidades farmacéuticas intercambiables.</w:t>
      </w:r>
    </w:p>
    <w:p w:rsidR="0085709A" w:rsidRDefault="0085709A" w:rsidP="0085709A">
      <w:pPr>
        <w:pStyle w:val="TextoNormal"/>
      </w:pPr>
    </w:p>
    <w:p w:rsidR="0085709A" w:rsidRDefault="0085709A" w:rsidP="0085709A">
      <w:pPr>
        <w:pStyle w:val="TextoNormal"/>
      </w:pPr>
      <w:r>
        <w:t>g) En relación con el apartado del escrito estatal donde trata de justificar la referencia al título sobre el régimen económico de la Seguridad Social, considera el Letrado de la Xunta de Galicia que adolece de abstracción en su discurso, debido a la inviabilidad del intento.</w:t>
      </w:r>
    </w:p>
    <w:p w:rsidR="0085709A" w:rsidRDefault="0085709A" w:rsidP="0085709A">
      <w:pPr>
        <w:pStyle w:val="TextoNormal"/>
      </w:pPr>
    </w:p>
    <w:p w:rsidR="0085709A" w:rsidRDefault="0085709A" w:rsidP="0085709A">
      <w:pPr>
        <w:pStyle w:val="TextoNormal"/>
      </w:pPr>
      <w:r>
        <w:t>Recuerda que, aunque es el Estado el que decide las especialidades farmacéuticas que se integran en la financiación pública, corresponde a la hacienda autonómica el pago de esa factura y, por tanto, es la que asume sus consecuencias económicas. Señala que si lo que se quiere expresar por la Abogacía del Estado es que todo el espacio para la racionalización del gasto lo ocupa o lo pueda ocupar el Estado, resulta inaceptable esta postura, ya sea porque sus competencias son sólo las básicas, o porque es la propia legislación básica la que llama a las Comunidades Autónomas a realizar estas políticas de racionalización en esta materia del gasto farmacéutico.</w:t>
      </w:r>
    </w:p>
    <w:p w:rsidR="0085709A" w:rsidRDefault="0085709A" w:rsidP="0085709A">
      <w:pPr>
        <w:pStyle w:val="TextoNormal"/>
      </w:pPr>
    </w:p>
    <w:p w:rsidR="0085709A" w:rsidRDefault="0085709A" w:rsidP="0085709A">
      <w:pPr>
        <w:pStyle w:val="TextoNormal"/>
      </w:pPr>
      <w:r>
        <w:t>Por último, en el segundo otrosí de su escrito interesa la apertura del incidente de levantamiento de la suspensión de la norma impugnada.</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12 de abril de 2011, el Pleno del Tribunal acordó oír a las partes personadas para que, en el plazo de cinco días, expusieran lo que consideraran conveniente acerca del mantenimiento o levantamiento de dicha suspensión.</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por escrito registrado en este Tribunal el día 19 de abril de 2011, solicitó el mantenimiento de la suspensión de los preceptos impugnados.</w:t>
      </w:r>
    </w:p>
    <w:p w:rsidR="0085709A" w:rsidRDefault="0085709A" w:rsidP="0085709A">
      <w:pPr>
        <w:pStyle w:val="TextoNormal"/>
      </w:pPr>
    </w:p>
    <w:p w:rsidR="0085709A" w:rsidRDefault="0085709A" w:rsidP="0085709A">
      <w:pPr>
        <w:pStyle w:val="TextoNormal"/>
      </w:pPr>
      <w:r>
        <w:lastRenderedPageBreak/>
        <w:t>Por su parte, el Letrado de la Xunta de Galicia solicitó el levantamiento de la suspensión por escrito registrado el 20 de abril de 2011.</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ATC 96/2011, de 21 de junio, el Pleno del Tribunal Constitucional acordó levantar la suspensión del acuerdo del Consejo de Gobierno de la Xunta de Galicia por el que se aprueba el catálogo priorizado de productos farmacéuticos de la Comunidad Autónoma de Galicia, hecho público por resolución de la Consejería de Sanidad de 30 de diciembre de 2010, así como de las actuaciones determinantes de la aprobación del mismo y del propio catálogo priorizado de productos farmacéuticos.</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20 de enero de 2015, se señaló para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proceso constitucional tiene por objeto resolver el conflicto positivo de competencias planteado por el Gobierno de la Nación contra el acuerdo del Consejo de Gobierno de la Xunta de Galicia por el que se aprueba el catálogo priorizado de productos farmacéuticos de la Comunidad Autónoma de Galicia, hecho público por resolución de la Consejería de Sanidad de 30 de diciembre de 2010, así como contra las actuaciones determinantes de la aprobación del mismo y del propio catálogo priorizado de productos farmacéuticos.</w:t>
      </w:r>
    </w:p>
    <w:p w:rsidR="0085709A" w:rsidRDefault="0085709A" w:rsidP="0085709A">
      <w:pPr>
        <w:pStyle w:val="TextoNormal"/>
      </w:pPr>
    </w:p>
    <w:p w:rsidR="0085709A" w:rsidRDefault="0085709A" w:rsidP="0085709A">
      <w:pPr>
        <w:pStyle w:val="TextoNormal"/>
      </w:pPr>
      <w:r>
        <w:t>La impugnación se fundamenta en la supuesta vulneración por parte de los mencionados actos autonómicos de las competencias del Estado sobre la regulación de las condiciones básicas que garanticen la igualdad de todos los españoles en el ejercicio de los derechos y el cumplimiento de los deberes constitucionales, sobre las bases y coordinación general de la sanidad y la legislación sobre productos farmacéuticos y sobre la legislación básica y régimen económico de la Seguridad Social (arts. 149.1.1, 149.1.16 y 149.1.17 CE). A juicio del Abogado del Estado la vulneración competencial que se denuncia deriva del incumplimiento de la normativa estatal reguladora de la cartera de servicios del Sistema Nacional de Salud, así como del establecimiento de criterios en materia de dispensación y prescripción de productos farmacéuticos que priorizan los de su catálogo y excluyen del mismo a medicamentos incluidos por el Estado en su nomenclátor a efectos de financiación pública por el Sistema Nacional de Salud.</w:t>
      </w:r>
    </w:p>
    <w:p w:rsidR="0085709A" w:rsidRDefault="0085709A" w:rsidP="0085709A">
      <w:pPr>
        <w:pStyle w:val="TextoNormal"/>
      </w:pPr>
    </w:p>
    <w:p w:rsidR="0085709A" w:rsidRDefault="0085709A" w:rsidP="0085709A">
      <w:pPr>
        <w:pStyle w:val="TextoNormal"/>
      </w:pPr>
      <w:r>
        <w:t>Por su parte, el Consejo de Gobierno de la Xunta de Galicia niega la inconstitucionalidad de los actos impugnados en tanto que, a su juicio, no excluyen de la financiación pública ninguno de los medicamentos recogidos en el Sistema Nacional de Salud.</w:t>
      </w:r>
    </w:p>
    <w:p w:rsidR="0085709A" w:rsidRDefault="0085709A" w:rsidP="0085709A">
      <w:pPr>
        <w:pStyle w:val="TextoNormal"/>
      </w:pPr>
    </w:p>
    <w:p w:rsidR="0085709A" w:rsidRDefault="0085709A" w:rsidP="0085709A">
      <w:pPr>
        <w:pStyle w:val="TextoNormal"/>
      </w:pPr>
      <w:r w:rsidRPr="0085709A">
        <w:rPr>
          <w:rStyle w:val="NumeroAFNegritaCaracter"/>
        </w:rPr>
        <w:t>2</w:t>
      </w:r>
      <w:r>
        <w:t>. Planteado el conflicto positivo de competencia en los términos expuestos, podemos concluir que las cuestiones suscitadas han sido ya resueltas por nuestra STC 211/2014, de 18 de diciembre, que resolvió el recurso de inconstitucionalidad núm. 822-2011, interpuesto por el Presidente del Gobierno contra diversos preceptos de la Ley 12/2010, de 22 de diciembre, de la Comunidad Autónoma de Galicia, sobre racionalización del gasto en la pres</w:t>
      </w:r>
      <w:r>
        <w:lastRenderedPageBreak/>
        <w:t>tación farmacéutica, alegando la vulneración de las competencias del Estado sobre la regulación de las condiciones básicas que garanticen la igualdad de todos los españoles en el ejercicio de los derechos y el cumplimiento de los deberes constitucionales, sobre las bases y coordinación general de la sanidad y la legislación sobre productos farmacéuticos y sobre la legislación básica y régimen económico de la Seguridad Social (arts. 149.1.1, 149.1.16 y 149.1.17 CE).</w:t>
      </w:r>
    </w:p>
    <w:p w:rsidR="0085709A" w:rsidRDefault="0085709A" w:rsidP="0085709A">
      <w:pPr>
        <w:pStyle w:val="TextoNormal"/>
      </w:pPr>
    </w:p>
    <w:p w:rsidR="0085709A" w:rsidRDefault="0085709A" w:rsidP="0085709A">
      <w:pPr>
        <w:pStyle w:val="TextoNormal"/>
      </w:pPr>
      <w:r>
        <w:t>Por esta razón, ha de darse aquí por reproducido el encuadramiento competencial recogido en los fundamentos jurídicos 3 y 4 de dicha resolución, pues el mismo es plenamente aplicable al enjuiciamiento de la controversia trabada ahora en torno a los actos y disposiciones que desarrollan y aplican la norma legal que fue entonces objeto de control. Lo establecido en aquella resolución anticipa, así, nuestra decisión en relación con los actos autonómicos que han sido impugnados en el presente conflicto de competencia por los mismos motivos que los preceptos legales entonces impugnados. Es por ello, por lo que, para resolver este conflicto, bastará con una remisión o una breve referencia a la fundamentación recogida en la STC 211/2014, de 18 de diciembre.</w:t>
      </w:r>
    </w:p>
    <w:p w:rsidR="0085709A" w:rsidRDefault="0085709A" w:rsidP="0085709A">
      <w:pPr>
        <w:pStyle w:val="TextoNormal"/>
      </w:pPr>
    </w:p>
    <w:p w:rsidR="0085709A" w:rsidRDefault="0085709A" w:rsidP="0085709A">
      <w:pPr>
        <w:pStyle w:val="TextoNormal"/>
      </w:pPr>
      <w:r>
        <w:t>a) Así, en la STC 211/2014, de 18 de diciembre, hemos rechazado que la creación de un catálogo de productos farmacéuticos priorizado pueda incardinarse en el título competencial relativo a la legislación sobre productos farmacéuticos (art. 149.1.16 CE), pues no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 Asimismo hemos rechazado que pueda encuadrarse dentro del título relativo al régimen económico de la Seguridad Social (art. 149.1.17 CE), pues la creación de aquel catalogo no se circunscribe a la asistencia sanitaria que es dispensada por el sistema de Seguridad Social a favor de los beneficiarios que se encuentren dentro de su campo de aplicación, sino, que se extiende al contenido de una prestación sanitaria (el medicamento) proporcionada por el Sistema Nacional de Salud con carácter universalista a todos los ciudadanos y sin que se afecte de forma directa al régimen económico de la Seguridad Social. Igualmente hemos rechazado la posibilidad de encuadrar la creación de un catálogo de productos farmacéuticos priorizado en la competencia reconocida al Estado en el art. 149.1.1 CE pues “dada la función uniformadora que ha de cumplir la normativa básica, ha de señalarse que tal competencia [la del art. 149.1.1 CE] queda absorbida por la que le corresponde al Estado en la regulación de las bases de la sanidad, que es más específica y puede dotarse también de un mayor contenido” [STC 211/2014, FFJJ 4 y 5].</w:t>
      </w:r>
    </w:p>
    <w:p w:rsidR="0085709A" w:rsidRDefault="0085709A" w:rsidP="0085709A">
      <w:pPr>
        <w:pStyle w:val="TextoNormal"/>
      </w:pPr>
    </w:p>
    <w:p w:rsidR="0085709A" w:rsidRDefault="0085709A" w:rsidP="0085709A">
      <w:pPr>
        <w:pStyle w:val="TextoNormal"/>
      </w:pPr>
      <w:r>
        <w:t>Por tanto, en aquella ocasión consideramos que, en tanto que la creación de un catálogo de productos farmacéuticos priorizado afecta a la prescripción y dispensación de medicamentos, es decir, al contenido de una de las prestaciones (los medicamentos) proporcionadas por el Sistema Nacional de Salud, la materia regulada es la sanidad, sobre la que el Estado tiene la competencia sobre las bases y la coordinación general (art. 149.1.16 CE).</w:t>
      </w:r>
    </w:p>
    <w:p w:rsidR="0085709A" w:rsidRDefault="0085709A" w:rsidP="0085709A">
      <w:pPr>
        <w:pStyle w:val="TextoNormal"/>
      </w:pPr>
    </w:p>
    <w:p w:rsidR="0085709A" w:rsidRDefault="0085709A" w:rsidP="0085709A">
      <w:pPr>
        <w:pStyle w:val="TextoNormal"/>
      </w:pPr>
      <w:r>
        <w:t xml:space="preserve">b) Una vez realizado el encuadre competencial referido, lo que se plantea, también en el presente conflicto, es un problema de inconstitucionalidad mediata por la posible contradicción entre los actos y disposiciones autonómicas adoptados para la creación de un catálogo </w:t>
      </w:r>
      <w:r>
        <w:lastRenderedPageBreak/>
        <w:t>de productos farmacéuticos priorizado y las normas estatales que regulan los diversos aspectos de la prestación farmacéutica del Sistema Nacional de Salud.</w:t>
      </w:r>
    </w:p>
    <w:p w:rsidR="0085709A" w:rsidRDefault="0085709A" w:rsidP="0085709A">
      <w:pPr>
        <w:pStyle w:val="TextoNormal"/>
      </w:pPr>
    </w:p>
    <w:p w:rsidR="0085709A" w:rsidRDefault="0085709A" w:rsidP="0085709A">
      <w:pPr>
        <w:pStyle w:val="TextoNormal"/>
      </w:pPr>
      <w:r>
        <w:t>De acuerdo con lo establecido en la STC 211/2014, el encuadramiento de la controversia en la materia sanidad determina que los actos autonómicos impugnados hayan de someterse al contraste con los artículos 85 y 88 de la Ley 29/2006, de 26 de julio, sobre garantías y uso racional de los medicamentos, preceptos que, ya en nuestra resolución precedente, consideramos que se erigían en el parámetro de control.</w:t>
      </w:r>
    </w:p>
    <w:p w:rsidR="0085709A" w:rsidRDefault="0085709A" w:rsidP="0085709A">
      <w:pPr>
        <w:pStyle w:val="TextoNormal"/>
      </w:pPr>
    </w:p>
    <w:p w:rsidR="0085709A" w:rsidRDefault="0085709A" w:rsidP="0085709A">
      <w:pPr>
        <w:pStyle w:val="TextoNormal"/>
      </w:pPr>
      <w:r>
        <w:t>Así, sobre el concreto alcance de las bases de la sanidad, nos pronunciamos en la STC 98/2004, de 25 de mayo, en la que afirmamos que la financiación pública del medicamento, constituye “un aspecto esencial o nuclear de la regulación de la prestación farmacéutica, al ser un presupuesto necesario para el acceso de los ciudadanos a los medicamentos en condiciones de igualdad, a precio razonable y con un precio público ajustado”, quedando garantizada “una uniformidad mínima en las condiciones de acceso a los medicamentos con independencia del lugar en el que dentro del territorio nacional se resida y se evita la introducción de factores de desigualdad en la protección básica de la salud” (FJ 7).</w:t>
      </w:r>
    </w:p>
    <w:p w:rsidR="0085709A" w:rsidRDefault="0085709A" w:rsidP="0085709A">
      <w:pPr>
        <w:pStyle w:val="TextoNormal"/>
      </w:pPr>
    </w:p>
    <w:p w:rsidR="0085709A" w:rsidRDefault="0085709A" w:rsidP="0085709A">
      <w:pPr>
        <w:pStyle w:val="TextoNormal"/>
      </w:pPr>
      <w:r>
        <w:t>Pues bien, en aplicación de la doctrina recogida, cabe concluir que los artículos 85, que establece el régimen de la prescripción de medicamentos y productos sanitarios, y 88 que, en el título relativo a la financiación pública de los medicamentos, regula el principio de igualdad territorial y procedimiento coordinado, son preceptos básicos.</w:t>
      </w:r>
    </w:p>
    <w:p w:rsidR="0085709A" w:rsidRDefault="0085709A" w:rsidP="0085709A">
      <w:pPr>
        <w:pStyle w:val="TextoNormal"/>
      </w:pPr>
    </w:p>
    <w:p w:rsidR="0085709A" w:rsidRDefault="0085709A" w:rsidP="0085709A">
      <w:pPr>
        <w:pStyle w:val="TextoNormal"/>
      </w:pPr>
      <w:r>
        <w:t>Establecido lo anterior, debemos señalar, tal como afirmamos en la STC 211/2014, de 18 de diciembre, FJ 6, que “el art. 88.1 de la Ley 29/2006 autoriza a las Comunidades Autónomas la asunción de competencias en materia de racionalización del gasto farmacéutico, de tal modo que, no estando discutidas las competencias de la Comunidad Autónoma de Galicia en materia de sanidad, la cuestión se reduce a valorar si en su ejercicio ha desbordado los límites que impone el citado precepto de la ley estatal, que, en cuanto aquí importa, se concretan en que la aprobación del catálogo discutido no produzca diferencias en las condiciones de acceso a los medicamentos y productos sanitarios financiados por el Sistema Nacional de Salud, catálogo de prestaciones y precios”. Puesto que en la actualidad, sea porque se decida en el acto de prescripción (bajo el modelo autonómico) o en el de dispensación (bajo el modelo estatal), el destinatario de la prestación acaba recibiendo el mismo medicamento, el sistema autonómico no contradice el referido art. 88.1, que recoge las bases del Estado, y que establece como límite a las medidas autonómicas tendentes a racionalizar la prescripción y utilización de medicamentos que no produzcan diferencias en las condiciones de acceso a los medicamentos financiados por el Sistema Nacional de Salud.</w:t>
      </w:r>
    </w:p>
    <w:p w:rsidR="0085709A" w:rsidRDefault="0085709A" w:rsidP="0085709A">
      <w:pPr>
        <w:pStyle w:val="TextoNormal"/>
      </w:pPr>
    </w:p>
    <w:p w:rsidR="0085709A" w:rsidRDefault="0085709A" w:rsidP="0085709A">
      <w:pPr>
        <w:pStyle w:val="TextoNormal"/>
      </w:pPr>
      <w:r>
        <w:t>Por ello, consideramos entonces que “la creación de un Catálogo priorizado de productos farmacéuticos en la Comunidad Autónoma de Galicia no vulnera el art. 149.1.16 CE en la medida en que dicho Catálogo no contraviene el procedimiento de prescripción y dispensación de estos productos contenido en la Ley 29/2006, de 26 de julio, de garantías y uso racional de los medicamentos y productos sanitarios” (STC 211/2014, FJ 6).</w:t>
      </w:r>
    </w:p>
    <w:p w:rsidR="0085709A" w:rsidRDefault="0085709A" w:rsidP="0085709A">
      <w:pPr>
        <w:pStyle w:val="TextoNormal"/>
      </w:pPr>
    </w:p>
    <w:p w:rsidR="0085709A" w:rsidRDefault="0085709A" w:rsidP="0085709A">
      <w:pPr>
        <w:pStyle w:val="TextoNormal"/>
      </w:pPr>
      <w:r>
        <w:t xml:space="preserve">Por lo expuesto, no es posible apreciar en los actos autonómicos impugnados en el presente conflicto —el acuerdo del Consejo de Gobierno de la Xunta de Galicia por el que se aprueba el catálogo priorizado de productos farmacéuticos de la Comunidad Autónoma de </w:t>
      </w:r>
      <w:r>
        <w:lastRenderedPageBreak/>
        <w:t>Galicia, hecho público por resolución de la Consejería de Sanidad, de 30 de diciembre de 2010, las actuaciones determinantes de la aprobación del mismo y el propio catálogo priorizado de productos farmacéuticos—, aprobados en desarrollo y aplicación de lo establecido en la Ley 12/2010, de 22 de diciembre, de la Comunidad Autónoma de Galicia, sobre racionalización del gasto en la prestación farmacéutica, ninguna extralimitación competencial, al resultar aplicable lo que determinamos en la STC 211/2014.</w:t>
      </w:r>
    </w:p>
    <w:p w:rsidR="0085709A" w:rsidRDefault="0085709A" w:rsidP="0085709A">
      <w:pPr>
        <w:pStyle w:val="TextoNormal"/>
      </w:pPr>
    </w:p>
    <w:p w:rsidR="0085709A" w:rsidRDefault="0085709A" w:rsidP="0085709A">
      <w:pPr>
        <w:pStyle w:val="TextoNormal"/>
      </w:pPr>
      <w:r>
        <w:t>Alcanzada esta conclusión, procede desestimar el conflicto positivo de competencia núm. 823-2011 interpuesto por el Presidente del Gobierno.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conflicto positivo de competencia núm. 823-2011 interpuesto por el Presidente del Gobierno.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enero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Luis Ignacio Ortega Álvarez a la Sentencia dictada en el conflicto positivo de competencia núm. 823-2011.</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absoluto respeto a la opinión expresada por la mayoría del Pleno, formulo el presente Voto particular por los mismos motivos que me llevaron a discrepar de la STC 211/2014, de 18 de diciembre, recaída en el recurso de inconstitucionalidad interpuesto por el Presidente del Gobierno contra los arts. 1 a 4 y las disposiciones adicionales primera y segunda de la Ley 12/2010, de 22 de diciembre, de la Comunidad Autónoma de Galicia, sobre racionalización del gasto en la prestación farmacéutica.</w:t>
      </w:r>
    </w:p>
    <w:p w:rsidR="0085709A" w:rsidRDefault="0085709A" w:rsidP="0085709A">
      <w:pPr>
        <w:pStyle w:val="TextoNormal"/>
      </w:pPr>
    </w:p>
    <w:p w:rsidR="0085709A" w:rsidRDefault="0085709A" w:rsidP="0085709A">
      <w:pPr>
        <w:pStyle w:val="TextoNormal"/>
      </w:pPr>
      <w:r>
        <w:t>Puesto que la Sentencia ahora aprobada es aplicación de la doctrina de aquella, mi discrepancia se explica con la remisión al Voto particular entonces formulado, el cual, a fin de evitar repeticiones innecesarias, doy aquí por reproducido.</w:t>
      </w:r>
    </w:p>
    <w:p w:rsidR="0085709A" w:rsidRDefault="0085709A" w:rsidP="0085709A">
      <w:pPr>
        <w:pStyle w:val="TextoNormal"/>
      </w:pPr>
    </w:p>
    <w:p w:rsidR="0085709A" w:rsidRDefault="0085709A" w:rsidP="0085709A">
      <w:pPr>
        <w:pStyle w:val="TextoNormal"/>
      </w:pPr>
      <w:r>
        <w:t>Y en este sentido emito mi Voto particular.</w:t>
      </w:r>
    </w:p>
    <w:p w:rsidR="0085709A" w:rsidRDefault="0085709A" w:rsidP="0085709A">
      <w:pPr>
        <w:pStyle w:val="TextoNormal"/>
      </w:pPr>
    </w:p>
    <w:p w:rsidR="0085709A" w:rsidRDefault="0085709A" w:rsidP="0085709A">
      <w:pPr>
        <w:pStyle w:val="TextoNormal"/>
      </w:pPr>
      <w:r>
        <w:t>Madrid, a veintidós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 w:name="SENTENCIA_2015_7"/>
      <w:r>
        <w:lastRenderedPageBreak/>
        <w:t>SENTENCIA 7/2015, 22 de enero de 2015</w:t>
      </w:r>
    </w:p>
    <w:bookmarkEnd w:id="10"/>
    <w:p w:rsidR="0085709A" w:rsidRDefault="0085709A" w:rsidP="0085709A">
      <w:pPr>
        <w:pStyle w:val="TtuloResolucin"/>
      </w:pPr>
      <w:r>
        <w:t>Pleno</w:t>
      </w:r>
    </w:p>
    <w:p w:rsidR="0085709A" w:rsidRDefault="0085709A" w:rsidP="0085709A">
      <w:pPr>
        <w:pStyle w:val="TtuloBOE"/>
      </w:pPr>
      <w:r>
        <w:t>(BOE núm. 47, de 24 de febrero de 2015)</w:t>
      </w:r>
    </w:p>
    <w:p w:rsidR="0085709A" w:rsidRDefault="0085709A" w:rsidP="0085709A">
      <w:pPr>
        <w:pStyle w:val="TextoNormalCentrado"/>
      </w:pPr>
      <w:r>
        <w:t>ECLI:ES:TC:2015:7</w:t>
      </w:r>
    </w:p>
    <w:p w:rsidR="0085709A" w:rsidRDefault="0085709A" w:rsidP="0085709A">
      <w:pPr>
        <w:pStyle w:val="TextoNormalCentrado"/>
      </w:pPr>
    </w:p>
    <w:p w:rsidR="0085709A" w:rsidRDefault="0085709A" w:rsidP="0085709A">
      <w:pPr>
        <w:pStyle w:val="SntesisDescriptiva"/>
      </w:pPr>
      <w:r>
        <w:t>Recurso de amparo 2399-2012. Promovido por Compañía de Distribución Integral Logista, S.A., en relación con el Auto de la Sala de lo Contencioso-Administrativo del Tribunal Supremo que tuvo por no preparado su recurso de casación contra Sentencia de la Audiencia Nacional parcialmente estimatoria de su impugnación sobre liquidación de los impuestos sobre las labores del tabaco y sobre el valor añadido asimilado a la importación.</w:t>
      </w:r>
    </w:p>
    <w:p w:rsidR="0085709A" w:rsidRDefault="0085709A" w:rsidP="0085709A">
      <w:pPr>
        <w:pStyle w:val="SntesisDescriptiva"/>
      </w:pPr>
    </w:p>
    <w:p w:rsidR="0085709A" w:rsidRDefault="0085709A" w:rsidP="0085709A">
      <w:pPr>
        <w:pStyle w:val="SntesisAnaltica"/>
      </w:pPr>
      <w:r>
        <w:t>Vulneración del derecho a la tutela judicial efectiva (acceso al recurso): inadmisión de recurso de casación acordada sin atribuir ninguna virtualidad a un escrito de la parte recurrente en el que trata de reparar la ausencia de cita en el escrito de preparación de las concretas infracciones normativas o jurisprudenciales que considera infringidas. Voto particular.</w:t>
      </w:r>
    </w:p>
    <w:p w:rsidR="0085709A" w:rsidRDefault="0085709A" w:rsidP="0085709A">
      <w:pPr>
        <w:pStyle w:val="SntesisAnaltica"/>
      </w:pPr>
    </w:p>
    <w:p w:rsidR="0085709A" w:rsidRDefault="0085709A" w:rsidP="0085709A">
      <w:pPr>
        <w:pStyle w:val="Extracto"/>
      </w:pPr>
      <w:r>
        <w:t>1.</w:t>
      </w:r>
      <w:r>
        <w:tab/>
        <w:t>La inadmisión del recurso de casación, sin atribuir ninguna virtualidad al escrito presentado por la parte demandante para dar satisfacción a las nuevas exigencias procesales exigidas por un cambio jurisprudencial, posterior a la presentación del escrito de preparación del recurso, vulnera el derecho a la tutela judicial efectiva [FJ 3].</w:t>
      </w:r>
    </w:p>
    <w:p w:rsidR="0085709A" w:rsidRDefault="0085709A" w:rsidP="0085709A">
      <w:pPr>
        <w:pStyle w:val="Extracto"/>
      </w:pPr>
    </w:p>
    <w:p w:rsidR="0085709A" w:rsidRDefault="0085709A" w:rsidP="0085709A">
      <w:pPr>
        <w:pStyle w:val="Extracto"/>
      </w:pPr>
      <w:r>
        <w:t>2.</w:t>
      </w:r>
      <w:r>
        <w:tab/>
        <w:t>Las razones esgrimidas para rechazar la pretensión impugnatoria adolecen de  insuficiente justificación que satisfaga las exigencias de tutela que demanda el canon de racionalidad propio de esta manifestación del derecho a la tutela judicial efectiva [FJ 3].</w:t>
      </w:r>
    </w:p>
    <w:p w:rsidR="0085709A" w:rsidRDefault="0085709A" w:rsidP="0085709A">
      <w:pPr>
        <w:pStyle w:val="Extracto"/>
      </w:pPr>
    </w:p>
    <w:p w:rsidR="0085709A" w:rsidRDefault="0085709A" w:rsidP="0085709A">
      <w:pPr>
        <w:pStyle w:val="Extracto"/>
      </w:pPr>
      <w:r>
        <w:t>3.</w:t>
      </w:r>
      <w:r>
        <w:tab/>
        <w:t>Doctrina sobre el derecho a la tutela judicial efectiva en su vertiente de acceso a los recursos y su alcance en relación con el recurso de casación (SSTC 74/1983, 37/2012) [FFJJ 2, 3].</w:t>
      </w:r>
    </w:p>
    <w:p w:rsidR="0085709A" w:rsidRDefault="0085709A" w:rsidP="0085709A">
      <w:pPr>
        <w:pStyle w:val="Extracto"/>
      </w:pPr>
    </w:p>
    <w:p w:rsidR="0085709A" w:rsidRDefault="0085709A" w:rsidP="0085709A">
      <w:pPr>
        <w:pStyle w:val="Extracto"/>
      </w:pPr>
      <w:r>
        <w:t>4.</w:t>
      </w:r>
      <w:r>
        <w:tab/>
        <w:t>Son presupuestos de vulneración del principio igualdad en la aplicación de la Ley, por parte de los órganos judiciales, la aportación de un término hábil de comparación que acredite la igualdad de supuestos de hecho y la constatación de una modificación arbitraria o injustificada por el mismo órgano judicial respecto a decisiones anteriores (STC 125/1986, 134/1990)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número 2399-2012, promovido por la mercantil Compañía de Distribución Integral Logista S.A., representada por la Procuradora de los Tribunales doña María Teresa Goñi Toledo y asistida por el Abogado don Javier Navarro Martínez, contra el Auto de la Sección Primera de la Sala de lo Contencioso-Administrativo del Tribunal Supremo de 10 de noviembre de 2011, que declaró la inadmisión del recurso de casación número 5162-2010, y contra la providencia de 24 de febrero de 2012 que inadmitió a trámite el incidente de nulidad de actuaciones promovido contra aquel. Ha comparecido el Abogado del Estado, en la representación que ostenta, y ha intervenido el Ministerio Fiscal. Ha sido Ponente el Magistrado don Juan Antonio Xiol Ríos,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23 de abril de 2012 tuvo entrada en el Registro General de este Tribunal escrito presentado por la Procuradora de los Tribunales doña María Teresa Goñi Toledo, actuando en nombre y representación de la mercantil Compañía de Distribución Integral Logista S.A. y bajo la dirección letrada del Abogado don Javier Navarro Martínez, mediante el que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La demandante de amparo interpuso recurso contencioso-administrativo contra la resolución del Tribunal Económico-Administrativo Central (Sala Segunda, Vocalía Octava; Reclamaciones económico-administrativas núms. R.G. 2873-2008, 4852-2008 y 4910-2008 acumuladas) de 24 de septiembre de 2008, que desestimó sendas reclamaciones en materia del impuesto sobre las labores del tabaco y del impuesto sobre el valor añadido asimilado a la importación.</w:t>
      </w:r>
    </w:p>
    <w:p w:rsidR="0085709A" w:rsidRDefault="0085709A" w:rsidP="0085709A">
      <w:pPr>
        <w:pStyle w:val="TextoNormal"/>
      </w:pPr>
    </w:p>
    <w:p w:rsidR="0085709A" w:rsidRDefault="0085709A" w:rsidP="0085709A">
      <w:pPr>
        <w:pStyle w:val="TextoNormal"/>
      </w:pPr>
      <w:r>
        <w:t>b) Seguido el procedimiento por sus trámites con el número 610-2008, la Sala de lo Contencioso-Administrativo de la Audiencia Nacional (Sección Séptima) dictó el 17 de mayo de 2010 Sentencia parcialmente estimatoria, en la que declaró la nulidad de la resolución exclusivamente en lo que respecta a los acuerdos sancionadores adoptados con fecha 8 de abril de 2008, y la confirmó en cuanto al acto de liquidación de 17 de diciembre de 2007. La Sentencia fue notificada a las partes con la indicación de que contra la misma cabía recurso de casación ante el Tribunal Supremo.</w:t>
      </w:r>
    </w:p>
    <w:p w:rsidR="0085709A" w:rsidRDefault="0085709A" w:rsidP="0085709A">
      <w:pPr>
        <w:pStyle w:val="TextoNormal"/>
      </w:pPr>
    </w:p>
    <w:p w:rsidR="0085709A" w:rsidRDefault="0085709A" w:rsidP="0085709A">
      <w:pPr>
        <w:pStyle w:val="TextoNormal"/>
      </w:pPr>
      <w:r>
        <w:t xml:space="preserve">c) Contra la anterior Sentencia prepararon recurso de casación el Abogado del Estado y la sociedad demandante de amparo, que lo hizo mediante escrito registrado en la Audiencia Nacional el 10 de junio de 2010, en el que puso de manifiesto la intención de interponerlo, </w:t>
      </w:r>
      <w:r>
        <w:lastRenderedPageBreak/>
        <w:t>la legitimación de la parte recurrente, el cumplimiento del plazo para la presentación del escrito, el carácter recurrible de la resolución impugnada y la suficiencia de la cuantía para el acceso a la casación; a ello añadió la precisión de que el recurso iba a fundarse en los motivos previstos en los arts. 88.1 c) y 88.1 d) de la Ley reguladora de la jurisdicción contencioso-administrativa (LJCA), cuyo contenido reprodujo casi literalmente. El recurso fue tenido por preparado por diligencia de ordenación de la Sala de lo Contencioso-Administrativo de la Audiencia Nacional de 15 de junio de 2010.</w:t>
      </w:r>
    </w:p>
    <w:p w:rsidR="0085709A" w:rsidRDefault="0085709A" w:rsidP="0085709A">
      <w:pPr>
        <w:pStyle w:val="TextoNormal"/>
      </w:pPr>
    </w:p>
    <w:p w:rsidR="0085709A" w:rsidRDefault="0085709A" w:rsidP="0085709A">
      <w:pPr>
        <w:pStyle w:val="TextoNormal"/>
      </w:pPr>
      <w:r>
        <w:t>d) El 6 de septiembre de 2010 la actora interpuso el recurso de casación ante el Tribunal Supremo. El 11 de noviembre de 2010 formuló su escrito de interposición el Abogado del Estado. Ambos recursos fueron registrados con el número 5162-2010.</w:t>
      </w:r>
    </w:p>
    <w:p w:rsidR="0085709A" w:rsidRDefault="0085709A" w:rsidP="0085709A">
      <w:pPr>
        <w:pStyle w:val="TextoNormal"/>
      </w:pPr>
    </w:p>
    <w:p w:rsidR="0085709A" w:rsidRDefault="0085709A" w:rsidP="0085709A">
      <w:pPr>
        <w:pStyle w:val="TextoNormal"/>
      </w:pPr>
      <w:r>
        <w:t>El 25 de octubre de 2010 la recurrente en amparo presentó escrito al que acompañó copia de la Sentencia 1559/2007, dictada por la Sala de lo Contencioso-Administrativo del Tribunal Supremo (en adelante, STS) el 27 de septiembre de 2010, sobre cuotas del impuesto sobre el valor añadido asimilado a la importación en el marco de un procedimiento de comprobación, e interesó la aplicación de la doctrina que en la misma se contiene a su recurso de casación. Por diligencia de ordenación de 15 de noviembre de 2010, entre otros pronunciamientos, se tuvieron por presentados los anteriores documentos y se dispuso no resolver sobre su unión a los autos hasta que recayera resolución sobre la admisión del recurso.</w:t>
      </w:r>
    </w:p>
    <w:p w:rsidR="0085709A" w:rsidRDefault="0085709A" w:rsidP="0085709A">
      <w:pPr>
        <w:pStyle w:val="TextoNormal"/>
      </w:pPr>
    </w:p>
    <w:p w:rsidR="0085709A" w:rsidRDefault="0085709A" w:rsidP="0085709A">
      <w:pPr>
        <w:pStyle w:val="TextoNormal"/>
      </w:pPr>
      <w:r>
        <w:t>e) La demandante se personó como recurrida en el recurso preparado por el Abogado del Estado y opuso la concurrencia de una causa de inadmisión parcial consistente en que, viniendo la cuantía del mismo determinada por el importe de las sanciones impuestas y no admitiéndose la acumulación de pretensiones, algunas de aquéllas no alcanzaban la cuantía exigida para acceder a la casación.</w:t>
      </w:r>
    </w:p>
    <w:p w:rsidR="0085709A" w:rsidRDefault="0085709A" w:rsidP="0085709A">
      <w:pPr>
        <w:pStyle w:val="TextoNormal"/>
      </w:pPr>
    </w:p>
    <w:p w:rsidR="0085709A" w:rsidRDefault="0085709A" w:rsidP="0085709A">
      <w:pPr>
        <w:pStyle w:val="TextoNormal"/>
      </w:pPr>
      <w:r>
        <w:t>El 25 de enero de 2011 se dictó providencia por la que la Sala puso de manifiesto para alegaciones la posible concurrencia de la causa de inadmisión consistente en estar exceptuada la resolución impugnada, por razón de la cuantía, del recurso de casación, por haberse producido una acumulación de pretensiones en cuanto a las mensualidades a las que se refieren las actuaciones de regularización y comprobación. El trámite fue verificado por el Abogado del Estado y por la sociedad recurrente.</w:t>
      </w:r>
    </w:p>
    <w:p w:rsidR="0085709A" w:rsidRDefault="0085709A" w:rsidP="0085709A">
      <w:pPr>
        <w:pStyle w:val="TextoNormal"/>
      </w:pPr>
    </w:p>
    <w:p w:rsidR="0085709A" w:rsidRDefault="0085709A" w:rsidP="0085709A">
      <w:pPr>
        <w:pStyle w:val="TextoNormal"/>
      </w:pPr>
      <w:r>
        <w:t xml:space="preserve">f) El 31 de marzo de 2011 la sociedad demandante de amparo presentó escrito ante la Audiencia Nacional en el que manifestó que había tenido conocimiento del Auto dictado por la Sala de lo Contencioso-Administrativo del Tribunal Supremo (en adelante, ATS) de 10 de febrero de 2011, dictado en el recurso de casación 2927-2010, por el que el Tribunal Supremo modificaba su doctrina en cuanto a los requisitos exigibles en el escrito de preparación del recurso de casación contra Sentencias dictadas por la Audiencia Nacional, añadiendo el de expresar las concretas infracciones normativas o jurisprudenciales que se consideran cometidas y que, para el caso de que se resolviera su aplicación incluso a los recursos preparados con anterioridad a su publicación, procedía a “adecuar el anterior escrito de preparación” a las exigencias actuales, a cuyo efecto solicitó a la Sala que tuviera por redactado el escrito de preparación en los términos que seguidamente desarrollaba, interesando la unión del escrito al recurso de casación. El 4 de abril de 2011 la Audiencia Nacional remitió el escrito al Tribunal Supremo para su unión a las actuaciones. La presentación fue también comunicada por la actora al Tribunal Supremo mediante escrito de 11 de abril de 2011. Por </w:t>
      </w:r>
      <w:r>
        <w:lastRenderedPageBreak/>
        <w:t>diligencia de ordenación de 11 de enero de 2012 la Sala Tercera (Sección Primera) del Tribunal Supremo tuvo por recibido el oficio de la Audiencia Nacional y ordenó unir el escrito a las actuaciones de instancia.</w:t>
      </w:r>
    </w:p>
    <w:p w:rsidR="0085709A" w:rsidRDefault="0085709A" w:rsidP="0085709A">
      <w:pPr>
        <w:pStyle w:val="TextoNormal"/>
      </w:pPr>
    </w:p>
    <w:p w:rsidR="0085709A" w:rsidRDefault="0085709A" w:rsidP="0085709A">
      <w:pPr>
        <w:pStyle w:val="TextoNormal"/>
      </w:pPr>
      <w:r>
        <w:t>g) Por providencia de 5 de abril de 2011, se dio de nuevo plazo a las partes para que formularan alegaciones sobre la posible concurrencia, en ambos recursos, de la causa de inadmisión consistente en no haber citado en el escrito de preparación las infracciones normativas o jurisprudenciales que iban a desarrollarse en el escrito de interposición [arts. 88.1, 89.1 y 93.2 a) LJCA]. El trámite fue cumplido por el Abogado del Estado y por la demandante de amparo.</w:t>
      </w:r>
    </w:p>
    <w:p w:rsidR="0085709A" w:rsidRDefault="0085709A" w:rsidP="0085709A">
      <w:pPr>
        <w:pStyle w:val="TextoNormal"/>
      </w:pPr>
    </w:p>
    <w:p w:rsidR="0085709A" w:rsidRDefault="0085709A" w:rsidP="0085709A">
      <w:pPr>
        <w:pStyle w:val="TextoNormal"/>
      </w:pPr>
      <w:r>
        <w:t>h) El 20 de mayo de 2011 la demandante presentó escrito ante la Sala de lo Contencioso-Administrativo del Tribunal Supremo en el que solicitó la aplicación de la doctrina mantenida en la STS de 30 de marzo de 2011, dictada por la Sección Segunda de la Sala en el recurso de casación 3143-2006, que admitió un recurso de casación preparado contra una Sentencia dictada por la Audiencia Nacional sin que se hubieran citado las normas o la jurisprudencia que se reputaban infringidas.</w:t>
      </w:r>
    </w:p>
    <w:p w:rsidR="0085709A" w:rsidRDefault="0085709A" w:rsidP="0085709A">
      <w:pPr>
        <w:pStyle w:val="TextoNormal"/>
      </w:pPr>
    </w:p>
    <w:p w:rsidR="0085709A" w:rsidRDefault="0085709A" w:rsidP="0085709A">
      <w:pPr>
        <w:pStyle w:val="TextoNormal"/>
      </w:pPr>
      <w:r>
        <w:t>i) Por Auto de 10 de noviembre de 2011 la Sala Tercera del Tribunal Supremo (Sección Primera) declaró la inadmisión de ambos recursos de casación. La Sala se remitió al ATS de 10 de febrero de 2011, del que transcribió varios de sus fundamentos, a la vista de los cuales concluyó que, no habiéndose citado ni en el escrito de preparación del recurso formalizado por la sociedad recurrente ni en el formalizado por el Abogado del Estado las infracciones normativas o jurisprudenciales que iban a desarrollarse en el escrito de interposición, procedía la inadmisión de ambos recursos de casación, lo que hacía innecesario pronunciarse sobre la causa de inadmisión parcial por razón de la cuantía.</w:t>
      </w:r>
    </w:p>
    <w:p w:rsidR="0085709A" w:rsidRDefault="0085709A" w:rsidP="0085709A">
      <w:pPr>
        <w:pStyle w:val="TextoNormal"/>
      </w:pPr>
    </w:p>
    <w:p w:rsidR="0085709A" w:rsidRDefault="0085709A" w:rsidP="0085709A">
      <w:pPr>
        <w:pStyle w:val="TextoNormal"/>
      </w:pPr>
      <w:r>
        <w:t>j) El 3 de enero de 2012 la sociedad demandante de amparo promovió incidente de nulidad de actuaciones en el que, con una muy extensa argumentación, alegó la vulneración del derecho a la igualdad en la aplicación judicial de la ley (artículo 14 CE) y del derecho a la tutela judicial efectiva en su vertiente de acceso a los recursos (artículo 24.1 CE) en relación con el principio de seguridad jurídica contenido en el artículo 9.1 CE. Denunció, en resumen, que el Tribunal Supremo había modificado de manera arbitraria, sin motivación y sin vocación de permanencia, su jurisprudencia sobre los requisitos del escrito de preparación del recurso de casación contra sentencias dictadas por la Audiencia Nacional, exigiendo uno no contemplado en la Ley y aplicándolo a escritos presentados con anterioridad a la adopción del nuevo criterio, vulnerando también la doctrina del Tribunal Constitucional en materia de subsanación de defectos procesales y causando indefensión a la parte.</w:t>
      </w:r>
    </w:p>
    <w:p w:rsidR="0085709A" w:rsidRDefault="0085709A" w:rsidP="0085709A">
      <w:pPr>
        <w:pStyle w:val="TextoNormal"/>
      </w:pPr>
    </w:p>
    <w:p w:rsidR="0085709A" w:rsidRDefault="0085709A" w:rsidP="0085709A">
      <w:pPr>
        <w:pStyle w:val="TextoNormal"/>
      </w:pPr>
      <w:r>
        <w:t>k) Por providencia de 24 de febrero de 2012 fue inadmitido a trámite el incidente de nulidad de actuaciones promovido contra el Auto de 10 de noviembre de 2011.</w:t>
      </w:r>
    </w:p>
    <w:p w:rsidR="0085709A" w:rsidRDefault="0085709A" w:rsidP="0085709A">
      <w:pPr>
        <w:pStyle w:val="TextoNormal"/>
      </w:pPr>
    </w:p>
    <w:p w:rsidR="0085709A" w:rsidRDefault="0085709A" w:rsidP="0085709A">
      <w:pPr>
        <w:pStyle w:val="TextoNormal"/>
      </w:pPr>
      <w:r w:rsidRPr="0085709A">
        <w:rPr>
          <w:rStyle w:val="NumeroAFNegritaCaracter"/>
        </w:rPr>
        <w:t>3</w:t>
      </w:r>
      <w:r>
        <w:t>. Asimismo, conviene precisar los siguientes antecedentes:</w:t>
      </w:r>
    </w:p>
    <w:p w:rsidR="0085709A" w:rsidRDefault="0085709A" w:rsidP="0085709A">
      <w:pPr>
        <w:pStyle w:val="TextoNormal"/>
      </w:pPr>
    </w:p>
    <w:p w:rsidR="0085709A" w:rsidRDefault="0085709A" w:rsidP="0085709A">
      <w:pPr>
        <w:pStyle w:val="TextoNormal"/>
      </w:pPr>
      <w:r>
        <w:t>a) El artículo 89.1 LJCA dispone que en el escrito de preparación del recurso de casación deberá manifestarse “la intención de interponer el recurso, con sucinta exposición de la concurrencia de los requisitos de forma exigidos”. El artículo 89.2 LJCA dispone que “en el supuesto previsto en el artículo 86.4 [sentencias dictadas por las salas de lo contencioso-</w:t>
      </w:r>
      <w:r>
        <w:lastRenderedPageBreak/>
        <w:t>administrativo de los Tribunales Superiores de Justicia, contra las que solo cabe recurso si este puede fundarse en infracción de normas de Derecho estatal o comunitario europeo], habrá de justificase que la infracción de una norma estatal o comunitaria europea ha sido relevante y determinante del fallo de la sentencia”.</w:t>
      </w:r>
    </w:p>
    <w:p w:rsidR="0085709A" w:rsidRDefault="0085709A" w:rsidP="0085709A">
      <w:pPr>
        <w:pStyle w:val="TextoNormal"/>
      </w:pPr>
    </w:p>
    <w:p w:rsidR="0085709A" w:rsidRDefault="0085709A" w:rsidP="0085709A">
      <w:pPr>
        <w:pStyle w:val="TextoNormal"/>
      </w:pPr>
      <w:r>
        <w:t>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0085709A" w:rsidRDefault="0085709A" w:rsidP="0085709A">
      <w:pPr>
        <w:pStyle w:val="TextoNormal"/>
      </w:pPr>
    </w:p>
    <w:p w:rsidR="0085709A" w:rsidRDefault="0085709A" w:rsidP="0085709A">
      <w:pPr>
        <w:pStyle w:val="TextoNormal"/>
      </w:pPr>
      <w:r>
        <w:t>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0085709A" w:rsidRDefault="0085709A" w:rsidP="0085709A">
      <w:pPr>
        <w:pStyle w:val="TextoNormal"/>
      </w:pPr>
    </w:p>
    <w:p w:rsidR="0085709A" w:rsidRDefault="0085709A" w:rsidP="0085709A">
      <w:pPr>
        <w:pStyle w:val="TextoNormal"/>
      </w:pPr>
      <w:r>
        <w:t>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artículo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de 2010. FJ 6).</w:t>
      </w:r>
    </w:p>
    <w:p w:rsidR="0085709A" w:rsidRDefault="0085709A" w:rsidP="0085709A">
      <w:pPr>
        <w:pStyle w:val="TextoNormal"/>
      </w:pPr>
    </w:p>
    <w:p w:rsidR="0085709A" w:rsidRDefault="0085709A" w:rsidP="0085709A">
      <w:pPr>
        <w:pStyle w:val="TextoNormal"/>
      </w:pPr>
      <w:r>
        <w:t>e) El ATS de 10 de febrero de 2011 (recurso de casación 2927-2010), al que se ha hecho ya referencia, dictado también por la Sección Primera de la Sala de lo Contencioso-Administrativo, a la que corresponde por reparto decidir sobre la admisibilidad de los recursos de casación, dictado también con la finalidad de “clarificar” la doctrina jurisprudencial, espe</w:t>
      </w:r>
      <w:r>
        <w:lastRenderedPageBreak/>
        <w:t>cificó que el escrito de preparación, con carácter general, debe contener no solo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(FJ 4).</w:t>
      </w:r>
    </w:p>
    <w:p w:rsidR="0085709A" w:rsidRDefault="0085709A" w:rsidP="0085709A">
      <w:pPr>
        <w:pStyle w:val="TextoNormal"/>
      </w:pPr>
    </w:p>
    <w:p w:rsidR="0085709A" w:rsidRDefault="0085709A" w:rsidP="0085709A">
      <w:pPr>
        <w:pStyle w:val="TextoNormal"/>
      </w:pPr>
      <w:r>
        <w:t xml:space="preserve">El citado Auto expone las razones por las cuales se introdujo esta especificación de la siguiente forma: “Si así no se exigiera, es decir, si se estimara innecesario anticipar el motivo o motivos al que se acogerá el éxito de interposición en los términos expresados, el trámite de preparación quedaría privado de sentido y finalidad característicos, desde el momento en que el tribunal </w:t>
      </w:r>
      <w:r w:rsidRPr="0085709A">
        <w:rPr>
          <w:i/>
        </w:rPr>
        <w:t>a quo</w:t>
      </w:r>
      <w:r>
        <w:t xml:space="preserve">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 1 que se utilice” (FJ 4).</w:t>
      </w:r>
    </w:p>
    <w:p w:rsidR="0085709A" w:rsidRDefault="0085709A" w:rsidP="0085709A">
      <w:pPr>
        <w:pStyle w:val="TextoNormal"/>
      </w:pPr>
    </w:p>
    <w:p w:rsidR="0085709A" w:rsidRDefault="0085709A" w:rsidP="0085709A">
      <w:pPr>
        <w:pStyle w:val="TextoNormal"/>
      </w:pPr>
      <w:r>
        <w:t>f) El Auto de 10 de noviembre de 2011, aquí recurrido, contiene, en lo que a este recurso primordialmente interesa, la siguiente argumentación:</w:t>
      </w:r>
    </w:p>
    <w:p w:rsidR="0085709A" w:rsidRDefault="0085709A" w:rsidP="0085709A">
      <w:pPr>
        <w:pStyle w:val="TextoNormal"/>
      </w:pPr>
    </w:p>
    <w:p w:rsidR="0085709A" w:rsidRDefault="0085709A" w:rsidP="0085709A">
      <w:pPr>
        <w:pStyle w:val="TextoNormal"/>
      </w:pPr>
      <w:r>
        <w:t>“Proyectadas estas consideraciones sobre el caso que ahora nos ocupa, es claro que, como ut supra advertimos, la parte aquí recurrente, en el escrito de preparación del recurso de casación presentado ante la Sala a quo, únicamente anunció la interposición del recurso con base en los motivos previstos en el artículo 88.1 de la Ley Jurisdiccional, entre otros en los previstos en los ordinales c) y d) sin hacer mención alguna a las concretas infracciones normativas o jurisprudenciales que se pretendían denunciar y desarrollar en el escrito de interposición, aunque fuere sucintamente.</w:t>
      </w:r>
    </w:p>
    <w:p w:rsidR="0085709A" w:rsidRDefault="0085709A" w:rsidP="0085709A">
      <w:pPr>
        <w:pStyle w:val="TextoNormal"/>
      </w:pPr>
    </w:p>
    <w:p w:rsidR="0085709A" w:rsidRDefault="0085709A" w:rsidP="0085709A">
      <w:pPr>
        <w:pStyle w:val="TextoNormal"/>
      </w:pPr>
      <w:r>
        <w:t>En consecuencia, por las razones que hemos explicado en los fundamentos anteriores, hemos de concluir que el recurso es inadmisible por no haber sido anunciados en el escrito de preparación los motivos del art. 88.1 de la Ley Jurisdiccional con las exigencias expresadas, sin que frente a esta conclusión puedan prevalecer las alegaciones efectuadas por la parte recurrente, a las que se ha dado cumplida respuesta a través de lo expuesto anteriormente en el cuerpo de esta resolución. No obstante, conviene ahora reiterar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0085709A" w:rsidRDefault="0085709A" w:rsidP="0085709A">
      <w:pPr>
        <w:pStyle w:val="TextoNormal"/>
      </w:pPr>
    </w:p>
    <w:p w:rsidR="0085709A" w:rsidRDefault="0085709A" w:rsidP="0085709A">
      <w:pPr>
        <w:pStyle w:val="TextoNormal"/>
      </w:pPr>
      <w:r>
        <w:lastRenderedPageBreak/>
        <w:t>Ciertamente, la doctrina reiterada por esta Sala desde el Auto de 10 de febrero de 2011 (rec. 2927-2010) incorpora nuevas exigencias al escrito de preparación del recurso de casación, respecto de las comprendidas en los criterios expuestos sistemáticamente en el Auto de 14 de octubre de 2010 que se sustenta en precedentes de la Sala, tal y como se ha declarado en los razonamientos anteriores, culminando así la evolución jurisprudencial que ya apuntaba este último Auto. 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y la consecuencia de una diferente concepción jurídica igualmente razonable y fundada en Derecho de los supuestos sometidos a su decisión.</w:t>
      </w:r>
    </w:p>
    <w:p w:rsidR="0085709A" w:rsidRDefault="0085709A" w:rsidP="0085709A">
      <w:pPr>
        <w:pStyle w:val="TextoNormal"/>
      </w:pPr>
    </w:p>
    <w:p w:rsidR="0085709A" w:rsidRDefault="0085709A" w:rsidP="0085709A">
      <w:pPr>
        <w:pStyle w:val="TextoNormal"/>
      </w:pPr>
      <w:r>
        <w:t xml:space="preserve">El Tribunal Constitucional viene entendiendo (entre otras, STC 76/2005, de 4 de abril, recurso de amparo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6002-2002). 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(por todas, STC 176/2000, de 26 de junio, recurso de amparo 6604-1997).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5552-1997, y STS de 22 de diciembre de 2003, recurso de casación 5455-1998.</w:t>
      </w:r>
    </w:p>
    <w:p w:rsidR="0085709A" w:rsidRDefault="0085709A" w:rsidP="0085709A">
      <w:pPr>
        <w:pStyle w:val="TextoNormal"/>
      </w:pPr>
    </w:p>
    <w:p w:rsidR="0085709A" w:rsidRDefault="0085709A" w:rsidP="0085709A">
      <w:pPr>
        <w:pStyle w:val="TextoNormal"/>
      </w:pPr>
      <w:r>
        <w:t xml:space="preserve">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w:t>
      </w:r>
      <w:r w:rsidRPr="0085709A">
        <w:rPr>
          <w:i/>
        </w:rPr>
        <w:t>obiter dictum</w:t>
      </w:r>
      <w:r>
        <w:t>, amén de que se frustraría la finalidad del proceso porque la resolución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 (FJ 4).</w:t>
      </w:r>
    </w:p>
    <w:p w:rsidR="0085709A" w:rsidRDefault="0085709A" w:rsidP="0085709A">
      <w:pPr>
        <w:pStyle w:val="TextoNormal"/>
      </w:pPr>
    </w:p>
    <w:p w:rsidR="0085709A" w:rsidRDefault="0085709A" w:rsidP="0085709A">
      <w:pPr>
        <w:pStyle w:val="TextoNormal"/>
      </w:pPr>
      <w:r>
        <w:t>El Auto, en cuanto afectaba también, en los mismos términos, al recurso interpuesto por el Abogado del Estado, no es objeto de este recurso de amparo.</w:t>
      </w:r>
    </w:p>
    <w:p w:rsidR="0085709A" w:rsidRDefault="0085709A" w:rsidP="0085709A">
      <w:pPr>
        <w:pStyle w:val="TextoNormal"/>
      </w:pPr>
    </w:p>
    <w:p w:rsidR="0085709A" w:rsidRDefault="0085709A" w:rsidP="0085709A">
      <w:pPr>
        <w:pStyle w:val="TextoNormal"/>
      </w:pPr>
      <w:r w:rsidRPr="0085709A">
        <w:rPr>
          <w:rStyle w:val="NumeroAFNegritaCaracter"/>
        </w:rPr>
        <w:t>4</w:t>
      </w:r>
      <w:r>
        <w:t>. La recurrente desarrolla su argumentación mediante las alegaciones que se resumen a continuación:</w:t>
      </w:r>
    </w:p>
    <w:p w:rsidR="0085709A" w:rsidRDefault="0085709A" w:rsidP="0085709A">
      <w:pPr>
        <w:pStyle w:val="TextoNormal"/>
      </w:pPr>
    </w:p>
    <w:p w:rsidR="0085709A" w:rsidRDefault="0085709A" w:rsidP="0085709A">
      <w:pPr>
        <w:pStyle w:val="TextoNormal"/>
      </w:pPr>
      <w:r>
        <w:t xml:space="preserve">a) El Auto de 10 de noviembre de 2011 ha vulnerado su derecho a la tutela judicial efectiva (artículo 24.1 CE), en su vertiente de acceso a los recursos, porque se funda en el requisito de anticipar en el escrito de preparación del recurso de casación los concretos preceptos o la jurisprudencia que se reputan infringidos, el cual carece de cobertura en la LJCA. Esta Ley —subraya— solo lo exige en el supuesto concreto del artículo 89.2 LJCA para resoluciones dictadas por los Tribunales Superiores de Justicia. La recurrente no atribuye la infracción al mero cambio de criterio del Tribunal Supremo iniciado a partir del ATS de 10 de febrero de 2011, dictado en el recurso de casación 2927-2010 sobre el que se articula el ATS 5162/2010, de 10 de noviembre de 2011, que inadmite el recurso de casación interpuesto por la actora, sino que la imputa a que el mismo carece de motivación jurídica y es arbitrario en cuanto demanda, </w:t>
      </w:r>
      <w:r w:rsidRPr="0085709A">
        <w:rPr>
          <w:i/>
        </w:rPr>
        <w:t>ex novo</w:t>
      </w:r>
      <w:r>
        <w:t xml:space="preserve"> y con carácter retroactivo, un requisito no exigido en la LJCA ni en la jurisprudencia anterior, que había quedado fijada en los AATS 573/2010, de 14 de octubre y 3461/2010, de 18 de noviembre.</w:t>
      </w:r>
    </w:p>
    <w:p w:rsidR="0085709A" w:rsidRDefault="0085709A" w:rsidP="0085709A">
      <w:pPr>
        <w:pStyle w:val="TextoNormal"/>
      </w:pPr>
    </w:p>
    <w:p w:rsidR="0085709A" w:rsidRDefault="0085709A" w:rsidP="0085709A">
      <w:pPr>
        <w:pStyle w:val="TextoNormal"/>
      </w:pPr>
      <w:r>
        <w:t>b) El Auto de 10 de noviembre de 2011 ha vulnerado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Añade que la recurrente presentó un escrito adecuando el escrito de preparación al nuevo requisito, el cual no fue tomado en consideración.</w:t>
      </w:r>
    </w:p>
    <w:p w:rsidR="0085709A" w:rsidRDefault="0085709A" w:rsidP="0085709A">
      <w:pPr>
        <w:pStyle w:val="TextoNormal"/>
      </w:pPr>
    </w:p>
    <w:p w:rsidR="0085709A" w:rsidRDefault="0085709A" w:rsidP="0085709A">
      <w:pPr>
        <w:pStyle w:val="TextoNormal"/>
      </w:pPr>
      <w:r>
        <w:t>La recurrente denuncia también, en relación con esta infracción alegada, la vulneración del principio de seguridad jurídica (artículo 9.3 CE).</w:t>
      </w:r>
    </w:p>
    <w:p w:rsidR="0085709A" w:rsidRDefault="0085709A" w:rsidP="0085709A">
      <w:pPr>
        <w:pStyle w:val="TextoNormal"/>
      </w:pPr>
    </w:p>
    <w:p w:rsidR="0085709A" w:rsidRDefault="0085709A" w:rsidP="0085709A">
      <w:pPr>
        <w:pStyle w:val="TextoNormal"/>
      </w:pPr>
      <w:r>
        <w:t xml:space="preserve">c) El Auto de 10 de noviembre de 2011 ha vulnerado su derecho a la igualdad en la aplicación judicial de la ley (artículo 14 CE), pues entiende que ha existido un cambio de criterio del Tribunal Supremo que carece de motivación jurídica; que es arbitrario, en cuanto viene a demandar, </w:t>
      </w:r>
      <w:r w:rsidRPr="0085709A">
        <w:rPr>
          <w:i/>
        </w:rPr>
        <w:t>ex novo</w:t>
      </w:r>
      <w:r>
        <w:t xml:space="preserve"> [sin antecedentes] y con carácter retroactivo, un requisito no exigido en la ley ni en la jurisprudencia del Tribunal Supremo con anterioridad; y que no tiene vocación de permanencia. Según la parte recurrente, con posterioridad al ATS de 10 de febrero de 2011 se han dictado sentencias y autos contrarios a la jurisprudencia contenida en aquél.</w:t>
      </w:r>
    </w:p>
    <w:p w:rsidR="0085709A" w:rsidRDefault="0085709A" w:rsidP="0085709A">
      <w:pPr>
        <w:pStyle w:val="TextoNormal"/>
      </w:pPr>
    </w:p>
    <w:p w:rsidR="0085709A" w:rsidRDefault="0085709A" w:rsidP="0085709A">
      <w:pPr>
        <w:pStyle w:val="TextoNormal"/>
      </w:pPr>
      <w:r>
        <w:t>Argumenta por último que, atendidas las circunstancias concurrentes, debió tomarse en consideración el escrito de adecuación a la nueva exigencia presentado por la parte al objeto de evitar una situación de indefensión para el recurrente que, en el curso de la tramitación de su recurso, ha cumplido escrupulosamente las normas y la jurisprudencia en vigor.</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Por providencia de 16 de julio de 2012 la Sala Primera del Tribunal Constitucional acordó admitir a trámite la demanda de amparo. Asimismo, en aplicación de lo dispuesto en </w:t>
      </w:r>
      <w:r>
        <w:lastRenderedPageBreak/>
        <w:t>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número 5162-2010 y al recurso número 610-2008, respectivamente, debiendo previamente emplazarse para que pudieran comparecer en el recurso de amparo, en el término de diez días, a quienes hubieran sido parte en el procedimiento, excepto a la parte recurrente en amparo, acordando notificarle la resolución con efectos de emplazamiento al Abogado del Estado, en representación de la Administración.</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Primera de este Tribunal de fecha 25 de septiembre de 2012 se tuvieron por recibidos los testimonios de las actuaciones remitidos por el Tribunal Supremo y por la Audiencia Nacional, y el escrito del Abogado del Estado a quien se tuvo por personado y parte en representación de la Administración del Estado. Y, a tenor de lo dispuesto en el artículo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presentó sus alegaciones mediante escrito registrado el 23 de octubre de 2012, en el que no aprecia que se haya vulnerado el derecho a la igualdad en la aplicación judicial de la ley (art. 14 CE) porque el ATS de 10 de noviembre de 2011, por el que se inadmite el recurso de casación interpuesto por la demandante de amparo, no constituye una resolución aislada sino que mantiene la línea iniciada por el ATS de 10 de febrero de 2011 siendo irrelevante que existan resoluciones aisladas que se aparten de aquélla. Sin embargo,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retrospectiva o retroactiva de la máxima jurisprudencial contenida en el ATS de 10 de febrero de 2011, inexistente cuando se presentó el escrito de preparación del recurso de casación, para inadmitir el recurso precisamente porque no se preparó conforme a ellas, supone imponer retroactivamente un novedoso régimen procesal desfavorable a la realización de un acto procesal totalmente concluido que vulnera el art. 24.1 CE en su vertiente de acceso a los recursos. En conclusión, interesa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 fundadas en la seguridad jurídica”.</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Ministerio Fiscal presentó sus alegaciones mediante escrito registrado el 12 de noviembre de 2012 en el que recoge la doctrina del Tribunal Constitucional sobre el acceso a los recursos y la evolución de la jurisprudencia del Tribunal Supremo sobre los requisitos que debe reunir el escrito de preparación del recurso de casación contencioso-administrativo y, a la vista de las alegaciones formuladas en la demanda de amparo, concluye que se ha vulnerado el derecho a la igualdad en la aplicación judicial de la ley (artículo 14 CE), por lo que interesa que se dicte sentencia que así lo declare y que acuerde la nulidad del ATS </w:t>
      </w:r>
      <w:r>
        <w:lastRenderedPageBreak/>
        <w:t>de 10 de noviembre de 2011 y de la providencia de 24 de febrero de 2012 para que por el Tribunal Supremo se proceda a dictar nueva resolución en la que se respete el derecho fundamental vulnerado.</w:t>
      </w:r>
    </w:p>
    <w:p w:rsidR="0085709A" w:rsidRDefault="0085709A" w:rsidP="0085709A">
      <w:pPr>
        <w:pStyle w:val="TextoNormal"/>
      </w:pPr>
    </w:p>
    <w:p w:rsidR="0085709A" w:rsidRDefault="0085709A" w:rsidP="0085709A">
      <w:pPr>
        <w:pStyle w:val="TextoNormal"/>
      </w:pPr>
      <w:r>
        <w:t>La argumentación del Ministerio Fiscal se desarrolla, en síntesis, con los siguientes argumentos:</w:t>
      </w:r>
    </w:p>
    <w:p w:rsidR="0085709A" w:rsidRDefault="0085709A" w:rsidP="0085709A">
      <w:pPr>
        <w:pStyle w:val="TextoNormal"/>
      </w:pPr>
    </w:p>
    <w:p w:rsidR="0085709A" w:rsidRDefault="0085709A" w:rsidP="0085709A">
      <w:pPr>
        <w:pStyle w:val="TextoNormal"/>
      </w:pPr>
      <w:r>
        <w:t>a) El análisis de la cuestión ha de comenzar haciendo referencia al ATS 15895/2010, de 18 de noviembre, recaído en el recurso de casación número 3461-2010, auto que, pretendiendo aclarar la jurisprudencia relativa a los requisitos exigibles al escrito de preparación del recurso de casación, estableció en su fundamento jurídico 6 una doctrina que fue, sin género de dudas, respetada por el escrito de preparación del recurso de casación formulado por la sociedad demandante de amparo, en parte por aplicación directa de lo establecido en los arts. 89.1 y 88.1 LJCA y en parte por haber tenido conocimiento de la existencia de diversos autos de la Sección Primera de la Sala Tercera del Tribunal Supremo que venían exigiendo la indicación en ese escrito de preparación de los motivos en que habría de fundarse el recurso de casación, tal y como justifica la parte recurrente en amparo con la cita de los AATS de fechas 3 de diciembre de 2009, 4 de marzo de 2010 y 6 de mayo de 2010, todos ellos anteriores a la presentación de su escrito de preparación del recurso de casación.</w:t>
      </w:r>
    </w:p>
    <w:p w:rsidR="0085709A" w:rsidRDefault="0085709A" w:rsidP="0085709A">
      <w:pPr>
        <w:pStyle w:val="TextoNormal"/>
      </w:pPr>
    </w:p>
    <w:p w:rsidR="0085709A" w:rsidRDefault="0085709A" w:rsidP="0085709A">
      <w:pPr>
        <w:pStyle w:val="TextoNormal"/>
      </w:pPr>
      <w:r>
        <w:t>b) Ahora bien, la doctrina establecida por el ATS 15895/2010, de 18 de noviembre, recaído en el recurso de casación número 3461-2010, fue de nuevo matizada por la Sección Primera de la Sala de lo Contencioso-Administrativo del Tribunal Supremo mediante el ATS 2371/2011, de 10 de febrero, recaído en el recurso de casación número 2927-2010, que estableció en su fundamento jurídico 4 la doctrina sobre la necesidad de la indicación de los concretos preceptos o jurisprudencia que se reputan infringidos o del contenido de las infracciones normativas o jurisprudenciales que se pretendan denunciar y desarrollar en el escrito de interposición del recurso de casación, aunque fuere de forma sucinta, añadiendo que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88.1 que se utilice.</w:t>
      </w:r>
    </w:p>
    <w:p w:rsidR="0085709A" w:rsidRDefault="0085709A" w:rsidP="0085709A">
      <w:pPr>
        <w:pStyle w:val="TextoNormal"/>
      </w:pPr>
    </w:p>
    <w:p w:rsidR="0085709A" w:rsidRDefault="0085709A" w:rsidP="0085709A">
      <w:pPr>
        <w:pStyle w:val="TextoNormal"/>
      </w:pPr>
      <w:r>
        <w:t xml:space="preserve">Por lo tanto, mientras el ATS 15895/2010, de 18 de noviembre, dijo que era “carga del recurrente en casación indicar ya en la fase de preparación el concreto o concretos motivos en que se fundará el recurso y no en cualesquiera otras razones no contempladas en la Ley Jurisdiccional”, el ATS 2371/2011, de 10 de febrero, dejó sentado que era “carga del recurrente en casación indicar ya en la fase de preparación el concreto o concretos motivos en que se fundará el recurso y no en cualesquiera otras razones no contempladas en la Ley Jurisdiccional,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En consecuencia, la diferencia estriba en el inciso de este segundo auto que dice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inciso que, como denuncia la parte demandante de amparo, supone la exigencia para la válida formulación del escrito de preparación del recurso de casación </w:t>
      </w:r>
      <w:r>
        <w:lastRenderedPageBreak/>
        <w:t>de un requisito que, además de nuevo, no resulta expresamente de la regulación legal del recurso de casación (art. 89 LJCA). Circunstancia ésta que se ve agravada por el hecho de que el indicado ATS 2371/2011, de 10 de febrero, tampoco justifica las razones por las que ha de exigirse este nuevo requisito, limitándose a introducirlo en la forma que ha sido descrita.</w:t>
      </w:r>
    </w:p>
    <w:p w:rsidR="0085709A" w:rsidRDefault="0085709A" w:rsidP="0085709A">
      <w:pPr>
        <w:pStyle w:val="TextoNormal"/>
      </w:pPr>
    </w:p>
    <w:p w:rsidR="0085709A" w:rsidRDefault="0085709A" w:rsidP="0085709A">
      <w:pPr>
        <w:pStyle w:val="TextoNormal"/>
      </w:pPr>
      <w:r>
        <w:t>c) Sin embargo, la exigencia del ATS 2371/2011, de 10 de febrero, relativa a la obligatoriedad de indicar ya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no ha sido seguido de modo unánime por la Sección Primera de la Sala Tercera del Tribunal Supremo. A tales fines la parte recurrente ha mencionado Autos y Sentencias que con posterioridad a ese auto de 10 de febrero de 2011 han mantenido la posición “histórica” de la Sala Tercera del Tribunal Supremo en relación con los requisitos predicables para la válida formulación del escrito de preparación del recurso de casación, como son los AATS 1932/2011, de 17 de febrero de 2011 (recurso de casación número 4600-2010), 4046-2011, de 24 de marzo de 2011 (recurso número 3896-2010), 3673-2011, de 17 de marzo de 2011 (recurso número 1585-2010), 3667/2011, de 17 de marzo de 2011 (recurso número 6250-2010), y 8516-2011, de 16 de junio de 2011 (recurso número 5151-2010) y las SSTS de 30 de marzo de 2011 (recurso número 3143-2006) y 5 de abril de 2011 (recurso número 2520-2009).</w:t>
      </w:r>
    </w:p>
    <w:p w:rsidR="0085709A" w:rsidRDefault="0085709A" w:rsidP="0085709A">
      <w:pPr>
        <w:pStyle w:val="TextoNormal"/>
      </w:pPr>
    </w:p>
    <w:p w:rsidR="0085709A" w:rsidRDefault="0085709A" w:rsidP="0085709A">
      <w:pPr>
        <w:pStyle w:val="TextoNormal"/>
      </w:pPr>
      <w:r>
        <w:t xml:space="preserve">d) Para la demandante en amparo el repetido ATS 2371/2011, de 10 de febrero, significa fundamentalmente lo siguiente: en primer lugar, que la Sección Primera de la Sala Tercera del Tribunal Supremo ha cambiado </w:t>
      </w:r>
      <w:r w:rsidRPr="0085709A">
        <w:rPr>
          <w:i/>
        </w:rPr>
        <w:t>de facto</w:t>
      </w:r>
      <w:r>
        <w:t xml:space="preserve"> su criterio; en segundo lugar, que siguen sin expresarse las razones por las que la Sección Primera de la Sala Tercera del Tribunal Supremo entiende que el escrito de preparación del recurso de casación contra sentencias dictadas por la Sala de lo Contencioso-Administrativo de la Audiencia Nacional ha de contener, además de la expresión del motivo o motivos en que se fundará el recurso de casación que ulteriormente haya de ser formalizado, la indicación de los concretos preceptos o jurisprudencia que se reputan infringidos o del contenido de las infracciones normativas o jurisprudenciales que se pretendan denunciar y desarrollar en el escrito de interposición del recurso de casación; y, en tercer lugar, que tampoco se expresan las razones por las que en el caso de la sociedad recurrente era oportuna la aplicación de ese nuevo criterio en lugar del criterio sostenido por el ATS 15895/2010, de 18 de noviembre, criterio este último al que dicha compañía había adaptado con toda diligencia su actuación procesal y que además había sido aplicado —también después de haberse pronunciado el auto— por esa misma Sección Primera en varios casos semejantes al de la indicada sociedad.</w:t>
      </w:r>
    </w:p>
    <w:p w:rsidR="0085709A" w:rsidRDefault="0085709A" w:rsidP="0085709A">
      <w:pPr>
        <w:pStyle w:val="TextoNormal"/>
      </w:pPr>
    </w:p>
    <w:p w:rsidR="0085709A" w:rsidRDefault="0085709A" w:rsidP="0085709A">
      <w:pPr>
        <w:pStyle w:val="TextoNormal"/>
      </w:pPr>
      <w:r>
        <w:t xml:space="preserve">e) El Ministerio Fiscal considera importante destacar, trasladando estas circunstancias al juicio de igualdad propuesto por la sociedad demandante de amparo, que en la presente hipótesis la parte demandante de amparo ha aportado un válido término de comparación, pues, por una parte, ha acompañado a su demanda el auto dictado en su contra por la Sección Primera de la Sala de lo Contencioso-administrativo del Tribunal Supremo en el recurso de casación número 5162-2010 con fecha 10 de noviembre de 2011 y, por otra parte, ha citado en su demanda otras resoluciones dictadas por la Sala de lo Contencioso-Administrativo del </w:t>
      </w:r>
      <w:r>
        <w:lastRenderedPageBreak/>
        <w:t>Tribunal Supremo que siguen el criterio establecido en el ATS 15895/2010, de 18 de noviembre, y no el acogido en el ATS 2371/2011, de 10 de febrero. Es cierto que de éstas han de ser excluidas, a los fines que aquí interesan, las SSTS de 30 de marzo de 2011 (recurso de casación número 3143-2006) y 5 de abril de 2011 (recurso número 2520-2009), por no haber sido dictadas por la Sección Primera de la Sala Tercera del Tribunal Supremo, sino por las Secciones Segunda y Cuarta, y el ATC 3673/2011, de 17 de marzo (recurso número 1585-2010), por haber sido dictado en un recurso de casación en el que se impugnaba una sentencia procedente no de la Audiencia Nacional sino de un Tribunal Superior de Justicia. Pero, por el contrario, pueden ser considerados sin reservas los AATS 1932/2011, de 17 de febrero de 2011 (recurso de casación número 4600-2010), 4046-2011, de 24 de marzo (recurso número 3896-2010), 3667-2011, de 17 de marzo (recurso número 6250-2010), y 8516-2011, de 16 de junio (recurso número 5151-2010), pues en todos ellos se trata de recursos de casación entablados contra sentencias dictadas por la Sala de lo Contencioso-Administrativo de la Audiencia Nacional y en ninguno de ellos se exige la indicación en el escrito de preparación del recurso de casación de los concretos preceptos o jurisprudencia que se reputan infringidos o el contenido de las infracciones normativas o jurisprudenciales que se pretendan denunciar y desarrollar en el escrito de interposición del recurso de casación. Lo que permite constatar la efectiva y necesaria identidad entre los supuestos de hecho que constituyen la base de cada una de esas resoluciones.</w:t>
      </w:r>
    </w:p>
    <w:p w:rsidR="0085709A" w:rsidRDefault="0085709A" w:rsidP="0085709A">
      <w:pPr>
        <w:pStyle w:val="TextoNormal"/>
      </w:pPr>
    </w:p>
    <w:p w:rsidR="0085709A" w:rsidRDefault="0085709A" w:rsidP="0085709A">
      <w:pPr>
        <w:pStyle w:val="TextoNormal"/>
      </w:pPr>
      <w:r>
        <w:t>Destaca, en suma, que en la presente hipótesis el auto ahora impugnado —el Auto dictado por la Sección Primera de la Sala de lo Contencioso-Administrativo del Tribunal Supremo en el recurso de casación número 5162-2010 con fecha 10 de noviembre de 2011— no contiene referencia suficiente a la circunstancia de que esa misma Sección hubiera dictado previamente —vigente ya la doctrina fijada por el ATS 2371/2011, de 10 de febrero— al menos otros cuatro autos en sentido diferente al de aquél, como tampoco contiene el auto aquí impugnado una justificación explícita del cambio de criterio producido entre los casos que ahora trae a colación la parte recurrente en amparo y el auto de que ahora se trata, lo cual parece en todo caso inexcusable.</w:t>
      </w:r>
    </w:p>
    <w:p w:rsidR="0085709A" w:rsidRDefault="0085709A" w:rsidP="0085709A">
      <w:pPr>
        <w:pStyle w:val="TextoNormal"/>
      </w:pPr>
    </w:p>
    <w:p w:rsidR="0085709A" w:rsidRDefault="0085709A" w:rsidP="0085709A">
      <w:pPr>
        <w:pStyle w:val="TextoNormal"/>
      </w:pPr>
      <w:r>
        <w:t xml:space="preserve">Entiende finalmente el Ministerio fiscal que, sentado lo anterior, carece de dificultad apreciar en el presente caso la existencia de todos y cada uno de los requisitos establecidos por la antes mencionada doctrina de ese Tribunal Constitucional para que pueda entenderse vulnerado el derecho a la igualdad en la aplicación judicial de la ley (art. 14 CE), pues (i) la parte demandante de amparo ha acreditado el </w:t>
      </w:r>
      <w:r w:rsidRPr="0085709A">
        <w:rPr>
          <w:i/>
        </w:rPr>
        <w:t>tertium comparationis</w:t>
      </w:r>
      <w:r>
        <w:t xml:space="preserve"> exigido al haber señalado en su demanda hasta cuatro autos de la Sección Primera de la Sala de lo Contencioso-Administrativo del Tribunal Supremo [AATS 1932/2011, de 17 de febrero (recurso de casación número 4600-2010), 4046-2011, de 24 de marzo (recurso número 3896-2010), 3667-2011, de 17 de marzo (recurso número 6250-2010), y 8516-2011, de 16 de junio (recurso número 5151-2010)] recaídos en casos análogos al que es objeto del presente recurso de amparo pero con resolución diferente de la recaída en su caso concreto; (ii) existe la identidad de órgano judicial, habida cuenta de que tanto el auto impugnado como los autos de contraste han sido dictados por la Sección Primera de la Sala de lo Contencioso-Administrativo del Tribunal Supremo; (iii) existe alteridad en los supuestos contrastados, es decir, existe esa “referencia a otro” exigible en todo alegato de discriminación en aplicación de la ley, excluyente de la comparación consigo mismo, pues ninguno de los casos de contraste aportados se refieren a la demandante y (iv) es de apreciar la ausencia de toda motivación que justifique en términos generalizables el cambio de criterio, lo que se desprende de la </w:t>
      </w:r>
      <w:r>
        <w:lastRenderedPageBreak/>
        <w:t>mera lectura del auto aquí considerado, que no explica por qué, a pesar de concurrir iguales circunstancias, en unos casos se consideró bastante para tener adecuadamente formalizados los escritos de preparación de los recursos de casación la indicación del concreto o concretos motivos en que se fundaría el recurso, mientras que en el auto de que ahora se trata se exigió, además de ese requisito, el requisito de la mención en igual escrito de los concretos preceptos o jurisprudencia que se reputaran infringidos o el contenido de las infracciones normativas o jurisprudenciales que se pretendieran denunciar y desarrollar en el escrito de interposición del recurso de casación.</w:t>
      </w:r>
    </w:p>
    <w:p w:rsidR="0085709A" w:rsidRDefault="0085709A" w:rsidP="0085709A">
      <w:pPr>
        <w:pStyle w:val="TextoNormal"/>
      </w:pPr>
    </w:p>
    <w:p w:rsidR="0085709A" w:rsidRDefault="0085709A" w:rsidP="0085709A">
      <w:pPr>
        <w:pStyle w:val="TextoNormal"/>
      </w:pPr>
      <w:r>
        <w:t>Termina solicitando que se dicte Sentencia por la que se declare que el auto dictado por la Sección Primera de la Sala de lo Contencioso-Administrativo del Tribunal Supremo en el recurso de casación número 5162-2010 con fecha 10 de noviembre vulneró el derecho de la sociedad Compañía de Distribución Integral Logista, S.A., a la igualdad en la aplicación de la ley (art. 14 CE), con la consecuencia necesaria de la anulación de dicha resolución, así como de la providencia dictada por la Sección Primera de la Sala de lo Contencioso-Administrativo del Tribunal Supremo en el recurso de casación número 5162-2010, con fecha 24 de febrero de 2012, por la que se inadmitió el incidente de nulidad de actuaciones entablado contra aquél auto, para que pueda ser dictada en su lugar otra resolución más respetuosa con el derecho fundamental que ha de declararse vulnerado.</w:t>
      </w:r>
    </w:p>
    <w:p w:rsidR="0085709A" w:rsidRDefault="0085709A" w:rsidP="0085709A">
      <w:pPr>
        <w:pStyle w:val="TextoNormal"/>
      </w:pPr>
    </w:p>
    <w:p w:rsidR="0085709A" w:rsidRDefault="0085709A" w:rsidP="0085709A">
      <w:pPr>
        <w:pStyle w:val="TextoNormal"/>
      </w:pPr>
      <w:r w:rsidRPr="0085709A">
        <w:rPr>
          <w:rStyle w:val="NumeroAFNegritaCaracter"/>
        </w:rPr>
        <w:t>9</w:t>
      </w:r>
      <w:r>
        <w:t>. La demandante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10</w:t>
      </w:r>
      <w:r>
        <w:t>. La Sala Primera de este Tribunal, por ATC 243/2012, de 17 de diciembre, acordó declarar justificada la abstención para el conocimiento del presente recurso de amparo formulada por el Magistrado don Juan José González Rivas,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11</w:t>
      </w:r>
      <w:r>
        <w:t>. El Pleno de este Tribunal, mediante providencia de 9 de abril de 2013, acordó, de conformidad con el art. 10.1 n) LOTC, a propuesta de la Sala Primera, recabar para sí el conocimiento de este recurso de amparo.</w:t>
      </w:r>
    </w:p>
    <w:p w:rsidR="0085709A" w:rsidRDefault="0085709A" w:rsidP="0085709A">
      <w:pPr>
        <w:pStyle w:val="TextoNormal"/>
      </w:pPr>
    </w:p>
    <w:p w:rsidR="0085709A" w:rsidRDefault="0085709A" w:rsidP="0085709A">
      <w:pPr>
        <w:pStyle w:val="TextoNormal"/>
      </w:pPr>
      <w:r w:rsidRPr="0085709A">
        <w:rPr>
          <w:rStyle w:val="NumeroAFNegritaCaracter"/>
        </w:rPr>
        <w:t>12</w:t>
      </w:r>
      <w:r>
        <w:t>. El Pleno de este Tribunal, por ATC 228/2014, de 23 de septiembre, acordó declarar justificada la abstención para el conocimiento del presente recurso de amparo formulada por el Magistrado don Ricardo Enríquez Sancho,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13</w:t>
      </w:r>
      <w:r>
        <w:t>. Por providencia de 20 de enero de 2015 se señaló para la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recurrente en amparo impugna el Auto de la Sección Primera de la Sala de lo Contencioso-Administrativo del Tribunal Supremo de 10 de noviembre de 2011, que acordó no admitir el recurso de casación número 5162-2010, interpuesto contra la Sentencia de la Sala de lo Contencioso-Administrativo de la Audiencia Nacional de 17 de mayo de 2010, dictada en el procedimiento ordinario número 610-2008, y la providencia de 24 de febrero </w:t>
      </w:r>
      <w:r>
        <w:lastRenderedPageBreak/>
        <w:t>de 2012, que no admitió a trámite el incidente de nulidad de actuaciones promovido contra el Auto citado.</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(i) la vulneración de su derecho a la tutela judicial efectiva (art. 24.1 CE), en su vertiente de acceso a los recursos, porque el Auto se funda en un requisito de admisibilidad no exigido por la ley; (ii) la vulneración de su derecho a la tutela judicial efectiva (art. 24.1 CE), en su vertiente de acceso a los recursos, en relación con el principio de seguridad jurídica (art. 9.3 CE),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y (iii) la vulneración de su derecho a la igualdad en la aplicación judicial de la ley (art. 14 CE), pues entiende que ha existido un cambio de criterio del Tribunal Supremo que no cumple con las exigencias que impone el principio de igualdad en la aplicación de la ley.</w:t>
      </w:r>
    </w:p>
    <w:p w:rsidR="0085709A" w:rsidRDefault="0085709A" w:rsidP="0085709A">
      <w:pPr>
        <w:pStyle w:val="TextoNormal"/>
      </w:pPr>
    </w:p>
    <w:p w:rsidR="0085709A" w:rsidRDefault="0085709A" w:rsidP="0085709A">
      <w:pPr>
        <w:pStyle w:val="TextoNormal"/>
      </w:pPr>
      <w:r w:rsidRPr="0085709A">
        <w:rPr>
          <w:rStyle w:val="NumeroAFNegritaCaracter"/>
        </w:rPr>
        <w:t>2</w:t>
      </w:r>
      <w:r>
        <w:t>. En este fundamento se examina la alegación (i) formulada por la parte recurrente y se concluye que debe ser desestimada.</w:t>
      </w:r>
    </w:p>
    <w:p w:rsidR="0085709A" w:rsidRDefault="0085709A" w:rsidP="0085709A">
      <w:pPr>
        <w:pStyle w:val="TextoNormal"/>
      </w:pPr>
    </w:p>
    <w:p w:rsidR="0085709A" w:rsidRDefault="0085709A" w:rsidP="0085709A">
      <w:pPr>
        <w:pStyle w:val="TextoNormal"/>
      </w:pPr>
      <w:r>
        <w:t>La vulneración alegada del derecho a la tutela judicial efectiva se funda por la recurrente en que la exigencia de anticipar en el escrito de preparación del recurso de casación contencioso-administrativo los concretos preceptos o la jurisprudencia que se reputan infringidos no tiene cobertura en la Ley reguladora de la jurisdicción contencioso-administrativa (LJCA), que solo impone este requisito en el supuesto concreto del art. 89.2 LJCA para resoluciones dictadas por los Tribunales Superiores de Justicia.</w:t>
      </w:r>
    </w:p>
    <w:p w:rsidR="0085709A" w:rsidRDefault="0085709A" w:rsidP="0085709A">
      <w:pPr>
        <w:pStyle w:val="TextoNormal"/>
      </w:pPr>
    </w:p>
    <w:p w:rsidR="0085709A" w:rsidRDefault="0085709A" w:rsidP="0085709A">
      <w:pPr>
        <w:pStyle w:val="TextoNormal"/>
      </w:pPr>
      <w:r>
        <w:t>A) El derecho a la tutela judicial efectiva, en su vertiente de derecho de acceso a los recursos, ha sido objeto de numerosos pronunciamientos de este Tribunal, los cuales, en cuanto resultan de aplicación al caso y son relevantes para examinar la adecuación de las resoluciones impugnadas a las exigencias del art. 24.1 CE, pueden resumirse en los siguientes términos:</w:t>
      </w:r>
    </w:p>
    <w:p w:rsidR="0085709A" w:rsidRDefault="0085709A" w:rsidP="0085709A">
      <w:pPr>
        <w:pStyle w:val="TextoNormal"/>
      </w:pPr>
    </w:p>
    <w:p w:rsidR="0085709A" w:rsidRDefault="0085709A" w:rsidP="0085709A">
      <w:pPr>
        <w:pStyle w:val="TextoNormal"/>
      </w:pPr>
      <w:r>
        <w:t>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 (SSTC 182/2006, de 19 de junio, FJ 1; y 35/2011, de 28 de marzo, FJ 3).</w:t>
      </w:r>
    </w:p>
    <w:p w:rsidR="0085709A" w:rsidRDefault="0085709A" w:rsidP="0085709A">
      <w:pPr>
        <w:pStyle w:val="TextoNormal"/>
      </w:pPr>
    </w:p>
    <w:p w:rsidR="0085709A" w:rsidRDefault="0085709A" w:rsidP="0085709A">
      <w:pPr>
        <w:pStyle w:val="TextoNormal"/>
      </w:pPr>
      <w:r>
        <w:t xml:space="preserve">En este sentido, la STC 109/1987, de 29 de junio, declara que “[l]a decisión sobre el cumplimiento de estos requisitos y la comprobación en cada caso de la concurrencia de las exigencias materiales y formales para la admisión o inadmisión del recurso, es competencia jurisdiccional atribuida, exclusivamente, a los órganos judiciales por el art. 117.3 de la Constitución. Concretamente, respecto al recurso de casación en el orden civil, es la Sala </w:t>
      </w:r>
      <w:r>
        <w:lastRenderedPageBreak/>
        <w:t>Primera del Tribunal Supremo la competente para verificar, en último término, si se han cumplido o no los requisitos legales y dictar, en consecuencia, la resolución que corresponda sobre la admisión del recurso” (FJ 2).</w:t>
      </w:r>
    </w:p>
    <w:p w:rsidR="0085709A" w:rsidRDefault="0085709A" w:rsidP="0085709A">
      <w:pPr>
        <w:pStyle w:val="TextoNormal"/>
      </w:pPr>
    </w:p>
    <w:p w:rsidR="0085709A" w:rsidRDefault="0085709A" w:rsidP="0085709A">
      <w:pPr>
        <w:pStyle w:val="TextoNormal"/>
      </w:pPr>
      <w:r>
        <w:t>b) Las formas concretas mediante las cuales se estructura un determinado proceso no tienen naturaleza constitucional, sino que pertenecen a la libertad de decisión del legislador, adoptada en función del equilibrio de intereses y valores a los que sirve el proceso.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 injustificadamente un pronunciamiento sobre el fondo” (STC 74/1983, de 30 de julio, FJ 3).</w:t>
      </w:r>
    </w:p>
    <w:p w:rsidR="0085709A" w:rsidRDefault="0085709A" w:rsidP="0085709A">
      <w:pPr>
        <w:pStyle w:val="TextoNormal"/>
      </w:pPr>
    </w:p>
    <w:p w:rsidR="0085709A" w:rsidRDefault="0085709A" w:rsidP="0085709A">
      <w:pPr>
        <w:pStyle w:val="TextoNormal"/>
      </w:pPr>
      <w:r>
        <w:t>c)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w:t>
      </w:r>
    </w:p>
    <w:p w:rsidR="0085709A" w:rsidRDefault="0085709A" w:rsidP="0085709A">
      <w:pPr>
        <w:pStyle w:val="TextoNormal"/>
      </w:pPr>
    </w:p>
    <w:p w:rsidR="0085709A" w:rsidRDefault="0085709A" w:rsidP="0085709A">
      <w:pPr>
        <w:pStyle w:val="TextoNormal"/>
      </w:pPr>
      <w:r>
        <w:t>d) Este control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w:t>
      </w:r>
      <w:r w:rsidRPr="0085709A">
        <w:rPr>
          <w:i/>
        </w:rPr>
        <w:t>numerus clausus</w:t>
      </w:r>
      <w:r>
        <w:t>—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En particular, este Tribunal tiene declarado que “corresponde al Tribunal Supremo la última palabra sobre la admisibilidad de los recursos de casación ante él interpuestos, salvo lo dispuesto en materia de garantías constitucionales (artículo 123 CE)” (STC 37/1995, de 7 de febrero, FJ 6).</w:t>
      </w:r>
    </w:p>
    <w:p w:rsidR="0085709A" w:rsidRDefault="0085709A" w:rsidP="0085709A">
      <w:pPr>
        <w:pStyle w:val="TextoNormal"/>
      </w:pPr>
    </w:p>
    <w:p w:rsidR="0085709A" w:rsidRDefault="0085709A" w:rsidP="0085709A">
      <w:pPr>
        <w:pStyle w:val="TextoNormal"/>
      </w:pPr>
      <w:r>
        <w:t>B) De acuerdo con la doctrina expuesta en el apartado A), la generalización como requisito procesal de la necesidad de expresar los motivos del recurso de casación en el escrito de preparación entra en el ámbito de interpretación jurisprudencial de los requisitos para acceder al recurso de casación.</w:t>
      </w:r>
    </w:p>
    <w:p w:rsidR="0085709A" w:rsidRDefault="0085709A" w:rsidP="0085709A">
      <w:pPr>
        <w:pStyle w:val="TextoNormal"/>
      </w:pPr>
    </w:p>
    <w:p w:rsidR="0085709A" w:rsidRDefault="0085709A" w:rsidP="0085709A">
      <w:pPr>
        <w:pStyle w:val="TextoNormal"/>
      </w:pPr>
      <w:r>
        <w:lastRenderedPageBreak/>
        <w:t>El artículo 89.1 LJCA exige que se exprese en el escrito de preparación del recurso de casación “la intención de interponer el recurso, con sucinta exposición de la concurrencia de los requisitos de forma exigidos”. En esta enumeración no se integra de forma explícita la necesidad de expresar los motivos en que se funda el recurso, es decir, aquellos que se enumeran en el artículo 88.1 LJCA (abuso, exceso o defecto de jurisdicción, incompetencia o inadecuación del procedimiento, quebrantamiento de las formas esenciales del juicio o de las normas reguladoras de la sentencia e infracción de las normas jurídicas o de la jurisprudencia aplicables) ni la necesidad de expresar las concretas infracciones de la ley y de la jurisprudencia aplicables.</w:t>
      </w:r>
    </w:p>
    <w:p w:rsidR="0085709A" w:rsidRDefault="0085709A" w:rsidP="0085709A">
      <w:pPr>
        <w:pStyle w:val="TextoNormal"/>
      </w:pPr>
    </w:p>
    <w:p w:rsidR="0085709A" w:rsidRDefault="0085709A" w:rsidP="0085709A">
      <w:pPr>
        <w:pStyle w:val="TextoNormal"/>
      </w:pPr>
      <w:r>
        <w:t>Cuando se trata de recursos interpuestos contra resoluciones dictadas por los Tribunales Superiores de Justicia, en el escrito de preparación de estos recursos se debe “justificar que la infracción de una norma estatal o comunitaria europea ha sido relevante y determinante del fallo de la sentencia” (art. 89.2 LJCA), cosa que comporta expresar el motivo o motivos en que se funda el recurso y las concretas infracciones imputadas a la resolución recurrida.</w:t>
      </w:r>
    </w:p>
    <w:p w:rsidR="0085709A" w:rsidRDefault="0085709A" w:rsidP="0085709A">
      <w:pPr>
        <w:pStyle w:val="TextoNormal"/>
      </w:pPr>
    </w:p>
    <w:p w:rsidR="0085709A" w:rsidRDefault="0085709A" w:rsidP="0085709A">
      <w:pPr>
        <w:pStyle w:val="TextoNormal"/>
      </w:pPr>
      <w:r>
        <w:t>El Tribunal Supremo ha acogido la interpretación según la cual la expresión de los motivos del recurso debe exigirse para todos los recursos de casación, también aquellos dirigidos contra resoluciones de la Audiencia Nacional. Esta doctrina ha sido adicionada posteriormente en el sentido de que la expresión de los motivos debe ir acompañada de la expresión de las concretas infracciones de la ley y de la jurisprudencia aplicable.</w:t>
      </w:r>
    </w:p>
    <w:p w:rsidR="0085709A" w:rsidRDefault="0085709A" w:rsidP="0085709A">
      <w:pPr>
        <w:pStyle w:val="TextoNormal"/>
      </w:pPr>
    </w:p>
    <w:p w:rsidR="0085709A" w:rsidRDefault="0085709A" w:rsidP="0085709A">
      <w:pPr>
        <w:pStyle w:val="TextoNormal"/>
      </w:pPr>
      <w:r>
        <w:t>De acuerdo con la jurisprudencia de este Tribunal sobre el ámbito del derecho al recurso en relación con la protección del derecho a la tutela judicial efectiva y su alcance en relación con el recurso de casación, la integración de este requisito procesal, en su doble condición de expresión en el escrito de preparación de los motivos del recurso y de las concretos preceptos legales vulnerados y jurisprudencia infringida, entra dentro de las facultades jurisprudenciales que corresponden al Tribunal Supremo en la interpretación de la ley sobre los requisitos de acceso a la casación; y, en consecuencia, la alegación debe ser desestimada.</w:t>
      </w:r>
    </w:p>
    <w:p w:rsidR="0085709A" w:rsidRDefault="0085709A" w:rsidP="0085709A">
      <w:pPr>
        <w:pStyle w:val="TextoNormal"/>
      </w:pPr>
    </w:p>
    <w:p w:rsidR="0085709A" w:rsidRDefault="0085709A" w:rsidP="0085709A">
      <w:pPr>
        <w:pStyle w:val="TextoNormal"/>
      </w:pPr>
      <w:r w:rsidRPr="0085709A">
        <w:rPr>
          <w:rStyle w:val="NumeroAFNegritaCaracter"/>
        </w:rPr>
        <w:t>3</w:t>
      </w:r>
      <w:r>
        <w:t>. En este fundamento se examina la alegación (ii) formulada por la parte recurrente y se concluye que debe ser estimada.</w:t>
      </w:r>
    </w:p>
    <w:p w:rsidR="0085709A" w:rsidRDefault="0085709A" w:rsidP="0085709A">
      <w:pPr>
        <w:pStyle w:val="TextoNormal"/>
      </w:pPr>
    </w:p>
    <w:p w:rsidR="0085709A" w:rsidRDefault="0085709A" w:rsidP="0085709A">
      <w:pPr>
        <w:pStyle w:val="TextoNormal"/>
      </w:pPr>
      <w:r>
        <w:t>La vulneración alegada del derecho a la tutela judicial efectiva se fundamenta en que la exigencia de anticipar en el escrito de preparación del recurso de casación los concretos preceptos o la jurisprudencia que se reputan infringidos no era predecible en el momento de la preparación del recurso.</w:t>
      </w:r>
    </w:p>
    <w:p w:rsidR="0085709A" w:rsidRDefault="0085709A" w:rsidP="0085709A">
      <w:pPr>
        <w:pStyle w:val="TextoNormal"/>
      </w:pPr>
    </w:p>
    <w:p w:rsidR="0085709A" w:rsidRDefault="0085709A" w:rsidP="0085709A">
      <w:pPr>
        <w:pStyle w:val="TextoNormal"/>
      </w:pPr>
      <w:r>
        <w:t>La lesión alegada se plantea en relación con el hecho de que la nueva resolución dictada por la Sala Tercera del Tribunal Supremo, a juicio del recurrente, comportaba la introducción para los recursos de casación contra sentencias de la Audiencia Nacional de un requisito procesal (la expresión en el escrito de preparación del recurso de casación de los preceptos que se estiman vulnerados y de la jurisprudencia que se considera infringida) que la parte recurrente dice no haber podido conocer en el momento de preparar el recurso y, por consiguiente, no haberse hallado en situación de atender a él.</w:t>
      </w:r>
    </w:p>
    <w:p w:rsidR="0085709A" w:rsidRDefault="0085709A" w:rsidP="0085709A">
      <w:pPr>
        <w:pStyle w:val="TextoNormal"/>
      </w:pPr>
    </w:p>
    <w:p w:rsidR="0085709A" w:rsidRDefault="0085709A" w:rsidP="0085709A">
      <w:pPr>
        <w:pStyle w:val="TextoNormal"/>
      </w:pPr>
      <w:r>
        <w:t xml:space="preserve">A ello se añade que en fecha inmediatamente posterior a la del conocimiento de la citada resolución, concretamente el día 31 de marzo siguiente, la parte presentó un escrito en el </w:t>
      </w:r>
      <w:r>
        <w:lastRenderedPageBreak/>
        <w:t>registro de la Audiencia Nacional en el que, como se hace constar en los antecedentes de esta Sentencia, pretendió dar cumplimiento a la nueva exigencia procesal añadiendo la cita de las infracciones normativas o jurisprudenciales que consideraba infringidas, al objeto de “adecuar el anterior escrito de preparación” a los nuevos requisitos, interesando su remisión al Tribunal Supremo y su unión a las actuaciones, al tiempo que la propia parte comunicaba dicha presentación a dicho Tribunal.</w:t>
      </w:r>
    </w:p>
    <w:p w:rsidR="0085709A" w:rsidRDefault="0085709A" w:rsidP="0085709A">
      <w:pPr>
        <w:pStyle w:val="TextoNormal"/>
      </w:pPr>
    </w:p>
    <w:p w:rsidR="0085709A" w:rsidRDefault="0085709A" w:rsidP="0085709A">
      <w:pPr>
        <w:pStyle w:val="TextoNormal"/>
      </w:pPr>
      <w:r>
        <w:t xml:space="preserve">Como ha destacado este Tribunal,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w:t>
      </w:r>
      <w:r w:rsidRPr="0085709A">
        <w:rPr>
          <w:i/>
        </w:rPr>
        <w:t>pro actione</w:t>
      </w:r>
      <w:r>
        <w:t>”. Además, a diferencia del derecho de acceso a la jurisdicción,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(SSTC 37/1995, de 7 de febrero; 170/1996, de 29 de octubre; 211/1996, de 17 de diciembre, y 88/1997, de 5 de mayo citadas en ella)” (STC 295/2000, de 11 de diciembre, FJ 2).</w:t>
      </w:r>
    </w:p>
    <w:p w:rsidR="0085709A" w:rsidRDefault="0085709A" w:rsidP="0085709A">
      <w:pPr>
        <w:pStyle w:val="TextoNormal"/>
      </w:pPr>
    </w:p>
    <w:p w:rsidR="0085709A" w:rsidRDefault="0085709A" w:rsidP="0085709A">
      <w:pPr>
        <w:pStyle w:val="TextoNormal"/>
      </w:pPr>
      <w:r>
        <w:t>A la vista de la mencionada doctrina y partiendo de que el enjuiciamiento versa sobre un supuesto de acceso al recurso y no de acceso a la jurisdicción, distinción que resulta relevante en el plano de la jurisprudencia constitucional a los efectos de la no aplicación del canon de proporcionalidad en la exigencia de los requisitos legales para el derecho al recurso y del mayor rigor, respecto del derecho de acceso, del canon de constitucionalidad cifrado en la racionalidad de la decisión, se impone ahora el análisis de la decisión judicial de inadmisión del recurso de casación adoptada por el Tribunal Supremo en su ATS de 10 de noviembre de 2011.</w:t>
      </w:r>
    </w:p>
    <w:p w:rsidR="0085709A" w:rsidRDefault="0085709A" w:rsidP="0085709A">
      <w:pPr>
        <w:pStyle w:val="TextoNormal"/>
      </w:pPr>
    </w:p>
    <w:p w:rsidR="0085709A" w:rsidRDefault="0085709A" w:rsidP="0085709A">
      <w:pPr>
        <w:pStyle w:val="TextoNormal"/>
      </w:pPr>
      <w:r>
        <w:t>Atendiendo a lo expuesto la cuestión que debe ser examinada para resolver acerca de la posible vulneración del derecho a la tutela judicial efectiva en su vertiente de acceso a los recursos invocada por el demandante desde el prisma de la exigencia de racionalidad de esa decisión es si la resolución del Tribunal Supremo no admitiendo la subsanación de los defectos procesales del escrito de preparación, habida cuenta del cambio jurisprudencial producido, es compatible con las exigencias del derecho invocado.</w:t>
      </w:r>
    </w:p>
    <w:p w:rsidR="0085709A" w:rsidRDefault="0085709A" w:rsidP="0085709A">
      <w:pPr>
        <w:pStyle w:val="TextoNormal"/>
      </w:pPr>
    </w:p>
    <w:p w:rsidR="0085709A" w:rsidRDefault="0085709A" w:rsidP="0085709A">
      <w:pPr>
        <w:pStyle w:val="TextoNormal"/>
      </w:pPr>
      <w:r>
        <w:t xml:space="preserve">El examen de los antecedentes del caso permite advertir que el escrito de preparación del recurso se presentó en un momento anterior a dictarse el ATS de 10 de febrero de 2011 (recurso de casación 2927-2010), en que se establecía el nuevo requisito; en fecha inmediatamente posterior a la del conocimiento de la citada resolución, concretamente el día 31 de marzo siguiente, la parte presentó un escrito en el registro de la Audiencia Nacional en el que, como se hace constar en los antecedentes de esta Sentencia, pretendió dar cumplimiento a la nueva exigencia procesal añadiendo la cita de las infracciones normativas o jurisprudenciales que consideraba infringidas, al objeto de “adecuar el anterior escrito de preparación” a los nuevos requisitos, interesando su remisión al Tribunal Supremo y su unión a las actuaciones, al tiempo que la propia parte comunicaba dicha presentación a dicho Tribunal. </w:t>
      </w:r>
      <w:r>
        <w:lastRenderedPageBreak/>
        <w:t>Por diligencia de ordenación de 11 de enero de 2012 la Sala Tercera (Sección Primera) del Tribunal Supremo tuvo por recibido de la Audiencia Nacional y ordenó unir el escrito a las actuaciones de instancia.</w:t>
      </w:r>
    </w:p>
    <w:p w:rsidR="0085709A" w:rsidRDefault="0085709A" w:rsidP="0085709A">
      <w:pPr>
        <w:pStyle w:val="TextoNormal"/>
      </w:pPr>
    </w:p>
    <w:p w:rsidR="0085709A" w:rsidRDefault="0085709A" w:rsidP="0085709A">
      <w:pPr>
        <w:pStyle w:val="TextoNormal"/>
      </w:pPr>
      <w:r>
        <w:t>Pues bien, a la luz de las circunstancias fácticas descritas, desde la perspectiva del derecho a la tutela judicial efectiva que se invoca, la decisión de inadmitir el recurso de casación, sin atribuir ninguna virtualidad al escrito presentado por el demandante para dar satisfacción a las nuevas exigencias procesales ha vulnerado el derecho invocado.</w:t>
      </w:r>
    </w:p>
    <w:p w:rsidR="0085709A" w:rsidRDefault="0085709A" w:rsidP="0085709A">
      <w:pPr>
        <w:pStyle w:val="TextoNormal"/>
      </w:pPr>
    </w:p>
    <w:p w:rsidR="0085709A" w:rsidRDefault="0085709A" w:rsidP="0085709A">
      <w:pPr>
        <w:pStyle w:val="TextoNormal"/>
      </w:pPr>
      <w:r>
        <w:t xml:space="preserve">Es cierto que el órgano judicial dio respuesta, en el fundamento jurídico 5 del Auto de fecha 10 de noviembre de 2011, a la alegación del demandante respecto del intento de subsanación llevado a cabo. Sin embargo, esa respuesta se limitó a destacar la relevancia del escrito de preparación del recurso de casación, tanto para el Tribunal </w:t>
      </w:r>
      <w:r w:rsidRPr="0085709A">
        <w:rPr>
          <w:i/>
        </w:rPr>
        <w:t>a quo</w:t>
      </w:r>
      <w:r>
        <w:t xml:space="preserve"> como para la parte recurrida, y a poner de manifiesto que los requisitos relativos a dicho escrito deben ser cumplidos en el estadio procesal pertinente y no con posterioridad, pero omitió cualquier consideración sobre la conducta desarrollada por la demandante a raíz de tomar conocimiento de la doctrina establecida por el Auto de fecha 10 de febrero de 2011 y, sobre todo, no tuvo en cuenta que el intento de subsanación a que se ha hecho referencia era el único medio del que aquélla disponía para adecuar su conducta procesal a la doctrina establecida por el Tribunal Supremo.</w:t>
      </w:r>
    </w:p>
    <w:p w:rsidR="0085709A" w:rsidRDefault="0085709A" w:rsidP="0085709A">
      <w:pPr>
        <w:pStyle w:val="TextoNormal"/>
      </w:pPr>
    </w:p>
    <w:p w:rsidR="0085709A" w:rsidRDefault="0085709A" w:rsidP="0085709A">
      <w:pPr>
        <w:pStyle w:val="TextoNormal"/>
      </w:pPr>
      <w:r>
        <w:t>A la vista de lo expuesto, quedó constatada la diligente respuesta del demandante al presentar el escrito para “adecuar el anterior escrito de preparación”, así como que la providencia del Tribunal Supremo dando nuevo traslado a la partes para que formularan alegaciones sobre la concurrencia de causa de inadmisión, por no haber citado en el escrito de preparación las infracciones normativas o jurisprudenciales, permitió satisfacer las finalidades asociadas al escrito de preparación a las que se refiere el fundamento jurídico 5 del Auto impugnado: i) efectuar un juicio sobre la procedencia del recurso; ii) proporcionar a la parte recurrida información acerca de los motivos en que se fundamentó el recurso de casación por lo que, dadas las particularidades del caso tales motivos ya se habían explicitado en el recurso interpuesto.</w:t>
      </w:r>
    </w:p>
    <w:p w:rsidR="0085709A" w:rsidRDefault="0085709A" w:rsidP="0085709A">
      <w:pPr>
        <w:pStyle w:val="TextoNormal"/>
      </w:pPr>
    </w:p>
    <w:p w:rsidR="0085709A" w:rsidRDefault="0085709A" w:rsidP="0085709A">
      <w:pPr>
        <w:pStyle w:val="TextoNormal"/>
      </w:pPr>
      <w:r>
        <w:t>Por lo tanto esas finalidades, se satisfacían ante el Tribunal Supremo, si bien al demandante le había sido imposible cumplir con esas exigencias procesales anteriormente, en tanto que al presentar el escrito de preparación las mismas no eran necesarias, obedeciendo su imposición a un cambio jurisprudencial posterior.</w:t>
      </w:r>
    </w:p>
    <w:p w:rsidR="0085709A" w:rsidRDefault="0085709A" w:rsidP="0085709A">
      <w:pPr>
        <w:pStyle w:val="TextoNormal"/>
      </w:pPr>
    </w:p>
    <w:p w:rsidR="0085709A" w:rsidRDefault="0085709A" w:rsidP="0085709A">
      <w:pPr>
        <w:pStyle w:val="TextoNormal"/>
      </w:pPr>
      <w:r>
        <w:t xml:space="preserve">La parte recurrente extremó su diligencia para dar cumplimiento a todos los requisitos procesales exigidos por la Jurisprudencia de la Sala, incluidos los que habían sido añadidos por el cambio de su doctrina sobre la admisión, tomando la iniciativa de presentar un escrito complementario de adecuación a las nuevas exigencias, y, pese a ello, el Tribunal sin ponderar las circunstancias concurrentes: la diligencia con la que actuó la recurrente, la imposibilidad de cumplir con los requisitos procesales en el momento procedente, la satisfacción de las finalidades del escrito de preparación a través del escrito de adecuación presentado, inadmitió el recurso, por lo que puede concluirse que el Tribunal Supremo no dio una respuesta racional adaptada al caso sometido a su enjuiciamiento. Ciertamente, si el demandante no hubiera satisfecho dicha carga procesal, acomodándose al cambio jurisprudencial </w:t>
      </w:r>
      <w:r>
        <w:lastRenderedPageBreak/>
        <w:t>con la presentación del referido escrito, la conclusión que habríamos alcanzado sería precisamente la contraria, desestimando la invocada vulneración.</w:t>
      </w:r>
    </w:p>
    <w:p w:rsidR="0085709A" w:rsidRDefault="0085709A" w:rsidP="0085709A">
      <w:pPr>
        <w:pStyle w:val="TextoNormal"/>
      </w:pPr>
    </w:p>
    <w:p w:rsidR="0085709A" w:rsidRDefault="0085709A" w:rsidP="0085709A">
      <w:pPr>
        <w:pStyle w:val="TextoNormal"/>
      </w:pPr>
      <w:r>
        <w:t>Por ello, desde el parámetro de la racionalidad, empleado para el análisis de las resoluciones impugnadas —ATS de 10 de noviembre de 2011 y ulterior providencia de 14 de febrero de 2012—, no puede llegarse a otra conclusión que la de que dichas resoluciones no cumplen con las exigencias propias de aquel, pues las razones esgrimidas para rechazar la pretensión impugnatoria de la parte que dio satisfacción a las nuevas exigencias jurisprudenciales antes de que se resolviera sobre la admisión del recurso de casación, cuando no pudo hacerlo con anterioridad por causas que no fueron debidas a su pasividad o falta de diligencia, adolecen de una insuficiente justificación que satisfaga las exigencias de tutela que demandaba el canon de racionalidad que es propio de esta manifestación del derecho a la tutela judicial efectiva. Con reiteración, este Tribunal ha declarado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(STC 37/1995, FJ 2).</w:t>
      </w:r>
    </w:p>
    <w:p w:rsidR="0085709A" w:rsidRDefault="0085709A" w:rsidP="0085709A">
      <w:pPr>
        <w:pStyle w:val="TextoNormal"/>
      </w:pPr>
    </w:p>
    <w:p w:rsidR="0085709A" w:rsidRDefault="0085709A" w:rsidP="0085709A">
      <w:pPr>
        <w:pStyle w:val="TextoNormal"/>
      </w:pPr>
      <w:r>
        <w:t>Por las razones expuestas, sin que sea visto en esta Sentencia prejuzgar el fondo de la cuestión, la efectividad del derecho a la tutela judicial efectiva (art. 24.1 CE) requiere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
      </w:pPr>
      <w:r>
        <w:t>El motivo debe ser, pues, estimado.</w:t>
      </w:r>
    </w:p>
    <w:p w:rsidR="0085709A" w:rsidRDefault="0085709A" w:rsidP="0085709A">
      <w:pPr>
        <w:pStyle w:val="TextoNormal"/>
      </w:pPr>
    </w:p>
    <w:p w:rsidR="0085709A" w:rsidRDefault="0085709A" w:rsidP="0085709A">
      <w:pPr>
        <w:pStyle w:val="TextoNormal"/>
      </w:pPr>
      <w:r w:rsidRPr="0085709A">
        <w:rPr>
          <w:rStyle w:val="NumeroAFNegritaCaracter"/>
        </w:rPr>
        <w:t>4</w:t>
      </w:r>
      <w:r>
        <w:t>. En este fundamento se examina la alegación (iii) formulada por la parte recurrente y se concluye que debe ser desestimada, en los términos en que se plantea, sin perjuicio de la apreciación de la vulneración del derecho reconocido en el art. 24 CE que se examina en el anterior fundamento jurídico.</w:t>
      </w:r>
    </w:p>
    <w:p w:rsidR="0085709A" w:rsidRDefault="0085709A" w:rsidP="0085709A">
      <w:pPr>
        <w:pStyle w:val="TextoNormal"/>
      </w:pPr>
    </w:p>
    <w:p w:rsidR="0085709A" w:rsidRDefault="0085709A" w:rsidP="0085709A">
      <w:pPr>
        <w:pStyle w:val="TextoNormal"/>
      </w:pPr>
      <w:r>
        <w:t>Según la STC 134/1990, de 19 de julio, “[e]ste Tribunal, en jurisprudencia tan reiterada que excusa su cita concreta, se ha pronunciado ya acerca de los presupuestos esenciales que han de concurrir para dotar de relevancia constitucional a toda pretensión de amparo que se fundamente en la desigual aplicación de la Ley por los órganos de la jurisdicción ordinaria. Estos requisitos fundamentales pueden resumirse en dos: La necesaria aportación de un término hábil de comparación que acredite la igualdad de supuestos de hecho decididos, y la constatación de una modificación arbitraria o injustificada por el mismo órgano judicial respecto de sus decisiones anteriores, y todo ello, con independencia de que la variación de criterio respecto de la doctrina anterior puede efectuarse sin lesión del derecho fundamental que se examina, siempre que el cambio de criterio se motive y fundamente de forma oportuna por el órgano judicial, como también se ha señalado, entre otras, en las SSTC 125/1986, 48/1987, 63/1988, y 100/1988.” (FJ 1).</w:t>
      </w:r>
    </w:p>
    <w:p w:rsidR="0085709A" w:rsidRDefault="0085709A" w:rsidP="0085709A">
      <w:pPr>
        <w:pStyle w:val="TextoNormal"/>
      </w:pPr>
    </w:p>
    <w:p w:rsidR="0085709A" w:rsidRDefault="0085709A" w:rsidP="0085709A">
      <w:pPr>
        <w:pStyle w:val="TextoNormal"/>
      </w:pPr>
      <w:r>
        <w:t xml:space="preserve">La queja relativa a la presunta vulneración del principio de igualdad en la aplicación de la ley no puede apreciarse en los términos en que se plantea porque la solución interpretativa del Auto impugnado cumple los requisitos exigidos por la jurisprudencia constitucional para </w:t>
      </w:r>
      <w:r>
        <w:lastRenderedPageBreak/>
        <w:t xml:space="preserve">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(SSTC 25/1999, de 8 de marzo, FJ 5; y 105/2009, de 4 de mayo, FJ 5), y razona explícitamente la alteración doctrinal, que se justifica a partir de la finalidad que debe cumplir el escrito de preparación del recurso de casación. Los AATS de 14 de octubre de 2010, recursos de casación 951-2010 y 573-2010; 18 de noviembre de 2010, recurso de casación 3461-2010; 25 de noviembre de 2010, recursos de casación 1886-2010 y 2738-2010; y 2 de diciembre de 2010, recursos de casación 3852-2010 y 5030-2010, han introducido un nuevo criterio jurisprudencial, precisado luego por el ATS de 10 de febrero de 2011, al que se ajusta el ATS 10 de noviembre de 2011, ahora impugnado, el cual no supone una quiebra singular o particularizada del criterio del Tribunal Supremo (ATC 9/1989, de 13 de enero, FJ 3).</w:t>
      </w:r>
    </w:p>
    <w:p w:rsidR="0085709A" w:rsidRDefault="0085709A" w:rsidP="0085709A">
      <w:pPr>
        <w:pStyle w:val="TextoNormal"/>
      </w:pPr>
    </w:p>
    <w:p w:rsidR="0085709A" w:rsidRDefault="0085709A" w:rsidP="0085709A">
      <w:pPr>
        <w:pStyle w:val="TextoNormal"/>
      </w:pPr>
      <w:r>
        <w:t>Sin embargo, como este Tribunal ha admitido (entre otras, en STC 58/1986, de 14 de mayo, FJ 3, y, en sentido análogo, SSTC 12/1988, de 3 de febrero, FJ 3, y 27/1988, de 23 de febrero, FJ 4), en casos límite en que se invoca el principio de igualdad, pero falta un elemento hábil de comparación con un precedente judicial, no cabe excluir la apreciación de la falta de racionalidad como determinante de la vulneración del derecho a la tutela judicial efectiva, cuando concurren las circunstancias que justifican tal apreciación, abandonando el marco del art. 14 CE para buscar cobijo en el del art. 24 CE, por lo que procede remitirse en este punto a lo razonado en el fundamento jurídico anterior.</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es procedente la 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la entidad Compañía de Distribución Integral Logista, S.A., y, en su virtud:</w:t>
      </w:r>
    </w:p>
    <w:p w:rsidR="0085709A" w:rsidRDefault="0085709A" w:rsidP="0085709A">
      <w:pPr>
        <w:pStyle w:val="TextoNormal"/>
      </w:pPr>
    </w:p>
    <w:p w:rsidR="0085709A" w:rsidRDefault="0085709A" w:rsidP="0085709A">
      <w:pPr>
        <w:pStyle w:val="TextoNormal"/>
      </w:pPr>
      <w:r>
        <w:t>1º Declarar que ha sido vulnerado el derecho fundamental de la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del Auto de 10 de noviembre de 2011 y de la providencia de 24 de febrero de 2012, dictados en el recurso de casación núm. 5162-2010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lastRenderedPageBreak/>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enero de dos mil quince.</w:t>
      </w:r>
    </w:p>
    <w:p w:rsidR="0085709A" w:rsidRDefault="0085709A" w:rsidP="0085709A">
      <w:pPr>
        <w:pStyle w:val="ParrafoNormal"/>
      </w:pPr>
    </w:p>
    <w:p w:rsidR="0085709A" w:rsidRDefault="0085709A" w:rsidP="0085709A">
      <w:pPr>
        <w:pStyle w:val="TextoNormalNegritaCentrado"/>
        <w:keepNext/>
      </w:pPr>
      <w:r>
        <w:t>Voto particular concurrente que formula el Magistrado don Juan Antonio Xiol Ríos, al que se adhieren los Magistrados doña Adela Asua Batarrita, don Luis Ignacio Ortega Álvarez y don Fernando Valdés Dal-Ré, a la Sentencia dictada en el recurso de amparo avocado núm. 2399-2012.</w:t>
      </w:r>
    </w:p>
    <w:p w:rsidR="0085709A" w:rsidRDefault="0085709A" w:rsidP="0085709A">
      <w:pPr>
        <w:pStyle w:val="TextoNormalNegritaCentrado"/>
        <w:keepNext/>
      </w:pPr>
    </w:p>
    <w:p w:rsidR="0085709A" w:rsidRDefault="0085709A" w:rsidP="0085709A">
      <w:pPr>
        <w:pStyle w:val="TextoNormal"/>
      </w:pPr>
      <w:r>
        <w:t>Con respeto a la opinión mayoritaria de mis compañeros en la que se sustenta la Sentencia, manifiesto mi discrepancia con la fundamentación jurídica de esta.</w:t>
      </w:r>
    </w:p>
    <w:p w:rsidR="0085709A" w:rsidRDefault="0085709A" w:rsidP="0085709A">
      <w:pPr>
        <w:pStyle w:val="TextoNormal"/>
      </w:pPr>
    </w:p>
    <w:p w:rsidR="0085709A" w:rsidRDefault="0085709A" w:rsidP="0085709A">
      <w:pPr>
        <w:pStyle w:val="TextoNormal"/>
      </w:pPr>
      <w:r>
        <w:t>1. La demandante de amparo invoca, en primer lugar, la vulneración del derecho a la tutela judicial efectiva (art. 24.1 CE) fundándose en que la exigencia de citar los preceptos o la jurisprudencia que se reputan infringidos en el escrito de preparación del recurso de casación contencioso-administrativo contra resoluciones de la Audiencia Nacional carece de cobertura en la Ley reguladora de la jurisdicción contencioso-administrativa (LJCA).</w:t>
      </w:r>
    </w:p>
    <w:p w:rsidR="0085709A" w:rsidRDefault="0085709A" w:rsidP="0085709A">
      <w:pPr>
        <w:pStyle w:val="TextoNormal"/>
      </w:pPr>
    </w:p>
    <w:p w:rsidR="0085709A" w:rsidRDefault="0085709A" w:rsidP="0085709A">
      <w:pPr>
        <w:pStyle w:val="TextoNormal"/>
      </w:pPr>
      <w:r>
        <w:t>Comparto la idea reiterada en la jurisprudencia constitucional y expuesta en la Sentencia en el sentido de que el derecho de acceso a los recursos es un derecho de configuración legal —a salvo la especialidad del derecho a la doble instancia en el caso de las Sentencias de condena penales—; de que la tarea de interpretación de los requisitos exigidos por las normas para la admisión de los recursos, como materia de legalidad ordinaria, está reservada a los Jueces y Tribunales (art. 117.3 CE); de que, en consecuencia, no corresponde a este Tribunal revisar la aplicación judicial de las normas sobre admisión de recursos, salvo en los casos de inadmisión cuando esta se declara con base en una causa legalmente inexistente (retengamos esto) o mediante un juicio arbitrario, irrazonable o fundado en un error fáctico patente (entre otras, SSTC 55/2008, de 14 de abril, FJ 2; 186/2008, de 26 de diciembre, FJ 2; 42/2009, de 9 de febrero, FJ 2; o 130/2012, de 18 de junio, FJ 2); de que, finalmente, corresponde al Tribunal Supremo la última palabra sobre la admisibilidad de los recursos de casación (STC 37/1995, de 7 de febrero, FJ 6).</w:t>
      </w:r>
    </w:p>
    <w:p w:rsidR="0085709A" w:rsidRDefault="0085709A" w:rsidP="0085709A">
      <w:pPr>
        <w:pStyle w:val="TextoNormal"/>
      </w:pPr>
    </w:p>
    <w:p w:rsidR="0085709A" w:rsidRDefault="0085709A" w:rsidP="0085709A">
      <w:pPr>
        <w:pStyle w:val="TextoNormal"/>
      </w:pPr>
      <w:r>
        <w:t>Considero, sin embargo, que, en aplicación de esta jurisprudencia, en este caso especial, debería haberse apreciado también por este motivo la lesión del art. 24.1 CE, ya que la decisión de inadmisión impugnada se ha basado en una causa que debe considerarse legalmente inexistente.</w:t>
      </w:r>
    </w:p>
    <w:p w:rsidR="0085709A" w:rsidRDefault="0085709A" w:rsidP="0085709A">
      <w:pPr>
        <w:pStyle w:val="TextoNormal"/>
      </w:pPr>
    </w:p>
    <w:p w:rsidR="0085709A" w:rsidRDefault="0085709A" w:rsidP="0085709A">
      <w:pPr>
        <w:pStyle w:val="TextoNormal"/>
      </w:pPr>
      <w:r>
        <w:t xml:space="preserve">En efecto, (i) el escrito de preparación del recurso de casación y el escrito de interposición del recurso de casación son actos separados correspondientes a momentos procesales distintos y sometidos al cumplimiento de requisitos diferentes; (ii) la exigencia de que se citen las normas o la jurisprudencia que se consideren infringidas se establece expresamente como requisito del contenido del escrito de interposición (art. 92.1 LJCA) y no figura ente los requisitos exigidos para el escrito de preparación (art. 89.1 LJCA); de donde se sigue (iii) que el requisito de que se citen las normas o la jurisprudencia que se consideren infringidas es solo exigible para el escrito de interposición pero no para el de preparación y que considerarlo embebido, como ha opinado la mayoría del Tribunal, en “los requisitos de </w:t>
      </w:r>
      <w:r>
        <w:lastRenderedPageBreak/>
        <w:t>forma exigidos” (cuya concurrencia debe expresarse en el escrito de preparación) violenta el texto de la Ley.</w:t>
      </w:r>
    </w:p>
    <w:p w:rsidR="0085709A" w:rsidRDefault="0085709A" w:rsidP="0085709A">
      <w:pPr>
        <w:pStyle w:val="TextoNormal"/>
      </w:pPr>
    </w:p>
    <w:p w:rsidR="0085709A" w:rsidRDefault="0085709A" w:rsidP="0085709A">
      <w:pPr>
        <w:pStyle w:val="TextoNormal"/>
      </w:pPr>
      <w:r>
        <w:t>En suma, debe reconocerse que la resolución de inadmisión impugnada se funda en una “causa legalmente inexistente”, cuya introducción no puede justificarse por el propósito perseguido por el Tribunal Supremo de reducir la inevitable tensión que, frente a ciertas ventajas, supone la opción legislativa de mantener en la casación contencioso-administrativa la duplicidad de escritos de iniciación del recurso de casación (preparación e interposición), frente a la opción de suprimir esta duplicidad, que fue la seguida en el orden jurisdiccional civil en la última reforma del régimen de dicho recurso realizada paralelamente (art. 477 de la Ley de enjuiciamiento civil, modificado por la Ley 37/2011, de 10 de octubre).</w:t>
      </w:r>
    </w:p>
    <w:p w:rsidR="0085709A" w:rsidRDefault="0085709A" w:rsidP="0085709A">
      <w:pPr>
        <w:pStyle w:val="TextoNormal"/>
      </w:pPr>
    </w:p>
    <w:p w:rsidR="0085709A" w:rsidRDefault="0085709A" w:rsidP="0085709A">
      <w:pPr>
        <w:pStyle w:val="TextoNormal"/>
      </w:pPr>
      <w:r>
        <w:t>La cuestión no reside, por consiguiente, en que el Tribunal Supremo haya realizado una nueva interpretación de las previsiones de la LJCA acerca de la preparación del recurso de casación, lo cual en sí mismo no puede objetarse, sino en que esta interpretación, al incorporar nuevos requisitos que alteran el sistema establecido por el legislador, conduce a resultados irrazonables. Por ello, las resoluciones impugnadas no superan el canon establecido por este Tribunal en relación a la inadmisión de los recursos, el cual, cuando está en juego el derecho consagrado en el art. 24.1 CE, se constriñe a exigir que las resoluciones de inadmisión sean razonables y que no incurran en arbitrariedad o en error patente (entre otras, STC 248/2006, 24 de julio).</w:t>
      </w:r>
    </w:p>
    <w:p w:rsidR="0085709A" w:rsidRDefault="0085709A" w:rsidP="0085709A">
      <w:pPr>
        <w:pStyle w:val="TextoNormal"/>
      </w:pPr>
    </w:p>
    <w:p w:rsidR="0085709A" w:rsidRDefault="0085709A" w:rsidP="0085709A">
      <w:pPr>
        <w:pStyle w:val="TextoNormal"/>
      </w:pPr>
      <w:r>
        <w:t>2. La demandante de amparo invoca, en segundo lugar, la vulneración del derecho a la tutela judicial efectiva (art. 24.1 CE) fundándose en que (i) la exigencia de anticipar en el escrito de preparación del recurso de casación los concretos preceptos o la jurisprudencia que se reputan infringidos no era predecible en el momento de la preparación del recurso; y (ii) no fue tomado en consideración el escrito de adecuación a la nueva jurisprudencia, que, tan pronto como fue conocida, presentó la recurrente.</w:t>
      </w:r>
    </w:p>
    <w:p w:rsidR="0085709A" w:rsidRDefault="0085709A" w:rsidP="0085709A">
      <w:pPr>
        <w:pStyle w:val="TextoNormal"/>
      </w:pPr>
    </w:p>
    <w:p w:rsidR="0085709A" w:rsidRDefault="0085709A" w:rsidP="0085709A">
      <w:pPr>
        <w:pStyle w:val="TextoNormal"/>
      </w:pPr>
      <w:r>
        <w:t xml:space="preserve">La opinión de la mayoría del Tribunal en que se sustenta la Sentencia defiende que se ha producido una vulneración del art. 24.1 CE por no haberse tomado en consideración la circunstancia de que la demandante, tras el cambio de jurisprudencia respecto de los requisitos formales que debían cumplirse en el escrito de preparación del recurso, subsanó la falta mediante un nuevo escrito dirigido a la Audiencia Nacional. Creo sinceramente que con esta solución se trata eludir el problema directamente planteado por el caso que enjuiciamos, que es el de la existencia o no de límites a la aplicación retroactiva de la jurisprudencia o, en los términos en que ha sido examinado por el Tribunal Europeo de Derechos Humanos (SSTEDH de 7 de febrero de 2012, caso </w:t>
      </w:r>
      <w:r w:rsidRPr="0085709A">
        <w:rPr>
          <w:i/>
        </w:rPr>
        <w:t>Alimuçaj c. Albania</w:t>
      </w:r>
      <w:r>
        <w:t xml:space="preserve">, §150 y §156; y de 21 de octubre de 2013, caso </w:t>
      </w:r>
      <w:r w:rsidRPr="0085709A">
        <w:rPr>
          <w:i/>
        </w:rPr>
        <w:t>Del Río Prada c. España</w:t>
      </w:r>
      <w:r>
        <w:t>, § 93), el problema de la exigencia de previsibilidad de la jurisprudencia en casos en que este requisito está en directa relación con la exigencia de esta circunstancia respecto de la ley.</w:t>
      </w:r>
    </w:p>
    <w:p w:rsidR="0085709A" w:rsidRDefault="0085709A" w:rsidP="0085709A">
      <w:pPr>
        <w:pStyle w:val="TextoNormal"/>
      </w:pPr>
    </w:p>
    <w:p w:rsidR="0085709A" w:rsidRDefault="0085709A" w:rsidP="0085709A">
      <w:pPr>
        <w:pStyle w:val="TextoNormal"/>
      </w:pPr>
      <w:r>
        <w:t xml:space="preserve">El cambio de criterio jurisprudencial, debidamente motivado, que se deriva tanto de la evolución de la propia doctrina originada en los órganos superiores, a través de los recursos de casación y de revisión, como de la confirmación de resoluciones suficientemente fundadas de los inferiores es considerado por este Tribunal como acorde con la Constitución (STC 246/1993, de 19 de julio, FJ 3). Ahora bien, los cambios jurisprudenciales están sometidos a las garantías constitucionales no solo en lo que se refiere a la exigencia de motivación de </w:t>
      </w:r>
      <w:r>
        <w:lastRenderedPageBreak/>
        <w:t>la nueva jurisprudencia que se establezca, sino también al alcance temporal de las consecuencias que se puedan derivar de ese nuevo criterio jurisprudencial.</w:t>
      </w:r>
    </w:p>
    <w:p w:rsidR="0085709A" w:rsidRDefault="0085709A" w:rsidP="0085709A">
      <w:pPr>
        <w:pStyle w:val="TextoNormal"/>
      </w:pPr>
    </w:p>
    <w:p w:rsidR="0085709A" w:rsidRDefault="0085709A" w:rsidP="0085709A">
      <w:pPr>
        <w:pStyle w:val="TextoNormal"/>
      </w:pPr>
      <w:r>
        <w:t>En vía de principio, el ámbito de aplicación de la jurisprudencia, desde el punto de vista temporal, es el mismo que corresponde a la ley que interpreta. La jurisprudencia es, por su propia naturaleza, de aplicación inmediata a todos los casos sometidos a los tribunales a los que la norma sea aplicable por razones temporales, con arreglo a lo que se ha calificado, especialmente en el ámbito del Derecho procesal, como principio de retroactividad mínima, en la línea del “mínimo efecto retroactivo” (STC 95/1993, de 23 de marzo) al que se refiere la resolución impugnada en amparo, y de la aplicación inmediata del nuevo criterio, equivalente a dar eficacia retroactiva al cambio sobrevenido (</w:t>
      </w:r>
      <w:r w:rsidRPr="0085709A">
        <w:rPr>
          <w:i/>
        </w:rPr>
        <w:t>regular retroaction</w:t>
      </w:r>
      <w:r>
        <w:t>), según subraya la doctrina científica. Esto es una consecuencia del carácter accesorio y complementario de la jurisprudencia respecto de la ley que aplica e interpreta, una de cuyas manifestaciones se refleja en el artículo 161.1 a), inciso segundo, CE cuando dice que “[l]a declaración de inconstitucionalidad de una norma jurídica con rango de ley, interpretada por la jurisprudencia, afectará a ésta, si bien la sentencia o sentencias recaídas no perderán el valor de cosa juzgada”.</w:t>
      </w:r>
    </w:p>
    <w:p w:rsidR="0085709A" w:rsidRDefault="0085709A" w:rsidP="0085709A">
      <w:pPr>
        <w:pStyle w:val="TextoNormal"/>
      </w:pPr>
    </w:p>
    <w:p w:rsidR="0085709A" w:rsidRDefault="0085709A" w:rsidP="0085709A">
      <w:pPr>
        <w:pStyle w:val="TextoNormal"/>
      </w:pPr>
      <w:r>
        <w:t>Sin embargo, la eficacia retroactiva de los cambios de criterio jurisprudencial que se deduce de este principio no es absoluta, pues no puede prevalecer cuando implica el sacrificio de derechos o valores que la Constitución protege frente a la aplicación retroactiva de las normas, en aras de los principios de protección de situaciones consolidadas, de garantía de la seguridad jurídica, de proscripción de la arbitrariedad y de efectividad del principio de legalidad penal. Resultaría inadmisible que aquello que está vedado al legislador, y en general a los “poderes públicos” (artículo 9.3 CE) por respeto a tales principios estuviera abierto, sin la debida justificación, a la interpretación de la ley por el camino de la evolución de la jurisprudencia con idénticos efectos. Tampoco el propio artículo 161.1 a) CE, como acabamos de ver, impone con carácter absoluto la retroactividad de la modificación jurisprudencial que resulta de la anulación de la ley que la soporta, pues se refiere como uno de sus límites a la cosa juzgada (STC 12/1989, de 25 de enero).</w:t>
      </w:r>
    </w:p>
    <w:p w:rsidR="0085709A" w:rsidRDefault="0085709A" w:rsidP="0085709A">
      <w:pPr>
        <w:pStyle w:val="TextoNormal"/>
      </w:pPr>
    </w:p>
    <w:p w:rsidR="0085709A" w:rsidRDefault="0085709A" w:rsidP="0085709A">
      <w:pPr>
        <w:pStyle w:val="TextoNormal"/>
      </w:pPr>
      <w:r>
        <w:t>De ese modo, la eficacia temporal del cambio de criterio jurisprudencial debe ser templada cuando su aplicación se traduce, en la práctica, en la exigencia de un requisito procesal de carácter formal del que depende la acción o el recurso que no se entendía exigible en el momento de la presentación del escrito, pues así lo impone el parámetro constitucional de la racionalidad de la decisión judicial. El nuevo criterio jurisprudencial no puede aplicarse a los recurrentes o demandantes que no podían tener conocimiento de él en el momento de presentar la demanda o el recurso. En efecto, la existencia, en la práctica, de un requisito procesal de carácter formal, del que depende la admisibilidad de la acción o el recurso, que debe ser salvado por la parte a quien resulta imposible su conocimiento en el momento en que debe ser cumplido implica, cualquiera que sea su génesis, una interpretación de los requisitos para el ejercicio de la acción o del recurso que es obligado considerar como no adecuado al principio de racionalidad, por cuanto (a) se opone al principio racional de que nadie puede ser obligado a cumplir lo que no es exigible; y (b) supone la quiebra del principio de confianza legítima en la actuación de los poderes públicos, cuando estos crean una expectativa fundada en la que se basa la conducta del ciudadano que se acomoda a ella. Este principio se relaciona con el principio de seguridad jurídica constitucionalmente consa</w:t>
      </w:r>
      <w:r>
        <w:lastRenderedPageBreak/>
        <w:t>grado, definido por este Tribunal como “la expectativa razonablemente fundada del ciudadano en cuál ha de ser la actuación del poder en la aplicación del Derecho” (SSTC 36/1991, de 14 de febrero, FJ 5; y 120/2012, de 4 de junio, FJ 3).</w:t>
      </w:r>
    </w:p>
    <w:p w:rsidR="0085709A" w:rsidRDefault="0085709A" w:rsidP="0085709A">
      <w:pPr>
        <w:pStyle w:val="TextoNormal"/>
      </w:pPr>
    </w:p>
    <w:p w:rsidR="0085709A" w:rsidRDefault="0085709A" w:rsidP="0085709A">
      <w:pPr>
        <w:pStyle w:val="TextoNormal"/>
      </w:pPr>
      <w:r>
        <w:t xml:space="preserve">Soy consciente de que el caso examinado versa sobre un supuesto de acceso a un recurso, y no de acceso a la jurisdicción, y de que esta distinción resulta relevante en el plano de la jurisprudencia constitucional a los efectos (i) de la no aplicación del canon de proporcionalidad en la exigencia de los requisitos legales para el derecho al recurso y (ii) del mayor rigor, respecto del derecho de acceso, del canon de constitucionalidad cifrado en la racionalidad de la decisión. El parámetro de constitucionalidad que consiste en el examen sobre el carácter razonable de la decisión opera, según la jurisprudencia constitucional, con especial incidencia en los casos en que “la controversia constitucional afecta a contenidos propios y específicos del derecho a la tutela judicial efectiva, como pueden ser el acceso a la jurisdicción o, con otra intensidad, al acceso a los recursos” (STC 214/1999, FJ 4). Ahora bien, esto no significa que el parámetro de la racionalidad no sea aplicable a las decisiones sobre admisibilidad de los recursos, pues este Tribunal ha declarado en reiteradas ocasiones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(STC 37/1995, FJ 2). Por su parte, en relación con la casación, el Tribunal Europeo de Derechos Humanos considera relevantes para el acceso a los recursos aquellas restricciones que afectan al derecho de acceso en su misma sustancia (STEDH de 4 de noviembre de 2014, caso </w:t>
      </w:r>
      <w:r w:rsidRPr="0085709A">
        <w:rPr>
          <w:i/>
        </w:rPr>
        <w:t>Sociedad Anónima del Ucieza c. España</w:t>
      </w:r>
      <w:r>
        <w:t>, parágrafo 35).</w:t>
      </w:r>
    </w:p>
    <w:p w:rsidR="0085709A" w:rsidRDefault="0085709A" w:rsidP="0085709A">
      <w:pPr>
        <w:pStyle w:val="TextoNormal"/>
      </w:pPr>
    </w:p>
    <w:p w:rsidR="0085709A" w:rsidRDefault="0085709A" w:rsidP="0085709A">
      <w:pPr>
        <w:pStyle w:val="TextoNormal"/>
      </w:pPr>
      <w:r>
        <w:t xml:space="preserve">El derecho a la tutela judicial efectiva puede, en suma, resultar vulnerado, tanto si se trata del acceso a la jurisdicción como del acceso a los recursos, si se aplica un requisito formal acorde con un cambio de criterio jurisprudencial a actos realizados cuando no existía o no se conocía la nueva doctrina y, no habiendo sido posible a la parte ajustarse al nuevo criterio, no se concede a la parte oportunidad alguna de subsanación. Así lo exige la preservación del canon de racionalidad, en relación con la salvaguarda de los principios de seguridad jurídica y buena fe, una de cuyas consecuencias se refleja en el paradigma clásico </w:t>
      </w:r>
      <w:r w:rsidRPr="0085709A">
        <w:rPr>
          <w:i/>
        </w:rPr>
        <w:t>ad impossibilia nemo tenetur</w:t>
      </w:r>
      <w:r>
        <w:t xml:space="preserve"> (nadie puede ser obligado a lo imposible), en estrecha relación, dadas las peculiares circunstancias de este supuesto, con otro principio clásico en el derecho del procedimiento, como es el de que los actos se rigen por las reglas vigentes en el momento de su producción</w:t>
      </w:r>
      <w:r w:rsidRPr="0085709A">
        <w:rPr>
          <w:i/>
        </w:rPr>
        <w:t>: tempus regit act</w:t>
      </w:r>
      <w:r>
        <w:t>um.</w:t>
      </w:r>
    </w:p>
    <w:p w:rsidR="0085709A" w:rsidRDefault="0085709A" w:rsidP="0085709A">
      <w:pPr>
        <w:pStyle w:val="TextoNormal"/>
      </w:pPr>
    </w:p>
    <w:p w:rsidR="0085709A" w:rsidRDefault="0085709A" w:rsidP="0085709A">
      <w:pPr>
        <w:pStyle w:val="TextoNormal"/>
      </w:pPr>
      <w:r>
        <w:t xml:space="preserve">En esta línea se encuentran ejemplos en los tribunales tendentes a modular la aplicación de nuevos criterios jurisprudenciales que pueden suponer la imposición de requisitos formales no conocidos con anterioridad. Sin ánimo de agotar la cita, en el ámbito del proceso constitucional, este Tribunal, en aplicación de estos principios, ha considerado procedente mitigar el rigor del requisito procesal consistente en justificar la especial trascendencia constitucional del recurso de amparo cuando la fecha de interposición de la demanda ha sido anterior a la publicación oficial de la decisión que aborda por primera vez la interpretación de esta carga procesal estableciendo, a título de enumeración, ciertos casos en que resulta aplicable (STC 155/2009, de 25 de junio, y AATC 4/2010 y 5/2010, de 14 de enero, FJ </w:t>
      </w:r>
      <w:r>
        <w:lastRenderedPageBreak/>
        <w:t>único; y STC 15/2011, de 28 de febrero, FJ 3, entre otros). Una doctrina similar se ha aplicado en relación con la improcedencia de declarar la falta de agotamiento de la vía previa al amparo por falta de interposición del incidente de nulidad de actuaciones en función de un criterio del Tribunal Constitucional no conocido por el recurrente en el momento de interponer el recurso (v. gr., STC 176/2013, FJ 3, último párrafo).</w:t>
      </w:r>
    </w:p>
    <w:p w:rsidR="0085709A" w:rsidRDefault="0085709A" w:rsidP="0085709A">
      <w:pPr>
        <w:pStyle w:val="TextoNormal"/>
      </w:pPr>
    </w:p>
    <w:p w:rsidR="0085709A" w:rsidRDefault="0085709A" w:rsidP="0085709A">
      <w:pPr>
        <w:pStyle w:val="TextoNormal"/>
      </w:pPr>
      <w:r>
        <w:t>No puedo dejar de advertir que la solución seguida por la opinión mayoritaria del Tribunal ofrece, a mi juicio, riesgos imprevisibles para el tratamiento procesal futuro de los recursos de casación en todos los órdenes jurisdiccionales (si exceptuamos el penal, por razones que no son ahora del caso), pues de ella parece seguirse la consecuencia de que los defectos de los escritos de iniciación del recurso de casación son subsanables con carácter general, en contra de la jurisprudencia ordinaria y constitucional seguida hasta el momento. A mi juicio carece de trascendencia que la parte recurrente, en cuanto conoció las precisiones efectuadas por el ATS de 10 de febrero de 2011 sobre la interpretación de un requisito hasta entonces no reconocido, presentara una adición para “adecuar” su escrito al mismo, en la que hizo constar las normas y la jurisprudencia sobre cuya infracción iba a versar el escrito de interposición. Este hecho no añade, en efecto, circunstancia relevante alguna (salvo en la medida en que puede ser invocado a otros efectos como expresión de una diligencia especial por la parte recurrente que no resulta exigible). En efecto, debe tenerse en cuenta (i) el carácter extraordinario del recurso de casación; (ii) que la oportunidad de subsanación debe ser ofrecida, si procede, de oficio por el tribunal (art. 127.2 LJCA); (iii) que la exigencia de este requisito responde, como pone manifiesto la propia jurisprudencia del Tribunal Supremo, a la finalidad de determinar desde el mismo momento de la preparación el objeto de recurso de casación; y (iv) que la subsanación carece de sentido respecto de un requisito que pierde su finalidad si no se cumple en el mismo momento de la preparación del recurso. La jurisprudencia del Tribunal Supremo, que este Tribunal no considera contraria al derecho a la tutela judicial efectiva, considera insubsanables los defectos de los escritos de preparación e interposición del recurso de casación, salvo que se trate de errores materiales (v. gr., ATS 22 de septiembre de 2011, recurso de casación 5572-2010, razonamiento jurídico tercero).</w:t>
      </w:r>
    </w:p>
    <w:p w:rsidR="0085709A" w:rsidRDefault="0085709A" w:rsidP="0085709A">
      <w:pPr>
        <w:pStyle w:val="TextoNormal"/>
      </w:pPr>
    </w:p>
    <w:p w:rsidR="0085709A" w:rsidRDefault="0085709A" w:rsidP="0085709A">
      <w:pPr>
        <w:pStyle w:val="TextoNormal"/>
      </w:pPr>
      <w:r>
        <w:t>3. La parte demandante invoca en tercer lugar la vulneración del artículo 14 CE, fundándose en que ha existido un cambio de criterio del Tribunal Supremo que no cumple con las exigencias que impone el principio de igualdad en la aplicación de la ley.</w:t>
      </w:r>
    </w:p>
    <w:p w:rsidR="0085709A" w:rsidRDefault="0085709A" w:rsidP="0085709A">
      <w:pPr>
        <w:pStyle w:val="TextoNormal"/>
      </w:pPr>
    </w:p>
    <w:p w:rsidR="0085709A" w:rsidRDefault="0085709A" w:rsidP="0085709A">
      <w:pPr>
        <w:pStyle w:val="TextoNormal"/>
      </w:pPr>
      <w:r>
        <w:t>A mi juicio, son muy puestas en razón las consideraciones que se fundan en la opinión mayoritaria del Tribunal, según las cuales, a pesar de que existieron decisiones de admisión coetáneas y posteriores de la Sala Tercera del Tribunal Supremo admitiendo recursos de casación que se encontraban en situación idéntica a la del interpuesto por la parte recurrente en amparo, no concurren los requisitos que exige la jurisprudencia de este Tribunal para apreciar una vulneración del principio de igualdad en la aplicación de la ley.</w:t>
      </w:r>
    </w:p>
    <w:p w:rsidR="0085709A" w:rsidRDefault="0085709A" w:rsidP="0085709A">
      <w:pPr>
        <w:pStyle w:val="TextoNormal"/>
      </w:pPr>
    </w:p>
    <w:p w:rsidR="0085709A" w:rsidRDefault="0085709A" w:rsidP="0085709A">
      <w:pPr>
        <w:pStyle w:val="TextoNormal"/>
      </w:pPr>
      <w:r>
        <w:t xml:space="preserve">Estoy, asimismo, de acuerdo con la precisa observación de que, como este Tribunal ha admitido (entre otras, en STC 58/1986, FJ 3, y, en sentido análogo, SSTC 27/1988, FJ 4 y 12/1988, FJ 3), en casos límite en que se invoca el principio de igualdad, pero falta un elemento hábil de comparación con un precedente judicial, no cabe excluir la apreciación de la falta de racionalidad como determinante de la vulneración del derecho a la tutela judicial </w:t>
      </w:r>
      <w:r>
        <w:lastRenderedPageBreak/>
        <w:t>efectiva, cuando concurren las circunstancias que justifican tal apreciación, abandonando el marco del art. 14 para buscar cobijo en el del art. 24 CE.</w:t>
      </w:r>
    </w:p>
    <w:p w:rsidR="0085709A" w:rsidRDefault="0085709A" w:rsidP="0085709A">
      <w:pPr>
        <w:pStyle w:val="TextoNormal"/>
      </w:pPr>
    </w:p>
    <w:p w:rsidR="0085709A" w:rsidRDefault="0085709A" w:rsidP="0085709A">
      <w:pPr>
        <w:pStyle w:val="TextoNormal"/>
      </w:pPr>
      <w:r>
        <w:t>El matiz de mi discrepancia radica en que, a mi juicio, este razonamiento debió conducir a estimar también este motivo, y no a desestimarlo, como ocurre en la Sentencia, cosa que puede tener relevancia decisiva para la resolución de otros recursos pendientes similares al aquí resuelto.</w:t>
      </w:r>
    </w:p>
    <w:p w:rsidR="0085709A" w:rsidRDefault="0085709A" w:rsidP="0085709A">
      <w:pPr>
        <w:pStyle w:val="TextoNormal"/>
      </w:pPr>
    </w:p>
    <w:p w:rsidR="0085709A" w:rsidRDefault="0085709A" w:rsidP="0085709A">
      <w:pPr>
        <w:pStyle w:val="TextoNormal"/>
      </w:pPr>
      <w:r>
        <w:t>Madrid, a veintidós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 w:name="SENTENCIA_2015_8"/>
      <w:r>
        <w:lastRenderedPageBreak/>
        <w:t>SENTENCIA 8/2015, de 22 de enero de 2015</w:t>
      </w:r>
    </w:p>
    <w:bookmarkEnd w:id="11"/>
    <w:p w:rsidR="0085709A" w:rsidRDefault="0085709A" w:rsidP="0085709A">
      <w:pPr>
        <w:pStyle w:val="TtuloResolucin"/>
      </w:pPr>
      <w:r>
        <w:t>Pleno</w:t>
      </w:r>
    </w:p>
    <w:p w:rsidR="0085709A" w:rsidRDefault="0085709A" w:rsidP="0085709A">
      <w:pPr>
        <w:pStyle w:val="TtuloBOE"/>
      </w:pPr>
      <w:r>
        <w:t>(BOE núm. 47, de 24 de febrero de 2015)</w:t>
      </w:r>
    </w:p>
    <w:p w:rsidR="0085709A" w:rsidRDefault="0085709A" w:rsidP="0085709A">
      <w:pPr>
        <w:pStyle w:val="TextoNormalCentrado"/>
      </w:pPr>
      <w:r>
        <w:t>ECLI:ES:TC:2015:8</w:t>
      </w:r>
    </w:p>
    <w:p w:rsidR="0085709A" w:rsidRDefault="0085709A" w:rsidP="0085709A">
      <w:pPr>
        <w:pStyle w:val="TextoNormalCentrado"/>
      </w:pPr>
    </w:p>
    <w:p w:rsidR="0085709A" w:rsidRDefault="0085709A" w:rsidP="0085709A">
      <w:pPr>
        <w:pStyle w:val="SntesisDescriptiva"/>
      </w:pPr>
      <w:r>
        <w:t>Recurso de inconstitucionalidad 5610-2012. Interpuesto por más de cincuenta diputados del Grupo Parlamentario Socialista y del Grupo Parlamentario La Izquierda Plural del Congreso de los Diputados en relación con diversos preceptos de la Ley 3/2012, de 6 de julio, de medidas urgentes para la reforma del mercado laboral.</w:t>
      </w:r>
    </w:p>
    <w:p w:rsidR="0085709A" w:rsidRDefault="0085709A" w:rsidP="0085709A">
      <w:pPr>
        <w:pStyle w:val="SntesisDescriptiva"/>
      </w:pPr>
    </w:p>
    <w:p w:rsidR="0085709A" w:rsidRDefault="0085709A" w:rsidP="0085709A">
      <w:pPr>
        <w:pStyle w:val="SntesisAnaltica"/>
      </w:pPr>
      <w:r>
        <w:t>Derechos a la igualdad, a la libertad sindical, a la tutela judicial efectiva, a la negociación colectiva y al acceso a las funciones públicas en condiciones de igualdad: constitucionalidad de los preceptos legales relativos al contrato de trabajo por tiempo indefinido de apoyo a los emprendedores; modificación sustancial de las condiciones de trabajo, negociación colectiva; extinción del contrato de trabajo, procesos por despido; aplicación de la suspensión del contrato o reducción de jornada por causas económicas, técnicas, organizativas o de producción, o derivadas de fuerza mayor en el sector público; y nulidad de las cláusulas de los convenios colectivos que posibiliten la extinción de los contratos de trabajo por cumplimiento de la edad ordinaria de jubilación. Voto particular.</w:t>
      </w:r>
    </w:p>
    <w:p w:rsidR="0085709A" w:rsidRDefault="0085709A" w:rsidP="0085709A">
      <w:pPr>
        <w:pStyle w:val="SntesisAnaltica"/>
      </w:pPr>
    </w:p>
    <w:p w:rsidR="0085709A" w:rsidRDefault="0085709A" w:rsidP="0085709A">
      <w:pPr>
        <w:pStyle w:val="Extracto"/>
      </w:pPr>
      <w:r>
        <w:t>1.</w:t>
      </w:r>
      <w:r>
        <w:tab/>
        <w:t>La fijación de un periodo de prueba de un año en el contrato de trabajo por tiempo indefinido no vulnera el art. 35.1 CE, toda vez que se pretende favorecer el acceso de desempleados a un puesto de trabajo estable, en el marco de una excepcional coyuntura de emergencia, caracterizada por elevadísimos niveles de desempleo, en ejecución del mandato que a los poderes públicos dirige el art. 40.1 CE (STC 119/2014) [FJ 3 b)].</w:t>
      </w:r>
    </w:p>
    <w:p w:rsidR="0085709A" w:rsidRDefault="0085709A" w:rsidP="0085709A">
      <w:pPr>
        <w:pStyle w:val="Extracto"/>
      </w:pPr>
    </w:p>
    <w:p w:rsidR="0085709A" w:rsidRDefault="0085709A" w:rsidP="0085709A">
      <w:pPr>
        <w:pStyle w:val="Extracto"/>
      </w:pPr>
      <w:r>
        <w:t>2.</w:t>
      </w:r>
      <w:r>
        <w:tab/>
        <w:t>No resulta lesiva del art. 37.1 CE la decisión del legislador de establecer en un año la duración del período de prueba del contrato por tiempo indefinido de apoyo a los emprendedores, pues actúa como garantía hábil para evitar que, a través de negociación colectiva, se pueda reducir o eliminar el potencial incentivo a la contratación indefinida (STC 119/2014) [FJ 3 c)].</w:t>
      </w:r>
    </w:p>
    <w:p w:rsidR="0085709A" w:rsidRDefault="0085709A" w:rsidP="0085709A">
      <w:pPr>
        <w:pStyle w:val="Extracto"/>
      </w:pPr>
    </w:p>
    <w:p w:rsidR="0085709A" w:rsidRDefault="0085709A" w:rsidP="0085709A">
      <w:pPr>
        <w:pStyle w:val="Extracto"/>
      </w:pPr>
      <w:r>
        <w:t>3.</w:t>
      </w:r>
      <w:r>
        <w:tab/>
        <w:t>Se descarta la infracción del art. 24.1 CE sobre la base de que las decisiones empresariales de desistimiento son revisables antes los Jueces y Tribunales cuando no se ajusten al régimen jurídico establecido en la Ley o cuando se hayan adoptado por motivos discriminatorios o contrarios a los derechos fundamentales (STC 119/2014) [FJ 3 d)].</w:t>
      </w:r>
    </w:p>
    <w:p w:rsidR="0085709A" w:rsidRDefault="0085709A" w:rsidP="0085709A">
      <w:pPr>
        <w:pStyle w:val="Extracto"/>
      </w:pPr>
    </w:p>
    <w:p w:rsidR="0085709A" w:rsidRDefault="0085709A" w:rsidP="0085709A">
      <w:pPr>
        <w:pStyle w:val="Extracto"/>
      </w:pPr>
      <w:r>
        <w:t>4.</w:t>
      </w:r>
      <w:r>
        <w:tab/>
        <w:t>La no atribución de indemnización al trabajador por el desistimiento empresarial no supone una diferencia de trato contraria al art. 14 CE, sino que es una consecuencia intrínseca de la propia institución del período de prueba común a todos los contratos de trabajo [FJ 3 e)].</w:t>
      </w:r>
    </w:p>
    <w:p w:rsidR="0085709A" w:rsidRDefault="0085709A" w:rsidP="0085709A">
      <w:pPr>
        <w:pStyle w:val="Extracto"/>
      </w:pPr>
    </w:p>
    <w:p w:rsidR="0085709A" w:rsidRDefault="0085709A" w:rsidP="0085709A">
      <w:pPr>
        <w:pStyle w:val="Extracto"/>
      </w:pPr>
      <w:r>
        <w:t>5.</w:t>
      </w:r>
      <w:r>
        <w:tab/>
        <w:t xml:space="preserve">La facultad empresarial de modificación unilateral de las condiciones de trabajo fijadas extraestatutariamente supera los juicios de idoneidad, de necesidad y de proporcionalidad pues la medida concede más ventajas que perjuicios respecto a </w:t>
      </w:r>
      <w:r>
        <w:lastRenderedPageBreak/>
        <w:t>los derechos al trabajo y a la negociación colectiva, de modo que no infringe los Arts. 37.1 y 28.1 de la Constitución [FJ 4 a)].</w:t>
      </w:r>
    </w:p>
    <w:p w:rsidR="0085709A" w:rsidRDefault="0085709A" w:rsidP="0085709A">
      <w:pPr>
        <w:pStyle w:val="Extracto"/>
      </w:pPr>
    </w:p>
    <w:p w:rsidR="0085709A" w:rsidRDefault="0085709A" w:rsidP="0085709A">
      <w:pPr>
        <w:pStyle w:val="Extracto"/>
      </w:pPr>
      <w:r>
        <w:t>6.</w:t>
      </w:r>
      <w:r>
        <w:tab/>
        <w:t>La potestad empresarial de modificación unilateral de las condiciones de trabajo no impide un control judicial pleno y efectivo, convirtiendo el ejercicio de la facultad en una actuación reglada y no discrecional, que trata de evitar un uso empresarial torticero de la mencionada facultad [FJ 4 b)].</w:t>
      </w:r>
    </w:p>
    <w:p w:rsidR="0085709A" w:rsidRDefault="0085709A" w:rsidP="0085709A">
      <w:pPr>
        <w:pStyle w:val="Extracto"/>
      </w:pPr>
    </w:p>
    <w:p w:rsidR="0085709A" w:rsidRDefault="0085709A" w:rsidP="0085709A">
      <w:pPr>
        <w:pStyle w:val="Extracto"/>
      </w:pPr>
      <w:r>
        <w:t>7.</w:t>
      </w:r>
      <w:r>
        <w:tab/>
        <w:t>La función decisoria dirimente a la Comisión Consultiva Nacional de Convenios Colectivos u órganos autonómicos respecto al procedimiento de inaplicación de condiciones de trabajo no conculca los derechos a la negociación colectiva y a la libertad sindical, constituyendo más bien un remedio subsidiario a tales derechos (STC 119/2014) [FJ 5 b)].</w:t>
      </w:r>
    </w:p>
    <w:p w:rsidR="0085709A" w:rsidRDefault="0085709A" w:rsidP="0085709A">
      <w:pPr>
        <w:pStyle w:val="Extracto"/>
      </w:pPr>
    </w:p>
    <w:p w:rsidR="0085709A" w:rsidRDefault="0085709A" w:rsidP="0085709A">
      <w:pPr>
        <w:pStyle w:val="Extracto"/>
      </w:pPr>
      <w:r>
        <w:t>8.</w:t>
      </w:r>
      <w:r>
        <w:tab/>
        <w:t>Cabe control judicial sobre la adecuación normativa de la decisión o laudo arbitral de la Comisión Consultiva Nacional de Convenios Colectivos u órgano autonómico,  acotado a los aspectos jurídicos propios del conocimiento de la jurisdicción, incluido el control sobre la concurrencia de las causas y la adecuación a ellas de las medidas adoptadas. (STC 119/2014) [FJ 5 c)].</w:t>
      </w:r>
    </w:p>
    <w:p w:rsidR="0085709A" w:rsidRDefault="0085709A" w:rsidP="0085709A">
      <w:pPr>
        <w:pStyle w:val="Extracto"/>
      </w:pPr>
    </w:p>
    <w:p w:rsidR="0085709A" w:rsidRDefault="0085709A" w:rsidP="0085709A">
      <w:pPr>
        <w:pStyle w:val="Extracto"/>
      </w:pPr>
      <w:r>
        <w:t>9.</w:t>
      </w:r>
      <w:r>
        <w:tab/>
        <w:t>La prioridad aplicativa del Convenio de empresa sobre la negociación de ámbito superior no vulnera la libertad sindical ni tampoco el derecho a la negociación colectiva cuya estructura y ordenación pueden ser configuradas por el legislador (STC 119/2014) [FJ 6 b)].</w:t>
      </w:r>
    </w:p>
    <w:p w:rsidR="0085709A" w:rsidRDefault="0085709A" w:rsidP="0085709A">
      <w:pPr>
        <w:pStyle w:val="Extracto"/>
      </w:pPr>
    </w:p>
    <w:p w:rsidR="0085709A" w:rsidRDefault="0085709A" w:rsidP="0085709A">
      <w:pPr>
        <w:pStyle w:val="Extracto"/>
      </w:pPr>
      <w:r>
        <w:t>10.</w:t>
      </w:r>
      <w:r>
        <w:tab/>
        <w:t>El despido por causas económica, técnica, organizativa o productiva no prescinde del elemento de causalidad del despido, sino que dota a la definición de las causas extintivas de una mayor objetividad y certidumbre, de modo que no vulnera el art. 35.1 CE [FJ 7 a)].</w:t>
      </w:r>
    </w:p>
    <w:p w:rsidR="0085709A" w:rsidRDefault="0085709A" w:rsidP="0085709A">
      <w:pPr>
        <w:pStyle w:val="Extracto"/>
      </w:pPr>
    </w:p>
    <w:p w:rsidR="0085709A" w:rsidRDefault="0085709A" w:rsidP="0085709A">
      <w:pPr>
        <w:pStyle w:val="Extracto"/>
      </w:pPr>
      <w:r>
        <w:t>11.</w:t>
      </w:r>
      <w:r>
        <w:tab/>
        <w:t>Corresponde al juez apreciar la concurrencia de una causa real y verosímil, que legitime la decisión empresarial extintiva de la relación laboral, dentro de los parámetros normativos otorgados por el legislador, en el ejercicio de las competencias que la Constitución le ha atribuido [FJ 7 b)].</w:t>
      </w:r>
    </w:p>
    <w:p w:rsidR="0085709A" w:rsidRDefault="0085709A" w:rsidP="0085709A">
      <w:pPr>
        <w:pStyle w:val="Extracto"/>
      </w:pPr>
    </w:p>
    <w:p w:rsidR="0085709A" w:rsidRDefault="0085709A" w:rsidP="0085709A">
      <w:pPr>
        <w:pStyle w:val="Extracto"/>
      </w:pPr>
      <w:r>
        <w:t>12.</w:t>
      </w:r>
      <w:r>
        <w:tab/>
        <w:t>No infringe el art. 35.1 CE, la diferenciación entre quienes en todo momento mantienen en vigor la relación laboral con la empresa, pese a no haber prestado servicios efectivos por causa a él no imputable, respecto a aquellos otros trabajadores cuyo contrato de trabajo queda definitivamente extinguido a la fecha del despido (SSTC 84/2008, 122/2008) [FJ 8].</w:t>
      </w:r>
    </w:p>
    <w:p w:rsidR="0085709A" w:rsidRDefault="0085709A" w:rsidP="0085709A">
      <w:pPr>
        <w:pStyle w:val="Extracto"/>
      </w:pPr>
    </w:p>
    <w:p w:rsidR="0085709A" w:rsidRDefault="0085709A" w:rsidP="0085709A">
      <w:pPr>
        <w:pStyle w:val="Extracto"/>
      </w:pPr>
      <w:r>
        <w:t>13.</w:t>
      </w:r>
      <w:r>
        <w:tab/>
        <w:t>No supone diferencia de trato el establecido para el personal laboral que presta servicios en la Administración pública, que se rige por la legislación laboral común y las normas contenidas en el Estatuto básico del empleado público, a diferencia del resto del personal laboral de las empresas privadas sometido principalmente al Estatuto de los trabajadores [FJ 9 a)].</w:t>
      </w:r>
    </w:p>
    <w:p w:rsidR="0085709A" w:rsidRDefault="0085709A" w:rsidP="0085709A">
      <w:pPr>
        <w:pStyle w:val="Extracto"/>
      </w:pPr>
    </w:p>
    <w:p w:rsidR="0085709A" w:rsidRDefault="0085709A" w:rsidP="0085709A">
      <w:pPr>
        <w:pStyle w:val="Extracto"/>
      </w:pPr>
      <w:r>
        <w:lastRenderedPageBreak/>
        <w:t>14.</w:t>
      </w:r>
      <w:r>
        <w:tab/>
        <w:t>La diferente estructura en la que se incardinan el personal laboral que presta su servicios en el sector público administrativo y el personal laboral que presta servicios en el sector público empresarial, los convierte en categorías personales distintas [FJ 9 a)].</w:t>
      </w:r>
    </w:p>
    <w:p w:rsidR="0085709A" w:rsidRDefault="0085709A" w:rsidP="0085709A">
      <w:pPr>
        <w:pStyle w:val="Extracto"/>
      </w:pPr>
    </w:p>
    <w:p w:rsidR="0085709A" w:rsidRDefault="0085709A" w:rsidP="0085709A">
      <w:pPr>
        <w:pStyle w:val="Extracto"/>
      </w:pPr>
      <w:r>
        <w:t>15.</w:t>
      </w:r>
      <w:r>
        <w:tab/>
        <w:t>La situación de los trabajadores que ven extinguidos sus contratos por jubilación y la de aquellos que son objeto de un despido colectivo son diferentes respecto a causas y efectos, tales como acceso a la pensión de jubilación, indemnización por despido, prestación de desempleo o, en su caso, suscripción de un convenio especial con la Seguridad Social [FJ 10 b)].</w:t>
      </w:r>
    </w:p>
    <w:p w:rsidR="0085709A" w:rsidRDefault="0085709A" w:rsidP="0085709A">
      <w:pPr>
        <w:pStyle w:val="Extracto"/>
      </w:pPr>
    </w:p>
    <w:p w:rsidR="0085709A" w:rsidRDefault="0085709A" w:rsidP="0085709A">
      <w:pPr>
        <w:pStyle w:val="Extracto"/>
      </w:pPr>
      <w:r>
        <w:t>16.</w:t>
      </w:r>
      <w:r>
        <w:tab/>
        <w:t>No supone diferencia de trato injustificada la aplicada a los empleados de las Administraciones públicas, según tengan la condición de personal laboral o funcionarial, dado que sus derechos y deberes se establecen en regímenes jurídicos distintos, estatutario y  laboral respectivamente [FJ 10 c)].</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5610-2012, promovido por ciento cuatro Diputados del Grupo Parlamentario Socialista y once del Grupo Parlamentario La Izquierda Plural [Izquierda Unida (IU), Iniciativa per Catalunya Verds-Esquerra Unida i Alternativa (ICV-EUiA) y Chunta Aragonesista (CHA)] del Congreso de los Diputados, contra los arts. 4.3, 12.1, 14.1 y 2, 18.3 y 8, 23.1, así como contra la disposición adicional tercera y la disposición final cuarta.2, de la Ley 3/2012, de 6 de julio, de medidas urgentes para la reforma del mercado laboral, por vulneración de los arts. 14, 23.2, 24.1, 28.1, 35.1, 37.1 y 103.3, todos ellos de la Constitución. Ha intervenido el Abogado del Estado en la representación que ostenta.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que tuvo entrada en el Registro General de este Tribunal Constitucional el día 5 de octubre de 2012, la Procuradora de los Tribunales doña Virginia Aragón </w:t>
      </w:r>
      <w:r>
        <w:lastRenderedPageBreak/>
        <w:t>Segura, actuando en nombre y representación de ciento cuatro Diputados del Grupo Parlamentario Socialista y once del Grupo Parlamentario La Izquierda Plural [Izquierda Unida (IU), Iniciativa per Catalunya Verds-Esquerra Unida i Alternativa (ICV-EUiA) y Chunta Aragonesista (CHA)] del Congreso de los Diputados, presentó recurso de inconstitucionalidad contra los arts. 4.3, 12.1, 14.1 y 2, 18.3 y 8, 23.1, así como contra la disposición adicional tercera y la disposición final cuarta.2, de la Ley 3/2012, de 6 de julio, de medidas urgentes para la reforma del mercado laboral (en adelante, Ley 3/2012, de 6 de julio), por vulneración de los arts. 14, 23.2, 24.1, 28.1, 35.1, 37.1 y 103.3, todos ellos de la Constitución.</w:t>
      </w:r>
    </w:p>
    <w:p w:rsidR="0085709A" w:rsidRDefault="0085709A" w:rsidP="0085709A">
      <w:pPr>
        <w:pStyle w:val="TextoNormal"/>
      </w:pPr>
    </w:p>
    <w:p w:rsidR="0085709A" w:rsidRDefault="0085709A" w:rsidP="0085709A">
      <w:pPr>
        <w:pStyle w:val="TextoNormal"/>
      </w:pPr>
      <w:r w:rsidRPr="0085709A">
        <w:rPr>
          <w:rStyle w:val="NumeroAFNegritaCaracter"/>
        </w:rPr>
        <w:t>2</w:t>
      </w:r>
      <w:r>
        <w:t>. En el escrito de interposición del recurso, los recurrentes sustentan las vulneraciones constitucionales anteriormente citadas, con base a los razonamientos que a continuación se sintetizan:</w:t>
      </w:r>
    </w:p>
    <w:p w:rsidR="0085709A" w:rsidRDefault="0085709A" w:rsidP="0085709A">
      <w:pPr>
        <w:pStyle w:val="TextoNormal"/>
      </w:pPr>
    </w:p>
    <w:p w:rsidR="0085709A" w:rsidRDefault="0085709A" w:rsidP="0085709A">
      <w:pPr>
        <w:pStyle w:val="TextoNormal"/>
      </w:pPr>
      <w:r>
        <w:t>a) Inician su recurso realizando un planteamiento general previo al examen de los distintos motivos de inconstitucionalidad. Recuerdan que España se constituye en un Estado social y democrático de Derecho (art. 1.1 CE), y señalan que esta circunstancia no sería necesario mencionarla si no fuera porque las infracciones constitucionales en las que incurren las normas impugnadas traen causa del “desconocimiento del marco estructural y axiológico en el que nuestra Constitución se inserta”. Destacan a este respecto el papel que dentro de ese Estado social juegan los interlocutores sociales (art. 7 CE), el derecho a la negociación colectiva (art. 37 CE), la libertad sindical y el derecho de huelga (art. 28 CE), que se erigen en baluarte constitucional indisponible para la defensa de los trabajadores. Y abundando en tales razonamientos, añaden que la Ley 3/2012, de 6 de julio, que se cuestiona, se ha gestado desdeñando la posición de los interlocutores sociales, supone una transformación profunda de nuestro Derecho del trabajo, y “se sitúa fuera del marco de nuestro Estado social y democrático de derecho”, así como “fuera de la Constitución”. Niegan que esta última deje al legislador las manos libres para irrumpir en el mercado de trabajo, ignorando las prescripciones y condicionamientos constitucionales que buscan el equilibrio, el diálogo y la integración de posiciones contradictorias. Y partiendo de que éste y no otro es el modelo constitucional de relaciones laborales, aducen que es la primera vez que, de un modo tan notorio, es quebrantado por el legislador de la reforma laboral. Aunque reconocen que dentro de la Constitución caben diversas regulaciones de las instituciones laborales, sostienen que lo que queda constitucionalmente vedado al legislador es “sustituir los elementos centrales del modelo constitucional” por otros distintos. Y adicionan, que cuando el legislador actúa de ese modo, la consecuencia es que “el producto normativo nace al mundo del Derecho fuera de las coordenadas constitucionales”. En suma, terminan diciendo que la decisión del legislador de “ignorar de partida nuestro modelo de relaciones laborales, modelo consecuente con la fórmula del Estado Social y democrático de Derecho” no puede sino saldarse con las inconstitucionalidades evidentes que se imputan a los preceptos recurridos.</w:t>
      </w:r>
    </w:p>
    <w:p w:rsidR="0085709A" w:rsidRDefault="0085709A" w:rsidP="0085709A">
      <w:pPr>
        <w:pStyle w:val="TextoNormal"/>
      </w:pPr>
    </w:p>
    <w:p w:rsidR="0085709A" w:rsidRDefault="0085709A" w:rsidP="0085709A">
      <w:pPr>
        <w:pStyle w:val="TextoNormal"/>
      </w:pPr>
      <w:r>
        <w:t xml:space="preserve">b) Una vez realizadas las anteriores consideraciones de índole general, los recurrentes pasan a examinar los concretos motivos de inconstitucionalidad. El primer precepto que consideran inconstitucional es el apartado primero del art. 14 de la Ley 3/2012, de 6 de julio, de medidas urgentes para la reforma del mercado laboral (Ley 3/2012, de 6 de julio), por el que se da nueva redacción al art. 82.3 del texto refundido de la Ley texto refundido de la Ley del estatuto de los trabajadores, (LET), al que imputan la vulneración de los arts. 24.1, </w:t>
      </w:r>
      <w:r>
        <w:lastRenderedPageBreak/>
        <w:t>28.1 y 37.1, todos ellos de la Constitución, con motivo de la atribución a la Comisión Consultiva Nacional de Convenios Colectivos, o a los órganos correspondientes de las Comunidades Autónomas, de la facultad de acordar la inaplicación de lo pactado en convenio colectivo.</w:t>
      </w:r>
    </w:p>
    <w:p w:rsidR="0085709A" w:rsidRDefault="0085709A" w:rsidP="0085709A">
      <w:pPr>
        <w:pStyle w:val="TextoNormal"/>
      </w:pPr>
    </w:p>
    <w:p w:rsidR="0085709A" w:rsidRDefault="0085709A" w:rsidP="0085709A">
      <w:pPr>
        <w:pStyle w:val="TextoNormal"/>
      </w:pPr>
      <w:r>
        <w:t>Comienzan señalando al respecto que es posible aceptar la inaplicación de condiciones de trabajo pactadas en convenio cuando tal decisión sea el resultado de un procedimiento negociado de inaplicación, como ocurría en precedentes regulaciones, pero que resulta inadmisible, por traspasar los límites de lo constitucionalmente aceptable, la actual atribución por iniciativa de la dirección de la empresa, de una facultad final resolutoria a la Comisión Consultiva Nacional de Convenios Colectivos. No ponen objeción alguna los recurrentes con relación a las fases del procedimiento de inaplicación anteriores a la intervención de la citada Comisión, pues en ellas la decisión se atribuye a las propias partes negociadoras, o bien a otros sujetos colectivos con legitimación para negociar un convenio en el ámbito correspondiente, manteniéndose el precepto, por lo tanto, en la esfera del respeto de la autonomía de negociación. Por el contrario, la última de las fases se pone en marcha por iniciativa de una de las partes (que en la práctica será el empleador) y es un sujeto ajeno a ellas el que podrá acordar unilateralmente la inaplicación de las condiciones pactadas en convenio colectivo, con patente vulneración de su fuerza vinculante. Sostienen, por ello, que nos encontramos ante un arbitraje obligatorio (pues no existe compromiso arbitral) y público (por cuanto la decisión se adopta en el seno de un organismo de tal carácter cuyos acuerdos tienen la naturaleza de actos administrativos), identificable con el arbitraje obligatorio atribuido a la autoridad laboral para dirimir conflictos colectivos en el Real Decreto-ley 17/1977, de 4 de marzo, que fue declarado inconstitucional por STC 11/1981, de 8 de abril, y cuyos razonamientos consideran los recurrentes plenamente trasladables al presente caso para apreciar la vulneración de los arts. 37.1 y 28.1 CE.</w:t>
      </w:r>
    </w:p>
    <w:p w:rsidR="0085709A" w:rsidRDefault="0085709A" w:rsidP="0085709A">
      <w:pPr>
        <w:pStyle w:val="TextoNormal"/>
      </w:pPr>
    </w:p>
    <w:p w:rsidR="0085709A" w:rsidRDefault="0085709A" w:rsidP="0085709A">
      <w:pPr>
        <w:pStyle w:val="TextoNormal"/>
      </w:pPr>
      <w:r>
        <w:t>Precisan a continuación que no impide la apreciación de la inconstitucionalidad del precepto el que el arbitraje se atribuya a un órgano tripartito en el que participa una representación de los trabajadores, dado que esta última representación puede no coincidir con la que negoció el convenio colectivo cuya inaplicación se decide, con lo que cabría apreciar la vulneración de la libertad sindical de unos representantes de los trabajadores por parte de otros. También se aduce que, en la mayor parte de los casos, decidirá la Administración, que tendrá un voto de calidad en tanto que lo habitual será que la discrepancia entre las partes también se mantenga en esta última fase. Y se añade que aunque la decisión no se adopte en el seno de la, Comisión Consultiva Nacional de Convenios Colectivos sino por un árbitro nombrado al efecto, se verá igualmente afectada la fuerza vinculante del convenio, siendo trasladable a este supuesto todo lo dicho con relación a la Comisión.</w:t>
      </w:r>
    </w:p>
    <w:p w:rsidR="0085709A" w:rsidRDefault="0085709A" w:rsidP="0085709A">
      <w:pPr>
        <w:pStyle w:val="TextoNormal"/>
      </w:pPr>
    </w:p>
    <w:p w:rsidR="0085709A" w:rsidRDefault="0085709A" w:rsidP="0085709A">
      <w:pPr>
        <w:pStyle w:val="TextoNormal"/>
      </w:pPr>
      <w:r>
        <w:t xml:space="preserve">Conforme a los anteriores razonamientos, los recurrentes mantienen que la norma impugnada viene a consentir una intromisión pública que afecta claramente al contenido esencial de la negociación colectiva (art. 37.1 CE), como también del derecho a la libertad sindical (art. 28.1 CE) desde el momento en que aquélla constituye un instrumento de la acción sindical. A mayor abundamiento, los recurrentes se quejan del margen de discrecionalidad que tienen la Comisión Consultiva Nacional de Convenios Colectivos o el árbitro para tomar la decisión de inaplicación, pues les basta con comprobar la concurrencia de las amplias causas justificativas previstas legalmente. Consideran que tal circunstancia impide al poder judicial un control de la adecuación o no de la medida, lo que conlleva la lesión consiguiente </w:t>
      </w:r>
      <w:r>
        <w:lastRenderedPageBreak/>
        <w:t>del derecho a la tutela judicial efectiva del art. 24 CE. Después, se afirma que si bien la STC 11/1981 citada admitió el establecimiento de un arbitraje obligatorio en caso de huelga para situaciones extraordinarias o excepcionales (dando su conformidad al arbitraje obligatorio previsto en el párrafo segundo del art. 10 del Real Decreto-ley 17/1977, de 4 de marzo), en el caso de autos no concurriría un escenario de excepcionalidad o situación extraordinaria en la regulación del procedimiento de arbitraje obligatorio previsto para la inaplicación del convenio colectivo. Finalmente, niegan que se pueda establecer parangón alguno entre la competencia asignada a la Comisión Consultiva Nacional de Convenios Colectivos en el precepto ahora impugnado con la que en el pasado ostentó para resolver discrepancias entre las partes a los efectos de cerrar el largo proceso de derogación de las ordenanzas laborales, en tanto que en este último caso la actuación de la Comisión no afectaba a la fuerza vinculante de los convenios colectivos.</w:t>
      </w:r>
    </w:p>
    <w:p w:rsidR="0085709A" w:rsidRDefault="0085709A" w:rsidP="0085709A">
      <w:pPr>
        <w:pStyle w:val="TextoNormal"/>
      </w:pPr>
    </w:p>
    <w:p w:rsidR="0085709A" w:rsidRDefault="0085709A" w:rsidP="0085709A">
      <w:pPr>
        <w:pStyle w:val="TextoNormal"/>
      </w:pPr>
      <w:r>
        <w:t>c) En segundo lugar, impugnan el apartado primero del art. 12 de la Ley 3/2012, por el que se modifica el art. 41 LET relativo a las modificaciones sustanciales de las condiciones de trabajo, y en el que se reconoce, en sus apartados 4 y 5, la facultad del empleador de acordar unilateralmente la modificación de condiciones de trabajo pactadas en acuerdos o pactos colectivos extraestaturarios. Sostienen los recurrentes que tal precepto vulnera el reconocimiento constitucional de la fuerza vinculante de los convenios colectivos (art. 37.1 CE), la libertad sindical (art. 28.1 CE), y el derecho a la tutela judicial efectiva (art. 24.1 CE).</w:t>
      </w:r>
    </w:p>
    <w:p w:rsidR="0085709A" w:rsidRDefault="0085709A" w:rsidP="0085709A">
      <w:pPr>
        <w:pStyle w:val="TextoNormal"/>
      </w:pPr>
    </w:p>
    <w:p w:rsidR="0085709A" w:rsidRDefault="0085709A" w:rsidP="0085709A">
      <w:pPr>
        <w:pStyle w:val="TextoNormal"/>
      </w:pPr>
      <w:r>
        <w:t xml:space="preserve">A juicio de los recurrentes, en este caso el incumplimiento de lo pactado en acuerdos colectivos es mucho más directo que en el supuesto analizado con anterioridad, dado que la decisión de alterar lo pactado colectivamente ni siquiera depende del control de un tercero (arbitraje), sino que es el propio empleador quien lo decide libremente de forma unilateral, con el simple requisito previo de sometimiento a un periodo de consultas con los representantes de los trabajadores, que aunque resulta preceptivo, no es vinculante. Con esta regulación, que afecta a los acuerdos colectivos no regulados en el título III del texto refundido de la Ley del estatuto de los trabajadores se vulnera la garantía del </w:t>
      </w:r>
      <w:r w:rsidRPr="0085709A">
        <w:rPr>
          <w:i/>
        </w:rPr>
        <w:t>pacta sunt servanda</w:t>
      </w:r>
      <w:r>
        <w:t xml:space="preserve"> colectivo del art. 37.1 CE y del derecho a la libertad sindical (art. 28.1 CE). A este respecto, se indica que la Constitución garantiza la fuerza vinculante de todos los convenios colectivos, tanto de los estatutarios como de los extraestatutarios, sin que quepa que el legislador ordinario saque de esa garantía a determinados pactos colectivos.</w:t>
      </w:r>
    </w:p>
    <w:p w:rsidR="0085709A" w:rsidRDefault="0085709A" w:rsidP="0085709A">
      <w:pPr>
        <w:pStyle w:val="TextoNormal"/>
      </w:pPr>
    </w:p>
    <w:p w:rsidR="0085709A" w:rsidRDefault="0085709A" w:rsidP="0085709A">
      <w:pPr>
        <w:pStyle w:val="TextoNormal"/>
      </w:pPr>
      <w:r>
        <w:t xml:space="preserve">Conforme a lo anterior, consideran que el texto constitucional no permite que el legislador ordinario decida qué productos de la negociación colectiva merecen el calificativo de convenios colectivos y cuáles no, pues de lo contrario se le otorgaría plena discrecionalidad para decidir a qué acuerdos, de los alcanzados entre los representantes de los trabajadores y empresarios, se extiende la fuerza vinculante constitucional. Si bien el reconocimiento de la eficacia general del convenio colectivo no deriva del texto constitucional sino que constituye un plus de eficacia otorgado por el legislador ordinario, lo que no puede hacer este último es restar fuerza vinculante a algunos convenios colectivos, pues constitucionalmente se reconoce la misma sin distinción. Y es precisamente esto lo que, según los recurrentes, hace la nueva regulación cuando, permitiendo la modificación unilateral de los acuerdos y pactos colectivos, devalúa por completo su fuerza vinculante al extremo de negar el </w:t>
      </w:r>
      <w:r w:rsidRPr="0085709A">
        <w:rPr>
          <w:i/>
        </w:rPr>
        <w:t>pacta sunt servanda</w:t>
      </w:r>
      <w:r>
        <w:t xml:space="preserve"> del que goza cualquier contrato privado conforme a la legislación civil.</w:t>
      </w:r>
    </w:p>
    <w:p w:rsidR="0085709A" w:rsidRDefault="0085709A" w:rsidP="0085709A">
      <w:pPr>
        <w:pStyle w:val="TextoNormal"/>
      </w:pPr>
    </w:p>
    <w:p w:rsidR="0085709A" w:rsidRDefault="0085709A" w:rsidP="0085709A">
      <w:pPr>
        <w:pStyle w:val="TextoNormal"/>
      </w:pPr>
      <w:r>
        <w:lastRenderedPageBreak/>
        <w:t>A mayor abundamiento, para los diputados recurrentes, las causas que el precepto contempla como justificativas de esta inaplicación son de tal amplitud (basta con que la medida provoque efectos positivos sobre la marcha de la empresa) que posibilita el incumplimiento de los pactos y acuerdos colectivos en la práctica totalidad de las ocasiones, a salvo de situaciones de carácter discriminatorio o arbitrarias. Ello demuestra que la excepción que se establece a la fuerza vinculante de los convenios ni siquiera se presenta con rasgos de excepcionalidad, lo que hace más flagrante, si cabe, la lesión que con ello se produce de la garantía constitucional establecida en el art. 37.1 CE y, por derivación, de la libertad sindical del art. 28.1 CE, que se ejerce por los representantes de los trabajadores a través del proceso de concertación de los acuerdos y pactos colectivos de referencia. Entienden, finalmente, que con tal laxitud en la definición de las causas, el ejercicio de la facultad unilateral empresarial escapa a todo posible control, impidiendo el ejercicio del derecho a la tutela judicial efectiva (art. 24.1 CE).</w:t>
      </w:r>
    </w:p>
    <w:p w:rsidR="0085709A" w:rsidRDefault="0085709A" w:rsidP="0085709A">
      <w:pPr>
        <w:pStyle w:val="TextoNormal"/>
      </w:pPr>
    </w:p>
    <w:p w:rsidR="0085709A" w:rsidRDefault="0085709A" w:rsidP="0085709A">
      <w:pPr>
        <w:pStyle w:val="TextoNormal"/>
      </w:pPr>
      <w:r>
        <w:t>d) Cuestionan a continuación los diputados recurrentes el apartado segundo del art. 14 de la Ley 3/2012, que modifica el art. 84.2 LET, por posible vulneración de los arts. 37.1 y 28.1 CE al establecer la preferencia absoluta e incondicionada del convenio colectivo de empresa respecto de otros ámbitos o niveles de negociación, excluyendo a estos efectos que los interlocutores sociales puedan establecer reglas diversas de articulación y concurrencia entre convenios colectivos.</w:t>
      </w:r>
    </w:p>
    <w:p w:rsidR="0085709A" w:rsidRDefault="0085709A" w:rsidP="0085709A">
      <w:pPr>
        <w:pStyle w:val="TextoNormal"/>
      </w:pPr>
    </w:p>
    <w:p w:rsidR="0085709A" w:rsidRDefault="0085709A" w:rsidP="0085709A">
      <w:pPr>
        <w:pStyle w:val="TextoNormal"/>
      </w:pPr>
      <w:r>
        <w:t>Partiendo de la doctrina constitucional que establece la vinculación existente entre los derechos de negociación colectiva y libertad sindical, señalan que la aplicación del precepto legal ahora cuestionado lleva a dos resultados. El primero, la posibilidad de inaplicación de un convenio colectivo sectorial en el ámbito de una empresa, en materias tan específicas de la negociación colectiva como las que se mencionan en el precepto legal (en especial, las retributivas). Esta inaplicación sería el resultado de la negociación, en cualquier momento de la vigencia del convenio sectorial, de un convenio de empresa, que, de acuerdo con la Ley, puede suscribirse entre el empresario y el comité de empresa o los delegados de personal, es decir, por representantes no sindicales. Y esto mismo ocurre, en segundo lugar, con la posible inaplicación en virtud de un acuerdo a nivel de empresa, de las reglas y criterios sobre estructura de la negociación colectiva y prioridad de unidades de negociación que hayan sido adoptados en los acuerdos sobre ordenación de la estructura de la negociación colectiva concluidos por las organizaciones empresariales y sindicales.</w:t>
      </w:r>
    </w:p>
    <w:p w:rsidR="0085709A" w:rsidRDefault="0085709A" w:rsidP="0085709A">
      <w:pPr>
        <w:pStyle w:val="TextoNormal"/>
      </w:pPr>
    </w:p>
    <w:p w:rsidR="0085709A" w:rsidRDefault="0085709A" w:rsidP="0085709A">
      <w:pPr>
        <w:pStyle w:val="TextoNormal"/>
      </w:pPr>
      <w:r>
        <w:t xml:space="preserve">La norma conduce, según su parecer, a la postergación de la capacidad de regulación laboral de los representantes sindicales, en tanto que puede ser desplazada por la negociación de representantes de carácter no sindical. Además, en la medida en que declara que la preferencia aplicativa del convenio de empresa se puede hacer efectiva “en cualquier momento de la vigencia de convenios colectivos de ámbito superior”, la norma deja sin efecto la vigencia del convenio colectivo afectado, y conculca su propia fuerza vinculante. En definitiva, se entiende que no resulta posible en términos constitucionales que la normativa estatal proceda a fijar con exclusividad e imperativamente la estructura de la negociación colectiva, así como la determinación absoluta de los criterios conforme a los cuáles se resuelven los conflictos de concurrencia de convenios colectivos. Y en este sentido, se sostiene que forma parte del contenido esencial del derecho a la negociación colectiva tutelado </w:t>
      </w:r>
      <w:r>
        <w:lastRenderedPageBreak/>
        <w:t>constitucionalmente, no sólo la fijación de las condiciones de trabajo a través de los convenios colectivos, sino también la correspondiente al diseño de la estructura de la negociación colectiva.</w:t>
      </w:r>
    </w:p>
    <w:p w:rsidR="0085709A" w:rsidRDefault="0085709A" w:rsidP="0085709A">
      <w:pPr>
        <w:pStyle w:val="TextoNormal"/>
      </w:pPr>
    </w:p>
    <w:p w:rsidR="0085709A" w:rsidRDefault="0085709A" w:rsidP="0085709A">
      <w:pPr>
        <w:pStyle w:val="TextoNormal"/>
      </w:pPr>
      <w:r>
        <w:t>De esta manera, concluyen que la norma impugnada es plenamente invasiva y contraria a los arts. 37.1 y 28 CE, careciendo de objetividad y de proporcionalidad, y constituye una fórmula de intervencionismo máximo del legislador que provoca un efecto excluyente del protagonismo de los interlocutores sociales. No obstante, se aclara que no se desea discutir sobre la prioridad de la ley o la del convenio colectivo, sino de denunciar la marginación y exclusión del “espacio que por naturaleza le debe corresponder a la negociación colectiva”. Por ello, se entiende que es necesario acudir a los criterios habituales de valoración de la constitucionalidad, examinando si concurren elementos objetivos y racionales que justifiquen la medida legislativa adoptada. El preámbulo de la Ley impugnada indica que la norma recurrida busca garantizar la descentralización convencional para facilitar una negociación de las condiciones laborales en el nivel más cercano y adecuado a la realidad de las empresas y los trabajadores. Pero los recurrentes consideran que, si bien es legítimo que los poderes públicos persigan ese objetivo, el legislador podía haber optado por fórmulas menos lesivas para el derecho de libertad sindical y de negociación colectiva, al derivarse del precepto impugnado la pérdida de la fuerza vinculante de los convenios suscritos por las organizaciones empresariales y sindicales en materias claves para la configuración de los mismos.</w:t>
      </w:r>
    </w:p>
    <w:p w:rsidR="0085709A" w:rsidRDefault="0085709A" w:rsidP="0085709A">
      <w:pPr>
        <w:pStyle w:val="TextoNormal"/>
      </w:pPr>
    </w:p>
    <w:p w:rsidR="0085709A" w:rsidRDefault="0085709A" w:rsidP="0085709A">
      <w:pPr>
        <w:pStyle w:val="TextoNormal"/>
      </w:pPr>
      <w:r>
        <w:t>e) Impugnan después los recurrentes el apartado segundo de la disposición final cuarta de la Ley 3/2012, de 6 de julio, que modifica la disposición adicional décima de LET en el sentido de declarar nulas y sin efecto las cláusulas de los convenios colectivos que posibiliten la extinción del contrato de trabajo por cumplimiento de la edad de jubilación. Se sostiene al respecto que forma parte del derecho a la negociación colectiva la libertad de las partes de decidir las materias objeto de estipulación, de manera que un impedimento carente de justificación y proporcionalidad de dicha libertad ha de entenderse contrario al derecho a la negociación colectiva del art. 37.1 CE y, consecuentemente, del derecho de libertad sindical del art. 28.1 CE, de cuyo contenido esencial forma parte aquél. Además, se crea una diferencia de trato injustificada y carente de toda proporcionalidad con relación a los funcionarios públicos, por lo que se vulneran los arts. 14, 23.2 y 103.3, todos ellos de la Constitución.</w:t>
      </w:r>
    </w:p>
    <w:p w:rsidR="0085709A" w:rsidRDefault="0085709A" w:rsidP="0085709A">
      <w:pPr>
        <w:pStyle w:val="TextoNormal"/>
      </w:pPr>
    </w:p>
    <w:p w:rsidR="0085709A" w:rsidRDefault="0085709A" w:rsidP="0085709A">
      <w:pPr>
        <w:pStyle w:val="TextoNormal"/>
      </w:pPr>
      <w:r>
        <w:t xml:space="preserve">Los diputados recurrentes comienzan indicando al respecto que por designio constitucional la negociación colectiva posee un espacio regulativo propio que no puede ser ahogado ni suprimido por completo por parte de la normativa estatal y que el derecho a la negociación colectiva reconocido constitucionalmente debe necesariamente incluir la libre decisión de negociar sobre las materias que las propias partes estimen oportunas. En este sentido, prosiguen diciendo que la norma impugnada carece de justificación, dado que las cláusulas convencionales sobre jubilación pueden responder a la confluencia de diversos derechos subjetivos e intereses legítimos: el derecho al trabajo, el desarrollo de una política de empleo que atienda a las demandas del conjunto de la población, la promoción de condiciones favorables para una distribución más equitativa de la renta, el equilibrio del régimen público de Seguridad Social y la eficiencia económica de las empresas, elementos todos ellos que deben ser ponderados, desde criterios de proporcionalidad, por la negociación colectiva. La norma, además, estaría prohibiendo a la negociación colectiva lo que puede ser decidido </w:t>
      </w:r>
      <w:r>
        <w:lastRenderedPageBreak/>
        <w:t>unilateralmente por el empresario en el marco de un despido por causas económicas, o acordado con los trabajadores por un simple acuerdo de empresa durante el período de consultas de los citados despidos económicos. La prohibición es tan absoluta que no sólo prohíbe las cláusulas que impongan la jubilación forzosa de los trabajadores, sino también aquellas que, por ejemplo, la fomenten o estimulen. Se añade que, existiendo un lícito interés de la negociación colectiva en marcar las líneas de la política de empleo en esta materia y de propiciar la adaptación de las dimensiones de las empresas por esta vía, está claro que los convenios colectivos pueden abordar dicha materia con apoyo en el derecho constitucional a la negociación colectiva. Una prohibición absoluta como la discutida sólo podría quedar justificada por razones objetivas de orden público laboral, que en el caso presente no concurren.</w:t>
      </w:r>
    </w:p>
    <w:p w:rsidR="0085709A" w:rsidRDefault="0085709A" w:rsidP="0085709A">
      <w:pPr>
        <w:pStyle w:val="TextoNormal"/>
      </w:pPr>
    </w:p>
    <w:p w:rsidR="0085709A" w:rsidRDefault="0085709A" w:rsidP="0085709A">
      <w:pPr>
        <w:pStyle w:val="TextoNormal"/>
      </w:pPr>
      <w:r>
        <w:t>Prosiguen diciendo que la norma impugnada vulneraría tanto el art. 37 CE como el art. 14 CE, en cuanto que limitaría injustificadamente la actividad sindical en una materia, sobre la que se permite al empresario adoptar medidas unilaterales, como la reestructuración del empleo por la vía de los despidos colectivos.</w:t>
      </w:r>
    </w:p>
    <w:p w:rsidR="0085709A" w:rsidRDefault="0085709A" w:rsidP="0085709A">
      <w:pPr>
        <w:pStyle w:val="TextoNormal"/>
      </w:pPr>
    </w:p>
    <w:p w:rsidR="0085709A" w:rsidRDefault="0085709A" w:rsidP="0085709A">
      <w:pPr>
        <w:pStyle w:val="TextoNormal"/>
      </w:pPr>
      <w:r>
        <w:t>Finalmente, con relación al ámbito del sector público, aducen que la norma también vulnera el art. 14 CE dado que mientras que para los funcionarios públicos rige un sistema de jubilación obligatoria por imperativo legal, la jubilación forzosa del personal laboral del sector público sólo se producía hasta la fecha a tenor de las cláusulas establecidas en los convenios colectivos que ahora se prohíben. Con lo cual, se viene a crear una diferencia de trato injustificada y carente de toda proporcionalidad que afecta al derecho de acceso a las funciones públicas en condiciones de igualdad (arts. 23.2 y 103.3 CE), al proyectarse no sólo al momento del ingreso sino también al de la pérdida de la condición de empleado público.</w:t>
      </w:r>
    </w:p>
    <w:p w:rsidR="0085709A" w:rsidRDefault="0085709A" w:rsidP="0085709A">
      <w:pPr>
        <w:pStyle w:val="TextoNormal"/>
      </w:pPr>
    </w:p>
    <w:p w:rsidR="0085709A" w:rsidRDefault="0085709A" w:rsidP="0085709A">
      <w:pPr>
        <w:pStyle w:val="TextoNormal"/>
      </w:pPr>
      <w:r>
        <w:t xml:space="preserve">f) El siguiente precepto impugnado es el art. 4.3 de la Ley 3/2012, en virtud del cual el contrato de apoyo a los emprendedores debe incorporar un período de prueba “de un año en todo caso”, lo que a juicio de los recurrentes vulnera los arts. 24.1, 35.1 y 37.1, todos ellos de la Constitución. Se comienza señalando que la jurisprudencia constitucional ha consagrado la causalidad en la extinción contractual por voluntad unilateral del empresario como concreción del derecho al trabajo del art. 35.1 CE. Dicha exigencia de causalidad viene reforzada, además, por la normativa comunitaria e internacional. Siendo el período de prueba una excepción justificada a la exigencia de causalidad de la extinción del contrato, una regulación como la cuestionada carece de justificación objetiva y razonable, al establecer una duración de todo punto desvinculada de la finalidad para la que se concibe la institución del período de prueba, en cuanto dirigida a la constatación en la práctica de las aptitudes profesionales y de la adaptación al puesto del trabajo del trabajador. Las notas de indisponibilidad de su duración, su desvinculación con los niveles de formación y titulación y su extensión de un año, durante el cual el trabajador carece de toda protección frente a la decisión empresarial de extinción, carecen de justificación objetiva y razonable, así como de proporcionalidad, vulnerando el principio de estabilidad en el empleo y de causalidad de la extinción contractual (art. 35.1 CE). Además, la regulación cuestionada convierte esta materia en indisponible sin razón que lo justifique, vulnerando el derecho constitucional a la negociación colectiva del art. 37.1 CE. Igualmente, produce una lesión del derecho a la tutela judicial efectiva del art. 24.1 CE, al reconocer una plena capacidad de desistimiento empresarial durante un período de doce meses, con dos características particulares: la falta </w:t>
      </w:r>
      <w:r>
        <w:lastRenderedPageBreak/>
        <w:t>de capacidad de reacción del trabajador frente a la decisión extintiva, impidiéndose su control judicial, y la ausencia de resarcimiento para el trabajador. Finalmente, se denuncia también una diferencia de tratamiento entre trabajadores indefinidos contratados con esta modalidad contractual y trabajadores temporales (cuya extinción, por muy fundada y justificada que esté, sí da derecho a una indemnización), que a juicio de los recurrentes resulta injustificada y contraria al art. 14 CE.</w:t>
      </w:r>
    </w:p>
    <w:p w:rsidR="0085709A" w:rsidRDefault="0085709A" w:rsidP="0085709A">
      <w:pPr>
        <w:pStyle w:val="TextoNormal"/>
      </w:pPr>
    </w:p>
    <w:p w:rsidR="0085709A" w:rsidRDefault="0085709A" w:rsidP="0085709A">
      <w:pPr>
        <w:pStyle w:val="TextoNormal"/>
      </w:pPr>
      <w:r>
        <w:t>g) También consideran los recurrentes contrario a la Constitución el apartado tercero del art. 18 de la Ley 3/2012, al que imputan la vulneración de los arts. 35.1 y 24.1 CE. El citado precepto modifica el art. 51.1 LET —y, por extensión, el art. 52 c) LET—, en diversos aspectos, entre ellos, el que los recurrentes cuestionan en este recurso relativo a la definición de las causas económicas, técnicas, organizativas o de producción que justifican los despidos colectivos y objetivos regulados en los citados preceptos. Es decir, el debate constitucional planteado gira en torno a la concreción de la causalidad del despido por motivos empresariales. A juicio de los recurrentes, la nueva regulación prescinde, en realidad, del elemento de causalidad, vulnerando el derecho al trabajo del art. 35.1 CE y, como efecto derivado, impide el control judicial de esa causalidad del despido y, por tanto, el ejercicio del derecho a la tutela judicial efectiva del art. 24.1 CE. De este modo, y por lo que a las causas económicas se refiere, dicen los Diputados recurrentes que la norma incorpora dos novedades principales en relación con la precedente regulación. La primera es la previsión de que, en todo caso, se entenderá que existe una disminución persistente del nivel de ventas o de ingresos si durante tres trimestres consecutivos éstos son inferiores al nivel de ventas o ingresos del mismo trimestre del año anterior. La segunda consiste en la eliminación de la exigencia de que el empresario acredite los resultados alegados y justifique que de los mismos se deduce la razonabilidad de la decisión extintiva para preservar o favorecer su posición competitiva en el mercado. Por lo que atañe a las causas organizativas, técnicas o de producción, la novedad más relevante es, nuevamente, que se suprime la previsión de que la empresa deba acreditar la concurrencia de alguna de las causas señaladas y justificar que de las mismas se deduce la razonabilidad de la decisión extintiva.</w:t>
      </w:r>
    </w:p>
    <w:p w:rsidR="0085709A" w:rsidRDefault="0085709A" w:rsidP="0085709A">
      <w:pPr>
        <w:pStyle w:val="TextoNormal"/>
      </w:pPr>
    </w:p>
    <w:p w:rsidR="0085709A" w:rsidRDefault="0085709A" w:rsidP="0085709A">
      <w:pPr>
        <w:pStyle w:val="TextoNormal"/>
      </w:pPr>
      <w:r>
        <w:t>En relación con esta nueva caracterización de las causas, los recurrentes realizan dos consideraciones: en primer lugar, que se han vaciado de contenido las causas económicas y empresariales, en la medida en que se procede a identificar las mismas con simples hechos, eliminando el juicio de razonabilidad, y, en segundo lugar, que con ello el legislador persigue un automatismo en la aplicación de las causas legalmente definidas, evitando, como afirma el preámbulo, “elementos de incertidumbre” que han llevado a los tribunales en el pasado a realizar “juicios de oportunidad relativos a la gestión de la empresa”. El resultado de todo ello ha sido una delimitación legal de las causas muy vaga, recurriéndose a fórmulas ejemplificativas, así como la eliminación del elemento de causalidad, pues lo que ahora importa es la concurrencia, sin más, de unos hechos. Y dado que se impide el control judicial de la causalidad del despido, al circunscribir indirectamente la actuación de los Tribunales a la constatación de la concurrencia de determinados hechos económicos o empresariales, no sólo se vulnera el art. 35.1 CE sino también el derecho a la tutela judicial efectiva del art. 24.1 CE.</w:t>
      </w:r>
    </w:p>
    <w:p w:rsidR="0085709A" w:rsidRDefault="0085709A" w:rsidP="0085709A">
      <w:pPr>
        <w:pStyle w:val="TextoNormal"/>
      </w:pPr>
    </w:p>
    <w:p w:rsidR="0085709A" w:rsidRDefault="0085709A" w:rsidP="0085709A">
      <w:pPr>
        <w:pStyle w:val="TextoNormal"/>
      </w:pPr>
      <w:r>
        <w:t xml:space="preserve">h) El siguiente precepto recurrido es el apartado octavo del art. 18 (que modifica el apartado 2, del art. 56 LET), y, por conexión, el art. 23.1 —que modifica el art. 110.1 de la Ley reguladora de la jurisdicción social—, ambos de la Ley 3/2012, que limitan el pago de los </w:t>
      </w:r>
      <w:r>
        <w:lastRenderedPageBreak/>
        <w:t>salarios de tramitación al supuesto en que el empresario, tras la declaración de improcedencia del despido, opte por la readmisión del trabajador, suprimiéndolos en caso de que opte por la extinción indemnizada de la relación laboral. A juicio de los recurrentes, al favorecerse la extinción definitiva de la relación laboral, se vulnera el art. 35.1 CE, una de cuyas manifestaciones es la estabilidad en el empleo. Se produce, además, una diferencia de trato contraria al art. 14 CE que afecta tanto a los empresarios (pues según la opción elegida, estarán o no obligados al pago de los salarios de tramitación), como a los trabajadores (que tendrán o no derecho a su percepción en virtud de la opción ejercitada por su empleador).</w:t>
      </w:r>
    </w:p>
    <w:p w:rsidR="0085709A" w:rsidRDefault="0085709A" w:rsidP="0085709A">
      <w:pPr>
        <w:pStyle w:val="TextoNormal"/>
      </w:pPr>
    </w:p>
    <w:p w:rsidR="0085709A" w:rsidRDefault="0085709A" w:rsidP="0085709A">
      <w:pPr>
        <w:pStyle w:val="TextoNormal"/>
      </w:pPr>
      <w:r>
        <w:t>Aducen que no es obstáculo para defender la inconstitucionalidad del precepto, sin embargo, el hecho de que este Tribunal se haya pronunciado al respecto en procesos de amparo (SSTC 84/2008, de 21 de julio, 122/2008, de 20 de octubre, y 143/2008, de 31 de octubre) con relación al Real Decreto-ley 5/2002, de 24 de mayo, de medidas urgentes para la reforma del sistema de protección por desempleo y la mejora de la ocupabilidad, negando la existencia de un término válido de comparación sobre el que realizar el juicio de igualdad, al compararse a trabajadores (readmitidos vs. indemnizados) que se encuentran en diferentes situaciones. Según los recurrentes, en tales casos este Tribunal no tuvo en cuenta que esa diversa posición a la que se aludía había sido creada precisamente por el propio legislador en respuesta a una situación que sí que era inicialmente idéntica, esto es, la de dos trabajadores despedidos cuyo despido hubiera sido declarado improcedente. A juicio de los recurrentes, resulta evidente que la regulación cuestionada contempla un tratamiento diferenciado para los trabajadores despedidos improcedentemente en función de la opción empresarial, y señalan que ese tratamiento diferenciado favorece de forma clarísima la opción por la extinción del contrato frente a la de la readmisión, afectando con ello, tanto al art. 14 CE, como también al art. 35.1 CE (esto es, al derecho a la continuidad o estabilidad en el empleo, que tiene como reverso el derecho a no ser despedido sin justa causa). En suma, afirman que la regulación legal cuestionada favorece la opción empresarial menos respetuosa con el derecho al trabajo y que este debilitamiento de la vocación de estabilidad en el empleo difícilmente permite concluir que la diferencia de trato responda a una justificación objetiva y razonable que, como tal, merezca el amparo del ordenamiento jurídico.</w:t>
      </w:r>
    </w:p>
    <w:p w:rsidR="0085709A" w:rsidRDefault="0085709A" w:rsidP="0085709A">
      <w:pPr>
        <w:pStyle w:val="TextoNormal"/>
      </w:pPr>
    </w:p>
    <w:p w:rsidR="0085709A" w:rsidRDefault="0085709A" w:rsidP="0085709A">
      <w:pPr>
        <w:pStyle w:val="TextoNormal"/>
      </w:pPr>
      <w:r>
        <w:t xml:space="preserve">i) El último precepto impugnado es la disposición adicional tercera de la Ley 3/2012 que, a su juicio, vulnera los arts. 14, 23 y 103.3 CE, en relación con el art. 35.1 CE. Dicha disposición establece la prohibición absoluta e incondicionada para las Administraciones públicas de efectuar las reducciones de jornada y suspensiones de contratos por razones económicas, técnicas, organizativas y productivas previstas en el art. 47 LET, lo que entienden que no sólo contradice las políticas de empleo defendidas por la reforma laboral, dirigidas a favorecer la flexibilidad interna frente a las medidas de flexibilidad externa, sino que, por efecto derivado, obliga a las entidades públicas en el caso de concurrencia de las señaladas circunstancias a reducir el empleo con carácter permanente por medio de despidos colectivos. Ello provoca una tutela más débil de la estabilidad en el empleo del personal laboral de las Administraciones públicas carente de justificación objetiva y proporcionada, por lo que se incurriría en un tratamiento discriminatorio. Este último se produciría, también, en relación con el personal de las entidades públicas que se financien mayoritariamente con ingresos obtenidos como contrapartida de operaciones realizadas en el mercado, a las que sí se les permite acudir a estos procedimientos, criterio éste que carece de justificación para establecer un trato diferencial entre empleados de entidades públicas. Finalmente, se indica que estas reducciones de jornada por razones económicas del art. 47 LET que se prohíben </w:t>
      </w:r>
      <w:r>
        <w:lastRenderedPageBreak/>
        <w:t>para la Administración pública no impiden la aplicación en ella de reducciones de jornada por la vía del art. 41 LET, lo que sería más perjudicial para los trabajadores al entrañar el efecto perverso de privar a los mismos de la protección por desempleo, ocasionando una nueva lesión del principio de no discriminación. Se vulnera, con todo ello, el art. 14 CE, afectando, además, negativamente al derecho al trabajo del art. 35.1 CE, que se extiende tanto al momento del acceso al empleo como al régimen de extinción del contrato, y al derecho al acceso a las funciones públicas en condiciones de igualdad y mérito de los arts. 23.2 y 103.3 CE.</w:t>
      </w:r>
    </w:p>
    <w:p w:rsidR="0085709A" w:rsidRDefault="0085709A" w:rsidP="0085709A">
      <w:pPr>
        <w:pStyle w:val="TextoNormal"/>
      </w:pPr>
    </w:p>
    <w:p w:rsidR="0085709A" w:rsidRDefault="0085709A" w:rsidP="0085709A">
      <w:pPr>
        <w:pStyle w:val="TextoNormal"/>
      </w:pPr>
      <w:r w:rsidRPr="0085709A">
        <w:rPr>
          <w:rStyle w:val="NumeroAFNegritaCaracter"/>
        </w:rPr>
        <w:t>3</w:t>
      </w:r>
      <w:r>
        <w:t>. Por providencia de 30 de octubre de 2012, el Pleno del Tribunal Constitucional, a propuesta de la Sección Tercera,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convenientes. Asimismo, acordó publicar la incoación del recurso en el “Boletín Oficial del Estado”, lo que se llevó a efecto en el “Boletín Oficial del Estado” núm. 270, de 9 de noviembre de 2012.</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registrado el día 7 de noviembre de 2012, el Abogado del Estado, en la representación que legalmente ostenta, solicitó que se le tuviera por personado en nombre del Gobierno en el recurso de inconstitucionalidad, y que se le concediera una prórroga por el máximo legal del plazo concedido para formular alegaciones, habida cuenta del número de asuntos pendientes en esa Abogacía. Por providencia de 12 de noviembre de 2012, el Pleno acordó incorporar a las actuaciones el mencionado escrito, teniendo por personado al Abogado del Estado en la representación que legalmente ostenta, y concediéndole una prórroga de ocho días sobre el plazo inicial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El día 14 de noviembre de 2012 tuvo entrada en el Registro General del Tribunal escrito del Presidente del Senado dando conocimiento del acuerdo de la Mesa de esa Cámara, en el sentido de darse por personada en el presente procedimiento y ofrecer su colaboración a los efectos de lo previsto en el art. 88.1 de la Ley Orgánica del Tribunal Constitucional (LOTC).</w:t>
      </w:r>
    </w:p>
    <w:p w:rsidR="0085709A" w:rsidRDefault="0085709A" w:rsidP="0085709A">
      <w:pPr>
        <w:pStyle w:val="TextoNormal"/>
      </w:pPr>
    </w:p>
    <w:p w:rsidR="0085709A" w:rsidRDefault="0085709A" w:rsidP="0085709A">
      <w:pPr>
        <w:pStyle w:val="TextoNormal"/>
      </w:pPr>
      <w:r w:rsidRPr="0085709A">
        <w:rPr>
          <w:rStyle w:val="NumeroAFNegritaCaracter"/>
        </w:rPr>
        <w:t>6</w:t>
      </w:r>
      <w:r>
        <w:t>. El día 15 de noviembre de 2012 tuvo igualmente entrada en el Registro de este Tribunal escrito del Presidente del Congreso de los Diputados comunicando el acuerdo de la Mesa de esa Cámara, en el sentido de darse por personada en el presente procedimiento y ofrecer su colaboración a los efectos de lo previsto en 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de 7 de diciembre de 2012 tuvo entrada en el Registro General de este Tribunal el escrito de alegaciones del Abogado del Estado en el que solicita se dicte la Sentencia por la que se inadmita el recurso con relación al art. 14, apartados 2 y 3, de la Ley 3/2012, y se desestime respecto de todo lo demás, con fundamento en los argumentos que a continuación se sintetizan:</w:t>
      </w:r>
    </w:p>
    <w:p w:rsidR="0085709A" w:rsidRDefault="0085709A" w:rsidP="0085709A">
      <w:pPr>
        <w:pStyle w:val="TextoNormal"/>
      </w:pPr>
    </w:p>
    <w:p w:rsidR="0085709A" w:rsidRDefault="0085709A" w:rsidP="0085709A">
      <w:pPr>
        <w:pStyle w:val="TextoNormal"/>
      </w:pPr>
      <w:r>
        <w:t xml:space="preserve">a) Antes de entrar a dar respuesta a los argumentos del recurso de inconstitucionalidad, el Abogado del Estado realiza dos precisiones previas. En primer lugar, precisa que aun cuando los recurrentes en el encabezamiento y suplico señalan que impugnan el art. 14.2 de </w:t>
      </w:r>
      <w:r>
        <w:lastRenderedPageBreak/>
        <w:t>la Ley 3/2012, sin embargo, no argumentan nada al respecto limitándose al contenido del apartado tercero de ese mismo precepto, sobre el cual no manifiestan su voluntad de impugnación, razón por la cual solicita la inadmisión parcial del recurso de inconstitucionalidad en este extremo.</w:t>
      </w:r>
    </w:p>
    <w:p w:rsidR="0085709A" w:rsidRDefault="0085709A" w:rsidP="0085709A">
      <w:pPr>
        <w:pStyle w:val="TextoNormal"/>
      </w:pPr>
    </w:p>
    <w:p w:rsidR="0085709A" w:rsidRDefault="0085709A" w:rsidP="0085709A">
      <w:pPr>
        <w:pStyle w:val="TextoNormal"/>
      </w:pPr>
      <w:r>
        <w:t>En segundo lugar, realiza el Abogado del Estado algunas reflexiones acerca de las consideraciones generales contenidas en el recurso con relación al modelo constitucional de relaciones laborales. Afirma al respecto que la Ley 3/2012 (claramente continuista con previas reformas urgentes del mercado laboral) afronta la grave crisis económica actual, adoptando una serie de medidas que tienen pleno encaje constitucional, pues ninguna de ellas entraña la trasgresión de los límites que la Constitución impone al legislador laboral. En definitiva, a su juicio, nuestro modelo de relaciones laborales tras la citada Ley, sigue teniendo pleno amparo constitucional, como se comprobará al analizar cada uno de los concretos preceptos impugnados.</w:t>
      </w:r>
    </w:p>
    <w:p w:rsidR="0085709A" w:rsidRDefault="0085709A" w:rsidP="0085709A">
      <w:pPr>
        <w:pStyle w:val="TextoNormal"/>
      </w:pPr>
    </w:p>
    <w:p w:rsidR="0085709A" w:rsidRDefault="0085709A" w:rsidP="0085709A">
      <w:pPr>
        <w:pStyle w:val="TextoNormal"/>
      </w:pPr>
      <w:r>
        <w:t>b) Hechas las precisiones anteriores, procede el Abogado del Estado a dar respuesta a la impugnación del art. 14.1 de la Ley 3/2012 en relación con la función dirimente atribuida a la Comisión Consultiva Nacional de Convenios Colectivos, u órganos autonómicos equivalentes, prevista como última fase del procedimiento de inaplicación de un convenio colectivo en el art. 82.3 LET. Destaca a este respecto que la intervención de la Comisión puede quedar fácilmente excluida por el propio ejercicio de la autonomía colectiva conforme al art. 85.3 c) LET, y tras referirse al contenido del Real Decreto 1362/2012, de 27 de septiembre, con relación a la eficacia de la decisión adoptada en el seno de la Comisión Consultiva Nacional de Convenios Colectivos o por el árbitro que fuera designado por ella, y a la posibilidad de impugnarla por ilegalidad o por lesividad, niega que la norma vulnere el art. 24.1 CE al permitir un posterior control judicial sobre la decisión de inaplicación.</w:t>
      </w:r>
    </w:p>
    <w:p w:rsidR="0085709A" w:rsidRDefault="0085709A" w:rsidP="0085709A">
      <w:pPr>
        <w:pStyle w:val="TextoNormal"/>
      </w:pPr>
    </w:p>
    <w:p w:rsidR="0085709A" w:rsidRDefault="0085709A" w:rsidP="0085709A">
      <w:pPr>
        <w:pStyle w:val="TextoNormal"/>
      </w:pPr>
      <w:r>
        <w:t xml:space="preserve">Recuerda seguidamente el Abogado del Estado la doctrina constitucional referida a los arbitrajes institucionales e imperativos y su conformidad constitucional, con cita de la STC 174/1995, de 23 de noviembre, FJ 3, y, especialmente, de la STC 11/1981, de 8 de abril, que declaró inconstitucionales el apartado b) del art. 25 y el art. 26 del Real Decreto-ley 17/1977, de 4 de marzo, en la que se negó que el arbitraje público obligatorio pueda calificarse de genuino arbitraje. Conforme a ella, afirma que si bien la intervención de la Comisión Consultiva Nacional de Convenios Colectivos y de los órganos autonómicos no es un genuino arbitraje, sí lo es el llevado a cabo por el árbitro que, en su caso, designe el órgano tripartito, que debe ser nombrado con las debidas garantías de imparcialidad. A su juicio, cabe apreciar una justificación constitucional para la designación del árbitro imparcial obligatorio, al estar ligado a la concurrencia de circunstancias excepcionales, doctrina que concuerda con la del comité de libertad sindical de la Organización Internacional del Trabajo (OIT), que ha considerado compatible el arbitraje obligatorio con el Convenio OIT núm. 98, cuando “tras prolongados e infructuosos intentos de llegar a un acuerdo”, las autoridades aprecian que se ha llegado a un “punto muerto” y “existe una crisis nacional aguda” (330 informe, parágrafo 888). Prosigue diciendo que si bien el laudo arbitral entraña la inaplicación de un convenio, lo es, material y temporalmente de forma limitada, y está sujeta a posterior control judicial. E igual ajuste constitucional aprecia el Abogado del Estado con relación a la decisión adoptada en el seno de la Comisión Consultiva Nacional de Convenios Colectivos o de los respectivos órganos autonómicos, atendidas, de un lado, las circunstancias excepcionales para las que se prevé (actual situación de crisis económica, y particulares </w:t>
      </w:r>
      <w:r>
        <w:lastRenderedPageBreak/>
        <w:t>circunstancias del bloqueo negociador, al no haber podido obtenerse el consenso de las partes a través de procedimientos previstos en la negociación colectiva), y, de otro lado, por el tipo de órgano al que se confía la decisión (órgano colegiado de participación institucional en el que intervienen los agentes sociales).</w:t>
      </w:r>
    </w:p>
    <w:p w:rsidR="0085709A" w:rsidRDefault="0085709A" w:rsidP="0085709A">
      <w:pPr>
        <w:pStyle w:val="TextoNormal"/>
      </w:pPr>
    </w:p>
    <w:p w:rsidR="0085709A" w:rsidRDefault="0085709A" w:rsidP="0085709A">
      <w:pPr>
        <w:pStyle w:val="TextoNormal"/>
      </w:pPr>
      <w:r>
        <w:t>c) Respecto de la impugnación del art. 12.1 de la Ley 3/2012 (por el que se modifica el art. 41 LET), en la que se discute la facultad del empresario de adoptar unilateralmente modificaciones sustanciales de condiciones de trabajo de carácter colectivo pactadas en convenios “extraestatutarios”, señala el Abogado del Estado que esta regulación ha estado vigente, con diversas redacciones y sin contestación, desde la Ley 11/1994, de 19 de mayo, que modifica determinados artículos del estatuto de los trabajadores, del texto articulado de la Ley de procedimiento laboral y de la Ley sobre infracciones y sanciones en el orden social. Después se señala que la única cuestión relevante a considerar es la compatibilidad del precepto con el art. 37.1 CE, pues la pretendida vulneración del art. 28.1 CE (falta de fundamentación en la demanda) aparecería, en todo caso, como derivada de la del art. 37.1 CE, mientras que no se advierte en qué pueda vulnerar el precepto el art. 24.1 CE, dado que la Ley contempla un control judicial pleno de la decisión empresarial (se podrá reclamar en conflicto colectivo, sin perjuicio de la acción individual que proceda).</w:t>
      </w:r>
    </w:p>
    <w:p w:rsidR="0085709A" w:rsidRDefault="0085709A" w:rsidP="0085709A">
      <w:pPr>
        <w:pStyle w:val="TextoNormal"/>
      </w:pPr>
    </w:p>
    <w:p w:rsidR="0085709A" w:rsidRDefault="0085709A" w:rsidP="0085709A">
      <w:pPr>
        <w:pStyle w:val="TextoNormal"/>
      </w:pPr>
      <w:r>
        <w:t>Por otra parte, esta vez con relación a la infracción del art. 37.1 CE, para el Abogado del Estado la diferente naturaleza entre los convenios estatutarios y extraestatutarios justifica el distinto tratamiento de sus efectos, entre ellos el de su fuerza vinculante, que puede ser graduada por el legislador en función del amplio margen que para su concreción le reconoce la Constitución. En este sentido, señala que este planteamiento encuentra su base en la doctrina constitucional citada, según la cual en los pactos extraestatutarios prevalece su naturaleza contractual, que atrae de forma natural a las normas sobre los efectos de los contratos. Asimismo, en cuanto a la pretendida laxitud de las causas legales que justifican la decisión empresarial, indica que habrán de concurrir probadas razones económicas, técnicas, organizativas o de producción, correspondiendo al empresario su prueba y a los tribunales interpretar la intensidad de las mismas para que proceda la aplicación del mecanismo legal, sin que corresponda a este proceso contemplar eventuales interpretaciones de la norma que puedan menoscabar el art. 28 CE, en relación con el art. 37 CE.</w:t>
      </w:r>
    </w:p>
    <w:p w:rsidR="0085709A" w:rsidRDefault="0085709A" w:rsidP="0085709A">
      <w:pPr>
        <w:pStyle w:val="TextoNormal"/>
      </w:pPr>
    </w:p>
    <w:p w:rsidR="0085709A" w:rsidRDefault="0085709A" w:rsidP="0085709A">
      <w:pPr>
        <w:pStyle w:val="TextoNormal"/>
      </w:pPr>
      <w:r>
        <w:t xml:space="preserve">d) Tras insistir el Abogado del Estado que considera inadmisible la demanda con relación al art. 14.2 y 3 de la Ley 3/2012, contesta, aunque con carácter subsidiario, sobre los motivos de inconstitucionalidad reprochados al citado apartado tercero. Indica que este precepto constituye la pieza capital en la denominada descentralización de la negociación colectiva que el legislador quiere garantizar para facilitar una negociación de las condiciones laborales en el nivel más cercano y adecuado a la realidad de las empresas y de los trabajadores, descentralización que resulta muy baja en España en relación con los países de nuestro entorno y que ha sido recomendada por diversos organismos internacionales. Se recuerda la doctrina constitucional relativa al derecho a la negociación colectiva y a su consideración como contenido esencial del derecho de libertad sindical, indicando que conforme a esa misma doctrina, no hay un monopolio sindical del derecho a la negociación colectiva, y la referencia a los “representantes de los trabajadores” del art. 37.1 CE incluye también los electos, unitarios o legales (arts. 62.1, 63.1 y 87.1 ET; por todas, STC 118/1983, de 13 de diciembre, FJ 3). Dicho lo que antecede, sostiene que el razonamiento impugnatorio de los </w:t>
      </w:r>
      <w:r>
        <w:lastRenderedPageBreak/>
        <w:t>recurrentes se mueve en un nivel ajeno al del control de constitucionalidad, tal y como apreció el Tribunal, en relación con el derecho de huelga, en el FJ 7 de la STC 11/1981. Ni el art. 7, ni el 28.1, ni el 37.1 CE imponen al legislador estatutario la única opción de regular los convenios colectivos maximizando el poder de negociación y el influjo de los sindicatos y de las organizaciones empresariales, ni menos aún obligan a establecer una estructura centralizada de la negociación colectiva. No cabe sostener que la preferencia de las organizaciones sindicales en una estructura de negociación colectiva sectorial y supra empresarial deba convertirse en criterio constitucional que derrote cualquier otro, de manera que, por ejemplo, la defensa de la productividad (art. 38 CE), incluso en un contexto de recesión económica duradera, deba ceder ante una estructura de la negociación poco compatible con el funcionamiento eficiente y flexible del mercado de trabajo. Tampoco se ve afectada en este caso la fuerza vinculante de los convenios, pues tan convenios colectivos son los sectoriales como los de empresa, ni la libertad sindical en materia de negociación colectiva, cuando las secciones sindicales gozan de legitimación para negociar los convenios de empresa.</w:t>
      </w:r>
    </w:p>
    <w:p w:rsidR="0085709A" w:rsidRDefault="0085709A" w:rsidP="0085709A">
      <w:pPr>
        <w:pStyle w:val="TextoNormal"/>
      </w:pPr>
    </w:p>
    <w:p w:rsidR="0085709A" w:rsidRDefault="0085709A" w:rsidP="0085709A">
      <w:pPr>
        <w:pStyle w:val="TextoNormal"/>
      </w:pPr>
      <w:r>
        <w:t>e) En relación con la disposición final cuarta.2 de la Ley 3/2012, que declara nulas y sin efecto las cláusulas de los convenios colectivos sobre jubilación forzosa, el Abogado del Estado niega que dicha disposición vulnere la libertad sindical y la negociación colectiva, pues no existe una reserva constitucional a favor de esta última que excluya la intervención de la Ley. El propio Tribunal Constitucional ha afirmado, tanto la competencia de la Ley para regular esta materia, como la necesaria adecuación del convenio a lo previsto en ella. Además, la razonabilidad de la medida cuestionada parece clara, ya que la única normativa que podría ofrecer dudas sobre su compatibilidad con el art. 35 CE, en relación con el 14 CE, es aquélla que establecía la jubilación obligatoria a una determinada edad. No puede desconocerse que el retraso de la edad de jubilación y la incentivación de la continuidad en la vida activa, dificultando las jubilaciones anticipadas, constituye una línea decidida del legislador orientada a garantizar la viabilidad financiera del sistema de la Seguridad Social.</w:t>
      </w:r>
    </w:p>
    <w:p w:rsidR="0085709A" w:rsidRDefault="0085709A" w:rsidP="0085709A">
      <w:pPr>
        <w:pStyle w:val="TextoNormal"/>
      </w:pPr>
    </w:p>
    <w:p w:rsidR="0085709A" w:rsidRDefault="0085709A" w:rsidP="0085709A">
      <w:pPr>
        <w:pStyle w:val="TextoNormal"/>
      </w:pPr>
      <w:r>
        <w:t>También rechaza el representante del Estado la infracción de la igualdad en el acceso al trabajo, en relación con la diferencia de tratamiento de los trabajadores de las Administraciones públicas, ya que como ha declarado este Tribunal, el principio de igualdad que vincula al legislador no le impide establecer diferencias de trato, siempre que encuentren una justificación objetiva y razonable, valorada en atención a las finalidades que se persiguen por la Ley y a la adecuación de medios afines entre aquéllas y éstas. Además, esta libertad de implantación de diferencias de trato se aprecia con mayor intensidad en relación con estructuras de creación legal donde la norma que las crea puede apreciar diferencias relevantes fundadas en el régimen abstracto diseñado por ellas mismas.</w:t>
      </w:r>
    </w:p>
    <w:p w:rsidR="0085709A" w:rsidRDefault="0085709A" w:rsidP="0085709A">
      <w:pPr>
        <w:pStyle w:val="TextoNormal"/>
      </w:pPr>
    </w:p>
    <w:p w:rsidR="0085709A" w:rsidRDefault="0085709A" w:rsidP="0085709A">
      <w:pPr>
        <w:pStyle w:val="TextoNormal"/>
      </w:pPr>
      <w:r>
        <w:t xml:space="preserve">f) Aborda a continuación el Abogado del Estado el examen de la constitucionalidad del art. 4.3 de la Ley 3/2012, norma que prevé una duración de un año del período de prueba del contrato de trabajo por tiempo indefinido de apoyo a los emprendedores. En respuesta a los argumentos ofrecidos por los recurrentes para sostener la infracción del art. 35.1 CE, comienza negando que pueda considerarse como irrazonable la duración legalmente prevista para el citado periodo de prueba, a la vista del régimen jurídico del nuevo contrato. En particular destaca su régimen de incentivos, diseñado para desalentar claramente las extinciones de contratos antes de que, por lo menos, transcurran tres años (y, aún más intensamente, en el primer año de la prueba), y que viene a servir de contrapeso respecto de la </w:t>
      </w:r>
      <w:r>
        <w:lastRenderedPageBreak/>
        <w:t>mayor duración del período de prueba. Además, este contrato debe situarse en la realidad social del tiempo en que la norma ha de ser aplicada (art. 3.1 del Código civil), al nacer con una vocación coyuntural para tratar de paliar la descomunal tasa de paro que nos atormenta. Ciertamente, ha de regir únicamente para una singular y probablemente minoritaria modalidad de contratación laboral indefinida, al alcance únicamente de pequeñas empresas que pueden minimizar, mediante esta disposición, los importantes riesgos económicos asociados a un contrato de trabajo por tiempo indefinido. Por consiguiente, nos encontramos con una medida protectora de la pequeña empresa en un contexto de crisis.</w:t>
      </w:r>
    </w:p>
    <w:p w:rsidR="0085709A" w:rsidRDefault="0085709A" w:rsidP="0085709A">
      <w:pPr>
        <w:pStyle w:val="TextoNormal"/>
      </w:pPr>
    </w:p>
    <w:p w:rsidR="0085709A" w:rsidRDefault="0085709A" w:rsidP="0085709A">
      <w:pPr>
        <w:pStyle w:val="TextoNormal"/>
      </w:pPr>
      <w:r>
        <w:t>Posteriormente, el Abogado del Estado niega que la medida impugnada vulnere el art. 24.1 CE, pues el desistimiento en el período de prueba es revisable por los Tribunales para controlar que mediante él no se discrimina o se violan los demás derechos fundamentales, y para verificar la realización o no de las experiencias que constituyan el objeto de la prueba. Fuera de estos supuestos, es la propia naturaleza del periodo de prueba la que impide que se exija la justificación jurídica de una causa. Y, finalmente, descarta la infracción del art. 37.1 CE, pues de este precepto no puede extraerse en modo alguno un límite constitucional que impida al legislador establecer una duración imperativa del período de prueba convencionalmente inderogable.</w:t>
      </w:r>
    </w:p>
    <w:p w:rsidR="0085709A" w:rsidRDefault="0085709A" w:rsidP="0085709A">
      <w:pPr>
        <w:pStyle w:val="TextoNormal"/>
      </w:pPr>
    </w:p>
    <w:p w:rsidR="0085709A" w:rsidRDefault="0085709A" w:rsidP="0085709A">
      <w:pPr>
        <w:pStyle w:val="TextoNormal"/>
      </w:pPr>
      <w:r>
        <w:t>g) El Abogado del Estado pasa a examinar la impugnación del art. 18. 3 de la Ley 3/2012, en la que se cuestiona la definición de las causas del despido colectivo (art. 51 LET). Comienza precisando que resulta difícil deducir de la demanda qué concreta dimensión del derecho a la tutela judicial efectiva (art. 24.1 CE) se considera vulnerada, aunque los recurrentes parecen entender que el precepto impugnado impediría a la jurisdicción social realizar un control de la razonabilidad del despido y de su relación de causalidad con los hechos que lo motivan. Nada permite interpretar, sin embargo, que la norma suponga una restricción de las funciones de la jurisdicción ordinaria a la hora de enjuiciar plenamente la decisión empresarial, ni tampoco puede extraerse dicha conclusión del preámbulo de la Ley al que aluden los recurrentes. Según el Abogado del Estado, la voluntad del legislador ha sido la de precisar las causas del despido colectivo, ciñendo el control jurisdiccional a la concurrencia de las mismas, su razonabilidad y proporcionalidad, y, al mismo tiempo, eliminar expresiones normativas que podían permitir que se valorasen cuestiones atinentes a la pura gestión de la empresa.</w:t>
      </w:r>
    </w:p>
    <w:p w:rsidR="0085709A" w:rsidRDefault="0085709A" w:rsidP="0085709A">
      <w:pPr>
        <w:pStyle w:val="TextoNormal"/>
      </w:pPr>
    </w:p>
    <w:p w:rsidR="0085709A" w:rsidRDefault="0085709A" w:rsidP="0085709A">
      <w:pPr>
        <w:pStyle w:val="TextoNormal"/>
      </w:pPr>
      <w:r>
        <w:t>En cuanto a la presunta vulneración del derecho al trabajo (art. 35 CE), la alegación merece, a juicio del Abogado del Estado, igual suerte desestimatoria, en tanto que entiende que la nueva definición legal de las causas justificativas del despido colectivo es plenamente conforme con la doctrina constitucional (STC 193/2003, de 27 de octubre) y con el art. 4 del Convenio 158 de la OIT. La existencia de intereses contrapuestos constitucionalmente relevantes, como son los regulados en los arts. 35 y 38 CE, supone la lógica exigencia de importantes facultades de concreción del legislador para delimitar el correspondiente punto de equilibrio. Así, en este tipo de despidos, ha de tenerse en cuenta que la actuación empresarial, al vincularse a las vicisitudes del mercado, está relacionada con la propia libertad de gestión de la empresa y con la defensa de la productividad sobre la que descansa la economía de mercado y su potencial de crecimiento y creación de empleo. Estás cuestiones deben ser ponderadas por el legislador, especialmente en circunstancias como las que ha tenido que atender la Ley 3/2012.</w:t>
      </w:r>
    </w:p>
    <w:p w:rsidR="0085709A" w:rsidRDefault="0085709A" w:rsidP="0085709A">
      <w:pPr>
        <w:pStyle w:val="TextoNormal"/>
      </w:pPr>
    </w:p>
    <w:p w:rsidR="0085709A" w:rsidRDefault="0085709A" w:rsidP="0085709A">
      <w:pPr>
        <w:pStyle w:val="TextoNormal"/>
      </w:pPr>
      <w:r>
        <w:lastRenderedPageBreak/>
        <w:t>Finalmente, en cuanto a la alegación relativa a la actual omisión en la definición de las causas económicas y técnicas de la anterior referencia a la necesidad de justificar “la razonabilidad de la decisión extintiva”, alude el Abogado del Estado a la conocida doctrina constitucional (sintetizada en ATC 433/2005, de 13 de diciembre) sobre las llamadas “inconstitucionales por omisión”, que sólo existen cuando la Constitución impone al legislador la necesidad de dictar normas de desarrollo constitucional y el legislador no lo hace. Pero, en cualquier caso, añade que nada impide a los órganos judiciales en la nueva legislación seguir valorando la razonabilidad y proporcionalidad de las medidas. En este sentido, indica que resulta obvio que nada tiene que decir el legislador para que el juez desempeñe la función que le es propia y que está naturalmente relacionada con la ponderación de la racionalidad de las medidas que debe enjuiciar.</w:t>
      </w:r>
    </w:p>
    <w:p w:rsidR="0085709A" w:rsidRDefault="0085709A" w:rsidP="0085709A">
      <w:pPr>
        <w:pStyle w:val="TextoNormal"/>
      </w:pPr>
    </w:p>
    <w:p w:rsidR="0085709A" w:rsidRDefault="0085709A" w:rsidP="0085709A">
      <w:pPr>
        <w:pStyle w:val="TextoNormal"/>
      </w:pPr>
      <w:r>
        <w:t>h) A continuación, el Abogado del Estado analiza la constitucionalidad de los arts. 18.8 y 23.1 de la Ley 3/2012, en tanto limitan los salarios de tramitación a los casos de despido improcedente en los que se opta por la readmisión, regulación a la que los recurrentes imputan las vulneraciones del derecho al trabajo (art. 35.1 CE) y del principio de igualdad (art. 14 CE). Pues bien, tras analizar el sentido del precepto, recuerda el Abogado del Estado que la constitucionalidad de una previsión idéntica, introducida por el art. 2.3 del Real Decreto-ley 5/2002, de 24 de mayo, de medidas urgentes para la reforma del sistema de protección por desempleo y mejora de la ocupabilidad, fue ya objeto de enjuiciamiento por el Tribunal Constitucional en diversos procesos de amparo (resueltos por las SSTC 84/2008, de 21 de julio; 122/2008, de 20 de octubre, y 143/2008, de 31 de octubre), en las que se constató la carencia de homogeneidad entre las situaciones comparadas a efectos del principio de igualdad, y la razonabilidad constitucional de las distintas soluciones adoptadas por el legislador. Pues bien, tal pronunciamiento resulta trasladable al presente caso para apreciar la constitucionalidad de la norma impugnada, sin que puedan ser acogidas las objeciones que los recurrentes plantean sobre la plena aplicación a la nueva regulación de la doctrina constitucional antes citada.</w:t>
      </w:r>
    </w:p>
    <w:p w:rsidR="0085709A" w:rsidRDefault="0085709A" w:rsidP="0085709A">
      <w:pPr>
        <w:pStyle w:val="TextoNormal"/>
      </w:pPr>
    </w:p>
    <w:p w:rsidR="0085709A" w:rsidRDefault="0085709A" w:rsidP="0085709A">
      <w:pPr>
        <w:pStyle w:val="TextoNormal"/>
      </w:pPr>
      <w:r>
        <w:t>i) Por último, el Abogado del Estado responde a la impugnación de la disposición adicional tercera de la Ley 3/2012, según la cual la prohibición para las Administraciones públicas de efectuar las reducciones de jornada y suspensiones de contratos reguladas en el art. 47 LET, en base a razones económicas, técnicas, organizativas y productivas, vulnera el derecho a la igualdad de trato y la prohibición de discriminación del art. 14 CE, el acceso a las funciones públicas conforme a criterios de mérito y capacidad de los arts. 23 y 103.3 CE, así como el derecho al trabajo reconocido por el art. 35.1 CE.</w:t>
      </w:r>
    </w:p>
    <w:p w:rsidR="0085709A" w:rsidRDefault="0085709A" w:rsidP="0085709A">
      <w:pPr>
        <w:pStyle w:val="TextoNormal"/>
      </w:pPr>
    </w:p>
    <w:p w:rsidR="0085709A" w:rsidRDefault="0085709A" w:rsidP="0085709A">
      <w:pPr>
        <w:pStyle w:val="TextoNormal"/>
      </w:pPr>
      <w:r>
        <w:t>Señala a este respecto que las invocaciones de los arts. 35.1 y 23.2 y 103.3 CE carecen de relevancia propia. Así, aun aceptando dialécticamente que la norma pueda inducir a determinadas entidades públicas al despido en lugar de permitirles el uso de medidas de carácter coyuntural, ello no afectaría en sí mismo al derecho al trabajo. Teniendo en cuenta las amplias facultades de que dispone el legislador para configurar el régimen de la estabilidad en el empleo, de la Constitución no puede derivarse mandato alguno al legislador respecto de medidas alternativas al despido que deban ser establecidas, por lo que el art. 35.1 CE permanecería incólume aunque desapareciera el art. 47 LET. Por lo mismo, también es claro que los imperativos de los arts. 23.2 y 103.3 CE en relación con la eventual extinción de las relaciones laborales requieren de una concreción legal.</w:t>
      </w:r>
    </w:p>
    <w:p w:rsidR="0085709A" w:rsidRDefault="0085709A" w:rsidP="0085709A">
      <w:pPr>
        <w:pStyle w:val="TextoNormal"/>
      </w:pPr>
    </w:p>
    <w:p w:rsidR="0085709A" w:rsidRDefault="0085709A" w:rsidP="0085709A">
      <w:pPr>
        <w:pStyle w:val="TextoNormal"/>
      </w:pPr>
      <w:r>
        <w:lastRenderedPageBreak/>
        <w:t>Así las cosas, a juicio del Abogado del Estado, únicamente resultaría relevante la dimensión concerniente al principio de igualdad y prohibición de discriminación (art. 14 CE), en relación con la diferencia de trato que se establece entre el régimen del personal laboral de las Administraciones públicas y el de los trabajadores comunes. Esta lesión resulta, sin embargo, igualmente rechazable, en tanto que no se ofrece un término válido de comparación al contrastarse a los trabajadores comunes con los que están al servicio de la Administración pública, por lo que faltaría el presupuesto necesario para la aplicación del art. 14 CE.</w:t>
      </w:r>
    </w:p>
    <w:p w:rsidR="0085709A" w:rsidRDefault="0085709A" w:rsidP="0085709A">
      <w:pPr>
        <w:pStyle w:val="TextoNormal"/>
      </w:pPr>
    </w:p>
    <w:p w:rsidR="0085709A" w:rsidRDefault="0085709A" w:rsidP="0085709A">
      <w:pPr>
        <w:pStyle w:val="TextoNormal"/>
      </w:pPr>
      <w:r>
        <w:t>En todo caso, considera que existen justificaciones más que razonables para la diferencia, pues la inaplicación del art. 47 LET a la Administración pública está en directa conexión con las características propias de éstas como empleadora. Ciertamente, al no desenvolver su actividad en un mercado cambiante y competitivo sino destinarse a servir con objetividad los intereses generales, no parece adecuado que recurra a medidas coyunturales como las previstas en el art. 47 LET. En efecto, la organización administrativa debe estar ajustada estructuralmente, en lo que se refiere a su plantilla, a las necesidades derivadas de los intereses generales, y en caso de que se produzca un desajuste, la medida debe ser la extinción de los contratos y no remedios coyunturales que no atiendan al desfase apreciado. Esta visión explica, según el Abogado del Estado, la diferencia de trato que contempla la norma legal entre las Administraciones públicas y las entidades públicas “que se financien mayoritariamente con ingresos obtenidos como contrapartida de operaciones realizadas en el mercado”, pues éstas últimas sí que pueden requerir la adopción de medidas de carácter coyuntural.</w:t>
      </w:r>
    </w:p>
    <w:p w:rsidR="0085709A" w:rsidRDefault="0085709A" w:rsidP="0085709A">
      <w:pPr>
        <w:pStyle w:val="TextoNormal"/>
      </w:pPr>
    </w:p>
    <w:p w:rsidR="0085709A" w:rsidRDefault="0085709A" w:rsidP="0085709A">
      <w:pPr>
        <w:pStyle w:val="TextoNormal"/>
      </w:pPr>
      <w:r>
        <w:t>En virtud de todo lo señalado, el Abogado del Estado finaliza su escrito solicitando que se dicte Sentencia por la que se inadmita el recurso respecto al art. 14, apartados segundo y tercero, de la Ley 3/2012, desestimándolo en lo demás, y subsidiariamente, se desestime el recurso en su integridad.</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20 de enero de 2015 se señaló para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proceso constitucional debemos resolver el recurso de inconstitucionalidad promovido por ciento cuatro Diputados del Grupo Parlamentario Socialista y once del Grupo Parlamentario La Izquierda Plural [Izquierda Unida (IU), Iniciativa per Catalunya Verds-Esquerra Unida i Alternativa (ICV-EUiA) y Chunta Aragonesista (CHA)] del Congreso de los Diputados, contra los arts. 4.3, 12.1, 14.1 y 2, 18.3 y 8, 23.1, así como contra la disposición adicional tercera y la disposición final cuarta.2, de la Ley 3/2012, de 6 de julio, de medidas urgentes para la reforma del mercado laboral (en adelante, Ley 3/2012, de 6 de julio), por vulneración de los arts. 14, 23.2, 24.1, 28.1, 35.1, 37.1 y 103.3, todos ellos de la Constitución.</w:t>
      </w:r>
    </w:p>
    <w:p w:rsidR="0085709A" w:rsidRDefault="0085709A" w:rsidP="0085709A">
      <w:pPr>
        <w:pStyle w:val="TextoNormal"/>
      </w:pPr>
    </w:p>
    <w:p w:rsidR="0085709A" w:rsidRDefault="0085709A" w:rsidP="0085709A">
      <w:pPr>
        <w:pStyle w:val="TextoNormal"/>
      </w:pPr>
      <w:r>
        <w:t>Antes de iniciar el análisis de las cuestiones de fondo suscitadas en el recurso, es necesario realizar las siguientes precisiones:</w:t>
      </w:r>
    </w:p>
    <w:p w:rsidR="0085709A" w:rsidRDefault="0085709A" w:rsidP="0085709A">
      <w:pPr>
        <w:pStyle w:val="TextoNormal"/>
      </w:pPr>
    </w:p>
    <w:p w:rsidR="0085709A" w:rsidRDefault="0085709A" w:rsidP="0085709A">
      <w:pPr>
        <w:pStyle w:val="TextoNormal"/>
      </w:pPr>
      <w:r>
        <w:lastRenderedPageBreak/>
        <w:t>a) El Abogado del Estado, en la representación que legalmente ostenta, interesa la inadmisión del recurso respecto a los apartados segundo y tercereo del art. 14 de la Ley 3/2012, de 6 de julio, al considerar que aunque los recurrentes formalmente impugnan en el encabezamiento y suplico de la demanda el citado apartado segundo, en realidad no se contiene en el recurso ningún argumento que fundamente su inconstitucionalidad, refiriéndose las alegaciones exclusivamente al apartado tercero de ese mismo precepto, cuya impugnación no fue autorizada por las personas constitucionalmente legitimadas para interponer el recurso.</w:t>
      </w:r>
    </w:p>
    <w:p w:rsidR="0085709A" w:rsidRDefault="0085709A" w:rsidP="0085709A">
      <w:pPr>
        <w:pStyle w:val="TextoNormal"/>
      </w:pPr>
    </w:p>
    <w:p w:rsidR="0085709A" w:rsidRDefault="0085709A" w:rsidP="0085709A">
      <w:pPr>
        <w:pStyle w:val="TextoNormal"/>
      </w:pPr>
      <w:r>
        <w:t>Pues bien, a pesar de que, como indica el Abogado del Estado, la fundamentación del recurso parece contraerse al apartado tercero del citado art. 14, respecto al que no existe una impugnación formalmente explícita, los óbices planteados al respecto han de ser descartados, al existir una evidente conexión entre los dos apartados, en la medida que el segundo se remite al tercero. Ciertamente, el apartado segundo del art. 14 da nueva redacción al art. 84.1 del texto refundido de la Ley del estatuto de los trabajadores, aprobado por Real Decreto Legislativo 1/1995, de 24 de marzo (LET), estableciendo: “1. Un convenio colectivo, durante su vigencia, no podrá ser afectado por lo dispuesto en convenios de ámbito distinto salvo pacto en contrario, negociado conforme a lo dispuesto en el apartado 2 del art. 83, y salvo lo previsto en el apartado siguiente”. Por su parte, completando su contenido, el apartado tercero siguiente procede a regular la salvedad a la prohibición de concurrencia de convenios colectivos previamente anunciada, previendo la posibilidad de que la regulación de las condiciones establecidas en un convenio de empresa pueda negociarse durante la vigencia de convenios colectivos de ámbito superior, reconociendo su prioridad aplicativa en determinadas materias respecto del convenio sectorial estatal, autonómico o de ámbito inferior. De esta manera, a la vista del contenido de los citados apartados, puede concluirse que ninguno de ellos se entendería sin el concurso del otro, pues el apartado segundo necesita del complemento del tercero, que desarrolla la excepción a la regla general previamente anunciada. Dada la interconexión de tales apartados, procede rechazar la objeción formulada por el Abogado del Estado (STC 127/1994, de 5 de mayo, FJ 2).</w:t>
      </w:r>
    </w:p>
    <w:p w:rsidR="0085709A" w:rsidRDefault="0085709A" w:rsidP="0085709A">
      <w:pPr>
        <w:pStyle w:val="TextoNormal"/>
      </w:pPr>
    </w:p>
    <w:p w:rsidR="0085709A" w:rsidRDefault="0085709A" w:rsidP="0085709A">
      <w:pPr>
        <w:pStyle w:val="TextoNormal"/>
      </w:pPr>
      <w:r>
        <w:t>b) Tras la aprobación de la Ley 3/2012, de 6 de julio, objeto del presente proceso constitucional, se han dictado una serie de normas que le afectan, de una u otra manera, como son el Real Decreto 1483/2012, de 29 de octubre, que aprueba el reglamento de los procedimientos de despido colectivo y de suspensión de contratos y reducción de jornada; el Real Decreto-ley 1/2013, de 25 de enero, que prorroga el programa de recualificación profesional de las personas que agoten su protección por desempleo y se adoptan otras medidas urgentes para el empleo y la protección de las personas desempleadas; la Ley 11/2013, de 26 de julio, de medidas de apoyo al emprendedor y de estímulo del crecimiento y de la creación de empleo; el Real Decreto-ley 11/2013, de 2 de agosto, para la protección de los trabajadores a tiempo parcial y otras medidas urgentes del orden económico y social, y que ha dado lugar a la Ley 1/2014, de 28 de febrero, del mismo nombre; la Ley 14/2013, de 27 de septiembre, de apoyo a los emprendedores y su internacionalización, y el Real Decreto-ley 16/2013, de 20 de diciembre, de medidas para favorecer la contratación estable y mejorar la empleabilidad de los trabajadores.</w:t>
      </w:r>
    </w:p>
    <w:p w:rsidR="0085709A" w:rsidRDefault="0085709A" w:rsidP="0085709A">
      <w:pPr>
        <w:pStyle w:val="TextoNormal"/>
      </w:pPr>
    </w:p>
    <w:p w:rsidR="0085709A" w:rsidRDefault="0085709A" w:rsidP="0085709A">
      <w:pPr>
        <w:pStyle w:val="TextoNormal"/>
      </w:pPr>
      <w:r>
        <w:t xml:space="preserve">Ninguna de estas normas ha afectado al contenido de los preceptos impugnados, salvo en lo referente a la regulación del contrato de trabajo por tiempo indefinido de apoyo a los emprendedores (art. 4 de la Ley 3/2012) y al procedimiento de inaplicación de condiciones </w:t>
      </w:r>
      <w:r>
        <w:lastRenderedPageBreak/>
        <w:t>de trabajo pactadas en los convenios colectivos (art. 14.1 de la citada Ley), respecto a los que determinaremos los efectos de su modificación en el momento de su análisis.</w:t>
      </w:r>
    </w:p>
    <w:p w:rsidR="0085709A" w:rsidRDefault="0085709A" w:rsidP="0085709A">
      <w:pPr>
        <w:pStyle w:val="TextoNormal"/>
      </w:pPr>
    </w:p>
    <w:p w:rsidR="0085709A" w:rsidRDefault="0085709A" w:rsidP="0085709A">
      <w:pPr>
        <w:pStyle w:val="TextoNormal"/>
      </w:pPr>
      <w:r>
        <w:t>c) Finalmente, es preciso señalar que el presente recurso de inconstitucionalidad coincide en parte, en cuanto a su objeto y fundamentación, con el tramitado con el número 5603-2012, promovido por el Parlamento de Navarra y que ha sido desestimado en la reciente STC 119/2014, de 16 de julio. Por tal motivo, al resolver algunos de los preceptos impugnados en el presente recurso de inconstitucionalidad habremos de reiterar las consideraciones efectuadas en la mencionada Sentencia, extendiéndolas al presente proceso en lo que se acomode a su ámbito de controversia.</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al examen de cada uno de los preceptos impugnados, es necesario efectuar una serie de precisiones con relación a las afirmaciones efectuadas por los recurrentes respecto de la reforma laboral llevada a cabo por la Ley 3/2012 y de las que se han dejado constancia en los antecedentes. En síntesis, los Diputados recurrentes sostienen que la citada reforma supone “el desconocimiento del marco estructural y axiológico en el que nuestra Constitución se inserta”, una quiebra del “modelo constitucional” de relaciones laborales al situarse “fuera del marco de nuestro Estado social y democrático de Derecho” y “de la Constitución”, o, en otras palabras, la sustitución de los “elementos centrales del modelo constitucional” por otros distintos que hace que esa Ley “na[zca] al mundo del Derecho fuera de las coordenadas constitucionales”.</w:t>
      </w:r>
    </w:p>
    <w:p w:rsidR="0085709A" w:rsidRDefault="0085709A" w:rsidP="0085709A">
      <w:pPr>
        <w:pStyle w:val="TextoNormal"/>
      </w:pPr>
    </w:p>
    <w:p w:rsidR="0085709A" w:rsidRDefault="0085709A" w:rsidP="0085709A">
      <w:pPr>
        <w:pStyle w:val="TextoNormal"/>
      </w:pPr>
      <w:r>
        <w:t>a) A los efectos de determinar cuál es el marco constitucional en el que la reforma laboral cuestionada se inserta, es preciso comenzar recordando que la Constitución confiere al Estado competencias exclusivas tanto en materia de legislación laboral (art. 149.1.7 CE), como para la regulación de las condiciones básicas que garanticen la igualdad de todos los ciudadanos en el ejercicio de los derechos constitucionales (art. 149.1.1 CE), correspondiéndole, pues, la tarea de ordenar los principios y criterios con arreglo a los cuales se ha de regir la materia laboral, desde una concepción del conjunto de sus relaciones como “un” sistema, pero sin estar condicionado cómo debe llevarla a cabo. Tales preceptos hay que ponerlos en relación con el art. 35.2 CE, que encomienda al legislador estatal la regulación de “un” estatuto de los trabajadores, así como con el art. 53.1 CE, que remite a la ley la regulación de los derechos y libertades laborales reconocidos en el capítulo II de su título I.</w:t>
      </w:r>
    </w:p>
    <w:p w:rsidR="0085709A" w:rsidRDefault="0085709A" w:rsidP="0085709A">
      <w:pPr>
        <w:pStyle w:val="TextoNormal"/>
      </w:pPr>
    </w:p>
    <w:p w:rsidR="0085709A" w:rsidRDefault="0085709A" w:rsidP="0085709A">
      <w:pPr>
        <w:pStyle w:val="TextoNormal"/>
      </w:pPr>
      <w:r>
        <w:t xml:space="preserve">b) Es preciso destacar la singular posición que dentro de nuestro sistema de relaciones laborales ocupa el “sindicato”. La Constitución le ha consagrado como un elemento clave dentro de la configuración de nuestro Estado como un “Estado social y democrático de Derecho” (art. 1.1 CE), al incluir su reconocimiento en el art. 7 del título preliminar, que prevé que “[l]os sindicatos de trabajadores y las asociaciones empresariales contribuyen a la defensa y promoción de los intereses económicos y sociales que le son propios”. Su especial ubicación en el texto fundamental realza la consideración del “sindicato” como uno de los soportes institucionales básicos de la sociedad para la defensa, protección y promoción de los intereses colectivos de los trabajadores. Así lo ha entendido, además, este Tribunal en numerosas ocasiones en las que no ha dudado en considerar a los “sindicatos”, no sólo como “piezas económicas y sociales indispensables para la defensa y promoción” de los intereses de los trabajadores (STC 70/1982, de 29 de noviembre, FJ 5), sino, lo que es más importante, como “organismos básicos del sistema político” (STC 11/1981, de 8 de abril, FJ 11), como “formaciones sociales con relevancia constitucional” (STC 18/1984, de 7 de febrero, FJ 3), </w:t>
      </w:r>
      <w:r>
        <w:lastRenderedPageBreak/>
        <w:t>y, en definitiva, como una “institución esencial del sistema constitucional español” (STC 101/1996, de 11 de junio, FJ 3).</w:t>
      </w:r>
    </w:p>
    <w:p w:rsidR="0085709A" w:rsidRDefault="0085709A" w:rsidP="0085709A">
      <w:pPr>
        <w:pStyle w:val="TextoNormal"/>
      </w:pPr>
    </w:p>
    <w:p w:rsidR="0085709A" w:rsidRDefault="0085709A" w:rsidP="0085709A">
      <w:pPr>
        <w:pStyle w:val="TextoNormal"/>
      </w:pPr>
      <w:r>
        <w:t>c) Conviene señalar también que la determinación del contenido de la relación laboral, junto con la regulación mínima del legislador, “se deja a la responsabilidad de la autonomía colectiva de las partes sociales”, esto es, “a la autonomía de los trabajadores y empresarios mediante el ejercicio del derecho a la negociación colectiva que proclama el art. 37.1 CE” (STC 119/2002, de 20 de mayo, FJ 6), siendo tal tipo de negociación “un valor constitucionalmente protegido” (SSTC 39/1986, de 31 de marzo, FJ 6 y 184/1991, de 30 de septiembre, FJ 6). Ese derecho “presupone, por esencia y conceptualmente, la prevalencia de la autonomía de la voluntad colectiva sobre la voluntad individual” (SSTC 105/1992, de 1 de julio, FJ 6; y 225/2001, de 26 de noviembre, FJ 4), siendo los convenios colectivos fruto de su ejercicio, “fuentes de regulación de las condiciones de trabajo” a las que constitucionalmente se reconocen fuerza vinculante (STC 151/1994, de 23 de mayo, FJ 2). La negociación colectiva no sólo contribuye, entonces, “a la mejora de las condiciones de trabajo y de vida de los trabajadores”, sino que se erige en un “instrumento esencial para la ordenación de las relaciones de trabajo” (STC 208/1993, de 28 de junio, FJ 4).</w:t>
      </w:r>
    </w:p>
    <w:p w:rsidR="0085709A" w:rsidRDefault="0085709A" w:rsidP="0085709A">
      <w:pPr>
        <w:pStyle w:val="TextoNormal"/>
      </w:pPr>
    </w:p>
    <w:p w:rsidR="0085709A" w:rsidRDefault="0085709A" w:rsidP="0085709A">
      <w:pPr>
        <w:pStyle w:val="TextoNormal"/>
      </w:pPr>
      <w:r>
        <w:t>Siendo indiscutible el papel que desempeña el sindicato como defensor de los derechos e intereses de los trabajadores, también lo es el que ocupa la negociación colectiva de condiciones de trabajo dentro de la acción sindical, “puesto que resulta inimaginable que sin ella se logre desarrollar eficazmente las finalidades recogidas en el art. 7 CE” (STC 225/2001, de 26 de noviembre, FJ 5), de manera que “cuando existe un elemento de sindicalidad, esto es, cuando la negociación colectiva es expresión de la acción sindical” (STC 118/2012, de 4 de junio, FJ 4), pasa a formar parte del contenido esencial de aquella libertad (por todas, SSTC 134/1994, de 9 de mayo, FJ 4; 222/2005, de 12 de septiembre, FJ 3; y 118/2012, de 4 de junio, FJ 4). En efecto, “entre los rasgos que, tanto histórica como legalmente, caracterizan al sindicato, figura muy destacadamente su esencial vinculación con la acción sindical que se plasma en el ejercicio del derecho de huelga (art. 28.2 CE), en la negociación colectiva (art. 37.1 CE) y en la adopción de medidas de conflicto colectivo (art. 37.2 CE)” (STC 152/2008, de 17 de noviembre, FJ 4).</w:t>
      </w:r>
    </w:p>
    <w:p w:rsidR="0085709A" w:rsidRDefault="0085709A" w:rsidP="0085709A">
      <w:pPr>
        <w:pStyle w:val="TextoNormal"/>
      </w:pPr>
    </w:p>
    <w:p w:rsidR="0085709A" w:rsidRDefault="0085709A" w:rsidP="0085709A">
      <w:pPr>
        <w:pStyle w:val="TextoNormal"/>
      </w:pPr>
      <w:r>
        <w:t>d) Sin perjuicio de la posición singular e institucional que tiene el sindicato en nuestro sistema constitucional, y sin dejar de lado su papel fundamental tanto para la defensa de los derechos e intereses de todos los trabajadores como para la consecución del bienestar social general a través del ejercicio del derecho a la libertad sindical (art. 28.1 CE), lo cierto es que la Constitución, al institucionalizar los derechos colectivos laborales (huelga, negociación colectiva y conflictos colectivos), no los ha reservado “en exclusiva a los sindicatos” (SSTC 134/1994, de 9 de mayo, FJ 4; y 95/1996, de 29 de mayo, FJ 3), pues ha eludido “la consagración de un monopolio” sindical en esta materia, para partir de un “amplio reconocimiento” de los titulares de aquéllos derechos colectivos “de forma que si el derecho de huelga se atribuye a los trabajadores (art. 28.2), el de conflictos lo es a los trabajadores y empresarios (art. 37.2) y el de negociación a los representantes de éstos (art. 37.1)” (STC 118/1983, de 13 de diciembre, FJ 4). De esta manera, a diferencia de las previsiones contenidas en los arts. 7 CE (que institucionaliza al sindicato como un organismo esencial de nuestro sistema constitucional) y 28.1 CE (que consagra al sindicato como el instrumento básico del ejercicio del derecho fundamental a la libertad sindical), el constituyente no refi</w:t>
      </w:r>
      <w:r>
        <w:lastRenderedPageBreak/>
        <w:t>rió, en su art. 37.1 CE, la negociación colectiva como un derecho perteneciente exclusivamente al ámbito de la acción sindical. Antes al contrario, lo recondujo más genéricamente a los “representantes de los trabajadores”, con la clara intención de ampliar el elenco de los legitimados para la determinación de las condiciones de la relación laboral, depositando ese derecho, en consecuencia, no sólo en el sindicato, sino en cualquier sujeto u organización representativa de los trabajadores (como los delegados de personal y los comités de empresa), cuyo fundamento constitucional último no se encuentra en el art. 7 CE, como sucede con los representantes sindicales, sino en los arts. 9.2 y 129.2 CE (SSTC 98/1985, de 29 de julio, FJ 3; y 208/1989, de 14 de diciembre, FJ 3).</w:t>
      </w:r>
    </w:p>
    <w:p w:rsidR="0085709A" w:rsidRDefault="0085709A" w:rsidP="0085709A">
      <w:pPr>
        <w:pStyle w:val="TextoNormal"/>
      </w:pPr>
    </w:p>
    <w:p w:rsidR="0085709A" w:rsidRDefault="0085709A" w:rsidP="0085709A">
      <w:pPr>
        <w:pStyle w:val="TextoNormal"/>
      </w:pPr>
      <w:r>
        <w:t>En suma, aunque el ejercicio del derecho a la negociación colectiva (art. 37.1 CE) le ha sido atribuido también por la Constitución al sindicato, protagonista principal en la defensa de los intereses de los trabajadores (art. 7 CE) a través del ejercicio de la libertad sindical (art. 28.1 CE), no se ha hecho de forma exclusiva ni en modo que descarte a otros posibles representantes de los trabajadores, de manera que no cabe sino concluir que la negociación colectiva está “atribuida constitucionalmente a los sindicatos y a otras representaciones colectivas de los trabajadores” (STC 208/1993, de 28 de junio, FJ 4).</w:t>
      </w:r>
    </w:p>
    <w:p w:rsidR="0085709A" w:rsidRDefault="0085709A" w:rsidP="0085709A">
      <w:pPr>
        <w:pStyle w:val="TextoNormal"/>
      </w:pPr>
    </w:p>
    <w:p w:rsidR="0085709A" w:rsidRDefault="0085709A" w:rsidP="0085709A">
      <w:pPr>
        <w:pStyle w:val="TextoNormal"/>
      </w:pPr>
      <w:r>
        <w:t>e) Conforme a todo lo dicho, estando encomendada al legislador la garantía del derecho a la negociación colectiva laboral (art. 37.1 CE), el examen de los motivos de este recurso de inconstitucionalidad ha de partir, necesariamente, de que nos encontramos ante “un derecho esencialmente de configuración legal” (STC 85/2001, de 26 de marzo, FJ 5), siendo la ley la que ha de concretar y desarrollar, tanto su contenido como los presupuestos para su ejercicio (STC 208/1993, de 28 de junio, FJ 3). En “la configuración legal del ejercicio del derecho a negociar” (STC 224/2000, de 2 de octubre, FJ 4), el legislador goza de un amplio margen de libertad para delimitar, como derecho necesario, aspectos de la estructura, contenido, alcance y límites de la negociación colectiva, en razón de la superior posición que ocupa la ley en la jerarquía normativa. No hay que descuidar, de un lado, que el reconocimiento constitucional del derecho a la negociación colectiva no conlleva el desapoderamiento normativo del Estado para regular los aspectos básicos de su ejercicio, y, de otro, que el principio de autonomía colectiva puede presentar excepciones siempre y cuando la limitación que suponga esté justificada (STC 11/1981, de 8 de abril FJ 24). Por esta razón, la Ley “puede desplegar una virtualidad limitadora de la negociación colectiva y puede, igualmente, de forma excepcional reservarse para sí determinadas materias que quedan excluidas, por tanto, de la contratación colectiva” (STC 59/1985, de 30 de abril, FJ 3).</w:t>
      </w:r>
    </w:p>
    <w:p w:rsidR="0085709A" w:rsidRDefault="0085709A" w:rsidP="0085709A">
      <w:pPr>
        <w:pStyle w:val="TextoNormal"/>
      </w:pPr>
    </w:p>
    <w:p w:rsidR="0085709A" w:rsidRDefault="0085709A" w:rsidP="0085709A">
      <w:pPr>
        <w:pStyle w:val="TextoNormal"/>
      </w:pPr>
      <w:r>
        <w:t xml:space="preserve">f) En definitiva, se puede concluir que la Constitución de 1978 no diseña un modelo cerrado de relaciones laborales, ni más concretamente, de negociación colectiva, correspondiéndole al legislador estatal, en el ejercicio de las funciones que la propia Constitución le confiere, configurar el que considere más idóneo en cada momento (STC 11/1981, de 8 de abril, FJ 7), eligiendo entre las distintas alternativas posibles la que estime más adecuada, no solo para alcanzar los objetivos que aquélla le impone, sino también para adoptar las medidas precisas que garanticen su realización. De todo ello se deduce la habilitación al legislador estatal para realizar su conceptuación jurídica en cada momento, entre diferentes alternativas, en atención a las circunstancias económicas subyacentes y a las necesidades sociales a las que se pretenda dar cobertura. El constituyente no quiso definir el modelo de relaciones laborales aplicable, ni tampoco restringir la acción del legislador más allá de los límites explícitos que le ha impuesto, dejándole un importante ámbito de posibilidades para </w:t>
      </w:r>
      <w:r>
        <w:lastRenderedPageBreak/>
        <w:t>configurar el citado modelo y para articular cada institución que lo integre, no sólo como un instrumento de su desarrollo, sino también como un vehículo a través del cual alcanzar los fines que la Constitución le impone [en el mismo sentido, aunque con relación a la definición del modelo de sistema tributario aplicable, STC 19/2012, de 15 de febrero, FJ 3 c)].</w:t>
      </w:r>
    </w:p>
    <w:p w:rsidR="0085709A" w:rsidRDefault="0085709A" w:rsidP="0085709A">
      <w:pPr>
        <w:pStyle w:val="TextoNormal"/>
      </w:pPr>
    </w:p>
    <w:p w:rsidR="0085709A" w:rsidRDefault="0085709A" w:rsidP="0085709A">
      <w:pPr>
        <w:pStyle w:val="TextoNormal"/>
      </w:pPr>
      <w:r>
        <w:t>g) De la evolución legislativa que ha experimentado el modelo de relaciones laborales a lo largo de estos últimos treinta años, se puede extraer una clara conclusión: cada norma que lo ha modulado representa una opción legislativa diferente como un instrumento al servicio de una concreta política económica y social del Gobierno y Parlamento de cada momento, respecto de la cual no es suficiente la mera discrepancia política para destruir su presunción de constitucionalidad (STC 19/2012, de 15 de febrero, FJ 3). No es función de este Tribunal enjuiciar si las soluciones adoptadas en la Ley impugnada son las más correctas técnicamente, o si constituye la más oportuna de entre las distintas alternativas posibles para la consecución de los fines pretendidos, sino únicamente si se ajustan a los mandatos, reglas y principios que la Constitución impone, por lo que “[n]o resulta ocioso reiterar que toda opción legislativa, por discutible que para algunos pueda ser, resulta admisible desde el punto de vista constitucional siempre que respete las reglas que la Constitución establece” (STC 20/2013, de 31 de enero, FJ 3). En suma,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(STC 17/2013, de 31 de enero, FJ 11).</w:t>
      </w:r>
    </w:p>
    <w:p w:rsidR="0085709A" w:rsidRDefault="0085709A" w:rsidP="0085709A">
      <w:pPr>
        <w:pStyle w:val="TextoNormal"/>
      </w:pPr>
    </w:p>
    <w:p w:rsidR="0085709A" w:rsidRDefault="0085709A" w:rsidP="0085709A">
      <w:pPr>
        <w:pStyle w:val="TextoNormal"/>
      </w:pPr>
      <w:r w:rsidRPr="0085709A">
        <w:rPr>
          <w:rStyle w:val="NumeroAFNegritaCaracter"/>
        </w:rPr>
        <w:t>3</w:t>
      </w:r>
      <w:r>
        <w:t>. Aclarado lo que antecede, para resolver las dudas de constitucionalidad que se plantean en el recurso seguiremos el orden que marca la ley impugnada. Hemos de comenzar, pues, nuestro enjuiciamiento con la impugnación del apartado 3 del art. 4 (“Contrato de trabajo por tiempo indefinido de apoyo a los emprendedores”) de la Ley 3/2012, de 6 de julio, en el que, con referencia al régimen jurídico de este nuevo contrato de trabajo, se establece que la duración del período de prueba para el mismo será “de un año en todo caso”. Para los recurrentes tal previsión, referida a la duración del período de prueba, vulneraría los arts. 14, 24.1, 35.1 y 37.1, todo ellos de la Constitución, por los motivos que a continuación se van a ir detallando.</w:t>
      </w:r>
    </w:p>
    <w:p w:rsidR="0085709A" w:rsidRDefault="0085709A" w:rsidP="0085709A">
      <w:pPr>
        <w:pStyle w:val="TextoNormal"/>
      </w:pPr>
    </w:p>
    <w:p w:rsidR="0085709A" w:rsidRDefault="0085709A" w:rsidP="0085709A">
      <w:pPr>
        <w:pStyle w:val="TextoNormal"/>
      </w:pPr>
      <w:r>
        <w:t>a) Con carácter previo al análisis del apartado impugnado, es necesario señalar que el art. 4 de la Ley 3/2012 ha sido objeto de modificación por el Real Decreto-ley 16/2013, de 20 de diciembre, de medidas para favorecer la contratación estable y mejorar la empleabilidad de los trabajadores, en el sentido de permitir la celebración a tiempo parcial del contrato de trabajo por tiempo indefinido de apoyo a los emprendedores, adaptando a tal fin los incentivos fiscales y de Seguridad Social previstos en la norma. En la medida que la modificación operada en el precepto impugnado no se refiere al aspecto aquí controvertido, relativo exclusivamente a la duración del período de prueba, ninguna afectación del objeto del presente proceso constitucional se ha producido, debiendo pronunciarnos, en consecuencia, sobre los aspectos planteados en la demanda.</w:t>
      </w:r>
    </w:p>
    <w:p w:rsidR="0085709A" w:rsidRDefault="0085709A" w:rsidP="0085709A">
      <w:pPr>
        <w:pStyle w:val="TextoNormal"/>
      </w:pPr>
    </w:p>
    <w:p w:rsidR="0085709A" w:rsidRDefault="0085709A" w:rsidP="0085709A">
      <w:pPr>
        <w:pStyle w:val="TextoNormal"/>
      </w:pPr>
      <w:r>
        <w:t xml:space="preserve">b) Consideran los recurrentes, que se ha producido la lesión del derecho al trabajo (art. 35.1 CE) por la afectación de los principios de estabilidad en el empleo y de causalidad de </w:t>
      </w:r>
      <w:r>
        <w:lastRenderedPageBreak/>
        <w:t>la extinción contractual, vulneración que es negada por el Abogado del Estado al considerar que la duración del período de prueba resulta razonable.</w:t>
      </w:r>
    </w:p>
    <w:p w:rsidR="0085709A" w:rsidRDefault="0085709A" w:rsidP="0085709A">
      <w:pPr>
        <w:pStyle w:val="TextoNormal"/>
      </w:pPr>
    </w:p>
    <w:p w:rsidR="0085709A" w:rsidRDefault="0085709A" w:rsidP="0085709A">
      <w:pPr>
        <w:pStyle w:val="TextoNormal"/>
      </w:pPr>
      <w:r>
        <w:t>Este motivo de impugnación ha sido resuelto por la STC 119/2014, de 16 de julio, en la que hemos rechazado que el precepto impugnado vulnere el art. 35.1 CE en tanto que la previsión cuestionada relativa a la duración del período de prueba constituye una medida que cuenta con una justificación legitimadora, y resulta razonable y proporcionada en atención a los fines perseguidos por el legislador con su establecimiento.</w:t>
      </w:r>
    </w:p>
    <w:p w:rsidR="0085709A" w:rsidRDefault="0085709A" w:rsidP="0085709A">
      <w:pPr>
        <w:pStyle w:val="TextoNormal"/>
      </w:pPr>
    </w:p>
    <w:p w:rsidR="0085709A" w:rsidRDefault="0085709A" w:rsidP="0085709A">
      <w:pPr>
        <w:pStyle w:val="TextoNormal"/>
      </w:pPr>
      <w:r>
        <w:t xml:space="preserve">En este sentido, hemos advertido, en primer lugar, que dentro de un escenario de grave crisis económica, la medida controvertida persigue como finalidad incentivar la contratación indefinida, sobre todo de los colectivos de desempleados más vulnerables (jóvenes, mujeres en ciertos casos y mayores de 45 años). En segundo lugar, que tiene, como el propio contrato de trabajo en el que se inserta, un carácter excepcional y limitado en el tiempo, pues sólo podrá aplicarse hasta que la tasa de desempleo en nuestro país se sitúe por debajo del 15 por 100. En tercer lugar, que posee un alcance limitado en tanto que se aplica sólo en empresas de pequeñas dimensiones, en las que hay mayores reticencias para optar por la contratación indefinida por la dificultad de afrontar eventuales riesgos económicos. En cuarto lugar, que se trata de una medida integrada en un contrato en el que los beneficios que reporta al empleador (deducciones fiscales y bonificaciones en las cuotas empresariales de la Seguridad Social) se condicionan a la estabilidad en el empleo del trabajador contratado y al mantenimiento del nivel de empleo del resto de la plantilla de la empresa contratante. Y, en fin, que tal medida se acompaña de otras que pretenden atemperar el aspecto más gravoso que para el trabajador tiene un período de prueba de mayor duración, como son, de un lado, la eventual compatibilización del salario con la prestación de desempleo o el mantenimiento del derecho a su percepción a la finalización, y, de otro, y esto es lo más relevante, que a la superación del mayor período de prueba se le anuda el carácter indefinido de la relación laboral. Todo ello, permite afirmar que aun cuando el precepto impugnado faculta al empleador la rescisión unilateral </w:t>
      </w:r>
      <w:r w:rsidRPr="0085709A">
        <w:rPr>
          <w:i/>
        </w:rPr>
        <w:t>ad nutum</w:t>
      </w:r>
      <w:r>
        <w:t xml:space="preserve"> del contrato durante un período más amplio del previsto con carácter general en la normativa laboral, sin embargo, se cumple en este caso con el requisito de la proporcionalidad. En efecto, a la vista del carácter excepcional y temporal de la medida, su limitado alcance, así como su finalidad de fomentar la contratación y el empleo estable (sobre todo de los desempleados con mayores dificultades ocupacionales) durante una situación de crisis económica, cabe apreciar que concurre la proporción exigible entre el sacrificio que a las garantías del trabajador supone la adopción de la medida y los beneficios, individuales y colectivos, que la misma reporta. Además, la medida puede calificarse, igualmente, como necesaria e idónea para la consecución de la legítima finalidad pretendida (creación de empleo estable), puesto que es un incentivo para que las pequeñas empresas elijan la fórmula de la contratación indefinida, al ofrecérseles, como contrapartida, la oportunidad de rescindir libremente el contrato durante un año, permitiéndoles durante tal período de tiempo no sólo constatar las aptitudes profesionales del trabajador contratado, sino también verificar si el puesto de trabajo que se crea con carácter indefinido resulta viable económicamente. Tal circunstancia resulta particularmente relevante en el actual contexto económico, ya que, como apunta el Abogado del Estado, esta disposición permite que las pequeñas empresas puedan hacer uso de esta modalidad contractual para ponderar los riesgos económicos asociados a la suscripción del contrato.</w:t>
      </w:r>
    </w:p>
    <w:p w:rsidR="0085709A" w:rsidRDefault="0085709A" w:rsidP="0085709A">
      <w:pPr>
        <w:pStyle w:val="TextoNormal"/>
      </w:pPr>
    </w:p>
    <w:p w:rsidR="0085709A" w:rsidRDefault="0085709A" w:rsidP="0085709A">
      <w:pPr>
        <w:pStyle w:val="TextoNormal"/>
      </w:pPr>
      <w:r>
        <w:lastRenderedPageBreak/>
        <w:t>En definitiva, incluso admitiendo que el legislador podría haber adoptado otras medidas alternativas a la aquí cuestionada, lo cierto es que, desde la estricta perspectiva constitucional, la fijación de un periodo de prueba de un año en el contrato de trabajo previsto en el art. 4.3 de la Ley 3/2012 no vulnera el art. 35.1 CE, pues, “en términos razonables y proporcionados pretende favorecer el acceso de desempleados a un puesto de trabajo estable, en el marco de una excepcional coyuntura de emergencia, caracterizada por elevadísimos niveles de desempleo, en ejecución del mandato que a los poderes públicos dirige el art. 40.1 CE” [STC 119/2014, de 16 de julio, FJ 3 f)].</w:t>
      </w:r>
    </w:p>
    <w:p w:rsidR="0085709A" w:rsidRDefault="0085709A" w:rsidP="0085709A">
      <w:pPr>
        <w:pStyle w:val="TextoNormal"/>
      </w:pPr>
    </w:p>
    <w:p w:rsidR="0085709A" w:rsidRDefault="0085709A" w:rsidP="0085709A">
      <w:pPr>
        <w:pStyle w:val="TextoNormal"/>
      </w:pPr>
      <w:r>
        <w:t>c) A juicio de los recurrentes, el art. 4.3 de la Ley 3/2012 vulnera también el art. 37.1 CE por establecer una regulación indisponible para la negociación colectiva, infracción rechazada por el Abogado del Estado al considerar que el precepto constitucional no impide su carácter imperativo.</w:t>
      </w:r>
    </w:p>
    <w:p w:rsidR="0085709A" w:rsidRDefault="0085709A" w:rsidP="0085709A">
      <w:pPr>
        <w:pStyle w:val="TextoNormal"/>
      </w:pPr>
    </w:p>
    <w:p w:rsidR="0085709A" w:rsidRDefault="0085709A" w:rsidP="0085709A">
      <w:pPr>
        <w:pStyle w:val="TextoNormal"/>
      </w:pPr>
      <w:r>
        <w:t>Esta impugnación ha sido también resuelta en la STC 119/2014, en la que hemos tenido la oportunidad de indicar que el carácter imperativo de la regulación legal impugnada (sobre la duración del período de prueba de un año y su consiguiente indisponibilidad para la negociación colectiva) goza de una justificación legítima, razonable y proporcionada, dado que “[l]a configuración legal como norma de derecho necesario absoluto de la duración del período de prueba de un año en el contrato por tiempo indefinido de apoyo a los emprendedores actúa como garantía hábil para evitar que, a través de la negociación colectiva, se pueda reducir o eliminar el potencial incentivo a la contratación indefinida que mediante esta medida ha querido introducir el legislador”, razón por la cual, la decisión legislativa impugnada contribuye “a impedir que la actuación de la autonomía colectiva pueda frustrar el legítimo y ya comentado objetivo de creación de empleo estable que se pretende alcanzar a través de esta modalidad contractual y su régimen jurídico”. Por ello, a la vista de la finalidad y alcance de la previsión cuestionada, y una vez ponderados los intereses constitucionales en juego, alcanzamos la conclusión de que “no puede tildarse de lesiva del art. 37.1 CE la decisión del legislador de establecer en un año la duración del período de prueba del contrato por tiempo indefinido de apoyo a los emprendedores, con el carácter de norma imperativa indisponible para la negociación colectiva” [apartado b) del fundamento jurídico 3 C)].</w:t>
      </w:r>
    </w:p>
    <w:p w:rsidR="0085709A" w:rsidRDefault="0085709A" w:rsidP="0085709A">
      <w:pPr>
        <w:pStyle w:val="TextoNormal"/>
      </w:pPr>
    </w:p>
    <w:p w:rsidR="0085709A" w:rsidRDefault="0085709A" w:rsidP="0085709A">
      <w:pPr>
        <w:pStyle w:val="TextoNormal"/>
      </w:pPr>
      <w:r>
        <w:t>d) Para los recurrentes, el art. 4.3 de la Ley 3/2012 infringe también el art. 24.1 CE por impedir un efectivo control judicial sobre la decisión empresarial y no conllevar resarcimiento para el trabajador. El Abogado del Estado lo niega, al ser posible la revisión con el alcance que lo permite la propia naturaleza de la institución del período de prueba.</w:t>
      </w:r>
    </w:p>
    <w:p w:rsidR="0085709A" w:rsidRDefault="0085709A" w:rsidP="0085709A">
      <w:pPr>
        <w:pStyle w:val="TextoNormal"/>
      </w:pPr>
    </w:p>
    <w:p w:rsidR="0085709A" w:rsidRDefault="0085709A" w:rsidP="0085709A">
      <w:pPr>
        <w:pStyle w:val="TextoNormal"/>
      </w:pPr>
      <w:r>
        <w:t>Este motivo de impugnación también ha sido rechazado en nuestra STC 119/2014, de 16 de julio, en la que hemos descartado la infracción del art. 24.1 CE sobre la base de que las decisiones empresariales de desistimiento adoptadas al amparo del citado art. 4.3 son revisables antes los Jueces y Tribunales cuando no se ajusten al régimen jurídico establecido en la Ley o se hayan adoptado por motivos discriminatorios o contrarios a los derechos fundamentales del trabajador. Tal y como advertimos en esa Sentencia, el derecho a la tutela judicial efectiva (art. 24.1 CE) no garantiza el acceso a la jurisdicción para exigir una justificación causal del desistimiento empresarial o una indemnización derivada del mismo, al ser exigencias que la norma sustantiva no contempla en la configuración del período de prueba [FJ 3 D)].</w:t>
      </w:r>
    </w:p>
    <w:p w:rsidR="0085709A" w:rsidRDefault="0085709A" w:rsidP="0085709A">
      <w:pPr>
        <w:pStyle w:val="TextoNormal"/>
      </w:pPr>
    </w:p>
    <w:p w:rsidR="0085709A" w:rsidRDefault="0085709A" w:rsidP="0085709A">
      <w:pPr>
        <w:pStyle w:val="TextoNormal"/>
      </w:pPr>
      <w:r>
        <w:t>e) Finalmente, los recurrentes sostienen que el art. 4.3 impugnado vulnera el art. 14 CE, en tanto que al no reconocer indemnización a los trabajadores en caso de desistimiento empresarial durante el período de prueba, se estaría dispensando una diferencia de trato injustificada a los trabajadores indefinidos con período de prueba con relación a los trabajadores contratados temporalmente, quienes, por regla general, sí tienen derecho a ella. Según el Abogado del Estado, se impone la desestimación de este motivo al no existir un derecho constitucional al tratamiento diferenciado.</w:t>
      </w:r>
    </w:p>
    <w:p w:rsidR="0085709A" w:rsidRDefault="0085709A" w:rsidP="0085709A">
      <w:pPr>
        <w:pStyle w:val="TextoNormal"/>
      </w:pPr>
    </w:p>
    <w:p w:rsidR="0085709A" w:rsidRDefault="0085709A" w:rsidP="0085709A">
      <w:pPr>
        <w:pStyle w:val="TextoNormal"/>
      </w:pPr>
      <w:r>
        <w:t>Los recurrentes cuestionan un efecto jurídico del período de prueba cuya regulación no se efectúa en el art. 4.3 impugnado, sino en las normas a las que se remite, únicas a las que, en su caso, podría imputarse el vicio de inconstitucionalidad. Con independencia de ello, este nuevo reproche de inconstitucionalidad tampoco puede ser acogido dado que los recurrentes no ofrecen un término válido de comparación para efectuar el juicio de igualdad. Efectivamente, los colectivos de trabajadores que se contrastan se rigen por regímenes jurídicos diversos, resultando plenamente diferenciadas las modalidades contractuales a las que unos y otros están sometidos. Con todo, la no atribución de indemnización al trabajador por el desistimiento empresarial no supone una diferencia de trato contraria al art. 14 CE, sino que es una consecuencia intrínseca de la propia institución del período de prueba común a todos los contratos de trabajo. Debe desestimarse, por tanto, también este último motivo de impugnación del art. 4.3 de la Ley 3/2012, de 6 de julio.</w:t>
      </w:r>
    </w:p>
    <w:p w:rsidR="0085709A" w:rsidRDefault="0085709A" w:rsidP="0085709A">
      <w:pPr>
        <w:pStyle w:val="TextoNormal"/>
      </w:pPr>
    </w:p>
    <w:p w:rsidR="0085709A" w:rsidRDefault="0085709A" w:rsidP="0085709A">
      <w:pPr>
        <w:pStyle w:val="TextoNormal"/>
      </w:pPr>
      <w:r w:rsidRPr="0085709A">
        <w:rPr>
          <w:rStyle w:val="NumeroAFNegritaCaracter"/>
        </w:rPr>
        <w:t>4</w:t>
      </w:r>
      <w:r>
        <w:t>. El siguiente reproche de constitucionalidad se atribuye por los Diputados recurrentes al apartado primero del art. 12 de la Ley 3/2012, de 6 de julio, precepto que bajo el rótulo “Modificación sustancial de condiciones de trabajo”, da nueva redacción al art. 41 del Real Decreto Legislativo 1/1995, de 24 de marzo, por el que se aprueba el texto refundido de la Ley del estatuto de los trabajadores (LET), referido a la modificación sustancial de condiciones de trabajo. Hay que indicar, no obstante, que el reproche de inconstitucionalidad no se dirige a la totalidad del contenido del art. 41 LET en su nueva redacción, sino que sólo se cuestiona, como aclaran los recurrentes, la facultad de modificación atribuida al empresario en el apartado 5 de ese precepto (en conexión con su apartado 4) respecto a las “modificaciones colectivas” de condiciones de trabajo (es decir, las que afectan a un determinado número de trabajadores de la empresa en un lapso de tiempo de noventa días, según señala el apartado 2 del mismo precepto). El cuestionado apartado 5 reza de la siguiente manera: “La decisión sobre la modificación colectiva de las condiciones de trabajo será notificada por el empresario a los trabajadores una vez finalizado el período de consultas sin acuerdo y surtirá efectos en el plazo de los siete días siguientes a su notificación”. En suma, queda fuera de nuestro enjuiciamiento el examen de la regulación de las “modificaciones de carácter individual”, esto es, de aquellas modificaciones que en el período de referencia establecido legalmente no alcancen los umbrales señalados para las “modificaciones colectivas”, y cuyo procedimiento se encuentra previsto en el apartado tercero del citado art. 41, por no haber sido impugnado por los recurrentes.</w:t>
      </w:r>
    </w:p>
    <w:p w:rsidR="0085709A" w:rsidRDefault="0085709A" w:rsidP="0085709A">
      <w:pPr>
        <w:pStyle w:val="TextoNormal"/>
      </w:pPr>
    </w:p>
    <w:p w:rsidR="0085709A" w:rsidRDefault="0085709A" w:rsidP="0085709A">
      <w:pPr>
        <w:pStyle w:val="TextoNormal"/>
      </w:pPr>
      <w:r>
        <w:t>a) Imputan los recurrentes al art. 12.1 de la Ley 3/2012, de 6 de julio, en primer lugar, la infracción del art. 37.1 CE y, por derivación, del art. 28.1 CE, al permitir que el empresario pueda alterar unilateralmente las condiciones de trabajo previstas en acuerdos o pactos colectivos. Por el contrario, el Abogado del Estado la niega sobre la base de la distinta naturaleza de tales pactos.</w:t>
      </w:r>
    </w:p>
    <w:p w:rsidR="0085709A" w:rsidRDefault="0085709A" w:rsidP="0085709A">
      <w:pPr>
        <w:pStyle w:val="TextoNormal"/>
      </w:pPr>
    </w:p>
    <w:p w:rsidR="0085709A" w:rsidRDefault="0085709A" w:rsidP="0085709A">
      <w:pPr>
        <w:pStyle w:val="TextoNormal"/>
      </w:pPr>
      <w:r>
        <w:t>De entrada, ha de advertirse que la cuestión de fondo que ahora se impugna (la facultad unilateral del empresario de modificación sustancial de condiciones de trabajo) no es una novedad introducida por la Ley 3/2012, de 6 de julio, sino que está presente en nuestro ordenamiento jurídico desde la Ley 11/1994, de 19 de mayo, por la que se modifican determinados artículos del estatuto de los trabajadores, y del texto articulado de la Ley de procedimiento laboral y de la Ley sobre infracciones y sanciones en el orden social. Concretamente, el apartado tercero de su art. 5, bajo el título de “Modificaciones, suspensión y extinción del contrato de trabajo”, dio nueva redacción al art. 41 LET (“Modificaciones sustanciales de las condiciones de trabajo”), suprimiendo, de un lado, la intervención de la autoridad laboral en el procedimiento, y previendo para las modificaciones de carácter colectivo, la apertura de un período de consultas con los representantes legales de los trabajadores, tras cuya finalización, el empresario había de comunicarles su decisión modificatoria. Aunque dicho precepto fue nuevamente alterado tanto por la Ley 35/2010, de 17 de septiembre, de medidas urgentes para la reforma del mercado de trabajo, como por el posterior Real Decreto-ley 7/2011, de 10 de junio, de medidas urgentes para la reforma de la negociación colectiva, esa facultad empresarial de modificación sustancial de las condiciones de trabajo, cuando no se llega a un acuerdo con los representantes de los trabajadores, se ha mantenido hasta la redacción ahora impugnada, que es objeto del presente recurso de inconstitucionalidad.</w:t>
      </w:r>
    </w:p>
    <w:p w:rsidR="0085709A" w:rsidRDefault="0085709A" w:rsidP="0085709A">
      <w:pPr>
        <w:pStyle w:val="TextoNormal"/>
      </w:pPr>
    </w:p>
    <w:p w:rsidR="0085709A" w:rsidRDefault="0085709A" w:rsidP="0085709A">
      <w:pPr>
        <w:pStyle w:val="TextoNormal"/>
      </w:pPr>
      <w:r>
        <w:t xml:space="preserve">Los “acuerdos o pactos colectivos” a los que se refiere el art. 41 LET, cuya posibilidad de modificación unilateral por el empresario se discute en el recurso, son los conocidos como “extraestatutarios” o “de eficacia limitada” (STC 121/2001, de 4 de junio, FJ 5), es decir, los celebrados al margen de la específica regulación contenida en el título III del estatuto de los trabajadores sobre los convenios colectivos (conocidos como convenios “estatutarios”), a los que se reconoce legalmente eficacia </w:t>
      </w:r>
      <w:r w:rsidRPr="0085709A">
        <w:rPr>
          <w:i/>
        </w:rPr>
        <w:t>erga omnes</w:t>
      </w:r>
      <w:r>
        <w:t xml:space="preserve"> (art. 82.3 LET). Esta afirmación se deduce de lo establecido en el art. 41.6 LET, que dispone que “[l]a modificación de las condiciones de trabajo establecidas en los convenios colectivos regulados en el Título III de la presente Ley deberá realizarse conforme a lo establecido en el artículo 82.3”, y en consecuencia, no por el cauce del art. 41 LET ahora examinado.</w:t>
      </w:r>
    </w:p>
    <w:p w:rsidR="0085709A" w:rsidRDefault="0085709A" w:rsidP="0085709A">
      <w:pPr>
        <w:pStyle w:val="TextoNormal"/>
      </w:pPr>
    </w:p>
    <w:p w:rsidR="0085709A" w:rsidRDefault="0085709A" w:rsidP="0085709A">
      <w:pPr>
        <w:pStyle w:val="TextoNormal"/>
      </w:pPr>
      <w:r>
        <w:t xml:space="preserve">Hecha la observación que antecede y como hemos señalado con anterioridad en el fundamento jurídico 2 de esta Sentencia, el art. 37.1 CE hace un llamamiento a la ley para garantizar el derecho a la negociación colectiva y la fuerza vinculante de los convenios, pero sin imponer al legislador la adopción de una concreta opción para llevar a efecto el mandato que contiene. Y el legislador ordinario, en cumplimiento de tal mandato, ha optado por reconocer un “plus de eficacia” a los convenios colectivos “estatutarios” por su carácter </w:t>
      </w:r>
      <w:r w:rsidRPr="0085709A">
        <w:rPr>
          <w:i/>
        </w:rPr>
        <w:t>erga omnes</w:t>
      </w:r>
      <w:r>
        <w:t xml:space="preserve"> (STC 108/1989, de 8 de junio, FJ 2). De esta manera, los denominados pactos “extraestatutarios”, al no cumplir las exigencias subjetivas, objetivas y procedimentales impuestas por el título III del estatuto de los trabajadores, carecen de la eficacia general o </w:t>
      </w:r>
      <w:r w:rsidRPr="0085709A">
        <w:rPr>
          <w:i/>
        </w:rPr>
        <w:t>erga omnes</w:t>
      </w:r>
      <w:r>
        <w:t xml:space="preserve"> que caracteriza a los convenios “estatutarios” (esto es, los que se celebran conforme a la específica regulación de ese título III de la LET), gozando únicamente de una eficacia personal limitada o reducida a los trabajadores y empresarios representados en la negociación. Los pactos “extraestatutarios” se rigen, pues, “por la regla general del Derecho común de la contratación, a tenor de la cual, los contratos producen efectos sólo entre las partes que los otorgan (art. 1257 del Código civil)”, de modo que “[l]a lógica contractual comporta </w:t>
      </w:r>
      <w:r>
        <w:lastRenderedPageBreak/>
        <w:t>aquí que el acuerdo resulte tan sólo vinculante respecto de aquellos sujetos que han conferido un poder de representación para fijar colectiva y concretamente las condiciones laborales” (STC 121/2001, de 4 de junio, FJ 5).</w:t>
      </w:r>
    </w:p>
    <w:p w:rsidR="0085709A" w:rsidRDefault="0085709A" w:rsidP="0085709A">
      <w:pPr>
        <w:pStyle w:val="TextoNormal"/>
      </w:pPr>
    </w:p>
    <w:p w:rsidR="0085709A" w:rsidRDefault="0085709A" w:rsidP="0085709A">
      <w:pPr>
        <w:pStyle w:val="TextoNormal"/>
      </w:pPr>
      <w:r>
        <w:t>En definitiva, tanto los convenios colectivos estatutarios, como los denominados “pactos extraestatutarios“, son producto del ejercicio del derecho a la negociación colectiva laboral entre representantes de los trabajadores y empresarios, reconocido en el art. 37.1 CE, siendo predicable de unos y otros, por lo tanto, la “fuerza vinculante” a la que ese precepto constitucional también se refiere. Sobre esta base, es claro que la medida legal controvertida incide en el citado derecho constitucional al permitir la inaplicación de los citados pactos extraestatutarios por decisión del empresario. Ahora bien, que exista una injerencia en el mismo no supone, por sí misma, que sea inconstitucional, pues puede resultar legítima si cuenta con una justificación razonable y proporcionada al fin perseguido.</w:t>
      </w:r>
    </w:p>
    <w:p w:rsidR="0085709A" w:rsidRDefault="0085709A" w:rsidP="0085709A">
      <w:pPr>
        <w:pStyle w:val="TextoNormal"/>
      </w:pPr>
    </w:p>
    <w:p w:rsidR="0085709A" w:rsidRDefault="0085709A" w:rsidP="0085709A">
      <w:pPr>
        <w:pStyle w:val="TextoNormal"/>
      </w:pPr>
      <w:r>
        <w:t>En este sentido, y con relación a la justificación de la norma, advierte la exposición de motivos de la Ley 3/2012, de 6 de julio, que el precepto cuestionado se dirige a favorecer la flexibilidad interna en las empresas como alternativa a la destrucción de empleo, buscando el reajuste de la organización productiva para adaptarla a la cambiante situación económica. La norma facilita, entonces, el ajuste racional de las estructuras productivas a las sobrevenidas circunstancias del mercado, fruto de la variable situación económica, con el objetivo de procurar el mantenimiento del puesto de trabajo en lugar de su destrucción, atendiendo así a fines constitucionalmente legítimos, como son garantizar el derecho al trabajo de los ciudadanos (art. 35.1 CE), mediante la adopción de una política orientada a la consecución del pleno empleo (art. 40.1 CE), así como la libertad de empresa y la defensa de la productividad (art. 38 CE). En consecuencia, la limitación del derecho a la negociación colectiva mediante la atribución de la facultad de modificar las condiciones de trabajo pactadas extraestatutariamente, se justifica en la consecución de fines consagrados en la Constitución.</w:t>
      </w:r>
    </w:p>
    <w:p w:rsidR="0085709A" w:rsidRDefault="0085709A" w:rsidP="0085709A">
      <w:pPr>
        <w:pStyle w:val="TextoNormal"/>
      </w:pPr>
    </w:p>
    <w:p w:rsidR="0085709A" w:rsidRDefault="0085709A" w:rsidP="0085709A">
      <w:pPr>
        <w:pStyle w:val="TextoNormal"/>
      </w:pPr>
      <w:r>
        <w:t>Contando la medida controvertida con una justificación razonable desde el punto de vista constitucional, para comprobar si guarda la necesaria proporcionalidad con el fin pretendido, es necesario constatar si cumple las tres condiciones siguientes: a) si es idónea o adecuada para alcanzar el fin constitucionalmente legítimo perseguido por ella (juicio de idoneidad); b) si la medida idónea o adecuada es, además, necesaria, en el sentido de que no exista otra menos lesiva para la consecución de tal fin con igual eficacia (juicio de necesidad), debiendo tenerse en cuenta, a este respecto, que compete al legislador la realización del juicio de necesidad, y que el control constitucional en estos casos es limitado, pues se ha de ceñir a comprobar si se ha producido un sacrificio patentemente innecesario de los derechos que la Constitución garantiza, y c) si la medida idónea y menos lesiva resulta ponderada o equilibrada, por derivarse de su aplicación más beneficios o ventajas para el interés general que perjuicios sobre otros bienes o intereses en conflicto (juicio de proporcionalidad en sentido estricto) [en este sentido, entre otras, SSTC 55/1996, de 28 de marzo, FJ 8, y 48/2005, de 3 de marzo, FJ 7].</w:t>
      </w:r>
    </w:p>
    <w:p w:rsidR="0085709A" w:rsidRDefault="0085709A" w:rsidP="0085709A">
      <w:pPr>
        <w:pStyle w:val="TextoNormal"/>
      </w:pPr>
    </w:p>
    <w:p w:rsidR="0085709A" w:rsidRDefault="0085709A" w:rsidP="0085709A">
      <w:pPr>
        <w:pStyle w:val="TextoNormal"/>
      </w:pPr>
      <w:r>
        <w:t>Es necesario precisar brevemente los condicionantes a los que el art. 41 LET somete el ejercicio de la facultad empresarial de modificación unilateral de las condiciones de trabajo fijadas extraestatutariamente. La citada facultad empresarial, en primer lugar, no puede afectar a los convenios colectivos sino sólo a pactos “extraestatutarios” o “de eficacia limi</w:t>
      </w:r>
      <w:r>
        <w:lastRenderedPageBreak/>
        <w:t>tada”. En segundo lugar, se concibe únicamente como alternativa al fracaso de la negociación previa y preceptiva con los representantes de los trabajadores. En tercer lugar, no excluye la posibilidad de acudir a aquellos otros procedimientos específicos establecidos en la negociación colectiva para llevar a cabo esas modificaciones. En cuarto lugar, tampoco impide a las partes acordar la sustitución de esa negociación previa por un procedimiento de mediación o arbitraje. En quinto lugar, no permite al empresario adoptar la decisión de forma discrecional, sino exclusivamente cuando concurran “probadas razones económicas, técnicas, organizativas o de producción” (apartado 1). En sexto lugar, se atribuye al trabajador en determinados casos y cuando acredite la concurrencia de un perjuicio, la posibilidad de rescindir el contrato con derecho a percibir una indemnización. Y, en último lugar, la decisión empresarial queda sujeta, en todo caso, al control judicial ante la jurisdicción social, al ser impugnable tanto colectivamente (conflicto colectivo), como individualmente (acción individual).</w:t>
      </w:r>
    </w:p>
    <w:p w:rsidR="0085709A" w:rsidRDefault="0085709A" w:rsidP="0085709A">
      <w:pPr>
        <w:pStyle w:val="TextoNormal"/>
      </w:pPr>
    </w:p>
    <w:p w:rsidR="0085709A" w:rsidRDefault="0085709A" w:rsidP="0085709A">
      <w:pPr>
        <w:pStyle w:val="TextoNormal"/>
      </w:pPr>
      <w:r>
        <w:t>De lo anterior cabe deducir que la medida supera el juicio de idoneidad al ser adecuada para alcanzar el fin constitucionalmente legítimo perseguido por ella, esto es, evitar la destrucción del puesto de trabajo mediante su adaptación a las concretas circunstancias que atraviese la empresa. También supera el juicio de necesidad pues, al margen de que los recurrentes no ofrecen como alternativa la existencia de otra medida menos lesiva que permita la consecución de aquel fin con la misma eficacia, no se advierte que se haya producido con la medida elegida por el legislador un sacrificio patentemente innecesario de los derechos que la Constitución garantiza, a la vista de los condicionantes a los que se somete el ejercicio de la facultad empresarial de modificación, y, en concreto, al concebir la modificación unilateral del empresario como un recurso sólo permitido ante el fracaso de los preceptivos mecanismos previos de negociación o transacción con los representantes de los trabajadores. Y, en fin, también supera el juicio de proporcionalidad en sentido estricto, pues se trata de una medida que resulta ponderada, no sólo por los límites y garantías a las que la ha sometido el legislador, sino también por derivarse de su aplicación más ventajas para el derecho al trabajo que perjuicios para el derecho a la negociación colectiva.</w:t>
      </w:r>
    </w:p>
    <w:p w:rsidR="0085709A" w:rsidRDefault="0085709A" w:rsidP="0085709A">
      <w:pPr>
        <w:pStyle w:val="TextoNormal"/>
      </w:pPr>
    </w:p>
    <w:p w:rsidR="0085709A" w:rsidRDefault="0085709A" w:rsidP="0085709A">
      <w:pPr>
        <w:pStyle w:val="TextoNormal"/>
      </w:pPr>
      <w:r>
        <w:t>Debe rechazarse, en definitiva, la inconstitucionalidad del art. 12.1 de la Ley 3/2012, de 6 de julio, desde esta perspectiva.</w:t>
      </w:r>
    </w:p>
    <w:p w:rsidR="0085709A" w:rsidRDefault="0085709A" w:rsidP="0085709A">
      <w:pPr>
        <w:pStyle w:val="TextoNormal"/>
      </w:pPr>
    </w:p>
    <w:p w:rsidR="0085709A" w:rsidRDefault="0085709A" w:rsidP="0085709A">
      <w:pPr>
        <w:pStyle w:val="TextoNormal"/>
      </w:pPr>
      <w:r>
        <w:t>b) Alegan también los recurrentes que el apartado primero del art. 12 de la Ley 3/2012, de 6 de julio, vulnera el art. 24.1 CE, al considerar que la laxitud de las causas justificativas para proceder a la modificación sustancial de las condiciones de trabajo extraestutariamente acordadas propicia que la decisión unilateral del empresario escape de todo posible control, impidiéndose así el ejercicio del derecho a la tutela judicial efectiva. A juicio del Abogado del Estado, no cabe apreciar esta infracción al prever la ley un control judicial pleno de esas decisiones empresariales.</w:t>
      </w:r>
    </w:p>
    <w:p w:rsidR="0085709A" w:rsidRDefault="0085709A" w:rsidP="0085709A">
      <w:pPr>
        <w:pStyle w:val="TextoNormal"/>
      </w:pPr>
    </w:p>
    <w:p w:rsidR="0085709A" w:rsidRDefault="0085709A" w:rsidP="0085709A">
      <w:pPr>
        <w:pStyle w:val="TextoNormal"/>
      </w:pPr>
      <w:r>
        <w:t xml:space="preserve">Hay que subrayar que el art. 41 LET (en la redacción dada por el art. 12.1 impugnado) establece, por un lado, que el trabajador que “se muestre disconforme con la decisión empresarial podrá impugnarla ante la jurisdicción social”, en cuyo caso, “[l]a sentencia declarará la modificación justificada o injustificada y, en este último caso, reconocerá el derecho del trabajador a ser repuesto en sus anteriores condiciones” (apartado 3), con el abono de daños y perjuicios (art. 138 de la Ley 36/2011, de 10 de octubre, reguladora de la jurisdicción social), o, en su caso, con derecho a la extinción indemnizada del contrato de trabajo </w:t>
      </w:r>
      <w:r>
        <w:lastRenderedPageBreak/>
        <w:t>[arts. 41.3 y 50.1.a) LET]. Y, por otro lado, que contra las decisiones modificativas “se podrá reclamar en conflicto colectivo, sin perjuicio de la acción individual”, aunque “[l]a interposición del conflicto paralizará la tramitación de las acciones individuales iniciadas hasta su resolución” (apartado 5). Como puede observarse, el precepto impugnado somete la decisión empresarial al control judicial ante la jurisdicción social, en todo caso, al ser reclamable la decisión modificativa tanto individual como colectivamente, por lo que, como apunta el Abogado del Estado, no cabe apreciar limitación objetiva o subjetiva del enjuiciamiento judicial de la decisión del empresario adoptada al amparo del art. 41 LET impugnado.</w:t>
      </w:r>
    </w:p>
    <w:p w:rsidR="0085709A" w:rsidRDefault="0085709A" w:rsidP="0085709A">
      <w:pPr>
        <w:pStyle w:val="TextoNormal"/>
      </w:pPr>
    </w:p>
    <w:p w:rsidR="0085709A" w:rsidRDefault="0085709A" w:rsidP="0085709A">
      <w:pPr>
        <w:pStyle w:val="TextoNormal"/>
      </w:pPr>
      <w:r>
        <w:t xml:space="preserve">En cuanto a la alegada “laxitud” de las causas justificativas hay que recordar que el art. 41 LET prevé la posibilidad de la modificación sustancial de las condiciones de trabajo cuando “existan probadas razones económicas, técnicas, organizativas o de producción”, </w:t>
      </w:r>
      <w:r w:rsidRPr="0085709A">
        <w:rPr>
          <w:i/>
        </w:rPr>
        <w:t>a</w:t>
      </w:r>
      <w:r>
        <w:t>clarando después que “[s]e consideran como tales las que estén relacionadas con la competitividad, productividad u organización técnica del trabajo en la empresa”. Esta definición actual de las causas justificativas tiene su origen, en una parte, en el art. 41 de la Ley 8/1980, de 10 de marzo, del estatuto de los trabajadores (que permitía la modificación de las condiciones de trabajo cuando existiesen “probadas razones técnicas, organizativas o productivas”), y, en otra parte, en la modificación operada en ese art. 41, por la Ley 11/1994, de 19 de mayo (que la permitía cuando concurriesen “probadas razones económicas, técnicas, organizativas o de producción”).</w:t>
      </w:r>
    </w:p>
    <w:p w:rsidR="0085709A" w:rsidRDefault="0085709A" w:rsidP="0085709A">
      <w:pPr>
        <w:pStyle w:val="TextoNormal"/>
      </w:pPr>
    </w:p>
    <w:p w:rsidR="0085709A" w:rsidRDefault="0085709A" w:rsidP="0085709A">
      <w:pPr>
        <w:pStyle w:val="TextoNormal"/>
      </w:pPr>
      <w:r>
        <w:t>Dicho lo que antecede, es necesario señalar que, en contra de lo que afirman los recurrentes, la redacción del precepto impugnado no impide un control judicial pleno y efectivo, tanto de la concurrencia de la causa (cuya prueba, como señala el precepto, corresponde al empresario que adopta la medida), como de la justificación de la modificación realizada, convirtiendo el ejercicio de la facultad en una actuación reglada y, por tanto, no discrecional, de cara a evitar un uso empresarial torticero de la facultad otorgada. No cabe duda, además, que en la interpretación de la norma recurrida se puede tomar en consideración la definición de las “razones económicas, técnicas, organizativas y de producción” que se lleva a cabo en otros preceptos del estatuto de los trabajadores (en la redacción que les ha dado la propia Ley 3/2012, de 6 de julio), como son: el art. 47 (en materia de suspensión del contrato o reducción de jornada), el art. 51 (con relación al despido colectivo) o, en fin, el art. 82.3 (respecto de la inaplicación de condiciones de trabajo pactadas en convenio colectivo). De esta manera, el legislador no sólo ha orientado suficientemente la labor del aplicador, sino que ha otorgado suficientes elementos valorativos para la realización de un control judicial de la aplicación de la norma, como se ha dicho, pleno y efectivo.</w:t>
      </w:r>
    </w:p>
    <w:p w:rsidR="0085709A" w:rsidRDefault="0085709A" w:rsidP="0085709A">
      <w:pPr>
        <w:pStyle w:val="TextoNormal"/>
      </w:pPr>
    </w:p>
    <w:p w:rsidR="0085709A" w:rsidRDefault="0085709A" w:rsidP="0085709A">
      <w:pPr>
        <w:pStyle w:val="TextoNormal"/>
      </w:pPr>
      <w:r>
        <w:t>Debe desestimarse, por tanto, la inconstitucionalidad del art. 12.1 de la Ley 3/2012, de 6 de julio, al no vulnerar el derecho a la tutela judicial efectiva del art. 24.1 CE.</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El siguiente precepto impugnado es el apartado primero del art. 14 de la Ley 3/2012, de 6 de julio, que bajo el título “Negociación colectiva” da nueva redacción al apartado 3 del art. 82 del Real Decreto Legislativo 1/1995, de 24 de marzo, por el que se aprueba el texto refundido de la Ley del estatuto de los trabajadores (LET), que regula el procedimiento de inaplicación en la empresa de condiciones de trabajo pactadas en convenio colectivo, comúnmente conocido como “descuelgue” (y así calificado expresamente por el apartado IV de la propia exposición de motivos de la Ley 3/2012). Consideran los recurrentes que </w:t>
      </w:r>
      <w:r>
        <w:lastRenderedPageBreak/>
        <w:t>esta norma vulnera tanto el derecho a la negociación colectiva y la fuerza vinculante de los convenios (art. 37.1 CE), como el derecho a la libertad sindical (art. 28.1 CE), al permitir la inaplicación del convenio por decisión de un tercero ajeno a los sujetos que lo pactaron, así como el derecho a la tutela judicial efectiva (art. 24.1 CE), por no existir el debido control judicial de la medida adoptada. El Abogado del Estado las niega, a la vista del régimen jurídico que rige la intervención de la Comisión Consultiva Nacional de Convenios Colectivos y al ser revisable judicialmente su decisión.</w:t>
      </w:r>
    </w:p>
    <w:p w:rsidR="0085709A" w:rsidRDefault="0085709A" w:rsidP="0085709A">
      <w:pPr>
        <w:pStyle w:val="TextoNormal"/>
      </w:pPr>
    </w:p>
    <w:p w:rsidR="0085709A" w:rsidRDefault="0085709A" w:rsidP="0085709A">
      <w:pPr>
        <w:pStyle w:val="TextoNormal"/>
      </w:pPr>
      <w:r>
        <w:t>a) Ante todo, hemos de comenzar precisando que aunque en este proceso se recurre formalmente el apartado primero del citado art. 14, en realidad no se cuestiona todo el procedimiento de inaplicación de condiciones de trabajo en él previsto, sino tan sólo el párrafo octavo del nuevo art. 82.3 LET en el que se atribuye una función decisoria dirimente a la Comisión Consultiva Nacional de Convenios Colectivos u órganos correspondientes de las comunidades autónomas. Así las cosas, aunque con posterioridad a la aprobación de la Ley 3/2012, se ha modificado el precepto impugnado por el art. 9.5 del Real Decreto-ley 11/2013, de 2 de agosto, para la protección de los trabajadores a tiempo parcial y otras medidas urgentes del orden económico y social (que tras su convalidación ha dado lugar a la Ley 1/2014, de 28 de febrero), tal circunstancia no afecta al objeto del presente recurso, pues la modificación operada no atañe a la intervención de la citada Comisión Consultiva Nacional de Convenios Colectivos u órganos correspondientes de las comunidades autónomas en el procedimiento de inaplicación previsto en el art. 82.3 LET, sino sólo a la determinación de los sujetos legitimados para actuar en representación de los trabajadores durante los períodos de consulta para la adopción del acuerdo de inaplicación.</w:t>
      </w:r>
    </w:p>
    <w:p w:rsidR="0085709A" w:rsidRDefault="0085709A" w:rsidP="0085709A">
      <w:pPr>
        <w:pStyle w:val="TextoNormal"/>
      </w:pPr>
    </w:p>
    <w:p w:rsidR="0085709A" w:rsidRDefault="0085709A" w:rsidP="0085709A">
      <w:pPr>
        <w:pStyle w:val="TextoNormal"/>
      </w:pPr>
      <w:r>
        <w:t>b) Hay que indicar que las cuestiones planteadas en este proceso con relación al art. 14.1 de la Ley 3/2012, de 6 de julio, han sido resueltas por la STC 119/2014, de 16 de julio, a la que hemos de remitirnos.</w:t>
      </w:r>
    </w:p>
    <w:p w:rsidR="0085709A" w:rsidRDefault="0085709A" w:rsidP="0085709A">
      <w:pPr>
        <w:pStyle w:val="TextoNormal"/>
      </w:pPr>
    </w:p>
    <w:p w:rsidR="0085709A" w:rsidRDefault="0085709A" w:rsidP="0085709A">
      <w:pPr>
        <w:pStyle w:val="TextoNormal"/>
      </w:pPr>
      <w:r>
        <w:t>En la citada resolución hemos rechazado que el precepto impugnado resulte inconstitucional por infracción del derecho a la negociación colectiva y a la fuerza vinculante de los convenios (art. 37.1 CE) y del derecho a la libertad sindical (art. 28.1 CE). En este sentido, hemos indicado, de un lado, que la medida legislativa cuestionada se dicta en un contexto de grave crisis económica con el objetivo de favorecer la flexibilidad interna de la empresa como alternativa a la destrucción del empleo o al cese de una actividad productiva, atendiendo, de este modo, a un fin constitucionalmente legítimo, cual es, tanto el de garantizar el derecho al trabajo de los ciudadanos (art. 35.1 CE) mediante la adopción de una política orientada a la consecución del pleno empleo (art. 40.1 CE), como la defensa de la productividad de acuerdo con las exigencias de la economía general (art. 38 CE) [apartado a) del fundamento jurídico 5 A)].</w:t>
      </w:r>
    </w:p>
    <w:p w:rsidR="0085709A" w:rsidRDefault="0085709A" w:rsidP="0085709A">
      <w:pPr>
        <w:pStyle w:val="TextoNormal"/>
      </w:pPr>
    </w:p>
    <w:p w:rsidR="0085709A" w:rsidRDefault="0085709A" w:rsidP="0085709A">
      <w:pPr>
        <w:pStyle w:val="TextoNormal"/>
      </w:pPr>
      <w:r>
        <w:t xml:space="preserve">De otro lado, hemos considerado también que la norma impugnada resulta razonable y proporcionada, teniendo en cuenta que la intervención controvertida de la Comisión Consultiva Nacional de Convenios Colectivos u órgano autonómico correspondiente constituye un remedio subsidiario que en modo alguno desplaza o suplanta a la negociación colectiva o al ejercicio de la libertad sindical. Antes al contrario, opera cuando los diferentes cauces de solución del conflicto previstos en la norma se han mostrado como inservibles y, por tanto, como un remedio ante el fracaso de la negociación colectiva, con el exclusivo objetivo de evitar que la situación de bloqueo entre las partes quede abocada al enquistamiento, con </w:t>
      </w:r>
      <w:r>
        <w:lastRenderedPageBreak/>
        <w:t>grave peligro para la estabilidad de los puestos de trabajo o, incluso, de la propia viabilidad de la empresa. La decisión se atribuye, además, a un órgano colegiado de composición tripartita y paritaria, que está formado por representantes de la Administración General del Estado y de las organizaciones empresariales y sindicales más representativas, habiendo establecido la normativa los mecanismos precisos para garantizar su independencia e imparcialidad. Junto a tales circunstancias, también hemos valorado que la posibilidad de inaplicación de condiciones de trabajo discutida se encuentre sujeta, tanto a limitaciones causales (concurrencia de razones económicas, técnicas, organizativas y de producción), materiales (al poder afectar en exclusiva a las materias especificadas en el precepto impugnado) y temporales (su duración no podrá prolongarse más allá del momento en que resulte aplicable un nuevo convenio en la empresa afectada), cuanto a un posterior control jurisdiccional [apartado b) del fundamento jurídico 5 A)].</w:t>
      </w:r>
    </w:p>
    <w:p w:rsidR="0085709A" w:rsidRDefault="0085709A" w:rsidP="0085709A">
      <w:pPr>
        <w:pStyle w:val="TextoNormal"/>
      </w:pPr>
    </w:p>
    <w:p w:rsidR="0085709A" w:rsidRDefault="0085709A" w:rsidP="0085709A">
      <w:pPr>
        <w:pStyle w:val="TextoNormal"/>
      </w:pPr>
      <w:r>
        <w:t>En suma, a la vista del régimen jurídico aplicable a la intervención de la Comisión Consultiva Nacional de Convenios Colectivos prevista en la norma impugnada —en concreto, las restricciones y límites a las que se encuentra sujeta— y tras llevar a cabo la pertinente ponderación de los intereses constitucionales en conflicto y de sus respectivos sacrificios, hemos rechazado en la STC 119/2014 la vulneración de los arts. 37.1 y 28.1 de la Constitución, en tanto que “el precepto legal impugnado contempla una medida razonable, que supera las requeridas exigencias de proporcionalidad, en aras de preservar los bienes constitucionales protegidos en los arts. 35.1, 38 y 40.1 CE” [apartado b) del fundamento jurídico 5 A)], sin que, además, pueda impedir la anterior conclusión (como postulan los recurrentes) lo mantenido por este Tribunal con relación a los arbitrajes públicos obligatorios en la STC 11/1981, de 8 de abril, en tanto que la norma impugnada en el presente proceso constitucional presenta sustanciales diferencias respecto a la que en su día fue examinada por aquélla Sentencia [apartado c) del fundamento jurídico 5 A)].</w:t>
      </w:r>
    </w:p>
    <w:p w:rsidR="0085709A" w:rsidRDefault="0085709A" w:rsidP="0085709A">
      <w:pPr>
        <w:pStyle w:val="TextoNormal"/>
      </w:pPr>
    </w:p>
    <w:p w:rsidR="0085709A" w:rsidRDefault="0085709A" w:rsidP="0085709A">
      <w:pPr>
        <w:pStyle w:val="TextoNormal"/>
      </w:pPr>
      <w:r>
        <w:t xml:space="preserve">c) Finalmente, en cuanto a la eventual infracción del art. 24.1 CE, esta cuestión ha sido también resuelta en la STC 119/2014, de 16 de julio, en la que hemos tenido la oportunidad de señalar que “el art. 82.3 ET, párrafo octavo, somete expresamente la decisión arbitral de la Comisión Consultiva Nacional de Convenios Colectivos del órgano autonómico correspondiente a un control judicial que no se limita a aspectos externos o procedimentales; se extiende también a aspectos de fondo del asunto objeto de la decisión o arbitraje, pues más allá del enjuiciamiento sobre el cumplimiento de los requisitos y formalidades del desarrollo de la actuación arbitral, así como de la valoración sobre el carácter </w:t>
      </w:r>
      <w:r w:rsidRPr="0085709A">
        <w:rPr>
          <w:i/>
        </w:rPr>
        <w:t>ultra vires</w:t>
      </w:r>
      <w:r>
        <w:t xml:space="preserve"> de la resolución emitida, la revisión por parte de los órganos judiciales alcanza también a impugnaciones fundadas, no sólo en motivos de lesividad a terceros, sino también de ilegalidad, sin establecerse precisiones respecto a esta última causa”. Por ello, declaramos que “no cabe excluir que esa intervención judicial derivada del art. 82.3 LET permita a los tribunales ordinarios efectuar un control pleno sobre la decisión o laudo arbitral en aquellos aspectos jurídicos que, por su naturaleza, puedan ser objeto de la competencia y conocimiento jurisdiccional. Así entendida, por tanto, la intervención de la Comisión Consultiva Nacional de Convenios Colectivos u órgano autonómico correspondiente prevista en la norma impugnada —con carácter subsidiario, como ya se dijo—, en cuanto trámite previo al proceso es plenamente compatible con el art. 24.1 CE; en ningún caso excluye el ulterior conocimiento jurisdiccional de la cuestión y su fin resulta proporcionado y justificado”, ya que no es otro que procurar una solución extraprocesal de la controversia. Por todo ello, concluimos en la citada Sentencia que “interpretado el precepto en el sentido de que cabe un control judicial </w:t>
      </w:r>
      <w:r>
        <w:lastRenderedPageBreak/>
        <w:t>pleno sobre la adecuación normativa de la decisión o laudo arbitral de la Comisión Consultiva Nacional de Convenios Colectivos u órgano equivalente de las Comunidades Autónomas, acotado a los aspectos jurídicos propios del conocimiento de la jurisdicción, incluido el control sobre la concurrencia de las causas y la adecuación a ellas de las medidas adoptadas”, había de descartarse que el párrafo octavo del art. 82.3 LET, en la redacción dada por el art. 14.uno de la Ley 3/2012, de 6 de julio, resultase contrario al derecho a la tutela judicial reconocido en el art. 24.1 CE [FJ 5 A)].</w:t>
      </w:r>
    </w:p>
    <w:p w:rsidR="0085709A" w:rsidRDefault="0085709A" w:rsidP="0085709A">
      <w:pPr>
        <w:pStyle w:val="TextoNormal"/>
      </w:pPr>
    </w:p>
    <w:p w:rsidR="0085709A" w:rsidRDefault="0085709A" w:rsidP="0085709A">
      <w:pPr>
        <w:pStyle w:val="TextoNormal"/>
      </w:pPr>
      <w:r w:rsidRPr="0085709A">
        <w:rPr>
          <w:rStyle w:val="NumeroAFNegritaCaracter"/>
        </w:rPr>
        <w:t>6</w:t>
      </w:r>
      <w:r>
        <w:t>. El siguiente precepto impugnado es el apartado tercero, en conexión con el apartado segundo, del art. 14 (“Negociación colectiva”) de la Ley 3/2012, de 6 de julio, por el que se da nueva redacción al art. 84.2 del texto refundido de la Ley del estatuto de los trabajadores, aprobado por Real Decreto Legislativo 1/1995, de 24 de marzo (LET), en el que se declara que, en determinadas materias, “[l]a regulación de las condiciones establecidas en un convenio de empresa, que podrá negociarse en cualquier momento de la vigencia de convenios colectivos de ámbito superior, tendrá prioridad aplicativa respecto del convenio sectorial estatal, autonómico o de ámbito inferior”, y, además, que los acuerdos interprofesionales y convenios o acuerdos colectivos sectoriales “no podrán disponer de la prioridad aplicativa” citada. Tal previsión vulnera, a juicio de los recurrentes, los arts. 28.1 y 37.1, ambos de la Constitución, dado que supondría la postergación de la negociación colectiva de los representantes sindicales (contenido básico de la libertad sindical), por la llevada a cabo por representantes no sindicales, esto es, por los comités de empresa y los delegados de personal (cuya representatividad no se asienta en la libertad sindical, sino en el derecho de participación en la empresa de los trabajadores que los eligen), y que conforme al texto refundido de la Ley del estatuto de los trabajadores pueden negociar los convenios de empresa cuya preferencia aplicativa se reconoce. Entienden igualmente que tal medida legislativa carecería de objetividad y de proporcionalidad al suponer la exclusión del protagonismo de los interlocutores sociales o del “espacio que por naturaleza” les corresponde en la negociación colectiva. Por su parte, el Abogado del Estado considera que la Constitución no impone al legislador un modelo de negociación colectiva en el que se maximice la posición de los sindicatos, ni le obliga a establecer una estructura centralizada de la negociación colectiva en la que los convenios colectivos sectoriales sean los instrumentos preferentes para la fijación de las condiciones de trabajo.</w:t>
      </w:r>
    </w:p>
    <w:p w:rsidR="0085709A" w:rsidRDefault="0085709A" w:rsidP="0085709A">
      <w:pPr>
        <w:pStyle w:val="TextoNormal"/>
      </w:pPr>
    </w:p>
    <w:p w:rsidR="0085709A" w:rsidRDefault="0085709A" w:rsidP="0085709A">
      <w:pPr>
        <w:pStyle w:val="TextoNormal"/>
      </w:pPr>
      <w:r>
        <w:t>Este Tribunal se ha pronunciado ya respecto a la constitucionalidad del precepto impugnado y, más concretamente, con relación a la prioridad aplicativa del convenio de empresa desde la perspectiva de los derechos a la negociación colectiva (art. 37.1 CE) y a la libertad sindical (art. 28.1 CE). En la STC 119/2014, de 16 de julio, ha concluido que “siendo incuestionable que la descentralización de la negociación colectiva constituye un objetivo que el legislador puede legítimamente pretender, atendiendo a las consideraciones de política social y económica que estime relevantes, la modificación introducida por el art. 14.3 de la Ley 3/2012 en el art. 84.2 LET, tanto en lo relativo a la posibilidad de negociación de convenios de empresa dotados de prioridad aplicativa en cualquier momento de la vigencia de un convenio sectorial de ámbito superior, como en lo referido a la prohibición de acuerdos interprofesionales y a los convenios colectivos sectoriales de disponer de tal prioridad aplicativa, no vulnera el derecho a la negociación colectiva y a la fuerza vinculante de los convenios (art. 37.1 CE), ni tampoco la libertad sindical (art. 28.1 CE)” [FJ 6 f)].</w:t>
      </w:r>
    </w:p>
    <w:p w:rsidR="0085709A" w:rsidRDefault="0085709A" w:rsidP="0085709A">
      <w:pPr>
        <w:pStyle w:val="TextoNormal"/>
      </w:pPr>
    </w:p>
    <w:p w:rsidR="0085709A" w:rsidRDefault="0085709A" w:rsidP="0085709A">
      <w:pPr>
        <w:pStyle w:val="TextoNormal"/>
      </w:pPr>
      <w:r>
        <w:lastRenderedPageBreak/>
        <w:t>Ahora bien, a la vista de los argumentos esgrimidos en el presente recurso de inconstitucionalidad por los recurrentes y sin perjuicio de la conclusión anterior, es necesario entrar ahora a dar respuesta concreta a las diferentes afirmaciones que los recurrentes realizan en defensa de la inconstitucionalidad del precepto impugnado.</w:t>
      </w:r>
    </w:p>
    <w:p w:rsidR="0085709A" w:rsidRDefault="0085709A" w:rsidP="0085709A">
      <w:pPr>
        <w:pStyle w:val="TextoNormal"/>
      </w:pPr>
    </w:p>
    <w:p w:rsidR="0085709A" w:rsidRDefault="0085709A" w:rsidP="0085709A">
      <w:pPr>
        <w:pStyle w:val="TextoNormal"/>
      </w:pPr>
      <w:r>
        <w:t>a) Los recurrentes basan sus dudas de constitucionalidad, en principio, en la dicotomía entre los dos tipos de representación de los trabajadores y su diferente posición y garantía constitucionales, postulando la existencia de un modelo de negociación colectiva en el que prevalece la negociación sindical, en detrimento de la protagonizada por otros representantes de los trabajadores. Pero, como ya hemos indicado en el fundamento jurídico 2 de esta Sentencia, al que ahora nos remitimos, tal punto de partida no se acomoda al reconocimiento constitucional del derecho a la negociación colectiva (art. 37.1 CE), pues este no se constriñe al ámbito de la acción sindical, sino que se reconduce genéricamente al de los “representantes de los trabajadores”.</w:t>
      </w:r>
    </w:p>
    <w:p w:rsidR="0085709A" w:rsidRDefault="0085709A" w:rsidP="0085709A">
      <w:pPr>
        <w:pStyle w:val="TextoNormal"/>
      </w:pPr>
    </w:p>
    <w:p w:rsidR="0085709A" w:rsidRDefault="0085709A" w:rsidP="0085709A">
      <w:pPr>
        <w:pStyle w:val="TextoNormal"/>
      </w:pPr>
      <w:r>
        <w:t>Partiendo de ello y de que el derecho a la negociación colectiva (art. 37.1 CE) es de configuración legal, al legislador le corresponde ordenar los resultados del proceso de negociación y determinar las reglas de concurrencia y articulación de los convenios, pudiendo ampliar o restringir el margen de intervención de la autonomía colectiva en función de la opción que en cada momento considere más oportuna. Y en tal sentido, el art. 14.3 de la Ley 3/2012, de 6 de julio, que da nueva redacción al art. 84.2 LET, haciendo uso el legislador del amplio margen de libertad otorgado por la Constitución para la configuración legal del ejercicio del derecho a la negociación colectiva, ha optado por declarar la prioridad aplicativa del convenio de empresa sobre los de ámbito superior, atribuyéndole un plus de eficacia, como una medida de flexibilidad interna, alternativa a la destrucción de empleo, a través de la cual pueden adaptarse las condiciones de trabajo que se identifican como más cercanas a la realidad de la empresa a las circunstancias concretas por las que ésta atraviesa. Esta opción legal no es nueva, pues había sido recogida, aunque con carácter dispositivo para los convenios de ámbito superior, por el Real Decreto-ley 7/2011, de 10 de junio, de medidas urgentes para la reforma de la negociación colectiva, con el fin de acomodar las relaciones laborales al entorno económico y productivo en el que se desenvuelven. Asimismo, por esta opción de “descentralización” de la negociación colectiva se había ya decantado el II Acuerdo para el empleo y la negociación colectiva 2012, 2013 y 2014, suscrito el 25 de enero de 2012 por las organizaciones empresariales y sindicales más representativas, en el que se insta al desarrollo por medio de los convenios sectoriales, de las reglas de articulación de la estructura de la negociación colectiva que apuesten por la descentralización, propiciando la negociación en la empresa, a iniciativa de las partes afectadas, exclusivamente en las materias a las que hace referencia (salarios, tiempo de trabajo, clasificación profesional, aspectos de las modalidades de contratación, medidas de conciliación laboral, así como aquellas otras materias previstas en los acuerdos interprofesionales y convenios sectoriales), por entender que es ése el ámbito más adecuado para configurarlas.</w:t>
      </w:r>
    </w:p>
    <w:p w:rsidR="0085709A" w:rsidRDefault="0085709A" w:rsidP="0085709A">
      <w:pPr>
        <w:pStyle w:val="TextoNormal"/>
      </w:pPr>
    </w:p>
    <w:p w:rsidR="0085709A" w:rsidRDefault="0085709A" w:rsidP="0085709A">
      <w:pPr>
        <w:pStyle w:val="TextoNormal"/>
      </w:pPr>
      <w:r>
        <w:t xml:space="preserve">En tal línea, la norma impugnada parte de la consideración de la empresa como un espacio especialmente propicio para la negociación colectiva de cara a la fijación de las condiciones de trabajo que resulten ajustadas a las concretas características y necesidades de la empresa y sus trabajadores, razón por la cual, dota de prioridad aplicativa al convenio de empresa fruto de esa negociación (entre los representantes de los trabajadores —delegados de personal, comités de empresa, o secciones sindicales— y la empresa), sobre los de ámbito </w:t>
      </w:r>
      <w:r>
        <w:lastRenderedPageBreak/>
        <w:t>superior (negociados entre las representaciones sindicales y empresariales más representativas en sus respectivos ámbitos).</w:t>
      </w:r>
    </w:p>
    <w:p w:rsidR="0085709A" w:rsidRDefault="0085709A" w:rsidP="0085709A">
      <w:pPr>
        <w:pStyle w:val="TextoNormal"/>
      </w:pPr>
    </w:p>
    <w:p w:rsidR="0085709A" w:rsidRDefault="0085709A" w:rsidP="0085709A">
      <w:pPr>
        <w:pStyle w:val="TextoNormal"/>
      </w:pPr>
      <w:r>
        <w:t>b) Como ha quedado señalado en los antecedentes, los recurrentes reconocen en su recurso que la medida adoptada responde a un objetivo constitucionalmente legítimo, como es el de facilitar una negociación de las condiciones laborales en el nivel más cercano y adecuado a la realidad de las empresas y de los trabajadores. Sin embargo, consideran que el legislador, sin perjuicio de dar prioridad aplicativa al convenio de empresa, podía haber optado por fórmulas menos lesivas del derecho a la negociación colectiva y de la fuerza vinculante del convenio, bien dejando abierta la posibilidad de excluir esa prioridad aplicativa en determinados ámbitos, o estableciendo cauces de comunicación entre los órganos de administración del convenio superior y los negociadores del nuevo convenio de empresa.</w:t>
      </w:r>
    </w:p>
    <w:p w:rsidR="0085709A" w:rsidRDefault="0085709A" w:rsidP="0085709A">
      <w:pPr>
        <w:pStyle w:val="TextoNormal"/>
      </w:pPr>
    </w:p>
    <w:p w:rsidR="0085709A" w:rsidRDefault="0085709A" w:rsidP="0085709A">
      <w:pPr>
        <w:pStyle w:val="TextoNormal"/>
      </w:pPr>
      <w:r>
        <w:t>Pues bien, habiendo aceptado los recurrentes la existencia de una justificación legitimadora de la medida controvertida, han circunscrito realmente el debate a la intensidad de la incidencia (proporcionalidad) en el ejercicio del derecho a la negociación colectiva exclusivamente desde el punto de vista sindical. No obstante, y antes de analizar la incidencia que tiene la medida desde la perspectiva del derecho a la libertad sindical, conviene recordar que desde la perspectiva del derecho a la negociación colectiva (art. 37.1 CE), ya hemos señalado en la STC 119/2014 [FJ 6 e)] que tan legítima resulta desde el punto de vista constitucional la opción legislativa que otorgue prioridad a la negociación colectiva de ámbito superior a la empresa, como aquella otra que considere oportuno dar preferencia aplicativa al convenio de empresa para ajustar las condiciones de trabajo a la concreta realidad y necesidades de la entidad empresarial.</w:t>
      </w:r>
    </w:p>
    <w:p w:rsidR="0085709A" w:rsidRDefault="0085709A" w:rsidP="0085709A">
      <w:pPr>
        <w:pStyle w:val="TextoNormal"/>
      </w:pPr>
    </w:p>
    <w:p w:rsidR="0085709A" w:rsidRDefault="0085709A" w:rsidP="0085709A">
      <w:pPr>
        <w:pStyle w:val="TextoNormal"/>
      </w:pPr>
      <w:r>
        <w:t>Ciertamente, cabe precisar que resulta tan legítima la una como la otra porque, antes que suponer un límite o condicionante del derecho a la negociación colectiva, no hacen sino promover su ejercicio a un diferente nivel. El legislador ha optado por dar preferencia al resultado de una negociación descentralizada sobre el resultado de una negociación centralizada, en uno y otro caso, entre los “representantes de los trabajadores” y los empresarios, asumiendo como de mayor validez el criterio de la cercanía del representante a la empresa, sobre el de su lejanía, cuando se trata de regular condiciones de trabajo afectantes a determinadas materias. Por lo demás, la prioridad aplicativa del convenio de empresa, ni imposibilita la negociación colectiva de ámbito superior sobre las materias respecto de las cuales se prevé tal prioridad, ni resta eficacia normativa a la regulación sectorial ya existente, que seguirá siendo de aplicación en todas las empresas de su ámbito que no aprueben su propio convenio colectivo con fundamento en el nuevo art. 84.2 LET.</w:t>
      </w:r>
    </w:p>
    <w:p w:rsidR="0085709A" w:rsidRDefault="0085709A" w:rsidP="0085709A">
      <w:pPr>
        <w:pStyle w:val="TextoNormal"/>
      </w:pPr>
    </w:p>
    <w:p w:rsidR="0085709A" w:rsidRDefault="0085709A" w:rsidP="0085709A">
      <w:pPr>
        <w:pStyle w:val="TextoNormal"/>
      </w:pPr>
      <w:r>
        <w:t>En consecuencia, desde la estricta perspectiva del derecho a la negociación colectiva (art. 37.1 CE), no es posible apreciar que el legislador haya incidido de una forma negativa en el citado derecho al dar prioridad aplicativa, en determinados casos, a lo pactado por los representantes de los trabajadores a nivel de empresa, pues, como ya ha quedado dicho, este precepto constitucional no ha reservado a los sindicatos, en exclusiva, el derecho a la negociación colectiva sino que ha optado por un “amplio reconocimiento” de su titularidad, sin hacer distinciones entre los representantes sindicales y aquéllos otros que no lo sean.</w:t>
      </w:r>
    </w:p>
    <w:p w:rsidR="0085709A" w:rsidRDefault="0085709A" w:rsidP="0085709A">
      <w:pPr>
        <w:pStyle w:val="TextoNormal"/>
      </w:pPr>
    </w:p>
    <w:p w:rsidR="0085709A" w:rsidRDefault="0085709A" w:rsidP="0085709A">
      <w:pPr>
        <w:pStyle w:val="TextoNormal"/>
      </w:pPr>
      <w:r>
        <w:t xml:space="preserve">c) Desde la óptica de la negociación colectiva como expresión de la acción sindical, tampoco es posible advertir la infracción del derecho a la libertad sindical (art. 28.1 CE) que se </w:t>
      </w:r>
      <w:r>
        <w:lastRenderedPageBreak/>
        <w:t>alega en el presente proceso constitucional. Aunque, como hemos señalado con anterioridad, la negociación colectiva forma parte del derecho de libertad sindical, concebido como medio primordial de acción sindical para el cumplimiento de los fines constitucionalmente reconocidos a los sindicatos en el art. 7 CE, sin embargo, esta afirmación “resulta, sin duda alguna, compatible con la configuración legal del ejercicio del derecho a negociar” (por todas, STC 224/2000, de 2 de octubre, FJ 4).</w:t>
      </w:r>
    </w:p>
    <w:p w:rsidR="0085709A" w:rsidRDefault="0085709A" w:rsidP="0085709A">
      <w:pPr>
        <w:pStyle w:val="TextoNormal"/>
      </w:pPr>
    </w:p>
    <w:p w:rsidR="0085709A" w:rsidRDefault="0085709A" w:rsidP="0085709A">
      <w:pPr>
        <w:pStyle w:val="TextoNormal"/>
      </w:pPr>
      <w:r>
        <w:t>En efecto, desde el punto de vista legal, el art. 84.2 LET impugnado no impide, en sus respectivos ámbitos y conforme a las normas legales que rigen la materia, que los sindicatos con mayor representación negocien convenios sectoriales, ni tampoco que las secciones sindicales lo hagan en el ámbito de la empresa. Antes al contrario, los convenios de empresa cuya prioridad aplicativa declara la norma impugnada pueden negociarse tanto por los representantes unitarios (comité de empresa o delegados de personal) como por las secciones sindicales que tengan presencia en los citados órganos de representación unitaria y, sumando la mayoría de sus miembros, así lo acuerden, siendo, además, su intervención prioritaria a la de los restantes representantes unitarios (art. 87.1 LET).</w:t>
      </w:r>
    </w:p>
    <w:p w:rsidR="0085709A" w:rsidRDefault="0085709A" w:rsidP="0085709A">
      <w:pPr>
        <w:pStyle w:val="TextoNormal"/>
      </w:pPr>
    </w:p>
    <w:p w:rsidR="0085709A" w:rsidRDefault="0085709A" w:rsidP="0085709A">
      <w:pPr>
        <w:pStyle w:val="TextoNormal"/>
      </w:pPr>
      <w:r>
        <w:t>En consecuencia, de la misma manera que hemos admitido como una opción constitucionalmente válida, que no vulnera el art. 28.1 CE, el que la legitimación para negociar determinados convenios colectivos se restrinja a organizaciones sindicales que acrediten un cierto nivel de representatividad y no a otras, “allí donde el legislador ha querido dotar al acuerdo resultante de unos determinados y específicos efectos jurídicos” (STC 224/2000, de 2 de octubre, FJ 4), igual de válida es la opción legislativa ahora discutida de priorizar los efectos de la negociación de las condiciones de trabajo a nivel empresarial, permitiendo así dotar de mayor eficacia a los pactos alcanzados, no sólo por las secciones sindicales, sino también por los delegados de personal y comités de empresa, con independencia de que estén o no sindicalizados, tanto más cuanto ese plus de eficacia no imposibilita a los sindicatos la negociación colectiva de eficacia general ni impide, por tanto, el ejercicio de una de sus funciones esenciales.</w:t>
      </w:r>
    </w:p>
    <w:p w:rsidR="0085709A" w:rsidRDefault="0085709A" w:rsidP="0085709A">
      <w:pPr>
        <w:pStyle w:val="TextoNormal"/>
      </w:pPr>
    </w:p>
    <w:p w:rsidR="0085709A" w:rsidRDefault="0085709A" w:rsidP="0085709A">
      <w:pPr>
        <w:pStyle w:val="TextoNormal"/>
      </w:pPr>
      <w:r>
        <w:t>En suma, de lo que antecede se concluye ahora que ninguno de los argumentos esgrimidos por la parte recurrente en el presente proceso constitucional tiene fuerza para desvirtuar la conclusión alcanzada en la STC 119/2014, de 16 de julio, en la que entonces concluimos, y ahora debemos insistir, que el art. 14.3 de la Ley 3/2012, de 6 de julio, no vulnera el derecho a la negociación colectiva y la fuerza vinculante de los convenios (art. 37.1 CE), ni tampoco la libertad sindical (art. 28.1 CE), teniendo en cuenta que no existe un modelo constitucional predeterminado de negociación colectiva; que respecto de esta última el legislador tiene libertad de configuración para fijar su estructura y ordenación, y que del Texto Fundamental no se deduce tampoco que la negociación colectiva sindical haya de tener prioridad absoluta sobre la negociación colectiva realizada por otros representantes de los trabajadores (FJ 6).</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Los diputados recurrentes impugnan también el apartado tercero del art. 18 (“Extinción del contrato de trabajo”) de la Ley 3/2012, de 6 de julio, que da nueva redacción al art. 51 del Real Decreto Legislativo 1/1995, de 24 de marzo, por el que se aprueba el texto refundido de la Ley del estatuto de los trabajadores (LET), que, bajo el título de “Despido colectivo”, habilita al empresario, tras la sustanciación de un período de consultas con los representantes legales de los trabajadores (apartado 2), a la extinción de los contratos de </w:t>
      </w:r>
      <w:r>
        <w:lastRenderedPageBreak/>
        <w:t>trabajo, siempre que concurran “causas económicas, técnicas, organizativas o de producción” (apartado 1). Los recurrentes no denuncian la inconstitucionalidad de todo el precepto impugnado, sino sólo la definición que se realiza de las citadas causas “económicas, técnicas, organizativas o de producción” en su apartado primero, que consideran que, por su indefinición, vulnera tanto el derecho a no ser despedido sin una justa causa (art. 35.1 CE), como el derecho a un control judicial efectivo sobre la causalidad del despido (art. 24.1 CE). A juicio del Abogado del Estado, sin embargo, no se ha producido ninguna de las vulneraciones denunciadas, en la medida que las causas de despido se encuentran suficientemente definidas y permiten el posterior control jurisdiccional sobre su concurrencia, razonabilidad y proporcionalidad.</w:t>
      </w:r>
    </w:p>
    <w:p w:rsidR="0085709A" w:rsidRDefault="0085709A" w:rsidP="0085709A">
      <w:pPr>
        <w:pStyle w:val="TextoNormal"/>
      </w:pPr>
    </w:p>
    <w:p w:rsidR="0085709A" w:rsidRDefault="0085709A" w:rsidP="0085709A">
      <w:pPr>
        <w:pStyle w:val="TextoNormal"/>
      </w:pPr>
      <w:r>
        <w:t>a) Comenzando por la denunciada vulneración del art. 35.1 CE, consideran los recurrentes que la nueva redacción dada al art. 51.1 LET prescinde del elemento de causalidad en la delimitación de los motivos económicos y empresariales del despido, pues ha suprimido la obligación empresarial de acreditar la concurrencia de la causa extintiva y de justificar que de ella se deduce la razonabilidad de la decisión extintiva.</w:t>
      </w:r>
    </w:p>
    <w:p w:rsidR="0085709A" w:rsidRDefault="0085709A" w:rsidP="0085709A">
      <w:pPr>
        <w:pStyle w:val="TextoNormal"/>
      </w:pPr>
    </w:p>
    <w:p w:rsidR="0085709A" w:rsidRDefault="0085709A" w:rsidP="0085709A">
      <w:pPr>
        <w:pStyle w:val="TextoNormal"/>
      </w:pPr>
      <w:r>
        <w:t>El derecho al trabajo (art. 35.1 CE) no se agota en la libertad de trabajar, sino que en su vertiente individual, se concreta, entre otras cosas, “en el derecho a la continuidad o estabilidad en el empleo, es decir, en el derecho a no ser despedido sin justa causa” (STC 192/2003, de 27 de octubre, FJ 4; y también STC 22/1981, de 2 de julio, FJ 8). Ahora bien, en la medida en que la regulación de las relaciones de trabajo se ha deferido por la Constitución al legislador (STC 20/1994, de 27 de enero, FJ 2), es a éste a quien corresponde la determinación de las causas de extinción del contrato (AATC 429/1983, de 28 de septiembre, FJ 2; y 57/1985, de 24 de enero, FJ 4), no siendo nuestra función la de “enjuiciar la oportunidad o conveniencia de la elección hecha por el legislador para valorar si es la más adecuada o la mejor de las posibles” (STC 198/2012, de 6 de noviembre, FJ 11), sino únicamente la de determinar si la opción asumida por el legislador en el ejercicio de la competencia que le atribuye el texto constitucional sobrepasa o no el margen razonable de libertad que le reconoce el art. 35 CE.</w:t>
      </w:r>
    </w:p>
    <w:p w:rsidR="0085709A" w:rsidRDefault="0085709A" w:rsidP="0085709A">
      <w:pPr>
        <w:pStyle w:val="TextoNormal"/>
      </w:pPr>
    </w:p>
    <w:p w:rsidR="0085709A" w:rsidRDefault="0085709A" w:rsidP="0085709A">
      <w:pPr>
        <w:pStyle w:val="TextoNormal"/>
      </w:pPr>
      <w:r>
        <w:t xml:space="preserve">Pues bien, el legislador, en el ejercicio de su libertad de configuración, introdujo la figura del “despido colectivo” en la reforma operada en los arts. 49.9 (“Extinción del contrato”) y 51 (“Despido colectivo”) de la Ley 8/1980, de 10 de marzo, del estatuto de los trabajadores, por la Ley 11/1994, de 19 de mayo, por la que se modifican determinados artículos del estatuto de los trabajadores, y del texto articulado de la Ley de procedimiento laboral y de la Ley sobre infracciones y sanciones del orden social. Su exposición de motivos señala que “[c]uando la necesidad de extinción tiene carácter colectivo y se encuentra basada en crisis de funcionamiento de la actividad empresarial, en ella confluyen elementos de transcendental importancia, vinculados tanto a los derechos de los individuos como a las posibilidades de supervivencia de las empresas, los cuales, según las soluciones que se adopten, pueden llegar a afectar, en épocas de especiales dificultades, a la propia viabilidad, incluso, de los sistemas económicos y sociales” (7 párrafo del apartado 3). A tal fin, tipificó un despido causal, basado en “causas económicas, técnicas, organizativas y de producción” (art. 49.9 LET), que se entendía que concurrían “cuando la adopción de las medidas propuestas contribuya, si las aducidas son económicas, a superar una situación económica negativa de la empresa o, si son técnicas, organizativas o de producción, a garantizar la viabilidad futura </w:t>
      </w:r>
      <w:r>
        <w:lastRenderedPageBreak/>
        <w:t>de la empresa y del empleo en la misma a través de una más adecuada organización de los recursos” (art. 51.1 LET).</w:t>
      </w:r>
    </w:p>
    <w:p w:rsidR="0085709A" w:rsidRDefault="0085709A" w:rsidP="0085709A">
      <w:pPr>
        <w:pStyle w:val="TextoNormal"/>
      </w:pPr>
    </w:p>
    <w:p w:rsidR="0085709A" w:rsidRDefault="0085709A" w:rsidP="0085709A">
      <w:pPr>
        <w:pStyle w:val="TextoNormal"/>
      </w:pPr>
      <w:r>
        <w:t>Tras sufrir la regulación del “despido colectivo” (art 51 LET) sucesivas modificaciones, la Ley 35/2010, de 17 de septiembre, de medidas urgentes para la reforma del mercado de trabajo, precisó el alcance de las expresiones utilizadas, debido a la existencia de “algunas deficiencias en el funcionamiento de las vías de extinción … al desplazar muchas extinciones de contratos indefinidos realmente basadas en motivaciones económicas o productivas hacia la vía del despido disciplinario improcedente” (decimosegundo párrafo del apartado II, de su exposición de motivos). Así, disponía en su art. 2 que concurrían “causas económicas cuando de los resultados de la empresa se desprenda una situación económica negativa, en casos tales como la existencia de pérdidas actuales o previstas, o la disminución persistente de su nivel de ingresos, que puedan afectar a su viabilidad o a su capacidad de mantener el volumen de empleo”, a cuyos efectos, “la empresa tendrá que acreditar los resultados alegados y justificar que de los mismos se deduce la razonabilidad de la decisión extintiva para preservar o favorecer su posición competitiva en el mercado”. Y se entendía “que concurren causas técnicas cuando se produzcan cambios, entre otros, en el ámbito de los medios o instrumentos de producción; causas organizativas cuando se produzcan cambios, entre otros, en el ámbito de los sistemas y métodos de trabajo del personal y causas productivas cuando se produzcan cambios, entre otros, en la demanda de los productos o servicios que la empresa pretende colocar en el mercado”, a cuyos efectos, “la empresa deberá acreditar la concurrencia de alguna de las causas señaladas y justificar que de las mismas se deduce la razonabilidad de la decisión extintiva para contribuir a prevenir una evolución negativa de la empresa o a mejorar la situación de la misma a través de una más adecuada organización de los recursos, que favorezca su posición competitiva en el mercado o una mejor respuesta a las exigencias de la demanda”.</w:t>
      </w:r>
    </w:p>
    <w:p w:rsidR="0085709A" w:rsidRDefault="0085709A" w:rsidP="0085709A">
      <w:pPr>
        <w:pStyle w:val="TextoNormal"/>
      </w:pPr>
    </w:p>
    <w:p w:rsidR="0085709A" w:rsidRDefault="0085709A" w:rsidP="0085709A">
      <w:pPr>
        <w:pStyle w:val="TextoNormal"/>
      </w:pPr>
      <w:r>
        <w:t xml:space="preserve">Finalmente, la Ley 3/2012, de 6 de julio, objeto del presente proceso constitucional, ha modificado nuevamente el contenido al art. 51 LET, concretamente y en lo que ahora interesa, para suprimir la mención específica a la prueba de la concurrencia de la causa y a la acreditación de la razonabilidad de la decisión extintiva, al considerar que “tales referencias incorporaban proyecciones de futuro, de imposible prueba, y una valoración finalista de estos despidos, que ha venido dando lugar a que los tribunales realizasen, en numerosas ocasiones, juicios de oportunidad relativos a la gestión de la empresa”, cuando “el control judicial de estos despidos debe ceñirse a una valoración sobre la concurrencia de unos hechos: las causas” (octavo párrafo del apartado V). De esta manera se sigue definiendo el “despido colectivo” como la extinción de contratos de trabajo que se funde en “causas económicas, técnicas, organizativas o de producción” (apartado primero), para entender que concurren “causas económicas” cuando “de los resultados de la empresa se desprenda una situación económica negativa, en casos tales como la existencia de pérdidas actuales o previstas, o la disminución persistente de su nivel de ingresos ordinarios o ventas”, precisando, además, que “[e]n todo caso, se entenderá que la disminución es persistente si durante tres trimestres consecutivos el nivel de ingresos ordinarios o ventas de cada trimestre es inferior al registrado en el mismo trimestre del año anterior”; concurren “causas técnicas” cuando “se produzcan cambios, entre otros, en el ámbito de los medios o instrumentos de producción”; concurren “causas organizativas” cuando “se produzcan cambios, entre otros, en el </w:t>
      </w:r>
      <w:r>
        <w:lastRenderedPageBreak/>
        <w:t>ámbito de los sistemas y métodos de trabajo del personal o en el modo de organizar la producción”; y concurren “causas productivas” cuando “se produzcan cambios, entre otros, en la demanda de los productos o servicios que la empresa pretende colocar en el mercado”.</w:t>
      </w:r>
    </w:p>
    <w:p w:rsidR="0085709A" w:rsidRDefault="0085709A" w:rsidP="0085709A">
      <w:pPr>
        <w:pStyle w:val="TextoNormal"/>
      </w:pPr>
    </w:p>
    <w:p w:rsidR="0085709A" w:rsidRDefault="0085709A" w:rsidP="0085709A">
      <w:pPr>
        <w:pStyle w:val="TextoNormal"/>
      </w:pPr>
      <w:r>
        <w:t xml:space="preserve">Según lo que antecede, no puede afirmarse que el precepto impugnado haya consagrado un despido colectivo no causal o </w:t>
      </w:r>
      <w:r w:rsidRPr="0085709A">
        <w:rPr>
          <w:i/>
        </w:rPr>
        <w:t>ad nutum</w:t>
      </w:r>
      <w:r>
        <w:t>, como defienden los recurrentes, basado en un libérrimo arbitrio o discrecionalidad empresarial, sino que ha condicionado la decisión extintiva, como ha sucedido desde sus orígenes, a la concurrencia “fundada” de una causa “económica”, “técnica”, “organizativa” o “productiva”, cuyo contenido y alcance delimita, con el objeto de facilitar tanto la aplicación de la norma (por el empresario con los representantes legales de los trabajadores en el período de consultas), como el posterior control judicial de la decisión extintiva en función de las circunstancias concurrentes. La supresión específica de las referencias que hacía la Ley 35/2010, de 17 de septiembre, a la prueba de la concurrencia de la causa y a la acreditación de la razonabilidad de la decisión extintiva, ni desdibuja las causas extintivas, ni introduce una mayor discrecionalidad empresarial de cara a la adopción de la decisión sino, antes al contrario, suprime espacios de incertidumbre en la interpretación y aplicación de la norma generados por unas previsiones legales, tan abiertas en su contenido como abstractas en sus objetivos, que en ocasiones, podían llegar a constituir la exigencia de una prueba diabólica, de hechos negativos, por las dificultades para demostrar que la decisión extintiva servía “para preservar o favorecer su posición competitiva en el mercado” o “para contribuir a prevenir una evolución negativa de la empresa o a mejorar la situación de la misma” en orden a favorecer “su posición competitiva en el mercado o una mejor respuesta a las exigencias de la demanda”. Y la nueva redacción no otorga mayor espacio a la discrecionalidad empresarial que la anterior en la adopción de una decisión extintiva, sino que, atendiendo a las exigencias derivadas del principio de seguridad jurídica (art. 9.3 CE), dota de mayor certidumbre al contenido de la decisión, tanto de cara a su aplicación, como al posterior control, tanto más cuando la norma, en primer lugar, exige que la decisión esté “fundada” en alguna de las causas que delimita (art. 51.1 LET), y, en segundo lugar, impone al empresario un período de consultas con los representantes legales de los trabajadores en el que debe entregarles no sólo “una memoria explicativa de las causas del despido colectivo”, sino también “toda la información necesaria para acreditar las causas motivadoras del despido colectivo” (art. 51.2 LET). En suma, en contra de lo mantenido por los recurrentes, la norma impugnada no prescinde del elemento de causalidad del despido, sino que dota a la definición de las causas extintivas de una mayor objetividad y certidumbre, al evitar la realización de juicios de oportunidad y valoraciones hacia el futuro de incierta materialización.</w:t>
      </w:r>
    </w:p>
    <w:p w:rsidR="0085709A" w:rsidRDefault="0085709A" w:rsidP="0085709A">
      <w:pPr>
        <w:pStyle w:val="TextoNormal"/>
      </w:pPr>
    </w:p>
    <w:p w:rsidR="0085709A" w:rsidRDefault="0085709A" w:rsidP="0085709A">
      <w:pPr>
        <w:pStyle w:val="TextoNormal"/>
      </w:pPr>
      <w:r>
        <w:t>En consecuencia, no es posible apreciar que la nueva delimitación de lo que ha de entenderse por “causas económicas, técnicas, organizativas o de producción” vulnere el art. 35.1 CE.</w:t>
      </w:r>
    </w:p>
    <w:p w:rsidR="0085709A" w:rsidRDefault="0085709A" w:rsidP="0085709A">
      <w:pPr>
        <w:pStyle w:val="TextoNormal"/>
      </w:pPr>
    </w:p>
    <w:p w:rsidR="0085709A" w:rsidRDefault="0085709A" w:rsidP="0085709A">
      <w:pPr>
        <w:pStyle w:val="TextoNormal"/>
      </w:pPr>
      <w:r>
        <w:t xml:space="preserve">b) Consideran también los recurrentes que la indefinición de las causas legales impide un control judicial efectivo sobre la causalidad del despido (art. 24.1 CE). Sin embargo, como ya hemos señalado, no es cierto que la regulación controvertida incurra en un grado de indefinición tal que impida un control judicial pleno y efectivo sobre la medida adoptada por el empresario, pues dicho control se extiende tanto sobre la concurrencia de la causa (cuya prueba corresponde al empresario que adopta la medida), como de la razonabilidad de la decisión extintiva adoptada, convirtiendo el ejercicio de la facultad en una actuación </w:t>
      </w:r>
      <w:r>
        <w:lastRenderedPageBreak/>
        <w:t>reglada y, por tanto, no discrecional, de cara a evitar un uso empresarial torticero de la facultad otorgada. Hay que insistir en que el art. 51.2 LET obliga al empresario, en la apertura del período de consultas con los representantes de los trabajadores, a comunicarles “la información necesaria para acreditar las causas motivadoras del despido colectivo”, información (o falta de ella) que permite luego realizar al órgano judicial un control efectivo tanto sobre la concurrencia de la causa, como sobre la adecuación a la decisión extintiva.</w:t>
      </w:r>
    </w:p>
    <w:p w:rsidR="0085709A" w:rsidRDefault="0085709A" w:rsidP="0085709A">
      <w:pPr>
        <w:pStyle w:val="TextoNormal"/>
      </w:pPr>
    </w:p>
    <w:p w:rsidR="0085709A" w:rsidRDefault="0085709A" w:rsidP="0085709A">
      <w:pPr>
        <w:pStyle w:val="TextoNormal"/>
      </w:pPr>
      <w:r>
        <w:t>A lo anterior hay que añadir, además, que en nuestro ordenamiento, por estar en juego el derecho al trabajo (art. 35.1 CE), “rige el principio general de la limitación legal del despido, así como su sujeción para su licitud a condiciones de fondo y de forma” (STC 192/2003, de 27 de octubre, FJ 4), lo que supone que “[l]a aplicación judicial del Derecho es, como toda interpretación, realización de valor, esto es, una elección entre varias valoraciones posibles hacia cuyos principios aquélla se orienta”, debiendo acomodarse la interpretación y aplicación de la legalidad por parte de los órganos judiciales a los principios y valores que la Constitución, como norma suprema de todo el ordenamiento jurídico, consagra (STC 192/2003, de 27 de octubre, FJ 4). Es, pues, al juez, a quien corresponde apreciar la concurrencia de una causa real y verosímil, que por ser justa, esto es, por ajustada a la razón, legitima la decisión empresarial extintiva de la relación laboral, dentro de los parámetros normativos que le ha otorgado el legislador, en el ejercicio de las competencias que la Constitución le ha atribuido (art 35.2 CE).</w:t>
      </w:r>
    </w:p>
    <w:p w:rsidR="0085709A" w:rsidRDefault="0085709A" w:rsidP="0085709A">
      <w:pPr>
        <w:pStyle w:val="TextoNormal"/>
      </w:pPr>
    </w:p>
    <w:p w:rsidR="0085709A" w:rsidRDefault="0085709A" w:rsidP="0085709A">
      <w:pPr>
        <w:pStyle w:val="TextoNormal"/>
      </w:pPr>
      <w:r>
        <w:t>En suma, debe rechazarse que el apartado tercero del art. 18 de la Ley 3/2012, de 6 de julio, vulnere el art. 24.1 CE.</w:t>
      </w:r>
    </w:p>
    <w:p w:rsidR="0085709A" w:rsidRDefault="0085709A" w:rsidP="0085709A">
      <w:pPr>
        <w:pStyle w:val="TextoNormal"/>
      </w:pPr>
    </w:p>
    <w:p w:rsidR="0085709A" w:rsidRDefault="0085709A" w:rsidP="0085709A">
      <w:pPr>
        <w:pStyle w:val="TextoNormal"/>
      </w:pPr>
      <w:r w:rsidRPr="0085709A">
        <w:rPr>
          <w:rStyle w:val="NumeroAFNegritaCaracter"/>
        </w:rPr>
        <w:t>8</w:t>
      </w:r>
      <w:r>
        <w:t>. Para los Diputados recurrentes, el apartado octavo del art. 18 (“Extinción del contrato de trabajo”) de la Ley 3/2012, de 6 de julio, que da nueva redacción al art. 56.2 del Real Decreto Legislativo 1/1995, de 24 de marzo, por el que se aprueba el texto refundido de la Ley del estatuto de los trabajadores y, por conexión, el apartado primero del art. 23 de la misma Ley (“De las modalidades procesales”), que modifica el art. 110.1 de la Ley 36/2011, de 10 de octubre, reguladora de la jurisdicción social, son contrarios a los arts. 35.1 y 14, ambos de la Constitución.</w:t>
      </w:r>
    </w:p>
    <w:p w:rsidR="0085709A" w:rsidRDefault="0085709A" w:rsidP="0085709A">
      <w:pPr>
        <w:pStyle w:val="TextoNormal"/>
      </w:pPr>
    </w:p>
    <w:p w:rsidR="0085709A" w:rsidRDefault="0085709A" w:rsidP="0085709A">
      <w:pPr>
        <w:pStyle w:val="TextoNormal"/>
      </w:pPr>
      <w:r>
        <w:t>a) El art. 56.2 LET, en la redacción que le ha dado el art. 18.8 impugnado, dispone que “[e]n caso de que se opte por la readmisión, el trabajador tendrá derecho a los salarios de tramitación”. Por su parte, el art. 110.1 de la Ley reguladora de la jurisdicción social, en la redacción dada por el art. 23.1 cuestionado, señala que “[s]i el despido se declara improcedente, se condenará al empresario a la readmisión del trabajador en las mismas condiciones que regían antes de producirse el despido, así como al abono de los salarios de tramitación”. Con esta nueva regulación, en el supuesto de que un despido se califique como improcedente, el empresario tiene el derecho a optar entre readmitir al trabajador en su puesto de trabajo con abono de los salarios de tramitación (salarios dejados de percibir desde la fecha del despido hasta la de notificación de la Sentencia) o a la extinción del contrato exclusivamente con entrega de la correspondiente indemnización legal. Sin embargo, en el caso de que se tratase de representantes legales de los trabajadores o delegados sindicales, la opción por la readmisión o por la extinción de la relación laboral correspondería a éstos, con derecho a la percepción de los correspondientes salarios de tramitación en todo caso (art.18.9 de la Ley 3/2012).</w:t>
      </w:r>
    </w:p>
    <w:p w:rsidR="0085709A" w:rsidRDefault="0085709A" w:rsidP="0085709A">
      <w:pPr>
        <w:pStyle w:val="TextoNormal"/>
      </w:pPr>
    </w:p>
    <w:p w:rsidR="0085709A" w:rsidRDefault="0085709A" w:rsidP="0085709A">
      <w:pPr>
        <w:pStyle w:val="TextoNormal"/>
      </w:pPr>
      <w:r>
        <w:lastRenderedPageBreak/>
        <w:t>El art. 57 LET limita la cuantía de los salarios de tramitación, cuya responsabilidad correspondería asumir al empresario conforme al art. 56.2 LET. Dispone que “[c]uando la sentencia que declare la improcedencia del despido se dicte transcurridos más de sesenta días hábiles desde la fecha en que se presentó la demanda” el empresario podrá reclamar del Estado el abono de los satisfechos al trabajador por el tiempo “que exceda de dichos sesenta días”; responsabilidad empresarial de pago de los salarios de tramitación que se ha ampliado hasta los noventa días por el Real Decreto-ley 20/2012, de 13 de julio, de medidas para garantizar la estabilidad presupuestaria y de fomento de la competitividad (apartado primero de la disposición final decimocuarta). Por otra parte, el art. 209.4 del Real Decreto Legislativo 1/1994, de 20 de junio, por el que se aprueba el texto refundido de la Ley general de la Seguridad Social (en la redacción que le ha dado la disposición final quinta de la Ley 3/2012, de 6 de julio), dispone que cuando el empresario opte por extinguir la relación laboral en los supuestos de despido, su decisión se entenderá “como causa de situación legal de desempleo”, sin que el ejercicio de la acción contra el despido impida que se produzca el nacimiento del derecho a la prestación por desempleo.</w:t>
      </w:r>
    </w:p>
    <w:p w:rsidR="0085709A" w:rsidRDefault="0085709A" w:rsidP="0085709A">
      <w:pPr>
        <w:pStyle w:val="TextoNormal"/>
      </w:pPr>
    </w:p>
    <w:p w:rsidR="0085709A" w:rsidRDefault="0085709A" w:rsidP="0085709A">
      <w:pPr>
        <w:pStyle w:val="TextoNormal"/>
      </w:pPr>
      <w:r>
        <w:t xml:space="preserve">La regulación del art. 56 LET que ahora se cuestiona encuentra su origen en el Real Decreto-ley 5/2002, de 24 de mayo, de medidas urgentes para la reforma del sistema de protección por desempleo y mejora de la ocupabilidad (declarado inconstitucional por la STC 68/2007, de 28 de marzo, por ausencia del presupuesto habilitante </w:t>
      </w:r>
      <w:r w:rsidRPr="0085709A">
        <w:rPr>
          <w:i/>
        </w:rPr>
        <w:t>ex</w:t>
      </w:r>
      <w:r>
        <w:t xml:space="preserve"> art. 86.1 CE), que modificaba el art. 56 LET para establecer, cuando el despido fuese declarado improcedente, la opción empresarial por la readmisión con abono de los salarios dejados de percibir o la extinción del contrato con abono de una indemnización. Acto seguido, la Ley 45/2002, de 12 de diciembre, de medidas urgentes para la reforma del sistema de protección por desempleo y mejora de la ocupabilidad, derogó el anterior Real Decreto-ley 5/2002, y modificó nuevamente el art. 56 LET, recuperando la figura del salario de tramitación para el supuesto de extinción del contrato de trabajo en los despidos improcedentes. Ha sido entonces la modificación operada en ese mismo art. 56 LET por el Real Decreto-ley 3/2012, de 10 de febrero, de medidas urgentes para la reforma del mercado laboral, la que ha reintroducido, en el caso de despidos improcedentes, la opción empresarial por la readmisión con abono de los salarios dejados de percibir o la extinción del contrato con abono de una indemnización, opción finalmente asumida por la Ley 3/2012, de 6 de julio, de medidas urgentes para la reforma del mercado laboral, cuya modificación del art. 56 LET, en conexión con la de art. 110.1 de la Ley reguladora de la jurisdicción social, constituye uno de los objetos del presente recurso de inconstitucionalidad.</w:t>
      </w:r>
    </w:p>
    <w:p w:rsidR="0085709A" w:rsidRDefault="0085709A" w:rsidP="0085709A">
      <w:pPr>
        <w:pStyle w:val="TextoNormal"/>
      </w:pPr>
    </w:p>
    <w:p w:rsidR="0085709A" w:rsidRDefault="0085709A" w:rsidP="0085709A">
      <w:pPr>
        <w:pStyle w:val="TextoNormal"/>
      </w:pPr>
      <w:r>
        <w:t>b) Consideran los diputados recurrentes que al limitar los apartados cuestionados el derecho a la percepción de los salarios de tramitación exclusivamente al supuesto en que el empresario opte por la readmisión del trabajador tras la declaración de la improcedencia del despido, se está favoreciendo la extinción definitiva de la relación laboral en contra de la estabilidad en el empleo que proclama el art. 35.1 CE. Para el Abogado del Estado, sin embargo, se trata de una opción legislativa que no puede calificarse de irrazonable.</w:t>
      </w:r>
    </w:p>
    <w:p w:rsidR="0085709A" w:rsidRDefault="0085709A" w:rsidP="0085709A">
      <w:pPr>
        <w:pStyle w:val="TextoNormal"/>
      </w:pPr>
    </w:p>
    <w:p w:rsidR="0085709A" w:rsidRDefault="0085709A" w:rsidP="0085709A">
      <w:pPr>
        <w:pStyle w:val="TextoNormal"/>
      </w:pPr>
      <w:r>
        <w:t xml:space="preserve">El motivo de inconstitucionalidad ahora planteado ha sido rechazado recientemente por este Tribunal en el ATC 43/2014, de 12 de febrero, con relación al art. 56.2 LET, en su redacción dada por el Real Decreto-ley 3/2012, de 10 de febrero, de medidas urgentes para la reforma del mercado laboral, cuyo contenido se reproduce en el art. 18.8 de la Ley 3/2012, de 6 de julio, ahora cuestionado. Como hemos declarado en la citada resolución, hay que </w:t>
      </w:r>
      <w:r>
        <w:lastRenderedPageBreak/>
        <w:t>rechazar que la decisión del legislador de mantener en los despidos improcedentes la tradicional opción entre la readmisión del trabajador con abono de los salarios de tramitación o el pago de una indemnización económica adecuada vulnere el art. 35.1 CE, puesto que tal opción legislativa entra dentro del margen de libertad de configuración de las relaciones laborales que le es atribuida a aquél por la Constitución.</w:t>
      </w:r>
    </w:p>
    <w:p w:rsidR="0085709A" w:rsidRDefault="0085709A" w:rsidP="0085709A">
      <w:pPr>
        <w:pStyle w:val="TextoNormal"/>
      </w:pPr>
    </w:p>
    <w:p w:rsidR="0085709A" w:rsidRDefault="0085709A" w:rsidP="0085709A">
      <w:pPr>
        <w:pStyle w:val="TextoNormal"/>
      </w:pPr>
      <w:r>
        <w:t>Ciertamente, hay que insistir en que la regulación de las relaciones de trabajo se ha deferido por la Constitución al legislador (STC 20/1994, de 27 de enero, FJ 2), a quien corresponde, con un amplio margen de decisión, la fijación de los efectos de la extinción del contrato de trabajo (AATC 429/1983, de 28 de septiembre, FJ 2, y 57/1985, de 24 de enero, FJ 4). De esta manera, es al legislador a quien le compete concretar, en función de las circunstancias económicas y sociales concurrentes, el alcance de los efectos que derivan de la declaración de improcedencia de un despido en orden a la readmisión del trabajador o a la extinción definitiva del contrato laboral y, por tanto, a quien compete articular el ejercicio de las facultades empresariales y la protección de los derechos del trabajador.</w:t>
      </w:r>
    </w:p>
    <w:p w:rsidR="0085709A" w:rsidRDefault="0085709A" w:rsidP="0085709A">
      <w:pPr>
        <w:pStyle w:val="TextoNormal"/>
      </w:pPr>
    </w:p>
    <w:p w:rsidR="0085709A" w:rsidRDefault="0085709A" w:rsidP="0085709A">
      <w:pPr>
        <w:pStyle w:val="TextoNormal"/>
      </w:pPr>
      <w:r>
        <w:t>El legislador ha regulado las causas de extinción del contrato de trabajo y sus efectos en los arts. 46 a 57 LET. Concretamente, y en lo que al despido declarado improcedente se refiere (no así en el despido calificado como nulo), el art. 56 LET ha previsto como efectos, a elección del empresario (salvo cuando se trata de representantes legales de los trabajadores o de delegados sindicales), la readmisión del trabajador con abono de los salarios dejados de percibir (desde la fecha de despido hasta la notificación de la Sentencia que declarase la improcedencia o hasta que hubiera encontrado otro empleo), o la extinción del contrato de trabajo (desde la fecha del cese efectivo en el trabajo) con abono de una indemnización (equivalente a treinta y tres días de salario por año de servicio hasta un máximo de veinticuatro mensualidades). La modificación de los costes asociados al despido y, en concreto, la supresión por la Ley 3/2012, de 6 de julio, de la obligación de pago de los salarios de tramitación que, de conformidad con la Ley 45/2002, de 12 de diciembre, se venían abonando no sólo en caso de readmisión sino también en los supuestos de extinción del contrato de trabajo, se justifica por su exposición de motivos (penúltimo párrafo del apartado V), “en que el tiempo de duración del proceso judicial no parece un criterio adecuado para compensar el perjuicio que supone la pérdida del empleo, máxime teniendo en cuenta que el trabajador puede acceder a la prestación de desempleo desde el mismo momento en que tiene efectividad la decisión extintiva”. Y, además “los salarios de tramitación actúan, en ocasiones, como un incentivo para estrategias procesales dilatorias, con el añadido de que los mismos acaban convirtiéndose en un coste parcialmente socializado, dada la previsión de que el empresario podrá reclamar al Estado la parte de dichos salarios que exceda de 60 días”.</w:t>
      </w:r>
    </w:p>
    <w:p w:rsidR="0085709A" w:rsidRDefault="0085709A" w:rsidP="0085709A">
      <w:pPr>
        <w:pStyle w:val="TextoNormal"/>
      </w:pPr>
    </w:p>
    <w:p w:rsidR="0085709A" w:rsidRDefault="0085709A" w:rsidP="0085709A">
      <w:pPr>
        <w:pStyle w:val="TextoNormal"/>
      </w:pPr>
      <w:r>
        <w:t xml:space="preserve">Según lo que antecede, hemos de recordar una vez más que no es nuestra función la de “enjuiciar la oportunidad o conveniencia de la elección hecha por el legislador para valorar si es la más adecuada o la mejor de las posibles” (STC 198/2012, de 6 de noviembre, FJ 11), sino únicamente determinar si la opción asumida en el ejercicio de la competencia que le atribuye el texto constitucional sobrepasa o no el margen razonable de libertad que le reconoce el art. 35 CE. Y a este respecto hemos de señalar que, como hemos podido comprobar, la opción legislativa controvertida, en el marco en que se inserta, cuenta con una justificación que no puede tacharse de arbitraria o irrazonable. De esta manera, la forma en que ha quedado configurado el derecho empresarial de opción una vez dictada la resolución judicial que califica el despido como improcedente, con independencia de que dicha opción </w:t>
      </w:r>
      <w:r>
        <w:lastRenderedPageBreak/>
        <w:t>pueda hacer más o menos atractiva, en función de circunstancias diversas, la elección de uno de sus términos, cuenta con una justificación que, no pudiendo calificarse de irrazonable, debe ser considerada como suficiente para legitimarla desde la estricta perspectiva que nos ocupa. En efecto, como ya hemos tenido la oportunidad de señalar, “condicionar el derecho a la percepción de los salarios de tramitación a la vigencia de la relación laboral, reconociendo dicho derecho al trabajador que, por causa de la readmisión, debe entenderse que ha mantenido en todo momento en vigor su relación laboral con la empresa, pese a no haber prestado servicios efectivos por causa a él no imputable, mientras que no se le reconoce a aquel cuyo contrato de trabajo ha quedado definitivamente extinguido en la fecha del despido, constituye una opción que el legislador ordinario puede legítimamente adoptar sin vulnerar las exigencias del principio de igualdad” (SSTC 84/2008, de 21 de julio, FJ 7; y 122/2008, de 20 de octubre, FJ 7) y, debemos añadir ahora, sin vulnerar tampoco el derecho al trabajo del art. 35.1 CE.</w:t>
      </w:r>
    </w:p>
    <w:p w:rsidR="0085709A" w:rsidRDefault="0085709A" w:rsidP="0085709A">
      <w:pPr>
        <w:pStyle w:val="TextoNormal"/>
      </w:pPr>
    </w:p>
    <w:p w:rsidR="0085709A" w:rsidRDefault="0085709A" w:rsidP="0085709A">
      <w:pPr>
        <w:pStyle w:val="TextoNormal"/>
      </w:pPr>
      <w:r>
        <w:t>Debe rechazarse, en consecuencia, que el apartado octavo del art. 18, y, por conexión, el apartado primero del art. 23, ambos de la Ley 3/2012, de 6 de julio, vulneren el art. 35.1 CE.</w:t>
      </w:r>
    </w:p>
    <w:p w:rsidR="0085709A" w:rsidRDefault="0085709A" w:rsidP="0085709A">
      <w:pPr>
        <w:pStyle w:val="TextoNormal"/>
      </w:pPr>
    </w:p>
    <w:p w:rsidR="0085709A" w:rsidRDefault="0085709A" w:rsidP="0085709A">
      <w:pPr>
        <w:pStyle w:val="TextoNormal"/>
      </w:pPr>
      <w:r>
        <w:t>c) Añaden los Diputados recurrentes que los apartados cuestionados contradicen también el art. 14 CE al consagrar una diferencia de trato injustificada y desproporcionada, lesión que debe ser rechazada, según el Abogado del Estado, al haber sido ya descartada por este Tribunal en precedentes Sentencias.</w:t>
      </w:r>
    </w:p>
    <w:p w:rsidR="0085709A" w:rsidRDefault="0085709A" w:rsidP="0085709A">
      <w:pPr>
        <w:pStyle w:val="TextoNormal"/>
      </w:pPr>
    </w:p>
    <w:p w:rsidR="0085709A" w:rsidRDefault="0085709A" w:rsidP="0085709A">
      <w:pPr>
        <w:pStyle w:val="TextoNormal"/>
      </w:pPr>
      <w:r>
        <w:t>Es doctrina constante de este Tribunal que para poder efectuar un juicio de igualdad es imprescindible tener un término de comparación válido (STC 219/2013, de 19 de diciembre, FJ 5), para lo cual es necesario, antes que nada, precisar si las situaciones subjetivas son efectivamente comparables o cotejables [SSTC 148/1986, de 25 de noviembre, FJ 6 a); 29/1987, de 6 de marzo, FJ 5 c); y 139/2005, de 26 de mayo, FJ 6]. Sin embargo, en el primer término de comparación ofrecido por los recurrentes (empresarios que optan por la readmisión frente a los que eligen la extinción del contrato), se pretenden comparar las consecuencias jurídicas derivadas del ejercicio de una opción personal, para cuestionar el pretendido trato desigual derivado del ejercicio de dicha opción en uno y otro sentido. Ciertamente, la diferente situación en la que eventualmente pueden quedar colocados los empresarios una vez ejercitado su derecho opción, difícilmente puede afectar al principio de igualdad. Nos encontramos, entonces, ante términos de comparación no homogéneos o inidóneos que impiden efectuar el juicio de igualdad.</w:t>
      </w:r>
    </w:p>
    <w:p w:rsidR="0085709A" w:rsidRDefault="0085709A" w:rsidP="0085709A">
      <w:pPr>
        <w:pStyle w:val="TextoNormal"/>
      </w:pPr>
    </w:p>
    <w:p w:rsidR="0085709A" w:rsidRDefault="0085709A" w:rsidP="0085709A">
      <w:pPr>
        <w:pStyle w:val="TextoNormal"/>
      </w:pPr>
      <w:r>
        <w:t xml:space="preserve">Pero es que, por otra parte, respecto de la diferencia de trato que se generaría, según los recurrentes, entre los propios trabajadores, según la opción empresarial se ejercite en uno u otro sentido, esto es, por la readmisión con abono de los salarios de tramitación o por la extinción del contrato de trabajo con indemnización y acceso a la prestación por desempleo, pero sin abono de los salarios de tramitación, no cabe sino reafirmar, como acabamos de recordar en el apartado anterior, que “condicionar el derecho a la percepción de los salarios de tramitación a la vigencia de la relación laboral, reconociendo dicho derecho al trabajador que, por causa de la readmisión, debe entenderse que ha mantenido en todo momento en vigor su relación laboral con la empresa, pese a no haber prestado servicios efectivos por causa a él no imputable, mientras que no se le reconoce a aquel cuyo contrato de trabajo ha quedado definitivamente extinguido en la fecha del despido, constituye una opción que el </w:t>
      </w:r>
      <w:r>
        <w:lastRenderedPageBreak/>
        <w:t>legislador ordinario puede legítimamente adoptar sin vulnerar las exigencias del principio de igualdad” (SSTC 84/2008, de 21 de julio, FJ 7, y 122/2008, de 20 de octubre, FJ 7. En el mismo sentido, STC 143/2008, de 31 de octubre, FJ 3).</w:t>
      </w:r>
    </w:p>
    <w:p w:rsidR="0085709A" w:rsidRDefault="0085709A" w:rsidP="0085709A">
      <w:pPr>
        <w:pStyle w:val="TextoNormal"/>
      </w:pPr>
    </w:p>
    <w:p w:rsidR="0085709A" w:rsidRDefault="0085709A" w:rsidP="0085709A">
      <w:pPr>
        <w:pStyle w:val="TextoNormal"/>
      </w:pPr>
      <w:r>
        <w:t>Debe rechazarse también que el apartado octavo del art. 18, y, por conexión, el apartado primero del art. 23, ambos de la Ley 3/2012, de 6 de julio, vulneren el art. 14 CE.</w:t>
      </w:r>
    </w:p>
    <w:p w:rsidR="0085709A" w:rsidRDefault="0085709A" w:rsidP="0085709A">
      <w:pPr>
        <w:pStyle w:val="TextoNormal"/>
      </w:pPr>
    </w:p>
    <w:p w:rsidR="0085709A" w:rsidRDefault="0085709A" w:rsidP="0085709A">
      <w:pPr>
        <w:pStyle w:val="TextoNormal"/>
      </w:pPr>
      <w:r w:rsidRPr="0085709A">
        <w:rPr>
          <w:rStyle w:val="NumeroAFNegritaCaracter"/>
        </w:rPr>
        <w:t>9</w:t>
      </w:r>
      <w:r>
        <w:t>. Los recurrentes impugnan también la disposición adicional tercera de la Ley 3/2012, de 6 de julio (“Aplicación del artículo 47 texto refundido de la Ley del estatuto de los trabajadores, en el Sector Público”), que añade una nueva disposición adicional 21 al Real Decreto Legislativo 1/1995, de 24 de marzo, por el que se aprueba el texto refundido del estatuto de los trabajadores (LET), conforme a la cual, lo previsto en el art. 47 LET —que se refiere a la “Suspensión del contrato o reducción de jornada por causas económicas, técnicas, organizativas o de producción o derivadas de fuerza mayor”— “no será de aplicación a las Administraciones Públicas y a las entidades de derecho público vinculadas o dependientes de una o varias de ellas y de otros organismos públicos, salvo a aquellas que se financien mayoritariamente con ingresos obtenidos como contrapartida de operaciones realizadas en el mercado”.</w:t>
      </w:r>
    </w:p>
    <w:p w:rsidR="0085709A" w:rsidRDefault="0085709A" w:rsidP="0085709A">
      <w:pPr>
        <w:pStyle w:val="TextoNormal"/>
      </w:pPr>
    </w:p>
    <w:p w:rsidR="0085709A" w:rsidRDefault="0085709A" w:rsidP="0085709A">
      <w:pPr>
        <w:pStyle w:val="TextoNormal"/>
      </w:pPr>
      <w:r>
        <w:t>Por los motivos que han sido recogidos más ampliamente en los antecedentes de esta Sentencia, los recurrentes sostienen que la norma impugnada vulnera el art. 14 CE (al dispensar al personal laboral que presta servicios en la Administración pública una diferencia de trato injustificada y desproporcionada), así como los arts. 35.1, 23.2 y 103.3, todos ellos de la Constitución, al conducir la medida a la reducción del empleo en lugar de a la reestructuración de plantilla. Niega el Abogado del Estado tales infracciones, ante la falta de un término de comparación válido, dada la existencia de una causa justificativa del diferente trato y al no verse afectado en este caso el derecho a la estabilidad en el empleo.</w:t>
      </w:r>
    </w:p>
    <w:p w:rsidR="0085709A" w:rsidRDefault="0085709A" w:rsidP="0085709A">
      <w:pPr>
        <w:pStyle w:val="TextoNormal"/>
      </w:pPr>
    </w:p>
    <w:p w:rsidR="0085709A" w:rsidRDefault="0085709A" w:rsidP="0085709A">
      <w:pPr>
        <w:pStyle w:val="TextoNormal"/>
      </w:pPr>
      <w:r>
        <w:t xml:space="preserve">a) Comenzando con el examen de la vulneración del art. 14 CE, se hace preciso recordar, en primer lugar, que “el legislador cuenta con un amplio margen de discrecionalidad a la hora de configurar el estatus del personal que presta sus servicios en las Administraciones públicas” (SSTC 57/1990, de 29 de marzo, FJ 2; 110/2004, de 30 de junio, FJ 4; 330/2005, de 15 de diciembre, FJ 6; y 120/2010, de 24 de noviembre, FJ 5). A partir de aquí, hay que señalar que, conforme reiterada doctrina de este Tribunal,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[SSTC 172/2012, de 4 de octubre, FJ 4; y 61/2013, de 14 de marzo, FJ 4 a)]. Ahora bien, “el principio de igualdad no implica en todos los casos un tratamiento legal igual con abstracción de cualquier elemento diferenciador de relevancia jurídica” (STC 160/2012, de 20 de septiembre FJ 7), sobre todo si de lo que se trata es de establecer una diferenciación basada en la existencia de distintas categorías personales a las que se atribuyen distintos regímenes jurídicos. Por tanto, para poder efectuar un juicio de igualdad es imprescindible tener un término de comparación válido (STC 219/2013, de 19 de diciembre, FJ 5), para lo cual no sólo es necesario precisar si las situaciones subjetivas son efectivamente comparables o cotejables, sino si el legislador ha atribuido a un mismo grupo o categoría personal </w:t>
      </w:r>
      <w:r>
        <w:lastRenderedPageBreak/>
        <w:t>creado por él mismo unas consecuencias jurídicas diversas sin introducir un factor diferencial [SSTC 148/1986, de 25 de noviembre, FJ 6 a); 29/1987, de 6 de marzo, FJ 5 c); y 139/2005, de 26 de mayo, FJ 6].</w:t>
      </w:r>
    </w:p>
    <w:p w:rsidR="0085709A" w:rsidRDefault="0085709A" w:rsidP="0085709A">
      <w:pPr>
        <w:pStyle w:val="TextoNormal"/>
      </w:pPr>
    </w:p>
    <w:p w:rsidR="0085709A" w:rsidRDefault="0085709A" w:rsidP="0085709A">
      <w:pPr>
        <w:pStyle w:val="TextoNormal"/>
      </w:pPr>
      <w:r>
        <w:t>En el primer supuesto que plantean los recurrentes (diferencia de trato entre el personal laboral que presta servicios en la Administración pública y el resto del personal sometido a la legislación laboral), es patente que el término de comparación utilizado no es idóneo para efectuar un juicio de igualdad, al tratarse de grupos o categorías personales diferentes, a saber: de un lado, el personal laboral de la Administración pública, que no sólo se rige por la legislación laboral común, sino también, en su condición de “empleados públicos” por normas administrativas y laborales contenidas en el estatuto básico del empleado público, aprobado por la Ley 7/2007, de 12 de abril; de otro lado, el personal laboral de las empresas privadas que está sujeto a la legislación laboral común, esto es, principalmente, el estatuto de los trabajadores.</w:t>
      </w:r>
    </w:p>
    <w:p w:rsidR="0085709A" w:rsidRDefault="0085709A" w:rsidP="0085709A">
      <w:pPr>
        <w:pStyle w:val="TextoNormal"/>
      </w:pPr>
    </w:p>
    <w:p w:rsidR="0085709A" w:rsidRDefault="0085709A" w:rsidP="0085709A">
      <w:pPr>
        <w:pStyle w:val="TextoNormal"/>
      </w:pPr>
      <w:r>
        <w:t>En el segundo supuesto citado por los recurrentes (diferencia de trato entre el personal laboral que presta su servicios en la Administración pública y el que los presta en entidades que se financien mayoritariamente con ingresos obtenidos como contrapartida de operaciones realizadas en el mercado), hay que precisar, antes que nada, que el “sector público administrativo” se integra, fundamentalmente, por la Administración General del Estado, los organismos autónomos dependientes de ella, así como por las entidades cuya actividad principal no consista en la producción en régimen de mercado de bienes y servicios destinados al consumo individual y no se financien mayoritariamente con ingresos comerciales obtenidos como contraprestación de las entregas de bienes y prestaciones de servicios [art. 3.1 de la Ley 47/2003, de 26 de noviembre, general presupuestaria (LGP)].</w:t>
      </w:r>
    </w:p>
    <w:p w:rsidR="0085709A" w:rsidRDefault="0085709A" w:rsidP="0085709A">
      <w:pPr>
        <w:pStyle w:val="TextoNormal"/>
      </w:pPr>
    </w:p>
    <w:p w:rsidR="0085709A" w:rsidRDefault="0085709A" w:rsidP="0085709A">
      <w:pPr>
        <w:pStyle w:val="TextoNormal"/>
      </w:pPr>
      <w:r>
        <w:t>Por su parte, el “sector público empresarial” del Estado, está integrado, entre otros entes, por las “entidades públicas empresariales” [art. 3.2 a) LGP] y por las “sociedades mercantiles estatales” [art. 3.2 b) LGP]. Las primeras, son entidades “dependientes de la Administración General del Estado, o de cualquiera otros organismos públicos vinculados o dependientes de ella” [art. 2.1 c) LGP], que se configuran como “Entidades de Derecho Público con personalidad jurídica propias vinculadas o dependientes de cualquiera de las Administraciones Públicas”, quedando sujetas al Derecho administrativo “cuando ejerzan potestades administrativas, sometiéndose en el resto de su actividad a lo que dispongan sus normas de creación” [art. 2.2 de la Ley 30/1992, de 26 de noviembre, de régimen jurídico de las Administraciones públicas y del procedimiento administrativo común]. Se trata, en consecuencia, de “Organismos públicos a los que se encomienda la realización de actividades prestacionales, la gestión de servicios o la producción de bienes de interés público susceptibles de contraprestación” (art. 53.1 de la Ley 6/1997, de 14 de abril, de organización y funcionamiento de la Administración del Estado), que se rigen, principalmente, “por el Derecho privado” (art. 53.2 LOFAGE), y en las que el personal a su servicio (no funcionario) “se rige por el Derecho laboral” (art. 55.1 LOFAGE). Son entidades tales como el “Administrador de Infraestructuras Ferroviarias” (ADIF), los “Aeropuertos Españoles y Navegación Aérea” (AENA), la “Comisión Nacional de los Mercados y la Competencia” (CNMC), la “Comisión Nacional del Mercado de Valores” (CNMV), la “Fábrica Nacional de Moneda y Timbre-Real Casa de la Moneda” (FNMT-RCM), o el “Instituto de Crédito Oficial” (ICO).</w:t>
      </w:r>
    </w:p>
    <w:p w:rsidR="0085709A" w:rsidRDefault="0085709A" w:rsidP="0085709A">
      <w:pPr>
        <w:pStyle w:val="TextoNormal"/>
      </w:pPr>
    </w:p>
    <w:p w:rsidR="0085709A" w:rsidRDefault="0085709A" w:rsidP="0085709A">
      <w:pPr>
        <w:pStyle w:val="TextoNormal"/>
      </w:pPr>
      <w:r>
        <w:lastRenderedPageBreak/>
        <w:t>Las segundas, esto es, las “sociedades mercantiles estatales” [art. 2.1 e) LGP], aunque forman parte del sector público empresarial estatal [art. 3.2 b) LGP], no son Administraciones públicas (art. 2.2 de la Ley 30/1992), de manera que “se regirán íntegramente, cualquiera que sea su forma jurídica, por el ordenamiento jurídico privado, salvo en las materias en que les sea de aplicación la normativa presupuestaria, contable, patrimonial, de control financiero y de contratación”[disposición adicional 12 de la Ley de organización y funcionamiento de la Administración general del Estado (LOFAGE) y art. 166 de la Ley 33/2003, de 3 de noviembre, del Patrimonio de las Administraciones públicas]. Se trata de entidades cuya actividad principal consiste en la producción en régimen de mercado de bienes y servicios destinados al consumo individual, que se financian mayoritariamente con ingresos comerciales obtenidos como contraprestación de las entregas de bienes y prestaciones de servicios que efectúan, y que dependen mayoritariamente de la Sociedad Estatal de Participaciones Industriales (SEPI). Son los casos, por ejemplo, de la “Corporación de Radio y Televisión Española” (RTVE), el “Grupo Correos”, el Grupo “Hulleras del Norte” (HUNOSA), la “Empresa Nacional de Mercados Centrales de Abastecimiento” (MERCASA), la “Empresa Nacional de Residuos Radiactivos” (ENRESA) o la “Empresa de Transformación Agraria” (TRAGSA).</w:t>
      </w:r>
    </w:p>
    <w:p w:rsidR="0085709A" w:rsidRDefault="0085709A" w:rsidP="0085709A">
      <w:pPr>
        <w:pStyle w:val="TextoNormal"/>
      </w:pPr>
    </w:p>
    <w:p w:rsidR="0085709A" w:rsidRDefault="0085709A" w:rsidP="0085709A">
      <w:pPr>
        <w:pStyle w:val="TextoNormal"/>
      </w:pPr>
      <w:r>
        <w:t>Las precedentes aclaraciones realizadas sobre la organización del sector público estatal, tanto administrativo como empresarial, son trasladables al sector público autonómico o local, con las debidas matizaciones derivadas de la concreta normativa reguladora de su organización institucional en cada uno de sus respectivos ámbitos.</w:t>
      </w:r>
    </w:p>
    <w:p w:rsidR="0085709A" w:rsidRDefault="0085709A" w:rsidP="0085709A">
      <w:pPr>
        <w:pStyle w:val="TextoNormal"/>
      </w:pPr>
    </w:p>
    <w:p w:rsidR="0085709A" w:rsidRDefault="0085709A" w:rsidP="0085709A">
      <w:pPr>
        <w:pStyle w:val="TextoNormal"/>
      </w:pPr>
      <w:r>
        <w:t>Hecha la precisión que antecede con relación al sector público, tampoco puede admitirse como válida la comparación entre el personal laboral que presta su servicios en el “sector público administrativo” con el personal laboral que presta servicios en el “sector público empresarial”, pues como apunta el Abogado del Estado, el factor diferencial entre una y otra categoría de trabajadores se encuentra en la diferente estructura en la que se incardinan, que los convierte en grupos o categorías personales diferentes que admiten la atribución por el legislador de consecuencias jurídicas distintas y, entre ellas, la aplicación o no de las previsiones del art. 47 LET.</w:t>
      </w:r>
    </w:p>
    <w:p w:rsidR="0085709A" w:rsidRDefault="0085709A" w:rsidP="0085709A">
      <w:pPr>
        <w:pStyle w:val="TextoNormal"/>
      </w:pPr>
    </w:p>
    <w:p w:rsidR="0085709A" w:rsidRDefault="0085709A" w:rsidP="0085709A">
      <w:pPr>
        <w:pStyle w:val="TextoNormal"/>
      </w:pPr>
      <w:r>
        <w:t>En consecuencia, debe rechazarse que la disposición adicional tercera de la Ley 3/2012, de 6 de julio, vulnere el art. 14 CE.</w:t>
      </w:r>
    </w:p>
    <w:p w:rsidR="0085709A" w:rsidRDefault="0085709A" w:rsidP="0085709A">
      <w:pPr>
        <w:pStyle w:val="TextoNormal"/>
      </w:pPr>
    </w:p>
    <w:p w:rsidR="0085709A" w:rsidRDefault="0085709A" w:rsidP="0085709A">
      <w:pPr>
        <w:pStyle w:val="TextoNormal"/>
      </w:pPr>
      <w:r>
        <w:t>b) Finalmente, respecto a la invocación de los arts. 23.2 y 103.3, en relación con el art. 35.1, todos ellos de la Constitución, hay que convenir con el Abogado del Estado en que esta queja carece de sustantividad propia, en tanto que los recurrentes alegan la infracción de tales preceptos constitucionales únicamente por conexión y como apoyo de la denuncia principal de este motivo de impugnación, a saber, la relativa a la existencia de un trato desigual contrario al art. 14 CE, que en el anterior apartado ya ha sido rechazado.</w:t>
      </w:r>
    </w:p>
    <w:p w:rsidR="0085709A" w:rsidRDefault="0085709A" w:rsidP="0085709A">
      <w:pPr>
        <w:pStyle w:val="TextoNormal"/>
      </w:pPr>
    </w:p>
    <w:p w:rsidR="0085709A" w:rsidRDefault="0085709A" w:rsidP="0085709A">
      <w:pPr>
        <w:pStyle w:val="TextoNormal"/>
      </w:pPr>
      <w:r>
        <w:t>En cualquier caso, también desde esta nueva perspectiva del derecho a la estabilidad en el empleo de los trabajadores del sector público, el motivo del recurso merece ser desestimado, en la medida en que la inaplicación del art. 47 LET dispuesta en la norma impugnada, no afecta al derecho de acceso, permanencia y ejercicio en condiciones de igualdad a las funciones y cargos públicos, reconocido en el art. 23.2 CE, ni tampoco a la reserva de Ley en materia de función pública prevista en el art. 103.3 CE.</w:t>
      </w:r>
    </w:p>
    <w:p w:rsidR="0085709A" w:rsidRDefault="0085709A" w:rsidP="0085709A">
      <w:pPr>
        <w:pStyle w:val="TextoNormal"/>
      </w:pPr>
    </w:p>
    <w:p w:rsidR="0085709A" w:rsidRDefault="0085709A" w:rsidP="0085709A">
      <w:pPr>
        <w:pStyle w:val="TextoNormal"/>
      </w:pPr>
      <w:r w:rsidRPr="0085709A">
        <w:rPr>
          <w:rStyle w:val="NumeroAFNegritaCaracter"/>
        </w:rPr>
        <w:t>10</w:t>
      </w:r>
      <w:r>
        <w:t>. Finalmente, los recurrentes impugnan el apartado segundo (“Cláusulas de los convenios colectivos referidas al cumplimiento de la edad ordinaria de jubilación”) de la disposición final cuarta de la Ley 3/2012 (“Medidas para favorecer el mantenimiento del empleo de los trabajadores de más edad”). Esta norma da nueva redacción a la disposición adicional 10 del Real Decreto Legislativo 1/1995, de 24 de marzo, por el que se aprueba el texto refundido de la Ley del estatuto de los trabajadores, y dispone que “[s]e entenderán nulas y sin efecto las cláusulas de los convenios colectivos que posibiliten la extinción del contrato de trabajo por el cumplimiento por parte del trabajador de la edad ordinaria de jubilación fijada en la normativa de Seguridad Social, cualquiera que sea la extensión y el alcance de dichas cláusulas”. A su juicio, tal precepto es contrario al derecho a la negociación colectiva (art. 37.1 CE), a la libertad sindical (art. 28.1 CE), a la prohibición de discriminación (art. 14 CE), así como al derecho de acceso a las funciones públicas en condiciones de igualdad (arts. 23.2 y 103.3 CE). Tales infracciones son rechazadas por el Abogado del Estado, sobre la base de la superior posición jerárquica de la ley y teniendo en cuenta la finalidad de la medida adoptada (procurar la viabilidad del sistema de la Seguridad Social).</w:t>
      </w:r>
    </w:p>
    <w:p w:rsidR="0085709A" w:rsidRDefault="0085709A" w:rsidP="0085709A">
      <w:pPr>
        <w:pStyle w:val="TextoNormal"/>
      </w:pPr>
    </w:p>
    <w:p w:rsidR="0085709A" w:rsidRDefault="0085709A" w:rsidP="0085709A">
      <w:pPr>
        <w:pStyle w:val="TextoNormal"/>
      </w:pPr>
      <w:r>
        <w:t>a) A juicio de los Diputados recurrentes, el excluir de la negociación colectiva la posibilidad de establecimiento de cláusulas de jubilación forzosa, supone una limitación injustificada de la libertad de estipulación de las partes que vulnera el art. 37.1 CE y, por derivación, el art. 28.1 CE, en la medida en que la regulación de esta materia debe ser atribuida, por designio constitucional, a la negociación colectiva, que cuenta con un espacio regulativo propio que no puede ser ahogado ni suprimido por la normativa estatal. Para el Abogado del Estado, por el contrario, la Constitución atribuye amplias facultades al legislador para configurar el régimen de la estabilidad en el empleo, sin imponerle mandato alguno ni para establecer medidas alternativas al despido, ni para concretar las causas de una eventual extinción de las relaciones laborales.</w:t>
      </w:r>
    </w:p>
    <w:p w:rsidR="0085709A" w:rsidRDefault="0085709A" w:rsidP="0085709A">
      <w:pPr>
        <w:pStyle w:val="TextoNormal"/>
      </w:pPr>
    </w:p>
    <w:p w:rsidR="0085709A" w:rsidRDefault="0085709A" w:rsidP="0085709A">
      <w:pPr>
        <w:pStyle w:val="TextoNormal"/>
      </w:pPr>
      <w:r>
        <w:t>Partiendo de que el derecho a la negociación colectiva es un derecho esencialmente de configuración legal (STC 85/2001, de 26 de marzo, FJ 5), para determinar la validez constitucional de la exclusión del ámbito de la negociación colectiva de las cláusulas de jubilación forzosa debemos analizar si la medida legal controvertida cuenta con una justificación objetiva y razonable, que legitime esta injerencia en el ejercicio del citado derecho.</w:t>
      </w:r>
    </w:p>
    <w:p w:rsidR="0085709A" w:rsidRDefault="0085709A" w:rsidP="0085709A">
      <w:pPr>
        <w:pStyle w:val="TextoNormal"/>
      </w:pPr>
    </w:p>
    <w:p w:rsidR="0085709A" w:rsidRDefault="0085709A" w:rsidP="0085709A">
      <w:pPr>
        <w:pStyle w:val="TextoNormal"/>
      </w:pPr>
      <w:r>
        <w:t xml:space="preserve">A tal fin, es preciso recordar, que el derecho al trabajo no se agota en la libertad de trabajar, sino que también supone, en su vertiente individual, tanto el derecho a un puesto de trabajo si se cumplen los requisitos necesarios de capacitación, como el derecho a la continuidad o estabilidad en el empleo o, lo que es lo mismo, a no ser despedidos si no existe una justa causa (STC 22/1981, de 2 de julio, FJ 8). Dicho esto, es necesario señalar que este Tribunal ha admitido una política de empleo basada en la jubilación forzosa y, por tanto, la posibilidad de que el legislador fije una edad máxima como causa de extinción de la relación laboral, porque aunque suponga una limitación al ejercicio del derecho al trabajo de unos trabajadores, sirve para garantizar el derecho al trabajo de otros, o, lo que es lo mismo, sirve al reparto o redistribución del trabajo (STC 22/1981, de 2 de julio, FJ 8). Y también hemos considerado constitucionalmente válido que el legislador, “modificando la situación preexistente”, autorice “a la negociación colectiva a regular una materia que con anterioridad se había considerado excluida de la misma”, concretamente, la posibilidad de fijar mediante Convenio un límite temporal del derecho individual al trabajo, ponderando </w:t>
      </w:r>
      <w:r>
        <w:lastRenderedPageBreak/>
        <w:t>el “equilibrio de los intereses afectados por la permanencia en los puestos de trabajo o la jubilación forzosa” (STC 58/1985, de 30 de abril FJ 7; y también SSTC 95/1985, de 29 de julio; 111/1985, de 11 de octubre; 136/1985, de 11 de octubre; 280/2006, de 9 de octubre y 341/2006, de 11 de diciembre).</w:t>
      </w:r>
    </w:p>
    <w:p w:rsidR="0085709A" w:rsidRDefault="0085709A" w:rsidP="0085709A">
      <w:pPr>
        <w:pStyle w:val="TextoNormal"/>
      </w:pPr>
    </w:p>
    <w:p w:rsidR="0085709A" w:rsidRDefault="0085709A" w:rsidP="0085709A">
      <w:pPr>
        <w:pStyle w:val="TextoNormal"/>
      </w:pPr>
      <w:r>
        <w:t>Según lo que antecede, podemos afirmar, en primer lugar, que la determinación tanto de la edad como de los efectos de la jubilación en orden a la eventual extinción de la relación laboral es una materia que, en principio, pertenece al ámbito propio de la ley, por estar en juego el ejercicio del derecho al trabajo (art. 35.1 CE), razón por la cual, la Constitución, de un lado, obliga a los poderes públicos a promover las condiciones para que la igualdad sea real y efectiva en orden a la participación de todos los ciudadanos en la vida social (art. 9.2 CE), y, de otro, atribuye al Estado la competencia exclusiva para regular las condiciones básicas que garanticen la igualdad de todos en el ejercicio de los derechos constitucionales (art. 149.1.1 CE). Y, podemos añadir, en segundo lugar, que la consagración constitucional del derecho al trabajo (at. 35.1 CE) determina que el recurso a la edad de jubilación como causa extintiva de la relación laboral opere como una fórmula racional conforme a la cual, en la medida de lo posible y siempre que las circunstancias socio-económicas lo permitan, sea ejercitada como una opción voluntaria del trabajador y no como una imposición del legislador. No hay que descuidar que ya la recomendación núm. 162 sobre los trabajadores de edad de la sexagésima sexta reunión de la conferencia internacional del trabajo de 23 de junio de 1980, tuvo la oportunidad de señalar que debe procurarse que “el paso de un trabajador a la situación de retiro se efectúe voluntariamente” [§21 a) del apartado 4 (Preparación y acceso al retiro)], desiderátum que fue asumido por el conocido como “Pacto de Toledo” que, respecto de la edad de jubilación, señalaba que “sin perjuicio de mantener la edad ordinaria de jubilación en los sesenta y cinco años, resultaría muy aconsejable, en términos financieros y sociales, facilitar la prolongación voluntaria de la vida activa de quienes libremente lo deseen”, sobre todo si se tiene en cuenta el aumento de la esperanza de vida lo que tendrá “como lógica consecuencia un aumento del número de pensionistas y del gasto en pensiones” [Recomendación 10 del informe de la ponencia en el seno de la comisión de presupuestos del Congreso de los Diputados sobre la reforma económica de la Seguridad Social de 30 de marzo de 1995 (núm. de expediente 162/000019, “Boletín Oficial de las Cortes Generales”, Congreso de los Diputados, V Legislatura, Serie E: Otros textos, núm. 134, 12 de abril de 1995, págs. 17 y 13, respectivamente]. Esta recomendación fue incorporada al sistema normativo por la Ley 35/2002, de 12 de julio, de medidas para el establecimiento de un sistema de jubilación gradual y flexible, siendo favorecida para los trabajadores dependientes por La Ley 40/2007, de 4 de diciembre, de medidas en materia de Seguridad Social, para los trabajadores autónomos por la Ley 20/2007, de 11 de julio, del Estatuto del trabajo autónomo, y para los empleados públicos por la Ley 7/2007, de 12 de abril, del estatuto básico del empleado público.</w:t>
      </w:r>
    </w:p>
    <w:p w:rsidR="0085709A" w:rsidRDefault="0085709A" w:rsidP="0085709A">
      <w:pPr>
        <w:pStyle w:val="TextoNormal"/>
      </w:pPr>
    </w:p>
    <w:p w:rsidR="0085709A" w:rsidRDefault="0085709A" w:rsidP="0085709A">
      <w:pPr>
        <w:pStyle w:val="TextoNormal"/>
      </w:pPr>
      <w:r>
        <w:t xml:space="preserve">La situación que ahora se somete a nuestra consideración deriva de que el legislador, en el ejercicio de la competencia que la Constitución le atribuye, modifica la situación preexistente y, en orden a garantizar la plena eficacia del objetivo perseguido con la medida adoptada, excluye esta materia del ámbito de la negociación colectiva, evitando así un posible pacto colectivo sobre la extinción del contrato de trabajo por el cumplimiento de la edad ordinaria de jubilación fijada en la normativa de Seguridad Social en perjuicio del ejercicio individual del derecho. Pues bien, habiendo admitido este Tribunal la legitimidad de una política de empleo basada en la jubilación forzosa como causa de extinción de la relación </w:t>
      </w:r>
      <w:r>
        <w:lastRenderedPageBreak/>
        <w:t>laboral, porque aun cuando suponga una limitación del ejercicio del derecho al trabajo de unos (vertiente individual), se justificaba constitucionalmente en el objetivo de promover el reparto o redistribución del trabajo facilitando de esta manera el ejercicio del derecho al trabajo de otros (vertiente colectiva), no cabe sino afirmar ahora que otra política de empleo basada en la facilitación de la continuidad en el empleo de quienes habiendo superado la edad legal de jubilación desean continuar con su vida laboral activa, con sustracción, en consecuencia, de esta materia a la potestad negociadora de los representantes de los trabajadores y los empresarios, encuentra perfecto acomodo también a los mandatos y objetivos constitucionales. En efecto, la medida controvertida se legitima constitucionalmente, (i) porque correspondiendo prioritariamente a la Ley la fijación de los límites al ejercicio del derecho al trabajo, ningún reproche se le puede hacer porque el legislador adopte medidas que atiendan preferentemente a la garantía del ejercicio de este derecho, desde la perspectiva de la continuidad o estabilidad en el empleo; (ii) porque la medida adoptada se dirige también a garantizar que la transición a la situación de retiro se efectúe voluntariamente por el trabajador en el ejercicio de su derecho al trabajo y de su opción individual por prolongar una vida laboral activa o pasar a una situación de inactividad total o parcial, y (iii) porque en el contexto socio-económico y del mercado de trabajo en el que se inserta la medida controvertida, caracterizado por una situación de crisis económica agravada por una elevada tasa de desempleo en el que, a la par que se reduce exponencialmente el número de aportantes a la Seguridad Social, aumenta el de dependientes, el objetivo de estimular la continuidad del trabajador en su puesto de trabajo, sirve también para garantizar la protección de un interés general prevalente, como es la salvaguarda de la sostenibilidad del sistema de pensiones, en particular, y la viabilidad del sistema nacional de la Seguridad Social, en general, evitándose “el incremento de los déficits públicos, como consecuencia de los mayores pagos de prestaciones y en especial de las pensiones por jubilación” (Pacto de Toledo, ibídem, pág. 3).</w:t>
      </w:r>
    </w:p>
    <w:p w:rsidR="0085709A" w:rsidRDefault="0085709A" w:rsidP="0085709A">
      <w:pPr>
        <w:pStyle w:val="TextoNormal"/>
      </w:pPr>
    </w:p>
    <w:p w:rsidR="0085709A" w:rsidRDefault="0085709A" w:rsidP="0085709A">
      <w:pPr>
        <w:pStyle w:val="TextoNormal"/>
      </w:pPr>
      <w:r>
        <w:t>En suma, puesto que la disposición controvertida sirve tanto al ejercicio del derecho individual al trabajo como a la protección del interés general subyacente, queda justificada sobradamente la incidencia que supone en la libertad de estipulación de las partes, razón por la cual, debe rechazarse la vulneración de los arts. 37.1 CE y 28.1 CE por el apartado segundo de la disposición final cuarta de la Ley 3/2012, de 6 de julio.</w:t>
      </w:r>
    </w:p>
    <w:p w:rsidR="0085709A" w:rsidRDefault="0085709A" w:rsidP="0085709A">
      <w:pPr>
        <w:pStyle w:val="TextoNormal"/>
      </w:pPr>
    </w:p>
    <w:p w:rsidR="0085709A" w:rsidRDefault="0085709A" w:rsidP="0085709A">
      <w:pPr>
        <w:pStyle w:val="TextoNormal"/>
      </w:pPr>
      <w:r>
        <w:t>b) Como se ha indicado en los antecedentes, los diputados recurrentes sostienen además, que el apartado recurrido resulta contrario a los arts. 14 y 37, ambos de la Constitución, por cuanto que se limita injustificadamente a la actividad sindical la regulación de una materia que se permite al empresario en los supuestos de despido colectivo.</w:t>
      </w:r>
    </w:p>
    <w:p w:rsidR="0085709A" w:rsidRDefault="0085709A" w:rsidP="0085709A">
      <w:pPr>
        <w:pStyle w:val="TextoNormal"/>
      </w:pPr>
    </w:p>
    <w:p w:rsidR="0085709A" w:rsidRDefault="0085709A" w:rsidP="0085709A">
      <w:pPr>
        <w:pStyle w:val="TextoNormal"/>
      </w:pPr>
      <w:r>
        <w:t xml:space="preserve">Ya hemos señalado anteriormente que el principio de igualdad en la ley impone al legislador el deber de dispensar un mismo tratamiento a quienes se encuentran en “situaciones jurídicas iguales” [SSTC 171/2012, de 4 de octubre, FJ 4; y 61/2013, de 14 de marzo, FJ 4 a)], pues “el principio de igualdad no implica en todos los casos un tratamiento legal igual con abstracción de cualquier elemento diferenciador de relevancia jurídica” (STC 160/2012, de 20 de septiembre FJ 7). En efecto, para poder realizar un juicio de igualdad es necesario tener un término de comparación válido (STC 219/2013, de 19 de diciembre, FJ 5), y en el presente caso, el ofrecido por los diputados recurrentes no es homogéneo, pues en modo alguno puede compararse la situación de los trabajadores que ven extinguidos sus contratos por jubilación con la de los trabajadores que son objeto de un despido colectivo. Se trata de </w:t>
      </w:r>
      <w:r>
        <w:lastRenderedPageBreak/>
        <w:t>dos instituciones jurídicas con notables diferencias en cuanto a la finalidad, las causas que las motivan y los efectos que se les atribuye (acceso a la pensión de jubilación, indemnización por despido, prestación de desempleo o, en su caso, suscripción de un convenio especial con la Seguridad Social).</w:t>
      </w:r>
    </w:p>
    <w:p w:rsidR="0085709A" w:rsidRDefault="0085709A" w:rsidP="0085709A">
      <w:pPr>
        <w:pStyle w:val="TextoNormal"/>
      </w:pPr>
    </w:p>
    <w:p w:rsidR="0085709A" w:rsidRDefault="0085709A" w:rsidP="0085709A">
      <w:pPr>
        <w:pStyle w:val="TextoNormal"/>
      </w:pPr>
      <w:r>
        <w:t>Debe rechazarse, en consecuencia, que el apartado segundo de la disposición final cuarta de la Ley 3/2012, de 6 de julio, vulnere los arts. 14 CE y 37 CE.</w:t>
      </w:r>
    </w:p>
    <w:p w:rsidR="0085709A" w:rsidRDefault="0085709A" w:rsidP="0085709A">
      <w:pPr>
        <w:pStyle w:val="TextoNormal"/>
      </w:pPr>
    </w:p>
    <w:p w:rsidR="0085709A" w:rsidRDefault="0085709A" w:rsidP="0085709A">
      <w:pPr>
        <w:pStyle w:val="TextoNormal"/>
      </w:pPr>
      <w:r>
        <w:t>c) Por último, denuncian los recurrentes que la norma impugnada contraviene igualmente los arts. 14, 23.2 y 103.3, todos ellos de la Constitución, al provocar una diferencia de trato injustificada entre los empleados de las Administraciones públicas, según tengan la condición de personal laboral o funcionarios públicos, por cuanto para los primeros rige la nueva normativa mientras que los segundos quedan sometidos a un sistema de jubilación obligatoria por imperativo legal, afectando al derecho de acceso a las funciones públicas en condiciones de igualdad, pero proyectado sobre el momento de la pérdida de la condición de empleado público.</w:t>
      </w:r>
    </w:p>
    <w:p w:rsidR="0085709A" w:rsidRDefault="0085709A" w:rsidP="0085709A">
      <w:pPr>
        <w:pStyle w:val="TextoNormal"/>
      </w:pPr>
    </w:p>
    <w:p w:rsidR="0085709A" w:rsidRDefault="0085709A" w:rsidP="0085709A">
      <w:pPr>
        <w:pStyle w:val="TextoNormal"/>
      </w:pPr>
      <w:r>
        <w:t>Tampoco en este supuesto se ofrece un término válido de comparación que permita efectuar un juicio de igualdad pues, como ya hemos tenido oportunidad de señalar frente a una denuncia semejante, estamos ante “regímenes jurídicos distintos, aplicables a situaciones diferentes, es decir, uno estatutario y otro laboral, puesto que no son los mismos los derechos y deberes de uno y otro personal y es razonable esa distinción”, tanto más cuanto “la igualdad de trato de funcionarios y trabajadores no se infiere de la Constitución” [STC 99/1987, de 11 de junio, FJ 6 d), y en términos parecidos, STC 57/1982, de 27 de julio, FJ 9], “porque las relaciones laborales a que se refiere y las que se rigen por un sistema estatutario son relaciones jurídicas desiguales a las que no se impone la aplicación del mismo tratamiento” (STC 108/1986, de 29 de julio, FJ 21). En consecuencia, debe desestimarse la vulneración por el apartado segundo de la disposición final cuarta de la Ley 3/2012, de 6 de julio, de los arts. 14, 23.2 y 103.3, todos ellos de la Constitución.</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recurso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enero de dos mil quince.</w:t>
      </w:r>
    </w:p>
    <w:p w:rsidR="0085709A" w:rsidRDefault="0085709A" w:rsidP="0085709A">
      <w:pPr>
        <w:pStyle w:val="ParrafoNormal"/>
      </w:pPr>
    </w:p>
    <w:p w:rsidR="0085709A" w:rsidRDefault="0085709A" w:rsidP="0085709A">
      <w:pPr>
        <w:pStyle w:val="TextoNormalNegritaCentrado"/>
        <w:keepNext/>
      </w:pPr>
      <w:r>
        <w:t xml:space="preserve">Voto particular que formula el Magistrado don Fernando Valdés Dal-Ré a la Sentencia dictada en el recurso de inconstitucionalidad núm. 5610-2012, al </w:t>
      </w:r>
      <w:r>
        <w:lastRenderedPageBreak/>
        <w:t>que se adhieren la Magistrada Doña Adela Asua Batarrita y el Magistrado Don Luis Ignacio Ortega Álvarez.</w:t>
      </w:r>
    </w:p>
    <w:p w:rsidR="0085709A" w:rsidRDefault="0085709A" w:rsidP="0085709A">
      <w:pPr>
        <w:pStyle w:val="TextoNormalNegritaCentrado"/>
        <w:keepNext/>
      </w:pPr>
    </w:p>
    <w:p w:rsidR="0085709A" w:rsidRDefault="0085709A" w:rsidP="0085709A">
      <w:pPr>
        <w:pStyle w:val="TextoNormal"/>
      </w:pPr>
      <w:r>
        <w:t>1.- Primero. Como tuve oportunidad de manifestar durante la deliberación del presente y relevante proceso constitucional, disiento de la decisión finalmente adoptada por razones tanto de método (canon de constitucionalidad utilizado) como de fondo. Dentro del máximo respeto hacia el parecer mayoritario de mis compañeros y por los motivos que expondré, entiendo que la Sentencia de la que me aparto debió de declarar inconstitucionales y nulos los siguientes artículos de la Ley 3/2012, de 6 de julio, de medidas urgentes para la reforma laboral:</w:t>
      </w:r>
    </w:p>
    <w:p w:rsidR="0085709A" w:rsidRDefault="0085709A" w:rsidP="0085709A">
      <w:pPr>
        <w:pStyle w:val="TextoNormal"/>
      </w:pPr>
    </w:p>
    <w:p w:rsidR="0085709A" w:rsidRDefault="0085709A" w:rsidP="0085709A">
      <w:pPr>
        <w:pStyle w:val="TextoNormal"/>
      </w:pPr>
      <w:r>
        <w:t>a) el art. 12.1, que modifica el art. 41 del Real Decreto Legislativo 1/1995, de 24 de marzo, por el que se aprueba el texto refundido de la Ley del estatuto de los trabajadores (LET, en adelante), por violación, al introducir un nuevo régimen jurídico, en lo que aquí importa señalar, de las modificaciones sustanciales de trabajo de carácter colectivo, de la garantía constitucional de la fuerza vinculante de los convenios colectivos (art. 37.1 CE) y, por conexión, de la libertad sindical (art. 28.1 CE).</w:t>
      </w:r>
    </w:p>
    <w:p w:rsidR="0085709A" w:rsidRDefault="0085709A" w:rsidP="0085709A">
      <w:pPr>
        <w:pStyle w:val="TextoNormal"/>
      </w:pPr>
    </w:p>
    <w:p w:rsidR="0085709A" w:rsidRDefault="0085709A" w:rsidP="0085709A">
      <w:pPr>
        <w:pStyle w:val="TextoNormal"/>
      </w:pPr>
      <w:r>
        <w:t>b) el art. 18.3, que da nueva redacción al art. 51.1 LET, por vulneración, al redefinir las causas que habilitan al empresario a adoptar medidas de despido colectivo y, por el juego de la remisión legal enunciada, las que le permiten igualmente acudir a decisiones extintivas de carácter objetivo [art. 50 c) LET], del art. 35.1 CE.</w:t>
      </w:r>
    </w:p>
    <w:p w:rsidR="0085709A" w:rsidRDefault="0085709A" w:rsidP="0085709A">
      <w:pPr>
        <w:pStyle w:val="TextoNormal"/>
      </w:pPr>
    </w:p>
    <w:p w:rsidR="0085709A" w:rsidRDefault="0085709A" w:rsidP="0085709A">
      <w:pPr>
        <w:pStyle w:val="TextoNormal"/>
      </w:pPr>
      <w:r>
        <w:t>c) los artículos 18.7, que reforma el art. 56.1 LET, y 23.1, que da nueva redacción al art. 110.1 de la Ley 36/2011, de 10 de octubre, Reguladora de la Jurisdicción Social por lesión, al suprimir los salarios de tramitación en el supuesto en que el empresario, una vez declarado judicialmente el despido como improcedente, opte por abonar al trabajador una indemnización, en lugar de readmitirlo, del art. 35.1 CE.</w:t>
      </w:r>
    </w:p>
    <w:p w:rsidR="0085709A" w:rsidRDefault="0085709A" w:rsidP="0085709A">
      <w:pPr>
        <w:pStyle w:val="TextoNormal"/>
      </w:pPr>
    </w:p>
    <w:p w:rsidR="0085709A" w:rsidRDefault="0085709A" w:rsidP="0085709A">
      <w:pPr>
        <w:pStyle w:val="TextoNormal"/>
      </w:pPr>
      <w:r>
        <w:t>d) la disposición adicional tercera, que añade al texto refundido de la Ley del estatuto de los trabajadores la disposición adicional vigésimo primera, por infracción, al declarar inaplicable el art. 47 LET a las Administraciones públicas y a las entidades de Derecho público vinculadas o dependientes de una o varias de ellas y de otros organismos públicos, de los arts. 14 y 9.3 CE.</w:t>
      </w:r>
    </w:p>
    <w:p w:rsidR="0085709A" w:rsidRDefault="0085709A" w:rsidP="0085709A">
      <w:pPr>
        <w:pStyle w:val="TextoNormal"/>
      </w:pPr>
    </w:p>
    <w:p w:rsidR="0085709A" w:rsidRDefault="0085709A" w:rsidP="0085709A">
      <w:pPr>
        <w:pStyle w:val="TextoNormal"/>
      </w:pPr>
      <w:r>
        <w:t>Conforme ya he hecho constar, y ahora reitero, mis objeciones a la sentencia de la que me aparto no solamente tienen un carácter sustantivo, determinante de mi disconformidad con su parte dispositiva, que desestima de manera íntegra el recurso de inconstitucionalidad en su día interpuesto por diputados de los Grupos Parlamentarios Socialista e Izquierda Plural. Además de por razones materiales, mis desacuerdos alcanzan una segunda vertiente, alusiva al tipo de juicio o canon empleado para rechazar los reproches de inconstitucionalidad elaborados por la parte recurrente en relación con la mayor parte de los preceptos de la Ley impugnada que, en mi opinión, debieron ser declarados no conformes con la Constitución y, por consiguiente, nulos. Unas y otras divergencias serán objeto de la debida atención en los razonamientos que siguen, aun cuando antes de adentrarme en este terreno me parece pertinente efectuar una observación preliminar.</w:t>
      </w:r>
    </w:p>
    <w:p w:rsidR="0085709A" w:rsidRDefault="0085709A" w:rsidP="0085709A">
      <w:pPr>
        <w:pStyle w:val="TextoNormal"/>
      </w:pPr>
    </w:p>
    <w:p w:rsidR="0085709A" w:rsidRDefault="0085709A" w:rsidP="0085709A">
      <w:pPr>
        <w:pStyle w:val="TextoNormal"/>
      </w:pPr>
      <w:r>
        <w:lastRenderedPageBreak/>
        <w:t>Segundo. No es ésta la primera ocasión en la que el Tribunal Constitucional ha debido pronunciarse sobre la regularidad constitucional de la Ley 3/2012 así como de su antecedente normativo, el Real Decreto-ley 3/2012, de 10 de febrero, de igual denominación. Con anterioridad, ha emitido dos pronunciamientos. En el primero, se resolvió, a través del ATC 43/2014, de 12 de febrero, la cuestión de inconstitucionalidad 3801-2012, promovida por el Juzgado de lo Social núm. 34 de los de Madrid por un doble orden de motivos: de un lado, por lesión de la mencionada norma de urgencia del art. 86.1 CE y, de otro, por vulneración del art. 18.7 de esta misma norma de los arts. 9.3 y 24.1, en relación con el 35.1, todos ellos de nuestro texto constitucional. En el segundo, se sustanció, mediante la STC 119/2014, de 6 de julio, el recurso de inconstitucionalidad 5603-2012, instado por el Parlamento de la Comunidad Foral de Navarra contra cuatro concretos artículos de la reforma laboral, ya traspuestos de manera íntegra y sin apenas mutaciones a la Ley 3/2012.</w:t>
      </w:r>
    </w:p>
    <w:p w:rsidR="0085709A" w:rsidRDefault="0085709A" w:rsidP="0085709A">
      <w:pPr>
        <w:pStyle w:val="TextoNormal"/>
      </w:pPr>
    </w:p>
    <w:p w:rsidR="0085709A" w:rsidRDefault="0085709A" w:rsidP="0085709A">
      <w:pPr>
        <w:pStyle w:val="TextoNormal"/>
      </w:pPr>
      <w:r>
        <w:t>En el voto particular que redacté al ATC 43/2012, citado, ya dejé constancia de mis disensos respecto del orden elegido para el conocimiento y solución por el Tribunal Constitucional de los tres procesos constitucionales promovidos contra la reforma laboral de 2012. Como en su momento dejé escrito, el Pleno de este Tribunal debió de haber acordado la admisión a trámite de la cuestión de inconstitucionalidad procediendo en su momento, una vez celebrado el oportuno debate y resuelto el recurso de inconstitucionalidad núm. 5610-2012, a sustanciar los dos restantes, habida cuenta de que las quejas materiales formuladas tanto en la mencionada cuestión de inconstitucionalidad como en el recurso de inconstitucionalidad 5603-2012 también se enunciaban en aquél otro recurso de inconstitucionalidad, en el recurso de inconstitucionalidad 5610-2012, que añadía nuevos reproches.</w:t>
      </w:r>
    </w:p>
    <w:p w:rsidR="0085709A" w:rsidRDefault="0085709A" w:rsidP="0085709A">
      <w:pPr>
        <w:pStyle w:val="TextoNormal"/>
      </w:pPr>
    </w:p>
    <w:p w:rsidR="0085709A" w:rsidRDefault="0085709A" w:rsidP="0085709A">
      <w:pPr>
        <w:pStyle w:val="TextoNormal"/>
      </w:pPr>
      <w:r>
        <w:t>Las razones en favor de esta sistemática en el tratamiento de los referidos procesos no solo ni tanto residen —que sí— en la conveniencia de atenerse a una regla no escrita de generalizada aplicación por este Tribunal, expresada a veces mediante la técnica de la acumulación. Además de ello y, probablemente, al margen de ello, cabe enunciar motivos más consistentes, basados, en lo esencial, en las notables ventajas que hubiera aportado la prioritaria resolución del recurso de inconstitucionalidad más amplio; es decir, del presente recurso de inconstitucionalidad. Una decisión semejante, al evitar la desagregación y dispersión, hubiera permitido dotar de mayor densidad y unidad argumentativa a los razonamientos acerca de las denunciadas vulneraciones, por parte de la reforma laboral de 2012, de determinados derechos y, más en general, de concretas reglas iusconstitucionales.</w:t>
      </w:r>
    </w:p>
    <w:p w:rsidR="0085709A" w:rsidRDefault="0085709A" w:rsidP="0085709A">
      <w:pPr>
        <w:pStyle w:val="TextoNormal"/>
      </w:pPr>
    </w:p>
    <w:p w:rsidR="0085709A" w:rsidRDefault="0085709A" w:rsidP="0085709A">
      <w:pPr>
        <w:pStyle w:val="TextoNormal"/>
      </w:pPr>
      <w:r>
        <w:t xml:space="preserve">Desafortunadamente, la sentencia de la mayoría ha venido a confirmar los problemas metodológicos en su día anunciados. Por lo pronto, la sentencia contiene abundantes referencias, remisiones o reiteraciones a la doctrina sentada en los dos pronunciamientos previos (ver, a título de ejemplo, los fundamentos jurídicos 3, 5 y 6), lo que, de un lado, ha hecho perder a sus </w:t>
      </w:r>
      <w:r w:rsidRPr="0085709A">
        <w:rPr>
          <w:i/>
        </w:rPr>
        <w:t>rationae decidendi</w:t>
      </w:r>
      <w:r>
        <w:t xml:space="preserve"> de los atributos de intensidad y originalidad; de otro, ha devaluado la indiscutible relevancia atribuible al recurso de inconstitucionalidad 5610-2012 en razón de tratarse del proceso constitucional de mayor número de tachas; y, finalmente, también ha contribuido a mermar la paralela importancia de esta sentencia, en buena medida reducida a la condición de resolución de aplicación de una jurisprudencia constitucional ya adoptada.</w:t>
      </w:r>
    </w:p>
    <w:p w:rsidR="0085709A" w:rsidRDefault="0085709A" w:rsidP="0085709A">
      <w:pPr>
        <w:pStyle w:val="TextoNormal"/>
      </w:pPr>
    </w:p>
    <w:p w:rsidR="0085709A" w:rsidRDefault="0085709A" w:rsidP="0085709A">
      <w:pPr>
        <w:pStyle w:val="TextoNormal"/>
      </w:pPr>
      <w:r>
        <w:lastRenderedPageBreak/>
        <w:t>Por otra parte, este modo de haber abordado los complejos procesos constitucionales sobre la reforma laboral de 2012 ha abierto un escenario de incertidumbres, poco conciliable, en mi parecer, con las tareas que este Tribunal tiene encomendadas. Un buen ejemplo de ello lo ofrece el juicio de inconstitucionalidad del art. 84.2 LET. Tras reconocerse que la queja ya fue objeto de examen en la STC 119/2014, la sentencia de la que ahora me aparto, “a la vista de los argumentos esgrimidos en el presente recurso de inconstitucionalidad”, opta —de seguro con un buen criterio, basado en una regla de congruencia procesal— por “dar respuesta a las diferentes afirmaciones que los recurrentes realizan” (FJ 6). A pesar de que la sentencia se limita a razonar del modo transcrito, una valoración comparativa de los argumentos y las afirmaciones formulados en el presente RI en relación con los manejados en el recurso de inconstitucionalidad 5603-2012, a fin de defender la inconstitucionalidad de este mismo precepto legal, del art. 84.2 LET, evidencia una falta de coincidencia plena entre ambos.</w:t>
      </w:r>
    </w:p>
    <w:p w:rsidR="0085709A" w:rsidRDefault="0085709A" w:rsidP="0085709A">
      <w:pPr>
        <w:pStyle w:val="TextoNormal"/>
      </w:pPr>
    </w:p>
    <w:p w:rsidR="0085709A" w:rsidRDefault="0085709A" w:rsidP="0085709A">
      <w:pPr>
        <w:pStyle w:val="TextoNormal"/>
      </w:pPr>
      <w:r>
        <w:t>En un contexto semejante, el escenario que de inmediato hubiera podido hacer acto de presencia puede enunciarse en términos sencillos: en el supuesto de que alguno de los nuevos argumentos hubiera resultado determinante de la inconstitucionalidad y nulidad del art. 84.2 LET, se habría producido, en un breve lapso de tiempo (apenas seis meses), un cambio en la doctrina constitucional. No es éste, sin embargo y en modo alguno, un escenario deseable. Muy antes al contrario, ha de evitarse por numerosas razones, entre otras, y de manera muy señalada, por cuanto hubiera desconocido y dado de lado, de modo innecesario, las exigencias de prudencia y solvencia jurídico-constitucional que en todo momento deben informar nuestra doctrina.</w:t>
      </w:r>
    </w:p>
    <w:p w:rsidR="0085709A" w:rsidRDefault="0085709A" w:rsidP="0085709A">
      <w:pPr>
        <w:pStyle w:val="TextoNormal"/>
      </w:pPr>
    </w:p>
    <w:p w:rsidR="0085709A" w:rsidRDefault="0085709A" w:rsidP="0085709A">
      <w:pPr>
        <w:pStyle w:val="TextoNormal"/>
      </w:pPr>
      <w:r>
        <w:t>En todo caso, doy aquí por reproducidas todas y cada una de las discrepancias con la conformidad constitucional de cuatro preceptos legales de la Ley 3/2012 que expresé en el voto particular a la STC 119/2014.</w:t>
      </w:r>
    </w:p>
    <w:p w:rsidR="0085709A" w:rsidRDefault="0085709A" w:rsidP="0085709A">
      <w:pPr>
        <w:pStyle w:val="TextoNormal"/>
      </w:pPr>
    </w:p>
    <w:p w:rsidR="0085709A" w:rsidRDefault="0085709A" w:rsidP="0085709A">
      <w:pPr>
        <w:pStyle w:val="TextoNormal"/>
      </w:pPr>
      <w:r>
        <w:t>2.- Primero. Conforme ya he anticipado, mantengo importantes disensos con el tipo de juicio que la sentencia de la mayoría utiliza para fundamentar la regularidad constitucionalidad de los preceptos sometidos a su examen. En este orden de consideraciones, cinco son las reflexiones que me propongo efectuar, alusivas, todas ellas, a los cánones empleados para desestimar las quejas y reproches de inconstitucionalidad. Por lo demás, se trata de reflexiones que se entrelazan y entrecruzan recíprocamente, lo que, al margen de permitirme una exposición concatenada, pide una comprensión integrada.</w:t>
      </w:r>
    </w:p>
    <w:p w:rsidR="0085709A" w:rsidRDefault="0085709A" w:rsidP="0085709A">
      <w:pPr>
        <w:pStyle w:val="TextoNormal"/>
      </w:pPr>
    </w:p>
    <w:p w:rsidR="0085709A" w:rsidRDefault="0085709A" w:rsidP="0085709A">
      <w:pPr>
        <w:pStyle w:val="TextoNormal"/>
      </w:pPr>
      <w:r>
        <w:t xml:space="preserve">Segundo. La STC 119/2014 inauguró en los razonamientos de la doctrina de este Tribunal un novedoso canon de constitucionalidad, que la sentencia de la mayoría hace ahora suyo e integra con normalidad. Por enunciar la idea en términos esquemáticos, aunque no simplificadores, estas resoluciones —y, entre ambas, algunas otras— han decidido elevar a la categoría de canon de constitucionalidad el escenario económico adverso que España y, de manera singularizada, los ciudadanos que en ella habitan vienen padeciendo desde hace años. En otras palabras, estas sentencias utilizan la crisis económica como parámetro de valoración constitucional de las medidas limitativas de los derechos constitucionales ubicados en el capítulo II del título I CE —por no hablar de los principios rectores de la política social y económica del capítulo III— acordadas por el legislador. Para eludir el reproche de razonar en el vacío, remito al juicio sobre la conformidad constitucional del período de </w:t>
      </w:r>
      <w:r>
        <w:lastRenderedPageBreak/>
        <w:t>prueba de la nueva figura del contrato de trabajo por tiempo indefinido de apoyo a los emprendedores. Es, en efecto, el contexto de la crisis económica el que justifica la restricción de esta medida sobre el art. 35.1 CE o sobre el art. 37.1 CE [FJ 3 b) y c) de la presente Sentencia, que reenvía a la STC 119/2014, FJ 3 f)].Y es esta misma situación la determinante de la desestimación de la vulneración de los arts. 37.1 y 28.1 CE por la nueva regulación del denominado descuelgue salarial [FJ 5 b)].</w:t>
      </w:r>
    </w:p>
    <w:p w:rsidR="0085709A" w:rsidRDefault="0085709A" w:rsidP="0085709A">
      <w:pPr>
        <w:pStyle w:val="TextoNormal"/>
      </w:pPr>
    </w:p>
    <w:p w:rsidR="0085709A" w:rsidRDefault="0085709A" w:rsidP="0085709A">
      <w:pPr>
        <w:pStyle w:val="TextoNormal"/>
      </w:pPr>
      <w:r>
        <w:t>Conforme ya he anticipado, y ahora argumento, es este un canon bien preocupante, de consecuencias impredecibles para la vigencia en nuestro sistema jurídico de las cláusulas sociales. La premisa implícita en este canon es de rápido enunciado: los derechos sociales constitucionales, aunque no se definan como derechos de prestación, están sujetos a un doble juicio de constitucionalidad: uno primero de carácter ordinario y uno segundo, de naturaleza extraordinaria, que se activa en situaciones de crisis económica. Sin entrar a fondo ni en la crítica a esta premisa-base ni en el análisis de sus consecuencias negativas, no puedo dejar de afirmar que su implantación entre nosotros tiene una devastadora potencialidad sobre el desarrollo y consolidación del Estado Social, al que puede instalar entre paréntesis, poniendo a disposición del legislador ordinario unas facultades que, no es aventurado entender, podrían terminar hermanándose con las atribuidas al legislador constituyente.</w:t>
      </w:r>
    </w:p>
    <w:p w:rsidR="0085709A" w:rsidRDefault="0085709A" w:rsidP="0085709A">
      <w:pPr>
        <w:pStyle w:val="TextoNormal"/>
      </w:pPr>
    </w:p>
    <w:p w:rsidR="0085709A" w:rsidRDefault="0085709A" w:rsidP="0085709A">
      <w:pPr>
        <w:pStyle w:val="TextoNormal"/>
      </w:pPr>
      <w:r>
        <w:t xml:space="preserve">Desde luego, la crisis económica puede validar ciertas limitaciones de los derechos sociales constitucionales. Pero tales limitaciones no pueden alterar el contenido esencial de esos derechos; aquel contenido que, como dijera tempranamente la STC 11/1981, FJ 8, define “aquellas facultades o posibilidades de actuación necesarias para que el derecho sea recognoscible como pertinente al tipo descrito”, quedando comprendido en otro y, en razón de ello, desnaturalizado. O por enunciar la idea en los términos recientemente expresados por el Comité Europeo de Derechos Sociales al elaborar las conclusiones sobre las quejas presentadas por nuestras dos organizaciones sindicales más representativas sobre el cumplimiento por la legislación española de la Carta Social Europea [CEDS, </w:t>
      </w:r>
      <w:r w:rsidRPr="0085709A">
        <w:rPr>
          <w:i/>
        </w:rPr>
        <w:t>Conclusions</w:t>
      </w:r>
      <w:r>
        <w:t xml:space="preserve"> XX-3 (2014), (</w:t>
      </w:r>
      <w:r w:rsidRPr="0085709A">
        <w:rPr>
          <w:i/>
        </w:rPr>
        <w:t>Espagne), janvier</w:t>
      </w:r>
      <w:r>
        <w:t xml:space="preserve"> 2015]: “El Comité considera que las medidas que pretenden consolidar las finanzas públicas, asegurar la viabilidad de los regímenes de pensiones de jubilación o incentivar el empleo podrían estimarse legítimas en tiempos de crisis económica, pero ‘no deben traducirse mediante una reducción de los derechos reconocidos en la Carta’”, de modo que los gobiernos deben adoptar las medidas necesarias para lograr que “estos derechos sean efectivamente garantizados…” (comentario al art. 6, pág. 26, de la versión francesa).</w:t>
      </w:r>
    </w:p>
    <w:p w:rsidR="0085709A" w:rsidRDefault="0085709A" w:rsidP="0085709A">
      <w:pPr>
        <w:pStyle w:val="TextoNormal"/>
      </w:pPr>
    </w:p>
    <w:p w:rsidR="0085709A" w:rsidRDefault="0085709A" w:rsidP="0085709A">
      <w:pPr>
        <w:pStyle w:val="TextoNormal"/>
      </w:pPr>
      <w:r>
        <w:t>El límite de los límites de los derechos constitucionales debe de ser, así pues, único y uniforme, al margen y con independencia del contexto económico, debiendo mantenerse inalterable a resultas del ciclo económico. Ciertamente, el contenido accesorio o no esencial de estos derechos puede acomodarse al entorno económico. Pero esa maleabilidad no es predicable de su contenido esencial que, por su propia configuración, ha de estar dotado de una estabilidad al abrigo de los vaivenes de la coyuntura no solo política sino, además, económica.</w:t>
      </w:r>
    </w:p>
    <w:p w:rsidR="0085709A" w:rsidRDefault="0085709A" w:rsidP="0085709A">
      <w:pPr>
        <w:pStyle w:val="TextoNormal"/>
      </w:pPr>
    </w:p>
    <w:p w:rsidR="0085709A" w:rsidRDefault="0085709A" w:rsidP="0085709A">
      <w:pPr>
        <w:pStyle w:val="TextoNormal"/>
      </w:pPr>
      <w:r>
        <w:t>Tercero. La segunda reflexión hace referencia a la omisión apreciable sin dificultad alguna en el enunciado y desarrollo de ciertos juicios de constitucionalidad vertidos sobre algunos derechos sustantivos (arts. 35.1 y 37.1 CE).</w:t>
      </w:r>
    </w:p>
    <w:p w:rsidR="0085709A" w:rsidRDefault="0085709A" w:rsidP="0085709A">
      <w:pPr>
        <w:pStyle w:val="TextoNormal"/>
      </w:pPr>
    </w:p>
    <w:p w:rsidR="0085709A" w:rsidRDefault="0085709A" w:rsidP="0085709A">
      <w:pPr>
        <w:pStyle w:val="TextoNormal"/>
      </w:pPr>
      <w:r>
        <w:lastRenderedPageBreak/>
        <w:t>Es bien sabido —y me parece una banalidad insistir en ello— que el art. 53.1 CE estatuye un límite infranqueable al ejercicio, por el legislador ordinario, de sus poderes normativos sobre los derechos y libertades reconocidos en el capítulo II del título I del texto constitucional; es decir, en los arts. 14 a 38 CE. En suma, el contenido esencial se alza como el “límite de los límites” en la ordenación tanto de los derechos fundamentales y libertades públicas como de los derechos de los ciudadanos.</w:t>
      </w:r>
    </w:p>
    <w:p w:rsidR="0085709A" w:rsidRDefault="0085709A" w:rsidP="0085709A">
      <w:pPr>
        <w:pStyle w:val="TextoNormal"/>
      </w:pPr>
    </w:p>
    <w:p w:rsidR="0085709A" w:rsidRDefault="0085709A" w:rsidP="0085709A">
      <w:pPr>
        <w:pStyle w:val="TextoNormal"/>
      </w:pPr>
      <w:r>
        <w:t xml:space="preserve">En razón de ello, el test utilizado por la jurisprudencia constitucional para enjuiciar y valorar la conformidad o no de una medida legal que afecte a esos derechos ha venido siendo tradicionalmente el respeto al contenido esencial del mismo. Por lo demás e innecesario resulta recordarlo, esta tarea exige como un </w:t>
      </w:r>
      <w:r w:rsidRPr="0085709A">
        <w:rPr>
          <w:i/>
        </w:rPr>
        <w:t>prius</w:t>
      </w:r>
      <w:r>
        <w:t xml:space="preserve"> lógico identificar el contenido esencial del derecho en cuestión. Solo mediante el manejo de este canon, una medida legal podrá ser o no calificada como lesiva de un derecho fundamental, libertad pública o derecho cívico. Mediante fórmula repetida una y otra vez desde la etapa fundacional, este Tribunal así lo ha hecho constar, señalando que las restricciones establecidas al ejercicio de los derechos constitucionales, “en todo caso, han de respetar su contenido esencial” [entre otras muchas, SSTC 11/1981, de 8 de abril, FJ 10; 196/1987, de 11 de diciembre, FJ 4; 120/1990, de 27 de junio, FJ 8; 57/1994, de 28 de febrero, FJ 6; 98/2000, de 10 de abril, FJ 5; 70/2002, de 3 de abril, FJ 10 a) y 236/2007, de 7 de noviembre, FJ 4].</w:t>
      </w:r>
    </w:p>
    <w:p w:rsidR="0085709A" w:rsidRDefault="0085709A" w:rsidP="0085709A">
      <w:pPr>
        <w:pStyle w:val="TextoNormal"/>
      </w:pPr>
    </w:p>
    <w:p w:rsidR="0085709A" w:rsidRDefault="0085709A" w:rsidP="0085709A">
      <w:pPr>
        <w:pStyle w:val="TextoNormal"/>
      </w:pPr>
      <w:r>
        <w:t>En este contexto, resulta no solo llamativo sino, adicionalmente, inquietante que la sentencia de mi discrepancia haya omitido la más ligera alusión al contenido esencial de dos de los derechos fundamentales aquí controvertidos: el derecho al trabajo (art. 35.1 CE) y el derecho a la negociación colectiva (art. 37.1 CE). Al silenciarse por completo tan transcendental cuestión, la omisión detectada equivale a una negación implícita de la propia vigencia en los derechos cuestionados de un contenido esencial, entendido, como ya se ha señalado y ahora se repite, como límite constitucionalmente infranqueable por el legislador.</w:t>
      </w:r>
    </w:p>
    <w:p w:rsidR="0085709A" w:rsidRDefault="0085709A" w:rsidP="0085709A">
      <w:pPr>
        <w:pStyle w:val="TextoNormal"/>
      </w:pPr>
    </w:p>
    <w:p w:rsidR="0085709A" w:rsidRDefault="0085709A" w:rsidP="0085709A">
      <w:pPr>
        <w:pStyle w:val="TextoNormal"/>
      </w:pPr>
      <w:r>
        <w:t xml:space="preserve">En realidad, esta ausencia resulta tanto más preocupante, al tiempo que criticable, cuando se comprueba que la sentencia de la mayoría —siguiendo la senda abierta por la STC 119/2014— insiste una y otra vez en la idea de que ambos derechos constitucionales son derechos de “configuración legal”, —apelando, por cierto y en lo que concierne al derecho a la negociación colectiva, a la doctrina contenida en las SSTC 85/2001, de 26 de marzo, y 224/2000, de 2 de octubre, que tratan sobre la contratación colectiva en la función pública, ajena, según jurisprudencia de este Tribunal, al derecho </w:t>
      </w:r>
      <w:r w:rsidRPr="0085709A">
        <w:rPr>
          <w:i/>
        </w:rPr>
        <w:t>ex</w:t>
      </w:r>
      <w:r>
        <w:t xml:space="preserve"> art. 37.1. CE—, como si dicha conformación jurídica, fruto de la intermediación legislativa, tuviera alguna relevancia desde una vertiente material de constitucionalidad; esto es, como si comportara algún efecto decisivo en el enjuiciamiento de los mínimos o imperativos que la Constitución instituye. Por enunciar la misma opinión en otras palabras, el que un derecho constitucional sea objeto de delimitación o concreción normativa a través de la ley pertinente en nada influye en el límite que el texto constitucional impone; a saber: el respeto al contenido esencial. Antes al contrario, la intervención del legislador define, precisamente, las fronteras indisponibles de sus contenidos.</w:t>
      </w:r>
    </w:p>
    <w:p w:rsidR="0085709A" w:rsidRDefault="0085709A" w:rsidP="0085709A">
      <w:pPr>
        <w:pStyle w:val="TextoNormal"/>
      </w:pPr>
    </w:p>
    <w:p w:rsidR="0085709A" w:rsidRDefault="0085709A" w:rsidP="0085709A">
      <w:pPr>
        <w:pStyle w:val="TextoNormal"/>
      </w:pPr>
      <w:r>
        <w:t xml:space="preserve">Cuarto. Frente al anterior e insoslayable canon, la Sentencia utiliza otros juicios alternativos, dando la espalda al terminante mandato enunciado en el art. 53.1 CE. Precisamente respecto de estos otros criterios, la resolución, manifestando una desmesurada servidumbre </w:t>
      </w:r>
      <w:r>
        <w:lastRenderedPageBreak/>
        <w:t>argumental con la STC 119/2014, aborda los reproches de inconstitucionalidad recurriendo al juicio de proporcionalidad en sentido amplio.</w:t>
      </w:r>
    </w:p>
    <w:p w:rsidR="0085709A" w:rsidRDefault="0085709A" w:rsidP="0085709A">
      <w:pPr>
        <w:pStyle w:val="TextoNormal"/>
      </w:pPr>
    </w:p>
    <w:p w:rsidR="0085709A" w:rsidRDefault="0085709A" w:rsidP="0085709A">
      <w:pPr>
        <w:pStyle w:val="TextoNormal"/>
      </w:pPr>
      <w:r>
        <w:t>En concreto y en lo que aquí me importa hacer constar, tal acontece paradigmáticamente con el examen de la presunta inconstitucionalidad del art. 41 LET [FJ 4 a)]. Sin entrar por el momento en contrastar si la nueva regulación legal de la modificación sustancial de condiciones colectivas de trabajo ha transgredido o no el contenido esencial de la garantía constitucional de la fuerza vinculante (art. 37.1 CE), lo que ahora me interesa es centrar la atención en la aplicación al derecho controvertido del citado canon de proporcionalidad. Es ésta, en mi opinión, una aplicación criticable por un doble orden de motivos.</w:t>
      </w:r>
    </w:p>
    <w:p w:rsidR="0085709A" w:rsidRDefault="0085709A" w:rsidP="0085709A">
      <w:pPr>
        <w:pStyle w:val="TextoNormal"/>
      </w:pPr>
    </w:p>
    <w:p w:rsidR="0085709A" w:rsidRDefault="0085709A" w:rsidP="0085709A">
      <w:pPr>
        <w:pStyle w:val="TextoNormal"/>
      </w:pPr>
      <w:r>
        <w:t xml:space="preserve">Conforme a una muy reiterada doctrina constitucional, el uso del canon de proporcionalidad tiene un carácter complementario, en lugar de alternativo, al canon sobre el respeto de la limitación establecida al contenido esencial, que se erige así, como ya se ha razonado, en el juicio de constitucionalidad sobre derechos fundamentales de primer grado. Por decirlo con las contundentes y clarificadoras palabras de la STC 57/1994, FJ 6, luego repetidas en otras muchas [a título ejemplificativo SSTC 143/1994, de 9 de mayo, FJ 6; 98/2000, de 10 de abril, FJ 5; 186/2000, de 10 de julio, FJ 5; 156/2001, de 2 de julio, FJ 4 y 70/2002, de 3 de abril FJ 10 b)], el ejercicio de los derechos fundamentales (en el caso a examen, el derecho a la intimidad) puede ceder ante otros derechos o intereses “constitucionalmente relevantes, siempre que el recorte que aquél haya de experimentar se revele como necesario para lograr el fin legítimo perseguido, proporcionado para alcanzarlo </w:t>
      </w:r>
      <w:r w:rsidRPr="0085709A">
        <w:rPr>
          <w:i/>
        </w:rPr>
        <w:t>y, en todo caso, sea respetuoso con el contenido esencial del derecho</w:t>
      </w:r>
      <w:r>
        <w:t>” (cursiva mía).</w:t>
      </w:r>
    </w:p>
    <w:p w:rsidR="0085709A" w:rsidRDefault="0085709A" w:rsidP="0085709A">
      <w:pPr>
        <w:pStyle w:val="TextoNormal"/>
      </w:pPr>
    </w:p>
    <w:p w:rsidR="0085709A" w:rsidRDefault="0085709A" w:rsidP="0085709A">
      <w:pPr>
        <w:pStyle w:val="TextoNormal"/>
      </w:pPr>
      <w:r>
        <w:t>En íntima conexión con lo que vengo de argumentar, se sitúa la segunda razón de mi disenso con el recurso al canon de proporcionalidad. De ordinario y como regla general, éste se utiliza por nuestra jurisprudencia en un entorno bien distinto al predicable de la queja sobre la inconstitucionalidad del art. 41 LET. Este canon, en efecto, suele manejarse en una situación de conflicto entre dos derechos, bienes y valores constitucionalmente relevantes, siendo su objetivo verificar si la restricción impuesta a uno de los derechos a contraste resulta idónea, necesaria y proporcionada.</w:t>
      </w:r>
    </w:p>
    <w:p w:rsidR="0085709A" w:rsidRDefault="0085709A" w:rsidP="0085709A">
      <w:pPr>
        <w:pStyle w:val="TextoNormal"/>
      </w:pPr>
    </w:p>
    <w:p w:rsidR="0085709A" w:rsidRDefault="0085709A" w:rsidP="0085709A">
      <w:pPr>
        <w:pStyle w:val="TextoNormal"/>
      </w:pPr>
      <w:r>
        <w:t>De seguro, el efecto más criticable de este enfoque metodológico —como ya tuve ocasión de razonarlo en el voto particular a la STC 119/2014— reside en que el juicio de proporcionalidad termina alejándose del territorio constitucional, para, probablemente de forma deliberada, recaer en otra zona que, por su elasticidad, resulta más propicia para avalar las, a veces, disimuladas o encubiertas extralimitaciones constitucionales de la reforma laboral; aludo, claro está, a la zona de la legalidad ordinaria.</w:t>
      </w:r>
    </w:p>
    <w:p w:rsidR="0085709A" w:rsidRDefault="0085709A" w:rsidP="0085709A">
      <w:pPr>
        <w:pStyle w:val="TextoNormal"/>
      </w:pPr>
    </w:p>
    <w:p w:rsidR="0085709A" w:rsidRDefault="0085709A" w:rsidP="0085709A">
      <w:pPr>
        <w:pStyle w:val="TextoNormal"/>
      </w:pPr>
      <w:r>
        <w:t xml:space="preserve">La lectura del desarrollo argumental del canon de proporcionalidad que la sentencia construye para salvar los reproches de inconstitucionalidad vertidos sobre el tan citado art. 41 LET, ilustra de manera ejemplar la anterior aseveración. La Sentencia de la que disiento, en efecto, califica la nueva regulación de la modificación sustancial de las condiciones colectivas de trabajo como idónea, necesaria y proporcionada. A tales efectos: i) la idoneidad se deduce del hecho de que la medida es adecuada “para alcanzar el fin constitucionalmente legítimo perseguido por ella, esto es, evitar la destrucción del puesto de trabajo”. ii) la necesidad deriva de que “no se advierte que se haya producido por el legislador un sacrificio patentemente innecesario de los derechos que la Constitución garantiza, a la vista de los </w:t>
      </w:r>
      <w:r>
        <w:lastRenderedPageBreak/>
        <w:t>condicionantes (legales, se entiende) a los que se somete el ejercicio de la facultad empresarial” y iii) la medida, en fin, es “ponderada, no solo por los límites y garantías a las que la ha sometido el legislador, sino también por derivarse de su aplicación más ventajas para el derecho al trabajo que perjuicios para el derecho a la negociación colectiva”.</w:t>
      </w:r>
    </w:p>
    <w:p w:rsidR="0085709A" w:rsidRDefault="0085709A" w:rsidP="0085709A">
      <w:pPr>
        <w:pStyle w:val="TextoNormal"/>
      </w:pPr>
    </w:p>
    <w:p w:rsidR="0085709A" w:rsidRDefault="0085709A" w:rsidP="0085709A">
      <w:pPr>
        <w:pStyle w:val="TextoNormal"/>
      </w:pPr>
      <w:r>
        <w:t>Cualquier jurista medianamente avezado con la legislación laboral puede confirmar, en efecto, que el criterio que sostiene la desestimación de las censuras de inconstitucionalidad dirigidas al art. 41 LET, es un canon de estricta legalidad ordinaria, bastándole para alcanzar esa conclusión reparar en una serie de datos, directamente deducibles de la simple lectura de la sentencia.</w:t>
      </w:r>
    </w:p>
    <w:p w:rsidR="0085709A" w:rsidRDefault="0085709A" w:rsidP="0085709A">
      <w:pPr>
        <w:pStyle w:val="TextoNormal"/>
      </w:pPr>
    </w:p>
    <w:p w:rsidR="0085709A" w:rsidRDefault="0085709A" w:rsidP="0085709A">
      <w:pPr>
        <w:pStyle w:val="TextoNormal"/>
      </w:pPr>
      <w:r>
        <w:t>i) El fin atribuido a la medida legislativa, que salva el juicio de idoneidad, deriva de la declaración contenida en la exposición de motivos de la Ley 3/2012; pero es esta una declaración que carece de la obligada correspondencia con la regulación legalmente estatuida. Sin perjuicio de lo que habrá de razonarse más adelante, el fin primero y esencial, aquel que define las modificaciones sustanciales de las condiciones de trabajo, individuales o colectivas, y caracteriza su régimen jurídico, no reside en evitar la destrucción de empleo sino, y ello es bien diferente, en poner a disposición del empresario un mecanismo de adaptación de las condiciones de trabajo. De ahí, que el recurso por un empresario a la medida contemplada en el art. 41 no le cierra las puertas a la adopción, de manera anticipada, simultánea o sucesiva, ni de otras medidas de flexibilidad interna (por ejemplo, suspensión de los contratos de trabajo o reducción de la jornada laboral: art. 47 LET) ni tampoco —y se trata del dato decisivo para desmontar la tesis propuesta— de los dispositivos de flexibilidad externa más extremos; esto es, del recurso a despidos por funcionamiento de la empresa, tanto individuales [art. 52 c) LET] como colectivos (art. 51 LET).</w:t>
      </w:r>
    </w:p>
    <w:p w:rsidR="0085709A" w:rsidRDefault="0085709A" w:rsidP="0085709A">
      <w:pPr>
        <w:pStyle w:val="TextoNormal"/>
      </w:pPr>
    </w:p>
    <w:p w:rsidR="0085709A" w:rsidRDefault="0085709A" w:rsidP="0085709A">
      <w:pPr>
        <w:pStyle w:val="TextoNormal"/>
      </w:pPr>
      <w:r>
        <w:t>ii) El test de necesidad queda superado en razón de los límites —de los “condicionantes”, por expresar la idea con el lenguaje de la sentencia de la mayoría— a su ejercicio que el propio pasaje legal controvertido ha implantado. Incluso en un alarde de autismo hermenéutico, la sentencia no duda en confirmar la validez de este test mediante la simple constatación de que la modificación unilateral de las condiciones colectivas de trabajo es un recurso solo permitido en caso de fracaso de la preceptiva negociación abierta durante el período de consulta, sin entretenerse a comentar, aunque sea de pasada, que el art. 82.3 LET, sin embargo, no consiente al empresario adoptar una similar decisión unilateral respecto de las condiciones de trabajo contenidas en otro tipo de convenio colectivo, el denominado estatutario, que se diferencia del sujeto a la disciplina del art. 41 LET —manifiestamente más lesiva para el art. 37.1 CE— en atención no a su fuerza vinculante, similar en ambas modalidades, sino a su eficacia personal. En posterior apartado, tendré ocasión de retornar sobre este concreto aspecto del pasaje legal controvertido.</w:t>
      </w:r>
    </w:p>
    <w:p w:rsidR="0085709A" w:rsidRDefault="0085709A" w:rsidP="0085709A">
      <w:pPr>
        <w:pStyle w:val="TextoNormal"/>
      </w:pPr>
    </w:p>
    <w:p w:rsidR="0085709A" w:rsidRDefault="0085709A" w:rsidP="0085709A">
      <w:pPr>
        <w:pStyle w:val="TextoNormal"/>
      </w:pPr>
      <w:r>
        <w:t xml:space="preserve">iii) Finalmente, el juicio de proporcionalidad queda solventado mediante la invocación de un doble orden de factores: de un lado y nuevamente, por los “límites y garantías” a los que el legislador ha sujetado la regulación de la institución cuestionada y, de otro, por cuanto su aplicación reporta más ventajas “para el derecho del trabajo que perjuicios para el derecho a la negociación colectiva”. Sin entrar a rebatir la anómala atribución al régimen jurídico del art. 41 LET de su condición de elemento decisivo para la positiva confrontación tanto del test de necesidad como del de proporcionalidad, el segundo de los factores enunciados, haciendo gala de la más canónica de las interpretaciones apodícticas que se puedan </w:t>
      </w:r>
      <w:r>
        <w:lastRenderedPageBreak/>
        <w:t>imaginar, incurre, por lo pronto, en una grave omisión, de tono no susceptible de calificarse como menor, cual es la de identificar con la necesaria claridad en qué consisten las ventajas reportadas al derecho al trabajo y los perjuicios ocasionados a la fuerza vinculante de los convenios colectivos. Pero además de este poco razonable olvido y suponiendo, lo que de seguro es mucho suponer, que la finalidad de la regla del texto refundido de la Ley del estatuto de los trabajadores controvertida resida en evitar la destrucción del empleo, este concreto factor, ahora invocado con vistas a reforzar la condición de medida ponderada y proporcionada de la citada regla legal, opta por someter a contraste dos derechos constitucionales que, por su muy distinta titularidad y naturaleza (individual y colectivo), no toleran una confrontación comparativa en términos de ventajas y perjuicios; o, al menos, no lo toleran sin haber realizado un previo ejercicio de justificación argumental.</w:t>
      </w:r>
    </w:p>
    <w:p w:rsidR="0085709A" w:rsidRDefault="0085709A" w:rsidP="0085709A">
      <w:pPr>
        <w:pStyle w:val="TextoNormal"/>
      </w:pPr>
    </w:p>
    <w:p w:rsidR="0085709A" w:rsidRDefault="0085709A" w:rsidP="0085709A">
      <w:pPr>
        <w:pStyle w:val="TextoNormal"/>
      </w:pPr>
      <w:r>
        <w:t>Por lo demás, y no es lo de menos, la configuración de la restricción a la fuerza vinculante de los convenios colectivos instrumentada a través del art. 41 LET como una medida ponderada por los motivos ya expuestos no solo no logra rebasar el más benévolo test de proporcionalidad en sentido estricto; a un nivel más intenso, aquella configuración comporta el quebrantamiento, de manera radical y sin modulaciones, de los principios más elementales que informan el propio test. Instalando mi razonamiento en una posición alineada con el enfoque metodológico empleado, que en modo alguno comparto, esta ruptura trae causa en un elemento decisivo; a saber, la medida legal no comporta una limitación proporcionada del derecho constitucional controvertido; sencillamente, lo anula. En esta situación, que razonaré más adelante bien que desde un diferente canon de constitucionalidad, la adjudicación al derecho al trabajo —ya de por sí discutible— de una posición preferente y a la fuerza vinculante del convenio colectivo de una posición claudicante da de lado e ignora de manera frontal el principio de equivalencia que debe informar todo juicio de ponderación.</w:t>
      </w:r>
    </w:p>
    <w:p w:rsidR="0085709A" w:rsidRDefault="0085709A" w:rsidP="0085709A">
      <w:pPr>
        <w:pStyle w:val="TextoNormal"/>
      </w:pPr>
    </w:p>
    <w:p w:rsidR="0085709A" w:rsidRDefault="0085709A" w:rsidP="0085709A">
      <w:pPr>
        <w:pStyle w:val="TextoNormal"/>
      </w:pPr>
      <w:r>
        <w:t>Quinto. Las consecuencias negativas de la preterición del examen del contenido esencial de los derechos presuntamente vulnerados por determinados pasajes legales de la Ley 3/2012 y de su sustitución por otros cánones alternativos, con el consiguiente aposentamiento del razonamiento en el territorio de la legalidad ordinaria, resultan aún más visibles en relación con el enjuiciamiento de art. 51.1 LET, al que la parte recurrente censura por haber lesionado el art. 35.1 CE. La sentencia de la mayoría se ocupa de analizar esta tacha en el FJ 7 a), ateniéndose a la sistemática que se expone seguidamente.</w:t>
      </w:r>
    </w:p>
    <w:p w:rsidR="0085709A" w:rsidRDefault="0085709A" w:rsidP="0085709A">
      <w:pPr>
        <w:pStyle w:val="TextoNormal"/>
      </w:pPr>
    </w:p>
    <w:p w:rsidR="0085709A" w:rsidRDefault="0085709A" w:rsidP="0085709A">
      <w:pPr>
        <w:pStyle w:val="TextoNormal"/>
      </w:pPr>
      <w:r>
        <w:t>Tras situar el debate a examen, dedica un primer párrafo a sintetizar la doctrina constitucional sobre el art. 35.1 CE, poniendo el máximo énfasis en la que califica como opción constitucional de deferir a la decisión del legislador la determinación de las causas de extinción del contrato de trabajo y, por consiguiente, no deteniéndose en analizar los límites que a la libertad del legislador impone el contenido esencial del derecho cuestionado.</w:t>
      </w:r>
    </w:p>
    <w:p w:rsidR="0085709A" w:rsidRDefault="0085709A" w:rsidP="0085709A">
      <w:pPr>
        <w:pStyle w:val="TextoNormal"/>
      </w:pPr>
    </w:p>
    <w:p w:rsidR="0085709A" w:rsidRDefault="0085709A" w:rsidP="0085709A">
      <w:pPr>
        <w:pStyle w:val="TextoNormal"/>
      </w:pPr>
      <w:r>
        <w:t xml:space="preserve">Por cierto, no deja de llamar la atención que, en el contexto sistemático que se analiza, la sentencia de la que me separo traiga a colación de manera expresa, bien que descontextualizándola por completo, la STC 198/2012, a fin de trazar las limitaciones sustantivas de la función atribuida a este Tribunal: “no corresponde a este Tribunal enjuiciar la oportunidad o conveniencia de la elección hecha por el legislador para valorar si es la más adecuada o la mejor de las posibles”. La afirmación reproducida de esta última resolución, en efecto, se hace no solo ni tanto en un entorno temático por completo alejado del laboral, cual es el relativo a la ley reguladora del matrimonio de personas del mismo sexo; se formula tras </w:t>
      </w:r>
      <w:r>
        <w:lastRenderedPageBreak/>
        <w:t xml:space="preserve">declarar que “lo que hace el legislador en uso de la libertad de configuración que le concede la Constitución es modificar el régimen de ejercicio del derecho constitucional al matrimonio </w:t>
      </w:r>
      <w:r w:rsidRPr="0085709A">
        <w:rPr>
          <w:i/>
        </w:rPr>
        <w:t>sin afectar a su contenido</w:t>
      </w:r>
      <w:r>
        <w:t xml:space="preserve">, ni menoscabar el derecho al matrimonio de las personas heterosexuales … y sin que </w:t>
      </w:r>
      <w:r w:rsidRPr="0085709A">
        <w:rPr>
          <w:i/>
        </w:rPr>
        <w:t>la opción adoptada suponga denegar a cualquier persona o restringirle el derecho constitucional</w:t>
      </w:r>
      <w:r>
        <w:t xml:space="preserve"> a contraer o a no contraer matrimonio” (cursivas mías). Y es entonces, inmediatamente después de efectuar las conclusiones que se acaban de transcribir, cuando ese pronunciamiento, la STC 198/2012, procede a describir en negativo las funciones de este Tribunal.</w:t>
      </w:r>
    </w:p>
    <w:p w:rsidR="0085709A" w:rsidRDefault="0085709A" w:rsidP="0085709A">
      <w:pPr>
        <w:pStyle w:val="TextoNormal"/>
      </w:pPr>
    </w:p>
    <w:p w:rsidR="0085709A" w:rsidRDefault="0085709A" w:rsidP="0085709A">
      <w:pPr>
        <w:pStyle w:val="TextoNormal"/>
      </w:pPr>
      <w:r>
        <w:t>Retornando a la sistemática empleada, la sentencia de la mayoría entra a examinar la evolución experimentada en nuestro sistema de relaciones laborales en el régimen jurídico de los despidos colectivos, dispensando una especial atención a las tres siguientes regulaciones legales: la originaria de 1980, la de 2010 y la de 2012. Este análisis ocupa casi dos tercios del espacio consagrado a verificar la presunta vulneración del art. 35.1 CE por el art. 51.1 LET.</w:t>
      </w:r>
    </w:p>
    <w:p w:rsidR="0085709A" w:rsidRDefault="0085709A" w:rsidP="0085709A">
      <w:pPr>
        <w:pStyle w:val="TextoNormal"/>
      </w:pPr>
    </w:p>
    <w:p w:rsidR="0085709A" w:rsidRDefault="0085709A" w:rsidP="0085709A">
      <w:pPr>
        <w:pStyle w:val="TextoNormal"/>
      </w:pPr>
      <w:r>
        <w:t xml:space="preserve">Finalmente y sin solución de continuidad, se procede a construir el juicio de constitucionalidad, que arranca con una expresión que lo enlaza con la evolución normativa efectuada inmediatamente antes: “Según lo que antecede, no puede afirmarse que el precepto impugnado haya consagrado un despido no causal o </w:t>
      </w:r>
      <w:r w:rsidRPr="0085709A">
        <w:rPr>
          <w:i/>
        </w:rPr>
        <w:t>ad nutum</w:t>
      </w:r>
      <w:r>
        <w:t>”. Una lectura de los ulteriores y sumarios argumentos confirma que la constitucionalidad de la regla legal controvertida la aportan los contenidos normativos ya presentes en la Ley del estatuto de los trabajadores desde su primera versión. Sin aludir, ni siquiera de manera colateral, al derecho constitucional presuntamente lesionado, el derecho al trabajo en su vertiente individual, la sentencia de la mayoría instala su razonamiento en el plano de la más estricta legalidad infraconstitucional, llevando a cabo un análisis exquisitamente comparativo de las ordenaciones legales derogada y vigente para concluir, de manera apodíctica, con la afirmación siguiente: “la nueva redacción no otorga mayor espacio a la discrecionalidad empresarial que la anterior en la adopción de una decisión extintiva, sino que, atendiendo, a las exigencias derivadas del principio de seguridad jurídica (art. 9.3 CE), dota de mayor certidumbre al contenido de la decisión …”.</w:t>
      </w:r>
    </w:p>
    <w:p w:rsidR="0085709A" w:rsidRDefault="0085709A" w:rsidP="0085709A">
      <w:pPr>
        <w:pStyle w:val="TextoNormal"/>
      </w:pPr>
    </w:p>
    <w:p w:rsidR="0085709A" w:rsidRDefault="0085709A" w:rsidP="0085709A">
      <w:pPr>
        <w:pStyle w:val="TextoNormal"/>
      </w:pPr>
      <w:r>
        <w:t>Sexto. Ya he hecho constar que la sentencia de la que disiento reemplaza el canon que resulta de obligado uso en aquellos procesos constitucionales cuyo objeto es la presunta inconstitucionalidad de una restricción de un derecho constitucional por otro, que resulta no tanto complementario del anterior sino, con mayor rigor, subordinado o accesorio y, por consiguiente y en modo alguno, alterno: el canon de proporcionalidad en sentido amplio. Pero en ocasiones, incluso, este canon se sustituye por un mero análisis de justificación no arbitraria y razonable de la medida legal controvertida, análisis este más propio de la presunta violación por una norma legal del principio de interdicción de la arbitrariedad (art. 9.3 CE) que de las limitaciones impuestas al ejercicio de derechos constitucionales, amparados por la garantía del respeto al contenido esencial.</w:t>
      </w:r>
    </w:p>
    <w:p w:rsidR="0085709A" w:rsidRDefault="0085709A" w:rsidP="0085709A">
      <w:pPr>
        <w:pStyle w:val="TextoNormal"/>
      </w:pPr>
    </w:p>
    <w:p w:rsidR="0085709A" w:rsidRDefault="0085709A" w:rsidP="0085709A">
      <w:pPr>
        <w:pStyle w:val="TextoNormal"/>
      </w:pPr>
      <w:r>
        <w:t xml:space="preserve">Tal acontece, de manera ejemplar, con el reproche de violación del art. 35.1 CE que los recurrentes hacen al nuevo régimen jurídico de los salarios de tramitación, que se despacha —trayendo de nuevo a colación el párrafo final de la STC 198/2012, FJ 11— en base al análisis que se efectúa de dicho régimen. Por decirlo en sus propios y sumarios términos: </w:t>
      </w:r>
      <w:r>
        <w:lastRenderedPageBreak/>
        <w:t>“la opción legislativa controvertida, en el marco en que se inserta, cuenta con una justificación que no puede tacharse de arbitraria o irrazonable”. Por lo demás, la sentencia vuelve a descontextualizar la jurisprudencia sentada por este Tribunal. En esta ocasión, se citan las SSTC 84/2008, de 21 de julio, y 122/2008, de 20 de octubre, que, como habrá ocasión de razonar más adelante, enjuiciaron los salarios de tramitación desde el ámbito de los arts. 14 y 24.1 CE, estableciendo una doctrina que, sin ofrecer razonamiento alguno, se dice también aplicable al art. 35.1 CE.</w:t>
      </w:r>
    </w:p>
    <w:p w:rsidR="0085709A" w:rsidRDefault="0085709A" w:rsidP="0085709A">
      <w:pPr>
        <w:pStyle w:val="TextoNormal"/>
      </w:pPr>
    </w:p>
    <w:p w:rsidR="0085709A" w:rsidRDefault="0085709A" w:rsidP="0085709A">
      <w:pPr>
        <w:pStyle w:val="TextoNormal"/>
      </w:pPr>
      <w:r>
        <w:t>3.- Primero. El primero de mis disentimientos de carácter sustantivo se centra en la validación que el pronunciamiento mayoritariamente adoptado hace de la regla contenida en el art. 41 LET que, en lo que aquí importa reseñar, autoriza al empresario a la modificación sustancial de condiciones colectivas de trabajo, entendiendo por tales aquellas que, estando “reconocidas en acuerdos o pactos colectivos”, afecten a un número de trabajadores que no supere los umbrales legalmente establecidos, diferenciados en atención al censo de la plantilla de la empresa.</w:t>
      </w:r>
    </w:p>
    <w:p w:rsidR="0085709A" w:rsidRDefault="0085709A" w:rsidP="0085709A">
      <w:pPr>
        <w:pStyle w:val="TextoNormal"/>
      </w:pPr>
    </w:p>
    <w:p w:rsidR="0085709A" w:rsidRDefault="0085709A" w:rsidP="0085709A">
      <w:pPr>
        <w:pStyle w:val="TextoNormal"/>
      </w:pPr>
      <w:r>
        <w:t>En el apartado anterior he efectuado algunas observaciones críticas sobre los cánones de enjuiciamiento constitucional empleados por la resolución de la que me distancio, resultando ahora oportuno efectuar un doble y combinado recordatorio. De un lado, he objetado el contenido sustantivo del juicio de proporcionalidad en sentido amplio del que la sentencia se vale para rechazar la censura de inconstitucionalidad vertida sobre aquel pasaje legal, descartando así la violación del art. 37.1 CE. De otro, he hecho constar que el canon primero y esencial para calificar desde una perspectiva constitucional las restricciones o limitaciones a los derechos constitucionales ha de instrumentarse mediante el examen de la afectación o no de su contenido esencial.</w:t>
      </w:r>
    </w:p>
    <w:p w:rsidR="0085709A" w:rsidRDefault="0085709A" w:rsidP="0085709A">
      <w:pPr>
        <w:pStyle w:val="TextoNormal"/>
      </w:pPr>
    </w:p>
    <w:p w:rsidR="0085709A" w:rsidRDefault="0085709A" w:rsidP="0085709A">
      <w:pPr>
        <w:pStyle w:val="TextoNormal"/>
      </w:pPr>
      <w:r>
        <w:t>Sin insistir ahora en argumentos ya expuestos, el obligado criterio de enjuiciamiento para poder fundamentar que, en un sentido discrepante al sostenido por la sentencia de la mayoría, el art. 41 LET lesiona de manera frontal la garantía constitucional alegada por la parte recurrente —esto es, la fuerza vinculante de los convenios colectivos— exige, como no puede ser de otro modo, analizar si la regulación establecida sobre la modificación sustancial de condiciones de trabajo de carácter colectivo ha invadido el contenido esencial de dicha garantía, desconociéndolo y, por consiguiente, lesionándolo . Es ésta una tarea interpretativa que abordaré en dos tiempos. En el primero, examinaré el ámbito de imputación normativa de la fuerza vinculante de los convenios con vistas a demostrar que la noción legal “acuerdos o pactos colectivos”, cuyas condiciones de trabajo pueden ser modificadas unilateralmente por el empresario, entra dentro de ese ámbito normativo. Una vez aclarado este importante extremo, abordaré ya el tema central del canon de constitucionalidad enunciado.</w:t>
      </w:r>
    </w:p>
    <w:p w:rsidR="0085709A" w:rsidRDefault="0085709A" w:rsidP="0085709A">
      <w:pPr>
        <w:pStyle w:val="TextoNormal"/>
      </w:pPr>
    </w:p>
    <w:p w:rsidR="0085709A" w:rsidRDefault="0085709A" w:rsidP="0085709A">
      <w:pPr>
        <w:pStyle w:val="TextoNormal"/>
      </w:pPr>
      <w:r>
        <w:t>Segundo. No obstante ello, no me parece impertinente resaltar en modo muy sumario los aspectos más sobresalientes introducidos por la Ley 3/2012 con incidencia en la regulación controvertida.</w:t>
      </w:r>
    </w:p>
    <w:p w:rsidR="0085709A" w:rsidRDefault="0085709A" w:rsidP="0085709A">
      <w:pPr>
        <w:pStyle w:val="TextoNormal"/>
      </w:pPr>
    </w:p>
    <w:p w:rsidR="0085709A" w:rsidRDefault="0085709A" w:rsidP="0085709A">
      <w:pPr>
        <w:pStyle w:val="TextoNormal"/>
      </w:pPr>
      <w:r>
        <w:t xml:space="preserve">La ley impugnada ha reformado intensamente el régimen jurídico de “las modificaciones sustanciales de condiciones de trabajo” establecido en el art. 41 del texto estatutario. Del conjunto de cambios introducidos, una especial relevancia jurídica tiene el cambio llevado a cabo en el criterio de la distinción entre las modificaciones sustanciales de condiciones de </w:t>
      </w:r>
      <w:r>
        <w:lastRenderedPageBreak/>
        <w:t>trabajo de carácter individual y de carácter colectivo. Para una mejor comprensión del alcance e impacto de dicho cambio, no resultará impertinente efectuar algunas referencias al régimen jurídico vigente con anterioridad a la aprobación de la reforma laboral de 2012.</w:t>
      </w:r>
    </w:p>
    <w:p w:rsidR="0085709A" w:rsidRDefault="0085709A" w:rsidP="0085709A">
      <w:pPr>
        <w:pStyle w:val="TextoNormal"/>
      </w:pPr>
    </w:p>
    <w:p w:rsidR="0085709A" w:rsidRDefault="0085709A" w:rsidP="0085709A">
      <w:pPr>
        <w:pStyle w:val="TextoNormal"/>
      </w:pPr>
      <w:r>
        <w:t>Desde la entrada en vigor de la Ley 11/1994, de reforma del texto refundido de la Ley del estatuto de los trabajadores, aquella distinción se asentó sobre un criterio bastante acorde con la calificación legal de esta tipología; a saber: la naturaleza de la fuente atributiva de la condición que se pretende mutar. La legislación, en efecto, configuraba como individuales las modificaciones de condiciones acordadas mediante pacto individual o concedidas unilateralmente por el empresario con efectos individuales y como colectivas aquellas otras contenidas en acuerdos o pactos colectivos o concedidas unilateralmente por el empresarios con efectos colectivos. No obstante, esta regla general, en relación con la modificación de dos concretas condiciones, las funcionales y el horario de trabajo, se excepcionaba, entrando entonces en juego para la calificación jurídica un segundo criterio: el de los umbrales; esto es, el relativo al número de trabajadores afectados en función del censo de la empresa. En todo caso, la configuración de una concreta decisión modificativa del empresario como individual o como colectiva tenía (y sigue teniendo) una relevante consecuencia en la intensidad o grado de la participación de los representantes de los trabajadores: mientras que, al menos en la literalidad del art. 41 LET, las modificaciones colectivas exigían la apertura de un período de consultas con vistas a alcanzar un acuerdo, la única exigencia condicionante del válido ejercicio por el empresario de las modificaciones individuales consistía y sigue consistiendo en un simple deber de notificación de la decisión adoptada a los mencionados representantes.</w:t>
      </w:r>
    </w:p>
    <w:p w:rsidR="0085709A" w:rsidRDefault="0085709A" w:rsidP="0085709A">
      <w:pPr>
        <w:pStyle w:val="TextoNormal"/>
      </w:pPr>
    </w:p>
    <w:p w:rsidR="0085709A" w:rsidRDefault="0085709A" w:rsidP="0085709A">
      <w:pPr>
        <w:pStyle w:val="TextoNormal"/>
      </w:pPr>
      <w:r>
        <w:t>Como ya he anticipado, la Ley 3/2012 ha revisado en profundidad el régimen de diferenciación entre modificaciones individuales y colectivas, suprimiendo el criterio de la valoración de la naturaleza de la fuente de fijación de la modificación o, lo que es igual, uniformando el régimen jurídico en derredor a los umbrales. Con semejante mudanza normativa, el ámbito de las modificaciones sustanciales de dimensión individual se ha ampliado en la misma dimensión en que se ha estrechado el campo de vigencia de las modificaciones de carácter colectivo.</w:t>
      </w:r>
    </w:p>
    <w:p w:rsidR="0085709A" w:rsidRDefault="0085709A" w:rsidP="0085709A">
      <w:pPr>
        <w:pStyle w:val="TextoNormal"/>
      </w:pPr>
    </w:p>
    <w:p w:rsidR="0085709A" w:rsidRDefault="0085709A" w:rsidP="0085709A">
      <w:pPr>
        <w:pStyle w:val="TextoNormal"/>
      </w:pPr>
      <w:r>
        <w:t>En todo caso, la parte recurrente se limita a impugnar el régimen de las modificaciones colectivas, como por otra parte así lo advierte la sentencia de mi disenso. No obstante, entiendo que el criterio decisivo para apreciar la inconstitucionalidad de la nueva regulación ni depende ni conecta —pues se trata de una noción de estricta legalidad ordinaria— con el carácter individual o colectivo de la modificación misma sino, y ello es bien diferente, de la fuente que instituye las condiciones de trabajo que se modifican unilateralmente por el empresario. En otras palabras, el número de trabajadores afectados constituye, desde una vertiente constitucional, un dato inocuo, siendo lo verdaderamente decisivo el que la condición modificada se encuentre regulada en un instrumento nacido de la negociación colectiva. En razón de ello, considero que la inconstitucionalidad aplicable a las modificaciones legalmente denominadas como colectivas debe predicarse también, por razones de conexión, de las modificaciones legalmente tipificadas como individuales, siempre y cuando la medida empresarial modifique el contenido normativo de un “acuerdo o pacto colectivo”.</w:t>
      </w:r>
    </w:p>
    <w:p w:rsidR="0085709A" w:rsidRDefault="0085709A" w:rsidP="0085709A">
      <w:pPr>
        <w:pStyle w:val="TextoNormal"/>
      </w:pPr>
    </w:p>
    <w:p w:rsidR="0085709A" w:rsidRDefault="0085709A" w:rsidP="0085709A">
      <w:pPr>
        <w:pStyle w:val="TextoNormal"/>
      </w:pPr>
      <w:r>
        <w:t xml:space="preserve">Tercero. La jurisprudencia constitucional ha tenido oportunidad de pronunciarse en distintas ocasiones sobre el ámbito de protección de la garantía constitucional de la fuerza </w:t>
      </w:r>
      <w:r>
        <w:lastRenderedPageBreak/>
        <w:t>vinculante, resultando decisiva a estos efectos la doctrina sentada por la STC 121/2001, de 4 de junio, que en verdad no hace sino reiterar, para el caso a examen, una orientación ya mantenida en anteriores resoluciones (entre otras muchas, SSTC 73/1984, de 11 de julio; 98/1985, de 29 de septiembre; 57/1989, de 16 de marzo y 108/1989, de 8 de junio).</w:t>
      </w:r>
    </w:p>
    <w:p w:rsidR="0085709A" w:rsidRDefault="0085709A" w:rsidP="0085709A">
      <w:pPr>
        <w:pStyle w:val="TextoNormal"/>
      </w:pPr>
    </w:p>
    <w:p w:rsidR="0085709A" w:rsidRDefault="0085709A" w:rsidP="0085709A">
      <w:pPr>
        <w:pStyle w:val="TextoNormal"/>
      </w:pPr>
      <w:r>
        <w:t>En el referido pronunciamiento, en el de 4 de junio de 2001, el Tribunal Constitucional se planteó la cuestión de determinar el alcance y eficacia jurídica de un acuerdo de empresa, denominado “plan de viabilidad”, suscrito entre una sección sindical y una determinada empresa y cuyo contenido versaba sobre una pluralidad de cláusulas, entre otras acciones de saneamiento financiero, plan de reducción de gastos y marco de relaciones laborales. Esta pluralidad y complejidad de las materias no impedirá al Tribunal Constitucional calificar al citado acuerdo de empresa como un instrumento nacido de la autonomía negocial. Por utilizar sus propias palabras:</w:t>
      </w:r>
    </w:p>
    <w:p w:rsidR="0085709A" w:rsidRDefault="0085709A" w:rsidP="0085709A">
      <w:pPr>
        <w:pStyle w:val="TextoNormal"/>
      </w:pPr>
    </w:p>
    <w:p w:rsidR="0085709A" w:rsidRDefault="0085709A" w:rsidP="0085709A">
      <w:pPr>
        <w:pStyle w:val="TextoNormal"/>
      </w:pPr>
      <w:r>
        <w:t>“Este carácter complejo y plural del que aparece dotado el pacto controvertido impide una consideración conjunta del mismo, al mezclarse en él materias que caen en el ámbito de las decisiones de gestión económica empresarial con otras de contenido típicamente laboral. No obstante ... la llamada por la empresa a sujetos colectivos para participar en su conclusión, así como la repercusión socio-laboral de las materias objeto del acuerdo, sirve para modalizar su naturaleza y lo convierte en un típico producto de la negociación colectiva, sometido, por tanto, a las reglas, principios y límites constitucionalmente definidos, entre otros, aquellos derivados del libre ejercicio del derecho de libertad sindical.” (FJ 5, párrafo segundo).</w:t>
      </w:r>
    </w:p>
    <w:p w:rsidR="0085709A" w:rsidRDefault="0085709A" w:rsidP="0085709A">
      <w:pPr>
        <w:pStyle w:val="TextoNormal"/>
      </w:pPr>
    </w:p>
    <w:p w:rsidR="0085709A" w:rsidRDefault="0085709A" w:rsidP="0085709A">
      <w:pPr>
        <w:pStyle w:val="TextoNormal"/>
      </w:pPr>
      <w:r>
        <w:t xml:space="preserve">Por si la doctrina que se viene de transcribir no fuera suficientemente clara y contundente, las reflexiones del Tribunal Constitucional ahondarán y profundizarán aún más, si cabe, en la misma tesis; a saber, en el reconocimiento de la garantía de la fuerza vinculante a todo instrumento nacido del derecho a la negociación colectiva, aun cuando ni pertenezca a la categoría de convenio colectivo ni su eficacia personal sea la propia de los convenios colectivos estatutarios; esto es, la eficacia general </w:t>
      </w:r>
      <w:r w:rsidRPr="0085709A">
        <w:rPr>
          <w:i/>
        </w:rPr>
        <w:t>o erga omn</w:t>
      </w:r>
      <w:r>
        <w:t>es. En tal sentido, el párrafo tercero del FJ 5 razonará del tenor siguiente:</w:t>
      </w:r>
    </w:p>
    <w:p w:rsidR="0085709A" w:rsidRDefault="0085709A" w:rsidP="0085709A">
      <w:pPr>
        <w:pStyle w:val="TextoNormal"/>
      </w:pPr>
    </w:p>
    <w:p w:rsidR="0085709A" w:rsidRDefault="0085709A" w:rsidP="0085709A">
      <w:pPr>
        <w:pStyle w:val="TextoNormal"/>
      </w:pPr>
      <w:r>
        <w:t>“El resultado de esta actividad negocial no ha dado como resultado, en este caso, un convenio colectivo estatutario que busque establecer una regulación general aplicable al grupo de empresas al carecer de los requisitos que legalmente se imponen para su válida constitución. El Acuerdo entra, por ello, de lleno en el ámbito de los que la jurisprudencia y la doctrina han venido en denominar pactos extraestatutarios o de eficacia limitada ... Tales pactos, que se encuentran amparados por el art. 37 CE, en cuanto garantiza el derecho a la negociación colectiva entre los representantes de los trabajadores y los empresarios, carecen de eficacia persona</w:t>
      </w:r>
      <w:r w:rsidRPr="0085709A">
        <w:rPr>
          <w:i/>
        </w:rPr>
        <w:t>l erga omn</w:t>
      </w:r>
      <w:r>
        <w:t>es ...”</w:t>
      </w:r>
    </w:p>
    <w:p w:rsidR="0085709A" w:rsidRDefault="0085709A" w:rsidP="0085709A">
      <w:pPr>
        <w:pStyle w:val="TextoNormal"/>
      </w:pPr>
    </w:p>
    <w:p w:rsidR="0085709A" w:rsidRDefault="0085709A" w:rsidP="0085709A">
      <w:pPr>
        <w:pStyle w:val="TextoNormal"/>
      </w:pPr>
      <w:r>
        <w:t xml:space="preserve">En definitiva, la doble garantía constitucional enunciada en el art. 37.1 CE —la que asegura a los sujetos colectivos un espacio vital para la autorregulación de sus intereses recíprocos y asegura igualmente a los productos derivados de ese derecho de fuerza vinculante— tiene un alcance general, comprendiendo en su ámbito protector a la integridad de los instrumentos pactados por los representantes de los trabajadores y empresarios en el ejercicio de su derecho a la libertad negocial, sea cual sea su eficacia —general o limitada— y sea cual fuere la denominación asignada —convenio o acuerdo—, diferenciación, ésta </w:t>
      </w:r>
      <w:r>
        <w:lastRenderedPageBreak/>
        <w:t>última, construida sobre la base de un elemento accidental, cual es el contenido de lo pactado: general o con vocación de regular la totalidad de las condiciones de trabajo (convenio colectivo) o singular, destinado a tratar una materia o un grupo de materias dotadas de cierta homogeneidad.</w:t>
      </w:r>
    </w:p>
    <w:p w:rsidR="0085709A" w:rsidRDefault="0085709A" w:rsidP="0085709A">
      <w:pPr>
        <w:pStyle w:val="TextoNormal"/>
      </w:pPr>
    </w:p>
    <w:p w:rsidR="0085709A" w:rsidRDefault="0085709A" w:rsidP="0085709A">
      <w:pPr>
        <w:pStyle w:val="TextoNormal"/>
      </w:pPr>
      <w:r>
        <w:t>Cuarto. El segundo inciso del art. 37.1 CE dispone que “la ley garantizará ... la fuerza vinculante de los convenios”. En la STC 58/1985, de 30 de abril, el intérprete supremo de nuestra Constitución dejó escrito que la vinculabilidad de los convenios colectivos es una garantía “no derivada de la ley, sino propia que encuentra su expresión jurídica en el texto constitucional” (FJ 3). Con ello, el Tribunal Constitucional se inclinaba de manera resuelta por atribuir una eficacia directamente constitucional a la fuerza vinculante de los convenios colectivos. Pero eludía pronunciarse sobre el contenido esencial e indisponible de esta garantía constitucional; de una garantía cuya erosión o desconocimiento viciaría de inconstitucionalidad la regla jurídica dictada por el legislador al amparo del mandato formulado en el art. 37.1 CE. ¿Qué ha de entenderse por fuerza vinculante del convenio colectivo?.</w:t>
      </w:r>
    </w:p>
    <w:p w:rsidR="0085709A" w:rsidRDefault="0085709A" w:rsidP="0085709A">
      <w:pPr>
        <w:pStyle w:val="TextoNormal"/>
      </w:pPr>
    </w:p>
    <w:p w:rsidR="0085709A" w:rsidRDefault="0085709A" w:rsidP="0085709A">
      <w:pPr>
        <w:pStyle w:val="TextoNormal"/>
      </w:pPr>
      <w:r>
        <w:t>Desde una perspectiva estrictamente formal o, mejor aún, lexicológica, la expresión utilizada por el art. 37.1 CE tuvo un carácter innovador; más aún, introdujo en el lenguaje normativo una expresión que resultaba ajena a los usos lingüísticos de nuestro sistema jurídico laboral así como de los ordenamientos jurídicos vecinos, entendida esta vecindad como comunidad de estructuras, principios y valores de un Estado constitucional de Derecho. No obstante, y si apreciada desde una dimensión material, la novedad aportada por el art. 37.1 CE pierde buena parte de su fuste. Sea cual fuere el contenido que se le deba atribuir, la “fuerza vinculante” es un concepto que pertenece y se inserta en la teoría de los efectos del convenio colectivo. O en otras palabras, hablar de fuerza vinculante de los convenios colectivos equivale a hablar de su eficacia jurídica, del despliegue de cambios o transformaciones que, en la realidad jurídica, va a producir la vigencia de esa autónoma reglamentación de intereses que el convenio colectivo comporta.</w:t>
      </w:r>
    </w:p>
    <w:p w:rsidR="0085709A" w:rsidRDefault="0085709A" w:rsidP="0085709A">
      <w:pPr>
        <w:pStyle w:val="TextoNormal"/>
      </w:pPr>
    </w:p>
    <w:p w:rsidR="0085709A" w:rsidRDefault="0085709A" w:rsidP="0085709A">
      <w:pPr>
        <w:pStyle w:val="TextoNormal"/>
      </w:pPr>
      <w:r>
        <w:t>La natural y radical ubicación sistemático-normativa de la fuerza vinculante de los convenios colectivos en el campo de sus efectos no dice todavía nada sobre el contenido o modo de ser de esa eficacia. Pero aporta, en si misma considerada, alguna conclusión de notable interés; a saber: el mandato del art. 37.1 CE, que garantiza y ordena garantizar a la ley la fuerza vinculante de los convenios colectivos, se sitúa en un campo ajeno al de su naturaleza. Como no podía ser de otro modo, la CE ni se pronuncia ni prejuzga la naturaleza de ese acto que va a dar vida al convenio colectivo; y, menos aún, define el fundamento de dicho acto. Lo que el texto constitucional hace, desde su superioridad normativa, es, de un lado, garantizar al convenio colectivo un grado razonable y aceptable de efectividad en su cumplimiento, razonabilidad y aceptabilidad que quedan protegidas con la garantía enunciada en el art. 53.1 de la norma suprema. Y, de otro y desde esa misma superioridad y con estos condicionamientos, ordenar al legislador a que, al regular la negociación colectiva, respete dichas garantías.</w:t>
      </w:r>
    </w:p>
    <w:p w:rsidR="0085709A" w:rsidRDefault="0085709A" w:rsidP="0085709A">
      <w:pPr>
        <w:pStyle w:val="TextoNormal"/>
      </w:pPr>
    </w:p>
    <w:p w:rsidR="0085709A" w:rsidRDefault="0085709A" w:rsidP="0085709A">
      <w:pPr>
        <w:pStyle w:val="TextoNormal"/>
      </w:pPr>
      <w:r>
        <w:t xml:space="preserve">Una inteligencia de la citada garantía constitucional a la luz del discurrir histórico, de las experiencias jurídicas deparadas por los sistemas jurídicos comparados, de la propia conciencia social sobre la contribución de las instituciones encargadas de encarnar ese pluralismo y de lograr esa igualdad mediante la defensa y promoción de los intereses sociales y económicos que les son propios y, sobre todo, de los tratados y acuerdos internacionales </w:t>
      </w:r>
      <w:r>
        <w:lastRenderedPageBreak/>
        <w:t>suscritos por España (art. 10.2 CE) y de los valores que informan el Estado social y democrático de Derecho y que se manifiestan, en lo que aquí importa destacar, en el pluralismo social, en la tensión del ordenamiento hacia la adopción de medidas que aseguren de manera real y efectiva el principio de igualdad entre los individuos y los grupos en que éstos se integran (art. 9.2 CE) obliga a entender que aquella garantía no otra cosa debe significar que la protección de la función económico-social típica del convenio colectivo. El contenido esencial de la fuerza vinculante asegura a las reglas y disposiciones de los instrumentos nacidos de la negociación colectiva destinados a regular las relaciones laborales una vinculabilidad más fuerte y diversa de la que resulta de la mera aplicación de los principios rectores de la libertad contractual. La previsión constitucional, en definitiva, asegura a las cláusulas normativas del convenio, acuerdo o pacto colectivo, en todo caso y al margen de otros efectos, una superioridad respecto de los actos procedentes de la autonomía privada individual. O, por decirlo en el lenguaje de la doctrina constitucional, esta garantía “presupone, por esencia y conceptualmente, la prevalencia de la autonomía de la voluntad colectiva sobre la voluntad individual” (entre otras, SSTC 105/1992, de 1 de julio, FJ 6, y 225/2001, de 20 de noviembre, FJ 4).</w:t>
      </w:r>
    </w:p>
    <w:p w:rsidR="0085709A" w:rsidRDefault="0085709A" w:rsidP="0085709A">
      <w:pPr>
        <w:pStyle w:val="TextoNormal"/>
      </w:pPr>
    </w:p>
    <w:p w:rsidR="0085709A" w:rsidRDefault="0085709A" w:rsidP="0085709A">
      <w:pPr>
        <w:pStyle w:val="TextoNormal"/>
      </w:pPr>
      <w:r>
        <w:t>Quinto. Los anteriores razonamientos tiñen la regulación establecida en el art. 41 LET de una incontrovertible inconstitucionalidad. La facultad que dicho precepto confiere al empresario de modificar de manera unilateral, incluso en contra del parecer de los representantes de los trabajadores, las condiciones de trabajo establecidas en un acuerdo o pacto colectivo, enunciadas a título de ejemplo en el ordinal 1 de dicho pasaje legal, entre las cuales se encuentran materias de tanta relevancia jurídica como la jornada de trabajo o la cuantía salarial, no es en modo alguno compatible con la garantía de la fuerza vinculante que el art. 37.1 CE reconoce a todo producto negocial.</w:t>
      </w:r>
    </w:p>
    <w:p w:rsidR="0085709A" w:rsidRDefault="0085709A" w:rsidP="0085709A">
      <w:pPr>
        <w:pStyle w:val="TextoNormal"/>
      </w:pPr>
    </w:p>
    <w:p w:rsidR="0085709A" w:rsidRDefault="0085709A" w:rsidP="0085709A">
      <w:pPr>
        <w:pStyle w:val="TextoNormal"/>
      </w:pPr>
      <w:r>
        <w:t>En tal sentido y como se ha razonado, el contenido esencial de dicha garantía comporta la atribución a cualquier instrumento nacido de la negociación colectiva “entre representantes de los trabajadores y empresarios”, sea cual sea la eficacia personal y el contenido del mismo, de una eficacia supraordenada a los pactos o a las decisiones de carácter individual.</w:t>
      </w:r>
    </w:p>
    <w:p w:rsidR="0085709A" w:rsidRDefault="0085709A" w:rsidP="0085709A">
      <w:pPr>
        <w:pStyle w:val="TextoNormal"/>
      </w:pPr>
    </w:p>
    <w:p w:rsidR="0085709A" w:rsidRDefault="0085709A" w:rsidP="0085709A">
      <w:pPr>
        <w:pStyle w:val="TextoNormal"/>
      </w:pPr>
      <w:r>
        <w:t xml:space="preserve">A estos efectos, irrelevante resulta la denominación legal del instrumento como acuerdo o pacto colectivo, pues, como se ha tenido oportunidad de argumentar, la jurisprudencia constitucional extiende la garantía de la fuerza vinculante del convenio colectivo a cualquier dispositivo negocial, sea cual sea su </w:t>
      </w:r>
      <w:r w:rsidRPr="0085709A">
        <w:rPr>
          <w:i/>
        </w:rPr>
        <w:t>nomen legis</w:t>
      </w:r>
      <w:r>
        <w:t xml:space="preserve"> o su eficacia personal. E igual significación de irrelevancia ha de asignarse a que, conforme a lo previsto en el precepto legal a examen, el legítimo ejercicio de dicha facultad quede condicionado a la concurrencia de probadas razones económicas, técnicas, organizativas o de producción, entendiendo por tales, tras la aprobación de la Ley 3/2012, las relacionadas con “la competitividad, la productividad u organización técnica o del trabajo en la empresa”.</w:t>
      </w:r>
    </w:p>
    <w:p w:rsidR="0085709A" w:rsidRDefault="0085709A" w:rsidP="0085709A">
      <w:pPr>
        <w:pStyle w:val="TextoNormal"/>
      </w:pPr>
    </w:p>
    <w:p w:rsidR="0085709A" w:rsidRDefault="0085709A" w:rsidP="0085709A">
      <w:pPr>
        <w:pStyle w:val="TextoNormal"/>
      </w:pPr>
      <w:r>
        <w:t xml:space="preserve">Como acontece con la regulación establecida en el art. 82.3 LET, cuya inconstitucionalidad tuve oportunidad de argumentar con motivo del voto particular a la STC 119/2014, el art. 41 del mismo texto legislativo también convierte en regla general lo que ha de entenderse como excepción, confundiendo como interés general lo que en principio ha de ser tratado como un estricto y subjetivo interés particular de titularidad del empresario. En un sistema jurídico como el español, en el que toma asiento constitucional la cláusula del Estado social y democrático de Derecho, la mejora de la competitividad o de la productividad </w:t>
      </w:r>
      <w:r>
        <w:lastRenderedPageBreak/>
        <w:t>de una empresa no puede en modo alguno calificarse, sin más, como un objetivo de interés general. Desde luego, tales objetivos se encuentran amparados por la libertad de empresa (art. 38 CE); pero ni a éste ni a ningún otro derecho fundamental puede atribuírsele, como ha hecho notar hasta la saciedad nuestra jurisprudencia constitucional, al entrar en conflicto con otro, una prioridad o preeminencia aplicativa absoluta. Semejante conflicto ha de resolverse con criterios de proporcionalidad. Y no atiende en modo alguno a este principio la regla jurídica que, como sucede con el art. 41.1 LET, sacrifica con criterios de generalidad uno de los derechos constitucionales a confrontación.</w:t>
      </w:r>
    </w:p>
    <w:p w:rsidR="0085709A" w:rsidRDefault="0085709A" w:rsidP="0085709A">
      <w:pPr>
        <w:pStyle w:val="TextoNormal"/>
      </w:pPr>
    </w:p>
    <w:p w:rsidR="0085709A" w:rsidRDefault="0085709A" w:rsidP="0085709A">
      <w:pPr>
        <w:pStyle w:val="TextoNormal"/>
      </w:pPr>
      <w:r>
        <w:t xml:space="preserve">Por todo ello, la facultad del empresario </w:t>
      </w:r>
      <w:r w:rsidRPr="0085709A">
        <w:rPr>
          <w:i/>
        </w:rPr>
        <w:t>ex</w:t>
      </w:r>
      <w:r>
        <w:t xml:space="preserve"> art. 41 LET, de modificar de manera unilateral e, incluso, en contra del parecer de los representantes de los trabajadores, las condiciones de trabajo establecidas en un acuerdo o pacto colectivo ha de estimarse vulneradora del art. 37.1 CE. Y por lo mismo, habría de haber sido declarada inconstitucionalidad y nula.</w:t>
      </w:r>
    </w:p>
    <w:p w:rsidR="0085709A" w:rsidRDefault="0085709A" w:rsidP="0085709A">
      <w:pPr>
        <w:pStyle w:val="TextoNormal"/>
      </w:pPr>
    </w:p>
    <w:p w:rsidR="0085709A" w:rsidRDefault="0085709A" w:rsidP="0085709A">
      <w:pPr>
        <w:pStyle w:val="TextoNormal"/>
      </w:pPr>
      <w:r>
        <w:t>Sexto. La irregularidad constitucional del art. 41 va más allá de la violación de la garantía constitucional de la fuerza vinculante del convenio colectivo (art. 37.1 CE). También alcanza a uno de los derechos fundamentales que forman parte de los pilares estructuradores del Estado social; a saber: la libertad sindical (art. 28.1 CE).</w:t>
      </w:r>
    </w:p>
    <w:p w:rsidR="0085709A" w:rsidRDefault="0085709A" w:rsidP="0085709A">
      <w:pPr>
        <w:pStyle w:val="TextoNormal"/>
      </w:pPr>
    </w:p>
    <w:p w:rsidR="0085709A" w:rsidRDefault="0085709A" w:rsidP="0085709A">
      <w:pPr>
        <w:pStyle w:val="TextoNormal"/>
      </w:pPr>
      <w:r>
        <w:t xml:space="preserve">Tiene razón la Sentencia de la mayoría cuando afirma, conforme a una abundante doctrina constitucional que así ha venido a reconocerlo y que, por sobradamente conocida, no es preciso citar de manera expresa, que el derecho a la negociación colectiva forma parte de la libertad sindical [FJ 2 d)]. Es ésta, desde luego, una afirmación cierta; pero una exacta inteligencia de la misma reclama complementar su escueto enunciado, al menos, con un doble recordatorio adicional, extraído de esa misma doctrina. Por lo pronto, conviene hacer constar que la negociación colectiva, cuando es ejercitada por un sindicato, se integra en el contenido esencial de la vertiente colectiva de los derechos sindicales de actividad, y no ya en su contenido adicional. Como dejara dicho la STC 229/2002, de 9 de noviembre, FJ 7 (y las que ahí se invocan), “cualquier aproximación a la base constitucional de la libertad sindical y, por ende, de la acción sindical, debe dejar previamente sentado el carácter promocional de los sindicatos que en la Constitución española asumen los artículos 7 y 28.1 CE como elemento clave de la configuración del Estado social y democrático de Derecho”. El segundo recordatorio que resulta oportuno traer ahora a colación reside en que la pertenencia de la negociación colectiva al contenido esencial de la libertad sindical comprende e integra la doble garantía constitucional formulada en el art. 37.1 CE. Por expresarlo ahora en los términos de la STC 208/1993, de 28 de junio, FJ 3, el reconocimiento de la negociación colectiva en el art. 37.1 supone “la superación de la mera idea de libertad de negociación, como esfera libre de injerencias y asegura, mediante una tarea encomendada específicamente al legislador, </w:t>
      </w:r>
      <w:r w:rsidRPr="0085709A">
        <w:rPr>
          <w:i/>
        </w:rPr>
        <w:t>un sistema de negociación y contratación colectiva y la eficacia jurídica del convenio colectivo</w:t>
      </w:r>
      <w:r>
        <w:t>” (cursiva mía). Ambas garantías, garantía del ejercicio de una actividad contractual colectiva, libre de injerencias de los poderes públicos, mandatados a promocionar de manera real y efectiva esa actividad, y garantía de que los instrumentos nacidos de la negociación colectiva van a tener reconocidos unos efectos jurídicos imperativos, al abrigo de las derogaciones y mutaciones procedentes de actos unilaterales o de pactos individuales, se incorporan al contenido esencial de la acción sindical. Como lógico consecuente de esta inescindible conexión, la lesión de una u otra garantía violenta simultáneamente la libertad sindical.</w:t>
      </w:r>
    </w:p>
    <w:p w:rsidR="0085709A" w:rsidRDefault="0085709A" w:rsidP="0085709A">
      <w:pPr>
        <w:pStyle w:val="TextoNormal"/>
      </w:pPr>
    </w:p>
    <w:p w:rsidR="0085709A" w:rsidRDefault="0085709A" w:rsidP="0085709A">
      <w:pPr>
        <w:pStyle w:val="TextoNormal"/>
      </w:pPr>
      <w:r>
        <w:lastRenderedPageBreak/>
        <w:t>Tal es cabalmente lo que acontece en aquellos casos en los que el empresario decide por su sola voluntad inaplicar, alterando, las condiciones de trabajo formuladas en un pacto o en un acuerdo colectivo de carácter sindical. Al consentir el art. 41 LET a los titulares de las organizaciones empresariales la adopción de una medida de esta naturaleza, además de vulnerar el art. 37.1 CE, lesiona el art. 28.1 del texto constitucional.</w:t>
      </w:r>
    </w:p>
    <w:p w:rsidR="0085709A" w:rsidRDefault="0085709A" w:rsidP="0085709A">
      <w:pPr>
        <w:pStyle w:val="TextoNormal"/>
      </w:pPr>
    </w:p>
    <w:p w:rsidR="0085709A" w:rsidRDefault="0085709A" w:rsidP="0085709A">
      <w:pPr>
        <w:pStyle w:val="TextoNormal"/>
      </w:pPr>
      <w:r>
        <w:t>Por lo demás, no me resisto a denunciar los equívocos en los que incurre la sentencia de la que me separo al hilo del tratamiento que lleva a cabo sobre la titularidad del derecho constitucional a la negociación colectiva. En el párrafo segundo del fundamento jurídico 2 d), tras reconocer que el derecho a la negociación colectiva “le ha sido atribuido también (</w:t>
      </w:r>
      <w:r w:rsidRPr="0085709A">
        <w:rPr>
          <w:i/>
        </w:rPr>
        <w:t>sic</w:t>
      </w:r>
      <w:r>
        <w:t>) por la Constitución al sindicato”, manifiesta, de un lado, que dicho derecho se articula “a través del ejercicio de la libertad sindical (art. 28.1 CE)” y, de otro, que el tan repetido derecho “no se ha hecho de forma exclusiva, (de modo) que excluya a otros posibles representantes de los trabajadores”, por lo que, con cita de la STC 208/1993, de 28 de junio, FJ 4, termina concluyendo que la negociación colectiva está atribuida “constitucionalmente a los sindicatos y a otras representaciones colectivas de los trabajadores”.</w:t>
      </w:r>
    </w:p>
    <w:p w:rsidR="0085709A" w:rsidRDefault="0085709A" w:rsidP="0085709A">
      <w:pPr>
        <w:pStyle w:val="TextoNormal"/>
      </w:pPr>
    </w:p>
    <w:p w:rsidR="0085709A" w:rsidRDefault="0085709A" w:rsidP="0085709A">
      <w:pPr>
        <w:pStyle w:val="TextoNormal"/>
      </w:pPr>
      <w:r>
        <w:t xml:space="preserve">Sin entretenerme a objetar la muy notable extravagancia que comporta utilizar el adverbio </w:t>
      </w:r>
      <w:r w:rsidRPr="0085709A">
        <w:rPr>
          <w:i/>
        </w:rPr>
        <w:t>también</w:t>
      </w:r>
      <w:r>
        <w:t xml:space="preserve"> para identificar la atribución constitucional a los sindicatos del derecho a la negociación colectiva, el razonamiento de la sentencia de mi divergencia hace gala de dos relevantes equívocos, que en buena medida vienen a poner entre paréntesis orientaciones interpretativas de este Tribunal bien consolidadas.</w:t>
      </w:r>
    </w:p>
    <w:p w:rsidR="0085709A" w:rsidRDefault="0085709A" w:rsidP="0085709A">
      <w:pPr>
        <w:pStyle w:val="TextoNormal"/>
      </w:pPr>
    </w:p>
    <w:p w:rsidR="0085709A" w:rsidRDefault="0085709A" w:rsidP="0085709A">
      <w:pPr>
        <w:pStyle w:val="TextoNormal"/>
      </w:pPr>
      <w:r>
        <w:t>Es cierto, como ya he recordado, que la actividad contractual colectiva puede formar parte, siempre que sea ejercitada por un sindicato, del contenido esencial de la libertad sindical. La opinión que ya no puedo compartir es que la titularidad del derecho constitucional a la contratación colectiva se articule “a través del ejercicio de la libertad sindical (art. 28.1 CE)”. Una opinión semejante, además de privar a la negociación colectiva de su condición de derecho autónomo, se aparta de arraigadas enseñanzas de nuestra doctrina, que sostiene un criterio bien divergente del expuesto; en concreto, que determinadas lesiones de este derecho, ejecutadas frente a un sindicato, que comporten por su entidad y trascendencia una arbitraria eliminación o desconocimiento del mismo, además de vulnerar el art. 37.1 CE, también infringen el derecho fundamental a la libertad sindical.</w:t>
      </w:r>
    </w:p>
    <w:p w:rsidR="0085709A" w:rsidRDefault="0085709A" w:rsidP="0085709A">
      <w:pPr>
        <w:pStyle w:val="TextoNormal"/>
      </w:pPr>
    </w:p>
    <w:p w:rsidR="0085709A" w:rsidRDefault="0085709A" w:rsidP="0085709A">
      <w:pPr>
        <w:pStyle w:val="TextoNormal"/>
      </w:pPr>
      <w:r>
        <w:t xml:space="preserve">Mayor significación tiene el segundo de los equívocos, que es aquel que, con mención expresa de la STC 208/1993, defiende la dimensión constitucional del derecho a la negociación colectiva de las representaciones de los trabajadores distintas de las sindicales. Dando de lado el error que puede haber habido en la concreta referencia de la mentada sentencia, en ninguno de cuyos fundamentos jurídicos puede leerse el texto entrecomillado, lo que me interesa destacar es que, incluso en el supuesto de que hubiera habido un desliz en el momento de la cita, al ser otro el pronunciamiento que hubiera debido invocarse, la tesis ahí defendida se aparta y contradice de manera abierta nuestra doctrina. Desde la STC 118/1983, de 13 de diciembre, FJ 4, este Tribunal ha señalado que nuestro texto constitucional, al institucionalizar los derechos colectivos laborales, ha partido de un amplio reconocimiento de los titulares, “eludiendo la consagración de un monopolio sindical”, de manera que, en concreto, el de negociación colectiva lo confiere a los “representantes de los trabajadores”. Pero la pluralidad de titulares de este singular derecho no significa, en contra </w:t>
      </w:r>
      <w:r>
        <w:lastRenderedPageBreak/>
        <w:t>del criterio que sobrevuela la sentencia de mi discrepancia, que pueda defenderse una equivalencia y, menos aún, una identidad entre las representaciones sindicales y no sindicales de los trabajadores. Como señalara la STC 98/1985, FJ 3, “los órganos de representación de los trabajadores en la empresa no tienen reconocimiento constitucional, sino que son creación de la ley, y poseen solo una indirecta relación con el art. 129.2 de la CE” (entre otras muchas, SSTC 165/1986, de 18 de diciembre, FJ 3; 104/1987, de 17 de junio, FJ 1; 8/1988, de 25 de enero, FJ 3; 197/1990, de 29 de noviembre, FJ 3 y 95/1996, de 29 de mayo, FJ 3).</w:t>
      </w:r>
    </w:p>
    <w:p w:rsidR="0085709A" w:rsidRDefault="0085709A" w:rsidP="0085709A">
      <w:pPr>
        <w:pStyle w:val="TextoNormal"/>
      </w:pPr>
    </w:p>
    <w:p w:rsidR="0085709A" w:rsidRDefault="0085709A" w:rsidP="0085709A">
      <w:pPr>
        <w:pStyle w:val="TextoNormal"/>
      </w:pPr>
      <w:r>
        <w:t>Una orientación doctrinal, como la ahora recordada con brevedad, no toleraría una interpretación como la sostenida en la Sentencia de la mayoría. La decisión sobre la existencia de la representación unitaria y sobre las facultades a ella atribuidas pertenece a la esfera de libertad del legislador, que no cuenta en este aspecto con limitación constitucional alguna. En concreto y en lo que aquí interesa, a su libre discrecionalidad corresponde definir en qué casos y bajo qué condiciones pueden intervenir los comités de empresa o los delegados de personal en los procesos contractuales colectivos, sin que una eventual restricción de esa participación o, al límite, una eventual ablación de la legitimación negocial hoy legalmente reconocida pudiera calificarse como una medida legislativa atentatoria al art. 37.1 CE.</w:t>
      </w:r>
    </w:p>
    <w:p w:rsidR="0085709A" w:rsidRDefault="0085709A" w:rsidP="0085709A">
      <w:pPr>
        <w:pStyle w:val="TextoNormal"/>
      </w:pPr>
    </w:p>
    <w:p w:rsidR="0085709A" w:rsidRDefault="0085709A" w:rsidP="0085709A">
      <w:pPr>
        <w:pStyle w:val="TextoNormal"/>
      </w:pPr>
      <w:r>
        <w:t>Séptimo. Antes de terminar este apartado, me parece aún conveniente, por razones de su notable actualidad, efectuar una última observación. Como ya he tenido oportunidad de hacer constar [apartado 2 b)], en el capítulo de las motivaciones manejadas por la sentencia de la mayoría para conferir al art. 41 LET, el sello de constitucionalidad, se atribuye una especial relevancia a los “límites y garantías” que legalmente condicionan el ejercicio por el empresario de la medida consistente en modificar una condición de trabajo estatuida en un acuerdo o pacto colectivo. En concreto y en el listado de estos “condicionantes”, una significación aún más relevante se confiere al hecho de que la modificación del empresario “se concibe como alternativa al fracaso de la negociación previa y preceptiva con los representantes de los trabajadores”, pensamiento éste que vuelve a reiterarse para fundamentar el test de necesidad [FJ 4 a)].</w:t>
      </w:r>
    </w:p>
    <w:p w:rsidR="0085709A" w:rsidRDefault="0085709A" w:rsidP="0085709A">
      <w:pPr>
        <w:pStyle w:val="TextoNormal"/>
      </w:pPr>
    </w:p>
    <w:p w:rsidR="0085709A" w:rsidRDefault="0085709A" w:rsidP="0085709A">
      <w:pPr>
        <w:pStyle w:val="TextoNormal"/>
      </w:pPr>
      <w:r>
        <w:t>Es esta una comprensión del requisito de celebración del período de consultas de todo punto errada desde una perspectiva constitucional, pues el cumplimiento de semejante exigencia no actúa como impedimento legal para que, ante la falta de acuerdo, el empresario pueda de manera efectiva proceder a modificar parte del contenido normativo de un pacto o acuerdo colectivo; y es ahí donde radica precisamente su inconstitucionalidad. Así lo ha venido a entender, precisamente, el ya citado Informe del CEDS de 2015, que, al analizar el vigente art. 41 LET y tras recordar en efecto que la ausencia de acuerdo durante el período de consultas no cierra al empresario la posibilidad de aplicar unilateralmente los cambios, afirma que “la legitimación de la derogación unilateral de convenios colectivos libremente negociados vulnera la obligación de promover procedimientos de negociación”, no resultando conforme con el art. 6.2 de la Carta Social Europea (página 28 de la versión francesa).</w:t>
      </w:r>
    </w:p>
    <w:p w:rsidR="0085709A" w:rsidRDefault="0085709A" w:rsidP="0085709A">
      <w:pPr>
        <w:pStyle w:val="TextoNormal"/>
      </w:pPr>
    </w:p>
    <w:p w:rsidR="0085709A" w:rsidRDefault="0085709A" w:rsidP="0085709A">
      <w:pPr>
        <w:pStyle w:val="TextoNormal"/>
      </w:pPr>
      <w:r>
        <w:t>4.- Primero. El segundo de mis disensos con la sentencia de la mayoría se refiere al juicio de constitucionalidad efectuado en relación con el art. 18.3 de la Ley impugnada, que reforma el art. 51.1 LET, llevando a cabo una intensa modificación de las causas justificativas del despido colectivo y, en atención al juego de una remisión legal, de las causas que resultan igualmente aplicables para una concreta modalidad de los denominados despidos objetivos [art. 52 c) LET].</w:t>
      </w:r>
    </w:p>
    <w:p w:rsidR="0085709A" w:rsidRDefault="0085709A" w:rsidP="0085709A">
      <w:pPr>
        <w:pStyle w:val="TextoNormal"/>
      </w:pPr>
    </w:p>
    <w:p w:rsidR="0085709A" w:rsidRDefault="0085709A" w:rsidP="0085709A">
      <w:pPr>
        <w:pStyle w:val="TextoNormal"/>
      </w:pPr>
      <w:r>
        <w:t>Mi discrepancia con respecto a la sentencia de la que me separo no solo afecta a la solución dada a la queja de inconstitucionalidad vertida por los recurrentes sobre estos concretos preceptos, a los que se reprocha la vulneración de los arts. 35.1 y 24.1, ambos del texto constitucional. Mi disentimiento también alcanza, y con parecida intensidad, con el tipo de juicio utilizado para fundamentar esa solución, huérfano de la menor consistencia constitucional; o, por expresar la misma idea en positivo, construido todo él, sin moderación ni disimulo alguno, conforme a criterios de una nuda legalidad ordinaria. Expuestos que han sido en anterior apartado los motivos determinantes de que, en mi opinión, el canon de enjuiciamiento empleado carezca de la obligada sustancia desde una perspectiva constitucional, me centraré seguidamente en ofrecer las razones que debían de haber amparado los reproches de inconstitucionalidad sobre los preceptos legales ahora a examen.</w:t>
      </w:r>
    </w:p>
    <w:p w:rsidR="0085709A" w:rsidRDefault="0085709A" w:rsidP="0085709A">
      <w:pPr>
        <w:pStyle w:val="TextoNormal"/>
      </w:pPr>
    </w:p>
    <w:p w:rsidR="0085709A" w:rsidRDefault="0085709A" w:rsidP="0085709A">
      <w:pPr>
        <w:pStyle w:val="TextoNormal"/>
      </w:pPr>
      <w:r>
        <w:t>En tal sentido me ocuparé, en primer lugar, de recordar de manera sucinta lo que ha de entenderse como contenido esencial del derecho al trabajo, en su vertiente individual (art. 35.1 CE), para, inmediatamente después, demostrar que el art. 18.3 de la Ley 3/2012 ha lesionado ese contenido esencial.</w:t>
      </w:r>
    </w:p>
    <w:p w:rsidR="0085709A" w:rsidRDefault="0085709A" w:rsidP="0085709A">
      <w:pPr>
        <w:pStyle w:val="TextoNormal"/>
      </w:pPr>
    </w:p>
    <w:p w:rsidR="0085709A" w:rsidRDefault="0085709A" w:rsidP="0085709A">
      <w:pPr>
        <w:pStyle w:val="TextoNormal"/>
      </w:pPr>
      <w:r>
        <w:t>Segundo. Al margen del mandato a los poderes públicos de adoptar aquellas medidas orientadas a lograr una situación de pleno empleo (art. 40.1 CE), la Constitución española no reconoce el derecho de los trabajadores a disponer de un concreto o singular empleo, ni en el sector privado ni tampoco en el sector público, empleo éste que actúa, con criterios de generalidad, no solo como fuente económica para su mantenimiento y, en su caso, para el de su familia, sino, además y simultáneamente, como vía preferente de integración social y factor determinante del desarrollo de su personalidad. No obstante ello, el texto constitucional garantiza, una vez que se está desempeñando un puesto de trabajo a través de una relación jurídica obligatoria, que a la parte del contrato de trabajo que se compromete a la ejecución de la prestación laboral no se le pueda extinguir dicho contrato, salvo que concurra una justa causa de suficiente entidad.</w:t>
      </w:r>
    </w:p>
    <w:p w:rsidR="0085709A" w:rsidRDefault="0085709A" w:rsidP="0085709A">
      <w:pPr>
        <w:pStyle w:val="TextoNormal"/>
      </w:pPr>
    </w:p>
    <w:p w:rsidR="0085709A" w:rsidRDefault="0085709A" w:rsidP="0085709A">
      <w:pPr>
        <w:pStyle w:val="TextoNormal"/>
      </w:pPr>
      <w:r>
        <w:t xml:space="preserve">No es cuestión ahora de volver a reiterar cuanto se argumentó sobre la dimensión individual del derecho al trabajo </w:t>
      </w:r>
      <w:r w:rsidRPr="0085709A">
        <w:rPr>
          <w:i/>
        </w:rPr>
        <w:t>ex</w:t>
      </w:r>
      <w:r>
        <w:t xml:space="preserve"> art. 35.1 CE en el apartado III 2 del Voto particular a la Sentencia 119/2014, de 16 de julio, debiendo entenderse por reproducidos los razonamientos ahí formulados. A los efectos que aquí me interesan, bastará destacar que el contenido esencial del derecho al trabajo, en esa dimensión, impone una triple limitación a la voluntad unilateral del empleador de dar por finalizada la relación laboral y, con ello y adicionalmente, a sus poderes de organización, ejercitados al amparo del contenido de la libertad de empresa (art. 38 CE). Una primera de naturaleza formal, de modo que el acto de despido debe sujetarse a un procedimiento, que se sustancia en la exigencia de forma escrita que permita al trabajador conocer la decisión y el motivo del despido. Una segunda de carácter sustantivo, que afecta a la motivación del acto mismo de despido, que ha de estar basada en una justa causa, dotada de entidad suficiente. Y, en fin, una tercera restricción, de entidad adjetiva ahora, que se instrumenta a través del derecho del trabajador de someter la decisión empresarial al control judicial, correspondiendo al juez o magistrado la potestad de revisar la regularidad formal y material de esa decisión empresarial, procediendo a la subsiguiente calificación del despido. Esta tercera limitación instaura una estrecha vinculación entre los derechos al trabajo y a la tutela judicial. Por lo demás, la jurisprudencia del Tribunal Constitucional ha reiterado en numerosas ocasiones estas tres características del despido en el </w:t>
      </w:r>
      <w:r>
        <w:lastRenderedPageBreak/>
        <w:t>sistema constitucional español de relaciones laborales (entre otras muchas, SSTC 22/1981, de 2 de julio, FJ 8; 20/1994, de 27 de enero, FJ 2, y 192/2003, de 27 de octubre, FJ 9).</w:t>
      </w:r>
    </w:p>
    <w:p w:rsidR="0085709A" w:rsidRDefault="0085709A" w:rsidP="0085709A">
      <w:pPr>
        <w:pStyle w:val="TextoNormal"/>
      </w:pPr>
    </w:p>
    <w:p w:rsidR="0085709A" w:rsidRDefault="0085709A" w:rsidP="0085709A">
      <w:pPr>
        <w:pStyle w:val="TextoNormal"/>
      </w:pPr>
      <w:r>
        <w:t>Tercero. La versión modificada del art. 51.1 LET mantiene el mismo listado de causas (económicas, técnicas, productivas y organizativas) así como, en su mayor parte, la definición que de las mismas se contenía en la anterior versión de ese precepto. No obstante, y es este un dato relevante a efectos del juicio de constitucionalidad, el nuevo texto ha borrado de su enunciado normativo la necesidad de que el empresario justifique la concurrencia de razonabilidad a la hora de extinguir los contratos de trabajo por razones de funcionamiento de la empresa.</w:t>
      </w:r>
    </w:p>
    <w:p w:rsidR="0085709A" w:rsidRDefault="0085709A" w:rsidP="0085709A">
      <w:pPr>
        <w:pStyle w:val="TextoNormal"/>
      </w:pPr>
    </w:p>
    <w:p w:rsidR="0085709A" w:rsidRDefault="0085709A" w:rsidP="0085709A">
      <w:pPr>
        <w:pStyle w:val="TextoNormal"/>
      </w:pPr>
      <w:r>
        <w:t>El punto de partida de la regulación anterior era de por sí sumamente flexible en lo que a la justificación de las causas técnicas, organizativas o productivas se refiere; pero obligaba a la empresa a justificar la razonabilidad del despido colectivo bien para prevenir una evolución negativa de la empresa, de lo que podía inferirse que el despido era la respuesta a una situación de riesgo para la suerte futura de la empresa, que podía advenir en caso de que la extinción colectiva no se adoptase, bien para mejorar la organización de sus recursos con vistas a favorecer su posición competitiva en el mercado, de modo que el despido se articulaba, en esta segunda hipótesis, como respuesta a las ineficiencias de la empresa.</w:t>
      </w:r>
    </w:p>
    <w:p w:rsidR="0085709A" w:rsidRDefault="0085709A" w:rsidP="0085709A">
      <w:pPr>
        <w:pStyle w:val="TextoNormal"/>
      </w:pPr>
    </w:p>
    <w:p w:rsidR="0085709A" w:rsidRDefault="0085709A" w:rsidP="0085709A">
      <w:pPr>
        <w:pStyle w:val="TextoNormal"/>
      </w:pPr>
      <w:r>
        <w:t>La regulación actual del art. 51.1 LET simplemente, omite toda alusión sobre el juicio de razonabilidad del despido colectivo amparado en causas económicas, técnicas, organizativas o productivas. No se trata, sin embargo y pese a lo que pudiera pensarse en una primera impresión, de un mero olvido; antes al contrario, el objetivo pretendido y la consecuencia resultante es la eliminación de cualquier referencia al juicio de razonabilidad. La exposición de motivos de la norma así lo confirma sin margen para la incertidumbre, razonando del tenor siguiente:</w:t>
      </w:r>
    </w:p>
    <w:p w:rsidR="0085709A" w:rsidRDefault="0085709A" w:rsidP="0085709A">
      <w:pPr>
        <w:pStyle w:val="TextoNormal"/>
      </w:pPr>
    </w:p>
    <w:p w:rsidR="0085709A" w:rsidRDefault="0085709A" w:rsidP="0085709A">
      <w:pPr>
        <w:pStyle w:val="TextoNormal"/>
      </w:pPr>
      <w:r>
        <w:t>“También se introducen innovaciones en el terreno de la justificación de estos despidos. La ley se ciñe ahora a delimitar las causas económicas, técnicas, organizativas o productivas que justifican estos despidos, suprimiéndose otras referencias normativas que han venido introduciendo elementos de incertidumbre. Más allá del concreto ... tales referencias incorporaban proyecciones de futuro, de imposible prueba, y una valoración finalista de estos despidos, que han venido dando lugar a que los tribunales realizasen, en numerosas ocasiones, juicios de oportunidad relativos a la gestión de la empresa. Ahora queda claro que el control judicial de estos despidos debe ceñirse a una valoración sobre la concurrencia de unos hechos: las causas. Esta idea vale tanto para el control judicial de los despidos colectivos como para los despidos por causas objetiva</w:t>
      </w:r>
      <w:r w:rsidRPr="0085709A">
        <w:rPr>
          <w:i/>
        </w:rPr>
        <w:t xml:space="preserve">s </w:t>
      </w:r>
      <w:r>
        <w:t>ex artículo 52 c) ET.” (Apartado V).</w:t>
      </w:r>
    </w:p>
    <w:p w:rsidR="0085709A" w:rsidRDefault="0085709A" w:rsidP="0085709A">
      <w:pPr>
        <w:pStyle w:val="TextoNormal"/>
      </w:pPr>
    </w:p>
    <w:p w:rsidR="0085709A" w:rsidRDefault="0085709A" w:rsidP="0085709A">
      <w:pPr>
        <w:pStyle w:val="TextoNormal"/>
      </w:pPr>
      <w:r>
        <w:t xml:space="preserve">Sin entrar a comentar las razones de la omisión por la sentencia de la que me aparto de la menor referencia al pasaje que se viene de transcribir, constatación ésta que desde una perspectiva de conjunto del pronunciamiento mayoritario evidencia en todo caso un uso selectivo de las aseveraciones contenidas en el preámbulo de la ley impugnada; dando de lado todo ello, digo, no resulta en verdad tarea fácil poder ofrecer de manera más clara y contundente una explicación del objetivo de la reforma, que no ha sido otro que el dejar fuera del control judicial la valoración de si el despido es o no una medida necesaria o si el propio despido ha de estar o no justificado en atención a juicios de razonabilidad y proporcionalidad. El propósito de la norma fue y es convertir la causa de los despidos colectivos </w:t>
      </w:r>
      <w:r>
        <w:lastRenderedPageBreak/>
        <w:t>y, por el juego del reenvío legal, también la de los despidos económicos objetivos [art. 52 c) LET] en una mera condición, que opera a modo de supuesto fáctico concretado en la disminución de ventas o ingresos o en cualquier cambio técnico, organizativo o productivo, que, caso de hacer acto de presencia, confiere al empresario, de forma automática y directa, más allá de la verificación del hecho que determina la condición, una facultad irrestricta para decidir la suerte de la vigencia de los contratos de trabajo, constituyendo así un espacio inmune al control judicial, que queda desapoderado para ponderar si los despidos son medidas justificadas, necesarias, razonables o proporcionadas en función de las circunstancias del caso. La nueva regulación no pide, como hacía la anterior, que la situación económica negativa de la empresa o que los cambios técnicos, organizativos o productivos en los que se justifique la extinción de los contratos de trabajo haya de tener una potencialidad suficiente para afectar a la viabilidad de la empresa o a su capacidad para mantener el volumen de empleo en la misma. El empresario, ahora, no ha de acreditar más que la concurrencia del hecho, habiéndose prescindido de toda obligación de que la empresa justifique que de sus resultados económicos se deduce la razonabilidad de la decisión extintiva para preservar o favorecer su posición competitiva en el mercado.</w:t>
      </w:r>
    </w:p>
    <w:p w:rsidR="0085709A" w:rsidRDefault="0085709A" w:rsidP="0085709A">
      <w:pPr>
        <w:pStyle w:val="TextoNormal"/>
      </w:pPr>
    </w:p>
    <w:p w:rsidR="0085709A" w:rsidRDefault="0085709A" w:rsidP="0085709A">
      <w:pPr>
        <w:pStyle w:val="TextoNormal"/>
      </w:pPr>
      <w:r>
        <w:t>De esta forma, una mera reducción de las ventas o ingresos ordinarios durante tres trimestres constitutivos, comparada respecto del “mismo trimestre del año anterior” (</w:t>
      </w:r>
      <w:r w:rsidRPr="0085709A">
        <w:rPr>
          <w:i/>
        </w:rPr>
        <w:t>sic</w:t>
      </w:r>
      <w:r>
        <w:t>; inciso final del párrafo segundo, art. 51.1 LET), se erige por sí sola en causa para la extinción colectiva de los contratos de trabajo, con independencia del impacto que esta reducción de ventas o de ingresos haya producido en su situación económico-financiera y en su capacidad para mantener el volumen de empleo. Basta pues la mera circunstancia de que la persistencia requerida en la disminución de ingresos ordinarios (por cierto, no se computan los ingresos que en los balances aparezcan como extraordinarios) se exprese durante tres trimestres consecutivos, siendo destacable que la regulación vigente no obliga a ponderar un ejercicio económico anual, única vía razonable para verificar si el hecho económico acaecido ha generado o no, de modo real y efectivo, las consecuencias determinantes para proceder a dar por finalizada la vida de un determinado número de contratos laborales.</w:t>
      </w:r>
    </w:p>
    <w:p w:rsidR="0085709A" w:rsidRDefault="0085709A" w:rsidP="0085709A">
      <w:pPr>
        <w:pStyle w:val="TextoNormal"/>
      </w:pPr>
    </w:p>
    <w:p w:rsidR="0085709A" w:rsidRDefault="0085709A" w:rsidP="0085709A">
      <w:pPr>
        <w:pStyle w:val="TextoNormal"/>
      </w:pPr>
      <w:r>
        <w:t>Es evidente, sin embargo, que, en sí misma considerada, la reducción de ventas o de ingresos durante tres meses consecutivos no es un dato decisivo o determinante respecto de la eventual pérdida de competitividad o de productividad de la empresa, ya que puede responder a una variada serie de factores coyunturales, entre los que los fiscales pueden desempeñar un papel relevante, así como a deliberadas estrategias en la política de precios o de costes adoptadas por la propia empresa. Y sobre todo y en lo que aquí interesa destacar, tampoco tienen que suponer una situación económica negativa en tanto que la disminución de ingresos o ventas puede no llevar aparejado un deterioro de la cuota de resultados si correlativamente existe un sistema de ajuste en los costes. La revisión de las causas del despido colectivo y objetivo supone, a la postre, instalar las decisiones empresariales de extinción de los contratos de trabajo basadas en el funcionamiento de la empresa en un ámbito de máxima discrecionalidad empresarial, desprovisto de la constitucional exigencia de justa causa con entidad suficiente.</w:t>
      </w:r>
    </w:p>
    <w:p w:rsidR="0085709A" w:rsidRDefault="0085709A" w:rsidP="0085709A">
      <w:pPr>
        <w:pStyle w:val="TextoNormal"/>
      </w:pPr>
    </w:p>
    <w:p w:rsidR="0085709A" w:rsidRDefault="0085709A" w:rsidP="0085709A">
      <w:pPr>
        <w:pStyle w:val="TextoNormal"/>
      </w:pPr>
      <w:r>
        <w:t xml:space="preserve">En suma, la mera reducción de ventas o ingresos, sin ninguna ponderación cuantitativa o proyección sobre los eventuales resultados de la empresa y sin tan siquiera venir determinados por una falta de competitividad empresarial, son meros hechos que amparan legalmente el despido sin ningún otro elemento que integre tanto la causa como la justificación </w:t>
      </w:r>
      <w:r>
        <w:lastRenderedPageBreak/>
        <w:t>de la medida extintiva. Y lo mismo sucede con las causas técnicas, organizativas y productivas que, al ser definidas, ni se vinculan a una situación de dificultad de la empresa, ni se exige que el despido sea una medida necesaria y razonable para cumplir alguna finalidad legítima, como la viabilidad de la empresa y del empleo.</w:t>
      </w:r>
    </w:p>
    <w:p w:rsidR="0085709A" w:rsidRDefault="0085709A" w:rsidP="0085709A">
      <w:pPr>
        <w:pStyle w:val="TextoNormal"/>
      </w:pPr>
    </w:p>
    <w:p w:rsidR="0085709A" w:rsidRDefault="0085709A" w:rsidP="0085709A">
      <w:pPr>
        <w:pStyle w:val="TextoNormal"/>
      </w:pPr>
      <w:r>
        <w:t>Por este lado, la norma legal revisada configura el despido económico, individual o colectivo, como un acto desvinculado, en la realidad de las empresas, de una situación con la suficiente entidad, proporcionalidad y necesidad, debilitando así, hasta hacer desaparecer, la más relevante de las limitaciones derivadas del constitucional derecho al trabajo, en su dimensión individual (art. 35.1 CE): la exigencia de una justa causa con entidad suficiente. O, en otros términos, el precepto legal de la norma impugnada priva de todo signo de relevancia a las extinciones contractuales por razón del funcionamiento de la empresa. Las causas del despido económico quedan convertidas, como paladinamente lo confiesa el preámbulo de la norma impugnada, en unos meros hechos que afectan al ámbito económico, técnico, organizativo o productivo; en unos hechos que, en la configuración de la citada ley, en modo alguno son expresivos de una mínima situación de necesidad, al menos indiciariamente objetivada, que pudiera justificar, incluso en apariencia, la procedencia de extinguir los contratos de trabajo.</w:t>
      </w:r>
    </w:p>
    <w:p w:rsidR="0085709A" w:rsidRDefault="0085709A" w:rsidP="0085709A">
      <w:pPr>
        <w:pStyle w:val="TextoNormal"/>
      </w:pPr>
    </w:p>
    <w:p w:rsidR="0085709A" w:rsidRDefault="0085709A" w:rsidP="0085709A">
      <w:pPr>
        <w:pStyle w:val="TextoNormal"/>
      </w:pPr>
      <w:r>
        <w:t>En resumen, las reformas introducidas por la Ley 3/2012 automatizan la causa extintiva ante la mera existencia de un hecho económico que, como se ha razonado, carece de la menor transcendencia objetivada de suficiente entidad, justificación y necesidad para considerar que la regulación del despido colectivo se encuentra constitucionalmente amparada.</w:t>
      </w:r>
    </w:p>
    <w:p w:rsidR="0085709A" w:rsidRDefault="0085709A" w:rsidP="0085709A">
      <w:pPr>
        <w:pStyle w:val="TextoNormal"/>
      </w:pPr>
    </w:p>
    <w:p w:rsidR="0085709A" w:rsidRDefault="0085709A" w:rsidP="0085709A">
      <w:pPr>
        <w:pStyle w:val="TextoNormal"/>
      </w:pPr>
      <w:r>
        <w:t>Por lo demás, y se trata de un dato adicional pero de no menor importancia, la supresión del juicio de razonabilidad de la decisión extintiva también implica la exoneración al empresario de la carga de aportar los elementos o criterios en virtud de los cuales se procederá a la concreción de los concretos colectivos de trabajadores afectados por la decisión extintiva de carácter colectivo. Por este lado, la reforma no sólo supone atribuir al empresario facultades casi absolutas a la hora de determinar la extinción de contratos de trabajo ante meras previsiones de pérdidas o reducciones de ingresos o ventas durante tres trimestres consecutivos; también abandona a su discrecionalidad, la fijación del número de trabajadores y la concreción de los puestos de trabajo afectados por dicha extinción.</w:t>
      </w:r>
    </w:p>
    <w:p w:rsidR="0085709A" w:rsidRDefault="0085709A" w:rsidP="0085709A">
      <w:pPr>
        <w:pStyle w:val="TextoNormal"/>
      </w:pPr>
    </w:p>
    <w:p w:rsidR="0085709A" w:rsidRDefault="0085709A" w:rsidP="0085709A">
      <w:pPr>
        <w:pStyle w:val="TextoNormal"/>
      </w:pPr>
      <w:r>
        <w:t>La conclusión a extraer de los razonamientos que se vienen de exponer es de enunciado rápido: el nuevo art. 51.1, al formular las causas extintivas del contrato de trabajo por razones vinculadas al funcionamiento de la empresa sin una motivación justa, conectada de manera efectiva, clara y cierta con la marcha económica de la empresa, no respeta la manifestación sustantiva o material del contenido esencial del derecho al trabajo en su dimensión individual. En atención a ello, el art. 51.1 y, por conexión, el art 52 c), ambos del texto refundido de la Ley del estatuto de los trabajadores, debieron declararse inconstitucionales y nulos.</w:t>
      </w:r>
    </w:p>
    <w:p w:rsidR="0085709A" w:rsidRDefault="0085709A" w:rsidP="0085709A">
      <w:pPr>
        <w:pStyle w:val="TextoNormal"/>
      </w:pPr>
    </w:p>
    <w:p w:rsidR="0085709A" w:rsidRDefault="0085709A" w:rsidP="0085709A">
      <w:pPr>
        <w:pStyle w:val="TextoNormal"/>
      </w:pPr>
      <w:r>
        <w:t xml:space="preserve">Cuarto. En atención al valor interpretativo conferido por el art. 10.2 CE a los tratados y acuerdos internacionales ratificados por España, no puede dejar de mencionarse, finalmente, que la vigente ordenación legal sobre los despidos económicos, colectivos e individuales, choca de manera frontal con preceptos del Convenio 158 OIT. Es patente la incompatibilidad de dicha ordenación con su art. 9.1, que establece que los órganos competentes en cada </w:t>
      </w:r>
      <w:r>
        <w:lastRenderedPageBreak/>
        <w:t>país ante los que el trabajador puede recurrir la extinción de su contrato de trabajo, no solo han de estar facultados “para examinar las causas invocadas para justificar la terminación de la relación laboral”. Además de ello, también dichos órganos han de estar facultados para “pronunciarse sobre si la terminación estaba justificada”, justificación esta que es la que, precisamente, ha de conducir a analizar la suficiencia de la causa acreditada y, necesariamente, la proporcionalidad o ajuste entre la suficiencia de la causa acreditada y la justificación de la terminación del contrato.</w:t>
      </w:r>
    </w:p>
    <w:p w:rsidR="0085709A" w:rsidRDefault="0085709A" w:rsidP="0085709A">
      <w:pPr>
        <w:pStyle w:val="TextoNormal"/>
      </w:pPr>
    </w:p>
    <w:p w:rsidR="0085709A" w:rsidRDefault="0085709A" w:rsidP="0085709A">
      <w:pPr>
        <w:pStyle w:val="TextoNormal"/>
      </w:pPr>
      <w:r>
        <w:t>Precisamente y como confirma la lectura de la Exposición de Motivos de la ley impugnada, los órganos judiciales han de resolver los despidos sometidos a su conocimiento sin entrar a verificar la racionalidad de la medida. Por este lado y en resumen, puede afirmarse que el art. 18.3 de la Ley 3/2012, que modifica el art. 51.1 LET, con el contenido adoptado, también comporta un incumplimiento de los compromisos internacionales asumidos por España.</w:t>
      </w:r>
    </w:p>
    <w:p w:rsidR="0085709A" w:rsidRDefault="0085709A" w:rsidP="0085709A">
      <w:pPr>
        <w:pStyle w:val="TextoNormal"/>
      </w:pPr>
    </w:p>
    <w:p w:rsidR="0085709A" w:rsidRDefault="0085709A" w:rsidP="0085709A">
      <w:pPr>
        <w:pStyle w:val="TextoNormal"/>
      </w:pPr>
      <w:r>
        <w:t>5. Primero. Los artículos 18.7 y 8 y 23.1 de la Ley 3/2012, han procedido a dar una nueva redacción a los arts.. 56, 1 y 2, LET y 110.1 de la Ley reguladora de la jurisdicción social, que han modificado la regulación de los salarios de tramitación cuyo abono queda sujeto no tanto ni solo a la calificación judicial del despido sino, adicionalmente, a la opción adoptada por el empresario. En síntesis, la citada regulación ha suprimido su pago en caso de despido improcedente en el que el empresario hubiere ejercido la opción del abono de la indemnización equivalente a 33 días, desestimando la alternativa de la readmisión. O expresada la idea desde otro ángulo, el trabajador despedido improcedentemente tendrá derecho a percibir los salarios que hubieren mediado entre las fechas de comunicación del despido y la notificación de la sentencia única y exclusivamente si el empresario opta por su readmisión. Es ésta, por lo demás, una regla que no rige para los representantes de los trabajadores, que conservan el derecho a la percepción de los salarios de tramitación sea cual fuere la opción elegida por ellos en el supuesto de que la sentencia hubiere calificado su despido como improcedente (art. 56.4 LET).</w:t>
      </w:r>
    </w:p>
    <w:p w:rsidR="0085709A" w:rsidRDefault="0085709A" w:rsidP="0085709A">
      <w:pPr>
        <w:pStyle w:val="TextoNormal"/>
      </w:pPr>
    </w:p>
    <w:p w:rsidR="0085709A" w:rsidRDefault="0085709A" w:rsidP="0085709A">
      <w:pPr>
        <w:pStyle w:val="TextoNormal"/>
      </w:pPr>
      <w:r>
        <w:t>No ha sido la Ley 3/2012 (ni su precedente normativo, el Real Decreto-ley 3/2012) la primera disposición legal que ha revisado el régimen jurídico de la figura de los salarios de tramitación, que cuenta entre nosotros con una dilatación tradición. El Real Decreto-ley 5/2002, de 24 de Mayo, de medidas urgentes para la reforma del sistema de protección por desempleo y mejora de la ocupabilidad, vino a anticipar la medida legal luego recuperada por el Real Decreto-ley 3/2012 y la Ley aquí combatida de igual numeración, al suprimir el devengo de los salarios de tramitación en la hipótesis de que el despido fuera calificado como improcedente y el empresario no readmitiese al trabajador o, lo que es igual, optare por entregarle la oportuna indemnización. Por su parte, la Ley 45/2002, de 12 de diciembre, de idéntica denominación, rectificó la práctica supresión de los citados salarios introducida por el mencionado Real Decreto Legislativo 5/2002, reinstaurando su pago sea cual fuere la opción empresarial.</w:t>
      </w:r>
    </w:p>
    <w:p w:rsidR="0085709A" w:rsidRDefault="0085709A" w:rsidP="0085709A">
      <w:pPr>
        <w:pStyle w:val="TextoNormal"/>
      </w:pPr>
    </w:p>
    <w:p w:rsidR="0085709A" w:rsidRDefault="0085709A" w:rsidP="0085709A">
      <w:pPr>
        <w:pStyle w:val="TextoNormal"/>
      </w:pPr>
      <w:r>
        <w:t xml:space="preserve">La doctrina constitucional, de su lado, también ha tenido oportunidad de pronunciarse en distintas ocasiones sobre los salarios de tramitación en conexión con diferentes derechos constitucionales. En tal sentido, las SSTC 84/2008, de 21 de julio, 122/2008, de 20 de octubre, y 143/2008, de 31 de octubre, han analizado la posible incidencia de la supresión de </w:t>
      </w:r>
      <w:r>
        <w:lastRenderedPageBreak/>
        <w:t>los salarios de tramitación en relación con el principio de igualdad (art. 14 CE) y el derecho a la tutela judicial efectiva (art. 24.1 CE).</w:t>
      </w:r>
    </w:p>
    <w:p w:rsidR="0085709A" w:rsidRDefault="0085709A" w:rsidP="0085709A">
      <w:pPr>
        <w:pStyle w:val="TextoNormal"/>
      </w:pPr>
    </w:p>
    <w:p w:rsidR="0085709A" w:rsidRDefault="0085709A" w:rsidP="0085709A">
      <w:pPr>
        <w:pStyle w:val="TextoNormal"/>
      </w:pPr>
      <w:r>
        <w:t>No entra en el círculo de mis intenciones caminar por senderos que la jurisprudencia constitucional ya ha clausurado. No obstante y para bien centrar el objeto del presente motivo de inconstitucionalidad, no resultará en modo alguno impertinente traer a colación lo que dejó escrito, en su FJ 8, la STC 84/2008, al rechazar que la supresión de los salarios de tramitación en los términos instituidos por el Real Decreto Legislativo 5/2002 y que ahora recupera de manera simétrica la Ley 3/2012, pudiera implicar una lesión del derecho a la tutela judicial efectiva (art. 24.2 CE):</w:t>
      </w:r>
    </w:p>
    <w:p w:rsidR="0085709A" w:rsidRDefault="0085709A" w:rsidP="0085709A">
      <w:pPr>
        <w:pStyle w:val="TextoNormal"/>
      </w:pPr>
    </w:p>
    <w:p w:rsidR="0085709A" w:rsidRDefault="0085709A" w:rsidP="0085709A">
      <w:pPr>
        <w:pStyle w:val="TextoNormal"/>
      </w:pPr>
      <w:r>
        <w:t>“Este derecho de opción —razonó la mencionada resolución, refiriéndose al conferido al empresario—,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(FJ 8).</w:t>
      </w:r>
    </w:p>
    <w:p w:rsidR="0085709A" w:rsidRDefault="0085709A" w:rsidP="0085709A">
      <w:pPr>
        <w:pStyle w:val="TextoNormal"/>
      </w:pPr>
    </w:p>
    <w:p w:rsidR="0085709A" w:rsidRDefault="0085709A" w:rsidP="0085709A">
      <w:pPr>
        <w:pStyle w:val="TextoNormal"/>
      </w:pPr>
      <w:r>
        <w:t>Es desde esta perspectiva material desde la que la parte recurrente formula el correspondiente motivo de inconstitucionalidad, por entender que la vigente regulación del derecho de elección del empresario, una vez suprimidos los salarios de tramitación en caso de que éste opte por la extinción —y no se trate de un representante de los trabajadores—, implica una regulación sustantiva material del derecho del trabajador ante el despido que vulnera el derecho al trabajo, en su vertiente individual, consagrado en el art. 35.1 CE. Y es desde esta misma perspectiva desde la que la sentencia de la mayoría rechaza este reproche, en decisión que en modo alguno comparto por las razones que expondré de inmediato.</w:t>
      </w:r>
    </w:p>
    <w:p w:rsidR="0085709A" w:rsidRDefault="0085709A" w:rsidP="0085709A">
      <w:pPr>
        <w:pStyle w:val="TextoNormal"/>
      </w:pPr>
    </w:p>
    <w:p w:rsidR="0085709A" w:rsidRDefault="0085709A" w:rsidP="0085709A">
      <w:pPr>
        <w:pStyle w:val="TextoNormal"/>
      </w:pPr>
      <w:r>
        <w:t>En todo caso, no me parece impertinente dejar ya aclarado desde un principio que, en mi opinión, el vigente régimen jurídico de los salarios de tramitación no solo priva al trabajador de una protección real y efectiva ante los despidos sin justa causa. Además de ello, dicha regulación funciona como un incentivo económico, irracional y arbitrario, a favor de la extinción del contrato de trabajo, colisionando de manera frontal con el derecho constitucional al trabajo, que no puede en modo alguno conciliarse con una medida que no se limita a adoptar una actitud neutra hacia al empresario; antes al contrario, estimula y promueve, de manera abierta, su opción a favor de la terminación de la relación laboral. Por este lado, la propia ley impugnada deja en entredicho y contradice la que constituye, de conformidad con sus propias declaraciones, su finalidad primera y esencial y que ha sido invocada, en más de una ocasión, por las resoluciones adoptadas por este Tribunal con vistas a sostener la regularidad constitucional de algunos preceptos legales de la Ley 3/2012; a saber: el fomento de aquellas medidas destinadas a crear empleo, priorizando su ejercicio por el empresario frente a aquellas otras dirigidas a destruir puestos de trabajo.</w:t>
      </w:r>
    </w:p>
    <w:p w:rsidR="0085709A" w:rsidRDefault="0085709A" w:rsidP="0085709A">
      <w:pPr>
        <w:pStyle w:val="TextoNormal"/>
      </w:pPr>
    </w:p>
    <w:p w:rsidR="0085709A" w:rsidRDefault="0085709A" w:rsidP="0085709A">
      <w:pPr>
        <w:pStyle w:val="TextoNormal"/>
      </w:pPr>
      <w:r>
        <w:lastRenderedPageBreak/>
        <w:t>Segundo. La Sentencia de la que ahora me separo sustenta la desestimación de los pasajes legales ahora a examen en base a un doble orden de motivos: de un lado, por ser la tesis ya defendida por el ATC 43/2014 y, de otro, por contar la medida legislativa con una justificación “que no puede tacharse de arbitraria o razonable” [FJ 8 a)]. Dejando para un momento inmediatamente posterior la tarea de dotar de la obligada justificación a mi juicio sobre la inconstitucionalidad de esos pasajes, me parece de todo punto oportuno expresar las razones de este disentimiento.</w:t>
      </w:r>
    </w:p>
    <w:p w:rsidR="0085709A" w:rsidRDefault="0085709A" w:rsidP="0085709A">
      <w:pPr>
        <w:pStyle w:val="TextoNormal"/>
      </w:pPr>
    </w:p>
    <w:p w:rsidR="0085709A" w:rsidRDefault="0085709A" w:rsidP="0085709A">
      <w:pPr>
        <w:pStyle w:val="TextoNormal"/>
      </w:pPr>
      <w:r>
        <w:t>En atención a que el objeto de mi discrepancia en el pronunciamiento que sustanció la cuestión de inconstitucionalidad 3801-2013 quedó limitado a sustentar la violación, por el Real Decreto-ley 3/2012, del art. 86.1 CE, en el voto particular que formulé al ATC 43/2014 no tuve oportunidad, por elementales exigencias de congruencia argumental, de objetar las explicaciones determinantes para descartar la vulneración articulada por el órgano judicial promotor de la citada cuestión de inconstitucionalidad contra el nuevo régimen jurídico de los salarios de tramitación, introducido por aquella norma de urgencia y traspuesta, sin cambio alguno, al articulado de la ley ahora censurada.</w:t>
      </w:r>
    </w:p>
    <w:p w:rsidR="0085709A" w:rsidRDefault="0085709A" w:rsidP="0085709A">
      <w:pPr>
        <w:pStyle w:val="TextoNormal"/>
      </w:pPr>
    </w:p>
    <w:p w:rsidR="0085709A" w:rsidRDefault="0085709A" w:rsidP="0085709A">
      <w:pPr>
        <w:pStyle w:val="TextoNormal"/>
      </w:pPr>
      <w:r>
        <w:t>En el decir de esa resolución, el ATC 43/2014, la carencia del necesario asiento de la duda de constitucionalidad planteada por el titular del Juzgado de lo Social núm. 34 de los de Madrid se basa en que, “desde la estricta perspectiva individual de este derecho constitucional —art. 35.1 CE, invocado—”, la medida normativa reprobada “constituye una posibilidad constitucionalmente legítima que queda dentro de ese comentado margen de configuración atribuido al legislador ex art. 35.2 CE”. Enunciando mi razonamiento desde un punto de vista no solo de fondo sino, adicionalmente, de forma o método, el argumento transcrito, que ahora también hace suyo la sentencia de la mayoría, incurre en una preocupante vaciedad constitucional. En la lógica de esta interpretación, cualquier medida legal de carácter laboral incluida en la ley de desarrollo de ese mandato, que fue precisamente el texto refundido de la Ley del estatuto de los trabajadores , habría de ser calificada como constitucional, al margen y con independencia de la posible incidencia en el contenido esencial del derecho constitucional sujeto a confrontación. Por enunciar la tesis mayoritaria en otras palabras, una previsión constitucional que se limita a enunciar una reserva de ley, cual es la contenida en el art. 35.2 CE, conferirí</w:t>
      </w:r>
      <w:r w:rsidRPr="0085709A">
        <w:rPr>
          <w:i/>
        </w:rPr>
        <w:t xml:space="preserve">a per </w:t>
      </w:r>
      <w:r>
        <w:t>se y de manera automática regularidad constitucional material a todas y cada una de las reglas derivadas del ejercicio, por el legislador, de esa previsión.</w:t>
      </w:r>
    </w:p>
    <w:p w:rsidR="0085709A" w:rsidRDefault="0085709A" w:rsidP="0085709A">
      <w:pPr>
        <w:pStyle w:val="TextoNormal"/>
      </w:pPr>
    </w:p>
    <w:p w:rsidR="0085709A" w:rsidRDefault="0085709A" w:rsidP="0085709A">
      <w:pPr>
        <w:pStyle w:val="TextoNormal"/>
      </w:pPr>
      <w:r>
        <w:t xml:space="preserve">Una densidad constitucional de tono muy semejante puede y debe predicarse del segundo de los motivos que ampara la desestimación de los reproches vertidos por la parte recurrente a los artículos 56.1 LET y 110.1 de la Ley reguladora de la jurisdicción social modificados por la Ley ahora combatida, y que se sustancian en el reconocimiento a la concreta medida legal cuestionada de “una justificación que no puede tacharse de arbitraria e irrazonable”, coincidente ésta, sin reserva ni matización alguna, con la ofrecida por el propio legislador en la exposición de motivos de la Ley 3/2012. No voy a entrar a discutir la certeza o no de la conclusión alcanzada, pues eso significaría instalar mi razonamiento en un ámbito, el de la interdicción de la arbitrariedad (art. 9.3 CE), por completo ajeno al del presente debate. A los efectos que aquí me interesa, me bastará hacer constar que una argumentación al estilo de la manejada, que renuncia a contrastar la verosimilitud de la justificación ofrecida por el legislador y, sobre todo, a verificar si la medida legislativa, por afectar a un derecho constitucional de los enunciados en el capítulo II del título I CE, invade o no el contenido esencial, </w:t>
      </w:r>
      <w:r>
        <w:lastRenderedPageBreak/>
        <w:t>tiene el riesgo cierto de validar constitucionalmente la práctica totalidad de las reglas jurídicas de índole legal. El carácter no arbitrario e irrazonable asignado, con criterios de automatismo, a la justificación aprestada por el legislador ordinario erige en tarea claudicante, de imposible alcance, la estimación de reproches de inconstitucionalidad. Para instalarse al abrigo de eventuales tachas de inconstitucionalidad, a los legisladores les bastaría con observar la exigencia, instituida en el más insustancial de los protocolos de técnica legislativa, de incorporar, en el preámbulo de la norma, explicaciones más o menos certeras, apreciadas o no en un sentido armónico e integrado con, e integrador de, las otras reglas, de la regulación adoptada.</w:t>
      </w:r>
    </w:p>
    <w:p w:rsidR="0085709A" w:rsidRDefault="0085709A" w:rsidP="0085709A">
      <w:pPr>
        <w:pStyle w:val="TextoNormal"/>
      </w:pPr>
    </w:p>
    <w:p w:rsidR="0085709A" w:rsidRDefault="0085709A" w:rsidP="0085709A">
      <w:pPr>
        <w:pStyle w:val="TextoNormal"/>
      </w:pPr>
      <w:r>
        <w:t>Tercero. Conforme se ha señalado y reiterado, la parte recurrente imputa a los preceptos legales a discusión la violación de los arts. 14 y 35.1 CE. Centrándome exclusivamente en el análisis de la primera de estas vulneraciones y sin pretensión de reproducir cuanto ya he tenido ocasión de argumentar a propósito del contenido esencial de la vertiente individual del derecho al trabajo (art. 35.1), no me parece inoportuno recordar que la concurrencia de justa causa de entidad suficiente se integra en ese contenido. A partir de tan relevante constatación, los preceptos legales contestados, reactivando una regla introducida en 2002 pero de muy corta vigencia, suprimen los llamados salarios de tramitación en aquellos casos en los que, tras la declaración judicial de la improcedencia del despido, el empresario opta por el abono al trabajador afectado de la indemnización legal, en lugar de por la readmisión. El propósito de las reflexiones que siguen es demostrar que el derecho del trabajador a la percepción de los referidos salarios es una consecuencia inescindible de su derecho a no ser despedido sin justa causa de entidad suficiente, por lo que aquella medida legal infringe de manera frontal el art. 35.1 CE.</w:t>
      </w:r>
    </w:p>
    <w:p w:rsidR="0085709A" w:rsidRDefault="0085709A" w:rsidP="0085709A">
      <w:pPr>
        <w:pStyle w:val="TextoNormal"/>
      </w:pPr>
    </w:p>
    <w:p w:rsidR="0085709A" w:rsidRDefault="0085709A" w:rsidP="0085709A">
      <w:pPr>
        <w:pStyle w:val="TextoNormal"/>
      </w:pPr>
      <w:r>
        <w:t>Es ésta una conclusión asentada en diversos razonamientos, entrelazados entre sí. El punto de partida, desde un ángulo cronológico, reside en la imposibilidad constitucional de reconocer a la terminación del contrato de trabajo adoptada por la voluntad unilateral del empresario —esto es, al despido— y que hubiere sido impugnada por el trabajador dentro del improrrogable plazo de caducidad legalmente fijado (art. 59.3 LET), de unos efectos extintivos en un sentido propio. Más allá de juicios de legalidad ordinaria, esa premisa es una consecuencia, como razonaré, de la garantía que instituye el art. 35.1 CE al imponer el concurso de una justa causa en la extinción de los contratos de trabajo. O, enunciada la misma idea desde otra vertiente, la presentación por el trabajador afectado de una demanda por despido improcedente sustituye los iniciales efectos extintivos dotados de una apariencia de validez, en efectos meramente interruptores de la relación laboral. Como corolario de la decisión adoptada por el empresario, las prestaciones básicas y sinalagmáticas del contrato de trabajo (prestación laboral y deuda salarial) quedan interrumpidas desde la fecha del cese del trabajador en su puesto de trabajo hasta que el órgano judicial competente de primera y única instancia de la jurisdicción social conoce y resuelve la demanda por despido, emitiendo la correspondiente calificación (55.3 LET).</w:t>
      </w:r>
    </w:p>
    <w:p w:rsidR="0085709A" w:rsidRDefault="0085709A" w:rsidP="0085709A">
      <w:pPr>
        <w:pStyle w:val="TextoNormal"/>
      </w:pPr>
    </w:p>
    <w:p w:rsidR="0085709A" w:rsidRDefault="0085709A" w:rsidP="0085709A">
      <w:pPr>
        <w:pStyle w:val="TextoNormal"/>
      </w:pPr>
      <w:r>
        <w:t xml:space="preserve">Por lo pronto, el reconocimiento por el juez de la concurrencia de justa causa (despido procedente) recupera el carácter extintivo del acto empresarial, dotando a esta declaración de una eficacia </w:t>
      </w:r>
      <w:r w:rsidRPr="0085709A">
        <w:rPr>
          <w:i/>
        </w:rPr>
        <w:t>ex tunc</w:t>
      </w:r>
      <w:r>
        <w:t xml:space="preserve">, de modo que el trabajador no tiene derecho ni a ser readmitido ni a percibir indemnización alguna. Bien distinto es, sin embargo, el escenario jurídico que se </w:t>
      </w:r>
      <w:r>
        <w:lastRenderedPageBreak/>
        <w:t>abre en el supuesto de que la declaración judicial comporte la privación a la decisión unilateral del empresario del atributo de la constitucional exigencia de justa causa de entidad suficiente.</w:t>
      </w:r>
    </w:p>
    <w:p w:rsidR="0085709A" w:rsidRDefault="0085709A" w:rsidP="0085709A">
      <w:pPr>
        <w:pStyle w:val="TextoNormal"/>
      </w:pPr>
    </w:p>
    <w:p w:rsidR="0085709A" w:rsidRDefault="0085709A" w:rsidP="0085709A">
      <w:pPr>
        <w:pStyle w:val="TextoNormal"/>
      </w:pPr>
      <w:r>
        <w:t xml:space="preserve">En estos casos y en razón precisamente de carecer la conducta empresarial del atributo que la valida constitucionalmente, el obligado corolario de la declaración judicial de improcedencia del despido solo puede ser la reconstrucción de la relación laboral durante el período de tiempo en que, a resultas de un acto imputable exclusivamente al empresario, el trabajador no pudo ni cumplir con su deber de prestar el trabajo convenido ni percibir los salarios debidos o convenidos. La declaración judicial ahora a examen cancela el estado de interrupción del contrato de trabajo, poniendo igualmente fin a la situación de </w:t>
      </w:r>
      <w:r w:rsidRPr="0085709A">
        <w:rPr>
          <w:i/>
        </w:rPr>
        <w:t>mora accipiendi</w:t>
      </w:r>
      <w:r>
        <w:t xml:space="preserve"> en que el empresario decidió instalarse por su sola voluntad, obligado ahora a abonar al trabajador los salarios que no le fueron satisfechos, entendida esta obligación como único cauce capaz de reconstruir la relación laboral.</w:t>
      </w:r>
    </w:p>
    <w:p w:rsidR="0085709A" w:rsidRDefault="0085709A" w:rsidP="0085709A">
      <w:pPr>
        <w:pStyle w:val="TextoNormal"/>
      </w:pPr>
    </w:p>
    <w:p w:rsidR="0085709A" w:rsidRDefault="0085709A" w:rsidP="0085709A">
      <w:pPr>
        <w:pStyle w:val="TextoNormal"/>
      </w:pPr>
      <w:r>
        <w:t xml:space="preserve">Tradicionalmente, la legislación española ha concedido al empresario, en aquellos casos en los que en el trabajador improcedentemente despedido no concurre la condición de representante unitario o sindical, la posibilidad de optar entre una reparación </w:t>
      </w:r>
      <w:r w:rsidRPr="0085709A">
        <w:rPr>
          <w:i/>
        </w:rPr>
        <w:t>in natura</w:t>
      </w:r>
      <w:r>
        <w:t xml:space="preserve"> (readmisión) o el pago de una compensación económica (indemnización). Sin entrar a discutir, pues no es cuestión a debate en este proceso, la regularidad constitucional de esa regla legal, lo que me importa reiterar es que, hasta la aprobación de la ley impugnada (y de su precedente legislativo) y, salvo el breve lapso de tiempo de vigencia en este aspecto del Real Decreto Legislativo 5/2002, ambas modalidades de reparación llevaban aparejadas el abono de los salarios de tramitación, conformándose así al terminante mandato establecido en el art. 35.1 CE. En la nueva redacción aportada por la Ley 3/2012 a los artículos. 56.1 LET y 110.1 de la Ley reguladora de la jurisdicción social, la elección del empresario en favor del cumplimiento de la obligación de dar, en lugar de la de hacer, deja caer los salarios de tramitación. Por este lado, pues, la ley, en este concreto supuesto de hecho y a pesar de la declaración judicial de inexistencia de justa causa de la conducta extintiva empresarial, no procede a reconstruir o restablecer, en términos constitucionalmente adecuados, la relación laboral interrumpida en toda su plenitud, ya que excluye el efecto remuneratorio que le resulta inherente a lo largo de su vigencia. Muy antes al contrario, los artículos ahora impugnados optan por dotar a dicho acto, con carácter retroactivo, de unos efectos extintivos que no integran aquella garantía de la deuda salarial. O, formulada la misma idea desde otro ángulo, estos pasajes legales privan a la vertiente individual del derecho al trabajo de su contenido esencial; esto es, de la consecuencia primera y esencial vinculada a un despido sin justa causa y entidad suficiente, consistente en la obligada reconstrucción de la relación laboral entre las fechas del cese del trabajador en su puesto de trabajo y de la declaración judicial de la improcedencia de ese cese.</w:t>
      </w:r>
    </w:p>
    <w:p w:rsidR="0085709A" w:rsidRDefault="0085709A" w:rsidP="0085709A">
      <w:pPr>
        <w:pStyle w:val="TextoNormal"/>
      </w:pPr>
    </w:p>
    <w:p w:rsidR="0085709A" w:rsidRDefault="0085709A" w:rsidP="0085709A">
      <w:pPr>
        <w:pStyle w:val="TextoNormal"/>
      </w:pPr>
      <w:r>
        <w:t xml:space="preserve">Por lo demás, me interesa dejar bien aclarado que la interpretación aquí sostenida no incide sobre las medidas que pueda adoptar el legislador respecto del tipo de reparación o tutela conferido al despido improcedente, medidas éstas que se activan en una secuencia lógica y cronológica, desde la doble perspectiva fáctica y jurídica, ulterior de, y distinta a, la que nace de la declaración por el órgano judicial de la no concurrencia de justa causa para dar por finalizada la relación laboral. Es esta declaración la que obliga constitucionalmente a reconstruir el contrato de trabajo interrumpido por voluntad del empresario, pudiendo el </w:t>
      </w:r>
      <w:r>
        <w:lastRenderedPageBreak/>
        <w:t>legislador optar, en modo alternativo o exclusivo, en la fase de ejecución de aquella declaración judicial, y como tuvo oportunidad de dejar sentado este Tribunal, por un doble sistema de tutela frente a la improcedencia del despido: l</w:t>
      </w:r>
      <w:r w:rsidRPr="0085709A">
        <w:rPr>
          <w:i/>
        </w:rPr>
        <w:t>a restitutio in integr</w:t>
      </w:r>
      <w:r>
        <w:t>um o tutela real y el pago de un equivalente económico o tutela obligatoria (STC 55/1983, de 29 de junio, FJ 2).</w:t>
      </w:r>
    </w:p>
    <w:p w:rsidR="0085709A" w:rsidRDefault="0085709A" w:rsidP="0085709A">
      <w:pPr>
        <w:pStyle w:val="TextoNormal"/>
      </w:pPr>
    </w:p>
    <w:p w:rsidR="0085709A" w:rsidRDefault="0085709A" w:rsidP="0085709A">
      <w:pPr>
        <w:pStyle w:val="TextoNormal"/>
      </w:pPr>
      <w:r>
        <w:t>6.- Primero. La parte recurrente impugna, con fundamento en los arts. 14 y 9.3 CE, la Disposición Adicional Tercera de la Ley 3/2012, que añade en el ET una nueva Disposición Adicional, la vigésimo primera, por la que se excluye, salvo supuestos muy residuales, la aplicación del art. 47 LET, en las Administraciones públicas y en las entidades de derecho público vinculadas o dependientes de una o varias de ellas y de otros organismos públicos.</w:t>
      </w:r>
    </w:p>
    <w:p w:rsidR="0085709A" w:rsidRDefault="0085709A" w:rsidP="0085709A">
      <w:pPr>
        <w:pStyle w:val="TextoNormal"/>
      </w:pPr>
    </w:p>
    <w:p w:rsidR="0085709A" w:rsidRDefault="0085709A" w:rsidP="0085709A">
      <w:pPr>
        <w:pStyle w:val="TextoNormal"/>
      </w:pPr>
      <w:r>
        <w:t>Segundo. La Sentencia de la mayoría rechaza la denuncia de vulneración del art. 14 CE haciendo suya la argumentación formulada por el Abogado del Estado que, en resumen, manifiesta la inexistencia en este caso de un elemento válido de comparación. Ni el personal laboral al servicio de las Administraciones públicas forma parte de un “grupo o categoría” homogénea respecto del personal sujeto a la legislación laboral ni, tampoco, el personal laboral del sector público administrativo y el del sector público empresarial se incardinan en estructuras semejantes, constituyendo, igualmente, grupos o categorías diferentes.</w:t>
      </w:r>
    </w:p>
    <w:p w:rsidR="0085709A" w:rsidRDefault="0085709A" w:rsidP="0085709A">
      <w:pPr>
        <w:pStyle w:val="TextoNormal"/>
      </w:pPr>
    </w:p>
    <w:p w:rsidR="0085709A" w:rsidRDefault="0085709A" w:rsidP="0085709A">
      <w:pPr>
        <w:pStyle w:val="TextoNormal"/>
      </w:pPr>
      <w:r>
        <w:t>No es ésta, sin embargo, una tesis que pueda compartir en el marco de la reforma laboral de 2012, enjuiciado constitucionalmente. En efecto, resulta oportuno recordar que lo propio del juicio de igualdad —ha dicho este Tribunal de forma invariable y constante— es su carácter relacional. Como presupuestos obligados, requiere, de un lado, que en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(por todas, recientemente, STC 156/2014, de 25 de septiembre, FJ 4). Sólo una vez verificado el concurso de uno y otro presupuesto resultará procedente entrar a determinar la licitud constitucional o no de la diferencia contenida en la norma. Es esta la circunstancia que, a juicio de la mayoría y por la razón apuntada en el párrafo anterior, no concurre en el presente recurso.</w:t>
      </w:r>
    </w:p>
    <w:p w:rsidR="0085709A" w:rsidRDefault="0085709A" w:rsidP="0085709A">
      <w:pPr>
        <w:pStyle w:val="TextoNormal"/>
      </w:pPr>
    </w:p>
    <w:p w:rsidR="0085709A" w:rsidRDefault="0085709A" w:rsidP="0085709A">
      <w:pPr>
        <w:pStyle w:val="TextoNormal"/>
      </w:pPr>
      <w:r>
        <w:t xml:space="preserve">Esta inteligencia olvida, como no pocas veces ocurre en el juicio relacional referido, que dicha condición subjetiva de la comparación (esto es, que las situaciones sean homogéneas o equiparables) nada tiene que ver con una suerte de identidad entre los colectivos a contraste. Como es obvio, un esquema de coincidencia plena o total identificación, frente a otro de confluencia, similitud u homogeneidad de las situaciones de hecho, supondría vaciar de sentido un derecho de fundamento y conformación relacional (o bien, alternativamente, constreñirlo a una tutela </w:t>
      </w:r>
      <w:r w:rsidRPr="0085709A">
        <w:rPr>
          <w:i/>
        </w:rPr>
        <w:t>ad intra</w:t>
      </w:r>
      <w:r>
        <w:t xml:space="preserve"> —entre los sujetos pertenecientes a un mismo colectivo—, algo similar a lo que expuse, aunque no a efectos restrictivos sino expansivos de la tutela y a tenor de la particular situación que allí se enjuiciaba, en mi voto particular a la STC 173/2013, de 10 de octubre, en un supuesto de tutela antidiscriminatoria). La exigencia de aquella identidad entre las situaciones de hecho reguladas carece de coherencia en términos lógicos, al tratarse de un derecho de caracterización relacional, dando lugar a una injustificada exclusión de la cobertura constitucional cuando, en razón de su homogeneidad, como sucede en esta ocasión, los colectivos comparados merezcan igualdad de trato normativo.</w:t>
      </w:r>
    </w:p>
    <w:p w:rsidR="0085709A" w:rsidRDefault="0085709A" w:rsidP="0085709A">
      <w:pPr>
        <w:pStyle w:val="TextoNormal"/>
      </w:pPr>
    </w:p>
    <w:p w:rsidR="0085709A" w:rsidRDefault="0085709A" w:rsidP="0085709A">
      <w:pPr>
        <w:pStyle w:val="TextoNormal"/>
      </w:pPr>
      <w:r>
        <w:lastRenderedPageBreak/>
        <w:t>Aquella noción profundamente formalista del elemento relacional, lamentablemente, se ha impuesto en la presente Sentencia. La mayoría desconoce o da de lado que el principio de igualdad impide que entre colectivos en una situación equiparable u homogénea se sostenga la diferencia de trato normativo en circunstancias que o bien no pueden ser jamás tomadas en consideración por prohibirlo así expresamente la propia Constitución, o bien no guardan relación alguna con el sentido de la regulación que, al incluirlas, incurre en arbitrariedad. Dicho examen, que era obligado en este recurso, se ha quedado en el camino argumental, oculto tras el socorrido velo formalista de confundir colectivos distintos y colectivos no comparable</w:t>
      </w:r>
      <w:r w:rsidRPr="0085709A">
        <w:rPr>
          <w:i/>
        </w:rPr>
        <w:t xml:space="preserve">s </w:t>
      </w:r>
      <w:r>
        <w:t>ex art. 14 CE.</w:t>
      </w:r>
    </w:p>
    <w:p w:rsidR="0085709A" w:rsidRDefault="0085709A" w:rsidP="0085709A">
      <w:pPr>
        <w:pStyle w:val="TextoNormal"/>
      </w:pPr>
    </w:p>
    <w:p w:rsidR="0085709A" w:rsidRDefault="0085709A" w:rsidP="0085709A">
      <w:pPr>
        <w:pStyle w:val="TextoNormal"/>
      </w:pPr>
      <w:r>
        <w:t>En mi opinión, en cambio, estando en juego el alcance del régimen jurídico impugnado y sus efectos sobre sujetos indistintamente vinculados por una relación de naturaleza laboral, concurre válidamente el término de comparación alegado por la parte recurrente. En consecuencia, y como dijera, entre otras resoluciones, la STC 112/2006, de 5 abril, FJ 5, con vistas a poder introducir diferencias normativas ha de existir una suficiente justificación de tal diferencia, debiendo aparecer como fundada y razonable, de acuerdo con criterios y juicios de valor generalmente aceptados. Y ni justificación ni explicación alguna del diferente trato advierto en la norma, como tampoco respuesta a ese hecho en la Sentencia de la que discrepo.</w:t>
      </w:r>
    </w:p>
    <w:p w:rsidR="0085709A" w:rsidRDefault="0085709A" w:rsidP="0085709A">
      <w:pPr>
        <w:pStyle w:val="TextoNormal"/>
      </w:pPr>
    </w:p>
    <w:p w:rsidR="0085709A" w:rsidRDefault="0085709A" w:rsidP="0085709A">
      <w:pPr>
        <w:pStyle w:val="TextoNormal"/>
      </w:pPr>
      <w:r>
        <w:t xml:space="preserve">En efecto, la reforma laboral a examen no ha dudado, de un lado, en aplicar al personal laboral objeto de consideración la posibilidad de medidas extintivas de sus contratos </w:t>
      </w:r>
      <w:r w:rsidRPr="0085709A">
        <w:rPr>
          <w:i/>
        </w:rPr>
        <w:t>ex</w:t>
      </w:r>
      <w:r>
        <w:t xml:space="preserve"> art. 51 LET y, de otro, en excluir a ese mismo personal la posibilidad de aplicación de medidas de flexibilidad interna, al estilo de las enunciadas en el art. 47 LET. La exclusión de este último no deja de llamar la atención, pues toda la razón de ser de la citada reforma —al menos la confesada, otra cosa es que el resultado alcanzado no resulte convergente— fue explicada, primero por el Gobierno en el Real Decreto-ley 3/2012 y, más tarde por el legislador en la Ley 3/2012, en clave de atribución de una resuelta prioridad o fomento de las medidas menos traumáticas, articuladas mediante el establecimiento de vías flexibles para la gestión de la mano de obra, en lugar de las más extremas de supresión de empleos. En tal sentido y precisamente, las reformas del último trienio han ido en la línea de favorecer, mediante diferentes incentivos, el recurso al art. 47 LET —como, por ejemplo, los expedientes de regulación de empleo suspensivos o de reducción de la jornada, y consideración en situación de desempleo durante ese tiempo, o incluso desempleo a tiempo parcial—, en detrimento del art. 51 LET.</w:t>
      </w:r>
    </w:p>
    <w:p w:rsidR="0085709A" w:rsidRDefault="0085709A" w:rsidP="0085709A">
      <w:pPr>
        <w:pStyle w:val="TextoNormal"/>
      </w:pPr>
    </w:p>
    <w:p w:rsidR="0085709A" w:rsidRDefault="0085709A" w:rsidP="0085709A">
      <w:pPr>
        <w:pStyle w:val="TextoNormal"/>
      </w:pPr>
      <w:r>
        <w:t>Apartándose de esta lógica, la disposición adicional vigésima primera del texto refundido de la Ley del estatuto de los trabajadores, excluye, sin matices y de forma absoluta, la aplicación del art. 47 a las Administraciones públicas, salvo el residual supuesto de que el ente público no integre sus ingresos a través de las transferencias públicas sino como “contrapartidas de operaciones realizas en el mercado”. No explica el legislador la razón de esta desigualdad de trato, limitativa de la flexibilidad interna, pese a que, a la inversa, dedica atención a explicar las razones de otras medidas para el empleo público, como las restricciones a las cláusulas de blindaje para el empleo directivo público. Una medida de tanta relevancia queda huérfana de aclaración; e, igualmente, queda privada de fundamento justificativo la desigualdad normativa que implica en el terreno de la flexibilidad interna, al no estar explicitadas las relaciones entre la medida adoptada, el resultado que se produce y el fin pretendido.</w:t>
      </w:r>
    </w:p>
    <w:p w:rsidR="0085709A" w:rsidRDefault="0085709A" w:rsidP="0085709A">
      <w:pPr>
        <w:pStyle w:val="TextoNormal"/>
      </w:pPr>
    </w:p>
    <w:p w:rsidR="0085709A" w:rsidRDefault="0085709A" w:rsidP="0085709A">
      <w:pPr>
        <w:pStyle w:val="TextoNormal"/>
      </w:pPr>
      <w:r>
        <w:t>Aunque el preámbulo de la ley impugnada no lo manifieste, no parece aventurado intentar ofrecer una explicación. En el recurso a las medidas de art. 47 LET, muy utilizado para los ajustes de empleo privado, los presupuestos de la Seguridad Social y del Estado asumen una parte del coste de esos ajustes, a través del pago de las prestaciones por desempleo que abona el Servicio Público de Empleo Estatal. Por este lado, no resulta arriesgado afirmar que la finalidad básica de la regulación legal objeto de impugnación trae causa en la decisión de eludir el posible incremento del déficit de la Seguridad Social y del presupuesto público, presumiendo así un uso masivo, en el sector excluido, de estas medidas de flexibilidad.</w:t>
      </w:r>
    </w:p>
    <w:p w:rsidR="0085709A" w:rsidRDefault="0085709A" w:rsidP="0085709A">
      <w:pPr>
        <w:pStyle w:val="TextoNormal"/>
      </w:pPr>
    </w:p>
    <w:p w:rsidR="0085709A" w:rsidRDefault="0085709A" w:rsidP="0085709A">
      <w:pPr>
        <w:pStyle w:val="TextoNormal"/>
      </w:pPr>
      <w:r>
        <w:t xml:space="preserve">Ahora bien, enunciar, aunque sea tentativamente, una explicación no supone justificar válidamente la decisión en el plano jurídico. Al contrario, un motivo puramente económico no podría llevar a un tratamiento desigual a situaciones análogas en las que concurran factores que, </w:t>
      </w:r>
      <w:r w:rsidRPr="0085709A">
        <w:rPr>
          <w:i/>
        </w:rPr>
        <w:t>ex</w:t>
      </w:r>
      <w:r>
        <w:t xml:space="preserve"> art. 14 CE, obliguen o a un trato igual o demanden, de otro modo, una explicación objetiva, racional y proporcionada de la diferencia normativa. Y nada de ello se detecta en este caso: debe tenerse en cuenta que se trata de una protección social de naturaleza contributiva y, por lo tanto, de un derecho de los trabajadores, de todos ellos, por cuanto, a diferencia de los funcionarios públicos, estos contratos comportan el deber de cotizar por parte de los empleadores públicos.</w:t>
      </w:r>
    </w:p>
    <w:p w:rsidR="0085709A" w:rsidRDefault="0085709A" w:rsidP="0085709A">
      <w:pPr>
        <w:pStyle w:val="TextoNormal"/>
      </w:pPr>
    </w:p>
    <w:p w:rsidR="0085709A" w:rsidRDefault="0085709A" w:rsidP="0085709A">
      <w:pPr>
        <w:pStyle w:val="TextoNormal"/>
      </w:pPr>
      <w:r>
        <w:t>Un régimen jurídico de seguridad social análogo no se traduce así en una protección en el ámbito laboral equivalente, sino que, al contrario, se excluye de raíz. Es éste un tratamiento peyorativo, sin base ni fundamento objetivo y proporcionado declarado, que quebrante el imperativo del art. 14 CE.</w:t>
      </w:r>
    </w:p>
    <w:p w:rsidR="0085709A" w:rsidRDefault="0085709A" w:rsidP="0085709A">
      <w:pPr>
        <w:pStyle w:val="TextoNormal"/>
      </w:pPr>
    </w:p>
    <w:p w:rsidR="0085709A" w:rsidRDefault="0085709A" w:rsidP="0085709A">
      <w:pPr>
        <w:pStyle w:val="TextoNormal"/>
      </w:pPr>
      <w:r>
        <w:t>Tercero. Más allá de las razones expuestas, que articulan el juicio de igualdad y me llevan a la conclusión descrita, la ausencia completa de explicación legislativa al trato peyorativo cuestionado enlaza adicionalmente con el art. 9.3 CE.</w:t>
      </w:r>
    </w:p>
    <w:p w:rsidR="0085709A" w:rsidRDefault="0085709A" w:rsidP="0085709A">
      <w:pPr>
        <w:pStyle w:val="TextoNormal"/>
      </w:pPr>
    </w:p>
    <w:p w:rsidR="0085709A" w:rsidRDefault="0085709A" w:rsidP="0085709A">
      <w:pPr>
        <w:pStyle w:val="TextoNormal"/>
      </w:pPr>
      <w:r>
        <w:t xml:space="preserve">El canon de constitucionalidad en lo relativo a la interdicción de la arbitrariedad de los poderes públicos (art. 9.3 CE) se concreta en dos aspectos esenciales, que perfilan </w:t>
      </w:r>
      <w:r w:rsidRPr="0085709A">
        <w:rPr>
          <w:i/>
        </w:rPr>
        <w:t>ad extra</w:t>
      </w:r>
      <w:r>
        <w:t xml:space="preserve"> y </w:t>
      </w:r>
      <w:r w:rsidRPr="0085709A">
        <w:rPr>
          <w:i/>
        </w:rPr>
        <w:t>ad intra</w:t>
      </w:r>
      <w:r>
        <w:t xml:space="preserve"> nuestra verificación. En el primero, es preciso tener en cuenta que el control de la constitucional de las leyes debe ejercerse por este Tribunal de forma que no se impongan constricciones indebidas al poder legislativo y se respeten sus legítimas opciones políticas, de modo que el Tribunal Constitucional ha de observar un exquisito cuidado para mantenerse dentro de los límites del control del legislador democrático, cuidado que debe esmerarse aún más cuando se trata de aplicar preceptos generales e indeterminados, como es el de la interdicción de la arbitrariedad. En el segundo, que constituye propiamente el control material que efectuamos, el análisis nos conduce a examinar si el precepto de que se trate establece una discriminación. Y la discriminación entraña siempre una arbitrariedad, o bien, aun no estableciéndola, carece de toda explicación racional, lo que también supondría una arbitrariedad, no resultando pertinente realizar un análisis a fondo de todas las motivaciones posibles de la norma y de todas sus eventuales consecuencias (por todas, STC 18/2012, de 15 de febrero, FJ 10 y las allí citadas).</w:t>
      </w:r>
    </w:p>
    <w:p w:rsidR="0085709A" w:rsidRDefault="0085709A" w:rsidP="0085709A">
      <w:pPr>
        <w:pStyle w:val="TextoNormal"/>
      </w:pPr>
    </w:p>
    <w:p w:rsidR="0085709A" w:rsidRDefault="0085709A" w:rsidP="0085709A">
      <w:pPr>
        <w:pStyle w:val="TextoNormal"/>
      </w:pPr>
      <w:r>
        <w:t xml:space="preserve">En la apreciación de lo que sea una explicación racional se han invocado muy diferentes factores en los pronunciamientos de la jurisprudencia constitucional. Pienso que en no pocas </w:t>
      </w:r>
      <w:r>
        <w:lastRenderedPageBreak/>
        <w:t>ocasiones el canon del art. 9.3 CE, en la vertiente dicha, queda diluido en un control meramente formal. No sólo por cuanto la proporcionalidad queda por completo excluida de aquel canon, sino, sobre todo, por las siguientes y combinadas razones: porque se entremezcla muchas veces la existencia de una finalidad legítima en la norma con la existencia de una explicación racional del precepto impugnado; porque no se enjuicia la constitucionalidad del fin de la norma o la medida normativa cuestionada; no se ensayan juicios de correspondencia entre el precepto y su finalidad declarada (de correspondencia objetiva, digo, no de oportunidad política, como es obvio), esto es si el contenido normativo se corresponde objetivamente con el fin declarado y, menos aún, y, en fin, se precisan distintos grados de intensidad en la racionalidad de la medida en función de sus efectos sobre otras previsiones constitucionales o derechos constitucionalmente consagrados.</w:t>
      </w:r>
    </w:p>
    <w:p w:rsidR="0085709A" w:rsidRDefault="0085709A" w:rsidP="0085709A">
      <w:pPr>
        <w:pStyle w:val="TextoNormal"/>
      </w:pPr>
    </w:p>
    <w:p w:rsidR="0085709A" w:rsidRDefault="0085709A" w:rsidP="0085709A">
      <w:pPr>
        <w:pStyle w:val="TextoNormal"/>
      </w:pPr>
      <w:r>
        <w:t>Sin necesidad de insistir en estas últimas reflexiones o, lo que es igual, limitándome a formular mi juicio a partir del estrecho canon que se ha establecido en nuestra doctrina, mucho menos intenso que este otro que he enunciado, constituye una abierta y frontal lesión del art. 9.3 CE la total ausencia de justificación racional respecto de la disposición adicional tercera de la Ley 3/2012, que añade en el texto refundido de la Ley del estatuto de los trabajadores una nueva disposición adicional, la vigésimo primera, por la que se excluye, salvo supuestos muy residuales, la aplicación del art. 47 LET en las Administraciones públicas y en las entidades de derecho público vinculadas o dependientes de una o varias de ellas y de otros organismos públicos.</w:t>
      </w:r>
    </w:p>
    <w:p w:rsidR="0085709A" w:rsidRDefault="0085709A" w:rsidP="0085709A">
      <w:pPr>
        <w:pStyle w:val="TextoNormal"/>
      </w:pPr>
    </w:p>
    <w:p w:rsidR="0085709A" w:rsidRDefault="0085709A" w:rsidP="0085709A">
      <w:pPr>
        <w:pStyle w:val="TextoNormal"/>
      </w:pPr>
      <w:r>
        <w:t>Cuarto. Por la doble y acumulada razón expuesta, la disposición adicional vigésima primera del texto refundido de la Ley del estatuto de los trabajadores, debió de ser declarada inconstitucional y nula.</w:t>
      </w:r>
    </w:p>
    <w:p w:rsidR="0085709A" w:rsidRDefault="0085709A" w:rsidP="0085709A">
      <w:pPr>
        <w:pStyle w:val="TextoNormal"/>
      </w:pPr>
    </w:p>
    <w:p w:rsidR="0085709A" w:rsidRDefault="0085709A" w:rsidP="0085709A">
      <w:pPr>
        <w:pStyle w:val="TextoNormal"/>
      </w:pPr>
      <w:r>
        <w:t>Y en tal sentido emito este Voto particular.</w:t>
      </w:r>
    </w:p>
    <w:p w:rsidR="0085709A" w:rsidRDefault="0085709A" w:rsidP="0085709A">
      <w:pPr>
        <w:pStyle w:val="TextoNormal"/>
      </w:pPr>
    </w:p>
    <w:p w:rsidR="0085709A" w:rsidRDefault="0085709A" w:rsidP="0085709A">
      <w:pPr>
        <w:pStyle w:val="TextoNormal"/>
      </w:pPr>
      <w:r>
        <w:t>Madrid, a veintidós de enero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 w:name="SENTENCIA_2015_9"/>
      <w:r>
        <w:lastRenderedPageBreak/>
        <w:t>SENTENCIA 9/2015, de 2 de febrero de 2015</w:t>
      </w:r>
    </w:p>
    <w:bookmarkEnd w:id="12"/>
    <w:p w:rsidR="0085709A" w:rsidRDefault="0085709A" w:rsidP="0085709A">
      <w:pPr>
        <w:pStyle w:val="TtuloResolucin"/>
      </w:pPr>
      <w:r>
        <w:t>Sala Primera</w:t>
      </w:r>
    </w:p>
    <w:p w:rsidR="0085709A" w:rsidRDefault="0085709A" w:rsidP="0085709A">
      <w:pPr>
        <w:pStyle w:val="TtuloBOE"/>
      </w:pPr>
      <w:r>
        <w:t>(BOE núm. 52, de 2 de marzo de 2015)</w:t>
      </w:r>
    </w:p>
    <w:p w:rsidR="0085709A" w:rsidRDefault="0085709A" w:rsidP="0085709A">
      <w:pPr>
        <w:pStyle w:val="TextoNormalCentrado"/>
      </w:pPr>
      <w:r>
        <w:t>ECLI:ES:TC:2015:9</w:t>
      </w:r>
    </w:p>
    <w:p w:rsidR="0085709A" w:rsidRDefault="0085709A" w:rsidP="0085709A">
      <w:pPr>
        <w:pStyle w:val="TextoNormalCentrado"/>
      </w:pPr>
    </w:p>
    <w:p w:rsidR="0085709A" w:rsidRDefault="0085709A" w:rsidP="0085709A">
      <w:pPr>
        <w:pStyle w:val="SntesisDescriptiva"/>
      </w:pPr>
      <w:r>
        <w:t>Recurso de amparo 4930-2012. Promovido por doña R.D.S.O., en relación con la Sentencia de la Sala de lo Contencioso-Administrativo del Tribunal Supremo que desestimó su reclamación de responsabilidad patrimonial formulada contra el Institut Català de la Salut.</w:t>
      </w:r>
    </w:p>
    <w:p w:rsidR="0085709A" w:rsidRDefault="0085709A" w:rsidP="0085709A">
      <w:pPr>
        <w:pStyle w:val="SntesisDescriptiva"/>
      </w:pPr>
    </w:p>
    <w:p w:rsidR="0085709A" w:rsidRDefault="0085709A" w:rsidP="0085709A">
      <w:pPr>
        <w:pStyle w:val="SntesisAnaltica"/>
      </w:pPr>
      <w:r>
        <w:t>Vulneración del derecho a la tutela judicial efectiva (resolución fundada en Derecho): resolución judicial carente de una estimación expresa o tácita de las pruebas practicadas que permita conocer las razones que condujeron al órgano judicial a descartar su valoración.</w:t>
      </w:r>
    </w:p>
    <w:p w:rsidR="0085709A" w:rsidRDefault="0085709A" w:rsidP="0085709A">
      <w:pPr>
        <w:pStyle w:val="SntesisAnaltica"/>
      </w:pPr>
    </w:p>
    <w:p w:rsidR="0085709A" w:rsidRDefault="0085709A" w:rsidP="0085709A">
      <w:pPr>
        <w:pStyle w:val="Extracto"/>
      </w:pPr>
      <w:r>
        <w:t>1.</w:t>
      </w:r>
      <w:r>
        <w:tab/>
        <w:t>Se estima la demanda de amparo, por vulneración del derecho fundamental a la tutela judicial efectiva de las recurrentes en su faceta de derecho a obtener una resolución judicial motivada y fundada en Derecho [FJ 5].</w:t>
      </w:r>
    </w:p>
    <w:p w:rsidR="0085709A" w:rsidRDefault="0085709A" w:rsidP="0085709A">
      <w:pPr>
        <w:pStyle w:val="Extracto"/>
      </w:pPr>
    </w:p>
    <w:p w:rsidR="0085709A" w:rsidRDefault="0085709A" w:rsidP="0085709A">
      <w:pPr>
        <w:pStyle w:val="Extracto"/>
      </w:pPr>
      <w:r>
        <w:t>2.</w:t>
      </w:r>
      <w:r>
        <w:tab/>
        <w:t>De conformidad con las Reglas mínimas de las Naciones Unidas para la Administración de Justicia de menores, no se incluyen en esta resolución el nombre y apellidos completos de la menor de edad ni el de su madre, al objeto de respetar su intimidad (SSTC 114/2006, 41/2009, 57/2013) [FJ 1].</w:t>
      </w:r>
    </w:p>
    <w:p w:rsidR="0085709A" w:rsidRDefault="0085709A" w:rsidP="0085709A">
      <w:pPr>
        <w:pStyle w:val="Extracto"/>
      </w:pPr>
    </w:p>
    <w:p w:rsidR="0085709A" w:rsidRDefault="0085709A" w:rsidP="0085709A">
      <w:pPr>
        <w:pStyle w:val="Extracto"/>
      </w:pPr>
      <w:r>
        <w:t>3.</w:t>
      </w:r>
      <w:r>
        <w:tab/>
        <w:t xml:space="preserve">El deber de motivación que pesa sobre los órganos judiciales no exige un razonamiento pormenorizado de cada aspecto formulado por las partes, sino que se consideran suficientemente motivadas aquellas resoluciones judiciales que se apoyen en fundamentos que conduzcan a la </w:t>
      </w:r>
      <w:r w:rsidRPr="0085709A">
        <w:rPr>
          <w:i/>
        </w:rPr>
        <w:t xml:space="preserve">ratio decidendi </w:t>
      </w:r>
      <w:r>
        <w:t>(SSTC 144/2007, 126/2013) [FJ 3].</w:t>
      </w:r>
    </w:p>
    <w:p w:rsidR="0085709A" w:rsidRDefault="0085709A" w:rsidP="0085709A">
      <w:pPr>
        <w:pStyle w:val="Extracto"/>
      </w:pPr>
    </w:p>
    <w:p w:rsidR="0085709A" w:rsidRDefault="0085709A" w:rsidP="0085709A">
      <w:pPr>
        <w:pStyle w:val="Extracto"/>
      </w:pPr>
      <w:r>
        <w:t>4.</w:t>
      </w:r>
      <w:r>
        <w:tab/>
        <w:t>El silencio judicial determinante de la vulneración constitucional debe referirse a extremos que de haber sido considerados en la decisión hubieran podido determinar un fallo distinto al pronunciado, pues en caso contrario la falta de respuesta carecería de relevancia material (STC 139/2009) [FJ 3].</w:t>
      </w:r>
    </w:p>
    <w:p w:rsidR="0085709A" w:rsidRDefault="0085709A" w:rsidP="0085709A">
      <w:pPr>
        <w:pStyle w:val="Extracto"/>
      </w:pPr>
    </w:p>
    <w:p w:rsidR="0085709A" w:rsidRDefault="0085709A" w:rsidP="0085709A">
      <w:pPr>
        <w:pStyle w:val="Extracto"/>
      </w:pPr>
      <w:r>
        <w:t>5.</w:t>
      </w:r>
      <w:r>
        <w:tab/>
        <w:t>No existe obligación de que el órgano judicial realice un pronunciamiento explícito sobre la eficacia probatoria que le merece cada uno de los medios de prueba, sin embargo es necesario que especifique el discurso que enlaza la actividad probatoria con el relato fáctico resultante (STC 126/2013) [FJ 3].</w:t>
      </w:r>
    </w:p>
    <w:p w:rsidR="0085709A" w:rsidRDefault="0085709A" w:rsidP="0085709A">
      <w:pPr>
        <w:pStyle w:val="Extracto"/>
      </w:pPr>
    </w:p>
    <w:p w:rsidR="0085709A" w:rsidRDefault="0085709A" w:rsidP="0085709A">
      <w:pPr>
        <w:pStyle w:val="Extracto"/>
      </w:pPr>
      <w:r>
        <w:t>6.</w:t>
      </w:r>
      <w:r>
        <w:tab/>
        <w:t>No corresponde a este Tribunal determinar si, atendido el contenido de las pruebas no valoradas en el modo constitucionalmente exigible, la decisión del Tribunal Supremo habría de ser otra, ya que se trata de una cuestión de legalidad ordinaria que compete decidir en exclusiva al órgano judicial en ejercicio de la potestad que le asigna la CE (STC 167/2014)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4930-2012, promovido por doña R.D.S.O. en su propio nombre y en el de su hija menor de edad A.L.R.D.S., representadas por el Procurador de los Tribunales don Cesáreo Hidalgo Senén y asistidas por el Abogado don Iván Algás Martín, contra la Sentencia dictada por la Sección Cuarta de la Sala de lo Contencioso-Administrativo del Tribunal Supremo el 3 de mayo de 2012 que, tras declarar haber lugar al recurso de casación núm. 4397-2010, desestimó el recurso contencioso-administrativo interpuesto por la actora contra la desestimación presunta de la reclamación de responsabilidad patrimonial formulada contra el Institut Català de la Salut, tramitada con el núm. 23-2006, y contra el Auto de 19 de julio de 2012 que desestimó el incidente de nulidad de actuaciones promovido contra aquélla. Han comparecido el Institut Català de la Salut, representado por el Procurador don Francisco Velasco Muñoz-Cuéllar y asistido del Letrado don Carlos Vindez Cabañas, y la entidad Zurich Insurance PLC, Sucursal en España, representada por la Procuradora doña Adela Cano Lantero y asistida del Letrado don Isabelino Cáceres Dilla. Ha intervenido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3 de septiembre de 2012, el Procurador de los Tribunales don Cesáreo Hidalgo Senén, actuando en nombre y representación de doña R.D.S.O., que a su vez actúa en nombre de su hija menor de edad A.L.R.D.S., y bajo la dirección letrada del Abogado don Iván Algás Martín,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El 25 de junio de 2005 doña R.D.S.O. acudió a la cita prevista en el Hospital Germans Trias i Pujol de Badalona (Barcelona), dependiente del Institut Català de la Salut, para que se le insertara en la extremidad superior izquierda un dispositivo anticonceptivo denominado “Implanon”, consistente en una varilla de plástico, blanda, y flexible, que mide 4 cm de longitud y 2 mm de diámetro, cuyos efectos debían prolongarse durante tres años. El 5 de octubre de 2005 la demandante se personó en el servicio de urgencias del Hospital Clínic de Barcelona, dependiente también del Institut Català de la Salut, donde certificaron su estado de gestación de 9 semanas, lo que fue confirmado el 11 de octubre siguiente por el equipo del centro toco-ginecológico. El 19 de abril de 2006 la recurrente dio a luz en el Hospital Clínic de Barcelona a una niña, A.L.R.D.S., aquejada de la enfermedad denomi</w:t>
      </w:r>
      <w:r>
        <w:lastRenderedPageBreak/>
        <w:t>nada “anemia hemolítica crónica, en su forma grave, por déficit de piruvato kinasa (quinasa)”, como consecuencia de la cual la Generalitat de Cataluña ha reconocido a la menor una minusvalía del 70 por 100.</w:t>
      </w:r>
    </w:p>
    <w:p w:rsidR="0085709A" w:rsidRDefault="0085709A" w:rsidP="0085709A">
      <w:pPr>
        <w:pStyle w:val="TextoNormal"/>
      </w:pPr>
    </w:p>
    <w:p w:rsidR="0085709A" w:rsidRDefault="0085709A" w:rsidP="0085709A">
      <w:pPr>
        <w:pStyle w:val="TextoNormal"/>
      </w:pPr>
      <w:r>
        <w:t>b) Simultáneamente a los hechos descritos, el 16 de diciembre de 2005 la demandante de amparo formuló reclamación de responsabilidad patrimonial frente al Institut Català de la Salut, por negligencia en la prestación del servicio sanitario que derivó en un embarazo no deseado a causa no haberse insertado el implante y por falta de consentimiento informado para la práctica de la actuación médica. Reclamación que amplió mediante escritos de 23 de agosto de 2006 y de 8 de enero de 2007, presentados tras ser diagnosticada la grave e incurable enfermedad de la menor y al determinarse sus secuelas, porque, según los informes médicos aportados, la enfermedad tiene carácter hereditario y podría haberse evitado con el oportuno tratamiento genético en un embarazo programado o, de no ser posible, la actora hubiera podido optar por renunciar a la maternidad. La reclamación fue desestimada por silencio administrativo.</w:t>
      </w:r>
    </w:p>
    <w:p w:rsidR="0085709A" w:rsidRDefault="0085709A" w:rsidP="0085709A">
      <w:pPr>
        <w:pStyle w:val="TextoNormal"/>
      </w:pPr>
    </w:p>
    <w:p w:rsidR="0085709A" w:rsidRDefault="0085709A" w:rsidP="0085709A">
      <w:pPr>
        <w:pStyle w:val="TextoNormal"/>
      </w:pPr>
      <w:r>
        <w:t>c) El 9 de enero de 2007 doña R.D.S.O. interpuso recurso contencioso-administrativo ante la Sala de lo Contencioso-Administrativo del Tribunal Superior de Justicia de Cataluña, que se tramitó por la Sección Cuarta con el núm. 11-2007. Antes de formalizar la demanda, la representación procesal de la recurrente solicitó que se completara el expediente administrativo mediante la aportación de los dictámenes preceptivos del Institut Català d´Avaluacions Mèdiques y de la Comissió Jurídica Assessora, órganos ambos dependientes de la Generalitat de Cataluña, así como de la documentación clínica y del informe del facultativo que atendió a la reclamante en el Hospital Germans Trias i Pujol relativos a los hechos origen de la reclamación patrimonial. Requerido el Institut Català de la Salut para que completara el expediente en los términos interesados por la actora, alegó que los dictámenes no constaban en el expediente y solicitó que se tuviera por cumplido el requerimiento; el hospital tampoco aportó la documentación requerida aduciendo que no podía dar más información. La actora insistió en que se requiriese a la Administración demandada para que recabara la preparación de los dictámenes solicitados y los aportara a los autos, pero el 16 de mayo de 2007 la Sala dictó providencia por la que declaró no haber lugar al complemento de expediente solicitado. Formalizada la demanda, se opusieron al recurso las representaciones procesales del Institut Català de la Salut y de la Generalitat de Catalunya y la codemandada Zurich Insurance, P.L.C., Sucursal en España. Recibido el procedimiento a prueba y abierto el período de admisión y práctica de las mismas, la recurrente formuló tacha del testigo propuesto por el Institut Català de la Salut, el doctor Pérez Godós, facultativo del servicio de obstetricia y ginecología del Hospital Germans Trias i Pujol en el que se practicó el acto médico, al apreciar que concurrían en él las causas previstas en los ordinales segundo y tercero del art. 377 de la Ley de enjuiciamiento civil (LEC), quedando la cuestión pendiente de decisión por la Sala. Tramitado el procedimiento, el recurso fue desestimado por Sentencia dictada el 18 de mayo de 2010.</w:t>
      </w:r>
    </w:p>
    <w:p w:rsidR="0085709A" w:rsidRDefault="0085709A" w:rsidP="0085709A">
      <w:pPr>
        <w:pStyle w:val="TextoNormal"/>
      </w:pPr>
    </w:p>
    <w:p w:rsidR="0085709A" w:rsidRDefault="0085709A" w:rsidP="0085709A">
      <w:pPr>
        <w:pStyle w:val="TextoNormal"/>
      </w:pPr>
      <w:r>
        <w:t xml:space="preserve">d) El 1 de septiembre de 2010 la demandante de amparo interpuso de recurso de casación, en cuyo primer motivo denunció la falta de motivación de la Sentencia impugnada por no haber expresado qué pruebas condujeron al Tribunal a su convicción desestimatoria ni los motivos por los que no se valoraron las pruebas favorables a la recurrente. El recurso fue resuelto por Sentencia dictada el 3 de mayo de 2012, que declaró haber lugar al mismo y </w:t>
      </w:r>
      <w:r>
        <w:lastRenderedPageBreak/>
        <w:t>seguidamente, en funciones de Tribunal de instancia, desestimó el recurso contencioso-administrativo al considerar acreditado, con base en el contenido de la declaración testifical del Dr. Pérez Godós (prueba núm. 14, propuesta por el Institut Català de la Salut), en el documento de asistencia del servicio de urgencias del Hospital Trias i Pujol (prueba núm. 6, aportada por el Institut Català de la Salut), y en el hecho de que fue la propia interesada la que adquirió el anticonceptivo en una oficina de farmacia, que existió consentimiento informado y que el anticonceptivo sí se colocó. Rechazó el valor de las restantes pruebas admitidas y practicadas en los siguientes términos: “Sin que esta conclusión pueda ser contradicha, de forma suficiente por las pruebas señaladas como 1 y 2 que se realizan cuatro meses después del implante y no son indicativas de la ausencia de implantación, aunque pudieran serlo de la ausencia de localización mediante los concretos métodos utilizados, que no tenemos cumplidamente acreditado que sean los únicos posibles, ni que una posible migración del implante haya dificultado esa localización”. Las pruebas 1 y 2 a que alude la Sentencia son un informe de la Clínica Fundació Fiatc, de fecha 27 de octubre de 2005, y un informe del Centro Médico Teknon, de 3 de noviembre de 2005, que coinciden en señalar que el implante no se encuentra en el antebrazo izquierdo de la recurrente, lo que confirman las ecografías de partes blandas realizadas por los servicios de Medifiatc, añadiendo el segundo que “[d]ada la prácticamente nula posibilidad de embarazo en pacientes usuarias de Implanon y la confirmación de que dicho implante no se halla en el brazo de la paciente, se explica a la paciente la posibilidad de error en la colocación, ya que dicho implante no está colocado lo que explicaría su gestación”.</w:t>
      </w:r>
    </w:p>
    <w:p w:rsidR="0085709A" w:rsidRDefault="0085709A" w:rsidP="0085709A">
      <w:pPr>
        <w:pStyle w:val="TextoNormal"/>
      </w:pPr>
    </w:p>
    <w:p w:rsidR="0085709A" w:rsidRDefault="0085709A" w:rsidP="0085709A">
      <w:pPr>
        <w:pStyle w:val="TextoNormal"/>
      </w:pPr>
      <w:r>
        <w:t>En el recurso se han admitido y practicado, además de las citadas, las siguientes pruebas propuestas por la actora, a excepción de las numeradas como 13 y 15, interesadas por el Institut Català de la Salut todas las cuales, a juicio de la demandante, afirman la eficacia de Implanon como método anticonceptivo siempre que haya sido insertado correctamente y la imposibilidad de una migración superior a unos milímetros dentro del propio brazo, que relaciona la Sentencia dictada en casación (FJ 5): monografía publicada en la Revista Iberoamericana de Fertilidad (núm. 7), estudio efectuado por el fabricante de Implanon (núm. 8), publicación científica relativa a posibles migraciones del dispositivo (núm. 9), nota de prensa sobre el estudio realizado por la Unión Europea acerca del anticonceptivo (núm. 10), nota de la Agencia oficial del Medicamento de Malta (núm. 11) y respuesta de Organon Española, S.A., sobre el implante (núm 13); así como informes y pruebas periciales sobre la enfermedad de la menor (núms. 3, 4, 5, 12 y 15).</w:t>
      </w:r>
    </w:p>
    <w:p w:rsidR="0085709A" w:rsidRDefault="0085709A" w:rsidP="0085709A">
      <w:pPr>
        <w:pStyle w:val="TextoNormal"/>
      </w:pPr>
    </w:p>
    <w:p w:rsidR="0085709A" w:rsidRDefault="0085709A" w:rsidP="0085709A">
      <w:pPr>
        <w:pStyle w:val="TextoNormal"/>
      </w:pPr>
      <w:r>
        <w:t xml:space="preserve">e) El 14 de junio de 2012 la demandante de amparo promovió incidente de nulidad de actuaciones en el que denunció que la Sentencia dictada por el Tribunal Supremo vulneraba el art. 24 CE porque incurría en error patente e irracionalidad en la valoración de la prueba, e infringía, además, su derecho al Juez ordinario predeterminado por la ley y a un Juez imparcial como manifestación del derecho a un proceso con todas las garantías. En cuanto a la primera queja, la demandante alegó que la convicción del Tribunal de casación se había sustentado únicamente en dos pruebas, omitiendo cualquier valoración sobre el resto del material probatorio que, a juicio de la actora, determinaba la existencia de la relación causal exigida para la declaración de responsabilidad patrimonial. La primera de las pruebas valoradas fue el testimonio del Dr. Pérez Godós, que había sido objeto de tacha y que no reunía las condiciones para ser testigo porque, como refiere la propia Sentencia (FJ 5), admitió que no recordaba los hechos y que no había redactado el parte de asistencia sobre la intervención practicada, razón por la cual fue interrogado exclusivamente sobre el protocolo habitual para </w:t>
      </w:r>
      <w:r>
        <w:lastRenderedPageBreak/>
        <w:t xml:space="preserve">la inserción del dispositivo Implanon,; la segunda prueba tomada en consideración fue el parte de asistencia del servicio de urgencias aportado por el Institut Català de la Salut, en el que consta exclusivamente que se inserta el dispositivo sin incidencias y que se informa a la paciente del acto médico a practicar, pero cuya autoría se ignora por no haberla facilitado el hospital demandado pese a haber sido requerido para ello, y que no está firmada por la paciente. En cuanto a la segunda queja, alegó que un día antes del señalado para la votación y fallo de la Sentencia le fue notificada una providencia por la que se designó nuevo Ponente, nombrándose a un Magistrado de la Sección que debió abstenerse del conocimiento del asunto porque es hermano de uno de los ginecólogos que integran el servicio del Hospital Germans Trias i Pujol en el que se realizó el acto médico y que, sin embargo, lejos de abstenerse, se apartó en la Sentencia impugnada de su criterio constante para resolver sobre la concurrencia de responsabilidad patrimonial en el ámbito sanitario, que reflejan las Sentencias del Tribunal Supremo en las que ha sido Ponente que cita y analiza la parte, según el cual la falta de aportación por la Administración de una historia clínica completa y rigurosa constituye por sí misma un quebranto de la </w:t>
      </w:r>
      <w:r w:rsidRPr="0085709A">
        <w:rPr>
          <w:i/>
        </w:rPr>
        <w:t>lex artis</w:t>
      </w:r>
      <w:r>
        <w:t>, y la prestación del consentimiento informado no puede acreditarse mediante meras suposiciones acerca de que la información se suministró. Por Auto de 19 de julio de 2012 la Sección Cuarta de la Sala de lo Contencioso-Administrativo del Tribunal Supremo declaró no haber lugar al incidente de nulidad de actuaciones por no ser éste el cauce adecuado para variar las conclusiones fácticas de la Sentencia, por resultar extemporánea la recusación y por no ser tampoco procedente la abstención al no haber quedado acreditado que fuera el hermano del Magistrado Ponente el facultativo que practicó el acto médico controvertido.</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El 3 de septiembre de 2012 tuvo entrada en el Registro General de este Tribunal la demanda de amparo formulada por doña R.D.S.O en la que, reiterando las quejas formuladas en la vía judicial previa, denuncia en primer lugar que las resoluciones del Tribunal Supremo incurren en error patente en la valoración de la prueba, que deviene además irracional y arbitraria, vulnerando su derecho fundamental a la tutela judicial efectiva (art. 24.1 CE). Expone en su queja que, prescindiendo de la valoración de las restantes pruebas practicadas que, a juicio de la demandante, acreditaban de forma concluyente la relación de causalidad entre la práctica defectuosa del acto médico realizado el día 25 de junio de 2005 en el Hospital Germans Trias i Pujol y el embarazo y posterior nacimiento de la menor aquejada de una enfermedad grave e incurable, las resoluciones impugnadas han desestimado la reclamación patrimonial basándose exclusivamente en la declaración de un testigo que fue objeto de tacha y que no reúne los requisitos exigidos por el art. 360 LEC porque no tiene noticia de los hechos controvertidos y se limitó a exponer el protocolo habitual en estos actos médicos, sin explicar lo que efectivamente se hizo en el caso concreto objeto de la </w:t>
      </w:r>
      <w:r w:rsidRPr="0085709A">
        <w:rPr>
          <w:i/>
        </w:rPr>
        <w:t>litis</w:t>
      </w:r>
      <w:r>
        <w:t>, y en un documento de asistencia unilateral e inespecífico del Institut Català de la Salut, que carece de eficacia probatoria en sí mismo, cuya autoría no consta, que no contiene detalle alguno acerca de la colocación del implante y que no está firmado por la paciente, siendo arbitrario e irracional concluir que es veraz porque así lo afirma un testigo que legalmente no es tal.</w:t>
      </w:r>
    </w:p>
    <w:p w:rsidR="0085709A" w:rsidRDefault="0085709A" w:rsidP="0085709A">
      <w:pPr>
        <w:pStyle w:val="TextoNormal"/>
      </w:pPr>
    </w:p>
    <w:p w:rsidR="0085709A" w:rsidRDefault="0085709A" w:rsidP="0085709A">
      <w:pPr>
        <w:pStyle w:val="TextoNormal"/>
      </w:pPr>
      <w:r>
        <w:t xml:space="preserve">En segundo lugar, denuncia que se ha vulnerado su derecho al Juez ordinario predeterminado por la ley y al Juez imparcial (art. 24.2 CE) porque un día antes del señalado para la votación y fallo se le notificó una providencia en la que, sin motivación alguna, se sustituyó al Ponente inicialmente designado y se turnó la ponencia a otro Magistrado de la Sección del que, una vez notificada la Sentencia en la que el Juzgador se apartó de su criterio </w:t>
      </w:r>
      <w:r>
        <w:lastRenderedPageBreak/>
        <w:t>constante para resolver sobre la concurrencia de responsabilidad patrimonial en el ámbito sanitario, conoció la demandante que es hermano de uno de los ginecólogos integrantes del servicio del Hospital Germans Trias i Pujol al que se imputa la mala praxis, y que no puede descartarse que haya sido el que practicó el acto médico, por lo que el Magistrado debió haberse abstenido por aplicación de los arts. 219.10 o 219.14 de la Ley Orgánica del Poder Judicial.</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Auto de 27 de enero de 2014 la Sala Primera de este Tribunal estimó justificada la abstención formulada por el Magistrado Excmo. Sr. don Santiago Martínez-Vares García en el presente recurso de amparo, y resolvió apartarle definitivamente del conocimiento del mismo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27 de enero de 2014 la Sala Primera de este Tribunal acordó conocer del presente recurso de amparo y admitir a trámite la demanda presentada por la representación procesal de doña R.D.S.O., en su propio nombre y en el de su hija menor de edad A.L.R.D.S. Asimismo, en aplicación de lo dispuesto en el art. 51 de la Ley Orgánica del Tribunal Constitucional (LOTC), acordó dirigir atenta comunicación al Tribunal Supremo y al Tribunal Superior de Justicia de Cataluña a fin de que, en el plazo de diez días, remitieran certificación o fotocopia adverada de las actuaciones correspondientes al recurso de casación núm. 4397-2010 y al recurso ordinario núm. 11-2007, respectivamente, debiendo previamente emplazar para que pudieran comparecer en este proceso constitucional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Sección Primera de este Tribunal, de fecha 26 de febrero de 2014, se tuvieron por recibidos los testimonios de las actuaciones remitidos por las Secciones competentes de las Salas de lo Contencioso-Administrativo del Tribunal Supremo y del Tribunal Superior de Justicia de Cataluña, así como los escritos de los Procuradores don Francisco Velasco Muñoz-Cuéllar, en representación del Institut Català de la Salut, y doña Adela Cano Lantero, en representación de Zurich Insurance PLC, Sucursal en España, a quienes se tuvo por personados y parte. Y a tenor de lo dispuesto en el art. 52.1 LOTC se acordó dar vista de las actuaciones, por un plazo común de veinte días, al Ministerio Fiscal y a las partes personadas para que dentro de dicho término pudieran presentar alegaciones.</w:t>
      </w:r>
    </w:p>
    <w:p w:rsidR="0085709A" w:rsidRDefault="0085709A" w:rsidP="0085709A">
      <w:pPr>
        <w:pStyle w:val="TextoNormal"/>
      </w:pPr>
    </w:p>
    <w:p w:rsidR="0085709A" w:rsidRDefault="0085709A" w:rsidP="0085709A">
      <w:pPr>
        <w:pStyle w:val="TextoNormal"/>
      </w:pPr>
      <w:r w:rsidRPr="0085709A">
        <w:rPr>
          <w:rStyle w:val="NumeroAFNegritaCaracter"/>
        </w:rPr>
        <w:t>7</w:t>
      </w:r>
      <w:r>
        <w:t>. La representación procesal de doña R.D.S.O. ha presentado escrito registrado el 3 de marzo de 2014, en el que se remite íntegramente a la demanda de amparo presentada, ratificándose en la misma.</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Letrado del Institut Català de la Salut ha formulado sus alegaciones mediante escrito registrado en este Tribunal el día 26 de marzo de 2014, en el que interesa la desestimación del amparo solicitado alegando que el recurso carece de especial trascendencia constitucional y que no se han producido las lesiones que se denuncian. En cuanto a la primera queja, sostiene que bajo la calificación de error en la valoración de la prueba la recurrente pretende una nueva apreciación de la practicada, desde su propia perspectiva y con arreglo a los parámetros que propone, cuando ha quedado acreditado que el implante se insertó, aunque no fue eficaz en este caso ni pudo localizarse porque no se practicó la prueba adecuada, como se deduce del informe de asistencia del servicio de urgencias del hospital y de </w:t>
      </w:r>
      <w:r>
        <w:lastRenderedPageBreak/>
        <w:t>la prueba testifical que descalifican las restantes pruebas practicadas. Justifica la falta del documento de consentimiento informado argumentando que la Ley 41/2002, de 14 de noviembre, básica de la autonomía del paciente y de derechos y obligaciones en materia de información y documentación clínica, no lo exige en este caso, aunque sostiene que sí se facilitó información verbal como consta en el informe de asistencia; y se remite a la declaración testifical del Dr. Pérez Godós para afirmar que es habitual que no haya un seguimiento posterior al acto médico del implante en el mismo hospital porque ese control se lleva a cabo en el ámbito de la atención primaria de salud. En cuanto a la segunda queja, opone que la recusación del Magistrado debió formalizarse en el momento de su designación como Ponente, y que no concurre ninguna causa legal para sustentar su abstención porque ha quedado acreditado que el hermano del Magistrado no realizó el acto médico ni emitió el informe clínico.</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ante este Tribunal Constitucional ha presentado sus alegaciones mediante escrito registrado el 27 de marzo de 2014, en el que interesa el otorgamiento del amparo solicitado. Como cuestión previa, precisa que el error patente en la valoración de la prueba admitida y practicada en el proceso que se denuncia en la demanda no se refiere a la infracción del derecho a la prueba (art. 24.2 CE) sino que se inserta en el derecho a la tutela judicial efectiva, en su vertiente de derecho a obtener una respuesta judicial motivada y de fondo sobre la pretensión planteada (art. 24.1 CE). Así lo considera porque la denuncia de la actora se centra en que, habiéndose practicado las pruebas propuestas y admitidas, el órgano judicial no ha explicitado la razón por la que ha negado la relación de causalidad que tales pruebas, según el criterio de la parte recurrente, confirman entre el anómalo funcionamiento del servicio público sanitario y el embarazo de la actora y subsiguiente nacimiento de su hija con graves padecimientos de salud. En cuanto a la primera queja, tras analizar la STC 139/2009, de 15 de junio, que resuelve una cuestión constitucional similar, considera que no es posible conocer las razones por las que la Sentencia recurrida otorgó menos valor al resultado de las pruebas omitidas frente a las dos únicas pruebas tomadas en consideración, sin que pueda tampoco inferirse una valoración tácita de aquéllas. Considera que las pruebas que la Sentencia dictada por el Tribunal Supremo no ha valorado, salvo para desacreditarlas, sí resultaban trascendentes para la resolución del pleito porque, unidas al incontrovertido hecho del embarazo, demostraban a juicio de la demandante la existencia del nexo de causalidad que permite apreciar la concurrencia de responsabilidad patrimonial de la Administración. Concluye, por tanto, que la Sentencia impugnada vulneró el derecho a la tutela judicial efectiva de la demandante de amparo (art. 24.1 CE) en su vertiente de derecho a obtener una resolución judicial motivada y fundada en Derecho. En cuanto a la vulneración del derecho al Juez ordinario predeterminado por la ley y del derecho a un Juez imparcial (art. 24.2 CE) el Fiscal considera que las alegaciones de la demandante de amparo no acreditan la lesión porque desarrollan un razonamiento puramente especulativo que parte de la hipótesis, no avalada por ningún elemento acreditativo, de que el acto médico objeto del procedimiento pudo ser realizado por el hermano del Magistrado Ponente.</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29 de enero de 2015 se señaló para deliberación, votación y fallo de la presente Sentencia el día 2 de febrero de 2015.</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presente demanda se dirige contra la Sentencia dictada el 3 de mayo de 2012 por la Sección Cuarta de la Sala de lo Contencioso-Administrativo del Tribunal Supremo, que declaró haber lugar al recurso de casación núm. 4397-2010, interpuesto contra la Sentencia dictada por la Sección Cuarta de la Sala de lo Contencioso-Administrativo del Tribunal Superior de Justicia de Cataluña el 18 de mayo de 2010, en el recurso ordinario núm. 11-2007, y que, entrando a conocer sobre el fondo de la demanda planteada, desestimó el recurso contencioso-administrativo interpuesto por doña R.D.S.O. contra la desestimación presunta de la reclamación de responsabilidad patrimonial formulada contra el Institut Català de la Salut. La demanda se dirige también contra el Auto de 19 de julio de 2012, desestimatorio del incidente de nulidad de actuaciones promovido frente a la Sentencia de casación citada.</w:t>
      </w:r>
    </w:p>
    <w:p w:rsidR="0085709A" w:rsidRDefault="0085709A" w:rsidP="0085709A">
      <w:pPr>
        <w:pStyle w:val="TextoNormal"/>
      </w:pPr>
    </w:p>
    <w:p w:rsidR="0085709A" w:rsidRDefault="0085709A" w:rsidP="0085709A">
      <w:pPr>
        <w:pStyle w:val="TextoNormal"/>
      </w:pPr>
      <w:r>
        <w:t>La circunstancia de que esté involucrada una menor de edad en el presente recurso de amparo explica que, de conformidad con el art. 8 de las Reglas mínimas de las Naciones Unidas para la Administración de Justicia de menores, conocidas como Reglas de Beijing y contenidas en la resolución de la Asamblea General 40/33, de 28 de noviembre de 1985, no se incluyan en esta resolución el nombre y apellidos completos de la menor de edad ni el de su madre, al objeto de respetar su intimidad (SSTC 114/2006, de 5 de abril, FJ 7; 41/2009, de 9 de febrero, FJ 1; y 57/2013, de 11 de marzo, FJ 1).</w:t>
      </w:r>
    </w:p>
    <w:p w:rsidR="0085709A" w:rsidRDefault="0085709A" w:rsidP="0085709A">
      <w:pPr>
        <w:pStyle w:val="TextoNormal"/>
      </w:pPr>
    </w:p>
    <w:p w:rsidR="0085709A" w:rsidRDefault="0085709A" w:rsidP="0085709A">
      <w:pPr>
        <w:pStyle w:val="TextoNormal"/>
      </w:pPr>
      <w:r w:rsidRPr="0085709A">
        <w:rPr>
          <w:rStyle w:val="NumeroAFNegritaCaracter"/>
        </w:rPr>
        <w:t>2</w:t>
      </w:r>
      <w:r>
        <w:t>. Como se ha expuesto con detalle en los antecedentes de esta Sentencia, la demandante de amparo aduce en primer lugar que la Sentencia del Tribunal Supremo frente a la que se demanda amparo vulneró su derecho a la tutela judicial efectiva al incurrir en un error patente, error que consistiría, según la demandante, en haber sustentado la apreciación probatoria en la declaración de un testigo, el doctor Pérez Godos, el cual no reunía la condición de testigo, pues declaró sobre una intervención que no sabe si realizó o no, de suerte que la información que proporciona se refiere al modo en el que habitualmente se practican las intervenciones del tipo de la que se encuentra en el origen de esta demanda de amparo, es decir, la colocación de un implante anticonceptivo. Tal error, calificado por la demandante como patente, se habría proyectado tanto sobre el hecho mismo de la implantación del anticonceptivo como sobre la existencia de consentimiento informado previo a la intervención. Y en segundo lugar se aduce en la demanda de amparo que se ha vulnerado el derecho al Juez ordinario predeterminado por la ley y a un Juez imparcial (art 24.2 CE) porque el Magistrado ponente incurre en varias causas de recusación y debió abstenerse por las razones que antes se expusieron.</w:t>
      </w:r>
    </w:p>
    <w:p w:rsidR="0085709A" w:rsidRDefault="0085709A" w:rsidP="0085709A">
      <w:pPr>
        <w:pStyle w:val="TextoNormal"/>
      </w:pPr>
    </w:p>
    <w:p w:rsidR="0085709A" w:rsidRDefault="0085709A" w:rsidP="0085709A">
      <w:pPr>
        <w:pStyle w:val="TextoNormal"/>
      </w:pPr>
      <w:r>
        <w:t>El Ministerio Fiscal mantiene que la recurrente no ha acreditado la vulneración de su derecho al Juez ordinario predeterminado por la ley ni al juez imparcial (art. 24.2 CE), pero interesa el otorgamiento del amparo al apreciar que se ha vulnerado el derecho de la demandante a la tutela judicial efectiva en su vertiente de derecho a obtener una respuesta judicial motivada y de fondo sobre la pretensión planteada (art. 24.1 CE). Ello porque la Sentencia frente a la que se demanda amparo no permite conocer las razones por las que resuelve que el resultado de las pruebas cuya valoración se omite debe ceder ante las dos únicas que toma en consideración.</w:t>
      </w:r>
    </w:p>
    <w:p w:rsidR="0085709A" w:rsidRDefault="0085709A" w:rsidP="0085709A">
      <w:pPr>
        <w:pStyle w:val="TextoNormal"/>
      </w:pPr>
    </w:p>
    <w:p w:rsidR="0085709A" w:rsidRDefault="0085709A" w:rsidP="0085709A">
      <w:pPr>
        <w:pStyle w:val="TextoNormal"/>
      </w:pPr>
      <w:r>
        <w:lastRenderedPageBreak/>
        <w:t>Finalmente, la representación procesal del Institut Catalá de la Salut alega que el recurso carece de especial trascendencia constitucional y solicita que se desestime porque, bajo la calificación de valoración arbitraria e irrazonable de la prueba, lo que la recurrente pretende es la nueva valoración de la misma y porque la recusación del Magistrado, en el que no concurre ninguna causa de abstención, debió formularse en el momento de su designación como Ponente.</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Con carácter previo al análisis de la cuestión de fondo debe examinarse el óbice procesal planteado por la representación del Institut Català de la Salut, que sostiene que el recurso carece de especial trascendencia constitucional. Esta objeción no puede prosperar, toda vez que, aun cuando resulta patente que la especial trascendencia constitucional constituye un requisito de admisión de la demanda de amparo que es objeto de valoración en el trámite de admisión del recurso de conformidad con los criterios que al efecto establecimos en la STC 155/2009, de 25 de junio,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w:t>
      </w:r>
      <w:r w:rsidRPr="0085709A">
        <w:rPr>
          <w:i/>
        </w:rPr>
        <w:t>Arribas Antón c. España</w:t>
      </w:r>
      <w:r>
        <w:t>]. Bien entendido que no existe una correlación simétrica entre la fase de admisión y la de decisión, ni mucho menos vinculación del Tribunal a que las cuestiones que dotaron de especial trascendencia constitucional al recurso se traduzcan forzosa y miméticamente en el núcleo de la decisión que finamente se adopte, toda vez que la estructura del razonamiento, el orden conforme al cual han de estudiarse las quejas ante nosotros esgrimidas, u otras razones pueden impedirlo.</w:t>
      </w:r>
    </w:p>
    <w:p w:rsidR="0085709A" w:rsidRDefault="0085709A" w:rsidP="0085709A">
      <w:pPr>
        <w:pStyle w:val="TextoNormal"/>
      </w:pPr>
    </w:p>
    <w:p w:rsidR="0085709A" w:rsidRDefault="0085709A" w:rsidP="0085709A">
      <w:pPr>
        <w:pStyle w:val="TextoNormal"/>
      </w:pPr>
      <w:r>
        <w:t xml:space="preserve">En el presente caso, la trascendencia constitucional apreciada en la fase de admisión radicaba en que de estimar la existencia de error patente o de irracionalidad en la Sentencia frente a la que se demanda amparo (cuestión que por sí sola no revestiría tal trascendencia), la lesión del art. 24.1 CE que en aquella fase inicial constatábamos, habría tenido lugar en el contexto de un proceso sobre una intervención sanitaria no estrictamente curativa en el que se hacía entrar en juego al consentimiento informado como uno de los factores pretendidamente desencadenantes de la responsabilidad administrativa objeto de discusión en el proceso </w:t>
      </w:r>
      <w:r w:rsidRPr="0085709A">
        <w:rPr>
          <w:i/>
        </w:rPr>
        <w:t>a quo</w:t>
      </w:r>
      <w:r>
        <w:t>, aspectos sobre los que, más allá de la STC 37/2011, de 28 de marzo, no ha tenido ocasión de pronunciarse este Tribunal.</w:t>
      </w:r>
    </w:p>
    <w:p w:rsidR="0085709A" w:rsidRDefault="0085709A" w:rsidP="0085709A">
      <w:pPr>
        <w:pStyle w:val="TextoNormal"/>
      </w:pPr>
    </w:p>
    <w:p w:rsidR="0085709A" w:rsidRDefault="0085709A" w:rsidP="0085709A">
      <w:pPr>
        <w:pStyle w:val="TextoNormal"/>
      </w:pPr>
      <w:r>
        <w:t xml:space="preserve">El encuadramiento de la vulneración constitucional denunciada en el ámbito del derecho a obtener una respuesta judicial motivada y fundada en Derecho (art. 24.1 CE) exige recordar que, según reiterada doctrina constitucional, el deber de motivación que pesa sobre los órganos judiciales “no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w:t>
      </w:r>
      <w:r w:rsidRPr="0085709A">
        <w:rPr>
          <w:i/>
        </w:rPr>
        <w:t>ratio decidendi</w:t>
      </w:r>
      <w:r>
        <w:t xml:space="preserve">, de manera que no existe un derecho fundamental del justiciable a una determinada extensión de la motivación judicial” (entre otras muchas, SSTC 144/2007, de 18 de junio, FJ 3, y 126/2013, de 3 de junio, FJ 3), pudiendo satisfacerse las exigencias constitucionales mínimas del derecho a la tutela judicial efectiva con una respuesta tácita siempre que del conjunto de los razonamientos contenidos en la resolución pueda deducirse no sólo que el órgano judicial ha valorado </w:t>
      </w:r>
      <w:r>
        <w:lastRenderedPageBreak/>
        <w:t>la pretensión deducida sino, además, los motivos de esa respuesta tácita; sin que la suficiencia de la motivación pueda ser “apreciada apriorísticamente, con criterios generales sino que, por el contrario, requiere examinar el caso concreto para comprobar si, a la vista de las circunstancias concurrentes, se ha cumplido o no este requisito en las resoluciones judiciales” impugnadas (SSTC 314/2005, de 12 de diciembre, FJ 4; y 160/2009, de 29 de junio, FJ 6). En particular debe recordarse que la doctrina constitucional ha declarado reiteradamente que “el silencio judicial determinante de la vulneración constitucional debe referirse a extremos que de haber sido considerados en la decisión hubieran podido determinar un fallo distinto al pronunciado, pues en caso contrario la falta de respuesta carecería de relevancia material” (STC 139/2009, de 15 de junio, FJ 2), y que aunque no existe obligación de que el órgano judicial realice un pronunciamiento explícito sobre la eficacia probatoria que le merece cada uno de los medios de prueba sí es necesario que especifique el discurso que enlaza la actividad probatoria con el relato fáctico resultante (entre otras, STC 126/2013, de 3 de junio, FJ 3).</w:t>
      </w:r>
    </w:p>
    <w:p w:rsidR="0085709A" w:rsidRDefault="0085709A" w:rsidP="0085709A">
      <w:pPr>
        <w:pStyle w:val="TextoNormal"/>
      </w:pPr>
    </w:p>
    <w:p w:rsidR="0085709A" w:rsidRDefault="0085709A" w:rsidP="0085709A">
      <w:pPr>
        <w:pStyle w:val="TextoNormal"/>
      </w:pPr>
      <w:r w:rsidRPr="0085709A">
        <w:rPr>
          <w:rStyle w:val="NumeroAFNegritaCaracter"/>
        </w:rPr>
        <w:t>4</w:t>
      </w:r>
      <w:r>
        <w:t>. La Sentencia del Tribunal Supremo contra la que se dirige el recurso de amparo declara (FJ 6) que el hecho de que la interesada acuda al centro asistencial con el dispositivo para su implantación en el propio centro, permite deducir que conoce el acto médico que se va a realizar, lo que confirman las pruebas identificadas como núms. 6 y 14. Y también que el dispositivo se colocó efectivamente, pues en el informe se afirma que “se inserta dispositivo en esi [extremidad superior izquierda] sin incidencias” y la prueba testifical es concluyente en cuanto a su colocación y a la práctica habitual de comprobar que ha sido implantado. La Sentencia impugnada precisa que “dicha conclusión no viene contradicha, de forma suficiente, por las pruebas señaladas como 1 y 2, que se realizan cuatro meses después del implante y no son indicativas de la ausencia de implantación, aunque pudieran serlo de la ausencia de localización mediante los concretos métodos utilizados, que no tenemos cumplidamente acreditado sean los únicos posibles, ni que una posible migración del implante haya dificultado esa localización. Debemos añadir a lo anterior el hecho de que la paciente fue citada para volver la semana siguiente a control, después de acudir para informar que estaba embarazada, pero ‘no se presentó’ o ‘no volvió’, como refiere el testigo”. Y al no apreciar la responsabilidad de la Administración en el hecho de quedar embarazada la recurrente, el Tribunal tampoco aprecia tal responsabilidad “en el posterior parto y lesiones que sufre la menor”.</w:t>
      </w:r>
    </w:p>
    <w:p w:rsidR="0085709A" w:rsidRDefault="0085709A" w:rsidP="0085709A">
      <w:pPr>
        <w:pStyle w:val="TextoNormal"/>
      </w:pPr>
    </w:p>
    <w:p w:rsidR="0085709A" w:rsidRDefault="0085709A" w:rsidP="0085709A">
      <w:pPr>
        <w:pStyle w:val="TextoNormal"/>
      </w:pPr>
      <w:r>
        <w:t>Pues bien, no existe en el fundamento jurídico transcrito un análisis expreso de las pruebas que obran en las actuaciones que, a juicio de la recurrente, acreditan que el dispositivo no fue implantado y que no hubo consentimiento informado. La Sentencia sólo se refiere a las pruebas identificadas con los núms. 1 y 2, cuya relevancia descarta por el momento en el que se practicaron sin ofrecer tampoco una explicación acerca de que el tiempo transcurrido les haga perder fuerza de convicción ni sobre su contenido material. Además, pese a afirmar que no está acreditado que las pruebas realizadas para localizar el dispositivo (ecografía y resonancia magnética) sean las únicas posibles, no alude a ninguna prueba que pudiera haberse realizado a fin de comprobar la efectiva implantación del dispositivo, ni ofrece una explicación frente a las afirmaciones periciales de que el dispositivo sólo puede migrar unos milímetros, lo que sitúa a la demandante en una posición de imposibilidad probatoria por completo irracional.</w:t>
      </w:r>
    </w:p>
    <w:p w:rsidR="0085709A" w:rsidRDefault="0085709A" w:rsidP="0085709A">
      <w:pPr>
        <w:pStyle w:val="TextoNormal"/>
      </w:pPr>
    </w:p>
    <w:p w:rsidR="0085709A" w:rsidRDefault="0085709A" w:rsidP="0085709A">
      <w:pPr>
        <w:pStyle w:val="TextoNormal"/>
      </w:pPr>
      <w:r>
        <w:lastRenderedPageBreak/>
        <w:t>Tampoco cabe apreciar en la resolución impugnada una respuesta tácita a las exigencias de valoración de la prueba. En efecto, la Sentencia del Tribunal Supremo relaciona la prueba practicada en el ramo de la parte actora (fundamento jurídico 5): informe de la Clínica Fundació Fiatc e informe del Centro Médico Teknon, del que destaca la Sentencia que “[d]ada la prácticamente nula posibilidad de embarazo en pacientes usuarias de Implanon y la confirmación de que dicho implante no se halla en el brazo de la paciente, se explica a la paciente la posibilidad de error en la colocación, ya que dicho implante no está colocado lo que explicaría su gestación”, y que afirman que, pese a existir una cicatriz de colocación del implante, éste no se localiza, por lo que se remite a la paciente al Centro Mediafitc donde se efectúa ecografía y exploración radiológica sin que tampoco consiga localizarse; monografía publicada en la Revista Iberoamericana de Fertilidad, “en que se concluye la eficacia absoluta del Implanon como medio anticonceptivo siempre y cuando el mismo sea correctamente implantado”; estudio efectuado por el fabricante de Implanon sobre su localización mediante ecografía; publicación científica sobre el dispositivo Implanon, que concluye que “si el implante es correcto no debe migrar o puede migrar unos milímetros en el propio brazo”; nota de prensa sobre el estudio del dispositivo realizado por la Unión Europea, que “ha confirmado la eficacia y seguridad del implante contraceptivo Implanon”; y nota de la Agencia oficial del Medicamento de Malta “sobre aprobación de Implanon, por su efectividad siempre que se inserte de forma apropiada”. También se menciona la prueba propuesta por el Institut Català de la Salut demandado, constituida por la respuesta de Organon Española, S.A., fabricante del implante, en que se afirma “si Implanon se inserta adecuadamente… la migración es extremadamente improbable… siempre es palpable. Sólo en el caso de que se haya insertado demasiado profundamente, la palpación, localización y extracción del implante puede ser más dificultosa… en estos casos, el implante puede localizarse mediante ecografía… o bien mediante Imagen por Resonancia Magnética… La localización del implante no afecta a la cantidad de hormona (el principio activo) que se libera y por tanto no afecta a la eficacia… No hay causas conocidas que dificulten la absorción del principio activo de Implanon”.</w:t>
      </w:r>
    </w:p>
    <w:p w:rsidR="0085709A" w:rsidRDefault="0085709A" w:rsidP="0085709A">
      <w:pPr>
        <w:pStyle w:val="TextoNormal"/>
      </w:pPr>
    </w:p>
    <w:p w:rsidR="0085709A" w:rsidRDefault="0085709A" w:rsidP="0085709A">
      <w:pPr>
        <w:pStyle w:val="TextoNormal"/>
      </w:pPr>
      <w:r>
        <w:t xml:space="preserve">Ahora bien, no es posible deducir del conjunto de los razonamientos de la Sentencia impugnada una respuesta o valoración tácita de las pruebas practicadas que se han relacionado que permita conocer las razones por las que el órgano judicial ha descartado su valor. Sin embargo, un análisis externo de las pruebas cuya valoración se omite evidencian una consistencia suficiente para que sea exigible al órgano jurisdiccional un análisis detallado de las mismas que diese contestación a la tesis de la demandante, según la cual tales pruebas acreditarían no sólo que el implante no se insertó en el acto médico practicado el día 25 de junio de 2005 sino también que, en el caso de que hubiera sido insertado, era altísimamente improbable el embarazo y que, consecuentemente, la gestación de la demandante evidenciaría que el dispositivo no fue implantado. Razón por la cual su toma en consideración por la Sala de lo Contencioso-Administrativo del Tribunal Supremo pudo haber conducido a apreciar el nexo de causalidad exigido legalmente para poder declarar la existencia de la responsabilidad patrimonial de la Administración sanitaria discutida en el proceso judicial y a la estimación de la pretensión indemnizatoria. Máxime si se tiene en consideración que las pruebas sobre las que la Sentencia sustenta la desestimación de la recurso jurisdiccional frente a la desestimación de la reclamación de responsabilidad patrimonial no tienen la contundencia que la resolución impugnada les atribuye: de una parte, porque el testigo, que manifiesta no recordar nada, no ha afirmado que el dispositivo se implantó en este caso sino que ha ceñido sus respuestas al procedimiento habitual de inserción del anticonceptivo; y </w:t>
      </w:r>
      <w:r>
        <w:lastRenderedPageBreak/>
        <w:t>de otra, porque se desconoce quién ha sido el autor del parte de asistencia del servicio de urgencias, cuya identificación sólo podía facilitar la Administración demandada, en el que tampoco consta la firma de la demandante.</w:t>
      </w:r>
    </w:p>
    <w:p w:rsidR="0085709A" w:rsidRDefault="0085709A" w:rsidP="0085709A">
      <w:pPr>
        <w:pStyle w:val="TextoNormal"/>
      </w:pPr>
    </w:p>
    <w:p w:rsidR="0085709A" w:rsidRDefault="0085709A" w:rsidP="0085709A">
      <w:pPr>
        <w:pStyle w:val="TextoNormal"/>
      </w:pPr>
      <w:r>
        <w:t xml:space="preserve">Constatado que la relevancia de las pruebas practicadas merecía un análisis suficiente de las mismas para satisfacer el derecho de todo demandante a conocer las razones de la desestimación de su pretensión y que tal valoración no se efectuó por el Tribunal Supremo en los términos acabados de exponer, hemos de detener aquí nuestro razonamiento, pues no corresponde a este Tribunal determinar si, atendido el contenido de las pruebas no valoradas en el modo constitucionalmente exigible, la decisión del Tribunal Supremo habría de ser otra, ya que se trata de una cuestión de legalidad ordinaria que compete decidir en exclusiva al órgano judicial en ejercicio de la potestad que le asigna el art. 117.3 CE (STC 167/2014, de 24 de octubre, FJ 6). Nuestra jurisdicción se ciñe a constatar la Sentencia que resolvió el proceso </w:t>
      </w:r>
      <w:r w:rsidRPr="0085709A">
        <w:rPr>
          <w:i/>
        </w:rPr>
        <w:t>a quo</w:t>
      </w:r>
      <w:r>
        <w:t xml:space="preserve"> no cumple con las exigencias constitucionales de motivación que garantiza el derecho a la tutela judicial efectiva del art. 24.1 CE., por lo que la resolución judicial vulneró el derecho de la demandante doña R.D.S.O. y de su hija A.L.R.D.S., en su vertiente de derecho a obtener una resolución judicial motivada y fundada en Derecho.</w:t>
      </w:r>
    </w:p>
    <w:p w:rsidR="0085709A" w:rsidRDefault="0085709A" w:rsidP="0085709A">
      <w:pPr>
        <w:pStyle w:val="TextoNormal"/>
      </w:pPr>
    </w:p>
    <w:p w:rsidR="0085709A" w:rsidRDefault="0085709A" w:rsidP="0085709A">
      <w:pPr>
        <w:pStyle w:val="TextoNormal"/>
      </w:pPr>
      <w:r w:rsidRPr="0085709A">
        <w:rPr>
          <w:rStyle w:val="NumeroAFNegritaCaracter"/>
        </w:rPr>
        <w:t>5</w:t>
      </w:r>
      <w:r>
        <w:t>. Procede así la estimación de este primer motivo de la demanda de amparo, por vulneración del derecho fundamental a la tutela judicial efectiva de las recurrentes en su faceta de derecho a obtener una resolución judicial motivada y fundada en Derecho (art. 24.1 CE), lo que hace innecesario adentrarse en el estudio de la segunda de las quejas, relativa a la posible lesión de su derecho al Juez ordinario predeterminado por la ley y al Juez imparcial (24 CE).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por doña R.D.S.O., en su nombre y en el de su hija menor de edad A.L.R.D.S., y, en su virtud:</w:t>
      </w:r>
    </w:p>
    <w:p w:rsidR="0085709A" w:rsidRDefault="0085709A" w:rsidP="0085709A">
      <w:pPr>
        <w:pStyle w:val="TextoNormal"/>
      </w:pPr>
    </w:p>
    <w:p w:rsidR="0085709A" w:rsidRDefault="0085709A" w:rsidP="0085709A">
      <w:pPr>
        <w:pStyle w:val="TextoNormal"/>
      </w:pPr>
      <w:r>
        <w:t>1º Declarar que se ha vulnerado su derecho a la tutela judicial efectiva (art. 24.1 CE).</w:t>
      </w:r>
    </w:p>
    <w:p w:rsidR="0085709A" w:rsidRDefault="0085709A" w:rsidP="0085709A">
      <w:pPr>
        <w:pStyle w:val="TextoNormal"/>
      </w:pPr>
    </w:p>
    <w:p w:rsidR="0085709A" w:rsidRDefault="0085709A" w:rsidP="0085709A">
      <w:pPr>
        <w:pStyle w:val="TextoNormal"/>
      </w:pPr>
      <w:r>
        <w:t>2º Restablecerlas en su derecho y, a tal fin, declarar la nulidad de la Sentencia de 3 de mayo de 2012 dictada por la Sección Cuarta de la Sala de lo Contencioso-Administrativo del Tribunal Supremo en el recurso de casación núm. 4397-2010, y del Auto de la misma Sala y Sección, de 19 de julio de 2012, que declaró no haber lugar al incidente de nulidad de actuaciones promovido contra la citada Sentencia.</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referida Sentencia para que se dicte una nueva resolución judicial respetuosa con el derecho fundamental vulnerado.</w:t>
      </w:r>
    </w:p>
    <w:p w:rsidR="0085709A" w:rsidRDefault="0085709A" w:rsidP="0085709A">
      <w:pPr>
        <w:pStyle w:val="TextoNormal"/>
      </w:pPr>
    </w:p>
    <w:p w:rsidR="0085709A" w:rsidRDefault="0085709A" w:rsidP="0085709A">
      <w:pPr>
        <w:pStyle w:val="TextoNormal"/>
      </w:pPr>
      <w:r>
        <w:lastRenderedPageBreak/>
        <w:t>Publíquese esta Sentencia en el “Boletín Oficial del Estado”.</w:t>
      </w:r>
    </w:p>
    <w:p w:rsidR="0085709A" w:rsidRDefault="0085709A" w:rsidP="0085709A">
      <w:pPr>
        <w:pStyle w:val="TextoNormal"/>
      </w:pPr>
      <w:r>
        <w:t>Dada en Madrid, a dos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 w:name="SENTENCIA_2015_10"/>
      <w:r>
        <w:lastRenderedPageBreak/>
        <w:t>SENTENCIA 10/2015, de 2 de febrero de 2015</w:t>
      </w:r>
    </w:p>
    <w:bookmarkEnd w:id="13"/>
    <w:p w:rsidR="0085709A" w:rsidRDefault="0085709A" w:rsidP="0085709A">
      <w:pPr>
        <w:pStyle w:val="TtuloResolucin"/>
      </w:pPr>
      <w:r>
        <w:t>Sala Primera</w:t>
      </w:r>
    </w:p>
    <w:p w:rsidR="0085709A" w:rsidRDefault="0085709A" w:rsidP="0085709A">
      <w:pPr>
        <w:pStyle w:val="TtuloBOE"/>
      </w:pPr>
      <w:r>
        <w:t>(BOE núm. 52, de 2 de marzo de 2015)</w:t>
      </w:r>
    </w:p>
    <w:p w:rsidR="0085709A" w:rsidRDefault="0085709A" w:rsidP="0085709A">
      <w:pPr>
        <w:pStyle w:val="TextoNormalCentrado"/>
      </w:pPr>
      <w:r>
        <w:t>ECLI:ES:TC:2015:10</w:t>
      </w:r>
    </w:p>
    <w:p w:rsidR="0085709A" w:rsidRDefault="0085709A" w:rsidP="0085709A">
      <w:pPr>
        <w:pStyle w:val="TextoNormalCentrado"/>
      </w:pPr>
    </w:p>
    <w:p w:rsidR="0085709A" w:rsidRDefault="0085709A" w:rsidP="0085709A">
      <w:pPr>
        <w:pStyle w:val="SntesisDescriptiva"/>
      </w:pPr>
      <w:r>
        <w:t>Cuestión de inconstitucionalidad 6926-2013. Planteada por la Sala de lo Contencioso-Administrativo del Tribunal Superior de Justicia de Galicia, en relación con el artículo 50.1 del texto refundido de la Ley general para la defensa de los consumidores y usuarios, aprobado por Real Decreto Legislativo 1/2007, de 16 de noviembre.</w:t>
      </w:r>
    </w:p>
    <w:p w:rsidR="0085709A" w:rsidRDefault="0085709A" w:rsidP="0085709A">
      <w:pPr>
        <w:pStyle w:val="SntesisDescriptiva"/>
      </w:pPr>
    </w:p>
    <w:p w:rsidR="0085709A" w:rsidRDefault="0085709A" w:rsidP="0085709A">
      <w:pPr>
        <w:pStyle w:val="SntesisAnaltica"/>
      </w:pPr>
      <w:r>
        <w:t>Derecho a la legalidad sancionadora: nulidad del precepto legal que vulnera la vertiente material del derecho a la legalidad sancionadora al remitir la calificación de las infracciones administrativas al momento aplicativo (STC 166/2012).</w:t>
      </w:r>
    </w:p>
    <w:p w:rsidR="0085709A" w:rsidRDefault="0085709A" w:rsidP="0085709A">
      <w:pPr>
        <w:pStyle w:val="SntesisAnaltica"/>
      </w:pPr>
    </w:p>
    <w:p w:rsidR="0085709A" w:rsidRDefault="0085709A" w:rsidP="0085709A">
      <w:pPr>
        <w:pStyle w:val="Extracto"/>
      </w:pPr>
      <w:r>
        <w:t>1.</w:t>
      </w:r>
      <w:r>
        <w:tab/>
        <w:t>Procede la declaración de inconstitucionalidad del precepto cuestionado, pues remite la calificación de las infracciones a un momento aplicativo posterior y, por ende, externo a la previsión legal en contra de la vertiente material del derecho a la legalidad sancionadora recogido en el artículo 25.1 CE (STC166/2012) [FJ 3].</w:t>
      </w:r>
    </w:p>
    <w:p w:rsidR="0085709A" w:rsidRDefault="0085709A" w:rsidP="0085709A">
      <w:pPr>
        <w:pStyle w:val="Extracto"/>
      </w:pPr>
    </w:p>
    <w:p w:rsidR="0085709A" w:rsidRDefault="0085709A" w:rsidP="0085709A">
      <w:pPr>
        <w:pStyle w:val="Extracto"/>
      </w:pPr>
      <w:r>
        <w:t>2.</w:t>
      </w:r>
      <w:r>
        <w:tab/>
        <w:t xml:space="preserve">La graduación de las sanciones o calificación </w:t>
      </w:r>
      <w:r w:rsidRPr="0085709A">
        <w:rPr>
          <w:i/>
        </w:rPr>
        <w:t>ad hoc</w:t>
      </w:r>
      <w:r>
        <w:t xml:space="preserve">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(STC 100/2003, 252/2006) [FJ 3].</w:t>
      </w:r>
    </w:p>
    <w:p w:rsidR="0085709A" w:rsidRDefault="0085709A" w:rsidP="0085709A">
      <w:pPr>
        <w:pStyle w:val="Extracto"/>
      </w:pPr>
    </w:p>
    <w:p w:rsidR="0085709A" w:rsidRDefault="0085709A" w:rsidP="0085709A">
      <w:pPr>
        <w:pStyle w:val="Extracto"/>
      </w:pPr>
      <w:r>
        <w:t>3.</w:t>
      </w:r>
      <w:r>
        <w:tab/>
        <w:t>Doctrina sobre la doble garantía, formal y material, del derecho fundamental a la legalidad sancionadora garantizado por el art. 25.1 CE (SSTC 42/1987, 166/2012) [FJ 3].</w:t>
      </w:r>
    </w:p>
    <w:p w:rsidR="0085709A" w:rsidRDefault="0085709A" w:rsidP="0085709A">
      <w:pPr>
        <w:pStyle w:val="Extracto"/>
      </w:pPr>
    </w:p>
    <w:p w:rsidR="0085709A" w:rsidRDefault="0085709A" w:rsidP="0085709A">
      <w:pPr>
        <w:pStyle w:val="Extracto"/>
      </w:pPr>
      <w:r>
        <w:t>4.</w:t>
      </w:r>
      <w:r>
        <w:tab/>
        <w:t>La resolución judicial cumple con la exigencia de razonar la relevancia del precepto cuestionado cuando argumenta que el contenido del fallo de la Sentencia depende de la validez de la norma legal sancionadora aplicada por la Administración, no pudiendo este Tribunal, en la revisión del juicio de pertinencia, suplantar al órgano judicial en la definición de la pretensión procesal ni extenderse al examen del proceso mismo ni a los presupuestos procesales que le sirven de base (SSTC 27/2012, 185/2014) [FJ 2].</w:t>
      </w:r>
    </w:p>
    <w:p w:rsidR="0085709A" w:rsidRDefault="0085709A" w:rsidP="0085709A">
      <w:pPr>
        <w:pStyle w:val="Extracto"/>
      </w:pPr>
    </w:p>
    <w:p w:rsidR="0085709A" w:rsidRDefault="0085709A" w:rsidP="0085709A">
      <w:pPr>
        <w:pStyle w:val="Extracto"/>
      </w:pPr>
      <w:r>
        <w:t>5.</w:t>
      </w:r>
      <w:r>
        <w:tab/>
        <w:t>Doctrina sobre el juicio de relevancia en la cuestión de inconstitucionalidad (SSTC 27/2012, 185/2014)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6926-2013, planteada por la Sección Segunda de la Sala de lo Contencioso-aAdministrativo del Tribunal Superior de Justicia de Galicia, en relación con el art. 50.1 del tTexto rRefundido de la Ley general para la defensa de los consumidores y usuariosLey General para la Defensa de los Consumidores y Usuarios (LOCU), aprobado por Real Decreto Legislativo 1/2007, de 16 de noviembre, por posible vulneración del art. 25 CE. Han formulado alegaciones el Abogado del Estado y el Fiscal General del Estado, y se han personado el Congreso de los Diputados y el Senado.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27 de noviembre de 2013 tuvo entrada en el Registro General de este Tribunal un escrito de la Sección Segunda de la Sala de lo Contencioso-Administrativo del Tribunal Superior de Justicia de Galicia al que se acompaña, junto con el testimonio del procedimiento ordinario núm. 4892-2012, Auto del citado órgano judicial, de 4 de noviembre de 2013, en el que se acuerda plantear cuestión de inconstitucionalidad en relación con el art. 50.1 del texto refundido de la Ley general para la defensa de los consumidores y usuarios (LCU), aprobado por Real Decreto Legislativo 1/2007, de 16 de noviembre, por posible vulneración del art. 25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presente cuestión son los siguientes:</w:t>
      </w:r>
    </w:p>
    <w:p w:rsidR="0085709A" w:rsidRDefault="0085709A" w:rsidP="0085709A">
      <w:pPr>
        <w:pStyle w:val="TextoNormal"/>
      </w:pPr>
    </w:p>
    <w:p w:rsidR="0085709A" w:rsidRDefault="0085709A" w:rsidP="0085709A">
      <w:pPr>
        <w:pStyle w:val="TextoNormal"/>
      </w:pPr>
      <w:r>
        <w:t>a) Telefónica Móviles de España interpuso recurso contencioso-administrativo contra la resolución del Consejero de Economía e Industria de la Xunta de Galicia, de 1 de octubre de 2012, que desestimó el recurso potestativo de reposición formulado contra su resolución anterior de 9 de septiembre de 2011, dictada en el expediente sancionador 15R001-23-2011, que le impuso una multa de 121.914 € como responsable de la infracción prevista en el art. 49.1 i) LCU, que tipifica como infracción “la introducción de cláusulas abusivas en los contratos” y que fue calificada de grave con arreglo al siguiente art. 50.1 del citado texto legal, que autoriza a la Administración a calificar la correspondiente infracción de leve, grave o muy grave en atención a determinados criterios que el propio precepto se encarga de precisar.</w:t>
      </w:r>
    </w:p>
    <w:p w:rsidR="0085709A" w:rsidRDefault="0085709A" w:rsidP="0085709A">
      <w:pPr>
        <w:pStyle w:val="TextoNormal"/>
      </w:pPr>
    </w:p>
    <w:p w:rsidR="0085709A" w:rsidRDefault="0085709A" w:rsidP="0085709A">
      <w:pPr>
        <w:pStyle w:val="TextoNormal"/>
      </w:pPr>
      <w:r>
        <w:t xml:space="preserve">Concretamente el citado art. 50 LCU, bajo la rúbrica “Graduación de las infracciones” establece en su apartado primero que “las infracciones podrán calificarse por las Administraciones públicas competentes como leves, graves y muy graves, atendiendo a los criterios de riesgo para la salud, posición en el mercado del infractor, cuantía del beneficio obtenido, </w:t>
      </w:r>
      <w:r>
        <w:lastRenderedPageBreak/>
        <w:t>grado de intencionalidad, gravedad de la alteración social producida, generalización de la infracción y reincidencia”.</w:t>
      </w:r>
    </w:p>
    <w:p w:rsidR="0085709A" w:rsidRDefault="0085709A" w:rsidP="0085709A">
      <w:pPr>
        <w:pStyle w:val="TextoNormal"/>
      </w:pPr>
    </w:p>
    <w:p w:rsidR="0085709A" w:rsidRDefault="0085709A" w:rsidP="0085709A">
      <w:pPr>
        <w:pStyle w:val="TextoNormal"/>
      </w:pPr>
      <w:r>
        <w:t>b) En su demanda contenciosa la sociedad mercantil razonó, entre otros motivos de oposición, que el citado art. 50.1 LCU, al confiar la calificación de la infracción en manos de la Administración, contradecía la garantía material del principio de legalidad sancionadora del art. 25.1 CE, según, por otra parte, declaró el Tribunal Constitucional en su STC 166/2012, de 1 de octubre, que “resolvió un supuesto idéntico al que no ocupa”, a propósito entonces de lo que disponía el art. 30 de la Ley del Parlamento de Cataluña 3/1993, de 5 de marzo, del estatuto del consumidor. Por esta razón solicitó del órgano judicial el planteamiento de la oportuna cuestión de inconstitucionalidad.</w:t>
      </w:r>
    </w:p>
    <w:p w:rsidR="0085709A" w:rsidRDefault="0085709A" w:rsidP="0085709A">
      <w:pPr>
        <w:pStyle w:val="TextoNormal"/>
      </w:pPr>
    </w:p>
    <w:p w:rsidR="0085709A" w:rsidRDefault="0085709A" w:rsidP="0085709A">
      <w:pPr>
        <w:pStyle w:val="TextoNormal"/>
      </w:pPr>
      <w:r>
        <w:t>c) Una vez conclusas las actuaciones y dentro del plazo para dictar Sentencia, la Sección Segunda de la Sala de lo Contencioso-Administrativo del Tribunal Superior de Justicia de Galicia, a la que correspondió el conocimiento del citado recurso (núm. 4892-2012), acordó, por providencia de 26 de septiembre de 2013 y de conformidad con lo previsto en el artículo 35.2 de la Ley Orgánica del Tribunal Constitucional (LOTC), conceder a las partes y al Ministerio Fiscal plazo común de diez días para que formularan alegaciones sobre la pertinencia de plantear cuestión de inconstitucionalidad respecto del “número 1 del artículo 51”, si bien reproducía literalmente el art. 50.1 LCU, por posible vulneración del art. 25.1 CE.</w:t>
      </w:r>
    </w:p>
    <w:p w:rsidR="0085709A" w:rsidRDefault="0085709A" w:rsidP="0085709A">
      <w:pPr>
        <w:pStyle w:val="TextoNormal"/>
      </w:pPr>
    </w:p>
    <w:p w:rsidR="0085709A" w:rsidRDefault="0085709A" w:rsidP="0085709A">
      <w:pPr>
        <w:pStyle w:val="TextoNormal"/>
      </w:pPr>
      <w:r>
        <w:t>d) Tanto la mercantil recurrente como el Ministerio Fiscal se pronunciaron a favor del planteamiento de la cuestión de inconstitucionalidad del art. 50.1 LCU anunciada por considerar, con fundamento en la doctrina constitucional y, de modo particular, en la STC 166/2012, que el precepto legal considerado pugnaba con el art. 25.1 CE. Contrariamente, la Xunta de Galicia se opuso al planteamiento de la cuestión del art. 50.1 LCU con cita del ATC 34/2012, de 14 de febrero.</w:t>
      </w:r>
    </w:p>
    <w:p w:rsidR="0085709A" w:rsidRDefault="0085709A" w:rsidP="0085709A">
      <w:pPr>
        <w:pStyle w:val="TextoNormal"/>
      </w:pPr>
    </w:p>
    <w:p w:rsidR="0085709A" w:rsidRDefault="0085709A" w:rsidP="0085709A">
      <w:pPr>
        <w:pStyle w:val="TextoNormal"/>
      </w:pPr>
      <w:r w:rsidRPr="0085709A">
        <w:rPr>
          <w:rStyle w:val="NumeroAFNegritaCaracter"/>
        </w:rPr>
        <w:t>3</w:t>
      </w:r>
      <w:r>
        <w:t>. En su Auto de planteamiento, el órgano judicial, razona que al haber sido calificada como grave la infracción, el contenido del fallo de la Sentencia depende de la validez de la norma legal aplicada por la Administración al sancionar, lo que no ocurriría si hubiese sido calificada como leve, supuesto en el que, por razones obvias, resultaría indiferente. A continuación rechaza la aplicación al caso considerado del ATC 34/2012 invocado por la Xunta de Galicia, razonando que en ese otro caso la garantía constitucional comprometida era la vertiente formal del principio de legalidad sancionadora del art. 25.1 CE, y no, por tanto, la vertiente material de ese mismo principio que ahora exclusivamente interesa. Desde esta última perspectiva, y sirviéndose del razonamiento que utiliza la citada STC 166/2012, que se remite a su vez a las SSTC 100/2003 y 256/2006, el órgano judicial concluye que, al igual que en esos otros supuestos, el art. 50.1 LCU, en la medida que remite la calificación de las infracciones como leves, graves o muy graves al criterio de la Administración, “no resulta acorde con el principio de taxatividad en cuanto que no garantiza mínimamente la seguridad jurídica de los ciudadanos, quienes ignoran las consecuencias que han de seguirse de la realización de una conducta genéricamente tipificada como infracción administrativa”.</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El Pleno de este Tribunal, por providencia de 28 de enero de 2014, acordó, admitir a trámite la cuestión planteada y, de conformidad con el art. 10.1 c) LOTC, deferir a la Sala Primera su conocimiento. En esa misma providencia el Pleno acordó igualmente dar traslado de las actuaciones recibidas al Congreso de los Diputados y al Senado, por conducto </w:t>
      </w:r>
      <w:r>
        <w:lastRenderedPageBreak/>
        <w:t>de sus Presidentes, al Gobierno, por conducto del Ministerio de Justicia, y al Fiscal General del Estado para que, en el plazo de quince días, pudieran personarse en el proceso y formular las alegaciones que estimaran convenientes. Finalmente acordó comunicar al órgano proponente la suspensión de las actuaciones judiciales, con arreglo al art. 35.3 LOTC, y publicar la admisión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en este Tribunal el 6 de febrero de 2014, la Vicepresidenta Primera y Presidenta en funciones del Congreso de los Diputados comunicó el acuerdo de la Mesa de la Cámara de personarse en el presente proceso constitucional y dar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siguiente 12 de febrero de 2014, el Presidente del Senado comunicó a este Tribunal que la Mesa de la Cámara había acordado personarse y dar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Con fecha de 20 de febrero de 2014 el Abogado del Estado, en nombre del Gobierno de la Nación, presentó su escrito de alegaciones. El representante del Estado interesa la inadmisión de la cuestión por incumplir el juicio de relevancia a que obliga el art. 35.1 LOTC y, subsidiariamente, su desestimación por dos motivos. De un lado, porque en su criterio la calificación como grave de la infracción considerada no puede tacharse de imprevisible para el infractor a la luz de las circunstancias concurrentes y que hablan, en particular, de 5.860 personas afectadas y de 121.914 € de beneficio obtenido con la introducción de cláusulas abusivas en los contratos por la imputada, queda evidentemente fuera de lugar, que la infracción por “introducción de cláusulas abusivas en los contratos”, sea calificada como leve. Con estos antecedentes, que no han sido desmentidos en el proceso judicial </w:t>
      </w:r>
      <w:r w:rsidRPr="0085709A">
        <w:rPr>
          <w:i/>
        </w:rPr>
        <w:t>a quo</w:t>
      </w:r>
      <w:r>
        <w:t>, el Abogado del Estado concluye que el número de afectados y el importe del beneficio obtenido con la infracción son criterios objetivos que guían la decisión de la Administración y convierten en previsible la calificación como grave de la infracción considerada, de modo que la aplicación al caso del precepto cuestionado no vulnera el art. 25.1 CE.</w:t>
      </w:r>
    </w:p>
    <w:p w:rsidR="0085709A" w:rsidRDefault="0085709A" w:rsidP="0085709A">
      <w:pPr>
        <w:pStyle w:val="TextoNormal"/>
      </w:pPr>
    </w:p>
    <w:p w:rsidR="0085709A" w:rsidRDefault="0085709A" w:rsidP="0085709A">
      <w:pPr>
        <w:pStyle w:val="TextoNormal"/>
      </w:pPr>
      <w:r>
        <w:t>Para el Abogado del Estado el art. 50.1 cuestionado es igualmente constitucional con solo notar que se trata de un precepto básico, según precisa la disposición final segunda LCU y, en esa condición, que consiente el oportuno margen de desarrollo normativo para que sean las Comunidades Autónomas con competencias en la materia las que tipifiquen con precisión el correspondiente catálogo de infracciones y sanciones, como así, de hecho, lo confirma en el caso de la Comunidad Autónoma de Galicia la Ley autonómica 2/2012, de 28 de marzo.</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Fiscal General del Estado, mediante escrito registrado el siguiente 21 de febrero de 2014, solicitó la estimación de la cuestión planteada. Recuerda la doble garantía derivada del derecho a la legalidad sancionadora, y desarrolla la vertiente material de la misma con cita de la STC 145/2013, FJ 4. Afirma que la calificación de las infracciones como leves, graves o muy graves, y su correspondiente sanción no está determinada de antemano por la norma, ni tampoco remite la determinación de la graduación a un desarrollo reglamentario, sino que la calificación sobre la gravedad de la infracción y su correspondiente sanción se difiere al momento del ejercicio de la potestad sancionadora por la Administración, a la que la norma tan solo ofrece unos criterios orientativos para poder realizar la calificación de la </w:t>
      </w:r>
      <w:r>
        <w:lastRenderedPageBreak/>
        <w:t>infracción. Considera que el precepto cuestionado no cumple con la garantía material de certeza, puesto que es un precepto que difiere la calificación de la infracción y su sanción al momento en que la Administración ejerza su potestad sancionadora. En su criterio, el administrado no puede conocer de antemano y de manera cierta qué gravedad puede atribuirse a una conducta infractora, y cual sea la correspondiente sanción.</w:t>
      </w:r>
    </w:p>
    <w:p w:rsidR="0085709A" w:rsidRDefault="0085709A" w:rsidP="0085709A">
      <w:pPr>
        <w:pStyle w:val="TextoNormal"/>
      </w:pPr>
    </w:p>
    <w:p w:rsidR="0085709A" w:rsidRDefault="0085709A" w:rsidP="0085709A">
      <w:pPr>
        <w:pStyle w:val="TextoNormal"/>
      </w:pPr>
      <w:r>
        <w:t xml:space="preserve">Finalmente considera que el Tribunal Constitucional ya se ha pronunciado en un supuesto similar en la STC 166/2012, en relación con el art. 30 de la Ley del Parlamento de Cataluña y, en consecuencia, a su juicio el art. 50.1 LCU no cumple con la exigencia material de certeza o </w:t>
      </w:r>
      <w:r w:rsidRPr="0085709A">
        <w:rPr>
          <w:i/>
        </w:rPr>
        <w:t>lex certa</w:t>
      </w:r>
      <w:r>
        <w:t xml:space="preserve"> que garantiza el principio de legalidad sancionadora del art. 25.1 CE.</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del veintinueve de enero de dos mil quince se señaló, para deliberación y votación de la presente Sentencia, el dos de febrero del mismo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Sección Segunda de la Sala de lo Contencioso-Administrativo del Tribunal Superior de Justicia de Galicia cuestiona la constitucionalidad del art. 50.1 del texto refundido de la Ley general para la defensa de los consumidores y usuarios, aprobado por Real Decreto Legislativo 1/2007, de 16 de noviembre, por posible vulneración del art. 25 CE. Conforme se ha dejado anotado en los antecedentes, el precepto cuestionado establece que “las infracciones podrán calificarse por las Administraciones públicas competentes como leves, graves y muy graves, atendiendo a los criterios de riesgo para la salud, posición en el mercado del infractor, cuantía del beneficio obtenido, grado de intencionalidad, gravedad de la alteración social producida, generalización de la infracción y reincidencia”.</w:t>
      </w:r>
    </w:p>
    <w:p w:rsidR="0085709A" w:rsidRDefault="0085709A" w:rsidP="0085709A">
      <w:pPr>
        <w:pStyle w:val="TextoNormal"/>
      </w:pPr>
    </w:p>
    <w:p w:rsidR="0085709A" w:rsidRDefault="0085709A" w:rsidP="0085709A">
      <w:pPr>
        <w:pStyle w:val="TextoNormal"/>
      </w:pPr>
      <w:r>
        <w:t xml:space="preserve">Para el citado órgano judicial esta previsión legal, en la medida que descarga en manos de la Administración la graduación, en función de su gravedad, de las infracciones que antes ha tipificado la propia Ley, no cumple con la exigencia de taxatividad o de </w:t>
      </w:r>
      <w:r w:rsidRPr="0085709A">
        <w:rPr>
          <w:i/>
        </w:rPr>
        <w:t>lex certa</w:t>
      </w:r>
      <w:r>
        <w:t xml:space="preserve"> que garantiza el principio de legalidad sancionadora del art. 25.1 CE, según este Tribunal Constitucional ha tenido ocasión de advertir en otras ocasiones a propósito de este mismo núcleo de problemas y, de modo particular, en la STC 166/2012, de 1 de octubre, que censuró por ese mismo motivo el art. 30 de la Ley del Parlamento de Cataluña 3/1993, de 5 de marzo, del estatuto del consumidor, con una redacción muy similar, prácticamente idéntica.</w:t>
      </w:r>
    </w:p>
    <w:p w:rsidR="0085709A" w:rsidRDefault="0085709A" w:rsidP="0085709A">
      <w:pPr>
        <w:pStyle w:val="TextoNormal"/>
      </w:pPr>
    </w:p>
    <w:p w:rsidR="0085709A" w:rsidRDefault="0085709A" w:rsidP="0085709A">
      <w:pPr>
        <w:pStyle w:val="TextoNormal"/>
      </w:pPr>
      <w:r>
        <w:t>Esta es también la opinión que defiende el Fiscal General del Estado, y que se sirve igualmente de la citada STC 166/2012 para interesar la estimación de la presente cuestión de inconstitucionalidad. El Abogado del Estado defiende por el contrario, en los términos que se han resumido en los antecedentes, que el Auto de planteamiento no cumple con la exigencia de razonar la relevancia que impone el art. 35.1 de la Ley Orgánica del Tribunal Constitucional (LOTC), añadiendo que el precepto cuestionado no incurre en ninguna tacha constitucional, puesto que los criterios que utiliza el art. 50.1 permiten razonablemente prever con la suficiente certeza las consecuencias sancionadoras de la correspondiente conducta ilícita.</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Se ha alegado por el Abogado del Estado que la presente cuestión de inconstitucionalidad no reúne los requisitos establecidos en el art. 35 LOTC en lo relativo al juicio de </w:t>
      </w:r>
      <w:r>
        <w:lastRenderedPageBreak/>
        <w:t>relevancia. Es procedente examinar tal objeción,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(recientemente, SSTC 42/2013, de 14 de febrero, FJ 2; 183/2013, de 23 de octubre, FJ 2; 75/2014, de 8 de mayo, FJ 2, 206/2014, de 15 de diciembre, FJ 2, y jurisprudencia allí citada).</w:t>
      </w:r>
    </w:p>
    <w:p w:rsidR="0085709A" w:rsidRDefault="0085709A" w:rsidP="0085709A">
      <w:pPr>
        <w:pStyle w:val="TextoNormal"/>
      </w:pPr>
    </w:p>
    <w:p w:rsidR="0085709A" w:rsidRDefault="0085709A" w:rsidP="0085709A">
      <w:pPr>
        <w:pStyle w:val="TextoNormal"/>
      </w:pPr>
      <w:r>
        <w:t xml:space="preserve">Este Tribunal ha hecho notar en numerosas resoluciones, que el juicio de relevancia,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(entre muchas, últimamente, SSTC 84/2012, de 18 de abril, FJ 2; 146/2012, de 5 de julio, FJ 3; 60/2013, de 13 de marzo, FJ 1 b); 18/2014, de 30 de enero, FJ 2; y 185/2014, de 6 de noviembre, FJ 6). Es a los Jueces y Tribunales ordinarios que plantean las cuestiones de inconstitucionalidad, por otra parte, a los que corresponde comprobar y exteriorizar, </w:t>
      </w:r>
      <w:r w:rsidRPr="0085709A">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[últimamente, SSTC 87/2012, de 18 de abril, FJ 2; 146/2012, de 5 de julio, FJ 3; 60/2013, de 13 de marzo, FJ 1 b); 53/2014, de 10 de abril, FJ 1 b); 82/2014, de 28 de mayo, FJ 2 a)].</w:t>
      </w:r>
    </w:p>
    <w:p w:rsidR="0085709A" w:rsidRDefault="0085709A" w:rsidP="0085709A">
      <w:pPr>
        <w:pStyle w:val="TextoNormal"/>
      </w:pPr>
    </w:p>
    <w:p w:rsidR="0085709A" w:rsidRDefault="0085709A" w:rsidP="0085709A">
      <w:pPr>
        <w:pStyle w:val="TextoNormal"/>
      </w:pPr>
      <w:r>
        <w:t>En el presente proceso constitucional, no es posible acoger la objeción planteada por el Abogado del Estado. La resolución judicial cumple con la exigencia de razonar la relevancia del precepto cuestionado cuando argumenta que el contenido del fallo de la Sentencia depende de la validez de la norma legal sancionadora aplicada por la Administración, tal relevancia estima que no se produciría si hubiese sido calificada la infracción como leve, en lugar de grave, pues en tal caso, a juicio del proponente, la constitucionalidad del precepto resultaría irrelevante para resolver la pretensión del recurrente. Dicho razonamiento no es manifiestamente irrazonable, ni podemos advertir que la argumentación judicial en relación con el juicio de relevancia carezca de consistencia, pues en la revisión del juicio de pertinencia este Tribunal no puede suplantar al órgano judicial en la definición de la pretensión procesal, como tampoco puede extenderse al examen del proceso mismo ni a los presupuestos procesales que le sirven de base [SSTC 27/2012, de 1 de marzo, FJ 2 b); 60/2013, FJ 1 c); y185/2014, de 6 de noviembre, FJ 2 b)].</w:t>
      </w:r>
    </w:p>
    <w:p w:rsidR="0085709A" w:rsidRDefault="0085709A" w:rsidP="0085709A">
      <w:pPr>
        <w:pStyle w:val="TextoNormal"/>
      </w:pPr>
    </w:p>
    <w:p w:rsidR="0085709A" w:rsidRDefault="0085709A" w:rsidP="0085709A">
      <w:pPr>
        <w:pStyle w:val="TextoNormal"/>
      </w:pPr>
      <w:r w:rsidRPr="0085709A">
        <w:rPr>
          <w:rStyle w:val="NumeroAFNegritaCaracter"/>
        </w:rPr>
        <w:t>3</w:t>
      </w:r>
      <w:r>
        <w:t>. Resuelto en sentido negativo el motivo de inadmisión señalado, procede examinar el fondo del asunto y comprobar si el precepto cuestionado es conforme a las exigencias del art. 25.1 CE.</w:t>
      </w:r>
    </w:p>
    <w:p w:rsidR="0085709A" w:rsidRDefault="0085709A" w:rsidP="0085709A">
      <w:pPr>
        <w:pStyle w:val="TextoNormal"/>
      </w:pPr>
    </w:p>
    <w:p w:rsidR="0085709A" w:rsidRDefault="0085709A" w:rsidP="0085709A">
      <w:pPr>
        <w:pStyle w:val="TextoNormal"/>
      </w:pPr>
      <w:r>
        <w:lastRenderedPageBreak/>
        <w:t xml:space="preserve">A tal efecto es obligada la exposición de la doctrina constitucional consolidada, recogida en la STC 166/2012, que con acierto, es citada tanto en el Auto de planteamiento como por el Ministerio Fiscal en sus alegaciones, dada la similitud del precepto ahora impugnado con el que fue objeto de aquél procedimiento. Señalábamos entonces, con cita de otras sentencias, que el derecho a la legalidad sancionadora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(entre muchas, STC 42/1987, de 7 de abril, FJ 2). En relación con la vertiente material de este derecho, hemos puesto de relieve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pero en modo alguno cabe encomendar por entero tal correspondencia a la discrecionalidad judicial o administrativa, “ya que ello equivaldría a una simple habilitación en blanco a la Administración por norma legal vacía de contenido material propio” (STC 113/2002, de 9 de mayo, FJ 6). Consecuentemente, el artículo 25.1 CE limita, no ya el ejercicio administrativo de la discrecionalidad, sino su atribución misma por parte del legislador. En particular, para el caso de leyes que remiten la calificación de las infracciones como leves, graves o muy graves a un órgano administrativo, hemos declarado: “la graduación de las sanciones o calificación </w:t>
      </w:r>
      <w:r w:rsidRPr="0085709A">
        <w:rPr>
          <w:i/>
        </w:rPr>
        <w:t>ad hoc</w:t>
      </w:r>
      <w:r>
        <w:t xml:space="preserve">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(STC 252/2006, de 25 de julio, FJ 4, que remite a la STC 100/2003, de 2 de julio).</w:t>
      </w:r>
    </w:p>
    <w:p w:rsidR="0085709A" w:rsidRDefault="0085709A" w:rsidP="0085709A">
      <w:pPr>
        <w:pStyle w:val="TextoNormal"/>
      </w:pPr>
    </w:p>
    <w:p w:rsidR="0085709A" w:rsidRDefault="0085709A" w:rsidP="0085709A">
      <w:pPr>
        <w:pStyle w:val="TextoNormal"/>
      </w:pPr>
      <w:r>
        <w:t>En la STC 166/2012, en relación con el concreto inciso del artículo 30 de la Ley catalana 3/1993, de 5 de marzo, del estatuto del consumidor, que establecía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 afirmamos que el precepto cuestionado posponía “la calificación de las infracciones a un momento aplicativo posterior y, por ende, externo a la previsión legal en contra de la vertiente material del derecho a la legalidad sancionadora recogido en el artículo 25.1 CE”.</w:t>
      </w:r>
    </w:p>
    <w:p w:rsidR="0085709A" w:rsidRDefault="0085709A" w:rsidP="0085709A">
      <w:pPr>
        <w:pStyle w:val="TextoNormal"/>
      </w:pPr>
    </w:p>
    <w:p w:rsidR="0085709A" w:rsidRDefault="0085709A" w:rsidP="0085709A">
      <w:pPr>
        <w:pStyle w:val="TextoNormal"/>
      </w:pPr>
      <w:r>
        <w:t xml:space="preserve">Tales conclusiones son también trasladables al art. 50.1 del texto refundido de la Ley general para la defensa de los consumidores y usuarios, aprobado por Real Decreto Legislativo 1/2007, de 16 de noviembre, cuya similitud con aquél —como con acierto ha puesto de manifiesto el Ministerio Fiscal—, es evidente, al señalar que “las infracciones podrán calificarse por las Administraciones públicas competentes como leves, graves y muy graves, </w:t>
      </w:r>
      <w:r>
        <w:lastRenderedPageBreak/>
        <w:t>atendiendo a los criterios de riesgo para la salud, posición en el mercado del infractor, cuantía del beneficio obtenido, grado de intencionalidad, gravedad de la alteración social producida, generalización de la infracción y reincidencia”. A tal conclusión no se le puede oponer, como pretende el Abogado del Estado, el carácter básico de la norma, pues dada la inmediata aplicación del precepto cuestionado, dicha naturaleza es irrelevante a los efectos de resolver la controversia constitucional planteada.</w:t>
      </w:r>
    </w:p>
    <w:p w:rsidR="0085709A" w:rsidRDefault="0085709A" w:rsidP="0085709A">
      <w:pPr>
        <w:pStyle w:val="TextoNormal"/>
      </w:pPr>
    </w:p>
    <w:p w:rsidR="0085709A" w:rsidRDefault="0085709A" w:rsidP="0085709A">
      <w:pPr>
        <w:pStyle w:val="TextoNormal"/>
      </w:pPr>
      <w:r>
        <w:t>Las conclusiones anteriores determinan la inconstitucionalidad y consiguiente nulidad del art. 50.1 del texto refundido de la Ley general para la defensa de los consumidores y usuarios, aprobado por Real Decreto Legislativo 1/2007, de 16 de noviembre.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presente cuestión de inconstitucionalidad y, en su virtud, declarar inconstitucional y nulo el artículo art. 50.1 del texto refundido de la Ley general para la defensa de los consumidores y usuarios, aprobado por Real Decreto Legislativo 1/2007, de 16 de noviembre que establece que “las infracciones podrán calificarse por las Administraciones públicas competentes como leves, graves y muy graves, atendiendo a los criterios de riesgo para la salud, posición en el mercado del infractor, cuantía del beneficio obtenido, grado de intencionalidad, gravedad de la alteración social producida, generalización de la infracción y reincidencia”.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 w:name="SENTENCIA_2015_11"/>
      <w:r>
        <w:lastRenderedPageBreak/>
        <w:t>SENTENCIA 11/2015, de 5 de febrero de 2015</w:t>
      </w:r>
    </w:p>
    <w:bookmarkEnd w:id="14"/>
    <w:p w:rsidR="0085709A" w:rsidRDefault="0085709A" w:rsidP="0085709A">
      <w:pPr>
        <w:pStyle w:val="TtuloResolucin"/>
      </w:pPr>
      <w:r>
        <w:t>Pleno</w:t>
      </w:r>
    </w:p>
    <w:p w:rsidR="0085709A" w:rsidRDefault="0085709A" w:rsidP="0085709A">
      <w:pPr>
        <w:pStyle w:val="TtuloBOE"/>
      </w:pPr>
      <w:r>
        <w:t>(BOE núm. 52, de 2 de marzo de 2015)</w:t>
      </w:r>
    </w:p>
    <w:p w:rsidR="0085709A" w:rsidRDefault="0085709A" w:rsidP="0085709A">
      <w:pPr>
        <w:pStyle w:val="TextoNormalCentrado"/>
      </w:pPr>
      <w:r>
        <w:t>ECLI:ES:TC:2015:11</w:t>
      </w:r>
    </w:p>
    <w:p w:rsidR="0085709A" w:rsidRDefault="0085709A" w:rsidP="0085709A">
      <w:pPr>
        <w:pStyle w:val="TextoNormalCentrado"/>
      </w:pPr>
    </w:p>
    <w:p w:rsidR="0085709A" w:rsidRDefault="0085709A" w:rsidP="0085709A">
      <w:pPr>
        <w:pStyle w:val="SntesisDescriptiva"/>
      </w:pPr>
      <w:r>
        <w:t>Recurso de inconstitucionalidad 76-2012. Interpuesto por el Gobierno de Canarias en relación con el artículo 6 de la Ley 35/2011, de 4 de octubre, sobre titularidad compartida de las explotaciones agrarias.</w:t>
      </w:r>
    </w:p>
    <w:p w:rsidR="0085709A" w:rsidRDefault="0085709A" w:rsidP="0085709A">
      <w:pPr>
        <w:pStyle w:val="SntesisDescriptiva"/>
      </w:pPr>
    </w:p>
    <w:p w:rsidR="0085709A" w:rsidRDefault="0085709A" w:rsidP="0085709A">
      <w:pPr>
        <w:pStyle w:val="SntesisAnaltica"/>
      </w:pPr>
      <w:r>
        <w:t>Competencias sobre legislación civil y ordenación general de la economía: constitucionalidad del precepto legal estatal que prevé la creación de un registro autonómico sobre explotaciones agrarias de titularidad compartida (STC 112/2013).</w:t>
      </w:r>
    </w:p>
    <w:p w:rsidR="0085709A" w:rsidRDefault="0085709A" w:rsidP="0085709A">
      <w:pPr>
        <w:pStyle w:val="SntesisAnaltica"/>
      </w:pPr>
    </w:p>
    <w:p w:rsidR="0085709A" w:rsidRDefault="0085709A" w:rsidP="0085709A">
      <w:pPr>
        <w:pStyle w:val="Extracto"/>
      </w:pPr>
      <w:r>
        <w:t>1.</w:t>
      </w:r>
      <w:r>
        <w:tab/>
        <w:t>Establecer una normativa básica sobre el diseño del sistema de inscripción previa, con carácter constitutivo, de las titularidades compartidas de explotaciones agrarias, así como de los registros autonómicos que se crean a su tenor, no excede los límites competenciales que la doctrina constitucional reconoce al Estado en este ámbito [FJ 7].</w:t>
      </w:r>
    </w:p>
    <w:p w:rsidR="0085709A" w:rsidRDefault="0085709A" w:rsidP="0085709A">
      <w:pPr>
        <w:pStyle w:val="Extracto"/>
      </w:pPr>
    </w:p>
    <w:p w:rsidR="0085709A" w:rsidRDefault="0085709A" w:rsidP="0085709A">
      <w:pPr>
        <w:pStyle w:val="Extracto"/>
      </w:pPr>
      <w:r>
        <w:t>2.</w:t>
      </w:r>
      <w:r>
        <w:tab/>
        <w:t>La competencia del Estado sobre bases y coordinación de la planificación general de la actividad económica fundamenta la creación de un registro en cada Comunidad Autónoma sobre explotaciones agrarias de titularidad compartida, a fin de asegurar la posibilidad de acceder a los beneficios que las normas prevean (STC 112/2013) [FJ 6].</w:t>
      </w:r>
    </w:p>
    <w:p w:rsidR="0085709A" w:rsidRDefault="0085709A" w:rsidP="0085709A">
      <w:pPr>
        <w:pStyle w:val="Extracto"/>
      </w:pPr>
    </w:p>
    <w:p w:rsidR="0085709A" w:rsidRDefault="0085709A" w:rsidP="0085709A">
      <w:pPr>
        <w:pStyle w:val="Extracto"/>
      </w:pPr>
      <w:r>
        <w:t>3.</w:t>
      </w:r>
      <w:r>
        <w:tab/>
        <w:t>El establecimiento de registro administrativo en cada Comunidad Autónoma, instaurando como básico el carácter constitutivo de la inscripción en el mismo, es respetuoso con el ámbito de distribución competencial entre el Estado y la Comunidad Autónoma [FJ 6].</w:t>
      </w:r>
    </w:p>
    <w:p w:rsidR="0085709A" w:rsidRDefault="0085709A" w:rsidP="0085709A">
      <w:pPr>
        <w:pStyle w:val="Extracto"/>
      </w:pPr>
    </w:p>
    <w:p w:rsidR="0085709A" w:rsidRDefault="0085709A" w:rsidP="0085709A">
      <w:pPr>
        <w:pStyle w:val="Extracto"/>
      </w:pPr>
      <w:r>
        <w:t>4.</w:t>
      </w:r>
      <w:r>
        <w:tab/>
        <w:t>Es plenamente constitucional que el Estado, a través del establecimiento de un régimen uniforme de inscripción así como de la determinación de los datos informativos que deban constar en el respectivo registro, trate de garantizar la homogeneidad de la materia registrada en todo el territorio nacional, con la finalidad de que ello también permita un tratamiento uniforme [FJ 7].</w:t>
      </w:r>
    </w:p>
    <w:p w:rsidR="0085709A" w:rsidRDefault="0085709A" w:rsidP="0085709A">
      <w:pPr>
        <w:pStyle w:val="Extracto"/>
      </w:pPr>
    </w:p>
    <w:p w:rsidR="0085709A" w:rsidRDefault="0085709A" w:rsidP="0085709A">
      <w:pPr>
        <w:pStyle w:val="Extracto"/>
      </w:pPr>
      <w:r>
        <w:t>5.</w:t>
      </w:r>
      <w:r>
        <w:tab/>
        <w:t>La obligación de inscripción en un registro público no infringe las competencias autonómicas puesto que se trata de establecer un requisito que deben cumplir los solicitantes y los requisitos para acceder a las ayudas constituyen uno de los aspectos centrales de toda regulación subvencional que se orientan a garantizar igualdad de trato a todos los interesados en el territorio nacional (STC 112/2013) [FJ 7].</w:t>
      </w:r>
    </w:p>
    <w:p w:rsidR="0085709A" w:rsidRDefault="0085709A" w:rsidP="0085709A">
      <w:pPr>
        <w:pStyle w:val="Extracto"/>
      </w:pPr>
    </w:p>
    <w:p w:rsidR="0085709A" w:rsidRDefault="0085709A" w:rsidP="0085709A">
      <w:pPr>
        <w:pStyle w:val="Extracto"/>
      </w:pPr>
      <w:r>
        <w:t>6.</w:t>
      </w:r>
      <w:r>
        <w:tab/>
        <w:t>La Ley sobre titularidad compartida de las explotaciones agrarias fue válidamente dictada como medida dirigida a hacer efectiva la igualdad de mujeres y hombres en el sector agrario y conseguir el pleno reconocimiento del trabajo de las mujeres en el ámbito rural, a través del reconocimiento jurídico y económico derivado de su participación en la actividad agraria [FJ 2].</w:t>
      </w:r>
    </w:p>
    <w:p w:rsidR="0085709A" w:rsidRDefault="0085709A" w:rsidP="0085709A">
      <w:pPr>
        <w:pStyle w:val="Extracto"/>
      </w:pPr>
    </w:p>
    <w:p w:rsidR="0085709A" w:rsidRDefault="0085709A" w:rsidP="0085709A">
      <w:pPr>
        <w:pStyle w:val="Extracto"/>
      </w:pPr>
      <w:r>
        <w:t>7.</w:t>
      </w:r>
      <w:r>
        <w:tab/>
        <w:t>El art. 149.1 atribuye al Estado la legislación civil, sin perjuicio de la conservación, modificación y desarrollo por las Comunidades Autónomas de los derechos civiles forales o especiales, allí donde existan; pero, reservando al Estado ‘en todo caso’, entre otras materias, la ordenación de los registros exclusivamente de carácter civil.  (STC 103/1999) [FJ 2].</w:t>
      </w:r>
    </w:p>
    <w:p w:rsidR="0085709A" w:rsidRDefault="0085709A" w:rsidP="0085709A">
      <w:pPr>
        <w:pStyle w:val="Extracto"/>
      </w:pPr>
    </w:p>
    <w:p w:rsidR="0085709A" w:rsidRDefault="0085709A" w:rsidP="0085709A">
      <w:pPr>
        <w:pStyle w:val="Extracto"/>
      </w:pPr>
      <w:r>
        <w:t>8.</w:t>
      </w:r>
      <w:r>
        <w:tab/>
        <w:t>Los únicos efectos civiles del régimen de titularidad agraria compartida son los relativos a la liquidación económica que tenga lugar a la extinción de aquella titularidad que, sin embargo, no son esenciales a la legislación civil, pues no modifican régimen económico matrimonial ni sucesorio alguno, ni las normas de administración, representación y responsabilidad de la titularidad compartida [FJ 2].</w:t>
      </w:r>
    </w:p>
    <w:p w:rsidR="0085709A" w:rsidRDefault="0085709A" w:rsidP="0085709A">
      <w:pPr>
        <w:pStyle w:val="Extracto"/>
      </w:pPr>
    </w:p>
    <w:p w:rsidR="0085709A" w:rsidRDefault="0085709A" w:rsidP="0085709A">
      <w:pPr>
        <w:pStyle w:val="Extracto"/>
      </w:pPr>
      <w:r>
        <w:t>9.</w:t>
      </w:r>
      <w:r>
        <w:tab/>
        <w:t>La Comunidad Autónoma de Canarias tiene reconocida en su Estatuto de Autonomía la competencia exclusiva sobre agricultura y ganadería, de acuerdo con las bases y la ordenación de la actividad económica general y la política monetaria y crediticia estatal sin perjuicio de la competencia estatal general sobre la ordenación general de la economía [FJ 2].</w:t>
      </w:r>
    </w:p>
    <w:p w:rsidR="0085709A" w:rsidRDefault="0085709A" w:rsidP="0085709A">
      <w:pPr>
        <w:pStyle w:val="Extracto"/>
      </w:pPr>
    </w:p>
    <w:p w:rsidR="0085709A" w:rsidRDefault="0085709A" w:rsidP="0085709A">
      <w:pPr>
        <w:pStyle w:val="Extracto"/>
      </w:pPr>
      <w:r>
        <w:t>10.</w:t>
      </w:r>
      <w:r>
        <w:tab/>
        <w:t>La asunción de una competencia como ‘exclusiva’ sobre un subsector económico por parte de una Comunidad Autónoma en su Estatuto no excluye la competencia estatal para establecer las bases y la coordinación de ese subsector, siempre que el fin perseguido responda efectivamente a un objetivo de planificación económica (STC 74/2014) [FJ 2, 3].</w:t>
      </w:r>
    </w:p>
    <w:p w:rsidR="0085709A" w:rsidRDefault="0085709A" w:rsidP="0085709A">
      <w:pPr>
        <w:pStyle w:val="Extracto"/>
      </w:pPr>
    </w:p>
    <w:p w:rsidR="0085709A" w:rsidRDefault="0085709A" w:rsidP="0085709A">
      <w:pPr>
        <w:pStyle w:val="Extracto"/>
      </w:pPr>
      <w:r>
        <w:t>11.</w:t>
      </w:r>
      <w:r>
        <w:tab/>
        <w:t>El Estado retiene ciertas facultades de supervisión en aquellos aspectos sectoriales de la economía que pudieran ser objeto de competencia exclusiva de las Comunidades Autónomas, que no pueden suponer desfiguración del reparto constitucional y estatutario de competencias (SSTC 77/2004, 74/2014)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inconstitucionalidad núm. 76-2012, interpuesto por el Gobierno de Canarias contra el artículo 6 de la Ley 35/2011, de 4 de octubre, sobre titularidad compartida </w:t>
      </w:r>
      <w:r>
        <w:lastRenderedPageBreak/>
        <w:t>de las explotaciones agrarias, ha comparecido y formulado alegaciones el Abogado del Estado en la representación que legalmente ostenta.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con fecha 5 de enero de 2012, el Gobierno de Canarias interpone recurso de inconstitucionalidad contra el artículo 6 de la Ley 35/2011, de 4 de octubre, sobre titularidad compartida de las explotaciones agrarias. Dicha Ley ha sido objeto de publicación en el “Boletín Oficial del Estado” núm. 240, de 5 de octubre de 2011.</w:t>
      </w:r>
    </w:p>
    <w:p w:rsidR="0085709A" w:rsidRDefault="0085709A" w:rsidP="0085709A">
      <w:pPr>
        <w:pStyle w:val="TextoNormal"/>
      </w:pPr>
    </w:p>
    <w:p w:rsidR="0085709A" w:rsidRDefault="0085709A" w:rsidP="0085709A">
      <w:pPr>
        <w:pStyle w:val="TextoNormal"/>
      </w:pPr>
      <w:r>
        <w:t xml:space="preserve">La Directora general del servicio jurídico del Gobierno de Canarias en representación de éste, comienza su escrito señalando que el precepto impugnado, que establece la regulación del “registro de titularidad compartida” de carácter constitutivo y cuya llevanza se atribuye a las Comunidades Autónomas, pretende ampararse en la competencia estatal para dictar la legislación básica en materia de bases y coordinación de la planificación general de la actividad económica del art. 149.1.13 CE, separándose, por tanto, del objetivo general de promoción de la igualdad que la norma legal, considerada en su conjunto, persigue. A este respecto la representación procesal del Gobierno de Canarias indica que el título competencial invocado no ampara una regulación como la contemplada en el precepto impugnado excediendo su contenido de lo que ha de considerarse básico e invadiendo la competencia exclusiva autonómica en materia de agricultura. En tal sentido, tras examinar el contenido de la Ley 35/2011, el escrito de interposición considera que la normativa legal acertada hubiera sido aquella que, después de regular la figura jurídica de la titularidad compartida de las explotaciones agrarias y asumiendo que el objetivo de la norma es atribuir a dicha figura algo más que efectos puramente administrativos, dispusiera la creación de un registro por el Estado de acuerdo con su competencia en materia de legislación civil y, en particular, en materia de ordenación de los registros e instrumentos públicos del art. 149.1.8 CE. Por el contrario, según el escrito de interposición, el artículo 6 obliga a las Comunidades Autónomas a establecer un registro con carácter constitutivo, al condicionar de modo expreso la producción de todos los efectos jurídicos de la titularidad compartida de las explotaciones agrarias a la previa inscripción en el registro que haya de crearse al efecto. Esta obligación se considera vulneradora de las competencias autonómicas en materia de agricultura, en la medida en que el minucioso detalle de la regulación estatal excede de lo que puede considerarse materialmente básico </w:t>
      </w:r>
      <w:r w:rsidRPr="0085709A">
        <w:rPr>
          <w:i/>
        </w:rPr>
        <w:t>ex</w:t>
      </w:r>
      <w:r>
        <w:t xml:space="preserve"> art. 149.1.13 CE, dado que el legislador estatal no ha dejado margen alguno a la capacidad de decisión autonómica en lo que a dicho registro respecta, al establecer su existencia, el carácter constitutivo de las inscripciones, el contenido de las declaraciones, el plazo para efectuar la inscripción así como el efecto del silencio y otras normas de funcionamiento.</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Mediante providencia de 31 de enero de 2012 el Pleno del Tribunal Constitucional, a propuesta de la Sección Segunda, acordó admitir a trámite el presente recurso de inconstitucionalidad y dar traslado de la demanda y documentos presentados, conforme al art. 34 de la Ley Orgánica del Tribunal Constitucional (LOTC), al Congreso de los Diputados y al Senado, por conducto de sus Presidentes, así como al Gobierno, por conducto del Ministro </w:t>
      </w:r>
      <w:r>
        <w:lastRenderedPageBreak/>
        <w:t>de Justicia, al objeto de que, en el plazo de quince días, pudieran personarse en el procedimiento y formular alegaciones. Asimismo, se acordó publicar la incoación del recurso en el “Boletín Oficial del Estado”, lo que tuvo lugar en el número 32 del día 7 de febrero siguiente.</w:t>
      </w:r>
    </w:p>
    <w:p w:rsidR="0085709A" w:rsidRDefault="0085709A" w:rsidP="0085709A">
      <w:pPr>
        <w:pStyle w:val="TextoNormal"/>
      </w:pPr>
    </w:p>
    <w:p w:rsidR="0085709A" w:rsidRDefault="0085709A" w:rsidP="0085709A">
      <w:pPr>
        <w:pStyle w:val="TextoNormal"/>
      </w:pPr>
      <w:r w:rsidRPr="0085709A">
        <w:rPr>
          <w:rStyle w:val="NumeroAFNegritaCaracter"/>
        </w:rPr>
        <w:t>3</w:t>
      </w:r>
      <w:r>
        <w:t>. El día 6 de febrero de 2012 el Abogado del Estado, en la representación que legalmente ostenta, se dirigió al Tribunal personándose en el proceso y solicitó una prórroga del plazo por ocho días para formular alegaciones, habida cuenta del número de asuntos que pendían ante esa Abogacía del Estado.</w:t>
      </w:r>
    </w:p>
    <w:p w:rsidR="0085709A" w:rsidRDefault="0085709A" w:rsidP="0085709A">
      <w:pPr>
        <w:pStyle w:val="TextoNormal"/>
      </w:pPr>
    </w:p>
    <w:p w:rsidR="0085709A" w:rsidRDefault="0085709A" w:rsidP="0085709A">
      <w:pPr>
        <w:pStyle w:val="TextoNormal"/>
      </w:pPr>
      <w:r w:rsidRPr="0085709A">
        <w:rPr>
          <w:rStyle w:val="NumeroAFNegritaCaracter"/>
        </w:rPr>
        <w:t>4</w:t>
      </w:r>
      <w:r>
        <w:t>. El día 7 de febrero de 2012 el Pleno de este Tribunal acordó incorporar a las actuaciones el antedicho escrito del Abogado del Estado y concederle la prórroga solicitada para formular las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Con fecha 9 de febrero de 2012 tuvo entrada en el Registro General de este Tribunal un escrito del Presidente del Congreso de los Diputados comunicando el acuerdo de la Mesa de la Cámara de personarse en el proceso y ofrecer su colaboración.</w:t>
      </w:r>
    </w:p>
    <w:p w:rsidR="0085709A" w:rsidRDefault="0085709A" w:rsidP="0085709A">
      <w:pPr>
        <w:pStyle w:val="TextoNormal"/>
      </w:pPr>
    </w:p>
    <w:p w:rsidR="0085709A" w:rsidRDefault="0085709A" w:rsidP="0085709A">
      <w:pPr>
        <w:pStyle w:val="TextoNormal"/>
      </w:pPr>
      <w:r w:rsidRPr="0085709A">
        <w:rPr>
          <w:rStyle w:val="NumeroAFNegritaCaracter"/>
        </w:rPr>
        <w:t>6</w:t>
      </w:r>
      <w:r>
        <w:t>. El día 15 de febrero de 2012, se registró en este Tribunal un escrito del Presidente del Senado comunicando el acuerdo de la Mesa de la Cámara de personarse en el proceso y ofrecer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6 de marzo de 2012, el Abogado del Estado, en la representación y defensa que legalmente ostenta, presentó escrito, oponiéndose al recurso de inconstitucionalidad planteado y formulando las alegaciones que resumidamente se exponen.</w:t>
      </w:r>
    </w:p>
    <w:p w:rsidR="0085709A" w:rsidRDefault="0085709A" w:rsidP="0085709A">
      <w:pPr>
        <w:pStyle w:val="TextoNormal"/>
      </w:pPr>
    </w:p>
    <w:p w:rsidR="0085709A" w:rsidRDefault="0085709A" w:rsidP="0085709A">
      <w:pPr>
        <w:pStyle w:val="TextoNormal"/>
      </w:pPr>
      <w:r>
        <w:t>a) Señala, en primer lugar y a efectos de lo dispuesto en el art. 33.2 LOTC, que el día 13 de diciembre de 2011, el Gobierno de Canarias, a través de la figura del Comisionado para el desarrollo del autogobierno y las reformas institucionales, figura creada por Decreto 317/2011, de 24 de noviembre, en la Presidencia de Gobierno de Canarias, dirigió a la Dirección General de Desarrollo Autonómico del entonces Ministerio de Política Territorial y Administración Pública, una solicitud para la apertura de las negociaciones previstas en el citado artículo de la Ley Orgánica del Tribunal Constitucional, por entender que la Ley 35/2011, de 4 de octubre, sobre titularidad compartida de las explotaciones agrarias y, en concreto, su artículo 6 implicaba una extralimitación competencial del Estado. En el momento de formularse la solicitud el Gobierno del Estado estaba en funciones quedando en suspenso la contestación por éste, sin que el Gobierno entrante adoptara decisión alguna al respecto, por lo que el Gobierno de la Comunidad Autónoma de Canarias formuló recurso de inconstitucionalidad en el último día del plazo para su presentación.</w:t>
      </w:r>
    </w:p>
    <w:p w:rsidR="0085709A" w:rsidRDefault="0085709A" w:rsidP="0085709A">
      <w:pPr>
        <w:pStyle w:val="TextoNormal"/>
      </w:pPr>
    </w:p>
    <w:p w:rsidR="0085709A" w:rsidRDefault="0085709A" w:rsidP="0085709A">
      <w:pPr>
        <w:pStyle w:val="TextoNormal"/>
      </w:pPr>
      <w:r>
        <w:t xml:space="preserve">b) Continúa la Abogacía del Estado recordando precedentes normativos de la Ley 35/2011 y concretamente de su artículo 6 ahora impugnado, con cita de la Ley 19/1995, de 4 de julio, de modernización de las explotaciones agrarias, recordando que la base competencial de su artículo 4, regulador de las explotaciones familiares, se encuentra en el art. 149.1.13 CE, recordando asimismo la Ley Orgánica 3/2007, de 23 de marzo, para la igualdad efectiva de hombres y mujeres, la Ley 45/2007, de 13 de diciembre, para el desarrollo sostenible del medio rural, en cuyo desarrollo parcial, fue dictado el Real Decreto 297/2009, </w:t>
      </w:r>
      <w:r>
        <w:lastRenderedPageBreak/>
        <w:t>de 6 de marzo, sobre titularidad compartida en las explotaciones agrarias, sin que conste que dicha norma reglamentaria haya sido objeto de impugnación alguna por la Comunidad Autónoma de Canarias.</w:t>
      </w:r>
    </w:p>
    <w:p w:rsidR="0085709A" w:rsidRDefault="0085709A" w:rsidP="0085709A">
      <w:pPr>
        <w:pStyle w:val="TextoNormal"/>
      </w:pPr>
    </w:p>
    <w:p w:rsidR="0085709A" w:rsidRDefault="0085709A" w:rsidP="0085709A">
      <w:pPr>
        <w:pStyle w:val="TextoNormal"/>
      </w:pPr>
      <w:r>
        <w:t>c) Alega la Abogacía del Estado que el objeto de la Ley impugnada es potenciar la institución de la titularidad compartida de las explotaciones agrarias, en favor de la mujer trabajadora en el medio rural, removiendo los obstáculos de rango legal existentes mediante la modificación y novación del ordenamiento jurídico, pero sin apartarse del diseño establecido en el Real Decreto 297/2009, respecto del que existe una práctica continuidad material y formal en la materia registral regulada por el precepto legal impugnado, dado que es la comunicación de la declaración de voluntad que los interesados realizan a la Comunidad Autónoma la que constituye la titularidad compartida, como así disponía el Real Decreto repetido, estableciendo la Ley impugnada que la producción de efectos jurídicos de la titularidad compartida se retrotrae al momento de su comunicación a la Comunidad Autónoma, que la inscribirá en un registro propio constitutivo y dará cuenta a un registro estatal de naturaleza declarativa, a efectos informativos y de coordinación.</w:t>
      </w:r>
    </w:p>
    <w:p w:rsidR="0085709A" w:rsidRDefault="0085709A" w:rsidP="0085709A">
      <w:pPr>
        <w:pStyle w:val="TextoNormal"/>
      </w:pPr>
    </w:p>
    <w:p w:rsidR="0085709A" w:rsidRDefault="0085709A" w:rsidP="0085709A">
      <w:pPr>
        <w:pStyle w:val="TextoNormal"/>
      </w:pPr>
      <w:r>
        <w:t>Añade el Abogado del Estado que los registros que el art. 6 de la Ley 35/2011 ordena crear son fundamentalmente unos registros administrativos, no distintos en su naturaleza esencial del registro estatal de coordinación que se prevé en el artículo 7 de la misma Ley y sostiene que el hecho de que la inscripción en los registros autonómicos a los que se refiere el precepto impugnado, pueda producir colateralmente alguna consecuencia o efecto jurídico en el ámbito del Derecho privado, como los relativos a la administración, representación o responsabilidad reguladas en el artículo 4, no es argumento suficiente para considerar que dicho registro deba ampararse en el título competencial del art. 149.1.8 CE, debiendo entenderse prevalente el del art. 149.1.13 CE.</w:t>
      </w:r>
    </w:p>
    <w:p w:rsidR="0085709A" w:rsidRDefault="0085709A" w:rsidP="0085709A">
      <w:pPr>
        <w:pStyle w:val="TextoNormal"/>
      </w:pPr>
    </w:p>
    <w:p w:rsidR="0085709A" w:rsidRDefault="0085709A" w:rsidP="0085709A">
      <w:pPr>
        <w:pStyle w:val="TextoNormal"/>
      </w:pPr>
      <w:r>
        <w:t>d) Finalmente, el Abogado del Estado entiende que no ha existido extralimitación por el Estado del título competencial del artículo 149.1 13, pues el Estado puede y debe establecer, con carácter básico, la obligatoriedad registral de determinadas actividades en relación con registros radicados en la Comunidad Autónoma, definiendo el contenido estructural de los mismos de forma que respondan todos ellos a unos requisitos mínimos que permitan un tratamiento uniforme, en este caso de la institución de la titularidad compartida de las explotaciones agrarias en toda España, evitando así contradicciones y disfunciones en el sistema.</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3 de febrero de 2015, se señaló para deliberación y votación de la presente de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se interpone por el Gobierno de Canarias contra artículo 6 de la Ley 35/2011, de 4 de octubre, sobre titularidad compartida de las explotaciones agrarias.</w:t>
      </w:r>
    </w:p>
    <w:p w:rsidR="0085709A" w:rsidRDefault="0085709A" w:rsidP="0085709A">
      <w:pPr>
        <w:pStyle w:val="TextoNormal"/>
      </w:pPr>
    </w:p>
    <w:p w:rsidR="0085709A" w:rsidRDefault="0085709A" w:rsidP="0085709A">
      <w:pPr>
        <w:pStyle w:val="TextoNormal"/>
      </w:pPr>
      <w:r>
        <w:t>El precepto impugnado establece lo siguiente:</w:t>
      </w:r>
    </w:p>
    <w:p w:rsidR="0085709A" w:rsidRDefault="0085709A" w:rsidP="0085709A">
      <w:pPr>
        <w:pStyle w:val="TextoNormal"/>
      </w:pPr>
    </w:p>
    <w:p w:rsidR="0085709A" w:rsidRDefault="0085709A" w:rsidP="0085709A">
      <w:pPr>
        <w:pStyle w:val="TextoNormal"/>
      </w:pPr>
      <w:r>
        <w:lastRenderedPageBreak/>
        <w:t>“Artículo 6. Registro de titularidad compartida.</w:t>
      </w:r>
    </w:p>
    <w:p w:rsidR="0085709A" w:rsidRDefault="0085709A" w:rsidP="0085709A">
      <w:pPr>
        <w:pStyle w:val="TextoNormal"/>
      </w:pPr>
    </w:p>
    <w:p w:rsidR="0085709A" w:rsidRDefault="0085709A" w:rsidP="0085709A">
      <w:pPr>
        <w:pStyle w:val="TextoNormal"/>
      </w:pPr>
      <w:r>
        <w:t>1. Para que la titularidad compartida de las explotaciones agrarias produzca todos sus efectos jurídicos será precisa su inscripción previa en el Registro constituido al efecto por la correspondiente Comunidad Autónoma.</w:t>
      </w:r>
    </w:p>
    <w:p w:rsidR="0085709A" w:rsidRDefault="0085709A" w:rsidP="0085709A">
      <w:pPr>
        <w:pStyle w:val="TextoNormal"/>
      </w:pPr>
    </w:p>
    <w:p w:rsidR="0085709A" w:rsidRDefault="0085709A" w:rsidP="0085709A">
      <w:pPr>
        <w:pStyle w:val="TextoNormal"/>
      </w:pPr>
      <w:r>
        <w:t>2. La inscripción en el Registro a que se refiere el apartado anterior tendrá carácter constitutivo y se realizará mediante la presentación de una declaración conjunta en la que hagan constar lo siguiente:</w:t>
      </w:r>
    </w:p>
    <w:p w:rsidR="0085709A" w:rsidRDefault="0085709A" w:rsidP="0085709A">
      <w:pPr>
        <w:pStyle w:val="TextoNormal"/>
      </w:pPr>
    </w:p>
    <w:p w:rsidR="0085709A" w:rsidRDefault="0085709A" w:rsidP="0085709A">
      <w:pPr>
        <w:pStyle w:val="TextoNormal"/>
      </w:pPr>
      <w:r>
        <w:t>a) Datos de identificación personal.</w:t>
      </w:r>
    </w:p>
    <w:p w:rsidR="0085709A" w:rsidRDefault="0085709A" w:rsidP="0085709A">
      <w:pPr>
        <w:pStyle w:val="TextoNormal"/>
      </w:pPr>
    </w:p>
    <w:p w:rsidR="0085709A" w:rsidRDefault="0085709A" w:rsidP="0085709A">
      <w:pPr>
        <w:pStyle w:val="TextoNormal"/>
      </w:pPr>
      <w:r>
        <w:t>b) Datos de identificación de la explotación.</w:t>
      </w:r>
    </w:p>
    <w:p w:rsidR="0085709A" w:rsidRDefault="0085709A" w:rsidP="0085709A">
      <w:pPr>
        <w:pStyle w:val="TextoNormal"/>
      </w:pPr>
    </w:p>
    <w:p w:rsidR="0085709A" w:rsidRDefault="0085709A" w:rsidP="0085709A">
      <w:pPr>
        <w:pStyle w:val="TextoNormal"/>
      </w:pPr>
      <w:r>
        <w:t>c) Datos de los bienes y derechos que conforman la explotación agraria de titularidad compartida. En particular, en el caso de bienes inmuebles y de derechos reales sobre los mismos, se deberá especificar la referencia catastral y cualesquiera otros datos que pudieran resultar de la normativa vigente.</w:t>
      </w:r>
    </w:p>
    <w:p w:rsidR="0085709A" w:rsidRDefault="0085709A" w:rsidP="0085709A">
      <w:pPr>
        <w:pStyle w:val="TextoNormal"/>
      </w:pPr>
    </w:p>
    <w:p w:rsidR="0085709A" w:rsidRDefault="0085709A" w:rsidP="0085709A">
      <w:pPr>
        <w:pStyle w:val="TextoNormal"/>
      </w:pPr>
      <w:r>
        <w:t>d) Número de Identificación Fiscal asignado por la Administración tributaria competente conforme al artículo 9 de esta Ley.</w:t>
      </w:r>
    </w:p>
    <w:p w:rsidR="0085709A" w:rsidRDefault="0085709A" w:rsidP="0085709A">
      <w:pPr>
        <w:pStyle w:val="TextoNormal"/>
      </w:pPr>
    </w:p>
    <w:p w:rsidR="0085709A" w:rsidRDefault="0085709A" w:rsidP="0085709A">
      <w:pPr>
        <w:pStyle w:val="TextoNormal"/>
      </w:pPr>
      <w:r>
        <w:t>e) Datos identificativos de la cuenta bancaria asociada a la titularidad compartida.</w:t>
      </w:r>
    </w:p>
    <w:p w:rsidR="0085709A" w:rsidRDefault="0085709A" w:rsidP="0085709A">
      <w:pPr>
        <w:pStyle w:val="TextoNormal"/>
      </w:pPr>
    </w:p>
    <w:p w:rsidR="0085709A" w:rsidRDefault="0085709A" w:rsidP="0085709A">
      <w:pPr>
        <w:pStyle w:val="TextoNormal"/>
      </w:pPr>
      <w:r>
        <w:t>f) Datos identificativos del representante, en su caso, de la titularidad compartida.</w:t>
      </w:r>
    </w:p>
    <w:p w:rsidR="0085709A" w:rsidRDefault="0085709A" w:rsidP="0085709A">
      <w:pPr>
        <w:pStyle w:val="TextoNormal"/>
      </w:pPr>
    </w:p>
    <w:p w:rsidR="0085709A" w:rsidRDefault="0085709A" w:rsidP="0085709A">
      <w:pPr>
        <w:pStyle w:val="TextoNormal"/>
      </w:pPr>
      <w:r>
        <w:t>g) Certificado de matrimonio o certificado de inscripción de pareja de hecho, o aseveración de vinculación de análoga relación de afectividad incluida en la declaración conjunta.</w:t>
      </w:r>
    </w:p>
    <w:p w:rsidR="0085709A" w:rsidRDefault="0085709A" w:rsidP="0085709A">
      <w:pPr>
        <w:pStyle w:val="TextoNormal"/>
      </w:pPr>
    </w:p>
    <w:p w:rsidR="0085709A" w:rsidRDefault="0085709A" w:rsidP="0085709A">
      <w:pPr>
        <w:pStyle w:val="TextoNormal"/>
      </w:pPr>
      <w:r>
        <w:t>La declaración conjunta podrá asimismo presentarse a través del sistema de firma electrónica, de acuerdo con lo establecido en la Ley 11/2007, de 22 de junio, de acceso electrónico de los ciudadanos a los Servicios Públicos.</w:t>
      </w:r>
    </w:p>
    <w:p w:rsidR="0085709A" w:rsidRDefault="0085709A" w:rsidP="0085709A">
      <w:pPr>
        <w:pStyle w:val="TextoNormal"/>
      </w:pPr>
    </w:p>
    <w:p w:rsidR="0085709A" w:rsidRDefault="0085709A" w:rsidP="0085709A">
      <w:pPr>
        <w:pStyle w:val="TextoNormal"/>
      </w:pPr>
      <w:r>
        <w:t>3. En el plazo de tres meses se efectuarán, por el Registro correspondiente, las comprobaciones que fueren pertinentes y efectuada la inscripción dentro de dicho plazo, sus efectos se retrotraerán al momento de la presentación realizada por las partes a que se refiere el apartado 2. Transcurrido dicho plazo sin contestación denegatoria por parte del Registro se entenderá efectuada la inscripción por silencio administrativo.</w:t>
      </w:r>
    </w:p>
    <w:p w:rsidR="0085709A" w:rsidRDefault="0085709A" w:rsidP="0085709A">
      <w:pPr>
        <w:pStyle w:val="TextoNormal"/>
      </w:pPr>
    </w:p>
    <w:p w:rsidR="0085709A" w:rsidRDefault="0085709A" w:rsidP="0085709A">
      <w:pPr>
        <w:pStyle w:val="TextoNormal"/>
      </w:pPr>
      <w:r>
        <w:t>4. El Registro correspondiente de gestión autonómica expedirá un certificado en el que consten, como mínimo, los datos a que se refiere el apartado 2.”</w:t>
      </w:r>
    </w:p>
    <w:p w:rsidR="0085709A" w:rsidRDefault="0085709A" w:rsidP="0085709A">
      <w:pPr>
        <w:pStyle w:val="TextoNormal"/>
      </w:pPr>
    </w:p>
    <w:p w:rsidR="0085709A" w:rsidRDefault="0085709A" w:rsidP="0085709A">
      <w:pPr>
        <w:pStyle w:val="TextoNormal"/>
      </w:pPr>
      <w:r>
        <w:t>Como ha quedado reflejado con más detalle en los antecedentes de la presente resolución, el Gobierno de Canarias entiende que el artículo 6 no puede encontrar su fundamento en el título competencial del art. 149.1.13 CE por dos motivos:</w:t>
      </w:r>
    </w:p>
    <w:p w:rsidR="0085709A" w:rsidRDefault="0085709A" w:rsidP="0085709A">
      <w:pPr>
        <w:pStyle w:val="TextoNormal"/>
      </w:pPr>
    </w:p>
    <w:p w:rsidR="0085709A" w:rsidRDefault="0085709A" w:rsidP="0085709A">
      <w:pPr>
        <w:pStyle w:val="TextoNormal"/>
      </w:pPr>
      <w:r>
        <w:lastRenderedPageBreak/>
        <w:t>a) Porque si la titularidad compartida constituye un régimen entre particulares que ha de tener su reconocimiento público ante las Administraciones públicas, le corresponderá al Estado crear el registro de esas titularidades de acuerdo con las competencias que ostenta en materia de legislación civil (art. 149.1.8 CE), ya que produce efectos jurídicos sobre los derechos civiles de los titulares de la explotación.</w:t>
      </w:r>
    </w:p>
    <w:p w:rsidR="0085709A" w:rsidRDefault="0085709A" w:rsidP="0085709A">
      <w:pPr>
        <w:pStyle w:val="TextoNormal"/>
      </w:pPr>
    </w:p>
    <w:p w:rsidR="0085709A" w:rsidRDefault="0085709A" w:rsidP="0085709A">
      <w:pPr>
        <w:pStyle w:val="TextoNormal"/>
      </w:pPr>
      <w:r>
        <w:t>b) Porque, al pretender ampararse en la competencia para establecer las bases de la planificación general de la economía (art. 149.1.13 CE), el legislador estatal invade el ámbito competencial autonómico al desconocer que la invocación de este título presupone la existencia de un sector de la economía que trata de ordenar y regular con carácter básico para el conjunto del territorio, desconociendo que, sobre el sector agrario, las Comunidades Autónomas ostentan competencias exclusivas reconocidas constitucional y estatutariamente, excediéndose de lo que este Tribunal ha admitido como bases de la ordenación general de la economía.</w:t>
      </w:r>
    </w:p>
    <w:p w:rsidR="0085709A" w:rsidRDefault="0085709A" w:rsidP="0085709A">
      <w:pPr>
        <w:pStyle w:val="TextoNormal"/>
      </w:pPr>
    </w:p>
    <w:p w:rsidR="0085709A" w:rsidRDefault="0085709A" w:rsidP="0085709A">
      <w:pPr>
        <w:pStyle w:val="TextoNormal"/>
      </w:pPr>
      <w:r>
        <w:t>Para la Abogacía del Estado el precepto impugnado es, sin embargo, plenamente conforme con la Constitución por encontrarse amparado en el título competencial recogido en el art 149.1.13 CE, sobre las bases y coordinación de la planificación general de la actividad económica. La Abogacía del Estado indica que la norma estatal configura la titularidad compartida como un supuesto de explotación empresarial que determina una unidad económica con el sujeto pasivo de la misma, aclarando el artículo 2.2 que no afecta a la titularidad de los bienes, ni al régimen económico de la sociedad conyugal ni al régimen sucesorio, salvo tangencialmente, en lo que resulte de la liquidación económica en los supuestos de extinción de la titularidad compartida. Por ello, dicha representación entiende que los registros que se ordenan crear por el artículo impugnado son registros fundamentalmente administrativos, sin que el hecho de que la inscripción en dichos registros pueda producir colateralmente alguna consecuencia en el ámbito del Derecho privado, sirva de argumento suficiente para considerar que aquellos deban ampararse en el título competencial del art. 149.1.8 CE, sino, más bien, en el derivado del art. 149.1.13 CE.</w:t>
      </w:r>
    </w:p>
    <w:p w:rsidR="0085709A" w:rsidRDefault="0085709A" w:rsidP="0085709A">
      <w:pPr>
        <w:pStyle w:val="TextoNormal"/>
      </w:pPr>
    </w:p>
    <w:p w:rsidR="0085709A" w:rsidRDefault="0085709A" w:rsidP="0085709A">
      <w:pPr>
        <w:pStyle w:val="TextoNormal"/>
      </w:pPr>
      <w:r w:rsidRPr="0085709A">
        <w:rPr>
          <w:rStyle w:val="NumeroAFNegritaCaracter"/>
        </w:rPr>
        <w:t>2</w:t>
      </w:r>
      <w:r>
        <w:t>. Una vez delimitadas las posiciones de las partes en este proceso constitucional y resumidos los argumentos sobre los que se fundamentan, ha de comenzarse el análisis de la específica problemática competencial suscitada poniendo resumidamente de manifiesto el marco legislativo en que ésta se encuadra.</w:t>
      </w:r>
    </w:p>
    <w:p w:rsidR="0085709A" w:rsidRDefault="0085709A" w:rsidP="0085709A">
      <w:pPr>
        <w:pStyle w:val="TextoNormal"/>
      </w:pPr>
    </w:p>
    <w:p w:rsidR="0085709A" w:rsidRDefault="0085709A" w:rsidP="0085709A">
      <w:pPr>
        <w:pStyle w:val="TextoNormal"/>
      </w:pPr>
      <w:r>
        <w:t>A tal efecto, hemos de señalar que la Ley 35/2011, de 4 de octubre, sobre titularidad compartida de las explotaciones agrarias, ha sido dictada en desarrollo de lo dispuesto en el artículo 30 de la Ley Orgánica 3/2007, de 22 de marzo, para la igualdad efectiva de mujeres y hombres, que contempla la creación de la citada figura jurídica, como medida dirigida a hacer efectiva la igualdad entre mujeres y hombres en el sector agrario y conseguir el pleno reconocimiento del trabajo de las mujeres en el ámbito rural. Asimismo, la Ley 45/2007, de 13 de diciembre, para el desarrollo sostenible del medio rural, ha establecido que, para avanzar en la igualdad efectiva de mujeres y hombres, el Gobierno debe promover y desarrollar el régimen de cotitularidad de bienes, derechos y obligaciones en el sector agrario así como la correspondiente protección de la Seguridad Social.</w:t>
      </w:r>
    </w:p>
    <w:p w:rsidR="0085709A" w:rsidRDefault="0085709A" w:rsidP="0085709A">
      <w:pPr>
        <w:pStyle w:val="TextoNormal"/>
      </w:pPr>
    </w:p>
    <w:p w:rsidR="0085709A" w:rsidRDefault="0085709A" w:rsidP="0085709A">
      <w:pPr>
        <w:pStyle w:val="TextoNormal"/>
      </w:pPr>
      <w:r>
        <w:lastRenderedPageBreak/>
        <w:t>Para contribuir a la efectividad de este objetivo, el último párrafo del preámbulo de la Ley 35/2011, a modo de corolario, resume que “la finalidad de la Ley es promover y favorecer la igualdad real y efectiva entre hombres y mujeres en el medio rural, a través del reconocimiento jurídico y económico derivado de su participación en la actividad agraria” y su artículo 1 delimita el doble “objeto y finalidad” del texto normativo, disponiendo, de una parte, “la regulación de la titularidad compartida de las explotaciones agrarias con el fin de promover y favorecer la igualdad real y efectiva de las mujeres en el medio rural, a través del reconocimiento jurídico y económico de su participación en la actividad agraria” y, de otro lado, estableciendo “la regulación de los derechos económicos generados a favor del cónyuge o persona vinculada por análoga relación de afectividad, frente al titular de la explotación agraria, como contraprestación por su actividad agraria”.</w:t>
      </w:r>
    </w:p>
    <w:p w:rsidR="0085709A" w:rsidRDefault="0085709A" w:rsidP="0085709A">
      <w:pPr>
        <w:pStyle w:val="TextoNormal"/>
      </w:pPr>
    </w:p>
    <w:p w:rsidR="0085709A" w:rsidRDefault="0085709A" w:rsidP="0085709A">
      <w:pPr>
        <w:pStyle w:val="TextoNormal"/>
      </w:pPr>
      <w:r>
        <w:t>Se trata, pues, de una ley que tiene como objetivo final la plena equiparación de sexos mediante el establecimiento de un sistema de cotitularidad de las explotaciones agrarias que favorezca la igualdad efectiva entre hombres y mujeres en el medio rural.</w:t>
      </w:r>
    </w:p>
    <w:p w:rsidR="0085709A" w:rsidRDefault="0085709A" w:rsidP="0085709A">
      <w:pPr>
        <w:pStyle w:val="TextoNormal"/>
      </w:pPr>
    </w:p>
    <w:p w:rsidR="0085709A" w:rsidRDefault="0085709A" w:rsidP="0085709A">
      <w:pPr>
        <w:pStyle w:val="TextoNormal"/>
      </w:pPr>
      <w:r>
        <w:t>Hay que señalar que, en lo que ahora es de interés, la disposición final cuarta de esta Ley, que expresa el “fundamento constitucional” de la misma, establece que el artículo 6, objeto de esta controversia constitucional, constituye “legislación básica en materia de bases y coordinación de la planificación general de la actividad económica”.</w:t>
      </w:r>
    </w:p>
    <w:p w:rsidR="0085709A" w:rsidRDefault="0085709A" w:rsidP="0085709A">
      <w:pPr>
        <w:pStyle w:val="TextoNormal"/>
      </w:pPr>
    </w:p>
    <w:p w:rsidR="0085709A" w:rsidRDefault="0085709A" w:rsidP="0085709A">
      <w:pPr>
        <w:pStyle w:val="TextoNormal"/>
      </w:pPr>
      <w:r>
        <w:t>Finalmente, para cerrar el marco normativo y competencial de referencia, es preciso destacar que, en cumplimiento de lo que dispone el art. 7.4 de la Ley 35/2011, fue aprobada la Orden AAA/1408/2012, de 26 de junio (“BOE” núm. 155, del 29 de junio) del Ministerio de Agricultura, Alimentación y Medio Ambiente, que establece la regulación administrativa del registro estatal de coordinación de titularidad compartida de explotaciones agrarias.</w:t>
      </w:r>
    </w:p>
    <w:p w:rsidR="0085709A" w:rsidRDefault="0085709A" w:rsidP="0085709A">
      <w:pPr>
        <w:pStyle w:val="TextoNormal"/>
      </w:pPr>
    </w:p>
    <w:p w:rsidR="0085709A" w:rsidRDefault="0085709A" w:rsidP="0085709A">
      <w:pPr>
        <w:pStyle w:val="TextoNormal"/>
      </w:pPr>
      <w:r w:rsidRPr="0085709A">
        <w:rPr>
          <w:rStyle w:val="NumeroAFNegritaCaracter"/>
        </w:rPr>
        <w:t>3</w:t>
      </w:r>
      <w:r>
        <w:t>. Establecido el marco normativo y delimitado el título competencial que se cita en la Ley impugnada, hemos de ceñir ahora nuestro estudio al análisis de la controversia competencial planteada. A tal fin, se impone dilucidar en primer lugar si, verdaderamente, es el título del art. 149.1.13 CE que expresa la Ley 35/2011 el que ampara el mandato recogido en el artículo 6, o si, como indica la Comunidad Autónoma recurrente, la creación de un registro sobre explotaciones agrarias de titularidad compartida es un ejercicio de la competencia estatal recogida en el art. 149.1.8 CE en materia de legislación civil y que, en ningún caso, debería haber vinculado a las Comunidades Autónomas en la creación de registros territoriales. Por tanto, se trata de determinar, en lo que se refiere a la regulación de las explotaciones agrarias de titularidad compartida, si nos encontramos ante una materia de derecho privado o no, pues, según se afirma en el recurso, parece deducirse de su configuración normativa esta naturaleza jurídica. Por ello, debemos comenzar por determinar el encuadre competencial del precepto impugnado.</w:t>
      </w:r>
    </w:p>
    <w:p w:rsidR="0085709A" w:rsidRDefault="0085709A" w:rsidP="0085709A">
      <w:pPr>
        <w:pStyle w:val="TextoNormal"/>
      </w:pPr>
    </w:p>
    <w:p w:rsidR="0085709A" w:rsidRDefault="0085709A" w:rsidP="0085709A">
      <w:pPr>
        <w:pStyle w:val="TextoNormal"/>
      </w:pPr>
      <w:r>
        <w:t>A tal efecto, resulta imprescindible examinar el contenido del art. 2 de la Ley 35/2011, que dispone lo siguiente:</w:t>
      </w:r>
    </w:p>
    <w:p w:rsidR="0085709A" w:rsidRDefault="0085709A" w:rsidP="0085709A">
      <w:pPr>
        <w:pStyle w:val="TextoNormal"/>
      </w:pPr>
    </w:p>
    <w:p w:rsidR="0085709A" w:rsidRDefault="0085709A" w:rsidP="0085709A">
      <w:pPr>
        <w:pStyle w:val="TextoNormal"/>
      </w:pPr>
      <w:r>
        <w:t>“1. La explotación agraria de titularidad compartida es la unidad económica, sin personalidad jurídica y susceptible de imposición a efectos fiscales, que se constituye por un matrimonio o pareja unida por análoga relación de afectividad, para la gestión conjunta de la explotación agraria.</w:t>
      </w:r>
    </w:p>
    <w:p w:rsidR="0085709A" w:rsidRDefault="0085709A" w:rsidP="0085709A">
      <w:pPr>
        <w:pStyle w:val="TextoNormal"/>
      </w:pPr>
    </w:p>
    <w:p w:rsidR="0085709A" w:rsidRDefault="0085709A" w:rsidP="0085709A">
      <w:pPr>
        <w:pStyle w:val="TextoNormal"/>
      </w:pPr>
      <w:r>
        <w:t>2. La constitución de la titularidad compartida de una explotación agraria no alterará el régimen jurídico de los bienes y derechos que la conformen ni el régimen jurídico matrimonial o pactos patrimoniales de las parejas de hecho ni el régimen sucesorio, sin perjuicio de lo establecido en el capítulo IV de esta Ley.”</w:t>
      </w:r>
    </w:p>
    <w:p w:rsidR="0085709A" w:rsidRDefault="0085709A" w:rsidP="0085709A">
      <w:pPr>
        <w:pStyle w:val="TextoNormal"/>
      </w:pPr>
    </w:p>
    <w:p w:rsidR="0085709A" w:rsidRDefault="0085709A" w:rsidP="0085709A">
      <w:pPr>
        <w:pStyle w:val="TextoNormal"/>
      </w:pPr>
      <w:r>
        <w:t>De su contenido se deduce que los únicos efectos civiles que puede producir el régimen de titularidad agraria compartida son los relativos a la liquidación económica que tenga lugar a la extinción de aquella titularidad, que figuran regulados en el citado capítulo IV de la Ley, que, sin embargo, no son esenciales a la legislación civil, pues no modifican régimen económico matrimonial ni sucesorio alguno, así como tampoco las normas propias de administración, representación y responsabilidad de la titularidad compartida establecidas en el artículo 4 de la Ley, que vienen referidas en todos los casos a la propia institución de la titularidad compartida, por lo que no puede entenderse que la materia regulada sea aquella a la que se refiere el art. 149.1.8 CE, como alega el Gobierno de Canarias.</w:t>
      </w:r>
    </w:p>
    <w:p w:rsidR="0085709A" w:rsidRDefault="0085709A" w:rsidP="0085709A">
      <w:pPr>
        <w:pStyle w:val="TextoNormal"/>
      </w:pPr>
    </w:p>
    <w:p w:rsidR="0085709A" w:rsidRDefault="0085709A" w:rsidP="0085709A">
      <w:pPr>
        <w:pStyle w:val="TextoNormal"/>
      </w:pPr>
      <w:r>
        <w:t>Además, hecha esta primera consideración, hemos de señalar que la regulación establecida en el artículo 6 impugnado tampoco es posible incardinarla en el ámbito propio de la competencia exclusiva del Estado recogida en el art. 149.1.8 CE, sobre ordenación de los registros e instrumentos públicos.</w:t>
      </w:r>
    </w:p>
    <w:p w:rsidR="0085709A" w:rsidRDefault="0085709A" w:rsidP="0085709A">
      <w:pPr>
        <w:pStyle w:val="TextoNormal"/>
      </w:pPr>
    </w:p>
    <w:p w:rsidR="0085709A" w:rsidRDefault="0085709A" w:rsidP="0085709A">
      <w:pPr>
        <w:pStyle w:val="TextoNormal"/>
      </w:pPr>
      <w:r>
        <w:t>Así, de acuerdo con la doctrina de este Tribunal “los registros a que se refiere el art. 149.1.8 de la Constitución son los referentes fundamentalmente a materias de derecho privado como se infiere de su contexto y no a otros registros que …, aunque tengan repercusiones en ese campo del Derecho, tienen por objeto materias ajenas a él cual es un aspecto de la legislación sobre montes” (STC 71/1983, de 29 de julio, FJ 2). Y en la STC 103/1999, de 3 de junio, aclaró que “al delimitar el título competencial ‘ordenación de los registros públicos’, en la STC 71/1983, lo entendimos referido fundamentalmente a los referentes a materias de derecho privado, según el contexto en que se inscribe y, en la misma fecha (29 de julio), incardinamos el Registro mercantil, no en el título competencial de ordenación de los registros (art. 149.1.8 C.E.), sino en el de legislación mercantil (STC 72/1983, fundamento jurídico 8). Esa es, en definitiva, la distribución de competencias que efectúa la Constitución española que, en el citado núm. 8 del art. 149.1, atribuye al Estado la legislación civil, sin perjuicio de la conservación, modificación y desarrollo por las Comunidades Autónomas de los derechos civiles forales o especiales, allí donde existan; pero, reservando al Estado ‘en todo caso’, entre otras materias, la ordenación de los registros. Por lo que no cabe entender sino que los registros a que dicha ordenación se refiere son exclusivamente los de carácter civil. En aplicación de ese criterio en múltiples resoluciones hemos ido incardinando los diferentes registros públicos, excepto los de carácter civil, en las materias a las que hacen referencia (</w:t>
      </w:r>
      <w:r w:rsidRPr="0085709A">
        <w:rPr>
          <w:i/>
        </w:rPr>
        <w:t>vid</w:t>
      </w:r>
      <w:r>
        <w:t>., por todas, STC 197/1996, fundamento jurídico 12)” [STC 103/1999, de 3 de junio, FJ 3].</w:t>
      </w:r>
    </w:p>
    <w:p w:rsidR="0085709A" w:rsidRDefault="0085709A" w:rsidP="0085709A">
      <w:pPr>
        <w:pStyle w:val="TextoNormal"/>
      </w:pPr>
    </w:p>
    <w:p w:rsidR="0085709A" w:rsidRDefault="0085709A" w:rsidP="0085709A">
      <w:pPr>
        <w:pStyle w:val="TextoNormal"/>
      </w:pPr>
      <w:r>
        <w:t>Debemos por tanto rechazar la alegación del Gobierno de Canarias que sostiene que la creación de un registro sobre explotaciones agrarias de titularidad compartida sea un ejercicio de la competencia estatal recogida en el art. 149.1.8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Una vez hemos descartado que el precepto impugnado resulte encuadrable en la competencia estatal recogida en el art. 149.1.8 CE, debemos proseguir con el examen de la alegada invasión de la competencia exclusiva de la Comunidad Autónoma en materia de agricultura y ganadería por el hecho de haberse previsto la creación de un registro autonómico sobre explotaciones agrarias de titularidad compartida.</w:t>
      </w:r>
    </w:p>
    <w:p w:rsidR="0085709A" w:rsidRDefault="0085709A" w:rsidP="0085709A">
      <w:pPr>
        <w:pStyle w:val="TextoNormal"/>
      </w:pPr>
    </w:p>
    <w:p w:rsidR="0085709A" w:rsidRDefault="0085709A" w:rsidP="0085709A">
      <w:pPr>
        <w:pStyle w:val="TextoNormal"/>
      </w:pPr>
      <w:r>
        <w:t>La Comunidad Autónoma de Canarias tiene reconocida en el artículo 31.1 de su Estatuto de Autonomía (aprobado por Ley Orgánica 10/1982, de 10 de agosto, modificado por Ley Orgánica 4/1996, de 30 de diciembre) la competencia exclusiva sobre agricultura y ganadería “de acuerdo con las bases y la ordenación de la actividad económica general y la política monetaria y crediticia estatal y en los términos de lo dispuesto en los artículos 38, 131, 149.1.11 y 13 de la Constitución”.</w:t>
      </w:r>
    </w:p>
    <w:p w:rsidR="0085709A" w:rsidRDefault="0085709A" w:rsidP="0085709A">
      <w:pPr>
        <w:pStyle w:val="TextoNormal"/>
      </w:pPr>
    </w:p>
    <w:p w:rsidR="0085709A" w:rsidRDefault="0085709A" w:rsidP="0085709A">
      <w:pPr>
        <w:pStyle w:val="TextoNormal"/>
      </w:pPr>
      <w:r>
        <w:t>Para resolver la controversia planteada es preciso comenzar recordando la doctrina de este Tribunal acerca del alcance que cabe atribuir a la competencia estatal recogida en el art. 149.1.13 CE.</w:t>
      </w:r>
    </w:p>
    <w:p w:rsidR="0085709A" w:rsidRDefault="0085709A" w:rsidP="0085709A">
      <w:pPr>
        <w:pStyle w:val="TextoNormal"/>
      </w:pPr>
    </w:p>
    <w:p w:rsidR="0085709A" w:rsidRDefault="0085709A" w:rsidP="0085709A">
      <w:pPr>
        <w:pStyle w:val="TextoNormal"/>
      </w:pPr>
      <w:r>
        <w:t xml:space="preserve">Así, este Tribunal ha sostenido que la competencia estatal sobre las bases y la coordinación de la planificación general de la actividad económica comprende no sólo la ordenación del conjunto de la economía sino también la ordenación de cada sector o subsector de la actividad económica. En este sentido, hemos afirmado que la competencia estatal </w:t>
      </w:r>
      <w:r w:rsidRPr="0085709A">
        <w:rPr>
          <w:i/>
        </w:rPr>
        <w:t>ex</w:t>
      </w:r>
      <w:r>
        <w:t xml:space="preserve"> art. 149.1.13 CE tiene un “carácter transversal”, ya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(últimamente, en la STC 74/2014, de 8 de mayo, FJ 3).</w:t>
      </w:r>
    </w:p>
    <w:p w:rsidR="0085709A" w:rsidRDefault="0085709A" w:rsidP="0085709A">
      <w:pPr>
        <w:pStyle w:val="TextoNormal"/>
      </w:pPr>
    </w:p>
    <w:p w:rsidR="0085709A" w:rsidRDefault="0085709A" w:rsidP="0085709A">
      <w:pPr>
        <w:pStyle w:val="TextoNormal"/>
      </w:pPr>
      <w:r>
        <w:t>Más en concreto, hemos tenido ocasión de afirmar que el sector de la agricultura y la ganadería es de aquellos que por su importancia toleran la fijación de líneas directrices y criterios globales de ordenación, así como previsiones de acciones o medidas singulares que sean necesarias para alcanzar los fines propuestos dentro de la ordenación de cada sector, destacando que “en materia de agricultura y ganadería, siendo la competencia específica de las Comunidades Autónomas ... el Estado puede intervenir en virtud de sus competencias generales sobre la ordenación general de la economía” (STC 79/1992, de 28 de mayo, FJ 2).</w:t>
      </w:r>
    </w:p>
    <w:p w:rsidR="0085709A" w:rsidRDefault="0085709A" w:rsidP="0085709A">
      <w:pPr>
        <w:pStyle w:val="TextoNormal"/>
      </w:pPr>
    </w:p>
    <w:p w:rsidR="0085709A" w:rsidRDefault="0085709A" w:rsidP="0085709A">
      <w:pPr>
        <w:pStyle w:val="TextoNormal"/>
      </w:pPr>
      <w:r>
        <w:t xml:space="preserve">Afirmado lo anterior, hemos igualmente señalado que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Y es que si bien es evidente, como ya hemos afirmado, que ‘el Estado retiene ciertas capacidades en aquellos </w:t>
      </w:r>
      <w:r>
        <w:lastRenderedPageBreak/>
        <w:t>aspectos sectoriales de la economía que pudieran ser objeto de competencia exclusiva de las Comunidades Autónomas pero que deben acomodarse a las directrices generales mediante las que aquél fija las bases de la planificación económica y coordina la misma’, no lo es menos que ‘dichas facultades de supervisión no pueden suponer en ningún caso que se desfigure un reparto constitucional y estatutario de competencias en el que las Comunidades Autónomas han recibido importantes responsabilidades en materia económica’ (STC 77/2004, de 29 de abril, FJ 4)”. (STC 74/2014, de 8 de mayo, FJ 3).</w:t>
      </w:r>
    </w:p>
    <w:p w:rsidR="0085709A" w:rsidRDefault="0085709A" w:rsidP="0085709A">
      <w:pPr>
        <w:pStyle w:val="TextoNormal"/>
      </w:pPr>
    </w:p>
    <w:p w:rsidR="0085709A" w:rsidRDefault="0085709A" w:rsidP="0085709A">
      <w:pPr>
        <w:pStyle w:val="TextoNormal"/>
      </w:pPr>
      <w:r w:rsidRPr="0085709A">
        <w:rPr>
          <w:rStyle w:val="NumeroAFNegritaCaracter"/>
        </w:rPr>
        <w:t>5</w:t>
      </w:r>
      <w:r>
        <w:t>. A la luz de la doctrina constitucional expuesta y, al objeto de resolver la controversia competencial planteada, debemos examinar si es posible encuadrar el precepto de la norma estatal impugnado en el título competencial sobre las bases y coordinación de la planificación general de la actividad económica (art. 149.1.13 CE), para lo cual debemos examinar, en primer lugar, la finalidad de la norma estatal en la que se inserta aquel.</w:t>
      </w:r>
    </w:p>
    <w:p w:rsidR="0085709A" w:rsidRDefault="0085709A" w:rsidP="0085709A">
      <w:pPr>
        <w:pStyle w:val="TextoNormal"/>
      </w:pPr>
    </w:p>
    <w:p w:rsidR="0085709A" w:rsidRDefault="0085709A" w:rsidP="0085709A">
      <w:pPr>
        <w:pStyle w:val="TextoNormal"/>
      </w:pPr>
      <w:r>
        <w:t>Así, según el preámbulo “la titularidad compartida está llamada a constituir un factor de cambio de las estructuras agrarias de modo que las mujeres del mundo rural gocen de una igualdad de derechos efectiva respecto de los hombres. Ello permitirá la supresión de barreras formales y sustantivas, así como la potenciación de ciertos valores en las mujeres del mundo rural, tales como la confianza, la igualdad y la no discriminación, la visibilidad y, por tanto el desarrollo sostenible”.</w:t>
      </w:r>
    </w:p>
    <w:p w:rsidR="0085709A" w:rsidRDefault="0085709A" w:rsidP="0085709A">
      <w:pPr>
        <w:pStyle w:val="TextoNormal"/>
      </w:pPr>
    </w:p>
    <w:p w:rsidR="0085709A" w:rsidRDefault="0085709A" w:rsidP="0085709A">
      <w:pPr>
        <w:pStyle w:val="TextoNormal"/>
      </w:pPr>
      <w:r>
        <w:t>En consecuencia, la Ley adoptada, al regular el régimen de la explotación agraria de titularidad compartida, pretende convertirse en un factor de cambio de las estructuras agrarias, lo que tiene una incidencia directa y significativa sobre una importante actividad económica como es la actividad agraria. Incidencia que se refleja igualmente en el hecho de que la Ley otorgue a las explotaciones agrarias de titularidad compartida que la norma crea la condición de explotaciones agrarias prioritarias, conforme a la Ley 19/1995, de 4 de julio, de modernización de explotaciones agrarias, de forma que aquellas gozarán de la ventaja de tener un orden preferente en la obtención de beneficios, ayudas y demás medidas de fomento impulsadas por las Administraciones públicas.</w:t>
      </w:r>
    </w:p>
    <w:p w:rsidR="0085709A" w:rsidRDefault="0085709A" w:rsidP="0085709A">
      <w:pPr>
        <w:pStyle w:val="TextoNormal"/>
      </w:pPr>
    </w:p>
    <w:p w:rsidR="0085709A" w:rsidRDefault="0085709A" w:rsidP="0085709A">
      <w:pPr>
        <w:pStyle w:val="TextoNormal"/>
      </w:pPr>
      <w:r>
        <w:t>Por tanto, la Ley impugnada constituye una intervención estatal en un importante subsector económico como es la agricultura y la ganadería a través de la creación de esta modalidad de explotaciones agrarias a las que se le va a asociar un tratamiento prioritario en la asignación de medidas de fomento y de incentivo económico como las que se acaban de destacar. En consecuencia, la conclusión que ha de extraerse de este análisis no puede ser otra que la de entender, como así lo afirma el Abogado del Estado, que la Ley 35/2011 encuentra su amparo en el título competencial del art. 149.1.13 CE, no suponiendo por tanto invasión de la competencia autonómica sobre dicho ámbito material, que además se asume “de acuerdo con las bases y la ordenación de la actividad económica general y la política monetaria y crediticia estatal y en los términos de lo dispuesto en los artículos 38, 131, 149.1.11 y 13 de la Constitución” (art. 31.1 del Estatuto de Autonomía de Canarias).</w:t>
      </w:r>
    </w:p>
    <w:p w:rsidR="0085709A" w:rsidRDefault="0085709A" w:rsidP="0085709A">
      <w:pPr>
        <w:pStyle w:val="TextoNormal"/>
      </w:pPr>
    </w:p>
    <w:p w:rsidR="0085709A" w:rsidRDefault="0085709A" w:rsidP="0085709A">
      <w:pPr>
        <w:pStyle w:val="TextoNormal"/>
      </w:pPr>
      <w:r w:rsidRPr="0085709A">
        <w:rPr>
          <w:rStyle w:val="NumeroAFNegritaCaracter"/>
        </w:rPr>
        <w:t>6</w:t>
      </w:r>
      <w:r>
        <w:t>. Afirmado lo anterior, debemos proceder, a continuación, a examinar si el art. 6 de la Ley 35/2011, ahora impugnado, se puede concretamente fundar en la referida competencia estatal sobre las bases y la coordinación de la planificación general de la actividad económica (art. 149.1.13 CE).</w:t>
      </w:r>
    </w:p>
    <w:p w:rsidR="0085709A" w:rsidRDefault="0085709A" w:rsidP="0085709A">
      <w:pPr>
        <w:pStyle w:val="TextoNormal"/>
      </w:pPr>
    </w:p>
    <w:p w:rsidR="0085709A" w:rsidRDefault="0085709A" w:rsidP="0085709A">
      <w:pPr>
        <w:pStyle w:val="TextoNormal"/>
      </w:pPr>
      <w:r>
        <w:lastRenderedPageBreak/>
        <w:t>Pues bien, además de la previsión formal de que el citado precepto tiene su fundamento constitucional en la competencia básica del Estado recogida en el art. 149.1.13 CE (disposición final cuarta, apartado 5 de la Ley 35/2011), desde el plano material también debe reconocerse dicho título competencial pues la creación de un registro en cada Comunidad Autónoma sobre explotaciones agrarias de titularidad compartida que exige el citado precepto, encuentra igualmente su fundamento en la competencia del Estado sobre bases y coordinación de la planificación general de la actividad económica (art. 149.1.13 CE). En efecto, la previsión de un registro en cada Comunidad Autónoma para que la titularidad compartida de las explotaciones agrarias produzca toda su eficacia jurídica guarda directa relación con la dirección de la economía al constituir un elemento relevante de la finalidad que persigue la norma impugnada, esto es la de erigirse en un factor de cambio de las estructuras agrarias, pues se configura como una garantía fundamental para que alcance aquella efectividad. Así, la inscripción en el registro, dada la función instrumental que desempeña en relación con la finalidad de la norma estatal, resulta necesaria para el cumplimiento de los objetivos estatales perseguidos con la instauración de la nueva figura de la titularidad compartida, ya que, a través de dicho registro, se trata de asegurar la posibilidad de acceder a los beneficios que prevea la propia Ley y las disposiciones reglamentarias subsiguientes (en parecidos términos nos pronunciamos en la STC 112/2013, de 9 de mayo, en relación con los registros públicos de demandantes de vivienda protegida).</w:t>
      </w:r>
    </w:p>
    <w:p w:rsidR="0085709A" w:rsidRDefault="0085709A" w:rsidP="0085709A">
      <w:pPr>
        <w:pStyle w:val="TextoNormal"/>
      </w:pPr>
    </w:p>
    <w:p w:rsidR="0085709A" w:rsidRDefault="0085709A" w:rsidP="0085709A">
      <w:pPr>
        <w:pStyle w:val="TextoNormal"/>
      </w:pPr>
      <w:r>
        <w:t>La inscripción en el registro de la Comunidad Autónoma no es sino un elemento que, junto al cumplimiento de otros requisitos que reglamentariamente se determinarán para cada tipo de beneficio que se instituya, opera como una condición previa para el otorgamiento de cualesquiera ayudas o beneficios por parte del Estado [así, la propia Ley 35/2011 se refiere, por ejemplo, a beneficios fiscales (artículo 9), a medidas en materia de Seguridad Social (artículo 10), a la posibilidad de acceder como beneficiarios directos de las ayudas agrarias correspondientes al régimen de pago único de la política agrícola común (artículo 11.2), o al acceso a medidas de fomento para su constitución, a la consideración de explotaciones agrarias prioritarias a los efectos de la Ley 19/1995, de 4 de julio, así como al acceso a un trato preferente en la percepción de subvenciones financiadas por la Administración General del Estado (artículo 12, apartados 1 a 3).</w:t>
      </w:r>
    </w:p>
    <w:p w:rsidR="0085709A" w:rsidRDefault="0085709A" w:rsidP="0085709A">
      <w:pPr>
        <w:pStyle w:val="TextoNormal"/>
      </w:pPr>
    </w:p>
    <w:p w:rsidR="0085709A" w:rsidRDefault="0085709A" w:rsidP="0085709A">
      <w:pPr>
        <w:pStyle w:val="TextoNormal"/>
      </w:pPr>
      <w:r>
        <w:t>De acuerdo con la propia Ley 35/2011, estos registros autonómicos nutren el registro estatal que aquella misma norma crea. Así, el art. 7.1 de la Ley 35/2011 establece que “en el Ministerio de Medio Ambiente, y Medio Rural y Marino existirá un Registro en el que se reflejarán las declaraciones de titularidad compartida, y sus variaciones, recibidas del órgano competente de las distintas comunidades autónomas”.</w:t>
      </w:r>
    </w:p>
    <w:p w:rsidR="0085709A" w:rsidRDefault="0085709A" w:rsidP="0085709A">
      <w:pPr>
        <w:pStyle w:val="TextoNormal"/>
      </w:pPr>
    </w:p>
    <w:p w:rsidR="0085709A" w:rsidRDefault="0085709A" w:rsidP="0085709A">
      <w:pPr>
        <w:pStyle w:val="TextoNormal"/>
      </w:pPr>
      <w:r>
        <w:t xml:space="preserve">En este punto debemos recordar la doctrina de este Tribunal de la cual “se desprende, de un lado que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Aunque también hemos dicho, de otro,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w:t>
      </w:r>
      <w:r>
        <w:lastRenderedPageBreak/>
        <w:t>facultades, de índole ejecutiva, ‘exceden de su ámbito de actuación competencialmente posible’ (STC 243/1994, fundamento jurídico 6)” [STC 197/1996, de 28 de noviembre, FJ 12].</w:t>
      </w:r>
    </w:p>
    <w:p w:rsidR="0085709A" w:rsidRDefault="0085709A" w:rsidP="0085709A">
      <w:pPr>
        <w:pStyle w:val="TextoNormal"/>
      </w:pPr>
    </w:p>
    <w:p w:rsidR="0085709A" w:rsidRDefault="0085709A" w:rsidP="0085709A">
      <w:pPr>
        <w:pStyle w:val="TextoNormal"/>
      </w:pPr>
      <w:r>
        <w:t>El registro en cada Comunidad Autónoma se crea, por tanto, como un instrumento adecuado para promover la consecución del fin último que persigue la Ley 35/2011 y, en consecuencia, la previsión de su creación no infringe las competencias autonómicas en materia de agricultura y ganadería, puesto que guarda directa relación con el objetivo básico de ordenación y coordinación de planificación de la economía que promueve la Ley 35/2011. Además, los registros previstos son un instrumento de cooperación para que el Estado pueda ejercer en el futuro sus propias competencias, pues la inscripción en aquellos opera como una condición previa para el otorgamiento por aquel de determinadas ayudas o beneficios sobre los que el Estado ostenta competencias propias como es, por ejemplo, el caso de las medidas a adoptar en materia de Seguridad Social (a las que se refiere el art. 10 de la Ley 35/2011), o la posibilidad de acceder a determinadas ayudas agrarias (a las que se refiere el art. 11 de la Ley 35/2011).</w:t>
      </w:r>
    </w:p>
    <w:p w:rsidR="0085709A" w:rsidRDefault="0085709A" w:rsidP="0085709A">
      <w:pPr>
        <w:pStyle w:val="TextoNormal"/>
      </w:pPr>
    </w:p>
    <w:p w:rsidR="0085709A" w:rsidRDefault="0085709A" w:rsidP="0085709A">
      <w:pPr>
        <w:pStyle w:val="TextoNormal"/>
      </w:pPr>
      <w:r>
        <w:t>Así, el artículo 6 de la Ley 35/2011, al establecer un registro administrativo en cada Comunidad Autónoma, instaurando como básico el carácter constitutivo de la inscripción en el mismo, es respetuoso con el ámbito de distribución competencial entre el Estado y la Comunidad Autónoma, pues no impone un único registro estatal constitutivo, sino que establece registros administrativos autonómicos que regulen del mismo modo las consecuencias jurídicas de la inscripción.</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Afirmada la constitucionalidad de que el Estado prevea en el artículo 6 un registro administrativo en cada Comunidad Autónoma sobre explotaciones agrarias de titularidad compartida resta por examinar la alegación del Gobierno de Canarias relativa a que el minucioso detalle de la regulación estatal excede de lo que pueda considerarse materialmente básico </w:t>
      </w:r>
      <w:r w:rsidRPr="0085709A">
        <w:rPr>
          <w:i/>
        </w:rPr>
        <w:t>ex</w:t>
      </w:r>
      <w:r>
        <w:t xml:space="preserve"> art. 149.1.13 CE.</w:t>
      </w:r>
    </w:p>
    <w:p w:rsidR="0085709A" w:rsidRDefault="0085709A" w:rsidP="0085709A">
      <w:pPr>
        <w:pStyle w:val="TextoNormal"/>
      </w:pPr>
    </w:p>
    <w:p w:rsidR="0085709A" w:rsidRDefault="0085709A" w:rsidP="0085709A">
      <w:pPr>
        <w:pStyle w:val="TextoNormal"/>
      </w:pPr>
      <w:r>
        <w:t>Para responder a esta última cuestión ha de señalarse que los apartados 1 y 2 del artículo 6 impugnado establecen el diseño y contenido del sistema de inscripción con carácter constitutivo en los registros autonómicos correspondientes de las solicitudes que deban presentar los titulares de las explotaciones agrarias compartidas. Ciertamente, es plenamente constitucional que el Estado, a través del establecimiento de un régimen uniforme de inscripción así como de la determinación de los datos informativos que deban constar en el respectivo registro, trate de garantizar la homogeneidad de la materia registrada en todo el territorio nacional, con la finalidad de que ello también permita un tratamiento uniforme de la institución a la que se refiere. En este sentido, este Tribunal ha recordado que “la obligación de inscripción en un Registro público no infringe las competencias autonómicas puesto que se trata de establecer un requisito que deben cumplir los solicitantes, y es doctrina reiterada por este Tribunal que los requisitos para acceder a las ayudas constituyen uno de los aspectos centrales de toda regulación subvencional que se orientan a garantizar igual trato a todos los interesados en el territorio nacional” (STC 112/2013, de 9 de mayo, FJ 4).</w:t>
      </w:r>
    </w:p>
    <w:p w:rsidR="0085709A" w:rsidRDefault="0085709A" w:rsidP="0085709A">
      <w:pPr>
        <w:pStyle w:val="TextoNormal"/>
      </w:pPr>
    </w:p>
    <w:p w:rsidR="0085709A" w:rsidRDefault="0085709A" w:rsidP="0085709A">
      <w:pPr>
        <w:pStyle w:val="TextoNormal"/>
      </w:pPr>
      <w:r>
        <w:t xml:space="preserve">De esta forma, el artículo 6 impugnado es conforme con el orden de distribución competencial entre el Estado y la Comunidad Autónoma, pues establece un mismo régimen jurídico a las consecuencias de la inscripción y regula el contenido básico inscribible, con la </w:t>
      </w:r>
      <w:r>
        <w:lastRenderedPageBreak/>
        <w:t>finalidad de garantizar la coherencia y homogeneización del sistema, estructura, organización interna y funciones de los sujetos de la titularidad agraria compartida. Ha de tenerse en cuenta que los datos identificativos de solicitud de inscripción en el registro autonómico correspondiente, que se citan en el art. 6.2 de la Ley, a incluir en la declaración conjunta que presenten los solicitantes, están conectados a una doble finalidad, una de carácter instrumental, como es la de que queden incorporados uniformemente en los correspondientes registros autonómicos que ulteriormente hayan de remitir al registro estatal de coordinación creado por el artículo 7; la otra, de objetivo final, que busca proporcionar al Estado los datos imprescindibles para tomar conocimiento, vía remisión que se haga desde los precitados registros autonómicos, de todos los datos identificativos de los titulares de estas explotaciones agrarias, con objeto de poder reconocerles, en su caso, los beneficios estatales en materia de Seguridad Social, ayudas y medidas de fomento que prevén los arts. 10 a 12 de la Ley, así como de poder hacerlas efectivas a los interesados.</w:t>
      </w:r>
    </w:p>
    <w:p w:rsidR="0085709A" w:rsidRDefault="0085709A" w:rsidP="0085709A">
      <w:pPr>
        <w:pStyle w:val="TextoNormal"/>
      </w:pPr>
    </w:p>
    <w:p w:rsidR="0085709A" w:rsidRDefault="0085709A" w:rsidP="0085709A">
      <w:pPr>
        <w:pStyle w:val="TextoNormal"/>
      </w:pPr>
      <w:r>
        <w:t>En lo que se refiere al apartado 3, que dispone el establecimiento de un plazo de tres meses para realizar la inscripción en el registro autonómico de las solicitudes presentadas y los efectos retroactivos de la misma, así como las consecuencias de la denegación presunta de aquélla y la eficacia del silencio administrativo positivo derivado de la ausencia de respuesta expresa por parte de la Administración autonómica a la solicitud de inscripción presentada, son prescripciones que responden a la necesidad de establecer un mismo procedimiento de acceso los registros autonómicos en todo el territorio del Estado, teniendo en cuenta los objetivos de alcance general que se derivan de la inscripción, en cuanto que dicha inscripción registral se erige en presupuesto indispensable para la obtención de los beneficios que introduce la Ley con cargo al Estado.</w:t>
      </w:r>
    </w:p>
    <w:p w:rsidR="0085709A" w:rsidRDefault="0085709A" w:rsidP="0085709A">
      <w:pPr>
        <w:pStyle w:val="TextoNormal"/>
      </w:pPr>
    </w:p>
    <w:p w:rsidR="0085709A" w:rsidRDefault="0085709A" w:rsidP="0085709A">
      <w:pPr>
        <w:pStyle w:val="TextoNormal"/>
      </w:pPr>
      <w:r>
        <w:t>Finalmente, el apartado 4 tiene un carácter meramente instrumental de toda la regulación sobre el régimen constitutivo de la inscripción, al establecer el método de acreditación de la constancia en el registro, mediante la expedición de la oportuna certificación.</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Por todo lo razonado debemos llegar a la conclusión de que el art. 6 de la Ley 35/2011, de 4 de octubre, responde, con apoyo en la competencia del Estado </w:t>
      </w:r>
      <w:r w:rsidRPr="0085709A">
        <w:rPr>
          <w:i/>
        </w:rPr>
        <w:t>ex</w:t>
      </w:r>
      <w:r>
        <w:t xml:space="preserve"> art. 149.1.13 CE, a la idea de establecer una normativa básica sobre el diseño del nuevo sistema de inscripción previa con carácter constitutivo de los titularidades compartidas de explotaciones agrarias que contempla la citada norma, así como de los registros autonómicos que se crean a su tenor, al objeto de servir de presupuesto indispensable para el reconocimiento de los derechos y beneficios que prevé la Ley, sin que el contenido de dicho precepto sobrepase los límites competenciales que nuestra doctrina constitucional reconoce al Estado en este ámbito.</w:t>
      </w:r>
    </w:p>
    <w:p w:rsidR="0085709A" w:rsidRDefault="0085709A" w:rsidP="0085709A">
      <w:pPr>
        <w:pStyle w:val="TextoNormal"/>
      </w:pPr>
    </w:p>
    <w:p w:rsidR="0085709A" w:rsidRDefault="0085709A" w:rsidP="0085709A">
      <w:pPr>
        <w:pStyle w:val="TextoNormal"/>
      </w:pPr>
      <w:r>
        <w:t>Por todo ello, debemos desestimar la impugnación del art. 6 de la Ley 35/2011, de 4 de octubre, sobre titularidad compartida de las explotaciones agrarias.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el recurso de inconstitucionalidad núm. 76-2012, interpuesto por el Gobierno de Canarias contra el art. 6 de la Ley 35/2011, de 4 de octubre, sobre titularidad compartida de las explotaciones agrarias.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5" w:name="SENTENCIA_2015_12"/>
      <w:r>
        <w:lastRenderedPageBreak/>
        <w:t>SENTENCIA 12/2015, de 5 de febrero de 2015</w:t>
      </w:r>
    </w:p>
    <w:bookmarkEnd w:id="15"/>
    <w:p w:rsidR="0085709A" w:rsidRDefault="0085709A" w:rsidP="0085709A">
      <w:pPr>
        <w:pStyle w:val="TtuloResolucin"/>
      </w:pPr>
      <w:r>
        <w:t>Pleno</w:t>
      </w:r>
    </w:p>
    <w:p w:rsidR="0085709A" w:rsidRDefault="0085709A" w:rsidP="0085709A">
      <w:pPr>
        <w:pStyle w:val="TtuloBOE"/>
      </w:pPr>
      <w:r>
        <w:t>(BOE núm. 52, de 2 de marzo de 2015)</w:t>
      </w:r>
    </w:p>
    <w:p w:rsidR="0085709A" w:rsidRDefault="0085709A" w:rsidP="0085709A">
      <w:pPr>
        <w:pStyle w:val="TextoNormalCentrado"/>
      </w:pPr>
      <w:r>
        <w:t>ECLI:ES:TC:2015:12</w:t>
      </w:r>
    </w:p>
    <w:p w:rsidR="0085709A" w:rsidRDefault="0085709A" w:rsidP="0085709A">
      <w:pPr>
        <w:pStyle w:val="TextoNormalCentrado"/>
      </w:pPr>
    </w:p>
    <w:p w:rsidR="0085709A" w:rsidRDefault="0085709A" w:rsidP="0085709A">
      <w:pPr>
        <w:pStyle w:val="SntesisDescriptiva"/>
      </w:pPr>
      <w:r>
        <w:t>Recurso de inconstitucionalidad 3931-2013. Interpuesto por más de cincuenta diputados del Grupo Parlamentario Socialista del Congreso en relación con el Real Decreto-ley 6/2013, de 22 de marzo, de protección a los titulares de determinados productos de ahorro e inversión y otras medidas de carácter financiero.</w:t>
      </w:r>
    </w:p>
    <w:p w:rsidR="0085709A" w:rsidRDefault="0085709A" w:rsidP="0085709A">
      <w:pPr>
        <w:pStyle w:val="SntesisDescriptiva"/>
      </w:pPr>
    </w:p>
    <w:p w:rsidR="0085709A" w:rsidRDefault="0085709A" w:rsidP="0085709A">
      <w:pPr>
        <w:pStyle w:val="SntesisAnaltica"/>
      </w:pPr>
      <w:r>
        <w:t>Límites a los decretos-leyes: justificación suficiente de la concurrencia del presupuesto habilitante y de la conexión de sentido entre la situación de urgencia y las medidas ideadas para hacerle frente. Votos particulares.</w:t>
      </w:r>
    </w:p>
    <w:p w:rsidR="0085709A" w:rsidRDefault="0085709A" w:rsidP="0085709A">
      <w:pPr>
        <w:pStyle w:val="SntesisAnaltica"/>
      </w:pPr>
    </w:p>
    <w:p w:rsidR="0085709A" w:rsidRDefault="0085709A" w:rsidP="0085709A">
      <w:pPr>
        <w:pStyle w:val="Extracto"/>
      </w:pPr>
      <w:r>
        <w:t>1.</w:t>
      </w:r>
      <w:r>
        <w:tab/>
        <w:t>El Gobierno, en relación al Real Decreto-ley impugnado, ha aportado justificación suficiente que permite apreciar la existencia de la situación habilitante exigida por el art. 86 CE y la creación de la comisión de seguimiento de instrumentos híbridos de capital y deuda subordinada guarda conexión de sentido con la situación de extraordinaria y urgente necesidad descrita en la norma [FJ 6].</w:t>
      </w:r>
    </w:p>
    <w:p w:rsidR="0085709A" w:rsidRDefault="0085709A" w:rsidP="0085709A">
      <w:pPr>
        <w:pStyle w:val="Extracto"/>
      </w:pPr>
    </w:p>
    <w:p w:rsidR="0085709A" w:rsidRDefault="0085709A" w:rsidP="0085709A">
      <w:pPr>
        <w:pStyle w:val="Extracto"/>
      </w:pPr>
      <w:r>
        <w:t>2.</w:t>
      </w:r>
      <w:r>
        <w:tab/>
        <w:t>Doctrina sobre el examen de la concurrencia de la situación de extraordinaria y urgente necesidad y la conexión de sentido entre dicha situación y las medidas adoptadas como presupuesto habilitante para la utilización de la figura normativa del Decreto-ley (SSTC 29/1982, 39/2013) [FJ 3].</w:t>
      </w:r>
    </w:p>
    <w:p w:rsidR="0085709A" w:rsidRDefault="0085709A" w:rsidP="0085709A">
      <w:pPr>
        <w:pStyle w:val="Extracto"/>
      </w:pPr>
    </w:p>
    <w:p w:rsidR="0085709A" w:rsidRDefault="0085709A" w:rsidP="0085709A">
      <w:pPr>
        <w:pStyle w:val="Extracto"/>
      </w:pPr>
      <w:r>
        <w:t>3.</w:t>
      </w:r>
      <w:r>
        <w:tab/>
        <w:t>Los órganos políticos, al explicitar la situación de extraordinaria y urgente necesidad a la que responde el Real Decreto-ley impugnado, que es la de crear un cauce institucional que contribuya a agilizar los procedimientos dirigidos a la protección del inversor en la comercialización de productos financieros complejos, no hace un uso abusivo o arbitrario de la potestad normativa excepcional conferida al Gobierno, por lo que concurre, en el presente supuesto, la primera dimensión del presupuesto habilitante exigido por el art. 86.1 CE – situación de extraordinaria y urgente necesidad– [FJ 4].</w:t>
      </w:r>
    </w:p>
    <w:p w:rsidR="0085709A" w:rsidRDefault="0085709A" w:rsidP="0085709A">
      <w:pPr>
        <w:pStyle w:val="Extracto"/>
      </w:pPr>
    </w:p>
    <w:p w:rsidR="0085709A" w:rsidRDefault="0085709A" w:rsidP="0085709A">
      <w:pPr>
        <w:pStyle w:val="Extracto"/>
      </w:pPr>
      <w:r>
        <w:t>4.</w:t>
      </w:r>
      <w:r>
        <w:tab/>
        <w:t>Existe una conexión de sentido entre las medidas adoptadas y la concreta urgencia invocada por el Real Decreto-ley impugnado, ya que la creación y regulación de la comisión de seguimiento de instrumentos híbridos de capital y deuda subordinada no puede calificarse de innecesaria o desproporcionada, pues supervisar las relaciones entre inversores y comercializadores de productos financieros complejos y el desarrollo de procesos dirigidos a garantizar la protección de los inversores minoristas pueden considerarse instrumentos que contribuyen a la introducción de mejoras regulatorias en los mecanismos de protección de quienes han resultado afectados por los errores en la comercialización de estos productos financieros [FJ 5].</w:t>
      </w:r>
    </w:p>
    <w:p w:rsidR="0085709A" w:rsidRDefault="0085709A" w:rsidP="0085709A">
      <w:pPr>
        <w:pStyle w:val="Extracto"/>
      </w:pPr>
    </w:p>
    <w:p w:rsidR="0085709A" w:rsidRDefault="0085709A" w:rsidP="0085709A">
      <w:pPr>
        <w:pStyle w:val="Extracto"/>
      </w:pPr>
      <w:r>
        <w:t>5.</w:t>
      </w:r>
      <w:r>
        <w:tab/>
        <w:t xml:space="preserve">No corresponde al Tribunal Constitucional enjuiciar la oportunidad o conveniencia de la elección hecha por el legislador para valorar si es la más adecuada o la </w:t>
      </w:r>
      <w:r>
        <w:lastRenderedPageBreak/>
        <w:t>mejor de las posibles, pues debemos respetar las opciones legislativas siempre que las mismas se ajusten al texto constitucional (SSTC 60/1991, 198/2012) [FJ 4].</w:t>
      </w:r>
    </w:p>
    <w:p w:rsidR="0085709A" w:rsidRDefault="0085709A" w:rsidP="0085709A">
      <w:pPr>
        <w:pStyle w:val="Extracto"/>
      </w:pPr>
    </w:p>
    <w:p w:rsidR="0085709A" w:rsidRDefault="0085709A" w:rsidP="0085709A">
      <w:pPr>
        <w:pStyle w:val="Extracto"/>
      </w:pPr>
      <w:r>
        <w:t>6.</w:t>
      </w:r>
      <w:r>
        <w:tab/>
        <w:t>No cabe deducir de la Constitución la existencia de una reserva reglamentaria, de manera que el legislador no tiene vedada la regulación de materias que no le estén materialmente reservadas, de suerte que, dentro del marco de la Constitución y respetando sus específicas limitaciones, la ley puede tener en nuestro ordenamiento cualquier contenido y en modo alguno le está vedada la regulación de materias antes atribuidas al poder reglamentario (STC 120/2014) [FJ 5].</w:t>
      </w:r>
    </w:p>
    <w:p w:rsidR="0085709A" w:rsidRDefault="0085709A" w:rsidP="0085709A">
      <w:pPr>
        <w:pStyle w:val="Extracto"/>
      </w:pPr>
    </w:p>
    <w:p w:rsidR="0085709A" w:rsidRDefault="0085709A" w:rsidP="0085709A">
      <w:pPr>
        <w:pStyle w:val="Extracto"/>
      </w:pPr>
      <w:r>
        <w:t>7.</w:t>
      </w:r>
      <w:r>
        <w:tab/>
        <w:t>Se reconoce la aptitud del decreto-ley para abordar una regulación que podría haberse incluido en una norma reglamentaria, siempre que la exigencia de sistematicidad en la regulación de la materia haga aconsejable su regulación conjunta a través del decreto-ley, pues lo que este Tribunal ha declarado inconstitucional, por contrario al art. 86.1 CE, son las remisiones reglamentarias exclusivamente deslegalizadoras carentes de cualquier tipo de plazo, y no las habilitaciones reglamentarias relacionadas con cambios organizativos o necesarias, dada la imposibilidad técnica de proceder a una aplicación inmediata de los preceptos del decreto-ley (SSTC 29/1982, 23/1993) [FJ 5].</w:t>
      </w:r>
    </w:p>
    <w:p w:rsidR="0085709A" w:rsidRDefault="0085709A" w:rsidP="0085709A">
      <w:pPr>
        <w:pStyle w:val="Extracto"/>
      </w:pPr>
    </w:p>
    <w:p w:rsidR="0085709A" w:rsidRDefault="0085709A" w:rsidP="0085709A">
      <w:pPr>
        <w:pStyle w:val="Extracto"/>
      </w:pPr>
      <w:r>
        <w:t>8.</w:t>
      </w:r>
      <w:r>
        <w:tab/>
        <w:t>La presunción de constitucionalidad de normas con rango de ley no puede desvirtuarse sin una argumentación suficiente, no siendo admisibles las impugnaciones globales carentes de un razonamiento desarrollado que las sustente (STC 101/2013)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3931-2013, promovido por más de 50 diputados del Grupo Parlamentario Socialista en relación con el Real Decreto-Ley 6/2013, de 22 de marzo, de protección a los titulares de determinados productos de ahorro e inversión y otras medidas de carácter financiero. Ha comparecido y formulado alegaciones el Abogado del Estado.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24 de junio de 2013 tuvo entrada en el Registro General de este Tribunal Constitucional, escrito de la Procuradora de los Tribunales, doña Virginia Aragón Segura por el que, en nombre y representación de más de cincuenta Diputados del Grupo Parlamentario Socialista, interpone recurso de inconstitucionalidad en relación con el Real Decreto-ley 6/2013, de 22 de marzo, de protección a los titulares de determinados productos de ahorro e inversión y otras medidas de carácter financiero.</w:t>
      </w:r>
    </w:p>
    <w:p w:rsidR="0085709A" w:rsidRDefault="0085709A" w:rsidP="0085709A">
      <w:pPr>
        <w:pStyle w:val="TextoNormal"/>
      </w:pPr>
    </w:p>
    <w:p w:rsidR="0085709A" w:rsidRDefault="0085709A" w:rsidP="0085709A">
      <w:pPr>
        <w:pStyle w:val="TextoNormal"/>
      </w:pPr>
      <w:r>
        <w:t>La demanda comienza por referirse a lo que constituye el contenido del Real Decreto-ley que es objeto del presente recurso de inconstitucionalidad, a constatar el cumplimiento de los requisitos procesales para el planteamiento del recurso, y a efectuar un pormenorizado análisis del contexto general en el que se inserta la disposición impugnada.</w:t>
      </w:r>
    </w:p>
    <w:p w:rsidR="0085709A" w:rsidRDefault="0085709A" w:rsidP="0085709A">
      <w:pPr>
        <w:pStyle w:val="TextoNormal"/>
      </w:pPr>
    </w:p>
    <w:p w:rsidR="0085709A" w:rsidRDefault="0085709A" w:rsidP="0085709A">
      <w:pPr>
        <w:pStyle w:val="TextoNormal"/>
      </w:pPr>
      <w:r>
        <w:t>El recurrente efectúa a continuación un análisis de la figura del decreto-ley y de lo que considera su abusiva utilización por este Gobierno. Se recoge en este apartado una amplia referencia a la jurisprudencia constitucional relativa al art. 86.1 CE y, en concreto, en relación con: las limitaciones derivadas de la concurrencia de la “extraordinaria y urgente necesidad”; la necesaria “conexión de sentido o relación de adecuación” entre la situación definida como presupuesto habilitante y las medidas contenidas en el decreto-ley para subvenir a la misma, lo que supone la exigencia de que el mismo implique una acción inmediata, y que ésta no pueda conseguirse por los mecanismos legislativos ordinarios en igual plazo de tiempo; la definición de esa situación excepcional, que debe ser “explícita y razonada”; y la no afectación a determinadas materias, entre las que se incluyen “los derechos de los ciudadanos regulados en el Título I de la Constitución” (SSTC 111/1983, 137/2011, 182/1997, 29/1982, 68/2007, 11/2002, 1/2012, 137/2003, 237/2012, y 39/2013). Se afirma a continuación que la apelación del Gobierno a esta figura de legislación de urgencia durante la presente legislatura no es en modo alguno excepcional, sino que se ha convertido en la forma ordinaria de legislar, dando lugar a una utilización claramente abusiva de un procedimiento que la Constitución no ha previsto como ordinario y cuyo uso ha sometido a estrictas condiciones que no se pueden desconocer. Esta utilización abusiva desvirtúa los fundamentos de la democracia parlamentaria y del sistema clásico de fuentes del derecho y de división de poderes de nuestro sistema constitucional, además de limitar las facultades que se atribuyen a los diputados y grupos minoritarios, especialmente en una situación de gobierno con mayoría absoluta en las dos Cámaras.</w:t>
      </w:r>
    </w:p>
    <w:p w:rsidR="0085709A" w:rsidRDefault="0085709A" w:rsidP="0085709A">
      <w:pPr>
        <w:pStyle w:val="TextoNormal"/>
      </w:pPr>
    </w:p>
    <w:p w:rsidR="0085709A" w:rsidRDefault="0085709A" w:rsidP="0085709A">
      <w:pPr>
        <w:pStyle w:val="TextoNormal"/>
      </w:pPr>
      <w:r>
        <w:t>En cuanto a los concretos motivos de inconstitucionalidad que se imputan a la disposición impugnada, la parte recurrente alega que el Decreto-ley no cumple el requisito de la “extraordinaria y urgente necesidad” que exige el art. 86.1 CE, en los términos contemplados por la jurisprudencia constitucional.</w:t>
      </w:r>
    </w:p>
    <w:p w:rsidR="0085709A" w:rsidRDefault="0085709A" w:rsidP="0085709A">
      <w:pPr>
        <w:pStyle w:val="TextoNormal"/>
      </w:pPr>
    </w:p>
    <w:p w:rsidR="0085709A" w:rsidRDefault="0085709A" w:rsidP="0085709A">
      <w:pPr>
        <w:pStyle w:val="TextoNormal"/>
      </w:pPr>
      <w:r>
        <w:t>Se afirma así el incumplimiento de la exigencia relativa a la necesaria justificación, debidamente razonada y motivada, del presupuesto habilitante. En este sentido, la exposición de motivos de la norma se limita a un exiguo y parco párrafo, insuficiente para avalar su constitucionalidad, pues la situación que justificaría el recurso a una norma excepcional, es la de ofrecer una solución global y completa a los tenedores de participaciones preferentes y deuda subordinada que no pueden recuperar sus ahorros.</w:t>
      </w:r>
    </w:p>
    <w:p w:rsidR="0085709A" w:rsidRDefault="0085709A" w:rsidP="0085709A">
      <w:pPr>
        <w:pStyle w:val="TextoNormal"/>
      </w:pPr>
    </w:p>
    <w:p w:rsidR="0085709A" w:rsidRDefault="0085709A" w:rsidP="0085709A">
      <w:pPr>
        <w:pStyle w:val="TextoNormal"/>
      </w:pPr>
      <w:r>
        <w:lastRenderedPageBreak/>
        <w:t>La cuestión a resolver es, pues, si el Real Decreto-ley 6/2013 responde a esta necesidad urgente de solucionar una situación injusta, si agiliza los mecanismos para que los ciudadanos recuperen sus ahorros. Afirma la demanda, en este sentido, que sólo la adopción de medidas dirigidas a hacer posible la devolución de lo invertido en estos productos de alto riesgo atendería a la situación de extraordinaria y urgente necesidad de los que invirtieron en participaciones preferentes y deuda subordinada, mientras la norma impugnada se limita a establecer dos medidas que no vienen a dar respuesta inmediata a la situación extraordinaria de los inversores minoristas, por lo que no se puede apreciar la constitucionalmente exigida conexión entre la norma urgente y la respuesta que, a través de la misma, da el Gobierno. En primer lugar, crea una comisión de seguimiento de instrumentos híbridos de capital y deuda subordinada, cuyas funciones son básicamente de análisis e informe y, en consecuencia, su trabajo no va a impulsar ni acelerar la solución de la situación de los “preferentistas”, por lo que viene simplemente a redundar en lo que ya había decidido el Fondo de reestructuración ordenada bancaria (FROB) en su resolución de 22 de marzo de 2013, que obliga a los titulares de participaciones preferentes y deuda subordinada de las entidades financieras del denominado grupo 1, a una conversión obligatoria de sus títulos por acciones muy devaluadas.</w:t>
      </w:r>
    </w:p>
    <w:p w:rsidR="0085709A" w:rsidRDefault="0085709A" w:rsidP="0085709A">
      <w:pPr>
        <w:pStyle w:val="TextoNormal"/>
      </w:pPr>
    </w:p>
    <w:p w:rsidR="0085709A" w:rsidRDefault="0085709A" w:rsidP="0085709A">
      <w:pPr>
        <w:pStyle w:val="TextoNormal"/>
      </w:pPr>
      <w:r>
        <w:t>En segundo lugar, se señala que para la creación de la comisión no era necesaria una norma con rango de ley, por lo que la aprobación del Decreto-ley resulta innecesaria y desproporcionada, quebrando por este motivo la relación de adecuación que, según la jurisprudencia del Tribunal Constitucional, ha de existir entre la urgencia apreciada y las medidas instrumentadas por la norma, dado que la normativa vigente contemplaba ya los mecanismos aquí previstos.</w:t>
      </w:r>
    </w:p>
    <w:p w:rsidR="0085709A" w:rsidRDefault="0085709A" w:rsidP="0085709A">
      <w:pPr>
        <w:pStyle w:val="TextoNormal"/>
      </w:pPr>
    </w:p>
    <w:p w:rsidR="0085709A" w:rsidRDefault="0085709A" w:rsidP="0085709A">
      <w:pPr>
        <w:pStyle w:val="TextoNormal"/>
      </w:pPr>
      <w:r>
        <w:t>Afirma la demanda que los mecanismos de gestión de estos productos híbridos ya estaban en marcha al aprobarse el Decreto-ley, por lo que no se aprecia avance alguno en la situación de los tenedores de participaciones preferentes, y cita al respecto el Real Decreto-ley 24/2012, de 31 de agosto, de reestructuración y resolución de entidades de crédito, y la Ley 9/2012, de 14 de noviembre, de reestructuración y resolución de entidades de crédito. El Ministro de Economía y Competitividad, en el debate de convalidación de la presente norma, habría reconocido que los procedimientos de arbitraje para dirimir las controversias derivadas de la comercialización de participaciones preferentes y deuda subordinada se estaban aplicando en las entidades afectadas, por lo que la normativa vigente ya contemplaba los mecanismos a que se refiere el Decreto-ley.</w:t>
      </w:r>
    </w:p>
    <w:p w:rsidR="0085709A" w:rsidRDefault="0085709A" w:rsidP="0085709A">
      <w:pPr>
        <w:pStyle w:val="TextoNormal"/>
      </w:pPr>
    </w:p>
    <w:p w:rsidR="0085709A" w:rsidRDefault="0085709A" w:rsidP="0085709A">
      <w:pPr>
        <w:pStyle w:val="TextoNormal"/>
      </w:pPr>
      <w:r>
        <w:t>Por otro lado, considera la demanda que la justificación que se incluye en la exposición de motivos de la norma, en relación con la extraordinaria y urgente necesidad, ha sido desmentida por el propio Ministro de Economía y Competitividad. Así, en la exposición de motivos se aludía al “cumplimiento de los compromisos adquiridos de conformidad con el Memorando de Entendimiento firmado para la asistencia financiera europea a la citada reestructuración”. Pues bien, el Ministro habría reconocido que esta norma no es consecuencia del memorando, “no tiene que ver con el MOU”.</w:t>
      </w:r>
    </w:p>
    <w:p w:rsidR="0085709A" w:rsidRDefault="0085709A" w:rsidP="0085709A">
      <w:pPr>
        <w:pStyle w:val="TextoNormal"/>
      </w:pPr>
    </w:p>
    <w:p w:rsidR="0085709A" w:rsidRDefault="0085709A" w:rsidP="0085709A">
      <w:pPr>
        <w:pStyle w:val="TextoNormal"/>
      </w:pPr>
      <w:r>
        <w:t xml:space="preserve">En definitiva, no se ha producido como consecuencia del Decreto-ley 6/2013 una alteración de la situación preexistente, no se ha aportado solución alguna, ni impulsado o acelerado las ya existentes, por lo que no se cumple la exigencia reflejada en la STC 29/1982, </w:t>
      </w:r>
      <w:r>
        <w:lastRenderedPageBreak/>
        <w:t>donde se afirma que no concurre el presupuesto habilitante si la norma no contiene disposiciones que “por su estructura misma, independientemente de su contenido, no modifican de manera instantánea la situación jurídica existente”. Por todo ello, se afirma que el Real Decreto-ley no cumple el requisito de la “extraordinaria y urgente necesidad” que exige el art. 86.1 CE, en los términos exigidos por la doctrina de este Tribunal.</w:t>
      </w:r>
    </w:p>
    <w:p w:rsidR="0085709A" w:rsidRDefault="0085709A" w:rsidP="0085709A">
      <w:pPr>
        <w:pStyle w:val="TextoNormal"/>
      </w:pPr>
    </w:p>
    <w:p w:rsidR="0085709A" w:rsidRDefault="0085709A" w:rsidP="0085709A">
      <w:pPr>
        <w:pStyle w:val="TextoNormal"/>
      </w:pPr>
      <w:r w:rsidRPr="0085709A">
        <w:rPr>
          <w:rStyle w:val="NumeroAFNegritaCaracter"/>
        </w:rPr>
        <w:t>2</w:t>
      </w:r>
      <w:r>
        <w:t>. El Pleno del Tribunal, a propuesta de la Sección Tercera y por providencia de 11 de julio de 2013, admitió a trámite el presente recurso de inconstitucionalidad, acordando dar traslado de la demanda y documentos presentados, conforme establece el artículo 34 de la Ley Orgánica del Tribunal Constitucional, al Congreso de los Diputados y al Senado, por conducto de sus Presidentes, y al Gobierno, a través del Ministro de Justicia, al objeto de que en el plazo de quince días, pudieran personarse en el proceso y formular las alegaciones que estimaran pertinentes; y se acuerda asimismo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En fecha 19 de julio de 2013, el Abogado del Estado se persona en el recurso, en nombre del Gobierno y solicita una prórroga de ocho días en el plazo concedido para formular alegaciones. El Pleno del Tribunal, en providencia de 22 de julio, acuerda la concesión de la prórroga solicitada.</w:t>
      </w:r>
    </w:p>
    <w:p w:rsidR="0085709A" w:rsidRDefault="0085709A" w:rsidP="0085709A">
      <w:pPr>
        <w:pStyle w:val="TextoNormal"/>
      </w:pPr>
    </w:p>
    <w:p w:rsidR="0085709A" w:rsidRDefault="0085709A" w:rsidP="0085709A">
      <w:pPr>
        <w:pStyle w:val="TextoNormal"/>
      </w:pPr>
      <w:r w:rsidRPr="0085709A">
        <w:rPr>
          <w:rStyle w:val="NumeroAFNegritaCaracter"/>
        </w:rPr>
        <w:t>4</w:t>
      </w:r>
      <w:r>
        <w:t>. La Mesa del Congreso de los Diputados, por escrito de su Presidente de 24 de julio de 2013, acuerda dar por personada a la Cámara en este procedimiento y por ofrecida su colaboración a los efectos del artículo 88.1 de la Ley Orgánica del Tribunal Constitucional. En idéntico sentido se pronuncia la Mesa del Senado, en escrito de 3 de septiembre siguiente.</w:t>
      </w:r>
    </w:p>
    <w:p w:rsidR="0085709A" w:rsidRDefault="0085709A" w:rsidP="0085709A">
      <w:pPr>
        <w:pStyle w:val="TextoNormal"/>
      </w:pPr>
    </w:p>
    <w:p w:rsidR="0085709A" w:rsidRDefault="0085709A" w:rsidP="0085709A">
      <w:pPr>
        <w:pStyle w:val="TextoNormal"/>
      </w:pPr>
      <w:r w:rsidRPr="0085709A">
        <w:rPr>
          <w:rStyle w:val="NumeroAFNegritaCaracter"/>
        </w:rPr>
        <w:t>5</w:t>
      </w:r>
      <w:r>
        <w:t>. En fecha 12 septiembre de 2013 tiene entrada en el Registro de este Tribunal el escrito de alegaciones que formula el Abogado del Estado, en nombre y representación del Gobierno de la Nación, en el que solicita que se inadmita el recurso respecto del artículo 2, las disposiciones adicionales primera y segunda, la disposición derogatoria única y las disposiciones finales primera a sexta del Real Decreto-ley 6/2013 y se desestime el recurso en lo demás.</w:t>
      </w:r>
    </w:p>
    <w:p w:rsidR="0085709A" w:rsidRDefault="0085709A" w:rsidP="0085709A">
      <w:pPr>
        <w:pStyle w:val="TextoNormal"/>
      </w:pPr>
    </w:p>
    <w:p w:rsidR="0085709A" w:rsidRDefault="0085709A" w:rsidP="0085709A">
      <w:pPr>
        <w:pStyle w:val="TextoNormal"/>
      </w:pPr>
      <w:r>
        <w:t>El Abogado del Estado se refiere, en primer término, al contenido del Real Decreto-ley, mediante una extensa cita de lo señalado en su preámbulo, y afirma a continuación que la demanda solicita la declaración de inconstitucionalidad de la totalidad del mismo por un único motivo; en concreto, porque faltaría la necesaria conexión entre la medidas recogidas en el texto y la situación de extraordinaria y urgente necesidad a que trata de atender, siendo así que solo se argumenta sobre esta desconexión en relación con el artículo 1 de la norma, sin que se efectúe mención ni argumentación alguna respecto del art. 2, las disposiciones adicionales, finales y derogatorias del mismo. Respecto de estos últimos preceptos, el recurso no levanta la carga de fundamentar su pretensión y colaborar con la justicia del Tribunal, en los términos exigidos por la doctrina constitucional, por lo que solicita la inadmisión del recurso en relación con los mismos.</w:t>
      </w:r>
    </w:p>
    <w:p w:rsidR="0085709A" w:rsidRDefault="0085709A" w:rsidP="0085709A">
      <w:pPr>
        <w:pStyle w:val="TextoNormal"/>
      </w:pPr>
    </w:p>
    <w:p w:rsidR="0085709A" w:rsidRDefault="0085709A" w:rsidP="0085709A">
      <w:pPr>
        <w:pStyle w:val="TextoNormal"/>
      </w:pPr>
      <w:r>
        <w:t xml:space="preserve">A continuación, efectúa el Abogado del Estado una extensa cita de la doctrina constitucional sobre la concurrencia del presupuesto habilitante para el dictado de la norma de urgencia regulada en el art. 86 CE, recordando que el Tribunal tiene declarada la especial </w:t>
      </w:r>
      <w:r>
        <w:lastRenderedPageBreak/>
        <w:t>aptitud del real decreto-ley para atender a coyunturas económicas problemáticas (SSTC 6/1983, 111/1983, 29/1986, 60/1986, 23/1993, 182/1997, 137/2003), llegando a identificar la “extraordinaria y urgente necesidad” con “situaciones de necesidad relativas”. Declara así la especial aptitud del decreto-ley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11/2002, 137/2003 y 189/2005). En definitiva, el canon de enjuiciamiento del presupuesto habilitante se ciñe a corregir una eventual valoración abusiva o arbitraria por parte de los poderes políticos, de la necesidad concurrente.</w:t>
      </w:r>
    </w:p>
    <w:p w:rsidR="0085709A" w:rsidRDefault="0085709A" w:rsidP="0085709A">
      <w:pPr>
        <w:pStyle w:val="TextoNormal"/>
      </w:pPr>
    </w:p>
    <w:p w:rsidR="0085709A" w:rsidRDefault="0085709A" w:rsidP="0085709A">
      <w:pPr>
        <w:pStyle w:val="TextoNormal"/>
      </w:pPr>
      <w:r>
        <w:t>A juicio del representante estatal, la propia demanda acepta que la situación de los preferentistas a que pretende atender el Real Decreto-ley 6/2013 “justificaría” el recurso a la norma de urgencia y, por tanto, que la atención a esta situación reunía los requisitos de extraordinaria y urgente necesidad, si bien entiende que la solución que da la norma no es “global y completa” y no les permitiría “recuperar sus ahorros”. Continúa señalando además la demanda, que “solo la adopción de medidas dirigidas a hacer posible la devolución de lo invertido en estos productos de alto riesgo atendería a la situación de extraordinaria y urgente necesidad de los que invirtieron en participaciones preferentes y deuda subordinada”. Por tanto, la demanda acepta que existe una situación de urgente y extraordinaria necesidad, pero considera que el Gobierno y el Congreso de los Diputados no han acertado con las medidas adoptadas para solventar tal situación de necesidad.</w:t>
      </w:r>
    </w:p>
    <w:p w:rsidR="0085709A" w:rsidRDefault="0085709A" w:rsidP="0085709A">
      <w:pPr>
        <w:pStyle w:val="TextoNormal"/>
      </w:pPr>
    </w:p>
    <w:p w:rsidR="0085709A" w:rsidRDefault="0085709A" w:rsidP="0085709A">
      <w:pPr>
        <w:pStyle w:val="TextoNormal"/>
      </w:pPr>
      <w:r>
        <w:t>En definitiva, la demanda admite la extraordinaria y urgente necesidad de atender a la situación de los tenedores de preferentes y deuda subordinada; sin embargo, se pretende que el Tribunal realice un juicio puramente político de si las medidas adoptadas en el Real Decreto-ley atienden eficazmente a paliar esa necesidad, en cuanto considera que solo las medidas que garantizaran la plena devolución de lo invertido serían eficaces. A juicio del Abogado del Estado, la justicia constitucional puede y debe valorar si entre la necesidad de las medidas adoptadas en la norma de urgencia existe un mínimo grado de conexión lógica que permita definir a éstas como respuesta —acertada o no, este ya es un juicio político— a aquella necesidad. Lo que no puede demandarse del Tribunal es que dirima entre el Gobierno/mayoría parlamentaria y los Sres. Diputados de la oposición sobre qué medidas son más eficaces para solventar la necesidad apreciada en común por todo el arco parlamentario. Estas consideraciones entran dentro del juicio político de la eficacia en la actuación de los órganos políticos y, por tanto, de una de las funciones políticas que incumben a las Cortes Generales y a los ciudadanos titulares de la soberanía. La doctrina constitucional ha declarado que la Constitución es un marco de coincidencias suficientemente amplio como para que dentro de él quepan opciones políticas de muy diferente signo, y, por tanto, muy diversas líneas de actuación política, cuya eficacia e idoneidad podrán ser objeto de crítica y debate político, más no constitucional.</w:t>
      </w:r>
    </w:p>
    <w:p w:rsidR="0085709A" w:rsidRDefault="0085709A" w:rsidP="0085709A">
      <w:pPr>
        <w:pStyle w:val="TextoNormal"/>
      </w:pPr>
    </w:p>
    <w:p w:rsidR="0085709A" w:rsidRDefault="0085709A" w:rsidP="0085709A">
      <w:pPr>
        <w:pStyle w:val="TextoNormal"/>
      </w:pPr>
      <w:r>
        <w:t>Afirma el representante estatal que con estos razonamientos bastaría para dar respuesta a la demanda y para proceder a la íntegra desestimación del recurso. No obstante lo cual se procede a continuación a hacer las siguientes consideraciones:</w:t>
      </w:r>
    </w:p>
    <w:p w:rsidR="0085709A" w:rsidRDefault="0085709A" w:rsidP="0085709A">
      <w:pPr>
        <w:pStyle w:val="TextoNormal"/>
      </w:pPr>
    </w:p>
    <w:p w:rsidR="0085709A" w:rsidRDefault="0085709A" w:rsidP="0085709A">
      <w:pPr>
        <w:pStyle w:val="TextoNormal"/>
      </w:pPr>
      <w:r>
        <w:t>a) Exteriorización de la concurrencia de la extraordinaria y urgente necesidad.</w:t>
      </w:r>
    </w:p>
    <w:p w:rsidR="0085709A" w:rsidRDefault="0085709A" w:rsidP="0085709A">
      <w:pPr>
        <w:pStyle w:val="TextoNormal"/>
      </w:pPr>
    </w:p>
    <w:p w:rsidR="0085709A" w:rsidRDefault="0085709A" w:rsidP="0085709A">
      <w:pPr>
        <w:pStyle w:val="TextoNormal"/>
      </w:pPr>
      <w:r>
        <w:lastRenderedPageBreak/>
        <w:t>Además de la justificación que aporta el preámbulo de la norma, el Abogado del Estado hace una extensa referencia literal a las manifestaciones efectuadas por el Ministro de Economía y Competitividad en el debate de convalidación, resaltando que se trataba de dar solución a la situación en la que se encuentran más de 300.000 tenedores de estos productos financieros complejos, y de impulsar las medidas a través de las cuales se pretendía atender a esa necesidad. La demanda sigue discrepando, desde la perspectiva política, de la solución adoptada por el Gobierno en el artículo 1 del Real Decreto-ley, en el que se crea la comisión de seguimiento de instrumentos híbridos de capital y deuda subordinada, pero no hace mención alguna a las restantes medidas, sobre las cuales se desconoce los motivos por las que la parte recurrente las considera desconectadas de la necesidad apreciada y compartida incluso por los recurrentes.</w:t>
      </w:r>
    </w:p>
    <w:p w:rsidR="0085709A" w:rsidRDefault="0085709A" w:rsidP="0085709A">
      <w:pPr>
        <w:pStyle w:val="TextoNormal"/>
      </w:pPr>
    </w:p>
    <w:p w:rsidR="0085709A" w:rsidRDefault="0085709A" w:rsidP="0085709A">
      <w:pPr>
        <w:pStyle w:val="TextoNormal"/>
      </w:pPr>
      <w:r>
        <w:t>b) Conexión lógica entre la medida discutida por la demanda y la necesidad que se pretende subsanar.</w:t>
      </w:r>
    </w:p>
    <w:p w:rsidR="0085709A" w:rsidRDefault="0085709A" w:rsidP="0085709A">
      <w:pPr>
        <w:pStyle w:val="TextoNormal"/>
      </w:pPr>
    </w:p>
    <w:p w:rsidR="0085709A" w:rsidRDefault="0085709A" w:rsidP="0085709A">
      <w:pPr>
        <w:pStyle w:val="TextoNormal"/>
      </w:pPr>
      <w:r>
        <w:t xml:space="preserve">Reitera en este punto el Abogado del Estado que la demanda pretende imponer al Gobierno una determinada línea de actuación (plena “devolución de lo invertido”), que habrá quienes la consideren deseable, pero que no convierte en inconstitucionales otras medidas que cabe adoptar dentro del amplio marco que fija nuestra Constitución. Además, y, al margen de la crítica política, la demanda únicamente hace alguna referencia a la medida recogida en el artículo 1, respecto de la cual afirma, que para crear la comisión de seguimiento no es necesaria una norma con rango de ley. A este respecto se recuerda que el artículo 103.2 CE establece una “reserva relativa” de ley en la creación de los órganos de la Administración del Estado, previsión que no exige que todos los órganos de la Administración se creen por ley, sino que ésta regule los elementos estructurales y esenciales de la organización administrativa general (STC 60/1986), por lo que puede resultar razonable que el legislador de urgencia considere oportuno crear </w:t>
      </w:r>
      <w:r w:rsidRPr="0085709A">
        <w:rPr>
          <w:i/>
        </w:rPr>
        <w:t>ex novo</w:t>
      </w:r>
      <w:r>
        <w:t xml:space="preserve"> por una norma de rango legal un órgano carente de toda disciplina en la normativa administrativa general, lo que permite cubrir la reserva de ley en la organización administrativa, esto es, la Ley 50/1997, del Gobierno, o la Ley 6/1997, de organización y funcionamiento de la Administración general del Estado.</w:t>
      </w:r>
    </w:p>
    <w:p w:rsidR="0085709A" w:rsidRDefault="0085709A" w:rsidP="0085709A">
      <w:pPr>
        <w:pStyle w:val="TextoNormal"/>
      </w:pPr>
    </w:p>
    <w:p w:rsidR="0085709A" w:rsidRDefault="0085709A" w:rsidP="0085709A">
      <w:pPr>
        <w:pStyle w:val="TextoNormal"/>
      </w:pPr>
      <w:r>
        <w:t>Pero, además, en nuestro Derecho no existe la llamada “reserva reglamentaria”, por lo que no hay ningún impedimento constitucional para que otra norma de rango legal —el decreto-ley— regule materias que, en principio, pudieran no estar materialmente reservadas a la ley. En el presente caso, considera el representante estatal, es absolutamente razonable que se otorgue rango legal a un órgano que se pretende que actúe como organismo supervisor de los procedimientos para la solución de las controversias entre los tenedores de productos financieros complejos y las entidades de crédito emisoras.</w:t>
      </w:r>
    </w:p>
    <w:p w:rsidR="0085709A" w:rsidRDefault="0085709A" w:rsidP="0085709A">
      <w:pPr>
        <w:pStyle w:val="TextoNormal"/>
      </w:pPr>
    </w:p>
    <w:p w:rsidR="0085709A" w:rsidRDefault="0085709A" w:rsidP="0085709A">
      <w:pPr>
        <w:pStyle w:val="TextoNormal"/>
      </w:pPr>
      <w:r>
        <w:t xml:space="preserve">Se analiza a continuación la última cuestión que plantea la demanda; en concreto, que los mecanismos de gestión de estos productos híbridos ya se estaban llevando a cabo. A juicio del Abogado del Estado, la Ley 9/2012 no establecía marco alguno en el que se articulara e hiciera un seguimiento y control de los procedimientos arbitrales para la solución de controversias entre los tenedores de títulos y las entidades emisoras, por lo que no cabe afirmar que el artículo 1 del Real Decreto-ley no innove la situación preexistente, sino que, muy al contrario, crea el entramado institucional encargado de la supervisión del principal </w:t>
      </w:r>
      <w:r>
        <w:lastRenderedPageBreak/>
        <w:t>procedimiento arbitral, con directa incidencia en el éxito del proceso de reestructuración del sector financiero que se está llevando a cabo con el apoyo de la Unión Europea.</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3 de febrero de 2015 se acordó señalar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proceso constitucional tiene por objeto resolver el recurso de inconstitucionalidad formulado por más de cincuenta Diputados del Grupo Parlamentario Socialista en relación con el Real Decreto-ley 6/2013, de 22 de marzo, de protección a los titulares de determinados productos de ahorro e inversión y otras medidas de carácter financiero.</w:t>
      </w:r>
    </w:p>
    <w:p w:rsidR="0085709A" w:rsidRDefault="0085709A" w:rsidP="0085709A">
      <w:pPr>
        <w:pStyle w:val="TextoNormal"/>
      </w:pPr>
    </w:p>
    <w:p w:rsidR="0085709A" w:rsidRDefault="0085709A" w:rsidP="0085709A">
      <w:pPr>
        <w:pStyle w:val="TextoNormal"/>
      </w:pPr>
      <w:r>
        <w:t>La impugnación formulada se dirige contra la totalidad del Real Decreto-ley y se fundamenta por los diputados recurrentes en la no concurrencia del requisito de la “extraordinaria y urgente necesidad” enunciado por el artículo 86.1 CE, como presupuesto habilitante del real decreto-ley. Afirma el recurrente que el Real Decreto-ley 6/2013 no responde a la necesidad urgente de solucionar la situación de quiénes invirtieron en participaciones preferentes y deuda subordinada, pues se limita a establecer dos medidas que no dan respuesta inmediata a la situación de extraordinaria necesidad de los inversores minoristas: por un lado, crea la comisión de seguimiento de los instrumentos híbridos de capital y deuda subordinada, cuyas funciones son básicamente de análisis e informe, por lo que no va a impulsar la solución de la situación de los “preferentistas”; y, por otro, acude a una figura normativa, el decreto-ley, que resulta innecesaria y desproporcionada, dado que la normativa vigente ya contemplaba los mecanismos aquí previstos, por lo que no contribuye a aportar solución alguna.</w:t>
      </w:r>
    </w:p>
    <w:p w:rsidR="0085709A" w:rsidRDefault="0085709A" w:rsidP="0085709A">
      <w:pPr>
        <w:pStyle w:val="TextoNormal"/>
      </w:pPr>
    </w:p>
    <w:p w:rsidR="0085709A" w:rsidRDefault="0085709A" w:rsidP="0085709A">
      <w:pPr>
        <w:pStyle w:val="TextoNormal"/>
      </w:pPr>
      <w:r>
        <w:t>El Abogado del Estado refuta, como más ampliamente se expone en los antecedentes, estos argumentos y defiende que la aprobación del Real Decreto-ley 6/2013 se llevó a cabo con pleno respeto a los requisitos formales del art. 86 CE, concurriendo en el mismo tanto el presupuesto habilitante de la extraordinaria y urgente necesidad, en los términos plasmados en el preámbulo de la norma y en el debate de convalidación, como la conexión de sentido entre dicho presupuesto habilitante y las medidas adoptadas, por lo que solicita la desestimación total del recurso.</w:t>
      </w:r>
    </w:p>
    <w:p w:rsidR="0085709A" w:rsidRDefault="0085709A" w:rsidP="0085709A">
      <w:pPr>
        <w:pStyle w:val="TextoNormal"/>
      </w:pPr>
    </w:p>
    <w:p w:rsidR="0085709A" w:rsidRDefault="0085709A" w:rsidP="0085709A">
      <w:pPr>
        <w:pStyle w:val="TextoNormal"/>
      </w:pPr>
      <w:r w:rsidRPr="0085709A">
        <w:rPr>
          <w:rStyle w:val="NumeroAFNegritaCaracter"/>
        </w:rPr>
        <w:t>2</w:t>
      </w:r>
      <w:r>
        <w:t>. Delimitado el objeto del recurso, y con carácter previo al examen de fondo, debemos pronunciarnos sobre la concurrencia de la causa de inadmisión parcial que plantea el Abogado del Estado.</w:t>
      </w:r>
    </w:p>
    <w:p w:rsidR="0085709A" w:rsidRDefault="0085709A" w:rsidP="0085709A">
      <w:pPr>
        <w:pStyle w:val="TextoNormal"/>
      </w:pPr>
    </w:p>
    <w:p w:rsidR="0085709A" w:rsidRDefault="0085709A" w:rsidP="0085709A">
      <w:pPr>
        <w:pStyle w:val="TextoNormal"/>
      </w:pPr>
      <w:r>
        <w:t>Considera el representante estatal que el texto de la demanda solicita la declaración de inconstitucionalidad de la totalidad de la norma, pero únicamente argumenta sobre la inconstitucionalidad del artículo 1 del Real Decreto-ley, sin que se efectúe mención ni argumentación alguna respecto del artículo 2, ni las disposiciones adicionales, finales y derogatoria del mismo, preceptos en relación con los cuales el recurrente no habría levantado la carga de fundamentar su pretensión ni colaborar con la justicia del Tribunal en los términos exigidos por la jurisprudencia constitucional. En consecuencia, solicita la inadmisión del recurso de inconstitucionalidad en relación con dichos preceptos.</w:t>
      </w:r>
    </w:p>
    <w:p w:rsidR="0085709A" w:rsidRDefault="0085709A" w:rsidP="0085709A">
      <w:pPr>
        <w:pStyle w:val="TextoNormal"/>
      </w:pPr>
    </w:p>
    <w:p w:rsidR="0085709A" w:rsidRDefault="0085709A" w:rsidP="0085709A">
      <w:pPr>
        <w:pStyle w:val="TextoNormal"/>
      </w:pPr>
      <w:r>
        <w:t>Pues, bien, hemos de coincidir en este punto con lo señalado por el Abogado del Estado, pues la lectura de los términos en que está formulada la impugnación pone de manifiesto que la misma se dirige, con carácter exclusivo y único, a lo dispuesto en el art. 1 del Real Decreto-ley 6/2013, esto es, la creación de la comisión de seguimiento de instrumentos híbridos de capital y deuda subordinada. El texto de la demanda comienza por referirse al contenido del Real Decreto-ley, haciendo mención exclusiva a lo dispuesto en su artículo 1 e ignorando el resto de sus preceptos, para, seguidamente, desarrollar sus argumentos únicamente en relación a ese artículo 1, sin que se efectúe mención alguna al resto del articulado.</w:t>
      </w:r>
    </w:p>
    <w:p w:rsidR="0085709A" w:rsidRDefault="0085709A" w:rsidP="0085709A">
      <w:pPr>
        <w:pStyle w:val="TextoNormal"/>
      </w:pPr>
    </w:p>
    <w:p w:rsidR="0085709A" w:rsidRDefault="0085709A" w:rsidP="0085709A">
      <w:pPr>
        <w:pStyle w:val="TextoNormal"/>
      </w:pPr>
      <w:r>
        <w:t>La omisión absoluta de cualquier alegación en relación con los restantes preceptos del Real Decreto-ley 6/2013, que preceptivamente debería acompañar la denuncia de inconstitucionalidad, impide que el Tribunal pueda entrar a pronunciarse sobre los mismos. Así lo hemos reiterado en numerosas ocasiones, pues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(por todas, STC 101/2013, de 23 de abril, FJ 11).</w:t>
      </w:r>
    </w:p>
    <w:p w:rsidR="0085709A" w:rsidRDefault="0085709A" w:rsidP="0085709A">
      <w:pPr>
        <w:pStyle w:val="TextoNormal"/>
      </w:pPr>
    </w:p>
    <w:p w:rsidR="0085709A" w:rsidRDefault="0085709A" w:rsidP="0085709A">
      <w:pPr>
        <w:pStyle w:val="TextoNormal"/>
      </w:pPr>
      <w:r>
        <w:t>En consecuencia, procede desestimar el recurso en relación con el artículo 2; las disposiciones adicionales primera y segunda; la disposición derogatoria única; y las disposiciones finales primera a sexta.</w:t>
      </w:r>
    </w:p>
    <w:p w:rsidR="0085709A" w:rsidRDefault="0085709A" w:rsidP="0085709A">
      <w:pPr>
        <w:pStyle w:val="TextoNormal"/>
      </w:pPr>
    </w:p>
    <w:p w:rsidR="0085709A" w:rsidRDefault="0085709A" w:rsidP="0085709A">
      <w:pPr>
        <w:pStyle w:val="TextoNormal"/>
      </w:pPr>
      <w:r w:rsidRPr="0085709A">
        <w:rPr>
          <w:rStyle w:val="NumeroAFNegritaCaracter"/>
        </w:rPr>
        <w:t>3</w:t>
      </w:r>
      <w:r>
        <w:t>. En cuanto al fondo del asunto, el recurso de inconstitucionalidad formulado se fundamenta en un único motivo de inconstitucionalidad, consistente en la infracción del art. 86.1 CE, por estimar los recurrentes que no concurre, en el supuesto examinado, el presupuesto de “extraordinaria y urgente necesidad” que habilita la utilización de la figura normativa del decreto-ley.</w:t>
      </w:r>
    </w:p>
    <w:p w:rsidR="0085709A" w:rsidRDefault="0085709A" w:rsidP="0085709A">
      <w:pPr>
        <w:pStyle w:val="TextoNormal"/>
      </w:pPr>
    </w:p>
    <w:p w:rsidR="0085709A" w:rsidRDefault="0085709A" w:rsidP="0085709A">
      <w:pPr>
        <w:pStyle w:val="TextoNormal"/>
      </w:pPr>
      <w:r>
        <w:t>Este Tribunal tiene una doctrina consolidada sobre el presupuesto que, según el art. 86.1 CE, habilita al Gobierno para dictar la legislación de urgencia que se manifiesta a través de la figura del decreto-ley. Dicho presupuesto habilitante,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w:t>
      </w:r>
    </w:p>
    <w:p w:rsidR="0085709A" w:rsidRDefault="0085709A" w:rsidP="0085709A">
      <w:pPr>
        <w:pStyle w:val="TextoNormal"/>
      </w:pPr>
    </w:p>
    <w:p w:rsidR="0085709A" w:rsidRDefault="0085709A" w:rsidP="0085709A">
      <w:pPr>
        <w:pStyle w:val="TextoNormal"/>
      </w:pPr>
      <w:r>
        <w:t>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 por lo que la fiscalización de este Órgano constitucional es “un control externo, en el sentido de que debe verificar, pero no sustituir, el juicio político o de oportunidad que corresponde al Gobierno” (STC 182/1997, de 28 de octubre, FJ 3).</w:t>
      </w:r>
    </w:p>
    <w:p w:rsidR="0085709A" w:rsidRDefault="0085709A" w:rsidP="0085709A">
      <w:pPr>
        <w:pStyle w:val="TextoNormal"/>
      </w:pPr>
    </w:p>
    <w:p w:rsidR="0085709A" w:rsidRDefault="0085709A" w:rsidP="0085709A">
      <w:pPr>
        <w:pStyle w:val="TextoNormal"/>
      </w:pPr>
      <w:r>
        <w:t>Este control externo que al Tribunal corresponde realizar se concreta en los siguientes aspectos: en primer lugar, comprobar “que la definición por los órganos políticos de una situación de extraordinaria y urgente necesidad sea explícita y razonada”, y, además “que exista una conexión de sentido o relación de adecuación entre la situación definida que constituye el presupuesto y las medidas que en el Decreto- Ley se adoptan (STC 29/1982, de 31 de mayo, FJ 3), de manera que estas últimas guarden una relación directa o de congruencia con la situación que se trata de afrontar” (STC 182/1997, de 28 de octubre, FJ 3).</w:t>
      </w:r>
    </w:p>
    <w:p w:rsidR="0085709A" w:rsidRDefault="0085709A" w:rsidP="0085709A">
      <w:pPr>
        <w:pStyle w:val="TextoNormal"/>
      </w:pPr>
    </w:p>
    <w:p w:rsidR="0085709A" w:rsidRDefault="0085709A" w:rsidP="0085709A">
      <w:pPr>
        <w:pStyle w:val="TextoNormal"/>
      </w:pPr>
      <w:r>
        <w:t>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85709A" w:rsidRDefault="0085709A" w:rsidP="0085709A">
      <w:pPr>
        <w:pStyle w:val="TextoNormal"/>
      </w:pPr>
    </w:p>
    <w:p w:rsidR="0085709A" w:rsidRDefault="0085709A" w:rsidP="0085709A">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85709A" w:rsidRDefault="0085709A" w:rsidP="0085709A">
      <w:pPr>
        <w:pStyle w:val="TextoNormal"/>
      </w:pPr>
    </w:p>
    <w:p w:rsidR="0085709A" w:rsidRDefault="0085709A" w:rsidP="0085709A">
      <w:pPr>
        <w:pStyle w:val="TextoNormal"/>
      </w:pPr>
      <w:r>
        <w:t xml:space="preserve">Conviene recordar, asimismo, que la doctrina de este Tribunal ha venido admitiendo la aptitud del decreto-ley para atender lo que hemos denominado como “coyunturas económicas problemáticas”, entre ellas, “la apreciación de la urgencia hecha por el Gobierno en casos de modificaciones tributarias que afectaban a las haciendas locales (STC 6/1983, de </w:t>
      </w:r>
      <w:r>
        <w:lastRenderedPageBreak/>
        <w:t>4 de febrero), de situación de riesgo de desestabilización del orden financiero (STC 111/1983, de 2 de diciembre), de adopción de planes de reconversión industrial (STC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de medidas tributarias de saneamiento del déficit público (STC 182/1997, de 28 de octubre) o, en fin, de necesidad de estimular el mercado del automóvil (STC 137/2003, de 3 de Julio)” (STC 68/2007, de 28 de marzo, FJ 6). Hemos considerado asimismo que “la necesidad de consolidar el crecimiento de la actividad económica permite también al Gobierno el recurso al decreto-ley como instrumento normativo adecuado para adoptar medidas de política económica general fundamentadas en garantizar la permanencia en el tiempo de una preexistente fase de expansión económica, lo que habrá de valorarse en atención a las circunstancias que concurran en cada caso concreto” (STC 137/2011, de 14 de septiembre, FJ 6).</w:t>
      </w:r>
    </w:p>
    <w:p w:rsidR="0085709A" w:rsidRDefault="0085709A" w:rsidP="0085709A">
      <w:pPr>
        <w:pStyle w:val="TextoNormal"/>
      </w:pPr>
    </w:p>
    <w:p w:rsidR="0085709A" w:rsidRDefault="0085709A" w:rsidP="0085709A">
      <w:pPr>
        <w:pStyle w:val="TextoNormal"/>
      </w:pPr>
      <w:r>
        <w:t>En definitiva,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(STC 6/1983, FJ 5).</w:t>
      </w:r>
    </w:p>
    <w:p w:rsidR="0085709A" w:rsidRDefault="0085709A" w:rsidP="0085709A">
      <w:pPr>
        <w:pStyle w:val="TextoNormal"/>
      </w:pPr>
    </w:p>
    <w:p w:rsidR="0085709A" w:rsidRDefault="0085709A" w:rsidP="0085709A">
      <w:pPr>
        <w:pStyle w:val="TextoNormal"/>
      </w:pPr>
      <w:r w:rsidRPr="0085709A">
        <w:rPr>
          <w:rStyle w:val="NumeroAFNegritaCaracter"/>
        </w:rPr>
        <w:t>4</w:t>
      </w:r>
      <w:r>
        <w:t>. De acuerdo con la doctrina constitucional expuesta, debemos examinar seguidamente si en el art. 1 del Real Decreto-ley impugnado concurre el presupuesto habilitante de la “extraordinaria y urgente necesidad” exigido por el art. 86.1 CE.</w:t>
      </w:r>
    </w:p>
    <w:p w:rsidR="0085709A" w:rsidRDefault="0085709A" w:rsidP="0085709A">
      <w:pPr>
        <w:pStyle w:val="TextoNormal"/>
      </w:pPr>
    </w:p>
    <w:p w:rsidR="0085709A" w:rsidRDefault="0085709A" w:rsidP="0085709A">
      <w:pPr>
        <w:pStyle w:val="TextoNormal"/>
      </w:pPr>
      <w:r>
        <w:t>El artículo 1 del Real Decreto-ley 6/2013, que es objeto de la presente impugnación, tiene por objeto la creación de la comisión de seguimiento de instrumentos híbridos de capital y deuda subordinada, como órgano colegiado adscrito al Ministerio de Economía y Competitividad, a través de la Secretaría de Estado de Economía y Apoyo a la Empresa. Las funciones que se atribuyen al citado órgano en dicho precepto son:</w:t>
      </w:r>
    </w:p>
    <w:p w:rsidR="0085709A" w:rsidRDefault="0085709A" w:rsidP="0085709A">
      <w:pPr>
        <w:pStyle w:val="TextoNormal"/>
      </w:pPr>
    </w:p>
    <w:p w:rsidR="0085709A" w:rsidRDefault="0085709A" w:rsidP="0085709A">
      <w:pPr>
        <w:pStyle w:val="TextoNormal"/>
      </w:pPr>
      <w:r>
        <w:t>a) El análisis de los factores que han motivado la presentación de reclamaciones judiciales y extrajudiciales por los titulares de instrumentos híbridos de capital y deuda subordinada frente a las entidades de crédito en la que el Fondo de reestructuración ordenada bancaria (FROB) tenga participación.</w:t>
      </w:r>
    </w:p>
    <w:p w:rsidR="0085709A" w:rsidRDefault="0085709A" w:rsidP="0085709A">
      <w:pPr>
        <w:pStyle w:val="TextoNormal"/>
      </w:pPr>
    </w:p>
    <w:p w:rsidR="0085709A" w:rsidRDefault="0085709A" w:rsidP="0085709A">
      <w:pPr>
        <w:pStyle w:val="TextoNormal"/>
      </w:pPr>
      <w:r>
        <w:t>b) La remisión al Congreso de los Diputados, con carácter trimestral, de un informe relativo a los aspectos fundamentales de las reclamaciones a las que se refiere el apartado anterior, sin perjuicio de las competencias que sobre esta materia correspondan a otros órganos, organismos o instituciones.</w:t>
      </w:r>
    </w:p>
    <w:p w:rsidR="0085709A" w:rsidRDefault="0085709A" w:rsidP="0085709A">
      <w:pPr>
        <w:pStyle w:val="TextoNormal"/>
      </w:pPr>
    </w:p>
    <w:p w:rsidR="0085709A" w:rsidRDefault="0085709A" w:rsidP="0085709A">
      <w:pPr>
        <w:pStyle w:val="TextoNormal"/>
      </w:pPr>
      <w:r>
        <w:t>c) En su caso, la elevación de propuestas a las autoridades competentes con la finalidad de mejorar la protección del adquirente de este tipo de productos.</w:t>
      </w:r>
    </w:p>
    <w:p w:rsidR="0085709A" w:rsidRDefault="0085709A" w:rsidP="0085709A">
      <w:pPr>
        <w:pStyle w:val="TextoNormal"/>
      </w:pPr>
    </w:p>
    <w:p w:rsidR="0085709A" w:rsidRDefault="0085709A" w:rsidP="0085709A">
      <w:pPr>
        <w:pStyle w:val="TextoNormal"/>
      </w:pPr>
      <w:r>
        <w:lastRenderedPageBreak/>
        <w:t>Adicionalmente, la comisión determinará los criterios básicos que habrán de emplear las entidades participadas por el FROB al objeto de ofrecer a sus clientes el sometimiento a arbitraje de las controversias que surjan en relación con instrumentos híbridos de capital y deuda subordinada, con el fin de que éstos queden adecuadamente compensados del perjuicio económico soportado, en caso de laudo estimatorio. Asimismo, y dentro de los criterios anteriores, la comisión especificará criterios para designar al colectivo de clientes cuyas reclamaciones, en atención a la especial dificultad de sus circunstancias personales o familiares, deberán recibir una tramitación prioritaria por parte de las entidades participadas por el FROB. La comisión trasladará estos criterios al FROB, que dará las instrucciones necesarias para que sus entidades participadas los adopten.</w:t>
      </w:r>
    </w:p>
    <w:p w:rsidR="0085709A" w:rsidRDefault="0085709A" w:rsidP="0085709A">
      <w:pPr>
        <w:pStyle w:val="TextoNormal"/>
      </w:pPr>
    </w:p>
    <w:p w:rsidR="0085709A" w:rsidRDefault="0085709A" w:rsidP="0085709A">
      <w:pPr>
        <w:pStyle w:val="TextoNormal"/>
      </w:pPr>
      <w:r>
        <w:t>A juicio de los recurrentes, el Decreto-ley impugnado no cumple el requisito de la extraordinaria y urgente necesidad, en los términos contemplados por la jurisprudencia constitucional, pues la exposición de motivos de la norma se limita a una “exiguo y parco párrafo”, insuficiente para avalar su constitucionalidad. Se añade que la situación que justificaría el recurso a una norma excepcional, sería la de ofrecer una solución global y completa a los tenedores de participaciones preferentes y deuda subordinada, que no pueden recuperar sus ahorros, lo que no se hace.</w:t>
      </w:r>
    </w:p>
    <w:p w:rsidR="0085709A" w:rsidRDefault="0085709A" w:rsidP="0085709A">
      <w:pPr>
        <w:pStyle w:val="TextoNormal"/>
      </w:pPr>
    </w:p>
    <w:p w:rsidR="0085709A" w:rsidRDefault="0085709A" w:rsidP="0085709A">
      <w:pPr>
        <w:pStyle w:val="TextoNormal"/>
      </w:pPr>
      <w:r>
        <w:t>A la vista de lo expuesto, es preciso comenzar por el examen de las razones o motivos determinantes de la aprobación de este precepto, que se especifican en la exposición de motivos del Real Decreto-ley 6/2013:</w:t>
      </w:r>
    </w:p>
    <w:p w:rsidR="0085709A" w:rsidRDefault="0085709A" w:rsidP="0085709A">
      <w:pPr>
        <w:pStyle w:val="TextoNormal"/>
      </w:pPr>
    </w:p>
    <w:p w:rsidR="0085709A" w:rsidRDefault="0085709A" w:rsidP="0085709A">
      <w:pPr>
        <w:pStyle w:val="TextoNormal"/>
      </w:pPr>
      <w:r>
        <w:t>“En los últimos años ha crecido el número de reclamaciones por parte de clientes de entidades financieras que habían adquirido instrumentos híbridos de capital y deuda subordinada. En este punto, se considera necesario crear un órgano con la más alta representación institucional que coordine e impulse los trabajos necesarios para hacer un seguimiento de determinadas incidencias que hayan podido derivarse de la comercialización de instrumentos híbridos de capital y deuda subordinada. Dentro de estos trabajos, y con pleno respeto a las competencias que, en materia de supervisión financiera y protección de consumidores y usuarios, ostenten otros organismos y el poder judicial, la Comisión hará un análisis de los factores generadores de las reclamaciones judiciales y extrajudiciales, así como del resultado de éstas, relativas a la comercialización de instrumentos híbridos de capital y deuda subordinada por parte de las entidades participadas por el Fondo de Reestructuración Ordenada Bancaria, realizando informes sobre su evolución, que serán remitidos al Congreso de los Diputados. Además, determinará los criterios básicos para fijar en el caso de entidades participadas por el FROB, en qué casos debe ofrecer a sus clientes la sumisión a arbitraje. Dicho análisis se realizará sin injerencia alguna en la debida independencia e imparcialidad con la que, conforme a la legislación vigente, deben desarrollarse los procedimientos tanto judiciales como arbitrales en materia de consumo y sin que suponga carga adicional de trabajo para los órganos jurisdiccionales o no, competentes para su tramitación, ni para el Consejo General del Poder Judicial.”</w:t>
      </w:r>
    </w:p>
    <w:p w:rsidR="0085709A" w:rsidRDefault="0085709A" w:rsidP="0085709A">
      <w:pPr>
        <w:pStyle w:val="TextoNormal"/>
      </w:pPr>
    </w:p>
    <w:p w:rsidR="0085709A" w:rsidRDefault="0085709A" w:rsidP="0085709A">
      <w:pPr>
        <w:pStyle w:val="TextoNormal"/>
      </w:pPr>
      <w:r>
        <w:t xml:space="preserve">En otros apartados, la exposición de motivos, viene a añadir que “resulta necesario hacer un seguimiento de las eventuales reclamaciones que los clientes pueden dirigir a las entidades financieras por razón de la comercialización de estos productos complejos, y facilitar en determinados casos mecanismos ágiles de resolución de controversias, principalmente por medio del arbitraje”. Y concluye afirmando que “las medidas anteriores se enmarcan en </w:t>
      </w:r>
      <w:r>
        <w:lastRenderedPageBreak/>
        <w:t>un contexto de urgente y extraordinaria necesidad derivado de la inminencia de sus efectos sobre el proceso de reestructuración de entidades de crédito acometido en España, y para el cumplimiento de los compromisos adquiridos, de conformidad con el Memorando de Entendimiento firmado para la asistencia financiera europea a la citada reestructuración”.</w:t>
      </w:r>
    </w:p>
    <w:p w:rsidR="0085709A" w:rsidRDefault="0085709A" w:rsidP="0085709A">
      <w:pPr>
        <w:pStyle w:val="TextoNormal"/>
      </w:pPr>
    </w:p>
    <w:p w:rsidR="0085709A" w:rsidRDefault="0085709A" w:rsidP="0085709A">
      <w:pPr>
        <w:pStyle w:val="TextoNormal"/>
      </w:pPr>
      <w:r>
        <w:t>Lo señalado en la exposición de motivos de la norma impugnada debe ser completado, además, con el examen de los argumentos expuestos por el Ministro de Economía y Competitividad, en el debate de convalidación del Real Decreto-ley 6/2013 (“Diario de Sesiones del Congreso de los Diputados”, núm. 103, de 11 de abril de 2013, págs. 31-55):</w:t>
      </w:r>
    </w:p>
    <w:p w:rsidR="0085709A" w:rsidRDefault="0085709A" w:rsidP="0085709A">
      <w:pPr>
        <w:pStyle w:val="TextoNormal"/>
      </w:pPr>
    </w:p>
    <w:p w:rsidR="0085709A" w:rsidRDefault="0085709A" w:rsidP="0085709A">
      <w:pPr>
        <w:pStyle w:val="TextoNormal"/>
      </w:pPr>
      <w:r>
        <w:t>“Con la aprobación de este real de decreto-ley el Gobierno da un paso más en el conjunto de iniciativas que ha adoptado desde el inicio de la legislatura para proteger a los pequeños ahorradores que han sufrido la mala comercialización de unos productos de inversión de gran complejidad; … la venta de participaciones preferentes y deuda subordinada entre inversores minoristas se realizaron de forma masiva durante los años 2008 y 2009 … la comercialización se realizó sin las precauciones debidas para un tipo de productos que, por su complejidad, no deberían haberse distribuido entre ahorradores y pequeños inversores, ya que estaban destinados fundamentalmente a inversores institucionales. Desde el primer momento el Gobierno ha buscado fórmulas que compatibilicen la compensación a los afectados por esta comercialización con la normativa comunitaria de ayudas de Estado, los planes de reestructuración y resolución de las entidades financieras, aprobados por la Comisión Europea y el respeto al principio de reducir el coste para el contribuyente.</w:t>
      </w:r>
    </w:p>
    <w:p w:rsidR="0085709A" w:rsidRDefault="0085709A" w:rsidP="0085709A">
      <w:pPr>
        <w:pStyle w:val="TextoNormal"/>
      </w:pPr>
    </w:p>
    <w:p w:rsidR="0085709A" w:rsidRDefault="0085709A" w:rsidP="0085709A">
      <w:pPr>
        <w:pStyle w:val="TextoNormal"/>
      </w:pPr>
      <w:r>
        <w:t>[H]a sido voluntad de este Gobierno el impulso de unos procedimientos de arbitraje para dirimir las controversias derivadas de la comercialización de participaciones preferentes y deuda subordinada … el sistema arbitral de consumo es una solución extrajudicial y voluntaria de resolución de conflictos de carácter vinculante y ejecutivo para las partes … Consideramos que es una vía rápida, eficaz y menos costosa que un procedimiento judicial … Más de 16.000 casos en Novacaixagalicia y casi 10.000 en Catalunya Banc han sido resueltos y los ahorradores han podido recuperar su dinero. Como ven, con unos resultados positivos; el arbitraje ofrece una solución inmediata y a unos costes asequibles para los ahorradores, que evitan así tener que emprender un proceso judicial largo y costoso…”</w:t>
      </w:r>
    </w:p>
    <w:p w:rsidR="0085709A" w:rsidRDefault="0085709A" w:rsidP="0085709A">
      <w:pPr>
        <w:pStyle w:val="TextoNormal"/>
      </w:pPr>
    </w:p>
    <w:p w:rsidR="0085709A" w:rsidRDefault="0085709A" w:rsidP="0085709A">
      <w:pPr>
        <w:pStyle w:val="TextoNormal"/>
      </w:pPr>
      <w:r>
        <w:t xml:space="preserve">Para atender a la situación de urgente necesidad de los pequeños ahorradores afectados, “este real decreto-ley … contiene dos medidas fundamentales: en primer lugar, se crea una Comisión de seguimiento al más alto nivel que estará presidida por la Presidenta de la Comisión Nacional del Mercado de Valores y cuya vicepresidencia corresponde al subgobernador del Banco de España … La citada Comisión tendrá como principales propósitos los siguientes: establecer las directrices de la ejecución de los procedimientos de arbitraje y hacer un seguimiento de los problemas sociales derivados de la comercialización de participaciones preferentes y otros instrumentos híbridos de capital … El Gobierno no pretende crear un órgano más sino que persigue que esta Comisión actúe como un verdadero organismo supervisor que ejerza un auténtico control de manera transparente y eficaz y, por eso, entre las funciones que se le han encomendado a esta Comisión están las siguientes: En primer lugar, analizar las causas que generan las reclamaciones judiciales y extrajudiciales relativas a la comercialización de instrumentos híbridos de las entidades controladas por el FROB; en segundo lugar y como muestra de que queremos que sea un órgano transparente, tendrá que informar de dichos procedimientos a esta Cámara trimestralmente, y, en tercer </w:t>
      </w:r>
      <w:r>
        <w:lastRenderedPageBreak/>
        <w:t>lugar, tendrá que elevar propuestas de mejora para la protección del inversor en la comercialización de este tipo de productos … En definitiva, señorías, con este real decreto-ley el Gobierno habilita una vía rápida y sencilla que tiene como prioridad aquellos ahorradores en circunstancias más vulnerables, bien por su situación familiar o económica”.</w:t>
      </w:r>
    </w:p>
    <w:p w:rsidR="0085709A" w:rsidRDefault="0085709A" w:rsidP="0085709A">
      <w:pPr>
        <w:pStyle w:val="TextoNormal"/>
      </w:pPr>
    </w:p>
    <w:p w:rsidR="0085709A" w:rsidRDefault="0085709A" w:rsidP="0085709A">
      <w:pPr>
        <w:pStyle w:val="TextoNormal"/>
      </w:pPr>
      <w:r>
        <w:t>De lo transcrito cabe deducir que la situación de urgencia a la que la presente norma pretende subvenir es la de atender a una problemática económica desfavorable, notoriamente conocida, que ha afectado a un gran número de personas, inversores minoristas, en su gran mayoría en situación de especial vulnerabilidad, que han sufrido las consecuencias negativas derivadas de una incorrecta comercialización de unos productos de inversión de carácter complejo, las participaciones preferentes y deuda subordinada, y que se han visto abocados a soportar especiales dificultades económicas para recuperar su inversión. Y ello, mediante fórmulas que tratan de hacer compatible la compensación de los afectados, con los planes de reestructuración de las entidades financieras, aprobados por la Comisión Europea, haciendo posible, por un lado, el establecimiento de un mecanismo para dotar de liquidez a los titulares de participaciones preferentes que reciban acciones en sustitución de éstas y, por otro, contemplando un cauce institucional de resolución de controversias a través del arbitraje, más rápido y menos costoso que los procedimientos judiciales tradicionales.</w:t>
      </w:r>
    </w:p>
    <w:p w:rsidR="0085709A" w:rsidRDefault="0085709A" w:rsidP="0085709A">
      <w:pPr>
        <w:pStyle w:val="TextoNormal"/>
      </w:pPr>
    </w:p>
    <w:p w:rsidR="0085709A" w:rsidRDefault="0085709A" w:rsidP="0085709A">
      <w:pPr>
        <w:pStyle w:val="TextoNormal"/>
      </w:pPr>
      <w:r>
        <w:t>El Real Decreto-ley 6/2013 tiene pues por objeto atender a lo que cabe calificar como una “coyuntura económica problemática”, en los términos expresamente aceptados por la doctrina constitucional, concretada en la instrumentación de medidas dirigidas a compensar las consecuencias negativas que han afectado a las inversiones realizadas por un conjunto de inversores minoristas, especialmente vulnerables, mediante la agilización de los procedimientos previstos para la recuperación de las cantidades invertidas.</w:t>
      </w:r>
    </w:p>
    <w:p w:rsidR="0085709A" w:rsidRDefault="0085709A" w:rsidP="0085709A">
      <w:pPr>
        <w:pStyle w:val="TextoNormal"/>
      </w:pPr>
    </w:p>
    <w:p w:rsidR="0085709A" w:rsidRDefault="0085709A" w:rsidP="0085709A">
      <w:pPr>
        <w:pStyle w:val="TextoNormal"/>
      </w:pPr>
      <w:r>
        <w:t>A la vista de lo transcrito, la definición de la extraordinaria y urgente necesidad, que justifica este Real Decreto-ley, es explícita y razonada, conforme al análisis externo que nos corresponde. Cabe afirmar pues que no estamos ante una descripción mediante fórmulas rituales o genéricas, aplicables a todo tipo de realidades de un modo intercambiable, sino ante una referencia a una concreta coyuntura económica, que afecta a la liquidez de las acciones que los tenedores de instrumentos híbridos de capital y deuda subordinada recibirán en canje de sus títulos, correspondientes a entidades emisoras que no cotizan en un mercado oficial, y que no tienen previsto hacerlo en el marco de los planes de reestructuración aprobados por la Comisión Europea.</w:t>
      </w:r>
    </w:p>
    <w:p w:rsidR="0085709A" w:rsidRDefault="0085709A" w:rsidP="0085709A">
      <w:pPr>
        <w:pStyle w:val="TextoNormal"/>
      </w:pPr>
    </w:p>
    <w:p w:rsidR="0085709A" w:rsidRDefault="0085709A" w:rsidP="0085709A">
      <w:pPr>
        <w:pStyle w:val="TextoNormal"/>
      </w:pPr>
      <w:r>
        <w:t>Los concretos reproches que los recurrentes formulan respecto a la definición de la situación de extraordinaria y urgente necesidad, no pueden, por tanto, ser acogidos. De un lado, la explicación razonadamente fundada de los argumentos que avalan el recurso a este instrumento legislativo extraordinario, permite desechar la calificación que le atribuyen los recurrentes, que consideran dicha justificación como “parca y exigua”; de otro, los propios recurrentes reconocen la existencia de una situación extraordinaria y urgente, al considerar que “solo la adopción de medidas dirigidas a hacer posible la devolución de lo invertido en estos productos de alto riesgo atendería a la situación de extraordinaria y urgente necesidad de los que invirtieron en participaciones preferentes y deuda subordinada”.</w:t>
      </w:r>
    </w:p>
    <w:p w:rsidR="0085709A" w:rsidRDefault="0085709A" w:rsidP="0085709A">
      <w:pPr>
        <w:pStyle w:val="TextoNormal"/>
      </w:pPr>
    </w:p>
    <w:p w:rsidR="0085709A" w:rsidRDefault="0085709A" w:rsidP="0085709A">
      <w:pPr>
        <w:pStyle w:val="TextoNormal"/>
      </w:pPr>
      <w:r>
        <w:lastRenderedPageBreak/>
        <w:t>El fundamento sobre el que se asienta el recurso no es pues, la negación de la existencia de esa situación de necesidad, sino la discrepancia respecto de las medidas adoptadas en la norma impugnada para subvenir dicha situación de urgencia.</w:t>
      </w:r>
    </w:p>
    <w:p w:rsidR="0085709A" w:rsidRDefault="0085709A" w:rsidP="0085709A">
      <w:pPr>
        <w:pStyle w:val="TextoNormal"/>
      </w:pPr>
    </w:p>
    <w:p w:rsidR="0085709A" w:rsidRDefault="0085709A" w:rsidP="0085709A">
      <w:pPr>
        <w:pStyle w:val="TextoNormal"/>
      </w:pPr>
      <w:r>
        <w:t>Siendo precisamente ésa la discrepancia, y no tanto la constatación de las excepcionalidad de la situación, lo que se demandaría de este Tribunal no es sino un juicio sobre la oportunidad y suficiencia de las medidas reguladas para atender la situación de excepcionalidad planteada, pretensión que queda extramuros al control externo y objetivo del cumplimiento de los requisitos materiales previstos en el art. 86.1 CE, y que constituye el objeto propio de esta impugnación. Por otro lado, y como reiteradamente hemos tenido ocasión de señalar, “no corresponde al Tribunal Constitucional enjuiciar la oportunidad o conveniencia de la elección hecha por el legislador para valorar si es la más adecuada o la mejor de las posibles (entre otras muchas, STC 60/1991, de 14 de marzo, FJ 5), pues debemos respetar las opciones legislativas siempre que las mismas se ajusten al texto constitucional” (STC 198/2012, de 6 de noviembre, FJ 11).</w:t>
      </w:r>
    </w:p>
    <w:p w:rsidR="0085709A" w:rsidRDefault="0085709A" w:rsidP="0085709A">
      <w:pPr>
        <w:pStyle w:val="TextoNormal"/>
      </w:pPr>
    </w:p>
    <w:p w:rsidR="0085709A" w:rsidRDefault="0085709A" w:rsidP="0085709A">
      <w:pPr>
        <w:pStyle w:val="TextoNormal"/>
      </w:pPr>
      <w:r>
        <w:t>Por todo ello, debemos declarar que los órganos políticos, al explicitar la situación de extraordinaria y urgente necesidad a la que responde el Real Decreto-ley 6/2013, que es la de crear un cauce institucional que contribuya a agilizar los procedimientos dirigidos a la protección del inversor en la comercialización de esos productos financieros complejos, no hace un uso abusivo o arbitrario de la potestad normativa excepcional conferida al Gobierno, por lo que concurre, en el presente supuesto, la primera dimensión del presupuesto habilitante exigido por el art. 86.1 CE.</w:t>
      </w:r>
    </w:p>
    <w:p w:rsidR="0085709A" w:rsidRDefault="0085709A" w:rsidP="0085709A">
      <w:pPr>
        <w:pStyle w:val="TextoNormal"/>
      </w:pPr>
    </w:p>
    <w:p w:rsidR="0085709A" w:rsidRDefault="0085709A" w:rsidP="0085709A">
      <w:pPr>
        <w:pStyle w:val="TextoNormal"/>
      </w:pPr>
      <w:r w:rsidRPr="0085709A">
        <w:rPr>
          <w:rStyle w:val="NumeroAFNegritaCaracter"/>
        </w:rPr>
        <w:t>5</w:t>
      </w:r>
      <w:r>
        <w:t>. En cuanto a la segunda dimensión del presupuesto habilitante de la legislación de urgencia —conexión de sentido entre la situación de necesidad definida y las medidas que en el Real Decreto-ley se adoptan—, la demanda sustenta sus alegaciones, únicamente, en dos aspectos: por un lado, la creación de la comisión de seguimiento de instrumentos híbridos de capital y deuda subordinada, que efectúa el art. 1 del Real Decreto-ley, no precisa de una norma con rango de ley, por lo que su aprobación mediante el presente Decreto-ley es “innecesaria y desproporcionada”; y por otro, la creación de la mencionada comisión no implica avance alguno en la situaciones de los tenedores de participaciones preferentes, pues los mecanismos de gestión de estos productos híbridos ya estaban en marcha, fundamentalmente, a través de la Ley 9/2012, de 14 de noviembre, de reestructuración y resolución de entidades de crédito.</w:t>
      </w:r>
    </w:p>
    <w:p w:rsidR="0085709A" w:rsidRDefault="0085709A" w:rsidP="0085709A">
      <w:pPr>
        <w:pStyle w:val="TextoNormal"/>
      </w:pPr>
    </w:p>
    <w:p w:rsidR="0085709A" w:rsidRDefault="0085709A" w:rsidP="0085709A">
      <w:pPr>
        <w:pStyle w:val="TextoNormal"/>
      </w:pPr>
      <w:r>
        <w:t>Ahora bien, las medidas instrumentadas por el Real Decreto-ley 6/2013 van dirigidas a la aplicación de fórmulas que compatibilicen la compensación a los afectados por las inversiones en este tipo de instrumentos financieros, con la normativa comunitaria de ayudas al Estado y los planes de reestructuración de las entidades financieras, aprobados por la Comisión Europea. Para el cumplimiento de esta finalidad, el artículo 1 de la disposición impugnada contempla la creación de una comisión de seguimiento al más alto nivel, con el fin de establecer las directrices para la ejecución de los procedimientos de arbitraje y hacer un seguimiento de los problemas sociales derivados de la comercialización de participaciones preferentes y otros instrumentos híbridos de capital; es decir, un órgano que actúe como supervisor, y que eleve propuestas dirigidas a agilizar los procedimientos establecidos para la protección del inversor.</w:t>
      </w:r>
    </w:p>
    <w:p w:rsidR="0085709A" w:rsidRDefault="0085709A" w:rsidP="0085709A">
      <w:pPr>
        <w:pStyle w:val="TextoNormal"/>
      </w:pPr>
    </w:p>
    <w:p w:rsidR="0085709A" w:rsidRDefault="0085709A" w:rsidP="0085709A">
      <w:pPr>
        <w:pStyle w:val="TextoNormal"/>
      </w:pPr>
      <w:r>
        <w:lastRenderedPageBreak/>
        <w:t>La creación y regulación de la comisión no puede calificarse así de “innecesaria” o “desproporcionada”, pues supervisar, a través de un órgano independiente, las relaciones entre los inversores y comercializadores de estos productos financieros y el desarrollo de los procesos dirigidos a garantizar la protección de los inversores minoristas, prestando especial atención a los afectados que se encuentren en una situación de especial vulnerabilidad, así como proponer medidas o criterios alternativos que agilicen los procedimientos dirigidos a obtener la devolución de las cantidades procedentes, pueden considerarse instrumentos que contribuyen de manera efectiva a la introducción de “mejoras regulatorias” en los mecanismos de protección de quienes han resultado afectados por los errores en la comercialización de estos productos financieros, por lo que existen una conexión de sentido entre las medidas adoptadas y la concreta urgencia invocada. Hay pues una coyuntura económica problemática, que en el precepto examinado se pretende atender mediante la creación de un organismo encargado de velar por la transparencia del proceso, y la promoción de criterios dirigidos a favorecer la agilización, mediante el recurso a procedimientos arbitrales. Cabría recordar, a efectos analógicos, lo señalado en la reciente STC 142/2014, de 11 de septiembre, en la que se vino a considerar conforme con el orden constitucional de competencias, la previsión de la oficina de información, atención y arbitraje para el consumidor de productos energéticos, por vía de decreto-ley.</w:t>
      </w:r>
    </w:p>
    <w:p w:rsidR="0085709A" w:rsidRDefault="0085709A" w:rsidP="0085709A">
      <w:pPr>
        <w:pStyle w:val="TextoNormal"/>
      </w:pPr>
    </w:p>
    <w:p w:rsidR="0085709A" w:rsidRDefault="0085709A" w:rsidP="0085709A">
      <w:pPr>
        <w:pStyle w:val="TextoNormal"/>
      </w:pPr>
      <w:r>
        <w:t>En lo que respecta a las concretas alegaciones formuladas por el recurrente, hemos de coincidir con el Abogado del Estado, en que no existe en nuestro Derecho la denominada reserva reglamentaria, y, en consecuencia, no hay impedimento constitucional para que una norma de rango legal —incluido el decreto-ley— pueda entrar en la regulación de materias que en principio no se encuentran reservadas a la ley. Como hemos señalado reiteradamente, “no cabe deducir de la Constitución la existencia de una reserva reglamentaria, de manera que el legislador no tiene vedada la regulación de materias que no le estén materialmente reservadas, de suerte que, dentro del marco de la Constitución y respetando sus específicas limitaciones, la ley puede tener en nuestro ordenamiento cualquier contenido y en modo alguno le está vedada la regulación de materias antes atribuidas al poder reglamentario” (por todas, STC 120/2014, de 17 de julio, FJ 8).</w:t>
      </w:r>
    </w:p>
    <w:p w:rsidR="0085709A" w:rsidRDefault="0085709A" w:rsidP="0085709A">
      <w:pPr>
        <w:pStyle w:val="TextoNormal"/>
      </w:pPr>
    </w:p>
    <w:p w:rsidR="0085709A" w:rsidRDefault="0085709A" w:rsidP="0085709A">
      <w:pPr>
        <w:pStyle w:val="TextoNormal"/>
      </w:pPr>
      <w:r>
        <w:t>Este Tribunal en la STC 33/2005, de 17 de diciembre, FJ 7, vino a reconocer expresamente que “nuestro sistema de fuentes no contempla reservas de reglamento, lo cual implica que a la ley no le está vedada la regulación de materias atribuidas anteriormente al poder reglamentario … Aunque en la mayoría de los supuestos nos hemos referido a leyes formales, esta doctrina también nos ha llevado en el pasado a aceptar la posibilidad de que los decretos-leyes eleven y congelen el rango normativo de materias que anteriormente estaban deslegalizadas (STC 60/1986, de 20 de mayo, FJ 2)”. En este pronunciamiento se viene a reconocer la aptitud del Decreto-ley para abordar una regulación que podría haberse incluido en una norma reglamentaria, siempre que la exigencia de sistematicidad en la regulación de la materia haga aconsejable su regulación conjunta a través del Decreto-ley, pues “lo que este Tribunal ha declarado inconstitucional, por contrario al art. 86.1, son las remisiones reglamentarias exclusivamente deslegalizadoras carentes de cualquier tipo de plazo [SSTC 29/1982, de 31 de mayo, FJ 6, y 29/1986, de 28 de febrero, FJ 2 c)], y no las habilitaciones reglamentarias relacionadas con cambios organizativos (STC 23/1993, de 13 de febrero, FJ 6) o necesarias, dada la imposibilidad técnica de proceder a una aplicación inmediata de los preceptos del decreto-ley”.</w:t>
      </w:r>
    </w:p>
    <w:p w:rsidR="0085709A" w:rsidRDefault="0085709A" w:rsidP="0085709A">
      <w:pPr>
        <w:pStyle w:val="TextoNormal"/>
      </w:pPr>
    </w:p>
    <w:p w:rsidR="0085709A" w:rsidRDefault="0085709A" w:rsidP="0085709A">
      <w:pPr>
        <w:pStyle w:val="TextoNormal"/>
      </w:pPr>
      <w:r>
        <w:lastRenderedPageBreak/>
        <w:t>Así ocurre en el presente supuesto, en el que la regulación que se aborda pretende adoptar un conjunto de medidas de amplio alcance, que exceden de lo que podría considerarse como un mero cambio organizativo. Suponen la creación de una comisión al más alto nivel, presidida por la Presidenta de la Comisión Nacional del Mercado de Valores y cuya vicepresidencia corresponde al Subgobernador del Banco de España, a la que corresponde hacer un seguimiento de los problemas derivados de la comercialización de participaciones preferentes y otros instrumentos híbridos de capital, informar de dichos procedimientos al Congreso de los Diputados con carácter trimestral, y elevar propuestas para la protección de inversor en la comercialización de este tipo de productos. Adicionalmente, corresponde, además a la comisión, determinar los criterios básicos que deberán emplear las entidades participadas por el Fondo de Reestructuración Ordenada Bancaria al objeto de ofrecer a sus clientes el sometimiento a arbitraje de las controversias que surjan en relación con los instrumentos híbridos de capital y trasladar dichos criterios al FROB, que dará las instrucciones necesarias para que sus entidades participadas los adopten; y la comisión adoptará los criterios anteriores en su reunión constitutiva y podrá revisarlos trimestralmente.</w:t>
      </w:r>
    </w:p>
    <w:p w:rsidR="0085709A" w:rsidRDefault="0085709A" w:rsidP="0085709A">
      <w:pPr>
        <w:pStyle w:val="TextoNormal"/>
      </w:pPr>
    </w:p>
    <w:p w:rsidR="0085709A" w:rsidRDefault="0085709A" w:rsidP="0085709A">
      <w:pPr>
        <w:pStyle w:val="TextoNormal"/>
      </w:pPr>
      <w:r>
        <w:t>La naturaleza de sus órganos directivos, la transcendencia de las funciones que se atribuyen a la comisión y la inmediatez de las medidas a adoptar por la misma, ante “la inminente realización de los ejercicios de gestión de instrumentos híbridos de capital y deuda subordinada” —tal y como señala la exposición de motivos de la norma—, justifican en este supuesto, el recurso a una norma de naturaleza extraordinaria, como es el decreto-ley.</w:t>
      </w:r>
    </w:p>
    <w:p w:rsidR="0085709A" w:rsidRDefault="0085709A" w:rsidP="0085709A">
      <w:pPr>
        <w:pStyle w:val="TextoNormal"/>
      </w:pPr>
    </w:p>
    <w:p w:rsidR="0085709A" w:rsidRDefault="0085709A" w:rsidP="0085709A">
      <w:pPr>
        <w:pStyle w:val="TextoNormal"/>
      </w:pPr>
      <w:r>
        <w:t>Respecto de la segunda de las cuestiones planteadas, —que la creación de la mencionada comisión no implica avance alguno en la situaciones de los tenedores de participaciones preferentes, pues los mecanismos de gestión de estos productos híbridos ya estaban en marcha, fundamentalmente, a través de la Ley 9/2012, de 14 de noviembre, de reestructuración y resolución de entidades de crédito— cabe recordar que la Ley 9/2012, a la que hace referencia el texto de la demanda, no viene a establecer el marco normativo dirigido al seguimiento y control de los procedimientos arbitrales para la solución de controversias entre los tenedores de títulos y las entidades emisoras. Es la norma que se impugna la que viene a articular la necesidad de un cauce normativo formal, mediante la creación de un órgano del máximo nivel que supervise el proceso y que imponga a las entidades que han necesitado fondos públicos los criterios para llevar a cabo estos procedimientos arbitrales. Son pues los criterios fijados por la comisión de seguimiento de instrumentos híbridos de capital y deuda subordinada los que habrán de aplicarse por las entidades participadas por el FROB, para ofrecer a sus clientes el sometimiento a arbitraje de las controversias que surjan. Asimismo, corresponde a la comisión especificar los criterios para designar al colectivo de clientes cuyas reclamaciones, en atención a la especial dificultad de sus circunstancias personales o familiares, deberán recibir una tramitación prioritaria por parte de las entidades participadas por el FROB. Las anteriores funciones ponen por tanto de manifiesto que el art. 1 del Real Decreto-ley 6/2013 viene a innovar la situación jurídica preexistente, creando un marco institucional encargado de la supervisión del procedimiento arbitral y con incidencia directa en el proceso de reestructuración del sector financiero.</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Hemos de concluir, por todo lo señalado que, en relación con el art. 1 del Real Decreto-ley 6/2013, objeto de este proceso constitucional, el Gobierno ha aportado justificación suficiente que permite apreciar la existencia de la situación habilitante exigida por el </w:t>
      </w:r>
      <w:r>
        <w:lastRenderedPageBreak/>
        <w:t>art. 86.1 CE, y que las medidas adoptadas en el mencionado precepto guardan conexión de sentido con la situación de extraordinaria y urgente necesidad descrita en la norma.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recurso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febrero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Luis Ignacio Ortega Álvarez respecto de la Sentencia dictada en el recurso de inconstitucionalidad núm. 3931-2013.</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desde el máximo respeto a la opinión expresada por la mayoría del Pleno, formulo el presente Voto particular discrepante por las razones que expuse durante la deliberación, y que resumo seguidamente.</w:t>
      </w:r>
    </w:p>
    <w:p w:rsidR="0085709A" w:rsidRDefault="0085709A" w:rsidP="0085709A">
      <w:pPr>
        <w:pStyle w:val="TextoNormal"/>
      </w:pPr>
    </w:p>
    <w:p w:rsidR="0085709A" w:rsidRDefault="0085709A" w:rsidP="0085709A">
      <w:pPr>
        <w:pStyle w:val="TextoNormal"/>
      </w:pPr>
      <w:r>
        <w:t>Disiento del criterio de la Sentencia en lo relativo a la concurrencia del presupuesto habilitante exigido por el art. 86.1 CE en el Real Decreto-ley 6/2013, de 22 de marzo, de protección a los titulares de determinados productos de ahorro e inversión y otras medidas de carácter financiero. Como tuve ocasión de manifestar durante la deliberación de esta Sentencia, entiendo que el artículo 1 de dicha norma no supera dicha exigencia y es, por tanto, contrario a la Constitución.</w:t>
      </w:r>
    </w:p>
    <w:p w:rsidR="0085709A" w:rsidRDefault="0085709A" w:rsidP="0085709A">
      <w:pPr>
        <w:pStyle w:val="TextoNormal"/>
      </w:pPr>
    </w:p>
    <w:p w:rsidR="0085709A" w:rsidRDefault="0085709A" w:rsidP="0085709A">
      <w:pPr>
        <w:pStyle w:val="TextoNormal"/>
      </w:pPr>
      <w:r>
        <w:t>Ante todo, y en relación específicamente con la falta de concurrencia del presupuesto habilitante exigido por el art. 86.1 CE me remito con carácter general al Voto particular formulado por el Magistrado don Fernando Valdés Dal-Ré.</w:t>
      </w:r>
    </w:p>
    <w:p w:rsidR="0085709A" w:rsidRDefault="0085709A" w:rsidP="0085709A">
      <w:pPr>
        <w:pStyle w:val="TextoNormal"/>
      </w:pPr>
    </w:p>
    <w:p w:rsidR="0085709A" w:rsidRDefault="0085709A" w:rsidP="0085709A">
      <w:pPr>
        <w:pStyle w:val="TextoNormal"/>
      </w:pPr>
      <w:r>
        <w:t>Pero, sin perjuicio de lo anterior, mi discrepancia alcanza también a un aspecto más concreto que creo que merecía una consideración distinta por parte de este Tribunal. Una de las quejas de los Diputados recurrentes se basaba en la consideración de que para la creación de la comisión prevista en el artículo 1 no era necesaria una norma con rango de ley, por lo que la aprobación del decreto-ley resultaba innecesaria y desproporcionada ya que una norma de rango reglamentario hubiera sido suficiente para conseguir el mismo efecto que logra el real decreto-ley.</w:t>
      </w:r>
    </w:p>
    <w:p w:rsidR="0085709A" w:rsidRDefault="0085709A" w:rsidP="0085709A">
      <w:pPr>
        <w:pStyle w:val="TextoNormal"/>
      </w:pPr>
    </w:p>
    <w:p w:rsidR="0085709A" w:rsidRDefault="0085709A" w:rsidP="0085709A">
      <w:pPr>
        <w:pStyle w:val="TextoNormal"/>
      </w:pPr>
      <w:r>
        <w:t xml:space="preserve">Se planteaba así una cuestión a la que el Tribunal no ha dado, en mi opinión, una respuesta clara, pues no creo que puedan considerarse tales las manifestaciones de la STC 60/1986, de 20 de mayo, FJ 2, ni tampoco las de la STC 332/2005, de 15 de diciembre, FJ 7. En ambos casos se examina la cuestión desde la perspectiva de la elevación de rango </w:t>
      </w:r>
      <w:r>
        <w:lastRenderedPageBreak/>
        <w:t>normativo de una materia que con anterioridad estaba deslegalizada, pero presentaba indudables conexiones con la regulación legal preexistente. En la segunda de ellas, aprecia que “debe reconocerse un amplio margen a los criterios de oportunidad a la hora de decidir el rango de las normas que disciplinan una actividad en los supuestos en que no entra en juego ninguna reserva de ley”, pero no sin antes señalar que “tal posibilidad puede constituir un indicio de la inexistencia de un supuesto de extraordinaria y urgente de necesidad”. Es más, en una de sus reflexiones, admite la constitucionalidad del art. 8.3 del Real Decreto-ley 7/2000, de 23 de junio, de medidas urgentes en el sector de las telecomunicaciones, con el argumento de que ese precepto no congelaba el rango normativo, afirmando que “En el caso del art. 8, cabe tener en cuenta, en cambio, que se modifican material y también formalmente determinados incisos de los arts. 3 y 13 del Real Decreto 1987/1985. Pero a diferencia de los dos preceptos anteriores, en este caso no se produce una congelación del rango, puesto que el propio art. 8.3 del Real Decreto-ley vuelve a deslegalizar inmediatamente la materia al prever que ‘Reglamentariamente se podrá modificar lo dispuesto en el presente artículo’ ”.</w:t>
      </w:r>
    </w:p>
    <w:p w:rsidR="0085709A" w:rsidRDefault="0085709A" w:rsidP="0085709A">
      <w:pPr>
        <w:pStyle w:val="TextoNormal"/>
      </w:pPr>
    </w:p>
    <w:p w:rsidR="0085709A" w:rsidRDefault="0085709A" w:rsidP="0085709A">
      <w:pPr>
        <w:pStyle w:val="TextoNormal"/>
      </w:pPr>
      <w:r>
        <w:t>Es decir, como la mera lectura de la STC 332/2005 pone de manifiesto, el Tribunal admite la posibilidad de regular por decreto-ley lo que antes era materia reglamentaria pero, en lo que ahora importa, la somete a límites, como la existencia de razones de conexión sistemática y oportunidad, permitiendo que “se aproveche la aprobación de un decreto-ley de carácter liberalizador para reformar aspectos reglamentarios que teóricamente tienen esta misma intención”.</w:t>
      </w:r>
    </w:p>
    <w:p w:rsidR="0085709A" w:rsidRDefault="0085709A" w:rsidP="0085709A">
      <w:pPr>
        <w:pStyle w:val="TextoNormal"/>
      </w:pPr>
    </w:p>
    <w:p w:rsidR="0085709A" w:rsidRDefault="0085709A" w:rsidP="0085709A">
      <w:pPr>
        <w:pStyle w:val="TextoNormal"/>
      </w:pPr>
      <w:r>
        <w:t xml:space="preserve">No creo que esa conexión, en términos de exigencia de sistematicidad, exista aquí pues el Gobierno ha creado </w:t>
      </w:r>
      <w:r w:rsidRPr="0085709A">
        <w:rPr>
          <w:i/>
        </w:rPr>
        <w:t>ex novo</w:t>
      </w:r>
      <w:r>
        <w:t xml:space="preserve"> un órgano, la denominada comisión de seguimiento de instrumentos híbridos de capital y deuda subordinada, a la que atribuye determinadas funciones de informe, seguimiento y propuesta, en ningún caso ejecutivas, en relación con la situación en la que se encontraban los tenedores de las denominadas participaciones preferentes. Funciones de las que, por lo demás, la Sentencia de la que discrepo da cuenta con gran profusión descriptiva, exponiendo argumentos que, en todo caso, hubieran debido ser aportados por el autor de la norma y no por su juzgador.</w:t>
      </w:r>
    </w:p>
    <w:p w:rsidR="0085709A" w:rsidRDefault="0085709A" w:rsidP="0085709A">
      <w:pPr>
        <w:pStyle w:val="TextoNormal"/>
      </w:pPr>
    </w:p>
    <w:p w:rsidR="0085709A" w:rsidRDefault="0085709A" w:rsidP="0085709A">
      <w:pPr>
        <w:pStyle w:val="TextoNormal"/>
      </w:pPr>
      <w:r>
        <w:t xml:space="preserve">Por el contrario, en nuestra tarea de examinar si ese objetivo justificaba el recurso a la legislación de urgencia, creo que era necesario partir, como afirmación de principio, de que el ámbito de regulación del decreto-ley ha de ser el propio de la Ley, bien por tratarse de materias a ella reservadas o bien por serlo al haber sido regulada ya la cuestión en norma de ese rango. En suma, allí donde existe una ley para regular una materia es posible la intervención del legislador de urgencia, con respeto a los límites que derivan del art. 86.1 CE, pues tal precepto constitucional habilita que, con los requisitos en él previstos las decisiones del Gobierno desplacen lo dispuesto en las leyes. Es evidente que el hecho de que la potestad legislativa resida en las Cortes Generales no impide que el Gobierno esté constitucionalmente habilitado para dictar normas con rango de ley, pero tal posibilidad ha de tener presente que, en nuestro sistema, la inexistencia de espacios exentos a una posible regulación legal se predica del Parlamento y no creo que deba ser entendida en el sentido de aumentar acríticamente el campo de actuación del Gobierno en el uso de un instrumento normativo que, por su propia naturaleza, debería ser excepcional. No cabe en principio recurrir a esta forma normativa para regular materia que puede ser disciplinada por reglamento, que es la vía ordinaria del Gobierno para aprobar normas. El decreto-ley puede ser necesario para </w:t>
      </w:r>
      <w:r>
        <w:lastRenderedPageBreak/>
        <w:t>modificar una materia regulada por ley pero lo es menos en materias que tienen un mero nivel reglamentario, ya que la innovación normativa puede hacerse mediante reglamentos.</w:t>
      </w:r>
    </w:p>
    <w:p w:rsidR="0085709A" w:rsidRDefault="0085709A" w:rsidP="0085709A">
      <w:pPr>
        <w:pStyle w:val="TextoNormal"/>
      </w:pPr>
    </w:p>
    <w:p w:rsidR="0085709A" w:rsidRDefault="0085709A" w:rsidP="0085709A">
      <w:pPr>
        <w:pStyle w:val="TextoNormal"/>
      </w:pPr>
      <w:r>
        <w:t>La idea de que únicamente es admisible la adopción de un decreto-ley si es inaplazable modificar una materia regulada mediante ley en un tiempo inferior al necesario para la aprobación de una ley formal por las Cortes Generales está, a mi juicio, sólidamente asentada en la doctrina del Tribunal. Como acertadamente indica la STC 237/2012, de 13 de diciembre, FJ 4, con cita de la STC 137/2011, de 14 de septiembre, FJ 4, “…no conviene olvidar que la Constitución reconoce a las Cortes Generales como ‘las depositarias de la potestad legislativa en su ejercicio ordinario’, ya que son ellas las que representan al pueblo español (art. 66.1 CE). El Gobierno ejerce la iniciativa legislativa, de conformidad con el art. 87.1 CE, por lo que la potestad que ostenta para dictar reales decretos-leyes, en virtud del art. 86.1 CE, se configura ‘como una excepción al procedimiento ordinario de elaboración de las leyes y en consecuencia está sometida en cuanto a su ejercicio a la necesaria concurrencia de determinados requisitos que lo legitiman’ (STC 29/1982, de 31 de mayo, FJ 1; doctrina que reitera la STC 182/1997, de 28 de octubre, FJ 3).”</w:t>
      </w:r>
    </w:p>
    <w:p w:rsidR="0085709A" w:rsidRDefault="0085709A" w:rsidP="0085709A">
      <w:pPr>
        <w:pStyle w:val="TextoNormal"/>
      </w:pPr>
    </w:p>
    <w:p w:rsidR="0085709A" w:rsidRDefault="0085709A" w:rsidP="0085709A">
      <w:pPr>
        <w:pStyle w:val="TextoNormal"/>
      </w:pPr>
      <w:r>
        <w:t>De hecho, nuestra doctrina proporciona numerosos ejemplos de lo que expongo. Así, la STC 29/1982, de 31 de mayo, caracteriza al decreto-ley como “una excepción al procedimiento ordinario de elaboración de las leyes” (FJ 1). En el mismo sentido la STC 111/1983, de 2 de diciembre, se señala (FJ 4) que en el art. 86.1 CE “se admite y regula la figura del decreto-ley dentro del marco parlamentario y como instrumento equivalente en cuanto a su fuerza a la ley, y utilizable cuando una necesidad calificada por las notas de lo “extraordinario” y lo “urgente” reclama una acción normativa que, por lo ordinario, compete al legislador, pero que precisamente por esa necesidad, que no puede ser atendida por una acción normativa emanada de las Cortes Generales, se autoriza al Gobierno, con un carácter de provisionalidad hasta tanto obtiene la convalidación y, en su caso, la conversión en Ley, que dicen sucesivamente los apartados 2 y 3 del indicado artículo 86”. La STC 182/1997, de 28 de octubre, FJ 3, considera que el decreto-ley “supone la sustitución del Parlamento por el Gobierno, constituye una excepción al procedimiento legislativo ordinario y a la participación de las minorías que éste dispensa”. En fin, entre las más recientes, la STC 183/2014, de 6 de noviembre, FJ 4, señala que el fin de la norma de urgencia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 En parecidos términos se pronuncia la STC 96/2014, de 12 de junio, FJ 5.</w:t>
      </w:r>
    </w:p>
    <w:p w:rsidR="0085709A" w:rsidRDefault="0085709A" w:rsidP="0085709A">
      <w:pPr>
        <w:pStyle w:val="TextoNormal"/>
      </w:pPr>
    </w:p>
    <w:p w:rsidR="0085709A" w:rsidRDefault="0085709A" w:rsidP="0085709A">
      <w:pPr>
        <w:pStyle w:val="TextoNormal"/>
      </w:pPr>
      <w:r>
        <w:t xml:space="preserve">Soy consciente, pese a todo, de los límites que en todo momento han presidido la interpretación del art. 86.1 CE por parte de este Tribunal y que han hecho del nuestro un control externo que debe reconocer el peso que en la apreciación del supuesto de hecho habilitante de los reales decretos-leyes debe concederse al juicio puramente político (por todas, SSTC 29/1982, de 21 de mayo, FJ 3; y 189/2005, de 7 de julio, FJ 3). Estos límites deben presidir nuestro control jurídico centrado en el análisis de la motivación aportada por el Gobierno a la hora de reaccionar ante una situación que se entiende calificada por las notas de urgencia y extraordinaria necesidad, rechazando la definición que los órganos políticos hagan de una determinada situación únicamente en el caso que se trate de un uso abusivo o arbitrario de </w:t>
      </w:r>
      <w:r>
        <w:lastRenderedPageBreak/>
        <w:t>dicha facultad. El empleo de esta intensidad de control implica resolver sobre la previa decisión política que supone el recurso al decreto-ley atendiendo a criterios estrictamente jurídico-constitucionales, cimentados sobre la necesidad de determinar si se han respetado o no los requisitos exigidos en la Constitución para que el Gobierno pueda ejercitar la potestad normativa excepcional de dictar decretos-leyes. Para ello tomamos en consideración, especialmente, dos elementos, el control de los hechos de los que se ha inferido el presupuesto habilitante de la extraordinaria urgencia, así como la motivación o justificación de la necesidad de la concreta medida adoptada, directamente relacionada con la forma de responder a esos hechos que se califican de extraordinaria urgencia.</w:t>
      </w:r>
    </w:p>
    <w:p w:rsidR="0085709A" w:rsidRDefault="0085709A" w:rsidP="0085709A">
      <w:pPr>
        <w:pStyle w:val="TextoNormal"/>
      </w:pPr>
    </w:p>
    <w:p w:rsidR="0085709A" w:rsidRDefault="0085709A" w:rsidP="0085709A">
      <w:pPr>
        <w:pStyle w:val="TextoNormal"/>
      </w:pPr>
      <w:r>
        <w:t xml:space="preserve">Con tales parámetros de control, no cabe cuestionar que el decreto-ley sea una figura normalmente integrada en el sistema de fuentes del Derecho en la medida en que cuenta con reconocimiento constitucional expreso, pero, puesto que supone una excepción a la regla general del procedimiento legislativo ordinario, no puede presentarse como un recurso cuasi habitual de intervención normativa en manos del Ejecutivo. El decreto-ley es una norma dotada con fuerza y valor de ley pero no es equivalente a una ley formal del Parlamento, sino solamente, y no es poco, un producto del ejercicio de la potestad normativa extraordinaria que al Gobierno le reconoce la Constitución y sólo en los limitados términos allí previstos. En consecuencia, y </w:t>
      </w:r>
      <w:r w:rsidRPr="0085709A">
        <w:rPr>
          <w:i/>
        </w:rPr>
        <w:t>sensu contrario</w:t>
      </w:r>
      <w:r>
        <w:t>, si el Gobierno puede atender la situación de urgencia con el ejercicio de las facultades normativas que le son propias, esto es, ejerciendo la potestad reglamentaria, no es constitucionalmente lícito que se sirva de facultades excepcionales que habilitan para dictar normas que valen como leyes únicamente en la medida estrictamente necesaria y determinada por la concurrencia de la situación de urgencia que constituye su presupuesto. Está en juego, nada más y nada menos, que la conveniencia de no alterar el orden constitucional normal de elaboración de las normas, impidiendo tanto que se soslaye el procedimiento ordinario de elaboración de las leyes a través de una utilización abusiva del decreto-ley, como que se utilice el privilegio de la ley en ámbitos materiales en los que ese uso no ha sido decidido por el propio legislador. De ahí la importancia de que esa potestad normativa excepcional que el Gobierno ostenta no se vea sometida a límites tan tenues que posibiliten su intervención en cualquier situación. A diferencia del legislador ordinario, el Gobierno no puede regular por decreto-ley cualquier materia y en cualquier circunstancia.</w:t>
      </w:r>
    </w:p>
    <w:p w:rsidR="0085709A" w:rsidRDefault="0085709A" w:rsidP="0085709A">
      <w:pPr>
        <w:pStyle w:val="TextoNormal"/>
      </w:pPr>
    </w:p>
    <w:p w:rsidR="0085709A" w:rsidRDefault="0085709A" w:rsidP="0085709A">
      <w:pPr>
        <w:pStyle w:val="TextoNormal"/>
      </w:pPr>
      <w:r>
        <w:t xml:space="preserve">A mi entender, la consecuencia de lo anterior no puede ser otra que considerar que si a la urgencia acreditada de la adopción de una norma se provee suficientemente con la emanación de un real decreto, es decir, si el Gobierno puede subvenir a la situación de urgencia con el ejercicio de sus facultades normativas propias, las de regulación reglamentaria, no es constitucionalmente lícito que se sirva de facultades de las que sólo debe disponer cuando la intervención normativa necesaria lo es sobre un terreno ocupado por el legislador. Máxime cuando, como en el caso, no había quedado acreditado que el Gobierno no hubiera podido conseguir el mismo objetivo actuando a través de sus potestades ordinarias y en uso de uno de sus instrumentos típicos, como el reglamento. No es descartable, </w:t>
      </w:r>
      <w:r w:rsidRPr="0085709A">
        <w:rPr>
          <w:i/>
        </w:rPr>
        <w:t>a priori</w:t>
      </w:r>
      <w:r>
        <w:t>, que un decreto-ley pueda regular materias previamente ordenadas mediante normas de rango reglamentario, pero creo que, en ese caso, es preciso que el Gobierno sea particularmente cuidadoso con la justificación de la concurrencia del presupuesto habilitante, en la medida en que resulta evidente que los reglamentos pueden ser, llegado el caso, normas de elaboración muy ágil.</w:t>
      </w:r>
    </w:p>
    <w:p w:rsidR="0085709A" w:rsidRDefault="0085709A" w:rsidP="0085709A">
      <w:pPr>
        <w:pStyle w:val="TextoNormal"/>
      </w:pPr>
    </w:p>
    <w:p w:rsidR="0085709A" w:rsidRDefault="0085709A" w:rsidP="0085709A">
      <w:pPr>
        <w:pStyle w:val="TextoNormal"/>
      </w:pPr>
      <w:r>
        <w:lastRenderedPageBreak/>
        <w:t>Por esa razón no entiendo por qué aquí es posible, en términos constitucionales, acudir a la vía del tratamiento de esta cuestión en el decreto-ley, puesto que, entre otras razones, en este caso no se puede inferir la extraordinaria urgencia y necesidad como causa para impedir el ejercicio de la potestad reglamentaria en la respuesta a la situación planteada. Nota esta última de la necesidad de la regulación que en nuestra Constitución aparece reforzada con los caracteres de extraordinaria y urgente. Atendiendo a las circunstancias que examinábamos en la Sentencia, considero que no ha quedado acreditado que la urgencia de la situación que se trata de atender pudiera hacer ineficaz el ejercicio de la potestad reglamentaria, impidiendo la emanación de una norma de tal rango y exigiendo, por el contrario, la existencia de una norma de rango legal.</w:t>
      </w:r>
    </w:p>
    <w:p w:rsidR="0085709A" w:rsidRDefault="0085709A" w:rsidP="0085709A">
      <w:pPr>
        <w:pStyle w:val="TextoNormal"/>
      </w:pPr>
    </w:p>
    <w:p w:rsidR="0085709A" w:rsidRDefault="0085709A" w:rsidP="0085709A">
      <w:pPr>
        <w:pStyle w:val="TextoNormal"/>
      </w:pPr>
      <w:r>
        <w:t>Por eso, la argumentación de la Sentencia, centrada en la inexistencia de una reserva reglamentaria, es irrelevante a estos efectos, pues no se trata de la ley ni del legislador que son quienes no tienen más limite respecto a lo que deciden regular que el respeto a la Constitución, sino de una norma excepcional, que no es ley, sino que se le equipara, y que es adoptada por quien no es el titular ordinario de la potestad legislativa, sino de la reglamentaria. En un caso como éste, resultaba preciso exigir al Gobierno, y no a la Sentencia, que hubiera siquiera explicitado las razones por las que ha acudido al rango legal para regular una cuestión que hubiera podido abordar en sede reglamentaria. Esto es, la exigencia de la urgente necesidad debería haber llevado a exigir al Gobierno que probase que la tramitación de un reglamento no permitía resolver dicha situación de urgencia, pues la prudencia que en estos casos ha de guiar el enjuiciamiento de este Tribunal no debe ser confundida con deferencia hacia el Ejecutivo. De hecho, nada se explica en las argumentaciones del Gobierno acerca de la necesidad, o simple conveniencia, de adoptar un instrumento normativo con rango de ley para la regulación de un órgano administrativo. Antes al contrario, la sustitución de la potestad reglamentaria por la legislación de urgencia y la consiguiente ocupación por el decreto-ley del espacio del reglamento afecta a valores protegidos constitucionalmente como la audiencia de los ciudadanos en la elaboración de disposiciones de carácter general [arts. 23 y 105 a) CE] o el control jurisdiccional de la actuación administrativa, con los evidentes perjuicios que de ello pueden derivar para la defensa de los derechos de los particulares ante la jurisdicción contencioso-administrativa (arts. 24 y 106 CE). A mi juicio, solo si se demuestra que el decreto-ley es un instrumento más idóneo que un simple real decreto desde el punto de vista de la urgencia reguladora, o se manifiesta motivadamente la intención de elevar el rango legal de la materia objeto de regulación el decreto-ley cumpliría los requisitos de idoneidad exigibles por la Constitución a esta forma extraordinaria de legislar.</w:t>
      </w:r>
    </w:p>
    <w:p w:rsidR="0085709A" w:rsidRDefault="0085709A" w:rsidP="0085709A">
      <w:pPr>
        <w:pStyle w:val="TextoNormal"/>
      </w:pPr>
    </w:p>
    <w:p w:rsidR="0085709A" w:rsidRDefault="0085709A" w:rsidP="0085709A">
      <w:pPr>
        <w:pStyle w:val="TextoNormal"/>
      </w:pPr>
      <w:r>
        <w:t>En definitiva, la construcción de la Sentencia, al no cuestionar la existencia de una situación de urgencia como la que constitucionalmente requiere el uso de la potestad prevista en el art. 86 CE, viene a dejar al arbitrio del Gobierno, sin límite alguno, la decisión de regular con valor de ley una materia que admite la disciplina reglamentaria. De hecho, lo que ha quedado acreditado en este supuesto es que al Gobierno le parecía conveniente regular esta cuestión por decreto-ley, pero no que fuera necesario hacerlo. Como puede advertirse, con esta forma de razonar, que la Sentencia convalida, la distinción entre lo necesario, que es lo exigible en términos del art. 86.1 CE, y lo simplemente conveniente, deviene en irrelevante.</w:t>
      </w:r>
    </w:p>
    <w:p w:rsidR="0085709A" w:rsidRDefault="0085709A" w:rsidP="0085709A">
      <w:pPr>
        <w:pStyle w:val="TextoNormal"/>
      </w:pPr>
    </w:p>
    <w:p w:rsidR="0085709A" w:rsidRDefault="0085709A" w:rsidP="0085709A">
      <w:pPr>
        <w:pStyle w:val="TextoNormal"/>
      </w:pPr>
      <w:r>
        <w:lastRenderedPageBreak/>
        <w:t>En suma, por las razones que acabo de exponer, estimo que difícilmente podía predicarse del art. 1 del Real Decreto-ley 6/2013 la justificación de la extraordinaria y urgente necesidad, con lo que hubiera sido preciso concluir que, en ejercicio de la competencia que al Tribunal Constitucional compete para controlar el uso abusivo del decreto-ley, dicho precepto no superaba el canon de verificación de la regularidad constitucional de la cláusula de la “extraordinaria y urgente necesidad”, por lo que debió ser declarada su inconstitucionalidad y consiguiente nulidad.</w:t>
      </w:r>
    </w:p>
    <w:p w:rsidR="0085709A" w:rsidRDefault="0085709A" w:rsidP="0085709A">
      <w:pPr>
        <w:pStyle w:val="TextoNormal"/>
      </w:pPr>
    </w:p>
    <w:p w:rsidR="0085709A" w:rsidRDefault="0085709A" w:rsidP="0085709A">
      <w:pPr>
        <w:pStyle w:val="TextoNormal"/>
      </w:pPr>
      <w:r>
        <w:t>Y en tal sentido emito mi Voto particular.</w:t>
      </w:r>
    </w:p>
    <w:p w:rsidR="0085709A" w:rsidRDefault="0085709A" w:rsidP="0085709A">
      <w:pPr>
        <w:pStyle w:val="TextoNormal"/>
      </w:pPr>
    </w:p>
    <w:p w:rsidR="0085709A" w:rsidRDefault="0085709A" w:rsidP="0085709A">
      <w:pPr>
        <w:pStyle w:val="TextoNormal"/>
      </w:pPr>
      <w:r>
        <w:t>Madrid, a cinco de febrero de dos mil quince.</w:t>
      </w:r>
    </w:p>
    <w:p w:rsidR="0085709A" w:rsidRDefault="0085709A" w:rsidP="0085709A">
      <w:pPr>
        <w:pStyle w:val="TextoNormal"/>
      </w:pPr>
    </w:p>
    <w:p w:rsidR="0085709A" w:rsidRDefault="0085709A" w:rsidP="0085709A">
      <w:pPr>
        <w:pStyle w:val="TextoNormalNegritaCentrado"/>
        <w:keepNext/>
      </w:pPr>
      <w:r>
        <w:t>Voto particular que formula el Magistrado don Fernando Valdés Dal-Ré a la Sentencia dictada en el recurso de inconstitucionalidad núm. 3931-2013.</w:t>
      </w:r>
    </w:p>
    <w:p w:rsidR="0085709A" w:rsidRDefault="0085709A" w:rsidP="0085709A">
      <w:pPr>
        <w:pStyle w:val="TextoNormalNegritaCentrado"/>
        <w:keepNext/>
      </w:pPr>
    </w:p>
    <w:p w:rsidR="0085709A" w:rsidRDefault="0085709A" w:rsidP="0085709A">
      <w:pPr>
        <w:pStyle w:val="TextoNormal"/>
      </w:pPr>
      <w:r>
        <w:t>1. Como manifesté durante la deliberación del presente proceso constitucional, disiento de la decisión mayoritariamente adoptada. Dentro del máximo respeto hacia el parecer mayoritario de mis compañeros, entiendo que el fallo debió de declarar la nulidad del art. 1 del Real Decreto-ley 6/2013, de 22 de marzo, de protección a los titulares de determinados productos de ahorro e inversión y otras medidas de carácter financiero, por vulneración del art. 86.1 CE.</w:t>
      </w:r>
    </w:p>
    <w:p w:rsidR="0085709A" w:rsidRDefault="0085709A" w:rsidP="0085709A">
      <w:pPr>
        <w:pStyle w:val="TextoNormal"/>
      </w:pPr>
    </w:p>
    <w:p w:rsidR="0085709A" w:rsidRDefault="0085709A" w:rsidP="0085709A">
      <w:pPr>
        <w:pStyle w:val="TextoNormal"/>
      </w:pPr>
      <w:r>
        <w:t>Antes de ofrecer las razones en las que sustento esta discrepancia, no me parece impertinente destacar que el objeto del presente proceso constitucionalidad ha quedado ceñido al artículo1 de la norma combatida. A pesar de que la parte recurrente reprochó a la integridad del contenido normativo del Real Decreto-ley 6/2013 la inobservancia del presupuesto habilitante para el válido ejercicio por el Gobierno del poder normativo excepcional que le confiere el art. 86.1 CE, es lo cierto que las argumentaciones por ella formuladas se circunscribieron única y exclusivamente a aquel concreto pasaje legal. Como en su momento fue alegado por el Abogado del Estado y ahora confirma la Sentencia de la mayoría (FJ 2), aplicando una consolidada jurisprudencia de este Tribunal, a las impugnaciones genéricas de normas con rango de ley, privadas de fundamentación suficiente, no cabe reconocerlas la capacidad de desvirtuar la presunción de constitucionalidad que tales normas poseen. En consecuencia, mi disenso sobre la decisión adoptada en la parte dispositiva, en la que se desestima el presente recurso de inconstitucionalidad, ha de entenderse complementada con la interpretación que el fundamento jurídico 6 hace del propio fallo.</w:t>
      </w:r>
    </w:p>
    <w:p w:rsidR="0085709A" w:rsidRDefault="0085709A" w:rsidP="0085709A">
      <w:pPr>
        <w:pStyle w:val="TextoNormal"/>
      </w:pPr>
    </w:p>
    <w:p w:rsidR="0085709A" w:rsidRDefault="0085709A" w:rsidP="0085709A">
      <w:pPr>
        <w:pStyle w:val="TextoNormal"/>
      </w:pPr>
      <w:r>
        <w:t>Por lo demás y en contra de lo que pudiera parecer en una primera impresión, el anterior recordatorio adquiere, como tendré ocasión de razonar más adelante, una notable relevancia, ya que viene a introducir una insoslayable exigencia de congruencia procesal entre el objeto del recurso, tal y como el mismo ha sido delimitado, y el canon o parámetro de obligado uso para su enjuiciamiento.</w:t>
      </w:r>
    </w:p>
    <w:p w:rsidR="0085709A" w:rsidRDefault="0085709A" w:rsidP="0085709A">
      <w:pPr>
        <w:pStyle w:val="TextoNormal"/>
      </w:pPr>
    </w:p>
    <w:p w:rsidR="0085709A" w:rsidRDefault="0085709A" w:rsidP="0085709A">
      <w:pPr>
        <w:pStyle w:val="TextoNormal"/>
      </w:pPr>
      <w:r>
        <w:t xml:space="preserve">2. El dictado por el Gobierno de una norma que, pese a no proceder del único órgano al que corresponde, en un Estado democrático de Derecho, la titularidad originaria del poder legislativo, tiene rango y fuerza de ley se encuentra sujeto a un serie de límites, destinados todos ellos a garantizar el uso adecuado y no abusivo de este poder normativo excepcional. En lo que ahora interesa destacar, un singular relieve ha de atribuirse al concurso de una </w:t>
      </w:r>
      <w:r>
        <w:lastRenderedPageBreak/>
        <w:t>particular situación, constitucionalmente calificada como “extraordinaria y urgente necesidad”. Conforme se encargó de precisar este Tribunal desde sus momentos fundacionales, esta noción no constituye “una expresión vacía de contenido” dentro de la cual pueda moverse sin restricción alguna el Gobierno (STC 29/1982, de 31 de mayo, FJ 3); se trata, antes al contrario, de un requisito dotado de un contenido complejo, que se erige adicionalmente como presupuesto habilitante del ejercicio regular de esta potestad y cuya ausencia, tras la obligada verificación por la jurisdicción constitucional, determina la nulidad de la norma aprobada.</w:t>
      </w:r>
    </w:p>
    <w:p w:rsidR="0085709A" w:rsidRDefault="0085709A" w:rsidP="0085709A">
      <w:pPr>
        <w:pStyle w:val="TextoNormal"/>
      </w:pPr>
    </w:p>
    <w:p w:rsidR="0085709A" w:rsidRDefault="0085709A" w:rsidP="0085709A">
      <w:pPr>
        <w:pStyle w:val="TextoNormal"/>
      </w:pPr>
      <w:r>
        <w:t>Como recuerda el fundamento jurídico 3 de la Sentencia de la mayoría, la validación constitucional de una norma aprobada al amparo de lo establecido en el art. 86.1 CE queda sujeto a un doble escrutinio. El primero consiste en la identificación por el Gobierno de manera clara, explícita y razonada de la concurrencia de la extraordinaria y urgente necesidad, determinante de la aparición del presupuesto que le habilita para dictar con carácter ocasional unas normas dotadas, como ya se ha hecho constar, de los atributos del rango y de la fuerza propios de las leyes formales. El segundo se concreta en la existencia de una conexión de sentido o relación de adecuación entre esa singular situación y las medidas contenidas en la norma de urgencia, de modo que éstas, como igualmente ha razonado la jurisprudencia constitucional, han de guardar “una relación directa o de congruencia con la situación que se trata de afrontar” (STC 182/1997, de 28 de octubre, FJ 3).</w:t>
      </w:r>
    </w:p>
    <w:p w:rsidR="0085709A" w:rsidRDefault="0085709A" w:rsidP="0085709A">
      <w:pPr>
        <w:pStyle w:val="TextoNormal"/>
      </w:pPr>
    </w:p>
    <w:p w:rsidR="0085709A" w:rsidRDefault="0085709A" w:rsidP="0085709A">
      <w:pPr>
        <w:pStyle w:val="TextoNormal"/>
      </w:pPr>
      <w:r>
        <w:t>Mi disentimiento se traduce, precisamente, en relación con la aplicación que el parecer mayoritario efectúa del primero de los escrutinios de necesario empleo para verificar la concurrencia de la extraordinaria y urgente necesidad en relación con el único precepto legal contestado. En todo caso, una exacta inteligencia de los razonamientos conducentes a fundamentar con la obligada consistencia jurídico-constitucional la violación denunciada por la recurrente y rechazada por la presente resolución pide, como preliminar útil, efectuar dos observaciones.</w:t>
      </w:r>
    </w:p>
    <w:p w:rsidR="0085709A" w:rsidRDefault="0085709A" w:rsidP="0085709A">
      <w:pPr>
        <w:pStyle w:val="TextoNormal"/>
      </w:pPr>
    </w:p>
    <w:p w:rsidR="0085709A" w:rsidRDefault="0085709A" w:rsidP="0085709A">
      <w:pPr>
        <w:pStyle w:val="TextoNormal"/>
      </w:pPr>
      <w:r>
        <w:t>Por lo pronto, y como ha tenido oportunidad de señalar la jurisprudencia constitucional (entre otras muchas SSTC 29/1989, de 31 de mayo, FJ 4; 182/1997, de 28 de octubre, FJ 4; 11/2002, de 17 de enero, FJ 4, y 137/2003, de 3 de julio, FJ 3), la justificación formal de la presencia de la urgente y extraordinaria necesidad puede haber quedado reflejada y, por consiguiente, deducirse del examen de la exposición de motivos de la norma, del debate parlamentario de su convalidación y del propio expediente de elaboración de la misma, señaladamente de la memoria. En el caso ahora a discusión, la Sentencia de la que discrepo invoca tanto la exposición de motivos del Real Decreto-ley 6/2013 como los argumentos expuestos por el Ministro de Economía y Competitividad durante el debate de su convalidación (FJ 4). Por consiguiente, la existencia o no de la explicitación formal de la urgente y extraordinaria necesidad ha de inferirse de estas dos fuentes, sin necesidad de manejar ninguna otra.</w:t>
      </w:r>
    </w:p>
    <w:p w:rsidR="0085709A" w:rsidRDefault="0085709A" w:rsidP="0085709A">
      <w:pPr>
        <w:pStyle w:val="TextoNormal"/>
      </w:pPr>
    </w:p>
    <w:p w:rsidR="0085709A" w:rsidRDefault="0085709A" w:rsidP="0085709A">
      <w:pPr>
        <w:pStyle w:val="TextoNormal"/>
      </w:pPr>
      <w:r>
        <w:t xml:space="preserve">Por otra parte y como dijera la STC 68/2007, de 28 de marzo, FJ 7, —y entro en la segunda observación— las razones explicativas de la urgente y extraordinaria necesidad pueden clasificarse en dos grandes grupos: básicas e instrumentales. La diferencia entre uno y otro reside en su ámbito de afectación: mientras la básica ofrece la motivación genérica o </w:t>
      </w:r>
      <w:r>
        <w:lastRenderedPageBreak/>
        <w:t>general, aplicable a la norma de urgencia en su conjunto, las razones instrumentales pretenden justificar la presencia del presupuesto habilitante en relación con los bloques normativos en que dicha norma se estructura.</w:t>
      </w:r>
    </w:p>
    <w:p w:rsidR="0085709A" w:rsidRDefault="0085709A" w:rsidP="0085709A">
      <w:pPr>
        <w:pStyle w:val="TextoNormal"/>
      </w:pPr>
    </w:p>
    <w:p w:rsidR="0085709A" w:rsidRDefault="0085709A" w:rsidP="0085709A">
      <w:pPr>
        <w:pStyle w:val="TextoNormal"/>
      </w:pPr>
      <w:r>
        <w:t>En línea de coherencia con esta exigencia, en aquellos casos en los que, como sucede en el aquí examinado, la censura de la ausencia de la extraordinaria y urgente necesidad se vierte no sobre la norma en su totalidad sino, de manera más restringida, sobre el precepto que se encarga de regular una concreta medida, cual es la creación de la denominada “Comisión de seguimiento de instrumentos híbridos de capital y deuda subordinada”, perfectamente diferenciada de las restantes que fueron finalmente incorporadas al contenido normativo del Real Decreto-ley censurado, el juicio sobre la justificación de la motivación ha de resultar plenamente congruente con el objeto del proceso. Y es ésta congruencia la que, como he de razonar en breve, ha sido relegada por la sentencia de la que me aparto, que termina descartando la violación denunciada mediante razonamientos de dimensión general, extensibles, sin matización alguna, a todo el articulado del Real Decreto-ley 6/2013; o, por expresar la misma idea desde otro alguno, de imposible predicamento al único pasaje legal aquí discutido.</w:t>
      </w:r>
    </w:p>
    <w:p w:rsidR="0085709A" w:rsidRDefault="0085709A" w:rsidP="0085709A">
      <w:pPr>
        <w:pStyle w:val="TextoNormal"/>
      </w:pPr>
    </w:p>
    <w:p w:rsidR="0085709A" w:rsidRDefault="0085709A" w:rsidP="0085709A">
      <w:pPr>
        <w:pStyle w:val="TextoNormal"/>
      </w:pPr>
      <w:r>
        <w:t>3. La argumentación utilizada por la Sentencia de la mayoría a fin de razonar la observancia por el Gobierno del requisito consistente en la explicitación formal del presupuesto habilitante para el ejercicio de ese poder legislativo excepcional regulado por el art. 86.1 CE se basa en una doble y combinada confusión.</w:t>
      </w:r>
    </w:p>
    <w:p w:rsidR="0085709A" w:rsidRDefault="0085709A" w:rsidP="0085709A">
      <w:pPr>
        <w:pStyle w:val="TextoNormal"/>
      </w:pPr>
    </w:p>
    <w:p w:rsidR="0085709A" w:rsidRDefault="0085709A" w:rsidP="0085709A">
      <w:pPr>
        <w:pStyle w:val="TextoNormal"/>
      </w:pPr>
      <w:r>
        <w:t>La primera equivocación reside en deducir el concurso de esta formalidad de una inteligencia en la que se renuncia a articular distinción alguna entre dos tipos de alegatos: de un lado, el alusivo a los objetivos de la norma impugnada y al contenido de las reglas, primarias o secundarias, instituidas por la misma y, de otro, el referente a la justificación de las razones que amparan la urgente y extraordinaria necesidad.</w:t>
      </w:r>
    </w:p>
    <w:p w:rsidR="0085709A" w:rsidRDefault="0085709A" w:rsidP="0085709A">
      <w:pPr>
        <w:pStyle w:val="TextoNormal"/>
      </w:pPr>
    </w:p>
    <w:p w:rsidR="0085709A" w:rsidRDefault="0085709A" w:rsidP="0085709A">
      <w:pPr>
        <w:pStyle w:val="TextoNormal"/>
      </w:pPr>
      <w:r>
        <w:t>Este equívoco se detecta sin esfuerzo alguno del análisis que la Sentencia objetada lleva a cabo del preámbulo de la norma censurada, del que se infiere la pertinente explicitación del presupuesto habilitante mediante el auxilio de tres concretas referencias de las que solo a una de ellas, la mencionada en último lugar, puede reconocérsela, con un mínimo de rigor no solo sistemático sino, más sencillamente, lexicológico, una función justificativa de la existencia de la urgente y extraordinaria necesidad.</w:t>
      </w:r>
    </w:p>
    <w:p w:rsidR="0085709A" w:rsidRDefault="0085709A" w:rsidP="0085709A">
      <w:pPr>
        <w:pStyle w:val="TextoNormal"/>
      </w:pPr>
    </w:p>
    <w:p w:rsidR="0085709A" w:rsidRDefault="0085709A" w:rsidP="0085709A">
      <w:pPr>
        <w:pStyle w:val="TextoNormal"/>
      </w:pPr>
      <w:r>
        <w:t>La primera de esas referencias, en efecto, se limita a transcribir un inciso del párrafo tercero del apartado II del preámbulo, dedicado a describir el objeto del art. 1 (</w:t>
      </w:r>
      <w:r w:rsidRPr="0085709A">
        <w:rPr>
          <w:i/>
        </w:rPr>
        <w:t>recte</w:t>
      </w:r>
      <w:r>
        <w:t>: del capítulo I) del Real Decreto-ley 6/2013, que es el que regula la ya citada comisión de seguimiento. La segunda de las menciones reproduce el párrafo tercero del apartado I, que declara ser necesario, de una parte, “hacer un seguimiento de las eventuales reclamaciones que los clientes pueden dirigir a las entidades financieras por razón de la comercialización de estos productos complejos” y, de otra, “facilitar en determinados casos mecanismos ágiles de resolución de controversias, principalmente por medio de arbitraje”. Una inteligencia meramente literal de esta expresión —“resulta necesario”— evidencia, sin sombra alguna de vacilación, que su propósito no reside en identificar formalmente los motivos que aportan consistencia constitucional al presupuesto habilitante; con bastante menor ambición, su pre</w:t>
      </w:r>
      <w:r>
        <w:lastRenderedPageBreak/>
        <w:t>tensión es dotar de visibilidad material al doble objetivo que cumple la propia norma aprobada. En resumen, el giro gramatical empleado no confiere a la actividad de seguimiento de las reclamaciones judiciales o extrajudiciales promovidas por los afectados por la comercialización de unos concretos productos financieros de las notas de urgencia e inmediatez; su finalidad va dirigida a declarar que dicha actividad ha de estar revestida con los atributos propios de las reglas imperativas, y no ya de las meramente programáticas, instrumentadas mediante una variada gama de vías, reconducibles a fórmulas del derecho suave u orientativo (</w:t>
      </w:r>
      <w:r w:rsidRPr="0085709A">
        <w:rPr>
          <w:i/>
        </w:rPr>
        <w:t>soft law</w:t>
      </w:r>
      <w:r>
        <w:t>). En fin, solamente la tercera de las citas del preámbulo traídas a colación, contenida en la parte de cierre de la exposición de motivos, puede proporcionar, con criterios de razonabilidad, cierto fundamento y sostén de la concurrencia de una urgente y extraordinaria necesidad.</w:t>
      </w:r>
    </w:p>
    <w:p w:rsidR="0085709A" w:rsidRDefault="0085709A" w:rsidP="0085709A">
      <w:pPr>
        <w:pStyle w:val="TextoNormal"/>
      </w:pPr>
    </w:p>
    <w:p w:rsidR="0085709A" w:rsidRDefault="0085709A" w:rsidP="0085709A">
      <w:pPr>
        <w:pStyle w:val="TextoNormal"/>
      </w:pPr>
      <w:r>
        <w:t>Esta concreta aclaración reza del tenor siguiente:</w:t>
      </w:r>
    </w:p>
    <w:p w:rsidR="0085709A" w:rsidRDefault="0085709A" w:rsidP="0085709A">
      <w:pPr>
        <w:pStyle w:val="TextoNormal"/>
      </w:pPr>
    </w:p>
    <w:p w:rsidR="0085709A" w:rsidRDefault="0085709A" w:rsidP="0085709A">
      <w:pPr>
        <w:pStyle w:val="TextoNormal"/>
      </w:pPr>
      <w:r>
        <w:t>“Las medidas anteriores se enmarcan en un contexto de urgente y extraordinaria necesidad derivado de la inminencia de sus efectos sobre el proceso de reestructuración de entidades de crédito acometido en España, y para el cumplimiento de los compromisos adquiridos de conformidad con el Memorando de Entendimiento firmado para la asistencia financiera europea a la citada reestructuración.”</w:t>
      </w:r>
    </w:p>
    <w:p w:rsidR="0085709A" w:rsidRDefault="0085709A" w:rsidP="0085709A">
      <w:pPr>
        <w:pStyle w:val="TextoNormal"/>
      </w:pPr>
    </w:p>
    <w:p w:rsidR="0085709A" w:rsidRDefault="0085709A" w:rsidP="0085709A">
      <w:pPr>
        <w:pStyle w:val="TextoNormal"/>
      </w:pPr>
      <w:r>
        <w:t>Conforme se confiesa de manera paladina, la urgente y extraordinaria necesidad, justificativa del dictado del Real Decreto-ley 6/2013, trae causa en la vinculación existente entre los efectos de las medidas que la norma regula y el proceso de reestructuración de las entidades financieras, en buena parte sustentado por decisiones adoptadas en el ámbito de la Unión Europea. Es esta confesión la que conduce de manera directa, a la Sentencia de la mayoría, a la segunda equivocación.</w:t>
      </w:r>
    </w:p>
    <w:p w:rsidR="0085709A" w:rsidRDefault="0085709A" w:rsidP="0085709A">
      <w:pPr>
        <w:pStyle w:val="TextoNormal"/>
      </w:pPr>
    </w:p>
    <w:p w:rsidR="0085709A" w:rsidRDefault="0085709A" w:rsidP="0085709A">
      <w:pPr>
        <w:pStyle w:val="TextoNormal"/>
      </w:pPr>
      <w:r>
        <w:t xml:space="preserve">Como ya he tenido oportunidad de recordar, la jurisprudencia de este Tribunal exige que, cuando la presunta ausencia del presupuesto habilitante </w:t>
      </w:r>
      <w:r w:rsidRPr="0085709A">
        <w:rPr>
          <w:i/>
        </w:rPr>
        <w:t>ex</w:t>
      </w:r>
      <w:r>
        <w:t xml:space="preserve"> art. 86.1 CE se refiera no a la totalidad del articulado de la norma de urgencia sino, con menor extensión, a un singular precepto o a una pluralidad de preceptos, la verificación del concurso de este requisito ha de ser deducido de una particularizada explicitación, no superando el oportuno escrutinio el recurso a razonamientos de carácter genérico. Tal es, precisamente, la segunda confusión en que incurre la resolución de mi discrepancia, tal y como se infiere de la lectura del texto que se viene de reproducir.</w:t>
      </w:r>
    </w:p>
    <w:p w:rsidR="0085709A" w:rsidRDefault="0085709A" w:rsidP="0085709A">
      <w:pPr>
        <w:pStyle w:val="TextoNormal"/>
      </w:pPr>
    </w:p>
    <w:p w:rsidR="0085709A" w:rsidRDefault="0085709A" w:rsidP="0085709A">
      <w:pPr>
        <w:pStyle w:val="TextoNormal"/>
      </w:pPr>
      <w:r>
        <w:t>Las sumarias alusiones que en el mismo se efectúan despliegan, en efecto, un alcance global. Así se confirma de manera indubitada de la simple lectura de la locución con la que se inicia el texto evocado, que no utiliza una fórmula en singular sino en plural; a saber: “las medidas anteriores”. A la luz de esta literalidad, la tarea de inferir de este concreto pasaje de la exposición de motivos una justificación formal que permita detectar una situación de urgente y extraordinaria necesidad en la creación de la comisión de seguimiento de los instrumentos de capital y deuda subordinada carece del menor soporte interpretativo; es el resultado, antes al contrario, de un alegato voluntarista, bien alejado de la doctrina elaborada por este Tribunal.</w:t>
      </w:r>
    </w:p>
    <w:p w:rsidR="0085709A" w:rsidRDefault="0085709A" w:rsidP="0085709A">
      <w:pPr>
        <w:pStyle w:val="TextoNormal"/>
      </w:pPr>
    </w:p>
    <w:p w:rsidR="0085709A" w:rsidRDefault="0085709A" w:rsidP="0085709A">
      <w:pPr>
        <w:pStyle w:val="TextoNormal"/>
      </w:pPr>
      <w:r>
        <w:t xml:space="preserve">4. Una vez intentada, sin la debida densidad argumentativa, la demostración de que el preámbulo surte la obligada explicitación formal del presupuesto que habilita </w:t>
      </w:r>
      <w:r w:rsidRPr="0085709A">
        <w:rPr>
          <w:i/>
        </w:rPr>
        <w:t>ex</w:t>
      </w:r>
      <w:r>
        <w:t xml:space="preserve"> art. 86.1 </w:t>
      </w:r>
      <w:r>
        <w:lastRenderedPageBreak/>
        <w:t>CE la aprobación por el Gobierno de una norma con rango y fuerza de ley —en el caso a discusión, el Real Decreto-ley 6/2013—, la Sentencia de la que me separo, en ese mismo fundamento jurídico 4 y sin solución de continuidad, se empeña en completar esta tarea justificativa mediante el examen de los argumentos expuestos por el Ministro de Economía y Competitividad, con ocasión del debate de convalidación habido, en fecha 11 de abril de 2013, en el Congreso de los Diputados.</w:t>
      </w:r>
    </w:p>
    <w:p w:rsidR="0085709A" w:rsidRDefault="0085709A" w:rsidP="0085709A">
      <w:pPr>
        <w:pStyle w:val="TextoNormal"/>
      </w:pPr>
    </w:p>
    <w:p w:rsidR="0085709A" w:rsidRDefault="0085709A" w:rsidP="0085709A">
      <w:pPr>
        <w:pStyle w:val="TextoNormal"/>
      </w:pPr>
      <w:r>
        <w:t>A diferencia de lo razonado en relación con la anterior fuente de análisis, con la exposición de motivos de la norma impugnada, el escrutinio que la Sentencia lleva a cabo respecto de esta segunda fuente ya no incurre en la denunciada doble confusión. Y no lo hace por una sencilla razón; a saber: por cuanto la totalidad de las argumentaciones suministradas por el Sr. Ministro y ahí reproducidas constituye una simple narración de los objetivos perseguidos con el dictado de la norma de urgencia así como de las medidas que la propia norma incorpora a su articulado.</w:t>
      </w:r>
    </w:p>
    <w:p w:rsidR="0085709A" w:rsidRDefault="0085709A" w:rsidP="0085709A">
      <w:pPr>
        <w:pStyle w:val="TextoNormal"/>
      </w:pPr>
    </w:p>
    <w:p w:rsidR="0085709A" w:rsidRDefault="0085709A" w:rsidP="0085709A">
      <w:pPr>
        <w:pStyle w:val="TextoNormal"/>
      </w:pPr>
      <w:r>
        <w:t>A una mera manifestación de objetivos responden, de manera ejemplar, los dos primeros párrafos que se traen a colación, en los que el interviniente en el debate parlamentario asigna a la norma que presenta, entre otras, las siguientes finalidades: i) avanzar (“dar un paso más”) en el conjunto de iniciativas adoptadas por el Gobierno “para proteger a los pequeños ahorradores que han sufrido la mala comercialización de unos productos de inversión de gran complejidad”; ii) buscar fórmulas que compatibilicen la compensación a los afectados por esa comercialización con la normativa comunitaria de ayudas al estado, los planes de reestructuración y resolución de las entidades financieras, aprobados por la Comisión Europea; iii) respetar el “principio de reducir el coste para el contribuyente” y, por último, iv) impulsar “unos procedimientos de arbitraje para dirimir las controversias derivadas de la comercialización de participaciones preferentes y deuda subordinada”, procedimientos éstos que, a su juicio, ofrecen “una vía rápida, eficaz y menos costosa” que los judiciales.</w:t>
      </w:r>
    </w:p>
    <w:p w:rsidR="0085709A" w:rsidRDefault="0085709A" w:rsidP="0085709A">
      <w:pPr>
        <w:pStyle w:val="TextoNormal"/>
      </w:pPr>
    </w:p>
    <w:p w:rsidR="0085709A" w:rsidRDefault="0085709A" w:rsidP="0085709A">
      <w:pPr>
        <w:pStyle w:val="TextoNormal"/>
      </w:pPr>
      <w:r>
        <w:t>De su lado, es el tercero de los párrafos que transcriben el alegato del responsable político del Departamento de Economía y Competitividad el que procede a delimitar el contenido normativo del Real Decreto-ley 6/2013, enunciando al efecto “dos medidas fundamentales” una de las cuales, en lo que aquí interesa hacer constar, reside precisamente en la creación “de una Comisión de seguimiento al más alto nivel que estará presidida por la Presidente de la Comisión Nacional del Mercado de Valores y cuya vicepresidencia corresponde al Subgobernador del Banco de España …”.</w:t>
      </w:r>
    </w:p>
    <w:p w:rsidR="0085709A" w:rsidRDefault="0085709A" w:rsidP="0085709A">
      <w:pPr>
        <w:pStyle w:val="TextoNormal"/>
      </w:pPr>
    </w:p>
    <w:p w:rsidR="0085709A" w:rsidRDefault="0085709A" w:rsidP="0085709A">
      <w:pPr>
        <w:pStyle w:val="TextoNormal"/>
      </w:pPr>
      <w:r>
        <w:t>Tras esta declaración, la intervención oral a enjuiciamiento se detiene a enumerar “las funciones que se le han encomendado a esta Comisión”, citándose, de entre las mencionadas de manera expresa en el artículo 1.2 de la norma de urgencia, tres en concreto: analizar las causas que generan las reclamaciones judiciales y extrajudiciales relativa a la tan citada comercialización; informar trimestralmente al Congreso de los Diputados y, en fin, elevar propuestas de mejora para la protección del inversor. Por lo demás, la exposición del sr. Ministro se cierra con la siguiente conclusión: “en definitiva, señorías, con este Real Decreto-ley el Gobierno habilita una vía rápida y sencilla que tiene como prioridad aquellos ahorradores en circunstancias más vulnerables, bien por su situación familiar o económica”.</w:t>
      </w:r>
    </w:p>
    <w:p w:rsidR="0085709A" w:rsidRDefault="0085709A" w:rsidP="0085709A">
      <w:pPr>
        <w:pStyle w:val="TextoNormal"/>
      </w:pPr>
    </w:p>
    <w:p w:rsidR="0085709A" w:rsidRDefault="0085709A" w:rsidP="0085709A">
      <w:pPr>
        <w:pStyle w:val="TextoNormal"/>
      </w:pPr>
      <w:r>
        <w:lastRenderedPageBreak/>
        <w:t>Como puede deducirse de una superficial lectura de las diferentes partes del discurso reproducido por la Sentencia de mi disentimiento, la intervención del representante gubernamental prescinde por completo de ofrecer una justificación, incluso de manera muy indirecta o colateral, de los motivos que pudieran haber amparado el ejercicio por el Gobierno del poder legislativo excepcional contemplado en el art. 86.1 CE. La integridad del discurso transcrito —y es esta una conclusión extensible sin reserva alguna a la parte no manejada— no otro propósito tiene que el proporcionar cobertura política a la decisión normativa adoptada, cobertura ésta que en modo alguno puede satisfacer los requerimientos constitucionales. En ese discurso, en suma, no es posible vislumbrar el menor intento o el más liviano empeño por explicitar la concurrencia de una necesidad urgente y extraordinaria en la constitución de la tan mencionada comisión de seguimiento.</w:t>
      </w:r>
    </w:p>
    <w:p w:rsidR="0085709A" w:rsidRDefault="0085709A" w:rsidP="0085709A">
      <w:pPr>
        <w:pStyle w:val="TextoNormal"/>
      </w:pPr>
    </w:p>
    <w:p w:rsidR="0085709A" w:rsidRDefault="0085709A" w:rsidP="0085709A">
      <w:pPr>
        <w:pStyle w:val="TextoNormal"/>
      </w:pPr>
      <w:r>
        <w:t>5. La obligada conclusión que es dable obtener de los razonamientos que se vienen de exponer es de fácil enunciado: la adopción por el Gobierno del Real Decreto-ley 6/2013 ha vulnerado de manera frontal el requisito que, en el decir de la doctrina de este Tribunal, actúa como presupuesto habilitante del dictado de un poder legislativo excepcional; esto es, la explicitación formal de la urgente y extraordinaria necesidad. Incumplido este primer requisito, no es ya necesario entrar a examinar la existencia de una conexión de sentido entre dicho presupuesto y la creación de una comisión de seguimiento de instrumentos híbridos de capital y deuda subsidiaria.</w:t>
      </w:r>
    </w:p>
    <w:p w:rsidR="0085709A" w:rsidRDefault="0085709A" w:rsidP="0085709A">
      <w:pPr>
        <w:pStyle w:val="TextoNormal"/>
      </w:pPr>
    </w:p>
    <w:p w:rsidR="0085709A" w:rsidRDefault="0085709A" w:rsidP="0085709A">
      <w:pPr>
        <w:pStyle w:val="TextoNormal"/>
      </w:pPr>
      <w:r>
        <w:t>Por lo expuesto, entiendo que la presente Sentencia debió declarar inconstitucional y nulo el art. 1 del Real Decreto-ley 6/2013.</w:t>
      </w:r>
    </w:p>
    <w:p w:rsidR="0085709A" w:rsidRDefault="0085709A" w:rsidP="0085709A">
      <w:pPr>
        <w:pStyle w:val="TextoNormal"/>
      </w:pPr>
    </w:p>
    <w:p w:rsidR="0085709A" w:rsidRDefault="0085709A" w:rsidP="0085709A">
      <w:pPr>
        <w:pStyle w:val="TextoNormal"/>
      </w:pPr>
      <w:r>
        <w:t>Y en este sentido emito mi Voto particular discrepante.</w:t>
      </w:r>
    </w:p>
    <w:p w:rsidR="0085709A" w:rsidRDefault="0085709A" w:rsidP="0085709A">
      <w:pPr>
        <w:pStyle w:val="TextoNormal"/>
      </w:pPr>
    </w:p>
    <w:p w:rsidR="0085709A" w:rsidRDefault="0085709A" w:rsidP="0085709A">
      <w:pPr>
        <w:pStyle w:val="TextoNormal"/>
      </w:pPr>
      <w:r>
        <w:t>Madrid, a cinco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6" w:name="SENTENCIA_2015_13"/>
      <w:r>
        <w:lastRenderedPageBreak/>
        <w:t>SENTENCIA 13/2015, de 5 de febrero de 2015</w:t>
      </w:r>
    </w:p>
    <w:bookmarkEnd w:id="16"/>
    <w:p w:rsidR="0085709A" w:rsidRDefault="0085709A" w:rsidP="0085709A">
      <w:pPr>
        <w:pStyle w:val="TtuloResolucin"/>
      </w:pPr>
      <w:r>
        <w:t>Pleno</w:t>
      </w:r>
    </w:p>
    <w:p w:rsidR="0085709A" w:rsidRDefault="0085709A" w:rsidP="0085709A">
      <w:pPr>
        <w:pStyle w:val="TtuloBOE"/>
      </w:pPr>
      <w:r>
        <w:t>(BOE núm. 52, de 2 de marzo de 2015)</w:t>
      </w:r>
    </w:p>
    <w:p w:rsidR="0085709A" w:rsidRDefault="0085709A" w:rsidP="0085709A">
      <w:pPr>
        <w:pStyle w:val="TextoNormalCentrado"/>
      </w:pPr>
      <w:r>
        <w:t>ECLI:ES:TC:2015:13</w:t>
      </w:r>
    </w:p>
    <w:p w:rsidR="0085709A" w:rsidRDefault="0085709A" w:rsidP="0085709A">
      <w:pPr>
        <w:pStyle w:val="TextoNormalCentrado"/>
      </w:pPr>
    </w:p>
    <w:p w:rsidR="0085709A" w:rsidRDefault="0085709A" w:rsidP="0085709A">
      <w:pPr>
        <w:pStyle w:val="SntesisDescriptiva"/>
      </w:pPr>
      <w:r>
        <w:t>Recurso de inconstitucionalidad 1399-2014. Interpuesto por las Cortes de Aragón en relación con diversos preceptos de la Ley 21/2013, de 9 de diciembre, de evaluación ambiental.</w:t>
      </w:r>
    </w:p>
    <w:p w:rsidR="0085709A" w:rsidRDefault="0085709A" w:rsidP="0085709A">
      <w:pPr>
        <w:pStyle w:val="SntesisDescriptiva"/>
      </w:pPr>
    </w:p>
    <w:p w:rsidR="0085709A" w:rsidRDefault="0085709A" w:rsidP="0085709A">
      <w:pPr>
        <w:pStyle w:val="SntesisAnaltica"/>
      </w:pPr>
      <w:r>
        <w:t>Competencias sobre aguas: nulidad de los preceptos legales aprobados sin solicitar la emisión del informe, previsto en el Estatuto de Autonomía de Aragón, respecto de cualquier propuesta de obra hidráulica o de transferencia de aguas que afecte al territorio de esta Comunidad Autónoma (STC 110/2011).</w:t>
      </w:r>
    </w:p>
    <w:p w:rsidR="0085709A" w:rsidRDefault="0085709A" w:rsidP="0085709A">
      <w:pPr>
        <w:pStyle w:val="SntesisAnaltica"/>
      </w:pPr>
    </w:p>
    <w:p w:rsidR="0085709A" w:rsidRDefault="0085709A" w:rsidP="0085709A">
      <w:pPr>
        <w:pStyle w:val="Extracto"/>
      </w:pPr>
      <w:r>
        <w:t>1.</w:t>
      </w:r>
      <w:r>
        <w:tab/>
        <w:t>La fijación reglamentaria de valores mensuales de referencia de los desembalses para satisfacer sus requerimientos propios, en nada altera las determinaciones de la planificación hidrológica que resulten de aplicación, incluida la modulación de tales valores,  dentro del margen normativo [FJ 7].</w:t>
      </w:r>
    </w:p>
    <w:p w:rsidR="0085709A" w:rsidRDefault="0085709A" w:rsidP="0085709A">
      <w:pPr>
        <w:pStyle w:val="Extracto"/>
      </w:pPr>
    </w:p>
    <w:p w:rsidR="0085709A" w:rsidRDefault="0085709A" w:rsidP="0085709A">
      <w:pPr>
        <w:pStyle w:val="Extracto"/>
      </w:pPr>
      <w:r>
        <w:t>2.</w:t>
      </w:r>
      <w:r>
        <w:tab/>
        <w:t>De conformidad con el principio de unidad de gestión, las decisiones que se adopten respecto a las transferencias hídricas en el seno de una cuenca afectan a su Comunidad Autónoma, sin que sea admisible una suerte de gestión fragmentada de las aguas pertenecientes a una misma cuenca [FJ 5 b)].</w:t>
      </w:r>
    </w:p>
    <w:p w:rsidR="0085709A" w:rsidRDefault="0085709A" w:rsidP="0085709A">
      <w:pPr>
        <w:pStyle w:val="Extracto"/>
      </w:pPr>
    </w:p>
    <w:p w:rsidR="0085709A" w:rsidRDefault="0085709A" w:rsidP="0085709A">
      <w:pPr>
        <w:pStyle w:val="Extracto"/>
      </w:pPr>
      <w:r>
        <w:t>3.</w:t>
      </w:r>
      <w:r>
        <w:tab/>
        <w:t>Se desestima la doble reserva de procedimiento para la aprobación del plan hidrológico nacional pues significaría la atribución a dicha norma de la condición de norma integrante del bloque de la constitucionalidad, lo que fue descartado en las SSTC 237/2012 y 19/2013 [FJ 3].</w:t>
      </w:r>
    </w:p>
    <w:p w:rsidR="0085709A" w:rsidRDefault="0085709A" w:rsidP="0085709A">
      <w:pPr>
        <w:pStyle w:val="Extracto"/>
      </w:pPr>
    </w:p>
    <w:p w:rsidR="0085709A" w:rsidRDefault="0085709A" w:rsidP="0085709A">
      <w:pPr>
        <w:pStyle w:val="Extracto"/>
      </w:pPr>
      <w:r>
        <w:t>4.</w:t>
      </w:r>
      <w:r>
        <w:tab/>
        <w:t>La intervención del Consejo Nacional del Agua ha de circunscribirse a la fase de tramitación prelegislativa, pero no a la decisión de las Cámaras, que no puede venir condicionada por lo dispuesto en la legislación ordinaria en materia de aguas, descartándose su condición de canon de constitucionalidad en el presente proceso [FJ 4].</w:t>
      </w:r>
    </w:p>
    <w:p w:rsidR="0085709A" w:rsidRDefault="0085709A" w:rsidP="0085709A">
      <w:pPr>
        <w:pStyle w:val="Extracto"/>
      </w:pPr>
    </w:p>
    <w:p w:rsidR="0085709A" w:rsidRDefault="0085709A" w:rsidP="0085709A">
      <w:pPr>
        <w:pStyle w:val="Extracto"/>
      </w:pPr>
      <w:r>
        <w:t>5.</w:t>
      </w:r>
      <w:r>
        <w:tab/>
        <w:t>Respecto al informe sobre los trasvases entre cuencas intercomunitarias, que constituyen un supuesto de concurrencia de competencias estatales y autonómicas, en el mismo soporte físico, es constitucionalmente inaceptable que se desplace o enerve la competencia estatal ex art. 149.1.22 CE (STC 247/2007) [FJ 5 a)].</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1399/2014 promovido por las Cortes de Aragón contra la disposición adicional decimoquinta, disposición transitoria segunda, disposición derogatoria única, apartado tercero, y disposiciones finales segunda, tercera, cuarta y quinta de la Ley 21/2013, de 9 de diciembre, de evaluación ambiental. Han comparecido y formulado alegaciones la Letrada de las Cortes Generales, en representación del Congreso de los Diputados, y el Abogado del Estado. Ha sido Ponente el Magistrado don Luis Ignacio Ortega Álvarez,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el Registro General de este Tribunal el día 7 de marzo de 2014, la Letrada de las Cortes de Aragón, en la representación que ostenta, interpone recurso de inconstitucionalidad contra la disposición adicional decimoquinta, disposición transitoria segunda, disposición derogatoria única, apartado tercero, y disposiciones finales segunda, tercera, cuarta y quinta de la Ley 21/2013, de 9 de diciembre, de evaluación ambiental.</w:t>
      </w:r>
    </w:p>
    <w:p w:rsidR="0085709A" w:rsidRDefault="0085709A" w:rsidP="0085709A">
      <w:pPr>
        <w:pStyle w:val="TextoNormal"/>
      </w:pPr>
    </w:p>
    <w:p w:rsidR="0085709A" w:rsidRDefault="0085709A" w:rsidP="0085709A">
      <w:pPr>
        <w:pStyle w:val="TextoNormal"/>
      </w:pPr>
      <w:r>
        <w:t>Los motivos del recurso son, sucintamente expuestos, los siguientes:</w:t>
      </w:r>
    </w:p>
    <w:p w:rsidR="0085709A" w:rsidRDefault="0085709A" w:rsidP="0085709A">
      <w:pPr>
        <w:pStyle w:val="TextoNormal"/>
      </w:pPr>
    </w:p>
    <w:p w:rsidR="0085709A" w:rsidRDefault="0085709A" w:rsidP="0085709A">
      <w:pPr>
        <w:pStyle w:val="TextoNormal"/>
      </w:pPr>
      <w:r>
        <w:t xml:space="preserve">Tras justificar la legitimación de las Cortes de Aragón para interponer el recurso, la Letrada de las Cortes de Aragón argumenta la inconstitucionalidad de las disposiciones de la Ley 21/2013 que modifican el plan hidrológico nacional y otras conexas por cuanto entiende que el procedimiento seguido se ha situado al margen de lo previsto por el legislador de aguas [art. 45.2 del texto refundido de la Ley de aguas, aprobado por Real Decreto Legislativo 1/2001, de 20 de julio, prescindiendo de los mecanismos establecidos para garantizar la participación autonómica en la planificación hidrológica [informe preceptivo del Consejo Nacional del Agua previsto en el art. 20.1 a)] del texto refundido de la Ley de aguas, así como, del informe preceptivo de la Comunidad Autónoma de Aragón [art. 72.3 del Estatuto de Autonomía de Aragón (EAAr)], por lo que habría incurrido en un vicio de inconstitucionalidad </w:t>
      </w:r>
      <w:r w:rsidRPr="0085709A">
        <w:rPr>
          <w:i/>
        </w:rPr>
        <w:t>ex</w:t>
      </w:r>
      <w:r>
        <w:t xml:space="preserve"> arts. 2, 9.3, 24.1, 137, 149.1.22 CE y arts. 19, 71.8, 17, 21, 22, 23, 72 y 75.3 EAAr.</w:t>
      </w:r>
    </w:p>
    <w:p w:rsidR="0085709A" w:rsidRDefault="0085709A" w:rsidP="0085709A">
      <w:pPr>
        <w:pStyle w:val="TextoNormal"/>
      </w:pPr>
    </w:p>
    <w:p w:rsidR="0085709A" w:rsidRDefault="0085709A" w:rsidP="0085709A">
      <w:pPr>
        <w:pStyle w:val="TextoNormal"/>
      </w:pPr>
      <w:r>
        <w:t xml:space="preserve">a) Destaca, en primer lugar el origen parlamentario de las disposiciones impugnadas que incorporan los resultados de un previo grupo de trabajo constituido por representantes de la Administración General del Estado y de las Comunidades Autónomas de Valencia y Murcia, en el que, además, se integraron, entre otros, el sindicato central de regantes del acueducto Tajo-Segura. La demanda sostiene que existe una reserva de procedimiento para la aprobación del plan hidrológico nacional consistente en que al Gobierno corresponde la iniciativa y al Parlamento la aprobación final, conforme a lo dispuesto en el art. 45.2 del texto refundido de la Ley de aguas, procedimiento que permitiría la intervención tanto del </w:t>
      </w:r>
      <w:r>
        <w:lastRenderedPageBreak/>
        <w:t>Consejo Nacional del Agua como de las Comunidades Autónomas. Un segundo motivo de inconstitucionalidad es la omisión del informe del Consejo Nacional del Agua lo que sería incompatible con la exigencia constitucional de un modelo participativo en la planificación hidrológica, participación que, en el caso de la Comunidad Autónoma de Aragón, viene exigida además por el art. 72.3 EAAr, cuya constitucionalidad ya fue declarada en la STC 110/2011. Rechaza, por otra parte, que pudiera aplicarse el argumento de que las disposiciones contenidas en la Ley 21/2013 desplazan al texto refundido de la Ley de aguas, al tratarse de una ley específica y posterior a dicho texto refundido, pues este criterio no sería aplicable a dicho texto refundido en tanto que cúspide del ordenamiento en esta materia. El tercer motivo vendría dado por la omisión del informe preceptivo de la Comunidad Autónoma de Aragón dispuesto en el art. 72.3 EAAr que ha de emitirse en relación con cualquier propuesta de transferencia u obra hidráulica que afecte a su territorio. Dicho informe, en cuanto que manifestación del deber de colaboración y cooperación, no puede quedar a la discrecionalidad del legislador estatal por la evidente afectación de esta materia a otras de competencia autonómica. Tampoco es impedimento para la aplicación de esta técnica el hecho de que la planificación hidrológica se apruebe mediante ley, en la medida en que la emisión del informe se configura como una garantía procedimental establecida en una norma que se integra en el bloque de la constitucionalidad. En consecuencia, la Letrada de las Cortes de Aragón concluye que habiéndose producido el supuesto de hecho previsto en el art. 72.3 EAAr, esto es, una transferencia de aguas que afecta a su territorio sin que la Comunidad Autónoma haya sido requerida para la emisión de informe previo a su aprobación mediante las disposiciones incorporadas a tal efecto en la Ley 21/2013 (disposición adicional decimoquinta; disposición transitoria segunda; disposición derogatoria única, apartado tercero; disposiciones finales segunda, tercera y quinta), las mismas resultan inconstitucionales en aplicación de la doctrina contenida en las SSTC 35/1984, de 15 de marzo, y 137/2003, de 3 de julio.</w:t>
      </w:r>
    </w:p>
    <w:p w:rsidR="0085709A" w:rsidRDefault="0085709A" w:rsidP="0085709A">
      <w:pPr>
        <w:pStyle w:val="TextoNormal"/>
      </w:pPr>
    </w:p>
    <w:p w:rsidR="0085709A" w:rsidRDefault="0085709A" w:rsidP="0085709A">
      <w:pPr>
        <w:pStyle w:val="TextoNormal"/>
      </w:pPr>
      <w:r>
        <w:t>b) Sostiene la representación procesal de las Cortes de Aragón la inconstitucionalidad de la disposición final cuarta de la Ley 21/2013, que da nueva redacción al art. 72 del texto refundido de la Ley de aguas, relativo al contrato de cesión de derechos al uso privativo de aguas que implique la utilización de infraestructuras que conecten territorios de distintos planes hidrológicos de cuenca. Tal inconstitucionalidad derivaría de la supresión de la exigencia de que el uso de tales infraestructuras solamente sería posible si lo preveía el plan hidrológico nacional o las leyes singulares reguladoras de cada trasvase. Con la nueva redacción bastará la autorización de la Dirección General del Agua, toda vez que la autorización de cesión de derechos conlleva la del uso de las infraestructuras de interconexión, obviando que se trata de decisiones reservadas a la planificación hidrológica de alcance general y deslegalizando una materia en la que existe una reserva expresa establecida por el art. 45.1 c) del texto refundido de la Ley de aguas. El margen del legislador estatal aparece constitucionalmente limitado tanto por los principios constitucionales que conciernen a la ordenación y gestión de los recursos hídricos, entre ellos, el de unidad de cuenca y el de preeminencia de la planificación hidrológica, como por el mandato de utilización racional de los recursos naturales (art. 45.2 CE). Esta vulneración del principio de planificación hidrológica lleva aparejada la consiguiente exclusión de la participación autonómica en un ámbito de tanta relevancia como es el de las transferencias hidráulicas, por lo que ha de entenderse asimismo vulnerado el art. 72.2 EAAr. Igualmente se entienden vulnerados los límites constitucionales de protección del demanio hidráulico por cuanto se estaría redu</w:t>
      </w:r>
      <w:r>
        <w:lastRenderedPageBreak/>
        <w:t>ciendo la necesaria tutela administrativa que ha de existir sobre este tipo de bienes por debajo de los límites constitucionalmente admisibles pues “la consideración de los contratos de cesión como un mecanismo de reasignación o redistribución de aprovechamientos hidráulicos previamente concedidos parece que quiebra en el caso de las aguas trasvasadas” en la medida en que con esta regulación se prescinde de garantías relativas a las condiciones ambientales y técnicas, el volumen a trasvasar o el destino de las aguas trasvasadas.</w:t>
      </w:r>
    </w:p>
    <w:p w:rsidR="0085709A" w:rsidRDefault="0085709A" w:rsidP="0085709A">
      <w:pPr>
        <w:pStyle w:val="TextoNormal"/>
      </w:pPr>
    </w:p>
    <w:p w:rsidR="0085709A" w:rsidRDefault="0085709A" w:rsidP="0085709A">
      <w:pPr>
        <w:pStyle w:val="TextoNormal"/>
      </w:pPr>
      <w:r>
        <w:t>c) Considera, por último, la Letrada de las Cortes de Aragón que la disposición final quinta de la Ley 21/2013 implica una modificación significativa en el régimen de las transferencias al incorporar una limitación previa de la disponibilidad del agua en la demarcación cedente a través de la determinación, mediante real decreto, de un volumen máximo de desembalse para las necesidades propias de la demarcación cedente. Las operaciones de desembalse para satisfacer los requerimientos propios de la cuenca cedente que hasta el momento residían en la comisión de desembalse y la presidencia de los organismos de cuenca pasan a limitarse mediante la previa fijación de unos límites máximos anuales, lo que se estima contrario al régimen de participación en la gestión del agua que impone el principio de constitucional de cooperación así como al principio de prioridad de la cuenca cedente.</w:t>
      </w:r>
    </w:p>
    <w:p w:rsidR="0085709A" w:rsidRDefault="0085709A" w:rsidP="0085709A">
      <w:pPr>
        <w:pStyle w:val="TextoNormal"/>
      </w:pPr>
    </w:p>
    <w:p w:rsidR="0085709A" w:rsidRDefault="0085709A" w:rsidP="0085709A">
      <w:pPr>
        <w:pStyle w:val="TextoNormal"/>
      </w:pPr>
      <w:r>
        <w:t>En cuanto lo primero, tras destacar la naturaleza participativa de los órganos de gestión de las confederaciones hidrográficas, entre los que se encuentran las comisiones de desembalse, señala que la voluntad inequívoca de participar en los órganos de gestión estatal de los recursos hídricos y de los aprovechamientos hidráulicos que pertenecen a cuencas hidrográficas intercomunitarias que afecten a Aragón, además de expresa mención en sede estatutaria (art. 72.2 EAAr), ha encontrado reflejo en la labor del legislador aragonés, con cita al respecto de la Ley 6/2001, de 17 de mayo, de ordenación y participación en la gestión del agua en Aragón. Por ello, considera que la previsión cuestionada contradice la posibilidad de articular en el seno de las confederaciones hidrográficas una actuación cooperadora en el ejercicio de las funciones que tienen atribuidas las comisiones de desembalse.</w:t>
      </w:r>
    </w:p>
    <w:p w:rsidR="0085709A" w:rsidRDefault="0085709A" w:rsidP="0085709A">
      <w:pPr>
        <w:pStyle w:val="TextoNormal"/>
      </w:pPr>
    </w:p>
    <w:p w:rsidR="0085709A" w:rsidRDefault="0085709A" w:rsidP="0085709A">
      <w:pPr>
        <w:pStyle w:val="TextoNormal"/>
      </w:pPr>
      <w:r>
        <w:t xml:space="preserve">Por otra parte, se alega la vulneración del principio de prioridad de la cuenca cedente y de la reserva de ley en materia de transferencias hidráulicas puesto que la determinación por una norma reglamentaria de un límite máximo anual que condiciona las operaciones de desembalse en la demarcación cedente para satisfacer sus requerimientos propios, además de contradecir el principio de prioridad de la cuenca cedente, vulnera la reserva material del plan hidrológico nacional </w:t>
      </w:r>
      <w:r w:rsidRPr="0085709A">
        <w:rPr>
          <w:i/>
        </w:rPr>
        <w:t>ex</w:t>
      </w:r>
      <w:r>
        <w:t xml:space="preserve"> art. 45.1 c) del texto refundido de la Ley de aguas, en tanto que las condiciones de las transferencias, integran “en todo caso” su contenido necesario. La regulación de las transferencias reservada al plan hidrológico nacional no se refiere únicamente a una mera autorización de un volumen, sino que ha de integrar las condiciones ambientales, técnicas, el destino de las aguas trasvasadas y la organización, gestión, ejecución, explotación y régimen económico financiero de las mismas.</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Mediante providencia de 8 de abril de 2014 el Pleno, a propuesta de la Sección Segunda, acordó admitir a trámite el recurso de inconstitucionalidad promovido por las Cortes de Aragón y, en su representación y defensa, por la Letrada de la Cámara, contra la disposición adicional decimoquinta, disposición transitoria segunda, disposición derogatoria única, apartado tercero, y disposiciones finales segunda, tercera, cuarta y quinta de la Ley </w:t>
      </w:r>
      <w:r>
        <w:lastRenderedPageBreak/>
        <w:t>21/2013, de 9 de diciembre, de evaluación ambiental;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el 15 de abril de 2014, el Abogado del Estado se personó en nombre del Gobierno solicitando una prórroga en el plazo inicialmente concedido para la formulación de alegaciones, prórroga que le fue concedida por providencia del Pleno de 22 de abril de 2014.</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registrado con fecha 23 de abril de 2014, el Presidente del Senado comunicó el acuerdo de la Mesa de la Cámara de personarse en el procedimiento y ofrecer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día 24 de abril de 2014 la Letrada de las Cortes Generales se personó en el proceso en nombre del Congreso de los Diputados y formuló las alegaciones que se resumen a continuación.</w:t>
      </w:r>
    </w:p>
    <w:p w:rsidR="0085709A" w:rsidRDefault="0085709A" w:rsidP="0085709A">
      <w:pPr>
        <w:pStyle w:val="TextoNormal"/>
      </w:pPr>
    </w:p>
    <w:p w:rsidR="0085709A" w:rsidRDefault="0085709A" w:rsidP="0085709A">
      <w:pPr>
        <w:pStyle w:val="TextoNormal"/>
      </w:pPr>
      <w:r>
        <w:t>Comienza señalando que el carácter normativo de la planificación hidrológica fue una de las novedades de la Ley de Aguas pero debe distinguirse entre la ley aprobatoria del plan hidrológico nacional y el contenido de éste como conjunto de medidas, idea que expresa el art. 45 del texto refundido de la Ley de aguas. Así, más que de una reserva de ley en el sentido al que se refiere el demandante se trataría de una reserva de contenido, que es la que luego determina la consiguiente reserva de ley. En consecuencia, la forma de aprobación del plan como ley es, simplemente, la exteriorización de dicha aprobación y puede realizarse mediante cualquier ley, sin que pueda exigirse que haya de realizarse necesariamente a través de una tramitación individualizada de reforma de su propia ley nominal. Cita, en apoyo de esta tesis, la doctrina de la STC 132/2013. Señala además que esta reserva legal deriva del principio de congelación de rango, es decir, se trata de una reserva creada por la propia ley, que puede ser cancelada por un acto legislativo de contrario. Concluye, por tanto, que la reserva que realiza el texto refundido de la Ley de aguas a una ley que apruebe el plan hidrológico nacional, no es reserva constitucional de  ley, sino una habilitación, revocable por otra ley, de una serie de materias que se consideran incluidas en el plan, en un sentido material de reserva a la ley como concepto general, no a una ley en concreto ni tampoco a una especialidad procedimental.</w:t>
      </w:r>
    </w:p>
    <w:p w:rsidR="0085709A" w:rsidRDefault="0085709A" w:rsidP="0085709A">
      <w:pPr>
        <w:pStyle w:val="TextoNormal"/>
      </w:pPr>
    </w:p>
    <w:p w:rsidR="0085709A" w:rsidRDefault="0085709A" w:rsidP="0085709A">
      <w:pPr>
        <w:pStyle w:val="TextoNormal"/>
      </w:pPr>
      <w:r>
        <w:t xml:space="preserve">Relacionado con lo anterior la Letrada de las Cortes Generales tampoco comparte las alegaciones relativas a la reserva de procedimiento (como reserva de la iniciativa legislativa al Gobierno </w:t>
      </w:r>
      <w:r w:rsidRPr="0085709A">
        <w:rPr>
          <w:i/>
        </w:rPr>
        <w:t>ex</w:t>
      </w:r>
      <w:r>
        <w:t xml:space="preserve"> art. 45.2 del texto refundido de la Ley de aguas) y la comparación con el procedimiento presupuestario pues, a diferencia de éste, no existe una previsión constitucional respecto al procedimiento de elaboración y de aprobación del plan hidrológico nacional. Considerar lo contrario equivaldría a ampliar los límites del derecho de enmienda de los parlamentarios más allá de lo marcado por la Constitución y la doctrina del Tribunal Constitucional. Es claro, a su juicio, que ha habido un legítimo ejercicio del derecho de </w:t>
      </w:r>
      <w:r>
        <w:lastRenderedPageBreak/>
        <w:t>enmienda, existiendo la mínima conexión que exige la doctrina constitucional, al modificarse una ley ambiental en otra de esa misma naturaleza, sin que, por otra parte, nada impida que el texto refundido de la Ley de aguas pueda ser reformado por el legislador ordinario. Con las normas impugnadas se respondía también a una necesidad legislativa, la necesidad de reformar mediante una norma con rango de ley el régimen jurídico del Trasvase Tajo-Segura, debido a que el vigente umbral de aguas excedentarias del sistema de la cabecera del Tajo (240 hm3) lo estableció, en aplicación de la disposición adicional novena de la Ley 52/1980, de 16 de octubre, de régimen económico de la explotación del acueducto Tajo-Segura, una norma de rango reglamentario, el art. 23 de la normativa del plan hidrológico del Tajo, aprobado por el Real Decreto 1664/1998, lo que no se ajustaba a la disposición adicional tercera de la Ley del plan hidrológico nacional, que elevó a rango de ley dicho umbral. Por otra parte, destaca que, aunque las reformas se introdujeron mediante enmiendas parlamentarias recogen, en lo fundamental, el acuerdo del grupo de trabajo del memorándum del trasvase del Tajo-Segura.</w:t>
      </w:r>
    </w:p>
    <w:p w:rsidR="0085709A" w:rsidRDefault="0085709A" w:rsidP="0085709A">
      <w:pPr>
        <w:pStyle w:val="TextoNormal"/>
      </w:pPr>
    </w:p>
    <w:p w:rsidR="0085709A" w:rsidRDefault="0085709A" w:rsidP="0085709A">
      <w:pPr>
        <w:pStyle w:val="TextoNormal"/>
      </w:pPr>
      <w:r>
        <w:t>Alude a la doctrina constitucional relativa a la necesidad de utilizar técnicas de cooperación en supuestos de concurrencia competencial para concluir que la técnica del grupo de trabajo “al que se refiere las enmiendas en su justificación, aunque no es la habitual seguida en otras ocasiones, reúne no obstante los rasgos esenciales en los que el Tribunal ha apoyado la constitucionalidad de estas fórmulas, pues se está ante un mecanismo de acomodación o integración entre los distintos sujetos competentes, sin perjuicio de que la decisión final corresponda al Estado por su competencia exclusiva en la materia, o de que esta resulte o no satisfactoria para las Comunidades Autónomas”.</w:t>
      </w:r>
    </w:p>
    <w:p w:rsidR="0085709A" w:rsidRDefault="0085709A" w:rsidP="0085709A">
      <w:pPr>
        <w:pStyle w:val="TextoNormal"/>
      </w:pPr>
    </w:p>
    <w:p w:rsidR="0085709A" w:rsidRDefault="0085709A" w:rsidP="0085709A">
      <w:pPr>
        <w:pStyle w:val="TextoNormal"/>
      </w:pPr>
      <w:r>
        <w:t xml:space="preserve">Con respecto a la vulneración del trámite de informe preceptivo previsto en el art. 72.3 EAAr, señala que ha de ser analizada la finalidad de dicho informe puesto que el sentido global del precepto permite interpretar que se refiere a las propuestas prelegislativas o ejecutivas cuyo autor sea el Gobierno. Por tanto, “bajo dicho entendimiento, no se podría concluir que una propuesta de obra hidráulica o de transferencia de aguas que afecte a Aragón derivada de una enmienda parlamentaria esté sujeta al informe preceptivo de la Comunidad Autónoma, pues es claro que su autor no es el Gobierno”. Tales informes se configuran “como mecanismos de participación de las Comunidades Autónomas en las decisiones estatales y responden al principio de cooperación y colaboración entre ellas y el Estado (como Gobierno, se entiende) por el hecho de que comparten competencias”. Es claro, según la Letrada del Congreso que, la finalidad en la que la doctrina constitucional justifica la constitucionalidad de tales informes y, en concreto, la del informe al que se refiere el art. 72.3 EAAr, en la STC 110/2011, no se da respecto a las Cortes Generales, las cuales no comparten competencia de ningún tipo (ni legislativa ni ejecutiva) con las Comunidades Autónomas, de manera que “la emisión de tales informes debe entenderse referida solo a la esfera de decisiones de naturaleza ejecutiva o prelegislativa, no a las legislativas </w:t>
      </w:r>
      <w:r w:rsidRPr="0085709A">
        <w:rPr>
          <w:i/>
        </w:rPr>
        <w:t>stricto sensu</w:t>
      </w:r>
      <w:r>
        <w:t>”. Así, el procedimiento parlamentario, una vez que se inicia, no puede quedar condicionado o supeditado a la solicitud de informes a las Comunidades Autónomas, ya que ello sería incompatible con la autonomía de la Cámara, pues lo contrario implicaría que los Estatutos de Autonomía pueden incluir normas que afecten a la regulación del procedimiento legislativo estatal y que no han sido adoptadas por la mayoría absoluta de las propias Cámaras en ejercicio de su autonomía normativa.</w:t>
      </w:r>
    </w:p>
    <w:p w:rsidR="0085709A" w:rsidRDefault="0085709A" w:rsidP="0085709A">
      <w:pPr>
        <w:pStyle w:val="TextoNormal"/>
      </w:pPr>
    </w:p>
    <w:p w:rsidR="0085709A" w:rsidRDefault="0085709A" w:rsidP="0085709A">
      <w:pPr>
        <w:pStyle w:val="TextoNormal"/>
      </w:pPr>
      <w:r>
        <w:lastRenderedPageBreak/>
        <w:t>En cuanto al alegado carácter preceptivo del informe del Consejo Nacional del Agua, se remite a la doctrina de las SSTC 237/2012 y 67/2013, según las cuales dicho informe no se ampara en el art. 131 CE, siendo una creación del legislador estatal y debe ser emitido en un momento temporal prelegislativo, como se deduce del art. 20 del texto refundido de la Ley de aguas, sin que puedan establecerse paralelismos con la omisión de la solicitud de informe o audiencia de la Comunidad Autónoma de Canarias previstos en la disposición adicional tercera CE y en el art. 46.3 del Estatuto de Autonomía. Por tanto, según la doctrina de la STC 51/2013, el texto refundido de la Ley de aguas no es una norma integrante del bloque de la constitucionalidad y, en consecuencia, no puede tener efecto alguno sobre el procedimiento parlamentario legislativo.</w:t>
      </w:r>
    </w:p>
    <w:p w:rsidR="0085709A" w:rsidRDefault="0085709A" w:rsidP="0085709A">
      <w:pPr>
        <w:pStyle w:val="TextoNormal"/>
      </w:pPr>
    </w:p>
    <w:p w:rsidR="0085709A" w:rsidRDefault="0085709A" w:rsidP="0085709A">
      <w:pPr>
        <w:pStyle w:val="TextoNormal"/>
      </w:pPr>
      <w:r w:rsidRPr="0085709A">
        <w:rPr>
          <w:rStyle w:val="NumeroAFNegritaCaracter"/>
        </w:rPr>
        <w:t>6</w:t>
      </w:r>
      <w:r>
        <w:t>. Las alegaciones presentadas por el Abogado del Estado, en representación del Gobierno, fueron registradas en este Tribunal el día 20 de mayo de 2014.</w:t>
      </w:r>
    </w:p>
    <w:p w:rsidR="0085709A" w:rsidRDefault="0085709A" w:rsidP="0085709A">
      <w:pPr>
        <w:pStyle w:val="TextoNormal"/>
      </w:pPr>
    </w:p>
    <w:p w:rsidR="0085709A" w:rsidRDefault="0085709A" w:rsidP="0085709A">
      <w:pPr>
        <w:pStyle w:val="TextoNormal"/>
      </w:pPr>
      <w:r>
        <w:t>Tras transcribir las disposiciones impugnadas en el proceso alude a las razones de la reforma introducida, en el sentido de que la misma refleja los acuerdos políticos alcanzados entre el Estado y las Comunidades Autónomas de Castilla-La Mancha, Valencia y Murcia, si bien en la gestación de dichos acuerdos participaron representantes de los sectores afectados, entre ellos, el sindicato central de regantes del acueducto Tajo-Segura. Por ello, la justificación de las enmiendas no es otra que incorporar los acuerdos alcanzados en el grupo de trabajo del memorando de entendimiento Tajo-Segura. Señala el Abogado del Estado que desde el año 2005 se había estado trabajando en la nueva redacción del plan hidrológico del Tajo, que finalmente se ha materializado mediante el Real Decreto 270/2014, de 11 de abril. Revisión que debía actualizar la regulación del trasvase, teniendo en cuenta que, conforme a la Directiva marco del agua, no se trata de contenidos propios de un plan hidrológico de demarcación y requieren norma de rango legal. Por ello, y una vez que el nuevo plan hidrológico del Tajo había sido sometido a consulta pública, los mismos contenidos se llevaron a otra norma con rango de ley, rango necesario y suficiente para hacer efectivas las actualizaciones. Así, los preceptos introducidos son parcialmente copia de los ajustados tras la consulta del plan hidrológico del Tajo, tanto en lo que se refiere a la elevación del umbral de no trasvase desde 240 a 400 hectómetros cúbicos (que replica el art. 26.2 del plan del Tajo), como en lo que se refiere a la regla de explotación (art. 26.3), como el diseño del mecanismo transitorio de elevación del umbral (disposición transitoria).</w:t>
      </w:r>
    </w:p>
    <w:p w:rsidR="0085709A" w:rsidRDefault="0085709A" w:rsidP="0085709A">
      <w:pPr>
        <w:pStyle w:val="TextoNormal"/>
      </w:pPr>
    </w:p>
    <w:p w:rsidR="0085709A" w:rsidRDefault="0085709A" w:rsidP="0085709A">
      <w:pPr>
        <w:pStyle w:val="TextoNormal"/>
      </w:pPr>
      <w:r>
        <w:t>Señala seguidamente que el ámbito territorial de la Comunidad Autónoma de Aragón no se ve afectado por el trasvase Tajo-Segura, dado que su participación en la cuenca hidrográfica del Tajo es mínima, de manera que no existe un punto de conexión relevante.</w:t>
      </w:r>
    </w:p>
    <w:p w:rsidR="0085709A" w:rsidRDefault="0085709A" w:rsidP="0085709A">
      <w:pPr>
        <w:pStyle w:val="TextoNormal"/>
      </w:pPr>
    </w:p>
    <w:p w:rsidR="0085709A" w:rsidRDefault="0085709A" w:rsidP="0085709A">
      <w:pPr>
        <w:pStyle w:val="TextoNormal"/>
      </w:pPr>
      <w:r>
        <w:t>Entrando ya en el examen de los concretos motivos de impugnación señala que “en la demanda, se enmarcan todos los motivos en las vulneraciones de los arts. 2, 9.3, 45.2, 24,137 y 149.1.22 CE y en las normas estatutarias contenidas en los arts. 19; 71.8, 17, 21, 22 y 23; 72 y art. 75.3 EAAr, la alegación de dichas vulneraciones es de carácter genérico sin desarrollar en los distintos apartados de la demanda por lo que es necesario deducir y clarificar cuáles son los motivos de impugnación reales alegados y las disposiciones a las que afecta”. De acuerdo con ello diferencia distintos bloques impugnatorios y distintos motivos.</w:t>
      </w:r>
    </w:p>
    <w:p w:rsidR="0085709A" w:rsidRDefault="0085709A" w:rsidP="0085709A">
      <w:pPr>
        <w:pStyle w:val="TextoNormal"/>
      </w:pPr>
    </w:p>
    <w:p w:rsidR="0085709A" w:rsidRDefault="0085709A" w:rsidP="0085709A">
      <w:pPr>
        <w:pStyle w:val="TextoNormal"/>
      </w:pPr>
      <w:r>
        <w:t xml:space="preserve">El primero sería lo que la demanda denomina modificaciones del plan hidrológico nacional y otras conexas que afectaría a las disposiciones transitoria segunda, derogatoria </w:t>
      </w:r>
      <w:r>
        <w:lastRenderedPageBreak/>
        <w:t>única, apartado tercero, y finales segunda, tercera, cuarta y quinta, a las que se formulan tachas formales concretadas en: la existencia de una reserva al Gobierno para la iniciativa legislativa en materia de planificación hidrológica, deducida del art. 45 del texto refundido de la Ley de aguas que se habría vulnerado por la introducción de estas modificaciones mediante enmiendas en el Congreso de los Diputados así como en la omisión de dos informes preceptivos, el del Consejo Nacional del Agua, exigible por el art. 20.1 a) del texto refundido de la Ley de aguas y el de la Comunidad Autónoma, impuesto por el art. 72.3 EAAr. Por otro lado a la disposición final cuarta, que modifica el art. 72 del texto refundido de la Ley de aguas, se le imputan dos tachas adicionales, la vulneración del principio de reserva de ley en materia de trasvases intercuencas y la infracción del art. 132 CE. La vulneración que se imputa a la disposición final quinta es calificada como genérica y relacionada con la vulneración del principio de reserva de ley que surgiría del art. 45.1 c) del texto refundido de la Ley de aguas ligado a que la regulación vía real decreto de los límites anuales máximos contradice el principio de prioridad de cuenca cedente.</w:t>
      </w:r>
    </w:p>
    <w:p w:rsidR="0085709A" w:rsidRDefault="0085709A" w:rsidP="0085709A">
      <w:pPr>
        <w:pStyle w:val="TextoNormal"/>
      </w:pPr>
    </w:p>
    <w:p w:rsidR="0085709A" w:rsidRDefault="0085709A" w:rsidP="0085709A">
      <w:pPr>
        <w:pStyle w:val="TextoNormal"/>
      </w:pPr>
      <w:r>
        <w:t>Analizando ya la queja relacionada con la reserva a la iniciativa del Gobierno y la falta de los informes preceptivos señala, en primer lugar, que constitucionalmente no existe tal reserva que únicamente viene establecida en el texto refundido de la Ley de aguas, tal como resulta de la doctrina de la STC 237/2013. Señala además que las enmiendas introducidas se ajustan a los requisitos de conexión material con la norma que exige la doctrina constitucional. A ello añade que las enmiendas tienen origen en una iniciativa del Ministerio competente y son fruto de la tramitación del borrador del nuevo plan hidrológico del Tajo, plan que fue objeto de una amplia difusión y posibilidad de participación en su elaboración siendo, parte de los artículos impugnados, reproducción de los existentes en dicho plan. En relación al informe del Consejo Nacional del Agua indica que su omisión no tiene el carácter de vicio invalidante, conforme a la doctrina de la STC 237/2013. Por último, en cuanto al informe preceptivo del art. 72.3 EAAr, argumenta que el Tribunal tiene declarado que la participación de las Comunidades Autónomas en la planificación hidrológica no está expresamente recogida ni dentro de la tramitación prelegislativa, ni en la legislativa. En ese sentido se remite a la STC 110/2011 para afirmar que el precepto estatutario ha de interpretarse en el marco del art. 19 EAAr. y como un instrumento de colaboración pero que, a diferencia del caso canario, que goza de amparo constitucional, en el presente caso nos encontramos ante una previsión de informe no inserta en el procedimiento estatal y vinculado a un artículo cuyo destinatario son los poderes públicos autonómicos. Un segundo argumento consiste en afirmar que la previsión de informe previo se remite a los casos en que exista “cualquier propuesta de obra hidráulica o de transferencia de aguas que afecte a su territorio”, lo que no ocurriría en las disposiciones recurridas, ya que las únicas obras mencionadas en la reforma corresponden a Castilla-La Mancha y las transferencias que se regulan no afectan a su territorio. Para el Abogado del Estado “esta interpretación es coherente con el resto del artículo 72 que regula la participación en la planificación hidrológica conforme al desarrollo que se efectúe del art. 149.1.22 CE por lo que no sería, en ningún caso de aplicación el apartado tercero sino el segundo del art. 72 EAAr a la hora de determinar la participación y colaboración del Aragón en la planificación hidrológica y, por tanto, a lo que dispongan las leyes estatales dictadas en su desarrollo”.</w:t>
      </w:r>
    </w:p>
    <w:p w:rsidR="0085709A" w:rsidRDefault="0085709A" w:rsidP="0085709A">
      <w:pPr>
        <w:pStyle w:val="TextoNormal"/>
      </w:pPr>
    </w:p>
    <w:p w:rsidR="0085709A" w:rsidRDefault="0085709A" w:rsidP="0085709A">
      <w:pPr>
        <w:pStyle w:val="TextoNormal"/>
      </w:pPr>
      <w:r>
        <w:t xml:space="preserve">En cuanto a la modificación del art. 72 del texto refundido de la Ley de aguas señala que “no existe en la constitución una reserva de ley en cuanto a la planificación hidrológica, sino que el hecho de regularse en una ley es una opción del legislador ordinario”. Por otra parte, </w:t>
      </w:r>
      <w:r>
        <w:lastRenderedPageBreak/>
        <w:t>estima que la cuestión relativa a la vulneración del art. 132 CE ya está resuelta en la STC 149/2011. Y, por último, respecto a la vulneración del art. 72.3 EAAr señala que “la alegada infracción se produciría en cada uno de los supuestos que, en concreto autorizase el Ministerio, no por el hecho de existir una disposición de carácter general reguladora del procedimiento de autorización”.</w:t>
      </w:r>
    </w:p>
    <w:p w:rsidR="0085709A" w:rsidRDefault="0085709A" w:rsidP="0085709A">
      <w:pPr>
        <w:pStyle w:val="TextoNormal"/>
      </w:pPr>
    </w:p>
    <w:p w:rsidR="0085709A" w:rsidRDefault="0085709A" w:rsidP="0085709A">
      <w:pPr>
        <w:pStyle w:val="TextoNormal"/>
      </w:pPr>
      <w:r>
        <w:t>La tacha formulada a la disposición final quinta se salva argumentado que se trata de una interpretación errónea de la norma ya que la misma tiene una finalidad orientada a la aplicación del principio de transparencia, exigiendo la publicación de determinada información. En ese sentido la norma “no implica que el Gobierno imponga una limitación a la disponibilidad del agua de la cuenca cedente, sino que se publiquen los valores de referencia de los desembalses que atiendan a las necesidades de la cuenca cedente y respeten las determinaciones de la planificación hidrológica. Dicho de otro modo, los valores que establecerá el Gobierno mediante Real Decreto estarán condicionados por las necesidades de la cuenca cedente y por las determinaciones de la planificación hidrológica”. Tampoco se altera la participación ni las funciones de la comisión de desembalse pues la norma “pretende que el plan de explotación de los desembalses, que afectan a las transferencias ordinarias entre diversas demarcaciones hidrográficas se establezcan en una disposición reglamentaria, a fin de garantizar el correcto funcionamiento de estas infraestructuras de interés general intercuencas”. Por último, recalca que no se infringe el principio de prioridad de cuenca cedente, sino que éste inspira la totalidad de las modificaciones normativas incorporadas.</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3 de febrero de 2015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presente resolución tiene por objeto resolver el recurso de inconstitucionalidad interpuesto por las Cortes de Aragón contra la disposición adicional decimoquinta; disposición transitoria segunda; disposición derogatoria única, apartado tercero, y disposiciones finales segunda, tercera, cuarta y quinta de la Ley 21/2013, de 9 de diciembre, de evaluación ambiental. La disposición adicional decimoquinta se refiere a las reglas de explotación del trasvase Tajo-Segura; la transitoria segunda al régimen transitorio de la modificación de la Ley 10/2001, de 5 de julio, del plan hidrológico nacional, en relación con el citado trasvase; la disposición derogatoria única, apartado 3, deroga la disposición adicional primera de la Ley 11/2005, de 22 de junio, por la que se modifica la Ley 10/2001, relativa a la realización de obras relacionadas con dicho trasvase; las disposiciones finales segunda, tercera y quinta modifican determinadas disposiciones de la Ley del plan hidrológico nacional y la final cuarta de nueva redacción al art. 72 del texto refundido de la Ley de aguas, aprobado por Real Decreto Legislativo 1/2001, de 20 de introduciendo cambios en la regulación del contrato de cesión de derechos de agua.</w:t>
      </w:r>
    </w:p>
    <w:p w:rsidR="0085709A" w:rsidRDefault="0085709A" w:rsidP="0085709A">
      <w:pPr>
        <w:pStyle w:val="TextoNormal"/>
      </w:pPr>
    </w:p>
    <w:p w:rsidR="0085709A" w:rsidRDefault="0085709A" w:rsidP="0085709A">
      <w:pPr>
        <w:pStyle w:val="TextoNormal"/>
      </w:pPr>
      <w:r>
        <w:t xml:space="preserve">Como se ha expuesto en los antecedentes la representación procesal de las Cortes de Aragón ha denunciado que los preceptos impugnados serían contrarios a los arts. 2, 9.3, 24.1, 137, 149.1.22 CE y arts. 19; 71.8, 17, 21, 22 y 23; 72 y 75.3 del Estatuto de Autonomía de Aragón, reformado por Ley Orgánica 5/2007, de 20 de abril (en adelante, EAAr). Tanto el Abogado del Estado como la Letrada de las Cortes Generales, en los términos que se han </w:t>
      </w:r>
      <w:r>
        <w:lastRenderedPageBreak/>
        <w:t>dejado constancia, han negado las vulneraciones denunciadas solicitando la desestimación íntegra del recurso.</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abordar el examen de fondo de la impugnación planteada es necesario delimitar de forma precisa su objeto pues, conforme a nuestra doctrina, (por todas, STC 123/2014, de 21 de julio, FJ 4) la impugnación de normas debe ir acompañada de una fundamentación que permita a las partes a las que asiste el derecho de defensa, así como a este Tribunal, conocer las razones por las cuales los recurrentes entienden que las disposiciones cuestionadas vulneran el orden constitucional.</w:t>
      </w:r>
    </w:p>
    <w:p w:rsidR="0085709A" w:rsidRDefault="0085709A" w:rsidP="0085709A">
      <w:pPr>
        <w:pStyle w:val="TextoNormal"/>
      </w:pPr>
    </w:p>
    <w:p w:rsidR="0085709A" w:rsidRDefault="0085709A" w:rsidP="0085709A">
      <w:pPr>
        <w:pStyle w:val="TextoNormal"/>
      </w:pPr>
      <w:r>
        <w:t>Ya ha quedado expuesto que la demanda formula una imputación general al conjunto de preceptos impugnados consistente en la vulneración de numerosos preceptos constitucionales y estatutarios. Sin embargo, tal y como también ha señalado el Abogado del Estado, de las alegaciones de la demanda se desprende con claridad que esa genérica vulneración denunciada aparece mínimamente concretada en relación a tres aspectos que son los que deberemos examinar en la presente Sentencia.</w:t>
      </w:r>
    </w:p>
    <w:p w:rsidR="0085709A" w:rsidRDefault="0085709A" w:rsidP="0085709A">
      <w:pPr>
        <w:pStyle w:val="TextoNormal"/>
      </w:pPr>
    </w:p>
    <w:p w:rsidR="0085709A" w:rsidRDefault="0085709A" w:rsidP="0085709A">
      <w:pPr>
        <w:pStyle w:val="TextoNormal"/>
      </w:pPr>
      <w:r>
        <w:t>La Letrada de las Cortes de Aragón cuestiona en primer lugar el origen parlamentario de las disposiciones impugnadas, provenientes de enmiendas relacionadas con los acuerdos adoptados en el seno del grupo de trabajo de Memorándum Tajo-Segura, encargado de estudiar diversas cuestiones relativas al régimen jurídico de ese trasvase. De este modo se introducen diversas cuestiones en relación con la transferencia Tajo-Segura, modificándose, asimismo, el régimen jurídico general de las transferencias de agua intercuencas. Todo ello se reputa contrario a la reserva del procedimiento para la aprobación del plan hidrológico nacional que, según la demanda, exigiría la previa elaboración de la iniciativa por el Gobierno; los preceptivos informes del Consejo Nacional del Agua, como órgano de participación de todas las Comunidades Autónomas, y de la Comunidad Autónoma de Aragón, en aplicación de la específica previsión estatutaria del art. 72.3.</w:t>
      </w:r>
    </w:p>
    <w:p w:rsidR="0085709A" w:rsidRDefault="0085709A" w:rsidP="0085709A">
      <w:pPr>
        <w:pStyle w:val="TextoNormal"/>
      </w:pPr>
    </w:p>
    <w:p w:rsidR="0085709A" w:rsidRDefault="0085709A" w:rsidP="0085709A">
      <w:pPr>
        <w:pStyle w:val="TextoNormal"/>
      </w:pPr>
      <w:r>
        <w:t>En segundo lugar, específicamente a la disposición final cuarta se le reprocha que modifica el art. 72 del texto refundido de la Ley de aguas, en lo relativo a los contratos de cesión de derechos al uso privativo de aguas que impliquen la utilización de infraestructuras que interconecten territorios de distintos planes hidrológicos de cuenca o, lo que es lo mismo, contratos de cesión de derechos al uso privativo de aguas trasvasadas. La modificación implica, a juicio del Parlamento autonómico, una deslegalización de la materia contraria a los mandatos de la planificación hidrológica que vacía por debajo del mínimo exigible los mandatos constitucionales de protección del demanio hidráulico exigidos por el art. 132 CE.</w:t>
      </w:r>
    </w:p>
    <w:p w:rsidR="0085709A" w:rsidRDefault="0085709A" w:rsidP="0085709A">
      <w:pPr>
        <w:pStyle w:val="TextoNormal"/>
      </w:pPr>
    </w:p>
    <w:p w:rsidR="0085709A" w:rsidRDefault="0085709A" w:rsidP="0085709A">
      <w:pPr>
        <w:pStyle w:val="TextoNormal"/>
      </w:pPr>
      <w:r>
        <w:t>En tercer y último lugar, a la disposición final quinta se le imputa que menoscaba el régimen de participación en la gestión del agua impuesto por el principio constitucional de colaboración y también vulnera el principio de prioridad de la cuenca cedente, trasunto del principio constitucional de unidad de cuenca, así como la reserva de ley establecida en relación con las condiciones de las transferencias hídricas.</w:t>
      </w:r>
    </w:p>
    <w:p w:rsidR="0085709A" w:rsidRDefault="0085709A" w:rsidP="0085709A">
      <w:pPr>
        <w:pStyle w:val="TextoNormal"/>
      </w:pPr>
    </w:p>
    <w:p w:rsidR="0085709A" w:rsidRDefault="0085709A" w:rsidP="0085709A">
      <w:pPr>
        <w:pStyle w:val="TextoNormal"/>
      </w:pPr>
      <w:r w:rsidRPr="0085709A">
        <w:rPr>
          <w:rStyle w:val="NumeroAFNegritaCaracter"/>
        </w:rPr>
        <w:t>3</w:t>
      </w:r>
      <w:r>
        <w:t>. Delimitado en la forma expuesta tanto el objeto del recurso como sus motivos, comenzaremos el examen de fondo analizando las tachas que se formulan a la totalidad de las disposiciones impugnadas en el presente proceso.</w:t>
      </w:r>
    </w:p>
    <w:p w:rsidR="0085709A" w:rsidRDefault="0085709A" w:rsidP="0085709A">
      <w:pPr>
        <w:pStyle w:val="TextoNormal"/>
      </w:pPr>
    </w:p>
    <w:p w:rsidR="0085709A" w:rsidRDefault="0085709A" w:rsidP="0085709A">
      <w:pPr>
        <w:pStyle w:val="TextoNormal"/>
      </w:pPr>
      <w:r>
        <w:lastRenderedPageBreak/>
        <w:t>La primera de ellas tiene con la posible existencia de una doble reserva de procedimiento para la aprobación del plan hidrológico nacional, derivada del art. 45 del texto refundido de la Ley de aguas, reserva que exigiría la previa formulación de una iniciativa del Gobierno y su posterior aprobación por el Parlamento. Tal tacha ha de ser ya desestimada pues significaría la atribución al texto refundido de la Ley de aguas de la condición de norma integrante del bloque de la constitucionalidad, lo que descartamos en la STC 237/2012, de 13 de diciembre, FJ 8, y reiteramos en la STC 19/2013, de 31 de enero, FJ 2 g). Igualmente, en la STC 195/2012, de 31 de octubre, FJ 3, hemos excluido que lo dispuesto en el texto refundido de la Ley de aguas pueda operar como canon de constitucionalidad de la actuación del legislador estatal “porque lo contrario implicaría aceptar una petrificación rígida del ordenamiento estatal en materia de aguas que no se compadece con la libertad que aquél tiene para decidir entre varias opciones constitucionalmente posibles”, criterio que, por lo demás, hemos confirmado en las posteriores SSTC 239/2012, FJ 5, y 240/2012, FJ 3, ambas de 13 de diciembre.</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En cuanto a la segunda queja vinculada a la intervención del Consejo Nacional del Agua, nuestra doctrina ha establecido con claridad que dicha intervención es aplicable a la fase que hemos denominado de tramitación prelegislativa, pero no a la decisión de las Cámaras, que no puede venir condicionada por lo dispuesto en la legislación ordinaria, en este caso el texto refundido de la Ley de aguas, respecto del que ya hemos descartado su condición de canon de constitucionalidad en el presente proceso. Tal es el criterio que se desprende de nuestras decisiones en los casos en los que hemos debido analizar la denunciada falta de intervención del Consejo Nacional del Agua cuando venía exigida por el texto refundido de la Ley de aguas. Así, en la STC 237/2012, FJ 8, en relación con el Real Decreto-ley 2/2004, de 18 de junio, por el que se modifica la Ley 10/2001, de 5 de julio, del plan hidrológico nacional, ya establecimos que “no es posible concluir que el legislador infraconstitucional haya podido trascenderse a sí mismo e introducir en el art. 86 CE una limitación procedimental </w:t>
      </w:r>
      <w:r w:rsidRPr="0085709A">
        <w:rPr>
          <w:i/>
        </w:rPr>
        <w:t>ratione materiae</w:t>
      </w:r>
      <w:r>
        <w:t xml:space="preserve"> para la utilización del decreto-ley cuando concurra el presupuesto habilitante” (fundamento jurídico 8). En la STC 19/2013, FJ 2 b), dictada en relación con diversos preceptos de la Ley 11/2005, de 22 de junio, por la que se modifica esa misma Ley 10/2001, señalamos que “análogamente, habremos de concluir ahora que, al proceder la Ley 11/2005, como ya hemos expuesto, de la decisión adoptada por el Congreso de los Diputados de tramitar el Real Decreto-ley 2/2004 como proyecto de ley, según lo previsto en el art. 86.3 CE, dicha tramitación se desarrolla a partir de ese momento exclusivamente en el seno de las Cortes Generales, y se rige únicamente por la propia Constitución y por los Reglamentos de las Cámaras.</w:t>
      </w:r>
    </w:p>
    <w:p w:rsidR="0085709A" w:rsidRDefault="0085709A" w:rsidP="0085709A">
      <w:pPr>
        <w:pStyle w:val="TextoNormal"/>
      </w:pPr>
    </w:p>
    <w:p w:rsidR="0085709A" w:rsidRDefault="0085709A" w:rsidP="0085709A">
      <w:pPr>
        <w:pStyle w:val="TextoNormal"/>
      </w:pPr>
      <w:r>
        <w:t>En consecuencia, y sin necesidad de entrar a analizar la relevancia constitucional de la tramitación prelegislativa, es clara la inaplicabilidad al supuesto aquí examinado del procedimiento previsto en la legislación ordinaria para la elaboración y tramitación de los anteproyectos de ley, necesariamente previo a la decisión del Gobierno de aprobar un proyecto de ley y someterlo al Congreso de los Diputados”.</w:t>
      </w:r>
    </w:p>
    <w:p w:rsidR="0085709A" w:rsidRDefault="0085709A" w:rsidP="0085709A">
      <w:pPr>
        <w:pStyle w:val="TextoNormal"/>
      </w:pPr>
    </w:p>
    <w:p w:rsidR="0085709A" w:rsidRDefault="0085709A" w:rsidP="0085709A">
      <w:pPr>
        <w:pStyle w:val="TextoNormal"/>
      </w:pPr>
      <w:r>
        <w:t>Por tanto, de conformidad con la doctrina expuesta, este segundo motivo de inconstitucionalidad ha de ser desestimado.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5</w:t>
      </w:r>
      <w:r>
        <w:t>. La tercera tacha formulada con carácter general es la relativa a la omisión del informe preceptivo de la Comunidad Autónoma previsto en el art 72.3 EAAr, en relación con cualquier propuesta de obra hidráulica o de transferencia de aguas que afecte al territorio de la Comunidad Autónoma. El precepto estatutario que se reputa vulnerado establece que “[e]n este sentido, y para la defensa de los derechos relacionados con el agua contemplados en el artículo 19, la Comunidad Autónoma emitirá un informe preceptivo para cualquier propuesta de obra hidráulica o de transferencia de aguas que afecte a su territorio. El Gobierno de España deberá propiciar de forma efectiva el acuerdo entre todas las Comunidades Autónomas que puedan resultar afectadas.”</w:t>
      </w:r>
    </w:p>
    <w:p w:rsidR="0085709A" w:rsidRDefault="0085709A" w:rsidP="0085709A">
      <w:pPr>
        <w:pStyle w:val="TextoNormal"/>
      </w:pPr>
    </w:p>
    <w:p w:rsidR="0085709A" w:rsidRDefault="0085709A" w:rsidP="0085709A">
      <w:pPr>
        <w:pStyle w:val="TextoNormal"/>
      </w:pPr>
      <w:r>
        <w:t xml:space="preserve">a) Sobre el trascrito precepto estatutario nos hemos pronunciado expresamente en la STC 110/2011, de 22 de junio, en la que se desestimó el recurso de inconstitucionalidad interpuesto contra el mismo declarando, específicamente en lo que respecta al informe sobre los trasvases entre cuencas, que “constituyen un supuesto de concurrencia de competencias, tanto del Estado como de las Comunidades Autónomas, en el mismo soporte físico, toda vez que sobre el agua de las diferentes cuencas confluyen, además de las competencias específicas, otras diferentes (agricultura, ganadería, pesca fluvial, ocio, ordenación del territorio o medio ambiente, entre otras). Por tanto, el informe cuestionado, como hemos afirmado para un supuesto similar, constituye ‘un razonable mecanismo de colaboración entre la Comunidad Autónoma y el Estado en una materia en la que es evidente que resultan afectadas e implicadas las competencias y los intereses de una y otro, sin que en modo alguno se desplace o enerve, lo que sería constitucionalmente inaceptable, la competencia estatal </w:t>
      </w:r>
      <w:r w:rsidRPr="0085709A">
        <w:rPr>
          <w:i/>
        </w:rPr>
        <w:t>ex</w:t>
      </w:r>
      <w:r>
        <w:t xml:space="preserve"> art. 149.1.22 CE cuando se trate de trasvases entre cuencas intercomunitarias (STC 247/2007, de 12 de diciembre, FJ 22), pues el informe que ha de emitir la Generalitat, como expresamente reconocen los recurrentes, es un informe, aunque preceptivo, no vinculante, que se compadece con el principio de cooperación que ha de presidir las relaciones entre el Estado y la Comunidad Autónoma’ (STC 31/2010, FJ 65). También en este caso el informe de la Comunidad Autónoma carece de carácter vinculante, por lo que la competencia estatal no resulta alterada ni menoscabada, “pues las relaciones del Estado, titular de la soberanía, con las Comunidades Autónomas, dotadas de autonomía política, se sustentan en la fijación de esferas de competencia indisponibles e irrenunciables por imperativo constitucional (por todas STC 194/2004, FFJJ 7, 8 y 9)’ (STC 247/2007, FJ 22).”</w:t>
      </w:r>
    </w:p>
    <w:p w:rsidR="0085709A" w:rsidRDefault="0085709A" w:rsidP="0085709A">
      <w:pPr>
        <w:pStyle w:val="TextoNormal"/>
      </w:pPr>
    </w:p>
    <w:p w:rsidR="0085709A" w:rsidRDefault="0085709A" w:rsidP="0085709A">
      <w:pPr>
        <w:pStyle w:val="TextoNormal"/>
      </w:pPr>
      <w:r>
        <w:t>b) Siendo esta la doctrina constitucional sobre el art. 72.3 EAAr debemos ahora comprobar que los preceptos cuestionados se encuentren comprendidos dentro de su ámbito de aplicación, bien por referirse a obras hidráulicas realizadas en Aragón bien por tratarse de un trasvase entre cuencas intercomunitarias que afecte al territorio de la Comunidad Autónoma.</w:t>
      </w:r>
    </w:p>
    <w:p w:rsidR="0085709A" w:rsidRDefault="0085709A" w:rsidP="0085709A">
      <w:pPr>
        <w:pStyle w:val="TextoNormal"/>
      </w:pPr>
    </w:p>
    <w:p w:rsidR="0085709A" w:rsidRDefault="0085709A" w:rsidP="0085709A">
      <w:pPr>
        <w:pStyle w:val="TextoNormal"/>
      </w:pPr>
      <w:r>
        <w:t xml:space="preserve">Descartado que se trate de obras hidráulicas a realizar en Aragón, la disposición adicional decimoquinta establece una serie de reglas de explotación del trasvase Tajo-Segura, que, evidentemente, suponen una transferencia de recursos hídricos entre cuencas intercomunitarias y lo mismo sucede con el resto de las disposiciones impugnadas en la medida en que todas ellas tienen que ver, directa o indirectamente, con cuestiones relacionadas con el mencionado trasvase bien sea modificando su regulación específica o bien algunas de las referencias que se incluyen al mismo en las normas reguladoras del plan hidrológico nacional. Las únicas excepciones a lo anterior son las disposiciones finales cuarta, que da nueva redacción al art. 72 del texto refundido de la Ley de aguas y sobre la que la Letrada de las </w:t>
      </w:r>
      <w:r>
        <w:lastRenderedPageBreak/>
        <w:t>Cortes de Aragón no había planteado esta queja; y quinta, relativa a determinadas obligaciones de información de las transferencias ordinarias entre distintas demarcaciones hidrográficas, pues de su tenor resulta que no se refieren específicamente al trasvase Tajo-Segura.</w:t>
      </w:r>
    </w:p>
    <w:p w:rsidR="0085709A" w:rsidRDefault="0085709A" w:rsidP="0085709A">
      <w:pPr>
        <w:pStyle w:val="TextoNormal"/>
      </w:pPr>
    </w:p>
    <w:p w:rsidR="0085709A" w:rsidRDefault="0085709A" w:rsidP="0085709A">
      <w:pPr>
        <w:pStyle w:val="TextoNormal"/>
      </w:pPr>
      <w:r>
        <w:t>La afectación al territorio autonómico constituye también presupuesto necesario para la aplicación de lo previsto en la norma estatutaria, lo que ha sido implícitamente cuestionado por el Abogado del Estado al aludir, en primer lugar, a que las disposiciones impugnadas del trasvase Tajo-Segura presentan un punto de conexión “bastante diluido” con el ámbito territorial de la Comunidad Autónoma y, en segundo lugar, al afirmar que las transferencias no afectan a su territorio. Para determinar si tiene lugar dicha afectación hemos de atenernos al criterio que formulamos en las SSTC 30/2011, de 16 de marzo, FJ 3, y 31/2011, de 17 de marzo, FJ 2. Conforme al criterio que de ambas resulta es evidente que las disposiciones cuestionadas afectan al territorio de la Comunidad Autónoma en la medida en que, como también expone el propio Abogado del Estado, los preceptos recurridos se refieren al régimen de las aguas de una cuenca hidrográfica en la que están comprendidos diez términos municipales del territorio aragonés, circunstancia suficientemente acreditativa de la conexión exigida por el precepto estatutario para la emisión del informe en cuestión, expresivo del interés autonómico en la participación en las decisiones sobre unas aguas de las que son ribereños municipios de la Comunidad Autónoma.</w:t>
      </w:r>
    </w:p>
    <w:p w:rsidR="0085709A" w:rsidRDefault="0085709A" w:rsidP="0085709A">
      <w:pPr>
        <w:pStyle w:val="TextoNormal"/>
      </w:pPr>
    </w:p>
    <w:p w:rsidR="0085709A" w:rsidRDefault="0085709A" w:rsidP="0085709A">
      <w:pPr>
        <w:pStyle w:val="TextoNormal"/>
      </w:pPr>
      <w:r>
        <w:t>Por lo demás, dicha afectación se infiere sin dificultad de la doctrina constitucional sentada en la STC 227/1988, de 29 de noviembre (reiterada en las SSTC 161/1996, de 27 de octubre, y 118/1998, de 4 de junio), en la que este Tribunal se pronunció sobre la constitucionalidad del principio de unidad de gestión de cuenca hidrográfica, como criterio de delimitación territorial utilizado por el legislador estatal, para precisar el alcance del art. 149.1.22 CE. En concreto, en la STC 227/1988, FJ 15, señalamos que la expresión “aguas que discurran por más de una Comunidad Autónoma” es un concepto constitucional cuyo significado debe desentrañarse atendiendo a criterios lógicos, técnicos y de experiencia, del que derivaba la necesidad de una gestión unitaria pues las aguas de una misma cuenca forman un conjunto integrado que debe ser administrado de forma homogénea. Así, constatamos que los usos y aprovechamientos en el territorio de cada Comunidad Autónoma condicionan a las restantes, condicionamiento que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w:t>
      </w:r>
    </w:p>
    <w:p w:rsidR="0085709A" w:rsidRDefault="0085709A" w:rsidP="0085709A">
      <w:pPr>
        <w:pStyle w:val="TextoNormal"/>
      </w:pPr>
    </w:p>
    <w:p w:rsidR="0085709A" w:rsidRDefault="0085709A" w:rsidP="0085709A">
      <w:pPr>
        <w:pStyle w:val="TextoNormal"/>
      </w:pPr>
      <w:r>
        <w:t xml:space="preserve">Con fundamento en la mencionada doctrina las SSTC 30/2011 y 32/2011, FFJJ 6, concluyeron que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en tanto que ‘por el contrario, el criterio de la cuenca hidrográfica como unidad de gestión permite una administración equilibrada de los recursos hidráulicos que la integran, en atención al conjunto de intereses </w:t>
      </w:r>
      <w:r>
        <w:lastRenderedPageBreak/>
        <w:t>afectados que, cuando la cuenca se extiende al territorio de más de una Comunidad Autónoma, son manifiestamente supracomunitarios’, de modo que ‘es claro también que las aguas de una misma cuenca forman un conjunto integrado que debe ser gestionado de forma homogénea (STC 227/1988, FJ 15)”.</w:t>
      </w:r>
    </w:p>
    <w:p w:rsidR="0085709A" w:rsidRDefault="0085709A" w:rsidP="0085709A">
      <w:pPr>
        <w:pStyle w:val="TextoNormal"/>
      </w:pPr>
    </w:p>
    <w:p w:rsidR="0085709A" w:rsidRDefault="0085709A" w:rsidP="0085709A">
      <w:pPr>
        <w:pStyle w:val="TextoNormal"/>
      </w:pPr>
      <w:r>
        <w:t>A su vez en las SSTC 30/2011 y 32/2011, FFJJ 6, dejamos sentado que “no le es dado al legislador estatal concretar las competencias del Estado en esta materia mediante una fragmentación de la gestión de las aguas intercomunitarias de cada curso fluvial y sus afluentes”.</w:t>
      </w:r>
    </w:p>
    <w:p w:rsidR="0085709A" w:rsidRDefault="0085709A" w:rsidP="0085709A">
      <w:pPr>
        <w:pStyle w:val="TextoNormal"/>
      </w:pPr>
    </w:p>
    <w:p w:rsidR="0085709A" w:rsidRDefault="0085709A" w:rsidP="0085709A">
      <w:pPr>
        <w:pStyle w:val="TextoNormal"/>
      </w:pPr>
      <w:r>
        <w:t>Es claro, entonces, que hallándose parte del territorio aragonés comprendido en el ámbito de una cuenca hidrográfica supracomunitaria como es la del Tajo, sometida, por imperativo de la doctrina constitucional, al principio de unidad de gestión, las decisiones que se adopten respecto a las transferencias hídricas en el seno de dicha cuenca afectan a esa Comunidad Autónoma sin que sea admisible, tal como se desprende de la doctrina expuesta, una suerte de gestión fragmentada de las aguas pertenecientes a una misma cuenca hidrográfica que permitiera considerar que los aprovechamientos realizados en un tramo inferior del curso fluvial no afectan a los territorios, situados aguas arriba, por los que ese mismo curso transcurre.</w:t>
      </w:r>
    </w:p>
    <w:p w:rsidR="0085709A" w:rsidRDefault="0085709A" w:rsidP="0085709A">
      <w:pPr>
        <w:pStyle w:val="TextoNormal"/>
      </w:pPr>
    </w:p>
    <w:p w:rsidR="0085709A" w:rsidRDefault="0085709A" w:rsidP="0085709A">
      <w:pPr>
        <w:pStyle w:val="TextoNormal"/>
      </w:pPr>
      <w:r>
        <w:t>Por lo demás, esta noción de cuenca hidrográfica “que se considera indivisible como unidad de gestión del recurso” y “que continúa determinando la organización de la Administración hidráulica” (STC 149/2012, de 5 de julio, FJ 6) tiene también su correlato en la estructura del organismo encargado de materializar dicha gestión, la Confederación Hidrográfica del Tajo, en algunos de cuyos órganos está prevista la participación de las cinco Comunidades Autónomas cuyo territorio queda comprendido en dicha cuenca.</w:t>
      </w:r>
    </w:p>
    <w:p w:rsidR="0085709A" w:rsidRDefault="0085709A" w:rsidP="0085709A">
      <w:pPr>
        <w:pStyle w:val="TextoNormal"/>
      </w:pPr>
    </w:p>
    <w:p w:rsidR="0085709A" w:rsidRDefault="0085709A" w:rsidP="0085709A">
      <w:pPr>
        <w:pStyle w:val="TextoNormal"/>
      </w:pPr>
      <w:r>
        <w:t xml:space="preserve">Además, la transferencia de recursos hídricos se refiere necesariamente a aquellos que resulten excedentarios en la cuenca hidrográfica del Tajo, esto es, una vez atendidas las necesidades de suministro de caudales requeridos por la totalidad de la cuenca del Tajo (art. 26 del Real Decreto 270/2014, de 11 de abril, por el que se aprueba el plan hidrológico de la parte española de la demarcación hidrográfica del Tajo). Esta regulación parte, lógicamente, del presupuesto previo de la satisfacción y garantía de las demandas actuales y futuras de todos los usos y aprovechamientos de la cuenca cedente, la del Tajo, en la que se integra la Comunidad Autónoma de Aragón (art. 12.2 de la Ley 10/2001, de 5 de julio, del plan hidrológico nacional, </w:t>
      </w:r>
      <w:r w:rsidRPr="0085709A">
        <w:rPr>
          <w:i/>
        </w:rPr>
        <w:t>in fine</w:t>
      </w:r>
      <w:r>
        <w:t>). Por esa razón, afectan a la Comunidad Autónoma de Aragón tanto la cuantificación de necesidades de la cuenca que ha realizado el planificador estatal (cuya previa satisfacción es condición necesaria para la transferencia de recursos), como su régimen transitorio de implantación (en cuanto que afecta a la disponibilidad de recursos en cualquier punto de la cuenca), y por lo mismo, el ritmo y cuantía en que esa transferencia se produce. Por tanto, también desde este punto de vista, se cumple el presupuesto del art. 72.3 EAAr.</w:t>
      </w:r>
    </w:p>
    <w:p w:rsidR="0085709A" w:rsidRDefault="0085709A" w:rsidP="0085709A">
      <w:pPr>
        <w:pStyle w:val="TextoNormal"/>
      </w:pPr>
    </w:p>
    <w:p w:rsidR="0085709A" w:rsidRDefault="0085709A" w:rsidP="0085709A">
      <w:pPr>
        <w:pStyle w:val="TextoNormal"/>
      </w:pPr>
      <w:r>
        <w:t xml:space="preserve">c) Establecida de esta forma la afectación al territorio autonómico de las transferencias reguladas por los preceptos impugnados y la imposibilidad de una gestión fragmentada de la cuenca, es evidente que dicho trámite de informe preceptivo, exigible sobre cualquier propuesta de transferencia y que tiene por objeto establecer un mecanismo de cooperación en un ámbito en el que resultan afectados intereses estatales y autonómicos, no ha tenido lugar en esta ocasión, por lo que, en principio, contraviene lo previsto en una disposición </w:t>
      </w:r>
      <w:r>
        <w:lastRenderedPageBreak/>
        <w:t>integrada en el bloque de constitucionalidad (art. 28.1 CE) como es el Estatuto de Autonomía de Aragón, aprobado por Ley Orgánica 5/2007, de 20 de abril, norma institucional básica de la Comunidad Autónoma de Aragón, y que, en cuanto integrante del mencionado bloque, se erige en parámetro de enjuiciamiento de la validez de las disposiciones normativas con valor de ley dictadas por el Estado (al respecto, STC 291/2005, de 10 de noviembre, FJ 8, en cuanto se refiere a la imprescindible acomodación de una norma legal estatal a las disposiciones integrantes del bloque de constitucionalidad).</w:t>
      </w:r>
    </w:p>
    <w:p w:rsidR="0085709A" w:rsidRDefault="0085709A" w:rsidP="0085709A">
      <w:pPr>
        <w:pStyle w:val="TextoNormal"/>
      </w:pPr>
    </w:p>
    <w:p w:rsidR="0085709A" w:rsidRDefault="0085709A" w:rsidP="0085709A">
      <w:pPr>
        <w:pStyle w:val="TextoNormal"/>
      </w:pPr>
      <w:r>
        <w:t>Por eso hemos de examinar las razones que, según el Abogado del Estado y la Letrada de las Cortes Generales, justificarían tal omisión. El primero de ellos defiende que el precepto debe interpretarse en el marco del art. 19 EAAr, cuyo destinatario son los poderes públicos autonómicos, y como un instrumento de colaboración que no tiene, a diferencia del caso canario, amparo constitucional y no se inserta en el procedimiento estatal. Igualmente aduce que el precepto aplicable no sería el art. 72.3 sino el precedente art. 72.2, relativo a la participación y colaboración de la Comunidad Autónoma en la planificación hidrológica y en los órganos de gestión estatal de los recursos hídricos y de los aprovechamientos hidráulicos que pertenecen a cuencas hidrográficas intercomunitarias que afecten a Aragón. Por su parte, la Letrada de las Cortes Generales considera que la emisión de estos informes debe entenderse referida a la esfera de decisiones de naturaleza ejecutiva o prelegislativa, sin que el procedimiento parlamentario de las Cortes Generales pueda quedar condicionado o supeditado a la solicitud de informes a las Comunidades Autónomas.</w:t>
      </w:r>
    </w:p>
    <w:p w:rsidR="0085709A" w:rsidRDefault="0085709A" w:rsidP="0085709A">
      <w:pPr>
        <w:pStyle w:val="TextoNormal"/>
      </w:pPr>
    </w:p>
    <w:p w:rsidR="0085709A" w:rsidRDefault="0085709A" w:rsidP="0085709A">
      <w:pPr>
        <w:pStyle w:val="TextoNormal"/>
      </w:pPr>
      <w:r>
        <w:t>d) En cuanto a la posibilidad de interpretar el art. 72.3 en relación con el art. 19 EAAr, hemos de señalar que, efectivamente, conforme a la doctrina de la STC 110/2011, el segundo precepto estatutario tiene como destinatario a los poderes públicos aragoneses. En particular, resulta ahora relevante su apartado tercero, según el cual “Corresponde a los poderes públicos aragoneses, en los términos que establece este Estatuto y de acuerdo con el principio de unidad de cuenca, la Constitución, la legislación estatal y la normativa comunitaria aplicables, velar especialmente para evitar transferencias de aguas de las cuencas hidrográficas de las que forma parte la Comunidad Autónoma que afecten a intereses de sostenibilidad, atendiendo a los derechos de las generaciones presentes y futuras.”.</w:t>
      </w:r>
    </w:p>
    <w:p w:rsidR="0085709A" w:rsidRDefault="0085709A" w:rsidP="0085709A">
      <w:pPr>
        <w:pStyle w:val="TextoNormal"/>
      </w:pPr>
    </w:p>
    <w:p w:rsidR="0085709A" w:rsidRDefault="0085709A" w:rsidP="0085709A">
      <w:pPr>
        <w:pStyle w:val="TextoNormal"/>
      </w:pPr>
      <w:r>
        <w:t>Sobre dicho apartado hemos declarado (STC 110/2011, FJ 9) que “el precepto sólo establece que los poderes públicos aragoneses ‘velen’ para que no se realicen trasvases entre cuencas que no sean sostenibles, lo que equivale a decir que el precepto no contiene prohibición de los trasvases que pudieran serlo. Pues bien, si se considera, de un lado, que ‘velar’ no conlleva potestades concretas, sino, como antes indicábamos, meras pautas de orientación, no puede desconocerse que el art. 72.3 EAAr. al atribuir competencias acerca de este extremo a la Comunidad Autónoma, las limita a la emisión de ‘un informe preceptivo para cualquier propuesta de obra hidráulica o de transferencia de aguas que afecte a su territorio’, técnica esta que, como las de cualquier informe preceptivo pero que no vincule al Estado en la decisión que a éste le corresponde adoptar, hemos reputado que no contradice el reparto constitucional de competencias (SSTC 243/1993, de 15 de julio, FJ 4, y 31/2010, entre otras)”.</w:t>
      </w:r>
    </w:p>
    <w:p w:rsidR="0085709A" w:rsidRDefault="0085709A" w:rsidP="0085709A">
      <w:pPr>
        <w:pStyle w:val="TextoNormal"/>
      </w:pPr>
    </w:p>
    <w:p w:rsidR="0085709A" w:rsidRDefault="0085709A" w:rsidP="0085709A">
      <w:pPr>
        <w:pStyle w:val="TextoNormal"/>
      </w:pPr>
      <w:r>
        <w:t xml:space="preserve">Siendo esta nuestra doctrina, es claro que ambas previsiones normativas, los arts. 19.3 y 72.3 EAAr, persiguen el mismo objetivo, con independencia de que el destinatario del art. 19.3 no sea el Estado, el cual sí se encuentra evidentemente vinculado por lo dispuesto en </w:t>
      </w:r>
      <w:r>
        <w:lastRenderedPageBreak/>
        <w:t>el art. 72.3, en tanto que es a quien corresponde la competencia en materia de propuesta de obra hidráulica o de transferencia de aguas a la que se refiere el precepto. Por otra parte, la relación entre los derechos del art. 19 y el informe del art. 72.3 afectaría en todo caso al contenido del mencionado informe, pero no a su necesidad que es lo que aquí discutido.</w:t>
      </w:r>
    </w:p>
    <w:p w:rsidR="0085709A" w:rsidRDefault="0085709A" w:rsidP="0085709A">
      <w:pPr>
        <w:pStyle w:val="TextoNormal"/>
      </w:pPr>
    </w:p>
    <w:p w:rsidR="0085709A" w:rsidRDefault="0085709A" w:rsidP="0085709A">
      <w:pPr>
        <w:pStyle w:val="TextoNormal"/>
      </w:pPr>
      <w:r>
        <w:t>A estos efectos, es también irrelevante la referencia del Abogado del Estado a que el informe no se inserta en un procedimiento estatal, pues es evidente que la eventual norma estatal que regulase tal procedimiento habría de tener en cuenta lo dispuesto en el precepto estatutario en tanto que integrante del bloque de la constitucionalidad en relación con una materia, las aguas, en la que, como soporte físico, coexisten competencias estatales y autonómicas.</w:t>
      </w:r>
    </w:p>
    <w:p w:rsidR="0085709A" w:rsidRDefault="0085709A" w:rsidP="0085709A">
      <w:pPr>
        <w:pStyle w:val="TextoNormal"/>
      </w:pPr>
    </w:p>
    <w:p w:rsidR="0085709A" w:rsidRDefault="0085709A" w:rsidP="0085709A">
      <w:pPr>
        <w:pStyle w:val="TextoNormal"/>
      </w:pPr>
      <w:r>
        <w:t>No cabe considerar tampoco que el precepto aplicable sea el art. 72.2 EAAr pues, como se desprende de su tenor literal, se refiere a un supuesto, la participación y colaboración en la planificación hidrológica y en los órganos de gestión estatal de los recursos hídricos y de los aprovechamientos hidráulicos que pertenecen a cuencas hidrográficas intercomunitarias que afecten a Aragón, que es distinto de las concretas propuestas en materia de obras hidráulicas y de transferencia de recursos hídricos que pretenda llevar a cabo el Estado.</w:t>
      </w:r>
    </w:p>
    <w:p w:rsidR="0085709A" w:rsidRDefault="0085709A" w:rsidP="0085709A">
      <w:pPr>
        <w:pStyle w:val="TextoNormal"/>
      </w:pPr>
    </w:p>
    <w:p w:rsidR="0085709A" w:rsidRDefault="0085709A" w:rsidP="0085709A">
      <w:pPr>
        <w:pStyle w:val="TextoNormal"/>
      </w:pPr>
      <w:r>
        <w:t>Por último, no resultan asumibles las razones aducidas por la Letrada de las Cortes Generales, pues supondría tanto como admitir que las Cámaras no quedan concernidas por una norma que ellas mismas han aprobado con el rango de ley orgánica y que, en su condición de norma institucional básica de la Comunidad Autónoma, integra el bloque de constitucionalidad. Tampoco puede entenderse que, precisamente por su carácter preceptivo y no vinculante, entorpezca el procedimiento legislativo o afecte a la autonomía de la Cámara, en la medida en que, por el contrario, puede servir para proporcionar a la Cámara una información adicional a tener en cuenta durante la tramitación legislativa.</w:t>
      </w:r>
    </w:p>
    <w:p w:rsidR="0085709A" w:rsidRDefault="0085709A" w:rsidP="0085709A">
      <w:pPr>
        <w:pStyle w:val="TextoNormal"/>
      </w:pPr>
    </w:p>
    <w:p w:rsidR="0085709A" w:rsidRDefault="0085709A" w:rsidP="0085709A">
      <w:pPr>
        <w:pStyle w:val="TextoNormal"/>
      </w:pPr>
      <w:r>
        <w:t>De hecho, frente a lo que parece entender la Letrada de las Cortes Generales, el supuesto que venimos examinando presenta evidentes similitudes con el informe o audiencia previos del Parlamento canario establecidos en el art. 45 de la Ley Orgánica 10/1982, de 10 de agosto, de Estatuto de Autonomía de Canarias, en relación con lo establecido en la disposición adicional tercera CE. Así, nuestra doctrina ha examinado supuestos en los que dicho trámite se producía con posterioridad a lo que la Letrada denomina fase prelegislativa, considerando que debía producirse “antes de la convalidación del Real Decreto-ley de que se trata” (STC 35/1984, de 13 marzo, FJ 4, reiterado en STC 137/2003, de 3 de julio, FJ 9), así como que también resultaba exigible un nuevo informe en el caso de que las enmiendas introducidas en el trámite parlamentario produjeran el efecto de “alterar el proyecto tan radicalmente que no pueda tenerse por informado” [STC 16/2003, de 30 de enero, FJ 9, citada en la STC 164/2013, de 26 de septiembre, FJ 4 e)] e, incluso, que los informes podían solicitarse a petición del Congreso y del Senado (según se expone en la STC 67/2005, de 17 de marzo, FJ 4).</w:t>
      </w:r>
    </w:p>
    <w:p w:rsidR="0085709A" w:rsidRDefault="0085709A" w:rsidP="0085709A">
      <w:pPr>
        <w:pStyle w:val="TextoNormal"/>
      </w:pPr>
    </w:p>
    <w:p w:rsidR="0085709A" w:rsidRDefault="0085709A" w:rsidP="0085709A">
      <w:pPr>
        <w:pStyle w:val="TextoNormal"/>
      </w:pPr>
      <w:r>
        <w:t xml:space="preserve">e) En suma, habiéndose omitido el preceptivo trámite de audiencia a la Comunidad Autónoma de Aragón, procede declarar que la disposición adicional decimoquinta, la disposición transitoria segunda, la disposición derogatoria única, apartado tercero, y las disposiciones finales segunda y tercera de la Ley 21/2013, de 9 de diciembre, de evaluación ambiental, </w:t>
      </w:r>
      <w:r>
        <w:lastRenderedPageBreak/>
        <w:t>son contrarias al art. 72.3 EAAr y, por tanto, inconstitucionales y nulas, en los términos que ahora se expondrán.</w:t>
      </w:r>
    </w:p>
    <w:p w:rsidR="0085709A" w:rsidRDefault="0085709A" w:rsidP="0085709A">
      <w:pPr>
        <w:pStyle w:val="TextoNormal"/>
      </w:pPr>
    </w:p>
    <w:p w:rsidR="0085709A" w:rsidRDefault="0085709A" w:rsidP="0085709A">
      <w:pPr>
        <w:pStyle w:val="TextoNormal"/>
      </w:pPr>
      <w:r>
        <w:t>La nulidad inmediata que, como regla y de acuerdo con el art. 39.1 LOTC, sigue a un pronunciamiento de inconstitucionalidad, debe ser matizada en este caso concreto ya que todas estas disposiciones se refieren al régimen de transferencias hídricas a través del acueducto Tajo-Segura, cuya trascendencia está fuera de toda duda de suerte que la anulación de las normas antes mencionadas es susceptible de generar graves perjuicios a los intereses generales. Por tanto, para cohonestar por un lado la exigencia procedimental del informe previo de la Comunidad Autónoma de Aragón, y, por otro, los propios intereses de las restantes Comunidades Autónomas afectadas por el trasvase y del resto de los destinatarios de la norma que podrían experimentar un perjuicio derivado de vacíos normativos, la nulidad derivada de la declaración de inconstitucionalidad debe quedar diferida por el plazo de un año, a partir de la publicación de esta Sentencia, periodo de tiempo en el que se deberá proceder a sustituir las normas declaradas nulas una vez observado el procedimiento del informe previo emitido por la Comunidad Autónoma de Aragón (en el mismo sentido, STC 164/2013, de 26 de septiembre, FJ 7, y 164/2014, de 7 de octubre, FJ 3, en ambos casos por referencia a la participación del Parlamento de Canarias).</w:t>
      </w:r>
    </w:p>
    <w:p w:rsidR="0085709A" w:rsidRDefault="0085709A" w:rsidP="0085709A">
      <w:pPr>
        <w:pStyle w:val="TextoNormal"/>
      </w:pPr>
    </w:p>
    <w:p w:rsidR="0085709A" w:rsidRDefault="0085709A" w:rsidP="0085709A">
      <w:pPr>
        <w:pStyle w:val="TextoNormal"/>
      </w:pPr>
      <w:r w:rsidRPr="0085709A">
        <w:rPr>
          <w:rStyle w:val="NumeroAFNegritaCaracter"/>
        </w:rPr>
        <w:t>6</w:t>
      </w:r>
      <w:r>
        <w:t>. Examinaremos ahora la impugnación de la disposición final cuarta modificativa del art. 72 del texto refundido de la Ley de aguas que pasa a tener la siguiente redacción:</w:t>
      </w:r>
    </w:p>
    <w:p w:rsidR="0085709A" w:rsidRDefault="0085709A" w:rsidP="0085709A">
      <w:pPr>
        <w:pStyle w:val="TextoNormal"/>
      </w:pPr>
    </w:p>
    <w:p w:rsidR="0085709A" w:rsidRDefault="0085709A" w:rsidP="0085709A">
      <w:pPr>
        <w:pStyle w:val="TextoNormal"/>
      </w:pPr>
      <w:r>
        <w:t>“Artículo 72. Infraestructuras de conexión intercuencas.</w:t>
      </w:r>
    </w:p>
    <w:p w:rsidR="0085709A" w:rsidRDefault="0085709A" w:rsidP="0085709A">
      <w:pPr>
        <w:pStyle w:val="TextoNormal"/>
      </w:pPr>
    </w:p>
    <w:p w:rsidR="0085709A" w:rsidRDefault="0085709A" w:rsidP="0085709A">
      <w:pPr>
        <w:pStyle w:val="TextoNormal"/>
      </w:pPr>
      <w:r>
        <w:t>1. La Dirección General del Agua podrá autorizar la cesión de derechos, a que se refiere esta sección, que implique el uso de infraestructuras que interconectan territorios de distintos Planes Hidrológicos de cuenca, esta autorización conlleva la de uso de las infraestructuras de interconexión. Se entenderán desestimadas las solicitudes de cesión una vez transcurridos los plazos previstos sin haberse notificado la resolución administrativa.</w:t>
      </w:r>
    </w:p>
    <w:p w:rsidR="0085709A" w:rsidRDefault="0085709A" w:rsidP="0085709A">
      <w:pPr>
        <w:pStyle w:val="TextoNormal"/>
      </w:pPr>
    </w:p>
    <w:p w:rsidR="0085709A" w:rsidRDefault="0085709A" w:rsidP="0085709A">
      <w:pPr>
        <w:pStyle w:val="TextoNormal"/>
      </w:pPr>
      <w:r>
        <w:t>2. Sin perjuicio de lo dispuesto en el artículo 69.3, el régimen económico-financiero aplicable a estas transacciones será el establecido en las normas singulares que regulen el régimen de explotación de las correspondientes infraestructuras.</w:t>
      </w:r>
    </w:p>
    <w:p w:rsidR="0085709A" w:rsidRDefault="0085709A" w:rsidP="0085709A">
      <w:pPr>
        <w:pStyle w:val="TextoNormal"/>
      </w:pPr>
    </w:p>
    <w:p w:rsidR="0085709A" w:rsidRDefault="0085709A" w:rsidP="0085709A">
      <w:pPr>
        <w:pStyle w:val="TextoNormal"/>
      </w:pPr>
      <w:r>
        <w:t>3. La autorización de las cesiones que regula el presente artículo no podrán alterar lo establecido en las reglas de explotación de cada uno de los trasvases.”</w:t>
      </w:r>
    </w:p>
    <w:p w:rsidR="0085709A" w:rsidRDefault="0085709A" w:rsidP="0085709A">
      <w:pPr>
        <w:pStyle w:val="TextoNormal"/>
      </w:pPr>
    </w:p>
    <w:p w:rsidR="0085709A" w:rsidRDefault="0085709A" w:rsidP="0085709A">
      <w:pPr>
        <w:pStyle w:val="TextoNormal"/>
      </w:pPr>
      <w:r>
        <w:t xml:space="preserve">La Letrada de las Cortes de Aragón entiende que este precepto supone una vulneración de la reserva de Ley derivada del art. 45.1 c) del texto refundido de la Ley de aguas en relación con las transferencias de recursos hidráulicos, al excluir del ámbito del plan hidrológico nacional y de los planes hidrológicos de las cuencas cedentes los trasvases de aguas que operen entre ámbitos territoriales de distintos planes hidrológicos de cuenca. Igualmente considera que se vulneran los límites constitucionales de protección del demanio hidráulico. Alega también que, dado que el nuevo art. 72 del texto refundido de la Ley de aguas es una norma que autoriza una transferencia de recursos hídricos, hubiera debido quedar sometida al trámite de informe previo previsto en el art. 72.3 EAAr El Abogado del Estado ha señalado que de la Constitución no se deriva la existencia de una reserva legal en la planificación hidrológica y que, en todo caso, dicha reserva no se vulnera, atendiendo al rango de la </w:t>
      </w:r>
      <w:r>
        <w:lastRenderedPageBreak/>
        <w:t>norma. Respecto a la alegada infracción del art. 132 CE estima que la cuestión está resuelta en la STC 149/2011, de 28 de septiembre, y que la demanda en realidad expresa su discrepancia con esa doctrina constitucional. Por último, respecto a la contravención del art. 72.3 EAAr estima que se produciría en cada uno de los supuestos concretos que se autorizasen, no por el hecho de existir una disposición reguladora del procedimiento de autorización.</w:t>
      </w:r>
    </w:p>
    <w:p w:rsidR="0085709A" w:rsidRDefault="0085709A" w:rsidP="0085709A">
      <w:pPr>
        <w:pStyle w:val="TextoNormal"/>
      </w:pPr>
    </w:p>
    <w:p w:rsidR="0085709A" w:rsidRDefault="0085709A" w:rsidP="0085709A">
      <w:pPr>
        <w:pStyle w:val="TextoNormal"/>
      </w:pPr>
      <w:r>
        <w:t>En cuanto a la primera de las quejas suscitadas, la posible vulneración de la reserva de Ley que derivaría del art. 45.1 c) del texto refundido de la Ley de aguas tiene razón el Abogado del Estado al señalar que la Constitución no establece una reserva de ley en materia de planificación hidrológica, pues tal como recoge la STC 64/2013, de 14 de marzo, FJ 3, “señalábamos en la STC 237/2012, con cita expresa de la STC 227/1988, de 29 de noviembre, que ‘ha sido el propio legislador, que no el constituyente, quien ha dispuesto que un instrumento de planificación sectorial como es el plan hidrológico nacional se apruebe mediante ley (art. 45.1 del vigente texto refundido de la Ley de aguas, aprobado por el Real Decreto Legislativo 1/2001, de 20 de julio)’ ”.</w:t>
      </w:r>
    </w:p>
    <w:p w:rsidR="0085709A" w:rsidRDefault="0085709A" w:rsidP="0085709A">
      <w:pPr>
        <w:pStyle w:val="TextoNormal"/>
      </w:pPr>
    </w:p>
    <w:p w:rsidR="0085709A" w:rsidRDefault="0085709A" w:rsidP="0085709A">
      <w:pPr>
        <w:pStyle w:val="TextoNormal"/>
      </w:pPr>
      <w:r>
        <w:t>Sentado lo anterior es claro que la facultad que el del texto refundido de la Ley de aguas atribuye al Estado para elaborar y aprobar la planificación hidrológica en relación con las aguas que discurran por más de una Comunidad Autónoma no puede constituirse en parámetro de constitucionalidad del precepto impugnado, sin perjuicio de señalar que, en rigor, dicha reserva de ley no se ve vulnerada ya que la posibilidad de autorizar la cesión intercuencas viene recogida en una norma con rango de ley que la somete a un procedimiento de autorización administrativa que no podrá alterar lo establecido en las reglas de explotación de cada uno de los trasvases (así, por ejemplo, el Real Decreto 773/2014, de 12 de septiembre, por el que se aprueban diversas normas reguladoras del trasvase por el acueducto Tajo-Segura). Por lo expuesto, la primera tacha que formula la Letrada de las Cortes de Aragón ha de ser desestimada.</w:t>
      </w:r>
    </w:p>
    <w:p w:rsidR="0085709A" w:rsidRDefault="0085709A" w:rsidP="0085709A">
      <w:pPr>
        <w:pStyle w:val="TextoNormal"/>
      </w:pPr>
    </w:p>
    <w:p w:rsidR="0085709A" w:rsidRDefault="0085709A" w:rsidP="0085709A">
      <w:pPr>
        <w:pStyle w:val="TextoNormal"/>
      </w:pPr>
      <w:r>
        <w:t>En cuanto a la segunda queja debemos partir de la STC 149/2011, FJ 6, en el que recordamos que puesto que correspondía “al legislador estatal acordar o no la declaración de demanialidad de las aguas continentales, también ha de corresponderle, como corolario de esa facultad, la escala de la demanialización, esto es, la determinación de su extensión, efectos y límites de la manera que entienda más beneficiosa para el interés general al que este tipo de bienes han de servir. Así pues, constituyendo la demanialización una opción del legislador estatal ésta puede perseguir distintos fines (STC 227/1988, FJ 14) constitucionalmente legítimos vinculados en última instancia a la satisfacción de necesidades colectivas primarias, como, por ejemplo, la que garantiza el art. 45 CE, o bien a la defensa y utilización racional de la riqueza del país, en cuanto que subordinada al interés general (art. 128.1 CE)”. Y en el fundamento jurídico 7 de la misma Sentencia, consideramos, en relación con el contrato de cesión de derechos de agua, que no había alteración del carácter demanial de los recursos hídricos sino que se trataba de un “mecanismo de reasignación o redistribución del aprovechamiento hidráulico previamente concedido sin que con ello se altere la naturaleza jurídica de las aguas ni se atribuyan más facultades que las ya derivadas del título jurídico en virtud del cual las aguas eran objeto de aprovechamiento singular” y que se configuraba “como un instrumento de reasignación y flexibilización de caudales derivados de los derechos de uso privativo de las aguas a fin de lograr una más racional distribución de los recursos sin crear nuevas demandas hídricas.”</w:t>
      </w:r>
    </w:p>
    <w:p w:rsidR="0085709A" w:rsidRDefault="0085709A" w:rsidP="0085709A">
      <w:pPr>
        <w:pStyle w:val="TextoNormal"/>
      </w:pPr>
    </w:p>
    <w:p w:rsidR="0085709A" w:rsidRDefault="0085709A" w:rsidP="0085709A">
      <w:pPr>
        <w:pStyle w:val="TextoNormal"/>
      </w:pPr>
      <w:r>
        <w:lastRenderedPageBreak/>
        <w:t>Conforme a dicha doctrina, debemos desestimar la queja que se nos plantea pues, además, con ella no viene sino a exponerse una posición que estima más correcta que la doctrina constitucional antes citada.</w:t>
      </w:r>
    </w:p>
    <w:p w:rsidR="0085709A" w:rsidRDefault="0085709A" w:rsidP="0085709A">
      <w:pPr>
        <w:pStyle w:val="TextoNormal"/>
      </w:pPr>
    </w:p>
    <w:p w:rsidR="0085709A" w:rsidRDefault="0085709A" w:rsidP="0085709A">
      <w:pPr>
        <w:pStyle w:val="TextoNormal"/>
      </w:pPr>
      <w:r>
        <w:t>A igual conclusión desestimatoria hemos de llegar respecto al último de los motivos de inconstitucionalidad alegados pues, además de que, como ha señalado el Abogado del Estado el aludido informe sería exigible en relación a cada concreta autorización y no respecto a la norma que regula el procedimiento, en el planteamiento de la demanda late un entendimiento excesivamente expansivo del precepto estatutario contrario a su propio tenor literal, pues es claro que el informe ha de exigirse respecto a actuaciones estatales relativas a una propuesta de transferencia de aguas que afecte directamente al territorio de la Comunidad Autónoma, lo que no es, manifiestamente, el caso.</w:t>
      </w:r>
    </w:p>
    <w:p w:rsidR="0085709A" w:rsidRDefault="0085709A" w:rsidP="0085709A">
      <w:pPr>
        <w:pStyle w:val="TextoNormal"/>
      </w:pPr>
    </w:p>
    <w:p w:rsidR="0085709A" w:rsidRDefault="0085709A" w:rsidP="0085709A">
      <w:pPr>
        <w:pStyle w:val="TextoNormal"/>
      </w:pPr>
      <w:r>
        <w:t>En conclusión de todo lo expuesto debemos desestimar el recurso contra la disposición final cuarta de la Ley 21/2013.</w:t>
      </w:r>
    </w:p>
    <w:p w:rsidR="0085709A" w:rsidRDefault="0085709A" w:rsidP="0085709A">
      <w:pPr>
        <w:pStyle w:val="TextoNormal"/>
      </w:pPr>
    </w:p>
    <w:p w:rsidR="0085709A" w:rsidRDefault="0085709A" w:rsidP="0085709A">
      <w:pPr>
        <w:pStyle w:val="TextoNormal"/>
      </w:pPr>
      <w:r w:rsidRPr="0085709A">
        <w:rPr>
          <w:rStyle w:val="NumeroAFNegritaCaracter"/>
        </w:rPr>
        <w:t>7</w:t>
      </w:r>
      <w:r>
        <w:t>. Resta por examinar la impugnación de la disposición final quinta, que modifica el apartado 1 de la disposición adicional sexta de la Ley 11/2005, de 22 de junio, que pasa a tener la siguiente redacción:</w:t>
      </w:r>
    </w:p>
    <w:p w:rsidR="0085709A" w:rsidRDefault="0085709A" w:rsidP="0085709A">
      <w:pPr>
        <w:pStyle w:val="TextoNormal"/>
      </w:pPr>
    </w:p>
    <w:p w:rsidR="0085709A" w:rsidRDefault="0085709A" w:rsidP="0085709A">
      <w:pPr>
        <w:pStyle w:val="TextoNormal"/>
      </w:pPr>
      <w:r>
        <w:t>“1. En aplicación del principio de transparencia, y para una completa información pública y seguridad jurídica de todos los afectados, el Ministerio de Agricultura, Alimentación y Medio Ambiente publicará y actualizará la información relativa a las transferencias ordinarias entre distintas demarcaciones hidrográficas en los términos siguientes:</w:t>
      </w:r>
    </w:p>
    <w:p w:rsidR="0085709A" w:rsidRDefault="0085709A" w:rsidP="0085709A">
      <w:pPr>
        <w:pStyle w:val="TextoNormal"/>
      </w:pPr>
    </w:p>
    <w:p w:rsidR="0085709A" w:rsidRDefault="0085709A" w:rsidP="0085709A">
      <w:pPr>
        <w:pStyle w:val="TextoNormal"/>
      </w:pPr>
      <w:r>
        <w:t>En la demarcación receptora, se establecerán unos valores de referencia para los consumos mensuales de las aguas trasvasadas por usos y zonas de riego. Los suministros a estas demandas no superarán los valores de referencia fijados, admitiéndose desviaciones ocasionales respecto a estos valores siempre que la media interanual de desviaciones no supere el total anual señalado.</w:t>
      </w:r>
    </w:p>
    <w:p w:rsidR="0085709A" w:rsidRDefault="0085709A" w:rsidP="0085709A">
      <w:pPr>
        <w:pStyle w:val="TextoNormal"/>
      </w:pPr>
    </w:p>
    <w:p w:rsidR="0085709A" w:rsidRDefault="0085709A" w:rsidP="0085709A">
      <w:pPr>
        <w:pStyle w:val="TextoNormal"/>
      </w:pPr>
      <w:r>
        <w:t>Con respeto al principio de preferencia de la cuenca cedente y a las determinaciones de la planificación hidrológica, se establecerán unos valores mensuales de referencia de los desembalses en la demarcación cedente para satisfacer sus requerimientos propios. Los desembalses mensuales no superarán los valores de referencia fijados, admitiéndose desviaciones ocasionales respecto a estos valores siempre que la media interanual de desviaciones no supere el total anual señalado.</w:t>
      </w:r>
    </w:p>
    <w:p w:rsidR="0085709A" w:rsidRDefault="0085709A" w:rsidP="0085709A">
      <w:pPr>
        <w:pStyle w:val="TextoNormal"/>
      </w:pPr>
    </w:p>
    <w:p w:rsidR="0085709A" w:rsidRDefault="0085709A" w:rsidP="0085709A">
      <w:pPr>
        <w:pStyle w:val="TextoNormal"/>
      </w:pPr>
      <w:r>
        <w:t>Previo informe de la Dirección General del Agua, y en un plazo máximo de 3 meses, mediante real decreto se definirán los valores mensuales de los consumos de referencia de aguas trasvasadas por usos y zonas de riego en la demarcación de destino y sus porcentajes admisibles de desviación máxima ocasional, así como los valores mensuales de desembalses de referencia en la demarcación de origen, sus porcentajes admisibles de desviación máxima ocasional, y cuantas circunstancias específicas deban ser consideradas para su completa definición. Para ello se considerará la información hidrológica disponible y se respetarán las determinaciones de la planificación hidrológica de las diferentes demarcaciones.</w:t>
      </w:r>
    </w:p>
    <w:p w:rsidR="0085709A" w:rsidRDefault="0085709A" w:rsidP="0085709A">
      <w:pPr>
        <w:pStyle w:val="TextoNormal"/>
      </w:pPr>
    </w:p>
    <w:p w:rsidR="0085709A" w:rsidRDefault="0085709A" w:rsidP="0085709A">
      <w:pPr>
        <w:pStyle w:val="TextoNormal"/>
      </w:pPr>
      <w:r>
        <w:lastRenderedPageBreak/>
        <w:t>La Dirección General del Agua supervisará tanto los suministros mensuales a los usos y zonas de riego del trasvase como los desembalses de referencia, pudiendo solicitar al efecto las comprobaciones y justificaciones que estime oportunas, así como ordenar la ejecución de los medios técnicos que se requieran para ello.</w:t>
      </w:r>
    </w:p>
    <w:p w:rsidR="0085709A" w:rsidRDefault="0085709A" w:rsidP="0085709A">
      <w:pPr>
        <w:pStyle w:val="TextoNormal"/>
      </w:pPr>
    </w:p>
    <w:p w:rsidR="0085709A" w:rsidRDefault="0085709A" w:rsidP="0085709A">
      <w:pPr>
        <w:pStyle w:val="TextoNormal"/>
      </w:pPr>
      <w:r>
        <w:t>Mediante real decreto se determinarán la periodicidad de la actualización de datos y su intervalo temporal, los formatos de presentación, el alcance mínimo de los valores históricos, y los datos estadísticos que habrán de incorporarse.”</w:t>
      </w:r>
    </w:p>
    <w:p w:rsidR="0085709A" w:rsidRDefault="0085709A" w:rsidP="0085709A">
      <w:pPr>
        <w:pStyle w:val="TextoNormal"/>
      </w:pPr>
    </w:p>
    <w:p w:rsidR="0085709A" w:rsidRDefault="0085709A" w:rsidP="0085709A">
      <w:pPr>
        <w:pStyle w:val="TextoNormal"/>
      </w:pPr>
      <w:r>
        <w:t>La Letrada de las Cortes de Aragón imputa a este precepto que menoscaba el régimen de participación en la gestión del agua impuesto por el principio constitucional de colaboración. En concreto estima que la fijación por real decreto de la disponibilidad de agua en la cuenca cedente a través de la determinación de valores mensuales de referencia de los desembalses para satisfacer los requerimientos propios de la cuenca interfiere en las funciones de las denominadas comisiones de desembalse, en las que defiende que debería haber participación autonómica. Un segundo motivo de inconstitucionalidad sería la vulneración del principio de prioridad de la cuenca cedente, trasunto del principio constitucional de unidad de cuenca, así como la reserva de ley establecida en relación con las condiciones de las transferencias hídricas. Por su parte el Abogado del Estado ha alegado en defensa del precepto impugnado que el recurso parte de una interpretación errónea del precepto, que tiene una finalidad orientada a la aplicación del principio de transparencia, obligando al Estado a publicar la información sobre los trasvases, señalando que tales valores mensuales de referencia de los desembalses están expresamente sometidos a las determinaciones de la planificación hidrológica. Tampoco se alteran las funciones de la comisión de desembalse ni se ve afectado el principio de prioridad de la cuenca cedente, como evidencia que, en el caso del trasvase Tajo-Segura, se eleva de 240 a 400 hm3 el volumen mínimo de reservas que tiene que haber en los embalses de Entrepeñas y Buendía para que se pueda realizar cualquier trasvase de agua.</w:t>
      </w:r>
    </w:p>
    <w:p w:rsidR="0085709A" w:rsidRDefault="0085709A" w:rsidP="0085709A">
      <w:pPr>
        <w:pStyle w:val="TextoNormal"/>
      </w:pPr>
    </w:p>
    <w:p w:rsidR="0085709A" w:rsidRDefault="0085709A" w:rsidP="0085709A">
      <w:pPr>
        <w:pStyle w:val="TextoNormal"/>
      </w:pPr>
      <w:r>
        <w:t>La queja formulada, en los términos en los que se plantea debe ser desestimada. En efecto, y sin perjuicio de señalar que, pese a lo que afirma el Abogado del Estado, la finalidad de la norma parece ir más allá del establecimiento de medidas de transparencia para favorecer una mejor información pública, no se aprecia ninguna de las vulneraciones denunciadas.</w:t>
      </w:r>
    </w:p>
    <w:p w:rsidR="0085709A" w:rsidRDefault="0085709A" w:rsidP="0085709A">
      <w:pPr>
        <w:pStyle w:val="TextoNormal"/>
      </w:pPr>
    </w:p>
    <w:p w:rsidR="0085709A" w:rsidRDefault="0085709A" w:rsidP="0085709A">
      <w:pPr>
        <w:pStyle w:val="TextoNormal"/>
      </w:pPr>
      <w:r>
        <w:t>Así, en cuanto a la infracción del principio de prioridad de cuenca cedente por la fijación reglamentaria de valores mensuales de referencia de los desembalses para satisfacer sus requerimientos propios, es claro que tal fijación en nada altera las determinaciones de la planificación hidrológica que resulten de aplicación, tal como expresamente establece la disposición impugnada, y, por otra parte, no se prevé que tales valores se fijen en términos absolutos sino que se permite su adaptación a las circunstancias, dentro del margen predeterminado por la norma. Finalmente procede advertir que nada impide que una vez concretada la habilitación reglamentaria que contiene la norma la Comunidad Autónoma pueda, caso de entender vulneradas sus competencias, plantear la cuestión por la vía procesal procedente.</w:t>
      </w:r>
    </w:p>
    <w:p w:rsidR="0085709A" w:rsidRDefault="0085709A" w:rsidP="0085709A">
      <w:pPr>
        <w:pStyle w:val="TextoNormal"/>
      </w:pPr>
    </w:p>
    <w:p w:rsidR="0085709A" w:rsidRDefault="0085709A" w:rsidP="0085709A">
      <w:pPr>
        <w:pStyle w:val="TextoNormal"/>
      </w:pPr>
      <w:r>
        <w:t xml:space="preserve">En cuanto a las atribuciones de la comisión de desembalse, a la que corresponde (art. 33 del texto refundido de la Ley de aguas) “deliberar y formular propuestas al Presidente del </w:t>
      </w:r>
      <w:r>
        <w:lastRenderedPageBreak/>
        <w:t>organismo sobre el régimen adecuado de llenado y vaciado de los embalses y acuíferos de la cuenca, atendidos los derechos concesionales de los distintos usuarios”, tampoco puede ser acogida la pretensión de la demanda, pues la actuación de dicho órgano ha de ajustarse a lo dispuesto en las normas que le resulten de aplicación, sin que, por situarse extramuros de lo debatido en el presente proceso, podamos pronunciarnos sobre la reclamación de participación en la citada Comisión, ya que lo que se pide no está en realidad regulado por la norma que se impugna.</w:t>
      </w:r>
    </w:p>
    <w:p w:rsidR="0085709A" w:rsidRDefault="0085709A" w:rsidP="0085709A">
      <w:pPr>
        <w:pStyle w:val="TextoNormal"/>
      </w:pPr>
    </w:p>
    <w:p w:rsidR="0085709A" w:rsidRDefault="0085709A" w:rsidP="0085709A">
      <w:pPr>
        <w:pStyle w:val="TextoNormal"/>
      </w:pPr>
      <w:r>
        <w:t xml:space="preserve">Por otra parte, la queja relacionada con la vulneración del principio de prioridad de la cuenca cedente parte de un entendimiento de los contenidos necesarios del plan hidrológico nacional </w:t>
      </w:r>
      <w:r w:rsidRPr="0085709A">
        <w:rPr>
          <w:i/>
        </w:rPr>
        <w:t>ex</w:t>
      </w:r>
      <w:r>
        <w:t xml:space="preserve"> art. 45.1 c), en relación con las transferencias hídricas, que no es relevante a efectos constitucionales y que, en todo caso, no se ve contradicho por la disposición impugnada, expresamente sometida en la fijación de los valores de referencia a las determinaciones de la planificación hidrológica. Por lo demás, como señala el Abogado del Estado, este principio de prioridad de la cuenca cedente se ha plasmado en la disposición adicional tercera de la Ley 10/2001, de 5 de julio, del plan hidrológico nacional que solamente permite trasvases cuando el volumen mínimo embalsado en el conjunto de Entrepeñas-Buendía supere los 400 hm3.</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Declarar, con el alcance establecido en el fundamento jurídico 5, la inconstitucionalidad y nulidad de la disposición adicional decimoquinta; la disposición transitoria segunda; la disposición derogatoria única, apartado tercero, y las disposiciones finales segunda y tercera de la Ley 21/2013, de 9 de diciembre, de evaluación ambiental.</w:t>
      </w:r>
    </w:p>
    <w:p w:rsidR="0085709A" w:rsidRDefault="0085709A" w:rsidP="0085709A">
      <w:pPr>
        <w:pStyle w:val="TextoNormal"/>
      </w:pPr>
    </w:p>
    <w:p w:rsidR="0085709A" w:rsidRDefault="0085709A" w:rsidP="0085709A">
      <w:pPr>
        <w:pStyle w:val="TextoNormal"/>
      </w:pPr>
      <w:r>
        <w:t>2º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7" w:name="SENTENCIA_2015_14"/>
      <w:r>
        <w:lastRenderedPageBreak/>
        <w:t>SENTENCIA 14/2015, de 5 de febrero de 2015</w:t>
      </w:r>
    </w:p>
    <w:bookmarkEnd w:id="17"/>
    <w:p w:rsidR="0085709A" w:rsidRDefault="0085709A" w:rsidP="0085709A">
      <w:pPr>
        <w:pStyle w:val="TtuloResolucin"/>
      </w:pPr>
      <w:r>
        <w:t>Pleno</w:t>
      </w:r>
    </w:p>
    <w:p w:rsidR="0085709A" w:rsidRDefault="0085709A" w:rsidP="0085709A">
      <w:pPr>
        <w:pStyle w:val="TtuloBOE"/>
      </w:pPr>
      <w:r>
        <w:t>(BOE núm. 52, de 2 de marzo de 2015)</w:t>
      </w:r>
    </w:p>
    <w:p w:rsidR="0085709A" w:rsidRDefault="0085709A" w:rsidP="0085709A">
      <w:pPr>
        <w:pStyle w:val="TextoNormalCentrado"/>
      </w:pPr>
      <w:r>
        <w:t>ECLI:ES:TC:2015:14</w:t>
      </w:r>
    </w:p>
    <w:p w:rsidR="0085709A" w:rsidRDefault="0085709A" w:rsidP="0085709A">
      <w:pPr>
        <w:pStyle w:val="TextoNormalCentrado"/>
      </w:pPr>
    </w:p>
    <w:p w:rsidR="0085709A" w:rsidRDefault="0085709A" w:rsidP="0085709A">
      <w:pPr>
        <w:pStyle w:val="SntesisDescriptiva"/>
      </w:pPr>
      <w:r>
        <w:t>Recurso de inconstitucionalidad 3552-2014. Interpuesto por el Presidente del Gobierno respecto de la Ley Foral 2/2014, de 17 de febrero, por la que se regulan los órganos rectores de determinadas fundaciones.</w:t>
      </w:r>
    </w:p>
    <w:p w:rsidR="0085709A" w:rsidRDefault="0085709A" w:rsidP="0085709A">
      <w:pPr>
        <w:pStyle w:val="SntesisDescriptiva"/>
      </w:pPr>
    </w:p>
    <w:p w:rsidR="0085709A" w:rsidRDefault="0085709A" w:rsidP="0085709A">
      <w:pPr>
        <w:pStyle w:val="SntesisAnaltica"/>
      </w:pPr>
      <w:r>
        <w:t>Competencias sobre fundaciones, legislación mercantil, ordenación del crédito y la banca y general de la economía: interpretación conforme del ámbito de aplicación de la ley foral, que no regula las fundaciones bancarias sino las ordinarias que resulten de la transformación de cajas de ahorro de Navarra y sean de competencia de la Comunidad Foral.</w:t>
      </w:r>
    </w:p>
    <w:p w:rsidR="0085709A" w:rsidRDefault="0085709A" w:rsidP="0085709A">
      <w:pPr>
        <w:pStyle w:val="SntesisAnaltica"/>
      </w:pPr>
    </w:p>
    <w:p w:rsidR="0085709A" w:rsidRDefault="0085709A" w:rsidP="0085709A">
      <w:pPr>
        <w:pStyle w:val="Extracto"/>
      </w:pPr>
      <w:r>
        <w:t>1.</w:t>
      </w:r>
      <w:r>
        <w:tab/>
        <w:t>La norma foral impugnada no infringe el orden constitucional de distribución de competencias, pues no regula las fundaciones bancarias sino las fundaciones ordinarias que provengan de la transformación de cajas de ahorros de Navarra y sean de competencia de la Comunidad Foral, conforme a la delimitación de competencias en materia de fundaciones [FJ 6].</w:t>
      </w:r>
    </w:p>
    <w:p w:rsidR="0085709A" w:rsidRDefault="0085709A" w:rsidP="0085709A">
      <w:pPr>
        <w:pStyle w:val="Extracto"/>
      </w:pPr>
    </w:p>
    <w:p w:rsidR="0085709A" w:rsidRDefault="0085709A" w:rsidP="0085709A">
      <w:pPr>
        <w:pStyle w:val="Extracto"/>
      </w:pPr>
      <w:r>
        <w:t>2.</w:t>
      </w:r>
      <w:r>
        <w:tab/>
        <w:t>El Tribunal Constitucional, al admitir o inadmitir las controversias sometidas a su enjuiciamiento se rige por lo dispuesto por la LOTC, sin que los requisitos procesales se hallen a disposición de las partes (STC 104/1989) [FJ 2].</w:t>
      </w:r>
    </w:p>
    <w:p w:rsidR="0085709A" w:rsidRDefault="0085709A" w:rsidP="0085709A">
      <w:pPr>
        <w:pStyle w:val="Extracto"/>
      </w:pPr>
    </w:p>
    <w:p w:rsidR="0085709A" w:rsidRDefault="0085709A" w:rsidP="0085709A">
      <w:pPr>
        <w:pStyle w:val="Extracto"/>
      </w:pPr>
      <w:r>
        <w:t>3.</w:t>
      </w:r>
      <w:r>
        <w:tab/>
        <w:t>El enjuiciamiento de la Ley Foral ha de ser puramente constitucional, sin abordar aspectos de carácter  político, de oportunidad o de calidad técnica (STC 49/2008) [FJ 4].</w:t>
      </w:r>
    </w:p>
    <w:p w:rsidR="0085709A" w:rsidRDefault="0085709A" w:rsidP="0085709A">
      <w:pPr>
        <w:pStyle w:val="Extracto"/>
      </w:pPr>
    </w:p>
    <w:p w:rsidR="0085709A" w:rsidRDefault="0085709A" w:rsidP="0085709A">
      <w:pPr>
        <w:pStyle w:val="Extracto"/>
      </w:pPr>
      <w:r>
        <w:t>4.</w:t>
      </w:r>
      <w:r>
        <w:tab/>
        <w:t>La regulación de fundaciones ordinarias cuyo ámbito de actuación es Navarra se ajustan plenamente al orden constitucional de distribución de competencias y a la doctrina constitucional en la materia (STC 98/2013) [FJ 5].</w:t>
      </w:r>
    </w:p>
    <w:p w:rsidR="0085709A" w:rsidRDefault="0085709A" w:rsidP="0085709A">
      <w:pPr>
        <w:pStyle w:val="Extracto"/>
      </w:pPr>
    </w:p>
    <w:p w:rsidR="0085709A" w:rsidRDefault="0085709A" w:rsidP="0085709A">
      <w:pPr>
        <w:pStyle w:val="Extracto"/>
      </w:pPr>
      <w:r>
        <w:t>5.</w:t>
      </w:r>
      <w:r>
        <w:tab/>
        <w:t>Es doctrina reiterada de este Tribunal Constitucional que, en un recurso de inconstitucionalidad, se declare la derogación de aspectos cuya incompatibilidad con la Constitución resulte indudable (STC 101/2008) [FJ 5].</w:t>
      </w:r>
    </w:p>
    <w:p w:rsidR="0085709A" w:rsidRDefault="0085709A" w:rsidP="0085709A">
      <w:pPr>
        <w:pStyle w:val="Extracto"/>
      </w:pPr>
    </w:p>
    <w:p w:rsidR="0085709A" w:rsidRDefault="0085709A" w:rsidP="0085709A">
      <w:pPr>
        <w:pStyle w:val="Extracto"/>
      </w:pPr>
      <w:r>
        <w:t>6.</w:t>
      </w:r>
      <w:r>
        <w:tab/>
        <w:t>La admisibilidad de la interpretación conforme, requiere que ésta sea efectivamente deducible de la disposición impugnada, sin que corresponda a este Tribunal la reconstrucción de una norma contra su sentido evidente como norma constitucional, que supondría asumir funciones de legislador positivo que institucionalmente no le corresponden (SSTC 30/2011; y 32/2011) [FJ 5].</w:t>
      </w:r>
    </w:p>
    <w:p w:rsidR="0085709A" w:rsidRDefault="0085709A" w:rsidP="0085709A">
      <w:pPr>
        <w:pStyle w:val="Extracto"/>
      </w:pPr>
    </w:p>
    <w:p w:rsidR="0085709A" w:rsidRDefault="0085709A" w:rsidP="0085709A">
      <w:pPr>
        <w:pStyle w:val="Extracto"/>
      </w:pPr>
      <w:r>
        <w:t>7.</w:t>
      </w:r>
      <w:r>
        <w:tab/>
        <w:t>La Ley Foral 2/2014, entendida como reguladora de las fundaciones ordinarias procedentes de la transformación de cajas de ahorro, no se considera inconstitucional si se aplica a las fundaciones de carácter especial que se conviertan en tales fundaciones bancarias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3552-/2014 interpuesto por el Presidente del Gobierno, representado por el Abogado del Estado, contra la Ley Foral 2/2014, de 17 de febrero, por la que se regulan los órganos rectores de determinadas fundaciones. Ha formulado alegaciones el Parlamento de Navarra.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4 de junio de 2014 el Abogado del Estado, en nombre del Presidente del Gobierno, interpone recurso de inconstitucionalidad contra la Ley Foral 2/2014, de 17 de febrero, por la que se regulan los órganos rectores de determinadas fundaciones. El Abogado del Estado invocó el art. 161.2 CE en relación con el art. 30 de la Ley Orgánica del Tribunal Constitucional (LOTC) a fin de que se produjera la suspensión de la aplicación de la Ley Foral recurrida.</w:t>
      </w:r>
    </w:p>
    <w:p w:rsidR="0085709A" w:rsidRDefault="0085709A" w:rsidP="0085709A">
      <w:pPr>
        <w:pStyle w:val="TextoNormal"/>
      </w:pPr>
    </w:p>
    <w:p w:rsidR="0085709A" w:rsidRDefault="0085709A" w:rsidP="0085709A">
      <w:pPr>
        <w:pStyle w:val="TextoNormal"/>
      </w:pPr>
      <w:r>
        <w:t>El recurso se fundamenta en los motivos que, resumidamente, se exponen a continuación:</w:t>
      </w:r>
    </w:p>
    <w:p w:rsidR="0085709A" w:rsidRDefault="0085709A" w:rsidP="0085709A">
      <w:pPr>
        <w:pStyle w:val="TextoNormal"/>
      </w:pPr>
    </w:p>
    <w:p w:rsidR="0085709A" w:rsidRDefault="0085709A" w:rsidP="0085709A">
      <w:pPr>
        <w:pStyle w:val="TextoNormal"/>
      </w:pPr>
      <w:r>
        <w:t xml:space="preserve">El Abogado del Estado comienza haciendo referencia al cumplimiento de los requisitos procesales para la interposición del recurso aludiendo a continuación a su objeto, la totalidad de la Ley Foral 2/2014, por la vulneración por inconstitucionalidad mediata de los títulos competenciales estatales del art. 149.1.6, 11 y 13 CE, en relación con la Ley estatal 26/2013, de 27 de diciembre, de cajas de ahorros y fundaciones bancarias. Tras describir el contenido de la norma impugnada señala que la interpretación conjunta del art. 1, junto con la disposición transitoria primera y la exposición de motivos de la norma, permiten concluir que la Ley Foral 2/2014 se aplica no sólo a la transformación de las cajas de ahorro en fundaciones ordinarias, respecto de lo que no plantea reproche competencial alguno, sino también en fundaciones de carácter bancario, con lo que entra en contradicción con la normativa estatal antes citada incurriendo en inconstitucionalidad. Expone seguidamente el proceso de transformación de las cajas de ahorro en fundaciones, proceso que culmina con la Ley 26/2013, norma que permite la subsistencia del modelo tradicional de caja de ahorros, y, junto a ello, </w:t>
      </w:r>
      <w:r>
        <w:lastRenderedPageBreak/>
        <w:t>crea las fundaciones bancarias, regulando su régimen jurídico y las condiciones que determinan la transformación de las cajas de ahorros en fundaciones bancarias o en fundaciones ordinarias. Si la fundación resultante mantiene una participación en la entidad de crédito que alcance, al menos, un 10 por 100 del capital o de los derechos de voto de la entidad, o le permite nombrar o destituir algún miembro de su órgano de gobierno, la fundación ha de ser una fundación bancaria, y, en caso contrario, ha de ser una fundación ordinaria. Además, las fundaciones de carácter especial existentes a la entrada en vigor de la Ley también han de transformarse bien en fundaciones bancarias, si se dan las circunstancias previstas en el artículo 32, o en fundaciones ordinarias. Destaca seguidamente la importancia de la nueva figura de las fundaciones bancarias, señalando que han de incardinarse competencialmente en los arts. 149.1.11 y 13 CE, puesto que en su regulación subyace la vertiente de titulares de participaciones accionariales en entidades de crédito. De acuerdo con lo anterior indica que el problema de constitucionalidad que plantea la Ley Foral 2/2014 se encuentra en que ignora el régimen organizativo dispuesto por la norma estatal para las fundaciones bancarias.</w:t>
      </w:r>
    </w:p>
    <w:p w:rsidR="0085709A" w:rsidRDefault="0085709A" w:rsidP="0085709A">
      <w:pPr>
        <w:pStyle w:val="TextoNormal"/>
      </w:pPr>
    </w:p>
    <w:p w:rsidR="0085709A" w:rsidRDefault="0085709A" w:rsidP="0085709A">
      <w:pPr>
        <w:pStyle w:val="TextoNormal"/>
      </w:pPr>
      <w:r>
        <w:t>En cuanto a los títulos competenciales que entrarían aquí en conflicto estima que a la regulación de las fundaciones bancarias le es predicable la doctrina constitucional en relación con las bases de ordenación del crédito, en su aplicación a las cajas de ahorros (con cita de las SSTC 48/1988 y 49/1988), títulos estatales que han de contraponerse a los que cita la exposición de motivos de la Ley Foral 2/2014, cajas de ahorros y sector público económico, en los términos del art. 56.1 de la Ley Orgánica de reintegración y amejoramiento del régimen foral de Navarra (LORAFNA), y fundaciones constituidas con arreglo a las normas de derecho foral de Navarra (art. 44.20 LORAFNA). Señala al respecto que el art. 56.1 f) LORAFNA menciona la existencia de una competencia específica de la Comunidad Foral en lo relativo a la organización de las cajas de ahorro, pero que esa especificidad foral no justifica la regulación de la Ley Foral 2/2014, pues no se trata de cajas de ahorro sino de fundaciones bancarias y, aún en el ámbito organizativo, la Comunidad Foral ha de respetar las previsiones de la Ley estatal 29/2013, que es formal y materialmente básica. Finalmente, el Abogado del Estado indica que el contenido de la disposición adicional decimosexta, apartado 1, de la Ley 26/2013, sobre la aplicación de la norma estatal de conformidad con el régimen de convenio económico no afecta al objeto de este recurso de inconstitucionalidad.</w:t>
      </w:r>
    </w:p>
    <w:p w:rsidR="0085709A" w:rsidRDefault="0085709A" w:rsidP="0085709A">
      <w:pPr>
        <w:pStyle w:val="TextoNormal"/>
      </w:pPr>
    </w:p>
    <w:p w:rsidR="0085709A" w:rsidRDefault="0085709A" w:rsidP="0085709A">
      <w:pPr>
        <w:pStyle w:val="TextoNormal"/>
      </w:pPr>
      <w:r>
        <w:t>Entrando ya en la fundamentación del recurso de inconstitucionalidad el Abogado del Estado indica que la Ley Foral 2/2014 es susceptible de aplicarse “a cuantas fundaciones, bancarias u ordinarias, resulten del proceso de transformación de las cajas de ahorros en Navarra, entre las que han de considerarse incluidas las actuales fundaciones de carácter especial resultantes de la aplicación del Real Decreto-Ley 11/2010, de 9 de julio, así como, en su caso, y de futuro, a las que ahora se transformen en fundaciones ordinarias, cuando con posterioridad incurran en los supuestos de hecho previstos en la Ley 26/2013, de 27 de diciembre”. Reitera que “ninguna tacha de inconstitucionalidad puede plantearse a la Ley Foral 2/2014, de 17 de febrero, cuando las fundaciones resultantes del proceso de transformación de las cajas de ahorros y de las actuales fundaciones de carácter especial resultantes de la aplicación del Real Decreto-Ley 11/2010, de 9 de julio, sean fundaciones ordinarias, de acuerdo con las competencias de la Comunidad Foral sobre fundaciones artículo 40.20 LORAFNA pero por su contenido normativo resulta inconstitucional cuando las fundacio</w:t>
      </w:r>
      <w:r>
        <w:lastRenderedPageBreak/>
        <w:t xml:space="preserve">nes resultantes deban ser fundaciones bancarias”. Para el Abogado del Estado la inconstitucionalidad de la norma foral se encontraría en que contradice e inaplica el régimen jurídico estatal en materia de fundaciones bancarias, estableciendo, en tanto que la ley general aplicable a cuantas fundaciones resulten del proceso de transformación de las cajas de ahorro, un modelo organizativo frontalmente contrario al establecido para las fundaciones bancarias en el título II, arts. 32 a 49 de la Ley 26/20l3, que, por su carácter de básicos conforme a las competencias estatales </w:t>
      </w:r>
      <w:r w:rsidRPr="0085709A">
        <w:rPr>
          <w:i/>
        </w:rPr>
        <w:t>ex</w:t>
      </w:r>
      <w:r>
        <w:t xml:space="preserve"> arts. 149.1.11 y 13 CE, resultan vinculantes para la Comunidad Foral.</w:t>
      </w:r>
    </w:p>
    <w:p w:rsidR="0085709A" w:rsidRDefault="0085709A" w:rsidP="0085709A">
      <w:pPr>
        <w:pStyle w:val="TextoNormal"/>
      </w:pPr>
    </w:p>
    <w:p w:rsidR="0085709A" w:rsidRDefault="0085709A" w:rsidP="0085709A">
      <w:pPr>
        <w:pStyle w:val="TextoNormal"/>
      </w:pPr>
      <w:r>
        <w:t>Los anteriores planteamientos se aplican a los preceptos de la Ley Foral 2/2014 denunciando su inconstitucionalidad mediata en los términos siguientes:</w:t>
      </w:r>
    </w:p>
    <w:p w:rsidR="0085709A" w:rsidRDefault="0085709A" w:rsidP="0085709A">
      <w:pPr>
        <w:pStyle w:val="TextoNormal"/>
      </w:pPr>
    </w:p>
    <w:p w:rsidR="0085709A" w:rsidRDefault="0085709A" w:rsidP="0085709A">
      <w:pPr>
        <w:pStyle w:val="TextoNormal"/>
      </w:pPr>
      <w:r>
        <w:t>El artículo 1 y la disposición transitoria primera son inconstitucionales en la medida en que permiten la extensión del ámbito de aplicación de la Ley a las fundaciones bancarias, con un contenido inconstitucional, en particular en lo relativo a su aplicación a la fundación Caja Navarra, conforme a las menciones que a la misma contiene la exposición de motivos de la Ley Foral 2/2014. En ese sentido, el Abogado del Estado considera que la Ley Foral es también inconstitucional si se interpreta en el sentido de que la cita en la exposición de motivos de que dicha fundación ha de convertirse obligatoriamente en fundación ordinaria, junto con la previsión de la disposición transitoria, obligan, como ley de caso único, a Caja Navarra a convertirse en fundación ordinaria, sin atender a si sus circunstancias, participación en una entidad de crédito y demás criterios previstos en la Ley 26/2013, la hacen acreedora de la condición de fundación bancaria. Así, a partir de lo anterior, el Abogado del Estado entiende inconstitucional el precepto al disponer que las fundaciones bancarias reguladas por la Ley Foral 2/2014 deban restringir su ámbito de actuación a Navarra y su órgano de gobierno sea un patronato de nueve personas, pues el ámbito de actuación de una fundación bancaria puede superar el ámbito autonómico y el número de miembros del patronato, en ningún caso superior a quince, ha de ser fijado por los estatutos.</w:t>
      </w:r>
    </w:p>
    <w:p w:rsidR="0085709A" w:rsidRDefault="0085709A" w:rsidP="0085709A">
      <w:pPr>
        <w:pStyle w:val="TextoNormal"/>
      </w:pPr>
    </w:p>
    <w:p w:rsidR="0085709A" w:rsidRDefault="0085709A" w:rsidP="0085709A">
      <w:pPr>
        <w:pStyle w:val="TextoNormal"/>
      </w:pPr>
      <w:r>
        <w:t xml:space="preserve">Los preceptos de carácter organizativo previstos en la Ley Foral son también contrarios a la legislación básica estatal y exceden de las competencias de la Comunidad Foral, en la medida en que desfiguran completamente la entidad tal y como está diseñada en la normativa estatal. Eso es lo que sucede con el artículo 2, al regular el patronato. De un lado se configura el patronato como “órgano superior de gobierno y decisión” frente a la configuración en el art. 38 de la Ley estatal, como “máximo órgano de gobierno y representación”; de otro, porque su presidencia la ejerce “la persona nombrada por la Presidencia”, figura novedosa en la Ley Foral, mientras que en la ley estatal, en el artículo 41 se establece que “el patronato designara de entre sus miembros a un presidente”. El artículo 3 relativo a la composición del patronato se separa radicalmente de lo previsto en el art. 39 de la Ley 26/2013, comprometiendo el objetivo de profesionalización de los cargos que persigue la norma básica. Lo mismo sucede con el sistema de designación previsto por los apartados 3.1 y 3.2, y en el artículo 4, en virtud de los cuales los patronos son designados por el protectorado como consecuencia del nombramiento de las entidades que se citan. El artículo 4, en lo relativo a las causas de sustitución y cese, resulta contrario a lo dispuesto en el art. 40.3 de la Ley estatal, al no prever como causa de incompatibilidad para ejercer el cargo de patrono la de simultanearlo con cargo político electo, cargo ejecutivo en partido político, asociación empresarial o sindicato, alto cargo en la Administración General del Estado, de las Comunidades Autónomas, de la Administración local y entidades del sector público. El </w:t>
      </w:r>
      <w:r>
        <w:lastRenderedPageBreak/>
        <w:t>artículo 5, en lo relativo a la duración del mandato de los patronos, es contrario al artículo 40.5, que atribuye a los Estatutos la regulación de esa cuestión estableciendo límites expresos para determinados patronos. Lo mismo sucede con el artículo 6 pues no garantiza suficientemente que las funciones de los patronos se ejerzan exclusivamente en beneficio de la fundación. El artículo 7 omite la regulación del segundo párrafo del artículo 40.4 si bien su inconstitucionalidad derivaría, respecto de las fundaciones bancarias, de la inconstitucionalidad general de la Ley Foral. Todo el artículo 8, relativo a las atribuciones del patronato, resulta contrario a la Ley 26/2013, por cuanto omite la función prevista en el artículo 38.1 en relación con la supervisión del Banco de España. Los artículos 10 a 12, al regular la Presidencia de la fundación, se refieren a un órgano no previsto por la norma estatal que solo prevé la existencia de órganos adicionales a los allí previstos con carácter de órganos delegados o apoderados del patronato; además, resulta contrario a la norma estatal por cuanto se le atribuye “la más alta representación de la Fundación” cuando conforme al artículo 38 de la Ley estatal el máximo órgano de representación es el patronato. En todo caso, el nombramiento por parte del Parlamento de Navarra de este cargo entra en contradicción con los principios de profesionalidad, independencia; transparencia y eficiencia máximos que inspiran la regulación de las fundaciones bancarias, y no pueden considerarse corno un legítimo desarrollo de la legislación básica del Estado. El artículo 13, regula la dirección de la fundación, órgano que, como tal, no regula la Ley 26/2013. El artículo 14 omite, respecto al secretario, la circunstancia de que “podrá ser o no patrono, en cuyo caso tendrá voz pero no voto”, que se prevé en el artículo 40.2 de la norma estatal. En el artículo 15, relativo a las obligaciones de la fundación, se obvian las competencias del Banco de España, de manera que se prescinde de uno de los principios fundamentales del control de estas entidades.</w:t>
      </w:r>
    </w:p>
    <w:p w:rsidR="0085709A" w:rsidRDefault="0085709A" w:rsidP="0085709A">
      <w:pPr>
        <w:pStyle w:val="TextoNormal"/>
      </w:pPr>
    </w:p>
    <w:p w:rsidR="0085709A" w:rsidRDefault="0085709A" w:rsidP="0085709A">
      <w:pPr>
        <w:pStyle w:val="TextoNormal"/>
      </w:pPr>
      <w:r>
        <w:t xml:space="preserve">En cuanto a la parte final de la Ley, y sin perjuicio de la inconstitucionalidad predicada en su conjunto en los términos expuestos, y de la derivada de la inconstitucionalidad por conexión que afecta a la misma, el Abogado del Estado destaca las vulneraciones concretas siguientes. La disposición adicional primera resulta contraria a la Ley 26/2013, por cuanto impide su aplicación a las fundaciones que, en Navarra, resulten del proceso de transformación de las cajas de ahorros cuando se trate de fundaciones bancarias, pues establece la aplicación supletoria del régimen foral aplicable a las fundaciones, sin referencia a la normativa estatal en la materia, lo que provoca “la inaplicación del régimen básico de las fundaciones bancarias en la Comunidad Foral, que, desde esta perspectiva, es en su conjunto inconstitucional al ignorar esta categoría esencial de la legislación básica estatal, y su entero régimen jurídico”. La disposición adicional segunda se refiere al control de las fundaciones por el Parlamento de Navarra y por la Cámara de Comptos. Sin embargo, como sucede en relación con los artículos 8 y 15, omite la referencia a las funciones de control que el art. 46 de la Ley 26/2013 atribuye al Banco de España. Un reproche similar se formula a las disposiciones adicionales cuarta y sexta. La disposición transitoria primera resulta inconstitucional en la medida en que solo contempla la posibilidad de transformación de las cajas de ahorro en fundación ordinaria y no la de transformación en fundación bancaria, y resulta ilegítima por cuanto omite esta última posibilidad, excluyendo, en consecuencia, la aplicación del régimen de fundaciones bancarias. Son igualmente distintas las consecuencias de la falta de adaptación de las fundaciones a las previsiones de la Ley Foral y a las de la estatal. En el caso de la primera la consecuencia es la mera derogación de las previsiones de los Estatutos que se le opongan, mientras que, en la segunda, se prevé un supuesto de liquidación de la entidad incumplidora. Además, estima el Abogado del Estado que, en ningún </w:t>
      </w:r>
      <w:r>
        <w:lastRenderedPageBreak/>
        <w:t>caso, serían susceptibles de derogación las disposiciones de los estatutos que sean conformes con la ley básica estatal. Por último, estima que la disposición transitoria segunda es inconstitucional por conexión.</w:t>
      </w:r>
    </w:p>
    <w:p w:rsidR="0085709A" w:rsidRDefault="0085709A" w:rsidP="0085709A">
      <w:pPr>
        <w:pStyle w:val="TextoNormal"/>
      </w:pPr>
    </w:p>
    <w:p w:rsidR="0085709A" w:rsidRDefault="0085709A" w:rsidP="0085709A">
      <w:pPr>
        <w:pStyle w:val="TextoNormal"/>
      </w:pPr>
      <w:r w:rsidRPr="0085709A">
        <w:rPr>
          <w:rStyle w:val="NumeroAFNegritaCaracter"/>
        </w:rPr>
        <w:t>2</w:t>
      </w:r>
      <w:r>
        <w:t>. El Pleno, por providencia de 10 de junio de 2014, acordó, a propuesta de la Sección Segunda, admitir a trámite el recurso de inconstitucionalidad promovido por el Presidente del Gobierno y, en su representación y defensa, por el Abogado del Estado, contra la Ley Foral 2/2014, de 17 de febrero, por la que se regulan los órganos rectores de determinadas fundaciones; dar traslado de la demanda y documentos presentados, conforme establece el art. 34 LOTC, al Congreso de los Diputados, al Senado y al Gobierno y al Parlamento de Navarra, por conducto de sus Presidentes, al objeto de que, en el plazo de quince días, puedan personarse en el proceso y formular las alegaciones que estimaren convenientes; tener por invocado por el Presidente del Gobierno el art. 161.2 CE, lo que, a su tenor y conforme dispone el art. 30 LOTC, produce la suspensión de la vigencia y aplicación de la Ley impugnada, desde la fecha de interposición del recurso —4 de junio de 2014— para las partes del proceso y desde el día en que aparezca publicada la suspensión en el “Boletín Oficial del Estado” para los terceros, lo que se comunicó a los Presidentes del Gobierno y del Parlamento de Navarra y, finalmente, publicar la incoación del recurso en el “Boletín Oficial del Estado” y en el “Boletín Oficial de Navarra”.</w:t>
      </w:r>
    </w:p>
    <w:p w:rsidR="0085709A" w:rsidRDefault="0085709A" w:rsidP="0085709A">
      <w:pPr>
        <w:pStyle w:val="TextoNormal"/>
      </w:pPr>
    </w:p>
    <w:p w:rsidR="0085709A" w:rsidRDefault="0085709A" w:rsidP="0085709A">
      <w:pPr>
        <w:pStyle w:val="TextoNormal"/>
      </w:pPr>
      <w:r w:rsidRPr="0085709A">
        <w:rPr>
          <w:rStyle w:val="NumeroAFNegritaCaracter"/>
        </w:rPr>
        <w:t>3</w:t>
      </w:r>
      <w:r>
        <w:t>. El Presidente del Senado, mediante escrito registrado el día 20 de junio de 2014, comunicó que la Mesa de la Cámara, en su reunión del día 18 de junio, había acordado dar por personada a la Cámara en este procedimiento y por ofrecida su colaboración a los efectos del art. 88.1 LOTC. Lo mismo hizo el Presidente del Congreso de los Diputados por escrito registrado el 23 de junio, en el que comunicaba el acuerdo de la Mesa de la Cámara de 20 de junio.</w:t>
      </w:r>
    </w:p>
    <w:p w:rsidR="0085709A" w:rsidRDefault="0085709A" w:rsidP="0085709A">
      <w:pPr>
        <w:pStyle w:val="TextoNormal"/>
      </w:pPr>
    </w:p>
    <w:p w:rsidR="0085709A" w:rsidRDefault="0085709A" w:rsidP="0085709A">
      <w:pPr>
        <w:pStyle w:val="TextoNormal"/>
      </w:pPr>
      <w:r w:rsidRPr="0085709A">
        <w:rPr>
          <w:rStyle w:val="NumeroAFNegritaCaracter"/>
        </w:rPr>
        <w:t>4</w:t>
      </w:r>
      <w:r>
        <w:t>. El Gobierno de Navarra, por escrito registrado el día 26 de junio de 2014 comunicó el acuerdo que había adoptado en el sentido de “darse por enterado de la interposición y admisión a trámite del recurso de inconstitucionalidad núm. 3552-2014, promovido por el Presidente del Gobierno contra la Ley Foral 2/2014, de 17 de febrero, por la que se regulan los órganos rectores de determinadas fundaciones”.</w:t>
      </w:r>
    </w:p>
    <w:p w:rsidR="0085709A" w:rsidRDefault="0085709A" w:rsidP="0085709A">
      <w:pPr>
        <w:pStyle w:val="TextoNormal"/>
      </w:pPr>
    </w:p>
    <w:p w:rsidR="0085709A" w:rsidRDefault="0085709A" w:rsidP="0085709A">
      <w:pPr>
        <w:pStyle w:val="TextoNormal"/>
      </w:pPr>
      <w:r w:rsidRPr="0085709A">
        <w:rPr>
          <w:rStyle w:val="NumeroAFNegritaCaracter"/>
        </w:rPr>
        <w:t>5</w:t>
      </w:r>
      <w:r>
        <w:t>. El Parlamento de Navarra formuló sus alegaciones mediante escrito registrado el día 2 de julio de 2014, interesando la inadmisión del recurso y, subsidiariamente, su desestimación, por las razones de las que, resumidamente, se deja constancia.</w:t>
      </w:r>
    </w:p>
    <w:p w:rsidR="0085709A" w:rsidRDefault="0085709A" w:rsidP="0085709A">
      <w:pPr>
        <w:pStyle w:val="TextoNormal"/>
      </w:pPr>
    </w:p>
    <w:p w:rsidR="0085709A" w:rsidRDefault="0085709A" w:rsidP="0085709A">
      <w:pPr>
        <w:pStyle w:val="TextoNormal"/>
      </w:pPr>
      <w:r>
        <w:t xml:space="preserve">Tras reproducir la norma impugnada, aludiendo a su tramitación a partir de una proposición de Ley Foral presentada por el Grupo Parlamentario Socialistas de Navarra, alega el Letrado del Parlamento de Navarra la extemporaneidad del recurso, pues se presentó el día 4 de junio de 2014 y el plazo habría finalizado el 25 de mayo de 2014. La demanda señala que el día 8 de mayo la Junta de Cooperación Administración General del Estado-Comunidad Foral de Navarra adoptó el acuerdo de iniciar negociaciones para resolver las discrepancias manifestadas en relación con la Ley Foral 2/2014, señalándose, a tal fin, que el acuerdo fue notificado al Tribunal Constitucional el día 19 de mayo y publicado en el “BOE” el día 30 de mayo. Para el Letrado del Parlamento Foral la brusca interrupción de </w:t>
      </w:r>
      <w:r>
        <w:lastRenderedPageBreak/>
        <w:t>las negociaciones pudiera considerarse un alargamiento artificial del plazo al que hace referencia el art. 33.1 LOTC. En consecuencia defiende que “en aquellos casos en los que iniciada una negociación con el propósito legal de llegar a un acuerdo, se invoque el art 33.2 LOTC no cabe —en una interpretación institucional del precepto— la interrupción exabrupto sin motivación alguna que exteriorice las razones del apartamiento, porque en caso contrario tal práctica constituiría, y constituye en el presente caso, un expediente procesal en manos del Estado para alargar el plazo a su conveniencia. Dicho de otro modo o se interpone el recurso de inconstitucionalidad al amparo del art 33.1 LOTC en el plazo de los tres meses o en caso, de que se invoque el art. 33.2 LOTC y se extiende el plazo a nueve meses, la interposición a los pocos días de finalizar el plazo legal de los tres meses, como aquí ocurre, arroja la sospecha del alargamiento artificial del plazo a comodidad de la representación del Estado; lo que debe determinar su extemporaneidad”. En apoyo de sus afirmaciones alega que el propio dictamen del Consejo de Estado exterioriza sus quejas respecto a lo exiguo del plazo para la emisión del dictamen así como la falta de motivación del cambio de criterio, lo que, en su opinión, confirma sus sospechas de la artificial utilización del art. 33.2 LOTC, esto es, sin cumplir el propósito para el que fue diseñado y sirviendo “solo a una interpretación utilitarista y de parte, al servicio del criterio de oportunidad política”.</w:t>
      </w:r>
    </w:p>
    <w:p w:rsidR="0085709A" w:rsidRDefault="0085709A" w:rsidP="0085709A">
      <w:pPr>
        <w:pStyle w:val="TextoNormal"/>
      </w:pPr>
    </w:p>
    <w:p w:rsidR="0085709A" w:rsidRDefault="0085709A" w:rsidP="0085709A">
      <w:pPr>
        <w:pStyle w:val="TextoNormal"/>
      </w:pPr>
      <w:r>
        <w:t xml:space="preserve">En cuanto al fondo del recurso, la representación procesal de la Cámara autonómica argumenta que, aunque formalmente se impugna la totalidad de la Ley Foral 2/2014 por vulnerar de forma mediata las competencias estatales </w:t>
      </w:r>
      <w:r w:rsidRPr="0085709A">
        <w:rPr>
          <w:i/>
        </w:rPr>
        <w:t>ex</w:t>
      </w:r>
      <w:r>
        <w:t xml:space="preserve"> arts. 149.1.6, 11 y 13 CE expresadas en la Ley 26/2013, en realidad lo que se discute es que la Ley Foral, en la medida en que es una ley general aplicable a cuantas fundaciones bancarias u ordinarias resulten del proceso de transformación de las cajas de ahorro resulta inconstitucional por contrariar el régimen jurídico establecido en el título II, arts. 32 a 49, de la Ley 26/2013 y excluir su aplicación conforme a la disposición adicional primera.</w:t>
      </w:r>
    </w:p>
    <w:p w:rsidR="0085709A" w:rsidRDefault="0085709A" w:rsidP="0085709A">
      <w:pPr>
        <w:pStyle w:val="TextoNormal"/>
      </w:pPr>
    </w:p>
    <w:p w:rsidR="0085709A" w:rsidRDefault="0085709A" w:rsidP="0085709A">
      <w:pPr>
        <w:pStyle w:val="TextoNormal"/>
      </w:pPr>
      <w:r>
        <w:t xml:space="preserve">El Letrado del Parlamento de Navarra niega la contradicción flagrante de la que parte el Abogado del Estado en su demanda y, por el contrario, estima que, conforme a la propia norma estatal “las Fundaciones bancarias pueden quedar sujetas al régimen previsto, en la Ley de Cajas o bien a la de Fundaciones, sea estatal o autonómica”, lo que despejaría “cualquier duda sobre el exceso competencial por omisión de carácter preventivo, que es lo que la representación del Estado de manera un tanto confusa reprocha a la Ley Foral impugnada”. Afirma así lo que denomina carácter preventivo y ambivalente de la impugnación determinante de su desestimación por fundamentar una inconstitucionalidad mediata de la Ley Foral 2/2014 hipotética y no real. Señala que el objetivo de la norma, a raíz de las modificaciones sufridas durante su trámite parlamentario, es el de “regular los órganos rectores de determinadas fundaciones, referidas a aquellas de carácter especial provenientes de la transformación de las cajas de ahorro en fundaciones de carácter especial y que la nueva Ley 26/2013, bifurca en su regulación establecida en el art. 33 de la misma, en bancarias u ordinarias”. La Ley Foral 2/2014 regula estas últimas en el marco de la habilitación de la Ley 26/2013 y de las competencias de Navarra, lo que excluye cualquier intento de ignorar, transgredir o inaplicar las normas estatales. Señala que todo el recurso de inconstitucionalidad parece fundarse en la convicción de que se trata de una ley </w:t>
      </w:r>
      <w:r w:rsidRPr="0085709A">
        <w:rPr>
          <w:i/>
        </w:rPr>
        <w:t>ad hoc</w:t>
      </w:r>
      <w:r>
        <w:t xml:space="preserve"> aplicable a la fundación Caja Navarra. De ahí que se califique el recurso como preventivo, dado que se le atribuye la finalidad de prevenir que la entidad fundación Caja Navarra se transforme en fundación ordinaria, cuando dicha finalidad no se consigue a través de la consideración de la </w:t>
      </w:r>
      <w:r>
        <w:lastRenderedPageBreak/>
        <w:t>Ley Foral como una suerte de ley de caso único, sino a través, en su caso, de los mecanismos de reacción contra los acuerdos de la asamblea general de la caja correspondiente. En definitiva, el Letrado del Parlamento de Navarra entiende que el recurso ha de desestimarse por tratarse de una impugnación preventiva.</w:t>
      </w:r>
    </w:p>
    <w:p w:rsidR="0085709A" w:rsidRDefault="0085709A" w:rsidP="0085709A">
      <w:pPr>
        <w:pStyle w:val="TextoNormal"/>
      </w:pPr>
    </w:p>
    <w:p w:rsidR="0085709A" w:rsidRDefault="0085709A" w:rsidP="0085709A">
      <w:pPr>
        <w:pStyle w:val="TextoNormal"/>
      </w:pPr>
      <w:r>
        <w:t>En cuanto a la disputa competencial trabada en el proceso, argumenta que la misma descansa en la incompetencia del legislador foral para desarrollar el régimen de las fundaciones bancarias. Sin embargo, esa premisa de partida del recurso se ve desmentida por la interpretación constitucional de la norma impugnada, al desarrollar el régimen de las fundaciones ordinarias prevista en el art. 33 de la norma básica estatal, sobre la base de las competencias autonómicas en materia de cajas de ahorro y, principalmente, de Derecho privado de Navarra. Esta misma interpretación permite desechar las quejas que se formulan a la disposición adicional primera y a la disposición transitoria respecto a la vulneración del sistema de fuentes por omisión, centrado en que la Ley Foral prescinda de la norma básica. En definitiva, sostiene el Parlamento Foral que en la interpretación de la Ley 26/2013 en relación con la Ley Foral 2/2014 puede llegarse a las conclusiones siguientes: La figura de las fundaciones bancarias así como las ordinarias contempladas en el art. 33 de la norma estatal contemplan un fenómeno de bifurcación legislativa en manos del legislador autonómico. De esa suerte, si el legislador autonómico desarrolla la legislación básica de las fundaciones bancarias deberá ajustarse al esquema bases-desarrollo. Por el contrario, si la Comunidad Foral desarrolla en el marco de sus competencias la previsión contemplada en la Ley 26/2013, en el sentido de que las antiguas fundaciones bancarias de carácter especial se conviertan en fundaciones ordinarias con arreglo a la legislación de fundaciones, que tiene como se sabe una vertiente civil o privada y otra fiscal, Navarra y su Parlamento tiene potestad legislativa para llevarla a cabo en los términos que hace la Ley Foral 2/2014, aspecto que no parece discutir la representación del Estado y que llevaría a la desestimación del recurso.</w:t>
      </w:r>
    </w:p>
    <w:p w:rsidR="0085709A" w:rsidRDefault="0085709A" w:rsidP="0085709A">
      <w:pPr>
        <w:pStyle w:val="TextoNormal"/>
      </w:pPr>
    </w:p>
    <w:p w:rsidR="0085709A" w:rsidRDefault="0085709A" w:rsidP="0085709A">
      <w:pPr>
        <w:pStyle w:val="TextoNormal"/>
      </w:pPr>
      <w:r>
        <w:t xml:space="preserve">A continuación el escrito del Parlamento de Navarra aborda lo que califica de refutación del llamado análisis detallado de los preceptos impugnados de la Ley Foral 2/2014. Así en cuanto al artículo 1 y la disposición transitoria primera señala que su inconstitucionalidad se basa en un argumento hipotético o preventivo, la obligada transformación de Caja Navarra en fundación ordinaria, que no se sostiene si se considera que la Ley Foral contempla la transformación en fundaciones ordinarias de las antiguas fundaciones de carácter especial. En cualquier caso el reproche de inconstitucionalidad formulado no es fundado pues el número de miembros del patronato no supera el máximo previsto por la norma estatal y la invocación de la infracción del artículo 45 es hipotética. Esta consideración de que la impugnación no está fundada, dado que los preceptos invocados como infringidos hacen referencia a las fundaciones bancarias y no a las ordinarias, que serían las realmente reguladas en la norma autonómica, se repite en relación con el examen de los motivos de impugnación de cada uno de los preceptos de la Ley Foral 2/2014. En todo caso, además, respecto del artículo 2 se descarta la contradicción con el art. 38 de la Ley 26/2013; en cuanto al artículo 3 señala que la composición del patronato responde a los mismos criterios de la norma estatal, sin que se aporte justificación alguna de la inconstitucionalidad del sistema de designación. La impugnación del artículo 4, relativo a las incompatibilidades, se considera preventiva y la de los artículos 5 y 6 desconocería que el precepto que se reputa vulnerado, el art. 40.5 de la Ley 26/2013, obedece a una lógica distinta entre fundaciones bancarias y ordinarias. La impugnación del artículo 7 debería desestimarse por genérica e indeterminada </w:t>
      </w:r>
      <w:r>
        <w:lastRenderedPageBreak/>
        <w:t>y lo mismo sucede con la del artículo 8, en la que se impugna una omisión que es, en realidad, un problema de técnica legislativa, al igual que la del artículo 15. Respecto a la de los artículos 9 y 15, se estima que no hay fundamentación. Igualmente estima que los artículos 10, 11 y 12 se impugnan de forma genérica e indeterminada, mientras que en el artículo 13 las diferencias de regulación obedecen a que se trata de un objeto de regulación diferente. En cuanto a las disposiciones adicionales y transitorias considera que la razón de su desestimación se encuentra en que la norma foral no regula las fundaciones bancarias, sino las ordinarias. Finalmente, en cuanto a la referencia a la disposición adicional decimosexta, apartado 1, de la Ley 26/2013 sobre el convenio económico de Navarra con el Estado, señala que la misma no se encuentra concernida en los términos en los que discurre la defensa de la constitucionalidad de la ley.</w:t>
      </w:r>
    </w:p>
    <w:p w:rsidR="0085709A" w:rsidRDefault="0085709A" w:rsidP="0085709A">
      <w:pPr>
        <w:pStyle w:val="TextoNormal"/>
      </w:pPr>
    </w:p>
    <w:p w:rsidR="0085709A" w:rsidRDefault="0085709A" w:rsidP="0085709A">
      <w:pPr>
        <w:pStyle w:val="TextoNormal"/>
      </w:pPr>
      <w:r w:rsidRPr="0085709A">
        <w:rPr>
          <w:rStyle w:val="NumeroAFNegritaCaracter"/>
        </w:rPr>
        <w:t>6</w:t>
      </w:r>
      <w:r>
        <w:t>. Próximo a finalizar el plazo de cinco meses que señala el art. 161.2 CE desde que se produjo la suspensión de la Ley Foral 2/2014, el Pleno, por providencia de 2 de septiembre de 2014, acordó oír a las partes personadas —Abogado del Estado y Parlamento de Navarra— para que, en el plazo de cinco días, expusieran lo que consideraran conveniente acerca del mantenimiento o levantamiento de la suspensión. Evacuado por las partes el trámite de alegaciones conferido, el Pleno del Tribunal, mediante ATC 265/2014, de 4 de noviembre, acordó mantener la suspensión de la Ley Foral 2/2014.</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3 de febrero de dos mil quince,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presente resolución ha de resolver el recurso de inconstitucionalidad planteado por el Presidente del Gobierno contra la Ley Foral 2/2014, de 17 de febrero, por la que se regulan los órganos rectores de determinadas fundaciones.</w:t>
      </w:r>
    </w:p>
    <w:p w:rsidR="0085709A" w:rsidRDefault="0085709A" w:rsidP="0085709A">
      <w:pPr>
        <w:pStyle w:val="TextoNormal"/>
      </w:pPr>
    </w:p>
    <w:p w:rsidR="0085709A" w:rsidRDefault="0085709A" w:rsidP="0085709A">
      <w:pPr>
        <w:pStyle w:val="TextoNormal"/>
      </w:pPr>
      <w:r>
        <w:t>Como ha quedado expuesto en los antecedentes, el Abogado del Estado considera que la referida norma, al no respetar la Ley estatal 26/2013, de 27 de diciembre, de cajas de ahorro y fundaciones bancarias, vulnera los títulos competenciales estatales recogidos en el art. 149.1.6, 11 y 13 CE a cuyo amparo se ha dictado la Ley estatal. Dicha vulneración se produciría, tal y como se infiere de la demanda, porque la Ley Foral 2/2014 es una ley general aplicable a las fundaciones, bancarias y ordinarias, que resulten del proceso de transformación de las cajas de ahorros. En consecuencia, en la medida en que dicha norma es aplicable a las fundaciones bancarias, resulta inconstitucional por cuanto el régimen jurídico que establece resultaría frontalmente contrario al establecido en el título II, artículos 32 a 49 de la mencionada Ley 26/2013, preceptos que, por su carácter de básicos, resultan vinculantes para la Comunidad Foral. A los anteriores planteamientos se ha opuesto el Letrado del Parlamento de Navarra interesando la inadmisión del recurso por extemporáneo o, subsidiariamente, su desestimación por no concurrir las vulneraciones competenciales denunciadas. Señala, en ese sentido, que la intención del legislador foral no sería evitar que una determinada fundación de régimen especial se transforme en una fundación bancaria, sino exclusivamente regular las fundaciones ordinarias provenientes de la transformación de las anteriores fundaciones de régimen especial en el marco de la habilitación de la propia ley básica y en el ejercicio de las competencias de la Comunidad Foral en la materia.</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 el proceso y antes de comenzar a resolverlo hemos de examinar el óbice procesal formulado por el Letrado del Parlamento Foral.</w:t>
      </w:r>
    </w:p>
    <w:p w:rsidR="0085709A" w:rsidRDefault="0085709A" w:rsidP="0085709A">
      <w:pPr>
        <w:pStyle w:val="TextoNormal"/>
      </w:pPr>
    </w:p>
    <w:p w:rsidR="0085709A" w:rsidRDefault="0085709A" w:rsidP="0085709A">
      <w:pPr>
        <w:pStyle w:val="TextoNormal"/>
      </w:pPr>
      <w:r>
        <w:t>Éste considera que el recurso ha de inadmitirse por extemporáneo habida cuenta de que se ha interpuesto superados los tres meses a los que hace referencia el art. 33.1 de la Ley Orgánica del Tribunal Constitucional (LOTC), sin que, pese a la existencia de un acuerdo en tal sentido, pueda ser aplicable aquí el plazo ampliado de nueve meses del art. 33.2 LOTC. Defiende así que la interrupción de las negociaciones con la promoción del recurso el mismo día que el citado acuerdo se publicaba en el “Boletín Oficial del Estado” pudiera considerarse un intento de alargar artificialmente el plazo de tres meses del art. 33.1 LOTC, sosteniendo que en estos casos en los que se inicie una negociación al amparo del art. 33.2 LOTC su interrupción sin explicación alguna que la justifique ha de considerarse determinante de la extemporaneidad del recurso, ya que, en caso contrario, se estaría poniendo en manos del Estado un expediente procesal para alargar el plazo a su conveniencia.</w:t>
      </w:r>
    </w:p>
    <w:p w:rsidR="0085709A" w:rsidRDefault="0085709A" w:rsidP="0085709A">
      <w:pPr>
        <w:pStyle w:val="TextoNormal"/>
      </w:pPr>
    </w:p>
    <w:p w:rsidR="0085709A" w:rsidRDefault="0085709A" w:rsidP="0085709A">
      <w:pPr>
        <w:pStyle w:val="TextoNormal"/>
      </w:pPr>
      <w:r>
        <w:t>Para resolver esta cuestión debemos partir de nuestra doctrina en cuya virtud este Tribunal Constitucional, al admitir o inadmitir las controversias sometidas a su enjuiciamiento ha de regirse únicamente por lo dispuesto al efecto por la Ley Orgánica del Tribunal Constitucional, sin que los requisitos procesales se hallen a disposición de las partes, tal y como señala, por todas, la STC 104/1989, de 8 de junio, FJ 2. A estos efectos, el art. 33.1 LOTC dispone, con carácter general, que el recurso de inconstitucionalidad “se formulará dentro del plazo de tres meses a partir de la publicación de la Ley, disposición o acto con fuerza de Ley impugnado”. No obstante esta previsión, el apartado 2 de ese mismo precepto habilita tanto al Presidente del Gobierno como a los órganos colegiados ejecutivos de las Comunidades Autónomas, a interponer el citado recurso de inconstitucionalidad en el plazo de nueves meses cuando, “con la finalidad de evitar la interposición del recurso”, previamente se haya reunido la Comisión bilateral de cooperación entre la Administración General del Estado y la Comunidad Autónoma [letra a)], en su seno se haya adoptado un acuerdo sobre la iniciación de negociaciones para resolver las discrepancias e incluso sobre la eventual suspensión de la norma caso de interponerse el recurso [letra b)], y dicho acuerdo se haya puesto en conocimiento del Tribunal Constitucional dentro de los tres meses siguientes a la publicación de la Ley, insertándose tanto en el “Boletín Oficial del Estado” como en el diario oficial de la Comunidad Autónoma [letra c)]. El objetivo de este art. 33.2 LOTC, es, según reza la exposición de motivos de la Ley Orgánica 1/2000 que lo introdujo en la Ley Orgánica del Tribunal Constitucional, “permitir legalmente que los acuerdos adoptados en dichas Comisiones Bilaterales de Cooperación, en orden a evitar la interposición de un recurso de inconstitucionalidad, se comuniquen al Tribunal Constitucional, con el fin de ampliar el plazo del recurso de inconstitucionalidad, a efectos de que se abra un período mayor, de manera que pueda producirse un acuerdo, que evite el posible recurso”.</w:t>
      </w:r>
    </w:p>
    <w:p w:rsidR="0085709A" w:rsidRDefault="0085709A" w:rsidP="0085709A">
      <w:pPr>
        <w:pStyle w:val="TextoNormal"/>
      </w:pPr>
    </w:p>
    <w:p w:rsidR="0085709A" w:rsidRDefault="0085709A" w:rsidP="0085709A">
      <w:pPr>
        <w:pStyle w:val="TextoNormal"/>
      </w:pPr>
      <w:r>
        <w:t xml:space="preserve">A este respecto hay que señalar que ha quedado acreditado que la Junta de Cooperación entre la Administración General del Estado y la Comunidad Foral de Navarra adoptó el día 8 de mayo de 2014 un acuerdo [art. 33.2 a) LOTC] relativo al inicio de negociaciones para resolver las discrepancias existentes con relación a la Ley Foral 2/2014, [art. 33.2 b) LOTC]. Este acuerdo fue puesto en conocimiento del Tribunal Constitucional dentro de los tres meses siguientes a la publicación de la Ley (se comunicó el día 19 de mayo antes, por tanto, del vencimiento del plazo de tres meses desde la publicación de la Ley que tuvo lugar el 25 </w:t>
      </w:r>
      <w:r>
        <w:lastRenderedPageBreak/>
        <w:t>de febrero de 2014), insertándose tanto en el “Boletín Oficial del Estado” como en el diario oficial de la Comunidad Foral del día 30 de mayo [art. 33.2 c) LOTC]. Es clara, pues, la existencia del acuerdo en el que se pone de manifiesto la concertación de voluntades para aplicar el procedimiento previsto en el art. 33.2 LOTC y su adopción conforme a las exigencias del mencionado precepto.</w:t>
      </w:r>
    </w:p>
    <w:p w:rsidR="0085709A" w:rsidRDefault="0085709A" w:rsidP="0085709A">
      <w:pPr>
        <w:pStyle w:val="TextoNormal"/>
      </w:pPr>
    </w:p>
    <w:p w:rsidR="0085709A" w:rsidRDefault="0085709A" w:rsidP="0085709A">
      <w:pPr>
        <w:pStyle w:val="TextoNormal"/>
      </w:pPr>
      <w:r>
        <w:t>Se han cumplido, entonces, con todos los requisitos de procedibilidad necesarios para interponer el recurso de inconstitucionalidad por el Presidente del Gobierno en el plazo ampliado de nueve meses, debiendo rechazarse, por tanto, la concurrencia del óbice procesal alegado por el Parlamento de Navarra, pues tampoco puede compartirse la argumentación esgrimida de contrario.</w:t>
      </w:r>
    </w:p>
    <w:p w:rsidR="0085709A" w:rsidRDefault="0085709A" w:rsidP="0085709A">
      <w:pPr>
        <w:pStyle w:val="TextoNormal"/>
      </w:pPr>
    </w:p>
    <w:p w:rsidR="0085709A" w:rsidRDefault="0085709A" w:rsidP="0085709A">
      <w:pPr>
        <w:pStyle w:val="TextoNormal"/>
      </w:pPr>
      <w:r>
        <w:t>La aplicación del procedimiento previsto en el art. 33.2 LOTC no garantiza ni un resultado final satisfactorio para las partes ni tampoco la evitación del recurso, pues es evidente que queda siempre a disposición del sujeto legitimado —sea el Gobierno del Estado o el de la correspondiente Comunidad Autónoma— el planteamiento del recurso de inconstitucionalidad en cualquier momento del plazo ampliado de nueve meses, lo que, evidentemente también implica que el mismo ha constatado que no resulta posible solucionar mediante este cauce de resolución de conflictos la discrepancia inicialmente suscitada. De acuerdo con el margen de decisión del que disfrutan, la decisión de acudir o no a la jurisdicción constitucional queda siempre a la libre disposición de los legitimados para ello en los términos que se derivan de la Constitución Española y de la Ley Orgánica del Tribunal Constitucional de las que no se desprenden limitaciones como las aquí sugeridas por la representación procesal del Parlamento de Navarra.</w:t>
      </w:r>
    </w:p>
    <w:p w:rsidR="0085709A" w:rsidRDefault="0085709A" w:rsidP="0085709A">
      <w:pPr>
        <w:pStyle w:val="TextoNormal"/>
      </w:pPr>
    </w:p>
    <w:p w:rsidR="0085709A" w:rsidRDefault="0085709A" w:rsidP="0085709A">
      <w:pPr>
        <w:pStyle w:val="TextoNormal"/>
      </w:pPr>
      <w:r>
        <w:t>Así, sin perjuicio de la valoración que merezca, desde la perspectiva de los principios de lealtad institucional y cooperación que han de informar las relaciones entre el Estado y las Comunidades Autónomas, el hecho de que la interposición del recurso se haya producido dentro del mes siguiente al acuerdo de inicio de negociaciones, lo cierto es que no resulta en todo caso exigible, pues no viene impuesto por la Ley Orgánica del Tribunal Constitucional, que las negociaciones amparadas en el art. 33.2 LOTC hayan de prolongarse durante la totalidad del plazo ampliado de nueve meses, ni, por lo mismo, tampoco que hayan de explicitarse las razones que llevan a la parte actora, sea esta el Estado o una Comunidad Autónoma, a considerar que dichas negociaciones no pueden conducir a una avenencia, con la consecuencia de que la aplicación en su totalidad del plazo previsto en el artículo 33.2, no va a producir resultado alguno, decidiendo, por tanto, interponer el recurso antes de la expiración del mencionado plazo de nueve meses.</w:t>
      </w:r>
    </w:p>
    <w:p w:rsidR="0085709A" w:rsidRDefault="0085709A" w:rsidP="0085709A">
      <w:pPr>
        <w:pStyle w:val="TextoNormal"/>
      </w:pPr>
    </w:p>
    <w:p w:rsidR="0085709A" w:rsidRDefault="0085709A" w:rsidP="0085709A">
      <w:pPr>
        <w:pStyle w:val="TextoNormal"/>
      </w:pPr>
      <w:r>
        <w:t>En suma, por lo expuesto, el recurso no es extemporáneo y no puede aceptarse el óbice procesal planteado por el Parlamento de Navarra.</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A fin de encuadrar adecuadamente la controversia suscitada en el presente proceso resulta necesario referirse, siquiera brevemente al proceso de transformación de las cajas de ahorro en las actuales fundaciones previstas en la Ley estatal 26/2013. Aunque los cambios impulsados por el legislador estatal para paliar la crisis del sector financiero se han dirigido al conjunto de las entidades de crédito, lo cierto es que sus destinatarios principales han sido las cajas de ahorros. A los efectos que ahora interesan hemos de referirnos, en ese contexto general de reforma del marco regulatorio de las cajas, al Real Decreto-ley 11/2010, de 9 de </w:t>
      </w:r>
      <w:r>
        <w:lastRenderedPageBreak/>
        <w:t>julio, de órganos de gobierno y otros aspectos del régimen jurídico de las cajas de ahorros, texto legal ya derogado que, tras sucesivas modificaciones, anticipa buena parte de las reformas de la Ley 26/2013, tal como reconoce la exposición de motivos de esta última. En el título IV del citado Real Decreto-ley 11/2010 se diseña un nuevo modelo organizativo de las cajas de ahorro basado en una doble alternativa: el ejercicio indirecto de la actividad financiera de la caja a través de una entidad bancaria o la transformación de la misma en una fundación de carácter especial traspasando su negocio a otra entidad de crédito. En el primer caso las cajas de ahorro desempeñaban su objeto propio como entidad de crédito a través de una entidad bancaria instrumental, al que se aportaba su negocio financiero, así como todos o parte de los activos no financieros adscritos al mismo. El segundo caso determinaba la transformación de las cajas de ahorro en fundaciones de carácter especial a través de la segregación de su actividad financiera y benéfico-social, traspasando la primera a otra entidad de crédito a cambio de acciones y manteniendo la segunda como actividad central de la propia fundación, sometidas al régimen jurídico general de esta institución con las especialidades previstas en el Real Decreto-ley 11/2010 y en las normas autonómicas de desarrollo del mismo. En el caso de las fundaciones de carácter especial, la Ley 26/2013 prevé su obligatoria transformación en fundaciones bancarias en los casos en los que aquellas que mantengan una participación en una entidad de crédito que alcance, de forma directa o indirecta, al menos, un 10 por 100 del capital o de los derechos de voto de la entidad, o que le permita nombrar o destituir algún miembro de su órgano de administración, conforme al art. 32.1, mientras que, de no concurrir los citados requisitos en caso de que su participación en una entidad de crédito no alcance los niveles previstos en el artículo 32 las antiguas fundaciones de régimen especial se transformarán en fundaciones ordinarias, tal como se regula en la disposición adicional primera de la Ley 26/2013. Las fundaciones bancarias quedan sujetas al régimen jurídico básico previsto en la propia Ley 26/2013, mientras que las restantes fundaciones procedentes de la transformación del régimen de las cajas de ahorros, calificadas como ordinarias, están sometidas al régimen jurídico común de las fundaciones, en el que concurren normas estatales y autonómicas conforme a las reglas que delimitan el orden competencial en esta materia.</w:t>
      </w:r>
    </w:p>
    <w:p w:rsidR="0085709A" w:rsidRDefault="0085709A" w:rsidP="0085709A">
      <w:pPr>
        <w:pStyle w:val="TextoNormal"/>
      </w:pPr>
    </w:p>
    <w:p w:rsidR="0085709A" w:rsidRDefault="0085709A" w:rsidP="0085709A">
      <w:pPr>
        <w:pStyle w:val="TextoNormal"/>
      </w:pPr>
      <w:r>
        <w:t xml:space="preserve">En dicho marco, la Ley Foral 2/2014 se afirma dictada al amparo de la competencia exclusiva de la Comunidad Foral de Navarra en las materias de cajas de ahorros y sector público económico en los términos del art. 56.1 de la Ley Orgánica 13/1982, de 10 de agosto, de reintegración y amejoramiento del régimen foral de Navarra (LORAFNA), y de fundaciones constituidas con arreglo a las normas de Derecho Foral de Navarra (art. 44.20 LORAFNA). Conforme a su exposición de motivos, que hace una mención singular al caso de la fundación Caja Navarra, la cual, según allí se afirma, ha de transformarse en una fundación ordinaria, la Ley Foral 2/2014 pretende establecer algunas normas específicas referidas a los órganos rectores de las fundaciones provenientes de la transformación de las cajas de ahorros. El artículo 1 de la Ley Foral dispone que “los estatutos de las fundaciones provenientes de la transformación de las cajas de ahorros de Navarra” preverán que su ámbito de actuación es Navarra y su órgano de gobierno un patronato compuesto de nueve personas. A lo largo de sus sucesivos capítulos, la Ley Foral regula el patronato y los patronos, nombrados por el protectorado, “sin posibilidad de reparo”, en virtud de las designaciones del Pleno del Parlamento (cinco miembros), del Gobierno de Navarra (dos miembros) y del Pleno del Ayuntamiento de Pamplona, un miembro; la presidencia, cuyo titular será elegido también por el Pleno del Parlamento; la dirección; la secretaría de la fundación y, finalmente, las obligaciones y control de las entidades que suponen la rendición de cuentas anual </w:t>
      </w:r>
      <w:r>
        <w:lastRenderedPageBreak/>
        <w:t>al Parlamento y la remisión a esta misma institución de información trimestral sobre el grado de ejecución presupuestaria.</w:t>
      </w:r>
    </w:p>
    <w:p w:rsidR="0085709A" w:rsidRDefault="0085709A" w:rsidP="0085709A">
      <w:pPr>
        <w:pStyle w:val="TextoNormal"/>
      </w:pPr>
    </w:p>
    <w:p w:rsidR="0085709A" w:rsidRDefault="0085709A" w:rsidP="0085709A">
      <w:pPr>
        <w:pStyle w:val="TextoNormal"/>
      </w:pPr>
      <w:r w:rsidRPr="0085709A">
        <w:rPr>
          <w:rStyle w:val="NumeroAFNegritaCaracter"/>
        </w:rPr>
        <w:t>4</w:t>
      </w:r>
      <w:r>
        <w:t>. Señalado lo anterior, procede ahora descartar que, en los términos en los que se plantea, el recurso pueda ser calificado como hipotético o preventivo, calificaciones usadas por el Letrado del Parlamento Foral, pues el Abogado del Estado ha denunciado la vulneración de concretas competencias estatales y explicitado los términos en los que, a su juicio, tal vulneración se produce.</w:t>
      </w:r>
    </w:p>
    <w:p w:rsidR="0085709A" w:rsidRDefault="0085709A" w:rsidP="0085709A">
      <w:pPr>
        <w:pStyle w:val="TextoNormal"/>
      </w:pPr>
    </w:p>
    <w:p w:rsidR="0085709A" w:rsidRDefault="0085709A" w:rsidP="0085709A">
      <w:pPr>
        <w:pStyle w:val="TextoNormal"/>
      </w:pPr>
      <w:r>
        <w:t>No obstante ha de advertirse, que, dada la finalidad de un proceso como el recurso de inconstitucionalidad, recurso abstracto y orientado a la depuración objetiva del ordenamiento, es evidente que las controversias que puedan derivarse del proceso de transformación de una determinada fundación de carácter especial en una fundación bancaria u ordinaria, conforme a los requisitos y procedimientos previstos en la Ley 26/2013, han de quedar excluidos del enjuiciamiento que ahora se nos demanda. En efecto, si lo propio del recurso de inconstitucionalidad es contrastar en abstracto la norma impugnada con las previsiones constitucionales que le resultan de aplicación, fácilmente se comprende que ese juicio ha de quedar desvinculado de cualquier consideración concreta vinculada a la aplicación de los preceptos legales a un específico supuesto de hecho, cuestión esta última susceptible, en su caso, de ser resuelta en la jurisdicción ordinaria por los cauces que a tal efecto dispone nuestro ordenamiento.</w:t>
      </w:r>
    </w:p>
    <w:p w:rsidR="0085709A" w:rsidRDefault="0085709A" w:rsidP="0085709A">
      <w:pPr>
        <w:pStyle w:val="TextoNormal"/>
      </w:pPr>
    </w:p>
    <w:p w:rsidR="0085709A" w:rsidRDefault="0085709A" w:rsidP="0085709A">
      <w:pPr>
        <w:pStyle w:val="TextoNormal"/>
      </w:pPr>
      <w:r>
        <w:t>Quiere esto decir que la determinación de la naturaleza jurídica que haya de adoptar la fundación Caja Navarra es una mera cuestión de legalidad ordinaria que escapa a nuestro control objetivo en la medida en que (STC 49/2008, de 9 de abril, FJ 4) “nuestro enjuiciamiento es exclusivamente de constitucionalidad y no político, de oportunidad o de calidad técnica. Las intenciones del legislador, su estrategia política o su propósito último no constituyen, como es evidente, objeto de nuestro control, debiendo limitarnos a contrastar con carácter abstracto y, por lo tanto, al margen de su posible aplicación práctica, los concretos preceptos impugnados y las normas y principios constitucionales que integran en cada caso el parámetro de control”. No obsta a lo anterior el hecho de que la exposición de motivos de la norma exprese el criterio de que la mencionada fundación ha de configurarse como una fundación de las calificadas como ordinarias entre aquellas provenientes del proceso de transformación de las cajas de ahorro, pues ello no es más que la plasmación de que, para el legislador foral, la regulación de carácter general que establece la Ley Foral 2/2014 ha de ser aplicada a un caso concreto que aparece singularizado en la exposición de motivos por los vínculos que, como expone el legislador navarro, presenta con la Comunidad Foral. En todo caso, de conformidad con nuestra doctrina (STC 31/2010, de 28 de junio, FJ 7) este Tribunal podría “tomar en consideración tales manifestaciones como pauta para la interpretación de las normas de la ley misma, aunque nunca enjuiciar, como en este recurso parece también pretenderse, si tales finalidades declaradas por el legislador son o no plausibles o si los preceptos impugnados resultan instrumento idóneo para servirlas” (STC 197/2014, de 4 de diciembre, FJ 1).</w:t>
      </w:r>
    </w:p>
    <w:p w:rsidR="0085709A" w:rsidRDefault="0085709A" w:rsidP="0085709A">
      <w:pPr>
        <w:pStyle w:val="TextoNormal"/>
      </w:pPr>
    </w:p>
    <w:p w:rsidR="0085709A" w:rsidRDefault="0085709A" w:rsidP="0085709A">
      <w:pPr>
        <w:pStyle w:val="TextoNormal"/>
      </w:pPr>
      <w:r>
        <w:t xml:space="preserve">Ahora bien, si bien el recurso no puede ser calificado como hipotético o preventivo, todo él parte de una premisa que condiciona su fundamentación. Por eso, previamente a examinar el juicio de inconstitucionalidad mediata que el Abogado del Estado demanda, ha de comprobarse necesariamente la consistencia de dicha premisa. Así, la queja que se formula se </w:t>
      </w:r>
      <w:r>
        <w:lastRenderedPageBreak/>
        <w:t>relaciona con la aplicación de las previsiones de la Ley Foral 2/2014 a las denominadas fundaciones bancarias, en el bien entendido que la norma foral establece un modelo organizativo incompatible con el diseñado por el legislador estatal para dichas fundaciones bancarias, sin que se plantee tacha alguna a la Ley Foral 2/2014 en cuanto se aplique a las fundaciones ordinarias. Se trata, entonces, de un problema de inconstitucionalidad mediata que se plantea directamente vinculado al ámbito de aplicación de la norma, presuponiendo que la misma se aplica a las fundaciones bancarias creadas por la Ley 26/2013 y a partir del cual se ha construido toda la fundamentación que sustenta el recurso por la contraposición de modelos organizativos que aprecia entre la Ley Foral 2/2014 y la Ley estatal 26/2013. En suma, el Abogado del Estado viene a sostener que la inconstitucionalidad de la norma deriva de su aplicabilidad a determinados sujetos, las fundaciones bancarias de Navarra, sin cuestionar la aplicación de la norma a las fundaciones calificadas como ordinarias. Tal premisa —la aplicación de la Ley Foral 2/2014 a las fundaciones bancarias— ha sido explícitamente negada por la representación procesal del Parlamento de Navarra que ha sostenido que la Ley Foral 2/2014 no se refiere a esas fundaciones bancarias sino a las antiguas fundaciones de carácter especial que, por mor de lo dispuesto en la propia Ley 26/2013, han de transformarse en fundaciones ordinarias.</w:t>
      </w:r>
    </w:p>
    <w:p w:rsidR="0085709A" w:rsidRDefault="0085709A" w:rsidP="0085709A">
      <w:pPr>
        <w:pStyle w:val="TextoNormal"/>
      </w:pPr>
    </w:p>
    <w:p w:rsidR="0085709A" w:rsidRDefault="0085709A" w:rsidP="0085709A">
      <w:pPr>
        <w:pStyle w:val="TextoNormal"/>
      </w:pPr>
      <w:r w:rsidRPr="0085709A">
        <w:rPr>
          <w:rStyle w:val="NumeroAFNegritaCaracter"/>
        </w:rPr>
        <w:t>5</w:t>
      </w:r>
      <w:r>
        <w:t>. La vulneración competencial que alega el Abogado del Estado se residencia esencialmente en los arts. 1 y disposición transitoria primera, de los cuales, poniéndolos en relación con las afirmaciones de la exposición de motivos, deduce que la norma se va a aplicar en realidad al proceso de transformación de las antiguas fundaciones de carácter especial en fundaciones bancarias.</w:t>
      </w:r>
    </w:p>
    <w:p w:rsidR="0085709A" w:rsidRDefault="0085709A" w:rsidP="0085709A">
      <w:pPr>
        <w:pStyle w:val="TextoNormal"/>
      </w:pPr>
    </w:p>
    <w:p w:rsidR="0085709A" w:rsidRDefault="0085709A" w:rsidP="0085709A">
      <w:pPr>
        <w:pStyle w:val="TextoNormal"/>
      </w:pPr>
      <w:r>
        <w:t xml:space="preserve">Así pues, en el examen de tal premisa que deviene cuestión esencial en el planteamiento del recurso, debemos determinar si el ámbito de aplicación de la norma incluye a las fundaciones bancarias de Navarra o se circunscribe a las fundaciones ordinarias. Para ello, hemos de tener en cuenta lo establecido en el art. 1 de la Ley Foral 2/2014, que al hacer referencia a “las fundaciones provenientes de la transformación de las cajas de ahorros de Navarra”, está implícitamente delimitando el ámbito de aplicación de la norma, lo que se confirma a la vista de la alusión del artículo 2 a las “fundaciones sometidas a las disposiciones de esta ley foral” (en un sentido similar los artículos 10 y 15, disposiciones adicionales segunda a séptima y transitorias tercera y cuarta). Es claro que la expresión utilizada por el art. 1 de la Ley Foral 2/2014 puede entenderse en su literalidad comprensiva de ambos tipos de fundaciones, bancarias y ordinarias, en cuanto que ambas pueden tener la condición de “provenientes de la transformación de las cajas de ahorros de Navarra”, dependiendo en realidad su calificación, como una u otra, de un elemento ajeno a la propia Ley Foral 2/2014, como es el cumplimiento de los requisitos de la Ley 26/2013 (artículo 32 y disposición adicional primera), que aquí no han sido puestos en cuestión. Ahora bien, como afirma la representación procesal del Parlamento de Navarra, también cabe entender —en una interpretación restrictiva del precepto (STC 148/2012, de 5 de junio, FJ 16)— que se refiere únicamente a aquellas fundaciones de carácter especial que, conforme a las regla de la Ley 26/2013, hayan de transformarse en fundaciones ordinarias. De este modo la Ley Foral 2/2014, entendida como reguladora de las fundaciones ordinarias procedentes de la transformación de cajas de ahorro, no podría considerarse inconstitucional por los motivos aducidos por el Abogado del Estado, centrados exclusivamente en la vulneración del régimen básico de las fundaciones bancarias, en el entendimiento de que la norma se aplica a las fundaciones de carácter especial que se conviertan en tales fundaciones bancarias. Sin embargo, que el designio de </w:t>
      </w:r>
      <w:r>
        <w:lastRenderedPageBreak/>
        <w:t>la Ley Foral 2/2014 es establecer normas de organización y funcionamiento de las antiguas fundaciones de carácter especial para el caso de que hayan de configurarse como fundaciones ordinarias, se confirma no sólo por lo afirmado en la exposición de motivos, sino también a la vista de lo fijado por la disposición transitoria primera, que remite el plazo de adaptación de estatutos de las antiguas fundaciones de carácter especial al establecido en la disposición adicional primera de la Ley 26/2013, para su transformación en fundación ordinaria. Aspecto éste último de regulación relativa a las fundaciones ordinarias cuyo ámbito de actuación es Navarra plenamente ajustado al orden constitucional de distribución de competencias atendiendo a las competencias de la Comunidad Foral (art. 44.20 LORAFNA) y a la doctrina constitucional en la materia (por todas, STC 98/2013, de 22 de abril, FJ 2).</w:t>
      </w:r>
    </w:p>
    <w:p w:rsidR="0085709A" w:rsidRDefault="0085709A" w:rsidP="0085709A">
      <w:pPr>
        <w:pStyle w:val="TextoNormal"/>
      </w:pPr>
    </w:p>
    <w:p w:rsidR="0085709A" w:rsidRDefault="0085709A" w:rsidP="0085709A">
      <w:pPr>
        <w:pStyle w:val="TextoNormal"/>
      </w:pPr>
      <w:r>
        <w:t>Finalmente, debemos tener presente también que “el juicio de constitucionalidad no lo es de técnica legislativa” (STC 120/2012, de 4 de junio, FJ 3, y las allí citadas) de modo que no se ocupa, en consecuencia, de cuestiones referidas a la eficacia, conveniencia o acierto técnico de la norma. Además, tratándose del legislador democrático, la presunción de constitucionalidad ocupa un lugar destacado en dicho juicio, de modo que “es doctrina reiterada de este Tribunal Constitucional que, en un proceso abstracto como resulta ser el recurso de inconstitucionalidad, es necesario apurar todas las posibilidades de interpretar los preceptos de conformidad con la Constitución y declarar tan sólo la derogación de aquellos cuya incompatibilidad con ella resulte indudable por ser imposible llevar a cabo dicha interpretación” (STC 101/2008, de 24 de julio, FJ 9, y doctrina allí citada). Ciertamente,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(por todas, SSTC 30/2011, de 16 de marzo, FJ 11; y 32/2011, de 17 de marzo de 2011, FJ 9).</w:t>
      </w:r>
    </w:p>
    <w:p w:rsidR="0085709A" w:rsidRDefault="0085709A" w:rsidP="0085709A">
      <w:pPr>
        <w:pStyle w:val="TextoNormal"/>
      </w:pPr>
    </w:p>
    <w:p w:rsidR="0085709A" w:rsidRDefault="0085709A" w:rsidP="0085709A">
      <w:pPr>
        <w:pStyle w:val="TextoNormal"/>
      </w:pPr>
      <w:r w:rsidRPr="0085709A">
        <w:rPr>
          <w:rStyle w:val="NumeroAFNegritaCaracter"/>
        </w:rPr>
        <w:t>6</w:t>
      </w:r>
      <w:r>
        <w:t>. En este caso, ya hemos comprobado que dicha operación interpretativa, que encuentra su anclaje en el principio de conservación de la norma atendiendo a la presunción de constitucionalidad de la que goza por resultar emanada de un legislador democrático, resulta posible, pues cabe realizar, sin forzamiento textual que lo impida, una interpretación del mismo que no viene impedida por la literalidad de la norma y es acorde con el contenido del mandato que incorpora, lo que permite descartar la vulneración competencial que se denuncia.</w:t>
      </w:r>
    </w:p>
    <w:p w:rsidR="0085709A" w:rsidRDefault="0085709A" w:rsidP="0085709A">
      <w:pPr>
        <w:pStyle w:val="TextoNormal"/>
      </w:pPr>
    </w:p>
    <w:p w:rsidR="0085709A" w:rsidRDefault="0085709A" w:rsidP="0085709A">
      <w:pPr>
        <w:pStyle w:val="TextoNormal"/>
      </w:pPr>
      <w:r>
        <w:t>Por tanto, entendida en el sentido antes indicado, la Ley Foral 2/2014 no incurre en infracción del orden constitucional de distribución de competencias, pues no regula las fundaciones bancarias sino que se refiere a las fundaciones ordinarias que, en aquellos casos en los que proceda conforme a la Ley 26/2013, provengan de la transformación de cajas de ahorros de Navarra y sean de competencia de la Comunidad Foral, conforme a la delimitación de competencias en materia de fundaciones. Esta interpretación de conformidad se llevará al fallo.</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que la Ley Foral 2/2014, de 17 de febrero, por la que se regulan los órganos rectores de determinadas fundaciones, no es contraria al orden constitucional de distribución de competencias siempre que se interprete en los términos señalados en los fundamentos jurídicos 5 y 6.</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8" w:name="SENTENCIA_2015_15"/>
      <w:r>
        <w:lastRenderedPageBreak/>
        <w:t>SENTENCIA 15/2015, de 5 de febrero de 2015</w:t>
      </w:r>
    </w:p>
    <w:bookmarkEnd w:id="18"/>
    <w:p w:rsidR="0085709A" w:rsidRDefault="0085709A" w:rsidP="0085709A">
      <w:pPr>
        <w:pStyle w:val="TtuloResolucin"/>
      </w:pPr>
      <w:r>
        <w:t>Pleno</w:t>
      </w:r>
    </w:p>
    <w:p w:rsidR="0085709A" w:rsidRDefault="0085709A" w:rsidP="0085709A">
      <w:pPr>
        <w:pStyle w:val="TtuloBOE"/>
      </w:pPr>
      <w:r>
        <w:t>(BOE núm. 52, de 2 de marzo de 2015)</w:t>
      </w:r>
    </w:p>
    <w:p w:rsidR="0085709A" w:rsidRDefault="0085709A" w:rsidP="0085709A">
      <w:pPr>
        <w:pStyle w:val="TextoNormalCentrado"/>
      </w:pPr>
      <w:r>
        <w:t>ECLI:ES:TC:2015:15</w:t>
      </w:r>
    </w:p>
    <w:p w:rsidR="0085709A" w:rsidRDefault="0085709A" w:rsidP="0085709A">
      <w:pPr>
        <w:pStyle w:val="TextoNormalCentrado"/>
      </w:pPr>
    </w:p>
    <w:p w:rsidR="0085709A" w:rsidRDefault="0085709A" w:rsidP="0085709A">
      <w:pPr>
        <w:pStyle w:val="SntesisDescriptiva"/>
      </w:pPr>
      <w:r>
        <w:t>Recurso de inconstitucionalidad 6408-2014. Promovido por más de cincuenta Senadores del Grupo Parlamentario Socialista contra la Ley 4/2014, de 21 de julio, de reforma de la Ley 5/1986, de 23 de diciembre, electoral de Castilla-La Mancha.</w:t>
      </w:r>
    </w:p>
    <w:p w:rsidR="0085709A" w:rsidRDefault="0085709A" w:rsidP="0085709A">
      <w:pPr>
        <w:pStyle w:val="SntesisDescriptiva"/>
      </w:pPr>
    </w:p>
    <w:p w:rsidR="0085709A" w:rsidRDefault="0085709A" w:rsidP="0085709A">
      <w:pPr>
        <w:pStyle w:val="SntesisAnaltica"/>
      </w:pPr>
      <w:r>
        <w:t>Autonomía política, principios pluralista y de interdicción de la arbitrariedad, derecho de acceso a los cargos públicos y sistema de representación proporcional: constitucionalidad de la ley autonómica que reduce la composición de las Cortes de Castilla-La Mancha (STC 197/2014).</w:t>
      </w:r>
    </w:p>
    <w:p w:rsidR="0085709A" w:rsidRDefault="0085709A" w:rsidP="0085709A">
      <w:pPr>
        <w:pStyle w:val="SntesisAnaltica"/>
      </w:pPr>
    </w:p>
    <w:p w:rsidR="0085709A" w:rsidRDefault="0085709A" w:rsidP="0085709A">
      <w:pPr>
        <w:pStyle w:val="Extracto"/>
      </w:pPr>
      <w:r>
        <w:t>1.</w:t>
      </w:r>
      <w:r>
        <w:tab/>
        <w:t>La Ley autonómica objeto de recurso no vulnera el principio constitucional de interdicción de la arbitrariedad (art. 9.3 CE), en tanto que el establecimiento de la variación del número de representantes de la Cámara de representación no favorece necesariamente a un determinado partido político [FJ 4].</w:t>
      </w:r>
    </w:p>
    <w:p w:rsidR="0085709A" w:rsidRDefault="0085709A" w:rsidP="0085709A">
      <w:pPr>
        <w:pStyle w:val="Extracto"/>
      </w:pPr>
    </w:p>
    <w:p w:rsidR="0085709A" w:rsidRDefault="0085709A" w:rsidP="0085709A">
      <w:pPr>
        <w:pStyle w:val="Extracto"/>
      </w:pPr>
      <w:r>
        <w:t>2.</w:t>
      </w:r>
      <w:r>
        <w:tab/>
        <w:t>El recurso no aporta indicio alguno en orden a un hipotético alcance discriminatorio de la Ley impugnada, a la que tampoco cabe tachar de ajena a toda explicación racional por haber fijado precisamente en 33 el número de diputados [FJ 4].</w:t>
      </w:r>
    </w:p>
    <w:p w:rsidR="0085709A" w:rsidRDefault="0085709A" w:rsidP="0085709A">
      <w:pPr>
        <w:pStyle w:val="Extracto"/>
      </w:pPr>
    </w:p>
    <w:p w:rsidR="0085709A" w:rsidRDefault="0085709A" w:rsidP="0085709A">
      <w:pPr>
        <w:pStyle w:val="Extracto"/>
      </w:pPr>
      <w:r>
        <w:t>3.</w:t>
      </w:r>
      <w:r>
        <w:tab/>
        <w:t>La Constitución no establece pautas de carácter directo y específico sobre el número de integrantes de los órganos legislativos de las Comunidades Autónomas, correspondiendo determinación al Estatuto de autonomía o las normas autonómicas que, en su caso, lo desarrollen [FJ 5].</w:t>
      </w:r>
    </w:p>
    <w:p w:rsidR="0085709A" w:rsidRDefault="0085709A" w:rsidP="0085709A">
      <w:pPr>
        <w:pStyle w:val="Extracto"/>
      </w:pPr>
    </w:p>
    <w:p w:rsidR="0085709A" w:rsidRDefault="0085709A" w:rsidP="0085709A">
      <w:pPr>
        <w:pStyle w:val="Extracto"/>
      </w:pPr>
      <w:r>
        <w:t>4.</w:t>
      </w:r>
      <w:r>
        <w:tab/>
        <w:t>El reproche de inconstitucionalidad formulado contra la Ley se alza a partir de un planteamiento preventivo o hipotético que es inidóneo y errado de lo que impone la exigencia constitucional de proporcionalidad para la elección de las asambleas legislativas de las Comunidades Autónomas (art. 152.1 CE) [FJ. 8].</w:t>
      </w:r>
    </w:p>
    <w:p w:rsidR="0085709A" w:rsidRDefault="0085709A" w:rsidP="0085709A">
      <w:pPr>
        <w:pStyle w:val="Extracto"/>
      </w:pPr>
    </w:p>
    <w:p w:rsidR="0085709A" w:rsidRDefault="0085709A" w:rsidP="0085709A">
      <w:pPr>
        <w:pStyle w:val="Extracto"/>
      </w:pPr>
      <w:r>
        <w:t>5.</w:t>
      </w:r>
      <w:r>
        <w:tab/>
        <w:t>El grado en que la proporcionalidad pueda llegar a contraerse a resultas de lo dispuesto en esta Ley no es algo que quepa enjuiciarse, en abstracto, por este Tribunal Constitucional (STC 197/2014) [FJ 8].</w:t>
      </w:r>
    </w:p>
    <w:p w:rsidR="0085709A" w:rsidRDefault="0085709A" w:rsidP="0085709A">
      <w:pPr>
        <w:pStyle w:val="Extracto"/>
      </w:pPr>
    </w:p>
    <w:p w:rsidR="0085709A" w:rsidRDefault="0085709A" w:rsidP="0085709A">
      <w:pPr>
        <w:pStyle w:val="Extracto"/>
      </w:pPr>
      <w:r>
        <w:t>6.</w:t>
      </w:r>
      <w:r>
        <w:tab/>
        <w:t>El nuevo sistema electoral de las Cortes de la Comunidad Autónoma no deviene inconstitucional, sin que sea tarea de este Tribunal pronunciarse sobre otras posibles opciones legislativas que hubieran podido adoptarse sobre la composición de la Cámara o el reparto de escaños entre las circunscripciones electorales (SSTC 225/1998, 19/2011) [FJ 8].</w:t>
      </w:r>
    </w:p>
    <w:p w:rsidR="0085709A" w:rsidRDefault="0085709A" w:rsidP="0085709A">
      <w:pPr>
        <w:pStyle w:val="Extracto"/>
      </w:pPr>
    </w:p>
    <w:p w:rsidR="0085709A" w:rsidRDefault="0085709A" w:rsidP="0085709A">
      <w:pPr>
        <w:pStyle w:val="Extracto"/>
      </w:pPr>
      <w:r>
        <w:t>7.</w:t>
      </w:r>
      <w:r>
        <w:tab/>
        <w:t>La denuncia de arbitrariedad requiere argumentación específica que aporte siquiera indicios, a confirmar o no en el juicio, de que la disposición con tal título impugnada encarna una discriminación normativa o carece en absoluto de explicación racional (STC 197/2014) [FJ 4].</w:t>
      </w:r>
    </w:p>
    <w:p w:rsidR="0085709A" w:rsidRDefault="0085709A" w:rsidP="0085709A">
      <w:pPr>
        <w:pStyle w:val="Extracto"/>
      </w:pPr>
    </w:p>
    <w:p w:rsidR="0085709A" w:rsidRDefault="0085709A" w:rsidP="0085709A">
      <w:pPr>
        <w:pStyle w:val="Extracto"/>
      </w:pPr>
      <w:r>
        <w:lastRenderedPageBreak/>
        <w:t>8.</w:t>
      </w:r>
      <w:r>
        <w:tab/>
        <w:t xml:space="preserve">La exigencia de proporcionalidad </w:t>
      </w:r>
      <w:r w:rsidRPr="0085709A">
        <w:rPr>
          <w:i/>
        </w:rPr>
        <w:t>ex</w:t>
      </w:r>
      <w:r>
        <w:t xml:space="preserve"> art. 152.1 CE pesa sobre las normas reguladoras de las elecciones a las asambleas legislativas de todas las Comunidades Autónomas, no sólo de aquellas que se constituyeron con arreglo al art. 151 de la propia norma fundamental (STC 197/2014) [FJ 6].</w:t>
      </w:r>
    </w:p>
    <w:p w:rsidR="0085709A" w:rsidRDefault="0085709A" w:rsidP="0085709A">
      <w:pPr>
        <w:pStyle w:val="Extracto"/>
      </w:pPr>
    </w:p>
    <w:p w:rsidR="0085709A" w:rsidRDefault="0085709A" w:rsidP="0085709A">
      <w:pPr>
        <w:pStyle w:val="Extracto"/>
      </w:pPr>
      <w:r>
        <w:t>9.</w:t>
      </w:r>
      <w:r>
        <w:tab/>
        <w:t>En general, toda reducción del número de representantes a elegir en una circunscripción electoral no favorecerá, más bien al contrario, la mayor proporcionalidad del sistema electoral de que se trate (STC 197/2014) [FJ 8].</w:t>
      </w:r>
    </w:p>
    <w:p w:rsidR="0085709A" w:rsidRDefault="0085709A" w:rsidP="0085709A">
      <w:pPr>
        <w:pStyle w:val="Extracto"/>
      </w:pPr>
    </w:p>
    <w:p w:rsidR="0085709A" w:rsidRDefault="0085709A" w:rsidP="0085709A">
      <w:pPr>
        <w:pStyle w:val="Extracto"/>
      </w:pPr>
      <w:r>
        <w:t>10.</w:t>
      </w:r>
      <w:r>
        <w:tab/>
        <w:t>La menor proporcionalidad asociada a la disminución del número de escaños, no es el único efecto jurídico determinante de asignación de diputados a cada circunscripción, siéndolo también el número de candidaturas presentadas y el grado de concentración o dispersión de los electores (STC 197/2014) [FJ 8].</w:t>
      </w:r>
    </w:p>
    <w:p w:rsidR="0085709A" w:rsidRDefault="0085709A" w:rsidP="0085709A">
      <w:pPr>
        <w:pStyle w:val="Extracto"/>
      </w:pPr>
    </w:p>
    <w:p w:rsidR="0085709A" w:rsidRDefault="0085709A" w:rsidP="0085709A">
      <w:pPr>
        <w:pStyle w:val="Extracto"/>
      </w:pPr>
      <w:r>
        <w:t>11.</w:t>
      </w:r>
      <w:r>
        <w:tab/>
        <w:t>Por barrera electoral o cláusula de exclusión se ha de entender la fijación normativa de un determinado porcentaje de sufragios para acceder a la fase de adjudicación de escaños (STC 197/2014) [FJ 8].</w:t>
      </w:r>
    </w:p>
    <w:p w:rsidR="0085709A" w:rsidRDefault="0085709A" w:rsidP="0085709A">
      <w:pPr>
        <w:pStyle w:val="Extracto"/>
      </w:pPr>
    </w:p>
    <w:p w:rsidR="0085709A" w:rsidRDefault="0085709A" w:rsidP="0085709A">
      <w:pPr>
        <w:pStyle w:val="Extracto"/>
      </w:pPr>
      <w:r>
        <w:t>12.</w:t>
      </w:r>
      <w:r>
        <w:tab/>
        <w:t>Las exigencias constitucionales sobre proporcionalidad han de ser vistas como imperativos de tendencia que orientan, pero no conforman, la libertad de configuración del legislador (ATC 240/2008) [FJ 8].</w:t>
      </w:r>
    </w:p>
    <w:p w:rsidR="0085709A" w:rsidRDefault="0085709A" w:rsidP="0085709A">
      <w:pPr>
        <w:pStyle w:val="Extracto"/>
      </w:pPr>
    </w:p>
    <w:p w:rsidR="0085709A" w:rsidRDefault="0085709A" w:rsidP="0085709A">
      <w:pPr>
        <w:pStyle w:val="Extracto"/>
      </w:pPr>
      <w:r>
        <w:t>13.</w:t>
      </w:r>
      <w:r>
        <w:tab/>
        <w:t>Las reglas constitucionales referidas a la proporcionalidad no pueden interpretarse como imperativos de resultados, sino como mandatos al legislador que se cifran en la interdicción de la aplicación pura y simple de un criterio mayoritario o de mínima corrección (STC 197/2014) [FJ 8].</w:t>
      </w:r>
    </w:p>
    <w:p w:rsidR="0085709A" w:rsidRDefault="0085709A" w:rsidP="0085709A">
      <w:pPr>
        <w:pStyle w:val="Extracto"/>
      </w:pPr>
    </w:p>
    <w:p w:rsidR="0085709A" w:rsidRDefault="0085709A" w:rsidP="0085709A">
      <w:pPr>
        <w:pStyle w:val="Extracto"/>
      </w:pPr>
      <w:r>
        <w:t>14.</w:t>
      </w:r>
      <w:r>
        <w:tab/>
        <w:t>Las reglas constitucionales referidas a la proporcionalidad conllevan la necesaria conformación de las circunscripciones electorales, sin cláusulas de exclusión que puedan resultar desmedidas o exorbitantes para la igualdad de oportunidades entre candidaturas (STC 197/2014) [FJ 8].</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inconstitucionalidad núm. 6408-2014, promovido por más de cincuenta Senadores del Grupo Parlamentario Socialista contra la Ley 4/2014, de 21 de julio, de reforma de la Ley 5/1986, de 23 de diciembre, Electoral de Castilla-La Mancha. Han comparecido y formulado alegaciones el Abogado del Estado, el Letrado de las Cortes de Castilla-La Mancha y la Directora de los Servicios Jurídicos de la Junta de la Comunidad de Castilla-La Mancha, todos ellos en la representación que legalmente ostentan.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de 27 de octubre de 2014, presentado en el Registro General de este Tribunal en la misma fecha, doña Virginia Aragón Segura, Procuradora de los Tribunales y comisionada de más de cincuenta Senadores del Grupo Parlamentario Socialista, interpuso recurso de inconstitucionalidad contra la Ley 4/2014, de 21 de julio, de reforma de la Ley 5/1986, de 23 de diciembre, electoral de Castilla-La Mancha.</w:t>
      </w:r>
    </w:p>
    <w:p w:rsidR="0085709A" w:rsidRDefault="0085709A" w:rsidP="0085709A">
      <w:pPr>
        <w:pStyle w:val="TextoNormal"/>
      </w:pPr>
    </w:p>
    <w:p w:rsidR="0085709A" w:rsidRDefault="0085709A" w:rsidP="0085709A">
      <w:pPr>
        <w:pStyle w:val="TextoNormal"/>
      </w:pPr>
      <w:r w:rsidRPr="0085709A">
        <w:rPr>
          <w:rStyle w:val="NumeroAFNegritaCaracter"/>
        </w:rPr>
        <w:t>2</w:t>
      </w:r>
      <w:r>
        <w:t>. El recurso se fundamenta en las consideraciones y motivos que a continuación se resumen.</w:t>
      </w:r>
    </w:p>
    <w:p w:rsidR="0085709A" w:rsidRDefault="0085709A" w:rsidP="0085709A">
      <w:pPr>
        <w:pStyle w:val="TextoNormal"/>
      </w:pPr>
    </w:p>
    <w:p w:rsidR="0085709A" w:rsidRDefault="0085709A" w:rsidP="0085709A">
      <w:pPr>
        <w:pStyle w:val="TextoNormal"/>
      </w:pPr>
      <w:r>
        <w:t>a) La Ley 4/2014, objeto de impugnación, dedica su único artículo a modificar el art. 16 de la Ley 5/1986, de 23 de diciembre, electoral de Castilla-La Mancha, adaptando el sistema electoral autonómico a la modificación previamente realizada en el art. 10.2 del Estatuto de Autonomía de Castilla-La Mancha (en lo sucesivo, EACM) por la Ley Orgánica 2/2014, de 21 de mayo, que ha sido objeto del recurso de inconstitucionalidad núm. 4791-2014. Dicha reforma estatutaria rebaja el número mínimo y máximo de diputados integrantes de las Cortes de la Comunidad Autónoma, a cuyo efecto se fija una nueva horquilla de 25 a 35 diputados, que sustituye a la anterior, de 47 a 59 diputados; asimismo suprime la anterior asignación, que el art. 10 EACM hacía, de un número mínimo de diputados por cada una de las provincias que integran la Comunidad Autónoma. Desarrollando esta reforma estatutaria, la Ley 4/2014 modifica el art. 16 de la Ley electoral de Castilla-La Mancha configurando un parlamento autonómico con 33 diputados.</w:t>
      </w:r>
    </w:p>
    <w:p w:rsidR="0085709A" w:rsidRDefault="0085709A" w:rsidP="0085709A">
      <w:pPr>
        <w:pStyle w:val="TextoNormal"/>
      </w:pPr>
    </w:p>
    <w:p w:rsidR="0085709A" w:rsidRDefault="0085709A" w:rsidP="0085709A">
      <w:pPr>
        <w:pStyle w:val="TextoNormal"/>
      </w:pPr>
      <w:r>
        <w:t>Tras resumir en el apartado inicial de la demanda los motivos de impugnación del recurso que después se desarrollan, se exponen por los recurrentes unos “antecedentes de hecho” sobre la elaboración y aprobación de la Ley 4/2014, así como sobre las sucesivas modificaciones de la Ley 5/1986, de 23 de diciembre, electoral de Castilla-La Mancha. Las reformas que a lo largo del tiempo ha experimentado la determinación estatutaria o legislativa de la composición de las Cortes de Castilla-La Mancha muestran —hasta la reforma legal ahora impugnada— un progresivo aumento del número de diputados; desde los 47 que fijó la Ley electoral 5/1986, en su redacción originaria (el Estatuto de Autonomía de Castilla-La Mancha —EACM— abría entonces un margen de 40 a 50 representantes), hasta los 53 que dispuso la reforma en 2012 de la misma Ley electoral, pasando por los 49 diputados que integraron las Cortes conforme a la reforma, en 2007, de la misma Ley 5/1986. La Ley impugnada modifica el art. 16 de la Ley electoral de Castilla-La Mancha, estableciendo una drás</w:t>
      </w:r>
      <w:r>
        <w:lastRenderedPageBreak/>
        <w:t>tica disminución de escaños, de suerte que las Cortes de Castilla-La Mancha quedan formadas por 33 diputados, partiendo de una asignación fija de 3 diputados por provincia y distribuyendo los 18 diputados restantes a elegir entre las provincias en función de una cuota de reparto que tiene en cuenta la población provincial y que debe concretarse por Decreto en el momento de convocatoria de las elecciones autonómicas.</w:t>
      </w:r>
    </w:p>
    <w:p w:rsidR="0085709A" w:rsidRDefault="0085709A" w:rsidP="0085709A">
      <w:pPr>
        <w:pStyle w:val="TextoNormal"/>
      </w:pPr>
    </w:p>
    <w:p w:rsidR="0085709A" w:rsidRDefault="0085709A" w:rsidP="0085709A">
      <w:pPr>
        <w:pStyle w:val="TextoNormal"/>
      </w:pPr>
      <w:r>
        <w:t>Atendiendo a estas reglas y teniendo en cuenta los datos del último censo de población de derecho en Castilla-La Mancha, los recurrentes calculan el número de diputados que corresponderían a cada una de las cinco provincias de esta Comunidad Autónoma según la nueva ley electoral, concluyendo que la reforma electoral impugnada provoca la desaparición de la proporcionalidad y configura un sistema de tipo mayoritario sin corrección alguna, que hace prácticamente imposible que las fuerzas minoritarias tengan voz en el parlamento autonómico y que tiene el objetivo de que el Partido Popular, actual partido mayoritario en las Cortes de la Comunidad Autónoma e impulsor de la reforma, obtenga el mayor rendimiento electoral.</w:t>
      </w:r>
    </w:p>
    <w:p w:rsidR="0085709A" w:rsidRDefault="0085709A" w:rsidP="0085709A">
      <w:pPr>
        <w:pStyle w:val="TextoNormal"/>
      </w:pPr>
    </w:p>
    <w:p w:rsidR="0085709A" w:rsidRDefault="0085709A" w:rsidP="0085709A">
      <w:pPr>
        <w:pStyle w:val="TextoNormal"/>
      </w:pPr>
      <w:r>
        <w:t>Para apoyar su afirmación, realizan los recurrentes una simulación, cifrada en tablas, de posibles resultados electorales a partir de los obtenidos en las elecciones autonómicas anteriores (desde 1993) y a la vista de las previsiones con las que cuentan, tras de lo cual aprecian que, en el “escenario electoral” de 33 diputados, las provincias de Cuenca, Guadalajara y Toledo (en las que el Partido Popular ha conseguido y espera conseguir una victoria electoral) tendrían número impar de escaños, lo que beneficiaría, a la hora de su atribución, a las candidaturas de dicho partido; en tanto que contarían con un número par de escaños las demás provincias (Albacete y Ciudad Real), en las que el citado partido no esperaría mejorar sus resultados. A ello añaden otra simulación, igualmente cifrada en tablas, partiendo de los votos emitidos en las elecciones autonómicas del 2011, sobre los elevados umbrales para la obtención de un escaño que la nueva configuración electoral va a exigir, según los recurrentes, lo que supone erigir insalvables “murallas” electorales, haciendo imposible la representación parlamentaria de las fuerzas políticas minoritarias.</w:t>
      </w:r>
    </w:p>
    <w:p w:rsidR="0085709A" w:rsidRDefault="0085709A" w:rsidP="0085709A">
      <w:pPr>
        <w:pStyle w:val="TextoNormal"/>
      </w:pPr>
    </w:p>
    <w:p w:rsidR="0085709A" w:rsidRDefault="0085709A" w:rsidP="0085709A">
      <w:pPr>
        <w:pStyle w:val="TextoNormal"/>
      </w:pPr>
      <w:r>
        <w:t>Estiman por todo ello los recurrentes que la reforma electoral que impugnan carece de una justificación razonable y legitimadora y responde, más bien, a un “motivo oculto” que nada tiene que ver con las razones de “austeridad” y “crisis institucional” que se aducen en la exposición de motivos de la Ley 4/2014. En menos de un año —se observa— el Partido Popular de Castilla-La Mancha ha pasado de promover la reforma electoral para aumentar el número de diputados (modificación de la Ley electoral en 2012), a fin de cohonestar la representación con el crecimiento de la población, a impulsar una reforma de signo opuesto; incoherencia —se dice— que parece encerrar un actuar arbitrario y favorecer exclusivamente las previsiones de voto del actual partido mayoritario en las Cortes de la Comunidad Autónoma. Se añade que esta reforma —adoptada “sin consenso alguno”— quiebra la base racional de los sistemas electorales proporcionales (a mayor población, mayor número de representantes), no respeta la “Guía de buenas prácticas electorales de la Comisión de Venecia” y obedece sólo a objetivos unilaterales de oportunidad política.</w:t>
      </w:r>
    </w:p>
    <w:p w:rsidR="0085709A" w:rsidRDefault="0085709A" w:rsidP="0085709A">
      <w:pPr>
        <w:pStyle w:val="TextoNormal"/>
      </w:pPr>
    </w:p>
    <w:p w:rsidR="0085709A" w:rsidRDefault="0085709A" w:rsidP="0085709A">
      <w:pPr>
        <w:pStyle w:val="TextoNormal"/>
      </w:pPr>
      <w:r>
        <w:t>A partir de las consideraciones anteriores, la demanda desarrolla sus motivos de impugnación, coincidentes con los planteados en el recurso de inconstitucionalidad núm. 4791-2014, interpuesto contra la Ley Orgánica 2/2014, de 21 de mayo, de reforma del art. 10.2 EACM.</w:t>
      </w:r>
    </w:p>
    <w:p w:rsidR="0085709A" w:rsidRDefault="0085709A" w:rsidP="0085709A">
      <w:pPr>
        <w:pStyle w:val="TextoNormal"/>
      </w:pPr>
    </w:p>
    <w:p w:rsidR="0085709A" w:rsidRDefault="0085709A" w:rsidP="0085709A">
      <w:pPr>
        <w:pStyle w:val="TextoNormal"/>
      </w:pPr>
      <w:r>
        <w:t>b) Como primer motivo de inconstitucionalidad se aduce que la Ley objeto del presente recurso habría de devenir inconstitucional si fuera estimado el recurso de inconstitucionalidad núm. 4791-2014, interpuesto contra la Ley Orgánica 2/2014, de 21 de mayo, de reforma del art. 10.2 EACM, dada la conexión entre ambas leyes; toda vez que la Ley 4/2014, en desarrollo de la referida reforma estatutaria, modifica el art. 16 de la Ley electoral de Castilla-La Mancha configurando un Parlamento autonómico con 33 diputados.</w:t>
      </w:r>
    </w:p>
    <w:p w:rsidR="0085709A" w:rsidRDefault="0085709A" w:rsidP="0085709A">
      <w:pPr>
        <w:pStyle w:val="TextoNormal"/>
      </w:pPr>
    </w:p>
    <w:p w:rsidR="0085709A" w:rsidRDefault="0085709A" w:rsidP="0085709A">
      <w:pPr>
        <w:pStyle w:val="TextoNormal"/>
      </w:pPr>
      <w:r>
        <w:t>c) El segundo motivo de inconstitucionalidad vendría dado por el hecho de que la nueva horquilla de diputados infringiría el art. 1.1 CE, en relación con el art. 14 CE, al vaciar de contenido, más allá de lo razonable, los principios de pluralismo político y funcionamiento democrático, así como el principio de igualdad.</w:t>
      </w:r>
    </w:p>
    <w:p w:rsidR="0085709A" w:rsidRDefault="0085709A" w:rsidP="0085709A">
      <w:pPr>
        <w:pStyle w:val="TextoNormal"/>
      </w:pPr>
    </w:p>
    <w:p w:rsidR="0085709A" w:rsidRDefault="0085709A" w:rsidP="0085709A">
      <w:pPr>
        <w:pStyle w:val="TextoNormal"/>
      </w:pPr>
      <w:r>
        <w:t>Señala la demanda que la composición no proporcional de un órgano representativo resulta constitucionalmente inaceptable y que la Ley impugnada, al establecer una tan drástica reducción del número de escaños, tiene como consecuencia el establecimiento, aunque no se haga de manera expresa, de una “barrera electoral” que reduciría notablemente el número de partidos con representación parlamentaria. En efecto, un número de escaños tan bajo como el propuesto por la nueva normativa supone que la cantidad de votos necesaria para obtener representación aumente exponencialmente hasta niveles que impidan la entrada en el parlamento autonómico de fuerzas políticas minoritarias; además no representa proporcionalmente a la población, siendo de tener en cuenta que la exigencia constitucional de proporcionalidad es garantía objetiva del ordenamiento electoral, pero también se proyecta sobre el derecho a acceder en condiciones de igualdad a los cargos públicos, derecho que sólo podrá considerarse realizado en plenitud si el sistema electoral respeta el criterio de la proporcionalidad. Ahora bien, una reducción del número de escaños como la realizada por la Ley 4/2014 supone el establecimiento de una barrera electoral excesiva y por ello inconstitucional en cuanto impide la presencia de fuerzas políticas minoritarias en el Parlamento autonómico (se citan diversos pronunciamientos del Tribunal Constitucional Federal de Alemania y del Tribunal Europeo de Derechos Humanos en relación con el problema de las barreras electorales).</w:t>
      </w:r>
    </w:p>
    <w:p w:rsidR="0085709A" w:rsidRDefault="0085709A" w:rsidP="0085709A">
      <w:pPr>
        <w:pStyle w:val="TextoNormal"/>
      </w:pPr>
    </w:p>
    <w:p w:rsidR="0085709A" w:rsidRDefault="0085709A" w:rsidP="0085709A">
      <w:pPr>
        <w:pStyle w:val="TextoNormal"/>
      </w:pPr>
      <w:r>
        <w:t>d) Como tercer motivo de inconstitucionalidad se aduce que la Ley impugnada vulnera el sistema de representación proporcional (arts. 152.1 CE y 10.2 EACM) para la elección de la Asamblea de la Comunidad Autónoma.</w:t>
      </w:r>
    </w:p>
    <w:p w:rsidR="0085709A" w:rsidRDefault="0085709A" w:rsidP="0085709A">
      <w:pPr>
        <w:pStyle w:val="TextoNormal"/>
      </w:pPr>
    </w:p>
    <w:p w:rsidR="0085709A" w:rsidRDefault="0085709A" w:rsidP="0085709A">
      <w:pPr>
        <w:pStyle w:val="TextoNormal"/>
      </w:pPr>
      <w:r>
        <w:t>Con cita de diferentes fuentes doctrinales, señala la demanda a estos efectos que el grado de proporcionalidad de un sistema electoral disminuye cuanto menor es el número de escaños y la magnitud de las circunscripciones, cuanto menos proporcionalmente a la población se reparten los escaños en las diferentes circunscripciones, cuanto menos proporcional es la fórmula electoral de reparto, cuanto más importantes son las barreras electorales y, en fin, cuando se prevén primas de mayoría. Señala también, con cita de jurisprudencia de este Tribunal Constitucional y de la “Guía de buenas prácticas electorales de la Comisión de Venecia”, que el sistema electoral en Castilla-La Mancha, tras la Ley 4/2014, no supera el test de constitucionalidad, conforme al cual el sistema mismo no puede generar discriminación ni hacer un uso expansivo de las barreras electorales, debiendo, más bien, perseguir objetivos legítimos, con justificación objetiva y razonable y evitándose el principio mayoritario o de mínima corrección del mismo.</w:t>
      </w:r>
    </w:p>
    <w:p w:rsidR="0085709A" w:rsidRDefault="0085709A" w:rsidP="0085709A">
      <w:pPr>
        <w:pStyle w:val="TextoNormal"/>
      </w:pPr>
    </w:p>
    <w:p w:rsidR="0085709A" w:rsidRDefault="0085709A" w:rsidP="0085709A">
      <w:pPr>
        <w:pStyle w:val="TextoNormal"/>
      </w:pPr>
      <w:r>
        <w:t>Dicho esto, la demanda se remite a las proyecciones de resultados electorales ya expuestas y advierte de que tales plausibles resultados, bajo una horquilla de 33 diputados, ponen de relieve que el nuevo modelo electoral para Castilla-La Mancha excluye, en la práctica, del Parlamento autonómico a la tercera fuerza política y, mediante la asignación de escaños pares o impares, permite obtener primas de resultado en las provincias en las que, según los precedentes, se piensa razonablemente que va a lograrse la victoria electoral. La reforma impugnada, en síntesis, disminuye los escaños y eleva en la práctica a cifras extraordinarias los porcentajes o umbrales de obtención de escaño. Todo ello supone una objetiva e insalvable dificultad para acceder a la representación parlamentaria, en especial para aquellos partidos que puedan establecerse como tercera fuerza política, con la consiguiente abolición del sistema proporcional. La reforma, por lo demás, no persigue objetivos legítimos, no siendo creíble el de la “austeridad” invocada en la exposición de motivos de la Ley 4/2014.</w:t>
      </w:r>
    </w:p>
    <w:p w:rsidR="0085709A" w:rsidRDefault="0085709A" w:rsidP="0085709A">
      <w:pPr>
        <w:pStyle w:val="TextoNormal"/>
      </w:pPr>
    </w:p>
    <w:p w:rsidR="0085709A" w:rsidRDefault="0085709A" w:rsidP="0085709A">
      <w:pPr>
        <w:pStyle w:val="TextoNormal"/>
      </w:pPr>
      <w:r>
        <w:t>e) Como motivo cuarto de impugnación, se afirma que la Ley 4/2014 vulnera el art. 23 CE, en cuanto a la igualdad en el acceso a funciones y cargos públicos.</w:t>
      </w:r>
    </w:p>
    <w:p w:rsidR="0085709A" w:rsidRDefault="0085709A" w:rsidP="0085709A">
      <w:pPr>
        <w:pStyle w:val="TextoNormal"/>
      </w:pPr>
    </w:p>
    <w:p w:rsidR="0085709A" w:rsidRDefault="0085709A" w:rsidP="0085709A">
      <w:pPr>
        <w:pStyle w:val="TextoNormal"/>
      </w:pPr>
      <w:r>
        <w:t>Tras señalar que la fijación de 33 diputados implica la imposición de una barrera electoral, entendida como una limitación para los partidos a la hora de asignación de escaños, y que en Derecho comparado se admite la imposición de barreras electorales, siempre y cuando tengan justificación objetiva y razonable, se aduce que la Ley impugnada es contraria a la Constitución porque la barrera electoral que supone la reducción del número de escaños no posee tal justificación. En efecto, aunque el sistema sea teóricamente proporcional, será muy difícil lograrla cuando el número de puestos a cubrir sea muy reducido. La reducción drástica de escaños que establece la Ley 4/2014 vulnera el art. 23.2 CE porque el límite a partir del cual se puede acceder al cargo representativo es desmesurado; sin que las razones de “austeridad” invocadas en la exposición de motivos otorguen a este supuesto apariencia de razonabilidad y objetividad.</w:t>
      </w:r>
    </w:p>
    <w:p w:rsidR="0085709A" w:rsidRDefault="0085709A" w:rsidP="0085709A">
      <w:pPr>
        <w:pStyle w:val="TextoNormal"/>
      </w:pPr>
    </w:p>
    <w:p w:rsidR="0085709A" w:rsidRDefault="0085709A" w:rsidP="0085709A">
      <w:pPr>
        <w:pStyle w:val="TextoNormal"/>
      </w:pPr>
      <w:r>
        <w:t>f) Se aduce como quinto motivo de impugnación la infracción del principio de interdicción de la arbitrariedad de los poderes públicos (art. 9.3 CE).</w:t>
      </w:r>
    </w:p>
    <w:p w:rsidR="0085709A" w:rsidRDefault="0085709A" w:rsidP="0085709A">
      <w:pPr>
        <w:pStyle w:val="TextoNormal"/>
      </w:pPr>
    </w:p>
    <w:p w:rsidR="0085709A" w:rsidRDefault="0085709A" w:rsidP="0085709A">
      <w:pPr>
        <w:pStyle w:val="TextoNormal"/>
      </w:pPr>
      <w:r>
        <w:t>Tras recordar la jurisprudencia constitucional sobre la interdicción de la arbitrariedad y su proyección sobre el legislador, señala la demanda que la reducción de parlamentarios que establece la Ley impugnada no supera un juicio de razonabilidad; no responde a las pretendidas razones de “austeridad” y “crisis institucional” que se invocan en la exposición de motivos, sino al propósito de consolidar en el poder al grupo político autor de la reforma legal impugnada. Esto supone un actuar arbitrario del legislador, en la medida en que sirve a fines u objetivos espurios. Por tanto, la Ley cuestionada no es razonable, en la medida en que no sirve a un objetivo legítimo, sino a uno particular, excluyente, que busca dar lugar a espacios o posiciones privilegiados. La reducción del número de parlamentarios, además, entraría en contradicción con parámetros racionales sobre representación parlamentaria. Todo ello conllevaría una manipulación del sistema electoral totalmente arbitraria.</w:t>
      </w:r>
    </w:p>
    <w:p w:rsidR="0085709A" w:rsidRDefault="0085709A" w:rsidP="0085709A">
      <w:pPr>
        <w:pStyle w:val="TextoNormal"/>
      </w:pPr>
    </w:p>
    <w:p w:rsidR="0085709A" w:rsidRDefault="0085709A" w:rsidP="0085709A">
      <w:pPr>
        <w:pStyle w:val="TextoNormal"/>
      </w:pPr>
      <w:r>
        <w:t>g) Como motivo sexto de impugnación, se afirma que la Ley 4/2014 vacía de contenido la autonomía política de la Comunidad Autónoma de Castilla-La Mancha, contraviniendo así los arts. 2, 137 y 153 a) CE.</w:t>
      </w:r>
    </w:p>
    <w:p w:rsidR="0085709A" w:rsidRDefault="0085709A" w:rsidP="0085709A">
      <w:pPr>
        <w:pStyle w:val="TextoNormal"/>
      </w:pPr>
    </w:p>
    <w:p w:rsidR="0085709A" w:rsidRDefault="0085709A" w:rsidP="0085709A">
      <w:pPr>
        <w:pStyle w:val="TextoNormal"/>
      </w:pPr>
      <w:r>
        <w:lastRenderedPageBreak/>
        <w:t>Para los recurrentes, la reforma legal impugnada viene a convertir las Cortes de Castilla-La Mancha, en cuanto a su número de integrantes, en un órgano de tipo administrativo, al modo de una diputación provincial (la de Toledo —se cita como ejemplo— cuenta con 27 diputados provinciales), lo que quedó rechazado en los debates previos a la aprobación del Estatuto de Autonomía de Castilla-La Mancha. Ello conlleva un vaciamiento de la autonomía política de Castilla-La Mancha, en la medida en que se sustrae a sus Cortes la verdadera capacidad de hacer leyes como producto de la voluntad general. La reforma —se añade— parece plasmar una desconfianza esencial en el sistema autonómico y muestra su preferencia por un modelo en el que las Comunidades Autónomas no sean más que entes de tipo administrativo.</w:t>
      </w:r>
    </w:p>
    <w:p w:rsidR="0085709A" w:rsidRDefault="0085709A" w:rsidP="0085709A">
      <w:pPr>
        <w:pStyle w:val="TextoNormal"/>
      </w:pPr>
    </w:p>
    <w:p w:rsidR="0085709A" w:rsidRDefault="0085709A" w:rsidP="0085709A">
      <w:pPr>
        <w:pStyle w:val="TextoNormal"/>
      </w:pPr>
      <w:r>
        <w:t>h) A modo de conclusión, se apela a la necesidad de reforzar, trascurridos más de treinta años de aceptable gobernabilidad autonómica, el principio de representación proporcional en la elección de las Asambleas de las Comunidades Autónomas, invitando a este Tribunal a acotar en consecuencia la discrecionalidad de los legisladores autonómicos, para que no puedan, apoyándose en sus mayorías políticas coyunturales y mediante la manipulación de la legislación electoral, decidir por adelantado ventajas ciertas sobre su oponente más cualificado y eliminar fuerzas políticas minoritarias.</w:t>
      </w:r>
    </w:p>
    <w:p w:rsidR="0085709A" w:rsidRDefault="0085709A" w:rsidP="0085709A">
      <w:pPr>
        <w:pStyle w:val="TextoNormal"/>
      </w:pPr>
    </w:p>
    <w:p w:rsidR="0085709A" w:rsidRDefault="0085709A" w:rsidP="0085709A">
      <w:pPr>
        <w:pStyle w:val="TextoNormal"/>
      </w:pPr>
      <w:r>
        <w:t>Por todo ello suplican los recurrentes que se dice Sentencia en la que, con estimación del recurso, se declare la inconstitucionalidad de la Ley impugnada. Por otrosí solicitan, en primer lugar, la suspensión cautelar de la vigencia y efectos de la Ley impugnada; asimismo piden la tramitación urgente de este recurso de inconstitucionalidad, ante la proximidad de elecciones a las Cortes de Castilla-La Mancha; interesan también que se reclame el expediente de elaboración de la Ley impugnada, los estudios que hayan podido realizarse para dar sustento a lo que en su preámbulo se dice y los correspondientes diarios de sesiones de las Cortes de Castilla-La Mancha; en cuarto otrosí se interesa el recibimiento a prueba; finalmente se solicita la realización de vista oral para conclusiones.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providencia del Pleno de 18 de noviembre de 2014 se decidió admitir a trámite el recurso de inconstitucionalidad, dar traslado de la demanda y documentos presentados al Congreso de los Diputados y al Senado, por conducto de sus Presidentes, y al Gobierno, a través del Ministerio de Justicia, así como al Gobierno de la Junta de Comunidades de Castilla-La Mancha y a las Cortes de Castilla-La Mancha, por conducto de sus Presidentes, al objeto de que en el plazo de quince días pudieran personarse en el proceso y formular alegaciones. Se decidió asimismo, en cuanto a la solicitud de suspensión cautelar formulada en el primer otrosí del escrito de interposición, oír a las partes antes mencionadas para que, en el plazo de quince días, pudieran alegar lo que estimaren oportuno. Se acordó, por último, publicar la incoación del recurso en el “Boletín Oficial del Estado” y en el “Diario Oficial de Castilla-La Mancha”.</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del Pleno de 27 de noviembre de 2014 se tuvo por personado al Abogado del Estado en la representación que ostenta y se acordó prorrogar, a su petición, en ocho días más el plazo concedido por la providencia de 18 de noviembre de 2014.</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Mediante escrito registrado en este Tribunal el 28 de noviembre de 2014, el Presidente del Congreso de los Diputados comunicó el acuerdo de la Cámara de personarse en este </w:t>
      </w:r>
      <w:r>
        <w:lastRenderedPageBreak/>
        <w:t>procedimiento, ofreciendo su colaboración a los efectos del art. 88.1 de la Ley Orgánica del Tribunal Constitucional (LOTC). Por escrito registrado el 5 de diciembre de 2014, el Presidente del Senado comunicó el acuerdo de la Cámara de personarse en este procedimiento,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19 de diciembre de 2014, registrado en este Tribunal en la misma fecha, la Directora de los servicios jurídicos de la Junta de Comunidades de Castilla-La Mancha se personó en el proceso y presentó alegaciones en el recurso de inconstitucionalidad, que pueden resumirse como sigue.</w:t>
      </w:r>
    </w:p>
    <w:p w:rsidR="0085709A" w:rsidRDefault="0085709A" w:rsidP="0085709A">
      <w:pPr>
        <w:pStyle w:val="TextoNormal"/>
      </w:pPr>
    </w:p>
    <w:p w:rsidR="0085709A" w:rsidRDefault="0085709A" w:rsidP="0085709A">
      <w:pPr>
        <w:pStyle w:val="TextoNormal"/>
      </w:pPr>
      <w:r>
        <w:t>En cuanto al objeto de este recurso de inconstitucionalidad, se llama la atención, en primer lugar, sobre su estrecha conexión con el recurso de inconstitucionalidad núm. 4791-2014, interpuesto contra la Ley Orgánica 2/2014, de reforma del art. 10.2 EACM, que la Ley 4/2014, de reforma de la Ley electoral de Castilla-La Mancha, desarrolla y que fue desestimado por la reciente STC 197/2014, de 4 de diciembre; a sus razonamientos bastaría remitirse (así como a los argumentos de oposición aducidos a aquel recurso) para fundamentar la desestimación del presente recurso, por cuanto el mismo viene a reproducir para la Ley 4/2014 los argumentos ya expuestos por los recurrentes contra la Ley Orgánica 2/2014.</w:t>
      </w:r>
    </w:p>
    <w:p w:rsidR="0085709A" w:rsidRDefault="0085709A" w:rsidP="0085709A">
      <w:pPr>
        <w:pStyle w:val="TextoNormal"/>
      </w:pPr>
    </w:p>
    <w:p w:rsidR="0085709A" w:rsidRDefault="0085709A" w:rsidP="0085709A">
      <w:pPr>
        <w:pStyle w:val="TextoNormal"/>
      </w:pPr>
      <w:r>
        <w:t>En coherencia con ello, la Directora de los servicios jurídicos de la Junta de Comunidades de Castilla-La Mancha, expone la redacción original del Estatuto de Autonomía de Castilla-La Mancha y sus sucesivas reformas hasta llegar a la Ley Orgánica 2/2014, que desarrolla la Ley 4/2014, ahora impugnada, estableciendo que las Cortes de Castilla-La Mancha están formadas por 33 diputados (esto es, dentro de la horquilla fijada por el art. 10.2 EACM de un máximo de 35 y un mínimo de 25). Resalta que esta última reforma legal, en contra lo que los recurrentes afirman, no introduce ningún umbral o barrera electoral y tampoco altera ni la circunscripción electoral, que sigue siendo la provincia, ni la fórmula electoral de asignación de escaños según los votos. Procede a contestar los motivos de impugnación del recurso de inconstitucionalidad solicitando su desestimación. Reitera para ello los argumentos ya expuestos en sus alegaciones en el recurso de inconstitucionalidad núm. 4791-2014, interpuesto contra la Ley Orgánica 2/2014, de reforma del art. 10.2 EACM, que refuerza con cita de los razonamientos contenidos en la STC 197/2014, al desestimar dicho recurso, que deben darse por tanto por reproducidos aquí.</w:t>
      </w:r>
    </w:p>
    <w:p w:rsidR="0085709A" w:rsidRDefault="0085709A" w:rsidP="0085709A">
      <w:pPr>
        <w:pStyle w:val="TextoNormal"/>
      </w:pPr>
    </w:p>
    <w:p w:rsidR="0085709A" w:rsidRDefault="0085709A" w:rsidP="0085709A">
      <w:pPr>
        <w:pStyle w:val="TextoNormal"/>
      </w:pPr>
      <w:r>
        <w:t>En conclusión, la Directora de los servicios jurídicos de la Junta de Comunidades de Castilla-La Mancha interesa la desestimación del presente recurso, tanto en lo que se refiere a la pretensión principal de declaración de inconstitucionalidad de la Ley 4/2014, de reforma de la Ley electoral de Castilla-La Mancha, como en lo que se refiere a las pretensiones formuladas por medio de otrosíes.</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También por escrito de 19 de diciembre de 2014, registrado en este Tribunal en la misma fecha, la Directora de los servicios jurídicos de la Junta de Comunidades de Castilla-La Mancha formuló alegaciones sobre la suspensión cautelar solicitada en el recurso de inconstitucionalidad, oponiéndose a la misma. Entiende esta representación, en síntesis, que la petición de que se suspenda cautelarmente la Ley 4/2014 es jurídicamente inadmisible y debe ser desestimada. Se trata, en efecto, de una pretensión construida al margen y en contra del ordenamiento jurídico-constitucional y de la muy reiterada doctrina constitucional en la </w:t>
      </w:r>
      <w:r>
        <w:lastRenderedPageBreak/>
        <w:t>materia: solo cabe la suspensión de una ley impugnada en el supuesto previsto en los arts. 161.2 CE y 30 LOTC, esto es, a solicitud del Gobierno de la Nación, como ha tenido ocasión de recordar este Tribunal, precisamente en el recurso de inconstitucionalidad núm. 4791-2014, por ATC 267/2014, de 4 de noviembre, en relación con la solicitud de suspensión de la Ley Orgánica 2/2014, de reforma del art. 10.2 EACM.</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de 19 de diciembre de 2014, registrado en este Tribunal en la misma fecha, presentó sus alegaciones el Letrado de las Cortes de Castilla-La Mancha, que advierte también de la estrecha relación del presente recurso con el recurso de inconstitucionalidad núm. 4791-2014, interpuesto contra la Ley Orgánica 2/2014, de reforma del art. 10.2 EACM, que la Ley 4/2014, de reforma de la Ley electoral de Castilla-La Mancha desarrolla, desestimado por la reciente STC 197/2014. En su fundamentación se apoya el Letrado para rechazar los motivos de impugnación que los recurrentes formulan frente a la Ley 4/2014. La identidad de objeto entre el procedimiento ya resuelto por la STC 197/2014 y el presente recurso supone que el pronunciamiento de este Tribunal debe serlo exclusivamente sobre la adecuación constitucional de la Ley impugnada a la reforma del art. 10.2 EACM introducida por la Ley Orgánica 2/2014, considerada ya plenamente conforme con la Constitución. La Ley 4/2014, en desarrollo de la referida reforma estatutaria, fija en 33 el número de diputados de las Cortes de Castilla-La Mancha, dentro de la horquilla fijada por el art. 10.2 EACM (máximo de 35 y mínimo de 25 diputados), habiendo rechazado ya el Tribunal Constitucional las tachas de inconstitucionalidad que los recurrentes dirigían a este precepto estatutario. En definitiva, descartada por la STC 197/2014 la inconstitucionalidad del art. 10.2 EACM, en la redacción dada al mismo por la Ley Orgánica 2/2014, debe rechazarse por las mismas razones la pretendida inconstitucionalidad de la Ley 4/2014.</w:t>
      </w:r>
    </w:p>
    <w:p w:rsidR="0085709A" w:rsidRDefault="0085709A" w:rsidP="0085709A">
      <w:pPr>
        <w:pStyle w:val="TextoNormal"/>
      </w:pPr>
    </w:p>
    <w:p w:rsidR="0085709A" w:rsidRDefault="0085709A" w:rsidP="0085709A">
      <w:pPr>
        <w:pStyle w:val="TextoNormal"/>
      </w:pPr>
      <w:r>
        <w:t>Se suplica por ello que se dicte Sentencia por la que, desestimando el recurso, se declare ajustada a la Constitución la Ley recurrida. Se interesa asimismo que se rechacen las pretensiones formuladas por otrosí; por lo que se refiere a la petición de suspensión, se recuerda lo resuelto en el ATC 267/2014, en relación con la solicitud de suspensión de la Ley Orgánica 2/2014, de reforma del art. 10.2 EACM; por lo que se refiere a las restantes pretensiones, por estimar que resultan impertinentes o improcedentes.</w:t>
      </w:r>
    </w:p>
    <w:p w:rsidR="0085709A" w:rsidRDefault="0085709A" w:rsidP="0085709A">
      <w:pPr>
        <w:pStyle w:val="TextoNormal"/>
      </w:pPr>
    </w:p>
    <w:p w:rsidR="0085709A" w:rsidRDefault="0085709A" w:rsidP="0085709A">
      <w:pPr>
        <w:pStyle w:val="TextoNormal"/>
      </w:pPr>
      <w:r w:rsidRPr="0085709A">
        <w:rPr>
          <w:rStyle w:val="NumeroAFNegritaCaracter"/>
        </w:rPr>
        <w:t>9</w:t>
      </w:r>
      <w:r>
        <w:t>. Por escrito de 22 de diciembre de 2014, registrado en este Tribunal el siguiente día, presentó sus alegaciones el Abogado del Estado, que interesa la desestimación del recurso de inconstitucionalidad.</w:t>
      </w:r>
    </w:p>
    <w:p w:rsidR="0085709A" w:rsidRDefault="0085709A" w:rsidP="0085709A">
      <w:pPr>
        <w:pStyle w:val="TextoNormal"/>
      </w:pPr>
    </w:p>
    <w:p w:rsidR="0085709A" w:rsidRDefault="0085709A" w:rsidP="0085709A">
      <w:pPr>
        <w:pStyle w:val="TextoNormal"/>
      </w:pPr>
      <w:r>
        <w:t xml:space="preserve">Señala el Abogado del Estado que la Ley objeto del presente recurso, que modifica el art. 16 de la Ley electoral de Castilla-La Mancha, se dictó en aplicación y desarrollo de la Ley Orgánica 2/2014, de reforma del art. 10.2 EACM, el cual ha sido declarado ajustado a la Constitución por la STC 197/2014, que desestima las alegaciones formuladas por los recurrentes en el recurso de inconstitucionalidad núm. 4791-2014. Sus alegaciones coinciden con las formuladas por los recurrentes en el presente recurso contra la Ley 4/2014, siendo en todo caso el </w:t>
      </w:r>
      <w:r w:rsidRPr="0085709A">
        <w:rPr>
          <w:i/>
        </w:rPr>
        <w:t>quid</w:t>
      </w:r>
      <w:r>
        <w:t xml:space="preserve"> de la cuestión la reducción del número de diputados del parlamento autonómico. La Ley 4/2014, en tanto que norma de desarrollo de la Ley Orgánica 2/2014, se limita a establecer en 33 el número de diputados de las Cortes de Castilla-La Mancha, dentro de la mitad superior de la horquilla posible fijada por el art. 10.2 EACM (máximo de 35 diputados y mínimo de 25). En consecuencia, declarada por la STC 197/2014 la consti</w:t>
      </w:r>
      <w:r>
        <w:lastRenderedPageBreak/>
        <w:t>tucionalidad de la delimitación estatutaria del número de diputados establecida en el modificado Estatuto de Autonomía, la Ley ahora impugnada deberá también entenderse ajustada a la Constitución, en la medida en que se mantiene dentro de los límites fijados por el precepto estatutario reformado.</w:t>
      </w:r>
    </w:p>
    <w:p w:rsidR="0085709A" w:rsidRDefault="0085709A" w:rsidP="0085709A">
      <w:pPr>
        <w:pStyle w:val="TextoNormal"/>
      </w:pPr>
    </w:p>
    <w:p w:rsidR="0085709A" w:rsidRDefault="0085709A" w:rsidP="0085709A">
      <w:pPr>
        <w:pStyle w:val="TextoNormal"/>
      </w:pPr>
      <w:r>
        <w:t>Añade el Abogado del Estado que la asignación que realiza la Ley impugnada de una representación mínima inicial por circunscripción electoral, es igual para todas: 3 diputados por provincia, distribuyéndose los 18 diputados restantes entre las provincias en proporción a su población, conforme al procedimiento que la Ley establece. No infringe pues el principio representativo proporcional (arts. 68 y 152 CE), de acuerdo con la jurisprudencia constitucional que cita la STC 197/2014, al no crear ninguna suerte de barrera electoral previa, sino que dota de un mayor equilibrio representativo territorial a las provincias que componen la Comunidad Autónoma. La norma, que se aplica a todas las candidaturas por igual, garantiza en todo caso la representatividad de las provincias en el parlamento autonómico con independencia de su población, al establecer un mínimo inicial de 3 diputados por provincia; las provincias más pobladas tendrán mayor representatividad en función de las reglas que también establece la Ley impugnada en cuanto a la distribución de los 18 diputados restantes.</w:t>
      </w:r>
    </w:p>
    <w:p w:rsidR="0085709A" w:rsidRDefault="0085709A" w:rsidP="0085709A">
      <w:pPr>
        <w:pStyle w:val="TextoNormal"/>
      </w:pPr>
    </w:p>
    <w:p w:rsidR="0085709A" w:rsidRDefault="0085709A" w:rsidP="0085709A">
      <w:pPr>
        <w:pStyle w:val="TextoNormal"/>
      </w:pPr>
      <w:r>
        <w:t>Concluye el Abogado del Estado rechazando la pretensión de suspensión cautelar que se formula en el recurso, pues, conforme a reiterada doctrina constitucional, el Tribunal Constitucional solo puede acordar la suspensión de una ley impugnada en el supuesto previsto en los arts. 161.2 CE y 30 LOTC, esto es, a petición del Gobierno de la Nación.</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3 de febrero de 2015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Se dirige este recurso de inconstitucionalidad contra la Ley de las Cortes de Castilla-La Mancha 4/2014, de 21 de julio, de reforma de la Ley 5/1986, de 23 de diciembre, electoral de dicha Comunidad Autónoma. La parte dispositiva de la Ley impugnada consta de un artículo único, de una disposición derogatoria de cuantas normas de igual o inferior rango contradigan o se opongan a lo en él prescrito y de otra final, en la que se determina la entrada en vigor de la Ley al día siguiente a su publicación oficial. El contenido del primero de estos preceptos es el siguiente:</w:t>
      </w:r>
    </w:p>
    <w:p w:rsidR="0085709A" w:rsidRDefault="0085709A" w:rsidP="0085709A">
      <w:pPr>
        <w:pStyle w:val="TextoNormal"/>
      </w:pPr>
    </w:p>
    <w:p w:rsidR="0085709A" w:rsidRDefault="0085709A" w:rsidP="0085709A">
      <w:pPr>
        <w:pStyle w:val="TextoNormal"/>
      </w:pPr>
      <w:r>
        <w:t>“Artículo único. Reforma de la Ley 5/1986, de 23 de diciembre, Electoral de Castilla-La Mancha.</w:t>
      </w:r>
    </w:p>
    <w:p w:rsidR="0085709A" w:rsidRDefault="0085709A" w:rsidP="0085709A">
      <w:pPr>
        <w:pStyle w:val="TextoNormal"/>
      </w:pPr>
    </w:p>
    <w:p w:rsidR="0085709A" w:rsidRDefault="0085709A" w:rsidP="0085709A">
      <w:pPr>
        <w:pStyle w:val="TextoNormal"/>
      </w:pPr>
      <w:r>
        <w:t>El artículo 16 de la Ley 5/1986, de 23 de diciembre, Electoral de Castilla-La Mancha quedará redactado conforme al siguiente tenor literal.</w:t>
      </w:r>
    </w:p>
    <w:p w:rsidR="0085709A" w:rsidRDefault="0085709A" w:rsidP="0085709A">
      <w:pPr>
        <w:pStyle w:val="TextoNormal"/>
      </w:pPr>
    </w:p>
    <w:p w:rsidR="0085709A" w:rsidRDefault="0085709A" w:rsidP="0085709A">
      <w:pPr>
        <w:pStyle w:val="TextoNormal"/>
      </w:pPr>
      <w:r>
        <w:t>Artículo 16. Las Cortes de Castilla-La Mancha están formadas por 33 Diputados.</w:t>
      </w:r>
    </w:p>
    <w:p w:rsidR="0085709A" w:rsidRDefault="0085709A" w:rsidP="0085709A">
      <w:pPr>
        <w:pStyle w:val="TextoNormal"/>
      </w:pPr>
    </w:p>
    <w:p w:rsidR="0085709A" w:rsidRDefault="0085709A" w:rsidP="0085709A">
      <w:pPr>
        <w:pStyle w:val="TextoNormal"/>
      </w:pPr>
      <w:r>
        <w:t>A cada provincia le corresponde un mínimo inicial de 3 Diputados.</w:t>
      </w:r>
    </w:p>
    <w:p w:rsidR="0085709A" w:rsidRDefault="0085709A" w:rsidP="0085709A">
      <w:pPr>
        <w:pStyle w:val="TextoNormal"/>
      </w:pPr>
    </w:p>
    <w:p w:rsidR="0085709A" w:rsidRDefault="0085709A" w:rsidP="0085709A">
      <w:pPr>
        <w:pStyle w:val="TextoNormal"/>
      </w:pPr>
      <w:r>
        <w:lastRenderedPageBreak/>
        <w:t>Los 18 Diputados restantes se distribuyen entre las provincias en proporción a su población, conforme al siguiente procedimiento:</w:t>
      </w:r>
    </w:p>
    <w:p w:rsidR="0085709A" w:rsidRDefault="0085709A" w:rsidP="0085709A">
      <w:pPr>
        <w:pStyle w:val="TextoNormal"/>
      </w:pPr>
    </w:p>
    <w:p w:rsidR="0085709A" w:rsidRDefault="0085709A" w:rsidP="0085709A">
      <w:pPr>
        <w:pStyle w:val="TextoNormal"/>
      </w:pPr>
      <w:r>
        <w:t>Se obtienen una cuota de reparto resultante de dividir por 18 la cifra total de la población de derecho de las cinco provincias de Castilla-La Mancha.</w:t>
      </w:r>
    </w:p>
    <w:p w:rsidR="0085709A" w:rsidRDefault="0085709A" w:rsidP="0085709A">
      <w:pPr>
        <w:pStyle w:val="TextoNormal"/>
      </w:pPr>
    </w:p>
    <w:p w:rsidR="0085709A" w:rsidRDefault="0085709A" w:rsidP="0085709A">
      <w:pPr>
        <w:pStyle w:val="TextoNormal"/>
      </w:pPr>
      <w:r>
        <w:t>Se adjudican a cada provincia tantos Diputados como resulte, en números enteros, de dividir la población de derecho provincial por la cuota de reparto.</w:t>
      </w:r>
    </w:p>
    <w:p w:rsidR="0085709A" w:rsidRDefault="0085709A" w:rsidP="0085709A">
      <w:pPr>
        <w:pStyle w:val="TextoNormal"/>
      </w:pPr>
    </w:p>
    <w:p w:rsidR="0085709A" w:rsidRDefault="0085709A" w:rsidP="0085709A">
      <w:pPr>
        <w:pStyle w:val="TextoNormal"/>
      </w:pPr>
      <w:r>
        <w:t>Los Diputados restantes se distribuyen asignando uno a cada una de las provincias cuyo cociente, obtenido conforme al apartado anterior tenga una fracción decimal mayor.</w:t>
      </w:r>
    </w:p>
    <w:p w:rsidR="0085709A" w:rsidRDefault="0085709A" w:rsidP="0085709A">
      <w:pPr>
        <w:pStyle w:val="TextoNormal"/>
      </w:pPr>
    </w:p>
    <w:p w:rsidR="0085709A" w:rsidRDefault="0085709A" w:rsidP="0085709A">
      <w:pPr>
        <w:pStyle w:val="TextoNormal"/>
      </w:pPr>
      <w:r>
        <w:t>El Decreto de convocatoria debe especificar el número de Diputados a elegir en cada circunscripción, de acuerdo con lo dispuesto en este artículo.”</w:t>
      </w:r>
    </w:p>
    <w:p w:rsidR="0085709A" w:rsidRDefault="0085709A" w:rsidP="0085709A">
      <w:pPr>
        <w:pStyle w:val="TextoNormal"/>
      </w:pPr>
    </w:p>
    <w:p w:rsidR="0085709A" w:rsidRDefault="0085709A" w:rsidP="0085709A">
      <w:pPr>
        <w:pStyle w:val="TextoNormal"/>
      </w:pPr>
      <w:r>
        <w:t>Es de importancia señalar, desde un principio, que la disposición transcrita, y esta Ley 4/2014, en su conjunto, se presentan, conforme a su exposición de motivos, como desarrollo del art. 10 del Estatuto de Autonomía de Castilla-La Mancha (EACM), precepto estatutario que fue objeto de modificación parcial por la Ley Orgánica 2/2014, de 21 de mayo. La reforma determinó —en lo que ahora importa— que las Cortes de la Comunidad Autónoma pasarían a estar integradas, reduciendo así su composición anterior, por un mínimo de 25 diputados y un máximo de 35. Procede tener presente asimismo —como han subrayado todas las partes en este procedimiento— que la citada Ley Orgánica 2/2014 fue objeto de recurso de inconstitucionalidad ante este Tribunal, resuelto por la STC 197/2014, de 4 de diciembre, desestimatoria de aquella impugnación.</w:t>
      </w:r>
    </w:p>
    <w:p w:rsidR="0085709A" w:rsidRDefault="0085709A" w:rsidP="0085709A">
      <w:pPr>
        <w:pStyle w:val="TextoNormal"/>
      </w:pPr>
    </w:p>
    <w:p w:rsidR="0085709A" w:rsidRDefault="0085709A" w:rsidP="0085709A">
      <w:pPr>
        <w:pStyle w:val="TextoNormal"/>
      </w:pPr>
      <w:r>
        <w:t>Por lo demás, y como en los antecedentes se ha expuesto, la demanda del presente recurso no sólo ha pedido la declaración de inconstitucionalidad de la Ley impugnada, sino también su suspensión cautelar, en prevención —viene a argumentarse— de que nuestra Sentencia no llegara a dictarse antes de las próximas elecciones a Cortes de Castilla-La Mancha. Bien claro está que así no ha sido, lo que ha hecho innecesario un pronunciamiento anticipado sobre tal solicitud de suspensión, pronunciamiento que presupone siempre, como es obvio, la pendencia del procedimiento principal (SSTC 103/2008, de 11 de septiembre, FJ, 6, y 106/2014, de 24 de junio, FJ 9). Ello sin perjuicio, en todo caso, de que la medida cautelar interesada nunca hubiera podido ser acogida por este Tribunal, en atención a razones idénticas a las que se expusieron, con cita de muy reiterada jurisprudencia constitucional, en el ATC 267/2014, de 4 de noviembre, que rechazó solicitud análoga en el recurso de inconstitucionalidad ya referido, interpuesto contra la Ley Orgánica 2/2014, de reforma del art. 10.2 EACM. La suspensión por este Tribunal de la Ley que ante él se impugne sólo procede, en efecto, en el supuesto previsto en los arts. 161.2 CE y 30 de la Ley Orgánica del Tribunal Constitucional (LOTC).</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a considerar las tachas de inconstitucionalidad que el recurso hace a la Ley impugnada es precisa una delimitación del objeto de nuestro enjuiciamiento a la vista de lo que en la demanda se aduce. Se dice en ella, ciertamente, que objeto del recurso es la Ley 4/2014 “en su integridad”, pero esta afirmación no se compadece ni con lo alegado en concreto por los recurrentes ni, de otra parte, con los límites objetivos del control de constitucional que a este Tribunal corresponde:</w:t>
      </w:r>
    </w:p>
    <w:p w:rsidR="0085709A" w:rsidRDefault="0085709A" w:rsidP="0085709A">
      <w:pPr>
        <w:pStyle w:val="TextoNormal"/>
      </w:pPr>
    </w:p>
    <w:p w:rsidR="0085709A" w:rsidRDefault="0085709A" w:rsidP="0085709A">
      <w:pPr>
        <w:pStyle w:val="TextoNormal"/>
      </w:pPr>
      <w:r>
        <w:t xml:space="preserve">a) Toda la argumentación de la demanda, como en los antecedentes se ha expuesto, se orienta a fundamentar la inconstitucionalidad de la nueva composición numérica de las Cortes de Castilla-La Mancha, cifrada en 33 diputados por el nuevo art. 16.1 de la Ley electoral, conforme al artículo único de la impugnada. Ceñidos a este extremo los alegatos de los recurrentes, es claro que nuestro enjuiciamiento directo ha de quedar acotado de igual modo, sin perjuicio —llegado el caso— de lo previsto en el art. 39.1 LOTC en punto a una eventual declaración de inconstitucionalidad por conexión o consecuencia. Al margen de esta última hipótesis, por lo tanto, aquí no habremos de enjuiciar ni las disposiciones derogatoria y final de la Ley 4/2014 (“meramente instrumentales”, según la propia demanda reconoce) ni tampoco el resto de determinaciones contenidas en el nuevo art. 16 de la Ley electoral, referidas a la asignación mínima inicial de tres diputados por provincia (número 2 de dicho art. 16), al procedimiento de distribución de los 18 diputados restantes entre las circunscripciones provinciales en atención a su población respectiva (número 3) y, en fin, a la necesaria especificación por el decreto que convoque a elecciones del número de representantes a elegir en cada circunscripción (número 4). Sobre esta última previsión no se dice, desde luego, cosa alguna en la demanda, pero tampoco se contiene en ella alegato específico en contra de lo establecido en los números 2 y 3 que quedan dichos. No puede de ningún modo tomarse por censura de inconstitucionalidad, en particular, la pregunta retórica que la demanda formula en determinado pasaje sobre el porqué de la fijación de un mínimo inicial de tres diputados por provincia y no de dos, según lo establecido en el art. 162.2 de la Ley Orgánica 5/1985, de 19 de junio, de régimen electoral general; precepto este —hay que advertir— no aplicable a las elecciones a asambleas legislativas de las Comunidades Autónomas (disposición adicional 1.2 de la citada Ley Orgánica). La respuesta a tal interrogante —a decir de la propia demanda— sería la de que, si así hubiera sido, “la barrera electoral se determinaría en porcentajes inasumibles desde el punto de vista de un estricto juicio de la proporcionalidad”; opinión </w:t>
      </w:r>
      <w:r w:rsidRPr="0085709A">
        <w:rPr>
          <w:i/>
        </w:rPr>
        <w:t>ex parte</w:t>
      </w:r>
      <w:r>
        <w:t xml:space="preserve"> sobre la que, claro está, nada tenemos ahora que decir. El recurso —esto es lo que importa— no impugna, en sí misma, esta adjudicación mínima o inicial de escaños por provincia y tampoco controvierte el procedimiento de distribución de los restantes entre las circunscripciones, reparto este último que, por otro lado, se ordena conforme a unas pautas que no difieren de las fijadas en la redacción originaria del art. 16.3 de la Ley electoral 5/1986.</w:t>
      </w:r>
    </w:p>
    <w:p w:rsidR="0085709A" w:rsidRDefault="0085709A" w:rsidP="0085709A">
      <w:pPr>
        <w:pStyle w:val="TextoNormal"/>
      </w:pPr>
    </w:p>
    <w:p w:rsidR="0085709A" w:rsidRDefault="0085709A" w:rsidP="0085709A">
      <w:pPr>
        <w:pStyle w:val="TextoNormal"/>
      </w:pPr>
      <w:r>
        <w:t>b) La demanda toma también distancias críticas respecto a la exposición de motivos de la Ley impugnada, a la que tacha de no ser “sincera”, y opone a sus aseveraciones, con reiteración, el señalamiento de un llamado, con estas palabras u otras, “motivo oculto” de la misma (su “intencionalidad partidista”); esta constituiría su “verdadera finalidad” e ilustraría sobre la inconstitucionalidad pretendida. Como con reiteración hemos advertido, no corresponde a este procedimiento el enjuiciar, ni considerar siquiera, las hipotéticas o presuntas intenciones con las que las leyes hayan sido adoptadas; so pena de privar de toda objetividad al control que a esta jurisdicción le cumple (STC 197/2014, FJ 1, y jurisprudencia allí citada). Sobre uno y otro de estos extremos, en consecuencia, no cabe esperar de nosotros pronunciamiento alguno.</w:t>
      </w:r>
    </w:p>
    <w:p w:rsidR="0085709A" w:rsidRDefault="0085709A" w:rsidP="0085709A">
      <w:pPr>
        <w:pStyle w:val="TextoNormal"/>
      </w:pPr>
    </w:p>
    <w:p w:rsidR="0085709A" w:rsidRDefault="0085709A" w:rsidP="0085709A">
      <w:pPr>
        <w:pStyle w:val="TextoNormal"/>
      </w:pPr>
      <w:r>
        <w:t xml:space="preserve">Objeto de nuestro enjuiciamiento ha de ser, en suma, la conformidad o no a la Constitución y al Estatuto de Autonomía de Castilla-La Mancha de la reducción legal, hasta 33 diputados, de la composición de las Cortes de Castilla-La Mancha. Procede ya, en consecuencia, </w:t>
      </w:r>
      <w:r>
        <w:lastRenderedPageBreak/>
        <w:t>considerar los alegatos expuestos frente a la constitucionalidad de esta determinación legislativa y en su defensa.</w:t>
      </w:r>
    </w:p>
    <w:p w:rsidR="0085709A" w:rsidRDefault="0085709A" w:rsidP="0085709A">
      <w:pPr>
        <w:pStyle w:val="TextoNormal"/>
      </w:pPr>
    </w:p>
    <w:p w:rsidR="0085709A" w:rsidRDefault="0085709A" w:rsidP="0085709A">
      <w:pPr>
        <w:pStyle w:val="TextoNormal"/>
      </w:pPr>
      <w:r w:rsidRPr="0085709A">
        <w:rPr>
          <w:rStyle w:val="NumeroAFNegritaCaracter"/>
        </w:rPr>
        <w:t>3</w:t>
      </w:r>
      <w:r>
        <w:t>. Los recurrentes articulan seis motivos de inconstitucionalidad contra la Ley que impugnan, por más que el primero de ellos —la previa disconformidad a la Constitución de la Ley Orgánica 2/2014, de reforma del Estatuto de Autonomía de Castilla-La Mancha, de la que trae causa la impugnada— ha de dejarse de lado desde ahora, pues el recurso de inconstitucionalidad contra dicha Ley Orgánica, al que los demandantes en este punto se remiten, fue ya, como se ha recordado, resuelto y desestimado por la STC 197/2014. En lo demás, según la demanda, la Ley 4/2014 sería contraria al principio constitucional del pluralismo político (art. 1.1 CE, en relación, se dice, con el art. 14 CE); al sistema de representación proporcional (arts. 152.1 CE y 10.2 EACM, junto a los que se cita el art. 68.1 de la norma fundamental, mención esta última que hay que suponer referida al número 3 de tal disposición); al precepto constitucional que enuncia el derecho a un acceso igualitario a las funciones y cargos públicos (art. 23.2); a la interdicción constitucional de la arbitrariedad (art. 9.3) y, en fin, a la garantía por la Constitución de la autonomía política de la Comunidad de Castilla-La Mancha [invoca la demanda, a estos efectos, los arts. 2, 137 y 153 a) CE].</w:t>
      </w:r>
    </w:p>
    <w:p w:rsidR="0085709A" w:rsidRDefault="0085709A" w:rsidP="0085709A">
      <w:pPr>
        <w:pStyle w:val="TextoNormal"/>
      </w:pPr>
    </w:p>
    <w:p w:rsidR="0085709A" w:rsidRDefault="0085709A" w:rsidP="0085709A">
      <w:pPr>
        <w:pStyle w:val="TextoNormal"/>
      </w:pPr>
      <w:r>
        <w:t xml:space="preserve">Las tres primeras tachas de inconstitucionalidad que quedan dichas (quiebra del pluralismo político y vulneración tanto de la representación proporcional como del derecho fundamental </w:t>
      </w:r>
      <w:r w:rsidRPr="0085709A">
        <w:rPr>
          <w:i/>
        </w:rPr>
        <w:t>ex</w:t>
      </w:r>
      <w:r>
        <w:t xml:space="preserve"> art. 23.2 CE) habrán de ser consideradas en lo que sigue, al igual que hicimos en la STC 197/2014, de un modo integrado. Estando a lo que en la demanda se aduce, la infracción primera que aquí se ha de enjuiciar es la que vendría dada por la conculcación de lo dispuesto en el art. 152.1 CE en orden al sistema de representación proporcional para la elección de los miembros de las asambleas legislativas de las Comunidades Autónomas; supuesta vulneración ésta de la que se seguirían la del valor superior del pluralismo político y la del derecho enunciado en el art. 23.2 de la norma fundamental, todo ello conforme a lo argumentado en la misma STC 197/2014 (FJ 2), a la que procede en este extremo remitirse. Una consideración específica y diferenciada requieren, por el contrario, las otras dos tachas de inconstitucionalidad opuestas frente a la Ley impugnada. Con ellas comenzará nuestro examen.</w:t>
      </w:r>
    </w:p>
    <w:p w:rsidR="0085709A" w:rsidRDefault="0085709A" w:rsidP="0085709A">
      <w:pPr>
        <w:pStyle w:val="TextoNormal"/>
      </w:pPr>
    </w:p>
    <w:p w:rsidR="0085709A" w:rsidRDefault="0085709A" w:rsidP="0085709A">
      <w:pPr>
        <w:pStyle w:val="TextoNormal"/>
      </w:pPr>
      <w:r w:rsidRPr="0085709A">
        <w:rPr>
          <w:rStyle w:val="NumeroAFNegritaCaracter"/>
        </w:rPr>
        <w:t>4</w:t>
      </w:r>
      <w:r>
        <w:t>. Se afirma en el recurso que la Ley 4/2014 habría conculcado, al fijar en 33 el número de diputados a las Cortes de Castilla-La Mancha, la norma constitucional que proscribe la arbitrariedad en el actuar de los poderes públicos (art. 9.3 CE). Como fundamento o ilustración de esta censura se aduce —en síntesis— que esta determinación legal es fruto del “capricho”; que ignora, además, la “regla esencial” según la cual la dimensión de la Cámara de representación no puede disminuir cuando la población no lo hace o incluso aumenta y que, en fin, la reducción del número de representantes estaría buscada de propósito para favorecer al partido político mayoritario hoy en las Cortes; afirmación, esta última, que quiere acreditarse mediante proyecciones y estimaciones sobre cuál podría ser la distribución del sufragio ciudadano en unos próximos comicios.</w:t>
      </w:r>
    </w:p>
    <w:p w:rsidR="0085709A" w:rsidRDefault="0085709A" w:rsidP="0085709A">
      <w:pPr>
        <w:pStyle w:val="TextoNormal"/>
      </w:pPr>
    </w:p>
    <w:p w:rsidR="0085709A" w:rsidRDefault="0085709A" w:rsidP="0085709A">
      <w:pPr>
        <w:pStyle w:val="TextoNormal"/>
      </w:pPr>
      <w:r>
        <w:t xml:space="preserve">El Tribunal no puede compartir estos reproches, fundados como están, exclusivamente, en apreciaciones políticas (legítimas, pero inconducentes en términos de constitucionalidad); en juicios sobre la intención del legislador (ajenos —ya se dijo— a nuestro control); en pronósticos o conjeturas acerca del voto futuro de los electores (sobre los que no cabe argumentar la inconstitucionalidad de una determinación legal) o, en fin, en una aducida </w:t>
      </w:r>
      <w:r>
        <w:lastRenderedPageBreak/>
        <w:t xml:space="preserve">“regla esencial”, no ciertamente jurídico-constitucional, según la cual —se arguye— la dimensión de una asamblea representativa no debiera disminuir cuando no lo hace, o incluso aumenta, la población representada. Ninguno de estos alegatos, en suma, abona, ni tan siquiera sugiere, la denunciada arbitrariedad de la Ley 4/2014. Este reproche requiere, conforme a constante jurisprudencia constitucional, de una argumentación específica que aporte siquiera indicios, a confirmar o no en el juicio, de que la disposición con tal título impugnada encarna una discriminación normativa o carece en absoluto de explicación racional (STC 197/2014, FJ 5, y jurisprudencia allí citada). Al margen de conjeturas sobre el sentido de un sufragio por venir y de valoraciones acerca del supuesto </w:t>
      </w:r>
      <w:r w:rsidRPr="0085709A">
        <w:rPr>
          <w:i/>
        </w:rPr>
        <w:t>animus</w:t>
      </w:r>
      <w:r>
        <w:t xml:space="preserve"> del legislador, el recurso no aporta, sin embargo, indicio alguno en orden a tal hipotético alcance discriminatorio de la Ley impugnada, a la que tampoco cabe tachar de ajena a toda explicación racional por haber fijado precisamente en 33 el número de diputados. No es sólo, en efecto, que el legislador autonómico puede desplegar toda su amplia libertad de configuración en este punto dentro del margen abierto por el art. 10.2 EACM (entre 25 y 35 representantes), libertad de la que también este Tribunal es garante. Además, la propia exposición de motivos de la Ley 4/2014 se ha cuidado —aunque ello no fuera, en rigor, inexcusable— de dar razón de sus propias determinaciones normativas (propiciar que ninguna provincia, se lee allí, “tenga mayor o igual representatividad que la suma de cualquiera otras dos”); sin que a este Tribunal, como es obvio, le corresponda entrar a valorar en derecho tal designio.</w:t>
      </w:r>
    </w:p>
    <w:p w:rsidR="0085709A" w:rsidRDefault="0085709A" w:rsidP="0085709A">
      <w:pPr>
        <w:pStyle w:val="TextoNormal"/>
      </w:pPr>
    </w:p>
    <w:p w:rsidR="0085709A" w:rsidRDefault="0085709A" w:rsidP="0085709A">
      <w:pPr>
        <w:pStyle w:val="TextoNormal"/>
      </w:pPr>
      <w:r>
        <w:t>No ha resultado infringido, en definitiva, el principio constitucional de interdicción de la arbitrariedad (art. 9.3 CE).</w:t>
      </w:r>
    </w:p>
    <w:p w:rsidR="0085709A" w:rsidRDefault="0085709A" w:rsidP="0085709A">
      <w:pPr>
        <w:pStyle w:val="TextoNormal"/>
      </w:pPr>
    </w:p>
    <w:p w:rsidR="0085709A" w:rsidRDefault="0085709A" w:rsidP="0085709A">
      <w:pPr>
        <w:pStyle w:val="TextoNormal"/>
      </w:pPr>
      <w:r w:rsidRPr="0085709A">
        <w:rPr>
          <w:rStyle w:val="NumeroAFNegritaCaracter"/>
        </w:rPr>
        <w:t>5</w:t>
      </w:r>
      <w:r>
        <w:t>. Afirman también los recurrentes, con cita de los arts. 2, 137 y 153 a) CE, que la Ley 4/2014 infringe la autonomía política de la Comunidad de Castilla-La Mancha al haber reducido a 33 el número de representantes en las Cortes de la Comunidad Autónoma, lo que depararía —se aduce— la privación a dicha Cámara, así disminuida en tamaño, de la “capacidad de hacer leyes como producto de la participación y el debate plural”.</w:t>
      </w:r>
    </w:p>
    <w:p w:rsidR="0085709A" w:rsidRDefault="0085709A" w:rsidP="0085709A">
      <w:pPr>
        <w:pStyle w:val="TextoNormal"/>
      </w:pPr>
    </w:p>
    <w:p w:rsidR="0085709A" w:rsidRDefault="0085709A" w:rsidP="0085709A">
      <w:pPr>
        <w:pStyle w:val="TextoNormal"/>
      </w:pPr>
      <w:r>
        <w:t>Sin perjuicio de que no se alcanza a ver cuál sea el sentido de la invocación, en este contexto, del art. 153 a) CE, basta para excluir todo asomo de inconstitucionalidad por esta causa con remitirnos a lo que, ante reproche igual, dejamos dicho sobre la Ley Orgánica 2/2014, de reforma del Estatuto de Autonomía de Castilla-La Mancha, en la tantas veces citada STC 197/2014. Hemos de reiterar que era evidente que la autonomía política de la Comunidad de Castilla-La Mancha (arts. 2 y 137 CE) y su consiguiente capacidad de legislar en los ámbitos de su competencia [art. 152.1 CE y art. 9.2 a) EACM] no había quedado empañada, ni afectada siquiera, por la reducción del número de miembros de la Cámara autonómica. La Constitución no depara pauta alguna, de modo directo y específico, sobre el número de integrantes de los órganos legislativos de las Comunidades Autónomas; esta determinación corresponde a la Ley Orgánica que apruebe cada Estatuto de Autonomía [art. 147.2 c) CE] o a las normas autonómicas que, en su caso, complementen o desarrollen tales previsiones estatutarias; desarrollo del art. 10 EACM llevado aquí a cabo, precisamente, por la Ley ahora impugnada.</w:t>
      </w:r>
    </w:p>
    <w:p w:rsidR="0085709A" w:rsidRDefault="0085709A" w:rsidP="0085709A">
      <w:pPr>
        <w:pStyle w:val="TextoNormal"/>
      </w:pPr>
    </w:p>
    <w:p w:rsidR="0085709A" w:rsidRDefault="0085709A" w:rsidP="0085709A">
      <w:pPr>
        <w:pStyle w:val="TextoNormal"/>
      </w:pPr>
      <w:r>
        <w:t>Es patente, por lo dicho, que la Ley 4/2014 no ha afectado, al reducir a 33 el número de diputados de las Cortes de Castilla-La Mancha, a la autonomía política que a esta Comunidad corresponde conforme a la Constitución y al propio Estatuto de Autonomía.</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xml:space="preserve">. Excluidas las anteriores tachas de inconstitucionalidad, queda por examinar lo que bien cabe llamar el núcleo de este recurso, esto es, la supuesta vulneración por la Ley 4/2014, al fijar en 33 el número de diputados de las Cortes de Castilla-La Mancha, de lo prescrito en el art. 152.1 CE; de conformidad con este, las asambleas legislativas de las Comunidades Autónomas habrán de ser elegidas “con arreglo a un sistema de representación proporcional”. Esta aducida infracción constitucional conllevaría, de confirmarse, la transgresión, también, del art. 10.2 EACM, en cuyo párrafo primero se reitera tal exigencia de proporcionalidad para la elección de las Cortes de la Comunidad Autónoma. No así, sin embargo, la vulneración del art. 68 CE, que los recurrentes también citan, precepto cuyo número 3 impone atender a criterios de representación proporcional en la ordenación, estrictamente, de las elecciones al Congreso de los Diputados. Hay que recordar que, conforme a reiterada doctrina constitucional, la exigencia de proporcionalidad </w:t>
      </w:r>
      <w:r w:rsidRPr="0085709A">
        <w:rPr>
          <w:i/>
        </w:rPr>
        <w:t>ex</w:t>
      </w:r>
      <w:r>
        <w:t xml:space="preserve"> art. 152.1 CE pesa sobre las normas reguladoras de las elecciones a las asambleas legislativas de todas las Comunidades Autónomas, no sólo de aquellas que se constituyeron —lo que no fue el caso de la Comunidad Autónoma de Castilla-La Mancha— con arreglo al art. 151 de la propia norma fundamental (STC 197/2014, FJ 6, y jurisprudencia allí citada).</w:t>
      </w:r>
    </w:p>
    <w:p w:rsidR="0085709A" w:rsidRDefault="0085709A" w:rsidP="0085709A">
      <w:pPr>
        <w:pStyle w:val="TextoNormal"/>
      </w:pPr>
    </w:p>
    <w:p w:rsidR="0085709A" w:rsidRDefault="0085709A" w:rsidP="0085709A">
      <w:pPr>
        <w:pStyle w:val="TextoNormal"/>
      </w:pPr>
      <w:r>
        <w:t>Como hemos dicho en el fundamento jurídico 3 que antecede, sólo si fuera de apreciar tal infracción del principio constitucional de proporcionalidad (art. 152.1 CE) sería asimismo constatable la vulneración tanto del pluralismo político como del derecho a acceder a los cargos públicos —al de diputado, en el caso presente— en condiciones de igualdad (arts. 1.1 y 23.2 CE). Estas últimas exigencias constitucionales, invocadas también en la demanda, nada predeterminan, en sí mismas, sobre el sistema electoral para la integración, en lo que aquí hace al caso, de las asambleas legislativas de las Comunidades Autónomas pero, si la proporcionalidad que impone aquel art. 152.1 CE hubiera sido ignorada por la Ley 4/2014, sí sería ya obligado apreciar que también habrían sido contradichos el principio del pluralismo político y la regla que enuncia el derecho a acceder, en condiciones de igualdad, al cargo de diputado. No es dudoso que aquel principio y esta regla encuentran una de sus garantías en la proporcionalidad cuando esta última viene impuesta por la Constitución o, en general, por el bloque de la constitucionalidad.</w:t>
      </w:r>
    </w:p>
    <w:p w:rsidR="0085709A" w:rsidRDefault="0085709A" w:rsidP="0085709A">
      <w:pPr>
        <w:pStyle w:val="TextoNormal"/>
      </w:pPr>
    </w:p>
    <w:p w:rsidR="0085709A" w:rsidRDefault="0085709A" w:rsidP="0085709A">
      <w:pPr>
        <w:pStyle w:val="TextoNormal"/>
      </w:pPr>
      <w:r>
        <w:t>La piedra de toque, en definitiva, para apreciar la constitucionalidad o inconstitucionalidad, en cuanto a este motivo del recurso, de la Ley 4/2014 viene dada por el art. 152.1 CE y, en reiteración de tal precepto, por el art. 10.2 EACM. No queda condicionada la validez en este punto de la Ley impugnada por otras reglas o criterios ni en particular —frente a lo que en la demanda se aduce— por las recomendaciones que se invocan de la Comisión Europea para la Democracia por el Derecho (Comisión de Venecia), directrices que no pueden constituirse en pauta de nuestro enjuiciamiento (STC 197/2014, FJ 4).</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Al fijar en 33 el número de diputados de las Cortes de Castilla-La Mancha, la Ley 4/2014 ha venido en efecto a reducir —como ya hiciera antes la propia Ley Orgánica 2/2014, que determinó serían entre 25 y 35— la dimensión de esta Cámara; integrada hasta entonces, conforme a la anterior redacción del art. 10.2 EACM, por un mínimo de 47 y un máximo de 59 representantes. Este margen que se concretó, primero, en 47 diputados, según la reforma de la Ley electoral llevada a cabo por la Ley 8/1998; después en 49, conforme a la Ley 12/2007 y más tarde en 53, por obra de la nueva modificación de aquella normativa electoral mediante la Ley 4/2012 (esta última reforma, con todo, nunca ha sido aplicada en comicios autonómicos —según hemos recordado en la STC 214/2014, FJ 2— pues la Ley </w:t>
      </w:r>
      <w:r>
        <w:lastRenderedPageBreak/>
        <w:t>4/2012 ha sido derogada por la citada Ley Orgánica 2/2014 y sustituida, después, por la que, hoy impugnada, desarrolla esta última reforma parcial del Estatuto de Autonomía de Castilla-La Mancha).</w:t>
      </w:r>
    </w:p>
    <w:p w:rsidR="0085709A" w:rsidRDefault="0085709A" w:rsidP="0085709A">
      <w:pPr>
        <w:pStyle w:val="TextoNormal"/>
      </w:pPr>
    </w:p>
    <w:p w:rsidR="0085709A" w:rsidRDefault="0085709A" w:rsidP="0085709A">
      <w:pPr>
        <w:pStyle w:val="TextoNormal"/>
      </w:pPr>
      <w:r>
        <w:t>Entienden los recurrentes que la disminución, hasta 33, del número de diputados a Cortes y la consiguiente reducción de la magnitud de cada una de las cinco circunscripciones electorales de Castilla-La Mancha —magnitud que cifran en su demanda— conllevaría una, así dicen, “abolición del sistema proporcional” o la configuración de un “sistema mayoritario sin corrección alguna”; la nueva y menor dimensión de las circunscripciones provinciales depararía unas desmedidas “barreras electorales” para acceder al reparto de escaños, lo que determinaría —siempre a tenor de las proyecciones y estimaciones que anticipan— una exclusión de la asamblea autonómica de opciones minoritarias o “terceras fuerzas” políticas, favoreciéndose al partido hoy mayoritario en las Cortes a través de la asignación selectiva de un número par o impar de escaños a unas u otras circunscripciones. Las demás partes comparecidas en este proceso han salido al paso de tales alegatos afirmando —con cita de nuestra STC 197/2014—, que la Ley 4/2014 se limita a fijar un número de diputados comprendidos en el margen abierto, sin quiebra de la Constitución, por la Ley Orgánica 2/2014; su impugnación no podría fundamentarse —como sin embargo se hace— en pronósticos o anticipaciones sobre el futuro sufragio de los electores y, en fin, que la proporcionalidad exigida por el art. 152.1 CE comportaría sólo, conforme a la jurisprudencia constitucional, una orientación o imperativo de tendencia, respetado sin duda —observan— por la Ley recurrida.</w:t>
      </w:r>
    </w:p>
    <w:p w:rsidR="0085709A" w:rsidRDefault="0085709A" w:rsidP="0085709A">
      <w:pPr>
        <w:pStyle w:val="TextoNormal"/>
      </w:pPr>
    </w:p>
    <w:p w:rsidR="0085709A" w:rsidRDefault="0085709A" w:rsidP="0085709A">
      <w:pPr>
        <w:pStyle w:val="TextoNormal"/>
      </w:pPr>
      <w:r w:rsidRPr="0085709A">
        <w:rPr>
          <w:rStyle w:val="NumeroAFNegritaCaracter"/>
        </w:rPr>
        <w:t>8</w:t>
      </w:r>
      <w:r>
        <w:t>. En general, toda reducción del número de representantes a elegir en una circunscripción electoral no favorecerá, más bien al contrario, la mayor proporcionalidad del sistema electoral de que se trate, según ya advertimos, con cita de anteriores pronunciamientos, en la STC 197/2014 [FJ 7 a)]. En ello cabe inicialmente convenir, a reserva de lo que se dirá, con lo que en la demanda se aduce. Dijimos también en aquella Sentencia que la menor proporcionalidad en principio asociada a la disminución del número de puestos a cubrir (de escaños, en este caso) no es un efecto jurídico determinado sólo, de manera directa y necesaria, por las normas que asignen diputados a cada circunscripción; observamos que una importancia no menor tendrán —para restringir o, incluso, para favorecer la proporcionalidad— elementos o variables ajenos a toda predeterminación jurídica; sobre todo, el número de candidaturas presentadas y el grado mayor o menor de concentración o dispersión entre ellas del sufragio de los electores.</w:t>
      </w:r>
    </w:p>
    <w:p w:rsidR="0085709A" w:rsidRDefault="0085709A" w:rsidP="0085709A">
      <w:pPr>
        <w:pStyle w:val="TextoNormal"/>
      </w:pPr>
    </w:p>
    <w:p w:rsidR="0085709A" w:rsidRDefault="0085709A" w:rsidP="0085709A">
      <w:pPr>
        <w:pStyle w:val="TextoNormal"/>
      </w:pPr>
      <w:r>
        <w:t>En atención a lo que acaba de ser recordado, y por lo que de inmediato se dirá, no es posible compartir la censura de inconstitucionalidad que la demanda dirige contra la Ley 4/2014. Se alza tal reproche, en efecto, a partir de un planteamiento preventivo o hipotético que es inidóneo, como tal, para pedir la invalidación de cualquier Ley y sobre la base, además, de un entendimiento errado de lo que impone la exigencia constitucional de proporcionalidad para la elección de las asambleas legislativas de las Comunidades Autónomas (art. 152.1 CE):</w:t>
      </w:r>
    </w:p>
    <w:p w:rsidR="0085709A" w:rsidRDefault="0085709A" w:rsidP="0085709A">
      <w:pPr>
        <w:pStyle w:val="TextoNormal"/>
      </w:pPr>
    </w:p>
    <w:p w:rsidR="0085709A" w:rsidRDefault="0085709A" w:rsidP="0085709A">
      <w:pPr>
        <w:pStyle w:val="TextoNormal"/>
      </w:pPr>
      <w:r>
        <w:t xml:space="preserve">a) Las bases argumentales de este recurso, como ya ocurriera con el dirigido contra la Ley Orgánica 2/2014, son en muy buena medida preventivas o cautelares, construidas como están a partir de lo que se presenta al modo de prognosis del sentido del sufragio por venir </w:t>
      </w:r>
      <w:r>
        <w:lastRenderedPageBreak/>
        <w:t>mediante extrapolaciones o ejercicios de proyección de anteriores resultados electorales sobre unos comicios futuros. Un planteamiento de este género es, en general, y conforme a una muy reiterada jurisprudencia constitucional, inconducente para instar la declaración de inconstitucionalidad de una ley y no ha de servir ahora para llevar a este Tribunal a la convicción de que la norma impugnada deparará la supresión o abolición de la proporcionalidad que exige el art. 152.1 CE tan sólo por haber reducido, en los términos dichos, el número de diputados de las Cortes de Castilla-La Mancha [STC 197/2014, FJ 7 c) y jurisprudencia allí citada]. Este carácter preventivo del recurso se muestra, muy en particular, a propósito de lo que con profusión en él se llaman “barreras electorales”, calificadas de desmedidas, para el acceso de las distintas candidaturas al procedimiento de asignación de escaños. Como ya dijo la STC 197/2014, en el fundamento jurídico recién citado, por barrera electoral o cláusula de exclusión se ha de entender la fijación normativa de un determinado porcentaje de sufragios para acceder a la fase de adjudicación de escaños; es de todo punto evidente que la Ley 4/2014 ni establece límite alguno de este tipo a la proporcionalidad ni modifica el establecido en el art. 17 a) de la Ley 5/1986, electoral de Castilla-La Mancha (un 3 por 100 de los votos válidos emitidos en la circunscripción). Lo que los Senadores recurrentes llaman aquí “barreras electorales” no son tales, sino —hemos de reiterar— unos hipotéticos umbrales porcentuales para la obtención, según los varios “escenarios” que anticipan, del último escaño en liza conforme a la regla d´Hondt; ello sobre la base de estimaciones conjeturales, ajenas a cualquier determinación excluyente del legislador y dependientes más bien, como prospecciones o simulaciones que son, del número de candidaturas que lleguen a concurrir y de la mayor o menor concentración o dispersión sobre ellas del futuro sufragio de los electores. En nada de ello —dijimos en la STC 197/2014 y reiteramos ahora— puede basarse el aserto de que la Ley impugnada habría constreñido la proporcionalidad por vía del establecimiento de una barrera electoral excesiva.</w:t>
      </w:r>
    </w:p>
    <w:p w:rsidR="0085709A" w:rsidRDefault="0085709A" w:rsidP="0085709A">
      <w:pPr>
        <w:pStyle w:val="TextoNormal"/>
      </w:pPr>
    </w:p>
    <w:p w:rsidR="0085709A" w:rsidRDefault="0085709A" w:rsidP="0085709A">
      <w:pPr>
        <w:pStyle w:val="TextoNormal"/>
      </w:pPr>
      <w:r>
        <w:t>En definitiva, y como también advertimos en la STC 197/2014, el grado, incierto hoy, en que la proporcionalidad pueda llegar a contraerse a resultas de lo dispuesto en esta Ley no es algo que quepa enjuiciar, en abstracto, por este Tribunal Constitucional.</w:t>
      </w:r>
    </w:p>
    <w:p w:rsidR="0085709A" w:rsidRDefault="0085709A" w:rsidP="0085709A">
      <w:pPr>
        <w:pStyle w:val="TextoNormal"/>
      </w:pPr>
    </w:p>
    <w:p w:rsidR="0085709A" w:rsidRDefault="0085709A" w:rsidP="0085709A">
      <w:pPr>
        <w:pStyle w:val="TextoNormal"/>
      </w:pPr>
      <w:r>
        <w:t xml:space="preserve">b) No es sólo, sin embargo, que la Ley impugnada se tache de contraria a la proporcionalidad que la Constitución y el Estatuto de Autonomía de Castilla-La Mancha imponen sobre la base, de todo punto insuficiente, de unos hipotéticos resultados electorales futuros que están, sin embargo, por entero en manos de los electorales. Se trata además, y en relación con ello, de que el recurso muestra un entendimiento de lo exigido por los arts. 152.1 CE y 10.2 EACM y, en general, por las normas del bloque de la constitucionalidad referidas a la representación proporcional, que no se compadece, según constante jurisprudencia de este Tribunal, con el recto sentido de tales preceptos. Bastará para ilustrar lo dicho con remitirnos a nuestra jurisprudencia al respecto y en especial, una vez más, a la tan citada STC 197/2014 [FJ 7 b)]; en ella recordamos que las exigencias constitucionales en punto a la proporcionalidad han de ser vistas como imperativos de tendencia que orientan, pero no conforman, la libertad de configuración del legislador (ATC 240/2008, de 22 de julio, FJ 2), cuyo insuprimible y amplio margen de autodeterminación no ha de quedar comprometido en pos de la consecución de un apenas concebible sistema “puro” de representación proporcional (STC 75/1985, de 21 de junio, FJ 5). Observamos también entonces que las reglas constitucionales referidas a la proporcionalidad no pueden interpretarse como imperativos de resultados y sí, con carácter bastante más limitado, como mandatos al legislador para establecer una condición de posibilidad de la proporcionalidad misma. Mandatos de </w:t>
      </w:r>
      <w:r>
        <w:lastRenderedPageBreak/>
        <w:t xml:space="preserve">alcance negativo, precisamos en aquella Sentencia, que se cifran, por lo pronto, en la interdicción de la aplicación pura y simple de un criterio mayoritario o de mínima corrección; esto conlleva la necesaria conformación de las circunscripciones electorales en modo tal que no se impida </w:t>
      </w:r>
      <w:r w:rsidRPr="0085709A">
        <w:rPr>
          <w:i/>
        </w:rPr>
        <w:t>de iure</w:t>
      </w:r>
      <w:r>
        <w:t xml:space="preserve"> toda posible proporcionalidad, en el grado y extensión que sea, para la conversión de votos en escaños. Junto a ello, en la prohibición, también, de la desfiguración por ley de lo que hemos llamado “esencia” de la proporcionalidad mediante límites directos de la misma, como las barreras electorales o cláusulas de exclusión que, vista su entidad, llegasen a resultar desmedidas o exorbitantes para la igualdad de oportunidades entre candidaturas. Concluimos en aquella ocasión que, si límites como estos no hubieran sido transgredidos, no podría ya este Tribunal erigirse en juez del grado, mayor o menor, suficiente o no, según estimaciones políticas, de la proporcionalidad auspiciada por determinado sistema electoral, en cada una de sus piezas y en la conjunción de todas ellas, pues, si tal hiciera, ocuparía el lugar que corresponde al legislador.</w:t>
      </w:r>
    </w:p>
    <w:p w:rsidR="0085709A" w:rsidRDefault="0085709A" w:rsidP="0085709A">
      <w:pPr>
        <w:pStyle w:val="TextoNormal"/>
      </w:pPr>
    </w:p>
    <w:p w:rsidR="0085709A" w:rsidRDefault="0085709A" w:rsidP="0085709A">
      <w:pPr>
        <w:pStyle w:val="TextoNormal"/>
      </w:pPr>
      <w:r>
        <w:t xml:space="preserve">La jurisprudencia recién recordada conduce derechamente a rechazar que la Ley 4/2014 haya quebrantado la exigencia constitucional de proporcionalidad por haber reducido hasta 33 el número de representantes en las Cortes de Castilla-La Mancha y disminuido, con ello, el número de escaños a cubrir en cada circunscripción electoral. Con independencia de que aquella reducción de la dimensión de la Cámara lo ha sido, como es patente, dentro de los límites fijados por la Ley Orgánica 2/2014 (cuya inconstitucionalidad, por esta causa, excluimos en la STC 197/2014), es ahora obligado constatar que la específica disminución del número de escaños a elegir en cada una de las circunscripciones que de tal reducción se sigue en modo alguno impide toda posible proporcionalidad —en el grado y extensión que sea— del sistema electoral para la integración de las Cortes de la Comunidad Autónoma. Compete al legislador determinar el número de escaños asignados a cada circunscripción (STC 45/1992, de 2 de abril, FJ 5) o condicionar su determinación; decisión ésta que no debe hacerse en modo tal que se impida </w:t>
      </w:r>
      <w:r w:rsidRPr="0085709A">
        <w:rPr>
          <w:i/>
        </w:rPr>
        <w:t>de iure</w:t>
      </w:r>
      <w:r>
        <w:t xml:space="preserve"> toda posible proporcionalidad —cuando la Constitución la exija— en el procedimiento de conversión de votos en escaños. Pero si la configuración de las circunscripciones —su magnitud, por lo que aquí interesa— no imposibilita, en sí misma, tal posible despliegue de la proporcionalidad no podrá ya censurarse la opción legislativa en términos jurídico-constitucionales, so pena de convertir la legítima crítica política en argumento de inconstitucionalidad; en ello incurre a menudo la demanda al calificar, por ejemplo, de “poco creíble y poco fiable” esta reforma de la Ley electoral.</w:t>
      </w:r>
    </w:p>
    <w:p w:rsidR="0085709A" w:rsidRDefault="0085709A" w:rsidP="0085709A">
      <w:pPr>
        <w:pStyle w:val="TextoNormal"/>
      </w:pPr>
    </w:p>
    <w:p w:rsidR="0085709A" w:rsidRDefault="0085709A" w:rsidP="0085709A">
      <w:pPr>
        <w:pStyle w:val="TextoNormal"/>
      </w:pPr>
      <w:r>
        <w:t xml:space="preserve">Para descartar que se hayan transgredido límites como los recién señalados basta con constatar que la Ley 4/2014 asigna un mínimo inicial de tres diputados a cada una de las cinco circunscripciones provinciales de la Comunidad Autónoma y que dispone la distribución entre ellas de los dieciocho escaños restantes con arreglo a la respectiva población (números 2 y 3 del nuevo art. 16 de la Ley 5/1986, electoral de Castilla-La Mancha). No es cometido de este Tribunal, como es obvio, fijar por Sentencia el concreto número de escaños que así corresponderá a cada circunscripción, determinación ésta que le corresponde al decreto de convocatoria de elecciones con arreglo a lo dispuesto en la Ley electoral (art. 16.4) y sobre la base de los datos oficiales de población (en lo que ahora hace al caso, Real Decreto 1007/2014, de 5 de diciembre, por el que se declaran oficiales las cifras de población resultantes de la revisión del padrón municipal referidas al 1 de enero de 2014). Pero sí le corresponde constatar que, por cuanto queda dicho, la asignación de escaños a cada una de las circunscripciones electorales de Castilla-La Mancha resultante de lo establecido en la Ley </w:t>
      </w:r>
      <w:r>
        <w:lastRenderedPageBreak/>
        <w:t>impugnada (número inicial de escaños por provincia y asignación del resto según su respectiva población) queda lejos de impedir, frente a lo que sostiene el recurso, todo posible despliegue de la proporcionalidad exigida por los arts. 152.1 CE y 10.2 EACM. El sistema electoral para la integración de las Cortes de la Comunidad Autónoma no ha perdido por obra de la Ley impugnada, en definitiva, su capacidad para reflejar, según decida el cuerpo electoral, las principales opciones políticas existentes y en esto, por lo que ahora importa, es en lo que se cifra, como en ocasión anterior dejamos dicho, la no transgresión del mandato constitucional de proporcionalidad (STC 225/1998, de 25 de noviembre, FJ 7), sin que sea tarea de este Tribunal decir cosa alguna sobre la mayor o menor corrección constitucional de otras posibles opciones legislativas que hubieran podido adoptarse tanto en cuanto a la composición numérica de la Cámara como para el reparto de escaños entre las circunscripciones electorales (STC 19/2011, de 3 de marzo, FJ 3). El art. 152.1 CE no ha sido, por todo ello, vulnerado. Tampoco lo ha sido, en consecuencia, el art. 10.2 EACM.</w:t>
      </w:r>
    </w:p>
    <w:p w:rsidR="0085709A" w:rsidRDefault="0085709A" w:rsidP="0085709A">
      <w:pPr>
        <w:pStyle w:val="TextoNormal"/>
      </w:pPr>
    </w:p>
    <w:p w:rsidR="0085709A" w:rsidRDefault="0085709A" w:rsidP="0085709A">
      <w:pPr>
        <w:pStyle w:val="TextoNormal"/>
      </w:pPr>
      <w:r w:rsidRPr="0085709A">
        <w:rPr>
          <w:rStyle w:val="NumeroAFNegritaCaracter"/>
        </w:rPr>
        <w:t>9</w:t>
      </w:r>
      <w:r>
        <w:t>. No conculcada, en suma, la proporcionalidad que la Constitución y el Estatuto de Autonomía exigen, es obligado concluir en que tampoco lo han sido ni el pluralismo político ni la norma que enuncia el derecho de acceso a los cargos públicos en condiciones de igualdad y de conformidad con los requisitos que señalen las leyes (arts. 1.1 y 23.2 CE).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recurso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9" w:name="SENTENCIA_2015_16"/>
      <w:r>
        <w:lastRenderedPageBreak/>
        <w:t>SENTENCIA 16/2015, de 16 de febrero de 2015</w:t>
      </w:r>
    </w:p>
    <w:bookmarkEnd w:id="19"/>
    <w:p w:rsidR="0085709A" w:rsidRDefault="0085709A" w:rsidP="0085709A">
      <w:pPr>
        <w:pStyle w:val="TtuloResolucin"/>
      </w:pPr>
      <w:r>
        <w:t>Sala Primera</w:t>
      </w:r>
    </w:p>
    <w:p w:rsidR="0085709A" w:rsidRDefault="0085709A" w:rsidP="0085709A">
      <w:pPr>
        <w:pStyle w:val="TtuloBOE"/>
      </w:pPr>
      <w:r>
        <w:t>(BOE núm. 64, de 16 de marzo de 2015)</w:t>
      </w:r>
    </w:p>
    <w:p w:rsidR="0085709A" w:rsidRDefault="0085709A" w:rsidP="0085709A">
      <w:pPr>
        <w:pStyle w:val="TextoNormalCentrado"/>
      </w:pPr>
      <w:r>
        <w:t>ECLI:ES:TC:2015:16</w:t>
      </w:r>
    </w:p>
    <w:p w:rsidR="0085709A" w:rsidRDefault="0085709A" w:rsidP="0085709A">
      <w:pPr>
        <w:pStyle w:val="TextoNormalCentrado"/>
      </w:pPr>
    </w:p>
    <w:p w:rsidR="0085709A" w:rsidRDefault="0085709A" w:rsidP="0085709A">
      <w:pPr>
        <w:pStyle w:val="SntesisDescriptiva"/>
      </w:pPr>
      <w:r>
        <w:t>Recurso de amparo 1114-2012. Promovido por JOSEL, S.L., en relación con el Auto de la Sala de lo Contencioso-Administrativo del Tribunal Supremo que inadmitió su recurso de casación frente a Sentencia de la Audiencia Nacional sobre liquidación y sanción del impuesto de sociedades.</w:t>
      </w:r>
    </w:p>
    <w:p w:rsidR="0085709A" w:rsidRDefault="0085709A" w:rsidP="0085709A">
      <w:pPr>
        <w:pStyle w:val="SntesisDescriptiva"/>
      </w:pPr>
    </w:p>
    <w:p w:rsidR="0085709A" w:rsidRDefault="0085709A" w:rsidP="0085709A">
      <w:pPr>
        <w:pStyle w:val="SntesisAnaltica"/>
      </w:pPr>
      <w:r>
        <w:t>Recurso de amparo 1114-2012. 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a la inadmisión de un recurso de casación por omitirse en el escrito de preparación la cita de las normas y jurisprudencia que se reputan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1114-2012, promovido por Josel, S.L., (sucesora por absorción de Donca, S.A.) representada por el Procurador de los Tribunales don Antonio Sorribes Calle y defendida por el Letrado don Miguel Andrés Riera, contra el auto de la Sala Tercera del Tribunal Supremo, de 22 de septiembre de 2011, por el que se inadmite el recurso de casación núm. 310-2011, deducido contra la sentencia de la Sala de lo Contencioso-</w:t>
      </w:r>
      <w:r>
        <w:lastRenderedPageBreak/>
        <w:t>administrativo de Audiencia Nacional, de 2 de diciembre de 2010, así como contra la providencia de la misma Sala, de 16 de enero de 2012, por la que se inadmite el incidente de nulidad deducido contra aquel auto. Ha intervenido el Abogado del Estado, así como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27 de febrero de 2012, el Procurador don Antonio Sorribes Calle, formuló demanda contra las resoluciones judiciales reseñadas en el encabezamiento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relevantes para la resolución del presente recurso de amparo son, sucintamente expuestos, los siguientes:</w:t>
      </w:r>
    </w:p>
    <w:p w:rsidR="0085709A" w:rsidRDefault="0085709A" w:rsidP="0085709A">
      <w:pPr>
        <w:pStyle w:val="TextoNormal"/>
      </w:pPr>
    </w:p>
    <w:p w:rsidR="0085709A" w:rsidRDefault="0085709A" w:rsidP="0085709A">
      <w:pPr>
        <w:pStyle w:val="TextoNormal"/>
      </w:pPr>
      <w:r>
        <w:t>a) La Sección Segunda de la Sala de lo Contencioso-Administrativo de la Audiencia Nacional, dictó Sentencia de 2 de diciembre de 2010, por la que estimó parcialmente el recurso deducido por la demandante de amparo contra la resolución del Tribunal Económico-Administrativo Central de 14 de septiembre de 2007, en relación con acuerdos de liquidación y sanción dictados respecto del impuesto de sociedades, ejercicios 1999 y 2000, por las que se anulaba la sanción impuesta y se desestimaba el recurso en todo lo demás.</w:t>
      </w:r>
    </w:p>
    <w:p w:rsidR="0085709A" w:rsidRDefault="0085709A" w:rsidP="0085709A">
      <w:pPr>
        <w:pStyle w:val="TextoNormal"/>
      </w:pPr>
    </w:p>
    <w:p w:rsidR="0085709A" w:rsidRDefault="0085709A" w:rsidP="0085709A">
      <w:pPr>
        <w:pStyle w:val="TextoNormal"/>
      </w:pPr>
      <w:r>
        <w:t>b) Contra dicha resolución prepararon recurso de casación tanto el Abogado del Estado como la demandante de amparo, que lo hizo mediante escrito de fecha 10 de enero de 2011. En él puso de manifiesto la intención de interponerlo, la legitimación de la parte recurrente, el cumplimiento del plazo para la presentación del escrito, el carácter recurrible de la resolución impugnada y la suficiencia de la cuantía para el acceso a la casación; a ello añadió la precisión de que el recurso iba a fundarse en los motivos previstos en los apartados c) y d) del art. 88.1 de la Ley reguladora de la jurisdicción contencioso-administrativa (LJCA). El recurso fue tenido por preparado por diligencia de ordenación de la Sala de lo Contencioso-Administrativo de la Audiencia Nacional de 12 de enero de 2011.</w:t>
      </w:r>
    </w:p>
    <w:p w:rsidR="0085709A" w:rsidRDefault="0085709A" w:rsidP="0085709A">
      <w:pPr>
        <w:pStyle w:val="TextoNormal"/>
      </w:pPr>
    </w:p>
    <w:p w:rsidR="0085709A" w:rsidRDefault="0085709A" w:rsidP="0085709A">
      <w:pPr>
        <w:pStyle w:val="TextoNormal"/>
      </w:pPr>
      <w:r>
        <w:t>c) Mediante escrito presentado en el Registro General del Tribunal Supremo el día 16 de febrero de 2011, la demandante de amparo se personó y formalizó el escrito de interposición del recurso de casación. Tras ser requerida la demandante de amparo para la justificación del pago de la correspondiente tasa por el ejercicio de la potestad jurisdiccional y ser cumplimentado el indicado requerimiento, la Sala Tercera del Tribunal Supremo dictó providencia de 22 de marzo de 2011 por la que tenía por interpuesto el recurso de casación presentado por la demandante de amparo, así como el presentado por el Abogado del Estado.</w:t>
      </w:r>
    </w:p>
    <w:p w:rsidR="0085709A" w:rsidRDefault="0085709A" w:rsidP="0085709A">
      <w:pPr>
        <w:pStyle w:val="TextoNormal"/>
      </w:pPr>
    </w:p>
    <w:p w:rsidR="0085709A" w:rsidRDefault="0085709A" w:rsidP="0085709A">
      <w:pPr>
        <w:pStyle w:val="TextoNormal"/>
      </w:pPr>
      <w:r>
        <w:t xml:space="preserve">d) Mediante providencia de 9 de mayo de 2011, el órgano judicial acordó poner de manifiesto las actuaciones a las partes por término de diez días para que alegaran lo que estimaren procedente en relación con la posible concurrencia de la causa de inadmisión en los recursos de casación interpuestos, consistente en “defectuosa preparación de los recursos, pues no se ha hecho indicación en los respectivos escritos de preparación de las correspondientes infracciones normativas o jurisprudenciales que se desarrollarán en el escrito de interposición de cada recurrente [artículos 88.1, 89.1 y 93.2 a) de la Ley Jurisdiccional y ATS </w:t>
      </w:r>
      <w:r>
        <w:lastRenderedPageBreak/>
        <w:t>de 10 de febrero de 2011, recurso núm. 2927-2010]”. Tanto el Abogado del Estado como el demandante de amparo cumplieron el trámite conferido interesando la admisión del recurso de casación respectivamente interpuesto.</w:t>
      </w:r>
    </w:p>
    <w:p w:rsidR="0085709A" w:rsidRDefault="0085709A" w:rsidP="0085709A">
      <w:pPr>
        <w:pStyle w:val="TextoNormal"/>
      </w:pPr>
    </w:p>
    <w:p w:rsidR="0085709A" w:rsidRDefault="0085709A" w:rsidP="0085709A">
      <w:pPr>
        <w:pStyle w:val="TextoNormal"/>
      </w:pPr>
      <w:r>
        <w:t>e) Seguidamente el Tribunal Supremo dictó el Auto de 22 de septiembre de 2011 frente al que se demanda amparo, por el que inadmitió el recurso de casación deducido por el demandante, así como el interpuesto por el Abogado del Estado.</w:t>
      </w:r>
    </w:p>
    <w:p w:rsidR="0085709A" w:rsidRDefault="0085709A" w:rsidP="0085709A">
      <w:pPr>
        <w:pStyle w:val="TextoNormal"/>
      </w:pPr>
    </w:p>
    <w:p w:rsidR="0085709A" w:rsidRDefault="0085709A" w:rsidP="0085709A">
      <w:pPr>
        <w:pStyle w:val="TextoNormal"/>
      </w:pPr>
      <w:r>
        <w:t>La Sala se remitió al ATS de 10 de febrero de 2011, del que transcribió varios de sus fundamentos, a la vista de los cuales concluyó, en lo que ahora interesa, que, no habiéndose citado en el escrito de preparación del recurso formalizado por la sociedad recurrente las infracciones normativas o jurisprudenciales que iban a desarrollarse en el escrito de interposición, pues se limitaba anunciar que el recurso se fundamentaría en los motivos previstos en los apartados c) y d) del art. 88.1 de la Ley jurisdiccional, procedía la inadmisión del recurso de casación deducido por la demandante de amparo. También se inadmitía, por igual motivo, el interpuesto por el Abogado del Estado.</w:t>
      </w:r>
    </w:p>
    <w:p w:rsidR="0085709A" w:rsidRDefault="0085709A" w:rsidP="0085709A">
      <w:pPr>
        <w:pStyle w:val="TextoNormal"/>
      </w:pPr>
    </w:p>
    <w:p w:rsidR="0085709A" w:rsidRDefault="0085709A" w:rsidP="0085709A">
      <w:pPr>
        <w:pStyle w:val="TextoNormal"/>
      </w:pPr>
      <w:r>
        <w:t>Además de remitirse a las consideraciones jurídicas vertidas en los AATS, de 10 de octubre de 2010 y de 10 de febrero de 2011, el Tribunal Supremo argumenta:</w:t>
      </w:r>
    </w:p>
    <w:p w:rsidR="0085709A" w:rsidRDefault="0085709A" w:rsidP="0085709A">
      <w:pPr>
        <w:pStyle w:val="TextoNormal"/>
      </w:pPr>
    </w:p>
    <w:p w:rsidR="0085709A" w:rsidRDefault="0085709A" w:rsidP="0085709A">
      <w:pPr>
        <w:pStyle w:val="TextoNormal"/>
      </w:pPr>
      <w:r>
        <w:t xml:space="preserve">“[L]a primera fase de preparación del recurso de casación no se configura en el sistema de la Ley Jurisdiccional como un mero formalismo carente de mayor trascendencia, sino más bien como un trámite que adquiere sustantividad propia, en cuanto ha sido establecido por el legislador con la evidente finalidad de permitir al mismo Tribunal que ha dictado la resolución judicial efectuar un primer juicio sobre la procedencia del recurso y constatar si se dan las condiciones previstas en la Ley de la Jurisdicción para darle trámite y remitir lo actuado ante el Tribunal Supremo; y con el propósito de proporcionar a la parte recurrida información acerca de los motivos en que se fundamentará el recurso de casación. Obvio es que esa finalidad sólo puede cumplirse si la Sala </w:t>
      </w:r>
      <w:r w:rsidRPr="0085709A">
        <w:rPr>
          <w:i/>
        </w:rPr>
        <w:t>a quo</w:t>
      </w:r>
      <w:r>
        <w:t xml:space="preserve"> y las partes disponen de toda la información necesaria para formar criterio sobre tal cuestión; de ahí que sea carga del interesado en recurrir en casación proporcionar ya en el escrito de preparación los datos indispensables para comprobar el cumplimiento de esos requisitos, sin que, por lo demás, esta carga procesal que sólo al recurrente afecta, pueda ni deba ser cumplida o completada por la Sala, de oficio y en perjuicio de la parte procesal enfrentada a quien pretende recurrir. Además, y respecto de los requisitos exigibles en el escrito de preparación, ha de reconocerse que no ha existido una jurisprudencia unánime en relación a la necesidad de anticipar en dicho escrito los concretos motivos que se harán valer en la interposición del recurso, ni en cuanto a las consecuencias de la omisión de ese extremo, o de la falta de correlación entre los motivos anunciados en la preparación y los posteriormente desarrollados en la interposición. Por ello, con la doctrina expuesta en los Autos de 10 de octubre de 2010 y de 10 de febrero de 2011 se ha clarificado la doctrina jurisprudencial en relación a tal cuestión, reconduciéndose con arreglo a las consideraciones que se expresan en los citados Autos.</w:t>
      </w:r>
    </w:p>
    <w:p w:rsidR="0085709A" w:rsidRDefault="0085709A" w:rsidP="0085709A">
      <w:pPr>
        <w:pStyle w:val="TextoNormal"/>
      </w:pPr>
    </w:p>
    <w:p w:rsidR="0085709A" w:rsidRDefault="0085709A" w:rsidP="0085709A">
      <w:pPr>
        <w:pStyle w:val="TextoNormal"/>
      </w:pPr>
      <w:r>
        <w:t xml:space="preserve">Por otra parte, lo que pone de manifiesto cada uno de los escritos de preparación presentados es que su actuación en todos los casos se ha efectuado de la misma manera para cualquier recurso de casación, cuando en la fase de preparación debe anunciarse el concreto o concretos motivos en que se fundará ese recurso, y no cualquier otro, de entre los previstos en el art. 88.1 LJCA. Y eso sólo puede hacerse si junto al anuncio del cauce procesal que se </w:t>
      </w:r>
      <w:r>
        <w:lastRenderedPageBreak/>
        <w:t>va a seguir, anudado a ello, se hace indicación de las infracciones normativas o jurisprudenciales que se pretendan denunciar y desarrollar en el escrito de interposición del recurso de casación concreto de que se trate, aunque fuere de forma sucinta.</w:t>
      </w:r>
    </w:p>
    <w:p w:rsidR="0085709A" w:rsidRDefault="0085709A" w:rsidP="0085709A">
      <w:pPr>
        <w:pStyle w:val="TextoNormal"/>
      </w:pPr>
    </w:p>
    <w:p w:rsidR="0085709A" w:rsidRDefault="0085709A" w:rsidP="0085709A">
      <w:pPr>
        <w:pStyle w:val="TextoNormal"/>
      </w:pPr>
      <w:r>
        <w:t>En cuanto a que se declare la irretroactividad de la nueva doctrina de la Sala relativa a la defectuosa preparación, tampoco puede acogerse. 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y la consecuencia de una diferente concepción jurídica igualmente razonable y fundada en Derecho de los supuestos sometidos a su decisión.</w:t>
      </w:r>
    </w:p>
    <w:p w:rsidR="0085709A" w:rsidRDefault="0085709A" w:rsidP="0085709A">
      <w:pPr>
        <w:pStyle w:val="TextoNormal"/>
      </w:pPr>
    </w:p>
    <w:p w:rsidR="0085709A" w:rsidRDefault="0085709A" w:rsidP="0085709A">
      <w:pPr>
        <w:pStyle w:val="TextoNormal"/>
      </w:pPr>
      <w:r>
        <w:t>El Tribunal Constitucional viene entendiendo (entre otras, STC 76/2005, de 4 de abril, recurso de amparo núm.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núm. 6002-2002).</w:t>
      </w:r>
    </w:p>
    <w:p w:rsidR="0085709A" w:rsidRDefault="0085709A" w:rsidP="0085709A">
      <w:pPr>
        <w:pStyle w:val="TextoNormal"/>
      </w:pPr>
    </w:p>
    <w:p w:rsidR="0085709A" w:rsidRDefault="0085709A" w:rsidP="0085709A">
      <w:pPr>
        <w:pStyle w:val="TextoNormal"/>
      </w:pPr>
      <w:r>
        <w:t xml:space="preserve">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(por todas, STC 176/2000, de 26 de junio, recurso de amparo núm. 6604-1997).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núm.5552-1997 y STS de 22 de diciembre de 2003, recurso de casación núm. 5455-1998.</w:t>
      </w:r>
    </w:p>
    <w:p w:rsidR="0085709A" w:rsidRDefault="0085709A" w:rsidP="0085709A">
      <w:pPr>
        <w:pStyle w:val="TextoNormal"/>
      </w:pPr>
    </w:p>
    <w:p w:rsidR="0085709A" w:rsidRDefault="0085709A" w:rsidP="0085709A">
      <w:pPr>
        <w:pStyle w:val="TextoNormal"/>
      </w:pPr>
      <w:r>
        <w:t>Recuérdese, asimismo, que el Tribunal Constitucional ha declarado en numerosos pronunciamientos que ‘el juzgador está sujeto a la ley, no a sus precedentes, por lo que no puede considerarse inconstitucional la evolución en la interpretación judicial de la legalidad, que constituye, junto con la modificación normativa, uno de los instrumentos para la adaptación del Derecho a la realidad cambiante’ (por todas, STC 242/1992, de 21 de diciembre, recurso de amparo núm. 2738 -1990).</w:t>
      </w:r>
    </w:p>
    <w:p w:rsidR="0085709A" w:rsidRDefault="0085709A" w:rsidP="0085709A">
      <w:pPr>
        <w:pStyle w:val="TextoNormal"/>
      </w:pPr>
    </w:p>
    <w:p w:rsidR="0085709A" w:rsidRDefault="0085709A" w:rsidP="0085709A">
      <w:pPr>
        <w:pStyle w:val="TextoNormal"/>
      </w:pPr>
      <w:r>
        <w:t xml:space="preserve">Además, y en contra de lo alegado por la parte recurrente, esta Sala considera que no puede acudirse al principio de no retroactividad, por cuanto no produce su invocación en términos estrictos a dichos cambios jurisprudenciales, toda vez que el engarce constitucional con el art. 9.3 de nuestra Norma Fundamental sólo abarca a ‘disposiciones’, naturaleza jurídica que no puede predicarse de las resoluciones judiciales, razón por la cual el Tribunal Supremo puede aplicar la nueva doctrina jurisprudencial a todo supuesto o situación jurídica </w:t>
      </w:r>
      <w:r>
        <w:lastRenderedPageBreak/>
        <w:t xml:space="preserve">que tenga ante sí para resolver, tanto las surgidas en el pasado como las que son objeto actual del proceso,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w:t>
      </w:r>
      <w:r w:rsidRPr="0085709A">
        <w:rPr>
          <w:i/>
        </w:rPr>
        <w:t>obiter dictum</w:t>
      </w:r>
      <w:r>
        <w:t>, convirtiendo al Tribunal en legislador, amén de que se frustraría la finalidad del proceso porque la sentencia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 24 de la Constitución Española.</w:t>
      </w:r>
    </w:p>
    <w:p w:rsidR="0085709A" w:rsidRDefault="0085709A" w:rsidP="0085709A">
      <w:pPr>
        <w:pStyle w:val="TextoNormal"/>
      </w:pPr>
    </w:p>
    <w:p w:rsidR="0085709A" w:rsidRDefault="0085709A" w:rsidP="0085709A">
      <w:pPr>
        <w:pStyle w:val="TextoNormal"/>
      </w:pPr>
      <w:r>
        <w:t>Finalmente, y en relación a la vulneración del principio de la tutela judicial efectiva consagrado en el art. 24 CE, ha de expresarse que las posibles restricciones a la recurribilidad de determinadas resoluciones no son incompatibles con el derecho a la tutela judicial efectiva del art. 24.1 de la Constitución , ni con el principio de seguridad jurídica siempre que se articulen por Ley siendo doctrina reiterada de esta Sala que no se quebranta dicho derecho porque un proceso contencioso-administrativo quede resuelto en única instancia.</w:t>
      </w:r>
    </w:p>
    <w:p w:rsidR="0085709A" w:rsidRDefault="0085709A" w:rsidP="0085709A">
      <w:pPr>
        <w:pStyle w:val="TextoNormal"/>
      </w:pPr>
    </w:p>
    <w:p w:rsidR="0085709A" w:rsidRDefault="0085709A" w:rsidP="0085709A">
      <w:pPr>
        <w:pStyle w:val="TextoNormal"/>
      </w:pPr>
      <w:r>
        <w:t xml:space="preserve">Además, sobre el acceso a los recursos, existe una consolidada doctrina del Tribunal Constitucional que, reiterada en su Sentencia 252/2004, de 20 de diciembre, puede resumirse en lo siguiente: ‘... como hemos sintetizado en la STC 71/2002, de 8 de abril, mientras que el derecho a una respuesta judicial sobre las pretensiones esgrimidas goza de naturaleza constitucional, en tanto que deriva directamente del art. 24.1 CE ,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 FJ 5). Como consecuencia de lo anterior, el principio hermenéutico </w:t>
      </w:r>
      <w:r w:rsidRPr="0085709A">
        <w:rPr>
          <w:i/>
        </w:rPr>
        <w:t>pro actione</w:t>
      </w:r>
      <w:r>
        <w:t xml:space="preserv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w:t>
      </w:r>
    </w:p>
    <w:p w:rsidR="0085709A" w:rsidRDefault="0085709A" w:rsidP="0085709A">
      <w:pPr>
        <w:pStyle w:val="TextoNormal"/>
      </w:pPr>
    </w:p>
    <w:p w:rsidR="0085709A" w:rsidRDefault="0085709A" w:rsidP="0085709A">
      <w:pPr>
        <w:pStyle w:val="TextoNormal"/>
      </w:pPr>
      <w:r>
        <w:t xml:space="preserve">Por otra parte, como ha declarado también el Tribunal Constitucional en su Sentencia 230/2001, de 26 de noviembre, entendiéndose incorporado el sistema de recursos a la tutela judicial en la configuración que le otorga cada una de las Leyes reguladoras de los diversos </w:t>
      </w:r>
      <w:r>
        <w:lastRenderedPageBreak/>
        <w:t>órdenes jurisdiccionales, ‘estas leyes pueden establecer distintos requisitos procesales para la admisión de los recursos, cuya interpretación es competencia exclusiva de los Jueces y Tribunales ordinarios. Y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está sometido en su admisión a rigurosos requisitos, incluso de naturaleza formal’ (SSTC 119/1998, FJ 2, y 160/1996, de 15 de octubre, FJ 3).”</w:t>
      </w:r>
    </w:p>
    <w:p w:rsidR="0085709A" w:rsidRDefault="0085709A" w:rsidP="0085709A">
      <w:pPr>
        <w:pStyle w:val="TextoNormal"/>
      </w:pPr>
    </w:p>
    <w:p w:rsidR="0085709A" w:rsidRDefault="0085709A" w:rsidP="0085709A">
      <w:pPr>
        <w:pStyle w:val="TextoNormal"/>
      </w:pPr>
      <w:r>
        <w:t>f) El 7 de noviembre de 2011, la demandante de amparo dedujo incidente de nulidad de actuaciones en el que, con una muy extensa argumentación, alegó vulneración del “derecho a la tutela judicial efectiva, reconocido en el art. 24.1 de la Constitución, en su variante de acceso al recuso legal”; y del “derecho a la igualdad en la aplicación judicial de la ley, reconocido en el art. 14 de la misma Constitución”. Con respecto a lo primero adujo que el cambio jurisprudencial relativo a los requisitos de forma de un escrito procesal como el de preparación del recuso, aplicado retroactivamente, vulnera el derecho a la tutela judicial efectiva en la vertiente de acceso al recurso y el principio de seguridad jurídica, así como que supone una aplicación arbitraria y desproporcionada de los requisitos procesales de admisión que genera indefensión a la parte. Por lo que se refiere a la aducida vulneración del derecho a la igualdad en la aplicación de la ley, se adujo que la inadmisión acordada suponía el apartamiento de una línea doctrina consolidada que no respondía a ningún cambio normativo ni a una motivación racional.</w:t>
      </w:r>
    </w:p>
    <w:p w:rsidR="0085709A" w:rsidRDefault="0085709A" w:rsidP="0085709A">
      <w:pPr>
        <w:pStyle w:val="TextoNormal"/>
      </w:pPr>
    </w:p>
    <w:p w:rsidR="0085709A" w:rsidRDefault="0085709A" w:rsidP="0085709A">
      <w:pPr>
        <w:pStyle w:val="TextoNormal"/>
      </w:pPr>
      <w:r>
        <w:t>g) Mediante providencia de 16 de enero de 2012, frente a la que también se demanda amparo, se acordó la inadmisión a trámite del incidente de nulidad promovido por la demandante. Se razona que la demandante expresa su discrepancia con la inadmisión del recurso utilizando el incidente de nulidad a modo de recurso de súplica y que la invocación del principio constitucional alegado no puede servir de excusa para soslayar la aplicación de la ley; que el derecho de acceso al recurso es un derecho de configuración legal, razón por la cual la inadmisión del recurso en aplicación de sus requisitos interpretados de modo no irrazonable y motivadamente, no lesiona el indicado derecho; y, finalmente, que la aplicación de las reglas de admisión del recurso de casación no se hizo de manera rigorista, por lo que cabe descartar también la lesión del derecho a un proceso equitativo que garantiza el art. 6.1 del Convenio europeo para la protección de los derechos humanos y de las libertades fundamentales.</w:t>
      </w:r>
    </w:p>
    <w:p w:rsidR="0085709A" w:rsidRDefault="0085709A" w:rsidP="0085709A">
      <w:pPr>
        <w:pStyle w:val="TextoNormal"/>
      </w:pPr>
    </w:p>
    <w:p w:rsidR="0085709A" w:rsidRDefault="0085709A" w:rsidP="0085709A">
      <w:pPr>
        <w:pStyle w:val="TextoNormal"/>
      </w:pPr>
      <w:r w:rsidRPr="0085709A">
        <w:rPr>
          <w:rStyle w:val="NumeroAFNegritaCaracter"/>
        </w:rPr>
        <w:t>3</w:t>
      </w:r>
      <w:r>
        <w:t>. Para la resolución del presente recurso de amparo ha de tenerse igualmente presente lo siguiente:</w:t>
      </w:r>
    </w:p>
    <w:p w:rsidR="0085709A" w:rsidRDefault="0085709A" w:rsidP="0085709A">
      <w:pPr>
        <w:pStyle w:val="TextoNormal"/>
      </w:pPr>
    </w:p>
    <w:p w:rsidR="0085709A" w:rsidRDefault="0085709A" w:rsidP="0085709A">
      <w:pPr>
        <w:pStyle w:val="TextoNormal"/>
      </w:pPr>
      <w:r>
        <w:t xml:space="preserve">a) El art. 89.1 LJCA dispone que en el escrito de preparación del recurso de casación deberá manifestarse “la intención de interponer el recurso, con sucinta exposición de la concurrencia de los requisitos de forma exigidos”. El art. 89.2 LJCA dispone que “en el supuesto previsto en el artículo 86.4 [sentencias dictadas por las salas de lo contencioso-administrativo de los Tribunales Superiores de Justicia, contra las que solo cabe recurso si este puede fundarse en infracción de normas de Derecho estatal o comunitario europeo], habrá </w:t>
      </w:r>
      <w:r>
        <w:lastRenderedPageBreak/>
        <w:t>de justificase que la infracción de una norma estatal o comunitaria europea ha sido relevante y determinante del fallo de la sentencia”.</w:t>
      </w:r>
    </w:p>
    <w:p w:rsidR="0085709A" w:rsidRDefault="0085709A" w:rsidP="0085709A">
      <w:pPr>
        <w:pStyle w:val="TextoNormal"/>
      </w:pPr>
    </w:p>
    <w:p w:rsidR="0085709A" w:rsidRDefault="0085709A" w:rsidP="0085709A">
      <w:pPr>
        <w:pStyle w:val="TextoNormal"/>
      </w:pPr>
      <w:r>
        <w:t>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0085709A" w:rsidRDefault="0085709A" w:rsidP="0085709A">
      <w:pPr>
        <w:pStyle w:val="TextoNormal"/>
      </w:pPr>
    </w:p>
    <w:p w:rsidR="0085709A" w:rsidRDefault="0085709A" w:rsidP="0085709A">
      <w:pPr>
        <w:pStyle w:val="TextoNormal"/>
      </w:pPr>
      <w:r>
        <w:t>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0085709A" w:rsidRDefault="0085709A" w:rsidP="0085709A">
      <w:pPr>
        <w:pStyle w:val="TextoNormal"/>
      </w:pPr>
    </w:p>
    <w:p w:rsidR="0085709A" w:rsidRDefault="0085709A" w:rsidP="0085709A">
      <w:pPr>
        <w:pStyle w:val="TextoNormal"/>
      </w:pPr>
      <w:r>
        <w:t>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de 2010, FJ 6).</w:t>
      </w:r>
    </w:p>
    <w:p w:rsidR="0085709A" w:rsidRDefault="0085709A" w:rsidP="0085709A">
      <w:pPr>
        <w:pStyle w:val="TextoNormal"/>
      </w:pPr>
    </w:p>
    <w:p w:rsidR="0085709A" w:rsidRDefault="0085709A" w:rsidP="0085709A">
      <w:pPr>
        <w:pStyle w:val="TextoNormal"/>
      </w:pPr>
      <w:r>
        <w:t xml:space="preserve">e) El ATS de 10 de febrero de 2011 (recurso de casación 2927-2010), al que se ha hecho ya referencia, dictado también por la Sección Primera de la Sala de lo Contencioso-Administrativo, a la que corresponde por reparto decidir sobre la admisibilidad de los recursos de casación, dictado también con la finalidad de “clarificar” la doctrina jurisprudencial, especificó que el escrito de preparación, con carácter general, debe contener no solo la invocación de los motivos, sino también la indicación de “los concretos preceptos o jurisprudencia que se reputan infringidos o del contenido de las infracciones normativas o jurisprudenciales </w:t>
      </w:r>
      <w:r>
        <w:lastRenderedPageBreak/>
        <w:t>que se pretenda denunciar y desarrollar en el escrito de interposición del recurso de casación, aunque fuera de forma sucinta” (FJ 4).</w:t>
      </w:r>
    </w:p>
    <w:p w:rsidR="0085709A" w:rsidRDefault="0085709A" w:rsidP="0085709A">
      <w:pPr>
        <w:pStyle w:val="TextoNormal"/>
      </w:pPr>
    </w:p>
    <w:p w:rsidR="0085709A" w:rsidRDefault="0085709A" w:rsidP="0085709A">
      <w:pPr>
        <w:pStyle w:val="TextoNormal"/>
      </w:pPr>
      <w:r>
        <w:t xml:space="preserve">El citado Auto expone las razones por las cuales se introdujo esta especificación de la siguiente forma: “Si así no se exigiera, es decir, si se estimara innecesario anticipar el motivo o motivos al que se acogerá el éxito de interposición en los términos expresados, el trámite de preparación quedaría privado de sentido y finalidad característicos, desde el momento en que el tribunal </w:t>
      </w:r>
      <w:r w:rsidRPr="0085709A">
        <w:rPr>
          <w:i/>
        </w:rPr>
        <w:t>a quo</w:t>
      </w:r>
      <w:r>
        <w:t xml:space="preserve">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 1 que se utilice” (FJ 4).</w:t>
      </w:r>
    </w:p>
    <w:p w:rsidR="0085709A" w:rsidRDefault="0085709A" w:rsidP="0085709A">
      <w:pPr>
        <w:pStyle w:val="TextoNormal"/>
      </w:pPr>
    </w:p>
    <w:p w:rsidR="0085709A" w:rsidRDefault="0085709A" w:rsidP="0085709A">
      <w:pPr>
        <w:pStyle w:val="TextoNormal"/>
      </w:pPr>
      <w:r w:rsidRPr="0085709A">
        <w:rPr>
          <w:rStyle w:val="NumeroAFNegritaCaracter"/>
        </w:rPr>
        <w:t>4</w:t>
      </w:r>
      <w:r>
        <w:t>. En la demanda se reprochan al auto de inadmisión frente al que se demanda amparo las siguientes vulneraciones de derechos fundamentales:</w:t>
      </w:r>
    </w:p>
    <w:p w:rsidR="0085709A" w:rsidRDefault="0085709A" w:rsidP="0085709A">
      <w:pPr>
        <w:pStyle w:val="TextoNormal"/>
      </w:pPr>
    </w:p>
    <w:p w:rsidR="0085709A" w:rsidRDefault="0085709A" w:rsidP="0085709A">
      <w:pPr>
        <w:pStyle w:val="TextoNormal"/>
      </w:pPr>
      <w:r>
        <w:t>a) Se vulneró el derecho de la demandante a la tutela judicial efectiva (art. 24.1 CE), en su vertiente de acceso a los recursos, porque la exigencia de anticipar en el escrito de preparación del recurso de casación los concretos preceptos o la jurisprudencia que se reputan infringidos, tradicionalmente aplicable a recursos de casación frente a sentencias de los Tribunales Superiores de Justicia, se ha aplicado con carácter retroactivo a los recursos de casación deducidos frente a sentencias de la Audiencia Nacional, en un momento en que aquella exigencia no era conocida ni predecible a tenor de la jurisprudencia precedente. Añade que la argumentación del Tribunal Supremo en relación con la cosa juzgada como único límite al cambio jurisprudencial es aplicable al derecho sustantivo pero no a los requisitos procesales de forma, de modo que si no es posible anticipar el cambio de criterio al respecto por un cauce adecuado que facilite su conocimiento a los operadores jurídicos, ese cambio no es posible. Además, un cambio de criterio jurisprudencial como el controvertido va en contra del principio de seguridad jurídica y resulta desproporcionado exigirlo en relación con escritos de preparación que ya se habían presentado cuando el cambio de doctrina se introduce.</w:t>
      </w:r>
    </w:p>
    <w:p w:rsidR="0085709A" w:rsidRDefault="0085709A" w:rsidP="0085709A">
      <w:pPr>
        <w:pStyle w:val="TextoNormal"/>
      </w:pPr>
    </w:p>
    <w:p w:rsidR="0085709A" w:rsidRDefault="0085709A" w:rsidP="0085709A">
      <w:pPr>
        <w:pStyle w:val="TextoNormal"/>
      </w:pPr>
      <w:r>
        <w:t xml:space="preserve">b) En segundo lugar el demandante aduce que, más allá de su inadecuada aplicación retroactiva, es la propia doctrina sentada por el Tribunal Supremo y aplicada en el caso concretamente enjuiciado ahora, la que resulta lesiva del derecho a la tutela judicial efectiva —art. 24.1 CE— en la vertiente de acceso al recurso. Sostiene a tal efecto que la nueva exigencia introducida carece de sentido y funcionalidad cuando la sentencia recurrida en casación procede de la Audiencia Nacional, pues, a diferencia de lo que sucede con las dictadas por los Tribunales Superiores de Justicia, la admisibilidad del recurso no se condiciona a que la norma aducida como vulnerada sea estatal o comunitaria. De ahí que el requisito sobre el que se controvierte en este recurso de amparo sólo tenga sentido y esté funcionalmente ordenado a la preservación de la naturaleza del recurso de casación cuando existen restricciones en cuanto al tipo de norma en que puede fundarse el recurso, esto es, </w:t>
      </w:r>
      <w:r>
        <w:lastRenderedPageBreak/>
        <w:t>cuando procede de un Tribunal Superior de Justicia por exigirlo así los arts. 86.4 y 89.2 LJCA. En definitiva, para la demandante de amparo se trata de un requisito exigido sin el soporte funcional de la ley jurisdiccional que sólo responde a la voluntad de “limitar, por una casusa no establecida en la Ley, el número de recursos de casación pendientes, lo cual es, siempre en términos de la misma doctrina constitucional, arbitrario…”, citando a tal efecto el contenido de ciertos artículos de doctrina jurídica que pretendidamente avalan tal afirmación.</w:t>
      </w:r>
    </w:p>
    <w:p w:rsidR="0085709A" w:rsidRDefault="0085709A" w:rsidP="0085709A">
      <w:pPr>
        <w:pStyle w:val="TextoNormal"/>
      </w:pPr>
    </w:p>
    <w:p w:rsidR="0085709A" w:rsidRDefault="0085709A" w:rsidP="0085709A">
      <w:pPr>
        <w:pStyle w:val="TextoNormal"/>
      </w:pPr>
      <w:r>
        <w:t>c) En una tercera línea argumental, la demandante sostiene que la nueva exigencia jurisprudencial de anticipar en el escrito de preparación las infracciones normativas o jurisprudenciales que habrán de desarrollarse en el escrito de interposición, le genera indefensión proscrita por el art. 24.1 CE. Sostiene que la ordenación de la casación contenciosa en dos fases de preparación e interposición, con un plazo diferente cada una, queda refundida en una sola fase merced a la nueva doctrina, pues en el escrito de preparación se ha de incluir ya lo que ha de ser el contenido de escrito de interposición, privando así materialmente a la parte de un trámite. Añade que la refundición en uno sólo de los dos trámites aludidos se ha producido en la reforma de la casación civil (Ley 37/2011, de 10 de octubre, de medidas de agilización procesal), “[p]ero lo que legítimamente puede hacer la ley, no puede resultar de un cambio jurisprudencial, violentando el tenor de la norma legal…”</w:t>
      </w:r>
    </w:p>
    <w:p w:rsidR="0085709A" w:rsidRDefault="0085709A" w:rsidP="0085709A">
      <w:pPr>
        <w:pStyle w:val="TextoNormal"/>
      </w:pPr>
    </w:p>
    <w:p w:rsidR="0085709A" w:rsidRDefault="0085709A" w:rsidP="0085709A">
      <w:pPr>
        <w:pStyle w:val="TextoNormal"/>
      </w:pPr>
      <w:r>
        <w:t>d) Finalmente, la demandante considera vulnerado su derecho a la igualdad en la aplicación de la ley porque la inadmisión acordada supuso el apartamiento de una línea doctrina consolidada que no respondía a ningún cambio normativo ni a una motivación racional.</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6 de mayo de 2013, la Sala Primera acordó admitir a trámite la demanda de amparo. Asimismo, en aplicación de lo dispuesto en 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 310-2010 y al recurso núm. 454-2007, respectivamente, debiendo previamente emplazarse, para que pudieran comparecer en el recurso de amparo en el término de diez días, a quienes hubieran sido parte en el procedimiento, excepto a la parte recurrente en amparo igualmente se acordó notificarle la resolución con efectos de emplazamiento al Abogado del Estado, en representación de la Administración.</w:t>
      </w:r>
    </w:p>
    <w:p w:rsidR="0085709A" w:rsidRDefault="0085709A" w:rsidP="0085709A">
      <w:pPr>
        <w:pStyle w:val="TextoNormal"/>
      </w:pPr>
    </w:p>
    <w:p w:rsidR="0085709A" w:rsidRDefault="0085709A" w:rsidP="0085709A">
      <w:pPr>
        <w:pStyle w:val="TextoNormal"/>
      </w:pPr>
      <w:r w:rsidRPr="0085709A">
        <w:rPr>
          <w:rStyle w:val="NumeroAFNegritaCaracter"/>
        </w:rPr>
        <w:t>6</w:t>
      </w:r>
      <w:r>
        <w:t>. Recibidas las certificaciones de las actuaciones judiciales y personado el Abogado del Estado mediante escrito presentado el 10 de mayo de 2013, mediante diligencia de ordenación de 14 de junio de 2013,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La representación procesal de la demandante de amparo presentó escrito el 16 de julio de 2013 por el que daba por reproducidas íntegramente las alegaciones contenidas en la demanda de amparo.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8</w:t>
      </w:r>
      <w:r>
        <w:t>. El Abogado del Estado formuló alegaciones mediante escrito presentado el 16 de julio de 2013, en el que solicita que se “dicte sentencia con arreglo a Derecho.” No aprecia el Abogado del Estado que se haya vulnerado el derecho a la igualdad en la aplicación judicial de la ley (art. 14 CE) porque el ATS de 10 de noviembre de 2011, por el que se inadmite el recurso de casación interpuesto por la demandante de amparo, no constituye una resolución aislada sino que mantiene la línea iniciada por el ATS de 10 de febrero de 2011, siendo irrelevante que existan resoluciones excepcionales que se aparten de aquélla. Sin embargo,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retrospectiva o retroactiva de la máxima jurisprudencial contenida en el ATS de 10 de febrero de 2011, inexistente cuando se presentó el escrito de preparación del recurso de casación, para inadmitir el recurso precisamente porque no se preparó conforme a ellas, supone imponer retroactivamente un novedoso régimen procesal desfavorable a la realización de un acto procesal totalmente concluido que vulnera el art. 24.1 CE en su vertiente de acceso a los recursos.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9</w:t>
      </w:r>
      <w:r>
        <w:t>. El Ministerio Fiscal presentó sus alegaciones mediante escrito registrado el 23 de julio de 2013. En él recoge la doctrina del Tribunal Constitucional sobre el acceso a los recursos y la evolución de la jurisprudencia del Tribunal Supremo sobre los requisitos que debe reunir el escrito de preparación del recurso de casación contencioso-administrativo. A la vista de las alegaciones formuladas en la demanda de amparo, interesa que se desestime íntegramente la demanda de amparo.</w:t>
      </w:r>
    </w:p>
    <w:p w:rsidR="0085709A" w:rsidRDefault="0085709A" w:rsidP="0085709A">
      <w:pPr>
        <w:pStyle w:val="TextoNormal"/>
      </w:pPr>
    </w:p>
    <w:p w:rsidR="0085709A" w:rsidRDefault="0085709A" w:rsidP="0085709A">
      <w:pPr>
        <w:pStyle w:val="TextoNormal"/>
      </w:pPr>
      <w:r>
        <w:t>La argumentación del Ministerio Fiscal se desarrolla, en síntesis, del siguiente modo:</w:t>
      </w:r>
    </w:p>
    <w:p w:rsidR="0085709A" w:rsidRDefault="0085709A" w:rsidP="0085709A">
      <w:pPr>
        <w:pStyle w:val="TextoNormal"/>
      </w:pPr>
    </w:p>
    <w:p w:rsidR="0085709A" w:rsidRDefault="0085709A" w:rsidP="0085709A">
      <w:pPr>
        <w:pStyle w:val="TextoNormal"/>
      </w:pPr>
      <w:r>
        <w:t>a) Con respecto a la alegada vulneración del derecho a la igualdad en la aplicación de la ley, el Fiscal aduce que tal queja carece de todo desarrollo argumental, lo cual impide a este Tribunal el conocimiento de tal queja de acuerdo con la constante doctrina jurisprudencial, según la cual es carga del demandante no sólo abrir la vía de amparo sino también la de proporcionar la necesaria argumentación fáctica y jurídica que razonablemente es de esperar (STC 107/2009, de 4 de mayo).</w:t>
      </w:r>
    </w:p>
    <w:p w:rsidR="0085709A" w:rsidRDefault="0085709A" w:rsidP="0085709A">
      <w:pPr>
        <w:pStyle w:val="TextoNormal"/>
      </w:pPr>
    </w:p>
    <w:p w:rsidR="0085709A" w:rsidRDefault="0085709A" w:rsidP="0085709A">
      <w:pPr>
        <w:pStyle w:val="TextoNormal"/>
      </w:pPr>
      <w:r>
        <w:t xml:space="preserve">b) Por lo que se refiere al derecho a la tutela judicial efectiva que se dice vulnerado, el Fiscal realiza un repaso de la evolución de la doctrina del Tribunal Supremo en relación con los requisitos que deber reunir el escrito de preparación del recurso. Fija como uno de los hitos de esta evolución el ATS 144/2010, de 14 de octubre, a cuyos requerimientos se ajustó el demandante de amparo al preparar su recurso de casación el 10 de enero de 2011. Ahora bien, el posterior ATC 2371/2011, de 10 de febrero, cambió la doctrina hasta entonces existente en el sentido de exigir, también para los recursos contra sentencias de la Audiencia Nacional, que en el escrito de preparación se especifique el concreto o concretos motivos en que se fundará el recurso, con indicación de los concretos preceptos o jurisprudencia que se reputan infringidos o del contenido de las infracciones normativas o jurisprudenciales </w:t>
      </w:r>
      <w:r>
        <w:lastRenderedPageBreak/>
        <w:t xml:space="preserve">que se pretendan denunciar y desarrollar en el escrito de interposición del recurso de casación, aunque sea en forma sucinta. Tal doctrina fue aplicada en el caso ahora controvertido y es la que ha de enjuiciarse de acuerdo con el canon de acceso al recurso, no regido por el principio </w:t>
      </w:r>
      <w:r w:rsidRPr="0085709A">
        <w:rPr>
          <w:i/>
        </w:rPr>
        <w:t>pro actione</w:t>
      </w:r>
      <w:r>
        <w:t xml:space="preserve"> sino por el de la racionalidad y la interdicción de la arbitrariedad y el error patente.</w:t>
      </w:r>
    </w:p>
    <w:p w:rsidR="0085709A" w:rsidRDefault="0085709A" w:rsidP="0085709A">
      <w:pPr>
        <w:pStyle w:val="TextoNormal"/>
      </w:pPr>
    </w:p>
    <w:p w:rsidR="0085709A" w:rsidRDefault="0085709A" w:rsidP="0085709A">
      <w:pPr>
        <w:pStyle w:val="TextoNormal"/>
      </w:pPr>
      <w:r>
        <w:t>Pues bien, considera el Fiscal que las razones ofrecidas en el Auto impugnado, descartado el error patente que nadie esgrime, configuran una resolución motivada que no puede tildarse de arbitraria ni de irrazonable sino que, antes al contrario, el Fiscal considera que la exigencia de especificar las concretas infracciones legales o jurisprudenciales fluye con naturalidad de los motivos de casación esgrimidos en el escrito de preparación del recurso, que se refieren precisamente a las infracciones de las normas reguladoras de la Sentencia o de las que rigen los actos y garantías procesales y a la infracción de las normas del ordenamiento jurídico o de la jurisprudencia que fueran aplicables para resolver las cuestiones objeto de debate. No resulta irrazonable, se dice, que tales normas o jurisprudencia se concreten al preparar el recurso. Por lo demás el Fiscal considera que el reproche que se efectúa a la aplicación de una nueva doctrina a actos procesales realizados con anterioridad al establecimiento de aquella se sustenta en un juicio de igualdad respecto del cual no es posible resolver, precisamente por la deficiencia en su fundamentación en la demanda a la que ya se hizo referencia.</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12 de febrero de 2015, se señaló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22 de septiembre de 2011, que acordó no admitir a trámite el recurso de casación interpuesto contra la Sentencia de la Sala de lo Contencioso-Administrativo de la Audiencia Nacional de 2 de diciembre de 2010, recaída en el procedimiento ordinario núm. 457-2007. También impugna la providencia mediante la que se inadmitió a trámite el incidente de nulidad de actuaciones promovido contra el Auto citado.</w:t>
      </w:r>
    </w:p>
    <w:p w:rsidR="0085709A" w:rsidRDefault="0085709A" w:rsidP="0085709A">
      <w:pPr>
        <w:pStyle w:val="TextoNormal"/>
      </w:pPr>
    </w:p>
    <w:p w:rsidR="0085709A" w:rsidRDefault="0085709A" w:rsidP="0085709A">
      <w:pPr>
        <w:pStyle w:val="TextoNormal"/>
      </w:pPr>
      <w:r>
        <w:t xml:space="preserve">La recurrente,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en relación con el principio de seguridad jurídica (art. 9.3 CE),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(iii) la vulneración de su derecho a la igualdad en la aplicación judicial de la ley (art. 14 CE), pues entiende que se ha aplicado una interpretación jurisprudencial contradictoria con varias resoluciones dictadas por el órgano judicial que, siendo posteriores a la </w:t>
      </w:r>
      <w:r>
        <w:lastRenderedPageBreak/>
        <w:t>resolución que consumó el cambio interpretativo, se apartan del mismo de forma completamente inmotivada.</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w:t>
      </w:r>
      <w:r w:rsidRPr="0085709A">
        <w:rPr>
          <w:i/>
        </w:rPr>
        <w:t>Brualla Gómez de la Torre c. España;</w:t>
      </w:r>
      <w:r>
        <w:t xml:space="preserve"> y de 25 enero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mayo 2000; </w:t>
      </w:r>
      <w:r w:rsidRPr="0085709A">
        <w:rPr>
          <w:i/>
        </w:rPr>
        <w:t>Llopis Ruiz c. España,</w:t>
      </w:r>
      <w:r>
        <w:t xml:space="preserve"> de 7 noviembre 2003; e </w:t>
      </w:r>
      <w:r w:rsidRPr="0085709A">
        <w:rPr>
          <w:i/>
        </w:rPr>
        <w:t>Ipamark c. España,</w:t>
      </w:r>
      <w:r>
        <w:t xml:space="preserve">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 xml:space="preserve">Así enmarcada la cuestión, la exigencia de que el escrito de preparación del recurso de casación contenga la cita, siquiera sucinta, de las normas y jurisprudencia que se estimen </w:t>
      </w:r>
      <w:r>
        <w:lastRenderedPageBreak/>
        <w:t>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w:t>
      </w:r>
      <w:r>
        <w:lastRenderedPageBreak/>
        <w:t xml:space="preserve">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su excepción por disposición legal que establezca el efecto exclusivamente prospectivo de la Sentencia, como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se continúe con posterioridad (por todas, SSTC 105/2009, de 4 de mayo, FJ 4; y 178/2014, de 3 de noviembre, FJ 4).</w:t>
      </w:r>
    </w:p>
    <w:p w:rsidR="0085709A" w:rsidRDefault="0085709A" w:rsidP="0085709A">
      <w:pPr>
        <w:pStyle w:val="TextoNormal"/>
      </w:pPr>
    </w:p>
    <w:p w:rsidR="0085709A" w:rsidRDefault="0085709A" w:rsidP="0085709A">
      <w:pPr>
        <w:pStyle w:val="TextoNormal"/>
      </w:pPr>
      <w:r>
        <w:t xml:space="preserve">De acuerdo con ello, el Auto del Tribunal Supremo impugnado —lejos de ser una decisión particularizada y adoptada </w:t>
      </w:r>
      <w:r w:rsidRPr="0085709A">
        <w:rPr>
          <w:i/>
        </w:rPr>
        <w:t>ad hoc</w:t>
      </w:r>
      <w:r>
        <w:t xml:space="preserve">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Josel, S.L., (sucesora por absorción de Donca, S.A).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al que se adhiere el Magistrado don Luis Ignacio Ortega Álvarez, a la Sentencia dictada en el recurso de amparo núm. 1114-2012.</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en la que se sustenta la Sentencia, manifiesto mi discrepancia con la fundamentación jurídica y el fallo de esta. Considero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1. Las cuestiones planteadas en el presente recurso de amparo fueron abordadas en la STC 7/2015, de 22 de enero, en la que formulé un Voto particular discrepante con su razonamiento. La opinión mayoritaria en la que se sustenta la presente Sentencia contiene nuevos razonamientos, por lo que estimo necesario añadir algunas puntualizaciones a mi anterior Voto particular, en cuyo contenido me ratifico.</w:t>
      </w:r>
    </w:p>
    <w:p w:rsidR="0085709A" w:rsidRDefault="0085709A" w:rsidP="0085709A">
      <w:pPr>
        <w:pStyle w:val="TextoNormal"/>
      </w:pPr>
    </w:p>
    <w:p w:rsidR="0085709A" w:rsidRDefault="0085709A" w:rsidP="0085709A">
      <w:pPr>
        <w:pStyle w:val="TextoNormal"/>
      </w:pPr>
      <w:r>
        <w:t>2. La demandante de amparo invoca, en primer lugar, la vulneración del derecho a la tutela judicial efectiva (art. 24.1 CE). Se funda en que la exigencia de citar los preceptos o la jurisprudencia que se reputan infringidos en el escrito de preparación del recurso de casación contencioso-administrativo contra resoluciones de la Audiencia Nacional carece de cobertura en la Ley reguladora de la jurisdicción contencioso-administrativa (LJCA).</w:t>
      </w:r>
    </w:p>
    <w:p w:rsidR="0085709A" w:rsidRDefault="0085709A" w:rsidP="0085709A">
      <w:pPr>
        <w:pStyle w:val="TextoNormal"/>
      </w:pPr>
    </w:p>
    <w:p w:rsidR="0085709A" w:rsidRDefault="0085709A" w:rsidP="0085709A">
      <w:pPr>
        <w:pStyle w:val="TextoNormal"/>
      </w:pPr>
      <w:r>
        <w:t>La opinión mayoritaria, mediante una profusa referencia a la jurisprudencia del Tribunal Europeo de Derechos Humanos, sostiene que no cabe, según esta, apreciar una lesión del derecho a un proceso equitativo consagrado en el art. 6.1 del Convenio europeo para la protección de los derechos humanos y de las libertades fundamentales (CEDH), dada la facultad del legislador de establecer requisitos de admisibilidad más rigurosos para el recurso de casación y la facultad del Tribunal Supremo, en su labor de intérprete de las normas procesales, para determinar y concretar el ámbito de esos requisitos.</w:t>
      </w:r>
    </w:p>
    <w:p w:rsidR="0085709A" w:rsidRDefault="0085709A" w:rsidP="0085709A">
      <w:pPr>
        <w:pStyle w:val="TextoNormal"/>
      </w:pPr>
    </w:p>
    <w:p w:rsidR="0085709A" w:rsidRDefault="0085709A" w:rsidP="0085709A">
      <w:pPr>
        <w:pStyle w:val="TextoNormal"/>
      </w:pPr>
      <w:r>
        <w:t>Pero nadie en este procedimiento de amparo —ninguna de las partes y ninguno de los Magistrados de este Tribunal— han puesto en duda ni la una ni la otra. La cuestión controvertida en este recurso de amparo no es la existencia de esas facultades, sino el hecho de que —como expuse en mi Voto particular a la STC 7/2015—, la decisión de inadmisión impugnada hizo una interpretación que, al incorporar de manera imprevisible un nuevo requisito en contra de lo dispuesto expresamente en la ley, incurrió en un exceso irrazonable.</w:t>
      </w:r>
    </w:p>
    <w:p w:rsidR="0085709A" w:rsidRDefault="0085709A" w:rsidP="0085709A">
      <w:pPr>
        <w:pStyle w:val="TextoNormal"/>
      </w:pPr>
    </w:p>
    <w:p w:rsidR="0085709A" w:rsidRDefault="0085709A" w:rsidP="0085709A">
      <w:pPr>
        <w:pStyle w:val="TextoNormal"/>
      </w:pPr>
      <w:r>
        <w:t xml:space="preserve">Nadie discute que, para garantizar que la parte recurrida cuente desde un principio con la información necesaria para adoptar la posición procesal que estime pertinente, puede ser </w:t>
      </w:r>
      <w:r>
        <w:lastRenderedPageBreak/>
        <w:t>razonable exigir que en el escrito de preparación de un recurso de casación contencioso-administrativo contra una sentencia de la Audiencia Nacional se citen las normas y jurisprudencia que se estimen infringidas. Pero esta no es la cuestión controvertida. El problema radica en que la exigencia de este requisito no puede hacerse en contra de lo dispuesto por la ley de modo expreso. En efecto, dicho requisito no aparece en la ley como un requisito del escrito de preparación que se presenta ante el tribunal que dictó la Sentencia (art. 89.1 LJCA), sino como un requisito del escrito de interposición, para cuya presentación ante el tribunal de casación se concede un plazo más amplio (art. 92.1 LJCA: “…en el que se expresará razonadamente el motivo o motivos en que se ampare, citando las normas o la jurisprudencia que se consideren infringidas”). Exigirlo en el escrito de preparación está en directa contradicción con la ley, en tanto no sea modificada. El tribunal y las partes deben atenerse a la ley procesal en virtud del principio de legalidad y, desde una perspectiva constitucional, entra en el terreno de lo irrazonable separarse abiertamente de ella para exigir un requisito que puede determinar de forma imprevisible la inadmisibilidad del recurso, como ocurrió en el caso enjuiciado, pues el Tribunal Supremo no lo exigía con anterioridad.</w:t>
      </w:r>
    </w:p>
    <w:p w:rsidR="0085709A" w:rsidRDefault="0085709A" w:rsidP="0085709A">
      <w:pPr>
        <w:pStyle w:val="TextoNormal"/>
      </w:pPr>
    </w:p>
    <w:p w:rsidR="0085709A" w:rsidRDefault="0085709A" w:rsidP="0085709A">
      <w:pPr>
        <w:pStyle w:val="TextoNormal"/>
      </w:pPr>
      <w:r>
        <w:t xml:space="preserve">En las circunstancias del recurso, la exigencia de un requisito de esta naturaleza debe considerarse, a mi juicio, entre las restricciones para el acceso a los recursos que el Tribunal Europeo de Derechos Humanos considera relevantes por afectar al derecho de acceso en su misma sustancia (STEDH de 4 de noviembre de 2014, caso </w:t>
      </w:r>
      <w:r w:rsidRPr="0085709A">
        <w:rPr>
          <w:i/>
        </w:rPr>
        <w:t>Sociedad Anónima del Ucieza c. España</w:t>
      </w:r>
      <w:r>
        <w:t>, § 35).</w:t>
      </w:r>
    </w:p>
    <w:p w:rsidR="0085709A" w:rsidRDefault="0085709A" w:rsidP="0085709A">
      <w:pPr>
        <w:pStyle w:val="TextoNormal"/>
      </w:pPr>
    </w:p>
    <w:p w:rsidR="0085709A" w:rsidRDefault="0085709A" w:rsidP="0085709A">
      <w:pPr>
        <w:pStyle w:val="TextoNormal"/>
      </w:pPr>
      <w:r>
        <w:t>3. La demandante de amparo invoca, en segundo lugar, la vulneración del derecho a la tutela judicial efectiva (art. 24.1 CE). Se funda en que la exigencia de anticipar en el escrito de preparación del recurso de casación los concretos preceptos o la jurisprudencia que se reputan infringidos no era predecible en el momento de la preparación del recurso.</w:t>
      </w:r>
    </w:p>
    <w:p w:rsidR="0085709A" w:rsidRDefault="0085709A" w:rsidP="0085709A">
      <w:pPr>
        <w:pStyle w:val="TextoNormal"/>
      </w:pPr>
    </w:p>
    <w:p w:rsidR="0085709A" w:rsidRDefault="0085709A" w:rsidP="0085709A">
      <w:pPr>
        <w:pStyle w:val="TextoNormal"/>
      </w:pPr>
      <w:r>
        <w:t>A diferencia de lo que sucedió en la STC 7/2015, la opinión mayoritaria en que se sustenta la Sentencia da respuesta a la cuestión sobre el alcance de la aplicación retroactiva de la jurisprudencia. La respuesta aportada no me resulta convincente y, por tanto, me ratifico en la posición expresada en mi Voto particular a la STC 7/2015. A mi juicio, la cita de jurisprudencia del Tribunal Europeo de Derechos Humanos no es adecuada a la cuestión controvertida. Nadie en este procedimiento ha puesto en duda la posibilidad de que la interpretación normativa evolucione o se modifique en virtud de la labor jurisprudencial. El problema controvertido es el de los límites a la aplicación retroactiva de las modificaciones jurisprudenciales.</w:t>
      </w:r>
    </w:p>
    <w:p w:rsidR="0085709A" w:rsidRDefault="0085709A" w:rsidP="0085709A">
      <w:pPr>
        <w:pStyle w:val="TextoNormal"/>
      </w:pPr>
    </w:p>
    <w:p w:rsidR="0085709A" w:rsidRDefault="0085709A" w:rsidP="0085709A">
      <w:pPr>
        <w:pStyle w:val="TextoNormal"/>
      </w:pPr>
      <w:r>
        <w:t xml:space="preserve">Como ya expresé en aquel Voto particular, un cambio jurisprudencial, con independencia de que se desarrolle en el marco del sistema de </w:t>
      </w:r>
      <w:r w:rsidRPr="0085709A">
        <w:rPr>
          <w:i/>
        </w:rPr>
        <w:t>civil law</w:t>
      </w:r>
      <w:r>
        <w:t xml:space="preserve"> dentro del cual puede entenderse encuadrado el sistema español, no puede prevalecer cuando implica el sacrificio de derechos o valores que la Constitución protege frente a la aplicación retroactiva de las normas, en aras de los principios de protección de situaciones consolidadas, de garantía de la seguridad jurídica, de proscripción de la arbitrariedad y de efectividad del principio de legalidad. Siguiendo el argumento apoyado por la posición mayoritaria en que se funda la Sentencia, si el cambio de jurisprudencia solo hace decir a la norma lo que esta desde un principio decía, debe concluirse que lo que hubiera estado vedado al legislador, por respeto al principio de seguridad jurídica, también debe estar vedado a la interpretación de la ley por el camino de la evolución de la jurisprudencia con idénticos efectos.</w:t>
      </w:r>
    </w:p>
    <w:p w:rsidR="0085709A" w:rsidRDefault="0085709A" w:rsidP="0085709A">
      <w:pPr>
        <w:pStyle w:val="TextoNormal"/>
      </w:pPr>
    </w:p>
    <w:p w:rsidR="0085709A" w:rsidRDefault="0085709A" w:rsidP="0085709A">
      <w:pPr>
        <w:pStyle w:val="TextoNormal"/>
      </w:pPr>
      <w:r>
        <w:t xml:space="preserve">Como defendí en aquel Voto particular, la eficacia temporal del cambio de criterio jurisprudencial debe ser templada cuando su aplicación se traduce, en la práctica, en la exigencia de un requisito procesal de carácter formal del que depende la acción o el recurso que no se entendía exigible en el momento de la presentación del escrito y no podía ser conocido por la parte, pues así lo impone el parámetro constitucional de la racionalidad de la decisión judicial y los principios de seguridad jurídica, confianza legítima, interdicción de la arbitrariedad y principio </w:t>
      </w:r>
      <w:r w:rsidRPr="0085709A">
        <w:rPr>
          <w:i/>
        </w:rPr>
        <w:t>tempus regit actum</w:t>
      </w:r>
      <w:r>
        <w:t>, los cuales son incompatibles con una resolución de inadmisión dictada de manera imprevisible en tales circunstancias.</w:t>
      </w:r>
    </w:p>
    <w:p w:rsidR="0085709A" w:rsidRDefault="0085709A" w:rsidP="0085709A">
      <w:pPr>
        <w:pStyle w:val="TextoNormal"/>
      </w:pPr>
    </w:p>
    <w:p w:rsidR="0085709A" w:rsidRDefault="0085709A" w:rsidP="0085709A">
      <w:pPr>
        <w:pStyle w:val="TextoNormal"/>
      </w:pPr>
      <w:r>
        <w:t>Como expresé en aquel Voto particular, de acuerdo con la doctrina sobre el efecto útil de los recursos y remedios procesales, no comparto la idea de la posición mayoritaria de que en este caso, a diferencia del resuelto en la STC 7/2015, debe denegarse el amparo por falta de diligencia de la parte consistente en no haber intentado la subsanación. En efecto, tal intento estaba condenado al fracaso a tenor de la jurisprudencia del Tribunal Supremo, la cual, de manera unánime, de acuerdo con el parecer de este tribunal, ha denegado constantemente la posibilidad de que, salvo error material, las deficiencias de los escritos de preparación y de interposición del recurso de casación, salvo los casos de error material, puedan ser subsanadas una vez agotado el plazo para su presentación.</w:t>
      </w:r>
    </w:p>
    <w:p w:rsidR="0085709A" w:rsidRDefault="0085709A" w:rsidP="0085709A">
      <w:pPr>
        <w:pStyle w:val="TextoNormal"/>
      </w:pPr>
    </w:p>
    <w:p w:rsidR="0085709A" w:rsidRDefault="0085709A" w:rsidP="0085709A">
      <w:pPr>
        <w:pStyle w:val="TextoNormal"/>
      </w:pPr>
      <w:r>
        <w:t xml:space="preserve">En suma, creo que la resolución impugnada en amparo vulneró la exigencia de previsibilidad de la jurisprudencia en los casos en que este requisito está en directa relación con la exigencia de esta circunstancia respecto de la ley, en los términos en que este principio ha sido declarado por el Tribunal Europeo de Derechos Humanos (SSTEDH de 7 de febrero de 2012, caso </w:t>
      </w:r>
      <w:r w:rsidRPr="0085709A">
        <w:rPr>
          <w:i/>
        </w:rPr>
        <w:t>Alimuçaj c. Albania</w:t>
      </w:r>
      <w:r>
        <w:t xml:space="preserve">, §150 y §156; y de 21 de octubre de 2013, caso </w:t>
      </w:r>
      <w:r w:rsidRPr="0085709A">
        <w:rPr>
          <w:i/>
        </w:rPr>
        <w:t>Del Río Prada c. España</w:t>
      </w:r>
      <w:r>
        <w:t>, § 93.</w:t>
      </w:r>
    </w:p>
    <w:p w:rsidR="0085709A" w:rsidRDefault="0085709A" w:rsidP="0085709A">
      <w:pPr>
        <w:pStyle w:val="TextoNormal"/>
      </w:pPr>
    </w:p>
    <w:p w:rsidR="0085709A" w:rsidRDefault="0085709A" w:rsidP="0085709A">
      <w:pPr>
        <w:pStyle w:val="TextoNormal"/>
      </w:pPr>
      <w:r>
        <w:t>4. Por último, la parte demandante también invoca la vulneración del art. 14 CE, fundándose en que ha existido un cambio de criterio del Tribunal Supremo que no cumple con las exigencias que impone el principio de igualdad en la aplicación de la ley.</w:t>
      </w:r>
    </w:p>
    <w:p w:rsidR="0085709A" w:rsidRDefault="0085709A" w:rsidP="0085709A">
      <w:pPr>
        <w:pStyle w:val="TextoNormal"/>
      </w:pPr>
    </w:p>
    <w:p w:rsidR="0085709A" w:rsidRDefault="0085709A" w:rsidP="0085709A">
      <w:pPr>
        <w:pStyle w:val="TextoNormal"/>
      </w:pPr>
      <w:r>
        <w:t>Mi discrepancia radica en que la argumentación de la mayoría en que se sustenta la Sentencia ha omitido la referencia a la jurisprudencia de este tribunal acerca de que es posible ponderar la eventual vulneración del art. 24.1 CE por falta de razonabilidad de la resolución aunque no concurran los requisitos para apreciar una vulneración del principio de igualdad ante la ley (por separarse del precedente sin suficiente motivación) cuando este es alegado. Entiendo, ratificándome en mi Voto particular a la STC 7/2015, que concurre una vulneración del art. 24.1 CE por la que el Ministerio Fiscal solicitó la estimación del recurso de amparo fundándose en la existencia de diversas resoluciones contemporáneas y posteriores de la misma Sala en las que, en idénticas condiciones, se admitió el recurso de casación.</w:t>
      </w:r>
    </w:p>
    <w:p w:rsidR="0085709A" w:rsidRDefault="0085709A" w:rsidP="0085709A">
      <w:pPr>
        <w:pStyle w:val="TextoNormal"/>
      </w:pPr>
    </w:p>
    <w:p w:rsidR="0085709A" w:rsidRDefault="0085709A" w:rsidP="0085709A">
      <w:pPr>
        <w:pStyle w:val="TextoNormal"/>
      </w:pPr>
      <w:r>
        <w:t>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0" w:name="SENTENCIA_2015_17"/>
      <w:r>
        <w:lastRenderedPageBreak/>
        <w:t>SENTENCIA 17/2015, de 16 de febrero de 2015</w:t>
      </w:r>
    </w:p>
    <w:bookmarkEnd w:id="20"/>
    <w:p w:rsidR="0085709A" w:rsidRDefault="0085709A" w:rsidP="0085709A">
      <w:pPr>
        <w:pStyle w:val="TtuloResolucin"/>
      </w:pPr>
      <w:r>
        <w:t>Sala Segunda</w:t>
      </w:r>
    </w:p>
    <w:p w:rsidR="0085709A" w:rsidRDefault="0085709A" w:rsidP="0085709A">
      <w:pPr>
        <w:pStyle w:val="TtuloBOE"/>
      </w:pPr>
      <w:r>
        <w:t>(BOE núm. 64, de 16 de marzo de 2015)</w:t>
      </w:r>
    </w:p>
    <w:p w:rsidR="0085709A" w:rsidRDefault="0085709A" w:rsidP="0085709A">
      <w:pPr>
        <w:pStyle w:val="TextoNormalCentrado"/>
      </w:pPr>
      <w:r>
        <w:t>ECLI:ES:TC:2015:17</w:t>
      </w:r>
    </w:p>
    <w:p w:rsidR="0085709A" w:rsidRDefault="0085709A" w:rsidP="0085709A">
      <w:pPr>
        <w:pStyle w:val="TextoNormalCentrado"/>
      </w:pPr>
    </w:p>
    <w:p w:rsidR="0085709A" w:rsidRDefault="0085709A" w:rsidP="0085709A">
      <w:pPr>
        <w:pStyle w:val="SntesisDescriptiva"/>
      </w:pPr>
      <w:r>
        <w:t>Recurso de amparo 2246-2012. Promovido por la Compañía de Distribución Integral Logista, S.A., en relación con el Auto de la Sala de lo Contencioso-Administrativo del Tribunal Supremo que inadmitió su recurso de casación frente a Sentencia de la Audiencia Nacional sobre aranceles e impuesto sobre el valor añadido.</w:t>
      </w:r>
    </w:p>
    <w:p w:rsidR="0085709A" w:rsidRDefault="0085709A" w:rsidP="0085709A">
      <w:pPr>
        <w:pStyle w:val="SntesisDescriptiva"/>
      </w:pPr>
    </w:p>
    <w:p w:rsidR="0085709A" w:rsidRDefault="0085709A" w:rsidP="0085709A">
      <w:pPr>
        <w:pStyle w:val="SntesisAnaltica"/>
      </w:pPr>
      <w:r>
        <w:t>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p>
    <w:p w:rsidR="0085709A" w:rsidRDefault="0085709A" w:rsidP="0085709A">
      <w:pPr>
        <w:pStyle w:val="SntesisAnaltica"/>
      </w:pPr>
    </w:p>
    <w:p w:rsidR="0085709A" w:rsidRDefault="0085709A" w:rsidP="0085709A">
      <w:pPr>
        <w:pStyle w:val="Extracto"/>
      </w:pPr>
      <w:r>
        <w:t>1.</w:t>
      </w:r>
      <w:r>
        <w:tab/>
        <w:t>Las invocaciones constitucionales en que se fundamenta este recurso ya han sido objeto de análisis por el Pleno de este Tribunal en la STC 7/2015 [FJ 2].</w:t>
      </w:r>
    </w:p>
    <w:p w:rsidR="0085709A" w:rsidRDefault="0085709A" w:rsidP="0085709A">
      <w:pPr>
        <w:pStyle w:val="Extracto"/>
      </w:pPr>
    </w:p>
    <w:p w:rsidR="0085709A" w:rsidRDefault="0085709A" w:rsidP="0085709A">
      <w:pPr>
        <w:pStyle w:val="Extracto"/>
      </w:pPr>
      <w:r>
        <w:t>2.</w:t>
      </w:r>
      <w:r>
        <w:tab/>
        <w:t>Se descarta la lesión del derecho a la igualdad en la aplicación de la ley, dado que se cumple con los requisitos exigidos por la jurisprudencia constitucional, en tanto que la alteración doctrinal se caracteriza por su abstracción y generalidad y se razona explícitamente, justificándose a partir de la finalidad que debe cumplir el escrito de preparación del recurso de casación [FJ 2].</w:t>
      </w:r>
    </w:p>
    <w:p w:rsidR="0085709A" w:rsidRDefault="0085709A" w:rsidP="0085709A">
      <w:pPr>
        <w:pStyle w:val="Extracto"/>
      </w:pPr>
    </w:p>
    <w:p w:rsidR="0085709A" w:rsidRDefault="0085709A" w:rsidP="0085709A">
      <w:pPr>
        <w:pStyle w:val="Extracto"/>
      </w:pPr>
      <w:r>
        <w:t>3.</w:t>
      </w:r>
      <w:r>
        <w:tab/>
        <w:t>Vulneró el derecho a la tutela judicial efectiva la decisión de inadmisión impugnada que no tomó en consideración que la exigencia del requisito controvertido no era conocido ni predecible para la parte recurrente en el momento en que se presentó el escrito de preparación, intentándose asimismo su subsanación mediante la presentación de un escrito complementario de conformidad con las nuevas exigencias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doña Adela Asua Batarrita, Presidenta, y don Fernando Valdés Dal-Ré,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2246-2012, promovido por la mercantil Compañía de Distribución Integral Logista S.A., representada por la Procuradora de los Tribunales doña María Teresa Goñi Toledo y asistida por el Abogado don Javier Navarro Martínez, contra el </w:t>
      </w:r>
      <w:r>
        <w:lastRenderedPageBreak/>
        <w:t>Auto de la Sección Primera de la Sala de lo Contencioso-Administrativo del Tribunal Supremo, de fecha 10 de noviembre de 2011, que resolvió la inadmisión del recurso de casación núm. 3466-2010, interpuesto por la sociedad demandante de amparo, y contra la providencia, de fecha 22 de febrero de 2012, que inadmitió a trámite el incidente de nulidad de actuaciones promovido contra el referido Auto. Ha comparecido el Abogado del Estado, en la representación que ostenta, y ha intervenido el Ministerio Fiscal. Ha sido Ponente el Magistrado don Pedro José González Trevijano-Sánchez,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17 de abril de 2012 tuvo entrada en el Registro General de este Tribunal Constitucional escrito presentado por la Procuradora de los Tribunales doña María Teresa Goñi Toledo, actuando en nombre y representación de la mercantil Compañía de Distribución Integral Logista, S.A., y bajo la dirección letrada del Abogado don Javier Navarro Martínez, mediante el cual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La demandante de amparo interpuso recurso contencioso-administrativo contra la resolución del Tribunal Económico-Administrativo Central, de fecha 13 de mayo de 2008, en virtud de la cual fue desestimado el recurso de alzada interpuesto contra la resolución del Tribunal Económico-Administrativo Regional de Cataluña, de 24 de mayo de 2007, que confirmó el acuerdo dictado por el jefe regional de la dependencia provincial de aduanas e impuestos especiales de Barcelona, en cuya virtud se estableció una deuda de 682.333,31 euros, por los conceptos de arancel, impuesto sobre el valor añadido a la importación e intereses de demora.</w:t>
      </w:r>
    </w:p>
    <w:p w:rsidR="0085709A" w:rsidRDefault="0085709A" w:rsidP="0085709A">
      <w:pPr>
        <w:pStyle w:val="TextoNormal"/>
      </w:pPr>
    </w:p>
    <w:p w:rsidR="0085709A" w:rsidRDefault="0085709A" w:rsidP="0085709A">
      <w:pPr>
        <w:pStyle w:val="TextoNormal"/>
      </w:pPr>
      <w:r>
        <w:t>b) Seguido el procedimiento por sus trámites, con el núm. 377-2008, la Sala de lo Contencioso-Administrativo de la Audiencia Nacional (Sección Séptima) dictó, en fecha 8 de marzo de 2010, Sentencia desestimatoria de las pretensiones de la demandante. La referida Sentencia fue notificada a las partes el día 17 de marzo de 2010, con la indicación de que contra la misma cabía recurso de casación ante el Tribunal Supremo.</w:t>
      </w:r>
    </w:p>
    <w:p w:rsidR="0085709A" w:rsidRDefault="0085709A" w:rsidP="0085709A">
      <w:pPr>
        <w:pStyle w:val="TextoNormal"/>
      </w:pPr>
    </w:p>
    <w:p w:rsidR="0085709A" w:rsidRDefault="0085709A" w:rsidP="0085709A">
      <w:pPr>
        <w:pStyle w:val="TextoNormal"/>
      </w:pPr>
      <w:r>
        <w:t>c) Mediante escrito presentado el día 30 de marzo de 2010, la sociedad demandante de amparo interesó que se tuviera por preparado recurso de casación contra la Sentencia antes indicada. En dicho escrito puso de manifiesto la intención de interponer recurso de casación, justificó la legitimación que ostenta y, a su vez, advirtió del cumplimiento del plazo para la presentación del escrito, del carácter recurrible de la resolución impugnada y de la suficiencia de la cuantía del recurso para el acceso a la casación. A ello, añadió la precisión de que el recurso iba a fundarse en los motivos previstos en los arts. 88.1 c) y 88.1 d) de la Ley reguladora de la jurisdicción contencioso-administrativa (LJCA).</w:t>
      </w:r>
    </w:p>
    <w:p w:rsidR="0085709A" w:rsidRDefault="0085709A" w:rsidP="0085709A">
      <w:pPr>
        <w:pStyle w:val="TextoNormal"/>
      </w:pPr>
    </w:p>
    <w:p w:rsidR="0085709A" w:rsidRDefault="0085709A" w:rsidP="0085709A">
      <w:pPr>
        <w:pStyle w:val="TextoNormal"/>
      </w:pPr>
      <w:r>
        <w:t xml:space="preserve">d) Por providencia de fecha 9 de abril de 2010, notificada a la sociedad demandante el día 19 del citado mes y año, la Sala de lo Contencioso-Administrativo de la Audiencia Nacional tuvo por preparado el recurso de casación. Asimismo, dicho órgano acordó emplazar a la demandante para que compareciera ante la Sala Tercera del Tribunal Supremo. Una vez </w:t>
      </w:r>
      <w:r>
        <w:lastRenderedPageBreak/>
        <w:t xml:space="preserve">recibidas las actuaciones por el órgano </w:t>
      </w:r>
      <w:r w:rsidRPr="0085709A">
        <w:rPr>
          <w:i/>
        </w:rPr>
        <w:t>ad quem</w:t>
      </w:r>
      <w:r>
        <w:t>, el día 31 de mayo de 2010 la actora interpuso el recurso de casación ante la Sala Tercera del Tribunal Supremo. Por providencia de fecha 28 de septiembre de 2010 la referida Sala tuvo por interpuesto el recurso de casación, el cual fue registrado con el número 3466-2010.</w:t>
      </w:r>
    </w:p>
    <w:p w:rsidR="0085709A" w:rsidRDefault="0085709A" w:rsidP="0085709A">
      <w:pPr>
        <w:pStyle w:val="TextoNormal"/>
      </w:pPr>
    </w:p>
    <w:p w:rsidR="0085709A" w:rsidRDefault="0085709A" w:rsidP="0085709A">
      <w:pPr>
        <w:pStyle w:val="TextoNormal"/>
      </w:pPr>
      <w:r>
        <w:t>e) El día 3 de noviembre de 2010 la referida Sala dictó providencia, en cuya virtud dio traslado para alegaciones de las partes, por plazo común de diez días, para que alegasen sobre la posible concurrencia de la causa de inadmisión consistente en “estar exceptuada del recurso de casación la Sentencia impugnada por haber recaído en un asunto cuya cuantía no excede de 150.000 euros, pues aunque en la instancia quedó fijada en la cantidad de 682.333,31 euros, habiéndose producido en vía administrativa una acumulación de pretensiones, únicamente la liquidación en concepto de derechos arancelarios excede de 150.000 euros (arts. 86.2 b y 41.3 de la LRJCA)”. En fecha 15 de noviembre de 2010, la sociedad recurrente cumplimentó el traslado conferido, mediante escrito en el que interesó la admisión íntegra del recurso de casación interpuesto.</w:t>
      </w:r>
    </w:p>
    <w:p w:rsidR="0085709A" w:rsidRDefault="0085709A" w:rsidP="0085709A">
      <w:pPr>
        <w:pStyle w:val="TextoNormal"/>
      </w:pPr>
    </w:p>
    <w:p w:rsidR="0085709A" w:rsidRDefault="0085709A" w:rsidP="0085709A">
      <w:pPr>
        <w:pStyle w:val="TextoNormal"/>
      </w:pPr>
      <w:r>
        <w:t>f) El día 17 de mayo de 2011, la sociedad demandante de amparo presentó escrito ante la Sala de lo Contencioso-Administrativo de la Audiencia Nacional, en el que manifestó haber tenido conocimiento del Auto dictado por la Sala de lo Contencioso-Administrativo del Tribunal Supremo (en adelante, ATS) 2927/2010, de 10 de febrero de 2011, en virtud del cual modificaba su doctrina relativa a los requisitos exigibles para la preparación del recurso de casación contra sentencias dictadas por la Audiencia Nacional. Por ello, en orden a adecuar el escrito de preparación del recurso de casación a las exigencias establecidas por el la Sala Tercera del Tribunal Supremo, procedió a indicar las concretas infracciones normativas o jurisprudenciales cometidas por la Sentencia impugnada, a fin de que, para el caso de que el Tribunal Supremo resolviera la aplicación de la nueva doctrina a los recursos preparados con anterioridad a hacerse público el referido Auto del Tribunal Supremo, se considerara adecuado el escrito de preparación a las exigencias actuales, a cuyo efecto solicitó a la referida Sala que tuviera preparado el recurso de casación contra la Sentencia recaída en la instancia y, previos los trámites legales que procedan, remitiese el presente escrito a la Sala Tercera del Tribunal Supremo para su unión al recurso de casación núm. 3466-2010.</w:t>
      </w:r>
    </w:p>
    <w:p w:rsidR="0085709A" w:rsidRDefault="0085709A" w:rsidP="0085709A">
      <w:pPr>
        <w:pStyle w:val="TextoNormal"/>
      </w:pPr>
    </w:p>
    <w:p w:rsidR="0085709A" w:rsidRDefault="0085709A" w:rsidP="0085709A">
      <w:pPr>
        <w:pStyle w:val="TextoNormal"/>
      </w:pPr>
      <w:r>
        <w:t>Por diligencia de ordenación de 7 de junio de 2011, la Sala Tercera (Sección Primera) del Tribunal Supremo tuvo por recibido un oficio de la Audiencia Nacional, en el que se acompañó el escrito de adecuación de la preparación del recurso de casación presentado por la sociedad demandante de amparo, y ordenó unir el escrito a las actuaciones de instancia.</w:t>
      </w:r>
    </w:p>
    <w:p w:rsidR="0085709A" w:rsidRDefault="0085709A" w:rsidP="0085709A">
      <w:pPr>
        <w:pStyle w:val="TextoNormal"/>
      </w:pPr>
    </w:p>
    <w:p w:rsidR="0085709A" w:rsidRDefault="0085709A" w:rsidP="0085709A">
      <w:pPr>
        <w:pStyle w:val="TextoNormal"/>
      </w:pPr>
      <w:r>
        <w:t>g) Por providencia de 11 de mayo de 2011, la Sala Tercera del Tribunal Supremo dio de nuevo plazo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89.1 y 93.2 a) LJCA]. Dicha resolución fue notificada a la sociedad demandante el día 17 de mayo de 2011.</w:t>
      </w:r>
    </w:p>
    <w:p w:rsidR="0085709A" w:rsidRDefault="0085709A" w:rsidP="0085709A">
      <w:pPr>
        <w:pStyle w:val="TextoNormal"/>
      </w:pPr>
    </w:p>
    <w:p w:rsidR="0085709A" w:rsidRDefault="0085709A" w:rsidP="0085709A">
      <w:pPr>
        <w:pStyle w:val="TextoNormal"/>
      </w:pPr>
      <w:r>
        <w:t xml:space="preserve">h) El 24 de mayo de 2011 la sociedad demandante evacuó el traslado conferido. En síntesis, la referida entidad solicitó la aplicación al caso de la doctrina mantenida en la STS de </w:t>
      </w:r>
      <w:r>
        <w:lastRenderedPageBreak/>
        <w:t>30 de marzo de 2011, dictada por la Sección Segunda de la Sala Tercera del Tribunal Supremo en el recurso de casación 3143-2006, en cuya virtud fue admitido un recurso de casación preparado contra una sentencia dictada por la Audiencia Nacional, sin que en el escrito de preparación se hubieran citado las concretas normas o doctrina jurisprudencial que se reputaban infringidas. Asimismo, puso de relieve que los posibles defectos del escrito de preparación habían sido subsanados a través del escrito de adecuación de fecha 17 de mayo de 2011. Por todo ello, solicitó que se acordara la admisión total del recurso de casación interpuesto.</w:t>
      </w:r>
    </w:p>
    <w:p w:rsidR="0085709A" w:rsidRDefault="0085709A" w:rsidP="0085709A">
      <w:pPr>
        <w:pStyle w:val="TextoNormal"/>
      </w:pPr>
    </w:p>
    <w:p w:rsidR="0085709A" w:rsidRDefault="0085709A" w:rsidP="0085709A">
      <w:pPr>
        <w:pStyle w:val="TextoNormal"/>
      </w:pPr>
      <w:r>
        <w:t>i) Por Auto de 10 de noviembre de 2011, la Sala Tercera del Tribunal Supremo (Sección Primera) acordó la inadmisión del recurso de casación. La Sala se remitió a la doctrina establecida en el Auto del Tribunal Supremo de 10 de febrero de 2011, del que transcribió varios de sus fundamentos, y concluyó que no habiéndose citado, en el escrito de preparación del recurso formalizado por la sociedad recurrente, las infracciones normativas o jurisprudenciales que iban a desarrollarse en el escrito de interposición, procedía la inadmisión del recurso de casación, lo que hacía innecesario pronunciarse sobre la causa de inadmisión parcial por razón de la cuantía.</w:t>
      </w:r>
    </w:p>
    <w:p w:rsidR="0085709A" w:rsidRDefault="0085709A" w:rsidP="0085709A">
      <w:pPr>
        <w:pStyle w:val="TextoNormal"/>
      </w:pPr>
    </w:p>
    <w:p w:rsidR="0085709A" w:rsidRDefault="0085709A" w:rsidP="0085709A">
      <w:pPr>
        <w:pStyle w:val="TextoNormal"/>
      </w:pPr>
      <w:r>
        <w:t>Por otro lado, la Sala considera de aplicación lo que la doctrina constitucional ha calificado como “mínimo efecto retroactivo”, de manera que el nuevo criterio jurisprudencial establecido resulta extensible a todo supuesto o situación jurídica que tenga ante sí para resolver, con independencia del momento temporal en que se interpuso el recurso.</w:t>
      </w:r>
    </w:p>
    <w:p w:rsidR="0085709A" w:rsidRDefault="0085709A" w:rsidP="0085709A">
      <w:pPr>
        <w:pStyle w:val="TextoNormal"/>
      </w:pPr>
    </w:p>
    <w:p w:rsidR="0085709A" w:rsidRDefault="0085709A" w:rsidP="0085709A">
      <w:pPr>
        <w:pStyle w:val="TextoNormal"/>
      </w:pPr>
      <w:r>
        <w:t>Finalmente, la Sala también rechaza la eficacia de la subsanación intentada por la sociedad demandante, a través de un escrito posterior al trámite de preparación, al entender que el incumplimiento de la carga establecida en el art. 89.1 de la Ley jurisdiccional acarrea un vicio de carácter sustancial, y no un simple defecto de forma, amén de que los requisitos que configuran los presupuestos procesales deben ser cumplidos, de manera indeclinable, en tiempo y forma. Por todo ello, entendió que el defecto procesal apreciado es insubsanable.</w:t>
      </w:r>
    </w:p>
    <w:p w:rsidR="0085709A" w:rsidRDefault="0085709A" w:rsidP="0085709A">
      <w:pPr>
        <w:pStyle w:val="TextoNormal"/>
      </w:pPr>
    </w:p>
    <w:p w:rsidR="0085709A" w:rsidRDefault="0085709A" w:rsidP="0085709A">
      <w:pPr>
        <w:pStyle w:val="TextoNormal"/>
      </w:pPr>
      <w:r>
        <w:t>j) En fecha 3 de enero de 2012, la sociedad demandante de amparo promovió incidente de nulidad de actuaciones en el que, con una extensa argumentación, alegó la vulneración del derecho a la igualdad en la aplicación judicial de la Ley (art. 14 CE) y del derecho a la tutela judicial efectiva en su vertiente de acceso a los recursos (art. 24.1 CE), en relación con el principio de seguridad jurídica contenido en el art. 9.1 CE. Denunció, en resumen, que el Tribunal Supremo había introducido una modificación sustancial respecto de los requisitos del escrito de preparación del recurso de casación contra Sentencias dictadas por la Audiencia Nacional que, además de inesperado, resulta sorprendente, arbitrario e infundado. Dicho cambio de criterio impone el cumplimiento de unos requisitos no contemplados en la Ley y, además, se aplica a escritos de preparación presentados con anterioridad a la adopción del nuevo criterio. Asimismo, afirma que la resolución impugnada contraviene la doctrina del Tribunal Constitucional en materia de subsanación de defectos procesales, con la consiguiente indefensión que se provoca a la parte recurrente. Finalmente, destaca la falta de vocación de permanencia de la modificación jurisprudencial, lo que comporta una vulneración del derecho a la igualdad en la aplicación judicial de la Ley, puesto que con posterioridad al Auto del Tribunal Supremo de 10 de febrero de 2011 se han dictado resolucio</w:t>
      </w:r>
      <w:r>
        <w:lastRenderedPageBreak/>
        <w:t>nes en las que se retoma el criterio precedente, en cuya virtud no resulta exigible la indicación expresa, en el escrito de preparación del recurso de casación, de las normas o doctrina jurisprudencial infringida.</w:t>
      </w:r>
    </w:p>
    <w:p w:rsidR="0085709A" w:rsidRDefault="0085709A" w:rsidP="0085709A">
      <w:pPr>
        <w:pStyle w:val="TextoNormal"/>
      </w:pPr>
    </w:p>
    <w:p w:rsidR="0085709A" w:rsidRDefault="0085709A" w:rsidP="0085709A">
      <w:pPr>
        <w:pStyle w:val="TextoNormal"/>
      </w:pPr>
      <w:r>
        <w:t>k) Por providencia de 22 de febrero de 2012 fue inadmitido a trámite el incidente de nulidad de actuaciones promovido contra el Auto de 10 de noviembre de 2011.</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contiene las alegaciones que se resumen a continuación:</w:t>
      </w:r>
    </w:p>
    <w:p w:rsidR="0085709A" w:rsidRDefault="0085709A" w:rsidP="0085709A">
      <w:pPr>
        <w:pStyle w:val="TextoNormal"/>
      </w:pPr>
    </w:p>
    <w:p w:rsidR="0085709A" w:rsidRDefault="0085709A" w:rsidP="0085709A">
      <w:pPr>
        <w:pStyle w:val="TextoNormal"/>
      </w:pPr>
      <w:r>
        <w:t xml:space="preserve">a) El Auto de 10 de noviembre de 2011 ha lesionado el derecho a la tutela judicial efectiva (art. 24.1 CE), en su vertiente de acceso a los recursos, porque se funda en el requisito de anticipar en el escrito de preparación del recurso de casación los concretos preceptos o la jurisprudencia que se reputan infringidos, el cual carece de cobertura en la Ley reguladora de la jurisdicción contencioso-administrativa. Esta Ley —subraya— solo lo exige en el supuesto concreto del art. 89.2 LJCA para resoluciones dictadas por los Tribunales Superiores de Justicia. La recurrente no atribuye la infracción al mero cambio de criterio del Tribunal Supremo iniciado a partir del ATS 2927/2010, de 10 de febrero de 2011, sobre el que se articula el Auto del Tribunal Supremo de 10 de noviembre de 2011, que inadmite el recurso de casación interpuesto por la actora, pues también advierte que dicho cambio es arbitrario, en tanto que impone, </w:t>
      </w:r>
      <w:r w:rsidRPr="0085709A">
        <w:rPr>
          <w:i/>
        </w:rPr>
        <w:t>ex novo</w:t>
      </w:r>
      <w:r>
        <w:t xml:space="preserve"> y con carácter retroactivo, un requisito no exigido en la Ley reguladora de la jurisdicción contencioso-administrativa ni en la jurisprudencia anterior, que había quedado fijada en los AATS 573/2010, de 14 de octubre, y 3461/2010, de 18 de noviembre, entre otras resoluciones.</w:t>
      </w:r>
    </w:p>
    <w:p w:rsidR="0085709A" w:rsidRDefault="0085709A" w:rsidP="0085709A">
      <w:pPr>
        <w:pStyle w:val="TextoNormal"/>
      </w:pPr>
    </w:p>
    <w:p w:rsidR="0085709A" w:rsidRDefault="0085709A" w:rsidP="0085709A">
      <w:pPr>
        <w:pStyle w:val="TextoNormal"/>
      </w:pPr>
      <w:r>
        <w:t>b) El Auto del Tribunal Supremo de 10 de noviembre de 2011 ha vulnerado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A su vez, también advierte que, una vez tuvo conocimiento del cambio de criterio jurisprudencial, presentó un escrito de adecuación conforme a los nuevos requisitos fijados, el cual no fue tenido en cuenta para considerar subsanado el primigenio escrito de preparación.</w:t>
      </w:r>
    </w:p>
    <w:p w:rsidR="0085709A" w:rsidRDefault="0085709A" w:rsidP="0085709A">
      <w:pPr>
        <w:pStyle w:val="TextoNormal"/>
      </w:pPr>
    </w:p>
    <w:p w:rsidR="0085709A" w:rsidRDefault="0085709A" w:rsidP="0085709A">
      <w:pPr>
        <w:pStyle w:val="TextoNormal"/>
      </w:pPr>
      <w:r>
        <w:t>La recurrente denuncia también, en relación con esta infracción alegada, la vulneración de los principios de seguridad jurídica (art. 9.3 CE), buena fe y confianza legítima que, a la postre, han producido una efectiva indefensión a la sociedad recurrente.</w:t>
      </w:r>
    </w:p>
    <w:p w:rsidR="0085709A" w:rsidRDefault="0085709A" w:rsidP="0085709A">
      <w:pPr>
        <w:pStyle w:val="TextoNormal"/>
      </w:pPr>
    </w:p>
    <w:p w:rsidR="0085709A" w:rsidRDefault="0085709A" w:rsidP="0085709A">
      <w:pPr>
        <w:pStyle w:val="TextoNormal"/>
      </w:pPr>
      <w:r>
        <w:t>c) El Auto del Tribunal Supremo de 10 de noviembre de 2011 ha conculcado su derecho a la igualdad en la aplicación judicial de la Ley (art. 14 CE), pues, según manifiesta la demandante, el cambio de criterio efectuado por la Sala Tercera del Tribunal Supremo no tiene vocación de permanencia, pues con posterioridad al Auto del Tribunal Supremo de 10 de febrero de 2011 se han dictado Sentencias y Autos contrarios a la jurisprudencia contenida en dicha resolución; entre otros, los AATS, de 17 de febrero de 2011 (recurso número 4600-2010), de 24 de febrero de 2011 (recurso número 3793-2010), de 17 de marzo de 2011 (recurso número 6250-2010), y 8516/2011, de 16 de junio (recurso número 5151-2010).</w:t>
      </w:r>
    </w:p>
    <w:p w:rsidR="0085709A" w:rsidRDefault="0085709A" w:rsidP="0085709A">
      <w:pPr>
        <w:pStyle w:val="TextoNormal"/>
      </w:pPr>
    </w:p>
    <w:p w:rsidR="0085709A" w:rsidRDefault="0085709A" w:rsidP="0085709A">
      <w:pPr>
        <w:pStyle w:val="TextoNormal"/>
      </w:pPr>
      <w:r>
        <w:lastRenderedPageBreak/>
        <w:t>Argumenta por último que, atendidas las circunstancias concurrentes, debió tomarse en consideración el escrito de adecuación a la nueva exigencia presentado por la parte al objeto de evitar una situación de indefensión que, en el curso de la tramitación de su recurso, ha cumplido escrupulosamente las normas y la jurisprudencia en vigor.</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10 de noviembre de 2011,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número 3466-2010 y al recurso número 377-2008,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24 de octubre de 2013, el Abogado del Estado, en la representación que le es propia,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fecha 7 de enero de 2014, se tuvo por personado y parte al Abogado del Estado, en representación de la Administración del Estado. Y, a tenor de lo dispuesto en el art. 52.1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de fecha 31 de enero de 2014, la sociedad demandante formuló sus alegaciones. En esencia, dicha entidad se remite a lo ya manifestado en el escrito de demanda, reiterando las pretensiones ya interesadas en dicho escrito.</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El Abogado del Estado presentó sus alegaciones mediante escrito registrado el 6 de febrero de 2014. En síntesis, considera que, a la luz de la doctrina constitucional, el Auto de inadmisón combatido en amparo vulnera el derecho al acceso a los recursos que garantiza el art. 24.1 CE. Para el Abogado del Estado el auténtico problema constitucional que la demanda suscita radica en la aplicación retrospectiva o retroactiva de las nuevas máximas jurisprudenciales plasmadas en el Auto del Tribunal Supremo de 10 de febrero de 2011, que </w:t>
      </w:r>
      <w:r>
        <w:lastRenderedPageBreak/>
        <w:t>no existían cuando se presentó el escrito de preparación del recurso de casación. En el presente caso, la inadmisión del recurso de casación se sustenta, precisamente, en que no se preparó conforme a las referidas máximas; ello supone imponer retroactivamente un novedoso régimen procesal desfavorable a la realización de un acto procesal totalmente concluido, lo cual vulnera lo dispuesto en el art. 24.1 CE, en su vertiente de acceso a los recursos.</w:t>
      </w:r>
    </w:p>
    <w:p w:rsidR="0085709A" w:rsidRDefault="0085709A" w:rsidP="0085709A">
      <w:pPr>
        <w:pStyle w:val="TextoNormal"/>
      </w:pPr>
    </w:p>
    <w:p w:rsidR="0085709A" w:rsidRDefault="0085709A" w:rsidP="0085709A">
      <w:pPr>
        <w:pStyle w:val="TextoNormal"/>
      </w:pPr>
      <w:r>
        <w:t>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 fundadas en la seguridad jurídica”.</w:t>
      </w:r>
    </w:p>
    <w:p w:rsidR="0085709A" w:rsidRDefault="0085709A" w:rsidP="0085709A">
      <w:pPr>
        <w:pStyle w:val="TextoNormal"/>
      </w:pPr>
    </w:p>
    <w:p w:rsidR="0085709A" w:rsidRDefault="0085709A" w:rsidP="0085709A">
      <w:pPr>
        <w:pStyle w:val="TextoNormal"/>
      </w:pPr>
      <w:r w:rsidRPr="0085709A">
        <w:rPr>
          <w:rStyle w:val="NumeroAFNegritaCaracter"/>
        </w:rPr>
        <w:t>10</w:t>
      </w:r>
      <w:r>
        <w:t>. El Ministerio Fiscal presentó sus alegaciones mediante escrito registrado el 27 de febrero de 2014. En primer lugar, compendia los hechos más relevantes que atañen al presente recurso. En segundo término, sintetiza la doctrina del Tribunal Constitucional sobre el acceso a los recursos y la evolución de la jurisprudencia del Tribunal Supremo sobre los requisitos que debe reunir el escrito de preparación del recurso de casación contencioso-administrativo. Finalmente, a la vista de las alegaciones formuladas en la demanda de amparo concluye que se ha vulnerado el derecho a la igualdad en la aplicación judicial de la Ley (art. 14 CE). Por el contrario, considera que las resoluciones combatidas en amparo no lesionan el derecho a la tutela judicial efectiva sin indefensión (art. 24.1 CE), dado que la exigencia de indicar, en el escrito de preparación del recurso de casación, las concretas infracciones legales o de la doctrina jurisprudencial deriva del propio tenor de los apartados c) y d) del art. 88.1 LJCA, de manera que cabría afirmar que no es la jurisprudencia la que impone tal requisito, sino la propia norma legal.</w:t>
      </w:r>
    </w:p>
    <w:p w:rsidR="0085709A" w:rsidRDefault="0085709A" w:rsidP="0085709A">
      <w:pPr>
        <w:pStyle w:val="TextoNormal"/>
      </w:pPr>
    </w:p>
    <w:p w:rsidR="0085709A" w:rsidRDefault="0085709A" w:rsidP="0085709A">
      <w:pPr>
        <w:pStyle w:val="TextoNormal"/>
      </w:pPr>
      <w:r>
        <w:t>La argumentación del Ministerio Fiscal en torno a la lesión del art. 14 CE se desarrolla, en síntesis, con los siguientes argumentos:</w:t>
      </w:r>
    </w:p>
    <w:p w:rsidR="0085709A" w:rsidRDefault="0085709A" w:rsidP="0085709A">
      <w:pPr>
        <w:pStyle w:val="TextoNormal"/>
      </w:pPr>
    </w:p>
    <w:p w:rsidR="0085709A" w:rsidRDefault="0085709A" w:rsidP="0085709A">
      <w:pPr>
        <w:pStyle w:val="TextoNormal"/>
      </w:pPr>
      <w:r>
        <w:t>El recurrente preparó el recurso de casación conforme a las pautas fijadas en el ATS 15895/2010, de 18 de noviembre, recaído en el recurso de casación número 3461-2010, que pretendió aclarar la jurisprudencia relativa a los requisitos exigibles al escrito de preparación del recurso de casación, concretamente en su fundamento jurídico 6. Ahora bien, la doctrina establecida por el Auto anteriormente citado fue de nuevo matizada por la Sección Primera de la Sala de lo Contencioso-Administrativo del Tribunal Supremo mediante el ATS 2371/2011, de 10 de febrero, recaído en el recurso de casación número 2927-2010, el cual, en su fundamento jurídico 4, estatuyó la necesidad de la indicación de los concretos preceptos o jurisprudencia que se reputan infringidos o del contenido de las infracciones normativas o jurisprudenciales que se pretendan denunciar y desarrollar en el escrito de interposición del recurso de casación, aunque fuere de forma sucinta, añadiendo que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 88.1 LJCA que se utilice.</w:t>
      </w:r>
    </w:p>
    <w:p w:rsidR="0085709A" w:rsidRDefault="0085709A" w:rsidP="0085709A">
      <w:pPr>
        <w:pStyle w:val="TextoNormal"/>
      </w:pPr>
    </w:p>
    <w:p w:rsidR="0085709A" w:rsidRDefault="0085709A" w:rsidP="0085709A">
      <w:pPr>
        <w:pStyle w:val="TextoNormal"/>
      </w:pPr>
      <w:r>
        <w:lastRenderedPageBreak/>
        <w:t>Por lo tanto, mientras el ATS 15895/2010, de 18 de noviembre, dijo que era “carga del recurrente en casación indicar ya en la fase de preparación el concreto o concretos motivos en que se fundará el recurso y no en cualesquiera otras razones no contempladas en la Ley Jurisdiccional”, el ATS 2371/2011, de 10 de febrero, dejó sentado que era “carga del recurrente en casación indicar ya en la fase de preparación el concreto o concretos motivos en que se fundará el recurso y no en cualesquiera otras razones no contempladas en la Ley Jurisdiccional,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w:t>
      </w:r>
    </w:p>
    <w:p w:rsidR="0085709A" w:rsidRDefault="0085709A" w:rsidP="0085709A">
      <w:pPr>
        <w:pStyle w:val="TextoNormal"/>
      </w:pPr>
    </w:p>
    <w:p w:rsidR="0085709A" w:rsidRDefault="0085709A" w:rsidP="0085709A">
      <w:pPr>
        <w:pStyle w:val="TextoNormal"/>
      </w:pPr>
      <w:r>
        <w:t>Sin embargo, la exigencia del ATS 2371/2011, de 10 de febrero, relativa a la obligatoriedad de indicar ya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no ha sido seguido de modo unánime por la Sección Primera de la Sala Tercera del Tribunal Supremo. A tales fines, la parte recurrente ha mencionado Autos y Sentencias que con posterioridad a ese Auto de 10 de febrero de 2011 han mantenido la posición “histórica” de la Sala Tercera del Tribunal Supremo en relación con los requisitos predicables para la válida formulación del escrito de preparación del recurso de casación, como son los AATS 1932/2011, de 17 de febrero  (recurso número 4600-2010), 4046/2011, de 24 de marzo (recurso número 3896-2010), 3673/2011, de 17 de marzo (recurso número 1585-2010), 3667/2011, de 17 de marzo (recurso número 6250-2010), y 8516/2011, de 16 de junio (recurso número 5151-2010) y las SSTS de 30 de marzo de 2011 (recurso número 3143-2006) y 5 de abril de 2011 (recurso número 2520-2009).</w:t>
      </w:r>
    </w:p>
    <w:p w:rsidR="0085709A" w:rsidRDefault="0085709A" w:rsidP="0085709A">
      <w:pPr>
        <w:pStyle w:val="TextoNormal"/>
      </w:pPr>
    </w:p>
    <w:p w:rsidR="0085709A" w:rsidRDefault="0085709A" w:rsidP="0085709A">
      <w:pPr>
        <w:pStyle w:val="TextoNormal"/>
      </w:pPr>
      <w:r>
        <w:t>Para el Ministerio Fiscal, la sociedad demandante de amparo ha aportado un válido término de comparación, pues oportunamente cita los AATS 1932/2011, de 17 de febrero (recurso número 4600-2010), 3667/2011, de 17 de marzo (recurso número 6250-2010), y 8516/2011, de 16 de junio (recurso número 5151-2010), todos ellos dictados por la Sección Primera, en relación con recursos de casación entablados contra Sentencias dictadas por la Sala de lo Contencioso-Administrativo de la Audiencia Nacional, en ninguno de los cuales se exige la indicación, en el escrito de preparación del recurso de casación, de los concretos preceptos o jurisprudencia que se reputan infringidos o el contenido de las infracciones normativas o jurisprudenciales que se pretendan denunciar y desarrollar en el escrito de interposición del recurso de casación. Este dato permite constatar la efectiva y necesaria identidad entre los supuestos de hecho que constituyen la base de cada una de esas resoluciones.</w:t>
      </w:r>
    </w:p>
    <w:p w:rsidR="0085709A" w:rsidRDefault="0085709A" w:rsidP="0085709A">
      <w:pPr>
        <w:pStyle w:val="TextoNormal"/>
      </w:pPr>
    </w:p>
    <w:p w:rsidR="0085709A" w:rsidRDefault="0085709A" w:rsidP="0085709A">
      <w:pPr>
        <w:pStyle w:val="TextoNormal"/>
      </w:pPr>
      <w:r>
        <w:t>Destaca, en suma, que en la presente hipótesis el Auto ahora impugnado —el Auto dictado por la Sección Primera de la Sala de lo Contencioso-Administrativo del Tribunal Supremo en el recurso de casación número 3466-2010 con fecha 10 de noviembre de 2011— no contiene referencia suficiente a la circunstancia de que esa misma Sección hubiera dictado previamente —vigente ya la doctrina fijada por el ATC 2371-2011, de 10 de febrero— al menos otros cuatro Autos en sentido diferente al de aquél, como tampoco contiene el Auto aquí impugnado una justificación explícita del cambio de criterio producido entre los casos que ahora trae a colación la parte recurrente en amparo y el Auto del que ahora se trata, lo cual parece en todo caso inexcusable.</w:t>
      </w:r>
    </w:p>
    <w:p w:rsidR="0085709A" w:rsidRDefault="0085709A" w:rsidP="0085709A">
      <w:pPr>
        <w:pStyle w:val="TextoNormal"/>
      </w:pPr>
    </w:p>
    <w:p w:rsidR="0085709A" w:rsidRDefault="0085709A" w:rsidP="0085709A">
      <w:pPr>
        <w:pStyle w:val="TextoNormal"/>
      </w:pPr>
      <w:r>
        <w:t xml:space="preserve">Entiende el Fiscal que, sentado lo anterior, carece de dificultad apreciar en el presente caso la existencia de todos y cada uno de los requisitos establecidos por la antes mencionada doctrina de ese Tribunal Constitucional para que pueda entenderse vulnerado el derecho a la igualdad en la aplicación judicial de la Ley (art. 14 CE), pues (i) la parte demandante de amparo ha acreditado el </w:t>
      </w:r>
      <w:r w:rsidRPr="0085709A">
        <w:rPr>
          <w:i/>
        </w:rPr>
        <w:t>tertium comparationis</w:t>
      </w:r>
      <w:r>
        <w:t xml:space="preserve"> exigido al haber señalado en su demanda hasta cuatro Autos de la Sección Primera de la Sala de lo Contencioso-Administrativo del Tribunal Supremo recaídos en casos análogos al que es objeto del presente recurso de amparo, pero con resolución diferente de la recaída en su caso concreto; (ii) existe la identidad de órgano judicial, habida cuenta de que tanto el Auto impugnado como los Autos de contraste han sido dictados por la Sección Primera de la Sala de lo Contencioso-Administrativo del Tribunal Supremo; (iii) existe alteridad en los supuestos contrastados, pues ninguno de los casos de contraste aportados se refieren a la demandante; y (iv) es de apreciar la ausencia de toda motivación que justifique en términos generalizables el cambio de criterio.</w:t>
      </w:r>
    </w:p>
    <w:p w:rsidR="0085709A" w:rsidRDefault="0085709A" w:rsidP="0085709A">
      <w:pPr>
        <w:pStyle w:val="TextoNormal"/>
      </w:pPr>
    </w:p>
    <w:p w:rsidR="0085709A" w:rsidRDefault="0085709A" w:rsidP="0085709A">
      <w:pPr>
        <w:pStyle w:val="TextoNormal"/>
      </w:pPr>
      <w:r>
        <w:t>Por todo ello, termina solicitando que se dicte Sentencia por la que se declare que el Auto dictado por la Sección Primera de la Sala de lo Contencioso-Administrativo del Tribunal Supremo en el recurso de casación número 3466-2010 con fecha 10 de noviembre de 2011 vulneró el derecho de la sociedad Compañía de Distribución Integral Logista, S.A., a la igualdad en la aplicación de la ley (art. 14 CE), con la consecuencia necesaria de la anulación de dicha resolución, así como de la providencia dictada por la Sección Primera de la Sala de lo Contencioso-Administrativo del Tribunal Supremo en el recurso de casación número 3466-2010, de fecha 22 de febrero de 2012, por la que se inadmitió el incidente de nulidad de actuaciones entablado contra aquel Auto, para que sea dictada, en su lugar, otra resolución que se respetuosa con el derecho fundamental vulnerado.</w:t>
      </w:r>
    </w:p>
    <w:p w:rsidR="0085709A" w:rsidRDefault="0085709A" w:rsidP="0085709A">
      <w:pPr>
        <w:pStyle w:val="TextoNormal"/>
      </w:pPr>
    </w:p>
    <w:p w:rsidR="0085709A" w:rsidRDefault="0085709A" w:rsidP="0085709A">
      <w:pPr>
        <w:pStyle w:val="TextoNormal"/>
      </w:pPr>
      <w:r w:rsidRPr="0085709A">
        <w:rPr>
          <w:rStyle w:val="NumeroAFNegritaCaracter"/>
        </w:rPr>
        <w:t>11</w:t>
      </w:r>
      <w:r>
        <w:t>.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10 de noviembre de 2011, del que trae causa el presente recurso de amparo.</w:t>
      </w:r>
    </w:p>
    <w:p w:rsidR="0085709A" w:rsidRDefault="0085709A" w:rsidP="0085709A">
      <w:pPr>
        <w:pStyle w:val="TextoNormal"/>
      </w:pPr>
    </w:p>
    <w:p w:rsidR="0085709A" w:rsidRDefault="0085709A" w:rsidP="0085709A">
      <w:pPr>
        <w:pStyle w:val="TextoNormal"/>
      </w:pPr>
      <w:r>
        <w:t>Por Auto de fecha 6 de noviembre de 2014, la Sala Segunda de este Tribunal resolvió estimar justificada la causa de abstención invocada, apartando definitivamente del conocimiento del presente recurso y de todas sus incidencias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12 de febrero de 2015 se señaló para deliberación y fallo de la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w:t>
      </w:r>
      <w:r>
        <w:lastRenderedPageBreak/>
        <w:t>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Las invocaciones constitucionales en que se fundamenta este recurso ya han sido objeto de análisis por el Pleno de este Tribunal en la STC 7/2015, de 22 de enero. Por tanto, 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0085709A" w:rsidRDefault="0085709A" w:rsidP="0085709A">
      <w:pPr>
        <w:pStyle w:val="TextoNormal"/>
      </w:pPr>
    </w:p>
    <w:p w:rsidR="0085709A" w:rsidRDefault="0085709A" w:rsidP="0085709A">
      <w:pPr>
        <w:pStyle w:val="TextoNormal"/>
      </w:pPr>
      <w:r>
        <w:t xml:space="preserve">Igualmente, debe descartarse la lesión aducida del derecho a la igualdad en la aplicación de la ley. En el fundamento jurídico 4 de la Sentencia citada,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y razona explícitamente la alteración doctrinal, que se justifica a partir de la finalidad que debe cumplir el escrito de preparación del recurso de casación.</w:t>
      </w:r>
    </w:p>
    <w:p w:rsidR="0085709A" w:rsidRDefault="0085709A" w:rsidP="0085709A">
      <w:pPr>
        <w:pStyle w:val="TextoNormal"/>
      </w:pPr>
    </w:p>
    <w:p w:rsidR="0085709A" w:rsidRDefault="0085709A" w:rsidP="0085709A">
      <w:pPr>
        <w:pStyle w:val="TextoNormal"/>
      </w:pPr>
      <w:r>
        <w:t>Por el contrario, debe estimarse la vulneración del derecho a la tutela judicial efectiva (art. 24.1 CE) fundamentada en que, contrariamente al parámetro de racionalidad, la decisión de inadmisión impugnada no tomó en consideración que la falta de cumplimiento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(fundamento jurídico 3).</w:t>
      </w:r>
    </w:p>
    <w:p w:rsidR="0085709A" w:rsidRDefault="0085709A" w:rsidP="0085709A">
      <w:pPr>
        <w:pStyle w:val="TextoNormal"/>
      </w:pPr>
    </w:p>
    <w:p w:rsidR="0085709A" w:rsidRDefault="0085709A" w:rsidP="0085709A">
      <w:pPr>
        <w:pStyle w:val="TextoNormal"/>
      </w:pPr>
      <w:r>
        <w:t>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Estimar el recurso de amparo interpuesto por la Compañía de Distribución Integral Logista, S.A., y, en su virtud:</w:t>
      </w:r>
    </w:p>
    <w:p w:rsidR="0085709A" w:rsidRDefault="0085709A" w:rsidP="0085709A">
      <w:pPr>
        <w:pStyle w:val="TextoNormal"/>
      </w:pPr>
    </w:p>
    <w:p w:rsidR="0085709A" w:rsidRDefault="0085709A" w:rsidP="0085709A">
      <w:pPr>
        <w:pStyle w:val="TextoNormal"/>
      </w:pPr>
      <w:r>
        <w:t>1º Declarar que ha sido vulnerado el derecho fundamental de la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del Auto de 10 de noviembre de 2011 y de la providencia de 22 de febrero de 2012, dictados en el recurso de casación núm. 3466-2010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rsidP="0085709A">
      <w:pPr>
        <w:pStyle w:val="ParrafoNormal"/>
      </w:pPr>
    </w:p>
    <w:p w:rsidR="0085709A" w:rsidRDefault="0085709A" w:rsidP="0085709A">
      <w:pPr>
        <w:pStyle w:val="TextoNormalNegritaCentrado"/>
        <w:keepNext/>
      </w:pPr>
      <w:r>
        <w:t>Voto particular concurrente que formulan la Magistrada doña Adela Asua Batarrita y el Magistrado don Fernando Valdés Dal-Ré a la Sentencia dictada en el recurso de amparo núm. 2246-2012.</w:t>
      </w:r>
    </w:p>
    <w:p w:rsidR="0085709A" w:rsidRDefault="0085709A" w:rsidP="0085709A">
      <w:pPr>
        <w:pStyle w:val="TextoNormalNegritaCentrado"/>
        <w:keepNext/>
      </w:pPr>
    </w:p>
    <w:p w:rsidR="0085709A" w:rsidRDefault="0085709A" w:rsidP="0085709A">
      <w:pPr>
        <w:pStyle w:val="TextoNormal"/>
      </w:pPr>
      <w:r>
        <w:t>En ejercicio de la facultad que nos confiere el art. 90.2 de la Ley Orgánica del Tribunal Constitucional y con pleno respeto a la opinión de la mayoría de la Sala, manifestamos nuestra discrepancia con la desestimación de la vulneración del art. 24.1 CE relativa a la falta de cobertura legal de la causa de inadmisión impugnada, y con la desestimación de la lesión del art. 14 CE.</w:t>
      </w:r>
    </w:p>
    <w:p w:rsidR="0085709A" w:rsidRDefault="0085709A" w:rsidP="0085709A">
      <w:pPr>
        <w:pStyle w:val="TextoNormal"/>
      </w:pPr>
    </w:p>
    <w:p w:rsidR="0085709A" w:rsidRDefault="0085709A" w:rsidP="0085709A">
      <w:pPr>
        <w:pStyle w:val="TextoNormal"/>
      </w:pPr>
      <w:r>
        <w:t>Los argumentos que nos conducen a tal conclusión fueron expuestos con detalle en el Voto particular formulado por el Magistrado don Juan Antonio Xiol Ríos a la STC 7/2015, de 22 de enero, dictada en el recurso de amparo avocado al Pleno núm. 2399-2012, al que entonces nos adherimos, y al que ahora nos remitimos.</w:t>
      </w:r>
    </w:p>
    <w:p w:rsidR="0085709A" w:rsidRDefault="0085709A" w:rsidP="0085709A">
      <w:pPr>
        <w:pStyle w:val="TextoNormal"/>
      </w:pPr>
    </w:p>
    <w:p w:rsidR="0085709A" w:rsidRDefault="0085709A" w:rsidP="0085709A">
      <w:pPr>
        <w:pStyle w:val="TextoNormal"/>
      </w:pPr>
      <w:r>
        <w:t>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1" w:name="SENTENCIA_2015_18"/>
      <w:r>
        <w:lastRenderedPageBreak/>
        <w:t>SENTENCIA 18/2015, de 16 de febrero de 2015</w:t>
      </w:r>
    </w:p>
    <w:bookmarkEnd w:id="21"/>
    <w:p w:rsidR="0085709A" w:rsidRDefault="0085709A" w:rsidP="0085709A">
      <w:pPr>
        <w:pStyle w:val="TtuloResolucin"/>
      </w:pPr>
      <w:r>
        <w:t>Sala Segunda</w:t>
      </w:r>
    </w:p>
    <w:p w:rsidR="0085709A" w:rsidRDefault="0085709A" w:rsidP="0085709A">
      <w:pPr>
        <w:pStyle w:val="TtuloBOE"/>
      </w:pPr>
      <w:r>
        <w:t>(BOE núm. 64, de 16 de marzo de 2015)</w:t>
      </w:r>
    </w:p>
    <w:p w:rsidR="0085709A" w:rsidRDefault="0085709A" w:rsidP="0085709A">
      <w:pPr>
        <w:pStyle w:val="TextoNormalCentrado"/>
      </w:pPr>
      <w:r>
        <w:t>ECLI:ES:TC:2015:18</w:t>
      </w:r>
    </w:p>
    <w:p w:rsidR="0085709A" w:rsidRDefault="0085709A" w:rsidP="0085709A">
      <w:pPr>
        <w:pStyle w:val="TextoNormalCentrado"/>
      </w:pPr>
    </w:p>
    <w:p w:rsidR="0085709A" w:rsidRDefault="0085709A" w:rsidP="0085709A">
      <w:pPr>
        <w:pStyle w:val="SntesisDescriptiva"/>
      </w:pPr>
      <w:r>
        <w:t>Recurso de amparo 3571-2012. Promovido por don Gonzalo Werther Miró Romero respecto de la Sentencia de la Sala de lo Civil del Tribunal Supremo que desestimó su demanda sobre protección del derecho a la intimidad y a la propia imagen.</w:t>
      </w:r>
    </w:p>
    <w:p w:rsidR="0085709A" w:rsidRDefault="0085709A" w:rsidP="0085709A">
      <w:pPr>
        <w:pStyle w:val="SntesisDescriptiva"/>
      </w:pPr>
    </w:p>
    <w:p w:rsidR="0085709A" w:rsidRDefault="0085709A" w:rsidP="0085709A">
      <w:pPr>
        <w:pStyle w:val="SntesisAnaltica"/>
      </w:pPr>
      <w:r>
        <w:t>Vulneración de los derechos a la intimidad y a la propia imagen: difusión de imágenes sobre aspectos de la vida privada del recurrente captadas sin su consentimiento.</w:t>
      </w:r>
    </w:p>
    <w:p w:rsidR="0085709A" w:rsidRDefault="0085709A" w:rsidP="0085709A">
      <w:pPr>
        <w:pStyle w:val="SntesisAnaltica"/>
      </w:pPr>
    </w:p>
    <w:p w:rsidR="0085709A" w:rsidRDefault="0085709A" w:rsidP="0085709A">
      <w:pPr>
        <w:pStyle w:val="Extracto"/>
      </w:pPr>
      <w:r>
        <w:t>1.</w:t>
      </w:r>
      <w:r>
        <w:tab/>
        <w:t>Se ha lesionado el derecho a la propia imagen que el art. 18 1. CE, sin que caso, la intromisión padecida halle justificación en el derecho a comunicar información veraz, ex art. 20.1 d) CE, pues, la notoriedad social no justifica la captación clandestina de imágenes que fueron emitidas en programas televisivos, sin otra finalidad que divulgar escenas referidas al ámbito personal y privado y sin que tal afirmación quede enervada por el hecho de que las imágenes hayan sido tomadas en lugares de acceso público [FJ 6].</w:t>
      </w:r>
    </w:p>
    <w:p w:rsidR="0085709A" w:rsidRDefault="0085709A" w:rsidP="0085709A">
      <w:pPr>
        <w:pStyle w:val="Extracto"/>
      </w:pPr>
    </w:p>
    <w:p w:rsidR="0085709A" w:rsidRDefault="0085709A" w:rsidP="0085709A">
      <w:pPr>
        <w:pStyle w:val="Extracto"/>
      </w:pPr>
      <w:r>
        <w:t>2.</w:t>
      </w:r>
      <w:r>
        <w:tab/>
        <w:t>No es el titular del derecho a la propia imagen el sujeto obligado a su protección ni quien debe erigir obstáculos o barreras defensivas frente a posibles injerencias de terceros, sino que son los terceros quienes vienen constitucionalmente obligados a respetar el derecho fundamental, cuando se trata de la captación de imágenes que se refieren a un ámbito personal y privado [FJ 6].</w:t>
      </w:r>
    </w:p>
    <w:p w:rsidR="0085709A" w:rsidRDefault="0085709A" w:rsidP="0085709A">
      <w:pPr>
        <w:pStyle w:val="Extracto"/>
      </w:pPr>
    </w:p>
    <w:p w:rsidR="0085709A" w:rsidRDefault="0085709A" w:rsidP="0085709A">
      <w:pPr>
        <w:pStyle w:val="Extracto"/>
      </w:pPr>
      <w:r>
        <w:t>3.</w:t>
      </w:r>
      <w:r>
        <w:tab/>
        <w:t>La captación y reproducción de una imagen pueden lesionarse al mismo tiempo el derecho a la intimidad y el derecho a la propia imagen, lo que ocurriría en los casos en los que la imagen difundida, además de mostrar los rasgos físicos que permiten la identificación de una persona determinada, revelara aspectos de su vida privada y familiar que se han querido reservar del público conocimiento (STC 156/2001) [FJ 7].</w:t>
      </w:r>
    </w:p>
    <w:p w:rsidR="0085709A" w:rsidRDefault="0085709A" w:rsidP="0085709A">
      <w:pPr>
        <w:pStyle w:val="Extracto"/>
      </w:pPr>
    </w:p>
    <w:p w:rsidR="0085709A" w:rsidRDefault="0085709A" w:rsidP="0085709A">
      <w:pPr>
        <w:pStyle w:val="Extracto"/>
      </w:pPr>
      <w:r>
        <w:t>4.</w:t>
      </w:r>
      <w:r>
        <w:tab/>
        <w:t>Las escenas divulgadas versan sobre aspectos relativos a la vida privada del demandante, de manera que la invasión no consentida de ese ámbito reservado cercena la facultad de exclusión que aquél ostenta frente a una publicidad no querida, sin que el hecho de que las imágenes se obtuvieran en lugares de acceso público o la relación afectiva fuera ya conocida o, incluso, que el interesado hubiera podido favorecer la publicidad de ciertos aspectos de su vida privada, impidan, en sí mismo considerados, apreciar la intromisión en el derecho a la intimidad personal [FJ 7].</w:t>
      </w:r>
    </w:p>
    <w:p w:rsidR="0085709A" w:rsidRDefault="0085709A" w:rsidP="0085709A">
      <w:pPr>
        <w:pStyle w:val="Extracto"/>
      </w:pPr>
    </w:p>
    <w:p w:rsidR="0085709A" w:rsidRDefault="0085709A" w:rsidP="0085709A">
      <w:pPr>
        <w:pStyle w:val="Extracto"/>
      </w:pPr>
      <w:r>
        <w:t>5.</w:t>
      </w:r>
      <w:r>
        <w:tab/>
        <w:t>El contenido de la información transmitida a través de las imágenes y comentarios efectuados en los espacios televisivos carece del interés general o relevancia pública que merece un valor preferente que contribuya a la formación de la opinión pública, no vulnerándose la libre información en el seno de una sociedad democrática [FJ 7].</w:t>
      </w:r>
    </w:p>
    <w:p w:rsidR="0085709A" w:rsidRDefault="0085709A" w:rsidP="0085709A">
      <w:pPr>
        <w:pStyle w:val="Extracto"/>
      </w:pPr>
    </w:p>
    <w:p w:rsidR="0085709A" w:rsidRDefault="0085709A" w:rsidP="0085709A">
      <w:pPr>
        <w:pStyle w:val="Extracto"/>
      </w:pPr>
      <w:r>
        <w:lastRenderedPageBreak/>
        <w:t>6.</w:t>
      </w:r>
      <w:r>
        <w:tab/>
        <w:t>El derecho fundamental a la propia imagen no puede ser concebido como una faceta o manifestación más del derecho a la intimidad o el honor, pues si bien los derechos identificados en el art. 18.1 CE se inscriben en el ámbito de la personalidad pero cada uno de ellos tiene un contenido propio específico (STC 208/2013) [FJ 4].</w:t>
      </w:r>
    </w:p>
    <w:p w:rsidR="0085709A" w:rsidRDefault="0085709A" w:rsidP="0085709A">
      <w:pPr>
        <w:pStyle w:val="Extracto"/>
      </w:pPr>
    </w:p>
    <w:p w:rsidR="0085709A" w:rsidRDefault="0085709A" w:rsidP="0085709A">
      <w:pPr>
        <w:pStyle w:val="Extracto"/>
      </w:pPr>
      <w:r>
        <w:t>7.</w:t>
      </w:r>
      <w:r>
        <w:tab/>
        <w:t>El derecho a la propia imagen pretende salvaguardar un ámbito propio y reservado, aunque no íntimo, que incide en el libre desarrollo de la propia personalidad, constituyendo un ámbito necesario para mantener una calidad mínima de vida humana (STC 176/2013) [FJ 4].</w:t>
      </w:r>
    </w:p>
    <w:p w:rsidR="0085709A" w:rsidRDefault="0085709A" w:rsidP="0085709A">
      <w:pPr>
        <w:pStyle w:val="Extracto"/>
      </w:pPr>
    </w:p>
    <w:p w:rsidR="0085709A" w:rsidRDefault="0085709A" w:rsidP="0085709A">
      <w:pPr>
        <w:pStyle w:val="Extracto"/>
      </w:pPr>
      <w:r>
        <w:t>8.</w:t>
      </w:r>
      <w:r>
        <w:tab/>
        <w:t>El derecho a la propia imagen se salvaguarda reconociendo la facultad de evitar la difusión incondicionada del aspecto físico, como elemento configurador de la esfera personal de todo individuo, en tanto instrumento básico de identificación y proyección exterior y factor imprescindible para su reconocimiento como sujeto individual (STC 176/2013) [FJ 4].</w:t>
      </w:r>
    </w:p>
    <w:p w:rsidR="0085709A" w:rsidRDefault="0085709A" w:rsidP="0085709A">
      <w:pPr>
        <w:pStyle w:val="Extracto"/>
      </w:pPr>
    </w:p>
    <w:p w:rsidR="0085709A" w:rsidRDefault="0085709A" w:rsidP="0085709A">
      <w:pPr>
        <w:pStyle w:val="Extracto"/>
      </w:pPr>
      <w:r>
        <w:t>9.</w:t>
      </w:r>
      <w:r>
        <w:tab/>
        <w:t>Ante supuestos de colisión entre el referido derecho y la libertad informativa consagrada en el art. 20.1 d) CE, deben ponderarse los diferentes intereses en litigio y, conforme a las circunstancias concurrentes ad casum, dilucidar qué derecho o interés merece mayor protección [FJ 4].</w:t>
      </w:r>
    </w:p>
    <w:p w:rsidR="0085709A" w:rsidRDefault="0085709A" w:rsidP="0085709A">
      <w:pPr>
        <w:pStyle w:val="Extracto"/>
      </w:pPr>
    </w:p>
    <w:p w:rsidR="0085709A" w:rsidRDefault="0085709A" w:rsidP="0085709A">
      <w:pPr>
        <w:pStyle w:val="Extracto"/>
      </w:pPr>
      <w:r>
        <w:t>10.</w:t>
      </w:r>
      <w:r>
        <w:tab/>
        <w:t>El Tribunal condiciona la protección constitucional de la libertad de información a que ésta sea veraz y esté referida a asuntos de relevancia pública que son de interés general por las materias a que se refiere y por las personas que en ellos intervienen, contribuyendo a la formación de la opinión pública (STC 19/2014) [FJ 4].</w:t>
      </w:r>
    </w:p>
    <w:p w:rsidR="0085709A" w:rsidRDefault="0085709A" w:rsidP="0085709A">
      <w:pPr>
        <w:pStyle w:val="Extracto"/>
      </w:pPr>
    </w:p>
    <w:p w:rsidR="0085709A" w:rsidRDefault="0085709A" w:rsidP="0085709A">
      <w:pPr>
        <w:pStyle w:val="Extracto"/>
      </w:pPr>
      <w:r>
        <w:t>11.</w:t>
      </w:r>
      <w:r>
        <w:tab/>
        <w:t>El derecho a la propia imagen no prescribe ni queda condicionado porque, en con anterioridad, el titular del derecho haya otorgado su consentimiento para la reproducción de su aspecto físico o no haya reaccionado frente a una reproducción no consentida, pues sólo a cada persona corresponde decidir en cada momento sobre dicha reproducción (STC 19/2014) [FJ 4].</w:t>
      </w:r>
    </w:p>
    <w:p w:rsidR="0085709A" w:rsidRDefault="0085709A" w:rsidP="0085709A">
      <w:pPr>
        <w:pStyle w:val="Extracto"/>
      </w:pPr>
    </w:p>
    <w:p w:rsidR="0085709A" w:rsidRDefault="0085709A" w:rsidP="0085709A">
      <w:pPr>
        <w:pStyle w:val="Extracto"/>
      </w:pPr>
      <w:r>
        <w:t>12.</w:t>
      </w:r>
      <w:r>
        <w:tab/>
        <w:t>La proyección pública del personaje o la circunstancia de que las imágenes se capten en un lugar abierto al uso público no justifica su difusión, pues no cabe privar incondicionalmente a la persona de la capacidad de decidir sobre qué aspectos desea preservar de la difusión pública (STC 19/2014) [FJ 4].</w:t>
      </w:r>
    </w:p>
    <w:p w:rsidR="0085709A" w:rsidRDefault="0085709A" w:rsidP="0085709A">
      <w:pPr>
        <w:pStyle w:val="Extracto"/>
      </w:pPr>
    </w:p>
    <w:p w:rsidR="0085709A" w:rsidRDefault="0085709A" w:rsidP="0085709A">
      <w:pPr>
        <w:pStyle w:val="Extracto"/>
      </w:pPr>
      <w:r>
        <w:t>13.</w:t>
      </w:r>
      <w:r>
        <w:tab/>
        <w:t>La proyección pública y social no puede ser utilizada como argumento para negar una esfera reservada de protección constitucional en el ámbito de las relaciones afectivas, derivada del contenido del derecho a la intimidad personal, ni para reducirla hasta su práctica desaparición (STC 7/2014) [FJ 5].</w:t>
      </w:r>
    </w:p>
    <w:p w:rsidR="0085709A" w:rsidRDefault="0085709A" w:rsidP="0085709A">
      <w:pPr>
        <w:pStyle w:val="Extracto"/>
      </w:pPr>
    </w:p>
    <w:p w:rsidR="0085709A" w:rsidRDefault="0085709A" w:rsidP="0085709A">
      <w:pPr>
        <w:pStyle w:val="Extracto"/>
      </w:pPr>
      <w:r>
        <w:t>14.</w:t>
      </w:r>
      <w:r>
        <w:tab/>
        <w:t>Si bien los personajes con notoriedad pública inevitablemente ven reducida su esfera de intimidad, el derecho constitucional que la protege no se ve minorado en el ámbito que el sujeto se reserve, y su eficacia como límite al derecho de información es igual a la de quien carece de toda notoriedad (STC 134/1999) [FJ 5].</w:t>
      </w:r>
    </w:p>
    <w:p w:rsidR="0085709A" w:rsidRDefault="0085709A" w:rsidP="0085709A">
      <w:pPr>
        <w:pStyle w:val="Extracto"/>
      </w:pPr>
    </w:p>
    <w:p w:rsidR="0085709A" w:rsidRDefault="0085709A" w:rsidP="0085709A">
      <w:pPr>
        <w:pStyle w:val="Extracto"/>
      </w:pPr>
      <w:r>
        <w:t>15.</w:t>
      </w:r>
      <w:r>
        <w:tab/>
        <w:t>El carácter público del lugar donde se obtienen las imágenes no ubica necesariamente al afectado fuera del ámbito de protección inherente al derecho a la intimidad [FJ 5].</w:t>
      </w:r>
    </w:p>
    <w:p w:rsidR="0085709A" w:rsidRDefault="0085709A" w:rsidP="0085709A">
      <w:pPr>
        <w:pStyle w:val="Extracto"/>
      </w:pPr>
    </w:p>
    <w:p w:rsidR="0085709A" w:rsidRDefault="0085709A" w:rsidP="0085709A">
      <w:pPr>
        <w:pStyle w:val="Extracto"/>
      </w:pPr>
      <w:r>
        <w:t>16.</w:t>
      </w:r>
      <w:r>
        <w:tab/>
        <w:t>La intimidad protegida por el art. 18.1 CE no se reduce necesariamente a la que se desarrolla en el ámbito doméstico o privado (STC 12/2012) [FJ 5].</w:t>
      </w:r>
    </w:p>
    <w:p w:rsidR="0085709A" w:rsidRDefault="0085709A" w:rsidP="0085709A">
      <w:pPr>
        <w:pStyle w:val="Extracto"/>
      </w:pPr>
    </w:p>
    <w:p w:rsidR="0085709A" w:rsidRDefault="0085709A" w:rsidP="0085709A">
      <w:pPr>
        <w:pStyle w:val="Extracto"/>
      </w:pPr>
      <w:r>
        <w:t>17.</w:t>
      </w:r>
      <w:r>
        <w:tab/>
        <w:t>El hecho de que el interesado haya sido proclive a dar conocer aspectos de su vida privada o que la relación afectiva fuera ya conocida, no son circunstancias susceptibles de cercenar el derecho a la intimidad (STC 134/1999) [FJ 5].</w:t>
      </w:r>
    </w:p>
    <w:p w:rsidR="0085709A" w:rsidRDefault="0085709A" w:rsidP="0085709A">
      <w:pPr>
        <w:pStyle w:val="Extracto"/>
      </w:pPr>
    </w:p>
    <w:p w:rsidR="0085709A" w:rsidRDefault="0085709A" w:rsidP="0085709A">
      <w:pPr>
        <w:pStyle w:val="Extracto"/>
      </w:pPr>
      <w:r>
        <w:t>18.</w:t>
      </w:r>
      <w:r>
        <w:tab/>
        <w:t>Si bien la libertad de información prevalece sobre el derecho a la intimidad si los hechos son divulgados por los propios afectados, dado que a cada persona corresponde acotar el ámbito de su intimidad personal, en cualquier otro caso el derecho a la intimidad opera como límite infranqueable del derecho a la libre información (STC 197/1991) [FJ 5].</w:t>
      </w:r>
    </w:p>
    <w:p w:rsidR="0085709A" w:rsidRDefault="0085709A" w:rsidP="0085709A">
      <w:pPr>
        <w:pStyle w:val="Extracto"/>
      </w:pPr>
    </w:p>
    <w:p w:rsidR="0085709A" w:rsidRDefault="0085709A" w:rsidP="0085709A">
      <w:pPr>
        <w:pStyle w:val="Extracto"/>
      </w:pPr>
      <w:r>
        <w:t>19.</w:t>
      </w:r>
      <w:r>
        <w:tab/>
        <w:t>El derecho a la intimidad personal no confiere a su titular una facultad omnímoda de exclusión, pues como el resto de derechos puede ceder ante otros derechos y bienes constitucionalmente relevantes, siempre que ésta limitación se funde en una previsión legal justificada constitucionalmente, se revele necesaria para lograr un fin legítimo, sea proporcionada para alcanzarlo y sea respetuosa con el contenido esencial del derecho (por todas, (STC 25/2005) [FJ 5].</w:t>
      </w:r>
    </w:p>
    <w:p w:rsidR="0085709A" w:rsidRDefault="0085709A" w:rsidP="0085709A">
      <w:pPr>
        <w:pStyle w:val="Extracto"/>
      </w:pPr>
    </w:p>
    <w:p w:rsidR="0085709A" w:rsidRDefault="0085709A" w:rsidP="0085709A">
      <w:pPr>
        <w:pStyle w:val="Extracto"/>
      </w:pPr>
      <w:r>
        <w:t>20.</w:t>
      </w:r>
      <w:r>
        <w:tab/>
        <w:t>Entre los límites inmanentes a la libertad de información se encuentran los requisitos de veracidad y de interés general o relevancia pública de la información; de forma que en ausencia de los dos mencionados requisitos decae el respaldo constitucional de la libertad de información  (STC 68/2008) [FJ 5].</w:t>
      </w:r>
    </w:p>
    <w:p w:rsidR="0085709A" w:rsidRDefault="0085709A" w:rsidP="0085709A">
      <w:pPr>
        <w:pStyle w:val="Extracto"/>
      </w:pPr>
    </w:p>
    <w:p w:rsidR="0085709A" w:rsidRDefault="0085709A" w:rsidP="0085709A">
      <w:pPr>
        <w:pStyle w:val="Extracto"/>
      </w:pPr>
      <w:r>
        <w:t>21.</w:t>
      </w:r>
      <w:r>
        <w:tab/>
        <w:t>En cuanto a la relevancia pública de la información, la protección constitucional se ciñe a la transmisión de hechos ‘noticiables’ que, por su relevancia social, contribuyan a la formación de la opinión pública [FJ 5].</w:t>
      </w:r>
    </w:p>
    <w:p w:rsidR="0085709A" w:rsidRDefault="0085709A" w:rsidP="0085709A">
      <w:pPr>
        <w:pStyle w:val="Extracto"/>
      </w:pPr>
    </w:p>
    <w:p w:rsidR="0085709A" w:rsidRDefault="0085709A" w:rsidP="0085709A">
      <w:pPr>
        <w:pStyle w:val="Extracto"/>
      </w:pPr>
      <w:r>
        <w:t>22.</w:t>
      </w:r>
      <w:r>
        <w:tab/>
        <w:t>Se resuelve sobre el conflicto entre los derechos afectados, aunque sea preciso utilizar criterios distintos a los aplicados por los órganos judiciales, ya que los fundamentos de éstos no vinculan a este Tribunal ni reducen su jurisdicción a la simple revisión de la motivación de las resoluciones judiciales (STC 176/2003) [FJ 3].</w:t>
      </w:r>
    </w:p>
    <w:p w:rsidR="0085709A" w:rsidRDefault="0085709A" w:rsidP="0085709A">
      <w:pPr>
        <w:pStyle w:val="Extracto"/>
      </w:pPr>
    </w:p>
    <w:p w:rsidR="0085709A" w:rsidRDefault="0085709A" w:rsidP="0085709A">
      <w:pPr>
        <w:pStyle w:val="Extracto"/>
      </w:pPr>
      <w:r>
        <w:t>23.</w:t>
      </w:r>
      <w:r>
        <w:tab/>
        <w:t>Tras ser evaluado el asunto en tres instancias judiciales, la subsidiariedad del recurso de amparo ha quedado preservada sin que resulte necesaria la interposición del referido incidente para entender agotada la vía judicial [FJ 2].</w:t>
      </w:r>
    </w:p>
    <w:p w:rsidR="0085709A" w:rsidRDefault="0085709A" w:rsidP="0085709A">
      <w:pPr>
        <w:pStyle w:val="Extracto"/>
      </w:pPr>
    </w:p>
    <w:p w:rsidR="0085709A" w:rsidRDefault="0085709A" w:rsidP="0085709A">
      <w:pPr>
        <w:pStyle w:val="Extracto"/>
      </w:pPr>
      <w:r>
        <w:t>24.</w:t>
      </w:r>
      <w:r>
        <w:tab/>
        <w:t>Procede la retroacción de actuaciones a fin de que el Tribunal Supremo resuelva  sobre la determinación de la indemnización que corresponda (STC 190/2013) [FJ 8].</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3571-2012, promovido por don Gonzalo Werther Miró Romero, representado por el Procurador don Íñigo Muñoz Durán y asistido por la Abogada doña Carolina Pina Sánchez, contra la Sentencia de fecha 18 de abril de 2012, dictada por la Sala de lo Civil del Tribunal Supremo en el recurso de casación núm. 800-2009, en cuya virtud se casa la Sentencia núm. 420-2008, dictada por la Sección Vigesimoprimera de la Audiencia Provincial de Madrid, en fecha 2 de octubre del 2008 (rollo de apelación núm. 157-2007), que revocó parcialmente la Sentencia dictada por el Juzgado de Primera Instancia núm. 1 de Pozuelo de Alarcón, de fecha 15 de septiembre de 2006, recaída en el procedimiento ordinario núm. 520-2005. Han intervenido el Ministerio Fiscal y la entidad Mediaset España Comunicación, S.A., representada por el Procurador don Manuel Sánchez-Puelles González-Carvajal y asistida por el Letrado don Álvaro Martínez Rivero. Ha sido ponente el Magistrado don Pedro José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este Tribunal el día 13 de junio de 2012, don Íñigo Muñoz Durán, Procurador de los Tribunales, en nombre y representación de don Gonzalo Werther Miró Romero, interpuso recurso de amparo contra la Sentencia dictada por la Sala de lo Civil del Tribunal Supremo mencionada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de amparo son los siguientes:</w:t>
      </w:r>
    </w:p>
    <w:p w:rsidR="0085709A" w:rsidRDefault="0085709A" w:rsidP="0085709A">
      <w:pPr>
        <w:pStyle w:val="TextoNormal"/>
      </w:pPr>
    </w:p>
    <w:p w:rsidR="0085709A" w:rsidRDefault="0085709A" w:rsidP="0085709A">
      <w:pPr>
        <w:pStyle w:val="TextoNormal"/>
      </w:pPr>
      <w:r>
        <w:t>a) En fecha 7 de octubre del 2005, el recurrente en amparo interpuso demanda de juicio ordinario ante los Juzgados de Primera Instancia de Pozuelo de Alarcón, contra Gestevisión Telecinco, S.A., la Agencia de Televisión Latinoamericana de Servicios y Noticias España, S.A. (Atlas España), Boomerang TV, S.A., don Adrián Madrid y don Oscar Cornejo, codirectores del programa de televisión “Aquí hay tomate”, doña Carlota Corredera, directora del programa “TNT” y doña Soledad García, directora del programa “Salsa rosa”. En síntesis, el demandante alegó la vulneración por los codemandados de sus derechos a la intimidad y a la propia imagen, ambos regulados en el art. 18.1 CE. Dicha vulneración trae causa, según afirma, de las imágenes emitidas y de los comentarios efectuados en los programas televisivos referidos en el apartado anterior, entre los días 19 de agosto y 7 de septiembre de 2005.</w:t>
      </w:r>
    </w:p>
    <w:p w:rsidR="0085709A" w:rsidRDefault="0085709A" w:rsidP="0085709A">
      <w:pPr>
        <w:pStyle w:val="TextoNormal"/>
      </w:pPr>
    </w:p>
    <w:p w:rsidR="0085709A" w:rsidRDefault="0085709A" w:rsidP="0085709A">
      <w:pPr>
        <w:pStyle w:val="TextoNormal"/>
      </w:pPr>
      <w:r>
        <w:t>En el apartado correspondiente al “suplico”, el demandante interesó la condena de los demandados por la vulneración de los derechos fundamentales a los que se ha hecho mención; la inserción de la sentencia que se dicte en dos diarios de tirada nacional, así como que la parte dispositiva de la misma sea leída en los referidos programas televisivos; que se fije una indemnización de 100.000 € a cargo de los demandados, susceptible de ser incrementada en función de los beneficios obtenidos por los causantes de la intromisión ilegítima; y, finalmente, que estos últimos sean condenados al pago de las costas.</w:t>
      </w:r>
    </w:p>
    <w:p w:rsidR="0085709A" w:rsidRDefault="0085709A" w:rsidP="0085709A">
      <w:pPr>
        <w:pStyle w:val="TextoNormal"/>
      </w:pPr>
    </w:p>
    <w:p w:rsidR="0085709A" w:rsidRDefault="0085709A" w:rsidP="0085709A">
      <w:pPr>
        <w:pStyle w:val="TextoNormal"/>
      </w:pPr>
      <w:r>
        <w:t>b) Tras ser admitida a trámite la demanda, el Juzgado de Primera Instancia núm. 1 de Pozuelo de Alarcón dictó Sentencia, en fecha 15 de septiembre de 2006, cuya parte dispositiva es del tenor literal siguiente:</w:t>
      </w:r>
    </w:p>
    <w:p w:rsidR="0085709A" w:rsidRDefault="0085709A" w:rsidP="0085709A">
      <w:pPr>
        <w:pStyle w:val="TextoNormal"/>
      </w:pPr>
    </w:p>
    <w:p w:rsidR="0085709A" w:rsidRDefault="0085709A" w:rsidP="0085709A">
      <w:pPr>
        <w:pStyle w:val="TextoNormal"/>
      </w:pPr>
      <w:r>
        <w:t>“FALLO: Que estimo en parte la demanda interpuesta por doña Virginia Cimarra Cardenal, actuando en nombre y representación de Don Gonzalo Werther Miró Romero contra GESTEVISIÓN TELECINCO S.A., la AGENCIA DE TELEVISIÓN LATINOAMERICANA DE SERVICIOS Y NOTICIAS ESPAÑA S.A., Don Adrián Madrid, Don Oscar Cornejo y Doña Carlota Corredera, y debo declarar y declaro que las imágenes emitidas en el programa ‘TNT’ y ‘Aquí hay tomate’, son una intromisión ilegítima en el derecho a la intimidad y a la propia imagen del actor, causándole daños morales que deben ser indemnizados en la cantidad de 6.000 euros, condenando igualmente a los demandados a proceder a su costa a la inserción, en dos periódicos de tirada nacional del fallo de la sentencia, en el plazo de 10 días desde su firmeza. Y todo ello sin expresa imposición de costas.</w:t>
      </w:r>
    </w:p>
    <w:p w:rsidR="0085709A" w:rsidRDefault="0085709A" w:rsidP="0085709A">
      <w:pPr>
        <w:pStyle w:val="TextoNormal"/>
      </w:pPr>
    </w:p>
    <w:p w:rsidR="0085709A" w:rsidRDefault="0085709A" w:rsidP="0085709A">
      <w:pPr>
        <w:pStyle w:val="TextoNormal"/>
      </w:pPr>
      <w:r>
        <w:t>Y debo absolver y absuelvo a Boomerang, S.A., de los pedimentos formulados en su contra, y todo ello sin expresa imposición de costas.”</w:t>
      </w:r>
    </w:p>
    <w:p w:rsidR="0085709A" w:rsidRDefault="0085709A" w:rsidP="0085709A">
      <w:pPr>
        <w:pStyle w:val="TextoNormal"/>
      </w:pPr>
    </w:p>
    <w:p w:rsidR="0085709A" w:rsidRDefault="0085709A" w:rsidP="0085709A">
      <w:pPr>
        <w:pStyle w:val="TextoNormal"/>
      </w:pPr>
      <w:r>
        <w:t>c) Contra la anterior Sentencia, tanto el actor como Gestevisión Telecinco, S.A., la Agencia de Televisión Latinoamericana de Servicios y Noticias de España, S.A. (Atlas España), don Adrián Madrid, don Óscar Cornejo y doña Carlota Corredera interpusieron recurso de apelación. El demandante de amparo interesó que, previa estimación del recurso de apelación por el interpuesto, se dictara nueva Sentencia que estime íntegramente la demanda.</w:t>
      </w:r>
    </w:p>
    <w:p w:rsidR="0085709A" w:rsidRDefault="0085709A" w:rsidP="0085709A">
      <w:pPr>
        <w:pStyle w:val="TextoNormal"/>
      </w:pPr>
    </w:p>
    <w:p w:rsidR="0085709A" w:rsidRDefault="0085709A" w:rsidP="0085709A">
      <w:pPr>
        <w:pStyle w:val="TextoNormal"/>
      </w:pPr>
      <w:r>
        <w:t>d) La Sección Vigesimoprimera de la Audiencia Provincial de Madrid, (rollo de apelación núm. 151-2007), dictó Sentencia, en fecha 2 de octubre de 2008, por la que estimó el recurso de apelación interpuesto por el actor y desestimó los recursos que interpusieron los codemandados. En concreto, la parte dispositiva de la Sentencia dice lo siguiente:</w:t>
      </w:r>
    </w:p>
    <w:p w:rsidR="0085709A" w:rsidRDefault="0085709A" w:rsidP="0085709A">
      <w:pPr>
        <w:pStyle w:val="TextoNormal"/>
      </w:pPr>
    </w:p>
    <w:p w:rsidR="0085709A" w:rsidRDefault="0085709A" w:rsidP="0085709A">
      <w:pPr>
        <w:pStyle w:val="TextoNormal"/>
      </w:pPr>
      <w:r>
        <w:t xml:space="preserve">“Que estimando el recurso de apelación formulado por el Procurador de los Tribunales Sr Muñoz Durán, en nombre y representación de D. Gonzalo Werther Miró Romero, y desestimando el recurso de apelación formulado por el Procurador de los Tribunales Sr Sánchez-Puelles y González-Carvajal, en nombre y representación de Gestevisión Telecinco S.A, Agencia Televisión Latinoamericana de Servicios y Noticias España S.A., D. Adrián Madrid, D. Oscar Cornejo y Dª Carlota Corredera, contra la sentencia dictada por la Sra. Juez del Juzgado de 1ª Instancia núm. 1 de los de Pozuelo de Alarcón, con fecha quince de septiembre de dos mil seis, debemos revocar y revocamos la misma en el sentido de declarar que las imágenes emitidas en los programas Aquí hay Tomate, TNT y Salsa Rosa a que nos hemos referido en la presente resolución constituyen una intromisión ilegítima en el derecho </w:t>
      </w:r>
      <w:r>
        <w:lastRenderedPageBreak/>
        <w:t xml:space="preserve">a la intimidad y a la propia imagen de D. Gonzalo Wether Miró Romero, debiendo ser indemnizado él mismo en la suma de dieciocho mil euros (18.000 €) por cuenta de la entidad Boomerang S.A, y en la suma de treinta y seis mil euros (36.000 €), por parte del resto de los codemandados en la </w:t>
      </w:r>
      <w:r w:rsidRPr="0085709A">
        <w:rPr>
          <w:i/>
        </w:rPr>
        <w:t>litis</w:t>
      </w:r>
      <w:r>
        <w:t>, manteniendo el resto de los pronunciamientos en la sentencia de instancia contenidos.</w:t>
      </w:r>
    </w:p>
    <w:p w:rsidR="0085709A" w:rsidRDefault="0085709A" w:rsidP="0085709A">
      <w:pPr>
        <w:pStyle w:val="TextoNormal"/>
      </w:pPr>
    </w:p>
    <w:p w:rsidR="0085709A" w:rsidRDefault="0085709A" w:rsidP="0085709A">
      <w:pPr>
        <w:pStyle w:val="TextoNormal"/>
      </w:pPr>
      <w:r>
        <w:t xml:space="preserve">No ha lugar a efectuar pronunciamiento alguno en cuanto a las costas procesales devengadas en esta alzada con causa en el recurso de apelación formulado por la representación del Sr Romeo, siendo de cuenta de los apelantes e impugnante demandados en la </w:t>
      </w:r>
      <w:r w:rsidRPr="0085709A">
        <w:rPr>
          <w:i/>
        </w:rPr>
        <w:t>litis</w:t>
      </w:r>
      <w:r>
        <w:t xml:space="preserve"> el pago de las costas con causa en sus recursos de apelación y de impugnación contra la resolución adoptada en instancia.”</w:t>
      </w:r>
    </w:p>
    <w:p w:rsidR="0085709A" w:rsidRDefault="0085709A" w:rsidP="0085709A">
      <w:pPr>
        <w:pStyle w:val="TextoNormal"/>
      </w:pPr>
    </w:p>
    <w:p w:rsidR="0085709A" w:rsidRDefault="0085709A" w:rsidP="0085709A">
      <w:pPr>
        <w:pStyle w:val="TextoNormal"/>
      </w:pPr>
      <w:r>
        <w:t>En el fundamento jurídico 2 de la Sentencia dictada en apelación se detallan los hechos que, principalmente, constituyen el objeto del litigio:</w:t>
      </w:r>
    </w:p>
    <w:p w:rsidR="0085709A" w:rsidRDefault="0085709A" w:rsidP="0085709A">
      <w:pPr>
        <w:pStyle w:val="TextoNormal"/>
      </w:pPr>
    </w:p>
    <w:p w:rsidR="0085709A" w:rsidRDefault="0085709A" w:rsidP="0085709A">
      <w:pPr>
        <w:pStyle w:val="TextoNormal"/>
      </w:pPr>
      <w:r>
        <w:t>“En las imágenes difundidas en los programas de Salsa Rosa de los días 20 y 27 de Agosto y 3 de Septiembre de 2005 aparece el Sr Miró Romero acompañando a la Sra. Martínez de Irujo al Palacio de Liria, a la vez que una voz en off habla de su relación, efectuando los contertulios de dicho programa comentarios sobre la misma y en relación con el Sr Miró Romero en el primero de ellos, en el segundo se habla de la situación de la pareja y de la venta por parte del Sr. Miró Romero de su chalet, efectuándose en el último de los programas un relato sobre el desarrollo de la relación sentimental referida, a la vez que aparecían imágenes de la pareja metiendo cosas en el maletero de un coche y besándose entre ellos.</w:t>
      </w:r>
    </w:p>
    <w:p w:rsidR="0085709A" w:rsidRDefault="0085709A" w:rsidP="0085709A">
      <w:pPr>
        <w:pStyle w:val="TextoNormal"/>
      </w:pPr>
    </w:p>
    <w:p w:rsidR="0085709A" w:rsidRDefault="0085709A" w:rsidP="0085709A">
      <w:pPr>
        <w:pStyle w:val="TextoNormal"/>
      </w:pPr>
      <w:r>
        <w:t xml:space="preserve">En uno de estos programas uno de los contertulios intervinientes, D. Juan Luis Alonso, incluso se refiere, entre los múltiples comentarios que al efecto sobre la pareja y su relación van realizando, a que no había tenido nadie un seguimiento fotográfico tan elevado, llegando incluso a decir que era mayor que el del Papa. En el programa ‘TNT’ emitido el día 19 de Agosto de 2005 tras el anuncio de la emisión de las imágenes que no habían salido a la luz de la pareja, y las fotos que la misma no les había dejado ver, aparecen imágenes de D. Gonzalo Werther Miró Romero y su pareja en una </w:t>
      </w:r>
      <w:r w:rsidRPr="0085709A">
        <w:rPr>
          <w:i/>
        </w:rPr>
        <w:t>haima</w:t>
      </w:r>
      <w:r>
        <w:t xml:space="preserve"> en Marruecos y en el interior de una discoteca, como ya antes indicamos, realizando los contertulios del programa determinados comentarios. Tanto las imágenes en las que aparecen la pareja en una </w:t>
      </w:r>
      <w:r w:rsidRPr="0085709A">
        <w:rPr>
          <w:i/>
        </w:rPr>
        <w:t>haima</w:t>
      </w:r>
      <w:r>
        <w:t xml:space="preserve"> como aquéllas en que están en el interior de una discoteca, fueron tomadas con teléfonos móviles o cámaras ocultas, cuestión ésta no discutida en esta alzada.</w:t>
      </w:r>
    </w:p>
    <w:p w:rsidR="0085709A" w:rsidRDefault="0085709A" w:rsidP="0085709A">
      <w:pPr>
        <w:pStyle w:val="TextoNormal"/>
      </w:pPr>
    </w:p>
    <w:p w:rsidR="0085709A" w:rsidRDefault="0085709A" w:rsidP="0085709A">
      <w:pPr>
        <w:pStyle w:val="TextoNormal"/>
      </w:pPr>
      <w:r>
        <w:t>En el programa del día 24 de Agosto, el presentador de ‘TNT’ se refiere al beso más esperado del verano, apareciendo la imagen de la portada de una revista de publicación semanal, y en el mismo programa emitido el día 31 de Agosto aparecen las imágenes de la casa del Sr. Miró Romero y las declaraciones de una de sus vecinas hablando de las mujeres que había llevado él a su casa, preguntando a esta vecina por la Sra. Martínez Irujo, efectuándose comentarios más o menos afortunados sobre el tema.</w:t>
      </w:r>
    </w:p>
    <w:p w:rsidR="0085709A" w:rsidRDefault="0085709A" w:rsidP="0085709A">
      <w:pPr>
        <w:pStyle w:val="TextoNormal"/>
      </w:pPr>
    </w:p>
    <w:p w:rsidR="0085709A" w:rsidRDefault="0085709A" w:rsidP="0085709A">
      <w:pPr>
        <w:pStyle w:val="TextoNormal"/>
      </w:pPr>
      <w:r>
        <w:t xml:space="preserve">En el programa ‘Aquí hay Tomate’ aparecen en días sucesivos una serie de imágenes de D. Gonzalo Miro Romero, unas veces hablando de la ‘bonita historia de amor’ del mismo con la Sra. Martínez de Irujo, sacando a ambos en lugares en los que habían estado juntos, o llevando el Sr Miró Romero a la Sra. Martínez de Irujo a su casa, con comentarios como le han pillado llevando a la Duquesita al Palacio de Liria (día 25 de Agosto) las entradas y </w:t>
      </w:r>
      <w:r>
        <w:lastRenderedPageBreak/>
        <w:t>salidas del mismo (día 29 de Agosto) o sobre si la Duquesa de Alba había dado el visto bueno a esta relación (día 30 de Agosto), otras veces sacando imágenes del Sr Miro Romero cuando iba a jugar un partido de fútbol, con comentarios de una voz en off (día 23 de Agosto), o con imágenes entrando y saliendo en diferentes vehículos y en locales y sitios diferentes (1 de Septiembre), ya en la gasolinera, ya en la peluquería ‘poniéndose guapo para su chica’, habiendo manifestado el Sr Miró Romero las veces en las que se le preguntó sobre su relación sentimental en ese momento, que solo a él y a su gente le importaba el tema —programa del día 23 de Agosto—, o lo mismo cuando aparece su imagen en aeropuerto etc., apareciendo en el programa “Aquí hay Tomate” del día 5 de septiembre unas imágenes de un beso de la pareja a que nos venimos refiriendo a la vez que se oyen comentarios más o menos sarcásticos sobre ello.”</w:t>
      </w:r>
    </w:p>
    <w:p w:rsidR="0085709A" w:rsidRDefault="0085709A" w:rsidP="0085709A">
      <w:pPr>
        <w:pStyle w:val="TextoNormal"/>
      </w:pPr>
    </w:p>
    <w:p w:rsidR="0085709A" w:rsidRDefault="0085709A" w:rsidP="0085709A">
      <w:pPr>
        <w:pStyle w:val="TextoNormal"/>
      </w:pPr>
      <w:r>
        <w:t>e) La Sentencia dictada por la Sección Vigesimoprimera de la Audiencia Provincial de Madrid fue recurrida en casación por las representaciones procesales de Boomerang TV, S.A., y de Gestevisión Telecinco, S.A. La primera de las entidades citadas basó el recurso en un único motivo, concretamente por infracción de los arts. 2.1 y 8.2 a) de la Ley Orgánica 1/1982, de 5 de mayo, de protección civil del honor, la intimidad personal y familiar y la propia imagen (en adelante Ley Orgánica 1/1982), en relación con el art. 7 de la citada norma y en conexión con el art. 20.1 d) CE.</w:t>
      </w:r>
    </w:p>
    <w:p w:rsidR="0085709A" w:rsidRDefault="0085709A" w:rsidP="0085709A">
      <w:pPr>
        <w:pStyle w:val="TextoNormal"/>
      </w:pPr>
    </w:p>
    <w:p w:rsidR="0085709A" w:rsidRDefault="0085709A" w:rsidP="0085709A">
      <w:pPr>
        <w:pStyle w:val="TextoNormal"/>
      </w:pPr>
      <w:r>
        <w:t>Gestevisión Telecinco, S.A., fundamentó el recurso de casación en tres motivos: a) por infracción del art. 8.2 a) de la Ley Orgánica 1/1982 en relación con el art. 20.1 d) CE (captación de imágenes en lugares públicos e interés informativo de las mismas); b) por infracción del art. 2.1 de la Ley Orgánica 1/1982 (doctrina de los actos propios); y c) por infracción del art. 9.3 de la Ley Orgánica 1/1982 (no aplicación de los criterios legales para fijar la indemnización).</w:t>
      </w:r>
    </w:p>
    <w:p w:rsidR="0085709A" w:rsidRDefault="0085709A" w:rsidP="0085709A">
      <w:pPr>
        <w:pStyle w:val="TextoNormal"/>
      </w:pPr>
    </w:p>
    <w:p w:rsidR="0085709A" w:rsidRDefault="0085709A" w:rsidP="0085709A">
      <w:pPr>
        <w:pStyle w:val="TextoNormal"/>
      </w:pPr>
      <w:r>
        <w:t>f) Por Sentencia de 18 de abril de 2012, dictada por la Sala de lo Civil del Tribunal Supremo (recurso núm. 800-2009), fueron resueltos los recursos de casación antes indicados. El fallo de la Sentencia es del siguiente tenor:</w:t>
      </w:r>
    </w:p>
    <w:p w:rsidR="0085709A" w:rsidRDefault="0085709A" w:rsidP="0085709A">
      <w:pPr>
        <w:pStyle w:val="TextoNormal"/>
      </w:pPr>
    </w:p>
    <w:p w:rsidR="0085709A" w:rsidRDefault="0085709A" w:rsidP="0085709A">
      <w:pPr>
        <w:pStyle w:val="TextoNormal"/>
      </w:pPr>
      <w:r>
        <w:t>“1. Se estiman los recursos de casación interpuestos por la representación procesal de Boomerang TV, S.A., y Gestevisión Telecinco, S.A., contra la sentencia de 2 de octubre de 2008 dictada por la Sección 10ª (</w:t>
      </w:r>
      <w:r w:rsidRPr="0085709A">
        <w:rPr>
          <w:i/>
        </w:rPr>
        <w:t>rectius</w:t>
      </w:r>
      <w:r>
        <w:t xml:space="preserve"> Vigesimoprimera) de la Audiencia Provincial de Madrid en rollo de apelación nº 151/2007.</w:t>
      </w:r>
    </w:p>
    <w:p w:rsidR="0085709A" w:rsidRDefault="0085709A" w:rsidP="0085709A">
      <w:pPr>
        <w:pStyle w:val="TextoNormal"/>
      </w:pPr>
    </w:p>
    <w:p w:rsidR="0085709A" w:rsidRDefault="0085709A" w:rsidP="0085709A">
      <w:pPr>
        <w:pStyle w:val="TextoNormal"/>
      </w:pPr>
      <w:r>
        <w:t>2. Casamos la sentencia recurrida, que declaramos sin valor ni efecto alguno.</w:t>
      </w:r>
    </w:p>
    <w:p w:rsidR="0085709A" w:rsidRDefault="0085709A" w:rsidP="0085709A">
      <w:pPr>
        <w:pStyle w:val="TextoNormal"/>
      </w:pPr>
    </w:p>
    <w:p w:rsidR="0085709A" w:rsidRDefault="0085709A" w:rsidP="0085709A">
      <w:pPr>
        <w:pStyle w:val="TextoNormal"/>
      </w:pPr>
      <w:r>
        <w:t>3. En su lugar, desestimamos el recurso de apelación interpuesto por la representación procesal de D. Gonzalo Werther Miró Romero contra la sentencia dictada por el Juzgado de Primera Instancia núm. 1 de Pozuelo de Alarcón en los autos núm. 520/2005 que se confirma en cuanto desestimó la demanda interpuesta por D. Gonzalo Werther Miró Romero contra Boomerang TV, S.A., con imposición de las costas correspondientes al demandante.</w:t>
      </w:r>
    </w:p>
    <w:p w:rsidR="0085709A" w:rsidRDefault="0085709A" w:rsidP="0085709A">
      <w:pPr>
        <w:pStyle w:val="TextoNormal"/>
      </w:pPr>
    </w:p>
    <w:p w:rsidR="0085709A" w:rsidRDefault="0085709A" w:rsidP="0085709A">
      <w:pPr>
        <w:pStyle w:val="TextoNormal"/>
      </w:pPr>
      <w:r>
        <w:t xml:space="preserve">4. Y estimamos el recurso de apelación interpuesto por la representación procesal de Gestevisión Telecinco, S.A., Agencia Televisión Latinoamericana de Servicios y Noticias España, S.A., D. Adrián Madrid, D. Oscar Cornejo y Dª Carlota Corredera, contra la sentencia dictada por el Juzgado de Primera Instancia núm. 1 de Pozuelo de Alarcón en los </w:t>
      </w:r>
      <w:r>
        <w:lastRenderedPageBreak/>
        <w:t>autos núm. 520/2005, revocamos dicha resolución y desestimamos la demanda interpuesta por D. Gonzalo Werther Miró Romero con imposición de costas correspondientes al demandante.</w:t>
      </w:r>
    </w:p>
    <w:p w:rsidR="0085709A" w:rsidRDefault="0085709A" w:rsidP="0085709A">
      <w:pPr>
        <w:pStyle w:val="TextoNormal"/>
      </w:pPr>
    </w:p>
    <w:p w:rsidR="0085709A" w:rsidRDefault="0085709A" w:rsidP="0085709A">
      <w:pPr>
        <w:pStyle w:val="TextoNormal"/>
      </w:pPr>
      <w:r>
        <w:t>5. No ha lugar a imponer costas de apelación ni de los recursos de casación.”</w:t>
      </w:r>
    </w:p>
    <w:p w:rsidR="0085709A" w:rsidRDefault="0085709A" w:rsidP="0085709A">
      <w:pPr>
        <w:pStyle w:val="TextoNormal"/>
      </w:pPr>
    </w:p>
    <w:p w:rsidR="0085709A" w:rsidRDefault="0085709A" w:rsidP="0085709A">
      <w:pPr>
        <w:pStyle w:val="TextoNormal"/>
      </w:pPr>
      <w:r>
        <w:t>Respecto del recurso interpuesto por Boomerang TV, S.A., en el fundamento jurídico 5 de la Sentencia figuran los razonamientos que parcialmente se transcriben a continuación:</w:t>
      </w:r>
    </w:p>
    <w:p w:rsidR="0085709A" w:rsidRDefault="0085709A" w:rsidP="0085709A">
      <w:pPr>
        <w:pStyle w:val="TextoNormal"/>
      </w:pPr>
    </w:p>
    <w:p w:rsidR="0085709A" w:rsidRDefault="0085709A" w:rsidP="0085709A">
      <w:pPr>
        <w:pStyle w:val="TextoNormal"/>
      </w:pPr>
      <w:r>
        <w:t>“Expuestas las consideraciones de la sentencia recurrida, aunque efectivamente las relaciones sentimentales y, en general, las relaciones afectivas pertenecen al ámbito de la intimidad, sin embargo, los reportajes emitidos por Gestevisión Telecinco, S.A., en los programas Salsa Rosa producido por Boomerang, TV S.A., se referían a aspectos de la vida privada del demandante y a sus relaciones íntimas con la que en ese momento era su pareja sentimental cuando la nueva relación sentimental entre Dª M.ª Eugenia Martínez de Irujo y D. Gonzalo Miró Romero había trascendido a la opinión pública tras la publicación de un reportaje por la revista Hola el 10 de agosto de 2005 ‘Las imágenes exclusivas que confirman la relación de Eugenia Martínez de Irujo y Gonzalo Miró’, en definitiva, los interesados no habían adoptado pautas de comportamiento con el fin de resguardarlos en ese ámbito reservado frente a una publicidad no querida. Y, por tanto, no se aprecia intromisión ilegítima en el derecho a la intimidad del recurrido, pues la información se refiera a ‘hechos dados a conocer y respecto a los cuales el velo de la intimidad ha sido voluntariamente levantado’ (SSTC 197/1991, FJ 3; y 134/1999 FJ 8, ambas citadas por la STC 115/2000, de 5 de mayo, FJ 10). Desde este punto de vista, en suma, la afectación del derecho a la información es muy elevada frente a la protección del derecho a la intimidad.</w:t>
      </w:r>
    </w:p>
    <w:p w:rsidR="0085709A" w:rsidRDefault="0085709A" w:rsidP="0085709A">
      <w:pPr>
        <w:pStyle w:val="TextoNormal"/>
      </w:pPr>
    </w:p>
    <w:p w:rsidR="0085709A" w:rsidRDefault="0085709A" w:rsidP="0085709A">
      <w:pPr>
        <w:pStyle w:val="TextoNormal"/>
      </w:pPr>
      <w:r>
        <w:t>El derecho a la propia imagen tiene un aspecto positivo, que supone la facultad del interesado de difundir o publicar su propia imagen, sin que ello elimine su facultad, inmersa en la vertiente negativa del derecho, de no autorizar o impedir la reproducción de su imagen, y tratándose de persona de notoriedad o proyección pública siempre que no se encuentre en lugar público. Desde la perspectiva del derecho a la información y el derecho a la imagen, debe primar en el supuesto que nos ocupa el derecho a la información dado el carácter público del personaje que hace que su imagen sea objeto de interés, pues aunque como pone de manifiesto la sentencia recurrida debe ponderarse el carácter personal, privado y reservado de alguna de estas imágenes, sin embargo, en el juicio de ponderación debe tenerse en cuenta que el demandante no puso los medios necesarios para sustraerse a la curiosidad ajena, pretendiendo reservar su imagen frente a cualquier injerencia y marcando un claro ámbito de privacidad, por tratarse de espacios cuyo uso resulta normal para una generalidad de personas que acceden a él fuera del ámbito estricto de su vida privada y que comporta que, en tal supuesto, la persona pública sea despojada de su derecho a disponer de la propia imagen y haya de soportar simplemente las molestias que pueda causarle la captación y reproducción de su figura física sin su consentimiento (STS de 30 de junio de 2011, RC núm. 737-2009). Y las imágenes del recurrido y su pareja en una actitud cariñosa fueron captadas en lugares públicos (STS de 1 de marzo de 2010, RC núm. 154-2007).</w:t>
      </w:r>
    </w:p>
    <w:p w:rsidR="0085709A" w:rsidRDefault="0085709A" w:rsidP="0085709A">
      <w:pPr>
        <w:pStyle w:val="TextoNormal"/>
      </w:pPr>
    </w:p>
    <w:p w:rsidR="0085709A" w:rsidRDefault="0085709A" w:rsidP="0085709A">
      <w:pPr>
        <w:pStyle w:val="TextoNormal"/>
      </w:pPr>
      <w:r>
        <w:t xml:space="preserve">En definitiva, el recurrido no ocultaba la existencia de una nueva relación afectiva, mostrándose en actitud cariñosa en lugares públicos y, por tanto, no puede decirse que las imágenes emitidas en ‘Salsa Rosa’ cuestionadas afecten a su intimidad o supongan una inmisión </w:t>
      </w:r>
      <w:r>
        <w:lastRenderedPageBreak/>
        <w:t>en su vida privada desde el momento en que tal relación ya era pública cuando se emitieron los programas de ‘Salsa Rosa’ producidos por Boomerang TV, S.A., y ya se había hablado en otros medios de comunicación sin oposición alguna por parte del demandante, resultando así una voluntad clara de poner ciertos aspectos de su vida personal y familiar en público conocimiento y, fuera del ámbito de lo reservado (STS 20-07-2011 RC núm. 1683-2009). En consecuencia con lo expuesto en este punto, en la ponderación de los derechos en conflicto debe prevalecer el derecho a la información sobre los derechos a la intimidad y a la imagen.</w:t>
      </w:r>
    </w:p>
    <w:p w:rsidR="0085709A" w:rsidRDefault="0085709A" w:rsidP="0085709A">
      <w:pPr>
        <w:pStyle w:val="TextoNormal"/>
      </w:pPr>
    </w:p>
    <w:p w:rsidR="0085709A" w:rsidRDefault="0085709A" w:rsidP="0085709A">
      <w:pPr>
        <w:pStyle w:val="TextoNormal"/>
      </w:pPr>
      <w:r>
        <w:t>El goce de notoriedad pública, y el hecho que se hubiera podido consentir en ocasiones determinadas la revelación de aspectos concretos propios de su vida personal no privan al afectado de la protección de estos derechos fuera de aquellos aspectos a los que se refiera su consentimiento y solo tiene trascendencia para la ponderación en el caso de que se trate de actos de sustancia y continuidad suficientes para revelar que el interesado no mantiene un determinado ámbito de su vida reservado para sí mismo o su familia (artículo 2 LPDH). Esta circunstancia solo concurre cuando el afectado adoptó pautas de comportamiento en relación con su ámbito íntimo que permita entender que, con sus propios actos, lo despojó total o parcialmente del carácter privado o doméstico (STS de 6 de noviembre de 2003, RC núm. 157-1998). No se ha producido ninguna invasión en su ámbito de intimidad, pues no se han revelado datos que no fueran conocidos anteriormente por el público por haber sido ya objeto de tratamiento informativo, habiendo quedado acreditado que el demandante goza de enorme proyección pública y ha sido objeto de tratamiento informativo en numerosas ocasiones por diversas razones que nada tienen que ver con su profesión dado el interés social que su persona despierta.</w:t>
      </w:r>
    </w:p>
    <w:p w:rsidR="0085709A" w:rsidRDefault="0085709A" w:rsidP="0085709A">
      <w:pPr>
        <w:pStyle w:val="TextoNormal"/>
      </w:pPr>
    </w:p>
    <w:p w:rsidR="0085709A" w:rsidRDefault="0085709A" w:rsidP="0085709A">
      <w:pPr>
        <w:pStyle w:val="TextoNormal"/>
      </w:pPr>
      <w:r>
        <w:t>En este punto resulta de especial relevancia toda la actividad llevada a cabo por el recurrido en su relación con este tipo de prensa, pues el grado de consentimiento en la inmisión en su vida privada a través de la concesión de entrevistas y declaraciones en relación con su vida amorosa es lo que hace que el peso en este caso de la libertad de información sea mayor, pues el demandante apareció frecuentemente en los medios de comunicación hablando de su relación sentimental con Mª Eugenia Martínez de Irujo. Desde este punto de vista, en suma, la afectación del derecho a la intimidad y a la propia imagen es muy escasa frente a la protección del derecho a la libertad de información.</w:t>
      </w:r>
    </w:p>
    <w:p w:rsidR="0085709A" w:rsidRDefault="0085709A" w:rsidP="0085709A">
      <w:pPr>
        <w:pStyle w:val="TextoNormal"/>
      </w:pPr>
    </w:p>
    <w:p w:rsidR="0085709A" w:rsidRDefault="0085709A" w:rsidP="0085709A">
      <w:pPr>
        <w:pStyle w:val="TextoNormal"/>
      </w:pPr>
      <w:r>
        <w:t>En conclusión, los reportajes emitidos en los programas de Salsa Rosa producidos por Boomerang TV, S.A., no constituyeron una intromisión ilegítima en el derecho a la intimidad y a la propia imagen del demandante, pues se vierten comentarios y se ofrecen imágenes sobre aspectos que habían dejado de pertenecer a la esfera íntima. Y, por tanto, la consideración de las circunstancias concurrentes conduce a estimar que la libertad de información debe, en este caso, prevalecer sobre el derecho a la intimidad y a la imagen del demandante, pues el grado de afectación de la primera es relevante y el grado de afectación del derecho a la intimidad y a la propia imagen es escaso.”</w:t>
      </w:r>
    </w:p>
    <w:p w:rsidR="0085709A" w:rsidRDefault="0085709A" w:rsidP="0085709A">
      <w:pPr>
        <w:pStyle w:val="TextoNormal"/>
      </w:pPr>
    </w:p>
    <w:p w:rsidR="0085709A" w:rsidRDefault="0085709A" w:rsidP="0085709A">
      <w:pPr>
        <w:pStyle w:val="TextoNormal"/>
      </w:pPr>
      <w:r>
        <w:t xml:space="preserve">En relación con el recurso interpuesto por la entidad Gestevisión Telecinco, S.A., la mencionada Sentencia aborda conjuntamente los dos primeros motivos de casación invocados y, respecto de los mismos, esencialmente reproduce la doctrina expuesta en relación con el único motivo deducido por la otra entidad recurrente. Por ello, en relación con los reportajes </w:t>
      </w:r>
      <w:r>
        <w:lastRenderedPageBreak/>
        <w:t>emitidos en los programas “Aquí hay tomate” y “TNT” también declara prevalente al derecho a la libertad de información que alega la entidad recurrente en casación.</w:t>
      </w:r>
    </w:p>
    <w:p w:rsidR="0085709A" w:rsidRDefault="0085709A" w:rsidP="0085709A">
      <w:pPr>
        <w:pStyle w:val="TextoNormal"/>
      </w:pPr>
    </w:p>
    <w:p w:rsidR="0085709A" w:rsidRDefault="0085709A" w:rsidP="0085709A">
      <w:pPr>
        <w:pStyle w:val="TextoNormal"/>
      </w:pPr>
      <w:r>
        <w:t>Respecto del tercer motivo de casación (falta de aplicación de los criterios legales para fijar la indemnización), la Sala de lo Civil de Tribunal Supremo considera que dicho motivo ha quedado sin contenido, dada la estimación de los dos motivos anteriores.</w:t>
      </w:r>
    </w:p>
    <w:p w:rsidR="0085709A" w:rsidRDefault="0085709A" w:rsidP="0085709A">
      <w:pPr>
        <w:pStyle w:val="TextoNormal"/>
      </w:pPr>
    </w:p>
    <w:p w:rsidR="0085709A" w:rsidRDefault="0085709A" w:rsidP="0085709A">
      <w:pPr>
        <w:pStyle w:val="TextoNormal"/>
      </w:pPr>
      <w:r w:rsidRPr="0085709A">
        <w:rPr>
          <w:rStyle w:val="NumeroAFNegritaCaracter"/>
        </w:rPr>
        <w:t>3</w:t>
      </w:r>
      <w:r>
        <w:t>. En su demanda de amparo, el recurrente sostiene que la Sentencia dictada por la Sala de lo Civil del Tribunal Supremo vulnera su derecho fundamental a la intimidad personal y a la propia imagen (art. 18.1 CE). Tras compendiar los hechos que han sido objeto de enjuiciamiento en las sucesivas instancias judiciales, el demandante afirma que los codemandados se sirvieron de imágenes captadas mediante cámara oculta, algunas de ellas obtenidas en el extranjero, en espacios en los que aquél no podía imaginar que estaba siendo fotografiado o grabado por persona anónima y, por ello, tenía una legítima expectativa de privacidad. Dichas imágenes fueron posteriormente difundidas y, a su vez, sirvieron de soporte a los comentarios que se realizaron en los programas televisivos sobre la relación sentimental que entonces mantenía. A ese respecto, destaca que la Sentencia dictada por el Tribunal Supremo no tuvo en cuenta la doctrina constitucional relativa la utilización del método de la cámara oculta, con independencia del interés informativo o relevancia que pueda tener el tema que ilustra (SSTC 12/2012, de 30 de enero; 24/2012, de 27 de febrero, y 74/2012, de 16 de abril).</w:t>
      </w:r>
    </w:p>
    <w:p w:rsidR="0085709A" w:rsidRDefault="0085709A" w:rsidP="0085709A">
      <w:pPr>
        <w:pStyle w:val="TextoNormal"/>
      </w:pPr>
    </w:p>
    <w:p w:rsidR="0085709A" w:rsidRDefault="0085709A" w:rsidP="0085709A">
      <w:pPr>
        <w:pStyle w:val="TextoNormal"/>
      </w:pPr>
      <w:r>
        <w:t>También refuta la tesis asumida por el indicado órgano judicial, en virtud de la cual el recurrente estaba obligado a soportar la intromisión en su intimidad e imagen, por el mero hecho de que su relación sentimental ya era pública. A su juicio, esa tesis cercena injustificadamente el ámbito de privacidad de cualquier persona con relevancia social, al excluir de dicho ámbito “los lugares públicos pero recónditos, apartados, buscados por la persona afectada precisamente para preservar su intimidad o determinados aspectos de su imagen”, lo cual es contrario a la doctrina establecida por el Tribunal Constitucional y el Tribunal Europeo de Derechos Humanos e, incluso, a la propia doctrina del Tribunal Supremo.</w:t>
      </w:r>
    </w:p>
    <w:p w:rsidR="0085709A" w:rsidRDefault="0085709A" w:rsidP="0085709A">
      <w:pPr>
        <w:pStyle w:val="TextoNormal"/>
      </w:pPr>
    </w:p>
    <w:p w:rsidR="0085709A" w:rsidRDefault="0085709A" w:rsidP="0085709A">
      <w:pPr>
        <w:pStyle w:val="TextoNormal"/>
      </w:pPr>
      <w:r>
        <w:t>Asimismo, el demandante se muestra disconforme con que la Sala de lo Civil del Tribunal Supremo haya aplicado al presente caso la denominada doctrina de los “actos propios”, según la cual el demandante tendría que haber tomado pautas de comportamiento tendentes a evitar una publicidad no querida. Sobre ese particular niega haber contribuido a hacer pública su relación sentimental; ahora bien, añade, aunque así hubiera sido, ello no implicaría un menoscabo del derecho a la intimidad, como así lo reconoce la doctrina constitucional (SSTC 197/1991, de 17 de octubre, y 134/1999, de 15 de julio).</w:t>
      </w:r>
    </w:p>
    <w:p w:rsidR="0085709A" w:rsidRDefault="0085709A" w:rsidP="0085709A">
      <w:pPr>
        <w:pStyle w:val="TextoNormal"/>
      </w:pPr>
    </w:p>
    <w:p w:rsidR="0085709A" w:rsidRDefault="0085709A" w:rsidP="0085709A">
      <w:pPr>
        <w:pStyle w:val="TextoNormal"/>
      </w:pPr>
      <w:r>
        <w:t>Por último, asevera que en el presente caso no concurre razón alguna que justifique el otorgamiento de un carácter prevalente al derecho reconocido en el art. 20.1 d) CE, máxime porque la información difundida carece de interés general o relevancia pública, como así lo viene a reconocer el propio Tribunal Supremo.</w:t>
      </w:r>
    </w:p>
    <w:p w:rsidR="0085709A" w:rsidRDefault="0085709A" w:rsidP="0085709A">
      <w:pPr>
        <w:pStyle w:val="TextoNormal"/>
      </w:pPr>
    </w:p>
    <w:p w:rsidR="0085709A" w:rsidRDefault="0085709A" w:rsidP="0085709A">
      <w:pPr>
        <w:pStyle w:val="TextoNormal"/>
      </w:pPr>
      <w:r>
        <w:t xml:space="preserve">Por todo lo expuesto, interesa que se declaren vulnerados los derechos fundamentales a que hace mención, así como la nulidad de la Sentencia recaída en sede casacional y, por ende, que se acuerde retrotraer las actuaciones al momento inmediatamente anterior a que se dictara sentencia, a fin de que se pronuncie una nueva que sea respetuosa con los derechos </w:t>
      </w:r>
      <w:r>
        <w:lastRenderedPageBreak/>
        <w:t>fundamentales conculcados. En cuanto a la indemnización concedida por el Tribunal de apelación, el demandante considera que la cuantía es proporcionada, dada la gravedad de los hechos y la amplísima difusión de las imágenes.</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fecha 19 de diciembre de 2013, la Sala Segunda del Tribunal Constitucional dispuso la admisión a trámite de la demanda de amparo. En aplicación de lo previsto en el art. 51 de la Ley Orgánica del Tribunal Constitucional (LOTC), acordó dirigir atenta comunicación a la Sala Primera del Tribunal Supremo y a la Sección Vigesimoprimera de la Audiencia Provincial de Madrid, a fin de que, en plazo que no exceda de diez días, remitan certificación o fotocopia adverada de las actuaciones correspondientes al recurso de casación núm. 800-2009 y al recurso de apelación núm. 151-2007, respectivamente. Asimismo, acordó dirigir atenta comunicación al Juzgado de Primera Instancia núm. 1 de Pozuelo de Alarcón, para que en plazo no superior a diez días remita certificación o fotocopia adverada de las actuaciones correspondientes al procedimiento ordinario núm. 520-2005, debiendo a su vez emplazar, por el término indicado, a quienes hubieran sido parte en el procedimiento, salvo la parte demandante en amparo, por si desean comparecer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de fecha 15 de abril de 2014, el Procurador don Manuel Sánchez-Puelles González-Carvajal interesó que se le tuviera por personado en representación de la entidad Mediaset España Comunicación, S.A. (anteriormente denominada Gestevisión Telecinco, S.A.), sociedad esta que absorbió a la entidad Atlas España, S.A.U., y de don Adrián Madrid, don Óscar Cornejo y de doña Carlota Corredera.</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fecha 25 de abril de 2014, se tuvo por personada a la entidad antes referida. Asimismo, se acordó dar vista de las actuaciones a las partes personadas y al Ministerio Fiscal por el plazo común de veinte días, dentro del cual podrán presentar las alegaciones que estimen pertinentes, conforme a lo dispuesto en el art. 52.1 LOTC. En relación con la personación de don Adrián Madrid, don Óscar Cornejo y doña Carlota Corredera, en la misma diligencia se requirió al Procurador antes indicado para que, en plazo no superior a diez días, acreditara la representación que respecto de estos últimos dice ostentar.</w:t>
      </w:r>
    </w:p>
    <w:p w:rsidR="0085709A" w:rsidRDefault="0085709A" w:rsidP="0085709A">
      <w:pPr>
        <w:pStyle w:val="TextoNormal"/>
      </w:pPr>
    </w:p>
    <w:p w:rsidR="0085709A" w:rsidRDefault="0085709A" w:rsidP="0085709A">
      <w:pPr>
        <w:pStyle w:val="TextoNormal"/>
      </w:pPr>
      <w:r w:rsidRPr="0085709A">
        <w:rPr>
          <w:rStyle w:val="NumeroAFNegritaCaracter"/>
        </w:rPr>
        <w:t>7</w:t>
      </w:r>
      <w:r>
        <w:t>. El demandante de amparo no presentó escrito de alegaciones. Por otro lado, el Procurador don Manuel Sánchez-Puelles González-Carvajal no cumplimentó el requerimiento a que se ha hecho mención en el apartado anterior.</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Por escrito presentado en fecha 3 de junio de 2014, la representación procesal de Mediaset España Comunicación, S.A., presentó sus alegaciones. Tras recapitular los hechos que guardan relación con los derechos fundamentales concernidos en el presente recurso, así como los diferentes aspectos que fueron tratados por las Sentencias recaídas en las sucesivas instancias judiciales, la referida entidad aduce, como motivo de inadmisión del presente recurso, la falta de agotamiento de la vía judicial previa, habida cuenta de que el demandante no dedujo incidente de nulidad de actuaciones frente a la Sentencia dictada por el Tribunal Supremo. Sobre ese particular, señala que, conforme al discurso argumental del recurrente, esa última resolución fue la que conculcó los derechos fundamentales que este </w:t>
      </w:r>
      <w:r>
        <w:lastRenderedPageBreak/>
        <w:t>último invoca en el presente recurso, puesto que revocó la Sentencia de la Audiencia Provincial de Madrid, resolución esta que estimó las pretensiones del actor. Por tanto, según doctrina constitucional recogida en el ATC 200/2010, de 21 de diciembre, y en la STC 7/2014, de 27 de enero, FJ 2, en el presente caso la no interposición del incidente de nulidad supone un deficiente agotamiento de la vía judicial, con el corolario óbice de admisión contemplado en el art. 44.1 a) LOTC.</w:t>
      </w:r>
    </w:p>
    <w:p w:rsidR="0085709A" w:rsidRDefault="0085709A" w:rsidP="0085709A">
      <w:pPr>
        <w:pStyle w:val="TextoNormal"/>
      </w:pPr>
    </w:p>
    <w:p w:rsidR="0085709A" w:rsidRDefault="0085709A" w:rsidP="0085709A">
      <w:pPr>
        <w:pStyle w:val="TextoNormal"/>
      </w:pPr>
      <w:r>
        <w:t>En cuanto al fondo la referida entidad incide esencialmente en dos aspectos. En primer lugar, afirma que el demandante había favorecido notablemente la publicidad sobre su vida privada a través de reportajes y entrevistas publicadas en revistas, principalmente en la revista “¡Hola!”. Tan es así, que los datos revelados en los programas televisivos concernidos por el presente recurso ya habían sido difundidos por otros medios de comunicación, de modo que el daño que pudiera haber sufrido la imagen o la intimidad el demandante trae causa de sus propios actos, como así lo entendió en su día el Tribunal Supremo en la Sentencia impugnada en sede constitucional, cuyos argumentos asume plenamente.</w:t>
      </w:r>
    </w:p>
    <w:p w:rsidR="0085709A" w:rsidRDefault="0085709A" w:rsidP="0085709A">
      <w:pPr>
        <w:pStyle w:val="TextoNormal"/>
      </w:pPr>
    </w:p>
    <w:p w:rsidR="0085709A" w:rsidRDefault="0085709A" w:rsidP="0085709A">
      <w:pPr>
        <w:pStyle w:val="TextoNormal"/>
      </w:pPr>
      <w:r>
        <w:t>Por otro lado, afirma que es manifiesta la relevancia pública y social del demandante (hijo de la exdirectora de RTVE, doña Pilar Miró) al igual que la de su pareja entonces (duquesa de Montoro e hija de la duquesa de Alba). En apoyo de este aserto sostiene que “[l]a vida e historia de la Casa de Alba y su familia, bodas, relaciones sentimentales e hijos (en este caso la relación de la duquesa de Montoro con el Sr. Miró) siempre ha sido y debe ser noticia de interés público e, incluso, histórico, biográfico y social”. Finalmente concluye que en el presente caso concurre “[u]n interés informativo específico o propio, atendible y además, normativamente considerado por la Ley Orgánica 1/1982 mediante su explícita referencia a los usos sociales y al ámbito que, por sus propios actos, mantenga cada persona reservado para sí misma o su familia (art. 2.1)”. Por todo lo expuesto, terminó suplicando que se acordara la inadmisión del presente recurso de amparo y, en su defecto, la desestimación del mismo.</w:t>
      </w:r>
    </w:p>
    <w:p w:rsidR="0085709A" w:rsidRDefault="0085709A" w:rsidP="0085709A">
      <w:pPr>
        <w:pStyle w:val="TextoNormal"/>
      </w:pPr>
    </w:p>
    <w:p w:rsidR="0085709A" w:rsidRDefault="0085709A" w:rsidP="0085709A">
      <w:pPr>
        <w:pStyle w:val="TextoNormal"/>
      </w:pPr>
      <w:r w:rsidRPr="0085709A">
        <w:rPr>
          <w:rStyle w:val="NumeroAFNegritaCaracter"/>
        </w:rPr>
        <w:t>9</w:t>
      </w:r>
      <w:r>
        <w:t>. En fecha 23 de junio de 2014 presentó sus alegaciones el Fiscal. En primer lugar, sintetiza los hechos sobre los que versa el presente recurso y detalla los aspectos más relevantes de la fundamentación jurídica de las sentencias dictadas por los diferentes órganos judiciales. Acto seguido, lleva a cabo un detallado análisis de la doctrina constitucional relativa a los derechos fundamentales invocados en el escrito de demanda, así como del régimen jurídico aplicable en los supuesto de colisión entre esos derechos y el derecho a la libertad de información reconocido en el art. 20.1 d) CE.</w:t>
      </w:r>
    </w:p>
    <w:p w:rsidR="0085709A" w:rsidRDefault="0085709A" w:rsidP="0085709A">
      <w:pPr>
        <w:pStyle w:val="TextoNormal"/>
      </w:pPr>
    </w:p>
    <w:p w:rsidR="0085709A" w:rsidRDefault="0085709A" w:rsidP="0085709A">
      <w:pPr>
        <w:pStyle w:val="TextoNormal"/>
      </w:pPr>
      <w:r>
        <w:t>En relación con el caso concreto, sostiene que las imágenes en las que el demandante aparece junto a su pareja sentimental y los comentarios realizados en los espacios televisivos constituyen una intromisión ilegítima en los derechos aludidos en la demanda de amparo, dado que la única finalidad perseguida se anuda a la divulgación de la relación afectiva que aquél mantenía. No obsta a tal aseveración el hecho de que los comentarios no redundaran en demérito de los afectados, puesto que lo sustancial es el contenido mismo de las imágenes captadas y difundidas y el de los comentarios realizados.</w:t>
      </w:r>
    </w:p>
    <w:p w:rsidR="0085709A" w:rsidRDefault="0085709A" w:rsidP="0085709A">
      <w:pPr>
        <w:pStyle w:val="TextoNormal"/>
      </w:pPr>
    </w:p>
    <w:p w:rsidR="0085709A" w:rsidRDefault="0085709A" w:rsidP="0085709A">
      <w:pPr>
        <w:pStyle w:val="TextoNormal"/>
      </w:pPr>
      <w:r>
        <w:t xml:space="preserve">El Fiscal no comparte la argumentación expuesta en la Sentencia dictada por la Sala de lo Civil del Tribunal Supremo, puesto que la relevante proyección pública de una persona no le priva, sin más, del derecho disponer de un ámbito reservado en torno a su vida privada. </w:t>
      </w:r>
      <w:r>
        <w:lastRenderedPageBreak/>
        <w:t>Además, no toda información referida a una persona con notoriedad o proyección social debe considerarse de interés público o general; de hecho, conforme a una reiterada doctrina constitucional, no cabe identificar ese interés informativo con el propio de los medios de comunicación social de “entretenimiento”, cuya finalidad suele ser la de alimentar la curiosidad y morbosidad de cierto sector de la audiencia televisiva, con fines exclusivamente comerciales (vid. SSTC 176/2013, de 21 de octubre, FJ 7; 83/2002, de 22 de abril, FJ 5, y 115/2000, FJ 9).</w:t>
      </w:r>
    </w:p>
    <w:p w:rsidR="0085709A" w:rsidRDefault="0085709A" w:rsidP="0085709A">
      <w:pPr>
        <w:pStyle w:val="TextoNormal"/>
      </w:pPr>
    </w:p>
    <w:p w:rsidR="0085709A" w:rsidRDefault="0085709A" w:rsidP="0085709A">
      <w:pPr>
        <w:pStyle w:val="TextoNormal"/>
      </w:pPr>
      <w:r>
        <w:t>Más adelante, subraya la importancia que confiere la doctrina constitucional al hecho de que las imágenes se grabaran de forma clandestina, pues tal circunstancia privó al demandante de ejercitar su legítimo derecho de exclusión, tanto frente a su toma como frente a su ulterior emisión y difusión televisiva. A estos efectos, considera irrelevante que la grabación subrepticia se verificara en lugares públicos ya que, conforme se recoge en el fundamento jurídico 7 de la STC 176/2013, de 21 de octubre, “[e]l carácter accesible al público de los lugares donde se obtuvieron las imágenes divulgadas no tiene la capacidad de situar a los demandantes extramuros del ámbito de protección de su vida privada, pues ante una faceta estrictamente reservada de su vida privada y no existiendo consentimiento expreso, válido y eficaz prestado por el titular del derecho afectado —como sucedió en el presente caso— se produce una intromisión ilegítima en su derecho fundamental a la intimidad”.</w:t>
      </w:r>
    </w:p>
    <w:p w:rsidR="0085709A" w:rsidRDefault="0085709A" w:rsidP="0085709A">
      <w:pPr>
        <w:pStyle w:val="TextoNormal"/>
      </w:pPr>
    </w:p>
    <w:p w:rsidR="0085709A" w:rsidRDefault="0085709A" w:rsidP="0085709A">
      <w:pPr>
        <w:pStyle w:val="TextoNormal"/>
      </w:pPr>
      <w:r>
        <w:t xml:space="preserve">El Fiscal tampoco considera aceptable, desde la perspectiva constitucional, que se justifique la intromisión en la intimidad personal del recurrente por el hecho de que este último ya hubiera dado, a través de los medios de comunicación social, publicidad a la relación sentimental que entonces mantenía. En tal sentido, afirma que, como se indica en la STC 7/2014, de 14 de enero, FJ 2, apartado d), “incluso si la relación sentimental entre los demandantes fuese ya conocida, ello no legitima la intromisión en el derecho a la intimidad mediante la publicación de la información al respecto sin consentimiento de los afectados”. Asimismo, tampoco entiende asumible el argumento consignado en la Sentencia de casación, relativo a que el demandante no adoptó las cautelas necesarias para sustraerse a la curiosidad ajena. Llevado hasta sus últimas consecuencias el argumento anterior, abocaría al demandante a soportar una reducción intolerable del ámbito de proyección de su intimidad, puesto que, salvo en los espacios expresamente excluidos del acceso de terceros, cualquier actividad o comportamiento llevado a cabo en un espacio público quedaría sujeto al escrutinio sin límites por parte de terceros, lo que no se compadece con la doctrina del Tribunal Europeo de Derechos Humanos (caso </w:t>
      </w:r>
      <w:r w:rsidRPr="0085709A">
        <w:rPr>
          <w:i/>
        </w:rPr>
        <w:t>Von Hannover vs Alemania</w:t>
      </w:r>
      <w:r>
        <w:t>, Gran Sala de 7 de febrero de 2012, apartado 103).</w:t>
      </w:r>
    </w:p>
    <w:p w:rsidR="0085709A" w:rsidRDefault="0085709A" w:rsidP="0085709A">
      <w:pPr>
        <w:pStyle w:val="TextoNormal"/>
      </w:pPr>
    </w:p>
    <w:p w:rsidR="0085709A" w:rsidRDefault="0085709A" w:rsidP="0085709A">
      <w:pPr>
        <w:pStyle w:val="TextoNormal"/>
      </w:pPr>
      <w:r>
        <w:t>En conclusión, el Fiscal considera que la intromisión en los derechos fundamentales invocados en la demanda es ilegítima y no está amparada por el ejercicio del derecho reconocido en el art. 20.1 d) CE. Por ello solicita el otorgamiento del amparo y la subsiguiente declaración de nulidad de la Sentencia dictada por la Sala de lo Civil del Tribunal Supremo, sin que sea necesario retrotraer las actuaciones, pues mediante la declaración de nulidad recobraría validez la Sentencia de fecha 2 de octubre de 2008, dictada por la Sección Vigesimoprimera de la Audiencia Provincial de Madrid y, por consiguiente, la indemnización establecida por dicho órgano judicial.</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fecha 12 de febrero se señaló para deliberación y votación de la presente Sentencia el día 16 del citado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amparo se dirige contra la Sentencia dictada por la Sala de lo Civil del Tribunal en el recurso de casación núm. 800-2009, de fecha 18 de abril de 2012, que revoca la Sentencia de fecha 2 de abril de 2008 de la Sección Vigesimoprimera de la Audiencia Provincial de Madrid, que fue dictada al resolver el recurso de apelación interpuesto contra la Sentencia de 15 de septiembre de 2006, del Juzgado de Primera Instancia núm. 1 de Pozuelo de Alarcón, recaída en el procedimiento ordinario núm. 520-2005.</w:t>
      </w:r>
    </w:p>
    <w:p w:rsidR="0085709A" w:rsidRDefault="0085709A" w:rsidP="0085709A">
      <w:pPr>
        <w:pStyle w:val="TextoNormal"/>
      </w:pPr>
    </w:p>
    <w:p w:rsidR="0085709A" w:rsidRDefault="0085709A" w:rsidP="0085709A">
      <w:pPr>
        <w:pStyle w:val="TextoNormal"/>
      </w:pPr>
      <w:r>
        <w:t>Para el demandante, la Sentencia combatida vulnera sus derechos a la intimidad y a la propia imagen (art. 18.1 CE), pues los codemandados en el proceso civil se sirvieron de unas imágenes obtenidas sin su conocimiento a través de una cámara oculta, en unos lugares en los que aquél mantenía una legítima expectativa de privacidad. Dichas imágenes, añade, fueron divulgadas en diferentes programas televisivos sin su consentimiento y, además, sirvieron de soporte a diversos comentarios en torno a su relación sentimental. Según afirma, la intromisión en los derechos cuya lesión invoca no está justificada, puesto que la captación subrepticia de las referidas imágenes constituye una conducta antijurídica, con independencia del interés informativo o relevancia que pueda revestir la temática tratada. Por otro lado, el hecho de que la relación sentimental mantenida por el demandante hubiera trascendido a la opinión pública en absoluto legitima la invasión de su privacidad, incluso aunque la persona concernida goce de notoriedad pública, puesto que esas imágenes fueron captadas en lugares recónditos y apartados que fueron específicamente elegidos para preservar la intimidad y su imagen.</w:t>
      </w:r>
    </w:p>
    <w:p w:rsidR="0085709A" w:rsidRDefault="0085709A" w:rsidP="0085709A">
      <w:pPr>
        <w:pStyle w:val="TextoNormal"/>
      </w:pPr>
    </w:p>
    <w:p w:rsidR="0085709A" w:rsidRDefault="0085709A" w:rsidP="0085709A">
      <w:pPr>
        <w:pStyle w:val="TextoNormal"/>
      </w:pPr>
      <w:r>
        <w:t>Rechaza el demandante la aplicación al caso de la doctrina de los “actos propios”, pues niega que fomentara la publicidad de su relación sentimental; no obstante, aunque con su comportamiento hubiera contribuido a facilitar el conocimiento público de ese dato, ello no le privaría de la protección inherente al derecho a la intimidad. Asimismo, el demandante considera que, en el presente caso, no cabe reconocer prevalencia al derecho a comunicar y recibir información veraz consagrado en el art. 20.1 d) CE, dado que tanto las imágenes divulgadas como la información difundida en torno a su relación afectiva carecen del interés general o relevancia pública, en los términos fijados por la doctrina constitucional.</w:t>
      </w:r>
    </w:p>
    <w:p w:rsidR="0085709A" w:rsidRDefault="0085709A" w:rsidP="0085709A">
      <w:pPr>
        <w:pStyle w:val="TextoNormal"/>
      </w:pPr>
    </w:p>
    <w:p w:rsidR="0085709A" w:rsidRDefault="0085709A" w:rsidP="0085709A">
      <w:pPr>
        <w:pStyle w:val="TextoNormal"/>
      </w:pPr>
      <w:r>
        <w:t>Para Mediaset España Comunicación, S.A., el recurso de amparo debe ser inadmitido, habida cuenta que el demandante no interpuso frente a la Sentencia combatida en sede constitucional el incidente de nulidad de actuaciones y, por ello, no agotó debidamente la vía judicial previa. En cuanto al fondo, la citada entidad considera que no se han lesionado los derechos fundamentales que el demandante invoca. En primer lugar, considera que fue el demandante quien propició el conocimiento público de su relación sentimental y no adoptó cautelas para preservar su intimidad. Por otro lado, afirma que tanto el demandante como su pareja sentimental son personas de manifiesta relevancia pública y social. Por ello, el interés informativo del presente caso ostenta un valor preferente, como así lo reconoce la Sentencia dictada en casación. En virtud de lo expuesto, solicita que el presente recurso de amparo sea desestimado, para el caso de que se rechace el óbice de admisión apuntado.</w:t>
      </w:r>
    </w:p>
    <w:p w:rsidR="0085709A" w:rsidRDefault="0085709A" w:rsidP="0085709A">
      <w:pPr>
        <w:pStyle w:val="TextoNormal"/>
      </w:pPr>
    </w:p>
    <w:p w:rsidR="0085709A" w:rsidRDefault="0085709A" w:rsidP="0085709A">
      <w:pPr>
        <w:pStyle w:val="TextoNormal"/>
      </w:pPr>
      <w:r>
        <w:lastRenderedPageBreak/>
        <w:t>Para el Fiscal, los hechos acontecidos constituyen una intromisión ilegítima en los derechos a que se refiere el presente recurso de amparo. Basa este aserto en el hecho de que las imágenes difundidas en los espacios televisivos fueron captadas de manera clandestina y en lugares que, aun siendo de acceso público, no quedan excluidos del ámbito de protección de la vida privada. Tampoco obsta al carácter ilegítimo de la intromisión el hecho de que la relación sentimental mantenida por el recurrente fuera de conocimiento público, ni que, eventualmente, este último no hubiera adoptado cautelas para preservar su intimidad. Por último, el Fiscal destaca que la notoriedad pública del demandante y de su pareja sentimental no implica que la información dada sobre su relación afectiva deba ser considerada de interés general, desde la perspectiva constitucional, puesto que la finalidad de las imágenes y de los comentarios efectuados en torno a las mismas consiste, primordialmente, en satisfacer la curiosidad y morbosidad de cierto sector de la audiencia televisiva. Por ello, la información difundida no reviste un interés prevalente anudado al art. 20.1 d) CE.</w:t>
      </w:r>
    </w:p>
    <w:p w:rsidR="0085709A" w:rsidRDefault="0085709A" w:rsidP="0085709A">
      <w:pPr>
        <w:pStyle w:val="TextoNormal"/>
      </w:pPr>
    </w:p>
    <w:p w:rsidR="0085709A" w:rsidRDefault="0085709A" w:rsidP="0085709A">
      <w:pPr>
        <w:pStyle w:val="TextoNormal"/>
      </w:pPr>
      <w:r w:rsidRPr="0085709A">
        <w:rPr>
          <w:rStyle w:val="NumeroAFNegritaCaracter"/>
        </w:rPr>
        <w:t>2</w:t>
      </w:r>
      <w:r>
        <w:t>. Una vez sintetizadas las respectivas alegaciones de los intervinientes en el presente recurso procede abordar, en primer lugar, el óbice de admisibilidad señalado por la representación procesal de Mediaset España Comunicación, S.A., relativo a la falta de agotamiento de la vía judicial por falta de interposición del incidente de nulidad de actuaciones, requisito este que la referida entidad considera de inexcusable observancia, de conformidad con la doctrina recogida en el ATC 200/2010, de 21 de diciembre.</w:t>
      </w:r>
    </w:p>
    <w:p w:rsidR="0085709A" w:rsidRDefault="0085709A" w:rsidP="0085709A">
      <w:pPr>
        <w:pStyle w:val="TextoNormal"/>
      </w:pPr>
    </w:p>
    <w:p w:rsidR="0085709A" w:rsidRDefault="0085709A" w:rsidP="0085709A">
      <w:pPr>
        <w:pStyle w:val="TextoNormal"/>
      </w:pPr>
      <w:r>
        <w:t>Para dar respuesta a esa alegación, hemos de recordar nuestra reciente doctrina específicamente referida a aquellos supuestos en que la eventual lesión de los derechos sustantivos ha sido ponderada, al igual que ocurre en el presente caso, en tres instancias judiciales diferentes. Concretamente, en la STC 19/2014, de 10 de febrero, FJ 2, afirmamos: “El ATC 200/2010 exigía, en supuestos como el presente, en el que ‘la vulneración … del derecho fundamental cuya protección se impetra en amparo por la parte recurrente (no otro derecho, ni por otra persona), tiene lugar en virtud de la última resolución que cierra la vía judicial y no antes’, la formulación del incidente de nulidad de actuaciones como condición para poder considerar cumplido el requisito del agotamiento de la vía judicial previa. En la reciente STC 216/2013, de 19 de diciembre, FJ 2 d), el Pleno de este Tribunal ha manifestado, sin embargo, que basta para estimar cumplido el mencionado requisito con ‘comprobar que los órganos judiciales han tenido la oportunidad de pronunciarse sobre los derechos fundamentales luego invocados en vía de amparo constitucional’ [STC 216/2013, FJ 2 d)], pues ‘[l]o contrario supondría cerrar la vía de amparo constitucional con un enfoque formalista y confundir la lógica del carácter subsidiario de su configuración’ [STC 216/2013, FJ 2 d)]. En aplicación de la doctrina expuesta, debe concluirse que la recurrente no estaba obligada a promover el incidente de nulidad de actuaciones del art. 241.1 LOPJ frente a la Sentencia de casación impugnada, pues el carácter subsidiario del amparo quedó sobradamente garantizado tras pasar el asunto por tres instancias judiciales, en cada una de las cuales hubo ocasión de examinar las alegadas lesiones de derechos fundamentales y decidir en consecuencia.”</w:t>
      </w:r>
    </w:p>
    <w:p w:rsidR="0085709A" w:rsidRDefault="0085709A" w:rsidP="0085709A">
      <w:pPr>
        <w:pStyle w:val="TextoNormal"/>
      </w:pPr>
    </w:p>
    <w:p w:rsidR="0085709A" w:rsidRDefault="0085709A" w:rsidP="0085709A">
      <w:pPr>
        <w:pStyle w:val="TextoNormal"/>
      </w:pPr>
      <w:r>
        <w:t xml:space="preserve">Conforme a la doctrina transcrita, hemos de afirmar que, en el presente caso, el demandante tampoco estaba compelido a interponer el incidente de nulidad de actuaciones para entender agotada la vía judicial. Tras ser evaluado el asunto en tres instancias judiciales, en cada una de las cuales los órganos judiciales tuvieron ocasión de examinar con plenitud de conocimiento las alegadas vulneraciones de derechos fundamentales, la subsidiariedad del </w:t>
      </w:r>
      <w:r>
        <w:lastRenderedPageBreak/>
        <w:t>recurso de amparo ha quedado debidamente preservada, sin que, por tanto, resulte necesaria la interposición del referido incidente para entender agotada la vía judicial.</w:t>
      </w:r>
    </w:p>
    <w:p w:rsidR="0085709A" w:rsidRDefault="0085709A" w:rsidP="0085709A">
      <w:pPr>
        <w:pStyle w:val="TextoNormal"/>
      </w:pPr>
    </w:p>
    <w:p w:rsidR="0085709A" w:rsidRDefault="0085709A" w:rsidP="0085709A">
      <w:pPr>
        <w:pStyle w:val="TextoNormal"/>
      </w:pPr>
      <w:r w:rsidRPr="0085709A">
        <w:rPr>
          <w:rStyle w:val="NumeroAFNegritaCaracter"/>
        </w:rPr>
        <w:t>3</w:t>
      </w:r>
      <w:r>
        <w:t>. Una vez despejado el óbice procesal, procede abordar la cuestión de fondo que nos compete resolver y que, en síntesis, queda expuesta del siguiente modo: si las imágenes difundidas y las manifestaciones efectuadas en los programas televisivos “Salsa rosa”, “TNT” y “Aquí hay tomate”, durante los días a que se hace mención en el apartado c) de los “antecedentes” de esta resolución, vulneran el derecho a la intimidad personal y el derecho a la propia imagen (art. 18.1 CE) del demandante.</w:t>
      </w:r>
    </w:p>
    <w:p w:rsidR="0085709A" w:rsidRDefault="0085709A" w:rsidP="0085709A">
      <w:pPr>
        <w:pStyle w:val="TextoNormal"/>
      </w:pPr>
    </w:p>
    <w:p w:rsidR="0085709A" w:rsidRDefault="0085709A" w:rsidP="0085709A">
      <w:pPr>
        <w:pStyle w:val="TextoNormal"/>
      </w:pPr>
      <w:r>
        <w:t>Para la Sala de lo Civil del Tribunal Supremo no se han conculcado los derechos invocados en la demanda de amparo. En esencia, para el citado órgano judicial es de apreciar la prevalencia del derecho reconocido en el art. 20.1 d) CE, máxime por la notoriedad pública del demandante y, además, por la concurrencia de las siguientes circunstancias: a) la relación afectiva del demandante había trascendido ya a la opinión pública; b) este último no adoptó las pautas de comportamiento necesarias para resguardar su vida privada frente a una publicidad no querida; c) tampoco preservó su imagen personal al exteriorizar su relación afectiva en un espacio abierto al acceso de una generalidad de personas; d) en resumen, dadas las circunstancias concurrentes, la afectación del derecho a la intimidad y a la propia imagen fue muy escasa, por lo que prevalece la libertad informativa sobre los derechos citados.</w:t>
      </w:r>
    </w:p>
    <w:p w:rsidR="0085709A" w:rsidRDefault="0085709A" w:rsidP="0085709A">
      <w:pPr>
        <w:pStyle w:val="TextoNormal"/>
      </w:pPr>
    </w:p>
    <w:p w:rsidR="0085709A" w:rsidRDefault="0085709A" w:rsidP="0085709A">
      <w:pPr>
        <w:pStyle w:val="TextoNormal"/>
      </w:pPr>
      <w:r>
        <w:t>Antes de exponer la doctrina que hemos fijado para delimitar el contenido y alcance de los derechos cuya lesión denuncia el demandante, no resulta ocioso recordar cuál es el parámetro en el que se sitúa este Tribunal cuando se suscita una queja relativa a la ponderación que los órganos judiciales han llevado a cabo entre los derechos fundamentales a la propia imagen y a la intimidad (art. 18.1 CE), por un lado, y el derecho a comunicar información veraz [art. 20.1 d) CE], por otro. Como afirmamos en la STC 176/2013, 21 de octubre, FJ 4: “La queja de los demandantes de amparo cuestiona la ponderación que el Tribunal Supremo ha realizado entre el derecho a la libertad de información, que ha considerado prevalente, y los derechos a la intimidad y a la propia imagen que se estimaron vulnerados en las sentencias de instancia y apelación. A tal efecto, hemos declarado en numerosas ocasiones que en estos casos nuestro juicio no se circunscribe a un examen externo de la suficiencia y consistencia de la motivación de las resoluciones judiciales bajo el prisma del art. 24.1 CE, sino que este Tribunal, en su condición de garante máximo de los derechos fundamentales, debe resolver el eventual conflicto entre los derechos afectados, aunque para este fin sea preciso utilizar criterios distintos de los aplicados por los órganos judiciales, ya que los fundamentos de éstos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49/2001, de 26 de febrero, FJ 3; 204/2001, de 15 de octubre, FJ 2; 46/2002, de 25 de febrero, FJ 5, y 52/2002, de 25 de febrero, FJ 4). En consecuencia, en casos como el presente, hemos de aplicar los cánones de constitucionalidad propios de dichos derechos a los hechos establecidos por los Jueces, que nuestro examen debe respetar escrupulosamente (SSTC 297/2000, de 11 de diciembre, FJ 3, y 83/2002, de 22 de abril, FJ 4).”</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Dicho lo anterior, en relación con el derecho fundamental a la propia imagen hemos mantenido que dicho derecho no puede ser concebido como una faceta o manifestación más del derecho a la intimidad o el honor, pues si bien todos los derechos identificados en el art. 18.1 CE mantienen una estrecha relación, en tanto se inscriben en el ámbito de la personalidad, cada uno de ellos tiene un contenido propio específico” (STC 208/2013, de 16 de diciembre, FJ 3).</w:t>
      </w:r>
    </w:p>
    <w:p w:rsidR="0085709A" w:rsidRDefault="0085709A" w:rsidP="0085709A">
      <w:pPr>
        <w:pStyle w:val="TextoNormal"/>
      </w:pPr>
    </w:p>
    <w:p w:rsidR="0085709A" w:rsidRDefault="0085709A" w:rsidP="0085709A">
      <w:pPr>
        <w:pStyle w:val="TextoNormal"/>
      </w:pPr>
      <w:r>
        <w:t>En cuanto a su contenido, este Tribunal ha tenido ocasión de precisar que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Ese bien jurídico se salvaguarda reconociendo la facultad de evitar la difusión incondicionada de su aspecto físico, ya que constituye el primer elemento configurador de la esfera personal de todo individuo, en cuanto instrumento básico de identificación y proyección exterior y factor imprescindible para su reconocimiento como sujeto individual. En definitiva, lo que se pretende, en su dimensión constitucional, es que los individuos puedan decidir qué aspectos de su persona desean preservar de la difusión pública a fin de garantizar un ámbito privativo para el desarrollo de la propia personalidad ajeno a las injerencias externas (ATC 28/2004, FJ 3)” (STC 176/2013, de 21 de octubre, FJ 6).</w:t>
      </w:r>
    </w:p>
    <w:p w:rsidR="0085709A" w:rsidRDefault="0085709A" w:rsidP="0085709A">
      <w:pPr>
        <w:pStyle w:val="TextoNormal"/>
      </w:pPr>
    </w:p>
    <w:p w:rsidR="0085709A" w:rsidRDefault="0085709A" w:rsidP="0085709A">
      <w:pPr>
        <w:pStyle w:val="TextoNormal"/>
      </w:pPr>
      <w:r>
        <w:t xml:space="preserve">Asimismo, hemos sostenido que el derecho a la propia imagen no tiene carácter absoluto o incondicionado, de manera que ante determinadas circunstancias la regla general, conforme a la cual es el titular del derecho quien decide si permite o no la captación y difusión de imágenes, queda excluida a favor de los otros derechos o intereses constitucionalmente legítimos. Más concretamente, ante supuestos de colisión entre el referido derecho y la libertad informativa consagrada en el art. 20.1 d) CE, hemos manifestado que deberán ponderarse los diferentes intereses en litigio y, conforme a las circunstancias concurrentes </w:t>
      </w:r>
      <w:r w:rsidRPr="0085709A">
        <w:rPr>
          <w:i/>
        </w:rPr>
        <w:t>ad casum</w:t>
      </w:r>
      <w:r>
        <w:t xml:space="preserve">, dilucidar qué derecho o interés merece mayor protección. A este respecto, el canon de constitucionalidad que ha de regir en la ponderación queda explicitado, entre otras, en la STC 19/2014, de 10 de febrero, FJ 6, en los siguientes términos: “[E]n efecto, este Tribunal ha venido reiterando que la libertad de información ‘ocupa una posición especial,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(por todas, STC 21/2000, de 31 de enero, FJ 4, y las allí citadas). Ahora bien, como se sabe, hemos condicionado la protección constitucional de la libertad de información a que ésta sea veraz y esté referida a asuntos de relevancia pública que son de interés general por las materias a que se refiere y por las personas que en ellos intervienen; contribuyendo, en consecuencia, a la formación de la opinión pública. También hemos afirmado que el valor preferente del derecho a la información no significa, sin embargo, dejar vacíos de contenido a los derechos fundamentales de las personas afectadas o perjudicadas por esa información, que han de ceder únicamente en la medida en que resulte necesario para asegurar una información libre en una sociedad democrática … De modo que la legitimidad de las informaciones que impliquen una intromisión en otros derechos fundamentales … requiere no sólo que la información cumpla la condición de la veracidad, sino también que su contenido se desenvuelva en el marco del interés general del asunto al que se refiere, ‘pues sólo entonces puede exigirse de aquellos a quienes afecta o perturba el contenido de la información que, pese a ello, </w:t>
      </w:r>
      <w:r>
        <w:lastRenderedPageBreak/>
        <w:t>la soporten en aras, precisamente, del conocimiento general y difusión de hechos y situaciones que interesan a la comunidad’, sin que baste a tales efectos la simple satisfacción de la curiosidad ajena (STC 20/1992, de 14 de febrero, FJ 3)’ (STC 208/2013, de 16 de diciembre, FJ 5)”.</w:t>
      </w:r>
    </w:p>
    <w:p w:rsidR="0085709A" w:rsidRDefault="0085709A" w:rsidP="0085709A">
      <w:pPr>
        <w:pStyle w:val="TextoNormal"/>
      </w:pPr>
    </w:p>
    <w:p w:rsidR="0085709A" w:rsidRDefault="0085709A" w:rsidP="0085709A">
      <w:pPr>
        <w:pStyle w:val="TextoNormal"/>
      </w:pPr>
      <w:r>
        <w:t>Por último, en lo que al derecho a la propia imagen se refiere, conviene recordar que este derecho fundamental “no prescribe ni queda condicionado por la circunstancia de que, en ocasiones pasadas, el titular del derecho haya otorgado su consentimiento para la reproducción de su aspecto físico o no haya reaccionado frente a una reproducción no consentida, pues a cada persona, y solo a ella, corresponde decidir en cada momento sobre dicha reproducción” (fundamento jurídico 5 de la Sentencia última transcrita).</w:t>
      </w:r>
    </w:p>
    <w:p w:rsidR="0085709A" w:rsidRDefault="0085709A" w:rsidP="0085709A">
      <w:pPr>
        <w:pStyle w:val="TextoNormal"/>
      </w:pPr>
    </w:p>
    <w:p w:rsidR="0085709A" w:rsidRDefault="0085709A" w:rsidP="0085709A">
      <w:pPr>
        <w:pStyle w:val="TextoNormal"/>
      </w:pPr>
      <w:r>
        <w:t>Ítem más, tampoco la notoriedad pública de la persona cuya imagen ha sido divulgada, ni el hecho de que tales imágenes hayan sido obtenidas en lugares abiertos al público empecen la anterior afirmación, pues, como referimos en el fundamento jurídico 8 de la STC 19/2014 ya citada: “Una vez descartado el interés público del reportaje, es irrelevante, como ya hemos puesto de manifiesto, la proyección pública del personaje o la circunstancia de que las imágenes se capten incluso en un lugar abierto al uso público. Dichas circunstancias, por sí solas, no justifican la difusión de cualquier imagen, pues no cabe privar incondicionalmente a la persona de la capacidad de decidir sobre qué aspectos de ella desea preservar de la difusión pública. Por ello, no cabe entender, como así lo hace la Sentencia del Tribunal Supremo, que la recurrente —personaje público— que se expone a la mirada ajena al ser las imágenes captadas en una playa, deba asumir que su imagen pueda ser captada y difundida sin su consentimiento, le satisfaga o no el resultado”.</w:t>
      </w:r>
    </w:p>
    <w:p w:rsidR="0085709A" w:rsidRDefault="0085709A" w:rsidP="0085709A">
      <w:pPr>
        <w:pStyle w:val="TextoNormal"/>
      </w:pPr>
    </w:p>
    <w:p w:rsidR="0085709A" w:rsidRDefault="0085709A" w:rsidP="0085709A">
      <w:pPr>
        <w:pStyle w:val="TextoNormal"/>
      </w:pPr>
      <w:r w:rsidRPr="0085709A">
        <w:rPr>
          <w:rStyle w:val="NumeroAFNegritaCaracter"/>
        </w:rPr>
        <w:t>5</w:t>
      </w:r>
      <w:r>
        <w:t>. En lo concerniente al derecho a la intimidad personal, este Tribunal ha sostenido que la protección que confiere el referido derecho no queda excluida con ocasión de la notoriedad pública del afectado, pues “la proyección pública y social no puede ser utilizada como argumento para negar, a la persona que la ostente, una esfera reservada de protección constitucional en el ámbito de sus relaciones afectivas, derivadas del contenido del derecho a la intimidad personal, reduciéndola hasta su práctica desaparición” [STC 7/2014, de 27 de enero, FJ 4 a)]. De manera ilustrativa, en el fundamento jurídico traído a colación se recoge el siguiente argumento: “si bien los personajes con notoriedad pública inevitablemente ven reducida su esfera de intimidad, no es menos cierto que, más allá de esa esfera abierta al conocimiento de los demás su intimidad permanece y, por tanto, el derecho constitucional que la protege no se ve minorado en el ámbito que el sujeto se ha reservado y su eficacia como límite al derecho de información es igual a la de quien carece de toda notoriedad” (SSTC 134/1999, FJ 7, y 115/2000, FJ 5).</w:t>
      </w:r>
    </w:p>
    <w:p w:rsidR="0085709A" w:rsidRDefault="0085709A" w:rsidP="0085709A">
      <w:pPr>
        <w:pStyle w:val="TextoNormal"/>
      </w:pPr>
    </w:p>
    <w:p w:rsidR="0085709A" w:rsidRDefault="0085709A" w:rsidP="0085709A">
      <w:pPr>
        <w:pStyle w:val="TextoNormal"/>
      </w:pPr>
      <w:r>
        <w:t xml:space="preserve">Por otro lado, el carácter público del lugar donde se obtienen las imágenes no ubica necesariamente al afectado fuera del ámbito de protección inherente al derecho a la intimidad. Sobre ese particular, en el fundamento jurídico 4 b) de la STC 7/2014 ya citada hemos señalado que “el carácter público de los lugares donde fueron captadas las fotografías … no tiene la capacidad de situar la actuación de los demandantes extramuros del ámbito de protección del derecho a la intimidad. No puede admitirse que los demandantes, quienes en ningún momento han prestado consentimiento expreso, válido y eficaz a la captación y publicación de las imágenes, hayan disminuido por el hecho de mostrarse afecto en la calle las </w:t>
      </w:r>
      <w:r>
        <w:lastRenderedPageBreak/>
        <w:t xml:space="preserve">barreras de reserva impuestas por ellos al acceso por terceros a su intimidad. Como ha señalado el Tribunal Europeo de Derechos Humanos, existe una zona de interacción entre el individuo y los demás que, incluso en un contexto público, puede formar parte de la vida privada (Sentencia caso </w:t>
      </w:r>
      <w:r w:rsidRPr="0085709A">
        <w:rPr>
          <w:i/>
        </w:rPr>
        <w:t>Von Hannover c. Alemania</w:t>
      </w:r>
      <w:r>
        <w:t>, Gran Sala, de 7 de febrero de 2012, § 95). Así lo hemos reconocido también en nuestra doctrina, por cuanto hemos afirmado que ‘la intimidad protegida por el art. 18.1 CE no se reduce necesariamente a la que se desarrolla en el ámbito doméstico o privado’. (STC 12/2012, de 30 de enero, FJ 5)”.</w:t>
      </w:r>
    </w:p>
    <w:p w:rsidR="0085709A" w:rsidRDefault="0085709A" w:rsidP="0085709A">
      <w:pPr>
        <w:pStyle w:val="TextoNormal"/>
      </w:pPr>
    </w:p>
    <w:p w:rsidR="0085709A" w:rsidRDefault="0085709A" w:rsidP="0085709A">
      <w:pPr>
        <w:pStyle w:val="TextoNormal"/>
      </w:pPr>
      <w:r>
        <w:t>En relación con el derecho fundamental objeto de análisis, en la ya citada STC 7/2014, FJ 4 d) sostuvimos, de tal suerte, que el hecho de que el interesado haya sido proclive a dar conocer aspectos de su vida privada o que la relación afectiva fuera ya conocida, no son circunstancias susceptibles de cercenar el derecho a la intimidad, “[p]ues cabe recordar al respecto que si bien el derecho a la libertad de información ha de prevalecer sobre el de la intimidad en relación con los hechos divulgados por los propios afectados, dado que a cada persona corresponde acotar el ámbito de su intimidad personal que reserva al conocimiento ajeno, no es menos cierto que, más allá de esos hechos dados a conocer y respecto a los cuales el velo de la intimidad ha sido voluntariamente levantado, el derecho a la intimidad opera como límite infranqueable del derecho a la libre información (SSTC 197/1991, FJ 3; 134/1999, FJ 8; 115/2000, FJ 10) … E, incluso, si la relación sentimental entre los demandantes fuese ya conocida, ello no legitima la intromisión en el derecho a la intimidad mediante la publicación de información al respecto sin consentimiento de los afectados (SSTC 134/1999, FJ 6; 99/2002, FJ 8; y 190/2013, FJ 7)”.</w:t>
      </w:r>
    </w:p>
    <w:p w:rsidR="0085709A" w:rsidRDefault="0085709A" w:rsidP="0085709A">
      <w:pPr>
        <w:pStyle w:val="TextoNormal"/>
      </w:pPr>
    </w:p>
    <w:p w:rsidR="0085709A" w:rsidRDefault="0085709A" w:rsidP="0085709A">
      <w:pPr>
        <w:pStyle w:val="TextoNormal"/>
      </w:pPr>
      <w:r>
        <w:t>Por último también cumple decir que, al igual que acontece con el derecho a la propia imagen, el derecho a la intimidad personal no confiere a su titular una facultad omnímoda de exclusión, pues como todos los demás derechos puede ceder ante otros derechos y bienes constitucionalmente relevantes, siempre que la limitación que haya de experimentar esté fundada en una previsión legal que tenga justificación constitucional, se revele necesaria para lograr un fin legítimo, sea proporcionada para alcanzarlo y, además, sea respetuosa con el contenido esencial del derecho (por todas, STC 25/2005, de 14 de febrero, FJ 6). Y así, cuando el conflicto se suscita con el derecho a comunicar y recibir información veraz que reconoce el art. 20.1 d) CE, la doctrina constitucional ha establecido las siguientes pautas para dirimir esa controversia (entre otras, STC 12/2012, de 30 de enero, FJ 4): “Como hemos señalado reiteradamente, la especial posición que ostenta el derecho a la libertad de información en nuestro Ordenamiento reside en que ‘no sólo se protege un interés individual sino que su tutela entraña el reconocimiento y garantía de la posibilidad de existencia de una opinión pública libre, indisolublemente unida al pluralismo político propio del Estado democrático’ (STC 68/2008, de 23 de junio, FJ 3). Sin embargo, tal protección especial queda sometida a determinados límites tanto inmanentes como externos que este Tribunal ha ido perfilando progresivamente. Entre los límites inmanentes se encuentran los requisitos de veracidad y de interés general o relevancia pública de la información (SSTC 68/2008, FJ 3; y 129/2009, de 1 de junio, FJ 2); en ausencia de los dos mencionados requisitos decae el respaldo constitucional de la libertad de información. Por otro lado, como límites externos el derecho a la información se sitúan los derechos específicamente enunciados en el art. 20.4 CE.</w:t>
      </w:r>
    </w:p>
    <w:p w:rsidR="0085709A" w:rsidRDefault="0085709A" w:rsidP="0085709A">
      <w:pPr>
        <w:pStyle w:val="TextoNormal"/>
      </w:pPr>
    </w:p>
    <w:p w:rsidR="0085709A" w:rsidRDefault="0085709A" w:rsidP="0085709A">
      <w:pPr>
        <w:pStyle w:val="TextoNormal"/>
      </w:pPr>
      <w:r>
        <w:lastRenderedPageBreak/>
        <w:t xml:space="preserve">En cuanto a la relevancia pública de la información, este Tribunal ha subrayado que dado que la protección constitucional se ciñe a la transmisión de hechos ‘noticiables’ por su importancia o relevancia social para contribuir a la formación de la opinión pública, tales hechos deben versar sobre aspectos conectados a la proyección pública de la persona a la que se refiere, o a las características del hecho en que esa persona se haya visto involucrada. De manera que, ‘sólo tras haber constatado la concurrencia de estas circunstancias resulta posible afirmar que la información de que se trate está especialmente protegida por ser susceptible de encuadrarse dentro del espacio que a una prensa libre debe ser asegurado en un sistema democrático’ (STC 29/2009, de 26 de enero, FJ 4). Igualmente, el Tribunal Europeo de Derechos Humanos ha destacado que el factor decisivo en la ponderación entre la protección de la vida privada y la libertad de expresión estriba en la contribución que la información publicada realice a un debate de interés general, sin que la satisfacción de la curiosidad de una parte del público en relación con detalles de la vida privada de una persona pueda considerarse contribución a tal efecto (por todas, STEDH de 24 de junio de 2004, caso </w:t>
      </w:r>
      <w:r w:rsidRPr="0085709A">
        <w:rPr>
          <w:i/>
        </w:rPr>
        <w:t>Von Hannover c. Alemania</w:t>
      </w:r>
      <w:r>
        <w:t>, §§ 65 y 76)”.</w:t>
      </w:r>
    </w:p>
    <w:p w:rsidR="0085709A" w:rsidRDefault="0085709A" w:rsidP="0085709A">
      <w:pPr>
        <w:pStyle w:val="TextoNormal"/>
      </w:pPr>
    </w:p>
    <w:p w:rsidR="0085709A" w:rsidRDefault="0085709A" w:rsidP="0085709A">
      <w:pPr>
        <w:pStyle w:val="TextoNormal"/>
      </w:pPr>
      <w:r w:rsidRPr="0085709A">
        <w:rPr>
          <w:rStyle w:val="NumeroAFNegritaCaracter"/>
        </w:rPr>
        <w:t>6</w:t>
      </w:r>
      <w:r>
        <w:t>. Una vez sintetizada, pues, nuestra doctrina relativa al contenido y alcance de los derechos a que se refiere el escrito de demanda, hemos de anticipar que la Sentencia combatida por el demandante de amparo ha lesionado el derecho a la propia imagen que el art. 18 1. CE reconoce, sin que, en el presente caso, la intromisión padecida por aquél halle justificación en el derecho a comunicar información veraz que reconoce el art. 20.1 d) CE. Ciertamente, el demandante es una persona dotada de notoriedad social; sin embargo, conforme a la doctrina constitucional traída a colación ese dato no justifica, sin más, la captación clandestina de las imágenes que, ulteriormente, fueron emitidas en programas televisivos cuya única finalidad consistía en divulgar escenas referidas al ámbito personal y privado —la relación afectiva que mantenía el recurrente—, sin que tal afirmación quede enervada, de acuerdo a los razonamientos anteriormente expuestos, por el hecho de que el afectado haya consentido, en otras ocasiones, la reproducción de su aspecto físico o no haya reaccionado frente a una reproducción no consentida ni, incluso, contra lo que parece decantar el juicio de ponderación que efectúa la Sentencia impugnada, por el hecho de que las imágenes hayan sido tomadas en lugares de acceso público o de que el afectado no hubiera puesto los “medios necesarios para sustraerse a la curiosidad ajena, pretendiendo reservar su imagen frente a cualquier injerencia y marcando un claro ámbito de privacidad”. En efecto no es el titular del derecho a la propia imagen el sujeto obligado a su protección ni quien debe erigir —por así decirlo— obstáculos o barreras defensivas frente a posibles injerencias de terceros, sino que son los terceros quienes vienen constitucionalmente obligados a respetar el derecho fundamental, cuando se trata, como ocurre en el presente caso, de la captación de imágenes que se refieren a un ámbito personal y privado. Al margen de lo expuesto, resulta inconcuso que el contenido de la información revelada a través de las imágenes difundidas queda fuera del ámbito que es propio de los asuntos de relevancia pública, en los términos establecidos por la doctrina constitucional.</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Por otra parte, la obtención y difusión de imágenes también puede conculcar el derecho a la intimidad. Como afirmamos en la STC 156/2001, de 2 de julio, FJ 3, “[d]ado el carácter autónomo de los derechos garantizados en el art. 18.1 CE, mediante la captación y reproducción de una imagen pueden lesionarse al mismo tiempo el derecho a la intimidad y el derecho a la propia imagen, lo que ocurriría en los casos en los que la imagen difundida, </w:t>
      </w:r>
      <w:r>
        <w:lastRenderedPageBreak/>
        <w:t>además de mostrar los rasgos físicos que permiten la identificación de una persona determinada, revelara aspectos de su vida privada y familiar que se han querido reservar del público conocimiento. En tales supuestos la apreciación de la vulneración del derecho a la imagen no impedirá, en su caso, la apreciación de las eventuales lesiones al derecho a la intimidad que se hayan podido causar, pues, desde la perspectiva constitucional, el desvalor de la acción no es el mismo cuando los hechos realizados sólo pueden considerarse lesivos del derecho a la imagen que cuando, además, a través de la imagen pueda vulnerarse también el derecho a la intimidad”.</w:t>
      </w:r>
    </w:p>
    <w:p w:rsidR="0085709A" w:rsidRDefault="0085709A" w:rsidP="0085709A">
      <w:pPr>
        <w:pStyle w:val="TextoNormal"/>
      </w:pPr>
    </w:p>
    <w:p w:rsidR="0085709A" w:rsidRDefault="0085709A" w:rsidP="0085709A">
      <w:pPr>
        <w:pStyle w:val="TextoNormal"/>
      </w:pPr>
      <w:r>
        <w:t>Y eso es, precisamente, lo que acontece en el presente caso. Como ya se ha indicado, las escenas divulgadas versan sobre aspectos relativos a la vida privada del demandante, de manera que la invasión no consentida de ese ámbito reservado cercena la facultad de exclusión que aquél ostenta frente a una publicidad no querida. Conforme a la doctrina expuesta en el fundamento jurídico 5 de esta Sentencia, el hecho de que las imágenes se obtuvieran en lugares de acceso público o la relación afectiva fuera ya conocida o, incluso, que el interesado hubiera podido favorecer la publicidad de ciertos aspectos de su vida privada, no impiden, en sí mismo considerados, apreciar la intromisión en el derecho a la intimidad personal. Además, el contenido de la información transmitida a través de las imágenes y comentarios efectuados en los espacios televisivos carece del interés general o relevancia pública que, de acuerdo a la doctrina asentada por este Tribunal, merece un valor preferente por contribuir a la formación de la opinión pública y asegurar una información libre en el seno de una sociedad democrática.</w:t>
      </w:r>
    </w:p>
    <w:p w:rsidR="0085709A" w:rsidRDefault="0085709A" w:rsidP="0085709A">
      <w:pPr>
        <w:pStyle w:val="TextoNormal"/>
      </w:pPr>
    </w:p>
    <w:p w:rsidR="0085709A" w:rsidRDefault="0085709A" w:rsidP="0085709A">
      <w:pPr>
        <w:pStyle w:val="TextoNormal"/>
      </w:pPr>
      <w:r>
        <w:t>En conclusión, también hemos de proclamar la lesión del derecho del derecho a la intimidad personal reconocido en el art. 18.1 CE, puesto que la información difundida queda extramuros de aquélla que, conforme al canon establecido por este Tribunal respecto del art. 20.1 d) CE, está revestida de un interés público digno de protección constitucional.</w:t>
      </w:r>
    </w:p>
    <w:p w:rsidR="0085709A" w:rsidRDefault="0085709A" w:rsidP="0085709A">
      <w:pPr>
        <w:pStyle w:val="TextoNormal"/>
      </w:pPr>
    </w:p>
    <w:p w:rsidR="0085709A" w:rsidRDefault="0085709A" w:rsidP="0085709A">
      <w:pPr>
        <w:pStyle w:val="TextoNormal"/>
      </w:pPr>
      <w:r w:rsidRPr="0085709A">
        <w:rPr>
          <w:rStyle w:val="NumeroAFNegritaCaracter"/>
        </w:rPr>
        <w:t>8</w:t>
      </w:r>
      <w:r>
        <w:t>. La estimación del presente recurso y el consiguiente reconocimiento de la vulneración de los derechos fundamentales invocados en la demanda de amparo comporta la nulidad de la Sentencia dictada por la Sala de lo Civil del Tribunal Supremo, en fecha 18 de abril de 2012, en el recurso de casación núm. 800-2009. Para el Ministerio Fiscal no es necesario acordar la retroacción de actuaciones, puesto que mediante declaración de nulidad de la Sentencia anteriormente referida adquiriría firmeza la Sentencia dictada por la Sección Vigesimoprimera de la Audiencia Provincial de Madrid y, en consecuencia, la indemnización reconocida en dicha resolución también devendría firme.</w:t>
      </w:r>
    </w:p>
    <w:p w:rsidR="0085709A" w:rsidRDefault="0085709A" w:rsidP="0085709A">
      <w:pPr>
        <w:pStyle w:val="TextoNormal"/>
      </w:pPr>
    </w:p>
    <w:p w:rsidR="0085709A" w:rsidRDefault="0085709A" w:rsidP="0085709A">
      <w:pPr>
        <w:pStyle w:val="TextoNormal"/>
      </w:pPr>
      <w:r>
        <w:t xml:space="preserve">Como ha quedado reflejado en los antecedentes de esta resolución, el demandante se aquieta con la indemnización que le fue concedida por el Tribunal de apelación. Sin embargo, no cabe ignorar que la impugnación del </w:t>
      </w:r>
      <w:r w:rsidRPr="0085709A">
        <w:rPr>
          <w:i/>
        </w:rPr>
        <w:t>quantum</w:t>
      </w:r>
      <w:r>
        <w:t xml:space="preserve"> indemnizatorio concedido al demandante en segunda instancia sustentó, precisamente, el tercer motivo del recurso de casación entablado por la entidad Gestevisión Telecinco, S.A. Sin embargo, dicho motivo quedó sin contenido y, consecuentemente, no fue resuelto, dada la estimación de los otros dos motivos alegados por la mencionada entidad. Por ello, al objeto de preservar la subsidiaridad del recurso de amparo, nuestra decisión se limita a reconocer la lesión de los derechos fundamentales alegados por el demandante, pero en nada incide sobre la determinación de la cuantía indemnizatoria que proceda conceder por la lesión de los referidos, dado que </w:t>
      </w:r>
      <w:r>
        <w:lastRenderedPageBreak/>
        <w:t>el Tribunal Supremo no se pronunció expresamente sobre la impugnación de la indemnización otorgada por la Audiencia Provincial. De ahí que, conforme dijimos en la STC 190/2013, FJ 8, “procede la retroacción de actuaciones para que, partiendo de la constatación del derecho a la intimidad de la parte recurrente (y, en el presente caso, también del derecho a la propia imagen) se resuelva por el Tribunal Supremo sobre la determinación de la indemnización que, en su caso corresponda”.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amparo solicitado por don Gonzalo Werther Miró Romero en el recurso de amparo núm. 3571-2012 y, en su virtud:</w:t>
      </w:r>
    </w:p>
    <w:p w:rsidR="0085709A" w:rsidRDefault="0085709A" w:rsidP="0085709A">
      <w:pPr>
        <w:pStyle w:val="TextoNormal"/>
      </w:pPr>
    </w:p>
    <w:p w:rsidR="0085709A" w:rsidRDefault="0085709A" w:rsidP="0085709A">
      <w:pPr>
        <w:pStyle w:val="TextoNormal"/>
      </w:pPr>
      <w:r>
        <w:t>1º Declarar vulnerados los derechos del recurrente a la intimidad personal y a la propia imagen (art. 18.1 CE).</w:t>
      </w:r>
    </w:p>
    <w:p w:rsidR="0085709A" w:rsidRDefault="0085709A" w:rsidP="0085709A">
      <w:pPr>
        <w:pStyle w:val="TextoNormal"/>
      </w:pPr>
    </w:p>
    <w:p w:rsidR="0085709A" w:rsidRDefault="0085709A" w:rsidP="0085709A">
      <w:pPr>
        <w:pStyle w:val="TextoNormal"/>
      </w:pPr>
      <w:r>
        <w:t>2º Restablecerle en su derecho y, a tal fin, declarar la nulidad de la Sentencia de 18 de abril de 2012, dictada en el recurso de casación núm. 800-2009 por la Sala de lo Civil del Tribunal Supremo, con retroacción de actuaciones para que se resuelva sobre la determinación de la indemnización que, en su caso, corresponda.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2" w:name="SENTENCIA_2015_19"/>
      <w:r>
        <w:lastRenderedPageBreak/>
        <w:t>SENTENCIA 19/2015, de 16 de febrero de 2015</w:t>
      </w:r>
    </w:p>
    <w:bookmarkEnd w:id="22"/>
    <w:p w:rsidR="0085709A" w:rsidRDefault="0085709A" w:rsidP="0085709A">
      <w:pPr>
        <w:pStyle w:val="TtuloResolucin"/>
      </w:pPr>
      <w:r>
        <w:t>Sala Primera</w:t>
      </w:r>
    </w:p>
    <w:p w:rsidR="0085709A" w:rsidRDefault="0085709A" w:rsidP="0085709A">
      <w:pPr>
        <w:pStyle w:val="TtuloBOE"/>
      </w:pPr>
      <w:r>
        <w:t>(BOE núm. 64, de 16 de marzo de 2015)</w:t>
      </w:r>
    </w:p>
    <w:p w:rsidR="0085709A" w:rsidRDefault="0085709A" w:rsidP="0085709A">
      <w:pPr>
        <w:pStyle w:val="TextoNormalCentrado"/>
      </w:pPr>
      <w:r>
        <w:t>ECLI:ES:TC:2015:19</w:t>
      </w:r>
    </w:p>
    <w:p w:rsidR="0085709A" w:rsidRDefault="0085709A" w:rsidP="0085709A">
      <w:pPr>
        <w:pStyle w:val="TextoNormalCentrado"/>
      </w:pPr>
    </w:p>
    <w:p w:rsidR="0085709A" w:rsidRDefault="0085709A" w:rsidP="0085709A">
      <w:pPr>
        <w:pStyle w:val="SntesisDescriptiva"/>
      </w:pPr>
      <w:r>
        <w:t>Recurso de amparo 3738-2012. Promovido por doña Concepción Fuya Lasnig y tres personas más en relación con el acuerdo de la Mesa del Parlamento de Cataluña inadmitiendo a trámite la iniciativa legislativa popular “Per la igualtat d’oportunitats en el sistema educatiu català”.</w:t>
      </w:r>
    </w:p>
    <w:p w:rsidR="0085709A" w:rsidRDefault="0085709A" w:rsidP="0085709A">
      <w:pPr>
        <w:pStyle w:val="SntesisDescriptiva"/>
      </w:pPr>
    </w:p>
    <w:p w:rsidR="0085709A" w:rsidRDefault="0085709A" w:rsidP="0085709A">
      <w:pPr>
        <w:pStyle w:val="SntesisAnaltica"/>
      </w:pPr>
      <w:r>
        <w:t>Vulneración del derecho a participar en los asuntos públicos: inadmisión fundada en un hecho no configurado legalmente como causa de inadmisión de una iniciativa legislativa popular. Voto particular.</w:t>
      </w:r>
    </w:p>
    <w:p w:rsidR="0085709A" w:rsidRDefault="0085709A" w:rsidP="0085709A">
      <w:pPr>
        <w:pStyle w:val="SntesisAnaltica"/>
      </w:pPr>
    </w:p>
    <w:p w:rsidR="0085709A" w:rsidRDefault="0085709A" w:rsidP="0085709A">
      <w:pPr>
        <w:pStyle w:val="Extracto"/>
      </w:pPr>
      <w:r>
        <w:t>1.</w:t>
      </w:r>
      <w:r>
        <w:tab/>
        <w:t>La decisión de dejar sin efecto la previa admisión a trámite de la iniciativa, adoptada por la Mesa del Parlamento impide la posibilidad de que los representantes políticos de la ciudadanía se pronuncien sobre el contenido de la iniciativa, lo que incide en el núcleo esencial del art. 23.1 CE [FJ 4].</w:t>
      </w:r>
    </w:p>
    <w:p w:rsidR="0085709A" w:rsidRDefault="0085709A" w:rsidP="0085709A">
      <w:pPr>
        <w:pStyle w:val="Extracto"/>
      </w:pPr>
    </w:p>
    <w:p w:rsidR="0085709A" w:rsidRDefault="0085709A" w:rsidP="0085709A">
      <w:pPr>
        <w:pStyle w:val="Extracto"/>
      </w:pPr>
      <w:r>
        <w:t>2.</w:t>
      </w:r>
      <w:r>
        <w:tab/>
        <w:t>La Mesa del Parlamento no es competente para dejar sin efecto la previa admisión a trámite de la proposición de ley, careciendo de cobertura legal, y adoptándose en un momento inadecuado y con base en un hecho no configurado normativamente como causa de inadmisión de este tipo de proposiciones de ley [FJ 5].</w:t>
      </w:r>
    </w:p>
    <w:p w:rsidR="0085709A" w:rsidRDefault="0085709A" w:rsidP="0085709A">
      <w:pPr>
        <w:pStyle w:val="Extracto"/>
      </w:pPr>
    </w:p>
    <w:p w:rsidR="0085709A" w:rsidRDefault="0085709A" w:rsidP="0085709A">
      <w:pPr>
        <w:pStyle w:val="Extracto"/>
      </w:pPr>
      <w:r>
        <w:t>3.</w:t>
      </w:r>
      <w:r>
        <w:tab/>
        <w:t>La Constitución diseña un sistema de participación política de los ciudadanos en el que priman los mecanismos de democracia representativa sin perjuicio de otros instrumentos de democracia directa, como la iniciativa legislativa popular, cuyo ejercicio debe desarrollarse en la forma jurídicamente prevista en cada caso al ser un derecho de configuración legal (SSTC 76/1994, 103/2008) [FJ 2].</w:t>
      </w:r>
    </w:p>
    <w:p w:rsidR="0085709A" w:rsidRDefault="0085709A" w:rsidP="0085709A">
      <w:pPr>
        <w:pStyle w:val="Extracto"/>
      </w:pPr>
    </w:p>
    <w:p w:rsidR="0085709A" w:rsidRDefault="0085709A" w:rsidP="0085709A">
      <w:pPr>
        <w:pStyle w:val="Extracto"/>
      </w:pPr>
      <w:r>
        <w:t>4.</w:t>
      </w:r>
      <w:r>
        <w:tab/>
        <w:t>La iniciativa legislativa popular en el marco del ejercicio de las competencias autonómicas, una vez regulado su uso por los Estatutos y la legislación autonómica, también forma parte del derecho de los ciudadanos a participar directamente en los asuntos públicos reconocido en el art. 23.1 CE (ATC 428/1989) [FJ 2].</w:t>
      </w:r>
    </w:p>
    <w:p w:rsidR="0085709A" w:rsidRDefault="0085709A" w:rsidP="0085709A">
      <w:pPr>
        <w:pStyle w:val="Extracto"/>
      </w:pPr>
    </w:p>
    <w:p w:rsidR="0085709A" w:rsidRDefault="0085709A" w:rsidP="0085709A">
      <w:pPr>
        <w:pStyle w:val="Extracto"/>
      </w:pPr>
      <w:r>
        <w:t>5.</w:t>
      </w:r>
      <w:r>
        <w:tab/>
        <w:t>La legislación autonómica configura los perfiles específicos de esta modalidad de iniciativa de los ciudadanos y, como sucede con otros derechos de configuración legal, no toda infracción de la ley autonómica reguladora de la iniciativa se traduce en una lesión del derecho fundamental [FJ 2].</w:t>
      </w:r>
    </w:p>
    <w:p w:rsidR="0085709A" w:rsidRDefault="0085709A" w:rsidP="0085709A">
      <w:pPr>
        <w:pStyle w:val="Extracto"/>
      </w:pPr>
    </w:p>
    <w:p w:rsidR="0085709A" w:rsidRDefault="0085709A" w:rsidP="0085709A">
      <w:pPr>
        <w:pStyle w:val="Extracto"/>
      </w:pPr>
      <w:r>
        <w:t>6.</w:t>
      </w:r>
      <w:r>
        <w:tab/>
        <w:t>La iniciativa legislativa popular como instrumento de participación directa de los ciudadanos en la función legislativa, a través de la facultad de propuesta y de comunicación con los representantes en el parlamento, busca fomentar el debate político y la toma de posiciones de los distintos Grupos de la Cámara sobre un asunto determinado (STC 40/2003) [FJ 2].</w:t>
      </w:r>
    </w:p>
    <w:p w:rsidR="0085709A" w:rsidRDefault="0085709A" w:rsidP="0085709A">
      <w:pPr>
        <w:pStyle w:val="Extracto"/>
      </w:pPr>
    </w:p>
    <w:p w:rsidR="0085709A" w:rsidRDefault="0085709A" w:rsidP="0085709A">
      <w:pPr>
        <w:pStyle w:val="Extracto"/>
      </w:pPr>
      <w:r>
        <w:lastRenderedPageBreak/>
        <w:t>7.</w:t>
      </w:r>
      <w:r>
        <w:tab/>
        <w:t>La decisión de la Mesa de la Cámara respecto a la admisión de la iniciativa es un acto reglado que tiene por objeto comprobar que la iniciativa cumple con los requisitos de forma y que no tiene por objeto materias excluidas, constituyendo un método de control estrictamente normativo y no de oportunidad [FJ 2].</w:t>
      </w:r>
    </w:p>
    <w:p w:rsidR="0085709A" w:rsidRDefault="0085709A" w:rsidP="0085709A">
      <w:pPr>
        <w:pStyle w:val="Extracto"/>
      </w:pPr>
    </w:p>
    <w:p w:rsidR="0085709A" w:rsidRDefault="0085709A" w:rsidP="0085709A">
      <w:pPr>
        <w:pStyle w:val="Extracto"/>
      </w:pPr>
      <w:r>
        <w:t>8.</w:t>
      </w:r>
      <w:r>
        <w:tab/>
        <w:t>Si está previsto normativamente, resulta posible que la Mesa de una Cámara, tras una inicial decisión de admisión a trámite de una propuesta legislativa, deje sin efecto la misma cuando el Gobierno ejerza una potestad de oposición vinculada a razones de impacto presupuestario de la iniciativa [FJ 2].</w:t>
      </w:r>
    </w:p>
    <w:p w:rsidR="0085709A" w:rsidRDefault="0085709A" w:rsidP="0085709A">
      <w:pPr>
        <w:pStyle w:val="Extracto"/>
      </w:pPr>
    </w:p>
    <w:p w:rsidR="0085709A" w:rsidRDefault="0085709A" w:rsidP="0085709A">
      <w:pPr>
        <w:pStyle w:val="Extracto"/>
      </w:pPr>
      <w:r>
        <w:t>9.</w:t>
      </w:r>
      <w:r>
        <w:tab/>
        <w:t>La iniciativa legislativa popular, la iniciativa legislativa del gobierno y la de los grupos parlamentarios, se configuran como instrumentos democráticos  de la función legislativa [FJ 4].</w:t>
      </w:r>
    </w:p>
    <w:p w:rsidR="0085709A" w:rsidRDefault="0085709A" w:rsidP="0085709A">
      <w:pPr>
        <w:pStyle w:val="Extracto"/>
      </w:pPr>
    </w:p>
    <w:p w:rsidR="0085709A" w:rsidRDefault="0085709A" w:rsidP="0085709A">
      <w:pPr>
        <w:pStyle w:val="Extracto"/>
      </w:pPr>
      <w:r>
        <w:t>10.</w:t>
      </w:r>
      <w:r>
        <w:tab/>
        <w:t>Doctrina sobre el derecho de participación política (SSTC 119/1995, 103/2008) [FJ 2].</w:t>
      </w:r>
    </w:p>
    <w:p w:rsidR="0085709A" w:rsidRDefault="0085709A" w:rsidP="0085709A">
      <w:pPr>
        <w:pStyle w:val="Extracto"/>
      </w:pPr>
    </w:p>
    <w:p w:rsidR="0085709A" w:rsidRDefault="0085709A" w:rsidP="0085709A">
      <w:pPr>
        <w:pStyle w:val="Extracto"/>
      </w:pPr>
      <w:r>
        <w:t>11.</w:t>
      </w:r>
      <w:r>
        <w:tab/>
        <w:t>La estimación del recurso y la nulidad de la decisión impugnada no supone retroacción de actuaciones habida cuenta que la legislatura en la que se acordó la decisión impugnada ya ha finalizado de conformidad con el art. 15 de la Ley de iniciativa legislativa popular de Cataluña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3738-2012, promovido por doña Concepción Fuya Lasnig, don Alejandro Castillo Navarro, don Hector Claudio Silveira Gorski y don Jordi Morató-Aragonés Pàmies, representados por el Procurador de los Tribunales don Jose Luis Pinto Marabotto Ruiz y bajo la dirección del Letrado don Jordi Morató-Aragonés Pàmies, contra el acuerdo de la Mesa del Parlamento de Cataluña de 27 de marzo de 2012, por el que se desestima la reconsideración de la resolución de 20 de marzo de 2012 por la que se acordó dejar sin efecto el acuerdo de 29 de noviembre de 2011 de admisión a trámite de la iniciativa legislativa popular “Per la igualtat d’oportunitats en el sistema educatiu català”. Ha comparecido el Parlamento de Cataluña. Ha intervenido el Ministerio Fiscal. Ha sido Ponente el Magistrado don Juan Antonio Xiol Ríos,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Procurador de los Tribunales don José Luis Pinto Marabotto Ruiz, en nombre y representación de doña Concepción Fuya Lasnig, don Alejandro Castillo Navarro, don Héctor Claudio Silveira Gorski y don Jordi Morató-Aragonés Pàmies, y bajo la asistencia del Letrado don Jordi Morató-Aragonés Pàmies, interpuso recurso de amparo contra los acuerdos citados en el encabezamiento, mediante escrito registrado en este Tribunal el 20 de junio de 2012.</w:t>
      </w:r>
    </w:p>
    <w:p w:rsidR="0085709A" w:rsidRDefault="0085709A" w:rsidP="0085709A">
      <w:pPr>
        <w:pStyle w:val="TextoNormal"/>
      </w:pPr>
    </w:p>
    <w:p w:rsidR="0085709A" w:rsidRDefault="0085709A" w:rsidP="0085709A">
      <w:pPr>
        <w:pStyle w:val="TextoNormal"/>
      </w:pPr>
      <w:r w:rsidRPr="0085709A">
        <w:rPr>
          <w:rStyle w:val="NumeroAFNegritaCaracter"/>
        </w:rPr>
        <w:t>2</w:t>
      </w:r>
      <w:r>
        <w:t>. El recurso tiene su origen en los siguientes antecedentes:</w:t>
      </w:r>
    </w:p>
    <w:p w:rsidR="0085709A" w:rsidRDefault="0085709A" w:rsidP="0085709A">
      <w:pPr>
        <w:pStyle w:val="TextoNormal"/>
      </w:pPr>
    </w:p>
    <w:p w:rsidR="0085709A" w:rsidRDefault="0085709A" w:rsidP="0085709A">
      <w:pPr>
        <w:pStyle w:val="TextoNormal"/>
      </w:pPr>
      <w:r>
        <w:t>a) Los demandantes, en su calidad de integrantes de la comisión promotora, presentaron ante la Mesa del Parlamento de Cataluña la iniciativa legislativa popular “Per la igualtat d’oportunitats en el sistema educatiu català” el 24 de noviembre de 2011, aportando, junto con el escrito de solicitud de admisión a trámite de la iniciativa, el texto articulado de la proposición de ley precedido de una exposición de motivos y una memoria justificativa. La iniciativa fue admitida a trámite por acuerdo de la Mesa del Parlamento de 29 de noviembre de 2011, lo que fue comunicado a la comisión promotora indicando que, de conformidad con el art. 6.5 de la Ley 1/2006, de 16 de febrero, de iniciativa legislativa popular de Cataluña, el perfeccionamiento de la iniciativa requería la presentación en tiempo y forma de un mínimo de 50.000 firmas debidamente autenticadas. El texto del acuerdo y el de la iniciativa legislativa popular fueron publicados en el “Boletín Oficial del Parlamento” de Cataluña de 5 de diciembre de 2011, anunciándose la apertura de la tramitación de la propuesta de iniciativa legislativa popular.</w:t>
      </w:r>
    </w:p>
    <w:p w:rsidR="0085709A" w:rsidRDefault="0085709A" w:rsidP="0085709A">
      <w:pPr>
        <w:pStyle w:val="TextoNormal"/>
      </w:pPr>
    </w:p>
    <w:p w:rsidR="0085709A" w:rsidRDefault="0085709A" w:rsidP="0085709A">
      <w:pPr>
        <w:pStyle w:val="TextoNormal"/>
      </w:pPr>
      <w:r>
        <w:t>b) El Gobierno de la Generalitat remitió a la Mesa del Parlamento de Cataluña un acuerdo de 13 de marzo de 2012 oponiéndose a la tramitación de la iniciativa, argumentando que su aprobación comportaría un aumento del gasto presupuestado para el año en curso, puesto que requeriría un incremento de los gastos de personal docente del capítulo I del presupuesto y de la partida presupuestaria destinada a los conciertos educativos, como se reflejaba en el informe elaborado por el Departamento de Educación de la Generalitat, que también se adjuntaba. Este acuerdo se adoptó después de aprobarse, en el mes de febrero, la Ley de presupuestos de 2012, que puso fin a la prórroga de la Ley de presupuestos de 2011. La nueva Ley de presupuestos disponía en su art. 17.4 que “[d]urante el ejercicio 2012, el Gobierno está obligado a oponerse a cualquier iniciativa legislativa que conlleve crecimiento del gasto público presupuestado, si no se proponen, al mismo tiempo los recursos adicionales necesarios”.</w:t>
      </w:r>
    </w:p>
    <w:p w:rsidR="0085709A" w:rsidRDefault="0085709A" w:rsidP="0085709A">
      <w:pPr>
        <w:pStyle w:val="TextoNormal"/>
      </w:pPr>
    </w:p>
    <w:p w:rsidR="0085709A" w:rsidRDefault="0085709A" w:rsidP="0085709A">
      <w:pPr>
        <w:pStyle w:val="TextoNormal"/>
      </w:pPr>
      <w:r>
        <w:t>c) La Mesa, de conformidad con lo previsto en el art. 102.1 y 2 del Reglamento del Parlamento de Cataluña (RPC) y atendidas las razones expuestas por el Gobierno, dispuso dejar sin efecto el acuerdo de 29 de noviembre de 2011 de admisión a trámite de la iniciativa y declarar conclusa su tramitación mediante un nuevo acuerdo de 20 de marzo de 2012.</w:t>
      </w:r>
    </w:p>
    <w:p w:rsidR="0085709A" w:rsidRDefault="0085709A" w:rsidP="0085709A">
      <w:pPr>
        <w:pStyle w:val="TextoNormal"/>
      </w:pPr>
    </w:p>
    <w:p w:rsidR="0085709A" w:rsidRDefault="0085709A" w:rsidP="0085709A">
      <w:pPr>
        <w:pStyle w:val="TextoNormal"/>
      </w:pPr>
      <w:r>
        <w:t xml:space="preserve">d) La comisión promotora de la iniciativa presentó una solicitud de reconsideración mediante un escrito de 23 de marzo de 2012, alegando que la aprobación de la propuesta no implicaría aumento de gasto en el año en curso pues la propuesta legislativa afectaba a la organización del curso escolar y éste ya había comenzado, de modo que cualquier novedad </w:t>
      </w:r>
      <w:r>
        <w:lastRenderedPageBreak/>
        <w:t>habría de esperar al curso siguiente. La comisión promotora por un nuevo escrito de 28 de marzo de 2012 alegó que, atendiendo al art. 102.3 del Reglamento, la intervención del Gobierno resultaba extemporánea, pues lo que en ese artículo se establece es que el Gobierno puede oponerse a la tramitación de una iniciativa hasta dos días antes del debate de totalidad, lo que no sería aplicable al caso de una iniciativa legislativa popular que para llegar a la fase de tramitación parlamentaria aún tiene que perfeccionarse con la incorporación de las firmas requeridas, validadas por la junta electoral.</w:t>
      </w:r>
    </w:p>
    <w:p w:rsidR="0085709A" w:rsidRDefault="0085709A" w:rsidP="0085709A">
      <w:pPr>
        <w:pStyle w:val="TextoNormal"/>
      </w:pPr>
    </w:p>
    <w:p w:rsidR="0085709A" w:rsidRDefault="0085709A" w:rsidP="0085709A">
      <w:pPr>
        <w:pStyle w:val="TextoNormal"/>
      </w:pPr>
      <w:r>
        <w:t>e) La Mesa del Parlamento, por acuerdo de 27 de marzo de 2012, rehusó la reconsideración y confirmó los efectos de declarar concluso el trámite de la iniciativa. Por acuerdo de 10 de abril de 2012, se tomó nota del escrito presentado el 28 de marzo de 2012, confirmando el rechazo a la solicitud de reconsideración. Por su parte, la Secretaría General del Parlamento, en consideración a “que la comisión promotora de la iniciativa es un agente externo a la organización parlamentaria”, dirigió el 11 de abril de 2012 una comunicación en forma de carta a la representante de la comisión promotora, detallando las razones jurídicas que habían conducido a la decisión de inadmisión de la iniciativa.</w:t>
      </w:r>
    </w:p>
    <w:p w:rsidR="0085709A" w:rsidRDefault="0085709A" w:rsidP="0085709A">
      <w:pPr>
        <w:pStyle w:val="TextoNormal"/>
      </w:pPr>
    </w:p>
    <w:p w:rsidR="0085709A" w:rsidRDefault="0085709A" w:rsidP="0085709A">
      <w:pPr>
        <w:pStyle w:val="TextoNormal"/>
      </w:pPr>
      <w:r>
        <w:t>f) La comisión promotora presentó el 21 de junio de 2012 en el registro del Parlamento de Cataluña 68.802 firmas de apoyo a la iniciativa legislativa popular. La Mesa del Parlamento, por acuerdo de 26 de junio de 2012, tomó nota de las firmas presentadas y recordó que la iniciativa había caducado como consecuencia del acuerdo de 20 de marzo de 2012. La Secretaria General informó de que se presentaría a la Mesa una propuesta justificada de reembolso por los gastos generados a la comisión promotora mientras estuvo abierta la tramitación de la iniciativa, de acuerdo con la Ley 1/2006, de 16 de febrero, de iniciativa legislativa popular de Cataluña.</w:t>
      </w:r>
    </w:p>
    <w:p w:rsidR="0085709A" w:rsidRDefault="0085709A" w:rsidP="0085709A">
      <w:pPr>
        <w:pStyle w:val="TextoNormal"/>
      </w:pPr>
    </w:p>
    <w:p w:rsidR="0085709A" w:rsidRDefault="0085709A" w:rsidP="0085709A">
      <w:pPr>
        <w:pStyle w:val="TextoNormal"/>
      </w:pPr>
      <w:r w:rsidRPr="0085709A">
        <w:rPr>
          <w:rStyle w:val="NumeroAFNegritaCaracter"/>
        </w:rPr>
        <w:t>3</w:t>
      </w:r>
      <w:r>
        <w:t>. Los demandantes denuncian que se han vulnerado sus derechos a la participación ciudadana en los asuntos públicos (art. 23.1 CE) y a la igualdad (art. 14 CE) y solicitan que se otorgue el amparo, se declare la nulidad de la resolución de la Mesa y se ordene continuar con la tramitación de la iniciativa legislativa popular.</w:t>
      </w:r>
    </w:p>
    <w:p w:rsidR="0085709A" w:rsidRDefault="0085709A" w:rsidP="0085709A">
      <w:pPr>
        <w:pStyle w:val="TextoNormal"/>
      </w:pPr>
    </w:p>
    <w:p w:rsidR="0085709A" w:rsidRDefault="0085709A" w:rsidP="0085709A">
      <w:pPr>
        <w:pStyle w:val="TextoNormal"/>
      </w:pPr>
      <w:r>
        <w:t>Los demandantes fundamentan la vulneración del art. 23.1 CE en que las decisiones impugnadas han realizado una interpretación defectuosa y restrictiva de la regulación aplicable a la tramitación de la iniciativa legislativa popular que ha incidido en el contenido esencial del ejercicio del derecho de participación ciudadana en los asuntos públicos. Se destaca que la decisión de dejar sin efecto la admisión a trámite fue inmotivada, incurriéndose en una defectuosa interpretación del Reglamento de Parlamento en la denegación de la reconsideración y no se dio respuesta al argumento de que la eventual aprobación de la ley propuesta no podría afectar al presupuesto en vigor, puesto que no podría aplicarse al curso escolar ya comenzado. Igualmente, se afirma que se habría infringido lo previsto en el art. 6.4 de la Ley de iniciativa legislativa popular de Cataluña, puesto que no se dio ocasión de subsanar los defectos formales advertidos, incluyendo en el texto articulado una cláusula de posposición de efectos económicos al siguiente ejercicio presupuestario; y que se habría producido una interpretación errada del art. 102.3 del Reglamento del Parlamento, permitiendo una interferencia indebida de la Generalitat una vez concluso el trámite inicial de admisión de la iniciativa legislativa popular.</w:t>
      </w:r>
    </w:p>
    <w:p w:rsidR="0085709A" w:rsidRDefault="0085709A" w:rsidP="0085709A">
      <w:pPr>
        <w:pStyle w:val="TextoNormal"/>
      </w:pPr>
    </w:p>
    <w:p w:rsidR="0085709A" w:rsidRDefault="0085709A" w:rsidP="0085709A">
      <w:pPr>
        <w:pStyle w:val="TextoNormal"/>
      </w:pPr>
      <w:r>
        <w:lastRenderedPageBreak/>
        <w:t xml:space="preserve">Los demandantes de amparo fundamentan la vulneración del art. 14 CE en que se ha dispensado un tratamiento distinto y, por tanto, arbitrario, a la iniciativa legislativa popular frente a iniciativas impulsadas por los grupos parlamentarios que han incurrido en similares defectos o errores, subsanados </w:t>
      </w:r>
      <w:r w:rsidRPr="0085709A">
        <w:rPr>
          <w:i/>
        </w:rPr>
        <w:t>a posteriori</w:t>
      </w:r>
      <w:r>
        <w:t xml:space="preserve"> mediante escritos de subsanación de errores que incluyen la cláusula de no afectación al presupuesto vigente.</w:t>
      </w:r>
    </w:p>
    <w:p w:rsidR="0085709A" w:rsidRDefault="0085709A" w:rsidP="0085709A">
      <w:pPr>
        <w:pStyle w:val="TextoNormal"/>
      </w:pPr>
    </w:p>
    <w:p w:rsidR="0085709A" w:rsidRDefault="0085709A" w:rsidP="0085709A">
      <w:pPr>
        <w:pStyle w:val="TextoNormal"/>
      </w:pPr>
      <w:r w:rsidRPr="0085709A">
        <w:rPr>
          <w:rStyle w:val="NumeroAFNegritaCaracter"/>
        </w:rPr>
        <w:t>4</w:t>
      </w:r>
      <w:r>
        <w:t>. La Sala Primera de este Tribunal, por providencia de 8 de abril de 2013, acordó admitir a trámite la demanda de amparo por considerar que en el presente recurso concurría la exigencia de especial trascendencia constitucional a que se refiere el art. 50.1 b) de la Ley Orgánica del Tribunal Constitucional (LOTC) consistente en que plantea un problema o una faceta de un derecho fundamental susceptible de amparo sobre el que no haya doctrina del Tribunal Constitucional [STC 155/2009, de 26 de junio, FJ 2 a)], y, en aplicación de lo dispuesto en el art. 51 LOTC, requerir al Parlamento de Cataluña para que, en un plazo que no excediese de diez días, remitiera certificación o fotocopia adverada de las actuaciones correspondientes y entregar una copia de la demanda para conocimiento de la Mesa del Parlamento de Cataluña, a los efectos de su personación en el presente proceso constitucional.</w:t>
      </w:r>
    </w:p>
    <w:p w:rsidR="0085709A" w:rsidRDefault="0085709A" w:rsidP="0085709A">
      <w:pPr>
        <w:pStyle w:val="TextoNormal"/>
      </w:pPr>
    </w:p>
    <w:p w:rsidR="0085709A" w:rsidRDefault="0085709A" w:rsidP="0085709A">
      <w:pPr>
        <w:pStyle w:val="TextoNormal"/>
      </w:pPr>
      <w:r w:rsidRPr="0085709A">
        <w:rPr>
          <w:rStyle w:val="NumeroAFNegritaCaracter"/>
        </w:rPr>
        <w:t>5</w:t>
      </w:r>
      <w:r>
        <w:t>. La Secretaría de Justicia de la Sala Primera de este Tribunal, por diligencia de ordenación de 16 de mayo de 2013, acordó tener por recibido el testimonio de las actuaciones remitido por el Parlamento de Cataluña, a quien se tiene por personado y parte, y dar vista de las actuaciones al Ministerio Fiscal y las partes personadas por un plazo de veinte días para presentar las alegaciones que estimasen pertinentes, de conformidad con el art. 52 LOTC.</w:t>
      </w:r>
    </w:p>
    <w:p w:rsidR="0085709A" w:rsidRDefault="0085709A" w:rsidP="0085709A">
      <w:pPr>
        <w:pStyle w:val="TextoNormal"/>
      </w:pPr>
    </w:p>
    <w:p w:rsidR="0085709A" w:rsidRDefault="0085709A" w:rsidP="0085709A">
      <w:pPr>
        <w:pStyle w:val="TextoNormal"/>
      </w:pPr>
      <w:r w:rsidRPr="0085709A">
        <w:rPr>
          <w:rStyle w:val="NumeroAFNegritaCaracter"/>
        </w:rPr>
        <w:t>6</w:t>
      </w:r>
      <w:r>
        <w:t>. El Parlamento de Cataluña, mediante escrito registrado el 17 de junio de 2013, presentó sus alegaciones solicitando la denegación del amparo.</w:t>
      </w:r>
    </w:p>
    <w:p w:rsidR="0085709A" w:rsidRDefault="0085709A" w:rsidP="0085709A">
      <w:pPr>
        <w:pStyle w:val="TextoNormal"/>
      </w:pPr>
    </w:p>
    <w:p w:rsidR="0085709A" w:rsidRDefault="0085709A" w:rsidP="0085709A">
      <w:pPr>
        <w:pStyle w:val="TextoNormal"/>
      </w:pPr>
      <w:r>
        <w:t>Por lo que se refiere a la falta de motivación, argumenta que el acuerdo impugnado da a conocer los motivos por los que la Mesa decide dejar sin efecto el acuerdo de admisión a trámite, consistente en la oposición del Gobierno porque la iniciativa supone un aumento del gasto presupuestado y en lo previsto en el art. 102.3 RPC. En cuanto a la suficiencia y adecuación de estos argumentos, expone que la facultad de intervención del Gobierno en este procedimiento se contempla en el art. 102.3 RPC que le permite, cuando no ha sido consultado antes, manifestar su oposición “hasta dos días antes del inicio del debate de totalidad” y pone de manifiesto la circunstancia sobrevenida que explica la intervención del Gobierno en ese momento de tramitación de la iniciativa como es la aprobación el 22 de febrero de 2012 de la Ley de presupuestos para el año 2012, pues fue sólo entonces cuando se hizo manifiesto que la iniciativa legislativa promovida implicaba un incremento de gasto. Además, se afirma que la Mesa, al adoptar el acuerdo, se ha limitado a un control estricto de legalidad, basado en un canon normativo y no ha efectuado un control político o de oportunidad.</w:t>
      </w:r>
    </w:p>
    <w:p w:rsidR="0085709A" w:rsidRDefault="0085709A" w:rsidP="0085709A">
      <w:pPr>
        <w:pStyle w:val="TextoNormal"/>
      </w:pPr>
    </w:p>
    <w:p w:rsidR="0085709A" w:rsidRDefault="0085709A" w:rsidP="0085709A">
      <w:pPr>
        <w:pStyle w:val="TextoNormal"/>
      </w:pPr>
      <w:r>
        <w:t xml:space="preserve">El Parlamento, en lo referido a que la intervención del Gobierno sería extemporánea, porque hubiera debido aguardarse a que la iniciativa se perfeccionara, concluida la fase de recogida de firmas y realizada su autenticación, considera que es un planteamiento que carece de apoyo normativo. A ello añade que el retraso en la adopción del acuerdo no hubiera </w:t>
      </w:r>
      <w:r>
        <w:lastRenderedPageBreak/>
        <w:t>supuesto ninguna ventaja y sí, en cambio, importantes inconvenientes. Por un lado, la continuación de la tramitación, conocida ya la oposición gubernamental, “habría alimentado falsas expectativas en la comisión promotora”; y, por otro, hubiera implicado un perjuicio al erario público, pues el proceso de verificación de firmas genera un importante gasto.</w:t>
      </w:r>
    </w:p>
    <w:p w:rsidR="0085709A" w:rsidRDefault="0085709A" w:rsidP="0085709A">
      <w:pPr>
        <w:pStyle w:val="TextoNormal"/>
      </w:pPr>
    </w:p>
    <w:p w:rsidR="0085709A" w:rsidRDefault="0085709A" w:rsidP="0085709A">
      <w:pPr>
        <w:pStyle w:val="TextoNormal"/>
      </w:pPr>
      <w:r>
        <w:t>En cuanto a la queja referida a que no se habría ofrecido la posibilidad de subsanación de lo que los recurrentes consideran un defecto formal, como es la ausencia en el texto articulado de la cláusula de no afectación al presupuesto vigente, el Parlamento argumenta que las implicaciones presupuestarias no constituyen un defecto formal y, además, en el caso de la iniciativa legislativa popular, una subsanación como la sugerida no sería posible, ya que no es posible alterar el texto una vez admitida a trámite la iniciativa legislativa popular y abierto el período de recogida de firmas.</w:t>
      </w:r>
    </w:p>
    <w:p w:rsidR="0085709A" w:rsidRDefault="0085709A" w:rsidP="0085709A">
      <w:pPr>
        <w:pStyle w:val="TextoNormal"/>
      </w:pPr>
    </w:p>
    <w:p w:rsidR="0085709A" w:rsidRDefault="0085709A" w:rsidP="0085709A">
      <w:pPr>
        <w:pStyle w:val="TextoNormal"/>
      </w:pPr>
      <w:r w:rsidRPr="0085709A">
        <w:rPr>
          <w:rStyle w:val="NumeroAFNegritaCaracter"/>
        </w:rPr>
        <w:t>7</w:t>
      </w:r>
      <w:r>
        <w:t>. El Ministerio Fiscal, mediante escrito registrado el 3 de julio de 2013, presentó sus alegaciones interesando que se declare la vulneración del derecho a la participación política (art. 23.1 CE) y la nulidad de los acuerdos impugnados.</w:t>
      </w:r>
    </w:p>
    <w:p w:rsidR="0085709A" w:rsidRDefault="0085709A" w:rsidP="0085709A">
      <w:pPr>
        <w:pStyle w:val="TextoNormal"/>
      </w:pPr>
    </w:p>
    <w:p w:rsidR="0085709A" w:rsidRDefault="0085709A" w:rsidP="0085709A">
      <w:pPr>
        <w:pStyle w:val="TextoNormal"/>
      </w:pPr>
      <w:r>
        <w:t>El Ministerio Fiscal argumenta que la decisión de dejar sin efecto la previa admisión a trámite de la iniciativa carece de motivación suficiente, ya que si bien dicha decisión tiene base normativa en el art. 102.3 del Reglamento del Parlamento, se adoptó sin ponderar las circunstancias concurrentes y sin tomar en cuenta las razones alegadas por los recurrentes en su escrito de reconsideración, en particular, las relativas a la no incidencia presupuestaria de la iniciativa legislativa popular en el ejercicio presupuestario de 2012. A este respecto, considera relevante que el inciso final del art. 102.2 RPC indique que el Gobierno no puede manifestar su disconformidad con la tramitación de la iniciativa si los efectos económicos se posponen a un ejercicio posterior. Coincide con el demandante en que el proceder de la Mesa, al optar por una interpretación restrictiva de las normas aplicables, ha impedido el desarrollo parlamentario de la iniciativa legislativa popular y, en esa medida, ha obstaculizado indebidamente el ejercicio del derecho fundamental de participación política.</w:t>
      </w:r>
    </w:p>
    <w:p w:rsidR="0085709A" w:rsidRDefault="0085709A" w:rsidP="0085709A">
      <w:pPr>
        <w:pStyle w:val="TextoNormal"/>
      </w:pPr>
    </w:p>
    <w:p w:rsidR="0085709A" w:rsidRDefault="0085709A" w:rsidP="0085709A">
      <w:pPr>
        <w:pStyle w:val="TextoNormal"/>
      </w:pPr>
      <w:r>
        <w:t>No considera, en cambio, que haya habido lesión del principio de igualdad del art. 14 CE, pues este extremo no se acredita ni justifica debidamente en la demanda, por lo que no es posible comparar lo sucedido con lo que haya sido la práctica de la Mesa en relación con iniciativas presentadas por diputados o grupos parlamentarios.</w:t>
      </w:r>
    </w:p>
    <w:p w:rsidR="0085709A" w:rsidRDefault="0085709A" w:rsidP="0085709A">
      <w:pPr>
        <w:pStyle w:val="TextoNormal"/>
      </w:pPr>
    </w:p>
    <w:p w:rsidR="0085709A" w:rsidRDefault="0085709A" w:rsidP="0085709A">
      <w:pPr>
        <w:pStyle w:val="TextoNormal"/>
      </w:pPr>
      <w:r w:rsidRPr="0085709A">
        <w:rPr>
          <w:rStyle w:val="NumeroAFNegritaCaracter"/>
        </w:rPr>
        <w:t>8</w:t>
      </w:r>
      <w:r>
        <w:t>. Los demandantes, por escrito registrado el 19 de junio de 2013, presentaron sus alegaciones, dando por reproducidos los hechos y fundamentos expuestos en el escrito de interposición del recurso y poniendo de manifiesto la importancia del depósito de las más de 68.000 firmas que refrendan la presentación de la iniciativa legislativa popular.</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12 de febrero de 2015 se señaló para la deliberación y votación de la presente Sentencia el día 16 de dicho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 este recurso de amparo es determinar si la decisión de la Mesa del Parlamento de Cataluña por la que se dejó sin efecto la previa admisión a trámite de la iniciativa legislativa popular “Per la igualtat d’oportunitats en el sistema educatiu català” y declaró el cierre de su tramitación, vulneró los derechos de participación en los asuntos públicos (art. 23.1 CE) y el principio de igualdad (art. 14 CE).</w:t>
      </w:r>
    </w:p>
    <w:p w:rsidR="0085709A" w:rsidRDefault="0085709A" w:rsidP="0085709A">
      <w:pPr>
        <w:pStyle w:val="TextoNormal"/>
      </w:pPr>
    </w:p>
    <w:p w:rsidR="0085709A" w:rsidRDefault="0085709A" w:rsidP="0085709A">
      <w:pPr>
        <w:pStyle w:val="TextoNormal"/>
      </w:pPr>
      <w:r>
        <w:t>Los demandantes fundamentan la invocación del art. 23.1 CE en que la decisión sobrevenida de la Mesa de dejar sin efecto la admisión a trámite de la iniciativa carece de base normativa suficiente y ha impedido de manera injustificada el ejercicio de la iniciativa legislativa popular. En concreto, ponen de manifiesto que (i) la decisión de la Mesa carece de cobertura legal ya que se adoptó extemporáneamente en virtud de una intervención del Gobierno cuando la iniciativa legislativa popular ya había sido admitida a trámite; y (ii) la decisión adoptada por la Mesa carece de motivación y la que se le puede atribuir es insuficiente o inadecuada ya que la legislación propuesta tenía una incidencia presupuestaria nula en el año de la presentación al haberse comenzado ya el curso académico y, en todo caso, el defecto sobre la posposición de sus efectos presupuestarios tiene carácter subsanable.</w:t>
      </w:r>
    </w:p>
    <w:p w:rsidR="0085709A" w:rsidRDefault="0085709A" w:rsidP="0085709A">
      <w:pPr>
        <w:pStyle w:val="TextoNormal"/>
      </w:pPr>
    </w:p>
    <w:p w:rsidR="0085709A" w:rsidRDefault="0085709A" w:rsidP="0085709A">
      <w:pPr>
        <w:pStyle w:val="TextoNormal"/>
      </w:pPr>
      <w:r>
        <w:t>Fundamentan la invocación del derecho a la igualdad (art. 14 CE) en que no permitir la subsanación del eventual defecto de forma referido a la posposición de los efectos presupuestarios de la iniciativa supuso un trato desfavorable a esta modalidad de iniciativa respecto a las de origen parlamentario.</w:t>
      </w:r>
    </w:p>
    <w:p w:rsidR="0085709A" w:rsidRDefault="0085709A" w:rsidP="0085709A">
      <w:pPr>
        <w:pStyle w:val="TextoNormal"/>
      </w:pPr>
    </w:p>
    <w:p w:rsidR="0085709A" w:rsidRDefault="0085709A" w:rsidP="0085709A">
      <w:pPr>
        <w:pStyle w:val="TextoNormal"/>
      </w:pPr>
      <w:r w:rsidRPr="0085709A">
        <w:rPr>
          <w:rStyle w:val="NumeroAFNegritaCaracter"/>
        </w:rPr>
        <w:t>2</w:t>
      </w:r>
      <w:r>
        <w:t>. La jurisprudencia constitucional que puede resultar relevante para este caso, en relación con el derecho de participación política (art. 23.1 CE), puede resumirse en los siguientes aspectos:</w:t>
      </w:r>
    </w:p>
    <w:p w:rsidR="0085709A" w:rsidRDefault="0085709A" w:rsidP="0085709A">
      <w:pPr>
        <w:pStyle w:val="TextoNormal"/>
      </w:pPr>
    </w:p>
    <w:p w:rsidR="0085709A" w:rsidRDefault="0085709A" w:rsidP="0085709A">
      <w:pPr>
        <w:pStyle w:val="TextoNormal"/>
      </w:pPr>
      <w:r>
        <w:t>a) El art. 23.1 CE reconoce el derecho de los ciudadanos a participar en los asuntos públicos, directamente o por medio de representantes. La Constitución, al establecer que la Monarquía parlamentaria es la forma de gobierno o forma política del Estado español (art. 1.3 CE), diseña un sistema de participación política de los ciudadanos en el que priman los mecanismos de democracia representativa. No obstante, también la Constitución reconoce concretos instrumentos de democracia directa como es la iniciativa legislativa popular (art. 87.3 CE; SSTC 119/1995, de 17 de julio, FJ 3, o 103/2008, de 11 de septiembre, FJ 2), cuyo ejercicio debe desarrollarse en la forma jurídicamente prevista en cada caso al ser un derecho de configuración legal (STC 76/1994, de 14 de marzo, FJ 3).</w:t>
      </w:r>
    </w:p>
    <w:p w:rsidR="0085709A" w:rsidRDefault="0085709A" w:rsidP="0085709A">
      <w:pPr>
        <w:pStyle w:val="TextoNormal"/>
      </w:pPr>
    </w:p>
    <w:p w:rsidR="0085709A" w:rsidRDefault="0085709A" w:rsidP="0085709A">
      <w:pPr>
        <w:pStyle w:val="TextoNormal"/>
      </w:pPr>
      <w:r>
        <w:t>b) La iniciativa legislativa popular en el marco del ejercicio de las competencias autonómicas, una vez regulado su uso por los Estatutos y la legislación autonómica, también forma parte del derecho que tienen los ciudadanos a participar directamente en los asuntos públicos reconocido en el art. 23.1 CE, en la concreta configuración legal que le sea dada (ATC 428/1989, de 21 de julio, FJ 3).</w:t>
      </w:r>
    </w:p>
    <w:p w:rsidR="0085709A" w:rsidRDefault="0085709A" w:rsidP="0085709A">
      <w:pPr>
        <w:pStyle w:val="TextoNormal"/>
      </w:pPr>
    </w:p>
    <w:p w:rsidR="0085709A" w:rsidRDefault="0085709A" w:rsidP="0085709A">
      <w:pPr>
        <w:pStyle w:val="TextoNormal"/>
      </w:pPr>
      <w:r>
        <w:t xml:space="preserve">c) La legislación autonómica configura los perfiles específicos de esta modalidad de iniciativa de los ciudadanos y, como sucede con otros derechos de configuración legal, no toda </w:t>
      </w:r>
      <w:r>
        <w:lastRenderedPageBreak/>
        <w:t>infracción de la ley autonómica reguladora de la iniciativa se traduce en una lesión del derecho fundamental. De ese modo, la vulneración del art. 23.1 CE no se deriva de la mera existencia de irregularidades en el procedimiento de tramitación con ocasión del ejercicio de la iniciativa, sino de “la presencia de una relación causal entre irregularidad procedimental y transgresión del contenido del derecho fundamental, de suerte que se haga evidente la imposibilidad de ejercicio de la iniciativa popular en virtud de obstáculos imprevisibles e insalvables” (ATC 140/1992, de 25 de mayo, FJ 2).</w:t>
      </w:r>
    </w:p>
    <w:p w:rsidR="0085709A" w:rsidRDefault="0085709A" w:rsidP="0085709A">
      <w:pPr>
        <w:pStyle w:val="TextoNormal"/>
      </w:pPr>
    </w:p>
    <w:p w:rsidR="0085709A" w:rsidRDefault="0085709A" w:rsidP="0085709A">
      <w:pPr>
        <w:pStyle w:val="TextoNormal"/>
      </w:pPr>
      <w:r>
        <w:t>d) La iniciativa legislativa popular como instrumento de participación directa de los ciudadanos en la función legislativa, a través de la facultad de propuesta, y de comunicación con los representantes en el parlamento tiene también el sentido de buscar “forzar el debate político y obligar a que los distintos Grupos de la Cámara y esta misma tengan que tomar expresa posición sobre un asunto o tema determinado” (STC 40/2003, de 27 de febrero, FJ 7). Con independencia, por tanto, de que la propuesta prospere ante el Pleno, la función principal de este cauce de participación se habrá conseguido haciendo posible que los ciudadanos puedan conocer “lo que sus representantes piensan sobre una determinada materia, así como sobre la oportunidad o no de su regulación legal, y extraer sus propias conclusiones acerca de cómo aquéllos asumen o se separan de lo manifestado en sus respectivos programas electorales” (STC 124/1995, de 18 de julio, FJ 3). Por tanto, en la medida en que se incidiría sobre esta concreta finalidad de la iniciativa legislativa popular, “una decisión de inadmisión que no se ajustase a las causas legales al efecto establecidas entrañaría una vulneración del derecho fundamental consagrado en el art. 23.1 CE” (ATC 428/1989, de 21 de julio, FJ 3).</w:t>
      </w:r>
    </w:p>
    <w:p w:rsidR="0085709A" w:rsidRDefault="0085709A" w:rsidP="0085709A">
      <w:pPr>
        <w:pStyle w:val="TextoNormal"/>
      </w:pPr>
    </w:p>
    <w:p w:rsidR="0085709A" w:rsidRDefault="0085709A" w:rsidP="0085709A">
      <w:pPr>
        <w:pStyle w:val="TextoNormal"/>
      </w:pPr>
      <w:r>
        <w:t>e) La decisión de la Mesa de la Cámara respecto de la admisión de la iniciativa es un acto reglado que tiene por objeto comprobar que la iniciativa cumple con los requisitos de forma y que no tiene por objeto materias excluidas. En ese sentido, al igual que se ha afirmado respecto de otras funciones calificadoras de la Mesa, se trata de un control estrictamente normativo y no de oportunidad, ya que cumplen la función jurídico-técnica de ordenar y racionalizar el funcionamiento de las Cámaras para su mayor eficiencia como foro de debate y participación de la cosa pública (STC 191/2013, de 18 de noviembre, FJ 3), que debe ejercerse respetando, además, la dimensión material del deber de motivación que exige motivar expresa, suficiente y adecuadamente la aplicación de las normas cuando pueda resultar de la misma una limitación al ejercicio de los derechos reconocidos en el art. 23 CE (STC 40/2003, de 27 de febrero, FJ 6).</w:t>
      </w:r>
    </w:p>
    <w:p w:rsidR="0085709A" w:rsidRDefault="0085709A" w:rsidP="0085709A">
      <w:pPr>
        <w:pStyle w:val="TextoNormal"/>
      </w:pPr>
    </w:p>
    <w:p w:rsidR="0085709A" w:rsidRDefault="0085709A" w:rsidP="0085709A">
      <w:pPr>
        <w:pStyle w:val="TextoNormal"/>
      </w:pPr>
      <w:r>
        <w:t>f) En la medida en que así esté previsto normativamente, resulta posible que la Mesa de una Cámara, tras una inicial decisión de admisión a trámite de una propuesta legislativa, deje sin efecto la misma cuando el Gobierno ejerza una potestad de oposición vinculada a razones de impacto presupuestario de la iniciativa. Además, por afectar a las relaciones Parlamento-Gobierno, en esos casos el control que debe ejercer por este Tribunal en vía de amparo debe ser de una menor intensidad (STC 242/2006, de 24 de julio, FJ 6).</w:t>
      </w:r>
    </w:p>
    <w:p w:rsidR="0085709A" w:rsidRDefault="0085709A" w:rsidP="0085709A">
      <w:pPr>
        <w:pStyle w:val="TextoNormal"/>
      </w:pPr>
    </w:p>
    <w:p w:rsidR="0085709A" w:rsidRDefault="0085709A" w:rsidP="0085709A">
      <w:pPr>
        <w:pStyle w:val="TextoNormal"/>
      </w:pPr>
      <w:r w:rsidRPr="0085709A">
        <w:rPr>
          <w:rStyle w:val="NumeroAFNegritaCaracter"/>
        </w:rPr>
        <w:t>3</w:t>
      </w:r>
      <w:r>
        <w:t>. En el presente caso, como ha sido detallado en los antecedentes, los elementos facticos más relevantes que deben tomarse en consideración para resolver la invocación del art. 23.1 CE son los siguientes:</w:t>
      </w:r>
    </w:p>
    <w:p w:rsidR="0085709A" w:rsidRDefault="0085709A" w:rsidP="0085709A">
      <w:pPr>
        <w:pStyle w:val="TextoNormal"/>
      </w:pPr>
    </w:p>
    <w:p w:rsidR="0085709A" w:rsidRDefault="0085709A" w:rsidP="0085709A">
      <w:pPr>
        <w:pStyle w:val="TextoNormal"/>
      </w:pPr>
      <w:r>
        <w:lastRenderedPageBreak/>
        <w:t>a) La Mesa del Parlamento de Cataluña, mediante un inicial Acuerdo de 29 de noviembre de 2011, admitió a trámite una iniciativa legislativa popular tras verificar el cumplimiento de los requisitos formales y materiales del art. 6 de la Ley 1/2006, de 16 de febrero, de iniciativa legislativa popular de Cataluña, dando paso a la fase de recogida de firmas.</w:t>
      </w:r>
    </w:p>
    <w:p w:rsidR="0085709A" w:rsidRDefault="0085709A" w:rsidP="0085709A">
      <w:pPr>
        <w:pStyle w:val="TextoNormal"/>
      </w:pPr>
    </w:p>
    <w:p w:rsidR="0085709A" w:rsidRDefault="0085709A" w:rsidP="0085709A">
      <w:pPr>
        <w:pStyle w:val="TextoNormal"/>
      </w:pPr>
      <w:r>
        <w:t>b) El Gobierno de la Generalitat, que no había sido consultado previamente sobre la iniciativa, remitió al Parlamento, al amparo del art. 102.3 del Reglamento del Parlamento de Cataluña (RPC), un acuerdo de 13 de marzo de 2012 oponiéndose a la tramitación de la iniciativa, exponiendo que, una vez aprobada en febrero de 2012 la Ley de presupuestos para el año 2012, implicaría un aumento del gasto presupuestado para el año en curso.</w:t>
      </w:r>
    </w:p>
    <w:p w:rsidR="0085709A" w:rsidRDefault="0085709A" w:rsidP="0085709A">
      <w:pPr>
        <w:pStyle w:val="TextoNormal"/>
      </w:pPr>
    </w:p>
    <w:p w:rsidR="0085709A" w:rsidRDefault="0085709A" w:rsidP="0085709A">
      <w:pPr>
        <w:pStyle w:val="TextoNormal"/>
      </w:pPr>
      <w:r>
        <w:t>c) La Mesa, por un nuevo acuerdo de 20 de marzo de 2012, antes de que transcurriera el plazo de recogida de firmas del art. 9 de la Ley de iniciativa legislativa popular de Cataluña, decidió dejar sin efecto la admisión a trámite de la iniciativa y declarar conclusa su tramitación tomando en consideración a lo previsto en el Reglamento de la Cámara y atendidas las razones expuestas por el Gobierno en su acuerdo de oposición.</w:t>
      </w:r>
    </w:p>
    <w:p w:rsidR="0085709A" w:rsidRDefault="0085709A" w:rsidP="0085709A">
      <w:pPr>
        <w:pStyle w:val="TextoNormal"/>
      </w:pPr>
    </w:p>
    <w:p w:rsidR="0085709A" w:rsidRDefault="0085709A" w:rsidP="0085709A">
      <w:pPr>
        <w:pStyle w:val="TextoNormal"/>
      </w:pPr>
      <w:r>
        <w:t>d) Los demandantes solicitaron la reconsideración de esta decisión, alegando que la aprobación de la propuesta no implicaría aumento de gasto en el año en curso y que la intervención del Gobierno resultaba extemporánea, toda vez que el art. 102.3 RPC lo que establece es que el Gobierno puede oponerse a la tramitación de una iniciativa hasta dos días antes del debate de totalidad, lo que no sería aplicable al caso de una iniciativa legislativa popular que para llegar a la fase de tramitación parlamentaria aún tiene que perfeccionarse con la incorporación de las firmas requeridas, validadas por la Junta Electoral. Esta solicitud de reconsideración fue rechazada por la Mesa del Parlamento.</w:t>
      </w:r>
    </w:p>
    <w:p w:rsidR="0085709A" w:rsidRDefault="0085709A" w:rsidP="0085709A">
      <w:pPr>
        <w:pStyle w:val="TextoNormal"/>
      </w:pPr>
    </w:p>
    <w:p w:rsidR="0085709A" w:rsidRDefault="0085709A" w:rsidP="0085709A">
      <w:pPr>
        <w:pStyle w:val="TextoNormal"/>
      </w:pPr>
      <w:r>
        <w:t>e) Una vez presentadas las firmas de apoyo, la Mesa del Parlamento por acuerdo de 26 de junio de 2012 reiteró que la iniciativa había caducado y la Secretaria General informó a la comisión promotora de que se presentaría en la Mesa una propuesta justificada de reembolso por los gastos generados mientras había estado abierta la tramitación de la iniciativa, de acuerdo con la Ley de iniciativa legislativa popular de Cataluña.</w:t>
      </w:r>
    </w:p>
    <w:p w:rsidR="0085709A" w:rsidRDefault="0085709A" w:rsidP="0085709A">
      <w:pPr>
        <w:pStyle w:val="TextoNormal"/>
      </w:pPr>
    </w:p>
    <w:p w:rsidR="0085709A" w:rsidRDefault="0085709A" w:rsidP="0085709A">
      <w:pPr>
        <w:pStyle w:val="TextoNormal"/>
      </w:pPr>
      <w:r w:rsidRPr="0085709A">
        <w:rPr>
          <w:rStyle w:val="NumeroAFNegritaCaracter"/>
        </w:rPr>
        <w:t>4</w:t>
      </w:r>
      <w:r>
        <w:t>. En atención a lo expuesto, debe concluirse que se han producido la vulneración del art. 23.1 CE aducida por los demandantes de amparo.</w:t>
      </w:r>
    </w:p>
    <w:p w:rsidR="0085709A" w:rsidRDefault="0085709A" w:rsidP="0085709A">
      <w:pPr>
        <w:pStyle w:val="TextoNormal"/>
      </w:pPr>
    </w:p>
    <w:p w:rsidR="0085709A" w:rsidRDefault="0085709A" w:rsidP="0085709A">
      <w:pPr>
        <w:pStyle w:val="TextoNormal"/>
      </w:pPr>
      <w:r>
        <w:t>La decisión de dejar sin efecto la previa admisión a trámite de la iniciativa ha sido adoptada por la Mesa del Parlamento con una interpretación de la normativa que disciplina la iniciativa legislativa popular en Cataluña que ha impedido objetivamente la posibilidad de que se cumpla una de las finalidades que le es propia, como es la oportunidad de que los representantes políticos de la ciudadanía se pronunciaran sobre el contenido de la iniciativa, por lo que incide en el núcleo esencial del art. 23.1 CE.</w:t>
      </w:r>
    </w:p>
    <w:p w:rsidR="0085709A" w:rsidRDefault="0085709A" w:rsidP="0085709A">
      <w:pPr>
        <w:pStyle w:val="TextoNormal"/>
      </w:pPr>
    </w:p>
    <w:p w:rsidR="0085709A" w:rsidRDefault="0085709A" w:rsidP="0085709A">
      <w:pPr>
        <w:pStyle w:val="TextoNormal"/>
      </w:pPr>
      <w:r>
        <w:t xml:space="preserve">La normativa que regula la iniciativa legislativa popular de Cataluña vigente en el momento en que se producen las decisiones impugnadas en el presente recurso de amparo es la citada Ley de iniciativa legislativa popular de Cataluña, en su versión originaria aprobada por la Ley 1/2006, de 16 de febrero. De acuerdo con dicha redacción, en el capítulo II de la Ley, dedicado a la presentación y admisión a trámite de este tipo de iniciativas, el art. 6 de la Ley de iniciativa legislativa popular de Cataluña establece, en su apartado primero, que </w:t>
      </w:r>
      <w:r>
        <w:lastRenderedPageBreak/>
        <w:t>corresponde a la Mesa del Parlamento examinar la documentación recibida con la solicitud de admisión y pronunciarse de forma motivada en el plazo de quince días “sobre la admisión o inadmisión a trámite de la proposición de ley”; y, en su apartado segundo, las “causas de inadmisibilidad de la proposición de ley”, entre las que no aparece una eventual oposición del Gobierno a su tramitación por motivos presupuestarios. El capítulo III de la Ley de iniciativa legislativa popular de Cataluña está dedicado al proceso de recogida de firmas y su comprobación por la Junta Electoral, a los efectos de determinar la suficiencia del número de firmas válidas, con la obligación de comunicar ese extremo a la Mesa del Parlamento (art. 12.3 de la Ley). En el capítulo IV de la Ley de iniciativa legislativa popular de Cataluña, dedicado a la tramitación parlamentaria de este tipo de iniciativas, el art. 14 de la Ley establece, en su apartado primero, que “la tramitación de la proposición de ley” debe hacerse de acuerdo con lo establecido por los preceptos del Reglamento del Parlamento que regulan el procedimiento legislativo, “sin perjuicio de las especialidades que especifica la presente ley”; y, en su apartado segundo, que la comisión parlamentaria correspondiente, una vez celebrado el debate de totalidad, si aprueba tramitar la iniciativa legislativa puede oír a la comisión promotora antes de abrir el periodo de presentación de enmiendas.</w:t>
      </w:r>
    </w:p>
    <w:p w:rsidR="0085709A" w:rsidRDefault="0085709A" w:rsidP="0085709A">
      <w:pPr>
        <w:pStyle w:val="TextoNormal"/>
      </w:pPr>
    </w:p>
    <w:p w:rsidR="0085709A" w:rsidRDefault="0085709A" w:rsidP="0085709A">
      <w:pPr>
        <w:pStyle w:val="TextoNormal"/>
      </w:pPr>
      <w:r>
        <w:t>Por su parte, el Reglamento del Parlamento de Cataluña dispone en su art. 100.d) que la iniciativa legislativa corresponde, entre otros, “a los ciudadanos, que la ejercen en la forma establecida por la Ley de iniciativa legislativa popular, mediante la presentación de una proposición de ley”; en su art. 101.3 que “las proposiciones de ley … derivadas del ejercicio de la iniciativa legislativa popular deben cumplir, además, los requisitos específicos establecidos por la correspondiente legislación”; y en su art. 102.1 que “la Mesa del Parlamento ha de verificar si los proyectos y las proposiciones de ley cumplen los requisitos establecidos por el presente reglamento y por las leyes y declarar si son admitidos a trámite o no”. Por último, el art. 102.2 RPC establece que en los casos en que la Mesa considere que una proposición de ley pueda tener efectos presupuestarios, debe solicitar la conformidad previa del Gobierno para su admisión a trámite, quien no puede denegar la conformidad a una tramitación si los efectos económicos que pueden derivar de esta han sido expresamente pospuestos para otro ejercicio presupuestario; y el art. 102.3 RPC dispone que si el Gobierno no es consultado puede manifestar de forma motivada su disconformidad por razones presupuestarias con la tramitación de una iniciativa legislativa “hasta dos días antes del inicio del debate de totalidad, y corresponde a la Mesa del Parlamento adoptar la decisión definitiva sobre su admisión a trámite”.</w:t>
      </w:r>
    </w:p>
    <w:p w:rsidR="0085709A" w:rsidRDefault="0085709A" w:rsidP="0085709A">
      <w:pPr>
        <w:pStyle w:val="TextoNormal"/>
      </w:pPr>
    </w:p>
    <w:p w:rsidR="0085709A" w:rsidRDefault="0085709A" w:rsidP="0085709A">
      <w:pPr>
        <w:pStyle w:val="TextoNormal"/>
      </w:pPr>
      <w:r>
        <w:t xml:space="preserve">Por tanto, conforme a la normativa expuesta, se pone de manifiesto que la iniciativa legislativa popular es una forma más, junto con la iniciativa legislativa del gobierno y la de los grupos parlamentarios, de iniciar un procedimiento legislativo. Igualmente, esta normativa permite concluir que, aunque no exista una superior legitimación de este tipo de iniciativas por su origen, sin embargo la especificidad que supone su configuración como un instrumento de democracia directa dentro del desarrollo de los mecanismos de democracia representativa de la función legislativa determina significativas peculiaridades respecto de la regulación dispensada a otro tipo de iniciativas legislativas. De ese modo, la iniciativa legislativa popular cuenta en la Ley de iniciativa legislativa popular de Cataluña con una regulación específica y diferenciada del trámite de admisibilidad respecto de la dispensada por el Reglamento del Parlamento de Cataluña para las que provienen de la iniciativa de los grupos parlamentarios, ya que si bien comparten el órgano competente para decidir sobre la </w:t>
      </w:r>
      <w:r>
        <w:lastRenderedPageBreak/>
        <w:t>admisión –la Mesa del Parlamento- y el carácter estrictamente técnico y tasado de la valoración a realizar por este órgano de la cámara, difieren en cuanto a las causas de inadmisibilidad, que para una iniciativa legislativa popular son las establecidas en el art. 6.2 de la Ley de iniciativa legislativa popular de Cataluña, entre las que no aparece la disconformidad presupuestario del Gobierno. Del mismo modo, una segunda peculiaridad establecida en la Ley de iniciativa legislativa popular de Cataluña radica en que el efecto de la decisión de admisión de la Mesa del Parlamento no implica su inmediata tramitación parlamentaria sino que, en coherencia con su carácter de instrumento de democracia directa, lo que abre es el plazo de recogida de firmas de apoyo ciudadano regulado en el capítulo III de la Ley de iniciativa legislativa popular de Cataluña, que culmina, si el número de firmas válidas es igual o superior a 50.000, con la comunicación a la Mesa del Parlamento de esa circunstancia. A partir de ello es cuando se perfecciona la proposición de ley derivada de una iniciativa legislativa popular y, sin necesidad de una ulterior decisión sobre admisibilidad de la Mesa del Parlamento, se procede a tramitación parlamentaria también con distintas peculiaridades, que ahora no resultan relevantes.</w:t>
      </w:r>
    </w:p>
    <w:p w:rsidR="0085709A" w:rsidRDefault="0085709A" w:rsidP="0085709A">
      <w:pPr>
        <w:pStyle w:val="TextoNormal"/>
      </w:pPr>
    </w:p>
    <w:p w:rsidR="0085709A" w:rsidRDefault="0085709A" w:rsidP="0085709A">
      <w:pPr>
        <w:pStyle w:val="TextoNormal"/>
      </w:pPr>
      <w:r w:rsidRPr="0085709A">
        <w:rPr>
          <w:rStyle w:val="NumeroAFNegritaCaracter"/>
        </w:rPr>
        <w:t>5</w:t>
      </w:r>
      <w:r>
        <w:t>. Esta regulación normativa pone de manifiesto que la decisión de la Mesa del Parlamento de dejar sin efecto la previa admisión a trámite de la proposición de ley derivada de la iniciativa legislativa popular presentada —lo que equivale materialmente a una decisión de inadmisión— y, por tanto, la interrupción del procedimiento de recogida de firmas con el argumento de la existencia de un veto presupuestario el Gobierno carece de cobertura legal, ya que (i) se adoptó en un momento inadecuado, (ii) con fundamento en un hecho que no está configurado normativamente como causa de inadmisión de este tipo de proposiciones de ley, y (iii) por la Mesa del Parlamento que carece de competencia para ello.</w:t>
      </w:r>
    </w:p>
    <w:p w:rsidR="0085709A" w:rsidRDefault="0085709A" w:rsidP="0085709A">
      <w:pPr>
        <w:pStyle w:val="TextoNormal"/>
      </w:pPr>
    </w:p>
    <w:p w:rsidR="0085709A" w:rsidRDefault="0085709A" w:rsidP="0085709A">
      <w:pPr>
        <w:pStyle w:val="TextoNormal"/>
      </w:pPr>
      <w:r>
        <w:t>(i) Esta decisión material de inadmisión resulta extemporánea toda vez que, tal como ya se ha señalado, la Ley de iniciativa legislativa popular de Cataluña establece como único momento para que la Mesa del Parlamento decida sobre la admisión o inadmisión de este tipo de iniciativas, el plazo de quince días hábiles desde que la Comisión promotora registra la solicitud de admisión (art. 6.1 de la Ley de iniciativa legislativa popular de Cataluña). La relevancia y transcendencia que tiene este trámite aparece reconocida en la propia Ley de iniciativa legislativa popular de Cataluña, cuyo art. 7.1 establece que “[l]a comisión promotora puede interponer, en los términos establecidos por la legislación aplicable, un recurso de amparo contra la resolución de la Mesa del Parlamento por la que esta no admite a trámite la proposición de ley”.</w:t>
      </w:r>
    </w:p>
    <w:p w:rsidR="0085709A" w:rsidRDefault="0085709A" w:rsidP="0085709A">
      <w:pPr>
        <w:pStyle w:val="TextoNormal"/>
      </w:pPr>
    </w:p>
    <w:p w:rsidR="0085709A" w:rsidRDefault="0085709A" w:rsidP="0085709A">
      <w:pPr>
        <w:pStyle w:val="TextoNormal"/>
      </w:pPr>
      <w:r>
        <w:t>Por tanto, una vez superado este trámite de admisibilidad, en que ya se ha verificado el cumplimiento de los requisitos para ello, no cabe revertir una decisión que tiene como objeto perfeccionar una proposición de ley derivada de una iniciativa legislativa popular a través de la recogida de firmas y, en su caso, posibilitar el devenir de una tramitación parlamentaria de conformidad con lo establecido normativamente.</w:t>
      </w:r>
    </w:p>
    <w:p w:rsidR="0085709A" w:rsidRDefault="0085709A" w:rsidP="0085709A">
      <w:pPr>
        <w:pStyle w:val="TextoNormal"/>
      </w:pPr>
    </w:p>
    <w:p w:rsidR="0085709A" w:rsidRDefault="0085709A" w:rsidP="0085709A">
      <w:pPr>
        <w:pStyle w:val="TextoNormal"/>
      </w:pPr>
      <w:r>
        <w:t>(ii) Esta decisión material de inadmisión se ha fundado en un hecho que no estaba configurado legalmente como causa de inadmisión de una iniciativa legislativa popular. Tal como ya se ha expuesto, el capítulo II de la Ley de iniciativa legislativa popular de Cataluña desarrolla la presentación y admisión a trámite de este tipo de iniciativas y, entre las causas de inadmisibilidad reguladas en su art. 6.2, no aparece la falta de conformidad presupuesta</w:t>
      </w:r>
      <w:r>
        <w:lastRenderedPageBreak/>
        <w:t>ria del Gobierno. Por otra parte, no cabe interpretar que la previsión de esa falta de conformidad en el art. 102.3 RPC y los efectos que de ello cabe derivar resulten de aplicación para un tipo de iniciativa que, por sus peculiares características ha recibido una específica y singular regulación por el legislador que, por respeto al contenido esencial del art. 23.1 CE, con el que se conecta, ha omitido cualquier posibilidad de que esa falta de conformidad se alce como un obstáculo para que los representantes políticos se pronuncien sobre aspectos que han conciliado una iniciativa respaldada por un número no despreciable de ciudadanos.</w:t>
      </w:r>
    </w:p>
    <w:p w:rsidR="0085709A" w:rsidRDefault="0085709A" w:rsidP="0085709A">
      <w:pPr>
        <w:pStyle w:val="TextoNormal"/>
      </w:pPr>
    </w:p>
    <w:p w:rsidR="0085709A" w:rsidRDefault="0085709A" w:rsidP="0085709A">
      <w:pPr>
        <w:pStyle w:val="TextoNormal"/>
      </w:pPr>
      <w:r>
        <w:t>Esta conclusión se ve ahora reforzada tras la Ley 7/2014, de 25 de junio, por la que se añade una disposición adicional tercera en la Ley de iniciativa legislativa popular de Cataluña, en la que se pone de manifiesto que la falta de conformidad presupuestaria del Gobierno no puede configurarse, en ningún caso, como causa para no admitir una iniciativa legislativa popular. En efecto, si bien en el apartado segundo de esta nueva disposición adicional tercera se establece la obligación de que la Mesa del Parlamento, si la proposición de ley puede tener incidencia presupuestaria, envíe la iniciativa legislativa popular al Gobierno para que se pronuncie sobre ello; en el apartado tercero se establece que el único efecto que se derivaría de la manifestación del Gobierno respecto de la existencia de esa afectación presupuestaria es que la admisión de la iniciativa se ha de realizar de tal modo que la eventual ley resultante no puede entrar en vigor, en la parte que comporte dicha afectación presupuestaria, hasta el ejercicio presupuestario siguiente.</w:t>
      </w:r>
    </w:p>
    <w:p w:rsidR="0085709A" w:rsidRDefault="0085709A" w:rsidP="0085709A">
      <w:pPr>
        <w:pStyle w:val="TextoNormal"/>
      </w:pPr>
    </w:p>
    <w:p w:rsidR="0085709A" w:rsidRDefault="0085709A" w:rsidP="0085709A">
      <w:pPr>
        <w:pStyle w:val="TextoNormal"/>
      </w:pPr>
      <w:r>
        <w:t>Por tanto, al no estar previsto expresamente como causa de inadmisión de este tipo de iniciativas la falta de conformidad presupuestaria del Gobierno, cualquier interpretación en ese sentido supone una ilegítima restricción del contenido esencial del art. 23.1 CE, por implicar que se evite el normal desarrollo del proceso de recogida de firmas de apoyo para su perfeccionamiento como iniciativa legislativa y, en su caso, su ulterior tramitación parlamentaria.</w:t>
      </w:r>
    </w:p>
    <w:p w:rsidR="0085709A" w:rsidRDefault="0085709A" w:rsidP="0085709A">
      <w:pPr>
        <w:pStyle w:val="TextoNormal"/>
      </w:pPr>
    </w:p>
    <w:p w:rsidR="0085709A" w:rsidRDefault="0085709A" w:rsidP="0085709A">
      <w:pPr>
        <w:pStyle w:val="TextoNormal"/>
      </w:pPr>
      <w:r>
        <w:t>(iii) Esta decisión de inadmisión, fundada en la falta de conformidad presupuestaria del Gobierno, ha sido acordada por la Mesa del Parlamento cuando por tratarse de una razón material cuya valoración no le está expresamente atribuida no contaba con competencia para ello. Tal como ya se ha expuesto, la Ley de iniciativa legislativa popular de Cataluña regula la intervención de la Mesa del Parlamento a los únicos efectos de valorar la concurrencia de las causas de inadmisibilidad establecidas en su art. 6.2. A partir de ese momento la intervención de la Mesa queda limitada a recibir la comunicación de la junta electoral sobre el cumplimiento de la exigencia del número mínimo de firmas válidas de apoyo y, en cumplimiento de su labor de ordenación, a dar curso al trámite parlamentario establecido normativamente. Serán ya otros órganos de la Cámara los que, en las distintas fases de ese devenir parlamentario, decidan lo que estime pertinente con fundamento en las razones de oportunidad política que le son propias, incluido, en su caso, la incidencia presupuestaria que hubiera puesto de manifiesto el Gobierno.</w:t>
      </w:r>
    </w:p>
    <w:p w:rsidR="0085709A" w:rsidRDefault="0085709A" w:rsidP="0085709A">
      <w:pPr>
        <w:pStyle w:val="TextoNormal"/>
      </w:pPr>
    </w:p>
    <w:p w:rsidR="0085709A" w:rsidRDefault="0085709A" w:rsidP="0085709A">
      <w:pPr>
        <w:pStyle w:val="TextoNormal"/>
      </w:pPr>
      <w:r>
        <w:t>Por tanto, una vez que la Mesa del Parlamento ha superado el cumplimiento de su función de control del cumplimiento de los requisitos de admisibilidad establecidos en el art. 6.2 de la Ley de iniciativa legislativa popular de Cataluña, queda desapoderada para revertir una decisión cuyo objeto es permitir que se perfeccione la iniciativa legislativa popular a través de la recogida de firmas y, en su caso, posibilitar el devenir de una tramitación parlamentaria de conformidad con lo establecido normativamente.</w:t>
      </w:r>
    </w:p>
    <w:p w:rsidR="0085709A" w:rsidRDefault="0085709A" w:rsidP="0085709A">
      <w:pPr>
        <w:pStyle w:val="TextoNormal"/>
      </w:pPr>
    </w:p>
    <w:p w:rsidR="0085709A" w:rsidRDefault="0085709A" w:rsidP="0085709A">
      <w:pPr>
        <w:pStyle w:val="TextoNormal"/>
      </w:pPr>
      <w:r w:rsidRPr="0085709A">
        <w:rPr>
          <w:rStyle w:val="NumeroAFNegritaCaracter"/>
        </w:rPr>
        <w:t>6</w:t>
      </w:r>
      <w:r>
        <w:t>. El Letrado de la Mesa del Parlamento de Cataluña, sin contradecir la anterior conclusión, ha justificado en su escrito de alegaciones la decisión impugnada alegando que (i) la continuación de la tramitación, conocida ya la oposición gubernamental, “habría alimentado falsas expectativas en la comisión promotora” y (ii) hubiera implicado un perjuicio al erario público, pues el proceso de verificación de firmas genera un importante gasto, concluyendo de ello que la posposición del acuerdo de la Mesa, en definitiva, no hubiera alterado el contenido del acuerdo.</w:t>
      </w:r>
    </w:p>
    <w:p w:rsidR="0085709A" w:rsidRDefault="0085709A" w:rsidP="0085709A">
      <w:pPr>
        <w:pStyle w:val="TextoNormal"/>
      </w:pPr>
    </w:p>
    <w:p w:rsidR="0085709A" w:rsidRDefault="0085709A" w:rsidP="0085709A">
      <w:pPr>
        <w:pStyle w:val="TextoNormal"/>
      </w:pPr>
      <w:r>
        <w:t>Pues bien, tomando en consideración lo anteriormente expuesto, desde una perspectiva constitucional, único parámetro de control a que debe atenderse en esta jurisdicción de amparo, basta con poner de manifiesto que esa interpretación y las razones de eficiencia que la sustentan han supuesto una incidencia directa en el núcleo esencial del derecho a la participación de los ciudadanos en los asuntos públicos (art. 23.1 CE). Ha impedido, en los términos en que está legalmente establecido, el normal desarrollo de una campaña de recogida de firmas que permitiera dar a conocer las razones de la iniciativa y conciliar el apoyo popular necesario a que tenían derecho los recurrentes, como miembros de la comisión promotora de la iniciativa, una vez que la Mesa del Parlamento ya había acordado la apertura de ese trámite y, con ello, que pudiera a llegar a perfeccionarse esta iniciativa y, en su caso, que los ciudadanos pudieran conocer lo que sus representantes piensan sobre la materia objeto de la iniciativa, así como sobre la oportunidad o no de su regulación legal, y extraer sus propias conclusiones acerca de cómo aquéllos asumen o se separan de lo manifestado en sus respectivos programas electorales.</w:t>
      </w:r>
    </w:p>
    <w:p w:rsidR="0085709A" w:rsidRDefault="0085709A" w:rsidP="0085709A">
      <w:pPr>
        <w:pStyle w:val="TextoNormal"/>
      </w:pPr>
    </w:p>
    <w:p w:rsidR="0085709A" w:rsidRDefault="0085709A" w:rsidP="0085709A">
      <w:pPr>
        <w:pStyle w:val="TextoNormal"/>
      </w:pPr>
      <w:r>
        <w:t>Esa transgresión del contenido del derecho fundamental que ha imposibilitado el normal ejercicio de la iniciativa popular es determinante para considerar vulnerado el art. 23.1 CE y la nulidad de la decisión impugnada de dejar sin efecto la previa admisión a trámite de la iniciativa, lo que también hace innecesario el análisis del resto de alegaciones.</w:t>
      </w:r>
    </w:p>
    <w:p w:rsidR="0085709A" w:rsidRDefault="0085709A" w:rsidP="0085709A">
      <w:pPr>
        <w:pStyle w:val="TextoNormal"/>
      </w:pPr>
    </w:p>
    <w:p w:rsidR="0085709A" w:rsidRDefault="0085709A" w:rsidP="0085709A">
      <w:pPr>
        <w:pStyle w:val="TextoNormal"/>
      </w:pPr>
      <w:r>
        <w:t>La estimación del recurso y la nulidad de la decisión impugnada no han de implicar en este caso la retroacción de actuaciones, pues la legislatura en la que se acordó la decisión impugnada ya ha finalizado y el efecto de mantenimiento de la iniciativa en caso de disolución del Parlamento a que se refiere el art. 15 de la Ley de iniciativa legislativa popular de Cataluña lo es para los casos en los que la iniciativa ya esté en trámite parlamentario, que no es el caso por haberlo frustrado la decisión ahora anulada.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doña Concepción Fuya Lasnig, don Alejandro Castillo Navarro, don Héctor Claudio Silveira Gorski y don Jordi Morató-Aragonés Pàmies, y, en su virtud:</w:t>
      </w:r>
    </w:p>
    <w:p w:rsidR="0085709A" w:rsidRDefault="0085709A" w:rsidP="0085709A">
      <w:pPr>
        <w:pStyle w:val="TextoNormal"/>
      </w:pPr>
    </w:p>
    <w:p w:rsidR="0085709A" w:rsidRDefault="0085709A" w:rsidP="0085709A">
      <w:pPr>
        <w:pStyle w:val="TextoNormal"/>
      </w:pPr>
      <w:r>
        <w:lastRenderedPageBreak/>
        <w:t>1º Declarar que ha sido vulnerado el derecho fundamental de los demandantes de amparo a la participación en los asuntos públicos (art. 23.1 CE).</w:t>
      </w:r>
    </w:p>
    <w:p w:rsidR="0085709A" w:rsidRDefault="0085709A" w:rsidP="0085709A">
      <w:pPr>
        <w:pStyle w:val="TextoNormal"/>
      </w:pPr>
    </w:p>
    <w:p w:rsidR="0085709A" w:rsidRDefault="0085709A" w:rsidP="0085709A">
      <w:pPr>
        <w:pStyle w:val="TextoNormal"/>
      </w:pPr>
      <w:r>
        <w:t>2º Restablecerles en su derecho y, en consecuencia, declarar la nulidad de la resolución de la Mesa del Parlamento de Cataluña de 20 de marzo de 2012 y los acuerdos de 27 de marzo y 10 de abril de 2012.</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Andrés Ollero Tassara, respecto a la Sentencia de la Sala Primera de fecha 16 de febrero de 2015 dictada en el recurso de amparo núm. 3738-2012.</w:t>
      </w:r>
    </w:p>
    <w:p w:rsidR="0085709A" w:rsidRDefault="0085709A" w:rsidP="0085709A">
      <w:pPr>
        <w:pStyle w:val="TextoNormalNegritaCentrado"/>
        <w:keepNext/>
      </w:pPr>
    </w:p>
    <w:p w:rsidR="0085709A" w:rsidRDefault="0085709A" w:rsidP="0085709A">
      <w:pPr>
        <w:pStyle w:val="TextoNormal"/>
      </w:pPr>
      <w:r>
        <w:t>En ejercicio de la facultad que nos confiere el art. 90.2 de la Ley Orgánica del Tribunal Constitucional y con el máximo respeto a la opinión de la mayoría de la Sala, dejo constancia de mi opinión discrepante, puesta ya de manifiesto durante su deliberación, de la Sentencia que ha resuelto el recurso de amparo núm. 3738-2012.</w:t>
      </w:r>
    </w:p>
    <w:p w:rsidR="0085709A" w:rsidRDefault="0085709A" w:rsidP="0085709A">
      <w:pPr>
        <w:pStyle w:val="TextoNormal"/>
      </w:pPr>
    </w:p>
    <w:p w:rsidR="0085709A" w:rsidRDefault="0085709A" w:rsidP="0085709A">
      <w:pPr>
        <w:pStyle w:val="TextoNormal"/>
      </w:pPr>
      <w:r>
        <w:t>Me mueve a ello mi preocupación por las Sentencias que este Tribunal viene dictando en recursos de amparo suscitados con ocasión de resoluciones parlamentarias, a las que se atribuye inconstitucionalidad. Ello me ha llevado a sostener en las deliberaciones mi actitud discrepante, sin llegar a plasmarla en voto particular. La reiteración de otras similares me ha confirmado en la convicción de la necesidad de expresar formalmente mi postura en voto particular.</w:t>
      </w:r>
    </w:p>
    <w:p w:rsidR="0085709A" w:rsidRDefault="0085709A" w:rsidP="0085709A">
      <w:pPr>
        <w:pStyle w:val="TextoNormal"/>
      </w:pPr>
    </w:p>
    <w:p w:rsidR="0085709A" w:rsidRDefault="0085709A" w:rsidP="0085709A">
      <w:pPr>
        <w:pStyle w:val="TextoNormal"/>
      </w:pPr>
      <w:r>
        <w:t>1. Me parece, en primer lugar, llamativo el dispar tratamiento que el Tribunal viene mostrando a los Poderes del Estado. Es fácil constatar que aborda con especial delicadeza, como es lógico, los nada escasos recursos de amparo suscitados con ocasión de resoluciones judiciales. Ello le ha llevado, por ejemplo, a establecer un canon para el derecho fundamental a acceder a la jurisdicción y otro mucho menos exigente para el derecho a acceder a los recursos legalmente establecidos (STC 37/1995, de 7 de febrero); distingo que no encuentra parangón en la jurisprudencia del Tribunal Europeo de Derechos Humanos.</w:t>
      </w:r>
    </w:p>
    <w:p w:rsidR="0085709A" w:rsidRDefault="0085709A" w:rsidP="0085709A">
      <w:pPr>
        <w:pStyle w:val="TextoNormal"/>
      </w:pPr>
    </w:p>
    <w:p w:rsidR="0085709A" w:rsidRDefault="0085709A" w:rsidP="0085709A">
      <w:pPr>
        <w:pStyle w:val="TextoNormal"/>
      </w:pPr>
      <w:r>
        <w:t>Por el contrario, el Tribunal viene recientemente abordando de modo muy incisivo, interpretando reglamentos parlamentarios, recursos suscitados por discrepancias de parlamentarios respecto a resoluciones de los órganos rectores de las Cámaras. No muy diversa me parece la actitud adoptada en el caso que nos ocupa, al abordar el conflicto surgido entre los promotores de una iniciativa legislativa popular y el acuerdo de la Mesa del Parlamento de Cataluña de 27 de marzo de 2012.</w:t>
      </w:r>
    </w:p>
    <w:p w:rsidR="0085709A" w:rsidRDefault="0085709A" w:rsidP="0085709A">
      <w:pPr>
        <w:pStyle w:val="TextoNormal"/>
      </w:pPr>
    </w:p>
    <w:p w:rsidR="0085709A" w:rsidRDefault="0085709A" w:rsidP="0085709A">
      <w:pPr>
        <w:pStyle w:val="TextoNormal"/>
      </w:pPr>
      <w:r>
        <w:t xml:space="preserve">2. Como es sabido, la Constitución española (en adelante, CE) contempla la iniciativa legislativa en el artículo 87, dentro del capítulo segundo (de la elaboración de las leyes) del título III (de las Cortes Generales). Dicho artículo establece en su epígrafe 1 que “La iniciativa legislativa corresponde al Gobierno, al Congreso y al Senado, de acuerdo con la Constitución y los Reglamentos de las Cámaras”. Indica en el epígrafe 2 que “Las Asambleas de las Comunidades Autónomas podrán solicitar del Gobierno la adopción de un proyecto de </w:t>
      </w:r>
      <w:r>
        <w:lastRenderedPageBreak/>
        <w:t>ley o remitir a la Mesa del Congreso una proposición de ley”. Ampliando aún más, aunque condicionadamente, los posibles promotores de iniciativas similares, señala en el epígrafe 3 que “Una ley orgánica regulará las formas de ejercicio y requisitos de la iniciativa popular para la presentación de proposiciones de ley. En todo caso se exigirán no menos de 500.000 firmas acreditadas. No procederá dicha iniciativa en materias propias de ley orgánica, tributarias o de carácter internacional, ni en lo relativo a la prerrogativa de gracia”. Igualmente el Estatuto de Cataluña incluye, al ocuparse de la actividad legislativa en su artículo 62.1, a “los ciudadanos, mediante la iniciativa legislativa popular”. Es fácil detectar la obligada proyección de estos preceptos sobre la Ley catalana 1/2006, de 16 de febrero, de la iniciativa legislativa popular.</w:t>
      </w:r>
    </w:p>
    <w:p w:rsidR="0085709A" w:rsidRDefault="0085709A" w:rsidP="0085709A">
      <w:pPr>
        <w:pStyle w:val="TextoNormal"/>
      </w:pPr>
    </w:p>
    <w:p w:rsidR="0085709A" w:rsidRDefault="0085709A" w:rsidP="0085709A">
      <w:pPr>
        <w:pStyle w:val="TextoNormal"/>
      </w:pPr>
      <w:r>
        <w:t>Volviendo al art. 87 CE, se observa que los dos epígrafes primeros se mueven dentro de los cauces característicos de una democracia representativa, mientras el tercero abre una vía excepcional más cercana a una democracia directa, sin que ello afecte a “la prioridad debida a los proyectos de ley”. Acierta pues la Sentencia al reconocer —FJ 2 a)— que la Constitución “diseña un sistema de participación política de los ciudadanos en el que priman los mecanismos de democracia representativa. No obstante, también la Constitución reconoce concretos instrumentos de democracia directa como es la iniciativa legislativa popular”. Intentar, sin embargo, derivar de ello prerrogativas peculiares, que lleguen a convertir lo excepcional en más relevante que las vías prioritarias, no parece razonable.</w:t>
      </w:r>
    </w:p>
    <w:p w:rsidR="0085709A" w:rsidRDefault="0085709A" w:rsidP="0085709A">
      <w:pPr>
        <w:pStyle w:val="TextoNormal"/>
      </w:pPr>
    </w:p>
    <w:p w:rsidR="0085709A" w:rsidRDefault="0085709A" w:rsidP="0085709A">
      <w:pPr>
        <w:pStyle w:val="TextoNormal"/>
      </w:pPr>
      <w:r>
        <w:t>No parece tenerlo del todo claro la Sentencia cuando apunta: “esta normativa permite concluir que, aunque no exista una superior legitimación de este tipo de iniciativas por su origen, sin embargo la especificidad que supone su configuración como un instrumento de democracia directa dentro del desarrollo de los mecanismos de democracia representativa de la función legislativa determina significativas peculiaridades respecto de la regulación dispensada a otro tipo de iniciativas legislativas” (FJ 4). Es preciso pues analizar el alcance esas “significativas peculiaridades”.</w:t>
      </w:r>
    </w:p>
    <w:p w:rsidR="0085709A" w:rsidRDefault="0085709A" w:rsidP="0085709A">
      <w:pPr>
        <w:pStyle w:val="TextoNormal"/>
      </w:pPr>
    </w:p>
    <w:p w:rsidR="0085709A" w:rsidRDefault="0085709A" w:rsidP="0085709A">
      <w:pPr>
        <w:pStyle w:val="TextoNormal"/>
      </w:pPr>
      <w:r>
        <w:t xml:space="preserve">La constatación de que una iniciativa legislativa cobra sentido, sea cual sea su resultado, al contribuir a “forzar el debate político y obligar a que los distintos Grupos de la Cámara y esta misma tengan que tomar expresa posición sobre un asunto o tema determinado” [STC 40/2003, de 27 de febrero, citada en el FJ 2 d)] no es obviamente privilegio de las que surgen de iniciativa popular. Tampoco lo es que, como consecuencia, los ciudadanos puedan así conocer “lo que sus representantes piensan sobre una determinada materia”, así como “extraer sus propias conclusiones acerca de cómo aquéllos asumen o se separan de lo manifestado en sus respectivos programas electorales” (STC 124/1995, de 18 de julio —citada </w:t>
      </w:r>
      <w:r w:rsidRPr="0085709A">
        <w:rPr>
          <w:i/>
        </w:rPr>
        <w:t>ibídem</w:t>
      </w:r>
      <w:r>
        <w:t>—). Deducir de ello que la Mesa del Parlamento de Cataluña ha producido “la vulneración del art. 23.1 CE aducida por los demandantes de amparo”, por haber realizado “una interpretación de la normativa que disciplina la iniciativa legislativa popular en Cataluña que ha impedido objetivamente la posibilidad de que se cumpla una de las finalidades que le es propia, como es la oportunidad de que los representantes políticos de la ciudadanía se pronunciaran sobre el contenido de la iniciativa”, al dar entrada a la prerrogativa gubernamental de evitar cualquier iniciativa que implique incremento de gasto, ni incide —a mi juicio— “en el núcleo esencial del art. 23.1 CE” (FFJJ 4 y 5 de la Sentencia), ni “ha supuesto una incidencia directa” (FJ 6), más de lo que pueda serlo el similar bloqueo, por idéntica razón, de cualquier enmienda parlamentaria.</w:t>
      </w:r>
    </w:p>
    <w:p w:rsidR="0085709A" w:rsidRDefault="0085709A" w:rsidP="0085709A">
      <w:pPr>
        <w:pStyle w:val="TextoNormal"/>
      </w:pPr>
    </w:p>
    <w:p w:rsidR="0085709A" w:rsidRDefault="0085709A" w:rsidP="0085709A">
      <w:pPr>
        <w:pStyle w:val="TextoNormal"/>
      </w:pPr>
      <w:r>
        <w:lastRenderedPageBreak/>
        <w:t>No menos dudosa me parece la tajante afirmación de que “La decisión de la Mesa de la Cámara respecto de la admisión de la iniciativa es un acto reglado que tiene por objeto comprobar que la iniciativa cumple con los requisitos de forma y que no tiene por objeto materias excluidas. En ese sentido, al igual que se ha afirmado respecto de otras funciones calificadoras de la Mesa, se trata de un control estrictamente normativo y no de oportunidad”.</w:t>
      </w:r>
    </w:p>
    <w:p w:rsidR="0085709A" w:rsidRDefault="0085709A" w:rsidP="0085709A">
      <w:pPr>
        <w:pStyle w:val="TextoNormal"/>
      </w:pPr>
    </w:p>
    <w:p w:rsidR="0085709A" w:rsidRDefault="0085709A" w:rsidP="0085709A">
      <w:pPr>
        <w:pStyle w:val="TextoNormal"/>
      </w:pPr>
      <w:r>
        <w:t>No he logrado encontrar en el Reglamento del Parlamento de Cataluña fundamento para afirmación de tanto alcance. Su artículo 29, al ocuparse de las funciones de la Mesa incluye entre otras: 3 a) “Adoptar las decisiones que requieren las tramitaciones parlamentarias, en caso de duda o de laguna reglamentaria”. d) “Calificar, de conformidad con el Reglamento, los escritos y los documentos de índole parlamentaria, y declarar su admisión o inadmisión a trámite”. No pienso que calificar y declarar la admisibilidad se consideren operaciones reiterativas, como parece insinuarse al atribuir a ambas una dimensión meramente formal —en el FJ 2 e) de la Sentencia—. j) “Cumplir cualquier otra función encomendada por el presente reglamento y las de carácter ejecutivo que no están atribuidas a ningún órgano específico”.</w:t>
      </w:r>
    </w:p>
    <w:p w:rsidR="0085709A" w:rsidRDefault="0085709A" w:rsidP="0085709A">
      <w:pPr>
        <w:pStyle w:val="TextoNormal"/>
      </w:pPr>
    </w:p>
    <w:p w:rsidR="0085709A" w:rsidRDefault="0085709A" w:rsidP="0085709A">
      <w:pPr>
        <w:pStyle w:val="TextoNormal"/>
      </w:pPr>
      <w:r>
        <w:t>Esta última referencia permite considerar función de la Mesa todo aspecto necesitado de regulación que no se atribuya a otro órgano parlamentario. La afirmación de la Sentencia —FJ 5 (iii)— de que “Serán ya otros órganos de la Cámara los que, en las distintas fases de ese devenir parlamentario, decidan lo que estime (</w:t>
      </w:r>
      <w:r w:rsidRPr="0085709A">
        <w:rPr>
          <w:i/>
        </w:rPr>
        <w:t>sic</w:t>
      </w:r>
      <w:r>
        <w:t>) pertinente” se cuida mucho de dar pistas sobre a qué órgano puede estar refiriéndose. En todo caso, eliminar drásticamente de las funciones de la Mesa el control de elementos del contenido material de las iniciativas llevaría, en caso contrario, a situaciones pintorescas.</w:t>
      </w:r>
    </w:p>
    <w:p w:rsidR="0085709A" w:rsidRDefault="0085709A" w:rsidP="0085709A">
      <w:pPr>
        <w:pStyle w:val="TextoNormal"/>
      </w:pPr>
    </w:p>
    <w:p w:rsidR="0085709A" w:rsidRDefault="0085709A" w:rsidP="0085709A">
      <w:pPr>
        <w:pStyle w:val="TextoNormal"/>
      </w:pPr>
      <w:r>
        <w:t>3. El Gobierno, por su parte, es —como se ha visto— el principal promotor primario de iniciativas legislativas, como reflejo del art. 88 CE: “Los proyectos de ley serán aprobados en Consejo de Ministros”, sin perjuicio de que las proposiciones de ley emanadas de los grupos parlamentarios —cuya “tramitación se regulará por los Reglamentos de las Cámaras” (art. 89 CE)—, o las promovidas por iniciativa popular, puedan, en su caso, convertirse en proyectos de ley. El Reglamento del Parlamento de Cataluña recoge igualmente ese papel prioritario en su artículo 100: “La iniciativa legislativa corresponde: a) Al Gobierno, que la ejerce mediante la presentación de un proyecto de ley”.</w:t>
      </w:r>
    </w:p>
    <w:p w:rsidR="0085709A" w:rsidRDefault="0085709A" w:rsidP="0085709A">
      <w:pPr>
        <w:pStyle w:val="TextoNormal"/>
      </w:pPr>
    </w:p>
    <w:p w:rsidR="0085709A" w:rsidRDefault="0085709A" w:rsidP="0085709A">
      <w:pPr>
        <w:pStyle w:val="TextoNormal"/>
      </w:pPr>
      <w:r>
        <w:t>Gozará igualmente el Gobierno, dentro del procedimiento parlamentario, de la ya citada prerrogativa. La versión del artículo 102 del Reglamento indica, entre otras cuestiones: 2. “Si la Mesa del Parlamento considera que una proposición de ley puede implicar un aumento de créditos o una disminución de ingresos, debe solicitar la conformidad previa del Gobierno para su admisión a trámite. La respuesta del Gobierno ha de ser motivada y debe hacerse dentro del plazo de ocho días desde que le ha sido remitida la proposición de ley, una vez transcurridos los cuales el silencio debe entenderse como conformidad. El Gobierno no puede denegar la conformidad a una tramitación si los efectos económicos que pueden derivar de esta han sido expresamente pospuestos para otro ejercicio presupuestario”. 3. “Si no es consultado en la forma establecida por el apartado 2, el Gobierno puede manifestar de forma motivada su disconformidad por razones presupuestarias con la tramitación de una proposición de ley hasta dos días antes del inicio del debate de totalidad, y corresponde a la Mesa del Parlamento adoptar la decisión definitiva sobre su admisión a trámite”.</w:t>
      </w:r>
    </w:p>
    <w:p w:rsidR="0085709A" w:rsidRDefault="0085709A" w:rsidP="0085709A">
      <w:pPr>
        <w:pStyle w:val="TextoNormal"/>
      </w:pPr>
    </w:p>
    <w:p w:rsidR="0085709A" w:rsidRDefault="0085709A" w:rsidP="0085709A">
      <w:pPr>
        <w:pStyle w:val="TextoNormal"/>
      </w:pPr>
      <w:r>
        <w:t>4. Hay por tanto dos factores que están llamados a coexistir: los procedimientos legislativos reflejados en los reglamentos parlamentarios y la posible intervención del Gobierno en dichos cauces —en ejercicio de su responsabilidad de control del gasto presupuestado— analizando iniciativas o bloqueando enmiendas. Argumentar que esa intervención es improcedente, porque entre las “causas de inadmisibilidad de proposiciones de ley” de la ley catalana que regulaba las iniciativas populares “no aparece una eventual oposición del Gobierno a su tramitación por motivos presupuestarios” —FFJJ 4 y 5 (ii) de la Sentencia— ignora esa neta realidad. Se reiterará en el fundamento jurídico 5(ii</w:t>
      </w:r>
      <w:r w:rsidRPr="0085709A">
        <w:rPr>
          <w:i/>
        </w:rPr>
        <w:t>) in fi</w:t>
      </w:r>
      <w:r>
        <w:t>ne.</w:t>
      </w:r>
    </w:p>
    <w:p w:rsidR="0085709A" w:rsidRDefault="0085709A" w:rsidP="0085709A">
      <w:pPr>
        <w:pStyle w:val="TextoNormal"/>
      </w:pPr>
    </w:p>
    <w:p w:rsidR="0085709A" w:rsidRDefault="0085709A" w:rsidP="0085709A">
      <w:pPr>
        <w:pStyle w:val="TextoNormal"/>
      </w:pPr>
      <w:r>
        <w:t>Resulta, como consecuencia, dudoso que pueda aceptarse el argumento de los recurrentes de que “la decisión de la Mesa carece de cobertura legal ya que se adoptó extemporáneamente en virtud de una intervención del Gobierno cuando la iniciativa legislativa popular ya había sido admitida a trámite” —recogida en el fundamento jurídico 1 de la Sentencia y reiterada en el FJ 3 d)—. Es obvio que, si una ley no fija lo contrario, la intervención del Gobierno puede producirse en cualquier momento de la tramitación parlamentaria, como refleja el citado artículo 102 del Reglamento. Así parece reconocerlo la misma Sentencia líneas después, en una de sus abundantes citas: “En la medida en que así esté previsto normativamente, resulta posible que la Mesa de una Cámara, tras una inicial decisión de admisión a trámite de una propuesta legislativa, deje sin efecto la misma cuando el Gobierno ejerza una potestad de oposición vinculada a razones de impacto presupuestario de la iniciativa. Además, por afectar a las relaciones Parlamento-Gobierno, en esos casos el control que debe ejercer por este Tribunal en vía de amparo debe ser de una menor intensidad” [STC 242/2006, de 24 de julio —citada en el FJ 2 f)—]. Sin embargo, no parece haber sido el caso, ya que la Sentencia acabará afirmando que “la interrupción del procedimiento de recogida de firmas con el argumento de la existencia de un veto presupuestario el Gobierno carece de cobertura legal, ya que (i) se adoptó en un momento inadecuado, (ii) con fundamento en un hecho que no está configurado normativamente como causa de inadmisión de este tipo de proposiciones de ley, y (iii) por la Mesa del Parlamento que carece de competencia para ello”; por lo que “Esta decisión material de inadmisión resulta extemporánea” (FJ 5). Por si no queda clara su postura, afirmará más abajo, que “los efectos que cabe derivar” de la intervención gubernamental no resultan “de aplicación para un tipo de iniciativa que, por sus peculiares características, ha recibido una específica y singular regulación por el legislador que, por respeto al contenido esencial del art. 23.1 CE, con el que se conecta, ha omitido cualquier posibilidad de que esa falta de conformidad se alce como un obstáculo para que los representantes políticos se pronuncien sobre aspectos que han conciliado una iniciativa respaldada por un número no despreciable de ciudadanos” —FJ 5 (ii)—. Existe pues la “superior legitimación de este tipo de iniciativas” que antes se había intentado negar.</w:t>
      </w:r>
    </w:p>
    <w:p w:rsidR="0085709A" w:rsidRDefault="0085709A" w:rsidP="0085709A">
      <w:pPr>
        <w:pStyle w:val="TextoNormal"/>
      </w:pPr>
    </w:p>
    <w:p w:rsidR="0085709A" w:rsidRDefault="0085709A" w:rsidP="0085709A">
      <w:pPr>
        <w:pStyle w:val="TextoNormal"/>
      </w:pPr>
      <w:r>
        <w:t xml:space="preserve">Esta última alusión de la Sentencia se refiere a la posterior modificación introducida por la Ley catalana 7/2014, que incluye una disposición adicional tercera en la que regula la ya citada de iniciativa legislativa popular —FJ 5 (ii)—. El hecho de que establezca esta nueva regla, según la cual tales iniciativas se considerarán referidas al año siguiente, cuando no quepa atribuirles cobertura presupuestaria en el año en curso, es en realidad un argumento en contra de tal planteamiento. No hace sino confirmar que la interpretación de la versión anterior, que es la aquí relevante, era tan obvia que ha obligado a una reforma legislativa para poder descartarla: el Gobierno, como hemos visto en el Reglamento parlamentario, </w:t>
      </w:r>
      <w:r>
        <w:lastRenderedPageBreak/>
        <w:t>podía frenar la iniciativa legislativa por incremento de gasto, si no se había aplazado expresamente su entrada en juego, como ocurría en el caso que nos ocupa.</w:t>
      </w:r>
    </w:p>
    <w:p w:rsidR="0085709A" w:rsidRDefault="0085709A" w:rsidP="0085709A">
      <w:pPr>
        <w:pStyle w:val="TextoNormal"/>
      </w:pPr>
    </w:p>
    <w:p w:rsidR="0085709A" w:rsidRDefault="0085709A" w:rsidP="0085709A">
      <w:pPr>
        <w:pStyle w:val="TextoNormal"/>
      </w:pPr>
      <w:r>
        <w:t>La reforma obliga además a la Mesa a recabar del Gobierno su intervención, positiva o negativa, fundada en motivos presupuestarios; con ello evita también la no menos obvia interpretación anterior también ignorada por la Sentencia: que, sin tal solicitud, la intervención del Gobierno podía producirse en cualquier momento, hasta dos días antes del debate parlamentario de la proposición. La nueva disposición adicional de la Ley catalana 1/2006 establece: 1. “Si la proposición de ley puede implicar un aumento de créditos o una disminución de ingresos con relación al presupuesto vigente en el momento de su tramitación parlamentaria, la ley resultante de la iniciativa legislativa popular no puede entrar en vigor, en la parte que comporte dicha afectación presupuestaria, hasta el ejercicio presupuestario siguiente o, si procede, hasta otro posterior, si así lo determina la propia proposición de ley”. Se evita así su paralización si los promotores no habían aplazado expresamente su entrada en vigor. La remisión desde la Mesa al Gobierno se configura de modo más preciso: 2. “A los efectos de lo establecido por el apartado 1, la Mesa del Parlamento ha de enviar la iniciativa legislativa popular al Gobierno para que se posicione sobre sus efectos económicos en el plazo de ocho días”. Para lograr el efecto indicado, se concluye: 3. “Si el Gobierno considera que se produce afectación presupuestaria, la Mesa del Parlamento ha de admitir a trámite la proposición de ley en los términos establecidos por el apartado 1. Si el Gobierno no se pronuncia en el plazo de ocho días, el silencio se entiende en el sentido de que no existe afectación presupuestaria”.</w:t>
      </w:r>
    </w:p>
    <w:p w:rsidR="0085709A" w:rsidRDefault="0085709A" w:rsidP="0085709A">
      <w:pPr>
        <w:pStyle w:val="TextoNormal"/>
      </w:pPr>
    </w:p>
    <w:p w:rsidR="0085709A" w:rsidRDefault="0085709A" w:rsidP="0085709A">
      <w:pPr>
        <w:pStyle w:val="TextoNormal"/>
      </w:pPr>
      <w:r>
        <w:t>De lo expuesto es fácil colegir que no puedo compartir la afirmación de la Sentencia en su fundamento jurídico 5 (iii): “Esta decisión de inadmisión, fundada en la falta de conformidad presupuestaria del Gobierno, ha sido acordada por la Mesa del Parlamento cuando por tratarse de una razón material cuya valoración no le está expresamente atribuida no contaba con competencia para ello”. No tendría tampoco fundamento afirmar que “el veto presupuestario” del Gobierno “se adoptó en un momento inadecuado” —</w:t>
      </w:r>
      <w:r w:rsidRPr="0085709A">
        <w:rPr>
          <w:i/>
        </w:rPr>
        <w:t>ibídem</w:t>
      </w:r>
      <w:r>
        <w:t xml:space="preserve"> (i)— ya que, antes de la nueva disposición adicional, podía adoptarse en cualquier momento hasta dos días antes de su deliberación.</w:t>
      </w:r>
    </w:p>
    <w:p w:rsidR="0085709A" w:rsidRDefault="0085709A" w:rsidP="0085709A">
      <w:pPr>
        <w:pStyle w:val="TextoNormal"/>
      </w:pPr>
    </w:p>
    <w:p w:rsidR="0085709A" w:rsidRDefault="0085709A" w:rsidP="0085709A">
      <w:pPr>
        <w:pStyle w:val="TextoNormal"/>
      </w:pPr>
      <w:r>
        <w:t>5. Se ha convertido ya en tópico recordar que el Tribunal no ha de erigirse en legislador, invadiendo terreno ajeno. Me temo que puede haber ocurrido cuando la Sentencia —FJ 5 (i)— pretende encajar todo lo apuntado en un problema meramente cronológico, que convertiría en extemporáneo el envío de la proposición de ley por la Mesa al Gobierno. La iniciativa legislativa popular no se convertiría en proposición de ley hasta que la Mesa del Parlamento, recogidas las 50.000 firmas previstas en la ley catalana, la calificara como tal. Queda fuera duda que la Constitución no sugiere nada parecido, como tampoco lo tuvo en mente el legislador catalán. Valga acudir a más de un artículo de la Ley 1/2006, de 16 de febrero, de la iniciativa legislativa popular. Ya en la solicitud que inicia su ejercicio, antes de calificación alguna el artículo 3 exige “la presentación en la Mesa del Parlamento de una proposición de ley”. Igualmente, al desarrollar la “Solicitud de Admisión”, el artículo 5 exige entre otros documentos: “a) El texto articulado de la proposición de ley, precedido de una exposición de motivos. b) Una memoria explicativa de las razones que aconsejan, según el parecer de las personas firmantes, la tramitación y aprobación de la proposición de ley por el Parlamento”. Siguiendo los trámites, antes de calificación alguna, el artículo 6.1 es</w:t>
      </w:r>
      <w:r>
        <w:lastRenderedPageBreak/>
        <w:t>tablece que “La Mesa del Parlamento debe examinar la documentación recibida y debe pronunciarse de forma motivada en el plazo de quince días hábiles sobre la admisión o la inadmisión a trámite de la proposición de ley”, mientras el epígrafe 2 se ocupa de las “causas de inadmisibilidad de la proposición de ley”, denominación que se reitera en su apartado b). Solo en el epígrafe 5, tras subsanar posibles irregularidades enmendables, “La Mesa del Parlamento debe notificar la resolución sobre la admisión o inadmisión de la proposición de ley a la comisión promotora” Ni que decir tiene que la norma legal podría modificarse y justificar así la hipótesis propuesta, pero no es este Tribunal quien deba hacerlo.</w:t>
      </w:r>
    </w:p>
    <w:p w:rsidR="0085709A" w:rsidRDefault="0085709A" w:rsidP="0085709A">
      <w:pPr>
        <w:pStyle w:val="TextoNormal"/>
      </w:pPr>
    </w:p>
    <w:p w:rsidR="0085709A" w:rsidRDefault="0085709A" w:rsidP="0085709A">
      <w:pPr>
        <w:pStyle w:val="TextoNormal"/>
      </w:pPr>
      <w:r>
        <w:t>Partiendo de estas reflexiones, me veo obligado a emitir mi Voto particular.</w:t>
      </w:r>
    </w:p>
    <w:p w:rsidR="0085709A" w:rsidRDefault="0085709A" w:rsidP="0085709A">
      <w:pPr>
        <w:pStyle w:val="TextoNormal"/>
      </w:pPr>
    </w:p>
    <w:p w:rsidR="0085709A" w:rsidRDefault="0085709A" w:rsidP="0085709A">
      <w:pPr>
        <w:pStyle w:val="TextoNormal"/>
      </w:pPr>
      <w:r>
        <w:t>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3" w:name="SENTENCIA_2015_20"/>
      <w:r>
        <w:lastRenderedPageBreak/>
        <w:t>SENTENCIA 20/2015, de 16 de febrero de 2015</w:t>
      </w:r>
    </w:p>
    <w:bookmarkEnd w:id="23"/>
    <w:p w:rsidR="0085709A" w:rsidRDefault="0085709A" w:rsidP="0085709A">
      <w:pPr>
        <w:pStyle w:val="TtuloResolucin"/>
      </w:pPr>
      <w:r>
        <w:t>Sala Segunda</w:t>
      </w:r>
    </w:p>
    <w:p w:rsidR="0085709A" w:rsidRDefault="0085709A" w:rsidP="0085709A">
      <w:pPr>
        <w:pStyle w:val="TtuloBOE"/>
      </w:pPr>
      <w:r>
        <w:t>(BOE núm. 64, de 16 de marzo de 2015)</w:t>
      </w:r>
    </w:p>
    <w:p w:rsidR="0085709A" w:rsidRDefault="0085709A" w:rsidP="0085709A">
      <w:pPr>
        <w:pStyle w:val="TextoNormalCentrado"/>
      </w:pPr>
      <w:r>
        <w:t>ECLI:ES:TC:2015:20</w:t>
      </w:r>
    </w:p>
    <w:p w:rsidR="0085709A" w:rsidRDefault="0085709A" w:rsidP="0085709A">
      <w:pPr>
        <w:pStyle w:val="TextoNormalCentrado"/>
      </w:pPr>
    </w:p>
    <w:p w:rsidR="0085709A" w:rsidRDefault="0085709A" w:rsidP="0085709A">
      <w:pPr>
        <w:pStyle w:val="SntesisDescriptiva"/>
      </w:pPr>
      <w:r>
        <w:t>Recurso de amparo 5479-2012. Promovido por Majanicho Club, S.L., en relación con el Auto de la Sala de lo Contencioso-Administrativo del Tribunal Supremo que inadmitió su recurso de casación frente a Sentencia de la Audiencia Nacional sobre liquidación del impuesto de sociedades.</w:t>
      </w:r>
    </w:p>
    <w:p w:rsidR="0085709A" w:rsidRDefault="0085709A" w:rsidP="0085709A">
      <w:pPr>
        <w:pStyle w:val="SntesisDescriptiva"/>
      </w:pPr>
    </w:p>
    <w:p w:rsidR="0085709A" w:rsidRDefault="0085709A" w:rsidP="0085709A">
      <w:pPr>
        <w:pStyle w:val="SntesisAnaltica"/>
      </w:pPr>
      <w:r>
        <w:t>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p>
    <w:p w:rsidR="0085709A" w:rsidRDefault="0085709A" w:rsidP="0085709A">
      <w:pPr>
        <w:pStyle w:val="SntesisAnaltica"/>
      </w:pPr>
    </w:p>
    <w:p w:rsidR="0085709A" w:rsidRDefault="0085709A" w:rsidP="0085709A">
      <w:pPr>
        <w:pStyle w:val="Extracto"/>
      </w:pPr>
      <w:r>
        <w:t>1.</w:t>
      </w:r>
      <w:r>
        <w:tab/>
        <w:t>Las invocaciones constitucionales en que se fundamenta este recurso ya han sido objeto de análisis por el Pleno de este Tribunal en la STC 7/2015 [FJ 2].</w:t>
      </w:r>
    </w:p>
    <w:p w:rsidR="0085709A" w:rsidRDefault="0085709A" w:rsidP="0085709A">
      <w:pPr>
        <w:pStyle w:val="Extracto"/>
      </w:pPr>
    </w:p>
    <w:p w:rsidR="0085709A" w:rsidRDefault="0085709A" w:rsidP="0085709A">
      <w:pPr>
        <w:pStyle w:val="Extracto"/>
      </w:pPr>
      <w:r>
        <w:t>2.</w:t>
      </w:r>
      <w:r>
        <w:tab/>
        <w:t>Se descarta la lesión del derecho a la igualdad en la aplicación de la ley, dado que se cumple con los requisitos exigidos por la jurisprudencia constitucional, en tanto que la alteración doctrinal se caracteriza por su abstracción y generalidad y se razona explícitamente, justificándose a partir de la finalidad que debe cumplir el escrito de preparación del recurso de casación [FJ 2].</w:t>
      </w:r>
    </w:p>
    <w:p w:rsidR="0085709A" w:rsidRDefault="0085709A" w:rsidP="0085709A">
      <w:pPr>
        <w:pStyle w:val="Extracto"/>
      </w:pPr>
    </w:p>
    <w:p w:rsidR="0085709A" w:rsidRDefault="0085709A" w:rsidP="0085709A">
      <w:pPr>
        <w:pStyle w:val="Extracto"/>
      </w:pPr>
      <w:r>
        <w:t>3.</w:t>
      </w:r>
      <w:r>
        <w:tab/>
        <w:t>Vulneró el derecho a la tutela judicial efectiva la decisión de inadmisión impugnada que no tomó en consideración que la exigencia del requisito controvertido no era conocido ni predecible para la parte recurrente en el momento en que se presentó el escrito de preparación, intentándose asimismo su subsanación mediante la presentación de un escrito complementario de conformidad con las nuevas exigencias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número 5479-2012, promovido por la mercantil Majanicho Club S.L., representada por la Procuradora de los Tribunales doña Carmen Palomares Quesada y asistida por la Abogada doña Esther Zamarriego Santiago, contra el Auto de la Sección Primera de la Sala de lo Contencioso-Administrativo del Tribunal Supremo de 9 de febrero </w:t>
      </w:r>
      <w:r>
        <w:lastRenderedPageBreak/>
        <w:t>de 2012, que declaró la inadmisión del recurso de casación núm. 1370-2011, y contra la providencia de 2 de julio de 2012 que inadmitió a trámite el incidente de nulidad de actuaciones promovido contra aquel. Ha comparecido el Abogado del Estado, en la representación que ostenta, y ha intervenido el Ministerio Fiscal.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28 de septiembre de 2012, doña Carmen Palomares Quesada, Procuradora de los Tribunales, actuando en nombre y representación de la mercantil Majanicho Club, S.L.,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en síntesis, los siguientes:</w:t>
      </w:r>
    </w:p>
    <w:p w:rsidR="0085709A" w:rsidRDefault="0085709A" w:rsidP="0085709A">
      <w:pPr>
        <w:pStyle w:val="TextoNormal"/>
      </w:pPr>
    </w:p>
    <w:p w:rsidR="0085709A" w:rsidRDefault="0085709A" w:rsidP="0085709A">
      <w:pPr>
        <w:pStyle w:val="TextoNormal"/>
      </w:pPr>
      <w:r>
        <w:t>a) La demandante de amparo interpuso recurso contencioso-administrativo contra la resolución de 25 de octubre de 2007 del Tribunal Económico-Administrativo Central, desestimatoria de la reclamación presentada en relación con la liquidación del impuesto de sociedades correspondiente a los ejercicios 1996, 1997, 1998 y 1999.</w:t>
      </w:r>
    </w:p>
    <w:p w:rsidR="0085709A" w:rsidRDefault="0085709A" w:rsidP="0085709A">
      <w:pPr>
        <w:pStyle w:val="TextoNormal"/>
      </w:pPr>
    </w:p>
    <w:p w:rsidR="0085709A" w:rsidRDefault="0085709A" w:rsidP="0085709A">
      <w:pPr>
        <w:pStyle w:val="TextoNormal"/>
      </w:pPr>
      <w:r>
        <w:t>b) En el seno del procedimiento ordinario núm. 10-2008, la Sala de lo Contencioso-Administrativo de la Audiencia Nacional (Sección Segunda) dictó el 19 de enero de 2011 Sentencia desestimatoria, que fue notificada a las partes con la indicación de que contra la misma cabía recurso de casación ante el Tribunal Supremo.</w:t>
      </w:r>
    </w:p>
    <w:p w:rsidR="0085709A" w:rsidRDefault="0085709A" w:rsidP="0085709A">
      <w:pPr>
        <w:pStyle w:val="TextoNormal"/>
      </w:pPr>
    </w:p>
    <w:p w:rsidR="0085709A" w:rsidRDefault="0085709A" w:rsidP="0085709A">
      <w:pPr>
        <w:pStyle w:val="TextoNormal"/>
      </w:pPr>
      <w:r>
        <w:t>c) La sociedad demandante preparó recurso de casación mediante escrito registrado en la Audiencia Nacional el 11 de febrero de 2011, en el que puso de manifiesto su intención de interponerlo, la legitimación de la parte recurrente, el cumplimiento del plazo y el carácter recurrible de la resolución impugnada; a ello añadió la precisión de que el recurso iba a fundarse en el motivo previsto en el art. 88.1 d) de la Ley reguladora de la jurisdicción contencioso-administrativa (LJCA). El recurso fue tenido por preparado por diligencia de ordenación de la Sala de lo Contencioso-Administrativo de la Audiencia Nacional de 17 de febrero de 2011.</w:t>
      </w:r>
    </w:p>
    <w:p w:rsidR="0085709A" w:rsidRDefault="0085709A" w:rsidP="0085709A">
      <w:pPr>
        <w:pStyle w:val="TextoNormal"/>
      </w:pPr>
    </w:p>
    <w:p w:rsidR="0085709A" w:rsidRDefault="0085709A" w:rsidP="0085709A">
      <w:pPr>
        <w:pStyle w:val="TextoNormal"/>
      </w:pPr>
      <w:r>
        <w:t>d) El 6 de abril de 2011 la actora interpuso el recurso de casación ante el Tribunal Supremo, que fue registrado con el número 1370-2011. Mediante providencia de 13 de abril de 2011, la Sala de lo Contencioso-Administrativo del Tribunal Supremo (Sección Primera) tuvo por interpuesto el recurso de casación.</w:t>
      </w:r>
    </w:p>
    <w:p w:rsidR="0085709A" w:rsidRDefault="0085709A" w:rsidP="0085709A">
      <w:pPr>
        <w:pStyle w:val="TextoNormal"/>
      </w:pPr>
    </w:p>
    <w:p w:rsidR="0085709A" w:rsidRDefault="0085709A" w:rsidP="0085709A">
      <w:pPr>
        <w:pStyle w:val="TextoNormal"/>
      </w:pPr>
      <w:r>
        <w:t>e) Mediante providencia de 3 de octubre de 2011, la Sala puso de manifiesto a las partes, a efectos de que formularan alegaciones en el plazo de diez días, la posible concurrencia de una causa de inadmisión consistente en “no haberse hecho indicación en el escrito de preparación del recurso de las concretas infracciones normativas y jurisprudenciales que se desarrollarán en el escrito de interposición”.</w:t>
      </w:r>
    </w:p>
    <w:p w:rsidR="0085709A" w:rsidRDefault="0085709A" w:rsidP="0085709A">
      <w:pPr>
        <w:pStyle w:val="TextoNormal"/>
      </w:pPr>
    </w:p>
    <w:p w:rsidR="0085709A" w:rsidRDefault="0085709A" w:rsidP="0085709A">
      <w:pPr>
        <w:pStyle w:val="TextoNormal"/>
      </w:pPr>
      <w:r>
        <w:t xml:space="preserve">f) En cumplimiento de este trámite, el Abogado del Estado, en escrito registrado el 24 de octubre de 2011, solicitó la inadmisión del recurso de casación. En esa misma fecha, la </w:t>
      </w:r>
      <w:r>
        <w:lastRenderedPageBreak/>
        <w:t>demandante presentó alegaciones ante la Sala de lo Contencioso-Administrativo del Tribunal Supremo poniendo de manifiesto: (i) que la causa de inadmisión indicada en la providencia estaba legalmente prevista para el trámite de interposición del recurso de casación, no para el de preparación, (ii) que era de aplicación la doctrina mantenida en la STS de 30 de marzo de 2011, dictada por la Sección Segunda de la Sala y en la que no se exigió la cita de las normas o la jurisprudencia que se reputaban infringidas, y (iii) que, en cualquier caso, debía estimarse que el requisito supuestamente incumplido era de naturaleza subsanable, por lo que debía darse a la recurrente la oportunidad de adecuarse al mismo. A estos efectos, la demandante de amparo acompañó sus alegaciones de un segundo escrito destinado a “adecuar” la preparación del recurso de casación a las nuevas exigencias de forma.</w:t>
      </w:r>
    </w:p>
    <w:p w:rsidR="0085709A" w:rsidRDefault="0085709A" w:rsidP="0085709A">
      <w:pPr>
        <w:pStyle w:val="TextoNormal"/>
      </w:pPr>
    </w:p>
    <w:p w:rsidR="0085709A" w:rsidRDefault="0085709A" w:rsidP="0085709A">
      <w:pPr>
        <w:pStyle w:val="TextoNormal"/>
      </w:pPr>
      <w:r>
        <w:t>g) Por Auto de 9 de febrero de 2012 la Sala Tercera del Tribunal Supremo (Sección Primera) declaró la inadmisión del recurso de casación. Esta resolución se remite al ATS de 10 de febrero de 2011, del que transcribe varios de sus fundamentos, a la vista de los cuales concluye que, al no contener el escrito de preparación del recurso la cita de las infracciones normativas o jurisprudenciales, procede la inadmisión del mismo. En la referida resolución, la Sala responde a las alegaciones formuladas por Majanicho Club, S.L., argumentando: (i) que la exigencia de cita de las infracciones normativas o jurisprudenciales que se estiman infringidas responde a una concepción de la fase de preparación como trámite con sustantividad propia —que no constituye un mero formalismo carente de trascendencia y persigue garantizar que la parte recurrida cuente desde un principio con la información necesaria para adoptar la posición procesal que estime pertinente—; (ii) que el cambio de criterio interpretativo operado por el Auto de 10 de febrero de 2011 culmina una evolución jurisprudencial tendente a hacer efectiva esa concepción del trámite de preparación del recurso, lo que es perfectamente compatible con el carácter dinámico y adaptativo de la jurisprudencia, que ha de ajustarse a las nuevas realidades en las que se desenvuelven las relaciones jurídicas, y (iii) que la aplicación del nuevo criterio a todas las situaciones jurídicas pendientes de resolver, con independencia de la fecha de presentación del escrito de preparación, obedece al “mínimo efecto retroactivo” que es consustancial a todo cambio jurisprudencial.</w:t>
      </w:r>
    </w:p>
    <w:p w:rsidR="0085709A" w:rsidRDefault="0085709A" w:rsidP="0085709A">
      <w:pPr>
        <w:pStyle w:val="TextoNormal"/>
      </w:pPr>
    </w:p>
    <w:p w:rsidR="0085709A" w:rsidRDefault="0085709A" w:rsidP="0085709A">
      <w:pPr>
        <w:pStyle w:val="TextoNormal"/>
      </w:pPr>
      <w:r>
        <w:t>h) El 3 de abril de 2012 la sociedad demandante de amparo promovió incidente de nulidad de actuaciones en el que alegó la vulneración del derecho a la igualdad en la aplicación judicial de la ley (art. 14 CE) y del derecho a la tutela judicial efectiva en su vertiente de acceso a los recursos (art. 24.1 CE) en relación con el principio de seguridad jurídica contenido en el art. 9.1 CE. Denunció, en resumen, que el Tribunal Supremo había modificado de manera arbitraria, sin motivación y sin vocación de permanencia, su jurisprudencia sobre los requisitos del escrito de preparación del recurso de casación contra sentencias dictadas por la Audiencia Nacional, exigiendo uno no contemplado en la Ley y aplicándolo a escritos presentados con anterioridad a la adopción del nuevo criterio, vulnerando también la doctrina del Tribunal Constitucional en materia de subsanación de defectos procesales y causando indefensión a la parte.</w:t>
      </w:r>
    </w:p>
    <w:p w:rsidR="0085709A" w:rsidRDefault="0085709A" w:rsidP="0085709A">
      <w:pPr>
        <w:pStyle w:val="TextoNormal"/>
      </w:pPr>
    </w:p>
    <w:p w:rsidR="0085709A" w:rsidRDefault="0085709A" w:rsidP="0085709A">
      <w:pPr>
        <w:pStyle w:val="TextoNormal"/>
      </w:pPr>
      <w:r>
        <w:t>i) Por providencia de 2 de julio de 2012 fue inadmitido a trámite el incidente de nulidad de actuaciones promovido contra el Auto de 9 de febrero de 2012.</w:t>
      </w:r>
    </w:p>
    <w:p w:rsidR="0085709A" w:rsidRDefault="0085709A" w:rsidP="0085709A">
      <w:pPr>
        <w:pStyle w:val="TextoNormal"/>
      </w:pPr>
    </w:p>
    <w:p w:rsidR="0085709A" w:rsidRDefault="0085709A" w:rsidP="0085709A">
      <w:pPr>
        <w:pStyle w:val="TextoNormal"/>
      </w:pPr>
      <w:r w:rsidRPr="0085709A">
        <w:rPr>
          <w:rStyle w:val="NumeroAFNegritaCaracter"/>
        </w:rPr>
        <w:t>3</w:t>
      </w:r>
      <w:r>
        <w:t>. . El escrito de demanda de la recurrente contiene las alegaciones que se resumen a continuación:</w:t>
      </w:r>
    </w:p>
    <w:p w:rsidR="0085709A" w:rsidRDefault="0085709A" w:rsidP="0085709A">
      <w:pPr>
        <w:pStyle w:val="TextoNormal"/>
      </w:pPr>
    </w:p>
    <w:p w:rsidR="0085709A" w:rsidRDefault="0085709A" w:rsidP="0085709A">
      <w:pPr>
        <w:pStyle w:val="TextoNormal"/>
      </w:pPr>
      <w:r>
        <w:lastRenderedPageBreak/>
        <w:t>a) La recurrente estima que el Auto de 9 de febrero de 2012 ha vulnerado su derecho a la tutela judicial efectiva (art. 24.1 CE), en su vertiente de acceso a los recursos. Según afirma la actora, la anticipación al trámite de preparación de la cita de los concretos preceptos o la jurisprudencia que se reputan infringidos carece de cobertura en la Ley reguladora de la jurisdicción contencioso-administrativa, que sólo exige este requisito en el supuesto concreto del art. 89.2 LJCA, relativo a la impugnación de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Por esa razón, el art. 93.2 b) LJCA prevé una causa de inadmisión específica en el marco del trámite de interposición.</w:t>
      </w:r>
    </w:p>
    <w:p w:rsidR="0085709A" w:rsidRDefault="0085709A" w:rsidP="0085709A">
      <w:pPr>
        <w:pStyle w:val="TextoNormal"/>
      </w:pPr>
    </w:p>
    <w:p w:rsidR="0085709A" w:rsidRDefault="0085709A" w:rsidP="0085709A">
      <w:pPr>
        <w:pStyle w:val="TextoNormal"/>
      </w:pPr>
      <w:r>
        <w:t>b) El cambio de criterio del Tribunal Supremo operado a partir del ATS de 10 de febrero de 2011, no sólo se aparta, sin motivación alguna, de esa comprensión natural de los preceptos aplicables, sino también de la jurisprudencia anterior, que, según explica la recurrente, había quedado fijada con vocación de permanencia en los AATS de 14 de octubre y de 18 de noviembre de 2010. Esta última resolución ya había clarificado con carácter definitivo los requisitos necesarios para la preparación del recurso de casación. No había razón alguna, ni mucho menos controversia interpretativa dentro de la propia Sala de lo Contencioso-Administrativo del Tribunal Supremo, que exigiera clarificar “aún más” lo que ya había sido clarificado meses antes. Es más, la forma empleada para “clarificar aún más” lo ya clarificado revela, en opinión de la recurrente, la arbitrariedad del cambio interpretativo operado, pues el Auto de 10 de febrero de 2011 se limitó a copiar, en uno de sus fundamentos jurídicos, el texto del anterior de 18 de noviembre de 2010, intercalando —dentro de la literalidad de su párrafo principal— la nueva exigencia de forma, sin incluir una motivación específica en relación con la misma.</w:t>
      </w:r>
    </w:p>
    <w:p w:rsidR="0085709A" w:rsidRDefault="0085709A" w:rsidP="0085709A">
      <w:pPr>
        <w:pStyle w:val="TextoNormal"/>
      </w:pPr>
    </w:p>
    <w:p w:rsidR="0085709A" w:rsidRDefault="0085709A" w:rsidP="0085709A">
      <w:pPr>
        <w:pStyle w:val="TextoNormal"/>
      </w:pPr>
      <w:r>
        <w:t xml:space="preserve">c) La recurrente también considera que la vulneración del derecho a la tutela judicial efectiva (art. 24.1 CE), en su vertiente de acceso a los recursos, deriva de la aplicación retroactiva del nuevo requisito de forma, que no era conocido ni predecible a tenor de la jurisprudencia precedente. En su opinión, no puede entenderse que se trate de un supuesto de “mínimo efecto retroactivo”, pues éste sólo puede producirse cuando los cambios de interpretación están dentro del tenor literal posible de la norma interpretada. En el caso que nos ocupa, el requisito no sólo no viene recogido en la ley sino que está expresamente previsto para un trámite posterior. Nunca sería, por tanto, un caso permitido de retroactividad. Se trata, más bien, de una exigencia </w:t>
      </w:r>
      <w:r w:rsidRPr="0085709A">
        <w:rPr>
          <w:i/>
        </w:rPr>
        <w:t>ex novo</w:t>
      </w:r>
      <w:r>
        <w:t>, producto exclusivo de la voluntad del Tribunal Supremo, que contraviene los principios de seguridad jurídica, buena fe y confianza legítima y genera una absoluta indefensión.</w:t>
      </w:r>
    </w:p>
    <w:p w:rsidR="0085709A" w:rsidRDefault="0085709A" w:rsidP="0085709A">
      <w:pPr>
        <w:pStyle w:val="TextoNormal"/>
      </w:pPr>
    </w:p>
    <w:p w:rsidR="0085709A" w:rsidRDefault="0085709A" w:rsidP="0085709A">
      <w:pPr>
        <w:pStyle w:val="TextoNormal"/>
      </w:pPr>
      <w:r>
        <w:t xml:space="preserve">d) La actora también estima vulnerado su derecho a la igualdad en la aplicación judicial de la ley (art. 14 CE), pues entiende que ha existido un cambio de criterio del Tribunal Supremo que carece de motivación jurídica; que es arbitrario, en cuanto viene a demandar, </w:t>
      </w:r>
      <w:r w:rsidRPr="0085709A">
        <w:rPr>
          <w:i/>
        </w:rPr>
        <w:t>ex novo</w:t>
      </w:r>
      <w:r>
        <w:t xml:space="preserve"> y con carácter retroactivo, un requisito no exigido con anterioridad en la ley ni en la jurisprudencia del Tribunal Supremo; y que no tiene vocación de permanencia. Según la parte recurrente, con posterioridad al ATS de 10 de febrero de 2011 se han dictado sentencias y autos contrarios a la jurisprudencia contenida en aquél.</w:t>
      </w:r>
    </w:p>
    <w:p w:rsidR="0085709A" w:rsidRDefault="0085709A" w:rsidP="0085709A">
      <w:pPr>
        <w:pStyle w:val="TextoNormal"/>
      </w:pPr>
    </w:p>
    <w:p w:rsidR="0085709A" w:rsidRDefault="0085709A" w:rsidP="0085709A">
      <w:pPr>
        <w:pStyle w:val="TextoNormal"/>
      </w:pPr>
      <w:r>
        <w:lastRenderedPageBreak/>
        <w:t>e) Argumenta por último la actora que, atendidas las circunstancias concurrentes, debió tomarse en consideración el “escrito de adecuación” que presentó ante el Tribunal Supremo al objeto de evitar una situación de indefensión.</w:t>
      </w:r>
    </w:p>
    <w:p w:rsidR="0085709A" w:rsidRDefault="0085709A" w:rsidP="0085709A">
      <w:pPr>
        <w:pStyle w:val="TextoNormal"/>
      </w:pPr>
    </w:p>
    <w:p w:rsidR="0085709A" w:rsidRDefault="0085709A" w:rsidP="0085709A">
      <w:pPr>
        <w:pStyle w:val="TextoNormal"/>
      </w:pPr>
      <w:r w:rsidRPr="0085709A">
        <w:rPr>
          <w:rStyle w:val="NumeroAFNegritaCaracter"/>
        </w:rPr>
        <w:t>4</w:t>
      </w:r>
      <w:r>
        <w:t>. Presentada la demanda de amparo, la Sala Segunda de este Tribunal, por Auto de 17 de octubre de 2013, acordó declarar justificada la abstención para el conocimiento del presente recurso de amparo formulada por el Magistrado don Juan José González Rivas,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23 de octubre de 2013 la Sala Segunda acordó admitir a trámite la demanda de amparo. Asimismo, en aplicación de lo dispuesto en el artículo 51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 1370-2011 y al procedimiento ordinario núm. 10-2008, respectivamente, debiendo previamente emplazarse para que pudieran comparecer en el recurso de amparo, en el término de diez días, a quienes hubieran sido parte en el procedimiento, excepto a la parte recurrente.</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Segunda de este Tribunal de fecha 20 de noviembre de 2013 se tuvieron por recibidos los testimonios de las actuaciones, remitidos por el Tribunal Supremo y por la Audiencia Nacional, así como el escrito del Abogado del Estado, a quien se tuvo por personado y parte en representación de la Administración del Estado.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presentó sus alegaciones mediante escrito registrado el 18 de diciembre de 2013, en el que interesa que se dicte sentencia estimatoria por vulneración del art. 24.1 CE al entender incumplidas “las exigencias mínimas de confianza legítima de los justiciables, fundadas en la seguridad jurídica”. Entiende el Abogado del Estado que esa vulneración deriva de la exigencia de un requisito de forma novedoso que la recurrente no tuvo oportunidad alguna de prever. Concluye que la aplicación retrospectiva o retroactiva de la máxima jurisprudencial contenida en el ATS de 10 de febrero de 2011 supuso la aplicación de un régimen jurídico desfavorable a un acto procesal totalmente concluido, con la subsiguiente vulneración de lo dispuesto en el artículo 24.1 CE en su vertiente de acceso a los recursos.</w:t>
      </w:r>
    </w:p>
    <w:p w:rsidR="0085709A" w:rsidRDefault="0085709A" w:rsidP="0085709A">
      <w:pPr>
        <w:pStyle w:val="TextoNormal"/>
      </w:pPr>
    </w:p>
    <w:p w:rsidR="0085709A" w:rsidRDefault="0085709A" w:rsidP="0085709A">
      <w:pPr>
        <w:pStyle w:val="TextoNormal"/>
      </w:pPr>
      <w:r w:rsidRPr="0085709A">
        <w:rPr>
          <w:rStyle w:val="NumeroAFNegritaCaracter"/>
        </w:rPr>
        <w:t>8</w:t>
      </w:r>
      <w:r>
        <w:t>. En fecha 23 de diciembre de 2013 se registró en este Tribunal el escrito de alegaciones de la recurrente de amparo, en el que se limita a remitirse a las previamente formuladas en la propia demanda.</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El Ministerio Fiscal presentó sus alegaciones mediante escrito registrado el 15 de enero de 2014 en el que interesa que se declare que el Auto dictado en fecha 9 de febrero de 2012 por la Sala de lo Contencioso-Administrativo del Tribunal Supremo (Sección Primera) vulnera el derecho de la sociedad Majanicho Club, S.L., a la igualdad en la aplicación de la </w:t>
      </w:r>
      <w:r>
        <w:lastRenderedPageBreak/>
        <w:t>ley (art. 14 CE), debiendo anularse, a su juicio, dicha resolución, así como la providencia dictada el 2 de julio de 2012 por la que se inadmitió a trámite el incidente de nulidad de actuaciones. El Ministerio Fiscal constata en sus alegaciones que, estando ya vigente la nueva doctrina del ATS de 10 de febrero de 2011, la propia Sección Primera de la Sala de lo Contencioso-Administrativo del Tribunal Supremo dictó “al menos otros cuatro autos en sentido diferente al de aquél”. Entiende, así, que la recurrente ha aportado en su demanda varias resoluciones que sirven de término de comparación válido a efectos de entender vulnerado el art. 14 CE, pues (i) procedían del mismo órgano, (ii) había identidad fáctica, pues se trataba en todas ellas de resolver sobre los requisitos exigibles al escrito de preparación del recurso de casación, (iii) había alteridad, pues el recurrente de amparo no había sido parte en los procesos en los que recayeron las resoluciones aportadas como término de comparación, y (iv) no se había motivado la disparidad de criterio.</w:t>
      </w:r>
    </w:p>
    <w:p w:rsidR="0085709A" w:rsidRDefault="0085709A" w:rsidP="0085709A">
      <w:pPr>
        <w:pStyle w:val="TextoNormal"/>
      </w:pPr>
    </w:p>
    <w:p w:rsidR="0085709A" w:rsidRDefault="0085709A" w:rsidP="0085709A">
      <w:pPr>
        <w:pStyle w:val="TextoNormal"/>
      </w:pPr>
      <w:r w:rsidRPr="0085709A">
        <w:rPr>
          <w:rStyle w:val="NumeroAFNegritaCaracter"/>
        </w:rPr>
        <w:t>10</w:t>
      </w:r>
      <w:r>
        <w:t>. La Sala Segunda de este Tribunal, por Auto de 6 de noviembre de 2014, acordó declarar justificada la abstención para el conocimiento del presente recurso de amparo formulada por el Magistrado don Ricardo Enríquez Sancho,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12 de febrero de 2015, se señaló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Las invocaciones constitucionales en que se fundamenta este recurso ya han sido objeto de análisis por el Pleno de este Tribunal en la STC 7/2015, de 22 de enero.</w:t>
      </w:r>
    </w:p>
    <w:p w:rsidR="0085709A" w:rsidRDefault="0085709A" w:rsidP="0085709A">
      <w:pPr>
        <w:pStyle w:val="TextoNormal"/>
      </w:pPr>
    </w:p>
    <w:p w:rsidR="0085709A" w:rsidRDefault="0085709A" w:rsidP="0085709A">
      <w:pPr>
        <w:pStyle w:val="TextoNormal"/>
      </w:pPr>
      <w:r>
        <w:t>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0085709A" w:rsidRDefault="0085709A" w:rsidP="0085709A">
      <w:pPr>
        <w:pStyle w:val="TextoNormal"/>
      </w:pPr>
    </w:p>
    <w:p w:rsidR="0085709A" w:rsidRDefault="0085709A" w:rsidP="0085709A">
      <w:pPr>
        <w:pStyle w:val="TextoNormal"/>
      </w:pPr>
      <w:r>
        <w:t xml:space="preserve">Igualmente, debe descartarse la lesión aducida del derecho a la igualdad en la aplicación de la ley. En el fundamento jurídico 4 de la Sentencia citada, ya se puso de manifestó que </w:t>
      </w:r>
      <w:r>
        <w:lastRenderedPageBreak/>
        <w:t xml:space="preserve">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y razona explícitamente la alteración doctrinal, que se justifica a partir de la finalidad que debe cumplir el escrito de preparación del recurso de casación.</w:t>
      </w:r>
    </w:p>
    <w:p w:rsidR="0085709A" w:rsidRDefault="0085709A" w:rsidP="0085709A">
      <w:pPr>
        <w:pStyle w:val="TextoNormal"/>
      </w:pPr>
    </w:p>
    <w:p w:rsidR="0085709A" w:rsidRDefault="0085709A" w:rsidP="0085709A">
      <w:pPr>
        <w:pStyle w:val="TextoNormal"/>
      </w:pPr>
      <w:r>
        <w:t>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(FJ 3).</w:t>
      </w:r>
    </w:p>
    <w:p w:rsidR="0085709A" w:rsidRDefault="0085709A" w:rsidP="0085709A">
      <w:pPr>
        <w:pStyle w:val="TextoNormal"/>
      </w:pPr>
    </w:p>
    <w:p w:rsidR="0085709A" w:rsidRDefault="0085709A" w:rsidP="0085709A">
      <w:pPr>
        <w:pStyle w:val="TextoNormal"/>
      </w:pPr>
      <w:r>
        <w:t>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Majanicho Club, S.L., y, en su virtud:</w:t>
      </w:r>
    </w:p>
    <w:p w:rsidR="0085709A" w:rsidRDefault="0085709A" w:rsidP="0085709A">
      <w:pPr>
        <w:pStyle w:val="TextoNormal"/>
      </w:pPr>
    </w:p>
    <w:p w:rsidR="0085709A" w:rsidRDefault="0085709A" w:rsidP="0085709A">
      <w:pPr>
        <w:pStyle w:val="TextoNormal"/>
      </w:pPr>
      <w:r>
        <w:t>1º Declarar que ha sido vulnerado el derecho fundamental de la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del Auto de 9 de febrero de 2012 y de la providencia de 2 de julio de 2012, dictados en el recurso de casación núm. 1370-2011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rsidP="0085709A">
      <w:pPr>
        <w:pStyle w:val="ParrafoNormal"/>
      </w:pPr>
    </w:p>
    <w:p w:rsidR="0085709A" w:rsidRDefault="0085709A" w:rsidP="0085709A">
      <w:pPr>
        <w:pStyle w:val="TextoNormalNegritaCentrado"/>
        <w:keepNext/>
      </w:pPr>
      <w:r>
        <w:t>Voto particular concurrente que formulan la Magistrada doña Adela Asua Batarrita y el Magistrado don Fernando Valdés Dal-Ré a la Sentencia dictada en el recurso de amparo núm. 5479-2012.</w:t>
      </w:r>
    </w:p>
    <w:p w:rsidR="0085709A" w:rsidRDefault="0085709A" w:rsidP="0085709A">
      <w:pPr>
        <w:pStyle w:val="TextoNormalNegritaCentrado"/>
        <w:keepNext/>
      </w:pPr>
    </w:p>
    <w:p w:rsidR="0085709A" w:rsidRDefault="0085709A" w:rsidP="0085709A">
      <w:pPr>
        <w:pStyle w:val="TextoNormal"/>
      </w:pPr>
      <w:r>
        <w:t>En ejercicio de la facultad que nos confiere el art. 90.2 de la Ley Orgánica del Tribunal Constitucional y con pleno respeto a la opinión de la mayoría de la Sala, manifestamos nuestra discrepancia con la desestimación de la vulneración del art. 24.1 CE relativa a la falta de cobertura legal de la causa de inadmisión impugnada, y con la desestimación de la lesión del art. 14 CE.</w:t>
      </w:r>
    </w:p>
    <w:p w:rsidR="0085709A" w:rsidRDefault="0085709A" w:rsidP="0085709A">
      <w:pPr>
        <w:pStyle w:val="TextoNormal"/>
      </w:pPr>
    </w:p>
    <w:p w:rsidR="0085709A" w:rsidRDefault="0085709A" w:rsidP="0085709A">
      <w:pPr>
        <w:pStyle w:val="TextoNormal"/>
      </w:pPr>
      <w:r>
        <w:t>Los argumentos que nos conducen a tal conclusión fueron expuestos con detalle en el Voto particular formulado por el Magistrado don Juan Antonio Xiol Ríos a la STC 7/2015, de 22 de enero, dictada en el recurso de amparo avocado al Pleno núm. 2399-2012, al que entonces nos adherimos, y al que ahora nos remitimos.</w:t>
      </w:r>
    </w:p>
    <w:p w:rsidR="0085709A" w:rsidRDefault="0085709A" w:rsidP="0085709A">
      <w:pPr>
        <w:pStyle w:val="TextoNormal"/>
      </w:pPr>
    </w:p>
    <w:p w:rsidR="0085709A" w:rsidRDefault="0085709A" w:rsidP="0085709A">
      <w:pPr>
        <w:pStyle w:val="TextoNormal"/>
      </w:pPr>
      <w:r>
        <w:t>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4" w:name="SENTENCIA_2015_21"/>
      <w:r>
        <w:lastRenderedPageBreak/>
        <w:t>SENTENCIA 21/2015, de 16 de febrero de 2015</w:t>
      </w:r>
    </w:p>
    <w:bookmarkEnd w:id="24"/>
    <w:p w:rsidR="0085709A" w:rsidRDefault="0085709A" w:rsidP="0085709A">
      <w:pPr>
        <w:pStyle w:val="TtuloResolucin"/>
      </w:pPr>
      <w:r>
        <w:t>Sala Segunda</w:t>
      </w:r>
    </w:p>
    <w:p w:rsidR="0085709A" w:rsidRDefault="0085709A" w:rsidP="0085709A">
      <w:pPr>
        <w:pStyle w:val="TtuloBOE"/>
      </w:pPr>
      <w:r>
        <w:t>(BOE núm. 64, de 16 de marzo de 2015)</w:t>
      </w:r>
    </w:p>
    <w:p w:rsidR="0085709A" w:rsidRDefault="0085709A" w:rsidP="0085709A">
      <w:pPr>
        <w:pStyle w:val="TextoNormalCentrado"/>
      </w:pPr>
      <w:r>
        <w:t>ECLI:ES:TC:2015:21</w:t>
      </w:r>
    </w:p>
    <w:p w:rsidR="0085709A" w:rsidRDefault="0085709A" w:rsidP="0085709A">
      <w:pPr>
        <w:pStyle w:val="TextoNormalCentrado"/>
      </w:pPr>
    </w:p>
    <w:p w:rsidR="0085709A" w:rsidRDefault="0085709A" w:rsidP="0085709A">
      <w:pPr>
        <w:pStyle w:val="SntesisDescriptiva"/>
      </w:pPr>
      <w:r>
        <w:t>Recurso de amparo 716-2013. Promovido por Ana Fernández Martín frente a la Sentencia del Juzgado de lo Contencioso-Administrativo núm. 2 de Madrid que confirmó la multa impuesta por no haber aportado datos suficientes para identificar al conductor de un vehículo que había cometido una infracción de tráfico.</w:t>
      </w:r>
    </w:p>
    <w:p w:rsidR="0085709A" w:rsidRDefault="0085709A" w:rsidP="0085709A">
      <w:pPr>
        <w:pStyle w:val="SntesisDescriptiva"/>
      </w:pPr>
    </w:p>
    <w:p w:rsidR="0085709A" w:rsidRDefault="0085709A" w:rsidP="0085709A">
      <w:pPr>
        <w:pStyle w:val="SntesisAnaltica"/>
      </w:pPr>
      <w:r>
        <w:t>Vulneración del derecho a la legalidad sancionadora: STC 30/2013 (resolución sancionadora que carece de fundamento razonable en la infracción administrativa aplicada).</w:t>
      </w:r>
    </w:p>
    <w:p w:rsidR="0085709A" w:rsidRDefault="0085709A" w:rsidP="0085709A">
      <w:pPr>
        <w:pStyle w:val="SntesisAnaltica"/>
      </w:pPr>
    </w:p>
    <w:p w:rsidR="0085709A" w:rsidRDefault="0085709A" w:rsidP="0085709A">
      <w:pPr>
        <w:pStyle w:val="Extracto"/>
      </w:pPr>
      <w:r>
        <w:t>1.</w:t>
      </w:r>
      <w:r>
        <w:tab/>
        <w:t>Asunto sustancialmente idéntico al resuelto en las SSTC 30/2013 y 45/2013 en relación con resoluciones vulneradoras del derecho a la legalidad sancionadora [FJ 3].</w:t>
      </w:r>
    </w:p>
    <w:p w:rsidR="0085709A" w:rsidRDefault="0085709A" w:rsidP="0085709A">
      <w:pPr>
        <w:pStyle w:val="Extracto"/>
      </w:pPr>
    </w:p>
    <w:p w:rsidR="0085709A" w:rsidRDefault="0085709A" w:rsidP="0085709A">
      <w:pPr>
        <w:pStyle w:val="Extracto"/>
      </w:pPr>
      <w:r>
        <w:t>2.</w:t>
      </w:r>
      <w:r>
        <w:tab/>
        <w:t>Vulneran el principio de legalidad tanto las resoluciones sancionadoras que se sustenten en una subsunción de los hechos ajena al significado posible de los términos de la norma aplicada, como aquellas aplicaciones que por su soporte metodológico, o axiológico, conduzcan a soluciones esencialmente opuestas a la orientación material de la norma y, por ello, imprevisibles para sus destinatarios (STC 111/2004)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716-2013, promovido por doña Ana Fernández Martín, Letrada en ejercicio que actúa en su propio nombre y derecho, contra la resolución sancionadora de 18 de septiembre de 2009, dictada por el Director General de Movilidad del Ayuntamiento de Madrid en el expediente núm. 26936875.9, y contra la Sentencia del Juzgado de lo Contencioso-Administrativo núm. 2 de Madrid, de 10 de enero de 2013, en el procedimiento abreviado núm. 975-2009. Han intervenido la Letrada del Ayuntamiento de Madrid actuando en representación del mismo, y el Ministerio Fiscal.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recurrente en amparo, actuando en su propio nombre y derecho, presentó en el Registro General de este Tribunal Constitucional, con fecha 6 de febrero de 2013, recurso de amparo contra las resoluciones citadas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en los que se fundamenta este recurso son los que a continuación se resumen:</w:t>
      </w:r>
    </w:p>
    <w:p w:rsidR="0085709A" w:rsidRDefault="0085709A" w:rsidP="0085709A">
      <w:pPr>
        <w:pStyle w:val="TextoNormal"/>
      </w:pPr>
    </w:p>
    <w:p w:rsidR="0085709A" w:rsidRDefault="0085709A" w:rsidP="0085709A">
      <w:pPr>
        <w:pStyle w:val="TextoNormal"/>
      </w:pPr>
      <w:r>
        <w:t>a) El día 5 de febrero de 2009 un controlador del servicio de estacionamiento regulado del Ayuntamiento de Madrid formuló denuncia relacionada con un vehículo marca Suzuki y modelo Vitara (matrícula 4623CYD), por haber estacionado con el distintivo que lo permite con limitación horaria pero rebasando el tiempo máximo, incoándose a raíz de ello el correspondiente expediente sancionador.</w:t>
      </w:r>
    </w:p>
    <w:p w:rsidR="0085709A" w:rsidRDefault="0085709A" w:rsidP="0085709A">
      <w:pPr>
        <w:pStyle w:val="TextoNormal"/>
      </w:pPr>
    </w:p>
    <w:p w:rsidR="0085709A" w:rsidRDefault="0085709A" w:rsidP="0085709A">
      <w:pPr>
        <w:pStyle w:val="TextoNormal"/>
      </w:pPr>
      <w:r>
        <w:t>b) Fue notificada la denuncia y la incoación del expediente a doña Ana Fernández Martín, titular del automóvil señalado, abogada de profesión y hoy demandante de amparo, requiriéndosele para que, en caso de no haber sido la persona responsable de la infracción, procediera a comunicar los datos de quien conducía el vehículo, con advertencia de que la omisión de cualquiera de los datos señalados en el impreso de referencia motivaría responsabilidad por incumplimiento, de conformidad con lo prescrito en el art. 72.3 del Real Decreto Legislativo 339/1990, de 2 de marzo, por el que se aprueba el texto articulado de la Ley sobre tráfico, circulación de vehículos a motor y seguridad vial, según redacción dada por la Ley 17/2005, de 19 de julio, por la que se regula el permiso y la licencia de conducción por puntos y se modifica el texto articulado de la Ley sobre tráfico, circulación de vehículos a motor y seguridad vial (LSV).</w:t>
      </w:r>
    </w:p>
    <w:p w:rsidR="0085709A" w:rsidRDefault="0085709A" w:rsidP="0085709A">
      <w:pPr>
        <w:pStyle w:val="TextoNormal"/>
      </w:pPr>
    </w:p>
    <w:p w:rsidR="0085709A" w:rsidRDefault="0085709A" w:rsidP="0085709A">
      <w:pPr>
        <w:pStyle w:val="TextoNormal"/>
      </w:pPr>
      <w:r>
        <w:t>c) La titular del vehículo rellenó el apartado del impreso al que se refería el mencionado requerimiento, indicando los datos de la persona que conducía el vehículo, identificando como tal a don José Luis Fernández García, con domicilio en el Paseo de la Castellana 201, 16-9, 28046, Madrid, que era el mismo fijado por la propietaria del automóvil para sus propias notificaciones. No incluyó, no obstante, el dato relativo a uno de los apartados del impreso; a saber: número del permiso de conducir.</w:t>
      </w:r>
    </w:p>
    <w:p w:rsidR="0085709A" w:rsidRDefault="0085709A" w:rsidP="0085709A">
      <w:pPr>
        <w:pStyle w:val="TextoNormal"/>
      </w:pPr>
    </w:p>
    <w:p w:rsidR="0085709A" w:rsidRDefault="0085709A" w:rsidP="0085709A">
      <w:pPr>
        <w:pStyle w:val="TextoNormal"/>
      </w:pPr>
      <w:r>
        <w:t>d) El día 3 de junio de 2009, la jefa del departamento de instrucción de multas de circulación del Ayuntamiento de Madrid emitió notificación de incoación de expediente sancionador por haberse incumplido el deber de identificar verazmente, dentro del plazo y en la forma legalmente previstos, al conductor responsable de la infracción.</w:t>
      </w:r>
    </w:p>
    <w:p w:rsidR="0085709A" w:rsidRDefault="0085709A" w:rsidP="0085709A">
      <w:pPr>
        <w:pStyle w:val="TextoNormal"/>
      </w:pPr>
    </w:p>
    <w:p w:rsidR="0085709A" w:rsidRDefault="0085709A" w:rsidP="0085709A">
      <w:pPr>
        <w:pStyle w:val="TextoNormal"/>
      </w:pPr>
      <w:r>
        <w:t>La recurrente en amparo presentó alegaciones el día 12 de junio de 2009, en las que aducía haber cumplido lo solicitado y denunciaba la vulneración de su derecho a la presunción de inocencia (art. 24.2 CE).</w:t>
      </w:r>
    </w:p>
    <w:p w:rsidR="0085709A" w:rsidRDefault="0085709A" w:rsidP="0085709A">
      <w:pPr>
        <w:pStyle w:val="TextoNormal"/>
      </w:pPr>
    </w:p>
    <w:p w:rsidR="0085709A" w:rsidRDefault="0085709A" w:rsidP="0085709A">
      <w:pPr>
        <w:pStyle w:val="TextoNormal"/>
      </w:pPr>
      <w:r>
        <w:t xml:space="preserve">Con fecha 18 de septiembre de 2009 se dictó resolución sancionadora, imponiendo a doña Ana Fernández Martín la multa de 301 €, por entenderse producido el incumplimiento del referido deber, toda vez que en el expediente “no consta que se haya cumplido con el deber de identificar en tiempo y forma al conductor responsable de la infracción, a tenor de </w:t>
      </w:r>
      <w:r>
        <w:lastRenderedPageBreak/>
        <w:t>lo dispuesto en el art. 72.3 LSV, a pesar de haber sido requerido para ello en el momento procedimental oportuno, puesto que los datos aportados en su momento sobre la identidad del conductor son insuficientes para que la identificación se considere veraz”.</w:t>
      </w:r>
    </w:p>
    <w:p w:rsidR="0085709A" w:rsidRDefault="0085709A" w:rsidP="0085709A">
      <w:pPr>
        <w:pStyle w:val="TextoNormal"/>
      </w:pPr>
    </w:p>
    <w:p w:rsidR="0085709A" w:rsidRDefault="0085709A" w:rsidP="0085709A">
      <w:pPr>
        <w:pStyle w:val="TextoNormal"/>
      </w:pPr>
      <w:r>
        <w:t>e) La demandante de amparo interpuso recurso contencioso-administrativo contra la indicada resolución sancionadora, sustanciado en el procedimiento abreviado núm. 975-2009 ante el Juzgado de lo Contencioso-Administrativo núm. 2 de Madrid, que dictó Sentencia desestimatoria, de 10 de enero de 2013. Razona el juzgador que en el caso concreto “la parte requerida no dio estricto cumplimiento a las exigencias que se establecen en el precepto citado [art. 72 LSV] por cuanto que los datos facilitados no pueden entenderse suficientes para determinar una identificación veraz en tanto que no facilitó el número de permiso de conducir que le fue requerido y que no se considera desproporcionado por cuanto que, de una parte, la persona identificada por su filiación, José Luis Fernández García, dada la generalidad de estos nombre y apellidos era necesario conocer el número del permiso para una perfecta identificación. Pero es que, además, existe otro dato importante y es que la persona identificada tiene el mismo domicilio de la recurrente, lo que evidencia la inexistencia de dificultad o traba para obtener dicho dato. Finalmente señalar que no se trata de una conducta única la que estamos conociendo en este asunto, pues este mismo Juzgado conoce de otro procedimiento, el PA 409-2009 y la defensa del Ayuntamiento aporta sentencia dictada por el Juzgado núm. 1 en PA 861-2009, en la que se sancionan conductas idénticas a la que ahora es objeto de la presente sentencia”.</w:t>
      </w:r>
    </w:p>
    <w:p w:rsidR="0085709A" w:rsidRDefault="0085709A" w:rsidP="0085709A">
      <w:pPr>
        <w:pStyle w:val="TextoNormal"/>
      </w:pPr>
    </w:p>
    <w:p w:rsidR="0085709A" w:rsidRDefault="0085709A" w:rsidP="0085709A">
      <w:pPr>
        <w:pStyle w:val="TextoNormal"/>
      </w:pPr>
      <w:r w:rsidRPr="0085709A">
        <w:rPr>
          <w:rStyle w:val="NumeroAFNegritaCaracter"/>
        </w:rPr>
        <w:t>3</w:t>
      </w:r>
      <w:r>
        <w:t>. Contra la resolución sancionadora y la Sentencia que la confirma, citadas en el encabezamiento, doña Ana Fernández Martín interpone recurso de amparo, que fundamenta en la vulneración de los derechos a la legalidad sancionadora (art. 25.1 CE) y a la presunción de inocencia (art. 24.2 CE), así como al principio de igualdad en la aplicación de la ley (art. 14 CE).</w:t>
      </w:r>
    </w:p>
    <w:p w:rsidR="0085709A" w:rsidRDefault="0085709A" w:rsidP="0085709A">
      <w:pPr>
        <w:pStyle w:val="TextoNormal"/>
      </w:pPr>
    </w:p>
    <w:p w:rsidR="0085709A" w:rsidRDefault="0085709A" w:rsidP="0085709A">
      <w:pPr>
        <w:pStyle w:val="TextoNormal"/>
      </w:pPr>
      <w:r>
        <w:t>Aduce, respecto del primero de los derechos invocados, que cumplió con la obligación de identificar al conductor de forma suficiente y precisa para que el Ayuntamiento de Madrid pudiera dirigir el procedimiento sancionador contra el infractor por el hecho denunciado, sin que la Administración realizara el más mínimo intento en esa dirección ni exigiera otros datos para proceder a la notificación. En segundo lugar, razona la recurrente que sancionar al titular del vehículo por el mero hecho de serlo, sin efectuar ninguna averiguación destinada a conocer la identidad del verdadero infractor, supone una vulneración del art. 24.2 CE, pues la presunción de inocencia sólo quedaría enervada si se observase una conducta evasiva y reticente del propietario del vehículo o si aportase de un modo vago y genérico datos sobre posibles infractores, lo que no es el caso. Finalmente, considera lesionado el art. 14 CE, en su vertiente de derecho a la igualdad en la aplicación de la ley, dado que las resoluciones impugnadas se pronuncian en sentido distinto a numerosas Sentencias del Tribunal Constitucional, en concreto a la STC 111/2004, de 12 de julio, cuya doctrina se puso de manifiesto en la vía previa.</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21 de julio de 2014, la Sección Cuarta de este Tribunal acordó admitir a trámite el recurso de amparo y, en consecuencia, solicitó al Ayuntamiento de Madrid y al Juzgado de lo Contencioso-Administrativo núm. 2 de Madrid las correspondientes actuaciones, ordenando asimismo los pertinentes emplazamientos para que en el plazo de diez días pudieran comparecer quienes hubieran sido parte en el procedimiento.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que tuvo entrada en el Registro General de este Tribunal Constitucional el 3 de octubre de 2014, la Letrada del Ayuntamiento de Madrid, actuando en nombre y representación del mismo, se personó en el recurso. Por diligencia de ordenación de la Secretaria de Justicia de la Sala Segunda, de 13 de octubre de 2014, se tuvo por personada a dicha Letrada y se procedió a dar vista de las actuaciones a las partes personadas y al Ministerio Fiscal, para que pudieran presentar las alegaciones que estimaran pertinentes, de conformidad con lo dispuesto en el art. 52.1 de la Ley Orgánica del Tribunal Constitucional (LOTC).</w:t>
      </w:r>
    </w:p>
    <w:p w:rsidR="0085709A" w:rsidRDefault="0085709A" w:rsidP="0085709A">
      <w:pPr>
        <w:pStyle w:val="TextoNormal"/>
      </w:pPr>
    </w:p>
    <w:p w:rsidR="0085709A" w:rsidRDefault="0085709A" w:rsidP="0085709A">
      <w:pPr>
        <w:pStyle w:val="TextoNormal"/>
      </w:pPr>
      <w:r w:rsidRPr="0085709A">
        <w:rPr>
          <w:rStyle w:val="NumeroAFNegritaCaracter"/>
        </w:rPr>
        <w:t>6</w:t>
      </w:r>
      <w:r>
        <w:t>. Evacuó el trámite, mediante escrito registrado el 17 de noviembre de 2014, la Letrada del Ayuntamiento de Madrid. Razona que se ha cometido la infracción contemplada en el art. 72.3 de la Ley sobre tráfico, circulación de vehículos a motor y seguridad vial, pues no se identificó verazmente al conductor a falta de aportación del dato sobre el permiso de conducir, prueba que no era desproporcionada para la recurrente. Por otra parte, en relación con el derecho fundamental a la presunción de inocencia, subraya que a la demandante de amparo no se le está imponiendo una sanción por ser titular del vehículo, sino por serlo y no identificar verazmente al conductor, como exige la normativa reseñada. Por último, rechaza la vulneración del derecho de igualdad en la aplicación de la ley, ya que no concurren los requisitos que exige la doctrina constitucional para declarar tal lesión.</w:t>
      </w:r>
    </w:p>
    <w:p w:rsidR="0085709A" w:rsidRDefault="0085709A" w:rsidP="0085709A">
      <w:pPr>
        <w:pStyle w:val="TextoNormal"/>
      </w:pPr>
    </w:p>
    <w:p w:rsidR="0085709A" w:rsidRDefault="0085709A" w:rsidP="0085709A">
      <w:pPr>
        <w:pStyle w:val="TextoNormal"/>
      </w:pPr>
      <w:r w:rsidRPr="0085709A">
        <w:rPr>
          <w:rStyle w:val="NumeroAFNegritaCaracter"/>
        </w:rPr>
        <w:t>7</w:t>
      </w:r>
      <w:r>
        <w:t>. El 20 de noviembre de 2014 tuvo entrada en este Tribunal Constitucional el escrito de alegaciones del Ministerio Fiscal. Mantiene, en primer lugar, que el recurso carece de especial trascendencia constitucional, a cuyo fin invoca dos elementos principales: la decisión de inadmisión adoptada por este Tribunal en otro recurso de amparo interpuesto por la misma demandante, fundado en hechos que estima coincidentes, y la no apreciación de ninguno de los supuestos mencionados en el fundamento jurídico 2 de la STC 155/2009, de 25 de junio.</w:t>
      </w:r>
    </w:p>
    <w:p w:rsidR="0085709A" w:rsidRDefault="0085709A" w:rsidP="0085709A">
      <w:pPr>
        <w:pStyle w:val="TextoNormal"/>
      </w:pPr>
    </w:p>
    <w:p w:rsidR="0085709A" w:rsidRDefault="0085709A" w:rsidP="0085709A">
      <w:pPr>
        <w:pStyle w:val="TextoNormal"/>
      </w:pPr>
      <w:r>
        <w:t>De cualquier modo, en cuanto al fondo, cree que no se ha producido en esta ocasión vulneración del principio de legalidad del art. 25 CE. A tal fin cita la STC 63/2007, de 27 de marzo, y destaca que nos encontramos ante una conducta reiterada de la demandante, que se ha negado repetidamente —en distintos expedientes sancionadores— a facilitar los datos requeridos respecto del mismo conductor que conduce supuestamente su vehículo y origina múltiples sanciones por infracciones de tráfico. A la vista de las muy especiales circunstancias del presente caso, entonces, inferir que la recurrente presenta resistencia o reticencia a identificar veraz y “completamente” al supuesto conductor, como hicieron las resoluciones recurridas, no resulta inaceptable ni desproporcionado. Máxime, cuando se concluye de las actuaciones que no había traba o dificultad alguna para obtener el dato omitido, expresando las circunstancias concretas del supuesto de hecho; es decir, que no se está cumpliendo con el deber legal de una manera consciente e intencionadamente esquiva, resistente o reticente, para dificultar y frustrar el ejercicio de la potestad sancionadora de la Administración.</w:t>
      </w:r>
    </w:p>
    <w:p w:rsidR="0085709A" w:rsidRDefault="0085709A" w:rsidP="0085709A">
      <w:pPr>
        <w:pStyle w:val="TextoNormal"/>
      </w:pPr>
    </w:p>
    <w:p w:rsidR="0085709A" w:rsidRDefault="0085709A" w:rsidP="0085709A">
      <w:pPr>
        <w:pStyle w:val="TextoNormal"/>
      </w:pPr>
      <w:r>
        <w:t>Tampoco aprecia la lesión del derecho a la presunción de inocencia, a cuyo objeto señala, con cita de jurisprudencia constitucional, que la titularidad del vehículo con el que se cometió la infracción y el cumplimiento incompleto, impreciso o esquivo del deber de identi</w:t>
      </w:r>
      <w:r>
        <w:lastRenderedPageBreak/>
        <w:t xml:space="preserve">ficación controvertido, son elementos de cargo suficientes, entre otros, para destruir conjunta y válidamente la presunción de inocencia que garantiza el art. 24.2 CE. Finalmente, en relación con el derecho a la igualdad en aplicación de la ley, resalta la ausencia de un </w:t>
      </w:r>
      <w:r w:rsidRPr="0085709A">
        <w:rPr>
          <w:i/>
        </w:rPr>
        <w:t>tertium comparationis</w:t>
      </w:r>
      <w:r>
        <w:t>, factor suficiente para que decaiga tal alegación.</w:t>
      </w:r>
    </w:p>
    <w:p w:rsidR="0085709A" w:rsidRDefault="0085709A" w:rsidP="0085709A">
      <w:pPr>
        <w:pStyle w:val="TextoNormal"/>
      </w:pPr>
    </w:p>
    <w:p w:rsidR="0085709A" w:rsidRDefault="0085709A" w:rsidP="0085709A">
      <w:pPr>
        <w:pStyle w:val="TextoNormal"/>
      </w:pPr>
      <w:r>
        <w:t>Por todo lo expuesto, interesa de la Sala que dicte Sentencia en la que se desestime el amparo solicitado.</w:t>
      </w:r>
    </w:p>
    <w:p w:rsidR="0085709A" w:rsidRDefault="0085709A" w:rsidP="0085709A">
      <w:pPr>
        <w:pStyle w:val="TextoNormal"/>
      </w:pPr>
    </w:p>
    <w:p w:rsidR="0085709A" w:rsidRDefault="0085709A" w:rsidP="0085709A">
      <w:pPr>
        <w:pStyle w:val="TextoNormal"/>
      </w:pPr>
      <w:r w:rsidRPr="0085709A">
        <w:rPr>
          <w:rStyle w:val="NumeroAFNegritaCaracter"/>
        </w:rPr>
        <w:t>8</w:t>
      </w:r>
      <w:r>
        <w:t>. La recurrente en amparo no formuló alegaciones, según se hace constar en diligencia de 24 de noviembre de 2014.</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12 de febrero de 2015, se señaló para la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Este recurso de amparo se dirige contra la resolución sancionadora de 18 de septiembre de 2009, del Director General de movilidad del Ayuntamiento de Madrid, y contra la Sentencia del Juzgado de lo Contencioso-Administrativo núm. 2 de Madrid, de 10 de enero de 2013, dictada en el procedimiento abreviado núm. 975-2009. La demandante de amparo invoca la lesión de los derechos a la legalidad sancionadora (art. 25.1 CE) y a la presunción de inocencia (art. 24.2 CE) así como del derecho de igualdad en la aplicación de la ley (art. 14 CE). La representación letrada del Ayuntamiento descarta que se hayan producido todas y cada una de las vulneraciones denunciadas, mientras que el Ministerio Fiscal postula que el recurso carece de especial trascendencia constitucional, incumpliendo el requisito del art. 50. 1 b) de la Ley Orgánica del Tribunal Constitucional (LOTC), lo que debería desembocar en su inadmisión por Sentencia, defendiendo, en su defecto, la desestimación del amparo interesado, por no darse tampoco las lesiones aducidas.</w:t>
      </w:r>
    </w:p>
    <w:p w:rsidR="0085709A" w:rsidRDefault="0085709A" w:rsidP="0085709A">
      <w:pPr>
        <w:pStyle w:val="TextoNormal"/>
      </w:pPr>
    </w:p>
    <w:p w:rsidR="0085709A" w:rsidRDefault="0085709A" w:rsidP="0085709A">
      <w:pPr>
        <w:pStyle w:val="TextoNormal"/>
      </w:pPr>
      <w:r w:rsidRPr="0085709A">
        <w:rPr>
          <w:rStyle w:val="NumeroAFNegritaCaracter"/>
        </w:rPr>
        <w:t>2</w:t>
      </w:r>
      <w:r>
        <w:t>. No puede acogerse la objeción a la admisión del recurso que formula el Ministerio Fiscal. En efecto, se constata en las resoluciones impugnadas, como seguidamente se expondrá con mayor detalle, que la decisión del litigio debía estar inspirada por la doctrina constitucional contenida en la STC 111/2004, de 12 de julio, citada y alegada expresamente en el proceso judicial y reiterada con posterioridad a la interposición de este recurso de amparo en las SSTC 30/2013, de 11 de febrero, y 45/2013, de 25 de febrero. El asunto, en consecuencia, da ocasión al Tribunal Constitucional de garantizar el cumplimiento de su jurisprudencia en la materia, que en este conjunto de resoluciones queda aclarada en sus exactos términos y extremos [STC 155/2009, de 25 de junio, FJ 2 b)], evitando dudas ulteriores sobre su alcance que puedan dar lugar a nuevas inaplicaciones objetivas de la misma, y atendiendo con ello a uno de los criterios legales que dotan de especial trascendencia constitucional del recurso de amparo, citado en el art. 50.1 b) LOTC, a saber: aquél que se dirige a velar por la aplicación y general eficacia de la Constitución.</w:t>
      </w:r>
    </w:p>
    <w:p w:rsidR="0085709A" w:rsidRDefault="0085709A" w:rsidP="0085709A">
      <w:pPr>
        <w:pStyle w:val="TextoNormal"/>
      </w:pPr>
    </w:p>
    <w:p w:rsidR="0085709A" w:rsidRDefault="0085709A" w:rsidP="0085709A">
      <w:pPr>
        <w:pStyle w:val="TextoNormal"/>
      </w:pPr>
      <w:r>
        <w:t xml:space="preserve">Bastará añadir, por lo demás, que es a este Tribunal a quien corresponde apreciar si el contenido del recurso justifica una decisión sobre el fondo en razón de su especial trascendencia constitucional, que “encuentra su momento procesal idóneo en el trámite de admisión </w:t>
      </w:r>
      <w:r>
        <w:lastRenderedPageBreak/>
        <w:t>contemplado en el art. 50.1 LOTC” (STC192/2012, de 29 de octubre, FJ 2), y que así lo hizo esta Sala, que no encuentra razones para alterar la decisión entonces adoptada.</w:t>
      </w:r>
    </w:p>
    <w:p w:rsidR="0085709A" w:rsidRDefault="0085709A" w:rsidP="0085709A">
      <w:pPr>
        <w:pStyle w:val="TextoNormal"/>
      </w:pPr>
    </w:p>
    <w:p w:rsidR="0085709A" w:rsidRDefault="0085709A" w:rsidP="0085709A">
      <w:pPr>
        <w:pStyle w:val="TextoNormal"/>
      </w:pPr>
      <w:r w:rsidRPr="0085709A">
        <w:rPr>
          <w:rStyle w:val="NumeroAFNegritaCaracter"/>
        </w:rPr>
        <w:t>3</w:t>
      </w:r>
      <w:r>
        <w:t>. El presente caso presenta una total identidad con el recurso de amparo núm. 827-2011, resuelto por este Tribunal en la STC 30/2013, de 11 de febrero, y con el recurso de amparo núm. 6818-2011, que dio lugar a la STC 45/2013, de 25 de febrero, pues en ambos casos las circunstancias son idénticas a las del actual: a) la misma demandante de amparo fue sancionada por la infracción consistente en el incumplimiento del deber que el art. 72.3 de la Ley sobre tráfico, circulación de vehículos a motor y seguridad vial, impone al titular de un vehículo a motor de suministrar la identidad del conductor del mismo ante la denuncia de una infracción; b) ante el requerimiento de la Administración para que identificara al conductor responsable de la infracción, la titular del vehículo comunicó el nombre, apellidos y domicilio del supuesto responsable, siendo considerados insuficientes estos datos por la Administración que, en ambos casos, sancionó a la ahora recurrente por incumplimiento del deber de identificación del conductor responsable de la infracción, al considerar indispensable la comunicación del número del documento nacional de identidad (DNI) o del permiso de conducir del responsable para cumplimentar la identificación requerida; c) no existe en el expediente administrativo constancia de actuación administrativa alguna tendente a comunicar, con la persona identificada por la demandante, que se hubiera frustrado por el desconocimiento del número del DNI o del permiso de conducir; d) la escueta motivación del acto administrativo no responde a una argumentación lógica que permitiera subsumir la conducta de la recurrente en el tipo aplicado, y e) la redacción de la norma vigente el momento de cometerse los hechos no exigía expresamente que se facilitaran esos concretos datos.</w:t>
      </w:r>
    </w:p>
    <w:p w:rsidR="0085709A" w:rsidRDefault="0085709A" w:rsidP="0085709A">
      <w:pPr>
        <w:pStyle w:val="TextoNormal"/>
      </w:pPr>
    </w:p>
    <w:p w:rsidR="0085709A" w:rsidRDefault="0085709A" w:rsidP="0085709A">
      <w:pPr>
        <w:pStyle w:val="TextoNormal"/>
      </w:pPr>
      <w:r>
        <w:t>Debemos, pues, otorgar el amparo estimando la vulneración del derecho a la legalidad sancionadora, con remisión a lo establecido en el fundamento jurídico 3 de la STC 30/2013 y al fundamento jurídico, 2 de la STC 45/2013, que, a su vez, reiteran lo establecido en la STC 111/2004, de 12 de julio, recordando que “no sólo vulneran el principio de legalidad las resoluciones sancionadoras que se sustenten en una subsunción de los hechos ajena al significado posible de los términos de la norma aplicada, sino que también son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Constatada la lesión del derecho fundamental, no procede el análisis de las demás quejas aducidas en la demanda, puesto que la apreciación de la vulneración del art. 25 CE conlleva la declaración de nulidad de la resolución sancionadora recurrida”.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Otorgar el amparo solicitado por doña Ana Fernández Martín y, en consecuencia:</w:t>
      </w:r>
    </w:p>
    <w:p w:rsidR="0085709A" w:rsidRDefault="0085709A" w:rsidP="0085709A">
      <w:pPr>
        <w:pStyle w:val="TextoNormal"/>
      </w:pPr>
    </w:p>
    <w:p w:rsidR="0085709A" w:rsidRDefault="0085709A" w:rsidP="0085709A">
      <w:pPr>
        <w:pStyle w:val="TextoNormal"/>
      </w:pPr>
      <w:r>
        <w:t>1º Reconocer su derecho fundamental a la legalidad sancionadora (art. 25.1 CE).</w:t>
      </w:r>
    </w:p>
    <w:p w:rsidR="0085709A" w:rsidRDefault="0085709A" w:rsidP="0085709A">
      <w:pPr>
        <w:pStyle w:val="TextoNormal"/>
      </w:pPr>
    </w:p>
    <w:p w:rsidR="0085709A" w:rsidRDefault="0085709A" w:rsidP="0085709A">
      <w:pPr>
        <w:pStyle w:val="TextoNormal"/>
      </w:pPr>
      <w:r>
        <w:t>2º Declarar la nulidad de la resolución sancionadora de 18 de septiembre de 2009, dictada por el Director General de Movilidad del Ayuntamiento de Madrid en el expediente núm. 26936875.9, así como de la Sentencia del Juzgado de lo Contencioso- Administrativo núm. 2 de Madrid, de fecha 10 de enero de 2013, en el procedimiento abreviado núm. 975-2009.</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5" w:name="SENTENCIA_2015_22"/>
      <w:r>
        <w:lastRenderedPageBreak/>
        <w:t>SENTENCIA 22/2015, de 16 de febrero de 2015</w:t>
      </w:r>
    </w:p>
    <w:bookmarkEnd w:id="25"/>
    <w:p w:rsidR="0085709A" w:rsidRDefault="0085709A" w:rsidP="0085709A">
      <w:pPr>
        <w:pStyle w:val="TtuloResolucin"/>
      </w:pPr>
      <w:r>
        <w:t>Sala Segunda</w:t>
      </w:r>
    </w:p>
    <w:p w:rsidR="0085709A" w:rsidRDefault="0085709A" w:rsidP="0085709A">
      <w:pPr>
        <w:pStyle w:val="TtuloBOE"/>
      </w:pPr>
      <w:r>
        <w:t>(BOE núm. 64, de 16 de marzo de 2015)</w:t>
      </w:r>
    </w:p>
    <w:p w:rsidR="0085709A" w:rsidRDefault="0085709A" w:rsidP="0085709A">
      <w:pPr>
        <w:pStyle w:val="TextoNormalCentrado"/>
      </w:pPr>
      <w:r>
        <w:t>ECLI:ES:TC:2015:22</w:t>
      </w:r>
    </w:p>
    <w:p w:rsidR="0085709A" w:rsidRDefault="0085709A" w:rsidP="0085709A">
      <w:pPr>
        <w:pStyle w:val="TextoNormalCentrado"/>
      </w:pPr>
    </w:p>
    <w:p w:rsidR="0085709A" w:rsidRDefault="0085709A" w:rsidP="0085709A">
      <w:pPr>
        <w:pStyle w:val="SntesisDescriptiva"/>
      </w:pPr>
      <w:r>
        <w:t>Cuestión de inconstitucionalidad 4538-2013. Planteada por la Sala de lo Contencioso-Administrativo del Tribunal Supremo en relación con diversos preceptos de la Ley de la Asamblea de Extremadura 7/1997, de 29 de mayo, de medidas fiscales sobre la producción y transporte de energía que incidan sobre el medio ambiente.</w:t>
      </w:r>
    </w:p>
    <w:p w:rsidR="0085709A" w:rsidRDefault="0085709A" w:rsidP="0085709A">
      <w:pPr>
        <w:pStyle w:val="SntesisDescriptiva"/>
      </w:pPr>
    </w:p>
    <w:p w:rsidR="0085709A" w:rsidRDefault="0085709A" w:rsidP="0085709A">
      <w:pPr>
        <w:pStyle w:val="SntesisAnaltica"/>
      </w:pPr>
      <w:r>
        <w:t>Límites a la potestad tributaria de las Comunidades Autónomas: nulidad de los preceptos legales que gravan actividades sujetas al impuesto sobre actividades económicas sin finalidad extrafiscal (STC 179/2006).</w:t>
      </w:r>
    </w:p>
    <w:p w:rsidR="0085709A" w:rsidRDefault="0085709A" w:rsidP="0085709A">
      <w:pPr>
        <w:pStyle w:val="SntesisAnaltica"/>
      </w:pPr>
    </w:p>
    <w:p w:rsidR="0085709A" w:rsidRDefault="0085709A" w:rsidP="0085709A">
      <w:pPr>
        <w:pStyle w:val="Extracto"/>
      </w:pPr>
      <w:r>
        <w:t>1.</w:t>
      </w:r>
      <w:r>
        <w:tab/>
        <w:t>Controversia resuelta en las SSTC 196/2012 y 60/2013, estableciendo que a tenor de los preceptos legales impugnados que configuran el Impuesto sobre actividades económicas no se aprecia que el tributo tenga una verdadera finalidad extrafiscal o</w:t>
      </w:r>
      <w:r w:rsidRPr="0085709A">
        <w:rPr>
          <w:i/>
        </w:rPr>
        <w:t xml:space="preserve"> intentio legis </w:t>
      </w:r>
      <w:r>
        <w:t>de gravar la actividad contaminante y los riesgos para el medio ambiente [FJ 4].</w:t>
      </w:r>
    </w:p>
    <w:p w:rsidR="0085709A" w:rsidRDefault="0085709A" w:rsidP="0085709A">
      <w:pPr>
        <w:pStyle w:val="Extracto"/>
      </w:pPr>
    </w:p>
    <w:p w:rsidR="0085709A" w:rsidRDefault="0085709A" w:rsidP="0085709A">
      <w:pPr>
        <w:pStyle w:val="Extracto"/>
      </w:pPr>
      <w:r>
        <w:t>2.</w:t>
      </w:r>
      <w:r>
        <w:tab/>
        <w:t>El hecho imponible del Impuesto sobre instalaciones que incidan en el medio ambiente que ahora se impugna supone tan solo una modificación parcial, no sustancial, del ya declarado inconstitucional en la citada STC 179/2006, y la declaración de inconstitucionalidad resulta también de la doctrina allí contenida [FJ 4].</w:t>
      </w:r>
    </w:p>
    <w:p w:rsidR="0085709A" w:rsidRDefault="0085709A" w:rsidP="0085709A">
      <w:pPr>
        <w:pStyle w:val="Extracto"/>
      </w:pPr>
    </w:p>
    <w:p w:rsidR="0085709A" w:rsidRDefault="0085709A" w:rsidP="0085709A">
      <w:pPr>
        <w:pStyle w:val="Extracto"/>
      </w:pPr>
      <w:r>
        <w:t>3.</w:t>
      </w:r>
      <w:r>
        <w:tab/>
        <w:t>Doctrina sobre el canon de constitucionalidad aplicable a las normas de las Comunidades Autónomas [FJ 1.a)].</w:t>
      </w:r>
    </w:p>
    <w:p w:rsidR="0085709A" w:rsidRDefault="0085709A" w:rsidP="0085709A">
      <w:pPr>
        <w:pStyle w:val="Extracto"/>
      </w:pPr>
    </w:p>
    <w:p w:rsidR="0085709A" w:rsidRDefault="0085709A" w:rsidP="0085709A">
      <w:pPr>
        <w:pStyle w:val="Extracto"/>
      </w:pPr>
      <w:r>
        <w:t>4.</w:t>
      </w:r>
      <w:r>
        <w:tab/>
        <w:t>La modificación de la Ley Orgánica de Financiación de las Comunidades Autónomas no afecta al juicio de constitucionalidad sobre los preceptos impugnados, pues se conectan con su aplicación a un concreto proceso, en el que el órgano judicial proponente de la cuestión ha de resolver sobre la pretensión ejercitada a la luz de la normativa vigente en el momento en el que se suscitó el proceso a quo, y la reforma legislativa no puede ser de aplicación a situaciones que, como ésta, son anteriores a su entrada en vigor [FJ 1.a)].</w:t>
      </w:r>
    </w:p>
    <w:p w:rsidR="0085709A" w:rsidRDefault="0085709A" w:rsidP="0085709A">
      <w:pPr>
        <w:pStyle w:val="Extracto"/>
      </w:pPr>
    </w:p>
    <w:p w:rsidR="0085709A" w:rsidRDefault="0085709A" w:rsidP="0085709A">
      <w:pPr>
        <w:pStyle w:val="Extracto"/>
      </w:pPr>
      <w:r>
        <w:t>5.</w:t>
      </w:r>
      <w:r>
        <w:tab/>
        <w:t>Tampoco afecta al objeto de esta cuestión el hecho de que la norma de cuya constitucionalidad se duda, la Ley 7/1997, en la redacción que le otorgó la Ley 8/2005, haya sido parcialmente modificada mediante el Decreto Legislativo 2/2006, de 12 de diciembre, por el que se aprueba el texto refundido de las disposiciones legales de la Comunidad Autónoma de Extremadura en materia de tributos propios [FJ 1.b)].</w:t>
      </w:r>
    </w:p>
    <w:p w:rsidR="0085709A" w:rsidRDefault="0085709A" w:rsidP="0085709A">
      <w:pPr>
        <w:pStyle w:val="Extracto"/>
      </w:pPr>
    </w:p>
    <w:p w:rsidR="0085709A" w:rsidRDefault="0085709A" w:rsidP="0085709A">
      <w:pPr>
        <w:pStyle w:val="Extracto"/>
      </w:pPr>
      <w:r>
        <w:t>6.</w:t>
      </w:r>
      <w:r>
        <w:tab/>
        <w:t>Por exigencia del principio de seguridad jurídica, únicamente han de considerarse situaciones susceptibles de ser revisadas con fundamento en esta Sentencia aquellas que, a la fecha de publicación de la misma, hayan sido impugnadas en tiempo y forma y no haya recaído sobre ellas una resolución administrativa o judicial firme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4538-2013, promovida por la Sección Segunda de la Sala de lo Contencioso-Administrativo del Tribunal Supremo, respecto de los arts. 2, 6 y 8 de la Ley 7/1997, de 29 de mayo, de la Asamblea de Extremadura, de medidas fiscales sobre la producción y transporte de energía que incidan sobre el medio ambiente, en la redacción dada a los mismos por la Ley 8/2005, de 27 de diciembre, que regulan el impuesto sobre instalaciones que incidan en el medio ambiente, por posible vulneración de los arts. 133.2, 156.1 y 157.3 CE, en relación con el art. 6.3 de la Ley Orgánica 8/1980, de 22 de septiembre, de financiación de las Comunidades Autónomas. Han comparecido el Abogado del Estado, los Letrados de la Junta y de la Asamblea de Extremadura y el Fiscal General del Estado.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10 de julio de 2013 tuvo entrada en el Registro General de este Tribunal Constitucional un escrito de la Sección Segunda de la Sala de lo Contencioso-Administrativo del Tribunal Supremo, al que se acompaña, junto al testimonio del correspondiente procedimiento, el Auto de la referida Sala de 4 de junio de 2013, por el que se plantea una cuestión de inconstitucionalidad en relación con el impuesto sobre instalaciones que incidan en el medio ambiente, regulado en la Ley 7/1997, de 29 de mayo, de medidas fiscales sobre la producción y transporte de energía que incidan sobre el medio ambiente, en la redacción dada por la Ley 8/2005, 27 diciembre, de reforma de tributos propios de la Comunidad Autónoma de Extremadura. Se considera por el órgano promotor de la cuestión que los arts. 2 a), 6 y 8 de la Ley 7/1997, en la redacción dada a los mismos por la Ley 8/2005, vulneran los arts. 133.2, 156.1 y 157.3 CE, en relación con el art. 6.3 de la Ley Orgánica 8/1980, de 22 de septiembre, de financiación de las Comunidades Autónomas (LOFCA, en adelante) en su redacción originaria y aplicable al caso (esto es, previa a su reforma mediante Ley Orgánica 3/2009, de 18 de diciembre, de modificación de la LOFCA).</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lastRenderedPageBreak/>
        <w:t>a) La representación procesal de Unión Fenosa Generación, S.A., solicitó la rectificación de la autoliquidación y la devolución de la cuota tributaria ingresada en relación con el impuesto sobre instalaciones que incidan en el medio ambiente, siendo la cuantía del procedimiento de 2.293.579,09 €. Agotada la vía administrativa, se interpuso recurso ante la Sala de lo Contencioso-Administrativo del Tribunal Superior de Justicia de Extremadura, que fue desestimado mediante la Sentencia de 27 de julio de 2010.</w:t>
      </w:r>
    </w:p>
    <w:p w:rsidR="0085709A" w:rsidRDefault="0085709A" w:rsidP="0085709A">
      <w:pPr>
        <w:pStyle w:val="TextoNormal"/>
      </w:pPr>
    </w:p>
    <w:p w:rsidR="0085709A" w:rsidRDefault="0085709A" w:rsidP="0085709A">
      <w:pPr>
        <w:pStyle w:val="TextoNormal"/>
      </w:pPr>
      <w:r>
        <w:t>b) Frente a la anterior Sentencia, se interpuso recurso de casación. Concluso el proceso, el día 30 de abril de 2013 la Sección Segunda de la Sala de lo Contencioso-Administrativo del Tribunal Supremo dictó providencia por la que acuerda oír a las partes comparecidas y al Ministerio Fiscal, en el plazo de diez días, acerca de la pertinencia de plantear la cuestión de inconstitucionalidad en relación con los arts. 2 a), 6 y 8 de la Ley 7/1997, de 29 de mayo, de medidas fiscales sobre la producción y transporte de energía que incidan sobre el medio ambiente, en su redacción otorgada mediante la Ley 8/2005, de 27 diciembre, de reforma de tributos propios de la Comunidad Autónoma de Extremadura. Se considera en la providencia que los citados preceptos podrían infringir los arts. 133.2, 156.1 y 157.3 CE en relación con el art. 6.3 LOFCA (con arreglo a su redacción originaria).</w:t>
      </w:r>
    </w:p>
    <w:p w:rsidR="0085709A" w:rsidRDefault="0085709A" w:rsidP="0085709A">
      <w:pPr>
        <w:pStyle w:val="TextoNormal"/>
      </w:pPr>
    </w:p>
    <w:p w:rsidR="0085709A" w:rsidRDefault="0085709A" w:rsidP="0085709A">
      <w:pPr>
        <w:pStyle w:val="TextoNormal"/>
      </w:pPr>
      <w:r>
        <w:t>c) En cumplimiento del trámite de alegaciones conferido, la parte actora presentó su escrito de alegaciones fechado el 17 de mayo de 2013 manifestando su conformidad con el planteamiento de la cuestión de inconstitucionalidad. Por escrito registrado el mismo día, el Letrado de la Junta de Extremadura, manifestó su oposición al planteamiento de la misma. Finalmente, el Ministerio Fiscal, por escrito registrado en la Sala el día 3 de junio de 2013, manifestó su conformidad al planteamiento de la cuestión.</w:t>
      </w:r>
    </w:p>
    <w:p w:rsidR="0085709A" w:rsidRDefault="0085709A" w:rsidP="0085709A">
      <w:pPr>
        <w:pStyle w:val="TextoNormal"/>
      </w:pPr>
    </w:p>
    <w:p w:rsidR="0085709A" w:rsidRDefault="0085709A" w:rsidP="0085709A">
      <w:pPr>
        <w:pStyle w:val="TextoNormal"/>
      </w:pPr>
      <w:r>
        <w:t>d) Con fecha 4 de junio de 2013 se dictó el Auto de planteamiento de la presente cuestión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3</w:t>
      </w:r>
      <w:r>
        <w:t>. En la fundamentación jurídica del Auto de promoción de la cuestión se razona, en esencia, en los siguientes términos:</w:t>
      </w:r>
    </w:p>
    <w:p w:rsidR="0085709A" w:rsidRDefault="0085709A" w:rsidP="0085709A">
      <w:pPr>
        <w:pStyle w:val="TextoNormal"/>
      </w:pPr>
    </w:p>
    <w:p w:rsidR="0085709A" w:rsidRDefault="0085709A" w:rsidP="0085709A">
      <w:pPr>
        <w:pStyle w:val="TextoNormal"/>
      </w:pPr>
      <w:r>
        <w:t>a) Tras exponer los hechos de los que trae causa la presente cuestión, el órgano judicial formula el juicio de relevancia a partir del fundamento cuarto del Auto, en el que cita detalladamente la doctrina contenida, en relación con el art. 6.3 LOFCA, en las SSTC 289/2000, de 20 de noviembre; 179/2006, de 13 junio; 196/2012, de 31 de octubre, y 60/2013, de 13 de marzo, que avalaría la inconstitucionalidad de los artículos respecto de los que se plantea la cuestión.</w:t>
      </w:r>
    </w:p>
    <w:p w:rsidR="0085709A" w:rsidRDefault="0085709A" w:rsidP="0085709A">
      <w:pPr>
        <w:pStyle w:val="TextoNormal"/>
      </w:pPr>
    </w:p>
    <w:p w:rsidR="0085709A" w:rsidRDefault="0085709A" w:rsidP="0085709A">
      <w:pPr>
        <w:pStyle w:val="TextoNormal"/>
      </w:pPr>
      <w:r>
        <w:t xml:space="preserve">b) En primer lugar, según se expone en el fundamento quinto, porque es evidente la duplicidad entre el impuesto sobre actividades económicas (IAE) y el impuesto sobre instalaciones que incidan en el medio ambiente, según se desprende del examen de la estructura de cada uno de ellos, con cita del Real Decreto Legislativo 1175/1990, de 28 de septiembre, por el que se aprueban las tarifas y la instrucción del impuesto sobre actividades económicas, en cuyo grupo 151 de la sección primera se contemplan las actividades de “producción, transporte y distribución de energía eléctrica”. Se concluye así, tras exponer los elementos esenciales de ambos impuestos, que “existen inequívocas concomitancias en la configuración estructural de ambos impuestos, el autonómico y el local”, infringiéndose así el citado art. 6.3 LOFCA. Ambos tributos inciden así sobre actividades económicas, ambos gravan a </w:t>
      </w:r>
      <w:r>
        <w:lastRenderedPageBreak/>
        <w:t>quienes realizan aquéllas y ambos tributos, en fin, contemplan cuotas tributarias para la actividad de producción de energía eléctrica. Se añade que precisamente “uno de los votos particulares a la Sentencia del Tribunal Constitucional 179/2006, que resolvió la cuestión de inconstitucionalidad de la Ley 7/1997, de la Asamblea de Extremadura, manifestaba precisamente que más clara parecía la inconstitucionalidad del tributo por la coincidencia con el impuesto de actividades económicas, en cuanto que el impuesto extremeño, en definitiva, lo que viene es a gravar una determinada actividad ya sometida a tributación por el impuesto de actividades económicas”. Adicionalmente, se cita la STC 60/2013, que se refiere al similar tributo regulado en la Ley de las Cortes de Castilla-La Mancha 16/2005, de 29 de diciembre, del impuesto sobre determinadas actividades que inciden en el medio ambiente, habiéndose declarado inconstitucionales y nulos los artículos. 2.1 b), 5 b) y 8 b) de la misma.</w:t>
      </w:r>
    </w:p>
    <w:p w:rsidR="0085709A" w:rsidRDefault="0085709A" w:rsidP="0085709A">
      <w:pPr>
        <w:pStyle w:val="TextoNormal"/>
      </w:pPr>
    </w:p>
    <w:p w:rsidR="0085709A" w:rsidRDefault="0085709A" w:rsidP="0085709A">
      <w:pPr>
        <w:pStyle w:val="TextoNormal"/>
      </w:pPr>
      <w:r>
        <w:t>c) Concluido que existe un evidente solapamiento entre las materias imponibles gravadas por el IAE y el impuesto sobre instalaciones que incidan en el medio ambiente, se razona que el tributo extremeño tampoco reviste carácter extrafiscal, con cita de la STC 289/2000 (sobre la Ley del Parlamento de las Islas Baleares 12/1991, de 20 de diciembre, creó también un impuesto sobre las instalaciones que inciden sobre el medio ambiente). El impuesto sobre instalaciones que incidan en el medio ambiente no puede considerarse extrafiscal, ya que recae sobre actividades de producción, almacenaje o transformación de energía eléctrica, de suerte que no grava directamente la actividad contaminante sino el mero ejercicio de actividades económicas relacionadas con la producción de energía eléctrica, lo que confirma que se incurre en la prohibición prevista en el artículo 6.3 LOFCA, en su redacción previa a la modificación operada por la Ley Orgánica 3/2009, al solaparse con la materia imponible del impuesto sobre actividades económicas.</w:t>
      </w:r>
    </w:p>
    <w:p w:rsidR="0085709A" w:rsidRDefault="0085709A" w:rsidP="0085709A">
      <w:pPr>
        <w:pStyle w:val="TextoNormal"/>
      </w:pPr>
    </w:p>
    <w:p w:rsidR="0085709A" w:rsidRDefault="0085709A" w:rsidP="0085709A">
      <w:pPr>
        <w:pStyle w:val="TextoNormal"/>
      </w:pPr>
      <w:r>
        <w:t>No enerva lo anterior la parcial afectación del impuesto, especialmente porque la misma no fue considerada suficiente en la STC 179/2006, FJ 10, sin que precisamente la modificación acometida por la Ley 8/2005, haya modificado la disposición adicional primera de la Ley 7/1997. Por tanto, debe entenderse vigente lo establecido en la citada STC 179/2006, por la que se declaró la inconstitucionalidad de la redacción anterior del impuesto sobre instalaciones que incidan en el medio ambiente, bastando con cambiar la referencia que allí se hace al Impuesto sobre bienes inmuebles, por la mención al impuesto sobre actividades económicas.</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mediante providencia de 6 de mayo de 2014 admitir a trámite la cuestión de inconstitucionalidad planteada. De conformidad al art. 10.1 c) de la Ley Orgánica del Tribunal Constitucional (LOTC) deferir a la Sala Segunda, por turno objetivo, el conocimiento de la presente cuestión. Conforme establece el art. 37.3 LOTC, procedió a dar traslado de las actuaciones recibidas, al Congreso de los Diputados y al Senado, por conducto de sus Presidentes, al Gobierno, por conducto del Ministerio de Justicia, y al Fiscal General del Estado, así como a la Junta y a la Asamblea de Extremadura, por conducto de sus Presidentes, al objeto de que, en el improrrogable plazo de quince días, pudieran personarse en el proceso y formular las alegaciones que estimaran convenientes. Asimismo acordó publicar la incoación de la cuestión en el “Boletín Oficial del Estado” (“BOE” núm. 116, de 13 de mayo de 2014).</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Por escrito registrado el 19 de mayo siguiente, se recibió comunicación del Presidente del Congreso de los Diputados conforme a la cual se ponía en conocimiento de este Tribunal </w:t>
      </w:r>
      <w:r>
        <w:lastRenderedPageBreak/>
        <w:t>la personación de dicha Cámara y su ofrecimiento de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registrado en este Tribunal el día 28 de mayo de 2014, el Presidente del Senado solicitó a este Tribunal que se tuviera a dicha Cámara por personada en el procedimiento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escrito de 29 de mayo de 2014 el Letrado de la Junta de Extremadura suplicó que se le tuviera por personado en el procedimiento y concediera una prórroga por el plazo máximo legal para la realización de las alegaciones, habida cuenta de la situación de baja por incapacidad temporal en la que se encuentra el Letrado director del asunto.</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providencia de 30 de mayo de 2014 la Sala Segunda acordó incorporar a las actuaciones el anterior escrito del Letrado de la Junta de Extremadura, a quien se tiene por personado en nombre del Gobierno de esta Comunidad, sin que haya lugar a la prórroga solicitada por ser el plazo improrrogable con arreglo al art. 37.3 LOTC.</w:t>
      </w:r>
    </w:p>
    <w:p w:rsidR="0085709A" w:rsidRDefault="0085709A" w:rsidP="0085709A">
      <w:pPr>
        <w:pStyle w:val="TextoNormal"/>
      </w:pPr>
    </w:p>
    <w:p w:rsidR="0085709A" w:rsidRDefault="0085709A" w:rsidP="0085709A">
      <w:pPr>
        <w:pStyle w:val="TextoNormal"/>
      </w:pPr>
      <w:r w:rsidRPr="0085709A">
        <w:rPr>
          <w:rStyle w:val="NumeroAFNegritaCaracter"/>
        </w:rPr>
        <w:t>9</w:t>
      </w:r>
      <w:r>
        <w:t>. El 30 de mayo se registra el escrito de alegaciones del Abogado del Estado. Comienza el escrito recordando que la Comunidad Autónoma de Extremadura ostenta competencia para la protección del medio ambiente, así como para aprobar normas adicionales de protección del mismo y del régimen energético, de suerte que esta Comunidad Autónoma no sólo tiene la competencia material para dictar normas de desarrollo legislativo en esta materia sino que también, como se afirmó en la STC 60/2013, de 13 de marzo, FJ 2, tiene atribuida la competencia financiera para adoptar esas medidas en forma de tributos tanto de carácter fiscal como extrafiscales dentro del marco y límites establecidos por la LOFCA.</w:t>
      </w:r>
    </w:p>
    <w:p w:rsidR="0085709A" w:rsidRDefault="0085709A" w:rsidP="0085709A">
      <w:pPr>
        <w:pStyle w:val="TextoNormal"/>
      </w:pPr>
    </w:p>
    <w:p w:rsidR="0085709A" w:rsidRDefault="0085709A" w:rsidP="0085709A">
      <w:pPr>
        <w:pStyle w:val="TextoNormal"/>
      </w:pPr>
      <w:r>
        <w:t>a) A partir de lo anterior examina los límites generales previstos en el art. 6.3 LOFCA, con cita de la doctrina contenida entre otras en la citada STC 60/2013 y en la anterior STC 197/2012, de 6 noviembre, FJ 7, en la que se recuerda que la prohibición de duplicidad impositiva contenida en la dicción originaria, aplicable a este caso, del art. 6.3 LOFCA conducía a una prohibición de equivalencia en relación la materia efectivamente gravada por el tributo, con independencia del modo en que se articule por el legislador el hecho imponible “por lo que resulta vedado cualquier solapamiento, sin habilitación legal previa, entre la fuente de riqueza gravada por un tributo local y por un tributo autonómico”. Sin perjuicio de lo anterior, recuerda que en todo caso es preciso, como ha establecido la doctrina de este Tribunal, realizar una comparación de todos los elementos del tributo que se encuentran conectados con el hecho imponible, tales como los supuestos de no sujeción o exención, los sujetos pasivos, la base imponible, los elementos de determinación de la deuda tributaria y finalmente la posible concurrencia de una posible finalidad extrafiscal que se refleje efectivamente en la estructura del impuesto (SSTC 122/2012, de 5 de junio, FJ 4; 210/2012, de 14 de noviembre, y 60/2013, de 13 de marzo, FJ 3).</w:t>
      </w:r>
    </w:p>
    <w:p w:rsidR="0085709A" w:rsidRDefault="0085709A" w:rsidP="0085709A">
      <w:pPr>
        <w:pStyle w:val="TextoNormal"/>
      </w:pPr>
    </w:p>
    <w:p w:rsidR="0085709A" w:rsidRDefault="0085709A" w:rsidP="0085709A">
      <w:pPr>
        <w:pStyle w:val="TextoNormal"/>
      </w:pPr>
      <w:r>
        <w:t xml:space="preserve">Una vez recordada de este modo la jurisprudencia constitucional, examina los elementos esenciales del impuesto de actividades económicas y del impuesto sobre instalaciones que incidan en el medio ambiente impugnado, para concluir que se está en ambos casos ante el mismo objeto o materia imponible —la actividad económica— y ante dos configuraciones </w:t>
      </w:r>
      <w:r>
        <w:lastRenderedPageBreak/>
        <w:t>jurídicas distintas de esa misma materia imponible, añadiendo que en lo que se refiere a la actividad empresarial consistente en la producción, transporte y distribución de energía eléctrica, que constituye el hecho disponible del impuesto sobre instalaciones que incidan en el medio ambiente, la misma está clasificada en el grupo 151 de la sección primera de las tarifas del impuesto, reguladas por el Real Decreto Legislativo 1175/1990, de 28 septiembre, por el que se aprueban las tarifas y la instrucción del impuesto sobre actividades económicas.</w:t>
      </w:r>
    </w:p>
    <w:p w:rsidR="0085709A" w:rsidRDefault="0085709A" w:rsidP="0085709A">
      <w:pPr>
        <w:pStyle w:val="TextoNormal"/>
      </w:pPr>
    </w:p>
    <w:p w:rsidR="0085709A" w:rsidRDefault="0085709A" w:rsidP="0085709A">
      <w:pPr>
        <w:pStyle w:val="TextoNormal"/>
      </w:pPr>
      <w:r>
        <w:t>Por tanto, uno y otro impuesto afectan a la misma materia imponible, con coincidencia del hecho imponible como factor decisivo, de lo que cabe deducir la existencia de vulneración del art. 6.3 LOFCA.</w:t>
      </w:r>
    </w:p>
    <w:p w:rsidR="0085709A" w:rsidRDefault="0085709A" w:rsidP="0085709A">
      <w:pPr>
        <w:pStyle w:val="TextoNormal"/>
      </w:pPr>
    </w:p>
    <w:p w:rsidR="0085709A" w:rsidRDefault="0085709A" w:rsidP="0085709A">
      <w:pPr>
        <w:pStyle w:val="TextoNormal"/>
      </w:pPr>
      <w:r>
        <w:t>b) Añade además que el tributo cuestionado no tiene finalidad extra fiscal, pues no se dirige ni a disuadir del incumplimiento de ninguna obligación ni busca tampoco estimular actuaciones protectoras del medio ambiente, en cumplimiento del art. 45 CE. Tampoco tiene ninguna relevancia la circunstancia de que el rendimiento del impuesto se haya afectado en los términos de la disposición adicional primera de la Ley autonómica 7/1997, dado que la afectación no es más que uno de los varios indicios, y no precisamente el más importante, a tener en cuenta para determinar la naturaleza del tributo, de acuerdo con la jurisprudencia contenida en las SSTC 179/2006, de 13 junio, FJ 10, y 60/2013, de 13 de marzo, FJ 5.</w:t>
      </w:r>
    </w:p>
    <w:p w:rsidR="0085709A" w:rsidRDefault="0085709A" w:rsidP="0085709A">
      <w:pPr>
        <w:pStyle w:val="TextoNormal"/>
      </w:pPr>
    </w:p>
    <w:p w:rsidR="0085709A" w:rsidRDefault="0085709A" w:rsidP="0085709A">
      <w:pPr>
        <w:pStyle w:val="TextoNormal"/>
      </w:pPr>
      <w:r>
        <w:t>Para finalizar, afirma que las exenciones previstas en el art. 4 de la Ley autonómica impugnada no se vinculan con la finalidad medioambiental declarada, sin que se advierta tampoco una efectiva relación entre la cuantía del tributo y la perturbación del medio ambiente que ocasiona la actividad gravada, por ejemplo porque no se discrimina entre auténticas plantas o instalaciones que por su tecnología en el proceso de producción, antigüedad u obsolescencia, puedan ser más determinantes en el perjuicio al medio ambiente que la sola fuente energética primaria, desconociendo además la situación de las productoras de energía de origen termonuclear que resulta sometida, sin más, a un gravamen mayor sin alternativa facilitada por la regulación misma que les permitiera adoptar medidas o comportamientos con menor riesgo medioambiental.</w:t>
      </w:r>
    </w:p>
    <w:p w:rsidR="0085709A" w:rsidRDefault="0085709A" w:rsidP="0085709A">
      <w:pPr>
        <w:pStyle w:val="TextoNormal"/>
      </w:pPr>
    </w:p>
    <w:p w:rsidR="0085709A" w:rsidRDefault="0085709A" w:rsidP="0085709A">
      <w:pPr>
        <w:pStyle w:val="TextoNormal"/>
      </w:pPr>
      <w:r>
        <w:t>Se concluye así que el impuesto sobre instalaciones que incidan en el medio ambiente es un impuesto de naturaleza fiscal que coincide con el IAE y resulta contrario al art. 6.3 LOFCA, en su redacción previa a la modificación operada por la Ley Orgánica 3/2009, lo que determina que los preceptos impugnados resulten inconstitucionales al infringir los arts. 133.2, 156.1 y 157.3 CE.</w:t>
      </w:r>
    </w:p>
    <w:p w:rsidR="0085709A" w:rsidRDefault="0085709A" w:rsidP="0085709A">
      <w:pPr>
        <w:pStyle w:val="TextoNormal"/>
      </w:pPr>
    </w:p>
    <w:p w:rsidR="0085709A" w:rsidRDefault="0085709A" w:rsidP="0085709A">
      <w:pPr>
        <w:pStyle w:val="TextoNormal"/>
      </w:pPr>
      <w:r w:rsidRPr="0085709A">
        <w:rPr>
          <w:rStyle w:val="NumeroAFNegritaCaracter"/>
        </w:rPr>
        <w:t>10</w:t>
      </w:r>
      <w:r>
        <w:t>. El 2 de junio de 2014 se registra un breve escrito de la Asamblea de Extremadura, a través de su representación letrada, en la que se interesa la desestimación de la presente cuestión de inconstitucionalidad afirmando que la norma impugnada no ha incurrido en vicio de inconstitucionalidad alguno.</w:t>
      </w:r>
    </w:p>
    <w:p w:rsidR="0085709A" w:rsidRDefault="0085709A" w:rsidP="0085709A">
      <w:pPr>
        <w:pStyle w:val="TextoNormal"/>
      </w:pPr>
    </w:p>
    <w:p w:rsidR="0085709A" w:rsidRDefault="0085709A" w:rsidP="0085709A">
      <w:pPr>
        <w:pStyle w:val="TextoNormal"/>
      </w:pPr>
      <w:r w:rsidRPr="0085709A">
        <w:rPr>
          <w:rStyle w:val="NumeroAFNegritaCaracter"/>
        </w:rPr>
        <w:t>11</w:t>
      </w:r>
      <w:r>
        <w:t>. El 3 de junio de 2014 tiene entrada el escrito del Letrado de la Junta de Extremadura, en la representación que legalmente ostenta, en el que manifiesta su oposición al planteamiento de la cuestión de inconstitucionalidad.</w:t>
      </w:r>
    </w:p>
    <w:p w:rsidR="0085709A" w:rsidRDefault="0085709A" w:rsidP="0085709A">
      <w:pPr>
        <w:pStyle w:val="TextoNormal"/>
      </w:pPr>
    </w:p>
    <w:p w:rsidR="0085709A" w:rsidRDefault="0085709A" w:rsidP="0085709A">
      <w:pPr>
        <w:pStyle w:val="TextoNormal"/>
      </w:pPr>
      <w:r>
        <w:lastRenderedPageBreak/>
        <w:t>a) Comienza el escrito con la exposición de los antecedentes de la redacción de la Ley que se cuestiona, que fue modificada mediante la Ley 8/2005, de 27 diciembre, de reforma de tributos propios de la Comunidad Autónoma de Extremadura precisamente para dar cumplimiento a lo establecido en la STC 179/2006, de 13 de junio, que había declarado la inconstitucionalidad de la redacción anterior del precepto. Resalta así que de hecho el texto mismo de la Ley 8/2005 es fruto del acuerdo de la Comisión Bilateral de Cooperación de la Administración general del Estado y la Comunidad Autónoma de Extremadura, en su reunión celebrada el día 13 de abril de 2005, publicado en el “BOE” núm. 40, de 16 de febrero de 2006 y en el que se incluía, como anexo, el propio texto de la norma ahora impugnada, lo que debe ser tenido en cuenta en aras de la lealtad constitucional.</w:t>
      </w:r>
    </w:p>
    <w:p w:rsidR="0085709A" w:rsidRDefault="0085709A" w:rsidP="0085709A">
      <w:pPr>
        <w:pStyle w:val="TextoNormal"/>
      </w:pPr>
    </w:p>
    <w:p w:rsidR="0085709A" w:rsidRDefault="0085709A" w:rsidP="0085709A">
      <w:pPr>
        <w:pStyle w:val="TextoNormal"/>
      </w:pPr>
      <w:r>
        <w:t>En consecuencia, se zanjó así el conflicto de competencias que subyace a este recurso, y que no procede ser reabierto por la vía de la cuestión de constitucionalidad. Esta norma se recoge después en el Decreto Legislativo 2/2006, de 12 de diciembre, por el que se aprueba el texto refundido de las disposiciones legales de la Comunidad Autónoma de Extremadura en materia de tributos propios, norma a la que se refiere el escrito de alegaciones del Letrado.</w:t>
      </w:r>
    </w:p>
    <w:p w:rsidR="0085709A" w:rsidRDefault="0085709A" w:rsidP="0085709A">
      <w:pPr>
        <w:pStyle w:val="TextoNormal"/>
      </w:pPr>
    </w:p>
    <w:p w:rsidR="0085709A" w:rsidRDefault="0085709A" w:rsidP="0085709A">
      <w:pPr>
        <w:pStyle w:val="TextoNormal"/>
      </w:pPr>
      <w:r>
        <w:t>b) Se refiere a continuación a la doctrina del Tribunal Constitucional sobre el alcance del art. 6.3 LOFCA en su redacción originaria (SSTC 289/2000, de 30 de noviembre, FJ 4; y 168/2004, de 5 de octubre, FJ 6; y ATC 417/2005, de 22 de noviembre, FJ 5). A partir de esta doctrina, examina las diferencias entre el impuesto sobre instalaciones que incidan en el medio ambiente y el impuesto sobre actividades económicas.</w:t>
      </w:r>
    </w:p>
    <w:p w:rsidR="0085709A" w:rsidRDefault="0085709A" w:rsidP="0085709A">
      <w:pPr>
        <w:pStyle w:val="TextoNormal"/>
      </w:pPr>
    </w:p>
    <w:p w:rsidR="0085709A" w:rsidRDefault="0085709A" w:rsidP="0085709A">
      <w:pPr>
        <w:pStyle w:val="TextoNormal"/>
      </w:pPr>
      <w:r>
        <w:t>En concreto, considera que las bases imponibles de uno y otro impuesto son diferentes. En efecto, la base imponible del impuesto sobre instalaciones que incidan en el medio ambiente se calcula directamente sobre la producción energética del sujeto pasivo, agravando la tarifa en función de si hay producción termonuclear. Además en el impuesto sobre instalaciones que incidan en el medio ambiente hay una relación directa entre la actividad productiva y la exacción del impuesto, lo que lo diferencia del IAE, cuya exacción no depende de la producción sino de la capacidad de operar en el mercado. El tributo se diferencia así sustancialmente del declarado inconstitucional mediante la STC 179/2006. Finalmente, se invoca la STC 53/2014, de 10 de abril, que corrobora la falta de identidad del impuesto sobre instalaciones que incidan en el medio ambiente  con el IAE, toda vez que este último sólo grava la actividad económica potencial, mientras que el tributo autonómico recae sobre la producción misma.</w:t>
      </w:r>
    </w:p>
    <w:p w:rsidR="0085709A" w:rsidRDefault="0085709A" w:rsidP="0085709A">
      <w:pPr>
        <w:pStyle w:val="TextoNormal"/>
      </w:pPr>
    </w:p>
    <w:p w:rsidR="0085709A" w:rsidRDefault="0085709A" w:rsidP="0085709A">
      <w:pPr>
        <w:pStyle w:val="TextoNormal"/>
      </w:pPr>
      <w:r>
        <w:t xml:space="preserve">c) Añade, en fin, que en todo caso el impuesto sobre instalaciones que incidan en el medio ambiente tiene finalidad extrafiscal, estando afectados los ingresos, además de preverse una finalidad disuasoria al no estar sujeto el autoconsumo. Avala lo anterior la doctrina contenida STC 196/2012, de 31 de octubre, sobre la Ley 11/2000, de 26 de diciembre, del impuesto sobre determinadas actividades que inciden en el medio ambiente. En esta Sentencia se anulaba uno de los hechos imponibles, el referido a la producción termonuclear. Sin embargo, hay sustanciales diferencias entre el impuesto sobre instalaciones que incidan en el medio ambiente reformado en 2005 y el regulado en la Ley 11/2000, de 26 de diciembre, del Impuesto sobre determinadas actividades que inciden en el medio ambiente, declarado inconstitucional. Así, en primer lugar, el hecho imponible del impuesto extremeño, impuesto sobre instalaciones que incidan en el medio ambiente, es distinto al de aquél </w:t>
      </w:r>
      <w:r>
        <w:lastRenderedPageBreak/>
        <w:t>porque se refiere a los elementos patrimoniales afectos, susceptibles de incidir en el medio ambiente. En segundo lugar, la STC 196/2012 se centra en la no extrafiscalidad del impuesto, lo que solo sucederá cuando éste desmotive conductas negativas para el medio ambiente, incentive conductas positivas o afecte su recaudación (fundamento jurídico 5). A partir de ahí, razona que concurre en el impuesto extremeño una finalidad extrafiscal que salva la equivalencia con el impuesto sobre actividades económicas, dándose los tres supuestos exigidos por la doctrina constitucional, desmotivando la instalación de tendidos, incentivando las energías limpias y afectando la totalidad de la recaudación.</w:t>
      </w:r>
    </w:p>
    <w:p w:rsidR="0085709A" w:rsidRDefault="0085709A" w:rsidP="0085709A">
      <w:pPr>
        <w:pStyle w:val="TextoNormal"/>
      </w:pPr>
    </w:p>
    <w:p w:rsidR="0085709A" w:rsidRDefault="0085709A" w:rsidP="0085709A">
      <w:pPr>
        <w:pStyle w:val="TextoNormal"/>
      </w:pPr>
      <w:r w:rsidRPr="0085709A">
        <w:rPr>
          <w:rStyle w:val="NumeroAFNegritaCaracter"/>
        </w:rPr>
        <w:t>12</w:t>
      </w:r>
      <w:r>
        <w:t>. . El 5 de junio de 2014 se registra el escrito del Fiscal General del Estado, que sostiene la inconstitucionalidad de los preceptos impugnados a partir de las siguientes consideraciones:</w:t>
      </w:r>
    </w:p>
    <w:p w:rsidR="0085709A" w:rsidRDefault="0085709A" w:rsidP="0085709A">
      <w:pPr>
        <w:pStyle w:val="TextoNormal"/>
      </w:pPr>
    </w:p>
    <w:p w:rsidR="0085709A" w:rsidRDefault="0085709A" w:rsidP="0085709A">
      <w:pPr>
        <w:pStyle w:val="TextoNormal"/>
      </w:pPr>
      <w:r>
        <w:t>a) Comienza recogiendo de forma sucinta los antecedentes de hecho, los elementos esenciales de la norma impugnada y los principales argumentos del Auto que plantea la cuestión de inconstitucionalidad. Centra la cuestión en la impugnación sobre algunos preceptos, de suerte que no se cuestiona el tributo que recae sobre las actividades de transporte de energía eléctrica, telefonía y telemática [arts. 2 b), 7 y 9 de la Ley 7/1997].</w:t>
      </w:r>
    </w:p>
    <w:p w:rsidR="0085709A" w:rsidRDefault="0085709A" w:rsidP="0085709A">
      <w:pPr>
        <w:pStyle w:val="TextoNormal"/>
      </w:pPr>
    </w:p>
    <w:p w:rsidR="0085709A" w:rsidRDefault="0085709A" w:rsidP="0085709A">
      <w:pPr>
        <w:pStyle w:val="TextoNormal"/>
      </w:pPr>
      <w:r>
        <w:t xml:space="preserve">A continuación recuerda el </w:t>
      </w:r>
      <w:r w:rsidRPr="0085709A">
        <w:rPr>
          <w:i/>
        </w:rPr>
        <w:t>iter</w:t>
      </w:r>
      <w:r>
        <w:t xml:space="preserve"> legislativo de la norma y los preceptos cuestionados, resaltando que una primera versión del tributo fue objeto de recurso de inconstitucionalidad por parte del Presidente del Gobierno, recurso número 3892-1997, en el que se imputó a la norma cuestionada la vulneración del art. 6.3 LOFCA en cuanto que se gravaban los elementos materiales que también se sujetaban a gravamen ya por el impuesto sobre bienes inmuebles. Finalmente se interesó el desistimiento del Presidente del Gobierno, lo que se acordó mediante ATC 375/2005, de 25 de octubre, a consecuencia del acuerdo de la Comisión bilateral de cooperación Administración general del Estado-Comunidad Autónoma de Extremadura de fecha 13 de abril de 2005, plasmado en la resolución de la Secretaría de Estado de cooperación territorial del 9 de mayo de 2005, publicada en el “BOE” del día 26 de mayo de 2005. Resalta que precisamente la promoción del desistimiento se había condicionado a la introducción por parte de la Junta de Extremadura de una serie de modificaciones en la redacción inicial de la Ley 7/1997 con el objeto de pasar a configurar el impuesto como un tributo que gravara la incidencia, alteración o riesgo de deterioro que ocasionará al medio ambiente la realización de determinadas actividades. De esta manera, la Ley 8/2005, de 27 de diciembre, fue fruto de dicho compromiso. Mientras tanto, la Sala de lo Contencioso-Administrativo del Tribunal Superior de Justicia de Extremadura había planteado ante el Tribunal Constitucional cuestión relativa a la norma originaria, que dio lugar a la STC 179/2006, de 13 de junio, que declaró inconstitucional y nula dicha norma, esto es la redacción anterior a la Ley 8/2005, de 29 de mayo, objeto parcialmente de la presente cuestión. Resalta también que la regulación del impuesto se encuentra recogida ahora en el texto refundido aprobado por Decreto Legislativo 2/2006, de 12 de diciembre, que ha sufrido algunas modificaciones posteriores, ninguna de las cuales afecta al objeto del proceso, toda vez que lo único determinante es que la norma siga resultando o no aplicable al proceso </w:t>
      </w:r>
      <w:r w:rsidRPr="0085709A">
        <w:rPr>
          <w:i/>
        </w:rPr>
        <w:t>a quo</w:t>
      </w:r>
      <w:r>
        <w:t>.</w:t>
      </w:r>
    </w:p>
    <w:p w:rsidR="0085709A" w:rsidRDefault="0085709A" w:rsidP="0085709A">
      <w:pPr>
        <w:pStyle w:val="TextoNormal"/>
      </w:pPr>
    </w:p>
    <w:p w:rsidR="0085709A" w:rsidRDefault="0085709A" w:rsidP="0085709A">
      <w:pPr>
        <w:pStyle w:val="TextoNormal"/>
      </w:pPr>
      <w:r>
        <w:t xml:space="preserve">b) Sentado lo anterior, examina el escrito los elementos esenciales de ambos tributos, impuesto sobre instalaciones que incidan en el medio ambiente e IAE, a la luz de la jurisprudencia, y muy en particular la contenida en la STC 196/2012, de 31 de octubre, FJ 2. </w:t>
      </w:r>
      <w:r>
        <w:lastRenderedPageBreak/>
        <w:t>Concluye que es evidente que el IAE y el impuesto sobre instalaciones que incidan en el medio ambiente tienen inequívocas concomitancias, pues ambos inciden sobre actividades económicas que suponen la ordenación por cuenta propia de medios de producción, gravando a quienes las realizan y contemplando cuotas tributarias para la actividad de producción de energía eléctrica. Por tanto, siendo tan evidente la duplicidad de ambos tributos únicamente si se concluyera que el impuesto sobre instalaciones que incidan en el medio ambiente tiene carácter extrafiscal podría determinarse que no se incurre en la prohibición del artículo 6.3 LOFCA.</w:t>
      </w:r>
    </w:p>
    <w:p w:rsidR="0085709A" w:rsidRDefault="0085709A" w:rsidP="0085709A">
      <w:pPr>
        <w:pStyle w:val="TextoNormal"/>
      </w:pPr>
    </w:p>
    <w:p w:rsidR="0085709A" w:rsidRDefault="0085709A" w:rsidP="0085709A">
      <w:pPr>
        <w:pStyle w:val="TextoNormal"/>
      </w:pPr>
      <w:r>
        <w:t>c) Examina por último la posible finalidad extrafiscal del impuesto sobre instalaciones que incidan en el medio ambiente, juicio que concluye en sentido negativo ya que la no sujeción de la producción de energía eléctrica es sólo un apunte indiciario del carácter extrafiscal. Sin embargo, avala la falta de finalidad extrafiscal el dato de que la Ley renuncia a gravar todas las actividades capaces de poner en riesgo el medio ambiente de la Comunidad Autónoma de Extremadura, centrándose únicamente en algunas de ellas. Añade que tampoco las exenciones previstas en el impuesto sobre instalaciones que incidan en el medio ambiente se vinculan con la finalidad medioambiental declarada, y que la modulación de la cuantía del gravamen para lograr dicha finalidad es, sino inexistente, demasiado tenue, de suerte que no hay una relación directa entre la cuantía del tributo y la preservación del medio ambiente que ocasiona la actividad gravada.</w:t>
      </w:r>
    </w:p>
    <w:p w:rsidR="0085709A" w:rsidRDefault="0085709A" w:rsidP="0085709A">
      <w:pPr>
        <w:pStyle w:val="TextoNormal"/>
      </w:pPr>
    </w:p>
    <w:p w:rsidR="0085709A" w:rsidRDefault="0085709A" w:rsidP="0085709A">
      <w:pPr>
        <w:pStyle w:val="TextoNormal"/>
      </w:pPr>
      <w:r>
        <w:t>Concluye por lo anterior la inconstitucionalidad de los preceptos cuestionados.</w:t>
      </w:r>
    </w:p>
    <w:p w:rsidR="0085709A" w:rsidRDefault="0085709A" w:rsidP="0085709A">
      <w:pPr>
        <w:pStyle w:val="TextoNormal"/>
      </w:pPr>
    </w:p>
    <w:p w:rsidR="0085709A" w:rsidRDefault="0085709A" w:rsidP="0085709A">
      <w:pPr>
        <w:pStyle w:val="TextoNormal"/>
      </w:pPr>
      <w:r w:rsidRPr="0085709A">
        <w:rPr>
          <w:rStyle w:val="NumeroAFNegritaCaracter"/>
        </w:rPr>
        <w:t>13</w:t>
      </w:r>
      <w:r>
        <w:t>. Por providencia de 12 de febrero de 2015 se señaló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de lo Contencioso-Administrativo del Tribunal Supremo plantea cuestión de inconstitucionalidad en relación con los arts. 2 a), 6 y 8 de la Ley 7/1997, de 29 de mayo, de medidas fiscales sobre la producción y transporte de energía que incidan sobre el medio ambiente, en su redacción otorgada mediante la Ley 8/2005, de 27 de diciembre, de reforma de tributos propios de la Comunidad Autónoma de Extremadura, que se refieren al impuesto sobre instalaciones que incidan en el medio ambiente.</w:t>
      </w:r>
    </w:p>
    <w:p w:rsidR="0085709A" w:rsidRDefault="0085709A" w:rsidP="0085709A">
      <w:pPr>
        <w:pStyle w:val="TextoNormal"/>
      </w:pPr>
    </w:p>
    <w:p w:rsidR="0085709A" w:rsidRDefault="0085709A" w:rsidP="0085709A">
      <w:pPr>
        <w:pStyle w:val="TextoNormal"/>
      </w:pPr>
      <w:r>
        <w:t>Antes de entrar a analizar la cuestión de fondo planteada es necesario realizar una serie de precisiones previas.</w:t>
      </w:r>
    </w:p>
    <w:p w:rsidR="0085709A" w:rsidRDefault="0085709A" w:rsidP="0085709A">
      <w:pPr>
        <w:pStyle w:val="TextoNormal"/>
      </w:pPr>
    </w:p>
    <w:p w:rsidR="0085709A" w:rsidRDefault="0085709A" w:rsidP="0085709A">
      <w:pPr>
        <w:pStyle w:val="TextoNormal"/>
      </w:pPr>
      <w:r>
        <w:t xml:space="preserve">a) Lo primero que debe señalarse, como hiciéramos en la STC 60/2013, de 13 de marzo, es que el canon de constitucionalidad aplicable a las normas de las Comunidades Autónomas es el contenido en sus respectivos Estatutos de Autonomía y en las leyes estatales que, dentro del marco constitucional, se hubieran dictado para delimitar las competencias entre el Estado y las Comunidades Autónomas así como, por supuesto, en las reglas y principios constitucionales aplicables a todos los poderes públicos que conforman el Estado en sentido amplio así como en las reglas y principios constitucionales específicamente dirigidos a las Comunidades Autónomas [SSTC 7/2010, de 27 de abril, FJ 4; 74/2011, de 19 de mayo, FJ 3; y 196/2012, de 31 de octubre, FJ 1 c)]. Junto a otros preceptos constitucionales, entre </w:t>
      </w:r>
      <w:r>
        <w:lastRenderedPageBreak/>
        <w:t>esas leyes delimitadoras de las competencias tributarias entre el Estado y las Comunidades Autónomas, se encuentra la Ley Orgánica 8/1980, de 22 de septiembre, de financiación de las Comunidades Autónomas (LOFCA) [SSTC 289/2000, de 30 de noviembre, FJ 2; 179/2006, de 13 de junio, FJ 2; 196/2012, FJ 1 c); 60/2013, de 13 de marzo, FJ 1; y 53/2014, de 10 de abril, FJ 1 a); y el ATC 456/2007, de 12 de diciembre, FJ 4], cuyo art. 6.3 constituye en el presente caso, el canon de constitucionalidad del impuesto cuestionado.</w:t>
      </w:r>
    </w:p>
    <w:p w:rsidR="0085709A" w:rsidRDefault="0085709A" w:rsidP="0085709A">
      <w:pPr>
        <w:pStyle w:val="TextoNormal"/>
      </w:pPr>
    </w:p>
    <w:p w:rsidR="0085709A" w:rsidRDefault="0085709A" w:rsidP="0085709A">
      <w:pPr>
        <w:pStyle w:val="TextoNormal"/>
      </w:pPr>
      <w:r>
        <w:t>Pues bien, debe precisarse que la circunstancia de que el art. 6 LOFCA haya sido modificado por la Ley Orgánica 3/2009, de 18 de diciembre, no afecta al juicio de constitucionalidad que hemos de efectuar sobre los preceptos impugnados, pues se conectan con su aplicación a un concreto proceso, en el que el órgano judicial proponente de la cuestión ha de resolver sobre la pretensión ejercitada a la luz de la normativa vigente y aplicable en el concreto momento en el que se suscitó el proceso a quo, razón por la cual, la reforma introducida por la citada Ley Orgánica 3/2009 no puede ser de aplicación a situaciones que, como ésta, son anteriores a su entrada en vigor [por todas, SSTC 53/2014, de 10 de abril, FJ 1 a); y 196/2012, FJ 1 c)].</w:t>
      </w:r>
    </w:p>
    <w:p w:rsidR="0085709A" w:rsidRDefault="0085709A" w:rsidP="0085709A">
      <w:pPr>
        <w:pStyle w:val="TextoNormal"/>
      </w:pPr>
    </w:p>
    <w:p w:rsidR="0085709A" w:rsidRDefault="0085709A" w:rsidP="0085709A">
      <w:pPr>
        <w:pStyle w:val="TextoNormal"/>
      </w:pPr>
      <w:r>
        <w:t>b) Para terminar con estas precisiones, es necesario reiterar que tampoco afecta al objeto de esta cuestión el hecho de que la norma de cuya constitucionalidad se duda, la Ley 7/1997, en la redacción que le otorgó la Ley 8/2005, haya sido parcialmente modificada mediante el Decreto Legislativo 2/2006, de 12 de diciembre, por el que se aprueba el texto refundido de las disposiciones legales de la Comunidad Autónoma de Extremadura en materia de tributos propios.</w:t>
      </w:r>
    </w:p>
    <w:p w:rsidR="0085709A" w:rsidRDefault="0085709A" w:rsidP="0085709A">
      <w:pPr>
        <w:pStyle w:val="TextoNormal"/>
      </w:pPr>
    </w:p>
    <w:p w:rsidR="0085709A" w:rsidRDefault="0085709A" w:rsidP="0085709A">
      <w:pPr>
        <w:pStyle w:val="TextoNormal"/>
      </w:pPr>
      <w:r>
        <w:t xml:space="preserve">En efecto, como señalan acertadamente tanto el Abogado del Estado como el Fiscal General del Estado, el hecho de que los preceptos cuestionados hayan sido parcialmente modificados no afecta, de acuerdo con nuestra doctrina, al objeto del presente proceso constitucional. Por tanto, las citadas modificaciones no hacen que el presente proceso haya perdido o modificado su objeto, dado que los preceptos cuestionados, a pesar de los cambios normativos que se han producido con posterioridad, siguen resultando de aplicación en el proceso contencioso-administrativo en cuyo seno se ha suscitado la presente cuestión de inconstitucionalidad, y de su validez dependerá la decisión a adoptar en el proceso judicial </w:t>
      </w:r>
      <w:r w:rsidRPr="0085709A">
        <w:rPr>
          <w:i/>
        </w:rPr>
        <w:t>a quo</w:t>
      </w:r>
      <w:r>
        <w:t>. Como también hemos reiterado, en las cuestiones de inconstitucionalidad resulta determinante la normativa vigente en el momento en que se formulan, que en este caso era la Ley 7/1997, de 29 de mayo, y, en consecuencia, resulta ineludible declarar la constitucionalidad o inconstitucionalidad de la norma cuestionada [entre otras, SSTC 181/2000, de 29 de junio, FJ 2; 10/2005, de 20 de enero, FJ 2, y 53/2014, FJ 1 c)].</w:t>
      </w:r>
    </w:p>
    <w:p w:rsidR="0085709A" w:rsidRDefault="0085709A" w:rsidP="0085709A">
      <w:pPr>
        <w:pStyle w:val="TextoNormal"/>
      </w:pPr>
    </w:p>
    <w:p w:rsidR="0085709A" w:rsidRDefault="0085709A" w:rsidP="0085709A">
      <w:pPr>
        <w:pStyle w:val="TextoNormal"/>
      </w:pPr>
      <w:r>
        <w:t>Nuestro análisis se ceñirá a los preceptos impugnados en su redacción contenida en la Ley 8/2005 y, por consiguiente, de aplicación directa a la fecha de autos.</w:t>
      </w:r>
    </w:p>
    <w:p w:rsidR="0085709A" w:rsidRDefault="0085709A" w:rsidP="0085709A">
      <w:pPr>
        <w:pStyle w:val="TextoNormal"/>
      </w:pPr>
    </w:p>
    <w:p w:rsidR="0085709A" w:rsidRDefault="0085709A" w:rsidP="0085709A">
      <w:pPr>
        <w:pStyle w:val="TextoNormal"/>
      </w:pPr>
      <w:r w:rsidRPr="0085709A">
        <w:rPr>
          <w:rStyle w:val="NumeroAFNegritaCaracter"/>
        </w:rPr>
        <w:t>2</w:t>
      </w:r>
      <w:r>
        <w:t>. Como ha quedado expuesto en los antecedentes, el órgano promotor de la cuestión considera que los arts. 2 a), 6 y 8 de la Ley 7/1997 vulneran los arts. 133.2, 156.1 y 157.3 CE, en relación con el art. 6.3 LOFCA (en su redacción originaria y aplicable al caso). Se considera en concreto que el impuesto sobre instalaciones que incidan en el medio ambiente recae sobre la misma materia imponible gravada por el impuesto sobre actividades económicas (IAE) sin que por otro lado se trate de un tributo extrafiscal.</w:t>
      </w:r>
    </w:p>
    <w:p w:rsidR="0085709A" w:rsidRDefault="0085709A" w:rsidP="0085709A">
      <w:pPr>
        <w:pStyle w:val="TextoNormal"/>
      </w:pPr>
    </w:p>
    <w:p w:rsidR="0085709A" w:rsidRDefault="0085709A" w:rsidP="0085709A">
      <w:pPr>
        <w:pStyle w:val="TextoNormal"/>
      </w:pPr>
      <w:r>
        <w:lastRenderedPageBreak/>
        <w:t>Los preceptos impugnados tienen el siguiente tenor:</w:t>
      </w:r>
    </w:p>
    <w:p w:rsidR="0085709A" w:rsidRDefault="0085709A" w:rsidP="0085709A">
      <w:pPr>
        <w:pStyle w:val="TextoNormal"/>
      </w:pPr>
    </w:p>
    <w:p w:rsidR="0085709A" w:rsidRDefault="0085709A" w:rsidP="0085709A">
      <w:pPr>
        <w:pStyle w:val="TextoNormal"/>
      </w:pPr>
      <w:r>
        <w:t>“Artículo 2 Hecho imponible.</w:t>
      </w:r>
    </w:p>
    <w:p w:rsidR="0085709A" w:rsidRDefault="0085709A" w:rsidP="0085709A">
      <w:pPr>
        <w:pStyle w:val="TextoNormal"/>
      </w:pPr>
    </w:p>
    <w:p w:rsidR="0085709A" w:rsidRDefault="0085709A" w:rsidP="0085709A">
      <w:pPr>
        <w:pStyle w:val="TextoNormal"/>
      </w:pPr>
      <w:r>
        <w:t>Constituye el hecho imponible de este Impuesto la realización por el sujeto pasivo, mediante los elementos patrimoniales afectos señalados en el artículo anterior, de cualquiera de las siguientes actividades:</w:t>
      </w:r>
    </w:p>
    <w:p w:rsidR="0085709A" w:rsidRDefault="0085709A" w:rsidP="0085709A">
      <w:pPr>
        <w:pStyle w:val="TextoNormal"/>
      </w:pPr>
    </w:p>
    <w:p w:rsidR="0085709A" w:rsidRDefault="0085709A" w:rsidP="0085709A">
      <w:pPr>
        <w:pStyle w:val="TextoNormal"/>
      </w:pPr>
      <w:r>
        <w:t>a) Las actividades de producción, almacenaje o transformación de energía eléctrica...”</w:t>
      </w:r>
    </w:p>
    <w:p w:rsidR="0085709A" w:rsidRDefault="0085709A" w:rsidP="0085709A">
      <w:pPr>
        <w:pStyle w:val="TextoNormal"/>
      </w:pPr>
    </w:p>
    <w:p w:rsidR="0085709A" w:rsidRDefault="0085709A" w:rsidP="0085709A">
      <w:pPr>
        <w:pStyle w:val="TextoNormal"/>
      </w:pPr>
      <w:r>
        <w:t>“Artículo 6 Base imponible para actividades relacionadas con los procesos de producción de energía eléctrica.</w:t>
      </w:r>
    </w:p>
    <w:p w:rsidR="0085709A" w:rsidRDefault="0085709A" w:rsidP="0085709A">
      <w:pPr>
        <w:pStyle w:val="TextoNormal"/>
      </w:pPr>
    </w:p>
    <w:p w:rsidR="0085709A" w:rsidRDefault="0085709A" w:rsidP="0085709A">
      <w:pPr>
        <w:pStyle w:val="TextoNormal"/>
      </w:pPr>
      <w:r>
        <w:t>La base imponible para el supuesto de la letra a) del artículo 2 de esta Ley estará constituida por la producción bruta media de los tres últimos ejercicios expresada en kw/h.”</w:t>
      </w:r>
    </w:p>
    <w:p w:rsidR="0085709A" w:rsidRDefault="0085709A" w:rsidP="0085709A">
      <w:pPr>
        <w:pStyle w:val="TextoNormal"/>
      </w:pPr>
    </w:p>
    <w:p w:rsidR="0085709A" w:rsidRDefault="0085709A" w:rsidP="0085709A">
      <w:pPr>
        <w:pStyle w:val="TextoNormal"/>
      </w:pPr>
      <w:r>
        <w:t>“Artículo 8 Cuota tributaria en las actividades de producción, almacenaje y transformación de energía eléctrica.</w:t>
      </w:r>
    </w:p>
    <w:p w:rsidR="0085709A" w:rsidRDefault="0085709A" w:rsidP="0085709A">
      <w:pPr>
        <w:pStyle w:val="TextoNormal"/>
      </w:pPr>
    </w:p>
    <w:p w:rsidR="0085709A" w:rsidRDefault="0085709A" w:rsidP="0085709A">
      <w:pPr>
        <w:pStyle w:val="TextoNormal"/>
      </w:pPr>
      <w:r>
        <w:t>La cuota tributaria en las actividades de producción, almacenaje y transformación de energía eléctrica será el resultado de multiplicar la base imponible obtenida conforme a lo dispuesto en el artículo 6 por las siguientes cantidades:</w:t>
      </w:r>
    </w:p>
    <w:p w:rsidR="0085709A" w:rsidRDefault="0085709A" w:rsidP="0085709A">
      <w:pPr>
        <w:pStyle w:val="TextoNormal"/>
      </w:pPr>
    </w:p>
    <w:p w:rsidR="0085709A" w:rsidRDefault="0085709A" w:rsidP="0085709A">
      <w:pPr>
        <w:pStyle w:val="TextoNormal"/>
      </w:pPr>
      <w:r>
        <w:t>a) 0,0013 euros, en el caso de energía eléctrica de origen termonuclear.</w:t>
      </w:r>
    </w:p>
    <w:p w:rsidR="0085709A" w:rsidRDefault="0085709A" w:rsidP="0085709A">
      <w:pPr>
        <w:pStyle w:val="TextoNormal"/>
      </w:pPr>
    </w:p>
    <w:p w:rsidR="0085709A" w:rsidRDefault="0085709A" w:rsidP="0085709A">
      <w:pPr>
        <w:pStyle w:val="TextoNormal"/>
      </w:pPr>
      <w:r>
        <w:t>b) 0,0009 euros, en el caso de energía eléctrica que no tenga origen termonuclear.”</w:t>
      </w:r>
    </w:p>
    <w:p w:rsidR="0085709A" w:rsidRDefault="0085709A" w:rsidP="0085709A">
      <w:pPr>
        <w:pStyle w:val="TextoNormal"/>
      </w:pPr>
    </w:p>
    <w:p w:rsidR="0085709A" w:rsidRDefault="0085709A" w:rsidP="0085709A">
      <w:pPr>
        <w:pStyle w:val="TextoNormal"/>
      </w:pPr>
      <w:r w:rsidRPr="0085709A">
        <w:rPr>
          <w:rStyle w:val="NumeroAFNegritaCaracter"/>
        </w:rPr>
        <w:t>3</w:t>
      </w:r>
      <w:r>
        <w:t>. Antes de examinar las dudas de constitucionalidad procede recordar brevemente los antecedentes de la norma que ahora se impugna.</w:t>
      </w:r>
    </w:p>
    <w:p w:rsidR="0085709A" w:rsidRDefault="0085709A" w:rsidP="0085709A">
      <w:pPr>
        <w:pStyle w:val="TextoNormal"/>
      </w:pPr>
    </w:p>
    <w:p w:rsidR="0085709A" w:rsidRDefault="0085709A" w:rsidP="0085709A">
      <w:pPr>
        <w:pStyle w:val="TextoNormal"/>
      </w:pPr>
      <w:r>
        <w:t>La redacción de estos preceptos fue consecuencia directa del acuerdo de la comisión bilateral de cooperación Administración general del Estado-Comunidad Autónoma de Extremadura de fecha 13 de abril de 2005, acuerdo que como ha quedado expuesto en los antecedentes, quedó plasmado en la resolución de la Secretaría de Estado de Cooperación Territorial de 9 de mayo de 2005 (publicada en el “BOE” del día 26 de mayo 2005), en la que se incorporaba, como anexo, el texto mismo de la norma, plasmado después en la Ley 8/2005, de 27 de diciembre, que modifica así la Ley 7/1997, de 29 de mayo.</w:t>
      </w:r>
    </w:p>
    <w:p w:rsidR="0085709A" w:rsidRDefault="0085709A" w:rsidP="0085709A">
      <w:pPr>
        <w:pStyle w:val="TextoNormal"/>
      </w:pPr>
    </w:p>
    <w:p w:rsidR="0085709A" w:rsidRDefault="0085709A" w:rsidP="0085709A">
      <w:pPr>
        <w:pStyle w:val="TextoNormal"/>
      </w:pPr>
      <w:r>
        <w:t xml:space="preserve">Con posterioridad al citado acuerdo, el Presidente del Gobierno, a través del Abogado del Estado, interesó que se le tuviera por desistido del recurso de inconstitucionalidad interpuesto contra la citada Ley 7/1997, desistimiento que fue acordado en nuestro ATC 375/2005, de 25 de octubre. Sin embargo, y como también ha quedado recogido en los antecedentes, la redacción originaria de este impuesto, fue declarada inconstitucional tras estimarse, en nuestra STC 179/2006, de 13 de junio, la cuestión de inconstitucionalidad planteada contra el mismo por la Sección Primera de la Sala de lo Contencioso-Administrativo del Tribunal Superior de Justicia de Extremadura. En dicha Sentencia concluimos que el impuesto sobre instalaciones que incidan en el medio ambiente regulado en la Ley 7/1997 gravaba la misma fuente de riqueza sometida a tributación por el impuesto sobre bienes </w:t>
      </w:r>
      <w:r>
        <w:lastRenderedPageBreak/>
        <w:t>inmuebles (STC 179/2006, FJ 5), no siendo además un tributo extrafiscal “en la medida en que no grava directamente la actividad contaminante sino la mera titularidad de unas determinadas instalaciones” (STC 179/2006, FJ 6), dado que en su estructura “desconecta la cuantía del gravamen de la potencial actividad contaminante —o, dicho de otro modo, desconoce el principio en virtud del cual ‘quien contamina paga’— al cuantificar el gravamen tomando como referencia exclusivamente el valor de las instalaciones”, lo que nos llevó a concluir que vulneraba el art. 6.3 LOFCA (STC 179/2006, FJ 8).</w:t>
      </w:r>
    </w:p>
    <w:p w:rsidR="0085709A" w:rsidRDefault="0085709A" w:rsidP="0085709A">
      <w:pPr>
        <w:pStyle w:val="TextoNormal"/>
      </w:pPr>
    </w:p>
    <w:p w:rsidR="0085709A" w:rsidRDefault="0085709A" w:rsidP="0085709A">
      <w:pPr>
        <w:pStyle w:val="TextoNormal"/>
      </w:pPr>
      <w:r>
        <w:t>Pues bien, dicho lo anterior, debe además resaltarse que la redacción del impuesto sobre instalaciones que incidan en el medio ambiente ahora impugnada, resultado de las modificaciones introducidas por la citada Ley 8/2005, no supuso una modificación sustancial del tributo, teniendo un alcance limitado, como de hecho se afirma en la propia exposición de motivos en términos inequívocos: “la modificación acordada con el Estado y que se recoge en la presente norma no supone una alteración de los elementos esenciales del tributo, aunque sí una necesaria clarificación técnica en cuanto a su redacción y una simplificación en la determinación de la base imponible”. A renglón seguido, se añade en la misma exposición de motivos que el tributo “sigue gravando las actividades que inciden en el medio ambiente, concretamente la producción, almacenaje y transformación de energía eléctrica ... Con la presente reforma, se hace bascular de forma clara el hecho imponible sobre el ejercicio de dichas actividades perturbadoras del medio ambiente a través de instalaciones sitas en el territorio extremeño, realizándose una depuración de técnica legislativa que supone una aclaración del anterior artículo 6.1, que ya consideraba titular de las instalaciones a quien ‘realice las actividades que integran el objeto del tributo’. La reforma, pues, ya especifica de forma terminante que el hecho imponible es la realización de las actividades consideradas normativamente como perturbadoras del medio ambiente, y que el sujeto pasivo es quien realice dichas actividades. Asimismo, y en lo que respecta a los procesos de producción de energía eléctrica, se ha optado por realizar una simplificación en la determinación de la base imponible, derogando el anterior sistema que establecía el mayor de los previstos en el artículo 8, es decir, la capitalización al 40 por 100 de los ingresos brutos de explotación o bien la producción bruta media de los tres últimos ejercicios expresados en kilovatios/hora”.</w:t>
      </w:r>
    </w:p>
    <w:p w:rsidR="0085709A" w:rsidRDefault="0085709A" w:rsidP="0085709A">
      <w:pPr>
        <w:pStyle w:val="TextoNormal"/>
      </w:pPr>
    </w:p>
    <w:p w:rsidR="0085709A" w:rsidRDefault="0085709A" w:rsidP="0085709A">
      <w:pPr>
        <w:pStyle w:val="TextoNormal"/>
      </w:pPr>
      <w:r w:rsidRPr="0085709A">
        <w:rPr>
          <w:rStyle w:val="NumeroAFNegritaCaracter"/>
        </w:rPr>
        <w:t>4</w:t>
      </w:r>
      <w:r>
        <w:t>. Para dar respuesta a las dudas de constitucionalidad que aquí se plantean, debemos partir por tanto de los citados antecedentes y en concreto de la doctrina contenida en la STC 179/2006, a lo que debe añadirse la contenida en las SSTC 196/2012, de 31 de octubre, y 60/2013, de 13 de marzo, en las que, respectivamente, estimamos parcialmente las cuestiones que se plantearon acerca del impuesto sobre determinadas actividades que inciden en el medio ambiente establecido por la Comunidad Autónoma de Castilla-La Mancha, en su redacción inicial, en la Ley de las Cortes de Castilla-La Mancha 11/2000, de 26 de diciembre, y en la posterior, consecuencia de la Ley de las Cortes de Castilla-La Mancha 16/2005, de 29 de diciembre, del impuesto sobre determinadas actividades que inciden en el medio ambiente y del tipo autonómico del impuesto sobre las ventas minoristas de determinados hidrocarburos.</w:t>
      </w:r>
    </w:p>
    <w:p w:rsidR="0085709A" w:rsidRDefault="0085709A" w:rsidP="0085709A">
      <w:pPr>
        <w:pStyle w:val="TextoNormal"/>
      </w:pPr>
    </w:p>
    <w:p w:rsidR="0085709A" w:rsidRDefault="0085709A" w:rsidP="0085709A">
      <w:pPr>
        <w:pStyle w:val="TextoNormal"/>
      </w:pPr>
      <w:r>
        <w:t xml:space="preserve">En la STC 196/2012 estimamos parcialmente la cuestión referida a la primera regulación del impuesto castellano-manchego, contenida en la citada Ley 11/2000, declarando la inconstitucionalidad de dos de los hechos imponibles gravados, la “producción termonuclear de energía eléctrica” y el “almacenamiento de residuos radioactivos” [art. 2.1, letras b) y c); 2 y 3)] así como su base imponible [art. 5.1, letras b) y c)] y la cuota y tipos de gravamen </w:t>
      </w:r>
      <w:r>
        <w:lastRenderedPageBreak/>
        <w:t>[art. 6, letras b) y c)]. A su vez, en la STC 60/2013 se estimó, también parcialmente, la cuestión referida a la posterior regulación del citado impuesto castellano-manchego, contenida en la citada Ley de las Cortes de Castilla-La Mancha 16/2005, declarándose asimismo la inconstitucionalidad de los hechos imponibles referidos a la “producción termonuclear de energía eléctrica” y al “almacenamiento de residuos radiactivos” [arts. 2.1, letras b) y c); 2 y 3]; así como las exenciones (art. 3); la base imponible [art. 5, letras b) y c)]; y la cuota tributaria y tipos de gravamen [art. 6, letras b) y c)] del impuesto. En ambos casos concluimos que se vulneraba el art. 6.3 LOFCA por incurrir los preceptos impugnados en la duplicidad entre tributos allí prohibida.</w:t>
      </w:r>
    </w:p>
    <w:p w:rsidR="0085709A" w:rsidRDefault="0085709A" w:rsidP="0085709A">
      <w:pPr>
        <w:pStyle w:val="TextoNormal"/>
      </w:pPr>
    </w:p>
    <w:p w:rsidR="0085709A" w:rsidRDefault="0085709A" w:rsidP="0085709A">
      <w:pPr>
        <w:pStyle w:val="TextoNormal"/>
      </w:pPr>
      <w:r>
        <w:t>Pues bien, una comparación entre, de una parte, el concreto hecho imponible del impuesto sobre instalaciones que incidan en el medio ambiente que ahora se cuestiona, y las dos versiones del impuesto castellano-manchego permite concluir la existencia de evidentes paralelismos entre éstas y el tributo extremeño.</w:t>
      </w:r>
    </w:p>
    <w:p w:rsidR="0085709A" w:rsidRDefault="0085709A" w:rsidP="0085709A">
      <w:pPr>
        <w:pStyle w:val="TextoNormal"/>
      </w:pPr>
    </w:p>
    <w:p w:rsidR="0085709A" w:rsidRDefault="0085709A" w:rsidP="0085709A">
      <w:pPr>
        <w:pStyle w:val="TextoNormal"/>
      </w:pPr>
      <w:r>
        <w:t>Así, de una parte, el impuesto castellano-manchego regulado en la Ley 11/2000, de 26 de diciembre, definía en su art. 2.1 b) el hecho imponible del tributo como la actividad de “producción termonuclear de energía eléctrica”. El art. 5.1 b) definía la base imponible así: “b) En el caso de producción termonuclear de energía eléctrica, por la producción bruta de electricidad en el período impositivo, expresada en kilovatios hora”, mientras el art. 6 b) de la misma Ley 11/2000 fijó el tipo de gravamen de esta forma: “en el caso de centrales nucleares de producción de energía eléctrica, el tipo será de 0,2 pesetas [0,0012 euros] por kilovatio hora producido”.</w:t>
      </w:r>
    </w:p>
    <w:p w:rsidR="0085709A" w:rsidRDefault="0085709A" w:rsidP="0085709A">
      <w:pPr>
        <w:pStyle w:val="TextoNormal"/>
      </w:pPr>
    </w:p>
    <w:p w:rsidR="0085709A" w:rsidRDefault="0085709A" w:rsidP="0085709A">
      <w:pPr>
        <w:pStyle w:val="TextoNormal"/>
      </w:pPr>
      <w:r>
        <w:t>De otra parte, el hecho imponible del tributo regulado en la norma posterior, la Ley 16/2005, estaba definido en el 2.1 a) como la contaminación y los riesgos que en el medio ambiente son ocasionados por la realización en el territorio de Castilla-La Mancha de la actividad de “producción termonuclear de energía eléctrica”. La base imponible estaba constituida, en el caso de la producción termonuclear de energía eléctrica, por “la producción bruta de electricidad en el período impositivo, expresada en megavatios hora” [art. 5 b) de la Ley 16/2005]. Finalmente, la cuota íntegra era el resultado de multiplicar la base imponible, en el caso de centrales nucleares, por un tipo que será de “1,50 euros por megavatio hora producido” (art. 8 de la Ley 16/2005).</w:t>
      </w:r>
    </w:p>
    <w:p w:rsidR="0085709A" w:rsidRDefault="0085709A" w:rsidP="0085709A">
      <w:pPr>
        <w:pStyle w:val="TextoNormal"/>
      </w:pPr>
    </w:p>
    <w:p w:rsidR="0085709A" w:rsidRDefault="0085709A" w:rsidP="0085709A">
      <w:pPr>
        <w:pStyle w:val="TextoNormal"/>
      </w:pPr>
      <w:r>
        <w:t>Pues bien, el hecho imponible del impuesto sobre instalaciones que incidan en el medio ambiente  que se cuestiona ahora se define en el art. 2 a) de la Ley 7/1997 como “la realización por el sujeto pasivo, mediante los elementos patrimoniales afectos señalados en el artículo anterior, de cualquiera de las siguientes actividades: a) Las actividades de producción, almacenaje o transformación de energía eléctrica”. La base imponible en el impuesto sobre instalaciones que incidan en el medio ambiente es “la producción bruta media de los tres últimos ejercicios expresada en kw/h” (art 6). Finalmente, el art. 8 dispone que la cuota tributaria en las actividades de producción, almacenaje y transformación de energía eléctrica será el resultado de multiplicar la base imponible obtenida conforme a lo dispuesto en el artículo 6 por las siguientes cantidades: “a) 0,0013 euros, en el caso de energía eléctrica de origen termonuclear; b) 0,0009 euros, en el caso de energía eléctrica que no tenga origen termonuclear”.</w:t>
      </w:r>
    </w:p>
    <w:p w:rsidR="0085709A" w:rsidRDefault="0085709A" w:rsidP="0085709A">
      <w:pPr>
        <w:pStyle w:val="TextoNormal"/>
      </w:pPr>
    </w:p>
    <w:p w:rsidR="0085709A" w:rsidRDefault="0085709A" w:rsidP="0085709A">
      <w:pPr>
        <w:pStyle w:val="TextoNormal"/>
      </w:pPr>
      <w:r>
        <w:lastRenderedPageBreak/>
        <w:t>Por tanto, hay dos diferencias entre el hecho imponible del impuesto sobre instalaciones que incidan en el medio ambiente ahora impugnado y los dos impuestos declarados inconstitucionales. Por un lado, el impuesto extremeño tiene en cuenta que la actividad se realice a través de las instalaciones y demás elementos patrimoniales afectos a las actividades de producción eléctrica, mientras que el impuesto castellano-manchego no mencionaba dichas instalaciones. Esta diferencia carece de relevancia en cuanto a la estructura del impuesto ya que es evidente que tanto en un caso como en otro la actividad de producción de electricidad siempre se realizará a través de instalaciones especializadas. Lo relevante es que las mismas no se tienen en cuenta en la cuantificación de la deuda tributaria, por lo que carece de efectos que en un caso (impuesto sobre instalaciones que incidan en el medio ambiente) se mencionen y en otros no.</w:t>
      </w:r>
    </w:p>
    <w:p w:rsidR="0085709A" w:rsidRDefault="0085709A" w:rsidP="0085709A">
      <w:pPr>
        <w:pStyle w:val="TextoNormal"/>
      </w:pPr>
    </w:p>
    <w:p w:rsidR="0085709A" w:rsidRDefault="0085709A" w:rsidP="0085709A">
      <w:pPr>
        <w:pStyle w:val="TextoNormal"/>
      </w:pPr>
      <w:r>
        <w:t>Una segunda diferencia es que el impuesto castellano-manchego, en sus dos versiones, gravaba únicamente la producción termonuclear de energía eléctrica, mientras que el tributo extremeño aquí cuestionado sujeta a gravamen tanto la producción de energía eléctrica de origen termonuclear, como el resto, para el que se establece un tipo de gravamen diferente. Tampoco esta diferencia es relevante a los efectos del examen que aquí debe hacerse, pues si ya concluimos que la producción de electricidad de origen termonuclear está sujeta en el IAE, la misma conclusión cabe extraer de la producción, transporte y distribución de energía eléctrica, sujeta a gravamen en el Grupo 151 de la Sección Primera de las tarifas del IAE (epígrafes 151.1— producción de energía hidroeléctrica; y 151.2— producción de energía termoeléctrica convencional), en los términos en que se razona en el Auto por el que se promueve la presente cuestión, así como en los escritos del Abogado del Estado y del Fiscal General del Estado.</w:t>
      </w:r>
    </w:p>
    <w:p w:rsidR="0085709A" w:rsidRDefault="0085709A" w:rsidP="0085709A">
      <w:pPr>
        <w:pStyle w:val="TextoNormal"/>
      </w:pPr>
    </w:p>
    <w:p w:rsidR="0085709A" w:rsidRDefault="0085709A" w:rsidP="0085709A">
      <w:pPr>
        <w:pStyle w:val="TextoNormal"/>
      </w:pPr>
      <w:r>
        <w:t>Finalmente, no enerva la anterior conclusión el hecho de que la disposición adicional primera de la Ley 7/1997, de 29 de mayo, prevea que los ingresos que se recauden por dicho impuesto se destinen a la financiación de medidas y programas de carácter medioambiental, pues de hecho dicha disposición, que no se ha modificado en la redacción posterior de la norma por la Ley 8/2005, ahora impugnada, fue ya valorada en la citada STC 179/2006, FJ 10, por la que se declaró, como se ha recordado, la inconstitucionalidad de la redacción anterior del impuesto sobre instalaciones que incidan en el medio ambiente, sin que dicha afectación se considerase más que “una previsión genérica para financiar cualquier medida o programa de carácter medio ambiental”, sin perjuicio de que, como se recordó en el mismo fundamento, “la afectación del gravamen a la finalidad que se dice perseguida no es más que uno de los varios indicios -y no precisamente el más importante- a tener en cuenta a la hora de calificar la verdadera naturaleza del tributo, esto es, de determinar si en el tributo autonómico prima el carácter contributivo o una finalidad extrafiscal”.</w:t>
      </w:r>
    </w:p>
    <w:p w:rsidR="0085709A" w:rsidRDefault="0085709A" w:rsidP="0085709A">
      <w:pPr>
        <w:pStyle w:val="TextoNormal"/>
      </w:pPr>
    </w:p>
    <w:p w:rsidR="0085709A" w:rsidRDefault="0085709A" w:rsidP="0085709A">
      <w:pPr>
        <w:pStyle w:val="TextoNormal"/>
      </w:pPr>
      <w:r>
        <w:t xml:space="preserve">Una vez concluida la sustancial similitud entre la controversia ahora planteada y la resuelta en las cuestiones enjuiciadas en las SSTC 196/2012 y 60/2013, debemos aplicar la doctrina allí contenida para alcanzar la misma conclusión, de suerte que, de una parte, efectivamente tanto el presente impuesto como el IAE “gravan el mero ejercicio de una actividad económica” concretamente, la de producción de energía eléctrica en la persona del titular de la actividad de producción eléctrica, “de manera que la estructura de la modalidad controvertida del impuesto ... es coincidente con la del impuesto sobre actividades económicas, sin que exista circunstancia alguna en su configuración que permita apreciar que el tributo tiene una verdadera finalidad extrafiscal o </w:t>
      </w:r>
      <w:r w:rsidRPr="0085709A">
        <w:rPr>
          <w:i/>
        </w:rPr>
        <w:t>intentio legis</w:t>
      </w:r>
      <w:r>
        <w:t xml:space="preserve"> de gravar la actividad contaminante </w:t>
      </w:r>
      <w:r>
        <w:lastRenderedPageBreak/>
        <w:t>y los riesgos para el medio ambiente” (SSTC 196/2012, FJ 3, y 60/2013, FJ 5). A mayor abundamiento, y como se ha constatado, el hecho imponible del impuesto sobre instalaciones que incidan en el medio ambiente que ahora se impugna supone tan solo una modificación parcial, no sustancial, del ya declarado inconstitucional en la citada STC 179/2006, por lo que la declaración de inconstitucionalidad resulta también de la doctrina allí contenida. Lo anterior impide entender, de nuevo, que la actividad económica se haya sometido a tributación por el impuesto sobre instalaciones que incidan en el medio ambiente desde una perspectiva diferente y, por tanto, que el gravamen se haya configurado sobre una materia imponible diferente a la que es objeto del impuesto sobre actividades económicas.</w:t>
      </w:r>
    </w:p>
    <w:p w:rsidR="0085709A" w:rsidRDefault="0085709A" w:rsidP="0085709A">
      <w:pPr>
        <w:pStyle w:val="TextoNormal"/>
      </w:pPr>
    </w:p>
    <w:p w:rsidR="0085709A" w:rsidRDefault="0085709A" w:rsidP="0085709A">
      <w:pPr>
        <w:pStyle w:val="TextoNormal"/>
      </w:pPr>
      <w:r w:rsidRPr="0085709A">
        <w:rPr>
          <w:rStyle w:val="NumeroAFNegritaCaracter"/>
        </w:rPr>
        <w:t>5</w:t>
      </w:r>
      <w:r>
        <w:t>. Según lo que antecede, debe estimarse la presente cuestión de inconstitucionalidad y declarar que los arts. 2 a), 6 y 8 de la Ley 7/1997, en la redacción dada a los mismos por la Ley 8/2005, vulneran los arts. 133.2, 156.1 y 157.3 CE, en relación con el art. 6.3 LOFCA y son, en consecuencia, nulos.</w:t>
      </w:r>
    </w:p>
    <w:p w:rsidR="0085709A" w:rsidRDefault="0085709A" w:rsidP="0085709A">
      <w:pPr>
        <w:pStyle w:val="TextoNormal"/>
      </w:pPr>
    </w:p>
    <w:p w:rsidR="0085709A" w:rsidRDefault="0085709A" w:rsidP="0085709A">
      <w:pPr>
        <w:pStyle w:val="TextoNormal"/>
      </w:pPr>
      <w:r>
        <w:t>Antes de pronunciar el fallo sólo queda precisar el alcance concreto que debe atribuirse a la declaración de inconstitucionalidad y nulidad que lo integra. Pues bien, por exigencia del principio de seguridad jurídica (art. 9.3 CE), y al igual que hemos hecho en la STC 179/2006, de 13 de junio, con respecto al impuesto extremeño sobre instalaciones que inciden en el medio ambiente (fundamento jurídico 11), y en las SSTC 196/2012, FJ 5 y 60/2013, FJ 7, en relación con el impuesto castellano-manchego sobre determinadas actividades que inciden en el medio ambiente, únicamente han de considerarse situaciones susceptibles de ser revisadas con fundamento en esta Sentencia aquellas que, a la fecha de publicación de la misma, no hayan adquirido firmeza por haber sido impugnadas en tiempo y forma y no haber recaído todavía en ellos una resolución administrativa o judicial firme.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presente cuestión de inconstitucionalidad y, en consecuencia, declarar inconstitucionales y nulos, con los efectos previstos en el fundamento jurídico quinto de esta Sentencia, los arts. 2 a), 6 y 8 de la Ley de la Asamblea de Extremadura 7/1997, de 29 de mayo, de medidas fiscales sobre la producción y transporte de energía que incidan sobre el medio ambiente, en la redacción dada a los mismos por la Ley 8/2005, de 27 de diciembre, que regulan el impuesto sobre instalaciones que incidan en el medio ambiente.</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6" w:name="SENTENCIA_2015_23"/>
      <w:r>
        <w:lastRenderedPageBreak/>
        <w:t>SENTENCIA 23/2015, de 16 de febrero de 2015</w:t>
      </w:r>
    </w:p>
    <w:bookmarkEnd w:id="26"/>
    <w:p w:rsidR="0085709A" w:rsidRDefault="0085709A" w:rsidP="0085709A">
      <w:pPr>
        <w:pStyle w:val="TtuloResolucin"/>
      </w:pPr>
      <w:r>
        <w:t>Sala Primera</w:t>
      </w:r>
    </w:p>
    <w:p w:rsidR="0085709A" w:rsidRDefault="0085709A" w:rsidP="0085709A">
      <w:pPr>
        <w:pStyle w:val="TtuloBOE"/>
      </w:pPr>
      <w:r>
        <w:t>(BOE núm. 64, de 16 de marzo de 2015)</w:t>
      </w:r>
    </w:p>
    <w:p w:rsidR="0085709A" w:rsidRDefault="0085709A" w:rsidP="0085709A">
      <w:pPr>
        <w:pStyle w:val="TextoNormalCentrado"/>
      </w:pPr>
      <w:r>
        <w:t>ECLI:ES:TC:2015:23</w:t>
      </w:r>
    </w:p>
    <w:p w:rsidR="0085709A" w:rsidRDefault="0085709A" w:rsidP="0085709A">
      <w:pPr>
        <w:pStyle w:val="TextoNormalCentrado"/>
      </w:pPr>
    </w:p>
    <w:p w:rsidR="0085709A" w:rsidRDefault="0085709A" w:rsidP="0085709A">
      <w:pPr>
        <w:pStyle w:val="SntesisDescriptiva"/>
      </w:pPr>
      <w:r>
        <w:t>Recurso de amparo 7512-2013. Promovido por don Luis de Velasco Rami, portavoz del Grupo Parlamentario Unión Progreso y Democracia en la Asamblea de Madrid en relación con los acuerdos de la Mesa de la Cámara que inadmitieron diversas solicitudes de comparecencia, una pregunta de respuesta escrita y una proposición no de ley.</w:t>
      </w:r>
    </w:p>
    <w:p w:rsidR="0085709A" w:rsidRDefault="0085709A" w:rsidP="0085709A">
      <w:pPr>
        <w:pStyle w:val="SntesisDescriptiva"/>
      </w:pPr>
    </w:p>
    <w:p w:rsidR="0085709A" w:rsidRDefault="0085709A" w:rsidP="0085709A">
      <w:pPr>
        <w:pStyle w:val="SntesisAnaltica"/>
      </w:pPr>
      <w:r>
        <w:t>Vulneración del derecho a ejercer las funciones representativas en condiciones de igualdad: inadmisión de iniciativas parlamentarias sin motivación (STC 40/2003).</w:t>
      </w:r>
    </w:p>
    <w:p w:rsidR="0085709A" w:rsidRDefault="0085709A" w:rsidP="0085709A">
      <w:pPr>
        <w:pStyle w:val="SntesisAnaltica"/>
      </w:pPr>
    </w:p>
    <w:p w:rsidR="0085709A" w:rsidRDefault="0085709A" w:rsidP="0085709A">
      <w:pPr>
        <w:pStyle w:val="Extracto"/>
      </w:pPr>
      <w:r>
        <w:t>1.</w:t>
      </w:r>
      <w:r>
        <w:tab/>
        <w:t>La Mesa de la Cámara ha realizado un control de carácter material que excede de la función que le corresponde conforme al Reglamento de la Cámara [FJ 5].</w:t>
      </w:r>
    </w:p>
    <w:p w:rsidR="0085709A" w:rsidRDefault="0085709A" w:rsidP="0085709A">
      <w:pPr>
        <w:pStyle w:val="Extracto"/>
      </w:pPr>
    </w:p>
    <w:p w:rsidR="0085709A" w:rsidRDefault="0085709A" w:rsidP="0085709A">
      <w:pPr>
        <w:pStyle w:val="Extracto"/>
      </w:pPr>
      <w:r>
        <w:t>2.</w:t>
      </w:r>
      <w:r>
        <w:tab/>
        <w:t>Los acuerdos de la Mesa se fundan en una comprensión restrictiva de las posibilidades de solicitud de comparecencia ante las comisiones permanentes que no respeta adecuadamente el núcleo esencial del derecho de representación política, por cuanto supone formular un juicio sobre la improcedencia de la comparecencia que no puede admitirse que tenga amparo en el texto del Reglamento de la Cámara ni, en consecuencia, que responda a una interpretación más favorable de la eficacia del derecho fundamental en juego (SSTC 191/2013, 1/2015) [FJ 5].</w:t>
      </w:r>
    </w:p>
    <w:p w:rsidR="0085709A" w:rsidRDefault="0085709A" w:rsidP="0085709A">
      <w:pPr>
        <w:pStyle w:val="Extracto"/>
      </w:pPr>
    </w:p>
    <w:p w:rsidR="0085709A" w:rsidRDefault="0085709A" w:rsidP="0085709A">
      <w:pPr>
        <w:pStyle w:val="Extracto"/>
      </w:pPr>
      <w:r>
        <w:t>3.</w:t>
      </w:r>
      <w:r>
        <w:tab/>
        <w:t>Las resoluciones de rechazo de la Mesa, además de extralimitarse en su función de calificación y admisión realizando un juicio de índole material que le está vedado, han contravenido la legalidad parlamentaria, asumiendo competencias propias de la comisión parlamentaria, que hurtarían a ésta el ejercicio de sus competencias [FFJJ 5 y 6].</w:t>
      </w:r>
    </w:p>
    <w:p w:rsidR="0085709A" w:rsidRDefault="0085709A" w:rsidP="0085709A">
      <w:pPr>
        <w:pStyle w:val="Extracto"/>
      </w:pPr>
    </w:p>
    <w:p w:rsidR="0085709A" w:rsidRDefault="0085709A" w:rsidP="0085709A">
      <w:pPr>
        <w:pStyle w:val="Extracto"/>
      </w:pPr>
      <w:r>
        <w:t>4.</w:t>
      </w:r>
      <w:r>
        <w:tab/>
        <w:t>Los órganos parlamentarios tienen el deber de motivar expresa, suficiente y adecuadamente la aplicación de las normas cuando pueda resultar de la misma una limitación al ejercicio de aquellos derechos y facultades que integran el estatus constitucionalmente relevante de los representantes políticos (SSTC 38/1999, 40/2003) [FFJJ 5 y 6].</w:t>
      </w:r>
    </w:p>
    <w:p w:rsidR="0085709A" w:rsidRDefault="0085709A" w:rsidP="0085709A">
      <w:pPr>
        <w:pStyle w:val="Extracto"/>
      </w:pPr>
    </w:p>
    <w:p w:rsidR="0085709A" w:rsidRDefault="0085709A" w:rsidP="0085709A">
      <w:pPr>
        <w:pStyle w:val="Extracto"/>
      </w:pPr>
      <w:r>
        <w:t>5.</w:t>
      </w:r>
      <w:r>
        <w:tab/>
        <w:t>Los acuerdos impugnados han cercenado indebidamente el derecho del recurrente a ejercer, sin traba ilegítima alguna, las funciones que el Reglamento de la Cámara le confiere, hurtando, además, al Pleno de la Asamblea de Madrid la posibilidad de debatir y pronunciarse sobre la iniciativa propuesta [FJ 7].</w:t>
      </w:r>
    </w:p>
    <w:p w:rsidR="0085709A" w:rsidRDefault="0085709A" w:rsidP="0085709A">
      <w:pPr>
        <w:pStyle w:val="Extracto"/>
      </w:pPr>
    </w:p>
    <w:p w:rsidR="0085709A" w:rsidRDefault="0085709A" w:rsidP="0085709A">
      <w:pPr>
        <w:pStyle w:val="Extracto"/>
      </w:pPr>
      <w:r>
        <w:t>6.</w:t>
      </w:r>
      <w:r>
        <w:tab/>
        <w:t>En la medida en que la Mesa de la Cámara, en el ejercicio de su función de calificación y admisión a trámite, aplicó uno de los motivos de inadmisión previstos expresamente en el art. 192.3 del Reglamento de la Asamblea y que resulta evidente la concurrencia de dicha causa de inadmisión dado el tenor literal de la pregunta, se entiende que no se ha vulnerado el art. 23 CE [FJ. 8].</w:t>
      </w:r>
    </w:p>
    <w:p w:rsidR="0085709A" w:rsidRDefault="0085709A" w:rsidP="0085709A">
      <w:pPr>
        <w:pStyle w:val="Extracto"/>
      </w:pPr>
    </w:p>
    <w:p w:rsidR="0085709A" w:rsidRDefault="0085709A" w:rsidP="0085709A">
      <w:pPr>
        <w:pStyle w:val="Extracto"/>
      </w:pPr>
      <w:r>
        <w:lastRenderedPageBreak/>
        <w:t>7.</w:t>
      </w:r>
      <w:r>
        <w:tab/>
        <w:t>Aplica la doctrina sobre el derecho a acceder en condiciones de igualdad a las funciones y cargos públicos de las SSTC 40/2003, 200/2014, 201/2014, 202/2014 y 1/2015 [FJ 3].</w:t>
      </w:r>
    </w:p>
    <w:p w:rsidR="0085709A" w:rsidRDefault="0085709A" w:rsidP="0085709A">
      <w:pPr>
        <w:pStyle w:val="Extracto"/>
      </w:pPr>
    </w:p>
    <w:p w:rsidR="0085709A" w:rsidRDefault="0085709A" w:rsidP="0085709A">
      <w:pPr>
        <w:pStyle w:val="Extracto"/>
      </w:pPr>
      <w:r>
        <w:t>8.</w:t>
      </w:r>
      <w:r>
        <w:tab/>
        <w:t>El derecho de los ciudadanos a acceder en condiciones de igualdad a las funciones y cargos públicos posee configuración legal en los Reglamentos parlamentarios, a los que compete fijar y ordenar los derechos y atribuciones propios de los parlamentarios, integrándose en el estatuto propio de su cargo [FJ 3].</w:t>
      </w:r>
    </w:p>
    <w:p w:rsidR="0085709A" w:rsidRDefault="0085709A" w:rsidP="0085709A">
      <w:pPr>
        <w:pStyle w:val="Extracto"/>
      </w:pPr>
    </w:p>
    <w:p w:rsidR="0085709A" w:rsidRDefault="0085709A" w:rsidP="0085709A">
      <w:pPr>
        <w:pStyle w:val="Extracto"/>
      </w:pPr>
      <w:r>
        <w:t>9.</w:t>
      </w:r>
      <w:r>
        <w:tab/>
        <w:t>No cualquier acto del órgano parlamentario que infrinja la legalidad del</w:t>
      </w:r>
      <w:r w:rsidRPr="0085709A">
        <w:rPr>
          <w:i/>
        </w:rPr>
        <w:t xml:space="preserve"> ius in officium </w:t>
      </w:r>
      <w:r>
        <w:t>resulta lesivo del derecho fundamental, pues sólo poseen relevancia constitucional, a estos efectos, los derechos o facultades atribuidos al representante que pertenezcan al núcleo de su función representativa parlamentaria, como el ejercicio de la función legislativa o de control de la acción de Gobierno [FJ 3].</w:t>
      </w:r>
    </w:p>
    <w:p w:rsidR="0085709A" w:rsidRDefault="0085709A" w:rsidP="0085709A">
      <w:pPr>
        <w:pStyle w:val="Extracto"/>
      </w:pPr>
    </w:p>
    <w:p w:rsidR="0085709A" w:rsidRDefault="0085709A" w:rsidP="0085709A">
      <w:pPr>
        <w:pStyle w:val="Extracto"/>
      </w:pPr>
      <w:r>
        <w:t>10.</w:t>
      </w:r>
      <w:r>
        <w:tab/>
        <w:t>Se impone a los órganos parlamentarios una interpretación restrictiva de las normas que puedan suponer una limitación al ejercicio de aquellos derechos o atribuciones que integran el estatuto constitucionalmente relevante del representante público y a motivar las razones de su aplicación, respetando los derechos fundamentales de los representantes de los ciudadanos a ejercer su cargo y a participar en los asuntos públicos, ex art. 23.1 CE (SSTC 38/1999, 40/2003) [FJ 3].</w:t>
      </w:r>
    </w:p>
    <w:p w:rsidR="0085709A" w:rsidRDefault="0085709A" w:rsidP="0085709A">
      <w:pPr>
        <w:pStyle w:val="Extracto"/>
      </w:pPr>
    </w:p>
    <w:p w:rsidR="0085709A" w:rsidRDefault="0085709A" w:rsidP="0085709A">
      <w:pPr>
        <w:pStyle w:val="Extracto"/>
      </w:pPr>
      <w:r>
        <w:t>11.</w:t>
      </w:r>
      <w:r>
        <w:tab/>
        <w:t xml:space="preserve">El </w:t>
      </w:r>
      <w:r w:rsidRPr="0085709A">
        <w:rPr>
          <w:i/>
        </w:rPr>
        <w:t xml:space="preserve">ius in officium </w:t>
      </w:r>
      <w:r>
        <w:t>de los representantes parlamentarios no vulnera el ejercicio de la función de control por las Mesas de las Cámaras, estatales o autonómicas, sobre los escritos y documentos parlamentarios, siempre que ese examen de la iniciativa a la luz del canon normativo del Reglamento parlamentario no suponga juicio sobre oportunidad política (STC 40/2003) [FJ 3].</w:t>
      </w:r>
    </w:p>
    <w:p w:rsidR="0085709A" w:rsidRDefault="0085709A" w:rsidP="0085709A">
      <w:pPr>
        <w:pStyle w:val="Extracto"/>
      </w:pPr>
    </w:p>
    <w:p w:rsidR="0085709A" w:rsidRDefault="0085709A" w:rsidP="0085709A">
      <w:pPr>
        <w:pStyle w:val="Extracto"/>
      </w:pPr>
      <w:r>
        <w:t>12.</w:t>
      </w:r>
      <w:r>
        <w:tab/>
        <w:t>Únicamente puede existir un control material cuando la limitación venga establecida en la propia Constitución, las leyes que integran el bloque de la constitucionalidad o el Reglamento parlamentario concreto de aplicación [FJ 3].</w:t>
      </w:r>
    </w:p>
    <w:p w:rsidR="0085709A" w:rsidRDefault="0085709A" w:rsidP="0085709A">
      <w:pPr>
        <w:pStyle w:val="Extracto"/>
      </w:pPr>
    </w:p>
    <w:p w:rsidR="0085709A" w:rsidRDefault="0085709A" w:rsidP="0085709A">
      <w:pPr>
        <w:pStyle w:val="Extracto"/>
      </w:pPr>
      <w:r>
        <w:t>13.</w:t>
      </w:r>
      <w:r>
        <w:tab/>
        <w:t xml:space="preserve">Reitera la doctrina sobre la relevancia de las solicitudes parlamentarias para el </w:t>
      </w:r>
      <w:r w:rsidRPr="0085709A">
        <w:rPr>
          <w:i/>
        </w:rPr>
        <w:t xml:space="preserve">ius in officium </w:t>
      </w:r>
      <w:r>
        <w:t>de los representantes parlamentarios (STC 177/2002) [FJ 5].</w:t>
      </w:r>
    </w:p>
    <w:p w:rsidR="0085709A" w:rsidRDefault="0085709A" w:rsidP="0085709A">
      <w:pPr>
        <w:pStyle w:val="Extracto"/>
      </w:pPr>
    </w:p>
    <w:p w:rsidR="0085709A" w:rsidRDefault="0085709A" w:rsidP="0085709A">
      <w:pPr>
        <w:pStyle w:val="Extracto"/>
      </w:pPr>
      <w:r>
        <w:t>14.</w:t>
      </w:r>
      <w:r>
        <w:tab/>
        <w:t xml:space="preserve">Reitera la doctrina sobre la relevancia de las proposiciones no de ley para el </w:t>
      </w:r>
      <w:r w:rsidRPr="0085709A">
        <w:rPr>
          <w:i/>
        </w:rPr>
        <w:t xml:space="preserve">ius in officium  </w:t>
      </w:r>
      <w:r>
        <w:t>de los representantes parlamentarios (STC 40/2003) [FJ 7].</w:t>
      </w:r>
    </w:p>
    <w:p w:rsidR="0085709A" w:rsidRDefault="0085709A" w:rsidP="0085709A">
      <w:pPr>
        <w:pStyle w:val="Extracto"/>
      </w:pPr>
    </w:p>
    <w:p w:rsidR="0085709A" w:rsidRDefault="0085709A" w:rsidP="0085709A">
      <w:pPr>
        <w:pStyle w:val="Extracto"/>
      </w:pPr>
      <w:r>
        <w:t>15.</w:t>
      </w:r>
      <w:r>
        <w:tab/>
        <w:t xml:space="preserve">Reitera la doctrina sobre la relevancia de las preguntas parlamentarias para el </w:t>
      </w:r>
      <w:r w:rsidRPr="0085709A">
        <w:rPr>
          <w:i/>
        </w:rPr>
        <w:t xml:space="preserve">ius in officium </w:t>
      </w:r>
      <w:r>
        <w:t>de los representantes parlamentarios (STC 33/2010) [FJ 8].</w:t>
      </w:r>
    </w:p>
    <w:p w:rsidR="0085709A" w:rsidRDefault="0085709A" w:rsidP="0085709A">
      <w:pPr>
        <w:pStyle w:val="Extracto"/>
      </w:pPr>
    </w:p>
    <w:p w:rsidR="0085709A" w:rsidRDefault="0085709A" w:rsidP="0085709A">
      <w:pPr>
        <w:pStyle w:val="Extracto"/>
      </w:pPr>
      <w:r>
        <w:t>16.</w:t>
      </w:r>
      <w:r>
        <w:tab/>
        <w:t>Ningún problema constitucional se deriva de la acumulación en una misma demanda de varias denuncias relativas a la vulneración de los derechos recogidos en el art. 23 CE durante la tramitación de diferentes iniciativas parlamentarias (aunque no tengan la misma naturaleza, como es el caso) siempre que, con respecto a cada una de ellas, se observen sus requisitos procedimentales (STC 74/2019) [FJ 2].</w:t>
      </w:r>
    </w:p>
    <w:p w:rsidR="0085709A" w:rsidRDefault="0085709A" w:rsidP="0085709A">
      <w:pPr>
        <w:pStyle w:val="Extracto"/>
      </w:pPr>
    </w:p>
    <w:p w:rsidR="0085709A" w:rsidRDefault="0085709A" w:rsidP="0085709A">
      <w:pPr>
        <w:pStyle w:val="Extracto"/>
      </w:pPr>
      <w:r>
        <w:lastRenderedPageBreak/>
        <w:t>17.</w:t>
      </w:r>
      <w:r>
        <w:tab/>
        <w:t>Los amparos parlamentarios, ex art. 42 LOTC, tienen una particularidad respecto del resto de los recursos de amparo, en cuanto al marco de garantías del que disponen los eventuales recurrentes para invocar sus derechos fundamentales, cual es la ausencia de una vía jurisdiccional previa, lo que los sitúa, al igual que a los amparos electorales, en una posición especial a la hora de determinar su dimensión objetiva al valorar la especial trascendencia constitucional por parte de este Tribunal (STC 155/2009) [FJ 2].</w:t>
      </w:r>
    </w:p>
    <w:p w:rsidR="0085709A" w:rsidRDefault="0085709A" w:rsidP="0085709A">
      <w:pPr>
        <w:pStyle w:val="Extracto"/>
      </w:pPr>
    </w:p>
    <w:p w:rsidR="0085709A" w:rsidRDefault="0085709A" w:rsidP="0085709A">
      <w:pPr>
        <w:pStyle w:val="Extracto"/>
      </w:pPr>
      <w:r>
        <w:t>18.</w:t>
      </w:r>
      <w:r>
        <w:tab/>
        <w:t>Las resoluciones impugnadas han sido adoptadas durante una legislatura aún no finalizada, lo que permite un pronunciamiento destinado a conseguir el pleno restablecimiento del derecho fundamental a la participación política (art. 23.2 CE) del Diputado recurrente en amparo [FJ 9].</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7512-2013, promovido por don Luis de Velasco Rami, Portavoz del Grupo Parlamentario Unión Progreso y Democracia en la Asamblea de Madrid, representado por la Procuradora de los Tribunales doña María José Bueno Ramírez y asistido por el Letrado don Andrés Herzog Sánchez, contra los acuerdos de la Mesa de la Asamblea de Madrid de 24 y 30 de septiembre de 2013, en los que se desestimaron las solicitudes de reconsideración frente a los acuerdos de la Mesa de 29 de abril, 17 de junio, 11 de julio y 26 de agosto de 2013, que dispusieron la inadmisión de las solicitudes de comparecencia 767-2013, 768-2013, 769-2013, 895-2013 y 925-2013, la pregunta de respuesta escrita 1041-2013 y la proposición no de ley 87-2013. Ha comparecido la Asamblea de Madrid, a través de sus representantes y el Ministerio Fiscal.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el día 27 de diciembre de 2013, la Procuradora de los Tribunales doña María José Bueno Ramírez, en nombre y representación del Grupo Parlamentario de Unión Progreso y Democracia y de don Luis de Velasco Rami, portavoz del Grupo Parlamentario de Unión Progreso y Democracia en la Asamblea de Madrid, interpuso recurso de amparo contra los acuerdos parlamentarios a los que se ha hecho mención en el encabezamiento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El recurso tiene su origen en la inadmisión, por parte de la Mesa de la Asamblea de Madrid, de las iniciativas parlamentarias que a continuación se relacionan:</w:t>
      </w:r>
    </w:p>
    <w:p w:rsidR="0085709A" w:rsidRDefault="0085709A" w:rsidP="0085709A">
      <w:pPr>
        <w:pStyle w:val="TextoNormal"/>
      </w:pPr>
    </w:p>
    <w:p w:rsidR="0085709A" w:rsidRDefault="0085709A" w:rsidP="0085709A">
      <w:pPr>
        <w:pStyle w:val="TextoNormal"/>
      </w:pPr>
      <w:r>
        <w:t>a) Con fecha de 10 de junio de 2013, al amparo de lo dispuesto en el art. 211 del Reglamento de la Asamblea de Madrid (RAM), se presentaron tres solicitudes de comparecencia ante la Comisión de Sanidad: de un representante del grupo HIMA San Pablo “con objeto de informar sobre los planes de esta empresa de cara a la gestión de los hospitales Infanta Sofía, en San Sebastián de los Reyes, Infanta Cristina, en Parla, y del Tajo, en Aranjuez”; de un representante del grupo Ribera Salud “con objeto de informar sobre los planes de esta empresa de cara a la gestión de los hospitales Infanta Leonor, en Vallecas, y del Sureste, en Arganda del Rey”; y de un representante del grupo Sanitas “con objeto de informar sobre los planes de esta empresa de cara a la gestión del Hospital del Henares” (comparecencias 767-2013, 768-2013 y 769-2013).</w:t>
      </w:r>
    </w:p>
    <w:p w:rsidR="0085709A" w:rsidRDefault="0085709A" w:rsidP="0085709A">
      <w:pPr>
        <w:pStyle w:val="TextoNormal"/>
      </w:pPr>
    </w:p>
    <w:p w:rsidR="0085709A" w:rsidRDefault="0085709A" w:rsidP="0085709A">
      <w:pPr>
        <w:pStyle w:val="TextoNormal"/>
      </w:pPr>
      <w:r>
        <w:t>La Mesa de la Cámara, por acuerdo de 17 de junio, conforme al art 49.1 c) RAM, dispuso la inadmisión de dichas iniciativas “por ser su objeto extemporáneo al estar el proceso en vías de adjudicación”. Planteada la oportuna reconsideración, la Mesa confirmó su decisión mediante acuerdo desestimatorio de 24 de septiembre de 2013.</w:t>
      </w:r>
    </w:p>
    <w:p w:rsidR="0085709A" w:rsidRDefault="0085709A" w:rsidP="0085709A">
      <w:pPr>
        <w:pStyle w:val="TextoNormal"/>
      </w:pPr>
    </w:p>
    <w:p w:rsidR="0085709A" w:rsidRDefault="0085709A" w:rsidP="0085709A">
      <w:pPr>
        <w:pStyle w:val="TextoNormal"/>
      </w:pPr>
      <w:r>
        <w:t>b) Con fecha de 12 de junio de 2013, al amparo de lo dispuesto en los arts. 205 y concordantes del RAM, se presentó una proposición no de ley por la que se instaba al Gobierno de la Comunidad de Madrid a que “en el plazo de un mes presente ante la Asamblea una estrategia para la prevención del nepotismo y el patronazgo político en los nombramientos de cargos públicos, con propuestas de modificación legal y de regulación de los comportamientos públicos”, conforme a las indicaciones que se expresan en la iniciativa parlamentaria (proposición no de ley 87-2013).</w:t>
      </w:r>
    </w:p>
    <w:p w:rsidR="0085709A" w:rsidRDefault="0085709A" w:rsidP="0085709A">
      <w:pPr>
        <w:pStyle w:val="TextoNormal"/>
      </w:pPr>
    </w:p>
    <w:p w:rsidR="0085709A" w:rsidRDefault="0085709A" w:rsidP="0085709A">
      <w:pPr>
        <w:pStyle w:val="TextoNormal"/>
      </w:pPr>
      <w:r>
        <w:t>La Mesa de la Cámara, mediante acuerdo de 17 de junio de 2013, de acuerdo con el art 49.1 c) RAM, dispuso la inadmisión de la iniciativa “por contener su objeto un juicio de valor al darse por hecho la existencia de nepotismo y patronazgo en los nombramientos de cargos públicos y por no ajustarse la iniciativa a lo dispuesto en los arts. 16.2 del Estatuto de Autonomía de la Comunidad de Madrid y 205 del Reglamento de la Asamblea”. Planteada la oportuna reconsideración, la Mesa confirmó su decisión mediante acuerdo desestimatorio de 24 de septiembre de 2013.</w:t>
      </w:r>
    </w:p>
    <w:p w:rsidR="0085709A" w:rsidRDefault="0085709A" w:rsidP="0085709A">
      <w:pPr>
        <w:pStyle w:val="TextoNormal"/>
      </w:pPr>
    </w:p>
    <w:p w:rsidR="0085709A" w:rsidRDefault="0085709A" w:rsidP="0085709A">
      <w:pPr>
        <w:pStyle w:val="TextoNormal"/>
      </w:pPr>
      <w:r>
        <w:t>c) Con fecha de 5 de julio de 2013, al amparo de lo dispuesto en el art. 198 RAM, se formuló la siguiente pregunta dirigida al Consejo de Gobierno de la Comunidad Autónoma para su respuesta escrita: “¿qué razones han impulsado al gobierno regional de la Comunidad a interponer incidente de nulidad de actuaciones frente a la Sentencia del Tribunal de Justicia de Madrid que anula la licencia para celebrar bodas y fiestas en la Finca La Muñoza?” (Pregunta de respuesta escrita 1041-2013).</w:t>
      </w:r>
    </w:p>
    <w:p w:rsidR="0085709A" w:rsidRDefault="0085709A" w:rsidP="0085709A">
      <w:pPr>
        <w:pStyle w:val="TextoNormal"/>
      </w:pPr>
    </w:p>
    <w:p w:rsidR="0085709A" w:rsidRDefault="0085709A" w:rsidP="0085709A">
      <w:pPr>
        <w:pStyle w:val="TextoNormal"/>
      </w:pPr>
      <w:r>
        <w:t>La Mesa de la Cámara, mediante acuerdo de 11 de julio de 2013, dispuso la inadmisión de la iniciativa, de conformidad con lo dispuesto por los artículos 49.1 c) y 192.3 d) RAM, en cuya virtud “no será admitida a trámite aquella pregunta que suponga consulta de índole estrictamente jurídica”. Planteada la oportuna reconsideración, la Mesa confirmó su decisión por acuerdo desestimatorio de 30 de septiembre de 2013.</w:t>
      </w:r>
    </w:p>
    <w:p w:rsidR="0085709A" w:rsidRDefault="0085709A" w:rsidP="0085709A">
      <w:pPr>
        <w:pStyle w:val="TextoNormal"/>
      </w:pPr>
    </w:p>
    <w:p w:rsidR="0085709A" w:rsidRDefault="0085709A" w:rsidP="0085709A">
      <w:pPr>
        <w:pStyle w:val="TextoNormal"/>
      </w:pPr>
      <w:r>
        <w:t>d) Con fecha de 25 de julio de 2013, al amparo de lo dispuesto en el art. 208 RAM, se presentó una solicitud de comparecencia del Consejero de Economía y Hacienda ante el Pleno, con el objeto de que informase del estudio de viabilidad para la puesta en marcha del proyecto de construcción de un complejo de ocio y casino (conocido como “Eurovegas”) registrado por Las Vegas Sands en la Comunidad de Madrid (comparecencia 895-2013).</w:t>
      </w:r>
    </w:p>
    <w:p w:rsidR="0085709A" w:rsidRDefault="0085709A" w:rsidP="0085709A">
      <w:pPr>
        <w:pStyle w:val="TextoNormal"/>
      </w:pPr>
    </w:p>
    <w:p w:rsidR="0085709A" w:rsidRDefault="0085709A" w:rsidP="0085709A">
      <w:pPr>
        <w:pStyle w:val="TextoNormal"/>
      </w:pPr>
      <w:r>
        <w:t>La Mesa de la Cámara, mediante acuerdo de 26 de agosto de 2013, conforme al art. 49.1 c) RAM, dispuso la inadmisión de la iniciativa “por no referirse su objeto a una realidad, al no existir ningún estudio de viabilidad”. Planteada la oportuna reconsideración, la Mesa confirmó su decisión por acuerdo desestimatorio de 30 de septiembre de 2013.</w:t>
      </w:r>
    </w:p>
    <w:p w:rsidR="0085709A" w:rsidRDefault="0085709A" w:rsidP="0085709A">
      <w:pPr>
        <w:pStyle w:val="TextoNormal"/>
      </w:pPr>
    </w:p>
    <w:p w:rsidR="0085709A" w:rsidRDefault="0085709A" w:rsidP="0085709A">
      <w:pPr>
        <w:pStyle w:val="TextoNormal"/>
      </w:pPr>
      <w:r>
        <w:t>e) Con fecha de 23 de agosto de 2013, al amparo de lo dispuesto en el art. 208 RAM, se presentó una solicitud de comparecencia de la Consejera de Educación, Juventud y Deporte ante el Pleno, con el objeto de que informase “sobre las medidas que ha previsto durante el verano el Gobierno de la Comunidad de Madrid para evitar en el curso que viene la malnutrición de los escolares madrileños” (comparecencia 925-2013).</w:t>
      </w:r>
    </w:p>
    <w:p w:rsidR="0085709A" w:rsidRDefault="0085709A" w:rsidP="0085709A">
      <w:pPr>
        <w:pStyle w:val="TextoNormal"/>
      </w:pPr>
    </w:p>
    <w:p w:rsidR="0085709A" w:rsidRDefault="0085709A" w:rsidP="0085709A">
      <w:pPr>
        <w:pStyle w:val="TextoNormal"/>
      </w:pPr>
      <w:r>
        <w:t>La Mesa de la Cámara, mediante acuerdo de 26 de agosto de 2013, conforme al art. 49.1 c) RAM, dispuso la inadmisión de la iniciativa “por contener su objeto un juicio de valor”. Planteada la oportuna reconsideración, la Mesa confirmó su decisión por acuerdo desestimatorio de 30 de septiembre de 2013.</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se plantea al amparo del art. 42 de la Ley Orgánica del Tribunal Constitucional (LOTC) y tiene por objeto la impugnación de los acuerdos de la Mesa de la Asamblea de Madrid anteriormente referidos. Antes de exponer los motivos que fundamentan la impugnación, el recurrente recuerda que el Grupo Parlamentario Unión Progreso y Democracia ha presentado otros recursos de amparo (núms. 405-2013, 3382-2013, 4140-2013 y 5178-2013), por si, por motivos de economía procesal, este Tribunal tuviera a bien proceder a su acumulación.</w:t>
      </w:r>
    </w:p>
    <w:p w:rsidR="0085709A" w:rsidRDefault="0085709A" w:rsidP="0085709A">
      <w:pPr>
        <w:pStyle w:val="TextoNormal"/>
      </w:pPr>
    </w:p>
    <w:p w:rsidR="0085709A" w:rsidRDefault="0085709A" w:rsidP="0085709A">
      <w:pPr>
        <w:pStyle w:val="TextoNormal"/>
      </w:pPr>
      <w:r w:rsidRPr="0085709A">
        <w:rPr>
          <w:rStyle w:val="NumeroAFNegritaCaracter"/>
        </w:rPr>
        <w:t>4</w:t>
      </w:r>
      <w:r>
        <w:t>. El recurrente aduce que los acuerdos de la Mesa de la Asamblea de Madrid, objeto del presente recurso de amparo, vulneran el derecho a acceder en condiciones de igualdad a las funciones y cargos públicos según lo dispuesto en el art. 23.2 CE, en relación con el derecho de los ciudadanos a participar en los asuntos públicos a través de sus representantes previsto en el art. 23.1 CE.</w:t>
      </w:r>
    </w:p>
    <w:p w:rsidR="0085709A" w:rsidRDefault="0085709A" w:rsidP="0085709A">
      <w:pPr>
        <w:pStyle w:val="TextoNormal"/>
      </w:pPr>
    </w:p>
    <w:p w:rsidR="0085709A" w:rsidRDefault="0085709A" w:rsidP="0085709A">
      <w:pPr>
        <w:pStyle w:val="TextoNormal"/>
      </w:pPr>
      <w:r>
        <w:t xml:space="preserve">Tras una exposición de la doctrina de este Tribunal acerca del art. 23 CE, el recurrente pone de manifiesto que todas las iniciativas rechazadas se presentaron de acuerdo con los requisitos contemplados en el Reglamento de la Asamblea, y afirma que los acuerdos recurridos se han excedido en su interpretación de dicha norma, al realizar un examen de la oportunidad política de las iniciativas parlamentarias, constriñendo el derecho de participación política de los representantes políticos integrados en el Grupo Parlamentario de Unión Progreso y Democracia en la Asamblea de Madrid y afectando al núcleo esencial de la función representativa de los recurrentes, ya que los acuerdos se refieren a la inadmisión de preguntas parlamentarias y solicitudes de comparecencias, que son instrumentos básicos </w:t>
      </w:r>
      <w:r>
        <w:lastRenderedPageBreak/>
        <w:t>para controlar la acción del Gobierno y para plantear en sede parlamentaria los debates políticos que interesan a los ciudadanos. En consecuencia, se solicita la nulidad de cada uno de los acuerdos anteriormente citados.</w:t>
      </w:r>
    </w:p>
    <w:p w:rsidR="0085709A" w:rsidRDefault="0085709A" w:rsidP="0085709A">
      <w:pPr>
        <w:pStyle w:val="TextoNormal"/>
      </w:pPr>
    </w:p>
    <w:p w:rsidR="0085709A" w:rsidRDefault="0085709A" w:rsidP="0085709A">
      <w:pPr>
        <w:pStyle w:val="TextoNormal"/>
      </w:pPr>
      <w:r>
        <w:t>Asimismo, en la demanda se formulan alegaciones en relación con las iniciativas cuya inadmisión se denuncia. Con respecto a las comparecencias relativas a los procesos de externalización del servicio de asistencia sanitaria en seis hospitales, se indica que la justificación de la inadmisión en el hecho de que los hospitales sobre cuya gestión versan las iniciativas están inmersos en un procedimiento de adjudicación es improcedente en términos formales y no es adecuada en términos de fondo ya que, a su juicio, no había motivo alguno que justificase apartar del debate sobre la externalización de la gestión de seis hospitales la aportación que pudieran realizar las empresas que iban a llevar a cabo esa gestión, habida cuenta que eran los únicos licitantes para cada uno de los lotes licitados. Además, se alega que se admitió otra iniciativa parlamentaria sobre un contrato en vía de adjudicación.</w:t>
      </w:r>
    </w:p>
    <w:p w:rsidR="0085709A" w:rsidRDefault="0085709A" w:rsidP="0085709A">
      <w:pPr>
        <w:pStyle w:val="TextoNormal"/>
      </w:pPr>
    </w:p>
    <w:p w:rsidR="0085709A" w:rsidRDefault="0085709A" w:rsidP="0085709A">
      <w:pPr>
        <w:pStyle w:val="TextoNormal"/>
      </w:pPr>
      <w:r>
        <w:t xml:space="preserve">En relación con la comparecencia del Consejero de Economía y Hacienda ante el Pleno, con el objeto de exponer el estudio de viabilidad para la puesta en marcha del proyecto conocido como “Eurovegas”, alegan los recurrentes que por el art. 14 de la Ley 8/2012, de 29 de diciembre, de medidas fiscales y administrativas, se operó una profunda modificación de la Ley 9/1995, de 28 de marzo, de medidas de política territorial, suelo y urbanismo. Esta nueva redacción de la norma recoge la existencia de estudios de viabilidad como requisito </w:t>
      </w:r>
      <w:r w:rsidRPr="0085709A">
        <w:rPr>
          <w:i/>
        </w:rPr>
        <w:t>sine qua non</w:t>
      </w:r>
      <w:r>
        <w:t xml:space="preserve"> para proceder a la implantación de un proyecto como “Eurovegas”. Asimismo, añaden que esta comparecencia está relacionada con otras iniciativas parlamentarias sobre la materia que el Grupo Parlamentario de Unión Progreso y Democracia ha visto sistemáticamente inadmitidas, y han sido objeto de otros recursos de amparo, por lo que el proyecto “Eurovegas” (siendo de interés para la Comunidad), está escapando del control político en sede parlamentaria. Así, los recurrentes afirman que tienen noticias de que el 25 de julio de 2013 se registró ante la Consejería de Presidencia y Justicia el estudio de viabilidad del proyecto “Eurovegas”, en los términos previstos en el art. 35 de la Ley 9/1995 lo que, a su juicio, justifica la comparecencia. En todo caso, se alega que exista o no dicho estudio de viabilidad, no debe escapar del control político en sede parlamentaria.</w:t>
      </w:r>
    </w:p>
    <w:p w:rsidR="0085709A" w:rsidRDefault="0085709A" w:rsidP="0085709A">
      <w:pPr>
        <w:pStyle w:val="TextoNormal"/>
      </w:pPr>
    </w:p>
    <w:p w:rsidR="0085709A" w:rsidRDefault="0085709A" w:rsidP="0085709A">
      <w:pPr>
        <w:pStyle w:val="TextoNormal"/>
      </w:pPr>
      <w:r>
        <w:t>En relación con la inadmisión de la solicitud de comparecencia de la Consejera de Educación, Juventud y Deporte ante el Pleno, con el objeto de que expusiera “las medidas que ha previsto durante el verano el Gobierno de la Comunidad de Madrid para evitar en el curso que viene la malnutrición de los escolares madrileños”, los recurrentes no añaden ningún motivo adicional para fundamentar su queja a los expuestos con carácter general para fundamentar el presente recurso de amparo.</w:t>
      </w:r>
    </w:p>
    <w:p w:rsidR="0085709A" w:rsidRDefault="0085709A" w:rsidP="0085709A">
      <w:pPr>
        <w:pStyle w:val="TextoNormal"/>
      </w:pPr>
    </w:p>
    <w:p w:rsidR="0085709A" w:rsidRDefault="0085709A" w:rsidP="0085709A">
      <w:pPr>
        <w:pStyle w:val="TextoNormal"/>
      </w:pPr>
      <w:r>
        <w:t>Respecto a la inadmisión de la pregunta relativa a las razones que han impulsado al Gobierno Regional de la Comunidad a interponer incidente de nulidad de actuaciones frente a la Sentencia del Tribunal de Justicia de Madrid que anula la licencia para celebrar bodas y fiestas en la finca “La Muñoza”, los recurrentes alegan que la inadmisión no está suficientemente motivada, conforme a la doctrina de este Tribunal, y que dicha pregunta no busca conocer los extremos jurídicos del procedimiento jurisdiccional, sino las razones que hubieran podido impulsar al Gobierno regional a interponer el citado incidente de nulidad, toda vez que el Tribunal Superior de Justicia de Madrid consideró que no hay un interés público sino netamente privado.</w:t>
      </w:r>
    </w:p>
    <w:p w:rsidR="0085709A" w:rsidRDefault="0085709A" w:rsidP="0085709A">
      <w:pPr>
        <w:pStyle w:val="TextoNormal"/>
      </w:pPr>
    </w:p>
    <w:p w:rsidR="0085709A" w:rsidRDefault="0085709A" w:rsidP="0085709A">
      <w:pPr>
        <w:pStyle w:val="TextoNormal"/>
      </w:pPr>
      <w:r>
        <w:t>Finalmente, en relación con la proposición no de ley sobre estrategia para la prevención del nepotismo y el patronazgo político en los nombramientos de cargos públicos, con propuestas de modificación legal y de regulación de los comportamientos públicos se considera que su inadmisión no estaba suficientemente motivada conforme a la doctrina del Tribunal Constitucional y que, al contrario de la afirmado en el acuerdo de inadmisión, resulta conforme con lo establecido en el art. 16.2 del</w:t>
      </w:r>
      <w:r>
        <w:tab/>
        <w:t xml:space="preserve"> Estatuto de Autonomía de la Comunidad de Madrid (EAM) y en el art. 205 RAM, y que no contiene juicios de valor, pero que, en todo caso, se considera que no es una causa de inadmisión recogida en el Reglamento de la Cámara la existencia de un juicio de valor.</w:t>
      </w:r>
    </w:p>
    <w:p w:rsidR="0085709A" w:rsidRDefault="0085709A" w:rsidP="0085709A">
      <w:pPr>
        <w:pStyle w:val="TextoNormal"/>
      </w:pPr>
    </w:p>
    <w:p w:rsidR="0085709A" w:rsidRDefault="0085709A" w:rsidP="0085709A">
      <w:pPr>
        <w:pStyle w:val="TextoNormal"/>
      </w:pPr>
      <w:r>
        <w:t>En el escrito de demanda se justifica la trascendencia constitucional del recurso argumentando que, de ser admitido a trámite, permitirá al Tribunal Constitucional fijar el alcance de la potestad que tiene la Mesa de la Asamblea de Madrid para inadmitir propuestas de los diputados y grupos parlamentarios y evitar así el elevado grado de arbitrariedad que muestran sus decisiones, añadiendo que, dado que no hay cauce de tutela ante la jurisdicción ordinaria, el recurso de amparo aparece como el único remedio posible para defender no sólo los derechos de representación política de los diputados integrados en el Grupo Parlamentario de Unión Progreso y Democracia en la Asamblea de Madrid, sino también la separación de poderes y la democracia en la Comunidad de Madrid frente a una reiterada inadmisión de iniciativas parlamentarias planteadas por el recurrente y que ha impedido debates esenciales en la Asamblea sobre asuntos de interés público.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21 de julio de 2014, la Sala Primera de este Tribunal acordó admitir a trámite la demanda y, a tenor de lo dispuesto en el art. 51 LOTC, interesar al Presidente de la Asamblea de Madrid la remisión del testimonio de las actuaciones, acompañándose copia de la demanda a los efectos de su personación en el presente proceso.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diligencia de ordenación de la Secretaría de Justicia de la Sala Primera de 10 de septiembre de 2014, se tuvo por personado a los Letrados de la Asamblea de Madrid, don Alfonso Arévalo Gutiérrez y don Roberto González de Zárate Llorente; se tuvieron por recibidos los testimonios solicitados y, a tenor de lo dispuesto en el art. 52 LOTC, se dio vista de las actuaciones por un plazo común de veinte días, al Ministerio Fiscal y a las partes personadas para que pudieran presentar las alegaciones que a su derecho convengan.</w:t>
      </w:r>
    </w:p>
    <w:p w:rsidR="0085709A" w:rsidRDefault="0085709A" w:rsidP="0085709A">
      <w:pPr>
        <w:pStyle w:val="TextoNormal"/>
      </w:pPr>
    </w:p>
    <w:p w:rsidR="0085709A" w:rsidRDefault="0085709A" w:rsidP="0085709A">
      <w:pPr>
        <w:pStyle w:val="TextoNormal"/>
      </w:pPr>
      <w:r w:rsidRPr="0085709A">
        <w:rPr>
          <w:rStyle w:val="NumeroAFNegritaCaracter"/>
        </w:rPr>
        <w:t>7</w:t>
      </w:r>
      <w:r>
        <w:t>. El Ministerio Fiscal cumplimentó el trámite con fecha 2 de octubre de 2014, solicitando se dicte Sentencia estimando el recurso de amparo.</w:t>
      </w:r>
    </w:p>
    <w:p w:rsidR="0085709A" w:rsidRDefault="0085709A" w:rsidP="0085709A">
      <w:pPr>
        <w:pStyle w:val="TextoNormal"/>
      </w:pPr>
    </w:p>
    <w:p w:rsidR="0085709A" w:rsidRDefault="0085709A" w:rsidP="0085709A">
      <w:pPr>
        <w:pStyle w:val="TextoNormal"/>
      </w:pPr>
      <w:r>
        <w:t xml:space="preserve">Tras exponer los antecedentes de los que trae causa el recurso y constatar que en el presente caso se cumplen todos los requisitos de legitimación necesarios para actuar en nombre de un grupo parlamentario, el Ministerio Fiscal entra en la cuestión de fondo comenzando por el análisis de los acuerdos de la Mesa de la Asamblea que inadmitieron las solicitudes de cinco comparecencias. A dichos efectos, reproduce los preceptos del Reglamento de la Asamblea de Madrid aplicables a las solicitudes de comparecencia y a las facultades de la Mesa de la Asamblea respecto de las iniciativas parlamentarias, y recuerda la doctrina del Tribunal Constitucional sobre el deber de motivación al que están sujetas dichas facultades </w:t>
      </w:r>
      <w:r>
        <w:lastRenderedPageBreak/>
        <w:t xml:space="preserve">de calificación y decisión sobre admisión de las iniciativas parlamentarias, en cuanto la decisión supone una limitación o restricción de las facultades o derechos que integran el </w:t>
      </w:r>
      <w:r w:rsidRPr="0085709A">
        <w:rPr>
          <w:i/>
        </w:rPr>
        <w:t>ius in officium</w:t>
      </w:r>
      <w:r>
        <w:t>.</w:t>
      </w:r>
    </w:p>
    <w:p w:rsidR="0085709A" w:rsidRDefault="0085709A" w:rsidP="0085709A">
      <w:pPr>
        <w:pStyle w:val="TextoNormal"/>
      </w:pPr>
    </w:p>
    <w:p w:rsidR="0085709A" w:rsidRDefault="0085709A" w:rsidP="0085709A">
      <w:pPr>
        <w:pStyle w:val="TextoNormal"/>
      </w:pPr>
      <w:r>
        <w:t>En primer lugar, respecto al acuerdo de inadmisión de las solicitudes de comparecencia ante la Comisión de Sanidad de representantes de diferentes entidades que concurrían al proceso de gestión de varios hospitales de la Comunidad de Madrid, considera que dicho acuerdo, basado en la extemporaneidad por estar el proceso en vías de adjudicación, contiene una motivación insuficiente que impide evaluar la racionalidad y proporcionalidad de la restricción, ya que no expresa las razones por las que la comparecencia solicitada podía afectar a ese proceso de adjudicación ni cuál sería el carácter de la afectación. Asimismo, entiende que dicho acuerdo ejerció un control material de las iniciativas que excedía de las facultades de la Mesa, ya que, en este tipo de comparecencias, el Reglamento de la Asamblea de Madrid sólo exige que las personas cuya comparecencia se solicita faciliten informe o asesoramiento sobre materias de la competencia o interés de la Comunidad Autónoma, lo que concurre, a su juicio, en este caso, ya que resulta evidente que los procesos administrativos de adjudicación de la gestión de la asistencia sanitaria de hospitales públicos de la Comunidad de Madrid entra dentro de la competencia de la Comunidad de Madrid y es de interés de la misma conocer los planes de gestión que respecto de ellos tengan las empresas que participan en el proceso de adjudicación.</w:t>
      </w:r>
    </w:p>
    <w:p w:rsidR="0085709A" w:rsidRDefault="0085709A" w:rsidP="0085709A">
      <w:pPr>
        <w:pStyle w:val="TextoNormal"/>
      </w:pPr>
    </w:p>
    <w:p w:rsidR="0085709A" w:rsidRDefault="0085709A" w:rsidP="0085709A">
      <w:pPr>
        <w:pStyle w:val="TextoNormal"/>
      </w:pPr>
      <w:r>
        <w:t>A continuación el Ministerio Fiscal se refiere al acuerdo que inadmitió la solicitud de comparecencia del Consejero de Economía y Hacienda ante el Pleno, con el objeto de que informase sobre el estudio de viabilidad para la puesta en marcha del proyecto de ocio conocido como “Eurovegas”, “por no referirse su objeto a una realidad, al no existir ningún estudio de viabilidad”, y al acuerdo de la Mesa de 30 de septiembre, que desestimó el escrito de reconsideración reiterando el referido motivo de inadmisión. Entiende el Ministerio público que dicho acuerdo incurre en exceso respecto de las facultades de control de la Mesa de la Asamblea, al realizar un control material para el que no estaba facultada por la norma, habiendo sustraído el debate que correspondía al Pleno. Asimismo, considera que la solicitud de comparecencia no podía rechazarse en base a que su objeto fuera, de modo evidente, totalmente ajeno a la competencia o intereses de la Comunidad de Madrid ya que en el momento en que se formuló la solicitud de comparecencia la posible instalación de “Eurovegas” era una realidad de evidente difusión e interés público de la Comunidad de Madrid, y también era notoria y pública la intervención del Gobierno de la Comunidad Autónoma.</w:t>
      </w:r>
    </w:p>
    <w:p w:rsidR="0085709A" w:rsidRDefault="0085709A" w:rsidP="0085709A">
      <w:pPr>
        <w:pStyle w:val="TextoNormal"/>
      </w:pPr>
    </w:p>
    <w:p w:rsidR="0085709A" w:rsidRDefault="0085709A" w:rsidP="0085709A">
      <w:pPr>
        <w:pStyle w:val="TextoNormal"/>
      </w:pPr>
      <w:r>
        <w:t>En tercer lugar, se analiza el acuerdo de inadmisión de la solicitud de comparecencia de la Consejera de Educación, Juventud y Deporte por contener la iniciativa un juicio de valor, ratificado en el acuerdo de desestimación del escrito de reconsideración con reiteración del motivo de inadmisión. Al respecto, el Ministerio Fiscal considera que el motivo de inadmisión no es suficiente, en cuanto no se expresa en el mismo, razón alguna que permita conocer por qué la iniciativa merece la calificación de “contener un juicio de valor”. Además, entiende que la Mesa ha realizado un control de carácter material que excede de su facultad de control.</w:t>
      </w:r>
    </w:p>
    <w:p w:rsidR="0085709A" w:rsidRDefault="0085709A" w:rsidP="0085709A">
      <w:pPr>
        <w:pStyle w:val="TextoNormal"/>
      </w:pPr>
    </w:p>
    <w:p w:rsidR="0085709A" w:rsidRDefault="0085709A" w:rsidP="0085709A">
      <w:pPr>
        <w:pStyle w:val="TextoNormal"/>
      </w:pPr>
      <w:r>
        <w:t xml:space="preserve">Seguidamente, el Ministerio Fiscal, tras exponer la regulación del Reglamento de la Cámara y la doctrina constitucional sobre esta materia (STC 44/2010), analiza el acuerdo de la Mesa que inadmitió la pregunta escrita por suponer una consulta de índole estrictamente </w:t>
      </w:r>
      <w:r>
        <w:lastRenderedPageBreak/>
        <w:t>jurídica, inadmisión que fue ratificada por acuerdo de 30 de septiembre de 2013. El Ministerio público entiende que la Mesa de la Cámara, al inadmitir dicha pregunta con la mera invocación del art. 192.3 d) RAM, ha realizado una interpretación restrictiva del derecho, sin exponer las razones por las que se consideraba que la misma suponía una consulta de índole estrictamente jurídica, lo que se evidencia en el acuerdo de desestimación del escrito de reconsideración, que reitera la contestación inicial, sin realizar valoraciones acerca de las alegaciones del Grupo Parlamentario consistentes en que lo que requería contestación eran las razones políticas de actuación del Gobierno de la Comunidad de Madrid en el proceso. Por ello considera que dichos acuerdos no están debida y suficientemente motivados vulnerando el derecho de los recurrentes al ejercicio de la función representativa parlamentaria.</w:t>
      </w:r>
    </w:p>
    <w:p w:rsidR="0085709A" w:rsidRDefault="0085709A" w:rsidP="0085709A">
      <w:pPr>
        <w:pStyle w:val="TextoNormal"/>
      </w:pPr>
    </w:p>
    <w:p w:rsidR="0085709A" w:rsidRDefault="0085709A" w:rsidP="0085709A">
      <w:pPr>
        <w:pStyle w:val="TextoNormal"/>
      </w:pPr>
      <w:r>
        <w:t>Finalmente, el Ministerio Fiscal analiza el acuerdo, de 17 de junio de 2013, de inadmisión de la proposición no de ley 87-2013, ratificado por acuerdo de 24 de septiembre, “por contener su objeto un juicio de valor al darse por hecho la existencia de nepotismo y patronazgo en los nombramientos de cargos públicos y por no ajustarse la iniciativa a lo dispuesto en los arts. 16.2 del Estatuto de Autonomía de la Comunidad de Madrid y 205 del Reglamento de la Asamblea”. En este caso, el acuerdo de la Mesa no explicita en qué modo la proposición no de ley no se ajusta a dichos preceptos, por lo que carece de una motivación suficiente e individualizada. Además, los acuerdos de la Mesa tampoco expresan las razones por la que dicha iniciativa parlamentaria “contiene un juicio de valor”. En consecuencia se entiende que se ha realizado un control de carácter material sin que los preceptos del Estatuto de Autonomía o del Reglamento que regulan esta iniciativa hayan incorporado límites de carácter material, y ha realizado un juicio sobre el contenido de la proposición, asumiendo el papel de control político que le corresponde a la Asamblea.</w:t>
      </w:r>
    </w:p>
    <w:p w:rsidR="0085709A" w:rsidRDefault="0085709A" w:rsidP="0085709A">
      <w:pPr>
        <w:pStyle w:val="TextoNormal"/>
      </w:pPr>
    </w:p>
    <w:p w:rsidR="0085709A" w:rsidRDefault="0085709A" w:rsidP="0085709A">
      <w:pPr>
        <w:pStyle w:val="TextoNormal"/>
      </w:pPr>
      <w:r w:rsidRPr="0085709A">
        <w:rPr>
          <w:rStyle w:val="NumeroAFNegritaCaracter"/>
        </w:rPr>
        <w:t>8</w:t>
      </w:r>
      <w:r>
        <w:t>. Los Letrados de la Asamblea de Madrid, mediante escrito registrado el 15 de octubre de 2014, formularon sus alegaciones solicitando la inadmisión a trámite del recurso por no concurrir los presupuestos procesales exigidos al respecto al haberse efectuado, a su juicio, una indebida acumulación de iniciativas parlamentarias de distinto género y naturaleza que no han sido adoptados en una única y misma sesión de la Mesa de la Asamblea de Madrid y, en su defecto, interesan que este Tribunal acuerde que el recurso de amparo no es susceptible de admisión por carecer de la trascendencia constitucional requerida en los términos exigidos por los arts. 49. 1 y 50.1 LOTC. Subsidiariamente solicitan que se dicte Sentencia denegando el amparo, al entender que no ha existido vulneración, en ninguno de los supuestos cuestionados, de los derechos fundamentales reconocidos en el art. 23 CE.</w:t>
      </w:r>
    </w:p>
    <w:p w:rsidR="0085709A" w:rsidRDefault="0085709A" w:rsidP="0085709A">
      <w:pPr>
        <w:pStyle w:val="TextoNormal"/>
      </w:pPr>
    </w:p>
    <w:p w:rsidR="0085709A" w:rsidRDefault="0085709A" w:rsidP="0085709A">
      <w:pPr>
        <w:pStyle w:val="TextoNormal"/>
      </w:pPr>
      <w:r>
        <w:t>Al exponer los óbices de admisibilidad anteriormente referidos, los representantes de la Asamblea de Madrid ponen de manifiesto que el presente recurso se incardina en una estrategia articulada por el recurrente para poner en tela de juicio la función de la Mesa de la Asamblea de calificación y admisión a trámite de los escritos parlamentarios, añadiendo que, de ser cierto el entramado de arbitrariedades que se denuncian en la demanda de amparo y que se exponen para justificar la especial trascendencia constitucional del recurso, el recurrente debería haber acudido a la jurisdicción penal, ejerciendo las acciones oportunas contra las personas responsables. Los Letrados afirman, asimismo, que dado que el recurso no goza de especial trascendencia constitucional, se pone en práctica una estrategia procesal que comprende la denuncia de arbitrariedad para intentar justificar, sin éxito, dicha trascendencia.</w:t>
      </w:r>
    </w:p>
    <w:p w:rsidR="0085709A" w:rsidRDefault="0085709A" w:rsidP="0085709A">
      <w:pPr>
        <w:pStyle w:val="TextoNormal"/>
      </w:pPr>
    </w:p>
    <w:p w:rsidR="0085709A" w:rsidRDefault="0085709A" w:rsidP="0085709A">
      <w:pPr>
        <w:pStyle w:val="TextoNormal"/>
      </w:pPr>
      <w:r>
        <w:lastRenderedPageBreak/>
        <w:t>Sobre los motivos sustantivos o de fondo del recurso, y comenzando con las comparecencias solicitadas ante la Comisión de Sanidad, entienden los Letrados de la Asamblea de Madrid que, conforme al motivo expresado en los acuerdos recurridos, la comparecencia tiene un objeto extemporáneo porque era necesario esperar hasta la terminación del proceso y por tanto a la adjudicación del contrato, ya que podía suceder que el trámite concluyera sin ser la empresa licitadora la adjudicataria definitiva del contrato. Además, no se admite el término de comparación con iniciativa parlamentaria a la que hacen referencia los recurrentes, por ser la misma inexistente. Finalmente, se considera que los acuerdos impugnados cumplen con las exigencias de motivación establecidas en la jurisprudencia constitucional.</w:t>
      </w:r>
    </w:p>
    <w:p w:rsidR="0085709A" w:rsidRDefault="0085709A" w:rsidP="0085709A">
      <w:pPr>
        <w:pStyle w:val="TextoNormal"/>
      </w:pPr>
    </w:p>
    <w:p w:rsidR="0085709A" w:rsidRDefault="0085709A" w:rsidP="0085709A">
      <w:pPr>
        <w:pStyle w:val="TextoNormal"/>
      </w:pPr>
      <w:r>
        <w:t>En relación con el acuerdo de inadmisión de la proposición no de ley, los Letrados de la Asamblea de Madrid ponen de relieve que dicha decisión se basa en dos fundamentos: dar por hecho la existencia de “nepotismo y patronazgo en los nombramientos de cargos públicos” y “no ajustarse la iniciativa a lo dispuesto en los arts. 16.2 del Estatuto de Autonomía de la Comunidad de Madrid y 205 del Reglamento de la Asamblea”. En relación con la primera cuestión se parte de que de la dicción literal de la iniciativa se da por hecho la existencia de nepotismo y patronazgo en el nombramiento de cargos públicos, y que la decisión de inadmitir a trámite una iniciativa por contener su objeto juicios de valor se encuentra amparada en las facultades de la Mesa de la Asamblea conforme al art. 49.1 c) RAM. En relación con la contravención del Estatuto de Autonomía y del Reglamento de la Cámara, consideran los Letrados de la Asamblea de Madrid que de la dicción literal de la proposición no de ley se desprende que se refiere de modo genérico al nombramiento de cargos públicos obviando toda referencia a la Comunidad de Madrid, por lo que no corresponde a la Asamblea sustanciar una iniciativa que no se corresponde a su ámbito de impulso, orientación y control de la acción de Gobierno, y, en este marco, afirman que la inadmisión de la iniciativa está debidamente motivada y es conforme a Derecho.</w:t>
      </w:r>
    </w:p>
    <w:p w:rsidR="0085709A" w:rsidRDefault="0085709A" w:rsidP="0085709A">
      <w:pPr>
        <w:pStyle w:val="TextoNormal"/>
      </w:pPr>
    </w:p>
    <w:p w:rsidR="0085709A" w:rsidRDefault="0085709A" w:rsidP="0085709A">
      <w:pPr>
        <w:pStyle w:val="TextoNormal"/>
      </w:pPr>
      <w:r>
        <w:t>Respecto a la inadmisión de la pregunta de respuesta escrita, consideran los Letrados de la Asamblea de Madrid que la decisión ha sido motivada y dicha motivación es razonable de conformidad con la doctrina del Tribunal Constitucional, en la medida en que se trata de un pregunta que se circunscribe perfectamente en el supuesto previsto en el art. 192.3 d) RAM ya que del propio tenor literal de la misma se deduce con claridad que se trata de una pregunta de índole estrictamente jurídica, por lo que se considera que basta con señalar el precepto y recordar su contenido en el acuerdo de la Mesa de la Asamblea de Madrid.</w:t>
      </w:r>
    </w:p>
    <w:p w:rsidR="0085709A" w:rsidRDefault="0085709A" w:rsidP="0085709A">
      <w:pPr>
        <w:pStyle w:val="TextoNormal"/>
      </w:pPr>
    </w:p>
    <w:p w:rsidR="0085709A" w:rsidRDefault="0085709A" w:rsidP="0085709A">
      <w:pPr>
        <w:pStyle w:val="TextoNormal"/>
      </w:pPr>
      <w:r>
        <w:t>En relación con la inadmisión de la comparecencia 895-2013 entienden los Letrados de la Asamblea de Madrid que no existe la determinación que exige el art. 208 RAM y que el objeto de la comparecencia se refiere a una realidad inexistente, por lo que resulta plenamente conforme a Derecho la decisión de la Mesa de la Asamblea de Madrid de inadmitir a trámite la presente iniciativa.</w:t>
      </w:r>
    </w:p>
    <w:p w:rsidR="0085709A" w:rsidRDefault="0085709A" w:rsidP="0085709A">
      <w:pPr>
        <w:pStyle w:val="TextoNormal"/>
      </w:pPr>
    </w:p>
    <w:p w:rsidR="0085709A" w:rsidRDefault="0085709A" w:rsidP="0085709A">
      <w:pPr>
        <w:pStyle w:val="TextoNormal"/>
      </w:pPr>
      <w:r>
        <w:t>Finalmente, la defensa de la Asamblea de Madrid considera que el acuerdo de inadmisión de la comparecencia 925-2013 es conforme a Derecho ya que el objeto de la comparecencia da por hecho la existencia de malnutrición de los escolares madrileños, por lo que se basa en un juicio de valor. Se entiende que la decisión de inadmitir una iniciativa parlamentaria por contener su objeto juicios de valor se encuentra amparada en las facultades de la Mesa previstas en el art. 49.1 c) RAM.</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Por providencia de 12 de febrero de dos mil quince, se señaló para la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Como se ha expuesto con mayor detalle en los antecedentes de esta Sentencia, el recurso de amparo se dirige contra una serie de acuerdos de la Mesa de la Asamblea de Madrid, por los que se inadmitieron diversas iniciativas parlamentarias presentadas por el Grupo Parlamentario de Unión Progreso y Democracia: cinco comparecencias, una proposición no de ley y una pregunta de respuesta escrita.</w:t>
      </w:r>
    </w:p>
    <w:p w:rsidR="0085709A" w:rsidRDefault="0085709A" w:rsidP="0085709A">
      <w:pPr>
        <w:pStyle w:val="TextoNormal"/>
      </w:pPr>
    </w:p>
    <w:p w:rsidR="0085709A" w:rsidRDefault="0085709A" w:rsidP="0085709A">
      <w:pPr>
        <w:pStyle w:val="TextoNormal"/>
      </w:pPr>
      <w:r>
        <w:t>El demandante de amparo considera que los acuerdos impugnados vulneran el derecho a acceder en condiciones de igualdad a las funciones y cargos públicos según lo dispuesto en el art. 23.2 CE, en relación con el derecho de los ciudadanos a participar en los asuntos públicos a través de sus representantes, previsto en el art. 23.1 CE. Para el recurrente, dichos acuerdos han impedido de forma arbitraria la formulación de iniciativas parlamentarias que forman parte del núcleo esencial de la función representativa. Como se expone más detenidamente en los antecedentes, el recurrente pone de manifiesto que todas las iniciativas rechazadas se presentaron de acuerdo con los requisitos contemplados en el Reglamento de la Asamblea, y que los acuerdos recurridos se han excedido en su interpretación de dicha norma, al realizar un examen de la oportunidad política de las iniciativas parlamentarias, constriñendo el derecho de participación política de los representantes políticos integrados en el Grupo Parlamentario de Unión Progreso y Democracia en la Asamblea de Madrid y afectando al núcleo esencial de la función representativa de los recurrentes, ya que los acuerdos se refieren a iniciativas parlamentarias, que son instrumentos básicos para controlar la acción del Gobierno y para plantear en sede parlamentaria los debates políticos que interesan a los ciudadanos.</w:t>
      </w:r>
    </w:p>
    <w:p w:rsidR="0085709A" w:rsidRDefault="0085709A" w:rsidP="0085709A">
      <w:pPr>
        <w:pStyle w:val="TextoNormal"/>
      </w:pPr>
    </w:p>
    <w:p w:rsidR="0085709A" w:rsidRDefault="0085709A" w:rsidP="0085709A">
      <w:pPr>
        <w:pStyle w:val="TextoNormal"/>
      </w:pPr>
      <w:r>
        <w:t>El Ministerio Fiscal interesa que se dicte Sentencia estimando el recurso de amparo y declarando la nulidad de todas las resoluciones recurridas, por haber vulnerado el derecho del recurrente a ejercer en condiciones de igualdad el cargo público representativo reconocido en el art. 23.2 CE, de acuerdo con las razones expuestas de forma más detallada en los antecedentes de esta Sentencia.</w:t>
      </w:r>
    </w:p>
    <w:p w:rsidR="0085709A" w:rsidRDefault="0085709A" w:rsidP="0085709A">
      <w:pPr>
        <w:pStyle w:val="TextoNormal"/>
      </w:pPr>
    </w:p>
    <w:p w:rsidR="0085709A" w:rsidRDefault="0085709A" w:rsidP="0085709A">
      <w:pPr>
        <w:pStyle w:val="TextoNormal"/>
      </w:pPr>
      <w:r>
        <w:t>La Asamblea de Madrid formuló alegaciones solicitando la inadmisión a trámite del recurso por no concurrir los presupuestos procesales exigidos al haberse efectuado una indebida acumulación de iniciativas parlamentarias de distinto género y naturaleza que no han sido adoptados en una única y misma sesión de la Mesa de la Asamblea de Madrid y, en su defecto, solicita que este Tribunal acuerde que el recurso de amparo no es susceptible de admisión por carecer de la trascendencia constitucional requerida, en los términos exigidos por los artículos 49.1 y 50.1 de la Ley Orgánica del Tribunal Constitucional (LOTC). Subsidiariamente, la representación procesal de la Asamblea de Madrid solicita que se dicte Sentencia denegando el amparo, al no haber existido vulneración de los derechos fundamentales reconocidos en el art. 23 CE, por las razones que han quedado expuestas en los antecedentes de esta Sentencia.</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Antes de entrar en el fondo de las cuestiones suscitadas en este proceso, es necesario examinar las objeciones de inadmisibilidad alegadas por la representación procesal de la Asamblea de Madrid, así como pronunciarnos sobre la solicitud de acumulación de varios recursos de amparo solicitada por el recurrente.</w:t>
      </w:r>
    </w:p>
    <w:p w:rsidR="0085709A" w:rsidRDefault="0085709A" w:rsidP="0085709A">
      <w:pPr>
        <w:pStyle w:val="TextoNormal"/>
      </w:pPr>
    </w:p>
    <w:p w:rsidR="0085709A" w:rsidRDefault="0085709A" w:rsidP="0085709A">
      <w:pPr>
        <w:pStyle w:val="TextoNormal"/>
      </w:pPr>
      <w:r>
        <w:t xml:space="preserve">En este sentido debemos señalar, en primer lugar, que ningún problema constitucional se deriva de la acumulación en una misma demanda de varias denuncias relativas a la vulneración de los derechos recogidos en el art. 23 CE durante la tramitación de diferentes iniciativas parlamentarias (aunque no tengan la misma naturaleza, como es el caso) siempre que, con respecto a cada una de ellas, se observen los requisitos de procedibilidad correspondientes, pues la línea argumental de todo el recurso es similar, al versar sobre la restricción de las facultades integradas en el </w:t>
      </w:r>
      <w:r w:rsidRPr="0085709A">
        <w:rPr>
          <w:i/>
        </w:rPr>
        <w:t>ius in officium</w:t>
      </w:r>
      <w:r>
        <w:t xml:space="preserve"> de los representantes políticos (SSTC 74/2009, de 23 de marzo, FJ 2; 33/2010, de 19 de julio, FJ 3; 200/2014, de 15 de diciembre, FJ 2; 201/2014, de 15 de diciembre, FJ 2, y 202/2014, de 15 de diciembre, FJ 2, entre otras).</w:t>
      </w:r>
    </w:p>
    <w:p w:rsidR="0085709A" w:rsidRDefault="0085709A" w:rsidP="0085709A">
      <w:pPr>
        <w:pStyle w:val="TextoNormal"/>
      </w:pPr>
    </w:p>
    <w:p w:rsidR="0085709A" w:rsidRDefault="0085709A" w:rsidP="0085709A">
      <w:pPr>
        <w:pStyle w:val="TextoNormal"/>
      </w:pPr>
      <w:r>
        <w:t>En segundo lugar, de las alegaciones de los Letrados de la Asamblea de Madrid se desprende, no sólo que consideran que la demanda adolece de una insuficiente justificación de la especial trascendencia constitucional (</w:t>
      </w:r>
      <w:r w:rsidRPr="0085709A">
        <w:rPr>
          <w:i/>
        </w:rPr>
        <w:t>ex</w:t>
      </w:r>
      <w:r>
        <w:t xml:space="preserve"> art. 49.1 LOTC), sino que estamos ante un recurso que carece de especial trascendencia constitucional [</w:t>
      </w:r>
      <w:r w:rsidRPr="0085709A">
        <w:rPr>
          <w:i/>
        </w:rPr>
        <w:t>ex</w:t>
      </w:r>
      <w:r>
        <w:t xml:space="preserve"> art. 50.1 b) LOTC]. Con respecto al cumplimiento de la carga del demandante de realizar la indicada justificación, debemos señalar que, tal y como ha quedado reflejado en los antecedentes de esta Sentencia, el demandante hace un esfuerzo argumental tendente a disociar los argumentos dirigidos a evidenciar la existencia de la lesión del derecho fundamental y los razonamientos específicamente dirigidos a justificar que el recurso presenta especial trascendencia constitucional (STC 17/2011, de 28 de febrero, FJ 2), cumpliendo así con el requisito derivado del art. 49.1 LOTC. Por lo que se refiere a la exigencia material de la especial trascendencia constitucional del recurso de amparo, debemos recordar que se trata de un requisito que sólo corresponde valorar a este Tribunal, </w:t>
      </w:r>
      <w:r w:rsidRPr="0085709A">
        <w:rPr>
          <w:i/>
        </w:rPr>
        <w:t>ex</w:t>
      </w:r>
      <w:r>
        <w:t xml:space="preserve"> art. 50.1 b) LOTC, atendiendo para ello a los tres criterios que en el precepto se enuncian (STC 155/2009, de 25 de junio, FJ 2).</w:t>
      </w:r>
    </w:p>
    <w:p w:rsidR="0085709A" w:rsidRDefault="0085709A" w:rsidP="0085709A">
      <w:pPr>
        <w:pStyle w:val="TextoNormal"/>
      </w:pPr>
    </w:p>
    <w:p w:rsidR="0085709A" w:rsidRDefault="0085709A" w:rsidP="0085709A">
      <w:pPr>
        <w:pStyle w:val="TextoNormal"/>
      </w:pPr>
      <w:r>
        <w:t xml:space="preserve">Al respecto, hemos afirmado en las recientes Sentencias 200/2014, 201/2014 y 202/2014, todas ellas de 15 de diciembre, FJ 2, y 1/2015, de 19 de enero, FJ 2, que “los amparos parlamentarios, </w:t>
      </w:r>
      <w:r w:rsidRPr="0085709A">
        <w:rPr>
          <w:i/>
        </w:rPr>
        <w:t>ex</w:t>
      </w:r>
      <w:r>
        <w:t xml:space="preserve">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85709A">
        <w:rPr>
          <w:i/>
        </w:rPr>
        <w:t>interna corporis acta</w:t>
      </w:r>
      <w:r>
        <w:t xml:space="preserve">, según la cual los actos de calificación y admisión de iniciativas parlamentarias no son susceptibles de fiscalización por los tribunales ordinarios, circunstancia que ha de conjugarse con el ejercicio del </w:t>
      </w:r>
      <w:r w:rsidRPr="0085709A">
        <w:rPr>
          <w:i/>
        </w:rPr>
        <w:t>ius in officium</w:t>
      </w:r>
      <w:r>
        <w:t xml:space="preserve">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w:t>
      </w:r>
    </w:p>
    <w:p w:rsidR="0085709A" w:rsidRDefault="0085709A" w:rsidP="0085709A">
      <w:pPr>
        <w:pStyle w:val="TextoNormal"/>
      </w:pPr>
    </w:p>
    <w:p w:rsidR="0085709A" w:rsidRDefault="0085709A" w:rsidP="0085709A">
      <w:pPr>
        <w:pStyle w:val="TextoNormal"/>
      </w:pPr>
      <w:r>
        <w:lastRenderedPageBreak/>
        <w:t>Por lo expuesto, las dos causas de inadmisión anteriormente referidas y aducidas por los Letrados de la Asamblea de Madrid deben ser rechazadas.</w:t>
      </w:r>
    </w:p>
    <w:p w:rsidR="0085709A" w:rsidRDefault="0085709A" w:rsidP="0085709A">
      <w:pPr>
        <w:pStyle w:val="TextoNormal"/>
      </w:pPr>
    </w:p>
    <w:p w:rsidR="0085709A" w:rsidRDefault="0085709A" w:rsidP="0085709A">
      <w:pPr>
        <w:pStyle w:val="TextoNormal"/>
      </w:pPr>
      <w:r>
        <w:t>En lo que se refiere a la solitud de acumulación de los diferentes recursos de amparo presentados por el Grupo Parlamentario de Unión Progreso y Democracia, a los que hemos hecho referencia en los antecedentes, dicha acumulación no cabe en la medida en que este Tribunal ya ha resuelto los recursos de amparo a los que se refiere el recurrente en la demanda de amparo en las SSTC 200/2014, 201/2014 y 202/2014, todas ellas de 15 de diciembre y 1/2015, de 19 de enero.</w:t>
      </w:r>
    </w:p>
    <w:p w:rsidR="0085709A" w:rsidRDefault="0085709A" w:rsidP="0085709A">
      <w:pPr>
        <w:pStyle w:val="TextoNormal"/>
      </w:pPr>
    </w:p>
    <w:p w:rsidR="0085709A" w:rsidRDefault="0085709A" w:rsidP="0085709A">
      <w:pPr>
        <w:pStyle w:val="TextoNormal"/>
      </w:pPr>
      <w:r w:rsidRPr="0085709A">
        <w:rPr>
          <w:rStyle w:val="NumeroAFNegritaCaracter"/>
        </w:rPr>
        <w:t>3</w:t>
      </w:r>
      <w:r>
        <w:t>. Entrando ya en el análisis de fondo del recurso de amparo, la cuestión suscitada se contrae a determinar si los acuerdos de la Mesa de la Asamblea de Madrid de no admitir a trámite las iniciativas parlamentarias que se mencionan en el encabezamiento de esta Sentencia han vulnerado el derecho del recurrente a acceder en condiciones de igualdad a las funciones y cargos públicos con los requisitos que señalen las leyes (art. 23.2 CE), en relación con el derecho de los ciudadanos a participar en los asuntos públicos (art. 23.1 CE). La cuestión que se somete a consideración ni es nueva, en términos materiales, ni tampoco en razón de su procedencia. El Tribunal, en distintas resoluciones, ha tenido ocasión de pronunciarse sobre supuestos similares acontecidos en la Asamblea de Madrid e, incluso, en recursos presentados por el mismo demandante, en particular, en las antes señaladas SSTC 200/2014, de 15 de diciembre, 201/2014, de 15 de diciembre, 202/2014, de 15 de diciembre y 1/2015, de 19 de enero. Por todo ello, habrá de estarse a los pronunciamientos dictados anteriormente en la medida en que las circunstancias fácticas del caso que ahora es objeto de la presente resolución así lo permitan.</w:t>
      </w:r>
    </w:p>
    <w:p w:rsidR="0085709A" w:rsidRDefault="0085709A" w:rsidP="0085709A">
      <w:pPr>
        <w:pStyle w:val="TextoNormal"/>
      </w:pPr>
    </w:p>
    <w:p w:rsidR="0085709A" w:rsidRDefault="0085709A" w:rsidP="0085709A">
      <w:pPr>
        <w:pStyle w:val="TextoNormal"/>
      </w:pPr>
      <w:r>
        <w:t xml:space="preserve">En todo caso, en las referidas Sentencias hemos traído a colación, para la resolución de la cuestión suscitada, la doctrina constitucional sobre los mencionados derechos fundamentales, para ponerla en conexión con la potestad de la Mesa de la Cámara de calificar y admitir o no a trámite las iniciativas parlamentarias, recogida, entre otras muchas, en las SSTC 38/1999, de 22 de marzo, FFJJ 2 y 3; 107/2001, de 23 de abril, FJ 3; 203/2001, de 15 de octubre, FFJJ 2 y 3; 177/2002, de 14 de octubre, FJ 3; 40/2003, de 27 de febrero, FJ 2, y 78/2006, de 13 de marzo, FJ 3, de la que cabe destacar,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w:t>
      </w:r>
      <w:r w:rsidRPr="0085709A">
        <w:rPr>
          <w:i/>
        </w:rPr>
        <w:t>ius in officium</w:t>
      </w:r>
      <w:r>
        <w:t xml:space="preserve">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 (SSTC 161/1988, FJ 7; 38/1999, FJ 2; 27/2000, de 31 de enero, FJ 4; 107/2001, FJ 3; 203/2001, FJ 2; 177/2002, FJ 3, y 40/2003, FJ 2).</w:t>
      </w:r>
    </w:p>
    <w:p w:rsidR="0085709A" w:rsidRDefault="0085709A" w:rsidP="0085709A">
      <w:pPr>
        <w:pStyle w:val="TextoNormal"/>
      </w:pPr>
    </w:p>
    <w:p w:rsidR="0085709A" w:rsidRDefault="0085709A" w:rsidP="0085709A">
      <w:pPr>
        <w:pStyle w:val="TextoNormal"/>
      </w:pPr>
      <w:r>
        <w:t xml:space="preserve">Sin embargo, hemos precisado que no cualquier acto del órgano parlamentario que infrinja la legalidad del </w:t>
      </w:r>
      <w:r w:rsidRPr="0085709A">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w:t>
      </w:r>
      <w:r>
        <w:lastRenderedPageBreak/>
        <w:t xml:space="preserve">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w:t>
      </w:r>
      <w:r w:rsidRPr="0085709A">
        <w:rPr>
          <w:i/>
        </w:rPr>
        <w:t>ex</w:t>
      </w:r>
      <w:r>
        <w:t xml:space="preserve"> art. 23.1 CE (SSTC 38/1999, FJ 2; 107/2001, FJ 3, y 40/2003, FJ 2, entre otras muchas).</w:t>
      </w:r>
    </w:p>
    <w:p w:rsidR="0085709A" w:rsidRDefault="0085709A" w:rsidP="0085709A">
      <w:pPr>
        <w:pStyle w:val="TextoNormal"/>
      </w:pPr>
    </w:p>
    <w:p w:rsidR="0085709A" w:rsidRDefault="0085709A" w:rsidP="0085709A">
      <w:pPr>
        <w:pStyle w:val="TextoNormal"/>
      </w:pPr>
      <w:r>
        <w:t xml:space="preserve">Asimismo hemos recordado que no vulnera aquel </w:t>
      </w:r>
      <w:r w:rsidRPr="0085709A">
        <w:rPr>
          <w:i/>
        </w:rPr>
        <w:t>ius in officium</w:t>
      </w:r>
      <w:r>
        <w:t>, el ejercicio de la función de control por las mesas de las Cámaras, estatales o autonómicas, sobre los escritos y documentos parlamentarios, “siempre que tras ese examen de la iniciativa a la luz del canon normativo del Reglamento parlamentario no se esconda un juicio sobre la oportunidad política” (STC 40/2003, FJ 2). Únicamente puede existir un control material cuando la limitación venga establecida en la propia Constitución, las leyes que integran el bloque de la constitucionalidad o el Reglamento parlamentario concreto de aplicación. En caso contrario la verificación será siempre formal, de modo que “cualquier rechazo arbitrario o no motivado causará lesión” del derecho del parlamentario, debiendo tenerse presente también “el principio de interpretación más favorable a la eficacia de los derechos fundamentales, que ha sido afirmado por este Tribunal también en relación con el art. 23.2 CE (SSTC 177/2002, FJ 3 y 40/2003, FJ 2)” (SSTC 201/2014, de 15 de diciembre, FJ 3 y 1/2015, de 19 de enero, FJ 3).</w:t>
      </w:r>
    </w:p>
    <w:p w:rsidR="0085709A" w:rsidRDefault="0085709A" w:rsidP="0085709A">
      <w:pPr>
        <w:pStyle w:val="TextoNormal"/>
      </w:pPr>
    </w:p>
    <w:p w:rsidR="0085709A" w:rsidRDefault="0085709A" w:rsidP="0085709A">
      <w:pPr>
        <w:pStyle w:val="TextoNormal"/>
      </w:pPr>
      <w:r w:rsidRPr="0085709A">
        <w:rPr>
          <w:rStyle w:val="NumeroAFNegritaCaracter"/>
        </w:rPr>
        <w:t>4</w:t>
      </w:r>
      <w:r>
        <w:t>. Sentada esta doctrina de carácter general, hemos de proceder al análisis de las lesiones alegadas teniendo en cuenta la normativa configuradora de la potestad de la Mesa de la Cámara de calificar y admitir o no a trámite los escritos y documentos de índole parlamentaria que, en este caso, está constituida por el Estatuto de Autonomía de la Comunidad de Madrid y por el Reglamento de la Asamblea de Madrid.</w:t>
      </w:r>
    </w:p>
    <w:p w:rsidR="0085709A" w:rsidRDefault="0085709A" w:rsidP="0085709A">
      <w:pPr>
        <w:pStyle w:val="TextoNormal"/>
      </w:pPr>
    </w:p>
    <w:p w:rsidR="0085709A" w:rsidRDefault="0085709A" w:rsidP="0085709A">
      <w:pPr>
        <w:pStyle w:val="TextoNormal"/>
      </w:pPr>
      <w:r>
        <w:t>El Estatuto de Autonomía, en lo que a iniciativas parlamentarias se refiere, se limita a recoger en su art. 16.2 que “el Reglamento establecerá las iniciativas parlamentarias que permitan a la Asamblea ejercer el control ordinario del Gobierno y obtener del mismo y de la Administración de la Comunidad la información precisa para el ejercicio de sus funciones”, añadiendo que el Reglamento “regulará, asimismo, el procedimiento a seguir para la aprobación por la Asamblea, en el ejercicio de sus funciones de impulso, orientación y control de la acción de gobierno, de resoluciones o mociones de carácter no legislativo”.</w:t>
      </w:r>
    </w:p>
    <w:p w:rsidR="0085709A" w:rsidRDefault="0085709A" w:rsidP="0085709A">
      <w:pPr>
        <w:pStyle w:val="TextoNormal"/>
      </w:pPr>
    </w:p>
    <w:p w:rsidR="0085709A" w:rsidRDefault="0085709A" w:rsidP="0085709A">
      <w:pPr>
        <w:pStyle w:val="TextoNormal"/>
      </w:pPr>
      <w:r>
        <w:t>Por su parte, el art. 49.1 c) del Reglamento de la Asamblea de Madrid (RAM), en el que se basan expresamente los acuerdos de inadmisión impugnados, establece que corresponde a la Mesa de la Asamblea “calificar los escritos y documentos de índole parlamentaria, resolver sobre la admisión o inadmisión a trámite de los mismos y decidir su tramitación, con arreglo en todo caso a lo dispuesto en el presente Reglamento”, siendo en esta primera fase de calificación y admisión a trámite en la que hay que situar el análisis de los acuerdos recurridos. Además, habrá que estar a lo dispuesto en el Reglamento de la Cámara sobre cada una de las iniciativas cuya inadmisión es objeto del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5</w:t>
      </w:r>
      <w:r>
        <w:t>. Corresponde analizar, en primer lugar, los acuerdos de la Mesa de la Asamblea que inadmitieron un total de cinco solicitudes de comparecencia presentadas por el Grupo Parlamentario de Unión Progreso y Democracia. Tres de esas solicitudes eran respecto de personas que no pertenecían a la organización institucional de la Comunidad de Madrid, de conformidad con lo establecido en el art. 211 RAM y dos se formularon respecto de distintos miembros del Gobierno de la Comunidad de Madrid.</w:t>
      </w:r>
    </w:p>
    <w:p w:rsidR="0085709A" w:rsidRDefault="0085709A" w:rsidP="0085709A">
      <w:pPr>
        <w:pStyle w:val="TextoNormal"/>
      </w:pPr>
    </w:p>
    <w:p w:rsidR="0085709A" w:rsidRDefault="0085709A" w:rsidP="0085709A">
      <w:pPr>
        <w:pStyle w:val="TextoNormal"/>
      </w:pPr>
      <w:r>
        <w:t>El Grupo Parlamentario Unión Progreso y Democracia presentó, al amparo del art. 211 RAM, tres solicitudes de comparecencia de representantes de tres empresas para informar sobre sus planes de cara a la gestión de diferentes hospitales de la Comunidad de Madrid. Respecto a dichas solicitudes de comparecencia, tanto en el acuerdo de inadmisión como en el que resuelve la solicitud de reconsideración, el motivo expresado fue “ser su objeto extemporáneo al estar el proceso en vías de adjudicación”.</w:t>
      </w:r>
    </w:p>
    <w:p w:rsidR="0085709A" w:rsidRDefault="0085709A" w:rsidP="0085709A">
      <w:pPr>
        <w:pStyle w:val="TextoNormal"/>
      </w:pPr>
    </w:p>
    <w:p w:rsidR="0085709A" w:rsidRDefault="0085709A" w:rsidP="0085709A">
      <w:pPr>
        <w:pStyle w:val="TextoNormal"/>
      </w:pPr>
      <w:r>
        <w:t xml:space="preserve">El citado art. 211 RAM, relativo a las comparecencias de otras entidades o personas a efectos de informe y asesoramiento, determina que “podrán comparecer ante las Comisiones a efectos de informe y asesoramiento sobre materias de competencia o interés de la Comunidad de Madrid por acuerdo de la Comisión competente en ejercicio de las facultades previstas en el artículo 70.1.e) de este Reglamento, a iniciativa de un Grupo Parlamentario o de la quinta parte de los Diputados miembros de la Comisión correspondiente”. A la vista de lo dispuesto en los citados arts. 49.1 c) y 211 RAM, hemos afirmado en STC 1/2015, de 19 de enero, FJ 4, que a la Mesa, en esta fase del procedimiento parlamentario le corresponde analizar los requisitos de legitimación, sin que pueda rechazar </w:t>
      </w:r>
      <w:r w:rsidRPr="0085709A">
        <w:rPr>
          <w:i/>
        </w:rPr>
        <w:t>a limine</w:t>
      </w:r>
      <w:r>
        <w:t xml:space="preserve"> la solicitud de admisión a trámite mediante argumentos de índole material, facultad ésta que reside en la comisión competente o, de acuerdo con la delegación prevista en el art. 70.2 RAM, en la mesa de la comisión competente.</w:t>
      </w:r>
    </w:p>
    <w:p w:rsidR="0085709A" w:rsidRDefault="0085709A" w:rsidP="0085709A">
      <w:pPr>
        <w:pStyle w:val="TextoNormal"/>
      </w:pPr>
    </w:p>
    <w:p w:rsidR="0085709A" w:rsidRDefault="0085709A" w:rsidP="0085709A">
      <w:pPr>
        <w:pStyle w:val="TextoNormal"/>
      </w:pPr>
      <w:r>
        <w:t xml:space="preserve">Asimismo, ha de destacarse que este Tribunal se ha ocupado ya en otras ocasiones de la naturaleza de la facultad parlamentaria de instar la comparecencia de determinadas personas y de su régimen jurídico. Con carácter general hay que entender que estas iniciativas cuando, como sucede en este caso, aparecen previstas en el Reglamento de la Cámara, se integran en el </w:t>
      </w:r>
      <w:r w:rsidRPr="0085709A">
        <w:rPr>
          <w:i/>
        </w:rPr>
        <w:t>ius in officium</w:t>
      </w:r>
      <w:r>
        <w:t xml:space="preserve"> del representante. En concreto, hemos destacado que, “en cuanto su finalidad sea el control del Gobierno, dicha facultad ha de entenderse incluida dentro del núcleo básico de la función parlamentaria garantizado por el art. 23.2 CE” (SSTC 177/2002, de 14 de octubre, FJ 5; 208/2003 de 1 de diciembre, FJ 5 y 33/2010, de 19 de junio, FJ 5).</w:t>
      </w:r>
    </w:p>
    <w:p w:rsidR="0085709A" w:rsidRDefault="0085709A" w:rsidP="0085709A">
      <w:pPr>
        <w:pStyle w:val="TextoNormal"/>
      </w:pPr>
    </w:p>
    <w:p w:rsidR="0085709A" w:rsidRDefault="0085709A" w:rsidP="0085709A">
      <w:pPr>
        <w:pStyle w:val="TextoNormal"/>
      </w:pPr>
      <w:r>
        <w:t>Sentado lo anterior podemos analizar los acuerdos de la Mesa de la Asamblea de Madrid que inadmitieron las tres solicitudes de comparecencia. Al respecto, ha de tenerse en cuenta que el art. 211 RAM sólo establece como requisito de la comparecencia de otras personas o entidades que tengan por objeto que dichas personas informen o asesoren sobre materias de competencia o interés de la Comunidad de Madrid. Como señala el Ministerio Fiscal, resulta evidente que los procesos administrativos de adjudicación de la gestión de la asistencia sanitaria de hospitales públicos de la Comunidad de Madrid entra dentro de la competencia de la Comunidad de Madrid y es de interés de la misma conocer los planes de gestión que respecto de ellos tengan las empresas que participan en el proceso de adjudicación.</w:t>
      </w:r>
    </w:p>
    <w:p w:rsidR="0085709A" w:rsidRDefault="0085709A" w:rsidP="0085709A">
      <w:pPr>
        <w:pStyle w:val="TextoNormal"/>
      </w:pPr>
    </w:p>
    <w:p w:rsidR="0085709A" w:rsidRDefault="0085709A" w:rsidP="0085709A">
      <w:pPr>
        <w:pStyle w:val="TextoNormal"/>
      </w:pPr>
      <w:r>
        <w:t xml:space="preserve">En consecuencia, el argumento expresado en el acuerdo de inadmisión y en el confirmatorio de la misma, no puede ser aceptado cuando del examen </w:t>
      </w:r>
      <w:r w:rsidRPr="0085709A">
        <w:rPr>
          <w:i/>
        </w:rPr>
        <w:t>liminar</w:t>
      </w:r>
      <w:r>
        <w:t xml:space="preserve"> de la iniciativa se trata. </w:t>
      </w:r>
      <w:r>
        <w:lastRenderedPageBreak/>
        <w:t>En este caso, la Mesa de la Cámara ha realizado un control de carácter material que excede de la función que le corresponde conforme al Reglamento de la Cámara. Así, los acuerdos recurridos se fundan en una comprensión restrictiva de las posibilidades de solicitud de comparecencia ante las comisiones permanentes “que no respeta adecuadamente el núcleo esencial del derecho de representación política, por cuanto supone formular un juicio sobre la improcedencia de la comparecencia que no puede admitirse que tenga amparo en el texto del Reglamento de la Cámara ni, en consecuencia, que responda a una interpretación más favorable de la eficacia del derecho fundamental en juego” (SSTC 191/2013, FJ 5 y 1/2015, FJ 5).</w:t>
      </w:r>
    </w:p>
    <w:p w:rsidR="0085709A" w:rsidRDefault="0085709A" w:rsidP="0085709A">
      <w:pPr>
        <w:pStyle w:val="TextoNormal"/>
      </w:pPr>
    </w:p>
    <w:p w:rsidR="0085709A" w:rsidRDefault="0085709A" w:rsidP="0085709A">
      <w:pPr>
        <w:pStyle w:val="TextoNormal"/>
      </w:pPr>
      <w:r>
        <w:t>De esta forma, las resoluciones de rechazo de la Mesa, además de extralimitarse en su función de calificación y admisión realizando un juicio de índole material que le está vedado, han contravenido la legalidad parlamentaria, asumiendo competencias propias de la comisión parlamentaria, que hurtarían a ésta el ejercicio de sus competencias, entre las que se incluye la de tener “la última palabra sobre si requiere o no la presencia de los miembros del ejecutivo, autoridades, funcionarios públicos, o personas competentes” (SSTC 90/2005, de 18 de abril, FJ 7 y 190/2009, FJ 4).</w:t>
      </w:r>
    </w:p>
    <w:p w:rsidR="0085709A" w:rsidRDefault="0085709A" w:rsidP="0085709A">
      <w:pPr>
        <w:pStyle w:val="TextoNormal"/>
      </w:pPr>
    </w:p>
    <w:p w:rsidR="0085709A" w:rsidRDefault="0085709A" w:rsidP="0085709A">
      <w:pPr>
        <w:pStyle w:val="TextoNormal"/>
      </w:pPr>
      <w:r>
        <w:t>Por otra parte, en el acuerdo que desestima la reconsideración formulada en relación con las comparecencias rechazadas, la Mesa se limita a reiterar el motivo de inadmisión anteriormente expuesto, sin dar respuesta a las alegaciones concretas elevadas por la parte recurrente, por lo que debemos insistir en el deber de los órganos parlamentarios de motivar expresa, suficiente y adecuadamente la aplicación de las normas cuando pueda resultar de la misma una limitación al ejercicio de aquellos derechos y facultades que integran el estatus constitucionalmente relevante de los representantes políticos (SSTC 38/1999, FJ 2; 107/2001, FJ 7; 203/2001, FJ 3; 277/2002, de 14 de octubre, FJ 5, y 40/2003, FJ 6).</w:t>
      </w:r>
    </w:p>
    <w:p w:rsidR="0085709A" w:rsidRDefault="0085709A" w:rsidP="0085709A">
      <w:pPr>
        <w:pStyle w:val="TextoNormal"/>
      </w:pPr>
    </w:p>
    <w:p w:rsidR="0085709A" w:rsidRDefault="0085709A" w:rsidP="0085709A">
      <w:pPr>
        <w:pStyle w:val="TextoNormal"/>
      </w:pPr>
      <w:r>
        <w:t>De todo ello resulta que los acuerdos impugnados, al no haber admitido a trámite las comparecencias solicitadas, han cercenado indebidamente el derecho del Grupo Parlamentario de Unión Progreso y Democracia a ejercer, sin traba ilegítima alguna, las funciones que el Reglamento de la Cámara le confiere, no pudiendo dejar de reiterar que la facultad de solicitar comparecencias pertenece al núcleo de la función representativa parlamentaria (art. 23.2 CE), como ya se ha expuesto.</w:t>
      </w:r>
    </w:p>
    <w:p w:rsidR="0085709A" w:rsidRDefault="0085709A" w:rsidP="0085709A">
      <w:pPr>
        <w:pStyle w:val="TextoNormal"/>
      </w:pPr>
    </w:p>
    <w:p w:rsidR="0085709A" w:rsidRDefault="0085709A" w:rsidP="0085709A">
      <w:pPr>
        <w:pStyle w:val="TextoNormal"/>
      </w:pPr>
      <w:r w:rsidRPr="0085709A">
        <w:rPr>
          <w:rStyle w:val="NumeroAFNegritaCaracter"/>
        </w:rPr>
        <w:t>6</w:t>
      </w:r>
      <w:r>
        <w:t>. En cuanto a las solicitudes de comparecencia de miembros del Consejo de Gobierno, el Grupo Parlamentario Unión Progreso y Democracia presentó, al amparo del art. 208 RAM, una solicitud de comparecencia del Consejero de Economía y Hacienda ante el Pleno, con el objeto de que informase del estudio de viabilidad para la puesta en marcha del proyecto de “Eurovegas” y de la Consejera de Educación, Juventud y Deporte, también ante el Pleno, con el objeto de que informase “sobre las medidas que ha previsto durante el verano el Gobierno de la Comunidad de Madrid para evitar en el curso que viene la malnutrición de los escolares madrileños”. El acuerdo de la Mesa de la Asamblea de 26 de agosto de 2013, que inadmitió dichas solicitudes de comparecencia expresaron, en el primer caso, como motivo de inadmisión “no referirse su objeto a una realidad, al no existir ningún estudio de viabilidad” y, en el segundo caso, el motivo expresado fue “contener su objeto un juicio de valor”.</w:t>
      </w:r>
    </w:p>
    <w:p w:rsidR="0085709A" w:rsidRDefault="0085709A" w:rsidP="0085709A">
      <w:pPr>
        <w:pStyle w:val="TextoNormal"/>
      </w:pPr>
    </w:p>
    <w:p w:rsidR="0085709A" w:rsidRDefault="0085709A" w:rsidP="0085709A">
      <w:pPr>
        <w:pStyle w:val="TextoNormal"/>
      </w:pPr>
      <w:r>
        <w:lastRenderedPageBreak/>
        <w:t xml:space="preserve">El art. 208 RAM establece: “1. Los miembros del Consejo de Gobierno comparecerán ante el Pleno para informar sobre un asunto determinado de su competencia: a) A petición propia. b) Por acuerdo de la Mesa y de la Junta de Portavoces. En este caso, el acuerdo de comparecencia se adoptará a iniciativa de un Grupo Parlamentario o de la quinta parte de los Diputados”. A la vista de lo establecido en los arts. 49.1 c) y 208 RAM hemos afirmado en STC 1/2015, de 19 de enero, FJ 4, que a la Mesa, en esta fase del procedimiento parlamentario le corresponde analizar los requisitos de legitimación, sin que pueda rechazar </w:t>
      </w:r>
      <w:r w:rsidRPr="0085709A">
        <w:rPr>
          <w:i/>
        </w:rPr>
        <w:t>a limine</w:t>
      </w:r>
      <w:r>
        <w:t xml:space="preserve"> la solicitud de admisión a trámite mediante argumentos de índole material, facultad ésta que reside en la comisión competente o, de acuerdo con la delegación prevista en el art. 70.2 RAM, en la mesa de la comisión competente.</w:t>
      </w:r>
    </w:p>
    <w:p w:rsidR="0085709A" w:rsidRDefault="0085709A" w:rsidP="0085709A">
      <w:pPr>
        <w:pStyle w:val="TextoNormal"/>
      </w:pPr>
    </w:p>
    <w:p w:rsidR="0085709A" w:rsidRDefault="0085709A" w:rsidP="0085709A">
      <w:pPr>
        <w:pStyle w:val="TextoNormal"/>
      </w:pPr>
      <w:r>
        <w:t>El examen de las referidas iniciativas parlamentarias determina que las mismas se ajustan a lo dispuesto en el art. 208.1 RAM, en lo que se refiere a los requisitos de legitimación, ya que se presentaron por un Grupo Parlamentario, y en el ámbito de competencia del requerido. Al respecto hemos de recordar que en STC 202/2014, de 15 de diciembre, FJ 4, ya nos pronunciamos sobre la conformidad con el Reglamento parlamentario de diferentes solicitudes de comparecencia sobre el proyecto denominado “Eurovegas”.</w:t>
      </w:r>
    </w:p>
    <w:p w:rsidR="0085709A" w:rsidRDefault="0085709A" w:rsidP="0085709A">
      <w:pPr>
        <w:pStyle w:val="TextoNormal"/>
      </w:pPr>
    </w:p>
    <w:p w:rsidR="0085709A" w:rsidRDefault="0085709A" w:rsidP="0085709A">
      <w:pPr>
        <w:pStyle w:val="TextoNormal"/>
      </w:pPr>
      <w:r>
        <w:t xml:space="preserve">En consecuencia hemos de reiterar que no le corresponde a la Mesa, en esta fase del procedimiento parlamentario, rechazar </w:t>
      </w:r>
      <w:r w:rsidRPr="0085709A">
        <w:rPr>
          <w:i/>
        </w:rPr>
        <w:t>a limine</w:t>
      </w:r>
      <w:r>
        <w:t xml:space="preserve"> la solicitud de admisión a trámite mediante los argumentos de índole material anteriormente reproducidos. De esta forma, las resoluciones de rechazo de la Mesa, además de extralimitarse en su función de calificación y admisión realizando un juicio de índole material que le está vedado, han contravenido la legalidad parlamentaria al hurtar a los órganos competentes la facultad de adoptar, en su caso, el acuerdo de requerir la comparecencia, lo que ha conllevado también la vulneración del </w:t>
      </w:r>
      <w:r w:rsidRPr="0085709A">
        <w:rPr>
          <w:i/>
        </w:rPr>
        <w:t>ius in officium</w:t>
      </w:r>
      <w:r>
        <w:t xml:space="preserve"> del grupo parlamentario proponente.</w:t>
      </w:r>
    </w:p>
    <w:p w:rsidR="0085709A" w:rsidRDefault="0085709A" w:rsidP="0085709A">
      <w:pPr>
        <w:pStyle w:val="TextoNormal"/>
      </w:pPr>
    </w:p>
    <w:p w:rsidR="0085709A" w:rsidRDefault="0085709A" w:rsidP="0085709A">
      <w:pPr>
        <w:pStyle w:val="TextoNormal"/>
      </w:pPr>
      <w:r>
        <w:t>Por otra parte, en los acuerdos que desestima la reconsideración formulada en relación con las comparecencias 895-2013 y 925-2013, la Mesa se limita a reiterar los motivos de inadmisión anteriormente expuestos, sin dar respuesta a las alegaciones concretas elevadas por la parte recurrente, por lo que ha de extenderse a estas resoluciones la argumentación anteriormente expuesta, insistiendo, además, en el deber de los órganos parlamentarios de motivar expresa, suficiente y adecuadamente la aplicación de las normas cuando pueda resultar de la misma una limitación al ejercicio de aquellos derechos y facultades que integran el estatus constitucionalmente relevante de los representantes políticos (SSTC 38/1999, FJ 2; 107/2001, FJ 7; 203/2001, FJ 3; 277/2002, FJ 5, y 40/2003, FJ 6).</w:t>
      </w:r>
    </w:p>
    <w:p w:rsidR="0085709A" w:rsidRDefault="0085709A" w:rsidP="0085709A">
      <w:pPr>
        <w:pStyle w:val="TextoNormal"/>
      </w:pPr>
    </w:p>
    <w:p w:rsidR="0085709A" w:rsidRDefault="0085709A" w:rsidP="0085709A">
      <w:pPr>
        <w:pStyle w:val="TextoNormal"/>
      </w:pPr>
      <w:r>
        <w:t>En consecuencia, los acuerdos impugnados, al no haber admitido a trámite las comparecencias solicitadas, han cercenado indebidamente el derecho del Grupo Parlamentario de Unión Progreso y Democracia a ejercer, sin traba ilegítima alguna, las funciones que el Reglamento de la Cámara le confiere, no pudiendo dejar de reiterar que la facultad de solicitar comparecencias pertenece al núcleo de la función representativa parlamentaria, como ya se ha expuesto.</w:t>
      </w:r>
    </w:p>
    <w:p w:rsidR="0085709A" w:rsidRDefault="0085709A" w:rsidP="0085709A">
      <w:pPr>
        <w:pStyle w:val="TextoNormal"/>
      </w:pPr>
    </w:p>
    <w:p w:rsidR="0085709A" w:rsidRDefault="0085709A" w:rsidP="0085709A">
      <w:pPr>
        <w:pStyle w:val="TextoNormal"/>
      </w:pPr>
      <w:r w:rsidRPr="0085709A">
        <w:rPr>
          <w:rStyle w:val="NumeroAFNegritaCaracter"/>
        </w:rPr>
        <w:t>7</w:t>
      </w:r>
      <w:r>
        <w:t>. En el caso de la proposición no de ley por la que se instaba al Gobierno de la Comunidad de Madrid a que “en el plazo de un mes presente ante la Asamblea una estrategia para la prevención del nepotismo y el patronazgo político en los nombramientos de cargos pú</w:t>
      </w:r>
      <w:r>
        <w:lastRenderedPageBreak/>
        <w:t>blicos, con propuestas de modificación legal y de regulación de los comportamientos públicos”, la Mesa acordó su inadmisión “por contener su objeto un juicio de valor al darse por hecho la existencia de nepotismo y patronazgo en los nombramientos de cargos públicos y por no ajustarse la iniciativa a lo dispuesto en los arts. 16.2 del Estatuto de Autonomía de la Comunidad de Madrid y 205 del Reglamento de la Asamblea”, desestimando ulteriormente la solicitud de reconsideración por el mismo motivo.</w:t>
      </w:r>
    </w:p>
    <w:p w:rsidR="0085709A" w:rsidRDefault="0085709A" w:rsidP="0085709A">
      <w:pPr>
        <w:pStyle w:val="TextoNormal"/>
      </w:pPr>
    </w:p>
    <w:p w:rsidR="0085709A" w:rsidRDefault="0085709A" w:rsidP="0085709A">
      <w:pPr>
        <w:pStyle w:val="TextoNormal"/>
      </w:pPr>
      <w:r>
        <w:t>El art. 205 del Reglamento confiere a los grupos parlamentarios la facultad de “presentar proposiciones no de ley a través de las cuales formulen propuestas de resolución a la Asamblea” y, en cuanto a su formulación, el art. 206 del Reglamento únicamente dispone su presentación por escrito y la oportuna calificación y resolución sobre la admisión o inadmisión a trámite por parte de la Mesa de la Cámara, previendo su tramitación en el Pleno o Comisión correspondiente, a solicitud del proponente y de la importancia del asunto. La previsión normativa se completa con la posible acumulación de este tipo de iniciativas, a los efectos de su tramitación, cuando su objeto sea el mismo o semejante. En definitiva, de dicha regulación se colige que el papel que corresponde desempeñar a la Mesa en el ejercicio de su función de calificación y admisión a trámite respecto de las proposiciones no de ley se ciñe a la verificación de los requisitos formales reglamentariamente establecidos, sin que se extienda también al examen del contenido material de la iniciativa.</w:t>
      </w:r>
    </w:p>
    <w:p w:rsidR="0085709A" w:rsidRDefault="0085709A" w:rsidP="0085709A">
      <w:pPr>
        <w:pStyle w:val="TextoNormal"/>
      </w:pPr>
    </w:p>
    <w:p w:rsidR="0085709A" w:rsidRDefault="0085709A" w:rsidP="0085709A">
      <w:pPr>
        <w:pStyle w:val="TextoNormal"/>
      </w:pPr>
      <w:r>
        <w:t xml:space="preserve">Hemos de recordar, asimismo, que la relevancia de las proposiciones no de ley para el </w:t>
      </w:r>
      <w:r w:rsidRPr="0085709A">
        <w:rPr>
          <w:i/>
        </w:rPr>
        <w:t>ius in officium</w:t>
      </w:r>
      <w:r>
        <w:t xml:space="preserve"> de los representantes ha sido reconocida reiteradamente por la doctrina de este Tribunal, insistiendo en que se trata de una facultad que pertenece al núcleo de la función representativa parlamentaria y que se configura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FJ 7, y 78/2006, FJ 3).</w:t>
      </w:r>
    </w:p>
    <w:p w:rsidR="0085709A" w:rsidRDefault="0085709A" w:rsidP="0085709A">
      <w:pPr>
        <w:pStyle w:val="TextoNormal"/>
      </w:pPr>
    </w:p>
    <w:p w:rsidR="0085709A" w:rsidRDefault="0085709A" w:rsidP="0085709A">
      <w:pPr>
        <w:pStyle w:val="TextoNormal"/>
      </w:pPr>
      <w:r>
        <w:t xml:space="preserve">Así, como se ha expuesto, ninguna restricción material se deriva del art. 16.2 del Estatuto de Autonomía de la Comunidad de Madrid, ni del art. 205 RAM para la presentación de este tipo de iniciativas, por lo que la primera causa de inadmisión excede de las facultades que le corresponden a la Mesa de la Asamblea de Madrid. Por otra parte, y en relación con la segunda causa de inadmisión, como también indica el Ministerio Fiscal, del razonamiento con el que se acompaña a las resoluciones del órgano rector de la Cámara no es posible deducir la razón por la que la iniciativa “no se ajusta” a lo dispuesto en la normativa aplicable. La falta de suficiencia y adecuación de la motivación de los acuerdos parlamentarios no puede ser subsanada mediante las alegaciones realizadas por los Letrados de la Asamblea de Madrid en el presente recurso de amparo, lo que hace necesario insistir en el deber de los </w:t>
      </w:r>
      <w:r>
        <w:lastRenderedPageBreak/>
        <w:t>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FJ 2; 107/2001, FJ 7; 203/2001, FJ 3; 277/2002, FJ 5, y 40/2003, FJ 6).</w:t>
      </w:r>
    </w:p>
    <w:p w:rsidR="0085709A" w:rsidRDefault="0085709A" w:rsidP="0085709A">
      <w:pPr>
        <w:pStyle w:val="TextoNormal"/>
      </w:pPr>
    </w:p>
    <w:p w:rsidR="0085709A" w:rsidRDefault="0085709A" w:rsidP="0085709A">
      <w:pPr>
        <w:pStyle w:val="TextoNormal"/>
      </w:pPr>
      <w:r>
        <w:t>La aplicación de la doctrina constitucional resumida en el fundamento jurídico tercero de esta Sentencia, a la luz de los preceptos reglamentarios anteriormente citados, conduce a afirmar que los acuerdos impugnados han cercenado indebidamente el derecho del recurrente a ejercer, sin traba ilegítima alguna, las funciones que el Reglamento de la Cámara le confiere, hurtando, además, al Pleno de la Asamblea de Madrid la posibilidad de debatir y pronunciarse sobre la iniciativa propuesta.</w:t>
      </w:r>
    </w:p>
    <w:p w:rsidR="0085709A" w:rsidRDefault="0085709A" w:rsidP="0085709A">
      <w:pPr>
        <w:pStyle w:val="TextoNormal"/>
      </w:pPr>
    </w:p>
    <w:p w:rsidR="0085709A" w:rsidRDefault="0085709A" w:rsidP="0085709A">
      <w:pPr>
        <w:pStyle w:val="TextoNormal"/>
      </w:pPr>
      <w:r w:rsidRPr="0085709A">
        <w:rPr>
          <w:rStyle w:val="NumeroAFNegritaCaracter"/>
        </w:rPr>
        <w:t>8</w:t>
      </w:r>
      <w:r>
        <w:t>. Finalmente, debemos abordar el análisis de la inadmisión de la pregunta dirigida al Consejo de Gobierno de la Comunidad Autónoma para su respuesta escrita, con el siguiente tenor: “¿Qué razones han impulsado al Gobierno regional de la Comunidad a interponer incidente de nulidad de actuaciones frente a la Sentencia del Tribunal de Justicia de Madrid que anula la licencia para celebrar bodas y fiestas en la finca La Muñoza?” La Mesa de la Cámara acordó la inadmisión de dicha iniciativa parlamentaria de conformidad con lo dispuesto por los artículos 49.1 c) y 192.3 d) RAM, en cuya virtud “no será admitida a trámite aquella pregunta que suponga consulta de índole estrictamente jurídica”.</w:t>
      </w:r>
    </w:p>
    <w:p w:rsidR="0085709A" w:rsidRDefault="0085709A" w:rsidP="0085709A">
      <w:pPr>
        <w:pStyle w:val="TextoNormal"/>
      </w:pPr>
    </w:p>
    <w:p w:rsidR="0085709A" w:rsidRDefault="0085709A" w:rsidP="0085709A">
      <w:pPr>
        <w:pStyle w:val="TextoNormal"/>
      </w:pPr>
      <w:r>
        <w:t xml:space="preserve">Partiendo de nuestra doctrina conforme a la cual hemos afirmado que la facultad de formular preguntas al Consejo de Gobierno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w:t>
      </w:r>
      <w:r w:rsidRPr="0085709A">
        <w:rPr>
          <w:i/>
        </w:rPr>
        <w:t>ius in officium</w:t>
      </w:r>
      <w:r>
        <w:t xml:space="preserve"> del representante (SSTC 225/1992, de 14 de diciembre, FJ 2; 107/2001, de 23 de abril, FJ 4, y 33/2010, de 19 de junio, FJ 4), hemos de analizar si la decisión de inadmisión de la Mesa de la Asamblea de Madrid vulnera el art. 23 CE.</w:t>
      </w:r>
    </w:p>
    <w:p w:rsidR="0085709A" w:rsidRDefault="0085709A" w:rsidP="0085709A">
      <w:pPr>
        <w:pStyle w:val="TextoNormal"/>
      </w:pPr>
    </w:p>
    <w:p w:rsidR="0085709A" w:rsidRDefault="0085709A" w:rsidP="0085709A">
      <w:pPr>
        <w:pStyle w:val="TextoNormal"/>
      </w:pPr>
      <w:r>
        <w:t>Al respecto, hemos de tener en cuenta que, en relación con las preguntas, el Reglamento de la Asamblea de Madrid establece, en el art. 191: “1. Los Diputados podrán formular preguntas al Consejo de Gobierno. 2. Los Diputados, con el visto bueno del Portavoz del Grupo Parlamentario respectivo, podrán formular preguntas de respuesta oral en Pleno directamente al Presidente del Consejo de Gobierno”.</w:t>
      </w:r>
    </w:p>
    <w:p w:rsidR="0085709A" w:rsidRDefault="0085709A" w:rsidP="0085709A">
      <w:pPr>
        <w:pStyle w:val="TextoNormal"/>
      </w:pPr>
    </w:p>
    <w:p w:rsidR="0085709A" w:rsidRDefault="0085709A" w:rsidP="0085709A">
      <w:pPr>
        <w:pStyle w:val="TextoNormal"/>
      </w:pPr>
      <w:r>
        <w:t xml:space="preserve">Asimismo, el art. 192 del Reglamento de la Asamblea de Madrid dispone: “1. Las preguntas deberán presentarse por escrito ante la Mesa. 2. El escrito no podrá contener más que la escueta y estricta formulación de una sola cuestión, interrogando sobre un hecho, una situación o una información, sobre si el Consejo de Gobierno ha tomado o va a tomar alguna providencia en relación con un asunto o si va a remitir a la Asamblea algún documento o a informarle acerca de algún extremo. 3. La Mesa procederá a la calificación, resolución sobre la admisión o inadmisión a trámite y decisión de la tramitación de las preguntas presentadas de acuerdo con lo establecido en este artículo, comprobando en particular el cumplimiento de los requisitos siguientes: a) Las preguntas de respuesta por escrito a través de las que se soliciten datos, informes o documentos que, por su naturaleza, sean incluibles en el ámbito </w:t>
      </w:r>
      <w:r>
        <w:lastRenderedPageBreak/>
        <w:t>de las previsiones del artículo 18 del presente Reglamento, serán calificadas como solicitudes de información al amparo de lo dispuesto en dicho artículo. b) No será admitida a trámite la pregunta que sea de exclusivo interés personal de quien la formula o de cualquier otra persona singularizada, ni las que se refieran expresamente a personas que no tengan una trascendencia pública en el ámbito de la Comunidad de Madrid. c) No será admitida a trámite la pregunta en cuyos antecedentes o formulación se profirieren palabras o vertieren conceptos contrarios a las reglas de la cortesía parlamentaria. d) No será admitida a trámite aquella pregunta que suponga consulta de índole estrictamente jurídica. e) No serán admitidas a trámite las preguntas de respuesta oral que pudieran ser reiterativas de otra pregunta de respuesta oral sustanciada en el mismo período de sesiones ordinarias. f) En defecto de indicación expresa, se entenderá que quien formula la pregunta solicita respuesta por escrito y, si solicitara respuesta oral y no lo especificara, se entenderá que ésta ha de tener lugar en Comisión. g) Podrán acumularse a efectos de tramitación las preguntas de igual naturaleza relativas al mismo objeto o a objetos conexos entre sí.”</w:t>
      </w:r>
    </w:p>
    <w:p w:rsidR="0085709A" w:rsidRDefault="0085709A" w:rsidP="0085709A">
      <w:pPr>
        <w:pStyle w:val="TextoNormal"/>
      </w:pPr>
    </w:p>
    <w:p w:rsidR="0085709A" w:rsidRDefault="0085709A" w:rsidP="0085709A">
      <w:pPr>
        <w:pStyle w:val="TextoNormal"/>
      </w:pPr>
      <w:r>
        <w:t>De acuerdo con lo expuesto, la decisión de la Mesa se apoya en uno de los límites materiales contemplados por el Reglamento de la Cámara y, concretamente, en el art. 192.3 d) que establece que “no será admitida a trámite aquella pregunta que suponga consulta de índole estrictamente jurídica”.</w:t>
      </w:r>
    </w:p>
    <w:p w:rsidR="0085709A" w:rsidRDefault="0085709A" w:rsidP="0085709A">
      <w:pPr>
        <w:pStyle w:val="TextoNormal"/>
      </w:pPr>
    </w:p>
    <w:p w:rsidR="0085709A" w:rsidRDefault="0085709A" w:rsidP="0085709A">
      <w:pPr>
        <w:pStyle w:val="TextoNormal"/>
      </w:pPr>
      <w:r>
        <w:t>La inadmisión de la pregunta en cuestión, si bien prevista excepcionalmente en el Reglamento de la Asamblea de Madrid, supone una limitación de los derechos y facultades que integran el estatuto constitucionalmente relevante de los representantes políticos cuya primera exigencia constitucional es la de que tal limitación aparezca suficientemente motivada (SSTC 38/1999, FJ 2; 74/2009, FJ 3; 33/2010, FJ 4; 44/2010, FJ 4, y 29/2011, de 14 de marzo, FJ 5). Por ello, en el presente asunto, corresponde a este Tribunal controlar si tales resoluciones incorporan una motivación expresa, suficiente y adecuada, en aplicación de las normas a las que está sujeta la Mesa en el ejercicio de su función de calificación y admisión de los escritos y documentos de índole parlamentaria.</w:t>
      </w:r>
    </w:p>
    <w:p w:rsidR="0085709A" w:rsidRDefault="0085709A" w:rsidP="0085709A">
      <w:pPr>
        <w:pStyle w:val="TextoNormal"/>
      </w:pPr>
    </w:p>
    <w:p w:rsidR="0085709A" w:rsidRDefault="0085709A" w:rsidP="0085709A">
      <w:pPr>
        <w:pStyle w:val="TextoNormal"/>
      </w:pPr>
      <w:r>
        <w:t>En las resoluciones impugnadas, la motivación se concreta en que la pregunta formulada es una consulta de índole estrictamente jurídica, que es una de las causas de inadmisión prevista en el art. 192.3 del Reglamento de la Asamblea, concretamente en la letra d), que los acuerdos reproducen. En efecto, la Mesa de la Asamblea, de acuerdo con lo dispuesto en el art. 192.3 del Reglamento que establece que la Mesa procederá a la calificación, resolución sobre la admisión o inadmisión a trámite y decisión de la tramitación de las preguntas presentadas de acuerdo con lo establecido en este artículo, comprobando en particular el cumplimiento de los requisitos previstos en dicho apartado, adoptó el acuerdo de inadmisión a trámite de la pregunta, de conformidad con lo dispuesto por los arts. 49.1 c) y 192.3 d) RAM, en cuya virtud “No será admitida a trámite aquella pregunta que suponga consulta de índole estrictamente jurídica”. Dados los términos en que está formulada la pregunta, que hemos reproducido con anterioridad, la misma encaja sin esfuerzo en la causa de inadmisión expresada por la Mesa de la Cámara.</w:t>
      </w:r>
    </w:p>
    <w:p w:rsidR="0085709A" w:rsidRDefault="0085709A" w:rsidP="0085709A">
      <w:pPr>
        <w:pStyle w:val="TextoNormal"/>
      </w:pPr>
    </w:p>
    <w:p w:rsidR="0085709A" w:rsidRDefault="0085709A" w:rsidP="0085709A">
      <w:pPr>
        <w:pStyle w:val="TextoNormal"/>
      </w:pPr>
      <w:r>
        <w:t xml:space="preserve">En consecuencia, en la medida en que la Mesa de la Cámara, en el ejercicio de su función de calificación y admisión a trámite, aplicó uno de los motivos de inadmisión previstos expresamente en el art. 192.3 del Reglamento de la Asamblea y que resulta evidente la concurrencia de dicha causa de inadmisión dado el tenor literal de la pregunta, se entiende que </w:t>
      </w:r>
      <w:r>
        <w:lastRenderedPageBreak/>
        <w:t>no se ha vulnerado el art. 23 CE, lo que conlleva que se deniegue el amparo solicitado en este punto.</w:t>
      </w:r>
    </w:p>
    <w:p w:rsidR="0085709A" w:rsidRDefault="0085709A" w:rsidP="0085709A">
      <w:pPr>
        <w:pStyle w:val="TextoNormal"/>
      </w:pPr>
    </w:p>
    <w:p w:rsidR="0085709A" w:rsidRDefault="0085709A" w:rsidP="0085709A">
      <w:pPr>
        <w:pStyle w:val="TextoNormal"/>
      </w:pPr>
      <w:r w:rsidRPr="0085709A">
        <w:rPr>
          <w:rStyle w:val="NumeroAFNegritaCaracter"/>
        </w:rPr>
        <w:t>9</w:t>
      </w:r>
      <w:r>
        <w:t>. Las anteriores conclusiones conducen necesariamente, como ha quedado expuesto, al otorgamiento del amparo solicitado contra los acuerdos de la Mesa de la Asamblea de Madrid de 24 y 30 de septiembre de 2013, en los que se desestimaron las solicitudes de reconsideración frente a los acuerdos de la Mesa de 29 de abril, 17 de junio, y 26 de agosto de 2013, que dispusieron la inadmisión de las solicitudes de comparecencia 767-2013, 768-2013, 769-2013, 895-2013 y 925-2013 y la proposición no de ley 87-2013, si bien es necesario precisar el alcance de nuestro fallo, pues, a diferencia de lo sucedido en otras ocasiones, en que la adopción de las resoluciones impugnadas tuvo lugar en una legislatura ya finalizada, por lo que no cabía adoptar en el fallo de nuestra Sentencia una medida destinada al pleno restablecimiento del derecho vulnerado (por todas, SSTC 107/2001, FJ 10; 177/2002, FJ 11; 40/2003, FJ 9; 74/2009, FJ 5, y 44/2010, FJ 6), en el presente caso las resoluciones impugnadas han sido adoptadas en una legislatura aún no finalizada, lo que permite un pronunciamiento destinado a conseguir el pleno restablecimiento del derecho fundamental a la participación política (art. 23.2 CE) del recurrente en amparo, tal como éste interesa.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parcialmente el amparo solicitado por don Luis de Velasco Rami, portavoz del Grupo Parlamentario de Unión Progreso y Democracia en la Asamblea de Madrid y, en consecuencia:</w:t>
      </w:r>
    </w:p>
    <w:p w:rsidR="0085709A" w:rsidRDefault="0085709A" w:rsidP="0085709A">
      <w:pPr>
        <w:pStyle w:val="TextoNormal"/>
      </w:pPr>
    </w:p>
    <w:p w:rsidR="0085709A" w:rsidRDefault="0085709A" w:rsidP="0085709A">
      <w:pPr>
        <w:pStyle w:val="TextoNormal"/>
      </w:pPr>
      <w:r>
        <w:t>1º Declarar que se ha vulnerado su derecho a ejercer las funciones representativas con los requisitos que señalan las leyes (art. 23.2 CE).</w:t>
      </w:r>
    </w:p>
    <w:p w:rsidR="0085709A" w:rsidRDefault="0085709A" w:rsidP="0085709A">
      <w:pPr>
        <w:pStyle w:val="TextoNormal"/>
      </w:pPr>
    </w:p>
    <w:p w:rsidR="0085709A" w:rsidRDefault="0085709A" w:rsidP="0085709A">
      <w:pPr>
        <w:pStyle w:val="TextoNormal"/>
      </w:pPr>
      <w:r>
        <w:t>2º Restablecer al recurrente en su derecho y, a tal fin, declarar la nulidad del acuerdo de la Mesa de la Asamblea de Madrid de 17 de junio de 2013, que inadmitió las solicitudes de comparecencia 767-2013, 768-2013 y 769-2013; la nulidad del acuerdo de 24 de septiembre de 2013, desestimatorio de la reconsideración interpuesta contra las anteriores inadmisiones; la nulidad del acuerdo de 17 de junio de 2013, que inadmitió la proposición no de ley 87-2013; la nulidad del acuerdo de 24 de septiembre de 2013, desestimatorio de la reconsideración interpuesta contra esta inadmisión; la nulidad del acuerdo de 26 de agosto de 2013, de inadmisión de las solicitudes de comparecencia 895-2013 y 925-2013; y la nulidad del acuerdo desestimatorio de la reconsideración interpuesto contra estas últimas inadmisiones.</w:t>
      </w:r>
    </w:p>
    <w:p w:rsidR="0085709A" w:rsidRDefault="0085709A" w:rsidP="0085709A">
      <w:pPr>
        <w:pStyle w:val="TextoNormal"/>
      </w:pPr>
    </w:p>
    <w:p w:rsidR="0085709A" w:rsidRDefault="0085709A" w:rsidP="0085709A">
      <w:pPr>
        <w:pStyle w:val="TextoNormal"/>
      </w:pPr>
      <w:r>
        <w:t>3º Retrotraer las actuaciones al momento anterior al de dictarse los citados acuerdos de inadmisión, para que la Mesa de la Asamblea de Madrid adopte nuevas resoluciones respetuosas con el derecho fundamental reconocido.</w:t>
      </w:r>
    </w:p>
    <w:p w:rsidR="0085709A" w:rsidRDefault="0085709A" w:rsidP="0085709A">
      <w:pPr>
        <w:pStyle w:val="TextoNormal"/>
      </w:pPr>
    </w:p>
    <w:p w:rsidR="0085709A" w:rsidRDefault="0085709A" w:rsidP="0085709A">
      <w:pPr>
        <w:pStyle w:val="TextoNormal"/>
      </w:pPr>
      <w:r>
        <w:lastRenderedPageBreak/>
        <w:t>4º. Denegar el amparo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7" w:name="SENTENCIA_2015_24"/>
      <w:r>
        <w:lastRenderedPageBreak/>
        <w:t>SENTENCIA 24/2015, de 16 de febrero de 2015</w:t>
      </w:r>
    </w:p>
    <w:bookmarkEnd w:id="27"/>
    <w:p w:rsidR="0085709A" w:rsidRDefault="0085709A" w:rsidP="0085709A">
      <w:pPr>
        <w:pStyle w:val="TtuloResolucin"/>
      </w:pPr>
      <w:r>
        <w:t>Sala Segunda</w:t>
      </w:r>
    </w:p>
    <w:p w:rsidR="0085709A" w:rsidRDefault="0085709A" w:rsidP="0085709A">
      <w:pPr>
        <w:pStyle w:val="TtuloBOE"/>
      </w:pPr>
      <w:r>
        <w:t>(BOE núm. 64, de 16 de marzo de 2015)</w:t>
      </w:r>
    </w:p>
    <w:p w:rsidR="0085709A" w:rsidRDefault="0085709A" w:rsidP="0085709A">
      <w:pPr>
        <w:pStyle w:val="TextoNormalCentrado"/>
      </w:pPr>
      <w:r>
        <w:t>ECLI:ES:TC:2015:24</w:t>
      </w:r>
    </w:p>
    <w:p w:rsidR="0085709A" w:rsidRDefault="0085709A" w:rsidP="0085709A">
      <w:pPr>
        <w:pStyle w:val="TextoNormalCentrado"/>
      </w:pPr>
    </w:p>
    <w:p w:rsidR="0085709A" w:rsidRDefault="0085709A" w:rsidP="0085709A">
      <w:pPr>
        <w:pStyle w:val="SntesisDescriptiva"/>
      </w:pPr>
      <w:r>
        <w:t>Recurso de amparo 2126-2014. Promovido por la confederación sindical de Comisiones Obreras de Andalucía en relación con la Sentencia de la Sala de lo Contencioso-Administrativo del Tribunal Superior de Justicia de Andalucía, con sede en Granada, desestimatoria del recurso formulado frente a la resolución de la Subdelegación del Gobierno en Jaén, que prohibió la realización de diversas concentraciones y marchas.</w:t>
      </w:r>
    </w:p>
    <w:p w:rsidR="0085709A" w:rsidRDefault="0085709A" w:rsidP="0085709A">
      <w:pPr>
        <w:pStyle w:val="SntesisDescriptiva"/>
      </w:pPr>
    </w:p>
    <w:p w:rsidR="0085709A" w:rsidRDefault="0085709A" w:rsidP="0085709A">
      <w:pPr>
        <w:pStyle w:val="SntesisAnaltica"/>
      </w:pPr>
      <w:r>
        <w:t>Vulneración del derecho de reunión: prohibición de manifestaciones fundada en un supuesto ejercicio abusivo del derecho (STC 284/2005) y en el agotamiento del fin del derecho a manifestarse.</w:t>
      </w:r>
    </w:p>
    <w:p w:rsidR="0085709A" w:rsidRDefault="0085709A" w:rsidP="0085709A">
      <w:pPr>
        <w:pStyle w:val="SntesisAnaltica"/>
      </w:pPr>
    </w:p>
    <w:p w:rsidR="0085709A" w:rsidRDefault="0085709A" w:rsidP="0085709A">
      <w:pPr>
        <w:pStyle w:val="Extracto"/>
      </w:pPr>
      <w:r>
        <w:t>1.</w:t>
      </w:r>
      <w:r>
        <w:tab/>
        <w:t>El fundamento de la prohibición acordada por la Subdelegación del Gobierno en Jaén no ha respetado el contenido esencial del derecho garantizado en el art. 21 CE, ni los límites expresamente previstos en ese artículo o que puedan derivarse de otros principios y valores del sistema constitucional [FJ 5].</w:t>
      </w:r>
    </w:p>
    <w:p w:rsidR="0085709A" w:rsidRDefault="0085709A" w:rsidP="0085709A">
      <w:pPr>
        <w:pStyle w:val="Extracto"/>
      </w:pPr>
    </w:p>
    <w:p w:rsidR="0085709A" w:rsidRDefault="0085709A" w:rsidP="0085709A">
      <w:pPr>
        <w:pStyle w:val="Extracto"/>
      </w:pPr>
      <w:r>
        <w:t>2.</w:t>
      </w:r>
      <w:r>
        <w:tab/>
        <w:t>Ni la preceptiva neutralidad de los poderes públicos ante el ejercicio de los derechos fundamentales tolera controles sobre el contenido del mensaje a difundir, salvo que se infrinja la legalidad, ni el hecho de que la manifestación sea una técnica instrumental al servicio de la exposición de ideas permite sostener que, lanzado el mensaje, el derecho de manifestarse para reivindicarlo pueda quedar consumido o agotado (SSTC STC 90/2006, 163/2006) [FJ 4].</w:t>
      </w:r>
    </w:p>
    <w:p w:rsidR="0085709A" w:rsidRDefault="0085709A" w:rsidP="0085709A">
      <w:pPr>
        <w:pStyle w:val="Extracto"/>
      </w:pPr>
    </w:p>
    <w:p w:rsidR="0085709A" w:rsidRDefault="0085709A" w:rsidP="0085709A">
      <w:pPr>
        <w:pStyle w:val="Extracto"/>
      </w:pPr>
      <w:r>
        <w:t>3.</w:t>
      </w:r>
      <w:r>
        <w:tab/>
        <w:t>Dado que el derecho a la manifestación contiene, entre otros, los propósitos de intercambio de opiniones entre los manifestantes y de servir de cauce para la participación democrática en la vida pública, el mencionado derecho queda vinculado al principio democrático y al valor superior “pluralismo político” proclamados en el art. 1.1 CE (SSTC STC 90/2006, 163/2006) [FJ 4].</w:t>
      </w:r>
    </w:p>
    <w:p w:rsidR="0085709A" w:rsidRDefault="0085709A" w:rsidP="0085709A">
      <w:pPr>
        <w:pStyle w:val="Extracto"/>
      </w:pPr>
    </w:p>
    <w:p w:rsidR="0085709A" w:rsidRDefault="0085709A" w:rsidP="0085709A">
      <w:pPr>
        <w:pStyle w:val="Extracto"/>
      </w:pPr>
      <w:r>
        <w:t>4.</w:t>
      </w:r>
      <w:r>
        <w:tab/>
        <w:t>Ejercer reiteradamente el derecho de manifestación no supone un ejercicio extralimitado del mismo, ni su reiteración legitima puede prohibirse sin la concurrencia de razones que lo justifiquen, ni es admisible que la autoridad gubernativa se apoye en la habitualidad para entender conseguido el objetivo de publicidad de las protestas, negando la utilidad o la necesidad del derecho de manifestación, lo que sí afectaría al contenido esencial del derecho (STC 193/2011) [FJ 4].</w:t>
      </w:r>
    </w:p>
    <w:p w:rsidR="0085709A" w:rsidRDefault="0085709A" w:rsidP="0085709A">
      <w:pPr>
        <w:pStyle w:val="Extracto"/>
      </w:pPr>
    </w:p>
    <w:p w:rsidR="0085709A" w:rsidRDefault="0085709A" w:rsidP="0085709A">
      <w:pPr>
        <w:pStyle w:val="Extracto"/>
      </w:pPr>
      <w:r>
        <w:t>5.</w:t>
      </w:r>
      <w:r>
        <w:tab/>
        <w:t>El retraso en la notificación de la resolución administrativa no causó ningún perjuicio al derecho constitucional invocado, pues la resolución gubernativa pudo ser recurrida ante los tribunales competentes (art. 106.1 CE) y éstos pudieron ejercer su función fiscalizadora de acuerdo con la CE y las Leyes (arts. 24.1 y 117.3 CE), notificando su resolución (desestimatoria) con suficiente anticipación, y no impidiéndose el pleno ejercicio del derecho constitucionalmente protegido, sin que sea función de este Tribunal confirmar o corregir interpretaciones de legalidad ordinaria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2126-2014, promovido por la Confederación Sindical de Comisiones Obreras de Andalucía, representada por la Procuradora de los Tribunales doña Isabel Cañedo Vega y asistida por el Letrado don Francisco Jesús Gómez Ruiz, contra la Sentencia dictada por la Sala de lo Contencioso-Administrativo del Tribunal Superior de Justicia de Andalucía con sede en Granada en fecha 7 de mayo de 2014 en el procedimiento especial para la tutela del derecho de reunión núm. 189/2014, y contra la Resolución de la Subdelegación del Gobierno en Jaén de 27 de febrero de 2014 objeto de ese procedimiento. Ha sido parte el Abogado del Estado en la representación que ostenta. Ha intervenido el Ministerio Fiscal.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Por escrito presentado en el Registro General de este Tribunal el día 2 de abril de 2014, la Procuradora de los Tribunales doña Isabel Cañedo Vega, actuando en nombre y representación de la confederación sindical de Comisiones Obreras de Andalucía, interpuso recurso de amparo contra las resoluciones judicial y administrativa que se citan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La demanda de amparo tiene su origen en los siguientes antecedentes:</w:t>
      </w:r>
    </w:p>
    <w:p w:rsidR="0085709A" w:rsidRDefault="0085709A" w:rsidP="0085709A">
      <w:pPr>
        <w:pStyle w:val="TextoNormal"/>
      </w:pPr>
    </w:p>
    <w:p w:rsidR="0085709A" w:rsidRDefault="0085709A" w:rsidP="0085709A">
      <w:pPr>
        <w:pStyle w:val="TextoNormal"/>
      </w:pPr>
      <w:r>
        <w:t xml:space="preserve">a) El 25 de febrero de 2014 la organización sindical recurrente comunicó a la Subdelegación del Gobierno en Jaén su intención de manifestarse durante los días 10, 11, 12, 13, 17, 18 y 19 de marzo de 2014, desde las 10:00 hasta las 13:30 horas, por el itinerario que discurre entre el Hospital Santiago de Úbeda hasta la plaza del Ayuntamiento de esa localidad, atravesando las calles Obispo Cobos, Mesones, plaza de Andalucía, Doctor Quesada, calle Real, Juan Montilla, plaza Vázquez de Molina, calle Juan Montilla otra vez y pasaje Jesús de Nazarenos, hasta desembocar en la citada plaza del Ayuntamiento donde se anunciaba la voluntad de realizar una concentración hasta el fin del acto. La solicitud incluía la siguiente propuesta: “como medida de seguridad, se establecerá un servicio de orden público”, y señalaba como objeto de la marcha que “el Ayuntamiento de Úbeda no garantiza </w:t>
      </w:r>
      <w:r>
        <w:lastRenderedPageBreak/>
        <w:t>la subrogación de la totalidad de la plantilla de los trabajadores de la empresa mixta EMDESAU”.</w:t>
      </w:r>
    </w:p>
    <w:p w:rsidR="0085709A" w:rsidRDefault="0085709A" w:rsidP="0085709A">
      <w:pPr>
        <w:pStyle w:val="TextoNormal"/>
      </w:pPr>
    </w:p>
    <w:p w:rsidR="0085709A" w:rsidRDefault="0085709A" w:rsidP="0085709A">
      <w:pPr>
        <w:pStyle w:val="TextoNormal"/>
      </w:pPr>
      <w:r>
        <w:t>b) Por resolución de 27 de febrero de 2014, la Subdelegación de Gobierno acordó prohibir la realización de las marchas y concentraciones convocadas razonando, en síntesis, que el derecho de reunión, como todos los demás derechos, no es ilimitado, y que “el elevado número de concentraciones comunicadas por este colectivo durante el presente año con idéntico objeto” evidencia “que este colectivo ha ejercido el derecho reconocido constitucionalmente” y que esas manifestaciones “han servido para expresar y difundir sus reivindicaciones, por lo que su insistencia en seguir ocupando la vía pública perturbaría ostensiblemente la ‘paz pública’ y seguridad ciudadana, y conllevaría aparejado un elevado número de dispositivos de seguridad para garantizar la seguridad de las manifestaciones y del resto de los ciudadanos lo cual se considera desproporcionado en relación con el derecho que se pretende ejercer”. Se recuerda que de acuerdo con el art. 1.2 de Ley Orgánica 9/1983, de 15 de julio, reguladora del derecho de reunión (LODR, en adelante), y con la doctrina de este Tribunal (cita la STC 66/1995, de 8 de mayo), el derecho de reunión se define como “temporal”, y que “en el presente caso no concurriría” ese elemento “ya que este colectivo ha comunicado la realización de concentraciones de manera reiterada. Ello denotaría la pretensión o intencionalidad de extender con carácter indefinido la ocupación del espacio público, y la utilización de las concentraciones como instrumento de presión, lo que supone un ejercicio abusivo que desvirtuaría el derecho de reunión y que condicionaría con los derechos también susceptibles de protección de las demás personas; teniendo en cuenta que los manifestantes ya han expuesto a la sociedad de forma pública, notoria y reiterada sus reivindicaciones, y, por tanto, la realización de más movilizaciones adicionales supone un excesivo e ilegal ejercicio del citado derecho constitucional. El derecho de reunión de los convocantes ha de conciliarse con el resto de los derechos de los ciudadanos, debiendo existir una racional utilización de los recursos públicos. La Autoridad gubernativa ha de salvaguardar ese orden o ‘paz pública’, teniendo en cuenta que la ocupación excesivamente prolongada en el tiempo y en los distintos espacios públicos previstos por los convocantes implicaría, como anteriormente se ha mencionado, un detrimento en los derechos del resto de los ciudadanos, afectando el mantenimiento de la seguridad ciudadana por parte de las Fuerzas y Cuerpos de Seguridad del Estado, pudiéndose poner en peligro los bienes y derechos que a las Autoridades corresponde proteger”.</w:t>
      </w:r>
    </w:p>
    <w:p w:rsidR="0085709A" w:rsidRDefault="0085709A" w:rsidP="0085709A">
      <w:pPr>
        <w:pStyle w:val="TextoNormal"/>
      </w:pPr>
    </w:p>
    <w:p w:rsidR="0085709A" w:rsidRDefault="0085709A" w:rsidP="0085709A">
      <w:pPr>
        <w:pStyle w:val="TextoNormal"/>
      </w:pPr>
      <w:r>
        <w:t>c) Notificada esa resolución gubernativa, los convocantes interpusieron contra ella recurso contencioso-administrativo ante la Sala de lo Contencioso-Administrativo del Tribunal Superior de Justicia de Andalucía con sede en Granada, la cual, mediante su Sentencia de 7 de marzo de 2014, desestimó el recurso. En relación con la alegada extemporaneidad de la resolución administrativa por haberse dictado el 27 de febrero y no haberse notificado en el plazo de 72 horas expresado en el art. 10 LODR, la Sentencia explica que de conformidad con la doctrina constitucional el incumplimiento de ese plazo solamente vulnera el derecho del art. 21 CE cuando responda a un ánimo dilatorio o cuando impida que los órganos judiciales se pronuncien con anterioridad a la fecha de celebración de la concentración programada (SSTC 66/1995 y 90/2006), mientras que en este caso esa extemporaneidad en la notificación no ha generado ningún tipo de indefensión para los interesados (cita en apoyo de esta tesis el art. 63.2 de la Ley de régimen jurídico de las Administraciones públicas y del procedimiento administrativo común). Y en cuanto al verdadero fondo del asunto, ra</w:t>
      </w:r>
      <w:r>
        <w:lastRenderedPageBreak/>
        <w:t>zona, tras invocar la doctrina de las SSTC 110/2006 y 195/2003, que la resolución administrativa está suficientemente motivada al explicar las razones de la prohibición, y que esos motivos son adecuados para fundamentar esa decisión. La finalidad del ejercicio del derecho de reunión ha sido cumplimentada debido a la “resonancia” que las 36 manifestaciones anteriores han tenido. Y nuevas marchas no inciden en la repercusión social de la protesta, mientras que, por el contrario, sí afectan a los derechos fundamentales de otros ciudadanos, como son los del art. 19 CE, así como en la “paz pública”. Considera así, expresamente, que la solicitud de estas nuevas manifestaciones “viene a constituir un uso abusivo del derecho de reunión”.</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comienza justificando la especial trascendencia constitucional del recurso. Argumenta que uno de los motivos por los que se interpone el recurso es el incumplimiento del plazo máximo de 72 horas que fija el art. 10 LODR para la notificación de la resolución denegatoria a los convocantes, y que este Tribunal debe resolver sobre las consecuencias de este incumplimiento. Subraya, además, que este concreto caso pone de manifiesto la importancia de clarificar las limitaciones legítimas del derecho del art. 21 CE, en particular cuando sin probar la existencia de alteración de orden público la motivación para la denegación es la reiteración, esto es, “que como ya se han realizado anteriormente 36 manifestaciones, ya se ha conocido suficientemente la protesta de los trabajadores y ya se ha ejercido suficientemente dicho derecho”.</w:t>
      </w:r>
    </w:p>
    <w:p w:rsidR="0085709A" w:rsidRDefault="0085709A" w:rsidP="0085709A">
      <w:pPr>
        <w:pStyle w:val="TextoNormal"/>
      </w:pPr>
    </w:p>
    <w:p w:rsidR="0085709A" w:rsidRDefault="0085709A" w:rsidP="0085709A">
      <w:pPr>
        <w:pStyle w:val="TextoNormal"/>
      </w:pPr>
      <w:r>
        <w:t>A continuación, expone los motivos por los que considera que su recurso debe ser estimado. En primer lugar, se refiere al ya citado incumplimiento por la Subdelegación del Gobierno del plazo de 72 horas para notificar establecido en la Ley reguladora del derecho de reunión. Considera que el razonamiento de la Sentencia recurrida —que ha quedado sucintamente expuesto en el apartado anterior— es contrario a la doctrina establecida por otros Tribunales del mismo orden jurisdiccional, en particular la Sala del Tribunal Superior de Justicia de Castilla-La Mancha en su Sentencia de 28 de enero de 2010, recurso núm. 47-2010, y, sobre todo, la Sala Tercera del Tribunal Supremo, en su Sentencia de 6 de abril de 1998, dictada en interés de ley, donde se recuerda que el incumplimiento del plazo no constituye solamente una infracción de la legalidad ordinaria, sino que puede entrañar también la conculcación del derecho de reunión con evidente relieve constitucional, por lo que el cumplimiento de ese plazo no es ajeno al control jurisdiccional de la constitucionalidad de la medida prohibitiva y deberá aplicarse siempre que la resolución gubernativa sea extemporánea, como garantía del referido derecho fundamental.</w:t>
      </w:r>
    </w:p>
    <w:p w:rsidR="0085709A" w:rsidRDefault="0085709A" w:rsidP="0085709A">
      <w:pPr>
        <w:pStyle w:val="TextoNormal"/>
      </w:pPr>
    </w:p>
    <w:p w:rsidR="0085709A" w:rsidRDefault="0085709A" w:rsidP="0085709A">
      <w:pPr>
        <w:pStyle w:val="TextoNormal"/>
      </w:pPr>
      <w:r>
        <w:t xml:space="preserve">Como segundo fundamento de amparo, aduce que el único motivo que permite prohibir una manifestación es la existencia de razones fundadas de alteración del orden público, con peligro para personas o bienes, según el art. 21.2 CE; y que en su caso la resolución administrativa no contiene una motivación concreta de esas posibles alteraciones del orden público o del riesgo para personas y bienes a que alude el precepto constitucional, limitándose a invocar genéricamente dicho riesgo sin la mínima motivación exigida para la prohibición acordada. La reiteración no es por sí misma motivo para la limitación del derecho, sobre todo si el objeto de las manifestaciones no se ha conseguido. Al hilo de lo anterior, critica igualmente la argumentación ulterior del órgano jurisdiccional, que confirmó la prohibición administrativa, y que reputa contraria a la doctrina establecida por este Tribunal en sus SSTC 163/2006 y 275/2006 —que reproduce </w:t>
      </w:r>
      <w:r w:rsidRPr="0085709A">
        <w:rPr>
          <w:i/>
        </w:rPr>
        <w:t>in extenso</w:t>
      </w:r>
      <w:r>
        <w:t xml:space="preserve">— en relación con la interpretación del alcance de los límites al ejercicio del derecho garantizado en el art. 21 CE y de los </w:t>
      </w:r>
      <w:r>
        <w:lastRenderedPageBreak/>
        <w:t>requisitos que debe cumplir la resolución de la autoridad gubernativa que prohíba o restrinja el ejercicio del derecho. Niega, en definitiva, que pueda aceptarse el criterio de la Sala de que la celebración de 36 manifestaciones permita prohibir las nuevas concentraciones solicitadas, toda vez que el derecho de reunión pacífica constitucionalmente regulado no limita el número de concentraciones o manifestaciones, y donde la norma no distingue, no cabe distinguir.</w:t>
      </w:r>
    </w:p>
    <w:p w:rsidR="0085709A" w:rsidRDefault="0085709A" w:rsidP="0085709A">
      <w:pPr>
        <w:pStyle w:val="TextoNormal"/>
      </w:pPr>
    </w:p>
    <w:p w:rsidR="0085709A" w:rsidRDefault="0085709A" w:rsidP="0085709A">
      <w:pPr>
        <w:pStyle w:val="TextoNormal"/>
      </w:pPr>
      <w:r>
        <w:t>Termina solicitando por todo lo anterior que se dicte Sentencia otorgando el amparo solicitado, declarando la vulneración de los derechos reconocidos en el art. 21.2 CE y declarando en consecuencia la nulidad de la Sentencia y resolución administrativa recurridas.</w:t>
      </w:r>
    </w:p>
    <w:p w:rsidR="0085709A" w:rsidRDefault="0085709A" w:rsidP="0085709A">
      <w:pPr>
        <w:pStyle w:val="TextoNormal"/>
      </w:pPr>
    </w:p>
    <w:p w:rsidR="0085709A" w:rsidRDefault="0085709A" w:rsidP="0085709A">
      <w:pPr>
        <w:pStyle w:val="TextoNormal"/>
      </w:pPr>
      <w:r w:rsidRPr="0085709A">
        <w:rPr>
          <w:rStyle w:val="NumeroAFNegritaCaracter"/>
        </w:rPr>
        <w:t>4</w:t>
      </w:r>
      <w:r>
        <w:t>. La Sección Cuarta de este Tribunal, tras dirigir atenta comunicación a la Sala de lo Contencioso-Administrativo del Tribunal Superior de Justicia de Andalucía con sede en Granada a fin de que remitiera certificación de las actuaciones correspondientes a su procedimiento ordinario núm. 108-2014, en cuyo seno se había dictado la Sentencia recurrida, así como del expediente administrativo del que dimanaba dicho recurso, lo cual fue debidamente cumplimentado por el órgano jurisdiccional requerido, acordó, mediante providencia de 9 de julio de 2014, admitir a trámite el recurso presentado y, en aplicación de lo previsto en el art. 51 de la Ley Orgánica del Tribunal Constitucional (LOTC), dirigir atenta comunicación al mismo Tribunal a fin de que procediera a emplazar a quienes hubieran sido parte en el procedimiento, excepto a la recurrente en amparo, para que en el plazo de diez días pudieran comparecer, si lo deseaban, en el recurso de amparo.</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 la Secretaría de Justicia de la Sala Segunda de este Tribunal de 3 de octubre de 2014 se tuvo por personado y parte en el procedimiento al Abogado del Estado y, conforme determina el art. 52.1 LOTC, se acordó dar vista de las actuaciones testimoniadas y recibidas a las partes personadas y al Ministerio Fiscal por plazo común de veinte días para que pudieran presentar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presentó sus alegaciones por escrito registrado el 3 de noviembre de 2014. En ellas comienza alegando sobre la inadmisibilidad del recurso por falta de especial trascendencia constitucional. Explica que si lo hace en este trámite es porque entiende que no pudo hacerlo con anterioridad, al no estar previsto en la Ley Orgánica del Tribunal Constitucional el recurso de súplica contra la providencia de admisión sino solo contra las de inadmisión, de acuerdo con sus arts. 50.3, 52 y 93.2, por lo que este es el momento procesal idóneo, y único, para poder hacerlo. Sostiene, en base a ello, que la trascendencia constitucional del incumplimiento del plazo de 72 horas para notificar la resolución denegatoria ya ha sido resuelta en las SSTC 90/2006 y 66/1995, y que existe igualmente doctrina constitucional consolidada sobre los límites del derecho de reunión cuando existen manifestaciones reiteradas en el tiempo, desde la citada STC 66/1995 hasta la más reciente STC 193/2011.</w:t>
      </w:r>
    </w:p>
    <w:p w:rsidR="0085709A" w:rsidRDefault="0085709A" w:rsidP="0085709A">
      <w:pPr>
        <w:pStyle w:val="TextoNormal"/>
      </w:pPr>
    </w:p>
    <w:p w:rsidR="0085709A" w:rsidRDefault="0085709A" w:rsidP="0085709A">
      <w:pPr>
        <w:pStyle w:val="TextoNormal"/>
      </w:pPr>
      <w:r>
        <w:t>Por lo que al fondo se refiere, argumenta que conforme a la doctrina de las indicadas SSTC 66/1995 y 90/2006 el retraso en la notificación de la resolución denegatoria por parte de la Administración no tiene trascendencia constitucional, pues ese retraso no impidió el control de esa resolución administrativa por el órgano jurisdiccional ni que éste se produjera con suficiente antelación a la fecha de la manifestación convocada.</w:t>
      </w:r>
    </w:p>
    <w:p w:rsidR="0085709A" w:rsidRDefault="0085709A" w:rsidP="0085709A">
      <w:pPr>
        <w:pStyle w:val="TextoNormal"/>
      </w:pPr>
    </w:p>
    <w:p w:rsidR="0085709A" w:rsidRDefault="0085709A" w:rsidP="0085709A">
      <w:pPr>
        <w:pStyle w:val="TextoNormal"/>
      </w:pPr>
      <w:r>
        <w:t xml:space="preserve">Respecto a la segunda queja de la organización recurrente, cita la STC 193/2011 para recordar que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recordábamos en la STC 195/2003, de 27 de octubre, FJ 7, y todas las que allí se citan, han de ser necesarios ‘para conseguir el fin perseguido debiendo atender a la proporcionalidad entre el sacrificio del derecho y la situación en la que se halla aquél a quien se impone … y, en todo caso, respetar su contenido esencial’.” A partir de ahí, destaca que la demandante ha realizado la misma manifestación en 36 ocasiones de manera continuada todos los días lectivos del año 2014 desde el 13 de enero al 9 de marzo, con el mismo recorrido, por el centro de Úbeda, y la misma duración. Por tanto, las nuevas manifestaciones convocadas, entre los días 10 y 19 de marzo, aparte de implicar una ocupación permanente de los espacios públicos que desnaturaliza la manifestación, cuya nota característica es la transitoriedad, no añade nada a la finalidad del derecho de manifestación, plenamente cumplida. Vuelve a citar el caso de la STC 193/2011, en el que —recuerda— ante la reiteración de manifestaciones diarias en la ciudad de Ceuta, este Tribunal convino en que “[e]sta habitualidad comporta, en cierta forma, una ruptura de la ‘transitoriedad’ implícita a la manifestación (como versión dinámica del derecho reconocido en el art. 21 CE); supone una prolongación y un incremento de intensidad en la ocupación del espacio público. En suma, si bien es cierto, como hemos señalado ya, que no toda interrupción del tráfico provoca per se una alteración del orden público (STC 163/2006, de 22 de mayo), debemos convenir con la Delegación del Gobierno en que la prolongación de esos cortes de tráfico como consecuencia de la convocatoria diaria de las manifestaciones en cuestión, durante varios meses, los días laborales y en horas punta, pueden constituir por su habitualidad y por la intensidad de afectación a otros bienes y derechos constitucionalmente protegibles —especialmente la libre circulación de personas—, una alteración del orden público —entendido como desorden material— que puede justificar la imposición de límites al ejercicio de aquel derecho”. Aclarando un poco más adelante que “[l]o anterior no obsta, sin embargo, a que la reiteración o habitualidad en el ejercicio del derecho sí pueda configurarse como una variable que, en función de las características concretas del caso, coadyuve a la justificación de la imposición de condicionamientos o limitaciones al ejercicio del derecho de manifestación, tal como adelantábamos unas líneas más arriba”, y que conforme a la doctrina del Tribunal Europeo de Derechos Humanos (Sentencia de 6 de marzo de 2007, caso </w:t>
      </w:r>
      <w:r w:rsidRPr="0085709A">
        <w:rPr>
          <w:i/>
        </w:rPr>
        <w:t>Çiloğlu et alii c. Turquía</w:t>
      </w:r>
      <w:r>
        <w:t>) es “compatible con el art. 11 del Convenio europeo para la protección de los derechos humanos y las libertades fundamentales la disolución de una manifestación organizada por los demandantes, estimando, entre otros argumentos, que ‘la concentración en un lugar público, repitiéndose cada sábado por la mañana desde hacía más de tres años había adquirido un carácter casi permanente, que perturbaba así la circulación y causaba una alteración del orden público’. Así pues, ‘en las circunstancias concretas de la causa y habida cuenta de la duración y el número de manifestaciones precedentes, las autoridades reaccionaron en el marco del margen de apreciación reconocido a los Estados en estas materia’ por lo que no se produce la violación aducida del art. 11 del Convenio”.</w:t>
      </w:r>
    </w:p>
    <w:p w:rsidR="0085709A" w:rsidRDefault="0085709A" w:rsidP="0085709A">
      <w:pPr>
        <w:pStyle w:val="TextoNormal"/>
      </w:pPr>
    </w:p>
    <w:p w:rsidR="0085709A" w:rsidRDefault="0085709A" w:rsidP="0085709A">
      <w:pPr>
        <w:pStyle w:val="TextoNormal"/>
      </w:pPr>
      <w:r>
        <w:lastRenderedPageBreak/>
        <w:t>La aplicación de esta doctrina al caso debatido lleva al Abogado del Estado a afirmar que los motivos de la resolución administrativa denegatoria de las manifestaciones convocadas son razonables y proporcionados, e incluso evidentes, pues para él la ocupación del espacio público durante los días lectivos afecta a la actividad económica de la localidad y a la libre circulación del resto de los vecinos, mientras que por otro lado nada añade a la finalidad, ya conseguida, del derecho de manifestación, como manifestación de la libertad de expresión. A ello se agrega, concluye, el necesario despliegue de medios públicos, siempre escasos, en concreto de fuerzas y cuerpos de seguridad del Estado, que no solo quedan cautivos para velar por el buen orden de la manifestación sino que, al mismo tiempo, no pueden ser utilizados para sus funciones regulares de protección de personas y bienes en la localidad.</w:t>
      </w:r>
    </w:p>
    <w:p w:rsidR="0085709A" w:rsidRDefault="0085709A" w:rsidP="0085709A">
      <w:pPr>
        <w:pStyle w:val="TextoNormal"/>
      </w:pPr>
    </w:p>
    <w:p w:rsidR="0085709A" w:rsidRDefault="0085709A" w:rsidP="0085709A">
      <w:pPr>
        <w:pStyle w:val="TextoNormal"/>
      </w:pPr>
      <w:r w:rsidRPr="0085709A">
        <w:rPr>
          <w:rStyle w:val="NumeroAFNegritaCaracter"/>
        </w:rPr>
        <w:t>7</w:t>
      </w:r>
      <w:r>
        <w:t>. El día 17 de noviembre de 2014 tuvo entrada en el Registro General de este Tribunal el escrito de alegaciones del Ministerio Fiscal, que considera procedente el otorgamiento del amparo por vulneración del derecho de reunión del art. 21 CE y, en consecuencia, la declaración de nulidad de la resolución de la Subdelegación del Gobierno en Jaén de 27 de febrero de 2014 así como de la Sentencia de 7 de marzo de 2014 que la confirmó.</w:t>
      </w:r>
    </w:p>
    <w:p w:rsidR="0085709A" w:rsidRDefault="0085709A" w:rsidP="0085709A">
      <w:pPr>
        <w:pStyle w:val="TextoNormal"/>
      </w:pPr>
    </w:p>
    <w:p w:rsidR="0085709A" w:rsidRDefault="0085709A" w:rsidP="0085709A">
      <w:pPr>
        <w:pStyle w:val="TextoNormal"/>
      </w:pPr>
      <w:r>
        <w:t xml:space="preserve">Tras hacer un detallado resumen de los hechos que han motivado el presente recurso de amparo, el Fiscal puntualiza, en primer lugar, que se trata de un amparo administrativo del art. 43 LOTC, en cuyo plazo ha tenido lugar la interposición de la demanda. Acto seguido, descarta brevemente —por remisión a las SSTC 195/2003 y 90/2006— que la extemporaneidad de la resolución denegatoria haya tenido como objetivo impedir o dificultar el ejercicio del derecho de reunión o lo haya impedido o dificultado de facto. Por consiguiente, para él ese retraso carece de relieve constitucional. Y finalmente, se adentra en lo que él llama la “cuestión de fondo” del recurso. Tras acudir a la ya citada STC 193/2011 para sintetizar la doctrina constitucional en la materia, afirma (i) que ni la resolución administrativa ni los informes obrantes en el expediente concretan las “razones fundadas” de alteración del orden público que de acuerdo con el art. 21.2 CE permiten prohibir una manifestación, sino que la Subdelegación del Gobierno “alude genéricamente a la eventualidad de que se pudieran poner en peligro los bienes y derechos que a las Autoridades corresponde proteger”; (ii) que el verdadero motivo de la prohibición es la reiteración de las manifestaciones, cuando la reiteración en el ejercicio de reunión no legitima su prohibición, como aclara expresamente la tan repetidamente citada STC 193/2011; (iii) que el informe del Ayuntamiento no se opone a la realización de la manifestación, poniendo solamente objeciones “en cuanto al horario solicitado, ya que por lo general las marchas celebradas anteriormente ninguna se ha ajustado al horario de 10:00 a 13:30 horas”, añadiendo después que el margen horario que utilizan es, en realidad, “significativamente inferior al solicitado”, y sin embargo, la Administración no adoptó ninguna medida limitativa o moduladora del ejercicio de ese derecho, como le permite hacer la Ley reguladora del derecho de reunión y le impone el principio de proporcionalidad, sino que directamente acordó la medida más gravosa para ese derecho, que es la prohibición; y por último (iv) que la limitación o afectación de la libertad deambulatoria del art. 19 CE, por ser inherente al desarrollo de una manifestación, no puede por sí sola justificar su prohibición, como expresamente se aclaró en la STC 59/1990. De los datos obrantes en el expediente, concluye, no se desprende una intensidad suficiente en la afectación a esa libertad como para servir de soporte a la prohibición, y por tanto, entiende incursa en inconstitucionalidad la resolución administrativa, pues ni la misma explicita los elementos que soportan su juicio acerca de una eventual y probable </w:t>
      </w:r>
      <w:r>
        <w:lastRenderedPageBreak/>
        <w:t>alteración del orden público, ni tampoco justifica la imposibilidad o eficacia de otras medidas alternativas menos drásticas. E informa, por todo ello, en favor del otorgamiento del amparo.</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12 de febrero de 2015 se acordó señalar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del presente recurso de amparo es determinar si la prohibición de las manifestaciones convocadas por la organización sindical recurrente para los días 10, 11, 12, 13, 17, 18 y 19 de marzo de 2014 en la localidad de Úbeda (Jaén) ha vulnerado el mencionado derecho fundamental reconocido en el art. 21 CE. Para la entidad recurrente, esa prohibición contraviene el indicado precepto constitucional, por dos razones. En primer lugar, porque la notificación de la resolución administrativa denegatoria fue extemporánea pues se practicó una vez vencido el término de las setenta y dos horas desde la comunicación previa que establece el art. 10 de la Ley Orgánica 9/1983, de 15 de julio, reguladora del derecho de reunión (LODR). Y en segundo lugar, porque la prohibición carece de la debida motivación y en realidad contraviene frontalmente lo establecido en aquel precepto constitucional, pues ni exterioriza los datos o motivos concretos de los que deriva la posible alteración del orden público que afirma, y que con base en el tenor del art. 21.2 CE sirvieron de apoyo a la Subdelegación del Gobierno para impedir las manifestaciones convocadas, ni, en realidad, esa proscripción acordada se ajusta al límite constitucional indicado, único permitido, ya que alude como verdadero motivo de la decisión a la previa realización de 36 manifestaciones, convocadas por la misma organización y con el mismo objeto.</w:t>
      </w:r>
    </w:p>
    <w:p w:rsidR="0085709A" w:rsidRDefault="0085709A" w:rsidP="0085709A">
      <w:pPr>
        <w:pStyle w:val="TextoNormal"/>
      </w:pPr>
    </w:p>
    <w:p w:rsidR="0085709A" w:rsidRDefault="0085709A" w:rsidP="0085709A">
      <w:pPr>
        <w:pStyle w:val="TextoNormal"/>
      </w:pPr>
      <w:r>
        <w:t>Así pues, y como punto de partida, es importante reseñar que como bien puntualiza el Ministerio Fiscal en sus alegaciones nos encontramos ante un recurso de los previstos en el art. 43 de la Ley Orgánica del Tribunal Constitucional (LOTC), ya que el acto de los poderes públicos al que se imputa la lesión del derecho de manifestación es —sólo puede ser— la resolución de la Subdelegación del Gobierno en Jaén de 27 de febrero de 2014, que es la resolución de la “autoridad” (art. 21.2 CE) que prohibió las manifestaciones convocadas por la entidad recurrente de conformidad con el sistema establecido en la Ley reguladora del derecho de reunión (arts. 8 y ss.). La posterior Sentencia de la Sala de lo Contencioso-Administrativo del Tribunal Superior de Justicia de Andalucía de 7 de marzo de 2014, desestimatoria del recurso contencioso-administrativo dirigido contra esa previa prohibición gubernativa al amparo de los arts. 11 LODR y 122 de la Ley reguladora de la jurisdicción contencioso-administrativa (LJCA), solo habría vulnerado ese derecho de manera mediata o indirecta, al no reparar la lesión directa o inmediatamente causada por la resolución administrativa allí recurrida, y no, por tanto, de manera propia y autónoma (así, entre otras, STC 301/2006, de 23 de octubre, FJ 1). En consecuencia, y a pesar de citar la demanda de amparo ambas resoluciones, la administrativa y la judicial, como actos de los poderes públicos aquí impugnados, las consideraciones anteriores nos obligan a atender prioritariamente al contenido de la primera de ellas, la gubernativa, para confrontar su contenido con el art. 21 CE.</w:t>
      </w:r>
    </w:p>
    <w:p w:rsidR="0085709A" w:rsidRDefault="0085709A" w:rsidP="0085709A">
      <w:pPr>
        <w:pStyle w:val="TextoNormal"/>
      </w:pPr>
    </w:p>
    <w:p w:rsidR="0085709A" w:rsidRDefault="0085709A" w:rsidP="0085709A">
      <w:pPr>
        <w:pStyle w:val="TextoNormal"/>
      </w:pPr>
      <w:r>
        <w:lastRenderedPageBreak/>
        <w:t>En cualquier caso, antes de hacerlo, es necesario analizar la causa de inadmisibilidad del recurso opuesta por el Abogado del Estado.</w:t>
      </w:r>
    </w:p>
    <w:p w:rsidR="0085709A" w:rsidRDefault="0085709A" w:rsidP="0085709A">
      <w:pPr>
        <w:pStyle w:val="TextoNormal"/>
      </w:pPr>
    </w:p>
    <w:p w:rsidR="0085709A" w:rsidRDefault="0085709A" w:rsidP="0085709A">
      <w:pPr>
        <w:pStyle w:val="TextoNormal"/>
      </w:pPr>
      <w:r w:rsidRPr="0085709A">
        <w:rPr>
          <w:rStyle w:val="NumeroAFNegritaCaracter"/>
        </w:rPr>
        <w:t>2</w:t>
      </w:r>
      <w:r>
        <w:t>. Para el representante de la Administración este recurso de amparo carece de especial trascendencia constitucional, requisito exigido para la admisibilidad del amparo constitucional en los arts. 49.1 y 50.1 b) LOTC, al existir ya una consolidada doctrina constitucional acerca de las dos cuestiones en él debatidas. Por un lado, el incumplimiento del plazo de 72 horas antes indicado (cita al respecto las SSTC 66/1995, de 8 de mayo, y 90/2006, de 27 de marzo) y, por otro, la limitación del derecho de manifestación en caso de reiteración de actos (cita para este segundo alegato la misma STC 66/1995 antes indicada y también la STC 193/2011, de 12 de diciembre).</w:t>
      </w:r>
    </w:p>
    <w:p w:rsidR="0085709A" w:rsidRDefault="0085709A" w:rsidP="0085709A">
      <w:pPr>
        <w:pStyle w:val="TextoNormal"/>
      </w:pPr>
    </w:p>
    <w:p w:rsidR="0085709A" w:rsidRDefault="0085709A" w:rsidP="0085709A">
      <w:pPr>
        <w:pStyle w:val="TextoNormal"/>
      </w:pPr>
      <w:r>
        <w:t>Sin embargo, y sin que sea necesario profundizar más a estos efectos liminares, mientras en esas dos Sentencias invocadas por el Abogado del Estado se examinaban, en la primera de ellas, una prohibición gubernativa acordada por haberse convocado la manifestación en una “zona de elevadísima intensidad media en la circulación de vehículos” que “provocaría un total colapso de tráfico” (STC 66/1995, FJ 1), razón ausente en este caso, y en la segunda una limitación —que no prohibición— de las manifestaciones en aquel supuesto convocadas (véase, también, el fundamento jurídico 1 de la citada STC 193/2011), en este que ahora nos ocupa se recurre una prohibición, y no una limitación del derecho de manifestación (y esta única circunstancia serviría ya para diferenciar este supuesto del resuelto en la STC 193/2011, antes citada), acordada además por considerar la Administración, en esencia, que las 36 manifestaciones ya celebradas por los mismos convocantes y con el mismo objeto en días anteriores permite apreciar un ”ejercicio abusivo” o “excesivo” del derecho —en terminología de la resolución gubernativa— que simplemente reitera y nada añade a la difusión del mensaje de los convocantes, pero que, por otra parte, perturba al resto de los ciudadanos y obliga además a destinar a su servicio importantes recursos personales de las fuerzas y cuerpos de seguridad del Estado, siempre limitados. Claramente se advierte con ello el perfil propio de este caso respecto de los dos precedentes señalados.</w:t>
      </w:r>
    </w:p>
    <w:p w:rsidR="0085709A" w:rsidRDefault="0085709A" w:rsidP="0085709A">
      <w:pPr>
        <w:pStyle w:val="TextoNormal"/>
      </w:pPr>
    </w:p>
    <w:p w:rsidR="0085709A" w:rsidRDefault="0085709A" w:rsidP="0085709A">
      <w:pPr>
        <w:pStyle w:val="TextoNormal"/>
      </w:pPr>
      <w:r>
        <w:t xml:space="preserve">Por otra parte, aunque es verdad que no es la primera vez que este Tribunal se enfrenta a prohibiciones de manifestaciones por su reiteración, pues sobre la aptitud de este simple y aséptico hecho para fundamentar una prohibición ya se han pronunciado las SSTC 284/2005, de 7 de noviembre, y 301/2006, de 23 de octubre, en esos pronunciamientos anteriores la motivación de las resoluciones administrativas se agotaba en esa nuda reiteración del ejercicio del derecho a manifestarse, que se consideraba “en sí misma” constitutiva de “una alteración del orden público” (STC 301/2006, FJ 3, reproduciendo el “único argumento utilizado por la autoridad gubernativa” en aquel caso) o igualmente constitutiva por sí sola —también aisladamente— de un “abuso del derecho fundamental de reunión” (STC 284/2005, FJ 4). En consecuencia, solo, o fundamentalmente sobre ello, giraron aquellos pronunciamientos de este Tribunal. Por el contrario, en este caso que ahora examinamos, y según ha quedado ya debidamente expuesto en los antecedentes de esta resolución, la justificación de la Subdelegación del Gobierno añade al argumento del “ejercicio abusivo” del derecho —ya tratado por la doctrina de este Tribunal— la razón adicional de que “los manifestantes ya han expuesto a la sociedad de forma pública, notoria y reiterada sus reivindicaciones, y, por tanto, la realización de más movilizaciones adicionales supone un excesivo </w:t>
      </w:r>
      <w:r>
        <w:lastRenderedPageBreak/>
        <w:t>e ilegal ejercicio del citado derecho constitucional”. Se plantea, por consiguiente, el novedoso tema de si existe un supuesto agotamiento del fin del derecho a manifestarse que pueda amparar una prohibición.</w:t>
      </w:r>
    </w:p>
    <w:p w:rsidR="0085709A" w:rsidRDefault="0085709A" w:rsidP="0085709A">
      <w:pPr>
        <w:pStyle w:val="TextoNormal"/>
      </w:pPr>
    </w:p>
    <w:p w:rsidR="0085709A" w:rsidRDefault="0085709A" w:rsidP="0085709A">
      <w:pPr>
        <w:pStyle w:val="TextoNormal"/>
      </w:pPr>
      <w:r>
        <w:t>Sobre ello no ha habido pronunciamientos anteriores de este Tribunal, como supremo intérprete de la Constitución (art. 1.1 LOTC), y eso es lo que justifica la admisión y resolución del presente recurso de amparo [supuesto a) de la STC 155/2009, de 25 de junio, FJ 2: problema o faceta de un derecho fundamental susceptible de amparo sobre el que no exista doctrina de este Tribunal].</w:t>
      </w:r>
    </w:p>
    <w:p w:rsidR="0085709A" w:rsidRDefault="0085709A" w:rsidP="0085709A">
      <w:pPr>
        <w:pStyle w:val="TextoNormal"/>
      </w:pPr>
    </w:p>
    <w:p w:rsidR="0085709A" w:rsidRDefault="0085709A" w:rsidP="0085709A">
      <w:pPr>
        <w:pStyle w:val="TextoNormal"/>
      </w:pPr>
      <w:r w:rsidRPr="0085709A">
        <w:rPr>
          <w:rStyle w:val="NumeroAFNegritaCaracter"/>
        </w:rPr>
        <w:t>3</w:t>
      </w:r>
      <w:r>
        <w:t>. Despejado así el único óbice formal que ha sido planteado, cumple ahora examinar las dos quejas en que basa su denuncia el recurrente. Para la primera, ciertamente, basta con remitirse entre otras a las SSTC 66/1995, FJ 2, y 90/2006, FJ 2 e), en las que, efectivamente, y como exponen tanto el Abogado del Estado como el Ministerio Fiscal, se contiene nuestra doctrina acerca de la relevancia constitucional del incumplimiento del plazo para notificar la resolución denegatoria establecido en el art. 10 LODR.</w:t>
      </w:r>
    </w:p>
    <w:p w:rsidR="0085709A" w:rsidRDefault="0085709A" w:rsidP="0085709A">
      <w:pPr>
        <w:pStyle w:val="TextoNormal"/>
      </w:pPr>
    </w:p>
    <w:p w:rsidR="0085709A" w:rsidRDefault="0085709A" w:rsidP="0085709A">
      <w:pPr>
        <w:pStyle w:val="TextoNormal"/>
      </w:pPr>
      <w:r>
        <w:t xml:space="preserve">En esas y otras Sentencias hemos dicho, en esencia, que al no tratarse de un plazo previsto en la Constitución sino en la Ley Orgánica de desarrollo del derecho de reunión anunciada en el art. 81.1 CE, en concreto en su art. 10, es claro que el mero incumplimiento de ese plazo no entraña </w:t>
      </w:r>
      <w:r w:rsidRPr="0085709A">
        <w:rPr>
          <w:i/>
        </w:rPr>
        <w:t>per se</w:t>
      </w:r>
      <w:r>
        <w:t xml:space="preserve"> un incumplimiento de la Constitución, que no lo prevé. Ahondando un poco más, hemos aclarado también que no es posible pretender, al menos en esta sede constitucional, que el transcurso de ese plazo sin que se produzca la notificación a los convocantes dé lugar a un acto presunto a la manera del silencio positivo regulado en la Ley 30/1992, de 26 de noviembre, para el procedimiento administrativo, pues ni la “comunicación previa” exigida por el art. 21.2 CE constituye una auténtica solicitud de autorización administrativa, ya que “el ejercicio de ese derecho fundamental se impone por su eficacia inmediata y directa, sin que pueda conceptuarse como un derecho de configuración legal” (STC 66/1995, FJ 2), ni, consiguientemente, la facultad de prohibición reconocida a la autoridad administrativa en la Constitución y en el citado art. 10 LODR puede reconducirse “a ningún género de manifestación de autotutela” de la Administración (</w:t>
      </w:r>
      <w:r w:rsidRPr="0085709A">
        <w:rPr>
          <w:i/>
        </w:rPr>
        <w:t>ibíd</w:t>
      </w:r>
      <w:r>
        <w:t>.). A lo que hay que añadir, además, que el instituto del silencio es una figura de configuración legal y no tiene rango constitucional.</w:t>
      </w:r>
    </w:p>
    <w:p w:rsidR="0085709A" w:rsidRDefault="0085709A" w:rsidP="0085709A">
      <w:pPr>
        <w:pStyle w:val="TextoNormal"/>
      </w:pPr>
    </w:p>
    <w:p w:rsidR="0085709A" w:rsidRDefault="0085709A" w:rsidP="0085709A">
      <w:pPr>
        <w:pStyle w:val="TextoNormal"/>
      </w:pPr>
      <w:r>
        <w:t>De todo lo dicho resulta entonces que el incumplimiento del plazo legalmente previsto para notificar la resolución limitativa o prohibitiva de la manifestación, siendo determinante de una evidente infracción legal [que solo corresponde declarar, en su caso, a la jurisdicción ordinaria, no a la constitucional: cfr. arts. 106.1, 117.3, 123.1 y 161.1 b) CE], no implica siempre y necesariamente una infracción de rango constitucional. Solamente alcanza esta relevancia cuando incide o afecta de algún modo en el derecho de reunión y manifestación tal y como está constitucionalmente garantizado [arts. 161.1 b) CE y 49.1 y 55.1 a) LOTC], de manera que solo entonces puede entrar a conocer de ella esta jurisdicción. De ahí las dos excepciones puestas como “ejemplo” de infracción constitucional en la citada STC 66/1995: que el retraso en la notificación “…responda a un ánimo dilatorio con el objetivo de impedir o entorpecer el ejercicio del derecho o … impida que los órganos judiciales se pronuncien con anterioridad a la fecha de celebración de la concentración programada por los organizadores”. Fuera de esos casos, el simple incumplimiento de la Ley orgánica reguladora del derecho de reunión, sin trascendencia constitucional, es ajeno a esta jurisdicción.</w:t>
      </w:r>
    </w:p>
    <w:p w:rsidR="0085709A" w:rsidRDefault="0085709A" w:rsidP="0085709A">
      <w:pPr>
        <w:pStyle w:val="TextoNormal"/>
      </w:pPr>
    </w:p>
    <w:p w:rsidR="0085709A" w:rsidRDefault="0085709A" w:rsidP="0085709A">
      <w:pPr>
        <w:pStyle w:val="TextoNormal"/>
      </w:pPr>
      <w:r>
        <w:t>En el presente caso, y según se afirma por la propia parte actora en el escrito de interposición del recurso contencioso-administrativo que ha precedido a esta vía constitucional, la notificación de la resolución administrativa se produjo el día 3 de marzo de 2014, a pesar de que la comunicación previa había tenido entrada en la Subdelegación del Gobierno el día 25 de febrero, esto es, seis días antes. Sin embargo, ese retraso no impidió que los convocantes pudiesen acudir al procedimiento especial para la tutela del derecho de reunión previsto y regulado en los arts. 11 LODR y 122 LJCA y que el órgano jurisdiccional competente, en única instancia, pudiese tramitar entero ese procedimiento y dictar y notificar su Sentencia (desestimatoria) antes de la fecha límite que haría ilusoria esa tutela (art. 24.1 CE): la de la primera de las manifestaciones convocadas; y es que la referida Sentencia se notificó a los convocantes el día 7 de marzo, estando prevista la primera de las concentraciones para el día 10 de marzo a las 10:00 horas. De manera que tres días antes de esa fecha límite los convocantes habían recibido ya la respuesta judicial firme y definitiva que zanjaba la controversia. Con semejante antelación, y desde el restringido punto de vista de este Tribunal, que solamente puede tomar como parámetro de control el art. 21 CE, no puede decirse que el retraso en la notificación de la resolución administrativa haya causado ningún perjuicio al derecho constitucional invocado, pues la resolución gubernativa pudo ser recurrida ante los tribunales competentes (art. 106.1 CE) y éstos pudieron ejercer su función fiscalizadora de acuerdo con la Constitución y las Leyes (arts. 24.1 y 117.3 CE), notificando su resolución (desestimatoria) con suficiente anticipación a la primera de las manifestaciones convocadas. Ello hace que esa ilegalidad —el incumplimiento de ese plazo legal— no haya “impedido el pleno ejercicio” del derecho constitucionalmente protegido, por decirlo en los términos del citado art. 55.1 a) LOTC, sin que sea función de este Tribunal, por lo ya dicho, confirmar o corregir interpretaciones de la legalidad ordinaria efectuadas en el ámbito de sus competencias por los Tribunales ordinarios. En suma, ese retraso no ha vulnerado el art. 21 CE, por lo cual esta primera queja debe ser rechazada.</w:t>
      </w:r>
    </w:p>
    <w:p w:rsidR="0085709A" w:rsidRDefault="0085709A" w:rsidP="0085709A">
      <w:pPr>
        <w:pStyle w:val="TextoNormal"/>
      </w:pPr>
    </w:p>
    <w:p w:rsidR="0085709A" w:rsidRDefault="0085709A" w:rsidP="0085709A">
      <w:pPr>
        <w:pStyle w:val="TextoNormal"/>
      </w:pPr>
      <w:r w:rsidRPr="0085709A">
        <w:rPr>
          <w:rStyle w:val="NumeroAFNegritaCaracter"/>
        </w:rPr>
        <w:t>4</w:t>
      </w:r>
      <w:r>
        <w:t>. La resolución del segundo reproche que la demanda dirige a la prohibición recurrida exige partir de nuestra conocida doctrina sobre el carácter limitado y no absoluto de los derechos fundamentales. En concreto, para el derecho de reunión y manifestación lo recordábamos en la STC 193/2011, de 12 de diciembre, FJ 3, donde dijimos: “[e]n efecto,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recordábamos en la STC 195/2003, de 27 de octubre, (FJ 7), y todas las que allí se citan, han de ser necesarios ‘para conseguir el fin perseguido debiendo atender a la proporcionalidad entre el sacrificio del derecho y la situación en la que se halla aquél a quien se impone … y, en todo caso, respetar su contenido esencial’.”</w:t>
      </w:r>
    </w:p>
    <w:p w:rsidR="0085709A" w:rsidRDefault="0085709A" w:rsidP="0085709A">
      <w:pPr>
        <w:pStyle w:val="TextoNormal"/>
      </w:pPr>
    </w:p>
    <w:p w:rsidR="0085709A" w:rsidRDefault="0085709A" w:rsidP="0085709A">
      <w:pPr>
        <w:pStyle w:val="TextoNormal"/>
      </w:pPr>
      <w:r>
        <w:t xml:space="preserve">Entre esos otros valores constitucionales diferentes de la alteración del orden público con peligro para personas o bienes que pueden justificar una limitación del derecho de manifestación, hemos admitido que la reiteración de manifestaciones pueda, en su caso, justificar algunas limitaciones “adjetivas” de ese derecho, como la prohibición de cortar el tráfico o </w:t>
      </w:r>
      <w:r>
        <w:lastRenderedPageBreak/>
        <w:t>de superar los límites establecidos en las ordenanzas municipales sobre el ruido, pero sin llegar nunca a legitimar su prohibición (STC 193/2011, FFJJ 5 a 7).</w:t>
      </w:r>
    </w:p>
    <w:p w:rsidR="0085709A" w:rsidRDefault="0085709A" w:rsidP="0085709A">
      <w:pPr>
        <w:pStyle w:val="TextoNormal"/>
      </w:pPr>
    </w:p>
    <w:p w:rsidR="0085709A" w:rsidRDefault="0085709A" w:rsidP="0085709A">
      <w:pPr>
        <w:pStyle w:val="TextoNormal"/>
      </w:pPr>
      <w:r>
        <w:t>En efecto, hemos rechazado en esa misma Sentencia y en las previas SSTC 301/2006 y 284/2005, a las que aquélla se remite, que “el mero hecho de ejercer de forma reiterada el derecho de manifestación suponga un abuso o ejercicio extralimitado del mismo, como parece pretender la Delegación del Gobierno y, en este proceso, el Abogado del Estado. Hemos rechazado expresamente razonamientos similares —como que la reiteración en el ejercicio del derecho de reunión supone, en sí misma, una alteración del orden público porque rompe el equilibrio de todos los derechos afectados— porque ‘solamente si la reiteración en el ejercicio del derecho fundamental provoca estos problemas de orden público, como puede suceder si se pretende la ocupación indefinida o excesivamente prolongada en el tiempo de un espacio de una manera que se ponga[n] en peligro los bienes y derechos que a las autoridades corresponde proteger, es admisible la medida de la prohibición, como se admitió en el caso examinado en la STC 66/1995, de 8 de mayo’ (SSTC 284/2005, de 7 de noviembre, FJ 6, y 301/2006, de 23 de octubre, FJ 4)” (STC 193/2011, FJ 5). Y siguiendo esta misma línea de razonamiento, hacíamos inmediatamente la siguiente indicación: “ni la reiteración en el ejercicio del derecho de reunión legitima su prohibición sin la concurrencia de otras razones que la justifique; ni es admisible que la autoridad gubernativa se apoye en el argumento de la habitualidad para entender conseguido el objetivo de publicidad de las protestas, buscado por los manifestantes, negando la utilidad o la necesidad del derecho de manifestación, como argumenta el Abogado del Estado… pues entonces sí se estaría afectando al contenido esencial del derecho de reunión. Lo anterior no obsta, sin embargo, a que la reiteración o habitualidad en el ejercicio del derecho sí pueda configurarse como una variable que, en función de las características concretas del caso, coadyuve a la justificación de la imposición de condicionamientos o limitaciones al ejercicio del derecho de manifestación, tal como adelantábamos unas líneas más arriba” (misma STC 193/2011, FJ 5).</w:t>
      </w:r>
    </w:p>
    <w:p w:rsidR="0085709A" w:rsidRDefault="0085709A" w:rsidP="0085709A">
      <w:pPr>
        <w:pStyle w:val="TextoNormal"/>
      </w:pPr>
    </w:p>
    <w:p w:rsidR="0085709A" w:rsidRDefault="0085709A" w:rsidP="0085709A">
      <w:pPr>
        <w:pStyle w:val="TextoNormal"/>
      </w:pPr>
      <w:r>
        <w:t xml:space="preserve">Pues bien, en este caso, como en aquellos otros anteriores, ni la resolución gubernativa fundamenta en esa “alteración del orden público, con peligro para personas o bienes” (art. 21.2 CE) su decisión de prohibir las manifestaciones, ni del contenido expediente puede deducirse que existan “razones fundadas” (nuevamente, art. 21.2 CE) de que ello pudiera suceder. Tanto es así que, como apunta el Fiscal en sus alegaciones, el Ayuntamiento de Úbeda, en su informe previo a la resolución final de la Subdelegación del Gobierno, señala que desde su punto de vista “no existe inconveniente” para la realización de las manifestaciones convocadas, limitándose a puntualizar tan solo que “el margen horario que realmente utilizan [los manifestantes] para la realización de las marchas es significativamente inferior al solicitado” y que “el ruido que generan [esas marchas] es insoportable”. Frente a ello, la autoridad competente, en lugar de adoptar medidas restrictivas acordes y proporcionadas a esos excesos (las limitaciones “adjetivas” antes apuntadas), pasó a invocar genéricamente la “paz pública” para vincular esa “paz pública” con la libertad ambulatoria de los ciudadanos que no participasen en las marchas convocadas y prohibir, con ese único apoyo, las manifestaciones anunciadas. Sin embargo, y como ya se advirtió en la STC 59/1990, de 29 de marzo, FJ 8, “[n]aturalmente toda reunión en ‘lugar de tránsito’ ha de provocar una restricción al derecho a la libertad de circulación de los ciudadanos no manifestantes, que se verán impedidos de deambular o de circular libremente por el trayecto y durante la celebración de la manifestación; pero esta restricción, conforme a lo preceptuado por el art. 21.2, no legítima por si sola a la Autoridad a prohibir la reunión pacífica, sino que se hace preciso </w:t>
      </w:r>
      <w:r>
        <w:lastRenderedPageBreak/>
        <w:t>que dicha reunión en el lugar de tránsito público altere el orden público y ponga en peligro la integridad de las personas o de los bienes”. Por consiguiente, el motivo en que la resolución recurrida basa la prohibición no es conforme con el art. 21 CE. El carácter “temporal” o transitorio de la manifestación como elemento configurador de la figura que tantas veces ha destacado la doctrina de este Tribunal (por ejemplo en la STC 66/1995, FJ 3, citada en la propia resolución recurrida) no se opone a la reiteración de manifestaciones en días sucesivos, como parece entender esa resolución administrativa.</w:t>
      </w:r>
    </w:p>
    <w:p w:rsidR="0085709A" w:rsidRDefault="0085709A" w:rsidP="0085709A">
      <w:pPr>
        <w:pStyle w:val="TextoNormal"/>
      </w:pPr>
    </w:p>
    <w:p w:rsidR="0085709A" w:rsidRDefault="0085709A" w:rsidP="0085709A">
      <w:pPr>
        <w:pStyle w:val="TextoNormal"/>
      </w:pPr>
      <w:r>
        <w:t xml:space="preserve">Esto sentado, se produce aquí —como antes se avanzó— una novedad respecto a los citados precedentes (que es la que justifica el pronunciamiento sobre el fondo; lo anterior no pasa de ser un recordatorio de nuestra doctrina). Esa novedad es que tanto la resolución de la Subdelegación del Gobierno en Jaén, objeto de este recurso de amparo, como el escrito de alegaciones presentado por el Abogado del Estado ante este Tribunal en defensa de aquélla, argumentan que no es tanto que esa reiteración constituya </w:t>
      </w:r>
      <w:r w:rsidRPr="0085709A">
        <w:rPr>
          <w:i/>
        </w:rPr>
        <w:t>per se</w:t>
      </w:r>
      <w:r>
        <w:t xml:space="preserve"> una alteración del orden público, sino que lo que verdaderamente produce esa repetición es que las nuevas manifestaciones carezcan de utilidad, pues —se dice— nada añaden al mensaje y a la reivindicación de los manifestantes, que ya habría tenido difusión y notoriedad debido a las anteriores marchas convocadas y celebradas con el mismo objeto.</w:t>
      </w:r>
    </w:p>
    <w:p w:rsidR="0085709A" w:rsidRDefault="0085709A" w:rsidP="0085709A">
      <w:pPr>
        <w:pStyle w:val="TextoNormal"/>
      </w:pPr>
    </w:p>
    <w:p w:rsidR="0085709A" w:rsidRDefault="0085709A" w:rsidP="0085709A">
      <w:pPr>
        <w:pStyle w:val="TextoNormal"/>
      </w:pPr>
      <w:r>
        <w:t xml:space="preserve">El razonamiento no puede ser admitido. Ni la preceptiva neutralidad de los poderes públicos ante el ejercicio de los derechos fundamentales tolera controles sobre el contenido del mensaje a difundir, salvo que el mismo infrinja la legalidad (STC 163/2006, de 22 de mayo, FJ 2), ni el hecho de que la manifestación sea una técnica instrumental puesta al servicio de la exposición de ideas permite sostener que, lanzado el mensaje, el derecho de manifestarse para reivindicarlo pueda quedar consumido o agotado. Ni la manifestación persigue solamente ese propósito, pues sirve también, entre otros, para el intercambio de opiniones entre los manifestantes y, sobre todo, como cauce para la participación democrática de los ciudadanos en la vida pública [por todas, STC 90/2006, de 27 de marzo, FJ 2 a)], lo que vincula ese derecho con el principio democrático y el valor superior “pluralismo político” proclamados en el art. 1.1 CE, ni, tomando en consideración solamente esa finalidad </w:t>
      </w:r>
      <w:r w:rsidRPr="0085709A">
        <w:rPr>
          <w:i/>
        </w:rPr>
        <w:t>ad extra</w:t>
      </w:r>
      <w:r>
        <w:t>, el razonamiento puede justificar la prohibición. La razón es bien simple: no estando limitada la libertad de expresión por este motivo [</w:t>
      </w:r>
      <w:r w:rsidRPr="0085709A">
        <w:rPr>
          <w:i/>
        </w:rPr>
        <w:t>cfr</w:t>
      </w:r>
      <w:r>
        <w:t>. art. 20.1 a) CE], no puede estarlo tampoco el vehículo que, según el razonamiento de la Administración, se habría utilizado solamente para amplificar los pensamientos, ideas y opiniones que los asistentes quieren expresar y difundir.</w:t>
      </w:r>
    </w:p>
    <w:p w:rsidR="0085709A" w:rsidRDefault="0085709A" w:rsidP="0085709A">
      <w:pPr>
        <w:pStyle w:val="TextoNormal"/>
      </w:pPr>
    </w:p>
    <w:p w:rsidR="0085709A" w:rsidRDefault="0085709A" w:rsidP="0085709A">
      <w:pPr>
        <w:pStyle w:val="TextoNormal"/>
      </w:pPr>
      <w:r w:rsidRPr="0085709A">
        <w:rPr>
          <w:rStyle w:val="NumeroAFNegritaCaracter"/>
        </w:rPr>
        <w:t>5</w:t>
      </w:r>
      <w:r>
        <w:t>. Las consideraciones anteriores obligan a concluir que el fundamento de la prohibición acordada por la Subdelegación del Gobierno en Jaén no ha respetado el contenido esencial del derecho garantizado en el art. 21 CE, ni los límites expresamente previstos en ese artículo o que puedan derivarse de otros principios y valores del sistema constitucional. Lo cual debe conducir a declarar la nulidad tanto de la resolución gubernativa que acordó la prohibición como de la Sentencia judicial que no reparó esa lesión constitucional ocasionada en vía administrativa.</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la Confederación Sindical de Comisiones Obreras de Andalucía y, en su virtud:</w:t>
      </w:r>
    </w:p>
    <w:p w:rsidR="0085709A" w:rsidRDefault="0085709A" w:rsidP="0085709A">
      <w:pPr>
        <w:pStyle w:val="TextoNormal"/>
      </w:pPr>
    </w:p>
    <w:p w:rsidR="0085709A" w:rsidRDefault="0085709A" w:rsidP="0085709A">
      <w:pPr>
        <w:pStyle w:val="TextoNormal"/>
      </w:pPr>
      <w:r>
        <w:t>1º Declarar que ha sido vulnerado el derecho fundamental de reunión (art. 21 CE) de la organización recurrente en amparo.</w:t>
      </w:r>
    </w:p>
    <w:p w:rsidR="0085709A" w:rsidRDefault="0085709A" w:rsidP="0085709A">
      <w:pPr>
        <w:pStyle w:val="TextoNormal"/>
      </w:pPr>
    </w:p>
    <w:p w:rsidR="0085709A" w:rsidRDefault="0085709A" w:rsidP="0085709A">
      <w:pPr>
        <w:pStyle w:val="TextoNormal"/>
      </w:pPr>
      <w:r>
        <w:t>2º Declarar la nulidad de la resolución de la Subdelegación del Gobierno en Jaén de 27 de febrero de 2014 y de la Sentencia dictada por la Sala de lo Contencioso-Administrativo del Tribunal Superior de Justicia de Andalucía con sede en Granada en fecha 7 de mayo de 2014 en el procedimiento especial para la tutela del derecho de reunión núm. 189-2014.</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8" w:name="SENTENCIA_2015_25"/>
      <w:r>
        <w:lastRenderedPageBreak/>
        <w:t>SENTENCIA 25/2015, de 19 de febrero de 2015</w:t>
      </w:r>
    </w:p>
    <w:bookmarkEnd w:id="28"/>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ECLI:ES:TC:2015:25</w:t>
      </w:r>
    </w:p>
    <w:p w:rsidR="0085709A" w:rsidRDefault="0085709A" w:rsidP="0085709A">
      <w:pPr>
        <w:pStyle w:val="TextoNormalCentrado"/>
      </w:pPr>
    </w:p>
    <w:p w:rsidR="0085709A" w:rsidRDefault="0085709A" w:rsidP="0085709A">
      <w:pPr>
        <w:pStyle w:val="SntesisDescriptiva"/>
      </w:pPr>
      <w:r>
        <w:t>Conflicto positivo de competencia 3321-2008. Planteado por el Gobierno de la Generalitat de Cataluña en relación con diversos preceptos del Real Decreto 1721/2007, de 21 de diciembre, por el que se establece el régimen de becas y ayudas al estudio personalizadas.</w:t>
      </w:r>
    </w:p>
    <w:p w:rsidR="0085709A" w:rsidRDefault="0085709A" w:rsidP="0085709A">
      <w:pPr>
        <w:pStyle w:val="SntesisDescriptiva"/>
      </w:pPr>
    </w:p>
    <w:p w:rsidR="0085709A" w:rsidRDefault="0085709A" w:rsidP="0085709A">
      <w:pPr>
        <w:pStyle w:val="SntesisAnaltica"/>
      </w:pPr>
      <w:r>
        <w:t>Competencias en materia de educación: nulidad del precepto reglamentario estatal que establece el carácter no territorializable de las becas de movilidad. Votos particulares.</w:t>
      </w:r>
    </w:p>
    <w:p w:rsidR="0085709A" w:rsidRDefault="0085709A" w:rsidP="0085709A">
      <w:pPr>
        <w:pStyle w:val="SntesisAnaltica"/>
      </w:pPr>
    </w:p>
    <w:p w:rsidR="0085709A" w:rsidRDefault="0085709A" w:rsidP="0085709A">
      <w:pPr>
        <w:pStyle w:val="Extracto"/>
      </w:pPr>
      <w:r>
        <w:t>1.</w:t>
      </w:r>
      <w:r>
        <w:tab/>
        <w:t>El carácter no territorializable de las becas y ayudas al estudio destinadas a cursar estudios en Comunidad Autónoma distinta a la del domicilio familiar del estudiante previstas en el art. 1.4 del Real Decreto 1721/2007, es contrario al orden constitucional de distribución de competencias entre el Estado y la Generalitat de Cataluña, correspondiendo a ésta la titularidad y el ejercicio de las competencias de gestión de tales becas [FJ 5].</w:t>
      </w:r>
    </w:p>
    <w:p w:rsidR="0085709A" w:rsidRDefault="0085709A" w:rsidP="0085709A">
      <w:pPr>
        <w:pStyle w:val="Extracto"/>
      </w:pPr>
    </w:p>
    <w:p w:rsidR="0085709A" w:rsidRDefault="0085709A" w:rsidP="0085709A">
      <w:pPr>
        <w:pStyle w:val="Extracto"/>
      </w:pPr>
      <w:r>
        <w:t>2.</w:t>
      </w:r>
      <w:r>
        <w:tab/>
        <w:t>Las subvenciones no pueden centralizarse con el argumento de que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[FJ 4].</w:t>
      </w:r>
    </w:p>
    <w:p w:rsidR="0085709A" w:rsidRDefault="0085709A" w:rsidP="0085709A">
      <w:pPr>
        <w:pStyle w:val="Extracto"/>
      </w:pPr>
    </w:p>
    <w:p w:rsidR="0085709A" w:rsidRDefault="0085709A" w:rsidP="0085709A">
      <w:pPr>
        <w:pStyle w:val="Extracto"/>
      </w:pPr>
      <w:r>
        <w:t>3.</w:t>
      </w:r>
      <w:r>
        <w:tab/>
        <w:t>La centralización de la funciones de ejecución sólo puede tener lugar en supuestos excepcionales que aparezcan plenamente justificados, ya que la regla ha de ser que las Comunidades Autónomas competentes gestionen las subvenciones en materias en las que, como la educación, ostentan competencias de desarrollo normativo y ejecución de las bases estatales, incluso cuando tal ejecución pueda tener un alcance supraterritorial, pues es responsabilidad del Estado en estos casos fijar los puntos de conexión que permitan la ejecución autonómica de las medidas [FJ 4].</w:t>
      </w:r>
    </w:p>
    <w:p w:rsidR="0085709A" w:rsidRDefault="0085709A" w:rsidP="0085709A">
      <w:pPr>
        <w:pStyle w:val="Extracto"/>
      </w:pPr>
    </w:p>
    <w:p w:rsidR="0085709A" w:rsidRDefault="0085709A" w:rsidP="0085709A">
      <w:pPr>
        <w:pStyle w:val="Extracto"/>
      </w:pPr>
      <w:r>
        <w:t>4.</w:t>
      </w:r>
      <w:r>
        <w:tab/>
        <w:t>La centralización de tramitación de las becas solo es posible cuando el Estado ostente algún título competencial sobre la materia y en las circunstancias ya señaladas en nuestra doctrina anterior: que resulte imprescindible para asegurar la efectividad de las medidas dentro de la ordenación básica del sector y para garantizar las mismas posibilidades de obtención por parte de sus potenciales destinatarios en todo el territorio nacional, evitando que se sobrepase la cuantía global de los fondos estatales destinados al sector (STC 13/1992) [FJ 3].</w:t>
      </w:r>
    </w:p>
    <w:p w:rsidR="0085709A" w:rsidRDefault="0085709A" w:rsidP="0085709A">
      <w:pPr>
        <w:pStyle w:val="Extracto"/>
      </w:pPr>
    </w:p>
    <w:p w:rsidR="0085709A" w:rsidRDefault="0085709A" w:rsidP="0085709A">
      <w:pPr>
        <w:pStyle w:val="Extracto"/>
      </w:pPr>
      <w:r>
        <w:t>5.</w:t>
      </w:r>
      <w:r>
        <w:tab/>
        <w:t>El Estado no dispone de un poder general para subvenciones (gasto público), entendido como poder libre o desvinculado del orden competencial (STC 13/1992)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conflicto positivo de competencia núm. 3321-2008 interpuesto por el Gobierno de la Generalitat de Cataluña contra los arts. 1.4, 41.4 y disposición adicional cuarta del Real Decreto 1721/2007, de 21 de diciembre, por el que se establece el régimen de becas y ayudas al estudio personalizadas. Ha formulado alegaciones el Abogado del Estado.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6 de mayo de 2008, la Letrada de la Generalitat de Cataluña, en la representación que legalmente ostenta, promueve conflicto positivo de competencia contra los arts. 1.4, 41.4 y la disposición adicional cuarta del Real Decreto 1721/2007, de 21 de diciembre, por el que se establece el régimen de becas y ayudas al estudio personalizadas.</w:t>
      </w:r>
    </w:p>
    <w:p w:rsidR="0085709A" w:rsidRDefault="0085709A" w:rsidP="0085709A">
      <w:pPr>
        <w:pStyle w:val="TextoNormal"/>
      </w:pPr>
    </w:p>
    <w:p w:rsidR="0085709A" w:rsidRDefault="0085709A" w:rsidP="0085709A">
      <w:pPr>
        <w:pStyle w:val="TextoNormal"/>
      </w:pPr>
      <w:r>
        <w:t>El conflicto se fundamenta en los motivos que, resumidamente, se exponen a continuación:</w:t>
      </w:r>
    </w:p>
    <w:p w:rsidR="0085709A" w:rsidRDefault="0085709A" w:rsidP="0085709A">
      <w:pPr>
        <w:pStyle w:val="TextoNormal"/>
      </w:pPr>
    </w:p>
    <w:p w:rsidR="0085709A" w:rsidRDefault="0085709A" w:rsidP="0085709A">
      <w:pPr>
        <w:pStyle w:val="TextoNormal"/>
      </w:pPr>
      <w:r>
        <w:t>La Letrada de la Generalitat de Cataluña, tras hacer referencia al cumplimiento de los trámites preceptivos para el planteamiento del conflicto, comienza señalando que va a limitarse a controvertir las vulneraciones materiales específicas que, en particular, derivan de la norma impugnada. Aludiendo al preámbulo del Real Decreto 1721/2007 señala que el mismo hace mención al artículo 83 de la Ley Orgánica 2/2006, de 3 de mayo, de educación, y al artículo 45 de la Ley Orgánica 6/2001, de 21 de diciembre, de universidades, en la redacción dada por la Ley Orgánica 4/2007, de 12 de abril, los cuales encomiendan al Estado el establecimiento, con cargo a sus presupuestos generales, de un sistema general de becas y ayudas al estudio que aseguren el ejercicio del derecho a la educación. De acuerdo con las citadas Leyes Orgánicas, correspondería a la norma estatal regular, con carácter básico, la igualdad en el acceso a las mencionadas becas y ayudas sin detrimento de las competencias normativas y de ejecución de las Comunidades Autónomas.</w:t>
      </w:r>
    </w:p>
    <w:p w:rsidR="0085709A" w:rsidRDefault="0085709A" w:rsidP="0085709A">
      <w:pPr>
        <w:pStyle w:val="TextoNormal"/>
      </w:pPr>
    </w:p>
    <w:p w:rsidR="0085709A" w:rsidRDefault="0085709A" w:rsidP="0085709A">
      <w:pPr>
        <w:pStyle w:val="TextoNormal"/>
      </w:pPr>
      <w:r>
        <w:t xml:space="preserve">El Real Decreto 1721/2007 tendría así un doble objetivo: por una parte establecer un sistema de becas y ayudas al estudio que garantice la igualdad en todo el territorio, y, por </w:t>
      </w:r>
      <w:r>
        <w:lastRenderedPageBreak/>
        <w:t>otro, dar cumplimiento a la jurisprudencia del Tribunal Constitucional dictada en las SSTC 188/2001, de 20 de septiembre, y 212/2005, de 21 de julio. Al respecto alude al tiempo transcurrido desde la primera de las citadas sin que se haya traspasado la gestión a las Comunidades Autónomas sino, simplemente, ofrecido un convenio de gestión sin traspaso de medios, hasta que se modificara la normativa para la efectiva adecuación a la Constitución y a los respectivos Estatutos de Autonomía. Pese a dictar una nueva normativa, la Letrada de la Generalitat argumenta que el Estado se sigue reservando para sí una buena parte de la gestión de las becas, las de movilidad y las de la Universidad Nacional de Educación a Distancia (UNED), y respecto a las que prevé que puedan ser de gestión autonómica se reserva también toda la gestión, hasta que se produzca un eventual traspaso, pese a que dicho traspaso resulta posible, pues ya se realizó para la Comunidad Autónoma del País Vasco en los términos de los Reales Decretos 3195/1980, de 30 de diciembre, y 1014/1985, de 25 de mayo.</w:t>
      </w:r>
    </w:p>
    <w:p w:rsidR="0085709A" w:rsidRDefault="0085709A" w:rsidP="0085709A">
      <w:pPr>
        <w:pStyle w:val="TextoNormal"/>
      </w:pPr>
    </w:p>
    <w:p w:rsidR="0085709A" w:rsidRDefault="0085709A" w:rsidP="0085709A">
      <w:pPr>
        <w:pStyle w:val="TextoNormal"/>
      </w:pPr>
      <w:r>
        <w:t>Se refiere a continuación la Letrada de la Generalitat de Cataluña al marco competencial en el que encuadra el conflicto. Indica que la disposición final segunda del Real Decreto 1721/2007 determina el carácter básico de la regulación que contiene, y cita expresamente como título competencial habilitante del mismo el contenido en el art. 149.1.30 CE. En la misma disposición final se menciona que el Real Decreto es también desarrollo de lo dispuesto en el art. 45 de la Ley Orgánica 6/2001, de universidades, en la redacción dada por la Ley Orgánica 4/2007, de 12 de abril, y del art. 83 de la Ley Orgánica 2/2006, de 3 de mayo, de educación. Para la Letrada autonómica los preceptos objeto de conflicto no resultan amparados por dicho título competencial y normas orgánicas e invaden las competencias autonómicas en materia de educación y de universidades que, en ambos casos, suponen el reconocimiento de competencias en relación con el régimen de becas y ayudas estatales [arts. 131.3 d) y 172.1 g) del Estatuto de Autonomía de Cataluña: EAC] en coherencia con la jurisprudencia constitucional en la materia (SSTC 188/2001 y 212/2005), en las que se afirma que la competencia de la Generalitat en materia de educación implica necesariamente la gestión autonómica de las becas y ayudas al estudio. Extremos todos ellos que han de ponerse en relación tanto con el art. 114 EAC, en relación con la potestad de fomento, así como con los arts. 111 EAC, respecto al concepto de competencia compartida, y 115 EAC, acerca del alcance territorial de las competencias autonómicas.</w:t>
      </w:r>
    </w:p>
    <w:p w:rsidR="0085709A" w:rsidRDefault="0085709A" w:rsidP="0085709A">
      <w:pPr>
        <w:pStyle w:val="TextoNormal"/>
      </w:pPr>
    </w:p>
    <w:p w:rsidR="0085709A" w:rsidRDefault="0085709A" w:rsidP="0085709A">
      <w:pPr>
        <w:pStyle w:val="TextoNormal"/>
      </w:pPr>
      <w:r>
        <w:t>Concretamente, la vulneración competencial se residencia en el art. 1.4 del Real Decreto 1721/2007 donde se califican como no territorializadas las llamadas becas de movilidad, destinadas a cursar estudios en comunidad autónoma distinta a la del domicilio familiar del estudiante, y las destinadas a alumnos de la Universidad Nacional de Educación a Distancia. Este último supuesto se reitera en el artículo 41.4 del Real Decreto. En estos preceptos la regulación, lejos de buscar una técnica o punto de conexión que permita la territorialización de las ayudas, opta por la gestión estatal. Por otra parte, la disposición adicional cuarta del mismo Real Decreto prevé que, en tanto no se apruebe el correspondiente traspaso, el Estado retiene la gestión de todas las becas, tanto las territorializadas como las no territorializadas, lo cual vulnera también las competencias autonómicas mencionadas.</w:t>
      </w:r>
    </w:p>
    <w:p w:rsidR="0085709A" w:rsidRDefault="0085709A" w:rsidP="0085709A">
      <w:pPr>
        <w:pStyle w:val="TextoNormal"/>
      </w:pPr>
    </w:p>
    <w:p w:rsidR="0085709A" w:rsidRDefault="0085709A" w:rsidP="0085709A">
      <w:pPr>
        <w:pStyle w:val="TextoNormal"/>
      </w:pPr>
      <w:r>
        <w:t xml:space="preserve">Examinando ya la primera de las cuestiones, la representación procesal de la Generalitat señala que la reserva estatal de la gestión de las becas de movilidad incumple la doctrina de la STC 188/2001. La no territorialización de estas becas de movilidad, es decir, de las becas de los estudiantes con domicilio familiar en una Comunidad Autónoma que van a estudiar </w:t>
      </w:r>
      <w:r>
        <w:lastRenderedPageBreak/>
        <w:t>a otra, distorsiona totalmente la asunción de la gestión de las becas por las Comunidades Autónomas, y mantiene en la Administración del Estado una competencia ejecutiva que no le ha sido reconocida, pues, de acuerdo con la STC 188/2001, la competencia estatal para establecer la normativa de las mismas debe posibilitar su territorialización, no reservarla al Estado. Añade la Letrada de la Generalitat de Cataluña que los mecanismos de igualdad socioeconómica previstos en el propio Real Decreto 1721/2007 están en contradicción con la reserva estatal de las becas de movilidad pues se diseña un sistema de intervalos, en el que existe un nivel mínimo a financiar por el Estado y otro cofinanciado por la Comunidad Autónoma, tal como establece el Real Decreto 675/2008, de 28 de abril, por el que se establecen los umbrales de renta y patrimonio familiar y las cuantías de las becas y ayudas al estudio del Ministerio de Educación, Política Social y Deporte para el curso 2008-2009. Añade que las becas se otorgan en función de los costes que genera la educación para los estudiantes, así como las circunstancias socioeconómicas de su unidad familiar, y se conceden atendiendo el aprovechamiento académico y los niveles de renta y patrimonio con que cuente la unidad familiar, por lo que, teniendo en cuenta estos parámetros, las becas son fácilmente territorializables tomando como punto de conexión el domicilio familiar y la vecindad administrativa, y estableciendo por parte del Estado los importes a percibir.</w:t>
      </w:r>
    </w:p>
    <w:p w:rsidR="0085709A" w:rsidRDefault="0085709A" w:rsidP="0085709A">
      <w:pPr>
        <w:pStyle w:val="TextoNormal"/>
      </w:pPr>
    </w:p>
    <w:p w:rsidR="0085709A" w:rsidRDefault="0085709A" w:rsidP="0085709A">
      <w:pPr>
        <w:pStyle w:val="TextoNormal"/>
      </w:pPr>
      <w:r>
        <w:t>De hecho, de acuerdo con lo anterior, el punto de conexión fijado para determinar la Administración competente para gestionar las becas es el domicilio familiar, art. 41.3 del Real Decreto 1721/2007, lo cual está en concordancia con la regulación de los requisitos económicos para la obtención de las becas, referidos a la unidad familiar. Excepcionar a las becas de movilidad del mencionado punto de conexión sólo sería posible si la norma estatal previera otro punto de conexión que también hiciese posible su territorialización, sin que sea admisible el argumento utilizado en la contestación al requerimiento de incompetencia en el sentido de que la gestión autonómica exige la concurrencia de un doble punto de conexión, la vecindad y el lugar en el que se cursan los estudios. Alega la Letrada autonómica que cuando un alumno cursa estudios en Comunidad Autónoma distinta de su domicilio familiar, el punto de conexión, la vinculación directa con el territorio, sigue existiendo, el Estado puede optar por escoger uno de los puntos de conexión, ya sea la del domicilio, ya sea la Comunidad Autónoma donde este situada la universidad de destino, pero excede de las competencias normativas que tiene constitucionalmente atribuidas en esta materia, la gestión directa de esas ayudas.</w:t>
      </w:r>
    </w:p>
    <w:p w:rsidR="0085709A" w:rsidRDefault="0085709A" w:rsidP="0085709A">
      <w:pPr>
        <w:pStyle w:val="TextoNormal"/>
      </w:pPr>
    </w:p>
    <w:p w:rsidR="0085709A" w:rsidRDefault="0085709A" w:rsidP="0085709A">
      <w:pPr>
        <w:pStyle w:val="TextoNormal"/>
      </w:pPr>
      <w:r>
        <w:t>Por otra parte estima que la movilidad estudiantil es un objetivo de todo el sistema educativo, y también de las Comunidades Autónomas, por lo que los argumentos para no establecer un punto de conexión no pueden ser admitidos, pues, además, alega que el País Vasco viene gestionando las becas de movilidad desde el año 1985. Finalmente alude a que la doctrina constitucional ha admitido como acordes al bloque de la constitucionalidad los efectos supraterritoriales de los actos autonómicos, sin los cuales se vacían completamente las competencias autonómicas, tal como se argumentaba en el Voto particular a la STC 173/2005, de 23 de junio, sobre seguros privados.</w:t>
      </w:r>
    </w:p>
    <w:p w:rsidR="0085709A" w:rsidRDefault="0085709A" w:rsidP="0085709A">
      <w:pPr>
        <w:pStyle w:val="TextoNormal"/>
      </w:pPr>
    </w:p>
    <w:p w:rsidR="0085709A" w:rsidRDefault="0085709A" w:rsidP="0085709A">
      <w:pPr>
        <w:pStyle w:val="TextoNormal"/>
      </w:pPr>
      <w:r>
        <w:t xml:space="preserve">Por todo lo anterior, la Letrada de la Generalitat de Cataluña considera que el Estado está reasumiendo competencias que no le competen cuando califica como no territorializadas las becas destinadas a cursar estudios en una Comunidad Autónoma distinta a la del domicilio familiar del estudiante, cuando precisamente es el criterio del domicilio familiar el que determina el punto de conexión y las medidas tendentes a la igualdad social establecidas en la </w:t>
      </w:r>
      <w:r>
        <w:lastRenderedPageBreak/>
        <w:t>propia norma. Aun así, la inconstitucionalidad no existiría si la norma estatal estableciese otro punto de conexión y evitara centralizar la gestión de las becas.</w:t>
      </w:r>
    </w:p>
    <w:p w:rsidR="0085709A" w:rsidRDefault="0085709A" w:rsidP="0085709A">
      <w:pPr>
        <w:pStyle w:val="TextoNormal"/>
      </w:pPr>
    </w:p>
    <w:p w:rsidR="0085709A" w:rsidRDefault="0085709A" w:rsidP="0085709A">
      <w:pPr>
        <w:pStyle w:val="TextoNormal"/>
      </w:pPr>
      <w:r>
        <w:t>En cuanto a la segunda de las cuestiones controvertidas, la reserva estatal de la gestión de becas a estudiantes de la UNED que deriva de los artículos 1.4 y 41.4, en las que se aplica como punto de conexión el de la universidad en la que se siguen los estudios, se considera inconstitucional por desconocer el carácter territorial de las Comunidades Autónomas y la necesidad de la vinculación del estudiante con la misma. Este punto de conexión asigna la gestión autonómica de unas becas, las de la Universitat Oberta de Catalunya (de competencia de la Generalitat de Cataluña) y niega la gestión de otras, las de la UNED, al margen de la vinculación del estudiante con la Comunidad Autónoma. Por ello se alega que, dichos arts. 1.4 y 41.4 son contrarios a los arts. 131.3 d) y 172.1 g) del Estatuto de Autonomía de Cataluña en relación con el alcance territorial y efectos extraterritoriales de las actuaciones de la Generalitat previstos en el art. 115 EAC, al impedirle gestionar las becas de los estudiantes de su ámbito territorial en universidades no presenciales, realizando una exclusión singular de la UNED en la propia norma, lo cual demuestra la finalidad del establecimiento de un punto de conexión que claramente no es efectivo para territorializar las ayudas.</w:t>
      </w:r>
    </w:p>
    <w:p w:rsidR="0085709A" w:rsidRDefault="0085709A" w:rsidP="0085709A">
      <w:pPr>
        <w:pStyle w:val="TextoNormal"/>
      </w:pPr>
    </w:p>
    <w:p w:rsidR="0085709A" w:rsidRDefault="0085709A" w:rsidP="0085709A">
      <w:pPr>
        <w:pStyle w:val="TextoNormal"/>
      </w:pPr>
      <w:r>
        <w:t>Finalmente la disposición adicional cuarta se impugna por diferir el traspaso del pleno ejercicio de las competencias a cada Comunidad Autónoma a partir de la fecha del acuerdo de la comisión mixta por el que se apruebe el traspaso de las funciones, medios y servicios necesarios para la asunción de estas competencias, cuando tal traspaso no resultaría ser imprescindible para que las Comunidades Autónomas puedan asumir las funciones relacionadas con la gestión de las becas, máxime en un caso como el de Cataluña, en el que la Generalitat gestiona las becas y ayudas al estudio en los términos del oportuno convenio que viene suscribiéndose desde el curso académico 2005-2006. Dicha previsión se estima contraria a la doctrina de la STC 158/2004, de 21 de septiembre, pues, aunque los mencionados convenios no pueden sustituir ni obviar al necesario traspaso de la gestión de las becas, su existencia demuestra que no es imprescindible el traspaso para que las Comunidades Autónomas puedan ya realizar las mencionadas funciones ejecutivas, y, por lo tanto, no hay argumentos para que el Estado retenga la mencionada gestión, tal y como establece la disposición adicional cuarta, incurriendo con ello en inconstitucionalidad. De hecho, conforme a la disposición final primera del ya aludido Real Decreto 678/2008, el Estado excepcionalmente accede a convenir con las Comunidades Autónomas la gestión de una parte de las ayudas siempre y cuando haya cofinanciación autonómica.</w:t>
      </w:r>
    </w:p>
    <w:p w:rsidR="0085709A" w:rsidRDefault="0085709A" w:rsidP="0085709A">
      <w:pPr>
        <w:pStyle w:val="TextoNormal"/>
      </w:pPr>
    </w:p>
    <w:p w:rsidR="0085709A" w:rsidRDefault="0085709A" w:rsidP="0085709A">
      <w:pPr>
        <w:pStyle w:val="TextoNormal"/>
      </w:pPr>
      <w:r>
        <w:t>Por todo ello se solicita de este Tribunal que dicte Sentencia por la que se declare que la competencia controvertida corresponde a la Generalitat de Cataluña y que los referidos preceptos vulneran el orden constitucional de competencias y no son de aplicación en Cataluña.</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Por providencia del Pleno del Tribunal Constitucional de 22 de mayo de 2008 se acordó admitir a trámite el conflicto positivo de competencia en relación con los arts. 1.4, 41.4 y disposición adicional cuarta del Real Decreto 1721/2007, de 21 de diciembre, por el que se establece el régimen de becas y ayudas al estudio personalizadas; atribuir a la Sala Segunda, a la que por turno objetivo le ha correspondido, el conocimiento del presente conflicto, y dar traslado de la demanda y documentos presentados al Gobierno, por conducto de su Presidente, para que en el plazo de veinte días y, por medio de la representación procesal que determina el art. 82.2 de la Ley Orgánica del Tribunal Constitucional (LOTC), </w:t>
      </w:r>
      <w:r>
        <w:lastRenderedPageBreak/>
        <w:t>aporte cuantos documentos y alegaciones considere convenientes. Igualmente se acordó comunicar la incoación del conflicto a la Sala Tercera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Generalitat de Cataluña”.</w:t>
      </w:r>
    </w:p>
    <w:p w:rsidR="0085709A" w:rsidRDefault="0085709A" w:rsidP="0085709A">
      <w:pPr>
        <w:pStyle w:val="TextoNormal"/>
      </w:pPr>
    </w:p>
    <w:p w:rsidR="0085709A" w:rsidRDefault="0085709A" w:rsidP="0085709A">
      <w:pPr>
        <w:pStyle w:val="TextoNormal"/>
      </w:pPr>
      <w:r w:rsidRPr="0085709A">
        <w:rPr>
          <w:rStyle w:val="NumeroAFNegritaCaracter"/>
        </w:rPr>
        <w:t>3</w:t>
      </w:r>
      <w:r>
        <w:t>. El Abogado del Estado, en la representación que legalmente ostenta, se personó en el proceso por escrito registrado el día 29 de mayo de 2008 solicitando una prórroga del plazo inicialmente concedido para la formulación de alegaciones, prórroga que le fue concedida por providencia de la Sala Segunda de 30 de mayo de 2008. Finalmente el Abogado del Estado cumplimentó el trámite de alegaciones el día 9 de julio de 2008 instando la desestimación del conflicto conforme a los siguientes argumentos.</w:t>
      </w:r>
    </w:p>
    <w:p w:rsidR="0085709A" w:rsidRDefault="0085709A" w:rsidP="0085709A">
      <w:pPr>
        <w:pStyle w:val="TextoNormal"/>
      </w:pPr>
    </w:p>
    <w:p w:rsidR="0085709A" w:rsidRDefault="0085709A" w:rsidP="0085709A">
      <w:pPr>
        <w:pStyle w:val="TextoNormal"/>
      </w:pPr>
      <w:r>
        <w:t>El representante del Gobierno alude, en primer lugar, al objeto del presente conflicto y al contenido del Real Decreto 1721/2007, para examinar a continuación la doctrina constitucional en la materia citando las SSTC 188/2001, de 20 de septiembre, y 212/2005, de 21 de julio, e indicando que el título competencial relevante para resolver este conflicto es el del art. 149.1.30 CE.</w:t>
      </w:r>
    </w:p>
    <w:p w:rsidR="0085709A" w:rsidRDefault="0085709A" w:rsidP="0085709A">
      <w:pPr>
        <w:pStyle w:val="TextoNormal"/>
      </w:pPr>
    </w:p>
    <w:p w:rsidR="0085709A" w:rsidRDefault="0085709A" w:rsidP="0085709A">
      <w:pPr>
        <w:pStyle w:val="TextoNormal"/>
      </w:pPr>
      <w:r>
        <w:t>Examina a continuación los argumentos de la demanda en relación con cada una de las cuestiones impugnadas. En cuanto a las becas de movilidad señala que la demanda pretende fundar la inconstitucionalidad de esta previsión en los siguientes argumentos: el Estado podría haber designado diversos puntos de conexión que respetaran la competencia ejecutiva de las Comunidades Autónomas —ya sea el lugar de residencia o de destino del estudiante—, sin que exista fundamento constitucional para centralizar la gestión; en segundo lugar, se aduce que la centralización perjudicará a los becarios que no podrán beneficiarse del “intervalo autonómico” cofinanciado entre el Estado y las Comunidades Autónomas y, por último, señala que la imposibilidad de territorializar estas becas resulta contestada por el caso del País Vasco, en el que, según la demanda, la Comunidad habría asumido las facultades ejecutivas sobre las ayudas y becas de movilidad.</w:t>
      </w:r>
    </w:p>
    <w:p w:rsidR="0085709A" w:rsidRDefault="0085709A" w:rsidP="0085709A">
      <w:pPr>
        <w:pStyle w:val="TextoNormal"/>
      </w:pPr>
    </w:p>
    <w:p w:rsidR="0085709A" w:rsidRDefault="0085709A" w:rsidP="0085709A">
      <w:pPr>
        <w:pStyle w:val="TextoNormal"/>
      </w:pPr>
      <w:r>
        <w:t>Respecto a la primera de ellas, el Abogado del Estado razona, por remisión a la contestación al requerimiento de incompetencia, que las becas de movilidad producen efectos extraterritoriales, en cuanto al menos conciernen a dos Comunidades Autónomas, aquella en la que reside habitualmente el estudiante y aquella en que está ubicada el centro docente de destino. La supraterritorialidad de estas becas se reconoce implícitamente en la demanda, que se centra en discutir que aquel carácter pueda atraer la competencia ejecutiva estatal. La contestación al requerimiento considera que es constitucionalmente legítima la asunción por el Estado de la competencia controvertida en cuanto resulta necesario “recurrir a un ente con capacidad para integrar intereses contrapuestos de diversas Comunidades Autónomas”. Eso hace que “la necesidad de la gestión centralizada” de las becas de movilidad aparezca “razonablemente justificada” y se deduzca “sin esfuerzo de la naturaleza y contenido de la medida de fomento” en cuestión. Así, la gestión centralizada de tales becas se hace imprescindible “para asegurar su plena efectividad dentro de la ordenación básica del sector”, “para garantizar iguales posibilidades de obtención y disfrute por parte de sus potenciales destinatarios en todo el territorio nacional”, y para conciliar la diversidad de intereses existentes, dada la supraterritorialidad de esta modalidad de becas.</w:t>
      </w:r>
    </w:p>
    <w:p w:rsidR="0085709A" w:rsidRDefault="0085709A" w:rsidP="0085709A">
      <w:pPr>
        <w:pStyle w:val="TextoNormal"/>
      </w:pPr>
    </w:p>
    <w:p w:rsidR="0085709A" w:rsidRDefault="0085709A" w:rsidP="0085709A">
      <w:pPr>
        <w:pStyle w:val="TextoNormal"/>
      </w:pPr>
      <w:r>
        <w:t>Alude el Abogado del Estado a que no cabe desconocer que la progresiva asunción de intensas competencias en materia educativa por las Comunidades Autónomas ha creado verdaderos subsistemas educativos regionales. En estos subsistemas, las Comunidades Autónomas, pueden marcar objetivos educativos que no tengan necesariamente como prioridad la financiación del estudio en otros subsistemas educativos, siendo también perfectamente imaginable la diversidad de criterios entre Comunidades Autónomas sobre las condiciones que deben presidir la concesión de estas becas y ayudas dentro de la normativa básica estatal. Sin embargo, continua el Abogado del Estado, resulta evidente que un objetivo esencial para garantizar la existencia de un sistema educativo nacional es favorecer la movilidad de los estudiantes entre los diversos subsistemas regionales, de forma que éstos no se conviertan en departamentos estancos. Argumenta al respecto que “las llamadas becas de movilidad constituyen una pieza nuclear que debe nutrir las relaciones subsistémicas, dotando de una mínima unidad al modelo.</w:t>
      </w:r>
    </w:p>
    <w:p w:rsidR="0085709A" w:rsidRDefault="0085709A" w:rsidP="0085709A">
      <w:pPr>
        <w:pStyle w:val="TextoNormal"/>
      </w:pPr>
    </w:p>
    <w:p w:rsidR="0085709A" w:rsidRDefault="0085709A" w:rsidP="0085709A">
      <w:pPr>
        <w:pStyle w:val="TextoNormal"/>
      </w:pPr>
      <w:r>
        <w:t>Desde esta perspectiva de que las becas de movilidad constituyen una parte importante de la malla que por encima de los diversos subsistemas los integra en un único sistema, aparece clara la necesidad de que sea el Estado quien asuma la gestión de las mismas”. Si se quiebra esa gestión centralizada y se admite la compartimentación de esta modalidad de becas y ayudas dejarían de ser flujos de unión de los diversos subsistemas, con los que se desvirtuaría su verdadera naturaleza y finalidad. La gestión centralizada de tales becas se hace así imprescindible “para asegurar su plena efectividad dentro de la ordenación básica del sector”, efectividad que está en íntima conexión con su carácter de elemento integrador de las diversas partes del sistema. Por otro lado, es obvio que como elemento sistémico, las becas de movilidad han de exigir una aplicación y una interpretación homogénea para sus destinatarios, dado que, en otro caso, nuevamente resultaría contradicha su finalidad esencial. La gestión centralizada, por tanto, también resulta esencial “para garantizar iguales posibilidades de obtención y disfrute por parte de sus potenciales destinatarios en todo el territorio nacional”. Por último, como apunta la contestación del Gobierno al requerimiento de la Generalitat, dada la supraterritorialidad de esta modalidad de beca, se hace imprescindible la gestión centralizada para que el Estado concilie intereses divergentes de las Comunidades que puedan derivar de una diversidad de políticas educativas.</w:t>
      </w:r>
    </w:p>
    <w:p w:rsidR="0085709A" w:rsidRDefault="0085709A" w:rsidP="0085709A">
      <w:pPr>
        <w:pStyle w:val="TextoNormal"/>
      </w:pPr>
    </w:p>
    <w:p w:rsidR="0085709A" w:rsidRDefault="0085709A" w:rsidP="0085709A">
      <w:pPr>
        <w:pStyle w:val="TextoNormal"/>
      </w:pPr>
      <w:r>
        <w:t xml:space="preserve">En cuanto al segundo argumento de la demanda, relativo a la imposibilidad de beneficiarse del intervalo autonómico cofinanciado entre el Estado y las Comunidades Autónomas, el Abogado del Estado responde que en las becas de movilidad la totalidad de la financiación corresponde al Estado, como resulta de la dicción del artículo l.4 del Real Decreto 1721/2007 en el que se establece que las becas no territorializadas “se financian con cargo a créditos del Programa de becas y ayudas a estudiantes de los Presupuestos Generales del Estado”. Finalmente, respecto a la alegación relativa a la falta de inconvenientes en territorializar este tipo de becas, dado que el País Vasco las viene gestionando desde el Real Decreto 1014/1985, de 25 de mayo, de traspaso de funciones y servicios del Estado a esa Comunidad en materia de universidades, indica que en dicha norma nada se dice sobre las becas de movilidad y se especifica que las convocatorias que realice la Comunidad Autónoma deberán respetar, como no puede ser de otro modo, la normativa básica del Estado. A ello añade el Abogado del Estado que el País Vasco no convoca específicamente becas de movilidad con cuantías diferentes a las de la beca general de residencia y con umbrales de </w:t>
      </w:r>
      <w:r>
        <w:lastRenderedPageBreak/>
        <w:t>renta familiar distintos a los que se aplican para la adjudicación de las becas de carácter general.</w:t>
      </w:r>
    </w:p>
    <w:p w:rsidR="0085709A" w:rsidRDefault="0085709A" w:rsidP="0085709A">
      <w:pPr>
        <w:pStyle w:val="TextoNormal"/>
      </w:pPr>
    </w:p>
    <w:p w:rsidR="0085709A" w:rsidRDefault="0085709A" w:rsidP="0085709A">
      <w:pPr>
        <w:pStyle w:val="TextoNormal"/>
      </w:pPr>
      <w:r>
        <w:t>Respecto a las becas para el estudio en universidades a distancia, en particular, para el estudio en la UNED (arts. 1.4 y 41.4), el Abogado del Estado indica que la demanda se limita a criticar la elección del punto de conexión que realiza el art. 41.4, que, según ese escrito, obedecería “tan sólo a la voluntad estatal de reservarse la gestión de las becas destinadas a la UNED, y mantener artificialmente un sistema de gestión estatal no justificado”. Alude a continuación al régimen especial de la UNED, cuya vinculación al Estado está prevista por el legislador orgánico en materia de universidades, de manera que, “desde este punto de vista parece ciertamente lógico que la gestión de las becas de los estudiantes que pretendan cursar sus estudios en la UNED corresponda al propio Estado”. De nuevo por remisión a la contestación al requerimiento de incompetencia señala que la aplicación del punto de conexión relativo al lugar de residencia resulta imposible, porque el domicilio del estudiante puede ser variable —podría incluso variar durante el tiempo de disfrute de la beca— y, dada la naturaleza de estos estudios, la residencia podría incluso fijarse fuera de España y porque “corresponde a los centros universitarios verificar el cumplimiento de los requisitos académicos”, por lo que parece lógico que el punto de conexión en este caso sea el de la Administración a la que está vinculada el centro docente.</w:t>
      </w:r>
    </w:p>
    <w:p w:rsidR="0085709A" w:rsidRDefault="0085709A" w:rsidP="0085709A">
      <w:pPr>
        <w:pStyle w:val="TextoNormal"/>
      </w:pPr>
    </w:p>
    <w:p w:rsidR="0085709A" w:rsidRDefault="0085709A" w:rsidP="0085709A">
      <w:pPr>
        <w:pStyle w:val="TextoNormal"/>
      </w:pPr>
      <w:r>
        <w:t>Por último en relación a la disposición adicional cuarta señala que, conforme a la misma, el Estado asume transitoriamente la gestión de las becas territorializadas, hasta tanto no se produzca el traspaso a las Comunidades Autónomas de las funciones, medios y servicios necesarios para la asunción de dicha competencia, lo que estima plenamente ajustado a la doctrina constitucional, sin que la STC 158/2004, de 21 de septiembre, citada en la demanda, resulte aplicable, ya que la Comunidad Autónoma de Cataluña no ha recibido el traspaso de los medios personales y materiales que resultan necesarios para su gestión. Necesidad de la transferencia que incluso deriva de los propios términos de los convenios suscritos por la Generalitat de Cataluña para la gestión de las becas y ayudas al estudio. Por otra parte, el carácter provisional de la asunción estatal de competencias se desprende sin dificultad de la disposición transitoria incluida en el Real Decreto 675/2008 y relativa a esta cuestión.</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en providencia de 3 de diciembre de 2013, conforme al art. 10.1 n) LOTC (reformada por la Ley Orgánica 6/2007, de 24 de mayo) a propuesta de tres Magistrados, recabó para sí el conocimiento del conflicto.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17 de febrero de 2015, se señaló para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presente resolución ha de resolver el conflicto positivo de competencia planteado por la Generalitat de Cataluña contra los arts. 1.4, 41.4 y la disposición adicional cuarta del Real Decreto 1721/2007, de 21 de diciembre, por el que se establece el régimen de becas y ayudas al estudio personalizadas.</w:t>
      </w:r>
    </w:p>
    <w:p w:rsidR="0085709A" w:rsidRDefault="0085709A" w:rsidP="0085709A">
      <w:pPr>
        <w:pStyle w:val="TextoNormal"/>
      </w:pPr>
    </w:p>
    <w:p w:rsidR="0085709A" w:rsidRDefault="0085709A" w:rsidP="0085709A">
      <w:pPr>
        <w:pStyle w:val="TextoNormal"/>
      </w:pPr>
      <w:r>
        <w:lastRenderedPageBreak/>
        <w:t>Como ha quedado expuesto en los antecedentes, el Gobierno de la Generalitat de Cataluña considera que los preceptos impugnados vulneran la distribución constitucional y estatutaria de competencias en materia de educación y de universidades que, en ambos casos, supone el reconocimiento de competencias autonómicas en relación con el régimen de becas y ayudas estatales [arts. 131.3 d) y 172.1 g) del Estatuto de Autonomía de Cataluña] en coherencia con la jurisprudencia constitucional en la materia (SSTC 188/2001, de 20 de septiembre, y 212/2005, de 21 de julio), en las que se afirmaba que la competencia de la Generalitat en materia de educación implicaba necesariamente la gestión autonómica de las becas y ayudas al estudio. En concreto la vulneración competencial que se denuncia se residencia en la asunción por el Estado de la gestión de las denominadas becas de movilidad así como de las becas a los estudiantes de la Universidad de Educación a Distancia (UNED), que deriva del art. 1.4 del Real Decreto 1721/2007, en cuanto califica a ambas como no territorializables, así como, específicamente en relación con las becas de la UNED, del art. 41.4. Por otra parte se controvierte la disposición adicional cuarta en cuanto que difiere el traspaso del pleno ejercicio de las competencias a cada Comunidad Autónoma a partir de la fecha del acuerdo de la comisión mixta por el que se apruebe el traspaso de las funciones, medios y servicios necesarios para la asunción de las competencias en materia de becas y ayudas al estudio.</w:t>
      </w:r>
    </w:p>
    <w:p w:rsidR="0085709A" w:rsidRDefault="0085709A" w:rsidP="0085709A">
      <w:pPr>
        <w:pStyle w:val="TextoNormal"/>
      </w:pPr>
    </w:p>
    <w:p w:rsidR="0085709A" w:rsidRDefault="0085709A" w:rsidP="0085709A">
      <w:pPr>
        <w:pStyle w:val="TextoNormal"/>
      </w:pPr>
      <w:r>
        <w:t>Discrepando del anterior planteamiento el Abogado del Estado ha negado las vulneraciones competenciales denunciadas, indicando, respecto a la gestión estatal de las becas de movilidad del art. 1.4, que está justificada en atención a la finalidad que estas becas cumplen para el sistema educativo en su conjunto, así como por la necesidad de evitar los problemas derivados de los intereses divergentes de las Comunidades Autónomas sobre la movilidad de los estudiantes en el conjunto del sistema educativo nacional. En cuanto a la gestión centralizada de las becas de los estudiantes de la UNED, que deriva de lo dispuesto en el art. 1.4, en relación con el 41.4, ha señalado que la fijación del punto de conexión relacionado con “la Administración educativa de la que dependa el centro que los imparte”, obedece a las peculiares características tanto de la UNED como de los propios estudios no presenciales. Por último, en lo que respecta a la disposición adicional cuarta ha recalcado el carácter provisional y transitorio de la gestión estatal hasta tanto no se produzca el traspaso a las Comunidades Autónomas de las funciones, medios y servicios necesarios para la asunción de dicha competencia.</w:t>
      </w:r>
    </w:p>
    <w:p w:rsidR="0085709A" w:rsidRDefault="0085709A" w:rsidP="0085709A">
      <w:pPr>
        <w:pStyle w:val="TextoNormal"/>
      </w:pPr>
    </w:p>
    <w:p w:rsidR="0085709A" w:rsidRDefault="0085709A" w:rsidP="0085709A">
      <w:pPr>
        <w:pStyle w:val="TextoNormal"/>
      </w:pPr>
      <w:r w:rsidRPr="0085709A">
        <w:rPr>
          <w:rStyle w:val="NumeroAFNegritaCaracter"/>
        </w:rPr>
        <w:t>2</w:t>
      </w:r>
      <w:r>
        <w:t>. Resultan necesarias unas primeras consideraciones para delimitar la controversia planteada en relación a las becas de movilidad.</w:t>
      </w:r>
    </w:p>
    <w:p w:rsidR="0085709A" w:rsidRDefault="0085709A" w:rsidP="0085709A">
      <w:pPr>
        <w:pStyle w:val="TextoNormal"/>
      </w:pPr>
    </w:p>
    <w:p w:rsidR="0085709A" w:rsidRDefault="0085709A" w:rsidP="0085709A">
      <w:pPr>
        <w:pStyle w:val="TextoNormal"/>
      </w:pPr>
      <w:r>
        <w:t xml:space="preserve">El Real Decreto 1721/2007, de 21 de diciembre, tiene por objeto establecer el régimen jurídico de las becas y ayudas al estudio con la finalidad de dar cumplimiento a las previsiones contenidas en las Leyes Orgánicas 2/2006, de 3 de mayo, de educación —art. 83— y 6/2001, de 21 de diciembre, de universidades, en la redacción dada por la Ley Orgánica 4/2007, de 12 de abril —art. 45—. Ambas Leyes Orgánicas encomiendan al Estado el establecimiento, con cargo a sus presupuestos generales, de un sistema de becas y ayudas al estudio con el fin de que todas las personas, con independencia de su lugar de residencia, disfruten de las mismas condiciones en el ejercicio de su derecho a la educación. Las citadas Leyes Orgánicas establecen las condiciones académicas y económicas que hayan de reunir los candidatos, así como los supuestos de incompatibilidad, revocación y reintegro, y cuantos requisitos, condiciones socioeconómicas u otros factores sean precisos para asegurar la </w:t>
      </w:r>
      <w:r>
        <w:lastRenderedPageBreak/>
        <w:t>igualdad en el acceso a las citadas becas y ayudas en todo el territorio, sin detrimento de las competencias normativas y de ejecución de las Comunidades Autónomas.</w:t>
      </w:r>
    </w:p>
    <w:p w:rsidR="0085709A" w:rsidRDefault="0085709A" w:rsidP="0085709A">
      <w:pPr>
        <w:pStyle w:val="TextoNormal"/>
      </w:pPr>
    </w:p>
    <w:p w:rsidR="0085709A" w:rsidRDefault="0085709A" w:rsidP="0085709A">
      <w:pPr>
        <w:pStyle w:val="TextoNormal"/>
      </w:pPr>
      <w:r>
        <w:t>Pretende también, según su preámbulo, adecuar el marco jurídico de becas y ayudas al estudio distinguiendo las becas y ayudas “territorializadas” (art. 1.3), que son aquellas financiadas con cargo a créditos del programa de becas y ayudas a estudiantes de los presupuestos generales del Estado y respecto de las que el Estado solamente establece la regulación básica (enseñanzas a las que se dirigen, sus modalidades y cuantías, y las condiciones que deben reunir los beneficiarios), siendo las Comunidades Autónomas las competentes para el desarrollo legislativo y la ejecución (convocatoria, gestión, resolución, adjudicación, pago y resolución de recursos), de las “no territorializadas” (art. 1.4), que se diferencian de las anteriores en que su regulación y ejecución es asumida en su totalidad por el Estado. Entre estas últimas menciona las becas y ayudas de movilidad, cuya gestión estatal es lo que, en primer término, discute la Generalitat de Cataluña en el presente conflicto.</w:t>
      </w:r>
    </w:p>
    <w:p w:rsidR="0085709A" w:rsidRDefault="0085709A" w:rsidP="0085709A">
      <w:pPr>
        <w:pStyle w:val="TextoNormal"/>
      </w:pPr>
    </w:p>
    <w:p w:rsidR="0085709A" w:rsidRDefault="0085709A" w:rsidP="0085709A">
      <w:pPr>
        <w:pStyle w:val="TextoNormal"/>
      </w:pPr>
      <w:r>
        <w:t>El Real Decreto 1721/2007, aparte de la distinción recogida en los apartados 3 y 4 del art. 1, no tiene más objeto que la regulación común a todas las becas y ayudas al estudio, tanto las “territorializadas” como las “no territorializadas”.</w:t>
      </w:r>
    </w:p>
    <w:p w:rsidR="0085709A" w:rsidRDefault="0085709A" w:rsidP="0085709A">
      <w:pPr>
        <w:pStyle w:val="TextoNormal"/>
      </w:pPr>
    </w:p>
    <w:p w:rsidR="0085709A" w:rsidRDefault="0085709A" w:rsidP="0085709A">
      <w:pPr>
        <w:pStyle w:val="TextoNormal"/>
      </w:pPr>
      <w:r>
        <w:t>Coherentemente con ese ámbito normativo limitado, la disposición adicional primera prevé que el Gobierno, en el primer trimestre del año, aprobará un real decreto en el que, para cada curso académico, precise las enseñanzas para las que se concederán las becas y ayudas al estudio, sus cuantías y modalidades para cada enseñanza, así como los umbrales de renta y patrimonio familiar aplicables. Por tanto, será en ese real decreto anual en el que el Gobierno, haciendo uso de la habilitación operada por el mencionado artículo 1.4, fije aquellas condiciones que, junto a las generales ya reguladas en los arts. 3 a 38 del Real Decreto 1721/2007, rijan específicamente la adjudicación de las becas “no territorializadas”, entre ellas las becas de movilidad. De acuerdo con lo anterior, los Reales Decretos 675/2008, de 28 de abril, 922/2009, de 29 de mayo, 557/2010, de 7 de mayo, 708/2011, de 20 de mayo, y 1000/2012, de 29 de junio, contienen una regulación expresa y separada de las becas de movilidad. Sin embargo, el Real Decreto 609/2013, de 2 de agosto, y el Real Decreto 472/2014, de 13 de junio, no lo hacen.</w:t>
      </w:r>
    </w:p>
    <w:p w:rsidR="0085709A" w:rsidRDefault="0085709A" w:rsidP="0085709A">
      <w:pPr>
        <w:pStyle w:val="TextoNormal"/>
      </w:pPr>
    </w:p>
    <w:p w:rsidR="0085709A" w:rsidRDefault="0085709A" w:rsidP="0085709A">
      <w:pPr>
        <w:pStyle w:val="TextoNormal"/>
      </w:pPr>
      <w:r>
        <w:t>El régimen jurídico descrito, conectado con los términos en que la demanda formula la controversia, nos conduce a la conclusión, en relación al objeto de este proceso constitucional, que el Real Decreto 609/2013 y el Real Decreto 472/2014 no contengan una regulación expresa y separada de las becas de movilidad, incluso que las mismas no hayan sido convocadas para los cursos 2013-2014 y 2014-2015, no es una circunstancia que determine que este proceso pierda sobrevenidamente su objeto respecto a las becas de movilidad. La razón es que la disputa competencial versa, porque así la ha definido la Generalitat en su demanda, sobre la calificación de “no territorializadas” de tales becas en el art. 1.4 del Real Decreto 1721/2007, precepto que sigue vigente y cuya eficacia normativa, que la Generalitat reputa invasiva de sus competencias, no se ve mermada porque en un curso concreto no se convoquen tales becas.</w:t>
      </w:r>
    </w:p>
    <w:p w:rsidR="0085709A" w:rsidRDefault="0085709A" w:rsidP="0085709A">
      <w:pPr>
        <w:pStyle w:val="TextoNormal"/>
      </w:pPr>
    </w:p>
    <w:p w:rsidR="0085709A" w:rsidRDefault="0085709A" w:rsidP="0085709A">
      <w:pPr>
        <w:pStyle w:val="TextoNormal"/>
      </w:pPr>
      <w:r w:rsidRPr="0085709A">
        <w:rPr>
          <w:rStyle w:val="NumeroAFNegritaCaracter"/>
        </w:rPr>
        <w:t>3</w:t>
      </w:r>
      <w:r>
        <w:t>. Señalado el contenido de la norma que ha sido parcialmente impugnada, ninguna duda plantea su encuadramiento competencial.</w:t>
      </w:r>
    </w:p>
    <w:p w:rsidR="0085709A" w:rsidRDefault="0085709A" w:rsidP="0085709A">
      <w:pPr>
        <w:pStyle w:val="TextoNormal"/>
      </w:pPr>
    </w:p>
    <w:p w:rsidR="0085709A" w:rsidRDefault="0085709A" w:rsidP="0085709A">
      <w:pPr>
        <w:pStyle w:val="TextoNormal"/>
      </w:pPr>
      <w:r>
        <w:lastRenderedPageBreak/>
        <w:t>Con apoyo en la doctrina de las SSTC 188/2001 y 212/2005, ambas partes coinciden en considerar que el encuadramiento de estas ayudas ha de realizarse en la materia educación, criterio que no puede sino confirmarse pues tal es la conclusión que alcanzamos en las citadas sentencias, ya que, como dice la STC 188/2001, FJ 5, “el legislador orgánico, al desarrollar el derecho a la educación (art. 27 CE), ha considerado a las becas como un elemento central para la efectividad de tal derecho” si bien (FJ 6) “aparece plenamente justificado que dichas becas, configuradas por el legislador orgánico como un elemento central para la garantía del derecho a la educación, sin mayor precisión normativa, sean reguladas de modo complementario por la normativa básica que le está atribuida al Estado para garantizar, precisamente, ese derecho”. De este modo, el título competencial estatal que habremos de tener en cuenta es el del art. 149.1.30 CE, en cuanto que reserva al Estado el establecimiento de las “normas básicas para el desarrollo del art. 27 de la Constitución, a fin de garantizar el cumplimiento de las obligaciones de los poderes públicos en esta materia”. Competencia estatal que se relaciona con las autonómicas que, sobre las becas y ayudas al estudio en la enseñanza no universitaria y universitaria, se recogen, respectivamente, en los arts. 131.3 d) y 172.1 g) del Estatuto de Autonomía de Cataluña, las cuales han de ser entendidas con el sentido y alcance que ya expresamos en la STC 31/2010, de 28 de junio, FFJJ 77 y 108.</w:t>
      </w:r>
    </w:p>
    <w:p w:rsidR="0085709A" w:rsidRDefault="0085709A" w:rsidP="0085709A">
      <w:pPr>
        <w:pStyle w:val="TextoNormal"/>
      </w:pPr>
    </w:p>
    <w:p w:rsidR="0085709A" w:rsidRDefault="0085709A" w:rsidP="0085709A">
      <w:pPr>
        <w:pStyle w:val="TextoNormal"/>
      </w:pPr>
      <w:r>
        <w:t>Como se ha expuesto en los antecedentes lo discutido en el presente proceso está solamente vinculado a la actividad de gestión de las becas y ayudas al estudio en las que se concretan las actuaciones que las Administraciones públicas han de realizar en orden a la aplicación de lo dispuesto en el Real Decreto 1721/2007.</w:t>
      </w:r>
    </w:p>
    <w:p w:rsidR="0085709A" w:rsidRDefault="0085709A" w:rsidP="0085709A">
      <w:pPr>
        <w:pStyle w:val="TextoNormal"/>
      </w:pPr>
    </w:p>
    <w:p w:rsidR="0085709A" w:rsidRDefault="0085709A" w:rsidP="0085709A">
      <w:pPr>
        <w:pStyle w:val="TextoNormal"/>
      </w:pPr>
      <w:r>
        <w:t>Así pues para determinar, si a la vista de las competencias del Estado y de la Comunidad Autónoma se ha producido o no la vulneración competencial denunciada, también deberemos tomar como parámetro la abundante doctrina constitucional en materia de subvenciones. Doctrina que, para su mejor aplicación, quedó recopilada en la STC 13/1992, de 6 de febrero, y que, como recuerda la STC 38/2012, de 26 de marzo, FJ 4, pese al carácter abierto del esquema en el que se insertan, sigue siendo referente constante en nuestra doctrina posterior.</w:t>
      </w:r>
    </w:p>
    <w:p w:rsidR="0085709A" w:rsidRDefault="0085709A" w:rsidP="0085709A">
      <w:pPr>
        <w:pStyle w:val="TextoNormal"/>
      </w:pPr>
    </w:p>
    <w:p w:rsidR="0085709A" w:rsidRDefault="0085709A" w:rsidP="0085709A">
      <w:pPr>
        <w:pStyle w:val="TextoNormal"/>
      </w:pPr>
      <w:r>
        <w:t xml:space="preserve">En ese sentido la STC 212/2005, de 21 de julio, FJ 6 a), citando la STC 188/2001, de 20 de septiembre, FJ 7, señaló que “en relación con las ayudas o subvenciones incorporadas a los Presupuestos Generales del Estado, hemos manifestado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 En los fundamentos jurídicos 7 y 8 de esa misma Sentencia hemos advertido que,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o complementar la regulación de las condiciones de otorgamiento de las ayudas y su tramitación y siempre que </w:t>
      </w:r>
      <w:r>
        <w:lastRenderedPageBreak/>
        <w:t>respete las competencias exclusivas de ejecución y gestión que corresponda a las Comunidades Autónomas, salvo que la naturaleza de la medida haga imprescindible la gestión directa y centralizada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destinados a la subvención. En todo caso, la necesidad de la gestión centralizada debe aparecer razonablemente justificada o deducirse sin esfuerzo de la naturaleza y contenido de la medida de fomento de que se trate (STC 91/1992, de 11 de junio)”.</w:t>
      </w:r>
    </w:p>
    <w:p w:rsidR="0085709A" w:rsidRDefault="0085709A" w:rsidP="0085709A">
      <w:pPr>
        <w:pStyle w:val="TextoNormal"/>
      </w:pPr>
    </w:p>
    <w:p w:rsidR="0085709A" w:rsidRDefault="0085709A" w:rsidP="0085709A">
      <w:pPr>
        <w:pStyle w:val="TextoNormal"/>
      </w:pPr>
      <w:r>
        <w:t>Igualmente procede ahora advertir que en la STC 188/2001, FJ 11, establecimos un criterio, luego confirmado en la STC 212/2005, FJ 10 a), según el cual, resultaban contrarias a las competencias de gestión de la Generalitat de Cataluña las disposiciones estatales allí examinadas “que centralizan operaciones de tramitación de las becas, pues las mismas deben ser realizadas por aquella”. Dicho en otros términos, estimamos que nos encontrábamos en uno de los casos a los que se refiere la STC 13/1992, en su FJ 8 b), conforme al cual “la competencia del Estado para dictar normas básicas (en este caso, en desarrollo del art. 27 CE) le permite consignar subvenciones de fomento en sus presupuestos generales, especificando su destino y regulando sus condiciones esenciales de otorgamiento hasta donde lo permita su competencia genérica, básica o de coordinación, debiendo precisar ahora que, en relación con las becas, dichas condiciones esenciales de otorgamiento pueden alcanzar hasta donde sea imprescindible para garantizar el cumplimiento por los poderes públicos de sus deberes en esta materia (art. 149.1.30 CE), y resulte necesario para conseguir la finalidad deseada y garantizar una política educativa homogénea para todo el territorio nacional, sin desconocer las competencias normativas y de ejecución de las Comunidades Autónomas” [STC 188/2001, FJ 10 a), reiterado en la STC 212/2005, FJ 9]. Por el contrario, descartamos que resultará procedente la centralización aludida en la doctrina de este Tribunal contenida en la citada STC 13/1992, FJ 8 d), la cual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85709A" w:rsidRDefault="0085709A" w:rsidP="0085709A">
      <w:pPr>
        <w:pStyle w:val="TextoNormal"/>
      </w:pPr>
    </w:p>
    <w:p w:rsidR="0085709A" w:rsidRDefault="0085709A" w:rsidP="0085709A">
      <w:pPr>
        <w:pStyle w:val="TextoNormal"/>
      </w:pPr>
      <w:r>
        <w:t xml:space="preserve">El debate trabado entre las partes, una vez encuadradas competencialmente las ayudas controvertidas en la materia educación, se centra entonces en determinar el supuesto que, de los dos que acabamos de citar, resulta de aplicación a las ahora discutidas. En otros términos, de lo que llevamos expuesto se deduce que, dejando aparte ahora lo relativo a la disposición adicional cuarta sobre la que después se volverá, lo que habremos de determinar ahora, en relación específicamente con las denominadas becas de movilidad y con las que se conceden a quienes quieren cursar estudios en la UNED, es si, por excepción a la regla general que deriva de la doctrina anteriormente expuesta, concurren aquí razones que justifiquen la ejecución administrativa centralizada en relación con ambos tipos de becas, pues </w:t>
      </w:r>
      <w:r>
        <w:lastRenderedPageBreak/>
        <w:t>queda fuera de la discusión cualquier aspecto relacionado con el establecimiento del régimen normativo aplicable a las becas y ayudas al estudio consignadas en los presupuestos estatales.</w:t>
      </w:r>
    </w:p>
    <w:p w:rsidR="0085709A" w:rsidRDefault="0085709A" w:rsidP="0085709A">
      <w:pPr>
        <w:pStyle w:val="TextoNormal"/>
      </w:pPr>
    </w:p>
    <w:p w:rsidR="0085709A" w:rsidRDefault="0085709A" w:rsidP="0085709A">
      <w:pPr>
        <w:pStyle w:val="TextoNormal"/>
      </w:pPr>
      <w:r w:rsidRPr="0085709A">
        <w:rPr>
          <w:rStyle w:val="NumeroAFNegritaCaracter"/>
        </w:rPr>
        <w:t>4</w:t>
      </w:r>
      <w:r>
        <w:t>. A la luz de las reglas anteriores procede comenzar el enjuiciamiento en relación con lo dispuesto en el art. 1.4, controvertido en lo que respecta al carácter no territorializable de las becas de movilidad, esto es, aquellas destinadas a cursar estudios en una Comunidad Autónoma distinta a la del domicilio familiar del estudiante.</w:t>
      </w:r>
    </w:p>
    <w:p w:rsidR="0085709A" w:rsidRDefault="0085709A" w:rsidP="0085709A">
      <w:pPr>
        <w:pStyle w:val="TextoNormal"/>
      </w:pPr>
    </w:p>
    <w:p w:rsidR="0085709A" w:rsidRDefault="0085709A" w:rsidP="0085709A">
      <w:pPr>
        <w:pStyle w:val="TextoNormal"/>
      </w:pPr>
      <w:r>
        <w:t>Dicho apartado 4 establece lo siguiente:</w:t>
      </w:r>
    </w:p>
    <w:p w:rsidR="0085709A" w:rsidRDefault="0085709A" w:rsidP="0085709A">
      <w:pPr>
        <w:pStyle w:val="TextoNormal"/>
      </w:pPr>
    </w:p>
    <w:p w:rsidR="0085709A" w:rsidRDefault="0085709A" w:rsidP="0085709A">
      <w:pPr>
        <w:pStyle w:val="TextoNormal"/>
      </w:pPr>
      <w:r>
        <w:t>“4. Becas y ayudas al estudio no territorializadas. A los efectos de este Real Decreto, son no territorializadas las destinadas a cursar estudios en Comunidad Autónoma distinta a la del domicilio familiar del estudiante, las destinadas a los alumnos de la Universidad Nacional de Educación a Distancia, del Centro de Investigación y Desarrollo de la Educación a Distancia, de Ceuta, de Melilla y de los centros españoles en el exterior, que se financian con cargo a créditos del Programa de becas y ayudas a estudiantes de los presupuestos generales del Estado y respecto de las que el Estado también lleva a cabo la gestión y concesión.”</w:t>
      </w:r>
    </w:p>
    <w:p w:rsidR="0085709A" w:rsidRDefault="0085709A" w:rsidP="0085709A">
      <w:pPr>
        <w:pStyle w:val="TextoNormal"/>
      </w:pPr>
    </w:p>
    <w:p w:rsidR="0085709A" w:rsidRDefault="0085709A" w:rsidP="0085709A">
      <w:pPr>
        <w:pStyle w:val="TextoNormal"/>
      </w:pPr>
      <w:r>
        <w:t>Las ayudas aquí discutidas son las que el precepto contempla con el fin de que sean concedidas a los estudiantes con domicilio familiar en una Comunidad Autónoma que van a estudiar a otra distinta. Tales ayudas se concretan en aportaciones dinerarias que pueden obtener sus beneficiarios por conceptos diversos: compensación de los gastos de la enseñanza, desplazamiento y otros criterios, vinculados a la residencia, gastos de escolarización y otros. Nos encontramos, pues, ante subvenciones públicas que se ordenan para hacer efectivo el derecho de todos a la educación compensando las condiciones socioeconómicas de los estudiantes y de sus familias en el caso de que no alcancen determinados niveles de renta y patrimonio que, junto con el importe de los diferentes tipos de becas y ayudas financiadas, se fijan anualmente por el Estado (el ya mencionado Real Decreto 1000/2012, de 29 de junio, los establece para el curso 2012-2013).</w:t>
      </w:r>
    </w:p>
    <w:p w:rsidR="0085709A" w:rsidRDefault="0085709A" w:rsidP="0085709A">
      <w:pPr>
        <w:pStyle w:val="TextoNormal"/>
      </w:pPr>
    </w:p>
    <w:p w:rsidR="0085709A" w:rsidRDefault="0085709A" w:rsidP="0085709A">
      <w:pPr>
        <w:pStyle w:val="TextoNormal"/>
      </w:pPr>
      <w:r>
        <w:t>El Abogado del Estado ha justificado la centralización de la gestión de estas becas afirmando que las mismas producen efectos supraterritoriales, en cuanto que van a afectar a dos Comunidades Autónomas, la de origen y destino de los estudiantes, que podrían tener intereses contrapuestos en materia de movilidad de los estudiantes, así como en razón de su carácter de elemento integrador de las diversas partes del sistema educativo nacional, lo que determina la necesidad de una aplicación e interpretación homogénea para sus destinatarios. Ello determina, a su juicio, la conveniencia de utilizar un doble punto de conexión en materia de becas para posibilitar, en su caso, la gestión autonómica, el domicilio familiar y la ubicación del centro en el que se cursan estudios, lo que, a su vez, determina que al Estado corresponda la gestión de las denominadas becas de movilidad, en las que no se cumplen estas dos condiciones, de modo que con ello se asegure que las mismas cumplen la finalidad para la que han sido diseñadas.</w:t>
      </w:r>
    </w:p>
    <w:p w:rsidR="0085709A" w:rsidRDefault="0085709A" w:rsidP="0085709A">
      <w:pPr>
        <w:pStyle w:val="TextoNormal"/>
      </w:pPr>
    </w:p>
    <w:p w:rsidR="0085709A" w:rsidRDefault="0085709A" w:rsidP="0085709A">
      <w:pPr>
        <w:pStyle w:val="TextoNormal"/>
      </w:pPr>
      <w:r>
        <w:t xml:space="preserve">Sin embargo, en este caso, las razones aducidas por el Abogado del Estado en favor de la centralización de las tareas de convocatoria y gestión en aplicación de la doctrina contenida en el fundamento jurídico 8 d) de la STC 13/1992 no resultan convincentes, pues la </w:t>
      </w:r>
      <w:r>
        <w:lastRenderedPageBreak/>
        <w:t>fijación implícita del doble punto de conexión antes aludido produce el efecto de menoscabar las competencias autonómicas, de modo, por lo demás, contrario a lo prevenido tanto por el art. 83.3 de la Ley Orgánica 2/2006, de 3 de mayo, de educación como en el art. 45 de la Ley Orgánica 6/2001, de 21 de diciembre, de universidades. Ambas normas aluden a que el establecimiento del sistema estatal de becas y ayudas al estudio ha de realizarse “sin detrimento de las competencias normativas y de ejecución de las Comunidades Autónomas”.</w:t>
      </w:r>
    </w:p>
    <w:p w:rsidR="0085709A" w:rsidRDefault="0085709A" w:rsidP="0085709A">
      <w:pPr>
        <w:pStyle w:val="TextoNormal"/>
      </w:pPr>
    </w:p>
    <w:p w:rsidR="0085709A" w:rsidRDefault="0085709A" w:rsidP="0085709A">
      <w:pPr>
        <w:pStyle w:val="TextoNormal"/>
      </w:pPr>
      <w:r>
        <w:t>En efecto, la centralización de la funciones de ejecución sólo puede tener lugar, como venimos insistiendo, en supuestos excepcionales que aparezcan plenamente justificados, ya que la regla ha de ser la de que las Comunidades Autónomas competentes gestionen las subvenciones en materias en las que, como la educación, ostentan competencias de desarrollo normativo y ejecución de las bases estatales, incluso cuando tal ejecución pueda tener un alcance supraterritorial, pues es responsabilidad del Estado en estos casos fijar los puntos de conexión que permitan la ejecución autonómica de las medidas. Como recuerda la STC 156/2001, FJ 3, con cita de otras, “el criterio de la supraterritorialidad ‘no puede ser determinante del carácter efectivamente básico … ya que sería suficiente extender los efectos de una medida de carácter ejecutivo a todo el territorio nacional para que se generase, sin mayor justificación, una modificación del orden constitucional de competencias [STC 197/1996, FJ 17 a)].</w:t>
      </w:r>
    </w:p>
    <w:p w:rsidR="0085709A" w:rsidRDefault="0085709A" w:rsidP="0085709A">
      <w:pPr>
        <w:pStyle w:val="TextoNormal"/>
      </w:pPr>
    </w:p>
    <w:p w:rsidR="0085709A" w:rsidRDefault="0085709A" w:rsidP="0085709A">
      <w:pPr>
        <w:pStyle w:val="TextoNormal"/>
      </w:pPr>
      <w:r>
        <w:t>En este mismo sentido, venimos insistiendo en que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a este traslado de la titularidad, ciertamente excepcional, tan sólo puede llegarse, como se apuntó en la STC 329/1993, de 12 de noviembre (FJ 4),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Objetivo éste que puede conseguirse a través del sistema constitucional de distribución de competencias teniendo muy en cuenta que, como ya dijimos en la STC 242/1999, de 21 de diciembre, FJ 20, la cooperación y la coordinación entre el Estado y las Comunidades Autónomas constituye el elemento fundamental del Estado autonómico”.</w:t>
      </w:r>
    </w:p>
    <w:p w:rsidR="0085709A" w:rsidRDefault="0085709A" w:rsidP="0085709A">
      <w:pPr>
        <w:pStyle w:val="TextoNormal"/>
      </w:pPr>
    </w:p>
    <w:p w:rsidR="0085709A" w:rsidRDefault="0085709A" w:rsidP="0085709A">
      <w:pPr>
        <w:pStyle w:val="TextoNormal"/>
      </w:pPr>
      <w:r>
        <w:t xml:space="preserve">Resulta entonces que no se ha aportado ninguna justificación que haga imprescindible la intervención estatal en la gestión, más allá de la referencia a los objetivos de movilidad dentro del sistema educativo nacional o la necesidad de evitar el surgimiento de intereses contrapuestos por parte de las Comunidades Autónomas. Nuestra doctrina en materia de becas ya ha rechazado “que la subvención pueda centralizarse con el argumento de que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puesto que ‘las posibles dificultades previas pueden salvarse mediante diversas técnicas. En primer lugar, mediante una planificación que determine ... el tipo de </w:t>
      </w:r>
      <w:r>
        <w:lastRenderedPageBreak/>
        <w:t>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También dijimos que el argumento del agotamiento de los fondos no resulta determinante, puesto que pueden arbitrarse sistemas de cooperación que posibiliten el desplazamiento de los fondos (STC 186/1999, FJ 10)’.” (STC 188/2001, FJ 11).</w:t>
      </w:r>
    </w:p>
    <w:p w:rsidR="0085709A" w:rsidRDefault="0085709A" w:rsidP="0085709A">
      <w:pPr>
        <w:pStyle w:val="TextoNormal"/>
      </w:pPr>
    </w:p>
    <w:p w:rsidR="0085709A" w:rsidRDefault="0085709A" w:rsidP="0085709A">
      <w:pPr>
        <w:pStyle w:val="TextoNormal"/>
      </w:pPr>
      <w:r w:rsidRPr="0085709A">
        <w:rPr>
          <w:rStyle w:val="NumeroAFNegritaCaracter"/>
        </w:rPr>
        <w:t>5</w:t>
      </w:r>
      <w:r>
        <w:t>. Por otra parte, en cuanto a la alegada necesidad de una interpretación y aplicación uniforme del sistema de becas y ayudas al estudio, en su vertiente de movilidad, hay que decir que ésta no es, por sí misma, una razón suficiente para proceder a la centralización total de la regulación del régimen de otorgamiento y de la gestión de tales ayudas, pues el ejercicio de las competencias de gestión de las mismas por parte de la Comunidad Autónoma cabría siempre en la medida en que el programa se ejecute en su propio territorio. Y es que, en definitiva, ‘la garantía de la eficacia de la normativa estatal ha de cohonestarse con el respeto al principio de autonomía, de modo que … las dificultades que pudieran existir ... no pueden ser alegadas para eludir competencias que constitucionalmente correspondan a una Comunidad Autónoma…’ (SSTC 106/1987, FJ 4; y 186/1999, de 14 de octubre, FJ 10) (STC 159/2011, de 19 de octubre, FJ 7).</w:t>
      </w:r>
    </w:p>
    <w:p w:rsidR="0085709A" w:rsidRDefault="0085709A" w:rsidP="0085709A">
      <w:pPr>
        <w:pStyle w:val="TextoNormal"/>
      </w:pPr>
    </w:p>
    <w:p w:rsidR="0085709A" w:rsidRDefault="0085709A" w:rsidP="0085709A">
      <w:pPr>
        <w:pStyle w:val="TextoNormal"/>
      </w:pPr>
      <w:r>
        <w:t>La existencia de criterios, al reducir la discrecionalidad e intensificar la conexión con el objeto perseguido, hace más inexcusable la gestión autonómica de las subvenciones (en el mismo sentido, STC 190/2000, de 13 de julio, FJ 10), por lo que tampoco es posible apreciar en qué medida la gestión autonómica, aplicando lo dispuesto en la norma estatal podría suponer el enervamiento de la propia finalidad que se pretende, dado que las condiciones que presiden la concesión de las becas, a las que ha aludido el Abogado del Estado, están fuera de la cuestión que aquí se discute. No se ha controvertido ante este Tribunal que corresponda al Estado fijar, con el detalle que considere necesario, las condiciones y requisitos, tanto en relación con las cuantías y umbrales de renta como para cualquier otro extremo, que han de observarse en la concesión y disfrute de aquellas ayudas con la finalidad de garantizar una aplicación homogénea en todo el territorio nacional, lo que se cuestiona es, exclusivamente, la centralización total y absoluta de la gestión de las mismas. Tampoco puede admitirse el argumento apuntado por el Abogado del Estado según el cual, si no se diera la gestión centralizada podrían no existir este tipo de becas, pues, por un lado, no es eso lo que muestra la práctica administrativa (así, art. 1 del anexo I de la Orden, de 3 de julio de 2012, de la Consejera de Educación, Universidades e Investigación, por la que se convocan becas para realizar estudios universitarios y otros estudios superiores en el año académico 2012-2013, y ayudas destinadas a sufragar los gastos de transporte de los estudiantes con discapacidad que en el curso 2012-2013 realicen estudios universitarios y otros estudios superiores en la Comunidad Autónoma del País Vasco), y, por otro, no se ha cuestionado la existencia y necesidad de estas becas destinadas a fomentar la movilidad interregional de los estudiantes, antes al contrario, se presupone, ya que se reclama su gestión, concretando las actuaciones que las Administraciones públicas han de realizar en orden a la aplicación de los preceptos del Real Decreto 1721/2007.</w:t>
      </w:r>
    </w:p>
    <w:p w:rsidR="0085709A" w:rsidRDefault="0085709A" w:rsidP="0085709A">
      <w:pPr>
        <w:pStyle w:val="TextoNormal"/>
      </w:pPr>
    </w:p>
    <w:p w:rsidR="0085709A" w:rsidRDefault="0085709A" w:rsidP="0085709A">
      <w:pPr>
        <w:pStyle w:val="TextoNormal"/>
      </w:pPr>
      <w:r>
        <w:lastRenderedPageBreak/>
        <w:t>Así, el Estado, en virtud de las competencias normativas que posee en esta materia, puede establecer los puntos de conexión territorial que estime oportunos para posibilitar la gestión autonómica de estas ayudas, sin que, por lo expuesto, pueda tomarse en consideración el argumento relativo a la posible existencia de intereses contrapuestos entre las Comunidades Autónomas, pues el Estado puede establecer cuanto estime oportuno en relación con este tipo de becas e, incluso, en atención a su finalidad, entender que este tipo de becas pueda recibir un tratamiento o consignación diferenciada de la del resto de las becas. En suma, lo que el Estado debió hacer, en aplicación de la doctrina constitucional en la materia (SSTC 188/2001 y 212/2005) y con sustento en sus facultades de coordinación, fue instrumentar mecanismos que permitieran a las Comunidades Autónomas afectadas realizar la gestión de las ayudas, integrando su actividad del modo que resultase más adecuado, sin que a este Tribunal le corresponda señalar ni el alcance ni la intensidad de los mecanismos que deben ponerse en marcha al efecto.</w:t>
      </w:r>
    </w:p>
    <w:p w:rsidR="0085709A" w:rsidRDefault="0085709A" w:rsidP="0085709A">
      <w:pPr>
        <w:pStyle w:val="TextoNormal"/>
      </w:pPr>
    </w:p>
    <w:p w:rsidR="0085709A" w:rsidRDefault="0085709A" w:rsidP="0085709A">
      <w:pPr>
        <w:pStyle w:val="TextoNormal"/>
      </w:pPr>
      <w:r>
        <w:t>Por tanto, conforme a lo razonado y atendiendo a lo solicitado en el suplico del escrito de interposición del conflicto, es preciso concluir que el carácter no territorializable de las becas y ayudas al estudio “destinadas a cursar estudios en Comunidad Autónoma distinta a la del domicilio familiar del estudiante” previstas en el art. 1.4 del Real Decreto 1721/2007, es contrario al orden constitucional de distribución de competencias entre el Estado y la Generalitat de Cataluña, de modo que la titularidad y el ejercicio de las competencias de gestión de tales becas corresponden a esta última.</w:t>
      </w:r>
    </w:p>
    <w:p w:rsidR="0085709A" w:rsidRDefault="0085709A" w:rsidP="0085709A">
      <w:pPr>
        <w:pStyle w:val="TextoNormal"/>
      </w:pPr>
    </w:p>
    <w:p w:rsidR="0085709A" w:rsidRDefault="0085709A" w:rsidP="0085709A">
      <w:pPr>
        <w:pStyle w:val="TextoNormal"/>
      </w:pPr>
      <w:r w:rsidRPr="0085709A">
        <w:rPr>
          <w:rStyle w:val="NumeroAFNegritaCaracter"/>
        </w:rPr>
        <w:t>6</w:t>
      </w:r>
      <w:r>
        <w:t>. Examinaremos ahora la reclamación dirigida contra los arts. 1.4 y 41.4 del Real Decreto 1721/2007, a los que la Generalitat imputa la misma invasión competencial que en la alegación anterior pero referida a las becas y ayudas al estudio destinadas a los alumnos de la UNED. La Generalitat se queja de que tales subvenciones se califican de “no territorializadas”, lo que deriva a su juicio de que el Estado establece como punto de conexión determinante de la competencia de gestión el de la Administración educativa de la cual dependa la universidad no presencial, con el resultado final de que la gestión de las becas y ayudas destinadas a los alumnos de la UNED se atribuya al Estado, invadiéndose así la competencia ejecutiva que la Generalitat entiende que le asiste.</w:t>
      </w:r>
    </w:p>
    <w:p w:rsidR="0085709A" w:rsidRDefault="0085709A" w:rsidP="0085709A">
      <w:pPr>
        <w:pStyle w:val="TextoNormal"/>
      </w:pPr>
    </w:p>
    <w:p w:rsidR="0085709A" w:rsidRDefault="0085709A" w:rsidP="0085709A">
      <w:pPr>
        <w:pStyle w:val="TextoNormal"/>
      </w:pPr>
      <w:r>
        <w:t>En este caso, el Abogado del Estado ha justificado la gestión centralizada en las especiales características de la UNED, vinculada al Gobierno y a las Cortes Generales en los términos previstos en la Ley Orgánica 6/2001, de 21 de diciembre, de universidades, así como en la particular naturaleza de los estudios no presenciales.</w:t>
      </w:r>
    </w:p>
    <w:p w:rsidR="0085709A" w:rsidRDefault="0085709A" w:rsidP="0085709A">
      <w:pPr>
        <w:pStyle w:val="TextoNormal"/>
      </w:pPr>
    </w:p>
    <w:p w:rsidR="0085709A" w:rsidRDefault="0085709A" w:rsidP="0085709A">
      <w:pPr>
        <w:pStyle w:val="TextoNormal"/>
      </w:pPr>
      <w:r>
        <w:t>Cabe resaltar, con carácter preliminar, que el artículo 41.4 al determinar: “No obstante lo anterior, las becas y ayudas para cursar estudios no presenciales se solicitarán a la Administración educativa de la que dependa el centro que los imparte” se inscribe en el capítulo V del Real Decreto 1721/2007 que lleva por rúbrica “régimen de las becas y ayudas territorializadas”, por lo que se trata de un precepto que solo es aplicable a las becas y ayudas al estudio “territorializadas” a que alude el artículo 1.3, esto es, a aquellas cuya gestión se descentraliza en las Comunidades Autónomas. En otras palabras, el artículo 41.4 no rige las becas y ayudas al estudio “no territorializadas” a las que se refiere el artículo 1.4, entre las que se cuentan las destinadas a los alumnos de la UNED y la afectación competencial que reclama la Generalitat en este proceso no puede imputarse en ningún caso al artículo 41.4.</w:t>
      </w:r>
    </w:p>
    <w:p w:rsidR="0085709A" w:rsidRDefault="0085709A" w:rsidP="0085709A">
      <w:pPr>
        <w:pStyle w:val="TextoNormal"/>
      </w:pPr>
    </w:p>
    <w:p w:rsidR="0085709A" w:rsidRDefault="0085709A" w:rsidP="0085709A">
      <w:pPr>
        <w:pStyle w:val="TextoNormal"/>
      </w:pPr>
      <w:r>
        <w:lastRenderedPageBreak/>
        <w:t>La controversia competencial, ceñida a que el artículo 1.4 dispone la no territorialización de las becas y ayudas al estudio destinadas a los alumnos de la UNED y a la gestión centralizada que ello supone, deriva, como ambas partes alegan, de que la norma estatal ha fijado implícitamente para este caso un único punto de conexión, el relativo a la dependencia administrativa de la universidad de que se trate.</w:t>
      </w:r>
    </w:p>
    <w:p w:rsidR="0085709A" w:rsidRDefault="0085709A" w:rsidP="0085709A">
      <w:pPr>
        <w:pStyle w:val="TextoNormal"/>
      </w:pPr>
    </w:p>
    <w:p w:rsidR="0085709A" w:rsidRDefault="0085709A" w:rsidP="0085709A">
      <w:pPr>
        <w:pStyle w:val="TextoNormal"/>
      </w:pPr>
      <w:r>
        <w:t xml:space="preserve">La movilidad implícita en este tipo de estudios justifica que, en este caso, el Estado, en el ejercicio de sus competencias en materia de educación superior, haya optado por establecer un punto de conexión que no se basa en la residencia de los estudiantes o de sus familias, sino que, como excepción, utilice un criterio basado en la dependencia administrativa de la universidad, lo que no es reprochable desde el punto de vista del orden constitucional de distribución de competencias, si se atiende tanto al modelo de impartición de enseñanza en estos centros, como sus especiales características, a las que, específicamente en relación con la UNED, ya hemos aludido en ocasiones anteriores (STC 223/2012, de 29 de noviembre, FJ 7 </w:t>
      </w:r>
      <w:r w:rsidRPr="0085709A">
        <w:rPr>
          <w:i/>
        </w:rPr>
        <w:t>in fine</w:t>
      </w:r>
      <w:r>
        <w:t>) y también han sido expresamente contempladas por el legislador orgánico en materia de universidades (disposición adicional segunda de la Ley Orgánica 6/2001).</w:t>
      </w:r>
    </w:p>
    <w:p w:rsidR="0085709A" w:rsidRDefault="0085709A" w:rsidP="0085709A">
      <w:pPr>
        <w:pStyle w:val="TextoNormal"/>
      </w:pPr>
    </w:p>
    <w:p w:rsidR="0085709A" w:rsidRDefault="0085709A" w:rsidP="0085709A">
      <w:pPr>
        <w:pStyle w:val="TextoNormal"/>
      </w:pPr>
      <w:r>
        <w:t>En suma, por lo expuesto, la impugnación de los arts. 1.4, específicamente en lo relativo a la gestión de las becas de los estudiantes de la UNED, y 41.4 ha de ser desestimada.</w:t>
      </w:r>
    </w:p>
    <w:p w:rsidR="0085709A" w:rsidRDefault="0085709A" w:rsidP="0085709A">
      <w:pPr>
        <w:pStyle w:val="TextoNormal"/>
      </w:pPr>
    </w:p>
    <w:p w:rsidR="0085709A" w:rsidRDefault="0085709A" w:rsidP="0085709A">
      <w:pPr>
        <w:pStyle w:val="TextoNormal"/>
      </w:pPr>
      <w:r w:rsidRPr="0085709A">
        <w:rPr>
          <w:rStyle w:val="NumeroAFNegritaCaracter"/>
        </w:rPr>
        <w:t>7</w:t>
      </w:r>
      <w:r>
        <w:t>. Cumple, por último enjuiciar, la disposición adicional cuarta que, intitulada Reales Decretos de traspasos, establece:</w:t>
      </w:r>
    </w:p>
    <w:p w:rsidR="0085709A" w:rsidRDefault="0085709A" w:rsidP="0085709A">
      <w:pPr>
        <w:pStyle w:val="TextoNormal"/>
      </w:pPr>
    </w:p>
    <w:p w:rsidR="0085709A" w:rsidRDefault="0085709A" w:rsidP="0085709A">
      <w:pPr>
        <w:pStyle w:val="TextoNormal"/>
      </w:pPr>
      <w:r>
        <w:t>“1. El traspaso del pleno ejercicio de las competencias a cada Comunidad Autónoma en los términos previstos en este Real Decreto se producirá a partir de la fecha señalada en el Acuerdo de la Comisión Mixta por el que se apruebe el traspaso de las funciones, medios y servicios necesarios para la asunción de estas competencias.</w:t>
      </w:r>
    </w:p>
    <w:p w:rsidR="0085709A" w:rsidRDefault="0085709A" w:rsidP="0085709A">
      <w:pPr>
        <w:pStyle w:val="TextoNormal"/>
      </w:pPr>
    </w:p>
    <w:p w:rsidR="0085709A" w:rsidRDefault="0085709A" w:rsidP="0085709A">
      <w:pPr>
        <w:pStyle w:val="TextoNormal"/>
      </w:pPr>
      <w:r>
        <w:t>2. En tanto no se apruebe dicho traspaso, las referencias efectuadas en los artículos 40, 41 y 42 de este Real Decreto a la Comunidad o Comunidades Autónomas deben entenderse realizadas al Ministerio de Educación y Ciencia.”</w:t>
      </w:r>
    </w:p>
    <w:p w:rsidR="0085709A" w:rsidRDefault="0085709A" w:rsidP="0085709A">
      <w:pPr>
        <w:pStyle w:val="TextoNormal"/>
      </w:pPr>
    </w:p>
    <w:p w:rsidR="0085709A" w:rsidRDefault="0085709A" w:rsidP="0085709A">
      <w:pPr>
        <w:pStyle w:val="TextoNormal"/>
      </w:pPr>
      <w:r>
        <w:t>La transcrita disposición adicional cuarta se impugna por diferir el traspaso del pleno ejercicio de las competencias a cada Comunidad Autónoma a la fecha del acuerdo de la comisión mixta por el que se apruebe el traspaso de las funciones, medios y servicios necesarios para la asunción de estas competencias, cuando tal traspaso, aún necesario, no resultaría ser imprescindible para que las Comunidades Autónomas puedan asumir las funciones relacionadas con la gestión de las becas, máxime en un caso como el de Cataluña, en el que la Generalitat gestiona las becas y ayudas al estudio en los términos del oportuno convenio que viene suscribiéndose desde del curso académico 2005-2006. Para el Abogado del Estado, por el contrario, es obvia la necesidad de la transferencia para que comience a ejercerse la competencia, necesidad incluso reconocida en los convenios anuales de colaboración suscritos con la Generalitat de Cataluña en esta materia, sin perjuicio de que la excepcionalidad de la gestión estatal haya sido expresamente plasmada en las disposiciones de desarrollo de lo previsto en el Real Decreto 1721/2007 (disposición transitoria segunda del Real Decreto 472/2014).</w:t>
      </w:r>
    </w:p>
    <w:p w:rsidR="0085709A" w:rsidRDefault="0085709A" w:rsidP="0085709A">
      <w:pPr>
        <w:pStyle w:val="TextoNormal"/>
      </w:pPr>
    </w:p>
    <w:p w:rsidR="0085709A" w:rsidRDefault="0085709A" w:rsidP="0085709A">
      <w:pPr>
        <w:pStyle w:val="TextoNormal"/>
      </w:pPr>
      <w:r>
        <w:lastRenderedPageBreak/>
        <w:t xml:space="preserve">Nuestra doctrina en esta materia se encuentra sintetizada en la STC 158/2004, de 21 de septiembre, FJ 7, citada por ambas partes, según la cual: “respecto a la posibilidad del ejercicio transitorio por el Estado de competencias autonómicas, no puede admitirse, pues ‘como declarábamos en la STC 143/1985, es doctrina muy reiterada de este Tribunal expuesta entre otras en las Sentencias núms. 25/1983, 76/1983, 87/1983, 88/1983, y 113/1983, la de que la titularidad de las competencias corresponde a las Comunidades Autónomas por obra de la Ley Orgánica por medio de la que se aprobó el Estatuto de Autonomía, que actúa </w:t>
      </w:r>
      <w:r w:rsidRPr="0085709A">
        <w:rPr>
          <w:i/>
        </w:rPr>
        <w:t>ope legis</w:t>
      </w:r>
      <w:r>
        <w:t xml:space="preserve"> o </w:t>
      </w:r>
      <w:r w:rsidRPr="0085709A">
        <w:rPr>
          <w:i/>
        </w:rPr>
        <w:t>ipso iure</w:t>
      </w:r>
      <w:r>
        <w:t xml:space="preserve"> haciendo disponible su ejercicio por ellas, sin que exista una suerte de </w:t>
      </w:r>
      <w:r w:rsidRPr="0085709A">
        <w:rPr>
          <w:i/>
        </w:rPr>
        <w:t>vacatio</w:t>
      </w:r>
      <w:r>
        <w:t xml:space="preserve"> en las competencias atribuidas por los Estatutos, y una regla de entrada en vigor diferida de las mismas, a medida que los acuerdos de las Comisiones mixtas lo fueran permitiendo, que sólo traspasen medios materiales o personales ... y que esa atribución </w:t>
      </w:r>
      <w:r w:rsidRPr="0085709A">
        <w:rPr>
          <w:i/>
        </w:rPr>
        <w:t>ipso iure</w:t>
      </w:r>
      <w:r>
        <w:t xml:space="preserve"> de competencias debe entenderse como posibilidad de ejercicio inmediato ... aunque el traspaso de servicios pueda ser condición de pleno ejercicio de las competencias estatutariamente asumidas, cuando según su naturaleza sea necesario e imprescindible, caso en el cual es constitucionalmente lícito el ejercicio de las competencias por el Estado, mientras los servicios no sean transferidos’ (STC 230/2003, FJ 6)”.</w:t>
      </w:r>
    </w:p>
    <w:p w:rsidR="0085709A" w:rsidRDefault="0085709A" w:rsidP="0085709A">
      <w:pPr>
        <w:pStyle w:val="TextoNormal"/>
      </w:pPr>
    </w:p>
    <w:p w:rsidR="0085709A" w:rsidRDefault="0085709A" w:rsidP="0085709A">
      <w:pPr>
        <w:pStyle w:val="TextoNormal"/>
      </w:pPr>
      <w:r>
        <w:t>Resulta entonces que el debate trabado entre las partes versa en realidad acerca de si, en materia de becas y ayudas al estudio, es necesario e imprescindible el traspaso de servicios como condición del pleno ejercicio de las competencias asumidas actualmente en los arts. 131.3 d) y 172.1 g) del Estatuto de Autonomía de Cataluña.</w:t>
      </w:r>
    </w:p>
    <w:p w:rsidR="0085709A" w:rsidRDefault="0085709A" w:rsidP="0085709A">
      <w:pPr>
        <w:pStyle w:val="TextoNormal"/>
      </w:pPr>
    </w:p>
    <w:p w:rsidR="0085709A" w:rsidRDefault="0085709A" w:rsidP="0085709A">
      <w:pPr>
        <w:pStyle w:val="TextoNormal"/>
      </w:pPr>
      <w:r>
        <w:t>Pues bien, sin perjuicio de lo que luego se dirá, el planteamiento de la Comunidad Autónoma recurrente no puede ser aceptado, dado que, atendiendo a su naturaleza de actividad de gestión de fondos públicos no estamos ante una materia en la que no sea necesario el traspaso de medios y servicios para que pueda ser efectivamente ejercida dicha competencia de gestión. Antes al contrario, la necesidad de dicho traspaso, como condición plena para el ejercicio de las competencias de gestión, se infiere sin dificultad tanto de los precedentes como de la situación administrativa actualmente existente. En efecto, en este mismo sentido, el Tribunal ya estableció en las SSTC 124/1989, de 7 de julio, y 209/1990, de 20 de diciembre, que, si bien el traspaso de los servicios del Estado a la Comunidad autónoma respectiva no pueden modificar o alterar el orden de distribución competencial fijado por la Constitución y los Estatutos de Autonomía, no es menos cierto que tales Decretos, cuando se refieren a los medios o instrumentos necesarios para ejercer las competencias atribuidas son condición de pleno ejercicio de las competencias estatutariamente asumidas. Así sucedió con la Comunidad Autónoma del País Vasco (Reales Decretos 3195/1980, de 30 de diciembre, y 1014/1985, de 25 de mayo) y, sobre todo, se presupone en los sucesivos convenios de colaboración suscritos en esta materia entre el Ministerio de Educación y las autoridades autonómicas competentes.</w:t>
      </w:r>
    </w:p>
    <w:p w:rsidR="0085709A" w:rsidRDefault="0085709A" w:rsidP="0085709A">
      <w:pPr>
        <w:pStyle w:val="TextoNormal"/>
      </w:pPr>
    </w:p>
    <w:p w:rsidR="0085709A" w:rsidRDefault="0085709A" w:rsidP="0085709A">
      <w:pPr>
        <w:pStyle w:val="TextoNormal"/>
      </w:pPr>
      <w:r>
        <w:t xml:space="preserve">Así, por ejemplo, el convenio de colaboración con la Comunidad Autónoma de Cataluña, para la gestión de las becas y ayudas al estudio correspondientes al curso académico 2011-2012, publicado mediante resolución de 16 de diciembre de 2011, de la Dirección general de atención, participación y empleabilidad de estudiantes universitarios, en el “Boletín Oficial del Estado” de 3 de enero de 2012, tras disponer en su cláusula octava la obligación del Ministerio de compensar a la Administración de la Generalitat de Cataluña antes de finalizar el ejercicio 2012 por los gastos que supone la gestión prevista en el convenio establece que “esta valoración no vinculará en modo alguno a la Administración General del Estado para </w:t>
      </w:r>
      <w:r>
        <w:lastRenderedPageBreak/>
        <w:t>el cálculo del coste efectivo que se realice a efectos del traspaso y asunción por la Administración de la Generalidad de Cataluña con carácter definitivo de la gestión de las becas y ayudas al estudio”.</w:t>
      </w:r>
    </w:p>
    <w:p w:rsidR="0085709A" w:rsidRDefault="0085709A" w:rsidP="0085709A">
      <w:pPr>
        <w:pStyle w:val="TextoNormal"/>
      </w:pPr>
    </w:p>
    <w:p w:rsidR="0085709A" w:rsidRDefault="0085709A" w:rsidP="0085709A">
      <w:pPr>
        <w:pStyle w:val="TextoNormal"/>
      </w:pPr>
      <w:r>
        <w:t>Desestimada del modo expuesto la queja de la Generalitat de Cataluña es preciso ahora no obstante advertir que, dado el tiempo transcurrido, el mantenimiento de este régimen transitorio y excepcional, derivado del retraso en la asunción por las Comunidades Autónomas de la mayor parte de la gestión del sistema de becas y ayudas al estudio, es difícilmente conciliable con las exigencias de un Estado descentralizado como el nuestro. Hay que recordar a este respecto que la gestión autonómica trae causa directa de la doctrina constitucional establecida ya en la STC 188/2001 y reiterada en la STC 212/2005, doctrina que ha sido expresamente asumida tanto por el legislador orgánico como por el propio Gobierno al establecer, en cumplimiento de los mandatos del legislador orgánico, el régimen jurídico aplicable a estas ayudas.</w:t>
      </w:r>
    </w:p>
    <w:p w:rsidR="0085709A" w:rsidRDefault="0085709A" w:rsidP="0085709A">
      <w:pPr>
        <w:pStyle w:val="TextoNormal"/>
      </w:pPr>
    </w:p>
    <w:p w:rsidR="0085709A" w:rsidRDefault="0085709A" w:rsidP="0085709A">
      <w:pPr>
        <w:pStyle w:val="TextoNormal"/>
      </w:pPr>
      <w:r>
        <w:t>Por tanto, como hemos hecho en la STC 26/2013, de 31 de enero, FJ 9, “debemos recordar nuevamente lo que dijimos en la STC 208/1999, de 11 de noviembre, FJ 8,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 Como afirmamos ‘la lealtad constitucional obliga a todos (STC 209/1990, de 20 de diciembre, FJ 4) y comprende, sin duda, el respeto a las decisiones de este Alto Tribunal’.” En efecto, como también afirmamos en la STC 40/2013, de 14 de febrero, FJ 8, recogiendo lo manifestado en la STC 230/2003, de 18 de diciembre, FJ 6: “las Sentencias de este Tribunal, de las que deriva una doctrina —la doctrina constitucional—, como señala el art. 40.2 de la Ley Orgánica del Tribunal Constitucional (LOTC), tienen el valor de cosa juzgada (art. 164.1 CE), de suerte que todos los poderes públicos, tal como prescribe el art. 87.1 LOTC, están obligados a dar cumplimiento a lo que el Tribunal Constitucional resuelva cualquiera que sea el procedimiento en que lo haya sido. Los mencionados preceptos determinan, por sí solos, una eficacia de las Sentencias de este Tribunal que no se proyecta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parcialmente el conflicto positivo de competencias y, en consecuencia, declarar la inconstitucionalidad y nulidad del inciso “destinadas a cursar estudios en Comunidad Autónoma distinta a la del domicilio familiar del estudiante” del art. 1.4 del Real Decreto 1721/2007, de 21 de diciembre.</w:t>
      </w:r>
    </w:p>
    <w:p w:rsidR="0085709A" w:rsidRDefault="0085709A" w:rsidP="0085709A">
      <w:pPr>
        <w:pStyle w:val="TextoNormal"/>
      </w:pPr>
    </w:p>
    <w:p w:rsidR="0085709A" w:rsidRDefault="0085709A" w:rsidP="0085709A">
      <w:pPr>
        <w:pStyle w:val="TextoNormal"/>
      </w:pPr>
      <w:r>
        <w:lastRenderedPageBreak/>
        <w:t>2º Desestimar el conflicto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febrero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a la Sentencia dictada en el conflicto positivo de competencia núm. 3321-2008.</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pleno respeto a la opinión de la mayoría del Pleno, expreso mi discrepancia con el fundamento jurídico 6 de la Sentencia, en virtud de los argumentos que defendí en la deliberación del Pleno y que expongo a continuación. En mi opinión, la Sentencia debió estimar el conflicto también en relación con la reivindicación competencial de la gestión de las ayudas destinadas a los alumnos de la Universidad Nacional de Educación a Distancia (UNED).</w:t>
      </w:r>
    </w:p>
    <w:p w:rsidR="0085709A" w:rsidRDefault="0085709A" w:rsidP="0085709A">
      <w:pPr>
        <w:pStyle w:val="TextoNormal"/>
      </w:pPr>
    </w:p>
    <w:p w:rsidR="0085709A" w:rsidRDefault="0085709A" w:rsidP="0085709A">
      <w:pPr>
        <w:pStyle w:val="TextoNormal"/>
      </w:pPr>
      <w:r>
        <w:t>Comparto el diagnóstico que hace la Sentencia en el sentido de que la controversia competencial, relativa a la no territorialización de las becas y ayudas al estudio destinadas a los alumnos de la UNED y a la gestión centralizada que ello supone, deriva de que el art. 1.4 del Real Decreto 1721/2007 ha fijado implícitamente para este caso como punto de conexión el relativo a la dependencia administrativa de la UNED. Lo que no comparto es la conclusión sobre la conformidad constitucional de dicho punto de conexión a la que llega la Sentencia. La argumentación de la Sentencia es especialmente escueta e imprecisa a este respecto, donde en su fundamento jurídico 10 dice:</w:t>
      </w:r>
    </w:p>
    <w:p w:rsidR="0085709A" w:rsidRDefault="0085709A" w:rsidP="0085709A">
      <w:pPr>
        <w:pStyle w:val="TextoNormal"/>
      </w:pPr>
    </w:p>
    <w:p w:rsidR="0085709A" w:rsidRDefault="0085709A" w:rsidP="0085709A">
      <w:pPr>
        <w:pStyle w:val="TextoNormal"/>
      </w:pPr>
      <w:r>
        <w:t xml:space="preserve">“La movilidad implícita en este tipo de estudios justifica que, en este caso, el Estado, en el ejercicio de sus competencias en materia de educación superior, haya optado por establecer un punto de conexión que no se basa en la residencia de los estudiantes o de sus familias, sino que, como excepción, utilice un criterio basado en la dependencia administrativa de la universidad, lo que no es reprochable desde el punto de vista del orden constitucional de distribución de competencias, si se atiende tanto al modelo de impartición de enseñanza en estos centros, como sus especiales características, a las que, específicamente en relación con la UNED, ya hemos aludido en ocasiones anteriores (STC 223/2012, de 29 de noviembre, FJ 7 </w:t>
      </w:r>
      <w:r w:rsidRPr="0085709A">
        <w:rPr>
          <w:i/>
        </w:rPr>
        <w:t>in fine</w:t>
      </w:r>
      <w:r>
        <w:t>) y también han sido expresamente contempladas por el legislador orgánico en materia de universidades (disposición adicional segunda de la Ley Orgánica 6/2001).”</w:t>
      </w:r>
    </w:p>
    <w:p w:rsidR="0085709A" w:rsidRDefault="0085709A" w:rsidP="0085709A">
      <w:pPr>
        <w:pStyle w:val="TextoNormal"/>
      </w:pPr>
    </w:p>
    <w:p w:rsidR="0085709A" w:rsidRDefault="0085709A" w:rsidP="0085709A">
      <w:pPr>
        <w:pStyle w:val="TextoNormal"/>
      </w:pPr>
      <w:r>
        <w:t xml:space="preserve">Debe subrayarse en primer lugar que el referido punto de conexión —“la dependencia administrativa de la universidad”— se diferencia radicalmente tanto del aplicado por la norma impugnada a las ayudas al estudio que considera territorializables (las destinadas a cursar estudios universitarios en la comunidad autónoma del domicilio familiar del estudiante) como del aplicado a determinadas ayudas que la norma impugnada consideraba no territorializables pero que nuestra Sentencia ha sometido al mismo punto de conexión (las destinadas a cursar estudios universitarios en una comunidad autónoma distinta del domicilio familiar del estudiante). Recordemos que la norma impugnada establece que las becas y ayudas al estudio en la misma comunidad autónoma se solicitarían “a la comunidad autónoma en que se encuentre el domicilio familiar del interesado” (art. 41.3), y que nuestra Sentencia, con una fundamentación que comparto enteramente, ha entendido que ese mismo criterio es el que debe regir para las ayudas al estudio en una comunidad autónoma distinta </w:t>
      </w:r>
      <w:r>
        <w:lastRenderedPageBreak/>
        <w:t>del domicilio familiar del estudiante. En suma, haya o no movilidad, el punto de conexión constitucionalmente adecuado para la gestión de las ayudas al estudio universitario es el de la comunidad autónoma del domicilio familiar del estudiante. Sin embargo, cuando se trata de examinar la constitucionalidad de la gestión centralizada de las ayudas al estudio en la UNED, la Sentencia de la que discrepo en este punto considera que existe una “excepción” al punto de conexión anteriormente establecido y aplicado, punto de conexión que, reitero, no se explicita en la propia norma impugnada sino que, todo lo más, se desprende implícitamente del modelo de gestión centralizada previsto en la norma. El objeto de mi discrepancia se ciñe, por tanto, a la admisión de esta “excepción” al criterio general que nuestra Sentencia establece.</w:t>
      </w:r>
    </w:p>
    <w:p w:rsidR="0085709A" w:rsidRDefault="0085709A" w:rsidP="0085709A">
      <w:pPr>
        <w:pStyle w:val="TextoNormal"/>
      </w:pPr>
    </w:p>
    <w:p w:rsidR="0085709A" w:rsidRDefault="0085709A" w:rsidP="0085709A">
      <w:pPr>
        <w:pStyle w:val="TextoNormal"/>
      </w:pPr>
      <w:r>
        <w:t>A mi juicio, compete a este Tribunal el control de la racionalidad de ese punto de conexión “excepcional” que han establecido los órganos centrales del Estado (en el presente caso, el Gobierno) para un supuesto específico de ayudas, pues los puntos de conexión que establezcan los órganos centrales del Estado no deben ser arbitrarios, sino acordes con una justificación racional. Exigencias de justificación que derivan de, por un lado, del principio de interdicción de la arbitrariedad de los poderes públicos (art. 9.3 CE), y, por otro, de la necesaria observancia a lo establecido en el bloque de constitucionalidad en el que se fundamentan las competencias ejecutivas asumidas por las Comunidades Autónomas.</w:t>
      </w:r>
    </w:p>
    <w:p w:rsidR="0085709A" w:rsidRDefault="0085709A" w:rsidP="0085709A">
      <w:pPr>
        <w:pStyle w:val="TextoNormal"/>
      </w:pPr>
    </w:p>
    <w:p w:rsidR="0085709A" w:rsidRDefault="0085709A" w:rsidP="0085709A">
      <w:pPr>
        <w:pStyle w:val="TextoNormal"/>
      </w:pPr>
      <w:r>
        <w:t>Con el debido respeto a mis compañeros, me resulta sorprendente el descubrimiento de una nueva forma de movilidad: la “movilidad implícita”. No veo de qué forma se produce esa supuesta “movilidad implícita” de que disfrutarían los alumnos de la UNED, ni alcanzo a vislumbrar cuál podría ser su punto de destino. Pero, en todo caso, si ya la Sentencia ha descartado la relevancia competencial del argumento de la movilidad de los alumnos que cursan estudios en una comunidad autónoma distinta de la del domicilio familiar, no se comprende por qué debería aceptarse otra forma de movilidad en relación con los estudios en la UNED.</w:t>
      </w:r>
    </w:p>
    <w:p w:rsidR="0085709A" w:rsidRDefault="0085709A" w:rsidP="0085709A">
      <w:pPr>
        <w:pStyle w:val="TextoNormal"/>
      </w:pPr>
    </w:p>
    <w:p w:rsidR="0085709A" w:rsidRDefault="0085709A" w:rsidP="0085709A">
      <w:pPr>
        <w:pStyle w:val="TextoNormal"/>
      </w:pPr>
      <w:r>
        <w:t>Por lo demás, entiendo que ninguna de las otras circunstancias, a las que sin excesivo convencimiento alude la Sentencia, permite razonablemente fundamentar la centralización de la gestión de las becas y ayudas. No puede fundamentarse en la referencia al “modelo de impartición de enseñanza en estos centros” pues la enseñanza a distancia es una enseñanza fundamentalmente no presencial y no se entiende por qué esa modalidad de enseñanza ha de determinar la imposibilidad de territorializar la gestión de las ayudas, alterando el punto de conexión constitucionalmente válido para las demás ayudas al estudio: el domicilio familiar del estudiante. Tampoco la imprecisa alusión a las “especiales características” del mencionado modelo de enseñanza permite avanzar en una justificación constitucional del punto de conexión que se mantiene por la norma impugnada.</w:t>
      </w:r>
    </w:p>
    <w:p w:rsidR="0085709A" w:rsidRDefault="0085709A" w:rsidP="0085709A">
      <w:pPr>
        <w:pStyle w:val="TextoNormal"/>
      </w:pPr>
    </w:p>
    <w:p w:rsidR="0085709A" w:rsidRDefault="0085709A" w:rsidP="0085709A">
      <w:pPr>
        <w:pStyle w:val="TextoNormal"/>
      </w:pPr>
      <w:r>
        <w:t xml:space="preserve">La Sentencia señala que tales “especiales características” —que, no obstante, carecen de precisión— ya fueron aludidas en ocasiones anteriores por este Tribunal, y menciona a este respecto la STC 223/2012, FJ 7. Sin embargo, la cuestión enjuiciada entonces fue muy distinta a la que nos ocupa ahora: se trataba de determinar si el Estado podía crear universidades públicas. En ese marco, este Tribunal señaló que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w:t>
      </w:r>
      <w:r>
        <w:lastRenderedPageBreak/>
        <w:t>como lo son, hasta la fecha, la Universidad Nacional de Educación a Distancia y la Universidad Internacional Menéndez Pelayo”. Sobre la cuestión de fondo que se debatió entonces ya me pronuncié en el Voto particular que formulé a la STC 223/2012. Lo que me interesa destacar ahora es lo siguiente: nadie pone en duda las especiales características de la educación a distancia, lo que resulta discutible es que esas especiales características justifiquen la alteración del punto de conexión ordinario en esta materia (el de la comunidad autónoma del domicilio familiar del estudiante) y, con ello, la regla de la titularidad autonómica de las competencias ejecutivas en materia educativa.</w:t>
      </w:r>
    </w:p>
    <w:p w:rsidR="0085709A" w:rsidRDefault="0085709A" w:rsidP="0085709A">
      <w:pPr>
        <w:pStyle w:val="TextoNormal"/>
      </w:pPr>
    </w:p>
    <w:p w:rsidR="0085709A" w:rsidRDefault="0085709A" w:rsidP="0085709A">
      <w:pPr>
        <w:pStyle w:val="TextoNormal"/>
      </w:pPr>
      <w:r>
        <w:t>Entiendo, en suma, que el precepto impugnado, en la medida que establece la gestión centralizada de las becas y ayudas al estudio en la UNED, en una materia en la que la Comunidad Autónoma ostenta, conforme al encuadramiento competencial del que parte la Sentencia, competencias ejecutivas, vulnera el orden de distribución de competencias, ya que las razones que la Sentencia aporta para justificar la centralización no pueden ser aceptadas como justificativas de la centralización pretendida. Por tanto, la conclusión debió ser que, con dicha centralización, se vulneran las competencias autonómicas de ejecución en materia educativa, lo que hubiera determinado la estimación del conflicto también en este punto y la correspondiente declaración de inconstitucionalidad y nulidad del inciso “las destinadas a los alumnos de la Universidad Nacional de Educación a Distancia” del art. 1.4 del Real Decreto 1721/2007, por el que se establece el régimen de las becas y ayudas al estudio personalizadas.</w:t>
      </w:r>
    </w:p>
    <w:p w:rsidR="0085709A" w:rsidRDefault="0085709A" w:rsidP="0085709A">
      <w:pPr>
        <w:pStyle w:val="TextoNormal"/>
      </w:pPr>
    </w:p>
    <w:p w:rsidR="0085709A" w:rsidRDefault="0085709A" w:rsidP="0085709A">
      <w:pPr>
        <w:pStyle w:val="TextoNormal"/>
      </w:pPr>
      <w:r>
        <w:t>Madrid, a diecinueve de febrero de dos mil quince.</w:t>
      </w:r>
    </w:p>
    <w:p w:rsidR="0085709A" w:rsidRDefault="0085709A" w:rsidP="0085709A">
      <w:pPr>
        <w:pStyle w:val="TextoNormal"/>
      </w:pPr>
    </w:p>
    <w:p w:rsidR="0085709A" w:rsidRDefault="0085709A" w:rsidP="0085709A">
      <w:pPr>
        <w:pStyle w:val="TextoNormalNegritaCentrado"/>
        <w:keepNext/>
      </w:pPr>
      <w:r>
        <w:t>Voto particular que formula el Magistrado don Juan José González Rivas respecto de la Sentencia de 19 de febrero de 2015, dictada en el conflicto positivo de competencia núm. 3321-2008, al que se adhieren los Magistrados don Andrés Ollero Tassara, don Pedro José González-Trevijano Sánchez y don Ricardo Enríquez Sancho.</w:t>
      </w:r>
    </w:p>
    <w:p w:rsidR="0085709A" w:rsidRDefault="0085709A" w:rsidP="0085709A">
      <w:pPr>
        <w:pStyle w:val="TextoNormalNegritaCentrado"/>
        <w:keepNext/>
      </w:pPr>
    </w:p>
    <w:p w:rsidR="0085709A" w:rsidRDefault="0085709A" w:rsidP="0085709A">
      <w:pPr>
        <w:pStyle w:val="TextoNormal"/>
      </w:pPr>
      <w:r>
        <w:t>Con el mayor respeto a la posición mayoritaria y haciendo uso de la facultad reconocida en el art. 90.2 de la Ley Orgánica del Tribunal Constitucional, formulo Voto particular y concreto mi discrepancia sustancial con el parecer que ha prevalecido, en el punto concerniente al alcance y naturaleza de las becas de movilidad, al estimar parcialmente el conflicto positivo de competencia planteado por la Generalitat de Cataluña contra el art. 1.4 del Real Decreto 1721/2007, de 21 de diciembre, por el que se establece el régimen de becas y ayudas al estudio personalizadas, al considerar que tal precepto vulnera la distribución constitucional y estatutaria de competencias en materia de educación y de universidades, lo que supone el reconocimiento de ciertas competencias autonómicas sobre el régimen de tales becas y ayudas estatales [arts. 131.3 d) y 172.1 g) del Estatuto de Autonomía de Cataluña: EAC], en coherencia con la doctrina constitucional sentada en las SSTC 188/2001, de 20 de septiembre, y 212/2005, de 21 de julio.</w:t>
      </w:r>
    </w:p>
    <w:p w:rsidR="0085709A" w:rsidRDefault="0085709A" w:rsidP="0085709A">
      <w:pPr>
        <w:pStyle w:val="TextoNormal"/>
      </w:pPr>
    </w:p>
    <w:p w:rsidR="0085709A" w:rsidRDefault="0085709A" w:rsidP="0085709A">
      <w:pPr>
        <w:pStyle w:val="TextoNormal"/>
      </w:pPr>
      <w:r>
        <w:t>1. A mi juicio, resultan necesarias unas primeras consideraciones para delimitar la controversia planteada en relación a las becas de movilidad.</w:t>
      </w:r>
    </w:p>
    <w:p w:rsidR="0085709A" w:rsidRDefault="0085709A" w:rsidP="0085709A">
      <w:pPr>
        <w:pStyle w:val="TextoNormal"/>
      </w:pPr>
    </w:p>
    <w:p w:rsidR="0085709A" w:rsidRDefault="0085709A" w:rsidP="0085709A">
      <w:pPr>
        <w:pStyle w:val="TextoNormal"/>
      </w:pPr>
      <w:r>
        <w:lastRenderedPageBreak/>
        <w:t>En efecto, debemos resaltar que la demanda del conflicto sustancia la controversia competencial en que el art. 1.4 del Real Decreto 1721/2007 habilita al Gobierno a no territorializar las becas de movilidad, y no en el uso posterior que el Gobierno haga de esa habilitación, actuación esta última que, por ser ajena a este proceso, debe quedar imprejuzgada, pudiendo la Generalitat, en su caso, plantear respecto de ella el correspondiente conflicto.</w:t>
      </w:r>
    </w:p>
    <w:p w:rsidR="0085709A" w:rsidRDefault="0085709A" w:rsidP="0085709A">
      <w:pPr>
        <w:pStyle w:val="TextoNormal"/>
      </w:pPr>
    </w:p>
    <w:p w:rsidR="0085709A" w:rsidRDefault="0085709A" w:rsidP="0085709A">
      <w:pPr>
        <w:pStyle w:val="TextoNormal"/>
      </w:pPr>
      <w:r>
        <w:t>Este criterio de delimitación del objeto de un conflicto de competencia es el que late en la STC 64/1989, de 6 de abril, FJ 4, que, resolviendo una disputa competencial relativa igualmente a unas ayudas, afirma que “sin prejuzgar, por tanto, el uso que de la referida autorización hiciera el Gobierno aprobando el Real Decreto 2089/1984, de 14 de noviembre, lo cual escapa del presente proceso constitucional, la autorización en sí, dada al Gobierno por la Disposición adicional primera de la Ley impugnada, tampoco resulta contraria a la Constitución, ni impide el ejercicio por la Comunidad Autónoma de Galicia de sus competencias propias”. Lo razonado significa que el modo en que el Gobierno materializó la habilitación resultante del art. 1.4 del Real Decreto 1721/2007, entre otros, en el posterior Real Decreto 1000/2012, o en los invocados en la Sentencia, escapa del presente proceso constitucional, pudiendo la Generalitat de Cataluña haber promovido contra él un conflicto autónomo. De lo contrario, si considerásemos para decidir esta controversia el contenido del Real Decreto 1000/2012 estaríamos resolviendo sobre la adecuación al reparto constitucional, no de la habilitación en sí, sino de un determinado modo de hacer uso de esa habilitación.</w:t>
      </w:r>
    </w:p>
    <w:p w:rsidR="0085709A" w:rsidRDefault="0085709A" w:rsidP="0085709A">
      <w:pPr>
        <w:pStyle w:val="TextoNormal"/>
      </w:pPr>
    </w:p>
    <w:p w:rsidR="0085709A" w:rsidRDefault="0085709A" w:rsidP="0085709A">
      <w:pPr>
        <w:pStyle w:val="TextoNormal"/>
      </w:pPr>
      <w:r>
        <w:t>2. La controversia competencial versaba, en mi opinión, sobre ciertos aspectos del sistema de becas y ayudas al estudio, y dado que las SSTC 188/2001, de 20 de septiembre, y 212/2005, de 21 de julio, han resuelto sendos conflictos de competencia sobre esta materia, procede que acudamos a ellas.</w:t>
      </w:r>
    </w:p>
    <w:p w:rsidR="0085709A" w:rsidRDefault="0085709A" w:rsidP="0085709A">
      <w:pPr>
        <w:pStyle w:val="TextoNormal"/>
      </w:pPr>
    </w:p>
    <w:p w:rsidR="0085709A" w:rsidRDefault="0085709A" w:rsidP="0085709A">
      <w:pPr>
        <w:pStyle w:val="TextoNormal"/>
      </w:pPr>
      <w:r>
        <w:t>a) A las becas y ayudas al estudio se las considera subvenciones, pues el sistema de becas “constituye una regulación consistente en una aportación dineraria o beneficio que se concede [a quienes …] cumplan determinados requisitos en el marco general de un sistema de educación compensatoria inspirado en los principios de igualdad de oportunidades y solidaridad constitutivo de un fin público esencial de un Estado social moderno” (STC 188/2001, FJ 7), y recordamos “que, en relación con las ayudas o subvenciones incorporadas a los Presupuestos Generales del Estado, hemos manifestado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w:t>
      </w:r>
    </w:p>
    <w:p w:rsidR="0085709A" w:rsidRDefault="0085709A" w:rsidP="0085709A">
      <w:pPr>
        <w:pStyle w:val="TextoNormal"/>
      </w:pPr>
    </w:p>
    <w:p w:rsidR="0085709A" w:rsidRDefault="0085709A" w:rsidP="0085709A">
      <w:pPr>
        <w:pStyle w:val="TextoNormal"/>
      </w:pPr>
      <w:r>
        <w:t xml:space="preserve">Así, continuábamos afirmando en la STC 188/2001, FJ 7,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w:t>
      </w:r>
      <w:r>
        <w:lastRenderedPageBreak/>
        <w:t>o, al menos, para desarrollar o complementar la regulación de las condiciones de otorgamiento de las ayudas y su tramitación y siempre que respete las competencias exclusivas de ejecución y gestión que corresponda a las Comunidades Autónomas”.</w:t>
      </w:r>
    </w:p>
    <w:p w:rsidR="0085709A" w:rsidRDefault="0085709A" w:rsidP="0085709A">
      <w:pPr>
        <w:pStyle w:val="TextoNormal"/>
      </w:pPr>
    </w:p>
    <w:p w:rsidR="0085709A" w:rsidRDefault="0085709A" w:rsidP="0085709A">
      <w:pPr>
        <w:pStyle w:val="TextoNormal"/>
      </w:pPr>
      <w:r>
        <w:t>Pero también añadía: “salvo que la naturaleza de la medida haga imprescindible la gestión directa y centralizada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destinados a la subvención. En todo caso, la necesidad de la gestión centralizada debe aparecer razonablemente justificada o deducirse sin esfuerzo de la naturaleza y contenido de la medida de fomento de que se trate”, doctrina reiterada en la STC 212/2005, de 21 de julio, FJ 6 a).</w:t>
      </w:r>
    </w:p>
    <w:p w:rsidR="0085709A" w:rsidRDefault="0085709A" w:rsidP="0085709A">
      <w:pPr>
        <w:pStyle w:val="TextoNormal"/>
      </w:pPr>
    </w:p>
    <w:p w:rsidR="0085709A" w:rsidRDefault="0085709A" w:rsidP="0085709A">
      <w:pPr>
        <w:pStyle w:val="TextoNormal"/>
      </w:pPr>
      <w:r>
        <w:t>Es importante apuntar que, al menos por lo que hace a las becas de movilidad, lo único que la Generalitat impugna es que se atribuya al Estado su gestión, desconociendo así las competencias autonómicas de ejecución. En este punto, en mi opinión y frente al criterio mayoritario, la gestión centralizada de subvenciones es un supuesto que, según la STC 13/1992, FJ 8.d),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Este criterio jurisprudencial se reitera en las SSTC 79/1992, de 28 de mayo, FJ 2; 330/1993, de 12 de noviembre, FJ 3; 109/1996, de 13 de junio, FJ 5; 200/2009, de 28 de septiembre, FJ 3; y 159/2011, de 19 de octubre, FJ 7.</w:t>
      </w:r>
    </w:p>
    <w:p w:rsidR="0085709A" w:rsidRDefault="0085709A" w:rsidP="0085709A">
      <w:pPr>
        <w:pStyle w:val="TextoNormal"/>
      </w:pPr>
    </w:p>
    <w:p w:rsidR="0085709A" w:rsidRDefault="0085709A" w:rsidP="0085709A">
      <w:pPr>
        <w:pStyle w:val="TextoNormal"/>
      </w:pPr>
      <w:r>
        <w:t>b) La actividad pública orientada a conceder becas y ayudas al estudio se incardina en la materia educación. Como dice la STC 188/2001, FJ 5, “el legislador orgánico, al desarrollar el derecho a la educación (art. 27 CE), ha considerado a las becas como un elemento central para la efectividad de tal derecho”, si bien (FJ 6) “aparece plenamente justificado que dichas becas, configuradas por el legislador orgánico como un elemento central para la garantía del derecho a la educación, sin mayor precisión normativa, sean reguladas de modo complementario por la normativa básica que le está atribuida al Estado para garantizar, precisamente, ese derecho”.</w:t>
      </w:r>
    </w:p>
    <w:p w:rsidR="0085709A" w:rsidRDefault="0085709A" w:rsidP="0085709A">
      <w:pPr>
        <w:pStyle w:val="TextoNormal"/>
      </w:pPr>
    </w:p>
    <w:p w:rsidR="0085709A" w:rsidRDefault="0085709A" w:rsidP="0085709A">
      <w:pPr>
        <w:pStyle w:val="TextoNormal"/>
      </w:pPr>
      <w:r>
        <w:t>Esta competencia estatal se relaciona con las autonómicas que, sobre las becas y ayudas al estudio en la enseñanza no universitaria y universitaria, se recogen, respectivamente, en los arts. 131.3 d) y 172.1 g) EAC, pero en la misma STC 188/2001, FJ 13, reconocimos que ciertos aspectos de esta actuación pública son reconducibles a la regulación de las condiciones básicas que garantizan la igualdad en el ejercicio de los derechos constitucionales (art. 149.1.1 CE), en este caso el derecho a la educación, señalando expresamente que “debe distinguirse, de un lado, entre los elementos generales conformadores del derecho a obtener una beca, amparables en el art. 149.1.1 CE y alcanzados por la legislación orgánica y, cumpliendo determinadas exigencias, por la reglamentaria general, y, de otro, los criterios de política educativa que instrumentan coyunturalmente su acceso al mismo”.</w:t>
      </w:r>
    </w:p>
    <w:p w:rsidR="0085709A" w:rsidRDefault="0085709A" w:rsidP="0085709A">
      <w:pPr>
        <w:pStyle w:val="TextoNormal"/>
      </w:pPr>
    </w:p>
    <w:p w:rsidR="0085709A" w:rsidRDefault="0085709A" w:rsidP="0085709A">
      <w:pPr>
        <w:pStyle w:val="TextoNormal"/>
      </w:pPr>
      <w:r>
        <w:lastRenderedPageBreak/>
        <w:t>c) Las citadas SSTC 188/2001 y 212/2005, aplicando los dos elementos de la doctrina constitucional que acabamos de reseñar en los apartados a) y b), resuelven que no es acorde con el reparto constitucional de competencias que las becas y ayudas al estudio generales (STC 188/2001) y las ayudas de educación especial (STC 212/2005) se gestionen de un modo centralizado, pero dichas Sentencias, en ningún momento, afirman como doctrina constitucional que la gestión de todas las becas y ayudas al estudio, independientemente de su tipología y del fin que explique su sentido último, deba territorializarse.</w:t>
      </w:r>
    </w:p>
    <w:p w:rsidR="0085709A" w:rsidRDefault="0085709A" w:rsidP="0085709A">
      <w:pPr>
        <w:pStyle w:val="TextoNormal"/>
      </w:pPr>
    </w:p>
    <w:p w:rsidR="0085709A" w:rsidRDefault="0085709A" w:rsidP="0085709A">
      <w:pPr>
        <w:pStyle w:val="TextoNormal"/>
      </w:pPr>
      <w:r>
        <w:t>3. La cuestión esencial en esta controversia consistía en decidir si, aplicando los dos criterios que define la doctrina constitucional en esta materia, las becas y ayudas al estudio objeto de este proceso deben seguir el mismo régimen de gestión descentralizada que las enjuiciadas en aquellas Sentencias o, por el contrario, dada su especial caracterización, resulta conforme a la distribución constitucional de competencias la no territorialización de las mismas prevista en el art. 1.4 del Real Decreto 1721/2007, por concurrir los dos requisitos cumulativos que, de acuerdo a la doctrina recopilada en la STC 13/1992, FJ 8 d), y reiterada posteriormente en otras muchas sentencias, hacen posible su gestión centralizada en lugar de la ejecución autonómica de fondos previamente territorializados, pues el Estado ostenta en la materia tanto la competencia básica prevista en el art. 149.1.30 CE como la competencia exclusiva que deriva del art. 149.1.1 CE.</w:t>
      </w:r>
    </w:p>
    <w:p w:rsidR="0085709A" w:rsidRDefault="0085709A" w:rsidP="0085709A">
      <w:pPr>
        <w:pStyle w:val="TextoNormal"/>
      </w:pPr>
    </w:p>
    <w:p w:rsidR="0085709A" w:rsidRDefault="0085709A" w:rsidP="0085709A">
      <w:pPr>
        <w:pStyle w:val="TextoNormal"/>
      </w:pPr>
      <w:r>
        <w:t>La anterior apreciación exige, a mi juicio, un análisis más detenido sobre si se da alguna de las circunstancias complementarias que exige el supuesto d) del fundamento jurídico 8 de la STC 13/1992, esto es, que la gestión centralizada resultaba imprescindible para asegurar la plena efectividad de las medidas dentro de la ordenación básica del sector, o que sea necesaria para garantizar las mismas posibilidades de obtención y disfrute por parte de sus potenciales destinatarios en todo el territorio nacional, evitando al propio tiempo que se sobrepase la cuantía global de los fondos estatales destinados al sector.</w:t>
      </w:r>
    </w:p>
    <w:p w:rsidR="0085709A" w:rsidRDefault="0085709A" w:rsidP="0085709A">
      <w:pPr>
        <w:pStyle w:val="TextoNormal"/>
      </w:pPr>
    </w:p>
    <w:p w:rsidR="0085709A" w:rsidRDefault="0085709A" w:rsidP="0085709A">
      <w:pPr>
        <w:pStyle w:val="TextoNormal"/>
      </w:pPr>
      <w:r>
        <w:t>Estas condiciones han sido precisadas cuando se trata de subvenciones en las que hay un elemento de supraterritorialidad, estableciendo nuestra doctrina (por todas, STC 163/2013, de 26 de septiembre, FJ 4) que “la centralización de las funciones de ejecución solo puede tener lugar …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grado de homogeneidad que sólo pueda garantizar su atribución a un solo titular, que forzosamente deba ser el Estado, o cuando sea necesario recurrir a un ente con capacidad de integrar intereses contrapuestos de varias Comunidades Autónomas’ lo que ya reconocieron las SSTC 243/1994, de 21 de julio, FJ 6; 242/1999, de 21 de diciembre, FJ 18; y 190/2000, de 13 de julio, FJ 9, a lo que debe añadirse la necesidad de una coordinación unificada que expresamente recoge el fundamento jurídico 7 de la STC 22/2014, de 13 de febrero.</w:t>
      </w:r>
    </w:p>
    <w:p w:rsidR="0085709A" w:rsidRDefault="0085709A" w:rsidP="0085709A">
      <w:pPr>
        <w:pStyle w:val="TextoNormal"/>
      </w:pPr>
    </w:p>
    <w:p w:rsidR="0085709A" w:rsidRDefault="0085709A" w:rsidP="0085709A">
      <w:pPr>
        <w:pStyle w:val="TextoNormal"/>
      </w:pPr>
      <w:r>
        <w:t xml:space="preserve">4. En la demanda se argumenta que la STC 188/2001, FJ 11, fijó un criterio [luego confirmado en la STC 212/2005, FJ 10 a)] según el cual en la materia becas y ayudas al estudio no se aprecia ninguno de los motivos que justificarían excepcionar la gestión descentralizada por las Comunidades Autónomas al subrayar: “que la garantía de la eficacia de la normativa estatal ha de cohonestarse con el respeto al principio de autonomía, de modo que, en </w:t>
      </w:r>
      <w:r>
        <w:lastRenderedPageBreak/>
        <w:t>tal sentido, las ‘dificultades que pudieran existir ...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(STC 106/1987, FJ 4)’ (STC 186/1999, de 14 de octubre, FJ 10)”.</w:t>
      </w:r>
    </w:p>
    <w:p w:rsidR="0085709A" w:rsidRDefault="0085709A" w:rsidP="0085709A">
      <w:pPr>
        <w:pStyle w:val="TextoNormal"/>
      </w:pPr>
    </w:p>
    <w:p w:rsidR="0085709A" w:rsidRDefault="0085709A" w:rsidP="0085709A">
      <w:pPr>
        <w:pStyle w:val="TextoNormal"/>
      </w:pPr>
      <w:r>
        <w:t>Sin embargo, tal criterio tenía, en mi opinión, un contexto concreto que difiere del que enmarca la controversia competencial que corresponde dirimir en este proceso.</w:t>
      </w:r>
    </w:p>
    <w:p w:rsidR="0085709A" w:rsidRDefault="0085709A" w:rsidP="0085709A">
      <w:pPr>
        <w:pStyle w:val="TextoNormal"/>
      </w:pPr>
    </w:p>
    <w:p w:rsidR="0085709A" w:rsidRDefault="0085709A" w:rsidP="0085709A">
      <w:pPr>
        <w:pStyle w:val="TextoNormal"/>
      </w:pPr>
      <w:r>
        <w:t>a) En la STC 188/2001 el objeto del conflicto eran sendas órdenes del Ministerio de Educación y Ciencia de 15 de junio de 1994 y de 30 de junio de 1997, por las que se convocaban becas y ayudas al estudio de carácter general para estudios universitarios y medios para un curso académico determinado. Ambas se caracterizaban por contener una regulación completa de dichas convocatorias, lo que permitía conocer en toda su extensión el régimen jurídico de estas ayudas y decidir, en consecuencia, que así configuradas no era necesario que el Estado, además de la regulación de las mismas, conservase su gestión. Esto es también lo ocurrido en las STC 212/2005, donde se impugnaba la Orden de 1 de julio de 1996 del Ministerio de Educación y Cultura, por la que se convocaban ayudas de educación especial para el curso 1996-1997, que también recoge la regulación completa de las mismas.</w:t>
      </w:r>
    </w:p>
    <w:p w:rsidR="0085709A" w:rsidRDefault="0085709A" w:rsidP="0085709A">
      <w:pPr>
        <w:pStyle w:val="TextoNormal"/>
      </w:pPr>
    </w:p>
    <w:p w:rsidR="0085709A" w:rsidRDefault="0085709A" w:rsidP="0085709A">
      <w:pPr>
        <w:pStyle w:val="TextoNormal"/>
      </w:pPr>
      <w:r>
        <w:t>En las condiciones en que se planteaba este conflicto adquiere relevancia la doctrina que establecimos en la STC 33/2014, de 27 de febrero, FJ 4 b), según la que “únicamente sería posible apreciar si la igualdad de todos los españoles en el ejercicio de los derechos realmente se promueve con las ayudas estatales recogidas en tales programas cuando las mismas tengan una regulación más completa y acabada”, doctrina que nos condujo en aquella ocasión a desestimar el conflicto en este punto.</w:t>
      </w:r>
    </w:p>
    <w:p w:rsidR="0085709A" w:rsidRDefault="0085709A" w:rsidP="0085709A">
      <w:pPr>
        <w:pStyle w:val="TextoNormal"/>
      </w:pPr>
    </w:p>
    <w:p w:rsidR="0085709A" w:rsidRDefault="0085709A" w:rsidP="0085709A">
      <w:pPr>
        <w:pStyle w:val="TextoNormal"/>
      </w:pPr>
      <w:r>
        <w:t>b) Las becas y ayudas de movilidad, por la específica función que realizan, tienen una naturaleza distinta de las becas generales y de educación especial enjuiciadas, respectivamente, en las SSTC 188/2001, de 20 de septiembre, y 212/2005, de 21 de julio.</w:t>
      </w:r>
    </w:p>
    <w:p w:rsidR="0085709A" w:rsidRDefault="0085709A" w:rsidP="0085709A">
      <w:pPr>
        <w:pStyle w:val="TextoNormal"/>
      </w:pPr>
    </w:p>
    <w:p w:rsidR="0085709A" w:rsidRDefault="0085709A" w:rsidP="0085709A">
      <w:pPr>
        <w:pStyle w:val="TextoNormal"/>
      </w:pPr>
      <w:r>
        <w:t>Los apartados 1 y 2 del art. 1 del Real Decreto 1721/2007 prevén que las becas y ayudas al estudio son beneficios económicos concedidos para cursar enseñanzas conducentes a la obtención de un título o certificado de carácter oficial con validez en todo el territorio nacional, atendiendo a las circunstancias socioeconómicas y al aprovechamiento académico del solicitante o, en el caso de las ayudas, únicamente a las circunstancias socioeconómicas. El artículo 1.3 dispone que las becas y ayudas a que se refieren los apartados anteriores se territorializarán, sin perjuicio de que la regulación básica competa al Estado. Como excepción, el artículo 1.4 califica una serie de becas y ayudas al estudio, entre ellas “las destinadas a cursar estudios en Comunidad Autónoma distinta a la del domicilio familiar del estudiante” como no territorializables, lo que conduce, a mi juicio, a reconocer que “el Estado también lleva a cabo la gestión y concesión”.</w:t>
      </w:r>
    </w:p>
    <w:p w:rsidR="0085709A" w:rsidRDefault="0085709A" w:rsidP="0085709A">
      <w:pPr>
        <w:pStyle w:val="TextoNormal"/>
      </w:pPr>
    </w:p>
    <w:p w:rsidR="0085709A" w:rsidRDefault="0085709A" w:rsidP="0085709A">
      <w:pPr>
        <w:pStyle w:val="TextoNormal"/>
      </w:pPr>
      <w:r>
        <w:t xml:space="preserve">Este contraste entre la generalidad de las becas y ayudas al estudio, que el Real Decreto 1721/2007 territorializa por primera vez, y algunas becas y ayudas que mantiene sin territorializar, adquiere todo su significado a la luz de su preámbulo, donde se expone que a través de este Real Decreto se persigue un doble objetivo. Se trata, por una parte, de lograr un sistema de becas y ayudas el estudio que garantice la igualdad en el acceso a las becas </w:t>
      </w:r>
      <w:r>
        <w:lastRenderedPageBreak/>
        <w:t>en todo el territorio, y, por otro, mantener la eficacia y eficiencia del sistema. De aquí se desprende que si el Real Decreto 1721/2007, por excepción a la regla general dispuesta en su artículo 1.3 para adaptarse a las SSTC 188/2001 y 212/2005, no territorializa las becas de movilidad y ello es porque ante la naturaleza propia derivada de la función que realizan, no le es aplicable la conclusión establecida en aquellas Sentencias, siendo necesario su gestión centralizada para garantizar la igualdad en el acceso y para mantener la eficacia en el sistema de distribución de fondos públicos, con el objetivo de lograr la mayor eficiencia presupuestaria, dentro de una política de ámbito estatal que permite otorgar estas becas a los estudiantes que más lo necesiten dentro de todo el territorio del Estado, en función del nivel de rentas de sus familiares y de su rendimiento académico.</w:t>
      </w:r>
    </w:p>
    <w:p w:rsidR="0085709A" w:rsidRDefault="0085709A" w:rsidP="0085709A">
      <w:pPr>
        <w:pStyle w:val="TextoNormal"/>
      </w:pPr>
    </w:p>
    <w:p w:rsidR="0085709A" w:rsidRDefault="0085709A" w:rsidP="0085709A">
      <w:pPr>
        <w:pStyle w:val="TextoNormal"/>
      </w:pPr>
      <w:r>
        <w:t>En efecto, en mi opinión, la naturaleza específica de las becas y ayudas de movilidad, como se desprende de que estén “destinadas a cursar estudios en Comunidad Autónoma distinta a la del domicilio familiar del estudiante” y del contexto que resalta el preámbulo, consiste en que se trata de subvenciones públicas que, si bien —al igual que las becas generales— hacen efectivo el derecho de todos a la educación compensando las condiciones socioeconómicas de los estudiantes y de sus familias en el caso de que no alcancen determinados niveles de renta y patrimonio, se orientan a permitir la movilidad entre Comunidades Autónomas de los alumnos, asegurando de este modo no solo la unidad última del sistema educativo sino también, y de un modo principal, una igualdad básica en el disfrute del derecho a la educación de los ciudadanos españoles, independientemente de su residencia y de sus condiciones socioeconómicas.</w:t>
      </w:r>
    </w:p>
    <w:p w:rsidR="0085709A" w:rsidRDefault="0085709A" w:rsidP="0085709A">
      <w:pPr>
        <w:pStyle w:val="TextoNormal"/>
      </w:pPr>
    </w:p>
    <w:p w:rsidR="0085709A" w:rsidRDefault="0085709A" w:rsidP="0085709A">
      <w:pPr>
        <w:pStyle w:val="TextoNormal"/>
      </w:pPr>
      <w:r>
        <w:t>Así, su carácter finalista es doble, pues, sin que pierda importancia el componente compensatorio, que se concreta en la fijación de umbrales de renta y patrimonio que no han de superar los candidatos, estas becas y ayudas persiguen, como fin adicional, que los varios subsistemas de enseñanza, surgidos legítimamente como consecuencia del ejercicio por la Comunidades Autónomas de sus competencias en la materia, funcionen en último término integrados en un único sistema global (art. 149.1.30 CE), de modo que se den las condiciones básicas que garanticen a todos los españoles una mínima igualdad en el goce del derecho fundamental a la educación (art. 149.1.1 CE).</w:t>
      </w:r>
    </w:p>
    <w:p w:rsidR="0085709A" w:rsidRDefault="0085709A" w:rsidP="0085709A">
      <w:pPr>
        <w:pStyle w:val="TextoNormal"/>
      </w:pPr>
    </w:p>
    <w:p w:rsidR="0085709A" w:rsidRDefault="0085709A" w:rsidP="0085709A">
      <w:pPr>
        <w:pStyle w:val="TextoNormal"/>
      </w:pPr>
      <w:r>
        <w:t>c) El contexto difiere también porque el razonamiento de las SSTC 188/2001 y 212/2005 tiene por objeto desechar que el principio de igualdad en la percepción de las becas y ayudas, en el sentido de que se concedan a quienes tengan mejor derecho con abstracción del lugar de su residencia, exija la gestión centralizada de su concesión, asegurando la unidad última del sistema educativo y, en consecuencia, la igualdad básica de todos los españoles en el disfrute del derecho a la educación.</w:t>
      </w:r>
    </w:p>
    <w:p w:rsidR="0085709A" w:rsidRDefault="0085709A" w:rsidP="0085709A">
      <w:pPr>
        <w:pStyle w:val="TextoNormal"/>
      </w:pPr>
    </w:p>
    <w:p w:rsidR="0085709A" w:rsidRDefault="0085709A" w:rsidP="0085709A">
      <w:pPr>
        <w:pStyle w:val="TextoNormal"/>
      </w:pPr>
      <w:r>
        <w:t>5. De las alegaciones del Abogado del Estado, así como de la naturaleza de la medida de fomento que enjuiciamos, se desprendía que las razones en las que se pretende justificar la gestión centralizada de estas subvenciones son dos: a) establecer las condiciones básicas que garanticen una igualdad básica de todos los españoles en el ejercicio del derecho a la educación; b) asegurar la unidad última del sistema educativo.</w:t>
      </w:r>
    </w:p>
    <w:p w:rsidR="0085709A" w:rsidRDefault="0085709A" w:rsidP="0085709A">
      <w:pPr>
        <w:pStyle w:val="TextoNormal"/>
      </w:pPr>
    </w:p>
    <w:p w:rsidR="0085709A" w:rsidRDefault="0085709A" w:rsidP="0085709A">
      <w:pPr>
        <w:pStyle w:val="TextoNormal"/>
      </w:pPr>
      <w:r>
        <w:t xml:space="preserve">Es importante recordar, respecto del análisis de la primera de esas razones, que el Tribunal ha considerado que concurre justificación suficiente para la centralización de la gestión </w:t>
      </w:r>
      <w:r>
        <w:lastRenderedPageBreak/>
        <w:t>de un programa de ayudas cuando la asunción por el Estado de funciones de ejecución responde a las exigencias de igualdad de todos los españoles en el ejercicio de los derechos fundamentales que el art. 149.1.1 CE impone.</w:t>
      </w:r>
    </w:p>
    <w:p w:rsidR="0085709A" w:rsidRDefault="0085709A" w:rsidP="0085709A">
      <w:pPr>
        <w:pStyle w:val="TextoNormal"/>
      </w:pPr>
    </w:p>
    <w:p w:rsidR="0085709A" w:rsidRDefault="0085709A" w:rsidP="0085709A">
      <w:pPr>
        <w:pStyle w:val="TextoNormal"/>
      </w:pPr>
      <w:r>
        <w:t>Así lo hizo en la STC 189/1989, de 16 de noviembre, FJ 3, donde desestimó un conflicto de competencias relativo a un sistema de ayudas que, como en este caso, justificaba la centralización de su gestión en la preservación de la igualdad en el ejercicio de un derecho fundamental (art. 149.1.1 CE). Dijimos entonces que “el Real Decreto impugnado establece un desarrollo reglamentario de un sistema de ayudas estatales legalmente previsto y que —como ya se ha dicho— ha sido dictado dentro de la competencia estatal para establecer las bases del régimen de prensa y de los medios de comunicación social, con la finalidad de preservar la igualdad en el ejercicio de la libertad de información en todo el territorio del Estado (arts. 149.1.1 y 149.1.27 de la Constitución); normas básicas que, como se hace evidente con la lectura del Decreto impugnado y por la misma naturaleza de la materia, requieren junto a una previsión legal, una concreción de carácter reglamentario uniforme para todo el Estado y una administración única por las propias exigencias de igualdad de todos los españoles en el ejercicio de los derechos fundamentales que el art. 149.1.1 de la Constitución impone”.</w:t>
      </w:r>
    </w:p>
    <w:p w:rsidR="0085709A" w:rsidRDefault="0085709A" w:rsidP="0085709A">
      <w:pPr>
        <w:pStyle w:val="TextoNormal"/>
      </w:pPr>
    </w:p>
    <w:p w:rsidR="0085709A" w:rsidRDefault="0085709A" w:rsidP="0085709A">
      <w:pPr>
        <w:pStyle w:val="TextoNormal"/>
      </w:pPr>
      <w:r>
        <w:t>De acuerdo con la especial naturaleza que tienen las becas de movilidad de los estudiantes a nivel nacional, por su carácter supraautonómico y por razones educativas de uno a otro punto del país, no de un lugar a otro dentro de la misma Comunidad Autónoma, su gestión centralizada materializa que los ciudadanos españoles, independientemente de su residencia y siempre que lo justifique su situación económica, su aprovechamiento académico y su rendimiento escolar, puedan disfrutar con igualdad básica de oportunidades de la oferta general del sistema educativo nacional, evitándose así que la territorialización de los fondos pueda suponer que resulten postergados quienes, conforme a la naturaleza específica de estas becas y ayudas, tengan mejor derecho a ellas.</w:t>
      </w:r>
    </w:p>
    <w:p w:rsidR="0085709A" w:rsidRDefault="0085709A" w:rsidP="0085709A">
      <w:pPr>
        <w:pStyle w:val="TextoNormal"/>
      </w:pPr>
    </w:p>
    <w:p w:rsidR="0085709A" w:rsidRDefault="0085709A" w:rsidP="0085709A">
      <w:pPr>
        <w:pStyle w:val="TextoNormal"/>
      </w:pPr>
      <w:r>
        <w:t>En este sentido se podía haber afirmado la estrecha relación instrumental entre la “no territorialización” de las becas de movilidad y uno de los aspectos esenciales del derecho a la educación, lo que resulta relevante a los efectos que ahora interesa porque este Tribunal ha considerado que la conexión entre un sistema de ayudas y el ejercicio en condiciones de igualdad de un derecho constitucional puede justificar la centralización de su gestión (STC 189/1989, de 16 de noviembre, FJ 3), justificación que con mayor razón se aprecia en un caso como éste en el que el vínculo con el ejercicio en condiciones de igualdad del derecho a la educación es notablemente más inmediato que el que se establecía en la STC 189/1989 entre las ayudas a empresas periodísticas y agencias informativas y el derecho a la información de los ciudadanos [art. 20.1 d) CE], máxime al posibilitar el derecho a la movilidad de los estudiantes beneficiarios (en la línea ya reconocida en el fundamento jurídico 7 de la STC 107/2014, de 26 de junio).</w:t>
      </w:r>
    </w:p>
    <w:p w:rsidR="0085709A" w:rsidRDefault="0085709A" w:rsidP="0085709A">
      <w:pPr>
        <w:pStyle w:val="TextoNormal"/>
      </w:pPr>
    </w:p>
    <w:p w:rsidR="0085709A" w:rsidRDefault="0085709A" w:rsidP="0085709A">
      <w:pPr>
        <w:pStyle w:val="TextoNormal"/>
      </w:pPr>
      <w:r>
        <w:t>En conclusión, la primera de las razones indicadas entrañaba, en mi opinión, una justificación suficiente para la centralización de la gestión de este programa de becas y ayudas al estudio.</w:t>
      </w:r>
    </w:p>
    <w:p w:rsidR="0085709A" w:rsidRDefault="0085709A" w:rsidP="0085709A">
      <w:pPr>
        <w:pStyle w:val="TextoNormal"/>
      </w:pPr>
    </w:p>
    <w:p w:rsidR="0085709A" w:rsidRDefault="0085709A" w:rsidP="0085709A">
      <w:pPr>
        <w:pStyle w:val="TextoNormal"/>
      </w:pPr>
      <w:r>
        <w:lastRenderedPageBreak/>
        <w:t>6. Resta por examinar si la unidad última del sistema educativo nacional, impidiendo la fragmentación que pudiera derivar de la diversidad legítima de sistemas educativos regionales, era un objetivo que pudiera justificar la gestión centralizada de estas ayudas.</w:t>
      </w:r>
    </w:p>
    <w:p w:rsidR="0085709A" w:rsidRDefault="0085709A" w:rsidP="0085709A">
      <w:pPr>
        <w:pStyle w:val="TextoNormal"/>
      </w:pPr>
    </w:p>
    <w:p w:rsidR="0085709A" w:rsidRDefault="0085709A" w:rsidP="0085709A">
      <w:pPr>
        <w:pStyle w:val="TextoNormal"/>
      </w:pPr>
      <w:r>
        <w:t>La naturaleza específica de las becas y ayudas de movilidad consiste en mi opinión en que, junto al componente compensatorio concretado en la fijación de umbrales de renta y patrimonio que no han de superar los candidatos, estas becas y ayudas persiguen también que los varios subsistemas regionales de enseñanza funcionen en último término integrados en un único sistema global, finalidad que es constitucionalmente legítima y que encuentra perfecto encaje en la ordenación general del sistema educativo que, según nuestra doctrina (por todas, STC 184/2012, de 17 de octubre), es uno de los aspectos a los que alcanza la competencia que ostenta el Estado en materia de educación (art. 149.1.30 CE).</w:t>
      </w:r>
    </w:p>
    <w:p w:rsidR="0085709A" w:rsidRDefault="0085709A" w:rsidP="0085709A">
      <w:pPr>
        <w:pStyle w:val="TextoNormal"/>
      </w:pPr>
    </w:p>
    <w:p w:rsidR="0085709A" w:rsidRDefault="0085709A" w:rsidP="0085709A">
      <w:pPr>
        <w:pStyle w:val="TextoNormal"/>
      </w:pPr>
      <w:r>
        <w:t>En este sentido, subvencionar el tránsito de los alumnos entre Comunidades Autónomas al servicio de la unidad del sistema educativo, que es el objetivo específico al que tienden las becas de movilidad, está en función de una serie de factores —ligados a las prioridades que el Estado pueda legítimamente fijar y a los déficits que pueda apreciar en los subsistemas autonómicos de enseñanza— que afecta al funcionamiento del sistema educativo globalmente considerado, lo que justifica que esté confiado a un sujeto que disponga de una visión de conjunto.</w:t>
      </w:r>
    </w:p>
    <w:p w:rsidR="0085709A" w:rsidRDefault="0085709A" w:rsidP="0085709A">
      <w:pPr>
        <w:pStyle w:val="TextoNormal"/>
      </w:pPr>
    </w:p>
    <w:p w:rsidR="0085709A" w:rsidRDefault="0085709A" w:rsidP="0085709A">
      <w:pPr>
        <w:pStyle w:val="TextoNormal"/>
      </w:pPr>
      <w:r>
        <w:t>Esta caracterización determinaría que la actividad pública de gestión de este tipo de becas y ayudas al estudio no pueda fraccionarse, ni tampoco realizarse mediante mecanismos de colaboración, siendo necesario en este caso un importante grado de homogeneidad que solo ofrece la intervención de un único sujeto, que además sea portador de una visión de conjunto de todo el sistema educativo nacional.</w:t>
      </w:r>
    </w:p>
    <w:p w:rsidR="0085709A" w:rsidRDefault="0085709A" w:rsidP="0085709A">
      <w:pPr>
        <w:pStyle w:val="TextoNormal"/>
      </w:pPr>
    </w:p>
    <w:p w:rsidR="0085709A" w:rsidRDefault="0085709A" w:rsidP="0085709A">
      <w:pPr>
        <w:pStyle w:val="TextoNormal"/>
      </w:pPr>
      <w:r>
        <w:t>A ello se une la dimensión estrictamente prestacional (STC 86/1985, de 10 de julio, FJ 3) basada de un lado, en la compensación de las condiciones socioeconómicas desfavorables de los beneficiarios y de otro, en la concesión en función del aprovechamiento y rendimiento escolar, en aras de la mayor eficiencia del sistema.</w:t>
      </w:r>
    </w:p>
    <w:p w:rsidR="0085709A" w:rsidRDefault="0085709A" w:rsidP="0085709A">
      <w:pPr>
        <w:pStyle w:val="TextoNormal"/>
      </w:pPr>
    </w:p>
    <w:p w:rsidR="0085709A" w:rsidRDefault="0085709A" w:rsidP="0085709A">
      <w:pPr>
        <w:pStyle w:val="TextoNormal"/>
      </w:pPr>
      <w:r>
        <w:t>Por otro lado, esta permanencia en el acervo estatal de la gestión de un programa de subvenciones cuando lo exige algún elemento de su configuración es admisible en nuestra Constitución (SSTC 195/1996, de 28 de noviembre, FJ 11; 89/2012, de 7 de marzo, FJ 6; 95/2013, de 23 de abril, FJ 7), sobre todo cuando, como ocurría en la STC 27/2014, de 11 de marzo, nos encontramos ante un supuesto en que, más que tratarse de un fenómeno que radique en un territorio autonómico y despliegue efectos o consecuencias de hecho de alcance supracomunitario, la dimensión extraterritorial forma parte esencial de la configuración del régimen y función de las becas de movilidad a que hace referencia el artículo 1.4 del Real Decreto 1721/2007.</w:t>
      </w:r>
    </w:p>
    <w:p w:rsidR="0085709A" w:rsidRDefault="0085709A" w:rsidP="0085709A">
      <w:pPr>
        <w:pStyle w:val="TextoNormal"/>
      </w:pPr>
    </w:p>
    <w:p w:rsidR="0085709A" w:rsidRDefault="0085709A" w:rsidP="0085709A">
      <w:pPr>
        <w:pStyle w:val="TextoNormal"/>
      </w:pPr>
      <w:r>
        <w:t xml:space="preserve">7. Por todo ello, concluyo afirmando que la “no territorialización” de los fondos correspondientes que prevé el artículo 1.4 impugnado, era una previsión necesaria para garantizar la plena efectividad de la finalidad singular a que la normativa estatal ordena este tipo de becas y ayudas al estudio, que es, de un lado, asegurar la igualdad básica de todos los españoles en el ejercicio del derecho a la educación y, de otro, evitar que la configuración lícita </w:t>
      </w:r>
      <w:r>
        <w:lastRenderedPageBreak/>
        <w:t>de subsistemas educativos autonómicos diversos entre sí impida la unidad última del sistema educativo nacional.</w:t>
      </w:r>
    </w:p>
    <w:p w:rsidR="0085709A" w:rsidRDefault="0085709A" w:rsidP="0085709A">
      <w:pPr>
        <w:pStyle w:val="TextoNormal"/>
      </w:pPr>
    </w:p>
    <w:p w:rsidR="0085709A" w:rsidRDefault="0085709A" w:rsidP="0085709A">
      <w:pPr>
        <w:pStyle w:val="TextoNormal"/>
      </w:pPr>
      <w:r>
        <w:t>Este Tribunal ha concretado razonablemente esta posibilidad, ya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grado de homogeneidad que sólo pueda garantizar su atribución a un solo titular, que forzosamente deba ser el Estado, o cuando sea necesario recurrir a un ente con capacidad de integrar intereses contrapuestos de varias Comunidades Autónomas” doctrina reiterada en las SSTC 243/1994, de 21 de julio, FJ 6; 242/1999, de 21 de diciembre, FJ 18; 190/2000, de 13 de julio, FJ 9, y 113/2013, de 9 de mayo, FJ 7, y que entiendo era de plena aplicación en la cuestión planteada para haber propiciado la reserva competencial al Estado en el marco jurídico del reiterado artículo 1.4 del Real Decreto 1721/2007 en el punto relativo a las becas de movilidad.</w:t>
      </w:r>
    </w:p>
    <w:p w:rsidR="0085709A" w:rsidRDefault="0085709A" w:rsidP="0085709A">
      <w:pPr>
        <w:pStyle w:val="TextoNormal"/>
      </w:pPr>
    </w:p>
    <w:p w:rsidR="0085709A" w:rsidRDefault="0085709A" w:rsidP="0085709A">
      <w:pPr>
        <w:pStyle w:val="TextoNormal"/>
      </w:pPr>
      <w:r>
        <w:t>En este sentido emito este Voto particular.</w:t>
      </w:r>
    </w:p>
    <w:p w:rsidR="0085709A" w:rsidRDefault="0085709A" w:rsidP="0085709A">
      <w:pPr>
        <w:pStyle w:val="TextoNormal"/>
      </w:pPr>
    </w:p>
    <w:p w:rsidR="0085709A" w:rsidRDefault="0085709A" w:rsidP="0085709A">
      <w:pPr>
        <w:pStyle w:val="TextoNormal"/>
      </w:pPr>
      <w:r>
        <w:t>Madrid, a diecinueve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29" w:name="SENTENCIA_2015_26"/>
      <w:r>
        <w:lastRenderedPageBreak/>
        <w:t>SENTENCIA 26/2015, de 19 de febrero de 2015</w:t>
      </w:r>
    </w:p>
    <w:bookmarkEnd w:id="29"/>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ECLI:ES:TC:2015:26</w:t>
      </w:r>
    </w:p>
    <w:p w:rsidR="0085709A" w:rsidRDefault="0085709A" w:rsidP="0085709A">
      <w:pPr>
        <w:pStyle w:val="TextoNormalCentrado"/>
      </w:pPr>
    </w:p>
    <w:p w:rsidR="0085709A" w:rsidRDefault="0085709A" w:rsidP="0085709A">
      <w:pPr>
        <w:pStyle w:val="SntesisDescriptiva"/>
      </w:pPr>
      <w:r>
        <w:t>Recurso de inconstitucionalidad 1808-2013. Interpuesto por el Parlamento de Cataluña en relación con el artículo 19 de la Ley 16/2012, de 27 de diciembre, por la que se adoptan diversas medidas tributarias dirigidas a la consolidación de las finanzas públicas y al impulso de la actividad económica.</w:t>
      </w:r>
    </w:p>
    <w:p w:rsidR="0085709A" w:rsidRDefault="0085709A" w:rsidP="0085709A">
      <w:pPr>
        <w:pStyle w:val="SntesisDescriptiva"/>
      </w:pPr>
    </w:p>
    <w:p w:rsidR="0085709A" w:rsidRDefault="0085709A" w:rsidP="0085709A">
      <w:pPr>
        <w:pStyle w:val="SntesisAnaltica"/>
      </w:pPr>
      <w:r>
        <w:t>Competencias financieras, finalidad recaudatoria de los tributos y compensación por ocupación del hecho imponible: constitucionalidad del precepto legal estatal que regula el impuesto sobre los depósitos en las entidades de crédito. Voto particular.</w:t>
      </w:r>
    </w:p>
    <w:p w:rsidR="0085709A" w:rsidRDefault="0085709A" w:rsidP="0085709A">
      <w:pPr>
        <w:pStyle w:val="SntesisAnaltica"/>
      </w:pPr>
    </w:p>
    <w:p w:rsidR="0085709A" w:rsidRDefault="0085709A" w:rsidP="0085709A">
      <w:pPr>
        <w:pStyle w:val="Extracto"/>
      </w:pPr>
      <w:r>
        <w:t>1.</w:t>
      </w:r>
      <w:r>
        <w:tab/>
        <w:t>El tributo puede ser una fuente de ingresos, manera de allegar medios económicos a los entes territoriales para satisfacer sus necesidades financieras (fin fiscal), y también de responder a políticas sectoriales distintas de la puramente recaudatoria (fin extrafiscal), disponiendo el legislador de un amplio margen para establecer un tributo con otras finalidades adicionales, no propiamente recaudatorias sino de ordenación (SSTC 37/1987, 19/2012) [FJ 4 a)].</w:t>
      </w:r>
    </w:p>
    <w:p w:rsidR="0085709A" w:rsidRDefault="0085709A" w:rsidP="0085709A">
      <w:pPr>
        <w:pStyle w:val="Extracto"/>
      </w:pPr>
    </w:p>
    <w:p w:rsidR="0085709A" w:rsidRDefault="0085709A" w:rsidP="0085709A">
      <w:pPr>
        <w:pStyle w:val="Extracto"/>
      </w:pPr>
      <w:r>
        <w:t>2.</w:t>
      </w:r>
      <w:r>
        <w:tab/>
        <w:t>La finalidad de recaudar consustancial al concepto de tributo no impide técnicas desgravatorias, entre las que se encuentra el tipo de gravamen cero y, siendo legítima la finalidad de armonizar la sujeción a gravamen de la imposición sobre los depósitos en entidades de crédito, lo determinante conforme al art. 31.1 CE es que en el hecho imponible del tributo aparece una fuente de capacidad económica, descartándose que sea una simulación de impuesto [FJ 4 a)].</w:t>
      </w:r>
    </w:p>
    <w:p w:rsidR="0085709A" w:rsidRDefault="0085709A" w:rsidP="0085709A">
      <w:pPr>
        <w:pStyle w:val="Extracto"/>
      </w:pPr>
    </w:p>
    <w:p w:rsidR="0085709A" w:rsidRDefault="0085709A" w:rsidP="0085709A">
      <w:pPr>
        <w:pStyle w:val="Extracto"/>
      </w:pPr>
      <w:r>
        <w:t>3.</w:t>
      </w:r>
      <w:r>
        <w:tab/>
        <w:t>Una vez sentado que el Estado ostenta la competencia de coordinar su propio sistema tributario con los de las Comunidades Autónomas (art. 149.1.14 CE), y la preeminencia para ocupar hechos imponibles que deriva directamente del art. 6.2 LOFCA, cabe concluir que también será competente para crear un tributo cuya finalidad central es la coordinación o armonización de la sujeción a gravamen de las entidades de crédito, de conformidad con el título de coordinación contenido en los arts. 149.1.14, 133 y 157.3 CE [FJ 4 b)].</w:t>
      </w:r>
    </w:p>
    <w:p w:rsidR="0085709A" w:rsidRDefault="0085709A" w:rsidP="0085709A">
      <w:pPr>
        <w:pStyle w:val="Extracto"/>
      </w:pPr>
    </w:p>
    <w:p w:rsidR="0085709A" w:rsidRDefault="0085709A" w:rsidP="0085709A">
      <w:pPr>
        <w:pStyle w:val="Extracto"/>
      </w:pPr>
      <w:r>
        <w:t>4.</w:t>
      </w:r>
      <w:r>
        <w:tab/>
        <w:t>El Estado no sólo no invade el ámbito reservado a la ley orgánica por el art. 157.3 CE, sino que ha ejercido su competencia de forma legítima, haciendo uso de la posibilidad de ocupar los hechos imponibles previamente gravados por un tributo autonómico sin necesitar aprobar una ley de armonización al efecto [FJ 5 a)].</w:t>
      </w:r>
    </w:p>
    <w:p w:rsidR="0085709A" w:rsidRDefault="0085709A" w:rsidP="0085709A">
      <w:pPr>
        <w:pStyle w:val="Extracto"/>
      </w:pPr>
    </w:p>
    <w:p w:rsidR="0085709A" w:rsidRDefault="0085709A" w:rsidP="0085709A">
      <w:pPr>
        <w:pStyle w:val="Extracto"/>
      </w:pPr>
      <w:r>
        <w:t>5.</w:t>
      </w:r>
      <w:r>
        <w:tab/>
        <w:t>Un impuesto sobre depósitos en las cantidades de crédito puede suponer la imposibilidad para todas las Comunidades Autónomas de establecer un impuesto similar, pero tal limitación de la autonomía financiera deriva del  reparto de competencias en la materia y, específicamente, de la previsión contenida en el art. 6.2 LOFCA, siendo coherente con la propia definición de la autonomía financiera de las Comunidades Autónomas, según el principio de coordinación con la Hacienda estatal (art. 156.1 CE) [FJ 5 b)].</w:t>
      </w:r>
    </w:p>
    <w:p w:rsidR="0085709A" w:rsidRDefault="0085709A" w:rsidP="0085709A">
      <w:pPr>
        <w:pStyle w:val="Extracto"/>
      </w:pPr>
    </w:p>
    <w:p w:rsidR="0085709A" w:rsidRDefault="0085709A" w:rsidP="0085709A">
      <w:pPr>
        <w:pStyle w:val="Extracto"/>
      </w:pPr>
      <w:r>
        <w:t>6.</w:t>
      </w:r>
      <w:r>
        <w:tab/>
        <w:t>La medida de compensación aplicable a aquellos tributos propios de las Comunidades Autónomas reconocidos con anterioridad al 1 de diciembre de 2012, no contraviene lo previsto en el art. 6.2 LOFCA, pues obedece a la finalidad de evitar que, durante el proceso de elaboración de la Ley 16/2012, las Comunidades Autónomas pudieran crear tributos equivalentes al impuesto sobre depósitos en las entidades de crédito estatal, pudiendo situarse en la posición de posibles acreedoras de las medidas de compensación o coordinación que dicho precepto considera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1808-2013, interpuesto por el Parlamento de Cataluña contra el art. 19 de la Ley 16/2012, de 27 de diciembre, por la que se adoptan diversas medidas tributarias dirigidas a la consolidación de las finanzas públicas y al impulso de la actividad económica. Ha intervenido y formulado alegaciones el Abogado del Estado. Ha sido Ponente el Magistrado don Ricardo Enríquez Sancho, que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26 de marzo de 2013 tuvo entrada en el Registro General de este Tribunal Constitucional un escrito del Letrado del Parlamento de Cataluña, en la representación que legalmente ostenta, por el que interpone un recurso de inconstitucionalidad contra el art. 19 de la Ley 16/2012, de 27 de diciembre, por la que se adoptan diversas medidas tributarias dirigidas a la consolidación de las finanzas públicas y al impulso de la actividad económica (Ley 16/2012, en adelante).</w:t>
      </w:r>
    </w:p>
    <w:p w:rsidR="0085709A" w:rsidRDefault="0085709A" w:rsidP="0085709A">
      <w:pPr>
        <w:pStyle w:val="TextoNormal"/>
      </w:pPr>
    </w:p>
    <w:p w:rsidR="0085709A" w:rsidRDefault="0085709A" w:rsidP="0085709A">
      <w:pPr>
        <w:pStyle w:val="TextoNormal"/>
      </w:pPr>
      <w:r>
        <w:t xml:space="preserve">Comienza el alegato haciendo referencia a los antecedentes de la aprobación de la Ley 16/2012, cuyo art. 19, que regula el impuesto sobre depósitos en las entidades de crédito, no figuraba en el proyecto de ley presentado en el Congreso de los Diputados el 28 de septiembre de 2012 y aprobado por la Comisión de Hacienda y Administraciones públicas con competencia legislativa plena el 26 de noviembre. Sólo una vez enviado el texto aprobado </w:t>
      </w:r>
      <w:r>
        <w:lastRenderedPageBreak/>
        <w:t>al Senado, el 4 de diciembre, se publicaron las enmiendas entre las que se encontraban las número 166 y 169, presentadas por el Grupo Parlamentario Popular en el Senado. El origen del impuesto sobre depósitos en las cantidades de crédito estatal y su sorpresiva introducción en la tramitación de la Ley 16/2012 radica en la doctrina establecida en la STC 210/2012, de 14 de noviembre, que había declarado la constitucionalidad de la Ley de la Asamblea de Extremadura 14/2001, de 29 de noviembre de 2001.</w:t>
      </w:r>
    </w:p>
    <w:p w:rsidR="0085709A" w:rsidRDefault="0085709A" w:rsidP="0085709A">
      <w:pPr>
        <w:pStyle w:val="TextoNormal"/>
      </w:pPr>
    </w:p>
    <w:p w:rsidR="0085709A" w:rsidRDefault="0085709A" w:rsidP="0085709A">
      <w:pPr>
        <w:pStyle w:val="TextoNormal"/>
      </w:pPr>
      <w:r>
        <w:t>a) Expuesta en estos términos la tramitación legislativa, afirma, en primer lugar, que el impuesto sobre depósitos en las entidades de crédito es en realidad una simulación de impuesto, por lo que su establecimiento no puede encontrar amparo en las competencias del Estado en materia tributaria reconocidas en el art. 133.1 y 2 CE. Expone a continuación la doctrina del Tribunal Constitucional sobre el reparto competencial en materia tributaria, en el que se produce una posición de preferencia del Estado, como se afirmó en la STC 192/2000, de 13 de julio, FJ 6. Esta preferencia no supone sin embargo que se pueda anular la potestad de las Comunidades Autónomas para establecer tributos. Se refiere a continuación al art. 31 CE como límite a la libertad de configuración de las figuras impositivas que se concreta en que es preciso que cualquier figura tributaria tenga una finalidad contributiva (se cita entre otras la STC 276/2000, de 16 de noviembre, FJ 4). Es cierto, añade, que en el sistema tributario español no es desconocido el tipo cero, al que de hecho se refiere el art. 55, apartado tres de la Ley general tributaria, sin embargo esta norma no puede interpretarse como una autorización al legislador para establecer tributos que no den lugar a ingresos tributarios, pues ello sería contrario al art. 31 CE, ya que la finalidad de obtener ingresos es definitoria del concepto de tributo.</w:t>
      </w:r>
    </w:p>
    <w:p w:rsidR="0085709A" w:rsidRDefault="0085709A" w:rsidP="0085709A">
      <w:pPr>
        <w:pStyle w:val="TextoNormal"/>
      </w:pPr>
    </w:p>
    <w:p w:rsidR="0085709A" w:rsidRDefault="0085709A" w:rsidP="0085709A">
      <w:pPr>
        <w:pStyle w:val="TextoNormal"/>
      </w:pPr>
      <w:r>
        <w:t>Pues bien, el apartado 8 del art. 19 de la Ley 16/2012 establece como único tipo impositivo el 0 por 100, de manera que el impuesto sobre depósitos en las cantidades de crédito no puede identificarse como un tributo, lo que se confirma con la lectura de los apartados 9 y 10 del mismo precepto, que eximen además de obligaciones formales en este caso. Por ello, el citado impuesto es una apariencia de tributo que no puede ampararse en los arts. 133.1 y 149.1.14 CE, ni responder a la idea de contribución del art. 31.1 CE.</w:t>
      </w:r>
    </w:p>
    <w:p w:rsidR="0085709A" w:rsidRDefault="0085709A" w:rsidP="0085709A">
      <w:pPr>
        <w:pStyle w:val="TextoNormal"/>
      </w:pPr>
    </w:p>
    <w:p w:rsidR="0085709A" w:rsidRDefault="0085709A" w:rsidP="0085709A">
      <w:pPr>
        <w:pStyle w:val="TextoNormal"/>
      </w:pPr>
      <w:r>
        <w:t>b) Añade el escrito que el art. 19 de la Ley 16/2012 invade el ámbito reservado a la Ley Orgánica de conformidad con el art. 157.3 CE.</w:t>
      </w:r>
    </w:p>
    <w:p w:rsidR="0085709A" w:rsidRDefault="0085709A" w:rsidP="0085709A">
      <w:pPr>
        <w:pStyle w:val="TextoNormal"/>
      </w:pPr>
    </w:p>
    <w:p w:rsidR="0085709A" w:rsidRDefault="0085709A" w:rsidP="0085709A">
      <w:pPr>
        <w:pStyle w:val="TextoNormal"/>
      </w:pPr>
      <w:r>
        <w:t>En este punto hace referencia tanto al impuesto sobre los depósitos en las entidades de crédito establecido por Extremadura, como a los posteriores establecidos por las Comunidades Autónomas de Andalucía, (Ley 11/2010, de 3 de diciembre, de medidas fiscales para la reducción del déficit público y para la sostenibilidad); Canarias, (Ley del parlamento de Canarias 4/2012, de 25 de junio, de medidas administrativas y fiscales); y Asturias (Ley 3/2012, de 28 de diciembre, de presupuestos generales para 2013), lo que muestra que el contexto en el que se aprobó la Ley 16/2012 venía determinado por la existencia de tributos similares en diversas Comunidades Autónomas.</w:t>
      </w:r>
    </w:p>
    <w:p w:rsidR="0085709A" w:rsidRDefault="0085709A" w:rsidP="0085709A">
      <w:pPr>
        <w:pStyle w:val="TextoNormal"/>
      </w:pPr>
    </w:p>
    <w:p w:rsidR="0085709A" w:rsidRDefault="0085709A" w:rsidP="0085709A">
      <w:pPr>
        <w:pStyle w:val="TextoNormal"/>
      </w:pPr>
      <w:r>
        <w:t xml:space="preserve">Pues bien, de acuerdo con la función que con arreglo al art. 157.3 CE tiene la Ley Orgánica 8/1980, de 22 de septiembre, de financiación de las Comunidades Autónomas (LOFCA), sólo a ésta, y a las leyes a que se refiere el art. 133.2 CE, corresponde delimitar las competencias financieras de las Comunidades Autónomas. En consecuencia, resulta contrario al esquema constitucional que se describe la finalidad del art. 19 de la Ley 16/2012, </w:t>
      </w:r>
      <w:r>
        <w:lastRenderedPageBreak/>
        <w:t>que se justifica en el preámbulo de la norma en la necesidad de asegurar “un tratamiento fiscal armonizado que garantice más eficiencia en el funcionamiento del sistema financiero”.</w:t>
      </w:r>
    </w:p>
    <w:p w:rsidR="0085709A" w:rsidRDefault="0085709A" w:rsidP="0085709A">
      <w:pPr>
        <w:pStyle w:val="TextoNormal"/>
      </w:pPr>
    </w:p>
    <w:p w:rsidR="0085709A" w:rsidRDefault="0085709A" w:rsidP="0085709A">
      <w:pPr>
        <w:pStyle w:val="TextoNormal"/>
      </w:pPr>
      <w:r>
        <w:t>De esta manera, y aunque dicho tratamiento fiscal armonizado pueda ser una finalidad constitucionalmente legítima, en la medida que se proyecte sobre competencias financieras de las Comunidades Autónomas se debería llevar a cabo mediante la norma habilitada por el art. 157.3 CE, siendo en definitiva inadmisible constitucionalmente la utilización de una ley ordinaria para conseguir un objetivo que la Constitución reserva a la ley orgánica.</w:t>
      </w:r>
    </w:p>
    <w:p w:rsidR="0085709A" w:rsidRDefault="0085709A" w:rsidP="0085709A">
      <w:pPr>
        <w:pStyle w:val="TextoNormal"/>
      </w:pPr>
    </w:p>
    <w:p w:rsidR="0085709A" w:rsidRDefault="0085709A" w:rsidP="0085709A">
      <w:pPr>
        <w:pStyle w:val="TextoNormal"/>
      </w:pPr>
      <w:r>
        <w:t>En definitiva, el objetivo que se pretende con la creación del impuesto es limitar la autonomía financiera de las Comunidades Autónomas impidiendo que éstas graven mediante impuestos el mismo hecho imponible que regula el art. 19 de la Ley 12/2012, lo que implica que mediante dicho artículo el Estado impone una prohibición contraria a la autonomía financiera de las Comunidades Autónomas, en relación con el establecimiento de tributos propios [art. 156.1 CE, en relación con los arts. 133.2 y 157.1 b) CE, y, para el caso de Cataluña, art. 203.5 del Estatuto de Autonomía de Cataluña].</w:t>
      </w:r>
    </w:p>
    <w:p w:rsidR="0085709A" w:rsidRDefault="0085709A" w:rsidP="0085709A">
      <w:pPr>
        <w:pStyle w:val="TextoNormal"/>
      </w:pPr>
    </w:p>
    <w:p w:rsidR="0085709A" w:rsidRDefault="0085709A" w:rsidP="0085709A">
      <w:pPr>
        <w:pStyle w:val="TextoNormal"/>
      </w:pPr>
      <w:r>
        <w:t>Concluye así que el art. 19 de la Ley 16/2012 invade el ámbito reservado por la Constitución a la ley orgánica.</w:t>
      </w:r>
    </w:p>
    <w:p w:rsidR="0085709A" w:rsidRDefault="0085709A" w:rsidP="0085709A">
      <w:pPr>
        <w:pStyle w:val="TextoNormal"/>
      </w:pPr>
    </w:p>
    <w:p w:rsidR="0085709A" w:rsidRDefault="0085709A" w:rsidP="0085709A">
      <w:pPr>
        <w:pStyle w:val="TextoNormal"/>
      </w:pPr>
      <w:r>
        <w:t>c) El tercer motivo de inconstitucionalidad se dirige únicamente contra el apartado 13 del art. 19 de la Ley 16/2012, que considera inconstitucional por tratarse de una norma puramente interpretativa del art. 6.2 LOFCA.</w:t>
      </w:r>
    </w:p>
    <w:p w:rsidR="0085709A" w:rsidRDefault="0085709A" w:rsidP="0085709A">
      <w:pPr>
        <w:pStyle w:val="TextoNormal"/>
      </w:pPr>
    </w:p>
    <w:p w:rsidR="0085709A" w:rsidRDefault="0085709A" w:rsidP="0085709A">
      <w:pPr>
        <w:pStyle w:val="TextoNormal"/>
      </w:pPr>
      <w:r>
        <w:t>Este precepto limita la compensación a las Comunidades Autónomas cuyos tributos fueran similares a los que establece la ley estatal impugnada, si bien únicamente cuando éstos hayan sido establecidos en una ley aprobada con anterioridad al 1 de diciembre de 2012. Se establece así una interpretación limitativa del alcance de la compensación contenida en el art. 6.2 LOFCA lo que no es admisible constitucionalmente de acuerdo con la doctrina del Tribunal Constitucional (se cita la STC 214/1989, FJ 5).</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23 de abril de 2013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Asimismo, se ordenó publicar la incoación del recurso en el “Boletín Oficial del Estado”, lo que se llevó a efecto en el núm. 114, de 13 de mayo de 2013.</w:t>
      </w:r>
    </w:p>
    <w:p w:rsidR="0085709A" w:rsidRDefault="0085709A" w:rsidP="0085709A">
      <w:pPr>
        <w:pStyle w:val="TextoNormal"/>
      </w:pPr>
    </w:p>
    <w:p w:rsidR="0085709A" w:rsidRDefault="0085709A" w:rsidP="0085709A">
      <w:pPr>
        <w:pStyle w:val="TextoNormal"/>
      </w:pPr>
      <w:r w:rsidRPr="0085709A">
        <w:rPr>
          <w:rStyle w:val="NumeroAFNegritaCaracter"/>
        </w:rPr>
        <w:t>3</w:t>
      </w:r>
      <w:r>
        <w:t>. El 10 de mayo de 2013 se registró el escrito del Abogado del Estado por el que se solicita se le tenga por personado, en la representación que legalmente ostenta, así como que se le conceda una prórroga por el máximo legal del plazo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El Pleno, mediante providencia de 13 de mayo de 2013, acuerda incorporar a las actuaciones el escrito del Abogado del Estado, teniéndosele por personado en el presente proceso, así como conceder la prórroga solicitada, ampliando en ocho días más el plazo establecido en la anterior providencia de 23 de abril.</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de este Tribunal con fecha de 16 de mayo de 2013, el Presidente del Senado comunicó el acuerdo de la Mesa de la Cámara por el que se persona en el procedimiento y ofrece su colaboración a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17 de mayo de 2013 se registró el escrito del Presidente del Congreso de los Diputados comunicando el acuerdo de la Mesa de la Cámara por el que ésta se persona en el procedimiento y da por ofrecida su colaboración a los efectos del art. 88.1 LOTC, remitiendo asimismo el recurso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7</w:t>
      </w:r>
      <w:r>
        <w:t>. El 7 de junio de 2013 tiene entrada en este Tribunal el escrito de alegaciones del Abogado del Estado.</w:t>
      </w:r>
    </w:p>
    <w:p w:rsidR="0085709A" w:rsidRDefault="0085709A" w:rsidP="0085709A">
      <w:pPr>
        <w:pStyle w:val="TextoNormal"/>
      </w:pPr>
    </w:p>
    <w:p w:rsidR="0085709A" w:rsidRDefault="0085709A" w:rsidP="0085709A">
      <w:pPr>
        <w:pStyle w:val="TextoNormal"/>
      </w:pPr>
      <w:r>
        <w:t>Comienza describiendo los elementos esenciales del impuesto sobre depósitos en las entidades de crédito regulado en el art. 19 de la Ley 16/2012, refiriéndose también a la relación que el presente asunto tiene con los recursos de inconstitucionalidad interpuestos por el Presidente del Gobierno contra el Decreto-ley de Cataluña 5/2012, de 18 diciembre, recurso registrado con el núm. 7279-2012 en este Tribunal; así como con el recurso interpuesto contra el art. 41 y la disposición final séptima de la Ley del Principado de Asturias 3/2012, de 28 diciembre, de presupuestos generales para 2013, registrado con el núm. 631-2013. Añade que además, el presente proceso guarda relación directa con los recursos 1873-2013 y 1881-2013 interpuestos, respectivamente, por el Gobierno de Cataluña y el Consejo de Gobierno del Principado de Asturias, contra el mismo art. 19 de la Ley 16/2012 aquí impugnado.</w:t>
      </w:r>
    </w:p>
    <w:p w:rsidR="0085709A" w:rsidRDefault="0085709A" w:rsidP="0085709A">
      <w:pPr>
        <w:pStyle w:val="TextoNormal"/>
      </w:pPr>
    </w:p>
    <w:p w:rsidR="0085709A" w:rsidRDefault="0085709A" w:rsidP="0085709A">
      <w:pPr>
        <w:pStyle w:val="TextoNormal"/>
      </w:pPr>
      <w:r>
        <w:t>Se examinan a continuación los tres motivos de inconstitucionalidad, interesando la desestimación íntegra del presente recurso.</w:t>
      </w:r>
    </w:p>
    <w:p w:rsidR="0085709A" w:rsidRDefault="0085709A" w:rsidP="0085709A">
      <w:pPr>
        <w:pStyle w:val="TextoNormal"/>
      </w:pPr>
    </w:p>
    <w:p w:rsidR="0085709A" w:rsidRDefault="0085709A" w:rsidP="0085709A">
      <w:pPr>
        <w:pStyle w:val="TextoNormal"/>
      </w:pPr>
      <w:r>
        <w:t>a) El impuesto sobre depósitos en las entidades de crédito establecido por el Estado es un auténtico impuesto que no infringe precepto constitucional alguno. Para llegar a esta conclusión se refiere el escrito a la potestad tributaria originaria del Estado, tal y como ha sido interpretada en general por la doctrina de este Tribunal (STC 100/2012, de 8 de mayo, FJ 7 entre otras), y, concretamente, por la STC 210/2012, de 14 de noviembre, que efectivamente declaró la compatibilidad del impuesto sobre depósitos en las entidades de crédito extremeño con las figuras tributarias estatales existentes al tiempo de dictarse aquella Sentencia, pero que no restringe a futuro la potestad tributaria originaria que corresponde al Estado, y en concreto no le impide establecer un impuesto sobre depósitos en las entidades de crédito de ámbito estatal como así se ha hecho.</w:t>
      </w:r>
    </w:p>
    <w:p w:rsidR="0085709A" w:rsidRDefault="0085709A" w:rsidP="0085709A">
      <w:pPr>
        <w:pStyle w:val="TextoNormal"/>
      </w:pPr>
    </w:p>
    <w:p w:rsidR="0085709A" w:rsidRDefault="0085709A" w:rsidP="0085709A">
      <w:pPr>
        <w:pStyle w:val="TextoNormal"/>
      </w:pPr>
      <w:r>
        <w:t xml:space="preserve">Añade que el impuesto estatal persigue una finalidad legítima, de carácter extrafiscal, tal y como ha venido reconociendo como posible el Tribunal Constitucional. En concreto sobre la finalidad recaudatoria y el principio de capacidad económica reconocidos en el art. 31 </w:t>
      </w:r>
      <w:r>
        <w:lastRenderedPageBreak/>
        <w:t>CE, afirma que la Constitución exige efectivamente que todo tributo esté anudado a una manifestación de riqueza, de modo que sin ésta no puede existir aquél, pero en ningún momento impide que, transitoriamente y en atención a otros fines constitucionalmente legítimos, el legislador pueda configurar un tributo cuyo hecho imponible sea una manifestación de riqueza con un tipo cero de gravamen inicial. Es más, el establecimiento de tributos con tipo cero, a que se refiere el art. 55 de la Ley general tributaria, no constituye ninguna novedad en nuestro sistema tributario, citándose a esos efectos el caso del impuesto especial sobre el vino y bebidas fermentadas, regulado en los arts. 27 y siguientes de la Ley 38/1992, de 28 de diciembre, de impuestos especiales, y cuyo art. 30 establece un gravamen cero.</w:t>
      </w:r>
    </w:p>
    <w:p w:rsidR="0085709A" w:rsidRDefault="0085709A" w:rsidP="0085709A">
      <w:pPr>
        <w:pStyle w:val="TextoNormal"/>
      </w:pPr>
    </w:p>
    <w:p w:rsidR="0085709A" w:rsidRDefault="0085709A" w:rsidP="0085709A">
      <w:pPr>
        <w:pStyle w:val="TextoNormal"/>
      </w:pPr>
      <w:r>
        <w:t>De otro lado, existen razones de política económica que justificaron el establecimiento inicial de un tipo cero en el art. 19 de la Ley 16/2012, cuya finalidad declarada en el preámbulo es asegurar un tratamiento fiscal armonizado que garantice una mayor eficiencia en el funcionamiento del sistema financiero. Se refiere en este punto el alegato a la crisis financiera, recogiendo algunas afirmaciones del informe anual del Banco de España de 2008 en las que se aprecia su singular gravedad, que probablemente sólo encuentre parangón con la crisis de 1929. Cita también los informes de esta entidad de los años 2009 y 2011. En relación en concreto con la situación de las entidades de depósito españolas se cita el informe de estabilidad financiera del Banco de España de noviembre 2012 destacando de forma pormenorizada el relato de las tensiones financieras en el área del euro que se exponen en el mismo, así como los problemas de financiación de las entidades bancarias, derivados de no poder acceder con facilidad a los mercados mayoristas de financiación, así como la bajada de la rentabilidad de las entidades de depósito. Pues bien, dado el agravamiento de la crisis que destaca el Boletín económico del Banco de España de marzo 2013, no puede desconocerse la grave incidencia que un impuesto sobre depósitos en las entidades de crédito como el establecido por Extremadura, Andalucía, Canarias, Cataluña y Asturias ocasiona en un sector financiero ya deteriorado por la crisis. Expone seguidamente en detalle los desequilibrios del sistema financiero que afectan, de un lado, al sector de las entidades de depósito y su reestructuración; y, de otro lado, al acceso al crédito de las empresas y las economías domésticas y, por tanto, en definitiva, al propio crecimiento económico.</w:t>
      </w:r>
    </w:p>
    <w:p w:rsidR="0085709A" w:rsidRDefault="0085709A" w:rsidP="0085709A">
      <w:pPr>
        <w:pStyle w:val="TextoNormal"/>
      </w:pPr>
    </w:p>
    <w:p w:rsidR="0085709A" w:rsidRDefault="0085709A" w:rsidP="0085709A">
      <w:pPr>
        <w:pStyle w:val="TextoNormal"/>
      </w:pPr>
      <w:r>
        <w:t>En este contexto, el art. 19 de la Ley 16/2012 se incardina no sólo en la competencia contenida en el art. 149.1.14 CE, sino también en el título contenido en el ordinal decimotercero del mismo art. 149.1 CE. Insiste en este punto en que, además de la finalidad fiscal, la norma tiene un claro fin extrafiscal, constitucionalmente legítimo y estrechamente vinculado con la grave situación de crisis financiera que afecta a las entidades de depósito en España.</w:t>
      </w:r>
    </w:p>
    <w:p w:rsidR="0085709A" w:rsidRDefault="0085709A" w:rsidP="0085709A">
      <w:pPr>
        <w:pStyle w:val="TextoNormal"/>
      </w:pPr>
    </w:p>
    <w:p w:rsidR="0085709A" w:rsidRDefault="0085709A" w:rsidP="0085709A">
      <w:pPr>
        <w:pStyle w:val="TextoNormal"/>
      </w:pPr>
      <w:r>
        <w:t xml:space="preserve">En fin, el impuesto sobre depósitos en las entidades de crédito estatal pretende asegurar un tratamiento fiscal armonizado, lo que debe igualmente enmarcarse en el ámbito de la carta de emplazamiento que el 27 de febrero de 2012 la Comisión Europea remitió al Ministro de Asuntos Exteriores sobre la posible incompatibilidad con los arts. 49 (derecho de establecimiento), 56 (libre circulación de servicios) y 63 (libre circulación de capitales) del Tratado de funcionamiento de la Unión Europea de ciertas disposiciones de la legislación tributaria española referente al impuesto que se aplica a los bancos en algunas Comunidades Autónomas. La carta se refería en concreto a las ventajas fiscales de los impuestos extremeño y andaluz en función de la localización de la sede social y sucursales. En este sentido, la creación del impuesto sobre depósitos en las entidades de crédito estatal debe enmarcarse </w:t>
      </w:r>
      <w:r>
        <w:lastRenderedPageBreak/>
        <w:t>también en la corriente actual en el seno de la Unión Europea en relación con el gravamen de determinadas operaciones financieras.</w:t>
      </w:r>
    </w:p>
    <w:p w:rsidR="0085709A" w:rsidRDefault="0085709A" w:rsidP="0085709A">
      <w:pPr>
        <w:pStyle w:val="TextoNormal"/>
      </w:pPr>
    </w:p>
    <w:p w:rsidR="0085709A" w:rsidRDefault="0085709A" w:rsidP="0085709A">
      <w:pPr>
        <w:pStyle w:val="TextoNormal"/>
      </w:pPr>
      <w:r>
        <w:t>b) El art. 19 de la Ley 16/2012 no invade el ámbito reservado a una ley orgánica, ya que resulta evidente que cuando el preámbulo de la ley alude a la finalidad de asegurar un tratamiento fiscal armonizado no está utilizando dicho término en el sentido técnico jurídico constitucional del art. 150.3 CE. Añade que notoriamente no existe una reserva constitucional de ley de armonización sino que la Constitución habilita, cuando concurra el presupuesto constitucional, al Estado para dictar leyes de armonización. En este sentido, y tal y como afirmó la STC 76/1983, de 5 de agosto, este mecanismo es una norma de cierre del sistema, “aplicable sólo a aquellos supuestos en que el legislador estatal no disponga de otros cauces constitucionales para el ejercicio de su potestad legislativa” (FJ 3).</w:t>
      </w:r>
    </w:p>
    <w:p w:rsidR="0085709A" w:rsidRDefault="0085709A" w:rsidP="0085709A">
      <w:pPr>
        <w:pStyle w:val="TextoNormal"/>
      </w:pPr>
    </w:p>
    <w:p w:rsidR="0085709A" w:rsidRDefault="0085709A" w:rsidP="0085709A">
      <w:pPr>
        <w:pStyle w:val="TextoNormal"/>
      </w:pPr>
      <w:r>
        <w:t>En este caso, el Estado ha entendido correctamente que los títulos competenciales de los arts. 133.1 y 149.1.13 y 14 CE amparan plenamente el dictado del art. 19 de la Ley 16/2012, por lo que no sólo era innecesario, sino que hubiera sido constitucionalmente reprochable acudir a una ley armonizadora. Además es evidente que no se invade el ámbito reservado a la ley orgánica por parte del art. 157.3 CE, pues el art. 19 se limita a establecer un impuesto estatal que grava un hecho imponible sujeto ya a imposición por algunas Comunidades Autónomas, por lo que en aplicación del art. 6.2 LOFCA se ponen en marcha los mecanismos de coordinación y compensación allí previstos. Esto es, se utiliza el ámbito de aplicación del art. 6.2 LOFCA en la forma allí prevista.</w:t>
      </w:r>
    </w:p>
    <w:p w:rsidR="0085709A" w:rsidRDefault="0085709A" w:rsidP="0085709A">
      <w:pPr>
        <w:pStyle w:val="TextoNormal"/>
      </w:pPr>
    </w:p>
    <w:p w:rsidR="0085709A" w:rsidRDefault="0085709A" w:rsidP="0085709A">
      <w:pPr>
        <w:pStyle w:val="TextoNormal"/>
      </w:pPr>
      <w:r>
        <w:t>c) Rechaza finalmente la inconstitucionalidad del art. 19.13, pues frente a lo alegado en la demanda no se trata en este caso de una norma puramente interpretativa del art. 6.2 LOFCA. Avala esta conclusión la doctrina contenida en la STC 247/2007, de 12 diciembre, FJ 8, de manera que “una cosa es que dicho legislador estatal realice con pretensiones normativas de validez general, una interpretación genérica y abstracta del sistema constitucional y estatutario de distribución de competencias, con pretensiones de vinculación a las Comunidades Autónomas... y otra muy distinta que, en el ejercicio de las competencias que la Constitución y los Estatutos de Autonomía le atribuyen para la ordenación de un sector material concreto, dicho legislador deba proceder a una interpretación del alcance de los límites de su propia competencia” (con cita de las SSTC 40/1998, de 19 de febrero, FJ 6 y 227/1988, de 29 de noviembre, FJ 3).</w:t>
      </w:r>
    </w:p>
    <w:p w:rsidR="0085709A" w:rsidRDefault="0085709A" w:rsidP="0085709A">
      <w:pPr>
        <w:pStyle w:val="TextoNormal"/>
      </w:pPr>
    </w:p>
    <w:p w:rsidR="0085709A" w:rsidRDefault="0085709A" w:rsidP="0085709A">
      <w:pPr>
        <w:pStyle w:val="TextoNormal"/>
      </w:pPr>
      <w:r>
        <w:t>En consecuencia, la Ley recurrida no asume indebidamente papel alguno que corresponda al constituyente, sino que lo que hace es concretar los criterios que se definen en la LOFCA, tal y como avaló el Tribunal Constitucional en la STC 101/2013, de 23 de abril, FJ 6, y dentro del propio tenor literal del art. 6.2 LOFCA, que establece que será el Estado el que habrá de instrumentar las medidas de compensación o coordinación adecuadas en favor de las Comunidades Autónomas.</w:t>
      </w:r>
    </w:p>
    <w:p w:rsidR="0085709A" w:rsidRDefault="0085709A" w:rsidP="0085709A">
      <w:pPr>
        <w:pStyle w:val="TextoNormal"/>
      </w:pPr>
    </w:p>
    <w:p w:rsidR="0085709A" w:rsidRDefault="0085709A" w:rsidP="0085709A">
      <w:pPr>
        <w:pStyle w:val="TextoNormal"/>
      </w:pPr>
      <w:r>
        <w:t>Añade, en fin, que el art. 19.13 de la Ley 16/2012 tiene también la finalidad legítima de evitar que durante la tramitación parlamentaria del impuesto sobre depósitos en las entidades de crédito estatal Comunidades Autónomas que hasta el momento no habían mostrado interés alguno en gravar ese hecho imponible, lo hicieran precipitadamente adelantándose al legislador estatal tal y como hizo Cataluña. En todo caso, el periodo impositivo del im</w:t>
      </w:r>
      <w:r>
        <w:lastRenderedPageBreak/>
        <w:t xml:space="preserve">puesto catalán coincide con el año natural, devengándose el impuesto el último día del periodo impositivo, por tanto el primer ingreso por el impuesto establecido no se realizará hasta antes del 31 marzo 2013. Se refiere también a la tramitación legislativa del tributo establecido por Cataluña, que permite comprobar que su creación fue oportunista, una vez que al menos desde el 29 noviembre 2012 era conocida la intención de crear un impuesto sobre depósitos en las entidades de crédito estatal, citando asimismo las palabras del portavoz del Gobierno de la Generalitat de Cataluña que declaró que la aprobación del Decreto-ley 5/2012 tenía como finalidad el “blindaje” del espacio fiscal de esta Comunidad Autónoma. En todo caso, el impuesto sobre depósitos en las entidades de crédito catalán no cumplía en ningún supuesto los requisitos de la compensación del art. 6.2 LOFCA ya que el tributo creado por esta Comunidad Autónoma no comenzaría a percibir los ingresos hasta finales de 2013, de manera que no habría pérdida recaudatoria estrictamente. Finaliza afirmando que la aprobación </w:t>
      </w:r>
      <w:r w:rsidRPr="0085709A">
        <w:rPr>
          <w:i/>
        </w:rPr>
        <w:t>in extremis</w:t>
      </w:r>
      <w:r>
        <w:t xml:space="preserve"> de tributos autonómicos con la sola finalidad —expresamente declarada— de acceder a la compensación estatal resulta manifiestamente contraria al espíritu y a la letra del art. 6.2 LOFCA, lo que igualmente avala la constitucionalidad del art. 19.13, que precisamente intenta evitar este tipo de maniobras.</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17 de febrero de 2014 se señaló el día 19 del mismo mes y año, para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Parlamento de Cataluña promovió recurso de inconstitucionalidad contra el art. 19 de la Ley 16/2012, de 27 de diciembre, por la que se adoptan diversas medidas tributarias dirigidas a la consolidación de las finanzas públicas y al impulso de la actividad económica (en adelante, Ley 16/2012).</w:t>
      </w:r>
    </w:p>
    <w:p w:rsidR="0085709A" w:rsidRDefault="0085709A" w:rsidP="0085709A">
      <w:pPr>
        <w:pStyle w:val="TextoNormal"/>
      </w:pPr>
    </w:p>
    <w:p w:rsidR="0085709A" w:rsidRDefault="0085709A" w:rsidP="0085709A">
      <w:pPr>
        <w:pStyle w:val="TextoNormal"/>
      </w:pPr>
      <w:r>
        <w:t>El precepto impugnado establece el “impuesto sobre los depósitos en las entidades de crédito”, con la finalidad, expresada en el preámbulo de la norma, de “asegurar un tratamiento fiscal armonizado que garantice una mayor eficiencia en el funcionamiento del sistema financiero”.</w:t>
      </w:r>
    </w:p>
    <w:p w:rsidR="0085709A" w:rsidRDefault="0085709A" w:rsidP="0085709A">
      <w:pPr>
        <w:pStyle w:val="TextoNormal"/>
      </w:pPr>
    </w:p>
    <w:p w:rsidR="0085709A" w:rsidRDefault="0085709A" w:rsidP="0085709A">
      <w:pPr>
        <w:pStyle w:val="TextoNormal"/>
      </w:pPr>
      <w:r>
        <w:t>El impuesto sobre depósitos en las entidades de crédito tiene los siguientes elementos esenciales:</w:t>
      </w:r>
    </w:p>
    <w:p w:rsidR="0085709A" w:rsidRDefault="0085709A" w:rsidP="0085709A">
      <w:pPr>
        <w:pStyle w:val="TextoNormal"/>
      </w:pPr>
    </w:p>
    <w:p w:rsidR="0085709A" w:rsidRDefault="0085709A" w:rsidP="0085709A">
      <w:pPr>
        <w:pStyle w:val="TextoNormal"/>
      </w:pPr>
      <w:r>
        <w:t>– Se define como un tributo de carácter directo que grava “los depósitos constituidos en las entidades de crédito” (art. 19.1).</w:t>
      </w:r>
    </w:p>
    <w:p w:rsidR="0085709A" w:rsidRDefault="0085709A" w:rsidP="0085709A">
      <w:pPr>
        <w:pStyle w:val="TextoNormal"/>
      </w:pPr>
    </w:p>
    <w:p w:rsidR="0085709A" w:rsidRDefault="0085709A" w:rsidP="0085709A">
      <w:pPr>
        <w:pStyle w:val="TextoNormal"/>
      </w:pPr>
      <w:r>
        <w:t>– Su ámbito territorial de aplicación es el territorio español, “sin perjuicio de los regímenes tributarios forales de concierto y convenio económico en vigor, respectivamente, en los territorios históricos del País Vasco y en la Comunidad Foral de Navarra” (art. 19.2).</w:t>
      </w:r>
    </w:p>
    <w:p w:rsidR="0085709A" w:rsidRDefault="0085709A" w:rsidP="0085709A">
      <w:pPr>
        <w:pStyle w:val="TextoNormal"/>
      </w:pPr>
    </w:p>
    <w:p w:rsidR="0085709A" w:rsidRDefault="0085709A" w:rsidP="0085709A">
      <w:pPr>
        <w:pStyle w:val="TextoNormal"/>
      </w:pPr>
      <w:r>
        <w:t>– El hecho imponible lo constituye “el mantenimiento de fondos de terceros, cualquiera que sea su naturaleza jurídica, por los contribuyentes señalados en el apartado Seis de este artículo, y que comporten la obligación de restitución, a excepción de los fondos mantenidos en sucursales fuera del territorio español” (art. 19.3 de la Ley 16/2012).</w:t>
      </w:r>
    </w:p>
    <w:p w:rsidR="0085709A" w:rsidRDefault="0085709A" w:rsidP="0085709A">
      <w:pPr>
        <w:pStyle w:val="TextoNormal"/>
      </w:pPr>
    </w:p>
    <w:p w:rsidR="0085709A" w:rsidRDefault="0085709A" w:rsidP="0085709A">
      <w:pPr>
        <w:pStyle w:val="TextoNormal"/>
      </w:pPr>
      <w:r>
        <w:lastRenderedPageBreak/>
        <w:t>– Su periodo impositivo es el año natural con carácter general (art. 19.5).</w:t>
      </w:r>
    </w:p>
    <w:p w:rsidR="0085709A" w:rsidRDefault="0085709A" w:rsidP="0085709A">
      <w:pPr>
        <w:pStyle w:val="TextoNormal"/>
      </w:pPr>
    </w:p>
    <w:p w:rsidR="0085709A" w:rsidRDefault="0085709A" w:rsidP="0085709A">
      <w:pPr>
        <w:pStyle w:val="TextoNormal"/>
      </w:pPr>
      <w:r>
        <w:t>– Los contribuyentes son las entidades de crédito definidas en el artículo 1 del Real Decreto Legislativo 1298/1986, de 28 de junio, sobre adaptación del derecho vigente en materia de entidades de crédito al de las Comunidades Europeas así como las sucursales en territorio español de entidades de crédito extranjeras (art. 19.6).</w:t>
      </w:r>
    </w:p>
    <w:p w:rsidR="0085709A" w:rsidRDefault="0085709A" w:rsidP="0085709A">
      <w:pPr>
        <w:pStyle w:val="TextoNormal"/>
      </w:pPr>
    </w:p>
    <w:p w:rsidR="0085709A" w:rsidRDefault="0085709A" w:rsidP="0085709A">
      <w:pPr>
        <w:pStyle w:val="TextoNormal"/>
      </w:pPr>
      <w:r>
        <w:t>– La base imponible del tributo está integrada por “el importe resultante de promediar aritméticamente el saldo final de cada trimestre natural del periodo impositivo, correspondiente a la partida 4 ‘Depósitos de la clientela’ del Pasivo del Balance reservado de las entidades de crédito, incluidos en los estados financieros individuales” (art. 19.7), con los ajustes a que se refiere el mismo precepto.</w:t>
      </w:r>
    </w:p>
    <w:p w:rsidR="0085709A" w:rsidRDefault="0085709A" w:rsidP="0085709A">
      <w:pPr>
        <w:pStyle w:val="TextoNormal"/>
      </w:pPr>
    </w:p>
    <w:p w:rsidR="0085709A" w:rsidRDefault="0085709A" w:rsidP="0085709A">
      <w:pPr>
        <w:pStyle w:val="TextoNormal"/>
      </w:pPr>
      <w:r>
        <w:t>– La cuota íntegra “será el resultado de aplicar a la base imponible el tipo de gravamen del 0 por 100” (art. 19.8 Ley 16/2012). Las obligaciones de presentar autoliquidación (art. 19.9 Ley 16/2012), así como las de realizar pagos a cuenta (art. 19.10) se supeditan a que la cuota sea superior a cero euros.</w:t>
      </w:r>
    </w:p>
    <w:p w:rsidR="0085709A" w:rsidRDefault="0085709A" w:rsidP="0085709A">
      <w:pPr>
        <w:pStyle w:val="TextoNormal"/>
      </w:pPr>
    </w:p>
    <w:p w:rsidR="0085709A" w:rsidRDefault="0085709A" w:rsidP="0085709A">
      <w:pPr>
        <w:pStyle w:val="TextoNormal"/>
      </w:pPr>
      <w:r>
        <w:t>– Se habilita a la Ley de presupuestos generales del Estado para modificar el tipo de gravamen y el pago a cuenta (art. 19.11 Ley 16/2012).</w:t>
      </w:r>
    </w:p>
    <w:p w:rsidR="0085709A" w:rsidRDefault="0085709A" w:rsidP="0085709A">
      <w:pPr>
        <w:pStyle w:val="TextoNormal"/>
      </w:pPr>
    </w:p>
    <w:p w:rsidR="0085709A" w:rsidRDefault="0085709A" w:rsidP="0085709A">
      <w:pPr>
        <w:pStyle w:val="TextoNormal"/>
      </w:pPr>
      <w:r>
        <w:t>– El apartado 13 prevé la aplicación de la compensación a que se refiere el art. 6.2 de la Ley Orgánica 8/1980, de 22 de septiembre, de financiación de las Comunidades Autónomas (LOFCA, en lo que sigue) a “aquellos tributos propios de las Comunidades Autónomas establecidos en una Ley aprobada con anterioridad a 1 de diciembre de 2012”.</w:t>
      </w:r>
    </w:p>
    <w:p w:rsidR="0085709A" w:rsidRDefault="0085709A" w:rsidP="0085709A">
      <w:pPr>
        <w:pStyle w:val="TextoNormal"/>
      </w:pPr>
    </w:p>
    <w:p w:rsidR="0085709A" w:rsidRDefault="0085709A" w:rsidP="0085709A">
      <w:pPr>
        <w:pStyle w:val="TextoNormal"/>
      </w:pPr>
      <w:r w:rsidRPr="0085709A">
        <w:rPr>
          <w:rStyle w:val="NumeroAFNegritaCaracter"/>
        </w:rPr>
        <w:t>2</w:t>
      </w:r>
      <w:r>
        <w:t>. Según ha quedado expuesto con mayor detalle en los antecedentes, la demanda solicita la declaración de inconstitucionalidad del art. 19 de la Ley 16/2012 por tres motivos:</w:t>
      </w:r>
    </w:p>
    <w:p w:rsidR="0085709A" w:rsidRDefault="0085709A" w:rsidP="0085709A">
      <w:pPr>
        <w:pStyle w:val="TextoNormal"/>
      </w:pPr>
    </w:p>
    <w:p w:rsidR="0085709A" w:rsidRDefault="0085709A" w:rsidP="0085709A">
      <w:pPr>
        <w:pStyle w:val="TextoNormal"/>
      </w:pPr>
      <w:r>
        <w:t>En primer lugar, el impuesto sobre depósitos en las entidades de crédito sería en realidad la simulación de un impuesto, que por lo tanto no tiene encaje en el concepto de tributo del art. 31.1 CE toda vez que su única finalidad es armonizar la imposición sobre los depósitos bancarios, pero no recaudar, como es propio de todo tributo. En consecuencia, su creación por el Estado no puede ampararse en las competencias para crear tributos (arts. 133.1 y 149.1.14 CE).</w:t>
      </w:r>
    </w:p>
    <w:p w:rsidR="0085709A" w:rsidRDefault="0085709A" w:rsidP="0085709A">
      <w:pPr>
        <w:pStyle w:val="TextoNormal"/>
      </w:pPr>
    </w:p>
    <w:p w:rsidR="0085709A" w:rsidRDefault="0085709A" w:rsidP="0085709A">
      <w:pPr>
        <w:pStyle w:val="TextoNormal"/>
      </w:pPr>
      <w:r>
        <w:t>En conexión con el argumento anterior, se sostiene en la demanda que el Estado ostenta efectivamente la competencia para armonizar la imposición sobre los depósitos bancarios, si bien ello debe hacerse mediante la Ley Orgánica a que se refiere el art. 157.3 CE, que en estos momento es la Ley Orgánica 8/1980, de 22 de septiembre, de financiación de las Comunidades Autónomas (LOFCA, en lo que sigue). Sólo a esta norma corresponde la delimitación de las competencias financieras de las Comunidades Autónomas. En consecuencia, el art. 19 de la Ley 16/2012 habría invadido el ámbito constitucionalmente reservado a la ley orgánica por el art. 157.3 CE.</w:t>
      </w:r>
    </w:p>
    <w:p w:rsidR="0085709A" w:rsidRDefault="0085709A" w:rsidP="0085709A">
      <w:pPr>
        <w:pStyle w:val="TextoNormal"/>
      </w:pPr>
    </w:p>
    <w:p w:rsidR="0085709A" w:rsidRDefault="0085709A" w:rsidP="0085709A">
      <w:pPr>
        <w:pStyle w:val="TextoNormal"/>
      </w:pPr>
      <w:r>
        <w:t xml:space="preserve">El apartado 13 del art. 19 resultaría además inconstitucional porque limitaría indebidamente el alcance de la compensación en caso de ocupación de hechos imponibles por parte </w:t>
      </w:r>
      <w:r>
        <w:lastRenderedPageBreak/>
        <w:t>del Estado, tratándose de una norma meramente interpretativa del art. 6.2 LOFCA que además vulnera la autonomía financiera de las Comunidades Autónomas (art. 156.1 CE).</w:t>
      </w:r>
    </w:p>
    <w:p w:rsidR="0085709A" w:rsidRDefault="0085709A" w:rsidP="0085709A">
      <w:pPr>
        <w:pStyle w:val="TextoNormal"/>
      </w:pPr>
    </w:p>
    <w:p w:rsidR="0085709A" w:rsidRDefault="0085709A" w:rsidP="0085709A">
      <w:pPr>
        <w:pStyle w:val="TextoNormal"/>
      </w:pPr>
      <w:r>
        <w:t>El Abogado del Estado interesa la desestimación del recurso a partir de las siguientes alegaciones:</w:t>
      </w:r>
    </w:p>
    <w:p w:rsidR="0085709A" w:rsidRDefault="0085709A" w:rsidP="0085709A">
      <w:pPr>
        <w:pStyle w:val="TextoNormal"/>
      </w:pPr>
    </w:p>
    <w:p w:rsidR="0085709A" w:rsidRDefault="0085709A" w:rsidP="0085709A">
      <w:pPr>
        <w:pStyle w:val="TextoNormal"/>
      </w:pPr>
      <w:r>
        <w:t>El impuesto sobre depósitos en las entidades de crédito tiene la legítima finalidad de asegurar un tratamiento fiscal armonizado que garantice una mayor eficiencia en el funcionamiento del sistema financiero. Por tanto, su creación se incardina en las competencias que al Estado reserva la Constitución (arts. 133.2 y 149.1.14 CE), teniendo además una finalidad extrafiscal amparable en el art. 149.1.13 CE, y sin que deje de tener encaje en el concepto de tributo del art. 31.1 CE por el mero hecho de tener un tipo de gravamen cero.</w:t>
      </w:r>
    </w:p>
    <w:p w:rsidR="0085709A" w:rsidRDefault="0085709A" w:rsidP="0085709A">
      <w:pPr>
        <w:pStyle w:val="TextoNormal"/>
      </w:pPr>
    </w:p>
    <w:p w:rsidR="0085709A" w:rsidRDefault="0085709A" w:rsidP="0085709A">
      <w:pPr>
        <w:pStyle w:val="TextoNormal"/>
      </w:pPr>
      <w:r>
        <w:t>Tampoco se invade el ámbito correspondiente a la LOFCA, sino que precisamente se aplica el art. 6.2 de esta norma, que permite la ocupación de hechos imponibles por el Estado.</w:t>
      </w:r>
    </w:p>
    <w:p w:rsidR="0085709A" w:rsidRDefault="0085709A" w:rsidP="0085709A">
      <w:pPr>
        <w:pStyle w:val="TextoNormal"/>
      </w:pPr>
    </w:p>
    <w:p w:rsidR="0085709A" w:rsidRDefault="0085709A" w:rsidP="0085709A">
      <w:pPr>
        <w:pStyle w:val="TextoNormal"/>
      </w:pPr>
      <w:r>
        <w:t>Finalmente, el art. 19.13 no es una norma meramente interpretativa que asuma indebidamente papel alguno que corresponda al constituyente, como sostiene la demanda, sino que se limita a concretar los criterios que se establecen en la LOFCA tal y como reclama el propio tenor literal de su art. 6.2.</w:t>
      </w:r>
    </w:p>
    <w:p w:rsidR="0085709A" w:rsidRDefault="0085709A" w:rsidP="0085709A">
      <w:pPr>
        <w:pStyle w:val="TextoNormal"/>
      </w:pPr>
    </w:p>
    <w:p w:rsidR="0085709A" w:rsidRDefault="0085709A" w:rsidP="0085709A">
      <w:pPr>
        <w:pStyle w:val="TextoNormal"/>
      </w:pPr>
      <w:r w:rsidRPr="0085709A">
        <w:rPr>
          <w:rStyle w:val="NumeroAFNegritaCaracter"/>
        </w:rPr>
        <w:t>3</w:t>
      </w:r>
      <w:r>
        <w:t>. Con carácter previo al examen de fondo, y en la medida en que pueda condicionar el posterior examen, debemos considerar la incidencia que en este proceso tiene la modificación del art. 19 de la Ley 16/2012 que se impugna, mediante el art. 124 del Real Decreto-ley 8/2014, de 4 de julio, de aprobación de medidas urgentes para el crecimiento, la competitividad y la eficiencia (Real Decreto-ley 8/2014, en adelante), y por la Ley 18/2014, de 15 de octubre.</w:t>
      </w:r>
    </w:p>
    <w:p w:rsidR="0085709A" w:rsidRDefault="0085709A" w:rsidP="0085709A">
      <w:pPr>
        <w:pStyle w:val="TextoNormal"/>
      </w:pPr>
    </w:p>
    <w:p w:rsidR="0085709A" w:rsidRDefault="0085709A" w:rsidP="0085709A">
      <w:pPr>
        <w:pStyle w:val="TextoNormal"/>
      </w:pPr>
      <w:r>
        <w:t>El preámbulo del Real Decreto-ley 8/2014 justifica la modificación en la aprobación de impuestos autonómicos con posterioridad a la tramitación legislativa del precepto que ahora se impugna, situación que “hace necesaria esta modificación urgente con el objeto de garantizar una tributación armonizada de los depósitos constituidos en las entidades de crédito en todo el territorio español. A tal fin, se establece, con efectos desde el 1 de enero de 2014, un tipo de gravamen del 0,03 por 100, cuya recaudación será destinada a las Comunidades Autónomas donde radiquen la sede central o las sucursales de los contribuyentes en las que se mantengan los fondos de terceros gravados. Además, se introducen mejoras técnicas en la configuración de la base imponible del impuesto”.</w:t>
      </w:r>
    </w:p>
    <w:p w:rsidR="0085709A" w:rsidRDefault="0085709A" w:rsidP="0085709A">
      <w:pPr>
        <w:pStyle w:val="TextoNormal"/>
      </w:pPr>
    </w:p>
    <w:p w:rsidR="0085709A" w:rsidRDefault="0085709A" w:rsidP="0085709A">
      <w:pPr>
        <w:pStyle w:val="TextoNormal"/>
      </w:pPr>
      <w:r>
        <w:t>En concreto, se introducen las siguientes modificaciones en la norma impugnada en este proceso:</w:t>
      </w:r>
    </w:p>
    <w:p w:rsidR="0085709A" w:rsidRDefault="0085709A" w:rsidP="0085709A">
      <w:pPr>
        <w:pStyle w:val="TextoNormal"/>
      </w:pPr>
    </w:p>
    <w:p w:rsidR="0085709A" w:rsidRDefault="0085709A" w:rsidP="0085709A">
      <w:pPr>
        <w:pStyle w:val="TextoNormal"/>
      </w:pPr>
      <w:r>
        <w:t>a) Se otorga nueva redacción a los apartados 5 (“Período impositivo y devengo”); y 7 a 10 (“Base imponible”; “Cuota tributaria”, “Autoliquidación” y “Obligación de realizar pago a cuenta”), lo que tiene como principal consecuencia que el tributo deja de ser un impuesto a tipo cero para tener un tipo de gravamen del 0,03 por 100.</w:t>
      </w:r>
    </w:p>
    <w:p w:rsidR="0085709A" w:rsidRDefault="0085709A" w:rsidP="0085709A">
      <w:pPr>
        <w:pStyle w:val="TextoNormal"/>
      </w:pPr>
    </w:p>
    <w:p w:rsidR="0085709A" w:rsidRDefault="0085709A" w:rsidP="0085709A">
      <w:pPr>
        <w:pStyle w:val="TextoNormal"/>
      </w:pPr>
      <w:r>
        <w:lastRenderedPageBreak/>
        <w:t>b) Se añade un párrafo al apartado 13, limitativo de la compensación, con el siguiente tenor:</w:t>
      </w:r>
    </w:p>
    <w:p w:rsidR="0085709A" w:rsidRDefault="0085709A" w:rsidP="0085709A">
      <w:pPr>
        <w:pStyle w:val="TextoNormal"/>
      </w:pPr>
    </w:p>
    <w:p w:rsidR="0085709A" w:rsidRDefault="0085709A" w:rsidP="0085709A">
      <w:pPr>
        <w:pStyle w:val="TextoNormal"/>
      </w:pPr>
      <w:r>
        <w:t>“Respecto de los periodos impositivos que se inicien a partir del 1 de enero de 2014, las medidas de compensación en favor de las Comunidades Autónomas establecidas con base en el art. 6.2 de la Ley Orgánica 8/1980, se minorarán en el importe de la recaudación que se distribuya a las correspondientes Comunidades Autónomas de acuerdo con lo previsto en el apartado siguiente.”</w:t>
      </w:r>
    </w:p>
    <w:p w:rsidR="0085709A" w:rsidRDefault="0085709A" w:rsidP="0085709A">
      <w:pPr>
        <w:pStyle w:val="TextoNormal"/>
      </w:pPr>
    </w:p>
    <w:p w:rsidR="0085709A" w:rsidRDefault="0085709A" w:rsidP="0085709A">
      <w:pPr>
        <w:pStyle w:val="TextoNormal"/>
      </w:pPr>
      <w:r>
        <w:t>c) Se renumera el apartado 14, que pasa a ser el 15, y se añade un nuevo apartado 14, con efectos desde el 1 de enero de 2014, intitulado “Distribución de la recaudación”, y que tiene como consecuencia atribuir íntegramente la recaudación obtenida con el impuesto sobre depósitos en las entidades de crédito a todas las Comunidades Autónomas, repartiéndose entre ellas en función de los criterios allí establecidos.</w:t>
      </w:r>
    </w:p>
    <w:p w:rsidR="0085709A" w:rsidRDefault="0085709A" w:rsidP="0085709A">
      <w:pPr>
        <w:pStyle w:val="TextoNormal"/>
      </w:pPr>
    </w:p>
    <w:p w:rsidR="0085709A" w:rsidRDefault="0085709A" w:rsidP="0085709A">
      <w:pPr>
        <w:pStyle w:val="TextoNormal"/>
      </w:pPr>
      <w:r>
        <w:t>d) Finalmente, el art. 124.2 del Real Decreto-ley 8/2014 añade una disposición transitoria única en la Ley 16/2012, estableciéndose que el tributo estará en vigor hasta que se reforme el sistema de financiación de las Comunidades Autónomas. En esencia, este régimen implica que el Estado transferirá a las Comunidades Autónomas el referido importe correspondiente a la recaudación del impuesto sobre depósitos en las entidades de crédito sin que ello suponga una modificación del fondo de suficiencia global regulado en el art. 21 de la Ley 22/2009, de 18 de diciembre, por la que se regula el sistema de financiación de las Comunidades Autónomas. Esto es, dicho fondo no se verá disminuido con la recaudación obtenida por el impuesto sobre depósitos en las entidades de crédito.</w:t>
      </w:r>
    </w:p>
    <w:p w:rsidR="0085709A" w:rsidRDefault="0085709A" w:rsidP="0085709A">
      <w:pPr>
        <w:pStyle w:val="TextoNormal"/>
      </w:pPr>
    </w:p>
    <w:p w:rsidR="0085709A" w:rsidRDefault="0085709A" w:rsidP="0085709A">
      <w:pPr>
        <w:pStyle w:val="TextoNormal"/>
      </w:pPr>
      <w:r>
        <w:t>La modificación del art. 19 de la Ley 16/2012, cuyas líneas generales se han expuesto, en principio hace perder virtualidad al principal motivo impugnatorio, que se refería precisamente a que el impuesto sobre depósitos en las entidades de crédito era una simulación de impuesto porque tenía un tipo de gravamen de cero, siendo su única finalidad la de armonizar el poder tributario de las Comunidades Autónomas en esta concreta materia. A partir de la modificación acometida por el Real Decreto-ley 8/2014, y por la Ley 18/2014, de 15 de octubre, el impuesto sobre depósitos en las entidades de crédito estatal tiene ahora un tipo de gravamen del 0,03 por 100, estableciéndose además que el importe de su recaudación se repartirá íntegramente entre todas las Comunidades Autónomas hayan o no establecido un impuesto sobre depósitos en las entidades de crédito, en función de los criterios que recoge la norma.</w:t>
      </w:r>
    </w:p>
    <w:p w:rsidR="0085709A" w:rsidRDefault="0085709A" w:rsidP="0085709A">
      <w:pPr>
        <w:pStyle w:val="TextoNormal"/>
      </w:pPr>
    </w:p>
    <w:p w:rsidR="0085709A" w:rsidRDefault="0085709A" w:rsidP="0085709A">
      <w:pPr>
        <w:pStyle w:val="TextoNormal"/>
      </w:pPr>
      <w:r>
        <w:t>Ahora bien, el hecho de que la impugnación haya perdido parcialmente su finalidad a la luz de la vigente regulación del tributo no impide, según nuestra reiterada doctrina, el examen de fondo del primer motivo de inconstitucionalidad, en conexión con el segundo, dado su evidente contenido competencial, que no puede considerarse resuelto tras las modificaciones legislativas antes indicadas [por todas, SSTC 134/2011, de 20 de julio, FJ 2 b); y 161/2012, de 20 de septiembre, FJ 2 b)].</w:t>
      </w:r>
    </w:p>
    <w:p w:rsidR="0085709A" w:rsidRDefault="0085709A" w:rsidP="0085709A">
      <w:pPr>
        <w:pStyle w:val="TextoNormal"/>
      </w:pPr>
    </w:p>
    <w:p w:rsidR="0085709A" w:rsidRDefault="0085709A" w:rsidP="0085709A">
      <w:pPr>
        <w:pStyle w:val="TextoNormal"/>
      </w:pPr>
      <w:r w:rsidRPr="0085709A">
        <w:rPr>
          <w:rStyle w:val="NumeroAFNegritaCaracter"/>
        </w:rPr>
        <w:t>4</w:t>
      </w:r>
      <w:r>
        <w:t>. Estamos ya en condiciones de examinar el fondo del recurso de inconstitucionalidad.</w:t>
      </w:r>
    </w:p>
    <w:p w:rsidR="0085709A" w:rsidRDefault="0085709A" w:rsidP="0085709A">
      <w:pPr>
        <w:pStyle w:val="TextoNormal"/>
      </w:pPr>
    </w:p>
    <w:p w:rsidR="0085709A" w:rsidRDefault="0085709A" w:rsidP="0085709A">
      <w:pPr>
        <w:pStyle w:val="TextoNormal"/>
      </w:pPr>
      <w:r>
        <w:lastRenderedPageBreak/>
        <w:t>Como primer motivo, la demanda considera que el impuesto sobre depósitos en las entidades de crédito establecido por el Estado es un tributo simulado, que no reúne las condiciones del concepto de tributo del art. 31.1 CE, por lo que su creación no puede ampararse en sus competencias para crear tributos (arts. 133.1 y 149.1.14 CE).</w:t>
      </w:r>
    </w:p>
    <w:p w:rsidR="0085709A" w:rsidRDefault="0085709A" w:rsidP="0085709A">
      <w:pPr>
        <w:pStyle w:val="TextoNormal"/>
      </w:pPr>
    </w:p>
    <w:p w:rsidR="0085709A" w:rsidRDefault="0085709A" w:rsidP="0085709A">
      <w:pPr>
        <w:pStyle w:val="TextoNormal"/>
      </w:pPr>
      <w:r>
        <w:t>Efectivamente el encuadre competencial del precepto impugnado depende de la naturaleza jurídica del impuesto sobre depósitos en las entidades de crédito, cuyo examen deberá realizarse en primer lugar, partiendo de que “las prestaciones patrimoniales de carácter público tienen cada una de ellas la naturaleza propia y específica que les corresponda de acuerdo con su presupuesto de hecho y en función de su configuración y estructura jurídica, no pudiendo hacerse depender, en ningún caso, de la mera denominación que el legislador, a su discreción, les asigne” (STC 83/2014 de 29 de mayo, FJ 3 con cita de, entre otras, las SSTC 296/1994, de 10 de noviembre, FJ 4; y 73/2011, de 19 de mayo, FJ 4).</w:t>
      </w:r>
    </w:p>
    <w:p w:rsidR="0085709A" w:rsidRDefault="0085709A" w:rsidP="0085709A">
      <w:pPr>
        <w:pStyle w:val="TextoNormal"/>
      </w:pPr>
    </w:p>
    <w:p w:rsidR="0085709A" w:rsidRDefault="0085709A" w:rsidP="0085709A">
      <w:pPr>
        <w:pStyle w:val="TextoNormal"/>
      </w:pPr>
      <w:r>
        <w:t>a) Uno de los elementos centrales de la noción de tributo es su finalidad recaudatoria, o lo que es lo mismo, allegar recursos a la hacienda pública, inherente a la propia función de sostener la financiación del gasto público a que se refiere el art. 31.1 CE.</w:t>
      </w:r>
    </w:p>
    <w:p w:rsidR="0085709A" w:rsidRDefault="0085709A" w:rsidP="0085709A">
      <w:pPr>
        <w:pStyle w:val="TextoNormal"/>
      </w:pPr>
    </w:p>
    <w:p w:rsidR="0085709A" w:rsidRDefault="0085709A" w:rsidP="0085709A">
      <w:pPr>
        <w:pStyle w:val="TextoNormal"/>
      </w:pPr>
      <w:r>
        <w:t>Dicha finalidad central, predicable del conjunto del sistema tributario, no impide sin embargo que las concretas figuras tributarias pueden perseguir, además, otras finalidades, distintas de la puramente recaudatoria, denominadas por ello “extrafiscales”. De hecho, en los sistemas tributarios modernos, en los que coexisten diversas figuras tributarias, es frecuente que además de la recaudatoria se persigan otras finalidades [como dijimos, con respecto del impuesto sobre la renta de las personas físicas, en la STC 19/2012, de 15 de febrero, FJ 3 a)]. De esta manera, y como recordamos recientemente, “difícilmente habrá impuestos extrafiscales químicamente puros” ya que “resulta evidente que todos los impuestos sin excepción producen otros efectos, además de la recaudación de ingresos, de manera que es preciso distinguir entre los fines y sus efectos, queridos o no, que la norma tributaria produce en la vida social y económica” [STC 53/2014, de 10 de abril, FJ 6 c)]. En suma,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[STC 19/2012, FJ 3 a), con cita de las SSTC 37/1987, de 26 de marzo, FJ 13; 197/1992, de 19 de noviembre, FJ 6; 194/2000, de 19 de julio, FJ 7; 276/2000, de 16 de noviembre, FJ 4; y 179/2006, de 13 de junio, FJ 3].</w:t>
      </w:r>
    </w:p>
    <w:p w:rsidR="0085709A" w:rsidRDefault="0085709A" w:rsidP="0085709A">
      <w:pPr>
        <w:pStyle w:val="TextoNormal"/>
      </w:pPr>
    </w:p>
    <w:p w:rsidR="0085709A" w:rsidRDefault="0085709A" w:rsidP="0085709A">
      <w:pPr>
        <w:pStyle w:val="TextoNormal"/>
      </w:pPr>
      <w:r>
        <w:t>El legislador dispone así de un amplio margen de configuración a la hora de establecer un tributo con otras finalidades adicionales, no propiamente recaudatorias sino de ordenación. Esta libertad del legislador debe obviamente ejercerse de conformidad con la Constitución, respetando, en concreto y por lo que en este proceso interesa, tanto el orden competencial establecido en la misma (tempranamente, STC 37/1987, de 26 de marzo, FJ 13, sobre el “impuesto sobre tierras infrautilizadas establecido por la Comunidad Autónoma de Andalucía”), como los principios de justicia tributaria a los que se refiere el art. 31.1 CE. Entre dichos principios ocupa una posición central el principio de capacidad económica [STC 53/2014, FJ 6 c), con cita de, entre otras, las SSTC 37/1987, de 26 de marzo, FJ 13; y 194/2000, de 19 de julio, FJ 8].</w:t>
      </w:r>
    </w:p>
    <w:p w:rsidR="0085709A" w:rsidRDefault="0085709A" w:rsidP="0085709A">
      <w:pPr>
        <w:pStyle w:val="TextoNormal"/>
      </w:pPr>
    </w:p>
    <w:p w:rsidR="0085709A" w:rsidRDefault="0085709A" w:rsidP="0085709A">
      <w:pPr>
        <w:pStyle w:val="TextoNormal"/>
      </w:pPr>
      <w:r>
        <w:lastRenderedPageBreak/>
        <w:t>Esto significa que el legislador (estatal o autonómico) no podrá establecer tributos sobre una materia que no refleje riqueza real o potencial, o lo que es lo mismo, sea inexpresiva de capacidad económica (STC 193/2004, de 4 de noviembre, FJ 5), exigiéndose por tanto siempre que se someta a tributación “una concreta manifestación de riqueza o de renta real, que no inexistente, virtual o ficticia” (SSTC 221/1992, de 11 de diciembre, FJ 4; 193/2004, de 4 de noviembre, FJ 6; y 19/2012, de 15 de febrero, FJ 7). Ahora bien, ello no implica sin embargo que toda fuente de capacidad económica deba ser objeto de gravamen ni que éste deba configurarse siempre de la misma manera. En efecto, y como también hemos reiterado, el legislador puede, en ocasiones, declarar la exoneración de determinadas rentas cuando exista la oportuna justificación, y siempre que ello no suponga el desconocimiento de los límites al ejercicio del poder tributario que se derivan de los principios constitucionales contenidos en el art. 31.1 CE [STC 19/2012, FJ 3 d) con cita de, entre otras muchas, las SSTC 27/1981, de 20 de julio, FJ 4; 221/1992, de 11 de diciembre, FJ 4; 214/1994, de 14 de julio, FJ 5; 46/2000, de 14 de febrero, FJ 4, y 7/2010, de 27 de abril, FJ 6]. De esta manera, el empleo de las técnicas desgravatorias por el legislador puede llevar al resultado de que algunas fuentes de capacidad económica, estando formalmente sujetas al impuesto, estén exentas de tributación. Así sucede siempre que la ley prevé un mínimo exento o una deducción, o incluso un tipo de gravamen cero, como es el caso en el impuesto sobre el vino (art. 30 de la Ley 38/1992, del 28 de diciembre, de impuestos especiales); o, en el impuesto de sociedades, los fondos de pensiones regulados en el texto refundido de la Ley de regulación de los planes y fondos de pensiones, aprobado por Real Decreto Legislativo 1/2002, de 29 de noviembre art. 29 de la Ley 27/2014 (art. 29 de la Ley 27/2014, de 27 de noviembre, reguladora del impuesto de sociedades); o cuando se establece una exención temporal total, como la que estuvo en vigor durante los ejercicios 2008 a 2010, en el impuesto sobre el patrimonio (Ley 4/2008, de 23 de diciembre, por la que se suprime el gravamen del impuesto sobre el patrimonio); o, por poner sólo un ejemplo más, así sucede con las personas físicas eximidas de gravamen en el impuesto sobre las actividades económicas (art. 82 del Real Decreto Legislativo 2/2004, de 5 de marzo, por el que se aprueba el texto refundido de la Ley reguladora de las haciendas locales). En concreto la posibilidad de emplear un tipo de gravamen cero se encuentra además expresamente contemplada en el art. 55.3 de la Ley 58/2003, de 17 de diciembre, general tributaria, que dispone que “[l]a ley podrá prever la aplicación de un tipo cero, así como de tipos reducidos o bonificados”. Todos estos antecedentes, basados en legislación ordinaria que, como es obvio, no constituyen canon de constitucionalidad, son reveladores de que la técnica utilizada por el precepto impugnado en este recurso, es sobradamente conocida en nuestro derecho tributario.</w:t>
      </w:r>
    </w:p>
    <w:p w:rsidR="0085709A" w:rsidRDefault="0085709A" w:rsidP="0085709A">
      <w:pPr>
        <w:pStyle w:val="TextoNormal"/>
      </w:pPr>
    </w:p>
    <w:p w:rsidR="0085709A" w:rsidRDefault="0085709A" w:rsidP="0085709A">
      <w:pPr>
        <w:pStyle w:val="TextoNormal"/>
      </w:pPr>
      <w:r>
        <w:t>La conclusión de lo expuesto, a los efectos que aquí interesan, es que, siendo la finalidad de recaudar consustancial al propio concepto de tributo, la misma se predica del conjunto del sistema tributario, sin impedir el empleo de técnicas desgravatorias, entre las que se encuentra el tipo de gravamen cero.</w:t>
      </w:r>
    </w:p>
    <w:p w:rsidR="0085709A" w:rsidRDefault="0085709A" w:rsidP="0085709A">
      <w:pPr>
        <w:pStyle w:val="TextoNormal"/>
      </w:pPr>
    </w:p>
    <w:p w:rsidR="0085709A" w:rsidRDefault="0085709A" w:rsidP="0085709A">
      <w:pPr>
        <w:pStyle w:val="TextoNormal"/>
      </w:pPr>
      <w:r>
        <w:t xml:space="preserve">En el caso del impuesto sobre depósitos en las entidades de crédito, es evidente su finalidad de armonizar la sujeción a gravamen de la imposición sobre los depósitos en entidades de crédito, tal y como se anuncia en el propio preámbulo de la norma reguladora. Siendo esta finalidad en principio legítima, como de hecho asume la propia demanda cuando se refiere al segundo motivo de inconstitucionalidad, lo determinante a efectos del art. 31.1 CE es que en el hecho imponible del tributo aparece efectivamente una fuente de capacidad económica, concretada en “el mantenimiento de fondos de terceros, cualquiera que sea su </w:t>
      </w:r>
      <w:r>
        <w:lastRenderedPageBreak/>
        <w:t>naturaleza jurídica..., y que comporten la obligación de restitución” (art. 19.3 Ley 16/2012). Esta fuente de riqueza se cuantifica en la base imponible del tributo (art. 19.7 de la Ley 16/2012), si bien en la regulación inicial no se encuentra efectivamente sujeta a gravamen al establecerse inicialmente un tipo de gravamen cero (art. 16.8), que podrá ser modificado mediante Ley de presupuestos, según la habilitación contenida en el art. 19.11 de la misma Ley.</w:t>
      </w:r>
    </w:p>
    <w:p w:rsidR="0085709A" w:rsidRDefault="0085709A" w:rsidP="0085709A">
      <w:pPr>
        <w:pStyle w:val="TextoNormal"/>
      </w:pPr>
    </w:p>
    <w:p w:rsidR="0085709A" w:rsidRDefault="0085709A" w:rsidP="0085709A">
      <w:pPr>
        <w:pStyle w:val="TextoNormal"/>
      </w:pPr>
      <w:r>
        <w:t>El art. 31 CE impone un deber general de contribuir al sostenimiento de los gastos públicos a través de un sistema tributario que, teniendo en cuenta la capacidad económica de cada contribuyente, alcance el valor superior de justicia y se inspire en los principios de igualdad y progresividad, con el límite absoluto de su alcance confiscatorio.</w:t>
      </w:r>
    </w:p>
    <w:p w:rsidR="0085709A" w:rsidRDefault="0085709A" w:rsidP="0085709A">
      <w:pPr>
        <w:pStyle w:val="TextoNormal"/>
      </w:pPr>
    </w:p>
    <w:p w:rsidR="0085709A" w:rsidRDefault="0085709A" w:rsidP="0085709A">
      <w:pPr>
        <w:pStyle w:val="TextoNormal"/>
      </w:pPr>
      <w:r>
        <w:t xml:space="preserve">El hecho de que estas prescripciones sólo tengan sentido partiendo de una posición jurídica de los ciudadanos como sometidos a una obligación positiva de contribuir al sostenimiento de los gastos públicos, y de que en función de esta obligación se definan los principios en que debe inspirarse el sistema tributario, no significa que, </w:t>
      </w:r>
      <w:r w:rsidRPr="0085709A">
        <w:rPr>
          <w:i/>
        </w:rPr>
        <w:t>a sensu contrario</w:t>
      </w:r>
      <w:r>
        <w:t xml:space="preserve">, no pueda calificarse de tributaria una regulación que contemple una determinada capacidad económica, la configure como hecho imponible de un tributo y la desarrolle de tal modo que no termine en la obtención de una cuota tributaria, y en este sentido ha de interpretarse la expresión contenida en el fundamento jurídico 6 c) párrafo segundo </w:t>
      </w:r>
      <w:r w:rsidRPr="0085709A">
        <w:rPr>
          <w:i/>
        </w:rPr>
        <w:t>in fine</w:t>
      </w:r>
      <w:r>
        <w:t xml:space="preserve"> de la STC 53/2014, de 10 de abril.</w:t>
      </w:r>
    </w:p>
    <w:p w:rsidR="0085709A" w:rsidRDefault="0085709A" w:rsidP="0085709A">
      <w:pPr>
        <w:pStyle w:val="TextoNormal"/>
      </w:pPr>
    </w:p>
    <w:p w:rsidR="0085709A" w:rsidRDefault="0085709A" w:rsidP="0085709A">
      <w:pPr>
        <w:pStyle w:val="TextoNormal"/>
      </w:pPr>
      <w:r>
        <w:t>De acuerdo con el razonamiento que ha quedado expuesto, la anterior configuración del tributo encuentra cabida en el art. 31.1 CE, lo que permite descartar que estemos ante una simulación de impuesto en los términos sostenidos en la demanda.</w:t>
      </w:r>
    </w:p>
    <w:p w:rsidR="0085709A" w:rsidRDefault="0085709A" w:rsidP="0085709A">
      <w:pPr>
        <w:pStyle w:val="TextoNormal"/>
      </w:pPr>
    </w:p>
    <w:p w:rsidR="0085709A" w:rsidRDefault="0085709A" w:rsidP="0085709A">
      <w:pPr>
        <w:pStyle w:val="TextoNormal"/>
      </w:pPr>
      <w:r>
        <w:t>b) Concluida la naturaleza tributaria del impuesto sobre depósitos en las entidades de crédito, ninguna duda plantea la competencia del Estado para establecer un impuesto con la citada finalidad de asegurar un tratamiento fiscal armonizado de esta materia imponible.</w:t>
      </w:r>
    </w:p>
    <w:p w:rsidR="0085709A" w:rsidRDefault="0085709A" w:rsidP="0085709A">
      <w:pPr>
        <w:pStyle w:val="TextoNormal"/>
      </w:pPr>
    </w:p>
    <w:p w:rsidR="0085709A" w:rsidRDefault="0085709A" w:rsidP="0085709A">
      <w:pPr>
        <w:pStyle w:val="TextoNormal"/>
      </w:pPr>
      <w:r>
        <w:t>Con carácter general, hemos reiterado que el art. 149.1.14 CE confiere al Estado la competencia exclusiva para dictar un conjunto de normas en materia de “hacienda general” que proporcionen el marco jurídico para la estructura y funcionamiento del sistema tributario, ordenando mediante ley los principios con arreglo a los cuales se ha de regir la materia tributaria [STC 19/2012, FJ 3 b); con cita de las SSTC 19/1987, de 17 de febrero, FJ 4, y 135/1992, de 5 de octubre, FJ 6].</w:t>
      </w:r>
    </w:p>
    <w:p w:rsidR="0085709A" w:rsidRDefault="0085709A" w:rsidP="0085709A">
      <w:pPr>
        <w:pStyle w:val="TextoNormal"/>
      </w:pPr>
    </w:p>
    <w:p w:rsidR="0085709A" w:rsidRDefault="0085709A" w:rsidP="0085709A">
      <w:pPr>
        <w:pStyle w:val="TextoNormal"/>
      </w:pPr>
      <w:r>
        <w:t>La conexión de este título con los arts. 133.1 y 157.3 CE, determina como también hemos reiterado que el Estado no sólo ostente la competencia para regular sus propios tributos, sino específicamente “el marco general de todo el sistema tributario y la delimitación de las competencias financieras de las Comunidades Autónomas respecto de las del propio Estado” (por todas, SSTC 72/2003, de 10 de abril, FJ 5; 31/2010, de 28 de junio, FJ 130; 32/2012, de 15 de marzo, FJ 6, y 101/2013, de 23 de abril, FJ 3, con cita de muchas otras).</w:t>
      </w:r>
    </w:p>
    <w:p w:rsidR="0085709A" w:rsidRDefault="0085709A" w:rsidP="0085709A">
      <w:pPr>
        <w:pStyle w:val="TextoNormal"/>
      </w:pPr>
    </w:p>
    <w:p w:rsidR="0085709A" w:rsidRDefault="0085709A" w:rsidP="0085709A">
      <w:pPr>
        <w:pStyle w:val="TextoNormal"/>
      </w:pPr>
      <w:r>
        <w:t xml:space="preserve">Este reparto competencial tiene consecuencias precisas cuando se trata de la creación de impuestos nuevos, que se traduce en una preferencia del Estado en la ocupación de los hechos imponibles expresamente recogida en el art. 6 LOFCA, cuyos límites “reflejan que la </w:t>
      </w:r>
      <w:r>
        <w:lastRenderedPageBreak/>
        <w:t xml:space="preserve">competencia autonómica para establecer tributos </w:t>
      </w:r>
      <w:r w:rsidRPr="0085709A">
        <w:rPr>
          <w:i/>
        </w:rPr>
        <w:t>ex novo</w:t>
      </w:r>
      <w:r>
        <w:t xml:space="preserve"> no se configura constitucionalmente en términos absolutos, sino que se encuentra sujeta a lo establecido en las leyes del Estado a que se refieren los arts. 133.2 y 157.3 CE (por todas, STC 49/1995, de 16 de febrero, FJ 4). Así, la finalidad última de los citados límites no es otra que la coordinación del ejercicio de las competencias tributarias de las Comunidades Autónomas, “garantizando de esta manera que el ejercicio de poder tributario por los distintos niveles territoriales sea compatible con la existencia de ‘un sistema’ tributario en los términos exigidos por el art. 31.1 CE [SSTC 19/1987, de 17 de febrero, FJ 4; 19/2012, de 15 de febrero, FJ 3 b)]” [SSTC 210/2012, FJ 4, y 53/2014, de 10 de abril, FJ 3 a)].</w:t>
      </w:r>
    </w:p>
    <w:p w:rsidR="0085709A" w:rsidRDefault="0085709A" w:rsidP="0085709A">
      <w:pPr>
        <w:pStyle w:val="TextoNormal"/>
      </w:pPr>
    </w:p>
    <w:p w:rsidR="0085709A" w:rsidRDefault="0085709A" w:rsidP="0085709A">
      <w:pPr>
        <w:pStyle w:val="TextoNormal"/>
      </w:pPr>
      <w:r>
        <w:t>El poder tributario de las Comunidades Autónomas puede así ser delimitado por el Estado, salvaguardando en todo caso su propia existencia, de manera que no se produzca un vaciamiento de la competencia autonómica, pues como afirmamos tempranamente ninguno de los límites constitucionales que condicionan dicho poder tributario puede ser interpretado de tal manera que haga inviable el ejercicio de aquella potestad tributaria [SSTC 150/1990, de 4 de octubre, FJ 3; 289/2000, de 30 de noviembre, FJ 3; 210/2012, de 14 de noviembre, FJ 4, y 53/2014, de 10 de abril, FJ 3 a)].</w:t>
      </w:r>
    </w:p>
    <w:p w:rsidR="0085709A" w:rsidRDefault="0085709A" w:rsidP="0085709A">
      <w:pPr>
        <w:pStyle w:val="TextoNormal"/>
      </w:pPr>
    </w:p>
    <w:p w:rsidR="0085709A" w:rsidRDefault="0085709A" w:rsidP="0085709A">
      <w:pPr>
        <w:pStyle w:val="TextoNormal"/>
      </w:pPr>
      <w:r>
        <w:t>Dentro de su ámbito competencial, el legislador estatal dispone de diferentes instrumentos para su desarrollo, sin que corresponda a este Tribunal enjuiciar la oportunidad de utilizar un instrumento u otro sino tan sólo si el concretamente seleccionado tiene encaje en el reparto competencial en esta materia.</w:t>
      </w:r>
    </w:p>
    <w:p w:rsidR="0085709A" w:rsidRDefault="0085709A" w:rsidP="0085709A">
      <w:pPr>
        <w:pStyle w:val="TextoNormal"/>
      </w:pPr>
    </w:p>
    <w:p w:rsidR="0085709A" w:rsidRDefault="0085709A" w:rsidP="0085709A">
      <w:pPr>
        <w:pStyle w:val="TextoNormal"/>
      </w:pPr>
      <w:r>
        <w:t>Pues bien, una vez sentado que el Estado ostenta la competencia de coordinar su propio sistema tributario con los de las Comunidades Autónomas (art. 149.1.14 CE), y sentada en concreto la preeminencia para ocupar hechos imponibles que deriva directamente del art. 6.2 LOFCA, es lógico concluir que también será competente para establecer un tributo cuya finalidad central es precisamente la coordinación de la sujeción a gravamen de las entidades de crédito o lo que es lo mismo, la armonización de esta concreta materia imponible. Se trata de un fin que encuentra fácil acomodo en el título de coordinación contenido en el art. 149.1.14 CE, en relación con los arts. 133 y 157.3 CE.</w:t>
      </w:r>
    </w:p>
    <w:p w:rsidR="0085709A" w:rsidRDefault="0085709A" w:rsidP="0085709A">
      <w:pPr>
        <w:pStyle w:val="TextoNormal"/>
      </w:pPr>
    </w:p>
    <w:p w:rsidR="0085709A" w:rsidRDefault="0085709A" w:rsidP="0085709A">
      <w:pPr>
        <w:pStyle w:val="TextoNormal"/>
      </w:pPr>
      <w:r>
        <w:t>Debemos así rechazar en su integridad el primer motivo de inconstitucionalidad con la conclusión de que forma parte del ámbito competencial del Estado el establecimiento de un tributo cuya finalidad central es armonizar una determinada materia imponible, lo que encuentra amparo concreto en la previsión contenida en el art. 6.2 LOFCA, que específicamente prevé la posibilidad de que el Estado, “en el ejercicio de su potestad tributaria originaria establezca tributos sobre hechos imponibles gravados por las Comunidades Autónomas”.</w:t>
      </w:r>
    </w:p>
    <w:p w:rsidR="0085709A" w:rsidRDefault="0085709A" w:rsidP="0085709A">
      <w:pPr>
        <w:pStyle w:val="TextoNormal"/>
      </w:pPr>
    </w:p>
    <w:p w:rsidR="0085709A" w:rsidRDefault="0085709A" w:rsidP="0085709A">
      <w:pPr>
        <w:pStyle w:val="TextoNormal"/>
      </w:pPr>
      <w:r w:rsidRPr="0085709A">
        <w:rPr>
          <w:rStyle w:val="NumeroAFNegritaCaracter"/>
        </w:rPr>
        <w:t>5</w:t>
      </w:r>
      <w:r>
        <w:t>. El segundo motivo de inconstitucionalidad se refiere a la vulneración de la reserva de ley orgánica contenida en el art. 157.3 CE, en conexión con la lesión de la autonomía financiera (art. 156.1 CE).</w:t>
      </w:r>
    </w:p>
    <w:p w:rsidR="0085709A" w:rsidRDefault="0085709A" w:rsidP="0085709A">
      <w:pPr>
        <w:pStyle w:val="TextoNormal"/>
      </w:pPr>
    </w:p>
    <w:p w:rsidR="0085709A" w:rsidRDefault="0085709A" w:rsidP="0085709A">
      <w:pPr>
        <w:pStyle w:val="TextoNormal"/>
      </w:pPr>
      <w:r>
        <w:t xml:space="preserve">En su alegato la demanda admite expresamente que el Estado puede armonizar una determinada materia imponible, tal y como hemos concluido en el fundamento anterior, si bien considera que ello debería haberse hecho a través de la LOFCA, por lo que el precepto </w:t>
      </w:r>
      <w:r>
        <w:lastRenderedPageBreak/>
        <w:t>impugnado habría invadido el ámbito reservado a la ley orgánica por el art. 157.3 CE. Además, en la medida en que el art. 19 de la Ley 16/2012 impondría una prohibición a las Comunidades Autónomas para crear impuestos sobre el mismo hecho imponible, se vulneraría la autonomía financiera de las Comunidades Autónomas, en relación con el establecimiento de tributos propios [art. 156.1 CE en relación con arts. 133.2 y 157.1 b) CE, y, para el caso de Cataluña, art. 203.5 de su Estatuto de Autonomía (EAC)].</w:t>
      </w:r>
    </w:p>
    <w:p w:rsidR="0085709A" w:rsidRDefault="0085709A" w:rsidP="0085709A">
      <w:pPr>
        <w:pStyle w:val="TextoNormal"/>
      </w:pPr>
    </w:p>
    <w:p w:rsidR="0085709A" w:rsidRDefault="0085709A" w:rsidP="0085709A">
      <w:pPr>
        <w:pStyle w:val="TextoNormal"/>
      </w:pPr>
      <w:r>
        <w:t>a) Comenzando por el primer argumento, debemos antes de nada rechazar la premisa de la que parte la demanda, pues la creación del impuesto sobre depósitos en las entidades de crédito por el art. 19 de la Ley 16/2012 no supone en este punto un desarrollo de la LOFCA, para lo que conviene insistir en que el propio tenor de su art. 6.2 arbitra la posibilidad de que el Estado ejerza su potestad tributaria originaria estableciendo “tributos sobre hechos imponibles gravados por las Comunidades Autónomas”.</w:t>
      </w:r>
    </w:p>
    <w:p w:rsidR="0085709A" w:rsidRDefault="0085709A" w:rsidP="0085709A">
      <w:pPr>
        <w:pStyle w:val="TextoNormal"/>
      </w:pPr>
    </w:p>
    <w:p w:rsidR="0085709A" w:rsidRDefault="0085709A" w:rsidP="0085709A">
      <w:pPr>
        <w:pStyle w:val="TextoNormal"/>
      </w:pPr>
      <w:r>
        <w:t>Por tanto, la creación de un tributo nuevo, por parte del Estado, en ejercicio de su poder tributario está prevista expresamente en la propia LOFCA y da lugar a que se aplique de forma automática la cláusula contenida en su art. 6.2, en virtud de la cual las Comunidades Autónomas no podrán sujetar desde ese momento a tributo hechos imponibles similares. Cuestión distinta es que dicha ocupación deba ser objeto de compensación o coordinación en los términos que se abordarán en el siguiente fundamento.</w:t>
      </w:r>
    </w:p>
    <w:p w:rsidR="0085709A" w:rsidRDefault="0085709A" w:rsidP="0085709A">
      <w:pPr>
        <w:pStyle w:val="TextoNormal"/>
      </w:pPr>
    </w:p>
    <w:p w:rsidR="0085709A" w:rsidRDefault="0085709A" w:rsidP="0085709A">
      <w:pPr>
        <w:pStyle w:val="TextoNormal"/>
      </w:pPr>
      <w:r>
        <w:t>A partir de lo anterior, puede concluirse que el Estado no sólo no invade el ámbito reservado a la ley orgánica por el art. 157.3 CE, sino que ha ejercido su competencia de forma legítima, haciendo uso de la citada posibilidad de ocupar los hechos imponibles previamente gravados por un tributo autonómico. Por ello, debe además rechazarse expresamente la alegación de la demanda en el sentido de que el Estado habría precisado aprobar una ley de armonización a tal efecto. Antes al contrario, debe recordarse que el art. 150.3 CE es una norma de cierre del sistema que sólo es aplicable allí donde el legislador estatal “no disponga de otros cauces constitucionales para el ejercicio de su potestad legislativa, o éstos no sean suficientes para garantizar la armonía exigida por el interés general” (SSTC 76/1983, FJ 3, y 150/1990, de 4 de octubre, FJ 4). En este caso, el Estado ostenta la competencia para coordinar el ejercicio de poder tributario por parte de las Comunidades Autónomas, en los términos que han quedado expuestos en el fundamento anterior, de manera que la vía del art. 150.3 CE no habría sido constitucionalmente posible de acuerdo con nuestra doctrina.</w:t>
      </w:r>
    </w:p>
    <w:p w:rsidR="0085709A" w:rsidRDefault="0085709A" w:rsidP="0085709A">
      <w:pPr>
        <w:pStyle w:val="TextoNormal"/>
      </w:pPr>
    </w:p>
    <w:p w:rsidR="0085709A" w:rsidRDefault="0085709A" w:rsidP="0085709A">
      <w:pPr>
        <w:pStyle w:val="TextoNormal"/>
      </w:pPr>
      <w:r>
        <w:t>b) Tampoco puede en consecuencia estimarse la tacha de vulneración de la autonomía financiera de las Comunidades Autónomas, a la que se refiere la demanda en relación con el establecimiento de tributos propios [art. 156.1 CE en relación con arts. 133.2 y 157.1.b) CE, y, para el caso de Cataluña, art. 203.5 EAC]. Esta alegación, conectada directamente con la anterior, se refiere en realidad a los efectos que produce la creación de un impuesto nuevo por parte del Estado, efectos que como hemos constatado están previstos en la LOFCA. Efectivamente la creación del impuesto sobre depósitos en las cantidades de crédito puede suponer la imposibilidad para todas las Comunidades Autónomas de establecer un impuesto similar. Pero esta limitación de la autonomía financiera deriva en los términos expuestos del propio reparto de competencias en la materia y, específicamente, de la previsión contenida en el art. 6.2 LOFCA, siendo en fin coherente con la propia definición de la autonomía financiera de las Comunidades Autónoma, reconocida en el art. 156.1 CE “con arreglo a los principios de coordinación con la Hacienda estatal”.</w:t>
      </w:r>
    </w:p>
    <w:p w:rsidR="0085709A" w:rsidRDefault="0085709A" w:rsidP="0085709A">
      <w:pPr>
        <w:pStyle w:val="TextoNormal"/>
      </w:pPr>
    </w:p>
    <w:p w:rsidR="0085709A" w:rsidRDefault="0085709A" w:rsidP="0085709A">
      <w:pPr>
        <w:pStyle w:val="TextoNormal"/>
      </w:pPr>
      <w:r>
        <w:t>Lo anterior conduce a la desestimación del segundo motivo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6</w:t>
      </w:r>
      <w:r>
        <w:t>. El último motivo de inconstitucionalidad se dirige exclusivamente contra el apartado 13 del artículo 19 de la Ley 16/2012, que arbitra una medida de compensación aplicable a aquellos tributos propios de las Comunidades Autónomas establecidos en una Ley aprobada con anterioridad al 1 de diciembre de 2012.</w:t>
      </w:r>
    </w:p>
    <w:p w:rsidR="0085709A" w:rsidRDefault="0085709A" w:rsidP="0085709A">
      <w:pPr>
        <w:pStyle w:val="TextoNormal"/>
      </w:pPr>
    </w:p>
    <w:p w:rsidR="0085709A" w:rsidRDefault="0085709A" w:rsidP="0085709A">
      <w:pPr>
        <w:pStyle w:val="TextoNormal"/>
      </w:pPr>
      <w:r>
        <w:t>Para la demanda, este precepto, en su segundo párrafo, realiza una interpretación del art. 6.2 LOFCA que, a su juicio, está vedada a la legislación ordinaria según la doctrina de la STC 214/1989, FJ 5, que considera aplicable al caso.</w:t>
      </w:r>
    </w:p>
    <w:p w:rsidR="0085709A" w:rsidRDefault="0085709A" w:rsidP="0085709A">
      <w:pPr>
        <w:pStyle w:val="TextoNormal"/>
      </w:pPr>
    </w:p>
    <w:p w:rsidR="0085709A" w:rsidRDefault="0085709A" w:rsidP="0085709A">
      <w:pPr>
        <w:pStyle w:val="TextoNormal"/>
      </w:pPr>
      <w:r>
        <w:t>Sin embargo, a diferencia del supuesto contemplado en esa sentencia, el art. 19.13 de la Ley 16/2012, no pretende interpretar el art. 6.2 LOFCA sino que lo aplica al tributo objeto de su regulación.</w:t>
      </w:r>
    </w:p>
    <w:p w:rsidR="0085709A" w:rsidRDefault="0085709A" w:rsidP="0085709A">
      <w:pPr>
        <w:pStyle w:val="TextoNormal"/>
      </w:pPr>
    </w:p>
    <w:p w:rsidR="0085709A" w:rsidRDefault="0085709A" w:rsidP="0085709A">
      <w:pPr>
        <w:pStyle w:val="TextoNormal"/>
      </w:pPr>
      <w:r>
        <w:t>El art. 6.2 LOFCA, al decir que “[c]uando el Estado, en el ejercicio de su potestad tributaria originaria establezca tributos sobre hechos imponibles gravados por las Comunidades Autónomas, que supongan a estas una disminución de ingresos, instrumentará las medidas de compensación o coordinación adecuadas a favor de las misma”, contiene una norma de mandato directo al legislador estatal para que instrumente, bien medidas de compensación, bien de coordinación, siempre y cuando el tributo estatal haya supuesto una merma de ingresos para las Comunidades Autónomas.</w:t>
      </w:r>
    </w:p>
    <w:p w:rsidR="0085709A" w:rsidRDefault="0085709A" w:rsidP="0085709A">
      <w:pPr>
        <w:pStyle w:val="TextoNormal"/>
      </w:pPr>
    </w:p>
    <w:p w:rsidR="0085709A" w:rsidRDefault="0085709A" w:rsidP="0085709A">
      <w:pPr>
        <w:pStyle w:val="TextoNormal"/>
      </w:pPr>
      <w:r>
        <w:t>La exclusión de esas medidas de coordinación o compensación a aquellos tributos establecidos por las Comunidades Autónomas a partir del 1 de diciembre de 2012, no es más que una concreción de lo establecido en el art. 6.2 LOFCA para su aplicación al tributo creado por el art. 19 de la Ley 16/2012, y se hace, no con la finalidad de interpretar el referido precepto de la LOFCA, sino para aplicarlo en atención al procedimiento legislativo seguido para su aprobación, lo que implica, como es propio de todo proceso aplicativo de una norma, una previa labor de interpretación de su sentido y alcance.</w:t>
      </w:r>
    </w:p>
    <w:p w:rsidR="0085709A" w:rsidRDefault="0085709A" w:rsidP="0085709A">
      <w:pPr>
        <w:pStyle w:val="TextoNormal"/>
      </w:pPr>
    </w:p>
    <w:p w:rsidR="0085709A" w:rsidRDefault="0085709A" w:rsidP="0085709A">
      <w:pPr>
        <w:pStyle w:val="TextoNormal"/>
      </w:pPr>
      <w:r>
        <w:t>Precisamente atendiendo a ese proceso de elaboración del art. 19 impugnado en este recurso, puede concluirse que la fijación de esa fecha de 1 de diciembre de 2012 no contraviene lo previsto en el art. 6.2 LOFCA, pues obedece a la finalidad, que no puede considerarse irrazonable, de evitar que durante el proceso de elaboración de la Ley 16/2012 pudieran algunas Comunidades Autónoma crear tributos equivalentes al impuesto sobre depósitos en las entidades de crédito estatal, en procedimientos legislativos más rápidos, anticipándose así a la aprobación de aquel tributo, y más que con la finalidad de aprobar una nueva fuente de ingresos tributarios, que es la previsión contemplada en el art. 6.2 LOFCA, con la de situarse en la posición de posibles acreedoras de las medidas de compensación o coordinación que dicho precepto considera.</w:t>
      </w:r>
    </w:p>
    <w:p w:rsidR="0085709A" w:rsidRDefault="0085709A" w:rsidP="0085709A">
      <w:pPr>
        <w:pStyle w:val="TextoNormal"/>
      </w:pPr>
    </w:p>
    <w:p w:rsidR="0085709A" w:rsidRDefault="0085709A" w:rsidP="0085709A">
      <w:pPr>
        <w:pStyle w:val="TextoNormal"/>
      </w:pPr>
      <w:r>
        <w:t>De ahí la elección de esa fecha del 1 de diciembre de 2012, toda vez que el art. 19 de la Ley 16/2012 fue incorporado a ella tras la aprobación de una enmienda presentada en el Senado el 29 de noviembre de 2012.</w:t>
      </w:r>
    </w:p>
    <w:p w:rsidR="0085709A" w:rsidRDefault="0085709A" w:rsidP="0085709A">
      <w:pPr>
        <w:pStyle w:val="TextoNormal"/>
      </w:pPr>
    </w:p>
    <w:p w:rsidR="0085709A" w:rsidRDefault="0085709A" w:rsidP="0085709A">
      <w:pPr>
        <w:pStyle w:val="TextoNormal"/>
      </w:pPr>
      <w:r>
        <w:lastRenderedPageBreak/>
        <w:t>A partir de lo anterior, debemos concluir que la limitación establecida en el art. 19.13 no contradice el art. 6.2 LOFCA, ni supone por tanto tampoco una vulneración de la autonomía financiera contraria al art. 156.1 CE, con lo que queda desestimado en su integridad el presente recurso.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inconstitucionalidad interpuesto por el Parlamento de Cataluña contra el art. 19 de la Ley 16/2012, de 27 de diciembre, por la que se adoptan diversas medidas tributarias dirigidas a la consolidación de las finanzas públicas y al impulso de la actividad económica.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febrero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al que se adhieren la Magistrada doña Adela Asua Batarrita, el Magistrado don Luis Ignacio Ortega Álvarez, la Magistrada doña Encarnación Roca Trías y el Magistrado don Fernando Valdés Dal-Ré, respecto de la Sentencia dictada en el recurso de inconstitucional núm. 1808-2013.</w:t>
      </w:r>
    </w:p>
    <w:p w:rsidR="0085709A" w:rsidRDefault="0085709A" w:rsidP="0085709A">
      <w:pPr>
        <w:pStyle w:val="TextoNormalNegritaCentrado"/>
        <w:keepNext/>
      </w:pPr>
    </w:p>
    <w:p w:rsidR="0085709A" w:rsidRDefault="0085709A" w:rsidP="0085709A">
      <w:pPr>
        <w:pStyle w:val="TextoNormal"/>
      </w:pPr>
      <w:r>
        <w:t>Con todo respeto a la opinión mayoritaria de mis compañeros en la que se sustenta la Sentencia, manifiesto mi discrepancia con la decisión de desestimar el recurso de inconstitucionalidad interpuesto por el Parlamento de Cataluña contra el art. 19 de la Ley 16/2012, de 27 de diciembre, por el que se crea el impuesto sobre depósitos en las entidades de crédito.</w:t>
      </w:r>
    </w:p>
    <w:p w:rsidR="0085709A" w:rsidRDefault="0085709A" w:rsidP="0085709A">
      <w:pPr>
        <w:pStyle w:val="TextoNormal"/>
      </w:pPr>
    </w:p>
    <w:p w:rsidR="0085709A" w:rsidRDefault="0085709A" w:rsidP="0085709A">
      <w:pPr>
        <w:pStyle w:val="TextoNormal"/>
      </w:pPr>
      <w:r>
        <w:t>Mis discrepancias con la opinión mayoritaria en que se sustenta la Sentencia se refieren a (i) la ausencia de una finalidad constitucionalmente legítima en la creación de un impuesto estatal con un tipo de gravamen del cero por ciento; (ii) la falta de respeto al sistema de fuentes en la consecución de la finalidad armonizadora realmente perseguida con la creación de este impuesto; y (iii) la carencia de fundamento constitucional para limitar el sistema de compensación previsto en el art. 6.2 de la Ley Orgánica de financiación de las Comunidades Autónomas (LOFCA).</w:t>
      </w:r>
    </w:p>
    <w:p w:rsidR="0085709A" w:rsidRDefault="0085709A" w:rsidP="0085709A">
      <w:pPr>
        <w:pStyle w:val="TextoNormal"/>
      </w:pPr>
    </w:p>
    <w:p w:rsidR="0085709A" w:rsidRDefault="0085709A" w:rsidP="0085709A">
      <w:pPr>
        <w:pStyle w:val="TextoNormal"/>
      </w:pPr>
      <w:r>
        <w:t xml:space="preserve">(i) Estoy de acuerdo con la opinión mayoritaria en que en el establecimiento de un tributo pueden existir fines extrafiscales que no sean puramente recaudatorios y, por tanto, en que caben técnicas de desgravación con tipos de gravamen cero. Sin embargo, en los ordenamientos jurídicos contemporáneos —entre ellos, el diseñado por la Constitución española— el sistema tributario tiene una finalidad consustancialmente recaudatoria. Superados contextos históricos en que el uso del poder tributario del Estado era el único o más eficiente </w:t>
      </w:r>
      <w:r>
        <w:lastRenderedPageBreak/>
        <w:t>mecanismo usado con exclusividad para la consecución de fines de organización política, económica o social ajenos a los puramente recaudatorios, hoy puede aceptarse que las figuras tributarias se configuren con finalidades extrafiscales adicionales; pero estas finalidades no pueden excluir de modo absoluto las recaudatorias, esenciales en la concepción constitucional de la facultad de establecer tributos.</w:t>
      </w:r>
    </w:p>
    <w:p w:rsidR="0085709A" w:rsidRDefault="0085709A" w:rsidP="0085709A">
      <w:pPr>
        <w:pStyle w:val="TextoNormal"/>
      </w:pPr>
    </w:p>
    <w:p w:rsidR="0085709A" w:rsidRDefault="0085709A" w:rsidP="0085709A">
      <w:pPr>
        <w:pStyle w:val="TextoNormal"/>
      </w:pPr>
      <w:r>
        <w:t>Como dice la STC 53/2013, FJ 6 c): “… de la misma manera que los tributos propiamente recaudatorios, pueden perseguir y de hecho persiguen en la práctica otras finalidades extrafiscales, [STC 19/2012, de 15 de febrero, FJ 3 a)], difícilmente habrá impuestos extrafiscales químicamente puros, pues en todo caso la propia noción de tributo implica que no se pueda desconocer o contradecir el principio de capacidad económica (SSTC 37/1987, de 26 de marzo, FJ 13; y 221/1992, de 11 de diciembre, FJ 4), de manera que necesariamente debe tomar en consideración, en su estructura, indicadores de dicha capacidad, por mor del propio art. 31.1, en relación con el apartado 3, CE.”</w:t>
      </w:r>
    </w:p>
    <w:p w:rsidR="0085709A" w:rsidRDefault="0085709A" w:rsidP="0085709A">
      <w:pPr>
        <w:pStyle w:val="TextoNormal"/>
      </w:pPr>
    </w:p>
    <w:p w:rsidR="0085709A" w:rsidRDefault="0085709A" w:rsidP="0085709A">
      <w:pPr>
        <w:pStyle w:val="TextoNormal"/>
      </w:pPr>
      <w:r>
        <w:t>Si la finalidad recaudatoria está ausente existirá una vulneración constitucional cuando se ponga de manifiesto el propósito de utilizar el caparazón formal del poder tributario, despojado de su finalidad intrínseca, sin otro alcance que el de eludir los requisitos y límites de orden formal y material que la Constitución impone específicamente a los poderes públicos en el ejercicio de sus potestades.</w:t>
      </w:r>
    </w:p>
    <w:p w:rsidR="0085709A" w:rsidRDefault="0085709A" w:rsidP="0085709A">
      <w:pPr>
        <w:pStyle w:val="TextoNormal"/>
      </w:pPr>
    </w:p>
    <w:p w:rsidR="0085709A" w:rsidRDefault="0085709A" w:rsidP="0085709A">
      <w:pPr>
        <w:pStyle w:val="TextoNormal"/>
      </w:pPr>
      <w:r>
        <w:t>Este propósito de desbordar los límites impuestos a una potestad del Estado es el que, a mi juicio, puede observarse en el presente caso. La creación de un impuesto estatal con un tipo de gravamen del 0 por 100 y la exención de cualquier tipo de obligación formal para los sujetos pasivos, en competencia con la existencia y proliferación de ese mismo impuesto por parte del poder autonómico tributario, acredita que su finalidad no era en absoluto recaudatoria. Hay que preguntarse, pues, si la consecución de fines extrafiscales, perseguida de manera exclusiva mediante esta figura impositiva, resulta en este caso legítima —formal y materialmente— desde una perspectiva constitucional.</w:t>
      </w:r>
    </w:p>
    <w:p w:rsidR="0085709A" w:rsidRDefault="0085709A" w:rsidP="0085709A">
      <w:pPr>
        <w:pStyle w:val="TextoNormal"/>
      </w:pPr>
    </w:p>
    <w:p w:rsidR="0085709A" w:rsidRDefault="0085709A" w:rsidP="0085709A">
      <w:pPr>
        <w:pStyle w:val="TextoNormal"/>
      </w:pPr>
      <w:r>
        <w:t>La opinión de la mayoría en que se funda la Sentencia admite que la creación de un impuesto de tipo cero sobre hechos imponibles gravados por las comunidades autónomas tenía como finalidad, tal como reconoce la exposición de motivos de la Ley impugnada, una armonización encaminada a garantizar una mayor eficiencia en el funcionamiento del sistema. Con ello se intentaba justificar la ausencia de fin recaudatorio de este impuesto argumentando sobre una supuesta facultad de coordinación ejercida mediante una reserva o inhabilitación de hechos imponibles amparada en el art. 6.2 LOFCA.</w:t>
      </w:r>
    </w:p>
    <w:p w:rsidR="0085709A" w:rsidRDefault="0085709A" w:rsidP="0085709A">
      <w:pPr>
        <w:pStyle w:val="TextoNormal"/>
      </w:pPr>
    </w:p>
    <w:p w:rsidR="0085709A" w:rsidRDefault="0085709A" w:rsidP="0085709A">
      <w:pPr>
        <w:pStyle w:val="TextoNormal"/>
      </w:pPr>
      <w:r>
        <w:t xml:space="preserve">Pues bien, desde el punto de vista material, el art. 6.2 LOFCA confiere al Estado una potestad tributaria: debe concretarse en el hecho de gravar y no en la simple reserva o inhabilitación de hechos imponibles (la Ley Orgánica de financiación de las Comunidades Autónomas hace mención reiterada de los “hechos imponibles gravados”). Esa facultad, por su propia naturaleza, aunque pueda ir ligada a una labor de coordinación y armonización estatal, solo cabe entenderla como constitucionalmente legítima si se ejerce en su dimensión positiva —gravar hechos imponibles gravados por las comunidades autónomas o susceptibles de ser gravados— pero no negativa —inhabilitar materialmente un hecho imponible gravado por una comunidad autónoma—. Lo contrario implicaría el reconocimiento de una competencia incondicionada de coordinación, armonización o tutela por parte del Estado </w:t>
      </w:r>
      <w:r>
        <w:lastRenderedPageBreak/>
        <w:t>sobre el poder tributario autonómico, con la consiguiente posibilidad de irrumpir en el ejercicio de este al margen de los mecanismos constitucionales de coordinación financiera.</w:t>
      </w:r>
    </w:p>
    <w:p w:rsidR="0085709A" w:rsidRDefault="0085709A" w:rsidP="0085709A">
      <w:pPr>
        <w:pStyle w:val="TextoNormal"/>
      </w:pPr>
    </w:p>
    <w:p w:rsidR="0085709A" w:rsidRDefault="0085709A" w:rsidP="0085709A">
      <w:pPr>
        <w:pStyle w:val="TextoNormal"/>
      </w:pPr>
      <w:r>
        <w:t>Por tanto, la creación de un impuesto estatal con un tipo de gravamen del 0 por 100 y la exención de cualquier tipo de obligación formal para los sujetos pasivos cuyo único fin de armonización o coordinación consiste en impedir o inhabilitar el poder tributario autonómico no responde a un fin material constitucionalmente legítimo desde la perspectiva de la configuración autonómica del Estado y del reconocimiento de la autonomía financiera del art. 156.1 CE.</w:t>
      </w:r>
    </w:p>
    <w:p w:rsidR="0085709A" w:rsidRDefault="0085709A" w:rsidP="0085709A">
      <w:pPr>
        <w:pStyle w:val="TextoNormal"/>
      </w:pPr>
    </w:p>
    <w:p w:rsidR="0085709A" w:rsidRDefault="0085709A" w:rsidP="0085709A">
      <w:pPr>
        <w:pStyle w:val="TextoNormal"/>
      </w:pPr>
      <w:r>
        <w:t>Los antecedentes de la Ley impugnada confirman esta apreciación. El recurso de inconstitucionalidad interpuesto por el presidente del Gobierno contra la Ley de Extremadura 14/2001, de 29 de noviembre, sobre los depósitos de las entidades de crédito, fue desestimado por la STC 210/2012, de 14 de noviembre.</w:t>
      </w:r>
    </w:p>
    <w:p w:rsidR="0085709A" w:rsidRDefault="0085709A" w:rsidP="0085709A">
      <w:pPr>
        <w:pStyle w:val="TextoNormal"/>
      </w:pPr>
    </w:p>
    <w:p w:rsidR="0085709A" w:rsidRDefault="0085709A" w:rsidP="0085709A">
      <w:pPr>
        <w:pStyle w:val="TextoNormal"/>
      </w:pPr>
      <w:r>
        <w:t>En el marco de la crisis económica, la Comunidad Autónoma de Andalucía, mediante la Ley 11/2010, de 3 de diciembre, y la Comunidad Autónoma de Canarias, mediante la Ley 4/2012, de 25 de junio, habían acudido a la creación del mismo impuesto autonómico como medida para afrontar las políticas de reducción del déficit público. Tras el respaldo constitucional que dio la STC 210/2012 a la creación de este impuesto se promulgó en Cataluña el Decreto-ley 5/2012, de 18 de diciembre, y en Asturias la Ley 3/2012, de 28 de diciembre.</w:t>
      </w:r>
    </w:p>
    <w:p w:rsidR="0085709A" w:rsidRDefault="0085709A" w:rsidP="0085709A">
      <w:pPr>
        <w:pStyle w:val="TextoNormal"/>
      </w:pPr>
    </w:p>
    <w:p w:rsidR="0085709A" w:rsidRDefault="0085709A" w:rsidP="0085709A">
      <w:pPr>
        <w:pStyle w:val="TextoNormal"/>
      </w:pPr>
      <w:r>
        <w:t>En este contexto se aprueba la Ley 16/2012, de 27 de diciembre, a que se refiere este recurso. En su preámbulo se asegura que tiene como finalidad “asegurar un tratamiento fiscal armonizado que garantice una mayor eficiencia en el funcionamiento del sistema” y con ello se despeja cualquier duda sobre las razones de su origen, su naturaleza y la finalidad de la regulación.</w:t>
      </w:r>
    </w:p>
    <w:p w:rsidR="0085709A" w:rsidRDefault="0085709A" w:rsidP="0085709A">
      <w:pPr>
        <w:pStyle w:val="TextoNormal"/>
      </w:pPr>
    </w:p>
    <w:p w:rsidR="0085709A" w:rsidRDefault="0085709A" w:rsidP="0085709A">
      <w:pPr>
        <w:pStyle w:val="TextoNormal"/>
      </w:pPr>
      <w:r>
        <w:t>(ii) La consecución de ese fin armonizador tampoco ha respetado los límites formales establecidos constitucionalmente y, por tanto, también desde la perspectiva del art. 157.3 CE habría que haber estimado el recurso.</w:t>
      </w:r>
    </w:p>
    <w:p w:rsidR="0085709A" w:rsidRDefault="0085709A" w:rsidP="0085709A">
      <w:pPr>
        <w:pStyle w:val="TextoNormal"/>
      </w:pPr>
    </w:p>
    <w:p w:rsidR="0085709A" w:rsidRDefault="0085709A" w:rsidP="0085709A">
      <w:pPr>
        <w:pStyle w:val="TextoNormal"/>
      </w:pPr>
      <w:r>
        <w:t>El art. 133.2 CE reconoce la potestad originaria al Estado para establecer tributos, mediante ley. Por su parte, el art. 157.3 CE establece una reserva de ley orgánica respecto de las normas para resolver los conflictos que pudieran surgir y las posibles formas de colaboración financiera entre las comunidades autónomas y el Estado. La consecución de los fines recaudatorios de un tributo y de aquellos otros fines extrafiscales que resulten anejos al mismo puede hacerse mediante la regulación de esa figura tributaria por ley; pero la consecución del objetivo de resolver conflictos o establecer formas de colaboración financiera entre el Estado y las Comunidades Autónomas debe hacerse mediante ley orgánica. En suma, las normas reguladoras de impuestos cuentan también con el límite formal de que no pueden tener como fin exclusivo la prosecución de los objetivos enumerados en el art. 157.3 CE. En el presente caso, la opinión de la mayoría se sirve como argumento legitimador para justificar el fin extrafiscal de este impuesto del supuesto objetivo de armonización, pero, al analizar su repercusión sobre el art. 157.3 CE, se detiene en el aspecto formal de que lo regulado es un nuevo tributo estatal y, a mi juicio, no repara en que ese eventual fin de armonización solo podía hacerse efectivo mediante una ley orgánica.</w:t>
      </w:r>
    </w:p>
    <w:p w:rsidR="0085709A" w:rsidRDefault="0085709A" w:rsidP="0085709A">
      <w:pPr>
        <w:pStyle w:val="TextoNormal"/>
      </w:pPr>
    </w:p>
    <w:p w:rsidR="0085709A" w:rsidRDefault="0085709A" w:rsidP="0085709A">
      <w:pPr>
        <w:pStyle w:val="TextoNormal"/>
      </w:pPr>
      <w:r>
        <w:lastRenderedPageBreak/>
        <w:t>Esta discrepancia con lo que considero que es un incumplimiento de la reserva de ley orgánica —y, por tanto, del mecanismo diseñado por la Constitución para que la regulación de determinadas cuestiones especialmente sensibles contara con un amplio consenso de los representantes políticos— se une a la que ya suscribí en relación con la STC 215/2014, de 18 de diciembre, en cuanto a la argumentación sobre la reserva de ley orgánica entonces prevista en el art. 135.5 b) CE respecto de la regulación de la “metodología y el procedimiento para el cálculo del déficit estructural”. En aquel caso, el incumplimiento de la reserva de ley orgánica se ponía de manifiesto con la simple evidencia de que la afirmación de que esa metodología y procedimiento se agotaba en el derecho de la Unión Europea era incompatible con la realidad de que había aspectos muy relevantes que habían tenido que ser objeto de una prolija regulación por medio de normas de rango inferior emanadas del Ministerio de Hacienda y Administraciones Públicas. En este caso, el incumplimiento de la reserva de ley orgánica se pone de manifiesto por la simple evidencia de que en el preámbulo de la Ley impugnada se reconoce que el impuesto no recaudatorio se utiliza con un fin propio del art. 157.3 CE.</w:t>
      </w:r>
    </w:p>
    <w:p w:rsidR="0085709A" w:rsidRDefault="0085709A" w:rsidP="0085709A">
      <w:pPr>
        <w:pStyle w:val="TextoNormal"/>
      </w:pPr>
    </w:p>
    <w:p w:rsidR="0085709A" w:rsidRDefault="0085709A" w:rsidP="0085709A">
      <w:pPr>
        <w:pStyle w:val="TextoNormal"/>
      </w:pPr>
      <w:r>
        <w:t>(iii) También debo discrepar con la argumentación sustentada para rechazar la inconstitucionalidad de que la medida de compensación resultara aplicable solo respecto de aquellos tributos propios de las Comunidades Autónomas establecidos en una ley aprobada con anterioridad al 1 de diciembre de 2012.</w:t>
      </w:r>
    </w:p>
    <w:p w:rsidR="0085709A" w:rsidRDefault="0085709A" w:rsidP="0085709A">
      <w:pPr>
        <w:pStyle w:val="TextoNormal"/>
      </w:pPr>
    </w:p>
    <w:p w:rsidR="0085709A" w:rsidRDefault="0085709A" w:rsidP="0085709A">
      <w:pPr>
        <w:pStyle w:val="TextoNormal"/>
      </w:pPr>
      <w:r>
        <w:t>El art. 6.2 LOFCA establece de manera imperativa que cuando el Estado establezca tributos sobre hechos imponibles gravados por las comunidades autónomas instrumentará las medidas de compensación o coordinación adecuadas en favor de las mismas. Si se utiliza como parámetro del control de constitucionalidad ese precepto, en tanto que integrante del bloque de la constitucionalidad, no puede compartirse que el establecer en el 1 de diciembre de 2012 la fecha límite para beneficiarse de esa compensación, cuando la norma impugnada entró en vigor el 28 de diciembre de 2012, responda a un mero proceso aplicativo de lo dispuesto en el art. 6.2 LOFCA. Este precepto, inequívocamente, establece como límite temporal para establecer el sistema de compensación la existencia de un hecho imponible ya gravado autonómicamente antes de la entrada en vigor de la norma estatal. En el caso enjuiciado ya existía en Cataluña el mismo hecho imponible gravado desde el 20 de diciembre de 2012. Por tanto, también desde esta invocación debería haberse estimado el recurso enjuiciado.</w:t>
      </w:r>
    </w:p>
    <w:p w:rsidR="0085709A" w:rsidRDefault="0085709A" w:rsidP="0085709A">
      <w:pPr>
        <w:pStyle w:val="TextoNormal"/>
      </w:pPr>
    </w:p>
    <w:p w:rsidR="0085709A" w:rsidRDefault="0085709A" w:rsidP="0085709A">
      <w:pPr>
        <w:pStyle w:val="TextoNormal"/>
      </w:pPr>
      <w:r>
        <w:t>Madrid, a diecinueve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0" w:name="SENTENCIA_2015_27"/>
      <w:r>
        <w:lastRenderedPageBreak/>
        <w:t>SENTENCIA 27/2015, de 19 de febrero de 2015</w:t>
      </w:r>
    </w:p>
    <w:bookmarkEnd w:id="30"/>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ECLI:ES:TC:2015:27</w:t>
      </w:r>
    </w:p>
    <w:p w:rsidR="0085709A" w:rsidRDefault="0085709A" w:rsidP="0085709A">
      <w:pPr>
        <w:pStyle w:val="TextoNormalCentrado"/>
      </w:pPr>
    </w:p>
    <w:p w:rsidR="0085709A" w:rsidRDefault="0085709A" w:rsidP="0085709A">
      <w:pPr>
        <w:pStyle w:val="SntesisDescriptiva"/>
      </w:pPr>
      <w:r>
        <w:t>Recurso de inconstitucionalidad 6368-2013. Interpuesto por el Gobierno de la Generalitat de Cataluña en relación con diversos preceptos del Real Decreto-ley 11/2013, de 2 de agosto, para la protección de los trabajadores a tiempo parcial y otras medidas urgentes en el orden económico y social.</w:t>
      </w:r>
    </w:p>
    <w:p w:rsidR="0085709A" w:rsidRDefault="0085709A" w:rsidP="0085709A">
      <w:pPr>
        <w:pStyle w:val="SntesisDescriptiva"/>
      </w:pPr>
    </w:p>
    <w:p w:rsidR="0085709A" w:rsidRDefault="0085709A" w:rsidP="0085709A">
      <w:pPr>
        <w:pStyle w:val="SntesisAnaltica"/>
      </w:pPr>
      <w:r>
        <w:t>Competencias en materia laboral y límites a los decretos leyes: nulidad por falta de acreditación de la concurrencia del presupuesto habilitante para abordar la reforma urgente de algunas de las obligaciones de los beneficiarios de las prestaciones por desempleo y de la competencia para sancionar el incumplimiento del deber de mantener la inscripción como demandantes de empleo.</w:t>
      </w:r>
    </w:p>
    <w:p w:rsidR="0085709A" w:rsidRDefault="0085709A" w:rsidP="0085709A">
      <w:pPr>
        <w:pStyle w:val="SntesisAnaltica"/>
      </w:pPr>
    </w:p>
    <w:p w:rsidR="0085709A" w:rsidRDefault="0085709A" w:rsidP="0085709A">
      <w:pPr>
        <w:pStyle w:val="Extracto"/>
      </w:pPr>
      <w:r>
        <w:t>1.</w:t>
      </w:r>
      <w:r>
        <w:tab/>
        <w:t>La inobservancia de los presupuestos habilitantes, por ausencia de la situación de urgente y extraordinaria necesidad, determina la declaración de inconstitucionalidad y nulidad de los preceptos impugnados del Real Decreto-ley 11/2013 por vulneración del art. 86.1 CE [FJ 7].</w:t>
      </w:r>
    </w:p>
    <w:p w:rsidR="0085709A" w:rsidRDefault="0085709A" w:rsidP="0085709A">
      <w:pPr>
        <w:pStyle w:val="Extracto"/>
      </w:pPr>
    </w:p>
    <w:p w:rsidR="0085709A" w:rsidRDefault="0085709A" w:rsidP="0085709A">
      <w:pPr>
        <w:pStyle w:val="Extracto"/>
      </w:pPr>
      <w:r>
        <w:t>2.</w:t>
      </w:r>
      <w:r>
        <w:tab/>
        <w:t>Doctrina sobre el examen de la concurrencia de la situación de extraordinaria y urgente necesidad y la conexión de sentido entre dicha situación y las medidas adoptadas como presupuesto habilitante para la utilización de la figura normativa del Decreto-ley (SSTC 182/1997, 96/2014) [FJ 3].</w:t>
      </w:r>
    </w:p>
    <w:p w:rsidR="0085709A" w:rsidRDefault="0085709A" w:rsidP="0085709A">
      <w:pPr>
        <w:pStyle w:val="Extracto"/>
      </w:pPr>
    </w:p>
    <w:p w:rsidR="0085709A" w:rsidRDefault="0085709A" w:rsidP="0085709A">
      <w:pPr>
        <w:pStyle w:val="Extracto"/>
      </w:pPr>
      <w:r>
        <w:t>3.</w:t>
      </w:r>
      <w:r>
        <w:tab/>
        <w:t>La justificación genérica de hallarnos en situación de crisis económica no resulta elemento suficiente para apreciar la concurrencia del presupuesto habilitante respecto de las dos normas impugnadas, que introducen modificaciones en el régimen de sanciones por incumplimiento de las obligaciones que pesan sobre los beneficiarios de prestaciones y subsidios por desempleo; como tampoco se aprecia la relación entre la situación de crisis y la modificación de los tipos de infracción [FJ 5].</w:t>
      </w:r>
    </w:p>
    <w:p w:rsidR="0085709A" w:rsidRDefault="0085709A" w:rsidP="0085709A">
      <w:pPr>
        <w:pStyle w:val="Extracto"/>
      </w:pPr>
    </w:p>
    <w:p w:rsidR="0085709A" w:rsidRDefault="0085709A" w:rsidP="0085709A">
      <w:pPr>
        <w:pStyle w:val="Extracto"/>
      </w:pPr>
      <w:r>
        <w:t>4.</w:t>
      </w:r>
      <w:r>
        <w:tab/>
        <w:t>El Gobierno no ha argumentado suficientemente sobre la prontitud que requería la atribución al Servicio Público de Empleo Estatal de la competencia para sancionar determinados tipos infractores imputables a los beneficiarios de las prestaciones y subsidios por desempleo, así como tampoco se ha alegado sobre la necesidad de una acción normativa inmediata como la llevada a cabo a través de los preceptos impugnados, en un plazo más breve que el requerido para la tramitación parlamentaria de las leyes [FJ 5].</w:t>
      </w:r>
    </w:p>
    <w:p w:rsidR="0085709A" w:rsidRDefault="0085709A" w:rsidP="0085709A">
      <w:pPr>
        <w:pStyle w:val="Extracto"/>
      </w:pPr>
    </w:p>
    <w:p w:rsidR="0085709A" w:rsidRDefault="0085709A" w:rsidP="0085709A">
      <w:pPr>
        <w:pStyle w:val="Extracto"/>
      </w:pPr>
      <w:r>
        <w:t>5.</w:t>
      </w:r>
      <w:r>
        <w:tab/>
        <w:t>La aparente proximidad de las conductas típicas, por incumplimiento de las obligaciones a cargo de los beneficiarios de las prestaciones y subsidios por desempleo, es contradictoria con la urgente necesidad de introducir mayor seguridad jurídica, que ha sido invocada en la exposición de motivos como presupuesto de hecho habilitante [FJ 6].</w:t>
      </w:r>
    </w:p>
    <w:p w:rsidR="0085709A" w:rsidRDefault="0085709A" w:rsidP="0085709A">
      <w:pPr>
        <w:pStyle w:val="Extracto"/>
      </w:pPr>
    </w:p>
    <w:p w:rsidR="0085709A" w:rsidRDefault="0085709A" w:rsidP="0085709A">
      <w:pPr>
        <w:pStyle w:val="Extracto"/>
      </w:pPr>
      <w:r>
        <w:lastRenderedPageBreak/>
        <w:t>6.</w:t>
      </w:r>
      <w:r>
        <w:tab/>
        <w:t>La iniciativa política de introducción de las modificaciones incorporadas por los impugnados artículos, relativas al régimen de sanciones en materia de prestaciones y subsidios por desempleo, podría haber sido encauzada a través del procedimiento legislativo y en sede parlamentaria, dado que no se ha justificado que la utilización del Real-Decreto ley obedeciera en este caso a las razones de “extraordinaria y urgente necesidad” que exige el art. 86.1 CE [FJ 6].</w:t>
      </w:r>
    </w:p>
    <w:p w:rsidR="0085709A" w:rsidRDefault="0085709A" w:rsidP="0085709A">
      <w:pPr>
        <w:pStyle w:val="Extracto"/>
      </w:pPr>
    </w:p>
    <w:p w:rsidR="0085709A" w:rsidRDefault="0085709A" w:rsidP="0085709A">
      <w:pPr>
        <w:pStyle w:val="Extracto"/>
      </w:pPr>
      <w:r>
        <w:t>7.</w:t>
      </w:r>
      <w:r>
        <w:tab/>
        <w:t>El análisis comparativo entre la regulación establecida en la Ley sobre infracciones y sanciones en el orden social y la introducida por los preceptos impugnados del Real-Decreto ley 11/2013, pone de manifiesto su proximidad material respecto a las conductas tipificadas, lo que refuerza aún más la idea de la ausencia del elemento de urgente necesidad, siendo también digno de consideración que no se justificaron los eventuales perjuicios u obstáculos que se hayan evitado con la utilización del Real-Decreto ley en lugar del procedimiento legislativo parlamentario [FJ 7].</w:t>
      </w:r>
    </w:p>
    <w:p w:rsidR="0085709A" w:rsidRDefault="0085709A" w:rsidP="0085709A">
      <w:pPr>
        <w:pStyle w:val="Extracto"/>
      </w:pPr>
    </w:p>
    <w:p w:rsidR="0085709A" w:rsidRDefault="0085709A" w:rsidP="0085709A">
      <w:pPr>
        <w:pStyle w:val="Extracto"/>
      </w:pPr>
      <w:r>
        <w:t>8.</w:t>
      </w:r>
      <w:r>
        <w:tab/>
        <w:t>Procede limitar los efectos de la nulidad ínsita en la declaración de inconstitucionalidad de manera que no queden afectadas las situaciones jurídicas consolidadas, es decir, no sólo las decididas con fuerza de cosa juzgada, sino también las situaciones administrativas firmes (SSTC 27/2012, 206/2013) [FJ 7].</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6368-2013 interpuesto por la Generalitat de Cataluña contra los arts. 7 y 8.cinco del Real Decreto-Ley 11/2013, de 2 de agosto, para la protección de los trabajadores a tiempo parcial y otras medidas urgentes en el orden económico y social. Ha comparecido y formulado alegaciones el Abogado del Estado.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el Tribunal Constitucional el día 31 de octubre de 2013 la Abogada de la Generalitat de Cataluña, en la representación que ostenta del Gobierno de esa Comunidad Autónoma, interpone recurso de inconstitucionalidad contra los arts. 7 y 8.5 del Real Decreto-ley 11/2013, de 2 de agosto, para la protección de los trabajadores a tiempo parcial y otras medidas urgentes en el orden económico y social.</w:t>
      </w:r>
    </w:p>
    <w:p w:rsidR="0085709A" w:rsidRDefault="0085709A" w:rsidP="0085709A">
      <w:pPr>
        <w:pStyle w:val="TextoNormal"/>
      </w:pPr>
    </w:p>
    <w:p w:rsidR="0085709A" w:rsidRDefault="0085709A" w:rsidP="0085709A">
      <w:pPr>
        <w:pStyle w:val="TextoNormal"/>
      </w:pPr>
      <w:r>
        <w:t>Los motivos del recurso son, resumidamente expuestos, los siguientes:</w:t>
      </w:r>
    </w:p>
    <w:p w:rsidR="0085709A" w:rsidRDefault="0085709A" w:rsidP="0085709A">
      <w:pPr>
        <w:pStyle w:val="TextoNormal"/>
      </w:pPr>
    </w:p>
    <w:p w:rsidR="0085709A" w:rsidRDefault="0085709A" w:rsidP="0085709A">
      <w:pPr>
        <w:pStyle w:val="TextoNormal"/>
      </w:pPr>
      <w:r>
        <w:t>a) La Abogada de la Generalitat de Cataluña comienza señalando el heterogéneo contenido del Real Decreto-ley 11/2013, indicando que las cuestiones discutidas en el presente recurso se ubican en el capítulo III (arts. 6 a 8) que lleva por rúbrica “Modificaciones en materia de empleo y protección por desempleo”. La impugnación se limita a los arts. 7 y 8.5 del Real Decreto-ley 11/2013, que, respectivamente, han modificado el artículo 27.4 de la Ley 56/2003, de 16 de diciembre, de Empleo y el apartado 5 del art. 48 de la Ley sobre infracciones y sanciones en el orden social, texto refundido aprobado por el Real Decreto Legislativo 5/2000, de 4 de agosto. Del art. 7 se impugna la redacción que ha dado al párrafo segundo, último inciso, del apartado 4 del artículo 27 de la Ley de empleo. Según dicho párrafo segundo los servicios públicos de empleo competentes verificarán el cumplimiento de la obligación de los beneficiarios de prestaciones y subsidios por desempleo, de mantenerse inscritos como demandantes de empleo, debiendo comunicar los incumplimientos de esta obligación al Servicio Público de Empleo Estatal (SEPE), lo que le habilita para incoar el procedimiento destinado a la sanción consistente en “no cumplir el requisito, exigido para la conservación de la percepción de la prestación, de estar inscrito como demandante de empleo ...” tipificada en la letra b) del nuevo apartado 4 del artículo 24 de la Ley sobre infracciones y sanciones en el orden social. También se impugna la nueva redacción que el apartado cinco del art. 8 ha dado al art. 48.5 de la Ley sobre infracciones y sanciones en el orden social, en cuanto que atribuye la competencia para sancionar las infracciones cometidas por solicitantes o beneficiarios de las prestaciones por desempleo al SEPE, con excepción de las tipificadas en los artículos 24.3 y 25.4 de la Ley sobre infracciones y sanciones en el orden social, sin incluir en dicha excepción y, por tanto, atribuyendo a la competencia sancionadora del SEPE las infracciones tipificadas en las letras a) y b) del nuevo art. 24.4 de la Ley sobre infracciones y sanciones en el orden social, consistentes en “no facilitar la información necesaria para garantizar la recepción de sus notificaciones y comunicaciones” y en “[n]o cumplir el requisito, exigido para la conservación de la percepción de la prestación, de estar inscrito como demandante de empleo en los términos establecidos en los artículos 209.1 y 215.4 del texto refundido de la Ley General de la Seguridad Social, salvo causa justificada”.</w:t>
      </w:r>
    </w:p>
    <w:p w:rsidR="0085709A" w:rsidRDefault="0085709A" w:rsidP="0085709A">
      <w:pPr>
        <w:pStyle w:val="TextoNormal"/>
      </w:pPr>
    </w:p>
    <w:p w:rsidR="0085709A" w:rsidRDefault="0085709A" w:rsidP="0085709A">
      <w:pPr>
        <w:pStyle w:val="TextoNormal"/>
      </w:pPr>
      <w:r>
        <w:t>A juicio de la demanda la atribución al SEPE de la competencia para sancionar estas conductas supone desconocer la doctrina de la STC 104/2013, de 25 de abril, que ha declarado la competencia de la Generalitat de Cataluña para sancionar las conductas infractoras que ahora tipifican las mencionadas letras a) y b) de este nuevo art. 24.4 de la Ley sobre infracciones y sanciones en el orden social.</w:t>
      </w:r>
    </w:p>
    <w:p w:rsidR="0085709A" w:rsidRDefault="0085709A" w:rsidP="0085709A">
      <w:pPr>
        <w:pStyle w:val="TextoNormal"/>
      </w:pPr>
    </w:p>
    <w:p w:rsidR="0085709A" w:rsidRDefault="0085709A" w:rsidP="0085709A">
      <w:pPr>
        <w:pStyle w:val="TextoNormal"/>
      </w:pPr>
      <w:r>
        <w:t xml:space="preserve">Las normas cuestionadas se encuadran en la materia “seguridad social”, en la medida que la doctrina constitucional ha afirmado con claridad que “las prestaciones de desempleo ... </w:t>
      </w:r>
      <w:r>
        <w:lastRenderedPageBreak/>
        <w:t>son prestaciones de Seguridad Social (art. 41 CE)”, y, por esta razón, el título competencial prevalente es el del artículo 149.1.17 CE, que reconoce la competencia exclusiva del Estado en materia de “legislación básica y régimen económico de la Seguridad Social, sin perjuicio de la ejecución de sus servicios por las Comunidades Autónomas”. Respecto a la norma estatutaria, el artículo 165.1 a) y b) del Estatuto de Autonomía de Cataluña (EAC) atribuye a la Generalitat el desarrollo y la ejecución de la legislación estatal, salvo las normas que configuran el régimen económico, y la gestión del régimen económico de la Seguridad Social, respectivamente, de manera que la Generalitat tiene atribuidas con carácter general las competencias ejecutivas en la materia, lo que incluye también la potestad sancionadora.</w:t>
      </w:r>
    </w:p>
    <w:p w:rsidR="0085709A" w:rsidRDefault="0085709A" w:rsidP="0085709A">
      <w:pPr>
        <w:pStyle w:val="TextoNormal"/>
      </w:pPr>
    </w:p>
    <w:p w:rsidR="0085709A" w:rsidRDefault="0085709A" w:rsidP="0085709A">
      <w:pPr>
        <w:pStyle w:val="TextoNormal"/>
      </w:pPr>
      <w:r>
        <w:t>b) Entrando ya en los concretos motivos de impugnación se alude, en primer lugar, al incumplimiento del presupuesto habilitante previsto en el art. 86.1 CE, por cuanto ni en el preámbulo de la norma ni en su debate de convalidación se habría acreditado la existencia de una necesidad extraordinaria y urgente. El preámbulo del Real Decreto-ley 11/2013 fundamenta la urgencia de modificar el régimen sancionador establecido en la Ley sobre infracciones y sanciones en el orden social, en el hecho de haber configurado la inscripción como demandante de empleo y su mantenimiento, como requisitos para la percepción de las prestaciones por desempleo, lo que conlleva la necesidad de adaptar la tipificación de las infracciones a estos nuevos requisitos. Esta justificación carece, para la demanda, de toda virtualidad a los efectos del art. 86.1 CE, ya que es meramente descriptiva de las medidas legales que se adoptan, sin aludir siquiera a la situación de extraordinaria y urgente necesidad que trata de solventar. Tampoco aprecia que la regulación impugnada suponga novedad alguna puesto que los requisitos de inscripción como demandante de empleo y su renovación ya se hallaban previstos en la normativa anterior, cuyo incumplimiento se tipificaba como infracción administrativa, habiéndose limitado las modificaciones realizadas por el Real Decreto-ley 11/2013 a una reordenación sistemática del precedente apartado 3 del artículo 24 de la Ley sobre infracciones y sanciones en el orden social, y a la sustitución de la obligación de “renovación” de la inscripción como demandante de empleo, por la obligación de “mantenimiento” de dicha inscripción. Para la demanda se pone así de manifiesto que “el objetivo de la reforma del régimen sancionador del texto refundido de la Ley sobre infracciones y sanciones en el orden social llevado a cabo por Real Decreto-ley 11/2013 no ha sido otro que el de neutralizar los efectos de la STC 104/2013 e impedir el ejercicio de las funciones ejecutivas de control y sancionadora de las Comunidades Autónomas en materia de prestaciones de la Seguridad Social reconocidas por dicha STC 104/2013, transmutando infracciones que antes de su reforma eran, según la STC 104/2013, sancionables por las Comunidades Autónomas, en infracciones en materia de gestión económica de la Seguridad Social, cuya sanción se atribuye ahora al SEPE”.</w:t>
      </w:r>
    </w:p>
    <w:p w:rsidR="0085709A" w:rsidRDefault="0085709A" w:rsidP="0085709A">
      <w:pPr>
        <w:pStyle w:val="TextoNormal"/>
      </w:pPr>
    </w:p>
    <w:p w:rsidR="0085709A" w:rsidRDefault="0085709A" w:rsidP="0085709A">
      <w:pPr>
        <w:pStyle w:val="TextoNormal"/>
      </w:pPr>
      <w:r>
        <w:t>Tampoco en el debate parlamentario de convalidación se específica la situación de extraordinaria y urgente necesidad. Por ello la demanda concluye que “ni en el Preámbulo del Real Decreto-Ley 11/2013, ni en el debate de convalidación en el Congreso de los Diputados se ha justificado de forma razonada y motivada, la existencia de una situación de urgente y extraordinaria necesidad que exija la reforma inmediata de las infracciones imputables a los perceptores de las prestaciones por desempleo y el trasvase parcial de la competencia de las Comunidades Autónomas para sancionar dichas infracciones al SEPE”, lo que determina la infracción del art. 86.1 CE.</w:t>
      </w:r>
    </w:p>
    <w:p w:rsidR="0085709A" w:rsidRDefault="0085709A" w:rsidP="0085709A">
      <w:pPr>
        <w:pStyle w:val="TextoNormal"/>
      </w:pPr>
    </w:p>
    <w:p w:rsidR="0085709A" w:rsidRDefault="0085709A" w:rsidP="0085709A">
      <w:pPr>
        <w:pStyle w:val="TextoNormal"/>
      </w:pPr>
      <w:r>
        <w:lastRenderedPageBreak/>
        <w:t>c) En cuanto a la vulneración competencial la Letrada de la Generalitat considera que el encuadramiento del régimen sancionador aplicable a los perceptores de las prestaciones y subsidios por desempleo ya ha sido establecido en las SSTC 1995/1996, de 28 de noviembre, y 104/2013, de 25 de abril, dictadas ambas en supuestos en los que, como el presente, se cuestionaban, entre otros aspectos, la titularidad de la competencia para sancionar el incumplimiento de las obligaciones impuestas a los beneficiarios de las prestaciones y subsidios por desempleo.</w:t>
      </w:r>
    </w:p>
    <w:p w:rsidR="0085709A" w:rsidRDefault="0085709A" w:rsidP="0085709A">
      <w:pPr>
        <w:pStyle w:val="TextoNormal"/>
      </w:pPr>
    </w:p>
    <w:p w:rsidR="0085709A" w:rsidRDefault="0085709A" w:rsidP="0085709A">
      <w:pPr>
        <w:pStyle w:val="TextoNormal"/>
      </w:pPr>
      <w:r>
        <w:t>Recuerda al respecto que la doctrina constitucional ha procedido a discriminar entre las infracciones relacionadas con el régimen económico de la Seguridad Social y las que no afectan a dicho régimen económico, para atribuir la potestad sancionadora, en el primer caso, al Estado y, en el segundo, a las Comunidades Autónomas. Menciona que “la STC 104/2013 procedió a analizar si las conductas infractoras, cuya competencia sancionadora se cuestionaba, incidían directamente en la actividad económica de la Seguridad Social, supuesto en el que su sanción corresponde al Estado o si, por el contrario se referían a actos meramente instrumentales para la gestión económica de la Seguridad Social, o a ilícitos que no guardaban relación directa con la actividad económica de la Seguridad Social, en cuyo caso, la titularidad de la potestad sancionadora corresponde a la Generalidad de Cataluña, dada la competencia ejecutiva en materia de Seguridad Social que le atribuye el artículo 165.1 a) del EAC”. Como resultado de tal análisis la STC 104/2013 declaró que las conductas infractoras tipificadas en el artículo 24.3 de la Ley sobre infracciones y sanciones en el orden social, antes de su modificación por el Real Decreto-ley 11/2013, no afectaban directamente a la actividad económica de la Seguridad Social y por ello su sanción no correspondía al SEPE, sino a la Generalitat de Cataluña. Entre dichas infracciones figuraban el incumplimiento de las obligaciones de renovar la demanda de empleo y de facilitar la información requerida para garantizar la recepción de las comunicaciones y notificaciones, tipificadas, respectivamente en las letras a), inciso segundo, y d) de dicho art. 24.3 de la Ley sobre infracciones y sanciones en el orden social, que son análogas a las que el vigente art. 24.4 incluye en la Ley sobre infracciones y sanciones en el orden social, las letras a) y b), y cuya sanción los artículos 27.4 de la Ley de empleo y 48.5 de la Ley sobre infracciones y sanciones en el orden social, en la redacción dada por los arts. 7 y 8.5 del Real Decreto-ley 11/2013, atribuyen al SEPE.</w:t>
      </w:r>
    </w:p>
    <w:p w:rsidR="0085709A" w:rsidRDefault="0085709A" w:rsidP="0085709A">
      <w:pPr>
        <w:pStyle w:val="TextoNormal"/>
      </w:pPr>
    </w:p>
    <w:p w:rsidR="0085709A" w:rsidRDefault="0085709A" w:rsidP="0085709A">
      <w:pPr>
        <w:pStyle w:val="TextoNormal"/>
      </w:pPr>
      <w:r>
        <w:t xml:space="preserve">La Letrada de la Generalitat argumenta que la reforma configura la inscripción como demandante de empleo y su mantenimiento como requisitos para la percepción de las prestaciones y subsidios por desempleo, pero que tal reforma no supone innovación alguna. En cuanto a la inscripción no supone ningún requisito </w:t>
      </w:r>
      <w:r w:rsidRPr="0085709A">
        <w:rPr>
          <w:i/>
        </w:rPr>
        <w:t>ex novo</w:t>
      </w:r>
      <w:r>
        <w:t xml:space="preserve">, pues la regulación precedente, los arts. 209 y 215.1 del texto refundido de la Ley general de la Seguridad Social ya imponían la inscripción como condición necesaria para la percepción de las prestaciones y subsidios por desempleo. Tampoco sería un nuevo requisito para la percepción de las prestaciones la condición de mantener la inscripción como demandante de empleo ya que dicha exigencia se hallaba establecida en el art. 231.1 d) del texto refundido de la Ley general de la Seguridad Social precepto que exigía y sigue imponiendo todavía a los solicitantes y beneficiarios de prestaciones de desempleo, la obligación de “renovar la demanda de empleo en la forma y fechas en que se determine en el documento de renovación de la demanda”, obligación cuyo incumplimiento constituía una infracción leve. La demanda concluye que no ha habido ninguna alteración sustantiva de los requisitos relativos a la inscripción como demandantes de empleo y a la renovación o mantenimiento de dicha inscripción, </w:t>
      </w:r>
      <w:r>
        <w:lastRenderedPageBreak/>
        <w:t>que permita negarles el carácter instrumental para la percepción de las prestaciones y subsidios por desempleo que les atribuyó la STC 104/2013, y “que habilite para sostener, como parece pretender el legislador estatal que, tratándose de requisitos para la percepción de dichas prestaciones y subsidios, forman parte de la gestión económica de la Seguridad Social, que corresponde a la competencia ejecutiva del Estado y a su potestad sancionadora”.</w:t>
      </w:r>
    </w:p>
    <w:p w:rsidR="0085709A" w:rsidRDefault="0085709A" w:rsidP="0085709A">
      <w:pPr>
        <w:pStyle w:val="TextoNormal"/>
      </w:pPr>
    </w:p>
    <w:p w:rsidR="0085709A" w:rsidRDefault="0085709A" w:rsidP="0085709A">
      <w:pPr>
        <w:pStyle w:val="TextoNormal"/>
      </w:pPr>
      <w:r>
        <w:t>En definitiva, la demanda sostiene que, tanto el hecho de no facilitar la información requerida para la recepción de las notificaciones y comunicaciones relativas a la inscripción como demandante de empleo y su mantenimiento, como el de no mantener la inscripción como demandante de empleo, siguen siendo, a pesar de la reordenación sistemática y el cambio semántico, ilícitos administrativos referidos a actuaciones instrumentales para obtener las prestaciones o subsidios, que no guardan una relación directa con la gestión económica de la Seguridad Social, sin perjuicio de que la ejecución de la sanción que conlleven, en la medida en que pueda comportar la suspensión o la pérdida de la prestación o subsidio corresponda al SEPE.</w:t>
      </w:r>
    </w:p>
    <w:p w:rsidR="0085709A" w:rsidRDefault="0085709A" w:rsidP="0085709A">
      <w:pPr>
        <w:pStyle w:val="TextoNormal"/>
      </w:pPr>
    </w:p>
    <w:p w:rsidR="0085709A" w:rsidRDefault="0085709A" w:rsidP="0085709A">
      <w:pPr>
        <w:pStyle w:val="TextoNormal"/>
      </w:pPr>
      <w:r>
        <w:t>Además de la anterior vulneración por exceso competencial la representación procesal de la Generalitat de Cataluña estima vulnerados los principios de fidelidad a la Constitución y de lealtad constitucional que proscriben las interferencias en el legítimo ejercicio de las competencias de los otros entes territoriales y veta cualquier regulación que ignore o impida la operatividad del sistema de distribución de competencias establecido en el bloque de la constitucionalidad.</w:t>
      </w:r>
    </w:p>
    <w:p w:rsidR="0085709A" w:rsidRDefault="0085709A" w:rsidP="0085709A">
      <w:pPr>
        <w:pStyle w:val="TextoNormal"/>
      </w:pPr>
    </w:p>
    <w:p w:rsidR="0085709A" w:rsidRDefault="0085709A" w:rsidP="0085709A">
      <w:pPr>
        <w:pStyle w:val="TextoNormal"/>
      </w:pPr>
      <w:r>
        <w:t>Por último, la Letrada de la Generalitat de Cataluña reiterando que los preceptos impugnados han ignorado el reparto constitucional de competencias en materia de Seguridad Social, en la forma delimitada por las SSTC 195/1996 y 104/2013, acota su queja respecto a la inconstitucionalidad que se imputa al artículo 8.5 por el hecho de haber atribuido al SEPE la competencia para sancionar las infracciones tipificadas en el art. 24.4 a) y b) de la Ley sobre infracciones y sanciones en el orden social, al supuesto de conductas infractoras de la obligación de facilitar la información para recibir notificaciones relativas a la gestión de actuaciones que, como la inscripción como demandante de empleo y su renovación o mantenimiento, son de competencia autonómica, sin que por el contrario sea objetable competencialmente el reconocimiento al SEPE de la potestad de sancionar el incumplimiento de la obligación de facilitar dicha información cuando tal obligación se halle vinculada a actos de gestión económica de la Seguridad Social que correspondan a la competencia ejecutiva del Estado.</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19 de noviembre de 2013 el Pleno, a propuesta de la Sección Cuarta, acordó admitir a trámite el recurso de inconstitucionalidad promovido por el Gobierno de Cataluña y, en su representación y defensa, por la Abogada del mismo, contra los arts. 7 y 8.5 del Real Decreto-ley 11/2013, de 2 de agosto, para la protección de los trabajadores a tiempo parcial y otras medidas urgentes en el orden económico y social;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y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el 3 de diciembre de 2013, el Abogado del Estado se personó en nombre del Gobierno solicitando una prórroga en el plazo inicialmente concedido para la formulación de alegaciones, prórroga que le fue concedida por providencia del Pleno de 4 de diciembre de 2013.</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registrado con fecha 4 de diciembre de 2013, el Presidente del Senado comunicó el acuerdo de la Mesa de la Cámara de personarse en el procedimiento y ofrecer su colaboración a los efectos del art. 88.1 LOTC. Lo mismo hizo el Presidente del Congreso de los Diputados por escrito que tuvo entrada en este Tribunal el día 12 de diciembre de 2013.</w:t>
      </w:r>
    </w:p>
    <w:p w:rsidR="0085709A" w:rsidRDefault="0085709A" w:rsidP="0085709A">
      <w:pPr>
        <w:pStyle w:val="TextoNormal"/>
      </w:pPr>
    </w:p>
    <w:p w:rsidR="0085709A" w:rsidRDefault="0085709A" w:rsidP="0085709A">
      <w:pPr>
        <w:pStyle w:val="TextoNormal"/>
      </w:pPr>
      <w:r w:rsidRPr="0085709A">
        <w:rPr>
          <w:rStyle w:val="NumeroAFNegritaCaracter"/>
        </w:rPr>
        <w:t>5</w:t>
      </w:r>
      <w:r>
        <w:t>. Las alegaciones presentadas por el Abogado del Estado fueron registradas en este Tribunal el día 30 de diciembre de 2013.</w:t>
      </w:r>
    </w:p>
    <w:p w:rsidR="0085709A" w:rsidRDefault="0085709A" w:rsidP="0085709A">
      <w:pPr>
        <w:pStyle w:val="TextoNormal"/>
      </w:pPr>
    </w:p>
    <w:p w:rsidR="0085709A" w:rsidRDefault="0085709A" w:rsidP="0085709A">
      <w:pPr>
        <w:pStyle w:val="TextoNormal"/>
      </w:pPr>
      <w:r>
        <w:t>Tras exponer el objeto del recurso y los motivos que fundamentan su interposición, el Abogado del Estado argumenta la inexistencia de vulneración del art. 86.1 CE. Para ello recuerda la doctrina constitucional acerca del presupuesto habilitante señalando que la apreciación de la concurrencia de la extraordinaria y urgente necesidad es un juicio político que compete al Gobierno y al Congreso, correspondiendo al Tribunal Constitucional el control de que este juicio político de la urgencia no desborde los límites de lo manifiestamente razonable. Este control se despliega en una doble dirección pues, por un lado, la apreciación de la extraordinaria y urgente necesidad ha de haber sido explicitada y razonada en el preámbulo de la norma, en el debate parlamentario o en el expediente de elaboración, y, por otro, ha de existir una conexión de sentido entre la situación de urgencia y la medida concreta adoptada. Por último, recuerda que el Tribunal tiene declarada la especial aptitud del real decreto-ley para atender a coyunturas económicas problemáticas. De este modo el presupuesto habilitante del decreto-ley viene constituido por una situación de necesidad relativa respecto de una acción del Gobierno que requiera una actuación normativa inmediata de rango legal que no pueda satisfacerse a través de los procedimientos previstos para la elaboración de la ley. En definitiva, el canon de enjuiciamiento del presupuesto habilitante se ciñe a corregir la eventual valoración abusiva o arbitraria por parte de los poderes políticos de la necesidad concurrente. A juicio del Abogado del Estado, los preceptos impugnados superan claramente ese test constitucional.</w:t>
      </w:r>
    </w:p>
    <w:p w:rsidR="0085709A" w:rsidRDefault="0085709A" w:rsidP="0085709A">
      <w:pPr>
        <w:pStyle w:val="TextoNormal"/>
      </w:pPr>
    </w:p>
    <w:p w:rsidR="0085709A" w:rsidRDefault="0085709A" w:rsidP="0085709A">
      <w:pPr>
        <w:pStyle w:val="TextoNormal"/>
      </w:pPr>
      <w:r>
        <w:t xml:space="preserve">Indica que, desde el punto de vista formal, se cumple con la obligación de exteriorizar las razones que llevan a la utilización de esta figura y la conexión de sentido existente en cuanto que las modificaciones se dirigen a mejorar la actuación de las Administraciones públicas en relación con el desempleo. Para el Abogado del Estado se trata de “optimizar la gestión de las prestaciones y, para ello, lo que hace el Real Decreto-Ley es adaptar el régimen jurídico de las infracciones en materia de desempleo a las nuevas exigencias reveladas por la práctica, como se expondrá más adelante, en relación con la obligación del mantenimiento de encontrarse inscrito en el desempleo, y de mejorar la seguridad jurídica. De esta manera el ordenamiento jurídico estatal se adapta a los criterios establecidos por el Tribunal en la STC 104/2013. Todo ello justifica la extraordinaria y urgente necesidad puesto que la gestión de este tipo de prestaciones por las necesidades a las que atiende y por el gasto público que supone requiere una actuación inmediata y urgente en continua adaptación a la </w:t>
      </w:r>
      <w:r>
        <w:lastRenderedPageBreak/>
        <w:t>realidad”. Argumenta al respecto que, al declararse nulo el art. 48.5 de la Ley sobre infracciones y sanciones en el orden social, el SEPE dejó de imponer las sanciones por las infracciones leves o graves recogidas en los artículos 24.3 y 25.4 de la Ley sobre infracciones y sanciones en el orden social, sin que tal competencia viniera legalmente atribuida a los órganos autonómicos. Por eso “motivos de seguridad jurídica exigían que con carácter de urgencia y necesidad, se procediera a establecer un régimen jurídico dotado de seguridad. Asimismo, en coherencia con lo anterior también se daba la extraordinaria y urgente necesidad de establecer las normas sobre la competencia sancionadora de las infracciones leves y graves previstas en los artículos 24.3 y 25.4 del texto refundido de la Ley sobre infracciones y sanciones en el orden social, por exigencia del respeto a los principios de legalidad e igualdad”, atendiendo también al considerable volumen de las infracciones de las que se trataba y las necesidades derivadas del control del fraude para evitar repercusiones negativas sobre la actividad económica de la Seguridad Social. Por último, alega el Abogado del Estado que el contenido de la norma, en cuanto se limita a tipificar las nuevas obligaciones e infracciones en materia laboral, tiene la necesaria conexión de sentido con el presupuesto habilitante.</w:t>
      </w:r>
    </w:p>
    <w:p w:rsidR="0085709A" w:rsidRDefault="0085709A" w:rsidP="0085709A">
      <w:pPr>
        <w:pStyle w:val="TextoNormal"/>
      </w:pPr>
    </w:p>
    <w:p w:rsidR="0085709A" w:rsidRDefault="0085709A" w:rsidP="0085709A">
      <w:pPr>
        <w:pStyle w:val="TextoNormal"/>
      </w:pPr>
      <w:r>
        <w:t>En cuanto a la vulneración de las competencias de la Generalitat de Cataluña así como en relación con la infracción del principio de lealtad institucional, comienza analizando el contenido y finalidad de la reforma impugnada indicando que el incumplimiento de la obligación de mantener la inscripción como solicitante de empleo no se configuraba de forma expresa en la norma como determinante de la improcedencia de la percepción de la correspondiente prestación, sino que solo se tipificaba como infracción la no renovación de la demanda sin causa justificada. Considerando que la prestación y el subsidio por desempleo son un instrumento de protección de quienes pudiendo y queriendo trabajar no encuentran empleo y, siendo la inscripción como demandante de empleo la forma de acreditar el mantenimiento de la voluntad de encontrar un empleo, era necesario configurar dicha inscripción como requisito indispensable no solo del nacimiento sino también del mantenimiento del derecho a percibir la prestación, vinculando de forma directa la percepción de la prestación al mantenimiento de la vigencia de la inscripción de la demanda de empleo. Con tal finalidad, el Real Decreto-ley 11/2013, modificó los artículos 207, 209 y 215 del texto refundido de la Ley general de la Seguridad Social, incluyendo como requisito necesario para la percepción de la prestación o del subsidio de desempleo el hallarse inscrito como demandante de empleo en el momento de solicitar el derecho a la prestación y también mantener esa inscripción para continuar percibiéndolo. Además se tipifica como infracción leve la conducta consistente en no mantener la inscripción en la demanda de empleo sin causa justificada, en cuanto que se considera que evidencia falta de voluntad de trabajar. En coherencia con lo anterior se modifica el art. 27 de la Ley de empleo a fin de diferenciar la competencia relativa a la verificación del cumplimiento de las obligaciones derivadas del compromiso de actividad por parte de los beneficiarios de prestaciones y su sanción, que ostentan los servicios públicos de empleo de las Comunidades Autónomas, de la de verificación del cumplimiento de la obligación del mantenimiento de la inscripción como demandantes de empleo, que efectuarán las citadas Comunidades y comunicarán sus incumplimientos al SEPE, que podrá iniciar el correspondiente procedimiento sancionador.</w:t>
      </w:r>
    </w:p>
    <w:p w:rsidR="0085709A" w:rsidRDefault="0085709A" w:rsidP="0085709A">
      <w:pPr>
        <w:pStyle w:val="TextoNormal"/>
      </w:pPr>
    </w:p>
    <w:p w:rsidR="0085709A" w:rsidRDefault="0085709A" w:rsidP="0085709A">
      <w:pPr>
        <w:pStyle w:val="TextoNormal"/>
      </w:pPr>
      <w:r>
        <w:t xml:space="preserve">Según indica el Abogado del Estado, esta nueva regulación es conforme con la doctrina de la STC 104/2013, por cuanto las prestaciones por desempleo son prestaciones de Seguridad Social, de manera que se está afectando a la competencia exclusiva estatal en materia </w:t>
      </w:r>
      <w:r>
        <w:lastRenderedPageBreak/>
        <w:t>de régimen económico de la Seguridad Social, que comporta la potestad para sancionar aquellas infracciones que recaen directamente sobre la actividad económica de la Seguridad Social, como es, a diferencia de los supuestos analizados en las STC 104/2013, la relativa al mantenimiento de la inscripción como demandante de empleo en cuanto que el cumplimiento de ese requisito se relaciona directamente con la percepción de la prestación. Esta modificación no se ha hecho, como se afirma de contrario, con la finalidad de desconocer la doctrina del Tribunal y de desapoderar a la Generalitat de Cataluña de sus competencias. El objetivo de la norma ha sido mejorar técnicamente la normativa reguladora de la prestación por desempleo, corrigiendo los errores apreciados y mejorando la seguridad jurídica. Por ello, estima el Abogado del Estado que no se ha producido en absoluto ni incumplimiento de la STC 104/2013, ni vulneración del principio de lealtad constitucional.</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registrado en este Tribunal el día 9 de abril de 2014 la Abogada de la Generalitat de Cataluña expone lo siguiente.</w:t>
      </w:r>
    </w:p>
    <w:p w:rsidR="0085709A" w:rsidRDefault="0085709A" w:rsidP="0085709A">
      <w:pPr>
        <w:pStyle w:val="TextoNormal"/>
      </w:pPr>
    </w:p>
    <w:p w:rsidR="0085709A" w:rsidRDefault="0085709A" w:rsidP="0085709A">
      <w:pPr>
        <w:pStyle w:val="TextoNormal"/>
      </w:pPr>
      <w:r>
        <w:t>Tras aludir a la impugnación de los art. 7 y 8.5 del Real Decreto-ley 11/2013, indica que la misma se fundamentó en que la competencia que los nuevos arts. 27.4 de la Ley de empleo y 48.5 de la Ley sobre infracciones y sanciones en el orden social atribuían al SEPE para sancionar el incumplimiento de ciertas obligaciones impuestas a los beneficiarios de las prestaciones y subsidios de desempleo vulneraba la competencia sancionadora de la Generalitat de Cataluña sobre dicha materia, reconocida expresamente por la STC 104/2013, de 25 de abril. Menciona también la convalidación del Real Decreto-ley y su consiguiente tramitación como proyecto de ley por el procedimiento de urgencia que ha culminado con la aprobación de la Ley 1/2014, de 28 de febrero, para protección de los trabajadores a tiempo parcial y otras medidas urgentes en el orden económico y social. Señala la Letrada de la Generalitat de Cataluña que, pese a que la disposición derogatoria de la Ley 1/2014, de 28 de febrero, no formula una derogación expresa del Real Decreto-ley 11/2013, dicha derogación debe entenderse incluida en la cláusula general establecida en la referida disposición derogatoria por la que se declaran derogadas cuantas disposiciones de igual o inferior rango se opongan a lo que en ella se dispone. Pese a tal derogación, la Abogada de la Generalitat de Cataluña destaca la identidad material existente entre los arts. 7 y 8.5 de la Ley 1/2014 y los homólogos del Real Decreto-ley 11/2013, pues únicamente cabe apreciar una leve diferencia no sustancial en la redacción que el artículo 7 de la Ley 1/2014, atribuye al artículo 27.4 de la Ley de empleo, consistente en incorporar al Instituto Social de la Marina como organismo con competencias análogas a las que el propio precepto confiere al Servicio público de Empleo Estatal. Dicha identidad material determina que los arts. 7 y 8.5 de la Ley 1/2014 se hallen incursos en los mismos vicios de vulneración competencial alegados en el presente proceso, de ahí que por congruencia, resultaría procedente que el Gobierno de la Generalitat promoviera su impugnación.</w:t>
      </w:r>
    </w:p>
    <w:p w:rsidR="0085709A" w:rsidRDefault="0085709A" w:rsidP="0085709A">
      <w:pPr>
        <w:pStyle w:val="TextoNormal"/>
      </w:pPr>
    </w:p>
    <w:p w:rsidR="0085709A" w:rsidRDefault="0085709A" w:rsidP="0085709A">
      <w:pPr>
        <w:pStyle w:val="TextoNormal"/>
      </w:pPr>
      <w:r>
        <w:t>Sin embargo, teniendo en cuenta que según reiterada jurisprudencia de este Tribunal Constitucional, los cambios normativos que afecten a una norma impugnada no comportan necesariamente la pérdida de objeto del proceso, debiendo entenderse que la reivindicación competencial subsiste cuando, como ocurre en el presente caso, la norma modificatoria o derogatoria suscita la misma problemática competencial, la Letrada de la Generalitat de Cataluña estima innecesaria y contraproducente, desde la perspectiva de la eficacia de la justicia constitucional, la formulación de un nuevo recurso de inconstitucionalidad.</w:t>
      </w:r>
    </w:p>
    <w:p w:rsidR="0085709A" w:rsidRDefault="0085709A" w:rsidP="0085709A">
      <w:pPr>
        <w:pStyle w:val="TextoNormal"/>
      </w:pPr>
    </w:p>
    <w:p w:rsidR="0085709A" w:rsidRDefault="0085709A" w:rsidP="0085709A">
      <w:pPr>
        <w:pStyle w:val="TextoNormal"/>
      </w:pPr>
      <w:r>
        <w:lastRenderedPageBreak/>
        <w:t>Por todo ello, concluye solicitando de este Tribunal que “teniendo por presentado este escrito se sirva admitirlo, tener por ratificada a esta parte en la reivindicación de la competencia de la Generalidad de Cataluña para sancionar las infracciones a las que se refieren los artículos 27.4 de la Ley de empleo y 48.5 del texto refundido de la Ley de infracciones y sanciones en el orden social en la redacción dada por los artículos 7 y 8.cinco del Real Decreto-ley 11/2013, de 2 de agosto y por puesto de manifiesto que los nuevos artículos 7 y 8.cinco de la Ley 1/2014, de 28 de febrero, para protección de los trabajadores a tiempo parcial y otras medidas urgentes en el orden económico y social, no alteran los términos de la controversia competencial respecto de los citados artículos 7 y 8.cinco del Real Decreto-ley 11/2013, de 2 de agosto, pendiente de la Sentencia que en su día dicte este Tribunal Constitucional, cuyos efectos generales habrán de proyectarse también sobre los mismos artículos 7 y 8.cinco de la Ley 1/2014, de 28 de febrero, de conformidad con lo previsto en el artículo 164.1 de la Constitución”.</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del Pleno de 22 de abril de 2014 se acordó unir a las actuaciones el escrito presentado por la Letrada de la Generalitat de Cataluña y hacer entrega de copia al Abogado del Estado.</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17 de febrero de 2015, se señaló para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proceso constitucional debemos resolver el recurso de inconstitucionalidad interpuesto por la Generalitat de Cataluña contra los arts. 7 y 8.5 del Real Decreto-ley 11/2013, de 2 de agosto, para la protección de los trabajadores a tiempo parcial y otras medidas urgentes en el orden económico y social.</w:t>
      </w:r>
    </w:p>
    <w:p w:rsidR="0085709A" w:rsidRDefault="0085709A" w:rsidP="0085709A">
      <w:pPr>
        <w:pStyle w:val="TextoNormal"/>
      </w:pPr>
    </w:p>
    <w:p w:rsidR="0085709A" w:rsidRDefault="0085709A" w:rsidP="0085709A">
      <w:pPr>
        <w:pStyle w:val="TextoNormal"/>
      </w:pPr>
      <w:r>
        <w:t>Los preceptos impugnados disponen lo siguiente:</w:t>
      </w:r>
    </w:p>
    <w:p w:rsidR="0085709A" w:rsidRDefault="0085709A" w:rsidP="0085709A">
      <w:pPr>
        <w:pStyle w:val="TextoNormal"/>
      </w:pPr>
    </w:p>
    <w:p w:rsidR="0085709A" w:rsidRDefault="0085709A" w:rsidP="0085709A">
      <w:pPr>
        <w:pStyle w:val="TextoNormal"/>
      </w:pPr>
      <w:r>
        <w:t>“Artículo 7. Modificación de la Ley 56/2003, de 16 de diciembre, de Empleo.</w:t>
      </w:r>
    </w:p>
    <w:p w:rsidR="0085709A" w:rsidRDefault="0085709A" w:rsidP="0085709A">
      <w:pPr>
        <w:pStyle w:val="TextoNormal"/>
      </w:pPr>
    </w:p>
    <w:p w:rsidR="0085709A" w:rsidRDefault="0085709A" w:rsidP="0085709A">
      <w:pPr>
        <w:pStyle w:val="TextoNormal"/>
      </w:pPr>
      <w:r>
        <w:t>El apartado 4 del artículo 27 de la Ley 56/2003, de 16 de diciembre, de Empleo, queda modificado en los siguientes términos:</w:t>
      </w:r>
    </w:p>
    <w:p w:rsidR="0085709A" w:rsidRDefault="0085709A" w:rsidP="0085709A">
      <w:pPr>
        <w:pStyle w:val="TextoNormal"/>
      </w:pPr>
    </w:p>
    <w:p w:rsidR="0085709A" w:rsidRDefault="0085709A" w:rsidP="0085709A">
      <w:pPr>
        <w:pStyle w:val="TextoNormal"/>
      </w:pPr>
      <w:r>
        <w:t>‘4. Los beneficiarios de prestaciones y subsidios por desempleo inscritos en los servicios públicos de empleo, una vez hayan suscrito el compromiso de actividad, deberán participar en las políticas activas de empleo que se determinen en el itinerario de inserción, sin perjuicio de lo dispuesto en el último párrafo del artículo 231.1 del texto refundido de la Ley General de la Seguridad Social. Los servicios públicos de empleo competentes verificarán el cumplimiento de las obligaciones derivadas de la suscripción del compromiso de actividad de los beneficiarios de prestaciones y subsidios por desempleo, comunicando la sanción impuesta, en su caso, en el momento en que se imponga, al Servicio Público de Empleo Estatal para su ejecución por éste.</w:t>
      </w:r>
    </w:p>
    <w:p w:rsidR="0085709A" w:rsidRDefault="0085709A" w:rsidP="0085709A">
      <w:pPr>
        <w:pStyle w:val="TextoNormal"/>
      </w:pPr>
    </w:p>
    <w:p w:rsidR="0085709A" w:rsidRDefault="0085709A" w:rsidP="0085709A">
      <w:pPr>
        <w:pStyle w:val="TextoNormal"/>
      </w:pPr>
      <w:r>
        <w:lastRenderedPageBreak/>
        <w:t>Los servicios públicos de empleo competentes verificarán, asimismo, el cumplimiento de la obligación de dichos beneficiarios de mantenerse inscritos como demandantes de empleo, debiendo comunicar los incumplimientos de esta obligación al Servicio Público de Empleo Estatal en el momento en que se produzcan o conozcan. Dicha comunicación podrá realizarse por medios electrónicos y será documento suficiente para que el Servicio Público de Empleo Estatal inicie el procedimiento sancionador que corresponda.’”</w:t>
      </w:r>
    </w:p>
    <w:p w:rsidR="0085709A" w:rsidRDefault="0085709A" w:rsidP="0085709A">
      <w:pPr>
        <w:pStyle w:val="TextoNormal"/>
      </w:pPr>
    </w:p>
    <w:p w:rsidR="0085709A" w:rsidRDefault="0085709A" w:rsidP="0085709A">
      <w:pPr>
        <w:pStyle w:val="TextoNormal"/>
      </w:pPr>
      <w:r>
        <w:t>“Artículo 8. Modificación del texto refundido de la Ley sobre Infracciones y Sanciones en el Orden Social, aprobado por el Real Decreto Legislativo 5/2000, de 4 de agosto.</w:t>
      </w:r>
    </w:p>
    <w:p w:rsidR="0085709A" w:rsidRDefault="0085709A" w:rsidP="0085709A">
      <w:pPr>
        <w:pStyle w:val="TextoNormal"/>
      </w:pPr>
    </w:p>
    <w:p w:rsidR="0085709A" w:rsidRDefault="0085709A" w:rsidP="0085709A">
      <w:pPr>
        <w:pStyle w:val="TextoNormal"/>
      </w:pPr>
      <w:r>
        <w:t>Cinco. El apartado 5 del artículo 48 queda redactado en los siguientes términos:</w:t>
      </w:r>
    </w:p>
    <w:p w:rsidR="0085709A" w:rsidRDefault="0085709A" w:rsidP="0085709A">
      <w:pPr>
        <w:pStyle w:val="TextoNormal"/>
      </w:pPr>
    </w:p>
    <w:p w:rsidR="0085709A" w:rsidRDefault="0085709A" w:rsidP="0085709A">
      <w:pPr>
        <w:pStyle w:val="TextoNormal"/>
      </w:pPr>
      <w:r>
        <w:t>‘5. La imposición de sanciones por infracciones en materia de Seguridad Social a los trabajadores corresponde, a propuesta de la Inspección de Trabajo y Seguridad Social, a la entidad gestora o servicio común de la Seguridad Social competente. En el caso de infracciones cometidas por solicitantes o beneficiarios de las prestaciones por desempleo de nivel contributivo o asistencial, la competencia corresponde a la entidad gestora de éstas, salvo en el supuesto de las infracciones contenidas en los artículos 24.3 y 25.4 de esta Ley, en el que la imposición de la sanción corresponderá al servicio público de empleo competente que comunicará la sanción, en el momento en que se imponga, a la entidad gestora de las prestaciones por desempleo para su ejecución por ésta.’”</w:t>
      </w:r>
    </w:p>
    <w:p w:rsidR="0085709A" w:rsidRDefault="0085709A" w:rsidP="0085709A">
      <w:pPr>
        <w:pStyle w:val="TextoNormal"/>
      </w:pPr>
    </w:p>
    <w:p w:rsidR="0085709A" w:rsidRDefault="0085709A" w:rsidP="0085709A">
      <w:pPr>
        <w:pStyle w:val="TextoNormal"/>
      </w:pPr>
      <w:r>
        <w:t>La Abogada de la Generalitat cuestiona específicamente el último inciso del párrafo segundo del nuevo art. 27.4 de la Ley 56/2003, de 16 de diciembre, de empleo  así como la atribución al Servicio Público de Empleo Estatal (en adelante, SEPE) de la competencia para sancionar las conductas tipificadas en el nuevo art. 24.4 a) y b) del texto refundido de la Ley sobre infracciones y sanciones en el orden social, aprobado por el Real Decreto Legislativo 5/2000, de 4 de agosto que se deriva de lo dispuesto en el segundo inciso del reformado art. 48.5 de la Ley sobre infracciones y sanciones en el orden social. Como ya se ha dejado constancia en los antecedentes la demanda formula dos reproches a estos preceptos. El primero es el incumplimiento del presupuesto habilitante previsto en el art. 86.1 CE, por cuanto, ni en la exposición de motivos de la norma, ni en su debate de convalidación se habría acreditado la existencia de una necesidad extraordinaria y urgente que justifique la modificación introducida. El segundo motivo es competencial pues la demanda sostiene que esta nueva regulación vulnera el orden constitucional de distribución de competencias, en cuanto que atribuye al Servicio Público de Empleo Estatal la competencia para sancionar determinadas conductas, desconociendo la doctrina de la STC 104/2013, de 25 de abril, y desapoderando a la Generalitat de Cataluña de su competencia sancionadora en materia de seguridad social recogida en los artículos 165.1 a) y 170.1 h) del Estatuto de Autonomía de Cataluña.</w:t>
      </w:r>
    </w:p>
    <w:p w:rsidR="0085709A" w:rsidRDefault="0085709A" w:rsidP="0085709A">
      <w:pPr>
        <w:pStyle w:val="TextoNormal"/>
      </w:pPr>
    </w:p>
    <w:p w:rsidR="0085709A" w:rsidRDefault="0085709A" w:rsidP="0085709A">
      <w:pPr>
        <w:pStyle w:val="TextoNormal"/>
      </w:pPr>
      <w:r>
        <w:t xml:space="preserve">El Abogado del Estado ha negado ambas infracciones constitucionales. Por lo que respecta a la concurrencia del presupuesto habilitante del art. 86.1 CE ha sostenido que se trata de una reforma que persigue mejorar la actuación de las Administraciones públicas en relación con el desempleo, adaptando el régimen jurídico de determinadas infracciones con el objetivo de proporcionar mayor seguridad jurídica a los destinatarios de la regulación. Todo ello justificaría la extraordinaria y urgente necesidad puesto que “la gestión de este tipo de prestaciones por las necesidades a las que atiende y por el gasto público que supone requiere </w:t>
      </w:r>
      <w:r>
        <w:lastRenderedPageBreak/>
        <w:t>una actuación inmediata y urgente en continua adaptación a la realidad”. En cuanto a la contravención del sistema de distribución de competencias ha defendido que la nueva configuración de las infracciones en materia de desempleo no pretende desapoderar las competencias autonómicas sino llevar a cabo una reordenación de la potestad sancionadora de las distintas Administraciones públicas con competencias en la materia que es conforme con la doctrina constitucional de la STC 104/2013.</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enfrentadas en el recurso y antes de comenzar a resolverlo debemos plantearnos la incidencia que sobre su objeto tenga el hecho de que el Real Decreto-ley 11/2013 haya sido sustituido por la Ley 1/2014, de 28 de febrero, para la protección de los trabajadores a tiempo parcial y otras medidas urgentes en el orden económico y social. El Real Decreto-ley 11/2013, después de ser convalidado por el Congreso el 12 de septiembre de 2013 (“BOE” de 17 de septiembre), fue acordada su tramitación como proyecto de ley por el procedimiento de urgencia según permite el art. 86.3 CE (“Boletín Oficial de la Cortes Generales”, Congreso de los Diputados, núm. 324, de 18 de septiembre). Con posterioridad ha sido aprobada la Ley 1/2014, de 28 de febrero (“BOE” núm. 52, de 1 de marzo), para la protección de los trabajadores a tiempo parcial y otras medidas urgentes en el orden económico y social, cuyos arts. 7 y 8.5 reproducen, con leves matizaciones en el caso del primero, lo dispuesto en los preceptos que han sido impugnados en este proceso. Tal sustitución ya ha sido puesta de manifiesto por la Generalitat de Cataluña en el escrito del que se ha dejado constancia en el antecedente 6.</w:t>
      </w:r>
    </w:p>
    <w:p w:rsidR="0085709A" w:rsidRDefault="0085709A" w:rsidP="0085709A">
      <w:pPr>
        <w:pStyle w:val="TextoNormal"/>
      </w:pPr>
    </w:p>
    <w:p w:rsidR="0085709A" w:rsidRDefault="0085709A" w:rsidP="0085709A">
      <w:pPr>
        <w:pStyle w:val="TextoNormal"/>
      </w:pPr>
      <w:r>
        <w:t>No obstante, la derogación, siquiera tácita, del Real Decreto-ley 11/2013 por otra ley posterior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w:t>
      </w:r>
    </w:p>
    <w:p w:rsidR="0085709A" w:rsidRDefault="0085709A" w:rsidP="0085709A">
      <w:pPr>
        <w:pStyle w:val="TextoNormal"/>
      </w:pPr>
    </w:p>
    <w:p w:rsidR="0085709A" w:rsidRDefault="0085709A" w:rsidP="0085709A">
      <w:pPr>
        <w:pStyle w:val="TextoNormal"/>
      </w:pPr>
      <w:r>
        <w:t>Algo similar sucede con el motivo relacionado con la infracción del orden competencial, si la norma con rango de ley derogada por otra posterior, que sea objeto de enjuiciamiento, supera las exigencias de nuestra doctrina sobre la adecuación constitucional de aquella, lo que sucede en el caso de autos, en que, como se ha anticipado, la Ley 1/2014 ha derogado tácitamente el Real Decreto-ley 11/2013, si bien reproduce, con leves matices, el contenido de los arts. 7 y 8.5 de aquel.</w:t>
      </w:r>
    </w:p>
    <w:p w:rsidR="0085709A" w:rsidRDefault="0085709A" w:rsidP="0085709A">
      <w:pPr>
        <w:pStyle w:val="TextoNormal"/>
      </w:pPr>
    </w:p>
    <w:p w:rsidR="0085709A" w:rsidRDefault="0085709A" w:rsidP="0085709A">
      <w:pPr>
        <w:pStyle w:val="TextoNormal"/>
      </w:pPr>
      <w:r>
        <w:t xml:space="preserve">Resultará entonces de aplicación nuestra doctrina respecto a los procesos promovidos por causa de vulneración del orden constitucional de distribución de competencias, en la que hemos insistido, como excepción a la regla general sobre la carencia de sentido que tiene para el Tribunal pronunciarse en un recurso de inconstitucionalidad sobre normas que el legislador haya expulsado del ordenamiento mediante su derogación, en que “‘la función de preservar los ámbitos respectivos de competencias no puede quedar enervada por la sola derogación o modificación de las disposiciones cuya adopción dio lugar al litigio (SSTC 182/1988, FJ 1; 248/1988, FJ 2; y 167/1993, FJ 2; 329/1993, FJ 1; 165/1994, FJ 2; y 196/1993, FJ 2)’ (STC 109/2003, de 5 de junio, FJ 2)” [STC 134/2011, de 20 de julio, FJ 2 b)]. Por ello, si “‘la normativa en relación con la cual se trabó el conflicto no es simplemente derogada, sino parcialmente sustituida por otra que viene a plantear en esencia los mismos </w:t>
      </w:r>
      <w:r>
        <w:lastRenderedPageBreak/>
        <w:t>problemas competenciales, la doctrina de este Tribunal avala la conclusión de la no desaparición del objeto del conflicto (SSTC 87/1993, 329/1993 y 155/1996) (STC 147/1998, fundamento jurídico 5)’ (STC 128/1999, de 1 de julio, FJ 4)” [STC 134/2011, de 20 de julio, FJ 2 b)].</w:t>
      </w:r>
    </w:p>
    <w:p w:rsidR="0085709A" w:rsidRDefault="0085709A" w:rsidP="0085709A">
      <w:pPr>
        <w:pStyle w:val="TextoNormal"/>
      </w:pPr>
    </w:p>
    <w:p w:rsidR="0085709A" w:rsidRDefault="0085709A" w:rsidP="0085709A">
      <w:pPr>
        <w:pStyle w:val="TextoNormal"/>
      </w:pPr>
      <w:r>
        <w:t>Ahora bien, la eventual pervivencia de la controversia competencial trabada en el presente proceso, caso de extender nuestro enjuiciamiento a la resolución de esta, no habrá de entenderse como una aceptación de lo solicitado por la Generalitat de Cataluña en su escrito de fecha 9 de abril de 2014, pues la no alteración de la controversia competencial es una consecuencia que deriva directamente de nuestra doctrina, sin que en este proceso sea posible un pronunciamiento sobre la reclamada extensión de efectos a los preceptos equivalentes de la Ley 1/2014.</w:t>
      </w:r>
    </w:p>
    <w:p w:rsidR="0085709A" w:rsidRDefault="0085709A" w:rsidP="0085709A">
      <w:pPr>
        <w:pStyle w:val="TextoNormal"/>
      </w:pPr>
    </w:p>
    <w:p w:rsidR="0085709A" w:rsidRDefault="0085709A" w:rsidP="0085709A">
      <w:pPr>
        <w:pStyle w:val="TextoNormal"/>
      </w:pPr>
      <w:r>
        <w:t>Centrados así los términos de la presente controversia es de apreciar que en la misma se plantean dos órdenes de cuestiones: la vulneración del art. 86.1 CE, por no concurrir en relación con el art. 7 y 8.5 del Real Decreto-ley 11/2013 el presupuesto de hecho habilitante de la extraordinaria y urgente necesidad, y la extralimitación competencial por parte del Estado y la consiguiente vulneración de las competencias autonómicas. Por tanto, comenzaremos nuestro análisis por la primera de las cuestiones suscitadas, en referencia a los problemas relacionados con el régimen constitucional del decreto-ley para, posteriormente, caso de resultar procedente, abordar los que tienen que ver con la distribución de competencias entre el Estado y la Comunidad Autónoma de Cataluña. (STC 137/2011, de 14 de septiembre, FJ 2, y 170/2012, de 4 de octubre, FJ 4).</w:t>
      </w:r>
    </w:p>
    <w:p w:rsidR="0085709A" w:rsidRDefault="0085709A" w:rsidP="0085709A">
      <w:pPr>
        <w:pStyle w:val="TextoNormal"/>
      </w:pPr>
    </w:p>
    <w:p w:rsidR="0085709A" w:rsidRDefault="0085709A" w:rsidP="0085709A">
      <w:pPr>
        <w:pStyle w:val="TextoNormal"/>
      </w:pPr>
      <w:r w:rsidRPr="0085709A">
        <w:rPr>
          <w:rStyle w:val="NumeroAFNegritaCaracter"/>
        </w:rPr>
        <w:t>3</w:t>
      </w:r>
      <w:r>
        <w:t>. La doctrina constitucional sobre el primer motivo de inconstitucionalidad aducido se encuentra resumida en la STC 142/2014, de 11 de septiembre, FJ 3, según la cual:</w:t>
      </w:r>
    </w:p>
    <w:p w:rsidR="0085709A" w:rsidRDefault="0085709A" w:rsidP="0085709A">
      <w:pPr>
        <w:pStyle w:val="TextoNormal"/>
      </w:pPr>
    </w:p>
    <w:p w:rsidR="0085709A" w:rsidRDefault="0085709A" w:rsidP="0085709A">
      <w:pPr>
        <w:pStyle w:val="TextoNormal"/>
      </w:pPr>
      <w:r>
        <w:t>“Este Tribunal tiene una doctrina consolidada sobre el presupuesto que según el art. 86.1 CE habilita al Gobierno a dictar decretos-leyes (inter alia, SSTC 68/2007, de 28 de marzo, FJ 6; 31/2011, de 17 de marzo, FJ 3; y 96/2014, de 12 de junio, FJ 5). Esta doctrina, tras reconocer el peso que en la apreciación de la extraordinaria y urgente necesidad ha de concederse ‘al juicio puramente político de los órganos a los que incumbe la dirección del Estado’, resalta que el concepto de extraordinaria y urgente necesidad que se contiene en la Constitución es un límite jurídico a la actuación mediante decretos-leyes, cuyo respeto debe controlar el Tribunal (STC 68/2007, FJ 6).</w:t>
      </w:r>
    </w:p>
    <w:p w:rsidR="0085709A" w:rsidRDefault="0085709A" w:rsidP="0085709A">
      <w:pPr>
        <w:pStyle w:val="TextoNormal"/>
      </w:pPr>
    </w:p>
    <w:p w:rsidR="0085709A" w:rsidRDefault="0085709A" w:rsidP="0085709A">
      <w:pPr>
        <w:pStyle w:val="TextoNormal"/>
      </w:pPr>
      <w:r>
        <w:t>En cuanto a la configuración de este cometido, hemos afirmado en dicha STC 68/2007, de un lado, ‘que el control que corresponde al Tribunal Constitucional en este punto es un control externo, en el sentido de que debe verificar, pero no sustituir, el juicio político o de oportunidad que corresponde al Gobierno’ (STC 182/1997, de 28 de octubre, FJ 3).”</w:t>
      </w:r>
    </w:p>
    <w:p w:rsidR="0085709A" w:rsidRDefault="0085709A" w:rsidP="0085709A">
      <w:pPr>
        <w:pStyle w:val="TextoNormal"/>
      </w:pPr>
    </w:p>
    <w:p w:rsidR="0085709A" w:rsidRDefault="0085709A" w:rsidP="0085709A">
      <w:pPr>
        <w:pStyle w:val="TextoNormal"/>
      </w:pPr>
      <w:r>
        <w:t xml:space="preserve">Igualmente la STC 96/2014, de 12 de junio, FJ 5, con cita de otras, ha destacado que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de manera que estas últimas guarden una relación directa o de congruencia con la situación que </w:t>
      </w:r>
      <w:r>
        <w:lastRenderedPageBreak/>
        <w:t>se trata de afrontar’. En cuanto a los instrumentos de los que puede valerse este Tribunal, se añade en ese mismo fundamento jurídico 4 de la STC 137/2011,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(STC 237/2012, de 13 de diciembre, FJ 4)”.</w:t>
      </w:r>
    </w:p>
    <w:p w:rsidR="0085709A" w:rsidRDefault="0085709A" w:rsidP="0085709A">
      <w:pPr>
        <w:pStyle w:val="TextoNormal"/>
      </w:pPr>
    </w:p>
    <w:p w:rsidR="0085709A" w:rsidRDefault="0085709A" w:rsidP="0085709A">
      <w:pPr>
        <w:pStyle w:val="TextoNormal"/>
      </w:pPr>
      <w:r w:rsidRPr="0085709A">
        <w:rPr>
          <w:rStyle w:val="NumeroAFNegritaCaracter"/>
        </w:rPr>
        <w:t>4</w:t>
      </w:r>
      <w:r>
        <w:t>. De acuerdo con esa doctrina procederemos a examinar ahora la concurrencia de la situación de extraordinaria y urgente necesidad, presupuesto de hecho habilitante para la inclusión de las dos disposiciones discutidas en una norma de urgencia, tomando en consideración, tanto lo afirmado por la propia exposición de motivos del Real Decreto-ley impugnado como lo expuesto en el debate parlamentario de convalidación y en el expediente de elaboración.</w:t>
      </w:r>
    </w:p>
    <w:p w:rsidR="0085709A" w:rsidRDefault="0085709A" w:rsidP="0085709A">
      <w:pPr>
        <w:pStyle w:val="TextoNormal"/>
      </w:pPr>
    </w:p>
    <w:p w:rsidR="0085709A" w:rsidRDefault="0085709A" w:rsidP="0085709A">
      <w:pPr>
        <w:pStyle w:val="TextoNormal"/>
      </w:pPr>
      <w:r>
        <w:t>En primer lugar, la exposición de motivos del Real Decreto-ley 11/2013 señala, respecto a las medidas discutidas, que “el Capítulo III introduce una serie de modificaciones para otorgar una mayor seguridad jurídica a los perceptores de las prestaciones y subsidios por desempleo estableciendo que, para percibir y conservar la prestación y el subsidio por desempleo, los beneficiarios deben estar inscritos y mantener dicha inscripción a través de la renovación de la demanda de empleo”. En concreto, indica en un párrafo posterior que “el artículo 7 de este real decreto-ley modifica el artículo 27 de la Ley 56/2003, de 16 de diciembre, de Empleo, para adaptar su contenido a las variaciones introducidas en la Ley General de la Seguridad Social, y el artículo 8 modifica los artículos 24 , 25 , 47 y 48 del texto refundido de la Ley sobre Infracciones y Sanciones en el Orden Social aprobado por Real Decreto Legislativo 5/2000, de 4 de agosto, con el fin de adaptar el régimen de infracciones y sanciones a la novedad de que la inscripción como demandante de empleo y el mantenimiento de la misma pasan a ser requisitos necesarios para percibir y conservar el derecho a la prestación”. Por último, la concurrencia de una situación de extraordinaria y urgente necesidad se justifica en los términos siguientes “en cuanto a la extraordinaria y urgente necesidad de las modificaciones normativas realizadas en el capítulo III, debe ponerse de manifiesto que se trata de medidas en materia de empleo y Seguridad Social que, por un lado, vienen a reforzar la vinculación entre la protección por desempleo y la inserción laboral de las personas desempleadas, y por otro, responden al objetivo de otorgar una mayor seguridad jurídica a los empresarios y a los perceptores de las prestaciones y subsidios por desempleo. Se exige que, con carácter urgente, se adopten las medidas necesarias para configurar la inscripción como demandante de empleo y el mantenimiento de la misma como un requisito necesario para percibir y conservar el derecho a la prestación.”</w:t>
      </w:r>
    </w:p>
    <w:p w:rsidR="0085709A" w:rsidRDefault="0085709A" w:rsidP="0085709A">
      <w:pPr>
        <w:pStyle w:val="TextoNormal"/>
      </w:pPr>
    </w:p>
    <w:p w:rsidR="0085709A" w:rsidRDefault="0085709A" w:rsidP="0085709A">
      <w:pPr>
        <w:pStyle w:val="TextoNormal"/>
      </w:pPr>
      <w:r>
        <w:t xml:space="preserve">Por su parte, en el debate de convalidación (“Diario de Sesiones del Congreso”, Pleno, núm. 136, de 12 de septiembre de 2013) la Sra. Ministra de Empleo y Seguridad Social afirmó que “en el ámbito de las políticas de empleo, en el real decreto (sic) que hoy sometemos a convalidación se establece un conjunto de mejoras técnicas de la normativa laboral que persiguen otorgar seguridad al operador jurídico. Estas mejoras pretenden, por un lado, </w:t>
      </w:r>
      <w:r>
        <w:lastRenderedPageBreak/>
        <w:t>reforzar la vinculación entre la protección por desempleo y la inserción laboral de las personas desempleadas y, por otro, otorgar mayor seguridad jurídica y certidumbre a trabajadores y empresarios y a sus representantes”, para, posteriormente, señalar que “se trata de un conjunto de medidas de índole social y económica que contribuyen a impulsar las reformas del Gobierno. Unas reformas —no lo olvidemos— orientadas a la recuperación del crecimiento económico y, con ello, a la creación de empleo, con el deseo, señorías, de que se produzca en el menor plazo posible. Nos enfrentamos, como saben muy bien sus señorías, a problemas estructurales de grandes dimensiones que han sido agravados por la crisis económica y que nos han obligado a actuar rápido desde todos los frentes”.</w:t>
      </w:r>
    </w:p>
    <w:p w:rsidR="0085709A" w:rsidRDefault="0085709A" w:rsidP="0085709A">
      <w:pPr>
        <w:pStyle w:val="TextoNormal"/>
      </w:pPr>
    </w:p>
    <w:p w:rsidR="0085709A" w:rsidRDefault="0085709A" w:rsidP="0085709A">
      <w:pPr>
        <w:pStyle w:val="TextoNormal"/>
      </w:pPr>
      <w:r>
        <w:t>Por último, la memoria de análisis de impacto normativo, aportada por el Abogado del Estado, indica que las modificaciones cuestionadas responden “a los objetivos de otorgar una mayor seguridad jurídica a los empresarios y a los perceptores de las prestaciones y subsidios por desempleo, y de aclarar el marco competencial de la potestad sancionadora de los Servicios Públicos de Empleo”.</w:t>
      </w:r>
    </w:p>
    <w:p w:rsidR="0085709A" w:rsidRDefault="0085709A" w:rsidP="0085709A">
      <w:pPr>
        <w:pStyle w:val="TextoNormal"/>
      </w:pPr>
    </w:p>
    <w:p w:rsidR="0085709A" w:rsidRDefault="0085709A" w:rsidP="0085709A">
      <w:pPr>
        <w:pStyle w:val="TextoNormal"/>
      </w:pPr>
      <w:r>
        <w:t>Así pues, de la exposición de motivos de la norma así como de lo expuesto en el debate parlamentario y en el expediente de elaboración es posible inferir la existencia de una justificación de carácter general, la situación de crisis económica que obliga a la introducción de reformas orientadas al crecimiento económico y a la creación de empleo, y otra de carácter específico, en relación con las concretas medidas, que se centra en la necesidad de proporcionar lo que se califica como mayor seguridad jurídica a los perceptores de las prestaciones y subsidios por desempleo estableciendo que el mantenimiento de la inscripción como demandante de empleo es un requisito necesario para percibir y conservar el derecho a la correspondiente prestación. Cambio que, en el expediente de elaboración de esta norma, se relaciona también con la necesidad de aclarar el marco competencial del ejercicio de la potestad sancionadora en la materia.</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Para valorar la concurrencia de la situación de extraordinaria y urgente necesidad que, en los términos que se han expuesto, ha sido apreciada por el Gobierno, debemos partir de que los artículos 7 y 8.5 del Real Decreto-ley 11/2013 han modificado respectivamente los artículos 27.4 de la Ley de empleo y 48.5 de de la Ley sobre infracciones y sanciones en el orden social, atribuyendo al SEPE la competencia para sancionar las infracciones tipificadas en el nuevo apartado 4, letras a) y b), del artículo 24 de la Ley sobre infracciones y sanciones en el orden social, en la redacción dada por el artículo 8.2 del Real Decreto-ley 11/2013; tales infracciones consisten, por un lado, en no facilitar la información necesaria a la entidad gestora de las prestaciones para garantizar la recepción de las notificaciones y comunicaciones [letra a)]; y, por otro, en no cumplir el requisito, exigido para conservar la percepción de la prestación, de estar inscrito como demandante de empleo, en los términos previstos en los artículos 209.1 y 215.4 del texto refundido de la Ley general de la Seguridad Social [letra b)]. Así, el art. 7, primero de los preceptos impugnados, modifica el art. 27.4 de la Ley de empleo a fin de establecer la obligación de los beneficiarios de las prestaciones por desempleo de nivel contributivo o asistencial de mantenerse inscritos como demandantes de empleo, asignando la verificación de su cumplimiento a los servicios públicos de empleo competentes, que, en caso de incumplimiento, deberán comunicarlo al SEPE a fin de que incoe el correspondiente expediente sancionador. En concordancia con lo anterior, el art. 8.5 supone, a partir de la nueva definición de las conductas infractoras en las que pueden </w:t>
      </w:r>
      <w:r>
        <w:lastRenderedPageBreak/>
        <w:t>incurrir los solicitantes o beneficiarios de las prestaciones por desempleo, la atribución al SEPE de la competencia sancionadora.</w:t>
      </w:r>
    </w:p>
    <w:p w:rsidR="0085709A" w:rsidRDefault="0085709A" w:rsidP="0085709A">
      <w:pPr>
        <w:pStyle w:val="TextoNormal"/>
      </w:pPr>
    </w:p>
    <w:p w:rsidR="0085709A" w:rsidRDefault="0085709A" w:rsidP="0085709A">
      <w:pPr>
        <w:pStyle w:val="TextoNormal"/>
      </w:pPr>
      <w:r>
        <w:t>La justificación general de la adopción de la norma, “la situación de crisis por la que está atravesando nuestro país [que] exige la adopción de reformas que contribuyan a la recuperación del crecimiento económico y la creación de empleo, en el plazo más corto posible”, adquiere pleno sentido en un contexto como el del conjunto del Real Decreto-ley 11/2013 que, en su heterogeneidad, comprende diversas materias que afectan a distintas iniciativas en otros campos diferentes de las modificaciones que se contienen en el ámbito de la protección social del trabajo a tiempo parcial, en el empleo y la protección por desempleo y en materia laboral pero esa justificación genérica, que habría que entender aplicable a la totalidad de las normas modificadas por el Real Decreto-ley 11/2013, no resulta suficiente a la hora de apreciar la concurrencia del presupuesto habilitante respecto de las dos normas impugnadas, pues nuestra doctrina ha exigido con reiteración (por todas, la STC 170/2012, de 4 de octubre, FJ 5) que también lo sea de los preceptos concretamente impugnados. En este sentido, tampoco el Gobierno ha explicitado la concreta relación existente entre la situación de crisis y la modificación de los tipos infractores y, como consecuencia de esa modificación, de la Administración competente para sancionar su comisión.</w:t>
      </w:r>
    </w:p>
    <w:p w:rsidR="0085709A" w:rsidRDefault="0085709A" w:rsidP="0085709A">
      <w:pPr>
        <w:pStyle w:val="TextoNormal"/>
      </w:pPr>
    </w:p>
    <w:p w:rsidR="0085709A" w:rsidRDefault="0085709A" w:rsidP="0085709A">
      <w:pPr>
        <w:pStyle w:val="TextoNormal"/>
      </w:pPr>
      <w:r>
        <w:t>De este modo, para valorar la concurrencia del presupuesto habilitante en la atribución de la competencia sancionadora al SEPE, consecuencia directa de la modificación de las obligaciones que han de cumplir los beneficiarios de prestaciones y subsidios por desempleo y del régimen de infracciones y sanciones al que se encuentran sometidos, resulta preciso acudir a la justificación de carácter específico en torno a ambos extremos. Así, la nueva definición de las conductas infractoras supone aparentemente un refuerzo de “la vinculación entre la protección por desempleo y la inserción laboral de las personas desempleadas”, y responde “al objetivo de otorgar una mayor seguridad jurídica a los empresarios y a los perceptores de las prestaciones y subsidios por desempleo”. Se trata de la misma posición sostenida por el Gobierno en el debate parlamentario sobre la convalidación del Real Decreto-ley por el Congreso de los Diputados. Respecto a la necesidad de implantar estas reformas utilizando la legislación de urgencia lo que se afirma es que “se exige que, con carácter urgente, se adopten las medidas necesarias para configurar la inscripción como demandante de empleo y el mantenimiento de la misma como un requisito necesario para percibir y conservar el derecho a la prestación”.</w:t>
      </w:r>
    </w:p>
    <w:p w:rsidR="0085709A" w:rsidRDefault="0085709A" w:rsidP="0085709A">
      <w:pPr>
        <w:pStyle w:val="TextoNormal"/>
      </w:pPr>
    </w:p>
    <w:p w:rsidR="0085709A" w:rsidRDefault="0085709A" w:rsidP="0085709A">
      <w:pPr>
        <w:pStyle w:val="TextoNormal"/>
      </w:pPr>
      <w:r>
        <w:t xml:space="preserve">Expuestas en tales términos las razones de la urgencia, es patente que, en este caso, el Gobierno, al que le corresponde acreditar la concurrencia del presupuesto habilitante del decreto-ley, no ha explicitado de modo suficiente, ni en la exposición de motivos, ni tampoco en el trámite de convalidación parlamentaria del Real Decreto-ley, una argumentación sobre la necesaria prontitud que requería la atribución al SEPE de la competencia para sancionar determinados tipos infractores imputables a los beneficiarios de las prestaciones y subsidios de desempleo, además de la ya expresada afirmación de que aquellas medidas fueran a producir el efecto de mejorar la seguridad jurídica en este ámbito. En definitiva, nada se ha alegado sobre la necesidad de una acción normativa inmediata como la llevada a cabo a través de los preceptos impugnados, en un plazo más breve que el requerido para la tramitación parlamentaria de las leyes, bien sea por el procedimiento ordinario o por el de urgencia, sin que tampoco en momento alguno se haya justificado, ni a ellos se haya aludido siquiera, cuáles podrían ser los perjuicios u obstáculos que para la consecución de </w:t>
      </w:r>
      <w:r>
        <w:lastRenderedPageBreak/>
        <w:t>los objetivos perseguidos se seguirían de la tramitación de la modificación normativa que llevan a cabo los preceptos recurridos por el procedimiento legislativo parlamentario. De hecho, en el presente caso, nada hay que indique que la regulación introducida trate de dar respuesta a una situación de naturaleza excepcional o que constituya una necesidad urgente, hasta el punto de que su efectividad no pueda demorarse durante el tiempo necesario para permitir su tramitación en sede legislativa, sin hacer quebrar la efectividad de la acción requerida, bien por el tiempo a invertir o por la necesidad de inmediatez de la medida.</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Puede advertirse, de otro lado, que las dos conductas a las que se refiere el nuevo art. 24.4 de la Ley sobre infracciones y sanciones en el orden social, cuya sanción corresponde ahora al SEPE en los términos del impugnado art. 8.5, </w:t>
      </w:r>
      <w:r w:rsidRPr="0085709A">
        <w:rPr>
          <w:i/>
        </w:rPr>
        <w:t>prima facie</w:t>
      </w:r>
      <w:r>
        <w:t>, parecen guardar similitud con alguna ya existente o aquella a la que han venido a sustituir, similitud que, de llegar a traducirse en una verdadera identidad normativa, podría indicar que la variación introducida se circunscribe a la administración competente para instruir el correspondiente procedimiento e imponer la sanción. Sin que proceda determinar en este momento el alcance material de esa semejanza, podemos constatar, sin embargo, que la aparente proximidad de las conductas típicas es contradictoria con la urgente necesidad de introducir mayor seguridad jurídica, que ha sido invocada en la exposición de motivos como presupuesto de hecho habilitante.</w:t>
      </w:r>
    </w:p>
    <w:p w:rsidR="0085709A" w:rsidRDefault="0085709A" w:rsidP="0085709A">
      <w:pPr>
        <w:pStyle w:val="TextoNormal"/>
      </w:pPr>
    </w:p>
    <w:p w:rsidR="0085709A" w:rsidRDefault="0085709A" w:rsidP="0085709A">
      <w:pPr>
        <w:pStyle w:val="TextoNormal"/>
      </w:pPr>
      <w:r>
        <w:t>En efecto, la infracción leve relativa al incumplimiento por los solicitantes o beneficiarios de prestaciones por desempleo de nivel contributivo o asistencial de la obligación de facilitar a los servicios públicos de empleo la información necesaria para garantizar la recepción de sus notificaciones y comunicaciones se mantiene inalterada en el art. 24.3 d) de la Ley sobre infracciones y sanciones en el orden social, habiéndose tipificado en el nuevo art. 24.4 a) de la Ley sobre infracciones y sanciones en el orden social idéntica infracción leve con la única modificación de introducir la referencia a la entidad gestora de las prestaciones de desempleo. La consecuencia es que sobre los mismos sujetos, los solicitantes o beneficiarios de prestaciones por desempleo de nivel contributivo o asistencial, pesa una misma obligación, suministrar la información necesaria para garantizar la recepción de sus notificaciones y comunicaciones, cuyo incumplimiento se tipifica como infracción leve en dos preceptos distintos, determinantes de la atribución de la competencia sancionadora a dos Administraciones diferentes, pues no otro es el efecto directo de la modificación introducida.</w:t>
      </w:r>
    </w:p>
    <w:p w:rsidR="0085709A" w:rsidRDefault="0085709A" w:rsidP="0085709A">
      <w:pPr>
        <w:pStyle w:val="TextoNormal"/>
      </w:pPr>
    </w:p>
    <w:p w:rsidR="0085709A" w:rsidRDefault="0085709A" w:rsidP="0085709A">
      <w:pPr>
        <w:pStyle w:val="TextoNormal"/>
      </w:pPr>
      <w:r>
        <w:t xml:space="preserve">Por otra parte, la conducta prevista en el nuevo art. 24.4 b) de la Ley sobre infracciones y sanciones en el orden social, consistente en no cumplir la obligación, exigida para la conservación de la percepción de la prestación, de mantener la inscripción como demandante de empleo ha sustituido a la infracción relativa a la no renovación de la demanda de empleo, tipificada antes en el segundo inciso de la redacción anterior del art. 24.3 a) de la Ley sobre infracciones y sanciones en el orden social, cuya sanción correspondía a las Comunidades Autónomas, conforme a la doctrina de la STC 104/2013, de 25 de abril. Sin embargo, parece responder al mismo comportamiento, pues el incumplimiento de la obligación de mantener la inscripción se materializa en la práctica con la no renovación de la demanda de empleo, lo que no parece diferir de la anterior obligación que pesaba sobre el beneficiario de la prestación, que era, precisamente, la de tener que renovar su demanda de empleo. Finalmente, la conclusión de una eventual identidad material entre las nuevas infracciones y aquellas sustituidas se acrecienta si se comprueba que, como las anteriores, se sancionan del </w:t>
      </w:r>
      <w:r>
        <w:lastRenderedPageBreak/>
        <w:t>mismo modo, esto es, con pérdida de la prestación durante determinados períodos de tiempo conforme a la escala del art. 47.1 a) de la Ley sobre infracciones y sanciones en el orden social.</w:t>
      </w:r>
    </w:p>
    <w:p w:rsidR="0085709A" w:rsidRDefault="0085709A" w:rsidP="0085709A">
      <w:pPr>
        <w:pStyle w:val="TextoNormal"/>
      </w:pPr>
    </w:p>
    <w:p w:rsidR="0085709A" w:rsidRDefault="0085709A" w:rsidP="0085709A">
      <w:pPr>
        <w:pStyle w:val="TextoNormal"/>
      </w:pPr>
      <w:r>
        <w:t>Todo lo anterior permite deducir que las razones justificativas de las modificaciones introducidas por los impugnados arts. 7 y 8.5 del Real Decreto-ley 11/2013 se encuentran expresadas, tanto en la exposición de motivos de la norma que, como ya se ha dicho, alude a “las variaciones introducidas en la Ley General de Seguridad Social” y muy especialmente al hecho de que la inscripción como demandante de empleo y el mantenimiento de la misma pasen a ser “requisitos necesarios para percibir y conservar el derecho a la prestación”, como en la memoria de análisis de impacto normativo aportada por el Abogado del Estado, en la que se precisa que la modificación no sólo persigue alcanzar un mayor grado de certidumbre y seguridad jurídica sino también “aclarar el marco competencial de la potestad sancionadora de los Servicios Públicos de Empleo”. Con todo, tal objetivo de iniciativa política podría haber sido encauzado a través del procedimiento legislativo y en sede parlamentaria, porque no se ha justificado que la utilización del Real Decreto-ley obedeciera en este caso a las razones de “extraordinaria y urgente necesidad” que exige el art. 86.1 CE.</w:t>
      </w:r>
    </w:p>
    <w:p w:rsidR="0085709A" w:rsidRDefault="0085709A" w:rsidP="0085709A">
      <w:pPr>
        <w:pStyle w:val="TextoNormal"/>
      </w:pPr>
    </w:p>
    <w:p w:rsidR="0085709A" w:rsidRDefault="0085709A" w:rsidP="0085709A">
      <w:pPr>
        <w:pStyle w:val="TextoNormal"/>
      </w:pPr>
      <w:r w:rsidRPr="0085709A">
        <w:rPr>
          <w:rStyle w:val="NumeroAFNegritaCaracter"/>
        </w:rPr>
        <w:t>7</w:t>
      </w:r>
      <w:r>
        <w:t>. La conclusión de todo lo expuesto es, pues, que no ha quedado explicitada la situación de extraordinaria y urgente necesidad a la que debían responder los arts. 7, en la redacción que da al último inciso del párrafo segundo del art. 27.4 de la Ley de empleo, y 8.5 del Real Decreto-ley 11/2013, en cuanto que da nueva redacción al art. 48.5 de la Ley sobre infracciones y sanciones en el orden social, atribuyendo al SEPE la competencia para sancionar las conductas previstas en el art. 24.4 de la Ley sobre infracciones y sanciones en el orden social, de manera que no concurre esta primera dimensión del presupuesto habilitante requerido por el art. 86.1 CE. Además, sin perjuicio de lo que ya se ha señalado sobre la titularidad de la potestad sancionadora que, en el sistema de infracciones por incumplimiento de prestaciones y subsidios de desempleo, pasa de las Comunidades Autónomas al Estado, el análisis comparativo de la regulación establecida en la anterior normativa y de la introducida por los preceptos impugnados del Real Decreto-ley 11/2013 de referencia, pone de manifiesto la ya comentada proximidad material entre unas y otras previsiones respecto a las conductas tipificadas, lo que refuerza aún más la idea de que aquellas modificaciones no obedezcan a una situación de urgente necesidad. Por lo demás, en ningún momento se ha justificado cuáles serían los perjuicios u obstáculos que, para la consecución de los objetivos perseguidos por la modificación operada, se hayan evitado con la utilización del Real Decreto-ley en lugar del procedimiento legislativo parlamentario.</w:t>
      </w:r>
    </w:p>
    <w:p w:rsidR="0085709A" w:rsidRDefault="0085709A" w:rsidP="0085709A">
      <w:pPr>
        <w:pStyle w:val="TextoNormal"/>
      </w:pPr>
    </w:p>
    <w:p w:rsidR="0085709A" w:rsidRDefault="0085709A" w:rsidP="0085709A">
      <w:pPr>
        <w:pStyle w:val="TextoNormal"/>
      </w:pPr>
      <w:r>
        <w:t>Por la concurrencia de tales circunstancias, resulta innecesario, incluso, profundizar en el análisis del segundo de los presupuestos exigidos por nuestra doctrina para reconocer la adecuación constitucional del uso por el Gobierno de esta modalidad legislativa, esto es el estudio de la eventual relación de conexión entre la situación de urgencia apreciada y su correspondencia con las medidas legislativas incorporadas a la norma.</w:t>
      </w:r>
    </w:p>
    <w:p w:rsidR="0085709A" w:rsidRDefault="0085709A" w:rsidP="0085709A">
      <w:pPr>
        <w:pStyle w:val="TextoNormal"/>
      </w:pPr>
    </w:p>
    <w:p w:rsidR="0085709A" w:rsidRDefault="0085709A" w:rsidP="0085709A">
      <w:pPr>
        <w:pStyle w:val="TextoNormal"/>
      </w:pPr>
      <w:r>
        <w:t>La así expresada inobservancia de los presupuestos habilitantes determina la declaración de inconstitucionalidad y nulidad de los preceptos impugnados por vulneración del art. 86.1 CE.</w:t>
      </w:r>
    </w:p>
    <w:p w:rsidR="0085709A" w:rsidRDefault="0085709A" w:rsidP="0085709A">
      <w:pPr>
        <w:pStyle w:val="TextoNormal"/>
      </w:pPr>
    </w:p>
    <w:p w:rsidR="0085709A" w:rsidRDefault="0085709A" w:rsidP="0085709A">
      <w:pPr>
        <w:pStyle w:val="TextoNormal"/>
      </w:pPr>
      <w:r>
        <w:lastRenderedPageBreak/>
        <w:t>En todo caso, nuestro pronunciamiento de inconstitucionalidad no afectará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SSTC 27/2012, de 1 de marzo, FJ 10; 86/2013, de 11 de abril, FJ 5, y 206/2013, de 5 de diciembre, FJ 3.</w:t>
      </w:r>
    </w:p>
    <w:p w:rsidR="0085709A" w:rsidRDefault="0085709A" w:rsidP="0085709A">
      <w:pPr>
        <w:pStyle w:val="TextoNormal"/>
      </w:pPr>
    </w:p>
    <w:p w:rsidR="0085709A" w:rsidRDefault="0085709A" w:rsidP="0085709A">
      <w:pPr>
        <w:pStyle w:val="TextoNormal"/>
      </w:pPr>
      <w:r w:rsidRPr="0085709A">
        <w:rPr>
          <w:rStyle w:val="NumeroAFNegritaCaracter"/>
        </w:rPr>
        <w:t>8</w:t>
      </w:r>
      <w:r>
        <w:t>. Finalmente, hay que concluir que la estimación del recurso por el primero de los motivos expuestos por la Generalitat de Cataluña hace innecesario el examen de las restantes alegaciones de la demanda (STC 31/2011, FJ 2), sin que las consideraciones antes realizadas sobre el contenido de los preceptos impugnados prejuzgue en ningún caso la resolución de la controversia competencial planteada por la parte recurrente, sobre la que no nos corresponde ahora pronunciarnos.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inconstitucionales y nulos los arts. 7 y 8.5 del Real Decreto-ley 11/2013, de 2 de agosto, para la protección de los trabajadores a tiempo parcial y otras medidas urgentes en el orden económico y social, en cuanto a la redacción que han dado al apartado 4, párrafo segundo, último inciso, del artículo 27 de la Ley 56/2003, de 16 de diciembre, de empleo y al apartado 5 del art. 48 del texto refundido de la Ley sobre infracciones y sanciones en el orden social, aprobado por el Real Decreto Legislativo 5/2000, de 4 de agosto.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1" w:name="SENTENCIA_2015_28"/>
      <w:r>
        <w:lastRenderedPageBreak/>
        <w:t>SENTENCIA 28/2015, de 19 de febrero de 2015</w:t>
      </w:r>
    </w:p>
    <w:bookmarkEnd w:id="31"/>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ECLI:ES:TC:2015:28</w:t>
      </w:r>
    </w:p>
    <w:p w:rsidR="0085709A" w:rsidRDefault="0085709A" w:rsidP="0085709A">
      <w:pPr>
        <w:pStyle w:val="TextoNormalCentrado"/>
      </w:pPr>
    </w:p>
    <w:p w:rsidR="0085709A" w:rsidRDefault="0085709A" w:rsidP="0085709A">
      <w:pPr>
        <w:pStyle w:val="SntesisDescriptiva"/>
      </w:pPr>
      <w:r>
        <w:t>Recurso de inconstitucionalidad 6412-2013. Promovido por el Gobierno de Extremadura en relación con los arts. 1; 2, apartados uno y dos; 3; disposición adicional única y disposición final tercera del Real Decreto-Ley 2/2013, de 1 de febrero, de medidas urgentes en el sistema eléctrico y en el sector financiero.</w:t>
      </w:r>
    </w:p>
    <w:p w:rsidR="0085709A" w:rsidRDefault="0085709A" w:rsidP="0085709A">
      <w:pPr>
        <w:pStyle w:val="SntesisDescriptiva"/>
      </w:pPr>
    </w:p>
    <w:p w:rsidR="0085709A" w:rsidRDefault="0085709A" w:rsidP="0085709A">
      <w:pPr>
        <w:pStyle w:val="SntesisAnaltica"/>
      </w:pPr>
      <w:r>
        <w:t>Límites a los decretos leyes: acreditación de la concurrencia del presupuesto habilitante para la regulación legal urgente del impuesto sobre el valor de la producción de la energía eléctrica (STC 183/2014).</w:t>
      </w:r>
    </w:p>
    <w:p w:rsidR="0085709A" w:rsidRDefault="0085709A" w:rsidP="0085709A">
      <w:pPr>
        <w:pStyle w:val="SntesisAnaltica"/>
      </w:pPr>
    </w:p>
    <w:p w:rsidR="0085709A" w:rsidRDefault="0085709A" w:rsidP="0085709A">
      <w:pPr>
        <w:pStyle w:val="Extracto"/>
      </w:pPr>
      <w:r>
        <w:t>1.</w:t>
      </w:r>
      <w:r>
        <w:tab/>
        <w:t>Se desestima la alegada vulneración de lo dispuesto en el art. 86.1 CE por el Real Decreto-ley impugnado, relativo al régimen económico del sector eléctrico, porque se ha cumplido por el Gobierno la exigencia de explicitar y razonar la existencia de una situación de extraordinaria y urgente necesidad, y porque las medidas propuestas, en cuanto persiguen un ajuste de los costes en el sector eléctrico, guardan la necesaria conexión entre la situación de extraordinaria y urgente necesidad y las medidas adoptadas para hacerle frente. [FJ 3].</w:t>
      </w:r>
    </w:p>
    <w:p w:rsidR="0085709A" w:rsidRDefault="0085709A" w:rsidP="0085709A">
      <w:pPr>
        <w:pStyle w:val="Extracto"/>
      </w:pPr>
    </w:p>
    <w:p w:rsidR="0085709A" w:rsidRDefault="0085709A" w:rsidP="0085709A">
      <w:pPr>
        <w:pStyle w:val="Extracto"/>
      </w:pPr>
      <w:r>
        <w:t>2.</w:t>
      </w:r>
      <w:r>
        <w:tab/>
        <w:t>Aplica doctrina sobre la pérdida sobrevenida de objeto en el ámbito del recurso de inconstitucionalidad como consecuencia de la pérdida de vigencia de los preceptos impugnados (SSTC 160/1987, 183/2014) [FFJJ 2, 3].</w:t>
      </w:r>
    </w:p>
    <w:p w:rsidR="0085709A" w:rsidRDefault="0085709A" w:rsidP="0085709A">
      <w:pPr>
        <w:pStyle w:val="Extracto"/>
      </w:pPr>
    </w:p>
    <w:p w:rsidR="0085709A" w:rsidRDefault="0085709A" w:rsidP="0085709A">
      <w:pPr>
        <w:pStyle w:val="Extracto"/>
      </w:pPr>
      <w:r>
        <w:t>3.</w:t>
      </w:r>
      <w:r>
        <w:tab/>
        <w:t>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necesariamente como insubsanable, pues, en otro caso, los límites del art. 86.1 CE sólo serían operativos en el tiempo que media entre el decreto-ley y su convalidación o su conversión en ley, esto es, en un tiempo el que este Tribunal nunca podrá materialmente pronunciarse (SSTC 155/2005, 96/2014)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6412-2013, promovido por el Gobierno de Extremadura en relación con los arts. 1; 2, apartados uno y dos; 3; disposición adicional única y disposición final tercera del Real Decreto-Ley 2/2013, de 1 de febrero, de medidas urgentes en el sistema eléctrico y en el sector financiero. Ha comparecido y formulado alegaciones el Abogado del Estado. Ha sido Ponente el Magistrado D.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4 de noviembre de 2013 tuvo entrada en el Registro General de este Tribunal escrito del Letrado de la Junta de Extremadura, por el que, en la representación que legalmente ostenta, promueve recurso de inconstitucionalidad contra los arts. 1; 2, apartados uno y dos; 3; disposición adicional única y disposición final tercera del Real Decreto-ley 2/2013, de 1 de febrero, de medidas urgentes en el sistema eléctrico y en el sector financiero. La demanda se fundamenta en los motivos que, sintéticamente, se exponen a continuación.</w:t>
      </w:r>
    </w:p>
    <w:p w:rsidR="0085709A" w:rsidRDefault="0085709A" w:rsidP="0085709A">
      <w:pPr>
        <w:pStyle w:val="TextoNormal"/>
      </w:pPr>
    </w:p>
    <w:p w:rsidR="0085709A" w:rsidRDefault="0085709A" w:rsidP="0085709A">
      <w:pPr>
        <w:pStyle w:val="TextoNormal"/>
      </w:pPr>
      <w:r>
        <w:t>Tras hacer referencia a la legitimación del Gobierno de Extremadura para la interposición del presente recurso, y al cumplimiento de los restantes requisitos procesales, el Letrado señala como primer motivo de inconstitucionalidad, la falta de presupuesto habilitante de la situación extraordinaria y urgente, para acudir a la figura jurídica del real decreto-ley. Afirma que el contenido del Real Decreto-ley responde al modelo de normas “ómnibus”, en cuanto atiende a ámbitos regulatorios distintos, como son la regulación del mercado de la energía eléctrica, cuya constitucionalidad se discute, y otras medidas dedicadas a la regulación del sector financiero. Respecto de las primeras se alega con carácter general que, desde la aparición de la crisis económica, se ha operado una constante modificación de las normas reguladoras del mercado eléctrico, y se ha acudido reiteradamente desde el año 2009, a normas de carácter urgente, sin que ninguna de ellas justifique esa legislación de extraordinaria.</w:t>
      </w:r>
    </w:p>
    <w:p w:rsidR="0085709A" w:rsidRDefault="0085709A" w:rsidP="0085709A">
      <w:pPr>
        <w:pStyle w:val="TextoNormal"/>
      </w:pPr>
    </w:p>
    <w:p w:rsidR="0085709A" w:rsidRDefault="0085709A" w:rsidP="0085709A">
      <w:pPr>
        <w:pStyle w:val="TextoNormal"/>
      </w:pPr>
      <w:r>
        <w:t>En el supuesto examinado, considera la demanda que las razones que se aducen para abordar la regulación por decreto-ley no describen una situación de extraordinaria y urgente necesidad, pues el desbordamiento de las previsiones relativas al coste que supone el cambio de referencia al índice de precios al consumo (IPC) subyacente y la modificación del régimen vigente de pool más prima no permiten, dado el profundo déficit del sistema eléctrico, equilibrar la evolución expansiva de las partidas de costes del citado sistema, que es la intención confesada al aprobarlo. A juicio del Letrado, la exposición de motivos de la norma adolece de una motivación insuficiente, que permita al Gobierno utilizar esta legislación de urgencia, conclusión que hace extensiva a la intervención del Ministro de Industria, Energía y Turismo en el trámite de convalidación de la norma.</w:t>
      </w:r>
    </w:p>
    <w:p w:rsidR="0085709A" w:rsidRDefault="0085709A" w:rsidP="0085709A">
      <w:pPr>
        <w:pStyle w:val="TextoNormal"/>
      </w:pPr>
    </w:p>
    <w:p w:rsidR="0085709A" w:rsidRDefault="0085709A" w:rsidP="0085709A">
      <w:pPr>
        <w:pStyle w:val="TextoNormal"/>
      </w:pPr>
      <w:r>
        <w:t>Se alega, en segundo lugar, la vulneración del art. 9.3 CE que recoge la prohibición de irretroactividad de disposiciones restrictivas de derechos individuales, la prohibición de interdicción de arbitrariedad de los poderes públicos y el principio de seguridad jurídica, en su configuración de “confianza legítima” en la actuación de los poderes públicos.</w:t>
      </w:r>
    </w:p>
    <w:p w:rsidR="0085709A" w:rsidRDefault="0085709A" w:rsidP="0085709A">
      <w:pPr>
        <w:pStyle w:val="TextoNormal"/>
      </w:pPr>
    </w:p>
    <w:p w:rsidR="0085709A" w:rsidRDefault="0085709A" w:rsidP="0085709A">
      <w:pPr>
        <w:pStyle w:val="TextoNormal"/>
      </w:pPr>
      <w:r>
        <w:t xml:space="preserve">Considera así la demanda que el Real Decreto-ley despliega sus efectos, no desde su fecha, sino desde el 1 de enero de 2013, en claro detrimento de los intereses individuales de los productores, que ven disminuidos sus ingresos como consecuencia de la aplicación de un IPC subyacente en lugar del IPC general en orden a la actualización de la tarifa regulada. En conexión con lo anterior, el párrafo primero del apartado 2 de la disposición adicional única traslada (salvo comunicación expresa en contrario manifestada en un plazo de quince días) el régimen retributivo del sistema a </w:t>
      </w:r>
      <w:r w:rsidRPr="0085709A">
        <w:rPr>
          <w:i/>
        </w:rPr>
        <w:t>pool</w:t>
      </w:r>
      <w:r>
        <w:t xml:space="preserve"> más prima de tarifa regulada, con lo que obvia el sistema primado vigente entre el 1 de enero y el 2 de febrero de 2013, aplicable a quienes habían optado por ese régimen de primas; y del mismo modo, el apartado primero de la disposición adicional única, sustituye, con carácter retroactivo, ese sistema de retribución primado por el de tarifa regulada, en perjuicio de los derechos económicos individuales de los productores de energía en régimen especial. Con una extensa cita de la doctrina, tanto de este Tribunal como del Tribunal Europeo de Derechos Humanos, se concluye que la reducción del déficit tarifario puede justificar decisiones diversas, pero no reúne la nota de cualificación absolutamente excepcional que sería necesaria para sacrificar el principio constitucional de seguridad jurídica que sustenta la irretroactividad, en aras del bien común. Es justamente el interés general lo que se ataca cuando se niega a quienes ya han producido la electricidad, el derecho a percibir la retribución correspondiente previamente pactada para ese período.</w:t>
      </w:r>
    </w:p>
    <w:p w:rsidR="0085709A" w:rsidRDefault="0085709A" w:rsidP="0085709A">
      <w:pPr>
        <w:pStyle w:val="TextoNormal"/>
      </w:pPr>
    </w:p>
    <w:p w:rsidR="0085709A" w:rsidRDefault="0085709A" w:rsidP="0085709A">
      <w:pPr>
        <w:pStyle w:val="TextoNormal"/>
      </w:pPr>
      <w:r>
        <w:t>En conexión con lo anterior, se alega la vulneración del principio de interdicción de arbitrariedad y de la seguridad jurídica y confianza legítima de los ciudadanos en el ordenamiento jurídico, que subyace a la totalidad de los preceptos impugnados, en cuanto la alteración de las reglas de juego económico que marcaban el sistema retributivo de la producción de energía en régimen especial es de tal calado que hace irreconocible el sistema originario, quebrando la legítima confianza que los inversores hubieran podido depositar en el ordenamiento jurídico español.</w:t>
      </w:r>
    </w:p>
    <w:p w:rsidR="0085709A" w:rsidRDefault="0085709A" w:rsidP="0085709A">
      <w:pPr>
        <w:pStyle w:val="TextoNormal"/>
      </w:pPr>
    </w:p>
    <w:p w:rsidR="0085709A" w:rsidRDefault="0085709A" w:rsidP="0085709A">
      <w:pPr>
        <w:pStyle w:val="TextoNormal"/>
      </w:pPr>
      <w:r>
        <w:t>Se alega, en tercer lugar, la vulneración de los arts. 103.1 y 152 CE, por falta de lealtad institucional en la actuación del Gobierno, de la que deriva un perjuicio claro para la economía de la Comunidad Autónoma de Extremadura, concretada en una reducción de ingresos e inversiones para las empresas eléctricas, con la consiguiente minoración en términos de actividad, empleo y recursos tributarios, obviando los mecanismos de participación y de resolución de conflictos de esta índole, previstos en la normativa estatal y autonómica.</w:t>
      </w:r>
    </w:p>
    <w:p w:rsidR="0085709A" w:rsidRDefault="0085709A" w:rsidP="0085709A">
      <w:pPr>
        <w:pStyle w:val="TextoNormal"/>
      </w:pPr>
    </w:p>
    <w:p w:rsidR="0085709A" w:rsidRDefault="0085709A" w:rsidP="0085709A">
      <w:pPr>
        <w:pStyle w:val="TextoNormal"/>
      </w:pPr>
      <w:r>
        <w:t xml:space="preserve">Considera asimismo la demanda, que se ha producido una vulneración del art. 96 en relación con el art. 9.3 CE, entendido como vulneración del superior rango de los tratados internacionales y, en consecuencia, del principio de jerarquía normativa. Se afirma al respecto que el Tratado de Lisboa establece el marco legal para fomentar la cooperación a largo plazo, en el ámbito de la energía entre los diferentes países firmantes del mismo, en la búsqueda de una garantía en las inversiones de los países adheridos al mismo, de forma que el sistema establecido en la norma impugnada ha suprimido </w:t>
      </w:r>
      <w:r w:rsidRPr="0085709A">
        <w:rPr>
          <w:i/>
        </w:rPr>
        <w:t>de facto</w:t>
      </w:r>
      <w:r>
        <w:t xml:space="preserve"> el sistema retributivo existente en el reino de España, alterando las condiciones de estabilidad del mismo y contraviniendo lo dispuesto en el citado Tratado.</w:t>
      </w:r>
    </w:p>
    <w:p w:rsidR="0085709A" w:rsidRDefault="0085709A" w:rsidP="0085709A">
      <w:pPr>
        <w:pStyle w:val="TextoNormal"/>
      </w:pPr>
    </w:p>
    <w:p w:rsidR="0085709A" w:rsidRDefault="0085709A" w:rsidP="0085709A">
      <w:pPr>
        <w:pStyle w:val="TextoNormal"/>
      </w:pPr>
      <w:r>
        <w:t xml:space="preserve">Se alega, además, la vulneración de los principios de legalidad y jerarquía normativa (arts. 9.1 y 9.3 CE) por parte de la disposición final tercera del Real Decreto-ley 2/2013, en </w:t>
      </w:r>
      <w:r>
        <w:lastRenderedPageBreak/>
        <w:t>cuanto permite la modificación de las previsiones contenidas en una norma con rango de ley (el Real Decreto-ley 2/2013) por otras ulteriores de rango inferior; ello implicaría, además, la vulneración del derecho a la tutela judicial efectiva (art. 24 CE), en cuanto la norma impugnada entra a ordenar materias que, en puridad, son propias de la ordenación reglamentaria, con la intención de sustraer una norma que, por su contenido, es claramente reglamentaria, del conocimiento de la justicia ordinaria, por lo que produce una vulneración del derecho a la tutela judicial efectiva de los particulares que ven directamente afectados sus intereses económicos por la ordenación establecida. Y, finalmente, la demanda alega la vulneración del derecho de propiedad (art. 33 CE) por el apartado 1 de la disposición adicional única, al tener un contenido claramente confiscatorio de unos derechos económicos efectivamente devengados a la fecha de entrada en vigor de la norma cuestionada.</w:t>
      </w:r>
    </w:p>
    <w:p w:rsidR="0085709A" w:rsidRDefault="0085709A" w:rsidP="0085709A">
      <w:pPr>
        <w:pStyle w:val="TextoNormal"/>
      </w:pPr>
    </w:p>
    <w:p w:rsidR="0085709A" w:rsidRDefault="0085709A" w:rsidP="0085709A">
      <w:pPr>
        <w:pStyle w:val="TextoNormal"/>
      </w:pPr>
      <w:r w:rsidRPr="0085709A">
        <w:rPr>
          <w:rStyle w:val="NumeroAFNegritaCaracter"/>
        </w:rPr>
        <w:t>2</w:t>
      </w:r>
      <w:r>
        <w:t>. El Pleno del Tribunal, por providencia de 19 de noviembre de 2013, admitió a trámite el presente recurso de inconstitucionalidad, acordando dar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pudieran personarse en el proceso y formular las alegaciones que estimaran pertinentes; y se acuerda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En fecha 3 de diciembre de 2013, el Abogado del Estado se persona en el recurso, en nombre del Gobierno y solicita una prórroga por el máximo legal del plazo concedido para formular alegaciones. El Pleno del Tribunal, en providencia de 4 de diciembre siguiente, acuerda la concesión de la prórroga solicitada.</w:t>
      </w:r>
    </w:p>
    <w:p w:rsidR="0085709A" w:rsidRDefault="0085709A" w:rsidP="0085709A">
      <w:pPr>
        <w:pStyle w:val="TextoNormal"/>
      </w:pPr>
    </w:p>
    <w:p w:rsidR="0085709A" w:rsidRDefault="0085709A" w:rsidP="0085709A">
      <w:pPr>
        <w:pStyle w:val="TextoNormal"/>
      </w:pPr>
      <w:r w:rsidRPr="0085709A">
        <w:rPr>
          <w:rStyle w:val="NumeroAFNegritaCaracter"/>
        </w:rPr>
        <w:t>4</w:t>
      </w:r>
      <w:r>
        <w:t>. La Mesa del Senado, por escrito de su Presidente de 4 de diciembre de 2013, acuerda dar por personada a la Cámara en este procedimiento y por ofrecida su colaboración a los efectos del art. 88.1 de la Ley Orgánica del Tribunal Constitucional. En idéntico sentido se pronuncia la Mesa del Congreso de los Diputados, en escrito de 11 de diciembre siguiente.</w:t>
      </w:r>
    </w:p>
    <w:p w:rsidR="0085709A" w:rsidRDefault="0085709A" w:rsidP="0085709A">
      <w:pPr>
        <w:pStyle w:val="TextoNormal"/>
      </w:pPr>
    </w:p>
    <w:p w:rsidR="0085709A" w:rsidRDefault="0085709A" w:rsidP="0085709A">
      <w:pPr>
        <w:pStyle w:val="TextoNormal"/>
      </w:pPr>
      <w:r w:rsidRPr="0085709A">
        <w:rPr>
          <w:rStyle w:val="NumeroAFNegritaCaracter"/>
        </w:rPr>
        <w:t>5</w:t>
      </w:r>
      <w:r>
        <w:t>. En fecha 30 de diciembre de 2013 tiene entrada en el Registro de este Tribunal el escrito de alegaciones que formula el Abogado del Estado, en la representación que legalmente ostenta, en el que solicita la desestimación íntegra del recurso formulado.</w:t>
      </w:r>
    </w:p>
    <w:p w:rsidR="0085709A" w:rsidRDefault="0085709A" w:rsidP="0085709A">
      <w:pPr>
        <w:pStyle w:val="TextoNormal"/>
      </w:pPr>
    </w:p>
    <w:p w:rsidR="0085709A" w:rsidRDefault="0085709A" w:rsidP="0085709A">
      <w:pPr>
        <w:pStyle w:val="TextoNormal"/>
      </w:pPr>
      <w:r>
        <w:t xml:space="preserve">Se refiere, en primer término, el Abogado del Estado a la doctrina constitucional relativa a la definición de la “extraordinaria y urgente necesidad”, cuya concurrencia en el presente supuesto, vendría determinada por el hecho de que el real decreto-ley es una norma reguladora de las actividades de producción y venta de energía eléctrica, es decir, de un aspecto relativo al rendimiento económico de las instalaciones, en definitiva, de la financiación del sistema eléctrico. Su razón de ser, según pone de manifiesto la exposición de motivos de la norma, ha sido la de acometer el problema de enormes dimensiones del déficit del sector eléctrico, lo que justifica, en términos de urgencia, el recurso al real decreto-ley, con la finalidad de intentar salir al paso de previsibles fuertes desajustes económicos estructurales en un determinado sector de producción y comercialización de energía. Las perspectivas desfavorables y preocupantes habían sido constatadas y advertidas ya en un estudio de la Comisión Nacional de Energía de 20 de diciembre de 2012, siendo el ejercicio presupuestario el vértice sobre el que gira tanto la situación real de la producción, comercialización y </w:t>
      </w:r>
      <w:r>
        <w:lastRenderedPageBreak/>
        <w:t>consumo, como los indicadores económicos, y habida cuenta de la dependencia de la actividad de este sector de la intervención administrativa en el ámbito jurídico de la prima a la producción especial, resultaba preciso arbitrar soluciones normativas antes, o todos lo más, en los albores del ejercicio siguiente, y tratar de que estuvieran vigentes de manera inmediata con el objetivo de evitar el inicio de la incidencia de la situación desfavorable en el ejercicio 2013. Solo así se valoraba ciertamente que la modificación normativa, que iba a tratar de garantizar la sostenibilidad del sistema eléctrico, pudiera tener realmente la eficacia que se pretendía.</w:t>
      </w:r>
    </w:p>
    <w:p w:rsidR="0085709A" w:rsidRDefault="0085709A" w:rsidP="0085709A">
      <w:pPr>
        <w:pStyle w:val="TextoNormal"/>
      </w:pPr>
    </w:p>
    <w:p w:rsidR="0085709A" w:rsidRDefault="0085709A" w:rsidP="0085709A">
      <w:pPr>
        <w:pStyle w:val="TextoNormal"/>
      </w:pPr>
      <w:r>
        <w:t>A juicio del Abogado del Estado, la norma impugnada no vulnera el principio de seguridad jurídica por el hecho de que sea consecuencia de una sucesión de normas previas, pues, más que una “dispersión normativa”, lo que se ha producido es una sucesión de varias normas concatenadas en el tiempo, al objeto de ir acometiendo los problemas que han ido surgiendo en el sector, y cada norma ha venido dejando clara, en su propio texto, su relación con la anterior, es decir, el sentido que conllevaba la reforma y las razones de su promulgación. La sola sucesión de normas reguladoras y su amplia pluralidad no presupone necesariamente la inconstitucionalidad de alguna de ellas, dado que la constitucionalidad de una norma se mide por su contenido material regulador, es decir, por el juicio de la norma en sí misma, y no porque forme parte de una pluralidad o sucesión de normas.</w:t>
      </w:r>
    </w:p>
    <w:p w:rsidR="0085709A" w:rsidRDefault="0085709A" w:rsidP="0085709A">
      <w:pPr>
        <w:pStyle w:val="TextoNormal"/>
      </w:pPr>
    </w:p>
    <w:p w:rsidR="0085709A" w:rsidRDefault="0085709A" w:rsidP="0085709A">
      <w:pPr>
        <w:pStyle w:val="TextoNormal"/>
      </w:pPr>
      <w:r>
        <w:t>La alegada falta de seguridad jurídica de la norma hay que analizarla pues en lo que a su contenido se refiere y en relación con la situación preexistente sobre la que actúa y proyecta su eficacia reguladora. En el caso de los preceptos impugnados, se afirma que éstos son los suficientemente claros en su contenido, y fruto del ejercicio de la potestad normativa del legislador de modificar el ordenamiento, esto es, se añade, de: introducir un sistema adaptado de actualización de retribuciones que modere en mayor medida la volatilidad de un IPC sin condiciones o integrado por todos sus elementos o factores; modificar aspectos puntuales (tablas 1 y 2 del art. 35 y 3 del art. 36 del Real Decreto 661/2007); disponer la facultad de opción clara por uno u otro sistema de retribución, sin poder revocar la decisión tomada, si se optara por el sistema de mercado; regular el régimen especial de las instalaciones acogidas a la opción de venta a criterios de mercado; y contemplar la previsión de modificar mediante norma reglamentaria aspectos puntuales o de mero complemento de la reforma sustancial.</w:t>
      </w:r>
    </w:p>
    <w:p w:rsidR="0085709A" w:rsidRDefault="0085709A" w:rsidP="0085709A">
      <w:pPr>
        <w:pStyle w:val="TextoNormal"/>
      </w:pPr>
    </w:p>
    <w:p w:rsidR="0085709A" w:rsidRDefault="0085709A" w:rsidP="0085709A">
      <w:pPr>
        <w:pStyle w:val="TextoNormal"/>
      </w:pPr>
      <w:r>
        <w:t xml:space="preserve">Señala asimismo el Abogado del Estado, que no se aprecia en los preceptos impugnados contravención del principio de irretroactividad reconocido en el art. 9.3 CE, afirmando que el principio de seguridad jurídica resulta compatible con la alterabilidad del ordenamiento, y la libertad de configuración del legislador en orden al desarrollo y evolución del sistema jurídico hasta los límites que puedan considerarse como adecuados a los principios del art. 9 CE. De conformidad con la doctrina constitucional, la prohibición de retroactividad que el art. 9.3 CE establece es tan sólo para las disposiciones sancionadoras no favorables o restrictivas de derechos individuales (STC 126/1987, FJ 9), y dicha expresión ha de referirse a derechos adquiridos, entendiendo por tales los que surgen de situaciones agotadas o relaciones consumadas bajo la anterior legislación, —no a las aún vivas o que se hallaren produciendo efectos jurídicos, como es lo que concurre en relación con la fuerza normativa transitoria del Real Decreto-ley 2/2013—, mientras la expresión “restricción de derechos individuales” del art. 9.3 CE ha de equipararse a la idea de sanción. Fuera de ello, nada </w:t>
      </w:r>
      <w:r>
        <w:lastRenderedPageBreak/>
        <w:t>impide constitucionalmente que el legislador dote a la ley del ámbito de retroactividad que considere oportuno.</w:t>
      </w:r>
    </w:p>
    <w:p w:rsidR="0085709A" w:rsidRDefault="0085709A" w:rsidP="0085709A">
      <w:pPr>
        <w:pStyle w:val="TextoNormal"/>
      </w:pPr>
    </w:p>
    <w:p w:rsidR="0085709A" w:rsidRDefault="0085709A" w:rsidP="0085709A">
      <w:pPr>
        <w:pStyle w:val="TextoNormal"/>
      </w:pPr>
      <w:r>
        <w:t>En el supuesto de la norma impugnada, la retroactividad que pudiera apreciarse lo sería sólo de lo que la doctrina denomina de grado mínimo o todo lo más, de grado medio, pues los efectos serán los futuros o los que se estén ya produciendo, pues la aplicación de la nueva ley se produce respecto de los efectos de las situaciones que se generen tras la entrada en vigor de la misma, algo admitido doctrinalmente por la jurisprudencia constitucional.</w:t>
      </w:r>
    </w:p>
    <w:p w:rsidR="0085709A" w:rsidRDefault="0085709A" w:rsidP="0085709A">
      <w:pPr>
        <w:pStyle w:val="TextoNormal"/>
      </w:pPr>
    </w:p>
    <w:p w:rsidR="0085709A" w:rsidRDefault="0085709A" w:rsidP="0085709A">
      <w:pPr>
        <w:pStyle w:val="TextoNormal"/>
      </w:pPr>
      <w:r>
        <w:t>El efecto jurídico de la aplicación del nuevo IPC, conforme a lo dispuesto en el art. 1 del Real Decreto-ley 2/2013, habrá de regir desde el 1 de enero de 2013 y para las adaptaciones de las retribuciones que legalmente tengan lugar de ahí al futuro. Es cierto que se aplica respecto de plantas o instalaciones ya en funcionamiento y que han venido adaptando sus retribuciones con arreglo al IPC, según se configuraba en la normativa anterior, pero esa variación, configurando un nuevo IPC base, es un efecto del cambio normativo, dentro del margen de configuración del legislador, por lo que no hay efecto retroactivo o modificativo de derechos adquiridos, no produciéndose vulneración del art. 9.3 CE.</w:t>
      </w:r>
    </w:p>
    <w:p w:rsidR="0085709A" w:rsidRDefault="0085709A" w:rsidP="0085709A">
      <w:pPr>
        <w:pStyle w:val="TextoNormal"/>
      </w:pPr>
    </w:p>
    <w:p w:rsidR="0085709A" w:rsidRDefault="0085709A" w:rsidP="0085709A">
      <w:pPr>
        <w:pStyle w:val="TextoNormal"/>
      </w:pPr>
      <w:r>
        <w:t>En cuanto al reproche de un supuesto efecto retroactivo, por haberse publicado la norma el 2 de febrero de 2013, retrotrayendo sus efectos de manera expresa al 1 de enero de ese mismo año, afirma el Abogado del Estado que no debe confundirse una situación de derechos adquiridos en ese mes inicial, con la situación de todo punto distinta, de posibles derechos devengados en ese período, pero aún no ingresados, no agotada la situación patrimonial. La norma impugnada modifica expectativas retributivas de futuro con arreglo a unas condiciones legales objetivas que pueden variar en la medida en que el ordenamiento pueda evolucionar, pero no altera pactos previos o decisiones singulares ya perfeccionadas.</w:t>
      </w:r>
    </w:p>
    <w:p w:rsidR="0085709A" w:rsidRDefault="0085709A" w:rsidP="0085709A">
      <w:pPr>
        <w:pStyle w:val="TextoNormal"/>
      </w:pPr>
    </w:p>
    <w:p w:rsidR="0085709A" w:rsidRDefault="0085709A" w:rsidP="0085709A">
      <w:pPr>
        <w:pStyle w:val="TextoNormal"/>
      </w:pPr>
      <w:r>
        <w:t>Afirma a continuación el representante estatal que no se produce una situación de sorpresa por una ley que afecta al sector económico, a la vista de las circunstancias que refleja la exposición de motivos del Real Decreto-ley sobre el desfase entre costes e ingresos, por lo que no puede decirse que no fuera previsible para los agentes operantes en el sector, precisamente aventajados conforme al sistema anterior y que conocen la situación y dificultades económicas o esfuerzos del presupuesto público para hacer frente a esas ayudas, por lo que no concurre una situación de inseguridad jurídica como efecto de la norma por supuesta imprevisibilidad.</w:t>
      </w:r>
    </w:p>
    <w:p w:rsidR="0085709A" w:rsidRDefault="0085709A" w:rsidP="0085709A">
      <w:pPr>
        <w:pStyle w:val="TextoNormal"/>
      </w:pPr>
    </w:p>
    <w:p w:rsidR="0085709A" w:rsidRDefault="0085709A" w:rsidP="0085709A">
      <w:pPr>
        <w:pStyle w:val="TextoNormal"/>
      </w:pPr>
      <w:r>
        <w:t>Se considera asimismo que los recurrentes no aportan un punto de conexión con el deber de lealtad institucional entre Administraciones públicas contemplado en los arts. 103 y 138 CE, y supuestamente infringidos por el Real Decreto-ley 2/2013, al tiempo que la alegada vulneración del art. 96 CE ni se ha producido ni sirve de premisa constitucional de valoración, pues la variación del ordenamiento jurídico ha tenido lugar en el ámbito del derecho interno y no por lo que al Tratado respecta y, en todo caso, como ha reiterado la jurisprudencia constitucional, los tratados internacionales no constituyen en sí mismos parámetro o premisa de comparación para valorar la constitucionalidad de las leyes (entre otras, SSTC 87/2000, FJ 5, y 142/1993, FJ 3.</w:t>
      </w:r>
    </w:p>
    <w:p w:rsidR="0085709A" w:rsidRDefault="0085709A" w:rsidP="0085709A">
      <w:pPr>
        <w:pStyle w:val="TextoNormal"/>
      </w:pPr>
    </w:p>
    <w:p w:rsidR="0085709A" w:rsidRDefault="0085709A" w:rsidP="0085709A">
      <w:pPr>
        <w:pStyle w:val="TextoNormal"/>
      </w:pPr>
      <w:r>
        <w:t xml:space="preserve">No se aprecia tampoco infracción del principio constitucional de legalidad y jerarquía normativa (arts. 9.1 y 3 CE), ni del principio de tutela judicial efectiva (arrt. 24 CE), dado </w:t>
      </w:r>
      <w:r>
        <w:lastRenderedPageBreak/>
        <w:t>que dicho principio protege una hipótesis inversa a la prevista en la presente norma; esto es, que no se regule mediante norma reglamentaria aquello para lo que exista una reserva de ley formal, lo que no ocurre en el presente caso, dado que la disposición final tercera de la norma está regida por la preocupación contraria: mantener el rango de las normas reglamentarias que resulten afectadas por el Real Decreto-ley, sin que se produzca la elevación de rango de la materia afectada, que podrá seguir modificándose mediante norma de su mismo rango reglamentario, e impugnarse con arreglo a los cauces procesales previstos conforme a su naturaleza reglamentaria. Finalmente, niega el Abogado del Estado la infracción del art. 33 CE, pues la alegación de la demanda en este punto viene a ser la misma ya formulada por el demandante en cuanto al alcance retroactivo incompatible con el art. 9.3 CE, y que ha sido contestada en el texto.</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17 de febrero de 2015 se acordó señalar para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presente resolución tiene por objeto resolver el recurso de inconstitucionalidad interpuesto por el Gobierno de la Junta de Extremadura en relación con los arts. 1; 2, apartados uno y dos; 3; disposición adicional única y disposición final tercera del Real Decreto-ley 2/2013, de 1 de febrero, de medidas urgentes en el sistema eléctrico y en el sector financiero.</w:t>
      </w:r>
    </w:p>
    <w:p w:rsidR="0085709A" w:rsidRDefault="0085709A" w:rsidP="0085709A">
      <w:pPr>
        <w:pStyle w:val="TextoNormal"/>
      </w:pPr>
    </w:p>
    <w:p w:rsidR="0085709A" w:rsidRDefault="0085709A" w:rsidP="0085709A">
      <w:pPr>
        <w:pStyle w:val="TextoNormal"/>
      </w:pPr>
      <w:r>
        <w:t>El escrito de interposición del recurso alega, en primer término, la vulneración del art. 86.1 CE, por falta de concurrencia del presupuesto de la “extraordinaria y urgente necesidad”, que habilita para la aprobación de los preceptos impugnados a través del instrumento normativo del decreto-ley, y, en segundo lugar, la vulneración del art. 9.3 CE (en su vertiente de prohibición de irretroactividad de disposiciones restrictivas de derechos individuales, y, en conexión con ello, la interdicción de arbitrariedad y la seguridad jurídica en su configuración como confianza legítima en la actuación de los poderes públicos); de los arts. 103.1 y 152 CE, por infracción de la lealtad institucional; del art. 96 en relación con el 9.3 CE, por infracción del principio de jerarquía normativa, entendido como vulneración del superior rango de los Tratados Internacionales; en el caso de la disposición final tercera, se aduce la vulneración de los principios de legalidad y jerarquía normativa (arts. 9.1 y 9.3 CE), y del derecho a la tutela judicial efectiva (art. 24 CE), en cuanto permite la modificación de una norma con rango de ley, por otras de inferior rango; y en relación al apartado 1 de la disposición adicional única, la vulneración del derecho de propiedad (art. 33 CE), al tener un contenido confiscatorio de derechos económicos efectivamente devengados a la fecha de entrada en vigor de la norma cuestionada.</w:t>
      </w:r>
    </w:p>
    <w:p w:rsidR="0085709A" w:rsidRDefault="0085709A" w:rsidP="0085709A">
      <w:pPr>
        <w:pStyle w:val="TextoNormal"/>
      </w:pPr>
    </w:p>
    <w:p w:rsidR="0085709A" w:rsidRDefault="0085709A" w:rsidP="0085709A">
      <w:pPr>
        <w:pStyle w:val="TextoNormal"/>
      </w:pPr>
      <w:r>
        <w:t xml:space="preserve">El Abogado del Estado, como más ampliamente se expone en los antecedentes, rechaza las vulneraciones denunciadas en el recurso. Así, considera que concurre en el presente supuesto el requisito de la extraordinaria y urgente necesidad, determinada por el hecho de que el Real Decreto-ley viene a regular un aspecto relativo al rendimiento económico de las instalaciones, que afecta a la financiación del sistema eléctrico y, con ello, a un problema de enormes dimensiones, como es el del déficit del sector eléctrico, lo que justifica la norma </w:t>
      </w:r>
      <w:r>
        <w:lastRenderedPageBreak/>
        <w:t>en términos de urgencia, y además, pretende adoptar medidas que tengan una vigencia inmediata, a fin de evitar el inicio de la incidencia de la situación desfavorable al comienzo del ejercicio económico de 2013, lo que otorga a la norma conexión de sentido con la urgencia apreciada. Rechaza la alegada vulneración del art. 9.3 CE, por considerar que la norma impugnada modifica expectativas retributivas de futuro con arreglo a condiciones legales objetivas, pero no altera pactos previos o decisiones singulares ya perfeccionadas; considera que los recurrentes no aportan un punto de conexión con el deber de lealtad institucional entre Administraciones públicas contemplado en los arts. 103 y 138 CE; que no se ha producido vulneración del art. 96 CE, dado que la variación del ordenamiento jurídico se ha llevado a cabo en el ámbito interno y, en todo caso, resulta de aplicación la consolidada jurisprudencia constitucional sobre el valor de los tratados internacionales; no aprecia infracción de lo dispuesto en los arts. 9.1 y 3 CE ni en el art. 24 CE, dado que la disposición final tercera trata de evitar, precisamente, que se produzca una elevación de rango de la materia afectada, que podrá seguir modificándose a través de normas reglamentarias; y niega la infracción del art. 33 CE, en cuanto la alegación formulada resulta coincidente con la relativa a la irretroactividad de la norma.</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sintéticamente las posiciones de las partes, debemos examinar, en primer término, la incidencia que las modificaciones normativas sobrevenidas hayan podido tener sobre la pervivencia del objeto del recurso o de alguno de sus motivos.</w:t>
      </w:r>
    </w:p>
    <w:p w:rsidR="0085709A" w:rsidRDefault="0085709A" w:rsidP="0085709A">
      <w:pPr>
        <w:pStyle w:val="TextoNormal"/>
      </w:pPr>
    </w:p>
    <w:p w:rsidR="0085709A" w:rsidRDefault="0085709A" w:rsidP="0085709A">
      <w:pPr>
        <w:pStyle w:val="TextoNormal"/>
      </w:pPr>
      <w:r>
        <w:t>Dicha cuestión ha de ser examinada a la luz de lo dispuesto en la STC 96/2014, de 12 de junio, cuya doctrina es posteriormente recogida en la STC 183/2014, de 6 de noviembre. Esta última Sentencia se pronuncia expresamente sobre la vigencia del Real Decreto-ley 2/2013, y en la misma se viene a declarar la pérdida sobrevenida de objeto de los preceptos del mismo allí impugnados (arts. 1; 2.1, 2, 5, 7, 8, 9 y 10; y disposición adicional única) como consecuencia de la pérdida de vigencia de la norma, a excepción de lo que respecta al fundamento impugnatorio basado en la vulneración del art. 86.1 CE.</w:t>
      </w:r>
    </w:p>
    <w:p w:rsidR="0085709A" w:rsidRDefault="0085709A" w:rsidP="0085709A">
      <w:pPr>
        <w:pStyle w:val="TextoNormal"/>
      </w:pPr>
    </w:p>
    <w:p w:rsidR="0085709A" w:rsidRDefault="0085709A" w:rsidP="0085709A">
      <w:pPr>
        <w:pStyle w:val="TextoNormal"/>
      </w:pPr>
      <w:r>
        <w:t>La doctrina general aplicable se sintetiza en el fundamento jurídico 2 de la citada STC 96/2014, conforme a la cual: “en el ámbito del recurso de inconstitucionalidad, recurso abstracto y orientado a la depuración objetiva del ordenamiento, la pérdida sobrevenida de la vigencia del precepto legal impugnado ´habrá de ser tenida en cuenta por este Tribunal para apreciar si la misma conlleva…la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 LOTC)´ (STC 199/1987, FJ 3). Por ello, carece de sentido, tratándose de un recurso de inconstitucionalidad, ´pronunciarse sobre normas que el mismo legislador ha expulsado ya de dicho ordenamiento…de modo total, sin ultractividad (SSTC 160/1987, FJ 6; 150/1990, FJ 8; 385/1993, FJ 2). Por idéntica razón, para excluir ´toda aplicación posterior de la disposición legal controvertida, privándola así de todo vestigio de vigencia que pudiera que pudiera conservar´, puede resultar útil —conveniente— su enjuiciamiento, aun cuando haya sido derogada (SSTC 160/1987, FJ 6; 385/1993, FJ 2).”</w:t>
      </w:r>
    </w:p>
    <w:p w:rsidR="0085709A" w:rsidRDefault="0085709A" w:rsidP="0085709A">
      <w:pPr>
        <w:pStyle w:val="TextoNormal"/>
      </w:pPr>
    </w:p>
    <w:p w:rsidR="0085709A" w:rsidRDefault="0085709A" w:rsidP="0085709A">
      <w:pPr>
        <w:pStyle w:val="TextoNormal"/>
      </w:pPr>
      <w:r>
        <w:t xml:space="preserve">De acuerdo con la citada doctrina, la STC 183/2014, FJ 2 viene a declarar la pérdida sobrevenida de objeto de la impugnación dirigida contra el Real Decreto-ley 2/2013, en cuanto a los aspectos sustantivos, señalando que en el mismo “se regula la actividad de </w:t>
      </w:r>
      <w:r>
        <w:lastRenderedPageBreak/>
        <w:t>producción de energía eléctrica en régimen especial, norma que ya no se encuentra vigente, pues, como se explica en la STC 96/2014, FJ 3 c), fue derogada por el Real Decreto-ley 9/2013, si bien mantuvo temporalmente su vigencia, en los términos de la disposición transitoria tercera del Real Decreto-ley 9/2013, hasta la aprobación de las disposiciones necesarias para la plena vigencia del ya mencionado nuevo régimen retributivo para las instalaciones de energía renovable, diseñado por el mencionado Real Decreto-ley 9/2013. Finalmente, la vigente Ley 24/2013 ha establecido un nuevo sistema de retribuciones, que da continuidad al que había sido regulado por el Real Decreto-ley 9/2013, derogando expresamente el sistema instaurado por la Ley 54/1997, de 27 de noviembre. Con la entrada en vigor de la Ley 24/2013 desaparece la distinción entre el régimen ordinario y el especial, y con él las disposiciones reguladoras del llamado régimen especial a que estaban sometidos los productores de las energías renovables. Y, como se expone en el ya mencionado fundamento jurídico 3 c) de la STC 96/2014, con el desarrollo reglamentario de la Ley 24/2013, llevado a cabo en el Real Decreto 413/2014, ha desaparecido cualquier aplicación transitoria del Real Decreto 661/2007”.</w:t>
      </w:r>
    </w:p>
    <w:p w:rsidR="0085709A" w:rsidRDefault="0085709A" w:rsidP="0085709A">
      <w:pPr>
        <w:pStyle w:val="TextoNormal"/>
      </w:pPr>
    </w:p>
    <w:p w:rsidR="0085709A" w:rsidRDefault="0085709A" w:rsidP="0085709A">
      <w:pPr>
        <w:pStyle w:val="TextoNormal"/>
      </w:pPr>
      <w:r>
        <w:t>La expuesta sucesión de normas nos permite concluir —de conformidad con la citada Sentencia— que el Real Decreto-ley 2/2013 no se encuentra en vigor en el momento de resolver el presente recurso de inconstitucionalidad, habiendo perdido por consiguiente su objeto la impugnación formulada contra los arts. 1; 2, apartados uno y dos; 3; disposición adicional única y disposición final tercera del mismo, en relación con los motivos de impugnación basados en la vulneración de los arts. 9; 24; 33; 96; 103.1 y 152 CE. En definitiva, solo pervive el objeto del presente recurso por lo que hace a la alegada vulneración del art. 86.1 CE.</w:t>
      </w:r>
    </w:p>
    <w:p w:rsidR="0085709A" w:rsidRDefault="0085709A" w:rsidP="0085709A">
      <w:pPr>
        <w:pStyle w:val="TextoNormal"/>
      </w:pPr>
    </w:p>
    <w:p w:rsidR="0085709A" w:rsidRDefault="0085709A" w:rsidP="0085709A">
      <w:pPr>
        <w:pStyle w:val="TextoNormal"/>
      </w:pPr>
      <w:r w:rsidRPr="0085709A">
        <w:rPr>
          <w:rStyle w:val="NumeroAFNegritaCaracter"/>
        </w:rPr>
        <w:t>3</w:t>
      </w:r>
      <w:r>
        <w:t>. Procede pues, a continuación examinar la tacha de inconstitucionalidad relativa a la vulneración del art. 86.1 CE, que se imputa a los preceptos impugnados del Real Decreto-ley 2/2013, y que se fundamenta en la no concurrencia del presupuesto habilitante de la “extraordinaria y urgente necesidad”, contemplado en el citado precepto constitucional.</w:t>
      </w:r>
    </w:p>
    <w:p w:rsidR="0085709A" w:rsidRDefault="0085709A" w:rsidP="0085709A">
      <w:pPr>
        <w:pStyle w:val="TextoNormal"/>
      </w:pPr>
    </w:p>
    <w:p w:rsidR="0085709A" w:rsidRDefault="0085709A" w:rsidP="0085709A">
      <w:pPr>
        <w:pStyle w:val="TextoNormal"/>
      </w:pPr>
      <w:r>
        <w:t>A este respecto, y como ya vino a sintetizar la STC 96/2014, “la doctrina general sobre la pérdida de objeto en el ámbito del recurso de inconstitucionalidad debe completarse con la que se refiere en particular a los recursos que se dirigen contra la legislación de urgencia dictada por el Gobierno al amparo del art. 86.1 CE, dada su transcendencia para el presente caso” y, sobre dicho particular “hemos afirmado…que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necesariamente como insubsanable, pues, en otro caso, los límites del art. 86.1 CE sólo serían operativos en el tiempo que media entre el decreto-ley y su convalidación o su conversión en ley, esto es, en un tiempo el que este Tribunal nunca podrá materialmente pronunciarse (STC 155/2005, de 9 de junio, FJ 2)”.</w:t>
      </w:r>
    </w:p>
    <w:p w:rsidR="0085709A" w:rsidRDefault="0085709A" w:rsidP="0085709A">
      <w:pPr>
        <w:pStyle w:val="TextoNormal"/>
      </w:pPr>
    </w:p>
    <w:p w:rsidR="0085709A" w:rsidRDefault="0085709A" w:rsidP="0085709A">
      <w:pPr>
        <w:pStyle w:val="TextoNormal"/>
      </w:pPr>
      <w:r>
        <w:t xml:space="preserve">En aplicación de la anterior doctrina, la alegada vulneración del art. 86.1 por el Real Decreto-ley 2/2013 fue objeto de examen en el fundamento jurídico 6 de la Sentencia 183/2014, que vino a desestimar el recurso en este punto, afirmando que: “la situación a la que debían hacer frente las medidas aquí impugnadas era la desviación de los costes del </w:t>
      </w:r>
      <w:r>
        <w:lastRenderedPageBreak/>
        <w:t>sistema eléctrico provocado por diversos factores (sobrecoste de las primas del régimen especial, consignación de costes de los sistemas eléctricos extrapeninsulares e incremento del déficit por el descenso en la demanda de electricidad) que aparecen explicitados en la exposición de motivos o en el debate parlamentario de convalidación. Factores cuya conjunción había llevado a incurrir en un déficit mayor al previsto inicialmente por el Gobierno. Así, podemos considerar que, sin entrar en el juicio político que este Tribunal tiene vedado, se ha cumplido por el Gobierno la exigencia de explicitar y razonar la existencia de una situación de extraordinaria y urgente necesidad, sin que pueda admitirse la genérica alegación [de la Letrada de la Junta de Andalucía] respecto a que la existencia del déficit tarifario del sector eléctrico no podía, al no ser un hecho nuevo, fundamentar el dictado de los preceptos cuestionados del Real Decreto-ley 2/2013 … Por lo demás … es evidente que las medidas propuestas, en cuanto persiguen un ajuste de los costes en el sector eléctrico, guardan la necesaria conexión entre la situación de extraordinaria y urgente necesidad y las medidas adoptadas para hacerle frente”.</w:t>
      </w:r>
    </w:p>
    <w:p w:rsidR="0085709A" w:rsidRDefault="0085709A" w:rsidP="0085709A">
      <w:pPr>
        <w:pStyle w:val="TextoNormal"/>
      </w:pPr>
    </w:p>
    <w:p w:rsidR="0085709A" w:rsidRDefault="0085709A" w:rsidP="0085709A">
      <w:pPr>
        <w:pStyle w:val="TextoNormal"/>
      </w:pPr>
      <w:r>
        <w:t>De acuerdo con este pronunciamiento, procede desestimar la alegada vulneración de lo dispuesto en el art. 86.1 CE por el Real Decreto-ley 2/2013.</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Declarar la pérdida sobrevenida de objeto del recurso, en lo que se refiere a la vulneración de los arts. 9; 24; 33; 96; 103.1 y 152 CE, por los arts. 1; 2, apartados uno y dos; 3; disposición adicional única y disposición final tercera del Real Decreto-ley 2/2013, de 1 de febrero.</w:t>
      </w:r>
    </w:p>
    <w:p w:rsidR="0085709A" w:rsidRDefault="0085709A" w:rsidP="0085709A">
      <w:pPr>
        <w:pStyle w:val="TextoNormal"/>
      </w:pPr>
    </w:p>
    <w:p w:rsidR="0085709A" w:rsidRDefault="0085709A" w:rsidP="0085709A">
      <w:pPr>
        <w:pStyle w:val="TextoNormal"/>
      </w:pPr>
      <w:r>
        <w:t>2º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2" w:name="SENTENCIA_2015_29"/>
      <w:r>
        <w:lastRenderedPageBreak/>
        <w:t>SENTENCIA 29/2015, de 19 de febrero de 2015</w:t>
      </w:r>
    </w:p>
    <w:bookmarkEnd w:id="32"/>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ECLI:ES:TC:2015:29</w:t>
      </w:r>
    </w:p>
    <w:p w:rsidR="0085709A" w:rsidRDefault="0085709A" w:rsidP="0085709A">
      <w:pPr>
        <w:pStyle w:val="TextoNormalCentrado"/>
      </w:pPr>
    </w:p>
    <w:p w:rsidR="0085709A" w:rsidRDefault="0085709A" w:rsidP="0085709A">
      <w:pPr>
        <w:pStyle w:val="SntesisDescriptiva"/>
      </w:pPr>
      <w:r>
        <w:t>Cuestión de inconstitucionalidad 1772-2014. Planteada por el Juzgado de lo Contencioso-Administrativo número 2 de Santa Cruz de Tenerife, en relación con el artículo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w:t>
      </w:r>
    </w:p>
    <w:p w:rsidR="0085709A" w:rsidRDefault="0085709A" w:rsidP="0085709A">
      <w:pPr>
        <w:pStyle w:val="SntesisDescriptiva"/>
      </w:pPr>
    </w:p>
    <w:p w:rsidR="0085709A" w:rsidRDefault="0085709A" w:rsidP="0085709A">
      <w:pPr>
        <w:pStyle w:val="SntesisAnaltica"/>
      </w:pPr>
      <w:r>
        <w:t>Límites a los decretos leyes: falta de acreditación del presupuesto habilitante para aprobar con carácter urgente el precepto legal que enumera los supuestos en los que se requiere acto expreso de conformidad, aprobación o autorización administrativa en materia de ordenación territorial y urbanística.</w:t>
      </w:r>
    </w:p>
    <w:p w:rsidR="0085709A" w:rsidRDefault="0085709A" w:rsidP="0085709A">
      <w:pPr>
        <w:pStyle w:val="SntesisAnaltica"/>
      </w:pPr>
    </w:p>
    <w:p w:rsidR="0085709A" w:rsidRDefault="0085709A" w:rsidP="0085709A">
      <w:pPr>
        <w:pStyle w:val="Extracto"/>
      </w:pPr>
      <w:r>
        <w:t>1.</w:t>
      </w:r>
      <w:r>
        <w:tab/>
        <w:t>El Gobierno no ha aportado una justificación suficiente que permita apreciar la existencia del presupuesto habilitante de la extraordinaria y urgente necesidad requerido por el art. 86.1 CE para el uso de la legislación de urgencia en relación con un precepto del Real Decreto-ley impugnado, que introduce la regla del silencio administrativo negativo para la obtención de determinadas facultades urbanísticas, lo que determina la declaración de inconstitucionalidad y nulidad de dicho artículo por vulneración del citado precepto constitucional [FJ 6].</w:t>
      </w:r>
    </w:p>
    <w:p w:rsidR="0085709A" w:rsidRDefault="0085709A" w:rsidP="0085709A">
      <w:pPr>
        <w:pStyle w:val="Extracto"/>
      </w:pPr>
    </w:p>
    <w:p w:rsidR="0085709A" w:rsidRDefault="0085709A" w:rsidP="0085709A">
      <w:pPr>
        <w:pStyle w:val="Extracto"/>
      </w:pPr>
      <w:r>
        <w:t>2.</w:t>
      </w:r>
      <w:r>
        <w:tab/>
        <w:t>Ni el número de afectados, ni la envergadura de los intereses económicos ni la naturaleza de los derechos comprometidos constituyen presupuesto habilitante que exige el art. 86.1 CE, sin que la necesidad de impedir que puedan adquirirse por silencio facultades urbanísticas en determinados supuestos pueda ser calificada de extraordinaria y de urgente porque estaba ya sustancialmente cubierta por la regulación entonces existente [FJ 5].</w:t>
      </w:r>
    </w:p>
    <w:p w:rsidR="0085709A" w:rsidRDefault="0085709A" w:rsidP="0085709A">
      <w:pPr>
        <w:pStyle w:val="Extracto"/>
      </w:pPr>
    </w:p>
    <w:p w:rsidR="0085709A" w:rsidRDefault="0085709A" w:rsidP="0085709A">
      <w:pPr>
        <w:pStyle w:val="Extracto"/>
      </w:pPr>
      <w:r>
        <w:t>3.</w:t>
      </w:r>
      <w:r>
        <w:tab/>
        <w:t>La idea de garantizar la seguridad jurídica a través de la regla del silencio administrativo negativo que establece el precepto cuestionado, en relación con determinados procedimientos urbanísticos, es claramente insuficiente y no supera el canon de control constitucional sobre la concurrencia del presupuesto de hecho habilitante del art. 86.1 CE [FJ 5].</w:t>
      </w:r>
    </w:p>
    <w:p w:rsidR="0085709A" w:rsidRDefault="0085709A" w:rsidP="0085709A">
      <w:pPr>
        <w:pStyle w:val="Extracto"/>
      </w:pPr>
    </w:p>
    <w:p w:rsidR="0085709A" w:rsidRDefault="0085709A" w:rsidP="0085709A">
      <w:pPr>
        <w:pStyle w:val="Extracto"/>
      </w:pPr>
      <w:r>
        <w:t>4.</w:t>
      </w:r>
      <w:r>
        <w:tab/>
        <w:t>No cabe convertir sin más la seguridad jurídica o la certeza sobre la regulación jurídica aplicable en un fin en sí mismo que deba ser alcanzado mediante cualquier fórmula jurídica y, por tanto, llegado el caso, mediante una acción normativa de urgencia, pues si así fuera, prácticamente todas las normas del ordenamiento, salvo las notoriamente incontrovertibles, justificarían su aclaración o modificación por vía de decreto-ley (ATC 72/2008) [FJ 5].</w:t>
      </w:r>
    </w:p>
    <w:p w:rsidR="0085709A" w:rsidRDefault="0085709A" w:rsidP="0085709A">
      <w:pPr>
        <w:pStyle w:val="Extracto"/>
      </w:pPr>
    </w:p>
    <w:p w:rsidR="0085709A" w:rsidRDefault="0085709A" w:rsidP="0085709A">
      <w:pPr>
        <w:pStyle w:val="Extracto"/>
      </w:pPr>
      <w:r>
        <w:t>5.</w:t>
      </w:r>
      <w:r>
        <w:tab/>
        <w:t xml:space="preserve">Doctrina sobre el examen de la concurrencia de la situación de extraordinaria y urgente necesidad y la conexión de sentido entre dicha situación y las medidas </w:t>
      </w:r>
      <w:r>
        <w:lastRenderedPageBreak/>
        <w:t>adoptadas como presupuesto habilitante para la actuación mediante Decretos-leyes (SSTC 68/2007, 183/2014) [FJ 3].</w:t>
      </w:r>
    </w:p>
    <w:p w:rsidR="0085709A" w:rsidRDefault="0085709A" w:rsidP="0085709A">
      <w:pPr>
        <w:pStyle w:val="Extracto"/>
      </w:pPr>
    </w:p>
    <w:p w:rsidR="0085709A" w:rsidRDefault="0085709A" w:rsidP="0085709A">
      <w:pPr>
        <w:pStyle w:val="Extracto"/>
      </w:pPr>
      <w:r>
        <w:t>6.</w:t>
      </w:r>
      <w:r>
        <w:tab/>
        <w:t>A diferencia de lo que sucede en los recursos de inconstitucionalidad, en los que, por regla general y salvo que se trate de una controversia competencial, la derogación de la norma legal impugnada supone la pérdida de objeto del proceso,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131/2010, 58/2013)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1772-2014, planteada por el Juzgado de lo Contencioso-administrativo número 2 de Santa Cruz de Tenerife, en relación con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 por posible vulneración de los arts. 86.1 y 148.1.3ª CE. Han formulado alegaciones el Abogado del Estado y el Fiscal General del Estado, y se han personado el Congreso de los Diputados y el Senado.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24 de marzo de 2014 tuvo entrada en el Registro General de este Tribunal un escrito del Juzgado de lo Contencioso-Administrativo núm. 2 de Santa Cruz de Tenerife al que se acompaña, junto con el testimonio del procedimiento ordinario núm. 107-2013, Auto del citado órgano judicial, de 3 de marzo de 2014, en el que se acuerda plantear cuestión de inconstitucionalidad en relación con el art. 23 del Real Decreto-ley 8/2011, de 1 de julio, por posible vulneración de los arts. 86.1 y 148.1.3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Los antecedentes de la presente cuestión son los siguientes:</w:t>
      </w:r>
    </w:p>
    <w:p w:rsidR="0085709A" w:rsidRDefault="0085709A" w:rsidP="0085709A">
      <w:pPr>
        <w:pStyle w:val="TextoNormal"/>
      </w:pPr>
    </w:p>
    <w:p w:rsidR="0085709A" w:rsidRDefault="0085709A" w:rsidP="0085709A">
      <w:pPr>
        <w:pStyle w:val="TextoNormal"/>
      </w:pPr>
      <w:r>
        <w:t>a) El Sr. P. S. presentó ante el Ayuntamiento de Icod de Los Vinos (Santa Cruz de Tenerife) el oportuno proyecto para la construcción de un depósito para almacenamiento de agua de riego y un cuarto de máquinas en terrenos de su propiedad, calificados como suelo rústico de protección de valores económicos agropecuarios.</w:t>
      </w:r>
    </w:p>
    <w:p w:rsidR="0085709A" w:rsidRDefault="0085709A" w:rsidP="0085709A">
      <w:pPr>
        <w:pStyle w:val="TextoNormal"/>
      </w:pPr>
    </w:p>
    <w:p w:rsidR="0085709A" w:rsidRDefault="0085709A" w:rsidP="0085709A">
      <w:pPr>
        <w:pStyle w:val="TextoNormal"/>
      </w:pPr>
      <w:r>
        <w:t>b) Con carácter previo a resolver sobre la licencia de obras interesada, el ayuntamiento acordó, de conformidad con lo dispuesto en el art. 62 del texto refundido de la Ley de ordenación del territorio de Canarias y de la Ley de espacios naturales de Canarias, aprobado por Decreto Legislativo 1/2000, de 8 de mayo, remitir el expediente al Cabildo Insular de Tenerife para su calificación territorial, que lo recibió el 17 de julio de 2012. Mediante resolución de 18 de octubre de 2012, notificada al solicitante el siguiente 31 de octubre, el Cabildo denegó la calificación interesada.</w:t>
      </w:r>
    </w:p>
    <w:p w:rsidR="0085709A" w:rsidRDefault="0085709A" w:rsidP="0085709A">
      <w:pPr>
        <w:pStyle w:val="TextoNormal"/>
      </w:pPr>
    </w:p>
    <w:p w:rsidR="0085709A" w:rsidRDefault="0085709A" w:rsidP="0085709A">
      <w:pPr>
        <w:pStyle w:val="TextoNormal"/>
      </w:pPr>
      <w:r>
        <w:t xml:space="preserve">c) El solicitante interpuso contra esta resolución recurso de alzada. Entre otros motivos de oposición alegó que, con arreglo a la regla del silencio positivo prevista en el por entonces art. 62.2 c) del Decreto Legislativo 1/2000 [hoy art. 62 </w:t>
      </w:r>
      <w:r w:rsidRPr="0085709A">
        <w:rPr>
          <w:i/>
        </w:rPr>
        <w:t>quinques</w:t>
      </w:r>
      <w:r>
        <w:t xml:space="preserve"> 2 c)], para los supuestos de transcurso del plazo máximo de tres meses para resolver, contados a partir de la entrada de la documentación en el registro del correspondiente Cabildo Insular, al tiempo del dictado de la resolución recurrida ya había obtenido por silencio la correspondiente calificación territorial.</w:t>
      </w:r>
    </w:p>
    <w:p w:rsidR="0085709A" w:rsidRDefault="0085709A" w:rsidP="0085709A">
      <w:pPr>
        <w:pStyle w:val="TextoNormal"/>
      </w:pPr>
    </w:p>
    <w:p w:rsidR="0085709A" w:rsidRDefault="0085709A" w:rsidP="0085709A">
      <w:pPr>
        <w:pStyle w:val="TextoNormal"/>
      </w:pPr>
      <w:r>
        <w:t>d) Por resolución de 17 de diciembre de 2012, notificada el 11 de enero de 2013, el Cabildo de Tenerife desestimó el recurso. Frente a la citada alegación, razonó que la citada regla autonómica en materia de silencio había sido corregida por el art. 23 del Real Decreto-ley 8/2011, de 1 de julio, que es un precepto de carácter básico de conformidad con la disposición final primera, 1 d), y que sienta precisamente la regla contraria. El citado art. 23 establece en su primer apartado que los actos de transformación, construcción, edificación y uso del suelo y el subsuelo que enumera seguidamente, y entre los que se incluye las obras de construcción, “requerirán del acto expreso de conformidad, aprobación o autorización administrativa que sea preceptivo según la legislación de ordenación territorial y urbanística”. Para apreciar a continuación en su apartado 2 que “el vencimiento del plazo máximo sin haberse notificado la resolución expresa legitimará al interesado que hubiere deducido la solicitud para entenderla desestimada por silencio administrativo”.</w:t>
      </w:r>
    </w:p>
    <w:p w:rsidR="0085709A" w:rsidRDefault="0085709A" w:rsidP="0085709A">
      <w:pPr>
        <w:pStyle w:val="TextoNormal"/>
      </w:pPr>
    </w:p>
    <w:p w:rsidR="0085709A" w:rsidRDefault="0085709A" w:rsidP="0085709A">
      <w:pPr>
        <w:pStyle w:val="TextoNormal"/>
      </w:pPr>
      <w:r>
        <w:t>e) Contra esta última resolución, el Sr. P. S. interpuso, con fecha de 26 de febrero de 2013, recurso contencioso-administrativo, que fue turnado al Juzgado de lo Contencioso-Administrativo núm. 2 de Santa Cruz de Tenerife con el núm. 107-2013. En su escrito de demanda, el recurrente insistió en la forzosa aplicación al caso de la regla del silencio positivo prevista en el Decreto Legislativo 1/2000, que ni podía ser desconocida por la Administración insular mediante una resolución tardía, salvo por la vía agravada de la revisión de oficio, ni tampoco entenderse derogada ni corregida por el art. 23 del Real Decreto-ley 8/2011, visto además que se trata de una norma general y, por tanto, que debe ceder ante la citada regla especial autonómica, precisamente en la materia afectada de calificación territorial.</w:t>
      </w:r>
    </w:p>
    <w:p w:rsidR="0085709A" w:rsidRDefault="0085709A" w:rsidP="0085709A">
      <w:pPr>
        <w:pStyle w:val="TextoNormal"/>
      </w:pPr>
    </w:p>
    <w:p w:rsidR="0085709A" w:rsidRDefault="0085709A" w:rsidP="0085709A">
      <w:pPr>
        <w:pStyle w:val="TextoNormal"/>
      </w:pPr>
      <w:r>
        <w:lastRenderedPageBreak/>
        <w:t>La Administración demandada se opuso al recurso contencioso razonando, entre otros motivos, sobre el sentido negativo del silencio en el caso considerado, de conformidad con el citado art. 23 del Real Decreto-ley 8/2011.</w:t>
      </w:r>
    </w:p>
    <w:p w:rsidR="0085709A" w:rsidRDefault="0085709A" w:rsidP="0085709A">
      <w:pPr>
        <w:pStyle w:val="TextoNormal"/>
      </w:pPr>
    </w:p>
    <w:p w:rsidR="0085709A" w:rsidRDefault="0085709A" w:rsidP="0085709A">
      <w:pPr>
        <w:pStyle w:val="TextoNormal"/>
      </w:pPr>
      <w:r>
        <w:t>f) Una vez conclusas las actuaciones y dentro del plazo para dictar sentencia, el Juzgado, por providencia de 19 de noviembre de 2013, acordó, de conformidad con lo previsto en el art. 35.2 de la Ley Orgánica del Tribunal Constitucional (LOTC), conceder a las partes y al Ministerio Fiscal un plazo común de diez días para que formularan alegaciones sobre la pertinencia de plantear cuestión de inconstitucionalidad respecto del art. 23 del Real Decreto-ley 8/2011, de 1 de julio, por posible vulneración de los arts. 86.1 y 148.1.3 CE. Resumidamente, por considerar que la modificación del régimen del silencio en materia de actos urbanísticos no encaja fácilmente en el concepto de extraordinaria y urgente necesidad que justifica el uso del decreto-ley, ni es materia tampoco de competencia estatal, sino de exclusiva titularidad autonómica, según confirma el art. 30.15 del Estatuto de Autonomía de Canarias.</w:t>
      </w:r>
    </w:p>
    <w:p w:rsidR="0085709A" w:rsidRDefault="0085709A" w:rsidP="0085709A">
      <w:pPr>
        <w:pStyle w:val="TextoNormal"/>
      </w:pPr>
    </w:p>
    <w:p w:rsidR="0085709A" w:rsidRDefault="0085709A" w:rsidP="0085709A">
      <w:pPr>
        <w:pStyle w:val="TextoNormal"/>
      </w:pPr>
      <w:r>
        <w:t xml:space="preserve">g) El recurrente en el proceso </w:t>
      </w:r>
      <w:r w:rsidRPr="0085709A">
        <w:rPr>
          <w:i/>
        </w:rPr>
        <w:t>a quo</w:t>
      </w:r>
      <w:r>
        <w:t xml:space="preserve"> manifestó su opinión favorable al planteamiento de la cuestión, anunciada por los mismos motivos formulados en la providencia del Juzgado. El Cabildo insular se opuso al planteamiento de la cuestión, observando que el citado artículo 23 no es determinante para la decisión de la controversia litigiosa toda vez que, al margen de su aplicación al caso objeto de enjuiciamiento, en el presente asunto existen otros motivos que justificarían igualmente la desestimación del recurso, por lo que el citado precepto considerado no resulta en rigor decisivo para el sentido del fallo, como exige el art. 35 LOTC. Entre esos otros motivos, están el plazo máximo para resolver a tener en cuenta, que no es el de tres meses defendido en el recurso, sino el de cinco meses previsto en el apartado 4 del art. 66 </w:t>
      </w:r>
      <w:r w:rsidRPr="0085709A">
        <w:rPr>
          <w:i/>
        </w:rPr>
        <w:t>quinques</w:t>
      </w:r>
      <w:r>
        <w:t xml:space="preserve"> del Decreto Legislativo 1/2000 para los proyectos que requieren información pública, como en su criterio resultaría aplicable; y la regla del art. 166 del Decreto Legislativo 1/2000 que impide la adquisición por silencio administrativo de facultades contrarias al ordenamiento jurídico, como también sería el caso de seguir el planteamiento defendido en el recurso.</w:t>
      </w:r>
    </w:p>
    <w:p w:rsidR="0085709A" w:rsidRDefault="0085709A" w:rsidP="0085709A">
      <w:pPr>
        <w:pStyle w:val="TextoNormal"/>
      </w:pPr>
    </w:p>
    <w:p w:rsidR="0085709A" w:rsidRDefault="0085709A" w:rsidP="0085709A">
      <w:pPr>
        <w:pStyle w:val="TextoNormal"/>
      </w:pPr>
      <w:r>
        <w:t>El Ministerio Fiscal, por su parte, manifestó su no oposición al planteamiento de la cuestión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En su Auto de planteamiento, el órgano judicial, después de justificar con detalle el cumplimiento de los requisitos del art. 35.2 LOTC, entiende, sirviéndose ampliamente de la doctrina constitucional que cita, que no hay ninguna razón que pruebe la existencia de meritorias razones de extraordinaria y urgente necesidad y, por tanto, que justifique constitucionalmente </w:t>
      </w:r>
      <w:r w:rsidRPr="0085709A">
        <w:rPr>
          <w:i/>
        </w:rPr>
        <w:t>ex</w:t>
      </w:r>
      <w:r>
        <w:t xml:space="preserve"> art. 86.1 CE el uso en el presente asunto de la figura del decreto-ley.</w:t>
      </w:r>
    </w:p>
    <w:p w:rsidR="0085709A" w:rsidRDefault="0085709A" w:rsidP="0085709A">
      <w:pPr>
        <w:pStyle w:val="TextoNormal"/>
      </w:pPr>
    </w:p>
    <w:p w:rsidR="0085709A" w:rsidRDefault="0085709A" w:rsidP="0085709A">
      <w:pPr>
        <w:pStyle w:val="TextoNormal"/>
      </w:pPr>
      <w:r>
        <w:t>Con independencia de la duda anterior, el Auto concluye, luego asimismo de un amplio razonamiento, que el artículo 23 a examen invadiría en todo caso la competencia autonómica exclusiva en materia de ordenación del territorio, urbanismo y vivienda reconocida en los arts. 148.1.3 CE y 30.15 del Estatuto de Autonomía de Canarias, sin que los títulos competenciales invocados por la disposición final primera del Real Decreto-ley del art. 149.1.1 y 18 CE le presten la imprescindible cobertura competencial, según han sido interpretados por la doctrina constitucional que cita.</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El Pleno de este Tribunal, por providencia de 6 de mayo de 2014, acordó admitir a trámite la cuestión planteada, reservar para sí su conocimiento y, de conformidad con el art. 37.3 LOTC, dar traslado de las actuaciones recibidas al Congreso de los Diputados y al Senado, por conducto de sus Presidentes, al Gobierno, por conducto del Ministerio de Justicia, y al Fiscal General del Estado, así como al Gobierno y al Parlamento Canario para que, en el plazo de quince días, pudieran personarse en el proceso y formular las alegaciones que estimaran convenientes. En esa misma providencia se acordó igualmente comunicar al órgano proponente la suspensión, con arreglo al art. 35.3 LOTC, de las actuaciones judiciales y publicar la admisión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en este Tribunal el 13 de mayo de 2014, el Presidente del Congreso de los Diputados comunicó el acuerdo de la Mesa de la Cámara de personarse en el presente proceso constitucional y dar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En data 27 de mayo de 2014, el Presidente del Senado comunicó a este Tribunal que la Mesa de la Cámara había acordado personarse y dar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Con fecha de 30 de mayo de 2014, el Abogado del Estado, en nombre del Gobierno de la Nación, presentó su escrito de alegaciones interesando la desestimación de la cuestión planteada. Luego de traer a colación alguna de las principales declaraciones de la doctrina constitucional sobre el presupuesto habilitante del art. 86.1 CE (“en caso de extraordinaria y urgente necesidad”), el representante del Estado subraya el contexto de crisis económica concurrente en el momento del dictado del Real Decreto-ley enjuiciado, especialmente visible en el mercado inmobiliario, recuerda la explicación que sobre el artículo 23 consta en la exposición de motivos del propio Decreto-ley, y alude al designio, anunciado en la Ley 2/2011, de economía sostenible, y plasmado en el art. 84 </w:t>
      </w:r>
      <w:r w:rsidRPr="0085709A">
        <w:rPr>
          <w:i/>
        </w:rPr>
        <w:t>bis</w:t>
      </w:r>
      <w:r>
        <w:t xml:space="preserve"> de la Ley reguladora de las bases de régimen local, de limitar la intervención administrativa en el desarrollo de actividades económicas y de reducir la aplicación de la regla del silencio negativo a los procedimientos en los que concurran imperiosas razones de interés general. Con estos presupuestos, el Abogado del Estado concluye, haciendo suyas las palabras de la exposición de motivos de la norma de urgencia a examen, que nada hay que reprochar efectivamente a la decisión del Gobierno que “ha procedido a evaluar la concurrencia de los motivos que justifican esa urgencia para la introducción de un precepto en el ordenamiento que dispon[e] ese efecto desestimatorio [del silencio] y que delimita sus efectos como medida coadyuvante a la reforma urgente de reordenación parcial del sector inmobiliario que el Real Decreto-ley en su conjunto efectúa”.</w:t>
      </w:r>
    </w:p>
    <w:p w:rsidR="0085709A" w:rsidRDefault="0085709A" w:rsidP="0085709A">
      <w:pPr>
        <w:pStyle w:val="TextoNormal"/>
      </w:pPr>
    </w:p>
    <w:p w:rsidR="0085709A" w:rsidRDefault="0085709A" w:rsidP="0085709A">
      <w:pPr>
        <w:pStyle w:val="TextoNormal"/>
      </w:pPr>
      <w:r>
        <w:t xml:space="preserve">Para el Abogado del Estado, el artículo 23 cuestionado no pugna tampoco con el orden constitucional de distribución de competencias. Después de recordar igualmente alguna de las principales declaraciones constitucionales acerca de los dos títulos competenciales invocados en el apartado d) de la disposición final primera del propio Real Decreto-ley (art. 149.1.1 y 18 CE), el representante del Estado concluye que la exigencia de “un tratamiento igual para los administrados (art. 149.1.1 CE) es una de las claves interpretativas para definir la extensión y [los] límites de [la competencia estatal en materia] de procedimiento administrativo común (art. 149.1.18 CE)”. Con arreglo a este planteamiento, el Abogado del </w:t>
      </w:r>
      <w:r>
        <w:lastRenderedPageBreak/>
        <w:t>Estado afirma que la imposición de la regla del silencio negativo traduce una decisión básica y, por tanto, de exclusiva competencia estatal, sin que el simple hecho de que incida en el campo del urbanismo sea razón suficiente para cuestionar su dictado precisamente por el Estado, habida cuenta de su innegable condición de garantía del interés general que concurre en determinadas y cualificadas actuaciones urbanísticas, conforme la STC 61/1997 tuvo ya ocasión de precisar a propósito del art. 242.6 del texto refundido de la Ley sobre régimen del suelo y ordenación urbana de 1992, que precisamente prevenía la regla, tradicional por otra parte en el campo urbanístico, que impide la adquisición por silencio administrativo de licencias en contra de la legislación o del planeamiento urbanístico.</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13 de junio de 2014, el Fiscal General del Estado presentó su escrito de alegaciones interesando la desestimación de la presente cuestión de inconstitucionalidad. El Fiscal, que comienza por subrayar el contexto legislativo y jurisprudencial existente al tiempo del dictado del artículo 23 cuestionado, haciendo especial hincapié en la regla tradicional que impide la adquisición por silencio de licencias </w:t>
      </w:r>
      <w:r w:rsidRPr="0085709A">
        <w:rPr>
          <w:i/>
        </w:rPr>
        <w:t>contra legem</w:t>
      </w:r>
      <w:r>
        <w:t>, advierte que la Ley 8/2013, de 26 de junio, de rehabilitación, regeneración y renovación urbanas, ha derogado expresamente el precepto cuestionado, según precisa el apartado 6 de la disposición derogatoria única, para añadirlo ahora al contenido del nuevo art. 9 de la Ley de suelo. Una derogación, de todas formas, que no determina la extinción del objeto de la presente cuestión de constitucionalidad, que se mantiene por consiguiente en los mismos términos en que ha sido planteada, según este Tribunal constitucional ha precisado en otros asuntos con semejantes circunstancias. Y dicho esto, el Fiscal examina por separado los reproches formulados en el Auto de planteamiento.</w:t>
      </w:r>
    </w:p>
    <w:p w:rsidR="0085709A" w:rsidRDefault="0085709A" w:rsidP="0085709A">
      <w:pPr>
        <w:pStyle w:val="TextoNormal"/>
      </w:pPr>
    </w:p>
    <w:p w:rsidR="0085709A" w:rsidRDefault="0085709A" w:rsidP="0085709A">
      <w:pPr>
        <w:pStyle w:val="TextoNormal"/>
      </w:pPr>
      <w:r>
        <w:t xml:space="preserve">Comenzado por las dudas sobre la existencia del presupuesto habilitante del art. 86.1 CE, el Fiscal General subraya los serios problemas de seguridad jurídica que desde siempre ha suscitado la convivencia de la regla general del silencio positivo prevista en el art. 43 de la Ley de régimen jurídico de las Administraciones públicas y del procedimiento administrativo común con la regla igualmente clásica en el campo urbanístico que impide la obtención de licencias </w:t>
      </w:r>
      <w:r w:rsidRPr="0085709A">
        <w:rPr>
          <w:i/>
        </w:rPr>
        <w:t>contra legem</w:t>
      </w:r>
      <w:r>
        <w:t>. Unos problemas de los que da cumplida cuenta la jurisprudencia ordinaria, con la STS de 28 de enero de 2009 a la cabeza, y de los que se hace eco también el ATC 80/2013, de 9 de abril. Teniendo en cuenta este contexto, el Fiscal entra a examinar la justificación que se contiene en el propio Real Decreto-ley, advirtiendo que de la misma no hay testimonios significativos en el debate parlamentario de convalidación celebrado en la sesión plenaria del Congreso de los Diputados de 14 de julio de 2011. Subraya seguidamente el objetivo clarificador de la situación existente que anima el dictado del artículo 23 cuestionado, que no persigue reformar el procedimiento administrativo sino acabar con la inseguridad jurídica reinante, y que, por tanto, se inscribe en el contexto más amplio de hacer frente a la grave coyuntura económica que inspira el propio Real Decreto-ley. Unas circunstancias que, en el criterio del Fiscal General, cuadran con el presupuesto habilitante del art. 86.1 CE, en la medida que el citado precepto impone una solución “congruente con la situación previamente existente que se pretende solucionar, proporcionando una respuesta de carácter instantánea, con entrada en vigor al día de su publicación”.</w:t>
      </w:r>
    </w:p>
    <w:p w:rsidR="0085709A" w:rsidRDefault="0085709A" w:rsidP="0085709A">
      <w:pPr>
        <w:pStyle w:val="TextoNormal"/>
      </w:pPr>
    </w:p>
    <w:p w:rsidR="0085709A" w:rsidRDefault="0085709A" w:rsidP="0085709A">
      <w:pPr>
        <w:pStyle w:val="TextoNormal"/>
      </w:pPr>
      <w:r>
        <w:t>Tampoco a juicio del Fiscal el artículo 23 cuestionado invade la competencia autonómica exclusiva de Canarias en materia de urbanismo que le reconocen los arts. 148.1.3 CE y 30.15 del su Estatuto de Autonomía. Conforme ha precisado la doctrina constitucional, esa com</w:t>
      </w:r>
      <w:r>
        <w:lastRenderedPageBreak/>
        <w:t xml:space="preserve">petencia autonómica exclusiva ha de integrarse y coexistir con las competencias que corresponden al Estado en virtud del art. 149.1 CE, y cuyo ejercicio puede afectar puntualmente a la materia urbanística. Tal es, precisamente, lo que acontece en el asunto a examen, toda vez que el citado artículo 23 establece una regla sobre el régimen del silencio administrativo, que forma parte del procedimiento administrativo común de competencia estatal </w:t>
      </w:r>
      <w:r w:rsidRPr="0085709A">
        <w:rPr>
          <w:i/>
        </w:rPr>
        <w:t>ex</w:t>
      </w:r>
      <w:r>
        <w:t xml:space="preserve"> art. 149.1.18 CE, según lo ha razonado la propia doctrina constitucional dictada a propósito de este mismo núcleo de problemas.</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17 de febrero de 2015 se señaló para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Juzgado de lo Contencioso-Administrativo núm. 2 de Santa Cruz de Tenerife cuestiona la constitucionalidad del art. 23 del Real Decreto-ley 8/2011, de 1 de julio, por posible vulneración de los arts. 86.1 y 148.1.3 CE. El citado precepto legal, que abre el capítulo VI del citado Real Decreto-ley, relativo a “seguridad jurídica en materia inmobiliaria”, bajo la rúbrica “silencio negativo en procedimientos de conformidad, aprobación o autorización administrativa”, establece literalmente:</w:t>
      </w:r>
    </w:p>
    <w:p w:rsidR="0085709A" w:rsidRDefault="0085709A" w:rsidP="0085709A">
      <w:pPr>
        <w:pStyle w:val="TextoNormal"/>
      </w:pPr>
    </w:p>
    <w:p w:rsidR="0085709A" w:rsidRDefault="0085709A" w:rsidP="0085709A">
      <w:pPr>
        <w:pStyle w:val="TextoNormal"/>
      </w:pPr>
      <w:r>
        <w:t>“1. Los actos de transformación, construcción, edificación y uso del suelo y el subsuelo que se indican a continuación requerirán del acto expreso de conformidad, aprobación o autorización administrativa que sea preceptivo según la legislación de ordenación territorial y urbanística:</w:t>
      </w:r>
    </w:p>
    <w:p w:rsidR="0085709A" w:rsidRDefault="0085709A" w:rsidP="0085709A">
      <w:pPr>
        <w:pStyle w:val="TextoNormal"/>
      </w:pPr>
    </w:p>
    <w:p w:rsidR="0085709A" w:rsidRDefault="0085709A" w:rsidP="0085709A">
      <w:pPr>
        <w:pStyle w:val="TextoNormal"/>
      </w:pPr>
      <w:r>
        <w:t>a) Movimientos de tierras, explanaciones, parcelaciones, segregaciones u otros actos de división de fincas en cualquier clase de suelo, cuando no formen parte de un proyecto de reparcelación.</w:t>
      </w:r>
    </w:p>
    <w:p w:rsidR="0085709A" w:rsidRDefault="0085709A" w:rsidP="0085709A">
      <w:pPr>
        <w:pStyle w:val="TextoNormal"/>
      </w:pPr>
    </w:p>
    <w:p w:rsidR="0085709A" w:rsidRDefault="0085709A" w:rsidP="0085709A">
      <w:pPr>
        <w:pStyle w:val="TextoNormal"/>
      </w:pPr>
      <w:r>
        <w:t>b) Las obras de edificación, construcción e implantación de instalaciones de nueva planta.</w:t>
      </w:r>
    </w:p>
    <w:p w:rsidR="0085709A" w:rsidRDefault="0085709A" w:rsidP="0085709A">
      <w:pPr>
        <w:pStyle w:val="TextoNormal"/>
      </w:pPr>
    </w:p>
    <w:p w:rsidR="0085709A" w:rsidRDefault="0085709A" w:rsidP="0085709A">
      <w:pPr>
        <w:pStyle w:val="TextoNormal"/>
      </w:pPr>
      <w:r>
        <w:t>c) La ubicación de casas prefabricadas e instalaciones similares, ya sean provisionales o permanentes.</w:t>
      </w:r>
    </w:p>
    <w:p w:rsidR="0085709A" w:rsidRDefault="0085709A" w:rsidP="0085709A">
      <w:pPr>
        <w:pStyle w:val="TextoNormal"/>
      </w:pPr>
    </w:p>
    <w:p w:rsidR="0085709A" w:rsidRDefault="0085709A" w:rsidP="0085709A">
      <w:pPr>
        <w:pStyle w:val="TextoNormal"/>
      </w:pPr>
      <w:r>
        <w:t>d) La tala de masas arbóreas o de vegetación arbustiva que, por sus características, puedan afectar al paisaje.</w:t>
      </w:r>
    </w:p>
    <w:p w:rsidR="0085709A" w:rsidRDefault="0085709A" w:rsidP="0085709A">
      <w:pPr>
        <w:pStyle w:val="TextoNormal"/>
      </w:pPr>
    </w:p>
    <w:p w:rsidR="0085709A" w:rsidRDefault="0085709A" w:rsidP="0085709A">
      <w:pPr>
        <w:pStyle w:val="TextoNormal"/>
      </w:pPr>
      <w:r>
        <w:t>e) La primera ocupación de las edificaciones de nueva planta y de las casas a que se refiere la letra c) anterior.</w:t>
      </w:r>
    </w:p>
    <w:p w:rsidR="0085709A" w:rsidRDefault="0085709A" w:rsidP="0085709A">
      <w:pPr>
        <w:pStyle w:val="TextoNormal"/>
      </w:pPr>
    </w:p>
    <w:p w:rsidR="0085709A" w:rsidRDefault="0085709A" w:rsidP="0085709A">
      <w:pPr>
        <w:pStyle w:val="TextoNormal"/>
      </w:pPr>
      <w:r>
        <w:t>2. El vencimiento del plazo máximo sin haberse notificado la resolución expresa legitimará al interesado que hubiere deducido la solicitud para entenderla desestimada por silencio administrativo.”</w:t>
      </w:r>
    </w:p>
    <w:p w:rsidR="0085709A" w:rsidRDefault="0085709A" w:rsidP="0085709A">
      <w:pPr>
        <w:pStyle w:val="TextoNormal"/>
      </w:pPr>
    </w:p>
    <w:p w:rsidR="0085709A" w:rsidRDefault="0085709A" w:rsidP="0085709A">
      <w:pPr>
        <w:pStyle w:val="TextoNormal"/>
      </w:pPr>
      <w:r>
        <w:t xml:space="preserve">Como se ha dejado anotado en los antecedentes, en el criterio del órgano judicial esta modificación del régimen del silencio en materia de actos urbanísticos ni encaja fácilmente </w:t>
      </w:r>
      <w:r>
        <w:lastRenderedPageBreak/>
        <w:t xml:space="preserve">en el concepto de extraordinaria y urgente necesidad que </w:t>
      </w:r>
      <w:r w:rsidRPr="0085709A">
        <w:rPr>
          <w:i/>
        </w:rPr>
        <w:t>ex</w:t>
      </w:r>
      <w:r>
        <w:t xml:space="preserve"> art. 86.1 CE justifica el uso del decreto-ley, ni es materia de competencia estatal, sino de exclusiva titularidad autonómica, según establece el art. 148.1.3 CE y confirma el art. 30.15 del Estatuto de Autonomía de Canarias.</w:t>
      </w:r>
    </w:p>
    <w:p w:rsidR="0085709A" w:rsidRDefault="0085709A" w:rsidP="0085709A">
      <w:pPr>
        <w:pStyle w:val="TextoNormal"/>
      </w:pPr>
    </w:p>
    <w:p w:rsidR="0085709A" w:rsidRDefault="0085709A" w:rsidP="0085709A">
      <w:pPr>
        <w:pStyle w:val="TextoNormal"/>
      </w:pPr>
      <w:r>
        <w:t>Por su parte, tanto el Abogado del Estado como el Fiscal General han interesado, en los términos que se han resumido en los antecedentes, la desestimación de la cuestión de inconstitucionalidad promovida, razonando que el artículo 23 cuestionado responde a una situación de extraordinaria y urgente necesidad, consistente en la necesidad de atajar la grave inseguridad reinante en la materia, con consecuencias económicas muy relevantes, no incurriendo, de otro lado, en el exceso competencial que le reprocha el Auto de planteamiento.</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Con carácter previo, importa hacer notar, según el Fiscal General ha puesto de manifiesto en su escrito de alegaciones, que, durante la pendencia del proceso judicial </w:t>
      </w:r>
      <w:r w:rsidRPr="0085709A">
        <w:rPr>
          <w:i/>
        </w:rPr>
        <w:t>a quo</w:t>
      </w:r>
      <w:r>
        <w:t>, el precepto legal cuestionado en el presente proceso constitucional fue efectivamente derogado por la Ley 8/2013, de 26 de junio, de rehabilitación, regeneración y renovación urbanas (disposición derogatoria única, 6), que decidió incorporarlo, con pequeñas variantes, al contenido de los vigentes apartados 7 y 8 del art. 9 de la Ley de suelo, aprobado por Real Decreto Legislativo 2/2008, de 20 de junio.</w:t>
      </w:r>
    </w:p>
    <w:p w:rsidR="0085709A" w:rsidRDefault="0085709A" w:rsidP="0085709A">
      <w:pPr>
        <w:pStyle w:val="TextoNormal"/>
      </w:pPr>
    </w:p>
    <w:p w:rsidR="0085709A" w:rsidRDefault="0085709A" w:rsidP="0085709A">
      <w:pPr>
        <w:pStyle w:val="TextoNormal"/>
      </w:pPr>
      <w:r>
        <w:t xml:space="preserve">Esta derogación, como certeramente ha advertido también el Fiscal General, no determina sin embargo la pérdida sobrevenida del objeto de la presente cuestión de inconstitucionalidad. De conformidad con una consolidada doctrina de este Tribunal, que resumen entre otras las SSTC 131/2010, de 2 de diciembre; 146/2012, de 5 de julio, y 58/2013, de 11 de marzo, “a diferencia de lo que sucede en los recursos de inconstitucionalidad, en los que, por regla general y salvo que se trate de una controversia competencial, la derogación de la norma legal impugnada supone la pérdida de objeto del proceso,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85709A">
        <w:rPr>
          <w:i/>
        </w:rPr>
        <w:t>a quo</w:t>
      </w:r>
      <w:r>
        <w:t xml:space="preserve"> y de su validez dependa la decisión a adoptar en el mismo”.</w:t>
      </w:r>
    </w:p>
    <w:p w:rsidR="0085709A" w:rsidRDefault="0085709A" w:rsidP="0085709A">
      <w:pPr>
        <w:pStyle w:val="TextoNormal"/>
      </w:pPr>
    </w:p>
    <w:p w:rsidR="0085709A" w:rsidRDefault="0085709A" w:rsidP="0085709A">
      <w:pPr>
        <w:pStyle w:val="TextoNormal"/>
      </w:pPr>
      <w:r>
        <w:t xml:space="preserve">Con estos presupuestos, y advertido que en el presente caso la resolución administrativa impugnada en el proceso contencioso </w:t>
      </w:r>
      <w:r w:rsidRPr="0085709A">
        <w:rPr>
          <w:i/>
        </w:rPr>
        <w:t>a quo</w:t>
      </w:r>
      <w:r>
        <w:t xml:space="preserve"> toma pie y se justifica de modo principal en la aplicación al caso entonces considerado del artículo 23 cuestionado, la decisión del órgano judicial continúa dependiendo de la validez del citado precepto legal y, por tanto, la presente cuestión de inconstitucionalidad se mantiene en los términos en que fue planteada.</w:t>
      </w:r>
    </w:p>
    <w:p w:rsidR="0085709A" w:rsidRDefault="0085709A" w:rsidP="0085709A">
      <w:pPr>
        <w:pStyle w:val="TextoNormal"/>
      </w:pPr>
    </w:p>
    <w:p w:rsidR="0085709A" w:rsidRDefault="0085709A" w:rsidP="0085709A">
      <w:pPr>
        <w:pStyle w:val="TextoNormal"/>
      </w:pPr>
      <w:r w:rsidRPr="0085709A">
        <w:rPr>
          <w:rStyle w:val="NumeroAFNegritaCaracter"/>
        </w:rPr>
        <w:t>3</w:t>
      </w:r>
      <w:r>
        <w:t>. Conforme se ha señalado, el Auto de planteamiento suscita una doble duda de constitucionalidad. De un lado, cuestiona que en el tan citado artículo 23 concurran las razones de extraordinaria y urgente necesidad que, según el art. 86.1 CE, habilitan al Gobierno para su aprobación mediante decreto-ley. Y, por otro, denuncia que la regla sobre el silencio que contiene supone una extralimitación competencial con invasión del campo reservado a la competencia exclusiva de la Comunidad Autónoma de Canarias en materia de urbanismo por la Constitución (art. 148.1.3) y su Estatuto de Autonomía (art. 30.15).</w:t>
      </w:r>
    </w:p>
    <w:p w:rsidR="0085709A" w:rsidRDefault="0085709A" w:rsidP="0085709A">
      <w:pPr>
        <w:pStyle w:val="TextoNormal"/>
      </w:pPr>
    </w:p>
    <w:p w:rsidR="0085709A" w:rsidRDefault="0085709A" w:rsidP="0085709A">
      <w:pPr>
        <w:pStyle w:val="TextoNormal"/>
      </w:pPr>
      <w:r>
        <w:lastRenderedPageBreak/>
        <w:t xml:space="preserve">Siguiendo este planteamiento, deberemos, pues, examinar en primer lugar la tacha formal </w:t>
      </w:r>
      <w:r w:rsidRPr="0085709A">
        <w:rPr>
          <w:i/>
        </w:rPr>
        <w:t>ex</w:t>
      </w:r>
      <w:r>
        <w:t xml:space="preserve"> art. 86.1 CE, para a continuación, en un segundo momento y si fuera necesario, enjuiciar la invasión competencial denunciada por el órgano judicial.</w:t>
      </w:r>
    </w:p>
    <w:p w:rsidR="0085709A" w:rsidRDefault="0085709A" w:rsidP="0085709A">
      <w:pPr>
        <w:pStyle w:val="TextoNormal"/>
      </w:pPr>
    </w:p>
    <w:p w:rsidR="0085709A" w:rsidRDefault="0085709A" w:rsidP="0085709A">
      <w:pPr>
        <w:pStyle w:val="TextoNormal"/>
      </w:pPr>
      <w:r>
        <w:t>Este Tribunal ha tenido ocasión de pronunciarse repetidamente sobre el presupuesto habilitante del art. 86.1 CE, de modo que ya existe, en consecuencia, una doctrina constitucional consolidada, como muy bien advierte la STC 68/2007, de 28 de marzo, FJ 6, y de la que son buena muestra, por atender solo ahora a alguna de las más recientes, las SSTC 39/2013, de 14 de febrero; 83/2014, de 29 de mayo, y 183/2014, de 6 de noviembre.</w:t>
      </w:r>
    </w:p>
    <w:p w:rsidR="0085709A" w:rsidRDefault="0085709A" w:rsidP="0085709A">
      <w:pPr>
        <w:pStyle w:val="TextoNormal"/>
      </w:pPr>
    </w:p>
    <w:p w:rsidR="0085709A" w:rsidRDefault="0085709A" w:rsidP="0085709A">
      <w:pPr>
        <w:pStyle w:val="TextoNormal"/>
      </w:pPr>
      <w:r>
        <w:t>Según esta orientación, que comienza por subrayar que el concepto de extraordinaria y urgente necesidad “no es una cláusula o expresión vacía de significado dentro de la cual el lógico margen de apreciación política del Gobierno se mueva libremente sin restricción alguna, sino, por el contrario, la constatación de un límite jurídico a la actuación mediante Decretos-leyes”, el control constitucional externo que corresponde a este Tribunal en la comprobación del necesario respeto a ese límite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w:t>
      </w:r>
    </w:p>
    <w:p w:rsidR="0085709A" w:rsidRDefault="0085709A" w:rsidP="0085709A">
      <w:pPr>
        <w:pStyle w:val="TextoNormal"/>
      </w:pPr>
    </w:p>
    <w:p w:rsidR="0085709A" w:rsidRDefault="0085709A" w:rsidP="0085709A">
      <w:pPr>
        <w:pStyle w:val="TextoNormal"/>
      </w:pPr>
      <w:r>
        <w:t>En esa misma doctrina constitucional está igualmente dicho que la comprobación del citado primer elemento debe realizarse mediante la valoración conjunta de los factores que en el criterio del Gobierno justificaron el uso del decreto-ley y reflejados de modo singular “en la exposición de motivos de la norma, a lo largo del debate parlamentario de convalidación, y en el propio expediente de elaboración del [correspondiente Decreto-ley]”.</w:t>
      </w:r>
    </w:p>
    <w:p w:rsidR="0085709A" w:rsidRDefault="0085709A" w:rsidP="0085709A">
      <w:pPr>
        <w:pStyle w:val="TextoNormal"/>
      </w:pPr>
    </w:p>
    <w:p w:rsidR="0085709A" w:rsidRDefault="0085709A" w:rsidP="0085709A">
      <w:pPr>
        <w:pStyle w:val="TextoNormal"/>
      </w:pPr>
      <w:r>
        <w:t xml:space="preserve">Finalmente importa asimismo advertir que cuando, como también es ahora el caso y notan las SSTC 31/2011, de 17 de marzo, FJ 4; 137/2011, de 14 de septiembre, FJ 6, y 170/2012, de 4 de octubre, FJ 5, se denuncia la vulneración del presupuesto de hecho habilitante respecto, no del correspondiente decreto-ley en su conjunto, sino únicamente en relación con uno o alguno de sus preceptos, la necesaria justificación </w:t>
      </w:r>
      <w:r w:rsidRPr="0085709A">
        <w:rPr>
          <w:i/>
        </w:rPr>
        <w:t>ad casum</w:t>
      </w:r>
      <w:r>
        <w:t xml:space="preserve"> de la “extraordinaria y urgente necesidad” ha de ser apreciada en relación precisamente con los preceptos en concreto impugnados.</w:t>
      </w:r>
    </w:p>
    <w:p w:rsidR="0085709A" w:rsidRDefault="0085709A" w:rsidP="0085709A">
      <w:pPr>
        <w:pStyle w:val="TextoNormal"/>
      </w:pPr>
    </w:p>
    <w:p w:rsidR="0085709A" w:rsidRDefault="0085709A" w:rsidP="0085709A">
      <w:pPr>
        <w:pStyle w:val="TextoNormal"/>
      </w:pPr>
      <w:r>
        <w:t>Con arreglo a lo recordado, debemos pues examinar, en primer lugar, si en el presente asunto los motivos tenidos en cuenta por el Gobierno para aprobar el art. 23 del Real Decreto-ley 8/20011 testimonian razonablemente la existencia de una efectiva situación de extraordinaria y urgente necesidad, para comprobar luego, en un segundo momento y si fuera necesario, si la regla del silencio negativo que establece el citado precepto legal es además congruente con esa situación.</w:t>
      </w:r>
    </w:p>
    <w:p w:rsidR="0085709A" w:rsidRDefault="0085709A" w:rsidP="0085709A">
      <w:pPr>
        <w:pStyle w:val="TextoNormal"/>
      </w:pPr>
    </w:p>
    <w:p w:rsidR="0085709A" w:rsidRDefault="0085709A" w:rsidP="0085709A">
      <w:pPr>
        <w:pStyle w:val="TextoNormal"/>
      </w:pPr>
      <w:r w:rsidRPr="0085709A">
        <w:rPr>
          <w:rStyle w:val="NumeroAFNegritaCaracter"/>
        </w:rPr>
        <w:t>4</w:t>
      </w:r>
      <w:r>
        <w:t>. La exposición de motivos del Real Decreto-ley 8/2011 dedica su apartado VI a enunciar las razones que justifican el dictado de las medidas específicas que se establecen en el siguiente capítulo VI, en el que se incluye el artículo 23 cuestionado en este proceso constitucional. Y lo hace literalmente, en lo que ahora exclusivamente importa, en los siguientes términos:</w:t>
      </w:r>
    </w:p>
    <w:p w:rsidR="0085709A" w:rsidRDefault="0085709A" w:rsidP="0085709A">
      <w:pPr>
        <w:pStyle w:val="TextoNormal"/>
      </w:pPr>
    </w:p>
    <w:p w:rsidR="0085709A" w:rsidRDefault="0085709A" w:rsidP="0085709A">
      <w:pPr>
        <w:pStyle w:val="TextoNormal"/>
      </w:pPr>
      <w:r>
        <w:lastRenderedPageBreak/>
        <w:t>El capítulo VI da paso a las medidas específicas de seguridad jurídica en el sector inmobiliario, que se centran básicamente en dos tipos: las relacionadas con la imposibilidad de concesión de facultades de extraordinaria relevancia e impacto sobre el territorio por medio de la técnica del silencio positivo, y las relativas a medidas registrales cuyo objeto consiste en garantizar y fortalecer la seguridad jurídica en los actos y negocios inmobiliarios por medio del Registro de la Propiedad.</w:t>
      </w:r>
    </w:p>
    <w:p w:rsidR="0085709A" w:rsidRDefault="0085709A" w:rsidP="0085709A">
      <w:pPr>
        <w:pStyle w:val="TextoNormal"/>
      </w:pPr>
    </w:p>
    <w:p w:rsidR="0085709A" w:rsidRDefault="0085709A" w:rsidP="0085709A">
      <w:pPr>
        <w:pStyle w:val="TextoNormal"/>
      </w:pPr>
      <w:r>
        <w:t>En relación con las primeras, se confirma la regla, ya contenida en la Ley estatal de suelo, de la imposible adquisición por silencio administrativo, de facultades o derechos que contravengan la ordenación territorial o urbanística, y que culminan determinando la nulidad de pleno derecho de estos actos. La Sentencia de 28 de enero de 2009, de la Sala Tercera del Tribunal Supremo, ha fijado como doctrina legal que el artículo 8.1 b) de la citada Ley de suelo constituye una norma con rango de ley básica estatal, con los mencionados efectos. Para ello, nada mejor que explicitar el carácter negativo del silencio en los procedimientos más relevantes de declaración de conformidad, aprobación o autorización administrativa en dichos ámbitos, lo que sin duda contribuirá a una mayor seguridad jurídica, impidiendo que la mera pasividad o inexistencia de actuaciones tempestivas de los ayuntamientos permita entender a cualquier privado que le han sido concedidas licencias urbanísticas del más variado tipo.</w:t>
      </w:r>
    </w:p>
    <w:p w:rsidR="0085709A" w:rsidRDefault="0085709A" w:rsidP="0085709A">
      <w:pPr>
        <w:pStyle w:val="TextoNormal"/>
      </w:pPr>
    </w:p>
    <w:p w:rsidR="0085709A" w:rsidRDefault="0085709A" w:rsidP="0085709A">
      <w:pPr>
        <w:pStyle w:val="TextoNormal"/>
      </w:pPr>
      <w:r>
        <w:t>El debate parlamentario de convalidación no contiene, por su parte, ninguna motivación añadida, como muy bien ha notado el Fiscal General del Estado en su escrito de alegaciones. De hecho, para ser rigurosos, habría que decir que en el citado debate parlamentario no hay ni un solo rastro de los motivos considerados por el Gobierno para aprobar el artículo 23 cuestionado. Aparte de la advertencia genérica que efectuó una diputada del Grupo Mixto del Congreso, sobre la necesidad de que la modificación del régimen del silencio administrativo hubiera seguido la tramitación ordinaria como proyecto de ley, la única referencia explícita que consta a la regla del silencio negativo que ahora consideramos es la formulada por un diputado del grupo catalán Convergència i Unió, censurando la precipitación del Gobierno al incluir entre los supuestos que enumera el artículo 23 la licencia de primera ocupación.</w:t>
      </w:r>
    </w:p>
    <w:p w:rsidR="0085709A" w:rsidRDefault="0085709A" w:rsidP="0085709A">
      <w:pPr>
        <w:pStyle w:val="TextoNormal"/>
      </w:pPr>
    </w:p>
    <w:p w:rsidR="0085709A" w:rsidRDefault="0085709A" w:rsidP="0085709A">
      <w:pPr>
        <w:pStyle w:val="TextoNormal"/>
      </w:pPr>
      <w:r>
        <w:t>Tampoco es posible encontrar ningún elemento o dato suplementario en el expediente de elaboración del Real Decreto-ley 8/2011, del que ningún rastro hay tampoco ni en las actuaciones remitidas ni en las alegaciones formuladas en este proceso constitucional por el representante del Gobierno.</w:t>
      </w:r>
    </w:p>
    <w:p w:rsidR="0085709A" w:rsidRDefault="0085709A" w:rsidP="0085709A">
      <w:pPr>
        <w:pStyle w:val="TextoNormal"/>
      </w:pPr>
    </w:p>
    <w:p w:rsidR="0085709A" w:rsidRDefault="0085709A" w:rsidP="0085709A">
      <w:pPr>
        <w:pStyle w:val="TextoNormal"/>
      </w:pPr>
      <w:r>
        <w:t xml:space="preserve">En estas condiciones y atendiendo exclusivamente, por tanto, a la motivación que luce en la exposición de motivos que antes hemos recordado, las razones explícitamente invocadas por el Gobierno para introducir la regla del silencio negativo que establece el artículo 23 cuestionado en relación con determinados procedimientos urbanísticos son: i) la necesidad de avanzar en la línea jurisprudencial, confirmada por la STS de 28 de enero de 2009, cuando fijó como doctrina legal que el art. 242.6 del texto refundido de la Ley sobre régimen del suelo y ordenación urbana, aprobado por Real Decreto Legislativo 1/1992, de 26 de junio, y el art. 8.1 b) del texto refundido de la Ley de suelo, aprobado por Real Decreto Legislativo 2/2008, de 20 de junio, que sancionan la regla de la imposibilidad de adquirir por silencio administrativo derechos o facultades en contra de la ordenación territorial o urbanística, “son normas con rango de leyes básicas estatales”; y ii) contribuir a una mayor </w:t>
      </w:r>
      <w:r>
        <w:lastRenderedPageBreak/>
        <w:t>seguridad jurídica, impidiendo que el simple transcurso del tiempo permita entender la obtención por silencio administrativo de licencias o autorizaciones urbanísticas.</w:t>
      </w:r>
    </w:p>
    <w:p w:rsidR="0085709A" w:rsidRDefault="0085709A" w:rsidP="0085709A">
      <w:pPr>
        <w:pStyle w:val="TextoNormal"/>
      </w:pPr>
    </w:p>
    <w:p w:rsidR="0085709A" w:rsidRDefault="0085709A" w:rsidP="0085709A">
      <w:pPr>
        <w:pStyle w:val="TextoNormal"/>
      </w:pPr>
      <w:r>
        <w:t>En estos términos, la justificación del Gobierno para aprobar el artículo 23 cuestionado apela a la necesidad urgente de afirmar de una vez por todas la imposibilidad de obtener por silencio administrativo determinadas autorizaciones y licencias urbanísticas, despejando cualquier duda que pudiera existir al respecto, y avanzando de este modo en la línea a la que ya había llegado por su parte la jurisprudencia ordinaria, con la citada STS de 28 de enero de 2009 a la cabeza, al declarar que el transcurso del plazo para resolver no impide que la Administración pueda dictar tardíamente una resolución expresa desestimatoria, sin necesidad de ajustarse al procedimiento agravado de la revisión de oficio.</w:t>
      </w:r>
    </w:p>
    <w:p w:rsidR="0085709A" w:rsidRDefault="0085709A" w:rsidP="0085709A">
      <w:pPr>
        <w:pStyle w:val="TextoNormal"/>
      </w:pPr>
    </w:p>
    <w:p w:rsidR="0085709A" w:rsidRDefault="0085709A" w:rsidP="0085709A">
      <w:pPr>
        <w:pStyle w:val="TextoNormal"/>
      </w:pPr>
      <w:r w:rsidRPr="0085709A">
        <w:rPr>
          <w:rStyle w:val="NumeroAFNegritaCaracter"/>
        </w:rPr>
        <w:t>5</w:t>
      </w:r>
      <w:r>
        <w:t>. La valoración conjunta de esta motivación, y que bien puede resumirse ahora en la idea de garantizar la seguridad jurídica, es claramente insuficiente y no supera el canon de control constitucional sobre la concurrencia del presupuesto de hecho habilitante del art. 86.1 CE.</w:t>
      </w:r>
    </w:p>
    <w:p w:rsidR="0085709A" w:rsidRDefault="0085709A" w:rsidP="0085709A">
      <w:pPr>
        <w:pStyle w:val="TextoNormal"/>
      </w:pPr>
    </w:p>
    <w:p w:rsidR="0085709A" w:rsidRDefault="0085709A" w:rsidP="0085709A">
      <w:pPr>
        <w:pStyle w:val="TextoNormal"/>
      </w:pPr>
      <w:r>
        <w:t>No se ignora, como ya notáramos en el ATC 80/2013, de 9 de abril, FJ 4, que la convivencia de la regla del silencio positivo del art. 43.2 de la Ley de régimen jurídico de las Administraciones públicas y del procedimiento administrativo común, en la redacción dada al mismo por la Ley 4/1999, de 13 de enero, con la citada regla básica estatal por entonces prevista en los arts. 242.6 del texto refundido de la Ley sobre régimen del suelo y ordenación urbana de 1992, y 8.1 b) del texto refundido de la Ley de suelo de 2008 (y prevista hoy en el art. 9.7 de esta última Ley, luego de su modificación por la Ley 8/2013, de 26 de junio), ha suscitado no pocos problemas y ha sido fuente constante de pleitos ante los Jueces y Tribunales, según lo confirman por su parte las abundantes sentencias de la Sala Tercera del Tribunal Supremo dictadas por ese motivo, antes y después incluso de la citada de 28 de enero de 2009.</w:t>
      </w:r>
    </w:p>
    <w:p w:rsidR="0085709A" w:rsidRDefault="0085709A" w:rsidP="0085709A">
      <w:pPr>
        <w:pStyle w:val="TextoNormal"/>
      </w:pPr>
    </w:p>
    <w:p w:rsidR="0085709A" w:rsidRDefault="0085709A" w:rsidP="0085709A">
      <w:pPr>
        <w:pStyle w:val="TextoNormal"/>
      </w:pPr>
      <w:r>
        <w:t>La realidad de estos problemas no es, sin embargo, y menos aún por sí sola, razón bastante para probar la existencia de una situación de extraordinaria y urgente necesidad, salvo que se acepte que la simple existencia de controversias jurídicas y la razonable y lógica aspiración de ponerles fin es motivo suficiente para hacerlo precisamente mediante decreto-ley. Y sin embargo es obvio que no cabe convertir sin más la seguridad jurídica o, si se prefiere, la certeza sobre la regulación jurídica aplicable (por seguir la certera definición que utiliza el ATC 72/2008, de 26 de febrero, FJ 3) en un fin en sí mismo que deba ser alcanzado mediante cualquier fórmula jurídica y, por tanto, llegado el caso, mediante una acción normativa de urgencia. Si así fuera, prácticamente todas las normas del ordenamiento, salvo las notoriamente incontrovertibles, justificarían su aclaración o modificación por vía de decreto-ley.</w:t>
      </w:r>
    </w:p>
    <w:p w:rsidR="0085709A" w:rsidRDefault="0085709A" w:rsidP="0085709A">
      <w:pPr>
        <w:pStyle w:val="TextoNormal"/>
      </w:pPr>
    </w:p>
    <w:p w:rsidR="0085709A" w:rsidRDefault="0085709A" w:rsidP="0085709A">
      <w:pPr>
        <w:pStyle w:val="TextoNormal"/>
      </w:pPr>
      <w:r>
        <w:t>En rigor, para que resulte legítimo usar la habilitación constitucional de la acción normativa de urgencia no basta con comprobar la existencia de una situación de inseguridad jurídica. Hace falta, además, que esa incertidumbre venga cualificada por unas determinadas circunstancias singulares, cuya presencia es la que reclama y fundamenta su corrección urgente.</w:t>
      </w:r>
    </w:p>
    <w:p w:rsidR="0085709A" w:rsidRDefault="0085709A" w:rsidP="0085709A">
      <w:pPr>
        <w:pStyle w:val="TextoNormal"/>
      </w:pPr>
    </w:p>
    <w:p w:rsidR="0085709A" w:rsidRDefault="0085709A" w:rsidP="0085709A">
      <w:pPr>
        <w:pStyle w:val="TextoNormal"/>
      </w:pPr>
      <w:r>
        <w:lastRenderedPageBreak/>
        <w:t>Desde esta última perspectiva, es posible que alguna de esas controversias y, por consiguiente, la incertidumbre e inseguridad jurídica que generan arriesgara en ocasiones intereses o perjuicios muy cualificados y aptos en vía de hipótesis para amparar una protección jurídica inmediata mediante la oportuna intervención normativa de urgencia, ya lo sea en atención al número de particulares afectados, ya lo sea por razón de la envergadura de los intereses económicos, o sencillamente, en fin, como consecuencia de la naturaleza de los derechos comprometidos en la correspondiente actuación urbanística.</w:t>
      </w:r>
    </w:p>
    <w:p w:rsidR="0085709A" w:rsidRDefault="0085709A" w:rsidP="0085709A">
      <w:pPr>
        <w:pStyle w:val="TextoNormal"/>
      </w:pPr>
    </w:p>
    <w:p w:rsidR="0085709A" w:rsidRDefault="0085709A" w:rsidP="0085709A">
      <w:pPr>
        <w:pStyle w:val="TextoNormal"/>
      </w:pPr>
      <w:r>
        <w:t>Esta contingencia, sin embargo, no sirve tampoco para probar en el presente asunto la concurrencia del presupuesto habilitante que exige el art. 86.1 CE. Por lo pronto y, de un lado, por cuanto en la justificación del artículo 23 no consta ninguna explicación que apunte, siquiera liminarmente, a la presencia en el supuesto a juicio de circunstancias, bienes o intereses de ese tipo. Y, de otro, porque, aun supuesta su existencia, la necesidad de impedir que puedan adquirirse por silencio facultades urbanísticas en determinados supuestos de especial significación e impacto en el territorio, como advierte la exposición del Real Decreto-ley 8/2011, difícilmente puede ser calificada en cualquier caso de extraordinaria y, sobre todo, de urgente. Sencillamente porque esa finalidad, y a salvo una vez más de la oportuna y suficiente explicación, que conviene insistir no consta por ningún lado en la justificación del Gobierno, estaba ya sustancialmente cubierta al tiempo del dictado del Real Decreto-ley 8/2011 por la regulación entonces existente.</w:t>
      </w:r>
    </w:p>
    <w:p w:rsidR="0085709A" w:rsidRDefault="0085709A" w:rsidP="0085709A">
      <w:pPr>
        <w:pStyle w:val="TextoNormal"/>
      </w:pPr>
    </w:p>
    <w:p w:rsidR="0085709A" w:rsidRDefault="0085709A" w:rsidP="0085709A">
      <w:pPr>
        <w:pStyle w:val="TextoNormal"/>
      </w:pPr>
      <w:r>
        <w:t>En el caso a examen, no resulta en modo alguno posible apreciar la concurrencia del objetivo de protección de intereses públicos o generales, identificables genéricamente en la preservación de la integridad urbanística. La razón se debe a la previa presencia de un mecanismo de tutela de esos intereses, consistente en el dictado, en cualquier momento posterior al vencimiento del plazo legal para resolver, de una resolución administrativa desestimatoria, justificada precisamente en la observancia de la ordenación territorial y urbanística. Por lo demás, esta posibilidad no tiene vinculación alguna con el silencio y, por tanto, no precisa ajustarse al procedimiento agravado de la revisión de oficio de los actos favorables, según dejó claro la citada STS de 28 de enero de 2009.</w:t>
      </w:r>
    </w:p>
    <w:p w:rsidR="0085709A" w:rsidRDefault="0085709A" w:rsidP="0085709A">
      <w:pPr>
        <w:pStyle w:val="TextoNormal"/>
      </w:pPr>
    </w:p>
    <w:p w:rsidR="0085709A" w:rsidRDefault="0085709A" w:rsidP="0085709A">
      <w:pPr>
        <w:pStyle w:val="TextoNormal"/>
      </w:pPr>
      <w:r>
        <w:t>Más aún. Tampoco puede invocarse la protección de intereses privados o particulares. Como también antes se ha advertido, la adquisición por silencio administrativo de facultades o derechos de contenido urbanístico era ya una conclusión poco segura y, por consiguiente, sumamente arriesgada. En un contexto semejante, no es fácil pensar en actuaciones urbanísticas, sobre todo de envergadura, emprendidas en el mercado inmobiliario con esa frágil justificación legal, que fueran luego finalmente invalidadas, y suficientes al cabo para justificar la eliminación inmediata de la incertidumbre acerca de la obtención de la correspondiente licencia mediante una acción normativa de urgencia.</w:t>
      </w:r>
    </w:p>
    <w:p w:rsidR="0085709A" w:rsidRDefault="0085709A" w:rsidP="0085709A">
      <w:pPr>
        <w:pStyle w:val="TextoNormal"/>
      </w:pPr>
    </w:p>
    <w:p w:rsidR="0085709A" w:rsidRDefault="0085709A" w:rsidP="0085709A">
      <w:pPr>
        <w:pStyle w:val="TextoNormal"/>
      </w:pPr>
      <w:r w:rsidRPr="0085709A">
        <w:rPr>
          <w:rStyle w:val="NumeroAFNegritaCaracter"/>
        </w:rPr>
        <w:t>6</w:t>
      </w:r>
      <w:r>
        <w:t>. A la vista de las circunstancias concurrentes y de las razones expuestas, debemos concluir que, efectivamente, en este caso el Gobierno no ha aportado una justificación suficiente que permita apreciar la existencia del presupuesto habilitante de la extraordinaria y urgente necesidad requerido por el art. 86.1 CE para el uso de la legislación de urgencia en relación con el art. 23 del Real Decreto-ley 8/2011, lo que determina la declaración de inconstitucionalidad y nulidad de dicho artículo por vulneración del citado precepto constitucional.</w:t>
      </w:r>
    </w:p>
    <w:p w:rsidR="0085709A" w:rsidRDefault="0085709A" w:rsidP="0085709A">
      <w:pPr>
        <w:pStyle w:val="TextoNormal"/>
      </w:pPr>
    </w:p>
    <w:p w:rsidR="0085709A" w:rsidRDefault="0085709A" w:rsidP="0085709A">
      <w:pPr>
        <w:pStyle w:val="TextoNormal"/>
      </w:pPr>
      <w:r>
        <w:lastRenderedPageBreak/>
        <w:t>La estimación de este primer motivo de la presente cuestión de inconstitucionalidad convierte en innecesario, como antes hemos señalado, el enjuiciamiento del otro motivo razonado por el órgano judicial en su Auto de planteamiento.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presente cuestión de inconstitucionalidad y, en su virtud, declarar la inconstitucionalidad y nulidad del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 por vulneración del art. 86.1 CE.</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3" w:name="SENTENCIA_2015_30"/>
      <w:r>
        <w:lastRenderedPageBreak/>
        <w:t>SENTENCIA 30/2015, de 19 de febrero de 2015</w:t>
      </w:r>
    </w:p>
    <w:bookmarkEnd w:id="33"/>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ECLI:ES:TC:2015:30</w:t>
      </w:r>
    </w:p>
    <w:p w:rsidR="0085709A" w:rsidRDefault="0085709A" w:rsidP="0085709A">
      <w:pPr>
        <w:pStyle w:val="TextoNormalCentrado"/>
      </w:pPr>
    </w:p>
    <w:p w:rsidR="0085709A" w:rsidRDefault="0085709A" w:rsidP="0085709A">
      <w:pPr>
        <w:pStyle w:val="SntesisDescriptiva"/>
      </w:pPr>
      <w:r>
        <w:t>Recurso de inconstitucionalidad 5832-2014. Interpuesto por la Presidenta, en funciones, del Gobierno respecto del artículo 161 de la Ley de las Cortes Valencianas 5/2013, de 23 de diciembre, de medidas fiscales, de gestión administrativa y financiera, y de organización de la Generalitat.</w:t>
      </w:r>
    </w:p>
    <w:p w:rsidR="0085709A" w:rsidRDefault="0085709A" w:rsidP="0085709A">
      <w:pPr>
        <w:pStyle w:val="SntesisDescriptiva"/>
      </w:pPr>
    </w:p>
    <w:p w:rsidR="0085709A" w:rsidRDefault="0085709A" w:rsidP="0085709A">
      <w:pPr>
        <w:pStyle w:val="SntesisAnaltica"/>
      </w:pPr>
      <w:r>
        <w:t>Límites a la potestad tributaria de las Comunidades Autónomas: nulidad del precepto legal que regula el impuesto sobre los depósitos en las entidades de crédito (STC 26/2015). Voto particular.</w:t>
      </w:r>
    </w:p>
    <w:p w:rsidR="0085709A" w:rsidRDefault="0085709A" w:rsidP="0085709A">
      <w:pPr>
        <w:pStyle w:val="SntesisAnaltica"/>
      </w:pPr>
    </w:p>
    <w:p w:rsidR="0085709A" w:rsidRDefault="0085709A" w:rsidP="0085709A">
      <w:pPr>
        <w:pStyle w:val="Extracto"/>
      </w:pPr>
      <w:r>
        <w:t>1.</w:t>
      </w:r>
      <w:r>
        <w:tab/>
        <w:t>Se declara la inconstitucionalidad y nulidad tanto del art. 161 de la Ley de las Cortes Valencianas 5/2013, de 23 de diciembre, de medidas fiscales, de gestión administrativa y financiera, y de organización de la Generalitat, como del art. 6.2 LOFCA,  por vulneración de los arts. 133.2 y 157.3 CE [FJ 4].</w:t>
      </w:r>
    </w:p>
    <w:p w:rsidR="0085709A" w:rsidRDefault="0085709A" w:rsidP="0085709A">
      <w:pPr>
        <w:pStyle w:val="Extracto"/>
      </w:pPr>
    </w:p>
    <w:p w:rsidR="0085709A" w:rsidRDefault="0085709A" w:rsidP="0085709A">
      <w:pPr>
        <w:pStyle w:val="Extracto"/>
      </w:pPr>
      <w:r>
        <w:t>2.</w:t>
      </w:r>
      <w:r>
        <w:tab/>
        <w:t>Las diferencias relativas al tipo de gravamen y a las deducciones en la cuota, entre el impuesto sobre los depósitos en las entidades de crédito estatal, en su redacción originaria, y el impuesto sobre los depósitos en las entidades de crédito autonómico, no alcanzan a determinar que el hecho imponible de ambos tributos sea distinto (STC 26/2015) [FJ 4].</w:t>
      </w:r>
    </w:p>
    <w:p w:rsidR="0085709A" w:rsidRDefault="0085709A" w:rsidP="0085709A">
      <w:pPr>
        <w:pStyle w:val="Extracto"/>
      </w:pPr>
    </w:p>
    <w:p w:rsidR="0085709A" w:rsidRDefault="0085709A" w:rsidP="0085709A">
      <w:pPr>
        <w:pStyle w:val="Extracto"/>
      </w:pPr>
      <w:r>
        <w:t>3.</w:t>
      </w:r>
      <w:r>
        <w:tab/>
        <w:t>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inconstitucionalidad núm. 5832-2014, interpuesto por la Presidenta, en funciones, del Gobierno contra el art. 161 de la Ley de la Generalitat Valenciana 5/2013, de 23 de diciembre, de medidas fiscales, de gestión administrativa y financiera, y de organización de la Generalitat. Han intervenido y formulado alegaciones la Generalitat y las Cortes Valencianas. Ha sido Ponente el Magistrado don Juan José González Rivas, que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29 de septiembre de 2014 el Abogado del Estado, en nombre de la Presidenta en funciones del Gobierno, interpuso recurso de inconstitucionalidad contra el art. 161 de la Ley de las Cortes Valencianas 5/2013, de 23 de diciembre, de medidas fiscales, de gestión administrativa y financiera, y de organización de la Generalitat, norma que entró en vigor el 1 de enero de 2014 (Ley 5/2013, en lo que sigue). Se invocó el art. 161.2 CE a fin de que se acordase la suspensión de los preceptos impugnados en el presente recurso de inconstitucionalidad.</w:t>
      </w:r>
    </w:p>
    <w:p w:rsidR="0085709A" w:rsidRDefault="0085709A" w:rsidP="0085709A">
      <w:pPr>
        <w:pStyle w:val="TextoNormal"/>
      </w:pPr>
    </w:p>
    <w:p w:rsidR="0085709A" w:rsidRDefault="0085709A" w:rsidP="0085709A">
      <w:pPr>
        <w:pStyle w:val="TextoNormal"/>
      </w:pPr>
      <w:r>
        <w:t>Comienza el alegato describiendo sucintamente los elementos esenciales del impuesto sobre los depósitos en las entidades de crédito como tributo propio de la Comunidad Valenciana. Una vez descritos sus elementos esenciales se concluye que los mismos, y en particular los identificadores de la estructura del tributo —hecho y base imponibles, sujetos pasivos, exenciones o supuestos de no sujeción y devengo— coinciden sustancialmente con el impuesto, del mismo nombre, creado por el Estado mediante la Ley 16/2012, de 27 de diciembre, por la que se adoptan diversas medidas tributarias dirigidas a la consolidación de las finanzas públicas y al impulso de la actividad económica (Ley 16/2012, en adelante).</w:t>
      </w:r>
    </w:p>
    <w:p w:rsidR="0085709A" w:rsidRDefault="0085709A" w:rsidP="0085709A">
      <w:pPr>
        <w:pStyle w:val="TextoNormal"/>
      </w:pPr>
    </w:p>
    <w:p w:rsidR="0085709A" w:rsidRDefault="0085709A" w:rsidP="0085709A">
      <w:pPr>
        <w:pStyle w:val="TextoNormal"/>
      </w:pPr>
      <w:r>
        <w:t>A continuación, se cita la doctrina de este Tribunal acerca de la autonomía financiera de las Comunidades Autónomas y su vinculación con la autonomía política (entre otras, STC 13/1992, de 6 de febrero, FJ 7), cuyo ejercicio implica la capacidad de las Comunidades Autónomas para establecer y exigir sus propios tributos de acuerdo con lo establecido en los arts. 133.2 y 157.1 CE. Se trata así de un poder tributario que está sujeto a límites intrínsecos y extrínsecos, como se desprende de la Constitución, y del bloque de la constitucionalidad, citándose a ese respecto el art. 67 del Estatuto de Autonomía de Valencia, que remite precisamente a la ley orgánica a que se refiere también el art. 157.3 CE, esto es, la Ley Orgánica 8/1980, de 22 de septiembre, de financiación de las Comunidades Autónomas (LOFCA, en lo que sigue).</w:t>
      </w:r>
    </w:p>
    <w:p w:rsidR="0085709A" w:rsidRDefault="0085709A" w:rsidP="0085709A">
      <w:pPr>
        <w:pStyle w:val="TextoNormal"/>
      </w:pPr>
    </w:p>
    <w:p w:rsidR="0085709A" w:rsidRDefault="0085709A" w:rsidP="0085709A">
      <w:pPr>
        <w:pStyle w:val="TextoNormal"/>
      </w:pPr>
      <w:r>
        <w:t>A partir de lo anterior se cita la doctrina constitucional referida al art. 6 LOFCA, en su redacción otorgada por la Ley Orgánica 3/2009, con extensa cita de la STC 210/2012, de 14 de noviembre, sobre el impuesto sobre depósitos bancarios en Extremadura.</w:t>
      </w:r>
    </w:p>
    <w:p w:rsidR="0085709A" w:rsidRDefault="0085709A" w:rsidP="0085709A">
      <w:pPr>
        <w:pStyle w:val="TextoNormal"/>
      </w:pPr>
    </w:p>
    <w:p w:rsidR="0085709A" w:rsidRDefault="0085709A" w:rsidP="0085709A">
      <w:pPr>
        <w:pStyle w:val="TextoNormal"/>
      </w:pPr>
      <w:r>
        <w:t xml:space="preserve">Se concluye fundamentando la inconstitucionalidad del impuesto sobre los depósitos en entidades de crédito de la Comunidad Valenciana en su coincidencia, en todos los elementos sustanciales, con el impuesto sobre los depósitos en las entidades de crédito. A este respecto, </w:t>
      </w:r>
      <w:r>
        <w:lastRenderedPageBreak/>
        <w:t>resalta el escrito que ciertamente existe una diferencia en el ámbito de aplicación territorial, dado que el tributo autonómico se aplica sólo en la Comunidad Valenciana, si bien esto es inherente a la propia definición de tributo propio autonómico. El precepto impugnado infringe por lo tanto los arts. 133, 157.3 CE; y 6.2 LOFCA.</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21 de octubre de 2014 el Pleno del Tribunal Constitucional, a propuesta de la Sección Tercera, acordó admitir a trámite el recurso de inconstitucionalidad y dar traslado de la demanda y documentos presentados, conforme establece el art. 34 de la Ley Orgánica del Tribunal Constitucional (LOTC), al Congreso de los Diputados y al Senado, así como al Gobierno de la Generalitat Valenciana y a las Cortes Valencianas,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—29 de septiembre de 2014— para las partes del proceso y desde el día en que aparezca publicada la suspensión en el “Boletín Oficial del Estado” para los terceros, lo que se comunicó a los Presidentes del Gobierno de la Generalitat Valenciana y a las Cortes Valencianas. Por último, también se ordenó publicar la incoación del recurso en el “Boletín Oficial del Estado” y en el “Diari Oficial de la Generalitat Valenciana”.</w:t>
      </w:r>
    </w:p>
    <w:p w:rsidR="0085709A" w:rsidRDefault="0085709A" w:rsidP="0085709A">
      <w:pPr>
        <w:pStyle w:val="TextoNormal"/>
      </w:pPr>
    </w:p>
    <w:p w:rsidR="0085709A" w:rsidRDefault="0085709A" w:rsidP="0085709A">
      <w:pPr>
        <w:pStyle w:val="TextoNormal"/>
      </w:pPr>
      <w:r w:rsidRPr="0085709A">
        <w:rPr>
          <w:rStyle w:val="NumeroAFNegritaCaracter"/>
        </w:rPr>
        <w:t>3</w:t>
      </w:r>
      <w:r>
        <w:t>. Mediante escrito registrado el 29 de octubre de 2014, el Presidente del Senado comunicó que la Cámara se personaba en el proceso, ofreciendo su colaboración.</w:t>
      </w:r>
    </w:p>
    <w:p w:rsidR="0085709A" w:rsidRDefault="0085709A" w:rsidP="0085709A">
      <w:pPr>
        <w:pStyle w:val="TextoNormal"/>
      </w:pPr>
    </w:p>
    <w:p w:rsidR="0085709A" w:rsidRDefault="0085709A" w:rsidP="0085709A">
      <w:pPr>
        <w:pStyle w:val="TextoNormal"/>
      </w:pPr>
      <w:r w:rsidRPr="0085709A">
        <w:rPr>
          <w:rStyle w:val="NumeroAFNegritaCaracter"/>
        </w:rPr>
        <w:t>4</w:t>
      </w:r>
      <w:r>
        <w:t>. Por escrito registrado el mismo día, el Director general de la Abogacía General de la Generalitat Valenciana solicita prórroga del plazo para personarse y alegar en este proceso constitucional, que la providencia de 31 de octubre de 2014 del Pleno del Tribunal Constitucional concede por período de ocho días.</w:t>
      </w:r>
    </w:p>
    <w:p w:rsidR="0085709A" w:rsidRDefault="0085709A" w:rsidP="0085709A">
      <w:pPr>
        <w:pStyle w:val="TextoNormal"/>
      </w:pPr>
    </w:p>
    <w:p w:rsidR="0085709A" w:rsidRDefault="0085709A" w:rsidP="0085709A">
      <w:pPr>
        <w:pStyle w:val="TextoNormal"/>
      </w:pPr>
      <w:r w:rsidRPr="0085709A">
        <w:rPr>
          <w:rStyle w:val="NumeroAFNegritaCaracter"/>
        </w:rPr>
        <w:t>5</w:t>
      </w:r>
      <w:r>
        <w:t>. El Presidente del Congreso de los Diputados, mediante escrito registrado el día 30 de octubre de 2014, comunicó que la Mesa de la Cámara había acordado que se personase en este procedimiento y ofrecer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registrado el 19 de noviembre de 2014, el Letrado de las Cortes Valencianas se persona en el proceso y formula alegaciones.</w:t>
      </w:r>
    </w:p>
    <w:p w:rsidR="0085709A" w:rsidRDefault="0085709A" w:rsidP="0085709A">
      <w:pPr>
        <w:pStyle w:val="TextoNormal"/>
      </w:pPr>
    </w:p>
    <w:p w:rsidR="0085709A" w:rsidRDefault="0085709A" w:rsidP="0085709A">
      <w:pPr>
        <w:pStyle w:val="TextoNormal"/>
      </w:pPr>
      <w:r>
        <w:t xml:space="preserve">Sostiene que la Generalitat Valenciana, en virtud de la autonomía financiera constitucionalmente reconocida a las Comunidades Autónomas por el art. 156.1 CE, puede crear tributos siempre que se ajusten al marco diseñado por el Estado en la ley orgánica remitida por el art. 157.3 CE, en este caso al art. 6.2 LOFCA, que prohíbe tributos autonómicos que incidan sobre el mismo hecho imponible de otros estatales. Sobre la interpretación constitucional del límite previsto en el art. 6.2 LOFCA, trae a colación la STC 210/2012, cuyo fundamento jurídico cuarto afirma “que este precepto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 a negar en la práctica la posibilidad de que se creen, al menos, por el </w:t>
      </w:r>
      <w:r>
        <w:lastRenderedPageBreak/>
        <w:t>momento, nuevos impuestos autonómicos”, afirmando en ese mismo fundamento como conclusión que “para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w:t>
      </w:r>
    </w:p>
    <w:p w:rsidR="0085709A" w:rsidRDefault="0085709A" w:rsidP="0085709A">
      <w:pPr>
        <w:pStyle w:val="TextoNormal"/>
      </w:pPr>
    </w:p>
    <w:p w:rsidR="0085709A" w:rsidRDefault="0085709A" w:rsidP="0085709A">
      <w:pPr>
        <w:pStyle w:val="TextoNormal"/>
      </w:pPr>
      <w:r>
        <w:t>Con este trasfondo, alega que no puede obviarse, al valorar la similitud de “hechos imponibles gravados” por el impuesto autonómico y por el estatal, la ausencia de establecimiento en la fecha de aprobación del art. 161 de la Ley 5/2013 de la Generalitat de un gravamen efectivo sobre el mismo hecho imponible por el impuesto estatal, pues el art. 19 de la Ley 16/2012 contemplaba un tipo de gravamen cero. Afirma, en consecuencia, que el impuesto sobre los depósitos en las entidades de crédito creado por el Estado mediante la Ley 16/2012 es, hasta la aprobación del Real Decreto-ley 8/2014, de 4 de julio, un tributo aparente para el que no se prevé por el propio Estado tributación alguna en el ejercicio 2013, respecto del cual no hay que realizar actuación alguna de gestión, que no genera obligación alguna para los contribuyentes y para cuya aplicación el Ministerio de Hacienda no dictó disposición reglamentaria de desarrollo alguna. De todo ello deriva que el impuesto estatal, hasta que el Real Decreto-ley 8/2014 le ha señalado el tipo del 0,03 por 100, no gravaba el hecho imponible sobre el que incidió la Ley valenciana. No se infringe así el art. 6.2 LOFCA que requiere que la similitud entre hechos imponibles lo sea entre aquéllos que estén efectivamente “gravados”.</w:t>
      </w:r>
    </w:p>
    <w:p w:rsidR="0085709A" w:rsidRDefault="0085709A" w:rsidP="0085709A">
      <w:pPr>
        <w:pStyle w:val="TextoNormal"/>
      </w:pPr>
    </w:p>
    <w:p w:rsidR="0085709A" w:rsidRDefault="0085709A" w:rsidP="0085709A">
      <w:pPr>
        <w:pStyle w:val="TextoNormal"/>
      </w:pPr>
      <w:r>
        <w:t>Finaliza el alegato con una extensa cita de los impuestos sobre depósitos bancarios ya creados por las Comunidades Autónomas, así como de la regulación del impuesto sobre los depósitos en las entidades de crédito estatal. En este sentido, destaca que la limitación de la compensación a que hace referencia la Ley del Estado, en el sentido de que se compensará únicamente en el caso de “aquellos tributos propios de las Comunidades Autónomas establecidos en una Ley aprobada con anterioridad a 1 de diciembre de 2012” (art. 19.13 de la Ley 16/2012) supone una limitación indebida de la autonomía financiera de la Comunidad Autónoma. En consecuencia, y dado que el impuesto estatal no existe realmente hasta que el Real Decreto-ley 8/2014 le otorga tipo de gravamen efectivo, considera que hasta ese momento el impuesto autonómico es legítimo, si bien a partir de la entrada en vigor del art. 124 del citado Real Decreto-ley 8/2014 debe prevalecer la aplicación del impuesto estatal, “debiendo ser incluida la Comunitat Valenciana entre las Comunidades Autónomas con derecho a percibir la compensación por pérdida de ingresos tributarios prevista en el art. 6.2 de la propia LOFCA”.</w:t>
      </w:r>
    </w:p>
    <w:p w:rsidR="0085709A" w:rsidRDefault="0085709A" w:rsidP="0085709A">
      <w:pPr>
        <w:pStyle w:val="TextoNormal"/>
      </w:pPr>
    </w:p>
    <w:p w:rsidR="0085709A" w:rsidRDefault="0085709A" w:rsidP="0085709A">
      <w:pPr>
        <w:pStyle w:val="TextoNormal"/>
      </w:pPr>
      <w:r w:rsidRPr="0085709A">
        <w:rPr>
          <w:rStyle w:val="NumeroAFNegritaCaracter"/>
        </w:rPr>
        <w:t>7</w:t>
      </w:r>
      <w:r>
        <w:t>. La Directora de asuntos contenciosos de la Abogacía General de la Generalitat Valenciana, en la representación legal que ostenta, cumplimentó el trámite de alegaciones mediante escrito registrado el 27 de noviembre de 2014 en el que solicita la desestimación del recurso de inconstitucionalidad.</w:t>
      </w:r>
    </w:p>
    <w:p w:rsidR="0085709A" w:rsidRDefault="0085709A" w:rsidP="0085709A">
      <w:pPr>
        <w:pStyle w:val="TextoNormal"/>
      </w:pPr>
    </w:p>
    <w:p w:rsidR="0085709A" w:rsidRDefault="0085709A" w:rsidP="0085709A">
      <w:pPr>
        <w:pStyle w:val="TextoNormal"/>
      </w:pPr>
      <w:r>
        <w:t xml:space="preserve">Comienza el escrito recogiendo de forma detallada la Ley estatal 16/2012, y su posterior modificación mediante Real Decreto-ley 8/2014. Se cita también </w:t>
      </w:r>
      <w:r w:rsidRPr="0085709A">
        <w:rPr>
          <w:i/>
        </w:rPr>
        <w:t>in extenso</w:t>
      </w:r>
      <w:r>
        <w:t xml:space="preserve"> la doctrina de este Tribunal acerca de los límites constitucionales al establecimiento y regulación de los tributos propios autonómicos (por todas, STC 122/2012).</w:t>
      </w:r>
    </w:p>
    <w:p w:rsidR="0085709A" w:rsidRDefault="0085709A" w:rsidP="0085709A">
      <w:pPr>
        <w:pStyle w:val="TextoNormal"/>
      </w:pPr>
    </w:p>
    <w:p w:rsidR="0085709A" w:rsidRDefault="0085709A" w:rsidP="0085709A">
      <w:pPr>
        <w:pStyle w:val="TextoNormal"/>
      </w:pPr>
      <w:r>
        <w:lastRenderedPageBreak/>
        <w:t>Alega que, en el momento de dictarse la Ley valenciana impugnada, el impuesto estatal creado mediante el art. 19 de la Ley 16/2012, de 27 de diciembre por el que se adoptan diversas medidas tributarias dirigidas a la consolidación de las finanzas públicas y al impulso de la actividad económica (Ley 16/2012, en adelante) tenía un tipo de gravamen cero, por lo que no gravaba el mismo hecho imponible sobre el que recae el impuesto autonómico. Añade que el Real Decreto-ley 8/2014 que cambia el tipo de gravamen del impuesto estatal y lo sitúa en el 0,03 por 100 (art. 124.3 del Real Decreto-ley 8/2014), como ya ha expuesto la misma representación en el recurso de inconstitucionalidad que ha deducido contra él, tiene por único fin dejar sin argumento los recursos de inconstitucionalidad contra el art. 19 de la Ley 16/2012, no se apoya en circunstancias suficientes que puedan justificar ese instrumento normativo excepcional, lesiona la seguridad jurídica de los contribuyentes y supone “una restricción retroactiva de la capacidad financiera de la Comunidad Valenciana con vulneración del art. 9.3 CE”.</w:t>
      </w:r>
    </w:p>
    <w:p w:rsidR="0085709A" w:rsidRDefault="0085709A" w:rsidP="0085709A">
      <w:pPr>
        <w:pStyle w:val="TextoNormal"/>
      </w:pPr>
    </w:p>
    <w:p w:rsidR="0085709A" w:rsidRDefault="0085709A" w:rsidP="0085709A">
      <w:pPr>
        <w:pStyle w:val="TextoNormal"/>
      </w:pPr>
      <w:r>
        <w:t>En el otrosí primero del mencionado escrito solicita, como ya había hecho la representación de las Cortes Valencianas, el levantamiento inmediato de la suspensión que pesa sobre la norma impugnada.</w:t>
      </w:r>
    </w:p>
    <w:p w:rsidR="0085709A" w:rsidRDefault="0085709A" w:rsidP="0085709A">
      <w:pPr>
        <w:pStyle w:val="TextoNormal"/>
      </w:pPr>
    </w:p>
    <w:p w:rsidR="0085709A" w:rsidRDefault="0085709A" w:rsidP="0085709A">
      <w:pPr>
        <w:pStyle w:val="TextoNormal"/>
      </w:pPr>
      <w:r w:rsidRPr="0085709A">
        <w:rPr>
          <w:rStyle w:val="NumeroAFNegritaCaracter"/>
        </w:rPr>
        <w:t>8</w:t>
      </w:r>
      <w:r>
        <w:t>. El Pleno, mediante sendas providencias de 1 y 2 de diciembre de 2014 acordó incorporar a los autos los escritos formulados por el Letrado de las Cortes Valencianas y la Directora de asuntos contenciosos de la Abogacía General de la Generalitat Valenciana, respectivamente, y en cuanto a su solicitud de levantamiento de la suspensión de los preceptos objeto de recurso, oír al Abogado del Estado y a dichas partes personadas para que, en el plazo de cinco días, expongan lo que estimen procedente al respecto.</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mediante escrito registrado en este Tribunal el 11 de diciembre de 2014, formuló sus alegaciones interesando el mantenimiento de la suspensión.</w:t>
      </w:r>
    </w:p>
    <w:p w:rsidR="0085709A" w:rsidRDefault="0085709A" w:rsidP="0085709A">
      <w:pPr>
        <w:pStyle w:val="TextoNormal"/>
      </w:pPr>
    </w:p>
    <w:p w:rsidR="0085709A" w:rsidRDefault="0085709A" w:rsidP="0085709A">
      <w:pPr>
        <w:pStyle w:val="TextoNormal"/>
      </w:pPr>
      <w:r w:rsidRPr="0085709A">
        <w:rPr>
          <w:rStyle w:val="NumeroAFNegritaCaracter"/>
        </w:rPr>
        <w:t>10</w:t>
      </w:r>
      <w:r>
        <w:t>. Por escrito registrado el 11 de diciembre de 2014, la Directora de asuntos contenciosos de la Abogacía General de la Generalitat Valenciana, en la representación legal que ostenta, evacuó el traslado conferido por la providencia del Pleno de 3 de diciembre anterior, reiterando literalmente las razones que, para solicitar el levantamiento inmediato de la suspensión de la norma impugnada, expuso en el otrosí primero de su escrito de alegaciones registrado el 27 de noviembre de 2014.</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17 de febrero de 2015 se señaló para deliberación y votación de la presente Sentencia el día 19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objeto del presente recurso consiste en examinar la constitucionalidad del art. 161 de la Ley de las Cortes Valencianas 5/2013, de 23 de diciembre, de medidas fiscales, de gestión administrativa y financiera, y de organización de la Generalitat, que crea el impuesto sobre depósitos en entidades de crédito, como tributo aplicable a las entidades de crédito que operen en el territorio de la Comunidad Valenciana, y establece las disposiciones por </w:t>
      </w:r>
      <w:r>
        <w:lastRenderedPageBreak/>
        <w:t>las que se rige, a cuyo contenido nos referimos en el fundamento jurídico 4 de esta resolución.</w:t>
      </w:r>
    </w:p>
    <w:p w:rsidR="0085709A" w:rsidRDefault="0085709A" w:rsidP="0085709A">
      <w:pPr>
        <w:pStyle w:val="TextoNormal"/>
      </w:pPr>
    </w:p>
    <w:p w:rsidR="0085709A" w:rsidRDefault="0085709A" w:rsidP="0085709A">
      <w:pPr>
        <w:pStyle w:val="TextoNormal"/>
      </w:pPr>
      <w:r>
        <w:t xml:space="preserve">El Abogado del Estado sostiene que el impuesto valenciano vulnera los límites de la potestad tributaria autonómica </w:t>
      </w:r>
      <w:r w:rsidRPr="0085709A">
        <w:rPr>
          <w:i/>
        </w:rPr>
        <w:t>ex</w:t>
      </w:r>
      <w:r>
        <w:t xml:space="preserve"> art. 6.2 de la Ley Orgánica 8/1980, de 22 de septiembre, de financiación de las Comunidades Autónomas (LOFCA) pues el mismo hecho imponible está gravado por el impuesto estatal sobre los depósitos en las entidades de crédito regulado por el art. 19 de la Ley 16/2012, de 27 de diciembre, por el que se adoptan diversas medidas tributarias dirigidas a la consolidación de las finanzas públicas y al impulso de la actividad económica.</w:t>
      </w:r>
    </w:p>
    <w:p w:rsidR="0085709A" w:rsidRDefault="0085709A" w:rsidP="0085709A">
      <w:pPr>
        <w:pStyle w:val="TextoNormal"/>
      </w:pPr>
    </w:p>
    <w:p w:rsidR="0085709A" w:rsidRDefault="0085709A" w:rsidP="0085709A">
      <w:pPr>
        <w:pStyle w:val="TextoNormal"/>
      </w:pPr>
      <w:r>
        <w:t>Las representaciones de las Cortes Valencianas y de la Generalitat Valenciana rechazan que, a pesar de la similitudes entre ambos tributos, el hecho imponible sea el mismo porque en el caso estatal se prevé un tipo cero, con lo que no hay una doble imposición efectiva. En esencia consideran, como ha quedado expuesto en los antecedentes, que el impuesto sobre los depósitos en las entidades de crédito creado por el Estado mediante la Ley 16/2012 no es un auténtico tributo hasta la aprobación del Real Decreto-ley 8/2014, de 4 de julio, de aprobación de medidas urgentes para el crecimiento, la competitividad y la eficiencia (Real Decreto-ley 8/2014, en adelante), en cuyo art. 124 se establece un tipo de gravamen del 0,03 por 100, de suerte que deja de ser un impuesto de tipo cero.</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Antes de examinar el fondo de la presente controversia, debemos precisar el canon para su resolución, partiendo para ello de nuestra doctrina sobre el </w:t>
      </w:r>
      <w:r w:rsidRPr="0085709A">
        <w:rPr>
          <w:i/>
        </w:rPr>
        <w:t>ius superveniens</w:t>
      </w:r>
      <w:r>
        <w:t xml:space="preserve"> aplicable a procesos como el presente, de suerte que el control de las normas que incurren en un posible exceso competencial debe hacerse de acuerdo con las normas del bloque de la constitucionalidad vigentes en el momento de dictar Sentencia [por todas, SSTC 35/2012, de 15 de marzo, FJ 2 c); y 210/2012, de 14 de noviembre, FJ 2 c)].</w:t>
      </w:r>
    </w:p>
    <w:p w:rsidR="0085709A" w:rsidRDefault="0085709A" w:rsidP="0085709A">
      <w:pPr>
        <w:pStyle w:val="TextoNormal"/>
      </w:pPr>
    </w:p>
    <w:p w:rsidR="0085709A" w:rsidRDefault="0085709A" w:rsidP="0085709A">
      <w:pPr>
        <w:pStyle w:val="TextoNormal"/>
      </w:pPr>
      <w:r>
        <w:t>En este sentido, debe recordarse una vez más que este Tribunal ha otorgado relevancia a la legislación básica sobrevenida, especialmente cuando se trata de enjuiciar la adecuación al orden constitucional de competencias de las normas autonómicas preexistentes a la nueva legislación estatal. Por todas, en la STC 1/2003, de 16 de enero (FJ 9), ya establecimos que la disconformidad sobrevenida de las disposiciones autonómicas cuestionadas con las nuevas bases adoptadas por el legislador estatal determina la actual inconstitucionalidad de aquellas disposiciones originariamente respetuosas del orden constitucional de distribución de competencias, toda vez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(STC 1/2003, FJ 9, con cita de las SSTC 28/1997, de 13 de febrero, FJ 2; y 170/1989, de 19 de octubre, FJ 3).</w:t>
      </w:r>
    </w:p>
    <w:p w:rsidR="0085709A" w:rsidRDefault="0085709A" w:rsidP="0085709A">
      <w:pPr>
        <w:pStyle w:val="TextoNormal"/>
      </w:pPr>
    </w:p>
    <w:p w:rsidR="0085709A" w:rsidRDefault="0085709A" w:rsidP="0085709A">
      <w:pPr>
        <w:pStyle w:val="TextoNormal"/>
      </w:pPr>
      <w:r>
        <w:t xml:space="preserve">Ciertamente el art. 19 de la Ley 16/2012, de 27 de diciembre, por la que se adoptan diversas medidas tributarias dirigidas a la consolidación de las finanzas públicas y al impulso de la actividad económica por la que se establece el impuesto sobre los depósitos en las entidades de crédito estatal no integra el bloque de la constitucionalidad. Sin embargo, sí constituye un parámetro de control de los impuestos creados por las Comunidades Autónomas, a consecuencia de la aplicación del art. 6.2 de la Ley Orgánica 8/1980, de 22 de </w:t>
      </w:r>
      <w:r>
        <w:lastRenderedPageBreak/>
        <w:t>septiembre, de financiación de las Comunidades Autónomas (LOFCA), precepto que establece que “[l]os tributos que establezcan las Comunidades Autónomas no podrán recaer sobre hechos imponibles gravados por el Estado.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w:t>
      </w:r>
    </w:p>
    <w:p w:rsidR="0085709A" w:rsidRDefault="0085709A" w:rsidP="0085709A">
      <w:pPr>
        <w:pStyle w:val="TextoNormal"/>
      </w:pPr>
    </w:p>
    <w:p w:rsidR="0085709A" w:rsidRDefault="0085709A" w:rsidP="0085709A">
      <w:pPr>
        <w:pStyle w:val="TextoNormal"/>
      </w:pPr>
      <w:r>
        <w:t>Resulta por tanto que es preciso comparar el impuesto autonómico de la Comunidad Valenciana con el previamente establecido por el Estado (impuesto sobre los depósitos en las entidades de crédito), teniendo en cuenta a estos efectos la redacción de este último tributo vigente en el momento de dictar sentencia. En este caso, por tanto, deberá atenderse al impuesto sobre los depósitos en las entidades de crédito regulado en la Ley 16/2012 en su redacción actual, tras las dos modificaciones que han tenido lugar: en primer lugar, mediante el art. 124 del Real Decreto-ley 8/2014, de 4 de julio, de aprobación de medidas urgentes para el crecimiento, la competitividad y la eficiencia (Real Decreto-ley 8/2014, en adelante); y, en segundo lugar, por el art. 124 de la Ley 18/2014, de 15 de octubre, de aprobación de medidas urgentes para el crecimiento, la competitividad y la eficiencia.</w:t>
      </w:r>
    </w:p>
    <w:p w:rsidR="0085709A" w:rsidRDefault="0085709A" w:rsidP="0085709A">
      <w:pPr>
        <w:pStyle w:val="TextoNormal"/>
      </w:pPr>
    </w:p>
    <w:p w:rsidR="0085709A" w:rsidRDefault="0085709A" w:rsidP="0085709A">
      <w:pPr>
        <w:pStyle w:val="TextoNormal"/>
      </w:pPr>
      <w:r>
        <w:t>Finalmente, debemos en este lugar dejar constancia de que, en su redacción originaria, el art. 19 de la citada Ley 16/2012 fue objeto de impugnación en los recursos 1808-2013, 1873-2013, y 1881-2013. Con posterioridad, el art. 124 del Real Decreto-Ley 8/2014 ha sido objeto de los recursos de inconstitucionalidad número 5952-2014 y 5970-2014, y la Ley 18/2014 ha sido impugnada en el recurso de inconstitucionalidad 275-2015.</w:t>
      </w:r>
    </w:p>
    <w:p w:rsidR="0085709A" w:rsidRDefault="0085709A" w:rsidP="0085709A">
      <w:pPr>
        <w:pStyle w:val="TextoNormal"/>
      </w:pPr>
    </w:p>
    <w:p w:rsidR="0085709A" w:rsidRDefault="0085709A" w:rsidP="0085709A">
      <w:pPr>
        <w:pStyle w:val="TextoNormal"/>
      </w:pPr>
      <w:r>
        <w:t>A los efectos que aquí interesan, cabe resaltar que este Tribunal ha resuelto la impugnación del artículo 19 contenida en el recurso 1808-2013 en la que se controvertía precisamente la naturaleza del impuesto sobre los depósitos en las entidades de crédito con tipo de gravamen cero.</w:t>
      </w:r>
    </w:p>
    <w:p w:rsidR="0085709A" w:rsidRDefault="0085709A" w:rsidP="0085709A">
      <w:pPr>
        <w:pStyle w:val="TextoNormal"/>
      </w:pPr>
    </w:p>
    <w:p w:rsidR="0085709A" w:rsidRDefault="0085709A" w:rsidP="0085709A">
      <w:pPr>
        <w:pStyle w:val="TextoNormal"/>
      </w:pPr>
      <w:r>
        <w:t>En efecto, en nuestra Sentencia 26/2015, de 19 de febrero, dictada en el recurso de inconstitucionalidad 1808-2013, ya descartamos la inconstitucionalidad del impuesto sobre los depósitos en las entidades de crédito por el mero hecho de tratarse de un tributo de tipo cero. De esta manera, afirmamos en el fundamento cuarto y de manera extractada a los efectos de esta resolución:</w:t>
      </w:r>
    </w:p>
    <w:p w:rsidR="0085709A" w:rsidRDefault="0085709A" w:rsidP="0085709A">
      <w:pPr>
        <w:pStyle w:val="TextoNormal"/>
      </w:pPr>
    </w:p>
    <w:p w:rsidR="0085709A" w:rsidRDefault="0085709A" w:rsidP="0085709A">
      <w:pPr>
        <w:pStyle w:val="TextoNormal"/>
      </w:pPr>
      <w:r>
        <w:t>— El empleo de las técnicas desgravatorias por el legislador puede llevar al resultado de que algunas fuentes de capacidad económica, estando formalmente sujetas al impuesto, estén exentas de tributación. Así sucede siempre que la ley prevé un mínimo exento o una deducción, o incluso un tipo de gravamen cero, como es el caso en el impuesto sobre el vino (art. 30 de la Ley 38/1992, del 28 de diciembre, de impuestos especiales); o, en el impuesto de sociedades (art. 29 de la Ley 27/2014, de 27 de noviembre, reguladora del impuesto de sociedades); o cuando se establece una exención temporal total, como la que estuvo en vigor durante los ejercicios 2008 a 2010, en el impuesto sobre el patrimonio (Ley 4/2008, de 23 de diciembre, por la que se suprime el gravamen del impuesto sobre el patrimonio); o, por poner sólo un ejemplo más, así sucede con las personas físicas eximidas de gravamen en el impuesto sobre las actividades económicas (art. 82 del Real Decreto Legislativo 2/2004, de 5 de marzo, por el que se aprueba el texto refundido de la Ley reguladora de las haciendas locales).</w:t>
      </w:r>
    </w:p>
    <w:p w:rsidR="0085709A" w:rsidRDefault="0085709A" w:rsidP="0085709A">
      <w:pPr>
        <w:pStyle w:val="TextoNormal"/>
      </w:pPr>
    </w:p>
    <w:p w:rsidR="0085709A" w:rsidRDefault="0085709A" w:rsidP="0085709A">
      <w:pPr>
        <w:pStyle w:val="TextoNormal"/>
      </w:pPr>
      <w:r>
        <w:t>— La posibilidad de emplear un tipo de gravamen cero se encuentra además expresamente contemplada en el art. 55.3 de la Ley 58/2003, de 17 de diciembre, general tributaria, que dispone que “la ley podrá prever la aplicación de un tipo cero, así como de tipos reducidos o bonificados”.</w:t>
      </w:r>
    </w:p>
    <w:p w:rsidR="0085709A" w:rsidRDefault="0085709A" w:rsidP="0085709A">
      <w:pPr>
        <w:pStyle w:val="TextoNormal"/>
      </w:pPr>
    </w:p>
    <w:p w:rsidR="0085709A" w:rsidRDefault="0085709A" w:rsidP="0085709A">
      <w:pPr>
        <w:pStyle w:val="TextoNormal"/>
      </w:pPr>
      <w:r>
        <w:t>— La conclusión de lo expuesto, a los efectos que aquí interesan, es que, siendo la finalidad de recaudar consustancial al propio concepto de tributo, la misma se predica del conjunto del sistema tributario, sin impedir el empleo de técnicas desgravatorias, entre las que se encuentra el tipo de gravamen cero.</w:t>
      </w:r>
    </w:p>
    <w:p w:rsidR="0085709A" w:rsidRDefault="0085709A" w:rsidP="0085709A">
      <w:pPr>
        <w:pStyle w:val="TextoNormal"/>
      </w:pPr>
    </w:p>
    <w:p w:rsidR="0085709A" w:rsidRDefault="0085709A" w:rsidP="0085709A">
      <w:pPr>
        <w:pStyle w:val="TextoNormal"/>
      </w:pPr>
      <w:r>
        <w:t>— En el caso del impuesto sobre los depósitos en las entidades de crédito, es evidente su finalidad de armonizar la sujeción a gravamen de la imposición sobre los depósitos en entidades de crédito, tal y como se anuncia en el propio preámbulo de la norma reguladora. Siendo esta finalidad lo determinante a efectos del art. 31.1 CE es que en el hecho imponible del tributo aparece efectivamente una fuente de capacidad económica, concretada en “el mantenimiento de fondos de terceros, cualquiera que sea su naturaleza jurídica..., y que comporten la obligación de restitución” (art. 19.3 de la Ley 16/2012).</w:t>
      </w:r>
    </w:p>
    <w:p w:rsidR="0085709A" w:rsidRDefault="0085709A" w:rsidP="0085709A">
      <w:pPr>
        <w:pStyle w:val="TextoNormal"/>
      </w:pPr>
    </w:p>
    <w:p w:rsidR="0085709A" w:rsidRDefault="0085709A" w:rsidP="0085709A">
      <w:pPr>
        <w:pStyle w:val="TextoNormal"/>
      </w:pPr>
      <w:r>
        <w:t>— Esta fuente de riqueza se cuantifica en la base imponible del tributo (art. 19.7 de la Ley 16/2012), si bien en la regulación inicial no se encuentra efectivamente sujeta a gravamen al establecerse inicialmente un tipo de gravamen cero (art. 19.8), que podrá ser modificado mediante Ley de presupuestos, según la habilitación contenida en el art. 19.11 de la misma Ley.</w:t>
      </w:r>
    </w:p>
    <w:p w:rsidR="0085709A" w:rsidRDefault="0085709A" w:rsidP="0085709A">
      <w:pPr>
        <w:pStyle w:val="TextoNormal"/>
      </w:pPr>
    </w:p>
    <w:p w:rsidR="0085709A" w:rsidRDefault="0085709A" w:rsidP="0085709A">
      <w:pPr>
        <w:pStyle w:val="TextoNormal"/>
      </w:pPr>
      <w:r>
        <w:t>— En este ámbito el Estado ha ejercido su competencia de coordinación en materia financiera (</w:t>
      </w:r>
      <w:r w:rsidRPr="0085709A">
        <w:rPr>
          <w:i/>
        </w:rPr>
        <w:t>ex</w:t>
      </w:r>
      <w:r>
        <w:t xml:space="preserve"> art. 149.1.14 CE en relación con los arts. 31 y 157.3 CE).</w:t>
      </w:r>
    </w:p>
    <w:p w:rsidR="0085709A" w:rsidRDefault="0085709A" w:rsidP="0085709A">
      <w:pPr>
        <w:pStyle w:val="TextoNormal"/>
      </w:pPr>
    </w:p>
    <w:p w:rsidR="0085709A" w:rsidRDefault="0085709A" w:rsidP="0085709A">
      <w:pPr>
        <w:pStyle w:val="TextoNormal"/>
      </w:pPr>
      <w:r>
        <w:t>Además, en el fundamento jurídico sexto de dicha Sentencia de 19 de febrero de 2015, recurso de inconstitucionalidad 1808-2013, analizamos si la exclusión de medidas de coordinación o compensación respecto de aquellos tributos autonómicos establecidos a partir del 1 de diciembre de 2012, como era el caso del catalán, contradecía el 6.2 LOFCA cuando ordena que “cuando el Estado, en el ejercicio de su potestad tributaria originaria establezca tributos sobre hechos imponibles gravados por las Comunidades Autónomas, que supongan a estas una disminución de ingresos, instrumentará las medidas de compensación o coordinación adecuadas a favor de las misma”. Abordar este análisis supone considerar que el ejercicio de su potestad tributaria originaria que el Estado hizo en el art. 19 de la Ley 16/2012 incide en el mismo hecho imponible que el impuesto sobre los depósitos en las entidades de crédito catalán establecido en el Decreto-ley 5/2012, de 18 de diciembre, a pesar de que éste, a diferencia del impuesto sobre los depósitos en las entidades de crédito estatal, establecía una escala de tipos de gravamen entre el 0,3 y el 0,5 por 100 y una serie de deducciones aplicables a la cuota líquida.</w:t>
      </w:r>
    </w:p>
    <w:p w:rsidR="0085709A" w:rsidRDefault="0085709A" w:rsidP="0085709A">
      <w:pPr>
        <w:pStyle w:val="TextoNormal"/>
      </w:pPr>
    </w:p>
    <w:p w:rsidR="0085709A" w:rsidRDefault="0085709A" w:rsidP="0085709A">
      <w:pPr>
        <w:pStyle w:val="TextoNormal"/>
      </w:pPr>
      <w:r w:rsidRPr="0085709A">
        <w:rPr>
          <w:rStyle w:val="NumeroAFNegritaCaracter"/>
        </w:rPr>
        <w:t>3</w:t>
      </w:r>
      <w:r>
        <w:t>. Para resolver la controversia planteada debe aplicarse nuestra doctrina sobre el art. 6.2 LOFCA.</w:t>
      </w:r>
    </w:p>
    <w:p w:rsidR="0085709A" w:rsidRDefault="0085709A" w:rsidP="0085709A">
      <w:pPr>
        <w:pStyle w:val="TextoNormal"/>
      </w:pPr>
    </w:p>
    <w:p w:rsidR="0085709A" w:rsidRDefault="0085709A" w:rsidP="0085709A">
      <w:pPr>
        <w:pStyle w:val="TextoNormal"/>
      </w:pPr>
      <w:r>
        <w:t xml:space="preserve">De acuerdo con nuestra jurisprudencia, los límites contenidos en la Ley Orgánica de financiación de las Comunidades Autónomas reflejan que la competencia autonómica para </w:t>
      </w:r>
      <w:r>
        <w:lastRenderedPageBreak/>
        <w:t xml:space="preserve">establecer tributos </w:t>
      </w:r>
      <w:r w:rsidRPr="0085709A">
        <w:rPr>
          <w:i/>
        </w:rPr>
        <w:t>ex novo</w:t>
      </w:r>
      <w:r>
        <w:t xml:space="preserve"> no se configura constitucionalmente en términos absolutos, sino que se encuentra sujeta a los límites establecidos en las leyes del Estado a que se refieren los arts. 133.2 y 157.3 CE (por todas, STC 49/1995, de 16 de febrero, FJ 4), dentro de la función que hemos reiterado que cumple la Ley Orgánica de financiación de las Comunidades Autónomas en el bloque de la constitucionalidad, como norma estatal que delimita las competencias financieras autonómicas (SSTC 72/2003, de 10 de abril, FJ 5; 31/2010, de 28 de junio, FJ 130; y 32/2012, de 15 de marzo, FJ 6).</w:t>
      </w:r>
    </w:p>
    <w:p w:rsidR="0085709A" w:rsidRDefault="0085709A" w:rsidP="0085709A">
      <w:pPr>
        <w:pStyle w:val="TextoNormal"/>
      </w:pPr>
    </w:p>
    <w:p w:rsidR="0085709A" w:rsidRDefault="0085709A" w:rsidP="0085709A">
      <w:pPr>
        <w:pStyle w:val="TextoNormal"/>
      </w:pPr>
      <w:r>
        <w:t>El poder tributario de las Comunidades Autónomas puede así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w:t>
      </w:r>
    </w:p>
    <w:p w:rsidR="0085709A" w:rsidRDefault="0085709A" w:rsidP="0085709A">
      <w:pPr>
        <w:pStyle w:val="TextoNormal"/>
      </w:pPr>
    </w:p>
    <w:p w:rsidR="0085709A" w:rsidRDefault="0085709A" w:rsidP="0085709A">
      <w:pPr>
        <w:pStyle w:val="TextoNormal"/>
      </w:pPr>
      <w:r>
        <w:t>Como recordamos en las SSTC 122/2012, de 5 de junio (FFJJ 4 a 7); y 210/2012, de 14 de noviembre (FJ 4), para determinar si se han vulnerado las prohibiciones de doble imposición contenidas en el art. 6.2 LOFCA, el examen de los tributos que se reputan coincidentes no puede ceñirse a la mera comparación de la definición legal de sus hechos imponibles, de manera que “no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(SSTC 122/2012, FJ 4; y 210/2012, FJ 4). En consecuencia, el método de comparación deberá tomar el examen del hecho imponible como punto de partida, pero abarcando también “los restantes elementos del tributo que se encuentran conectados con el hecho imponible, es decir, los sujetos pasivos, que constituyen el aspecto subjetivo del tributo, la base imponible, que representa la cuantificación del hecho imponible, la capacidad económica gravada ... o los supuestos de no sujeción y exención”, extendiéndose lógicamente también a los elementos de cuantificación del hecho imponible (SSTC 122/2012, FJ 7; 210/2012, FJ 4). Entre los elementos a comparar se encuentra lógicamente la posible concurrencia de fines extrafiscales en el tributo o, en alguno de sus elementos, (STC 122/2012, FJ 4), si bien teniendo en cuenta, como también hemos reiterado,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w:t>
      </w:r>
    </w:p>
    <w:p w:rsidR="0085709A" w:rsidRDefault="0085709A" w:rsidP="0085709A">
      <w:pPr>
        <w:pStyle w:val="TextoNormal"/>
      </w:pPr>
    </w:p>
    <w:p w:rsidR="0085709A" w:rsidRDefault="0085709A" w:rsidP="0085709A">
      <w:pPr>
        <w:pStyle w:val="TextoNormal"/>
      </w:pPr>
      <w:r>
        <w:t>En suma, para apreciar la coincidencia o no entre hechos imponibles, que es lo prohibido en el art. 6.2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Atendiendo además a la propia finalidad del art. 6 LOFCA, la comparación entre la norma reguladora del tributo autonómico y la del tributo estatal deberá llevarse a cabo teniendo en cuenta la regulación vigente del impuesto del Estado en el momento de resolver la controversia.</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Una vez recordado en estos términos el contenido del canon de enjuiciamiento del art. 6.2 y 3 LOFCA, debemos comenzar por examinar en este momento los elementos esenciales </w:t>
      </w:r>
      <w:r>
        <w:lastRenderedPageBreak/>
        <w:t>de los impuestos sobre depósitos bancarios estatal y autonómico (impuesto sobre los depósitos en las entidades de crédito e impuesto sobre los depósitos en las entidades de crédito de la Comunidad Valenciana), para comprobar su posible equivalencia, que de verificarse implicaría la vulneración del art. 6.2 LOFCA.</w:t>
      </w:r>
    </w:p>
    <w:p w:rsidR="0085709A" w:rsidRDefault="0085709A" w:rsidP="0085709A">
      <w:pPr>
        <w:pStyle w:val="TextoNormal"/>
      </w:pPr>
    </w:p>
    <w:p w:rsidR="0085709A" w:rsidRDefault="0085709A" w:rsidP="0085709A">
      <w:pPr>
        <w:pStyle w:val="TextoNormal"/>
      </w:pPr>
      <w:r>
        <w:t>El impuesto objeto de impugnación está regulado en el art. 161 de la Ley de la Generalitat Valenciana 5/2013, de 23 de diciembre, de Medidas Fiscales, de Gestión Administrativa y Financiera, y de Organización de la Generalitat, precepto que dispone lo siguiente:</w:t>
      </w:r>
    </w:p>
    <w:p w:rsidR="0085709A" w:rsidRDefault="0085709A" w:rsidP="0085709A">
      <w:pPr>
        <w:pStyle w:val="TextoNormal"/>
      </w:pPr>
    </w:p>
    <w:p w:rsidR="0085709A" w:rsidRDefault="0085709A" w:rsidP="0085709A">
      <w:pPr>
        <w:pStyle w:val="TextoNormal"/>
      </w:pPr>
      <w:r>
        <w:t>“Artículo 161. Impuesto sobre los depósitos en entidades de crédito.</w:t>
      </w:r>
    </w:p>
    <w:p w:rsidR="0085709A" w:rsidRDefault="0085709A" w:rsidP="0085709A">
      <w:pPr>
        <w:pStyle w:val="TextoNormal"/>
      </w:pPr>
    </w:p>
    <w:p w:rsidR="0085709A" w:rsidRDefault="0085709A" w:rsidP="0085709A">
      <w:pPr>
        <w:pStyle w:val="TextoNormal"/>
      </w:pPr>
      <w:r>
        <w:t>Se crea un nuevo impuesto sobre depósitos en entidades de crédito, que se regirá por las disposiciones incluidas en los siguientes apartados:</w:t>
      </w:r>
    </w:p>
    <w:p w:rsidR="0085709A" w:rsidRDefault="0085709A" w:rsidP="0085709A">
      <w:pPr>
        <w:pStyle w:val="TextoNormal"/>
      </w:pPr>
    </w:p>
    <w:p w:rsidR="0085709A" w:rsidRDefault="0085709A" w:rsidP="0085709A">
      <w:pPr>
        <w:pStyle w:val="TextoNormal"/>
      </w:pPr>
      <w:r>
        <w:t>1. Naturaleza y objeto del impuesto.</w:t>
      </w:r>
    </w:p>
    <w:p w:rsidR="0085709A" w:rsidRDefault="0085709A" w:rsidP="0085709A">
      <w:pPr>
        <w:pStyle w:val="TextoNormal"/>
      </w:pPr>
    </w:p>
    <w:p w:rsidR="0085709A" w:rsidRDefault="0085709A" w:rsidP="0085709A">
      <w:pPr>
        <w:pStyle w:val="TextoNormal"/>
      </w:pPr>
      <w:r>
        <w:t>El impuesto sobre depósitos en entidades de crédito es un impuesto propio de la Comunitat Valenciana, de carácter directo, que grava los depósitos constituidos en las entidades de crédito.</w:t>
      </w:r>
    </w:p>
    <w:p w:rsidR="0085709A" w:rsidRDefault="0085709A" w:rsidP="0085709A">
      <w:pPr>
        <w:pStyle w:val="TextoNormal"/>
      </w:pPr>
    </w:p>
    <w:p w:rsidR="0085709A" w:rsidRDefault="0085709A" w:rsidP="0085709A">
      <w:pPr>
        <w:pStyle w:val="TextoNormal"/>
      </w:pPr>
      <w:r>
        <w:t>2. Hecho imponible y supuesto de no sujeción.</w:t>
      </w:r>
    </w:p>
    <w:p w:rsidR="0085709A" w:rsidRDefault="0085709A" w:rsidP="0085709A">
      <w:pPr>
        <w:pStyle w:val="TextoNormal"/>
      </w:pPr>
    </w:p>
    <w:p w:rsidR="0085709A" w:rsidRDefault="0085709A" w:rsidP="0085709A">
      <w:pPr>
        <w:pStyle w:val="TextoNormal"/>
      </w:pPr>
      <w:r>
        <w:t>2.1. Constituye el hecho imponible del impuesto sobre depósitos en entidades de crédito el mantenimiento de fondos provenientes de terceros en la Comunitat Valenciana, cualquiera que sea su naturaleza jurídica, por parte de las entidades mencionadas en el apartado 4 de este artículo, y que comporten la obligación de restitución.</w:t>
      </w:r>
    </w:p>
    <w:p w:rsidR="0085709A" w:rsidRDefault="0085709A" w:rsidP="0085709A">
      <w:pPr>
        <w:pStyle w:val="TextoNormal"/>
      </w:pPr>
    </w:p>
    <w:p w:rsidR="0085709A" w:rsidRDefault="0085709A" w:rsidP="0085709A">
      <w:pPr>
        <w:pStyle w:val="TextoNormal"/>
      </w:pPr>
      <w:r>
        <w:t>2.2. Se encuentran no sujetas al impuesto las secciones de crédito de las cooperativas.</w:t>
      </w:r>
    </w:p>
    <w:p w:rsidR="0085709A" w:rsidRDefault="0085709A" w:rsidP="0085709A">
      <w:pPr>
        <w:pStyle w:val="TextoNormal"/>
      </w:pPr>
    </w:p>
    <w:p w:rsidR="0085709A" w:rsidRDefault="0085709A" w:rsidP="0085709A">
      <w:pPr>
        <w:pStyle w:val="TextoNormal"/>
      </w:pPr>
      <w:r>
        <w:t>3. Exenciones.</w:t>
      </w:r>
    </w:p>
    <w:p w:rsidR="0085709A" w:rsidRDefault="0085709A" w:rsidP="0085709A">
      <w:pPr>
        <w:pStyle w:val="TextoNormal"/>
      </w:pPr>
    </w:p>
    <w:p w:rsidR="0085709A" w:rsidRDefault="0085709A" w:rsidP="0085709A">
      <w:pPr>
        <w:pStyle w:val="TextoNormal"/>
      </w:pPr>
      <w:r>
        <w:t>Estarán exentos del impuesto:</w:t>
      </w:r>
    </w:p>
    <w:p w:rsidR="0085709A" w:rsidRDefault="0085709A" w:rsidP="0085709A">
      <w:pPr>
        <w:pStyle w:val="TextoNormal"/>
      </w:pPr>
    </w:p>
    <w:p w:rsidR="0085709A" w:rsidRDefault="0085709A" w:rsidP="0085709A">
      <w:pPr>
        <w:pStyle w:val="TextoNormal"/>
      </w:pPr>
      <w:r>
        <w:t>1. El Banco de España y las autoridades de regulación monetaria.</w:t>
      </w:r>
    </w:p>
    <w:p w:rsidR="0085709A" w:rsidRDefault="0085709A" w:rsidP="0085709A">
      <w:pPr>
        <w:pStyle w:val="TextoNormal"/>
      </w:pPr>
    </w:p>
    <w:p w:rsidR="0085709A" w:rsidRDefault="0085709A" w:rsidP="0085709A">
      <w:pPr>
        <w:pStyle w:val="TextoNormal"/>
      </w:pPr>
      <w:r>
        <w:t>2. El Banco Europeo de Inversiones.</w:t>
      </w:r>
    </w:p>
    <w:p w:rsidR="0085709A" w:rsidRDefault="0085709A" w:rsidP="0085709A">
      <w:pPr>
        <w:pStyle w:val="TextoNormal"/>
      </w:pPr>
    </w:p>
    <w:p w:rsidR="0085709A" w:rsidRDefault="0085709A" w:rsidP="0085709A">
      <w:pPr>
        <w:pStyle w:val="TextoNormal"/>
      </w:pPr>
      <w:r>
        <w:t>3. El Banco Central Europeo.</w:t>
      </w:r>
    </w:p>
    <w:p w:rsidR="0085709A" w:rsidRDefault="0085709A" w:rsidP="0085709A">
      <w:pPr>
        <w:pStyle w:val="TextoNormal"/>
      </w:pPr>
    </w:p>
    <w:p w:rsidR="0085709A" w:rsidRDefault="0085709A" w:rsidP="0085709A">
      <w:pPr>
        <w:pStyle w:val="TextoNormal"/>
      </w:pPr>
      <w:r>
        <w:t>4. El Instituto de Crédito Oficial.</w:t>
      </w:r>
    </w:p>
    <w:p w:rsidR="0085709A" w:rsidRDefault="0085709A" w:rsidP="0085709A">
      <w:pPr>
        <w:pStyle w:val="TextoNormal"/>
      </w:pPr>
    </w:p>
    <w:p w:rsidR="0085709A" w:rsidRDefault="0085709A" w:rsidP="0085709A">
      <w:pPr>
        <w:pStyle w:val="TextoNormal"/>
      </w:pPr>
      <w:r>
        <w:t>4. Contribuyentes.</w:t>
      </w:r>
    </w:p>
    <w:p w:rsidR="0085709A" w:rsidRDefault="0085709A" w:rsidP="0085709A">
      <w:pPr>
        <w:pStyle w:val="TextoNormal"/>
      </w:pPr>
    </w:p>
    <w:p w:rsidR="0085709A" w:rsidRDefault="0085709A" w:rsidP="0085709A">
      <w:pPr>
        <w:pStyle w:val="TextoNormal"/>
      </w:pPr>
      <w:r>
        <w:t>a) Son contribuyentes del impuesto:</w:t>
      </w:r>
    </w:p>
    <w:p w:rsidR="0085709A" w:rsidRDefault="0085709A" w:rsidP="0085709A">
      <w:pPr>
        <w:pStyle w:val="TextoNormal"/>
      </w:pPr>
    </w:p>
    <w:p w:rsidR="0085709A" w:rsidRDefault="0085709A" w:rsidP="0085709A">
      <w:pPr>
        <w:pStyle w:val="TextoNormal"/>
      </w:pPr>
      <w:r>
        <w:t>Uno. Las entidades de crédito definidas en el artículo 1 del Real decreto legislativo 1298/1986, de 28 de junio, sobre adaptación del derecho vigente en materia de entidades de crédito al de las Comunidades Europeas.</w:t>
      </w:r>
    </w:p>
    <w:p w:rsidR="0085709A" w:rsidRDefault="0085709A" w:rsidP="0085709A">
      <w:pPr>
        <w:pStyle w:val="TextoNormal"/>
      </w:pPr>
    </w:p>
    <w:p w:rsidR="0085709A" w:rsidRDefault="0085709A" w:rsidP="0085709A">
      <w:pPr>
        <w:pStyle w:val="TextoNormal"/>
      </w:pPr>
      <w:r>
        <w:t>Dos. Las sucursales en territorio de la Comunitat Valenciana de entidades de crédito extranjeras.</w:t>
      </w:r>
    </w:p>
    <w:p w:rsidR="0085709A" w:rsidRDefault="0085709A" w:rsidP="0085709A">
      <w:pPr>
        <w:pStyle w:val="TextoNormal"/>
      </w:pPr>
    </w:p>
    <w:p w:rsidR="0085709A" w:rsidRDefault="0085709A" w:rsidP="0085709A">
      <w:pPr>
        <w:pStyle w:val="TextoNormal"/>
      </w:pPr>
      <w:r>
        <w:t>b) Los contribuyentes no podrán repercutir a terceros la cuota del impuesto. No surtirán efectos frente a la administración tributaria de la Generalitat los pactos que contradigan la prohibición anterior.</w:t>
      </w:r>
    </w:p>
    <w:p w:rsidR="0085709A" w:rsidRDefault="0085709A" w:rsidP="0085709A">
      <w:pPr>
        <w:pStyle w:val="TextoNormal"/>
      </w:pPr>
    </w:p>
    <w:p w:rsidR="0085709A" w:rsidRDefault="0085709A" w:rsidP="0085709A">
      <w:pPr>
        <w:pStyle w:val="TextoNormal"/>
      </w:pPr>
      <w:r>
        <w:t>5. Base imponible.</w:t>
      </w:r>
    </w:p>
    <w:p w:rsidR="0085709A" w:rsidRDefault="0085709A" w:rsidP="0085709A">
      <w:pPr>
        <w:pStyle w:val="TextoNormal"/>
      </w:pPr>
    </w:p>
    <w:p w:rsidR="0085709A" w:rsidRDefault="0085709A" w:rsidP="0085709A">
      <w:pPr>
        <w:pStyle w:val="TextoNormal"/>
      </w:pPr>
      <w:r>
        <w:t>a) Constituye la base imponible la media aritmética de los saldos finales de los trimestres naturales del período impositivo correspondientes a la partida 4, Depósitos de la clientela, del pasivo del balance reservado de las entidades de crédito, incluidos en los estados financieros individuales, en la parte en que los depósitos provengan de captaciones realizadas por la sede central u oficinas, situadas en la Comunitat Valenciana.</w:t>
      </w:r>
    </w:p>
    <w:p w:rsidR="0085709A" w:rsidRDefault="0085709A" w:rsidP="0085709A">
      <w:pPr>
        <w:pStyle w:val="TextoNormal"/>
      </w:pPr>
    </w:p>
    <w:p w:rsidR="0085709A" w:rsidRDefault="0085709A" w:rsidP="0085709A">
      <w:pPr>
        <w:pStyle w:val="TextoNormal"/>
      </w:pPr>
      <w:r>
        <w:t>A estos efectos, el saldo final se minorará en las cuantías de los «ajustes por valoración» incluidos en las partidas 4.1.5, 4.2.5, 4.3.2 y 4.4.5, que correspondan a la sede central u oficinas situadas en la Comunitat Valenciana.</w:t>
      </w:r>
    </w:p>
    <w:p w:rsidR="0085709A" w:rsidRDefault="0085709A" w:rsidP="0085709A">
      <w:pPr>
        <w:pStyle w:val="TextoNormal"/>
      </w:pPr>
    </w:p>
    <w:p w:rsidR="0085709A" w:rsidRDefault="0085709A" w:rsidP="0085709A">
      <w:pPr>
        <w:pStyle w:val="TextoNormal"/>
      </w:pPr>
      <w:r>
        <w:t>b) Los parámetros a los que se refiere el presente artículo se corresponden con los definidos en el título II y en anexo IV de la Circular 4/2004, de 22 de diciembre, del Banco de España, a entidades de crédito, sobre normas de información financiera pública y reservada y modelos de estados financieros, o norma que lo sustituya.</w:t>
      </w:r>
    </w:p>
    <w:p w:rsidR="0085709A" w:rsidRDefault="0085709A" w:rsidP="0085709A">
      <w:pPr>
        <w:pStyle w:val="TextoNormal"/>
      </w:pPr>
    </w:p>
    <w:p w:rsidR="0085709A" w:rsidRDefault="0085709A" w:rsidP="0085709A">
      <w:pPr>
        <w:pStyle w:val="TextoNormal"/>
      </w:pPr>
      <w:r>
        <w:t>6. Cuota íntegra.</w:t>
      </w:r>
    </w:p>
    <w:p w:rsidR="0085709A" w:rsidRDefault="0085709A" w:rsidP="0085709A">
      <w:pPr>
        <w:pStyle w:val="TextoNormal"/>
      </w:pPr>
    </w:p>
    <w:p w:rsidR="0085709A" w:rsidRDefault="0085709A" w:rsidP="0085709A">
      <w:pPr>
        <w:pStyle w:val="TextoNormal"/>
      </w:pPr>
      <w:r>
        <w:t>La cuota íntegra será el resultado de aplicar a la base imponible la siguiente escala de gravamen:</w:t>
      </w:r>
    </w:p>
    <w:p w:rsidR="0085709A" w:rsidRDefault="0085709A" w:rsidP="0085709A">
      <w:pPr>
        <w:pStyle w:val="TextoNormal"/>
      </w:pPr>
    </w:p>
    <w:p w:rsidR="0085709A" w:rsidRDefault="0085709A" w:rsidP="0085709A">
      <w:pPr>
        <w:pStyle w:val="TextoNormal"/>
      </w:pPr>
      <w:r>
        <w:t>....Base imponible...........Cuota íntegra...........Resto base imponible...........Tipo aplicable</w:t>
      </w:r>
    </w:p>
    <w:p w:rsidR="0085709A" w:rsidRDefault="0085709A" w:rsidP="0085709A">
      <w:pPr>
        <w:pStyle w:val="TextoNormal"/>
      </w:pPr>
      <w:r>
        <w:t>......hasta euros..................euros...........................euros.........................porcentaje...</w:t>
      </w:r>
    </w:p>
    <w:p w:rsidR="0085709A" w:rsidRDefault="0085709A" w:rsidP="0085709A">
      <w:pPr>
        <w:pStyle w:val="TextoNormal"/>
      </w:pPr>
      <w:r>
        <w:t>............-.............................-..........................150.000.000.......................0,3..........</w:t>
      </w:r>
    </w:p>
    <w:p w:rsidR="0085709A" w:rsidRDefault="0085709A" w:rsidP="0085709A">
      <w:pPr>
        <w:pStyle w:val="TextoNormal"/>
      </w:pPr>
      <w:r>
        <w:t>......150.000.000................450.000...................450.000.000......................0,4..........</w:t>
      </w:r>
    </w:p>
    <w:p w:rsidR="0085709A" w:rsidRDefault="0085709A" w:rsidP="0085709A">
      <w:pPr>
        <w:pStyle w:val="TextoNormal"/>
      </w:pPr>
      <w:r>
        <w:t>......600.000.000.............2.250.000....................En adelante.......................0,5..........</w:t>
      </w:r>
    </w:p>
    <w:p w:rsidR="0085709A" w:rsidRDefault="0085709A" w:rsidP="0085709A">
      <w:pPr>
        <w:pStyle w:val="TextoNormal"/>
      </w:pPr>
    </w:p>
    <w:p w:rsidR="0085709A" w:rsidRDefault="0085709A" w:rsidP="0085709A">
      <w:pPr>
        <w:pStyle w:val="TextoNormal"/>
      </w:pPr>
      <w:r>
        <w:t>7. Cuota líquida.</w:t>
      </w:r>
    </w:p>
    <w:p w:rsidR="0085709A" w:rsidRDefault="0085709A" w:rsidP="0085709A">
      <w:pPr>
        <w:pStyle w:val="TextoNormal"/>
      </w:pPr>
    </w:p>
    <w:p w:rsidR="0085709A" w:rsidRDefault="0085709A" w:rsidP="0085709A">
      <w:pPr>
        <w:pStyle w:val="TextoNormal"/>
      </w:pPr>
      <w:r>
        <w:t>Para determinar la cuota líquida, se aplicarán a la cuota íntegra las bonificaciones y deducciones que establece el texto legal a cuyo contenido nos remitimos.</w:t>
      </w:r>
    </w:p>
    <w:p w:rsidR="0085709A" w:rsidRDefault="0085709A" w:rsidP="0085709A">
      <w:pPr>
        <w:pStyle w:val="TextoNormal"/>
      </w:pPr>
    </w:p>
    <w:p w:rsidR="0085709A" w:rsidRDefault="0085709A" w:rsidP="0085709A">
      <w:pPr>
        <w:pStyle w:val="TextoNormal"/>
      </w:pPr>
      <w:r>
        <w:t>8. Cuota diferencial.</w:t>
      </w:r>
    </w:p>
    <w:p w:rsidR="0085709A" w:rsidRDefault="0085709A" w:rsidP="0085709A">
      <w:pPr>
        <w:pStyle w:val="TextoNormal"/>
      </w:pPr>
    </w:p>
    <w:p w:rsidR="0085709A" w:rsidRDefault="0085709A" w:rsidP="0085709A">
      <w:pPr>
        <w:pStyle w:val="TextoNormal"/>
      </w:pPr>
      <w:r>
        <w:t>Para determinar la cuota diferencial, se deducirá de la cuota líquida el importe de los pagos fraccionados a los que se refiere la letra b del apartado 10 de este artículo.</w:t>
      </w:r>
    </w:p>
    <w:p w:rsidR="0085709A" w:rsidRDefault="0085709A" w:rsidP="0085709A">
      <w:pPr>
        <w:pStyle w:val="TextoNormal"/>
      </w:pPr>
    </w:p>
    <w:p w:rsidR="0085709A" w:rsidRDefault="0085709A" w:rsidP="0085709A">
      <w:pPr>
        <w:pStyle w:val="TextoNormal"/>
      </w:pPr>
      <w:r>
        <w:t>9. Período impositivo y devengo.</w:t>
      </w:r>
    </w:p>
    <w:p w:rsidR="0085709A" w:rsidRDefault="0085709A" w:rsidP="0085709A">
      <w:pPr>
        <w:pStyle w:val="TextoNormal"/>
      </w:pPr>
    </w:p>
    <w:p w:rsidR="0085709A" w:rsidRDefault="0085709A" w:rsidP="0085709A">
      <w:pPr>
        <w:pStyle w:val="TextoNormal"/>
      </w:pPr>
      <w:r>
        <w:lastRenderedPageBreak/>
        <w:t>a) El período impositivo de este impuesto será el año natural. El periodo impositivo será inferior al año natural en los supuestos en los que el inicio o cese de la actividad en la Comunitat Valenciana, bien mediante sucursal o a través de su sede central, no coincida con el primer o el último día del año natural, respectivamente.</w:t>
      </w:r>
    </w:p>
    <w:p w:rsidR="0085709A" w:rsidRDefault="0085709A" w:rsidP="0085709A">
      <w:pPr>
        <w:pStyle w:val="TextoNormal"/>
      </w:pPr>
    </w:p>
    <w:p w:rsidR="0085709A" w:rsidRDefault="0085709A" w:rsidP="0085709A">
      <w:pPr>
        <w:pStyle w:val="TextoNormal"/>
      </w:pPr>
      <w:r>
        <w:t>b) El impuesto se devengará el último día del período impositivo.”</w:t>
      </w:r>
    </w:p>
    <w:p w:rsidR="0085709A" w:rsidRDefault="0085709A" w:rsidP="0085709A">
      <w:pPr>
        <w:pStyle w:val="TextoNormal"/>
      </w:pPr>
    </w:p>
    <w:p w:rsidR="0085709A" w:rsidRDefault="0085709A" w:rsidP="0085709A">
      <w:pPr>
        <w:pStyle w:val="TextoNormal"/>
      </w:pPr>
      <w:r>
        <w:t>La Ley (disposición final quinta) entró en vigor el día 1 de enero de 2014.</w:t>
      </w:r>
    </w:p>
    <w:p w:rsidR="0085709A" w:rsidRDefault="0085709A" w:rsidP="0085709A">
      <w:pPr>
        <w:pStyle w:val="TextoNormal"/>
      </w:pPr>
    </w:p>
    <w:p w:rsidR="0085709A" w:rsidRDefault="0085709A" w:rsidP="0085709A">
      <w:pPr>
        <w:pStyle w:val="TextoNormal"/>
      </w:pPr>
      <w:r>
        <w:t>El impuesto sobre los depósitos en las entidades de crédito regulado en el art. 19 de la Ley 16/2012, en la redacción modificada derivada de la Ley 18/2014, entró en vigor el 1 de enero de 2014 y su análisis permite constatar la identidad en su denominación y elementos esenciales con el art. 161 de la Ley de las Cortes Valencianas 5/2013, de 23 de diciembre, debiendo subrayarse:</w:t>
      </w:r>
    </w:p>
    <w:p w:rsidR="0085709A" w:rsidRDefault="0085709A" w:rsidP="0085709A">
      <w:pPr>
        <w:pStyle w:val="TextoNormal"/>
      </w:pPr>
    </w:p>
    <w:p w:rsidR="0085709A" w:rsidRDefault="0085709A" w:rsidP="0085709A">
      <w:pPr>
        <w:pStyle w:val="TextoNormal"/>
      </w:pPr>
      <w:r>
        <w:t>— Se define como un tributo de carácter directo que grava “los depósitos constituidos en las entidades de crédito” (art. 19.1).</w:t>
      </w:r>
    </w:p>
    <w:p w:rsidR="0085709A" w:rsidRDefault="0085709A" w:rsidP="0085709A">
      <w:pPr>
        <w:pStyle w:val="TextoNormal"/>
      </w:pPr>
    </w:p>
    <w:p w:rsidR="0085709A" w:rsidRDefault="0085709A" w:rsidP="0085709A">
      <w:pPr>
        <w:pStyle w:val="TextoNormal"/>
      </w:pPr>
      <w:r>
        <w:t>— Su ámbito territorial de aplicación es el territorio español, “sin perjuicio de los regímenes tributarios forales de concierto y convenio económico en vigor, respectivamente, en los territorios históricos del País Vasco y en la Comunidad Foral de Navarra” (art. 19.2).</w:t>
      </w:r>
    </w:p>
    <w:p w:rsidR="0085709A" w:rsidRDefault="0085709A" w:rsidP="0085709A">
      <w:pPr>
        <w:pStyle w:val="TextoNormal"/>
      </w:pPr>
    </w:p>
    <w:p w:rsidR="0085709A" w:rsidRDefault="0085709A" w:rsidP="0085709A">
      <w:pPr>
        <w:pStyle w:val="TextoNormal"/>
      </w:pPr>
      <w:r>
        <w:t>— El hecho imponible lo constituye “el mantenimiento de fondos de terceros, cualquiera que sea su naturaleza jurídica, por los contribuyentes señalados en el apartado Seis de este artículo, y que comporten la obligación de restitución, a excepción de los fondos mantenidos en sucursales fuera del territorio español” (art. 19.3).</w:t>
      </w:r>
    </w:p>
    <w:p w:rsidR="0085709A" w:rsidRDefault="0085709A" w:rsidP="0085709A">
      <w:pPr>
        <w:pStyle w:val="TextoNormal"/>
      </w:pPr>
    </w:p>
    <w:p w:rsidR="0085709A" w:rsidRDefault="0085709A" w:rsidP="0085709A">
      <w:pPr>
        <w:pStyle w:val="TextoNormal"/>
      </w:pPr>
      <w:r>
        <w:t>— Su periodo impositivo es el año natural con carácter general (art. 19.5).</w:t>
      </w:r>
    </w:p>
    <w:p w:rsidR="0085709A" w:rsidRDefault="0085709A" w:rsidP="0085709A">
      <w:pPr>
        <w:pStyle w:val="TextoNormal"/>
      </w:pPr>
    </w:p>
    <w:p w:rsidR="0085709A" w:rsidRDefault="0085709A" w:rsidP="0085709A">
      <w:pPr>
        <w:pStyle w:val="TextoNormal"/>
      </w:pPr>
      <w:r>
        <w:t>— Los contribuyentes son las entidades de crédito definidas en el artículo 1 del Real Decreto Legislativo 1298/1986, de 28 de junio, sobre adaptación del derecho vigente en materia de Entidades de crédito al de las Comunidades Europeas así como las sucursales en territorio español de entidades de crédito extranjeras (art. 19.6).</w:t>
      </w:r>
    </w:p>
    <w:p w:rsidR="0085709A" w:rsidRDefault="0085709A" w:rsidP="0085709A">
      <w:pPr>
        <w:pStyle w:val="TextoNormal"/>
      </w:pPr>
    </w:p>
    <w:p w:rsidR="0085709A" w:rsidRDefault="0085709A" w:rsidP="0085709A">
      <w:pPr>
        <w:pStyle w:val="TextoNormal"/>
      </w:pPr>
      <w:r>
        <w:t>— La base imponible del tributo está integrada por “el importe resultante de promediar aritméticamente el saldo final de cada trimestre natural del periodo impositivo, con independencia de la duración del periodo impositivo, correspondiente a la partida 4 ‘Depósitos de la clientela’ del Pasivo del Balance reservado de las entidades de crédito, incluidos en los estados financieros individuales” (art. 19.7), con los ajustes a que se refiere el mismo precepto.</w:t>
      </w:r>
    </w:p>
    <w:p w:rsidR="0085709A" w:rsidRDefault="0085709A" w:rsidP="0085709A">
      <w:pPr>
        <w:pStyle w:val="TextoNormal"/>
      </w:pPr>
    </w:p>
    <w:p w:rsidR="0085709A" w:rsidRDefault="0085709A" w:rsidP="0085709A">
      <w:pPr>
        <w:pStyle w:val="TextoNormal"/>
      </w:pPr>
      <w:r>
        <w:t xml:space="preserve">— La cuota íntegra “será el resultado de aplicar a la base imponible el tipo de gravamen del 0,03 por 100” (art. 19.8). </w:t>
      </w:r>
    </w:p>
    <w:p w:rsidR="0085709A" w:rsidRDefault="0085709A" w:rsidP="0085709A">
      <w:pPr>
        <w:pStyle w:val="TextoNormal"/>
      </w:pPr>
    </w:p>
    <w:p w:rsidR="0085709A" w:rsidRDefault="0085709A" w:rsidP="0085709A">
      <w:pPr>
        <w:pStyle w:val="TextoNormal"/>
      </w:pPr>
      <w:r>
        <w:t>— Se habilita a la Ley de presupuestos generales del Estado para modificar el tipo de gravamen y el pago a cuenta (art. 19.11).</w:t>
      </w:r>
    </w:p>
    <w:p w:rsidR="0085709A" w:rsidRDefault="0085709A" w:rsidP="0085709A">
      <w:pPr>
        <w:pStyle w:val="TextoNormal"/>
      </w:pPr>
    </w:p>
    <w:p w:rsidR="0085709A" w:rsidRDefault="0085709A" w:rsidP="0085709A">
      <w:pPr>
        <w:pStyle w:val="TextoNormal"/>
      </w:pPr>
      <w:r>
        <w:lastRenderedPageBreak/>
        <w:t>— El apartado trece prevé la aplicación de la compensación a que se refiere el artículo 6.2 de la Ley Orgánica 8/1980, de 22 de septiembre, de financiación de las Comunidades Autónomas (LOFCA) a “aquellos tributos propios de las Comunidades Autónomas establecidos en una Ley aprobada con anterioridad a 1 de diciembre de 2012”.</w:t>
      </w:r>
    </w:p>
    <w:p w:rsidR="0085709A" w:rsidRDefault="0085709A" w:rsidP="0085709A">
      <w:pPr>
        <w:pStyle w:val="TextoNormal"/>
      </w:pPr>
    </w:p>
    <w:p w:rsidR="0085709A" w:rsidRDefault="0085709A" w:rsidP="0085709A">
      <w:pPr>
        <w:pStyle w:val="TextoNormal"/>
      </w:pPr>
      <w:r>
        <w:t>Del análisis efectuado se infieren las siguientes determinaciones:</w:t>
      </w:r>
    </w:p>
    <w:p w:rsidR="0085709A" w:rsidRDefault="0085709A" w:rsidP="0085709A">
      <w:pPr>
        <w:pStyle w:val="TextoNormal"/>
      </w:pPr>
    </w:p>
    <w:p w:rsidR="0085709A" w:rsidRDefault="0085709A" w:rsidP="0085709A">
      <w:pPr>
        <w:pStyle w:val="TextoNormal"/>
      </w:pPr>
      <w:r>
        <w:t>Primera. El hecho imponible es, en ambos casos, “el mantenimiento de fondos de terceros, cualquiera que sea su naturaleza jurídica”.</w:t>
      </w:r>
    </w:p>
    <w:p w:rsidR="0085709A" w:rsidRDefault="0085709A" w:rsidP="0085709A">
      <w:pPr>
        <w:pStyle w:val="TextoNormal"/>
      </w:pPr>
    </w:p>
    <w:p w:rsidR="0085709A" w:rsidRDefault="0085709A" w:rsidP="0085709A">
      <w:pPr>
        <w:pStyle w:val="TextoNormal"/>
      </w:pPr>
      <w:r>
        <w:t>Segunda. Las exenciones son también idénticas (Banco de España y resto de entidades citadas).</w:t>
      </w:r>
    </w:p>
    <w:p w:rsidR="0085709A" w:rsidRDefault="0085709A" w:rsidP="0085709A">
      <w:pPr>
        <w:pStyle w:val="TextoNormal"/>
      </w:pPr>
    </w:p>
    <w:p w:rsidR="0085709A" w:rsidRDefault="0085709A" w:rsidP="0085709A">
      <w:pPr>
        <w:pStyle w:val="TextoNormal"/>
      </w:pPr>
      <w:r>
        <w:t>Tercera. También coincide sustancialmente la base imponible, definida en ambos casos de forma idéntica, estando constituida por “el importe resultante de promediar aritméticamente el saldo final de cada uno de los meses del año natural, con independencia de la duración del periodo impositivo, correspondiente a la partida 4 ‘depósitos de la clientela’ del Pasivo del Balance reservado de las entidades de crédito, incluidos en los estados financieros individuales. A estos efectos, el saldo final se minorará en las cuantías de los ‘Ajustes por valoración’ incluidos en las partidas 4.1.5, 4.2.5, 4.3.2 y 4.4.5.”</w:t>
      </w:r>
    </w:p>
    <w:p w:rsidR="0085709A" w:rsidRDefault="0085709A" w:rsidP="0085709A">
      <w:pPr>
        <w:pStyle w:val="TextoNormal"/>
      </w:pPr>
    </w:p>
    <w:p w:rsidR="0085709A" w:rsidRDefault="0085709A" w:rsidP="0085709A">
      <w:pPr>
        <w:pStyle w:val="TextoNormal"/>
      </w:pPr>
      <w:r>
        <w:t>Cuarta. Hay asimismo total coincidencia en los contribuyentes, que en ambos casos son las entidades de crédito definidas en el artículo 1 del Real Decreto Legislativo 1298/1986, de 28 de junio, sobre adaptación del derecho vigente en materia de Entidades de crédito al de las Comunidades Europeas; y las sucursales en territorio español (o en territorio de la Comunitat Valenciana, en el caso del impuesto sobre los depósitos en las entidades de crédito) de entidades de crédito extranjeras.</w:t>
      </w:r>
    </w:p>
    <w:p w:rsidR="0085709A" w:rsidRDefault="0085709A" w:rsidP="0085709A">
      <w:pPr>
        <w:pStyle w:val="TextoNormal"/>
      </w:pPr>
    </w:p>
    <w:p w:rsidR="0085709A" w:rsidRDefault="0085709A" w:rsidP="0085709A">
      <w:pPr>
        <w:pStyle w:val="TextoNormal"/>
      </w:pPr>
      <w:r>
        <w:t>Las únicas diferencias se refieren a la cuota tributaria, que en caso del impuesto sobre los depósitos en las entidades de crédito es un tipo único del 0,03 por 100, introducido en el Real Decreto-Ley 8/2014 y mantenido en la Ley 18/2014, que es la actualmente vigente y por ello parámetro de nuestro control, mientras que el tributo valenciano impuesto sobre los depósitos en las entidades de crédito de la Comunidad Valenciana es sustancialmente superior, estableciéndose una escala progresiva en tres tramos, del 0,3 al 0,5 por 100. Finalmente, también se distinguen en que el impuesto sobre los depósitos en las entidades de crédito de la Comunidad Valenciana se establece una serie de deducciones aplicables para calcular la cuota líquida, enunciadas en el apartado 7 del precepto.</w:t>
      </w:r>
    </w:p>
    <w:p w:rsidR="0085709A" w:rsidRDefault="0085709A" w:rsidP="0085709A">
      <w:pPr>
        <w:pStyle w:val="TextoNormal"/>
      </w:pPr>
    </w:p>
    <w:p w:rsidR="0085709A" w:rsidRDefault="0085709A" w:rsidP="0085709A">
      <w:pPr>
        <w:pStyle w:val="TextoNormal"/>
      </w:pPr>
      <w:r>
        <w:t>Estas diferencias relativas al tipo de gravamen y a las deducciones en la cuota son exactamente las mismas, si cabe más acentuadas, que mediaban entre el impuesto sobre los depósitos en las entidades de crédito estatal, en su redacción originaria, y el impuesto sobre los depósitos en las entidades de crédito catalán regulado en el Decreto-ley 5/2012. Y en la Sentencia de 19 de febrero de 2015 (recurso de inconstitucionalidad 1808-2013), como se destacó antes, el Tribunal consideró que tales asimetrías no alcanzan a determinar que el hecho imponible de ambos tributos sea distinto.</w:t>
      </w:r>
    </w:p>
    <w:p w:rsidR="0085709A" w:rsidRDefault="0085709A" w:rsidP="0085709A">
      <w:pPr>
        <w:pStyle w:val="TextoNormal"/>
      </w:pPr>
    </w:p>
    <w:p w:rsidR="0085709A" w:rsidRDefault="0085709A" w:rsidP="0085709A">
      <w:pPr>
        <w:pStyle w:val="TextoNormal"/>
      </w:pPr>
      <w:r>
        <w:t xml:space="preserve">De otro lado, es cierto que la Ley 18/2014, que es la actualmente vigente y que introduce en el impuesto sobre los depósitos en las entidades de crédito estatal el tipo de gravamen </w:t>
      </w:r>
      <w:r>
        <w:lastRenderedPageBreak/>
        <w:t>del 0,03 por 100, es objeto de un recurso de inconstitucionalidad pendiente. Y que lo mismo sucede con el Real Decreto-ley 8/2014. Pero este dato carece de efecto útil alguno, pues en el hipotético caso de que se considerasen inconstitucionales por cualquier razón adquiría vigencia la redacción originaria del art. 19 de la Ley 16/2012, que ya hemos declarado constitucional y que, como se ha indicado, contiene un gravamen que en la citada sentencia 26/2015, de 19 de febrero, hemos entendido que incide en el mismo hecho imponible que el impuesto sobre los depósitos en las entidades de crédito catalán, impuesto autonómico este que tiene la misma configuración que el regulado por la norma valenciana que ahora consideramos.</w:t>
      </w:r>
    </w:p>
    <w:p w:rsidR="0085709A" w:rsidRDefault="0085709A" w:rsidP="0085709A">
      <w:pPr>
        <w:pStyle w:val="TextoNormal"/>
      </w:pPr>
    </w:p>
    <w:p w:rsidR="0085709A" w:rsidRDefault="0085709A" w:rsidP="0085709A">
      <w:pPr>
        <w:pStyle w:val="TextoNormal"/>
      </w:pPr>
      <w:r>
        <w:t>Pues bien, de acuerdo con nuestra doctrina, citada en los fundamentos 2 y 3, las citadas coincidencias sustanciales, en los elementos esenciales de ambos impuestos, suponen la vulneración de los arts. 133.2 y 157.3 CE, así como del art. 6.2 LOFCA, por lo que debe declararse la inconstitucionalidad y nulidad del art. 161 de la Ley de las Cortes Valencianas 5/2013, de 23 de diciembre, de medidas fiscales, de gestión administrativa y financiera, y de organización de la Generalitat.</w:t>
      </w:r>
    </w:p>
    <w:p w:rsidR="0085709A" w:rsidRDefault="0085709A" w:rsidP="0085709A">
      <w:pPr>
        <w:pStyle w:val="TextoNormal"/>
      </w:pPr>
    </w:p>
    <w:p w:rsidR="0085709A" w:rsidRDefault="0085709A" w:rsidP="0085709A">
      <w:pPr>
        <w:pStyle w:val="TextoNormal"/>
      </w:pPr>
      <w:r>
        <w:t>Al resolver el fondo de la cuestión planteada queda sin objeto la pieza de suspensión tramitada en el recurso de referencia.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inconstitucionalidad y en consecuencia:</w:t>
      </w:r>
    </w:p>
    <w:p w:rsidR="0085709A" w:rsidRDefault="0085709A" w:rsidP="0085709A">
      <w:pPr>
        <w:pStyle w:val="TextoNormal"/>
      </w:pPr>
    </w:p>
    <w:p w:rsidR="0085709A" w:rsidRDefault="0085709A" w:rsidP="0085709A">
      <w:pPr>
        <w:pStyle w:val="TextoNormal"/>
      </w:pPr>
      <w:r>
        <w:t>Declarar su inconstitucionalidad y consiguiente nulidad del art. 161 de la Ley de la Generalitat Valenciana 5/2013, de 23 de diciembre, de medidas fiscales, de gestión administrativa y financiera, y de organización de la Generalitat.</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diecinueve de febrero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al que se adhieren el Magistrado don Luis Ignacio Ortega Álvarez y el Magistrado don Fernando Valdés Dal-Ré, respecto de la Sentencia dictada en el recurso de inconstitucional núm. 5832-2014.</w:t>
      </w:r>
    </w:p>
    <w:p w:rsidR="0085709A" w:rsidRDefault="0085709A" w:rsidP="0085709A">
      <w:pPr>
        <w:pStyle w:val="TextoNormalNegritaCentrado"/>
        <w:keepNext/>
      </w:pPr>
    </w:p>
    <w:p w:rsidR="0085709A" w:rsidRDefault="0085709A" w:rsidP="0085709A">
      <w:pPr>
        <w:pStyle w:val="TextoNormal"/>
      </w:pPr>
      <w:r>
        <w:t>Con máximo respeto a la opinión mayoritaria de mis colegas en la que se sustenta la Sentencia, manifiesto mi discrepancia con la estimación del recurso de inconstitucionalidad interpuesto por el presidente del Gobierno contra el art. 161 de la Ley de las Cortes Valencianas 5/2013, de 23 de diciembre, por el que se crea en dicha comunidad autónoma el impuesto sobre depósitos en las entidades de crédito.</w:t>
      </w:r>
    </w:p>
    <w:p w:rsidR="0085709A" w:rsidRDefault="0085709A" w:rsidP="0085709A">
      <w:pPr>
        <w:pStyle w:val="TextoNormal"/>
      </w:pPr>
    </w:p>
    <w:p w:rsidR="0085709A" w:rsidRDefault="0085709A" w:rsidP="0085709A">
      <w:pPr>
        <w:pStyle w:val="TextoNormal"/>
      </w:pPr>
      <w:r>
        <w:t>1. La primera razón de mi discrepancia, analizada en este apartado, se funda en que estimo improcedente resolver un recurso de inconstitucionalidad antes de fallar otro recurso pendiente sobre la posible inconstitucionalidad de una norma que se toma en aquel como parámetro de control de constitucionalidad.</w:t>
      </w:r>
    </w:p>
    <w:p w:rsidR="0085709A" w:rsidRDefault="0085709A" w:rsidP="0085709A">
      <w:pPr>
        <w:pStyle w:val="TextoNormal"/>
      </w:pPr>
    </w:p>
    <w:p w:rsidR="0085709A" w:rsidRDefault="0085709A" w:rsidP="0085709A">
      <w:pPr>
        <w:pStyle w:val="TextoNormal"/>
      </w:pPr>
      <w:r>
        <w:t>Cuando el presidente del Gobierno impugnó la norma autonómica por la que se creaba la Ley de la Generalitat Valenciana 5/2013 —alegando la infracción de los arts. 133, 157.3 CE y 6.2 de la Ley Orgánica de financiación de las Comunidades Autónomas: LOFCA, por su coincidencia en todos los elementos sustanciales con el impuesto estatal—, lo hizo invocando la entonces vigente Ley estatal 16/2012, de 27 de diciembre. Esta ley fue modificada por el Real Decreto-ley 8/2014, de 4 de julio, y este sustituido por la Ley 18/2014, de 15 de octubre.</w:t>
      </w:r>
    </w:p>
    <w:p w:rsidR="0085709A" w:rsidRDefault="0085709A" w:rsidP="0085709A">
      <w:pPr>
        <w:pStyle w:val="TextoNormal"/>
      </w:pPr>
    </w:p>
    <w:p w:rsidR="0085709A" w:rsidRDefault="0085709A" w:rsidP="0085709A">
      <w:pPr>
        <w:pStyle w:val="TextoNormal"/>
      </w:pPr>
      <w:r>
        <w:t xml:space="preserve">La técnica del </w:t>
      </w:r>
      <w:r w:rsidRPr="0085709A">
        <w:rPr>
          <w:i/>
        </w:rPr>
        <w:t>ius superveniens</w:t>
      </w:r>
      <w:r>
        <w:t>, habitual en este Tribunal, determina que el análisis de la posible inconstitucionalidad por la eventual coincidencia de los elementos esenciales del impuesto autonómico con el estatal deba hacerse en relación con la Ley estatal vigente en el momento en que se dicta la Sentencia, que es la Ley 18/2014, de 15 de octubre. Pues bien, están recurridas de inconstitucionalidad la norma intermedia reguladora del impuesto estatal (el Real Decreto-ley 8/2014, objeto de los recursos de inconstitucionalidad 5970-2014 y 5952-2014) y la actualmente vigente, que se utiliza como parámetro de control en la Sentencia de la que discrepo (la Ley 18/2014, objeto del recurso de inconstitucionalidad 275-2015).</w:t>
      </w:r>
    </w:p>
    <w:p w:rsidR="0085709A" w:rsidRDefault="0085709A" w:rsidP="0085709A">
      <w:pPr>
        <w:pStyle w:val="TextoNormal"/>
      </w:pPr>
    </w:p>
    <w:p w:rsidR="0085709A" w:rsidRDefault="0085709A" w:rsidP="0085709A">
      <w:pPr>
        <w:pStyle w:val="TextoNormal"/>
      </w:pPr>
      <w:r>
        <w:t>La opinión mayoritaria sostiene que utilizar como parámetro del control de constitucionalidad una norma cuya constitucionalidad está controvertida no resulta en este caso relevante. Se argumenta que ante una eventual declaración de inconstitucionalidad de la regulación ahora vigente y de la intermedia adquiriría vigencia la redacción originaria del art. 19 de la Ley 16/2012, cuya constitucionalidad ha sido confirmada por la STC de 17 de febrero de 2015, la cual tiene un carácter equivalente.</w:t>
      </w:r>
    </w:p>
    <w:p w:rsidR="0085709A" w:rsidRDefault="0085709A" w:rsidP="0085709A">
      <w:pPr>
        <w:pStyle w:val="TextoNormal"/>
      </w:pPr>
    </w:p>
    <w:p w:rsidR="0085709A" w:rsidRDefault="0085709A" w:rsidP="0085709A">
      <w:pPr>
        <w:pStyle w:val="TextoNormal"/>
      </w:pPr>
      <w:r>
        <w:t>No comparto esta argumentación, pues (i) la afirmación de la reviviscencia de una norma expresamente derogada por el legislador como efecto de una eventual declaración de inconstitucionalidad no tiene base ninguna en la jurisprudencia constitucional; y (ii) la Ley 16/2012 fue impugnada argumentando que la imposición al tipo del 0 por 100 tenía como exclusiva finalidad ocupar el espacio del poder tributario autonómico. No es equivalente tomar como parámetro de control esta norma o la posterior que estableció el tipo en el 0,03 por 100, pues, como se sostuvo en el voto particular a la STC de 17 de febrero de 2015, al cual me remito, existen específicas razones que abogan por la inconstitucionalidad de la imposición con un tipo de gravamen del 0 por 100 no aplicables a la imposición al tipo del 0,03 por 100, al margen de que exista duplicidad o no con un tributo autonómico.</w:t>
      </w:r>
    </w:p>
    <w:p w:rsidR="0085709A" w:rsidRDefault="0085709A" w:rsidP="0085709A">
      <w:pPr>
        <w:pStyle w:val="TextoNormal"/>
      </w:pPr>
    </w:p>
    <w:p w:rsidR="0085709A" w:rsidRDefault="0085709A" w:rsidP="0085709A">
      <w:pPr>
        <w:pStyle w:val="TextoNormal"/>
      </w:pPr>
      <w:r>
        <w:t>En conclusión, hubiera sido necesario esperar a resolver las impugnaciones contra las normas estatales de regulación de este impuesto o, al menos, la de la Ley 18/2014 antes de resolver el presente recurso de inconstitucionalidad.</w:t>
      </w:r>
    </w:p>
    <w:p w:rsidR="0085709A" w:rsidRDefault="0085709A" w:rsidP="0085709A">
      <w:pPr>
        <w:pStyle w:val="TextoNormal"/>
      </w:pPr>
    </w:p>
    <w:p w:rsidR="0085709A" w:rsidRDefault="0085709A" w:rsidP="0085709A">
      <w:pPr>
        <w:pStyle w:val="TextoNormal"/>
      </w:pPr>
      <w:r>
        <w:t xml:space="preserve">2. La segunda razón de mi discrepancia, analizada en este apartado, se refiere a la afirmación sostenida por la posición mayoritaria de que con lo expuesto en la citada sentencia </w:t>
      </w:r>
      <w:r>
        <w:lastRenderedPageBreak/>
        <w:t>de 17 de febrero de 2015, en que se analizó la constitucionalidad de la Ley 16/2012 como consecuencia del recurso interpuesto por el Parlamento de Cataluña, se puede concluir que existe una posición de este Tribunal favorable a considerar que la eventual diferencia o asimetría en el tipo de gravamen y las deducciones de la cuota entre el impuesto estatal y el catalán no permiten afirmar que el hecho imponible de ambos tributos no sea el mismo.</w:t>
      </w:r>
    </w:p>
    <w:p w:rsidR="0085709A" w:rsidRDefault="0085709A" w:rsidP="0085709A">
      <w:pPr>
        <w:pStyle w:val="TextoNormal"/>
      </w:pPr>
    </w:p>
    <w:p w:rsidR="0085709A" w:rsidRDefault="0085709A" w:rsidP="0085709A">
      <w:pPr>
        <w:pStyle w:val="TextoNormal"/>
      </w:pPr>
      <w:r>
        <w:t>Mi opinión se funda en los siguientes argumentos:</w:t>
      </w:r>
    </w:p>
    <w:p w:rsidR="0085709A" w:rsidRDefault="0085709A" w:rsidP="0085709A">
      <w:pPr>
        <w:pStyle w:val="TextoNormal"/>
      </w:pPr>
    </w:p>
    <w:p w:rsidR="0085709A" w:rsidRDefault="0085709A" w:rsidP="0085709A">
      <w:pPr>
        <w:pStyle w:val="TextoNormal"/>
      </w:pPr>
      <w:r>
        <w:t>(a) Para la resolución de los motivos de impugnación del recurso de inconstitucionalidad 1808-2014 no resultaba necesaria ninguna comparación entre la regulación de ambos impuestos, ya que las alegaciones del Parlamento de Cataluña se limitaban a alegar el vaciamiento competencial que suponía la creación de este tributo con un tipo de gravamen del 0 por 100. En coherencia con ello, ningún análisis comparativo ni conclusión se hizo o se formuló al respecto en la resolución de aquel recurso. No comparto, pues, la suposición de la opinión mayoritaria según la cual en la citada Sentencia de 17 de febrero de 2015 se resolvió que la eventual diferencia o asimetría en el tipo de gravamen y las deducciones de la cuota entre ambos impuestos carecía de relevancia.</w:t>
      </w:r>
    </w:p>
    <w:p w:rsidR="0085709A" w:rsidRDefault="0085709A" w:rsidP="0085709A">
      <w:pPr>
        <w:pStyle w:val="TextoNormal"/>
      </w:pPr>
    </w:p>
    <w:p w:rsidR="0085709A" w:rsidRDefault="0085709A" w:rsidP="0085709A">
      <w:pPr>
        <w:pStyle w:val="TextoNormal"/>
      </w:pPr>
      <w:r>
        <w:t>(b) Aun cuando se admitiese que este Tribunal asumió implícitamente en aquel caso la identidad de hechos imponibles entre el impuesto estatal y el catalán, hubiera sido necesario argumentar por qué las asimetrías alegadas entre el impuesto valenciano y el estatal no resultaban relevantes en este caso para desvirtuar la identidad de las figuras tributarias.</w:t>
      </w:r>
    </w:p>
    <w:p w:rsidR="0085709A" w:rsidRDefault="0085709A" w:rsidP="0085709A">
      <w:pPr>
        <w:pStyle w:val="TextoNormal"/>
      </w:pPr>
    </w:p>
    <w:p w:rsidR="0085709A" w:rsidRDefault="0085709A" w:rsidP="0085709A">
      <w:pPr>
        <w:pStyle w:val="TextoNormal"/>
      </w:pPr>
      <w:r>
        <w:t>(c) Ese análisis comparativo entre el impuesto catalán y el estatal es el objeto y será la materia de resolución de los recursos de inconstitucionalidad 7279-2012 y 7870-2014 formulados por el presidente del Gobierno contra la normativa catalana de este impuesto establecida por el Decreto-ley 5/2012 y por la Ley 4/2014, respectivamente.</w:t>
      </w:r>
    </w:p>
    <w:p w:rsidR="0085709A" w:rsidRDefault="0085709A" w:rsidP="0085709A">
      <w:pPr>
        <w:pStyle w:val="TextoNormal"/>
      </w:pPr>
    </w:p>
    <w:p w:rsidR="0085709A" w:rsidRDefault="0085709A" w:rsidP="0085709A">
      <w:pPr>
        <w:pStyle w:val="TextoNormal"/>
      </w:pPr>
      <w:r>
        <w:t>Es improcedente, por tanto, que, soslayando el principio de contradicción, se prejuzgue, como se hace en la Sentencia de la que discrepo, la resolución de dos recursos de inconstitucionalidad interpuestos por el presidente del Gobierno contra una normativa autonómica sin atender ni ponderar siquiera los argumentos desarrollados en ellos por las instituciones legitimadas como parte demandada.</w:t>
      </w:r>
    </w:p>
    <w:p w:rsidR="0085709A" w:rsidRDefault="0085709A" w:rsidP="0085709A">
      <w:pPr>
        <w:pStyle w:val="TextoNormal"/>
      </w:pPr>
    </w:p>
    <w:p w:rsidR="0085709A" w:rsidRDefault="0085709A" w:rsidP="0085709A">
      <w:pPr>
        <w:pStyle w:val="TextoNormal"/>
      </w:pPr>
      <w:r>
        <w:t>Madrid, a diecinueve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4" w:name="SENTENCIA_2015_31"/>
      <w:r>
        <w:lastRenderedPageBreak/>
        <w:t>SENTENCIA 31/2015, de 25 de febrero de 2015</w:t>
      </w:r>
    </w:p>
    <w:bookmarkEnd w:id="34"/>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ECLI:ES:TC:2015:31</w:t>
      </w:r>
    </w:p>
    <w:p w:rsidR="0085709A" w:rsidRDefault="0085709A" w:rsidP="0085709A">
      <w:pPr>
        <w:pStyle w:val="TextoNormalCentrado"/>
      </w:pPr>
    </w:p>
    <w:p w:rsidR="0085709A" w:rsidRDefault="0085709A" w:rsidP="0085709A">
      <w:pPr>
        <w:pStyle w:val="SntesisDescriptiva"/>
      </w:pPr>
      <w:r>
        <w:t>Recurso de inconstitucionalidad 5829-2014. Interpuesto por el Presidente del Gobierno en relación con diversos preceptos de la Ley del Parlamento de Cataluña 10/2014, de 26 de septiembre, de consultas populares no referendarias y otras formas de participación ciudadana.</w:t>
      </w:r>
    </w:p>
    <w:p w:rsidR="0085709A" w:rsidRDefault="0085709A" w:rsidP="0085709A">
      <w:pPr>
        <w:pStyle w:val="SntesisDescriptiva"/>
      </w:pPr>
    </w:p>
    <w:p w:rsidR="0085709A" w:rsidRDefault="0085709A" w:rsidP="0085709A">
      <w:pPr>
        <w:pStyle w:val="SntesisAnaltica"/>
      </w:pPr>
      <w:r>
        <w:t>Competencias sobre consultas referendarias: nulidad de los preceptos legales autonómicos relativos a las consultas referendarias generales.</w:t>
      </w:r>
    </w:p>
    <w:p w:rsidR="0085709A" w:rsidRDefault="0085709A" w:rsidP="0085709A">
      <w:pPr>
        <w:pStyle w:val="SntesisAnaltica"/>
      </w:pPr>
    </w:p>
    <w:p w:rsidR="0085709A" w:rsidRDefault="0085709A" w:rsidP="0085709A">
      <w:pPr>
        <w:pStyle w:val="Extracto"/>
      </w:pPr>
      <w:r>
        <w:t>1.</w:t>
      </w:r>
      <w:r>
        <w:tab/>
        <w:t>La Ley del Parlamento de Cataluña de consultas populares no referendarias y otras formas de participación ciudadana, regula —bajo la denominación de “consultas generales”— una verdadera consulta referendaria, articulada como llamamiento al cuerpo electoral a través del voto, de modo que el legislador autonómico ha vulnerado la competencia exclusiva del Estado para convocar al referéndum [FJ 9].</w:t>
      </w:r>
    </w:p>
    <w:p w:rsidR="0085709A" w:rsidRDefault="0085709A" w:rsidP="0085709A">
      <w:pPr>
        <w:pStyle w:val="Extracto"/>
      </w:pPr>
    </w:p>
    <w:p w:rsidR="0085709A" w:rsidRDefault="0085709A" w:rsidP="0085709A">
      <w:pPr>
        <w:pStyle w:val="Extracto"/>
      </w:pPr>
      <w:r>
        <w:t>2.</w:t>
      </w:r>
      <w:r>
        <w:tab/>
        <w:t>La democracia constitucional garantiza la participación de los ciudadanos en la vida pública, decidiendo éstos, periódicamente, a través de las elecciones de representantes en las Cortes Generales (arts. 68 y 69 CE), en los Parlamentos autonómicos (art. 152.1 CE) y en los ayuntamientos (art. 140 CE), acerca del destino político de la comunidad nacional en todas sus esferas, estatal, autonómica y local [FJ 3].</w:t>
      </w:r>
    </w:p>
    <w:p w:rsidR="0085709A" w:rsidRDefault="0085709A" w:rsidP="0085709A">
      <w:pPr>
        <w:pStyle w:val="Extracto"/>
      </w:pPr>
    </w:p>
    <w:p w:rsidR="0085709A" w:rsidRDefault="0085709A" w:rsidP="0085709A">
      <w:pPr>
        <w:pStyle w:val="Extracto"/>
      </w:pPr>
      <w:r>
        <w:t>3.</w:t>
      </w:r>
      <w:r>
        <w:tab/>
        <w:t xml:space="preserve">Las fórmulas de participación ciudadana que instituya el legislador ordinario —estatal o autonómico— en el marco de sus competencias, no son expresiones del derecho de participación que garantiza el art. 23.1 CE, sino que son manifestaciones no encuadrables ni en las formas de democracia representativa ni en la democracia directa, incardinándose en un </w:t>
      </w:r>
      <w:r w:rsidRPr="0085709A">
        <w:rPr>
          <w:i/>
        </w:rPr>
        <w:t xml:space="preserve">tertium genus </w:t>
      </w:r>
      <w:r>
        <w:t>que se ha denominado democracia participativa [FJ 4].</w:t>
      </w:r>
    </w:p>
    <w:p w:rsidR="0085709A" w:rsidRDefault="0085709A" w:rsidP="0085709A">
      <w:pPr>
        <w:pStyle w:val="Extracto"/>
      </w:pPr>
    </w:p>
    <w:p w:rsidR="0085709A" w:rsidRDefault="0085709A" w:rsidP="0085709A">
      <w:pPr>
        <w:pStyle w:val="Extracto"/>
      </w:pPr>
      <w:r>
        <w:t>4.</w:t>
      </w:r>
      <w:r>
        <w:tab/>
        <w:t>El art. 149.1.32 CE al referirse a “consultas populares por vía de referéndum” ha consentido la existencia de otras consultas populares distintas a las referendarias, habiendo sido el legislador estatutario quien las ha introducido en el bloque de constitucionalidad, como en el caso de la competencia en materia de “encuestas, audiencias públicas, foros de participación y cualquier otro instrumento de consulta popular” que confiere el art. 122 EAC confiere a la Generalitat de Cataluña [FJ 5].</w:t>
      </w:r>
    </w:p>
    <w:p w:rsidR="0085709A" w:rsidRDefault="0085709A" w:rsidP="0085709A">
      <w:pPr>
        <w:pStyle w:val="Extracto"/>
      </w:pPr>
    </w:p>
    <w:p w:rsidR="0085709A" w:rsidRDefault="0085709A" w:rsidP="0085709A">
      <w:pPr>
        <w:pStyle w:val="Extracto"/>
      </w:pPr>
      <w:r>
        <w:t>5.</w:t>
      </w:r>
      <w:r>
        <w:tab/>
        <w:t>El referéndum es manifestación del derecho de participación política directa en los asuntos públicos (art. 23.1 CE), mientras que las consultas referendarias en cambio, lo son del mandato dirigido a los poderes públicos de facilitar la participación de los ciudadanos en la vida política, económica, cultural y social (art. 9.2 CE y concordantes) [FJ 5].</w:t>
      </w:r>
    </w:p>
    <w:p w:rsidR="0085709A" w:rsidRDefault="0085709A" w:rsidP="0085709A">
      <w:pPr>
        <w:pStyle w:val="Extracto"/>
      </w:pPr>
    </w:p>
    <w:p w:rsidR="0085709A" w:rsidRDefault="0085709A" w:rsidP="0085709A">
      <w:pPr>
        <w:pStyle w:val="Extracto"/>
      </w:pPr>
      <w:r>
        <w:lastRenderedPageBreak/>
        <w:t>6.</w:t>
      </w:r>
      <w:r>
        <w:tab/>
        <w:t>El referéndum es una consulta popular cuyo objeto se refiere estrictamente al parecer del cuerpo electoral expresivo de la voluntad del pueblo conformado a través de un procedimiento electoral, gestionado por la Administración electoral y asegurado con garantías jurisdiccionales específicas, siempre en relación con asuntos públicos cuya gestión, directa o indirecta, mediante el ejercicio del poder político por parte de los ciudadanos, constituye el objeto del derecho fundamental recogido en el art. 23.1 CE (STC 119/1995, de 17 de julio) [FJ 5].</w:t>
      </w:r>
    </w:p>
    <w:p w:rsidR="0085709A" w:rsidRDefault="0085709A" w:rsidP="0085709A">
      <w:pPr>
        <w:pStyle w:val="Extracto"/>
      </w:pPr>
    </w:p>
    <w:p w:rsidR="0085709A" w:rsidRDefault="0085709A" w:rsidP="0085709A">
      <w:pPr>
        <w:pStyle w:val="Extracto"/>
      </w:pPr>
      <w:r>
        <w:t>7.</w:t>
      </w:r>
      <w:r>
        <w:tab/>
        <w:t>A través del referéndum, se produce un llamamiento del poder público a la ciudadanía para ejercer el derecho fundamental de participación en los asuntos públicos reconocido en el art. 23.1 CE, constituyéndose como destinatario de la consulta el conjunto de ciudadanos que tienen reconocido el derecho de sufragio activo en un determinado ámbito territorial o, lo que es lo mismo, el cuerpo electoral [FJ 5].</w:t>
      </w:r>
    </w:p>
    <w:p w:rsidR="0085709A" w:rsidRDefault="0085709A" w:rsidP="0085709A">
      <w:pPr>
        <w:pStyle w:val="Extracto"/>
      </w:pPr>
    </w:p>
    <w:p w:rsidR="0085709A" w:rsidRDefault="0085709A" w:rsidP="0085709A">
      <w:pPr>
        <w:pStyle w:val="Extracto"/>
      </w:pPr>
      <w:r>
        <w:t>8.</w:t>
      </w:r>
      <w:r>
        <w:tab/>
        <w:t>El cuerpo electoral queda identificado con el sujeto que expresa la voluntad del pueblo (SSTC 12/2008 y 31/2010), sin perjuicio de que, como se aclara en la STC 13/2009, el cuerpo electoral no se confunde con el titular de la soberanía, esto es, con el pueblo español (art. 1.2 CE), pues este cuerpo electoral está sometido a la Constitución y al resto del Ordenamiento jurídico (art. 9.1 CE), en tanto que el pueblo soberano es la unidad ideal de imputación del poder constituyente y como tal fundamento de la Constitución y del Ordenamiento [FJ 5].</w:t>
      </w:r>
    </w:p>
    <w:p w:rsidR="0085709A" w:rsidRDefault="0085709A" w:rsidP="0085709A">
      <w:pPr>
        <w:pStyle w:val="Extracto"/>
      </w:pPr>
    </w:p>
    <w:p w:rsidR="0085709A" w:rsidRDefault="0085709A" w:rsidP="0085709A">
      <w:pPr>
        <w:pStyle w:val="Extracto"/>
      </w:pPr>
      <w:r>
        <w:t>9.</w:t>
      </w:r>
      <w:r>
        <w:tab/>
        <w:t>Dado que el cuerpo electoral tiene una adscripción territorial y presenta la composición determinada por el ordenamiento, no existe un único cuerpo de electores, en la medida en que una misma persona podrá formar parte de diversos cuerpos electorales en función de constituir la colectividad de cada uno de los distintos ordenamientos estatal, autonómico o local [FJ 5].</w:t>
      </w:r>
    </w:p>
    <w:p w:rsidR="0085709A" w:rsidRDefault="0085709A" w:rsidP="0085709A">
      <w:pPr>
        <w:pStyle w:val="Extracto"/>
      </w:pPr>
    </w:p>
    <w:p w:rsidR="0085709A" w:rsidRDefault="0085709A" w:rsidP="0085709A">
      <w:pPr>
        <w:pStyle w:val="Extracto"/>
      </w:pPr>
      <w:r>
        <w:t>10.</w:t>
      </w:r>
      <w:r>
        <w:tab/>
        <w:t>Las consultas no referendarias recaban la opinión de cualquier colectivo, por lo que articulan voluntades particulares o colectivas, pero no generales, esto es, no imputables al cuerpo electoral, constituyendo tales consultas una expresión del fenómeno participativo pero sin que se encuentren comprendidas dentro de las formas de participación a las que se refiere el art. 23.1 CE [FFJJ 5 y 6].</w:t>
      </w:r>
    </w:p>
    <w:p w:rsidR="0085709A" w:rsidRDefault="0085709A" w:rsidP="0085709A">
      <w:pPr>
        <w:pStyle w:val="Extracto"/>
      </w:pPr>
    </w:p>
    <w:p w:rsidR="0085709A" w:rsidRDefault="0085709A" w:rsidP="0085709A">
      <w:pPr>
        <w:pStyle w:val="Extracto"/>
      </w:pPr>
      <w:r>
        <w:t>11.</w:t>
      </w:r>
      <w:r>
        <w:tab/>
        <w:t>El referéndum ha de realizarse de acuerdo con los procedimientos y con las garantías que permitan a los consultados expresar su opinión mediante votación, pues sólo mediante el voto puede formarse la voluntad del cuerpo electoral [FJ 5].</w:t>
      </w:r>
    </w:p>
    <w:p w:rsidR="0085709A" w:rsidRDefault="0085709A" w:rsidP="0085709A">
      <w:pPr>
        <w:pStyle w:val="Extracto"/>
      </w:pPr>
    </w:p>
    <w:p w:rsidR="0085709A" w:rsidRDefault="0085709A" w:rsidP="0085709A">
      <w:pPr>
        <w:pStyle w:val="Extracto"/>
      </w:pPr>
      <w:r>
        <w:t>12.</w:t>
      </w:r>
      <w:r>
        <w:tab/>
        <w:t>El régimen jurídico del referéndum está sujeto a una reserva de ley orgánica en cuanto implica el ejercicio del derecho fundamental reconocido por el art. 23.1 CE, concurriendo dos exigencias constitucionales de reserva de ley orgánica: una, genérica, vinculada al desarrollo de los derechos fundamentales; y, otra, específica, asociada a la institución del referéndum [FJ 6].</w:t>
      </w:r>
    </w:p>
    <w:p w:rsidR="0085709A" w:rsidRDefault="0085709A" w:rsidP="0085709A">
      <w:pPr>
        <w:pStyle w:val="Extracto"/>
      </w:pPr>
    </w:p>
    <w:p w:rsidR="0085709A" w:rsidRDefault="0085709A" w:rsidP="0085709A">
      <w:pPr>
        <w:pStyle w:val="Extracto"/>
      </w:pPr>
      <w:r>
        <w:t>13.</w:t>
      </w:r>
      <w:r>
        <w:tab/>
        <w:t>La Constitución atribuye al Estado, como competencia exclusiva, la autorización para la convocatoria de consultas populares por vía de referéndum, competencia que, de conformidad con la jurisprudencia, ha de extenderse a la entera disciplina de tal institución, esto es, a su establecimiento y regulación [FJ 6].</w:t>
      </w:r>
    </w:p>
    <w:p w:rsidR="0085709A" w:rsidRDefault="0085709A" w:rsidP="0085709A">
      <w:pPr>
        <w:pStyle w:val="Extracto"/>
      </w:pPr>
    </w:p>
    <w:p w:rsidR="0085709A" w:rsidRDefault="0085709A" w:rsidP="0085709A">
      <w:pPr>
        <w:pStyle w:val="Extracto"/>
      </w:pPr>
      <w:r>
        <w:t>14.</w:t>
      </w:r>
      <w:r>
        <w:tab/>
        <w:t>En lo que respecta a las competencias de las Comunidades Autónomas, no cabe en el ordenamiento constitucional, en materia de referéndum, ninguna competencia implícita, puesto que en la democracia representativa, sólo pueden convocarse y celebrarse los referendos que expresamente estén previstos en las normas del Estado, incluidos los Estatutos de Autonomía [FJ 6].</w:t>
      </w:r>
    </w:p>
    <w:p w:rsidR="0085709A" w:rsidRDefault="0085709A" w:rsidP="0085709A">
      <w:pPr>
        <w:pStyle w:val="Extracto"/>
      </w:pPr>
    </w:p>
    <w:p w:rsidR="0085709A" w:rsidRDefault="0085709A" w:rsidP="0085709A">
      <w:pPr>
        <w:pStyle w:val="Extracto"/>
      </w:pPr>
      <w:r>
        <w:t>15.</w:t>
      </w:r>
      <w:r>
        <w:tab/>
        <w:t>Queda fuera de la competencia autonómica formular consultas, aun no referendarias, que incidan sobre cuestiones fundamentales resueltas con el proceso constituyente y que resultan sustraídas a la decisión de los poderes constituidos; sin que quepan actuaciones por otros cauces ni de las Comunidades Autónomas ni de cualquier órgano del Estado, porque sobre todos está siempre, expresada en la decisión constituyente, la voluntad del pueblo español, titular exclusivo de la soberanía nacional, fundamento de la Constitución y origen de cualquier poder político [FJ 6].</w:t>
      </w:r>
    </w:p>
    <w:p w:rsidR="0085709A" w:rsidRDefault="0085709A" w:rsidP="0085709A">
      <w:pPr>
        <w:pStyle w:val="Extracto"/>
      </w:pPr>
    </w:p>
    <w:p w:rsidR="0085709A" w:rsidRDefault="0085709A" w:rsidP="0085709A">
      <w:pPr>
        <w:pStyle w:val="Extracto"/>
      </w:pPr>
      <w:r>
        <w:t>16.</w:t>
      </w:r>
      <w:r>
        <w:tab/>
        <w:t>El objeto de las consultas populares no puede desbordar el ámbito de las competencias autonómicas y locales, por lo que es evidente que no puede haber afectación alguna del ámbito competencial privativo del Estado [FJ 6].</w:t>
      </w:r>
    </w:p>
    <w:p w:rsidR="0085709A" w:rsidRDefault="0085709A" w:rsidP="0085709A">
      <w:pPr>
        <w:pStyle w:val="Extracto"/>
      </w:pPr>
    </w:p>
    <w:p w:rsidR="0085709A" w:rsidRDefault="0085709A" w:rsidP="0085709A">
      <w:pPr>
        <w:pStyle w:val="Extracto"/>
      </w:pPr>
      <w:r>
        <w:t>17.</w:t>
      </w:r>
      <w:r>
        <w:tab/>
        <w:t>Las consultas sectoriales reguladas en la misma Ley presuponen el llamamiento a un sujeto jurídico más restringido que el cuerpo electoral, en cuanto articulan voluntades particulares o colectivas, pero no generales, esto es, no imputables al cuerpo electoral, por lo que son cauces de participación cuya regulación por el legislador autonómico catalán resulta posible en consideración al título competencial establecido en el art. 122 EAC [FJ 9].</w:t>
      </w:r>
    </w:p>
    <w:p w:rsidR="0085709A" w:rsidRDefault="0085709A" w:rsidP="0085709A">
      <w:pPr>
        <w:pStyle w:val="Extracto"/>
      </w:pPr>
    </w:p>
    <w:p w:rsidR="0085709A" w:rsidRDefault="0085709A" w:rsidP="0085709A">
      <w:pPr>
        <w:pStyle w:val="Extracto"/>
      </w:pPr>
      <w:r>
        <w:t>18.</w:t>
      </w:r>
      <w:r>
        <w:tab/>
        <w:t>Caben consultas populares no referendarias a fin de recabar la opinión de un colectivo sobre cualesquiera asuntos de interés público a través de cualesquiera procedimientos distintos de los que cualifican una consulta como referéndum, en el bien entendido que el colectivo destinatario de la consulta sectorial en ningún caso puede coincidir con el conjunto de personas a quienes se refiere la Ley impugnada -sino a sectores de ese conjunto conformados en torno a intereses afectados directamente por el objeto de la pregunta- ni, en definitiva, configurarse de un modo tal que el resultado de la consulta pueda imputarse al conjunto de la ciudadanía o cuerpo electoral (STC 31/2010) [FJ 9].</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5829-2014, interpuesto por el Presidente del Gobierno de la Nación, representado por el Abogado del Estado, contra los arts. 3 a 39; las disposiciones transitorias primera y segunda; y la disposición final primera de la Ley del Parlamento de Cataluña 10/2014, de 26 de septiembre, de consultas populares no referendarias y otras formas de participación ciudadana. Han comparecido y formulado alegaciones, la Generalitat de Cataluña y el Parlamento de Cataluña, representados por sus respectivos Letrados.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29 de septiembre de 2014, completado con el escrito de corrección de error material aportado ese mismo día, la Abogacía del Estado, en nombre y representación del Presidente del Gobierno de la Nación, interpuso recurso de inconstitucionalidad contra los preceptos integrantes del título II (arts. 3 a 39), las disposiciones transitorias primera y segunda y la disposición final primera, en lo que resulta de aplicación a dicho título II, de la Ley del Parlamento de Cataluña 10/2014, de 26 de septiembre, de consultas populares no referendarias y otras formas de participación ciudadana. En el propio escrito de interposición, el Abogado del Estado hizo expresa invocación del art. 161.2 CE, a fin de que se produjese la suspensión de la vigencia y aplicación de los preceptos impugnados.</w:t>
      </w:r>
    </w:p>
    <w:p w:rsidR="0085709A" w:rsidRDefault="0085709A" w:rsidP="0085709A">
      <w:pPr>
        <w:pStyle w:val="TextoNormal"/>
      </w:pPr>
    </w:p>
    <w:p w:rsidR="0085709A" w:rsidRDefault="0085709A" w:rsidP="0085709A">
      <w:pPr>
        <w:pStyle w:val="TextoNormal"/>
      </w:pPr>
      <w:r>
        <w:t>Los motivos del recurso son los que, sucintamente, se recogen a continuación.</w:t>
      </w:r>
    </w:p>
    <w:p w:rsidR="0085709A" w:rsidRDefault="0085709A" w:rsidP="0085709A">
      <w:pPr>
        <w:pStyle w:val="TextoNormal"/>
      </w:pPr>
    </w:p>
    <w:p w:rsidR="0085709A" w:rsidRDefault="0085709A" w:rsidP="0085709A">
      <w:pPr>
        <w:pStyle w:val="TextoNormal"/>
      </w:pPr>
      <w:r>
        <w:t>Comienza exponiendo el Abogado del Estado que su escrito de impugnación se divide en dos partes, la primera de las cuales aborda la inconstitucionalidad de la regulación de las consultas no referendarias en el ámbito autonómico, por vulneración de las competencias exclusivas del Estado en materia de regulación y autorización de consultas referendarias, así como de la reserva de ley orgánica en materia de referéndum. En la segunda parte se promueve la inconstitucionalidad de los preceptos que específicamente incurren en contradicción con la legislación básica estatal en materia de consultas populares locales.</w:t>
      </w:r>
    </w:p>
    <w:p w:rsidR="0085709A" w:rsidRDefault="0085709A" w:rsidP="0085709A">
      <w:pPr>
        <w:pStyle w:val="TextoNormal"/>
      </w:pPr>
    </w:p>
    <w:p w:rsidR="0085709A" w:rsidRDefault="0085709A" w:rsidP="0085709A">
      <w:pPr>
        <w:pStyle w:val="TextoNormal"/>
      </w:pPr>
      <w:r>
        <w:t xml:space="preserve">En el primero de los ámbitos señalados, afirma que el título II de la Ley impugnada contiene una regulación de la figura del referéndum, aunque intente encubrirla mediante el uso de fórmulas, redacciones o definiciones, que procuran formalmente evitar su identificación con lo que en realidad es una llamada al cuerpo electoral mediante el uso de una administración materialmente electoral y con un procedimiento que es asimismo electoral, por lo que la institución regulada es un auténtico referéndum, con independencia del </w:t>
      </w:r>
      <w:r w:rsidRPr="0085709A">
        <w:rPr>
          <w:i/>
        </w:rPr>
        <w:t>nomen iuris</w:t>
      </w:r>
      <w:r>
        <w:t xml:space="preserve"> utilizado. Entiende que el objetivo último de la Ley impugnada es dotar de cobertura jurídica a la convocatoria de un referéndum sobre la independencia de Cataluña, como se deduce de </w:t>
      </w:r>
      <w:r>
        <w:lastRenderedPageBreak/>
        <w:t>forma explícita del contexto jurídico y político en el que se aprobó, de los antecedentes históricos de la norma, de su tramitación parlamentaria y de la propia promulgación del Decreto 129/2014, de 27 de septiembre, de convocatoria de una consulta cuya pregunta versa sobre si Cataluña ha de ser Estado independiente.</w:t>
      </w:r>
    </w:p>
    <w:p w:rsidR="0085709A" w:rsidRDefault="0085709A" w:rsidP="0085709A">
      <w:pPr>
        <w:pStyle w:val="TextoNormal"/>
      </w:pPr>
    </w:p>
    <w:p w:rsidR="0085709A" w:rsidRDefault="0085709A" w:rsidP="0085709A">
      <w:pPr>
        <w:pStyle w:val="TextoNormal"/>
      </w:pPr>
      <w:r>
        <w:t>El escrito de interposición analiza a continuación la competencia del Estado en materia de consultas referendarias, que encuentra fundamento en el art. 149.1.1 CE, en conexión con el art. 23.1 CE, que reconoce el derecho fundamental de participación directa en los asuntos públicos; en el art. 149.1.18 CE, en virtud del cual corresponde al Estado la regulación de las bases del régimen jurídico de la Administración electoral y la regulación de las bases del régimen jurídico de la Administración local, bajo cuyo amparo compete al Estado la regulación de las consultas populares municipales; en el art. 149.1.32 CE, en cuya virtud corresponde al Estado la decisión de autorización de cualquier consulta popular por vía de referéndum, siendo una competencia que no se limita a la autorización estatal para la convocatoria sino que “ha de extenderse a la entera disciplina de esa institución, esto es, a su establecimiento y regulación” (STC 31/2010, de 28 de junio), lo que incluye la previa habilitación o previsión abstracta del tipo, figura o modalidad referendaria efectuada por las Cortes Generales, precisamente en la Ley Orgánica a que se refiere el art. 92.3 CE, por lo que en ningún caso puede hablarse de la existencia de competencia de la Comunidad Autónoma de Cataluña sobre el establecimiento del régimen jurídico, las modalidades, el procedimiento, la realización y la convocatoria por la propia Generalitat de una consulta mediante votación de carácter referendario.</w:t>
      </w:r>
    </w:p>
    <w:p w:rsidR="0085709A" w:rsidRDefault="0085709A" w:rsidP="0085709A">
      <w:pPr>
        <w:pStyle w:val="TextoNormal"/>
      </w:pPr>
    </w:p>
    <w:p w:rsidR="0085709A" w:rsidRDefault="0085709A" w:rsidP="0085709A">
      <w:pPr>
        <w:pStyle w:val="TextoNormal"/>
      </w:pPr>
      <w:r>
        <w:t>Por otra parte, añade el escrito, el art. 81.1 CE establece una reserva de ley orgánica en relación con determinadas materias, entre las que se incluyen: a) el desarrollo de los derechos fundamentales y las libertades públicas, lo que implica la regulación del derecho fundamental de participación en los asuntos públicos, en este caso, el derecho de participación directa consagrado en el art. 23.1 CE, mediante la institución del referéndum; la reserva comprende también el derecho fundamental a la intimidad personal, consagrado en el art. 18 CE, que abarca, asimismo, la regulación de la protección de datos de carácter personal; b) la regulación del régimen electoral general, que se concreta en la Ley Orgánica 5/1985, de 19 de junio, del régimen electoral general (LOREG); c) y las demás materias contempladas en la Constitución, previsión genérica que se plasma en el art. 92.3 CE, que remite a una ley orgánica la regulación de las condiciones y el procedimiento de las distintas modalidades de referéndum previstas en la Constitución; previsión que se materializó en la aprobación de la antes citada Ley Orgánica 2/1980, de 18 de enero.</w:t>
      </w:r>
    </w:p>
    <w:p w:rsidR="0085709A" w:rsidRDefault="0085709A" w:rsidP="0085709A">
      <w:pPr>
        <w:pStyle w:val="TextoNormal"/>
      </w:pPr>
    </w:p>
    <w:p w:rsidR="0085709A" w:rsidRDefault="0085709A" w:rsidP="0085709A">
      <w:pPr>
        <w:pStyle w:val="TextoNormal"/>
      </w:pPr>
      <w:r>
        <w:t>Por lo que se refiere a las competencias de la Comunidad Autónoma de Cataluña en esta materia, afirma la representación estatal que se limitan a las consultas de naturaleza no referendaria. Así se deriva de lo dispuesto en el art. 122 del Estatuto de Autonomía de Cataluña (EAC) que, conforme a lo señalado en la STC 31/2010, de 28 de junio, en ningún caso atribuye a la Generalitat competencias en materia de establecimiento y regulación de referendos. Expone que la competencia plasmada en el art. 122 EAC no ampara ni comprende la regulación o convocatoria de consultas que, aunque no se denominen referendarias o se aparten formalmente de la regulación del referendo, sean, como en este caso, material y auténticamente un referéndum. En este sentido, añade que la Ley 10/2014, de 26 de septiembre, ha creado un nuevo modelo de consultas populares que se identifica con el refe</w:t>
      </w:r>
      <w:r>
        <w:lastRenderedPageBreak/>
        <w:t>rendo, aunque pretenda huir de esta categoría jurídica mediante una extensión inconstitucional del inciso “otros instrumentos de participación”, que vulnera las competencias del Estado.</w:t>
      </w:r>
    </w:p>
    <w:p w:rsidR="0085709A" w:rsidRDefault="0085709A" w:rsidP="0085709A">
      <w:pPr>
        <w:pStyle w:val="TextoNormal"/>
      </w:pPr>
    </w:p>
    <w:p w:rsidR="0085709A" w:rsidRDefault="0085709A" w:rsidP="0085709A">
      <w:pPr>
        <w:pStyle w:val="TextoNormal"/>
      </w:pPr>
      <w:r>
        <w:t>Aborda a continuación el escrito del recurso las características esenciales de la institución del referéndum, a la luz de la STC 103/2008, de 11 de septiembre, en los siguientes términos:</w:t>
      </w:r>
    </w:p>
    <w:p w:rsidR="0085709A" w:rsidRDefault="0085709A" w:rsidP="0085709A">
      <w:pPr>
        <w:pStyle w:val="TextoNormal"/>
      </w:pPr>
    </w:p>
    <w:p w:rsidR="0085709A" w:rsidRDefault="0085709A" w:rsidP="0085709A">
      <w:pPr>
        <w:pStyle w:val="TextoNormal"/>
      </w:pPr>
      <w:r>
        <w:t>a) Implica una consulta, pues, mediante el referendo, el cuerpo electoral se manifiesta sobre un asunto de especial transcendencia, previo llamamiento del poder público, que reclama su parecer.</w:t>
      </w:r>
    </w:p>
    <w:p w:rsidR="0085709A" w:rsidRDefault="0085709A" w:rsidP="0085709A">
      <w:pPr>
        <w:pStyle w:val="TextoNormal"/>
      </w:pPr>
    </w:p>
    <w:p w:rsidR="0085709A" w:rsidRDefault="0085709A" w:rsidP="0085709A">
      <w:pPr>
        <w:pStyle w:val="TextoNormal"/>
      </w:pPr>
      <w:r>
        <w:t>b) Su objeto ha de versar sobre decisiones políticas de especial transcendencia. Esta importancia, relevancia o transcendencia de la cuestión objeto del referéndum es la causa y razón de su sometimiento a la decisión de “todos los ciudadanos” (art. 92 CE), de modo que implica el llamamiento al pueblo español como titular de la soberanía nacional (art. 1.2 CE) mediante el ejercicio del derecho de participación política consagrado en el art. 23.1 CE.</w:t>
      </w:r>
    </w:p>
    <w:p w:rsidR="0085709A" w:rsidRDefault="0085709A" w:rsidP="0085709A">
      <w:pPr>
        <w:pStyle w:val="TextoNormal"/>
      </w:pPr>
    </w:p>
    <w:p w:rsidR="0085709A" w:rsidRDefault="0085709A" w:rsidP="0085709A">
      <w:pPr>
        <w:pStyle w:val="TextoNormal"/>
      </w:pPr>
      <w:r>
        <w:t>c) El cuerpo electoral no se identifica exactamente con el poder soberano (STC 12/2008, de 29 de enero) sino con el conjunto de ciudadanos que, expresando la voluntad del poder soberano, están llamados a participar en los asuntos públicos mediante la elección de representantes políticos o, directamente, a través de la institución del referéndum.</w:t>
      </w:r>
    </w:p>
    <w:p w:rsidR="0085709A" w:rsidRDefault="0085709A" w:rsidP="0085709A">
      <w:pPr>
        <w:pStyle w:val="TextoNormal"/>
      </w:pPr>
    </w:p>
    <w:p w:rsidR="0085709A" w:rsidRDefault="0085709A" w:rsidP="0085709A">
      <w:pPr>
        <w:pStyle w:val="TextoNormal"/>
      </w:pPr>
      <w:r>
        <w:t>d) Se precisa un procedimiento electoral que, mediante una concatenación de trámites y la intervención de una organización administrativa electoral que dote de garantías al procedimiento, finaliza con la proclamación de un resultado. Conforme a lo señalado en la STC 103/2008, de 11 de septiembre, este requisito procedimental se manifiesta en tres aspectos: la elaboración y gestión de un censo electoral, que comprende a los ciudadanos que reúnen los requisitos para ejercer el derecho al sufragio; la organización administrativa que vele por el correcto desenvolvimiento del proceso electoral y lo dote de garantías jurídicas de veracidad y autenticidad; y el establecimiento de un sistema de garantías jurisdiccionales específicas, que no comprende sólo la intervención de órganos integrados en el Poder Judicial, sino también la función revisora de la legalidad de la actuación de otros órganos integrados en la Administración electoral.</w:t>
      </w:r>
    </w:p>
    <w:p w:rsidR="0085709A" w:rsidRDefault="0085709A" w:rsidP="0085709A">
      <w:pPr>
        <w:pStyle w:val="TextoNormal"/>
      </w:pPr>
    </w:p>
    <w:p w:rsidR="0085709A" w:rsidRDefault="0085709A" w:rsidP="0085709A">
      <w:pPr>
        <w:pStyle w:val="TextoNormal"/>
      </w:pPr>
      <w:r>
        <w:t>A continuación, el recurso de inconstitucionalidad realiza una extensa serie de consideraciones generales sobre el contexto en el que ha aprobado la Ley impugnada, examinando sus antecedentes históricos, su tramitación parlamentaria y las normas promulgadas con posterioridad a su aprobación.</w:t>
      </w:r>
    </w:p>
    <w:p w:rsidR="0085709A" w:rsidRDefault="0085709A" w:rsidP="0085709A">
      <w:pPr>
        <w:pStyle w:val="TextoNormal"/>
      </w:pPr>
    </w:p>
    <w:p w:rsidR="0085709A" w:rsidRDefault="0085709A" w:rsidP="0085709A">
      <w:pPr>
        <w:pStyle w:val="TextoNormal"/>
      </w:pPr>
      <w:r>
        <w:t xml:space="preserve">Tras ello, al hilo de exponer el contenido de la generalidad de los preceptos impugnados, se reitera su inconstitucionalidad en la medida en que se menoscaban las competencias del Estado en la materia. Pero también se contienen en el escrito del recurso censuras materiales o sustantivas contra determinados preceptos integrados, todos ellos, en el título II de la Ley. Tales impugnaciones por razones no competenciales son: a) El art. 12 CE (mayoría de edad de los españoles a los dieciocho años) habría sido infringido, en relación con las normas que lo desarrollan en la Ley Orgánica 5/1985, del régimen electoral general, por los preceptos que en el art. 5.1 de la Ley determinan que “pueden ser llamados” a participar en estas </w:t>
      </w:r>
      <w:r>
        <w:lastRenderedPageBreak/>
        <w:t>consultas los mayores de dieciséis años; b) el art. 13.2 CE atribuye sólo a los españoles los derechos reconocidos por el art. 23 de la propia Norma fundamental, con la única y condicionada salvedad en orden al derecho de sufragio activo y pasivo en las elecciones municipales, y que habría sido vulnerado, en consecuencia, por las reglas que en el mentado art. 5.1 consideran “personas legitimadas” para votar en estas consultas a nacionales de Estados miembros de la Unión Europea o de terceros Estados [apartados b) y c) del repetido art. 5.1]; c) el art. 18.4 CE podría considerarse infringido, en relación con lo dispuesto en la Ley Orgánica 15/1999, de protección de datos de carácter personal, por el art. 6 de la Ley (registro de participación en consultas populares no referendarias), en la medida en que su apartado 3 no exige el consentimiento del interesado para la comunicación de sus datos al referido registro por aquellos otros de los que se nutre (apartado 2 del mismo art. 6: registro de población de Cataluña, registro de catalanes y catalanas en el exterior y “otros instrumentos registrales”); d) se argumenta por referencia al art. 68.5 EAC y en contra de lo prevenido en el art. 12.3, con arreglo al cual “una vez firmado el decreto de convocatoria de la consulta, las instituciones convocantes deben abrir un período de difusión institucional”. Entiende el Abogado del Estado que tal previsión legal es contraria al citado art. 68.5 EAC, en cuanto que el precepto impugnado está “previendo un efecto jurídico de la convocatoria aún antes de su publicación”.</w:t>
      </w:r>
    </w:p>
    <w:p w:rsidR="0085709A" w:rsidRDefault="0085709A" w:rsidP="0085709A">
      <w:pPr>
        <w:pStyle w:val="TextoNormal"/>
      </w:pPr>
    </w:p>
    <w:p w:rsidR="0085709A" w:rsidRDefault="0085709A" w:rsidP="0085709A">
      <w:pPr>
        <w:pStyle w:val="TextoNormal"/>
      </w:pPr>
      <w:r>
        <w:t>Con un alcance general se destaca la concurrencia de un fraude a la Constitución, en la medida en que la Ley impugnada tiene como única y exclusiva finalidad habilitar la convocatoria por la Generalitat de una consulta referendaria, asumiendo competencias exclusivas del Estado y quebrantando las garantías constitucionales, tal como se deduce de la propia configuración de la Ley y se refuerza con el análisis de los antecedentes normativos y su tramitación parlamentaria.</w:t>
      </w:r>
    </w:p>
    <w:p w:rsidR="0085709A" w:rsidRDefault="0085709A" w:rsidP="0085709A">
      <w:pPr>
        <w:pStyle w:val="TextoNormal"/>
      </w:pPr>
    </w:p>
    <w:p w:rsidR="0085709A" w:rsidRDefault="0085709A" w:rsidP="0085709A">
      <w:pPr>
        <w:pStyle w:val="TextoNormal"/>
      </w:pPr>
      <w:r>
        <w:t>La segunda parte del recurso de inconstitucionalidad presentado por la Abogacía del Estado está dirigida a sostener la inconstitucionalidad de determinados preceptos de la Ley autonómica referidos a las consultas populares locales (arts. 3.2, en el inciso relativo a los entes locales, 4.3, 10, 12 y 38), por su contradicción con la legislación orgánica y básica estatal en aquella materia, recogidas en la disposición adicional de la Ley Orgánica 2/1980, de 18 de enero, reguladora de las distintas modalidades de referéndum, y en el art. 71 de la Ley 7/1985, de 2 de abril, de bases del régimen local.</w:t>
      </w:r>
    </w:p>
    <w:p w:rsidR="0085709A" w:rsidRDefault="0085709A" w:rsidP="0085709A">
      <w:pPr>
        <w:pStyle w:val="TextoNormal"/>
      </w:pPr>
    </w:p>
    <w:p w:rsidR="0085709A" w:rsidRDefault="0085709A" w:rsidP="0085709A">
      <w:pPr>
        <w:pStyle w:val="TextoNormal"/>
      </w:pPr>
      <w:r>
        <w:t>La Abogacía del Estado cifra en tres puntos el apartamiento de la normativa autonómica respecto de la estatal: a) No se contempla que el acuerdo municipal de convocatoria de la consulta sea adoptado por mayoría absoluta del Pleno; b) tampoco se prevé que la convocatoria esté precedida de la autorización del Gobierno de la Nación; c) se regulan consultas populares de ámbito supramunicipal, desconocidas en la legislación estatal.</w:t>
      </w:r>
    </w:p>
    <w:p w:rsidR="0085709A" w:rsidRDefault="0085709A" w:rsidP="0085709A">
      <w:pPr>
        <w:pStyle w:val="TextoNormal"/>
      </w:pPr>
    </w:p>
    <w:p w:rsidR="0085709A" w:rsidRDefault="0085709A" w:rsidP="0085709A">
      <w:pPr>
        <w:pStyle w:val="TextoNormal"/>
      </w:pPr>
      <w:r>
        <w:t>Para el Abogado del Estado, del juego del art. 149.l.l CE en relación con el art. 23.1 CE y del art. 149.1.18 CE (que atribuye competencia exclusiva del Estado sobre el régimen jurídico de las Administraciones públicas) se deriva un contenido en esta materia que debe ser uniforme y mínimo en toda España, de modo que, al no ser así en el presente caso, se produce una vulneración mediata de la Constitución.</w:t>
      </w:r>
    </w:p>
    <w:p w:rsidR="0085709A" w:rsidRDefault="0085709A" w:rsidP="0085709A">
      <w:pPr>
        <w:pStyle w:val="TextoNormal"/>
      </w:pPr>
    </w:p>
    <w:p w:rsidR="0085709A" w:rsidRDefault="0085709A" w:rsidP="0085709A">
      <w:pPr>
        <w:pStyle w:val="TextoNormal"/>
      </w:pPr>
      <w:r>
        <w:t xml:space="preserve">Tras lo anterior, se reitera en el recurso que la Ley 10/2014 entraña un supuesto de “fraude a la Constitución”, pues tal Ley habría sido concebida, tramitada y planificada como </w:t>
      </w:r>
      <w:r>
        <w:lastRenderedPageBreak/>
        <w:t>cauce jurídico para habilitar una verdadera consulta referendaria sobre la independencia de Cataluña, alterando la denominación o elementos accidentales del referéndum, para eludir su declaración de inconstitucionalidad. A tal fin, se añade, la Ley utiliza la cobertura de la propia Constitución y la interpretación que de sus preceptos hace la jurisprudencia constitucional para perseguir un resultado contrario a ella.</w:t>
      </w:r>
    </w:p>
    <w:p w:rsidR="0085709A" w:rsidRDefault="0085709A" w:rsidP="0085709A">
      <w:pPr>
        <w:pStyle w:val="TextoNormal"/>
      </w:pPr>
    </w:p>
    <w:p w:rsidR="0085709A" w:rsidRDefault="0085709A" w:rsidP="0085709A">
      <w:pPr>
        <w:pStyle w:val="TextoNormal"/>
      </w:pPr>
      <w:r>
        <w:t>Por último, el escrito de interposición concluye con una referencia a los arts. 42, 43 y 44 de la Ley 10/2014, de 26 de septiembre, considerando que los términos literales de su redacción no permiten apreciar vicio de inconstitucionalidad inmediato, sin perjuicio de los procedimientos que pudieran llegar a promoverse ante este Tribunal Constitucional si se convocasen procesos de participación ciudadana que, invocando la cobertura legal del título III de la Ley, alterasen la estructura con que los mismos se definen en la misma, llamando al pueblo de Cataluña al sufragio. Se añade que constituye ésta una cuestión que deberá valorarse en función de las circunstancias del supuesto concreto y sustanciarse, llegado el caso, a través de procedimientos distintos al del recurso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2</w:t>
      </w:r>
      <w:r>
        <w:t>. A propuesta de la Sección Tercera, el Pleno del Tribunal acordó, por providencia de 29 de septiembre de 2014, admitir a trámite el recurso de inconstitucionalidad, dar traslado de la demanda y documentos presentados, conforme establece el art. 34 de la Ley Orgánica del Tribunal Constitucional (LOTC), al Congreso de los Diputados y al Senado, por conducto de sus Presidentes, así como al Parlamento de Cataluña y al Gobierno de la Generalitat de Cataluña, al objeto de que en el plazo de quince días pudieran personarse en el proceso y formular las alegaciones que estimasen convenientes. Asimismo, se acordó tener por invocado por el Presidente del Gobierno el art. 161.2 CE y, de conformidad con dicho artículo, suspender los preceptos impugnados (desde la fecha de interposición del recurso para las partes del proceso y desde su publicación en el “Boletín Oficial del Estado” para los terceros), y cuantos actos o resoluciones hubieran podido dictarse en aplicación de los mismos, así como comunicar la providencia a los Presidentes del Parlamento de Cataluña y del Gobierno de la Generalitat. Por último, también se ordenó publicar la incoación del recurso en el “Boletín Oficial del Estado” y en el “Diari Oficial de la Generalitat de Catalunya”.</w:t>
      </w:r>
    </w:p>
    <w:p w:rsidR="0085709A" w:rsidRDefault="0085709A" w:rsidP="0085709A">
      <w:pPr>
        <w:pStyle w:val="TextoNormal"/>
      </w:pPr>
    </w:p>
    <w:p w:rsidR="0085709A" w:rsidRDefault="0085709A" w:rsidP="0085709A">
      <w:pPr>
        <w:pStyle w:val="TextoNormal"/>
      </w:pPr>
      <w:r w:rsidRPr="0085709A">
        <w:rPr>
          <w:rStyle w:val="NumeroAFNegritaCaracter"/>
        </w:rPr>
        <w:t>3</w:t>
      </w:r>
      <w:r>
        <w:t>. En sendos escritos registrados los días 1 y 2 de octubre de 2014, los Abogados de la Generalitat y el Letrado del Parlamento de Cataluña se personaron en el procedimiento y solicitaron el inmediato levantamiento de la suspensión de los preceptos impugnados. El Pleno, en providencia de 8 de octubre, acordó oír al Abogado del Estado, para que en plazo de cinco días expusiera lo que estimara procedente sobre dicha solicitud, lo que llevó a cabo en escrito presentado el 16 de octubre, en el que pidió el mantenimiento de la suspensión hasta la publicación de la Sentencia que ponga fin al presente proceso.</w:t>
      </w:r>
    </w:p>
    <w:p w:rsidR="0085709A" w:rsidRDefault="0085709A" w:rsidP="0085709A">
      <w:pPr>
        <w:pStyle w:val="TextoNormal"/>
      </w:pPr>
    </w:p>
    <w:p w:rsidR="0085709A" w:rsidRDefault="0085709A" w:rsidP="0085709A">
      <w:pPr>
        <w:pStyle w:val="TextoNormal"/>
      </w:pPr>
      <w:r w:rsidRPr="0085709A">
        <w:rPr>
          <w:rStyle w:val="NumeroAFNegritaCaracter"/>
        </w:rPr>
        <w:t>4</w:t>
      </w:r>
      <w:r>
        <w:t>. El 7 de octubre de 2014, la representación procesal del Parlamento de Cataluña promovió un incidente de recusación del Excmo. Sr. Presidente del Tribunal y del Excmo. Sr. Magistrado don Pedro González-Trevijano Sánchez. Ambas recusaciones fueran inadmitidas a trámite por los AATC 237/2014, de 9 de octubre, y 238/2014, de 9 de octubre, respectivamente.</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En fechas 6 y 10 de octubre, el Abogado del Estado planteó incidente de ejecución de la providencia de 29 de septiembre de 2014, en relación con el Decreto de la Presidencia de </w:t>
      </w:r>
      <w:r>
        <w:lastRenderedPageBreak/>
        <w:t>la Generalitat de Cataluña 132/2014, de 2 de octubre, de nombramiento de los miembros de la comisión de control de las consultas populares no referendarias; y asimismo respecto del Decreto 133/2014, de 6 de octubre, de nombramiento de los miembros de las comisiones de seguimiento de la consulta popular no referendaria sobre el futuro político de Cataluña.</w:t>
      </w:r>
    </w:p>
    <w:p w:rsidR="0085709A" w:rsidRDefault="0085709A" w:rsidP="0085709A">
      <w:pPr>
        <w:pStyle w:val="TextoNormal"/>
      </w:pPr>
    </w:p>
    <w:p w:rsidR="0085709A" w:rsidRDefault="0085709A" w:rsidP="0085709A">
      <w:pPr>
        <w:pStyle w:val="TextoNormal"/>
      </w:pPr>
      <w:r w:rsidRPr="0085709A">
        <w:rPr>
          <w:rStyle w:val="NumeroAFNegritaCaracter"/>
        </w:rPr>
        <w:t>6</w:t>
      </w:r>
      <w:r>
        <w:t>. El Presidente del Senado, mediante escrito registrado el 8 de octubre de 2014, comunicó que la Mesa de la Cámara, en su reunión del día anterior, había acordado la personación en este procedimiento y su colaboración a los efectos del art. 88.1 LOTC. El mismo 8 de octubre de 2014 el Presidente del Congreso de los Diputados comunicó que la Cámara se personaba en el proceso, ofreciendo su colaboración a los mismos efectos.</w:t>
      </w:r>
    </w:p>
    <w:p w:rsidR="0085709A" w:rsidRDefault="0085709A" w:rsidP="0085709A">
      <w:pPr>
        <w:pStyle w:val="TextoNormal"/>
      </w:pPr>
    </w:p>
    <w:p w:rsidR="0085709A" w:rsidRDefault="0085709A" w:rsidP="0085709A">
      <w:pPr>
        <w:pStyle w:val="TextoNormal"/>
      </w:pPr>
      <w:r w:rsidRPr="0085709A">
        <w:rPr>
          <w:rStyle w:val="NumeroAFNegritaCaracter"/>
        </w:rPr>
        <w:t>7</w:t>
      </w:r>
      <w:r>
        <w:t>. Los Abogados de la Generalitat de Cataluña presentaron su escrito de alegaciones el 10 de octubre de 2014, solicitando la desestimación del recurso de inconstitucionalidad. A su juicio, la Ley 10/2014, de 26 de septiembre, ha venido a subsanar la ausencia de regulación legal de instrumentos de consulta en el ámbito de Cataluña, con la finalidad de instrumentar cauces de participación a través de los cuales los ciudadanos de Cataluña pueden expresar sus opiniones y aspiraciones políticas sobre aquellos aspectos de la vida pública que puedan tener transcendencia para las políticas públicas de la Generalitat o de los entes locales, siempre en consonancia con los arts. 9.2 CE, y 29.6 y 122 EAC. Se aduce que, aunque no cabe negar que la Ley ha establecido la posibilidad de ofrecer un marco legal en el que pueda realizarse la consulta no referendaria sobre el futuro político de Cataluña, que se ha convocado mediante el Decreto 129/2014, ello no permite calificarla como ley singular o de caso único, por lo que su enjuiciamiento ha de llevarse a cabo mediante un puro control de naturaleza abstracta, al margen de cualquier posible aplicación de la misma.</w:t>
      </w:r>
    </w:p>
    <w:p w:rsidR="0085709A" w:rsidRDefault="0085709A" w:rsidP="0085709A">
      <w:pPr>
        <w:pStyle w:val="TextoNormal"/>
      </w:pPr>
    </w:p>
    <w:p w:rsidR="0085709A" w:rsidRDefault="0085709A" w:rsidP="0085709A">
      <w:pPr>
        <w:pStyle w:val="TextoNormal"/>
      </w:pPr>
      <w:r>
        <w:t>En opinión de los Abogados de la Generalitat, la Ley Orgánica 2/1980, de 18 de enero, ha resultado manifiestamente insuficiente desde un principio, por lo que no puede sorprender que con la Ley objeto de este recurso se ponga remedio a la ausencia de instrumentos de consulta en el ámbito de Cataluña. Consideran que es preciso abordar medidas legislativas dirigidas a superar la crisis de representatividad que afecta al funcionamiento de la democracia en España; medidas que, como la Ley 10/2014, de 26 de septiembre, ofrezcan instrumentos de participación ciudadana a través de los cuales se proceda a integrar aquellas aspiraciones que permitan que el sistema de representación política pueda recuperar nuevos índices de legitimidad. Se cita, en este contexto, un conjunto de reformas y medidas de democracia participativa adoptadas en el seno de la Unión Europea, entre las que se incluyen el “Libro blanco sobre la gobernanza europea” (Comisión Europea, 2001) y las reformas introducidas por el Tratado de Lisboa e incorporadas al vigente Tratado de la Unión Europea.</w:t>
      </w:r>
    </w:p>
    <w:p w:rsidR="0085709A" w:rsidRDefault="0085709A" w:rsidP="0085709A">
      <w:pPr>
        <w:pStyle w:val="TextoNormal"/>
      </w:pPr>
    </w:p>
    <w:p w:rsidR="0085709A" w:rsidRDefault="0085709A" w:rsidP="0085709A">
      <w:pPr>
        <w:pStyle w:val="TextoNormal"/>
      </w:pPr>
      <w:r>
        <w:t>El escrito de demanda se refiere asimismo a la STC 42/2014, de 25 de marzo, afirmando que en la misma se admite la legitimidad del “derecho a decidir”, como libre expresión de aspiraciones políticas aunque contrarias al tenor actual de la Constitución, como las plasmadas en la Resolución 5/X del Parlamento de Cataluña, que propugnan el desarrollo de un proceso en el que se llama a participar activamente a todos los ciudadanos de Cataluña. De esta suerte, se añade, la Ley 10/2014, de 26 de septiembre, instrumenta un procedimiento de consultas populares que puede servir, entre otros, a ese objeto.</w:t>
      </w:r>
    </w:p>
    <w:p w:rsidR="0085709A" w:rsidRDefault="0085709A" w:rsidP="0085709A">
      <w:pPr>
        <w:pStyle w:val="TextoNormal"/>
      </w:pPr>
    </w:p>
    <w:p w:rsidR="0085709A" w:rsidRDefault="0085709A" w:rsidP="0085709A">
      <w:pPr>
        <w:pStyle w:val="TextoNormal"/>
      </w:pPr>
      <w:r>
        <w:lastRenderedPageBreak/>
        <w:t>A juicio de los Abogados de la Generalitat, el título II de la Ley 10/2014, de 26 de septiembre, no regula el referéndum, sino consultas no referendarias, que tienen por finalidad conocer las opiniones de la población sobre las cuestiones sometidas a consulta y cuyos resultados no tienen eficacia jurídica vinculante. Su pretensión es dar efectividad al principio democrático enunciado en el art. 1.1 CE y al mandato contenido en el art. 9.2 CE, en coherencia con el objetivo fijado en el preámbulo de la Constitución, de establecer una sociedad democrática avanzada. En este contexto, la Ley parte, en primer lugar, de un concepto de consulta popular no referendaria, como manifestación pura de la opinión de la ciudadanía, exenta de toda eficacia jurídica decisoria sobre el objeto consultado (art. 8); y, en segundo lugar, la votación se configura como técnica instrumental para la manifestación de la opinión o posición política, en modo alguno asimilable a la votación electoral ni a la votación en referéndum, lo que sitúa esta modalidad de participación en la esfera de la libertad ideológica y de expresión, fuera pues del núcleo del derecho fundamental de participación política.</w:t>
      </w:r>
    </w:p>
    <w:p w:rsidR="0085709A" w:rsidRDefault="0085709A" w:rsidP="0085709A">
      <w:pPr>
        <w:pStyle w:val="TextoNormal"/>
      </w:pPr>
    </w:p>
    <w:p w:rsidR="0085709A" w:rsidRDefault="0085709A" w:rsidP="0085709A">
      <w:pPr>
        <w:pStyle w:val="TextoNormal"/>
      </w:pPr>
      <w:r>
        <w:t>Se añade de esta suerte que si bien se produce una llamada o convocatoria a los ciudadanos desde un poder público, ni el sujeto consultado, ni el procedimiento y garantías seguidas, coinciden con las características de un referéndum. La especial transcendencia política del objeto sobre el que se produce una consulta no basta por sí sola tampoco para determinar que la misma sea un referéndum. Se sostiene así que el art. 92.1 CE no impide que, en relación con cuestiones de especial transcendencia política, no puedan utilizarse otras vías, procedimientos o instrumentos de consulta de la opinión de los ciudadanos, porque la propia generalidad o indefinición de lo que en cada momento pueda ser una cuestión de especial transcendencia política, impide entender ese enunciado como una delimitación que garantice el mínimo de certeza requerido para su observancia.</w:t>
      </w:r>
    </w:p>
    <w:p w:rsidR="0085709A" w:rsidRDefault="0085709A" w:rsidP="0085709A">
      <w:pPr>
        <w:pStyle w:val="TextoNormal"/>
      </w:pPr>
    </w:p>
    <w:p w:rsidR="0085709A" w:rsidRDefault="0085709A" w:rsidP="0085709A">
      <w:pPr>
        <w:pStyle w:val="TextoNormal"/>
      </w:pPr>
      <w:r>
        <w:t>Continúa señalando el escrito de alegaciones que el interés de una Comunidad Autónoma no se circunscribe al estricto ámbito de sus competencias; y, toda vez que, entre otras potestades, el Parlamento de Cataluña dispone de la iniciativa legislativa ante las Cortes, el ámbito de las cuestiones sobre las que se puede consultar la opinión de sus ciudadanos ha de extenderse hasta cuantas puedan ser objeto de esas iniciativas y tengan un punto de conexión con intereses propios de esa Comunidad Autónoma. Añaden los Abogados de la Generalitat que el sujeto llamado a consulta no es tampoco el cuerpo electoral, pues la Ley 10/2014, de 26 de septiembre, no determina un único sujeto a quien puedan formularse las consultas, sino que habilita su determinación, en cada caso, al decreto de convocatoria, siempre dentro de unos grupos definidos que no se corresponden con el cuerpo electoral, pues no coinciden con el colectivo de ninguno de los censos electorales que sirven para la celebración de elecciones. La regulación procedimental recogida en la Ley 10/2014, de 26 de septiembre, tampoco equivale a la propia de los referéndums, puesto que no se lleva a cabo por el procedimiento electoral ni mediante la elaboración y gestión del censo electoral, ni con la organización administrativa que vele por el correcto desenvolvimiento y garantías del proceso electoral, ni cuenta con un sistema de garantías jurisdiccionales específicas.</w:t>
      </w:r>
    </w:p>
    <w:p w:rsidR="0085709A" w:rsidRDefault="0085709A" w:rsidP="0085709A">
      <w:pPr>
        <w:pStyle w:val="TextoNormal"/>
      </w:pPr>
    </w:p>
    <w:p w:rsidR="0085709A" w:rsidRDefault="0085709A" w:rsidP="0085709A">
      <w:pPr>
        <w:pStyle w:val="TextoNormal"/>
      </w:pPr>
      <w:r>
        <w:t>Para los Abogados de la Generalitat, la Ley 10/2014, de 26 de septiembre, tampoco lesiona las competencias reservadas al Estado por el art. 149.1.32 CE, pues constituye un legítimo ejercicio de la competencia asumida por la Generalitat en el art. 122 EAC; tampoco vulnera la reserva de ley orgánica del art. 81.1 CE, en cuanto no cabe apreciar en este pro</w:t>
      </w:r>
      <w:r>
        <w:lastRenderedPageBreak/>
        <w:t>cedimiento un ejercicio de la participación residenciable en el derecho fundamental reconocido en el art. 23.1 CE, pues no se formula un llamamiento directo al titular de la soberanía, ni la participación comporta el ejercicio del poder político, sino la mera expresión de opiniones y aspiraciones políticas, sin eficacia jurídica vinculante; y tampoco se produce una infracción de los arts. 166 a 169 CE, puesto que la norma no se inmiscuye en los procedimientos de reforma constitucional.</w:t>
      </w:r>
    </w:p>
    <w:p w:rsidR="0085709A" w:rsidRDefault="0085709A" w:rsidP="0085709A">
      <w:pPr>
        <w:pStyle w:val="TextoNormal"/>
      </w:pPr>
    </w:p>
    <w:p w:rsidR="0085709A" w:rsidRDefault="0085709A" w:rsidP="0085709A">
      <w:pPr>
        <w:pStyle w:val="TextoNormal"/>
      </w:pPr>
      <w:r>
        <w:t>Se rechaza a continuación la impugnación de los arts. 3.2, inciso relativo a los entes locales, 4.3, 10, 12 y 38 de la Ley 10/2014, de 26 de septiembre, por considerar que las consultas populares no referendarias de carácter local, tanto de ámbito municipal como supramunicipal, se hallan amparadas en las competencias exclusivas que los arts. 122 y 160 EAC atribuyen a la Generalitat en materia de consultas populares y de régimen local. La limitación de la reserva de ley orgánica establecida en el art. 92.3 CE a las modalidades de referéndum previstas en la Constitución, derivada de la propia literalidad del precepto constitucional, permite concluir que no sólo se hallan exentas de la reserva de ley orgánica las consultas populares de ámbito municipal, sino también las consultas populares de ámbito autonómico y las restantes consultas de ámbito local (comarcal, provincial, etc.) que el legislador ordinario estime conveniente establecer para facilitar la participación ciudadana. Ello no significa no obstante que el legislador ordinario tenga una libertad absoluta para la regulación de las consultas populares autonómicas y locales, ya que se halla sujeto a las prescripciones constitucionales y a las que derivan del bloque de la constitucionalidad, por lo que se deberán, en todo caso, distinguir los supuestos en que, por tener naturaleza referendaria, su celebración requiere inexcusablemente la autorización del Estado, y aquellos otros que carecen de dicha naturaleza, como es el caso de las consultas no referendarias de ámbito autonómico y local reguladas en la Ley 10/2014, de 26 de septiembre.</w:t>
      </w:r>
    </w:p>
    <w:p w:rsidR="0085709A" w:rsidRDefault="0085709A" w:rsidP="0085709A">
      <w:pPr>
        <w:pStyle w:val="TextoNormal"/>
      </w:pPr>
    </w:p>
    <w:p w:rsidR="0085709A" w:rsidRDefault="0085709A" w:rsidP="0085709A">
      <w:pPr>
        <w:pStyle w:val="TextoNormal"/>
      </w:pPr>
      <w:r>
        <w:t>Las consultas populares de ámbito local son, se añade, consultas destinadas a articular voluntades particulares o colectivas, pero no generales, mediante las que se pretende conocer la opinión de la población respecto de cualquier aspecto de la vida pública, dentro del ámbito competencial de la Generalitat de Cataluña y de los entes locales. Dado que la autorización estatal prevista en el art. 149.1.32 CE y en el art. 2 de la Ley reguladora de las distintas modalidades de referéndum se limita a las consultas populares por la vía de referéndum, los preceptos impugnados no vulneran el art. 149.1.32 CE.</w:t>
      </w:r>
    </w:p>
    <w:p w:rsidR="0085709A" w:rsidRDefault="0085709A" w:rsidP="0085709A">
      <w:pPr>
        <w:pStyle w:val="TextoNormal"/>
      </w:pPr>
    </w:p>
    <w:p w:rsidR="0085709A" w:rsidRDefault="0085709A" w:rsidP="0085709A">
      <w:pPr>
        <w:pStyle w:val="TextoNormal"/>
      </w:pPr>
      <w:r>
        <w:t xml:space="preserve">La demanda rechaza también que las mencionadas consultas populares de ámbito local entren en conflicto con la disposición adicional de la Ley reguladora de las distintas modalidades de referéndum y el art. 71 de la Ley reguladora de las bases del régimen local (LBRL), considerando que la exclusión de dichas consultas populares del ámbito de aplicación de la primera, y su expresa remisión a la regulación que de ellas establezca la legislación de régimen local, pone de relieve que el propio legislador orgánico descarta que tales consultas constituyan instrumentos de democracia directa, teniendo, por el contrario, la condición de cauces de participación ciudadana que los poderes públicos tienen el mandato constitucional de fomentar (arts. 9.2 y 48 CE). La remisión a la legislación de régimen local que efectúa la Ley reguladora de las distintas modalidades de referéndum no puede interpretarse más que como la ratificación de que la reserva de ley orgánica del art. 92.3 CE se limita a las modalidades de referéndum previstas por la propia Constitución, correspondiendo al legislador ordinario competente en cada caso determinar las modalidades de consultas populares, tanto locales como autonómicas, que crea oportuno implantar, con respeto </w:t>
      </w:r>
      <w:r>
        <w:lastRenderedPageBreak/>
        <w:t>en todo caso a la autorización del Estado prevista en el art. 149.1.32 CE, cuando se trate de consultas populares por vía de referéndum, sin que, por tanto, pueda entenderse que la disposición adicional de la Ley reguladora de las distintas modalidades de referéndum haya hecho extensiva la exigencia de la autorización estatal a las consultas populares de ámbito municipal que carecen de naturaleza referendaria.</w:t>
      </w:r>
    </w:p>
    <w:p w:rsidR="0085709A" w:rsidRDefault="0085709A" w:rsidP="0085709A">
      <w:pPr>
        <w:pStyle w:val="TextoNormal"/>
      </w:pPr>
    </w:p>
    <w:p w:rsidR="0085709A" w:rsidRDefault="0085709A" w:rsidP="0085709A">
      <w:pPr>
        <w:pStyle w:val="TextoNormal"/>
      </w:pPr>
      <w:r>
        <w:t>En cuanto a la alegada infracción del art. 71 LBRL, considera el escrito que el precepto básico estatal no regula con carácter general las modalidades de consultas populares de ámbito local, sino únicamente las de ámbito municipal y, además, exclusivamente aquellas que, por tener carácter referendario, exigen la autorización del Estado, por lo que los requisitos fijados en el citado precepto no son aplicables a los supuestos de las consultas populares no referendarias de ámbito local.</w:t>
      </w:r>
    </w:p>
    <w:p w:rsidR="0085709A" w:rsidRDefault="0085709A" w:rsidP="0085709A">
      <w:pPr>
        <w:pStyle w:val="TextoNormal"/>
      </w:pPr>
    </w:p>
    <w:p w:rsidR="0085709A" w:rsidRDefault="0085709A" w:rsidP="0085709A">
      <w:pPr>
        <w:pStyle w:val="TextoNormal"/>
      </w:pPr>
      <w:r>
        <w:t>Se efectúa a continuación una referencia explícita al registro de participación en consultas populares, creado por el art. 6 de la Ley 10/2014, de 26 de septiembre, rechazando la caracterización del mismo como censo electoral, por entender que forma parte de una estructura administrativa electoral que constituye un medio instrumental indispensable para el ejercicio de funciones propias en el ámbito de competencia de la Generalitat. Dicho registro, se afirma, no infringe lo dispuesto en la Ley Orgánica de protección de datos personales ni vulnera el art. 18.4 CE, en cuanto se da debido cumplimiento al principio de reserva de ley que, además, conlleva la innecesariedad del consentimiento para el caso de comunicación de datos del registro de población de Catalunya; y, al tiempo, no altera ni amplia tampoco la finalidad de este último registro ni el de catalanes en el exterior, cuando prevé la comunicación de los datos allí contenidos para la creación del registro de participación en las consultas populares no referendarias.</w:t>
      </w:r>
    </w:p>
    <w:p w:rsidR="0085709A" w:rsidRDefault="0085709A" w:rsidP="0085709A">
      <w:pPr>
        <w:pStyle w:val="TextoNormal"/>
      </w:pPr>
    </w:p>
    <w:p w:rsidR="0085709A" w:rsidRDefault="0085709A" w:rsidP="0085709A">
      <w:pPr>
        <w:pStyle w:val="TextoNormal"/>
      </w:pPr>
      <w:r>
        <w:t>Se añade, finalmente, que las dudas de constitucionalidad vertidas sobre los arts. 42, 43 y 44, en conexión con el art. 41, del título III de la Ley 10/2014, carecen del soporte argumental exigido por el art. 85 LOTC.</w:t>
      </w:r>
    </w:p>
    <w:p w:rsidR="0085709A" w:rsidRDefault="0085709A" w:rsidP="0085709A">
      <w:pPr>
        <w:pStyle w:val="TextoNormal"/>
      </w:pPr>
    </w:p>
    <w:p w:rsidR="0085709A" w:rsidRDefault="0085709A" w:rsidP="0085709A">
      <w:pPr>
        <w:pStyle w:val="TextoNormal"/>
      </w:pPr>
      <w:r w:rsidRPr="0085709A">
        <w:rPr>
          <w:rStyle w:val="NumeroAFNegritaCaracter"/>
        </w:rPr>
        <w:t>8</w:t>
      </w:r>
      <w:r>
        <w:t>. El 15 de octubre de 2014 se registró en este Tribunal un escrito presentado por don Xavier Narcís Guillem en la agrupación de Secretarías de Juzgados de Paz, núm. 1, de les Borges Blanques, en el que solicitó que se le tuviera por comparecido y parte adherida en el presente procedimiento. En providencia de 15 de octubre, el Pleno acordó no haber lugar a dicha solicitud, al no estar legitimado como parte, de conformidad con los arts. 162.1 CE y 32 LOTC.</w:t>
      </w:r>
    </w:p>
    <w:p w:rsidR="0085709A" w:rsidRDefault="0085709A" w:rsidP="0085709A">
      <w:pPr>
        <w:pStyle w:val="TextoNormal"/>
      </w:pPr>
    </w:p>
    <w:p w:rsidR="0085709A" w:rsidRDefault="0085709A" w:rsidP="0085709A">
      <w:pPr>
        <w:pStyle w:val="TextoNormal"/>
      </w:pPr>
      <w:r>
        <w:t>El 5 de noviembre de 2014 se recibió por el mismo cauce otro escrito mediante el que el Sr. Narcís Guillem recurría en súplica la anterior resolución, siendo inadmitido el recurso por providencia de 18 de noviembre de 2014, al haber sido interpuesto fuera del plazo de tres días fijado por el art. 93.2 LOTC.</w:t>
      </w:r>
    </w:p>
    <w:p w:rsidR="0085709A" w:rsidRDefault="0085709A" w:rsidP="0085709A">
      <w:pPr>
        <w:pStyle w:val="TextoNormal"/>
      </w:pPr>
    </w:p>
    <w:p w:rsidR="0085709A" w:rsidRDefault="0085709A" w:rsidP="0085709A">
      <w:pPr>
        <w:pStyle w:val="TextoNormal"/>
      </w:pPr>
      <w:r w:rsidRPr="0085709A">
        <w:rPr>
          <w:rStyle w:val="NumeroAFNegritaCaracter"/>
        </w:rPr>
        <w:t>9</w:t>
      </w:r>
      <w:r>
        <w:t>. El 17 de octubre de 2014 se registró el escrito de alegaciones formulado por el Letrado mayor del Parlamento de Cataluña, en el que solicita la desestimación del recurso en base a los argumentos que sintéticamente se exponen a continuación.</w:t>
      </w:r>
    </w:p>
    <w:p w:rsidR="0085709A" w:rsidRDefault="0085709A" w:rsidP="0085709A">
      <w:pPr>
        <w:pStyle w:val="TextoNormal"/>
      </w:pPr>
    </w:p>
    <w:p w:rsidR="0085709A" w:rsidRDefault="0085709A" w:rsidP="0085709A">
      <w:pPr>
        <w:pStyle w:val="TextoNormal"/>
      </w:pPr>
      <w:r>
        <w:t xml:space="preserve">Comienza señalando que el título II de la Ley 10/2014, de 26 de septiembre, no viene a regular el llamado derecho a decidir, sino a establecer un marco legal general para realizar </w:t>
      </w:r>
      <w:r>
        <w:lastRenderedPageBreak/>
        <w:t xml:space="preserve">consultas no referendarias sobre cualquier asunto de interés público. Entiende que el escrito de la Abogacía del Estado argumenta incorrectamente a partir de elementos extrajurídicos producidos en el contexto político de preparación y tramitación de la Ley que no pueden servir como criterio determinante del juicio de constitucionalidad de la norma, pues la Ley 10/2014, de 26 de septiembre, no es una ley singular </w:t>
      </w:r>
      <w:r w:rsidRPr="0085709A">
        <w:rPr>
          <w:i/>
        </w:rPr>
        <w:t>ad hoc</w:t>
      </w:r>
      <w:r>
        <w:t>, aprobada sólo para realizar una consulta concreta.</w:t>
      </w:r>
    </w:p>
    <w:p w:rsidR="0085709A" w:rsidRDefault="0085709A" w:rsidP="0085709A">
      <w:pPr>
        <w:pStyle w:val="TextoNormal"/>
      </w:pPr>
    </w:p>
    <w:p w:rsidR="0085709A" w:rsidRDefault="0085709A" w:rsidP="0085709A">
      <w:pPr>
        <w:pStyle w:val="TextoNormal"/>
      </w:pPr>
      <w:r>
        <w:t>En opinión del Letrado autonómico, la Ley responde a una voluntad del legislador de desarrollar el art. 122 EAC, en coherencia con lo dispuesto en la Ley 4/2010, de consultas populares por vía de referéndum, afrontando el tratamiento legal de la participación ciudadana de forma global, diferenciando claramente el régimen jurídico específico del referéndum (Ley 4/2010) del de las consultas populares no referendarias (Ley 10/2014). Añade que la Ley impugnada desarrolla así el mandato constitucional y estatutario de promover la participación ciudadana, pero no el art. 23.1 CE, pues la participación no se articula sobre el derecho de voto, que es la esencia de aquel derecho fundamental; y, al tiempo, la circunstancia de que el artículo 3.1 contemple que la opinión se manifiesta “mediante votación” no puede asimilarse al ejercicio del derecho de voto, debiendo entenderse este en un sentido instrumental no sustantivo. Añade que la convocatoria y el procedimiento de realización de las consultas no referendarias no es un proceso “electoral”, con las características y garantías propias de éstos, y que la Ley no reserva o limita estas consultas a decisiones políticas de transcendencia especial que conecten con la idea de participación política (arts. 23.1 y 92.1 CE) asimismo sino que alude a opinar sobre “actuaciones, decisiones o políticas públicas”. Sostiene que de la doctrina constitucional se desprende que el referéndum es un instrumento reservado a la participación política, pero no necesariamente que una cuestión de naturaleza y alcance político quede sustraída a otras vías participativas, cuando éstas no pretenden obtener los efectos solemnes propios de un referéndum.</w:t>
      </w:r>
    </w:p>
    <w:p w:rsidR="0085709A" w:rsidRDefault="0085709A" w:rsidP="0085709A">
      <w:pPr>
        <w:pStyle w:val="TextoNormal"/>
      </w:pPr>
    </w:p>
    <w:p w:rsidR="0085709A" w:rsidRDefault="0085709A" w:rsidP="0085709A">
      <w:pPr>
        <w:pStyle w:val="TextoNormal"/>
      </w:pPr>
      <w:r>
        <w:t xml:space="preserve">Afirma también en su escrito de alegaciones que no se puede partir de una </w:t>
      </w:r>
      <w:r w:rsidRPr="0085709A">
        <w:rPr>
          <w:i/>
        </w:rPr>
        <w:t>vis atractiva</w:t>
      </w:r>
      <w:r>
        <w:t xml:space="preserve"> de la reserva de ley orgánica del art. 81.1 CE, pues dicha reserva no debe absorber íntegramente la regulación del derecho fundamental, ya que si fuera así no cabría ninguna regulación autonómica de desarrollo del art. 23.1 CE, en clara contradicción con lo que ocurre en la realidad, pues las Comunidades Autónomas pueden aprobar su legislación electoral, que se basa en el derecho del art. 23.1 CE, y así lo han hecho respetando los principios generales o básicos establecidos en la LOREG. Considera, por ello, que este esquema debería ser válido en el caso de los referéndums de ámbito autonómico, admitiendo una capacidad legislativa autonómica, dejando a salvo la competencia del art. 149.1.32 CE y respetando los principios básicos de la legislación estatal sobre referéndums. A juicio del Letrado, el art. 122 EAC es un precepto abierto que permite al legislador regular las modalidades de consultas expresamente mencionadas, pero también cualquier otra forma de consulta popular, dejando al legislador un amplio margen de configuración e innovación legal, en el que cabe la regulación contenida en el título II de la Ley impugnada. La referencia del art. 1 de la Ley al “ámbito competencial” es así perfectamente constitucional, puesto que coincide con la expresión que utiliza el art. 122 EAC.</w:t>
      </w:r>
    </w:p>
    <w:p w:rsidR="0085709A" w:rsidRDefault="0085709A" w:rsidP="0085709A">
      <w:pPr>
        <w:pStyle w:val="TextoNormal"/>
      </w:pPr>
    </w:p>
    <w:p w:rsidR="0085709A" w:rsidRDefault="0085709A" w:rsidP="0085709A">
      <w:pPr>
        <w:pStyle w:val="TextoNormal"/>
      </w:pPr>
      <w:r>
        <w:t xml:space="preserve">El Letrado del Parlamento catalán sostiene también que el art. 8 de la Ley circunscribe los efectos de la consulta a “conocer la opinión” sobre la cuestión sometida a consulta, sin carácter vinculante, y preservando un amplio margen de decisión política, ya que sólo obliga a la autoridad convocante a “pronunciarse” sobre la incidencia de la consulta en la actuación </w:t>
      </w:r>
      <w:r>
        <w:lastRenderedPageBreak/>
        <w:t>pública que ha sido objeto de la misma. Ello permitiría entender que el formato que se diseña puede ser concebido como un derecho de participación de nueva creación y regulación, desde la perspectiva del derecho fundamental del art. 20 CE, entendido como el derecho a expresar opiniones por medio de “la escritura o cualquier otro medio de reproducción”, que incluye también el derecho a expresarlas mediante votación.</w:t>
      </w:r>
    </w:p>
    <w:p w:rsidR="0085709A" w:rsidRDefault="0085709A" w:rsidP="0085709A">
      <w:pPr>
        <w:pStyle w:val="TextoNormal"/>
      </w:pPr>
    </w:p>
    <w:p w:rsidR="0085709A" w:rsidRDefault="0085709A" w:rsidP="0085709A">
      <w:pPr>
        <w:pStyle w:val="TextoNormal"/>
      </w:pPr>
      <w:r>
        <w:t>En lo que respecta al objeto sobre el que pueden versar las consultas no referendarias, considera que no se desprende de forma clara e inequívoca de la Constitución ni de la Ley reguladora de las distintas modalidades de referéndum que los ciudadanos no puedan ser preguntados sobre cuestiones de relevancia política por otros medios, siempre que no pretendan conseguirse los efectos propios de un referéndum. El uso del término potestativo “podrán” en el art. 92.1 CE avala —a su juicio— la lectura flexible que se propone.</w:t>
      </w:r>
    </w:p>
    <w:p w:rsidR="0085709A" w:rsidRDefault="0085709A" w:rsidP="0085709A">
      <w:pPr>
        <w:pStyle w:val="TextoNormal"/>
      </w:pPr>
    </w:p>
    <w:p w:rsidR="0085709A" w:rsidRDefault="0085709A" w:rsidP="0085709A">
      <w:pPr>
        <w:pStyle w:val="TextoNormal"/>
      </w:pPr>
      <w:r>
        <w:t>Señala a continuación que todo proceso de participación debe contar con un sistema de garantías, sin que ello sea monopolio del referéndum. En el caso de la Ley catalana no cabe apelar al concepto de “cuerpo electoral”, porque de los arts. 3.3 y 5 no se desprende esa identidad de sujeto, dado que las consultas pueden ser generales o sectoriales, y las personas legitimadas no han de coincidir siempre con los titulares del derecho de sufragio, siendo las convocatorias concretas de cada consulta las que han de determinar quiénes puedan participar en las mismas. Y en cuanto al procedimiento, no se pretende fijar una regulación electoral, sino una específica para las consultas, dentro del marco de configuración de que dispone el legislador. La previsión de un registro de participación es un elemento de garantía imprescindible en cualquier proceso participativo, pero eso no le convierte, sin más, en un censo electoral; asimismo la cesión de datos que se contempla, entra dentro del ámbito permitido por la Ley 15/1999, de 13 de diciembre, de protección de datos de carácter personal. En esta misma línea, el sistema de garantías no contempla organismos electorales, ni se incorporan miembros del Poder Judicial, ni existe tampoco un recurso contencioso-electoral como sistema de control judicial especial, sino un régimen de control ordinario de los actos administrativos. El principio de voluntariedad en la composición de las mesas de consultas o la ausencia de un régimen sancionador demostrarían la existencia de diferencias adicionales con la institución del referéndum.</w:t>
      </w:r>
    </w:p>
    <w:p w:rsidR="0085709A" w:rsidRDefault="0085709A" w:rsidP="0085709A">
      <w:pPr>
        <w:pStyle w:val="TextoNormal"/>
      </w:pPr>
    </w:p>
    <w:p w:rsidR="0085709A" w:rsidRDefault="0085709A" w:rsidP="0085709A">
      <w:pPr>
        <w:pStyle w:val="TextoNormal"/>
      </w:pPr>
      <w:r>
        <w:t>El escrito viene a continuación a insistir en la idea de que no hay nada en la Ley impugnada que permita concluir que las consultas populares no referendarias que contempla superen los límites fijados en la STC 42/2014, de 25 de marzo, pues la posibilidad de realizar una consulta previa y no referendaria para conocer la opinión de los ciudadanos y comprobar si existe una mayoría social favorable al cambio de estatuto constitucional, tiene cabida en el marco de la citada Sentencia, siempre que esa consulta no pretenda ser un referéndum unilateral de autodeterminación, ni obviar los procesos de reforma constitucional.</w:t>
      </w:r>
    </w:p>
    <w:p w:rsidR="0085709A" w:rsidRDefault="0085709A" w:rsidP="0085709A">
      <w:pPr>
        <w:pStyle w:val="TextoNormal"/>
      </w:pPr>
    </w:p>
    <w:p w:rsidR="0085709A" w:rsidRDefault="0085709A" w:rsidP="0085709A">
      <w:pPr>
        <w:pStyle w:val="TextoNormal"/>
      </w:pPr>
      <w:r>
        <w:t xml:space="preserve">El escrito de alegaciones del Parlamento catalán se refiere, por último, a la regulación de las consultas populares no referendarias de ámbito local, afirmando que la Ley 10/2014, de 26 de septiembre, está creando una figura nueva y distinta de participación, que no tiene las características propias del referéndum y que no altera ni modifica la regulación de las consultas municipales referendarias, que serían las previstas en la disposición adicional de la Ley reguladora de las distintas modalidades de referéndum y en el art. 71 LBRL. Y lo mismo puede decirse, se añade, respecto de las consultas supramunicipales, pues la circunstancia de que no estén previstas en la legislación básica de régimen local no constituye argumento </w:t>
      </w:r>
      <w:r>
        <w:lastRenderedPageBreak/>
        <w:t>válido, dado que estamos ante una modalidad de consulta distinta a la de la citada legislación básica, por lo que la exclusividad competencial de la Generalitat que establece el art. 122 EAC puede desplegar plenos efectos, sin que la regulación relativa a estas consultas infrinja ninguna competencia básica estatal.</w:t>
      </w:r>
    </w:p>
    <w:p w:rsidR="0085709A" w:rsidRDefault="0085709A" w:rsidP="0085709A">
      <w:pPr>
        <w:pStyle w:val="TextoNormal"/>
      </w:pPr>
    </w:p>
    <w:p w:rsidR="0085709A" w:rsidRDefault="0085709A" w:rsidP="0085709A">
      <w:pPr>
        <w:pStyle w:val="TextoNormal"/>
      </w:pPr>
      <w:r w:rsidRPr="0085709A">
        <w:rPr>
          <w:rStyle w:val="NumeroAFNegritaCaracter"/>
        </w:rPr>
        <w:t>10</w:t>
      </w:r>
      <w:r>
        <w:t>. El 27 de octubre de 2014 los Abogados de la Generalitat presentaron un conjunto de documentos, referidos a acuerdos adoptados por distintas entidades locales de Cataluña, en los que, mediante fórmulas diversas, se manifiesta el apoyo a la celebración de la consulta convocada por Decreto 129/2014, de 27 de septiembre, del Presidente de la Generalitat.</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25 de febrero de 2015, se señaló para el día de hoy la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interpuesto por la Abogacía del Estado en nombre del Presidente del Gobierno de la Nación, contiene la pretensión de que se declare la inconstitucionalidad y nulidad de los preceptos integrantes del título II (arts. 3 a 39), las disposiciones transitorias primera y segunda, así como la disposición final primera, esta última en lo que resulta de aplicación a dicho título II, de la Ley del Parlamento de Cataluña 10/2014, de 26 de septiembre, de consultas populares no referendarias y otras formas de participación ciudadana.</w:t>
      </w:r>
    </w:p>
    <w:p w:rsidR="0085709A" w:rsidRDefault="0085709A" w:rsidP="0085709A">
      <w:pPr>
        <w:pStyle w:val="TextoNormal"/>
      </w:pPr>
    </w:p>
    <w:p w:rsidR="0085709A" w:rsidRDefault="0085709A" w:rsidP="0085709A">
      <w:pPr>
        <w:pStyle w:val="TextoNormal"/>
      </w:pPr>
      <w:r>
        <w:t>La Ley tiene por objeto, se afirma en su art. 1.1, “el establecimiento del régimen jurídico, las modalidades, el procedimiento, la realización y la convocatoria de los mecanismos de las consultas populares no referendarias y otras formas y mecanismos de participación ciudadana institucionalizada en el ámbito competencial de la Generalitat y las entidades locales”.</w:t>
      </w:r>
    </w:p>
    <w:p w:rsidR="0085709A" w:rsidRDefault="0085709A" w:rsidP="0085709A">
      <w:pPr>
        <w:pStyle w:val="TextoNormal"/>
      </w:pPr>
    </w:p>
    <w:p w:rsidR="0085709A" w:rsidRDefault="0085709A" w:rsidP="0085709A">
      <w:pPr>
        <w:pStyle w:val="TextoNormal"/>
      </w:pPr>
      <w:r>
        <w:t>De la mencionada Ley se impugna su título II, rubricado “consultas populares no referendarias”, cuyo capítulo I (“disposiciones generales”) define el concepto de “consulta popular no referendaria” y sus modalidades (art. 3), determina las formas en que pueden promoverse tales consultas (art. 4) y las personas que pueden ser llamadas a participar en ellas (art. 5), crea y regula el “registro de participación en consultas populares no referendarias” (art. 6) y el registro de consultas populares (art. 7), establece los efectos de estas (art. 8) y limita su número máximo anual (art. 9).</w:t>
      </w:r>
    </w:p>
    <w:p w:rsidR="0085709A" w:rsidRDefault="0085709A" w:rsidP="0085709A">
      <w:pPr>
        <w:pStyle w:val="TextoNormal"/>
      </w:pPr>
    </w:p>
    <w:p w:rsidR="0085709A" w:rsidRDefault="0085709A" w:rsidP="0085709A">
      <w:pPr>
        <w:pStyle w:val="TextoNormal"/>
      </w:pPr>
      <w:r>
        <w:t>El capítulo II (“procedimiento de las consultas populares no referendarias”) regula la convocatoria de la consulta (arts. 10 a 12), el sistema de garantías (arts. 13 a 20), la campaña previa a la consulta (arts. 21 y 22), las normas de voto (arts. 23 a 28) y las reglas especiales para las consultas sectoriales (art. 29).</w:t>
      </w:r>
    </w:p>
    <w:p w:rsidR="0085709A" w:rsidRDefault="0085709A" w:rsidP="0085709A">
      <w:pPr>
        <w:pStyle w:val="TextoNormal"/>
      </w:pPr>
    </w:p>
    <w:p w:rsidR="0085709A" w:rsidRDefault="0085709A" w:rsidP="0085709A">
      <w:pPr>
        <w:pStyle w:val="TextoNormal"/>
      </w:pPr>
      <w:r>
        <w:t xml:space="preserve">El capítulo III (“reglas especiales para las consultas populares no referendarias de iniciativa ciudadana”) prevé que este tipo de consultas puedan ser promovidas por personas físicas o jurídicas (art. 30) integradas en una comisión promotora (art. 31), determina la forma en que debe plantearse la solicitud de iniciativa, su contenido y las causas de inadmisibilidad (art. 32), delimita el ámbito al que puede extenderse la iniciativa (art. 33), aclara que sus </w:t>
      </w:r>
      <w:r>
        <w:lastRenderedPageBreak/>
        <w:t>firmantes pueden ser personas llamadas a participar en ella (art. 34), exige un número mínimo de firmas de apoyo (art. 35), regula su recogida (art. 36) así como su recuento y validación (art. 37), dispone que el órgano competente debe convocar la consulta si las firmas validadas alcanzasen el número mínimo establecido (art. 38) y define los periodos en que no se pueden promover ni celebrar consultas populares no referendarias de iniciativa ciudadana (art. 39).</w:t>
      </w:r>
    </w:p>
    <w:p w:rsidR="0085709A" w:rsidRDefault="0085709A" w:rsidP="0085709A">
      <w:pPr>
        <w:pStyle w:val="TextoNormal"/>
      </w:pPr>
    </w:p>
    <w:p w:rsidR="0085709A" w:rsidRDefault="0085709A" w:rsidP="0085709A">
      <w:pPr>
        <w:pStyle w:val="TextoNormal"/>
      </w:pPr>
      <w:r>
        <w:t>Son también objeto de impugnación las disposiciones transitorias primera (sobre comunicación previa al registro de participación en consultas populares no referendarias) y segunda (sobre nombramiento de los miembros de la comisión de control y régimen transitorio aplicable hasta su constitución), así como la disposición final primera (sobre autorización al Gobierno de la Generalitat para el desarrollo reglamentario de la Ley), en lo que resulta aplicable al título II.</w:t>
      </w:r>
    </w:p>
    <w:p w:rsidR="0085709A" w:rsidRDefault="0085709A" w:rsidP="0085709A">
      <w:pPr>
        <w:pStyle w:val="TextoNormal"/>
      </w:pPr>
    </w:p>
    <w:p w:rsidR="0085709A" w:rsidRDefault="0085709A" w:rsidP="0085709A">
      <w:pPr>
        <w:pStyle w:val="TextoNormal"/>
      </w:pPr>
      <w:r w:rsidRPr="0085709A">
        <w:rPr>
          <w:rStyle w:val="NumeroAFNegritaCaracter"/>
        </w:rPr>
        <w:t>2</w:t>
      </w:r>
      <w:r>
        <w:t>. La Abogacía del Estado sostiene que, bajo la denominación de “consultas populares no referendarias”, los preceptos impugnados contienen la regulación sistemática y completa de un referendo, para lo cual el legislador autonómico carece de competencia, contraviniendo así el art. 149.1.1, 18 y 32, al tiempo que se infringe la reserva de ley orgánica comprendida en el art. 81.1 CE en relación con los arts. 23.1 y 92.3 CE, así como el contenido del art. 122 del Estatuto de Autonomía de Cataluña (EAC), en la interpretación que del mismo ha realizado este Tribunal en la STC 31/2010, de 28 de junio, FJ 69.</w:t>
      </w:r>
    </w:p>
    <w:p w:rsidR="0085709A" w:rsidRDefault="0085709A" w:rsidP="0085709A">
      <w:pPr>
        <w:pStyle w:val="TextoNormal"/>
      </w:pPr>
    </w:p>
    <w:p w:rsidR="0085709A" w:rsidRDefault="0085709A" w:rsidP="0085709A">
      <w:pPr>
        <w:pStyle w:val="TextoNormal"/>
      </w:pPr>
      <w:r>
        <w:t>En el escrito de recurso se aduce también la inconstitucionalidad de los arts. 3.2, en su inciso relativo a los entes locales, 4.3, 10, 12 y 38 de la Ley, por estimar que, añadidamente, contradicen tanto la legislación orgánica como la legislación básica estatal en materia de consultas populares locales, integrada por la disposición adicional de la Ley Orgánica 2/1980, de 18 de enero, reguladora de las distintas modalidades de referéndum y el art. 71 de la Ley 7/1985, de 2 de abril, de bases de régimen local (LBRL), respectivamente.</w:t>
      </w:r>
    </w:p>
    <w:p w:rsidR="0085709A" w:rsidRDefault="0085709A" w:rsidP="0085709A">
      <w:pPr>
        <w:pStyle w:val="TextoNormal"/>
      </w:pPr>
    </w:p>
    <w:p w:rsidR="0085709A" w:rsidRDefault="0085709A" w:rsidP="0085709A">
      <w:pPr>
        <w:pStyle w:val="TextoNormal"/>
      </w:pPr>
      <w:r>
        <w:t>Junto a estas denuncias de inconstitucionalidad, que presentan en común pretender la defensa del régimen de distribución de competencias que dimana del bloque de la constitucionalidad, se añaden otras, apuntadas en el desarrollo argumental de la demanda, y que atienden al contenido material de algunos preceptos [arts. 5.1 a), b) y c), 6.3 y 12.3 de la Ley autonómica] por su contradicción con los arts. 12, 13.2 y 18.4 CE, y 68.5 EAC.</w:t>
      </w:r>
    </w:p>
    <w:p w:rsidR="0085709A" w:rsidRDefault="0085709A" w:rsidP="0085709A">
      <w:pPr>
        <w:pStyle w:val="TextoNormal"/>
      </w:pPr>
    </w:p>
    <w:p w:rsidR="0085709A" w:rsidRDefault="0085709A" w:rsidP="0085709A">
      <w:pPr>
        <w:pStyle w:val="TextoNormal"/>
      </w:pPr>
      <w:r>
        <w:t xml:space="preserve">Las representaciones procesales del Gobierno de la Generalitat y del Parlamento de Cataluña rebaten el anterior planteamiento, afirmando que la participación popular que la Ley regula no entronca con el derecho fundamental </w:t>
      </w:r>
      <w:r w:rsidRPr="0085709A">
        <w:rPr>
          <w:i/>
        </w:rPr>
        <w:t>ex</w:t>
      </w:r>
      <w:r>
        <w:t xml:space="preserve"> art. 23.1 CE, pues limita su contenido a las consultas populares no referendarias que se realicen en el ámbito de Cataluña en cumplimiento de las previsiones contenidas en el art. 9.2 CE y en los arts. 29.1 y 6, 43 y 122 EAC, con una finalidad puramente orientada al mejor conocimiento de la opinión de los ciudadanos en asuntos conectados con los intereses propios de la Comunidad Autónoma, por lo que no se produce la vulneración de las competencias estatales invocadas. Se sostiene, asimismo, que el resultado de las consultas no es vinculante y que, en todo caso, la regulación que de ellas hacen las normas impugnadas difiere significativamente de la que, conforme a la jurisprudencia constitucional, sería propia de las consultas populares por vía de referéndum. Por otra parte, entienden que la regulación de las consultas populares locales, </w:t>
      </w:r>
      <w:r>
        <w:lastRenderedPageBreak/>
        <w:t>tanto de ámbito municipal como de carácter supramunicipal, encuentra amparo en las competencias exclusivas que los arts. 122 y 160 EAC atribuyen a la Generalitat en materia de consultas populares no referendarias y de régimen local.</w:t>
      </w:r>
    </w:p>
    <w:p w:rsidR="0085709A" w:rsidRDefault="0085709A" w:rsidP="0085709A">
      <w:pPr>
        <w:pStyle w:val="TextoNormal"/>
      </w:pPr>
    </w:p>
    <w:p w:rsidR="0085709A" w:rsidRDefault="0085709A" w:rsidP="0085709A">
      <w:pPr>
        <w:pStyle w:val="TextoNormal"/>
      </w:pPr>
      <w:r w:rsidRPr="0085709A">
        <w:rPr>
          <w:rStyle w:val="NumeroAFNegritaCaracter"/>
        </w:rPr>
        <w:t>3</w:t>
      </w:r>
      <w:r>
        <w:t>. Así concretado el objeto de este proceso y las posiciones de las partes, nuestro enjuiciamiento de la Ley autonómica impugnada debe estar precedido por una referencia a las formas de participación ciudadana en nuestro sistema político-constitucional (FFJJ 3 y 4), por el deslinde de la institución del referéndum como modalidad de “consulta popular” (FJ 5) y por el régimen de distribución competencial sobre la materia que se deriva del bloque de constitucionalidad (FJ 6).</w:t>
      </w:r>
    </w:p>
    <w:p w:rsidR="0085709A" w:rsidRDefault="0085709A" w:rsidP="0085709A">
      <w:pPr>
        <w:pStyle w:val="TextoNormal"/>
      </w:pPr>
    </w:p>
    <w:p w:rsidR="0085709A" w:rsidRDefault="0085709A" w:rsidP="0085709A">
      <w:pPr>
        <w:pStyle w:val="TextoNormal"/>
      </w:pPr>
      <w:r>
        <w:t>El punto de partida para la comprensión del sentido y alcance de las consultas populares en nuestro ordenamiento constitucional se ubica en la consagración de España como un Estado democrático (art. 1.1 CE), en el que la Constitución reconoce a los ciudadanos el derecho a participar en los asuntos públicos directamente o por medio de representantes libremente elegidos en elecciones periódicas por sufragio universal (art. 23.1 CE).</w:t>
      </w:r>
    </w:p>
    <w:p w:rsidR="0085709A" w:rsidRDefault="0085709A" w:rsidP="0085709A">
      <w:pPr>
        <w:pStyle w:val="TextoNormal"/>
      </w:pPr>
    </w:p>
    <w:p w:rsidR="0085709A" w:rsidRDefault="0085709A" w:rsidP="0085709A">
      <w:pPr>
        <w:pStyle w:val="TextoNormal"/>
      </w:pPr>
      <w:r>
        <w:t>Cabe recordar, con la STC 103/2008, de 11 de septiembre, FJ 2, que nuestra democracia constitucional garantiza, de manera muy amplia, la participación de los ciudadanos en la vida pública y en el destino colectivo, decidiendo éstos, periódicamente, a través de las elecciones de representantes en las Cortes Generales (arts. 68 y 69 CE), en los Parlamentos autonómicos (art. 152.1 CE) y en los ayuntamientos (art. 140 CE), acerca del destino político de la comunidad nacional en todas sus esferas, estatal, autonómica y local.</w:t>
      </w:r>
    </w:p>
    <w:p w:rsidR="0085709A" w:rsidRDefault="0085709A" w:rsidP="0085709A">
      <w:pPr>
        <w:pStyle w:val="TextoNormal"/>
      </w:pPr>
    </w:p>
    <w:p w:rsidR="0085709A" w:rsidRDefault="0085709A" w:rsidP="0085709A">
      <w:pPr>
        <w:pStyle w:val="TextoNormal"/>
      </w:pPr>
      <w:r>
        <w:t>Junto a esta fórmula de la representación política, nuestra Constitución admite también, como cauce de conformación y expresión de la voluntad general, la participación directa de los ciudadanos en los asuntos públicos, en “aquellos supuestos en los que la toma de decisiones políticas se realiza mediante un llamamiento directo al titular de la soberanía” (STC 119/1995, de 17 de julio, FJ 3).</w:t>
      </w:r>
    </w:p>
    <w:p w:rsidR="0085709A" w:rsidRDefault="0085709A" w:rsidP="0085709A">
      <w:pPr>
        <w:pStyle w:val="TextoNormal"/>
      </w:pPr>
    </w:p>
    <w:p w:rsidR="0085709A" w:rsidRDefault="0085709A" w:rsidP="0085709A">
      <w:pPr>
        <w:pStyle w:val="TextoNormal"/>
      </w:pPr>
      <w:r>
        <w:t>Ahora bien, de modo reiterado hemos destacado el carácter extraordinario de esta forma de participación ciudadana en nuestro ordenamiento jurídico, pues “aun si se admitiera que la Ley puede ampliar los casos de participación directa, los supuestos habrían de ser, en todo caso, excepcionales en un régimen de Democracia representativa como el instaurado por nuestra Constitución, en el que priman los mecanismos de Democracia representativa sobre los de participación directa” (STC 119/1995, de 17 de julio, FJ 3, con cita de la STC 76/1994, de 14 de marzo, FJ 3).</w:t>
      </w:r>
    </w:p>
    <w:p w:rsidR="0085709A" w:rsidRDefault="0085709A" w:rsidP="0085709A">
      <w:pPr>
        <w:pStyle w:val="TextoNormal"/>
      </w:pPr>
    </w:p>
    <w:p w:rsidR="0085709A" w:rsidRDefault="0085709A" w:rsidP="0085709A">
      <w:pPr>
        <w:pStyle w:val="TextoNormal"/>
      </w:pPr>
      <w:r>
        <w:t>Desde esta premisa, nuestra Constitución acoge algunos instrumentos característicos de la democracia directa, como el régimen del concejo abierto (art. 140 CE), la iniciativa legislativa popular (art. 87.3 CE) y, bajo distintas modalidades, la institución del referéndum (art. 92.1 CE y demás supuestos que el propio texto constitucional contempla, y a los que después se aludirá). Son, las citadas, modalidades de participación directa que entroncan con el art. 23.1 CE.</w:t>
      </w:r>
    </w:p>
    <w:p w:rsidR="0085709A" w:rsidRDefault="0085709A" w:rsidP="0085709A">
      <w:pPr>
        <w:pStyle w:val="TextoNormal"/>
      </w:pPr>
    </w:p>
    <w:p w:rsidR="0085709A" w:rsidRDefault="0085709A" w:rsidP="0085709A">
      <w:pPr>
        <w:pStyle w:val="TextoNormal"/>
      </w:pPr>
      <w:r w:rsidRPr="0085709A">
        <w:rPr>
          <w:rStyle w:val="NumeroAFNegritaCaracter"/>
        </w:rPr>
        <w:t>4</w:t>
      </w:r>
      <w:r>
        <w:t>. Pero, como se advierte en la STC 119/1995, de 17 de julio, “es evidente que este entendimiento de la participación a que se refiere el art. 23.1 CE no agota las manifestacio</w:t>
      </w:r>
      <w:r>
        <w:lastRenderedPageBreak/>
        <w:t xml:space="preserve">nes del fenómeno participativo que tanta importancia ha tenido y sigue teniendo en las democracias actuales y al que fue especialmente sensible nuestro constituyente. De hecho, el Texto constitucional es rico en este tipo de manifestaciones. En unos casos, se contiene un mandato de carácter general a los poderes constituidos para que promuevan la participación en distintos ámbitos: así, el art. 9.2 C.E. contiene un mandato a los poderes públicos para que faciliten ‘la participación de todos los ciudadanos en la vida política, económica, cultural y social’, y el art. 48 establece la obligación de los poderes públicos de promover las condiciones para la participación de la juventud en el desarrollo político, social, económico y cultural. En otros casos, el constituyente ha previsto formas de participación en ámbitos concretos, algunas de las cuales se convierten en verdaderos derechos subjetivos, bien </w:t>
      </w:r>
      <w:r w:rsidRPr="0085709A">
        <w:rPr>
          <w:i/>
        </w:rPr>
        <w:t>ex constitutione</w:t>
      </w:r>
      <w:r>
        <w:t>, bien como consecuencia del posterior desarrollo por parte del legislador; es el caso del art. 27, que en sus apartados 5 y 7 se refiere a la participación en la programación en la enseñanza y en el control y gestión de los centros sostenidos por la Administración con fondos públicos; del art. 105, según el cual la Ley regulará la audiencia de los ciudadanos en el procedimiento de elaboración de las disposiciones administrativas [apartado a)], y la garantía de la audiencia de los interesados en el procedimiento de producción de actos administrativos [apartado c)]; del art. 125, que prevé la participación de los ciudadanos en la Administración de Justicia mediante la institución del Jurado, y del art. 129, que en su apartado primero remite a la Ley el establecimiento de formas de participación de los interesados en la Seguridad Social y en la actividad de determinados organismos públicos, y en su apartado segundo recoge un mandato a los poderes públicos para que promuevan eficazmente formas de participación en la empresa. Diversas fórmulas de participación —bien directamente, bien a través de órganos establecidos al efecto— se recogen también en los arts. 51, 52 y 131.2 de la Constitución.” (FJ 4).</w:t>
      </w:r>
    </w:p>
    <w:p w:rsidR="0085709A" w:rsidRDefault="0085709A" w:rsidP="0085709A">
      <w:pPr>
        <w:pStyle w:val="TextoNormal"/>
      </w:pPr>
    </w:p>
    <w:p w:rsidR="0085709A" w:rsidRDefault="0085709A" w:rsidP="0085709A">
      <w:pPr>
        <w:pStyle w:val="TextoNormal"/>
      </w:pPr>
      <w:r>
        <w:t xml:space="preserve">A estas previsiones del constituyente se suman todas aquellas fórmulas de participación ciudadana que instituya el legislador ordinario —estatal o autonómico— en el marco de sus competencias (así, cuando el art. 29.6 EAC dispone que “los ciudadanos de Cataluña tienen derecho a promover la convocatoria de consultas populares por parte de la Generalitat y los Ayuntamientos, en materia de las competencias respectivas, en la forma y las condiciones que las leyes establecen”). Pero siempre, en el bien entendido sentido, de que no son expresiones del derecho de participación que garantiza el art. 23.1 CE, sino que obedecen a una </w:t>
      </w:r>
      <w:r w:rsidRPr="0085709A">
        <w:rPr>
          <w:i/>
        </w:rPr>
        <w:t>ratio</w:t>
      </w:r>
      <w:r>
        <w:t xml:space="preserve"> bien distinta. Se trata de manifestaciones que no son propiamente encuadrables ni en las formas de democracia representativa ni en la democracia directa, incardinándose más bien en un </w:t>
      </w:r>
      <w:r w:rsidRPr="0085709A">
        <w:rPr>
          <w:i/>
        </w:rPr>
        <w:t>tertium genus</w:t>
      </w:r>
      <w:r>
        <w:t xml:space="preserve"> que se ha denominado democracia participativa (STC 119/1995, de 17 de julio, FJ 6).</w:t>
      </w:r>
    </w:p>
    <w:p w:rsidR="0085709A" w:rsidRDefault="0085709A" w:rsidP="0085709A">
      <w:pPr>
        <w:pStyle w:val="TextoNormal"/>
      </w:pPr>
    </w:p>
    <w:p w:rsidR="0085709A" w:rsidRDefault="0085709A" w:rsidP="0085709A">
      <w:pPr>
        <w:pStyle w:val="TextoNormal"/>
      </w:pPr>
      <w:r w:rsidRPr="0085709A">
        <w:rPr>
          <w:rStyle w:val="NumeroAFNegritaCaracter"/>
        </w:rPr>
        <w:t>5</w:t>
      </w:r>
      <w:r>
        <w:t>. Una vez trazada la distinción entre el derecho fundamental de participación política —directa o indirecta— reconocido en el art. 23.1 CE y las formas de mera participación ciudadana, es preciso proyectarla sobre la categoría de las denominadas “consultas populares”.</w:t>
      </w:r>
    </w:p>
    <w:p w:rsidR="0085709A" w:rsidRDefault="0085709A" w:rsidP="0085709A">
      <w:pPr>
        <w:pStyle w:val="TextoNormal"/>
      </w:pPr>
    </w:p>
    <w:p w:rsidR="0085709A" w:rsidRDefault="0085709A" w:rsidP="0085709A">
      <w:pPr>
        <w:pStyle w:val="TextoNormal"/>
      </w:pPr>
      <w:r>
        <w:t>La Constitución, al referirse en el art. 149.1.32 a las “consultas populares por vía de referéndum” ha consentido la existencia de otras consultas populares que no fueran las referendarias, habiendo sido el legislador orgánico y estatutario el que las ha introducido en el bloque de constitucionalidad (en lo que aquí interesa, el art. 122 EAC, al conferir a la Generalitat competencia en materia de “encuestas, audiencias públicas, foros de participa</w:t>
      </w:r>
      <w:r>
        <w:lastRenderedPageBreak/>
        <w:t>ción y cualquier otro instrumento de consulta popular”). Por tanto, bajo aquella denominación genérica debe comprenderse la existencia de dos instituciones de raíz diferente: el referéndum y las consultas no referendarias.</w:t>
      </w:r>
    </w:p>
    <w:p w:rsidR="0085709A" w:rsidRDefault="0085709A" w:rsidP="0085709A">
      <w:pPr>
        <w:pStyle w:val="TextoNormal"/>
      </w:pPr>
    </w:p>
    <w:p w:rsidR="0085709A" w:rsidRDefault="0085709A" w:rsidP="0085709A">
      <w:pPr>
        <w:pStyle w:val="TextoNormal"/>
      </w:pPr>
      <w:r>
        <w:t>La primera es manifestación del derecho de participación política directa en los asuntos públicos (art. 23.1 CE), mientras que las segundas, en cambio, lo son del mandato dirigido a los poderes públicos de facilitar la participación de los ciudadanos en la vida política, económica, cultural y social (art. 9.2 CE y concordantes).</w:t>
      </w:r>
    </w:p>
    <w:p w:rsidR="0085709A" w:rsidRDefault="0085709A" w:rsidP="0085709A">
      <w:pPr>
        <w:pStyle w:val="TextoNormal"/>
      </w:pPr>
    </w:p>
    <w:p w:rsidR="0085709A" w:rsidRDefault="0085709A" w:rsidP="0085709A">
      <w:pPr>
        <w:pStyle w:val="TextoNormal"/>
      </w:pPr>
      <w:r>
        <w:t>Así las cosas, el texto constitucional contempla diversos supuestos de referéndum como fórmula de participación directa de los ciudadanos en los asuntos públicos: el referéndum consultivo sobre decisiones políticas de especial trascendencia (art. 92.1), el referéndum para la ratificación de la iniciativa en el proceso autonómico (art. 151.1 CE), el referéndum de aprobación de los Estatutos de Autonomía tramitados por la vía del art. 151 CE (art. 151.2 CE), el referéndum para su reforma (art. 152.2 CE), el referéndum de reforma constitucional (arts. 167.3 y 168.3 CE), o la ratificación de la iniciativa para una eventual incorporación de Navarra al régimen autonómico vasco (disposición transitoria cuarta CE). Por lo demás, es indudable que la previsión por el constituyente de estos concretos supuestos no agota el elenco de referendos admisibles en nuestro ordenamiento.</w:t>
      </w:r>
    </w:p>
    <w:p w:rsidR="0085709A" w:rsidRDefault="0085709A" w:rsidP="0085709A">
      <w:pPr>
        <w:pStyle w:val="TextoNormal"/>
      </w:pPr>
    </w:p>
    <w:p w:rsidR="0085709A" w:rsidRDefault="0085709A" w:rsidP="0085709A">
      <w:pPr>
        <w:pStyle w:val="TextoNormal"/>
      </w:pPr>
      <w:r>
        <w:t>Llegados a este punto, resulta preciso identificar los rasgos que caracterizan la institución del referéndum, tarea que ha sido llevada a cabo en la STC 103/2008, de 11 de septiembre, (cuya doctrina se reitera posteriormente en la STC 31/2010, de 28 de junio, FJ 69), en los siguientes términos:</w:t>
      </w:r>
    </w:p>
    <w:p w:rsidR="0085709A" w:rsidRDefault="0085709A" w:rsidP="0085709A">
      <w:pPr>
        <w:pStyle w:val="TextoNormal"/>
      </w:pPr>
    </w:p>
    <w:p w:rsidR="0085709A" w:rsidRDefault="0085709A" w:rsidP="0085709A">
      <w:pPr>
        <w:pStyle w:val="TextoNormal"/>
      </w:pPr>
      <w:r>
        <w:t>“El referéndum es, por tanto, una especie del género ‘consulta popular’ con la que no se recaba la opinión de cualquier colectivo sobre cualesquiera asuntos de interés público, a través de cualesquiera procedimientos, sino aquella consulta cuyo objeto se refiere estrictamente al parecer del cuerpo electoral (expresivo de la voluntad del pueblo: STC 12/2008, de 29 de enero, FJ 10) conformado y exteriorizado a través de un procedimiento electoral, esto es, basado en el censo, gestionado por la Administración electoral y asegurado con garantías jurisdiccionales específicas, siempre en relación con asuntos públicos cuya gestión, directa o indirecta, mediante el ejercicio del poder político por parte de los ciudadanos, constituye el objeto del derecho fundamental recogido por la Constitución en el art. 23.1 (así, STC 119/1995, de 17 de julio). Para calificar una consulta como referéndum o, más precisamente, para determinar si una consulta popular se verifica ‘por vía de referéndum’ (art. 149.1.32 CE) y su convocatoria requiere entonces de una autorización reservada al Estado, ha de atenderse a la identidad del sujeto consultado, de manera que siempre que éste sea el cuerpo electoral, cuya vía de manifestación propia es la de los distintos procedimientos electorales, con sus correspondientes garantías, estaremos ante una consulta referendaria.” (FJ 2)</w:t>
      </w:r>
    </w:p>
    <w:p w:rsidR="0085709A" w:rsidRDefault="0085709A" w:rsidP="0085709A">
      <w:pPr>
        <w:pStyle w:val="TextoNormal"/>
      </w:pPr>
    </w:p>
    <w:p w:rsidR="0085709A" w:rsidRDefault="0085709A" w:rsidP="0085709A">
      <w:pPr>
        <w:pStyle w:val="TextoNormal"/>
      </w:pPr>
      <w:r>
        <w:t>Por el contrario, “[l]a circunstancia de que no sea jurídicamente vinculante resulta de todo punto irrelevante, pues es obvio que el referéndum no se define frente a otras consultas populares por el carácter vinculante de su resultado” (FJ 3).</w:t>
      </w:r>
    </w:p>
    <w:p w:rsidR="0085709A" w:rsidRDefault="0085709A" w:rsidP="0085709A">
      <w:pPr>
        <w:pStyle w:val="TextoNormal"/>
      </w:pPr>
    </w:p>
    <w:p w:rsidR="0085709A" w:rsidRDefault="0085709A" w:rsidP="0085709A">
      <w:pPr>
        <w:pStyle w:val="TextoNormal"/>
      </w:pPr>
      <w:r>
        <w:lastRenderedPageBreak/>
        <w:t>Lo hasta aquí señalado permite extraer ya algunas consideraciones que han de servirnos para discernir si las consultas reguladas en la Ley autonómica impugnada participan de la naturaleza de los referendos:</w:t>
      </w:r>
    </w:p>
    <w:p w:rsidR="0085709A" w:rsidRDefault="0085709A" w:rsidP="0085709A">
      <w:pPr>
        <w:pStyle w:val="TextoNormal"/>
      </w:pPr>
    </w:p>
    <w:p w:rsidR="0085709A" w:rsidRDefault="0085709A" w:rsidP="0085709A">
      <w:pPr>
        <w:pStyle w:val="TextoNormal"/>
      </w:pPr>
      <w:r>
        <w:t>a) El primero de sus rasgos definidores radica, pues, en que, a través del referéndum, se produce un llamamiento del poder público a la ciudadanía para ejercer el derecho fundamental de participación en los asuntos públicos reconocido en el art. 23.1 CE. El destinatario de la consulta es el conjunto de ciudadanos que tienen reconocido el derecho de sufragio activo en un determinado ámbito territorial o, lo que es lo mismo, el cuerpo electoral.</w:t>
      </w:r>
    </w:p>
    <w:p w:rsidR="0085709A" w:rsidRDefault="0085709A" w:rsidP="0085709A">
      <w:pPr>
        <w:pStyle w:val="TextoNormal"/>
      </w:pPr>
    </w:p>
    <w:p w:rsidR="0085709A" w:rsidRDefault="0085709A" w:rsidP="0085709A">
      <w:pPr>
        <w:pStyle w:val="TextoNormal"/>
      </w:pPr>
      <w:r>
        <w:t>Ha quedado identificado de esta suerte el cuerpo electoral con el sujeto que expresa la voluntad del pueblo (SSTC 12/2008, de 29 de enero, FJ 10; y 31/2010, de 28 de junio, FJ 69), sin perjuicio de que, como aclaramos en la STC 13/2009, de 19 de enero, FJ 16, “el cuerpo electoral no se confunde con el titular de la soberanía, esto es, con el pueblo español (art. 1.2 CE). Este cuerpo electoral está sometido a la Constitución y al resto del Ordenamiento jurídico (art. 9.1 CE), en tanto que el pueblo soberano es la unidad ideal de imputación del poder constituyente y como tal fundamento de la Constitución y del Ordenamiento”.</w:t>
      </w:r>
    </w:p>
    <w:p w:rsidR="0085709A" w:rsidRDefault="0085709A" w:rsidP="0085709A">
      <w:pPr>
        <w:pStyle w:val="TextoNormal"/>
      </w:pPr>
    </w:p>
    <w:p w:rsidR="0085709A" w:rsidRDefault="0085709A" w:rsidP="0085709A">
      <w:pPr>
        <w:pStyle w:val="TextoNormal"/>
      </w:pPr>
      <w:r>
        <w:t>Conviene advertir que, dado que el cuerpo electoral tiene una adscripción territorial y presenta la composición determinada por el ordenamiento, no existe un único cuerpo de electores, en la medida en que una misma persona podrá formar parte de diversos cuerpos electorales en función de constituir la colectividad de cada uno de los distintos ordenamientos estatal, autonómico o local.</w:t>
      </w:r>
    </w:p>
    <w:p w:rsidR="0085709A" w:rsidRDefault="0085709A" w:rsidP="0085709A">
      <w:pPr>
        <w:pStyle w:val="TextoNormal"/>
      </w:pPr>
    </w:p>
    <w:p w:rsidR="0085709A" w:rsidRDefault="0085709A" w:rsidP="0085709A">
      <w:pPr>
        <w:pStyle w:val="TextoNormal"/>
      </w:pPr>
      <w:r>
        <w:t>De modo distinto, las consultas no referendarias recaban, en cambio, la opinión de cualquier colectivo (STC 31/2010, de 28 de junio, FJ 69), por lo que articulan “voluntades particulares o colectivas, pero no generales, esto es, no imputables al cuerpo electoral” (STC 103/2008, de 11 de septiembre, FJ 2). Frente a las formas de participación política, en las que se interviene en cuanto ciudadano (</w:t>
      </w:r>
      <w:r w:rsidRPr="0085709A">
        <w:rPr>
          <w:i/>
        </w:rPr>
        <w:t>uti cives</w:t>
      </w:r>
      <w:r>
        <w:t>), en las consultas populares no referendarias se participa a título individual (</w:t>
      </w:r>
      <w:r w:rsidRPr="0085709A">
        <w:rPr>
          <w:i/>
        </w:rPr>
        <w:t>uti singulus</w:t>
      </w:r>
      <w:r>
        <w:t>) o como miembro de un colectivo, sea social, económico, cultural o de otra índole</w:t>
      </w:r>
      <w:r w:rsidRPr="0085709A">
        <w:rPr>
          <w:i/>
        </w:rPr>
        <w:t xml:space="preserve"> (uti soci</w:t>
      </w:r>
      <w:r>
        <w:t>us).</w:t>
      </w:r>
    </w:p>
    <w:p w:rsidR="0085709A" w:rsidRDefault="0085709A" w:rsidP="0085709A">
      <w:pPr>
        <w:pStyle w:val="TextoNormal"/>
      </w:pPr>
    </w:p>
    <w:p w:rsidR="0085709A" w:rsidRDefault="0085709A" w:rsidP="0085709A">
      <w:pPr>
        <w:pStyle w:val="TextoNormal"/>
      </w:pPr>
      <w:r>
        <w:t>b) Un segundo elemento ínsito en el concepto de referéndum estriba en que la opinión del cuerpo electoral se expresa por medio del sufragio emitido en el curso de un proceso electoral, a fin de que el resultado de la consulta pueda jurídicamente imputarse a la voluntad general de la correspondiente comunidad política y, de este modo, considerarse una genuina manifestación del derecho fundamental de participación política reconocido en el art. 23.1 CE.</w:t>
      </w:r>
    </w:p>
    <w:p w:rsidR="0085709A" w:rsidRDefault="0085709A" w:rsidP="0085709A">
      <w:pPr>
        <w:pStyle w:val="TextoNormal"/>
      </w:pPr>
    </w:p>
    <w:p w:rsidR="0085709A" w:rsidRDefault="0085709A" w:rsidP="0085709A">
      <w:pPr>
        <w:pStyle w:val="TextoNormal"/>
      </w:pPr>
      <w:r>
        <w:t xml:space="preserve">No cabe olvidar que el derecho a participar directamente en los asuntos públicos, como todos los derechos que la Constitución establece, no puede sino ejercerse en la forma jurídicamente prevista en cada caso. Lo contrario, lejos de satisfacer la exigencias de la soberanía popular, supondría la imposibilidad misma de la existencia del ordenamiento jurídico, a cuya obediencia todos —ciudadanos y poderes públicos— vienen constitucionalmente obligados (STC 103/2008, de 11 de septiembre, FJ 2). Esa exigencia se encuentra implícitamente contenida en el art. 92.3 CE, al decir que una ley orgánica regulará las condiciones </w:t>
      </w:r>
      <w:r>
        <w:lastRenderedPageBreak/>
        <w:t>“y el procedimiento” de las distintas modalidades de referéndum previstas en la Constitución.</w:t>
      </w:r>
    </w:p>
    <w:p w:rsidR="0085709A" w:rsidRDefault="0085709A" w:rsidP="0085709A">
      <w:pPr>
        <w:pStyle w:val="TextoNormal"/>
      </w:pPr>
    </w:p>
    <w:p w:rsidR="0085709A" w:rsidRDefault="0085709A" w:rsidP="0085709A">
      <w:pPr>
        <w:pStyle w:val="TextoNormal"/>
      </w:pPr>
      <w:r>
        <w:t>Por esta razón, el referéndum ha de realizarse de acuerdo con los procedimientos y con las garantías que permitan a los consultados expresar su opinión mediante votación, pues sólo mediante el voto puede formarse la voluntad del cuerpo electoral (SSTC 12/2008, de 29 de enero, FJ 10; y 103/2008, de 11 de septiembre, FJ 2). Solo a través del sufragio (y no por medio de otras fórmulas de exteriorización de la opinión, como el ejercicio del derecho de manifestación, la aportación de firmas, sondeos de opinión o encuestas, etc.) puede quedar acreditado que el resultado de la consulta sea la fidedigna expresión de la voluntad del cuerpo electoral, de modo que las exigencias del procedimiento de celebración de referéndum deben ser entendidas como medios orientados a un fin: garantizar la realidad y veracidad del juicio emitido por el cuerpo electoral.</w:t>
      </w:r>
    </w:p>
    <w:p w:rsidR="0085709A" w:rsidRDefault="0085709A" w:rsidP="0085709A">
      <w:pPr>
        <w:pStyle w:val="TextoNormal"/>
      </w:pPr>
    </w:p>
    <w:p w:rsidR="0085709A" w:rsidRDefault="0085709A" w:rsidP="0085709A">
      <w:pPr>
        <w:pStyle w:val="TextoNormal"/>
      </w:pPr>
      <w:r w:rsidRPr="0085709A">
        <w:rPr>
          <w:rStyle w:val="NumeroAFNegritaCaracter"/>
        </w:rPr>
        <w:t>6</w:t>
      </w:r>
      <w:r>
        <w:t>. Determinado, pues, que estamos ante un referéndum cuando el poder público convoca al conjunto de los ciudadanos de un ámbito territorial determinado para que ejerzan el derecho fundamental de participación en los asuntos públicos emitiendo su opinión, vinculante o no, sobre una determinada cuestión, mediante votación y con las garantías propias de un proceso electoral, lo siguiente que nos corresponde abordar es el sistema de distribución de competencias del Estado y de la Comunidad Autónoma de Cataluña, en esta materia.</w:t>
      </w:r>
    </w:p>
    <w:p w:rsidR="0085709A" w:rsidRDefault="0085709A" w:rsidP="0085709A">
      <w:pPr>
        <w:pStyle w:val="TextoNormal"/>
      </w:pPr>
    </w:p>
    <w:p w:rsidR="0085709A" w:rsidRDefault="0085709A" w:rsidP="0085709A">
      <w:pPr>
        <w:pStyle w:val="TextoNormal"/>
      </w:pPr>
      <w:r>
        <w:t>Dicho régimen de distribución competencial deriva, en buena medida, del hecho de que las consultas populares por vía de referéndum son, como ha quedado expuesto, una manifestación del derecho fundamental de participación política recogido en el art. 23.1 CE, mientras que las consultas populares no referendarias, si bien son una expresión del fenómeno participativo, no se encuentran comprendidas dentro de las formas de participación a las que se refiere aquel precepto.</w:t>
      </w:r>
    </w:p>
    <w:p w:rsidR="0085709A" w:rsidRDefault="0085709A" w:rsidP="0085709A">
      <w:pPr>
        <w:pStyle w:val="TextoNormal"/>
      </w:pPr>
    </w:p>
    <w:p w:rsidR="0085709A" w:rsidRDefault="0085709A" w:rsidP="0085709A">
      <w:pPr>
        <w:pStyle w:val="TextoNormal"/>
      </w:pPr>
      <w:r>
        <w:t>A) De entrada, el régimen jurídico del referéndum está sujeto a una reserva de ley orgánica, al disponer el art. 92.3 CE que “una ley orgánica regulará las condiciones y el procedimiento de las distintas modalidades de referéndum previstas en la Constitución”. Además, el referéndum, en cuanto implica el ejercicio del derecho fundamental reconocido por el art. 23.1 CE, está sujeto en su desarrollo a la reserva de ley orgánica prevista en el art. 81.1 del propio texto constitucional. Concurren, por tanto, dos exigencias constitucionales de reserva de ley orgánica: una, genérica, vinculada al desarrollo de los derechos fundamentales; y, otra, específica, asociada a la institución del referéndum.</w:t>
      </w:r>
    </w:p>
    <w:p w:rsidR="0085709A" w:rsidRDefault="0085709A" w:rsidP="0085709A">
      <w:pPr>
        <w:pStyle w:val="TextoNormal"/>
      </w:pPr>
    </w:p>
    <w:p w:rsidR="0085709A" w:rsidRDefault="0085709A" w:rsidP="0085709A">
      <w:pPr>
        <w:pStyle w:val="TextoNormal"/>
      </w:pPr>
      <w:r>
        <w:t>Por otra parte, la Constitución atribuye al Estado, como competencia exclusiva, la “autorización para la convocatoria de consultas populares por vía de referéndum” (art. 149.1.32 CE), competencia que, de conformidad con la jurisprudencia, “no puede limitarse a la autorización estatal para la convocatoria de consultas populares por vía de referéndum, sino que ha de extenderse a la entera disciplina de esa institución, esto es, a su establecimiento y regulación” (STC 31/2010, de 28 de junio, FJ 69).</w:t>
      </w:r>
    </w:p>
    <w:p w:rsidR="0085709A" w:rsidRDefault="0085709A" w:rsidP="0085709A">
      <w:pPr>
        <w:pStyle w:val="TextoNormal"/>
      </w:pPr>
    </w:p>
    <w:p w:rsidR="0085709A" w:rsidRDefault="0085709A" w:rsidP="0085709A">
      <w:pPr>
        <w:pStyle w:val="TextoNormal"/>
      </w:pPr>
      <w:r>
        <w:t xml:space="preserve">La competencia que los mencionados preceptos constitucionales atribuyen al Estado para regular la institución del referéndum, cualquiera que sea la modalidad o ámbito territorial sobre el que se proyecte, ha sido ejercida mediante la aprobación de la Ley Orgánica 2/1980, de 18 de enero, reguladora de las distintas modalidades de referéndum. En efecto, hemos </w:t>
      </w:r>
      <w:r>
        <w:lastRenderedPageBreak/>
        <w:t>dicho de esta Ley que “es la llamada por el art. 92.3 CE para regular las condiciones y el procedimiento de las distintas modalidades de referéndum previstas en la Constitución, siendo además la única Ley constitucionalmente adecuada para el cumplimiento de otra reserva, añadida a la competencial del art. 149.1.32 CE: la genérica del art. 81 CE para el desarrollo de los derechos fundamentales, en este caso el derecho de participación política reconocido en el art. 23 CE” (STC 103/2008, de 11 de septiembre, FJ 3).</w:t>
      </w:r>
    </w:p>
    <w:p w:rsidR="0085709A" w:rsidRDefault="0085709A" w:rsidP="0085709A">
      <w:pPr>
        <w:pStyle w:val="TextoNormal"/>
      </w:pPr>
    </w:p>
    <w:p w:rsidR="0085709A" w:rsidRDefault="0085709A" w:rsidP="0085709A">
      <w:pPr>
        <w:pStyle w:val="TextoNormal"/>
      </w:pPr>
      <w:r>
        <w:t>No se regulan en esta Ley Orgánica otros supuestos de referéndum distintos de los contemplados en el texto constitucional: en particular, no se mencionan otras consultas de ámbito autonómico que las previstas en los arts. 151 y 152 CE, mientras que su disposición adicional excluye del ámbito de aplicación de la Ley a las consultas municipales, remitiendo su disciplina a la legislación básica de régimen local (art. 71 LBRL), ámbito sobre el que también se proyecta el art. 149.1.18 CE, que atribuye al Estado la competencia exclusiva en relación con “las bases del régimen jurídico de las Administraciones públicas”.</w:t>
      </w:r>
    </w:p>
    <w:p w:rsidR="0085709A" w:rsidRDefault="0085709A" w:rsidP="0085709A">
      <w:pPr>
        <w:pStyle w:val="TextoNormal"/>
      </w:pPr>
    </w:p>
    <w:p w:rsidR="0085709A" w:rsidRDefault="0085709A" w:rsidP="0085709A">
      <w:pPr>
        <w:pStyle w:val="TextoNormal"/>
      </w:pPr>
      <w:r>
        <w:t>B) En lo que respecta a las competencias de las Comunidades Autónomas, la STC 103/2008, de 11 de septiembre, afirmó que “no cabe en nuestro ordenamiento constitucional, en materia de referéndum, ninguna competencia implícita, puesto que en un sistema, como el español, cuya regla general es la democracia representativa, solo pueden convocarse y celebrarse los referendos que expresamente estén previstos en las normas del Estado, incluidos los Estatutos de Autonomía, de conformidad con la Constitución” (FJ 3).</w:t>
      </w:r>
    </w:p>
    <w:p w:rsidR="0085709A" w:rsidRDefault="0085709A" w:rsidP="0085709A">
      <w:pPr>
        <w:pStyle w:val="TextoNormal"/>
      </w:pPr>
    </w:p>
    <w:p w:rsidR="0085709A" w:rsidRDefault="0085709A" w:rsidP="0085709A">
      <w:pPr>
        <w:pStyle w:val="TextoNormal"/>
      </w:pPr>
      <w:r>
        <w:t>En el caso de la Comunidad Autónoma de Cataluña, el art. 122 de su Estatuto de Autonomía dispone:</w:t>
      </w:r>
    </w:p>
    <w:p w:rsidR="0085709A" w:rsidRDefault="0085709A" w:rsidP="0085709A">
      <w:pPr>
        <w:pStyle w:val="TextoNormal"/>
      </w:pPr>
    </w:p>
    <w:p w:rsidR="0085709A" w:rsidRDefault="0085709A" w:rsidP="0085709A">
      <w:pPr>
        <w:pStyle w:val="TextoNormal"/>
      </w:pPr>
      <w:r>
        <w:t>“Corresponde a la Generalitat la competencia exclusiva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de la Constitución.”</w:t>
      </w:r>
    </w:p>
    <w:p w:rsidR="0085709A" w:rsidRDefault="0085709A" w:rsidP="0085709A">
      <w:pPr>
        <w:pStyle w:val="TextoNormal"/>
      </w:pPr>
    </w:p>
    <w:p w:rsidR="0085709A" w:rsidRDefault="0085709A" w:rsidP="0085709A">
      <w:pPr>
        <w:pStyle w:val="TextoNormal"/>
      </w:pPr>
      <w:r>
        <w:t>En lo que ahora importa, el alcance de este precepto ha sido circunscrito por la STC 31/2010, de 28 de junio, FJ 69, a las consultas no referendarias.</w:t>
      </w:r>
    </w:p>
    <w:p w:rsidR="0085709A" w:rsidRDefault="0085709A" w:rsidP="0085709A">
      <w:pPr>
        <w:pStyle w:val="TextoNormal"/>
      </w:pPr>
    </w:p>
    <w:p w:rsidR="0085709A" w:rsidRDefault="0085709A" w:rsidP="0085709A">
      <w:pPr>
        <w:pStyle w:val="TextoNormal"/>
      </w:pPr>
      <w:r>
        <w:t>En todo caso, el ejercicio de la competencia de la Comunidad Autónoma de Cataluña para regular las consultas no referendarias está sujeto a determinados límites:</w:t>
      </w:r>
    </w:p>
    <w:p w:rsidR="0085709A" w:rsidRDefault="0085709A" w:rsidP="0085709A">
      <w:pPr>
        <w:pStyle w:val="TextoNormal"/>
      </w:pPr>
    </w:p>
    <w:p w:rsidR="0085709A" w:rsidRDefault="0085709A" w:rsidP="0085709A">
      <w:pPr>
        <w:pStyle w:val="TextoNormal"/>
      </w:pPr>
      <w:r>
        <w:t xml:space="preserve">a) En primer lugar, queda fuera de la competencia autonómica formular consultas, aun no referendarias, que incidan sobre “sobre cuestiones fundamentales resueltas con el proceso constituyente y que resultan sustraídas a la decisión de los poderes constituidos. El respeto a la Constitución impone que los proyectos de revisión del orden constituido, y especialmente de aquéllos que afectan al fundamento de la identidad del titular único de la soberanía, se sustancien abierta y directamente por la vía que la Constitución ha previsto para esos fines. No caben actuaciones por otros cauces ni de las Comunidades Autónomas ni de cualquier órgano del Estado, porque sobre todos está siempre, expresada en la decisión constituyente, la voluntad del pueblo español, titular exclusivo de la soberanía nacional, fundamento de la Constitución y origen de cualquier poder político” (STC 103/2008, de 11 </w:t>
      </w:r>
      <w:r>
        <w:lastRenderedPageBreak/>
        <w:t>de septiembre, FJ 4). Es patente, pues, que el parecer de la ciudadanía sobre tales cuestiones ha de encauzarse a través de los procedimientos constitucionales de reforma.</w:t>
      </w:r>
    </w:p>
    <w:p w:rsidR="0085709A" w:rsidRDefault="0085709A" w:rsidP="0085709A">
      <w:pPr>
        <w:pStyle w:val="TextoNormal"/>
      </w:pPr>
    </w:p>
    <w:p w:rsidR="0085709A" w:rsidRDefault="0085709A" w:rsidP="0085709A">
      <w:pPr>
        <w:pStyle w:val="TextoNormal"/>
      </w:pPr>
      <w:r>
        <w:t>En relación con esta materia, este Tribunal ha dicho en la STC 42/2014, de 25 de marzo, que “[l]a Constitución no aborda ni puede abordar expresamente todos los problemas que se pueden suscitar en el orden constitucional, en particular los derivados de la voluntad de una parte del Estado de alterar su estatus jurídico. Los problemas de esa índole no pueden ser resueltos por este Tribunal, cuya función es velar por la observancia estricta de la Constitución. Por ello, los poderes públicos y muy especialmente los poderes territoriales que conforman nuestro Estado autonómico son quienes están llamados a resolver mediante el diálogo y la cooperación los problemas que se desenvuelven en este ámbito. El concepto amplio de diálogo, por otra parte, no excluye sistema o institución legítima alguna capaz de aportar su iniciativa a las decisiones políticas, ni ningún procedimiento que respete el marco constitucional. A este Tribunal incumbe únicamente, a iniciativa de las partes legitimadas para recabar su intervención, velar porque los procedimientos que se desarrollen en el curso de este diálogo se ajusten a los requisitos exigidos por la Constitución” [FJ 4 b)]. En consecuencia, caben cuantas vías sean compatibles con el texto constitucional, pues “[e]l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(STC 103/2008, FJ 4).” [FJ 4 c), párrafo tercero].</w:t>
      </w:r>
    </w:p>
    <w:p w:rsidR="0085709A" w:rsidRDefault="0085709A" w:rsidP="0085709A">
      <w:pPr>
        <w:pStyle w:val="TextoNormal"/>
      </w:pPr>
    </w:p>
    <w:p w:rsidR="0085709A" w:rsidRDefault="0085709A" w:rsidP="0085709A">
      <w:pPr>
        <w:pStyle w:val="TextoNormal"/>
      </w:pPr>
      <w:r>
        <w:t>b) De igual modo, el objeto de las consultas populares tampoco puede desbordar “el ámbito de las competencias autonómicas y locales, por lo que es evidente que no puede haber afectación alguna del ámbito competencial privativo del Estado” (STC 31/2010, de 28 de junio, FJ 69), tal y como contempla el propio art. 122 EAC.</w:t>
      </w:r>
    </w:p>
    <w:p w:rsidR="0085709A" w:rsidRDefault="0085709A" w:rsidP="0085709A">
      <w:pPr>
        <w:pStyle w:val="TextoNormal"/>
      </w:pPr>
    </w:p>
    <w:p w:rsidR="0085709A" w:rsidRDefault="0085709A" w:rsidP="0085709A">
      <w:pPr>
        <w:pStyle w:val="TextoNormal"/>
      </w:pPr>
      <w:r>
        <w:t>c) Por último, en el ámbito de las consultas locales, concurre un límite adicional que deriva del art. 149.1.18 CE, pues, como recuerda la STC 31/2010, de 28 de junio, FJ 69, “la exclusividad del art. 122 EAC ha de serlo, por tanto, sin perjuicio, de la competencia estatal relativa a las bases del régimen jurídico de las Administraciones públicas”.</w:t>
      </w:r>
    </w:p>
    <w:p w:rsidR="0085709A" w:rsidRDefault="0085709A" w:rsidP="0085709A">
      <w:pPr>
        <w:pStyle w:val="TextoNormal"/>
      </w:pPr>
    </w:p>
    <w:p w:rsidR="0085709A" w:rsidRDefault="0085709A" w:rsidP="0085709A">
      <w:pPr>
        <w:pStyle w:val="TextoNormal"/>
      </w:pPr>
      <w:r w:rsidRPr="0085709A">
        <w:rPr>
          <w:rStyle w:val="NumeroAFNegritaCaracter"/>
        </w:rPr>
        <w:t>7</w:t>
      </w:r>
      <w:r>
        <w:t>. Llegados a este punto, procede ya valorar si las consultas populares reguladas en el título II de la Ley del Parlamento de Cataluña 10/2014, de 26 de septiembre, participan de la naturaleza de los referendos, como sostiene la Abogacía del Estado.</w:t>
      </w:r>
    </w:p>
    <w:p w:rsidR="0085709A" w:rsidRDefault="0085709A" w:rsidP="0085709A">
      <w:pPr>
        <w:pStyle w:val="TextoNormal"/>
      </w:pPr>
    </w:p>
    <w:p w:rsidR="0085709A" w:rsidRDefault="0085709A" w:rsidP="0085709A">
      <w:pPr>
        <w:pStyle w:val="TextoNormal"/>
      </w:pPr>
      <w:r>
        <w:t xml:space="preserve">Dicho juicio debe verificarse al margen del </w:t>
      </w:r>
      <w:r w:rsidRPr="0085709A">
        <w:rPr>
          <w:i/>
        </w:rPr>
        <w:t>nomen iuris</w:t>
      </w:r>
      <w:r>
        <w:t xml:space="preserve"> asignado a las consultas reguladas, constituyendo “puro nominalismo entender que su denominación legal sea elemento determinante de su verdadera naturaleza, pues las categorías [jurídico-constitucionales], más allá de las denominaciones legales, tienen cada una de ellas la naturaleza propia y específica que les corresponde de acuerdo con la configuración y estructura que reciban en el régimen jurídico a que vengan sometidas, que debe ser el argumento decisivo a tener en cuenta para delimitar el orden constitucional de competencias, el cual, al no ser disponible por la ley, no puede hacerse depender de la mera denominación que el legislador, en su discreción, asigne” (STC 296/1994, de 10 de noviembre, FJ 4). Por tanto, ni un referéndum </w:t>
      </w:r>
      <w:r>
        <w:lastRenderedPageBreak/>
        <w:t xml:space="preserve">dejará de serlo tan sólo porque la norma legal que lo prevea le niegue la condición de tal, ni el derecho </w:t>
      </w:r>
      <w:r w:rsidRPr="0085709A">
        <w:rPr>
          <w:i/>
        </w:rPr>
        <w:t>ex</w:t>
      </w:r>
      <w:r>
        <w:t xml:space="preserve"> art. 23.1 CE a la participación directa en los asuntos públicos perderá su fuerza vinculante porque la ley, de nuevo, niegue haber procedido a su regulación o desarrollo.</w:t>
      </w:r>
    </w:p>
    <w:p w:rsidR="0085709A" w:rsidRDefault="0085709A" w:rsidP="0085709A">
      <w:pPr>
        <w:pStyle w:val="TextoNormal"/>
      </w:pPr>
    </w:p>
    <w:p w:rsidR="0085709A" w:rsidRDefault="0085709A" w:rsidP="0085709A">
      <w:pPr>
        <w:pStyle w:val="TextoNormal"/>
      </w:pPr>
      <w:r>
        <w:t>Descendiendo ya al articulado de la Ley, el art. 3.1 define la consulta popular no referendaria como “la convocatoria hecha por las autoridades competentes, de acuerdo con lo que establece esta ley, a las personas legitimadas en cada caso para que manifiesten su opinión sobre una determinada actuación, decisión o política pública, mediante votación”.</w:t>
      </w:r>
    </w:p>
    <w:p w:rsidR="0085709A" w:rsidRDefault="0085709A" w:rsidP="0085709A">
      <w:pPr>
        <w:pStyle w:val="TextoNormal"/>
      </w:pPr>
    </w:p>
    <w:p w:rsidR="0085709A" w:rsidRDefault="0085709A" w:rsidP="0085709A">
      <w:pPr>
        <w:pStyle w:val="TextoNormal"/>
      </w:pPr>
      <w:r>
        <w:t>A continuación, el apartado segundo del mismo artículo 3 diferencia, en atención a un criterio territorial, entre consultas “de ámbito nacional si se refieren a todo el territorio de Cataluña o de ámbito local si tienen carácter municipal o supramunicipal”.</w:t>
      </w:r>
    </w:p>
    <w:p w:rsidR="0085709A" w:rsidRDefault="0085709A" w:rsidP="0085709A">
      <w:pPr>
        <w:pStyle w:val="TextoNormal"/>
      </w:pPr>
    </w:p>
    <w:p w:rsidR="0085709A" w:rsidRDefault="0085709A" w:rsidP="0085709A">
      <w:pPr>
        <w:pStyle w:val="TextoNormal"/>
      </w:pPr>
      <w:r>
        <w:t>En lo que ahora importa, el art. 3, en su apartado tercero, emplea un segundo parámetro, —</w:t>
      </w:r>
      <w:r w:rsidRPr="0085709A">
        <w:rPr>
          <w:i/>
        </w:rPr>
        <w:t>ratione personae</w:t>
      </w:r>
      <w:r>
        <w:t>— que atiende al sujeto jurídico llamado a la consulta, distinguiendo así entre consultas generales y sectoriales:</w:t>
      </w:r>
    </w:p>
    <w:p w:rsidR="0085709A" w:rsidRDefault="0085709A" w:rsidP="0085709A">
      <w:pPr>
        <w:pStyle w:val="TextoNormal"/>
      </w:pPr>
    </w:p>
    <w:p w:rsidR="0085709A" w:rsidRDefault="0085709A" w:rsidP="0085709A">
      <w:pPr>
        <w:pStyle w:val="TextoNormal"/>
      </w:pPr>
      <w:r>
        <w:t>“3. Las consultas populares no referendarias pueden ser de carácter general o sectorial. Las consultas generales son las abiertas a las personas legitimadas para participar en los términos establecidos en el artículo 5. Las consultas sectoriales son las que pueden dirigirse, por razón de su objeto específico, teniendo en cuenta los criterios establecidos en el artículo 5.2, a un determinado colectivo de personas.”</w:t>
      </w:r>
    </w:p>
    <w:p w:rsidR="0085709A" w:rsidRDefault="0085709A" w:rsidP="0085709A">
      <w:pPr>
        <w:pStyle w:val="TextoNormal"/>
      </w:pPr>
    </w:p>
    <w:p w:rsidR="0085709A" w:rsidRDefault="0085709A" w:rsidP="0085709A">
      <w:pPr>
        <w:pStyle w:val="TextoNormal"/>
      </w:pPr>
      <w:r>
        <w:t>Aunque el escrito de la Abogacía de Estado no traslada a su juicio de constitucionalidad las consecuencias de esta distinción, lo cierto es, debemos anticiparlo ya, que de la misma se sigue la exclusión de la inconstitucionalidad de las consultas sectoriales reguladas en el título II de la Ley impugnada. Así es, pues al referirnos anteriormente a los rasgos distintivos del referéndum, hemos indicado que se trata de “una especie del género ‘consulta popular’ con la que no se recaba la opinión de cualquier colectivo sobre cualesquiera asuntos de interés público a través de cualesquiera procedimientos, sino aquella consulta cuyo objeto se refiere estrictamente al parecer del cuerpo electoral”. En contraposición al referéndum, las consultas no referendarias recaban la opinión de cualquier colectivo (STC 31/2010, de 28 de junio, FJ 69), por lo que articulan “voluntades particulares o colectivas, pero no generales, esto es, no imputables al cuerpo electoral” (STC 103/2008, de 11 de septiembre, FJ 2).</w:t>
      </w:r>
    </w:p>
    <w:p w:rsidR="0085709A" w:rsidRDefault="0085709A" w:rsidP="0085709A">
      <w:pPr>
        <w:pStyle w:val="TextoNormal"/>
      </w:pPr>
    </w:p>
    <w:p w:rsidR="0085709A" w:rsidRDefault="0085709A" w:rsidP="0085709A">
      <w:pPr>
        <w:pStyle w:val="TextoNormal"/>
      </w:pPr>
      <w:r>
        <w:t>Así las cosas, al corresponder al decreto de convocatoria de la consulta sectorial “delimitar, con pleno respeto a las exigencias derivadas del principio de igualdad y no discriminación, a las personas que pueden participar” y debiendo hacerse tal delimitación “en función … de los intereses afectados directamente por el objeto de la pregunta, atendiendo, en este último caso, a criterios que permitan identificar de modo claro y objetivo al colectivo o colectivos a los que se dirige la convocatoria” (art. 5.2), ha de concluirse que las consultas sectoriales presuponen, en definitiva, el llamamiento a un sujeto jurídico más restringido que el cuerpo electoral de la colectividad territorial de que se trate.</w:t>
      </w:r>
    </w:p>
    <w:p w:rsidR="0085709A" w:rsidRDefault="0085709A" w:rsidP="0085709A">
      <w:pPr>
        <w:pStyle w:val="TextoNormal"/>
      </w:pPr>
    </w:p>
    <w:p w:rsidR="0085709A" w:rsidRDefault="0085709A" w:rsidP="0085709A">
      <w:pPr>
        <w:pStyle w:val="TextoNormal"/>
      </w:pPr>
      <w:r>
        <w:t xml:space="preserve">Siendo esto así, las consultas sectoriales son cauces de participación cuya regulación por el legislador autonómico catalán resulta posible, en consideración al título competencial establecido en el art. 122 EAC, pues como quedó dicho en la STC 31/2010, de 28 de junio, </w:t>
      </w:r>
      <w:r>
        <w:lastRenderedPageBreak/>
        <w:t>al juzgar este precepto estatutario: “caben, pues, consultas populares no referendarias mediante las cuales ‘se recaba la opinión de cualquier colectivo sobre cualesquiera asuntos de interés público a través de cualesquiera procedimientos’ distintos de los que cualifican una consulta como referéndum” (FJ 69).</w:t>
      </w:r>
    </w:p>
    <w:p w:rsidR="0085709A" w:rsidRDefault="0085709A" w:rsidP="0085709A">
      <w:pPr>
        <w:pStyle w:val="TextoNormal"/>
      </w:pPr>
    </w:p>
    <w:p w:rsidR="0085709A" w:rsidRDefault="0085709A" w:rsidP="0085709A">
      <w:pPr>
        <w:pStyle w:val="TextoNormal"/>
      </w:pPr>
      <w:r w:rsidRPr="0085709A">
        <w:rPr>
          <w:rStyle w:val="NumeroAFNegritaCaracter"/>
        </w:rPr>
        <w:t>8</w:t>
      </w:r>
      <w:r>
        <w:t>. Procede ahora enjuiciar la constitucionalidad de la regulación contenida en el título II de la Ley acerca de las “consultas generales”, para lo cual resulta aconsejable examinar separadamente los dos elementos caracterizadores de la figura del referéndum a los que antes hemos hecho referencia:</w:t>
      </w:r>
    </w:p>
    <w:p w:rsidR="0085709A" w:rsidRDefault="0085709A" w:rsidP="0085709A">
      <w:pPr>
        <w:pStyle w:val="TextoNormal"/>
      </w:pPr>
    </w:p>
    <w:p w:rsidR="0085709A" w:rsidRDefault="0085709A" w:rsidP="0085709A">
      <w:pPr>
        <w:pStyle w:val="TextoNormal"/>
      </w:pPr>
      <w:r>
        <w:t>a) En la Ley impugnada la delimitación del “cuerpo electoral” se efectúa en el art. 5.1, atribuyéndose legitimación para participar en las consultas a los mayores de dieciséis años que tengan la condición política de catalanes, y a los nacionales de Estados miembros de la Unión Europea o de terceros Estados, siempre que cuenten con un determinado período de residencia y estén inscritos en el registro de población de Cataluña.</w:t>
      </w:r>
    </w:p>
    <w:p w:rsidR="0085709A" w:rsidRDefault="0085709A" w:rsidP="0085709A">
      <w:pPr>
        <w:pStyle w:val="TextoNormal"/>
      </w:pPr>
    </w:p>
    <w:p w:rsidR="0085709A" w:rsidRDefault="0085709A" w:rsidP="0085709A">
      <w:pPr>
        <w:pStyle w:val="TextoNormal"/>
      </w:pPr>
      <w:r>
        <w:t xml:space="preserve">Estas consultas generales constituyen, objetivamente, llamamientos para la participación política, a través de un procedimiento electoral, de un cuerpo de electores que vendría así a expresar, mediante el sufragio, el parecer de los ciudadanos de Cataluña en el ejercicio del derecho reconocido en el art. 23.1 CE y no como meros administrados. En ese cuerpo electoral </w:t>
      </w:r>
      <w:r w:rsidRPr="0085709A">
        <w:rPr>
          <w:i/>
        </w:rPr>
        <w:t>sui generis</w:t>
      </w:r>
      <w:r>
        <w:t xml:space="preserve"> (art. 5.1) está sin duda comprendido o integrado el electorado, estatutario y legal, de Cataluña (art. 56.3 EAC y art. 2 de la Ley Orgánica del régimen electoral general: LOREG). Por ello, y aun cuando una determinada consulta general se acotara, exclusivamente, a las “personas legitimadas” que dice el art. 5.1 a), estaría siendo convocado a las urnas el cuerpo electoral de Cataluña, o de la correspondiente entidad local, aunque no sólo él. Se llamaría a votar, en otras palabras, a un singular electorado: al que lo es conforme al Estatuto de Autonomía de Cataluña y a la LOREG, desde luego, aunque acrecido por las incorporaciones personales que esta Ley dispone.</w:t>
      </w:r>
    </w:p>
    <w:p w:rsidR="0085709A" w:rsidRDefault="0085709A" w:rsidP="0085709A">
      <w:pPr>
        <w:pStyle w:val="TextoNormal"/>
      </w:pPr>
    </w:p>
    <w:p w:rsidR="0085709A" w:rsidRDefault="0085709A" w:rsidP="0085709A">
      <w:pPr>
        <w:pStyle w:val="TextoNormal"/>
      </w:pPr>
      <w:r>
        <w:t xml:space="preserve">Es, por tanto, un llamamiento a un cuerpo electoral más amplio que el configurado por la legislación electoral general, pero que no por ello deja de ser una verdadera </w:t>
      </w:r>
      <w:r w:rsidRPr="0085709A">
        <w:rPr>
          <w:i/>
        </w:rPr>
        <w:t>apellatio ad populum</w:t>
      </w:r>
      <w:r>
        <w:t xml:space="preserve">. La circunstancia de que la consulta pueda extenderse a menores de dieciocho años y a los nacionales de Estados miembros de la Unión Europea o de terceros Estados, no obsta para que sus resultados sean imputables al parecer de la ciudadanía de la Comunidad Autónoma y considerarse expresivos de su voluntad general en relación con los asuntos que se les planteen en cada caso. El cuerpo electoral conformado en el art. 5.1 de la Ley, aunque lo desborda, abarca al conjunto de la ciudadanía de la Comunidad Autónoma de Cataluña o del ente territorial local, cuyos sufragios no exteriorizan meras voluntades particulares o de colectivos sectoriales sino su voluntad general </w:t>
      </w:r>
      <w:r w:rsidRPr="0085709A">
        <w:rPr>
          <w:i/>
        </w:rPr>
        <w:t>uti cives</w:t>
      </w:r>
      <w:r>
        <w:t>. En cualquier caso, los menores de 18 años son convocados en su condición “política” de catalanes y los extranjeros en cuanto “nacionales” de otros Estados, es decir, en la condición más genérica de ciudadanía que les es aplicable.</w:t>
      </w:r>
    </w:p>
    <w:p w:rsidR="0085709A" w:rsidRDefault="0085709A" w:rsidP="0085709A">
      <w:pPr>
        <w:pStyle w:val="TextoNormal"/>
      </w:pPr>
    </w:p>
    <w:p w:rsidR="0085709A" w:rsidRDefault="0085709A" w:rsidP="0085709A">
      <w:pPr>
        <w:pStyle w:val="TextoNormal"/>
      </w:pPr>
      <w:r>
        <w:t>b) De otra parte, para la expresión de esa voluntad general, el capítulo II del título II de la Ley impugnada —bajo la rúbrica “procedimiento de las consultas populares no referendarias”— regula un procedimiento electoral articulado en torno una serie de elementos, entre los que cabe destacar:</w:t>
      </w:r>
    </w:p>
    <w:p w:rsidR="0085709A" w:rsidRDefault="0085709A" w:rsidP="0085709A">
      <w:pPr>
        <w:pStyle w:val="TextoNormal"/>
      </w:pPr>
    </w:p>
    <w:p w:rsidR="0085709A" w:rsidRDefault="0085709A" w:rsidP="0085709A">
      <w:pPr>
        <w:pStyle w:val="TextoNormal"/>
      </w:pPr>
      <w:r>
        <w:lastRenderedPageBreak/>
        <w:t>En cuanto a la convocatoria de las consultas, se establece la forma y el plazo en que deben realizarse (art. 10), los términos en que han de formularse las preguntas que constituyen su objeto (art. 11) y el contenido del decreto de convocatoria (art. 12). Respecto del sistema de garantías, se prevé que estará integrado por la comisión de control, las comisiones de seguimiento y las mesas de consulta (art. 13), se definen la composición y las funciones de la comisión de control (arts. 14 y 15) y de las comisiones de seguimiento (arts. 16 y 17), se establecen las causas de inelegibilidad e incompatibilidad de los miembros de ambas comisiones (art. 18) y se determinan la composición y las funciones de las mesas de consulta (arts. 19 y 20).</w:t>
      </w:r>
    </w:p>
    <w:p w:rsidR="0085709A" w:rsidRDefault="0085709A" w:rsidP="0085709A">
      <w:pPr>
        <w:pStyle w:val="TextoNormal"/>
      </w:pPr>
    </w:p>
    <w:p w:rsidR="0085709A" w:rsidRDefault="0085709A" w:rsidP="0085709A">
      <w:pPr>
        <w:pStyle w:val="TextoNormal"/>
      </w:pPr>
      <w:r>
        <w:t>Por lo que hace a la campaña previa a las consultas, se delimita temporalmente el periodo en que la misma puede realizarse (art. 21) y se reconoce el derecho de los promotores de las consultas y de otros entes a utilizar de forma gratuita espacios públicos e informativos en los medios de difusión de titularidad pública (art. 22).</w:t>
      </w:r>
    </w:p>
    <w:p w:rsidR="0085709A" w:rsidRDefault="0085709A" w:rsidP="0085709A">
      <w:pPr>
        <w:pStyle w:val="TextoNormal"/>
      </w:pPr>
    </w:p>
    <w:p w:rsidR="0085709A" w:rsidRDefault="0085709A" w:rsidP="0085709A">
      <w:pPr>
        <w:pStyle w:val="TextoNormal"/>
      </w:pPr>
      <w:r>
        <w:t>En lo que atañe a las normas de voto, se prevé que los ciudadanos pueden participar mediante votación presencial ordinaria, anticipada o por medios electrónicos (art. 23), se determina la forma en que debe realizarse la votación presencial ordinaria (art. 24) y anticipada (art. 25), se define el tipo de consultas a las que resulta de aplicación uno u otro tipo de votación (art. 26), se establecen los criterios de recuento de votos (art. 27) y se regula el voto electrónico (art. 28). Por último, la convocatoria de las consultas sectoriales contempla reglas especiales sobre diversos extremos (art. 29).</w:t>
      </w:r>
    </w:p>
    <w:p w:rsidR="0085709A" w:rsidRDefault="0085709A" w:rsidP="0085709A">
      <w:pPr>
        <w:pStyle w:val="TextoNormal"/>
      </w:pPr>
    </w:p>
    <w:p w:rsidR="0085709A" w:rsidRDefault="0085709A" w:rsidP="0085709A">
      <w:pPr>
        <w:pStyle w:val="TextoNormal"/>
      </w:pPr>
      <w:r>
        <w:t>Toda esta regulación pormenorizada viene a configurar así un procedimiento que tiene la naturaleza de electoral en la medida en que a través del mismo se canaliza el ejercicio del derecho al sufragio activo de las personas convocadas, mediante la emisión del voto. Lo relevante, pues, no es que el procedimiento y las garantías no sean idénticos a los previstos en la legislación electoral estatal, sino que comporten un grado de formalización de la opinión de la ciudadanía materialmente electoral. De lo contrario, sería posible eludir la competencia estatal en materia de referéndum con la sola introducción de variantes en alguno de los elementos del procedimiento electoral.</w:t>
      </w:r>
    </w:p>
    <w:p w:rsidR="0085709A" w:rsidRDefault="0085709A" w:rsidP="0085709A">
      <w:pPr>
        <w:pStyle w:val="TextoNormal"/>
      </w:pPr>
    </w:p>
    <w:p w:rsidR="0085709A" w:rsidRDefault="0085709A" w:rsidP="0085709A">
      <w:pPr>
        <w:pStyle w:val="TextoNormal"/>
      </w:pPr>
      <w:r>
        <w:t xml:space="preserve">En efecto, los conceptos constitucionales o, en general, del bloque de la constitucionalidad que definen o acotan competencias (el de “referéndum” </w:t>
      </w:r>
      <w:r w:rsidRPr="0085709A">
        <w:rPr>
          <w:i/>
        </w:rPr>
        <w:t>ex</w:t>
      </w:r>
      <w:r>
        <w:t xml:space="preserve"> art. 149.1.32 CE, en lo que ahora importa) resultarían distorsionados, y con ellos la misma articulación competencial, si su propia definición se hiciera depender del respeto o transgresión, por el Estado o por las Comunidades Autónomas, de la legalidad, constitucional o infraconstitucional, a la que en cada caso se encuentran sometidos. El orden de competencias constitucional y estatutario quedaría a merced, si así se hiciera, del arbitrio del propio ente cuyas competencias han sido delimitadas, con el resultado, de todo punto inaceptable, de que el desbordamiento de éstas, o el exceso en su ejercicio, vendría a quedar cubierto o avalado por tales infracciones del Ordenamiento.</w:t>
      </w:r>
    </w:p>
    <w:p w:rsidR="0085709A" w:rsidRDefault="0085709A" w:rsidP="0085709A">
      <w:pPr>
        <w:pStyle w:val="TextoNormal"/>
      </w:pPr>
    </w:p>
    <w:p w:rsidR="0085709A" w:rsidRDefault="0085709A" w:rsidP="0085709A">
      <w:pPr>
        <w:pStyle w:val="TextoNormal"/>
      </w:pPr>
      <w:r>
        <w:t xml:space="preserve">La STC 103/2008, de 11 de septiembre, identificó la noción de referéndum por referencia al cuerpo y al procedimiento electoral, esto es, al censo, a la Administración electoral y a unas “garantías jurisdiccionales específicas” (FJ 2). Pero no se colige de ello que la eventual desfiguración legislativa de lo dispuesto en la LOREG impidiera reconocer que una determinada consulta o tipo de consulta tuviera, conforme a su naturaleza intrínseca, la condición </w:t>
      </w:r>
      <w:r>
        <w:lastRenderedPageBreak/>
        <w:t>efectiva de referéndum, por irregular que su ordenación legal pudiera ser. La acomodación a la legislación electoral general es condición, como la propia Sentencia dijo, de que la voluntad del cuerpo electoral pudiera estimarse “válida y legítimamente” manifestada (FJ 2). Pero dicha acomodación no puede ser, sin contradicción con el sentido del art. 149.1.32 CE, condición para la identificación de una consulta como referendaria.</w:t>
      </w:r>
    </w:p>
    <w:p w:rsidR="0085709A" w:rsidRDefault="0085709A" w:rsidP="0085709A">
      <w:pPr>
        <w:pStyle w:val="TextoNormal"/>
      </w:pPr>
    </w:p>
    <w:p w:rsidR="0085709A" w:rsidRDefault="0085709A" w:rsidP="0085709A">
      <w:pPr>
        <w:pStyle w:val="TextoNormal"/>
      </w:pPr>
      <w:r>
        <w:t>En definitiva, por cuerpo electoral debe entenderse el órgano formado por el conjunto de personas a las que se les reconoce derecho de sufragio, no en atención a sus particulares intereses, sectoriales o de grupo, sino para manifestar la voluntad general. En esta línea, el “registro de participación en consultas populares no referendarias” (art. 6) es materialmente un censo, del mismo modo que el “procedimiento de las consultas populares no referendarias” (arts. 10 a 29) y las “reglas especiales para las consultas populares no referendarias de iniciativa ciudadana” (arts. 30 a 39) constituyen un procedimiento de naturaleza electoral; y, asimismo, es una organización administrativa de carácter electoral la conformada por la comisión de control, las comisiones de seguimiento y las mesas de consulta electorales (arts. 13 a 20). Por lo demás, la ausencia de previsión expresa de una garantía contencioso-electoral no impediría la intervención de la jurisdicción contencioso-administrativa, al tener que actuar siempre la Administración “con sometimiento pleno a la ley y al Derecho” (art. 103.1 CE), al tiempo que el art. 106.1 CE establece que “los Tribunales controlan la potestad reglamentaria y la legalidad de la actuación administrativa, así como el sometimiento de ésta a los fines que la justifican”, “auténtica cláusula regia del Estado de Derecho” (STC 103/1996, de 11 de junio, FJ 7). En definitiva, la Ley analizada entra a regular con otro nombre los institutos jurídicos que califican a la consulta popular como referendaria.</w:t>
      </w:r>
    </w:p>
    <w:p w:rsidR="0085709A" w:rsidRDefault="0085709A" w:rsidP="0085709A">
      <w:pPr>
        <w:pStyle w:val="TextoNormal"/>
      </w:pPr>
    </w:p>
    <w:p w:rsidR="0085709A" w:rsidRDefault="0085709A" w:rsidP="0085709A">
      <w:pPr>
        <w:pStyle w:val="TextoNormal"/>
      </w:pPr>
      <w:r w:rsidRPr="0085709A">
        <w:rPr>
          <w:rStyle w:val="NumeroAFNegritaCaracter"/>
        </w:rPr>
        <w:t>9</w:t>
      </w:r>
      <w:r>
        <w:t>. De cuanto acaba de exponerse se alcanza la conclusión de que la Ley del Parlamento de Cataluña 10/2014, de 26 de septiembre, regula —bajo la denominación de “consultas generales”— una verdadera consulta referendaria, articulada como llamamiento al cuerpo electoral a través del voto. Con ello, el legislador autonómico ha ignorado las consecuencias que se derivan de los arts. 23.1 y 149.1.1 CE en relación con el art. 81.1 CE (regulación por ley orgánica del derecho fundamental de participación en los asuntos públicos), del 92.3 CE (regulación por ley orgánica de las condiciones y procedimiento de las distintas modalidades de referéndum previstas en la Constitución) y del 149.1.32 CE, que atribuye al Estado una competencia exclusiva que, como ya hemos repetido, no se limita a la autorización estatal para la convocatoria de consultas populares por vía de referéndum, sino que “se extiende a la entera disciplina de esa institución, esto es, a su establecimiento y regulación” (STC 31/2010, de 28 de junio, FJ 69).</w:t>
      </w:r>
    </w:p>
    <w:p w:rsidR="0085709A" w:rsidRDefault="0085709A" w:rsidP="0085709A">
      <w:pPr>
        <w:pStyle w:val="TextoNormal"/>
      </w:pPr>
    </w:p>
    <w:p w:rsidR="0085709A" w:rsidRDefault="0085709A" w:rsidP="0085709A">
      <w:pPr>
        <w:pStyle w:val="TextoNormal"/>
      </w:pPr>
      <w:r>
        <w:t xml:space="preserve">Por el contrario, las consultas sectoriales reguladas en la misma Ley presuponen el llamamiento a un sujeto jurídico más restringido que el cuerpo electoral, en cuanto articulan voluntades particulares o colectivas, pero no generales, esto es, no imputables al cuerpo electoral, por lo que son cauces de participación cuya regulación por el legislador autonómico catalán resulta posible en consideración al título competencial establecido en el art. 122 EAC, pues como quedó dicho en la STC 31/2010, de 28 de junio, al juzgar este precepto estatutario: “caben, pues, consultas populares no referendarias mediante las cuales ‘se recaba la opinión de cualquier colectivo sobre cualesquiera asuntos de interés público a través de cualesquiera procedimientos’ distintos de los que cualifican una consulta como referéndum” (FJ 69). Bien entendido, pues, que el colectivo destinatario de la consulta sectorial en ningún caso puede coincidir con el conjunto de personas a quienes se refiere el art. 5.1 de </w:t>
      </w:r>
      <w:r>
        <w:lastRenderedPageBreak/>
        <w:t>la Ley impugnada (sino a sectores de ese conjunto conformados en torno a intereses afectados directamente por el objeto de la pregunta) ni, en definitiva, configurarse de un modo tal que el resultado de la consulta pueda imputarse al conjunto de la ciudadanía o cuerpo electoral.</w:t>
      </w:r>
    </w:p>
    <w:p w:rsidR="0085709A" w:rsidRDefault="0085709A" w:rsidP="0085709A">
      <w:pPr>
        <w:pStyle w:val="TextoNormal"/>
      </w:pPr>
    </w:p>
    <w:p w:rsidR="0085709A" w:rsidRDefault="0085709A" w:rsidP="0085709A">
      <w:pPr>
        <w:pStyle w:val="TextoNormal"/>
      </w:pPr>
      <w:r>
        <w:t>Acontece que el legislador catalán no ha articulado cauces diferenciados para una y otra clase de consultas, sino que, en su generalidad, las disposiciones del título II de la Ley resultan aplicables a ambas. Siendo esto así, nuestro enjuiciamiento habrá de concluir en la declaración de inconstitucionalidad de aquellos preceptos cuya inteligencia esté indisolublemente ligada a los elementos definidores de las consultas generales, quedando a salvo del reproche de inconstitucionalidad tanto los preceptos que sólo guarden relación con las consultas sectoriales como aquellos que, aun inicialmente aplicables a una y otra modalidad de consultas, pudieran permanecer en el texto de la Ley con eficacia circunscrita a las sectoriales.</w:t>
      </w:r>
    </w:p>
    <w:p w:rsidR="0085709A" w:rsidRDefault="0085709A" w:rsidP="0085709A">
      <w:pPr>
        <w:pStyle w:val="TextoNormal"/>
      </w:pPr>
    </w:p>
    <w:p w:rsidR="0085709A" w:rsidRDefault="0085709A" w:rsidP="0085709A">
      <w:pPr>
        <w:pStyle w:val="TextoNormal"/>
      </w:pPr>
      <w:r>
        <w:t>Proyectadas estas consideraciones sobre los preceptos objeto de la impugnación, debe apreciarse la inconstitucionalidad y nulidad de las dos primeras frases del art. 3.3 de la Ley, por razón de instituir y definir las mencionadas consultas generales; y los apartados 4 a 9 del art. 16 de la Ley, al regular la constitución y designación de los miembros de las comisiones de seguimiento de las consultas generales, frente a las propias de las sectoriales, que se lleva a cabo en el apartado 10 del mismo art. 16 de la Ley.</w:t>
      </w:r>
    </w:p>
    <w:p w:rsidR="0085709A" w:rsidRDefault="0085709A" w:rsidP="0085709A">
      <w:pPr>
        <w:pStyle w:val="TextoNormal"/>
      </w:pPr>
    </w:p>
    <w:p w:rsidR="0085709A" w:rsidRDefault="0085709A" w:rsidP="0085709A">
      <w:pPr>
        <w:pStyle w:val="TextoNormal"/>
      </w:pPr>
      <w:r w:rsidRPr="0085709A">
        <w:rPr>
          <w:rStyle w:val="NumeroAFNegritaCaracter"/>
        </w:rPr>
        <w:t>10</w:t>
      </w:r>
      <w:r>
        <w:t>. La segunda parte del escrito del recurso de inconstitucionalidad la destina el Abogado del Estado a razonar la inconstitucionalidad de aquellos preceptos de la Ley que están referidos a las consultas de carácter local —arts. 3.2, en su inciso relativo a los entes locales, 4.3, 10, 12 y 38 de la Ley 10/2014— a los que imputa una contradicción con la legislación orgánica y básica estatal sobre la materia, integrada por la disposición adicional de la Ley Orgánica 2/1980, de 18 de enero, reguladora de las distintas modalidades de referéndum y por el art. 71 de la Ley 7/1985, de 2 de abril, reguladora de las bases del régimen local.</w:t>
      </w:r>
    </w:p>
    <w:p w:rsidR="0085709A" w:rsidRDefault="0085709A" w:rsidP="0085709A">
      <w:pPr>
        <w:pStyle w:val="TextoNormal"/>
      </w:pPr>
    </w:p>
    <w:p w:rsidR="0085709A" w:rsidRDefault="0085709A" w:rsidP="0085709A">
      <w:pPr>
        <w:pStyle w:val="TextoNormal"/>
      </w:pPr>
      <w:r>
        <w:t>La Abogacía del Estado cifra en tres puntos el apartamiento de la normativa autonómica: a) no se exige que el acuerdo municipal de convocatoria de la consulta sea adoptado por mayoría absoluta del Pleno del Ayuntamiento; b) tampoco se prevé que la convocatoria esté precedida de la autorización del Gobierno de la Nación; c) se regulan consultas populares de ámbito supramunicipal, pese a no estar contempladas en la legislación estatal.</w:t>
      </w:r>
    </w:p>
    <w:p w:rsidR="0085709A" w:rsidRDefault="0085709A" w:rsidP="0085709A">
      <w:pPr>
        <w:pStyle w:val="TextoNormal"/>
      </w:pPr>
    </w:p>
    <w:p w:rsidR="0085709A" w:rsidRDefault="0085709A" w:rsidP="0085709A">
      <w:pPr>
        <w:pStyle w:val="TextoNormal"/>
      </w:pPr>
      <w:r>
        <w:t>Por el contrario, las representaciones procesales de la Generalitat de Cataluña y del Parlamento de Cataluña consideran que los preceptos impugnados, al regular consultas populares locales no referendarias, no vulneran la doble reserva de ley orgánica que establece la Constitución en sus arts. 92.3 CE y 81.1 en relación con el art. 23.1 CE, ni las prescripciones de la Ley Orgánica 2/1980, de 18 de enero, o el art. 71 de la Ley 7/1985, de 2 de abril, pues las mismas sólo resultarían aplicables a las consultas populares por vía de referéndum.</w:t>
      </w:r>
    </w:p>
    <w:p w:rsidR="0085709A" w:rsidRDefault="0085709A" w:rsidP="0085709A">
      <w:pPr>
        <w:pStyle w:val="TextoNormal"/>
      </w:pPr>
    </w:p>
    <w:p w:rsidR="0085709A" w:rsidRDefault="0085709A" w:rsidP="0085709A">
      <w:pPr>
        <w:pStyle w:val="TextoNormal"/>
      </w:pPr>
      <w:r>
        <w:t xml:space="preserve">En respuesta a la señalada alegación sobre la vulneración de las competencias del Estado dimanadas del art. 149.1.18 CE, debemos expresar que la disposición adicional de la Ley Orgánica 2/1980, de 18 de enero, reguladora de las distintas modalidades de referéndum, estableció que “las disposiciones de la presente Ley no alcanzan en su regulación a las consultas populares que puedan celebrarse por los Ayuntamientos, relativas a asuntos relevantes </w:t>
      </w:r>
      <w:r>
        <w:lastRenderedPageBreak/>
        <w:t>de índole municipal, en sus respectivos territorios y de acuerdo con la legislación de régimen local, y a salvo, en todo caso, la competencia exclusiva del Estado para su autorización”.</w:t>
      </w:r>
    </w:p>
    <w:p w:rsidR="0085709A" w:rsidRDefault="0085709A" w:rsidP="0085709A">
      <w:pPr>
        <w:pStyle w:val="TextoNormal"/>
      </w:pPr>
    </w:p>
    <w:p w:rsidR="0085709A" w:rsidRDefault="0085709A" w:rsidP="0085709A">
      <w:pPr>
        <w:pStyle w:val="TextoNormal"/>
      </w:pPr>
      <w:r>
        <w:t>La norma de remisión, la Ley 7/1985, de 2 de abril, reguladora de las bases del régimen local, tras proclamar en su art. 18.1 f), el derecho de los vecinos a “pedir la consulta popular en los términos previstos en la Ley”, dispone en el art. 71:</w:t>
      </w:r>
    </w:p>
    <w:p w:rsidR="0085709A" w:rsidRDefault="0085709A" w:rsidP="0085709A">
      <w:pPr>
        <w:pStyle w:val="TextoNormal"/>
      </w:pPr>
    </w:p>
    <w:p w:rsidR="0085709A" w:rsidRDefault="0085709A" w:rsidP="0085709A">
      <w:pPr>
        <w:pStyle w:val="TextoNormal"/>
      </w:pPr>
      <w:r>
        <w:t>“De conformidad con la legislación del Estado y de la Comunidad Autónoma, cuando ésta tenga competencia estatutariamente atribuida para ello, los Alcaldes, previo acuerdo por mayoría absoluta del Pleno y autorización del Gobierno de la Nación, podrán someter a consulta popular aquellos asuntos de la competencia propia municipal y de carácter local que sean de especial relevancia para los intereses de los vecinos, con excepción de los relativos a la Hacienda local.”</w:t>
      </w:r>
    </w:p>
    <w:p w:rsidR="0085709A" w:rsidRDefault="0085709A" w:rsidP="0085709A">
      <w:pPr>
        <w:pStyle w:val="TextoNormal"/>
      </w:pPr>
    </w:p>
    <w:p w:rsidR="0085709A" w:rsidRDefault="0085709A" w:rsidP="0085709A">
      <w:pPr>
        <w:pStyle w:val="TextoNormal"/>
      </w:pPr>
      <w:r>
        <w:t>Delimitado el marco legal en el que se desenvuelve la alegación de inconstitucionalidad, debemos nuevamente acudir a la distinción entre consultas generales (referendarias) y sectoriales (no referendarias) que acoge la Ley catalana, en razón de que habiendo apreciado ya que todas las consultas generales reguladas en la Ley catalana 10/2014, de 26 de septiembre, cualquiera que sea el ámbito territorial en el que pretendieran celebrarse (autonómico, municipal o supramunicipal), son inconstitucionales —por su carácter referendario— resulta ya innecesario su contraste con el art. 71 LBRL, pues, cumplan o no las exigencias de este precepto estatal las consultas generales de ámbito local contempladas en la Ley impugnada, seguirían siendo inconstitucionales.</w:t>
      </w:r>
    </w:p>
    <w:p w:rsidR="0085709A" w:rsidRDefault="0085709A" w:rsidP="0085709A">
      <w:pPr>
        <w:pStyle w:val="TextoNormal"/>
      </w:pPr>
    </w:p>
    <w:p w:rsidR="0085709A" w:rsidRDefault="0085709A" w:rsidP="0085709A">
      <w:pPr>
        <w:pStyle w:val="TextoNormal"/>
      </w:pPr>
      <w:r>
        <w:t>En relación con las consultas sectoriales que se suscitasen en un ámbito local, debemos reiterar que en la STC 31/2010, de 28 de junio, FJ 69, consideramos que la exclusividad de la competencia atribuida en el art. 122 EAC había de serlo sin perjuicio de la competencia estatal sobre las bases del régimen jurídico de las Administraciones públicas (art. 149.1.18 CE). Reconocido, pues, que el legislador estatal puede regular los aspectos básicos de las consultas sectoriales de ámbito local, aplicando el título competencial que le proporciona el art. 149.1.18 CE, sin embargo el Estado, como hemos señalado, no ha ejercido esta competencia en el art. 71 LBRL invocado por la Abogacía del Estado. Por tanto, respecto de las consultas sectoriales de ámbito local no cabe apreciar, en el ámbito de la presente impugnación, su inconstitucionalidad por infracción del art. 149.1.18 CE.</w:t>
      </w:r>
    </w:p>
    <w:p w:rsidR="0085709A" w:rsidRDefault="0085709A" w:rsidP="0085709A">
      <w:pPr>
        <w:pStyle w:val="TextoNormal"/>
      </w:pPr>
    </w:p>
    <w:p w:rsidR="0085709A" w:rsidRDefault="0085709A" w:rsidP="0085709A">
      <w:pPr>
        <w:pStyle w:val="TextoNormal"/>
      </w:pPr>
      <w:r w:rsidRPr="0085709A">
        <w:rPr>
          <w:rStyle w:val="NumeroAFNegritaCaracter"/>
        </w:rPr>
        <w:t>11</w:t>
      </w:r>
      <w:r>
        <w:t>. Una vez enjuiciados los preceptos impugnados en atención a los motivos de índole competencial, debemos considerar, como ha quedado expuesto en los antecedentes de esta resolución, que en la demanda se censuran también determinados preceptos del título II de la Ley en razón a su contenido material, ciñéndonos, nuevamente, al examen de los reproches que puedan afectar a las consultas sectoriales, pues en relación con las consultas generales ya lo hemos considerado innecesario.</w:t>
      </w:r>
    </w:p>
    <w:p w:rsidR="0085709A" w:rsidRDefault="0085709A" w:rsidP="0085709A">
      <w:pPr>
        <w:pStyle w:val="TextoNormal"/>
      </w:pPr>
    </w:p>
    <w:p w:rsidR="0085709A" w:rsidRDefault="0085709A" w:rsidP="0085709A">
      <w:pPr>
        <w:pStyle w:val="TextoNormal"/>
      </w:pPr>
      <w:r>
        <w:t xml:space="preserve">a) El recurso sostiene que el art. 6.3 de la Ley 10/2014, relativo al registro de participación en consultas populares no referendarias, contradice lo dispuesto en el art. 18.4 CE en relación, especialmente, con el art. 21 de la Ley Orgánica 15/1999, de protección de datos de carácter personal (comunicación de datos entre Administraciones públicas). Dispone dicho art. 6.3 que “la comunicación y actualización de los datos de los registros a que se refiere </w:t>
      </w:r>
      <w:r>
        <w:lastRenderedPageBreak/>
        <w:t>el apartado 2 por parte del órgano responsable no requieren el consentimiento del interesado, de acuerdo con la normativa de protección de datos”.</w:t>
      </w:r>
    </w:p>
    <w:p w:rsidR="0085709A" w:rsidRDefault="0085709A" w:rsidP="0085709A">
      <w:pPr>
        <w:pStyle w:val="TextoNormal"/>
      </w:pPr>
    </w:p>
    <w:p w:rsidR="0085709A" w:rsidRDefault="0085709A" w:rsidP="0085709A">
      <w:pPr>
        <w:pStyle w:val="TextoNormal"/>
      </w:pPr>
      <w:r>
        <w:t xml:space="preserve">Sin embargo, la limitación que para la comunicación de datos entre Administraciones públicas establece el art. 21.1 de la Ley Orgánica 15/1999 tiene como supuesto, según el propio precepto dice, la hipótesis de comunicación de datos a “otras” Administraciones, y tanto el registro de población de Cataluña como el registro de catalanes y catalanas en el exterior (de los que se nutre este registro de participación </w:t>
      </w:r>
      <w:r w:rsidRPr="0085709A">
        <w:rPr>
          <w:i/>
        </w:rPr>
        <w:t>ex</w:t>
      </w:r>
      <w:r>
        <w:t xml:space="preserve"> art. 6.2), forman parte de la estructura administrativa de la Generalitat. No habría, pues, comunicación de datos entre distintas Administraciones, ni indicio, por lo tanto, de que se hubiera afectado, de manera mediata, a lo establecido en el art. 18.4 CE.</w:t>
      </w:r>
    </w:p>
    <w:p w:rsidR="0085709A" w:rsidRDefault="0085709A" w:rsidP="0085709A">
      <w:pPr>
        <w:pStyle w:val="TextoNormal"/>
      </w:pPr>
    </w:p>
    <w:p w:rsidR="0085709A" w:rsidRDefault="0085709A" w:rsidP="0085709A">
      <w:pPr>
        <w:pStyle w:val="TextoNormal"/>
      </w:pPr>
      <w:r>
        <w:t>b) Otra de las infracciones materiales con relevancia constitucional que se expone en la demanda vendría deparada por el apartado 3 del art. 12 de la Ley (decreto de convocatoria), de conformidad con el cual “una vez firmado el decreto de convocatoria de la consulta, las instituciones convocantes deben abrir un período de difusión institucional para garantizar el derecho a la información sobre el objeto y el procedimiento de la consulta”. El Abogado del Estado invoca, al respecto, el art. 68.5 EAC, de conformidad con el cual los actos, disposiciones y normas del Gobierno o de la Administración de la Generalitat deben ser publicados en el “Diari Oficial de la Generalitat de Catalunya”, publicación —dice el precepto— que “es suficiente a todos los efectos para la eficacia de los actos y para la entrada en vigor de las disposiciones generales y las normas”. Entiende el Abogado del Estado que el art. 12.3 de la Ley entraría en contradicción con este precepto estatutario, en la medida en que aquél impone un “deber institucional” y prevé “un efecto jurídico” del decreto de convocatoria “aun antes de su publicación”.</w:t>
      </w:r>
    </w:p>
    <w:p w:rsidR="0085709A" w:rsidRDefault="0085709A" w:rsidP="0085709A">
      <w:pPr>
        <w:pStyle w:val="TextoNormal"/>
      </w:pPr>
    </w:p>
    <w:p w:rsidR="0085709A" w:rsidRDefault="0085709A" w:rsidP="0085709A">
      <w:pPr>
        <w:pStyle w:val="TextoNormal"/>
      </w:pPr>
      <w:r>
        <w:t xml:space="preserve">Sin embargo, el artículo 12.3 no establece que el decreto de convocatoria alcance algún tipo de efecto jurídico antes de su publicación oficial, limitándose, más bien, a imponer </w:t>
      </w:r>
      <w:r w:rsidRPr="0085709A">
        <w:rPr>
          <w:i/>
        </w:rPr>
        <w:t>ex lege</w:t>
      </w:r>
      <w:r>
        <w:t xml:space="preserve"> un deber para los poderes públicos que cita en orden a realizar una determinada actividad material (“difusión institucional”) tras la firma del decreto de convocatoria. Ni esta actividad material incide en la esfera jurídica de los administrados, o de la ciudadanía en general, ni su realización entraña que el decreto produzca efectos jurídicos con anticipación a su publicación en el “Diari Oficial”. El deber impuesto al poder público nace de la Ley, no del decreto de convocatoria.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parcialmente el recurso de inconstitucionalidad interpuesto por el Presidente del Gobierno de la Nación y, en consecuencia:</w:t>
      </w:r>
    </w:p>
    <w:p w:rsidR="0085709A" w:rsidRDefault="0085709A" w:rsidP="0085709A">
      <w:pPr>
        <w:pStyle w:val="TextoNormal"/>
      </w:pPr>
    </w:p>
    <w:p w:rsidR="0085709A" w:rsidRDefault="0085709A" w:rsidP="0085709A">
      <w:pPr>
        <w:pStyle w:val="TextoNormal"/>
      </w:pPr>
      <w:r>
        <w:t>Declarar que</w:t>
      </w:r>
    </w:p>
    <w:p w:rsidR="0085709A" w:rsidRDefault="0085709A" w:rsidP="0085709A">
      <w:pPr>
        <w:pStyle w:val="TextoNormal"/>
      </w:pPr>
    </w:p>
    <w:p w:rsidR="0085709A" w:rsidRDefault="0085709A" w:rsidP="0085709A">
      <w:pPr>
        <w:pStyle w:val="TextoNormal"/>
      </w:pPr>
      <w:r>
        <w:lastRenderedPageBreak/>
        <w:t>1º Son inconstitucionales y nulas las dos primeras frases del art. 3.3 (“las consultas populares no referendarias pueden ser de carácter general o sectorial. Las consultas generales son las abiertas a las personas legitimadas para participar en los términos establecidos en el artículo 5.”) y los apartados 4 a 9 del art. 16 de la Ley del Parlamento de Cataluña 10/2014, de 26 de septiembre, de consultas populares no referendarias y otras formas de participación ciudadana.</w:t>
      </w:r>
    </w:p>
    <w:p w:rsidR="0085709A" w:rsidRDefault="0085709A" w:rsidP="0085709A">
      <w:pPr>
        <w:pStyle w:val="TextoNormal"/>
      </w:pPr>
    </w:p>
    <w:p w:rsidR="0085709A" w:rsidRDefault="0085709A" w:rsidP="0085709A">
      <w:pPr>
        <w:pStyle w:val="TextoNormal"/>
      </w:pPr>
      <w:r>
        <w:t>2º No son inconstitucionales los restantes preceptos impugnados, siempre que se interprete que son aplicables a las consultas sectoriales reguladas en la misma Ley.</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5" w:name="SENTENCIA_2015_32"/>
      <w:r>
        <w:lastRenderedPageBreak/>
        <w:t>SENTENCIA 32/2015, de 25 de febrero de 2015</w:t>
      </w:r>
    </w:p>
    <w:bookmarkEnd w:id="35"/>
    <w:p w:rsidR="0085709A" w:rsidRDefault="0085709A" w:rsidP="0085709A">
      <w:pPr>
        <w:pStyle w:val="TtuloResolucin"/>
      </w:pPr>
      <w:r>
        <w:t>Pleno</w:t>
      </w:r>
    </w:p>
    <w:p w:rsidR="0085709A" w:rsidRDefault="0085709A" w:rsidP="0085709A">
      <w:pPr>
        <w:pStyle w:val="TtuloBOE"/>
      </w:pPr>
      <w:r>
        <w:t>(BOE núm. 64, de 16 de marzo de 2015)</w:t>
      </w:r>
    </w:p>
    <w:p w:rsidR="0085709A" w:rsidRDefault="0085709A" w:rsidP="0085709A">
      <w:pPr>
        <w:pStyle w:val="TextoNormalCentrado"/>
      </w:pPr>
      <w:r>
        <w:t>ECLI:ES:TC:2015:32</w:t>
      </w:r>
    </w:p>
    <w:p w:rsidR="0085709A" w:rsidRDefault="0085709A" w:rsidP="0085709A">
      <w:pPr>
        <w:pStyle w:val="TextoNormalCentrado"/>
      </w:pPr>
    </w:p>
    <w:p w:rsidR="0085709A" w:rsidRDefault="0085709A" w:rsidP="0085709A">
      <w:pPr>
        <w:pStyle w:val="SntesisDescriptiva"/>
      </w:pPr>
      <w:r>
        <w:t>Impugnación de disposiciones autonómicas 5830-2014. Formulada por el Gobierno de la Nación en relación con el Decreto del Presidente de la Generalitat de Cataluña 129/2014, de 27 de septiembre, así como de sus anexos, de convocatoria de la consulta no referendaria sobre el futuro político de Cataluña.</w:t>
      </w:r>
    </w:p>
    <w:p w:rsidR="0085709A" w:rsidRDefault="0085709A" w:rsidP="0085709A">
      <w:pPr>
        <w:pStyle w:val="SntesisDescriptiva"/>
      </w:pPr>
    </w:p>
    <w:p w:rsidR="0085709A" w:rsidRDefault="0085709A" w:rsidP="0085709A">
      <w:pPr>
        <w:pStyle w:val="SntesisAnaltica"/>
      </w:pPr>
      <w:r>
        <w:t>Competencias sobre consultas referendarias: nulidad del Decreto autonómico que convoca una consulta referendaria general (STC 31/2015).</w:t>
      </w:r>
    </w:p>
    <w:p w:rsidR="0085709A" w:rsidRDefault="0085709A" w:rsidP="0085709A">
      <w:pPr>
        <w:pStyle w:val="SntesisAnaltica"/>
      </w:pPr>
    </w:p>
    <w:p w:rsidR="0085709A" w:rsidRDefault="0085709A" w:rsidP="0085709A">
      <w:pPr>
        <w:pStyle w:val="Extracto"/>
      </w:pPr>
      <w:r>
        <w:t>1.</w:t>
      </w:r>
      <w:r>
        <w:tab/>
        <w:t>El Decreto de convocatoria de la consulta no referendaria sobre el futuro político de Cataluña, al convocar una consulta al amparo de lo establecido en la Ley de consultas populares no referendarias y otras formas de participación ciudadana, vulnera las competencias del Estado en materia de referéndum, al haber convocado un referéndum sin la preceptiva autorización estatal, como exige el art. 149.1.32 CE, y sin seguir los procedimientos y garantías constitucionalmente exigidos [FJ 3].</w:t>
      </w:r>
    </w:p>
    <w:p w:rsidR="0085709A" w:rsidRDefault="0085709A" w:rsidP="0085709A">
      <w:pPr>
        <w:pStyle w:val="Extracto"/>
      </w:pPr>
    </w:p>
    <w:p w:rsidR="0085709A" w:rsidRDefault="0085709A" w:rsidP="0085709A">
      <w:pPr>
        <w:pStyle w:val="Extracto"/>
      </w:pPr>
      <w:r>
        <w:t>2.</w:t>
      </w:r>
      <w:r>
        <w:tab/>
        <w:t>La norma impugnada, al llamar a participar a los mayores de dieciséis años que tengan la condición política de catalanes y a los extranjeros que sean también mayores de dieciséis años y cumplan con determinados requisitos es la convocatoria a una consulta referendaria, incurre en las mismas infracciones constitucionales en las que incurre la Ley de consultas populares no referendarias y otras formas de participación ciudadana, declarada inconstitucional en la STC 31/2015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la impugnación de disposiciones autonómicas (título V de la Ley Orgánica del Tribunal Constitucional) núm. 5830-2014, promovida por el Abogado del Estado, en representación del Gobierno, contra el Decreto 129/2014, de 27 de septiembre, del Presidente de la </w:t>
      </w:r>
      <w:r>
        <w:lastRenderedPageBreak/>
        <w:t>Generalitat de Cataluña, así como de sus anexos, de convocatoria de la consulta no referendaria sobre el futuro político de Cataluña publicado en el Anexo al Diario Oficial de la Generalitat de Cataluña de 27 de septiembre de 2014. Han comparecido y formulado alegaciones en representación del Gobierno de la Generalitat los Abogados don Xavier Castrillo Gutierrez, doña Roser Revilla Ariet y don Ramón Riu Fortuny. Ha sido Ponente el Magistrado don Juan Antonio Xiol Ríos,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29 de septiembre de 2014, el Abogado del Estado, en representación del Gobierno, al amparo de los arts. 161.2 CE y 76 y 77 de la Ley Orgánica del Tribunal Constitucional (LOTC), impugnó el Decreto del Presidente de la Generalitat de Cataluña 129/2014, de 27 de septiembre, así como sus anexos, de convocatoria de la consulta no referendaria sobre el futuro político de Cataluña, publicada en el anexo al “Diario Oficial de la Generalitat de Cataluña” de 27 de septiembre de 2014.</w:t>
      </w:r>
    </w:p>
    <w:p w:rsidR="0085709A" w:rsidRDefault="0085709A" w:rsidP="0085709A">
      <w:pPr>
        <w:pStyle w:val="TextoNormal"/>
      </w:pPr>
    </w:p>
    <w:p w:rsidR="0085709A" w:rsidRDefault="0085709A" w:rsidP="0085709A">
      <w:pPr>
        <w:pStyle w:val="TextoNormal"/>
      </w:pPr>
      <w:r>
        <w:t>En el escrito se hace expresa invocación del art. 161.2 CE y del segundo inciso del art. 77 LOTC, a los efectos de que se acuerde la suspensión de la disposición recurrida.</w:t>
      </w:r>
    </w:p>
    <w:p w:rsidR="0085709A" w:rsidRDefault="0085709A" w:rsidP="0085709A">
      <w:pPr>
        <w:pStyle w:val="TextoNormal"/>
      </w:pPr>
    </w:p>
    <w:p w:rsidR="0085709A" w:rsidRDefault="0085709A" w:rsidP="0085709A">
      <w:pPr>
        <w:pStyle w:val="TextoNormal"/>
      </w:pPr>
      <w:r w:rsidRPr="0085709A">
        <w:rPr>
          <w:rStyle w:val="NumeroAFNegritaCaracter"/>
        </w:rPr>
        <w:t>2</w:t>
      </w:r>
      <w:r>
        <w:t>. La impugnación se funda en los motivos que a continuación, sucintamente, se resumen.</w:t>
      </w:r>
    </w:p>
    <w:p w:rsidR="0085709A" w:rsidRDefault="0085709A" w:rsidP="0085709A">
      <w:pPr>
        <w:pStyle w:val="TextoNormal"/>
      </w:pPr>
    </w:p>
    <w:p w:rsidR="0085709A" w:rsidRDefault="0085709A" w:rsidP="0085709A">
      <w:pPr>
        <w:pStyle w:val="TextoNormal"/>
      </w:pPr>
      <w:r>
        <w:t>El Abogado del Estado, tras exponer el contenido del Decreto impugnado y de su anexo I, aduce como fundamento preliminar de su impugnación que la convocatoria por la Generalitat de un referéndum en el ámbito territorial de Cataluña que tiene como objeto que el pueblo catalán se pronuncie sobre si quiere que Cataluña sea un Estado independiente es una cuestión que afecta directamente a la unidad de la Nación Española y vulnera los arts. 1.2, 2, 9.1 y 168 CE. Junto a ello alega que el Decreto recurrido, dictado en desarrollo de la Ley del Parlamento de Cataluña 10/2014, de 26 de septiembre, de consultas populares no referendarias y otras formas de participación ciudadana, incurre en las mismas infracciones constitucionales en las que, a su juicio, incurre la referida Ley, al recoger materialmente la regulación de un referéndum sobre el futuro político de Cataluña.</w:t>
      </w:r>
    </w:p>
    <w:p w:rsidR="0085709A" w:rsidRDefault="0085709A" w:rsidP="0085709A">
      <w:pPr>
        <w:pStyle w:val="TextoNormal"/>
      </w:pPr>
    </w:p>
    <w:p w:rsidR="0085709A" w:rsidRDefault="0085709A" w:rsidP="0085709A">
      <w:pPr>
        <w:pStyle w:val="TextoNormal"/>
      </w:pPr>
      <w:r>
        <w:t>El representante del Gobierno considera que el Decreto impugnado intenta encubrir la convocatoria de un referéndum sobre una cuestión que afecta a la unidad de la Nación española. A su juicio, el Decreto 129/2014 pretende dar cobertura constitucional a lo que es materialmente un referéndum de reforma constitucional, pues entiende que, según se deduce de su exposición de motivos, la consulta sobre el futuro político de Cataluña constituye una fase o trámite previo al ejercicio por parte de la Generalitat de Cataluña de las competencias estatutarias y constitucionales para promover una reforma constitucional al amparo del art. 61 del Estatuto de Autonomía de Cataluña (EAC) y los arts. 87 y 166 CE. En opinión del representante del Gobierno de la Nación, este trámite previo se concreta en una especie de iniciativa popular catalana vía referéndum para la reforma constitucional que considera, conforme a la doctrina establecida en la STC 76/1994, de 14 de marzo, FJ 5, constitucionalmente vedada.</w:t>
      </w:r>
    </w:p>
    <w:p w:rsidR="0085709A" w:rsidRDefault="0085709A" w:rsidP="0085709A">
      <w:pPr>
        <w:pStyle w:val="TextoNormal"/>
      </w:pPr>
    </w:p>
    <w:p w:rsidR="0085709A" w:rsidRDefault="0085709A" w:rsidP="0085709A">
      <w:pPr>
        <w:pStyle w:val="TextoNormal"/>
      </w:pPr>
      <w:r>
        <w:lastRenderedPageBreak/>
        <w:t>Se alega además que el Decreto impugnado es contrario a la Constitución al convocar un referéndum sobre una cuestión que afecta al conjunto del pueblo español en el que solo pueden participar los ciudadanos de Cataluña.</w:t>
      </w:r>
    </w:p>
    <w:p w:rsidR="0085709A" w:rsidRDefault="0085709A" w:rsidP="0085709A">
      <w:pPr>
        <w:pStyle w:val="TextoNormal"/>
      </w:pPr>
    </w:p>
    <w:p w:rsidR="0085709A" w:rsidRDefault="0085709A" w:rsidP="0085709A">
      <w:pPr>
        <w:pStyle w:val="TextoNormal"/>
      </w:pPr>
      <w:r>
        <w:t>Efectuadas las anteriores consideraciones preliminares, el Abogado del Estado se refiere a los requisitos de admisibilidad y entiende que estos requisitos se cumplen. En relación con los motivos de impugnación, señala que si bien el Tribunal ha admitido principalmente el uso de esta vía cuando se alegan infracciones constitucionales no competenciales, también ha aceptado que se pueda tramitar por cauce impugnaciones basadas en la infracción de normas (STC 184/1996, de 14 de noviembre). Por ello considera que el procedimiento regulado en el título V LOTC es el que debe seguirse en un supuesto como el que plantea el Decreto impugnado, que incurre en infracciones constitucionales tanto competenciales como no competenciales, pues de otro modo no existiría un proceso constitucional que permitiera impugnar las disposiciones normativas autonómicas de rango infralegal cuando incurriesen en ambos tipos de infracciones.</w:t>
      </w:r>
    </w:p>
    <w:p w:rsidR="0085709A" w:rsidRDefault="0085709A" w:rsidP="0085709A">
      <w:pPr>
        <w:pStyle w:val="TextoNormal"/>
      </w:pPr>
    </w:p>
    <w:p w:rsidR="0085709A" w:rsidRDefault="0085709A" w:rsidP="0085709A">
      <w:pPr>
        <w:pStyle w:val="TextoNormal"/>
      </w:pPr>
      <w:r>
        <w:t>Una vez puesto de manifiesto que la impugnación cumple los requisitos procesales, el representante del Gobierno de la Nación expone con detalle las vulneraciones constitucionales en las que, en su opinión, incurre el Decreto impugnado. Se refiere, en primer lugar, a las infracciones constitucionales de carácter no competencial:</w:t>
      </w:r>
    </w:p>
    <w:p w:rsidR="0085709A" w:rsidRDefault="0085709A" w:rsidP="0085709A">
      <w:pPr>
        <w:pStyle w:val="TextoNormal"/>
      </w:pPr>
    </w:p>
    <w:p w:rsidR="0085709A" w:rsidRDefault="0085709A" w:rsidP="0085709A">
      <w:pPr>
        <w:pStyle w:val="TextoNormal"/>
      </w:pPr>
      <w:r>
        <w:t>a) Se aduce la vulneración del art. 1.2 CE en el que se establece que “la soberanía nacional reside en el pueblo español del que emanan todos los poderes del Estado”. Según se alega, esta infracción de la Constitución se produce porque el Decreto impugnado considera soberano al pueblo catalán o a una parte del mismo atribuyéndole la capacidad de ser consultado de manera autónoma y diferenciada sobre cuestiones que afectan a la unidad de la nación española (la independencia de Cataluña, art. 3 del Decreto impugnado). Esta alegación la fundamenta en la doctrina constitucional establecida, entre otras, en las SSTC 103/2008, de 11 de septiembre, FJ 4; 31/2010, de 28 de junio, FFJJ 8 a 11, y 42/2014, de 25 de marzo, FJ 3.</w:t>
      </w:r>
    </w:p>
    <w:p w:rsidR="0085709A" w:rsidRDefault="0085709A" w:rsidP="0085709A">
      <w:pPr>
        <w:pStyle w:val="TextoNormal"/>
      </w:pPr>
    </w:p>
    <w:p w:rsidR="0085709A" w:rsidRDefault="0085709A" w:rsidP="0085709A">
      <w:pPr>
        <w:pStyle w:val="TextoNormal"/>
      </w:pPr>
      <w:r>
        <w:t>b) Se considera también que el Decreto 129/2014 es contrario al art. 2 CE, en el que se establece que “[l]a Constitución se fundamenta en la indisoluble unidad de la Nación española, patria común e indivisible de todos los españoles”. Esta alegación se fundamenta en la doctrina establecida en la STC 103/2008, de 11 de septiembre, FJ 4.</w:t>
      </w:r>
    </w:p>
    <w:p w:rsidR="0085709A" w:rsidRDefault="0085709A" w:rsidP="0085709A">
      <w:pPr>
        <w:pStyle w:val="TextoNormal"/>
      </w:pPr>
    </w:p>
    <w:p w:rsidR="0085709A" w:rsidRDefault="0085709A" w:rsidP="0085709A">
      <w:pPr>
        <w:pStyle w:val="TextoNormal"/>
      </w:pPr>
      <w:r>
        <w:t xml:space="preserve">c) Se aduce la infracción del art. 168 CE, que regula el procedimiento de reforma constitucional. Se alega que el reconocimiento de un nuevo sujeto soberano en el pueblo catalán requiere una previa decisión constituyente políticamente imputable al soberano constitucional (“el pueblo español”, art. 1.2 CE). Así se deriva, según sostiene el Abogado del Estado, de la doctrina establecida en las SSTC 103/2008, de 11 de septiembre, FJ 4 y 31/2010, de 28 de junio, FJ 12. A su juicio, si bien nuestra Constitución no prohíbe el paso de la ‘Nación española, patria común e indivisible de todos los españoles’ al ‘Estado de varias naciones’ cada una con derecho a decidir o autodeterminarse, este paso ha de ser el producto de una decisión del pueblo español, titular de la soberanía nacional, lograda con la estricta y rigurosa observancia de cuanto dispone el art. 168 CE, aplicado con el más absoluto respeto a los principios de la propia Constitución que se quiere cambiar. Por ello, considera que el reconocimiento de un nuevo sujeto soberano en el pueblo catalán —sujeto con capacidad </w:t>
      </w:r>
      <w:r>
        <w:lastRenderedPageBreak/>
        <w:t>para autodeterminarse políticamente— requiere una previa decisión del constituyente, políticamente imputable al soberano constitucional (“el pueblo español”, art. 1.2 CE) y ha de encauzarse a través del procedimiento del art. 168, sin que pueda dilucidarse en un referéndum en el que solo participan los ciudadanos de la Comunidad Autónoma catalana.</w:t>
      </w:r>
    </w:p>
    <w:p w:rsidR="0085709A" w:rsidRDefault="0085709A" w:rsidP="0085709A">
      <w:pPr>
        <w:pStyle w:val="TextoNormal"/>
      </w:pPr>
    </w:p>
    <w:p w:rsidR="0085709A" w:rsidRDefault="0085709A" w:rsidP="0085709A">
      <w:pPr>
        <w:pStyle w:val="TextoNormal"/>
      </w:pPr>
      <w:r>
        <w:t>d) También se sostiene que el Decreto 129/2014 infringe el art. 9.1 CE. El Abogado del Estado considera que este Decreto es un acto de visible insumisión a la Constitución Española. Según sostiene esta parte procesal, la libertad de un Parlamento o de un Gobierno autonómico para elegir políticas está jurídicamente limitada por la Constitución y el Estatuto de Autonomía. Todo ello sin perjuicio de que a través de los procedimientos adecuados y por quien esté legitimado pueda iniciar un proceso de reforma constitucional.</w:t>
      </w:r>
    </w:p>
    <w:p w:rsidR="0085709A" w:rsidRDefault="0085709A" w:rsidP="0085709A">
      <w:pPr>
        <w:pStyle w:val="TextoNormal"/>
      </w:pPr>
    </w:p>
    <w:p w:rsidR="0085709A" w:rsidRDefault="0085709A" w:rsidP="0085709A">
      <w:pPr>
        <w:pStyle w:val="TextoNormal"/>
      </w:pPr>
      <w:r>
        <w:t>e) Por último, en relación con las vulneraciones de carácter no competencial, se imputa al Decreto impugnado la lesión de los arts. 1 y 2.4 EAC, en los términos que han sido interpretados por la STC 31/2010, FFJJ 8 y 9. El Abogado del Estado sostiene que no es acorde con los referidos preceptos estatutarios considerar soberano al pueblo de Cataluña, pues el art. 1 EAC que establece que Cataluña “ejerce su autogobierno constituida en Comunidad Autónoma de acuerdo con la Constitución y con el presente Estatuto, que es su norma institucional básica” y el art. 2.4 EAC, que dispone que los poderes de la Generalitat “emanan del pueblo catalán y se ejercen de acuerdo con este Estatuto y la Constitución”, traen causa de la Constitución y, en consecuencia, es contrario a los mismos crear un sujeto jurídico que entre en competencia con el soberano pueblo español (STC 31/2010, de 28 de junio, FJ 9). El Abogado del Estado entiende que sin el acto de soberanía del pueblo español que reconoció el derecho a la autonomía de las nacionalidades y regiones (arts. 2 y 137 CE) no existiría un pueblo catalán como sujeto jurídico y político del derecho a la autonomía.</w:t>
      </w:r>
    </w:p>
    <w:p w:rsidR="0085709A" w:rsidRDefault="0085709A" w:rsidP="0085709A">
      <w:pPr>
        <w:pStyle w:val="TextoNormal"/>
      </w:pPr>
    </w:p>
    <w:p w:rsidR="0085709A" w:rsidRDefault="0085709A" w:rsidP="0085709A">
      <w:pPr>
        <w:pStyle w:val="TextoNormal"/>
      </w:pPr>
      <w:r>
        <w:t>Por lo que se refiere a las infracciones de orden competencial, el Abogado del Estado considera que el Decreto impugnado, al contener la convocatoria de un referéndum, vulnera, por una parte, los arts. 149.1.18 y 149.1. 32 CE y, por otra, la reserva de Ley Orgánica contenida en el art. 81 CE en relación con los arts. 13, 18, 23, y 92.3 CE.</w:t>
      </w:r>
    </w:p>
    <w:p w:rsidR="0085709A" w:rsidRDefault="0085709A" w:rsidP="0085709A">
      <w:pPr>
        <w:pStyle w:val="TextoNormal"/>
      </w:pPr>
    </w:p>
    <w:p w:rsidR="0085709A" w:rsidRDefault="0085709A" w:rsidP="0085709A">
      <w:pPr>
        <w:pStyle w:val="TextoNormal"/>
      </w:pPr>
      <w:r>
        <w:t xml:space="preserve">El Abogado del Estado, además de remitirse a las consideraciones expuestas en el escrito por el que interpuso recurso de inconstitucionalidad contra algunos preceptos de la Ley del Parlamento de Cataluña 10/2014, de 26 de septiembre de consultas populares no referendarias y participación ciudadana (recurso de inconstitucionalidad núm. 589-2014), aduce que la consulta convocada es un referéndum porque supone el ejercicio del derecho de participación política consagrado en el art. 23 CE. A su juicio, esta consulta, tanto por la enorme trascendencia de las preguntas formuladas, de carácter puramente político y cuyo alcance es una cuestión esencial —la independencia de Cataluña respecto de España—, como por trascender claramente del ámbito de las competencias autonómicas no puede encajarse en el ámbito del derecho a la participación ciudadana ordinaria o administrativa. En su opinión, el objeto de la consulta es una manifestación del derecho de participación política consagrado en el art. 23 CE y constituye una manifestación clara de democracia directa por transferirse al pueblo catalán una función propia, en nuestro sistema de democracia representativa, de los representantes políticos. Por ello considera que, de acuerdo con la doctrina establecida en la STC 103/2008, de 11 de septiembre, no cabe la menor duda de que la consulta convocada no puede considerarse amparada por el art. 122 EAC, ya que se trata de un auténtico referéndum, cuya regulación y convocatoria corresponde exclusivamente al Estado </w:t>
      </w:r>
      <w:r>
        <w:lastRenderedPageBreak/>
        <w:t>en virtud de los arts. 23, 92 y 149.1.32 CE, sin que quepa sobre esta materia ninguna competencia implícita.</w:t>
      </w:r>
    </w:p>
    <w:p w:rsidR="0085709A" w:rsidRDefault="0085709A" w:rsidP="0085709A">
      <w:pPr>
        <w:pStyle w:val="TextoNormal"/>
      </w:pPr>
    </w:p>
    <w:p w:rsidR="0085709A" w:rsidRDefault="0085709A" w:rsidP="0085709A">
      <w:pPr>
        <w:pStyle w:val="TextoNormal"/>
      </w:pPr>
      <w:r>
        <w:t>Estas consideraciones llevan al Abogado del Estado a entender que los arts. 1, 2 y 3 del Decreto 129/2014 son contrarios a la Constitución. En su opinión, el art. 1 es inconstitucional al convocar el Presidente de la Generalitat una consulta de carácter referendario sin tener competencias para ello. El art. 2, que se refiere al objeto de la consulta, y el art. 3, que establece la pregunta que se formula, infringen también, a su juicio, la Constitución, pues considera que someter a consulta si Cataluña quiere ser un Estado independiente, que es, en su opinión, el verdadero objeto de la misma (conocer la voluntad de los votantes sobre el futuro político de Cataluña, es, a su, juicio, su finalidad), es, por el contenido de la cuestión consultada, una materia que, por su especial trascendencia, es propia de una consulta referendaria. A esta conclusión se llega igualmente, según aduce el representante del Gobierno, aunque se considere que lo que se está preguntando a los ciudadanos de Cataluña es si quieren que el Parlamento, a través de los cauces constitucionales, inicie el proceso de reforma constitucional que permita a Cataluña ser independiente, pues aunque así se entendiera la cuestión planteada seguiría siendo referendaria dada la trascendencia de la misma.</w:t>
      </w:r>
    </w:p>
    <w:p w:rsidR="0085709A" w:rsidRDefault="0085709A" w:rsidP="0085709A">
      <w:pPr>
        <w:pStyle w:val="TextoNormal"/>
      </w:pPr>
    </w:p>
    <w:p w:rsidR="0085709A" w:rsidRDefault="0085709A" w:rsidP="0085709A">
      <w:pPr>
        <w:pStyle w:val="TextoNormal"/>
      </w:pPr>
      <w:r>
        <w:t>Se aduce también que la consulta convocada reúne las demás características definitorias del referéndum según la jurisprudencia constitucional (STC 103/2008, de 11 de septiembre). El Abogado del Estado pone de manifiesto que, de acuerdo con esta doctrina, las consultas de carácter referendario se caracterizan porque el sujeto consultado es el cuerpo electoral, la consulta se lleva por la Administración electoral y a través de los procedimientos y garantías electorales; características todas ellas que cumple el Decreto 129/2014. El art. 5 de este Decreto, que desarrolla los arts. 23 a 29 de la Ley 10/2014, regula las modalidades y periodos de votación; el art. 6 se refiere a la participación de las organizaciones y sociales y profesionales interesadas y a la comisión de control, como órgano autonómico de Administración electoral, cuya composición y funciones regula la Ley 10/2014 y en el art. 7 del Decreto se establecen unas reglas específica de la consulta, que se incluyen como anexo I de este Decreto. En este anexo se detalla la regulación contenida en la Ley 19/2014 sobre la difusión institucional de la consulta, la campaña y debate público, el régimen jurídico de la utilización de los espacios públicos e informativos en los medios de comunicación (arts. 1, 2 y 3 de dicho anexo), también prevé las modalidades de votación y sus respectivas reglas de validez y funcionamiento (arts. 10 a 14 del anexo 1); las sedes de la comisión de control y de la comisión de seguimiento, reproduciendo algunas de sus funciones establecidas en la Ley 10/2014 y determinando los recursos humanos y materiales de los que van a disponer estas Comisiones. Junto a ello establece la designación y constitución de las mesas de consulta y la designación de sus miembros (arts. 4, 5, 6, 7 del anexo 1). Las reglas establecidas en tales preceptos y las previstas en los artículos siguientes del anexo 1 del Decreto 129/2014 (arts. 15 a 26 del anexo 1) desarrollan, según aduce el Abogado del Estado, el procedimiento electoral establecido en la Ley 10/2014.</w:t>
      </w:r>
    </w:p>
    <w:p w:rsidR="0085709A" w:rsidRDefault="0085709A" w:rsidP="0085709A">
      <w:pPr>
        <w:pStyle w:val="TextoNormal"/>
      </w:pPr>
    </w:p>
    <w:p w:rsidR="0085709A" w:rsidRDefault="0085709A" w:rsidP="0085709A">
      <w:pPr>
        <w:pStyle w:val="TextoNormal"/>
      </w:pPr>
      <w:r>
        <w:t xml:space="preserve">Por otra parte, se alega que aunque la consulta no se lleva a cabo por la Administración electoral general, se va realizar mediante una estructura administrativa propia que se asemeja mucho a aquella y que tiene también unas funciones similares. Por ello se considera el Decreto impugnado incide en la competencia exclusiva del Estado para establecer las bases del régimen jurídico de las Administraciones públicas. El Abogado del Estado sostiene también que el art. 4 del Decreto impugnado y el art 9 del anexo 1, que lo desarrolla, vulneran </w:t>
      </w:r>
      <w:r>
        <w:lastRenderedPageBreak/>
        <w:t>las competencias del Estado, pues, por una parte, otorga el derecho de participación en un proceso electoral a categorías de personas (mayores de dieciséis años y extranjeros) que no coinciden con las previsiones de la Ley Orgánica del régimen electoral general y, por otra, crea un registro de participación paralelo al censo electoral, que también vulnera las competencias del Estado para configurar el censo electoral.</w:t>
      </w:r>
    </w:p>
    <w:p w:rsidR="0085709A" w:rsidRDefault="0085709A" w:rsidP="0085709A">
      <w:pPr>
        <w:pStyle w:val="TextoNormal"/>
      </w:pPr>
    </w:p>
    <w:p w:rsidR="0085709A" w:rsidRDefault="0085709A" w:rsidP="0085709A">
      <w:pPr>
        <w:pStyle w:val="TextoNormal"/>
      </w:pPr>
      <w:r>
        <w:t>También se sostiene que la creación de este registro de participación conllevaría, además, una vulneración del derecho a la protección de datos que garantiza el art. 18.4 CE. En su opinión, la ampliación de la utilización de otros datos contenidos en otros registros públicos a fines electorales, sin consentimiento de los interesados es contrario al régimen establecido en la Ley Orgánica 15/1999, de 13 de diciembre, de protección de datos de carácter personal, al vulnerar el principio de finalidad en la utilización de los datos, establecido para el caso de transmisión de datos entre Administraciones públicas en su art. 21.</w:t>
      </w:r>
    </w:p>
    <w:p w:rsidR="0085709A" w:rsidRDefault="0085709A" w:rsidP="0085709A">
      <w:pPr>
        <w:pStyle w:val="TextoNormal"/>
      </w:pPr>
    </w:p>
    <w:p w:rsidR="0085709A" w:rsidRDefault="0085709A" w:rsidP="0085709A">
      <w:pPr>
        <w:pStyle w:val="TextoNormal"/>
      </w:pPr>
      <w:r>
        <w:t>Por último se afirma que la participación política de los extranjeros en consultas referendarias infringe también el art. 13.2 CE, pues este precepto solo reconoce el derecho de participación política de los extranjeros en el caso de las elecciones municipales.</w:t>
      </w:r>
    </w:p>
    <w:p w:rsidR="0085709A" w:rsidRDefault="0085709A" w:rsidP="0085709A">
      <w:pPr>
        <w:pStyle w:val="TextoNormal"/>
      </w:pPr>
    </w:p>
    <w:p w:rsidR="0085709A" w:rsidRDefault="0085709A" w:rsidP="0085709A">
      <w:pPr>
        <w:pStyle w:val="TextoNormal"/>
      </w:pPr>
      <w:r>
        <w:t>El Abogado del Estado concluye su escrito de alegaciones solicitando del Pleno del Tribunal la admisión de esta impugnación y que tras los trámites legales dicte en su día Sentencia por la que se declare inconstitucional y nulo el Decreto 129/2014, de 27 de septiembre, del Presidente de la Generalitat de Cataluña de convocatoria de una consulta popular no referendaria sobre el futuro político de Cataluña así como sus anexos. Por otrosí, habiendo invocado expresamente el art. 161.2 CE, solicita, de conformidad con lo previsto en el citado art. 161.2 CE y 77 LOTC, que se declare suspendida la disposición impugnada así como sus anexos y las restantes actuaciones de preparación, realizadas o procedentes, para la convocatoria de dicha consulta, así como de cualquier actuación vinculada a la referida consulta desde la fecha de interposición de esta impugnación, comunicándoselo al Presidente de la Generalitat de Cataluña como “órgano autonómico correspondiente” en tanto que autor del acto que es objeto de este proceso constitucional (art. 64.1 LOTC en relación con el primer inciso del art. 77 LOTC) y ordenando publicar la suspensión en los periódicos oficiales autonómico y estatal para que alcance conocimiento y eficacia general respecto de cualesquiera terceros (art. 64.4 LOTC, en relación con el primer inciso del art. 77 LOTC).</w:t>
      </w:r>
    </w:p>
    <w:p w:rsidR="0085709A" w:rsidRDefault="0085709A" w:rsidP="0085709A">
      <w:pPr>
        <w:pStyle w:val="TextoNormal"/>
      </w:pPr>
    </w:p>
    <w:p w:rsidR="0085709A" w:rsidRDefault="0085709A" w:rsidP="0085709A">
      <w:pPr>
        <w:pStyle w:val="TextoNormal"/>
      </w:pPr>
      <w:r w:rsidRPr="0085709A">
        <w:rPr>
          <w:rStyle w:val="NumeroAFNegritaCaracter"/>
        </w:rPr>
        <w:t>3</w:t>
      </w:r>
      <w:r>
        <w:t>. El Pleno del Tribunal, por providencia de 29 de septiembre de 2014, acordó admitir a trámite la impugnación; dar traslado de la demanda y documentos presentados al Gobierno de la Generalitat de Cataluña, al objeto de que, en el plazo de veinte días, pudiera personarse en el proceso y formular las alegaciones que estimase convenientes; tener por invocado por el Gobierno el art. 161.2 CE, lo que, a su tenor y conforme dispone el art. 77 LOTC, produjo la suspensión de la resolución impugnada para las partes desde la fecha de interposición del recurso, que fue el día 29 de septiembre de 2014, y para los terceros desde su publicación en el “Boletín Oficial del Estado”, que fue 30 de septiembre de 2014. Por último se acordó comunicar al Presidente de la Generalitat de Cataluña la providencia y publicar la incoación del proceso en el “Boletín Oficial del Estado” y en el “Diari Oficial de la Generalitat” de Catalunya.</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El 1 de octubre de 2014 la Generalitat de Cataluña presentó un escrito por el que solicitaba que se la tuviera por comparecida y parte en el presente proceso constitucional y </w:t>
      </w:r>
      <w:r>
        <w:lastRenderedPageBreak/>
        <w:t>que acordase el inmediato levantamiento de la suspensión del Decreto impugnado así como de las restantes actuaciones de preparación de convocatoria la referida consulta o vinculadas a ella con el fin de que recuperasen su plena eficacia y aplicación.</w:t>
      </w:r>
    </w:p>
    <w:p w:rsidR="0085709A" w:rsidRDefault="0085709A" w:rsidP="0085709A">
      <w:pPr>
        <w:pStyle w:val="TextoNormal"/>
      </w:pPr>
    </w:p>
    <w:p w:rsidR="0085709A" w:rsidRDefault="0085709A" w:rsidP="0085709A">
      <w:pPr>
        <w:pStyle w:val="TextoNormal"/>
      </w:pPr>
      <w:r>
        <w:t>Esta petición se fundamenta en que el Tribunal Constitucional puede acordar el levantamiento automático de la suspensión aunque no hayan transcurrido los cinco meses desde que se acordó. Se alega, por una parte, la presunción de legitimidad de las leyes y, por otra, los intereses perjudicados por la suspensión. Entiende la Generalitat que el mantenimiento de la suspensión del Decreto 129/2014 debe ser excepcional y para que proceda sería preciso que la parte actora acreditara que la vigencia de los preceptos produciría unos perjuicios muy graves e irreparables al interés general o a tercero, por lo que considera que, salvo que esos graves prejuicios se produjeran, debe acordarse el levantamiento de la suspensión acordada en virtud del principio de presunción de legitimidad de las normas.</w:t>
      </w:r>
    </w:p>
    <w:p w:rsidR="0085709A" w:rsidRDefault="0085709A" w:rsidP="0085709A">
      <w:pPr>
        <w:pStyle w:val="TextoNormal"/>
      </w:pPr>
    </w:p>
    <w:p w:rsidR="0085709A" w:rsidRDefault="0085709A" w:rsidP="0085709A">
      <w:pPr>
        <w:pStyle w:val="TextoNormal"/>
      </w:pPr>
      <w:r>
        <w:t>Según sostiene la Generalitat, la eficacia del Decreto impugnado no causaría ningún perjuicio ni al interés general ni menoscabaría otros preceptos, valores, principios, intereses o bienes constitucionalmente protegidos. En su opinión, tanto la Ley de Cataluña 10/2014, como el Decreto ahora impugnado —dictado en desarrollo de la referida Ley— pretenden dar efectividad al principio democrático y establecer cauces de participación de ciudadana y de este modo atender al clamor masivo de la ciudadanía catalana que pide ser consultada sobre el futuro político de Cataluña. Según se aduce, la gran mayoría de los Estados existentes con regímenes políticos de democracia liberal cuentan con instrumentos legales para llevar a cabo consultas referendarias y no referendarias. A juicio de la Generalitat, las consultas populares constituyen un instrumento a través del cual se permite el ejercicio de derechos individuales de los ciudadanos y sirven a los valores de libertad, igualdad, pluralismo político así como al principio democrático. También se sostiene que en los sistemas federales y estados compuestos este tipo de consultas pueden servir a los principios igualitarios e inclusivos y a los derechos colectivos de los ciudadanos y se citan estudios en los que se pone de manifiesto que en tales países (Alemania, Bélgica, Canadá, Dinamarca, Francia Irlanda, Italia, Reino Unido, Suiza y Suecia) se han realizado más de noventa y nueve consultas sobre cuestiones de alcance institucional o constitucional, y en cuarenta y cinco de ellas ha tenido como consecuencia la realización de reformas del diseño institucional del Estado, una redistribución territorial de las competencias o una cesión de soberanía. Entre estas consultas se hace una expresa referencia al referéndum celebrado en Escocia el pasado 18 de septiembre.</w:t>
      </w:r>
    </w:p>
    <w:p w:rsidR="0085709A" w:rsidRDefault="0085709A" w:rsidP="0085709A">
      <w:pPr>
        <w:pStyle w:val="TextoNormal"/>
      </w:pPr>
    </w:p>
    <w:p w:rsidR="0085709A" w:rsidRDefault="0085709A" w:rsidP="0085709A">
      <w:pPr>
        <w:pStyle w:val="TextoNormal"/>
      </w:pPr>
      <w:r>
        <w:t>De todo ello deduce el Gobierno de Cataluña que tales prácticas ponen de manifiesto que la celebración de consultas no puede conllevar perjuicios graves. De ahí que entienda que, como no existe en la Constitución ningún precepto que de forma explícita impida la celebración de consultas populares, mantener que en el ámbito autonómico es constitucionalmente inviable la celebración de este tipo de consultas denota solipsismo y parece un puro ejercicio de autoridad carente de razón y fundamento y fuera del contexto de muchos otros Estados democráticos de nuestro entono.</w:t>
      </w:r>
    </w:p>
    <w:p w:rsidR="0085709A" w:rsidRDefault="0085709A" w:rsidP="0085709A">
      <w:pPr>
        <w:pStyle w:val="TextoNormal"/>
      </w:pPr>
    </w:p>
    <w:p w:rsidR="0085709A" w:rsidRDefault="0085709A" w:rsidP="0085709A">
      <w:pPr>
        <w:pStyle w:val="TextoNormal"/>
      </w:pPr>
      <w:r>
        <w:t xml:space="preserve">Se pone de manifiesto, por otra parte, que, de acuerdo con los datos que ofrecen los análisis del Centro de Investigaciones Sociológicas, en los últimos diez años el grado de valoración satisfacción y funcionamiento de la democracia en España ha bajado mucho y </w:t>
      </w:r>
      <w:r>
        <w:lastRenderedPageBreak/>
        <w:t>tales datos denotan una gran desafección hacía las instituciones. Por ello, considera la Generalitat que es preciso establecer cauces a través de los cuales los ciudadanos puedan manifestar sus aspiraciones. Se alega, además, que diversas instancias europeas han recomendado reforzar las instituciones democráticas con mecanismos de democracia directa y que el art. 10.3 del Tratado de la Unión Europea reconoce el derecho de todo ciudadano a participar en la vida democrática de la unión y que en los apartados 1,2 y 3 del art. 11 consagra el denominado “diálogo civil” y en el apartado 4 de este artículo reconoce el derecho de los ciudadanos de la Unión de instar de la Comisión la adopción de una iniciativa legislativa.</w:t>
      </w:r>
    </w:p>
    <w:p w:rsidR="0085709A" w:rsidRDefault="0085709A" w:rsidP="0085709A">
      <w:pPr>
        <w:pStyle w:val="TextoNormal"/>
      </w:pPr>
    </w:p>
    <w:p w:rsidR="0085709A" w:rsidRDefault="0085709A" w:rsidP="0085709A">
      <w:pPr>
        <w:pStyle w:val="TextoNormal"/>
      </w:pPr>
      <w:r>
        <w:t>Se invoca también la Decisión del Tribunal Supremo de Canadá de 20 de agosto de 1998 en la que, según sostiene la Generalitat, se puso de relieve la necesaria interacción, entre la primacía del Derecho y el principio democrático y apeló a la libre expresión de ideas en el debate público.</w:t>
      </w:r>
    </w:p>
    <w:p w:rsidR="0085709A" w:rsidRDefault="0085709A" w:rsidP="0085709A">
      <w:pPr>
        <w:pStyle w:val="TextoNormal"/>
      </w:pPr>
    </w:p>
    <w:p w:rsidR="0085709A" w:rsidRDefault="0085709A" w:rsidP="0085709A">
      <w:pPr>
        <w:pStyle w:val="TextoNormal"/>
      </w:pPr>
      <w:r>
        <w:t>Junto a ello se cita, además, la STC 42/2014, de 25 de marzo, al considerar el Gobierno de Cataluña que, en esta Sentencia, el Tribunal reconoció la conformidad con la Constitución de la referencias al “derecho a decidir” contenidas en la resolución 5/X del Parlamento de Cataluña si se interpretaba de acuerdo con lo declarado en sus fundamentos jurídicos 3 y 4.</w:t>
      </w:r>
    </w:p>
    <w:p w:rsidR="0085709A" w:rsidRDefault="0085709A" w:rsidP="0085709A">
      <w:pPr>
        <w:pStyle w:val="TextoNormal"/>
      </w:pPr>
    </w:p>
    <w:p w:rsidR="0085709A" w:rsidRDefault="0085709A" w:rsidP="0085709A">
      <w:pPr>
        <w:pStyle w:val="TextoNormal"/>
      </w:pPr>
      <w:r>
        <w:t>Alega, por otra parte, la Generalitat que la Ley 10/2014 y la convocatoria de la consulta que efectúa el Decreto 129/2014 refuerzan las instituciones democráticas con instrumentos de participación ciudadana que dan cauce a la expresión de su opinión política, de manera que pueda ser recogida por sus representantes para, en su caso, emprender las iniciativas legislativas por los procedimientos constitucionalmente previstos. También se aduce que la convocatoria de la consulta no impide a otros ciudadanos ejercer sus propios derechos ni a otros poderes públicos convocar las consultas que estime oportunas sobre las cuestiones de especial relevancia que afecten a sus intereses.</w:t>
      </w:r>
    </w:p>
    <w:p w:rsidR="0085709A" w:rsidRDefault="0085709A" w:rsidP="0085709A">
      <w:pPr>
        <w:pStyle w:val="TextoNormal"/>
      </w:pPr>
    </w:p>
    <w:p w:rsidR="0085709A" w:rsidRDefault="0085709A" w:rsidP="0085709A">
      <w:pPr>
        <w:pStyle w:val="TextoNormal"/>
      </w:pPr>
      <w:r>
        <w:t>Se afirma, además, que dada la naturaleza y objeto de la consulta, su realización no conllevaría perjuicios irreparables, ya que no tiene carácter vinculante. También se alega que el pronunciamiento, que de acuerdo a lo previsto en el art. 8 de la Ley 10/2014, debe efectuar el Presidente de la Generalitat sobre la incidencia que vaya a tener en la actuación pública sometida a consulta en los dos meses siguientes a su celebración no puede producir perjuicio alguno, puesto que tal pronunciamiento no será sino la exteriorización de su criterio que deberá, en su caso, traducirse en la adopción de las actuaciones que estime oportunas; actuaciones que serán independientes de la consulta y que, en el supuesto de que se consideraran contrarias a la Constitución, podrían ser objeto de los controles que prevé el art. 153 CE. Además se aduce que los perjuicios que pudieran causar tales actuaciones, serían perjuicios hipotéticos, por lo que, al no ser reales ni efectivos no pueden fundamentar el mantenimiento de la suspensión.</w:t>
      </w:r>
    </w:p>
    <w:p w:rsidR="0085709A" w:rsidRDefault="0085709A" w:rsidP="0085709A">
      <w:pPr>
        <w:pStyle w:val="TextoNormal"/>
      </w:pPr>
    </w:p>
    <w:p w:rsidR="0085709A" w:rsidRDefault="0085709A" w:rsidP="0085709A">
      <w:pPr>
        <w:pStyle w:val="TextoNormal"/>
      </w:pPr>
      <w:r>
        <w:t xml:space="preserve">Junto a tales consideraciones, se sostiene que el mantenimiento de la suspensión de la Ley 10/2014 como del Decreto 129/2014 determinaría un claro perjuicio tanto para la ciudadanía de Cataluña, que se vería privada de este cauce legal para la expresión de sus opiniones y aspiraciones políticas, como para los poderes públicos de Cataluña, que tampoco podrían realizar consultas no referendarias. En opinión de la Generalitat, el mantenimiento de las suspensión produciría, además, el perjuicio de no avanzar en la democracia, impediría </w:t>
      </w:r>
      <w:r>
        <w:lastRenderedPageBreak/>
        <w:t>la incorporación de instrumentos de participación ciudadana en un momento en el que la ciudadanía valora peyorativamente la situación política y la actuación de las instituciones y los poderes públicos y en el que las movilizaciones masivas de todo el Estado han manifestado no sentirse representados políticamente. También se pone de manifestó que en Cataluña se están produciendo movilizaciones masivas de ciudadanos que reclaman poder manifestar su opinión sobre el futuro político. Según se afirma, la persistencia de las expresiones populares demandando la celebración de la consulta ha llevado al Parlamento de Cataluña a adoptar la Resolución 776/X, de 17 de septiembre de 2014, en cuyo apartado I se pone de manifiesto la necesidad de celebrar la consulta sobre el futuro político de Cataluña e insta al Presidente de la Generalitat a convocarla de acuerdo con los marcos legales y a destinar los recursos y medios necesarios para que se lleve a cabo con todas las garantías.</w:t>
      </w:r>
    </w:p>
    <w:p w:rsidR="0085709A" w:rsidRDefault="0085709A" w:rsidP="0085709A">
      <w:pPr>
        <w:pStyle w:val="TextoNormal"/>
      </w:pPr>
    </w:p>
    <w:p w:rsidR="0085709A" w:rsidRDefault="0085709A" w:rsidP="0085709A">
      <w:pPr>
        <w:pStyle w:val="TextoNormal"/>
      </w:pPr>
      <w:r>
        <w:t>Las anteriores consideraciones llevan a la Generalitat a solicitar el levantamiento de la suspensión del Decreto 129/2014 por el que se convoca la consulta popular sobre el futuro político de Cataluña así como de las restantes actuaciones de preparación para la convocatoria de dicha consulta o vinculadas a ella a fin de que de recuperen su plena eficacia y puedan dar cobertura a la consulta convocada.</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8 de octubre el Pleno acordó incorporar a los autos el escrito presentado por los Letrados de la Generalitat de Cataluña, en representación del Gobierno de Cataluña y oír al Abogado del Estado para que, en el plazo de cinco días, exponga lo que estime procedente sobre el levantamiento o mantenimiento de la suspensión del Decreto impugnado en este procedimiento.</w:t>
      </w:r>
    </w:p>
    <w:p w:rsidR="0085709A" w:rsidRDefault="0085709A" w:rsidP="0085709A">
      <w:pPr>
        <w:pStyle w:val="TextoNormal"/>
      </w:pPr>
    </w:p>
    <w:p w:rsidR="0085709A" w:rsidRDefault="0085709A" w:rsidP="0085709A">
      <w:pPr>
        <w:pStyle w:val="TextoNormal"/>
      </w:pPr>
      <w:r w:rsidRPr="0085709A">
        <w:rPr>
          <w:rStyle w:val="NumeroAFNegritaCaracter"/>
        </w:rPr>
        <w:t>6</w:t>
      </w:r>
      <w:r>
        <w:t>. El 10 de octubre de 2004, los Abogados de la Generalitat de Cataluña evacuaron el trámite de alegaciones conferido por la providencia de 29 de septiembre de 2014, oponiéndose a la demanda de impugnación de disposiciones autonómicas promovida por el Gobierno del Estado. Alegan, en primer lugar, que la consulta popular convocada mediante el Decreto 129/2014 es una consulta no referendaria, tal y como su propio nombre indica. En su opinión, esta es la conclusión que se deriva de la doctrina constitucional, pues entienden que, de acuerdo con la STC 103/2008 (FJ 2), el referéndum es la consulta dirigida al cuerpo electoral para pronunciarse sobre una cuestión de especial relevancia política a través del ejercicio del derecho de voto en el marco de un procedimiento electoral y con unas garantías de orden jurisdiccional específicas; elementos que determinan que a través de este tipo de consultas se ejerza el derecho de participación política que garantiza el art. 23.1 CE. Sostienen los representantes del Gobierno de Cataluña que, de acuerdo con la doctrina expuesta, la consulta convocada por el Decreto 129/2014 no reúne los elementos para considerarla como una consulta referendaria, pues de sus preceptos no se infiere que la participación ciudadana se fundamente en el ejercicio del derecho fundamental que consagra el art. 23.1 CE, ni que esa participación se articule mediante un procedimiento electoral, ni que el colectivo llamado a participar coincida con el cuerpo electoral ni que se le presten las garantías jurisdiccionales.</w:t>
      </w:r>
    </w:p>
    <w:p w:rsidR="0085709A" w:rsidRDefault="0085709A" w:rsidP="0085709A">
      <w:pPr>
        <w:pStyle w:val="TextoNormal"/>
      </w:pPr>
    </w:p>
    <w:p w:rsidR="0085709A" w:rsidRDefault="0085709A" w:rsidP="0085709A">
      <w:pPr>
        <w:pStyle w:val="TextoNormal"/>
      </w:pPr>
      <w:r>
        <w:t xml:space="preserve">Se aduce, también, que, como se afirma en el preámbulo del Decreto 129/2014, la consulta convocada se efectúa al amparo de la competencia asumida por la Generalitat de Cataluña en virtud del art. 122 EAC, que esta consulta se convoca al amparo de lo dispuesto en la Ley del Parlamento de Cataluña 10/2014, de consultas populares no referendarias y de participación ciudadana y que tiene como finalidad que los ciudadanos de Cataluña puedan </w:t>
      </w:r>
      <w:r>
        <w:lastRenderedPageBreak/>
        <w:t>participar en los asuntos públicos en ejercicio del derecho que les reconoce el art. 29 EAC. Se sostiene, además, que el objeto de la consulta se encuentra dentro del ámbito competencial de la Generalitat, pues se considera que este ámbito no queda limitado a las materias competenciales en sentido estricto, esto es, las tasadas en el capítulo II del título IV del EAC, sino que abarca también el conjunto de funciones y facultades de iniciativa e impulso político, que, tanto en la Constitución como en el Estatuto, se recogen como potestades atribuidas a las instituciones de Cataluña.</w:t>
      </w:r>
    </w:p>
    <w:p w:rsidR="0085709A" w:rsidRDefault="0085709A" w:rsidP="0085709A">
      <w:pPr>
        <w:pStyle w:val="TextoNormal"/>
      </w:pPr>
    </w:p>
    <w:p w:rsidR="0085709A" w:rsidRDefault="0085709A" w:rsidP="0085709A">
      <w:pPr>
        <w:pStyle w:val="TextoNormal"/>
      </w:pPr>
      <w:r>
        <w:t>Por todo ello, consideran los Abogados de la Generalitat que la interpretación del art. 122 EAC, en su vertiente competencial relativa a las consultas no referendarias, comprende tanto las competencias de la Generalitat sobre las diferentes materias y sectores a las que se refiere el citado capítulo II del título V, como el haz de facultades, funciones y capacidad de iniciativas de las que, constitucional y estatutariamente, dispone la Generalitat. En consecuencia, entienden que la Generalitat, en virtud del art. 122 EAC, ha asumido competencia para convocar una consulta no referendaria sobre el futuro político de Cataluña, ya que su celebración tiene como finalidad conocer la opinión ciudadana sobre el ejercicio, en su caso, de la potestad que le reconocen los arts. 87 y 168 CE y el art. 61 EAC de iniciar formalmente ante las instituciones del Estado la reforma constitucional en un sentido determinado. A juicio de los Letrados de la Generalitat, esta interpretación tiene un claro apoyo en la doctrina establecida en la STC 42/2014, FFJJ 3 y 4 en la que se ha admitido que las referencias “al derecho a decidir de los ciudadanos de Cataluña” contenidas en la Resolución 5/X no son inconstitucionales y la posibilidad de una consulta sobre el futuro político de Cataluña si se respetan dos límites: primero, que esta consulta no se plantee unilateralmente como un referéndum de autodeterminación y, segundo, que la consulta no ignore que la concreción efectiva del derecho a decidir debe realizarse siempre en el marco de los procedimientos de reforma constitucional; requisitos que, según alega la Generalitat de Cataluña, la consulta convocada respeta.</w:t>
      </w:r>
    </w:p>
    <w:p w:rsidR="0085709A" w:rsidRDefault="0085709A" w:rsidP="0085709A">
      <w:pPr>
        <w:pStyle w:val="TextoNormal"/>
      </w:pPr>
    </w:p>
    <w:p w:rsidR="0085709A" w:rsidRDefault="0085709A" w:rsidP="0085709A">
      <w:pPr>
        <w:pStyle w:val="TextoNormal"/>
      </w:pPr>
      <w:r>
        <w:t>La Generalitat de Cataluña sostiene, por otra parte, que la impugnación formulada debe ser parcialmente inadmitida, pues las alegaciones por las que se aducen infracciones de carácter competencial deben formularse a través de la vía de los conflictos positivos de competencia, no por el cauce regulado en el título V LOTC.</w:t>
      </w:r>
    </w:p>
    <w:p w:rsidR="0085709A" w:rsidRDefault="0085709A" w:rsidP="0085709A">
      <w:pPr>
        <w:pStyle w:val="TextoNormal"/>
      </w:pPr>
    </w:p>
    <w:p w:rsidR="0085709A" w:rsidRDefault="0085709A" w:rsidP="0085709A">
      <w:pPr>
        <w:pStyle w:val="TextoNormal"/>
      </w:pPr>
      <w:r>
        <w:t>En relación con los infracciones constitucionales que se imputan al Decreto 129/2014, los representantes de la Generalitat ponen de manifiesto que, como muchos de los motivos en los que se fundamenta esta impugnación son los mismos que los que se aducen en el recurso de inconstitucionalidad núm. 5829-2014, por el que se impugnó la Ley del Parlamento de Cataluña 10/2014, exponen sucintamente estas alegaciones y se remiten a lo alegado en el referido recurso.</w:t>
      </w:r>
    </w:p>
    <w:p w:rsidR="0085709A" w:rsidRDefault="0085709A" w:rsidP="0085709A">
      <w:pPr>
        <w:pStyle w:val="TextoNormal"/>
      </w:pPr>
    </w:p>
    <w:p w:rsidR="0085709A" w:rsidRDefault="0085709A" w:rsidP="0085709A">
      <w:pPr>
        <w:pStyle w:val="TextoNormal"/>
      </w:pPr>
      <w:r>
        <w:t xml:space="preserve">Por lo que se refiere al Decreto 129/2014, se pone de manifiesto, en primer lugar, que toda la impugnación parte de una premisa errónea: que la consulta convocada es un referéndum encubierto. Según se afirma, el Decreto impugnado tiene como objeto una consulta no referendaria, como se deduce del propio título del Decreto. También se alega que el objeto de esta consulta es conocer la opinión de los participantes “con la finalidad de que la Generalitat pueda ejercer con pleno conocimiento de causa la iniciativa legal, política e institucional que le corresponde”, por lo que se considera evidente que la consulta es un instrumento de opinión, no de decisión, y que se vincula al eventual ejercicio por la Generalitat </w:t>
      </w:r>
      <w:r>
        <w:lastRenderedPageBreak/>
        <w:t>de la potestad a la que se refieren los arts. 87 y 166 CE y el art. 161 CE, por lo que la consulta encaja dentro del ámbito competencial de la Generalitat, de acuerdo con lo dispuesto en el art. 122 EAC. Respecto del art. 3, en el que se establece la pregunta (pregunta que son dos, la primera sobre Cataluña como Estado, y la segunda como Estado independiente) se considera que aunque por el alcance político que tiene esta pregunta pudiera formularse a través de una consulta referendaria, ello no es obstáculo para que también pueda plantearse a través de consulta que no tienen este carácter, pues no existe una reserva material de referéndum.</w:t>
      </w:r>
    </w:p>
    <w:p w:rsidR="0085709A" w:rsidRDefault="0085709A" w:rsidP="0085709A">
      <w:pPr>
        <w:pStyle w:val="TextoNormal"/>
      </w:pPr>
    </w:p>
    <w:p w:rsidR="0085709A" w:rsidRDefault="0085709A" w:rsidP="0085709A">
      <w:pPr>
        <w:pStyle w:val="TextoNormal"/>
      </w:pPr>
      <w:r>
        <w:t>Por lo que respecta a las personas llamadas a participar, se sostiene que, al poder participar en la consulta no solo quienes integran el cuerpo electoral sino también otros colectivos no incluidos en el mismo (jóvenes entre 16 y 18 años y determinados extranjeros), los resultados de esta consulta nunca se podrían homologar a los que tendría una consulta referendaria.</w:t>
      </w:r>
    </w:p>
    <w:p w:rsidR="0085709A" w:rsidRDefault="0085709A" w:rsidP="0085709A">
      <w:pPr>
        <w:pStyle w:val="TextoNormal"/>
      </w:pPr>
    </w:p>
    <w:p w:rsidR="0085709A" w:rsidRDefault="0085709A" w:rsidP="0085709A">
      <w:pPr>
        <w:pStyle w:val="TextoNormal"/>
      </w:pPr>
      <w:r>
        <w:t>En relación con los demás preceptos del Decreto impugnado, se considera que esta regulación es lógica y necesaria para el desarrollo de la consulta convocada y se vuelve a señalar que las impugnaciones de carácter competencial no pueden efectuarse por el cauce utilizado por el Gobierno —el procedimiento regulado en el título V LOTC— para impugnar este Decreto.</w:t>
      </w:r>
    </w:p>
    <w:p w:rsidR="0085709A" w:rsidRDefault="0085709A" w:rsidP="0085709A">
      <w:pPr>
        <w:pStyle w:val="TextoNormal"/>
      </w:pPr>
    </w:p>
    <w:p w:rsidR="0085709A" w:rsidRDefault="0085709A" w:rsidP="0085709A">
      <w:pPr>
        <w:pStyle w:val="TextoNormal"/>
      </w:pPr>
      <w:r>
        <w:t>También se rechaza que el registro de participantes que crea el art. 9 de este Decreto vulnere las competencias del Estado para la configuración del censo electoral y lesione el art. 18 CE por infringir el principio de finalidad en la utilización de los datos personales al crear un censo electoral. Según sostienen los Abogados de la Generalitat, no puede apreciarse la lesión competencial porque la consulta que este Decreto convoca no tiene carácter referendaria y tampoco puede considerarse contrario al principio de finalidad en la utilización de datos entre Administraciones públicas, pues, por una parte, la transmisión de esos datos está prevista en una norma de rango de ley; y por otra, entienden, que, como sostuvo el Consejo de Estado en el dictamen que efectúo sobre la Ley 10/2014, que la ley que aplica el Decreto 129/2014, el registro de población de Cataluña es gestionado por el organismo autonómico Instituto de Estadística de Cataluña, por lo que no hay comunicación de datos entre Administraciones públicas, que es el presupuesto de la cesión de datos, que es también lo que sucede en el caso del registro de catalanes en el exterior.</w:t>
      </w:r>
    </w:p>
    <w:p w:rsidR="0085709A" w:rsidRDefault="0085709A" w:rsidP="0085709A">
      <w:pPr>
        <w:pStyle w:val="TextoNormal"/>
      </w:pPr>
    </w:p>
    <w:p w:rsidR="0085709A" w:rsidRDefault="0085709A" w:rsidP="0085709A">
      <w:pPr>
        <w:pStyle w:val="TextoNormal"/>
      </w:pPr>
      <w:r>
        <w:t>La Generalitat concluye su escrito sosteniendo que, aunque la jurisprudencia constitucional ha mantenido una posición cautelosa sobre la participación directa, al considerar que la Constitución ha establecido un sistema de participación en el que priman los mecanismos de democracia representativa sobre los de democracia directa, esta doctrina no incide en la consulta convocada, ya que la consulta convocada por el Decreto 129/2014, al no ser referendaria, no constituye una manifestación de democracia directa, sino de democracia participativa, y por ello es conforme con la Constitución, pues los valores de democracia y de pluralismo que contiene el art 9.2 CE y 4.3 EAC permiten que el legislador regule y el ejecutivo aplique sistemas participativos que no sean referendarios.</w:t>
      </w:r>
    </w:p>
    <w:p w:rsidR="0085709A" w:rsidRDefault="0085709A" w:rsidP="0085709A">
      <w:pPr>
        <w:pStyle w:val="TextoNormal"/>
      </w:pPr>
    </w:p>
    <w:p w:rsidR="0085709A" w:rsidRDefault="0085709A" w:rsidP="0085709A">
      <w:pPr>
        <w:pStyle w:val="TextoNormal"/>
      </w:pPr>
      <w:r>
        <w:t>Estas consideraciones llevan a la Generalitat a solicitar que se dicte Sentencia por la que se inadmita las impugnaciones que tiene carácter competencial y que se desestimen los demás motivos de impugnación.</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7</w:t>
      </w:r>
      <w:r>
        <w:t>. El 10 de octubre de 2014, el Abogado del Estado planteó incidente de ejecución de la providencia de 29 de septiembre de 2014, en relación con el Decreto de la Presidencia de la Generalitat de Cataluña 133/2014, de 6 de octubre, de nombramiento de los miembros de las comisiones de seguimiento de la consulta popular no referendaria sobre el futuro político de Cataluña. El Pleno, por providencia de 14 de octubre de 2014, acordó tener por recibido el referido escrito y dar traslado de copia del mismo al Ministerio Fiscal, y a la representación de la Generalitat de Cataluña, otorgándoles un plazo de quince días para que formulen las alegaciones que estimen pertinentes.</w:t>
      </w:r>
    </w:p>
    <w:p w:rsidR="0085709A" w:rsidRDefault="0085709A" w:rsidP="0085709A">
      <w:pPr>
        <w:pStyle w:val="TextoNormal"/>
      </w:pPr>
    </w:p>
    <w:p w:rsidR="0085709A" w:rsidRDefault="0085709A" w:rsidP="0085709A">
      <w:pPr>
        <w:pStyle w:val="TextoNormal"/>
      </w:pPr>
      <w:r w:rsidRPr="0085709A">
        <w:rPr>
          <w:rStyle w:val="NumeroAFNegritaCaracter"/>
        </w:rPr>
        <w:t>8</w:t>
      </w:r>
      <w:r>
        <w:t>. El 15 de octubre de 2014 se registró en este Tribunal el escrito presentado por don. Xavier Narcís Guillem en la Agrupación de Secretarias de Juzgado de Paz núm. 1 de les Borges Blanques por el que solicitaba que se le tuviera por comparecido y parte adherida en el presente procedimiento. El Pleno, por providencia de 15 de octubre de 2014, acordó no haber lugar a dicha solicitud al no estar legitimado para ser parte.</w:t>
      </w:r>
    </w:p>
    <w:p w:rsidR="0085709A" w:rsidRDefault="0085709A" w:rsidP="0085709A">
      <w:pPr>
        <w:pStyle w:val="TextoNormal"/>
      </w:pPr>
    </w:p>
    <w:p w:rsidR="0085709A" w:rsidRDefault="0085709A" w:rsidP="0085709A">
      <w:pPr>
        <w:pStyle w:val="TextoNormal"/>
      </w:pPr>
      <w:r>
        <w:t>El 5 de noviembre se recibió por el mismo cauce otro escrito del Sr. Narcís Guillem por el que recurría en súplica la anterior resolución. Este recurso fue inadmitido por providencia del Pleno de 18 de noviembre de 2014 por haber sido interpuesto fuera de plazo.</w:t>
      </w:r>
    </w:p>
    <w:p w:rsidR="0085709A" w:rsidRDefault="0085709A" w:rsidP="0085709A">
      <w:pPr>
        <w:pStyle w:val="TextoNormal"/>
      </w:pPr>
    </w:p>
    <w:p w:rsidR="0085709A" w:rsidRDefault="0085709A" w:rsidP="0085709A">
      <w:pPr>
        <w:pStyle w:val="TextoNormal"/>
      </w:pPr>
      <w:r w:rsidRPr="0085709A">
        <w:rPr>
          <w:rStyle w:val="NumeroAFNegritaCaracter"/>
        </w:rPr>
        <w:t>9</w:t>
      </w:r>
      <w:r>
        <w:t>. El 16 de octubre de 2012 el Abogado del Estado, dentro del plazo otorgado por la providencia de 8 de octubre de 2014, presentó su escrito de alegaciones en relación con la solicitud de levantamiento de la suspensión del Decreto impugnado formulada por los Letrados de la Generalitat. El representante del Gobierno del Estado, tras ponderar los intereses concernidos y los perjuicios de imposible o difícil reparación que podría originar la eficacia del Decreto impugnado, solicita que se deniegue el levantamiento de la suspensión y se acuerdo el mantenimiento de la suspensión durante toda la pendencia del recurso.</w:t>
      </w:r>
    </w:p>
    <w:p w:rsidR="0085709A" w:rsidRDefault="0085709A" w:rsidP="0085709A">
      <w:pPr>
        <w:pStyle w:val="TextoNormal"/>
      </w:pPr>
    </w:p>
    <w:p w:rsidR="0085709A" w:rsidRDefault="0085709A" w:rsidP="0085709A">
      <w:pPr>
        <w:pStyle w:val="TextoNormal"/>
      </w:pPr>
      <w:r>
        <w:t>En su opinión, el interés público que subyace en el mantenimiento de esta medida cautelar es impedir que se movilice a los electores de una Comunidad Autónoma para que decidan sobre una cuestión que no les corresponde, ya que, a su juicio, la cuestión consultada concierne a todo el pueblo español. Por ello entiende que el interés que salvaguarda el Estado con la pretensión del mantenimiento de la suspensión se manifiesta en los siguientes aspectos: a) el interés en la defensa de la unidad de España y en la residencia de la soberanía nacional en el pueblo español, que, según sostiene, son los fundamentos mismos de la Constitución (STC 247/2007, de 12 de diciembre, FJ 4); b) el interés general o público en evitar que la consulta sirva de instrumento de presión del Gobierno y deslegitimación de su voluntad y c) el interés en evitar que el cuerpo electoral se vea implicado en un proceso electoral litigioso, dada la sospecha de inconstitucionalidad que recae sobre el mismo.</w:t>
      </w:r>
    </w:p>
    <w:p w:rsidR="0085709A" w:rsidRDefault="0085709A" w:rsidP="0085709A">
      <w:pPr>
        <w:pStyle w:val="TextoNormal"/>
      </w:pPr>
    </w:p>
    <w:p w:rsidR="0085709A" w:rsidRDefault="0085709A" w:rsidP="0085709A">
      <w:pPr>
        <w:pStyle w:val="TextoNormal"/>
      </w:pPr>
      <w:r>
        <w:t xml:space="preserve">Se alega, por otra parte, que el mantenimiento de la suspensión no genera perjuicio alguno al interés público invocado por la Comunidad Autónoma, pues, según se aduce, como el ordenamiento constitucional dispone de cauces adecuados, ordinarios y eficaces para dar efectividad y plena virtualidad al principio democrático y para facilitar la participación de todos los individuos en la vida política no es perentoria ni imprescindible la celebración de la consulta el día 9 de noviembre de 2014 para que tal principio tenga plena y absoluta eficacia. No obstante, considera también a efectos dialécticos, que, aunque se entendiera </w:t>
      </w:r>
      <w:r>
        <w:lastRenderedPageBreak/>
        <w:t>que el principio democrático y el mandato contenido en el art. 9.2 CE solo pudieran atenderse mediante la celebración de una consulta sobre la independencia de Cataluña, esta consulta solo podría celebrarse si el Tribunal desestima el fondo de la impugnación, pues, a su juicio, solo entonces podrá celebrarse con todas las garantías.</w:t>
      </w:r>
    </w:p>
    <w:p w:rsidR="0085709A" w:rsidRDefault="0085709A" w:rsidP="0085709A">
      <w:pPr>
        <w:pStyle w:val="TextoNormal"/>
      </w:pPr>
    </w:p>
    <w:p w:rsidR="0085709A" w:rsidRDefault="0085709A" w:rsidP="0085709A">
      <w:pPr>
        <w:pStyle w:val="TextoNormal"/>
      </w:pPr>
      <w:r>
        <w:t>Junto a ello se sostiene que la celebración de la consulta ocasionaría un perjuicio irreparable al interés general, pues conllevaría una quiebra del principio de seguridad jurídica para todos los actores que en ella participan bajo la duda o sospecha de inconstitucionalidad del Decreto de convocatoria; quiebra que, según sostiene el Abogado del Estado, se proyecta en una alteración del índice de participación, en una adulteración del resultado y en la sombra duda que introduciría en el proceso de la consulta.</w:t>
      </w:r>
    </w:p>
    <w:p w:rsidR="0085709A" w:rsidRDefault="0085709A" w:rsidP="0085709A">
      <w:pPr>
        <w:pStyle w:val="TextoNormal"/>
      </w:pPr>
    </w:p>
    <w:p w:rsidR="0085709A" w:rsidRDefault="0085709A" w:rsidP="0085709A">
      <w:pPr>
        <w:pStyle w:val="TextoNormal"/>
      </w:pPr>
      <w:r>
        <w:t>Por último se alega que la cuestión sometida a enjuiciamiento del Tribunal está dotada de singular relieve constitucional; criterio que ha sido utilizado por el ATC 156/2013 de 11 julio como justificación para el mantenimiento de la suspensión.</w:t>
      </w:r>
    </w:p>
    <w:p w:rsidR="0085709A" w:rsidRDefault="0085709A" w:rsidP="0085709A">
      <w:pPr>
        <w:pStyle w:val="TextoNormal"/>
      </w:pPr>
    </w:p>
    <w:p w:rsidR="0085709A" w:rsidRDefault="0085709A" w:rsidP="0085709A">
      <w:pPr>
        <w:pStyle w:val="TextoNormal"/>
      </w:pPr>
      <w:r w:rsidRPr="0085709A">
        <w:rPr>
          <w:rStyle w:val="NumeroAFNegritaCaracter"/>
        </w:rPr>
        <w:t>10</w:t>
      </w:r>
      <w:r>
        <w:t>. Los Abogados de la Generalitat, por escrito presentado el 21 de octubre de 2014 en el Registro de este Tribunal Constitucional, y dentro del plazo otorgado por la providencia de 16 de octubre de 2014, formularon alegaciones en el incidente de ejecución de la providencia de 29 de octubre de 2014 en relación con el Decreto de la Presidencia de la Generalitat de Cataluña 133/2014, de 6 de octubre, promovido por el Abogado del Estado y solicitaron la desestimación del incidente planteado.</w:t>
      </w:r>
    </w:p>
    <w:p w:rsidR="0085709A" w:rsidRDefault="0085709A" w:rsidP="0085709A">
      <w:pPr>
        <w:pStyle w:val="TextoNormal"/>
      </w:pPr>
    </w:p>
    <w:p w:rsidR="0085709A" w:rsidRDefault="0085709A" w:rsidP="0085709A">
      <w:pPr>
        <w:pStyle w:val="TextoNormal"/>
      </w:pPr>
      <w:r w:rsidRPr="0085709A">
        <w:rPr>
          <w:rStyle w:val="NumeroAFNegritaCaracter"/>
        </w:rPr>
        <w:t>11</w:t>
      </w:r>
      <w:r>
        <w:t>. El 24 de octubre de 2014, el Fiscal presentó en el Registro de este Tribunal su escrito de alegaciones en el incidente de ejecución de la providencia de 29 de octubre de 2014 en relación con el Decreto de la Presidencia de la Generalitat de Cataluña 133/2014, de 6 de octubre, promovido por el Abogado del Estado. El Fiscal considera que procede dictar resolución apreciando la contravención de la providencia de este Tribunal de 29 de septiembre de 2014 por el Decreto de la Presidencia de la Generalitat de Cataluña 133/2014, de 6 de octubre, de nombramiento de los miembros de las comisiones de seguimiento de la consulta popular no referendaria sobre el futuro político de Cataluña acordando su de declaración de nulidad.</w:t>
      </w:r>
    </w:p>
    <w:p w:rsidR="0085709A" w:rsidRDefault="0085709A" w:rsidP="0085709A">
      <w:pPr>
        <w:pStyle w:val="TextoNormal"/>
      </w:pPr>
    </w:p>
    <w:p w:rsidR="0085709A" w:rsidRDefault="0085709A" w:rsidP="0085709A">
      <w:pPr>
        <w:pStyle w:val="TextoNormal"/>
      </w:pPr>
      <w:r w:rsidRPr="0085709A">
        <w:rPr>
          <w:rStyle w:val="NumeroAFNegritaCaracter"/>
        </w:rPr>
        <w:t>12</w:t>
      </w:r>
      <w:r>
        <w:t>. El 27 de octubre de 2014, los Abogados de la Generalitat presentaron un escrito en el Registro de este Tribunal Constitucional adjuntando un conjunto de documentos, referidos a acuerdos adoptados por distintas entidades locales de Cataluña, en los que, mediante fórmulas diversas, se manifiesta el apoyo a la celebración de la Consulta convocada por el Decreto 129/2014, de 27 de septiembre, del Presidente de la Generalitat.</w:t>
      </w:r>
    </w:p>
    <w:p w:rsidR="0085709A" w:rsidRDefault="0085709A" w:rsidP="0085709A">
      <w:pPr>
        <w:pStyle w:val="TextoNormal"/>
      </w:pPr>
    </w:p>
    <w:p w:rsidR="0085709A" w:rsidRDefault="0085709A" w:rsidP="0085709A">
      <w:pPr>
        <w:pStyle w:val="TextoNormal"/>
      </w:pPr>
      <w:r>
        <w:t>El Pleno, por providencia de 28 de octubre, acordó unir a las actuaciones los anteriores escrito y tener por efectuadas las manifestaciones contenidas en el mismo, entregando copia al Abogado del Estado.</w:t>
      </w:r>
    </w:p>
    <w:p w:rsidR="0085709A" w:rsidRDefault="0085709A" w:rsidP="0085709A">
      <w:pPr>
        <w:pStyle w:val="TextoNormal"/>
      </w:pPr>
    </w:p>
    <w:p w:rsidR="0085709A" w:rsidRDefault="0085709A" w:rsidP="0085709A">
      <w:pPr>
        <w:pStyle w:val="TextoNormal"/>
      </w:pPr>
      <w:r w:rsidRPr="0085709A">
        <w:rPr>
          <w:rStyle w:val="NumeroAFNegritaCaracter"/>
        </w:rPr>
        <w:t>13</w:t>
      </w:r>
      <w:r>
        <w:t xml:space="preserve">. Los Abogados de la Generalitat de Cataluña, el 3 de noviembre de 2014, presentaron un escrito en el Registro de este Tribunal Constitucional por el que ponían de manifiesto que, según constaba en la página web de la Moncloa, el Gobierno había adoptado el acuerdo </w:t>
      </w:r>
      <w:r>
        <w:lastRenderedPageBreak/>
        <w:t>de impugnar ante el Tribunal Constitucional, con invocación del art. 161.2 CE, las actuaciones de la Generalitat de Cataluña relativas a la convocatoria del denominado “procesos de participación ciudadana” recogido en la pág. web http://participa2014.cat/es/index.html, así como los restantes acto o actuaciones de preparación, realizados o procedentes, para la celebración de dicha consulta, y a cualquier actuación, aun no formalizada jurídicamente vinculada a la referida consulta. Según se aduce, dada la falta de precisión del comunicado no les resulta posible conocer el procedimiento a través del cual el Gobierno del Estado tiene previsto formalizar la impugnación de las actuaciones relativas del referido proceso participativo. No obstante, consideran que la argumentación que puede utilizar el Gobierno es que el proceso de participación ciudadana es un referéndum encubierto y que se ha instrumentalizado para sortear la suspensión dictada por el Tribunal Constitucional sobre el Decreto 129/2014.</w:t>
      </w:r>
    </w:p>
    <w:p w:rsidR="0085709A" w:rsidRDefault="0085709A" w:rsidP="0085709A">
      <w:pPr>
        <w:pStyle w:val="TextoNormal"/>
      </w:pPr>
    </w:p>
    <w:p w:rsidR="0085709A" w:rsidRDefault="0085709A" w:rsidP="0085709A">
      <w:pPr>
        <w:pStyle w:val="TextoNormal"/>
      </w:pPr>
      <w:r>
        <w:t>Ante esta situación los Abogados de la Generalitat manifiestan que el empleo de cualesquiera de los cauces de impugnación ante el Tribunal Constitucional de las actuaciones autonómicas, con la subsiguiente suspensión de las mismas y, previsiblemente, de las que en un futuro deban efectuarse para materializar el proceso participativo previsto, no solo reviste de una imposibilidad material de tramitación, sino que implica también una quiebra de las reglas de la buena fe, que, conforme al art. 11.1 de la Ley Orgánica del Poder Judicial (LOPJ), deben presidir todo proceso jurisdiccional y un uso desproporcionado y abusivo del derecho a la tutela constitucional en la medida en que todas ellas persiguen, sin necesidad de justificación ni de ratificación mediante resolución jurisdiccional motivada, la suspensión de unas actuaciones referidas a un proceso participativo destinado a facilitar la libertad ideológica (art. 16 CE) y la libertad de expresión (art. 20 CE) de los ciudadanos de Cataluña.</w:t>
      </w:r>
    </w:p>
    <w:p w:rsidR="0085709A" w:rsidRDefault="0085709A" w:rsidP="0085709A">
      <w:pPr>
        <w:pStyle w:val="TextoNormal"/>
      </w:pPr>
    </w:p>
    <w:p w:rsidR="0085709A" w:rsidRDefault="0085709A" w:rsidP="0085709A">
      <w:pPr>
        <w:pStyle w:val="TextoNormal"/>
      </w:pPr>
      <w:r>
        <w:t>Las consideraciones anteriores llevan a los Abogados de la Generalitat a solicitar que se tenga por manifestado que la Generalitat no ha incumplido la suspensión de la convocatoria efectuada mediante el Decreto de 129/2014, de 27 de septiembre y, en consecuencia, acuerde la inadmisión de la impugnación acordada por el Consejo de Ministros el 31 de octubre de 2014 de la actuaciones de la Generalitat de Cataluña relativas a la convocatoria de participación ciudadana prevista para el 9 de noviembre de 2014.</w:t>
      </w:r>
    </w:p>
    <w:p w:rsidR="0085709A" w:rsidRDefault="0085709A" w:rsidP="0085709A">
      <w:pPr>
        <w:pStyle w:val="TextoNormal"/>
      </w:pPr>
    </w:p>
    <w:p w:rsidR="0085709A" w:rsidRDefault="0085709A" w:rsidP="0085709A">
      <w:pPr>
        <w:pStyle w:val="TextoNormal"/>
      </w:pPr>
      <w:r w:rsidRPr="0085709A">
        <w:rPr>
          <w:rStyle w:val="NumeroAFNegritaCaracter"/>
        </w:rPr>
        <w:t>14</w:t>
      </w:r>
      <w:r>
        <w:t>. El Pleno, por providencia de 12 de noviembre, acordó unir a las presentes actuaciones el escrito presentado por los Abogados de la Generalitat el 3 de noviembre de 2014, tener por efectuadas las manifestaciones contenidas en el mismo y entregar copia al Abogado del Estado.</w:t>
      </w:r>
    </w:p>
    <w:p w:rsidR="0085709A" w:rsidRDefault="0085709A" w:rsidP="0085709A">
      <w:pPr>
        <w:pStyle w:val="TextoNormal"/>
      </w:pPr>
    </w:p>
    <w:p w:rsidR="0085709A" w:rsidRDefault="0085709A" w:rsidP="0085709A">
      <w:pPr>
        <w:pStyle w:val="TextoNormal"/>
      </w:pPr>
      <w:r w:rsidRPr="0085709A">
        <w:rPr>
          <w:rStyle w:val="NumeroAFNegritaCaracter"/>
        </w:rPr>
        <w:t>15</w:t>
      </w:r>
      <w:r>
        <w:t>. Por providencia de 25 de febrero de 2015 se señaló el mismo día para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Abogado del Estado, en representación del Gobierno, ha impugnado el Decreto del Presidente de la Generalitat de Cataluña 129/2014, de 27 de septiembre, así como sus anexos, de convocatoria de la consulta no referendaria sobre el futuro político de Cataluña, publicado en el anexo al “Diario Oficial de la Generalitat” de Cataluña, de 27 de septiembre </w:t>
      </w:r>
      <w:r>
        <w:lastRenderedPageBreak/>
        <w:t>de 2014. Esta impugnación se efectúa al amparo de los arts. 161.2 CE y 76 y 77 de la Ley Orgánica del Tribunal Constitucional (LOTC).</w:t>
      </w:r>
    </w:p>
    <w:p w:rsidR="0085709A" w:rsidRDefault="0085709A" w:rsidP="0085709A">
      <w:pPr>
        <w:pStyle w:val="TextoNormal"/>
      </w:pPr>
    </w:p>
    <w:p w:rsidR="0085709A" w:rsidRDefault="0085709A" w:rsidP="0085709A">
      <w:pPr>
        <w:pStyle w:val="TextoNormal"/>
      </w:pPr>
      <w:r>
        <w:t>Como con más detalle se ha expuesto en los antecedentes, el Abogado del Estado considera que el Decreto impugnado es contrario a la Constitución, tanto por motivos de carácter competencial como por motivos no competenciales. Entiende el representante del Gobierno que la convocatoria por el Presidente de la Generalitat de un referéndum en el ámbito territorial de Cataluña que tiene como objeto que el pueblo de Cataluña se pronuncie sobre si quiere que Cataluña sea un Estado independiente es una cuestión que afecta directamente a la unidad de la Nación española y vulnera los arts. 1.2, 2 y 9.1 CE. Sostiene, además, que la consulta convocada es materialmente un referéndum de reforma constitucional y por ello considera que infringe el art. 168 CE. Junto a ello se alega que el Decreto impugnado es contrario a los arts. 1 y 2.4 del Estatuto de Autonomía de Cataluña (EAC), en los términos que han sido interpretados por la STC 31/2010, de 28 de junio, FFJJ 8 y 9.</w:t>
      </w:r>
    </w:p>
    <w:p w:rsidR="0085709A" w:rsidRDefault="0085709A" w:rsidP="0085709A">
      <w:pPr>
        <w:pStyle w:val="TextoNormal"/>
      </w:pPr>
    </w:p>
    <w:p w:rsidR="0085709A" w:rsidRDefault="0085709A" w:rsidP="0085709A">
      <w:pPr>
        <w:pStyle w:val="TextoNormal"/>
      </w:pPr>
      <w:r>
        <w:t>Por lo que se refiere a las vulneraciones de carácter competencial, se aduce que el Decreto impugnado, al contener la convocatoria de un referéndum, es contrario a los arts. 149.1.18 y 32 CE y a la reserva de Ley Orgánica contenida en el art. 81 CE en relación con los arts. 13, 18, 23 y 92.3 CE.</w:t>
      </w:r>
    </w:p>
    <w:p w:rsidR="0085709A" w:rsidRDefault="0085709A" w:rsidP="0085709A">
      <w:pPr>
        <w:pStyle w:val="TextoNormal"/>
      </w:pPr>
    </w:p>
    <w:p w:rsidR="0085709A" w:rsidRDefault="0085709A" w:rsidP="0085709A">
      <w:pPr>
        <w:pStyle w:val="TextoNormal"/>
      </w:pPr>
      <w:r>
        <w:t>Los Letrados de la Generalitat de Cataluña entienden, por el contrario, que el Decreto 129/2014, al convocar una consulta que no tiene carácter referendario, no incurre en las vulneraciones constitucionales que se le imputan. A juicio de esta parte procesal, de acuerdo con la doctrina establecida en la STC 103/2008, de 11 de septiembre, FJ 2, la consulta convocada no puede considerarse un referéndum al no estar dirigida al cuerpo electoral. Se alega también que el Decreto 129/2014 ha sido dictado en virtud de la competencia que el art. 122 EAC atribuye a la Generalitat de Cataluña en materia de consultas populares, dentro del marco legal establecido por la Ley del Parlamento de Cataluña 10/2014 y constituye una forma con arreglo a la cual los ciudadanos de Cataluña puedan ejercer el derecho a participar en los asuntos públicos que le reconoce el art. 29 EAC.</w:t>
      </w:r>
    </w:p>
    <w:p w:rsidR="0085709A" w:rsidRDefault="0085709A" w:rsidP="0085709A">
      <w:pPr>
        <w:pStyle w:val="TextoNormal"/>
      </w:pPr>
    </w:p>
    <w:p w:rsidR="0085709A" w:rsidRDefault="0085709A" w:rsidP="0085709A">
      <w:pPr>
        <w:pStyle w:val="TextoNormal"/>
      </w:pPr>
      <w:r>
        <w:t>La Generalitat sostiene, además, que la realización de una consulta no referendaria sobre el futuro político de Cataluña encuentra un claro apoyo en la doctrina establecida en la STC 42/2014, pues el Tribunal, al apreciar que las referencias al “derecho a decidir de los ciudadanos de Cataluña” contenidas en la Resolución 5/X no son inconstitucionales si se respetan las condiciones que esa Sentencia establece, está admitiendo la posibilidad de una consulta sobre el futuro político de Cataluña siempre que no se plantee unilateralmente como un “referéndum de autodeterminación” y que la consulta no ignore que la concreción efectiva del derecho a decidir debe realizarse siempre en el marco de los procedimientos de reforma constitucional; exigencias que, según se afirma, respeta el Decreto 129/2014.</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Una vez expuestas sucintamente las posiciones de las partes debe analizarse, en primer lugar, si concurre la causa de inadmisibilidad parcial de la demanda que invoca la Generalitat de Cataluña. Entiende esta parte procesal que a través del cauce impugnatorio regulado en el título V LOTC no pueden aducirse vulneraciones de carácter competencial, ya que, a su juicio, este tipo de alegaciones ha de efectuarse a través de la vía de los conflictos de competencias prevista en los arts. 62 a 67 LOTC. Por ello solicita que se inadmitan las </w:t>
      </w:r>
      <w:r>
        <w:lastRenderedPageBreak/>
        <w:t>alegaciones por las que se aduce que el Decreto impugnado es contrario al orden constitucional de competencias.</w:t>
      </w:r>
    </w:p>
    <w:p w:rsidR="0085709A" w:rsidRDefault="0085709A" w:rsidP="0085709A">
      <w:pPr>
        <w:pStyle w:val="TextoNormal"/>
      </w:pPr>
    </w:p>
    <w:p w:rsidR="0085709A" w:rsidRDefault="0085709A" w:rsidP="0085709A">
      <w:pPr>
        <w:pStyle w:val="TextoNormal"/>
      </w:pPr>
      <w:r>
        <w:t>En relación con el tipo de vulneraciones que pueden alegarse a través de este específico proceso constitucional este Tribunal ha partido de considerar (STC 44/1986, de 17 de abril, FJ 1) que el artículo 161.2 CE, al establecer que el Gobierno podrá impugnar ante el Tribunal Constitucional las disposiciones y resoluciones adoptadas por los órganos de las Comunidades Autónomas, no limita la impugnación prevista en el mismo a los supuestos en que esté en juego la competencia y por esta razón el art. 77 LOTC dispone que la impugnación regulada en el título V se formulará y sustanciará por el procedimiento previsto en los arts. 62 a 67 de esta Ley “sea cual fuere el motivo en que se base”.</w:t>
      </w:r>
    </w:p>
    <w:p w:rsidR="0085709A" w:rsidRDefault="0085709A" w:rsidP="0085709A">
      <w:pPr>
        <w:pStyle w:val="TextoNormal"/>
      </w:pPr>
    </w:p>
    <w:p w:rsidR="0085709A" w:rsidRDefault="0085709A" w:rsidP="0085709A">
      <w:pPr>
        <w:pStyle w:val="TextoNormal"/>
      </w:pPr>
      <w:r>
        <w:t>No obstante, este Tribunal (SSTC 64/1990, de 5 de abril, FJ 1, y 66/1991, de 22 de marzo, FJ 2 y ATC 135/2004, de 20 de abril, FJ 3) ha reconocido también que el procedimiento regulado en los arts. 76 y 77 LOTC, aunque coincidente en sus trámites con el conflicto positivo de competencias (por remisión del art. 77 a los arts. 62 a 67 de la Ley Orgánica), tiene sustantividad propia, precisamente en supuestos en los que la infracción constitucional en la que se fundamenta la impugnación de la disposición o resolución autonómica no tiene carácter competencial, pues en tales casos no podrá aducirse a través del recurso de inconstitucionalidad, que procede únicamente contra “disposiciones normativas o actos con fuerza de Ley” [art. 2.1 a) LOTC ], ni tampoco podrá alegarse, por el tipo de infracción constitucional que se denuncia, por la vía del conflicto positivo de competencias, al estar limitado este proceso constitucional a los conflictos que se susciten entre el Estado y a las Comunidades Autónomas o a estas entre sí sobre la titularidad de las “competencias asignadas directamente por la Constitución, los Estatutos de Autonomía o las Leyes Orgánicas u ordinarias dictadas para delimitar los ámbitos propios del Estado y las Comunidades Autónomas” (art. 59 LOTC).</w:t>
      </w:r>
    </w:p>
    <w:p w:rsidR="0085709A" w:rsidRDefault="0085709A" w:rsidP="0085709A">
      <w:pPr>
        <w:pStyle w:val="TextoNormal"/>
      </w:pPr>
    </w:p>
    <w:p w:rsidR="0085709A" w:rsidRDefault="0085709A" w:rsidP="0085709A">
      <w:pPr>
        <w:pStyle w:val="TextoNormal"/>
      </w:pPr>
      <w:r>
        <w:t>La circunstancia de que este proceso constitucional sea la única vía para que el Gobierno pueda impugnar las disposiciones o resoluciones de las Comunidades Autónomas que considere contrarias a la Constitución por motivos no competenciales llevó al ATC 135/2004, de 20 de abril, FJ 3, a sostener que, “en el proceso impugnatorio del título V LOTC, únicamente pueden hacerse valer, pese a la indefinición legal de los motivos impugnatorios que se recoge en el art. 77.1 LOTC, vulneraciones constitucionales por razones no competenciales”.</w:t>
      </w:r>
    </w:p>
    <w:p w:rsidR="0085709A" w:rsidRDefault="0085709A" w:rsidP="0085709A">
      <w:pPr>
        <w:pStyle w:val="TextoNormal"/>
      </w:pPr>
    </w:p>
    <w:p w:rsidR="0085709A" w:rsidRDefault="0085709A" w:rsidP="0085709A">
      <w:pPr>
        <w:pStyle w:val="TextoNormal"/>
      </w:pPr>
      <w:r>
        <w:t xml:space="preserve">Ahora bien, de tal declaración no cabe deducir, como pretende la Generalitat de Cataluña, que la impugnación deba ser inadmitida en la parte relativa a las alegaciones de carácter competencial, sino únicamente que cuando la impugnación se fundamente solo en ese tipo de vulneraciones, se estará, materialmente, ante un conflicto de competencias, incluso aunque se acuda por la vía prevista en el título V LOTC. Debe tenerse en cuenta que, en tales casos, aunque el Gobierno formule la impugnación invocando expresamente el procedimiento regulado en el citado título V LOTC, los requisitos procesales que debe cumplir para que la impugnación sea admitida a trámite son los mismos que los establecidos para que el Gobierno pueda plantear directamente el conflicto positivo de competencias: el plazo para recurrir es, en ambos supuestos, de dos meses (arts. 62 y 76 LOTC), y la impugnación, por expresa disposición del art. 77, “sea cual fuere el motivo en que se base” debe formularse y sustanciarse por el procedimiento previsto en los arts. 62 a 67 LOTC, que es por el que se </w:t>
      </w:r>
      <w:r>
        <w:lastRenderedPageBreak/>
        <w:t>tramitan los conflictos positivos de competencias. De ahí que la STC 184/1996, ante una impugnación formulada por la vía prevista en el título V LOTC que se fundamentaba únicamente en la infracción del orden constitucional de competencias, entendiera que “dada la remisión que el art. 77 LOTC efectúa a los arts. 62 a 67 también de la LOTC que regulan los conflictos de competencia, nada impide que resolvamos en este proceso la controversia planteada declarando la titularidad de la competencia controvertida”.</w:t>
      </w:r>
    </w:p>
    <w:p w:rsidR="0085709A" w:rsidRDefault="0085709A" w:rsidP="0085709A">
      <w:pPr>
        <w:pStyle w:val="TextoNormal"/>
      </w:pPr>
    </w:p>
    <w:p w:rsidR="0085709A" w:rsidRDefault="0085709A" w:rsidP="0085709A">
      <w:pPr>
        <w:pStyle w:val="TextoNormal"/>
      </w:pPr>
      <w:r>
        <w:t>En consecuencia, no procede apreciar la causa de inadmisibilidad parcial de la impugnación alegada por la Generalitat de Cataluña.</w:t>
      </w:r>
    </w:p>
    <w:p w:rsidR="0085709A" w:rsidRDefault="0085709A" w:rsidP="0085709A">
      <w:pPr>
        <w:pStyle w:val="TextoNormal"/>
      </w:pPr>
    </w:p>
    <w:p w:rsidR="0085709A" w:rsidRDefault="0085709A" w:rsidP="0085709A">
      <w:pPr>
        <w:pStyle w:val="TextoNormal"/>
      </w:pPr>
      <w:r w:rsidRPr="0085709A">
        <w:rPr>
          <w:rStyle w:val="NumeroAFNegritaCaracter"/>
        </w:rPr>
        <w:t>3</w:t>
      </w:r>
      <w:r>
        <w:t>. La resolución de la presente impugnación exige, en primer lugar, determinar si la consulta convocada por el Decreto 129/2014 es una consulta popular de carácter no referendario, tal y como el propio Decreto establece y alegan los Letrados de la Generalitat, o si la consulta convocada, a pesar de su denominación, tiene carácter referendario, como sostiene el Abogado del Estado.</w:t>
      </w:r>
    </w:p>
    <w:p w:rsidR="0085709A" w:rsidRDefault="0085709A" w:rsidP="0085709A">
      <w:pPr>
        <w:pStyle w:val="TextoNormal"/>
      </w:pPr>
    </w:p>
    <w:p w:rsidR="0085709A" w:rsidRDefault="0085709A" w:rsidP="0085709A">
      <w:pPr>
        <w:pStyle w:val="TextoNormal"/>
      </w:pPr>
      <w:r>
        <w:t>Para resolver esta cuestión ha de estarse a la doctrina establecida en la STC 31/2015, de esta misma fecha, por la que se declaran inconstitucionales y nulos los incisos del art. 3.3 de la Ley del Parlamento de Cataluña 10/2014, de 26 de septiembre, de consultas populares no referendarias y otras formas de participación ciudadana que se refieren a las consultas generales, al considerar que este tipo de consultas tenía carácter referendario.</w:t>
      </w:r>
    </w:p>
    <w:p w:rsidR="0085709A" w:rsidRDefault="0085709A" w:rsidP="0085709A">
      <w:pPr>
        <w:pStyle w:val="TextoNormal"/>
      </w:pPr>
    </w:p>
    <w:p w:rsidR="0085709A" w:rsidRDefault="0085709A" w:rsidP="0085709A">
      <w:pPr>
        <w:pStyle w:val="TextoNormal"/>
      </w:pPr>
      <w:r>
        <w:t>La declaración de inconstitucionalidad y nulidad del art. 3.3 de la Ley del Parlamento de Cataluña 10/2014, en la parte que se refiere a las consultas populares de carácter general, por la STC de esta misma fecha conlleva que el Decreto 129/2014, al convocar, al amparo de esta Ley, una consulta de carácter general y, por tanto, de naturaleza referendaria, incurra en las mismas infracciones de la Constitución en las que incurrió esta norma.</w:t>
      </w:r>
    </w:p>
    <w:p w:rsidR="0085709A" w:rsidRDefault="0085709A" w:rsidP="0085709A">
      <w:pPr>
        <w:pStyle w:val="TextoNormal"/>
      </w:pPr>
    </w:p>
    <w:p w:rsidR="0085709A" w:rsidRDefault="0085709A" w:rsidP="0085709A">
      <w:pPr>
        <w:pStyle w:val="TextoNormal"/>
      </w:pPr>
      <w:r>
        <w:t>En efecto, el Decreto impugnado, al llamar a participar a los mayores de dieciséis años que tengan la condición política de catalanes y a los extranjeros que sean también mayores de dieciséis años y cumplan los requisitos establecidos en su art. 4 b) y c), para que mediante el sufragio y a través del procedimiento y garantías establecidos en la Ley 10/2014 y en el propio Decreto —normas que establecen un procedimiento y unas garantías de carácter electoral— expresen su opinión sobre la cuestión sometida a su consideración, está convocando una consulta referendaria y, por tanto, incurre, como se ha adelantado, en las mismas infracciones constitucionales en las que incurre la Ley 10/2014, de la que es aplicación, al regular las consultas generales.</w:t>
      </w:r>
    </w:p>
    <w:p w:rsidR="0085709A" w:rsidRDefault="0085709A" w:rsidP="0085709A">
      <w:pPr>
        <w:pStyle w:val="TextoNormal"/>
      </w:pPr>
    </w:p>
    <w:p w:rsidR="0085709A" w:rsidRDefault="0085709A" w:rsidP="0085709A">
      <w:pPr>
        <w:pStyle w:val="TextoNormal"/>
      </w:pPr>
      <w:r>
        <w:t>El Decreto 129/2014, al convocar una consulta al amparo de lo establecido en la Ley 10/2014 y, en desarrollo de esta Ley, establecer la regulación específica por la que se rige la consulta convocada, vulnera las competencias del Estado en materia de referéndum, al haber convocado un referéndum sin la preceptiva autorización estatal, como exige el art. 149.1.32 CE, y sin seguir los procedimientos y garantías constitucionalmente exigidos, que, como declara este Tribunal en la Sentencia 31/2015, de esta misma fecha, solo pueden ser aquellos establecidos por el legislador estatal, que es a quien la Constitución ha encomendado regular el proceso y las garantías electorales (art. 149.1.1 CE en relación con los arts. 23.1 CE, 81.1 CE y 92.3 CE y art. 149.1.32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Las consideraciones anteriores determinan que el Decreto 129/2014 y sus anexos, al convocar una consulta de carácter referendario y establecer las reglas y previsiones específicas para su celebración, deban ser declarados inconstitucionales y nulos por los mismos motivos por los que la Sentencia de esta misma fecha, declara inconstitucionales y nulos los dos primeros enunciados del arts. 3.3, relativos a las consultas generales y los apartados 4 a 9 del art. 16 de la Ley 10/2014, de 26 de septiembre, de consultas populares no referendarias y otras formas de participación ciudadana, de la que el Decreto 129/2014 es aplicación. Una vez estimada íntegramente la impugnación por estos motivos no procede examinar el resto de las alegaciones aducidas.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impugnación de disposiciones autonómicas (título V LOTC) promovida por el Abogado del Estado, en representación del Gobierno y, en consecuencia:</w:t>
      </w:r>
    </w:p>
    <w:p w:rsidR="0085709A" w:rsidRDefault="0085709A" w:rsidP="0085709A">
      <w:pPr>
        <w:pStyle w:val="TextoNormal"/>
      </w:pPr>
    </w:p>
    <w:p w:rsidR="0085709A" w:rsidRDefault="0085709A" w:rsidP="0085709A">
      <w:pPr>
        <w:pStyle w:val="TextoNormal"/>
      </w:pPr>
      <w:r>
        <w:t>Declarar que el Decreto 129/2014, de 27 de septiembre, de convocatoria de la consulta popular no referendaria sobre el futuro político de Cataluña y sus anexos son inconstitucionales y nulos.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febrero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6" w:name="SENTENCIA_2015_33"/>
      <w:r>
        <w:lastRenderedPageBreak/>
        <w:t>SENTENCIA 33/2015, de 2 de marzo de 2015</w:t>
      </w:r>
    </w:p>
    <w:bookmarkEnd w:id="36"/>
    <w:p w:rsidR="0085709A" w:rsidRDefault="0085709A" w:rsidP="0085709A">
      <w:pPr>
        <w:pStyle w:val="TtuloResolucin"/>
      </w:pPr>
      <w:r>
        <w:t>Sala Segunda</w:t>
      </w:r>
    </w:p>
    <w:p w:rsidR="0085709A" w:rsidRDefault="0085709A" w:rsidP="0085709A">
      <w:pPr>
        <w:pStyle w:val="TtuloBOE"/>
      </w:pPr>
      <w:r>
        <w:t>(BOE núm. 85, de 9 de abril de 2015)</w:t>
      </w:r>
    </w:p>
    <w:p w:rsidR="0085709A" w:rsidRDefault="0085709A" w:rsidP="0085709A">
      <w:pPr>
        <w:pStyle w:val="TextoNormalCentrado"/>
      </w:pPr>
      <w:r>
        <w:t>ECLI:ES:TC:2015:33</w:t>
      </w:r>
    </w:p>
    <w:p w:rsidR="0085709A" w:rsidRDefault="0085709A" w:rsidP="0085709A">
      <w:pPr>
        <w:pStyle w:val="TextoNormalCentrado"/>
      </w:pPr>
    </w:p>
    <w:p w:rsidR="0085709A" w:rsidRDefault="0085709A" w:rsidP="0085709A">
      <w:pPr>
        <w:pStyle w:val="SntesisDescriptiva"/>
      </w:pPr>
      <w:r>
        <w:t>Recurso de amparo 686-2012. Promovido por don Adam Ujidos López en relación con las Sentencias de la Sala de lo Penal del Tribunal Supremo y de la Audiencia Provincial de Barcelona que le condenaron por un delito contra la salud pública.</w:t>
      </w:r>
    </w:p>
    <w:p w:rsidR="0085709A" w:rsidRDefault="0085709A" w:rsidP="0085709A">
      <w:pPr>
        <w:pStyle w:val="SntesisDescriptiva"/>
      </w:pPr>
    </w:p>
    <w:p w:rsidR="0085709A" w:rsidRDefault="0085709A" w:rsidP="0085709A">
      <w:pPr>
        <w:pStyle w:val="SntesisAnaltica"/>
      </w:pPr>
      <w:r>
        <w:t>Supuesta vulneración de los derechos a la tutela judicial efectiva, a un proceso con todas las garantías y a la presunción de inocencia: valor de las declaraciones autoinculpatorias prestadas en diligencias policiales (STC 165/2014).</w:t>
      </w:r>
    </w:p>
    <w:p w:rsidR="0085709A" w:rsidRDefault="0085709A" w:rsidP="0085709A">
      <w:pPr>
        <w:pStyle w:val="SntesisAnaltica"/>
      </w:pPr>
    </w:p>
    <w:p w:rsidR="0085709A" w:rsidRDefault="0085709A" w:rsidP="0085709A">
      <w:pPr>
        <w:pStyle w:val="Extracto"/>
      </w:pPr>
      <w:r>
        <w:t>1.</w:t>
      </w:r>
      <w:r>
        <w:tab/>
        <w:t>El testimonio prestado en la vista oral por los agentes de policía participantes en el interrogatorio y redacción del atestado resultaba idóneo para que el Tribunal formara juicio acerca de las circunstancias en que se prestó su declaración como detenido y, en concreto, de su regularidad [FJ 6].</w:t>
      </w:r>
    </w:p>
    <w:p w:rsidR="0085709A" w:rsidRDefault="0085709A" w:rsidP="0085709A">
      <w:pPr>
        <w:pStyle w:val="Extracto"/>
      </w:pPr>
    </w:p>
    <w:p w:rsidR="0085709A" w:rsidRDefault="0085709A" w:rsidP="0085709A">
      <w:pPr>
        <w:pStyle w:val="Extracto"/>
      </w:pPr>
      <w:r>
        <w:t>2.</w:t>
      </w:r>
      <w:r>
        <w:tab/>
        <w:t>La prueba de cargo se sitúa no en la declaración policial, sino en el conjunto de datos que devienen acreditados por medios probatorios procesalmente idóneos y que llevan a alcanzar una inferencia razonable de la participación del sujeto, inicialmente reconocida y luego desmentida [FJ 6].</w:t>
      </w:r>
    </w:p>
    <w:p w:rsidR="0085709A" w:rsidRDefault="0085709A" w:rsidP="0085709A">
      <w:pPr>
        <w:pStyle w:val="Extracto"/>
      </w:pPr>
    </w:p>
    <w:p w:rsidR="0085709A" w:rsidRDefault="0085709A" w:rsidP="0085709A">
      <w:pPr>
        <w:pStyle w:val="Extracto"/>
      </w:pPr>
      <w:r>
        <w:t>3.</w:t>
      </w:r>
      <w:r>
        <w:tab/>
        <w:t>No es infundado, inferir, de la pluralidad de indicios que expone el Tribunal a quo, la participación personal del demandante según sólidos indicios obtenidos de auténticas pruebas de modo regular, válida y oportunamente practicadas en el plenario, que vino a acreditar la veracidad de aquellos primeros datos que él mismo proporcionó y que conducen, fundada y racionalmente, a la convicción obtenida por el órgano encargado del enjuiciamiento al afirmar su responsabilidad penal [FJ 6].</w:t>
      </w:r>
    </w:p>
    <w:p w:rsidR="0085709A" w:rsidRDefault="0085709A" w:rsidP="0085709A">
      <w:pPr>
        <w:pStyle w:val="Extracto"/>
      </w:pPr>
    </w:p>
    <w:p w:rsidR="0085709A" w:rsidRDefault="0085709A" w:rsidP="0085709A">
      <w:pPr>
        <w:pStyle w:val="Extracto"/>
      </w:pPr>
      <w:r>
        <w:t>4.</w:t>
      </w:r>
      <w:r>
        <w:tab/>
        <w:t>La presunción de inocencia, además de ser criterio informador del ordenamiento procesal penal, es ante todo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las garantías procesales y libremente valorada por los Tribunales penales, pueda entenderse de cargo (SSTC 137/1988, 51/1995) [FJ 4].</w:t>
      </w:r>
    </w:p>
    <w:p w:rsidR="0085709A" w:rsidRDefault="0085709A" w:rsidP="0085709A">
      <w:pPr>
        <w:pStyle w:val="Extracto"/>
      </w:pPr>
    </w:p>
    <w:p w:rsidR="0085709A" w:rsidRDefault="0085709A" w:rsidP="0085709A">
      <w:pPr>
        <w:pStyle w:val="Extracto"/>
      </w:pPr>
      <w:r>
        <w:t>5.</w:t>
      </w:r>
      <w:r>
        <w:tab/>
        <w:t>La posibilidad de otorgar la condición de prueba a declaraciones prestadas extramuros del juicio oral no alcanza a las practicadas ante la policía, sino que tal declaración, al formar parte del atestado, tiene, en principio, únicamente valor de denuncia, como señala el art. 297 de la LECrim, por lo que, considerado en sí mismo el atestado se erige en objeto de prueba y no en medio de prueba, y los hechos que en él se afirman por funcionarios, testigos o imputados han de ser introducidos en el juicio oral a través de auténticos medios probatorios (STC 68/2010) [FJ 4].</w:t>
      </w:r>
    </w:p>
    <w:p w:rsidR="0085709A" w:rsidRDefault="0085709A" w:rsidP="0085709A">
      <w:pPr>
        <w:pStyle w:val="Extracto"/>
      </w:pPr>
    </w:p>
    <w:p w:rsidR="0085709A" w:rsidRDefault="0085709A" w:rsidP="0085709A">
      <w:pPr>
        <w:pStyle w:val="Extracto"/>
      </w:pPr>
      <w:r>
        <w:lastRenderedPageBreak/>
        <w:t>6.</w:t>
      </w:r>
      <w:r>
        <w:tab/>
        <w:t>Las declaraciones obrantes en los atestados policiales no tienen valor probatorio de cargo y, singularmente, ni las declaraciones autoincriminatorias ni las heteroinculpatorias prestadas ante la policía pueden ser consideradas exponentes de prueba anticipada o de prueba preconstituida [FJ 4].</w:t>
      </w:r>
    </w:p>
    <w:p w:rsidR="0085709A" w:rsidRDefault="0085709A" w:rsidP="0085709A">
      <w:pPr>
        <w:pStyle w:val="Extracto"/>
      </w:pPr>
    </w:p>
    <w:p w:rsidR="0085709A" w:rsidRDefault="0085709A" w:rsidP="0085709A">
      <w:pPr>
        <w:pStyle w:val="Extracto"/>
      </w:pPr>
      <w:r>
        <w:t>7.</w:t>
      </w:r>
      <w:r>
        <w:tab/>
        <w:t xml:space="preserve">Sólo cuando se produzca una rectificación o retractación del contenido en el acto del juicio oral, </w:t>
      </w:r>
      <w:r w:rsidRPr="0085709A">
        <w:rPr>
          <w:i/>
        </w:rPr>
        <w:t>ex</w:t>
      </w:r>
      <w:r>
        <w:t xml:space="preserve"> art. 714 de la Ley de enjuiciamiento criminal- o bien una imposibilidad material de su reproducción -art. 730 LECrim-, las declaraciones prestadas con anterioridad podrán alcanzar el valor de prueba de cargo, siempre y cuando se reproduzcan en el acto del juicio oral mediante la lectura pública del acta en la que se documentaron o la introducción de su contenido a través de los interrogatorios, pero bajo la condición de que se trate de declaraciones prestadas ante el Juez de Instrucción [FJ 4].</w:t>
      </w:r>
    </w:p>
    <w:p w:rsidR="0085709A" w:rsidRDefault="0085709A" w:rsidP="0085709A">
      <w:pPr>
        <w:pStyle w:val="Extracto"/>
      </w:pPr>
    </w:p>
    <w:p w:rsidR="0085709A" w:rsidRDefault="0085709A" w:rsidP="0085709A">
      <w:pPr>
        <w:pStyle w:val="Extracto"/>
      </w:pPr>
      <w:r>
        <w:t>8.</w:t>
      </w:r>
      <w:r>
        <w:tab/>
        <w:t>Para que la confesión ante la policía se convierta en prueba no basta con que se tenga por reproducida en el juicio oral, sino que es preciso que sea reiterada y ratificada ante el órgano judicial,  sin que pueda confundirse la acreditación de la existencia de un acto (declaración ante la policía) con una veracidad y refrendo de sus contenidos que alcance carácter o condición de prueba por sí sola (STC 53/2013) [FJ. 4].</w:t>
      </w:r>
    </w:p>
    <w:p w:rsidR="0085709A" w:rsidRDefault="0085709A" w:rsidP="0085709A">
      <w:pPr>
        <w:pStyle w:val="Extracto"/>
      </w:pPr>
    </w:p>
    <w:p w:rsidR="0085709A" w:rsidRDefault="0085709A" w:rsidP="0085709A">
      <w:pPr>
        <w:pStyle w:val="Extracto"/>
      </w:pPr>
      <w:r>
        <w:t>9.</w:t>
      </w:r>
      <w:r>
        <w:tab/>
        <w:t>Aunque la declaración autoinculpatoria en el curso de las diligencias policiales no es una prueba de confesión, ni tiene valor de prueba de cargo para sustentar la condena según se ha razonado, sí es una manifestación voluntaria y libre documentada que cuando se realiza con observancia de requisitos legales adquiere existencia jurídica [FJ 5].</w:t>
      </w:r>
    </w:p>
    <w:p w:rsidR="0085709A" w:rsidRDefault="0085709A" w:rsidP="0085709A">
      <w:pPr>
        <w:pStyle w:val="Extracto"/>
      </w:pPr>
    </w:p>
    <w:p w:rsidR="0085709A" w:rsidRDefault="0085709A" w:rsidP="0085709A">
      <w:pPr>
        <w:pStyle w:val="Extracto"/>
      </w:pPr>
      <w:r>
        <w:t>10.</w:t>
      </w:r>
      <w:r>
        <w:tab/>
        <w:t>El juicio de constitucionalidad válido cuando las declaraciones autoinculpatorias documentadas en el atestado policial manifiestan hechos  acreditados por otros medios de prueba, presenta tres planos: Comprobar que la declaración fue regularmente obtenida;  examinar si hubo prueba de cargo válidamente practicada que avale los datos objetivos que de aquella declaración pudieren extraerse, convirtiendo el objeto de prueba en hecho acreditado, pues aquella declaración en sí misma considerada no tiene valor probatorio alguno; y constatar si, a partir de la convicción judicial es posible concluir que la presunción de inocencia del demandante resultó rectamente enervada [FJ 5].</w:t>
      </w:r>
    </w:p>
    <w:p w:rsidR="0085709A" w:rsidRDefault="0085709A" w:rsidP="0085709A">
      <w:pPr>
        <w:pStyle w:val="Extracto"/>
      </w:pPr>
    </w:p>
    <w:p w:rsidR="0085709A" w:rsidRDefault="0085709A" w:rsidP="0085709A">
      <w:pPr>
        <w:pStyle w:val="Extracto"/>
      </w:pPr>
      <w:r>
        <w:t>11.</w:t>
      </w:r>
      <w:r>
        <w:tab/>
        <w:t>Doctrina en relación con la eficacia probatoria de las manifestaciones autoinculpatorias vertidas en el curso de unas diligencias policiales cuando a ellas sigue la posterior retractación del deponente ante la autoridad judicial (SSTC 68/2010, 165/2014) [FJ 4].</w:t>
      </w:r>
    </w:p>
    <w:p w:rsidR="0085709A" w:rsidRDefault="0085709A" w:rsidP="0085709A">
      <w:pPr>
        <w:pStyle w:val="Extracto"/>
      </w:pPr>
    </w:p>
    <w:p w:rsidR="0085709A" w:rsidRDefault="0085709A" w:rsidP="0085709A">
      <w:pPr>
        <w:pStyle w:val="Extracto"/>
      </w:pPr>
      <w:r>
        <w:t>12.</w:t>
      </w:r>
      <w:r>
        <w:tab/>
        <w:t>Doctrina sobre tutela judicial efectiva en relación con el derecho a obtener de los órganos judiciales una respuesta razonada, motivada, fundada en Derecho y congruente con las pretensiones oportunamente deducidas por las partes (STC 178/2014)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686-2012, promovido por don Adam Ujidos López, representado por la Procuradora de los Tribunales doña Rosalía Rosique Samper y asistido por la Abogada doña Marta Clapés Cascón, contra la Sentencia y el posterior Auto dictados por la Sala de lo Penal del Tribunal Supremo con fechas 17 de noviembre de 2011 y 25 de enero de 2012, respectivamente, resoluciones por las que dicho Tribunal vino a confirmar lo decidido respecto del demandante por la Sección Tercera de la Audiencia Provincial de Barcelona en su Sentencia de 4 de febrero de 2010, desestimando su recurso de casación e inadmitiendo el ulterior incidente de nulidad promovido por el mismo.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6 de febrero de 2012, la Procuradora de los Tribunales doña Rosalía Rosique Samper, en nombre y representación de don Adam Ujidos López, interpuso recurso de amparo contra las resoluciones judiciales que se citan en el encabezamiento, estimando vulnerados a través de ellas sus derechos a la tutela judicial efectiva, a un proceso con todas las garantías y a la presunción de inocencia (art. 24.1 y 2 CE), al tiempo que solicitaba por otrosí la suspensión cautelar de la ejecución de la condena.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t xml:space="preserve">a) El 4 de febrero de 2010 la Sección Tercera de la Audiencia Provincial de Barcelona dictó Sentencia en el procedimiento abreviado núm. 21-2009, dimanante de las diligencias previas núm. 353-2008 del Juzgado de Instrucción núm. 3 de Mataró, condenando al demandante de amparo como coautor de un delito contra la salud pública, al haber asumido labores de vigilancia (en la jerga habitual, “aguador”) en aras de preservar el éxito del desembarco clandestino de un alijo de 101 fardos con 3.209 kilogramos de hachís que, vía marítima, había arribado al puerto de El Masnou cargado en el yate “Dolphin”, procedente de Marruecos y con pabellón holandés, para su ulterior distribución mediante labores de tráfico ilícito. En concreto, en ejecución de dicho plan y asumiendo la función que le había sido encomendada por el también acusado Antonio R.B., hacia las 18:00 horas del 18 de noviembre de 2007 el demandante se apostó a bordo del vehículo de su propiedad Peugeot 206, de color rojo y con placas de matrícula 7403-CFF, acompañado del también acusado Rafael G.M., en la carretera Nacional-II junto a la entrada sur del puerto de El Masnou, con </w:t>
      </w:r>
      <w:r>
        <w:lastRenderedPageBreak/>
        <w:t>el cometido de advertir, dado el caso, de la presencia policial y/o de la llegada de vehículos sospechosos mediante llamada al teléfono móvil del también acusado Valentín V.</w:t>
      </w:r>
    </w:p>
    <w:p w:rsidR="0085709A" w:rsidRDefault="0085709A" w:rsidP="0085709A">
      <w:pPr>
        <w:pStyle w:val="TextoNormal"/>
      </w:pPr>
    </w:p>
    <w:p w:rsidR="0085709A" w:rsidRDefault="0085709A" w:rsidP="0085709A">
      <w:pPr>
        <w:pStyle w:val="TextoNormal"/>
      </w:pPr>
      <w:r>
        <w:t>A lo largo de los fundamentos jurídicos 3 a 10 de su Sentencia, la Audiencia Provincial especifica el concreto rol asumido por cada acusado desde el material probatorio que lo justifica, explicitando las conexiones entre todos ellos. En cualquier caso, cobran especial relevancia en el desarrollo de su convicción de conjunto los resultados de las intervenciones de las conversaciones telefónicas habidas entre diversos miembros del grupo; particularmente, aquéllas en las que, desde su relevante posición dentro de la organización, Valentín da continuas instrucciones a Antonio R.B. que incluyen la hora en la que los vigilantes o “aguadores” deben estar en sus puestos, así como aquéllas en las que éste, por su parte, indica a Valentín V. la elección de los puntos en los que va a situarlos o bien le da cuenta de las sospechas de estos últimos sobre una posible presencia policial en los días previos al de autos, abortándose entonces la operación de desembarco; asimismo, las directamente habidas entre Valentín V. y uno de estos vigilantes (Raúl L.), en las cuales aquél da a éste instrucciones coincidentes con las impartidas a Antonio R. B. sobre la función a asumir, hora y punto exacto en el que colocarse, así como teléfono al que debe llamar si advierte presencia policial o algún vehículo sospechoso.</w:t>
      </w:r>
    </w:p>
    <w:p w:rsidR="0085709A" w:rsidRDefault="0085709A" w:rsidP="0085709A">
      <w:pPr>
        <w:pStyle w:val="TextoNormal"/>
      </w:pPr>
    </w:p>
    <w:p w:rsidR="0085709A" w:rsidRDefault="0085709A" w:rsidP="0085709A">
      <w:pPr>
        <w:pStyle w:val="TextoNormal"/>
      </w:pPr>
      <w:r>
        <w:t>En lo que afecta al demandante, la Audiencia Provincial soporta la apuntada participación en los hechos sobre un conjunto de indicios específicos, si bien enlazados con los anteriores, entre los cuales destacan (fundamento de Derecho 6): 1) que el demandante fue detenido cuando conducía el señalado Peugeot 206 de su propiedad, estando acompañado del también acusado Rafael G.M. y procediéndose a la detención de ambos; 2) que el momento de la detención es inmediato al desembarco de la droga, materializándose precisamente en la carretera que conduce al puerto; 3) que el citado vehículo había sido visto por las inmediaciones del puerto en los días anteriores, dando continuas vueltas por la zona, por parte de los agentes que practicaron las vigilancias policiales; 4) que en su declaración policial, estando debidamente asistido de Letrado, el demandante reconoció su participación en los hechos, aportando detalles muy concretos de la operación, tales como el nombre de la persona que contactó con él para ofrecerle la vigilancia (su cuñado “Toni”), la cantidad aproximada de dinero que iba a percibir por ello, el punto exacto que tenía que vigilar, el número de móvil al que debía telefonear si detectaba presencia policial en el momento del desembarco de la droga y la persona por la que en tal caso tendría que preguntar, aportando igualmente datos de la misma; y 5) dicho número de teléfono móvil coincide con aquél que se encontraba intervenido en sendas diligencias penales abiertas ante los Juzgados de Palma de Mallorca y de Torremolinos, figurando como usuario del mismo Valentín V.</w:t>
      </w:r>
    </w:p>
    <w:p w:rsidR="0085709A" w:rsidRDefault="0085709A" w:rsidP="0085709A">
      <w:pPr>
        <w:pStyle w:val="TextoNormal"/>
      </w:pPr>
    </w:p>
    <w:p w:rsidR="0085709A" w:rsidRDefault="0085709A" w:rsidP="0085709A">
      <w:pPr>
        <w:pStyle w:val="TextoNormal"/>
      </w:pPr>
      <w:r>
        <w:t xml:space="preserve">Acerca del valor que cabe atribuir a estas manifestaciones policiales, expone la Audiencia que, si bien el ahora demandante vino a desmentir todo lo anterior tanto ante el Juez de Instrucción como durante el plenario, reconoció en la vista oral la existencia misma de la declaración, como también la coincidencia de cuanto depuso con el contenido que refleja el acta. Alegó, no obstante, que aquellas manifestaciones fueron fruto de la “presión policial” a la que se vio sometido de cara a su puesta en libertad. Al respecto, incide el Tribunal en que, reconocida esa fidelidad del acta policial e interrogado expresamente el acusado en dicho acto sobre la razón de ser de cuanto manifestó entonces, de forma notablemente coincidente con lo también expuesto por Rafael G.M., la justificación ofrecida por el deponente se estima carente de credibilidad, pues, por un lado, declaró debidamente asistido de Letrado </w:t>
      </w:r>
      <w:r>
        <w:lastRenderedPageBreak/>
        <w:t>y, por otro, de la realidad de su declaración y de las regulares circunstancias en que se prestó dio, asimismo, testimonio en el plenario el agente del Cuerpo Nacional de Policía núm. 80.172, que actuó como Secretario de la diligencia.</w:t>
      </w:r>
    </w:p>
    <w:p w:rsidR="0085709A" w:rsidRDefault="0085709A" w:rsidP="0085709A">
      <w:pPr>
        <w:pStyle w:val="TextoNormal"/>
      </w:pPr>
    </w:p>
    <w:p w:rsidR="0085709A" w:rsidRDefault="0085709A" w:rsidP="0085709A">
      <w:pPr>
        <w:pStyle w:val="TextoNormal"/>
      </w:pPr>
      <w:r>
        <w:t>Al margen de la autoincriminación policial efectuada por el demandante, la prueba de su participación como vigilante o “aguador” se estima también acreditada a través de las testificales prestadas por los diferentes agentes que participaron en la operación (fundamento de Derecho 3), destacándose entre ellas la del agente del Cuerpo Nacional de Policía núm. 75874 que intervino en la detención del demandante, precisamente cuando trataba de abandonar la zona por la carretera de acceso al puerto (fundamento de Derecho 6).</w:t>
      </w:r>
    </w:p>
    <w:p w:rsidR="0085709A" w:rsidRDefault="0085709A" w:rsidP="0085709A">
      <w:pPr>
        <w:pStyle w:val="TextoNormal"/>
      </w:pPr>
    </w:p>
    <w:p w:rsidR="0085709A" w:rsidRDefault="0085709A" w:rsidP="0085709A">
      <w:pPr>
        <w:pStyle w:val="TextoNormal"/>
      </w:pPr>
      <w:r>
        <w:t>Para la Audiencia, el hecho de que “varias veces se intentara el desembarco y no pudiera realizarse, llegando incluso todos los partícipes a ocupar su puesto en las inmediaciones del puerto en varias ocasiones, acredita que todos ellos conocían la envergadura de la operación, es decir, que iba a llegar una embarcación con droga en su interior, por lo que necesariamente debía tratarse de una importante cantidad”, para lo cual “facilitaron sus móviles y esperaban la llamada para ocupar su posición o cumplir su misión” (fundamento de Derecho 3, inciso tercero), no albergando la Sala duda alguna acerca de que todos los acusados participaron de común acuerdo en la introducción del alijo, cada uno desde la concreta posición y función encomendadas y asumidas (fundamento de Derecho 3, inciso segundo).</w:t>
      </w:r>
    </w:p>
    <w:p w:rsidR="0085709A" w:rsidRDefault="0085709A" w:rsidP="0085709A">
      <w:pPr>
        <w:pStyle w:val="TextoNormal"/>
      </w:pPr>
    </w:p>
    <w:p w:rsidR="0085709A" w:rsidRDefault="0085709A" w:rsidP="0085709A">
      <w:pPr>
        <w:pStyle w:val="TextoNormal"/>
      </w:pPr>
      <w:r>
        <w:t>b) El demandante reaccionó frente al fallo judicial interponiendo recurso de casación ante la Sala de lo Penal del Tribunal Supremo. En lo que interesa a los efectos de la actual demanda de amparo, expuso que la Sentencia de instancia se había dictado sin verdadera prueba de cargo, al sostenerse sobre el único pilar de haber sido encontrado a bordo del Peugeot 206 de su propiedad, en marcha y en dirección a Barcelona, a unos dos kilómetros del punto portuario donde poco antes se había producido el desembarco del hachís; sin que el contenido de su declaración policial autoinculpatoria pueda servir de base a la condena, ya que, lejos de ratificarla en sede judicial y en el juicio oral, el recurrente vino a desmentir en ambas ocasiones lo que entonces había manifestado, aportando razones que justificaban su presencia en la zona y sosteniendo que, aunque asistido de Letrado, tales manifestaciones policiales, lejos de ser espontáneas, estuvieron incitadas por la promesa de una inmediata puesta en libertad.</w:t>
      </w:r>
    </w:p>
    <w:p w:rsidR="0085709A" w:rsidRDefault="0085709A" w:rsidP="0085709A">
      <w:pPr>
        <w:pStyle w:val="TextoNormal"/>
      </w:pPr>
    </w:p>
    <w:p w:rsidR="0085709A" w:rsidRDefault="0085709A" w:rsidP="0085709A">
      <w:pPr>
        <w:pStyle w:val="TextoNormal"/>
      </w:pPr>
      <w:r>
        <w:t>Asimismo, como elementos de descargo que en su opinión avalan lo anterior, apuntó el recurrente al hecho de que su nombre no aparezca en ninguna de las conversaciones telefónicas, como tampoco en ninguno de los informes policiales, de que su teléfono móvil no fuera intervenido y de que nadie le viera efectuando personalmente esas supuestas labores de vigilancia, pues ningún agente pudo confirmar que fuera él quien conducía el vehículo esos días previos al desembarco final.</w:t>
      </w:r>
    </w:p>
    <w:p w:rsidR="0085709A" w:rsidRDefault="0085709A" w:rsidP="0085709A">
      <w:pPr>
        <w:pStyle w:val="TextoNormal"/>
      </w:pPr>
    </w:p>
    <w:p w:rsidR="0085709A" w:rsidRDefault="0085709A" w:rsidP="0085709A">
      <w:pPr>
        <w:pStyle w:val="TextoNormal"/>
      </w:pPr>
      <w:r>
        <w:t>Estimaba que se había lesionado, de este modo, su derecho a la presunción de inocencia.</w:t>
      </w:r>
    </w:p>
    <w:p w:rsidR="0085709A" w:rsidRDefault="0085709A" w:rsidP="0085709A">
      <w:pPr>
        <w:pStyle w:val="TextoNormal"/>
      </w:pPr>
    </w:p>
    <w:p w:rsidR="0085709A" w:rsidRDefault="0085709A" w:rsidP="0085709A">
      <w:pPr>
        <w:pStyle w:val="TextoNormal"/>
      </w:pPr>
      <w:r>
        <w:t xml:space="preserve">c) La Sala de lo Penal del Tribunal Supremo, tras remitirse a lo subrayado con anterioridad para el análisis de similares motivos esgrimidos por algún otro recurrente, realiza una amplia exégesis tanto de la doctrina de este Tribunal Constitucional como de la jurisprudencia del propio Tribunal Supremo en materia de declaraciones policiales y presunción de inocencia, refiriéndose a continuación al acuerdo alcanzado el 28 de noviembre de 2006 por </w:t>
      </w:r>
      <w:r>
        <w:lastRenderedPageBreak/>
        <w:t>el Pleno no jurisdiccional de la propia Sala de lo Penal, conforme al cual la declaración prestada válidamente ante la policía puede ser incorporada al juicio oral en alguna de las formas admitidas por la jurisprudencia. Reflexionando sobre las objeciones que en ocasiones se han hecho al valor de la testifical prestada en el juicio oral por los policías y por el Letrado que presenciaron lo manifestado por el encartado en sede policial, destaca, en primer lugar, que dudar de su respectiva imparcialidad ante la posibilidad de reconocer una actuación profesional delictiva o indebida por su parte, supone partir de una inaceptable presunción de generalizado perjurio y de una irreal incapacidad para efectuar aclaraciones, precisiones o matizaciones sobre las circunstancias por ellos percibidas acerca de cómo tuvo lugar la declaración; en segundo lugar, que los mencionados testigos, siendo de referencia, no suplantan al autor de la declaración si éste se encuentra a disposición del Tribunal, pues el órgano de instancia no deja por ello de valorar mediante la percepción inmediata del lenguaje verbal e, incluso, corporal o gestual utilizado las manifestaciones del procesado, aunque sean parcial o totalmente evasivas o negatorias respecto de lo anteriormente reconocido.</w:t>
      </w:r>
    </w:p>
    <w:p w:rsidR="0085709A" w:rsidRDefault="0085709A" w:rsidP="0085709A">
      <w:pPr>
        <w:pStyle w:val="TextoNormal"/>
      </w:pPr>
    </w:p>
    <w:p w:rsidR="0085709A" w:rsidRDefault="0085709A" w:rsidP="0085709A">
      <w:pPr>
        <w:pStyle w:val="TextoNormal"/>
      </w:pPr>
      <w:r>
        <w:t>Reproduce, acto seguido, el fundamento de Derecho 6 de la Sentencia de instancia, a tenor del cual:</w:t>
      </w:r>
    </w:p>
    <w:p w:rsidR="0085709A" w:rsidRDefault="0085709A" w:rsidP="0085709A">
      <w:pPr>
        <w:pStyle w:val="TextoNormal"/>
      </w:pPr>
    </w:p>
    <w:p w:rsidR="0085709A" w:rsidRDefault="0085709A" w:rsidP="0085709A">
      <w:pPr>
        <w:pStyle w:val="TextoNormal"/>
      </w:pPr>
      <w:r>
        <w:t>“[A]unque la doctrina constitucional niega el carácter de prueba autónoma a las declaraciones policiales prestadas por los detenidos, deja no obstante expedita la posibilidad de valorar los datos objetivos que hayan accedido al proceso penal mediante su introducción procesal, practicada en sede del plenario, a través de las corroboraciones oportunas. En el caso, como dice la Sala de instancia y reconoce el propio recurrente, éste declaró asistido de Letrado (y así consta al fº 64, 65 de las actuaciones) en el sentido que reproduce aquélla. El Ministerio Fiscal introdujo en el Plenario tales manifestaciones (fº 1 a 166), proponiéndolas en sus conclusiones provisionales (fº 2685 y ss.) entre la documental que instó que se tuviera por reproducida en la Vista (vídeo nº 12 de la grabación), y a través del interrogatorio al que se sometió al acusado, quien -a diferencia de otros coacusados- contestó a sus preguntas, como también a las formuladas por las Defensas, en la Vista (fº 490 y ss. del acta, y grabación en CD nº 4, minuto 51 y ss.).</w:t>
      </w:r>
    </w:p>
    <w:p w:rsidR="0085709A" w:rsidRDefault="0085709A" w:rsidP="0085709A">
      <w:pPr>
        <w:pStyle w:val="TextoNormal"/>
      </w:pPr>
    </w:p>
    <w:p w:rsidR="0085709A" w:rsidRDefault="0085709A" w:rsidP="0085709A">
      <w:pPr>
        <w:pStyle w:val="TextoNormal"/>
      </w:pPr>
      <w:r>
        <w:t>Ciertamente, la STC 68/2010, de 10 de octubre, proclama que resulta irrelevante en el proceso, una vez que se ha declarado falta de validez de la declaración en sede policial, como prueba de cargo a corroborar, que la misma resulte corroborada por los agentes de Policía que asistieron al juicio, pero ello no será óbice para que, como señalábamos más arriba, se puedan tener en cuenta, a efectos de valoración, datos objetivos que hayan accedido al proceso penal mediante su introducción procesal practicada en sede del plenario a través de las corroboraciones oportunas. Y tampoco será obstáculo para que puedan ser valoradas como válidas pruebas de cargo otras que hayan accedido al juicio oral, produciéndose bajo principios como el de contradicción, con independencia de las manifestaciones extrajudiciales de los coacusados.</w:t>
      </w:r>
    </w:p>
    <w:p w:rsidR="0085709A" w:rsidRDefault="0085709A" w:rsidP="0085709A">
      <w:pPr>
        <w:pStyle w:val="TextoNormal"/>
      </w:pPr>
    </w:p>
    <w:p w:rsidR="0085709A" w:rsidRDefault="0085709A" w:rsidP="0085709A">
      <w:pPr>
        <w:pStyle w:val="TextoNormal"/>
      </w:pPr>
      <w:r>
        <w:t xml:space="preserve">Así, la Inspectora del C.N.P. núm. 87505 (fº 827 vtº y ss. del acta), en el acto de la vista del juicio oral prestó declaración sobre hechos de conocimiento propio -con el valor de prueba testifical, apreciable según las reglas del criterio racional, conforme a los arts. 297.2 y 717 LECr, y según ha admitido esta Sala en SSTS como la 1024/1997, de 29 de diciembre, 124/1998, de 6 de febrero; ó 1143/2000, de 26 de junio- y señaló que ‘ellos (Adam y Rafael) </w:t>
      </w:r>
      <w:r>
        <w:lastRenderedPageBreak/>
        <w:t>declararon que quien los captó fue Antonio hijo y que recibirían cantidad de dinero. Ellos declararon eso y firmado por ello, con todas las garantías’.</w:t>
      </w:r>
    </w:p>
    <w:p w:rsidR="0085709A" w:rsidRDefault="0085709A" w:rsidP="0085709A">
      <w:pPr>
        <w:pStyle w:val="TextoNormal"/>
      </w:pPr>
    </w:p>
    <w:p w:rsidR="0085709A" w:rsidRDefault="0085709A" w:rsidP="0085709A">
      <w:pPr>
        <w:pStyle w:val="TextoNormal"/>
      </w:pPr>
      <w:r>
        <w:t>En cuanto al reconocimiento del recurrente por los policías, aunque el PN 80172 manifestó haber visto al Peugeot por el puerto del Masnou, pero no a sus ocupantes, la Inspectora 87505 (fº 827 vtº y ss. del acta) confirmó haber visto el día 16 el coche de Adam y el reconocimiento de éste, ‘controlando la zona, la carretera. Se había visto en las vigilancias’. Y explicó por qué se decidió dejarlo en libertad cuando se le detuvo, ‘considerando que su participación, aunque activa, era menor que el resto de los implicados, y tenía domicilio conocido... Yo decidí la libertad de Adam y Rafael’.</w:t>
      </w:r>
    </w:p>
    <w:p w:rsidR="0085709A" w:rsidRDefault="0085709A" w:rsidP="0085709A">
      <w:pPr>
        <w:pStyle w:val="TextoNormal"/>
      </w:pPr>
    </w:p>
    <w:p w:rsidR="0085709A" w:rsidRDefault="0085709A" w:rsidP="0085709A">
      <w:pPr>
        <w:pStyle w:val="TextoNormal"/>
      </w:pPr>
      <w:r>
        <w:t>Igualmente precisó (fº 828 del acta) ‘que ella hizo constar los datos que parecieron relevantes. Que sí se vio el coche, y si no consta en diligencias quién iba dentro, es porque se consideró que lo importante era el coche’.</w:t>
      </w:r>
    </w:p>
    <w:p w:rsidR="0085709A" w:rsidRDefault="0085709A" w:rsidP="0085709A">
      <w:pPr>
        <w:pStyle w:val="TextoNormal"/>
      </w:pPr>
    </w:p>
    <w:p w:rsidR="0085709A" w:rsidRDefault="0085709A" w:rsidP="0085709A">
      <w:pPr>
        <w:pStyle w:val="TextoNormal"/>
      </w:pPr>
      <w:r>
        <w:t>Por todo ello, no procediendo llevar a cabo ahora una nueva valoración de la prueba, faltando para ello la imprescindible inmediación procesal; y habida cuenta de que tal valoración no se aparta de las reglas de la lógica y del criterio humano y no es, por lo tanto, irracional, manifiestamente errónea o arbitraria la inferencia realizada por el tribunal de instancia (STS 3-10-2005), el motivo ha de ser desestimado.”</w:t>
      </w:r>
    </w:p>
    <w:p w:rsidR="0085709A" w:rsidRDefault="0085709A" w:rsidP="0085709A">
      <w:pPr>
        <w:pStyle w:val="TextoNormal"/>
      </w:pPr>
    </w:p>
    <w:p w:rsidR="0085709A" w:rsidRDefault="0085709A" w:rsidP="0085709A">
      <w:pPr>
        <w:pStyle w:val="TextoNormal"/>
      </w:pPr>
      <w:r>
        <w:t>El Tribunal Supremo desestimó, asimismo, los restantes motivos aducidos por el hoy demandante, confirmando íntegramente la condena dictada en la instancia. La decisión casacional contó, no obstante, con el Voto particular concurrente de dos de los Magistrados firmantes, ciñéndose su disidencia frente al criterio mayoritario a la apreciación de prueba bastante en la condena de don Adam Ujidos López.</w:t>
      </w:r>
    </w:p>
    <w:p w:rsidR="0085709A" w:rsidRDefault="0085709A" w:rsidP="0085709A">
      <w:pPr>
        <w:pStyle w:val="TextoNormal"/>
      </w:pPr>
    </w:p>
    <w:p w:rsidR="0085709A" w:rsidRDefault="0085709A" w:rsidP="0085709A">
      <w:pPr>
        <w:pStyle w:val="TextoNormal"/>
      </w:pPr>
      <w:r>
        <w:t xml:space="preserve">d) Frente a la Sentencia de casación promovió el demandante incidente de nulidad de actuaciones. En lo que interesa a los efectos de la actual demanda de amparo, adujo lesión de sus derechos a la tutela judicial efectiva y a la presunción de inocencia por parte del Tribunal </w:t>
      </w:r>
      <w:r w:rsidRPr="0085709A">
        <w:rPr>
          <w:i/>
        </w:rPr>
        <w:t>ad quem</w:t>
      </w:r>
      <w:r>
        <w:t xml:space="preserve">, al haberse extralimitado en sus labores de control o revisión de la inferencia judicial de instancia, pues habría valorado determinadas pruebas que no lo habían sido, a su vez, por el Tribunal </w:t>
      </w:r>
      <w:r w:rsidRPr="0085709A">
        <w:rPr>
          <w:i/>
        </w:rPr>
        <w:t>a quo</w:t>
      </w:r>
      <w:r>
        <w:t>, valoración que además se habría efectuado errónea e insuficientemente.</w:t>
      </w:r>
    </w:p>
    <w:p w:rsidR="0085709A" w:rsidRDefault="0085709A" w:rsidP="0085709A">
      <w:pPr>
        <w:pStyle w:val="TextoNormal"/>
      </w:pPr>
    </w:p>
    <w:p w:rsidR="0085709A" w:rsidRDefault="0085709A" w:rsidP="0085709A">
      <w:pPr>
        <w:pStyle w:val="TextoNormal"/>
      </w:pPr>
      <w:r>
        <w:t>Argumentó, por otro lado, que la Sentencia de segundo grado había vulnerado también su derecho a la presunción de inocencia y a un proceso con todas las garantías, al mantener la condena sobre la única base del lugar y forma en que se practicó su detención, pues no ratificó el promotor en sede judicial lo que, en su momento, había declarado en sede policial.</w:t>
      </w:r>
    </w:p>
    <w:p w:rsidR="0085709A" w:rsidRDefault="0085709A" w:rsidP="0085709A">
      <w:pPr>
        <w:pStyle w:val="TextoNormal"/>
      </w:pPr>
    </w:p>
    <w:p w:rsidR="0085709A" w:rsidRDefault="0085709A" w:rsidP="0085709A">
      <w:pPr>
        <w:pStyle w:val="TextoNormal"/>
      </w:pPr>
      <w:r>
        <w:t xml:space="preserve">e) El incidente de nulidad fue inadmitido mediante Auto de 25 de enero de 2012. El Tribunal Supremo, después de examinar y dar respuesta individualizada a cada una de las alegaciones, consideró que el promotor no hacía sino reproducir las ya utilizadas en su recurso de casación, a las cuales “Se contestó … oportuna y adecuadamente, y en modo alguno se vulneró, el derecho a la tutela judicial efectiva …, ni tampoco su derecho a la presunción de inocencia o a un proceso con todas las garantías … en la medida en que -por las razones dichas en la sentencia de casación, con la respetable objeción puntual de los Magistrados disidentes, en la medida consignada en su voto particular- el juicio de culpabilidad </w:t>
      </w:r>
      <w:r>
        <w:lastRenderedPageBreak/>
        <w:t>contenido en la resolución judicial impugnada, se vio precedido de la práctica de una actividad probatoria de cargo en el sentido expuesto en aquella resolución”.</w:t>
      </w:r>
    </w:p>
    <w:p w:rsidR="0085709A" w:rsidRDefault="0085709A" w:rsidP="0085709A">
      <w:pPr>
        <w:pStyle w:val="TextoNormal"/>
      </w:pPr>
    </w:p>
    <w:p w:rsidR="0085709A" w:rsidRDefault="0085709A" w:rsidP="0085709A">
      <w:pPr>
        <w:pStyle w:val="TextoNormal"/>
      </w:pPr>
      <w:r w:rsidRPr="0085709A">
        <w:rPr>
          <w:rStyle w:val="NumeroAFNegritaCaracter"/>
        </w:rPr>
        <w:t>3</w:t>
      </w:r>
      <w:r>
        <w:t>. El 6 de febrero de 2012, la representación procesal de don Adam Ujidos López presentó demanda de amparo en el Registro General de este Tribunal, invocando los derechos a la tutela judicial efectiva, a un proceso con todas las garantías y a la presunción de inocencia (art. 24.1 y 2 CE). La demanda, aunque formalmente articula un único motivo de queja, comprende en realidad dos pretensiones diferenciadas.</w:t>
      </w:r>
    </w:p>
    <w:p w:rsidR="0085709A" w:rsidRDefault="0085709A" w:rsidP="0085709A">
      <w:pPr>
        <w:pStyle w:val="TextoNormal"/>
      </w:pPr>
    </w:p>
    <w:p w:rsidR="0085709A" w:rsidRDefault="0085709A" w:rsidP="0085709A">
      <w:pPr>
        <w:pStyle w:val="TextoNormal"/>
      </w:pPr>
      <w:r>
        <w:t>La primera de ellas, vinculada al derecho a la tutela judicial efectiva sin indefensión (art. 24.1 CE), adjudica a la decisión casacional una extralimitación en sus labores meramente revisoras o de control de la valoración probatoria que sustentó la previa decisión de instancia, límite que habría excedido el Tribunal Supremo al suplir, en opinión del demandante, el déficit de motivación del que adolece aquella resolución para complementarla con ciertas pruebas no valoradas por el único órgano que tenía conferida tal potestad; en concreto, con la testifical de la inspectora del Cuerpo Nacional de Policía núm. 87.505.</w:t>
      </w:r>
    </w:p>
    <w:p w:rsidR="0085709A" w:rsidRDefault="0085709A" w:rsidP="0085709A">
      <w:pPr>
        <w:pStyle w:val="TextoNormal"/>
      </w:pPr>
    </w:p>
    <w:p w:rsidR="0085709A" w:rsidRDefault="0085709A" w:rsidP="0085709A">
      <w:pPr>
        <w:pStyle w:val="TextoNormal"/>
      </w:pPr>
      <w:r>
        <w:t>La segunda de ellas se fundamenta en la lesión de los derechos a la presunción de inocencia y al proceso con todas las garantías (art. 24.2 CE), al desatender ambos órganos judiciales la doctrina de este Tribunal Constitucional que otorga nulo valor probatorio a la declaración policial de signo autoincriminatorio cuando no es ratificada posteriormente en sede judicial, no pudiendo servir en tales circunstancias de soporte al pronunciamiento de condena, máxime cuando, como es el caso, no existe ninguna prueba —directa o indirecta— que relacione al recurrente con los hechos enjuiciados. Reproduce, a tal fin, pasajes de numerosos pronunciamientos de este Tribunal, entre los cuales merecen especial mención las SSTC 51/1995, de 23 de febrero; 206/2003, de 1 de diciembre; 68/2010, de 18 de octubre, y 111/2011, de 4 de julio.</w:t>
      </w:r>
    </w:p>
    <w:p w:rsidR="0085709A" w:rsidRDefault="0085709A" w:rsidP="0085709A">
      <w:pPr>
        <w:pStyle w:val="TextoNormal"/>
      </w:pPr>
    </w:p>
    <w:p w:rsidR="0085709A" w:rsidRDefault="0085709A" w:rsidP="0085709A">
      <w:pPr>
        <w:pStyle w:val="TextoNormal"/>
      </w:pPr>
      <w:r>
        <w:t>La demanda interesa, en consecuencia, que se declaren vulnerados los citados derechos fundamentales, decretando este Tribunal la nulidad íntegra del Auto dictado el 25 de enero de 2012 por la Sala de lo Penal del Tribunal Supremo y la nulidad meramente parcial (circunscrita a cuanto concierne al demandante) de las Sentencias recaídas en ambas instancias judiciales.</w:t>
      </w:r>
    </w:p>
    <w:p w:rsidR="0085709A" w:rsidRDefault="0085709A" w:rsidP="0085709A">
      <w:pPr>
        <w:pStyle w:val="TextoNormal"/>
      </w:pPr>
    </w:p>
    <w:p w:rsidR="0085709A" w:rsidRDefault="0085709A" w:rsidP="0085709A">
      <w:pPr>
        <w:pStyle w:val="TextoNormal"/>
      </w:pPr>
      <w:r>
        <w:t>Mediante otrosí se solicitaba, por último, la suspensión cautelar de la ejecución de la condena, al poder seguirse en otro caso un perjuicio muy significativo para el demandante que haría perder al amparo su finalidad, en caso de estimación del recurso.</w:t>
      </w:r>
    </w:p>
    <w:p w:rsidR="0085709A" w:rsidRDefault="0085709A" w:rsidP="0085709A">
      <w:pPr>
        <w:pStyle w:val="TextoNormal"/>
      </w:pPr>
    </w:p>
    <w:p w:rsidR="0085709A" w:rsidRDefault="0085709A" w:rsidP="0085709A">
      <w:pPr>
        <w:pStyle w:val="TextoNormal"/>
      </w:pPr>
      <w:r w:rsidRPr="0085709A">
        <w:rPr>
          <w:rStyle w:val="NumeroAFNegritaCaracter"/>
        </w:rPr>
        <w:t>4</w:t>
      </w:r>
      <w:r>
        <w:t>. El 18 de octubre de 2012, la Sala Segunda de este Tribunal acordó admitir a trámite la demanda de amparo, abriendo asimismo pieza separada para la tramitación del incidente de suspensión. De igual modo, y en virtud de lo previsto en el art. 51 de la Ley Orgánica del Tribunal Constitucional (LOTC), la Secretaría de Justicia de su Sección Cuarta dirigió atenta comunicación a los órganos judiciales correspondientes, con el fin de que remitieran certificación o copia adverada de las actuaciones que han dado lugar al presente procedimiento de amparo, emplazando al propio tiempo a las demás partes personadas en el procedimiento de procedencia por si desearan comparecer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5</w:t>
      </w:r>
      <w:r>
        <w:t>. Habiendo informado el Fiscal favorablemente la petición de suspensión de la ejecución de la pena privativa de libertad impuesta al demandante, así como de su correspondiente accesoria de inhabilitación especial para el derecho de sufragio pasivo, por ATC 235/2012, de 10 de diciembre, este Tribunal así lo acordó, en dichos estrictos términos.</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21 de diciembre de 2012, se tuvo por personada a la Procuradora de los Tribunales doña Dolores Martín Cantón, en nombre y representación de don Rafael G.M., asimismo penado por estos hechos, acordándose al propio tiempo dar vista de las actuaciones a las partes personadas y al Ministerio Fiscal por plazo de veinte días para alegaciones.</w:t>
      </w:r>
    </w:p>
    <w:p w:rsidR="0085709A" w:rsidRDefault="0085709A" w:rsidP="0085709A">
      <w:pPr>
        <w:pStyle w:val="TextoNormal"/>
      </w:pPr>
    </w:p>
    <w:p w:rsidR="0085709A" w:rsidRDefault="0085709A" w:rsidP="0085709A">
      <w:pPr>
        <w:pStyle w:val="TextoNormal"/>
      </w:pPr>
      <w:r w:rsidRPr="0085709A">
        <w:rPr>
          <w:rStyle w:val="NumeroAFNegritaCaracter"/>
        </w:rPr>
        <w:t>7</w:t>
      </w:r>
      <w:r>
        <w:t>. El 11 de enero de 2013, la representación procesal de don Adam Ujidos López presentó escrito por el que ratificaba íntegramente el contenido de su demanda, agregando diversas precisiones en orden al carácter determinante o de prueba esencial que su declaración policial autoincriminatoria ostentaría respecto de la convicción judicial última. Partiendo de su exclusión preliminar por las razones ya aducidas en la demanda de amparo, el restante material al que se atiende para justificar su condena, basado en prueba meramente indiciaria, resultaría insuficiente y, por ello mismo, inhábil para enervar por sí solo la presunción de inocencia que legalmente le ampara.</w:t>
      </w:r>
    </w:p>
    <w:p w:rsidR="0085709A" w:rsidRDefault="0085709A" w:rsidP="0085709A">
      <w:pPr>
        <w:pStyle w:val="TextoNormal"/>
      </w:pPr>
    </w:p>
    <w:p w:rsidR="0085709A" w:rsidRDefault="0085709A" w:rsidP="0085709A">
      <w:pPr>
        <w:pStyle w:val="TextoNormal"/>
      </w:pPr>
      <w:r w:rsidRPr="0085709A">
        <w:rPr>
          <w:rStyle w:val="NumeroAFNegritaCaracter"/>
        </w:rPr>
        <w:t>8</w:t>
      </w:r>
      <w:r>
        <w:t>. El 31 de enero de 2013, la representación procesal de don Rafael G.M. mostró su adhesión íntegra a los argumentos aducidos por el demandante principal, en virtud de la coincidencia sustancial de su posición personal, fáctica y jurídica, razón por la que interesaba la estimación del recurso y el otorgamiento del amparo para sí por idénticos motivos a los esgrimidos por aquél.</w:t>
      </w:r>
    </w:p>
    <w:p w:rsidR="0085709A" w:rsidRDefault="0085709A" w:rsidP="0085709A">
      <w:pPr>
        <w:pStyle w:val="TextoNormal"/>
      </w:pPr>
    </w:p>
    <w:p w:rsidR="0085709A" w:rsidRDefault="0085709A" w:rsidP="0085709A">
      <w:pPr>
        <w:pStyle w:val="TextoNormal"/>
      </w:pPr>
      <w:r w:rsidRPr="0085709A">
        <w:rPr>
          <w:rStyle w:val="NumeroAFNegritaCaracter"/>
        </w:rPr>
        <w:t>9</w:t>
      </w:r>
      <w:r>
        <w:t>. En esa misma fecha evacuó el trámite de alegaciones el Fiscal ante el Tribunal Constitucional, interesando la denegación del amparo con apoyo en el contenido literal de los fundamentos  jurídicos 3, 4 y 6 de la Sentencia de la Audiencia provincial, así como del fundamento de Derecho 39 de la Sentencia de casación y del fundamentos de Derecho 3 del Auto de 25 de enero de 2012.</w:t>
      </w:r>
    </w:p>
    <w:p w:rsidR="0085709A" w:rsidRDefault="0085709A" w:rsidP="0085709A">
      <w:pPr>
        <w:pStyle w:val="TextoNormal"/>
      </w:pPr>
    </w:p>
    <w:p w:rsidR="0085709A" w:rsidRDefault="0085709A" w:rsidP="0085709A">
      <w:pPr>
        <w:pStyle w:val="TextoNormal"/>
      </w:pPr>
      <w:r>
        <w:t>Para el Fiscal, la afirmación del demandante de que el Tribunal Supremo se excedió en sus funciones revisoras de la prueba carece de mínima base. Por un lado, adolece de un déficit argumentativo, en la medida en que se realiza tal afirmación sin cita de precepto legal alguno que acote las posibilidades valorativas del órgano de casación en el sentido expuesto por el demandante. Por otro, la considera carente de sustento, pues la Sentencia de casación no altera el relato fáctico ni examina realmente prueba alguna que no hubiera sido objeto de previa valoración por la Audiencia Provincial, como tampoco la corrige, dado que la Sentencia de instancia ya otorgaba plena verosimilitud a la declaración prestada en el plenario por la inspectora del Cuerpo Nacional de Policía núm. 87.505, a la que hace expresa alusión en varias ocasiones, y cuyo testimonio fue de este modo incluido entre el acervo probatorio de cargo. En conclusión, la Sentencia casacional no excede los límites revisores que le incumben, siendo simplemente algo más explícita en la exposición de los elementos probatorios de cargo, por lo que no vulneró el derecho a la tutela judicial efectiva del demandante.</w:t>
      </w:r>
    </w:p>
    <w:p w:rsidR="0085709A" w:rsidRDefault="0085709A" w:rsidP="0085709A">
      <w:pPr>
        <w:pStyle w:val="TextoNormal"/>
      </w:pPr>
    </w:p>
    <w:p w:rsidR="0085709A" w:rsidRDefault="0085709A" w:rsidP="0085709A">
      <w:pPr>
        <w:pStyle w:val="TextoNormal"/>
      </w:pPr>
      <w:r>
        <w:lastRenderedPageBreak/>
        <w:t>En relación con el segundo extremo de queja, vinculado al derecho a un proceso con todas las garantías por resultar insuficientes en la actual jurisprudencia constitucional las declaraciones efectuadas en sede policial para desvirtuar, por sí solas, el derecho a la presunción de inocencia, pone de relieve el Fiscal que algunas de las citas jurisprudenciales que efectúa el demandante en apoyo de su pretensión (v.gr. SSTC 51/1995 o 206/2003) se refieren realmente a un supuesto diferente, cual es el de las declaraciones policiales incriminatorias entre coimputados que no resultan ratificadas, sino desmentidas a presencia judicial, las cuales por sus propias peculiaridades no pueden servir como prueba de cargo sin un aval probatorio externo o ajeno a las mismas que permita confiar en su contenido. Tampoco de la STC 68/2010 —que, asimismo, menciona la demanda— se desprenden los efectos pretendidos, pues el hecho de que los aspectos comprendidos en el atestado policial (y, entre ellos, las declaraciones allí contenidas) se erijan en objeto de prueba, y no en medio de prueba, no conduce a negar su existencia misma, como tampoco es obstáculo para que los datos objetivos que consten en las diligencias policiales puedan resultar acreditados mediante auténticas pruebas de cargo, válidamente practicadas en el juicio oral.</w:t>
      </w:r>
    </w:p>
    <w:p w:rsidR="0085709A" w:rsidRDefault="0085709A" w:rsidP="0085709A">
      <w:pPr>
        <w:pStyle w:val="TextoNormal"/>
      </w:pPr>
    </w:p>
    <w:p w:rsidR="0085709A" w:rsidRDefault="0085709A" w:rsidP="0085709A">
      <w:pPr>
        <w:pStyle w:val="TextoNormal"/>
      </w:pPr>
      <w:r>
        <w:t>Acto seguido, el Fiscal desgrana los diferentes soportes de la convicción judicial que condujo a la condena del demandante. Estima que, ciertamente, la Audiencia tuvo en consideración los datos resultantes de la declaración autoinculpatoria vertida por el demandante en sede policial, pero los mismos fueron oportunamente introducidos en el plenario no sólo por vía documental, sino también mediante su interrogatorio directo en dicho acto. Sobre su declaración depuso, asimismo, el agente que había actuado como Secretario de la diligencia policial, avalando la regularidad en su obtención. No son éstos los únicos sustentos de su condena, que también se asienta sobre los testimonios de aquellos funcionarios policiales que habían visto el vehículo del demandante en los días inmediatamente anteriores al del efectivo desembarco, rondando por el mismo lugar en el que el día de autos resultó detenido, y que así lo expusieron en el plenario.</w:t>
      </w:r>
    </w:p>
    <w:p w:rsidR="0085709A" w:rsidRDefault="0085709A" w:rsidP="0085709A">
      <w:pPr>
        <w:pStyle w:val="TextoNormal"/>
      </w:pPr>
    </w:p>
    <w:p w:rsidR="0085709A" w:rsidRDefault="0085709A" w:rsidP="0085709A">
      <w:pPr>
        <w:pStyle w:val="TextoNormal"/>
      </w:pPr>
      <w:r>
        <w:t>El Fiscal estima que no cabe hablar de vacío probatorio, no observando lesión en el derecho a la presunción de inocencia, como tampoco en el derecho a un proceso con todas las garantías.</w:t>
      </w:r>
    </w:p>
    <w:p w:rsidR="0085709A" w:rsidRDefault="0085709A" w:rsidP="0085709A">
      <w:pPr>
        <w:pStyle w:val="TextoNormal"/>
      </w:pPr>
    </w:p>
    <w:p w:rsidR="0085709A" w:rsidRDefault="0085709A" w:rsidP="0085709A">
      <w:pPr>
        <w:pStyle w:val="TextoNormal"/>
      </w:pPr>
      <w:r w:rsidRPr="0085709A">
        <w:rPr>
          <w:rStyle w:val="NumeroAFNegritaCaracter"/>
        </w:rPr>
        <w:t>10</w:t>
      </w:r>
      <w:r>
        <w:t>. Mediante providencia de 26 de febrero de 2015 se señaló para la deliberación y votación de la presente Sentencia el día 2 de marzo del mismo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demandante de amparo fue condenado en Sentencia dictada por la Sección Tercera de la Audiencia Provincial de Barcelona el 4 de febrero de 2010, estimándolo autor, junto con otros, de un delito contra la salud pública por la introducción en territorio español y con fines de tráfico ilícito de sustancias de las que no causan grave daño a la salud, asimismo cualificado por la concurrencia de las circunstancias de notoria importancia, organización criminal y extrema gravedad (arts. 368, 369.1.2, 6 y 10, y 370.3 del Código penal), al considerar acreditado que en la tarde del 18 de noviembre de 2007 participó en el desembarco de un alijo de 3.209 kilogramos de hachís ocultos en el yate “Dolphin” que, procedente de Marruecos, había arribado al puerto marítimo de El Masnou, asumiendo el cometido de </w:t>
      </w:r>
      <w:r>
        <w:lastRenderedPageBreak/>
        <w:t>realizar labores de vigilancia mientras el cargamento era desestibado y subido a dos furgonetas para su traslado a un punto diferente desde el que proceder a su distribución. Dicho pronunciamiento fue confirmado mediante Sentencia de la Sala Segunda del Tribunal Supremo de 17 de noviembre de 2011 (recurso de casación núm. 2078-2010), frente a la cual promovió el demandante incidente de nulidad de actuaciones, que le fue inadmitido por Auto de 25 de enero de 2012 al estimarlo sustentado en los mismos fundamentos que justificaron el recurso de casación y que recibieron fundada respuesta en la resolución casacional principal, de la que el incidente trae causa.</w:t>
      </w:r>
    </w:p>
    <w:p w:rsidR="0085709A" w:rsidRDefault="0085709A" w:rsidP="0085709A">
      <w:pPr>
        <w:pStyle w:val="TextoNormal"/>
      </w:pPr>
    </w:p>
    <w:p w:rsidR="0085709A" w:rsidRDefault="0085709A" w:rsidP="0085709A">
      <w:pPr>
        <w:pStyle w:val="TextoNormal"/>
      </w:pPr>
      <w:r>
        <w:t>Las tres resoluciones judiciales son objeto de impugnación, total o parcial, en el presente proceso de amparo, entendiendo el demandante que lesionan sus derechos a la tutela judicial efectiva sin indefensión, a un proceso con todas las garantías y a la presunción de inocencia (art. 24.1 y 2 CE), en la forma resumida en los antecedentes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preliminar, en cuanto al escrito presentado por don Rafael G.M. y por el que interesa el otorgamiento del amparo para sí por idénticos motivos a los esgrimidos por el demandante don Adam Ujidos López, hemos de precisar que este Tribunal tan sólo puede tomar en consideración las alegaciones de quien las formula en aquello que tienen de refuerzo de la posición del único demandante de amparo en este caso, sin que proceda efectuar ningún pronunciamiento respecto de quien no interpuso por sí mismo y en momento hábil para ello recurso de amparo contra las resoluciones judiciales sometidas a nuestro enjuiciamiento.</w:t>
      </w:r>
    </w:p>
    <w:p w:rsidR="0085709A" w:rsidRDefault="0085709A" w:rsidP="0085709A">
      <w:pPr>
        <w:pStyle w:val="TextoNormal"/>
      </w:pPr>
    </w:p>
    <w:p w:rsidR="0085709A" w:rsidRDefault="0085709A" w:rsidP="0085709A">
      <w:pPr>
        <w:pStyle w:val="TextoNormal"/>
      </w:pPr>
      <w:r>
        <w:t>Resulta de aplicación, al efecto, una doctrina reiteradamente establecida por este Tribunal conforme a la cual, “con independencia de la configuración doctrinal que se dé a la situación de los personados no solicitantes originarios del amparo, es lo cierto que no pueden transformarse en recurrentes, ni por tanto, deducir pretensiones propias, aunque pueden formular alegaciones, y que se les notifiquen las resoluciones que recaigan en el proceso de amparo que tiene por objeto, exclusivamente, las pretensiones deducidas por quienes lo interpusieron en tiempo y forma” (STC 5/2009, FJ 3, por remisión a la STC 66/1989, de 17 de abril, FJ 1; en igual sentido, entre otras, SSTC 228/1997, de 16 de diciembre, FJ 2; 78/2003, de 28 de abril, FJ 2; 209/2003, de 1 de diciembre, FJ 6; 192/2004, de 2 de noviembre, FJ 5; 220/2004, de 29 de noviembre, FJ 3; 295/2005, de 21 de noviembre, FJ 2; 143/2006, de 8 de mayo, FJ 2, o 285/2006, de 9 de octubre, FJ 3).</w:t>
      </w:r>
    </w:p>
    <w:p w:rsidR="0085709A" w:rsidRDefault="0085709A" w:rsidP="0085709A">
      <w:pPr>
        <w:pStyle w:val="TextoNormal"/>
      </w:pPr>
    </w:p>
    <w:p w:rsidR="0085709A" w:rsidRDefault="0085709A" w:rsidP="0085709A">
      <w:pPr>
        <w:pStyle w:val="TextoNormal"/>
      </w:pPr>
      <w:r>
        <w:t>Hechas las precisiones anteriores, procede abordar el fondo de las cuestiones propuestas en la demanda de amparo.</w:t>
      </w:r>
    </w:p>
    <w:p w:rsidR="0085709A" w:rsidRDefault="0085709A" w:rsidP="0085709A">
      <w:pPr>
        <w:pStyle w:val="TextoNormal"/>
      </w:pPr>
    </w:p>
    <w:p w:rsidR="0085709A" w:rsidRDefault="0085709A" w:rsidP="0085709A">
      <w:pPr>
        <w:pStyle w:val="TextoNormal"/>
      </w:pPr>
      <w:r w:rsidRPr="0085709A">
        <w:rPr>
          <w:rStyle w:val="NumeroAFNegritaCaracter"/>
        </w:rPr>
        <w:t>3</w:t>
      </w:r>
      <w:r>
        <w:t>. Considera, en primer término, el demandante que el Tribunal de casación se extralimitó en sus funciones revisoras de la inferencia judicial de instancia, incorporando al patrimonio sustentador de la condena elementos de convicción no expresados en la Sentencia de la Audiencia Provincial, para lo cual no dudó en hacer referencia a pruebas que ésta no había recogido entre la valoración probatoria referida al recurrente. Para el demandante, ello representa un complemento probatorio lesivo de su derecho a la tutela judicial efectiva.</w:t>
      </w:r>
    </w:p>
    <w:p w:rsidR="0085709A" w:rsidRDefault="0085709A" w:rsidP="0085709A">
      <w:pPr>
        <w:pStyle w:val="TextoNormal"/>
      </w:pPr>
    </w:p>
    <w:p w:rsidR="0085709A" w:rsidRDefault="0085709A" w:rsidP="0085709A">
      <w:pPr>
        <w:pStyle w:val="TextoNormal"/>
      </w:pPr>
      <w:r>
        <w:t xml:space="preserve">El pretendido exceso casacional no es tal. Conviene recordar que, según ha venido declarando este Tribunal (entre las más recientes, STC 178/2014, de 3 de noviembre, FJ 3), el derecho a la tutela judicial efectiva incluye el derecho a obtener de los órganos judiciales </w:t>
      </w:r>
      <w:r>
        <w:lastRenderedPageBreak/>
        <w:t>una respuesta razonada, motivada, fundada en Derecho y congruente con las pretensiones oportunamente deducidas por las partes. La motivación de las Sentencias está expresamente prevista en el art. 120.3 CE y es, además, una exigencia deducible del derecho a la tutela judicial efectiva (art. 24.1 CE) porque permite conocer las razones de la decisión que dichas resoluciones contienen y posibilita su control mediante el sistema de recursos (SSTC 20/1982, de 5 de mayo, FJ 1; 146/1995, de 16 de octubre, FJ 2; 108/2001, de 23 de abril, FJ 2; 42/2006, de 13 de febrero, FJ 7, o 57/2007, de 12 de marzo, FJ 2). Esta exigencia constitucional entronca con una concepción de la legitimidad de la función jurisdiccional sustentada esencialmente en el carácter vinculante que para todo órgano judicial tienen la ley y la Constitución (SSTC 55/1987, de 13 de mayo, FJ 1; 203/1997, de 25 de noviembre, FJ 3, o 115/2006, de 24 de abril, FJ 5). Además, no debe olvidarse que la razón última que sustenta este deber de motivación, en tanto que obligación de exteriorizar el fundamento de la decisión, reside en la interdicción de la arbitrariedad y la necesidad de evidenciar que el fallo de la resolución no es un simple y arbitrario acto de voluntad del juzgador, sino una decisión razonada en términos de Derecho (SSTC 24/1990, de 15 de febrero, FJ 4; 35/2002, de 11 de febrero, FJ 3; 42/2004, de 23 de marzo, FJ 4, y 331/2006, de 20 de noviembre, FJ 2, entre otras muchas).</w:t>
      </w:r>
    </w:p>
    <w:p w:rsidR="0085709A" w:rsidRDefault="0085709A" w:rsidP="0085709A">
      <w:pPr>
        <w:pStyle w:val="TextoNormal"/>
      </w:pPr>
    </w:p>
    <w:p w:rsidR="0085709A" w:rsidRDefault="0085709A" w:rsidP="0085709A">
      <w:pPr>
        <w:pStyle w:val="TextoNormal"/>
      </w:pPr>
      <w:r>
        <w:t xml:space="preserve">La presencia del demandante en el recinto portuario en los días previos al del desembarco del alijo, lejos de ser un elemento fáctico nuevo sobre el cual no existiera valoración probatoria en la Sentencia de instancia, formó parte en todo momento del debate procesal y sobre él confluyeron los testimonios de diversos agentes policiales. Es al hilo de las manifestaciones vertidas por el demandante en sede casacional, en descrédito de tal conclusión —para lo cual reseñó en su escrito impugnativo la identidad numérica de diversos agentes, cuyos testimonios no resultarían proclives a confirmar su presencia en la zona por haber asumido otras funciones de vigilancia que no incluían al demandante, o por no haber llegado a percatarse de quién conducía—, cuando el Tribunal Supremo viene a dejar constancia de otros testimonios policiales y, en concreto, del prestado por la inspectora del Cuerpo Nacional de Policía núm. 87.505, desde los cuales se infiere lo contrario a lo pretendido por el demandante. No se trata, por tanto, de una valoración probatoria </w:t>
      </w:r>
      <w:r w:rsidRPr="0085709A">
        <w:rPr>
          <w:i/>
        </w:rPr>
        <w:t>ex novo</w:t>
      </w:r>
      <w:r>
        <w:t xml:space="preserve"> a través de la cual la Sala de casación venga a complementar impropiamente la inferencia de instancia, subsanando lagunas o déficits de motivación. Muy al contrario, lo que viene a hacer con ello el Tribunal es dar respuesta a las específicas alegaciones vertidas por el recurrente en el grado casacional, estimando infundada su pretensión. Como expone el Fiscal en sus alegaciones, la referencia a la inspectora del Cuerpo Nacional de Policía no es novedosa en la resolución casacional, sino que encuentra apoyo en diversas referencias a la misma extraíbles de la previa Sentencia de instancia (fundamentos jurídicos 3 a 10). Se limita la Sentencia de casación a proporcionar una descripción más exhaustiva del material probatorio desde el que la Audiencia estimó acreditado este extremo, lo que no se interpreta como desviación lesiva del derecho a la tutela judicial efectiva.</w:t>
      </w:r>
    </w:p>
    <w:p w:rsidR="0085709A" w:rsidRDefault="0085709A" w:rsidP="0085709A">
      <w:pPr>
        <w:pStyle w:val="TextoNormal"/>
      </w:pPr>
    </w:p>
    <w:p w:rsidR="0085709A" w:rsidRDefault="0085709A" w:rsidP="0085709A">
      <w:pPr>
        <w:pStyle w:val="TextoNormal"/>
      </w:pPr>
      <w:r>
        <w:t xml:space="preserve">Cuestión distinta —que desborda el ámbito de la tutela judicial efectiva para afectar al más específico de la presunción de inocencia (STC 9/2011, de 28 de febrero, FJ 7)— es que esa presencia previa del vehículo en las inmediaciones del punto señalado para el desembarco de la droga sea elemento desde el que resulte factible estimar acreditada la participación del demandante en los hechos. Tal pretensión, que es la que verdaderamente subyace a la queja analizada, no autoriza un análisis aislado del indicio que en sí representa, sino en confluencia o conexión con los demás elementos de convicción atendidos por la Audiencia </w:t>
      </w:r>
      <w:r>
        <w:lastRenderedPageBreak/>
        <w:t>Provincial y que fundan su convicción en tal sentido, luego confirmada en casación. Ello conduce nuestro análisis al segundo de los argumentos que sustentan la petición de amparo.</w:t>
      </w:r>
    </w:p>
    <w:p w:rsidR="0085709A" w:rsidRDefault="0085709A" w:rsidP="0085709A">
      <w:pPr>
        <w:pStyle w:val="TextoNormal"/>
      </w:pPr>
    </w:p>
    <w:p w:rsidR="0085709A" w:rsidRDefault="0085709A" w:rsidP="0085709A">
      <w:pPr>
        <w:pStyle w:val="TextoNormal"/>
      </w:pPr>
      <w:r w:rsidRPr="0085709A">
        <w:rPr>
          <w:rStyle w:val="NumeroAFNegritaCaracter"/>
        </w:rPr>
        <w:t>4</w:t>
      </w:r>
      <w:r>
        <w:t>. Es doctrina clásica de este Tribunal —reiterada desde las ya lejanas SSTC 137/1988, de 7 de julio, FJ 1, o 51/1995, de 23 de febrero, FJ 2— que la presunción de inocencia, además de ser criterio informador del ordenamiento procesal penal, es ante todo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las garantías procesales y libremente valorada por los Tribunales penales, pueda entenderse de cargo.</w:t>
      </w:r>
    </w:p>
    <w:p w:rsidR="0085709A" w:rsidRDefault="0085709A" w:rsidP="0085709A">
      <w:pPr>
        <w:pStyle w:val="TextoNormal"/>
      </w:pPr>
    </w:p>
    <w:p w:rsidR="0085709A" w:rsidRDefault="0085709A" w:rsidP="0085709A">
      <w:pPr>
        <w:pStyle w:val="TextoNormal"/>
      </w:pPr>
      <w:r>
        <w:t>Lo que se cuestiona en el presente supuesto es, en concreto, la eficacia probatoria que cabe atribuir a las manifestaciones autoinculpatorias vertidas en el curso de unas diligencias policiales cuando a ellas sigue la posterior retractación del deponente ante la autoridad judicial. A tal pretensión le resulta aplicable un sólido cuerpo de doctrina de este Tribunal sintetizado en las SSTC 165/2014, de 8 de octubre, FJ 2; 53/2013, de 28 de febrero, FFJJ 3 a 5, y 68/2010, de 18 de octubre, FJ 5, conforme al cual, se recordaba en la primera de las citadas y última de las dictadas en la materia por el Pleno de este Tribunal, debe atenderse a lo siguiente:</w:t>
      </w:r>
    </w:p>
    <w:p w:rsidR="0085709A" w:rsidRDefault="0085709A" w:rsidP="0085709A">
      <w:pPr>
        <w:pStyle w:val="TextoNormal"/>
      </w:pPr>
    </w:p>
    <w:p w:rsidR="0085709A" w:rsidRDefault="0085709A" w:rsidP="0085709A">
      <w:pPr>
        <w:pStyle w:val="TextoNormal"/>
      </w:pPr>
      <w:r>
        <w:t>“c) Por el contrario, la posibilidad de otorgar la condición de prueba a declaraciones prestadas extramuros del juicio oral no alcanza a las practicadas ante la policía. Se confirma con ello la doctrina de la STC 31/1981, de 28 de julio, FJ 4, según la cual ‘dicha declaración, al formar parte del atestado, tiene, en principio, únicamente valor de denuncia, como señala el art. 297 de la LECrim’, por lo que, considerado en sí mismo, y como hemos dicho en la STC 68/2010, FJ 5 b), ‘el atestado se erige en objeto de prueba y no en medio de prueba, y los hechos que en él se afirman por funcionarios, testigos o imputados han de ser introducidos en el juicio oral a través de auténticos medios probatorios’.</w:t>
      </w:r>
    </w:p>
    <w:p w:rsidR="0085709A" w:rsidRDefault="0085709A" w:rsidP="0085709A">
      <w:pPr>
        <w:pStyle w:val="TextoNormal"/>
      </w:pPr>
    </w:p>
    <w:p w:rsidR="0085709A" w:rsidRDefault="0085709A" w:rsidP="0085709A">
      <w:pPr>
        <w:pStyle w:val="TextoNormal"/>
      </w:pPr>
      <w:r>
        <w:t>…</w:t>
      </w:r>
    </w:p>
    <w:p w:rsidR="0085709A" w:rsidRDefault="0085709A" w:rsidP="0085709A">
      <w:pPr>
        <w:pStyle w:val="TextoNormal"/>
      </w:pPr>
    </w:p>
    <w:p w:rsidR="0085709A" w:rsidRDefault="0085709A" w:rsidP="0085709A">
      <w:pPr>
        <w:pStyle w:val="TextoNormal"/>
      </w:pPr>
      <w:r>
        <w:t>e) Por tanto, las declaraciones obrantes en los atestados policiales no tienen valor probatorio de cargo. Singularmente, ni las declaraciones autoincriminatorias ni las heteroinculpatorias prestadas ante la policía pueden ser consideradas exponentes de prueba anticipada o de prueba preconstituida. Y no sólo porque su reproducción en el juicio oral no se revele en la mayor parte de los casos imposible o difícil sino, fundamentalmente, porque no se efectuaron en presencia de la autoridad judicial, que es la autoridad que, por estar institucionalmente dotada de independencia e imparcialidad, asegura la fidelidad del testimonio y su eventual eficacia probatoria. De ese modo, no puede confundirse la acreditación de la existencia de un acto (declaración ante la policía) con una veracidad y refrendo de sus contenidos que alcance carácter o condición de prueba por sí sola (STC 53/2013, FJ 4). Debemos recordar que el art. 282 de la Ley de enjuiciamiento criminal (LECrim) encomienda a la policía judicial la averiguación de los delitos y la práctica, según sus atribuciones, de las diligencias necesarias para comprobarlos y descubrir a los delincuentes, así como recoger todos los efectos, instrumentos o pruebas del delito de cuya desaparición hubiere peligro, poniéndolos a disposición de la autoridad judicial. El resultado de tales diligencias se docu</w:t>
      </w:r>
      <w:r>
        <w:lastRenderedPageBreak/>
        <w:t>mentará en un atestado, en el que se especificarán con la mayor exactitud los hechos averiguados, insertando las declaraciones e informes recibidos y anotando todas las circunstancias que hubiesen observado y pudiesen ser prueba o indicio del delito (art. 292 LECrim).”</w:t>
      </w:r>
    </w:p>
    <w:p w:rsidR="0085709A" w:rsidRDefault="0085709A" w:rsidP="0085709A">
      <w:pPr>
        <w:pStyle w:val="TextoNormal"/>
      </w:pPr>
    </w:p>
    <w:p w:rsidR="0085709A" w:rsidRDefault="0085709A" w:rsidP="0085709A">
      <w:pPr>
        <w:pStyle w:val="TextoNormal"/>
      </w:pPr>
      <w:r>
        <w:t xml:space="preserve">Lo anteriormente expuesto es acorde con la doctrina emanada del Tribunal Europeo de Derechos Humanos en su Sentencia del Tribunal Europeo de Derechos Humanos de 1 de junio de 2010, caso </w:t>
      </w:r>
      <w:r w:rsidRPr="0085709A">
        <w:rPr>
          <w:i/>
        </w:rPr>
        <w:t>Gäfgen c. Alemania</w:t>
      </w:r>
      <w:r>
        <w:t>, Gran Sala, de la que da cuenta nuestra reciente STC 165/2014, de 8 de octubre, FJ 4, antes citada, al afirmar que el art. 6 del Convenio europeo para la protección de los derechos humanos y de las libertades fundamentales garantiza el derecho a un proceso equitativo, pero no regula la admisibilidad de los medios de prueba, cuestión que compete al Derecho interno. Sólo cuando se produzca una rectificación o retractación de su contenido en el acto del juicio oral [art. 714 de la Ley de enjuiciamiento criminal (LECrim)] o bien una imposibilidad material de su reproducción (art. 730 LECrim), las declaraciones prestadas con anterioridad podrán alcanzar el valor de prueba de cargo, siempre y cuando se reproduzcan en el acto del juicio oral mediante la lectura pública del acta en la que se documentaron o la introducción de su contenido a través de los interrogatorios, pero bajo la condición de que se trate de declaraciones prestadas ante el Juez de Instrucción.</w:t>
      </w:r>
    </w:p>
    <w:p w:rsidR="0085709A" w:rsidRDefault="0085709A" w:rsidP="0085709A">
      <w:pPr>
        <w:pStyle w:val="TextoNormal"/>
      </w:pPr>
    </w:p>
    <w:p w:rsidR="0085709A" w:rsidRDefault="0085709A" w:rsidP="0085709A">
      <w:pPr>
        <w:pStyle w:val="TextoNormal"/>
      </w:pPr>
      <w:r>
        <w:t>Por ello, desde la STC 31/2001, de 28 de julio, FJ 4, venimos diciendo que, para que la confesión ante la policía se convierta en prueba, no basta con que se tenga por reproducida en el juicio oral, sino que es preciso que sea reiterada y ratificada ante el órgano judicial; o, como añadimos en la STC 53/2013, de 28 de febrero, FJ 4, no puede confundirse la acreditación de la existencia de un acto (declaración ante la policía) con una veracidad y refrendo de sus contenidos que alcance carácter o condición de prueba por sí sola. Nuestra jurisprudencia ha repetido de modo constante, en conclusión, que “las declaraciones obrantes en los atestados policiales carecen de valor probatorio de cargo” (por todas, SSTC 51/1995, de 23 de febrero, FJ 2, y 68/2010, de 18 de octubre, FJ 5). No por otra razón, la STC 165/2014, en su FJ 4, señalaba que, planteado en la demanda el valor probatorio de las declaraciones autoinculpatorias prestada en unas diligencias policiales, “la respuesta es inequívoca: ninguno. En el actual estado de nuestra jurisprudencia no es posible fundamentar una sentencia condenatoria, esto es, entender destruida la presunción de inocencia que constitucionalmente ampara a todo imputado con el exclusivo apoyo de una declaración en la que aquél reconozca su participación en los hechos que se le atribuyen. Sólo los actos procesales desarrollados ante un órgano judicial pueden generar verdaderos actos de prueba susceptibles, en su caso, de ser valorados conforme a las exigencias impuestas por el art. 741 LECrim”. En caso de no ser respetada por los órganos judiciales, da lugar a la vulneración del derecho a un proceso con todas las garantías (art. 24.2 CE), e incluso del derecho a la presunción de inocencia cuando la eliminación de la prueba irregularmente valorada deje sin sustento el relato de hechos probados que soporta la declaración de culpabilidad del acusado (STC 207/2007, de 24 de septiembre, FJ 2, y entre las más recientes, STC 144/2012, de 2 de julio, FJ 6, o la tan repetida STC 68/2010, de 18 de octubre).</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Ahora bien, aunque la declaración autoinculpatoria en el curso de las diligencias policiales no es una prueba de confesión, ni tiene valor de prueba de cargo para sustentar la condena según se ha razonado, sí es una manifestación voluntaria y libre documentada que cuando se realiza con observancia de requisitos legales adquiere existencia jurídica. La STC 165/2014, del Pleno de este Tribunal, tantas veces citada, ha señalado y se ha ocupado del </w:t>
      </w:r>
      <w:r>
        <w:lastRenderedPageBreak/>
        <w:t>juicio de constitucionalidad que corresponde cuando esas declaraciones autoinculpatorias documentadas en el atestado policial, además de existir, “ponen de manifiesto unos hechos que son acreditados por otros medios de prueba”.</w:t>
      </w:r>
    </w:p>
    <w:p w:rsidR="0085709A" w:rsidRDefault="0085709A" w:rsidP="0085709A">
      <w:pPr>
        <w:pStyle w:val="TextoNormal"/>
      </w:pPr>
    </w:p>
    <w:p w:rsidR="0085709A" w:rsidRDefault="0085709A" w:rsidP="0085709A">
      <w:pPr>
        <w:pStyle w:val="TextoNormal"/>
      </w:pPr>
      <w:r>
        <w:t>En esa última hipótesis, según la doctrina ya tantas veces recordadas, tres son los planos del análisis constitucional. El primero de ellos, comprobar que la declaración autoinculpatoria del demandante que documenta el atestado policial fue regularmente obtenida. Superado afirmativamente ese primer nivel, el siguiente escalón pide examinar si hubo pruebas de cargo válidamente practicadas que vengan a avalar los datos objetivos que de aquella declaración policial pudieren extraerse, convirtiendo el “objeto de prueba” en un “hecho acreditado”, pues aquella declaración, como tal, aislada y en sí misma considerada, ya se dijo, no tiene valor probatorio alguno. De constatarse su existencia, el último peldaño consiste en constatar si, a partir de la convicción judicial así expuesta, es posible concluir que la presunción de inocencia del demandante resultó rectamente enervada.</w:t>
      </w:r>
    </w:p>
    <w:p w:rsidR="0085709A" w:rsidRDefault="0085709A" w:rsidP="0085709A">
      <w:pPr>
        <w:pStyle w:val="TextoNormal"/>
      </w:pPr>
    </w:p>
    <w:p w:rsidR="0085709A" w:rsidRDefault="0085709A" w:rsidP="0085709A">
      <w:pPr>
        <w:pStyle w:val="TextoNormal"/>
      </w:pPr>
      <w:r w:rsidRPr="0085709A">
        <w:rPr>
          <w:rStyle w:val="NumeroAFNegritaCaracter"/>
        </w:rPr>
        <w:t>6</w:t>
      </w:r>
      <w:r>
        <w:t>. El traslado al supuesto de hecho de las anteriores consideraciones permite ya descartar la pretendida vulneración del derecho a un proceso con todas las garantías, así como también del derecho a la presunción de inocencia (art. 24.2 CE).</w:t>
      </w:r>
    </w:p>
    <w:p w:rsidR="0085709A" w:rsidRDefault="0085709A" w:rsidP="0085709A">
      <w:pPr>
        <w:pStyle w:val="TextoNormal"/>
      </w:pPr>
    </w:p>
    <w:p w:rsidR="0085709A" w:rsidRDefault="0085709A" w:rsidP="0085709A">
      <w:pPr>
        <w:pStyle w:val="TextoNormal"/>
      </w:pPr>
      <w:r>
        <w:t>a) En primer lugar, nada más allá de las solas referencias del demandante en tal sentido llevan a entender que su declaración ante los agentes policiales se prestara sin las garantías procesales constitucionalmente exigibles. Al efecto, es preciso advertir que la demanda no atribuye al acta policial infidelidad en la traslación de lo declarado como detenido, lo que tampoco se ha sostenido en ninguna de las instancias judiciales previas al amparo. En todo momento se ha limitado el demandante a aducir que su testimonio fue fruto de “presión policial”; concretamente, bajo la promesa de obtener un trato de favor frente a los demás encausados, dirigido a obtener una inmediata puesta en libertad.</w:t>
      </w:r>
    </w:p>
    <w:p w:rsidR="0085709A" w:rsidRDefault="0085709A" w:rsidP="0085709A">
      <w:pPr>
        <w:pStyle w:val="TextoNormal"/>
      </w:pPr>
    </w:p>
    <w:p w:rsidR="0085709A" w:rsidRDefault="0085709A" w:rsidP="0085709A">
      <w:pPr>
        <w:pStyle w:val="TextoNormal"/>
      </w:pPr>
      <w:r>
        <w:t>Sin embargo, tal objeción es contundentemente rechazada en ambas resoluciones judiciales, que ponen de relieve la debilidad de esta aislada referencia a una supuesta actuación policial censurable como justificante de su prolija declaración autoinculpatoria. Y no sólo porque esas supuestas presiones policiales fueron desmentidas en la vista oral por los testimonios coincidentemente emitidos por los agentes ante quienes se prestó. También porque dicha declaración se desarrolló en presencia de su Letrado, ante lo cual no puede sino concluirse que el condicionamiento del testimonio de un detenido a cualesquiera fines espurios, como serían los expuestos, no puede pasar desapercibido para quien presencialmente ejerce en dicho acto su defensa técnica. De igual modo, la profusión de detalles aportados por el demandante, que en gran medida sólo él estaba en condiciones de conocer, resulta difícilmente conciliable con un testimonio que únicamente viniera auspiciado por una actuación policial impropia, caso de ser completamente ajeno el deponente al hecho motivador de su detención, como insiste en mantener.</w:t>
      </w:r>
    </w:p>
    <w:p w:rsidR="0085709A" w:rsidRDefault="0085709A" w:rsidP="0085709A">
      <w:pPr>
        <w:pStyle w:val="TextoNormal"/>
      </w:pPr>
    </w:p>
    <w:p w:rsidR="0085709A" w:rsidRDefault="0085709A" w:rsidP="0085709A">
      <w:pPr>
        <w:pStyle w:val="TextoNormal"/>
      </w:pPr>
      <w:r>
        <w:t>De cuanto antecede, podemos concluir que el testimonio prestado en la vista oral por los agentes de policía participantes en el interrogatorio y redacción del atestado resultaba idóneo para que el Tribunal formara juicio acerca de las circunstancias en que se prestó su declaración como detenido y, en concreto, de su regularidad. El testimonio de estos agentes permite afirmar en este caso que la declaración tuvo lugar, que su contenido es el que refleja el atestado y que se desarrolló bajo las circunstancias que se hacen constar.</w:t>
      </w:r>
    </w:p>
    <w:p w:rsidR="0085709A" w:rsidRDefault="0085709A" w:rsidP="0085709A">
      <w:pPr>
        <w:pStyle w:val="TextoNormal"/>
      </w:pPr>
    </w:p>
    <w:p w:rsidR="0085709A" w:rsidRDefault="0085709A" w:rsidP="0085709A">
      <w:pPr>
        <w:pStyle w:val="TextoNormal"/>
      </w:pPr>
      <w:r>
        <w:t>b) Afirmada la observancia de las garantías exigibles a la declaración en sede policial, se ha de resaltar que no cuestiona el demandante que la incorporación de su contenido al acto de enjuiciamiento se realizó con sometimiento pleno a las garantías de publicidad, contradicción e inmediación, respetando así la triple exigencia constitucional característica de toda actividad probatoria.</w:t>
      </w:r>
    </w:p>
    <w:p w:rsidR="0085709A" w:rsidRDefault="0085709A" w:rsidP="0085709A">
      <w:pPr>
        <w:pStyle w:val="TextoNormal"/>
      </w:pPr>
    </w:p>
    <w:p w:rsidR="0085709A" w:rsidRDefault="0085709A" w:rsidP="0085709A">
      <w:pPr>
        <w:pStyle w:val="TextoNormal"/>
      </w:pPr>
      <w:r>
        <w:t>El Ministerio Fiscal propuso en el momento procesal oportuno que el acta policial que recoge la declaración del demandante se incorporara al acervo probatorio. A tal fin, no sólo la incluyó entre la proposición de prueba de sus conclusiones provisionales, sino que, en el momento mismo del enjuiciamiento, el contenido del acta fue objeto de examen contradictorio mediante un efectivo interrogatorio del acusado, expresamente interpelado al efecto al venir a retractarse de nuevo de lo que inicialmente depuso. La incorporación de la declaración policial no consistió, por tanto, en una mera reproducción genérica y rituaria en la vista de lo ya documentado, sino en un interrogatorio activo del acusado sobre el contenido, concreto y detallado, de lo que en su día manifestó, oportunidad que, contestando a las preguntas que le eran formuladas, utilizó para negar que hubiera declarado consentida y libremente, sino provocado por una actuación policial irregular. Reconoció, no obstante, que conducía el Peugeot 206 cuando se produjo su detención y que, estando en ese momento acompañado del también acusado Rafael, la presencia de ambos en el puerto se debía a haber llevado hasta allí a un tercer individuo (Antonio), asimismo implicado en los hechos.</w:t>
      </w:r>
    </w:p>
    <w:p w:rsidR="0085709A" w:rsidRDefault="0085709A" w:rsidP="0085709A">
      <w:pPr>
        <w:pStyle w:val="TextoNormal"/>
      </w:pPr>
    </w:p>
    <w:p w:rsidR="0085709A" w:rsidRDefault="0085709A" w:rsidP="0085709A">
      <w:pPr>
        <w:pStyle w:val="TextoNormal"/>
      </w:pPr>
      <w:r>
        <w:t>De esta manera, ante la retractación del acusado operada en el acto del juicio oral y la confrontación de sus distintas manifestaciones, el resultado de la diligencia policial accedió legítimamente al debate procesal contradictorio directamente suscitado ante el Tribunal encargado de enjuiciar.</w:t>
      </w:r>
    </w:p>
    <w:p w:rsidR="0085709A" w:rsidRDefault="0085709A" w:rsidP="0085709A">
      <w:pPr>
        <w:pStyle w:val="TextoNormal"/>
      </w:pPr>
    </w:p>
    <w:p w:rsidR="0085709A" w:rsidRDefault="0085709A" w:rsidP="0085709A">
      <w:pPr>
        <w:pStyle w:val="TextoNormal"/>
      </w:pPr>
      <w:r>
        <w:t>c) Resta ahora examinar si —tal y como afirma el demandante— su condena se asienta exclusivamente en ese inicial reconocimiento de los hechos, después desmentido, lo que sería inconstitucional, o si, por el contrario, cuenta con apoyaturas que permitan entender rectamente enervada su presunción de inocencia (STC 80/1991, de 15 de abril). Y son varios los medios de prueba que ponderó la Audiencia Provincial y que la llevaron a apreciar finalmente su responsabilidad en los hechos, ponderación que, a su vez, refrendó el Tribunal Supremo al estimarla sólida y racionalmente fundada.</w:t>
      </w:r>
    </w:p>
    <w:p w:rsidR="0085709A" w:rsidRDefault="0085709A" w:rsidP="0085709A">
      <w:pPr>
        <w:pStyle w:val="TextoNormal"/>
      </w:pPr>
    </w:p>
    <w:p w:rsidR="0085709A" w:rsidRDefault="0085709A" w:rsidP="0085709A">
      <w:pPr>
        <w:pStyle w:val="TextoNormal"/>
      </w:pPr>
      <w:r>
        <w:t>El demandante reconoció en sede policial la función de vigilancia, aportando datos y circunstancias cuya veracidad pudo constatarse a través de los pertinentes medios de prueba. Entre ellos, el testimonio de los agentes que efectuaron las vigilancias los días previos al desembarco y que en más de una ocasión vieron el vehículo del demandante merodeando por la zona donde finalmente se materializó, sin que acreditara el acusado la aducida ajenidad en la conducción, que más racionalmente se infiere de contrario, como queda visto. También se dispuso del testimonio del agente que practicó su detención a bordo del vehículo en cuestión, incontrovertidamente conducido por el demandante, instantes después de desembarcado el alijo y en uno de los puntos decididos por Antonio R. B. y Valentín V. para “dar el agua”.</w:t>
      </w:r>
    </w:p>
    <w:p w:rsidR="0085709A" w:rsidRDefault="0085709A" w:rsidP="0085709A">
      <w:pPr>
        <w:pStyle w:val="TextoNormal"/>
      </w:pPr>
    </w:p>
    <w:p w:rsidR="0085709A" w:rsidRDefault="0085709A" w:rsidP="0085709A">
      <w:pPr>
        <w:pStyle w:val="TextoNormal"/>
      </w:pPr>
      <w:r>
        <w:t xml:space="preserve">Sobre este aspecto, el demandante da a entender que la valoración del acervo probatorio que le concierne queda estrictamente limitada al fundamento de Derecho 6 de la Sentencia </w:t>
      </w:r>
      <w:r>
        <w:lastRenderedPageBreak/>
        <w:t xml:space="preserve">de instancia. Sin embargo, tal proceder vendría a suponer un sesgo improcedente de la abundante descripción probatoria de la que dicha resolución da cuenta y que, abarcando los fundamentos jurídicos 3 a 10, debe ser interpretada como un todo, y no desmembrando los diferentes indicios que se señalan, como tampoco las pruebas que los soportan y que configuran, en última instancia, la convicción valorativa de conjunto alcanzada por el órgano judicial </w:t>
      </w:r>
      <w:r w:rsidRPr="0085709A">
        <w:rPr>
          <w:i/>
        </w:rPr>
        <w:t>ex</w:t>
      </w:r>
      <w:r>
        <w:t xml:space="preserve"> art. 741 LECrim. En esa convicción atribuye un valor relevante a las conversaciones telefónicas sostenidas tanto días antes como el mismo día del desembarco entre diversos miembros del operativo clandestino, cuyo contenido más representativo transcribe literalmente la Sentencia de instancia. Así sucede con las frecuentes conversaciones habidas los días 16 y 18 de noviembre de 2007 entre uno de los máximos organizadores (Valentín V.) y quien había asumido las labores de captación y distribución de los “aguadores” (Antonio R.B.), asimismo detenido en el lugar de los hechos.</w:t>
      </w:r>
    </w:p>
    <w:p w:rsidR="0085709A" w:rsidRDefault="0085709A" w:rsidP="0085709A">
      <w:pPr>
        <w:pStyle w:val="TextoNormal"/>
      </w:pPr>
    </w:p>
    <w:p w:rsidR="0085709A" w:rsidRDefault="0085709A" w:rsidP="0085709A">
      <w:pPr>
        <w:pStyle w:val="TextoNormal"/>
      </w:pPr>
      <w:r>
        <w:t>La prueba de cargo se sitúa no en la declaración policial, sino en el conjunto de datos que devienen acreditados por medios probatorios procesalmente idóneos y que llevan a alcanzar una inferencia razonable de la participación del sujeto, inicialmente reconocida y luego desmentida.</w:t>
      </w:r>
    </w:p>
    <w:p w:rsidR="0085709A" w:rsidRDefault="0085709A" w:rsidP="0085709A">
      <w:pPr>
        <w:pStyle w:val="TextoNormal"/>
      </w:pPr>
    </w:p>
    <w:p w:rsidR="0085709A" w:rsidRDefault="0085709A" w:rsidP="0085709A">
      <w:pPr>
        <w:pStyle w:val="TextoNormal"/>
      </w:pPr>
      <w:r>
        <w:t xml:space="preserve">En este contexto no es infundado, inferir, de la pluralidad de indicios que expone el Tribunal </w:t>
      </w:r>
      <w:r w:rsidRPr="0085709A">
        <w:rPr>
          <w:i/>
        </w:rPr>
        <w:t>a quo</w:t>
      </w:r>
      <w:r>
        <w:t xml:space="preserve"> (fundamento de Derecho 2), la participación personal del demandante en la logística del caso. Semejante conclusión no obedece a unas aisladas manifestaciones policiales. Por el contrario, tiene sustento en un cuerpo de sólidos indicios obtenidos de auténticas pruebas de modo regular, válida y oportunamente practicadas en el plenario, que vino a acreditar la veracidad de aquellos primeros datos que él mismo proporcionó y que conducen, fundada y racionalmente, a la convicción obtenida por el órgano encargado del enjuiciamiento al afirmar su responsabilidad penal.</w:t>
      </w:r>
    </w:p>
    <w:p w:rsidR="0085709A" w:rsidRDefault="0085709A" w:rsidP="0085709A">
      <w:pPr>
        <w:pStyle w:val="TextoNormal"/>
      </w:pPr>
    </w:p>
    <w:p w:rsidR="0085709A" w:rsidRDefault="0085709A" w:rsidP="0085709A">
      <w:pPr>
        <w:pStyle w:val="TextoNormal"/>
      </w:pPr>
      <w:r>
        <w:t>Los razonamientos precedentes llevan a la conclusión de que las resoluciones judiciales impugnadas no lesionaron el derecho del demandante a la tutela judicial efectiva, como tampoco de los derechos a un proceso con todas las garantías y a la presunción de inocencia (art. 24.1 y 2 CE), por lo cual procede desestimar el amparo solicitado.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amparo solicitado por don Adam Ujidos López.</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7" w:name="SENTENCIA_2015_34"/>
      <w:r>
        <w:lastRenderedPageBreak/>
        <w:t>SENTENCIA 34/2015, de 2 de marzo de 2015</w:t>
      </w:r>
    </w:p>
    <w:bookmarkEnd w:id="37"/>
    <w:p w:rsidR="0085709A" w:rsidRDefault="0085709A" w:rsidP="0085709A">
      <w:pPr>
        <w:pStyle w:val="TtuloResolucin"/>
      </w:pPr>
      <w:r>
        <w:t>Sala Primera</w:t>
      </w:r>
    </w:p>
    <w:p w:rsidR="0085709A" w:rsidRDefault="0085709A" w:rsidP="0085709A">
      <w:pPr>
        <w:pStyle w:val="TtuloBOE"/>
      </w:pPr>
      <w:r>
        <w:t>(BOE núm. 85, de 9 de abril de 2015)</w:t>
      </w:r>
    </w:p>
    <w:p w:rsidR="0085709A" w:rsidRDefault="0085709A" w:rsidP="0085709A">
      <w:pPr>
        <w:pStyle w:val="TextoNormalCentrado"/>
      </w:pPr>
      <w:r>
        <w:t>ECLI:ES:TC:2015:34</w:t>
      </w:r>
    </w:p>
    <w:p w:rsidR="0085709A" w:rsidRDefault="0085709A" w:rsidP="0085709A">
      <w:pPr>
        <w:pStyle w:val="TextoNormalCentrado"/>
      </w:pPr>
    </w:p>
    <w:p w:rsidR="0085709A" w:rsidRDefault="0085709A" w:rsidP="0085709A">
      <w:pPr>
        <w:pStyle w:val="SntesisDescriptiva"/>
      </w:pPr>
      <w:r>
        <w:t>Recurso de amparo 1716-2012. Promovido por Casas Canarias de Campo, S.L., en relación con el Auto de la Sala de lo Contencioso-Administrativo del Tribunal Supremo que inadmitió su recurso de casación frente a Sentencia de la Audiencia Nacional.</w:t>
      </w:r>
    </w:p>
    <w:p w:rsidR="0085709A" w:rsidRDefault="0085709A" w:rsidP="0085709A">
      <w:pPr>
        <w:pStyle w:val="SntesisDescriptiva"/>
      </w:pPr>
    </w:p>
    <w:p w:rsidR="0085709A" w:rsidRDefault="0085709A" w:rsidP="0085709A">
      <w:pPr>
        <w:pStyle w:val="SntesisAnaltica"/>
      </w:pPr>
      <w:r>
        <w:t>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2.</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3.</w:t>
      </w:r>
      <w:r>
        <w:tab/>
        <w:t>No concurren todas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1716-2012, promovido por “Casas Canarias de Campo S.L.” representada por la Procuradora de los Tribunales doña María Rosalva Yanes Pérez y asistida por el Letrado don Javier Ortega Trujillo, contra el Auto de 14 de julio de 2011, de la Sección Primera de la Sala de lo Contencioso-Administrativo del Tribunal Supremo, que inadmite el recurso de casación intentado frente a Sentencia de 25 de octubre de 2010 de la Audiencia Nacional; asimismo se impugna el Auto de 19 de enero de 2012, por la que se </w:t>
      </w:r>
      <w:r>
        <w:lastRenderedPageBreak/>
        <w:t>inadmite el incidente de nulidad planteado frente al Auto antes citado. Ha intervenido el Ministerio Fiscal; ha comparecido el Abogado del Estado. Ha sido Ponente el Magistrado don Luis Ignacio Ortega Álvarez,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23 de marzo de 2012, la demandante interpuso recurso de amparo contra las resoluciones citadas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los que se fundamenta la demanda son, sucintamente expuestos, los siguientes:</w:t>
      </w:r>
    </w:p>
    <w:p w:rsidR="0085709A" w:rsidRDefault="0085709A" w:rsidP="0085709A">
      <w:pPr>
        <w:pStyle w:val="TextoNormal"/>
      </w:pPr>
    </w:p>
    <w:p w:rsidR="0085709A" w:rsidRDefault="0085709A" w:rsidP="0085709A">
      <w:pPr>
        <w:pStyle w:val="TextoNormal"/>
      </w:pPr>
      <w:r>
        <w:t>La empresa recurrente, tras obtener la Sentencia desestimatoria de la Audiencia Nacional, de 25 de octubre de 2010, preparó recurso de casación frente a la misma.</w:t>
      </w:r>
    </w:p>
    <w:p w:rsidR="0085709A" w:rsidRDefault="0085709A" w:rsidP="0085709A">
      <w:pPr>
        <w:pStyle w:val="TextoNormal"/>
      </w:pPr>
    </w:p>
    <w:p w:rsidR="0085709A" w:rsidRDefault="0085709A" w:rsidP="0085709A">
      <w:pPr>
        <w:pStyle w:val="TextoNormal"/>
      </w:pPr>
      <w:r>
        <w:t>Mediante escrito de 12 de noviembre de 2010, se preparó el recurso de casación ante la Sala de lo Contencioso-Administrativo de la Audiencia Nacional contra la citada Sentencia. El Tribunal Supremo, mediante Auto de 14 de julio de 2011, inadmitió el recurso de casación. Interpuesto incidente de nulidad frente al citado Auto, fue inadmitido por Auto de 19 de enero de 2012.</w:t>
      </w:r>
    </w:p>
    <w:p w:rsidR="0085709A" w:rsidRDefault="0085709A" w:rsidP="0085709A">
      <w:pPr>
        <w:pStyle w:val="TextoNormal"/>
      </w:pPr>
    </w:p>
    <w:p w:rsidR="0085709A" w:rsidRDefault="0085709A" w:rsidP="0085709A">
      <w:pPr>
        <w:pStyle w:val="TextoNormal"/>
      </w:pPr>
      <w:r w:rsidRPr="0085709A">
        <w:rPr>
          <w:rStyle w:val="NumeroAFNegritaCaracter"/>
        </w:rPr>
        <w:t>3</w:t>
      </w:r>
      <w:r>
        <w:t>. La parte recurrente alega que se ha vulnerado el derecho fundamental a la tutela judicial efectiva del art. 24.1 CE, en su vertiente de derecho de acceso a la justicia, causante de indefensión, al vulnerar lo dispuesto en el art. 94.1 de la Ley reguladora de la jurisdicción contencioso-administrativa, toda vez que se funda la inadmisión del recurso de casación en que el escrito de preparación del recurso no se hace expresión de las concretas infracciones normativas o jurisprudenciales aplicables al caso.</w:t>
      </w:r>
    </w:p>
    <w:p w:rsidR="0085709A" w:rsidRDefault="0085709A" w:rsidP="0085709A">
      <w:pPr>
        <w:pStyle w:val="TextoNormal"/>
      </w:pPr>
    </w:p>
    <w:p w:rsidR="0085709A" w:rsidRDefault="0085709A" w:rsidP="0085709A">
      <w:pPr>
        <w:pStyle w:val="TextoNormal"/>
      </w:pPr>
      <w:r>
        <w:t>Entiende la parte recurrente que en el presente caso concurren los criterios que la jurisprudencia del Tribunal Constitucional y del Tribunal Europeo de Derechos Humanos  requieren para admitir, en recurso de amparo, un control de constitucionalidad de una resolución judicial inadmisoria de la casación en atención a una eventual vulneración del derecho fundamental a la tutela judicial efectiva (artículo 24.1 CE).</w:t>
      </w:r>
    </w:p>
    <w:p w:rsidR="0085709A" w:rsidRDefault="0085709A" w:rsidP="0085709A">
      <w:pPr>
        <w:pStyle w:val="TextoNormal"/>
      </w:pPr>
    </w:p>
    <w:p w:rsidR="0085709A" w:rsidRDefault="0085709A" w:rsidP="0085709A">
      <w:pPr>
        <w:pStyle w:val="TextoNormal"/>
      </w:pPr>
      <w:r>
        <w:t>En segundo lugar, que el alcance y/o el rigor exigido en los requisitos formales, como requisito procesal necesario para que el Tribunal Supremo proceda a la admisión del recurso de casación, en el presente caso concreto, resulta desproporcionado. Pone de manifiesto la parte recurrente la reiterada jurisprudencia del Tribunal Supremo en relación con los requisitos del escrito de preparación del recurso de casación y la sorpresiva modificación de tal línea jurisprudencia y su aplicación de manera retroactiva y desproporcionada.</w:t>
      </w:r>
    </w:p>
    <w:p w:rsidR="0085709A" w:rsidRDefault="0085709A" w:rsidP="0085709A">
      <w:pPr>
        <w:pStyle w:val="TextoNormal"/>
      </w:pPr>
    </w:p>
    <w:p w:rsidR="0085709A" w:rsidRDefault="0085709A" w:rsidP="0085709A">
      <w:pPr>
        <w:pStyle w:val="TextoNormal"/>
      </w:pPr>
      <w:r>
        <w:t xml:space="preserve">La obligación de citar en el escrito de preparación del recurso de casación las concretas infracciones normativas o jurisprudenciales que se reputan infringidas se configura como un nuevo criterio que carece, a su juicio, de un claro sustento normativo. Adicionalmente, la nueva doctrina se aplica con carácter retroactivo y sin posibilidad de que el nuevo criterio se haya dado a conocer suficientemente, puesto que se ha ido perfilando mediante autos y no sentencias. Además, considera que ha de tenerse en cuenta que el cambio de criterio no </w:t>
      </w:r>
      <w:r>
        <w:lastRenderedPageBreak/>
        <w:t>ha existido uniformidad entre las distintas secciones a la hora de exigir el referido nuevo requisito formal, puesto que existen Secciones de la Sala Tercera del Tribunal Supremo que no han opuesto objeción a aquellos escritos de preparación que se formularon con los requisitos tradicionalmente aceptados.</w:t>
      </w:r>
    </w:p>
    <w:p w:rsidR="0085709A" w:rsidRDefault="0085709A" w:rsidP="0085709A">
      <w:pPr>
        <w:pStyle w:val="TextoNormal"/>
      </w:pPr>
    </w:p>
    <w:p w:rsidR="0085709A" w:rsidRDefault="0085709A" w:rsidP="0085709A">
      <w:pPr>
        <w:pStyle w:val="TextoNormal"/>
      </w:pPr>
      <w:r>
        <w:t>En el presente caso, el Auto de inadmisión del incidente de nulidad de actuaciones manifiesta que “en consecuencia, esta Sala habrá de aplicar el nuevo criterio jurisprudencia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 a aquellos escritos de interposición de recursos que fueran presentados debidamente ante los Tribunales de Justicia a partir del momento del anuncio de cambio de criterio, anuncio al que no están obligados los órganos jurisdiccionales, tal y como tiene asentada la doctrina constitucional referida”. Resalta que, al haberse producido el cambio de criterio a través de autos —que carecen de la publicidad de la que gozan las sentencias— se impide a los interesados el tener conocimiento del nuevo criterio con la antelación necesaria para impugnar las sentencias sin incurrir en error procedimental alguno. A este respecto, destaca que a la fecha en que es emitida la sentencia de la Audiencia Nacional contra la que se preparó el recurso de casación (25 de octubre de 2010), ni siquiera se puede decir que existiera un nuevo criterio jurisprudencial porque a esa fecha existía un único Auto, el de 14 de octubre de 2010, de imposible conocimiento por la proximidad de las fechas, donde ya se dejaba entrever el nuevo criterio desarrollado en otros autos posteriores. Y además, defiende que hubiera sido necesario que existieran un mínimo de dos autos en el mismo sentido para que se pueda hablar de jurisprudencia.</w:t>
      </w:r>
    </w:p>
    <w:p w:rsidR="0085709A" w:rsidRDefault="0085709A" w:rsidP="0085709A">
      <w:pPr>
        <w:pStyle w:val="TextoNormal"/>
      </w:pPr>
    </w:p>
    <w:p w:rsidR="0085709A" w:rsidRDefault="0085709A" w:rsidP="0085709A">
      <w:pPr>
        <w:pStyle w:val="TextoNormal"/>
      </w:pPr>
      <w:r>
        <w:t>En definitiva, considera que la resolución impugnada en amparo vulnera su tutela judicial efectiva, en la vertiente del derecho de acceso a los recursos legalmente previstos, del art. 24.1 CE.</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Auto de 8 de mayo de 2013 se tuvo por abstenido al Magistrado don Juan José Gonzáles Rivas. La Sala Primera del Tribunal Constitucional acordó por providencia de 3 de junio de 2013, la admisión a trámite del recurso de amparo y, de conformidad con el art. 51 de la Ley Orgánica del Tribunal Constitucional (LOTC), requerir atentamente a la Sala de lo Contencioso-Administrativo del Tribunal Supremo para que remitiera testimonio del recurso de casación núm. 6862-2010; asimismo, se acordó requerir a la Sección Séptima de la Sala de lo Contencioso-Administrativo de la Audiencia Nacional para que remitiera testimonio del procedimiento núm. 270-2009 y para que emplazara a quienes fueron parte en dicho procedimiento, con excepción de la parte recurrente en amparo, ya personada.</w:t>
      </w:r>
    </w:p>
    <w:p w:rsidR="0085709A" w:rsidRDefault="0085709A" w:rsidP="0085709A">
      <w:pPr>
        <w:pStyle w:val="TextoNormal"/>
      </w:pPr>
    </w:p>
    <w:p w:rsidR="0085709A" w:rsidRDefault="0085709A" w:rsidP="0085709A">
      <w:pPr>
        <w:pStyle w:val="TextoNormal"/>
      </w:pPr>
      <w:r>
        <w:t>Mediante diligencia de ordenación de 9 de septiembre de 2013, se tuvieron por recibidas las actuaciones judiciales requeridas y se acordó un plazo común de veinte días para que las partes pudieran alegar lo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5</w:t>
      </w:r>
      <w:r>
        <w:t>. La parte demandante presentó alegaciones el 10 de octubre de 2013, remitiéndose a los argumentos esgrimidos en su recurso.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El Abogado del Estado presentó sus alegaciones el 19 de septiembre de 2013, solicitando la estimación de la demanda de amparo.</w:t>
      </w:r>
    </w:p>
    <w:p w:rsidR="0085709A" w:rsidRDefault="0085709A" w:rsidP="0085709A">
      <w:pPr>
        <w:pStyle w:val="TextoNormal"/>
      </w:pPr>
    </w:p>
    <w:p w:rsidR="0085709A" w:rsidRDefault="0085709A" w:rsidP="0085709A">
      <w:pPr>
        <w:pStyle w:val="TextoNormal"/>
      </w:pPr>
      <w:r>
        <w:t>Considera que a la luz de la doctrina constitucional, el Auto impugnado viola el derecho de acceso a los recursos garantizado por el art. 24.1 CE. Recuerda que la STC 230/2001, señaló que el carácter extraordinario de la casación, de manera que la “subsanabilidad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y exige por ello “una especial diligencia y pericia técnica por parte de la asistencia letrada de los recurrentes que decida utilizar esta vía, que debe conocer necesariamente las exigencias procesales establecidas en las leyes para este tipo de recurso, así como la interpretación que de ella (en tanto que legalidad ordinaria) hace el Tribunal Supremo”. En lo que hace al derecho al recurso legal, por lo tanto, “la libertad judicial de interpretación de la legalidad ordinaria no tiene más limitaciones, a la luz del art. 24.1 CE, en su dimensión del derecho de acceso a los recursos, que las derivadas del canon del error patente, la arbitrariedad o la irrazonabilidad lógica” (FJ 2).</w:t>
      </w:r>
    </w:p>
    <w:p w:rsidR="0085709A" w:rsidRDefault="0085709A" w:rsidP="0085709A">
      <w:pPr>
        <w:pStyle w:val="TextoNormal"/>
      </w:pPr>
    </w:p>
    <w:p w:rsidR="0085709A" w:rsidRDefault="0085709A" w:rsidP="0085709A">
      <w:pPr>
        <w:pStyle w:val="TextoNormal"/>
      </w:pPr>
      <w:r>
        <w:t>Tras analizar los preceptos de la Ley de la jurisdicción contencioso-administrativa relativos a los requisitos del escrito de preparación del recurso de casación, considera que la exigencia jurisprudencial contenida en el Auto del Tribunal Supremo de 10 de febrero de 2011, de anticipar resumidamente los motivos casacionales que se desarrollarán en el escrito de interposición, indicando ya en la preparación las normas y/o jurisprudencia infringidas también cuando se recurren Sentencias de la Audiencia Nacional, no puede calificarse ni de arbitraria ni de irrazonable. Pero destaca que el auténtico problema constitucional que la demanda suscita, y en el que la parte actora lleva la razón, radica en la aplicación retrospectiva de las nuevas máximas jurisprudenciales plasmadas en el citado Auto.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No se trata de la violación del principio de seguridad jurídica (art. 9.3 CE), que no resulta protegido por el recurso de amparo, sino de una aplicación irrazonable, por contraria a la confianza legítima, de las nuevas máximas jurisprudenciales determinantes de la admisión o inadmisión del recurso de casación, que por ello se traducen en una violación del derecho de acceso al recurso.</w:t>
      </w:r>
    </w:p>
    <w:p w:rsidR="0085709A" w:rsidRDefault="0085709A" w:rsidP="0085709A">
      <w:pPr>
        <w:pStyle w:val="TextoNormal"/>
      </w:pPr>
    </w:p>
    <w:p w:rsidR="0085709A" w:rsidRDefault="0085709A" w:rsidP="0085709A">
      <w:pPr>
        <w:pStyle w:val="TextoNormal"/>
      </w:pPr>
      <w:r>
        <w:t>En definitiva, por tanto, la cuestión radica en la irrazonabilidad de exigir, para la realización de un acto procesal agotado, el cumplimiento de unos requisitos de forma que razonablemente no se conocían en el momento en que se efectuó dicho acto procesal; requisitos que, por ello, la parte no tenía ninguna posibilidad de conocer ni de cumplir. La razonabilidad se extiende no sólo a la interpretación que se hace de la norma, sino a la forma en que esa interpretación se aplica a los supuestos de hecho sujetos a la misma.</w:t>
      </w:r>
    </w:p>
    <w:p w:rsidR="0085709A" w:rsidRDefault="0085709A" w:rsidP="0085709A">
      <w:pPr>
        <w:pStyle w:val="TextoNormal"/>
      </w:pPr>
    </w:p>
    <w:p w:rsidR="0085709A" w:rsidRDefault="0085709A" w:rsidP="0085709A">
      <w:pPr>
        <w:pStyle w:val="TextoNormal"/>
      </w:pPr>
      <w:r>
        <w:t xml:space="preserve">En conclusión, afirma que “la doctrina constitucional que la Abogacía del Estado aspira a ver plasmada en la sentencia que se dicte en el presente recurso de amparo se sintetiza en que el derecho fundamental de acceso al recurso garantiza a los justiciables que las nuevas </w:t>
      </w:r>
      <w:r>
        <w:lastRenderedPageBreak/>
        <w:t>máximas jurisprudenciales que imponen más severos requisitos de forma al escrito de preparación de un recurso de casación —cuyo incumplimiento puede determinar la inadmisión del recurso— no se aplicarán irrazonablemente contrariando las exigencias mínimas de la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7</w:t>
      </w:r>
      <w:r>
        <w:t>. El Ministerio Fiscal formuló sus alegaciones el 17 de octubre de 2013, solicitando la desestimación de la demanda.</w:t>
      </w:r>
    </w:p>
    <w:p w:rsidR="0085709A" w:rsidRDefault="0085709A" w:rsidP="0085709A">
      <w:pPr>
        <w:pStyle w:val="TextoNormal"/>
      </w:pPr>
    </w:p>
    <w:p w:rsidR="0085709A" w:rsidRDefault="0085709A" w:rsidP="0085709A">
      <w:pPr>
        <w:pStyle w:val="TextoNormal"/>
      </w:pPr>
      <w:r>
        <w:t>Comienza el Ministerio Fiscal analizando la doctrina del Tribunal Supremo sobre los requisitos que debe cumplir el escrito de preparación del recurso de casación. Dadas las fechas del Auto impugnado y el Auto de 10 de febrero de 2011 a través del cual el Tribunal Supremo matizó su doctrina sobre la preparación del recurso de casación, señala que el problema no consiste en determinar si el cambio de criterio jurisprudencia operado por el Auto de 10 de febrero de 2011, ha resultado vulnerador del derecho a la tutela judicial efectiva (art. 24.1 CE) de la parte demandante de amparo, sino si el concreto Auto de inadmisión aquí impugnado o, más específicamente, su concreta motivación, ha producido a dicha parte esa lesión de derechos fundamentales.</w:t>
      </w:r>
    </w:p>
    <w:p w:rsidR="0085709A" w:rsidRDefault="0085709A" w:rsidP="0085709A">
      <w:pPr>
        <w:pStyle w:val="TextoNormal"/>
      </w:pPr>
    </w:p>
    <w:p w:rsidR="0085709A" w:rsidRDefault="0085709A" w:rsidP="0085709A">
      <w:pPr>
        <w:pStyle w:val="TextoNormal"/>
      </w:pPr>
      <w:r>
        <w:t>Tras recordar la doctrina sobre el derecho de acceso a los recursos, en cuanto manifestación del derecho a la tutela judicial efectiva, art. 24.1 CE, considera que tal derecho no ha sido vulnerado en el caso de la demandante de amparo. En efecto: i) el canon del error patente ha de quedar descartado de antemano, pues no se está discutiendo sobre una cuestión fáctica; y ii) del mismo modo ha de descartarse que la resolución judicial principalmente impugnada —el Auto de inadmisión del recurso de casación— incurra en arbitrariedad ni que sea irrazonable, pues es evidente que la decisión de la Sección Primera de la Sala de lo Contencioso-Administrativo del Tribunal Supremo no es “una simple expresión de la voluntad”, sin motivación o fundamento alguno (STC 164/2002, de 17 de septiembre, FJ 4), ni presenta “quiebras lógicas de tal magnitud que las conclusiones alcanzadas no puedan considerarse basadas en ninguna de las razones aducidas" (SSTC 15112001, de 2 de julio, FJ 5; 164/2002, de 17 de septiembre, FJ 4), ni expresa un razonamiento jurídico que objetivamente no pueda resultar comprensible a "cualquier observador” (STC 222/2003, de 15 de diciembre, FJ 5). Y es que, afirma el Ministerio Fiscal, por discutible que pueda parecer la argumentación que ha conducido a la inadmisión del recurso de casación entablado por la recurrente, el hecho cierto es que el Auto dictado por la Sección Primera de la Sala de lo Contencioso-Administrativo del Tribunal Supremo por el que se inadmitió el recurso de casación entablado contra la Sentencia dictada por la Audiencia Nacional, constituye una resolución debidamente motivada y que esa motivación no está incursa ni en error patente, ni en irrazonabilidad, ni en arbitrariedad.</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26 de febrero de 2015 se señaló para la deliberación y votación de la presente Sentencia el 2 de marzo del mismo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parte demandante de amparo impugna el Auto de la Sección Primera de la Sala de lo Contencioso-Administrativo del Tribunal Supremo de 14 de julio de 2011, que acordó no admitir a trámite el recurso de casación interpuesto contra la Sentencia de la Sala de lo </w:t>
      </w:r>
      <w:r>
        <w:lastRenderedPageBreak/>
        <w:t>Contencioso-Administrativo de la Audiencia Nacional de 25 de octubre de 2010, recaída en el procedimiento ordinario núm. 270-2009. También impugna la resolución mediante la que se inadmitió a trámite el incidente de nulidad de actuaciones promovido contra el Auto citado.</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en relación con el principio de seguridad jurídica (art. 9.3 CE),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Asimismo, hemos de recordar que el Tribunal Europeo de Derecho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[Sentencias del Tribunal Europeo de Derechos Humanos (SSTEDH) de 19 diciembre 1997, caso B</w:t>
      </w:r>
      <w:r w:rsidRPr="0085709A">
        <w:rPr>
          <w:i/>
        </w:rPr>
        <w:t>rualla Gómez de la Torre c. España;</w:t>
      </w:r>
      <w:r>
        <w:t xml:space="preserve"> y de 25 enero 2005, caso P</w:t>
      </w:r>
      <w:r w:rsidRPr="0085709A">
        <w:rPr>
          <w:i/>
        </w:rPr>
        <w:t>uchol Oliver c. España]</w:t>
      </w:r>
      <w:r>
        <w:t>.</w:t>
      </w:r>
    </w:p>
    <w:p w:rsidR="0085709A" w:rsidRDefault="0085709A" w:rsidP="0085709A">
      <w:pPr>
        <w:pStyle w:val="TextoNormal"/>
      </w:pPr>
    </w:p>
    <w:p w:rsidR="0085709A" w:rsidRDefault="0085709A" w:rsidP="0085709A">
      <w:pPr>
        <w:pStyle w:val="TextoNormal"/>
      </w:pPr>
      <w:r>
        <w:t>Igualmente relevantes son las Sentencias del Tribunal de Estrasburgo recaídas en los casos S</w:t>
      </w:r>
      <w:r w:rsidRPr="0085709A">
        <w:rPr>
          <w:i/>
        </w:rPr>
        <w:t>ociedad General de Aguas de Barcelona c. España,</w:t>
      </w:r>
      <w:r>
        <w:t xml:space="preserve"> de 25 mayo 2000; L</w:t>
      </w:r>
      <w:r w:rsidRPr="0085709A">
        <w:rPr>
          <w:i/>
        </w:rPr>
        <w:t xml:space="preserve">lopis Ruiz c. </w:t>
      </w:r>
      <w:r w:rsidRPr="0085709A">
        <w:rPr>
          <w:i/>
        </w:rPr>
        <w:lastRenderedPageBreak/>
        <w:t>España,</w:t>
      </w:r>
      <w:r>
        <w:t xml:space="preserve"> de 7 noviembre 2003; e I</w:t>
      </w:r>
      <w:r w:rsidRPr="0085709A">
        <w:rPr>
          <w:i/>
        </w:rPr>
        <w:t>pamark c. España,</w:t>
      </w:r>
      <w:r>
        <w:t xml:space="preserve">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lastRenderedPageBreak/>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su excepcionamiento por disposición legal que establezca el efecto exclusivamente prospectivo de la Sentencia, como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w:t>
      </w:r>
    </w:p>
    <w:p w:rsidR="0085709A" w:rsidRDefault="0085709A" w:rsidP="0085709A">
      <w:pPr>
        <w:pStyle w:val="TextoNormal"/>
      </w:pPr>
    </w:p>
    <w:p w:rsidR="0085709A" w:rsidRDefault="0085709A" w:rsidP="0085709A">
      <w:pPr>
        <w:pStyle w:val="TextoNormal"/>
      </w:pPr>
      <w:r w:rsidRPr="0085709A">
        <w:rPr>
          <w:rStyle w:val="NumeroAFNegritaCaracter"/>
        </w:rPr>
        <w:t>4</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Casas Canarias de Campo, S.L.</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lastRenderedPageBreak/>
        <w:t>Dada en Madrid, a dos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Luis Ignacio Ortega Álvarez y don Juan Antonio Xiol Ríos a la Sentencia dictada en el recurso de amparo núm. 1716-2012.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8" w:name="SENTENCIA_2015_35"/>
      <w:r>
        <w:lastRenderedPageBreak/>
        <w:t>SENTENCIA 35/2015, de 2 de marzo de 2015</w:t>
      </w:r>
    </w:p>
    <w:bookmarkEnd w:id="38"/>
    <w:p w:rsidR="0085709A" w:rsidRDefault="0085709A" w:rsidP="0085709A">
      <w:pPr>
        <w:pStyle w:val="TtuloResolucin"/>
      </w:pPr>
      <w:r>
        <w:t>Sala Primera</w:t>
      </w:r>
    </w:p>
    <w:p w:rsidR="0085709A" w:rsidRDefault="0085709A" w:rsidP="0085709A">
      <w:pPr>
        <w:pStyle w:val="TtuloBOE"/>
      </w:pPr>
      <w:r>
        <w:t>(BOE núm. 85, de 9 de abril de 2015)</w:t>
      </w:r>
    </w:p>
    <w:p w:rsidR="0085709A" w:rsidRDefault="0085709A" w:rsidP="0085709A">
      <w:pPr>
        <w:pStyle w:val="TextoNormalCentrado"/>
      </w:pPr>
      <w:r>
        <w:t>ECLI:ES:TC:2015:35</w:t>
      </w:r>
    </w:p>
    <w:p w:rsidR="0085709A" w:rsidRDefault="0085709A" w:rsidP="0085709A">
      <w:pPr>
        <w:pStyle w:val="TextoNormalCentrado"/>
      </w:pPr>
    </w:p>
    <w:p w:rsidR="0085709A" w:rsidRDefault="0085709A" w:rsidP="0085709A">
      <w:pPr>
        <w:pStyle w:val="SntesisDescriptiva"/>
      </w:pPr>
      <w:r>
        <w:t>Recurso de amparo 2605-2012. Promovido por Promotora de Informaciones, S.A., en relación con el Auto de la Sala de lo Contencioso-Administrativo del Tribunal Supremo que inadmitió su recurso de casación frente a Sentencia de la Audiencia Nacional sobre liquidación del impuesto de sociedades.</w:t>
      </w:r>
    </w:p>
    <w:p w:rsidR="0085709A" w:rsidRDefault="0085709A" w:rsidP="0085709A">
      <w:pPr>
        <w:pStyle w:val="SntesisDescriptiva"/>
      </w:pPr>
    </w:p>
    <w:p w:rsidR="0085709A" w:rsidRDefault="0085709A" w:rsidP="0085709A">
      <w:pPr>
        <w:pStyle w:val="SntesisAnaltica"/>
      </w:pPr>
      <w:r>
        <w:t>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2.</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3.</w:t>
      </w:r>
      <w:r>
        <w:tab/>
        <w:t>No concurren todas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2605/2012, promovido por Promotora de Informaciones S.A., representada por el Procurador de los Tribunales don Argimiro Vázquez Guillén y defendida por el Letrado don Carlos Casanova Caballero, contra el Auto de la Sala Tercera del Tribunal Supremo, de 3 de noviembre de 2011, por el que se inadmite el recurso de </w:t>
      </w:r>
      <w:r>
        <w:lastRenderedPageBreak/>
        <w:t>casación núm. 1499/2011, deducido contra la Sentencia de la Sala de lo Contencioso-administrativo de la Audiencia Nacional, de 16 de febrero de 2011, así como contra el Auto de la misma Sala, de 15 de marzo de 2012, por la que se inadmite el incidente de nulidad deducido contra aquél Auto. Ha intervenido el Abogado del Estado, así como el Ministerio Fiscal.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4 de mayo de 2012, el Procurador don Argimiro Vázquez Guillén, formuló demanda contra las resoluciones judiciales reseñadas en el encabezamiento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relevantes para la resolución del presente recurso de amparo son, sucintamente expuestos, los siguientes:</w:t>
      </w:r>
    </w:p>
    <w:p w:rsidR="0085709A" w:rsidRDefault="0085709A" w:rsidP="0085709A">
      <w:pPr>
        <w:pStyle w:val="TextoNormal"/>
      </w:pPr>
    </w:p>
    <w:p w:rsidR="0085709A" w:rsidRDefault="0085709A" w:rsidP="0085709A">
      <w:pPr>
        <w:pStyle w:val="TextoNormal"/>
      </w:pPr>
      <w:r>
        <w:t>a) La Sección Segunda de la Sala de lo Contencioso-Administrativo de la Audiencia Nacional, dictó Sentencia de 16 de febrero de 2011, por la que estimó parcialmente el recurso deducido por la demandante de amparo contra la resolución del Tribunal Económico-Administrativo Central de 31 de enero de 2008, en relación con el acuerdo de liquidación y sanción dictado respecto del impuesto de sociedades del ejercicio 2001, por el que se anulaba la sanción impuesta y se desestimaba el recurso en todo lo demás.</w:t>
      </w:r>
    </w:p>
    <w:p w:rsidR="0085709A" w:rsidRDefault="0085709A" w:rsidP="0085709A">
      <w:pPr>
        <w:pStyle w:val="TextoNormal"/>
      </w:pPr>
    </w:p>
    <w:p w:rsidR="0085709A" w:rsidRDefault="0085709A" w:rsidP="0085709A">
      <w:pPr>
        <w:pStyle w:val="TextoNormal"/>
      </w:pPr>
      <w:r>
        <w:t>b) Contra dicha resolución prepararon recurso de casación tanto el Abogado del Estado como la demandante de amparo, que lo hizo mediante escrito de fecha 28 de febrero de 2011. En él puso de manifiesto la intención de interponerlo, el cumplimiento del plazo para la presentación del escrito, el carácter recurrible de la resolución impugnada y la suficiencia de la cuantía para el acceso a la casación; a ello añadió la precisión de que el recurso iba a fundarse en los motivos previstos en los apartados c) y d) del art. 88.1 de la Ley reguladora de la jurisdicción contencioso-administrativa (LJCA). El recurso fue tenido por preparado por diligencia de ordenación de la Sala de lo Contencioso-Administrativo de la Audiencia Nacional de 4 de marzo de 2011.</w:t>
      </w:r>
    </w:p>
    <w:p w:rsidR="0085709A" w:rsidRDefault="0085709A" w:rsidP="0085709A">
      <w:pPr>
        <w:pStyle w:val="TextoNormal"/>
      </w:pPr>
    </w:p>
    <w:p w:rsidR="0085709A" w:rsidRDefault="0085709A" w:rsidP="0085709A">
      <w:pPr>
        <w:pStyle w:val="TextoNormal"/>
      </w:pPr>
      <w:r>
        <w:t>c) Mediante escrito presentado en el Registro General del Tribunal Supremo el día 31 de marzo de 2011, la demandante de amparo se personó y formalizó el escrito de interposición del recurso de casación.</w:t>
      </w:r>
    </w:p>
    <w:p w:rsidR="0085709A" w:rsidRDefault="0085709A" w:rsidP="0085709A">
      <w:pPr>
        <w:pStyle w:val="TextoNormal"/>
      </w:pPr>
    </w:p>
    <w:p w:rsidR="0085709A" w:rsidRDefault="0085709A" w:rsidP="0085709A">
      <w:pPr>
        <w:pStyle w:val="TextoNormal"/>
      </w:pPr>
      <w:r>
        <w:t>d) Mediante providencia de 7 de junio de 2011, el órgano judicial acordó poner de manifiesto las actuaciones a las partes por término de diez días para que alegaran lo que estimaren procedente en relación con la posible concurrencia de la causa de inadmisión en los recursos de casación interpuestos consistente en “no haber hecho indicación en el escrito de preparación del recurso, de las concretas infracciones normativas o jurisprudenciales que se desarrollarán en el escrito de interposición [artículos 88.1, 89 y 93.2 a) de la LRJCA y Auto de la Sala de 10 de febrero de 2011, dictado en el recurso de casación 2927/2010]”. Tanto el Abogado del Estado como el demandante de amparo cumplieron el trámite conferido interesando la admisión del recurso de casación respectivamente interpuesto.</w:t>
      </w:r>
    </w:p>
    <w:p w:rsidR="0085709A" w:rsidRDefault="0085709A" w:rsidP="0085709A">
      <w:pPr>
        <w:pStyle w:val="TextoNormal"/>
      </w:pPr>
    </w:p>
    <w:p w:rsidR="0085709A" w:rsidRDefault="0085709A" w:rsidP="0085709A">
      <w:pPr>
        <w:pStyle w:val="TextoNormal"/>
      </w:pPr>
      <w:r>
        <w:lastRenderedPageBreak/>
        <w:t>e) Seguidamente el Tribunal Supremo dictó el Auto de 3 de noviembre de 2011 frente al que se demanda amparo, por el que inadmitió el recurso de casación deducido por el demandante, así como el interpuesto por el Abogado del Estado.</w:t>
      </w:r>
    </w:p>
    <w:p w:rsidR="0085709A" w:rsidRDefault="0085709A" w:rsidP="0085709A">
      <w:pPr>
        <w:pStyle w:val="TextoNormal"/>
      </w:pPr>
    </w:p>
    <w:p w:rsidR="0085709A" w:rsidRDefault="0085709A" w:rsidP="0085709A">
      <w:pPr>
        <w:pStyle w:val="TextoNormal"/>
      </w:pPr>
      <w:r>
        <w:t>La Sala se remitió al ATS de 10 de febrero de 2011, del que transcribió varios de sus fundamentos, a la vista de los cuales concluyó, en lo que ahora interesa, que, no habiéndose citado en el escrito de preparación del recurso formalizado por la sociedad recurrente las infracciones normativas o jurisprudenciales que iban a desarrollarse en el escrito de interposición, pues se limitaba a anunciar que el recurso se fundamentaría en los motivos previstos en los apartados c) y d) del art. 88.1 de la Ley jurisdiccional, procedía la inadmisión del recurso de casación deducido por la demandante de amparo. También se inadmitía, por igual motivo, el interpuesto por el Abogado del Estado.</w:t>
      </w:r>
    </w:p>
    <w:p w:rsidR="0085709A" w:rsidRDefault="0085709A" w:rsidP="0085709A">
      <w:pPr>
        <w:pStyle w:val="TextoNormal"/>
      </w:pPr>
    </w:p>
    <w:p w:rsidR="0085709A" w:rsidRDefault="0085709A" w:rsidP="0085709A">
      <w:pPr>
        <w:pStyle w:val="TextoNormal"/>
      </w:pPr>
      <w:r>
        <w:t>Argumenta que la enumeración que recoge el art. 89.1 LJCA, no agota las exigencias formales del escrito de preparación, pues tan sólo enuncia aquéllas que aparecen desconectadas de los concretos motivos de casación que sustentarán el indicado recurso. Recuerda —con cita de numerosas resoluciones— que el Tribunal Supremo viene exigiendo de forma reiterada la necesidad de anticipar en el escrito de preparación los concretos motivos en que se fundamentará el escrito de interposición. Afirma que es doctrina reiterada la que considera que la fase de preparación no es un mero formalismo sino un trámite que adquiere sustantividad propia, en cuanto ha sido establecido con la finalidad de permitir al mismo Tribunal que ha dictado la resolución judicial efectuar un primer juicio sobre la procedencia del recurso y constatar si se dan las condiciones previstas en la ley para darle trámite, con el propósito de proporcionar a la parte recurrida información acerca de los motivos en que se fundamentará el recurso de casación, a fin de adoptar —en consecuencia— la posición procesal que estime conveniente.</w:t>
      </w:r>
    </w:p>
    <w:p w:rsidR="0085709A" w:rsidRDefault="0085709A" w:rsidP="0085709A">
      <w:pPr>
        <w:pStyle w:val="TextoNormal"/>
      </w:pPr>
    </w:p>
    <w:p w:rsidR="0085709A" w:rsidRDefault="0085709A" w:rsidP="0085709A">
      <w:pPr>
        <w:pStyle w:val="TextoNormal"/>
      </w:pPr>
      <w:r>
        <w:t>Expone que en los AATS de 10 de febrero de 2011 y 12 de mayo de 2011, el Tribunal Supremo ha indicado que es carga del recurrente en casación indicar ya en la fase de preparación el concreto o concretos motivos en que se funda el recurso, con indicación de los concretos preceptos o jurisprudencia que se consideran infringidos o que se pretendan denunciar. Si así no lo hiciera, el trámite de preparación quedaría privado de su sentido y finalidad característicos. Dicha exigencia existe tanto cuando la resolución impugnada procede de los Tribunales Superiores de Justicia como de la Audiencia Nacional y cualquiera que sea el motivo del art. 88.1 que se utilice. Si el escrito de preparación no especifica en modo alguno los motivos a los que se acogerá la impugnación con las exigencias expresadas, el recurso será inadmisible por aplicación del art. 93.2 a) LJCA.</w:t>
      </w:r>
    </w:p>
    <w:p w:rsidR="0085709A" w:rsidRDefault="0085709A" w:rsidP="0085709A">
      <w:pPr>
        <w:pStyle w:val="TextoNormal"/>
      </w:pPr>
    </w:p>
    <w:p w:rsidR="0085709A" w:rsidRDefault="0085709A" w:rsidP="0085709A">
      <w:pPr>
        <w:pStyle w:val="TextoNormal"/>
      </w:pPr>
      <w:r>
        <w:t>Además de remitirse a las consideraciones jurídicas vertidas en los AATS, de 14 de octubre de 2010 y de 10 de febrero de 2011, el Tribunal Supremo argumenta:</w:t>
      </w:r>
    </w:p>
    <w:p w:rsidR="0085709A" w:rsidRDefault="0085709A" w:rsidP="0085709A">
      <w:pPr>
        <w:pStyle w:val="TextoNormal"/>
      </w:pPr>
    </w:p>
    <w:p w:rsidR="0085709A" w:rsidRDefault="0085709A" w:rsidP="0085709A">
      <w:pPr>
        <w:pStyle w:val="TextoNormal"/>
      </w:pPr>
      <w:r>
        <w:t xml:space="preserve">“A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 y la consecuencia de </w:t>
      </w:r>
      <w:r>
        <w:lastRenderedPageBreak/>
        <w:t>una diferente concepción jurídica igualmente razonable y fundada en Derecho de los supuestos sometidos a su decisión.</w:t>
      </w:r>
    </w:p>
    <w:p w:rsidR="0085709A" w:rsidRDefault="0085709A" w:rsidP="0085709A">
      <w:pPr>
        <w:pStyle w:val="TextoNormal"/>
      </w:pPr>
    </w:p>
    <w:p w:rsidR="0085709A" w:rsidRDefault="0085709A" w:rsidP="0085709A">
      <w:pPr>
        <w:pStyle w:val="TextoNormal"/>
      </w:pPr>
      <w:r>
        <w:t>El Tribunal Constitucional viene entendiendo (entre otras, STC 76/2005, de 4 de abril, recurso de amparo nº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nº 6.002 /2002).</w:t>
      </w:r>
    </w:p>
    <w:p w:rsidR="0085709A" w:rsidRDefault="0085709A" w:rsidP="0085709A">
      <w:pPr>
        <w:pStyle w:val="TextoNormal"/>
      </w:pPr>
    </w:p>
    <w:p w:rsidR="0085709A" w:rsidRDefault="0085709A" w:rsidP="0085709A">
      <w:pPr>
        <w:pStyle w:val="TextoNormal"/>
      </w:pPr>
      <w:r>
        <w:t xml:space="preserve">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(por todas, STC 176/2000, de 26 de junio, recurso de amparo nº 6.604 /1997).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nº 5.552/1997, y STS de 22 de diciembre de 2003, recurso de casación nº 5.455/1998.</w:t>
      </w:r>
    </w:p>
    <w:p w:rsidR="0085709A" w:rsidRDefault="0085709A" w:rsidP="0085709A">
      <w:pPr>
        <w:pStyle w:val="TextoNormal"/>
      </w:pPr>
    </w:p>
    <w:p w:rsidR="0085709A" w:rsidRDefault="0085709A" w:rsidP="0085709A">
      <w:pPr>
        <w:pStyle w:val="TextoNormal"/>
      </w:pPr>
      <w:r>
        <w:t xml:space="preserve">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w:t>
      </w:r>
      <w:r w:rsidRPr="0085709A">
        <w:rPr>
          <w:i/>
        </w:rPr>
        <w:t>obiter dictum</w:t>
      </w:r>
      <w:r>
        <w:t>, convirtiendo al Tribunal en legislador, amén de que se frustraría la finalidad del proceso porque la sentencia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w:t>
      </w:r>
    </w:p>
    <w:p w:rsidR="0085709A" w:rsidRDefault="0085709A" w:rsidP="0085709A">
      <w:pPr>
        <w:pStyle w:val="TextoNormal"/>
      </w:pPr>
    </w:p>
    <w:p w:rsidR="0085709A" w:rsidRDefault="0085709A" w:rsidP="0085709A">
      <w:pPr>
        <w:pStyle w:val="TextoNormal"/>
      </w:pPr>
      <w:r>
        <w:t>f) El 1 de diciembre de 2011, la demandante de amparo dedujo incidente de nulidad de actuaciones en el que, con una extensa argumentación, alegó vulneración del derecho a la tutela judicial efectiva, reconocido en el art. 24.1 de la Constitución, en su variante de acceso al recurso legal, por rigorismo y formalismo al inadmitir el recurso de casación, en tanto que la parte demandada y la Sala han podido conocer el contenido y alcance del recurso de casación.</w:t>
      </w:r>
    </w:p>
    <w:p w:rsidR="0085709A" w:rsidRDefault="0085709A" w:rsidP="0085709A">
      <w:pPr>
        <w:pStyle w:val="TextoNormal"/>
      </w:pPr>
    </w:p>
    <w:p w:rsidR="0085709A" w:rsidRDefault="0085709A" w:rsidP="0085709A">
      <w:pPr>
        <w:pStyle w:val="TextoNormal"/>
      </w:pPr>
      <w:r>
        <w:lastRenderedPageBreak/>
        <w:t>g) Mediante Auto de 15 de marzo de 2012, frente al que también se demanda amparo, se desestimó el incidente de nulidad promovido por la demandante. Se razona que la demandante expresa su discrepancia con la inadmisión del recurso de casación, utilizando el incidente de nulidad a modo de recurso de súplica, pretendiendo someter a crítica la bondad jurídica de una resolución que es firme y reiterando lo alegado en el escrito de alegaciones. Añade que la declaración de inadmisibilidad tampoco contradice el derecho a un proceso equitativo, reconocido en el art. 6.1 del Convenio europeo de derechos humanos, al respetarse el principio de proporcionalidad entre las limitaciones impuestas al derecho y el acceso a un tribunal para que examine el recurso y las consecuencias de su aplicación.</w:t>
      </w:r>
    </w:p>
    <w:p w:rsidR="0085709A" w:rsidRDefault="0085709A" w:rsidP="0085709A">
      <w:pPr>
        <w:pStyle w:val="TextoNormal"/>
      </w:pPr>
    </w:p>
    <w:p w:rsidR="0085709A" w:rsidRDefault="0085709A" w:rsidP="0085709A">
      <w:pPr>
        <w:pStyle w:val="TextoNormal"/>
      </w:pPr>
      <w:r w:rsidRPr="0085709A">
        <w:rPr>
          <w:rStyle w:val="NumeroAFNegritaCaracter"/>
        </w:rPr>
        <w:t>3</w:t>
      </w:r>
      <w:r>
        <w:t>. Para la resolución del presente recurso de amparo ha de tenerse igualmente presente lo siguiente:</w:t>
      </w:r>
    </w:p>
    <w:p w:rsidR="0085709A" w:rsidRDefault="0085709A" w:rsidP="0085709A">
      <w:pPr>
        <w:pStyle w:val="TextoNormal"/>
      </w:pPr>
    </w:p>
    <w:p w:rsidR="0085709A" w:rsidRDefault="0085709A" w:rsidP="0085709A">
      <w:pPr>
        <w:pStyle w:val="TextoNormal"/>
      </w:pPr>
      <w:r>
        <w:t>a) El art. 89.1 LJCA dispone que en el escrito de preparación del recurso de casación deberá manifestarse “la intención de interponer el recurso, con sucinta exposición de la concurrencia de los requisitos de forma exigidos”. El art. 89.2 LJCA dispone que “en el supuesto previsto en el art. 86.4 ‘sentencias dictadas por las salas de lo contencioso-administrativo de los Tribunales Superiores de Justicia, contra las que solo cabe recurso si este puede fundarse en infracción de normas de Derecho estatal o comunitario europeo’, habrá de justificarse que la infracción de una norma estatal o comunitaria europea ha sido relevante y determinante del fallo de la sentencia”.</w:t>
      </w:r>
    </w:p>
    <w:p w:rsidR="0085709A" w:rsidRDefault="0085709A" w:rsidP="0085709A">
      <w:pPr>
        <w:pStyle w:val="TextoNormal"/>
      </w:pPr>
    </w:p>
    <w:p w:rsidR="0085709A" w:rsidRDefault="0085709A" w:rsidP="0085709A">
      <w:pPr>
        <w:pStyle w:val="TextoNormal"/>
      </w:pPr>
      <w:r>
        <w:t>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0085709A" w:rsidRDefault="0085709A" w:rsidP="0085709A">
      <w:pPr>
        <w:pStyle w:val="TextoNormal"/>
      </w:pPr>
    </w:p>
    <w:p w:rsidR="0085709A" w:rsidRDefault="0085709A" w:rsidP="0085709A">
      <w:pPr>
        <w:pStyle w:val="TextoNormal"/>
      </w:pPr>
      <w:r>
        <w:t>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respecto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0085709A" w:rsidRDefault="0085709A" w:rsidP="0085709A">
      <w:pPr>
        <w:pStyle w:val="TextoNormal"/>
      </w:pPr>
    </w:p>
    <w:p w:rsidR="0085709A" w:rsidRDefault="0085709A" w:rsidP="0085709A">
      <w:pPr>
        <w:pStyle w:val="TextoNormal"/>
      </w:pPr>
      <w:r>
        <w:t>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de 2010. FJ 6).</w:t>
      </w:r>
    </w:p>
    <w:p w:rsidR="0085709A" w:rsidRDefault="0085709A" w:rsidP="0085709A">
      <w:pPr>
        <w:pStyle w:val="TextoNormal"/>
      </w:pPr>
    </w:p>
    <w:p w:rsidR="0085709A" w:rsidRDefault="0085709A" w:rsidP="0085709A">
      <w:pPr>
        <w:pStyle w:val="TextoNormal"/>
      </w:pPr>
      <w:r>
        <w:t>e) El ATS de 10 de febrero de 2011 (recurso de casación 2927-2010), al que se ha hecho ya referencia, dictado también por la Sección Primera de la Sala de lo Contencioso-Administrativo, a la que corresponde por reparto decidir sobre la admisibilidad de los recursos de casación, dictado también con la finalidad de “clarificar” la doctrina jurisprudencial, especificó que el escrito de preparación, con carácter general, debe contener no sólo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(FJ 4).</w:t>
      </w:r>
    </w:p>
    <w:p w:rsidR="0085709A" w:rsidRDefault="0085709A" w:rsidP="0085709A">
      <w:pPr>
        <w:pStyle w:val="TextoNormal"/>
      </w:pPr>
    </w:p>
    <w:p w:rsidR="0085709A" w:rsidRDefault="0085709A" w:rsidP="0085709A">
      <w:pPr>
        <w:pStyle w:val="TextoNormal"/>
      </w:pPr>
      <w:r>
        <w:t xml:space="preserve">El citado Auto expone las razones por las cuales se introdujo esta especificación de la siguiente forma: “Si así no se exigiera, es decir, si se estimara innecesario anticipar el motivo o motivos al que se acogerá el éxito de interposición en los términos expresados, el trámite de preparación quedaría privado de sentido y finalidad característicos, desde el momento en que el tribunal </w:t>
      </w:r>
      <w:r w:rsidRPr="0085709A">
        <w:rPr>
          <w:i/>
        </w:rPr>
        <w:t>a quo</w:t>
      </w:r>
      <w:r>
        <w:t xml:space="preserve">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 1 que se utilice” (FJ 4).</w:t>
      </w:r>
    </w:p>
    <w:p w:rsidR="0085709A" w:rsidRDefault="0085709A" w:rsidP="0085709A">
      <w:pPr>
        <w:pStyle w:val="TextoNormal"/>
      </w:pPr>
    </w:p>
    <w:p w:rsidR="0085709A" w:rsidRDefault="0085709A" w:rsidP="0085709A">
      <w:pPr>
        <w:pStyle w:val="TextoNormal"/>
      </w:pPr>
      <w:r w:rsidRPr="0085709A">
        <w:rPr>
          <w:rStyle w:val="NumeroAFNegritaCaracter"/>
        </w:rPr>
        <w:t>4</w:t>
      </w:r>
      <w:r>
        <w:t>. En la demanda se reprocha al Auto de inadmisión frente al que se solicita amparo la vulneración del derecho a la tutela judicial efectiva, en su vertiente de derecho de acceso a los recursos. Afirma que en el escrito de preparación se dio cumplimiento al art. 88.1 d) LJCA, al citar las normas que se consideraban infringidas. En todo caso, considera subsanable la omisión contenida en el escrito de preparación del recurso, máxime cuando lo que parece que se encuentra en juego es el alcance de la “sucinta exposición”.</w:t>
      </w:r>
    </w:p>
    <w:p w:rsidR="0085709A" w:rsidRDefault="0085709A" w:rsidP="0085709A">
      <w:pPr>
        <w:pStyle w:val="TextoNormal"/>
      </w:pPr>
    </w:p>
    <w:p w:rsidR="0085709A" w:rsidRDefault="0085709A" w:rsidP="0085709A">
      <w:pPr>
        <w:pStyle w:val="TextoNormal"/>
      </w:pPr>
      <w:r>
        <w:t xml:space="preserve">Argumenta que el Auto impugnado es contrario al principio “antiformalista y al principio </w:t>
      </w:r>
      <w:r w:rsidRPr="0085709A">
        <w:rPr>
          <w:i/>
        </w:rPr>
        <w:t>favor acti</w:t>
      </w:r>
      <w:r>
        <w:t xml:space="preserve">”, mucho más si se toma en consideración que cuando se dicta dicho Auto la Sala ya tiene en su poder el escrito de interposición en el que se articulan los motivos propiamente dichos del recurso y se establecen los preceptos de las normas previamente invocadas </w:t>
      </w:r>
      <w:r>
        <w:lastRenderedPageBreak/>
        <w:t>que se reputan infringidas, pudiendo ser valorados conjuntamente el escrito de preparación y el de interposición en orden a la tramitación del recurso. Entiende que la parte demandada y el Tribunal Supremo han podido conocer perfectamente el contenido y alcance del recurso, cumpliendo con ello la finalidad del escrito de preparación.</w:t>
      </w:r>
    </w:p>
    <w:p w:rsidR="0085709A" w:rsidRDefault="0085709A" w:rsidP="0085709A">
      <w:pPr>
        <w:pStyle w:val="TextoNormal"/>
      </w:pPr>
    </w:p>
    <w:p w:rsidR="0085709A" w:rsidRDefault="0085709A" w:rsidP="0085709A">
      <w:pPr>
        <w:pStyle w:val="TextoNormal"/>
      </w:pPr>
      <w:r>
        <w:t>Añade que la posición del Tribunal Supremo casa mal con la doctrina del Tribunal Constitucional, al llevar a cabo una interpretación rigorista, fruto de un formalismo excesivo, que es claramente desproporcionada al contrastarse con los intereses que se sacrifican. Pues conociendo el Tribunal Supremo los motivos invocados y los extremos objeto del recurso, hubiese podido entrar a conocer del recurso al constar de manera indubitada la normativa que se invocaba y al no existir contradicción entre el escrito de preparación y el de interposición del recurso.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6 de mayo de 2013, la Sala Primera acordó admitir a trámite la demanda de amparo. Asimismo, en aplicación de lo dispuesto en el art.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 1499-2011 y al recurso núm. 57-2008, respectivamente, debiendo previamente emplazarse para que pudieran comparecer en el recurso de amparo, en el término de diez días, a quienes hubieran sido parte en el procedimiento, excepto a la parte recurrente en amparo, acordando notificarle la resolución con efectos de emplazamiento al Abogado del Estado, en representación de la Administración.</w:t>
      </w:r>
    </w:p>
    <w:p w:rsidR="0085709A" w:rsidRDefault="0085709A" w:rsidP="0085709A">
      <w:pPr>
        <w:pStyle w:val="TextoNormal"/>
      </w:pPr>
    </w:p>
    <w:p w:rsidR="0085709A" w:rsidRDefault="0085709A" w:rsidP="0085709A">
      <w:pPr>
        <w:pStyle w:val="TextoNormal"/>
      </w:pPr>
      <w:r w:rsidRPr="0085709A">
        <w:rPr>
          <w:rStyle w:val="NumeroAFNegritaCaracter"/>
        </w:rPr>
        <w:t>6</w:t>
      </w:r>
      <w:r>
        <w:t>. Recibidas las certificaciones interesadas de las actuaciones judiciales y personado el Abogado del Estado mediante escrito presentado el 14 de mayo de 2013, mediante diligencia de ordenación de 10 de junio de 2013,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formuló alegaciones mediante escrito presentado el 9 de julio de 2013, en el que solicita que se “dicte sentencia con arreglo a Derecho”. Considera que la exigencia jurisprudencial contenida en el ATS de 10 de febrero de 2011 de anticipar resumidamente los motivos casacionales que se desarrollaran en el escrito de interposición, no puede calificarse ni de arbitraria ni de irrazonable. Afirma que el auténtico problema constitucional que la demanda suscita, radica en la aplicación retrospectiva de las nuevas máximas jurisprudenciales contenidas en el ATS de 10 de febrero de 2011, inexistente cuando se presentó el escrito de preparación del recurso de casación.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8</w:t>
      </w:r>
      <w:r>
        <w:t>. La representación procesal de la demandante de amparo presentó escrito el 10 de julio de 2013 por el que reproducía las alegaciones contenidas en la demanda de amparo.</w:t>
      </w:r>
    </w:p>
    <w:p w:rsidR="0085709A" w:rsidRDefault="0085709A" w:rsidP="0085709A">
      <w:pPr>
        <w:pStyle w:val="TextoNormal"/>
      </w:pPr>
    </w:p>
    <w:p w:rsidR="0085709A" w:rsidRDefault="0085709A" w:rsidP="0085709A">
      <w:pPr>
        <w:pStyle w:val="TextoNormal"/>
      </w:pPr>
      <w:r w:rsidRPr="0085709A">
        <w:rPr>
          <w:rStyle w:val="NumeroAFNegritaCaracter"/>
        </w:rPr>
        <w:t>9</w:t>
      </w:r>
      <w:r>
        <w:t>. El Ministerio Fiscal presentó sus alegaciones mediante escrito registrado el 23 de julio de 2013. En él recoge la doctrina del Tribunal Constitucional sobre el acceso a los recursos y la evolución de la jurisprudencia del Tribunal Supremo sobre los requisitos que debe reunir el escrito de preparación del recurso de casación contencioso-administrativo. A la vista de las alegaciones formuladas en la demanda de amparo, interesa que se desestime íntegramente la demanda de amparo.</w:t>
      </w:r>
    </w:p>
    <w:p w:rsidR="0085709A" w:rsidRDefault="0085709A" w:rsidP="0085709A">
      <w:pPr>
        <w:pStyle w:val="TextoNormal"/>
      </w:pPr>
    </w:p>
    <w:p w:rsidR="0085709A" w:rsidRDefault="0085709A" w:rsidP="0085709A">
      <w:pPr>
        <w:pStyle w:val="TextoNormal"/>
      </w:pPr>
      <w:r>
        <w:t>El Ministerio Fiscal en su exhaustivo y pormenorizado informe, realiza un detallado repaso de la evolución de la doctrina del Tribunal Supremo en relación con los requisitos que deber reunir el escrito de preparación del recurso. Señala que el ATS 2371/2011, de 10 de febrero, cambió la doctrina hasta entonces existente en el sentido de exigir, también para los recursos contra sentencias de la Audiencia Nacional, que en el escrito de preparación se especifique el concreto o concretos motivos en que se fundará el recurso, con indicación de los concretos preceptos o jurisprudencia que se reputan infringidos o del contenido de las infracciones normativas o jurisprudenciales que se pretendan denunciar y desarrollar en el escrito de interposición del recurso de casación, aunque sea en forma sucinta. Sostiene que dicha doctrina es la que se aplicó al caso controvertido.</w:t>
      </w:r>
    </w:p>
    <w:p w:rsidR="0085709A" w:rsidRDefault="0085709A" w:rsidP="0085709A">
      <w:pPr>
        <w:pStyle w:val="TextoNormal"/>
      </w:pPr>
    </w:p>
    <w:p w:rsidR="0085709A" w:rsidRDefault="0085709A" w:rsidP="0085709A">
      <w:pPr>
        <w:pStyle w:val="TextoNormal"/>
      </w:pPr>
      <w:r>
        <w:t xml:space="preserve">A continuación, el Ministerio Fiscal, circunscribiendo sus alegaciones al motivo de amparo invocado por el demandante, pone de manifiesto la doctrina del Tribunal Constitucional sobre el derecho de acceso al recurso, diferenciándolo del derecho de acceso a la jurisdicción, en lo relativo a la inoperancia del principio </w:t>
      </w:r>
      <w:r w:rsidRPr="0085709A">
        <w:rPr>
          <w:i/>
        </w:rPr>
        <w:t>pro actione</w:t>
      </w:r>
      <w:r>
        <w:t>, en tanto que el derecho de acceso al recurso no nace directamente de la Constitución sino de la ley procesal, siendo pues un derecho de configuración legal, correspondiendo a los jueces y tribunales en exclusiva (art. 117.3 CE), verificar si el recurso cumple los requisitos procesales y materiales. Por ello, afirma, el control del Tribunal Constitucional es meramente externo, debiendo limitarse a comprobar si tienen motivación las resoluciones de inadmisión, si han incurrido en error patente, arbitrariedad o manifiesta irrazonabilidad. Siendo, si cabe, más limitado todavía el control que le corresponde al Tribunal Constitucional cuando la resolución enjuiciada en materia de acceso al recurso es del Tribunal Supremo.</w:t>
      </w:r>
    </w:p>
    <w:p w:rsidR="0085709A" w:rsidRDefault="0085709A" w:rsidP="0085709A">
      <w:pPr>
        <w:pStyle w:val="TextoNormal"/>
      </w:pPr>
    </w:p>
    <w:p w:rsidR="0085709A" w:rsidRDefault="0085709A" w:rsidP="0085709A">
      <w:pPr>
        <w:pStyle w:val="TextoNormal"/>
      </w:pPr>
      <w:r>
        <w:t>Pues bien, considera el Fiscal que por discutible que pueda parecer la argumentación que ha conducido a la inadmisión del recurso de casación, constituye una resolución debidamente motivada, no incursa en error patente, ni en irrazonabilidad, ni en arbitrariedad. Añade, el Fiscal, completando su exhaustivo informe, que la exigencia de especificar las concretas infracciones legales o jurisprudenciales fluye con naturalidad de los motivos de casación esgrimidos en el escrito de preparación del recurso, que se refieren precisamente a las infracciones de las normas reguladoras de la sentencia o de las que rigen los actos y garantías procesales y a la infracción de las normas del ordenamiento jurídico o de la jurisprudencia que fueran aplicable para resolver las cuestiones objeto de debate. Por ello concluye, que la exigencia resulta del propio tenor de los dos motivos de casación concretados por el demandante, que son los que ahora interesan, de modo que podría afirmarse que no es la jurisprudencia sino la norma legal la que impone tal requisito.</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fecha 26 de febrero de dos mil quince, se señaló para deliberación y votación de la presente Sentencia el día 2 de marzo del mismo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3 de noviembre de 2011, que acordó no admitir a trámite el recurso de casación interpuesto contra la Sentencia de la Sala de lo Contencioso-Administrativo de la Audiencia Nacional de 16 de febrero de 2011, recaída en el procedimiento ordinario núm. 57-2008. También impugna el Auto que desestimó el incidente de nulidad de actuaciones promovido contra el Auto citado.</w:t>
      </w:r>
    </w:p>
    <w:p w:rsidR="0085709A" w:rsidRDefault="0085709A" w:rsidP="0085709A">
      <w:pPr>
        <w:pStyle w:val="TextoNormal"/>
      </w:pPr>
    </w:p>
    <w:p w:rsidR="0085709A" w:rsidRDefault="0085709A" w:rsidP="0085709A">
      <w:pPr>
        <w:pStyle w:val="TextoNormal"/>
      </w:pPr>
      <w:r>
        <w:t xml:space="preserve">La recurrente, según se expresa con más detalle en los antecedentes de hecho de esta resolución, imputa a las resoluciones recurridas la vulneración de su derecho a la tutela judicial efectiva (art. 24.1 CE), en su vertiente de acceso a los recursos, afirmando que el Auto impugnado lleva a cabo una interpretación rigorista, fruto de un formalismo excesivo, contrario al principio </w:t>
      </w:r>
      <w:r w:rsidRPr="0085709A">
        <w:rPr>
          <w:i/>
        </w:rPr>
        <w:t>pro actione</w:t>
      </w:r>
      <w:r>
        <w:t>, claramente desproporcionada a los intereses que se sacrifican.</w:t>
      </w:r>
    </w:p>
    <w:p w:rsidR="0085709A" w:rsidRDefault="0085709A" w:rsidP="0085709A">
      <w:pPr>
        <w:pStyle w:val="TextoNormal"/>
      </w:pPr>
    </w:p>
    <w:p w:rsidR="0085709A" w:rsidRDefault="0085709A" w:rsidP="0085709A">
      <w:pPr>
        <w:pStyle w:val="TextoNormal"/>
      </w:pPr>
      <w:r w:rsidRPr="0085709A">
        <w:rPr>
          <w:rStyle w:val="NumeroAFNegritaCaracter"/>
        </w:rPr>
        <w:t>2</w:t>
      </w:r>
      <w:r>
        <w:t>. El problema planteado en la demanda de amparo ha sido ya abordado por este Tribunal en la STC 7/2015, de 22 de enero, en la que hemos tenido la oportunidad de examinar otro supuesto de inadmisión de un recurso de casación por omitirse en el escrito de preparación la cita de las normas y jurisprudencia que el recurrente reputaba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llevar a cabo una interpretación rigorista de las exigencias procesales del escrito de preparación del recurso de casación.</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w:t>
      </w:r>
      <w:r w:rsidRPr="0085709A">
        <w:rPr>
          <w:i/>
        </w:rPr>
        <w:t>rualla Gómez de la Torre c. España;</w:t>
      </w:r>
      <w:r>
        <w:t xml:space="preserve"> y de 25 enero 2005, caso P</w:t>
      </w:r>
      <w:r w:rsidRPr="0085709A">
        <w:rPr>
          <w:i/>
        </w:rPr>
        <w:t>uchol Oliver c. España)</w:t>
      </w:r>
      <w:r>
        <w:t>.</w:t>
      </w:r>
    </w:p>
    <w:p w:rsidR="0085709A" w:rsidRDefault="0085709A" w:rsidP="0085709A">
      <w:pPr>
        <w:pStyle w:val="TextoNormal"/>
      </w:pPr>
    </w:p>
    <w:p w:rsidR="0085709A" w:rsidRDefault="0085709A" w:rsidP="0085709A">
      <w:pPr>
        <w:pStyle w:val="TextoNormal"/>
      </w:pPr>
      <w:r>
        <w:lastRenderedPageBreak/>
        <w:t>Igualmente relevantes son las Sentencias del Tribunal de Estrasburgo recaídas en los casos S</w:t>
      </w:r>
      <w:r w:rsidRPr="0085709A">
        <w:rPr>
          <w:i/>
        </w:rPr>
        <w:t>ociedad General de Aguas de Barcelona c. España,</w:t>
      </w:r>
      <w:r>
        <w:t xml:space="preserve"> de 25 mayo 2000; L</w:t>
      </w:r>
      <w:r w:rsidRPr="0085709A">
        <w:rPr>
          <w:i/>
        </w:rPr>
        <w:t>lopis Ruiz c. España,</w:t>
      </w:r>
      <w:r>
        <w:t xml:space="preserve"> de 7 noviembre 2003; e I</w:t>
      </w:r>
      <w:r w:rsidRPr="0085709A">
        <w:rPr>
          <w:i/>
        </w:rPr>
        <w:t>pamark c. España,</w:t>
      </w:r>
      <w:r>
        <w:t xml:space="preserve">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w:t>
      </w:r>
      <w:r>
        <w:lastRenderedPageBreak/>
        <w:t>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su excepcionamiento por disposición legal que establezca el efecto exclusivamente prospectivo de la sentencia, como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de jurisprudencia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En consideración a lo argumentado en los fundamentos anteriores,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el recurso de amparo interpuesto por Promotora de Informaciones, S.A.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Luis Ignacio Ortega Álvarez y don Juan Antonio Xiol Ríos a la Sentencia dictada en el recurso de amparo núm. 2605-2012.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39" w:name="SENTENCIA_2015_36"/>
      <w:r>
        <w:lastRenderedPageBreak/>
        <w:t>SENTENCIA 36/2015, de 2 de marzo de 2015</w:t>
      </w:r>
    </w:p>
    <w:bookmarkEnd w:id="39"/>
    <w:p w:rsidR="0085709A" w:rsidRDefault="0085709A" w:rsidP="0085709A">
      <w:pPr>
        <w:pStyle w:val="TtuloResolucin"/>
      </w:pPr>
      <w:r>
        <w:t>Sala Primera</w:t>
      </w:r>
    </w:p>
    <w:p w:rsidR="0085709A" w:rsidRDefault="0085709A" w:rsidP="0085709A">
      <w:pPr>
        <w:pStyle w:val="TtuloBOE"/>
      </w:pPr>
      <w:r>
        <w:t>(BOE núm. 85, de 9 de abril de 2015)</w:t>
      </w:r>
    </w:p>
    <w:p w:rsidR="0085709A" w:rsidRDefault="0085709A" w:rsidP="0085709A">
      <w:pPr>
        <w:pStyle w:val="TextoNormalCentrado"/>
      </w:pPr>
      <w:r>
        <w:t>ECLI:ES:TC:2015:36</w:t>
      </w:r>
    </w:p>
    <w:p w:rsidR="0085709A" w:rsidRDefault="0085709A" w:rsidP="0085709A">
      <w:pPr>
        <w:pStyle w:val="TextoNormalCentrado"/>
      </w:pPr>
    </w:p>
    <w:p w:rsidR="0085709A" w:rsidRDefault="0085709A" w:rsidP="0085709A">
      <w:pPr>
        <w:pStyle w:val="SntesisDescriptiva"/>
      </w:pPr>
      <w:r>
        <w:t>Recurso de amparo 2860-2012. Promovido por Josel, S.L., en relación con el Auto de la Sala de lo Contencioso-Administrativo del Tribunal Supremo que inadmitió su recurso de casación frente a Sentencia de la Audiencia Nacional sobre liquidación del impuesto de sociedades.</w:t>
      </w:r>
    </w:p>
    <w:p w:rsidR="0085709A" w:rsidRDefault="0085709A" w:rsidP="0085709A">
      <w:pPr>
        <w:pStyle w:val="SntesisDescriptiva"/>
      </w:pPr>
    </w:p>
    <w:p w:rsidR="0085709A" w:rsidRDefault="0085709A" w:rsidP="0085709A">
      <w:pPr>
        <w:pStyle w:val="SntesisAnaltica"/>
      </w:pPr>
      <w:r>
        <w:t>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2.</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3.</w:t>
      </w:r>
      <w:r>
        <w:tab/>
        <w:t>No concurren todas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2860-2012, promovido por la mercantil JOSEL, S.L., representada por el Procurador de los Tribunales don Antonio Sorribes Calles y asistida por el Abogado don Miguel Andrés Riera, contra el Auto de la Sección Primera de la Sala de lo Contencioso-Administrativo del Tribunal Supremo de 17 de noviembre de 2011, que declaró la inadmisión del recurso de casación núm. 1501-2011, y contra el Auto de 22 de </w:t>
      </w:r>
      <w:r>
        <w:lastRenderedPageBreak/>
        <w:t>marzo de 2012 de la misma Sala que desestimó el incidente de nulidad de actuaciones promovido contra el anterior. Ha comparecido y formulado alegaciones el Abogado del Estado. Ha intervenido el Ministerio Fiscal.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Por escrito presentado en el Registro General de este Tribunal Constitucional el 14 de mayo de 2012, el Procurador de los Tribunales don Antonio Sorribes Calles, en nombre y representación de la mercantil Josel, S.L. (sucesora por absorción de la mercantil Núñez y Navarro Conde de Urgell, S.A.),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La sociedad demandante de amparo interpuso recurso contencioso-administrativo contra la resolución del Tribunal Económico-Administrativo Central (Sala Primera, Vocalía Segunda) de 8 de noviembre de 2007, que desestimó los dos recursos de alzada acumulados interpuestos contra resoluciones del Tribunal Económico-Administrativo Regional de Cataluña desestimatorias de sendas reclamaciones económico-administrativas (núms. 08/15530/03 y 08/11449/03) en materia del impuesto de sociedades, ejercicio de 1999.</w:t>
      </w:r>
    </w:p>
    <w:p w:rsidR="0085709A" w:rsidRDefault="0085709A" w:rsidP="0085709A">
      <w:pPr>
        <w:pStyle w:val="TextoNormal"/>
      </w:pPr>
    </w:p>
    <w:p w:rsidR="0085709A" w:rsidRDefault="0085709A" w:rsidP="0085709A">
      <w:pPr>
        <w:pStyle w:val="TextoNormal"/>
      </w:pPr>
      <w:r>
        <w:t>b) Seguido el procedimiento por sus trámites con el núm. 24-2008, la Sala de lo Contencioso-Administrativo de la Audiencia Nacional (Sección Segunda) dictó el 26 de enero de 2011 Sentencia desestimatoria, que fue notificada a las partes con la indicación de que contra la misma cabía recurso de casación ante la Sala de lo Contencioso-Administrativo del Tribunal Supremo.</w:t>
      </w:r>
    </w:p>
    <w:p w:rsidR="0085709A" w:rsidRDefault="0085709A" w:rsidP="0085709A">
      <w:pPr>
        <w:pStyle w:val="TextoNormal"/>
      </w:pPr>
    </w:p>
    <w:p w:rsidR="0085709A" w:rsidRDefault="0085709A" w:rsidP="0085709A">
      <w:pPr>
        <w:pStyle w:val="TextoNormal"/>
      </w:pPr>
      <w:r>
        <w:t>c) Contra la anterior Sentencia preparó recurso de casación la sociedad demandante de amparo, mediante escrito registrado en la Audiencia Nacional el 25 de febrero de 2011: en él puso de manifiesto la intención de interponerlo, la legitimación de la recurrente, el cumplimiento del plazo para la presentación del escrito, el carácter recurrible de la Sentencia impugnada y la suficiencia de la cuantía (por indeterminada) para el acceso a la casación. A ello añadió la precisión de que el recurso iba a fundarse en los motivos previstos en los arts. 88.1 c) y 88.1 d) de la Ley reguladora de la jurisdicción contencioso-administrativa (LJCA), y que las normas relevantes y determinantes del fallo de la Sentencia son estatales. El recurso se tuvo por preparado por diligencia de ordenación de la Sala de lo Contencioso-Administrativo de la Audiencia Nacional de 1 de marzo de 2011, con emplazamiento de las partes ante la Sala Tercera del Tribunal Supremo.</w:t>
      </w:r>
    </w:p>
    <w:p w:rsidR="0085709A" w:rsidRDefault="0085709A" w:rsidP="0085709A">
      <w:pPr>
        <w:pStyle w:val="TextoNormal"/>
      </w:pPr>
    </w:p>
    <w:p w:rsidR="0085709A" w:rsidRDefault="0085709A" w:rsidP="0085709A">
      <w:pPr>
        <w:pStyle w:val="TextoNormal"/>
      </w:pPr>
      <w:r>
        <w:t>d) El 13 de abril de 2011 la sociedad demandante interpuso el recurso de casación ante la Sala Tercera del Tribunal Supremo, recurso que fue registrado con el núm. 1501-2011.</w:t>
      </w:r>
    </w:p>
    <w:p w:rsidR="0085709A" w:rsidRDefault="0085709A" w:rsidP="0085709A">
      <w:pPr>
        <w:pStyle w:val="TextoNormal"/>
      </w:pPr>
    </w:p>
    <w:p w:rsidR="0085709A" w:rsidRDefault="0085709A" w:rsidP="0085709A">
      <w:pPr>
        <w:pStyle w:val="TextoNormal"/>
      </w:pPr>
      <w:r>
        <w:t xml:space="preserve">e) El 30 de mayo de 2011 se dictó providencia por la que la Sala Tercera del Tribunal Supremo puso de manifiesto para alegaciones, conforme a lo previsto en el art. 93.3 LJCA, la posible concurrencia de la causa de inadmisión consistente en no haberse indicado en el escrito de preparación del recurso las concretas infracciones normativas o jurisprudenciales </w:t>
      </w:r>
      <w:r>
        <w:lastRenderedPageBreak/>
        <w:t>que iban a desarrollarse en el escrito de interposición [arts. 88.1, 89.1 y 93.2 a) LJCA y Auto de dicha Sala de 10 de febrero de 2011, dictado en el recurso de casación núm. 2927-2010].</w:t>
      </w:r>
    </w:p>
    <w:p w:rsidR="0085709A" w:rsidRDefault="0085709A" w:rsidP="0085709A">
      <w:pPr>
        <w:pStyle w:val="TextoNormal"/>
      </w:pPr>
    </w:p>
    <w:p w:rsidR="0085709A" w:rsidRDefault="0085709A" w:rsidP="0085709A">
      <w:pPr>
        <w:pStyle w:val="TextoNormal"/>
      </w:pPr>
      <w:r>
        <w:t>El trámite fue cumplido por el Abogado del Estado, que manifestó no tener nada que objetar a la inadmisión del recurso, y por la demandante de amparo, que interesó la admisión del recurso, haciendo expresa invocación del art. 24.1 CE, a los efectos del art. 44.1 c) de la Ley Orgánica del Tribunal Constitucional (LOTC).</w:t>
      </w:r>
    </w:p>
    <w:p w:rsidR="0085709A" w:rsidRDefault="0085709A" w:rsidP="0085709A">
      <w:pPr>
        <w:pStyle w:val="TextoNormal"/>
      </w:pPr>
    </w:p>
    <w:p w:rsidR="0085709A" w:rsidRDefault="0085709A" w:rsidP="0085709A">
      <w:pPr>
        <w:pStyle w:val="TextoNormal"/>
      </w:pPr>
      <w:r>
        <w:t>f) Por Auto de 17 de noviembre de 2011 la Sala Tercera del Tribunal Supremo (Sección Primera) declaró la inadmisión del recurso de casación. La Sala se remitió al Auto de 10 de febrero de 2011, del que transcribió varios fundamentos; a la vista de ellos concluyó que, no habiéndose citado en el escrito de preparación del recurso formalizado por la sociedad recurrente las infracciones normativas o jurisprudenciales que iban a desarrollarse en el escrito de interposición, procedía la inadmisión del recurso.</w:t>
      </w:r>
    </w:p>
    <w:p w:rsidR="0085709A" w:rsidRDefault="0085709A" w:rsidP="0085709A">
      <w:pPr>
        <w:pStyle w:val="TextoNormal"/>
      </w:pPr>
    </w:p>
    <w:p w:rsidR="0085709A" w:rsidRDefault="0085709A" w:rsidP="0085709A">
      <w:pPr>
        <w:pStyle w:val="TextoNormal"/>
      </w:pPr>
      <w:r>
        <w:t>g) El 22 de diciembre de 2011 la sociedad demandante de amparo promovió contra el Auto de inadmisión incidente de nulidad de actuaciones en el que, con una extensa argumentación (que desarrolla la expuesta en el trámite de alegaciones sobre la admisibilidad del recurso de casación), alegó la vulneración del derecho a la igualdad en la aplicación de la ley (art. 14 CE) y del derecho a la tutela judicial efectiva en su vertiente de acceso a los recursos (art. 24.1 CE), en relación con el principio de seguridad jurídica contenido en el art. 9.3 CE. Sostuvo, en resumen, que el Tribunal Supremo había modificado de manera arbitraria, sin motivación y sin vocación de permanencia, su jurisprudencia sobre los requisitos del escrito de preparación del recurso de casación contra Sentencias dictadas por la Audiencia Nacional. Ha exigido un requisito de marcado carácter formalista no contemplado en la ley y lo ha aplicado a escritos de preparación del recurso de casación presentados con anterioridad a la adopción del nuevo criterio en el Auto de 10 de febrero de 2011 o en fechas posteriores muy cercanas a dicha resolución. Al no ser tal criterio novedoso conocido en la fecha en que se preparó el recurso de casación, ha causado con ello indefensión a la recurrente.</w:t>
      </w:r>
    </w:p>
    <w:p w:rsidR="0085709A" w:rsidRDefault="0085709A" w:rsidP="0085709A">
      <w:pPr>
        <w:pStyle w:val="TextoNormal"/>
      </w:pPr>
    </w:p>
    <w:p w:rsidR="0085709A" w:rsidRDefault="0085709A" w:rsidP="0085709A">
      <w:pPr>
        <w:pStyle w:val="TextoNormal"/>
      </w:pPr>
      <w:r>
        <w:t>h) Por Auto de 22 de marzo de 2012 fue desestimado el incidente de nulidad de actuaciones promovido contra el Auto de 17 de noviembre de 2011. La Sala Tercera del Tribunal Supremo considera que la recurrente se limita a reiterar los argumentos aducidos en el trámite de alegaciones, conferido en virtud de lo dispuesto en el art. 93.3 LJCA; que han recibido respuesta motivada en el Auto de 17 de noviembre de 2011, por el que se declara la inadmisión del recurso de casación interpuesto contra la Sentencia de la Sección Segunda de la Sala de lo Contencioso-Administrativo de la Audiencia Nacional de 26 de enero de 2011.</w:t>
      </w:r>
    </w:p>
    <w:p w:rsidR="0085709A" w:rsidRDefault="0085709A" w:rsidP="0085709A">
      <w:pPr>
        <w:pStyle w:val="TextoNormal"/>
      </w:pPr>
    </w:p>
    <w:p w:rsidR="0085709A" w:rsidRDefault="0085709A" w:rsidP="0085709A">
      <w:pPr>
        <w:pStyle w:val="TextoNormal"/>
      </w:pPr>
      <w:r w:rsidRPr="0085709A">
        <w:rPr>
          <w:rStyle w:val="NumeroAFNegritaCaracter"/>
        </w:rPr>
        <w:t>3</w:t>
      </w:r>
      <w:r>
        <w:t>. La sociedad mercantil recurrente fundamenta su demanda de amparo en las quejas que a continuación se resumen.</w:t>
      </w:r>
    </w:p>
    <w:p w:rsidR="0085709A" w:rsidRDefault="0085709A" w:rsidP="0085709A">
      <w:pPr>
        <w:pStyle w:val="TextoNormal"/>
      </w:pPr>
    </w:p>
    <w:p w:rsidR="0085709A" w:rsidRDefault="0085709A" w:rsidP="0085709A">
      <w:pPr>
        <w:pStyle w:val="TextoNormal"/>
      </w:pPr>
      <w:r>
        <w:t xml:space="preserve">a) El Auto de 17 de noviembre de 2011 ha vulnerado su derecho a la tutela judicial efectiva (art. 24.1 CE), en la vertiente de acceso a los recursos, porque se incluye el requisito de anticipar en el escrito de preparación del recurso de casación los concretos preceptos o la </w:t>
      </w:r>
      <w:r>
        <w:lastRenderedPageBreak/>
        <w:t>jurisprudencia que se reputan infringidos; exigencia que carece de cobertura en la Ley jurisdiccional. Esta Ley —subraya— solo prevé dicho requisito en el supuesto concreto del art. 89.2 LJCA para resoluciones dictadas por los Tribunales Superiores de Justicia. La recurrente no atribuye la infracción al mero cambio de criterio del Tribunal Supremo iniciado a partir del Auto de 10 de febrero de 2011, sobre el que se articula el Auto de 17 de noviembre de 2011, que inadmite su recurso de casación. La imputa a que el mismo carece de motivación jurídica y es arbitrario en cuanto demanda —</w:t>
      </w:r>
      <w:r w:rsidRPr="0085709A">
        <w:rPr>
          <w:i/>
        </w:rPr>
        <w:t>ex novo</w:t>
      </w:r>
      <w:r>
        <w:t xml:space="preserve"> y con carácter retroactivo— un requisito no exigido en la Ley jurisdiccional ni en la jurisprudencia anterior, que había quedado fijada en los Autos del Tribunal Supremo de 14 de octubre y de 18 de noviembre de 2010, entre otros. Además, esta nueva interpretación jurisprudencial violenta el tenor de la norma legal y genera indefensión; supone convertir el escrito de preparación en escrito de interposición, con la consecuencia de que el plazo de 30 días previsto para este en la Ley, queda en la práctica reducido a un plazo de 10 días (previsto legalmente para presentar el escrito de preparación).</w:t>
      </w:r>
    </w:p>
    <w:p w:rsidR="0085709A" w:rsidRDefault="0085709A" w:rsidP="0085709A">
      <w:pPr>
        <w:pStyle w:val="TextoNormal"/>
      </w:pPr>
    </w:p>
    <w:p w:rsidR="0085709A" w:rsidRDefault="0085709A" w:rsidP="0085709A">
      <w:pPr>
        <w:pStyle w:val="TextoNormal"/>
      </w:pPr>
      <w:r>
        <w:t>b) El Auto de 17 de noviembre de 2011 ha vulnerado su derecho a la tutela judicial efectiva (art. 24.1 CE), en la vertiente de acceso a los recursos. La exigencia de anticipar en el escrito de preparación del recurso de casación los concretos preceptos o la jurisprudencia que se reputan infringidos, además de su carácter marcadamente formalista, se ha aplicado con carácter retroactivo, en un momento en que tal exigencia no era conocida ni predecible a tenor de la jurisprudencia precedente. La recurrente afirma que preparó e interpuso su recurso de casación con anterioridad al conocimiento general del sorpresivo cambio de criterio del Tribunal Supremo en su Auto de 10 de febrero de 2011. Denuncia también, en relación con esta infracción, la vulneración del principio de seguridad jurídica (art. 9.3 CE).</w:t>
      </w:r>
    </w:p>
    <w:p w:rsidR="0085709A" w:rsidRDefault="0085709A" w:rsidP="0085709A">
      <w:pPr>
        <w:pStyle w:val="TextoNormal"/>
      </w:pPr>
    </w:p>
    <w:p w:rsidR="0085709A" w:rsidRDefault="0085709A" w:rsidP="0085709A">
      <w:pPr>
        <w:pStyle w:val="TextoNormal"/>
      </w:pPr>
      <w:r>
        <w:t>c) El Auto de 17 de noviembre de 2011 ha vulnerado su derecho a la igualdad en la aplicación de la Ley (art. 14 CE). Entiende la recurrente que el Auto impugnado se aparta de una línea doctrinal previa y reiterada sin una motivación razonable; se trata de un cambio de criterio arbitrario, en cuanto viene a exigir un requisito no requerido en la Ley ni en la consolidada doctrina de la propia Sala Tercera del Tribunal Supremo, con el único designio de descongestionar el trabajo de la Sala.</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3 de junio de 2013, la Sala Primera de este Tribunal acordó la admisión a trámite de la demanda de amparo. Asimismo, en aplicación de lo dispuesto en el art. 51 LOTC, acordó dirigir atenta comunicación a la Sección Primera de la Sala de lo Contencioso-Administrativo del Tribunal Supremo y a la Sección Segunda de la Sala de lo Contencioso-Administrativo de la Audiencia Nacional a fin de que, en el plazo de diez días, remitieran certificación o fotocopia adverada de las actuaciones correspondientes al recurso de casación núm. 1501-2011 y al procedimiento ordinario núm. 24-2008, respectivamente. Interesó al tiempo el emplazamiento de quienes hubieran sido parte en el procedimiento, excepto a la recurrente en amparo, para que en el plazo de diez días pudieran comparecer en el presente proceso constitucional. Se acordó también notificar la providencia, con efectos de emplazamiento, al Abogado del Estado en la representación que legalmente ostenta.</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Por diligencia de ordenación de la Secretaría de Justicia de la Sala Primera de este Tribunal de fecha 2 de septiembre de 2013 se tuvieron por recibidos los testimonios de las actuaciones remitidos por el Tribunal Supremo y por la Audiencia Nacional, así como el escrito del Abogado del Estado, a quien se tuvo por personado y parte en representación de </w:t>
      </w:r>
      <w:r>
        <w:lastRenderedPageBreak/>
        <w:t>la Administración del Estado. A tenor de lo dispuesto en el art. 52 LOTC, se dio vista de las actuaciones, por un plazo común de veinte días, al Ministerio Fiscal, al Abogado del Estado y al Procurador de la sociedad recurrente en amparo, para que dentro de dicho término pudieran presentar las alegaciones que a su derecho convinieran.</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presentó sus alegaciones mediante escrito registrado en este Tribunal el 19 de septiembre de 2013.</w:t>
      </w:r>
    </w:p>
    <w:p w:rsidR="0085709A" w:rsidRDefault="0085709A" w:rsidP="0085709A">
      <w:pPr>
        <w:pStyle w:val="TextoNormal"/>
      </w:pPr>
    </w:p>
    <w:p w:rsidR="0085709A" w:rsidRDefault="0085709A" w:rsidP="0085709A">
      <w:pPr>
        <w:pStyle w:val="TextoNormal"/>
      </w:pPr>
      <w:r>
        <w:t>Sostiene el Abogado del Estado que la exigencia introducida por el Tribunal Supremo en su Auto de 10 de febrero de 2011, para los supuestos de recurso de casación contra Sentencias de la Audiencia Nacional, de anticipar resumidamente en el escrito de preparación del recurso las infracciones normativas o jurisprudenciales que luego se van a desarrollar en el escrito de interposición, no puede calificarse de arbitraria ni irrazonable; desde esta perspectiva quedaría pues excluida la vulneración del derecho a la tutela judicial efectiva (art. 24.1 CE). Tras recordar la doctrina constitucional sobre la inadmisión del recurso de casación contencioso-administrativo por defectos insubsanables del escrito de preparación, analiza el art. 89.1 LJCA y estudia la aplicación del nuevo criterio jurisprudencial, introducido por el referido Auto del Tribunal Supremo de 10 de febrero de 2011, para inadmitir el recurso porque no se preparó conforme a esa nueva exigencia jurisprudencial. Dado que la recurrente no podía conocerla cuando presentó el escrito de preparación de su recurso de casación, se impone retroactivamente un novedoso régimen procesal desfavorable a la realización de un acto procesal totalmente concluido, lo que resulta contrario al derecho a la tutela judicial efectiva en su vertiente de acceso a los recursos. Por ello, el Abogado del Estado interesa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pueda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7</w:t>
      </w:r>
      <w:r>
        <w:t>. La sociedad recurrente presentó escrito de alegaciones, registrado en este Tribunal el 26 de septiembre de 2013, ratificándose íntegramente en lo expuesto en la demanda de amparo.</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formuló alegaciones mediante escrito registrado en este Tribunal el 24 de octubre de 2013, interesando la desestimación del recurso de amparo.</w:t>
      </w:r>
    </w:p>
    <w:p w:rsidR="0085709A" w:rsidRDefault="0085709A" w:rsidP="0085709A">
      <w:pPr>
        <w:pStyle w:val="TextoNormal"/>
      </w:pPr>
    </w:p>
    <w:p w:rsidR="0085709A" w:rsidRDefault="0085709A" w:rsidP="0085709A">
      <w:pPr>
        <w:pStyle w:val="TextoNormal"/>
      </w:pPr>
      <w:r>
        <w:t>En cuanto a la queja referida a la lesión del derecho a la igualdad en la aplicación de la ley (art. 14 CE), considera el Fiscal que debe ser rechazada; la recurrente se limitaría a afirmar la pretendida vulneración constitucional, sin aportar las razones en que funda tal aserto. No correspondiendo al Tribunal Constitucional reconstruir de oficio las demandas de amparo (por todas, STC 107/2009, de 4 de mayo, FJ 2), este motivo de amparo habría de descartarse sin más detenimiento.</w:t>
      </w:r>
    </w:p>
    <w:p w:rsidR="0085709A" w:rsidRDefault="0085709A" w:rsidP="0085709A">
      <w:pPr>
        <w:pStyle w:val="TextoNormal"/>
      </w:pPr>
    </w:p>
    <w:p w:rsidR="0085709A" w:rsidRDefault="0085709A" w:rsidP="0085709A">
      <w:pPr>
        <w:pStyle w:val="TextoNormal"/>
      </w:pPr>
      <w:r>
        <w:t xml:space="preserve">Aborda la posible vulneración del derecho a la tutela judicial efectiva (art. 24.1 CE), en la vertiente de acceso a los recursos, porque la inadmisión del recurso de casación se funda en un requisito jurisprudencial (anticipar en el escrito de preparación del recurso de casación </w:t>
      </w:r>
      <w:r>
        <w:lastRenderedPageBreak/>
        <w:t>los concretos preceptos o la jurisprudencia que se reputan infringidos) no previsto en la ley. Se considera aplicado con carácter retroactivo, en un momento en que tal requisito no era conocido por la recurrente ni predecible a tenor de la jurisprudencia precedente. Sostiene el Fiscal que también esta queja debe ser rechazada. El Auto de 17 de noviembre de 2011, que inadmite el recurso de casación, constituiría una resolución judicial debidamente motivada y no incurre en error patente, ni en arbitrariedad ni irrazonabilidad, lo que excluiría la invocada lesión del derecho a la tutela judicial efectiva. La exigencia de anticipar ya en el escrito de preparación del recurso las infracciones normativas o jurisprudenciales que luego se van a desarrollar en el escrito de interposición, también en el supuesto de recursos de casación contra Sentencias de la Audiencia Nacional, deriva —concluye el Fiscal— del propio tenor de los apartados c) y d) del art. 88.1 LJCA; podría afirmarse, incluso, que no es la jurisprudencia sino la propia norma legal la que impone dicho requisito, lo que implicaría la inexistencia de infracción del art. 24.1 CE.</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26 de febrero de 2015 se señaló para la deliberación y votación de la presente Sentencia el día 2 de marzo del mismo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demandante de amparo impugna el Auto de la Sección Primera de la Sala de lo Contencioso-Administrativo del Tribunal Supremo de 17 de noviembre de 2011, que acordó no admitir a trámite el recurso de casación interpuesto contra la Sentencia de la Sala de lo Contencioso-Administrativo de la Audiencia Nacional de 26 de enero de 2011, recaída en el procedimiento ordinario núm. 24-2008. También impugna el Auto de 22 de marzo de 2012, que desestimó el incidente de nulidad de actuaciones promovido contra el citado Auto de inadmisión del recurso de casación, en cuanto no repara las lesiones constitucionales que a este se imputan.</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diversas vulneraciones. (i) La de su derecho a la tutela judicial efectiva (art. 24.1 CE), en la vertiente de acceso a los recursos; porque el Auto impugnado se funda en un requisito de admisibilidad no exigido por la Ley. (ii) La vulneración de su derecho a la tutela judicial efectiva (art. 24.1 CE), en su vertiente de acceso a los recursos, en relación con el principio de seguridad jurídica (art. 9.3 CE);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(iii) La vulneración de su derecho a la igualdad en la aplicación de la Ley (art. 14 CE), pues entiende que se ha optado por una interpretación jurisprudencial contradictoria con varias resoluciones dictadas por el órgano judicial; siendo posteriores a la resolución que consumó el cambio interpretativo, se apartan del mismo de forma completamente inmotivada.</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ella hemos tenido la oportunidad de examinar otro supuesto de inadmisión de un recurso de casación por omitirse en el escrito de prepa</w:t>
      </w:r>
      <w:r>
        <w:lastRenderedPageBreak/>
        <w:t>ración la cita de las normas y jurisprudencia que el recurrente reputase infringidas. Asimismo en la STC 16/2015, de 16 de febrero, que desestima, aplicando la doctrina sentada por la STC 7/2015, el recurso de amparo núm. 1114-2012, interpuesto precisamente por la misma sociedad aquí demandante de amparo.</w:t>
      </w:r>
    </w:p>
    <w:p w:rsidR="0085709A" w:rsidRDefault="0085709A" w:rsidP="0085709A">
      <w:pPr>
        <w:pStyle w:val="TextoNormal"/>
      </w:pPr>
    </w:p>
    <w:p w:rsidR="0085709A" w:rsidRDefault="0085709A" w:rsidP="0085709A">
      <w:pPr>
        <w:pStyle w:val="TextoNormal"/>
      </w:pPr>
      <w:r>
        <w:t>De acuerdo con la doctrina establecida en la referida STC 7/2015,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El control constitucional de las resoluciones judiciales dictadas sobre los presupuestos o requisitos de admisión de los recursos que este Tribunal debe realizar tiene carácter externo; es por ello, si cabe, más limitado en lo referido al recurso de casación. El Tribunal Supremo tiene encomendada la función de interpretar la ley con el valor complementario que atribuye a su jurisprudencia el Código civil. El recurso de casación tiene, a su vez, naturaleza extraordinaria, de donde se sigue que su régimen procesal es más estricto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pueden pues las condiciones de admisión de un recurso de casación ser más rigurosas que las propias de un recurso que haya de resolverse en grado de apelación [Sentencias del Tribunal Europeo de Derechos Humanos (SSTEDH) de 19 diciembre 1997, caso B</w:t>
      </w:r>
      <w:r w:rsidRPr="0085709A">
        <w:rPr>
          <w:i/>
        </w:rPr>
        <w:t>rualla Gómez de la Torre c. España;</w:t>
      </w:r>
      <w:r>
        <w:t xml:space="preserve"> y de 25 enero 2005, caso P</w:t>
      </w:r>
      <w:r w:rsidRPr="0085709A">
        <w:rPr>
          <w:i/>
        </w:rPr>
        <w:t>uchol Oliver c. España]</w:t>
      </w:r>
      <w:r>
        <w:t>.</w:t>
      </w:r>
    </w:p>
    <w:p w:rsidR="0085709A" w:rsidRDefault="0085709A" w:rsidP="0085709A">
      <w:pPr>
        <w:pStyle w:val="TextoNormal"/>
      </w:pPr>
    </w:p>
    <w:p w:rsidR="0085709A" w:rsidRDefault="0085709A" w:rsidP="0085709A">
      <w:pPr>
        <w:pStyle w:val="TextoNormal"/>
      </w:pPr>
      <w:r>
        <w:t>Igualmente relevantes son las SSTEDH recaídas en los casos S</w:t>
      </w:r>
      <w:r w:rsidRPr="0085709A">
        <w:rPr>
          <w:i/>
        </w:rPr>
        <w:t>ociedad General de Aguas de Barcelona c. España,</w:t>
      </w:r>
      <w:r>
        <w:t xml:space="preserve"> de 25 mayo 2000; L</w:t>
      </w:r>
      <w:r w:rsidRPr="0085709A">
        <w:rPr>
          <w:i/>
        </w:rPr>
        <w:t>lopis Ruiz c. España,</w:t>
      </w:r>
      <w:r>
        <w:t xml:space="preserve"> de 7 noviembre 2003; e I</w:t>
      </w:r>
      <w:r w:rsidRPr="0085709A">
        <w:rPr>
          <w:i/>
        </w:rPr>
        <w:t>pamark c. España,</w:t>
      </w:r>
      <w:r>
        <w:t xml:space="preserve"> de 17 febrero 2004. Presentan en común juzgar resoluciones en las que nuestro Tribunal Supremo inadmitió recursos de casación por considerar que los recurrentes no habían justificado en sus respectivos escritos procesales la infracción de normas estatales o comunitarias que habían sido relevantes y determinantes del fallo de la sentencia recurrida. El Tribunal Europeo de Derechos Humanos desestimó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lastRenderedPageBreak/>
        <w:t>En este sentido, el Tribunal Supremo, en el Auto de inadmisión que es objeto de impugnación en el presente recurso, ha afrontado la interpretación del art. 89.1 LJCA (precepto que indica que en el escrito de preparación del recurso de casación se exprese “la intención de interponer el recurso, con sucinta exposición de la concurrencia de los requisitos de forma exigidos”). Considera que uno de esos requisitos ha de ser la cita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El Tribunal Supremo ha tenido pues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imposición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este Tribunal ha declarado repetidamente que la selección de normas aplicables y su interpretación corresponde, en principio, a los Jueces y Tribunales ordinarios en el ejercicio de la función jurisdiccional que con carácter exclusivo les atribuye el art. 117.3 CE. El control de este Tribunal sólo examinará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En nuestra STC 95/1993, de 22 de marzo,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 xml:space="preserve">Por lo demás, no concurren las excepcionales circunstancias apreciadas en el caso resuelto en la STC 7/2015, de 22 de enero; en él la parte, con notoria diligencia, procedió a </w:t>
      </w:r>
      <w:r>
        <w:lastRenderedPageBreak/>
        <w:t>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por lo que se refiere al derecho a la igualdad en la aplicación de la ley (art. 14 CE) y en lo que al presente caso importa, este Tribunal ha reiterado que está vedado a los órganos judiciales el cambio irreflexivo o arbitrario en la aplicación de una norma; esto equivale a mantener que, por el contrario, el cambio resulta legítimo cuando es razonado, razonable y con vocación de futuro, esto es, destinado a ser mantenido con continuidad, fundado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en la que se continúe con posterioridad (por todas, SSTC 105/2009, de 4 de mayo, FJ 4, y 178/2014, de 3 de noviembre, FJ 4).</w:t>
      </w:r>
    </w:p>
    <w:p w:rsidR="0085709A" w:rsidRDefault="0085709A" w:rsidP="0085709A">
      <w:pPr>
        <w:pStyle w:val="TextoNormal"/>
      </w:pPr>
    </w:p>
    <w:p w:rsidR="0085709A" w:rsidRDefault="0085709A" w:rsidP="0085709A">
      <w:pPr>
        <w:pStyle w:val="TextoNormal"/>
      </w:pPr>
      <w:r>
        <w:t xml:space="preserve">De acuerdo con ello, el Auto del Tribunal Supremo impugnado, lejos de ser una decisión particularizada y adoptada </w:t>
      </w:r>
      <w:r w:rsidRPr="0085709A">
        <w:rPr>
          <w:i/>
        </w:rPr>
        <w:t>ad hoc</w:t>
      </w:r>
      <w:r>
        <w:t xml:space="preserve"> por el órgano judicial para resolver ese solo caso o para aplicarlo exclusivamente a la recurrente, constituye la plasmación de un criterio jurisprudencial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la entidad JOSEL, S.L.</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rsidP="0085709A">
      <w:pPr>
        <w:pStyle w:val="ParrafoNormal"/>
      </w:pPr>
    </w:p>
    <w:p w:rsidR="0085709A" w:rsidRDefault="0085709A" w:rsidP="0085709A">
      <w:pPr>
        <w:pStyle w:val="TextoNormalNegritaCentrado"/>
        <w:keepNext/>
      </w:pPr>
      <w:r>
        <w:lastRenderedPageBreak/>
        <w:t>Voto particular que formulan los Magistrados don Luis Ignacio Ortega Álvarez y don Juan Antonio Xiol Ríos a la Sentencia dictada en el recurso de amparo núm. 2860-2012.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0" w:name="SENTENCIA_2015_37"/>
      <w:r>
        <w:lastRenderedPageBreak/>
        <w:t>SENTENCIA 37/2015, de 2 de marzo de 2015</w:t>
      </w:r>
    </w:p>
    <w:bookmarkEnd w:id="40"/>
    <w:p w:rsidR="0085709A" w:rsidRDefault="0085709A" w:rsidP="0085709A">
      <w:pPr>
        <w:pStyle w:val="TtuloResolucin"/>
      </w:pPr>
      <w:r>
        <w:t>Sala Primera</w:t>
      </w:r>
    </w:p>
    <w:p w:rsidR="0085709A" w:rsidRDefault="0085709A" w:rsidP="0085709A">
      <w:pPr>
        <w:pStyle w:val="TtuloBOE"/>
      </w:pPr>
      <w:r>
        <w:t>(BOE núm. 85, de 9 de abril de 2015)</w:t>
      </w:r>
    </w:p>
    <w:p w:rsidR="0085709A" w:rsidRDefault="0085709A" w:rsidP="0085709A">
      <w:pPr>
        <w:pStyle w:val="TextoNormalCentrado"/>
      </w:pPr>
      <w:r>
        <w:t>ECLI:ES:TC:2015:37</w:t>
      </w:r>
    </w:p>
    <w:p w:rsidR="0085709A" w:rsidRDefault="0085709A" w:rsidP="0085709A">
      <w:pPr>
        <w:pStyle w:val="TextoNormalCentrado"/>
      </w:pPr>
    </w:p>
    <w:p w:rsidR="0085709A" w:rsidRDefault="0085709A" w:rsidP="0085709A">
      <w:pPr>
        <w:pStyle w:val="SntesisDescriptiva"/>
      </w:pPr>
      <w:r>
        <w:t>Recurso de amparo 3176-2012. Promovido por France Telecom España, S.A.U., en relación con el Auto de la Sala de lo Contencioso-Administrativo del Tribunal Supremo que inadmitió su recurso de casación frente a Sentencia de la Audiencia Nacional sobre liquidación del impuesto sobre actividades económicas.</w:t>
      </w:r>
    </w:p>
    <w:p w:rsidR="0085709A" w:rsidRDefault="0085709A" w:rsidP="0085709A">
      <w:pPr>
        <w:pStyle w:val="SntesisDescriptiva"/>
      </w:pPr>
    </w:p>
    <w:p w:rsidR="0085709A" w:rsidRDefault="0085709A" w:rsidP="0085709A">
      <w:pPr>
        <w:pStyle w:val="SntesisAnaltica"/>
      </w:pPr>
      <w:r>
        <w:t>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p>
    <w:p w:rsidR="0085709A" w:rsidRDefault="0085709A" w:rsidP="0085709A">
      <w:pPr>
        <w:pStyle w:val="SntesisAnaltica"/>
      </w:pPr>
    </w:p>
    <w:p w:rsidR="0085709A" w:rsidRDefault="0085709A" w:rsidP="0085709A">
      <w:pPr>
        <w:pStyle w:val="Extracto"/>
      </w:pPr>
      <w:r>
        <w:t>1.</w:t>
      </w:r>
      <w:r>
        <w:tab/>
        <w:t>Se estima la vulneración del derecho a la tutela judicial efectiva, porque la decisión de inadmisión impugnada no tomó en consideración que la exigencia del requisito controvertido, no era conocido ni predecible para la parte recurrente en el momento en que se presentó el escrito de preparación, que además se intentó subsanar mediante la presentación de un escrito complementario de adecuación a las nuevas exigencias [FJ 2].</w:t>
      </w:r>
    </w:p>
    <w:p w:rsidR="0085709A" w:rsidRDefault="0085709A" w:rsidP="0085709A">
      <w:pPr>
        <w:pStyle w:val="Extracto"/>
      </w:pPr>
    </w:p>
    <w:p w:rsidR="0085709A" w:rsidRDefault="0085709A" w:rsidP="0085709A">
      <w:pPr>
        <w:pStyle w:val="Extracto"/>
      </w:pPr>
      <w:r>
        <w:t>2.</w:t>
      </w:r>
      <w:r>
        <w:tab/>
        <w:t>Las invocaciones constitucionales en que se fundamenta este recurso ya han sido objeto de análisis por el Pleno de este Tribunal en la STC 7/2015 [FJ 2].</w:t>
      </w:r>
    </w:p>
    <w:p w:rsidR="0085709A" w:rsidRDefault="0085709A" w:rsidP="0085709A">
      <w:pPr>
        <w:pStyle w:val="Extracto"/>
      </w:pPr>
    </w:p>
    <w:p w:rsidR="0085709A" w:rsidRDefault="0085709A" w:rsidP="0085709A">
      <w:pPr>
        <w:pStyle w:val="Extracto"/>
      </w:pPr>
      <w:r>
        <w:t>3.</w:t>
      </w:r>
      <w:r>
        <w:tab/>
        <w:t>Se descarta la lesión del derecho a la igualdad en la aplicación de la ley, ya que se cumple con los requisitos exigidos por la jurisprudencia constitucional para considerar que el cambio de criterio es acorde con el principio de igualdad en cuanto se caracteriza por su abstracción y generalidad, no constituye una solución para un caso o para una persona y razona explícitamente la alteración doctrinal, que se justifica a partir de la finalidad que debe cumplir el escrito de preparación del recurso de casación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número 3176-2012, promovido por la mercantil France Telecom España, S.A.U., representada por el Procurador de los Tribunales don Roberto Alonso Verdú y asistida por la Abogada doña Esther Zamarriego Santiago, contra el Auto de la Sección Primera de la Sala de lo Contencioso-Administrativo del Tribunal Supremo de 15 de diciembre de 2011, que declaró la inadmisión del recurso de casación núm. 1542-2011, y contra la providencia de 10 de abril de 2012 que inadmitió a trámite el incidente de nulidad de actuaciones promovido contra aquél. Ha comparecido el Abogado del Estado, en la representación que ostenta, y ha intervenido el Ministerio Fiscal.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29 de mayo de 2012 tuvo entrada en el registro general de este Tribunal escrito presentado por el Procurador de los Tribunales don Roberto Alonso Verdú, actuando en nombre y representación de la mercantil France Telecom España, S.A.U., y bajo la dirección letrada de la Abogada doña Esther Zamarriego Santiago, mediante el que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en lo que a este recurso de amparo interesa, los siguientes:</w:t>
      </w:r>
    </w:p>
    <w:p w:rsidR="0085709A" w:rsidRDefault="0085709A" w:rsidP="0085709A">
      <w:pPr>
        <w:pStyle w:val="TextoNormal"/>
      </w:pPr>
    </w:p>
    <w:p w:rsidR="0085709A" w:rsidRDefault="0085709A" w:rsidP="0085709A">
      <w:pPr>
        <w:pStyle w:val="TextoNormal"/>
      </w:pPr>
      <w:r>
        <w:t>a) La demandante de amparo interpuso recurso contencioso-administrativo contra la resolución del Tribunal Económico-Administrativo Central de 6 de octubre de 2009, (R.G. 113-09 RS 12-097), por la que se desestimó el recurso de alzada interpuesto frente a la resolución de 17 de julio de 2008 del Tribunal Económico-Administrativo Regional de Madrid, que desestimó la reclamación económico-administrativa núm. 28/17090/03, interpuesta contra la resolución estimatoria del recurso de reposición planteado frente a la carta de pago de la liquidación del impuesto sobre actividades económicas del ejercicio 2003.</w:t>
      </w:r>
    </w:p>
    <w:p w:rsidR="0085709A" w:rsidRDefault="0085709A" w:rsidP="0085709A">
      <w:pPr>
        <w:pStyle w:val="TextoNormal"/>
      </w:pPr>
    </w:p>
    <w:p w:rsidR="0085709A" w:rsidRDefault="0085709A" w:rsidP="0085709A">
      <w:pPr>
        <w:pStyle w:val="TextoNormal"/>
      </w:pPr>
      <w:r>
        <w:t>b) Seguido el procedimiento por sus trámites con el núm. 845-2009, la Sala de lo Contencioso-Administrativo de la Audiencia Nacional (Sección Sexta) dictó Sentencia desestimatoria el 20 de enero de 2011.</w:t>
      </w:r>
    </w:p>
    <w:p w:rsidR="0085709A" w:rsidRDefault="0085709A" w:rsidP="0085709A">
      <w:pPr>
        <w:pStyle w:val="TextoNormal"/>
      </w:pPr>
    </w:p>
    <w:p w:rsidR="0085709A" w:rsidRDefault="0085709A" w:rsidP="0085709A">
      <w:pPr>
        <w:pStyle w:val="TextoNormal"/>
      </w:pPr>
      <w:r>
        <w:t>c) Contra la anterior Sentencia preparó recurso de casación la sociedad demandante de amparo, mediante escrito registrado en la Audiencia Nacional el 16 de febrero de 2011, en el que puso de manifiesto la intención de interponerlo, la Sala competente para conocer del mismo y legitimación de la parte recurrente, el cumplimiento del plazo para la presentación del escrito y el carácter recurrible de la resolución impugnada. A ello añadió la precisión de que el recurso iba a fundarse en los motivos previstos en los apartados c) y d) del art. 88.1 Ley reguladora de la jurisdicción contencioso-administrativa (LJCA) Por oficio de 18 de febrero de 2011, se elevaron las actuaciones a la Sala Tercera del Tribunal Supremo.</w:t>
      </w:r>
    </w:p>
    <w:p w:rsidR="0085709A" w:rsidRDefault="0085709A" w:rsidP="0085709A">
      <w:pPr>
        <w:pStyle w:val="TextoNormal"/>
      </w:pPr>
    </w:p>
    <w:p w:rsidR="0085709A" w:rsidRDefault="0085709A" w:rsidP="0085709A">
      <w:pPr>
        <w:pStyle w:val="TextoNormal"/>
      </w:pPr>
      <w:r>
        <w:t xml:space="preserve">d) En fecha 4 de abril de 2011, la actora presentó un escrito ante la Audiencia Nacional en el que manifestaba que, habiendo tenido conocimiento el 18 de marzo de 2011, de la </w:t>
      </w:r>
      <w:r>
        <w:lastRenderedPageBreak/>
        <w:t>doctrina contenida en el Auto dictado por la Sala de lo Contencioso-Administrativo del Tribunal Supremo (en adelante, ATS) 2927/2010, de 10 de febrero, en virtud del cual modificaba su doctrina relativa a los requisitos exigibles para la preparación del recurso de casación contra sentencias dictadas de la Audiencia Nacional [cuya publicación en la base de datos oficial del Consejo General del Poder Judicial (CENDOJ), según indica, tuvo lugar en fecha posterior a la señalada], procedía a adecuar el escrito de preparación del presente recurso a la nueva doctrina mantenida por el Tribunal Supremo en la materia citada”, con la advertencia de que “[d]icha adecuación se realiza, obviamente, para el caso de que dicha doctrina sea mantenida y reiterada por el Alto Tribunal … y considere que la misma resulta de aplicación incluso a los recursos de casación que hayan sido preparados con anterioridad a hacerse público el mencionado Auto. Asimismo solicitando que se tuviera por adecuado el escrito de preparación del recurso de casación formulado y, previos los trámites legales que procedan, se remitiese al Tribunal Supremo para su unión al recurso de casación.</w:t>
      </w:r>
    </w:p>
    <w:p w:rsidR="0085709A" w:rsidRDefault="0085709A" w:rsidP="0085709A">
      <w:pPr>
        <w:pStyle w:val="TextoNormal"/>
      </w:pPr>
    </w:p>
    <w:p w:rsidR="0085709A" w:rsidRDefault="0085709A" w:rsidP="0085709A">
      <w:pPr>
        <w:pStyle w:val="TextoNormal"/>
      </w:pPr>
      <w:r>
        <w:t>e) El 5 de abril de 2011, la entidad demandante de amparo interpuso recurso de casación ante el Tribunal Supremo, que fue registrado con el núm. 1542-2011. Por diligencia de ordenación de 8 de abril de 2011, la Sala Tercera del Tribunal Supremo tuvo por recibidos los autos de la Audiencia Nacional y por presentado el escrito de interposición del recurso de casación. Asimismo, y tras nombrar ponente, se tuvo por personado y parte, en calidad de recurrido, al Abogado del Estado, en nombre y representación de la Administración del Estado.</w:t>
      </w:r>
    </w:p>
    <w:p w:rsidR="0085709A" w:rsidRDefault="0085709A" w:rsidP="0085709A">
      <w:pPr>
        <w:pStyle w:val="TextoNormal"/>
      </w:pPr>
    </w:p>
    <w:p w:rsidR="0085709A" w:rsidRDefault="0085709A" w:rsidP="0085709A">
      <w:pPr>
        <w:pStyle w:val="TextoNormal"/>
      </w:pPr>
      <w:r>
        <w:t>f) El 27 de mayo de 2011 se dictó providencia por la que la Sala Tercera del Tribunal Supremo puso de manifiesto para alegaciones, la posible concurrencia de la causa de inadmisión consistente en: “No haber anunciado en el escrito de preparación del recurso de casación las correspondientes infracciones normativas o jurisprudenciales que se desarrollarán en el escrito de interposición [arts. 88.1, 89.1 y 93.2 a) LJCA, y Auto de la Sala de 10 de febrero de 2011, dictado en el recurso de casación 2927-2010]”. En cumplimiento de dicho trámite, el Abogado del Estado, en escrito registrado el 13 de junio de 2011, manifiesta no tener “nada que objetar a la inadmisión”. Por su parte, el 20 de junio de 2011, la sociedad recurrente formalizó escrito de oposición en el que se defiende la procedencia de la admisión del recurso de casación y se hace referencia a la presentación ante la Audiencia Nacional del escrito de subsanación de 4 de abril de 2011.</w:t>
      </w:r>
    </w:p>
    <w:p w:rsidR="0085709A" w:rsidRDefault="0085709A" w:rsidP="0085709A">
      <w:pPr>
        <w:pStyle w:val="TextoNormal"/>
      </w:pPr>
    </w:p>
    <w:p w:rsidR="0085709A" w:rsidRDefault="0085709A" w:rsidP="0085709A">
      <w:pPr>
        <w:pStyle w:val="TextoNormal"/>
      </w:pPr>
      <w:r>
        <w:t>g) Por Auto de 15 de diciembre de 2011, la Sala Tercera del Tribunal Supremo (Sección Primera) acordó declarar la inadmisión del recurso de casación. La Sala se remitió a los AATS de 10 de febrero, 12 de mayo y 16 de junio, todos de 2011, para terminar concluyendo que el recurso es inadmisible por estar defectuosamente preparado, al no haber sido anunciados en el escrito de preparación los motivos del art. 88.1 LJCA con las exigencias que en los citados Autos se expresan.</w:t>
      </w:r>
    </w:p>
    <w:p w:rsidR="0085709A" w:rsidRDefault="0085709A" w:rsidP="0085709A">
      <w:pPr>
        <w:pStyle w:val="TextoNormal"/>
      </w:pPr>
    </w:p>
    <w:p w:rsidR="0085709A" w:rsidRDefault="0085709A" w:rsidP="0085709A">
      <w:pPr>
        <w:pStyle w:val="TextoNormal"/>
      </w:pPr>
      <w:r>
        <w:t xml:space="preserve">Tras alcanzar dicha conclusión, la Sala rechazó globalmente las alegaciones de la parte que según el Auto de inadmisión son, en síntesis, las siguientes: “que la ley jurisdiccional no exige que el escrito de preparación del recurso de casación contra la sentencia de la Audiencia Nacional cite los preceptos o la jurisprudencia que se consideran infringidos; que resulta contraria tal exigencia a la jurisprudencia anterior de este Tribunal; que resulta contraria a los principios de buena fe, confianza legítima, seguridad jurídica, igualdad, a la garantía interdicción de la arbitrariedad y con vulneración del derecho tutela judicial efectiva, </w:t>
      </w:r>
      <w:r>
        <w:lastRenderedPageBreak/>
        <w:t>pues entiende que tal nueva exigencia se aplica con carácter retroactivo a su caso; y que el posible efecto del escrito de preparación ha sido subsanado mediante escrito de 4 abril 2011, siendo tal efecto subsanable”.</w:t>
      </w:r>
    </w:p>
    <w:p w:rsidR="0085709A" w:rsidRDefault="0085709A" w:rsidP="0085709A">
      <w:pPr>
        <w:pStyle w:val="TextoNormal"/>
      </w:pPr>
    </w:p>
    <w:p w:rsidR="0085709A" w:rsidRDefault="0085709A" w:rsidP="0085709A">
      <w:pPr>
        <w:pStyle w:val="TextoNormal"/>
      </w:pPr>
      <w:r>
        <w:t>Comienza su argumentación reiterando “que la doctrina relativa a las exigencias predicables del escrito de preparación del recurso de casación, en lo que atañe a la cita de las infracciones normativas o jurisprudenciales que se pretendan denunciar y desarrollar en el escrito interposición …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0085709A" w:rsidRDefault="0085709A" w:rsidP="0085709A">
      <w:pPr>
        <w:pStyle w:val="TextoNormal"/>
      </w:pPr>
    </w:p>
    <w:p w:rsidR="0085709A" w:rsidRDefault="0085709A" w:rsidP="0085709A">
      <w:pPr>
        <w:pStyle w:val="TextoNormal"/>
      </w:pPr>
      <w:r>
        <w:t xml:space="preserve">A continuación y con cita de varias Sentencias de este Tribunal, la Sala sostiene la posibilidad de inadmitir un recurso de casación por un criterio interpretativo posterior al momento de presentación del escrito de preparación del recurso, acogiéndose al “mínimo efecto retroactivo”. Entiende, en síntesis, que, “[e]n caso contrario, quedaría petrificada la nueva interpretación jurisprudencial a aquellos escritos de interposición de recursos que fueron presentados debidamente ante los Tribunales de Justicia a partir del momento del ‘anuncio’ del cambio de criterio, ‘anuncio’ a que no están obligados los órganos jurisdiccionales, tal y como tiene asentada la doctrina constitucional referida”. Recuerda, además, que “una resolución judicial que incorpora un cambio de criterio jurisprudencial y cuya eficacia fuese meramente prospectiva sería un mero </w:t>
      </w:r>
      <w:r w:rsidRPr="0085709A">
        <w:rPr>
          <w:i/>
        </w:rPr>
        <w:t>obiter dictum</w:t>
      </w:r>
      <w:r>
        <w:t>, amén de que se frustraría la finalidad del proceso porque la resolución no afectaría a las partes”. Añade la Sala que “[e]l único límite temporal al que se limitan los cambios de criterio jurisprudenciales, de conformidad con la doctrina del Tribunal Constitucional, es a las situaciones jurídicas que gozan de la protección de cosa juzgada”. Así pues y dado que la inobservancia del art. 89.2 LJCA afecta la sustancia misma del escrito de preparación, considera que su falta no puede subsanarse en actuaciones posteriores sin desnaturalizar su significado, por lo que procede, en aplicación del art. 93.2.a) LJCA la inadmisión del recurso cuando el escrito de preparación no se haya ajustado a los requisitos exigibles, sin que pueda tenerse por subsanada la defectuosa preparación del recurso interpuesto con la presentación del escrito de la recurrente de 4 abril de 2011. Por último, el Auto rechaza que se hubiera vulnerado el derecho a la tutela judicial efectiva consagrado en el art. 24.1 CE, porque un proceso contencioso-administrativo quede resuelto definitivamente en única instancia. Tampoco estima que se produzca tal vulneración cuando se aprecia razonadamente una causa de inadmisión del recurso de casación prevista legalmente (STC 26/2003, de 10 de febrero).</w:t>
      </w:r>
    </w:p>
    <w:p w:rsidR="0085709A" w:rsidRDefault="0085709A" w:rsidP="0085709A">
      <w:pPr>
        <w:pStyle w:val="TextoNormal"/>
      </w:pPr>
    </w:p>
    <w:p w:rsidR="0085709A" w:rsidRDefault="0085709A" w:rsidP="0085709A">
      <w:pPr>
        <w:pStyle w:val="TextoNormal"/>
      </w:pPr>
      <w:r>
        <w:t xml:space="preserve">h) El 22 de febrero de 2012, la sociedad demandante de amparo promovió incidente de nulidad de actuaciones en el que alegó, con una muy extensa argumentación, la vulneración del derecho a la igualdad en la aplicación judicial de la ley (art. 14 CE) y del derecho a la tutela judicial efectiva en su vertiente de acceso a los recursos (art. 24.1 CE). En el escrito se alegaba, en resumen, que el Tribunal Supremo había modificado, de manera arbitraria y sin motivación, su jurisprudencia sobre los requisitos del escrito de preparación del recurso de casación contra sentencias dictadas por la Audiencia Nacional, exigiendo sin justificación uno no contemplado en la Ley y aplicándolo a escritos presentados con anterioridad a la adopción del nuevo criterio, con vulneración de la doctrina del Tribunal Constitucional </w:t>
      </w:r>
      <w:r>
        <w:lastRenderedPageBreak/>
        <w:t>en materia de subsanación de defectos procesales. Aduce también, en relación con la vulneración del art. 14 CE, que con posterioridad al ATS de 10 de febrero de 2011, la misma Sección de la Sala dictó Autos contrarios a esta nueva jurisprudencia, retomando el criterio anterior que exigía sólo la mención de los motivos de casación.</w:t>
      </w:r>
    </w:p>
    <w:p w:rsidR="0085709A" w:rsidRDefault="0085709A" w:rsidP="0085709A">
      <w:pPr>
        <w:pStyle w:val="TextoNormal"/>
      </w:pPr>
    </w:p>
    <w:p w:rsidR="0085709A" w:rsidRDefault="0085709A" w:rsidP="0085709A">
      <w:pPr>
        <w:pStyle w:val="TextoNormal"/>
      </w:pPr>
      <w:r>
        <w:t xml:space="preserve">i) Por providencia de 10 de abril de 2012 se acordó la inadmisión a trámite del incidente de nulidad de actuaciones promovido contra el Auto de 15 de diciembre de 2011. La Sala aprecia que las alegaciones de la parte sólo ponen de manifiesto su discrepancia con la declaración de inadmisión del recurso de casación y con los razonamientos jurídicos que fundan dicho pronunciamiento, utilizando el incidente de nulidad actuaciones como si de un recurso de súplica se tratara, intentando soslayar el obstáculo del art. 93.6 LJCA. A lo dicho añade que “la invocación de los principios constitucionales alegados no pueden servir de su excusa para soslayar la aplicación de la ley, en este caso, la que establece las reglas para la correcta preparación del recurso de casación”. Por último, señala que la inadmisión del recurso de casación no lesiona el derecho de acceso a los recursos (art. 24.1 CE), por cuanto, como así ha sido observado por el Tribunal Constitucional, “es un derecho de configuración legal en el que no resulta aplicable con la misma intensidad el principio </w:t>
      </w:r>
      <w:r w:rsidRPr="0085709A">
        <w:rPr>
          <w:i/>
        </w:rPr>
        <w:t>pro actione</w:t>
      </w:r>
      <w:r>
        <w:t xml:space="preserve">, por lo que la inadmisión de los recursos de forma motivada, en base a la aplicación de una causa legal y la interpretación de las normas procesales que la regulan, constituye una función jurisdiccional de exclusiva competencia de los Jueces y Tribunales, que sólo trasciende al plano constitucional cuando el Tribunal incurra en error patente, arbitrariedad o manifiesta irracionabilidad”. Rechaza, igualmente, que la declaración de inadmisión contradiga el derecho un proceso equitativo, que garantiza el art. 6.1 Convenio Europeo de Derechos Humanos, “ya que no se interpreta de forma rigorista el art. 86 LJCA, al respetarse el principio de proporcionalidad entre las limitaciones impuestas al derecho de acceso al tribunal para que examine el recurso de las consecuencias de su aplicación (Sentencias del Tribunal Europeo de Derechos Humanos de 9 de noviembre de 2004 [caso </w:t>
      </w:r>
      <w:r w:rsidRPr="0085709A">
        <w:rPr>
          <w:i/>
        </w:rPr>
        <w:t>Sáez Maeso</w:t>
      </w:r>
      <w:r>
        <w:t xml:space="preserve">] y 7 de junio de 2007 [caso </w:t>
      </w:r>
      <w:r w:rsidRPr="0085709A">
        <w:rPr>
          <w:i/>
        </w:rPr>
        <w:t>SALT Hiper</w:t>
      </w:r>
      <w:r>
        <w:t>])”.</w:t>
      </w:r>
    </w:p>
    <w:p w:rsidR="0085709A" w:rsidRDefault="0085709A" w:rsidP="0085709A">
      <w:pPr>
        <w:pStyle w:val="TextoNormal"/>
      </w:pPr>
    </w:p>
    <w:p w:rsidR="0085709A" w:rsidRDefault="0085709A" w:rsidP="0085709A">
      <w:pPr>
        <w:pStyle w:val="TextoNormal"/>
      </w:pPr>
      <w:r w:rsidRPr="0085709A">
        <w:rPr>
          <w:rStyle w:val="NumeroAFNegritaCaracter"/>
        </w:rPr>
        <w:t>3</w:t>
      </w:r>
      <w:r>
        <w:t>. La mercantil recurrente basa su recurso de amparo en la vulneración sus derechos a la igualdad en la aplicación de la ley (art. 14 CE) y a la tutela judicial efectiva (art. 24.1 CE), en su vertiente de acceso a los recursos.</w:t>
      </w:r>
    </w:p>
    <w:p w:rsidR="0085709A" w:rsidRDefault="0085709A" w:rsidP="0085709A">
      <w:pPr>
        <w:pStyle w:val="TextoNormal"/>
      </w:pPr>
    </w:p>
    <w:p w:rsidR="0085709A" w:rsidRDefault="0085709A" w:rsidP="0085709A">
      <w:pPr>
        <w:pStyle w:val="TextoNormal"/>
      </w:pPr>
      <w:r>
        <w:t>La argumentación de la recurrente parte de que la exigencia de la anticipación al trámite de preparación de la cita de los concretos preceptos o la jurisprudencia que se reputan infringidos carece de cobertura legal en la Ley jurisdiccional, pues dicho requisito solo se exige en el supuesto concreto del art. 89.2 LJCA, relativo a la impugnación de las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Defiende, por ello, que el ATS de 15 diciembre de 2011, objeto del presente recurso amparo, no sólo ha inadmitido el recurso de casación en aplicación de un requisito no contemplado en la ley, sino que dicho requisito ha sido aplicado de forma sorpresiva e inesperada como consecuencia del cambio jurisprudencial acaecido con el ATS de 10 de febrero 2011 (recurso núm. 2927-2010), que considera arbitrario y no motivado.</w:t>
      </w:r>
    </w:p>
    <w:p w:rsidR="0085709A" w:rsidRDefault="0085709A" w:rsidP="0085709A">
      <w:pPr>
        <w:pStyle w:val="TextoNormal"/>
      </w:pPr>
    </w:p>
    <w:p w:rsidR="0085709A" w:rsidRDefault="0085709A" w:rsidP="0085709A">
      <w:pPr>
        <w:pStyle w:val="TextoNormal"/>
      </w:pPr>
      <w:r>
        <w:t xml:space="preserve">Denuncia, en síntesis, que “habiendo preparado un recurso de casación cumpliendo escrupulosamente con la normativa y, especialmente, con la jurisprudencia que la interpretaba </w:t>
      </w:r>
      <w:r>
        <w:lastRenderedPageBreak/>
        <w:t>en aquel momento, ha visto, sin embargo, inadmitido su recurso por un cambio jurisprudencial posterior, carente de cualquier fundamento legal, no justificado y que, aplicado con carácter retroactivo, ha hecho que, sin género de duda … se haya vulnerado de manera flagrante su derecho a la tutela judicial efectiva en su vertiente de acceso a los recursos (art. 24 CE), así como su derecho a la igualdad, en su vertiente de igualdad en la aplicación judicial del Derecho (art. 14 CE)”.</w:t>
      </w:r>
    </w:p>
    <w:p w:rsidR="0085709A" w:rsidRDefault="0085709A" w:rsidP="0085709A">
      <w:pPr>
        <w:pStyle w:val="TextoNormal"/>
      </w:pPr>
    </w:p>
    <w:p w:rsidR="0085709A" w:rsidRDefault="0085709A" w:rsidP="0085709A">
      <w:pPr>
        <w:pStyle w:val="TextoNormal"/>
      </w:pPr>
      <w:r>
        <w:t xml:space="preserve">Ambas quejas son extensamente desarrolladas en la demanda de amparo con amplia cita jurisprudencial, tanto del Tribunal Constitucional, como del Tribunal Supremo. Respecto de la alegada vulneración del derecho a la igualdad en la aplicación de la ley (art. 14 CE), la demandante de amparo argumenta que el cambio jurisprudencial que lleva a cabo el Auto impugnado supone una flagrante vulneración del citado derecho, pues se presenta como irrazonado o arbitrario, por no haber justificado los motivos jurídicos que amparan el cambio de criterio; irrazonable, especialmente teniendo en cuenta que se pretende su aplicación con efectos </w:t>
      </w:r>
      <w:r w:rsidRPr="0085709A">
        <w:rPr>
          <w:i/>
        </w:rPr>
        <w:t>ex tunc</w:t>
      </w:r>
      <w:r>
        <w:t xml:space="preserve">; y sin vocación de permanencia, en la medida en que existen Autos y Sentencias posteriores a dicho Auto en los que no se ha exigido el referido requisito de concretar en el escrito de preparación del recurso de casación contra sentencias de la Audiencia Nacional, la norma o jurisprudencia que se considera infringida. Además, defiende que concurren las exigencias constitucionales precisas para fundamentar que se ha producido una efectiva vulneración del derecho de igualdad en aplicación de la ley (art. 14 CE), en cuanto se acredita un </w:t>
      </w:r>
      <w:r w:rsidRPr="0085709A">
        <w:rPr>
          <w:i/>
        </w:rPr>
        <w:t>tertium comparationis</w:t>
      </w:r>
      <w:r>
        <w:t xml:space="preserve"> válido (identidad del órgano judicial que dicta la resolución, identidad fáctica del supuesto a resolver, alteridad y ausencia de motivación para operar el cambio de criterio).</w:t>
      </w:r>
    </w:p>
    <w:p w:rsidR="0085709A" w:rsidRDefault="0085709A" w:rsidP="0085709A">
      <w:pPr>
        <w:pStyle w:val="TextoNormal"/>
      </w:pPr>
    </w:p>
    <w:p w:rsidR="0085709A" w:rsidRDefault="0085709A" w:rsidP="0085709A">
      <w:pPr>
        <w:pStyle w:val="TextoNormal"/>
      </w:pPr>
      <w:r>
        <w:t>Por su parte, en relación con la vulneración del derecho a la tutela judicial efectiva (art. 24.1 CE), en su vertiente de acceso al recurso, la mercantil recurrente considera que la decisión adoptada por la Sección Primera de la Sala Tercera, carece de cualquier cobertura legal, dado que no se contiene ni se deduce de la Ley jurisdiccional; antes bien, resulta abiertamente contraria a la misma e, incluso, a la jurisprudencia del Tribunal Supremo relativa a los requisitos predicables de los escritos de preparación de recursos de casación, así como a la delimitación del concepto “requisitos de forma” realizada por el Tribunal Constitucional. Añade que la vulneración se produce, igualmente, por la aplicación retroactiva de un nuevo criterio jurisprudencial y por la indefensión que provoca tanto la falta de ofrecimiento para remediarlo, como la decisión de no acceder a la subsanación “de los defectos de que pudiera adolecer el escrito de preparación en el plazo concedido al efecto, en tanto que se le están exigiendo requisitos que no estaban en vigor al tiempo de presentarse el escrito de preparación, que no están recogidos en la Ley y, además, que no habían sido identificados como tales requisitos por la Jurisprudencia del Tribunal Supremo en su consolidada doctrina configuraba a lo largo de más de 12 años”. A su juicio, la Sala Tercera debió de tener en consideración su diligente proceder que demostró al aportar el “escrito de adecuación del escrito de preparación original”, con anterioridad a que la Sala pudiera advertir los posibles defectos.</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El 23 de julio de 2012, la mercantil recurrente presentó escrito ante la Sala Primera de este Tribunal, en el que se pone de manifiesto que había tenido conocimiento de la notificación realizada el día 20 julio 2012 por la Sala Primera de este Tribunal, por la que se comunica la admisión a trámite del recurso de amparo número 2399-2012, presentado por la Compañía de Distribución Integral Logista, S.A., y que tiene idéntico objeto del presente. </w:t>
      </w:r>
      <w:r>
        <w:lastRenderedPageBreak/>
        <w:t>El escrito concluye suplicando, que el mismo se tenga por presentado en tiempo y forma, así como los documentos que se acompañan, y a la vista de las manifestaciones en él realizadas y de la documentación aportada, y previa admisión del recurso, proceda a dictar Sentencia en la que otorgue el amparo solicitado por la parte, de acuerdo con la súplica de su escrito de demanda.</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20 de mayo de 2013, la Sala Primera del Tribunal Constitucional, de conformidad con lo dispuesto en el art. 11.2 de la Ley Orgánica del Tribunal Constitucional (LOTC), acuerda conocer del presente recurso de amparo y admitir a trámite la demanda presentada. Asimismo, en aplicación de lo dispuesto en el art. 51 LOTC, acordó dirigir atenta comunicación a la Sección Primera de la Sala de lo Contencioso-Administrativo del Tribunal Supremo y a la Sección Sexta de la Sala de lo Contencioso-Administrativo de la Audiencia Nacional, a fin de que, en el plazo de diez días, remitieran certificación o fotocopia adverada de las actuaciones correspondientes a los recursos números 1542-11 y 845-09,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El 26 de junio de 2013, el Abogado del Estado presentó escrito ante este Tribunal suplicando que, con la admisión del mismo, en la representación que ostenta, se le tenga por personado y parte en el presente recurso de amparo, señalando que se entiendan con él todos los posteriores trámites del procedimiento.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Primera de este Tribunal, de fecha de 28 junio 2013, se tuvieron por recibidos los testimonios de las actuaciones remitidos por la Sala Tercera del Tribunal Supremo y por la Sección Sexta de la Sala de lo Contencioso-Administrativo de la Audiencia Nacional, y el escrito del Abogado del Estado a quien se tuvo por personado y parte en representación de la Administración Pública, con quien se entenderán la presente y sucesivas diligencias (a los solos efectos de evacuar el trámite de alegaciones del art. 52 LOTC). Y,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presentó sus alegaciones mediante escrito registrado el 26 de julio de 2013.</w:t>
      </w:r>
    </w:p>
    <w:p w:rsidR="0085709A" w:rsidRDefault="0085709A" w:rsidP="0085709A">
      <w:pPr>
        <w:pStyle w:val="TextoNormal"/>
      </w:pPr>
    </w:p>
    <w:p w:rsidR="0085709A" w:rsidRDefault="0085709A" w:rsidP="0085709A">
      <w:pPr>
        <w:pStyle w:val="TextoNormal"/>
      </w:pPr>
      <w:r>
        <w:t xml:space="preserve">Comienza su escrito descartando que se haya vulnerado el derecho a la igualdad en la aplicación judicial de la ley (art. 14 CE). A su juicio, el ATS de 15 de diciembre de 2011, por el que se inadmite el recurso de casación interpuesto por la demandante de amparo, no hace sino aplicar la línea jurisprudencial iniciada por el ATS de 10 de febrero de 2011, siendo irrelevante que existan resoluciones aisladas que se aparten de aquélla. Considera, por el contrario, que el Auto impugnado vulneró su derecho de acceso a los recursos (art. 24.1 CE). Tras recordar la doctrina constitucional sobre la inadmisión del recurso de casación contencioso-administrativo por defectos insubsanables del escrito de preparación, procede al análisis del art. 89.1 LJCA y, en especial, el contenido de la expresión “los requisitos de forma exigidos”. Estima, al respecto, que si bien desde el plano de la legalidad es muy </w:t>
      </w:r>
      <w:r>
        <w:lastRenderedPageBreak/>
        <w:t>discutible la nueva interpretación jurisprudencial contenida en el ATS de 10 de febrero de 2011, la misma no puede ser calificada de irracional o arbitraria. Dicho lo cual, advierte de que el auténtico problema constitucional que la demanda suscita, radica en la aplicación retrospectiva o retroactiva de la máxima jurisprudencial contenida en citado Auto, inexistente cuando se presentó el escrito de preparación, para inadmitir el recurso de casación precisamente porque no se preparó conforme a ella. A su juicio, es irrazonable exigir, “para la realización de un acto procesal agotado, el cumplimiento de unos requisitos de forma que no existían en el momento en que se efectúo dicho acto procesal; requisitos que, por ello, la parte no tenía ninguna posibilidad de conocer ni de cumplir”. Considera que “[l]a razonabilidad se extiende no sólo a la interpretación que se hace de la norma, sino a la forma en que esa interpretación se aplica a los supuestos de hecho sujetos a la misma”, por lo que entiende que con tal proceder la Sala de lo Contencioso-Administrativo del Tribunal Supremo ha vulnerado el art. 24.1 CE en su vertiente de acceso a los recursos.</w:t>
      </w:r>
    </w:p>
    <w:p w:rsidR="0085709A" w:rsidRDefault="0085709A" w:rsidP="0085709A">
      <w:pPr>
        <w:pStyle w:val="TextoNormal"/>
      </w:pPr>
    </w:p>
    <w:p w:rsidR="0085709A" w:rsidRDefault="0085709A" w:rsidP="0085709A">
      <w:pPr>
        <w:pStyle w:val="TextoNormal"/>
      </w:pPr>
      <w:r>
        <w:t>Por lo expuesto, el Abogado del Estado muestra su interés en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 fundadas en la seguridad jurídica”.</w:t>
      </w:r>
    </w:p>
    <w:p w:rsidR="0085709A" w:rsidRDefault="0085709A" w:rsidP="0085709A">
      <w:pPr>
        <w:pStyle w:val="TextoNormal"/>
      </w:pPr>
    </w:p>
    <w:p w:rsidR="0085709A" w:rsidRDefault="0085709A" w:rsidP="0085709A">
      <w:pPr>
        <w:pStyle w:val="TextoNormal"/>
      </w:pPr>
      <w:r w:rsidRPr="0085709A">
        <w:rPr>
          <w:rStyle w:val="NumeroAFNegritaCaracter"/>
        </w:rPr>
        <w:t>9</w:t>
      </w:r>
      <w:r>
        <w:t>. Con fecha de 30 julio de 2013, la entidad demandante de amparo presentó escrito de alegaciones, remitiéndose al escrito de demanda de amparo que dio inicio al presente recurso.</w:t>
      </w:r>
    </w:p>
    <w:p w:rsidR="0085709A" w:rsidRDefault="0085709A" w:rsidP="0085709A">
      <w:pPr>
        <w:pStyle w:val="TextoNormal"/>
      </w:pPr>
    </w:p>
    <w:p w:rsidR="0085709A" w:rsidRDefault="0085709A" w:rsidP="0085709A">
      <w:pPr>
        <w:pStyle w:val="TextoNormal"/>
      </w:pPr>
      <w:r w:rsidRPr="0085709A">
        <w:rPr>
          <w:rStyle w:val="NumeroAFNegritaCaracter"/>
        </w:rPr>
        <w:t>10</w:t>
      </w:r>
      <w:r>
        <w:t>. El Ministerio Fiscal presentó sus alegaciones mediante escrito registrado el 9 de septiembre de 2013.</w:t>
      </w:r>
    </w:p>
    <w:p w:rsidR="0085709A" w:rsidRDefault="0085709A" w:rsidP="0085709A">
      <w:pPr>
        <w:pStyle w:val="TextoNormal"/>
      </w:pPr>
    </w:p>
    <w:p w:rsidR="0085709A" w:rsidRDefault="0085709A" w:rsidP="0085709A">
      <w:pPr>
        <w:pStyle w:val="TextoNormal"/>
      </w:pPr>
      <w:r>
        <w:t>Tras referirse a los antecedentes de hecho, el Ministerio Fiscal inicia su argumentación haciendo referencia a las vulneraciones aducidas por la mercantil recurrente y trayendo a colación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w:t>
      </w:r>
    </w:p>
    <w:p w:rsidR="0085709A" w:rsidRDefault="0085709A" w:rsidP="0085709A">
      <w:pPr>
        <w:pStyle w:val="TextoNormal"/>
      </w:pPr>
    </w:p>
    <w:p w:rsidR="0085709A" w:rsidRDefault="0085709A" w:rsidP="0085709A">
      <w:pPr>
        <w:pStyle w:val="TextoNormal"/>
      </w:pPr>
      <w:r>
        <w:t xml:space="preserve">El Fiscal realiza, en primer lugar, una “recapitulación fáctica” de la jurisprudencia del Tribunal Supremo relativa a los requisitos exigibles al escrito de preparación del recurso de casación, que inicia con el ATS 14419/2010, de 14 de octubre (recurso núm. 951-2010). Finalizada ésta, procede a su examen y señala, una vez afirmado que es evidente la existencia de un cambio de criterio en la Sección Primera de la Sala de lo Contencioso-Administrativo del Tribunal Supremo, que el problema radica en que la exigencia del ATS de 10 de febrero de 2011, relativa a la obligatoriedad de indicar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w:t>
      </w:r>
      <w:r>
        <w:lastRenderedPageBreak/>
        <w:t>el escrito de interposición del recurso de casación, cuando se interponen recursos de casación frente a resoluciones dictadas por la Audiencia Nacional, no ha sido seguida de modo unánime por la Sección Primera de la Sala Tercera del Tribunal Supremo. Advierte que Autos y Sentencias que han sido dictados por la Sala Tercera del Tribunal Supremo con posterioridad al ATS de 10 de febrero de 2011, han seguido manteniendo, como así lo revelan las resoluciones citadas por la recurrente en la demanda de amparo, la posición “histórica” en relación con los requisitos exigibles para la válida formulación del escrito de preparación del recurso de casación, a pesar de haberse fijado un nuevo criterio. Lo que, a su juicio, pone en duda que “la solución concretada en el citado Auto, tuviera una verdadera voluntad de permanencia por responder a una interpretación abstracta y general de la norma aplicable”.</w:t>
      </w:r>
    </w:p>
    <w:p w:rsidR="0085709A" w:rsidRDefault="0085709A" w:rsidP="0085709A">
      <w:pPr>
        <w:pStyle w:val="TextoNormal"/>
      </w:pPr>
    </w:p>
    <w:p w:rsidR="0085709A" w:rsidRDefault="0085709A" w:rsidP="0085709A">
      <w:pPr>
        <w:pStyle w:val="TextoNormal"/>
      </w:pPr>
      <w:r>
        <w:t xml:space="preserve">A efectos de comprobar la existencia de la alegada vulneración del art. 14 CE, el Ministerio Fiscal destaca que la parte recurrente ha aportado un válido término de comparación para argumentar la misma: acompaña a su demanda el Auto impugnado en amparo y otros cuatro Autos dictados por la misma Sala y Sección y que siguen un criterio distinto al ATS de 10 de febrero de 2011 [AATS 1932/2011, 17 febrero de 2011 (recurso núm. 4600-2010), 4046-2011, 24 marzo de 2011 (recurso núm. 3896-2010), 3667-2011, 17 marzo 2011 (recurso núm. 6250-2010), y 8516-2011, 16 junio 2011 (recurso núm. 5151-2010)]. También señala que el Auto ahora impugnado “no contiene referencia suficiente a la circunstancia de que esa misma Sección hubiera dictado previamente, pero vigente ya la doctrina fijada por el ATS 2371/2011, de 10 febrero 2011, al menos otros cuatro Autos en sentido diferente al de aquél, como tampoco contiene una justificación explícita del cambio de criterio producido entre los casos que ahora trae a colación la parte recurrente en amparo y el Auto de que ahora se trata”, lo que, a su juicio, “parece en todo caso inexcusable”. Por lo expuesto, considera que, en el presente caso, “carece de dificultad apreciar” la existencia de todos y cada uno de los requisitos establecidos por la doctrina del Tribunal Constitucional para entender vulnerado el derecho a la igualdad en la aplicación judicial de la ley (art. 14 CE): acreditación del </w:t>
      </w:r>
      <w:r w:rsidRPr="0085709A">
        <w:rPr>
          <w:i/>
        </w:rPr>
        <w:t>tertium comparationis</w:t>
      </w:r>
      <w:r>
        <w:t>, identidad de órgano judicial, alteridad y ausencia de toda motivación que justifique en términos generalizables el cambio de criterio.</w:t>
      </w:r>
    </w:p>
    <w:p w:rsidR="0085709A" w:rsidRDefault="0085709A" w:rsidP="0085709A">
      <w:pPr>
        <w:pStyle w:val="TextoNormal"/>
      </w:pPr>
    </w:p>
    <w:p w:rsidR="0085709A" w:rsidRDefault="0085709A" w:rsidP="0085709A">
      <w:pPr>
        <w:pStyle w:val="TextoNormal"/>
      </w:pPr>
      <w:r>
        <w:t>Por lo expuesto, el Fiscal interesa se dicte sentencia por la que se declare que se ha vulnerado el derecho fundamental a la igualdad en la aplicación de la ley (art. 14 CE) de la mercantil demandante de amparo, y se la restablezca en su derecho y, a tales fines, se acuerde la nulidad del Auto de 15 de diciembre de 2011 por el que se inadmitió el recurso de casación, así como la providencia que inadmitió el incidente de nulidad actuaciones formulado contra él, retrotrayendo las actuaciones al momento procesal inmediatamente anterior al dictado del citado Auto, para que se dicte una nueva resolución respetuosa con el derecho fundamental que ha de ser reconocido.</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26 de febrero de 2015 se señaló para deliberación y fallo de la Sentencia el día 2 de marzo del mismo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Las invocaciones constitucionales en que se fundamenta este recurso ya han sido objeto de análisis por el Pleno de este Tribunal en la STC 7/2015, de 22 de enero.</w:t>
      </w:r>
    </w:p>
    <w:p w:rsidR="0085709A" w:rsidRDefault="0085709A" w:rsidP="0085709A">
      <w:pPr>
        <w:pStyle w:val="TextoNormal"/>
      </w:pPr>
    </w:p>
    <w:p w:rsidR="0085709A" w:rsidRDefault="0085709A" w:rsidP="0085709A">
      <w:pPr>
        <w:pStyle w:val="TextoNormal"/>
      </w:pPr>
      <w:r>
        <w:t>Con remisión a lo expuesto en la Sentencia citada, debe desestimarse la lesión aducida del derecho a la tutela judicial efectiva (art. 24.1 CE) por falta de cobertura legal de la causa de inadmisión apreciada, ya que, tal como se argumentó extensamente en el fundamento jurídico 2 de la sentencia,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0085709A" w:rsidRDefault="0085709A" w:rsidP="0085709A">
      <w:pPr>
        <w:pStyle w:val="TextoNormal"/>
      </w:pPr>
    </w:p>
    <w:p w:rsidR="0085709A" w:rsidRDefault="0085709A" w:rsidP="0085709A">
      <w:pPr>
        <w:pStyle w:val="TextoNormal"/>
      </w:pPr>
      <w:r>
        <w:t xml:space="preserve">Igualmente, debe descartarse la alegada lesión del derecho a la igualdad en la aplicación de la ley. En el fundamento jurídico 4 de la Sentencia citada, ya se puso de manifestó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y razona explícitamente la alteración doctrinal, que se justifica a partir de la finalidad que debe cumplir el escrito de preparación del recurso de casación.</w:t>
      </w:r>
    </w:p>
    <w:p w:rsidR="0085709A" w:rsidRDefault="0085709A" w:rsidP="0085709A">
      <w:pPr>
        <w:pStyle w:val="TextoNormal"/>
      </w:pPr>
    </w:p>
    <w:p w:rsidR="0085709A" w:rsidRDefault="0085709A" w:rsidP="0085709A">
      <w:pPr>
        <w:pStyle w:val="TextoNormal"/>
      </w:pPr>
      <w:r>
        <w:t>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(fundamento jurídico 3).</w:t>
      </w:r>
    </w:p>
    <w:p w:rsidR="0085709A" w:rsidRDefault="0085709A" w:rsidP="0085709A">
      <w:pPr>
        <w:pStyle w:val="TextoNormal"/>
      </w:pPr>
    </w:p>
    <w:p w:rsidR="0085709A" w:rsidRDefault="0085709A" w:rsidP="0085709A">
      <w:pPr>
        <w:pStyle w:val="TextoNormal"/>
      </w:pPr>
      <w:r>
        <w:t>Tal como también se expuso en la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la mercantil France Telecom España, S.A.U., y, en su virtud:</w:t>
      </w:r>
    </w:p>
    <w:p w:rsidR="0085709A" w:rsidRDefault="0085709A" w:rsidP="0085709A">
      <w:pPr>
        <w:pStyle w:val="TextoNormal"/>
      </w:pPr>
    </w:p>
    <w:p w:rsidR="0085709A" w:rsidRDefault="0085709A" w:rsidP="0085709A">
      <w:pPr>
        <w:pStyle w:val="TextoNormal"/>
      </w:pPr>
      <w:r>
        <w:t>1º Declarar que ha sido vulnerado el derecho fundamental de la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del Auto de 15 de diciembre de 2011 y de la providencia de 10 de abril de 2012, dictados en el recurso de casación núm. 1542-2011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Luis Ignacio Ortega Álvarez y don Juan Antonio Xiol Ríos a la Sentencia dictada en el recurso de amparo núm. 3176-2012.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de esta.</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1" w:name="SENTENCIA_2015_38"/>
      <w:r>
        <w:lastRenderedPageBreak/>
        <w:t>SENTENCIA 38/2015, de 2 de marzo de 2015</w:t>
      </w:r>
    </w:p>
    <w:bookmarkEnd w:id="41"/>
    <w:p w:rsidR="0085709A" w:rsidRDefault="0085709A" w:rsidP="0085709A">
      <w:pPr>
        <w:pStyle w:val="TtuloResolucin"/>
      </w:pPr>
      <w:r>
        <w:t>Sala Segunda</w:t>
      </w:r>
    </w:p>
    <w:p w:rsidR="0085709A" w:rsidRDefault="0085709A" w:rsidP="0085709A">
      <w:pPr>
        <w:pStyle w:val="TtuloBOE"/>
      </w:pPr>
      <w:r>
        <w:t>(BOE núm. 85, de 9 de abril de 2015)</w:t>
      </w:r>
    </w:p>
    <w:p w:rsidR="0085709A" w:rsidRDefault="0085709A" w:rsidP="0085709A">
      <w:pPr>
        <w:pStyle w:val="TextoNormalCentrado"/>
      </w:pPr>
      <w:r>
        <w:t>ECLI:ES:TC:2015:38</w:t>
      </w:r>
    </w:p>
    <w:p w:rsidR="0085709A" w:rsidRDefault="0085709A" w:rsidP="0085709A">
      <w:pPr>
        <w:pStyle w:val="TextoNormalCentrado"/>
      </w:pPr>
    </w:p>
    <w:p w:rsidR="0085709A" w:rsidRDefault="0085709A" w:rsidP="0085709A">
      <w:pPr>
        <w:pStyle w:val="SntesisDescriptiva"/>
      </w:pPr>
      <w:r>
        <w:t>Recurso de amparo 3315-2012. Promovido por France Telecom, S.A.U., en relación con el Auto de la Sala de lo Contencioso-Administrativo del Tribunal Supremo que inadmitió su recurso de casación frente a Sentencia de la Audiencia Nacional sobre apremio por diferentes recargos.</w:t>
      </w:r>
    </w:p>
    <w:p w:rsidR="0085709A" w:rsidRDefault="0085709A" w:rsidP="0085709A">
      <w:pPr>
        <w:pStyle w:val="SntesisDescriptiva"/>
      </w:pPr>
    </w:p>
    <w:p w:rsidR="0085709A" w:rsidRDefault="0085709A" w:rsidP="0085709A">
      <w:pPr>
        <w:pStyle w:val="SntesisAnaltica"/>
      </w:pPr>
      <w:r>
        <w:t>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w:t>
      </w:r>
    </w:p>
    <w:p w:rsidR="0085709A" w:rsidRDefault="0085709A" w:rsidP="0085709A">
      <w:pPr>
        <w:pStyle w:val="SntesisAnaltica"/>
      </w:pPr>
    </w:p>
    <w:p w:rsidR="0085709A" w:rsidRDefault="0085709A" w:rsidP="0085709A">
      <w:pPr>
        <w:pStyle w:val="Extracto"/>
      </w:pPr>
      <w:r>
        <w:t>1.</w:t>
      </w:r>
      <w:r>
        <w:tab/>
        <w:t>Se estima la vulneración del derecho a la tutela judicial efectiva, porque la decisión de inadmisión impugnada no tomó en consideración que la exigencia del requisito controvertido, no era conocido ni predecible para la parte recurrente en el momento en que se presentó el escrito de preparación, además se intentó subsanar mediante la presentación de un escrito complementario de adecuación a las nuevas exigencias [FJ 2].</w:t>
      </w:r>
    </w:p>
    <w:p w:rsidR="0085709A" w:rsidRDefault="0085709A" w:rsidP="0085709A">
      <w:pPr>
        <w:pStyle w:val="Extracto"/>
      </w:pPr>
    </w:p>
    <w:p w:rsidR="0085709A" w:rsidRDefault="0085709A" w:rsidP="0085709A">
      <w:pPr>
        <w:pStyle w:val="Extracto"/>
      </w:pPr>
      <w:r>
        <w:t>2.</w:t>
      </w:r>
      <w:r>
        <w:tab/>
        <w:t>Las invocaciones constitucionales en que se fundamenta este recurso ya han sido objeto de análisis por el Pleno de este Tribunal en la STC 7/2015 [FJ 2].</w:t>
      </w:r>
    </w:p>
    <w:p w:rsidR="0085709A" w:rsidRDefault="0085709A" w:rsidP="0085709A">
      <w:pPr>
        <w:pStyle w:val="Extracto"/>
      </w:pPr>
    </w:p>
    <w:p w:rsidR="0085709A" w:rsidRDefault="0085709A" w:rsidP="0085709A">
      <w:pPr>
        <w:pStyle w:val="Extracto"/>
      </w:pPr>
      <w:r>
        <w:t>3.</w:t>
      </w:r>
      <w:r>
        <w:tab/>
        <w:t>Se descarta la lesión del derecho a la igualdad en la aplicación de la ley, ya que se cumple con los requisitos exigidos por la jurisprudencia constitucional para considerar que el cambio de criterio es acorde con el principio de igualdad en cuanto se caracteriza por su abstracción y generalidad, no constituye una solución para un caso o para una persona y razona explícitamente la alteración doctrinal, que se justifica a partir de la finalidad que debe cumplir el escrito de preparación del recurso de casación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 3315-2012, promovido por la mercantil France Telecom S.A.U., representada por el Procurador de los Tribunales don Roberto Alonso Verdú y asistida por la Abogada doña Esther Zamarriego Santiago, contra el Auto de la Sección Primera de la Sala de lo Contencioso-Administrativo del Tribunal Supremo, de fecha 10 de noviembre de 2011, que resolvió la inadmisión del recurso de casación núm. 1179-2011, interpuesto por la sociedad demandante de amparo, y contra el Auto de fecha 22 de marzo de 2012, que desestimó el incidente de nulidad de actuaciones interpuesto contra la resolución precedente. Ha comparecido el Abogado del Estado, en la representación que ostenta, y ha intervenido el Ministerio Fiscal. Ha sido Ponente el Magistrado don Pedro José González Trevijano-Sánchez,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4 de junio de 2012 tuvo entrada en el Registro General de este Tribunal el escrito presentado por el Procurador don Roberto Alonso Verdú, actuando en nombre y representación de la mercantil France Telecom, S.A.U., y bajo la dirección letrada de la Abogada doña Esther Zamarriego Santiago, mediante el cual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La demandante de amparo interpuso recurso contencioso-administrativo contra la resolución del Tribunal Económico-Administrativo Central de fecha 14 de abril de 2009, registrada con el núm. 00/03160/2008, por la que se desestimó la reclamación económico-administrativa interpuesta contra el acuerdo dictado por la Jefatura adjunta de la dependencia de asistencia y servicios tributarios de la Delegación central de grandes contribuyentes de la Agencia Estatal de la Administración Tributaria (AEAT), de fecha 11 de diciembre de 2007, en virtud del cual se confirmaron las providencias de apremio por diferentes recargos, cuya cuantía global alcanzó la cifra de 2.120.955,11 €.</w:t>
      </w:r>
    </w:p>
    <w:p w:rsidR="0085709A" w:rsidRDefault="0085709A" w:rsidP="0085709A">
      <w:pPr>
        <w:pStyle w:val="TextoNormal"/>
      </w:pPr>
    </w:p>
    <w:p w:rsidR="0085709A" w:rsidRDefault="0085709A" w:rsidP="0085709A">
      <w:pPr>
        <w:pStyle w:val="TextoNormal"/>
      </w:pPr>
      <w:r>
        <w:t>b) Seguido el procedimiento por sus trámites, con el núm. 193-2009, la Sala de lo Contencioso-Administrativo de la Audiencia Nacional (Sección Séptima) dictó, en fecha 24 de enero de 2011, Sentencia desestimatoria de las pretensiones de la demandante.</w:t>
      </w:r>
    </w:p>
    <w:p w:rsidR="0085709A" w:rsidRDefault="0085709A" w:rsidP="0085709A">
      <w:pPr>
        <w:pStyle w:val="TextoNormal"/>
      </w:pPr>
    </w:p>
    <w:p w:rsidR="0085709A" w:rsidRDefault="0085709A" w:rsidP="0085709A">
      <w:pPr>
        <w:pStyle w:val="TextoNormal"/>
      </w:pPr>
      <w:r>
        <w:t>c) Mediante escrito presentado el día 14 de febrero de 2011, la sociedad demandante de amparo interesó que se tuviera por preparado recurso de casación contra la Sentencia antes indicada. En dicho escrito puso de manifiesto la intención de interponer recurso de casación y, a su vez, indicó que el recurso iba a fundarse en los motivos previstos en los arts. 88.1 c) y 88.1 d) de la Ley reguladora de la jurisdicción contencioso-administrativa (LJCA).</w:t>
      </w:r>
    </w:p>
    <w:p w:rsidR="0085709A" w:rsidRDefault="0085709A" w:rsidP="0085709A">
      <w:pPr>
        <w:pStyle w:val="TextoNormal"/>
      </w:pPr>
    </w:p>
    <w:p w:rsidR="0085709A" w:rsidRDefault="0085709A" w:rsidP="0085709A">
      <w:pPr>
        <w:pStyle w:val="TextoNormal"/>
      </w:pPr>
      <w:r>
        <w:t xml:space="preserve">d) Por diligencia de ordenación de fecha 27 de febrero de 2011, la Sala de lo Contencioso-Administrativo de la Audiencia Nacional tuvo por preparado el recurso de casación. Asimismo, dicho órgano acordó emplazar a la demandante para que compareciera ante la Sala Tercera del Tribunal Supremo. Una vez recibidas las actuaciones por el órgano </w:t>
      </w:r>
      <w:r w:rsidRPr="0085709A">
        <w:rPr>
          <w:i/>
        </w:rPr>
        <w:t xml:space="preserve">ad </w:t>
      </w:r>
      <w:r w:rsidRPr="0085709A">
        <w:rPr>
          <w:i/>
        </w:rPr>
        <w:lastRenderedPageBreak/>
        <w:t>quem</w:t>
      </w:r>
      <w:r>
        <w:t>, el día 1 de abril de 2011 la actora interpuso el recurso de casación ante la Sala Tercera del Tribunal Supremo. El recurso de casación fue registrado con el número 1179-2011.</w:t>
      </w:r>
    </w:p>
    <w:p w:rsidR="0085709A" w:rsidRDefault="0085709A" w:rsidP="0085709A">
      <w:pPr>
        <w:pStyle w:val="TextoNormal"/>
      </w:pPr>
    </w:p>
    <w:p w:rsidR="0085709A" w:rsidRDefault="0085709A" w:rsidP="0085709A">
      <w:pPr>
        <w:pStyle w:val="TextoNormal"/>
      </w:pPr>
      <w:r>
        <w:t>e) El día 30 de marzo de 2011, la sociedad demandante de amparo presentó escrito ante la Sala de lo Contencioso-Administrativo de la Audiencia Nacional, en el cual manifestó haber tenido conocimiento del Auto dictado por la Sala de lo Contencioso-Administrativo del Tribunal Supremo (en adelante ATS) 2927/2010, de 10 de febrero, a cuyo través modificó la doctrina relativa a los requisitos exigibles para la preparación del recurso de casación contra sentencias dictadas por la Audiencia Nacional. Por ello, en orden a adecuar el escrito de preparación del recurso de casación a las exigencias establecidas por el la Sala Tercera del Tribunal Supremo, la sociedad demandante procedió a indicar las concretas infracciones normativas o jurisprudenciales cometidas por la Sentencia impugnada.</w:t>
      </w:r>
    </w:p>
    <w:p w:rsidR="0085709A" w:rsidRDefault="0085709A" w:rsidP="0085709A">
      <w:pPr>
        <w:pStyle w:val="TextoNormal"/>
      </w:pPr>
    </w:p>
    <w:p w:rsidR="0085709A" w:rsidRDefault="0085709A" w:rsidP="0085709A">
      <w:pPr>
        <w:pStyle w:val="TextoNormal"/>
      </w:pPr>
      <w:r>
        <w:t>f) Por diligencia de ordenación de fecha 5 de abril de 2011, la Sala Tercera del Tribunal Supremo tuvo por recibido un oficio de la Audiencia Nacional, en el que se acompañó el escrito de adecuación de la preparación del recurso de casación presentado por la sociedad demandante de amparo, y ordenó unir el escrito a las actuaciones de instancia.</w:t>
      </w:r>
    </w:p>
    <w:p w:rsidR="0085709A" w:rsidRDefault="0085709A" w:rsidP="0085709A">
      <w:pPr>
        <w:pStyle w:val="TextoNormal"/>
      </w:pPr>
    </w:p>
    <w:p w:rsidR="0085709A" w:rsidRDefault="0085709A" w:rsidP="0085709A">
      <w:pPr>
        <w:pStyle w:val="TextoNormal"/>
      </w:pPr>
      <w:r>
        <w:t>g) Por providencia de 31 de mayo de 2011, la Sala Tercera del Tribunal Supremo confirió traslado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89.1 y 93.2 a)], conforme a lo establecido en el ATS de 10 de febrero de 2011, dictado en el recurso de casación 2927-2010.</w:t>
      </w:r>
    </w:p>
    <w:p w:rsidR="0085709A" w:rsidRDefault="0085709A" w:rsidP="0085709A">
      <w:pPr>
        <w:pStyle w:val="TextoNormal"/>
      </w:pPr>
    </w:p>
    <w:p w:rsidR="0085709A" w:rsidRDefault="0085709A" w:rsidP="0085709A">
      <w:pPr>
        <w:pStyle w:val="TextoNormal"/>
      </w:pPr>
      <w:r>
        <w:t xml:space="preserve">h) El 20 de junio de 2011 la sociedad demandante evacuó el traslado conferido. En síntesis, la referida entidad manifestó haber preparado el recurso de casación conforme al criterio jurisprudencial establecido con anterioridad al ATS de 10 de febrero de 2011; que en el momento de la preparación no pudo tener conocimiento del cambio de criterio, puesto que el referido Auto aún no había sido publicado; que las nuevas pautas exigidas son contrarias a lo establecido en los arts. 89 y 93 LJCA; que, en cualquier caso, dichas pautas no pueden ser aplicadas a los recursos de casación preparados con anterioridad a la publicación del referido Auto; y, por último, que ante el órgano </w:t>
      </w:r>
      <w:r w:rsidRPr="0085709A">
        <w:rPr>
          <w:i/>
        </w:rPr>
        <w:t>a quo</w:t>
      </w:r>
      <w:r>
        <w:t xml:space="preserve"> había presentado un escrito de adecuación a las nuevas exigencias establecidas para la preparación del recurso de casación.</w:t>
      </w:r>
    </w:p>
    <w:p w:rsidR="0085709A" w:rsidRDefault="0085709A" w:rsidP="0085709A">
      <w:pPr>
        <w:pStyle w:val="TextoNormal"/>
      </w:pPr>
    </w:p>
    <w:p w:rsidR="0085709A" w:rsidRDefault="0085709A" w:rsidP="0085709A">
      <w:pPr>
        <w:pStyle w:val="TextoNormal"/>
      </w:pPr>
      <w:r>
        <w:t xml:space="preserve">i) Por Auto de 10 de noviembre de 2011, la Sala Tercera del Tribunal Supremo (Sección Primera) acordó la inadmisión del recurso de casación. La Sala se remitió a la doctrina establecida en ATS de 10 de febrero de 2011, del que transcribió varios de sus fundamentos, y concluyó que no habiéndose citado, en el escrito de preparación del recurso formalizado por la sociedad recurrente, las infracciones normativas o jurisprudenciales que iban a desarrollarse en el escrito de interposición, procedía la inadmisión del recurso de casación. Por otro lado, la Sala consideró de aplicación lo que la doctrina constitucional ha calificado como “mínimo efecto retroactivo”, de manera que el nuevo criterio jurisprudencial resulta extensible a todo supuesto o situación jurídica que tenga ante sí para resolver, con independencia del momento temporal en que se interpuso el recurso. Finalmente, la Sala también rechazó la eficacia de la subsanación intentada por la sociedad demandante, a través del escrito de adecuación posterior al trámite de preparación, al entender que el incumplimiento de la carga establecida en el art. 89.1 de la Ley jurisdiccional acarrea un vicio de carácter </w:t>
      </w:r>
      <w:r>
        <w:lastRenderedPageBreak/>
        <w:t>sustancial, y no un simple defecto de forma, amén de que los requisitos que configuran los presupuestos procesales deben ser cumplidos, de manera indeclinable, en tiempo y forma. Por todo ello, entendió que el defecto procesal apreciado era insubsanable.</w:t>
      </w:r>
    </w:p>
    <w:p w:rsidR="0085709A" w:rsidRDefault="0085709A" w:rsidP="0085709A">
      <w:pPr>
        <w:pStyle w:val="TextoNormal"/>
      </w:pPr>
    </w:p>
    <w:p w:rsidR="0085709A" w:rsidRDefault="0085709A" w:rsidP="0085709A">
      <w:pPr>
        <w:pStyle w:val="TextoNormal"/>
      </w:pPr>
      <w:r>
        <w:t>j) En fecha 4 de enero de 2012, la sociedad demandante de amparo promovió incidente de nulidad de actuaciones en el que, con una extensa argumentación, alegó la vulneración del derecho a la igualdad en la aplicación judicial de la ley (art. 14 CE) y del derecho a la tutela judicial efectiva en su vertiente de acceso a los recursos (art. 24.1 CE), en relación con el principio de seguridad jurídica contenido en el art. 9.3 CE. Denunció, en resumen, que el Tribunal Supremo había introducido una modificación sustancial respecto de los requisitos del escrito de preparación del recurso de casación contra sentencias dictadas por la Audiencia Nacional que, además de inesperado, resulta sorprendente, arbitrario e infundado. Dicho cambio de criterio impone el cumplimiento de unos requisitos no contemplados en la Ley y, además, se aplica a escritos de preparación presentados con anterioridad a que pudiera conocerse el nuevo criterio establecido. Asimismo, afirma que la resolución impugnada contraviene la doctrina del Tribunal Constitucional en materia de subsanación de defectos procesales, con la consiguiente indefensión que se provoca a la parte recurrente. Finalmente, destaca la falta de vocación de permanencia de la modificación jurisprudencial, lo que comporta una vulneración del derecho a la igualdad en la aplicación judicial de la ley, puesto que con posterioridad al ATS de 10 de febrero de 2011 se han dictado resoluciones en las que se retoma el criterio precedente, en cuya virtud no resulta exigible la indicación expresa, en el escrito de preparación del recurso de casación, de las normas o doctrina jurisprudencial infringida.</w:t>
      </w:r>
    </w:p>
    <w:p w:rsidR="0085709A" w:rsidRDefault="0085709A" w:rsidP="0085709A">
      <w:pPr>
        <w:pStyle w:val="TextoNormal"/>
      </w:pPr>
    </w:p>
    <w:p w:rsidR="0085709A" w:rsidRDefault="0085709A" w:rsidP="0085709A">
      <w:pPr>
        <w:pStyle w:val="TextoNormal"/>
      </w:pPr>
      <w:r>
        <w:t>k) Por Auto de 22 de marzo de 2012 fue desestimado el incidente de nulidad de actuaciones promovido contra el Auto de 10 de noviembre de 2011. En esencia, el órgano judicial considera que la demandante se limita a discrepar de las razones tenidas en consideración para inadmitir el recurso de casación, asimilando el incidente de nulidad a un recurso de súplica.</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las siguientes circunstancias:</w:t>
      </w:r>
    </w:p>
    <w:p w:rsidR="0085709A" w:rsidRDefault="0085709A" w:rsidP="0085709A">
      <w:pPr>
        <w:pStyle w:val="TextoNormal"/>
      </w:pPr>
    </w:p>
    <w:p w:rsidR="0085709A" w:rsidRDefault="0085709A" w:rsidP="0085709A">
      <w:pPr>
        <w:pStyle w:val="TextoNormal"/>
      </w:pPr>
      <w:r>
        <w:t>a) El Auto de 10 de noviembre de 2011, en cuya virtud se inadmitió el recurso de casación, exige al recurrente anticipar, en el escrito de preparación del recurso de casación, los concretos preceptos o la jurisprudencia que se reputan infringidos. Dicha imposición carece de cobertura en la Ley jurisdiccional, puesto que ningún precepto de la citada lo exige, cuando se impugnan sentencias dictadas por la Audiencia Nacional.</w:t>
      </w:r>
    </w:p>
    <w:p w:rsidR="0085709A" w:rsidRDefault="0085709A" w:rsidP="0085709A">
      <w:pPr>
        <w:pStyle w:val="TextoNormal"/>
      </w:pPr>
    </w:p>
    <w:p w:rsidR="0085709A" w:rsidRDefault="0085709A" w:rsidP="0085709A">
      <w:pPr>
        <w:pStyle w:val="TextoNormal"/>
      </w:pPr>
      <w:r>
        <w:t>b) Por otra parte, el criterio sustentado en el Auto de 10 de noviembre de 2011 se ha aplicado con carácter retroactivo, pues no era conocido ni predecible al momento de preparar el recurso de casación. A su vez, la sociedad demandante advierte de la quiebra de los principios de seguridad jurídica, buena fe y confianza legítima.</w:t>
      </w:r>
    </w:p>
    <w:p w:rsidR="0085709A" w:rsidRDefault="0085709A" w:rsidP="0085709A">
      <w:pPr>
        <w:pStyle w:val="TextoNormal"/>
      </w:pPr>
    </w:p>
    <w:p w:rsidR="0085709A" w:rsidRDefault="0085709A" w:rsidP="0085709A">
      <w:pPr>
        <w:pStyle w:val="TextoNormal"/>
      </w:pPr>
      <w:r>
        <w:t xml:space="preserve">c) El cambio de criterio efectuado por la Sala Tercera del Tribunal Supremo no tiene vocación de permanencia, pues con posterioridad al ATS de 10 de febrero de 2011 se han </w:t>
      </w:r>
      <w:r>
        <w:lastRenderedPageBreak/>
        <w:t>dictado Sentencias y Autos contrarios a la jurisprudencia contenida en esa resolución; entre otros, los AATS, de 17 de febrero de 2011 (recurso núm. 4600-2010), de 24 de febrero de 2011 (recurso núm. 3896-2010) , de 17 de marzo de 2011 (recurso núm. 6250-2010) y de 16 de junio de 2011 (recurso núm. 5151-2010), así como la STS de fecha 30 de marzo de 2011 (recurso núm. 3143-2006).</w:t>
      </w:r>
    </w:p>
    <w:p w:rsidR="0085709A" w:rsidRDefault="0085709A" w:rsidP="0085709A">
      <w:pPr>
        <w:pStyle w:val="TextoNormal"/>
      </w:pPr>
    </w:p>
    <w:p w:rsidR="0085709A" w:rsidRDefault="0085709A" w:rsidP="0085709A">
      <w:pPr>
        <w:pStyle w:val="TextoNormal"/>
      </w:pPr>
      <w:r>
        <w:t xml:space="preserve">d) Finalmente destaca que, una vez tuvo conocimiento de la doctrina enunciada en el ATS de 10 de febrero de 2011, en fecha 30 de marzo de 2011 presentó ante el órgano </w:t>
      </w:r>
      <w:r w:rsidRPr="0085709A">
        <w:rPr>
          <w:i/>
        </w:rPr>
        <w:t>a quo</w:t>
      </w:r>
      <w:r>
        <w:t xml:space="preserve"> un escrito de adecuación a las nuevas exigencias. Sin embargo, la Sala Tercera del Tribunal Supremo no reconoció eficacia alguna a dicho escrito, con manifiesta vulneración de la doctrina constitucional sobre subsanación de defectos procesales.</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10 de noviembre de 2011,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1179-2011 y al recurso núm. 193-2009,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28 de octubre de 2013, el Abogado del Estado, en la representación que le es propia,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fecha 5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Abogado del Estado presentó sus alegaciones mediante escrito registrado el día 3 de diciembre de 2013. En síntesis, considera que, a la luz de la doctrina constitucional, el Auto de inadmisión combatido en amparo vulnera el derecho al acceso a los recursos que garantiza el art. 24.1 CE. Para el Abogado del Estado el auténtico problema constitucional </w:t>
      </w:r>
      <w:r>
        <w:lastRenderedPageBreak/>
        <w:t>que la demanda suscita radica en la aplicación retrospectiva de las nuevas máximas jurisprudenciales plasmadas en el ATS de 10 de febrero de 2011, que la demandante no podía conocer cuando preparó el recurso de casación. En el presente caso, la inadmisión del recurso de casación se sustenta, precisamente, en que no se preparó conforme a las referidas máximas, lo que comporta imponer retroactivamente un novedoso régimen procesal desfavorable a la realización de un acto procesal totalmente concluido. Por tanto, la cuestión principal radica en la irrazonabilidad de una decisión que impone unos requisitos de forma que la parte no tenía posibilidad de conocer ni, por tanto, de cumplir.</w:t>
      </w:r>
    </w:p>
    <w:p w:rsidR="0085709A" w:rsidRDefault="0085709A" w:rsidP="0085709A">
      <w:pPr>
        <w:pStyle w:val="TextoNormal"/>
      </w:pPr>
    </w:p>
    <w:p w:rsidR="0085709A" w:rsidRDefault="0085709A" w:rsidP="0085709A">
      <w:pPr>
        <w:pStyle w:val="TextoNormal"/>
      </w:pPr>
      <w:r>
        <w:t>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9</w:t>
      </w:r>
      <w:r>
        <w:t>. Por escrito de fecha 9 de diciembre de 2013, la sociedad demandante formuló sus alegaciones. En esencia, dicha entidad se remite a lo ya manifestado en el escrito de demanda, reiterando las pretensiones interesadas en dicho escrito.</w:t>
      </w:r>
    </w:p>
    <w:p w:rsidR="0085709A" w:rsidRDefault="0085709A" w:rsidP="0085709A">
      <w:pPr>
        <w:pStyle w:val="TextoNormal"/>
      </w:pPr>
    </w:p>
    <w:p w:rsidR="0085709A" w:rsidRDefault="0085709A" w:rsidP="0085709A">
      <w:pPr>
        <w:pStyle w:val="TextoNormal"/>
      </w:pPr>
      <w:r w:rsidRPr="0085709A">
        <w:rPr>
          <w:rStyle w:val="NumeroAFNegritaCaracter"/>
        </w:rPr>
        <w:t>10</w:t>
      </w:r>
      <w:r>
        <w:t>. El Ministerio Fiscal presentó sus alegaciones mediante escrito registrado el 20 de diciembre de 2013. En primer lugar, compendia los hechos más relevantes que atañen al presente recurso. En segundo término, sintetiza la doctrina del Tribunal Constitucional sobre el acceso a los recursos y la evolución de la jurisprudencia del Tribunal Supremo sobre los requisitos que debe reunir el escrito de preparación del recurso de casación contencioso-administrativo. Finalmente, a la vista de las alegaciones formuladas en la demanda de amparo concluye que se ha vulnerado el derecho a la igualdad en la aplicación judicial de la ley (art. 14 CE).</w:t>
      </w:r>
    </w:p>
    <w:p w:rsidR="0085709A" w:rsidRDefault="0085709A" w:rsidP="0085709A">
      <w:pPr>
        <w:pStyle w:val="TextoNormal"/>
      </w:pPr>
    </w:p>
    <w:p w:rsidR="0085709A" w:rsidRDefault="0085709A" w:rsidP="0085709A">
      <w:pPr>
        <w:pStyle w:val="TextoNormal"/>
      </w:pPr>
      <w:r>
        <w:t>La argumentación del Ministerio Fiscal en torno a la lesión del art. 14 CE se desarrolla, en síntesis, con los siguientes argumentos:</w:t>
      </w:r>
    </w:p>
    <w:p w:rsidR="0085709A" w:rsidRDefault="0085709A" w:rsidP="0085709A">
      <w:pPr>
        <w:pStyle w:val="TextoNormal"/>
      </w:pPr>
    </w:p>
    <w:p w:rsidR="0085709A" w:rsidRDefault="0085709A" w:rsidP="0085709A">
      <w:pPr>
        <w:pStyle w:val="TextoNormal"/>
      </w:pPr>
      <w:r>
        <w:t>La sociedad demandante de amparo ha aportado un válido término de comparación, pues oportunamente cita los AATS 1932-2011, de 17 de febrero de 2011 (recurso núm. 4600-2010), 3667-2011, de 17 de marzo de 2011 (recurso núm. 6250-2010), y 8516-2011, de 16 de junio de 2011 (recurso núm. 5151-2010), todos ellos dictados por la Sección Primera, en relación con recursos de casación entablados contra sentencias dictadas por la Sala de lo Contencioso-Administrativo de la Audiencia Nacional, en ninguno de los cuales se exige la indicación, en el escrito de preparación del recurso de casación, de los concretos preceptos o jurisprudencia que se reputan infringidos o el contenido de las infracciones normativas o jurisprudenciales que se pretendan denunciar y desarrollar en el escrito de interposición del recurso de casación. Este dato permite constatar la efectiva y necesaria identidad entre los supuestos de hecho.</w:t>
      </w:r>
    </w:p>
    <w:p w:rsidR="0085709A" w:rsidRDefault="0085709A" w:rsidP="0085709A">
      <w:pPr>
        <w:pStyle w:val="TextoNormal"/>
      </w:pPr>
    </w:p>
    <w:p w:rsidR="0085709A" w:rsidRDefault="0085709A" w:rsidP="0085709A">
      <w:pPr>
        <w:pStyle w:val="TextoNormal"/>
      </w:pPr>
      <w:r>
        <w:t xml:space="preserve">Destaca, en suma, que en la presente hipótesis el Auto ahora impugnado —el Auto dictado por la Sección Primera de la Sala de lo Contencioso-Administrativo del Tribunal Supremo en el recurso de casación núm. 1179-2011, de fecha 10 de noviembre de 2011—, no contiene referencia suficiente a la circunstancia de que esa misma Sección hubiera dictado </w:t>
      </w:r>
      <w:r>
        <w:lastRenderedPageBreak/>
        <w:t>previamente —vigente ya la doctrina fijada por el ATS 2371/2011, de 10 de febrero— al menos otros Autos en sentido diferente al de aquél, como tampoco contiene el Auto aquí impugnado una justificación explícita del cambio de criterio producido entre los casos que ahora trae a colación la parte recurrente en amparo y el Auto del que ahora se trata, lo cual parece en todo caso inexcusable.</w:t>
      </w:r>
    </w:p>
    <w:p w:rsidR="0085709A" w:rsidRDefault="0085709A" w:rsidP="0085709A">
      <w:pPr>
        <w:pStyle w:val="TextoNormal"/>
      </w:pPr>
    </w:p>
    <w:p w:rsidR="0085709A" w:rsidRDefault="0085709A" w:rsidP="0085709A">
      <w:pPr>
        <w:pStyle w:val="TextoNormal"/>
      </w:pPr>
      <w:r>
        <w:t xml:space="preserve">Entiende el Fiscal que, sentado lo anterior, carece de dificultad apreciar en el presente caso la existencia de todos y cada uno de los requisitos establecidos por la antes mencionada doctrina de ese Tribunal Constitucional para que pueda entenderse vulnerado el derecho a la igualdad en la aplicación judicial de la ley (art. 14 CE), pues (i) la parte demandante de amparo ha acreditado el </w:t>
      </w:r>
      <w:r w:rsidRPr="0085709A">
        <w:rPr>
          <w:i/>
        </w:rPr>
        <w:t>tertium comparationis</w:t>
      </w:r>
      <w:r>
        <w:t xml:space="preserve"> exigido al haber señalado en su demanda los autos de la Sección Primera de la Sala de lo Contencioso-Administrativo del Tribunal Supremo recaídos en casos análogos al que es objeto del presente recurso de amparo, pero con resolución diferente de la recaída en su caso concreto; (ii) existe la identidad de órgano judicial, habida cuenta de que tanto el Auto impugnado como los Autos de contraste han sido dictados por la Sección Primera de la Sala de lo Contencioso-Administrativo del Tribunal Supremo; (iii) existe alteridad en los supuestos contrastados, pues ninguno de los casos cotejados se refieren a la demandante; y (iv) es de apreciar la ausencia de toda motivación que justifique en términos generalizables el cambio de criterio.</w:t>
      </w:r>
    </w:p>
    <w:p w:rsidR="0085709A" w:rsidRDefault="0085709A" w:rsidP="0085709A">
      <w:pPr>
        <w:pStyle w:val="TextoNormal"/>
      </w:pPr>
    </w:p>
    <w:p w:rsidR="0085709A" w:rsidRDefault="0085709A" w:rsidP="0085709A">
      <w:pPr>
        <w:pStyle w:val="TextoNormal"/>
      </w:pPr>
      <w:r>
        <w:t>Por todo ello, termina solicitando que se dicte sentencia por la que se declare que el Auto dictado por la Sección Primera de la Sala de lo Contencioso-Administrativo del Tribunal Supremo en el recurso de casación núm. 1179-2011 con fecha 10 de noviembre de 2011 vulneró el derecho de la sociedad demandante a la igualdad en la aplicación de la ley (art. 14 CE), con la consecuencia necesaria de la anulación de dicha resolución, así como del Auto de fecha 22 de marzo 2012, por el que se desestimó el incidente de nulidad de actuaciones entablado contra aquel Auto, para que sea dictada, en su lugar, otra resolución respetuosa con el derecho fundamental vulnerado.</w:t>
      </w:r>
    </w:p>
    <w:p w:rsidR="0085709A" w:rsidRDefault="0085709A" w:rsidP="0085709A">
      <w:pPr>
        <w:pStyle w:val="TextoNormal"/>
      </w:pPr>
    </w:p>
    <w:p w:rsidR="0085709A" w:rsidRDefault="0085709A" w:rsidP="0085709A">
      <w:pPr>
        <w:pStyle w:val="TextoNormal"/>
      </w:pPr>
      <w:r w:rsidRPr="0085709A">
        <w:rPr>
          <w:rStyle w:val="NumeroAFNegritaCaracter"/>
        </w:rPr>
        <w:t>11</w:t>
      </w:r>
      <w:r>
        <w:t>.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10 de noviembre de 2011,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26 de febrero de 2015 se señaló para deliberación y fallo de la Sentencia el día 2 de marzo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objeto del presente recurso es determinar si la decisión judicial de inadmitir el recurso de casación contencioso-administrativo, por no haberse citado en el escrito de preparación los concretos preceptos o la jurisprudencia que se reputan infringidos, ha vulnerado </w:t>
      </w:r>
      <w:r>
        <w:lastRenderedPageBreak/>
        <w:t>(i)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Las invocaciones constitucionales en que se fundamenta este recurso ya han sido objeto de análisis por el Pleno de este Tribunal en la STC 7/2015, de 22 de enero. Por tanto, 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0085709A" w:rsidRDefault="0085709A" w:rsidP="0085709A">
      <w:pPr>
        <w:pStyle w:val="TextoNormal"/>
      </w:pPr>
    </w:p>
    <w:p w:rsidR="0085709A" w:rsidRDefault="0085709A" w:rsidP="0085709A">
      <w:pPr>
        <w:pStyle w:val="TextoNormal"/>
      </w:pPr>
      <w:r>
        <w:t xml:space="preserve">Igualmente debe descartarse la lesión aducida del derecho a la igualdad en la aplicación de la ley. En el fundamento jurídico 4 de la Sentencia citada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y razona explícitamente la alteración doctrinal, que se justifica a partir de la finalidad que debe cumplir el escrito de preparación del recurso de casación.</w:t>
      </w:r>
    </w:p>
    <w:p w:rsidR="0085709A" w:rsidRDefault="0085709A" w:rsidP="0085709A">
      <w:pPr>
        <w:pStyle w:val="TextoNormal"/>
      </w:pPr>
    </w:p>
    <w:p w:rsidR="0085709A" w:rsidRDefault="0085709A" w:rsidP="0085709A">
      <w:pPr>
        <w:pStyle w:val="TextoNormal"/>
      </w:pPr>
      <w:r>
        <w:t>Por el contrario, debe estimarse la vulneración del derecho a la tutela judicial efectiva (art. 24.1 CE) fundamentada en que, contrariamente al parámetro de racionalidad, la decisión de inadmisión impugnada no tomó en consideración que la falta de cumplimiento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(fundamento jurídico 3).</w:t>
      </w:r>
    </w:p>
    <w:p w:rsidR="0085709A" w:rsidRDefault="0085709A" w:rsidP="0085709A">
      <w:pPr>
        <w:pStyle w:val="TextoNormal"/>
      </w:pPr>
    </w:p>
    <w:p w:rsidR="0085709A" w:rsidRDefault="0085709A" w:rsidP="0085709A">
      <w:pPr>
        <w:pStyle w:val="TextoNormal"/>
      </w:pPr>
      <w:r>
        <w:t>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Estimar el recurso de amparo interpuesto por la entidad France Telecom S.A.U. y, en su virtud:</w:t>
      </w:r>
    </w:p>
    <w:p w:rsidR="0085709A" w:rsidRDefault="0085709A" w:rsidP="0085709A">
      <w:pPr>
        <w:pStyle w:val="TextoNormal"/>
      </w:pPr>
    </w:p>
    <w:p w:rsidR="0085709A" w:rsidRDefault="0085709A" w:rsidP="0085709A">
      <w:pPr>
        <w:pStyle w:val="TextoNormal"/>
      </w:pPr>
      <w:r>
        <w:t>1º Declarar que ha sido vulnerado el derecho fundamental de la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del Auto de 10 de noviembre de 2011 y del Auto de 22 de marzo de 2012, dictados en el recurso de casación núm. 1179-2011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2" w:name="SENTENCIA_2015_39"/>
      <w:r>
        <w:lastRenderedPageBreak/>
        <w:t>SENTENCIA 39/2015, de 2 de marzo de 2015</w:t>
      </w:r>
    </w:p>
    <w:bookmarkEnd w:id="42"/>
    <w:p w:rsidR="0085709A" w:rsidRDefault="0085709A" w:rsidP="0085709A">
      <w:pPr>
        <w:pStyle w:val="TtuloResolucin"/>
      </w:pPr>
      <w:r>
        <w:t>Sala Segunda</w:t>
      </w:r>
    </w:p>
    <w:p w:rsidR="0085709A" w:rsidRDefault="0085709A" w:rsidP="0085709A">
      <w:pPr>
        <w:pStyle w:val="TtuloBOE"/>
      </w:pPr>
      <w:r>
        <w:t>(BOE núm. 85, de 9 de abril de 2015)</w:t>
      </w:r>
    </w:p>
    <w:p w:rsidR="0085709A" w:rsidRDefault="0085709A" w:rsidP="0085709A">
      <w:pPr>
        <w:pStyle w:val="TextoNormalCentrado"/>
      </w:pPr>
      <w:r>
        <w:t>ECLI:ES:TC:2015:39</w:t>
      </w:r>
    </w:p>
    <w:p w:rsidR="0085709A" w:rsidRDefault="0085709A" w:rsidP="0085709A">
      <w:pPr>
        <w:pStyle w:val="TextoNormalCentrado"/>
      </w:pPr>
    </w:p>
    <w:p w:rsidR="0085709A" w:rsidRDefault="0085709A" w:rsidP="0085709A">
      <w:pPr>
        <w:pStyle w:val="SntesisDescriptiva"/>
      </w:pPr>
      <w:r>
        <w:t>Recurso de amparo 4219-2012. Promovido por don Miguel Ángel Gutiérrez Peinado respecto del Auto de un Juzgado de Primera Instancia e Instrucción de Villarrobledo desestimatorio del incidente de oposición a la ejecución hipotecaria.</w:t>
      </w:r>
    </w:p>
    <w:p w:rsidR="0085709A" w:rsidRDefault="0085709A" w:rsidP="0085709A">
      <w:pPr>
        <w:pStyle w:val="SntesisDescriptiva"/>
      </w:pPr>
    </w:p>
    <w:p w:rsidR="0085709A" w:rsidRDefault="0085709A" w:rsidP="0085709A">
      <w:pPr>
        <w:pStyle w:val="SntesisAnaltica"/>
      </w:pPr>
      <w:r>
        <w:t>Vulneración del derecho a la tutela judicial efectiva (acceso a la justicia): resolución judicial que no examina una premisa lógica del proceso racional de formación de la decisión, sino que remite a la parte demandante a un proceso posterior.</w:t>
      </w:r>
    </w:p>
    <w:p w:rsidR="0085709A" w:rsidRDefault="0085709A" w:rsidP="0085709A">
      <w:pPr>
        <w:pStyle w:val="SntesisAnaltica"/>
      </w:pPr>
    </w:p>
    <w:p w:rsidR="0085709A" w:rsidRDefault="0085709A" w:rsidP="0085709A">
      <w:pPr>
        <w:pStyle w:val="Extracto"/>
      </w:pPr>
      <w:r>
        <w:t>1.</w:t>
      </w:r>
      <w:r>
        <w:tab/>
        <w:t>La decisión del órgano judicial de no entrar a resolver la causa de nulidad del procedimiento en que se basó la oposición a la ejecución hipotecaria, remitiendo al recurrente al procedimiento declarativo correspondiente para resolver sobre la procedencia del procedimiento especial que se seguía contra él, incumple las exigencias del derecho a la tutela judicial efectiva [FJ 6].</w:t>
      </w:r>
    </w:p>
    <w:p w:rsidR="0085709A" w:rsidRDefault="0085709A" w:rsidP="0085709A">
      <w:pPr>
        <w:pStyle w:val="Extracto"/>
      </w:pPr>
    </w:p>
    <w:p w:rsidR="0085709A" w:rsidRDefault="0085709A" w:rsidP="0085709A">
      <w:pPr>
        <w:pStyle w:val="Extracto"/>
      </w:pPr>
      <w:r>
        <w:t>2.</w:t>
      </w:r>
      <w:r>
        <w:tab/>
        <w:t>La negativa judicial a examinar una cuestión que debería constituir una premisa lógica en el proceso racional de formación de la decisión, remitiendo a la parte demandante a un proceso posterior, resulta a todas luces desproporcionada, por excesivamente formalista, e incompatible con el derecho fundamental invocado pues, el incumplimiento de un requisito procesal derivado del propio título de ejecución y apreciable de oficio por el órgano judicial, era argumento suficiente para que hubiera sido resuelto en el seno del incidente de oposición, a pesar de no estar previsto así expresamente por la norma [FJ 6].</w:t>
      </w:r>
    </w:p>
    <w:p w:rsidR="0085709A" w:rsidRDefault="0085709A" w:rsidP="0085709A">
      <w:pPr>
        <w:pStyle w:val="Extracto"/>
      </w:pPr>
    </w:p>
    <w:p w:rsidR="0085709A" w:rsidRDefault="0085709A" w:rsidP="0085709A">
      <w:pPr>
        <w:pStyle w:val="Extracto"/>
      </w:pPr>
      <w:r>
        <w:t>3.</w:t>
      </w:r>
      <w:r>
        <w:tab/>
        <w:t>El derecho a la tutela judicial efectiva excluye que la normativa procesal se interprete de forma rigorista, excesivamente formalista o desproporcionada en relación con los fines que preserva y los intereses que se sacrifican cuando se trata del acceso a la jurisdicción, resultando constitucionalmente legítimas aquellas decisiones de inadmisión o de finalización anticipada del proceso, sin que se resuelva sobre el fondo de las pretensiones deducidas en él, cuando encuentren amparo en una norma legal interpretada y aplicada razonablemente y sin rigorismo, formalismo excesivo o desproporción (STC 44/2013) [FJ 5].</w:t>
      </w:r>
    </w:p>
    <w:p w:rsidR="0085709A" w:rsidRDefault="0085709A" w:rsidP="0085709A">
      <w:pPr>
        <w:pStyle w:val="Extracto"/>
      </w:pPr>
    </w:p>
    <w:p w:rsidR="0085709A" w:rsidRDefault="0085709A" w:rsidP="0085709A">
      <w:pPr>
        <w:pStyle w:val="Extracto"/>
      </w:pPr>
      <w:r>
        <w:t>4.</w:t>
      </w:r>
      <w:r>
        <w:tab/>
        <w:t>Doctrina sobre la incongruencia omisiva de las resoluciones judiciales (SSTC 269/2006, 155/2012) [FJ 4].</w:t>
      </w:r>
    </w:p>
    <w:p w:rsidR="0085709A" w:rsidRDefault="0085709A" w:rsidP="0085709A">
      <w:pPr>
        <w:pStyle w:val="Extracto"/>
      </w:pPr>
    </w:p>
    <w:p w:rsidR="0085709A" w:rsidRDefault="0085709A" w:rsidP="0085709A">
      <w:pPr>
        <w:pStyle w:val="Extracto"/>
      </w:pPr>
      <w:r>
        <w:t>5.</w:t>
      </w:r>
      <w:r>
        <w:tab/>
        <w:t>Doctrina sobre la necesidad de una resolución razonada y proporcionada en las decisiones procesales o de admisión, respetuosas con el derecho de la tutela judicial efectiva [FJ 4].</w:t>
      </w:r>
    </w:p>
    <w:p w:rsidR="0085709A" w:rsidRDefault="0085709A" w:rsidP="0085709A">
      <w:pPr>
        <w:pStyle w:val="Extracto"/>
      </w:pPr>
    </w:p>
    <w:p w:rsidR="0085709A" w:rsidRDefault="0085709A" w:rsidP="0085709A">
      <w:pPr>
        <w:pStyle w:val="Extracto"/>
      </w:pPr>
      <w:r>
        <w:t>6.</w:t>
      </w:r>
      <w:r>
        <w:tab/>
        <w:t xml:space="preserve">Declaración de nulidad del Auto que desestimó el incidente de oposición a la ejecución hipotecaria seguida ante un Juzgado de Primera Instancia e Instrucción, que debe ser sustituido por una nueva resolución judicial en la que se dé respuesta </w:t>
      </w:r>
      <w:r>
        <w:lastRenderedPageBreak/>
        <w:t>a la alegación procesal planteada sobre la falta del presupuesto procesal que establece el art. 682.2.1 LEC; se declara nula la providencia de inadmisión a trámite de la nulidad de actuaciones, en cuanto no repara la vulneración causada por aquella resolución [FJ 7].</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4219-2012, promovido por don Miguel Ángel Gutiérrez Peinado, representado por la Procuradora de los Tribunales doña María Teresa Infante Ruiz y asistido por el Abogado don Rafael Núñez Páez, contra el Auto de 17 de abril de 2012, que desestimó el incidente de oposición a la ejecución hipotecaria núm. 4/2012 seguida ante el Juzgado de Primera Instancia e Instrucción núm. 2 de Villarrobledo (Albacete). El presente recurso de amparo se promueve también contra la providencia del mismo Juzgado, de 23 de mayo de 2012, que inadmitió a trámite el incidente de nulidad de actuaciones contra dicho Auto. Ha sido parte el Banco Popular Español, S. A., representado por la Procuradora de los Tribunales doña María José Bueno Ramírez y asistido por el Abogado don Ricardo Martínez Pardo, y ha intervenido el Ministerio Fiscal.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9 de julio de 2012, doña María Teresa Infante Ruiz, Procuradora de los Tribunales y de don Miguel Ángel Gutiérrez Peinado, interpuso recurso de amparo contra las resoluciones judiciales que se citan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los que se funda la demanda, relevantes para la resolución del caso son, en síntesis, los siguientes:</w:t>
      </w:r>
    </w:p>
    <w:p w:rsidR="0085709A" w:rsidRDefault="0085709A" w:rsidP="0085709A">
      <w:pPr>
        <w:pStyle w:val="TextoNormal"/>
      </w:pPr>
    </w:p>
    <w:p w:rsidR="0085709A" w:rsidRDefault="0085709A" w:rsidP="0085709A">
      <w:pPr>
        <w:pStyle w:val="TextoNormal"/>
      </w:pPr>
      <w:r>
        <w:t>a) El demandante de amparo, junto con su esposa, concertó un préstamo hipotecario con el Banco Popular Español, S.A., elevado a escritura pública notarial (en fecha 13 de febrero de 2004) inscrita en el Registro de la Propiedad de Villarrobledo (Albacete).</w:t>
      </w:r>
    </w:p>
    <w:p w:rsidR="0085709A" w:rsidRDefault="0085709A" w:rsidP="0085709A">
      <w:pPr>
        <w:pStyle w:val="TextoNormal"/>
      </w:pPr>
    </w:p>
    <w:p w:rsidR="0085709A" w:rsidRDefault="0085709A" w:rsidP="0085709A">
      <w:pPr>
        <w:pStyle w:val="TextoNormal"/>
      </w:pPr>
      <w:r>
        <w:t xml:space="preserve">De acuerdo con los términos del contrato, el Banco, como prestamista, entregaba a los cónyuges —en calidad de prestatarios— la cantidad de setenta y dos mil euros (72.000 €) </w:t>
      </w:r>
      <w:r>
        <w:lastRenderedPageBreak/>
        <w:t>en concepto de principal, obligándose éstos solidariamente a devolverlo a plazos junto con las comisiones y gastos devengados a favor del banco, con garantía de hipoteca del inmueble que se describe en la escritura (vivienda unifamiliar destinada a su uso como vivienda habitual). En la cláusula tercera, apartado cinco, de la escritura se señalaba, como “tipo en la subasta que corresponda”, el importe de la responsabilidad por principal reflejada en la letra a) del apartado 1 de la cláusula segunda de la escritura; es decir, setenta y dos mil euros (72.000 €).</w:t>
      </w:r>
    </w:p>
    <w:p w:rsidR="0085709A" w:rsidRDefault="0085709A" w:rsidP="0085709A">
      <w:pPr>
        <w:pStyle w:val="TextoNormal"/>
      </w:pPr>
    </w:p>
    <w:p w:rsidR="0085709A" w:rsidRDefault="0085709A" w:rsidP="0085709A">
      <w:pPr>
        <w:pStyle w:val="TextoNormal"/>
      </w:pPr>
      <w:r>
        <w:t>b) El 17 de julio de 2008 las mismas partes pactaron la ampliación del capital del préstamo, a través de la novación modificativa del primer contrato, pacto que en dicha fecha fue elevado a escritura pública ulteriormente inscrita en el Registro de la Propiedad.</w:t>
      </w:r>
    </w:p>
    <w:p w:rsidR="0085709A" w:rsidRDefault="0085709A" w:rsidP="0085709A">
      <w:pPr>
        <w:pStyle w:val="TextoNormal"/>
      </w:pPr>
    </w:p>
    <w:p w:rsidR="0085709A" w:rsidRDefault="0085709A" w:rsidP="0085709A">
      <w:pPr>
        <w:pStyle w:val="TextoNormal"/>
      </w:pPr>
      <w:r>
        <w:t>Una vez compensadas las cantidades hasta entonces amortizadas del principal, se fijó en esta segunda escritura como principal pendiente de pago, la cantidad de ciento veintiséis mil setecientos cuarenta y cinco euros con cincuenta y ocho céntimos (126.745,58 €), más dieciséis mil cuatrocientos setenta y seis euros con noventa y tres céntimos (16.476,93 €) en concepto de intereses ordinarios, veinticinco mil novecientos ochenta y dos euros con ochenta y cuatro céntimos (25.982,84 €) por intereses de demora y diecinueve mil once euros con ochenta y cuatro céntimos (19.011,84 €) para costas y gastos. De acuerdo con las nuevas condiciones del contrato, se modificaba el tipo de interés y el plazo de amortización del préstamo. En esta segunda escritura se mantuvo la estipulación que fijaba en la primera escritura la regla para determinar el tipo de la subasta: su estipulación tercera (folio 8T3348349) establece que “[e]n cuanto a las restantes condiciones del préstamo antes relacionado, así como la hipoteca constituida en garantía del mismo …, continúan sin novación ni modificación de clase alguna, quedando ratificado y plenamente vigente entre las partes aquí contratantes el contenido íntegro de la mencionada escritura de préstamo hipotecario”.</w:t>
      </w:r>
    </w:p>
    <w:p w:rsidR="0085709A" w:rsidRDefault="0085709A" w:rsidP="0085709A">
      <w:pPr>
        <w:pStyle w:val="TextoNormal"/>
      </w:pPr>
    </w:p>
    <w:p w:rsidR="0085709A" w:rsidRDefault="0085709A" w:rsidP="0085709A">
      <w:pPr>
        <w:pStyle w:val="TextoNormal"/>
      </w:pPr>
      <w:r>
        <w:t>c) Por Auto de 4 de enero de 2012, el Juzgado de Primera Instancia e Instrucción núm. 2 de Villarrobledo (Albacete) ordenó el despacho de la ejecución contra el demandante de amparo y su esposa, por la cantidad de ciento veinte mil cuatrocientos noventa y un euros con cuarenta y ocho céntimos (120.491,48 €) en concepto de principal de deuda e intereses ordinarios, más otros treinta y seis mil euros (36.000 €) en concepto de intereses provisionales a devengarse durante la ejecución, en virtud de demanda ejecutiva que presentó el 3 de enero de 2012 la representación procesal del Banco Popular Español, S.A. A la ejecución forzosa se le dio el trámite del procedimiento especial que regulan los arts. 681 a 698 de la Ley 1/2000, de 7 de enero, de enjuiciamiento civil (LEC) (autos de ejecución hipotecaria núm. 4-2012).</w:t>
      </w:r>
    </w:p>
    <w:p w:rsidR="0085709A" w:rsidRDefault="0085709A" w:rsidP="0085709A">
      <w:pPr>
        <w:pStyle w:val="TextoNormal"/>
      </w:pPr>
    </w:p>
    <w:p w:rsidR="0085709A" w:rsidRDefault="0085709A" w:rsidP="0085709A">
      <w:pPr>
        <w:pStyle w:val="TextoNormal"/>
      </w:pPr>
      <w:r>
        <w:t>d) El 9 de marzo de 2012, dentro del plazo concedido por el Juzgado, el demandante de amparo interpuso, junto con su esposa doña Águeda Parra Arribas, escrito de oposición a la ejecución hipotecaria, que fue desestimada por el Auto de 17 de abril de 2012, una de las resoluciones impugnadas en amparo.</w:t>
      </w:r>
    </w:p>
    <w:p w:rsidR="0085709A" w:rsidRDefault="0085709A" w:rsidP="0085709A">
      <w:pPr>
        <w:pStyle w:val="TextoNormal"/>
      </w:pPr>
    </w:p>
    <w:p w:rsidR="0085709A" w:rsidRDefault="0085709A" w:rsidP="0085709A">
      <w:pPr>
        <w:pStyle w:val="TextoNormal"/>
      </w:pPr>
      <w:r>
        <w:t xml:space="preserve">La oposición se basaba en que la escritura pública de 17 de julio de 2008, por la que se novó la relación contractual garantizada, no fijaba precio alguno de tasación de la finca hipotecada, ni a efectos de subasta ni a ningún otro, por lo cual “la ejecución interesada no reúne los requisitos establecidos en el artículo 682 de la Ley de Enjuiciamiento Civil, ni </w:t>
      </w:r>
      <w:r>
        <w:lastRenderedPageBreak/>
        <w:t>puede ser tramitada conforme a las deposiciones (sic) del Capítulo V de la misma, determinando la inadmisión de la ejecución solicitada y nulidad de su despacho” (hecho tercero). En el suplico de la demanda de oposición se pide la declaración de nulidad de la ejecución despachada por incumplimiento de los presupuestos de procedibilidad (falta de fijación del tipo de la subasta en el título hipotecario) y, subsidiariamente, de ser esa pretensión desestimada, que se fije por el Juzgado un tipo de la subasta acorde con una tasación privada obrante en las actuaciones y que eleva el valor del inmueble a 277.904,38 €.</w:t>
      </w:r>
    </w:p>
    <w:p w:rsidR="0085709A" w:rsidRDefault="0085709A" w:rsidP="0085709A">
      <w:pPr>
        <w:pStyle w:val="TextoNormal"/>
      </w:pPr>
    </w:p>
    <w:p w:rsidR="0085709A" w:rsidRDefault="0085709A" w:rsidP="0085709A">
      <w:pPr>
        <w:pStyle w:val="TextoNormal"/>
      </w:pPr>
      <w:r>
        <w:t xml:space="preserve">e) El Auto del Juzgado de 17 de abril de 2012 fundamenta la desestimación de la pretensión incidental, resumidamente, en que los motivos de oposición que enumera el art. 695 de la Ley de enjuiciamiento civil son </w:t>
      </w:r>
      <w:r w:rsidRPr="0085709A">
        <w:rPr>
          <w:i/>
        </w:rPr>
        <w:t>numerus clausus</w:t>
      </w:r>
      <w:r>
        <w:t>; por lo cual, los que sirven de fundamento a la oposición de los ejecutados no pueden ser resueltos en el seno del incidente, quedando expedita la posibilidad de plantear cualquier reclamación del deudor ejecutado en el procedimiento declarativo que corresponda, de conformidad con lo dispuesto por el art. 698 LEC. Afirma el Auto que no nos encontramos ante un supuesto de extinción de la garantía o de la obligación garantizada (art. 695.1.1 LEC), que tampoco hay un error en la determinación de la cantidad exigible (art. 695.1.2 LEC), y que tampoco sería encuadrable la oposición en el supuesto del art. 695.1.3 LEC, motivo por el cual la oposición se debería plantear en un procedimiento declarativo posterior.</w:t>
      </w:r>
    </w:p>
    <w:p w:rsidR="0085709A" w:rsidRDefault="0085709A" w:rsidP="0085709A">
      <w:pPr>
        <w:pStyle w:val="TextoNormal"/>
      </w:pPr>
    </w:p>
    <w:p w:rsidR="0085709A" w:rsidRDefault="0085709A" w:rsidP="0085709A">
      <w:pPr>
        <w:pStyle w:val="TextoNormal"/>
      </w:pPr>
      <w:r>
        <w:t>f) Contra este Auto se promovió incidente de nulidad de actuaciones. Según el escrito presentado, de 21 de mayo de 2012, la falta de determinación en la segunda escritura pública del tipo de la subasta es un defecto apreciable de oficio por el tribunal, que debería conducir a la nulidad de lo actuado, pues la falta de este requisito determina la inadecuación del procedimiento especial de ejecución. Aclara la parte que no se denuncia la nulidad del título, sino el incumplimiento de un requisito procesal cuya inobservancia debería tener como consecuencia, insiste, la nulidad de lo actuado. Asimismo, se considera incorrecto que al amparo de los límites que impone el art. 698 de la Ley de enjuiciamiento civil, el Auto no dé respuesta a la excepción procesal alegada de incumplimiento de los requisitos de procedibilidad en relación con la falta de fijación del tipo de la subasta, lo que le causa indefensión.</w:t>
      </w:r>
    </w:p>
    <w:p w:rsidR="0085709A" w:rsidRDefault="0085709A" w:rsidP="0085709A">
      <w:pPr>
        <w:pStyle w:val="TextoNormal"/>
      </w:pPr>
    </w:p>
    <w:p w:rsidR="0085709A" w:rsidRDefault="0085709A" w:rsidP="0085709A">
      <w:pPr>
        <w:pStyle w:val="TextoNormal"/>
      </w:pPr>
      <w:r>
        <w:t xml:space="preserve">g) Por providencia de 23 de mayo de 2013, el Juzgado de Primera Instancia e Instrucción núm. 2 de Villarrobledo inadmitió a trámite el incidente planteado, al considerar que la falta de fijación del tipo de la subasta en la segunda escritura pública ya fue denunciada en el trámite de oposición a la ejecución que fue desestimado, al igual que ocurrió con la alegación sobre la nulidad del título, lo que implica que no se dan los presupuestos de admisibilidad del incidente de nulidad de actuaciones, </w:t>
      </w:r>
      <w:r w:rsidRPr="0085709A">
        <w:rPr>
          <w:i/>
        </w:rPr>
        <w:t>ex</w:t>
      </w:r>
      <w:r>
        <w:t xml:space="preserve"> art. 228 LEC. En la providencia no se hace mención a la denunciada falta de resolución sobre la excepción de improcedencia del procedimiento especial hipotecario.</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se queja de que tanto el Auto de 17 de abril de 2012 como la providencia de 23 de mayo de 2012, han lesionado el derecho a la tutela judicial efectiva y el derecho a la defensa (art. 24.1 CE) del recurrente en un doble aspecto: por falta de pronunciamiento sobre un requisito de procedibilidad suscitado en el trámite de oposición, que le priva de una decisión motivada sobre el fondo de dicha excepción; e indefensión por inadmitirse a trámite el incidente de nulidad de actuaciones promovido contra aquel Auto.</w:t>
      </w:r>
    </w:p>
    <w:p w:rsidR="0085709A" w:rsidRDefault="0085709A" w:rsidP="0085709A">
      <w:pPr>
        <w:pStyle w:val="TextoNormal"/>
      </w:pPr>
    </w:p>
    <w:p w:rsidR="0085709A" w:rsidRDefault="0085709A" w:rsidP="0085709A">
      <w:pPr>
        <w:pStyle w:val="TextoNormal"/>
      </w:pPr>
      <w:r>
        <w:lastRenderedPageBreak/>
        <w:t>En primer lugar, afirma el demandante que el Juzgado de Primera Instancia e Instrucción núm. 2 de Villarrobledo no ha dado respuesta alguna a la denuncia de incumplimiento de lo preceptuado en el art. 682.2.1 LEC (carencia de fijación del valor del bien que sirva de tipo para la subasta), que, como vicio procesal afectante a la procedencia del procedimiento especial de ejecución hipotecaria, fue denunciado desde el primer momento en que se tuvo ocasión (incidente de oposición). Ello vulneraría el derecho a la tutela judicial efectiva y el derecho de defensa, y sería directamente imputable al Juzgado por remitir a las partes a dilucidar la cuestión a un posterior procedimiento declarativo, al entender este último que el art. 698 LEC se refiere no sólo a las alegaciones de fondo que no son expresamente invocables en el incidente de oposición a la ejecución hipotecaria, sino también a las referidas a falta de requisitos procesales exigidos por la propia ley procesal.</w:t>
      </w:r>
    </w:p>
    <w:p w:rsidR="0085709A" w:rsidRDefault="0085709A" w:rsidP="0085709A">
      <w:pPr>
        <w:pStyle w:val="TextoNormal"/>
      </w:pPr>
    </w:p>
    <w:p w:rsidR="0085709A" w:rsidRDefault="0085709A" w:rsidP="0085709A">
      <w:pPr>
        <w:pStyle w:val="TextoNormal"/>
      </w:pPr>
      <w:r>
        <w:t xml:space="preserve">La demanda de amparo, interpretando </w:t>
      </w:r>
      <w:r w:rsidRPr="0085709A">
        <w:rPr>
          <w:i/>
        </w:rPr>
        <w:t>a contrario sensu</w:t>
      </w:r>
      <w:r>
        <w:t xml:space="preserve"> el ATC 113/2011, 19 julio, concluye que los defectos o vicios que afecten a la integración del título por cumplimiento de los requisitos de procedibilidad, sí pueden ser alegados y resueltos en el seno del mismo procedimiento. En refuerzo del argumento se aduce que el defecto podía haber sido apreciado de oficio por el Juzgado por ser materia de orden público; lo que determina la nulidad de lo actuado; y que la solución brindada es contraria al principio de economía procesal (STC 8/1991, de 17 de enero). En conclusión, la decisión de no dar respuesta la vulneración procesal denunciada no se ajusta a las normas procesales y es contraria a la tutela judicial efectiva consagrada en la Constitución, evitando obtener un pronunciamiento sobre la cuestión y causando real y efectiva indefensión, con proyección sobre el derecho de propiedad y la lesión del derecho fundamental a una vivienda digna (art. 47 CE).</w:t>
      </w:r>
    </w:p>
    <w:p w:rsidR="0085709A" w:rsidRDefault="0085709A" w:rsidP="0085709A">
      <w:pPr>
        <w:pStyle w:val="TextoNormal"/>
      </w:pPr>
    </w:p>
    <w:p w:rsidR="0085709A" w:rsidRDefault="0085709A" w:rsidP="0085709A">
      <w:pPr>
        <w:pStyle w:val="TextoNormal"/>
      </w:pPr>
      <w:r>
        <w:t>En segundo lugar, se afirma en la demanda que la providencia de 23 de mayo de 2012 que inadmite el incidente de nulidad de actuaciones, “incide en la vulneración denunciada” y resulta “manifiestamente errónea e incongruente”, pues no tiene en absoluto en cuenta el motivo de nulidad alegado. La providencia se escuda en que el incumplimiento de los requisitos formales para el despacho de ejecución fue denunciado previamente, pero olvida que el motivo del incidente de nulidad es precisamente la falta de resolución de esa alegación por el Auto de 17 abril de 2012. En tal sentido, el incidente no resuelve con base en los motivos justificados que se alegaron en tiempo y forma, por lo que habrá de ser decretada su nulidad y dictar resolución en el sentido que proceda.</w:t>
      </w:r>
    </w:p>
    <w:p w:rsidR="0085709A" w:rsidRDefault="0085709A" w:rsidP="0085709A">
      <w:pPr>
        <w:pStyle w:val="TextoNormal"/>
      </w:pPr>
    </w:p>
    <w:p w:rsidR="0085709A" w:rsidRDefault="0085709A" w:rsidP="0085709A">
      <w:pPr>
        <w:pStyle w:val="TextoNormal"/>
      </w:pPr>
      <w:r w:rsidRPr="0085709A">
        <w:rPr>
          <w:rStyle w:val="NumeroAFNegritaCaracter"/>
        </w:rPr>
        <w:t>4</w:t>
      </w:r>
      <w:r>
        <w:t>. Con posterioridad a la interposición de la demanda de amparo, el aquí recurrente y su esposa promovieron un segundo incidente de oposición a la ejecución en el mismo procedimiento hipotecario, al amparo de la previsión extraordinaria contenida en la disposición transitoria cuarta, párrafo segundo, de la Ley 1/2013, de 14 de mayo, “de medidas para reforzar la protección a los deudores hipotecarios, reestructuración de deuda y alquiler social”. La oposición se basó en la nueva causa prevista por el artículo 695.1.4 LEC: el “carácter abusivo de una cláusula contractual que constituya el fundamento de la ejecución o que hubiese determinado la cantidad exigible”; suplicando “el sobreseimiento de la ejecución o subsidiariamente su continuación con inaplicación de las cláusulas consideradas abusivas”, en referencia a la cláusula relativa a la fijación del valor del bien inmueble para que sirva de tipo de la subasta y de aquella otra que impone un tipo de interés mínimo (cláusula suelo), además de cuestionar la liquidación unilateral de deuda efectuada por la entidad acreedora.</w:t>
      </w:r>
    </w:p>
    <w:p w:rsidR="0085709A" w:rsidRDefault="0085709A" w:rsidP="0085709A">
      <w:pPr>
        <w:pStyle w:val="TextoNormal"/>
      </w:pPr>
    </w:p>
    <w:p w:rsidR="0085709A" w:rsidRDefault="0085709A" w:rsidP="0085709A">
      <w:pPr>
        <w:pStyle w:val="TextoNormal"/>
      </w:pPr>
      <w:r>
        <w:lastRenderedPageBreak/>
        <w:t>Por Auto del Juzgado de Primera Instancia e Instrucción núm. 2, de Villarrobledo, de 10 de septiembre de 2013, se estimó parcialmente la demanda incidental y se declaró abusiva la cláusula suelo contenida en la escritura constitutiva de la garantía hipotecaria, ordenándose continuar adelante con la ejecución despachada, esto es, desestimando la solicitud de nulidad de la cláusula que fija el valor de tasación en setenta y dos mil euros (72.000 €).</w:t>
      </w:r>
    </w:p>
    <w:p w:rsidR="0085709A" w:rsidRDefault="0085709A" w:rsidP="0085709A">
      <w:pPr>
        <w:pStyle w:val="TextoNormal"/>
      </w:pPr>
    </w:p>
    <w:p w:rsidR="0085709A" w:rsidRDefault="0085709A" w:rsidP="0085709A">
      <w:pPr>
        <w:pStyle w:val="TextoNormal"/>
      </w:pPr>
      <w:r w:rsidRPr="0085709A">
        <w:rPr>
          <w:rStyle w:val="NumeroAFNegritaCaracter"/>
        </w:rPr>
        <w:t>5</w:t>
      </w:r>
      <w:r>
        <w:t>. En virtud de providencia de 12 de septiembre de 2013, la Sala Segunda de este Tribunal acordó admitir a trámite la demanda de amparo y, en aplicación de lo dispuesto por el art. 51 de la Ley Orgánica del Tribunal Constitucional (LOTC), dirigir atenta comunicación al Juzgado de Primera Instancia e Instrucción núm. 2 de Villarrobledo a fin de que, en plazo que no excediera de diez días, remitiera certificación o fotocopia adverada de las actuaciones correspondientes a la ejecución hipotecaria núm. 4-2012, debiendo previamente emplazarse a quienes hubieran sido parte en el procedimiento, excepto la parte recurrente en amparo, para que en el plazo de diez días pudieran comparecer, si lo desearan, en el recurso de amparo.</w:t>
      </w:r>
    </w:p>
    <w:p w:rsidR="0085709A" w:rsidRDefault="0085709A" w:rsidP="0085709A">
      <w:pPr>
        <w:pStyle w:val="TextoNormal"/>
      </w:pPr>
    </w:p>
    <w:p w:rsidR="0085709A" w:rsidRDefault="0085709A" w:rsidP="0085709A">
      <w:pPr>
        <w:pStyle w:val="TextoNormal"/>
      </w:pPr>
      <w:r w:rsidRPr="0085709A">
        <w:rPr>
          <w:rStyle w:val="NumeroAFNegritaCaracter"/>
        </w:rPr>
        <w:t>6</w:t>
      </w:r>
      <w:r>
        <w:t>. Una vez recibidos los testimonios de las actuaciones, la Secretaría de Justicia de la Sala Segunda de este Tribunal, mediante diligencia de ordenación de 26 de noviembre de 2013, acordó tener por personado como parte en el procedimiento al Banco Popular Español, S.A., y dar vista de las actuaciones recibidas a las partes personadas por plazo común de veinte días, conforme al art. 52.1 LOTC, para que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Evacuando el referido trámite, la representación procesal del Banco Popular Español, S.A., presentó escrito de alegaciones el 3 de enero de 2014 (ratificadas por nuevo escrito registrado en fecha de 11 de marzo de 2014), en el que se solicitaba la inadmisión del recurso o bien su desestimación.</w:t>
      </w:r>
    </w:p>
    <w:p w:rsidR="0085709A" w:rsidRDefault="0085709A" w:rsidP="0085709A">
      <w:pPr>
        <w:pStyle w:val="TextoNormal"/>
      </w:pPr>
    </w:p>
    <w:p w:rsidR="0085709A" w:rsidRDefault="0085709A" w:rsidP="0085709A">
      <w:pPr>
        <w:pStyle w:val="TextoNormal"/>
      </w:pPr>
      <w:r>
        <w:t>Como alegación previa, se niega la afirmación contenida en la demanda de que se careciera de determinación del tipo de la subasta, dado que en la cláusula tercera apartado quinto de la escritura de 13 de febrero de 2004 se señaló como valor de tasación de la finca gravada el importe asegurado en concepto de principal, sosteniendo que en la escritura de novación modificativa de préstamo hipotecario no se acordó la alteración de dicho valor de tasación, por lo que debe considerarse válidamente fijado dicho valor, a efectos de permitir la apertura de este procedimiento especial.</w:t>
      </w:r>
    </w:p>
    <w:p w:rsidR="0085709A" w:rsidRDefault="0085709A" w:rsidP="0085709A">
      <w:pPr>
        <w:pStyle w:val="TextoNormal"/>
      </w:pPr>
    </w:p>
    <w:p w:rsidR="0085709A" w:rsidRDefault="0085709A" w:rsidP="0085709A">
      <w:pPr>
        <w:pStyle w:val="TextoNormal"/>
      </w:pPr>
      <w:r>
        <w:t xml:space="preserve">En su alegación primera, referida al fondo de la demanda, el escrito del Banco Popular Español, S.A., sostiene que no se ha vulnerado el art. 24 CE por el Auto desestimatorio de 17 de abril de 2012, pues el motivo aducido en el escrito de oposición a la ejecución hipotecaria no se encuadraba dentro de los tasados en el art. 695 LEC. El Juzgado procedió a la adecuada valoración de la oposición, tras exposición razonada de los fundamentos generados por cada parte y su corrección legal, desestimando las pretensiones de nulidad de contrario, y remitiendo a los ejecutados al declarativo posterior para sustanciar su pretensión. El demandante tan solo plantea la disconformidad con lo decidido en el Auto, pretendiendo usar el recurso de amparo como una mera segunda instancia. Por último, se afirma que tras la reforma operada en el art. 559 LEC por el Real Decreto-ley, 5/2012, de 5 marzo, de mediación en asuntos civiles y mercantiles (ratificado por la Ley 5/2012, de 6 de julio), se </w:t>
      </w:r>
      <w:r>
        <w:lastRenderedPageBreak/>
        <w:t>suprimió como causa de oposición por motivos procesales el incumplimiento de los requisitos legales exigidos para despachar la ejecución, afirmación de la que deduce que no se podría aplicar subsidiariamente en el procedimiento de ejecución hipotecaria, como motivo de oposición, el régimen general de oposición contra el despacho de la ejecución en el procedimiento ordinario singular de ejecución forzosa.</w:t>
      </w:r>
    </w:p>
    <w:p w:rsidR="0085709A" w:rsidRDefault="0085709A" w:rsidP="0085709A">
      <w:pPr>
        <w:pStyle w:val="TextoNormal"/>
      </w:pPr>
    </w:p>
    <w:p w:rsidR="0085709A" w:rsidRDefault="0085709A" w:rsidP="0085709A">
      <w:pPr>
        <w:pStyle w:val="TextoNormal"/>
      </w:pPr>
      <w:r>
        <w:t>En su alegación segunda, se aduce la concurrencia de una causa de inadmisión del recurso de amparo por haber transcurrido el plazo legal establecido en el art. 44.2 LOTC. Se sustenta esta alegación en un alargamiento del procedimiento por recurso manifiestamente improcedente, toda vez que, siguiendo la argumentación de la providencia de 23 de mayo de 2012, los motivos de oposición invocados habían sido ya tratados en el escrito de oposición a la ejecución hipotecaria. De este modo, habiéndose notificado a las partes el Auto desestimatorio de la oposición el 18 de abril de 2012, y entendiéndose improcedente el incidente de nulidad en la fecha de interposición de la demanda de amparo (9 de julio de 2012) habría caducado sobradamente el plazo de treinta días contemplado en el art. 44.2 LOTC.</w:t>
      </w:r>
    </w:p>
    <w:p w:rsidR="0085709A" w:rsidRDefault="0085709A" w:rsidP="0085709A">
      <w:pPr>
        <w:pStyle w:val="TextoNormal"/>
      </w:pPr>
    </w:p>
    <w:p w:rsidR="0085709A" w:rsidRDefault="0085709A" w:rsidP="0085709A">
      <w:pPr>
        <w:pStyle w:val="TextoNormal"/>
      </w:pPr>
      <w:r>
        <w:t>En relación con la providencia que inadmitió el incidente de nulidad de actuaciones, en la alegación tercera de su escrito la entidad bancaria defiende que el Juzgado razonó motivadamente la improcedencia del incidente por no cumplir con los requisitos legales que determinan su procedencia.</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de 3 enero 2014, la representación procesal del demandante de amparo dio por reproducidos íntegramente los hechos, fundamentos y alegaciones del escrito de demanda y reiteró la petición de estimación del amparo.</w:t>
      </w:r>
    </w:p>
    <w:p w:rsidR="0085709A" w:rsidRDefault="0085709A" w:rsidP="0085709A">
      <w:pPr>
        <w:pStyle w:val="TextoNormal"/>
      </w:pPr>
    </w:p>
    <w:p w:rsidR="0085709A" w:rsidRDefault="0085709A" w:rsidP="0085709A">
      <w:pPr>
        <w:pStyle w:val="TextoNormal"/>
      </w:pPr>
      <w:r w:rsidRPr="0085709A">
        <w:rPr>
          <w:rStyle w:val="NumeroAFNegritaCaracter"/>
        </w:rPr>
        <w:t>9</w:t>
      </w:r>
      <w:r>
        <w:t>. El Ministerio Fiscal, en escrito registrado el 6 de marzo de 2014, interesó el otorgamiento del amparo solicitado.</w:t>
      </w:r>
    </w:p>
    <w:p w:rsidR="0085709A" w:rsidRDefault="0085709A" w:rsidP="0085709A">
      <w:pPr>
        <w:pStyle w:val="TextoNormal"/>
      </w:pPr>
    </w:p>
    <w:p w:rsidR="0085709A" w:rsidRDefault="0085709A" w:rsidP="0085709A">
      <w:pPr>
        <w:pStyle w:val="TextoNormal"/>
      </w:pPr>
      <w:r>
        <w:t>Como cuestión previa, se rechaza la concurrencia de una eventual falta de agotamiento de la vía judicial como consecuencia de que, a raíz de la publicación de la Ley 1/2013, el demandante de amparo y su esposa habían promovido un nuevo incidente de oposición a la ejecución hipotecaria por entender que el contrato de préstamo contenía cláusulas abusivas, lo cual condujo a una estimación parcial de la oposición. Según las alegaciones del Fiscal, la providencia que inadmitió la solicitud de nulidad de actuaciones agotó la vía judicial en lo referente a la temática planteada en el proceso de amparo, que era la no consideración en el Auto de desestimación de la oposición a la ejecución de la fijación del precio como tipo para la subasta.</w:t>
      </w:r>
    </w:p>
    <w:p w:rsidR="0085709A" w:rsidRDefault="0085709A" w:rsidP="0085709A">
      <w:pPr>
        <w:pStyle w:val="TextoNormal"/>
      </w:pPr>
    </w:p>
    <w:p w:rsidR="0085709A" w:rsidRDefault="0085709A" w:rsidP="0085709A">
      <w:pPr>
        <w:pStyle w:val="TextoNormal"/>
      </w:pPr>
      <w:r>
        <w:t>En cuanto al fondo del asunto, entiende el Fiscal que es correcto el modo de proceder del recurrente desde un punto de vista procesal, toda vez que la argumentación se centra en la lesión del derecho a la tutela judicial efectiva por el Auto, que no aprecia como causa obstativa a la oposición el cumplimiento del requisito procesal de la fijación en la escritura del precio en que los interesados tasan la finca; y por la providencia de inadmisión del incidente de nulidad de actuaciones, que entendió que la cuestión estaba ya resuelta por aquel Auto, por lo que no se daban los presupuestos para plantear el incidente.</w:t>
      </w:r>
    </w:p>
    <w:p w:rsidR="0085709A" w:rsidRDefault="0085709A" w:rsidP="0085709A">
      <w:pPr>
        <w:pStyle w:val="TextoNormal"/>
      </w:pPr>
    </w:p>
    <w:p w:rsidR="0085709A" w:rsidRDefault="0085709A" w:rsidP="0085709A">
      <w:pPr>
        <w:pStyle w:val="TextoNormal"/>
      </w:pPr>
      <w:r>
        <w:t xml:space="preserve">A partir de ahí, se destaca que según la regulación legal del procedimiento especial de ejecución hipotecaria (arts. 681 y ss. LEC), su procedencia se vincula al cumplimiento, entre </w:t>
      </w:r>
      <w:r>
        <w:lastRenderedPageBreak/>
        <w:t>otros, del requisito de determinar el precio en que los interesados tasan la finca o bien hipotecado para que sirva de tipo para la subasta (art. 682.2.1 LEC). Seguidamente se afirma que en la primera escritura pública de hipoteca figura como cuantía del préstamo 72.000 €, pero no como precio tipo de la subasta, según el Fiscal; y que en la segunda escritura pública en ningún caso se precisa la fijación del precio acordado para la subasta del bien, para concluir que el estudio de ambas escrituras no revela dato alguno en relación con el precio del bien, a efectos de la subasta futura. Se alude también a la existencia de un peritaje alternativo de carácter privado que tasa el bien hipotecado en más de 270.000 €, que al no fijarse por consenso no obliga ni al banco ni el juez como precio base para la subasta. De todo ello deduce el escrito de alegaciones que no existe ninguna cuantía que fuera acordada con consentimiento de las partes y tampoco se deriva de las escrituras de constitución de la hipoteca.</w:t>
      </w:r>
    </w:p>
    <w:p w:rsidR="0085709A" w:rsidRDefault="0085709A" w:rsidP="0085709A">
      <w:pPr>
        <w:pStyle w:val="TextoNormal"/>
      </w:pPr>
    </w:p>
    <w:p w:rsidR="0085709A" w:rsidRDefault="0085709A" w:rsidP="0085709A">
      <w:pPr>
        <w:pStyle w:val="TextoNormal"/>
      </w:pPr>
      <w:r>
        <w:t>Se entiende lógico que el deudor, al formular su oposición a la ejecución, exigiera que el requisito fuera cumplido, apoyado en el art. 682 LEC, toda vez que técnicamente no podría ser considerado como motivo de oposición de los previstos en el art. 695 LEC pero sí como requisito procesal y presupuesto de la acción ejecución y control de oficio por el juez. La condición de presupuesto procesal es obvia, toda vez que el tan citado art. 682 condiciona nada menos que la aplicación de las ramas especiales del procedimiento de ejecución al cumplimiento del requisito de fijación del precio. De todo ello concluye que la fijación del precio es condicionante del procedimiento empleado, atendido que estamos en un proceso de ejecución con garantía del inmueble, lo que obliga, si el proceso desemboca en una ejecución forzosa, a conocer el precio de enajenación para una eventual subasta.</w:t>
      </w:r>
    </w:p>
    <w:p w:rsidR="0085709A" w:rsidRDefault="0085709A" w:rsidP="0085709A">
      <w:pPr>
        <w:pStyle w:val="TextoNormal"/>
      </w:pPr>
    </w:p>
    <w:p w:rsidR="0085709A" w:rsidRDefault="0085709A" w:rsidP="0085709A">
      <w:pPr>
        <w:pStyle w:val="TextoNormal"/>
      </w:pPr>
      <w:r>
        <w:t>Consecuentemente, el juez no debió degradar a simple motivo de oposición la alegación del recurrente, y atender la petición del deudor exhortando a las partes o a un perito neutral para la tasación del inmueble antes de dictar Auto de fondo sobre la oposición a la ejecución. Tal negativa es una circunstancia impeditiva de la acción, toda vez que, si se aprecia, ello debe llevar a la estimación de la oposición a la ejecución, para que ésta se lleve a cabo con la solidez de una tasación acomodada y ajustada a la realidad. Por el contrario, la no toma en consideración del óbice procesal conduce a una tasación totalmente desajustada del valor real de un enriquecimiento sin causa del acreedor al adjudicarse el bien por una cuarta parte de su valor de mercado.</w:t>
      </w:r>
    </w:p>
    <w:p w:rsidR="0085709A" w:rsidRDefault="0085709A" w:rsidP="0085709A">
      <w:pPr>
        <w:pStyle w:val="TextoNormal"/>
      </w:pPr>
    </w:p>
    <w:p w:rsidR="0085709A" w:rsidRDefault="0085709A" w:rsidP="0085709A">
      <w:pPr>
        <w:pStyle w:val="TextoNormal"/>
      </w:pPr>
      <w:r>
        <w:t>En cuanto a la providencia por la que se inadmite la solicitud de nulidad de actuaciones, el Fiscal entiende que se ha lesionado el derecho fundamental a la tutela judicial efectiva, al no remediar la situación creada tras el Auto. No es de recibo, termina el escrito de alegaciones, argüir que la temática ha sido ya resuelta por el Auto desestimando la oposición, ya que lo que se hizo en el Auto no puede considerarse resolución de lo planteado cuando “se ha expulsado el examen de un presupuesto procesal del procedimiento hipotecario y además se plantea por la parte la óptica constitucional con invocación del derecho tutela judicial efectiva”, que debió llevar al Juez “a la reconsideración de la temática a la vista de la indefensión alegada”.</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26 de febrero de 2015, se señaló para deliberación y votación de la presente Sentencia el día 2 de marzo de 2015.</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demanda de amparo alega dos supuestas vulneraciones del derecho fundamental a la tutela judicial efectiva: la primera, producida por el Auto de 17 de abril de 2012, en el que el Juzgado de Primera Instancia e Instrucción núm. 2 de Villarrobledo (Albacete) decidió no entrar a resolver la excepción procesal planteada como fundamento del incidente de oposición a la ejecución hipotecaria, remitiendo a los ejecutados, con cita del art. 698 de la Ley de enjuiciamiento civil (LEC), a la interposición en su caso de un juicio declarativo posterior. Y la segunda vulneración, atribuida a la providencia del 23 mayo de 2012 que inadmitió a trámite el incidente de nulidad de actuaciones en el que se denunciaba la infracción del derecho a la tutela judicial efectiva (art. 24.1 CE), ante la falta de resolución por dicho Auto, de la excepción procesal planteada.</w:t>
      </w:r>
    </w:p>
    <w:p w:rsidR="0085709A" w:rsidRDefault="0085709A" w:rsidP="0085709A">
      <w:pPr>
        <w:pStyle w:val="TextoNormal"/>
      </w:pPr>
    </w:p>
    <w:p w:rsidR="0085709A" w:rsidRDefault="0085709A" w:rsidP="0085709A">
      <w:pPr>
        <w:pStyle w:val="TextoNormal"/>
      </w:pPr>
      <w:r>
        <w:t>Las quejas de amparo se analizan en el orden que propone la demanda, abordándose en primer lugar la dirigida contra el Auto de desestimación del incidente de oposición a la ejecución hipotecaria, lo que es conforme con el criterio de este Tribunal de dar la prioridad en el examen de los motivos de amparo, en consideración al alcance de la retroacción de actuaciones que pudiera producir su eventual estimación (SSTC 191/2005, de 18 de julio, FJ 2; 268/2005, de 24 de octubre, FJ 4, y 21/2006, de 30 de enero, FJ 2).</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en el fondo del recurso es preciso dar respuesta a la alegación que plantea la representación procesal del Banco Popular Español, S.A., sobre la posible concurrencia de un motivo de inadmisibilidad de la demanda de amparo. De acuerdo con su escrito de alegaciones, la inadmisión a trámite del incidente de nulidad de actuaciones habría implicado la extemporaneidad de la demanda por alargamiento indebido de la vía jurisdiccional, al producirse la caducidad del plazo de treinta días para su interposición que establece el art. 44.2 de la Ley Orgánica del Tribunal Constitucional (LOTC), debiendo contarse el mismo desde la fecha de la notificación del Auto de desestimación del incidente de oposición a la ejecución hipotecaria.</w:t>
      </w:r>
    </w:p>
    <w:p w:rsidR="0085709A" w:rsidRDefault="0085709A" w:rsidP="0085709A">
      <w:pPr>
        <w:pStyle w:val="TextoNormal"/>
      </w:pPr>
    </w:p>
    <w:p w:rsidR="0085709A" w:rsidRDefault="0085709A" w:rsidP="0085709A">
      <w:pPr>
        <w:pStyle w:val="TextoNormal"/>
      </w:pPr>
      <w:r>
        <w:t xml:space="preserve">La tesis anterior sólo es sostenible, sin embargo, desde la aceptación de la premisa de la que parte la entidad bancaria, esto es, que el incidente de nulidad de actuaciones era manifiestamente improcedente, lo que determinaría que el </w:t>
      </w:r>
      <w:r w:rsidRPr="0085709A">
        <w:rPr>
          <w:i/>
        </w:rPr>
        <w:t>dies a quo</w:t>
      </w:r>
      <w:r>
        <w:t xml:space="preserve"> del plazo de interposición se habría de computar no desde la notificación de la providencia de 23 de mayo de 2012, sino desde la del Auto de 17 de abril de 2012.</w:t>
      </w:r>
    </w:p>
    <w:p w:rsidR="0085709A" w:rsidRDefault="0085709A" w:rsidP="0085709A">
      <w:pPr>
        <w:pStyle w:val="TextoNormal"/>
      </w:pPr>
    </w:p>
    <w:p w:rsidR="0085709A" w:rsidRDefault="0085709A" w:rsidP="0085709A">
      <w:pPr>
        <w:pStyle w:val="TextoNormal"/>
      </w:pPr>
      <w:r>
        <w:t>Es precisamente la negación de esa premisa, lo que nos debe conducir a rechazar dicha tesis: el incidente de nulidad de actuaciones no puede tenerse por manifiestamente improcedente, con la relevancia pretendida por la representación procesal del Banco Popular Español, S.A., dado que las nulidades procesales que se imputan al Auto de 17 de abril de 2012, contra el que no cabía recurso alguno conforme con la legislación procesal aplicable (art. 695.4 LEC) en la fecha en que se dictó —antes de la reforma de dicho precepto por la Ley 1/2013, de 14 de mayo—, no pudieron ser combatidas en el seno del propio incidente de oposición a la ejecución. Siendo así, es correcto el cómputo del plazo de treinta días para la interposición del recurso de amparo desde la notificación de la providencia que puso fin al incidente de nulidad de actuaciones, al haberse cumplido el requisito establecido por el art. 44.2 LOTC, por lo que la alegación de inadmisión debe ser rechazada.</w:t>
      </w:r>
    </w:p>
    <w:p w:rsidR="0085709A" w:rsidRDefault="0085709A" w:rsidP="0085709A">
      <w:pPr>
        <w:pStyle w:val="TextoNormal"/>
      </w:pPr>
    </w:p>
    <w:p w:rsidR="0085709A" w:rsidRDefault="0085709A" w:rsidP="0085709A">
      <w:pPr>
        <w:pStyle w:val="TextoNormal"/>
      </w:pPr>
      <w:r w:rsidRPr="0085709A">
        <w:rPr>
          <w:rStyle w:val="NumeroAFNegritaCaracter"/>
        </w:rPr>
        <w:t>3</w:t>
      </w:r>
      <w:r>
        <w:t>. En cuanto al fondo, el primero de los motivos de amparo se basa, como se ha expuesto, en la supuesta vulneración del derecho a la tutela judicial efectiva (art. 24.1 CE) por la negativa del Juzgado ejecutor a dar respuesta a la excepción procesal planteada por el demandante de amparo y su esposa en el incidente de oposición a la ejecución, a saber, la inadecuación del procedimiento especial de ejecución hipotecaria como consecuencia de que el título ejecutivo no habría cumplido con uno de los presupuestos establecidos por el art. 682.2.1 LEC.</w:t>
      </w:r>
    </w:p>
    <w:p w:rsidR="0085709A" w:rsidRDefault="0085709A" w:rsidP="0085709A">
      <w:pPr>
        <w:pStyle w:val="TextoNormal"/>
      </w:pPr>
    </w:p>
    <w:p w:rsidR="0085709A" w:rsidRDefault="0085709A" w:rsidP="0085709A">
      <w:pPr>
        <w:pStyle w:val="TextoNormal"/>
      </w:pPr>
      <w:r>
        <w:t>Sostiene el actor que en el título ejecutivo (esto es, en la escritura de constitución de la hipoteca) no se determinó el precio en el que los interesados tasaban el bien hipotecado para que sirviera de tipo en la subasta. El Auto recurrido en amparo, en lugar de entrar a resolver la excepción procesal, remitió a los ejecutados al procedimiento declarativo correspondiente para obtener respuesta a esa alegación, decisión basada en que el art. 695 LEC no incluye expresamente ésta ni otras excepciones procesales entre las causas tasadas que pueden servir de fundamento al incidente de oposición a la ejecución hipotecaria. De acuerdo con el escrito rector del presente proceso de amparo, esa interpretación de la norma procesal sería contraria a la tutela judicial efectiva y también causante de real y efectiva indefensión, “en función de la precariedad de medios que tiene el deudor para su defensa” en este procedimiento, así como a la proyección que conlleva sobre el derecho a la propiedad y la lesión del derecho fundamental a una vivienda digna (art. 47 CE). Tratándose, además, de una excepción que afecta a un requisito de procedibilidad que, como tal puede ser apreciable de oficio por el Juzgado en cualquier momento del procedimiento, dando sin embargo éste una solución contraria al principio de economía procesal.</w:t>
      </w:r>
    </w:p>
    <w:p w:rsidR="0085709A" w:rsidRDefault="0085709A" w:rsidP="0085709A">
      <w:pPr>
        <w:pStyle w:val="TextoNormal"/>
      </w:pPr>
    </w:p>
    <w:p w:rsidR="0085709A" w:rsidRDefault="0085709A" w:rsidP="0085709A">
      <w:pPr>
        <w:pStyle w:val="TextoNormal"/>
      </w:pPr>
      <w:r>
        <w:t>La representación procesal de la entidad ejecutante afirma, por el contrario, que el Auto recurrido no vulneró el art. 24 CE, porque hubo respuesta expresa a la alegación que sirvió de base al incidente, tras adecuada valoración y exposición razonada de los motivos, considerando razonable la decisión de remitir la resolución del asunto al declarativo posterior, por ser conforme con la regulación procesal civil.</w:t>
      </w:r>
    </w:p>
    <w:p w:rsidR="0085709A" w:rsidRDefault="0085709A" w:rsidP="0085709A">
      <w:pPr>
        <w:pStyle w:val="TextoNormal"/>
      </w:pPr>
    </w:p>
    <w:p w:rsidR="0085709A" w:rsidRDefault="0085709A" w:rsidP="0085709A">
      <w:pPr>
        <w:pStyle w:val="TextoNormal"/>
      </w:pPr>
      <w:r>
        <w:t>Por su parte, el Fiscal solicita el otorgamiento del amparo, pues entiende que el órgano judicial debió entrar en el fondo de la alegación procesal planteada en el incidente, en atención a la importancia del requisito en cuestión, del que depende la procedencia misma del procedimiento especial de ejecución hipotecaria.</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Debe señalarse, en primer término, que esta queja de amparo no puede ser ubicada en el terreno de la incongruencia omisiva, en cuanto lesión del derecho a la tutela judicial efectiva (art. 24.1 CE). La demanda entiende contrario al derecho fundamental que el órgano judicial afirme que hay “imposibilidad de pronunciarse” sobre la excepción interpuesta, pero eso no quiere decir que el recurrente no haya obtenido una respuesta del órgano judicial a la petición de nulidad del procedimiento por incumplimiento del requisito del art. 682.1.1 LEC. Con arreglo a reiterada jurisprudencia de este Tribunal, la incongruencia omisiva se produce cuando “una pretensión relevante y debidamente planteada ante un órgano judicial no encuentra respuesta alguna, siquiera tácita, por parte de éste” (SSTC 155/2012, de 16 de julio, FJ 2, y 269/2006, de 11 de septiembre, FJ 4; por todas). En el caso, no hay falta de respuesta judicial, con vulneración de la prohibición del </w:t>
      </w:r>
      <w:r w:rsidRPr="0085709A">
        <w:rPr>
          <w:i/>
        </w:rPr>
        <w:t>non liquet</w:t>
      </w:r>
      <w:r>
        <w:t xml:space="preserve">, sino una decisión consistente en no entrar en la cuestión controvertida sobre la base de la concurrencia de un óbice </w:t>
      </w:r>
      <w:r>
        <w:lastRenderedPageBreak/>
        <w:t>procesal que lo imposibilita, decisión que satisface las exigencias constitucionales de exhaustividad en las resoluciones judiciales.</w:t>
      </w:r>
    </w:p>
    <w:p w:rsidR="0085709A" w:rsidRDefault="0085709A" w:rsidP="0085709A">
      <w:pPr>
        <w:pStyle w:val="TextoNormal"/>
      </w:pPr>
    </w:p>
    <w:p w:rsidR="0085709A" w:rsidRDefault="0085709A" w:rsidP="0085709A">
      <w:pPr>
        <w:pStyle w:val="TextoNormal"/>
      </w:pPr>
      <w:r>
        <w:t>La queja de amparo se refiere, más bien, al derecho a obtener una resolución sobre el fondo de la cuestión objeto de debate (derecho de acceso a la jurisdicción), integrado también en el art. 24.1 CE. En relación con esta concreta vertiente del derecho fundamental, la doctrina de este Tribunal Constitucional ha mantenido de forma constante que el derecho a la tutela judicial efectiva, “que incluye el derecho a obtener una resolución judicial de fondo cuando no existen obstáculos legales para ello” (STC 107/1993, de 22 de marzo, FJ 2), puede satisfacerse igualmente con “una decisión de inadmisión, siempre y cuando esta respuesta sea consecuencia de la aplicación razonada y proporcionada de una causa legal en la que se prevea tal consecuencia” (STC 158/2000, de 12 de junio, FJ 5. En igual sentido, SSTC 115/1999, de 14 de junio, FJ 2; 157/1999, de 14 de septiembre, FJ 2; 33/2002, de 11 de febrero de 2002, FJ 5, y 111/2009, de 11 de mayo, FJ 2). Al ser la tutela judicial efectiva “un derecho prestacional de configuración legal, su ejercicio y dispensación están supeditados a la concurrencia de los presupuestos y requisitos que haya establecido el legislador para cada sector del ordenamiento procesal … De ahí que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[SSTC 231/2012, de 19 de diciembre, FJ 2 a), y 167/2014, de 22 de octubre, FJ 4].</w:t>
      </w:r>
    </w:p>
    <w:p w:rsidR="0085709A" w:rsidRDefault="0085709A" w:rsidP="0085709A">
      <w:pPr>
        <w:pStyle w:val="TextoNormal"/>
      </w:pPr>
    </w:p>
    <w:p w:rsidR="0085709A" w:rsidRDefault="0085709A" w:rsidP="0085709A">
      <w:pPr>
        <w:pStyle w:val="TextoNormal"/>
      </w:pPr>
      <w:r w:rsidRPr="0085709A">
        <w:rPr>
          <w:rStyle w:val="NumeroAFNegritaCaracter"/>
        </w:rPr>
        <w:t>5</w:t>
      </w:r>
      <w:r>
        <w:t>. Existiendo, pues, una respuesta judicial motivada a la excepción procesal planteada en el incidente de oposición a la ejecución hipotecaria, la queja de amparo queda reducida a determinar si el Auto de 17 de abril de 2012, al negarse a entrar en el fondo de la cuestión planteada con arreglo a las razones que ofrece, supone una respuesta razonada y proporcionada que se funda en una causa legal o si, por el contrario, el órgano judicial ha sido excesivamente riguroso, desde el punto de vista del derecho fundamental invocado.</w:t>
      </w:r>
    </w:p>
    <w:p w:rsidR="0085709A" w:rsidRDefault="0085709A" w:rsidP="0085709A">
      <w:pPr>
        <w:pStyle w:val="TextoNormal"/>
      </w:pPr>
    </w:p>
    <w:p w:rsidR="0085709A" w:rsidRDefault="0085709A" w:rsidP="0085709A">
      <w:pPr>
        <w:pStyle w:val="TextoNormal"/>
      </w:pPr>
      <w:r>
        <w:t xml:space="preserve">No está de más recordar que la decisión sobre la admisión o no de una demanda (como lo es, desde luego, la demanda ejecutiva basada en un título hipotecario, y como lo es también la demanda incidental de oposición), así como la apreciación de la concurrencia o no de los presupuestos y requisitos materiales y procesales constituyen cuestiones de estricta legalidad ordinaria, cuya resolución compete a los órganos judiciales en el ejercicio de la potestad que privativamente les confiere el art. 117.3 CE, siendo facultad propia de la jurisdicción ordinaria determinar cuál sea la norma aplicable al supuesto controvertido (STC 122/1999, de 28 de junio, FJ 3). Ahora bien, el Tribunal Constitucional sí puede someter a control las decisiones sobre la concurrencia o no de presupuestos y requisitos procesales en “aquellos supuestos en los cuales la interpretación efectuada por el órgano judicial de la normativa declarada aplicable sea arbitraria, manifiestamente irrazonable o fruto de un error patente y cuando del acceso a la jurisdicción se trate, en los casos en los que dicha normativa se interprete de forma rigorista, excesivamente formalista o desproporcionada en relación con los fines que preserva y la relevancia de los intereses que se sacrifican” (STC 33/2002, de 11 de febrero, FJ 5. En el mismo sentido, SSTC 63/1999, de 26 de abril, FJ 2; 92/2008, de 21 de julio, FJ 2, y, más recientemente, 129/2014, de 21 de julio de 2014, FJ 4). Asimismo, hemos sostenido que “el derecho a la tutela judicial efectiva excluye que la normativa procesal se interprete de forma rigorista, excesivamente formalista o desproporcionada en relación con los fines que preserva y los intereses que se sacrifican cuando se trata del </w:t>
      </w:r>
      <w:r>
        <w:lastRenderedPageBreak/>
        <w:t>acceso a la jurisdicción, y que tal derecho fundamental no exige necesariamente seleccionar la interpretación más favorable a la admisión de entre todas las que resulten posibles” (STC 44/2013, de 25 de febrero, FJ 4, y las que en ella se citan). “En definitiva, y conforme a lo anteriormente expuesto, en nuestro enjuiciamiento habremos de partir de que resultan constitucionalmente legítimas desde la perspectiva del derecho fundamental de acceder a la jurisdicción, aquellas decisiones de inadmisión o de finalización anticipada del proceso, sin que se resuelva sobre el fondo de las pretensiones deducidas en él, cuando encuentren amparo en una norma legal interpretada y aplicada razonablemente y sin rigorismo, formalismo excesivo o desproporción.” (STC 44/2013, de 25 de febrero, FJ 4).</w:t>
      </w:r>
    </w:p>
    <w:p w:rsidR="0085709A" w:rsidRDefault="0085709A" w:rsidP="0085709A">
      <w:pPr>
        <w:pStyle w:val="TextoNormal"/>
      </w:pPr>
    </w:p>
    <w:p w:rsidR="0085709A" w:rsidRDefault="0085709A" w:rsidP="0085709A">
      <w:pPr>
        <w:pStyle w:val="TextoNormal"/>
      </w:pPr>
      <w:r w:rsidRPr="0085709A">
        <w:rPr>
          <w:rStyle w:val="NumeroAFNegritaCaracter"/>
        </w:rPr>
        <w:t>6</w:t>
      </w:r>
      <w:r>
        <w:t>. A la luz de la doctrina anterior, la decisión del órgano judicial de no entrar a resolver la causa de nulidad del procedimiento en que se basó la oposición a la ejecución hipotecaria, remitiendo al ahora demandante y a su esposa —como coejecutados— al procedimiento declarativo correspondiente para resolver sobre la procedencia misma del procedimiento especial que se seguía contra ellos, no cumple con las exigencias del derecho a la tutela judicial efectiva.</w:t>
      </w:r>
    </w:p>
    <w:p w:rsidR="0085709A" w:rsidRDefault="0085709A" w:rsidP="0085709A">
      <w:pPr>
        <w:pStyle w:val="TextoNormal"/>
      </w:pPr>
    </w:p>
    <w:p w:rsidR="0085709A" w:rsidRDefault="0085709A" w:rsidP="0085709A">
      <w:pPr>
        <w:pStyle w:val="TextoNormal"/>
      </w:pPr>
      <w:r>
        <w:t>Este Tribunal Constitucional se ha pronunciado a favor de entender “excesivamente formalista y rigurosa”, desde el punto de vista del derecho de acceso a la jurisdicción, la decisión judicial que, por ejemplo, impidió al tercer acreedor hipotecario intervenir en el avalúo y la subasta del bien hipotecado (STC 6/2008, de 21 de enero, FJ 3); igualmente se otorgó el amparo por considerarse rigorista la interpretación dada a la norma procesal que condujo a tener por transcurrido el plazo de oposición a la ejecución ordinaria, como consecuencia de dar por válida, por aplicación de la norma procesal civil, la comunicación del despacho de la ejecución a un procurador que ya había cesado en su representación (STC 110/2008, de 22 de septiembre, FJ 3).</w:t>
      </w:r>
    </w:p>
    <w:p w:rsidR="0085709A" w:rsidRDefault="0085709A" w:rsidP="0085709A">
      <w:pPr>
        <w:pStyle w:val="TextoNormal"/>
      </w:pPr>
    </w:p>
    <w:p w:rsidR="0085709A" w:rsidRDefault="0085709A" w:rsidP="0085709A">
      <w:pPr>
        <w:pStyle w:val="TextoNormal"/>
      </w:pPr>
      <w:r>
        <w:t xml:space="preserve">Ese mismo exceso de formalismo concurre </w:t>
      </w:r>
      <w:r w:rsidRPr="0085709A">
        <w:rPr>
          <w:i/>
        </w:rPr>
        <w:t>mutatis mutandis</w:t>
      </w:r>
      <w:r>
        <w:t xml:space="preserve"> en el presente caso, en el que el Auto de 17 de abril de 2012 decidió no entrar a resolver sobre un óbice procesal que determinaría la procedencia misma del cauce especial de ejecución seguido. Es cierto que la STC 41/1986, de 2 de abril, que resolvió un recurso de amparo en el que el demandante se quejaba del incumplimiento de las normas que regulan el procedimiento a seguir, al haber admitido el órgano judicial una causa de oposición suspensiva no prevista en el procedimiento de ejecución que entonces regulaba el art. 131 de la Ley hipotecaria, afirmó (FJ 4) que la decisión sobre si las causas establecidas en el art. 132 de la Ley hipotecaria, antecedente del actual art. 695 LEC, “son de interpretación estricta y de carácter exhaustivo, o si, por el contrario, pueden los Tribunales paralizar o sobreseer un procedimiento hipotecario por razones diversas de las comprendidas en dicho artículo, o acogiéndose a las establecidas en él, si se lleva a cabo una interpretación extensiva de las mismas”, cualquiera que sea la respuesta que se estime más correcta desde el punto de vista del Derecho hipotecario, no viola “el derecho a la tutela judicial efectiva del acreedor hipotecario cuando éste dispone de otros procedimientos para hacer valer, en definitiva, su derecho”. En el presente caso, sin embargo, la decisión del órgano judicial de no resolver la cuestión procesal planteada por los ejecutados se refiere a un óbice apreciable de oficio por el juez, que afecta a la procedencia misma del procedimiento de ejecución hipotecaria, lo que debería justificar en el presente caso que el órgano judicial hubiera dado respuesta a la alegación de la parte de improcedencia del procedimiento especial.</w:t>
      </w:r>
    </w:p>
    <w:p w:rsidR="0085709A" w:rsidRDefault="0085709A" w:rsidP="0085709A">
      <w:pPr>
        <w:pStyle w:val="TextoNormal"/>
      </w:pPr>
    </w:p>
    <w:p w:rsidR="0085709A" w:rsidRDefault="0085709A" w:rsidP="0085709A">
      <w:pPr>
        <w:pStyle w:val="TextoNormal"/>
      </w:pPr>
      <w:r>
        <w:lastRenderedPageBreak/>
        <w:t>En estas condiciones, la negativa judicial a examinar una cuestión que debería constituir una premisa lógica en el proceso racional de formación de la decisión, remitiendo a la parte demandante a un proceso posterior, resulta a todas luces desproporcionada, por excesivamente formalista, e incompatible con el derecho fundamental invocado. Lo que planteó el demandante de amparo en el incidente de oposición a la ejecución hipotecaria, fue el incumplimiento de un requisito procesal derivado del propio título de ejecución y apreciable de oficio por el órgano judicial, argumento suficiente para que hubiera sido resuelto en el seno del incidente de oposición, a pesar de no estar previsto así expresamente por la norma (como, por cierto, también ha sido mantenido recientemente por la Sala de lo Civil del Tribunal Supremo en la reciente Sentencia núm. 462/2014, de 24 de noviembre, fundamento de derecho sexto, relativa a una ejecución de título no judicial). La decisión de no entrar en la cuestión, remitiendo al declarativo posterior para su resolución, no es, por excesivamente formalista, conforme con el derecho fundamental a la tutela judicial efectiva, tratándose además de una alegación de fácil comprobación por parte del órgano judicial, que debió favorecer así una respuesta más rápida y compatible con la economía procesal que la sostenida por la resolución impugnada.</w:t>
      </w:r>
    </w:p>
    <w:p w:rsidR="0085709A" w:rsidRDefault="0085709A" w:rsidP="0085709A">
      <w:pPr>
        <w:pStyle w:val="TextoNormal"/>
      </w:pPr>
    </w:p>
    <w:p w:rsidR="0085709A" w:rsidRDefault="0085709A" w:rsidP="0085709A">
      <w:pPr>
        <w:pStyle w:val="TextoNormal"/>
      </w:pPr>
      <w:r w:rsidRPr="0085709A">
        <w:rPr>
          <w:rStyle w:val="NumeroAFNegritaCaracter"/>
        </w:rPr>
        <w:t>7</w:t>
      </w:r>
      <w:r>
        <w:t>. La estimación del primero de los motivos de amparo hace innecesario pronunciarse sobre la queja que se dirige contra la providencia de 23 de mayo de 2012 que decidió no admitir a trámite el incidente de nulidad de actuaciones, y conduce a la declaración de nulidad, en primer lugar, del Auto de 17 de abril de 2012, que desestimó el incidente de oposición a la ejecución hipotecaria núm. 4-2012 seguida ante el Juzgado de Primera Instancia e Instrucción núm. 2 de Villarrobledo (Albacete), el cual debe ser sustituido por una nueva resolución judicial en la que se dé respuesta a la alegación procesal planteada sobre la falta del presupuesto procesal que establece el art. 682.2.1 LEC. También declaramos nula la citada providencia de 23 de mayo de 2012, en cuanto no repara la vulneración causada por aquella resolución.</w:t>
      </w:r>
    </w:p>
    <w:p w:rsidR="0085709A" w:rsidRDefault="0085709A" w:rsidP="0085709A">
      <w:pPr>
        <w:pStyle w:val="TextoNormal"/>
      </w:pPr>
    </w:p>
    <w:p w:rsidR="0085709A" w:rsidRDefault="0085709A" w:rsidP="0085709A">
      <w:pPr>
        <w:pStyle w:val="TextoNormal"/>
      </w:pPr>
      <w:r>
        <w:t>No puede desconocerse, asimismo, que el recurrente en amparo –y su esposa–, haciendo uso de un plazo extraordinario concedido por la disposición transitoria cuarta de la Ley 1/2013, promovió un segundo incidente de oposición a la ejecución, esta vez para solicitar la nulidad, por abusivas, de dos cláusulas del contrato de préstamo; actuaciones que al ser posteriores y estar vinculadas al procedimiento de ejecución hipotecario del que dimanan las resoluciones de 2012, han de determinar también la declaración de nulidad del Auto resolutorio del mismo, de fecha 10 de septiembre de 2013.</w:t>
      </w:r>
    </w:p>
    <w:p w:rsidR="0085709A" w:rsidRDefault="0085709A" w:rsidP="0085709A">
      <w:pPr>
        <w:pStyle w:val="TextoNormal"/>
      </w:pPr>
    </w:p>
    <w:p w:rsidR="0085709A" w:rsidRDefault="0085709A" w:rsidP="0085709A">
      <w:pPr>
        <w:pStyle w:val="TextoNormal"/>
      </w:pPr>
      <w:r>
        <w:t>Por razones de economía procesal y de mayor efectividad del derecho a la tutela judicial efectiva del recurrente, procede que el Juzgado ejecutor dicte un Auto en el que tenga en cuenta las dos impugnaciones planteadas por el recurrente, sin necesidad de reabrir un nuevo procedimiento. En consecuencia, y dado que la primera impugnación planteada era de índole estrictamente procesal, condicionante si se estima de la existencia del proceso hipotecario instado por la entidad ejecutante, y la segunda impugnación (escrito de 14 de junio de 2013) a su vez es de índole material (carácter abusivo de dos de las cláusulas del contrato), el Juzgado deberá acometer su resolución siguiendo el correcto orden de proceder que exige la distinta naturaleza y efectos de tales motivos de oposición ejecutiva.</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por don Miguel Ángel Gutiérrez Peinado y, en consecuencia:</w:t>
      </w:r>
    </w:p>
    <w:p w:rsidR="0085709A" w:rsidRDefault="0085709A" w:rsidP="0085709A">
      <w:pPr>
        <w:pStyle w:val="TextoNormal"/>
      </w:pPr>
    </w:p>
    <w:p w:rsidR="0085709A" w:rsidRDefault="0085709A" w:rsidP="0085709A">
      <w:pPr>
        <w:pStyle w:val="TextoNormal"/>
      </w:pPr>
      <w:r>
        <w:t>1° Reconocer el derecho del demandante a la tutela judicial efectiva (art. 24.1 CE).</w:t>
      </w:r>
    </w:p>
    <w:p w:rsidR="0085709A" w:rsidRDefault="0085709A" w:rsidP="0085709A">
      <w:pPr>
        <w:pStyle w:val="TextoNormal"/>
      </w:pPr>
    </w:p>
    <w:p w:rsidR="0085709A" w:rsidRDefault="0085709A" w:rsidP="0085709A">
      <w:pPr>
        <w:pStyle w:val="TextoNormal"/>
      </w:pPr>
      <w:r>
        <w:t>2º Restablecerlo en el citado derecho y, a tal fin, declarar la nulidad del Auto de 17 de abril de 2013, dictado por el Juzgado de Primera Instancia e Instrucción núm. 2 de Villarrobledo (Albacete), en los autos sobre ejecución hipotecaria núm. 4-2012, así como también la nulidad de la providencia de 23 de mayo de 2012 y el Auto de 10 de septiembre de 2013, dictados por el propio Juzgado.</w:t>
      </w:r>
    </w:p>
    <w:p w:rsidR="0085709A" w:rsidRDefault="0085709A" w:rsidP="0085709A">
      <w:pPr>
        <w:pStyle w:val="TextoNormal"/>
      </w:pPr>
    </w:p>
    <w:p w:rsidR="0085709A" w:rsidRDefault="0085709A" w:rsidP="0085709A">
      <w:pPr>
        <w:pStyle w:val="TextoNormal"/>
      </w:pPr>
      <w:r>
        <w:t>3º Retrotraer las actuaciones hasta el momento inmediatamente anterior al de resolver el incidente de oposición a la ejecución planteado por la parte ejecutada, para que en su lugar se dicte una resolución que sea respetuosa del contenido del derecho fundamental que le ha sido reconocido, en los términos y con el alcance que se concreta en el anterior fundamento 7 de esta Sentencia.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3" w:name="SENTENCIA_2015_40"/>
      <w:r>
        <w:lastRenderedPageBreak/>
        <w:t>SENTENCIA 40/2015, de 2 de marzo de 2015</w:t>
      </w:r>
    </w:p>
    <w:bookmarkEnd w:id="43"/>
    <w:p w:rsidR="0085709A" w:rsidRDefault="0085709A" w:rsidP="0085709A">
      <w:pPr>
        <w:pStyle w:val="TtuloResolucin"/>
      </w:pPr>
      <w:r>
        <w:t>Sala Primera</w:t>
      </w:r>
    </w:p>
    <w:p w:rsidR="0085709A" w:rsidRDefault="0085709A" w:rsidP="0085709A">
      <w:pPr>
        <w:pStyle w:val="TtuloBOE"/>
      </w:pPr>
      <w:r>
        <w:t>(BOE núm. 85, de 9 de abril de 2015)</w:t>
      </w:r>
    </w:p>
    <w:p w:rsidR="0085709A" w:rsidRDefault="0085709A" w:rsidP="0085709A">
      <w:pPr>
        <w:pStyle w:val="TextoNormalCentrado"/>
      </w:pPr>
      <w:r>
        <w:t>ECLI:ES:TC:2015:40</w:t>
      </w:r>
    </w:p>
    <w:p w:rsidR="0085709A" w:rsidRDefault="0085709A" w:rsidP="0085709A">
      <w:pPr>
        <w:pStyle w:val="TextoNormalCentrado"/>
      </w:pPr>
    </w:p>
    <w:p w:rsidR="0085709A" w:rsidRDefault="0085709A" w:rsidP="0085709A">
      <w:pPr>
        <w:pStyle w:val="SntesisDescriptiva"/>
      </w:pPr>
      <w:r>
        <w:t>Recurso de amparo 5280-2012. Promovido por Arigo 98, S.L., en relación con el Auto de la Sala de lo Contencioso-Administrativo del Tribunal Supremo que inadmitió su recurso de casación frente a Sentencia de la Audiencia Nacional sobre impuesto de sociedades.</w:t>
      </w:r>
    </w:p>
    <w:p w:rsidR="0085709A" w:rsidRDefault="0085709A" w:rsidP="0085709A">
      <w:pPr>
        <w:pStyle w:val="SntesisDescriptiva"/>
      </w:pPr>
    </w:p>
    <w:p w:rsidR="0085709A" w:rsidRDefault="0085709A" w:rsidP="0085709A">
      <w:pPr>
        <w:pStyle w:val="SntesisAnaltica"/>
      </w:pPr>
      <w:r>
        <w:t>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2.</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3.</w:t>
      </w:r>
      <w:r>
        <w:tab/>
        <w:t>No concurren todas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5280-2012, promovido por la entidad “ARIGO 98, S.L.”, representada por el Procurador de los Tribunales don Jorge Laguna Alonso y defendida por el Letrado don José María Fernández-Arámburu Hepburn, contra el Auto de la Sección Primera de la Sala de lo Contencioso-Administrativo del Tribunal Supremo, de 22 de diciembre de 2011, por el que se inadmite el recurso de casación núm. 4352/2010, deducido contra la sentencia de la Sala de lo Contencioso-Administrativo de la Audiencia Nacional de 27 de </w:t>
      </w:r>
      <w:r>
        <w:lastRenderedPageBreak/>
        <w:t>mayo de 2010, así como contra el Auto de la misma Sala y Sección, de 7 de junio de 2012, por el que se desestima el incidente de nulidad promovido contra aquel Auto. Ha intervenido el Abogado del Estado, así como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20 de septiembre de 2012, el Procurador de los Tribunales don Jorge Laguna Alonso, en nombre y representación de la entidad Arigo 98, S.L., formuló demanda de amparo contra las resoluciones judiciales reseñadas en el encabezamiento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relevantes para la resolución del presente recurso de amparo son, sucintamente expuestos, los siguientes:</w:t>
      </w:r>
    </w:p>
    <w:p w:rsidR="0085709A" w:rsidRDefault="0085709A" w:rsidP="0085709A">
      <w:pPr>
        <w:pStyle w:val="TextoNormal"/>
      </w:pPr>
    </w:p>
    <w:p w:rsidR="0085709A" w:rsidRDefault="0085709A" w:rsidP="0085709A">
      <w:pPr>
        <w:pStyle w:val="TextoNormal"/>
      </w:pPr>
      <w:r>
        <w:t>a) La Sección Segunda de la Sala de lo Contencioso-Administrativo de la Audiencia Nacional, dictó Sentencia de 27 de mayo de 2010 en el procedimiento ordinario núm. 100-2007, por la que estimó parcialmente el recurso deducido por la demandante de amparo contra la resolución del Tribunal Económico-Administrativo Central de 21 de diciembre de 2006, en relación con acuerdos de liquidación y sanción dictados respecto del impuesto de sociedades, ejercicios 1998, 1999 y 2000. En dicha Sentencia se declaró la anulación de la sanción impuesta y se confirmó la resolución recurrida en todo lo demás.</w:t>
      </w:r>
    </w:p>
    <w:p w:rsidR="0085709A" w:rsidRDefault="0085709A" w:rsidP="0085709A">
      <w:pPr>
        <w:pStyle w:val="TextoNormal"/>
      </w:pPr>
    </w:p>
    <w:p w:rsidR="0085709A" w:rsidRDefault="0085709A" w:rsidP="0085709A">
      <w:pPr>
        <w:pStyle w:val="TextoNormal"/>
      </w:pPr>
      <w:r>
        <w:t>b) Contra la anterior Sentencia prepararon recurso de casación tanto el Abogado del Estado como la entidad demandante de amparo, que lo hizo mediante escrito registrado en la Audiencia Nacional el 15 de junio de 2010. En él, la ahora demandante puso de manifiesto la intención de interponer recurso de casación, la legitimación de la parte recurrente, el carácter recurrible de la resolución impugnada y el cumplimiento del plazo para la presentación del escrito; a ello añadió la precisión de que el recurso iba a fundarse en el motivo previsto en el art. 88.1 d) de la Ley reguladora de la jurisdicción contencioso-administrativa (LJCA). El recurso fue tenido por preparado por diligencia de ordenación de la Sala de lo Contencioso-Administrativo de la Audiencia Nacional de 21 de junio de 2010.</w:t>
      </w:r>
    </w:p>
    <w:p w:rsidR="0085709A" w:rsidRDefault="0085709A" w:rsidP="0085709A">
      <w:pPr>
        <w:pStyle w:val="TextoNormal"/>
      </w:pPr>
    </w:p>
    <w:p w:rsidR="0085709A" w:rsidRDefault="0085709A" w:rsidP="0085709A">
      <w:pPr>
        <w:pStyle w:val="TextoNormal"/>
      </w:pPr>
      <w:r>
        <w:t>c) Mediante escrito presentado en el Registro General del Tribunal Supremo el día 2 de septiembre de 2010, la demandante de amparo se personó y formalizó el escrito de interposición del recurso de casación. Por su parte, mediante escrito registrado el 16 de noviembre de 2010, el Abogado del Estado manifestó no sostener el recurso de casación preparado por la representación del Estado. Tras cumplirse por la entidad Arigo 98, S.L., el requerimiento de presentar la liquidación de la tasa por el ejercicio de la potestad jurisdiccional, mediante Decreto de 19 de noviembre de 2010 se declaró desierto el recurso de casación preparado por el Abogado del Estado, continuándose el procedimiento respecto del recurso de casación interpuesto por la ahora demandante de amparo.</w:t>
      </w:r>
    </w:p>
    <w:p w:rsidR="0085709A" w:rsidRDefault="0085709A" w:rsidP="0085709A">
      <w:pPr>
        <w:pStyle w:val="TextoNormal"/>
      </w:pPr>
    </w:p>
    <w:p w:rsidR="0085709A" w:rsidRDefault="0085709A" w:rsidP="0085709A">
      <w:pPr>
        <w:pStyle w:val="TextoNormal"/>
      </w:pPr>
      <w:r>
        <w:t>d) Por providencia de la Sala Tercera del Tribunal Supremo de 25 de enero de 2011 se acordó poner de manifiesto para alegaciones la posible causa de inadmisión del recurso motivada por razón de su cuantía. Dando cumplimiento a este trámite, tanto el Abogado del Estado como la entidad Arigo 98, S.L., presentaron su respectivo escrito de alegaciones.</w:t>
      </w:r>
    </w:p>
    <w:p w:rsidR="0085709A" w:rsidRDefault="0085709A" w:rsidP="0085709A">
      <w:pPr>
        <w:pStyle w:val="TextoNormal"/>
      </w:pPr>
    </w:p>
    <w:p w:rsidR="0085709A" w:rsidRDefault="0085709A" w:rsidP="0085709A">
      <w:pPr>
        <w:pStyle w:val="TextoNormal"/>
      </w:pPr>
      <w:r>
        <w:t>Mediante nueva providencia de 5 de abril de 2011, el órgano judicial señaló que, sin perjuicio de lo indicado en la anterior providencia de 25 de enero de 2011, acordaba poner de manifiesto a las partes, para alegaciones por plazo común de diez días, la posible causa de inadmisión del recurso consistente en “no haber citado en el escrito de preparación del recurso de casación las infracciones normativas o jurisprudenciales que la recurrente desarrollará en el escrito de interposición [arts. 88.1, 89.1 y 93.2 a) LRJCA]”. Por parte de la entidad Arigo 98, S.L., se cumplió el trámite conferido, interesando la admisión del recurso de casación interpuesto.</w:t>
      </w:r>
    </w:p>
    <w:p w:rsidR="0085709A" w:rsidRDefault="0085709A" w:rsidP="0085709A">
      <w:pPr>
        <w:pStyle w:val="TextoNormal"/>
      </w:pPr>
    </w:p>
    <w:p w:rsidR="0085709A" w:rsidRDefault="0085709A" w:rsidP="0085709A">
      <w:pPr>
        <w:pStyle w:val="TextoNormal"/>
      </w:pPr>
      <w:r>
        <w:t>e) Seguidamente, el Tribunal Supremo dictó el Auto de 22 de diciembre de 2011 frente al que se demanda amparo, por el que inadmitió el recurso de casación deducido por la demandante.</w:t>
      </w:r>
    </w:p>
    <w:p w:rsidR="0085709A" w:rsidRDefault="0085709A" w:rsidP="0085709A">
      <w:pPr>
        <w:pStyle w:val="TextoNormal"/>
      </w:pPr>
    </w:p>
    <w:p w:rsidR="0085709A" w:rsidRDefault="0085709A" w:rsidP="0085709A">
      <w:pPr>
        <w:pStyle w:val="TextoNormal"/>
      </w:pPr>
      <w:r>
        <w:t>El Auto reitera la doctrina recogida en resoluciones de la Sala (Autos de 14 de octubre de 2010, de 18 y 25 de noviembre de 2010, y de 2 de diciembre de 2010), transcribiendo varios de sus fundamentos. Asimismo, y entre otras consideraciones, añade la siguiente argumentación:</w:t>
      </w:r>
    </w:p>
    <w:p w:rsidR="0085709A" w:rsidRDefault="0085709A" w:rsidP="0085709A">
      <w:pPr>
        <w:pStyle w:val="TextoNormal"/>
      </w:pPr>
    </w:p>
    <w:p w:rsidR="0085709A" w:rsidRDefault="0085709A" w:rsidP="0085709A">
      <w:pPr>
        <w:pStyle w:val="TextoNormal"/>
      </w:pPr>
      <w:r>
        <w:t xml:space="preserve">“Cuando el artículo 89.1 LJCA establece que el escrito de preparación debe contener una sucinta exposición de los requisitos de forma exigidos, se está refiriendo a los requisitos expresados en los artículos anteriores, y entre ellos figura de forma primordial la tajante regla procesal del artículo 88.1, que exige que el recurso se funde, exclusivamente, en alguno o algunos de los cuatro motivos que ahí se perfilan; de manera que es carga del recurrente en casación indicar ya en la fase de preparación el concreto o concretos motivos en que se fundará el recurso y no en cualesquiera otras razones no contempladas en la Ley Jurisdiccional,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Si así no se exigiera, es decir, si se estimara innecesario anticipar el motivo o motivos al que se acogerá el escrito de interposición en los términos expresados, el trámite de preparación quedaría privado de su sentido y finalidad característicos, desde el momento que el Tribunal </w:t>
      </w:r>
      <w:r w:rsidRPr="0085709A">
        <w:rPr>
          <w:i/>
        </w:rPr>
        <w:t>a quo</w:t>
      </w:r>
      <w:r>
        <w:t xml:space="preserve"> quedaría desprovisto de elementos de juicio para verificar que el recurso de casación cumple el más primario requisito de procedibilidad, cual es que se funda formalmente en uno de esos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w:t>
      </w:r>
    </w:p>
    <w:p w:rsidR="0085709A" w:rsidRDefault="0085709A" w:rsidP="0085709A">
      <w:pPr>
        <w:pStyle w:val="TextoNormal"/>
      </w:pPr>
    </w:p>
    <w:p w:rsidR="0085709A" w:rsidRDefault="0085709A" w:rsidP="0085709A">
      <w:pPr>
        <w:pStyle w:val="TextoNormal"/>
      </w:pPr>
      <w:r>
        <w:t>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88.1 que se utilice.</w:t>
      </w:r>
    </w:p>
    <w:p w:rsidR="0085709A" w:rsidRDefault="0085709A" w:rsidP="0085709A">
      <w:pPr>
        <w:pStyle w:val="TextoNormal"/>
      </w:pPr>
    </w:p>
    <w:p w:rsidR="0085709A" w:rsidRDefault="0085709A" w:rsidP="0085709A">
      <w:pPr>
        <w:pStyle w:val="TextoNormal"/>
      </w:pPr>
      <w:r>
        <w:t xml:space="preserve">… </w:t>
      </w:r>
    </w:p>
    <w:p w:rsidR="0085709A" w:rsidRDefault="0085709A" w:rsidP="0085709A">
      <w:pPr>
        <w:pStyle w:val="TextoNormal"/>
      </w:pPr>
    </w:p>
    <w:p w:rsidR="0085709A" w:rsidRDefault="0085709A" w:rsidP="0085709A">
      <w:pPr>
        <w:pStyle w:val="TextoNormal"/>
      </w:pPr>
      <w:r>
        <w:lastRenderedPageBreak/>
        <w:t>c) Si el escrito de preparación no especifica en modo alguno los motivos a los que se acogerá la interposición con las exigencias expresadas, el recurso será inadmisible por aplicación del artículo 93.2 a) en relación con los artículos 88.1 y 89.1, todos ellos de la Ley Jurisdiccional, por haber sido defectuosamente preparado.”</w:t>
      </w:r>
    </w:p>
    <w:p w:rsidR="0085709A" w:rsidRDefault="0085709A" w:rsidP="0085709A">
      <w:pPr>
        <w:pStyle w:val="TextoNormal"/>
      </w:pPr>
    </w:p>
    <w:p w:rsidR="0085709A" w:rsidRDefault="0085709A" w:rsidP="0085709A">
      <w:pPr>
        <w:pStyle w:val="TextoNormal"/>
      </w:pPr>
      <w:r>
        <w:t>En aplicación de esta doctrina, y tras indicar que la entidad recurrente se había limitado a anunciar en el escrito de preparación del recurso de casación que éste se ampararía en el motivo del art. 88.1 d) LJCA, sin hacer mención alguna a las concretas infracciones normativas o jurisprudenciales que se pretendían denunciar y desarrollar en el escrito de interposición, el Auto concluye que procedía la inadmisión del citado recurso de casación, lo que hacía innecesario analizar la causa de inadmisión por razón de la cuantía.</w:t>
      </w:r>
    </w:p>
    <w:p w:rsidR="0085709A" w:rsidRDefault="0085709A" w:rsidP="0085709A">
      <w:pPr>
        <w:pStyle w:val="TextoNormal"/>
      </w:pPr>
    </w:p>
    <w:p w:rsidR="0085709A" w:rsidRDefault="0085709A" w:rsidP="0085709A">
      <w:pPr>
        <w:pStyle w:val="TextoNormal"/>
      </w:pPr>
      <w:r>
        <w:t>f) Mediante escrito registrado el 22 de febrero de 2012, la demandante de amparo dedujo incidente de nulidad de actuaciones, en el que argumentó que la inadmisión del recurso de casación provocaba la vulneración de dos derechos fundamentales.</w:t>
      </w:r>
    </w:p>
    <w:p w:rsidR="0085709A" w:rsidRDefault="0085709A" w:rsidP="0085709A">
      <w:pPr>
        <w:pStyle w:val="TextoNormal"/>
      </w:pPr>
    </w:p>
    <w:p w:rsidR="0085709A" w:rsidRDefault="0085709A" w:rsidP="0085709A">
      <w:pPr>
        <w:pStyle w:val="TextoNormal"/>
      </w:pPr>
      <w:r>
        <w:t>Por un lado, alegó la lesión del derecho a la igualdad (art. 14 CE). En tal sentido señaló que el Auto de inadmisión había aplicado un nuevo criterio respecto a los requisitos formales del escrito de preparación del recurso de casación que traía origen del Auto de 14 octubre de 2010, de modo que, en el caso, el escrito de preparación se había presentado varios meses antes de ese cambio de criterio. En concreto, puso de manifiesto que, en un supuesto análogo en que también el escrito de preparación se había presentado antes del cambio de criterio con la sola invocación del motivo del art. 88.1 d) LJCA, pero siendo entonces recurrente la Administración general del Estado, la Sentencia de la Sección Segunda del Tribunal Supremo de 23 de enero de 2012 (recurso de casación núm. 6381-2008) había desestimado que dicho escrito de preparación hubiera sido indebidamente formulado por no contener indicación de las normas y la jurisprudencia que se consideraban infringidas. En consecuencia, tras señalar que no es posible la aplicación de un parámetro diferente cuando el escrito de preparación se formula por la Administración y cuando se presenta por el resto de recurrentes, concluyó que, en el caso, se produce una quiebra del principio de igualdad, debiendo entenderse que el nuevo criterio tampoco es de aplicación por razones temporales.</w:t>
      </w:r>
    </w:p>
    <w:p w:rsidR="0085709A" w:rsidRDefault="0085709A" w:rsidP="0085709A">
      <w:pPr>
        <w:pStyle w:val="TextoNormal"/>
      </w:pPr>
    </w:p>
    <w:p w:rsidR="0085709A" w:rsidRDefault="0085709A" w:rsidP="0085709A">
      <w:pPr>
        <w:pStyle w:val="TextoNormal"/>
      </w:pPr>
      <w:r>
        <w:t>Por otro lado, adujo la vulneración del derecho a la tutela judicial efectiva (art. 24.1 CE), en su vertiente de acceso a los recursos legalmente establecidos. A tal efecto, respecto al declarado defecto formal por no hacer constar en el escrito de preparación las normas o jurisprudencia que se consideran infringidas, puso de relieve que los requisitos de ese escrito a que alude el art. 89.1 LJCA no están explícitamente consignados en el precepto, por lo que se trata de una exigencia que carece de suficiente cobertura legal, incurriéndose en un exceso interpretativo innecesariamente formalista que conculca el principio de proporcionalidad y resulta lesivo del derecho de acceso al recurso, causando una manifiesta indefensión a la recurrente.</w:t>
      </w:r>
    </w:p>
    <w:p w:rsidR="0085709A" w:rsidRDefault="0085709A" w:rsidP="0085709A">
      <w:pPr>
        <w:pStyle w:val="TextoNormal"/>
      </w:pPr>
    </w:p>
    <w:p w:rsidR="0085709A" w:rsidRDefault="0085709A" w:rsidP="0085709A">
      <w:pPr>
        <w:pStyle w:val="TextoNormal"/>
      </w:pPr>
      <w:r>
        <w:t>g) Mediante Auto de 7 de junio de 2012, frente al que también se demanda amparo, se acordó desestimar el incidente de nulidad promovido por la demandante. Entre otras consideraciones, el Auto fundamentó su respuesta en los siguientes razonamientos:</w:t>
      </w:r>
    </w:p>
    <w:p w:rsidR="0085709A" w:rsidRDefault="0085709A" w:rsidP="0085709A">
      <w:pPr>
        <w:pStyle w:val="TextoNormal"/>
      </w:pPr>
    </w:p>
    <w:p w:rsidR="0085709A" w:rsidRDefault="0085709A" w:rsidP="0085709A">
      <w:pPr>
        <w:pStyle w:val="TextoNormal"/>
      </w:pPr>
      <w:r>
        <w:lastRenderedPageBreak/>
        <w:t>“[C]onviene ahora insistir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0085709A" w:rsidRDefault="0085709A" w:rsidP="0085709A">
      <w:pPr>
        <w:pStyle w:val="TextoNormal"/>
      </w:pPr>
    </w:p>
    <w:p w:rsidR="0085709A" w:rsidRDefault="0085709A" w:rsidP="0085709A">
      <w:pPr>
        <w:pStyle w:val="TextoNormal"/>
      </w:pPr>
      <w:r>
        <w:t>Ciertamente, la doctrina reiterada por esta Sala desde el Auto de 10 de febrero de 2011 (recurso 2927-2010) incorpora nuevas exigencias al escrito de preparación del recurso de casación, respecto de las comprendidas en los criterios expuestos sistemáticamente en precedentes de la Sala, tal y como se ha declarado en los razonamientos del Auto cuya nulidad se insta, culminando así la evolución jurisprudencial que ya apuntaba el Auto de esta Sala de 14 de octubre de 2010 —recurso núm. 951-2010—. 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 y la consecuencia de una diferente concepción jurídica igualmente razonable y fundada en Derecho de los supuestos sometidos a su decisión.</w:t>
      </w:r>
    </w:p>
    <w:p w:rsidR="0085709A" w:rsidRDefault="0085709A" w:rsidP="0085709A">
      <w:pPr>
        <w:pStyle w:val="TextoNormal"/>
      </w:pPr>
    </w:p>
    <w:p w:rsidR="0085709A" w:rsidRDefault="0085709A" w:rsidP="0085709A">
      <w:pPr>
        <w:pStyle w:val="TextoNormal"/>
      </w:pPr>
      <w:r>
        <w:t xml:space="preserve">El Tribunal Constitucional viene entendiendo (entre otras, STC 76/2005, de 4 de abril, recurso de amparo número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número 6002-2002). 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(por todas, STC 176/2000, de 26 de junio, recurso de amparo número 6604-1997).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número 5552-1997 y STS de 22 de diciembre de 2003, recurso de casación número 5455-1998.</w:t>
      </w:r>
    </w:p>
    <w:p w:rsidR="0085709A" w:rsidRDefault="0085709A" w:rsidP="0085709A">
      <w:pPr>
        <w:pStyle w:val="TextoNormal"/>
      </w:pPr>
    </w:p>
    <w:p w:rsidR="0085709A" w:rsidRDefault="0085709A" w:rsidP="0085709A">
      <w:pPr>
        <w:pStyle w:val="TextoNormal"/>
      </w:pPr>
      <w:r>
        <w:t>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w:t>
      </w:r>
      <w:r>
        <w:lastRenderedPageBreak/>
        <w:t xml:space="preserve">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w:t>
      </w:r>
      <w:r w:rsidRPr="0085709A">
        <w:rPr>
          <w:i/>
        </w:rPr>
        <w:t>obiter dictum</w:t>
      </w:r>
      <w:r>
        <w:t>, amén de que se frustraría la finalidad del proceso porque la resolución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w:t>
      </w:r>
    </w:p>
    <w:p w:rsidR="0085709A" w:rsidRDefault="0085709A" w:rsidP="0085709A">
      <w:pPr>
        <w:pStyle w:val="TextoNormal"/>
      </w:pPr>
    </w:p>
    <w:p w:rsidR="0085709A" w:rsidRDefault="0085709A" w:rsidP="0085709A">
      <w:pPr>
        <w:pStyle w:val="TextoNormal"/>
      </w:pPr>
      <w:r>
        <w:t>En este sentido, la doctrina expuesta no es contraria a los principios constitucionales que deben regir el proceso y, en concreto, con el artículo 24.1 CE , pues conviene recordar que, según el Tribunal Constitucional, el derecho a la tutela judicial efectiva es ‘un derecho prestacional de configuración legal’ cuyo ejercicio y prestación ‘están supeditados a la concurrencia de los presupuestos y requisitos que en cada caso, haya establecido el legislador’, de tal modo que ese derecho ‘también se satisface con la obtención de una resolución de inadmisión, que impide entrar en el fondo de la cuestión planteada, si esta decisión se funda en la existencia de una causa legal que así lo justifique’ (Sentencia 26/2003, de 10 de febrero , y las que en ella se citan), siendo esto último lo que aquí ocurre, debiendo tenerse presente, además, que resulta doctrina reiterada de esta Sala la de que no se quebranta dicho derecho porque un proceso contencioso-administrativo quede resuelto en única instancia (por todos, AATS de 10 de enero de 2008 —recurso de casación 4884-2006— y de 14 de julio de 2011 —recurso de queja 26-2011—).</w:t>
      </w:r>
    </w:p>
    <w:p w:rsidR="0085709A" w:rsidRDefault="0085709A" w:rsidP="0085709A">
      <w:pPr>
        <w:pStyle w:val="TextoNormal"/>
      </w:pPr>
    </w:p>
    <w:p w:rsidR="0085709A" w:rsidRDefault="0085709A" w:rsidP="0085709A">
      <w:pPr>
        <w:pStyle w:val="TextoNormal"/>
      </w:pPr>
      <w:r>
        <w:t>Respecto a la alegación relativa a la vulneración del derecho a la igualdad dado que, en el recurso de casación número 6381-2008, la Sección Segunda de esta Sala dictó Sentencia el 23 de enero de 2012 en la que no tuvo acogida la causa de oposición del recurrido consistente en que el recurso había sido indebidamente formalizado por no contener el escrito de preparación indicación alguna de las normas o de la jurisprudencia que se considera infringida, señalar que, como transcribe el propio recurrente en su escrito planteando el incidente de nulidad, la mencionada Sentencia da respuesta a la referida alegación argumentando, al efecto, lo siguiente: ‘Sin embargo, esa misma Sección de admisión estimó suficiente, en la época en la que el presente recurso fue admitido a trámite, la argumentación ofrecida por escritos idénticos al que ahora se cuestiona, presentados también por el abogado del Estado para preparar recursos de casación contra sentencias de la Audiencia Nacional [véanse, por todos, los autos de 28 de mayo de 2009 (casación 906-2009, FJ 2), 18 de junio de 2009 (casación 4389-2009, FJ 3) y 21 de enero de 2010 (casación 2355-2009, FJ 2)]. No puede prosperar, por ello, esta causa de inadmisión.’”</w:t>
      </w:r>
    </w:p>
    <w:p w:rsidR="0085709A" w:rsidRDefault="0085709A" w:rsidP="0085709A">
      <w:pPr>
        <w:pStyle w:val="TextoNormal"/>
      </w:pPr>
    </w:p>
    <w:p w:rsidR="0085709A" w:rsidRDefault="0085709A" w:rsidP="0085709A">
      <w:pPr>
        <w:pStyle w:val="TextoNormal"/>
      </w:pPr>
      <w:r w:rsidRPr="0085709A">
        <w:rPr>
          <w:rStyle w:val="NumeroAFNegritaCaracter"/>
        </w:rPr>
        <w:t>3</w:t>
      </w:r>
      <w:r>
        <w:t>. Para la resolución del presente recurso de amparo ha de tenerse igualmente presente lo siguiente:</w:t>
      </w:r>
    </w:p>
    <w:p w:rsidR="0085709A" w:rsidRDefault="0085709A" w:rsidP="0085709A">
      <w:pPr>
        <w:pStyle w:val="TextoNormal"/>
      </w:pPr>
    </w:p>
    <w:p w:rsidR="0085709A" w:rsidRDefault="0085709A" w:rsidP="0085709A">
      <w:pPr>
        <w:pStyle w:val="TextoNormal"/>
      </w:pPr>
      <w:r>
        <w:t>a) El art. 89.1 LJCA dispone que en el escrito de preparación del recurso de casación deberá manifestarse “la intención de interponer el recurso, con sucinta exposición de la concurrencia de los requisitos de forma exigidos”. El art. 89.2 LJCA dispone que “en el su</w:t>
      </w:r>
      <w:r>
        <w:lastRenderedPageBreak/>
        <w:t>puesto previsto en el artículo 86.4 [sentencias dictadas por las salas de lo contencioso-administrativo de los Tribunales Superiores de Justicia, contra las que solo cabe recurso si este puede fundarse en infracción de normas de Derecho estatal o comunitario europeo], habrá de justificase que la infracción de una norma estatal o comunitaria europea ha sido relevante y determinante del fallo de la sentencia”.</w:t>
      </w:r>
    </w:p>
    <w:p w:rsidR="0085709A" w:rsidRDefault="0085709A" w:rsidP="0085709A">
      <w:pPr>
        <w:pStyle w:val="TextoNormal"/>
      </w:pPr>
    </w:p>
    <w:p w:rsidR="0085709A" w:rsidRDefault="0085709A" w:rsidP="0085709A">
      <w:pPr>
        <w:pStyle w:val="TextoNormal"/>
      </w:pPr>
      <w:r>
        <w:t>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0085709A" w:rsidRDefault="0085709A" w:rsidP="0085709A">
      <w:pPr>
        <w:pStyle w:val="TextoNormal"/>
      </w:pPr>
    </w:p>
    <w:p w:rsidR="0085709A" w:rsidRDefault="0085709A" w:rsidP="0085709A">
      <w:pPr>
        <w:pStyle w:val="TextoNormal"/>
      </w:pPr>
      <w:r>
        <w:t>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0085709A" w:rsidRDefault="0085709A" w:rsidP="0085709A">
      <w:pPr>
        <w:pStyle w:val="TextoNormal"/>
      </w:pPr>
    </w:p>
    <w:p w:rsidR="0085709A" w:rsidRDefault="0085709A" w:rsidP="0085709A">
      <w:pPr>
        <w:pStyle w:val="TextoNormal"/>
      </w:pPr>
      <w:r>
        <w:t>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FJ 6).</w:t>
      </w:r>
    </w:p>
    <w:p w:rsidR="0085709A" w:rsidRDefault="0085709A" w:rsidP="0085709A">
      <w:pPr>
        <w:pStyle w:val="TextoNormal"/>
      </w:pPr>
    </w:p>
    <w:p w:rsidR="0085709A" w:rsidRDefault="0085709A" w:rsidP="0085709A">
      <w:pPr>
        <w:pStyle w:val="TextoNormal"/>
      </w:pPr>
      <w:r>
        <w:t xml:space="preserve">e) El ATS de 10 de febrero de 2011 (recurso de casación 2927-2010), también de la Sección Primera de la Sala de lo Contencioso-Administrativo, a la que corresponde por reparto decidir sobre la admisibilidad de los recursos de casación, dictado asimismo con la finalidad de “clarificar” la doctrina jurisprudencial, especificó que el escrito de preparación, </w:t>
      </w:r>
      <w:r>
        <w:lastRenderedPageBreak/>
        <w:t>con carácter general, debe contener no solo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añadiendo que tal exigencia “existe tanto cuando la resolución impugnada procede de los Tribunales Superiores de Justicia como de la Audiencia Nacional y cualquiera que sea el motivo del artículo 88.1 que se utilice” (FJ 4).</w:t>
      </w:r>
    </w:p>
    <w:p w:rsidR="0085709A" w:rsidRDefault="0085709A" w:rsidP="0085709A">
      <w:pPr>
        <w:pStyle w:val="TextoNormal"/>
      </w:pPr>
    </w:p>
    <w:p w:rsidR="0085709A" w:rsidRDefault="0085709A" w:rsidP="0085709A">
      <w:pPr>
        <w:pStyle w:val="TextoNormal"/>
      </w:pPr>
      <w:r>
        <w:t xml:space="preserve">El citado Auto expone las razones por las cuales se introdujo esta especificación. En concreto señala que si así no se exigiera, el trámite de preparación quedaría privado de su sentido y finalidad, dado que “el tribunal </w:t>
      </w:r>
      <w:r w:rsidRPr="0085709A">
        <w:rPr>
          <w:i/>
        </w:rPr>
        <w:t>a quo</w:t>
      </w:r>
      <w:r>
        <w:t xml:space="preserve">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(FJ 4).</w:t>
      </w:r>
    </w:p>
    <w:p w:rsidR="0085709A" w:rsidRDefault="0085709A" w:rsidP="0085709A">
      <w:pPr>
        <w:pStyle w:val="TextoNormal"/>
      </w:pPr>
    </w:p>
    <w:p w:rsidR="0085709A" w:rsidRDefault="0085709A" w:rsidP="0085709A">
      <w:pPr>
        <w:pStyle w:val="TextoNormal"/>
      </w:pPr>
      <w:r w:rsidRPr="0085709A">
        <w:rPr>
          <w:rStyle w:val="NumeroAFNegritaCaracter"/>
        </w:rPr>
        <w:t>4</w:t>
      </w:r>
      <w:r>
        <w:t>. Con apoyo en la argumentación que a continuación se expone de manera sintetizada, la recurrente reprocha a los Autos frente a los que se demanda amparo las siguientes vulneraciones de derechos fundamentales.</w:t>
      </w:r>
    </w:p>
    <w:p w:rsidR="0085709A" w:rsidRDefault="0085709A" w:rsidP="0085709A">
      <w:pPr>
        <w:pStyle w:val="TextoNormal"/>
      </w:pPr>
    </w:p>
    <w:p w:rsidR="0085709A" w:rsidRDefault="0085709A" w:rsidP="0085709A">
      <w:pPr>
        <w:pStyle w:val="TextoNormal"/>
      </w:pPr>
      <w:r>
        <w:t xml:space="preserve">a) De un lado, alega lesión del derecho a la tutela judicial efectiva (art. 24.1 CE), en su vertiente de acceso a los recursos. Al respecto aduce que la interpretación y aplicación de la Ley procesal denunciada consiste en sobredimensionar el requisito procesal relativo a la mención en el escrito de preparación de la normativa o jurisprudencia infringida por la Sentencia, dándole una trascendencia desorbitada y sin referencia a la finalidad que lo inspira, lo que determina que esa interpretación y aplicación de los requisitos de admisibilidad del recurso de casación resulte contraria al principio de proporcionalidad y, por tanto, lesiva del derecho de acceso al recurso, estableciendo un criterio diferente que se aplica retroactivamente —con vulneración del principio de seguridad jurídica— y sin carácter de uniformidad —no se mantiene por el Tribunal Supremo una jurisprudencia homogénea tras el cambio de criterio de admisión operado, conviviendo autos y sentencias coetáneos o posteriores a los recurridos en que, en supuestos procesales idénticos, se alcanza la solución contraria de admitir el recurso—. Señala asimismo que resulta un hecho no controvertido que la Ley jurisdiccional no contiene un precepto que establezca que cuando el recurso se vaya a basar en el motivo previsto en el art. 88.1 d) haya de citarse la normativa o jurisprudencia que se considere infringida, sin que tampoco el art. 89.1 aluda a requisitos de fondo o motivos en que se fundará el recurso. Por ello, considera, la obligación de citar en el escrito de preparación del recurso de casación las concretas infracciones normativas o jurisprudenciales que se reputan infringidas se configura como un nuevo criterio —no exigido por la jurisprudencia previa—, que carece de un claro sustento normativo —sin obedecer a modificación legal alguna— y que supone la aplicación retroactiva de unos requisitos que limitan considerablemente el derecho a la tutela judicial efectiva, lo que causa una evidente indefensión, debiendo además tenerse en cuenta que ese nuevo criterio no se ha dado a conocer suficientemente, puesto que se ha ido perfilando mediante Autos y no Sentencias. Resalta, en tal sentido, que en la fecha en que se dictó la Sentencia de la Audiencia Nacional contra la que se prepara el recurso de casación (27 de mayo de 2010) ni siquiera existía un nuevo criterio jurisprudencial, porque el primer Auto emitido por la Sección Primera con ese nuevo criterio </w:t>
      </w:r>
      <w:r>
        <w:lastRenderedPageBreak/>
        <w:t>fue de 14 de octubre de 2010, por lo que cuando se presentó el escrito de preparación del recurso resultaba aplicable la jurisprudencia habida con el criterio tradicional. Además añade que, en el caso concreto, la automática y seriada aplicación de la doctrina del Tribunal Supremo, mimetizada con supuestos muy heterogéneos, no ha ponderado esta circunstancia, agravando la lesión padecida.</w:t>
      </w:r>
    </w:p>
    <w:p w:rsidR="0085709A" w:rsidRDefault="0085709A" w:rsidP="0085709A">
      <w:pPr>
        <w:pStyle w:val="TextoNormal"/>
      </w:pPr>
    </w:p>
    <w:p w:rsidR="0085709A" w:rsidRDefault="0085709A" w:rsidP="0085709A">
      <w:pPr>
        <w:pStyle w:val="TextoNormal"/>
      </w:pPr>
      <w:r>
        <w:t xml:space="preserve">Con relación a esta denuncia recuerda la doctrina constitucional en la que se declara que el principio </w:t>
      </w:r>
      <w:r w:rsidRPr="0085709A">
        <w:rPr>
          <w:i/>
        </w:rPr>
        <w:t>pro actione</w:t>
      </w:r>
      <w:r>
        <w:t xml:space="preserve"> implica la interdicción de las decisiones de inadmisión que por su rigorismo, formalismo excesivo o cualquier otra razón revelen una clara desproporción entre los fines que aquellas causas de inadmisión preservan y los intereses que sacrifican (STC 133/2005, FJ 2); asimismo alude a pronunciamientos en que el Tribunal Constitucional ha reiterado que a él le compete revisar en el caso si se ha producido violación del derecho a la tutela judicial efectiva, en su faceta de acceso a la jurisdicción, frente a un acto del poder público, como consecuencia de una interpretación que carezca de base legal, sea irrazonable o resulte manifiestamente desproporcionada con la finalidad para la que se establece (SSTC 76/1996, FJ 4; 152/1996, FJ 2). También hace referencia a algunos pronunciamientos del Tribunal Europeo de Derechos Humanos: así, la STEDH de 30 de julio de 2009 (caso </w:t>
      </w:r>
      <w:r w:rsidRPr="0085709A">
        <w:rPr>
          <w:i/>
        </w:rPr>
        <w:t>Dattel contra Luxemburgo</w:t>
      </w:r>
      <w:r>
        <w:t xml:space="preserve">), en la que se considera violado el art. 6.1 del Convenio a consecuencia de una interpretación rigorista y desproporcionada de la inadmisión de la casación fundada en la falta de precisión en la formulación del motivo de la casación; la STEDH de 19 de diciembre de 1997 (caso </w:t>
      </w:r>
      <w:r w:rsidRPr="0085709A">
        <w:rPr>
          <w:i/>
        </w:rPr>
        <w:t>Brualla Gómez de la Torre contra España</w:t>
      </w:r>
      <w:r>
        <w:t xml:space="preserve">), que declara que los requisitos de acceso al recurso deben responder a una finalidad legítima y proporcionada; o la STEDH de 28 de octubre de 1998 (caso </w:t>
      </w:r>
      <w:r w:rsidRPr="0085709A">
        <w:rPr>
          <w:i/>
        </w:rPr>
        <w:t>Pérez de Rada Cavanilles contra España</w:t>
      </w:r>
      <w:r>
        <w:t>).</w:t>
      </w:r>
    </w:p>
    <w:p w:rsidR="0085709A" w:rsidRDefault="0085709A" w:rsidP="0085709A">
      <w:pPr>
        <w:pStyle w:val="TextoNormal"/>
      </w:pPr>
    </w:p>
    <w:p w:rsidR="0085709A" w:rsidRDefault="0085709A" w:rsidP="0085709A">
      <w:pPr>
        <w:pStyle w:val="TextoNormal"/>
      </w:pPr>
      <w:r>
        <w:t>b) De otro lado, aduce vulneración del derecho a la igualdad en la aplicación de la ley (art. 14 CE), en la medida en que, respecto a la exigencia del referido cambio de criterio, no ha existido uniformidad entre las distintas secciones de la Sala Tercera del Tribunal Supremo, puesto que existen secciones que no han opuesto objeción a escritos de preparación que se formularon con los requisitos tradicionalmente aceptados, remarcando así que dicho cambio resulta arbitrario, ocasional e inesperado. Como prueba de esta afirmación hace referencia a la Sentencia de 23 de enero de 2012, dictada por la Sección Segunda del Tribunal Supremo en el recurso de casación núm. 6381-2008, de la que transcribe un extracto de su fundamento de derecho segundo. Respecto a dicha Sentencia subraya que, siendo de fecha posterior al Auto de inadmisión recurrido en este proceso, en ella se rechaza que el nuevo criterio de admisión pueda o deba ser aplicado con carácter retroactivo, declarando su no aplicación a aquellos recursos de casación en los que al tiempo de prepararse el recurso no se hubiera operado el cambio jurisprudencial.</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Por providencia de 23 de septiembre de 2013, la Sala Primera del Tribunal Constitucional acordó admitir a trámite la demanda de amparo. Asimismo, en aplicación de lo dispuesto en 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número 4352-2010 y al recurso número 100-2007, respectivamente, debiendo previamente emplazarse, para que pudieran comparecer en el recurso de amparo en el término de diez días, a quienes hubieran sido parte en el procedimiento, excepto a la parte recurrente en amparo. Tras ser emplazado para comparecer en este proceso constitucional, el Abogado del Estado, mediante escrito registrado ante este </w:t>
      </w:r>
      <w:r>
        <w:lastRenderedPageBreak/>
        <w:t>Tribunal el 24 de octubre de 2013, solicitó se le tuviera por personado y parte en 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Primera de este Tribunal de 28 de octubre de 2013 se tuvieron por recibidos los testimonios de las actuaciones remitidos por el Tribunal Supremo y la Audiencia Nacional, así como el escrito del Abogado del Estado a quien se tuvo por personado y parte en nombre y representación de la Administración. Asimismo, a tenor de lo dispuesto en el art. 52 LOTC, se dio vista de todas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formuló alegaciones mediante escrito registrado el 26 de noviembre de 2013, en el que solicita que se “dicte sentencia con arreglo a derecho”.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retrospectiva de las nuevas máximas jurisprudenciales contenidas en el ATS de la Sección Primera de la Sala Tercera de 10 de febrero de 2011, inexistentes cuando se presentó el escrito de preparación del recurso de casación y que determinan su inadmisión por no haberse preparado conforme a ellas, supone frustrar sorpresivamente la razonable expectativa o confianza legítima sobre la admisión de un recurso de casación preparado de acuerdo con los requisitos de forma exigidos por la jurisprudencia en el momento de presentar el escrito de preparación, sin dar oportunidad procesal ninguna de ajustar dicho escrito a las nuevas exigencias. Considera por ello que la cuestión radica en la “irrazonabilidad” de exigir, para la realización de un acto procesal agotado, el cumplimiento de unos requisitos de forma que razonablemente no se conocían en el momento en que se efectuó dicho acto procesal, provocando así una violación del derecho de acceso al recurso.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presentó sus alegaciones mediante escrito registrado el 27 de noviembre de 2013, en el que interesa que se desestime por completo el recurso de amparo, en atención a la argumentación que, en síntesis, se expone a continuación.</w:t>
      </w:r>
    </w:p>
    <w:p w:rsidR="0085709A" w:rsidRDefault="0085709A" w:rsidP="0085709A">
      <w:pPr>
        <w:pStyle w:val="TextoNormal"/>
      </w:pPr>
    </w:p>
    <w:p w:rsidR="0085709A" w:rsidRDefault="0085709A" w:rsidP="0085709A">
      <w:pPr>
        <w:pStyle w:val="TextoNormal"/>
      </w:pPr>
      <w:r>
        <w:t xml:space="preserve">Tras señalar que el recurso de amparo únicamente denuncia la vulneración del derecho a la tutela judicial efectiva en su modalidad de derecho de acceso al recurso (art. 24.1 CE), el Fiscal realiza un repaso de la evolución de la doctrina del Tribunal Supremo en relación con los requisitos que debe reunir el escrito de preparación del recurso de casación contencioso-administrativo. Fija como uno de los hitos de esta evolución el ATS 14419/2010, de 14 de octubre, a cuyos requerimientos se ajustó el demandante de amparo al preparar su recurso de casación el 15 de junio de 2010. No obstante, señala, el posterior ATS 2371/2011, de 10 de febrero, añadió la exigencia de que en el escrito de preparación, además de especificar el </w:t>
      </w:r>
      <w:r>
        <w:lastRenderedPageBreak/>
        <w:t>concreto o concretos motivos en que se fundará el recurso, había de hacerse indicación de los concretos preceptos o jurisprudencia que se reputan infringidos o del contenido de las infracciones normativas o jurisprudenciales que se pretendan denunciar y desarrollar en el escrito de interposición del recurso de casación, aunque sea en forma sucinta, siendo ese nuevo criterio el que fue aplicado en el caso ahora controvertido. Con relación a esta actuación, el Fiscal recoge la doctrina del Tribunal Constitucional sobre el derecho de acceso a los recursos, destacando, entre otros aspectos, que el control constitucional respecto a las resoluciones judiciales dictadas sobre los presupuestos o requisitos de admisión de los recursos debe limitarse a comprobar si tienen motivación, si han incurrido en error material patente, en arbitrariedad o en manifiesta irrazonabilidad, únicas circunstancias que pueden determinar la lesión del derecho a la tutela judicial efectiva. Pues bien, en el caso enjuiciado considera el Fiscal que el Auto de inadmisión impugnado constituye una resolución que cuenta con la debida motivación, no estando ésta incursa ni en error patente, ni en irrazonabilidad, ni en arbitrariedad. Antes al contrario, entiende que la exigencia de especificar en la fase de preparación del recurso de casación los concretos preceptos o jurisprudencia que se reputan infringidos o el contenido de las infracciones normativas o jurisprudenciales que se pretenden desarrollar en el escrito de interposición del recurso fluye del propio tenor de los apartados c) y d) del art. 88.1 LJCA, de ahí que, tras aludir al contenido de los dos motivos de casación incluidos en estas previsiones, señala que de ninguna manera puede afirmarse que la indicada exigencia constituye un requisito no establecido por la ley. Tales razonamientos son, en definitiva, los que conducen al Fiscal a declarar la inexistencia de infracción del art. 24.1 CE.</w:t>
      </w:r>
    </w:p>
    <w:p w:rsidR="0085709A" w:rsidRDefault="0085709A" w:rsidP="0085709A">
      <w:pPr>
        <w:pStyle w:val="TextoNormal"/>
      </w:pPr>
    </w:p>
    <w:p w:rsidR="0085709A" w:rsidRDefault="0085709A" w:rsidP="0085709A">
      <w:pPr>
        <w:pStyle w:val="TextoNormal"/>
      </w:pPr>
      <w:r w:rsidRPr="0085709A">
        <w:rPr>
          <w:rStyle w:val="NumeroAFNegritaCaracter"/>
        </w:rPr>
        <w:t>9</w:t>
      </w:r>
      <w:r>
        <w:t>. También mediante escrito registrado el 27 de noviembre de 2013, la representación procesal de la demandante se ratificó íntegramente en los hechos, fundamentos jurídicos y suplico del recurso de amparo.</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26 de febrero de 2015 se señaló para deliberación y votación de la presente Sentencia el día 2 de marzo del mismo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22 de diciembre de 2011, que acordó no admitir a trámite el recurso de casación interpuesto contra la Sentencia de la Sala de lo Contencioso-Administrativo de la Audiencia Nacional de 27 de mayo de 2010, recaída en el procedimiento ordinario núm. 100-2007. También impugna el Auto de la misma Sala y Sección, de 7 de junio de 2012, por el que se desestima el incidente de nulidad promovido contra el Auto anterior.</w:t>
      </w:r>
    </w:p>
    <w:p w:rsidR="0085709A" w:rsidRDefault="0085709A" w:rsidP="0085709A">
      <w:pPr>
        <w:pStyle w:val="TextoNormal"/>
      </w:pPr>
    </w:p>
    <w:p w:rsidR="0085709A" w:rsidRDefault="0085709A" w:rsidP="0085709A">
      <w:pPr>
        <w:pStyle w:val="TextoNormal"/>
      </w:pPr>
      <w:r>
        <w:t xml:space="preserve">La recurrente, según se expresa con más detalle en los antecedentes de hecho de esta Sentencia, imputa a las resoluciones recurridas la lesión de dos derechos fundamentales. De un lado, aduce la vulneración de su derecho a la tutela judicial efectiva (art. 24.1 CE), en su vertiente de acceso a los recursos, con apoyo en distintas consideraciones que pueden reconducirse y sistematizarse en los siguientes reproches: i) porque los Autos impugnados se fundan en un requisito de admisibilidad que carece de un claro sustento normativo, resultando desproporcionada su aplicación y la interpretación realizada; (ii) porque la exigencia </w:t>
      </w:r>
      <w:r>
        <w:lastRenderedPageBreak/>
        <w:t>de anticipar en el escrito de preparación del recurso de casación los concretos preceptos o la jurisprudencia que se reputan infringidos se ha aplicado con carácter retroactivo, en un momento en que aquella exigencia no era conocida ni requerida en la jurisprudencia precedente, con vulneración del principio de seguridad jurídica. De otro lado, la demandante alega la vulneración de su derecho a la igualdad en la aplicación de la ley (art. 14 CE), pues entiende que no ha existido uniformidad entre las distintas secciones de la Sala Tercera del Tribunal Supremo respecto a la exigencia del cambio interpretativo.</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 xml:space="preserve">De entrada, a la vista de las alegaciones de la recurrente, hemos de señalar que, como ya se dijera en la citada STC 7/2015, FJ 3, “el enjuiciamiento versa sobre un supuesto de acceso al recurso y no de acceso a la jurisdicción, distinción que resulta relevante en el plano de la jurisprudencia constitucional a los efectos de la no aplicación del canon de proporcionalidad en la exigencia de los requisitos legales para el derecho al recurso”, pues, en efecto, conforme este Tribunal ha reiterado, la interpretación y la aplicación de las normas procesales que contemplan los requisitos para la admisión de los recursos son materias de legalidad ordinaria, propias de los Tribunales de Justicia (art. 117.3 CE), “sin que el control que nos corresponde realizar … pueda extenderse al juicio de proporcionalidad inherente al principio </w:t>
      </w:r>
      <w:r w:rsidRPr="0085709A">
        <w:rPr>
          <w:i/>
        </w:rPr>
        <w:t>pro actione</w:t>
      </w:r>
      <w:r>
        <w:t>, característico del derecho de acceso a la jurisdicción” (STC 55/2008, de 14 de abril, FJ 2; o SSTC 33/2008, de 25 de febrero, FFJJ 2 y 4, y 132/2011, de 18 de julio, FJ 3). Esto aclarado, 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w:t>
      </w:r>
      <w:r w:rsidRPr="0085709A">
        <w:rPr>
          <w:i/>
        </w:rPr>
        <w:t>rualla Gómez de la Torre c. España,</w:t>
      </w:r>
      <w:r>
        <w:t xml:space="preserve"> y de 25 enero 2005, caso P</w:t>
      </w:r>
      <w:r w:rsidRPr="0085709A">
        <w:rPr>
          <w:i/>
        </w:rPr>
        <w:t>uchol Oliver c. España)</w:t>
      </w:r>
      <w:r>
        <w:t>.</w:t>
      </w:r>
    </w:p>
    <w:p w:rsidR="0085709A" w:rsidRDefault="0085709A" w:rsidP="0085709A">
      <w:pPr>
        <w:pStyle w:val="TextoNormal"/>
      </w:pPr>
    </w:p>
    <w:p w:rsidR="0085709A" w:rsidRDefault="0085709A" w:rsidP="0085709A">
      <w:pPr>
        <w:pStyle w:val="TextoNormal"/>
      </w:pPr>
      <w:r>
        <w:lastRenderedPageBreak/>
        <w:t>Igualmente relevantes son las Sentencias del Tribunal de Estrasburgo recaídas en los casos S</w:t>
      </w:r>
      <w:r w:rsidRPr="0085709A">
        <w:rPr>
          <w:i/>
        </w:rPr>
        <w:t>ociedad General de Aguas de Barcelona c. España,</w:t>
      </w:r>
      <w:r>
        <w:t xml:space="preserve"> de 25 mayo 2000; L</w:t>
      </w:r>
      <w:r w:rsidRPr="0085709A">
        <w:rPr>
          <w:i/>
        </w:rPr>
        <w:t>lopis Ruiz c. España,</w:t>
      </w:r>
      <w:r>
        <w:t xml:space="preserve"> de 7 noviembre 2003, e I</w:t>
      </w:r>
      <w:r w:rsidRPr="0085709A">
        <w:rPr>
          <w:i/>
        </w:rPr>
        <w:t>pamark c. España,</w:t>
      </w:r>
      <w:r>
        <w:t xml:space="preserve">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los Autos que son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los Autos impugnados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criterio plasmado en los Autos impugnados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w:t>
      </w:r>
      <w:r>
        <w:lastRenderedPageBreak/>
        <w:t>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su excepcionamiento por disposición legal que establezca el efecto exclusivamente prospectivo de la Sentencia, como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por lo que se refiere al derecho a la igualdad en la aplicación de la ley (art. 14 CE), la demandante alega la falta de uniformidad habida entre las distintas secciones de la Sala Tercera del Tribunal Supremo respecto al cambio de criterio relativo a que el escrito de preparación del recurso de casación contenga la cita, siquiera sucinta, de las normas y jurisprudencia que se estimen infringidas. De manera específica, en favor de su alegación, la recurrente hace referencia a la Sentencia de 23 de enero de 2012, dictada por la Sala Tercera del Tribunal Supremo, en su Sección Segunda, en el recurso de casación núm. </w:t>
      </w:r>
      <w:r>
        <w:lastRenderedPageBreak/>
        <w:t>6381-2008, indicando que esta resolución rechaza que el nuevo criterio de admisión se aplique con carácter retroactivo.</w:t>
      </w:r>
    </w:p>
    <w:p w:rsidR="0085709A" w:rsidRDefault="0085709A" w:rsidP="0085709A">
      <w:pPr>
        <w:pStyle w:val="TextoNormal"/>
      </w:pPr>
    </w:p>
    <w:p w:rsidR="0085709A" w:rsidRDefault="0085709A" w:rsidP="0085709A">
      <w:pPr>
        <w:pStyle w:val="TextoNormal"/>
      </w:pPr>
      <w:r>
        <w:t>Con relación a esta queja baste recordar que, conforme a reiterada jurisprudencia constitucional (por todas, STC 205/2013, de 5 de diciembre, FJ 3), para que pueda entenderse conculcado el derecho a la igualdad en la aplicación de la ley es necesaria la aportación de un término de comparación válido que, entre otras exigencias, requiere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(entre otras, STC 164/2005, de 20 de junio, FJ 8; o SSTC 102/2000, de 10 de abril, FJ 2; 64/2010, de 18 de octubre, FJ 2, y 108/2013, de 6 de mayo, FJ 4). En concreto, respecto a las específicas resoluciones comparadas, es obvio que no puede apreciarse tal identidad pues, aun cuando todas ellas tienen origen en la Sala de lo Contencioso-Administrativo del Tribunal Supremo, lo cierto es que el objeto del presente recurso viene referido a Autos de su Sección Primera, y en cambio, la decisión de contraste es una Sentencia de su Sección Segunda.</w:t>
      </w:r>
    </w:p>
    <w:p w:rsidR="0085709A" w:rsidRDefault="0085709A" w:rsidP="0085709A">
      <w:pPr>
        <w:pStyle w:val="TextoNormal"/>
      </w:pPr>
    </w:p>
    <w:p w:rsidR="0085709A" w:rsidRDefault="0085709A" w:rsidP="0085709A">
      <w:pPr>
        <w:pStyle w:val="TextoNormal"/>
      </w:pPr>
      <w:r>
        <w:t xml:space="preserve">Además, aun cuando otro fuera el caso —y al margen de otros requisitos también necesarios para la idoneidad del </w:t>
      </w:r>
      <w:r w:rsidRPr="0085709A">
        <w:rPr>
          <w:i/>
        </w:rPr>
        <w:t>tertium comparationis</w:t>
      </w:r>
      <w:r>
        <w:t xml:space="preserve"> aducido—, interesa destacar que, según este Tribunal ha reiterado,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se continúe con posterioridad (por todas, SSTC 105/2009, de 4 de mayo, FJ 4; y 178/2014, de 3 de noviembre, FJ 4). De acuerdo con ello, los Autos del Tribunal Supremo impugnados —lejos de ser una decisión particularizada y adoptada </w:t>
      </w:r>
      <w:r w:rsidRPr="0085709A">
        <w:rPr>
          <w:i/>
        </w:rPr>
        <w:t>ad hoc</w:t>
      </w:r>
      <w:r>
        <w:t xml:space="preserve"> por el órgano judicial para resolver ese solo caso o para aplicarlo exclusivamente a la persona del recurrente— constituyen la plasmación de un criterio jurisprudencial previamente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la entidad Arigo 98, S.L.</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Luis Ignacio Ortega Álvarez y don Juan Antonio Xiol Ríos a la Sentencia dictada en el recurso de amparo núm. 5280-2012.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4" w:name="SENTENCIA_2015_41"/>
      <w:r>
        <w:lastRenderedPageBreak/>
        <w:t>SENTENCIA 41/2015, de 2 de marzo de 2015</w:t>
      </w:r>
    </w:p>
    <w:bookmarkEnd w:id="44"/>
    <w:p w:rsidR="0085709A" w:rsidRDefault="0085709A" w:rsidP="0085709A">
      <w:pPr>
        <w:pStyle w:val="TtuloResolucin"/>
      </w:pPr>
      <w:r>
        <w:t>Sala Primera</w:t>
      </w:r>
    </w:p>
    <w:p w:rsidR="0085709A" w:rsidRDefault="0085709A" w:rsidP="0085709A">
      <w:pPr>
        <w:pStyle w:val="TtuloBOE"/>
      </w:pPr>
      <w:r>
        <w:t>(BOE núm. 85, de 9 de abril de 2015)</w:t>
      </w:r>
    </w:p>
    <w:p w:rsidR="0085709A" w:rsidRDefault="0085709A" w:rsidP="0085709A">
      <w:pPr>
        <w:pStyle w:val="TextoNormalCentrado"/>
      </w:pPr>
      <w:r>
        <w:t>ECLI:ES:TC:2015:41</w:t>
      </w:r>
    </w:p>
    <w:p w:rsidR="0085709A" w:rsidRDefault="0085709A" w:rsidP="0085709A">
      <w:pPr>
        <w:pStyle w:val="TextoNormalCentrado"/>
      </w:pPr>
    </w:p>
    <w:p w:rsidR="0085709A" w:rsidRDefault="0085709A" w:rsidP="0085709A">
      <w:pPr>
        <w:pStyle w:val="SntesisDescriptiva"/>
      </w:pPr>
      <w:r>
        <w:t>Cuestión de inconstitucionalidad 2285-2013. Planteada por la Sala de lo Contencioso-Administrativo del Tribunal Superior de Justicia de las Illes Balears respecto del primer inciso del artículo 24.5 de la Ley del Parlamento Balear 7/1998, de 12 de noviembre, de ordenación farmacéutica de Baleares.</w:t>
      </w:r>
    </w:p>
    <w:p w:rsidR="0085709A" w:rsidRDefault="0085709A" w:rsidP="0085709A">
      <w:pPr>
        <w:pStyle w:val="SntesisDescriptiva"/>
      </w:pPr>
    </w:p>
    <w:p w:rsidR="0085709A" w:rsidRDefault="0085709A" w:rsidP="0085709A">
      <w:pPr>
        <w:pStyle w:val="SntesisAnaltica"/>
      </w:pPr>
      <w:r>
        <w:t>Discriminación por razón de edad: inconstitucionalidad del precepto legal que impide participar en los procedimientos de instalación de nuevas oficinas de farmacia a los farmacéuticos mayores de sesenta y cinco años (STC 63/2011).</w:t>
      </w:r>
    </w:p>
    <w:p w:rsidR="0085709A" w:rsidRDefault="0085709A" w:rsidP="0085709A">
      <w:pPr>
        <w:pStyle w:val="SntesisAnaltica"/>
      </w:pPr>
    </w:p>
    <w:p w:rsidR="0085709A" w:rsidRDefault="0085709A" w:rsidP="0085709A">
      <w:pPr>
        <w:pStyle w:val="Extracto"/>
      </w:pPr>
      <w:r>
        <w:t>1.</w:t>
      </w:r>
      <w:r>
        <w:tab/>
        <w:t>En aplicación de la doctrina de las SSTC 63/2011, de 16 de mayo, 79/2011, de 6 de junio y 117/2011, de 4 de julio, se estima que el precepto de Ley de ordenación farmacéutica de Baleares, que contempla la prohibición de los farmacéuticos mayores de sesenta y cinco años a participar en el procedimiento para la autorización de una nueva oficina de farmacia, es discriminatorio por razón de edad y, por tanto, inconstitucional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2285-2013, promovida por la Sala de lo Contencioso-administrativo del Tribunal Superior de Justicia de Baleares contra el primer inciso del art. 24.5 de la Ley del Parlamento Balear 7/1998, de 12 de noviembre, de Ordenación farmacéutica de Baleares. Han intervenido y formulado alegaciones La Comunidad Autónoma de las Illes Balears y el Fiscal General del Estado.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día 17 de abril de 2013 tuvo entrada en el registro de este Tribunal un escrito de la Sala de lo Contencioso-Administrativo del Tribunal Superior de Justicia de las Illes Balears, de remisión de las actuaciones correspondientes al procedimiento ordinario 11-2011, que </w:t>
      </w:r>
      <w:r>
        <w:lastRenderedPageBreak/>
        <w:t>incorporan el Auto de esta Sala de 10 de abril de 2013, por el que se plantea cuestión de inconstitucionalidad en relación con el primer inciso del art. 24.5 de la Ley del Parlamento Balear 7/1998, de 12 de noviembre, de ordenación farmacéutica de las Illes Balears por posible vulneración del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En lo que interesa para el presente proceso constitucional, los antecedentes son los que a continuación se exponen.</w:t>
      </w:r>
    </w:p>
    <w:p w:rsidR="0085709A" w:rsidRDefault="0085709A" w:rsidP="0085709A">
      <w:pPr>
        <w:pStyle w:val="TextoNormal"/>
      </w:pPr>
    </w:p>
    <w:p w:rsidR="0085709A" w:rsidRDefault="0085709A" w:rsidP="0085709A">
      <w:pPr>
        <w:pStyle w:val="TextoNormal"/>
      </w:pPr>
      <w:r>
        <w:t>a) La asociación “Plataforma para la libre apertura de farmacias” (Plafarma) interpuso recurso contencioso-administrativo contra la resolución del Consejero de Salud y Consumo de 29 de octubre de 2010, por la que se resuelve el recurso de alzada formulado frente a las resoluciones de la Directora General de Farmacia de 27 de abril de 2010 por la que se convocan 18 concursos de méritos para la adjudicación de oficinas de farmacia en las zonas farmacéuticas de Mallorca y Eivissa. El recurso se formula contra dicha resolución “y, de forma indirecta, frente a la Ley 7/1998, de 12 de noviembre, de ordenación farmacéutica de las Islas Baleares y el Decreto 25/1999, de 19 de marzo, que son las normas que le dan cobertura”.</w:t>
      </w:r>
    </w:p>
    <w:p w:rsidR="0085709A" w:rsidRDefault="0085709A" w:rsidP="0085709A">
      <w:pPr>
        <w:pStyle w:val="TextoNormal"/>
      </w:pPr>
    </w:p>
    <w:p w:rsidR="0085709A" w:rsidRDefault="0085709A" w:rsidP="0085709A">
      <w:pPr>
        <w:pStyle w:val="TextoNormal"/>
      </w:pPr>
      <w:r>
        <w:t>b) Declarado concluso el procedimiento y señalada fecha para votación y fallo del recurso, la Sala acordó, mediante providencia de 15 de marzo de 2013, dar plazo común a las partes y al Ministerio Fiscal para que realizaran alegaciones sobre la pertinencia de plantear la cuestión de inconstitucionalidad respecto del art. 24.5, primer inciso, de la Ley del Parlamento Balear 7/1998, de 12 de noviembre, de ordenación farmacéutica de las Illes Balears, “por cercenar el derecho a la igualdad ante la Ley previsto en el artículo 14 de la Constitución”.</w:t>
      </w:r>
    </w:p>
    <w:p w:rsidR="0085709A" w:rsidRDefault="0085709A" w:rsidP="0085709A">
      <w:pPr>
        <w:pStyle w:val="TextoNormal"/>
      </w:pPr>
    </w:p>
    <w:p w:rsidR="0085709A" w:rsidRDefault="0085709A" w:rsidP="0085709A">
      <w:pPr>
        <w:pStyle w:val="TextoNormal"/>
      </w:pPr>
      <w:r>
        <w:t>c) El Ministerio Fiscal no se opuso al planteamiento de la cuestión de inconstitucionalidad. Considera que la norma cuestionada es efectivamente aplicable, dado que las resoluciones impugnadas convocan concurso de méritos para la adjudicación de oficinas de farmacia y deben aplicar la normativa cuya constitucionalidad se cuestiona. De la constitucionalidad o no de la norma depende el sentido del fallo, habiendo recaído ya pronunciamiento del Tribunal a este respecto en las SSTC 78/2012, 161/2011, 117/2011, 79/2011 y 63/2011. El precepto cuestionado contiene una regulación análoga a otras ya declaradas inconstitucionales y nulas por contener prescripciones limitativas del acceso a las oficinas de farmacia por razón de la edad.</w:t>
      </w:r>
    </w:p>
    <w:p w:rsidR="0085709A" w:rsidRDefault="0085709A" w:rsidP="0085709A">
      <w:pPr>
        <w:pStyle w:val="TextoNormal"/>
      </w:pPr>
    </w:p>
    <w:p w:rsidR="0085709A" w:rsidRDefault="0085709A" w:rsidP="0085709A">
      <w:pPr>
        <w:pStyle w:val="TextoNormal"/>
      </w:pPr>
      <w:r>
        <w:t>d) La representación procesal de la asociación recurrente se reiteró en su criterio de que el límite de edad impuesto podría ser inconstitucional, por quiebra del art. 14 CE en su vertiente de igualdad ante la ley, aunque entiende que también lo puede ser la caducidad de las autorizaciones como resultado de alcanzar una determinada edad. Señala que la única conclusión a la que cabe llegar es que el art. 10.3 del Decreto autonómico es ilegal y que el art. 24.6 (</w:t>
      </w:r>
      <w:r w:rsidRPr="0085709A">
        <w:rPr>
          <w:i/>
        </w:rPr>
        <w:t>sic</w:t>
      </w:r>
      <w:r>
        <w:t>) de la Ley de ordenación farmacéutica es inconstitucional. Para ello extracta la argumentación contenida en las Sentencias antes citadas. La representación procesal de la Comunidad Autónoma de las Illes Balears no formuló alegaciones sobre el planteamiento de la cuestión.</w:t>
      </w:r>
    </w:p>
    <w:p w:rsidR="0085709A" w:rsidRDefault="0085709A" w:rsidP="0085709A">
      <w:pPr>
        <w:pStyle w:val="TextoNormal"/>
      </w:pPr>
    </w:p>
    <w:p w:rsidR="0085709A" w:rsidRDefault="0085709A" w:rsidP="0085709A">
      <w:pPr>
        <w:pStyle w:val="TextoNormal"/>
      </w:pPr>
      <w:r>
        <w:t xml:space="preserve">e) El órgano judicial dictó Auto de 10 de abril de 2013 planteando cuestión de inconstitucionalidad sobre el inciso “No podrán participar en el procedimiento para la autorización </w:t>
      </w:r>
      <w:r>
        <w:lastRenderedPageBreak/>
        <w:t>de una nueva oficina de farmacia los farmacéuticos que tengan más de sesenta y cinco años en el momento de presentación de la correspondiente petición” del art. 24.5 de la Ley del Parlamento Balear 7/1998, de 12 de noviembre, de ordenación farmacéutica de las Illes Balears.</w:t>
      </w:r>
    </w:p>
    <w:p w:rsidR="0085709A" w:rsidRDefault="0085709A" w:rsidP="0085709A">
      <w:pPr>
        <w:pStyle w:val="TextoNormal"/>
      </w:pPr>
    </w:p>
    <w:p w:rsidR="0085709A" w:rsidRDefault="0085709A" w:rsidP="0085709A">
      <w:pPr>
        <w:pStyle w:val="TextoNormal"/>
      </w:pPr>
      <w:r w:rsidRPr="0085709A">
        <w:rPr>
          <w:rStyle w:val="NumeroAFNegritaCaracter"/>
        </w:rPr>
        <w:t>3</w:t>
      </w:r>
      <w:r>
        <w:t>. El Auto de 10 de abril de 2013, de planteamiento de la cuestión, argumenta que la entidad recurrente alega, entre otros motivos del recurso, que el baremo de méritos que rige las convocatorias de adjudicación resulta discriminatorio, al excluir la participación de las personas mayores de 65 años, tal y como se regula en el art. 25.4 de la Ley balear 7/1998 y en el art. 10.3 del Decreto 25/1999, citando las SSTC 63/2011, 79/2011 y 117/2011, recaídas en sendas cuestiones de inconstitucionalidad suscitadas sobre preceptos análogos de otras leyes autonómicas. Como quiera que el precepto cuestionado está vigente y es de aplicación obligada, la conformidad a derecho de este requisito —negativo— recogido en las convocatorias depende de si vulnera o no el art. 14 CE. De ahí que el fallo de la Sentencia que en su día recaiga, y respecto a este motivo consistente en el carácter discriminatorio del baremo por razón de la edad, depende de la validez del primer inciso del precepto legal cuestionado. Pasa a continuación a exponer la doctrina constitucional sobre la cuestión de fondo planteada y razona su aplicabilidad al caso de autos. Señala, finalmente, que la inaplicación de una norma con rango de ley por el Tribunal a fin de salvaguardar la pertinencia del examen del fondo en estos momentos, resulta ser una operación imposible para esta Sala de acuerdo con el recto ejercicio de las funciones que tienen encomendadas, ya que la aplicación de las normas con rango de ley sólo puede operarse previa la declaración de su inconstitucionalidad.</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7 de mayo de 2013, el Pleno del Tribunal Constitucional acordó admitir a trámite la cuestión planteada, deferir a la Sala Primera su conocimiento, y dar traslado de las actuaciones, para personación y alegaciones, al Congreso de los Diputados y al Senado, al Gobierno del Estado, al Fiscal General del Estado, y al Gobierno y Parlamento balear.</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en el Tribunal Constitucional, el 14 de mayo de 2013 la Abogacía de Estado se personó en el proceso sin formular alegaciones. El Senado y el Congreso de los Diputados, por sendos escritos que tuvieron entrada en este Tribunal el 22 de mayo de 2013, también se personaron y ofrecieron su colaboración.</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El Abogado de la Comunidad Autónoma de las Illes Balears, actuando en la representación de legalmente ostenta, presentó su escrito de alegaciones el 31 de mayo de 2013. Tras resumir los antecedentes, puso de manifiesto que la Comunidad Autónoma, en su contestación a la demanda, había alegado la falta de legitimación activa de la asociación actora en aplicación del art. 69 b) en relación con el art. 19.1 a) de la Ley jurisdiccional. Se partía para ello del art. 4 de los Estatutos que no incluye, entre los fines de la asociación, “ni la defensa de los intereses particulares de sus asociados ni la modificación puntual por vía judicial de las normas reglamentarias que regulan la apertura de farmacias (que en todo caso sería una mera defensa de la legalidad inhábil para el otorgamiento de la legitimación activa) sino, por el contrario, la desregulación del sector, la supresión de cualquier regulación de la materia”, de manera que por mucha amplitud que quiera otorgarse a la expresión intereses legítimos y al principio </w:t>
      </w:r>
      <w:r w:rsidRPr="0085709A">
        <w:rPr>
          <w:i/>
        </w:rPr>
        <w:t>pro actione</w:t>
      </w:r>
      <w:r>
        <w:t xml:space="preserve"> como informador del proceso, no tiene cabida en el </w:t>
      </w:r>
      <w:r>
        <w:lastRenderedPageBreak/>
        <w:t>mismo el interés en el cumplimiento de la legalidad que ostenta la recurrente, tanto más cuanto ni siquiera ha acreditado que alguno de los asociados supere la mencionada edad. Concluye, en consecuencia, que la Sala no ha acreditado en qué medida la decisión del proceso depende de la validez de la norma en cuestión. En cuanto al fondo de la cuestión planteada, considera que existe identidad entre el contenido del precepto legal cuestionado y los que fueron objeto de los pronunciamientos del Tribunal Constitucional que declararon que la prohibición del acceso a autorizaciones de las oficinas de nuevas farmacias a los mayores de sesenta y cinco años era una discriminación arbitraria por razón de la edad.</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en este Tribunal el 3 de junio de 2013, la Presidenta del Parlamento de las Illes Balears comunicó que éste no se personaría en el procedimiento ni realizaría alegaciones.</w:t>
      </w:r>
    </w:p>
    <w:p w:rsidR="0085709A" w:rsidRDefault="0085709A" w:rsidP="0085709A">
      <w:pPr>
        <w:pStyle w:val="TextoNormal"/>
      </w:pPr>
    </w:p>
    <w:p w:rsidR="0085709A" w:rsidRDefault="0085709A" w:rsidP="0085709A">
      <w:pPr>
        <w:pStyle w:val="TextoNormal"/>
      </w:pPr>
      <w:r w:rsidRPr="0085709A">
        <w:rPr>
          <w:rStyle w:val="NumeroAFNegritaCaracter"/>
        </w:rPr>
        <w:t>8</w:t>
      </w:r>
      <w:r>
        <w:t>. El Fiscal General del Estado presentó sus alegaciones el 14 de junio de 2013. Tras exponer sucintamente los antecedentes, se refiere a los anteriores pronunciamientos en que el Tribunal Constitucional ha tenido que pronunciarse en relación a preceptos semejantes al que ahora suscita la duda de constitucionalidad, lo que implica que la presente cuestión deba ser resuelta a la luz de las SSTC 63/2011, de 16 de mayo; 79/2011, de 6 de junio; 117/2011, de 4 de julio; 161/2011, de 19 de octubre, y 78/2012, de 16 de abril, alguno de cuyos fundamentos jurídicos transcribe. Considera que a partir de lo en ellas afirmado, la prohibición establecida en primer inciso del precepto cuestionado implica una discriminación por razón de la edad que no es constitucionalmente admisible porque no resulta ni idónea ni proporcionada respecto de las posibles finalidades pretendidas, produciendo, en cambio, la exclusión de los mayores de sesenta y cinco años de modo injustificado, razón por la cual interesa la declaración de inconstitucionalidad y nulidad del citado precepto.</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26 de febrero de 2015 se señaló para deliberación y votación de la presente Sentencia el día 2 de marzo del mismo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Contencioso-Administrativo del Tribunal Superior de Justicia de las Illes Balears plantea cuestión de inconstitucionalidad contra el primer inciso del art. 24.5 de la Ley 7/1998, de 12 de noviembre del Parlamento balear, de ordenación farmacéutica de Baleares, que establece: “No podrán participar en el procedimiento para la autorización de una nueva oficina de farmacia los farmacéuticos que tengan más de sesenta y cinco años en el momento de presentación de la correspondiente petición”, que considera podría ser contrario al art. 14 CE.</w:t>
      </w:r>
    </w:p>
    <w:p w:rsidR="0085709A" w:rsidRDefault="0085709A" w:rsidP="0085709A">
      <w:pPr>
        <w:pStyle w:val="TextoNormal"/>
      </w:pPr>
    </w:p>
    <w:p w:rsidR="0085709A" w:rsidRDefault="0085709A" w:rsidP="0085709A">
      <w:pPr>
        <w:pStyle w:val="TextoNormal"/>
      </w:pPr>
      <w:r>
        <w:t xml:space="preserve">La Comunidad Autónoma de las Illes Balears considera que no se ha acreditado la relevancia de la norma cuestionada por cuanto el Auto de planteamiento no justifica que la asociación recurrente tenga legitimación activa para la interposición del recurso judicial en cuyo seno se plantea la cuestión. En cuanto al fondo entiende, sin embargo, que este precepto es similar a otros preceptos legales autonómicos sobre cuya inconstitucionalidad ya se ha pronunciado este Tribunal. El Ministerio Fiscal no opone objeción procesal alguna a </w:t>
      </w:r>
      <w:r>
        <w:lastRenderedPageBreak/>
        <w:t>la admisión y considera, como la Comunidad Autónoma, que la duda de constitucionalidad versa sobre una cuestión ya resuelta por el Tribunal Constitucional.</w:t>
      </w:r>
    </w:p>
    <w:p w:rsidR="0085709A" w:rsidRDefault="0085709A" w:rsidP="0085709A">
      <w:pPr>
        <w:pStyle w:val="TextoNormal"/>
      </w:pPr>
    </w:p>
    <w:p w:rsidR="0085709A" w:rsidRDefault="0085709A" w:rsidP="0085709A">
      <w:pPr>
        <w:pStyle w:val="TextoNormal"/>
      </w:pPr>
      <w:r w:rsidRPr="0085709A">
        <w:rPr>
          <w:rStyle w:val="NumeroAFNegritaCaracter"/>
        </w:rPr>
        <w:t>2</w:t>
      </w:r>
      <w:r>
        <w:t>. Procede señalar, en primer lugar, que el art. 24 de la Ley balear 7/1998, de 12 de noviembre, ha sido modificado por el artículo 1.11 del Decreto-ley 1/2014, de 14 noviembre de 2014, por el que se cambia la Ley ordenación farmacéutica de las Illes Balears, sin que la regulación legal vigente desde el 16 de noviembre de 2014 contemple la prohibición de los farmacéuticos mayores de sesenta y cinco años de participar en el procedimiento para la autorización de una nueva oficina de farmacia.</w:t>
      </w:r>
    </w:p>
    <w:p w:rsidR="0085709A" w:rsidRDefault="0085709A" w:rsidP="0085709A">
      <w:pPr>
        <w:pStyle w:val="TextoNormal"/>
      </w:pPr>
    </w:p>
    <w:p w:rsidR="0085709A" w:rsidRDefault="0085709A" w:rsidP="0085709A">
      <w:pPr>
        <w:pStyle w:val="TextoNormal"/>
      </w:pPr>
      <w:r>
        <w:t xml:space="preserve">Tratándose de una cuestión de inconstitucionalidad, la modificación de la norma legal sólo puede conllevar la pérdida de objeto del proceso constitucional si, una vez operada, ésta dejara de ser aplicable o no fuera ya relevante para la resolución del proceso judicial en el que ha sido planteada (por todas, STC 73/2014, de 8 de mayo,. FJ 2). Pues bien, en este caso no es posible concluir que el proceso haya perdido objeto. Habida cuenta de que en el recurso contencioso-administrativo se impugnan las resoluciones administrativas —convocatorias de concursos de méritos— dictadas en aplicación de la disposición legal cuestionada, su constitucionalidad o inconstitucionalidad incidirá necesariamente en la validez de los actos dictados en su aplicación y recurridos en el proceso judicial </w:t>
      </w:r>
      <w:r w:rsidRPr="0085709A">
        <w:rPr>
          <w:i/>
        </w:rPr>
        <w:t>a quo</w:t>
      </w:r>
      <w:r>
        <w:t>. Dicho sea esto, claro está, sin perjuicio de la conclusión a la que lleguemos en relación al juicio de relevancia, cuya incorrección denuncia la Comunidad Autónoma como causa de inadmisión de la presente cuestión, y a la que dedicaremos el siguiente fundamento jurídico.</w:t>
      </w:r>
    </w:p>
    <w:p w:rsidR="0085709A" w:rsidRDefault="0085709A" w:rsidP="0085709A">
      <w:pPr>
        <w:pStyle w:val="TextoNormal"/>
      </w:pPr>
    </w:p>
    <w:p w:rsidR="0085709A" w:rsidRDefault="0085709A" w:rsidP="0085709A">
      <w:pPr>
        <w:pStyle w:val="TextoNormal"/>
      </w:pPr>
      <w:r>
        <w:t>En todo caso, la modificación del precepto cuestionado habrá de incidir en el alcance del fallo si fuera estimatorio. La declaración de inconstitucionalidad, si bien ha de producir necesariamente la inaplicación de la norma cuestionada en el proceso, no podría ir acompañada de una declaración de nulidad por tratarse de una norma que ya ha sido eliminada del ordenamiento jurídico.</w:t>
      </w:r>
    </w:p>
    <w:p w:rsidR="0085709A" w:rsidRDefault="0085709A" w:rsidP="0085709A">
      <w:pPr>
        <w:pStyle w:val="TextoNormal"/>
      </w:pPr>
    </w:p>
    <w:p w:rsidR="0085709A" w:rsidRDefault="0085709A" w:rsidP="0085709A">
      <w:pPr>
        <w:pStyle w:val="TextoNormal"/>
      </w:pPr>
      <w:r w:rsidRPr="0085709A">
        <w:rPr>
          <w:rStyle w:val="NumeroAFNegritaCaracter"/>
        </w:rPr>
        <w:t>3</w:t>
      </w:r>
      <w:r>
        <w:t>. Según se ha expuesto, el Abogado de la Comunidad Autónoma solicita la inadmisión de esta cuestión de inconstitucionalidad por considerar que no supera el juicio de relevancia (art. 35.1 de la Ley Orgánica del Tribunal Constitucional: LOTC). Subraya a tal propósito que el órgano judicial no despeja las dudas existentes sobre la viabilidad procesal de la demanda por la falta de legitimación activa de la asociación recurrente que se puso de manifiesto en la contestación a la demanda. Tal y como este Tribunal ha afirmado (por todas STC 207/2014, de 15 de diciembre, FJ 2) es el órgano judicial al que corresponde comprobar y exteriorizar el juicio de relevancia, de manera que no corresponde a este Tribunal rectificar su criterio salvo en los supuestos en que de manera notoria, sin necesidad de examinar el fondo debatido y en aplicación de principios jurídicos básicos, se advierta que la argumentación judicial en relación con el juicio de relevancia resulta falta de consistencia.</w:t>
      </w:r>
    </w:p>
    <w:p w:rsidR="0085709A" w:rsidRDefault="0085709A" w:rsidP="0085709A">
      <w:pPr>
        <w:pStyle w:val="TextoNormal"/>
      </w:pPr>
    </w:p>
    <w:p w:rsidR="0085709A" w:rsidRDefault="0085709A" w:rsidP="0085709A">
      <w:pPr>
        <w:pStyle w:val="TextoNormal"/>
      </w:pPr>
      <w:r>
        <w:t xml:space="preserve">La objeción que ahora formula el Abogado de la Comunidad Autónoma no fue puesta de manifiesto por las partes o el Ministerio Fiscal en el trámite de alegaciones del art. 35.2 LOTC, motivo por el cual el Auto de planteamiento de la cuestión no hizo referencia alguna a esta cuestión, lo que aleja este supuesto del que llevó a este Tribunal, en la STC 84/2012, de 18 de abril, a entender incorrectamente realizado el juicio de relevancia. En aquella ocasión este Tribunal afirmó que si bien no puede pretenderse que las cuestiones previas de legalidad procesal sean resueltas en el Auto de planteamiento, resulta necesario que éste </w:t>
      </w:r>
      <w:r>
        <w:lastRenderedPageBreak/>
        <w:t xml:space="preserve">incluya un pronunciamiento específico teniendo en cuenta las alegaciones formuladas en el propio trámite de audiencia del art. 35.2 LOTC, sin que el rechazo implícito de las objeciones entonces puestas de manifiesto permita a este Tribunal controlar la razonabilidad, suficiencia y coherencia del juicio de relevancia, en orden a garantizar que la cuestión de inconstitucionalidad no se utilice para obtener pronunciamientos innecesarios o indiferentes para el proceso </w:t>
      </w:r>
      <w:r w:rsidRPr="0085709A">
        <w:rPr>
          <w:i/>
        </w:rPr>
        <w:t>a quo</w:t>
      </w:r>
      <w:r>
        <w:t>, con la consiguiente perturbación inútil del litigio y, desde la perspectiva del proceso constitucional, con un uso del mismo no acomodado a su naturaleza. En este caso, la Administración demandada no sólo no opuso reparo alguno en el mencionado trámite, sino que ahora hace depender el análisis de la falta de relevancia de la disposición legal cuestionada de una interpretación de los Estatutos de la asociación recurrente que no cabe realizar a partir de la aplicación de principios jurídicos básicos y sin entrar en la cuestión de fondo discutida, lo que excede del juicio que debe realizar este Tribunal, limitado a un mero control externo que no puede reemplazar el del órgano judicial proponente de la cuestión. Debemos, en consecuencia, rechazar la causa de inadmisibilidad planteada por la Comunidad Autónoma de las Illes Balears.</w:t>
      </w:r>
    </w:p>
    <w:p w:rsidR="0085709A" w:rsidRDefault="0085709A" w:rsidP="0085709A">
      <w:pPr>
        <w:pStyle w:val="TextoNormal"/>
      </w:pPr>
    </w:p>
    <w:p w:rsidR="0085709A" w:rsidRDefault="0085709A" w:rsidP="0085709A">
      <w:pPr>
        <w:pStyle w:val="TextoNormal"/>
      </w:pPr>
      <w:r w:rsidRPr="0085709A">
        <w:rPr>
          <w:rStyle w:val="NumeroAFNegritaCaracter"/>
        </w:rPr>
        <w:t>4</w:t>
      </w:r>
      <w:r>
        <w:t>. Entrando en la cuestión de fondo planteada, tal y como señalan en sus alegaciones la Administración autonómica y el Fiscal General del Estado, este Tribunal ha tenido oportunidad de pronunciarse en varias ocasiones en relación a preceptos de contenido idéntico al aquí cuestionado que, como las leyes de Castilla-La Mancha, Galicia, Aragón Extremadura y País Vasco analizadas en las SSTC 63/2011, de 16 de mayo; 79/2011, de 6 de junio; 117/2011, de 4 de julio, y 161/2011, de 19 de octubre, y 78/2012, de 16 de abril, prohíbe a los farmacéuticos mayores de sesenta y cinco años de participar en el procedimiento para la autorización de una oficina de farmacia. En todas estas ocasiones el Tribunal Constitucional se ha pronunciado sobre la incompatibilidad de esta prescripción con el art. 14 CE por los argumentos que a continuación se exponen:</w:t>
      </w:r>
    </w:p>
    <w:p w:rsidR="0085709A" w:rsidRDefault="0085709A" w:rsidP="0085709A">
      <w:pPr>
        <w:pStyle w:val="TextoNormal"/>
      </w:pPr>
    </w:p>
    <w:p w:rsidR="0085709A" w:rsidRDefault="0085709A" w:rsidP="0085709A">
      <w:pPr>
        <w:pStyle w:val="TextoNormal"/>
      </w:pPr>
      <w:r>
        <w:t>a) El art. 14 CE contiene una cláusula general de igualdad, esto es, un derecho subjetivo de los ciudadanos a obtener un trato igual que exige que los supuestos de hecho iguales sean tratados idénticamente salvo que exista una justificación de esta diferencia fundada y razonable, de acuerdo con criterios y juicios de valor generalmente aceptados, y de consecuencias no desproporcionadas.</w:t>
      </w:r>
    </w:p>
    <w:p w:rsidR="0085709A" w:rsidRDefault="0085709A" w:rsidP="0085709A">
      <w:pPr>
        <w:pStyle w:val="TextoNormal"/>
      </w:pPr>
    </w:p>
    <w:p w:rsidR="0085709A" w:rsidRDefault="0085709A" w:rsidP="0085709A">
      <w:pPr>
        <w:pStyle w:val="TextoNormal"/>
      </w:pPr>
      <w:r>
        <w:t>b) Los concretos motivos de discriminación referidos en el art. 14 CE, aunque excepcionalmente pueden ser tenidos en cuenta como criterio de diferenciación, están sujetos a un canon de constitucionalidad mucho más estricto y a una carga más rigurosa de acreditar el carácter justificado de dicha diferenciación. La edad es uno de estos factores a los que alcanzan la prohibición de discriminación y las exigencias más rigurosas de justificación y proporcionalidad.</w:t>
      </w:r>
    </w:p>
    <w:p w:rsidR="0085709A" w:rsidRDefault="0085709A" w:rsidP="0085709A">
      <w:pPr>
        <w:pStyle w:val="TextoNormal"/>
      </w:pPr>
    </w:p>
    <w:p w:rsidR="0085709A" w:rsidRDefault="0085709A" w:rsidP="0085709A">
      <w:pPr>
        <w:pStyle w:val="TextoNormal"/>
      </w:pPr>
      <w:r>
        <w:t>c) La prohibición contemplada por el precepto cuestionado ni está justificada por la dificultad objetiva para prestar el servicio o para adaptarse a las necesidades de la población [STC 63/2011, FJ 4 a)], ni por ser una medida de acción positiva dirigida a favorecer a los integrantes de un colectivo desfavorecido [STC 63/2011, FJ 4 b)], ni por servir a las exigencias de la planificación y organización del servicio [SSTC 79/2011, FJ 4 b) y 117/2011, FJ 5 c)], ni, finalmente, por la necesidad de evitar eventuales tensiones especulativas [STC 117/2011, FJ 5 b) y 78/2012, FJ 3].</w:t>
      </w:r>
    </w:p>
    <w:p w:rsidR="0085709A" w:rsidRDefault="0085709A" w:rsidP="0085709A">
      <w:pPr>
        <w:pStyle w:val="TextoNormal"/>
      </w:pPr>
    </w:p>
    <w:p w:rsidR="0085709A" w:rsidRDefault="0085709A" w:rsidP="0085709A">
      <w:pPr>
        <w:pStyle w:val="TextoNormal"/>
      </w:pPr>
      <w:r>
        <w:lastRenderedPageBreak/>
        <w:t>En aplicación de esta doctrina debemos declarar que el primer inciso del art. 24.5 de la Ley del Parlamento balear 7/1998, de 12 de noviembre, de ordenación farmacéutica de Baleares, en su redacción originaria, es contrario al art. 14 CE y, por tanto, inconstitucional.</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cuestión de inconstitucionalidad núm. 2285-2013 y, en consecuencia, declarar la inconstitucionalidad del inciso “No podrán participar en el procedimiento para la autorización de una nueva oficina de farmacia los farmacéuticos que tengan más de sesenta y cinco años en el momento de presentación de la correspondiente petición” del art. 24.5 de la Ley del Parlamento balear 7/1998, de 12 de noviembre, de ordenación farmacéutica de Baleares.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5" w:name="SENTENCIA_2015_42"/>
      <w:r>
        <w:lastRenderedPageBreak/>
        <w:t>SENTENCIA 42/2015, de 2 de marzo de 2015</w:t>
      </w:r>
    </w:p>
    <w:bookmarkEnd w:id="45"/>
    <w:p w:rsidR="0085709A" w:rsidRDefault="0085709A" w:rsidP="0085709A">
      <w:pPr>
        <w:pStyle w:val="TtuloResolucin"/>
      </w:pPr>
      <w:r>
        <w:t>Sala Segunda</w:t>
      </w:r>
    </w:p>
    <w:p w:rsidR="0085709A" w:rsidRDefault="0085709A" w:rsidP="0085709A">
      <w:pPr>
        <w:pStyle w:val="TtuloBOE"/>
      </w:pPr>
      <w:r>
        <w:t>(BOE núm. 85, de 9 de abril de 2015)</w:t>
      </w:r>
    </w:p>
    <w:p w:rsidR="0085709A" w:rsidRDefault="0085709A" w:rsidP="0085709A">
      <w:pPr>
        <w:pStyle w:val="TextoNormalCentrado"/>
      </w:pPr>
      <w:r>
        <w:t>ECLI:ES:TC:2015:42</w:t>
      </w:r>
    </w:p>
    <w:p w:rsidR="0085709A" w:rsidRDefault="0085709A" w:rsidP="0085709A">
      <w:pPr>
        <w:pStyle w:val="TextoNormalCentrado"/>
      </w:pPr>
    </w:p>
    <w:p w:rsidR="0085709A" w:rsidRDefault="0085709A" w:rsidP="0085709A">
      <w:pPr>
        <w:pStyle w:val="SntesisDescriptiva"/>
      </w:pPr>
      <w:r>
        <w:t>Recurso de amparo 3188-2013. Promovido por el Ministerio Fiscal en relación con el Auto del Juzgado de Primera Instancia e Instrucción núm. 4 de Mérida que inadmitió la incoación de un procedimiento de habeas corpus.</w:t>
      </w:r>
    </w:p>
    <w:p w:rsidR="0085709A" w:rsidRDefault="0085709A" w:rsidP="0085709A">
      <w:pPr>
        <w:pStyle w:val="SntesisDescriptiva"/>
      </w:pPr>
    </w:p>
    <w:p w:rsidR="0085709A" w:rsidRDefault="0085709A" w:rsidP="0085709A">
      <w:pPr>
        <w:pStyle w:val="SntesisAnaltica"/>
      </w:pPr>
      <w:r>
        <w:t>Vulneración del derecho a la libertad personal: inadmisión de una petición de habeas corpus por razones de fondo (STC 35/2008).</w:t>
      </w:r>
    </w:p>
    <w:p w:rsidR="0085709A" w:rsidRDefault="0085709A" w:rsidP="0085709A">
      <w:pPr>
        <w:pStyle w:val="SntesisAnaltica"/>
      </w:pPr>
    </w:p>
    <w:p w:rsidR="0085709A" w:rsidRDefault="0085709A" w:rsidP="0085709A">
      <w:pPr>
        <w:pStyle w:val="Extracto"/>
      </w:pPr>
      <w:r>
        <w:t>1.</w:t>
      </w:r>
      <w:r>
        <w:tab/>
        <w:t xml:space="preserve">La privación de libertad no acordada judicialmente y la concurrencia de todos los requisitos formales exigidos por la Ley Orgánica reguladora del procedimiento de </w:t>
      </w:r>
      <w:r w:rsidRPr="0085709A">
        <w:rPr>
          <w:i/>
        </w:rPr>
        <w:t>habeas corpus</w:t>
      </w:r>
      <w:r>
        <w:t xml:space="preserve"> hace obligada la admisión a trámite del procedimiento, de modo que el órgano judicial vulneró el derecho a la libertad personal del solicitante (art. 17.1 y 4 CE), lo que conduce a la estimación del recurso de amparo [FJ 5].</w:t>
      </w:r>
    </w:p>
    <w:p w:rsidR="0085709A" w:rsidRDefault="0085709A" w:rsidP="0085709A">
      <w:pPr>
        <w:pStyle w:val="Extracto"/>
      </w:pPr>
    </w:p>
    <w:p w:rsidR="0085709A" w:rsidRDefault="0085709A" w:rsidP="0085709A">
      <w:pPr>
        <w:pStyle w:val="Extracto"/>
      </w:pPr>
      <w:r>
        <w:t>2.</w:t>
      </w:r>
      <w:r>
        <w:tab/>
        <w:t xml:space="preserve">Fundamentar la decisión judicial de inadmisión únicamente en que el recurrente no se encontraba ilícitamente privado de libertad vulnera los artículos 17.1 y 4 CE, que exigen una resolución sobre el fondo que solo puede realizarse una vez sustanciado el procedimiento porque el contenido propio de la pretensión formulada en el </w:t>
      </w:r>
      <w:r w:rsidRPr="0085709A">
        <w:rPr>
          <w:i/>
        </w:rPr>
        <w:t xml:space="preserve">habeas corpus </w:t>
      </w:r>
      <w:r>
        <w:t>es precisamente la de determinar la licitud o ilicitud de dicha privación (STC 35/2008) [FFJJ 2 y 3].</w:t>
      </w:r>
    </w:p>
    <w:p w:rsidR="0085709A" w:rsidRDefault="0085709A" w:rsidP="0085709A">
      <w:pPr>
        <w:pStyle w:val="Extracto"/>
      </w:pPr>
    </w:p>
    <w:p w:rsidR="0085709A" w:rsidRDefault="0085709A" w:rsidP="0085709A">
      <w:pPr>
        <w:pStyle w:val="Extracto"/>
      </w:pPr>
      <w:r>
        <w:t>3.</w:t>
      </w:r>
      <w:r>
        <w:tab/>
        <w:t xml:space="preserve">La mera referencia a que no concurren ninguno de los supuestos del art. 1 de la Ley reguladora del procedimiento de </w:t>
      </w:r>
      <w:r w:rsidRPr="0085709A">
        <w:rPr>
          <w:i/>
        </w:rPr>
        <w:t>habeas corpus</w:t>
      </w:r>
      <w:r>
        <w:t>, como causa de justificación de la inadmisión a trámite de la petición formulada, no permite conocer la razón determinante de la denegación, por lo que una resolución judicial en estos términos, genérica y estereotipada, no ofrece la motivación mínima que es constitucionalmente exigible (SSTC 86/1996, 195/2014) [FJ 3].</w:t>
      </w:r>
    </w:p>
    <w:p w:rsidR="0085709A" w:rsidRDefault="0085709A" w:rsidP="0085709A">
      <w:pPr>
        <w:pStyle w:val="Extracto"/>
      </w:pPr>
    </w:p>
    <w:p w:rsidR="0085709A" w:rsidRDefault="0085709A" w:rsidP="0085709A">
      <w:pPr>
        <w:pStyle w:val="Extracto"/>
      </w:pPr>
      <w:r>
        <w:t>4.</w:t>
      </w:r>
      <w:r>
        <w:tab/>
        <w:t>Los únicos motivos constitucionalmente legítimos para inadmitir un procedimiento de</w:t>
      </w:r>
      <w:r w:rsidRPr="0085709A">
        <w:rPr>
          <w:i/>
        </w:rPr>
        <w:t xml:space="preserve"> habeas corpus </w:t>
      </w:r>
      <w:r>
        <w:t xml:space="preserve">son los basados en la falta del presupuesto necesario de una situación de privación de libertad no acordada judicialmente o en el incumplimiento de los requisitos formales a los que se refiere el art. 4 de la Ley Orgánica reguladora del procedimiento de </w:t>
      </w:r>
      <w:r w:rsidRPr="0085709A">
        <w:rPr>
          <w:i/>
        </w:rPr>
        <w:t xml:space="preserve">habeas corpus </w:t>
      </w:r>
      <w:r>
        <w:t>(STC 35/2008) [FJ 2].</w:t>
      </w:r>
    </w:p>
    <w:p w:rsidR="0085709A" w:rsidRDefault="0085709A" w:rsidP="0085709A">
      <w:pPr>
        <w:pStyle w:val="Extracto"/>
      </w:pPr>
    </w:p>
    <w:p w:rsidR="0085709A" w:rsidRDefault="0085709A" w:rsidP="0085709A">
      <w:pPr>
        <w:pStyle w:val="Extracto"/>
      </w:pPr>
      <w:r>
        <w:t>5.</w:t>
      </w:r>
      <w:r>
        <w:tab/>
        <w:t xml:space="preserve">La doctrina de este Tribunal sobre el derecho fundamental a la libertad personal  y la admisión a trámite de las solicitudes de </w:t>
      </w:r>
      <w:r w:rsidRPr="0085709A">
        <w:rPr>
          <w:i/>
        </w:rPr>
        <w:t xml:space="preserve">habeas corpus </w:t>
      </w:r>
      <w:r>
        <w:t>se incumple de modo general y reiterado por la jurisdicción ordinaria,  lo que dota de especial trascendencia constitucional al recurso, de conformidad con el apartado e) del fundamento jurídico 2 de la STC 155/2009, de 25 de junio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 xml:space="preserve">La Sala Segunda del Tribunal Constitucional, compuesta por doña Adela Asua Batarrita, Presidenta, don Fernando Valdés Dal-Ré, don Juan José González Rivas, don Pedro José </w:t>
      </w:r>
      <w:r>
        <w:lastRenderedPageBreak/>
        <w:t>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3188-2013, promovido por el Ministerio Fiscal contra el Auto del Juzgado de Primera Instancia e Instrucción núm. 4 de Mérida de 21 de mayo de 2013, por el que se desestimó el incidente de nulidad de actuaciones interpuesto contra el Auto de la misma fecha, por el que se acordó no admitir la incoación del procedimiento de habeas corpus núm. 1-2013.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Ministerio Fiscal interpuso demanda de amparo contra las resoluciones que se mencionan en el encabezamiento mediante escrito registrado en este Tribunal el 28 de mayo de 2013.</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fundamenta la demanda de amparo son, sucintamente expuestos, los siguientes:</w:t>
      </w:r>
    </w:p>
    <w:p w:rsidR="0085709A" w:rsidRDefault="0085709A" w:rsidP="0085709A">
      <w:pPr>
        <w:pStyle w:val="TextoNormal"/>
      </w:pPr>
    </w:p>
    <w:p w:rsidR="0085709A" w:rsidRDefault="0085709A" w:rsidP="0085709A">
      <w:pPr>
        <w:pStyle w:val="TextoNormal"/>
      </w:pPr>
      <w:r>
        <w:t>a) Sobre las 18:02 horas del día 20 de mayo de 2013 agentes del Cuerpo Nacional de Policía presentaron, en calidad de detenido, en la comisaría local de Mérida a don Santiago Ángel Yanguas Gutiérrez, tras una denuncia interpuesta por su madre por malos tratos en el ámbito familiar.</w:t>
      </w:r>
    </w:p>
    <w:p w:rsidR="0085709A" w:rsidRDefault="0085709A" w:rsidP="0085709A">
      <w:pPr>
        <w:pStyle w:val="TextoNormal"/>
      </w:pPr>
    </w:p>
    <w:p w:rsidR="0085709A" w:rsidRDefault="0085709A" w:rsidP="0085709A">
      <w:pPr>
        <w:pStyle w:val="TextoNormal"/>
      </w:pPr>
      <w:r>
        <w:t xml:space="preserve">b) El mismo día 20, sin que conste hora exacta, encontrándose detenido don Santiago Ángel Yanguas Gutiérrez solicitó la incoación del procedimiento de </w:t>
      </w:r>
      <w:r w:rsidRPr="0085709A">
        <w:rPr>
          <w:i/>
        </w:rPr>
        <w:t>habeas corpus</w:t>
      </w:r>
      <w:r>
        <w:t>, interesando, en consecuencia, su puesta a disposición de la autoridad judicial. La solicitud se fundamentaba en que la situación de detención no estaba justificada, ya que “se debe por un dinero que me prestaron y mi madre me lo pide ya hace días y no puedo dárselo. Porque tengo una hija que lo necesita”.</w:t>
      </w:r>
    </w:p>
    <w:p w:rsidR="0085709A" w:rsidRDefault="0085709A" w:rsidP="0085709A">
      <w:pPr>
        <w:pStyle w:val="TextoNormal"/>
      </w:pPr>
    </w:p>
    <w:p w:rsidR="0085709A" w:rsidRDefault="0085709A" w:rsidP="0085709A">
      <w:pPr>
        <w:pStyle w:val="TextoNormal"/>
      </w:pPr>
      <w:r>
        <w:t xml:space="preserve">c) Puesta dicha solicitud en conocimiento del Juzgado de Primera Instancia e Instrucción núm. 4 de Mérida, en funciones de guardia, la Secretaria judicial extiende diligencia de 21 de mayo en que hace constar: “en el día de hoy y siendo las 9:00 horas se ha recibido la anterior solicitud de incoación de procedimiento de </w:t>
      </w:r>
      <w:r w:rsidRPr="0085709A">
        <w:rPr>
          <w:i/>
        </w:rPr>
        <w:t>habeas corpus</w:t>
      </w:r>
      <w:r>
        <w:t xml:space="preserve"> regulado en la LO 6/1984, de lo que paso a dar cuenta”.</w:t>
      </w:r>
    </w:p>
    <w:p w:rsidR="0085709A" w:rsidRDefault="0085709A" w:rsidP="0085709A">
      <w:pPr>
        <w:pStyle w:val="TextoNormal"/>
      </w:pPr>
    </w:p>
    <w:p w:rsidR="0085709A" w:rsidRDefault="0085709A" w:rsidP="0085709A">
      <w:pPr>
        <w:pStyle w:val="TextoNormal"/>
      </w:pPr>
      <w:r>
        <w:lastRenderedPageBreak/>
        <w:t xml:space="preserve">En la misma fecha el Ministerio Fiscal solicitó la admisión del </w:t>
      </w:r>
      <w:r w:rsidRPr="0085709A">
        <w:rPr>
          <w:i/>
        </w:rPr>
        <w:t>habeas corpus</w:t>
      </w:r>
      <w:r>
        <w:t xml:space="preserve"> y la audiencia de la persona detenida, por considerar que concurrían los presupuestos legales para su admisión, previstos en la Ley Orgánica 6/1984, de 24 de mayo .</w:t>
      </w:r>
    </w:p>
    <w:p w:rsidR="0085709A" w:rsidRDefault="0085709A" w:rsidP="0085709A">
      <w:pPr>
        <w:pStyle w:val="TextoNormal"/>
      </w:pPr>
    </w:p>
    <w:p w:rsidR="0085709A" w:rsidRDefault="0085709A" w:rsidP="0085709A">
      <w:pPr>
        <w:pStyle w:val="TextoNormal"/>
      </w:pPr>
      <w:r>
        <w:t xml:space="preserve">d) Por Auto de 21 de mayo de 2013 el Juzgado, sin oír previamente al detenido, acordó denegar </w:t>
      </w:r>
      <w:r w:rsidRPr="0085709A">
        <w:rPr>
          <w:i/>
        </w:rPr>
        <w:t>a limine</w:t>
      </w:r>
      <w:r>
        <w:t xml:space="preserve"> la incoación del referido procedimiento, razonando que el caso planteado por el detenido “no puede considerarse encuadrado en ninguno de los apartados del art. 1 de la Ley de Habeas Corpus, por lo que, conforme establece su art. 6, debe considerarse improcedente la petición efectuada”.</w:t>
      </w:r>
    </w:p>
    <w:p w:rsidR="0085709A" w:rsidRDefault="0085709A" w:rsidP="0085709A">
      <w:pPr>
        <w:pStyle w:val="TextoNormal"/>
      </w:pPr>
    </w:p>
    <w:p w:rsidR="0085709A" w:rsidRDefault="0085709A" w:rsidP="0085709A">
      <w:pPr>
        <w:pStyle w:val="TextoNormal"/>
      </w:pPr>
      <w:r>
        <w:t>e) El Fiscal planteó incidente de nulidad contra la anterior resolución, con arreglo a lo previsto en los artículos 238.3 y 241 de la Ley Orgánica del Poder Judicial (LOPJ); por escrito presentado el mismo 21 de mayo de 2013, donde alegaba infracción del derecho a la libertad personal (art. 17.4 CE) e incumplimiento de lo establecido en la doctrina constitucional sobre esta materia, citando al efecto, la STC 37/2008, de 25 de febrero.</w:t>
      </w:r>
    </w:p>
    <w:p w:rsidR="0085709A" w:rsidRDefault="0085709A" w:rsidP="0085709A">
      <w:pPr>
        <w:pStyle w:val="TextoNormal"/>
      </w:pPr>
    </w:p>
    <w:p w:rsidR="0085709A" w:rsidRDefault="0085709A" w:rsidP="0085709A">
      <w:pPr>
        <w:pStyle w:val="TextoNormal"/>
      </w:pPr>
      <w:r>
        <w:t xml:space="preserve">f) Por Auto del mismo 21 de mayo de 2013, el referido Juzgado acuerda no haber lugar a la declaración de nulidad de actuaciones, considerando que la Ley Orgánica reguladora del procedimiento de </w:t>
      </w:r>
      <w:r w:rsidRPr="0085709A">
        <w:rPr>
          <w:i/>
        </w:rPr>
        <w:t>habeas corpus</w:t>
      </w:r>
      <w:r>
        <w:t xml:space="preserve"> “permite realizar un juicio de admisibilidad, posibilitando denegar la incoación del procedimiento y, haciendo uso de tal posibilidad, se entiende que no se vulnera ningún derecho fundamental, entendiendo por tanto, que no ha lugar a la nulidad solicitada”.</w:t>
      </w:r>
    </w:p>
    <w:p w:rsidR="0085709A" w:rsidRDefault="0085709A" w:rsidP="0085709A">
      <w:pPr>
        <w:pStyle w:val="TextoNormal"/>
      </w:pPr>
    </w:p>
    <w:p w:rsidR="0085709A" w:rsidRDefault="0085709A" w:rsidP="0085709A">
      <w:pPr>
        <w:pStyle w:val="TextoNormal"/>
      </w:pPr>
      <w:r w:rsidRPr="0085709A">
        <w:rPr>
          <w:rStyle w:val="NumeroAFNegritaCaracter"/>
        </w:rPr>
        <w:t>3</w:t>
      </w:r>
      <w:r>
        <w:t>. El Ministerio Fiscal solicita que se declare la vulneración del derecho a la libertad personal (art. 17.1 y 4 CE) y la nulidad de las resoluciones impugnadas.</w:t>
      </w:r>
    </w:p>
    <w:p w:rsidR="0085709A" w:rsidRDefault="0085709A" w:rsidP="0085709A">
      <w:pPr>
        <w:pStyle w:val="TextoNormal"/>
      </w:pPr>
    </w:p>
    <w:p w:rsidR="0085709A" w:rsidRDefault="0085709A" w:rsidP="0085709A">
      <w:pPr>
        <w:pStyle w:val="TextoNormal"/>
      </w:pPr>
      <w:r>
        <w:t xml:space="preserve">El Ministerio Fiscal afirma que el órgano judicial, una vez solicitada la incoación del procedimiento de </w:t>
      </w:r>
      <w:r w:rsidRPr="0085709A">
        <w:rPr>
          <w:i/>
        </w:rPr>
        <w:t>habeas</w:t>
      </w:r>
      <w:r>
        <w:t xml:space="preserve"> c</w:t>
      </w:r>
      <w:r w:rsidRPr="0085709A">
        <w:rPr>
          <w:i/>
        </w:rPr>
        <w:t>orpus</w:t>
      </w:r>
      <w:r>
        <w:t xml:space="preserve">, procedió a su no admisión </w:t>
      </w:r>
      <w:r w:rsidRPr="0085709A">
        <w:rPr>
          <w:i/>
        </w:rPr>
        <w:t>a limine</w:t>
      </w:r>
      <w:r>
        <w:t xml:space="preserve"> con una argumentación estereotipada en que se limitaba a señalar que la petición no se encuadraba en ninguno de los supuestos del art. 1 de la Ley Orgánica 6/1984. Argumenta que esta decisión lesiona el derecho a la libertad personal del art. 17.1 y 4 CE, y contradice abiertamente la consolidada y reiterada doctrina de este Tribunal acerca de la efectividad del control judicial de las situaciones de privación de libertad, no acordadas judicialmente, citando, entre otras, las SSTC 303/2006, 165/2007 y 88/2011. Con arreglo a dicha doctrina, “el enjuiciamiento sobre la legalidad de la detención (policial), una vez constatada su realidad, debe llevarse a cabo en el juicio de fondo, por lo que no puede acordarse la no admisión de la solicitud por este motivo, sin examinar las circunstancias concurrentes y previa comparecencia y audiencia de la persona privada de libertad”.</w:t>
      </w:r>
    </w:p>
    <w:p w:rsidR="0085709A" w:rsidRDefault="0085709A" w:rsidP="0085709A">
      <w:pPr>
        <w:pStyle w:val="TextoNormal"/>
      </w:pPr>
    </w:p>
    <w:p w:rsidR="0085709A" w:rsidRDefault="0085709A" w:rsidP="0085709A">
      <w:pPr>
        <w:pStyle w:val="TextoNormal"/>
      </w:pPr>
      <w:r>
        <w:t xml:space="preserve">Por otra parte, el órgano judicial, una vez constatado que se cumplían todos los requisitos formales del art. 4 de la Ley Orgánica 6/1984, tenía la obligación constitucional, tal como fue informado por el Ministerio Fiscal, de acordar la incoación del procedimiento de </w:t>
      </w:r>
      <w:r w:rsidRPr="0085709A">
        <w:rPr>
          <w:i/>
        </w:rPr>
        <w:t>habeas corpus</w:t>
      </w:r>
      <w:r>
        <w:t>. Igualmente dice que no resulta admisible fundamentar la decisión de no admisión en razones de fondo. Por último, el Ministerio Fiscal también afirma que la decisión de desestimar el incidente de nulidad perpetuó la vulneración constitucional del art. 17.1 y 4 CE, ya que el solicitante se encontraba aún en situación de detención policial y lo alegado en el incidente no era la existencia de una indefensión sino una lesión directa e inmediata del derecho a la libertad personal.</w:t>
      </w:r>
    </w:p>
    <w:p w:rsidR="0085709A" w:rsidRDefault="0085709A" w:rsidP="0085709A">
      <w:pPr>
        <w:pStyle w:val="TextoNormal"/>
      </w:pPr>
    </w:p>
    <w:p w:rsidR="0085709A" w:rsidRDefault="0085709A" w:rsidP="0085709A">
      <w:pPr>
        <w:pStyle w:val="TextoNormal"/>
      </w:pPr>
      <w:r>
        <w:t xml:space="preserve">El Ministerio Fiscal, con cita de la STC 155/2009, de 25 de junio, FJ 2, justifica la especial transcendencia constitucional de este recurso, en primer lugar, en la negativa del órgano judicial al deber de acatamiento de la doctrina del Tribunal Constitucional [apartado f)], ya que, a pesar de que le fue puesta de manifiesto, no se hizo una aplicación de la misma. En segundo lugar, también fundamenta la especial trascendencia constitucional del recurso en que la jurisprudencia del Tribunal Constitucional sobre este particular está siendo incumplida de modo general y reiterado por la jurisdicción ordinaria [apartado e)], tal como se acredita del análisis de los distintos y reiterados pronunciamientos del Tribunal Constitucional. Expone que “se trata, por tanto, de un supuesto deliberado de incumplimiento de la doctrina constitucional por parte del órgano judicial, que provoca, como consecuencia, la neutralización </w:t>
      </w:r>
      <w:r w:rsidRPr="0085709A">
        <w:rPr>
          <w:i/>
        </w:rPr>
        <w:t>ab initio</w:t>
      </w:r>
      <w:r>
        <w:t xml:space="preserve"> de su función de garante del derecho a la libertad personal. Esta mala praxis judicial contribuye a un fenómeno de </w:t>
      </w:r>
      <w:r w:rsidRPr="0085709A">
        <w:rPr>
          <w:i/>
        </w:rPr>
        <w:t>banalización</w:t>
      </w:r>
      <w:r>
        <w:t xml:space="preserve"> del derecho a la libertad personal, incompatible con la noción de Estado constitucional de Derecho”.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Mediante providencia de 9 de octubre de 2014, la Sección Tercera de la Sala Segunda de este Tribunal acordó la admisión a trámite de la demanda de amparo presentada y, de conformidad con lo dispuesto en el art. 51 de la Ley Orgánica del Tribunal Constitucional (LOTC), dirigir atenta comunicación al Juzgado de Primera Instancia e Instrucción número 4 de Mérida para que remitiera certificación o fotocopia adverada de las actuaciones correspondientes al procedimiento de </w:t>
      </w:r>
      <w:r w:rsidRPr="0085709A">
        <w:rPr>
          <w:i/>
        </w:rPr>
        <w:t>habeas corpus</w:t>
      </w:r>
      <w:r>
        <w:t xml:space="preserve"> 1-2013, y se emplazase a quienes hubieran sido parte en el citado procedimiento para que en el plazo de diez días pudieran comparecer en este proceso constitucional de amparo, excepto la parte recurrente en amparo. Igualmente, se acordó también la publicación de la admisión en el “Boletín Oficial del Estado”, de conformidad con lo previsto en el art. 46.2 LOTC, a efectos de comparecencia de otros posibles interesados.</w:t>
      </w:r>
    </w:p>
    <w:p w:rsidR="0085709A" w:rsidRDefault="0085709A" w:rsidP="0085709A">
      <w:pPr>
        <w:pStyle w:val="TextoNormal"/>
      </w:pPr>
    </w:p>
    <w:p w:rsidR="0085709A" w:rsidRDefault="0085709A" w:rsidP="0085709A">
      <w:pPr>
        <w:pStyle w:val="TextoNormal"/>
      </w:pPr>
      <w:r w:rsidRPr="0085709A">
        <w:rPr>
          <w:rStyle w:val="NumeroAFNegritaCaracter"/>
        </w:rPr>
        <w:t>5</w:t>
      </w:r>
      <w:r>
        <w:t>. La Secretaría de Justicia de la Sala Segunda de este Tribunal, tras dejar constancia de que no se había efectuado personación alguna, por diligencia de ordenación de 7 de enero de 2015, acordó dar vista de las actuaciones al Ministerio Fiscal por un plazo de veinte días para presentar las alegaciones que estimasen pertinentes, de conformidad con el art. 52 LOTC.</w:t>
      </w:r>
    </w:p>
    <w:p w:rsidR="0085709A" w:rsidRDefault="0085709A" w:rsidP="0085709A">
      <w:pPr>
        <w:pStyle w:val="TextoNormal"/>
      </w:pPr>
    </w:p>
    <w:p w:rsidR="0085709A" w:rsidRDefault="0085709A" w:rsidP="0085709A">
      <w:pPr>
        <w:pStyle w:val="TextoNormal"/>
      </w:pPr>
      <w:r w:rsidRPr="0085709A">
        <w:rPr>
          <w:rStyle w:val="NumeroAFNegritaCaracter"/>
        </w:rPr>
        <w:t>6</w:t>
      </w:r>
      <w:r>
        <w:t>. El Ministerio Fiscal, en escrito de 11 de febrero de 2015, presentó sus alegaciones reproduciendo las contenidas en su escrito de demanda.</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26 de febrero de 2015, se señaló para deliberación y votación de la presente Sentencia el día 2 de marzo de 2015.</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presente demanda de amparo se dirige contra el Auto del Juzgado de Primera Instancia e Instrucción número 4 de Mérida, de 21 de mayo de 2013, por el que se acordó la inadmisión de la solicitud de </w:t>
      </w:r>
      <w:r w:rsidRPr="0085709A">
        <w:rPr>
          <w:i/>
        </w:rPr>
        <w:t>habeas corpus</w:t>
      </w:r>
      <w:r>
        <w:t xml:space="preserve"> y también contra el Auto de la misma fecha, en cuya virtud se desestimó la petición de nulidad de actuaciones deducida por el Ministerio </w:t>
      </w:r>
      <w:r>
        <w:lastRenderedPageBreak/>
        <w:t xml:space="preserve">Fiscal. Dichas resoluciones fueron dictadas en el procedimiento de </w:t>
      </w:r>
      <w:r w:rsidRPr="0085709A">
        <w:rPr>
          <w:i/>
        </w:rPr>
        <w:t>habeas corpus</w:t>
      </w:r>
      <w:r>
        <w:t xml:space="preserve"> número 1-2013.</w:t>
      </w:r>
    </w:p>
    <w:p w:rsidR="0085709A" w:rsidRDefault="0085709A" w:rsidP="0085709A">
      <w:pPr>
        <w:pStyle w:val="TextoNormal"/>
      </w:pPr>
    </w:p>
    <w:p w:rsidR="0085709A" w:rsidRDefault="0085709A" w:rsidP="0085709A">
      <w:pPr>
        <w:pStyle w:val="TextoNormal"/>
      </w:pPr>
      <w:r>
        <w:t xml:space="preserve">Para el Ministerio Fiscal —que actúa como demandante— las resoluciones adoptadas por el órgano judicial lesionaron el derecho a la libertad personal consagrado en el art. 17.1 y 4 CE, pues dichas resoluciones conculcaron abiertamente la consolidada doctrina constitucional en la materia, puesto que el Juez instructor inadmitió </w:t>
      </w:r>
      <w:r w:rsidRPr="0085709A">
        <w:rPr>
          <w:i/>
        </w:rPr>
        <w:t>a limine</w:t>
      </w:r>
      <w:r>
        <w:t xml:space="preserve"> la solicitud de incoación del procedimiento, sin tener en cuenta que concurrían todos los requisitos que, conforme establece el artículo 4 de la Ley Orgánica 6/1984, de 24 de mayo, reguladora del procedimiento de </w:t>
      </w:r>
      <w:r w:rsidRPr="0085709A">
        <w:rPr>
          <w:i/>
        </w:rPr>
        <w:t>habeas corpus</w:t>
      </w:r>
      <w:r>
        <w:t xml:space="preserve"> (LOHC). Dada la concurrencia de los requisitos formales y procesales, el órgano judicial debió haber acordado la admisión a trámite y, previa sustanciación del procedimiento, resolver sobre la estimación o desestimación del </w:t>
      </w:r>
      <w:r w:rsidRPr="0085709A">
        <w:rPr>
          <w:i/>
        </w:rPr>
        <w:t>habeas corpus</w:t>
      </w:r>
      <w:r>
        <w:t>, conforme a lo preceptuado en el art. 8 LOHC.</w:t>
      </w:r>
    </w:p>
    <w:p w:rsidR="0085709A" w:rsidRDefault="0085709A" w:rsidP="0085709A">
      <w:pPr>
        <w:pStyle w:val="TextoNormal"/>
      </w:pPr>
    </w:p>
    <w:p w:rsidR="0085709A" w:rsidRDefault="0085709A" w:rsidP="0085709A">
      <w:pPr>
        <w:pStyle w:val="TextoNormal"/>
      </w:pPr>
      <w:r>
        <w:t>Sin embargo, al inadmitir de manera liminar la solicitud, el órgano judicial hizo dejación de sus funciones como garante primario del derecho fundamental concernido, desconociendo, por consiguiente, la naturaleza y función constitucional del procedimiento referido. Por todo ello, el Ministerio Fiscal solicita el otorgamiento del amparo por la vulneración del derecho fundamental a que se ha hecho mención, y la declaración de nulidad de las resoluciones impugnadas, sin retroacción al momento en que se produjo la lesión.</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Se plantea una vez más el conflicto constitucional relativo a las resoluciones judiciales de inadmisión a trámite de las solicitudes de </w:t>
      </w:r>
      <w:r w:rsidRPr="0085709A">
        <w:rPr>
          <w:i/>
        </w:rPr>
        <w:t>habeas corpus</w:t>
      </w:r>
      <w:r>
        <w:t xml:space="preserve">, sobre las que existe una reiterada doctrina de este Tribunal que viene declarando que, aun cuando la Ley Orgánica reguladora del procedimiento de </w:t>
      </w:r>
      <w:r w:rsidRPr="0085709A">
        <w:rPr>
          <w:i/>
        </w:rPr>
        <w:t>habeas corpus</w:t>
      </w:r>
      <w:r>
        <w:t xml:space="preserve"> posibilita denegar la incoación de un procedimiento de </w:t>
      </w:r>
      <w:r w:rsidRPr="0085709A">
        <w:rPr>
          <w:i/>
        </w:rPr>
        <w:t>habeas corpus</w:t>
      </w:r>
      <w:r>
        <w:t xml:space="preserve">, fundamentar la decisión de no admisión en que el recurrente no se encontraba ilícitamente privado de libertad por no concurrir ninguno de los supuestos del art. 1 LOHC vulnera el art. 17.1 y 4 CE, ya que implica una resolución sobre el fondo que solo puede realizarse una vez sustanciado el procedimiento. Los únicos motivos constitucionalmente legítimos para no admitir un procedimiento de </w:t>
      </w:r>
      <w:r w:rsidRPr="0085709A">
        <w:rPr>
          <w:i/>
        </w:rPr>
        <w:t>habeas corpus</w:t>
      </w:r>
      <w:r>
        <w:t xml:space="preserve"> son los basados en la falta del presupuesto necesario de una situación de privación de libertad no acordada judicialmente o en el incumplimiento de los requisitos formales a los que se refiere el art. 4 LOHC (por todas, STC 35/2008, de 25 de febrero, FJ 2).</w:t>
      </w:r>
    </w:p>
    <w:p w:rsidR="0085709A" w:rsidRDefault="0085709A" w:rsidP="0085709A">
      <w:pPr>
        <w:pStyle w:val="TextoNormal"/>
      </w:pPr>
    </w:p>
    <w:p w:rsidR="0085709A" w:rsidRDefault="0085709A" w:rsidP="0085709A">
      <w:pPr>
        <w:pStyle w:val="TextoNormal"/>
      </w:pPr>
      <w:r>
        <w:t>El frecuente incumplimiento de esta jurisprudencia constitucional que este Tribunal ha reiterado es grave, carece de justificación y dota de especial trascendencia constitucional a este recurso y, así, en relación a esta misma cuestión, entre otras, se ha pronunciado recientemente en las SSTC 88/2011, de 6 de junio, 95/2012, de 7 de mayo; 12/2014, de 27 de enero; 21/2014, de 10 de febrero; 32/2014, de 24 de febrero, y 195/2014, de 1 de diciembre.</w:t>
      </w:r>
    </w:p>
    <w:p w:rsidR="0085709A" w:rsidRDefault="0085709A" w:rsidP="0085709A">
      <w:pPr>
        <w:pStyle w:val="TextoNormal"/>
      </w:pPr>
    </w:p>
    <w:p w:rsidR="0085709A" w:rsidRDefault="0085709A" w:rsidP="0085709A">
      <w:pPr>
        <w:pStyle w:val="TextoNormal"/>
      </w:pPr>
      <w:r>
        <w:t>De ese modo, concurre el motivo de especial trascendencia constitucional recogido en el apartado e) del fundamento jurídico 2 de la STC 155/2009, de 25 de junio, esto es, que la doctrina de este Tribunal sobre el derecho fundamental que se alega podría estar siendo incumplida de modo general y reiterado por la jurisdicción ordinaria.</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La cuestión principal de este recurso consiste en determinar si el Juzgado de Primera Instancia e Instrucción número 4 de Mérida vulneró, al rechazar </w:t>
      </w:r>
      <w:r w:rsidRPr="0085709A">
        <w:rPr>
          <w:i/>
        </w:rPr>
        <w:t>a limine</w:t>
      </w:r>
      <w:r>
        <w:t xml:space="preserve"> la incoación del procedimiento de </w:t>
      </w:r>
      <w:r w:rsidRPr="0085709A">
        <w:rPr>
          <w:i/>
        </w:rPr>
        <w:t>habeas corpus</w:t>
      </w:r>
      <w:r>
        <w:t xml:space="preserve"> en su Auto de 21 de mayo del 2013, el derecho a la libertad </w:t>
      </w:r>
      <w:r>
        <w:lastRenderedPageBreak/>
        <w:t>personal del detenido. En síntesis, las razones ofrecidas por el órgano judicial para rechazar la admisión del procedimiento fueron que el motivo alegado por el solicitante no encajaba en ninguno de los supuestos enunciados en el artículo 1 de la Ley Orgánica 6/1984.</w:t>
      </w:r>
    </w:p>
    <w:p w:rsidR="0085709A" w:rsidRDefault="0085709A" w:rsidP="0085709A">
      <w:pPr>
        <w:pStyle w:val="TextoNormal"/>
      </w:pPr>
    </w:p>
    <w:p w:rsidR="0085709A" w:rsidRDefault="0085709A" w:rsidP="0085709A">
      <w:pPr>
        <w:pStyle w:val="TextoNormal"/>
      </w:pPr>
      <w:r>
        <w:t xml:space="preserve">Como se ha indicado, este Tribunal viene entendiendo que este proceder vulnera el art. 17.1 y 4 CE, por cuanto que, aun cuando la Ley Orgánica reguladora del procedimiento de </w:t>
      </w:r>
      <w:r w:rsidRPr="0085709A">
        <w:rPr>
          <w:i/>
        </w:rPr>
        <w:t>habeas corpus</w:t>
      </w:r>
      <w:r>
        <w:t xml:space="preserve">  permita realizar un juicio de admisibilidad previa sobre la concurrencia de los requisitos para su tramitación, posibilitando denegar la incoación del procedimiento, previo dictamen del Ministerio Fiscal, la legitimidad constitucional de tal resolución liminar debe reducirse a los supuestos en los cuales se incumplen los requisitos formales (tanto los presupuestos procesales como los elementos formales de la solicitud) a los que se refiere el art. 4 LOHC (SSTC 172/2008, de 18 de diciembre, FJ 3; 173/2008, de 22 de diciembre, FJ 3; entre otras).</w:t>
      </w:r>
    </w:p>
    <w:p w:rsidR="0085709A" w:rsidRDefault="0085709A" w:rsidP="0085709A">
      <w:pPr>
        <w:pStyle w:val="TextoNormal"/>
      </w:pPr>
    </w:p>
    <w:p w:rsidR="0085709A" w:rsidRDefault="0085709A" w:rsidP="0085709A">
      <w:pPr>
        <w:pStyle w:val="TextoNormal"/>
      </w:pPr>
      <w:r>
        <w:t xml:space="preserve">De este modo, no es constitucionalmente legítimo fundamentar la inadmisión de este procedimiento en la afirmación de que el recurrente no se encontraba ilícitamente privado de libertad, porque el contenido propio de la pretensión formulada en el </w:t>
      </w:r>
      <w:r w:rsidRPr="0085709A">
        <w:rPr>
          <w:i/>
        </w:rPr>
        <w:t>habeas corpus</w:t>
      </w:r>
      <w:r>
        <w:t xml:space="preserve"> es precisamente la de determinar la licitud o ilicitud de dicha privación [SSTC 35/2008, de 25 de febrero, FJ 2 b), y 147/2008, de 10 de noviembre, FJ 2 b)].</w:t>
      </w:r>
    </w:p>
    <w:p w:rsidR="0085709A" w:rsidRDefault="0085709A" w:rsidP="0085709A">
      <w:pPr>
        <w:pStyle w:val="TextoNormal"/>
      </w:pPr>
    </w:p>
    <w:p w:rsidR="0085709A" w:rsidRDefault="0085709A" w:rsidP="0085709A">
      <w:pPr>
        <w:pStyle w:val="TextoNormal"/>
      </w:pPr>
      <w:r>
        <w:t>Finalmente, hemos afirmado que la mera referencia a que “no se dan ninguno de los supuestos del art. 1 de la Ley de habeas corpus”, como causa de justificación de la inadmisión a trámite de la petición formulada, no permite conocer la razón determinante de la denegación, por lo que una resolución judicial en estos términos, genérica y estereotipada, no ofrece la motivación mínima que es constitucionalmente exigible (STC 86/1996, de 21 de mayo, FJ 9). Esta doctrina ha sido reiterada recientemente, entre otras, en las SSTC 12/2014, de 27 de enero, FJ 3; 21/2014, de 10 de febrero, FJ 3, y 195/2014, de 1 de diciembre; FJ 3.</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En el presente caso, tal como se ha expuesto más detalladamente en los antecedentes, el detenido presentó un escrito solicitando la incoación de un procedimiento de </w:t>
      </w:r>
      <w:r w:rsidRPr="0085709A">
        <w:rPr>
          <w:i/>
        </w:rPr>
        <w:t>habeas corpus</w:t>
      </w:r>
      <w:r>
        <w:t xml:space="preserve"> alegando que su detención era ilegal porque la denuncia vino motivada porque debía dinero a su madre. El Ministerio Fiscal presentó informe favorable a la admisión a trámite del procedimiento por considerar que se cumplían los presupuestos legales necesarios: la situación de privación de libertad por autoridad no judicial y los requisitos formales previstos en el art. 4 LOHC. El órgano judicial, sin embargo, decidió no admitir a trámite la demanda de </w:t>
      </w:r>
      <w:r w:rsidRPr="0085709A">
        <w:rPr>
          <w:i/>
        </w:rPr>
        <w:t>habeas corpus</w:t>
      </w:r>
      <w:r>
        <w:t xml:space="preserve"> fundándose en el argumento de que no se cumplían los requisitos del art. 1 LOHC, precisando en el Auto resolutorio del incidente de nulidad que el motivo expuesto en la solicitud no coincidía con ninguno de los establecidos en el citado art. 1 LOHC.</w:t>
      </w:r>
    </w:p>
    <w:p w:rsidR="0085709A" w:rsidRDefault="0085709A" w:rsidP="0085709A">
      <w:pPr>
        <w:pStyle w:val="TextoNormal"/>
      </w:pPr>
    </w:p>
    <w:p w:rsidR="0085709A" w:rsidRDefault="0085709A" w:rsidP="0085709A">
      <w:pPr>
        <w:pStyle w:val="TextoNormal"/>
      </w:pPr>
      <w:r>
        <w:t xml:space="preserve">Esta argumentación y la consiguiente resolución vulneran el art. 17.1 y 4 CE. La solicitud de </w:t>
      </w:r>
      <w:r w:rsidRPr="0085709A">
        <w:rPr>
          <w:i/>
        </w:rPr>
        <w:t>habeas corpus</w:t>
      </w:r>
      <w:r>
        <w:t xml:space="preserve"> se fundamentó en que el detenido consideraba que su privación de libertad era ilegal por no haber cometido hecho delictivo alguno, lo que se desprendía implícitamente al alegar el solicitante que la denuncia formulada por su madre obedecía a una deuda dineraria; por tanto, el detenido entendía que su privación de libertad se había realizado fuera de los supuestos en que la legislación procesal penal autoriza esa privación.</w:t>
      </w:r>
    </w:p>
    <w:p w:rsidR="0085709A" w:rsidRDefault="0085709A" w:rsidP="0085709A">
      <w:pPr>
        <w:pStyle w:val="TextoNormal"/>
      </w:pPr>
    </w:p>
    <w:p w:rsidR="0085709A" w:rsidRDefault="0085709A" w:rsidP="0085709A">
      <w:pPr>
        <w:pStyle w:val="TextoNormal"/>
      </w:pPr>
      <w:r>
        <w:lastRenderedPageBreak/>
        <w:t xml:space="preserve">En consecuencia, el motivo alegado se corresponde con el de detención ilegal, al que se refiere el art. 1 a) LOHC y que es uno de los supuestos que fundamentan el procedimiento de </w:t>
      </w:r>
      <w:r w:rsidRPr="0085709A">
        <w:rPr>
          <w:i/>
        </w:rPr>
        <w:t>habeas corpus</w:t>
      </w:r>
      <w:r>
        <w:t xml:space="preserve">. En este sentido, y si bien la finalidad del procedimiento de </w:t>
      </w:r>
      <w:r w:rsidRPr="0085709A">
        <w:rPr>
          <w:i/>
        </w:rPr>
        <w:t>habeas corpus</w:t>
      </w:r>
      <w:r>
        <w:t xml:space="preserve"> no es pronunciarse sobre la inocencia o culpabilidad del detenido, sí que constituye uno de sus objetos analizar el cumplimiento de los presupuestos de la legalidad de una detención preventiva, como es que existan indicios de haberse cometido un delito del que el detenido pueda ser responsable; y esto es lo que se solicitó por el detenido. Lo que se instaba en su escrito de solicitud de </w:t>
      </w:r>
      <w:r w:rsidRPr="0085709A">
        <w:rPr>
          <w:i/>
        </w:rPr>
        <w:t>habeas corpus</w:t>
      </w:r>
      <w:r>
        <w:t xml:space="preserve"> no podía entenderse como un pronunciamiento sobre la eventual responsabilidad penal del detenido, sino sobre si concurrían los presupuestos legales habilitantes para la detención gubernativa, cuyo examen oyendo al detenido mediante la sustanciación del </w:t>
      </w:r>
      <w:r w:rsidRPr="0085709A">
        <w:rPr>
          <w:i/>
        </w:rPr>
        <w:t>habeas corpus</w:t>
      </w:r>
      <w:r>
        <w:t>, es competencia del Juez de instrucción del lugar en que se encuentra aquel.</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Los razonamientos expuestos conducen a la conclusión, verificado que el solicitante de </w:t>
      </w:r>
      <w:r w:rsidRPr="0085709A">
        <w:rPr>
          <w:i/>
        </w:rPr>
        <w:t>habeas corpus</w:t>
      </w:r>
      <w:r>
        <w:t xml:space="preserve"> estaba en una situación de privación de libertad no acordada judicialmente y que concurrían todos los requisitos formales exigidos por la Ley Orgánica reguladora del procedimiento de </w:t>
      </w:r>
      <w:r w:rsidRPr="0085709A">
        <w:rPr>
          <w:i/>
        </w:rPr>
        <w:t>habeas corpus</w:t>
      </w:r>
      <w:r>
        <w:t>, que era constitucionalmente obligada la admisión a trámite del procedimiento. Al no haberse hecho así, el órgano judicial vulneró el derecho a la libertad personal del solicitante (art. 17.1 y 4 CE), lo que inexorablemente lleva a la estimación del recurso de amparo, debiendo declararse la nulidad de las resoluciones impugnadas, sin retroacción de actuaciones, en coherencia con la doctrina reiterada de este Tribunal (STC 95/2012, de 7 de mayo, FJ 7, y STC 12/2014, de 27 de enero, FJ 3).</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promovido por el Ministerio Fiscal y, en consecuencia:</w:t>
      </w:r>
    </w:p>
    <w:p w:rsidR="0085709A" w:rsidRDefault="0085709A" w:rsidP="0085709A">
      <w:pPr>
        <w:pStyle w:val="TextoNormal"/>
      </w:pPr>
    </w:p>
    <w:p w:rsidR="0085709A" w:rsidRDefault="0085709A" w:rsidP="0085709A">
      <w:pPr>
        <w:pStyle w:val="TextoNormal"/>
      </w:pPr>
      <w:r>
        <w:t>1º Reconocer el derecho a la libertad personal (arts. 17.1 y 4 CE) de don Santiago Ángel Yanguas Gutiérrez.</w:t>
      </w:r>
    </w:p>
    <w:p w:rsidR="0085709A" w:rsidRDefault="0085709A" w:rsidP="0085709A">
      <w:pPr>
        <w:pStyle w:val="TextoNormal"/>
      </w:pPr>
    </w:p>
    <w:p w:rsidR="0085709A" w:rsidRDefault="0085709A" w:rsidP="0085709A">
      <w:pPr>
        <w:pStyle w:val="TextoNormal"/>
      </w:pPr>
      <w:r>
        <w:t xml:space="preserve">2º Declarar la nulidad, sin retroacción de actuaciones, de los dos Autos del Juzgado de Primera Instancia e Instrucción núm. 4 de Mérida de 21 de mayo de 2013 en el procedimiento de </w:t>
      </w:r>
      <w:r w:rsidRPr="0085709A">
        <w:rPr>
          <w:i/>
        </w:rPr>
        <w:t>habeas corpus</w:t>
      </w:r>
      <w:r>
        <w:t xml:space="preserve"> núm. 1-2013.</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6" w:name="SENTENCIA_2015_43"/>
      <w:r>
        <w:lastRenderedPageBreak/>
        <w:t>SENTENCIA 43/2015, de 2 de marzo de 2015</w:t>
      </w:r>
    </w:p>
    <w:bookmarkEnd w:id="46"/>
    <w:p w:rsidR="0085709A" w:rsidRDefault="0085709A" w:rsidP="0085709A">
      <w:pPr>
        <w:pStyle w:val="TtuloResolucin"/>
      </w:pPr>
      <w:r>
        <w:t>Sala Segunda</w:t>
      </w:r>
    </w:p>
    <w:p w:rsidR="0085709A" w:rsidRDefault="0085709A" w:rsidP="0085709A">
      <w:pPr>
        <w:pStyle w:val="TtuloBOE"/>
      </w:pPr>
      <w:r>
        <w:t>(BOE núm. 85, de 9 de abril de 2015)</w:t>
      </w:r>
    </w:p>
    <w:p w:rsidR="0085709A" w:rsidRDefault="0085709A" w:rsidP="0085709A">
      <w:pPr>
        <w:pStyle w:val="TextoNormalCentrado"/>
      </w:pPr>
      <w:r>
        <w:t>ECLI:ES:TC:2015:43</w:t>
      </w:r>
    </w:p>
    <w:p w:rsidR="0085709A" w:rsidRDefault="0085709A" w:rsidP="0085709A">
      <w:pPr>
        <w:pStyle w:val="TextoNormalCentrado"/>
      </w:pPr>
    </w:p>
    <w:p w:rsidR="0085709A" w:rsidRDefault="0085709A" w:rsidP="0085709A">
      <w:pPr>
        <w:pStyle w:val="SntesisDescriptiva"/>
      </w:pPr>
      <w:r>
        <w:t>Cuestión de inconstitucionalidad 1591-2014. Planteada por la Sala de lo Contencioso-Administrativo del Tribunal Superior de Justicia de Castilla-La Mancha en relación con diversos preceptos del texto refundido de la Ley de suelo, aprobado por Real Decreto Legislativo 2/2008, de 20 de junio.</w:t>
      </w:r>
    </w:p>
    <w:p w:rsidR="0085709A" w:rsidRDefault="0085709A" w:rsidP="0085709A">
      <w:pPr>
        <w:pStyle w:val="SntesisDescriptiva"/>
      </w:pPr>
    </w:p>
    <w:p w:rsidR="0085709A" w:rsidRDefault="0085709A" w:rsidP="0085709A">
      <w:pPr>
        <w:pStyle w:val="SntesisAnaltica"/>
      </w:pPr>
      <w:r>
        <w:t>Competencias sobre urbanismo: inadmisión parcial y pérdida sobrevenida de objeto de la cuestión de inconstitucionalidad (STC 141/2014); constitucionalidad del precepto legal que excluye la valoración de expectativas derivadas de la asignación de edificabilidades y usos por la ordenación territorial y urbanística aún no realizados.</w:t>
      </w:r>
    </w:p>
    <w:p w:rsidR="0085709A" w:rsidRDefault="0085709A" w:rsidP="0085709A">
      <w:pPr>
        <w:pStyle w:val="SntesisAnaltica"/>
      </w:pPr>
    </w:p>
    <w:p w:rsidR="0085709A" w:rsidRDefault="0085709A" w:rsidP="0085709A">
      <w:pPr>
        <w:pStyle w:val="Extracto"/>
      </w:pPr>
      <w:r>
        <w:t>1.</w:t>
      </w:r>
      <w:r>
        <w:tab/>
        <w:t>Se declara la desaparición sobrevenida del objeto de la cuestión de inconstitucionalidad (SSTC 86/2012; 141/2014; AATC 119/2013, 140/2013) [FJ 4].</w:t>
      </w:r>
    </w:p>
    <w:p w:rsidR="0085709A" w:rsidRDefault="0085709A" w:rsidP="0085709A">
      <w:pPr>
        <w:pStyle w:val="Extracto"/>
      </w:pPr>
    </w:p>
    <w:p w:rsidR="0085709A" w:rsidRDefault="0085709A" w:rsidP="0085709A">
      <w:pPr>
        <w:pStyle w:val="Extracto"/>
      </w:pPr>
      <w:r>
        <w:t>2.</w:t>
      </w:r>
      <w:r>
        <w:tab/>
        <w:t>La regulación de un criterio de valoración que excluya de la compensación debida el incremento del valor que adquiere en el mercado un suelo clasificado como rústico por la confianza en que el planeamiento le reconocerá en su día usos urbanísticos no es inconstitucional, pues pretende evitar que se traslade a la colectividad tanto el coste de los riesgos que corresponde asumir a la propiedad como el resto de elementos subjetivos que intervienen en la formación del precio de mercado (ATC 8/2015, FJ 2) [FJ 5].</w:t>
      </w:r>
    </w:p>
    <w:p w:rsidR="0085709A" w:rsidRDefault="0085709A" w:rsidP="0085709A">
      <w:pPr>
        <w:pStyle w:val="Extracto"/>
      </w:pPr>
    </w:p>
    <w:p w:rsidR="0085709A" w:rsidRDefault="0085709A" w:rsidP="0085709A">
      <w:pPr>
        <w:pStyle w:val="Extracto"/>
      </w:pPr>
      <w:r>
        <w:t>3.</w:t>
      </w:r>
      <w:r>
        <w:tab/>
        <w:t>El art. 33.3 CE no exige que la compensación por parte de la Administración sea equivalente al valor de mercado de los bienes y derechos expropiados, por lo que el legislador estatal cuenta con un margen de apreciación para instituir el método de valoración del suelo, así como para configurar los distintos estatutos del derecho de propiedad [FJ 5].</w:t>
      </w:r>
    </w:p>
    <w:p w:rsidR="0085709A" w:rsidRDefault="0085709A" w:rsidP="0085709A">
      <w:pPr>
        <w:pStyle w:val="Extracto"/>
      </w:pPr>
    </w:p>
    <w:p w:rsidR="0085709A" w:rsidRDefault="0085709A" w:rsidP="0085709A">
      <w:pPr>
        <w:pStyle w:val="Extracto"/>
      </w:pPr>
      <w:r>
        <w:t>4.</w:t>
      </w:r>
      <w:r>
        <w:tab/>
        <w:t xml:space="preserve">El </w:t>
      </w:r>
      <w:r w:rsidRPr="0085709A">
        <w:rPr>
          <w:i/>
        </w:rPr>
        <w:t xml:space="preserve">ius aedificandi </w:t>
      </w:r>
      <w:r>
        <w:t>no forma parte del contenido inicial del derecho de propiedad, sino que se va adquiriendo en función del cumplimiento de los correlativos deberes urbanísticos de manera que, en el suelo rural, la indemnización de la simple expectativa urbanística se fija o concreta en relación con la concurrencia de determinadas condiciones establecidas en la ley (ATC 8/2015, FJ 2) [FJ 5].</w:t>
      </w:r>
    </w:p>
    <w:p w:rsidR="0085709A" w:rsidRDefault="0085709A" w:rsidP="0085709A">
      <w:pPr>
        <w:pStyle w:val="Extracto"/>
      </w:pPr>
    </w:p>
    <w:p w:rsidR="0085709A" w:rsidRDefault="0085709A" w:rsidP="0085709A">
      <w:pPr>
        <w:pStyle w:val="Extracto"/>
      </w:pPr>
      <w:r>
        <w:t>5.</w:t>
      </w:r>
      <w:r>
        <w:tab/>
        <w:t>En lo relativo al juicio de aplicabilidad, dada la necesaria conexión que debe existir entre el pronunciamiento de este Tribunal y el proceso en que la cuestión se plantea, procede inadmitir la cuestión en relación con diversos preceptos que no habrán de aplicarse en el procedimiento</w:t>
      </w:r>
      <w:r w:rsidRPr="0085709A">
        <w:rPr>
          <w:i/>
        </w:rPr>
        <w:t xml:space="preserve"> a quo</w:t>
      </w:r>
      <w:r>
        <w:t xml:space="preserve"> [FJ 2].</w:t>
      </w:r>
    </w:p>
    <w:p w:rsidR="0085709A" w:rsidRDefault="0085709A" w:rsidP="0085709A">
      <w:pPr>
        <w:pStyle w:val="Extracto"/>
      </w:pPr>
    </w:p>
    <w:p w:rsidR="0085709A" w:rsidRDefault="0085709A" w:rsidP="0085709A">
      <w:pPr>
        <w:pStyle w:val="Extracto"/>
      </w:pPr>
      <w:r>
        <w:t>6.</w:t>
      </w:r>
      <w:r>
        <w:tab/>
        <w:t xml:space="preserve">La fecha relevante para determinar la norma aplicable al caso no es la de la aprobación del procedimiento expropiatorio —17 de octubre de 2007— sino la de inicio de la pieza separada de justiprecio, que tuvo lugar en junio de 2009; fecha en la que los preceptos impugnados de la Ley 8/2007, de 28 de mayo, de suelo ya habían </w:t>
      </w:r>
      <w:r>
        <w:lastRenderedPageBreak/>
        <w:t>sido derogados por el Real Decreto Legislativo 2/2008, de 20 de junio, por el que se aprueba el texto refundido de la Ley de suelo [FJ 2].</w:t>
      </w:r>
    </w:p>
    <w:p w:rsidR="0085709A" w:rsidRDefault="0085709A" w:rsidP="0085709A">
      <w:pPr>
        <w:pStyle w:val="Extracto"/>
      </w:pPr>
    </w:p>
    <w:p w:rsidR="0085709A" w:rsidRDefault="0085709A" w:rsidP="0085709A">
      <w:pPr>
        <w:pStyle w:val="Extracto"/>
      </w:pPr>
      <w:r>
        <w:t>7.</w:t>
      </w:r>
      <w:r>
        <w:tab/>
        <w:t>En lo que se refiere al juicio de relevancia, el Tribunal Constitucional no puede revisar el criterio del órgano judicial sobre la necesidad de aplicar los preceptos discutidos [FJ 3].</w:t>
      </w:r>
    </w:p>
    <w:p w:rsidR="0085709A" w:rsidRDefault="0085709A" w:rsidP="0085709A">
      <w:pPr>
        <w:pStyle w:val="Extracto"/>
      </w:pPr>
    </w:p>
    <w:p w:rsidR="0085709A" w:rsidRDefault="0085709A" w:rsidP="0085709A">
      <w:pPr>
        <w:pStyle w:val="Extracto"/>
      </w:pPr>
      <w:r>
        <w:t>8.</w:t>
      </w:r>
      <w:r>
        <w:tab/>
        <w:t>Teniendo presente el carácter revisor de la jurisdicción contencioso-administrativa y el principio</w:t>
      </w:r>
      <w:r w:rsidRPr="0085709A">
        <w:rPr>
          <w:i/>
        </w:rPr>
        <w:t xml:space="preserve"> iura novit curia</w:t>
      </w:r>
      <w:r>
        <w:t>, la justificación de la relevancia del precepto cuestionado para la resolución del procedimiento a quo que realiza la Sala promotora de la cuestión no puede considerarse notoriamente equivocada o inconsistente,  dado que se argumenta de manera razonable sobre los motivos de eventual inconstitucionalidad del precepto impugnado que pudiera impedir obtener una indemnización acorde con el art. 33.3 CE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1591-2014, planteada por la Sección Segunda de la Sala de lo Contencioso-Administrativo del Tribunal Superior de Justicia de Castilla-La Mancha, en relación con los arts. 22.1 a) y 2 de la Ley 8/2007, de 28 de mayo, de Suelo, y 23.1.a) y 2 del Texto Refundido de la Ley de Suelo, aprobado por Real Decre-to Legislativo 2/2008, de 20 de junio, por posible vulneración del art. 33.3 CE. Han inter-venido el Abogado del Estado, en la representación que ostenta, así como el Fiscal General del Estado.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17 de marzo de 2014 tuvo entrada en el Registro General de este Tribunal un oficio de la Sección Segunda de la Sala de lo Contencioso-Administrativo del Tribunal Superior de Justicia de Castilla-La Mancha, al que se acompaña, junto al testimonio del procedimiento ordinario núm. 276-2010, el Auto de 27 de febrero de 2014, por el que se acuerda plantear cuestión de inconstitucionalidad en relación con los arts. 22.1 a) y 2 de la Ley 8/2007, de 28 de mayo, de suelo (LS), y 23.1 a) y 2 del texto refundido de la Ley de suelo, </w:t>
      </w:r>
      <w:r>
        <w:lastRenderedPageBreak/>
        <w:t>aprobado por Real Decreto Legislativo 2/2008, de 20 de junio, por la posible vulneración del art. 33.3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cuestión, según resulta del Auto de planteamiento y de la documentación adjunta, son, sucintamente expuestos, los siguientes:</w:t>
      </w:r>
    </w:p>
    <w:p w:rsidR="0085709A" w:rsidRDefault="0085709A" w:rsidP="0085709A">
      <w:pPr>
        <w:pStyle w:val="TextoNormal"/>
      </w:pPr>
    </w:p>
    <w:p w:rsidR="0085709A" w:rsidRDefault="0085709A" w:rsidP="0085709A">
      <w:pPr>
        <w:pStyle w:val="TextoNormal"/>
      </w:pPr>
      <w:r>
        <w:t>a) Una empresa funeraria interpuso recurso contencioso-administrativo contra el acuerdo del jurado provincial de expropiación de Albacete de 2 de marzo de 2010, por el que se fijó el justiprecio de los bienes y derechos objeto de expropiación en el expediente núm. 33-2010 (en concreto, la parcela 199, polígono 43, finca núm. 02600-1002), para el proyecto de acondicionamiento y reordenación de accesos de la carretera N-322, tramo Albacete-Mahora, p.k. 356,7 (variante de Albacete) al p.k. 361,7 (carretera de Pinares del Júcar). El jurado consideró el suelo como rural y, en aplicación del art. 23 del texto refundido de la Ley de suelo, valoró la expropiación de los 2.827 m2 en 14.417,70 € (incluidos tanto la expropiación del pleno dominio como la indemnización por expropiación parcial y división de finca y el premio de afección). En la demanda formulada posteriormente, la recurrente mostró su disconformidad con la clasificación que se otorgaba al terreno expropiado, pues consideraba que debía calificarse como sistema general de infraestructuras, sistema general de comunicaciones, viario y ferroviario, de acuerdo con el propio plan general de ordenación urbana, y señaló que, en tal condición, debía ser clasificado como suelo urbanizado, por lo que se había de atender al art. 24 del texto refundido de la Ley de suelo, aplicando el método residual estático, conforme al cual el valor de la expropiación sería de 110,25 €/m2, en función de las características de la parcela. Asimismo, y teniendo en cuenta que la parcela se encontraba afectada por otros dos expedientes de expropiación, se reclamaba la indemnización por el valor del terreno restante, de 913 m2, absolutamente inservible. Reclamó que se le abonase el valor real del bien que, teniendo en cuenta sus anteriores alegaciones, cifraba en 432.951,75 €. En el trámite de conclusiones reiteró lo alegado en la demanda.</w:t>
      </w:r>
    </w:p>
    <w:p w:rsidR="0085709A" w:rsidRDefault="0085709A" w:rsidP="0085709A">
      <w:pPr>
        <w:pStyle w:val="TextoNormal"/>
      </w:pPr>
    </w:p>
    <w:p w:rsidR="0085709A" w:rsidRDefault="0085709A" w:rsidP="0085709A">
      <w:pPr>
        <w:pStyle w:val="TextoNormal"/>
      </w:pPr>
      <w:r>
        <w:t>b) Una vez concluso el procedimiento, y antes de dictar sentencia, la Sección Segunda de la Sala de lo Contencioso-Administrativo del Tribunal Superior de Justicia de Castilla-La Mancha dictó providencia con fecha 23 de enero de 2014, por la que, al amparo de lo previsto en el art. 35.2 de la Ley Orgánica del Tribunal Constitucional (LOTC), acordó oír a las partes y al Ministerio Fiscal por el plazo común de diez días acerca de la posible inconstitucionalidad de los arts. 22.1 a) y 2 de la Ley 8/2007, de 28 de mayo, de suelo, y 23.1 a) y 2 del texto refundido de la Ley de suelo, aprobado por Real Decreto Legislativo 2/2008, de 20 de junio, en cuanto que las limitaciones que en ellos se establecen para la valoración de los terrenos en el suelo rural podría impedirle fijar el justiprecio del bien conforme a su valor real, con la consiguiente vulneración del art. 33.3 CE.</w:t>
      </w:r>
    </w:p>
    <w:p w:rsidR="0085709A" w:rsidRDefault="0085709A" w:rsidP="0085709A">
      <w:pPr>
        <w:pStyle w:val="TextoNormal"/>
      </w:pPr>
    </w:p>
    <w:p w:rsidR="0085709A" w:rsidRDefault="0085709A" w:rsidP="0085709A">
      <w:pPr>
        <w:pStyle w:val="TextoNormal"/>
      </w:pPr>
      <w:r>
        <w:t xml:space="preserve">c) El Ministerio Fiscal, en escrito presentado el 6 de febrero de 2014, consideró pertinente el planteamiento de la cuestión de inconstitucionalidad porque, </w:t>
      </w:r>
      <w:r w:rsidRPr="0085709A">
        <w:rPr>
          <w:i/>
        </w:rPr>
        <w:t>prima facie</w:t>
      </w:r>
      <w:r>
        <w:t xml:space="preserve">, las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También interesó el planteamiento de la cuestión la entidad recurrente, en escrito presentado el 11 de febrero de 2014, si bien poniendo de relieve que, en este caso concreto, el justiprecio debe establecerse en la cuantía adecuada a la naturaleza </w:t>
      </w:r>
      <w:r>
        <w:lastRenderedPageBreak/>
        <w:t>del suelo expropiado. Por su parte, el Abogado del Estado, en escrito registrado el 11 de febrero de 2014, se opuso al planteamiento de la cuestión de inconstitucionalidad, alegando la plena constitucionalidad de los preceptos cuestionados, con indicación de que no es novedosa en nuestro ordenamiento la prohibición de valorar expectativas urbanísticas por proximidad a suelo urbano, y que la misma resulta plenamente constitucional. Añadió que la Ley lo que busca es una valoración de la realidad y no un pretendido valor real entendido como valor de mercado del suelo, equivalencia esta última que no cabe derivar de la Constitución. Por último, señala que para la resolución del caso enjuiciado es indiferente la constitucionalidad de la norma, porque de su validez no depende el fallo, ya que la parte actora dice que el suelo expropiado es urbanizado y debe ser valorado como tal, y sobre esto ha versado exclusivamente la prueba, y no sobre la existencia de expectativas urbanísticas y su valoración.</w:t>
      </w:r>
    </w:p>
    <w:p w:rsidR="0085709A" w:rsidRDefault="0085709A" w:rsidP="0085709A">
      <w:pPr>
        <w:pStyle w:val="TextoNormal"/>
      </w:pPr>
    </w:p>
    <w:p w:rsidR="0085709A" w:rsidRDefault="0085709A" w:rsidP="0085709A">
      <w:pPr>
        <w:pStyle w:val="TextoNormal"/>
      </w:pPr>
      <w:r>
        <w:t>d) La Sección Segunda de la Sala de lo Contencioso-Administrativo del Tribunal Superior de Justicia de Castilla-La Mancha dictó Auto con fecha 27 de febrero de 2014, por el que acordó plantear cuestión de inconstitucionalidad en relación con los arts. 22.1 a) y 2 de la Ley 8/2007, de 28 de mayo, de suelo, y 23.1 a) y 2 del texto refundido de la Ley de suelo, aprobado por Real Decreto Legislativo 2/2008, de 20 de junio, por la posible vulneración del art. 33.3 CE.</w:t>
      </w:r>
    </w:p>
    <w:p w:rsidR="0085709A" w:rsidRDefault="0085709A" w:rsidP="0085709A">
      <w:pPr>
        <w:pStyle w:val="TextoNormal"/>
      </w:pPr>
    </w:p>
    <w:p w:rsidR="0085709A" w:rsidRDefault="0085709A" w:rsidP="0085709A">
      <w:pPr>
        <w:pStyle w:val="TextoNormal"/>
      </w:pPr>
      <w:r w:rsidRPr="0085709A">
        <w:rPr>
          <w:rStyle w:val="NumeroAFNegritaCaracter"/>
        </w:rPr>
        <w:t>3</w:t>
      </w:r>
      <w:r>
        <w:t>. Tras recoger los antecedentes del caso y reproducir las normas cuestionadas, la fundamentación del Auto comienza por hacer referencia al cumplimiento de los requisitos del art. 35 LOTC, señalando que es incontrovertida la aplicación de la Ley 8/2007 en el expediente expropiatorio, que se ha concedido a las partes el trámite de audiencia según exige la Ley Orgánica del Tribunal Constitucional, y que la cuestión se plantea estando concluso el procedimiento, a falta tan sólo de dictar la resolución final del mismo.</w:t>
      </w:r>
    </w:p>
    <w:p w:rsidR="0085709A" w:rsidRDefault="0085709A" w:rsidP="0085709A">
      <w:pPr>
        <w:pStyle w:val="TextoNormal"/>
      </w:pPr>
    </w:p>
    <w:p w:rsidR="0085709A" w:rsidRDefault="0085709A" w:rsidP="0085709A">
      <w:pPr>
        <w:pStyle w:val="TextoNormal"/>
      </w:pPr>
      <w:r>
        <w:t xml:space="preserve">En cuanto a la relevancia de la norma legal a efectos de resolución del proceso </w:t>
      </w:r>
      <w:r w:rsidRPr="0085709A">
        <w:rPr>
          <w:i/>
        </w:rPr>
        <w:t>a quo</w:t>
      </w:r>
      <w:r>
        <w:t xml:space="preserve">, y atendiendo a la doctrina constitucional que se recoge en el Auto, señala el órgano promotor que la parte demandante alegó que los terrenos expropiados debían ser valorados como suelo urbanizable en aplicación de la doctrina de los sistemas generales que crean ciudad, refiriendo transacciones realizadas en zonas industriales próximas a los terrenos expropiados, si bien la Gerencia Municipal de Urbanismo del Ayuntamiento de Albacete ha certificado que los terrenos están clasificados como suelo no urbanizable, por lo que, según la Ley de suelo, se encuentran en situación de suelo rural. La Sala descarta, desde esta perspectiva, que quepa hablar de un sistema general que cree ciudad o que pueda tenerse en cuenta el mero propósito de la demandante de instalar un tanatorio-crematorio en la parcela en cuestión (ni siquiera consta que llegara a presentarse el proyecto ante la Administración). Por tanto, hay que estar al art. 22 de la Ley 8/2007 y el correlativo 23 del texto refundido, que determinan que los terrenos en situación de suelo rural deban ser valorados por el método de capitalización de rentas, que sólo responde a la valoración del rendimiento agrícola pero no al valor real de los terrenos según su situación, descartándose expresamente la valoración de las expectativas urbanísticas. Señala el Auto que la relevancia de plantear la cuestión de inconstitucionalidad reside en que tales preceptos impidieron al jurado de expropiación e impiden ahora a la propia Sala valorar los terrenos en base a su valor real, valor al que podía llegarse, según la legislación anterior, por el método de comparación con fincas análogas, que constituía anteriormente el método principal de valoración, siendo subsidiario el de capitalización de rentas, método este último que, por su insuficiencia para reflejar el valor real, </w:t>
      </w:r>
      <w:r>
        <w:lastRenderedPageBreak/>
        <w:t>fue corregido por la jurisprudencia, defendiendo la posibilidad de incrementar hasta en un 500 por 100 el valor obtenido por capitalización. Por lo que se refiere al método de comparación, aunque la Sala rechazó la referencia efectuada por la actora a una serie de transacciones realizadas en las proximidades, debido a la diferente clasificación urbanística de los terrenos, no desechó la influencia del dato de la proximidad al polígono industrial Campollano en punto a la valoración de los terrenos expropiados. En este sentido, se añade que el avance del plan general de ordenación municipal establece para la parcela objeto de consulta la clasificación de suelo urbano de uso global terciario, lo que sirve para considerar la apreciación de existencia de expectativas. Asimismo, se indica que la propia Sala, al valorar terrenos de la misma zona destinados a la ejecución de un proyecto de obras ferroviarias del Administrador de Infraestructuras Ferroviarias de España, ha venido aplicando la doctrina del Tribunal Supremo de incrementar el valor obtenido por el método de capitalización de rentas, habiendo fijado un justiprecio de 10,20 euros/m2, frente a los 4,08 fijados por el jurado, valor muy cercano al establecido por la Orden de 23 de diciembre de 2011, de la Consejería de Economía y Hacienda, que aprueba precios medios de bienes rústicos a efectos de comprobación de valores en el ámbito de sucesiones e impuesto de transmisiones patrimoniales e Impuesto sobre transmisiones patrimoniales. Otra circunstancia a tener en cuenta sería el precio pagado por la actora por los terrenos expropiados, que daría un precio por m2, excluido el impuesto sobre el valor añadido, un 14,70 por 100 superior al obtenido por el jurado.</w:t>
      </w:r>
    </w:p>
    <w:p w:rsidR="0085709A" w:rsidRDefault="0085709A" w:rsidP="0085709A">
      <w:pPr>
        <w:pStyle w:val="TextoNormal"/>
      </w:pPr>
    </w:p>
    <w:p w:rsidR="0085709A" w:rsidRDefault="0085709A" w:rsidP="0085709A">
      <w:pPr>
        <w:pStyle w:val="TextoNormal"/>
      </w:pPr>
      <w:r>
        <w:t>Por todo ello, la Sala considera la existencia de unas especiales circunstancias en la finca expropiada que la hacen merecedora de una valoración superior a la que las normas de aplicación permiten obtener, siendo así que las concretas circunstancias de la finca expropiada evidencian unas importantes expectativas que no se pueden desconocer y que permitirían incrementar el valor básico obtenido por el jurado por capitalización, entendiendo que el justiprecio definitivo debería situarse en torno a los valores asignados por la propia Sala a supuestos similares aplicando la doctrina establecida por el Tribunal Supremo para incrementar el valor obtenido por capitalización; valor que en todo caso sería superior al máximo posible en aplicación de los preceptos cuya constitucionalidad se cuestiona. Sólo así podría aproximarse al valor real de los terrenos expropiados o al mantenimiento de la “indemnidad”. En definitiva, entiende la Sala que el fallo de la Sentencia que habrá de dictarse en el procedimiento dependerá, en cuanto al montante del justiprecio, de la validez o no de los preceptos cuya constitucionalidad se cuestiona.</w:t>
      </w:r>
    </w:p>
    <w:p w:rsidR="0085709A" w:rsidRDefault="0085709A" w:rsidP="0085709A">
      <w:pPr>
        <w:pStyle w:val="TextoNormal"/>
      </w:pPr>
    </w:p>
    <w:p w:rsidR="0085709A" w:rsidRDefault="0085709A" w:rsidP="0085709A">
      <w:pPr>
        <w:pStyle w:val="TextoNormal"/>
      </w:pPr>
      <w:r>
        <w:t xml:space="preserve">Entrando en el análisis de los fundamentos del planteamiento de la cuestión, invoca el Auto el art. 33.3 CE, citando como antecedente inmediato de la regulación discutida la Ley de expropiación forzosa, que contenía sus propias reglas de valoración, que se verían reforzadas por el art. 43, el cual permitió a la jurisprudencia la corrección al alza de los valores obtenidos en aplicación de la regla de valoración en cada caso vigentes. Sin embargo, el mencionado precepto, que está inspirado en el mantenimiento de la indemnidad,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w:t>
      </w:r>
      <w:r>
        <w:lastRenderedPageBreak/>
        <w:t>actual legislación. Dichas reglas, por lo que se refiere al suelo rural, consisten en la aplicación del método de capitalización de rentas, que se encuentra con la barrera de que el valor no puede ser corregido al alza sino hasta un máximo del doble, en función de factores objetivos de localización, sin que, en todo caso, puedan tenerse en cuenta expectativas derivadas de la asignación de edificabilidades y usos por la ordenación territorial o urbanística que no hayan sido aun plenamente realizadas. Entiende la Sala promotora que dichas limitaciones contravienen el art. 33.3 CE por la razones que desarrolla a continuación.</w:t>
      </w:r>
    </w:p>
    <w:p w:rsidR="0085709A" w:rsidRDefault="0085709A" w:rsidP="0085709A">
      <w:pPr>
        <w:pStyle w:val="TextoNormal"/>
      </w:pPr>
    </w:p>
    <w:p w:rsidR="0085709A" w:rsidRDefault="0085709A" w:rsidP="0085709A">
      <w:pPr>
        <w:pStyle w:val="TextoNormal"/>
      </w:pPr>
      <w:r>
        <w:t>En primer lugar, se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correspondan valor real de los bienes y derechos expropiados, cualquiera que sea éste, pues lo que garantiza la Constitución es el razonable equilibrio entre el daño expropiatorio y su reparación. Se cita también la STC 313/2006, de 8 de noviembre, FJ 9.</w:t>
      </w:r>
    </w:p>
    <w:p w:rsidR="0085709A" w:rsidRDefault="0085709A" w:rsidP="0085709A">
      <w:pPr>
        <w:pStyle w:val="TextoNormal"/>
      </w:pPr>
    </w:p>
    <w:p w:rsidR="0085709A" w:rsidRDefault="0085709A" w:rsidP="0085709A">
      <w:pPr>
        <w:pStyle w:val="TextoNormal"/>
      </w:pPr>
      <w:r>
        <w:t>Se invoca también por la Sala la doctrina del Tribunal Europeo de Derechos Humanos, señalando que, a su entender, los preceptos que se cuestionan vulnerarían el art. 1 del Protocolo adicional del Convenio de Roma. A partir de éste, se citan numerosas Sentencias del referido Tribunal, de entre las que destaca, por su interés,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como es nuestro caso, sólo una indemnización íntegra puede ser considerada como razonablemente proporcionada al valor del bien.</w:t>
      </w:r>
    </w:p>
    <w:p w:rsidR="0085709A" w:rsidRDefault="0085709A" w:rsidP="0085709A">
      <w:pPr>
        <w:pStyle w:val="TextoNormal"/>
      </w:pPr>
    </w:p>
    <w:p w:rsidR="0085709A" w:rsidRDefault="0085709A" w:rsidP="0085709A">
      <w:pPr>
        <w:pStyle w:val="TextoNormal"/>
      </w:pPr>
      <w:r>
        <w:t>Contiene asimismo el Auto referencia a la abundante doctrina del Tribunal Supremo favorable a la valoración de las expectativas urbanísticas en suelo no urbanizable, señalando que, tradicionalmente, bajo la vigencia de la Ley del suelo de 1976, las expectativas urbanísticas fueron un elemento más de valoración en los suelos no urbanizables, y que, desde entonces, con la única excepción de los ocho años que estuvo vigente la Ley de suelo 8/1990, y su texto refundido, aprobado por Real Decreto Legislativo 1/1992, nuestra legislación urbanística ha permitido su valoración hasta la vigente Ley 8/2007, en la que se ha vuelto a prohibir expresamente tal posibilidad.</w:t>
      </w:r>
    </w:p>
    <w:p w:rsidR="0085709A" w:rsidRDefault="0085709A" w:rsidP="0085709A">
      <w:pPr>
        <w:pStyle w:val="TextoNormal"/>
      </w:pPr>
    </w:p>
    <w:p w:rsidR="0085709A" w:rsidRDefault="0085709A" w:rsidP="0085709A">
      <w:pPr>
        <w:pStyle w:val="TextoNormal"/>
      </w:pPr>
      <w:r>
        <w:t xml:space="preserve">Incluye igualmente el Auto de planteamiento la cita de una serie de modificaciones normativas posteriores que, a juicio de la Sala, vendrían a evidenciar la insuficiencia del método de capitalización para obtener el valor real del suelo rural. En este sentido, se señala que aunque tanto la Ley 8/2007 como el Real Decreto Legislativo 2/2008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arriesgase alejar de forma significativa el resultado de las valoraciones respecto de los precios de mercado del suelo rural sin consideración de expectativas urbanísticas, aquélla no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w:t>
      </w:r>
      <w:r>
        <w:lastRenderedPageBreak/>
        <w:t>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w:t>
      </w:r>
    </w:p>
    <w:p w:rsidR="0085709A" w:rsidRDefault="0085709A" w:rsidP="0085709A">
      <w:pPr>
        <w:pStyle w:val="TextoNormal"/>
      </w:pPr>
    </w:p>
    <w:p w:rsidR="0085709A" w:rsidRDefault="0085709A" w:rsidP="0085709A">
      <w:pPr>
        <w:pStyle w:val="TextoNormal"/>
      </w:pPr>
      <w:r>
        <w:t xml:space="preserve">Por todo lo anterior, considera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También se ha visto que resultan contrarios a la jurisprudencia del Tribunal Europeo de Derechos Humanos, en cuanto que, en expropiaciones con fines de utilidad pública, sólo la indemnización íntegra puede ser considerada como razonablemente proporcionada al valor del bien que se expropia. En este punto, aclara el órgano promotor de la cuestión que por “valoración de expectativas urbanísticas” no está defendiendo que se deban valorar puras hipótesis, valores no reales o perjuicios meramente hipotéticos, inciertos o futuros. Lo que se pretende valorar no es la expectativa misma sino el incremento real de valor que la misma genera actualmente sobre el valor del suelo en el mercado, basándose en circunstancias actuales que son proyectadas al futuro por el mercado, lo cual genera, a su vez, un incremento real y actual del valor. Por otra parte, se plantea si es pertinente aquí la invocación del carácter supuestamente especulativo de este tipo de valores, teniendo en cuenta la obligación de los poderes públicos </w:t>
      </w:r>
      <w:r w:rsidRPr="0085709A">
        <w:rPr>
          <w:i/>
        </w:rPr>
        <w:t>ex</w:t>
      </w:r>
      <w:r>
        <w:t xml:space="preserve"> art. 47 CE de evitar la especulación del suelo. Afirma la Sala que resultaría sumamente paradójico que todos los agentes económicos tuvieran que padecer las elevaciones de valor del suelo, derivadas de unas u otras circunstancias, y que, sin embargo, los poderes públicos, precisamente obligados a velar por evitar la especulación, fuesen los únicos que quedasen al margen de sus efectos negativos a base de diseñar métodos legales de valoración artificiosos y alejados del hallazgo del valor real. A juicio de la Sala, la lucha contra la especulación consiste en eliminarla del mercado y no en dejar a las Administraciones públicas y sólo a ellas al margen de sus efectos negativos, mientras que el resto de los operadores económicos no sólo tienen que soportar sus consecuencias sino que, en el momento en que sufran una expropiación, no van a poder obtener por el suelo el valor que tienen que soportar en el resto de operaciones inmobiliarias. La Administración debe pagar por un suelo lo que la fecha a la que haya que valorar tuviera que pagar cualquiera que quisiera o necesitara adquirirlo, incluidas las expectativas, con independencia de que se hayan cumplido o no después.</w:t>
      </w:r>
    </w:p>
    <w:p w:rsidR="0085709A" w:rsidRDefault="0085709A" w:rsidP="0085709A">
      <w:pPr>
        <w:pStyle w:val="TextoNormal"/>
      </w:pPr>
    </w:p>
    <w:p w:rsidR="0085709A" w:rsidRDefault="0085709A" w:rsidP="0085709A">
      <w:pPr>
        <w:pStyle w:val="TextoNormal"/>
      </w:pPr>
      <w:r>
        <w:t xml:space="preserve">En suma, entiende la Sala que el coeficiente que, tanto el art. 22 de la Ley 8/2007 como su correlativo art. 23 del texto refundido de 2008 contemplan, es claramente insuficiente </w:t>
      </w:r>
      <w:r>
        <w:lastRenderedPageBreak/>
        <w:t>para que los propietarios puedan obtener esa indemnización íntegra por la pérdida del bien expropiado.</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6 de mayo de 2014, el Pleno de este Tribunal acordó admitir a trámite la cuestión de inconstitucionalidad, y deferir el conocimiento de la misma a la Sala Segunda, de conformidad con el art. 10.1 c) LOTC, así como dar traslado de las actuaciones recibidas, conforme al art. 37.3 LOTC, al Congreso de los Diputados y al Senado, por conducto de sus Presidentes, al Gobierno, por conducto del Ministro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 (publicación que tuvo lugar en el “BOE” núm. 116, de 13 de mayo de 2014).</w:t>
      </w:r>
    </w:p>
    <w:p w:rsidR="0085709A" w:rsidRDefault="0085709A" w:rsidP="0085709A">
      <w:pPr>
        <w:pStyle w:val="TextoNormal"/>
      </w:pPr>
    </w:p>
    <w:p w:rsidR="0085709A" w:rsidRDefault="0085709A" w:rsidP="0085709A">
      <w:pPr>
        <w:pStyle w:val="TextoNormal"/>
      </w:pPr>
      <w:r w:rsidRPr="0085709A">
        <w:rPr>
          <w:rStyle w:val="NumeroAFNegritaCaracter"/>
        </w:rPr>
        <w:t>5</w:t>
      </w:r>
      <w:r>
        <w:t>. El Presidente del Congreso de los Diputados, en escrito registrado en este Tribunal el 19 de mayo de 2014, comunicó que la Mesa de la Cámara había acordado la personación en dicho procedimiento y el ofrecimiento de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A través de escrito recibido en este Tribunal el 28 de mayo de 2014, el Presidente del Senado puso de manifiesto que la Mesa de dicha Cámara había acordado darla por personada en el procedimiento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se personó ante este Tribunal, en nombre del Gobierno, a través de escrito presentado el 30 de mayo de 2014, en el que solicitó la íntegra desestimación de la cuestión de inconstitucionalidad. Comenzó señalando el escrito que la cuestión de inconstitucionalidad debería centrarse en la constitucionalidad del párrafo III del apartado 2 del art. 23 del texto refundido de la Ley de suelo, excluyendo, por no ser objeto de duda, la regla del apartado 2, pues la cuestión que el Auto plantea es si la existencia de terrenos cercanos con distinta clasificación, fundamentalmente de terrenos urbanos, debe tenerse en cuenta o no en la valoración de la finca, y no en que en la finca expropiada concurra algún tipo de expectativas urbanísticas derivadas del planeamiento. Lo que la Sala discute es que el legislador, con la redacción del apartado 2, párrafo III del art. 23 texto refundido de la Ley de suelo, impide en la valoración de la finca las expectativas urbanísticas y su incidencia sobre el valor del suelo expropiado derivadas de su proximidad a terrenos urbanos, y concretamente a un polígono industrial. Por ello, también debería excluirse de la cuestión de inconstitucionalidad el párrafo I del apartado a) del art. 23 del texto refundido de la Ley de suelo, en la medida en que el Auto no duda de la constitucionalidad del método de obtención de capitalización de la renta real o potencial. No obstante, se abordará la constitucionalidad de este precepto.</w:t>
      </w:r>
    </w:p>
    <w:p w:rsidR="0085709A" w:rsidRDefault="0085709A" w:rsidP="0085709A">
      <w:pPr>
        <w:pStyle w:val="TextoNormal"/>
      </w:pPr>
    </w:p>
    <w:p w:rsidR="0085709A" w:rsidRDefault="0085709A" w:rsidP="0085709A">
      <w:pPr>
        <w:pStyle w:val="TextoNormal"/>
      </w:pPr>
      <w:r>
        <w:t xml:space="preserve">Afirma el Abogado del Estado que el precepto impugnado es conforme con la Constitución por cuanto el sistema de valoración legal es razonable y no arbitrario y permite otorgar al expropiado la indemnización a la que se refiere el art. 33.3 CE. De acuerdo con la interpretación conjunta de lo dispuesto en la Ley y en el Reglamento de valoraciones de la Ley de suelo, para valorar inmuebles en situación básica de suelo rural, al tratarse de un mercado más opaco que el del suelo en situación de urbanizado, se desarrolla el valor de capitalización de la renta real o potencial de la explotación, en un contexto de búsqueda del valor correspondiente al más alto y mejor uso del suelo rural, sin tener en cuenta las expectativas </w:t>
      </w:r>
      <w:r>
        <w:lastRenderedPageBreak/>
        <w:t>urbanísticas; y el método de valoración contempla no solo su aprovechamiento agrícola o ganadero sino una amplia gama de actividades económicas presentes o susceptibles de ser desarrolladas en el mismo.</w:t>
      </w:r>
    </w:p>
    <w:p w:rsidR="0085709A" w:rsidRDefault="0085709A" w:rsidP="0085709A">
      <w:pPr>
        <w:pStyle w:val="TextoNormal"/>
      </w:pPr>
    </w:p>
    <w:p w:rsidR="0085709A" w:rsidRDefault="0085709A" w:rsidP="0085709A">
      <w:pPr>
        <w:pStyle w:val="TextoNormal"/>
      </w:pPr>
      <w:r>
        <w:t>La Ley y el Reglamento incluyen determinaciones muy precisas que obligan a calcular la renta real y la potencial, obligan a compararlas y a elegir la que sea superior, indican los factores que deben formar parte de los de disfrute o explotación, lo que supone que no deben considerarse únicamente los rendimientos agrarios, sino todos los rendimientos reales o potenciales, incluidos los procedentes de actividades de ocio que pudieran realizarse en la finca y también subvenciones que tengan carácter estable, como son las provenientes de la política agraria común. En lo que respecta al coeficiente corrector, tanto el texto refundido de la Ley de suelo como el Reglamento de valoraciones asumen que la localización influye en el valor de este suelo, siendo la renta de posición un factor relevante en la formación tradicional del precio de la tierra. Por otra parte, para que esta modulación del valor del suelo no pueda llevar a resultados arbitrarios, se limita al máximo del doble del valor obtenido. Desde esta perspectiva, los criterios de valoración establecidos persiguen determinar con la necesaria objetividad y seguridad jurídica el valor de sustitución del inmueble en el mercado por otro similar en su misma situación.</w:t>
      </w:r>
    </w:p>
    <w:p w:rsidR="0085709A" w:rsidRDefault="0085709A" w:rsidP="0085709A">
      <w:pPr>
        <w:pStyle w:val="TextoNormal"/>
      </w:pPr>
    </w:p>
    <w:p w:rsidR="0085709A" w:rsidRDefault="0085709A" w:rsidP="0085709A">
      <w:pPr>
        <w:pStyle w:val="TextoNormal"/>
      </w:pPr>
      <w:r>
        <w:t>Respecto de la constitucionalidad del sistema de valoración regulado en el texto refundido de la Ley de suelo, se afirma, con cita de la doctrina constitucional (SSTC 61/1997 y 164/2001) que el legislador estatal es el único competente para establecer los criterios y métodos de valoración, y goza de amplio margen para fijar distintas modalidades de valoración —dependientes de la naturaleza de los bienes y derechos expropiados— a las que sólo se exige, desde la perspectiva constitucional, que no se revelen manifiestamente desprovistas de base razonable.</w:t>
      </w:r>
    </w:p>
    <w:p w:rsidR="0085709A" w:rsidRDefault="0085709A" w:rsidP="0085709A">
      <w:pPr>
        <w:pStyle w:val="TextoNormal"/>
      </w:pPr>
    </w:p>
    <w:p w:rsidR="0085709A" w:rsidRDefault="0085709A" w:rsidP="0085709A">
      <w:pPr>
        <w:pStyle w:val="TextoNormal"/>
      </w:pPr>
      <w:r>
        <w:t>En cuanto al reproche de inconstitucionalidad que el Auto dirige al art. 22 de la Ley de suelo y que se centra en que el límite máximo del valor de corrección es insuficiente para incorporar el mayor valor correspondiente a la proximidad de suelo urbano, considera el Abogado del Estado que tal razonamiento propende a confundir valor y precio y a olvidar que el art. 33.3 CE no impone que las valoraciones deban reflejar necesariamente los movimientos especulativos o las imperfecciones del mercado del suelo; el llamado precio de mercado no tiene por qué ser reflejo del valor adecuado y razonable de un bien, atendido su estado y la definición específica de valor que se utilice. Es así plenamente conforme con los criterios constitucionales de proporcional, adecuado y razonable equilibrio entre sacrificio del expropiado e indemnización, que un terreno en situación básica de suelo rural (art. 12.1 del texto refundido de la Ley de suelo) se tase tomando en consideración su capacidad rediticia, real o potencial [art. 22.1 a), I y II del texto refundido de la Ley de suelo], en la citada situación básica, sin valorar expectativas no realizadas incompatibles con esa situación o estado [art. 22.2.1 a) III LS]. Del art. 33 CE no se desprende que sea obligatorio valorar las expectativas derivadas de la asignación de edificabilidades y usos por la ordenación urbanística cuando no estén plenamente realizados. Y es que el legislador está constitucionalmente obligado a excluir de la valoración todo lo que pueda estimarse elemento especulativo.</w:t>
      </w:r>
    </w:p>
    <w:p w:rsidR="0085709A" w:rsidRDefault="0085709A" w:rsidP="0085709A">
      <w:pPr>
        <w:pStyle w:val="TextoNormal"/>
      </w:pPr>
    </w:p>
    <w:p w:rsidR="0085709A" w:rsidRDefault="0085709A" w:rsidP="0085709A">
      <w:pPr>
        <w:pStyle w:val="TextoNormal"/>
      </w:pPr>
      <w:r>
        <w:t xml:space="preserve">La Ley de suelo ha optado por el método de capitalización para valorar terrenos rurales frente al método de comparación de la Ley 6/1998, que ha resultado de difícil aplicación </w:t>
      </w:r>
      <w:r>
        <w:lastRenderedPageBreak/>
        <w:t>por el escaso número de muestras, que podían no llevar a valores razonables. La capitalización es un método de actualización perfectamente idóneo para obtener el valor de un bien rústico, habida cuenta de que en toda España se dispone de una información incomparablemente superior de rentas que de ventas. Por tanto dicho método nunca se podrá calificar como método generador de un valor que no se corresponde con la indemnización a la que se refiere el art. 33.3 CE. Y es que está claro que tomar como referencia para las tasaciones imperativas los precios especulativos pagados en un mercado con funcionamiento real muy alejado de la definición teórica y concepto-límite de la competencia perfecta no sólo no es conforme al canon constitucional de la indemnización adecuada en relación razonable de proporcionalidad con el sacrificio expropiatorio, sino que, por alimentar la especulación, quebrantaría el mandato constitucional de impedirla (art. 47 CE). No hay, pues, ni discriminación, ni injusticia ni absurdo en que las valoraciones no sigan las tendencias especulativas de quienes operan en un mercado local de suelo.</w:t>
      </w:r>
    </w:p>
    <w:p w:rsidR="0085709A" w:rsidRDefault="0085709A" w:rsidP="0085709A">
      <w:pPr>
        <w:pStyle w:val="TextoNormal"/>
      </w:pPr>
    </w:p>
    <w:p w:rsidR="0085709A" w:rsidRDefault="0085709A" w:rsidP="0085709A">
      <w:pPr>
        <w:pStyle w:val="TextoNormal"/>
      </w:pPr>
      <w:r>
        <w:t>Finalmente, señala que no puede considerarse contrario a la Constitución que se prescinda de las expectativas urbanísticas de un suelo que está clasificado como suelo rural o no urbanizable, ya que la inclusión de las que puede generar por su proximidad a suelo urbano o porque en el futuro pueda llegar a serlo es completamente contrario los principios básicos del derecho urbanístico y llevaría una indefinición del valor del suelo no urbanizable en virtud del cual sus titulares se beneficiarían de unas plusvalías generadas por la comunidad y de las que no son acreedores.</w:t>
      </w:r>
    </w:p>
    <w:p w:rsidR="0085709A" w:rsidRDefault="0085709A" w:rsidP="0085709A">
      <w:pPr>
        <w:pStyle w:val="TextoNormal"/>
      </w:pPr>
    </w:p>
    <w:p w:rsidR="0085709A" w:rsidRDefault="0085709A" w:rsidP="0085709A">
      <w:pPr>
        <w:pStyle w:val="TextoNormal"/>
      </w:pPr>
      <w:r w:rsidRPr="0085709A">
        <w:rPr>
          <w:rStyle w:val="NumeroAFNegritaCaracter"/>
        </w:rPr>
        <w:t>8</w:t>
      </w:r>
      <w:r>
        <w:t>. El Fiscal General del Estado, por escrito registrado el 24 de junio de 2014, pidió que se dictase Sentencia desestimando la cuestión de inconstitucionalidad. Tras la exposición de los antecedentes del caso, afirma que se han observado por el órgano judicial los trámites previstos en el art. 35.2 LOTC, y, por tanto las condiciones procesales exigidas para el planteamiento de la cuestión de inconstitucionalidad.</w:t>
      </w:r>
    </w:p>
    <w:p w:rsidR="0085709A" w:rsidRDefault="0085709A" w:rsidP="0085709A">
      <w:pPr>
        <w:pStyle w:val="TextoNormal"/>
      </w:pPr>
    </w:p>
    <w:p w:rsidR="0085709A" w:rsidRDefault="0085709A" w:rsidP="0085709A">
      <w:pPr>
        <w:pStyle w:val="TextoNormal"/>
      </w:pPr>
      <w:r>
        <w:t>Asimismo, efectúa una amplia relación de los antecedentes legislativos, para centrarse en el contenido de la regulación cuestionada y en los argumentos del Auto de planteamiento de la cuestión, afirmando que la legislación cuestionada sobre valoración del suelo en situación de suelo rural, que ha establecido el método de capitalización de renta real o potencial, en atención a la explotación o aprovechamiento del terreno, recoge un factor de corrección de la localización, la ubicación del terreno expropiado, para elevar al alza el valor obtenido hasta un máximo del doble de dicho valor, establece un tipo de capitalización variable a través de las leyes de presupuestos generales del Estado y contempla una corrección para evitar que el valor resultante de la tasación del bien expropiado se aleje del valor real de mercado y pretendiendo eliminar cualquier tipo de especulación derivada de las expectativas urbanísticas ligadas a la actividad de la Administración, como consecuencia de la ordenación del territorio o su actividad urbanística, responde a criterios objetivos legítimos. Todo ello permite concluir, como señala el Alto Tribunal, que “no se revelan manifiestamente desprovistos de base razonable”. En consecuencia, considera que el art. 22.1 a) y 2 de la Ley 8/2007, de 28 de mayo, de suelo, y el art. 23, apartados 1 a) y 2 de su texto refundido, aprobado por Real Decreto Legislativo 2/2008, de 20 de junio, no serían contrarios al art. 33 CE en su garantía de indemnización.</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26 de febrero de 2015, se señaló para votación y fallo de la presente Sentencia el día 2 de marzo del mismo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Sección Segunda de la Sala de lo Contencioso-Administrativo del Tribunal Superior de Justicia de Castilla-La Mancha plantea cuestión de inconstitucionalidad en relación con los apartados 1 a) y 2 del art. 22 de la Ley 8/2007, de 28 de mayo, de suelo, y los apartados 1 a) y 2 del art. 23 del texto refundido de la Ley de suelo, aprobado por Real Decreto Legislativo 2/2008, de 20 de junio, por posible vulneración del art. 33.3 CE. Tales dudas de inconstitucionalidad se fundamentan por el órgano promotor de la cuestión en los argumentos ya expuestos en los antecedentes de la presente resolución. Por su parte, el Abogado del Estado y el Fiscal General del Estado solicitan la desestimación de la presente cuestión de inconstitucionalidad, por considerar las previsiones de los preceptos cuestionados acordes con las exigencias de los arts. 33.3 y 47 CE.</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a examinar el fondo de la cuestión, se hace preciso solventar algún aspecto de la misma, que podría suponer un óbice procesal al análisis de la cuestión suscitada. De acuerdo con la constante doctrina de este Tribunal, no existe ningún impedimento para ello, dado que la tramitación específica del art. 37.1 de la Ley Orgánica del Tribunal Constitucional (LOTC) no tiene carácter preclusivo, por lo que es posible apreciar en Sentencia la ausencia de los requisitos, tanto procesales como de fundamentación, requeridos para el válido planteamiento de la cuestión de inconstitucionalidad (STC 38/2014, de 11 de marzo, FJ 2; y Sentencias en ella citadas).</w:t>
      </w:r>
    </w:p>
    <w:p w:rsidR="0085709A" w:rsidRDefault="0085709A" w:rsidP="0085709A">
      <w:pPr>
        <w:pStyle w:val="TextoNormal"/>
      </w:pPr>
    </w:p>
    <w:p w:rsidR="0085709A" w:rsidRDefault="0085709A" w:rsidP="0085709A">
      <w:pPr>
        <w:pStyle w:val="TextoNormal"/>
      </w:pPr>
      <w:r>
        <w:t>Debemos comenzar el análisis de esos posibles óbices por el relativo al juicio de aplicabilidad, puesto que, de acuerdo con lo dispuesto en el art. 35.1 LOTC, la norma legal cuya constitucionalidad se cuestiona debe ser aplicable al caso, y, asimismo, de conformidad con el art. 35.2 LOTC, el órgano judicial debe especificar en qué media la decisión del proceso depende de la validez de la norma en cuestión. El razonamiento del juicio de aplicabilidad incluido en el Auto de planteamiento de la cuestión se dirige a justificar la aplicación tanto de la Ley 8/2007, de 28 de mayo, de suelo, como de su texto refundido, aprobado por Real Decreto Legislativo 2/2008, de 20 de junio, señalando que es lo aplicado por el Jurado Provincial de Expropiación Forzosa de Albacete en el expediente núm. 33/2010. La Sala llega a la conclusión de la aplicación de la Ley 8/2007 sobre la base de la interpretación realizada por el Tribunal Supremo en relación con el régimen transitorio de valoraciones, a partir de la disposición transitoria tercera del texto refundido de la Ley de suelo. Argumenta la Sala que el Tribunal Supremo ha declarado en Sentencias de 24 de junio, 3 de diciembre, y 26 de diciembre de 2013 que hay que entender que la citada disposición transitoria tercera se refiere al inicio de la pieza separada de justiprecio y no al inicio del procedimiento expropiatorio, en atención al contenido valorativo y no procedimental de la norma de cuya aplicación se trata. Señala la Sala que, extrapolando la anterior doctrina al caso, “como quiera que el proyecto relativo a las obras de referencia fue aprobado por resolución de la Dirección General de Carreteras de 17 de octubre de 2007, fecha posterior a la entrada en vigor de la Ley 8/2007, es claro que, a efectos de valoraciones, debía aplicarse ya la referida Ley al caso enjuiciado”.</w:t>
      </w:r>
    </w:p>
    <w:p w:rsidR="0085709A" w:rsidRDefault="0085709A" w:rsidP="0085709A">
      <w:pPr>
        <w:pStyle w:val="TextoNormal"/>
      </w:pPr>
    </w:p>
    <w:p w:rsidR="0085709A" w:rsidRDefault="0085709A" w:rsidP="0085709A">
      <w:pPr>
        <w:pStyle w:val="TextoNormal"/>
      </w:pPr>
      <w:r>
        <w:t xml:space="preserve">Una correcta aplicación de la jurisprudencia que asume el Auto de cuestionamiento, habría determinado que la fecha relevante para determinar la norma aplicable al caso no fuera </w:t>
      </w:r>
      <w:r>
        <w:lastRenderedPageBreak/>
        <w:t>la citada de la aprobación del procedimiento expropiatorio —17 de octubre de 2007— sino la de inicio de la pieza separada de justiprecio, que tuvo lugar en junio de 2009. El Auto de planteamiento no razona nada, no obstante, sobre la aplicabilidad del art. 23 del Real Decreto Legislativo 2/2008, de 20 de junio, por el que se aprueba el texto refundido de la Ley de suelo, que da por supuesta, siendo obvio, de un lado, que ambas normas legales, la Ley 8/2007, de suelo, derogada por el posterior texto refundido, y este último, actualmente vigente, ni estaban ni pudieron estar en vigor en un mismo momento, y de otro, que la hoja de aprecio de la empresa expropiada fue presentada a la Administración expropiante el 6 de julio de 2009, bajo la vigencia exclusiva, por tanto, del texto refundido de la Ley de suelo.</w:t>
      </w:r>
    </w:p>
    <w:p w:rsidR="0085709A" w:rsidRDefault="0085709A" w:rsidP="0085709A">
      <w:pPr>
        <w:pStyle w:val="TextoNormal"/>
      </w:pPr>
    </w:p>
    <w:p w:rsidR="0085709A" w:rsidRDefault="0085709A" w:rsidP="0085709A">
      <w:pPr>
        <w:pStyle w:val="TextoNormal"/>
      </w:pPr>
      <w:r>
        <w:t xml:space="preserve">Por consiguiente, dada la conexión que debe existir entre el pronunciamiento de este Tribunal y el proceso en que la cuestión se plantea, procede inadmitir la cuestión en relación con el art. 22.1 a) y 2 de la Ley 8/2007, preceptos que no habrán de aplicarse en el procedimiento </w:t>
      </w:r>
      <w:r w:rsidRPr="0085709A">
        <w:rPr>
          <w:i/>
        </w:rPr>
        <w:t>a quo</w:t>
      </w:r>
      <w:r>
        <w:t>.</w:t>
      </w:r>
    </w:p>
    <w:p w:rsidR="0085709A" w:rsidRDefault="0085709A" w:rsidP="0085709A">
      <w:pPr>
        <w:pStyle w:val="TextoNormal"/>
      </w:pPr>
    </w:p>
    <w:p w:rsidR="0085709A" w:rsidRDefault="0085709A" w:rsidP="0085709A">
      <w:pPr>
        <w:pStyle w:val="TextoNormal"/>
      </w:pPr>
      <w:r w:rsidRPr="0085709A">
        <w:rPr>
          <w:rStyle w:val="NumeroAFNegritaCaracter"/>
        </w:rPr>
        <w:t>3</w:t>
      </w:r>
      <w:r>
        <w:t>. Por otra parte, es preciso referirse al juicio de relevancia previsto en el art. 35.2 LOTC, que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0085709A" w:rsidRDefault="0085709A" w:rsidP="0085709A">
      <w:pPr>
        <w:pStyle w:val="TextoNormal"/>
      </w:pPr>
    </w:p>
    <w:p w:rsidR="0085709A" w:rsidRDefault="0085709A" w:rsidP="0085709A">
      <w:pPr>
        <w:pStyle w:val="TextoNormal"/>
      </w:pPr>
      <w:r>
        <w:t>Es doctrina constitucional reiterada sobre este presupuesto de la cuestión de inconstitucionalidad que corresponde al órgano judicial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w:t>
      </w:r>
    </w:p>
    <w:p w:rsidR="0085709A" w:rsidRDefault="0085709A" w:rsidP="0085709A">
      <w:pPr>
        <w:pStyle w:val="TextoNormal"/>
      </w:pPr>
    </w:p>
    <w:p w:rsidR="0085709A" w:rsidRDefault="0085709A" w:rsidP="0085709A">
      <w:pPr>
        <w:pStyle w:val="TextoNormal"/>
      </w:pPr>
      <w:r>
        <w:t xml:space="preserve">Pues bien, en el presente caso, lo que se impugna ante la Sala promotora de la cuestión de inconstitucionalidad es un acuerdo del Jurado Provincial de expropiación de Albacete por el que se fijó el justiprecio de los bienes y derechos objeto de expropiación en el expediente núm. 33-2010 (relativo a las obras a ejecutar en parte de una carretera), a partir de su consideración como suelo rural, y en aplicación del art. 23 del texto refundido de la Ley de suelo. Por tanto, parece clara la concurrencia del requisito de la relevancia del precepto cuestionado, teniendo en cuenta esa valoración que realiza el jurado a partir del mismo y la facultad revisora que corresponde a la jurisdicción contencioso-administrativa. En este sentido, el Auto de planteamiento realiza el juicio de relevancia del expresado precepto a los efectos de la decisión del proceso, señalando, en síntesis, que la parte demandante en el </w:t>
      </w:r>
      <w:r>
        <w:lastRenderedPageBreak/>
        <w:t xml:space="preserve">proceso </w:t>
      </w:r>
      <w:r w:rsidRPr="0085709A">
        <w:rPr>
          <w:i/>
        </w:rPr>
        <w:t>a quo</w:t>
      </w:r>
      <w:r>
        <w:t xml:space="preserve"> reclamó que los terrenos expropiados fueran valorados como suelo urbanizable en aplicación de la doctrina de los sistemas generales que crean ciudad, oponiéndose, sin embargo, a ello que la Gerencia Municipal de Urbanismo del Ayuntamiento de Albacete ha certificado que los terrenos están clasificados como suelo no urbanizable, por lo que, según la Ley de suelo, se encuentran en situación de suelo rural. Por tanto, la Sala habrá de estar al art. 23 del texto refundido de la Ley de suelo, que determina que la valoración deba efectuarse por el método de capitalización de rentas, que sólo responde a la valoración del rendimiento agrícola pero no al valor real de los terrenos según su situación, descartándose expresamente la valoración de las expectativas urbanísticas, preceptos que impidieron al jurado de expropiación e impiden ahora a la propia Sala valorar los terrenos en base a su valor real.</w:t>
      </w:r>
    </w:p>
    <w:p w:rsidR="0085709A" w:rsidRDefault="0085709A" w:rsidP="0085709A">
      <w:pPr>
        <w:pStyle w:val="TextoNormal"/>
      </w:pPr>
    </w:p>
    <w:p w:rsidR="0085709A" w:rsidRDefault="0085709A" w:rsidP="0085709A">
      <w:pPr>
        <w:pStyle w:val="TextoNormal"/>
      </w:pPr>
      <w:r>
        <w:t>Ahora bien, podría suscitarse la duda de si el precepto discutido resulta realmente relevante para la solución del litigio, extremo que fue cuestionado por el Abogado del Estado en el trámite de audiencia realizado por la Sala promotora de la cuestión. La lectura de la demanda presentada en el recurso contencioso-administrativo permite advertir que, efectivamente, la parte recurrente no cuestionó propiamente la valoración efectuada por el jurado sobre la base de los arts. 22 de la Ley 8/2007 y 23 del texto refundido de la Ley de suelo (preceptos que ni siquiera se citan en la demanda), en atención a la consideración de la parcela expropiada como suelo rural, ni criticó el criterio de valoración establecido en tales preceptos, aunque fuera de manera subsidiaria. Su demanda se concretó en la reclamación de tres aspectos: que la finca debía ser clasificada como suelo urbanizable; que, en consecuencia, la valoración se efectuara de conformidad con lo establecido en el art. 24 del texto refundido de la Ley de suelo; y, finalmente, que se debía indemnizar también por el terreno restante que resultaba inutilizable. También la prueba y el trámite de conclusiones versaron sobre tales extremos, sin que, aparentemente, en el debate se introdujera el aspecto relativo a la corrección o no del criterio de valoración del suelo rural, hasta que la Sala abrió el trámite de audiencia previo al planteamiento de la cuestión.</w:t>
      </w:r>
    </w:p>
    <w:p w:rsidR="0085709A" w:rsidRDefault="0085709A" w:rsidP="0085709A">
      <w:pPr>
        <w:pStyle w:val="TextoNormal"/>
      </w:pPr>
    </w:p>
    <w:p w:rsidR="0085709A" w:rsidRDefault="0085709A" w:rsidP="0085709A">
      <w:pPr>
        <w:pStyle w:val="TextoNormal"/>
      </w:pPr>
      <w:r>
        <w:t xml:space="preserve">Por consiguiente, podría resultar discutible que la Sala pudiera entrar a revisar la valoración realizada por el Jurado por motivos distintos a los alegados por la parte recurrente, de suerte que el precepto cuestionado carecería de relevancia a los efectos de la resolución que deba dictarse en procedimiento a quo. No obstante, hay que tener en cuenta, por una parte, que lo que late en el procedimiento, en último término y cualquiera que sea el planteamiento concreto de la demanda, es la disconformidad de la entidad recurrente con la valoración de la parcela expropiada efectuada por el Jurado de Expropiación, por entender que es muy inferior al valor real del terreno expropiado (incluso al valor de compra por la empresa). Y, por otra, que frente a las pretensiones articuladas en la demanda, el Abogado del Estado adujo que el terreno expropiado era suelo no urbanizable y que debía ser objeto de valoración como suelo rural al amparo de los criterios establecidos en los arts. 22 de la Ley 8/2007 y 23 del texto refundido de 2008, por lo que la valoración efectuada por el Jurado de expropiación era correcta. Planteado el debate en tales términos, y teniendo presente el carácter revisor de la jurisdicción contencioso-administrativa y el principio </w:t>
      </w:r>
      <w:r w:rsidRPr="0085709A">
        <w:rPr>
          <w:i/>
        </w:rPr>
        <w:t>iura novit curia</w:t>
      </w:r>
      <w:r>
        <w:t xml:space="preserve">, la justificación de la relevancia del precepto cuestionado para la resolución del procedimiento </w:t>
      </w:r>
      <w:r w:rsidRPr="0085709A">
        <w:rPr>
          <w:i/>
        </w:rPr>
        <w:t>a quo</w:t>
      </w:r>
      <w:r>
        <w:t xml:space="preserve"> que realiza la Sala promotora de la cuestión no puede considerarse notoriamente equivocada o inconsistente, ya que argumenta de manera razonada y razonable los motivos por los que se habrá de ver en la tesitura de aplicar el precepto discutido en su sentencia, el cual, a su juicio, no permite obtener una indemnización que resulte acorde con el art. 33.3 CE. </w:t>
      </w:r>
      <w:r>
        <w:lastRenderedPageBreak/>
        <w:t>Siendo así las cosas, no puede este Tribunal, en virtud del control externo que le corresponde efectuar sobre el juicio de relevancia, revisar el criterio del órgano judicial sobre la necesidad de aplicar los preceptos discutidos, por lo cual ha de darse por debidamente satisfecho el requisito examinado.</w:t>
      </w:r>
    </w:p>
    <w:p w:rsidR="0085709A" w:rsidRDefault="0085709A" w:rsidP="0085709A">
      <w:pPr>
        <w:pStyle w:val="TextoNormal"/>
      </w:pPr>
    </w:p>
    <w:p w:rsidR="0085709A" w:rsidRDefault="0085709A" w:rsidP="0085709A">
      <w:pPr>
        <w:pStyle w:val="TextoNormal"/>
      </w:pPr>
      <w:r w:rsidRPr="0085709A">
        <w:rPr>
          <w:rStyle w:val="NumeroAFNegritaCaracter"/>
        </w:rPr>
        <w:t>4</w:t>
      </w:r>
      <w:r>
        <w:t>. Aclarados los anteriores extremos, y entrando ya en el análisis del fondo de la cuestión de inconstitucionalidad, ha de señalarse que las dudas que han llevado a la Sala a plantearla son sustancialmente iguales a las expuestas en los recursos de inconstitucionalidad núms. 6963-2007, 6964-2007, 6969-2007 y 6973-2007, acumulados, interpuestos contra la Ley de suelo por más de cincuenta diputados y los Gobiernos de tres Comunidades Autónomas, así como a los expuestos en los dos posteriores recursos de inconstitucionalidad núms. 7020-2008 y 7231-2008, también acumulados, interpuestos contra el texto refundido de la Ley de suelo, que han sido resueltos en la STC 141/2014, de 11 de septiembre. En este caso, no obstante, la duda se refiere únicamente al suelo clasificado por el planeamiento como rústico, esto es, al que el planeamiento no atribuye ni edificabilidad ni usos urbanísticos. En concreto, considera la Sala que el valor que garantiza el art. 33.3 CE es el valor de mercado, pero que las normas cuestionadas le impiden valorar los terrenos conforme a su valor real, al que podría llegarse, según la legislación anterior, por el método de comparación de fincas análogas, sin poder tener en cuenta la proximidad de los terrenos a un polígono industrial o las expectativas resultantes del avance del plan general de ordenación municipal, debiendo limitarse a valorar el suelo por capitalización de las rentas agrarias, con un incremento máximo del doble, de modo que el valor así obtenido resultaría claramente insuficiente.</w:t>
      </w:r>
    </w:p>
    <w:p w:rsidR="0085709A" w:rsidRDefault="0085709A" w:rsidP="0085709A">
      <w:pPr>
        <w:pStyle w:val="TextoNormal"/>
      </w:pPr>
    </w:p>
    <w:p w:rsidR="0085709A" w:rsidRDefault="0085709A" w:rsidP="0085709A">
      <w:pPr>
        <w:pStyle w:val="TextoNormal"/>
      </w:pPr>
      <w:r>
        <w:t>La STC 141/2014, de 11 de septiembre, tras analizar tanto el art. 22.1 a) de la Ley de suelo como el art. 23.1 a) del texto refundido de la misma Ley, entendió que eran constitucionales una vez depurado el inciso de “hasta un máximo del doble”, cuya inconstitucionalidad y nulidad declaró. Por ello, una vez eliminado del ordenamiento jurídico el inciso anteriormente señalado, sólo cabe declarar que la cuestión ha perdido objeto en lo que atañe a la duda de constitucionalidad relativa al apartado 1 a) del art. 23 del texto refundido de la Ley de suelo, que plantea la Sala promotora de la cuestión.</w:t>
      </w:r>
    </w:p>
    <w:p w:rsidR="0085709A" w:rsidRDefault="0085709A" w:rsidP="0085709A">
      <w:pPr>
        <w:pStyle w:val="TextoNormal"/>
      </w:pPr>
    </w:p>
    <w:p w:rsidR="0085709A" w:rsidRDefault="0085709A" w:rsidP="0085709A">
      <w:pPr>
        <w:pStyle w:val="TextoNormal"/>
      </w:pPr>
      <w:r>
        <w:t>Consecuentemente, la norma discutida por el órgano judicial en este proceso constitucional ha sido expulsada del ordenamiento, una vez anulada por inconstitucional. Ello impone apreciar, conforme a reiterada doctrina constitucional (por todas, SSTC 86/2012, de 18 de abril, FJ 2, y 147/2012, de 5 de julio, FJ 3; y AATC 119/2013, de 20 de mayo, FJ único, y 140/2013, de 3 de junio, FJ único), la desaparición sobrevenida del objeto de la presente cuestión en relación con el indicado apartado 1 a) del art. 23 del texto refundido de la Ley de suelo.</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La duda de la Sala se suscita también en relación con el apartado 2 del art. 23 del reiterado texto refundido, según el cual en ningún caso podrán considerarse expectativas derivadas de la asignación de edificabilidades y usos por la ordenación territorial y urbanística que no hayan sido aún realizados. Aunque este apartado no fue impugnado en los recursos de inconstitucionalidad antes mencionados, motivo por el cual la STC 141/2014, de 11 de septiembre, no se pronunció específicamente sobre el mismo, la solución a la duda de constitucionalidad planteada viene predeterminada por lo afirmado por este Tribunal en el FJ 9 b) de dicha Sentencia, en la medida en que dicho apartado 2 sólo es una reiteración de la regla establecida en el apartado 1 a), ya depurado constitucionalmente, motivada, sin </w:t>
      </w:r>
      <w:r>
        <w:lastRenderedPageBreak/>
        <w:t>duda, por la preocupación del legislador en insistir en el abandono de los criterios de valoración del suelo no urbanizable y urbanizable de la Ley 6/1998, de 13 de abril, de régimen del suelo y valoraciones.</w:t>
      </w:r>
    </w:p>
    <w:p w:rsidR="0085709A" w:rsidRDefault="0085709A" w:rsidP="0085709A">
      <w:pPr>
        <w:pStyle w:val="TextoNormal"/>
      </w:pPr>
    </w:p>
    <w:p w:rsidR="0085709A" w:rsidRDefault="0085709A" w:rsidP="0085709A">
      <w:pPr>
        <w:pStyle w:val="TextoNormal"/>
      </w:pPr>
      <w:r>
        <w:t xml:space="preserve">Pues bien, sobre este particular, ya se dijo en el ATC 8/2015, de 20 de enero, que “en la STC 141/2014, de 11 de septiembre, FJ 9 b) afirmamos que el art. 33.3 CE no exige que la compensación sea equivalente al valor de mercado de los bienes y derechos expropiados, por lo que el legislador estatal cuenta con un margen de apreciación para instituir el método de valoración del suelo, así como para configurar los distintos estatutos del derecho de propiedad. En ejercicio de su discrecionalidad, el art. 22 de la Ley de suelo se ha separado de la búsqueda de un método de valoración que se aproxime al valor de mercado porque en él se producen fallos o tensiones especulativas, y ha optado por una concepción legítima de la propiedad del suelo conforme a la cual el </w:t>
      </w:r>
      <w:r w:rsidRPr="0085709A">
        <w:rPr>
          <w:i/>
        </w:rPr>
        <w:t>ius aedificandi</w:t>
      </w:r>
      <w:r>
        <w:t xml:space="preserve"> no forma parte del contenido inicial del derecho de propiedad, sino que se va adquiriendo en función del cumplimiento de los correlativos deberes urbanísticos de manera que, en el suelo rural, la indemnización de la simple expectativa urbanística se fija o concreta en relación con la concurrencia de determinadas condiciones establecidas en la ley.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En conclusión, desde el punto de vista abstracto que corresponde al Tribunal Constitucional, no ha de atenderse a las circunstancias precisas que en el supuesto concreto puedan darse, sino a la existencia de un proporcional equilibrio entre el valor del bien o derecho expropiado y la cuantía ofrecida, de manera que la norma solo podrá considerarse constitucionalmente ilegitima cuando la correspondencia entre aquél y ésta se revele manifiestamente desprovista de base razonable”.</w:t>
      </w:r>
    </w:p>
    <w:p w:rsidR="0085709A" w:rsidRDefault="0085709A" w:rsidP="0085709A">
      <w:pPr>
        <w:pStyle w:val="TextoNormal"/>
      </w:pPr>
    </w:p>
    <w:p w:rsidR="0085709A" w:rsidRDefault="0085709A" w:rsidP="0085709A">
      <w:pPr>
        <w:pStyle w:val="TextoNormal"/>
      </w:pPr>
      <w:r>
        <w:t>Por consiguiente, sigue afirmando el ATC 8/2015,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En otras palabras, el art. 33.3 CE no garantiza en todo caso el valor de mercado. No lo hace, sin duda, cuando en su formación intervienen las expectativas derivadas de la futura aprobación del planeamiento, ni siquiera las derivadas de un planeamiento ya aprobado hasta que se hayan cumplido las cargas y deberes legalmente establecidos”.</w:t>
      </w:r>
    </w:p>
    <w:p w:rsidR="0085709A" w:rsidRDefault="0085709A" w:rsidP="0085709A">
      <w:pPr>
        <w:pStyle w:val="TextoNormal"/>
      </w:pPr>
    </w:p>
    <w:p w:rsidR="0085709A" w:rsidRDefault="0085709A" w:rsidP="0085709A">
      <w:pPr>
        <w:pStyle w:val="TextoNormal"/>
      </w:pPr>
      <w:r>
        <w:t>Procede, en consecuencia, desestimar en este punto la cuestión de inconstitucionalidad planteada.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Inadmitir la cuestión de inconstitucionalidad núm. 1591-2014 en relación con el art. 22.1 a) y 2 de la Ley 8/2007, de 28 de mayo, de suelo.</w:t>
      </w:r>
    </w:p>
    <w:p w:rsidR="0085709A" w:rsidRDefault="0085709A" w:rsidP="0085709A">
      <w:pPr>
        <w:pStyle w:val="TextoNormal"/>
      </w:pPr>
    </w:p>
    <w:p w:rsidR="0085709A" w:rsidRDefault="0085709A" w:rsidP="0085709A">
      <w:pPr>
        <w:pStyle w:val="TextoNormal"/>
      </w:pPr>
      <w:r>
        <w:t>2º Declarar la pérdida sobrevenida de objeto de la cuestión de inconstitucionalidad respecto del art. 23.1 a) del texto refundido de la Ley de suelo, aprobado por Real Decreto Legislativo 2/2008, de 20 de junio.</w:t>
      </w:r>
    </w:p>
    <w:p w:rsidR="0085709A" w:rsidRDefault="0085709A" w:rsidP="0085709A">
      <w:pPr>
        <w:pStyle w:val="TextoNormal"/>
      </w:pPr>
    </w:p>
    <w:p w:rsidR="0085709A" w:rsidRDefault="0085709A" w:rsidP="0085709A">
      <w:pPr>
        <w:pStyle w:val="TextoNormal"/>
      </w:pPr>
      <w:r>
        <w:t>3º Desestimar en todo lo demás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dos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7" w:name="SENTENCIA_2015_44"/>
      <w:r>
        <w:lastRenderedPageBreak/>
        <w:t>SENTENCIA 44/2015, de 5 de marzo de 2015</w:t>
      </w:r>
    </w:p>
    <w:bookmarkEnd w:id="47"/>
    <w:p w:rsidR="0085709A" w:rsidRDefault="0085709A" w:rsidP="0085709A">
      <w:pPr>
        <w:pStyle w:val="TtuloResolucin"/>
      </w:pPr>
      <w:r>
        <w:t>Pleno</w:t>
      </w:r>
    </w:p>
    <w:p w:rsidR="0085709A" w:rsidRDefault="0085709A" w:rsidP="0085709A">
      <w:pPr>
        <w:pStyle w:val="TtuloBOE"/>
      </w:pPr>
      <w:r>
        <w:t>(BOE núm. 85, de 9 de abril de 2015)</w:t>
      </w:r>
    </w:p>
    <w:p w:rsidR="0085709A" w:rsidRDefault="0085709A" w:rsidP="0085709A">
      <w:pPr>
        <w:pStyle w:val="TextoNormalCentrado"/>
      </w:pPr>
      <w:r>
        <w:t>ECLI:ES:TC:2015:44</w:t>
      </w:r>
    </w:p>
    <w:p w:rsidR="0085709A" w:rsidRDefault="0085709A" w:rsidP="0085709A">
      <w:pPr>
        <w:pStyle w:val="TextoNormalCentrado"/>
      </w:pPr>
    </w:p>
    <w:p w:rsidR="0085709A" w:rsidRDefault="0085709A" w:rsidP="0085709A">
      <w:pPr>
        <w:pStyle w:val="SntesisDescriptiva"/>
      </w:pPr>
      <w:r>
        <w:t>Recurso de inconstitucionalidad 1955-2005. Interpuesto por más de cincuenta diputados del Grupo Parlamentario Popular en el Congreso de los Diputados respecto de diversos preceptos de la Ley 2/2004, de 27 de diciembre, de presupuestos generales del Estado para 2005.</w:t>
      </w:r>
    </w:p>
    <w:p w:rsidR="0085709A" w:rsidRDefault="0085709A" w:rsidP="0085709A">
      <w:pPr>
        <w:pStyle w:val="SntesisDescriptiva"/>
      </w:pPr>
    </w:p>
    <w:p w:rsidR="0085709A" w:rsidRDefault="0085709A" w:rsidP="0085709A">
      <w:pPr>
        <w:pStyle w:val="SntesisAnaltica"/>
      </w:pPr>
      <w:r>
        <w:t>Límites materiales de las leyes de presupuestos: nulidad del precepto de la Ley de presupuestos que limita la autonomía de las Cámaras legislativas al regular el procedimiento de determinación del objetivo de estabilidad presupuestaria.</w:t>
      </w:r>
    </w:p>
    <w:p w:rsidR="0085709A" w:rsidRDefault="0085709A" w:rsidP="0085709A">
      <w:pPr>
        <w:pStyle w:val="SntesisAnaltica"/>
      </w:pPr>
    </w:p>
    <w:p w:rsidR="0085709A" w:rsidRDefault="0085709A" w:rsidP="0085709A">
      <w:pPr>
        <w:pStyle w:val="Extracto"/>
      </w:pPr>
      <w:r>
        <w:t>1.</w:t>
      </w:r>
      <w:r>
        <w:tab/>
        <w:t>Se declara la inconstitucionalidad del precepto que establece que si el objetivo de estabilidad presentado por el Gobierno es aprobado en el Congreso y, rechazado en el Senado, se somete a una nueva votación en el Congreso, se aprueba si éste lo ratifica por mayoría simple [FJ 3 d)].</w:t>
      </w:r>
    </w:p>
    <w:p w:rsidR="0085709A" w:rsidRDefault="0085709A" w:rsidP="0085709A">
      <w:pPr>
        <w:pStyle w:val="Extracto"/>
      </w:pPr>
    </w:p>
    <w:p w:rsidR="0085709A" w:rsidRDefault="0085709A" w:rsidP="0085709A">
      <w:pPr>
        <w:pStyle w:val="Extracto"/>
      </w:pPr>
      <w:r>
        <w:t>2.</w:t>
      </w:r>
      <w:r>
        <w:tab/>
        <w:t>La declaración de utilidad pública de una infraestructura conlleva que se consignen en el presupuesto los créditos necesarios para la ejecución de esas obras en los que también deben incluirse el montante de las indemnizaciones que deban afrontarse con motivo de la expropiación por exigencias del art. 33.3 CE; de modo que esta declaración de interés general, como presupuesto legal habilitante para proceder a una expropiación, no solo pone de manifiesto una conexión directa con los gastos del ejercicio, sino que, además, sirve a la mejor inteligencia del instrumento presupuesto para cuya ejecución se dicta (STC 206/2013) [FJ 3 c)].</w:t>
      </w:r>
    </w:p>
    <w:p w:rsidR="0085709A" w:rsidRDefault="0085709A" w:rsidP="0085709A">
      <w:pPr>
        <w:pStyle w:val="Extracto"/>
      </w:pPr>
    </w:p>
    <w:p w:rsidR="0085709A" w:rsidRDefault="0085709A" w:rsidP="0085709A">
      <w:pPr>
        <w:pStyle w:val="Extracto"/>
      </w:pPr>
      <w:r>
        <w:t>3.</w:t>
      </w:r>
      <w:r>
        <w:tab/>
        <w:t>Se rechaza la inconstitucionalidad del precepto por el que se introduce una previsión en el proceso de fiscalización previa e intervención de los derechos e ingresos del tesoro público, pues carece de virtualidad para incidir en los límites materiales ex art. 134 CE declarados para las leyes de presupuestos y se dirige a una mejor ejecución del presupuesto (SSTC 61/1997, 206/2013) [FJ 3 e)].</w:t>
      </w:r>
    </w:p>
    <w:p w:rsidR="0085709A" w:rsidRDefault="0085709A" w:rsidP="0085709A">
      <w:pPr>
        <w:pStyle w:val="Extracto"/>
      </w:pPr>
    </w:p>
    <w:p w:rsidR="0085709A" w:rsidRDefault="0085709A" w:rsidP="0085709A">
      <w:pPr>
        <w:pStyle w:val="Extracto"/>
      </w:pPr>
      <w:r>
        <w:t>4.</w:t>
      </w:r>
      <w:r>
        <w:tab/>
        <w:t>Se rechaza la inconstitucionalidad de la reforma de determinados preceptos del texto refundido de la Ley del catastro inmobiliario, que tienen relación directa con los ingresos del ejercicio lo que legitima constitucionalmente a su inclusión en el contenido eventual de la ley de presupuestos, pero que carecen de virtualidad para incidir en los límites materiales</w:t>
      </w:r>
      <w:r w:rsidRPr="0085709A">
        <w:rPr>
          <w:i/>
        </w:rPr>
        <w:t xml:space="preserve"> ex </w:t>
      </w:r>
      <w:r>
        <w:t>art. 134 CE de las leyes de presupuestos (SSTC 61/1997, 217/2013) [FJ 3 f)].</w:t>
      </w:r>
    </w:p>
    <w:p w:rsidR="0085709A" w:rsidRDefault="0085709A" w:rsidP="0085709A">
      <w:pPr>
        <w:pStyle w:val="Extracto"/>
      </w:pPr>
    </w:p>
    <w:p w:rsidR="0085709A" w:rsidRDefault="0085709A" w:rsidP="0085709A">
      <w:pPr>
        <w:pStyle w:val="Extracto"/>
      </w:pPr>
      <w:r>
        <w:t>5.</w:t>
      </w:r>
      <w:r>
        <w:tab/>
        <w:t>Se rechaza la inconstitucionalidad de las modificaciones sobre establecimiento de una nueva regulación del sistema de pagos y liquidación de valores pues carecen de virtualidad para incidir en los límites materiales</w:t>
      </w:r>
      <w:r w:rsidRPr="0085709A">
        <w:rPr>
          <w:i/>
        </w:rPr>
        <w:t xml:space="preserve"> ex </w:t>
      </w:r>
      <w:r>
        <w:t>art. 134 CE al tener una relación directa con los objetivos de política económica y con los gastos del ejercicio; como tampoco los aspectos organizativos y de atribución de competencias relativos al Banco de España y a la Sociedad Española de Sistemas de Pago suponen extralimitación material de las leyes de presupuestos al resultar accesorios y necesarios (SSTC 61/1997, 217/2013) [FJ 3 g)].</w:t>
      </w:r>
    </w:p>
    <w:p w:rsidR="0085709A" w:rsidRDefault="0085709A" w:rsidP="0085709A">
      <w:pPr>
        <w:pStyle w:val="Extracto"/>
      </w:pPr>
    </w:p>
    <w:p w:rsidR="0085709A" w:rsidRDefault="0085709A" w:rsidP="0085709A">
      <w:pPr>
        <w:pStyle w:val="Extracto"/>
      </w:pPr>
      <w:r>
        <w:t>6.</w:t>
      </w:r>
      <w:r>
        <w:tab/>
        <w:t>Se rechaza la inconstitucionalidad de la disposición que concreta los ingresos que deben efectuarse por los empresarios, grupos empresariales, fabricantes e importadores de medicamentos y sustancias medicinales, tanto en el tesoro público como en la caja del Instituto de Salud Carlos III, por volumen de ventas al Sistema Nacional de Salud, apreciándose con ello la legitimidad constitucional de esta disposición para integrarse en el contenido eventual de la ley de presupuestos fruto de su relación directa con los ingresos del Estado (conexión económica) [FJ 3 h)].</w:t>
      </w:r>
    </w:p>
    <w:p w:rsidR="0085709A" w:rsidRDefault="0085709A" w:rsidP="0085709A">
      <w:pPr>
        <w:pStyle w:val="Extracto"/>
      </w:pPr>
    </w:p>
    <w:p w:rsidR="0085709A" w:rsidRDefault="0085709A" w:rsidP="0085709A">
      <w:pPr>
        <w:pStyle w:val="Extracto"/>
      </w:pPr>
      <w:r>
        <w:t>7.</w:t>
      </w:r>
      <w:r>
        <w:tab/>
        <w:t>La presunción de constitucionalidad de las normas con rango de ley no puede desvirtuarse sin un mínimo de argumentación y no caben impugnaciones globales y carentes de una razón suficientemente desarrollada, como sucede en este supuesto donde la demanda se limita a alegar que el acto de aprobación de una serie de enmiendas vulnera los principios de igualdad y de interdicción de la arbitrariedad, pero sin especificar las razones (STC 16/2003) [FJ 4 b)].</w:t>
      </w:r>
    </w:p>
    <w:p w:rsidR="0085709A" w:rsidRDefault="0085709A" w:rsidP="0085709A">
      <w:pPr>
        <w:pStyle w:val="Extracto"/>
      </w:pPr>
    </w:p>
    <w:p w:rsidR="0085709A" w:rsidRDefault="0085709A" w:rsidP="0085709A">
      <w:pPr>
        <w:pStyle w:val="Extracto"/>
      </w:pPr>
      <w:r>
        <w:t>8.</w:t>
      </w:r>
      <w:r>
        <w:tab/>
        <w:t>Aun cuando la disposición adicional cuadragésimo octava de la Ley 2/2004, de 27 de diciembre, de presupuestos generales del Estado para 2005, ha introducido en el ordenamiento,</w:t>
      </w:r>
      <w:r w:rsidRPr="0085709A">
        <w:rPr>
          <w:i/>
        </w:rPr>
        <w:t xml:space="preserve"> ex novo</w:t>
      </w:r>
      <w:r>
        <w:t>, una prestación patrimonial de carácter público, al no tener naturaleza tributaria, no puede considerarse que haya transgredido la prohibición prevista en el art. 134.7 CE, ni, por tanto, la reserva de ley del art. 31.3 CE ni la garantía de la interdicción de arbitrariedad del art. 9.3 CE [FJ 5 e)].</w:t>
      </w:r>
    </w:p>
    <w:p w:rsidR="0085709A" w:rsidRDefault="0085709A" w:rsidP="0085709A">
      <w:pPr>
        <w:pStyle w:val="Extracto"/>
      </w:pPr>
    </w:p>
    <w:p w:rsidR="0085709A" w:rsidRDefault="0085709A" w:rsidP="0085709A">
      <w:pPr>
        <w:pStyle w:val="Extracto"/>
      </w:pPr>
      <w:r>
        <w:t>9.</w:t>
      </w:r>
      <w:r>
        <w:tab/>
        <w:t>Doctrina sobre el contenido eventual de la Ley de presupuestos (SSTC 274/2000, 217/2013) [FJ 3 b)].</w:t>
      </w:r>
    </w:p>
    <w:p w:rsidR="0085709A" w:rsidRDefault="0085709A" w:rsidP="0085709A">
      <w:pPr>
        <w:pStyle w:val="Extracto"/>
      </w:pPr>
    </w:p>
    <w:p w:rsidR="0085709A" w:rsidRDefault="0085709A" w:rsidP="0085709A">
      <w:pPr>
        <w:pStyle w:val="Extracto"/>
      </w:pPr>
      <w:r>
        <w:t>10.</w:t>
      </w:r>
      <w:r>
        <w:tab/>
        <w:t>Doctrina sobre la necesidad de acreditar que un vicio o inobservancia afecte al proceso de formación de la voluntad de la Cámara para la declaración de su inconstitucionalidad (SSTC 209/2012, 36/2013) [FFJJ 2, 4 a)].</w:t>
      </w:r>
    </w:p>
    <w:p w:rsidR="0085709A" w:rsidRDefault="0085709A" w:rsidP="0085709A">
      <w:pPr>
        <w:pStyle w:val="Extracto"/>
      </w:pPr>
    </w:p>
    <w:p w:rsidR="0085709A" w:rsidRDefault="0085709A" w:rsidP="0085709A">
      <w:pPr>
        <w:pStyle w:val="Extracto"/>
      </w:pPr>
      <w:r>
        <w:t>11.</w:t>
      </w:r>
      <w:r>
        <w:tab/>
        <w:t>Doctrina sobre la coactividad de las prestaciones patrimoniales de carácter público (SSTC 185/1995, 102/2005) [FJ 5 e)].</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inconstitucionalidad núm. 1955-2005, interpuesto por don Ignacio Astarloa Huarte-Mendicoa, doña Alicia Castro Masaveu y don Federico Trillo-Figueroa Martínez-Conde, todos ellos Diputados del Grupo Parlamentario Popular en el Congreso de los Diputados, y el primero comisionado por otros 82 Diputados de dicho Grupo Parlamentario, contra los arts. 2, 4 y 13, el Anexo I, las disposiciones adicionales vigésima octava, trigésima, trigésima primera, trigésima cuarta, trigésima novena, cuadragésima y cuadragésima octava, así como contra las Secciones 12 (Asuntos Exteriores y Cooperación en los Servicios 01 y 04), 13 (Justicia en los Servicios 02, 03 y 04), 14 (Defensa en los Servicios 03, 11, 16 y 21), 15 (Economía y Hacienda en el Servicio 08), 16 (Interior en los Servicios 01, 02, 03, 04 y 05), 17 (Fomento en los Servicios 38 y 01), 18 (Educación y Ciencia en los Servicios 02, 03 y 10), 19 (Trabajo y Asuntos Sociales en los Servicios 01, 04 y 07), 20 (Industria, Turismo y Comercio en los Servicios (01, 05 y 06), 21 (Agricultura, Pesca y Alimentación en el Servicio 01), 22 (Administraciones Públicas en el Servicio 01), 23 (Medio Ambiente en el Servicio 01), 24 (Cultura en los Servicios 02, 03 y 04), 25 (Presidencia en los Servicios 01, 02 y 03), 26 (Sanidad y Consumo en los Servicios 03, 09 y 13) y 27 (Vivienda en el Servicio 09), unos y otras, de la Ley 2/2004, de 24 de diciembre, de Presupuestos Generales del Estado para 2005, al considerar que vulneran los arts. 9.3, 14, 31.1 y 3, 66.2, y 134.2, 6 y 7, todos ellos de la CE, y los arts. 69 y 133.3 del Reglamento del Congreso. Han intervenido el Abogado del Estado, en la representación que ostenta, y el Letrado de las Cortes Generales, don Fernando Sainz Moreno, en representación del Congreso de los Diputados. Ha sido Ponente el Magistrado don Juan Antonio Xiol Ríos,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día 18 de marzo de 2005 tuvo entrada en el Registro General de este Tribunal Constitucional un escrito de don Ignacio Astarloa Huarte-Mendicoa, doña Alicia Castro Masaveu y don Federico Trillo-Figueroa Martínez-Conde, todos ellos Diputados del Grupo Parlamentario Popular en el Congreso de los Diputados, y el primero comisionado por otros 82 Diputados de dicho grupo parlamentario, por el que se interpone un recurso de inconstitucionalidad contra los arts. 2, 4 y 13, el anexo I, las disposiciones adicionales vigésima octava, trigésima, trigésima primera, trigésima cuarta, trigésima novena, cuadragésima y cuadragésima octava, así como contra las secciones duodécima (Asuntos Exteriores y Cooperación en los servicios 01 y 04), decimotercera (Justicia en los servicios 02, 03 y 04), decimocuarta (Defensa en los servicios 03, 11, 16 y 21), decimoquinta (Economía y Hacienda en el servicio 08), decimosexta (Interior en los servicios 01, 02, 03, 04 y 05), decimoséptima (Fomento en los servicios 38 y 01), decimoctava (Educación y Ciencia en los servicios 02, 03 y 10), decimonovena (Trabajo y Asuntos Sociales en los servicios 01, 04 y 07), vigésima (Industria, Turismo y Comercio en los servicios (01, 05 y 06), vigesimoprimera (Agricultura, Pesca y Alimentación en el servicio 01), vigesimosegunda (Administraciones Públicas en el servicio 01), vigesimotercera (Medio Ambiente en el servicio 01), vigesimocuarta (Cultura en los servicios 02, 03 y 04), vigesimoquinta (Presidencia en los servicios 01, 02 y 03), vigesimosexta (Sanidad y Consumo en los servicios 03, 09 y 13) y vigesimoséptima (Vivienda en el servicio 09), unos y otras, de la Ley 2/2004, de 27 de diciembre, de presupuestos generales del Estado para 2005, al considerar que vulneran los </w:t>
      </w:r>
      <w:r>
        <w:lastRenderedPageBreak/>
        <w:t>arts. 9.3, 14, 31.1 y 3, 66.2, y 134.2, 6 y 7, todos ellos de la Constitución, y los arts. 69 y 133.3 del Reglamento del Congreso.</w:t>
      </w:r>
    </w:p>
    <w:p w:rsidR="0085709A" w:rsidRDefault="0085709A" w:rsidP="0085709A">
      <w:pPr>
        <w:pStyle w:val="TextoNormal"/>
      </w:pPr>
    </w:p>
    <w:p w:rsidR="0085709A" w:rsidRDefault="0085709A" w:rsidP="0085709A">
      <w:pPr>
        <w:pStyle w:val="TextoNormal"/>
      </w:pPr>
      <w:r>
        <w:t>Tras concretar los Diputados recurrentes la doctrina del Tribunal Constitucional sobre la naturaleza de las leyes de presupuestos generales del Estado, su contenido mínimo o eventual, así como los límites que la Constitución le impone, aducen en su recurso los siguientes vicios de inconstitucionalidad:</w:t>
      </w:r>
    </w:p>
    <w:p w:rsidR="0085709A" w:rsidRDefault="0085709A" w:rsidP="0085709A">
      <w:pPr>
        <w:pStyle w:val="TextoNormal"/>
      </w:pPr>
    </w:p>
    <w:p w:rsidR="0085709A" w:rsidRDefault="0085709A" w:rsidP="0085709A">
      <w:pPr>
        <w:pStyle w:val="TextoNormal"/>
      </w:pPr>
      <w:r>
        <w:t>a) Vulneración por los artículos arts. 2, 4 y 13, así como por el anexo I de la Ley 2/2004, de 27 de diciembre, de los arts. 9.3, 66.2 y 134.2 CE, y del art. 69 del Reglamento del Congreso de los Diputados: consideran sobre este particular que nos encontramos en una situación respecto de la que no puede considerarse producida la aprobación por el Congreso de los Diputados de todos los gastos e ingresos del sector público estatal al no haberse garantizado la transparencia y publicidad en el proceso de formación de la voluntad de la Cámara. Señalan a este respecto que las cifras que se contenían en el acto inicial de aprobación de los presupuestos generales (el 25 de noviembre de 2004) y, concretamente, de las cifras contenidas en los arts. 2, 4, 13 y anexo I, no tenían carácter definitivo hasta tanto no se incluyesen en las mismas las enmiendas aprobadas por el Congreso. Posteriormente, cuando el Congreso de los Diputados volvió a pronunciarse sobre los mismos, en su sesión de 22 de diciembre de 2004, se limitó a ratificar el texto inicialmente aprobado por la Cámara el citado día 25 de noviembre, en el que no figuraban las cifras definitivas. Situación la anterior que no puede entenderse sanada por el hecho de que una horas antes de la votación (y no las 48 horas que exige el art. 69 del Reglamento del Congreso de los Diputados) se distribuyese a los Diputados unos folios aclaratorios, tanto más cuanto la publicación el día 30 de diciembre de 2004 del proyecto de ley en el “Boletín Oficial del Congreso de los Diputados” (con posterioridad a la propia publicación en el “Boletín Oficial del Estado” de la Ley de presupuestos generales del Estado para 2005 que se produjo el día 28 de diciembre), se recogen unas cifras definitivas que no son las aprobadas por el Pleno del Congreso de los Diputados en su sesión de 22 de diciembre de 2004.</w:t>
      </w:r>
    </w:p>
    <w:p w:rsidR="0085709A" w:rsidRDefault="0085709A" w:rsidP="0085709A">
      <w:pPr>
        <w:pStyle w:val="TextoNormal"/>
      </w:pPr>
    </w:p>
    <w:p w:rsidR="0085709A" w:rsidRDefault="0085709A" w:rsidP="0085709A">
      <w:pPr>
        <w:pStyle w:val="TextoNormal"/>
      </w:pPr>
      <w:r>
        <w:t>Lo anterior, a juicio de los Diputados recurrentes, debe conducir a entender que no se produjo en ningún momento la autorización de las cifras definitivas de ingresos y gastos recogidas en los artículos y anexo que son objeto del presente recurso de inconstitucionalidad, en la medida que los Diputados nunca conocieron las cifras definitivas que realmente estaban aprobando, de manera que la incorporación posterior de modificaciones al texto aprobado por la Cámara supuso una sustracción al conocimiento de ésta del estado definitivo de ingresos y gastos que figuraba en los presupuestos generales del Estado para el año 2005, incumpliéndose con ello la función de control que tiene la Ley de presupuestos sobre la totalidad de los ingresos y gastos del sector público estatal. De hecho, la propia Secretaría General del Congreso de los Diputados (en su informe de 28 de diciembre de 2004) ha reconocido explícitamente esa ausencia de conocimiento y, por tanto, de aprobación por el Congreso de los Diputados de las cifras definitivas que se contemplan en los preceptos recurridos, al señalar que “[n]o es posible afirmar que las cifras que figuran en el citado ‘BOCG’ (de 25 de noviembre) fueron las que en su conjunto aprobó el Congreso de los Diputados”.</w:t>
      </w:r>
    </w:p>
    <w:p w:rsidR="0085709A" w:rsidRDefault="0085709A" w:rsidP="0085709A">
      <w:pPr>
        <w:pStyle w:val="TextoNormal"/>
      </w:pPr>
    </w:p>
    <w:p w:rsidR="0085709A" w:rsidRDefault="0085709A" w:rsidP="0085709A">
      <w:pPr>
        <w:pStyle w:val="TextoNormal"/>
      </w:pPr>
      <w:r>
        <w:t xml:space="preserve">Para los Diputados recurrentes, de la doctrina sentada en la STC 3/2003, de 16 de enero, se deduce con nitidez que un adecuado respeto a la función parlamentaria de control de la </w:t>
      </w:r>
      <w:r>
        <w:lastRenderedPageBreak/>
        <w:t>asignación de los recursos públicos exige necesariamente la autorización por las Cortes Generales de la cuantía definitiva de las diferentes partidas de gastos e ingresos y su destino, no siendo suficiente el conocimiento y aprobación de unas cuantías provisionales sujetas a ulteriores modificaciones, fuera del conocimiento de la Cámara. Y si a ello se le une la práctica de no publicación íntegra del total contenido de los presupuestos generales del Estado, se llega a la conclusión de la vulneración por los preceptos citados.</w:t>
      </w:r>
    </w:p>
    <w:p w:rsidR="0085709A" w:rsidRDefault="0085709A" w:rsidP="0085709A">
      <w:pPr>
        <w:pStyle w:val="TextoNormal"/>
      </w:pPr>
    </w:p>
    <w:p w:rsidR="0085709A" w:rsidRDefault="0085709A" w:rsidP="0085709A">
      <w:pPr>
        <w:pStyle w:val="TextoNormal"/>
      </w:pPr>
      <w:r>
        <w:t>b) Vulneración por las disposiciones adicionales vigésima octava (declaración de interés general de determinadas obras de infraestructuras hidráulicas con destino a riego), trigésima (modificación de la Ley 18/2001 de 12 de diciembre, general de estabilidad presupuestaria), trigésima primera (modificación de la Ley 47/2003, de 26 de noviembre, general presupuestaria), trigésima cuarta (modificación del texto refundido de la Ley del catastro inmobiliario, aprobado por Real Decreto Legislativo 1/2004, de 5 de marzo), trigésima novena (modificación de la Ley 41/1999, de 12 de noviembre, sobre sistemas de pagos y de liquidación de valores), cuadragésima primera (modificación de la Ley 13/1994, de 1 de junio, de autonomía del Banco de España) y cuadragésima octava (modificación de la Ley 25/1990, de 20 de diciembre, del medicamento, ingresos por volumen de ventas del sistema nacional de salud), de los arts. 9.3, 66.2 y 134.2, todo ellos de la Constitución.</w:t>
      </w:r>
    </w:p>
    <w:p w:rsidR="0085709A" w:rsidRDefault="0085709A" w:rsidP="0085709A">
      <w:pPr>
        <w:pStyle w:val="TextoNormal"/>
      </w:pPr>
    </w:p>
    <w:p w:rsidR="0085709A" w:rsidRDefault="0085709A" w:rsidP="0085709A">
      <w:pPr>
        <w:pStyle w:val="TextoNormal"/>
      </w:pPr>
      <w:r>
        <w:t>Para los Diputados recurrentes no resulta constitucionalmente legítimo que una ley anual de presupuestos generales contenga preceptos que, como los señalados, no guardan relación alguna con la disciplina presupuestaria. A su juicio, las disposiciones controvertidas, normas generales del régimen jurídico aplicable, conforme a los criterios definidos reiteradamente en la jurisprudencia constitucional, no guardan una relación directa con los ingresos y gastos o con los criterios que definen la política económica del Ejecutivo. Es por ello que el contenido propio y la función constitucional de la Ley de presupuestos, resulta desvirtuado por la incorporación de normas típicas del Derecho codificado.</w:t>
      </w:r>
    </w:p>
    <w:p w:rsidR="0085709A" w:rsidRDefault="0085709A" w:rsidP="0085709A">
      <w:pPr>
        <w:pStyle w:val="TextoNormal"/>
      </w:pPr>
    </w:p>
    <w:p w:rsidR="0085709A" w:rsidRDefault="0085709A" w:rsidP="0085709A">
      <w:pPr>
        <w:pStyle w:val="TextoNormal"/>
      </w:pPr>
      <w:r>
        <w:t>c) Vulneración por la disposición adicional vigésima octava (declaración de interés general de determinadas obras de infraestructuras hidráulicas con destino a riego) de los arts. 9.3 y 134.2, ambos de la Constitución. A juicio de los Diputados recurrente la declaración del interés general de determinadas obras públicas y la determinación de los efectos de dicha declaración en el ejercicio de las actividades administrativas de expropiación forzosa no guarda relación alguna específica con la actividad presupuestaria, no puede ser considerada como una medida de política económica general, ni afecta o incide de forma directa en las líneas presupuestarias dirigidas a determinar la financiación de las citadas obras, por lo que no cumple ninguno de los requisitos o limitaciones que justifican su inclusión en una norma de presupuestos.</w:t>
      </w:r>
    </w:p>
    <w:p w:rsidR="0085709A" w:rsidRDefault="0085709A" w:rsidP="0085709A">
      <w:pPr>
        <w:pStyle w:val="TextoNormal"/>
      </w:pPr>
    </w:p>
    <w:p w:rsidR="0085709A" w:rsidRDefault="0085709A" w:rsidP="0085709A">
      <w:pPr>
        <w:pStyle w:val="TextoNormal"/>
      </w:pPr>
      <w:r>
        <w:t>d) Vulneración por la disposición adicional trigésima (modificación de la Ley 18/2001 de 12 de diciembre, general de estabilidad presupuestaria) de los arts. 9.3 y 134.2, ambos de la Constitución Según los Diputados recurrentes, la modificación que se introduce afecta de manera directa a la regulación del procedimiento administrativo y parlamentario (limitando la intervención del Senado) que debe seguirse para la fijación del objetivo de estabilidad presupuestaria (que tiene carácter previo e independiente al procedimiento de elaboración de presupuesto), por lo que no tiene incidencia directa alguna en el ámbito propio de la actuación presupuestaria.</w:t>
      </w:r>
    </w:p>
    <w:p w:rsidR="0085709A" w:rsidRDefault="0085709A" w:rsidP="0085709A">
      <w:pPr>
        <w:pStyle w:val="TextoNormal"/>
      </w:pPr>
    </w:p>
    <w:p w:rsidR="0085709A" w:rsidRDefault="0085709A" w:rsidP="0085709A">
      <w:pPr>
        <w:pStyle w:val="TextoNormal"/>
      </w:pPr>
      <w:r>
        <w:lastRenderedPageBreak/>
        <w:t>e) Vulneración por la disposición adicional trigésima primera (modificación de la Ley 47/2003, de 26 de noviembre, general presupuestaria) de los arts. 9.3 y 134.2, ambos de la Constitución. Se trata de una medida, a juicio de los recurrentes, que trata de mejorar el proceso de fiscalización previa e intervención de los derechos e ingresos del Tesoro, que no puede relacionarse directamente con la estimación de ingresos del ejercicio, ni singularmente con otra medida de política económica general asociada a los presupuestos generales del Estado.</w:t>
      </w:r>
    </w:p>
    <w:p w:rsidR="0085709A" w:rsidRDefault="0085709A" w:rsidP="0085709A">
      <w:pPr>
        <w:pStyle w:val="TextoNormal"/>
      </w:pPr>
    </w:p>
    <w:p w:rsidR="0085709A" w:rsidRDefault="0085709A" w:rsidP="0085709A">
      <w:pPr>
        <w:pStyle w:val="TextoNormal"/>
      </w:pPr>
      <w:r>
        <w:t>f) Vulneración por la disposición adicional trigésima cuarta (modificación del texto refundido de la Ley del catastro inmobiliario, aprobado por Real Decreto Legislativo 1/2004, de 5 de marzo) de los apartados 2 y 7 del art. 134 CE. Aunque para los recurrentes el régimen catastral supone la base para la aplicación de algunos tributos (básicamente, del impuesto sobre bienes inmuebles), no por ello debe considerarse que la reforma catastral propuesta en la disposición impugnada guarda relación inmediata con la previsión de ingresos y gastos. En efecto, además de que el régimen contenido en la disposición adicional controvertida excede de lo que la exposición de motivos anticipa (pues también se introducen modificaciones directas y sustantivas en el régimen de valoración catastral de los bienes), sin embargo, su ámbito material no guarda conexión directa con los ingresos y gastos que constituyen estrictamente el presupuesto, ni menos aún con los criterios de política económica general del Gobierno, ni siquiera se trata de materia tributaria en sentido estricto, toda vez que su objeto consiste ante todo en una reforma sustantiva del vigente régimen jurídico especifico del catastro inmobiliario, contradiciendo así el apartado segundo del art. 134 CE.</w:t>
      </w:r>
    </w:p>
    <w:p w:rsidR="0085709A" w:rsidRDefault="0085709A" w:rsidP="0085709A">
      <w:pPr>
        <w:pStyle w:val="TextoNormal"/>
      </w:pPr>
    </w:p>
    <w:p w:rsidR="0085709A" w:rsidRDefault="0085709A" w:rsidP="0085709A">
      <w:pPr>
        <w:pStyle w:val="TextoNormal"/>
      </w:pPr>
      <w:r>
        <w:t>Pero no solo eso, sino que, a su juicio, también atenta contra el apartado 7 del art. 134 CE pues modifica el concepto de bien inmueble a efectos del impuesto sobre bienes inmuebles, alterando de esta manera su hecho imponible sin que la Ley tributaria sustantiva reguladora del mismo haya autorizado la modificación de este tributo por Ley de presupuestos, y sin que tampoco pueda conceptuarse dicha modificación como una mera adecuación circunstancial del tributo, en cuanto supone una variación sustantiva y permanente de un elemento esencial del tributo, como es, su hecho imponible.</w:t>
      </w:r>
    </w:p>
    <w:p w:rsidR="0085709A" w:rsidRDefault="0085709A" w:rsidP="0085709A">
      <w:pPr>
        <w:pStyle w:val="TextoNormal"/>
      </w:pPr>
    </w:p>
    <w:p w:rsidR="0085709A" w:rsidRDefault="0085709A" w:rsidP="0085709A">
      <w:pPr>
        <w:pStyle w:val="TextoNormal"/>
      </w:pPr>
      <w:r>
        <w:t>g) Vulneración por la disposición adicional trigésima novena (modificación de la Ley 41/1999, de 12 de noviembre, sobre sistemas de pagos y liquidación de valores) de los arts. 9.3 y 134.2, ambos de la Constitución. Subrayan los recurrentes, antes que nada, que se modifican algunos aspectos del régimen jurídico de los sistemas españoles de pagos y de liquidación de valores y la regulación de la Sociedad Española de Sistemas de Pago, Sociedad Anónima. De esta manera, señalan que nos encontramos ante una norma reguladora del régimen jurídico y atribuciones de una entidad mercantil con naturaleza de sociedad anónima, o lo que es lo mismo, con una norma típica del llamado derecho de organización, con contenido material o sustantivo. El hecho de que por Ley de presupuestos se regule el régimen jurídico de la mencionada entidad, modificando la regulación sobre sistemas de pago y liquidación de valores constituye la normación de una materia que es ajena al contenido propio de la Ley de presupuestos.</w:t>
      </w:r>
    </w:p>
    <w:p w:rsidR="0085709A" w:rsidRDefault="0085709A" w:rsidP="0085709A">
      <w:pPr>
        <w:pStyle w:val="TextoNormal"/>
      </w:pPr>
    </w:p>
    <w:p w:rsidR="0085709A" w:rsidRDefault="0085709A" w:rsidP="0085709A">
      <w:pPr>
        <w:pStyle w:val="TextoNormal"/>
      </w:pPr>
      <w:r>
        <w:t xml:space="preserve">h) Vulneración por la disposición adicional cuadragésima (modificación de la Ley 13/1994, de 1 de junio, de autonomía del Banco de España) de los arts. 9.3 y 134.2, ambos de la Constitución, por los mismos motivos que en el supuesto anterior, a saber, porque se efectúa una modificación sustantiva en el régimen jurídico de una entidad pública, como es </w:t>
      </w:r>
      <w:r>
        <w:lastRenderedPageBreak/>
        <w:t>el Banco de España, que constituye una materia ajena al contenido propio y a la función constitucionalmente atribuida a las leyes de presupuestos.</w:t>
      </w:r>
    </w:p>
    <w:p w:rsidR="0085709A" w:rsidRDefault="0085709A" w:rsidP="0085709A">
      <w:pPr>
        <w:pStyle w:val="TextoNormal"/>
      </w:pPr>
    </w:p>
    <w:p w:rsidR="0085709A" w:rsidRDefault="0085709A" w:rsidP="0085709A">
      <w:pPr>
        <w:pStyle w:val="TextoNormal"/>
      </w:pPr>
      <w:r>
        <w:t>i) Vulneración por la disposición adicional cuadragésima octava (modificación de la Ley 25/1990, de 20 de diciembre, del medicamento) de los arts. 9.3, 31.1 y 3, y 134.7, todos ellos de la Constitución, al establecer una prestación patrimonial de carácter público (ingresos por volumen de ventas del Sistema Nacional de Salud). Para los Diputados recurrentes, la reserva de ley operante en materia tributaria (arts. 31.3 y 133.1, ambos de la Constitución) exige que el establecimiento unilateral de una obligación de pago por parte del poder público sin el concurso de la voluntad del sujeto llamado a satisfacerla se haga por ley. De esta manera, la coactividad se convierte en la nota distintiva fundamental del concepto de prestación patrimonial de carácter público, nota que claramente resulta del examen de la nueva disposición adicional novena de la ley 25/1990, de 20 de diciembre, del medicamento introducida por la disposición adicional impugnada. Estaremos en presencia de prestaciones coactivamente impuestas cuando la realización del supuesto de hecho resulta de una obligación impuesta al particular por el poder público, concretamente y en el caso que nos ocupa, cuando los empresarios, grupos empresariales, fabricantes e importadores de medicamentos y sustancias medicinales que se dispensen en territorio nacional hayan de ingresar las cantidades que resulten, conforme a la escala y criterios que se establecen, sobre su volumen cuatrimestral de ventas.</w:t>
      </w:r>
    </w:p>
    <w:p w:rsidR="0085709A" w:rsidRDefault="0085709A" w:rsidP="0085709A">
      <w:pPr>
        <w:pStyle w:val="TextoNormal"/>
      </w:pPr>
    </w:p>
    <w:p w:rsidR="0085709A" w:rsidRDefault="0085709A" w:rsidP="0085709A">
      <w:pPr>
        <w:pStyle w:val="TextoNormal"/>
      </w:pPr>
      <w:r>
        <w:t xml:space="preserve">Añaden los Diputados recurrentes que conforme a la doctrina del Tribunal Constitucional, la reserva de ley, de carácter relativo en materia tributaria, exige que la creación </w:t>
      </w:r>
      <w:r w:rsidRPr="0085709A">
        <w:rPr>
          <w:i/>
        </w:rPr>
        <w:t>ex novo</w:t>
      </w:r>
      <w:r>
        <w:t xml:space="preserve"> de un tributo y la determinación de los elementos esenciales o configuradores del mismo deba llevarse a cabo mediante una ley (ley que no puede ser en ningún caso la de presupuestos generales del Estado). Y aunque es admisible la colaboración del reglamento, su alcance depende la naturaleza de las figuras jurídico-tributarias y en términos de subordinación, desarrollo y complementariedad. A su juicio, la previsión contenida en la disposición impugnada habilita, con desconocimiento de lo dispuesto en el art. 97 CE (en cuanto a la potestad reglamentaria del Gobierno), al Ministro de Sanidad y Consumo, para la regulación de la totalidad del régimen de liquidación y pago del tributo que se ha creado.</w:t>
      </w:r>
    </w:p>
    <w:p w:rsidR="0085709A" w:rsidRDefault="0085709A" w:rsidP="0085709A">
      <w:pPr>
        <w:pStyle w:val="TextoNormal"/>
      </w:pPr>
    </w:p>
    <w:p w:rsidR="0085709A" w:rsidRDefault="0085709A" w:rsidP="0085709A">
      <w:pPr>
        <w:pStyle w:val="TextoNormal"/>
      </w:pPr>
      <w:r>
        <w:t>Por otra parte, para los Diputados recurrentes la inconstitucionalidad deriva no solo de la lesión del principio de reserva de ley efectivamente producida (art. 31.3 CE), sino también por afectar a la esencia de uno de los deberes constitucionales recogidos en el título I de la Constitución, a saber, el deber de contribuir previsto en el art. 31.1 CE, al haberse alterado de manera sustancial la posición de los contribuyentes dentro del conjunto del sistema tributario (STC 182/1997, de 28 de octubre), pues al autorizar el precepto impugnado a regular la liquidación y el pago del tributo por normas infralegales, se está afectando al citado deber de contribuir. Pero no solo eso, sino que en la medida que la norma tiene efectos desde 1 de enero de 2005 y, sin embargo, la contribución se calcula sobre el importe de ventas del cuatrimestre anterior (último del 2004), en los términos y en el plazo que reglamentariamente se fije por el Ministro de Sanidad y Consumo, ello supone, a su juicio, que se infrinja también el deber de contribuir y el principio de reserva de ley contenidos en el art. 31.1 y 3 CE.</w:t>
      </w:r>
    </w:p>
    <w:p w:rsidR="0085709A" w:rsidRDefault="0085709A" w:rsidP="0085709A">
      <w:pPr>
        <w:pStyle w:val="TextoNormal"/>
      </w:pPr>
    </w:p>
    <w:p w:rsidR="0085709A" w:rsidRDefault="0085709A" w:rsidP="0085709A">
      <w:pPr>
        <w:pStyle w:val="TextoNormal"/>
      </w:pPr>
      <w:r>
        <w:lastRenderedPageBreak/>
        <w:t>También, según los Diputados recurrentes, la disposición impugnada desconoce el art. 4 de la Directiva 89/105/CEE del Consejo, de 21 de diciembre de 1988, relativa a la transparencia de las medidas que regulan la fijación de precios de los medicamentos para uso humano, resultando procedente su comunicación a la Comisión Europea, circunstancia esta que no consta se haya realizado.</w:t>
      </w:r>
    </w:p>
    <w:p w:rsidR="0085709A" w:rsidRDefault="0085709A" w:rsidP="0085709A">
      <w:pPr>
        <w:pStyle w:val="TextoNormal"/>
      </w:pPr>
    </w:p>
    <w:p w:rsidR="0085709A" w:rsidRDefault="0085709A" w:rsidP="0085709A">
      <w:pPr>
        <w:pStyle w:val="TextoNormal"/>
      </w:pPr>
      <w:r>
        <w:t>Por último, consideran los Diputados recurrentes que la disposición adicional impugnada viola igualmente el principio de interdicción de la arbitrariedad de los poderes públicos (art. 9.3 CE), al establecer una prestación patrimonial en una Ley de presupuestos.</w:t>
      </w:r>
    </w:p>
    <w:p w:rsidR="0085709A" w:rsidRDefault="0085709A" w:rsidP="0085709A">
      <w:pPr>
        <w:pStyle w:val="TextoNormal"/>
      </w:pPr>
    </w:p>
    <w:p w:rsidR="0085709A" w:rsidRDefault="0085709A" w:rsidP="0085709A">
      <w:pPr>
        <w:pStyle w:val="TextoNormal"/>
      </w:pPr>
      <w:r>
        <w:t>j) Inconstitucionalidad de las secciones duodécima (Asuntos Exteriores y Cooperación en los servicios 01 y 04), decimotercera (Justicia en los servicios 02, 03 y 04), decimocuarta (Defensa en los servicios 03, 11, 16 y 21), decimoquinta (Economía y Hacienda en el servicio 08), decimosexta (Interior en los servicios 01, 02, 03, 04 y 05), decimoséptima (Fomento en los servicios 38 y 01), décima octava (Educación y Ciencia en los servicios 02, 03 y 10), decimonovena (Trabajo y Asuntos Sociales en los servicios 01, 04 y 07), vigésima (Industria, Turismo y Comercio en los servicios 01, 05 y 06), vigesimoprimera (Agricultura, Pesca y Alimentación en el servicio 01), vigesimosegunda (Administraciones Públicas en el servicio 01), vigesimotercera (Medio Ambiente en el servicio 01), vigesimocuarta (Cultura en los servicios 02, 03 y 04), vigesimoquinta (Presidencia en los servicios 01, 02 y 03), vigesimosexta (Sanidad y Consumo en los servicios 03, 09 y 13) y vigesimoséptima (Vivienda en el servicio 09), por vulneración de los apartados 1, 2 y 6, todos ellos del art. 134 CE, así como por vulneración del Reglamento del Congreso de los Diputados. Según su parecer, en la tramitación de los presupuestos generales del Estado para 2005 se han admitido a trámite, aprobado e incorporado a los mismos, las enmiendas núms. 1977 y, 1707 a 1722 (de los Grupos Parlamentarios Socialista, Esquerra Republicana, Izquierda Unida e IU-Iniciativa por Cataluña-Verdes), que han implicado bajas en diversas secciones y servicios con las correlativas altas en la sección trigésima primera.</w:t>
      </w:r>
    </w:p>
    <w:p w:rsidR="0085709A" w:rsidRDefault="0085709A" w:rsidP="0085709A">
      <w:pPr>
        <w:pStyle w:val="TextoNormal"/>
      </w:pPr>
    </w:p>
    <w:p w:rsidR="0085709A" w:rsidRDefault="0085709A" w:rsidP="0085709A">
      <w:pPr>
        <w:pStyle w:val="TextoNormal"/>
      </w:pPr>
      <w:r>
        <w:t>Sobre este particular destacan los recurrentes, en primer lugar, que el art. 133.3 del Reglamento del Congreso de los Diputados prescribe que “las enmiendas al Proyecto de Ley de presupuestos que supongan aumento de créditos en algún concepto únicamente podrán ser admitidas a trámite si, además de cumplir los requisitos generales, proponen una baja de igual cuantía en la misma Sección”. A su juicio, la utilizando fraudulenta de la sección trigésima primera como paso intermedio para redistribuir entre secciones supone el desconocimiento de esa previsión reglamentaria, pudiendo haber provocado que el legislador haya visto reducida su capacidad de examen de la norma de que se trata, de formulación de enmiendas, y de discusión y votación en pleno y comisiones, restringiéndose con ello de forma ilegítima sus competencias.</w:t>
      </w:r>
    </w:p>
    <w:p w:rsidR="0085709A" w:rsidRDefault="0085709A" w:rsidP="0085709A">
      <w:pPr>
        <w:pStyle w:val="TextoNormal"/>
      </w:pPr>
    </w:p>
    <w:p w:rsidR="0085709A" w:rsidRDefault="0085709A" w:rsidP="0085709A">
      <w:pPr>
        <w:pStyle w:val="TextoNormal"/>
      </w:pPr>
      <w:r>
        <w:t xml:space="preserve">El examen de las referidas enmiendas permite afirmar, a su juicio, que a la vista de las altas y bajas en la sección trigésima primera, las mismas han supuesto un mecanismo fraudulento para obviar las previsiones y prácticas reglamentarias con la finalidad última de alterar los límites de gasto de cada sección. Aunque la práctica parlamentaria acepta excepcionalmente que se puedan aprobar enmiendas que impliquen transferencias desde la sección trigésima primera (programa de imprevistos y no clasificados) a otras secciones presupuestarias, al entender que dicho programa, ubicado en dicha sección, tiene un carácter horizontal y puede redistribuirse entre todas las secciones, sin embargo, no puede extenderse </w:t>
      </w:r>
      <w:r>
        <w:lastRenderedPageBreak/>
        <w:t>a la operación contraria, inflando artificialmente dicho “Programa de imprevistos” para posteriormente trasladar dichos incrementos a créditos de otras secciones.</w:t>
      </w:r>
    </w:p>
    <w:p w:rsidR="0085709A" w:rsidRDefault="0085709A" w:rsidP="0085709A">
      <w:pPr>
        <w:pStyle w:val="TextoNormal"/>
      </w:pPr>
    </w:p>
    <w:p w:rsidR="0085709A" w:rsidRDefault="0085709A" w:rsidP="0085709A">
      <w:pPr>
        <w:pStyle w:val="TextoNormal"/>
      </w:pPr>
      <w:r>
        <w:t>Pero es que, además, consideran los recurrentes, que con la incorporación de esas enmiendas se ha violado igualmente el principio de igualdad entre los grupos parlamentarios que integran el Congreso de los Diputados (art. 14 CE) y que se ha vulnerado el principio de interdicción de la arbitrariedad (art. 9.3 CE), por el interés puramente parcial de unos grupos políticos, a la vista de las dificultades parlamentarias para efectuar una tramitación de los presupuestos generales del Estado ajustada al bloque de constitucionalidad.</w:t>
      </w:r>
    </w:p>
    <w:p w:rsidR="0085709A" w:rsidRDefault="0085709A" w:rsidP="0085709A">
      <w:pPr>
        <w:pStyle w:val="TextoNormal"/>
      </w:pPr>
    </w:p>
    <w:p w:rsidR="0085709A" w:rsidRDefault="0085709A" w:rsidP="0085709A">
      <w:pPr>
        <w:pStyle w:val="TextoNormal"/>
      </w:pPr>
      <w:r w:rsidRPr="0085709A">
        <w:rPr>
          <w:rStyle w:val="NumeroAFNegritaCaracter"/>
        </w:rPr>
        <w:t>2</w:t>
      </w:r>
      <w:r>
        <w:t>. La Sección Tercera de este Tribunal acordó admitir a trámite el recurso mediante providencia de 19 de abril de 2005, dando traslado de la demanda y documentos presentados, conforme establece el art. 34 de la Ley Orgánica del Tribunal Constitucional (LOTC), al Congreso de los Diputados y al Senado, por conducto de sus Presidentes, y al Gobierno, a través del Ministerio de Justicia, al objeto de que en el plazo de quince días pudieran personarse en el procedimiento y formular las alegaciones que estimaren convenientes. Todo ello con publicación en el “Boletín Oficial del Estado” (lo que se cumplimentó en el “BOE” núm. 100, de 27 de abril).</w:t>
      </w:r>
    </w:p>
    <w:p w:rsidR="0085709A" w:rsidRDefault="0085709A" w:rsidP="0085709A">
      <w:pPr>
        <w:pStyle w:val="TextoNormal"/>
      </w:pPr>
    </w:p>
    <w:p w:rsidR="0085709A" w:rsidRDefault="0085709A" w:rsidP="0085709A">
      <w:pPr>
        <w:pStyle w:val="TextoNormal"/>
      </w:pPr>
      <w:r w:rsidRPr="0085709A">
        <w:rPr>
          <w:rStyle w:val="NumeroAFNegritaCaracter"/>
        </w:rPr>
        <w:t>3</w:t>
      </w:r>
      <w:r>
        <w:t>. El día 25 de abril de 2005 presentó un escrito en el Registro General de este Tribunal el Abogado del Estado, en la representación que ostenta, solicitando se le tuviese por personado y se le concediese una prórroga del plazo concedido para formular alegaciones por ocho días más.</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la Sección Tercera de este Tribunal con fecha de 27 de abril de 2005, se acordó tener por personado y parte al Abogado del Estado, en representación del Gobierno, y prorrogarle en ocho días más el plazo concedido para formular alegaciones, a partir del día siguiente al de expiración del ordinario.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General de este Tribunal el día 28 de abril de 2005, el Presidente del Senado comunicó a este Tribunal el acuerdo de la Mesa de la Cámara de darla por personada,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registrado en este Tribunal el día 29 de abril de 2005 el Presidente del Congreso de los Diputados comunicó la decisión de la Mesa de la Cámara de personarse en el procedimiento a los solos efectos de formular alegaciones en relación con la vicios de procedimiento legislativo, en lo que afecta al Congreso de los Diputados, encomendando la representación y defensa al Letrado de las Cortes Generales, don Fernando Sainz Moreno, Jefe de la Asesoría Jurídica de la Secretaría General de la Cámara, con remisión del recurso a la Dirección de Estudios y Documentación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escrito registrado el día 16 de mayo de 2005 en este Tribunal, el Letrado de las Cortes Generales, don Fernando Sainz Moreno, en representación del Congreso de los Diputados, suplicó se le tuviese por personado, formulando alegaciones exclusivamente en relación con la violación de las normas del procedimiento legislativo invocadas en la demanda, solicitando la desestimación del recurso.</w:t>
      </w:r>
    </w:p>
    <w:p w:rsidR="0085709A" w:rsidRDefault="0085709A" w:rsidP="0085709A">
      <w:pPr>
        <w:pStyle w:val="TextoNormal"/>
      </w:pPr>
    </w:p>
    <w:p w:rsidR="0085709A" w:rsidRDefault="0085709A" w:rsidP="0085709A">
      <w:pPr>
        <w:pStyle w:val="TextoNormal"/>
      </w:pPr>
      <w:r>
        <w:t>a) Inconstitucionalidad de los arts. 2, 14, 13 y del anexo I de la Ley 2/2004, de 27 de diciembre, por supuesta infracción de los arts. 9.3, 66.2 y 134.2, todos ellos de la Constitución, así como del art. 69 del Reglamento del Congreso de los Diputados, al considerar los recurrentes, de un lado, que no se cumple con el contenido mínimo de la Ley de presupuestos generales del Estado en la medida que las disposiciones citadas no contenían, al momento de su votación en el Congreso, la totalidad de los ingresos y gastos del sector público estatal, pues incorporaban cifras provisionales y no las definitivas derivadas de las modificaciones introducidas por las enmiendas aprobadas en la Cámara; y, de otro, que el debate del texto se hizo sin la previa distribución, al menos con cuarenta y ocho horas de antelación, de los documentos que debían servir de base al mismo.</w:t>
      </w:r>
    </w:p>
    <w:p w:rsidR="0085709A" w:rsidRDefault="0085709A" w:rsidP="0085709A">
      <w:pPr>
        <w:pStyle w:val="TextoNormal"/>
      </w:pPr>
    </w:p>
    <w:p w:rsidR="0085709A" w:rsidRDefault="0085709A" w:rsidP="0085709A">
      <w:pPr>
        <w:pStyle w:val="TextoNormal"/>
      </w:pPr>
      <w:r>
        <w:t>Para el representante del Congreso de los Diputados, si bien respecto de los ingresos se produce una mera estimación, los gastos exigen una verdadera autorización de su cuantía y destino, autorización que en el caso cuestionado se ha producido de forma plena, con detalle de la cuantía y destino de los gastos y con plena publicidad de cada uno de los acuerdos, lo que impide considerar vulnerado el art. 9.3 CE. En efecto, a su juicio, la totalidad de los ingresos y gastos se recogen a lo largo del conjunto de la Ley de forma pormenorizada, dentro de cada sección (Ministerio u órgano de gasto), y clasificados por proyectos y programas, siendo las cifras recogidas en los artículos 2, 4 y 13, así como las del anexo l, el reflejo puramente matemático y contable de las autorizaciones de gasto previamente aprobadas. A medida que en cada fase de tramitación del proyecto de ley se introducen enmiendas modificando las autorizaciones de gastos éstas se recogen de forma concreta y clara en el texto de la Ley, en el texto del articulado o a continuación del mismo, en las Secciones afectadas, siendo objeto de publicación, sin excepción, en cada una de esas fases (ponencia, comisión y Pleno), como se puede comprobar en el “Boletín Oficial de las Cortes Generales” (Congreso de los Diputados, VIII Legislatura, Serie A: Proyectos de Ley, 25 de noviembre de 2004, núm. 9-12, págs. 1845 a 1899), donde constan todas las autorizaciones de gasto acordadas en el proyecto de ley de presupuestos generales del Estado para 2005 (altas y bajas de gastos fruto de las enmiendas). En consecuencia, no puede afirmarse que el Congreso no haya aprobado las cifras de gastos e ingresos, haciéndolo con un grado de detalle máximo, sin que ninguna norma del bloque de la constitucionalidad exija la forma, detallada o global, en que dichas cifras deben consignarse en uno, otro o varios artículos.</w:t>
      </w:r>
    </w:p>
    <w:p w:rsidR="0085709A" w:rsidRDefault="0085709A" w:rsidP="0085709A">
      <w:pPr>
        <w:pStyle w:val="TextoNormal"/>
      </w:pPr>
    </w:p>
    <w:p w:rsidR="0085709A" w:rsidRDefault="0085709A" w:rsidP="0085709A">
      <w:pPr>
        <w:pStyle w:val="TextoNormal"/>
      </w:pPr>
      <w:r>
        <w:t>A lo anterior añade el representante del Congreso que nunca ningún grupo parlamentario ni Diputado han enmendado las cifras globales, sencillamente porque son la resultante de las enmiendas que resulten aprobadas, limitándose a la concreción de lo previamente acordado por la Cámara. Es más, las cifras globales son votadas siempre de forma abierta, sin disponer de números definitivos, al hacerse “en los términos que resulten de las enmiendas aprobadas al Proyecto”, hasta el punto que, en alguna ocasión, la fijación técnica de las cifras globales se ha producido incluso durante la tramitación en el Senado de los Presupuestos.</w:t>
      </w:r>
    </w:p>
    <w:p w:rsidR="0085709A" w:rsidRDefault="0085709A" w:rsidP="0085709A">
      <w:pPr>
        <w:pStyle w:val="TextoNormal"/>
      </w:pPr>
    </w:p>
    <w:p w:rsidR="0085709A" w:rsidRDefault="0085709A" w:rsidP="0085709A">
      <w:pPr>
        <w:pStyle w:val="TextoNormal"/>
      </w:pPr>
      <w:r>
        <w:t xml:space="preserve">Por lo demás, destaca el representante de esta Cámara, dada la necesidad de cumplir con el calendario para la tramitación del proyecto de ley de presupuestos generales del Estado, es habitual que aun cuando en la publicación del texto aprobado por el Congreso las cifras resumen no recojan el resultado de las enmiendas aprobadas en su tramitación, sin embargo, sí se detallan las enmiendas y su importe en el texto que se remite al Senado, figurando una </w:t>
      </w:r>
      <w:r>
        <w:lastRenderedPageBreak/>
        <w:t>nota literal en la que se precisa que “[l]as cifras contenidas en el artículo..., se han de entender modificadas como consecuencia de la incorporación de enmiendas aprobadas a lo largo de la tramitación del proyecto”.</w:t>
      </w:r>
    </w:p>
    <w:p w:rsidR="0085709A" w:rsidRDefault="0085709A" w:rsidP="0085709A">
      <w:pPr>
        <w:pStyle w:val="TextoNormal"/>
      </w:pPr>
    </w:p>
    <w:p w:rsidR="0085709A" w:rsidRDefault="0085709A" w:rsidP="0085709A">
      <w:pPr>
        <w:pStyle w:val="TextoNormal"/>
      </w:pPr>
      <w:r>
        <w:t>En suma, para el representante del Congreso no puede sostenerse que el Congreso de los Diputados no haya autorizado las cifras de gasto, pues el texto del proyecto de ley, ni ha dejado de recoger todas y cada una de las decisiones adoptadas por el Congreso de los Diputados, ni ha recogido aspecto alguno que no haya sido aprobado por el mismo. Y lo ha hecho a través de un procedimiento que no puede calificarse ni de inusual ni de irregular, sino plenamente ajustado a la Constitución y al reglamento y con máxima garantía de conocimiento del contenido de la ley y de publicidad de la misma.</w:t>
      </w:r>
    </w:p>
    <w:p w:rsidR="0085709A" w:rsidRDefault="0085709A" w:rsidP="0085709A">
      <w:pPr>
        <w:pStyle w:val="TextoNormal"/>
      </w:pPr>
    </w:p>
    <w:p w:rsidR="0085709A" w:rsidRDefault="0085709A" w:rsidP="0085709A">
      <w:pPr>
        <w:pStyle w:val="TextoNormal"/>
      </w:pPr>
      <w:r>
        <w:t>b) Inconstitucionalidad de una serie de Secciones y Servicios por violaciones de las normas de procedimiento y, concretamente, por presunta vulneración de lo dispuesto en el art. 134.1, 6 y 7 de la Constitución, y en los arts. 111, 133 y 134, éstos del Reglamento del Congreso, al haberse admitido a trámite y aprobado enmiendas que, según los recurrentes, eran contrarias al artículo 133 del Reglamento del Congreso de los Diputados, en cuyo apartado 3 señala que “las enmiendas al Proyecto de Ley de presupuestos Generales del Estado que supongan aumento de créditos en algún concepto únicamente podrán ser admitidas a trámite si, además de cumplir los requisitos generales, proponen una baja de igual cuantía en la misma Sección”, cuando lo que se ha hecho es dar de baja concretas cantidades en diversas Secciones procediéndose luego a su alta en la sección trigésima primera (gastos de diversos Ministerios).</w:t>
      </w:r>
    </w:p>
    <w:p w:rsidR="0085709A" w:rsidRDefault="0085709A" w:rsidP="0085709A">
      <w:pPr>
        <w:pStyle w:val="TextoNormal"/>
      </w:pPr>
    </w:p>
    <w:p w:rsidR="0085709A" w:rsidRDefault="0085709A" w:rsidP="0085709A">
      <w:pPr>
        <w:pStyle w:val="TextoNormal"/>
      </w:pPr>
      <w:r>
        <w:t>Aunque las enmiendas a que se refiere el art. 133.3 del Reglamento del Congreso tienen carácter constructivo, al obligar a compensar altas y bajas dentro de la misma sección, sin embargo, ni la lógica hermenéutica ni la práctica constante permiten una interpretación de tenor que pretenden los recurrentes, esto es, que la baja de diversas cantidades en diferentes Secciones no pueda darse de alta en otra sección, la trigésima primera, que aunque diferente, constituye una sección horizontal o transversal, pues afecta a todos los Ministerios y, por tanto, a todas las Secciones que recogen los gastos de aquéllos. Pero es que además viene siendo una interpretación admitida, en coherencia con la naturaleza de la sección trigésima primera, que lo dispuesto en el citado art. 133.3 del citado reglamento se cumple cuando las altas o bajas se producían en relación con dicha sección, de manera que se ha venido admitiendo la formulación de enmiendas que proponen el alta en cualquier sección compensándola con una baja en la sección trigésima primera o viceversa.</w:t>
      </w:r>
    </w:p>
    <w:p w:rsidR="0085709A" w:rsidRDefault="0085709A" w:rsidP="0085709A">
      <w:pPr>
        <w:pStyle w:val="TextoNormal"/>
      </w:pPr>
    </w:p>
    <w:p w:rsidR="0085709A" w:rsidRDefault="0085709A" w:rsidP="0085709A">
      <w:pPr>
        <w:pStyle w:val="TextoNormal"/>
      </w:pPr>
      <w:r>
        <w:t xml:space="preserve">Además, esa práctica ha sido también utilizada, en varias ocasiones, por el propio Grupo Parlamentario Popular al que pertenecen los recurrentes. Así, por ejemplo, cuando se tramitaba el proyecto de ley de presupuestos generales del Estado para 1998, el Grupo Parlamentario Popular formuló dos enmiendas (núms. 1168 y 1169), proponiendo altas en la sección trigésima primera y bajas en las Secciones 18 y 32, que fueron admitidas a trámite y aprobadas en el Senado [“Boletín Oficial de las Cortes Generales”, Senado, VI Legislatura, Serie II: proyectos de ley, 9 y 23 de diciembre de 1997, núms. 64(d) y 64(h), págs. 508 y, 1029 y 1030, respectivamente]. Lo mismo sucedió en la tramitación del proyecto de ley de presupuestos generales del Estado para 1999, en la que el Grupo Parlamentario Popular presentó una enmienda (núm. 1162), proponiendo un alta en la sección trigésima primera y una baja </w:t>
      </w:r>
      <w:r>
        <w:lastRenderedPageBreak/>
        <w:t>en la sección trigésima segunda, que fue admitida a trámite y aprobada en el Senado [“Boletín Oficial de las Cortes Generales”, Senado, VI Legislatura, Serie II: proyectos de ley, 4 y 22 de diciembre de 1998, núms. 112(d) y 112(h), págs. 543 y 1155, respectivamente]. Y así se hizo también con las enmiendas núms. 383 a 386 del Grupo Parlamentario Socialista y con la núm. 1176 de Izquierda Unida.</w:t>
      </w:r>
    </w:p>
    <w:p w:rsidR="0085709A" w:rsidRDefault="0085709A" w:rsidP="0085709A">
      <w:pPr>
        <w:pStyle w:val="TextoNormal"/>
      </w:pPr>
    </w:p>
    <w:p w:rsidR="0085709A" w:rsidRDefault="0085709A" w:rsidP="0085709A">
      <w:pPr>
        <w:pStyle w:val="TextoNormal"/>
      </w:pPr>
      <w:r>
        <w:t>Esa misma práctica fue utilizada por otros grupos parlamentarios en la tramitación del proyecto de presupuestos generales para 2000 (enmienda núm. 1532 de Izquierda Unida, y núms. 1658, 1916 a 1920 y 1970 del Grupo Parlamentario Socialista), para 2001 (enmiendas núms. 641 a 644 y 801 del Grupo Mixto, y núms. 1137, 1369 a 1377 del Grupo Parlamentario Socialista), para 2002 (enmiendas núms. 653, 661 y 706 a 708 del Grupo Parlamentario Socialista, y núms. 1230 a 1234 y 1710 del Grupo Parlamentario Mixto), para 2003 (enmienda núm. 1484 del Grupo Parlamentario Socialista, respecto de la cual la Mesa de la Comisión de presupuestos solicitó su subsanación o aclaración al imputar la baja a una sección distinta de la de alta, siendo finalmente admitida a trámite y sometida a votación) y para 2004 (enmiendas núms. 1389 y 1390 del Grupo Parlamentario Socialista, respecto las cuales la Mesa de la Comisión de Presupuestos solicitó la subsanación o aclaración, que fueron finalmente admitidas a trámite y sometidas a votación).</w:t>
      </w:r>
    </w:p>
    <w:p w:rsidR="0085709A" w:rsidRDefault="0085709A" w:rsidP="0085709A">
      <w:pPr>
        <w:pStyle w:val="TextoNormal"/>
      </w:pPr>
    </w:p>
    <w:p w:rsidR="0085709A" w:rsidRDefault="0085709A" w:rsidP="0085709A">
      <w:pPr>
        <w:pStyle w:val="TextoNormal"/>
      </w:pPr>
      <w:r>
        <w:t xml:space="preserve">En suma, estamos en presencia de una práctica utilizada por diferentes grupos parlamentarios (incluido el grupo parlamentario del que forman parte los recurrentes) que ha sido admitida por la Cámara al considerar que se ajusta al Reglamento y que es respetuosa con el art. 23.2 CE, sin que vulnere precepto ni principio constitucional alguno. Antes al contrario, de aceptarse el criterio postulado por los recurrentes se habría producido la violación del </w:t>
      </w:r>
      <w:r w:rsidRPr="0085709A">
        <w:rPr>
          <w:i/>
        </w:rPr>
        <w:t>ius in officium</w:t>
      </w:r>
      <w:r>
        <w:t xml:space="preserve"> de quienes proponían las enmiendas y, por tanto, del derecho fundamental contenido en el art. 23.2 CE, al haberse alterado lo que pacíficamente había sido admitido para todos los grupos en anteriores ocasiones.</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en este Tribunal el día 25 de mayo de 2005, el Abogado del Estado, en la representación que ostenta, presentó sus alegaciones solicitando se dictase Sentencia desestimatoria del recurso de inconstitucionalidad. Tras delimitar el objeto del recurso de inconstitucionalidad y concretar el alcance de la doctrina constitucional sobre la materia propia de las leyes de presupuestos, su contenido y límites, puntualiza que la demanda parte de una concepción, no solo muy rigurosa sino inadmisible, sobre el alcance de la doctrina constitucional, pues no es que niegue una falta de conexión entre la ley de presupuestos y las disposiciones impugnadas, sino que la niegan axiomáticamente sin más argumentación. Dicho esto, precisa el Abogado del Estado, antes de entrar a analizar las diferentes quejas, que la denunciada vulneración (en todos los fundamentos del recurso) del principio de seguridad jurídica como certeza en el derecho (art. 9.3 CE) requiere un examen pormenorizado en cada caso de las consecuencias jurídicas de la actuación del legislador, circunstancia esta que, sin embargo, no se produce en el recurso, sin que sea suficiente con afirmar que la norma es incierta para apreciar la vulneración de aquel principio. Además, para el Abogado del Estado, por muy desaconsejable que pueda parecer la técnica de utilizar un solo vehículo para amparar preceptos innovadores en muchas materias y sectores, esto no es suficiente para considerar inconstitucional la norma, por su contradicción con el art. 9.3 CE.</w:t>
      </w:r>
    </w:p>
    <w:p w:rsidR="0085709A" w:rsidRDefault="0085709A" w:rsidP="0085709A">
      <w:pPr>
        <w:pStyle w:val="TextoNormal"/>
      </w:pPr>
    </w:p>
    <w:p w:rsidR="0085709A" w:rsidRDefault="0085709A" w:rsidP="0085709A">
      <w:pPr>
        <w:pStyle w:val="TextoNormal"/>
      </w:pPr>
      <w:r>
        <w:lastRenderedPageBreak/>
        <w:t>Una vez hecha la anterior precisión pasa el Abogado del Estado a dar respuesta a cada una de las alegaciones del recurso:</w:t>
      </w:r>
    </w:p>
    <w:p w:rsidR="0085709A" w:rsidRDefault="0085709A" w:rsidP="0085709A">
      <w:pPr>
        <w:pStyle w:val="TextoNormal"/>
      </w:pPr>
    </w:p>
    <w:p w:rsidR="0085709A" w:rsidRDefault="0085709A" w:rsidP="0085709A">
      <w:pPr>
        <w:pStyle w:val="TextoNormal"/>
      </w:pPr>
      <w:r>
        <w:t>a) Impugnación de los arts. 2, 4 y 13, y del anexo I, de la Ley 2/2004, de 27 de diciembre. Antes de entrar a analizar las razones de la impugnación de estos preceptos, precisa el Abogado del Estado que los proyectos de ley de presupuestos generales del Estado contienen algunos preceptos [como los que son objeto de impugnación en este fundamento de la demanda sobre “De la aprobación de los estados de gastos e ingresos” (art. 2), “De la financiación de los créditos aprobados” (art. 4), “De la Seguridad Social” (art. 13) y “Distribución de los créditos por programas” (anexo I)], que establecen las grandes cifras del presupuesto, su núcleo esencial, en cuanto determinan la aprobación de los estados de gastos e ingresos del conjunto de las entidades que integran el sector público estatal, la financiación de aquellos créditos y la distribución de los mismos por programas, que, en realidad, solo suponen un resumen global de las cifras de ingresos y gastos que tienen atribuidas cada una de las Secciones o programas. La tramitación parlamentaria de tales proyectos permite que puedan ser aprobadas enmiendas hasta el último momento de su tramitación por el Pleno del Congreso o del Senado, y no solamente en su fase de ponencia y comisión, de manera que, cuando esto sucede, el Pleno del Congreso, que tras la votación de las enmiendas procede a votar el texto resultante del proyecto de ley, desconoce siempre las cifras globales que corresponden a cada política de gasto y a cada programa presupuestario (esta circunstancia solo sería evitable si el Pleno de la Cámara no aprobara enmiendas y se limitara a ratificar las aprobadas en Comisión).</w:t>
      </w:r>
    </w:p>
    <w:p w:rsidR="0085709A" w:rsidRDefault="0085709A" w:rsidP="0085709A">
      <w:pPr>
        <w:pStyle w:val="TextoNormal"/>
      </w:pPr>
    </w:p>
    <w:p w:rsidR="0085709A" w:rsidRDefault="0085709A" w:rsidP="0085709A">
      <w:pPr>
        <w:pStyle w:val="TextoNormal"/>
      </w:pPr>
      <w:r>
        <w:t>Para el Abogado del Estado, las cifras definitivamente aprobadas por el Congreso no son sino las resultantes, como dice el acuerdo de la Cámara y el propio “Boletín Oficial” que lo transcribe, de la inclusión en los preceptos impugnados de las enmiendas aprobadas por el Congreso. Se trata, de una mera actividad material, puramente aritmética, que completa la voluntad de la Cámara y no la sustituye, y que aquella ha realizado autónomamente a través de sus servicios técnicos de acuerdo con lo expresamente establecido en el artículo 60.2 del Reglamento del Congreso de los Diputados.</w:t>
      </w:r>
    </w:p>
    <w:p w:rsidR="0085709A" w:rsidRDefault="0085709A" w:rsidP="0085709A">
      <w:pPr>
        <w:pStyle w:val="TextoNormal"/>
      </w:pPr>
    </w:p>
    <w:p w:rsidR="0085709A" w:rsidRDefault="0085709A" w:rsidP="0085709A">
      <w:pPr>
        <w:pStyle w:val="TextoNormal"/>
      </w:pPr>
      <w:r>
        <w:t>Considera el Abogado del Estado que tampoco es correcto afirmar que se ha vulnerado el artículo 69 del Reglamento del Congreso cuando, tras el veto por el Senado al proyecto de Ley de presupuestos generales aprobado por el Congreso de los Diputados, vuelve a esta Cámara, de manera que lo debatido pasa a ser el levantamiento o no del veto mediante la ratificación del texto inicial, siendo la documentación que servía de base al debate la constituida por el texto del veto interpuesto y no por ninguna otra. Pero es que, además, siendo los servicios jurídicos del Congreso de los Diputados conscientes de la falta de consolidación de las enmiendas aprobadas en el último trámite de la primera lectura del proyecto, se procedió a distribuir entre los grupos parlamentarios las cifras definitivas que debían considerarse aprobadas en el supuesto de que el veto fuera “levantado” por la Cámara. Por tanto, no solo los Diputados fueron conscientes de las enmiendas que estaban votando y aprobando en “en primera lectura” sino que conocían las cifras que se estaban aprobando en el trámite de levantamiento del veto (cifras resultantes de la incorporación de las enmiendas aprobadas).</w:t>
      </w:r>
    </w:p>
    <w:p w:rsidR="0085709A" w:rsidRDefault="0085709A" w:rsidP="0085709A">
      <w:pPr>
        <w:pStyle w:val="TextoNormal"/>
      </w:pPr>
    </w:p>
    <w:p w:rsidR="0085709A" w:rsidRDefault="0085709A" w:rsidP="0085709A">
      <w:pPr>
        <w:pStyle w:val="TextoNormal"/>
      </w:pPr>
      <w:r>
        <w:t xml:space="preserve">En suma, no solo no se ha producido la pretendida infracción reglamentaria sino que, de haberse producido, era carga de los recurrentes, primero, la de haber denunciado ante la </w:t>
      </w:r>
      <w:r>
        <w:lastRenderedPageBreak/>
        <w:t>propia Cámara el vicio al que imputan la lesión constitucional (la insuficiencia de la información recibida para ejercer su función parlamentaria), y, después, la de acreditar ante este Tribunal Constitucional qué incidencia tuvo el defecto denunciado en el proceso de formación de la voluntad de la Cámara.</w:t>
      </w:r>
    </w:p>
    <w:p w:rsidR="0085709A" w:rsidRDefault="0085709A" w:rsidP="0085709A">
      <w:pPr>
        <w:pStyle w:val="TextoNormal"/>
      </w:pPr>
    </w:p>
    <w:p w:rsidR="0085709A" w:rsidRDefault="0085709A" w:rsidP="0085709A">
      <w:pPr>
        <w:pStyle w:val="TextoNormal"/>
      </w:pPr>
      <w:r>
        <w:t>b) Impugnación de la disposición adicional vigesimoctava (declaración de interés general de determinadas obras de infraestructuras hidráulicas con destino a riego). Señala el Abogado del Estado su perplejidad por esta impugnación habida cuenta que las declaraciones de interés general de obras de infraestructuras hidráulicas con destino a riego se han recogido tradicionalmente en las leyes de presupuestos sin haber provocado nunca dudas en cuanto a su constitucionalidad formal. Dicho esto, señala a continuación, que la consecuencia jurídica de la declaración por Ley de una obra hidráulica como de interés general es que la competencia sobre la misma corresponde a la Administración General del Estado y, por ende, su financiación debe hacerse con cargo a los presupuestos generales del Estado, lo que encuadra fácilmente la disposición impugnada en el contenido eventual o posible de la ley de presupuestos.</w:t>
      </w:r>
    </w:p>
    <w:p w:rsidR="0085709A" w:rsidRDefault="0085709A" w:rsidP="0085709A">
      <w:pPr>
        <w:pStyle w:val="TextoNormal"/>
      </w:pPr>
    </w:p>
    <w:p w:rsidR="0085709A" w:rsidRDefault="0085709A" w:rsidP="0085709A">
      <w:pPr>
        <w:pStyle w:val="TextoNormal"/>
      </w:pPr>
      <w:r>
        <w:t>Por otra parte, y respecto de la alegada vulneración del art. 9.3 CE por la misma disposición, considera el Abogado del Estado que se trata de una imputación gratuita pues el mandato que contiene es claro: persigue la declaración de interés general de determinadas obras y las declaraciones implícitas de utilidad pública y de urgencia de tales obras a efectos de las expropiaciones forzosas que se requieran y de la urgente ocupación de los bienes que resulten afectados.</w:t>
      </w:r>
    </w:p>
    <w:p w:rsidR="0085709A" w:rsidRDefault="0085709A" w:rsidP="0085709A">
      <w:pPr>
        <w:pStyle w:val="TextoNormal"/>
      </w:pPr>
    </w:p>
    <w:p w:rsidR="0085709A" w:rsidRDefault="0085709A" w:rsidP="0085709A">
      <w:pPr>
        <w:pStyle w:val="TextoNormal"/>
      </w:pPr>
      <w:r>
        <w:t>c) Impugnación de la disposición adicional trigésima (modificación de la Ley 18/2001, de 12 de diciembre, general de estabilidad presupuestaria). Para el Abogado del Estado, en contra de lo sostenido por los Diputados recurrentes, la disposición impugnada no se limitaba a introducir un procedimiento para resolver las posibles discrepancias entre el Congreso y Senado, sino que, además, amplia al primer semestre del año, frente al primer cuatrimestre de la redacción anterior, el plazo para la fijación del objetivo de estabilidad presupuestaria.</w:t>
      </w:r>
    </w:p>
    <w:p w:rsidR="0085709A" w:rsidRDefault="0085709A" w:rsidP="0085709A">
      <w:pPr>
        <w:pStyle w:val="TextoNormal"/>
      </w:pPr>
    </w:p>
    <w:p w:rsidR="0085709A" w:rsidRDefault="0085709A" w:rsidP="0085709A">
      <w:pPr>
        <w:pStyle w:val="TextoNormal"/>
      </w:pPr>
      <w:r>
        <w:t>Pues bien, en primer lugar, pocas materias pueden encontrarse que guarden una relación más estrecha con la aprobación del programa de ingresos y gastos del Gobierno como la relativa a la determinación del objetivo de estabilidad presupuestaria, siendo la Ley de presupuestos la que determina si la Administración General del Estado ha respetado el principio de estabilidad presupuestaria. La determinación del objetivo de estabilidad presupuestaria no constituye, como señalan los recurrentes, una fase previa e independiente de los presupuestos, pues el objetivo de estabilidad está en la base de los presupuestos y se proyecta sobre los mismos.</w:t>
      </w:r>
    </w:p>
    <w:p w:rsidR="0085709A" w:rsidRDefault="0085709A" w:rsidP="0085709A">
      <w:pPr>
        <w:pStyle w:val="TextoNormal"/>
      </w:pPr>
    </w:p>
    <w:p w:rsidR="0085709A" w:rsidRDefault="0085709A" w:rsidP="0085709A">
      <w:pPr>
        <w:pStyle w:val="TextoNormal"/>
      </w:pPr>
      <w:r>
        <w:t xml:space="preserve">En segundo lugar, mientras que en la anterior redacción se exigía que la aprobación del objetivo de estabilidad se produjera necesariamente por ambas Cámaras, de forma que un eventual rechazo en el Senado conducía automáticamente a la presentación, en el plazo máximo de un mes, de un nuevo acuerdo por parte del Gobierno para su aprobación en las Cámaras, con la nueva redacción del precepto, si el objetivo de estabilidad presentado por el Gobierno es aprobado en el Congreso y rechazado en el Senado, se somete a una nueva votación en el Congreso, aprobándose si éste lo ratifica por mayoría simple. Se trata de un procedimiento que es plenamente coherente con el modelo de procedimiento legislativo </w:t>
      </w:r>
      <w:r>
        <w:lastRenderedPageBreak/>
        <w:t>configurado por la Constitución, en el que el Congreso de los Diputados prevalece sobre el Senado en caso de discrepancia (art. 90.2 CE), como sucede también en el procedimiento de aprobación de la Ley de presupuestos previsto en los Reglamentos de las Cámaras, en el cual, en caso de ser rechazado por el Senado el texto remitido por el Congreso, éste decidirá con carácter definitivo.</w:t>
      </w:r>
    </w:p>
    <w:p w:rsidR="0085709A" w:rsidRDefault="0085709A" w:rsidP="0085709A">
      <w:pPr>
        <w:pStyle w:val="TextoNormal"/>
      </w:pPr>
    </w:p>
    <w:p w:rsidR="0085709A" w:rsidRDefault="0085709A" w:rsidP="0085709A">
      <w:pPr>
        <w:pStyle w:val="TextoNormal"/>
      </w:pPr>
      <w:r>
        <w:t>d) Impugnación de la disposición adicional trigésimo primera (modificación de la Ley 47/2003, de 26 de noviembre, general presupuestaria). Para el Abogado del Estado, dejando a un lado la incoherencia que supone la afirmación de los recurrentes de que, aun cuando se trata de una medida que procura “mejorar el proceso de fiscalización previa e intervención de los derechos e ingresos del Tesoro”, sin embargo, no está ligada a previsión de ingresos para el 2005, la medida que contiene pretende aclarar los términos en que ha de producirse la fiscalización previa e intervención de los derechos e ingresos del Tesoro público, sirviendo, en consecuencia, a la mayor inteligencia y la mejor ejecución del presupuesto, lo que le permite formar parte del contenido eventual de la ley de presupuestos.</w:t>
      </w:r>
    </w:p>
    <w:p w:rsidR="0085709A" w:rsidRDefault="0085709A" w:rsidP="0085709A">
      <w:pPr>
        <w:pStyle w:val="TextoNormal"/>
      </w:pPr>
    </w:p>
    <w:p w:rsidR="0085709A" w:rsidRDefault="0085709A" w:rsidP="0085709A">
      <w:pPr>
        <w:pStyle w:val="TextoNormal"/>
      </w:pPr>
      <w:r>
        <w:t>e) Impugnación de la disposición adicional trigésimo cuarta (modificación del texto refundido de la Ley del catastro inmobiliario, aprobado por Real Decreto Legislativo 1/2004, de 5 de marzo). A juicio del Abogado del Estado, no es posible sostener que la regulación del catastro y, por tanto, las modificaciones de esa regulación, son una materia sin incidencia alguna en la Hacienda general o que la materia catastral no es materia tributaria en sentido estricto, cuando lo cierto es que la materia catastral tiene incidencia en las previsiones de ingresos de los tres niveles territoriales de Administración, al constituir el valor catastral un elemento esencial en la determinación de la base imponible de diferentes tributos, tanto estatales (impuesto sobre la renta de las personas físicas), como autonómicos (impuesto sobre el patrimonio, impuesto sobre sucesiones y donaciones e impuesto sobre transmisiones patrimoniales y actos jurídicos documentados) y locales (impuesto sobre bienes inmuebles e impuesto sobre el incremento del valor de los terrenos de naturaleza urbana).</w:t>
      </w:r>
    </w:p>
    <w:p w:rsidR="0085709A" w:rsidRDefault="0085709A" w:rsidP="0085709A">
      <w:pPr>
        <w:pStyle w:val="TextoNormal"/>
      </w:pPr>
    </w:p>
    <w:p w:rsidR="0085709A" w:rsidRDefault="0085709A" w:rsidP="0085709A">
      <w:pPr>
        <w:pStyle w:val="TextoNormal"/>
      </w:pPr>
      <w:r>
        <w:t xml:space="preserve">f) Impugnación de la disposición adicional trigésimo novena (modificación de la Ley 41/1999, de 12 de noviembre, sobre sistemas de pagos y de liquidación de valores) y de la disposición adicional cuadragésima (modificación de la Ley 13/1994, de 1 de junio, de autonomía del Banco de España). Según el Abogado del Estado, con estas disposiciones (como señala la exposición de motivos de la Ley 2/2004) se trata de conseguir “la integración de los sistemas de pago en España”, pilar básico para el correcto funcionamiento del sistema financiero y de la propia estabilidad financiera, constituyendo una materia directamente relacionada con la política económica, a través de los sistemas de compensación y liquidación de pagos interbancarios en el marco de la política monetaria establecida por el Sistema Europeo de Bancos Centrales. Por tanto, las modificaciones normativas introducidas por esas disposiciones guardan una indudable relación directa con los criterios de política económica general, al perseguir dos claros objetivos de política económica (profundizar en el proceso de liberalización y privatización de los sistemas de pago en España y conseguir un mejor posicionamiento de los sistemas de pago españoles a nivel europeo), lo que impide imputarles objeción alguna a la luz del art. 134.2 CE, resultando indudable su encuadramiento en el contenido eventual o posible de la Ley de presupuestos. Y tampoco puede apreciarse la vulneración del art. 9.3 CE, al representar un mesurado intento de aclarar y completar los </w:t>
      </w:r>
      <w:r>
        <w:lastRenderedPageBreak/>
        <w:t>sistemas de pago en España, en cuanto piezas básicas que aseguran el buen fin de las transacciones que se formalizan en los mercados financieros, al tiempo que tratan de fortalecer su posición a nivel europeo.</w:t>
      </w:r>
    </w:p>
    <w:p w:rsidR="0085709A" w:rsidRDefault="0085709A" w:rsidP="0085709A">
      <w:pPr>
        <w:pStyle w:val="TextoNormal"/>
      </w:pPr>
    </w:p>
    <w:p w:rsidR="0085709A" w:rsidRDefault="0085709A" w:rsidP="0085709A">
      <w:pPr>
        <w:pStyle w:val="TextoNormal"/>
      </w:pPr>
      <w:r>
        <w:t>g) Impugnación de la disposición adicional cuadragésima octava (modificación de la Ley 25/1990, de 20 de diciembre, del medicamento. Ingresos por volumen de ventas al Sistema Nacional de Salud). Esta disposición establece un “descuento por volumen de ventas” de los fabricantes o importadores de medicamentos al Sistema Nacional de Salud. La esencia de la misma es, por tanto, regular el precio del medicamento, aunque en este caso ello se haga a través de un mecanismo indirecto, cuya naturaleza debe concretarse. En este sentido, puesto que la categoría de ingresos no está recogida en la Constitución, que solo prevé el concepto amplio de “prestación patrimonial pública” (art.31.3 CE) y el más preciso de “tributo” (art. 133.1 CE), habrá que estar a la verdadera naturaleza de los referidos ingresos.</w:t>
      </w:r>
    </w:p>
    <w:p w:rsidR="0085709A" w:rsidRDefault="0085709A" w:rsidP="0085709A">
      <w:pPr>
        <w:pStyle w:val="TextoNormal"/>
      </w:pPr>
    </w:p>
    <w:p w:rsidR="0085709A" w:rsidRDefault="0085709A" w:rsidP="0085709A">
      <w:pPr>
        <w:pStyle w:val="TextoNormal"/>
      </w:pPr>
      <w:r>
        <w:t>A este respecto, subraya el Abogado del Estado, según las Sentencias de la Sección Sexta de la Sala de lo Contencioso-Administrativo del Tribunal Superior de Justicia de Madrid de 2 de abril y 17 de septiembre de 2004 (recursos núms. 973-2001 y 184-2002), dictadas en materia de actos de facturación-liquidación del Instituto Nacional de la Salud (INSALUD) en aplicación del Real Decreto Ley 5/2000, de 23 de junio, “Los descuentos controvertidos no tienen en rigor naturaleza tributaria, sino que pueden sin esfuerzo incluirse entre las medidas adoptadas por la Administración para contener el gasto farmacéutico y más concretamente dentro de un concepto amplio del ‘margen’ al que literalmente alude la propia disposición adicional... Se trata de una forma de actuación administrativa dentro de una actividad intervenida, habiéndose ya pronunciado el Tribunal Supremo a favor de la legalidad de las fórmulas de intervención del Gobierno en el establecimiento de los márgenes correspondientes a la dispensación al público de Especialidades Farmacéuticas de uso humano y sancionando de este modo la validez del Real Decreto 165/1997, de 7 de febrero (Sentencias de 5, 8, 14 Y 15 de noviembre de 1999)” (fundamento de Derecho 5). De esta manera, para el Abogado del Estado, la disposición impugnada se encuadra dentro de la potestad estatal de regulación de los precios de los medicamentos, como parte de la ordenación económica y como principal medio para conseguir una financiación racional del Sistema Nacional de Salud, y no viene sino a intervenir en la fijación de los precios de los medicamentos, lo que incide especialmente en la financiación del Sistema Nacional de Salud.</w:t>
      </w:r>
    </w:p>
    <w:p w:rsidR="0085709A" w:rsidRDefault="0085709A" w:rsidP="0085709A">
      <w:pPr>
        <w:pStyle w:val="TextoNormal"/>
      </w:pPr>
    </w:p>
    <w:p w:rsidR="0085709A" w:rsidRDefault="0085709A" w:rsidP="0085709A">
      <w:pPr>
        <w:pStyle w:val="TextoNormal"/>
      </w:pPr>
      <w:r>
        <w:t xml:space="preserve">Los ingresos estatales por descuentos por volumen de ventas de medicamentos al Servicio Nacional de Salud constituyen para el Abogado del Estado, entonces, una figura conocida en el campo mercantil como </w:t>
      </w:r>
      <w:r w:rsidRPr="0085709A">
        <w:rPr>
          <w:i/>
        </w:rPr>
        <w:t>rappels</w:t>
      </w:r>
      <w:r>
        <w:t xml:space="preserve"> de venta, que se exigen por parte de las empresas o entidades a sus proveedores en atención al volumen de compras que les efectúan. En este caso, el cliente que exige el descuento por volumen de ventas a las industrias proveedores de medicamentos es el Estado, como responsable del Servicio Nacional de Salud, y, solamente, por el importe de las ventas que los proveedores efectúen por cuenta de dicho Servicio, sin que aquellas personas y entidades que no suministren medicamentos al Servicio Nacional de Salud deban de satisfacer ingreso alguno, por lo que no puede calificarse como un tributo sobre las ventas.</w:t>
      </w:r>
    </w:p>
    <w:p w:rsidR="0085709A" w:rsidRDefault="0085709A" w:rsidP="0085709A">
      <w:pPr>
        <w:pStyle w:val="TextoNormal"/>
      </w:pPr>
    </w:p>
    <w:p w:rsidR="0085709A" w:rsidRDefault="0085709A" w:rsidP="0085709A">
      <w:pPr>
        <w:pStyle w:val="TextoNormal"/>
      </w:pPr>
      <w:r>
        <w:t xml:space="preserve">Señala el Abogado del Estado que existen ya </w:t>
      </w:r>
      <w:r w:rsidRPr="0085709A">
        <w:rPr>
          <w:i/>
        </w:rPr>
        <w:t>rappels</w:t>
      </w:r>
      <w:r>
        <w:t xml:space="preserve"> sobre ventas de las farmacias, que se establecieron por el Real Decreto-ley 5/2000, de 23 de junio, de medidas urgentes de contención del gasto farmacéutico público y de racionalización del uso de medicamentos, </w:t>
      </w:r>
      <w:r>
        <w:lastRenderedPageBreak/>
        <w:t xml:space="preserve">al regular y cuantificar determinadas deducciones en función de la facturación de cada farmacia. Su establecimiento por Real Decreto-ley ilustra su condición de </w:t>
      </w:r>
      <w:r w:rsidRPr="0085709A">
        <w:rPr>
          <w:i/>
        </w:rPr>
        <w:t>rappels</w:t>
      </w:r>
      <w:r>
        <w:t xml:space="preserve"> o descuentos sobre ventas de las farmacias que, como ha señalado la jurisprudencia antes referida, ni tiene la naturaleza de una prestación patrimonial de carácter público ni tampoco la de un tributo. En efecto, los descuentos por volumen de ventas no se hallan ligados a la capacidad económica de los proveedores pues no actúan sobre sus ventas o beneficios totales sino solo sobre la partida correspondiente a las dispensadas en virtud de receta con cargo a los fondos del Estado y, además, lo hacen sobre los precios de venta con el impuesto sobre el valor añadido incluido, poniendo de manifiesto que no se trata de un tributo sino de una manera de regular los precios. Pero es que, además, carece del carácter general propio de todo tributo pues no afecta a todos los fabricantes o importadores de medicamentos o sustancias medicinales, sino solo a aquellos que dispensen recetas con cargo al Sistema Nacional de Salud. Y también les falta la característica de obligatoriedad que concurre en los tributos pues los descuentos no son exigidos a todas las personas y entidades, sino solo y exclusivamente a aquellas que voluntariamente decidan dispensar sus productos a través del Sistema Nacional de Salud. En fin, tampoco podría entenderse que este descuento constituye una tasa al faltar uno de sus elementos esenciales como es la existencia de un servicio administrativo a cambio que se remunere, lo que a su vez determina que no haya conexión alguna con el coste del servicio.</w:t>
      </w:r>
    </w:p>
    <w:p w:rsidR="0085709A" w:rsidRDefault="0085709A" w:rsidP="0085709A">
      <w:pPr>
        <w:pStyle w:val="TextoNormal"/>
      </w:pPr>
    </w:p>
    <w:p w:rsidR="0085709A" w:rsidRDefault="0085709A" w:rsidP="0085709A">
      <w:pPr>
        <w:pStyle w:val="TextoNormal"/>
      </w:pPr>
      <w:r>
        <w:t>En definitiva, para el Abogado del estado puesto que los ingresos por descuentos sobre ventas de medicamentos al Servicio Nacional de Salud no se configuran como una prestación patrimonial de carácter público, ni como un tributo, su establecimiento no incide en modo alguno en la prohibición constitucional que contiene el art. 134.7 CE. Tampoco se vulnera el principio de reserva de ley operante en materia tributaria (art. 31.3 CE, al tratarse de un ámbito ajeno a la misma y, en consecuencia, en el que no queda afectada la esencia del deber constitucional de contribuir al sostenimiento de los gastos públicos que enuncia el art. 31.1 CE. Es más, sin olvidar que la Ley 2/2004 tiene formalmente rango de ley, respecto de la remisión al reglamento que hace el título VIII de la Ley del medicamento relativo a la intervención administrativa del precio de los medicamentos y la eventual infracción del principio de reserva de ley, la Sentencia del Tribunal Supremo de 5 de noviembre de 1999 señaló que la Ley del medicamento no incorpora medidas desproporcionadas de intervención administrativa en la determinación de precios y márgenes, si se tienen en cuenta las necesidades derivadas de protección de la salud pública, incluyendo “el contenido material suficiente para entender constitucionalmente legítima la remisión que efectúa a la norma reglamentaria en orden a la intervención de los productos farmacéuticos”.</w:t>
      </w:r>
    </w:p>
    <w:p w:rsidR="0085709A" w:rsidRDefault="0085709A" w:rsidP="0085709A">
      <w:pPr>
        <w:pStyle w:val="TextoNormal"/>
      </w:pPr>
    </w:p>
    <w:p w:rsidR="0085709A" w:rsidRDefault="0085709A" w:rsidP="0085709A">
      <w:pPr>
        <w:pStyle w:val="TextoNormal"/>
      </w:pPr>
      <w:r>
        <w:t>Por lo que hace al denunciado desconocimiento por la disposición impugnada del art. 4 de la Directiva 89/105/CEE del Consejo, de 21 de diciembre, el Abogado del Estado no logra apreciar en qué medida su contenido afecta a la citada Directiva, que versa sobre una cuestión distinta, como es la congelación de precios de los medicamentos que se permite imponer a los Estados miembros. Además, conforme a reiterada doctrina del Tribunal Constitucional, la citada Directiva no puede constituir canon de valoración de su constitucionalidad.</w:t>
      </w:r>
    </w:p>
    <w:p w:rsidR="0085709A" w:rsidRDefault="0085709A" w:rsidP="0085709A">
      <w:pPr>
        <w:pStyle w:val="TextoNormal"/>
      </w:pPr>
    </w:p>
    <w:p w:rsidR="0085709A" w:rsidRDefault="0085709A" w:rsidP="0085709A">
      <w:pPr>
        <w:pStyle w:val="TextoNormal"/>
      </w:pPr>
      <w:r>
        <w:t>En fin, en cuanto a la arbitrariedad de que se acusa también a la disposición impugnada, subraya el Abogado del Estado que no incurre en la arbitrariedad proscrita en el art. 9.3 CE al no contener discriminación alguna y disfrutar de una clara explicación racional.</w:t>
      </w:r>
    </w:p>
    <w:p w:rsidR="0085709A" w:rsidRDefault="0085709A" w:rsidP="0085709A">
      <w:pPr>
        <w:pStyle w:val="TextoNormal"/>
      </w:pPr>
    </w:p>
    <w:p w:rsidR="0085709A" w:rsidRDefault="0085709A" w:rsidP="0085709A">
      <w:pPr>
        <w:pStyle w:val="TextoNormal"/>
      </w:pPr>
      <w:r>
        <w:t>h) Impugnación de la sección duodécima (servicios 01 y 04), sección decimotercera (servicios 02, 03 y 04, sección decimocuarta (servicios 03, 11, 16 y 21), sección decimoquinta (servicio 08), sección decimosexta (servicios 01, 02, 03, 04 y 05), sección decimoséptima (servicios 38 y 01), sección decimoctava (servicios 02, 03 y 10), sección decimonovena (servicios 01, 04 y 07), sección vigésima (servicios 01, 05 y 06), sección vigesimoprimera (servicio 01), sección vigesimosegunda (servicio 01), sección vigesimotercera (servicio 01), sección vigesimocuarta (servicios 02, 03 y 04), sección vigesimoquinta (servicios 03, 09 y 13) y sección vigesimoséptima (servicio 09). Precisa el Abogado de Estado, antes que nada, la dificultad que tiene para dar respuesta a la cuestión planteada pues parece que lo planteado por la demanda, en este particular, sería que la lesión vendría producida por una merma o reducción de las facultades o competencias del legislativo, que beneficiaría las del Ejecutivo, cuando lo cierto es que el objeto del recurso está constituido precisamente por la aprobación de unas enmiendas parlamentarias. En efecto, para el Abogado del Estado, no se alcanza a determinar la conexión de los reproches de la demanda con los preceptos constitucionales denunciados como infringidos: en primer lugar, la facultad de enmienda parlamentaria de los presupuestos presentados por el Gobierno está explícitamente reconocida en el art. 134.1 CE y a ese origen se deben precisamente las asignaciones presupuestarias impugnadas; en segundo lugar, tampoco resulta del todo comprensible la denunciada infracción del art. 134.6 CE, puesto que el precepto se refiere claramente al límite global de gasto y no a lo que dice impugnar la demanda como “reasignación de gasto entre las Secciones del presupuesto”; y, en fin, en tercer lugar, se incluye como vulnerado el art. 134.7 CE, pero no se hace visible su relación con la materia misma objeto de la impugnación.</w:t>
      </w:r>
    </w:p>
    <w:p w:rsidR="0085709A" w:rsidRDefault="0085709A" w:rsidP="0085709A">
      <w:pPr>
        <w:pStyle w:val="TextoNormal"/>
      </w:pPr>
    </w:p>
    <w:p w:rsidR="0085709A" w:rsidRDefault="0085709A" w:rsidP="0085709A">
      <w:pPr>
        <w:pStyle w:val="TextoNormal"/>
      </w:pPr>
      <w:r>
        <w:t>Hecha la precisión que antecede, pasa el Abogado del Estado a analizar la vulneración del art. 133.3 del Reglamento del Congreso de los Diputados, que se pone en relación con el art. 134.6 CE, suponiendo que la regla limitativa contenida en el primero de estos preceptos, que condiciona las enmiendas de aumento de crédito a las propuestas de baja en la misma sección, es una modulación de lo dispuesto en el art. 111 del Reglamento del Congreso, y que éste, a su vez, es un trasunto de lo dispuesto en el art. 134.6 CE. Este intento de identificación de preceptos queda para el Abogado del Estado desmentido en la propia demanda cuando se ve obligada a distinguir entre el “límite global” de gasto y su “distribución” entre secciones. Es improcedente, por tanto, querer atribuir a dos preceptos del Reglamento de la Cámara un mismo e idéntico contenido: si el citado art. 111, que es un trasunto de lo dispuesto en el art. 134.6 CE, se refiere al límite de gasto global, el 133.3 regula una cuestión distinta.</w:t>
      </w:r>
    </w:p>
    <w:p w:rsidR="0085709A" w:rsidRDefault="0085709A" w:rsidP="0085709A">
      <w:pPr>
        <w:pStyle w:val="TextoNormal"/>
      </w:pPr>
    </w:p>
    <w:p w:rsidR="0085709A" w:rsidRDefault="0085709A" w:rsidP="0085709A">
      <w:pPr>
        <w:pStyle w:val="TextoNormal"/>
      </w:pPr>
      <w:r>
        <w:t xml:space="preserve">En efecto, según el Abogado del Estado, la demanda admite que los presupuestos experimenten reasignaciones, de manera que las previsiones de la sección trigésima primera (programa de imprevistos y no clasificados) permiten acudir a reforzar cualquier otra necesidad. Sin embargo, la demanda no admite el mecanismo inverso, es decir, que se puedan asignar recursos de otras secciones a la sección trigésima primera. A su juicio, la regla de la identidad de sección a que se refiere el art. 133.3 para los aumentos y bajas de crédito tienen como excepción los aumentos y las bajas de la sección de imprevistos, porque de otro modo no sería posible la operación que la demanda reconoce como legítima: la baja en la sección trigésima primera y su redistribución entre cualquiera de las otras Secciones. Si se admite la baja de la sección de imprevistos, no se sabe qué razón habría para excluir sus aumentos, puesto que para el correcto funcionamiento de esta sección resultan imprescindibles las dos </w:t>
      </w:r>
      <w:r>
        <w:lastRenderedPageBreak/>
        <w:t>cosas. Precisamente el límite global que establece el art 134 CE en sus apartados 5 y 6, solo podría verse afectado con una interpretación como la mantenida en la demanda, que solo admite las transferencias de un único sentido. Pero no solo eso. La sorpresa que provoca la argumentación de los recurrentes se hace aún mayor cuando se comprueba que el Acuerdo de admisión a trámite de tales enmiendas en la Comisión de Presupuestos del Congreso se adoptó por su Mesa en el ejercicio de sus funciones, cuyo Presidente era un Diputado del Grupo Parlamentario al que pertenecen los firmantes del recurso, sin aparente oposición de los miembros de la Comisión.</w:t>
      </w:r>
    </w:p>
    <w:p w:rsidR="0085709A" w:rsidRDefault="0085709A" w:rsidP="0085709A">
      <w:pPr>
        <w:pStyle w:val="TextoNormal"/>
      </w:pPr>
    </w:p>
    <w:p w:rsidR="0085709A" w:rsidRDefault="0085709A" w:rsidP="0085709A">
      <w:pPr>
        <w:pStyle w:val="TextoNormal"/>
      </w:pPr>
      <w:r>
        <w:t>No parece necesario entrar, entonces, en el examen de si el Reglamento de la Cámara puede ser o no pauta de la constitucionalidad de las normas legales emanadas del Poder Legislativo, cuando ni siquiera se denuncia la alteración, sustancial o no, de la formación de la voluntad de la Cámara. Pero es que, incluso en el supuesto de que se llegara a entender que el art. 133.3 constituye un trasunto del art. 134.6 CE, la hipotética vulneración de dicho artículo no conllevaría sin más la del precepto constitucional. Al respecto, señala el Abogado del Estado, que en ningún momento el Gobierno se opuso a la tramitación de las enmiendas propuestas, de manera que, de acuerdo con el art. 111.2 y 3 del Reglamento, la ponencia de la Comisión de Presupuestos remitió al Gobierno la relación de las enmiendas que, a su juicio, requerían de su conformidad (relación recibida por el Ministerio de la Presidencia el 4 de noviembre de 2004), sin que el gobierno diera respuesta razonada en el plazo de quince días previsto en el Reglamento del Congreso, lo que implicaba que, una vez transcurrido el plazo citado, el silencio expresaba su conformidad con la tramitación, lo que impide poder apreciar la vulneración del art. 134.6 CE.</w:t>
      </w:r>
    </w:p>
    <w:p w:rsidR="0085709A" w:rsidRDefault="0085709A" w:rsidP="0085709A">
      <w:pPr>
        <w:pStyle w:val="TextoNormal"/>
      </w:pPr>
    </w:p>
    <w:p w:rsidR="0085709A" w:rsidRDefault="0085709A" w:rsidP="0085709A">
      <w:pPr>
        <w:pStyle w:val="TextoNormal"/>
      </w:pPr>
      <w:r>
        <w:t>Por último, precisa el Abogado del Estado, las consideraciones que hace la demanda relativas a la lesión de la igualdad de los grupos parlamentarios (art. 14 CE) y de la interdicción de la arbitrariedad (art. 9.3 CE), parecen tener tienen un valor retórico pues ni aquéllos han dejado de disponer de las mismas oportunidades de enmienda, ni las oportunidades de enmendar los proyectos del Gobierno pueden razonablemente conceptuarse como restricciones indebidas al poder legislativo.</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3 de marzo de 2015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OBJETO DEL PROCESO: EFECTOS DE LA MODIFICACIÓN Y DEROGACIÓN DE NORMAS. Como ha quedado expuesto en los antecedentes, el objeto del presente recurso de inconstitucionalidad lo constituyen los arts. 2, 4 y 13, el anexo I, las disposiciones adicionales vigesimoctava, trigésima, trigésimo primera, trigésimo cuarta, trigésimo novena, cuadragésima y cuadragésima octava, así como contra las secciones duodécima (Asuntos Exteriores y Cooperación en los servicios 01 y 04), decimotercera (Justicia en los servicios 02, 03 y 04), decimocuarta (Defensa en los servicios 03, 11, 16 y 21), decimoquinta (Economía y Hacienda en el servicio 08), decimosexta (Interior en los servicios 01, 02, 03, 04 y 05), decimoséptima (Fomento en los servicios 38 y 01), decimoctava (Educación y Ciencia en los servicios 02, 03 y 10), decimonovena (Trabajo y Asuntos Sociales en los servicios 01, 04 y 07), vigésima (Industria, Turismo y Comercio en los servicios 01, 05 </w:t>
      </w:r>
      <w:r>
        <w:lastRenderedPageBreak/>
        <w:t>y 06), vigesimoprimera (Agricultura, Pesca y Alimentación en el servicio 01), vigesimosegunda (Administraciones Públicas en el servicio 01), vigesimotercera (Medio Ambiente en el servicio 01), vigesimocuarta (Cultura en los servicios 02, 03 y 04), vigesimoquinta (Presidencia en los servicios 01, 02 y 03), vigesimosexta (Sanidad y Consumo en los servicios 03, 09 y 13) y vigesimoséptima (Vivienda en el servicio 09), unos y otras, de la Ley 2/2004, de 27 de diciembre, de presupuestos generales del Estado para 2005.</w:t>
      </w:r>
    </w:p>
    <w:p w:rsidR="0085709A" w:rsidRDefault="0085709A" w:rsidP="0085709A">
      <w:pPr>
        <w:pStyle w:val="TextoNormal"/>
      </w:pPr>
    </w:p>
    <w:p w:rsidR="0085709A" w:rsidRDefault="0085709A" w:rsidP="0085709A">
      <w:pPr>
        <w:pStyle w:val="TextoNormal"/>
      </w:pPr>
      <w:r>
        <w:t>Antes de entrar a dar respuesta a las concretas cuestiones planteadas por los Diputados recurrentes conviene precisar, con carácter general, que el hecho de que algunas de las disposiciones de la ley impugnada hayan podido ser eventualmente modificados o derogados no priva de objeto al presente recurso, sino que, antes al contrario, “es necesario que este Tribunal Constitucional se pronuncie porque una parte importante de los motivos alegados por los Diputados recurrentes afectan al procedimiento legislativo de aprobación de la ley y a su contenido posible, por lo que la eventual derogación o modificación de alguna de las normas contenidas en esta disposición legal no incidiría en el control de los vicios de validez en que pudiera haberse incurrido al momento de su aprobación, con lo cual subsiste el interés constitucional de velar por el recto ejercicio de la potestad legislativa” (STC 136/2011, de 13 de septiembre, FJ 2; y 132/2013, de 5 de junio, FJ 1). Ello sin perjuicio de que cuando se imputen a disposiciones concretas violaciones constitucionales que no afecten al procedimiento legislativo de aprobación de la ley o a su contenido posible, se pueda entrar a delimitar los efectos que sobre el objeto del presente proceso constitucional pueda tener la eventual derogación o modificación de los mismas.</w:t>
      </w:r>
    </w:p>
    <w:p w:rsidR="0085709A" w:rsidRDefault="0085709A" w:rsidP="0085709A">
      <w:pPr>
        <w:pStyle w:val="TextoNormal"/>
      </w:pPr>
    </w:p>
    <w:p w:rsidR="0085709A" w:rsidRDefault="0085709A" w:rsidP="0085709A">
      <w:pPr>
        <w:pStyle w:val="TextoNormal"/>
      </w:pPr>
      <w:r w:rsidRPr="0085709A">
        <w:rPr>
          <w:rStyle w:val="NumeroAFNegritaCaracter"/>
        </w:rPr>
        <w:t>2</w:t>
      </w:r>
      <w:r>
        <w:t>. DESCONOCIMIENTO DE LAS CIFRAS DEFINITIVAS DE INGRESOS Y GASTOS APROBADAS. El primer bloque de preceptos impugnados en el presente proceso constitucional son los arts. 2 [“De la aprobación de los estados de gastos e ingresos de los Entes referidos en las letras a) a d) del artículo 1 de la presente Ley”], 4 (“De la financiación de los créditos aprobados en el artículo 2 de la presente ley”) y 13 (“De la Seguridad Social”), así como el anexo I (“Distribución de los créditos por programas”) de la Ley 2/2004, de 27 de diciembre, de presupuestos generales del Estado para 2005. Consideran los Diputados recurrentes que no se ha garantizado la transparencia y publicidad en el proceso de formación de la voluntad de la Cámara, y, por tanto, que se han vulnerado los arts. 9.3, 66.2 y 134.2, todos ellos de la CE, así como el art. 69 del Reglamento del Congreso de los Diputados, porque al no haberse llegado a conocer por los Diputados del Congreso las cifras de los ingresos y gastos que se estaban aprobando y al haberse publicado en el Diario Oficial del Congreso de los Diputados unas cifras definitivas que no son las aprobadas por el Pleno del Congreso, se sustrajo a esta Cámara el conocimiento del estado definitivo de los ingresos y gastos que figuraban en los presupuestos generales para 2005, impidiéndole con ello cumplir la función de control que tiene la Ley de presupuestos generales. Sin embargo, ni el Letrado de las Cortes Generales ni el Abogado del Estado consideran que se haya producido este vicio de procedimiento por dos motivos: en primer lugar, porque el texto del proyecto de ley no ha dejado de recoger ninguna de las decisiones adoptadas por el Congreso de los Diputados, ni tampoco ha recogido aspecto alguno que no haya sido aprobado. Y, en segundo lugar, porque de haberse producido la infracción denunciada, era carga de los recurrentes tanto la de haberla denunciado ante la propia Cámara como la de haber acreditado luego ante este Tribunal qué incidencia tuvo el defecto en el proceso de formación de la voluntad de la Cámara.</w:t>
      </w:r>
    </w:p>
    <w:p w:rsidR="0085709A" w:rsidRDefault="0085709A" w:rsidP="0085709A">
      <w:pPr>
        <w:pStyle w:val="TextoNormal"/>
      </w:pPr>
    </w:p>
    <w:p w:rsidR="0085709A" w:rsidRDefault="0085709A" w:rsidP="0085709A">
      <w:pPr>
        <w:pStyle w:val="TextoNormal"/>
      </w:pPr>
      <w:r>
        <w:lastRenderedPageBreak/>
        <w:t>Antes que nada es preciso insistir una vez más en que “la inobservancia de los preceptos que regulan el procedimiento legislativo podría viciar de inconstitucionalidad la ley” pero que no basta “cualquier vicio o inobservancia de los previstos en las normas que regulan el procedimiento parlamentario” siendo necesario que “esa inobservancia altere de modo sustancial el proceso de formación de voluntad en el seno de las Cámaras”, pues “sólo los vicios o defectos más graves provocan un déficit democrático en el proceso de elaboración de una norma que podría conducir a su declaración de inconstitucionalidad” [SSTC 136/2011, de 13 de septiembre, FJ 10; 176/2011, de 8 de noviembre, FJ 4; 102/2012, de 8 de mayo, FJ 3; 209/2012, de 14 de noviembre, FJ 4 c); y 36/2013, de 14 de febrero, FJ 3]. Por tanto, la existencia de un determinado defecto en la tramitación parlamentaria de una norma “sólo tendrá trascendencia si se hubiere privado a las Cámaras de un elemento de juicio necesario para su decisión”, siendo imprescindible que el citado defecto se hubiese “denunciado ante las mismas Cámaras” [SSTC 108/1986, de 29 de julio, FJ 3; 136/2011, de 13 de septiembre, FJ 10 a); y 238/2012, de 13 de diciembre, FJ 3, todas ellas respecto de la ausencia de determinado antecedentes].</w:t>
      </w:r>
    </w:p>
    <w:p w:rsidR="0085709A" w:rsidRDefault="0085709A" w:rsidP="0085709A">
      <w:pPr>
        <w:pStyle w:val="TextoNormal"/>
      </w:pPr>
    </w:p>
    <w:p w:rsidR="0085709A" w:rsidRDefault="0085709A" w:rsidP="0085709A">
      <w:pPr>
        <w:pStyle w:val="TextoNormal"/>
      </w:pPr>
      <w:r>
        <w:t>Pues bien, en primer lugar, debe señalarse que no consta que los Diputados recurrentes hayan hecho uso de su derecho a pedir la observancia del Reglamento (art. 72.1 del Reglamento del Congreso), y, por tanto, que hayan denunciado ante la Cámara en la que se produjo el vicio que denuncian, razón por la cual, solo por este motivo debe rechazarse la pretendida declaración de inconstitucionalidad de los preceptos impugnados. Pero es que, en segundo lugar, incluso soslayando lo anterior, debe subrayarse que el juicio de constitucionalidad de una norma con rango legal nada tiene que ver con el análisis de la pureza técnica del procedimiento parlamentario dirigido a su aprobación, no siendo función de este Tribunal la de controlar la corrección del funcionamiento de las Cámaras. De esta manera, si solo pueden llegar a tener relevancia constitucional los vicios de procedimiento cuyo alcance haya alterado de manera sustancial el proceso de formación de la voluntad de una Cámara, difícilmente podría el vicio denunciado conducir a la declaración de inconstitucionalidad pretendida sin haberse acreditado previamente de un lado, que se ha producido el citado vicio y, de otro, que el vicio es de tal naturaleza que ha afectado al proceso de formación de la voluntad de la Cámara, circunstancia esta que, de haberse producido el vicio, no habría ocurrido en la medida que los propios recurrentes reconocen en alegaciones la entrega de una documentación aclaratoria de las cifras de ingresos y gastos que se iban a someter a debate y votación.</w:t>
      </w:r>
    </w:p>
    <w:p w:rsidR="0085709A" w:rsidRDefault="0085709A" w:rsidP="0085709A">
      <w:pPr>
        <w:pStyle w:val="TextoNormal"/>
      </w:pPr>
    </w:p>
    <w:p w:rsidR="0085709A" w:rsidRDefault="0085709A" w:rsidP="0085709A">
      <w:pPr>
        <w:pStyle w:val="TextoNormal"/>
      </w:pPr>
      <w:r>
        <w:t xml:space="preserve">Por lo demás, el hecho de haberse repartido la documentación aclaratoria unas horas antes de la votación y no en el plazo de las cuarenta y ocho horas a que hace referencia el art. 69 del Reglamento del Congreso de los Diputados, tampoco constituye un vicio que pueda conducir a declarar la inconstitucionalidad de los preceptos impugnados debido a que dicho vicio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[STC 136/2011, de 13 de septiembre, FJ 10 e)]. Y está claro que el eventual incumplimiento del plazo de antelación con el que ha de entregarse la documentación necesaria para los debates (plazo que, por cierto, puede ser alterado por acuerdo de la Mesa del Congreso o de la Comisión según el mismo art. 69), en el caso que nos ocupa, no ha privado a la Cámara del ejercicio de su </w:t>
      </w:r>
      <w:r>
        <w:lastRenderedPageBreak/>
        <w:t>función legislativa ni le ha impedido cumplir la función de control que tiene la Ley de presupuestos generales, pues la reducción del tiempo para analizar la documentación entregada no tiene por qué haberse traducido en una merma de los principios constitucionales que han de informar el procedimiento legislativo en cuanto procedimiento de formación de la voluntad del órgano (STC 234/2000, de 3 de octubre, FJ 13).</w:t>
      </w:r>
    </w:p>
    <w:p w:rsidR="0085709A" w:rsidRDefault="0085709A" w:rsidP="0085709A">
      <w:pPr>
        <w:pStyle w:val="TextoNormal"/>
      </w:pPr>
    </w:p>
    <w:p w:rsidR="0085709A" w:rsidRDefault="0085709A" w:rsidP="0085709A">
      <w:pPr>
        <w:pStyle w:val="TextoNormal"/>
      </w:pPr>
      <w:r>
        <w:t>Debe rechazarse, en consecuencia, la inconstitucionalidad del primer boque de preceptos impugnados.</w:t>
      </w:r>
    </w:p>
    <w:p w:rsidR="0085709A" w:rsidRDefault="0085709A" w:rsidP="0085709A">
      <w:pPr>
        <w:pStyle w:val="TextoNormal"/>
      </w:pPr>
    </w:p>
    <w:p w:rsidR="0085709A" w:rsidRDefault="0085709A" w:rsidP="0085709A">
      <w:pPr>
        <w:pStyle w:val="TextoNormal"/>
      </w:pPr>
      <w:r w:rsidRPr="0085709A">
        <w:rPr>
          <w:rStyle w:val="NumeroAFNegritaCaracter"/>
        </w:rPr>
        <w:t>3</w:t>
      </w:r>
      <w:r>
        <w:t>. CONTENIDO EVENTUAL DE LA LEY DE PRESUPUESTOS GENERALES DEL ESTADO. El segundo bloque de preceptos impugnados lo constituyen las disposiciones adicionales vigesimoctava (“Declaración de interés general de determinadas obras de infraestructuras hidráulicas con destino a riego”), trigésima (“Modificación de la Ley 18/2001 de 12 de Diciembre, General de Estabilidad Presupuestaria”), trigésima primera (“Modificación de la Ley 47/2003, de 26 de noviembre, General Presupuestaria”), trigésima cuarta (“Modificación del texto refundido de la Ley del Catastro Inmobiliario, aprobado por Real Decreto Legislativo 1/2004, de 5 de marzo”), trigésima novena (“Modificación de la Ley 41/1999, de 12 de Noviembre, sobre sistemas de pagos y de liquidación de valores”), cuadragésima (“Modificación de la Ley 13/1994, de 1 de Junio, de Autonomía del Banco de España”) y cuadragésimo octava (“Modificación de la Ley 25/1990, de 20 de diciembre, del Medicamento. Ingresos por volumen de ventas del Sistema Nacional de Salud”), las cuales, a juicio de los Diputados recurrentes, carecen de la necesaria conexión con los presupuestos generales del ejercicio y, por tanto, de un razón legitimadora para formar parte de su contenido eventual, con vulneración, por esta razón, de los arts. 9.3, 66.2 y 134.2, todos ellos de la Constitución, y también, en el caso de la disposición adicional trigésima cuarta, con vulneración del art. 137.7 CE. Para el Abogado del Estado, sin embargo, todas las disposiciones adicionales impugnadas encuadran en el contenido eventual o posible de la Ley de presupuestos por guardar la necesaria conexión con las previsiones de ingresos, con las autorizaciones de gasto del ejercicio, con la política económica del Gobierno o por servir a la mayor inteligencia y mejor ejecución del presupuesto.</w:t>
      </w:r>
    </w:p>
    <w:p w:rsidR="0085709A" w:rsidRDefault="0085709A" w:rsidP="0085709A">
      <w:pPr>
        <w:pStyle w:val="TextoNormal"/>
      </w:pPr>
    </w:p>
    <w:p w:rsidR="0085709A" w:rsidRDefault="0085709A" w:rsidP="0085709A">
      <w:pPr>
        <w:pStyle w:val="TextoNormal"/>
      </w:pPr>
      <w:r>
        <w:t xml:space="preserve">a) Efectos de la modificación sobre el objeto. Antes de resolver las cuestiones que se someten a la consideración de este Tribunal en este nuevo bloque, debe precisarse que algunas de las disposiciones afectadas por la ley impugnada han sido posteriormente modificadas o, incluso, derogadas. Así ha sucedido con la disposición adicional trigésimo cuarta, que modificaba algunos preceptos del Real Decreto Legislativo 1/2004, de 5 de marzo, por el que se aprueba el texto refundido de la Ley del catastro inmobiliario, y, entre ellos, a su disposición transitoria primera, que se ha visto posteriormente afectada, primero, por la Ley 36/2006, de 29 de noviembre, de medidas para la prevención del fraude fiscal, luego, por la Ley 16/2007, de 4 de julio, de reforma y adaptación de la legislación mercantil en materia contable para su armonización internacional con base en la normativa de la Unión Europea, y, en fin, finalmente, por la Ley 34/2007, de 15 de noviembre, de calidad del aire y protección de atmósfera. Lo mismo ha ocurrido con la disposición adicional trigésima novena que modificaba, entre otros, el art. 18 de la Ley 41/1999, de 12 de noviembre, sobre sistemas de pagos y liquidación de valores, luego modificado por la Ley 16/2009, de 13 de noviembre, de servicios de pago. Y, en fin, la disposición adicional trigésima modificaba la Ley 18/2001, de 12 de diciembre, general de estabilidad presupuestaria, norma esta que ha sido posteriormente derogada por el Real Decreto Legislativo 2/2007, de 28 de diciembre, por el </w:t>
      </w:r>
      <w:r>
        <w:lastRenderedPageBreak/>
        <w:t>que se aprobaba el texto refundido de la Ley general de estabilidad presupuestaria, el cual, a su vez, ha sido derogado por la Ley Orgánica 2/2012, de 27 de abril, de estabilidad presupuestaria y sostenibilidad financiera.</w:t>
      </w:r>
    </w:p>
    <w:p w:rsidR="0085709A" w:rsidRDefault="0085709A" w:rsidP="0085709A">
      <w:pPr>
        <w:pStyle w:val="TextoNormal"/>
      </w:pPr>
    </w:p>
    <w:p w:rsidR="0085709A" w:rsidRDefault="0085709A" w:rsidP="0085709A">
      <w:pPr>
        <w:pStyle w:val="TextoNormal"/>
      </w:pPr>
      <w:r>
        <w:t>Pues bien, como hemos señalado en el fundamento jurídico 1, el hecho de que las normas impugnadas hayan sido posteriormente modificadas o derogadas no priva de objeto al presente recurso, en lo que a ellas se refiere, en la medida que al imputársele “como vicio la afectación del contenido posible de la Ley impugnada, subsiste el interés constitucional de velar por el recto ejercicio de la potestad legislativa” [SSTC 136/2011, de 13 de septiembre, FJ 2; 86/2013, de 11 de abril, FJ 2; 132/2013, de 5 de junio, FJ 2; y 217/2013, de 19 de diciembre, FJ 5 c)].</w:t>
      </w:r>
    </w:p>
    <w:p w:rsidR="0085709A" w:rsidRDefault="0085709A" w:rsidP="0085709A">
      <w:pPr>
        <w:pStyle w:val="TextoNormal"/>
      </w:pPr>
    </w:p>
    <w:p w:rsidR="0085709A" w:rsidRDefault="0085709A" w:rsidP="0085709A">
      <w:pPr>
        <w:pStyle w:val="TextoNormal"/>
      </w:pPr>
      <w:r>
        <w:t>b) Contenido eventual de la Ley de presupuestos generales del Estado. Debemos recordar una vez más que, como tantas veces hemos señalado, la Ley de presupuestos generales del Estado puede tener un doble contenido: un contenido esencial, mínimo y necesario, constituido tanto por la previsión de ingresos y habilitación de gastos para un ejercicio económico, como por las normas de naturaleza financiera que desarrollan y aclaran los estados cifrados, y un contenido eventual o disponible, que se concreta en aquellas otras disposiciones que, aun no constituyendo una previsión de ingresos o habilitación de gastos, sí guardan una relación directa con los ingresos o gastos del Estado, responden a los criterios de política económica del Gobierno o, en fin, se dirigen a una mayor inteligencia o mejor ejecución del presupuesto [por todas, SSTC 3/2003, de 16 de enero, FJ 4; 238/2007, de 21 de noviembre, FJ 4; 248/2007, de 13 de diciembre, FJ 4; 9/2013, de 28 de enero, FJ 3 b); y 217/2013, de 19 de diciembre, FJ 5 a)]. Esta limitación de contenido es una exigencia del principio de seguridad jurídica constitucionalmente garantizado (art. 9.3 CE), esto es, de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[por todas, SSTC 86/2013, de 11 de abril, FJ 3; y 217/2013, de 19 de diciembre, FJ 5 a)]. En consecuencia, para que una disposición pueda integrarse en el contenido eventual de la Ley de presupuestos salvando su legitimidad constitucional es necesario que guarde una conexión económica —relación directa con los ingresos o gastos del Estado o vehículo director de la política económica del Gobierno— o presupuestaria —para una mayor inteligencia o mejor ejecución del presupuesto— [SSTC 274/2000, de 15 de noviembre, FJ 4; 109/2001, de 26 de abril, FJ 5; 238/2007, de 21 de noviembre, FJ 4; 248/2007, de 13 de diciembre, FJ 4; 74/2011, de 19 de mayo, FJ 3; 9/2013, de 28 de enero, FJ 3 b), y 217/2013, de 19 de diciembre, FJ 5 a)].</w:t>
      </w:r>
    </w:p>
    <w:p w:rsidR="0085709A" w:rsidRDefault="0085709A" w:rsidP="0085709A">
      <w:pPr>
        <w:pStyle w:val="TextoNormal"/>
      </w:pPr>
    </w:p>
    <w:p w:rsidR="0085709A" w:rsidRDefault="0085709A" w:rsidP="0085709A">
      <w:pPr>
        <w:pStyle w:val="TextoNormal"/>
      </w:pPr>
      <w:r>
        <w:t xml:space="preserve">c) La disposición adicional vigesimoctava (“Declaración de interés general de determinadas obras de infraestructuras hidráulicas con destino a riego”) declara de interés general una serie de obras de infraestructura, con la siguiente declaración de utilidad pública habilitante de las expropiaciones necesarias y urgente ocupación de los bienes afectados. La declaración de utilidad pública de una infraestructura conlleva necesariamente que se consignen en el presupuesto los créditos necesarios para la ejecución de esas obras en los que también deben incluirse el montante de las indemnizaciones que deban afrontarse con motivo de la expropiación por exigencias del art. 33.3 CE. De ese modo, esta declaración de interés general, como presupuesto legal habilitante para proceder a una expropiación, no solo pone de manifiesto una conexión directa con los gastos del ejercicio, sino que, además, </w:t>
      </w:r>
      <w:r>
        <w:lastRenderedPageBreak/>
        <w:t>sirve a la mejor inteligencia del instrumento presupuesto para cuya ejecución se dicta [en el mismo sentido, STC 206/2013, de 5 de diciembre, FJ 3 c)]. Debe rechazarse, por tanto, que la disposición impugnada vulnere los arts. 9.3, 66.2 y 134.2, todos ellos de la Constitución.</w:t>
      </w:r>
    </w:p>
    <w:p w:rsidR="0085709A" w:rsidRDefault="0085709A" w:rsidP="0085709A">
      <w:pPr>
        <w:pStyle w:val="TextoNormal"/>
      </w:pPr>
    </w:p>
    <w:p w:rsidR="0085709A" w:rsidRDefault="0085709A" w:rsidP="0085709A">
      <w:pPr>
        <w:pStyle w:val="TextoNormal"/>
      </w:pPr>
      <w:r>
        <w:t>d) La disposición adicional trigésima (“Modificación de la Ley 18/2001, de 12 de diciembre, General de Estabilidad Presupuestaria”) introdujo una previsión en el art. 8 de la Ley 18/2001, de 12 de diciembre, en orden a la fijación del objetivo de estabilidad presupuestaria, conforme a la cual si el objetivo de estabilidad aprobado por el Congreso de los Diputados se rechazaba por el Senado, antes de que el Gobierno tuviese que remitir una nueva propuesta con otro objetivo de estabilidad, el Congreso podía mediante una nueva votación por mayoría simple, aprobar el citado objetivo.</w:t>
      </w:r>
    </w:p>
    <w:p w:rsidR="0085709A" w:rsidRDefault="0085709A" w:rsidP="0085709A">
      <w:pPr>
        <w:pStyle w:val="TextoNormal"/>
      </w:pPr>
    </w:p>
    <w:p w:rsidR="0085709A" w:rsidRDefault="0085709A" w:rsidP="0085709A">
      <w:pPr>
        <w:pStyle w:val="TextoNormal"/>
      </w:pPr>
      <w:r>
        <w:t>Nos encontramos ante una disposición de ordenación procedimental que se limita a arbitrar un trámite dirigido a concretar la forma de determinar el objetivo de estabilidad presupuestaria a cuyo cumplimiento se deben dirigir los presupuestos, por lo que es difícil apreciar la necesaria conexión económica —relación directa con los ingresos o gastos del Estado o vehículo director de la política económica del Gobierno— o presupuestaria —para una mayor inteligencia o mejor ejecución del presupuesto. Pero lo realmente definitivo es que esa ordenación procedimental afecta a la autonomía reglamentaria de la Cámara, ya que establece una regulación del procedimiento parlamentario de aprobación de los presupuestos generales que, por su incidencia en el proceso de elaboración legislativa queda reservada al desarrollo normativo de las propias Cámaras de acuerdo con el art. 72.1 CE o a la ley y, por tanto, queda al margen del limitado contenido material que el art. 134.2 CE reserva a la ley de presupuestos. Debe declararse, en consecuencia, que la disposición adicional trigésima de la Ley 2/2004, de 27 de diciembre, de presupuestos generales del Estado para 2005, es inconstitucional y nula por contradecir los arts. 9.3, 66.2 y 134.2, todos ellos de la Constitución.</w:t>
      </w:r>
    </w:p>
    <w:p w:rsidR="0085709A" w:rsidRDefault="0085709A" w:rsidP="0085709A">
      <w:pPr>
        <w:pStyle w:val="TextoNormal"/>
      </w:pPr>
    </w:p>
    <w:p w:rsidR="0085709A" w:rsidRDefault="0085709A" w:rsidP="0085709A">
      <w:pPr>
        <w:pStyle w:val="TextoNormal"/>
      </w:pPr>
      <w:r>
        <w:t xml:space="preserve">e) La disposición adicional trigésimo primera (“Modificación de la Ley 47/2003, de 26 de noviembre, General Presupuestaria”) modifica el art. 148 de la Ley 47/2003, de 26 de noviembre, para introducir una previsión en el proceso de fiscalización previa e intervención de los derechos e ingresos del tesoro público. Si con anterioridad a la modificación aquel precepto autorizaba a sustituir esa fiscalización previa e intervención “por las comprobaciones efectuadas en el ejercicio del control financiero permanente y la auditoría pública, salvo en los actos correspondientes a devoluciones de ingresos”, tras la modificación impugnada la excepción a esa sustitución en la fiscalización previa e intervención alcanza “a los actos de ordenación del pago y de pago material correspondientes a devoluciones de ingresos indebidos”. Como puede comprobarse, se trata de una medida que no solo carece de virtualidad para incidir en los límites materiales </w:t>
      </w:r>
      <w:r w:rsidRPr="0085709A">
        <w:rPr>
          <w:i/>
        </w:rPr>
        <w:t>ex</w:t>
      </w:r>
      <w:r>
        <w:t xml:space="preserve"> art. 134 CE que para las leyes de presupuestos ha declarado nuestra jurisprudencia constitucional [SSTC 61/1997, de 2 de marzo, FJ 2.b); 206/2013, de 5 de diciembre, FJ 3; y 217/2013, de 19 de diciembre, FJ 5 d)], sino que se dirige a una mejor ejecución del presupuesto, lo que impide apreciar la vulneración denunciada [en sentido similar, STC 206/2013, de 5 de diciembre, FJ 3 i)]. Por tal motivo, debe rechazarse que la disposición impugnada vulnere los arts. 9.3, 66.2 y 134.2, todos ellos de la Constitución.</w:t>
      </w:r>
    </w:p>
    <w:p w:rsidR="0085709A" w:rsidRDefault="0085709A" w:rsidP="0085709A">
      <w:pPr>
        <w:pStyle w:val="TextoNormal"/>
      </w:pPr>
    </w:p>
    <w:p w:rsidR="0085709A" w:rsidRDefault="0085709A" w:rsidP="0085709A">
      <w:pPr>
        <w:pStyle w:val="TextoNormal"/>
      </w:pPr>
      <w:r>
        <w:t xml:space="preserve">f) La disposición adicional trigésimo cuarta (“Modificación del texto refundido de la Ley del Catastro Inmobiliario, aprobado por Real Decreto Legislativo 1/2004, de 5 de marzo”) </w:t>
      </w:r>
      <w:r>
        <w:lastRenderedPageBreak/>
        <w:t>da nueva redacción a determinados preceptos del texto refundido de la Ley del catastro inmobiliario. En concreto, incluye (i) la consideración de bien inmueble al ámbito espacial de un derecho de superficie [art. 6.2 c)]; (ii) una regulación más precisa de los titulares catastrales y la atribución de titularidades en caso de concurrencia, así como la obligación de que consten en el catastro a los solos efectos de información respecto de las imputaciones de rentas inmobiliarias en el impuesto sobre la renta de las personas físicas, quienes ostenten sobre el bien inmueble un derecho real de disfrute sometido a dicha imputación (art. 9); (iii) la obligación del titular catastral de facilitar los datos identificativos de quienes ostenten sobre el bien inmueble un derecho real de disfrute sometido a la imputación de rentas inmobiliarias en el impuesto sobre la renta de las personas físicas (art. 13); (iv) la consideración de comunicación de la información con trascendencia catastral que debe remitir la Agencia Estatal de Administración Tributaria al Catastro con los datos identificativos y cuotas de participación de los titulares de derechos que recaigan sobre bienes inmuebles, obtenida a través de los procedimientos de aplicación de los tributos (art. 14); (v) la posibilidad de que quienes ostenten sobre el bien inmueble un derecho real de disfrute sometido a la imputación de rentas inmobiliarias en el impuesto sobre la renta de las personas físicas dirijan solicitudes al Catastro para que se haga constar la adquisición, existencia o cese de su derecho (art. 15); (vi) la obligación de declarar la constitución, modificación o adquisición de la titularidad de un derecho real de disfrute sometido a la imputación de rentas inmobiliarias en el impuesto sobre la renta de las personas físicas y de las cuotas de participación en caso de cotitularidades (art. 16); (vii) una regulación del momento de efectividad de la clasificación de los bienes inmuebles y de su valoración catastral (disposición transitoria primera); y (viii) la posibilidad de completar la descripción de los inmuebles inscritos con la información suministrada por la Agencia Estatal de la Administración tributaria relativas a las cotitularidades.</w:t>
      </w:r>
    </w:p>
    <w:p w:rsidR="0085709A" w:rsidRDefault="0085709A" w:rsidP="0085709A">
      <w:pPr>
        <w:pStyle w:val="TextoNormal"/>
      </w:pPr>
    </w:p>
    <w:p w:rsidR="0085709A" w:rsidRDefault="0085709A" w:rsidP="0085709A">
      <w:pPr>
        <w:pStyle w:val="TextoNormal"/>
      </w:pPr>
      <w:r>
        <w:t>Pues bien, no puede negarse que, al margen de que el régimen catastral, con carácter general, sirve de base a la aplicación de determinados tributos —como el impuesto sobre bienes inmuebles, el impuesto sobre el incremento del valor de los terrenos de naturaleza urbana, el impuesto sobre la renta de las personas físicas o el impuesto sobre el patrimonio— las concretas modificaciones incluidas en la ley de presupuestos impugnada tienen una relación directa con los ingresos del ejercicio, bien referido a la titularidad de derechos reales de disfrute sobre un bien inmueble sometido a la imputación de rentas inmobiliarias en el impuesto sobre la renta de las personas físicas; a la identificación y determinación de las respectivas cuotas en caso de cotitularidad de los derechos reales sobre los bienes inmuebles inscritos; o, en fin, a la propia valoración catastral de los bienes. Ello legitima constitucionalmente esta regulación para formar parte del contenido eventual de la ley de presupuestos.</w:t>
      </w:r>
    </w:p>
    <w:p w:rsidR="0085709A" w:rsidRDefault="0085709A" w:rsidP="0085709A">
      <w:pPr>
        <w:pStyle w:val="TextoNormal"/>
      </w:pPr>
    </w:p>
    <w:p w:rsidR="0085709A" w:rsidRDefault="0085709A" w:rsidP="0085709A">
      <w:pPr>
        <w:pStyle w:val="TextoNormal"/>
      </w:pPr>
      <w:r>
        <w:t xml:space="preserve">Por otra parte, la modificación que se opera sobre el apartado 2 del art. 6 del texto refundido de la Ley del catastro inmobiliario no afecta al concepto de bien inmueble (que se recoge en el apartado 1), como señalan los recurrentes, sino al de bienes que también tienen la consideración de inmuebles a efectos catastrales, limitándose a añadir al ámbito espacial de una concesión administrativa el de un derecho de superficie. No solo se trata, entonces, de una medida que carece de virtualidad para incidir en los límites materiales </w:t>
      </w:r>
      <w:r w:rsidRPr="0085709A">
        <w:rPr>
          <w:i/>
        </w:rPr>
        <w:t>ex</w:t>
      </w:r>
      <w:r>
        <w:t xml:space="preserve"> art. 134 CE que para las leyes de presupuestos ha declarado nuestra jurisprudencia constitucional [SSTC 61/1997, de 2 de marzo, FJ 2 b); 206/2013, de 5 de diciembre, FJ 3, y 217/2013, de 19 de diciembre, FJ 5 d)], sino que consiste en una mera adecuación circunstancial de un aspecto </w:t>
      </w:r>
      <w:r>
        <w:lastRenderedPageBreak/>
        <w:t>concreto de una clase de bien inmueble que de ninguna manera incide en la prohibición prevista en el art. 134.7 CE.</w:t>
      </w:r>
    </w:p>
    <w:p w:rsidR="0085709A" w:rsidRDefault="0085709A" w:rsidP="0085709A">
      <w:pPr>
        <w:pStyle w:val="TextoNormal"/>
      </w:pPr>
    </w:p>
    <w:p w:rsidR="0085709A" w:rsidRDefault="0085709A" w:rsidP="0085709A">
      <w:pPr>
        <w:pStyle w:val="TextoNormal"/>
      </w:pPr>
      <w:r>
        <w:t>Debe rechazarse que la disposición impugnada vulnere los arts. 9.3, 66.2, 134.2 y 134.7, todos ellos de la Constitución.</w:t>
      </w:r>
    </w:p>
    <w:p w:rsidR="0085709A" w:rsidRDefault="0085709A" w:rsidP="0085709A">
      <w:pPr>
        <w:pStyle w:val="TextoNormal"/>
      </w:pPr>
    </w:p>
    <w:p w:rsidR="0085709A" w:rsidRDefault="0085709A" w:rsidP="0085709A">
      <w:pPr>
        <w:pStyle w:val="TextoNormal"/>
      </w:pPr>
      <w:r>
        <w:t>g) La disposición adicional trigésimo novena (“Modificación de la Ley 41/1999, de 12 de noviembre, sobre sistemas de pagos y liquidación de valores”) y la disposición adicional cuadragésima (“Modificación de la Ley 13/1994, de 1 de junio, de Autonomía del Banco de España”) modifican, respectivamente la Ley 41/1999, de 12 de noviembre, y la Ley 13/1994, de 1 de junio, con el fin de establecer una nueva regulación del sistema de pagos y liquidación de valores, conforme al cual desaparecería el Servicio Español de Pagos Interbancario y la gestión del Sistema Nacional de Compensación Electrónica, que hasta entonces estaba atribuido al Banco de España, se traspasa a una sociedad privada denominada “Sociedad Española de Sistemas de Pago, Sociedad Anónima”; asumiendo el Banco de España una serie de funciones para regular los sistemas de compensación y liquidación de pagos y, más concretamente, para desarrollar o completar los actos jurídicos dictados por el Banco Central Europeo y para incorporar las recomendaciones de los organismos internacionales.</w:t>
      </w:r>
    </w:p>
    <w:p w:rsidR="0085709A" w:rsidRDefault="0085709A" w:rsidP="0085709A">
      <w:pPr>
        <w:pStyle w:val="TextoNormal"/>
      </w:pPr>
    </w:p>
    <w:p w:rsidR="0085709A" w:rsidRDefault="0085709A" w:rsidP="0085709A">
      <w:pPr>
        <w:pStyle w:val="TextoNormal"/>
      </w:pPr>
      <w:r>
        <w:t>Esta regulación tenía como objeto el profundizar en el proceso de liberalización y privatización del sistema de pagos en España para conseguir una mejor posición de este sistema a nivel europeo en la senda de las recomendaciones del Comité de Sistemas de Liquidación y Pagos sobre los sistemas de pagos al por menor para que se dé preferencia en su gestión a los mecanismos del mercado, reservándose los bancos centrales nacionales la vigilancia de estos sistemas. Igualmente, la sustitución en la gestión directa de este sistema tenía como efecto una supresión de los costes de funcionamiento del Banco de España que solo se reservaba la labor de control, pero se liberaba de todos los gastos de infraestructura técnica de su funcionamiento que era asumida por una empresa cuyo presupuesto era sufragado por los participantes del propio sistema.</w:t>
      </w:r>
    </w:p>
    <w:p w:rsidR="0085709A" w:rsidRDefault="0085709A" w:rsidP="0085709A">
      <w:pPr>
        <w:pStyle w:val="TextoNormal"/>
      </w:pPr>
    </w:p>
    <w:p w:rsidR="0085709A" w:rsidRDefault="0085709A" w:rsidP="0085709A">
      <w:pPr>
        <w:pStyle w:val="TextoNormal"/>
      </w:pPr>
      <w:r>
        <w:t xml:space="preserve">De ese modo, no cabe dudar que las modificaciones operadas por las disposiciones adicionales trigésima novena y cuadragésima impugnadas carecen de virtualidad para incidir en los límites materiales </w:t>
      </w:r>
      <w:r w:rsidRPr="0085709A">
        <w:rPr>
          <w:i/>
        </w:rPr>
        <w:t>ex</w:t>
      </w:r>
      <w:r>
        <w:t xml:space="preserve"> art. 134 CE que para las leyes de presupuestos ha declarado nuestra jurisprudencia constitucional [SSTC 61/1997, de 20 de marzo, FJ 2 b); 206/2013, de 5 de diciembre, FJ 3, y 217/2013, de 19 de diciembre, FJ 5 d)] al tener una relación directa no solo con objetivos de política económica sino también una conexión directa con los gastos del ejercicio. En el contexto de esta normativa, la regulación de aspectos organizativos y de atribución de competencias tanto relativos al Banco de España como a la Sociedad Española de Sistemas de Pago no puede tampoco ser considerada contraria a los límites materiales de las leyes de presupuestos, ya que resultan accesorios y necesarios habida cuenta de la unidad sistemática que exige una regulación de estas características, respetándose en todo caso la autonomía de funcionamiento del Banco de España en tanto que ningún condicionante se establece respecto de la función de control sobre el Sistema Nacional de Compensación Electrónica que legalmente se le atribuye.</w:t>
      </w:r>
    </w:p>
    <w:p w:rsidR="0085709A" w:rsidRDefault="0085709A" w:rsidP="0085709A">
      <w:pPr>
        <w:pStyle w:val="TextoNormal"/>
      </w:pPr>
    </w:p>
    <w:p w:rsidR="0085709A" w:rsidRDefault="0085709A" w:rsidP="0085709A">
      <w:pPr>
        <w:pStyle w:val="TextoNormal"/>
      </w:pPr>
      <w:r>
        <w:t>Por tanto, debe rechazarse que las disposiciones impugnadas vulneren los arts. 9.3, 66.2 y 134.2, todos ellos de la Constitución.</w:t>
      </w:r>
    </w:p>
    <w:p w:rsidR="0085709A" w:rsidRDefault="0085709A" w:rsidP="0085709A">
      <w:pPr>
        <w:pStyle w:val="TextoNormal"/>
      </w:pPr>
    </w:p>
    <w:p w:rsidR="0085709A" w:rsidRDefault="0085709A" w:rsidP="0085709A">
      <w:pPr>
        <w:pStyle w:val="TextoNormal"/>
      </w:pPr>
      <w:r>
        <w:t>h) La disposición adicional cuadragésimo octava (“Modificación de la Ley 25/1990, de 20 de diciembre, del Medicamento. Ingresos por volumen de ventas al Sistema Nacional de Salud”), añade una nueva disposición adicional novena a la Ley 25/1990, de 20 de diciembre, conforme a la cual se concretan los ingresos que deben efectuarse por los empresarios, grupos empresariales, fabricantes e importadores de medicamentos y sustancias medicinales, tanto en el tesoro público como en la caja del Instituto de Salud Carlos III, en función del volumen de ventas al Sistema Nacional de Salud. No es difícil apreciar, en consecuencia, la legitimidad constitucional de esta disposición para integrarse en el contenido eventual de la ley de presupuestos fruto de su relación directa con los ingresos del Estado (conexión económica). También debe rechazarse que la disposición impugnada vulnere los arts. 9.3, 66.2, 134.2 y 134.7, todos ellos de la Constitución, desde esta concreta perspectiva.</w:t>
      </w:r>
    </w:p>
    <w:p w:rsidR="0085709A" w:rsidRDefault="0085709A" w:rsidP="0085709A">
      <w:pPr>
        <w:pStyle w:val="TextoNormal"/>
      </w:pPr>
    </w:p>
    <w:p w:rsidR="0085709A" w:rsidRDefault="0085709A" w:rsidP="0085709A">
      <w:pPr>
        <w:pStyle w:val="TextoNormal"/>
      </w:pPr>
      <w:r w:rsidRPr="0085709A">
        <w:rPr>
          <w:rStyle w:val="NumeroAFNegritaCaracter"/>
        </w:rPr>
        <w:t>4</w:t>
      </w:r>
      <w:r>
        <w:t>. ENMIENDAS QUE PROVOCAN ALTAS Y BAJAS DE CUANTÍAS EN LA SECCIÓN 31 (GASTOS DE DIVERSOS MINISTERIOS). El siguiente bloque de preceptos impugnados afecta a las  como contra las secciones duodécima (Asuntos Exteriores y Cooperación en los servicios 01 y 04), decimotercera (Justicia en los servicios 02, 03 y 04), decimocuarta (Defensa en los servicios 03, 11, 16 y 21), decimoquinta (Economía y Hacienda en el servicio 08), decimosexta (Interior en los servicios 01, 02, 03, 04 y 05), decimoséptima (Fomento en los servicios 38 y 01), décima octava (Educación y Ciencia en los servicios 02, 03 y 10), decimonovena (Trabajo y Asuntos Sociales en los servicios 01, 04 y 07), vigésima (Industria, Turismo y Comercio en los servicios 01, 05 y 06), vigesimoprimera (Agricultura, Pesca y Alimentación en el servicio 01), vigesimosegunda (Administraciones Públicas en el servicio 01), vigesimotercera (Medio Ambiente en el servicio 01), vigesimocuarta (Cultura en los servicios 02, 03 y 04), vigesimoquinta (Presidencia en los servicios 01, 02 y 03), vigesimosexta (Sanidad y Consumo en los servicios 03, 09 y 13) y vigesimoséptima (Vivienda en el servicio 09). Esta vez la razón de la impugnación se encuentra, según los Diputados recurrentes, en la vulneración del art. 134.1, 6 y 7 CE, y del art. 133.3 del Reglamento del Congreso de los Diputados, por haberse admitido a trámite, aprobado e incorporado al texto del proyecto, las enmiendas núms. 1707 a 1722, y 1977 (de los Grupos Parlamentarios Socialista, Esquerra Republicana, Izquierda Unida e IU-Iniciativa por Cataluña-Verdes), que han implicado bajas en diversas secciones y servicios con las correlativas altas en la sección trigésima primera.</w:t>
      </w:r>
    </w:p>
    <w:p w:rsidR="0085709A" w:rsidRDefault="0085709A" w:rsidP="0085709A">
      <w:pPr>
        <w:pStyle w:val="TextoNormal"/>
      </w:pPr>
    </w:p>
    <w:p w:rsidR="0085709A" w:rsidRDefault="0085709A" w:rsidP="0085709A">
      <w:pPr>
        <w:pStyle w:val="TextoNormal"/>
      </w:pPr>
      <w:r>
        <w:t>a) Uso fraudulento de la sección trigésimo primera. A juicio de los recurrentes se ha producido una utilización fraudulenta de la sección trigésimo primera como paso intermedio para redistribuir entre secciones, con violación del art. 133.3 del Reglamento del Congreso, pudiendo haber provocado que el legislador haya visto reducida su capacidad de examen de la norma de que se trata, de formulación de enmiendas, y de discusión y votación en Pleno y Comisiones, restringiéndose con ello de forma ilegítima sus competencias. Para el Letrado de las Cortes Generales, la naturaleza de la sección trigésima primera ha venido admitiendo, como práctica parlamentaria la formulación de enmiendas que proponen el alta en cualquier sección compensándola con una baja en la sección trigésima primera y viceversa. En la misma línea se manifiesta el Abogado del Estado para quien, dejando a un lado que los recurrentes no han denunciado siquiera la alteración, sustancial o no, de la formación de la voluntad de la Cámara, si se admite como posibilidad la baja en la sección trigésima primera, no se sabe qué razón habría para excluir sus aumentos.</w:t>
      </w:r>
    </w:p>
    <w:p w:rsidR="0085709A" w:rsidRDefault="0085709A" w:rsidP="0085709A">
      <w:pPr>
        <w:pStyle w:val="TextoNormal"/>
      </w:pPr>
    </w:p>
    <w:p w:rsidR="0085709A" w:rsidRDefault="0085709A" w:rsidP="0085709A">
      <w:pPr>
        <w:pStyle w:val="TextoNormal"/>
      </w:pPr>
      <w:r>
        <w:lastRenderedPageBreak/>
        <w:t>Sobre este particular hay que arrancar recordando que, de conformidad con el art. 40 de la Ley 47/2003, de 26 de noviembre, general presupuestaria, la clasificación orgánica del estado de gastos de los presupuestos agrupará por secciones y servicios “los créditos asignados a los distintos centros gestores de gasto de los órganos con dotación diferenciada en los presupuestos” (apartado 1). Cada sección incorpora, entonces, las autorizaciones de gasto de cada centro gestor, esto es, entre otros, tanto de los órganos constitucionales como de cada Departamento ministerial, incorporándose además a los presupuestos generales una sección que da cobertura a las necesidades imprevistas del ejercicio y que bajo el número 31 se rotula “Gastos de Diversos Ministerios”.</w:t>
      </w:r>
    </w:p>
    <w:p w:rsidR="0085709A" w:rsidRDefault="0085709A" w:rsidP="0085709A">
      <w:pPr>
        <w:pStyle w:val="TextoNormal"/>
      </w:pPr>
    </w:p>
    <w:p w:rsidR="0085709A" w:rsidRDefault="0085709A" w:rsidP="0085709A">
      <w:pPr>
        <w:pStyle w:val="TextoNormal"/>
      </w:pPr>
      <w:r>
        <w:t>Pues bien, el art. 133 del Reglamento del Congreso de los Diputados prescribe que “las enmiendas al proyecto de Ley de Presupuestos Generales del Estado que supongan aumento de créditos en algún concepto únicamente podrán ser admitidas a trámite si, además de cumplir los requisitos generales, proponen una baja de igual cuantía en la misma” (apartado 3). Al amparo de esta previsión, los Diputados recurrente sostienen que existe una práctica parlamentaria que acepta excepcionalmente que puedan aprobarse enmiendas que impliquen transferencias desde la sección trigésima primera a otras Secciones presupuestarias, al entender que su contenido puede redistribuirse entre todas las Secciones, práctica que no puede extenderse, a su juicio, a la operación contraria, esto es, a la de inflar artificialmente dicha sección para posteriormente trasladar su contenido a créditos de otras secciones.</w:t>
      </w:r>
    </w:p>
    <w:p w:rsidR="0085709A" w:rsidRDefault="0085709A" w:rsidP="0085709A">
      <w:pPr>
        <w:pStyle w:val="TextoNormal"/>
      </w:pPr>
    </w:p>
    <w:p w:rsidR="0085709A" w:rsidRDefault="0085709A" w:rsidP="0085709A">
      <w:pPr>
        <w:pStyle w:val="TextoNormal"/>
      </w:pPr>
      <w:r>
        <w:t>Una vez más debemos señalar que, al margen de si la redacción del art. 133 del Reglamento del Congreso permite o no la señalada práctica parlamentaria en un sentido, en otro, o en ambos, lo cierto es que no basta con denunciar la existencia de un eventual incumplimiento de alguna previsión de los Reglamento de las Cámaras para deducir, sin más, la inconstitucionalidad de la norma impugnada, pues “la inobservancia de los preceptos que regulan el procedimiento legislativo podría viciar de inconstitucionalidad la ley cuando esa inobservancia altere de modo sustancial el proceso de formación de voluntad en el seno de las Cámaras” [SSTC 136/2011, de 13 de septiembre, FJ 6; 176/2011, de 8 de noviembre, FJ 4; 204/2011, de 15 de diciembre, FJ 4; 102/2012, de 8 de mayo, FJ 3; 209/2012, de 14 de noviembre, FJ 4.c); 36/2013, de 14 de febrero, FJ 3, y 132/2013, de 5 de junio, FJ 3]. No es suficiente, en consecuencia, “cualquier vicio o inobservancia de los previstos en las normas que regulan el procedimiento parlamentario para declarar la eventual inconstitucionalidad de la norma o disposición con que se pone fin al mismo”, pues “tal inconstitucionalidad sólo se producirá si el vicio o inobservancia denunciada afecta esencialmente al proceso de formación de la voluntad de los parlamentarios, de modo que solo los vicios o defectos más graves provocan un déficit democrático en el proceso de elaboración de una norma que podría conducir a su declaración de inconstitucionalidad” (SSTC 136/2011, de 13 de septiembre, FJ 9; y 102/2012, de 8 de mayo, FJ 3). Sin embargo, en el presente caso no se acredita que el eventual vicio procedimental haya afectado y de forma esencial, al proceso de formación de voluntad de la Cámara, limitándose a plantear, como hipótesis, que el legislador podría haber visto reducida su capacidad de examen de la norma, cuando “a efectos de una eventual declaración de inconstitucionalidad, lo relevante es determinar las consecuencias que la inobservancia del procedimiento haya podido tener sobre el proceso de formación de la voluntad en el seno de las Cámaras” (STC 204/2011, de 15 de diciembre, FJ 4).</w:t>
      </w:r>
    </w:p>
    <w:p w:rsidR="0085709A" w:rsidRDefault="0085709A" w:rsidP="0085709A">
      <w:pPr>
        <w:pStyle w:val="TextoNormal"/>
      </w:pPr>
    </w:p>
    <w:p w:rsidR="0085709A" w:rsidRDefault="0085709A" w:rsidP="0085709A">
      <w:pPr>
        <w:pStyle w:val="TextoNormal"/>
      </w:pPr>
      <w:r>
        <w:lastRenderedPageBreak/>
        <w:t>En consecuencia, debe rechazarse la vulneración del art. 134.1, 6 y 7 CE, y del art. 133 del Reglamento del Congreso de los Diputados, por las Secciones presupuestarias impugnadas.</w:t>
      </w:r>
    </w:p>
    <w:p w:rsidR="0085709A" w:rsidRDefault="0085709A" w:rsidP="0085709A">
      <w:pPr>
        <w:pStyle w:val="TextoNormal"/>
      </w:pPr>
    </w:p>
    <w:p w:rsidR="0085709A" w:rsidRDefault="0085709A" w:rsidP="0085709A">
      <w:pPr>
        <w:pStyle w:val="TextoNormal"/>
      </w:pPr>
      <w:r>
        <w:t>b) Discriminación y arbitrariedad por la aceptación de las enmiendas de otros Grupos Parlamentarios. En el recurso se argumenta que con la incorporación de las enmiendas identificadas anteriormente, no solo se ha violado el principio de igualdad (art. 14 CE) entre los grupos parlamentarios que integran el Congreso de los Diputados, sino también el principio de interdicción de la arbitrariedad (art. 9.3 CE), por el interés puramente parcial de unos grupos políticos, a la vista de las dificultades parlamentarias para efectuar una tramitación de los presupuestos generales del Estado ajustada al bloque de constitucionalidad.</w:t>
      </w:r>
    </w:p>
    <w:p w:rsidR="0085709A" w:rsidRDefault="0085709A" w:rsidP="0085709A">
      <w:pPr>
        <w:pStyle w:val="TextoNormal"/>
      </w:pPr>
    </w:p>
    <w:p w:rsidR="0085709A" w:rsidRDefault="0085709A" w:rsidP="0085709A">
      <w:pPr>
        <w:pStyle w:val="TextoNormal"/>
      </w:pPr>
      <w:r>
        <w:t>En el desarrollo de esta invocación no se ha satisfecho la carga de argumentar los vicios denunciados que pesa sobre los recurrentes [SSTC 19/2013, de 31 de enero, FJ 2 f); y 64/2013, de 14 de marzo, FJ 6]. En efecto, cuando lo que está en juego es la depuración del ordenamiento jurídico, es carga de los recurrentes no solo la de abrir la vía para que el Tribunal pueda pronunciarse, sino también la de colaborar con la justicia del Tribunal mediante un pormenorizado análisis de las graves cuestiones que se suscitan. Es justo, pues, hablar de una carga del recurrente y en los casos en que ésta no se atiende, de una falta de diligencia procesalmente exigible, como es la de ofrecer la fundamentación que razonablemente es de esperar (por todas, STC 16/2003, de 30 de enero, FJ 9).</w:t>
      </w:r>
    </w:p>
    <w:p w:rsidR="0085709A" w:rsidRDefault="0085709A" w:rsidP="0085709A">
      <w:pPr>
        <w:pStyle w:val="TextoNormal"/>
      </w:pPr>
    </w:p>
    <w:p w:rsidR="0085709A" w:rsidRDefault="0085709A" w:rsidP="0085709A">
      <w:pPr>
        <w:pStyle w:val="TextoNormal"/>
      </w:pPr>
      <w:r>
        <w:t>En particular, es claro que la presunción de constitucionalidad de las normas con rango de ley no puede desvirtuarse sin un mínimo de argumentación y no caben impugnaciones globales y carentes de una razón suficientemente desarrollada (por todas, STC 16/2003, de 30 de enero, FJ 9), como sucede en el presente supuesto donde la demanda se limita a alegar que el acto de aprobación de una serie de enmiendas vulnera los principios de igualdad y de interdicción de la arbitrariedad, pero sin especificar, de un lado, por qué razón ello supone un acto discriminatorio, más allá del hecho de haber sido rechazadas en vía parlamentaria otras enmiendas, y, de otro, por qué razón el contenido de las Secciones impugnadas es de una arbitrariedad de tal magnitud que merece el reproche máximo que se le puede hacer al fruto del legislador democrático: la declaración de su inconstitucionalidad.</w:t>
      </w:r>
    </w:p>
    <w:p w:rsidR="0085709A" w:rsidRDefault="0085709A" w:rsidP="0085709A">
      <w:pPr>
        <w:pStyle w:val="TextoNormal"/>
      </w:pPr>
    </w:p>
    <w:p w:rsidR="0085709A" w:rsidRDefault="0085709A" w:rsidP="0085709A">
      <w:pPr>
        <w:pStyle w:val="TextoNormal"/>
      </w:pPr>
      <w:r>
        <w:t>No es posible apreciar, entonces, que las secciones presupuestarias impugnadas vulneren los arts. 9.3 y 14, ambos de la Constitución.</w:t>
      </w:r>
    </w:p>
    <w:p w:rsidR="0085709A" w:rsidRDefault="0085709A" w:rsidP="0085709A">
      <w:pPr>
        <w:pStyle w:val="TextoNormal"/>
      </w:pPr>
    </w:p>
    <w:p w:rsidR="0085709A" w:rsidRDefault="0085709A" w:rsidP="0085709A">
      <w:pPr>
        <w:pStyle w:val="TextoNormal"/>
      </w:pPr>
      <w:r w:rsidRPr="0085709A">
        <w:rPr>
          <w:rStyle w:val="NumeroAFNegritaCaracter"/>
        </w:rPr>
        <w:t>5</w:t>
      </w:r>
      <w:r>
        <w:t>. DESCUENTO EN FUNCIÓN DEL VOLUMEN DE VENTAS DE MEDICAMENTOS AL SISTEMA NACIONAL DE SALUD. En último lugar, resta por analizar la disposición adicional cuadragésimo octava (“Modificación de la Ley 25/1990, de 20 de diciembre, del Medicamento. Ingresos por volumen de ventas al Sistema Nacional de Salud”), aunque esta vez por vulneración de los arts. 9.3 CE (interdicción de arbitrariedad), 31.3 CE (reserva de ley en materia tributaria) y 134.7 CE (prohibición de crear tributos por la Ley de presupuestos generales del Estado).</w:t>
      </w:r>
    </w:p>
    <w:p w:rsidR="0085709A" w:rsidRDefault="0085709A" w:rsidP="0085709A">
      <w:pPr>
        <w:pStyle w:val="TextoNormal"/>
      </w:pPr>
    </w:p>
    <w:p w:rsidR="0085709A" w:rsidRDefault="0085709A" w:rsidP="0085709A">
      <w:pPr>
        <w:pStyle w:val="TextoNormal"/>
      </w:pPr>
      <w:r>
        <w:t xml:space="preserve">En el recurso se alega que con esta regulación se establece una prestación patrimonial de carácter público (ingresos por volumen de ventas al Sistema Nacional de Salud) que implica la imposición unilateral de una obligación de pago por parte del poder público sin el concurso de la voluntad del sujeto llamado a satisfacerla incidiendo, por tanto, en la reserva de </w:t>
      </w:r>
      <w:r>
        <w:lastRenderedPageBreak/>
        <w:t>ley en materia tributaria (arts. 31.3 y 133.1, ambos de la Constitución), en la prohibición constitucional de establecer tributos por la Ley de presupuestos (art. 134.7 CE) y en la prohibición de arbitrariedad (art. 9.3 CE). Igualmente, se alega que la disposición impugnada desconoce el art. 4 de la Directiva 89/105/CEE del Consejo, de 21 de diciembre de 1988, relativa a la transparencia de las medidas que regulan la fijación de precios de los medicamentos para uso humano, pues debía haberse comunicado a la Comisión Europea el establecimiento de aquella medida y no consta que esta circunstancia se haya producido.</w:t>
      </w:r>
    </w:p>
    <w:p w:rsidR="0085709A" w:rsidRDefault="0085709A" w:rsidP="0085709A">
      <w:pPr>
        <w:pStyle w:val="TextoNormal"/>
      </w:pPr>
    </w:p>
    <w:p w:rsidR="0085709A" w:rsidRDefault="0085709A" w:rsidP="0085709A">
      <w:pPr>
        <w:pStyle w:val="TextoNormal"/>
      </w:pPr>
      <w:r>
        <w:t>a) Efectos de la modificación sobre el objeto. Debe precisarse, antes que nada, que la disposición impugnada modificaba la Ley 25/1990, de 20 de diciembre, del medicamento, que luego ha sido derogada por la Ley 29/2006, de 26 de julio, de garantías y uso racional de los medicamentos, y esta Ley, en lo que al objeto del proceso se refiere, posteriormente ha sido modificada, primero, por la Ley 28/2009, de 30 de diciembre, de modificación de la Ley 29/2006, de 26 de julio, de garantías y uso racional de los medicamentos y productos sanitarios, luego, por el Real Decreto-ley 4/2010, de 26 de marzo, de racionalización del gasto farmacéutico con cargo al Sistema Nacional de Salud, y, finalmente, por el Real Decreto-ley 16/2012, de 20 de abril, de medidas urgentes para garantizar la sostenibilidad del Sistema Nacional de Salud y mejorar la calidad y seguridad de sus prestaciones. Ahora bien, como ya hemos tenido oportunidad de señalar, esta circunstancia no hace decaer el objeto del presente proceso constitucional sobre este particular en la medida que, puesto que lo que se cuestiona es la regulación que se hace mediante ley de presupuestos, imputándose como vicio de inconstitucionalidad el empleo de este vehículo normativo, no cabe duda de que “subsiste el interés constitucional de velar por el recto ejercicio de la potestad legislativa” [SSTC 136/2011, de 13 de septiembre, FJ 2; 86/2013, de 11 de abril, FJ 2; 132/2013, de 5 de junio, FJ 2, y 217/2013, de 19 de diciembre, FJ 5 c)].</w:t>
      </w:r>
    </w:p>
    <w:p w:rsidR="0085709A" w:rsidRDefault="0085709A" w:rsidP="0085709A">
      <w:pPr>
        <w:pStyle w:val="TextoNormal"/>
      </w:pPr>
    </w:p>
    <w:p w:rsidR="0085709A" w:rsidRDefault="0085709A" w:rsidP="0085709A">
      <w:pPr>
        <w:pStyle w:val="TextoNormal"/>
      </w:pPr>
      <w:r>
        <w:t>b) Exclusión del control del Derecho comunitario. Debe descartarse, también el control de una eventual contradicción entre la disposición impugnada y el art. 4 de la Directiva 89/105/CEE del Consejo, de 21 de diciembre de 1988, relativa a la transparencia de las medidas que regulan la fijación de precios de los medicamentos para uso humano. Sin perjuicio del valor interpretativo que el Derecho comunitario pueda tener en la exégesis de la normativa interna, cumple recordar una vez más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(SSTC 239/2012, de 13 de diciembre, FJ 5; 19/2013, de 31 de enero, FJ 2; 51/2013, de 28 de febrero, FJ 6, y 64/2013, de 14 de marzo, FJ 4).</w:t>
      </w:r>
    </w:p>
    <w:p w:rsidR="0085709A" w:rsidRDefault="0085709A" w:rsidP="0085709A">
      <w:pPr>
        <w:pStyle w:val="TextoNormal"/>
      </w:pPr>
    </w:p>
    <w:p w:rsidR="0085709A" w:rsidRDefault="0085709A" w:rsidP="0085709A">
      <w:pPr>
        <w:pStyle w:val="TextoNormal"/>
      </w:pPr>
      <w:r>
        <w:t xml:space="preserve">c) Evolución legislativa: Una vez hechas las precisiones que anteceden en necesario recordar que la Ley 2/2004, de 27 de diciembre, de presupuestos generales del Estado para 2005, a través de la disposición adicional cuadragésimo octava ahora impugnada, introdujo una nueva disposición adicional novena en la Ley 25/1990, de 20 de diciembre, del medicamento, que bajo el título de “[i]ngresos de los empresarios, grupos empresariales, fabricantes e importadores de medicamentos y sustancias medicinales por descuentos por volumen de ventas al Sistema Nacional de Salud”, estableció la obligación para las personas físicas, los grupos empresariales y cualesquiera otras personas jurídicas que se dediquen a la fabricación o importación de medicamentos, sustancias medicinales y cualesquiera otros productos sanitarios que se dispensen en territorio nacional a través de receta oficial del </w:t>
      </w:r>
      <w:r>
        <w:lastRenderedPageBreak/>
        <w:t>Sistema Nacional de Salud, de ingresar con carácter cuatrimestral, entre el 1,5 (para ventas de hasta 3 millones de euros) hasta el 5 por 100 (para ventas superiores a 300 millones de euros), del volumen cuatrimestral de ventas.</w:t>
      </w:r>
    </w:p>
    <w:p w:rsidR="0085709A" w:rsidRDefault="0085709A" w:rsidP="0085709A">
      <w:pPr>
        <w:pStyle w:val="TextoNormal"/>
      </w:pPr>
    </w:p>
    <w:p w:rsidR="0085709A" w:rsidRDefault="0085709A" w:rsidP="0085709A">
      <w:pPr>
        <w:pStyle w:val="TextoNormal"/>
      </w:pPr>
      <w:r>
        <w:t>La anterior cantidad resultante se corrige mediante la aplicación de un porcentaje (de entre el 0 y el 25 por 100) en función de la valoración de las compañías en el marco de la acción PROFARMA (programa que tiene como objetivo aumentar la competitividad de la industria farmacéutica en España, a través de la modernización del sector y la potenciación de aquellas actividades que aportan un mayor valor añadido). Además, se obliga a ingresar de forma anticipada, en función de las ventas del ejercicio inmediatamente anterior, la cantidad que el Ministerio de Sanidad y Consumo comunique al fabricante o importador afectado. Esta disposición adicional novena de la Ley 25/1990, de 30 de diciembre, fue modificada posteriormente por la disposición adicional sexta de la Ley 29/2006, de 26 de julio, de garantías y uso racional de los medicamentos, concretando el porcentaje aplicable al volumen cuatrimestral de ventas entre el 1,5 (para ventas de hasta 3 millones de euros) y el 2 por 100 (para ventas superiores a 3 millones de euros).</w:t>
      </w:r>
    </w:p>
    <w:p w:rsidR="0085709A" w:rsidRDefault="0085709A" w:rsidP="0085709A">
      <w:pPr>
        <w:pStyle w:val="TextoNormal"/>
      </w:pPr>
    </w:p>
    <w:p w:rsidR="0085709A" w:rsidRDefault="0085709A" w:rsidP="0085709A">
      <w:pPr>
        <w:pStyle w:val="TextoNormal"/>
      </w:pPr>
      <w:r>
        <w:t>d) Reserva de ley en materia de prestaciones patrimoniales de carácter público. Aun cuando la Constitución autoriza el establecimiento de prestaciones patrimoniales de carácter público, no lo hace de cualquier manera, sino “con arreglo a la ley” (art. 31.3 CE). Con esta previsión el Texto Constitucional está consagrando el principio de reserva de ley, de manera que el establecimiento de cualquier prestación patrimonial, de naturaleza tributaria o no, debe hacerse por la propia ley o con arreglo a lo dispuesto en la misma. Ahora bien, de la misma manera que la Constitución ha sometido al imperio de la ley, con carácter general, el establecimiento de prestaciones patrimoniales de carácter público, cuando se trata de prestaciones patrimoniales de naturaleza tributaria ha condicionado los instrumentos normativos a través de los cuales se puede cumplir con aquella reserva pues no solo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w:t>
      </w:r>
    </w:p>
    <w:p w:rsidR="0085709A" w:rsidRDefault="0085709A" w:rsidP="0085709A">
      <w:pPr>
        <w:pStyle w:val="TextoNormal"/>
      </w:pPr>
    </w:p>
    <w:p w:rsidR="0085709A" w:rsidRDefault="0085709A" w:rsidP="0085709A">
      <w:pPr>
        <w:pStyle w:val="TextoNormal"/>
      </w:pPr>
      <w:r>
        <w:t xml:space="preserve">Con independencia del </w:t>
      </w:r>
      <w:r w:rsidRPr="0085709A">
        <w:rPr>
          <w:i/>
        </w:rPr>
        <w:t>nomen iuris</w:t>
      </w:r>
      <w:r>
        <w:t xml:space="preserve"> empleado por el legislador (descuentos por volumen de ventas) es preciso subrayar que las prestaciones patrimoniales de carácter público tienen cada una de ellas la naturaleza propia y específica que les corresponda de acuerdo con su presupuesto de hecho y en función de su configuración y estructura jurídica, no pudiendo hacerse depender, en ningún caso, de la mera denominación que el legislador, a su discreción, les asigne (en sentido parecido, SSTC 296/1994, de 10 de noviembre, FJ 4; 164/1995, de 13 de noviembre, FJ 4; 185/1995, de 5 de diciembre, FJ 6; 134/1996, de 22 de julio, FJ 6; 276/2000, de 16 de noviembre, FJ 3; 102/2005, de 20 de abril, FJ 4; 121/2005, de 10 de mayo, FJ 5, y 73/2011, de 19 de mayo, FJ 4). De esta manera, son prestaciones patrimoniales de carácter público las impuestas coactivamente, esto es, las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(SSTC 185/1995, de 14 de diciembre, FJ 3; 182/1997, de 28 de octubre, FJ 15, y 233/1999, de 16 de diciembre, FJ 33). Para determinar cuándo puede considerarse </w:t>
      </w:r>
      <w:r>
        <w:lastRenderedPageBreak/>
        <w:t>que una prestación patrimonial resulta coactivamente impuesta es necesario concretar, en primer lugar, “si el supuesto de hecho que da lugar a la obligación ha sido o no realizado de forma libre y espontánea por el sujeto obligado” [STC 185/1995, de 5 de diciembre, FJ 3 a)], y, en segundo lugar, si la libertad o la espontaneidad exigida en la realización del supuesto de hecho y en la decisión de obligarse es real y efectiva [STC 185/1995, de 5 de diciembre, FJ 3 b)]. Eso sí, calificada una determinada prestación como patrimonial de carácter público, además, tendrá naturaleza tributaria si, habiendo sido coactivamente impuesta, “se satisfacen, directa o indirectamente, a los entes públicos con la finalidad de contribuir al sostenimiento de los gastos públicos” (SSTC 182/1997, de 28 de octubre, FJ 15, y 102/2005, de 20 de abril, FJ 6), sometiendo a gravamen un presupuesto de hecho o hecho imponible revelador de capacidad económica (SSTC 276/2000, de 16 de diciembre, FJ 4, y 193/2004, de 4 de noviembre, FJ 4).</w:t>
      </w:r>
    </w:p>
    <w:p w:rsidR="0085709A" w:rsidRDefault="0085709A" w:rsidP="0085709A">
      <w:pPr>
        <w:pStyle w:val="TextoNormal"/>
      </w:pPr>
    </w:p>
    <w:p w:rsidR="0085709A" w:rsidRDefault="0085709A" w:rsidP="0085709A">
      <w:pPr>
        <w:pStyle w:val="TextoNormal"/>
      </w:pPr>
      <w:r>
        <w:t>e) Naturaleza de los ingresos por descuentos en el volumen de ventas al Sistema Nacional de Salud. De conformidad con la anterior doctrina, debemos ahora examinar la verdadera naturaleza jurídica de la prestación aquí controvertida. En este sentido, lo primero que debemos señalar es que los “[i]ngresos de los empresarios, grupos empresariales, fabricantes e importadores de medicamentos y sustancias medicinales por descuentos por volumen de ventas al Sistema Nacional de Salud” previstos en la disposición adicional controvertida, se enmarcan en el ejercicio de una actividad que forma parte de un sector regulado por el Estado, en lo que ahora interesa, tanto en la fijación de los precios de las especialidades farmacéuticas, como en la determinación de los márgenes comerciales de las oficinas de farmacia que las dispensan y que, además, lo es respecto de todos los sujetos obligados a que se refiere la disposición impugnada. A esos efectos, debe destacarse que tanto en el art. 1 de la entonces vigente Ley 25/1990 de 20 de diciembre, como de la actual Ley 29/2006, de 26 de julio, cuando se establece el ámbito de aplicación subjetivo de la normativa referida a los productos farmacéuticos este no queda limitado a su prescripción y dispensación, sino que se extiende a la labor de investigación clínica, su evaluación, autorización, registro, fabricación, elaboración, control de calidad, almacenamiento, distribución, circulación, trazabilidad, comercialización, información y publicidad, importación y exportación, de modo tal que se regula también la actuación de las personas físicas o jurídicas en cuanto intervienen en la circulación industrial o comercial, además de en la prescripción o dispensación de los medicamentos y productos sanitarios.</w:t>
      </w:r>
    </w:p>
    <w:p w:rsidR="0085709A" w:rsidRDefault="0085709A" w:rsidP="0085709A">
      <w:pPr>
        <w:pStyle w:val="TextoNormal"/>
      </w:pPr>
    </w:p>
    <w:p w:rsidR="0085709A" w:rsidRDefault="0085709A" w:rsidP="0085709A">
      <w:pPr>
        <w:pStyle w:val="TextoNormal"/>
      </w:pPr>
      <w:r>
        <w:t xml:space="preserve">De acuerdo con su presupuesto de hecho y en función de la configuración y estructura jurídica que le ha dado el legislador, el controvertido descuento reviste la naturaleza de una prestación pecuniaria (aplicada a la facturación al Sistema Nacional de Salud), impuesta coactiva y unilateralmente por el poder público (las Cortes Generales), que se satisface a un ente público (el Ministerio de Sanidad y Consumo), sin la concurrencia de la voluntad del sujeto obligado a su pago (los empresarios, grupos empresariales, fabricantes e importadores de medicamentos y sustancias medicinales), donde el supuesto de hecho que da lugar al mismo (la fabricación o importación de medicamentos, sustancias medicinales y cualesquiera otros productos sanitarios que se dispensen en territorio nacional a través de receta oficial del Sistema Nacional de Salud) no se realiza de forma libre y espontánea por el sujeto obligado (pues tanto el art. 3 de la Ley 25/1990, de 20 de diciembre, del medicamento, como el art. 2 de la vigente Ley 29/2006, de 26 de julio, de garantías y uso racional de los medicamentos y productos sanitarios, obligan, entre otros, a los laboratorios, importadores y mayoristas a suministrar o a dispensar los medicamentos que se les soliciten en las condiciones </w:t>
      </w:r>
      <w:r>
        <w:lastRenderedPageBreak/>
        <w:t>legal y reglamentariamente establecidas y a los responsables de la producción y distribución a respetar el principio de continuidad en la prestación del servicio a la comunidad) y en el que la prestación debida tiene una inequívoca finalidad de interés público (la contención urgente del gasto público farmacéutico).</w:t>
      </w:r>
    </w:p>
    <w:p w:rsidR="0085709A" w:rsidRDefault="0085709A" w:rsidP="0085709A">
      <w:pPr>
        <w:pStyle w:val="TextoNormal"/>
      </w:pPr>
    </w:p>
    <w:p w:rsidR="0085709A" w:rsidRDefault="0085709A" w:rsidP="0085709A">
      <w:pPr>
        <w:pStyle w:val="TextoNormal"/>
      </w:pPr>
      <w:r>
        <w:t>Si contrastamos las características citadas con la doctrina constitucional anteriormente extractada relativa a las prestaciones patrimoniales de carácter público, y como hemos señalado recientemente con relación a la deducción sobre la facturación mensual de cada oficina de farmacia por las recetas de especialidades farmacéuticas dispensadas con cargo a fondos de la Seguridad Social o a fondos estatales afectos a la sanidad, no es difícil concluir que aun cuando “nos encontramos ante una prestación impuesta que queda sometida al principio de reserva de ley consagrado en el art. 31.3 CE”, sin embargo, “no toda prestación impuesta tiene que ser necesariamente una expresión concreta del deber de contribuir del art. 31.1 CE, como sucede cuando con ella no se persigue derechamente buscar una nueva forma de allegar medios económicos con los que financiar el gasto público, aunque tenga como efecto económico indirecto el de servir también a dicha financiación. Pueden existir medidas, entonces, en las que, aun siendo prestaciones impuestas, su finalidad principal, como sostiene el Abogado del Estado, no sea la de establecer un tributo, esto es, una nueva forma de ingreso público con la que coadyuvar a la financiación de gasto del gasto público, sino que pretenda efectuar una asignación de los recursos públicos que responda a los criterios de eficiencia y de economía (art. 31.2 CE). En efecto, con la deducción controvertida el Estado no ha recurrido a su poder tributario (art. 133.1 CE) para establecer una nueva forma de contribución al sostenimiento de los gastos públicos (art. 31.1 CE), sino que ha puesto su poder de gasto al servicio de una concreta política farmacéutica no solo con la finalidad de garantizar un uso racional del medicamento (art. 43 CE), sino con el objetivo de llevar a cabo una adecuada y razonable distribución de unos recursos públicos escasos frente a necesidades de protección siempre crecientes (art. 31.2 CE)” [STC 83/2014, de 29 de mayo, FJ 3].</w:t>
      </w:r>
    </w:p>
    <w:p w:rsidR="0085709A" w:rsidRDefault="0085709A" w:rsidP="0085709A">
      <w:pPr>
        <w:pStyle w:val="TextoNormal"/>
      </w:pPr>
    </w:p>
    <w:p w:rsidR="0085709A" w:rsidRDefault="0085709A" w:rsidP="0085709A">
      <w:pPr>
        <w:pStyle w:val="TextoNormal"/>
      </w:pPr>
      <w:r>
        <w:t xml:space="preserve">Conforme a lo que antecede, los sujetos obligados a soportar la prestación impuesta —en este caso las personas físicas, los grupos empresariales y las personas jurídicas no integradas en ellos que se dediquen en España a la fabricación o importación de medicamentos, sustancias medicinales y cualesquiera otros productos sanitarios que se dispensen en territorio nacional a través de receta oficial del Sistema Nacional de Salud— no son llamados a su cumplimiento como contribuyentes, en el ámbito de una nueva relación tributaria, en la que el Estado se erija en el sujeto activo y estos obligados en el sujeto pasivo, sino que lo son en el seno de la relación económica que les une al Estado, de la que surgen tanto derechos como cargas que asumir. Como hemos señalado con anterioridad, la deducción controvertida se enmarca en el ejercicio de una actividad que forma parte de un sector regulado por el Estado que, en lo que ahora interesa, alcanza a la fijación de los precios de las especialidades farmacéuticas financiadas con cargo al Sistema Nacional de Salud. En efecto, las personas físicas, jurídicas y grupos empresariales fabricantes o importadores de medicamentos, sustancias medicinales o cualesquiera otros productos, son un agente imprescindible en la realización de la asistencia farmacéutica que sirve a la garantía de la protección de la salud pública (arts. 43.2 y 51.1 CE). Por este motivo, el Estado, en el ejercicio de sus competencias exclusivas en relación a las bases y coordinación general de la sanidad y a la legislación sobre los productos farmacéuticos (art. 149.1.16 CE), en la normativa entonces vigente sometía a autorización las especialidades farmacéuticas objeto de comercialización </w:t>
      </w:r>
      <w:r>
        <w:lastRenderedPageBreak/>
        <w:t>[art. 9 de la Ley 25/1990, de 20 de diciembre, del medicamento (en lo sucesivo, LM)], decidía los medicamentos que formarán parte de la prestación farmacéutica del Sistema Nacional de Salud (art. 94.1 LM), obligaba a colaborar con el Sistema Nacional de Salud en el desempeño de la prestación farmacéutica (arts. 3.1 LM) y a la dispensación de los medicamentos que se les solicite (art. 3 LM), fijaba el precio industrial y el de venta al público de las especialidades farmacéuticas financiadas con cargo a fondos de la Seguridad Social o a fondos estatales afectos a la sanidad (art. 100 LM), sometía a los medicamentos a un sistema de precios de referencia (art. 169.4 de la Ley 13/1996, de 30 de diciembre, de medidas fiscales, administrativas y del orden social), y, en fin, en lo que a la dispensación de especialidades farmacéuticas con cargo a fondos públicos se refiere, vino a imponer un descuento en función del volumen de facturación al Sistema Nacional de Salud (disposición adicional cuadragésimo octava de la Ley 2/2004, de 27 de diciembre, de presupuestos generales del Estado para 2005).</w:t>
      </w:r>
    </w:p>
    <w:p w:rsidR="0085709A" w:rsidRDefault="0085709A" w:rsidP="0085709A">
      <w:pPr>
        <w:pStyle w:val="TextoNormal"/>
      </w:pPr>
    </w:p>
    <w:p w:rsidR="0085709A" w:rsidRDefault="0085709A" w:rsidP="0085709A">
      <w:pPr>
        <w:pStyle w:val="TextoNormal"/>
      </w:pPr>
      <w:r>
        <w:t>De esta manera, el Estado, para garantizar la protección de la salud pública (arts. 43.2 y 51.1 CE) y en el ejercicio de sus competencias exclusivas sobre productos farmacéuticos (art. 149.1.16 CE), no solo puede obligar a las empresas farmacéuticas y a las oficinas de farmacia (como establecimientos sanitarios privados de interés público) a abastecer, suministrar y dispensar, a través del Sistema Nacional de Salud, los medicamentos, sustancias medicinales y productos necesarios para proteger la salud pública, en general, y la atención primaria a la salud de los ciudadanos, en particular, sino que puede actuar tanto sobre el precio de los medicamentos como sobre el coste que para aquel Sistema Nacional tienen los medicamentos, para imponer, incluso, un descuento (</w:t>
      </w:r>
      <w:r w:rsidRPr="0085709A">
        <w:rPr>
          <w:i/>
        </w:rPr>
        <w:t>rappel</w:t>
      </w:r>
      <w:r>
        <w:t>) en función del volumen de ventas, por el consiguiente interés público que subyace a la prestación farmacéutica. Y la determinación de un descuento en función del volumen de ventas de especialidades farmacéuticas al Sistema Nacional de Salud, “por mucho que con la misma se consiga como efecto económico indirecto el de la financiación del gasto público, no puede considerarse que afecte al deber de ‘todos’ de contribuir al sostenimiento de los gastos públicos (art. 31.1 CE)” (STC 83/2014, de 29 de mayo, FJ 3).</w:t>
      </w:r>
    </w:p>
    <w:p w:rsidR="0085709A" w:rsidRDefault="0085709A" w:rsidP="0085709A">
      <w:pPr>
        <w:pStyle w:val="TextoNormal"/>
      </w:pPr>
    </w:p>
    <w:p w:rsidR="0085709A" w:rsidRDefault="0085709A" w:rsidP="0085709A">
      <w:pPr>
        <w:pStyle w:val="TextoNormal"/>
      </w:pPr>
      <w:r>
        <w:t>En suma, el descuento controvertido que se establece a las personas físicas, los grupos empresariales y las personas jurídicas no integradas en ellos que se dediquen en España a la fabricación o importación de medicamentos, sustancias medicinales y cualesquiera otros productos sanitarios que se dispensen en territorio nacional a través de receta oficial del Sistema Nacional de Salud en función de su volumen de ventas, al igual que ya se afirmó en relación con la deducción que se aplica a la facturación mensual de las oficina de farmacia por las recetas de especialidades farmacéuticas dispensadas con cargo a fondos de la Seguridad Social o a fondos estatales afectos a la sanidad, es una obligación impuesta coactiva y unilateralmente por el poder público con una evidente finalidad de interés público, por lo que reviste la naturaleza de una prestación patrimonial de carácter público que queda sometida en su establecimiento y configuración al principio de reserva de ley operante en la materia (art. 31.3 CE). “Ahora bien, dicha prestación carece de naturaleza tributaria, pues con ella no se pretende establecer una nueva forma de ingreso público con la que coadyuvar a la financiación del gasto público, sino racionalizar el gasto farmacéutico mediante una asignación eficiente y económica de los recursos públicos disponibles (art. 31.2 CE)” (STC 83/2014, de 29 de mayo, FJ 3).</w:t>
      </w:r>
    </w:p>
    <w:p w:rsidR="0085709A" w:rsidRDefault="0085709A" w:rsidP="0085709A">
      <w:pPr>
        <w:pStyle w:val="TextoNormal"/>
      </w:pPr>
    </w:p>
    <w:p w:rsidR="0085709A" w:rsidRDefault="0085709A" w:rsidP="0085709A">
      <w:pPr>
        <w:pStyle w:val="TextoNormal"/>
      </w:pPr>
      <w:r>
        <w:lastRenderedPageBreak/>
        <w:t>Una vez alcanzada la conclusión de que el descuento por volumen de ventas al Sistema Nacional de Salud tiene la naturaleza de una prestación patrimonial de carácter público, pero no de naturaleza tributaria, nuestro siguiente paso debe dirigirse a concretar si es factible, desde un punto de vista constitucional, su establecimiento a través de la Ley de presupuestos generales del Estado.</w:t>
      </w:r>
    </w:p>
    <w:p w:rsidR="0085709A" w:rsidRDefault="0085709A" w:rsidP="0085709A">
      <w:pPr>
        <w:pStyle w:val="TextoNormal"/>
      </w:pPr>
    </w:p>
    <w:p w:rsidR="0085709A" w:rsidRDefault="0085709A" w:rsidP="0085709A">
      <w:pPr>
        <w:pStyle w:val="TextoNormal"/>
      </w:pPr>
      <w:r>
        <w:t>Sobre este particular, es necesario insistir, una vez más, que la reserva de ley tributaria (arts. 31.3 y 133.1, ambos de la CE) se ve reforzada por la prohibición atinente a la ley de presupuestos de no crear o modificar tributos (art. 134.7 CE). En efecto, el art. 134.7 de la Constitución dispone que “[l]a Ley de Presupuestos no puede crear tributos”, aunque sí “[p]odrá modificarlos cuando una Ley tributaria sustantiva así lo prevea”. Con esta previsión, aunque «prohíbe indiscriminadamente la creación de tributos en la ley de presupuestos, permite su modificación, aunque se trate de alteraciones sustanciales y profundas del impuesto, siempre que exista una norma adecuada que lo prevé» (STC 27/1981, de 20 de julio, FJ 2). Esta prohibición constitucional no solo deriva del condicionamiento a que somete el art. 134 CE a los presupuestos generales como vehículo de dirección y orientación de la política económica del Gobierno y, por tanto, con una función específica y constitucionalmente definida, sino también de las restricciones impuestas a su tramitación parlamentaria (fundamentalmente en los trámites de enmienda y debate) por los Reglamentos de las Cámaras (entre muchas, SSTC 27/1981, de 20 de julio, FJ 2; 274/2000, de 15 de noviembre, FJ 4; 109/2001, de 26 de abril, FJ 5; y 67/2002, de 21 de marzo, FJ 3).</w:t>
      </w:r>
    </w:p>
    <w:p w:rsidR="0085709A" w:rsidRDefault="0085709A" w:rsidP="0085709A">
      <w:pPr>
        <w:pStyle w:val="TextoNormal"/>
      </w:pPr>
    </w:p>
    <w:p w:rsidR="0085709A" w:rsidRDefault="0085709A" w:rsidP="0085709A">
      <w:pPr>
        <w:pStyle w:val="TextoNormal"/>
      </w:pPr>
      <w:r>
        <w:t>Pues bien, basta con acudir a la tramitación parlamentaria del Texto Constitucional para comprobar cómo, de un lado, el art. 26.2 del Anteproyecto de Constitución solo habilitaba a establecer “prestaciones personales o patrimoniales con arreglo a una ley” y, de otro, el art. 124.6 impedía a la ley de presupuestos “crear nuevos impuestos” [“Boletín Oficial de las Cortes” núm. 44, 5 de enero de 1978, pág. 690], siendo el informe de la ponencia (que aceptó la enmienda núm. 779 del Grupo de Unión de Centro Democrático) el que cambió la expresión “impuestos” por la más genérica de “tributos”, para pasar a disponer que “[l]a Ley de Presupuestos no puede crear ni modificar tributos” [“Boletín Oficial de las Cortes” núm. 82, 17 de abril de 1978, pág. 1594]. Posteriormente, en el Dictamen de la Comisión de Asuntos Constitucionales y Libertades Públicas, el art. 124.6 pasó a ser el art. 128, cuyo apartado 6, rezaba que “[l]a ley de presupuestos no puede crear tributos. Podrá modificarlos cuando una ley tributaria sustantiva así lo prevea” [“Boletín Oficial de las Cortes” núm. 121, 1 de julio de 1978, pág. 2613], numeración y redacción que conservaría en el texto del Proyecto de Constitución aprobado por el Pleno del Congreso de los Diputados [“Boletín Oficial de las Cortes” núm. 135, 24 de julio de 1978, pág. 2967], que pasaría a ser el art. 133.7 en el dictamen de la Comisión de Constitución del Senado [“Boletín Oficial de las Cortes” núm. 157, 6 de octubre de 1978, pág. 3438] y el art. 134.7 en el Dictamen de la Comisión Mixta Congreso-Senado [“Boletín Oficial de las Cortes” núm. 170, 28 de octubre de 1978, pág. 3724].</w:t>
      </w:r>
    </w:p>
    <w:p w:rsidR="0085709A" w:rsidRDefault="0085709A" w:rsidP="0085709A">
      <w:pPr>
        <w:pStyle w:val="TextoNormal"/>
      </w:pPr>
    </w:p>
    <w:p w:rsidR="0085709A" w:rsidRDefault="0085709A" w:rsidP="0085709A">
      <w:pPr>
        <w:pStyle w:val="TextoNormal"/>
      </w:pPr>
      <w:r>
        <w:t xml:space="preserve">Según lo que antecede y dado que no puede efectuarse una lectura expansiva de los límites que la Constitución impone a la ley de presupuestos, debe señalarse que cuando el art. 134.7 CE prohíbe a la ley de presupuestos “crear tributos” está poniendo en conexión esta limitación con el deber de contribuir al que hace referencia el art. 31.1 CE y con la potestad originaria del Estado para crear tributos por ley del art. 133.1 CE, sin que haya pretendido extender esa prohibición a cualquier “prestación patrimonial de carácter público” a las que </w:t>
      </w:r>
      <w:r>
        <w:lastRenderedPageBreak/>
        <w:t>se refiere el art. 31.3 CE. Dicho de otra manera, cuando el Constituyente consideró inhábil el instrumento presupuestario para introducir nuevos “tributos” en el ordenamiento o para modificar los existentes (sin previa habilitación legal al respecto), era consciente de la existencia de una reserva de ley en materia de “prestaciones patrimoniales de carácter público” (art. 31.3 CE), y, sin embargo, no quiso extender aquella limitación a toda clase de prestación patrimonial de carácter público, sino únicamente a las de naturaleza tributaria, quedando legitimadas las restantes prestaciones patrimoniales no tributarias para formar parte del contenido eventual de la ley de presupuestos, claro está, siempre y cuando, guarden la necesaria conexión económica —relación directa con los ingresos o gastos del Estado o vehículo director de la política económica del Gobierno— o presupuestaria —para una mayor inteligencia o mejor ejecución del presupuesto— con el instrumento presupuestario.</w:t>
      </w:r>
    </w:p>
    <w:p w:rsidR="0085709A" w:rsidRDefault="0085709A" w:rsidP="0085709A">
      <w:pPr>
        <w:pStyle w:val="TextoNormal"/>
      </w:pPr>
    </w:p>
    <w:p w:rsidR="0085709A" w:rsidRDefault="0085709A" w:rsidP="0085709A">
      <w:pPr>
        <w:pStyle w:val="TextoNormal"/>
      </w:pPr>
      <w:r>
        <w:t xml:space="preserve">En suma, aun cuando la disposición adicional cuadragésimo octava de la Ley 2/2004, de 27 de diciembre, de presupuestos generales del Estado para 2005, ha introducido en el ordenamiento, </w:t>
      </w:r>
      <w:r w:rsidRPr="0085709A">
        <w:rPr>
          <w:i/>
        </w:rPr>
        <w:t>ex novo</w:t>
      </w:r>
      <w:r>
        <w:t>, una prestación patrimonial de carácter público, al no tener naturaleza tributaria, no puede considerarse que haya transgredido la prohibición prevista en el apartado 7 del art. 134 CE, ni, por tanto, la reserva de ley del art. 31.3 CE ni la garantía de la interdicción de arbitrariedad del art. 9.3 CE.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parcialmente el recurso de inconstitucionalidad núm. 1955-2005 promovido por 85 Diputados del Grupo Parlamentario Popular en el Congreso de los Diputados contra diversos preceptos de la Ley 2/2004, de 27 de diciembre, de presupuestos generales del Estado para 2005, y, en consecuencia, declarar que:</w:t>
      </w:r>
    </w:p>
    <w:p w:rsidR="0085709A" w:rsidRDefault="0085709A" w:rsidP="0085709A">
      <w:pPr>
        <w:pStyle w:val="TextoNormal"/>
      </w:pPr>
    </w:p>
    <w:p w:rsidR="0085709A" w:rsidRDefault="0085709A" w:rsidP="0085709A">
      <w:pPr>
        <w:pStyle w:val="TextoNormal"/>
      </w:pPr>
      <w:r>
        <w:t>1º Es inconstitucional y nula la disposición adicional trigésima.</w:t>
      </w:r>
    </w:p>
    <w:p w:rsidR="0085709A" w:rsidRDefault="0085709A" w:rsidP="0085709A">
      <w:pPr>
        <w:pStyle w:val="TextoNormal"/>
      </w:pPr>
    </w:p>
    <w:p w:rsidR="0085709A" w:rsidRDefault="0085709A" w:rsidP="0085709A">
      <w:pPr>
        <w:pStyle w:val="TextoNormal"/>
      </w:pPr>
      <w:r>
        <w:t>2º Se desestima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8" w:name="SENTENCIA_2015_45"/>
      <w:r>
        <w:lastRenderedPageBreak/>
        <w:t>SENTENCIA 45/2015, de 5 de marzo de 2015</w:t>
      </w:r>
    </w:p>
    <w:bookmarkEnd w:id="48"/>
    <w:p w:rsidR="0085709A" w:rsidRDefault="0085709A" w:rsidP="0085709A">
      <w:pPr>
        <w:pStyle w:val="TtuloResolucin"/>
      </w:pPr>
      <w:r>
        <w:t>Pleno</w:t>
      </w:r>
    </w:p>
    <w:p w:rsidR="0085709A" w:rsidRDefault="0085709A" w:rsidP="0085709A">
      <w:pPr>
        <w:pStyle w:val="TtuloBOE"/>
      </w:pPr>
      <w:r>
        <w:t>(BOE núm. 85, de 9 de abril de 2015)</w:t>
      </w:r>
    </w:p>
    <w:p w:rsidR="0085709A" w:rsidRDefault="0085709A" w:rsidP="0085709A">
      <w:pPr>
        <w:pStyle w:val="TextoNormalCentrado"/>
      </w:pPr>
      <w:r>
        <w:t>ECLI:ES:TC:2015:45</w:t>
      </w:r>
    </w:p>
    <w:p w:rsidR="0085709A" w:rsidRDefault="0085709A" w:rsidP="0085709A">
      <w:pPr>
        <w:pStyle w:val="TextoNormalCentrado"/>
      </w:pPr>
    </w:p>
    <w:p w:rsidR="0085709A" w:rsidRDefault="0085709A" w:rsidP="0085709A">
      <w:pPr>
        <w:pStyle w:val="SntesisDescriptiva"/>
      </w:pPr>
      <w:r>
        <w:t>Conflicto positivo de competencia 7869-2009. Planteado por la Xunta de Galicia en relación con el Real Decreto 975/2009, de 12 de junio, sobre gestión de los residuos de las industrias extractivas y de protección y rehabilitación del espacio afectado por actividades mineras en su conjunto.</w:t>
      </w:r>
    </w:p>
    <w:p w:rsidR="0085709A" w:rsidRDefault="0085709A" w:rsidP="0085709A">
      <w:pPr>
        <w:pStyle w:val="SntesisDescriptiva"/>
      </w:pPr>
    </w:p>
    <w:p w:rsidR="0085709A" w:rsidRDefault="0085709A" w:rsidP="0085709A">
      <w:pPr>
        <w:pStyle w:val="SntesisAnaltica"/>
      </w:pPr>
      <w:r>
        <w:t>Competencias sobre minas y medio ambiente: adecuado ejercicio de las competencias básicas estatales.</w:t>
      </w:r>
    </w:p>
    <w:p w:rsidR="0085709A" w:rsidRDefault="0085709A" w:rsidP="0085709A">
      <w:pPr>
        <w:pStyle w:val="SntesisAnaltica"/>
      </w:pPr>
    </w:p>
    <w:p w:rsidR="0085709A" w:rsidRDefault="0085709A" w:rsidP="0085709A">
      <w:pPr>
        <w:pStyle w:val="Extracto"/>
      </w:pPr>
      <w:r>
        <w:t>1.</w:t>
      </w:r>
      <w:r>
        <w:tab/>
        <w:t>No basta la mera invocación formal de los preceptos impugnados en la demanda, ni la sola solicitud expresa de su declaración de inconstitucionalidad, para que el Tribunal Constitucional deba pronunciarse sobre todos y cada uno de ellos; es preciso, además, que en el cuerpo del recurso se contenga la argumentación específica o razonamientos que fundamenten la presunta contradicción de éstos con la Norma fundamental [SSTC 146/1994, 214/1994, 195/1998] [FJ 2].</w:t>
      </w:r>
    </w:p>
    <w:p w:rsidR="0085709A" w:rsidRDefault="0085709A" w:rsidP="0085709A">
      <w:pPr>
        <w:pStyle w:val="Extracto"/>
      </w:pPr>
    </w:p>
    <w:p w:rsidR="0085709A" w:rsidRDefault="0085709A" w:rsidP="0085709A">
      <w:pPr>
        <w:pStyle w:val="Extracto"/>
      </w:pPr>
      <w:r>
        <w:t>2.</w:t>
      </w:r>
      <w:r>
        <w:tab/>
        <w:t>El Real Decreto sobre gestión de los residuos de las industrias extractivas y de protección y rehabilitación del espacio afectado por actividades mineras en su conjunto incide, principalmente, en las explotaciones mineras y el medio ambiente; materias ambas cuya legislación básica es competencia estatal, debiendo atenderse tanto al sentido o finalidad de los varios títulos competenciales, como al carácter, sentido y finalidad de las disposiciones traídas al conflicto, es decir, el contenido del precepto controvertido (SSTC 153/1989, 97/1996, 236/2012) [FJ 3].</w:t>
      </w:r>
    </w:p>
    <w:p w:rsidR="0085709A" w:rsidRDefault="0085709A" w:rsidP="0085709A">
      <w:pPr>
        <w:pStyle w:val="Extracto"/>
      </w:pPr>
    </w:p>
    <w:p w:rsidR="0085709A" w:rsidRDefault="0085709A" w:rsidP="0085709A">
      <w:pPr>
        <w:pStyle w:val="Extracto"/>
      </w:pPr>
      <w:r>
        <w:t>3.</w:t>
      </w:r>
      <w:r>
        <w:tab/>
        <w:t>Los preceptos del Real Decreto en cuestión que regulan la entidad explotadora que realiza trabajos de rehabilitación no excluyen el ejercicio de las competencias medioambientales de la Comunidad Autónoma de Galicia, por lo que la remisión a leyes estatales no puede interpretarse como excluyente de la legislación autonómica de desarrollo [FJ 6].</w:t>
      </w:r>
    </w:p>
    <w:p w:rsidR="0085709A" w:rsidRDefault="0085709A" w:rsidP="0085709A">
      <w:pPr>
        <w:pStyle w:val="Extracto"/>
      </w:pPr>
    </w:p>
    <w:p w:rsidR="0085709A" w:rsidRDefault="0085709A" w:rsidP="0085709A">
      <w:pPr>
        <w:pStyle w:val="Extracto"/>
      </w:pPr>
      <w:r>
        <w:t>4.</w:t>
      </w:r>
      <w:r>
        <w:tab/>
        <w:t>La disposición de la norma impugnada referida a los inventarios no invade las competencias ejecutivas que tiene atribuida la Comunidad Autónoma de Galicia, sino que establece que la creación del inventario debe hacerse en colaboración con dicha Comunidad [FJ 6].</w:t>
      </w:r>
    </w:p>
    <w:p w:rsidR="0085709A" w:rsidRDefault="0085709A" w:rsidP="0085709A">
      <w:pPr>
        <w:pStyle w:val="Extracto"/>
      </w:pPr>
    </w:p>
    <w:p w:rsidR="0085709A" w:rsidRDefault="0085709A" w:rsidP="0085709A">
      <w:pPr>
        <w:pStyle w:val="Extracto"/>
      </w:pPr>
      <w:r>
        <w:t>5.</w:t>
      </w:r>
      <w:r>
        <w:tab/>
        <w:t>Los preceptos que regulan el diseño, objetivos y contenidos del plan de restauración y la inspección de las actividades establecen el alcance de lo básico como finalidad tuitiva de la norma, más que su nivel de concreción o detalle; de modo que el Real Decreto introduce garantías medioambientales sin excluir que las Comunidades Autónomas prevean otras [FJ 6].</w:t>
      </w:r>
    </w:p>
    <w:p w:rsidR="0085709A" w:rsidRDefault="0085709A" w:rsidP="0085709A">
      <w:pPr>
        <w:pStyle w:val="Extracto"/>
      </w:pPr>
    </w:p>
    <w:p w:rsidR="0085709A" w:rsidRDefault="0085709A" w:rsidP="0085709A">
      <w:pPr>
        <w:pStyle w:val="Extracto"/>
      </w:pPr>
      <w:r>
        <w:t>6.</w:t>
      </w:r>
      <w:r>
        <w:tab/>
        <w:t xml:space="preserve">La autorización del plan de restauración regulado en el Real Decreto consiste en un criterio coordinador con el que el Estado garantiza una mínima homogeneidad que compatibilice el desarrollo de las competencias autonómicas con la política </w:t>
      </w:r>
      <w:r>
        <w:lastRenderedPageBreak/>
        <w:t>medioambiental general, sin menoscabarlas; autorización que también puede entenderse como base del régimen minero y energético en consonancia, por tanto, con los criterios de economía procedimental que dinamizan el principio constitucional de eficacia [FJ 6].</w:t>
      </w:r>
    </w:p>
    <w:p w:rsidR="0085709A" w:rsidRDefault="0085709A" w:rsidP="0085709A">
      <w:pPr>
        <w:pStyle w:val="Extracto"/>
      </w:pPr>
    </w:p>
    <w:p w:rsidR="0085709A" w:rsidRDefault="0085709A" w:rsidP="0085709A">
      <w:pPr>
        <w:pStyle w:val="Extracto"/>
      </w:pPr>
      <w:r>
        <w:t>7.</w:t>
      </w:r>
      <w:r>
        <w:tab/>
        <w:t>La regulación del organismo de control contenida en el Real Decreto respeta la competencia de las Comunidades Autónomas para establecer su procedimiento de autorización, introduciendo un criterio mínimo de homogeneidad para compatibilizar aquella competencia autonómica con la política medioambiental general [FJ 6].</w:t>
      </w:r>
    </w:p>
    <w:p w:rsidR="0085709A" w:rsidRDefault="0085709A" w:rsidP="0085709A">
      <w:pPr>
        <w:pStyle w:val="Extracto"/>
      </w:pPr>
    </w:p>
    <w:p w:rsidR="0085709A" w:rsidRDefault="0085709A" w:rsidP="0085709A">
      <w:pPr>
        <w:pStyle w:val="Extracto"/>
      </w:pPr>
      <w:r>
        <w:t>8.</w:t>
      </w:r>
      <w:r>
        <w:tab/>
        <w:t>El régimen de garantías financieras a que se sujetan las entidades explotadoras debe reputarse básico y de competencia estatal, sin que ello obste al desarrollo normativo autonómico de mayores estándares de protección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conflicto positivo de competencia núm. 7869-2009, promovido por la Xunta de Galicia, en relación con el Real Decreto 975/2009, de 12 de junio, sobre gestión de los residuos de las industrias extractivas y de protección y rehabilitación del espacio afectado por actividades mineras en su conjunto. Ha comparecido y formulado alegaciones el Abogado del Estado.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presentado en el Registro General de este Tribunal el día 21 de septiembre de 2009, el Letrado de la Xunta de Galicia, en nombre y representación del Gobierno autonómico, interpone conflicto positivo de competencia frente al Real Decreto 975/2009, de 12 de junio, sobre gestión de los residuos de las industrias extractivas y de protección y rehabilitación del espacio afectado por actividades mineras. Solicita la declaración de inconstitucionalidad y nulidad del indicado Real Decreto y, subsidiariamente, de sus arts. 2 a 15, 17.2, 18.1 —números 1 y 2 del apartado b)—, 19 —apartados 3 y 4—, 22.3, </w:t>
      </w:r>
      <w:r>
        <w:lastRenderedPageBreak/>
        <w:t>24.2, 27.3, 28 —menos el párrafo primero—, 30.3, 31, 32 —apartados 2, 3 y 4—, 33 —apartados 3 y 4—, 36, 37.4 —párrafo segundo—, 38 —párrafo segundo—, 42 —apartados 2, 3 y 4—, 43 —apartados 3 y 4—, 44 a 46, así como las disposiciones adicionales segunda, tercera y cuarta, las disposiciones transitorias segunda y tercera y el anexo III. Todo ello por vulneración de la Constitución (arts. 9 y 149.1.23, 25 y 11), del Estatuto de Autonomía de Galicia (arts. 27.30 y 28.3) y de la Ley Orgánica 6/1999, de 6 de abril, de transferencia de competencias de desarrollo legislativo y ejecución en materia de ordenación del crédito, banca y seguros.</w:t>
      </w:r>
    </w:p>
    <w:p w:rsidR="0085709A" w:rsidRDefault="0085709A" w:rsidP="0085709A">
      <w:pPr>
        <w:pStyle w:val="TextoNormal"/>
      </w:pPr>
    </w:p>
    <w:p w:rsidR="0085709A" w:rsidRDefault="0085709A" w:rsidP="0085709A">
      <w:pPr>
        <w:pStyle w:val="TextoNormal"/>
      </w:pPr>
      <w:r>
        <w:t>El Letrado autonómico pone de manifiesto que el acuerdo del Consejo de Ministros de 28 de agosto de 2009 desestimó el requerimiento de incompetencia, aceptando sólo modificar la disposición adicional cuarta y el anexo V. A resultas de esta respuesta, la Xunta de Galicia ha excluido el anexo V de su petición subsidiaria de declaración de inconstitucionalidad y nulidad, pero la mantiene respecto de la disposición adicional cuarta; según afirma, el Consejo de Ministros solo alude a su modificación puntual en cuanto que menciona el anexo V, cuando lo requerido era su anulación completa.</w:t>
      </w:r>
    </w:p>
    <w:p w:rsidR="0085709A" w:rsidRDefault="0085709A" w:rsidP="0085709A">
      <w:pPr>
        <w:pStyle w:val="TextoNormal"/>
      </w:pPr>
    </w:p>
    <w:p w:rsidR="0085709A" w:rsidRDefault="0085709A" w:rsidP="0085709A">
      <w:pPr>
        <w:pStyle w:val="TextoNormal"/>
      </w:pPr>
      <w:r>
        <w:t>Seguidamente el Letrado expone los fundamentos jurídicos que sustentan el planteamiento del conflicto positivo de competencia:</w:t>
      </w:r>
    </w:p>
    <w:p w:rsidR="0085709A" w:rsidRDefault="0085709A" w:rsidP="0085709A">
      <w:pPr>
        <w:pStyle w:val="TextoNormal"/>
      </w:pPr>
    </w:p>
    <w:p w:rsidR="0085709A" w:rsidRDefault="0085709A" w:rsidP="0085709A">
      <w:pPr>
        <w:pStyle w:val="TextoNormal"/>
      </w:pPr>
      <w:r>
        <w:t>a) El Real Decreto 975/2009, de 12 de junio, nace bajo la premisa de incorporar al ordenamiento español la Directiva 2006/21/CE. Se refiere a la gestión de los residuos que derivan de las industrias extractivas así como a la protección y rehabilitación de las zonas afectadas por estas actividades. El Estado ha otorgado carácter básico a esta regulación apoyándose en sus competencias en materia de: a) medio ambiente (art. 149.1.23 CE), en general; b) minas (art. 149.1.25 CE), respecto de los arts. 2, 4, 5, 7, 8, 9, 10, 11, 13, 14, 15, 36, 44, 45 y 46, disposiciones adicionales tercera y cuarta y disposiciones transitorias segunda y tercera del Real Decreto impugnado; y c) seguros (art. 149.1.11 CE), con relación al título II de la disposición impugnada. El Gobierno se habría excedido en el ejercicio de sus competencias en estos ámbitos materiales, sin que el Derecho europeo pueda justificar la asunción por el Estado de competencias de las que no dispone. De ello sería indicativo la circunstancia de que el Estado haya reconocido que el anexo V contiene un excesivo desarrollo y concreción al dar respuesta al requerimiento previo de incompetencia; el grado de detalle de ese anexo no es esencialmente distinto del característico de toda la regulación a la que se refiere el presente conflicto competencial.</w:t>
      </w:r>
    </w:p>
    <w:p w:rsidR="0085709A" w:rsidRDefault="0085709A" w:rsidP="0085709A">
      <w:pPr>
        <w:pStyle w:val="TextoNormal"/>
      </w:pPr>
    </w:p>
    <w:p w:rsidR="0085709A" w:rsidRDefault="0085709A" w:rsidP="0085709A">
      <w:pPr>
        <w:pStyle w:val="TextoNormal"/>
      </w:pPr>
      <w:r>
        <w:t>Profundizando en este argumento, el Letrado de la Xunta destaca que el Real Decreto 975/2009 viene a unificar y mejorar normativa previamente existente y declarada básica. Si los reglamentos refundidos venían a expresar el contenido de lo que el regulador estatal consideraba básico, su desarrollo en el Real Decreto 975/2009, que incorpora normativa considerada hasta ahora supletoria por órdenes ministeriales, supondría un exceso de la normativa básica.</w:t>
      </w:r>
    </w:p>
    <w:p w:rsidR="0085709A" w:rsidRDefault="0085709A" w:rsidP="0085709A">
      <w:pPr>
        <w:pStyle w:val="TextoNormal"/>
      </w:pPr>
    </w:p>
    <w:p w:rsidR="0085709A" w:rsidRDefault="0085709A" w:rsidP="0085709A">
      <w:pPr>
        <w:pStyle w:val="TextoNormal"/>
      </w:pPr>
      <w:r>
        <w:t>b) El Letrado autonómico constata que la disposición final segunda atribuye carácter básico al Real Decreto impugnado y repasa la doctrina constitucional relativa al concepto de legislación básica y a los títulos competenciales esgrimidos por el Real Decreto.</w:t>
      </w:r>
    </w:p>
    <w:p w:rsidR="0085709A" w:rsidRDefault="0085709A" w:rsidP="0085709A">
      <w:pPr>
        <w:pStyle w:val="TextoNormal"/>
      </w:pPr>
    </w:p>
    <w:p w:rsidR="0085709A" w:rsidRDefault="0085709A" w:rsidP="0085709A">
      <w:pPr>
        <w:pStyle w:val="TextoNormal"/>
      </w:pPr>
      <w:r>
        <w:lastRenderedPageBreak/>
        <w:t>Conforme al art. 149.1.23 CE, afirma, corresponde al Estado la legislación básica en materia de medio ambiente, y a las Comunidades Autónomas tanto el desarrollo normativo, sobre todo lo destinado a alcanzar una mayor protección de ese bien jurídico, como las tareas de ejecución. En materia de minas, el art. 28 del Estatuto de Autonomía de Galicia atribuye a esta Comunidad Autónoma el desarrollo legislativo y la ejecución de las “bases del régimen minero y energético” adoptadas por el Estado al amparo del art. 149.1.25 CE. En este punto, el Letrado hace referencia a que la Ley 22/1973, de 21 de julio, de minas, es una disposición anterior a la Constitución de suerte que carece de toda referencia a que deba tenerse por regulación básica en la materia.</w:t>
      </w:r>
    </w:p>
    <w:p w:rsidR="0085709A" w:rsidRDefault="0085709A" w:rsidP="0085709A">
      <w:pPr>
        <w:pStyle w:val="TextoNormal"/>
      </w:pPr>
    </w:p>
    <w:p w:rsidR="0085709A" w:rsidRDefault="0085709A" w:rsidP="0085709A">
      <w:pPr>
        <w:pStyle w:val="TextoNormal"/>
      </w:pPr>
      <w:r>
        <w:t>Por último, el Estado tiene competencia exclusiva, según el art. 149.1.11 CE, sobre las bases de la ordenación de los seguros. El alcance de esta competencia, definido en la STC 330/1994, va más allá de la comprensión del mero contrato de seguro, incluyendo la ordenación administrativa de un sector económico destinado a la previsión de riesgos que puedan correr personas, cosas o derechos ante eventos dañosos futuros e inciertos. Por su parte la Comunidad Autónoma de Galicia posee competencias al respecto tal como se contempla en el art. 2 de la Ley Orgánica 6/1999, de 6 de abril, de transferencia de competencias de desarrollo legislativo y ejecución en materia de ordenación del crédito, banca y seguros.</w:t>
      </w:r>
    </w:p>
    <w:p w:rsidR="0085709A" w:rsidRDefault="0085709A" w:rsidP="0085709A">
      <w:pPr>
        <w:pStyle w:val="TextoNormal"/>
      </w:pPr>
    </w:p>
    <w:p w:rsidR="0085709A" w:rsidRDefault="0085709A" w:rsidP="0085709A">
      <w:pPr>
        <w:pStyle w:val="TextoNormal"/>
      </w:pPr>
      <w:r>
        <w:t>c) El Letrado autonómico argumenta en primer término la solicitud de declaración de inconstitucionalidad y nulidad del Real Decreto por carecer del rango legal exigible con carácter general a toda legislación básica y desbordar el ámbito material de lo básico.</w:t>
      </w:r>
    </w:p>
    <w:p w:rsidR="0085709A" w:rsidRDefault="0085709A" w:rsidP="0085709A">
      <w:pPr>
        <w:pStyle w:val="TextoNormal"/>
      </w:pPr>
    </w:p>
    <w:p w:rsidR="0085709A" w:rsidRDefault="0085709A" w:rsidP="0085709A">
      <w:pPr>
        <w:pStyle w:val="TextoNormal"/>
      </w:pPr>
      <w:r>
        <w:t>El Estado no podría dictar un reglamento básico en materia de minas en desarrollo de una ley que no puede ser calificada de básica; la Ley 22/1973, de minas, al ser preconstitucional, no estaría adaptada ni al Estado de las autonomías ni a la doctrina constitucional sobre la normativa básica. La exigencia de rango legal de las bases es casi imperativa (STC 69/1988, FFJJ 5 y 6) y a ella no se ajustaría la Ley 22/1973. Este argumento permitiría sostener la nulidad de la totalidad del Real Decreto 975/2009 o, en su defecto, la de los preceptos que encuentran cobertura en el art. 149.1.25 CE. El Real Decreto contendría la totalidad de la regulación estatal en una norma de rango infralegal, no limitándose a desarrollar la ley estatal ni conteniendo exclusivamente normas de carácter marcadamente técnico (STC 131/1996). No debería confundirse el carácter sectorial de una regulación con el carácter técnico como nota que puede llegar a amparar normativa básica de carácter reglamentario.</w:t>
      </w:r>
    </w:p>
    <w:p w:rsidR="0085709A" w:rsidRDefault="0085709A" w:rsidP="0085709A">
      <w:pPr>
        <w:pStyle w:val="TextoNormal"/>
      </w:pPr>
    </w:p>
    <w:p w:rsidR="0085709A" w:rsidRDefault="0085709A" w:rsidP="0085709A">
      <w:pPr>
        <w:pStyle w:val="TextoNormal"/>
      </w:pPr>
      <w:r>
        <w:t>d) Para el caso de que el Tribunal Constitucional rechazase los argumentos esgrimidos contra el conjunto del Real Decreto, la demanda solicita que se declare la inconstitucionalidad y nulidad de determinados preceptos.</w:t>
      </w:r>
    </w:p>
    <w:p w:rsidR="0085709A" w:rsidRDefault="0085709A" w:rsidP="0085709A">
      <w:pPr>
        <w:pStyle w:val="TextoNormal"/>
      </w:pPr>
    </w:p>
    <w:p w:rsidR="0085709A" w:rsidRDefault="0085709A" w:rsidP="0085709A">
      <w:pPr>
        <w:pStyle w:val="TextoNormal"/>
      </w:pPr>
      <w:r>
        <w:t xml:space="preserve">i.- La impugnación de los arts. 2.2 y 3) y 46, así como de la disposición adicional segunda se apoya en similares razones. Conforme al art. 2.2, la “entidad explotadora, titular o arrendataria del derecho minero original o transmitido, que realice actividades de investigación y aprovechamiento reguladas por la Ley 22/1973, de 21 de julio, de minas, queda obligada a realizar, con sus medios, los trabajos de rehabilitación del espacio natural afectado por las labores mineras así como por sus servicios e instalaciones anejas, en los términos que prevé este real decreto. Asimismo deberá abordar la gestión de los residuos mineros que su actividad genere enfocada a su reducción, tratamiento, recuperación y eliminación”. El art. 2.3 </w:t>
      </w:r>
      <w:r>
        <w:lastRenderedPageBreak/>
        <w:t>se remite en lo no regulado por el Real Decreto a la Ley 10/1998, de 21 de abril, de residuos. Por otra parte, el art. 46, de “régimen sancionador”, incluye remisiones al régimen sancionador de varias leyes estatales. A su vez, la disposición adicional segunda, sobre “inventarios” dispone: “El Ministerio de Medio Ambiente, Medio Rural y Marino y el Ministerio de Industria, Turismo y Comercio realizarán antes del 1 de mayo de 2012, en colaboración con las Comunidades Autónomas, un inventario de las instalaciones de residuos mineros clausuradas, incluidas las instalaciones de residuos mineros abandonadas, situadas en territorio español, que tengan un impacto medioambiental grave o que puedan convertirse a medio o corto plazo en una amenaza grave para la salud o seguridad de las personas y bienes o para el medio ambiente y que será actualizado periódicamente. El Ministerio de Sanidad y Política Social colaborará en la realización del inventario en caso de instalaciones de residuos mineros que puedan causar una amenaza grave para la salud humana”.</w:t>
      </w:r>
    </w:p>
    <w:p w:rsidR="0085709A" w:rsidRDefault="0085709A" w:rsidP="0085709A">
      <w:pPr>
        <w:pStyle w:val="TextoNormal"/>
      </w:pPr>
    </w:p>
    <w:p w:rsidR="0085709A" w:rsidRDefault="0085709A" w:rsidP="0085709A">
      <w:pPr>
        <w:pStyle w:val="TextoNormal"/>
      </w:pPr>
      <w:r>
        <w:t>El Letrado autonómico no cuestiona el contenido en sí de los arts. 2 y 46 ni considera estrictamente que sea excesivamente detallado o agotador. Tales previsiones desbordarían el ámbito material de lo básico sólo por silenciar la posibilidad de un desarrollo autonómico; no incluyen referencia alguna a las competencias autonómicas en la materia y las únicas remisiones incluidas se hacen en favor de legislación estatal. En parecido sentido, la disposición adicional segunda sería inconstitucional por no mencionar la competencia de las Comunidades Autónomas para crear sus propios inventarios de residuos mineros. El Letrado autonómico no se opone a que el Estado cree un inventario, pero sí a que recopile directamente la información de la que ha de nutrirse. De modo que el Real Decreto vulneraría en este caso las competencias ejecutivas de la Comunidad de Galicia porque la información sistematizada debería obtenerse necesariamente de registros autonómicos.</w:t>
      </w:r>
    </w:p>
    <w:p w:rsidR="0085709A" w:rsidRDefault="0085709A" w:rsidP="0085709A">
      <w:pPr>
        <w:pStyle w:val="TextoNormal"/>
      </w:pPr>
    </w:p>
    <w:p w:rsidR="0085709A" w:rsidRDefault="0085709A" w:rsidP="0085709A">
      <w:pPr>
        <w:pStyle w:val="TextoNormal"/>
      </w:pPr>
      <w:r>
        <w:t xml:space="preserve">ii.- Se impugnan varios preceptos relativos al diseño, objetivos y contenidos del plan de restauración [arts. 3.4 y 7 g), 12, 13, 14, 15, 18.1 b), números 1 y 2, 17.2, 19.3 y 4, 22.3, 24.2, 27.3, 28 (excepto párrafo primero), 30.3, 31, 32.2, 3 y 4, 33.3 y 4, 37.4 (párrafo segundo) y 38 (párrafo segundo)] y la inspección de las actividades de vertido (art. 44, párrafo segundo). El art. 3.4 establece que el plan de restauración estará estructurado y contendrá una serie de elementos; incluirá “como mínimo”: “Parte I: Descripción detallada del entorno previsto para desarrollar las labores mineras. Parte II: Medidas previstas para la rehabilitación del espacio natural afectado por la investigación y explotación de recursos minerales. Parte III: Medidas previstas para la rehabilitación de los servicios e instalaciones anejos a la investigación y explotación de recursos minerales. Parte IV: Plan de Gestión de Residuos. Parte V: Calendario de ejecución y coste estimado de los trabajos de rehabilitación”. El art. 3.7 g) define el concepto de “instalación de residuos mineros”; el art. 12 se refiere a la descripción detallada del entorno sobre el que se desarrollarán las labores mineras (parte I del plan de restauración); el art. 13 se refiere a la tipología de “medidas previstas para la rehabilitación del espacio natural afectado por la investigación y explotación de recursos minerales” (parte II del plan de restauración); el art. 14 incluye las medidas para la rehabilitación de los servicios e instalaciones anejos a la investigación y explotación de recursos minerales (parte III del plan de restauración); y el art. 15 prevé, en estrecha relación con el resto de las labores de rehabilitación, que en el marco del plan de restauración la entidad explotadora presentará un anteproyecto de abandono definitivo de labores de aprovechamiento. El precepto regula el anteproyecto y las medidas sucesivas destinadas a asegurar la ejecución de los trabajos de rehabilitación del entorno y seguridad de las personas y bienes. Por otra parte, dentro del capítulo IV (sobre la parte IV del plan de restauración), el art. 17.2 </w:t>
      </w:r>
      <w:r>
        <w:lastRenderedPageBreak/>
        <w:t>recoge los objetivos del plan de gestión de residuos mineros, que son prevenir o reducir la producción de residuos y su nocividad, fomentar la recuperación de los residuos mediante su reciclado, reutilización o valorización cuando ello sea respetuoso con el medio ambiente y garantizar su eliminación segura a corto y largo plazo; el art. 18.1 b), números 1 y 2, se refiere al contenido mínimo del plan de gestión de residuos; los apartados 3 y 4 del art. 19 se refieren a exigencias documentales asociadas al proyecto constructivo de instalaciones de residuos; el art. 22.3 regula el contenido mínimo del estudio geológico-geotécnico exigido para determinar el emplazamiento de una instalación de residuos mineros; el art. 24.2 describe el contenido mínimo del estudio hidrológico del emplazamiento de dicha instalación; el art. 27.3 define los tipos de “solicitaciones” que resultan de los “estudios de estabilidad geotécnica” sobre el comportamiento estructural de la instalación; el art. 28 se refiere a los “estudios sismológicos y sismoterrestres”; el art. 30.3 obliga a la entidad explotadora a garantizar que la concentración de cianuro disociable en ácido débil presente en la instalación de residuos mineros se reduzca al nivel más bajo posible, utilizando las mejores técnicas disponibles, no superando en las autorizadas anteriormente o que estuvieran ya en funcionamiento determinadas cantidades en determinadas fechas; el art. 31 obliga a que la construcción y explotación de las instalaciones de residuos mineros esté a cargo de un director facultativo, también cuando estas sean subcontratadas; el art. 32, tras fijar la necesidad de un plan de seguimiento e inspecciones periódicas de la instalación minera (apartado 1, no impugnado) indica que, salvo en los supuestos del apartado 4, la entidad explotadora queda obligada a notificar sin demora indebida y en no menos de 48 horas cualquier suceso que pueda afectar a la estabilidad de la instalación y cualesquiera efectos medioambientales adversos significativos (apartado 2), así como a aplicar y costear el plan de emergencia interior bajo la dirección de la autoridad competente y a informar periódicamente de los resultados del seguimiento (apartado 3); el art. 33, apartados 3 y 4, impone condiciones al cierre y clausura de las instalaciones de residuos mineros y, entre ellas, la elaboración de un proyecto definitivo de cierre y clausura; el art. 37.4, párrafo segundo, sobre la política de prevención de accidentes graves, dispone que la autoridad competente facilitará al público interesado información sobre las medidas de seguridad y sobre la intervención necesaria en caso de accidente de una instalación de residuos mineros de la categoría A, describiendo el contenido mínimo de la información que se facilite; el art. 38, párrafo segundo, se refiere al sistema de gestión de la seguridad, que deberá abordar una serie de aspectos mínimos; el art. 44, párrafo segundo, dispone que la autoridad competente inspeccionará las instalaciones de residuos mineros y comprobará que cumplen las condiciones de la autorización del plan de restauración antes del comienzo de las actividades de vertido y, a partir de ese momento, con una periodicidad anual.</w:t>
      </w:r>
    </w:p>
    <w:p w:rsidR="0085709A" w:rsidRDefault="0085709A" w:rsidP="0085709A">
      <w:pPr>
        <w:pStyle w:val="TextoNormal"/>
      </w:pPr>
    </w:p>
    <w:p w:rsidR="0085709A" w:rsidRDefault="0085709A" w:rsidP="0085709A">
      <w:pPr>
        <w:pStyle w:val="TextoNormal"/>
      </w:pPr>
      <w:r>
        <w:t xml:space="preserve">Respecto de cada uno de estos preceptos, el Letrado autonómico denuncia que traspasa el límite de lo básico, entendido como mínimo común denominador normativo. Incurriría en un detallismo excesivo que invadiría las competencias normativas de la Comunidad de Galicia. Precisa, en relación con algunas previsiones [arts. 3.4, 12, 13, 14, 15, 18.1 b), números 1 y 2, 28 (excepto su párrafo primero)], que los contenidos no impugnados bastarían para garantizar un núcleo básico. Denuncia, en particular, la fijación de plazos, momentos, fechas, periodicidades y definiciones cerrados [en arts. 3.7 g), 19.3, 30.3, 37.4, 24.2, 32.2, 3 y 4, 33.3 y 4]. Respecto del art. 31, que dispone que la explotación de las instalaciones de residuos mineros “estará a cargo del director facultativo, según el artículo 117 de la Ley de Minas”, añade que atenta contra el orden constitucional de distribución de competencias por </w:t>
      </w:r>
      <w:r>
        <w:lastRenderedPageBreak/>
        <w:t>la afirmada imposibilidad de un desarrollo reglamentario básico de una ley preconstitucional.</w:t>
      </w:r>
    </w:p>
    <w:p w:rsidR="0085709A" w:rsidRDefault="0085709A" w:rsidP="0085709A">
      <w:pPr>
        <w:pStyle w:val="TextoNormal"/>
      </w:pPr>
    </w:p>
    <w:p w:rsidR="0085709A" w:rsidRDefault="0085709A" w:rsidP="0085709A">
      <w:pPr>
        <w:pStyle w:val="TextoNormal"/>
      </w:pPr>
      <w:r>
        <w:t>iii.- El Letrado del Xunta de Galicia impugna varios preceptos relacionados con la “autorización del plan de restauración”: arts. 4.3, 5 y 6.3. El primero se refiere a la solicitud, que contendrá “al menos” determinadas informaciones relativas a la identidad de la entidad explotadora, la gestión de los residuos mineros, la ubicación de las instalaciones de residuos, la propuesta de garantía financiera, los datos que precisa la autoridad competente para elaborar el plan de emergencia exterior y la justificación documental de haber realizado el trámite de evaluación de impacto ambiental. El art. 5 regula varios aspectos del procedimiento y medidas sucesivas al otorgamiento. El libramiento de la autorización corresponde a la “autoridad competente en minería”, que podrá solicitar informes a otras Administraciones públicas y exigir ampliaciones o modificaciones, “previo informe de la autoridad ambiental competente” y, si hubiera riesgo para la salud humana, de la “autoridad sanitaria competente” (apartado 1). La autorización se libra conjuntamente con el permiso de investigación, la autorización o la concesión de explotación, sin que pueda otorgarse cuando el plan de restauración no asegure debidamente la rehabilitación del medio natural afectado (apartado 2). La autoridad competente “deberá comprobar que la gestión de los residuos mineros no entra en conflicto ni interfiere de ninguna otra manera con la aplicación del plan o los planes de gestión de residuos” a que hace referencia la legislación sobre residuos y contaminación del suelo, sin que pueda conceder la autorización si considera que la entidad explotadora no cumple todos los requisitos del presente Real Decreto (apartado 3). Las autoridades competentes clasificarán las instalaciones de residuos descritas en el plan de restauración a partir de la propuesta de clasificación de la entidad explotadora conforme a los criterios del anexo II (apartado 4, párrafo primero). La autorización del plan de restauración incluirá la del plan de gestión de residuos y, en concreto, la del inicio de actividad o construcción de las instalaciones de residuos mineros e indicará claramente su categoría (apartado 4, párrafo segundo). Se prevé la revisión periódica o en circunstancias especiales de las condiciones de la autorización (apartado 5), garantías de publicidad (apartado 6) y la vinculación entre el cese de la actividad minera y la ejecución del plan de restauración autorizado (apartado 7). El art. 6.3 del Real Decreto 975/2009 establece dentro del procedimiento un trámite de información pública no inferior a 30 días para dar publicidad a determinados aspectos.</w:t>
      </w:r>
    </w:p>
    <w:p w:rsidR="0085709A" w:rsidRDefault="0085709A" w:rsidP="0085709A">
      <w:pPr>
        <w:pStyle w:val="TextoNormal"/>
      </w:pPr>
    </w:p>
    <w:p w:rsidR="0085709A" w:rsidRDefault="0085709A" w:rsidP="0085709A">
      <w:pPr>
        <w:pStyle w:val="TextoNormal"/>
      </w:pPr>
      <w:r>
        <w:t>El letrado autonómico denuncia que el detallismo de esta regulación vulnera las competencias normativas de la Comunidad gallega. En relación con el art. 4.3, precisa que la regulación de otros preceptos básicos, que determinan lo que lleva aparejado el plan, ya completa el contenido mínimo que corresponde a la legislación del Estado. Refiriéndose específicamente al art. 5, razona que el precepto debe encuadrarse en la competencia sobre procedimiento administrativo que el art. 149.1.18 CE atribuye al Estado y, partiendo de esta premisa, considera que el Real Decreto habría desbordado esta competencia regulando mucho más que un procedimiento administrativo común.</w:t>
      </w:r>
    </w:p>
    <w:p w:rsidR="0085709A" w:rsidRDefault="0085709A" w:rsidP="0085709A">
      <w:pPr>
        <w:pStyle w:val="TextoNormal"/>
      </w:pPr>
    </w:p>
    <w:p w:rsidR="0085709A" w:rsidRDefault="0085709A" w:rsidP="0085709A">
      <w:pPr>
        <w:pStyle w:val="TextoNormal"/>
      </w:pPr>
      <w:r>
        <w:t>iv.- La Xunta de Galicia impugna el anexo III, que regula el “organismo de control”, definido en su párrafo primero como “cualquier entidad pública o privada que, reuniendo determinados requisitos, verifique el cumplimiento de las disposiciones de este real decreto mediante auditorías e inspecciones de los aprovechamientos de recursos mineros y sus servicios e instalaciones anejas”.</w:t>
      </w:r>
    </w:p>
    <w:p w:rsidR="0085709A" w:rsidRDefault="0085709A" w:rsidP="0085709A">
      <w:pPr>
        <w:pStyle w:val="TextoNormal"/>
      </w:pPr>
    </w:p>
    <w:p w:rsidR="0085709A" w:rsidRDefault="0085709A" w:rsidP="0085709A">
      <w:pPr>
        <w:pStyle w:val="TextoNormal"/>
      </w:pPr>
      <w:r>
        <w:t>La demanda de interposición del conflicto denuncia la “desproporción de contenido” de todo este anexo, por “fijar procedimientos”. Denuncia específicamente que se exija “una determinada certificación”, que “la autorización sea renovable” y “lo concreto” del párrafo sexto. Lo primero está previsto en el párrafo segundo: “Los organismos de control a que se refieren los artículos del presente real decreto deberán estar acreditados por la Empresa Nacional de Acreditación en el campo de las materias específicas de este real decreto, cumpliendo, en lo no específicamente regulado en el mismo, lo dispuesto en el capítulo IV del Reglamento de la Infraestructura para la Calidad y la Seguridad Industrial, aprobado por Real Decreto 2200/1995, de 28 de diciembre”. Lo segundo se halla en el párrafo tercero: “La autorización de los organismos de control que realicen la verificación de las exigencias del presente real decreto, que tendrá carácter renovable, corresponde al órgano competente en minería de la Comunidad Autónoma donde los organismos inicien su actividad o radique su sede social. La autorización tendrá validez para todo el Estado español”. El párrafo sexto establece: “Cuando una empresa, a requerimiento de la autoridad competente, solicite el informe de un organismo de control, podrá seleccionar libremente el organismo al que encargar lo dispuesto en el presente real decreto de entre todos los registrados previamente en la Comunidad Autónoma que hayan sido acreditados específicamente en las materias que se desarrollan. La empresa no podrá limitar el acceso al aprovechamiento y a sus servicios e instalaciones anejos al organismo de control ni podrá dificultar las actuaciones de este, debiendo colaborar”.</w:t>
      </w:r>
    </w:p>
    <w:p w:rsidR="0085709A" w:rsidRDefault="0085709A" w:rsidP="0085709A">
      <w:pPr>
        <w:pStyle w:val="TextoNormal"/>
      </w:pPr>
    </w:p>
    <w:p w:rsidR="0085709A" w:rsidRDefault="0085709A" w:rsidP="0085709A">
      <w:pPr>
        <w:pStyle w:val="TextoNormal"/>
      </w:pPr>
      <w:r>
        <w:t>v.- El título II del Real Decreto controvertido se refiere a las garantías financieras o equivalentes que la entidad explotadora deberá constituir “para asegurar el cumplimiento de lo dispuesto en el plan de restauración” (art. 41.1). Regula específicamente las exigidas, por un lado, para “la rehabilitación del espacio natural afectado por la explotación, preparación, concentración y beneficio de recursos minerales” (art. 42); por otro, para “el cumplimiento de las condiciones impuestas en la autorización del plan de restauración para la gestión y la rehabilitación del espacio natural afectado por las instalaciones de residuos mineros” (art. 43). Establece criterios para el cálculo de tales garantías, partiendo de que “terceros independientes y debidamente cualificados podrán evaluar y efectuar cualquier trabajo de rehabilitación necesario, el impacto ambiental de las labores mineras y el uso futuro de los terrenos a rehabilitar", en un caso (art. 42.2); y “la repercusión ambiental probable de las instalaciones de residuos, en particular la categoría de las instalaciones, las características de los residuos y el uso futuro de los terrenos rehabilitados”, en otro (art. 43.2). La garantía se revisará “anualmente” de acuerdo con los trabajos ya realizados y de las superficies afectadas, en un caso (art. 42.3); y “periódicamente de acuerdo con los trabajos de rehabilitación que sea necesario efectuar en los terrenos afectados por las instalaciones de residuos tal y como describa el plan de restauración autorizado”, en otro caso (art. 43.3). A su vez, la entidad explotadora podrá solicitar la liberación de la garantía financiera una vez finalizada la ejecución del plan de restauración (art. 42.4) o autorizado el cierre y clausura de las instalaciones de residuos mineros (art. 43.4).</w:t>
      </w:r>
    </w:p>
    <w:p w:rsidR="0085709A" w:rsidRDefault="0085709A" w:rsidP="0085709A">
      <w:pPr>
        <w:pStyle w:val="TextoNormal"/>
      </w:pPr>
    </w:p>
    <w:p w:rsidR="0085709A" w:rsidRDefault="0085709A" w:rsidP="0085709A">
      <w:pPr>
        <w:pStyle w:val="TextoNormal"/>
      </w:pPr>
      <w:r>
        <w:t>La demanda impugna únicamente los apartados 2, 3 y 4 del art. 42 así como los apartados 3 y 4 del art. 43, limitándose a denunciar que adolecen de una concreción excesiva; establecería tiempos cerrados y protocolos de inviable desarrollo posterior que impiden el desarrollo de políticas propias. Los apartados no impugnados cubrirían ya el contenido mínimo que corresponde a la legislación del Estado.</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6 de octubre de 2009, el Pleno acuerda admitir a trámite el conflicto positivo de competencia y dar traslado de la demanda y documentos presentados al Gobierno de la Nación, por conducto de su presidente, al objeto de que en el plazo de veinte días pueda personarse en el proceso y formular alegaciones en los términos determinados por el art. 82.2 de la Ley Orgánica del Tribunal Constitucional (LOTC). Acordó asimismo comunicar la incoación del conflicto a la Sala de lo Contencioso-Administrativo del Tribunal Supremo, por si ante la misma estuviera impugnado o se impugnare el Real Decreto a los efectos de lo previsto en el art. 61.2 LOTC y publicar la incoación del recurso en el “Boletín Oficial del Estado” y en el “Diario Oficial de Galicia”. La publicación de la admisión a trámite del conflicto se realiza en el “Boletín Oficial del Estado” núm. 250, de 16 de octubre de 2009.</w:t>
      </w:r>
    </w:p>
    <w:p w:rsidR="0085709A" w:rsidRDefault="0085709A" w:rsidP="0085709A">
      <w:pPr>
        <w:pStyle w:val="TextoNormal"/>
      </w:pPr>
    </w:p>
    <w:p w:rsidR="0085709A" w:rsidRDefault="0085709A" w:rsidP="0085709A">
      <w:pPr>
        <w:pStyle w:val="TextoNormal"/>
      </w:pPr>
      <w:r w:rsidRPr="0085709A">
        <w:rPr>
          <w:rStyle w:val="NumeroAFNegritaCaracter"/>
        </w:rPr>
        <w:t>3</w:t>
      </w:r>
      <w:r>
        <w:t>. Con fecha de 13 de octubre de 2009, el Abogado del Estado comparece en el proceso en la representación que legalmente ostenta y solicita del Tribunal que se le tenga por personado en el conflicto positivo de competencia y resuelva conceder una prórroga de diez días sobre el plazo inicialmente establecido para formular sus alegaciones.</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mediante providencia de 14 de octubre de 2009, acuerda tener por personado al Abogado del Estado en representación del Gobierno y prorrogar en diez días el plazo en su día concedido para presentar sus alegaciones, a contar desde el siguiente al de expiración del ordinario.</w:t>
      </w:r>
    </w:p>
    <w:p w:rsidR="0085709A" w:rsidRDefault="0085709A" w:rsidP="0085709A">
      <w:pPr>
        <w:pStyle w:val="TextoNormal"/>
      </w:pPr>
    </w:p>
    <w:p w:rsidR="0085709A" w:rsidRDefault="0085709A" w:rsidP="0085709A">
      <w:pPr>
        <w:pStyle w:val="TextoNormal"/>
      </w:pPr>
      <w:r w:rsidRPr="0085709A">
        <w:rPr>
          <w:rStyle w:val="NumeroAFNegritaCaracter"/>
        </w:rPr>
        <w:t>5</w:t>
      </w:r>
      <w:r>
        <w:t>. El escrito de alegaciones del Abogado del Estado, interesando la desestimación del conflicto positivo de competencia planteado por la Xunta de Galicia, tiene entrada en el Tribunal el día 24 de noviembre de 2009.</w:t>
      </w:r>
    </w:p>
    <w:p w:rsidR="0085709A" w:rsidRDefault="0085709A" w:rsidP="0085709A">
      <w:pPr>
        <w:pStyle w:val="TextoNormal"/>
      </w:pPr>
    </w:p>
    <w:p w:rsidR="0085709A" w:rsidRDefault="0085709A" w:rsidP="0085709A">
      <w:pPr>
        <w:pStyle w:val="TextoNormal"/>
      </w:pPr>
      <w:r>
        <w:t>La Abogacía del Estado, tras exponer la finalidad y contenido del Real Decreto controvertido, procede a encuadrar competencialmente la controversia y a responder los argumentos planteados por la Xunta de Galicia:</w:t>
      </w:r>
    </w:p>
    <w:p w:rsidR="0085709A" w:rsidRDefault="0085709A" w:rsidP="0085709A">
      <w:pPr>
        <w:pStyle w:val="TextoNormal"/>
      </w:pPr>
    </w:p>
    <w:p w:rsidR="0085709A" w:rsidRDefault="0085709A" w:rsidP="0085709A">
      <w:pPr>
        <w:pStyle w:val="TextoNormal"/>
      </w:pPr>
      <w:r>
        <w:t>a) A pesar de que la disposición final segunda apoya el carácter básico de algunos de los preceptos en los apartados 25 y 11 del art. 149.1 CE, el título prevalente que justificaría la totalidad del Real Decreto 975/2009 sería la protección del medio ambiente frente a las posibles agresiones de los residuos mineros (art. 149.1.23 CE), tal como resulta de la STC 126/2002, de 23 mayo, en relación con los residuos industriales. Conforme al art. 149.1.23 CE, corresponde al Estado el establecimiento de las bases y a las Comunidades su desarrollo y ejecución (SSTC 102/1995, FJ 8, y 101/2005, FJ 5).</w:t>
      </w:r>
    </w:p>
    <w:p w:rsidR="0085709A" w:rsidRDefault="0085709A" w:rsidP="0085709A">
      <w:pPr>
        <w:pStyle w:val="TextoNormal"/>
      </w:pPr>
    </w:p>
    <w:p w:rsidR="0085709A" w:rsidRDefault="0085709A" w:rsidP="0085709A">
      <w:pPr>
        <w:pStyle w:val="TextoNormal"/>
      </w:pPr>
      <w:r>
        <w:t>b) Siguiendo el orden de la demanda, el Abogado del Estado responde el reproche general formulado contra la totalidad del Real Decreto 975/2009 y examina después los artículos concretamente impugnados.</w:t>
      </w:r>
    </w:p>
    <w:p w:rsidR="0085709A" w:rsidRDefault="0085709A" w:rsidP="0085709A">
      <w:pPr>
        <w:pStyle w:val="TextoNormal"/>
      </w:pPr>
    </w:p>
    <w:p w:rsidR="0085709A" w:rsidRDefault="0085709A" w:rsidP="0085709A">
      <w:pPr>
        <w:pStyle w:val="TextoNormal"/>
      </w:pPr>
      <w:r>
        <w:t xml:space="preserve">Retomando la respuesta del Gobierno al requerimiento previo planteado por la Xunta de Galicia, el Abogado del Estado evoca la STC 203/1993, FJ 16, que admite que un reglamento recoja legislación básica y, más concretamente, que una norma reglamentaria básica desarrolle una ley preconstitucional. Esta cita se completa con la del fundamento jurídico 5 </w:t>
      </w:r>
      <w:r>
        <w:lastRenderedPageBreak/>
        <w:t>de la STC 64/1982, que reconoce que, a efectos de extraer normas básicas, es preciso analizar la Ley de minas de 1973 en su contexto (“la legislación minera ha de contemplarse en su conjunto”) e interpretarla a la luz del art. 45 CE.</w:t>
      </w:r>
    </w:p>
    <w:p w:rsidR="0085709A" w:rsidRDefault="0085709A" w:rsidP="0085709A">
      <w:pPr>
        <w:pStyle w:val="TextoNormal"/>
      </w:pPr>
    </w:p>
    <w:p w:rsidR="0085709A" w:rsidRDefault="0085709A" w:rsidP="0085709A">
      <w:pPr>
        <w:pStyle w:val="TextoNormal"/>
      </w:pPr>
      <w:r>
        <w:t>El Real Decreto se ajustaría a los criterios que el Tribunal Constitucional exige a la fijación reglamentaria de normativa básica. Sería complemento necesario de la legislación minera; desarrolla sus previsiones de protección medio ambiental y responde a una expresa habilitación legal. Como resulta del propio preámbulo del Real Decreto 975/2009, la Ley de minas de 1973 exige la protección del medio ambiente; incluye la rehabilitación del espacio natural afectado por las actividades mineras en el propio concepto de aprovechamiento e impone a la Administración la fijación de las condiciones necesarias para la protección del medio ambiente. El reglamento impugnado no sería sino desarrollo de esta exigencia legislativa, viniendo a congregar normas reglamentarias previas.</w:t>
      </w:r>
    </w:p>
    <w:p w:rsidR="0085709A" w:rsidRDefault="0085709A" w:rsidP="0085709A">
      <w:pPr>
        <w:pStyle w:val="TextoNormal"/>
      </w:pPr>
    </w:p>
    <w:p w:rsidR="0085709A" w:rsidRDefault="0085709A" w:rsidP="0085709A">
      <w:pPr>
        <w:pStyle w:val="TextoNormal"/>
      </w:pPr>
      <w:r>
        <w:t>El Abogado de Estado destaca como los reglamentos y órdenes ministeriales previos han sido considerados legislación básica, recordando el conflicto positivo de competencia número 749-1984, promovido por el Consejo Ejecutivo de la Generalidad de Cataluña contra el Real Decreto 1116/1984 y contra la Orden de 13 de junio de 1984, que concluyó por desistimiento admitido por el Tribunal Constitucional mediante Auto de 21 de julio de 1987. De este modo, resultaría difícil sostener que lo que es constitucional desde 1982, devenga inconstitucional en 2009 por insuficiencia de rango. Por otro lado, el Tribunal exige con carácter general que las bases se recojan en normas con rango de ley para garantizar una cierta seguridad jurídica a las Comunidades Autónomas que ostentan la potestad de desarrollo; seguridad que el presente Real Decreto salvaguardaría mejor de lo que lo hacía la regulación anterior al refundir y aclarar disposiciones dispersas en normas de diverso rango reglamentario.</w:t>
      </w:r>
    </w:p>
    <w:p w:rsidR="0085709A" w:rsidRDefault="0085709A" w:rsidP="0085709A">
      <w:pPr>
        <w:pStyle w:val="TextoNormal"/>
      </w:pPr>
    </w:p>
    <w:p w:rsidR="0085709A" w:rsidRDefault="0085709A" w:rsidP="0085709A">
      <w:pPr>
        <w:pStyle w:val="TextoNormal"/>
      </w:pPr>
      <w:r>
        <w:t>Por último, el Real Decreto 975/2009, en su disposición final segunda, se declara expresamente como básico; tendría un marcado carácter técnico y una naturaleza coyuntural y cambiante difícilmente compatible con una ley formal (SSTC 76/1983, 87/1985, 86/1989, 147/1991, 149/1992 y 175/1992).</w:t>
      </w:r>
    </w:p>
    <w:p w:rsidR="0085709A" w:rsidRDefault="0085709A" w:rsidP="0085709A">
      <w:pPr>
        <w:pStyle w:val="TextoNormal"/>
      </w:pPr>
    </w:p>
    <w:p w:rsidR="0085709A" w:rsidRDefault="0085709A" w:rsidP="0085709A">
      <w:pPr>
        <w:pStyle w:val="TextoNormal"/>
      </w:pPr>
      <w:r>
        <w:t>c) Justificado que el Real Decreto 975/2009 responde a la dimensión formal de las bases, el Abogado del Estado pasa a examinar los reproches que la demanda dirige a determinados preceptos partiendo de las consideraciones iniciales comunes que en su día desarrolló la contestación del Gobierno al requerimiento de la Comunidad Autónoma de Galicia.</w:t>
      </w:r>
    </w:p>
    <w:p w:rsidR="0085709A" w:rsidRDefault="0085709A" w:rsidP="0085709A">
      <w:pPr>
        <w:pStyle w:val="TextoNormal"/>
      </w:pPr>
    </w:p>
    <w:p w:rsidR="0085709A" w:rsidRDefault="0085709A" w:rsidP="0085709A">
      <w:pPr>
        <w:pStyle w:val="TextoNormal"/>
      </w:pPr>
      <w:r>
        <w:t>Admitiendo la complejidad de la labor hermenéutica de determinar la extensión de lo básico, el escrito de alegaciones niega la invasión competencial derivada del excesivo detallismo de los preceptos impugnados; se moverían dentro del mínimo al que deben reconducirse las bases de la materia (STC 141/1993, FJ 5). No contradirían la doctrina constitucional sobre el ámbito material propio de las normas básicas, limitándose a establecer una normativa de mínimos susceptible de desarrollo autonómico, teniendo en cuenta que el Estado dispone de mayor margen de actuación si la legislación básica se refiere a la protección del medio ambiente (SSTC 170/1989, 102/1995 y 196/1996).</w:t>
      </w:r>
    </w:p>
    <w:p w:rsidR="0085709A" w:rsidRDefault="0085709A" w:rsidP="0085709A">
      <w:pPr>
        <w:pStyle w:val="TextoNormal"/>
      </w:pPr>
    </w:p>
    <w:p w:rsidR="0085709A" w:rsidRDefault="0085709A" w:rsidP="0085709A">
      <w:pPr>
        <w:pStyle w:val="TextoNormal"/>
      </w:pPr>
      <w:r>
        <w:t xml:space="preserve">La otra consideración general se refiere a la regulación de plazos del Real Decreto 975/2009. Se configuran siempre como mínimos o máximos, dejando por tanto espacio al </w:t>
      </w:r>
      <w:r>
        <w:lastRenderedPageBreak/>
        <w:t>desarrollo autonómico. Su previsión obedece a la necesidad, apreciada también por el Consejo de Estado en su dictamen al proyecto, de incorporar con carácter básico obligaciones específicas previstas en la Directiva 2006/21/CE, sin perjuicio de las adaptaciones que puedan establecer las Comunidades Autónomas. Partiendo de estas consideraciones, el Abogado del Estado analiza cada uno de los preceptos controvertidos.</w:t>
      </w:r>
    </w:p>
    <w:p w:rsidR="0085709A" w:rsidRDefault="0085709A" w:rsidP="0085709A">
      <w:pPr>
        <w:pStyle w:val="TextoNormal"/>
      </w:pPr>
    </w:p>
    <w:p w:rsidR="0085709A" w:rsidRDefault="0085709A" w:rsidP="0085709A">
      <w:pPr>
        <w:pStyle w:val="TextoNormal"/>
      </w:pPr>
      <w:r>
        <w:t>i.- Respecto de la impugnación de los arts. 2 (apartados 2 y 3) y 46 así como de la disposición adicional segunda, el Abogado del Estado considera que el Real Decreto no estaba obligado a introducir cláusulas de salvaguardia de las competencias autonómicas ni fórmulas que recuerden la competencia ajena (con cita de las SSTC 95/1984, FJ 2, y 191/1994, FJ 2). Entiende a su vez que la demanda acepta la constitucionalidad de los inventarios estatales al reproducir algunas Sentencias del Tribunal Constitucional, por lo que no existe verdadera controversia; ambas Administraciones territoriales interpretan la disposición adicional segunda en el sentido de entender que se refiere a un inventario centralizado a efectos informativos, que parte de los datos suministrados por las Comunidades Autónomas.</w:t>
      </w:r>
    </w:p>
    <w:p w:rsidR="0085709A" w:rsidRDefault="0085709A" w:rsidP="0085709A">
      <w:pPr>
        <w:pStyle w:val="TextoNormal"/>
      </w:pPr>
    </w:p>
    <w:p w:rsidR="0085709A" w:rsidRDefault="0085709A" w:rsidP="0085709A">
      <w:pPr>
        <w:pStyle w:val="TextoNormal"/>
      </w:pPr>
      <w:r>
        <w:t>ii.- Respecto de los preceptos relativos al diseño, objetivos y contenidos del plan de restauración y la inspección de las actividades de vertido, el Abogado del Estado realiza consideraciones de carácter tanto procesal como material. En cuanto a las primeras, afirma que la respuesta a la impugnación del art. 3 debería limitarse a lo que afecta a su apartado 4; el cuerpo de la demanda alude también al apartado 7 g), pero no su suplico. En todo caso, entiende que también sería desestimable en el fondo. Respecto del art. 4, la demanda sólo argumenta en relación con el apartado 3, por lo que a él debería atenerse la respuesta. En relación con el art. 15, pone en duda que el Letrado autonómico haya cumplido la obligación de razonar que le incumbe. Del mismo modo, la demanda impugna formalmente la totalidad del art. 44, pero los argumentos desplegados sólo aluden al párrafo segundo del apartado 1, cuya configuración básica sería evidente. En cuanto a las consideraciones sustantivas, afirma que las previsiones impugnadas persiguen finalidades de protección medioambiental, manteniéndose dentro del ámbito material de lo básico y fijando mínimos que no excluyen el desarrollo normativo autonómico. Ello sería evidente en muchos casos por la propia literalidad del precepto [arts. 3.4; 4.3; 12; 13; 14; 15; 17.2; 18.1 b); 19.3 y 4; 22.3; 24.2; 28; 30.3; 32.2, 3 y 4; 33.3 y 4; 37.4, párrafo 2; 38, párrafo 2]. Los arts. 3.7 g) y 27.3 definirían con carácter básico determinados conceptos; sin una homogénea delimitación conceptual resultaría imposible establecer un mínimo común denominador normativo. El nivel de detalle del art. 19, apartados 3 y 4, así como del art. 32.2 se justificaría por el interés general en proteger, no sólo el medio ambiente potencialmente afectado por las instalaciones, sino también la seguridad de las personas y los bienes. El “estudio geológico-técnico” del art. 22.3 sería un mecanismo de colaboración relativo a instalaciones susceptibles de producir efectos supracomunitarios, lo que justifica la imposición de una mínima homogeneidad en el tratamiento de la información. Lo mismo cabría afirmar respecto de los criterios de cálculo del art. 28, párrafos 3 y 4. El art. 32.3 establece la periodicidad anual de la obligación de informar sobre los resultados del seguimiento de las instalaciones que pesa sobre las entidades explotadoras sin impedir que las Comunidades Autónomas establezcan una frecuencia mayor. Las exigencias del art. 37, apartados 3 y 4, en relación con el cierre y clausura de instalaciones de residuos mineros serían mínimas; los plazos previstos, en particular, serían modulables por las Comunidades Autónomas. En cuanto a la impugnación del art. 31, se remite a lo alegado en relación con la afirmación de la demanda de que no cabe el desarrollo básico de leyes preconstitucionales.</w:t>
      </w:r>
    </w:p>
    <w:p w:rsidR="0085709A" w:rsidRDefault="0085709A" w:rsidP="0085709A">
      <w:pPr>
        <w:pStyle w:val="TextoNormal"/>
      </w:pPr>
    </w:p>
    <w:p w:rsidR="0085709A" w:rsidRDefault="0085709A" w:rsidP="0085709A">
      <w:pPr>
        <w:pStyle w:val="TextoNormal"/>
      </w:pPr>
      <w:r>
        <w:t>iii.- Respecto de la impugnación de previsiones sobre la “autorización del plan de restauración” (arts. 4.3, 5 y 6.3) el Abogado del Estado alega que todas ellas responden a finalidades de protección medioambiental estableciendo regulaciones que no extravasan los límites de lo básico ni impiden el desarrollo autonómico. El art. 4.3 establece el contenido mínimo de la información que debe contener la solicitud de la autorización de plan de restauración sin impedir que las Comunidades Autónomas añadan otras exigencias. El art. 5 expresaría el legítimo ejercicio de la competencia normativa sectorial (art. 149.1, apartado 23 o 25 CE) que habilita al Estado para regular el procedimiento especial hasta donde alcance su potestad normativa básica (STC 227/1988, FJ 32). El art. 6.3 establece que el periodo de información pública “no será inferior a 30 días”, por lo que admite la fijación de mayores plazos.</w:t>
      </w:r>
    </w:p>
    <w:p w:rsidR="0085709A" w:rsidRDefault="0085709A" w:rsidP="0085709A">
      <w:pPr>
        <w:pStyle w:val="TextoNormal"/>
      </w:pPr>
    </w:p>
    <w:p w:rsidR="0085709A" w:rsidRDefault="0085709A" w:rsidP="0085709A">
      <w:pPr>
        <w:pStyle w:val="TextoNormal"/>
      </w:pPr>
      <w:r>
        <w:t>iv.- Con relación al anexo III, el Abogado del Estado subraya que el régimen de los organismos de control responde a la exigencia comunitaria de que exista una entidad de acreditación de carácter nacional como mecanismo para asegurar criterios mínimamente homogéneos en la protección del medio ambiente en el ámbito, no sólo nacional, sino europeo (con cita del Real Decreto 2200/1995, de 28 diciembre, por el que se aprueba el Reglamento de la infraestructura para la calidad y la seguridad industrial). El Abogado del Estado recuerda también que el propio anexo III reserva a las Comunidades Autónomas la concreta autorización de los organismos de control acreditados. Según afirma, la demanda viene a discutir el carácter renovable de la autorización (párrafo 3 del anexo). Sin embargo, se trataría de un precepto evidentemente básico que deja un amplio margen a las Comunidades Autónomas para desarrollar el régimen de la renovación o sus límites. En alusión a la impugnación del párrafo sexto, el Abogado del Estado constata que el establecimiento de la posibilidad de que la empresa seleccione libremente un organismo de control que reúna los requisitos necesarios para actuar como tal, imponiéndole la obligación de colaborar con dicho organismo, es fundamentalmente básico.</w:t>
      </w:r>
    </w:p>
    <w:p w:rsidR="0085709A" w:rsidRDefault="0085709A" w:rsidP="0085709A">
      <w:pPr>
        <w:pStyle w:val="TextoNormal"/>
      </w:pPr>
    </w:p>
    <w:p w:rsidR="0085709A" w:rsidRDefault="0085709A" w:rsidP="0085709A">
      <w:pPr>
        <w:pStyle w:val="TextoNormal"/>
      </w:pPr>
      <w:r>
        <w:t>v.- En cuanto al régimen de garantías financieras o equivalentes a que quedan sujetas las entidades explotadoras, el Abogado del Estado razona que debe entenderse amparado en el art. 149.1.23 CE por su finalidad medioambiental, por más que la disposición final segunda del Real Decreto invoque la competencia estatal sobre ordenación de los seguros (art. 149.1.11 CE). Los apartados 2, 3 y 4 del art. 42 así como los apartados 3 y 4 del art. 43 se limitarían a establecer exigencias mínimas para cubrir eventuales perjuicios si desbordar las fronteras de la competencia estatal medioambiental.</w:t>
      </w:r>
    </w:p>
    <w:p w:rsidR="0085709A" w:rsidRDefault="0085709A" w:rsidP="0085709A">
      <w:pPr>
        <w:pStyle w:val="TextoNormal"/>
      </w:pPr>
    </w:p>
    <w:p w:rsidR="0085709A" w:rsidRDefault="0085709A" w:rsidP="0085709A">
      <w:pPr>
        <w:pStyle w:val="TextoNormal"/>
      </w:pPr>
      <w:r>
        <w:t>d) Para cerrar el escrito de alegaciones, el Abogado del Estado significa que aunque la demanda alude en el suplico al art. 36 del Real Decreto 975/2009, el cuerpo del escrito rector de este proceso no contiene alusión alguna al mismo, por lo que no habría levantado la carga de alegar que le incumbe.</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3 de marzo de 2015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proceso constitucional tiene por objeto resolver el conflicto positivo de competencia interpuesto por la Xunta de Galicia contra el Real Decreto 975/2009, de 12 de junio, sobre gestión de los residuos de las industrias extractivas y de protección y rehabilitación del espacio afectado por actividades mineras en su conjunto por vulneración de los arts. 9 y 149.1.23, 25 y 11 de la Constitución, los arts. 27.30 y 28.3 del Estatuto de Autonomía de Galicia y la Ley Orgánica 6/1999, de 6 de abril, de transferencia de competencias de desarrollo legislativo y ejecución en materia de ordenación del crédito, banca y seguros. Solicita la declaración de inconstitucionalidad y nulidad del Real Decreto por carecer del rango legal exigible con carácter general a toda legislación básica y desbordar el ámbito material de lo básico; y pide con carácter subsidiario la declaración de inconstitucionalidad y nulidad de varios preceptos por entender que invaden las competencias de la Comunidad Autónoma de Galicia.</w:t>
      </w:r>
    </w:p>
    <w:p w:rsidR="0085709A" w:rsidRDefault="0085709A" w:rsidP="0085709A">
      <w:pPr>
        <w:pStyle w:val="TextoNormal"/>
      </w:pPr>
    </w:p>
    <w:p w:rsidR="0085709A" w:rsidRDefault="0085709A" w:rsidP="0085709A">
      <w:pPr>
        <w:pStyle w:val="TextoNormal"/>
      </w:pPr>
      <w:r>
        <w:t>El conflicto planteado se refiere esencialmente al alcance de las competencias normativas que tiene atribuidas el Estado y, en particular, a la legislación básica sobre minas (art. 149.1.25 CE) y medio ambiente (art. 149.1.23 CE); este Tribunal habrá de encuadrar adecuadamente la controversia competencial para determinar si el Real Decreto excede los límites formales y materiales constitucionalmente impuestos al legislador básico, como alega la representación procesal de la Comunidad Autónoma recurrente; o si, por el contrario, respeta las competencias autonómicas de desarrollo, como sostiene el Abogado del Estado. Sólo la impugnación de la disposición adicional segunda plantea una cuestión parcialmente distinta; mientras el Letrado autonómico considera que la regulación del inventario sobre instalaciones de residuos mineros sin previsión expresa de registros equivalentes de ámbito autonómico vulnera las competencias ejecutivas en materia de medio ambiente de la Comunidad Autónoma de Galicia, se opone a ello el Abogado del Estado.</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proceder al examen de la cuestión de fondo, corresponde delimitar adecuadamente el objeto del presente proceso constitucional.</w:t>
      </w:r>
    </w:p>
    <w:p w:rsidR="0085709A" w:rsidRDefault="0085709A" w:rsidP="0085709A">
      <w:pPr>
        <w:pStyle w:val="TextoNormal"/>
      </w:pPr>
    </w:p>
    <w:p w:rsidR="0085709A" w:rsidRDefault="0085709A" w:rsidP="0085709A">
      <w:pPr>
        <w:pStyle w:val="TextoNormal"/>
      </w:pPr>
      <w:r>
        <w:t>a) La demanda de interposición del conflicto impugna específicamente el art. 3.7. g), que define el concepto de “instalación de residuos mineros”, por entender que su régimen de plazos encierra una “concreción excesiva que impide todo desarrollo autonómico”. Sin embargo, el requerimiento previo de incompetencia realizado por el Consello de Gobierno de la Xunta de Galicia no menciona el precepto. Tampoco lo hace el posterior acuerdo por el que se decide plantear el conflicto competencial.</w:t>
      </w:r>
    </w:p>
    <w:p w:rsidR="0085709A" w:rsidRDefault="0085709A" w:rsidP="0085709A">
      <w:pPr>
        <w:pStyle w:val="TextoNormal"/>
      </w:pPr>
    </w:p>
    <w:p w:rsidR="0085709A" w:rsidRDefault="0085709A" w:rsidP="0085709A">
      <w:pPr>
        <w:pStyle w:val="TextoNormal"/>
      </w:pPr>
      <w:r>
        <w:t xml:space="preserve">El art. 63.3 de la Ley Orgánica del Tribunal Constitucional (LOTC) exige que el requerimiento de incompetencia especifique con claridad “los preceptos de la disposición o los puntos concretos de la resolución o acto viciados de incompetencia, así como las disposiciones legales o constitucionales de las que el vicio resulte”. La finalidad de la exigencia es que el Gobierno al que se imputa la extralimitación competencial pueda conocer los motivos de la invasión denunciada y, en su caso, corregirla. Por eso el art. 63.3 LOTC obliga a entender que el conflicto competencial no se ha planteado sobre los preceptos no mencionados en aquel requerimiento previo (por todas SSTC 207/2011, de 20 de diciembre, FJ 2; </w:t>
      </w:r>
      <w:r>
        <w:lastRenderedPageBreak/>
        <w:t>128/1999, de 1 de julio, FJ 3; o 194/1989, de 16 de noviembre, FJ 2, y STC 3/2014, de 16 de enero, FJ 2).</w:t>
      </w:r>
    </w:p>
    <w:p w:rsidR="0085709A" w:rsidRDefault="0085709A" w:rsidP="0085709A">
      <w:pPr>
        <w:pStyle w:val="TextoNormal"/>
      </w:pPr>
    </w:p>
    <w:p w:rsidR="0085709A" w:rsidRDefault="0085709A" w:rsidP="0085709A">
      <w:pPr>
        <w:pStyle w:val="TextoNormal"/>
      </w:pPr>
      <w:r>
        <w:t>Conforme a esta doctrina constitucional, el art. 3.7 g) quedará al margen del objeto del presente proceso constitucional, sin perjuicio de la respuesta que obtengan los motivos que sostienen la petición principal de que se declare la inconstitucionalidad y nulidad de la totalidad del Real Decreto 975/2009.</w:t>
      </w:r>
    </w:p>
    <w:p w:rsidR="0085709A" w:rsidRDefault="0085709A" w:rsidP="0085709A">
      <w:pPr>
        <w:pStyle w:val="TextoNormal"/>
      </w:pPr>
    </w:p>
    <w:p w:rsidR="0085709A" w:rsidRDefault="0085709A" w:rsidP="0085709A">
      <w:pPr>
        <w:pStyle w:val="TextoNormal"/>
      </w:pPr>
      <w:r>
        <w:t>b) Respecto del art. 30 del Real Decreto impugnado, la demanda por la que se plantea el presente conflicto se dirige específicamente contra su apartado 3. Sin embargo, el requerimiento previo de incompetencia se refiere sólo al apartado 5, apartado que, en realidad, no existe verdaderamente; el art. 30 consta sólo de tres apartados.</w:t>
      </w:r>
    </w:p>
    <w:p w:rsidR="0085709A" w:rsidRDefault="0085709A" w:rsidP="0085709A">
      <w:pPr>
        <w:pStyle w:val="TextoNormal"/>
      </w:pPr>
    </w:p>
    <w:p w:rsidR="0085709A" w:rsidRDefault="0085709A" w:rsidP="0085709A">
      <w:pPr>
        <w:pStyle w:val="TextoNormal"/>
      </w:pPr>
      <w:r>
        <w:t>La lectura de la demanda y de la propia norma impugnada permite constatar que el acuerdo del Consello de Gobierno de la Xunta de requerimiento de incompetencia incurre en un mero error de transcripción que no impedirá a este Tribunal enjuiciar la impugnación del art. 30.3; lo relevante es que respecto de este precepto se ha cumplido la finalidad del requerimiento previo, que es apurar las posibilidades de resolución convencional o negociada de las diferencias entre el Estado y las Comunidades Autónomas, según ya se ha recordado.</w:t>
      </w:r>
    </w:p>
    <w:p w:rsidR="0085709A" w:rsidRDefault="0085709A" w:rsidP="0085709A">
      <w:pPr>
        <w:pStyle w:val="TextoNormal"/>
      </w:pPr>
    </w:p>
    <w:p w:rsidR="0085709A" w:rsidRDefault="0085709A" w:rsidP="0085709A">
      <w:pPr>
        <w:pStyle w:val="TextoNormal"/>
      </w:pPr>
      <w:r>
        <w:t xml:space="preserve">c) Como se deduce fácilmente de una lectura atenta de los antecedentes, la demanda sólo solicita con carácter subsidiario la declaración de inconstitucionalidad y nulidad de parte de los preceptos citados en su </w:t>
      </w:r>
      <w:r w:rsidRPr="0085709A">
        <w:rPr>
          <w:i/>
        </w:rPr>
        <w:t>petitum</w:t>
      </w:r>
      <w:r>
        <w:t>. No desarrolla argumento impugnatorio alguno respecto de los arts. 7, 8, 9, 10, 11, 36, 45, disposiciones adicionales tercera y cuarta, y las disposiciones transitorias segunda y tercera. A su vez, la demanda solicita formalmente la anulación de varios artículos, pero sus fundamentos jurídicos no discuten todos sus apartados; argumenta sólo la inconstitucionalidad de los apartados 2 y 3 del art. 2; del apartado 4 del art. 3; del apartado 3 del art. 4; y del párrafo segundo del art. 44.</w:t>
      </w:r>
    </w:p>
    <w:p w:rsidR="0085709A" w:rsidRDefault="0085709A" w:rsidP="0085709A">
      <w:pPr>
        <w:pStyle w:val="TextoNormal"/>
      </w:pPr>
    </w:p>
    <w:p w:rsidR="0085709A" w:rsidRDefault="0085709A" w:rsidP="0085709A">
      <w:pPr>
        <w:pStyle w:val="TextoNormal"/>
      </w:pPr>
      <w:r>
        <w:t>Conforme a la doctrina constitucional, “no basta la mera invocación formal de los preceptos en la demanda” ni la sola “solicitud expresa de su declaración de inconstitucionalidad, para que este Tribunal deba pronunciarse sobre todos y cada uno de ellos”; es “preciso, además, que en el cuerpo del recurso se contenga la argumentación específica o razonamientos que fundamenten la presunta contradicción de éstos con la Norma fundamental [SSTC 146/1994, FJ 7 B); 214/1994, FJ 3; 195/1998, FJ 1]. La impugnación de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(SSTC 233/1999, de 16 de diciembre, FJ 2, y 112/2013, de 9 de mayo, FJ 2).</w:t>
      </w:r>
    </w:p>
    <w:p w:rsidR="0085709A" w:rsidRDefault="0085709A" w:rsidP="0085709A">
      <w:pPr>
        <w:pStyle w:val="TextoNormal"/>
      </w:pPr>
    </w:p>
    <w:p w:rsidR="0085709A" w:rsidRDefault="0085709A" w:rsidP="0085709A">
      <w:pPr>
        <w:pStyle w:val="TextoNormal"/>
      </w:pPr>
      <w:r>
        <w:t xml:space="preserve">Consecuentemente, las impugnaciones señaladas han de quedar excluidas del presente proceso constitucional, sin perjuicio de la respuesta que obtengan las alegaciones que sostienen la petición principal de que se declare la inconstitucionalidad y nulidad de la totalidad del Real Decreto 975/2009. De modo que, si llegásemos a desestimar esta petición principal, los concretos preceptos que formarían parte de nuestro enjuiciamiento quedarían limitados </w:t>
      </w:r>
      <w:r>
        <w:lastRenderedPageBreak/>
        <w:t>a los siguientes: arts. 2 (apartados 2 y 3), 3.4, 4.3, 5, 6.3, 12, 13, 14, 15, 17.2, 18.1 b) (números 1 y 2), 19 (apartados 3 y 4), 22.3, 24.2, 27.3, 28 (excepto párrafo primero), 30.3, 31, 32 (apartados 2, 3 y 4), 33 (apartados 3 y 4), 37.4 (párrafo segundo), 38 (párrafo segundo), 42 (apartados 2, 3 y 4), 43 (apartados 3 y 4), 44 (párrafo segundo) y 46 así como la disposición adicional segunda y el anexo III.</w:t>
      </w:r>
    </w:p>
    <w:p w:rsidR="0085709A" w:rsidRDefault="0085709A" w:rsidP="0085709A">
      <w:pPr>
        <w:pStyle w:val="TextoNormal"/>
      </w:pPr>
    </w:p>
    <w:p w:rsidR="0085709A" w:rsidRDefault="0085709A" w:rsidP="0085709A">
      <w:pPr>
        <w:pStyle w:val="TextoNormal"/>
      </w:pPr>
      <w:r>
        <w:t>d) Delimitado el conjunto de preceptos que han de considerarse adecuadamente impugnados, cumple determinar si persiste inalterado el objeto de este proceso constitucional a la vista de que el Real Decreto 777/2012, de 4 de mayo, ha modificado el Real Decreto controvertido. A tal efecto, atenderemos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w:t>
      </w:r>
    </w:p>
    <w:p w:rsidR="0085709A" w:rsidRDefault="0085709A" w:rsidP="0085709A">
      <w:pPr>
        <w:pStyle w:val="TextoNormal"/>
      </w:pPr>
    </w:p>
    <w:p w:rsidR="0085709A" w:rsidRDefault="0085709A" w:rsidP="0085709A">
      <w:pPr>
        <w:pStyle w:val="TextoNormal"/>
      </w:pPr>
      <w:r>
        <w:t>Las modificaciones que afectan a este procedimiento se limitan a incluir una actualización de las remisiones normativas que realizan las partes dispositiva y final del Real Decreto 975/2009; las menciones a la Ley 10/1998, de 21 de abril, de residuos, se sustituyen ahora por las de la Ley 22/2011, de 28 de julio, de residuos y suelos contaminados. Más concretamente, el artículo único 2 del Real Decreto 777/2012 modifica el apartado 3 del art. 2 del Real Decreto 975/2009. La queja planteada respecto de este artículo es que su remisión al legislador estatal obvia que un desarrollo autonómico puede colmar las hipotéticas lagunas sin necesidad de acudir a la Ley de residuos. Este reproche resulta perfectamente trasladable a la actual redacción del precepto impugnado. De idéntico contenido resulta la modificación del apartado 3 del art. 5 del Real Decreto 975/2009. Según la demanda, este precepto regularía un procedimiento administrativo desbordando los límites del art. 149.1.18 CE. La modificación realizada en nada afecta tampoco al conflicto subyacente. Consecuentemente, la controversia pervive en los términos en que ha sido planteada por lo que la reforma sobrevenida del Real Decreto impugnado no ha alterado el objeto del presente proceso constitucional.</w:t>
      </w:r>
    </w:p>
    <w:p w:rsidR="0085709A" w:rsidRDefault="0085709A" w:rsidP="0085709A">
      <w:pPr>
        <w:pStyle w:val="TextoNormal"/>
      </w:pPr>
    </w:p>
    <w:p w:rsidR="0085709A" w:rsidRDefault="0085709A" w:rsidP="0085709A">
      <w:pPr>
        <w:pStyle w:val="TextoNormal"/>
      </w:pPr>
      <w:r w:rsidRPr="0085709A">
        <w:rPr>
          <w:rStyle w:val="NumeroAFNegritaCaracter"/>
        </w:rPr>
        <w:t>3</w:t>
      </w:r>
      <w:r>
        <w:t>. Entrando al análisis de fondo de la cuestión controvertida, hemos de proceder al encuadramiento competencial de la materia, que en este caso es la gestión de los residuos de las industrias extractivas y la rehabilitación y protección de los espacios afectados por actividades mineras en su conjunto.</w:t>
      </w:r>
    </w:p>
    <w:p w:rsidR="0085709A" w:rsidRDefault="0085709A" w:rsidP="0085709A">
      <w:pPr>
        <w:pStyle w:val="TextoNormal"/>
      </w:pPr>
    </w:p>
    <w:p w:rsidR="0085709A" w:rsidRDefault="0085709A" w:rsidP="0085709A">
      <w:pPr>
        <w:pStyle w:val="TextoNormal"/>
      </w:pPr>
      <w:r>
        <w:t xml:space="preserve">Conforme a su disposición final segunda, todo el Real Decreto 975/2009 tiene carácter básico, excepto el anexo V (salvedad introducida por el Real Decreto 777/2012 en respuesta, por cierto, al requerimiento de incompetencia planteado por la Xunta con carácter previo al planteamiento del presente conflicto constitucional). El apartado 1 de esa disposición final declara que el Gobierno dicta el reglamento al amparo del art. 149.1.23 CE, que reserva al Estado la legislación básica sobre protección medioambiental. Su apartado 2 precisa, no obstante, que varios preceptos (entre ellos, los impugnados arts. 2, apartados 2 y 3; 4, apartado 3; 5; 13, 14, 15; 44, párrafo segundo; y 46) se dictan al amparo de la competencia estatal para adoptar las bases del régimen minero y energético (art. 149.1.25 CE); y que el título II —que incluye los impugnados arts. 42, apartados 2, 3 y 4; y 43 apartados 3 y 4— constituye legislación básica sobre seguros (art. 149.1.11 CE). La Xunta de Galicia asume los títulos competenciales de cobertura a que se refiere esta disposición final; matiza sólo </w:t>
      </w:r>
      <w:r>
        <w:lastRenderedPageBreak/>
        <w:t xml:space="preserve">que el art. 5 del Real Decreto 975/2009 debe encuadrarse en la competencia estatal sobre procedimiento administrativo común (art. 149.1.18 CE). En cambio, el Abogado del Estado entiende que el título prevalente que justifica la totalidad del Real Decreto es la protección del medio ambiente </w:t>
      </w:r>
      <w:r w:rsidRPr="0085709A">
        <w:rPr>
          <w:i/>
        </w:rPr>
        <w:t>ex</w:t>
      </w:r>
      <w:r>
        <w:t xml:space="preserve"> art. 149.1.23 CE, según resulta de su preámbulo, objeto y finalidad última.</w:t>
      </w:r>
    </w:p>
    <w:p w:rsidR="0085709A" w:rsidRDefault="0085709A" w:rsidP="0085709A">
      <w:pPr>
        <w:pStyle w:val="TextoNormal"/>
      </w:pPr>
    </w:p>
    <w:p w:rsidR="0085709A" w:rsidRDefault="0085709A" w:rsidP="0085709A">
      <w:pPr>
        <w:pStyle w:val="TextoNormal"/>
      </w:pPr>
      <w:r>
        <w:t>El Real Decreto 975/2009 incide sobre materias diversas, singularmente las explotaciones mineras y el medio ambiente; combate los efectos perniciosos que las primeras producen sobre el segundo. El Estado dispone de competencias para adoptar legislación básica en ambas materias (apartados 25 y 23, respectivamente, del art. 149.1 CE). Sin embargo, no es irrelevante determinar la categoría específica, de entre las dos en liza, “a la que primordialmente se reconducen las competencias controvertidas” (STC 80/1985, de 4 de julio, FJ 1); el alcance de las exigencias impuestas al legislador básico puede ser diferente “en función del subsector” de que se trate (SSTC 31/2010, de 28 de junio, FJ 60; 184/2012, de 17 de octubre, FJ 3). Para decidir si la controversia debe encuadrarse en el apartado 25 o en el 23, ambos del art. 149.1 CE, la cobertura competencial enunciada por el Real Decreto enjuiciado o la propuesta por las partes del proceso constitucional pueden ser indicativas; naturalmente, no vinculan al Tribunal Constitucional: “para llegar a una calificación competencial correcta” hay que atender “tanto el sentido o finalidad de los varios títulos competenciales”, como al “carácter, sentido y finalidad de las disposiciones traídas al conflicto, es decir, el contenido del precepto controvertido” (por todas, SSTC 153/1989, de 5 de octubre, FJ 5; 97/1996, de 28 de noviembre, FJ 3, y 236/2012, de 13 de diciembre, FJ 3).</w:t>
      </w:r>
    </w:p>
    <w:p w:rsidR="0085709A" w:rsidRDefault="0085709A" w:rsidP="0085709A">
      <w:pPr>
        <w:pStyle w:val="TextoNormal"/>
      </w:pPr>
    </w:p>
    <w:p w:rsidR="0085709A" w:rsidRDefault="0085709A" w:rsidP="0085709A">
      <w:pPr>
        <w:pStyle w:val="TextoNormal"/>
      </w:pPr>
      <w:r>
        <w:t>En cuanto al sentido del art. 149.1.23 CE, la conexión entre protección del medio ambiente y gestión de residuos es más que manifiesta; está ya establecida en la Sentencia constitucional de referencia en materia de medio ambiente (STC 102/1995, de 26 de junio, FJ 7). El Tribunal la ha perfilado aún más en otros pronunciamientos. Las SSTC 149/1991, de 4 de julio, FJ 4, y 15/1998, de 22 de enero, FJ 9, declaran que la materia “vertidos” (en aguas continentales o del mar territorial) constituye un título específico incardinado en las competencias sobre medio ambiente; la STC 14/2004, de 13 de febrero, FJ 10, referida a la energía nuclear, reconoce la incidencia que “todos los residuos, y en especial los provenientes de este tipo de energía, pueden tener en el ecosistema y por tanto en la salud humana”, y la STC 104/2013, de 25 de abril, FJ 8, reconduce al art. 149.1.23 CE una regulación sobre residuos derivados de la práctica de actividades potencialmente contaminantes del suelo.</w:t>
      </w:r>
    </w:p>
    <w:p w:rsidR="0085709A" w:rsidRDefault="0085709A" w:rsidP="0085709A">
      <w:pPr>
        <w:pStyle w:val="TextoNormal"/>
      </w:pPr>
    </w:p>
    <w:p w:rsidR="0085709A" w:rsidRDefault="0085709A" w:rsidP="0085709A">
      <w:pPr>
        <w:pStyle w:val="TextoNormal"/>
      </w:pPr>
      <w:r>
        <w:t xml:space="preserve">Respecto del sentido del art. 149.1.25 CE, la conflictividad competencial en la materia “bases del régimen minero” es escasa. Una de las pocas Sentencias constitucionales que aborda la legislación minera (STC 64/1982, de 4 noviembre, FFJJ 4 y 5) examinó alguno de sus aspectos (en particular, el margen autonómico para la fijación de requisitos y cargas para el otorgamiento de las autorizaciones, permisos y concesiones) bajo la perspectiva del art. 149.1.23 CE (tales “requisitos y cargas están dirigidos a la protección de un bien constitucional como es el medio ambiente”). En todo caso, la doctrina constitucional ha tenido oportunidad de aclarar que un conflicto competencial debe encuadrarse en “medio ambiente” (art. 149.1.23 CE) o “energía” (art. 149.1.25 CE) a partir de la finalidad del precepto impugnado; si la norma controvertida no persigue objetivos de protección medioambiental debe reconducirse al art. 149.1.25 (STC 14/2004, FJ 10). Recientemente, la STC 106/2014, de 24 de junio, FJ 6 c), ha aplicado esta pauta para enmarcar diversos preceptos de la Ley 17/2013, de 29 de octubre, para la garantía del suministro e incremento de la competencia </w:t>
      </w:r>
      <w:r>
        <w:lastRenderedPageBreak/>
        <w:t xml:space="preserve">en los sistemas eléctricos insulares y peninsulares. La exigencia de la declaración de impacto ambiental favorable para autorizar proyectos de perforación conforme a técnicas de fractura hidráulica “no puede ampararse en los títulos competenciales estatales </w:t>
      </w:r>
      <w:r w:rsidRPr="0085709A">
        <w:rPr>
          <w:i/>
        </w:rPr>
        <w:t>ex</w:t>
      </w:r>
      <w:r>
        <w:t xml:space="preserve"> art. 149.1.13 CE y art. 149.1.25 CE, sino en la competencia exclusiva del Estado para dictar la legislación básica en materia de protección del medio ambiente” (art. 149.1.23 CE). En cambio, “la fijación por el Estado de unos criterios uniformes en cuanto a las técnicas que pueden ser utilizadas en la exploración, investigación y explotación de hidrocarburos constituye una norma básica, con arreglo al art. 149.1.13 y 25 CE”. De modo que el título “bases del régimen minero” (art. 149.1.25 CE) está llamado a cubrir normas estatales de este específico sector desvinculadas de fines medioambientales, las que no tienen por objeto atajar las repercusiones negativas sobre el entorno y la biodiversidad de la actividad minera.</w:t>
      </w:r>
    </w:p>
    <w:p w:rsidR="0085709A" w:rsidRDefault="0085709A" w:rsidP="0085709A">
      <w:pPr>
        <w:pStyle w:val="TextoNormal"/>
      </w:pPr>
    </w:p>
    <w:p w:rsidR="0085709A" w:rsidRDefault="0085709A" w:rsidP="0085709A">
      <w:pPr>
        <w:pStyle w:val="TextoNormal"/>
      </w:pPr>
      <w:r>
        <w:t xml:space="preserve">En cuanto al carácter y sentido de las disposiciones traídas al conflicto, el Real Decreto 975/2009 pretende garantizar la rehabilitación de las zonas donde se hayan situado las instalaciones de residuos mineros, regulando la gestión de los derivados de las industrias extractivas en tierra firme; es decir, los resultantes de las actividades de investigación y aprovechamiento reguladas por la Ley 22/1973, de 21 de julio, de minas. La exposición de motivos del Real Decreto se refiere expresamente a su “filosofía protectora del medio ambiente”, desarrollada en el marco de la Directiva 2006/21/CE del Parlamento y del Consejo, de 15 de marzo de 2006, sobre gestión de los residuos de industrias extractivas: “la Directiva 2006/21/CE responde a los objetivos de la política comunitaria de medio ambiente, según la cual es necesario establecer requisitos mínimos para prevenir o reducir en la medida de lo posible cualquier efecto adverso sobre el medio ambiente y la salud humana derivado de la gestión de residuos de industrias extractivas, tales como son los estériles de mina, gangas del todo uno, rechazos y las colas de proceso e incluso la tierra vegetal y cobertera en determinadas condiciones, siempre que constituyan residuos tal y como se definen en la Ley 10/1998, de 21 de abril, de residuos. Todo ello de conformidad con el apartado 24 del Plan de aplicación de Johannesburgo sobre el desarrollo sostenible, aprobado en el marco de las Naciones Unidas en la Cumbre Mundial del año 2002, según el cual es necesario proteger los recursos naturales que son la base del desarrollo económico y social e invertir la actual tendencia hacia la degradación de los recursos naturales gestionando la base de tales recursos de modo sostenible e integrado”. La “incorporación al ordenamiento español de esta Directiva se lleva a cabo, con carácter básico, mediante este Real Decreto, a través del cual también se pretende unificar y mejorar las disposiciones relativas a la protección del medio ambiente en el ámbito de la investigación y aprovechamiento de los recursos minerales regulado por la Ley de Minas”. En consonancia con el principio de no regresión (cláusula </w:t>
      </w:r>
      <w:r w:rsidRPr="0085709A">
        <w:rPr>
          <w:i/>
        </w:rPr>
        <w:t>stand still</w:t>
      </w:r>
      <w:r>
        <w:t>), el Real Decreto “adecua sus disposiciones a las previsiones de la Directiva 2006/21/CE, si bien conserva en algunos puntos el mayor grado de restricción” previsto en la normativa reglamentaria precedente.</w:t>
      </w:r>
    </w:p>
    <w:p w:rsidR="0085709A" w:rsidRDefault="0085709A" w:rsidP="0085709A">
      <w:pPr>
        <w:pStyle w:val="TextoNormal"/>
      </w:pPr>
    </w:p>
    <w:p w:rsidR="0085709A" w:rsidRDefault="0085709A" w:rsidP="0085709A">
      <w:pPr>
        <w:pStyle w:val="TextoNormal"/>
      </w:pPr>
      <w:r>
        <w:t>A la vista del sentido de los apartados 23 y 25 del art. 149.1 CE y del carácter y finalidad de la regulación impugnada, no cabe duda de que el título competencial específico y prevalente en el que se enmarca la presente controversia es “legislación básica sobre protección del medio ambiente, sin perjuicio de las facultades de las Comunidades Autónomas de establecer normas adicionales de protección” (art. 149.1.23 CE). El análisis singularizado de los preceptos impugnados, también los que la disposición final segunda declara básicos conforme a otros títulos competenciales, confirma esta conclusión con sólo alguna excepción. Este análisis se realiza después.</w:t>
      </w:r>
    </w:p>
    <w:p w:rsidR="0085709A" w:rsidRDefault="0085709A" w:rsidP="0085709A">
      <w:pPr>
        <w:pStyle w:val="TextoNormal"/>
      </w:pPr>
    </w:p>
    <w:p w:rsidR="0085709A" w:rsidRDefault="0085709A" w:rsidP="0085709A">
      <w:pPr>
        <w:pStyle w:val="TextoNormal"/>
      </w:pPr>
      <w:r w:rsidRPr="0085709A">
        <w:rPr>
          <w:rStyle w:val="NumeroAFNegritaCaracter"/>
        </w:rPr>
        <w:t>4</w:t>
      </w:r>
      <w:r>
        <w:t>. Procede ya responder la petición principal de que el Real Decreto controvertido sea declarado inconstitucional y nulo en su totalidad. La solicitud se basa en la consideración de que el reglamento impugnado no se ajusta a la doctrina constitucional sobre la dimensión formal de la legislación básica. El Estado no podría dictar válidamente una norma básica a través de este instrumento porque la exigencia de rango legal sería casi imperativa y porque en ningún caso cabría el desarrollo reglamentario de carácter básico de una ley preconstitucional, como es la Ley 22/1973, de 21 de julio, de minas. El Real Decreto impugnado tampoco respetaría las exigencias materiales que la Constitución y su máximo intérprete imponen al legislador básico estatal. Incurriría en un grado tal de detalle que agotaría la regulación de la materia desbordando el ámbito que corresponde a la legislación básica. Este reproche se dirige de manera general al conjunto de la regulación reglamentaria y se razona después, aunque sólo en una pequeña medida y limitadamente a algunos de los preceptos a los que afecta la petición subsidiaria de anulación.</w:t>
      </w:r>
    </w:p>
    <w:p w:rsidR="0085709A" w:rsidRDefault="0085709A" w:rsidP="0085709A">
      <w:pPr>
        <w:pStyle w:val="TextoNormal"/>
      </w:pPr>
    </w:p>
    <w:p w:rsidR="0085709A" w:rsidRDefault="0085709A" w:rsidP="0085709A">
      <w:pPr>
        <w:pStyle w:val="TextoNormal"/>
      </w:pPr>
      <w:r>
        <w:t>Debemos rechazar por de pronto que la normativa básica esté vedada al reglamento sólo porque la legislación desarrollada sea preconstitucional. Este Tribunal ha admitido como básicas leyes dictadas antes de la entrada en vigor de la Constitución, ha entendido que de las del sector minero pueden deducirse normas básicas de protección medioambiental (por todas, STC 64/1982, FJ 5) y ha considerado, en particular, que en determinadas circunstancias estas normas legales preconstitucionales pueden admitir un desarrollo reglamentario de carácter básico (entre muchas, STC 1/1982, de 28 de enero, FJ 1). En realidad, la cuestión problemática no es si cabe admitir bases reglamentarias que desarrollen leyes preconstitucionales; es si en este caso se daba alguna de las circunstancias que la Constitución exige para la aprobación de legislación básica a través de reglamentos, ello con independencia de que la ley desarrollada sea anterior o posterior al texto constitucional.</w:t>
      </w:r>
    </w:p>
    <w:p w:rsidR="0085709A" w:rsidRDefault="0085709A" w:rsidP="0085709A">
      <w:pPr>
        <w:pStyle w:val="TextoNormal"/>
      </w:pPr>
    </w:p>
    <w:p w:rsidR="0085709A" w:rsidRDefault="0085709A" w:rsidP="0085709A">
      <w:pPr>
        <w:pStyle w:val="TextoNormal"/>
      </w:pPr>
      <w:r>
        <w:t xml:space="preserve">Ciertamente, la norma de rango legal es el instrumento idóneo para establecer bases porque a través de ella se alcanza, “con las garantías inherentes al procedimiento legislativo, una determinación cierta y estable de los ámbitos respectivos de ordenación de las materias en las que concurren y se articulan las competencias básicas estatales y las legislativas y reglamentarias autonómicas” (STC 69/1988, de 19 de abril, FJ 5). Se trata, no obstante, de una exigencia no absoluta; en determinadas circunstancias el Gobierno de la Nación puede hacer uso de su potestad reglamentaria para regular aspectos básicos de una materia. Una de las circunstancias que ha justificado históricamente la fijación reglamentaria de bases fue la necesidad “impuesta por una situación de transición” de “adecuar la legislación preconstitucional a situaciones nuevas derivadas del orden constitucional” (STC 69/1988, FJ 5). Junto a ella, hay las que ha ido perfilando la doctrina constitucional, desvinculadas ya de aquella situación transitoria y asociadas a las características de determinados sectores: “en algunas materias ciertas decisiones y actuaciones de tipo coyuntural, que tienen como objeto la regulación inmediata de materias concretas, pueden tener sin duda un carácter básico, y, en consecuencia, el Gobierno podrá hacer uso de su potestad reglamentaria para regular por Real Decreto, y, de modo complementario, algunos de esos aspectos particulares o concretos de la materia básica” (STC 77/1985, de 27 de junio, FJ 16). En varios sectores, como el educativo, el Tribunal ha afirmado específicamente que la regulación reglamentaria de carácter básico “resultaría acorde con los preceptos constitucionales si, primeramente, resultara de una habilitación legal, y, en segundo lugar, si su rango reglamentario viniera justificado por tratarse de materias cuya naturaleza exigiera un tratamiento para el que las normas </w:t>
      </w:r>
      <w:r>
        <w:lastRenderedPageBreak/>
        <w:t>legales resultaran inadecuadas por sus mismas características” (por todas, SSTC 77/1985, FJ 16; 184/2012, FJ 3). Respecto de la materia que aquí interesa, este Tribunal ha reputado básicas regulaciones reglamentarias por parecidas razones: “el carácter básico en su perspectiva formal del Real Decreto impugnado puede deducirse con facilidad de su estructura y contenido, ya que su articulado enlaza con la expresa previsión de la Ley y desarrolla su regulación en lo relativo a la organización y funcionamiento de las comisiones mixtas de gestión y de los patronatos de los parques nacionales” (STC 32/2006, de 1 de febrero, FJ 5).</w:t>
      </w:r>
    </w:p>
    <w:p w:rsidR="0085709A" w:rsidRDefault="0085709A" w:rsidP="0085709A">
      <w:pPr>
        <w:pStyle w:val="TextoNormal"/>
      </w:pPr>
    </w:p>
    <w:p w:rsidR="0085709A" w:rsidRDefault="0085709A" w:rsidP="0085709A">
      <w:pPr>
        <w:pStyle w:val="TextoNormal"/>
      </w:pPr>
      <w:r>
        <w:t>Proyectando la doctrina expuesta, hay que entender que el Real Decreto controvertido se ajusta a la doctrina constitucional sobre la dimensión formal de las bases. Hay que tener en cuenta que, tal como afirma su exposición de motivos, se dicta en desarrollo de previsiones básicas de las Leyes 22/1973, de 21 de julio, de minas, 10/1998, de 21 de abril, de residuos (sustituida después por Ley 22/2011, de 28 de julio, de residuos y suelos contaminados) y 26/2007, de 23 de octubre, de responsabilidad medioambiental; leyes que, por lo demás, habilitan expresamente al Gobierno para su desarrollo reglamentario (art. 5.3, disposición final séptima y disposición final tercera, respectivamente). De modo que el Real Decreto constituye el complemento de una regulación legal que establece los términos generales de lo básico. A su vez, contiene una regulación marcadamente técnica; en el marco de la Directiva 2006/21/CE pretende “minimizar la posibilidad de que se produzcan accidentes” y “garantizar un nivel elevado de protección del medio ambiente y la salud de las personas” a través del plan de restauración y otros instrumentos de carácter eminentemente técnico.</w:t>
      </w:r>
    </w:p>
    <w:p w:rsidR="0085709A" w:rsidRDefault="0085709A" w:rsidP="0085709A">
      <w:pPr>
        <w:pStyle w:val="TextoNormal"/>
      </w:pPr>
    </w:p>
    <w:p w:rsidR="0085709A" w:rsidRDefault="0085709A" w:rsidP="0085709A">
      <w:pPr>
        <w:pStyle w:val="TextoNormal"/>
      </w:pPr>
      <w:r>
        <w:t>Naturalmente, no puede excluirse en abstracto que algún precepto concreto pudiera exigir cobertura legal (STC 77/1985, de 27 de junio, FJ 16), pero debe detenerse aquí nuestro enjuiciamiento a la vista de que la Xunta de Galicia dirige este motivo contra el Real Decreto en su conjunto, formulándolo genéricamente. Este Tribunal tampoco puede responder a la denuncia de exceso competencial por desbordamiento del ámbito material de lo básico dirigida contra el conjunto de la regulación reglamentaria, dada su formulación abstracta; sin perjuicio de la respuesta que habremos de proporcionar a los razonamientos esgrimidos contra preceptos concretos.</w:t>
      </w:r>
    </w:p>
    <w:p w:rsidR="0085709A" w:rsidRDefault="0085709A" w:rsidP="0085709A">
      <w:pPr>
        <w:pStyle w:val="TextoNormal"/>
      </w:pPr>
    </w:p>
    <w:p w:rsidR="0085709A" w:rsidRDefault="0085709A" w:rsidP="0085709A">
      <w:pPr>
        <w:pStyle w:val="TextoNormal"/>
      </w:pPr>
      <w:r>
        <w:t>Procede, en consecuencia, desestimar la petición principal de que el Real Decreto 975/2009 sea declarado inconstitucional y nulo en su totalidad.</w:t>
      </w:r>
    </w:p>
    <w:p w:rsidR="0085709A" w:rsidRDefault="0085709A" w:rsidP="0085709A">
      <w:pPr>
        <w:pStyle w:val="TextoNormal"/>
      </w:pPr>
    </w:p>
    <w:p w:rsidR="0085709A" w:rsidRDefault="0085709A" w:rsidP="0085709A">
      <w:pPr>
        <w:pStyle w:val="TextoNormal"/>
      </w:pPr>
      <w:r w:rsidRPr="0085709A">
        <w:rPr>
          <w:rStyle w:val="NumeroAFNegritaCaracter"/>
        </w:rPr>
        <w:t>5</w:t>
      </w:r>
      <w:r>
        <w:t>. Corresponde ahora examinar la impugnación subsidiaria por extralimitación del ámbito material de lo básico planteada respecto de los preceptos indicados en el fundamento jurídico 2 c) de esta Sentencia. El Letrado de la Xunta de Galicia alega respecto de todas estas previsiones (salvo la disposición adicional segunda, impugnada por otro motivo) que el Estado ha sobrepasado el ámbito material de lo básico, solicitando en consecuencia que sean declarados inconstitucionales y nulos. La respuesta a estas impugnaciones habrá de manejar como parámetro de enjuiciamiento, naturalmente, la doctrina constitucional sobre el alcance material de lo básico. Exponemos de manera sintética a continuación los aspectos que aquí interesan de la elaborada específicamente en materia medioambiental.</w:t>
      </w:r>
    </w:p>
    <w:p w:rsidR="0085709A" w:rsidRDefault="0085709A" w:rsidP="0085709A">
      <w:pPr>
        <w:pStyle w:val="TextoNormal"/>
      </w:pPr>
    </w:p>
    <w:p w:rsidR="0085709A" w:rsidRDefault="0085709A" w:rsidP="0085709A">
      <w:pPr>
        <w:pStyle w:val="TextoNormal"/>
      </w:pPr>
      <w:r>
        <w:t xml:space="preserve">La STC 69/2013, de 14 de marzo, FFJJ 1 y 2 b), al resolver el recurso interpuesto por el Consejo de Gobierno de la Junta de Castilla y León contra la Ley 42/2007, de 13 de diciembre, del patrimonio natural y la biodiversidad, ha resumido y desarrollado los criterios que la doctrina constitucional, en general; la STC 101/2005, FJ 5, en particular, ha identificado </w:t>
      </w:r>
      <w:r>
        <w:lastRenderedPageBreak/>
        <w:t>los característicos de las bases medioambientales. La extraordinaria relevancia que la Constitución asigna al medio ambiente y la situación a la que éste se halla expuesto (“sin incurrir en exageración”, puede calificarse de “riesgo actual para el propio bienestar de la sociedad global”) justifican que las Comunidades Autónomas con competencias en la materia puedan establecer niveles de protección más altos que el legislador básico estatal. Lo “básico, como propio de la competencia estatal en esta materia, cumple más bien una función de ordenación mediante mínimos que han de respetarse en todo caso”; las bases estatales son compatibles con las “normas adicionales de protección” de las Comunidades Autónomas, tal como establece literalmente el art. 149.1.23 CE. Por lo mismo, de acuerdo con la tendencia general actual, corresponde al Estado imponer el “encuadramiento de una política global en materia de medio ambiente”, teniendo en cuenta el alcance no ya nacional, sino internacional que tiene la regulación de esta materia, así como la exigencia de la “indispensable solidaridad colectiva” a que se refiere el art. 45.2 CE. De ahí también que la intervención estatal pueda ser “singularmente intensa”, que la “piedra de toque” para calificar de básica la norma medioambiental sea más su “finalidad tuitiva” que su carácter genérico o detallado, abstracto o concreto. El deber del legislador básico estatal de dejar un margen a la normativa autonómica será “menor que en otros ámbitos”, aunque no pueda llegar “a tal grado de detalle que no permita desarrollo legislativo alguno de las Comunidades Autónomas con competencias en materia de medio ambiente, vaciándolas así de contenido”.</w:t>
      </w:r>
    </w:p>
    <w:p w:rsidR="0085709A" w:rsidRDefault="0085709A" w:rsidP="0085709A">
      <w:pPr>
        <w:pStyle w:val="TextoNormal"/>
      </w:pPr>
    </w:p>
    <w:p w:rsidR="0085709A" w:rsidRDefault="0085709A" w:rsidP="0085709A">
      <w:pPr>
        <w:pStyle w:val="TextoNormal"/>
      </w:pPr>
      <w:r>
        <w:t>Por otra parte, la STC 138/2013, de 6 de junio, FJ 4, al resolver el recurso interpuesto por el Gobierno de la Comunidad de Madrid contra esa misma Ley, ha aislado una relevante línea de la política medioambiental nacional, europea e internacional que es preciso recordar aquí; habrá pues de tenerse en cuenta a la hora de examinar las diversas impugnaciones. En “el marco del Convenio de Aarhus de 1998 y de la legislación comunitaria, la Ley 27/2006, de 18 de julio, establece el derecho de todos a acceder ‘a la información ambiental que obre en poder de las autoridades públicas o en el de otros sujetos que la posean en su nombre’ [art. 1.1 a)], junto a la obligación positiva de las autoridades públicas de difundirla amplia y sistemáticamente (art. 6.1: ‘las autoridades públicas adoptarán las medidas oportunas para asegurar la paulatina difusión de la información ambiental y su puesta a disposición del público de la manera más amplia y sistemática posible’). Estas previsiones se concretan en la elaboración y publicación de informes y evaluaciones (arts. 7 y 9), entre otros instrumentos. Se trata de que los ciudadanos puedan contribuir eficazmente a la protección del medio ambiente, para lo cual resulta fundamental la transparencia, sin que las Administraciones públicas puedan dejar de proporcionar o difundir información ambiental escudándose en que se refiere a asuntos que no son de su competencia”.</w:t>
      </w:r>
    </w:p>
    <w:p w:rsidR="0085709A" w:rsidRDefault="0085709A" w:rsidP="0085709A">
      <w:pPr>
        <w:pStyle w:val="TextoNormal"/>
      </w:pPr>
    </w:p>
    <w:p w:rsidR="0085709A" w:rsidRDefault="0085709A" w:rsidP="0085709A">
      <w:pPr>
        <w:pStyle w:val="TextoNormal"/>
      </w:pPr>
      <w:r>
        <w:t xml:space="preserve">El Real Decreto controvertido se inserta en esta política medioambiental, desarrollando dos pilares del Convenio de Aarhus: el acceso público a informaciones medioambientales y la participación ciudadana en las decisiones con repercusión medioambiental. Incluye mecanismos específicos que, al igual que los examinados por aquella Sentencia, expresan “la apuesta del legislador básico (adoptada, por lo demás, dentro del contexto europeo e internacional) por una concreta política medioambiental, que es la que confía en la iniciativa de los propios ciudadanos para luchar contra la degradación del medio y de la biodiversidad” (STC 138/2013, FJ 4). Ello resulta de la propia exposición de motivos del Real Decreto 975/2009, que se refiere a las dimensiones “informativa” y “participativa” del citado Convenio: “se ha garantizado que, de acuerdo con la Convención de las Naciones Unidas sobre el acceso a la información, la participación pública en la toma de decisiones y el acceso a la </w:t>
      </w:r>
      <w:r>
        <w:lastRenderedPageBreak/>
        <w:t>justicia en materia de medio ambiente, de 25 de junio de 1998 (Convención de Aarhus), el público sea informado de toda solicitud de autorización de plan de restauración que incluye el plan de gestión de residuos y que el público interesado sea consultado previamente a la concesión de una autorización del plan de restauración”. En relación específicamente con la dimensión “informativa”, destaca también la previsión de “un inventario de las instalaciones de residuos mineros clausuradas, incluidas las instalaciones abandonadas, situadas en territorio español”.</w:t>
      </w:r>
    </w:p>
    <w:p w:rsidR="0085709A" w:rsidRDefault="0085709A" w:rsidP="0085709A">
      <w:pPr>
        <w:pStyle w:val="TextoNormal"/>
      </w:pPr>
    </w:p>
    <w:p w:rsidR="0085709A" w:rsidRDefault="0085709A" w:rsidP="0085709A">
      <w:pPr>
        <w:pStyle w:val="TextoNormal"/>
      </w:pPr>
      <w:r w:rsidRPr="0085709A">
        <w:rPr>
          <w:rStyle w:val="NumeroAFNegritaCaracter"/>
        </w:rPr>
        <w:t>6</w:t>
      </w:r>
      <w:r>
        <w:t>. Cumple ya resolver las concretas impugnaciones que la Xunta de Galicia realiza respecto de los artículos a los que hemos restringido el objeto del presente conflicto.</w:t>
      </w:r>
    </w:p>
    <w:p w:rsidR="0085709A" w:rsidRDefault="0085709A" w:rsidP="0085709A">
      <w:pPr>
        <w:pStyle w:val="TextoNormal"/>
      </w:pPr>
    </w:p>
    <w:p w:rsidR="0085709A" w:rsidRDefault="0085709A" w:rsidP="0085709A">
      <w:pPr>
        <w:pStyle w:val="TextoNormal"/>
      </w:pPr>
      <w:r>
        <w:t>a) El Letrado de la Xunta de Galicia impugna los arts. 2 (apartados 2 y 3) y 46 así como la disposición adicional segunda. El art. 2 se refiere al ámbito de aplicación del Real Decreto 975/2009. Conforme a su apartado segundo, la “entidad explotadora, titular o arrendataria del derecho minero original o transmitido, que realice actividades de investigación y aprovechamiento reguladas por la Ley 22/1973, de 21 de julio, de minas, queda obligada a realizar, con sus medios, los trabajos de rehabilitación del espacio natural afectado por las labores mineras así como por sus servicios e instalaciones anejas, en los términos que prevé este real decreto. Asimismo deberá abordar la gestión de los residuos mineros que su actividad genere enfocada a su reducción, tratamiento, recuperación y eliminación”. El apartado 3 se remite en lo no regulado por el Real Decreto a la Ley 10/1998, de 21 de abril, de residuos. Por otra parte, el art. 46, de “Régimen sancionador”, incluye remisiones al régimen sancionador de varias leyes estatales. A su vez, la disposición adicional segunda, sobre “inventarios” dispone: “El Ministerio de Medio Ambiente, Medio Rural y Marino y el Ministerio de Industria, Turismo y Comercio realizarán antes del 1 de mayo de 2012, en colaboración con las Comunidades Autónomas, un inventario de las instalaciones de residuos mineros clausuradas, incluidas las instalaciones de residuos mineros abandonadas, situadas en territorio español, que tengan un impacto medioambiental grave o que puedan convertirse a medio o corto plazo en una amenaza grave para la salud o seguridad de las personas y bienes o para el medio ambiente y que será actualizado periódicamente. El Ministerio de Sanidad y Política Social colaborará en la realización del inventario en caso de instalaciones de residuos mineros que puedan causar una amenaza grave para la salud humana”.</w:t>
      </w:r>
    </w:p>
    <w:p w:rsidR="0085709A" w:rsidRDefault="0085709A" w:rsidP="0085709A">
      <w:pPr>
        <w:pStyle w:val="TextoNormal"/>
      </w:pPr>
    </w:p>
    <w:p w:rsidR="0085709A" w:rsidRDefault="0085709A" w:rsidP="0085709A">
      <w:pPr>
        <w:pStyle w:val="TextoNormal"/>
      </w:pPr>
      <w:r>
        <w:t>El Letrado autonómico no cuestiona el contenido en sí de los arts. 2 y 46; no considera que sea excesivamente detallado o agotador. Tales previsiones desbordarían el ámbito material de lo básico sólo por silenciar la posibilidad de un desarrollo autonómico; no incluyen referencia alguna a las competencias autonómicas en la materia y las únicas remisiones incluidas se hacen en favor de legislación estatal. En parecido sentido, la disposición adicional segunda sería inconstitucional por no mencionar la competencia de las Comunidades Autónomas para crear sus propios inventarios de residuos mineros. El Letrado autonómico no se opone a que el Estado cree un inventario, pero sí a que recopile directamente la información. De modo que el Real Decreto vulneraría en este caso las competencias ejecutivas de la Comunidad de Galicia porque la información sistematizada debería obtenerse necesariamente de registros autonómicos.</w:t>
      </w:r>
    </w:p>
    <w:p w:rsidR="0085709A" w:rsidRDefault="0085709A" w:rsidP="0085709A">
      <w:pPr>
        <w:pStyle w:val="TextoNormal"/>
      </w:pPr>
    </w:p>
    <w:p w:rsidR="0085709A" w:rsidRDefault="0085709A" w:rsidP="0085709A">
      <w:pPr>
        <w:pStyle w:val="TextoNormal"/>
      </w:pPr>
      <w:r>
        <w:t xml:space="preserve">Corresponde apreciar que los preceptos impugnados en modo alguno excluyen el ejercicio de las competencias medioambientales de la Comunidad gallega. La remisión a leyes estatales no puede interpretarse como excluyente de la legislación autonómica de desarrollo. </w:t>
      </w:r>
      <w:r>
        <w:lastRenderedPageBreak/>
        <w:t>Además, la ausencia de una referencia expresa a las atribuciones estatutarias de las Comunidades Autónomas no conlleva vulneración competencial alguna; “el Estado, en el ejercicio de sus competencias, no viene obligado a reservar, mediante una cláusula de salvaguardia, las competencias que puedan tener las Comunidades Autónomas en la respectiva materia” (STC 112/2014, de 7 de julio, FJ 4).</w:t>
      </w:r>
    </w:p>
    <w:p w:rsidR="0085709A" w:rsidRDefault="0085709A" w:rsidP="0085709A">
      <w:pPr>
        <w:pStyle w:val="TextoNormal"/>
      </w:pPr>
    </w:p>
    <w:p w:rsidR="0085709A" w:rsidRDefault="0085709A" w:rsidP="0085709A">
      <w:pPr>
        <w:pStyle w:val="TextoNormal"/>
      </w:pPr>
      <w:r>
        <w:t>Respecto de la disposición adicional segunda, en particular, hay que recordar, “sin olvidar las diferencias entre unas y otras materias desde los diferentes criterios de distribución competencial”, que “es constitucionalmente posible la creación de un Registro único para todo el Estado que garantice la centralización de todos los datos a los estrictos efectos de información y publicidad” (STC 197/1996, de 28 de noviembre, FJ 12, y, recientemente, STC 11/2015, de 5 de febrero, FJ 6). Respecto de la materia que aquí interesa específicamente, la STC 138/2013, de 6 de junio, FJ 4 (retomando y desarrollando doctrina constitucional anterior) ha declarado que no “se requiere excesiva argumentación para comprender la necesidad de que existan ciertos registros o catálogos, la configuración de su contenido (datos inscribibles) y la determinación de su eficacia pueden ser tenidos sin dificultad por básicos como también la ordenación y regulación del servicio en sus líneas maestras”. Señalaba en este sentido que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“máxime cuando la catalogación ha de conectarse con los planes y viene también exigida por normativa europea e internacional”. No puede tampoco “perderse de vista el carácter crucial” de los instrumentos previstos para sintetizar y valorar información ambiental; se ponen al servicio de una específica política de alcance nacional, comunitario e internacional característica de este sector del ordenamiento, que —según se ha anticipado ya— consiste en confiar “en la iniciativa de los propios ciudadanos para luchar contra la degradación del medio y de la biodiversidad”.</w:t>
      </w:r>
    </w:p>
    <w:p w:rsidR="0085709A" w:rsidRDefault="0085709A" w:rsidP="0085709A">
      <w:pPr>
        <w:pStyle w:val="TextoNormal"/>
      </w:pPr>
    </w:p>
    <w:p w:rsidR="0085709A" w:rsidRDefault="0085709A" w:rsidP="0085709A">
      <w:pPr>
        <w:pStyle w:val="TextoNormal"/>
      </w:pPr>
      <w:r>
        <w:t>Ciertamente, “si las facultades del Estado están circunscritas a la potestad de normación para la creación de un Registro único”, como ocurre en este caso, la regulación que atribuyera al Estado “otras facultades, de índole ejecutiva”, excedería “su ámbito de actuación competencialmente posible” (STC 197/1996, de 28 de noviembre, FJ 12). Sin embargo, la disposición controvertida prevé la creación de “un inventario de las instalaciones de residuos mineros clausuradas”, que tengan un “impacto medioambiental grave o que puedan convertirse a medio o corto plazo en una amenaza grave para la salud”. Con ello no atribuye a órganos estatales funciones de gestión que correspondan a las Comunidades Autónomas, ni los apodera específicamente para recopilar directamente información. Por el contrario, la disposición adicional segunda establece que la creación misma del indicado inventario debe hacerse “en colaboración con las Comunidades Autónomas”. De modo que la previsión controvertida no ha invadido las competencias ejecutivas que tiene atribuidas la Comunidad Autónoma de Galicia.</w:t>
      </w:r>
    </w:p>
    <w:p w:rsidR="0085709A" w:rsidRDefault="0085709A" w:rsidP="0085709A">
      <w:pPr>
        <w:pStyle w:val="TextoNormal"/>
      </w:pPr>
    </w:p>
    <w:p w:rsidR="0085709A" w:rsidRDefault="0085709A" w:rsidP="0085709A">
      <w:pPr>
        <w:pStyle w:val="TextoNormal"/>
      </w:pPr>
      <w:r>
        <w:t>Consecuentemente, procede desestimar la impugnación de los arts. 2 (apartados 2 y 3) y 46, así como de la disposición adicional segunda del Real Decreto 975/2009.</w:t>
      </w:r>
    </w:p>
    <w:p w:rsidR="0085709A" w:rsidRDefault="0085709A" w:rsidP="0085709A">
      <w:pPr>
        <w:pStyle w:val="TextoNormal"/>
      </w:pPr>
    </w:p>
    <w:p w:rsidR="0085709A" w:rsidRDefault="0085709A" w:rsidP="0085709A">
      <w:pPr>
        <w:pStyle w:val="TextoNormal"/>
      </w:pPr>
      <w:r>
        <w:t xml:space="preserve">b) El letrado de la Xunta de Galicia impugna varios preceptos relativos al diseño, objetivos y contenidos del plan de restauración [arts. 3.4, 12, 13, 14, 15, 18.1 b) (números 1 y 2), </w:t>
      </w:r>
      <w:r>
        <w:lastRenderedPageBreak/>
        <w:t>17.2, 19 (apartados 3 y 4), 22.3, 24.2, 27.3, 28 (excepto párrafo primero), 30.3, 31, 32 (apartados 2, 3 y 4), 33 (apartados 3 y 4), 37.4 (párrafo segundo), 38 (párrafo segundo)] y a la inspección de las actividades de vertido (art. 44, párrafo segundo).</w:t>
      </w:r>
    </w:p>
    <w:p w:rsidR="0085709A" w:rsidRDefault="0085709A" w:rsidP="0085709A">
      <w:pPr>
        <w:pStyle w:val="TextoNormal"/>
      </w:pPr>
    </w:p>
    <w:p w:rsidR="0085709A" w:rsidRDefault="0085709A" w:rsidP="0085709A">
      <w:pPr>
        <w:pStyle w:val="TextoNormal"/>
      </w:pPr>
      <w:r>
        <w:t>Estos preceptos, resumidos en los antecedentes de esta Sentencia, son muchos y tienen contenidos técnicos muy variados. El Letrado autonómico despliega un esfuerzo argumentativo escaso frente a ellos, limitándose a denunciar que traspasan el límite de lo básico, entendido como mínimo común denominador normativo. Incurrirían en un detallismo excesivo, que invade las competencias normativas de la Comunidad de Galicia. Precisa en relación con algunos [arts. 3.4, 12, 13, 14, 15, 18.1 b), números 1 y 2, 28 (excepto párrafo primero)], que los contenidos no impugnados bastarían para garantizar un núcleo básico. Denuncia, en particular, la fijación de plazos, momentos, fechas, periodicidades y definiciones cerrados [en arts. 3.7 g), 19.3, 30.3, 37.4, 24.2, 32, apartados 2, 3 y 4, 33, apartados 3 y 4]. Respecto del art. 31, que dispone que la explotación de las instalaciones de residuos mineros “estará a cargo del director facultativo, según el artículo 117 de la Ley de Minas”, añade que atenta contra el orden constitucional de distribución de competencias por la afirmada imposibilidad de un desarrollo reglamentario básico de una ley preconstitucional, argumento que ya hemos rechazado en el fundamento jurídico cuarto de esta Sentencia.</w:t>
      </w:r>
    </w:p>
    <w:p w:rsidR="0085709A" w:rsidRDefault="0085709A" w:rsidP="0085709A">
      <w:pPr>
        <w:pStyle w:val="TextoNormal"/>
      </w:pPr>
    </w:p>
    <w:p w:rsidR="0085709A" w:rsidRDefault="0085709A" w:rsidP="0085709A">
      <w:pPr>
        <w:pStyle w:val="TextoNormal"/>
      </w:pPr>
      <w:r>
        <w:t>El denominado “plan de restauración” es una concreción técnica (para el sector minero y en el marco del Derecho europeo) del mandato constitucional de “defender y restaurar el medio ambiente” (art. 45.2 CE). Consiste en el tratamiento del terreno afectado por las actividades mineras para devolverlo a un estado satisfactorio, especialmente en lo atinente a la calidad del suelo, la fauna, los hábitats naturales, los sistemas de agua dulce, el paisaje y los usos beneficiosos apropiados. A su través el legislador pretende que las entidades explotadoras del sector de las industrias extractivas tomen todas las medidas necesarias para prevenir o reducir en lo posible los efectos reales o potenciales negativos para el medio ambiente y la salud de las personas como consecuencia de la gestión de los residuos mineros, en particular, y de la actividad minera, en general. El impugnado art. 3.4 enuncia la estructura del plan de restauración; consta “como mínimo” de cinco partes. Los capítulos III y IV del título I del Real Decreto desarrollan los contenidos y concretos objetivos de esas partes.</w:t>
      </w:r>
    </w:p>
    <w:p w:rsidR="0085709A" w:rsidRDefault="0085709A" w:rsidP="0085709A">
      <w:pPr>
        <w:pStyle w:val="TextoNormal"/>
      </w:pPr>
    </w:p>
    <w:p w:rsidR="0085709A" w:rsidRDefault="0085709A" w:rsidP="0085709A">
      <w:pPr>
        <w:pStyle w:val="TextoNormal"/>
      </w:pPr>
      <w:r>
        <w:t xml:space="preserve">Consecuentemente, cada una de las previsiones impugnadas desarrolla aspectos técnicos del plan de restauración siempre con el fin de lograr la plena rehabilitación de los terrenos en el sentido expuesto; no sólo las previsiones impugnadas condensan dos líneas maestras de la moderna política medioambiental. La responsabilización del sector industrial —en consonancia con el principio de “quien contamina paga” (art. 11.1 de la Ley 22/2011, de 28 de julio, de residuos y suelos contaminados)— para evitar que siga sin internalizar el coste social de los efectos contaminantes de sus actividades productivas, endosándolo a la sociedad y a las generaciones futuras. En estrecha relación con lo anterior, ante la frecuente dificultad de individualizar concretos perjudicados, la promoción del conocimiento amplio y preciso de la realidad ambiental para que los ciudadanos puedan comprometerse en la lucha contra la degradación del entorno y la biodiversidad, que es un instrumento sumamente efectivo. A este último criterio responde el impugnado art. 37.4, párrafo segundo, sobre política de prevención de accidentes graves, conforme al que la autoridad competente facilitará al público interesado información sobre las medidas de seguridad y sobre la intervención necesaria en caso de accidente, describiendo el contenido “mínimo” de la información </w:t>
      </w:r>
      <w:r>
        <w:lastRenderedPageBreak/>
        <w:t>que se facilite. De modo que todas las previsiones impugnadas responden clara y directamente a cualificadas finalidades medioambientales, lo que es relevante a los efectos de nuestro enjuiciamiento; según hemos recordado ya, para determinar el alcance de lo básico en esta materia la piedra de toque es la finalidad tuitiva de la norma, más que el nivel de concreción o detalle.</w:t>
      </w:r>
    </w:p>
    <w:p w:rsidR="0085709A" w:rsidRDefault="0085709A" w:rsidP="0085709A">
      <w:pPr>
        <w:pStyle w:val="TextoNormal"/>
      </w:pPr>
    </w:p>
    <w:p w:rsidR="0085709A" w:rsidRDefault="0085709A" w:rsidP="0085709A">
      <w:pPr>
        <w:pStyle w:val="TextoNormal"/>
      </w:pPr>
      <w:r>
        <w:t>A su vez, el plan de restauración no agota la regulación de la materia ni excluye el ejercicio de las competencias medioambientales de la Comunidad gallega. Al contrario, describe contenidos u objetivos expresamente calificados de “mínimos”. En particular, buena parte de los preceptos impugnados dispone que el plan de restauración, en general, o algunos de sus estudios, proyectos o memorias, en particular, incluirán “como mínimo” (arts. 3.4; 12.1; 13, párrafo segundo; 14, párrafo primero; art. 17.2; 18.1; 22.3; 24.2; 37.4; 38, párrafo segundo) una serie de finalidades o contenidos. Afirma expresamente que las Comunidades Autónomas pueden dotar al plan de objetivos, contenidos y requisitos adicionales para elevar el nivel de exigencias medioambientales. Del mismo modo, el art. 44.1 señala que la “autoridad competente” llevará a cabo inspecciones con una periodicidad “al menos” anual. El art. 37.4 no incluye la fórmula “al menos” al regular la periodicidad de la revisión de la información facilitada por la entidad explotadora a los efectos de la política de prevención de accidentes graves y su puesta a disposición al público, pero no por ello excluye la fijación autonómica de una frecuencia menor (STC 112/2014, de 7 de julio, FJ 4). Del mismo modo, el art. 19, apartados 3 y 4, no precisa explícitamente que los documentos del proyecto constructivo de las instalaciones de residuos mineros constituyen una exigencia de mínimos, pero no por ello excluye que las Comunidades Autónomas puedan requerir otros adicionales. Lo mismo cabe afirmar respecto del art. 27.3, que concreta los “tres tipos de solicitaciones o combinación de solicitaciones, atendiendo a su riesgo y a su permanencia” que deben considerar los “estudios de estabilidad geotécnica”. A su vez, tampoco pueden reputarse agotadores los arts. 19.1 y 27.1 sólo porque definan los conceptos, respectivamente, de “proyecto constructivo de las instalaciones de residuos mineros” y “estudios de estabilidad geotécnica”. En ellos se apoya el Real Decreto para introducir garantías medioambientales sin excluir que las Comunidades Autónomas prevean otras. Del mismo modo, puede reputarse básica sin dificultad la exigencia de que la construcción y la explotación de las instalaciones de residuos se realice bajo la dirección de expertos titulados (art. 31). Hemos atribuido carácter básico a previsiones similares, en particular, los preceptos de la Ley 43/2003, de 21 de noviembre, de montes que imponen una dirección técnica en las operaciones de extinción de incendios y regulan las facultades del director (STC 49/2013, de 28 de febrero, FJ 12); y ello bajo la perspectiva de las competencias estatales tanto en materia de montes (art. 149.1.23 CE) como de protección civil (art. 149.1.29 CE): pertenecen a esa “regulación común mínima que el Estado considera necesaria al servir a la finalidad de garantizar una mínima eficiencia y seguridad en la labor de extinción de incendios. Ello no agota el ámbito organizativo de que gozan las Comunidades Autónomas que podrán, dentro de estos límites, desarrollar la organización de esta función ejecutiva”.</w:t>
      </w:r>
    </w:p>
    <w:p w:rsidR="0085709A" w:rsidRDefault="0085709A" w:rsidP="0085709A">
      <w:pPr>
        <w:pStyle w:val="TextoNormal"/>
      </w:pPr>
    </w:p>
    <w:p w:rsidR="0085709A" w:rsidRDefault="0085709A" w:rsidP="0085709A">
      <w:pPr>
        <w:pStyle w:val="TextoNormal"/>
      </w:pPr>
      <w:r>
        <w:t xml:space="preserve">En el marco de los objetivos y contenidos mínimos del plan de restauración, sólo algunos preceptos impugnados establecen determinaciones muy precisas. Se fija: en 48 horas el plazo de que dispone la entidad explotadora para notificar los sucesos que puedan afectar a la estabilidad de la instalación de residuos mineros y los efectos medioambientales adversos significativos revelados por los procedimientos de seguimiento de la instalación (art. 32.2); </w:t>
      </w:r>
      <w:r>
        <w:lastRenderedPageBreak/>
        <w:t xml:space="preserve">en un año (a contar desde la comunicación por parte de la entidad explotadora de su autorización de cierre con los informes y certificado correspondiente del organismo de control) el tiempo que ha de transcurrir para que pueda considerarse clausurada la instalación de residuos mineros (art. 33.4); en un año (a contar desde la inspección final </w:t>
      </w:r>
      <w:r w:rsidRPr="0085709A">
        <w:rPr>
          <w:i/>
        </w:rPr>
        <w:t>in situ</w:t>
      </w:r>
      <w:r>
        <w:t>, la elevación de los informes correspondientes y la obtención de una certificación del organismo de control de ausencia de peligro) el tiempo que ha transcurrir para el abandono definitivo de las labores de aprovechamiento (art. 15.4); en determinadas fechas (1 de mayo 2008 y 1 de mayo de 2018), el momento a partir del cual la concentración de cianuro disociable en ácido débil en el punto de vertido de los residuos mineros debe estar ajustada a ciertas cantidades mínimas (art. 30.3). Del mismo modo, se fijan las escalas de planos anejos al “estudio geológico-geotécnico” (art. 22.3) y al proyecto constructivo de instalaciones de residuos mineros (art. 19.3); y las normas de cálculo de aceleración sísmica que debe aplicar el “estudio de estabilidad geotécnica” (art. 28).</w:t>
      </w:r>
    </w:p>
    <w:p w:rsidR="0085709A" w:rsidRDefault="0085709A" w:rsidP="0085709A">
      <w:pPr>
        <w:pStyle w:val="TextoNormal"/>
      </w:pPr>
    </w:p>
    <w:p w:rsidR="0085709A" w:rsidRDefault="0085709A" w:rsidP="0085709A">
      <w:pPr>
        <w:pStyle w:val="TextoNormal"/>
      </w:pPr>
      <w:r>
        <w:t>Se trata de regulaciones precisas que, no obstante, se insertan en el contexto de un plan que las Comunidades Autónomas pueden desarrollar en muchos otros aspectos y que, por tanto, no excluyen la ampliación territorial de las garantías de protección medioambiental. A su vez, no hace falta mucho esfuerzo para calibrar que estas determinaciones técnicas responden a los enormes riesgos para el entorno natural, la biodiversidad y la salud humana involucrados en las situaciones tomadas en consideración por estos preceptos. Las previsiones indicadas se refieren a accidentes inminentes y riesgos graves o aseguran que el cierre de las instalaciones o el abandono de la explotación minera se realicen sólo después de la plena rehabilitación del terreno y sin peligro para el entorno y la salud humana. Por tanto, nada obsta a considerar materialmente básicas estas previsiones, en consonancia con las SSTC 69/2013, de 14 de marzo, FJ 6 b), y 114/2013, de mayo, FFJJ 3 y 4, que ampararon en el art. 149.1.23 CE medidas muy concretas y restrictivas de competencias sectoriales autonómicas a la vista de su fuerte conexión con exigencias europeas e internacionales y su manifiesta finalidad protectora frente a riesgos graves.</w:t>
      </w:r>
    </w:p>
    <w:p w:rsidR="0085709A" w:rsidRDefault="0085709A" w:rsidP="0085709A">
      <w:pPr>
        <w:pStyle w:val="TextoNormal"/>
      </w:pPr>
    </w:p>
    <w:p w:rsidR="0085709A" w:rsidRDefault="0085709A" w:rsidP="0085709A">
      <w:pPr>
        <w:pStyle w:val="TextoNormal"/>
      </w:pPr>
      <w:r>
        <w:t>Consecuentemente, procede desestimar la impugnación de los arts. 3.4, 12, 13, 14, 15, 17.2, 18.1 b) (números 1 y 2), 19 (apartados 3 y 4), 22.3, 24.2, 27.3, 28 (excepto el párrafo primero), 30.3, 31, 32 (apartados 2, 3 y 4), 33 (apartados 3 y 4), 37.4 (párrafo segundo), 38 (párrafo segundo) y 44 (párrafo segundo) del Real Decreto 975/2009.</w:t>
      </w:r>
    </w:p>
    <w:p w:rsidR="0085709A" w:rsidRDefault="0085709A" w:rsidP="0085709A">
      <w:pPr>
        <w:pStyle w:val="TextoNormal"/>
      </w:pPr>
    </w:p>
    <w:p w:rsidR="0085709A" w:rsidRDefault="0085709A" w:rsidP="0085709A">
      <w:pPr>
        <w:pStyle w:val="TextoNormal"/>
      </w:pPr>
      <w:r>
        <w:t>c) La Xunta de Galicia impugna varias previsiones relativas a la “autorización del plan de restauración”: arts. 4.3, 5 y 6.3. El primero se refiere a la solicitud, que contendrá “al menos” determinadas informaciones relativas a la identidad de la entidad explotadora, la gestión de los residuos mineros, la ubicación de las instalaciones de residuos, la propuesta de garantía financiera, los datos que precisa la autoridad competente para elaborar el plan de emergencia exterior y la justificación documental de haber realizado el trámite de evaluación de impacto ambiental.</w:t>
      </w:r>
    </w:p>
    <w:p w:rsidR="0085709A" w:rsidRDefault="0085709A" w:rsidP="0085709A">
      <w:pPr>
        <w:pStyle w:val="TextoNormal"/>
      </w:pPr>
    </w:p>
    <w:p w:rsidR="0085709A" w:rsidRDefault="0085709A" w:rsidP="0085709A">
      <w:pPr>
        <w:pStyle w:val="TextoNormal"/>
      </w:pPr>
      <w:r>
        <w:t>El art. 5 regula varios aspectos del procedimiento y medidas sucesivas al otorgamiento. El libramiento de la autorización corresponde a la “autoridad competente en minería”, que podrá solicitar informes a otras Administraciones públicas y exigir ampliaciones o modificaciones, “previo informe de la autoridad ambiental competente” y, si hubiera riesgo para la salud humana, de la “autoridad sanitaria competente” (apartado 1).</w:t>
      </w:r>
    </w:p>
    <w:p w:rsidR="0085709A" w:rsidRDefault="0085709A" w:rsidP="0085709A">
      <w:pPr>
        <w:pStyle w:val="TextoNormal"/>
      </w:pPr>
    </w:p>
    <w:p w:rsidR="0085709A" w:rsidRDefault="0085709A" w:rsidP="0085709A">
      <w:pPr>
        <w:pStyle w:val="TextoNormal"/>
      </w:pPr>
      <w:r>
        <w:lastRenderedPageBreak/>
        <w:t>La autoridad competente “deberá comprobar que la gestión de los residuos mineros no entra en conflicto ni interfiere de ninguna otra manera con la aplicación del plan o los planes de gestión de residuos” a que hace referencia la legislación sobre residuos y contaminación del suelo, sin que pueda conceder la autorización si considera que la entidad explotadora no cumple todos los requisitos del presente Real Decreto (apartado 3).</w:t>
      </w:r>
    </w:p>
    <w:p w:rsidR="0085709A" w:rsidRDefault="0085709A" w:rsidP="0085709A">
      <w:pPr>
        <w:pStyle w:val="TextoNormal"/>
      </w:pPr>
    </w:p>
    <w:p w:rsidR="0085709A" w:rsidRDefault="0085709A" w:rsidP="0085709A">
      <w:pPr>
        <w:pStyle w:val="TextoNormal"/>
      </w:pPr>
      <w:r>
        <w:t>Las autoridades competentes clasificarán las instalaciones de residuos descritas en el plan de restauración a partir de la propuesta de clasificación de la entidad explotadora conforme a los criterios del anexo II (apartado 4, párrafo primero). La autorización se libra conjuntamente con el título habilitante de la investigación o explotación, sin que pueda otorgarse cuando el plan de restauración no asegure debidamente la rehabilitación del medio natural afectado (apartado 2). A su vez, tal autorización incluirá la del plan de gestión de residuos y, en concreto, la del inicio de actividad o construcción de las instalaciones de residuos mineros e indicará claramente su categoría (apartado 4, párrafo segundo). La información que figure en la autorización se pondrá a disposición de las autoridades estadísticas nacionales y comunitarias competentes que la soliciten con fines estadísticos; no se hará pública la información sensible de carácter puramente comercial, como la relativa a las relaciones entre empresas y sus costes desglosados, el volumen de reservas minerales de importancia económica, etc. (apartado 6). Se prevé la revisión de la autorización ante circunstancias especiales y en todo caso cada cinco años (apartado 5). A su vez, se establece que la autoridad competente no aceptará la renuncia ni autorizará la caducidad del título o el cese del laboreo en tanto no se haya procedido a ejecutar el plan de restauración autorizado en lo que corresponda (apartado 7).</w:t>
      </w:r>
    </w:p>
    <w:p w:rsidR="0085709A" w:rsidRDefault="0085709A" w:rsidP="0085709A">
      <w:pPr>
        <w:pStyle w:val="TextoNormal"/>
      </w:pPr>
    </w:p>
    <w:p w:rsidR="0085709A" w:rsidRDefault="0085709A" w:rsidP="0085709A">
      <w:pPr>
        <w:pStyle w:val="TextoNormal"/>
      </w:pPr>
      <w:r>
        <w:t>El art. 6.3 del Real Decreto 975/2009 establece dentro del procedimiento de autorización del plan de restauración un trámite de información pública no inferior a 30 días.</w:t>
      </w:r>
    </w:p>
    <w:p w:rsidR="0085709A" w:rsidRDefault="0085709A" w:rsidP="0085709A">
      <w:pPr>
        <w:pStyle w:val="TextoNormal"/>
      </w:pPr>
    </w:p>
    <w:p w:rsidR="0085709A" w:rsidRDefault="0085709A" w:rsidP="0085709A">
      <w:pPr>
        <w:pStyle w:val="TextoNormal"/>
      </w:pPr>
      <w:r>
        <w:t>Estas previsiones no prejuzgan quienes deban ser las Administraciones encargadas de tramitar o participar en el procedimiento; establecen que el libramiento de la autorización y los informes preceptivos corresponden a las autoridades competentes en minería, medioambiente o sanidad. En todo caso, el Letrado autonómico no impugna estos preceptos por entender que invaden las competencias autonómicas de ejecución; denuncia que el detallismo de esta regulación vulnera las competencias normativas de la Comunidad gallega. Refiriéndose específicamente al art. 5, razona que el precepto debe encuadrarse en la competencia sobre procedimiento administrativo común que el art. 149.1.18 CE atribuye al Estado; partiendo de esta premisa, considera que el Real Decreto habría extravasado esta competencia regulando mucho más que un procedimiento administrativo común.</w:t>
      </w:r>
    </w:p>
    <w:p w:rsidR="0085709A" w:rsidRDefault="0085709A" w:rsidP="0085709A">
      <w:pPr>
        <w:pStyle w:val="TextoNormal"/>
      </w:pPr>
    </w:p>
    <w:p w:rsidR="0085709A" w:rsidRDefault="0085709A" w:rsidP="0085709A">
      <w:pPr>
        <w:pStyle w:val="TextoNormal"/>
      </w:pPr>
      <w:r>
        <w:t xml:space="preserve">Para dar respuesta a esta impugnación, lo primero es constatar que algunas de las normas sumariamente descritas son de carácter más sustantivo que procedimental y que, atendida su finalidad tuitiva y alcance, se inscriben claramente en la competencia estatal para aprobar legislación básica medioambiental (art. 149.1.23 CE). Así, la obligación de la autoridad competente de denegar el título habilitante de la investigación o explotación “si a través del plan de restauración no queda debidamente asegurada la rehabilitación del medio natural afectado tanto por las labores mineras como por sus servicios e instalaciones anejas” (art. 5.2); la obligación de autorizar el plan de restauración sólo si “la entidad explotadora cumple todos los requisitos pertinentes del presente real decreto” y si no entra en conflicto ni interfiere en la aplicación de los planes de gestión de residuos regulados por la Ley de residuos </w:t>
      </w:r>
      <w:r>
        <w:lastRenderedPageBreak/>
        <w:t>(art. 5.3); la obligación de revisar cada cinco años y en determinadas circunstancias las condiciones de aquella autorización (art. 5.5); la imposibilidad de aceptar la renuncia al título minero o de autorizar su caducidad o el cese del laboreo si antes no se ha “procedido a ejecutar el plan de restauración autorizado” (art. 5.7). Lo mismo cabe afirmar respecto de la obligación que pesa sobre la entidad explotadora de facilitar determinada información (la que consta en la autorización del plan de restauración) a las autoridades estadísticas (art. 5.6). Esta última exigencia desarrolla la dimensión “informativa” del Convenio de Aarhus (una “apuesta” que ha hecho suya el legislador básico “para luchar contra la degradación del medio y de la biodiversidad”), que puede entenderse claramente cubierta también por el 149.1.31 CE, que atribuye al Estado la competencia exclusiva sobre “estadística para fines estatales” (STC 138/2013, FJ 4, que considera básica una previsión similar por las mismas razones y al amparo también de los apartados 23 y 31 del art. 149.1 CE).</w:t>
      </w:r>
    </w:p>
    <w:p w:rsidR="0085709A" w:rsidRDefault="0085709A" w:rsidP="0085709A">
      <w:pPr>
        <w:pStyle w:val="TextoNormal"/>
      </w:pPr>
    </w:p>
    <w:p w:rsidR="0085709A" w:rsidRDefault="0085709A" w:rsidP="0085709A">
      <w:pPr>
        <w:pStyle w:val="TextoNormal"/>
      </w:pPr>
      <w:r>
        <w:t>El resto de previsiones tiene un carácter procedimental más acusado, pero no regula el entero procedimiento administrativo de autorización del plan de restauración; se refiere sólo a alguno de sus elementos, dando claramente a entender que corresponde a las Comunidades Autónomas programarlo acabadamente; las informaciones que deben acompañar la solicitud se enuncian como un elenco mínimo ampliable (a través de la fórmula “al menos” del art. 4.3) y no está siquiera mencionada la mayor parte de los trámites característicos de un procedimiento administrativo cualquiera. No obstante, el Letrado autonómico considera que el Estado carece de competencia incluso para adoptar estas normas, por referirse a un procedimiento administrativo. Consecuentemente, para dar respuesta a la impugnación debemos determinar el título competencial que podría dar cobertura a esta regulación o que, al contrario, podría haber sobrepasado el Estado.</w:t>
      </w:r>
    </w:p>
    <w:p w:rsidR="0085709A" w:rsidRDefault="0085709A" w:rsidP="0085709A">
      <w:pPr>
        <w:pStyle w:val="TextoNormal"/>
      </w:pPr>
    </w:p>
    <w:p w:rsidR="0085709A" w:rsidRDefault="0085709A" w:rsidP="0085709A">
      <w:pPr>
        <w:pStyle w:val="TextoNormal"/>
      </w:pPr>
      <w:r>
        <w:t xml:space="preserve">Tiene razón el Letrado de la Xunta de Galicia cuando afirma que las exigencias formales descritas no son, evidentemente, normas de “procedimiento administrativo común”; no regulan la estructura general del </w:t>
      </w:r>
      <w:r w:rsidRPr="0085709A">
        <w:rPr>
          <w:i/>
        </w:rPr>
        <w:t>iter</w:t>
      </w:r>
      <w:r>
        <w:t xml:space="preserve"> procedimental ni establecen con carácter general y abstracto, para toda suerte de procedimientos, las garantías generales del particular o el régimen de elaboración, validez, ejecución y revisión de los actos administrativos (STC 227/1988, de 29 de noviembre, FJ 32). Tampoco son reglas de “procedimiento administrativo común singular”, entendido como el establecido también en la órbita del art. 149.1.18 CE y de manera abstracta, pero para una forma específica de potestad o actividad de la Administración (STC 130/2013, de 4 de junio, FJ 8, en relación con las normas de procedimiento de la Ley 38/2003, de 4 de junio, general de subvenciones). Ahora bien, que el procedimiento de autorización del plan de restauración no sea procedimiento administrativo común indica que la regulación impugnada no puede ampararse en el art. 149.1.18 CE, no que sea inconstitucional, como pretende el Letrado autonómico. Sólo después de determinar quién tiene la competencia para regular los “procedimientos administrativos especiales o concretos” puede fijarse una conclusión sobre si las exigencias formales examinadas se ajustan a la Constitución.</w:t>
      </w:r>
    </w:p>
    <w:p w:rsidR="0085709A" w:rsidRDefault="0085709A" w:rsidP="0085709A">
      <w:pPr>
        <w:pStyle w:val="TextoNormal"/>
      </w:pPr>
    </w:p>
    <w:p w:rsidR="0085709A" w:rsidRDefault="0085709A" w:rsidP="0085709A">
      <w:pPr>
        <w:pStyle w:val="TextoNormal"/>
      </w:pPr>
      <w:r>
        <w:t xml:space="preserve">La competencia para regular los “procedimientos administrativos especiales” es “conexa a las que, respectivamente, el Estado o las Comunidades Autónomas ostentan para la regulación del régimen sustantivo de cada actividad o servicio de la Administración” (STC 227/1988, FJ 32). El Real Decreto controvertido afecta primordialmente al medio ambiente. Consecuentemente, el título que, en su caso, podría amparar las previsiones indicadas y que ha podido sobrepasar el Estado es el relativo a la protección medioambiental (art. 149.1.23 </w:t>
      </w:r>
      <w:r>
        <w:lastRenderedPageBreak/>
        <w:t>CE), sin perjuicio de la posible incidencia de otras competencias, en particular, el título expresamente invocado por la disposición final segunda del Real Decreto 975/2009 (art. 149.1.25 CE).</w:t>
      </w:r>
    </w:p>
    <w:p w:rsidR="0085709A" w:rsidRDefault="0085709A" w:rsidP="0085709A">
      <w:pPr>
        <w:pStyle w:val="TextoNormal"/>
      </w:pPr>
    </w:p>
    <w:p w:rsidR="0085709A" w:rsidRDefault="0085709A" w:rsidP="0085709A">
      <w:pPr>
        <w:pStyle w:val="TextoNormal"/>
      </w:pPr>
      <w:r>
        <w:t>Según hemos recordado ya, en materia de protección medioambiental, el Estado sólo está autorizado a dictar legislación básica. Corresponde a las Comunidades Autónomas, además de la legislación de desarrollo, la ejecución de la normativa medioambiental y la potestad de autoorganización (SSTC 33/2005, de 17 de febrero, FJ 6; 161/2014, FJ 4) por lo que han de ser ellas quienes, en el marco de la disciplina estatal sobre procedimiento administrativo común, regulen sus propios procedimientos administrativos especiales. No obstante, las bases medioambientales pueden alcanzar algún aspecto de estos procedimientos especiales si imponen criterios directamente vinculados a los objetivos sustantivos de la legislación estatal medioambiental sin descender a la previsión de trámites de pura gestión; las normas ordinarias de tramitación no pueden considerarse básicas [SSTC 227/1988, de 29 de noviembre, FJ 32; 186/1999, de 14 de octubre, FJ 11, y 190/2000, de 13 de julio, FJ 11 d); 175/2003, de 30 de septiembre, FJ 10)]. Atendiendo a la necesidad de “una política global en materia de medio ambiente” [STC 69/2013, de 14 de marzo, FJ 2 b)], también pueden llegar a considerarse básicas reglas que introduzcan dosis mínimas de coherencia y cohesión territorial. En este sentido, la STC 126/2002, de 20 de mayo, FJ 10, ha llegado a declarar que la regulación de los “documentos que deben acompañar a la solicitud y que se relacionan en el mismo apartado 1 (acreditación de la personalidad del solicitante, poder notarial, estudios, declaraciones sobre ayudas recibidas y copias de declaraciones y memorias anuales)” se inscribe “en el ámbito de la competencia estatal del art. 149.1.23 CE”; tales documentos “de un lado, garantizan una homogeneidad sin duda necesaria en la tramitación de las ayudas en todo el territorio nacional y, a la vez, permite a las Comunidades Autónomas atender a las especificidades de sus propias políticas en la medida en que se prevé que aquéllas regulen ciertos aspectos de los estudios que han de ser aportados por los solicitantes [apartados c) y d)]”.</w:t>
      </w:r>
    </w:p>
    <w:p w:rsidR="0085709A" w:rsidRDefault="0085709A" w:rsidP="0085709A">
      <w:pPr>
        <w:pStyle w:val="TextoNormal"/>
      </w:pPr>
    </w:p>
    <w:p w:rsidR="0085709A" w:rsidRDefault="0085709A" w:rsidP="0085709A">
      <w:pPr>
        <w:pStyle w:val="TextoNormal"/>
      </w:pPr>
      <w:r>
        <w:t xml:space="preserve">Proyectando la doctrina expuesta sobre la presente controversia, la mayor parte de las previsiones de contenido procedimental impugnadas responde claramente a objetivos medioambientales sustantivos asociados al plan de restauración y, atendida su intensidad, ha respetado las competencias autonómicas de autoorganización y de ejecución de la legislación medioambiental. La previsión de que la entidad explotadora entregue junto con la solicitud determinadas informaciones (art. 4.3) traduce en requisitos formales exigencias materiales básicas del Real Decreto controvertido. Nada impide que las Comunidades Autónomas añadan otras exigencias informativas o documentales. Igualmente ajustadas al art. 149.1.23 CE están la previsión de informes de las autoridades competentes en materia medioambiental y sanitaria (art. 5.1, párrafo primero) y la clasificación de las instalaciones de residuos conforme a los criterios del anexo II, que no ha sido impugnado (art. 5.4); se trata de condicionamientos formales no excesivamente penetrantes que persiguen objetivos medioambientales. A su vez, la información pública (art. 6.3) en modo alguno puede reputarse un trámite puramente ordinario o de mera gestión; se inserta claramente, como resulta de la propia exposición de motivos del Real Decreto, en las varias veces recordadas directrices sustantivas básicas de la política actual en la materia consistentes en facilitar el conocimiento público de la realidad ambiental y la implicación de los propios ciudadanos en la lucha contra la degradación del medio y de la biodiversidad. El art. 149.1.23 CE cubre igualmente la previsión de informes de “otros órganos de la Administración” (art. 5.1, párrafo </w:t>
      </w:r>
      <w:r>
        <w:lastRenderedPageBreak/>
        <w:t>segundo); concreta el llamamiento constitucional a la colaboración interadministrativa, particularmente relevante e intenso en materia medioambiental dado el carácter global tanto de los riesgos para el entorno y la biodiversidad como de las políticas necesarias para afrontarlos (por todas, STC 161/2014, FJ 4).</w:t>
      </w:r>
    </w:p>
    <w:p w:rsidR="0085709A" w:rsidRDefault="0085709A" w:rsidP="0085709A">
      <w:pPr>
        <w:pStyle w:val="TextoNormal"/>
      </w:pPr>
    </w:p>
    <w:p w:rsidR="0085709A" w:rsidRDefault="0085709A" w:rsidP="0085709A">
      <w:pPr>
        <w:pStyle w:val="TextoNormal"/>
      </w:pPr>
      <w:r>
        <w:t xml:space="preserve">La previsión de que la autorización del plan de restauración se libre junto con el título habilitante de la investigación o explotación (art. 5.2) y conlleve la autorización del plan de gestión de residuos y la del inicio de actividad o construcción de las instalaciones de residuos mineros (art. 5.4) también puede reputarse básica </w:t>
      </w:r>
      <w:r w:rsidRPr="0085709A">
        <w:rPr>
          <w:i/>
        </w:rPr>
        <w:t>ex</w:t>
      </w:r>
      <w:r>
        <w:t xml:space="preserve"> art. 149.1.23 CE. Trata de garantizar una mínima homogeneidad que compatibilice el desarrollo de las competencias autonómicas con la política medioambiental general. En todo caso, esta exigencia puede captarse también sin dificultad como una base del régimen minero en consonancia con el título invocado por la disposición final segunda del Real Decreto controvertido (art. 149.1.25 CE). Impone criterios de economía procedimental en este sector que dinamizan el principio constitucional de eficacia (art. 103.1 CE) y que pueden reputarse amparados en el art. 149.1.25 CE; del mismo modo que la fijación de un “plazo común para presentar solicitudes en todo el territorio nacional” puede apoyarse en el art. 149.1.13 CE, que </w:t>
      </w:r>
      <w:r w:rsidRPr="0085709A">
        <w:rPr>
          <w:i/>
        </w:rPr>
        <w:t>prima facie</w:t>
      </w:r>
      <w:r>
        <w:t xml:space="preserve"> es también una competencia exclusivamente legislativa. Se trata de un “criterio coordinador” que “no menoscaba competencia autonómica alguna” porque “puede ser adecuado, en ocasiones, que el Estado establezca condiciones que garanticen la homogeneidad en la gestión” [SSTC 190/2000, de 13 de julio, FJ 11 b) y 77/2004, de 29 de abril, FJ 6 c), entre otras].</w:t>
      </w:r>
    </w:p>
    <w:p w:rsidR="0085709A" w:rsidRDefault="0085709A" w:rsidP="0085709A">
      <w:pPr>
        <w:pStyle w:val="TextoNormal"/>
      </w:pPr>
    </w:p>
    <w:p w:rsidR="0085709A" w:rsidRDefault="0085709A" w:rsidP="0085709A">
      <w:pPr>
        <w:pStyle w:val="TextoNormal"/>
      </w:pPr>
      <w:r>
        <w:t>Por último, la atribución del poder autorizador a la “autoridad competente en minería” (art. 5.1, párrafo primero) es una previsión claramente desligada de objetivos medioambientales por lo que debe encuadrarse en el art. 149.1.25 CE, según lo razonado en el fundamento jurídico 3 de esta Sentencia. Este título ampara sólo legislación básica, pero la previsión no lo desborda porque el criterio procedimental establecido es extremadamente general; no limita la competencia autonómica para decidir qué autoridad u órgano ha de resolver los procedimientos.</w:t>
      </w:r>
    </w:p>
    <w:p w:rsidR="0085709A" w:rsidRDefault="0085709A" w:rsidP="0085709A">
      <w:pPr>
        <w:pStyle w:val="TextoNormal"/>
      </w:pPr>
    </w:p>
    <w:p w:rsidR="0085709A" w:rsidRDefault="0085709A" w:rsidP="0085709A">
      <w:pPr>
        <w:pStyle w:val="TextoNormal"/>
      </w:pPr>
      <w:r>
        <w:t>Consecuentemente, procede desestimar la impugnación de los arts. 4.3, 5 y 6.3 del Real Decreto 975/2009.</w:t>
      </w:r>
    </w:p>
    <w:p w:rsidR="0085709A" w:rsidRDefault="0085709A" w:rsidP="0085709A">
      <w:pPr>
        <w:pStyle w:val="TextoNormal"/>
      </w:pPr>
    </w:p>
    <w:p w:rsidR="0085709A" w:rsidRDefault="0085709A" w:rsidP="0085709A">
      <w:pPr>
        <w:pStyle w:val="TextoNormal"/>
      </w:pPr>
      <w:r>
        <w:t>d) La Xunta de Galicia impugna el anexo III, que regula el “organismo de control”, definido en su párrafo primero como “cualquier entidad pública o privada que, reuniendo determinados requisitos, verifique el cumplimiento de las disposiciones de este real decreto mediante auditorías e inspecciones de los aprovechamientos de recursos mineros y sus servicios e instalaciones anejas”. La demanda de interposición del conflicto denuncia la “desproporción de contenido” de este anexo; el Real Decreto controvertido habría incurrido en demasiado detalle al establecer la exigencia de la acreditación previa del organismo de control y afirmar el carácter renovable de la autorización autonómica de ese organismo, así como por “lo concreto” del párrafo sexto.</w:t>
      </w:r>
    </w:p>
    <w:p w:rsidR="0085709A" w:rsidRDefault="0085709A" w:rsidP="0085709A">
      <w:pPr>
        <w:pStyle w:val="TextoNormal"/>
      </w:pPr>
    </w:p>
    <w:p w:rsidR="0085709A" w:rsidRDefault="0085709A" w:rsidP="0085709A">
      <w:pPr>
        <w:pStyle w:val="TextoNormal"/>
      </w:pPr>
      <w:r>
        <w:t xml:space="preserve">Lo primero está previsto en el párrafo segundo: “Los organismos de control a que se refieren los artículos del presente real decreto deberán estar acreditados por la Empresa Nacional de Acreditación en el campo de las materias específicas de este real decreto, cumpliendo, en lo no específicamente regulado en el mismo, lo dispuesto en el capítulo IV del </w:t>
      </w:r>
      <w:r>
        <w:lastRenderedPageBreak/>
        <w:t>Reglamento de la Infraestructura para la Calidad y la Seguridad Industrial, aprobado por Real Decreto 2200/1995, de 28 de diciembre”.</w:t>
      </w:r>
    </w:p>
    <w:p w:rsidR="0085709A" w:rsidRDefault="0085709A" w:rsidP="0085709A">
      <w:pPr>
        <w:pStyle w:val="TextoNormal"/>
      </w:pPr>
    </w:p>
    <w:p w:rsidR="0085709A" w:rsidRDefault="0085709A" w:rsidP="0085709A">
      <w:pPr>
        <w:pStyle w:val="TextoNormal"/>
      </w:pPr>
      <w:r>
        <w:t>Lo segundo se halla en el párrafo tercero: “La autorización de los organismos de control que realicen la verificación de las exigencias del presente real decreto, que tendrá carácter renovable, corresponde al órgano competente en minería de la Comunidad Autónoma donde los organismos inicien su actividad o radique su sede social. La autorización tendrá validez para todo el Estado español”. El párrafo sexto establece: “Cuando una empresa, a requerimiento de la autoridad competente, solicite el informe de un organismo de control, podrá seleccionar libremente el organismo de control al que encargar lo dispuesto en el presente real decreto de entre todos los registrados previamente en la Comunidad Autónoma que hayan sido acreditados específicamente en las materias que se desarrollan. La empresa no podrá limitar el acceso al aprovechamiento y sus servicios e instalaciones anejos al organismo de control ni podrá dificultar las actuaciones de este, debiendo colaborar”.</w:t>
      </w:r>
    </w:p>
    <w:p w:rsidR="0085709A" w:rsidRDefault="0085709A" w:rsidP="0085709A">
      <w:pPr>
        <w:pStyle w:val="TextoNormal"/>
      </w:pPr>
    </w:p>
    <w:p w:rsidR="0085709A" w:rsidRDefault="0085709A" w:rsidP="0085709A">
      <w:pPr>
        <w:pStyle w:val="TextoNormal"/>
      </w:pPr>
      <w:r>
        <w:t>La Xunta de Galicia discute bajo la perspectiva de las competencias normativas de la Comunidad gallega la exigencia en sí de la acreditación del organismo de control; no llega a asumir suficientemente la carga argumental de descartar que el cumplimiento de esta tarea corresponda a una entidad estatal. Las previsiones indicadas invadirían, a su juicio, las competencias normativas de desarrollo de la legislación básica estatal, en particular por “lo concreto” del párrafo sexto y descender a demasiados detalles a través de la exigencia de una autorización autonómica de carácter renovable que presupone la acreditación previa del organismo de control (párrafos segundo y tercero). De modo que el presente conflicto se ha planteado en términos diferenciables de los resueltos por las SSTC 33/2005, de 17 de febrero, y 20/2014, de 10 de febrero (en relación con la entidad nacional de acreditación y la intervención estatal en la designación autonómica de entidades de verificación medioambiental).</w:t>
      </w:r>
    </w:p>
    <w:p w:rsidR="0085709A" w:rsidRDefault="0085709A" w:rsidP="0085709A">
      <w:pPr>
        <w:pStyle w:val="TextoNormal"/>
      </w:pPr>
    </w:p>
    <w:p w:rsidR="0085709A" w:rsidRDefault="0085709A" w:rsidP="0085709A">
      <w:pPr>
        <w:pStyle w:val="TextoNormal"/>
      </w:pPr>
      <w:r>
        <w:t xml:space="preserve">Ateniéndonos a los motivos planteados, no hace falta insistir en la relevancia de estos “organismos de control” para garantizar la efectividad del plan de restauración y, con ello, del imperativo constitucional de defensa y restauración del medio ambiente (art. 45.2 CE). El párrafo sexto, al establecer que la empresa tiene derecho a elegir el organismo de control y la obligación de colaborar con él, facilitándole el cumplimiento de sus tareas sin restricciones de acceso, impone criterios sustantivos directamente vinculados a finalidades medioambientales sin agotar la regulación de la materia. Del mismo modo, la exigencia de acreditación del organismo de control (párrafo segundo) responde claramente a una finalidad ambiental; asegura que el organismo de control tenga la capacidad técnica y profesional que requiere la supervisión del cumplimiento de obligaciones medioambientales. Cabe trasladar aquí las consideraciones realizadas en el fundamento jurídico 6 b) de esta Sentencia respecto de la exigencia de dirección facultativa en la construcción e instalación de residuos mineros (art. 31) y en la STC 49/2013, de 28 de febrero, FJ 12 con relación a la necesidad de dirección facultativa en las operaciones de extinción de incendios. A su vez, el párrafo tercero respeta la competencia de las Comunidades Autónomas para establecer el procedimiento de autorización del organismo de control; introduce sólo un criterio mínimo de homogeneidad para compatibilizar aquella competencia autonómica con la política medioambiental general (STC 126/2002, de 20 de mayo, FJ 10) por lo que puede reputarse básico </w:t>
      </w:r>
      <w:r w:rsidRPr="0085709A">
        <w:rPr>
          <w:i/>
        </w:rPr>
        <w:t>ex</w:t>
      </w:r>
      <w:r>
        <w:t xml:space="preserve"> art. 149.1.23 CE; sin perjuicio de la cobertura que en todo caso proporciona el art. 149.1.25 </w:t>
      </w:r>
      <w:r>
        <w:lastRenderedPageBreak/>
        <w:t>CE a las normas básicas sobre minería no orientadas a objetivos medioambientales, según lo razonado en los fundamentos jurídicos 3 y 6 c) de esta Sentencia.</w:t>
      </w:r>
    </w:p>
    <w:p w:rsidR="0085709A" w:rsidRDefault="0085709A" w:rsidP="0085709A">
      <w:pPr>
        <w:pStyle w:val="TextoNormal"/>
      </w:pPr>
    </w:p>
    <w:p w:rsidR="0085709A" w:rsidRDefault="0085709A" w:rsidP="0085709A">
      <w:pPr>
        <w:pStyle w:val="TextoNormal"/>
      </w:pPr>
      <w:r>
        <w:t>Consecuentemente, procede desestimar la impugnación del anexo III del Real Decreto 975/2009.</w:t>
      </w:r>
    </w:p>
    <w:p w:rsidR="0085709A" w:rsidRDefault="0085709A" w:rsidP="0085709A">
      <w:pPr>
        <w:pStyle w:val="TextoNormal"/>
      </w:pPr>
    </w:p>
    <w:p w:rsidR="0085709A" w:rsidRDefault="0085709A" w:rsidP="0085709A">
      <w:pPr>
        <w:pStyle w:val="TextoNormal"/>
      </w:pPr>
      <w:r>
        <w:t>e) El título II se refiere a las garantías financieras o equivalentes que la entidad explotadora deberá constituir “para asegurar el cumplimiento de lo dispuesto en el plan de restauración” (art. 41.1). Regula específicamente las exigidas, por un lado, para “la rehabilitación del espacio natural afectado por la explotación, preparación, concentración y beneficio de recursos minerales” (art. 42) y, por otro, para “el cumplimiento de las condiciones impuestas en la autorización del plan de restauración para la gestión y la rehabilitación del espacio natural afectado por las instalaciones de residuos mineros” (art. 43). Establece criterios para el cálculo de tales garantías, partiendo de que “terceros independientes y debidamente cualificados podrán evaluar y efectuar cualquier trabajo de rehabilitación necesario”: “el impacto ambiental de las labores mineras y el uso futuro de los terrenos a rehabilitar”, en un caso (art. 42.2); y “la repercusión ambiental probable de las instalaciones de residuos, en particular la categoría de las instalaciones, las características de los residuos y el uso futuro de los terrenos rehabilitados”, en otro (art. 43.2). La garantía se revisará “anualmente” de acuerdo con los trabajos ya realizados y de las superficies afectadas, en un caso (art. 42.3); y “periódicamente de acuerdo con los trabajos de rehabilitación que sea necesario efectuar en los terrenos afectados por las instalaciones de residuos tal y como describa el plan de restauración autorizado” (art. 43.3). A su vez, la entidad explotadora podrá solicitar la liberación de la garantía financiera una vez finalizada la ejecución del plan de restauración (art. 42.4) o autorizado el cierre y clausura de las instalaciones de residuos mineros (art. 43.4). La demanda impugna únicamente los apartados 2, 3 y 4 del art. 42 así como los apartados 3 y 4 del art. 43, limitándose a denunciar que adolecen de una concreción excesiva; establecería tiempos cerrados y protocolos de inviable desarrollo posterior que impiden el desarrollo de políticas propias.</w:t>
      </w:r>
    </w:p>
    <w:p w:rsidR="0085709A" w:rsidRDefault="0085709A" w:rsidP="0085709A">
      <w:pPr>
        <w:pStyle w:val="TextoNormal"/>
      </w:pPr>
    </w:p>
    <w:p w:rsidR="0085709A" w:rsidRDefault="0085709A" w:rsidP="0085709A">
      <w:pPr>
        <w:pStyle w:val="TextoNormal"/>
      </w:pPr>
      <w:r>
        <w:t>La disposición final segunda del Real Decreto 975/2009 ampara formalmente estas previsiones en la competencia estatal de ordenación de seguros (art. 149.1.11 CE). Sin embargo, estas garantías financieras no se han establecido estrictamente como ordenación administrativa de un subsector económico (SSTC 206/1997, de 27 de noviembre, FJ 7; 330/1994, de 15 de diciembre, FJ 2); en el contexto del reglamento controvertido funcionan como un instrumento que traduce técnicamente en el sector minero el imperativo constitucional de defensa y restauración del medio ambiente (art. 45.2 CE): están destinadas a cubrir el coste de la rehabilitación y a asegurar que el titular de la investigación y aprovechamiento de recursos minerales afronte íntegra y eficazmente su responsabilidad medioambiental. Funcionan también como un mecanismo disuasorio de conductas potencialmente nocivas para el entorno y la biodiversidad o preventivo de daños medioambientales, todo ello en consonancia con el principio de “quien contamina paga” (art. 11.1 de la Ley 22/2011, de 28 de julio, de residuos y suelos contaminados) y la Ley 26/2007, de 23 de octubre, de responsabilidad medioambiental; Ley a la que estas garantías financieras están estrechamente vinculadas, tal como indica la exposición de motivos del Real Decreto controvertido. Consecuentemente, a la vista de su finalidad medioambiental, cabe considerar que la controversia debe encuadrarse en este punto en el art. 149.1.23 CE.</w:t>
      </w:r>
    </w:p>
    <w:p w:rsidR="0085709A" w:rsidRDefault="0085709A" w:rsidP="0085709A">
      <w:pPr>
        <w:pStyle w:val="TextoNormal"/>
      </w:pPr>
    </w:p>
    <w:p w:rsidR="0085709A" w:rsidRDefault="0085709A" w:rsidP="0085709A">
      <w:pPr>
        <w:pStyle w:val="TextoNormal"/>
      </w:pPr>
      <w:r>
        <w:lastRenderedPageBreak/>
        <w:t>Desde esta perspectiva y a los efectos de determinar si el Estado ha desbordado el ámbito material de lo básico, hay que destacar que las previsiones indicadas, no sólo responden a una finalidad de protección medioambiental; es que desarrollan claramente una de las líneas maestras de la política actual en esta materia: tratan de responsabilizar directamente a la industria, que no ha internalizado históricamente el coste social de los efectos contaminantes de sus actividades productivas, endosándolo a la sociedad y a las generaciones futuras. Consecuentemente, el régimen de garantías financieras a que se sujetan las entidades explotadoras debe reputarse básico, sin que ello obste al desarrollo normativo de mayores estándares de protección.</w:t>
      </w:r>
    </w:p>
    <w:p w:rsidR="0085709A" w:rsidRDefault="0085709A" w:rsidP="0085709A">
      <w:pPr>
        <w:pStyle w:val="TextoNormal"/>
      </w:pPr>
    </w:p>
    <w:p w:rsidR="0085709A" w:rsidRDefault="0085709A" w:rsidP="0085709A">
      <w:pPr>
        <w:pStyle w:val="TextoNormal"/>
      </w:pPr>
      <w:r>
        <w:t>Consecuentemente, procede desestimar la impugnación de los arts. 42 (apartados 2, 3 y 4) y 43 (apartados 3 y 4) del Real Decreto 975/2009.</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conflicto positivo de competencia.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49" w:name="SENTENCIA_2015_46"/>
      <w:r>
        <w:lastRenderedPageBreak/>
        <w:t>SENTENCIA 46/2015, de 5 de marzo de 2015</w:t>
      </w:r>
    </w:p>
    <w:bookmarkEnd w:id="49"/>
    <w:p w:rsidR="0085709A" w:rsidRDefault="0085709A" w:rsidP="0085709A">
      <w:pPr>
        <w:pStyle w:val="TtuloResolucin"/>
      </w:pPr>
      <w:r>
        <w:t>Pleno</w:t>
      </w:r>
    </w:p>
    <w:p w:rsidR="0085709A" w:rsidRDefault="0085709A" w:rsidP="0085709A">
      <w:pPr>
        <w:pStyle w:val="TtuloBOE"/>
      </w:pPr>
      <w:r>
        <w:t>(BOE núm. 85, de 9 de abril de 2015)</w:t>
      </w:r>
    </w:p>
    <w:p w:rsidR="0085709A" w:rsidRDefault="0085709A" w:rsidP="0085709A">
      <w:pPr>
        <w:pStyle w:val="TextoNormalCentrado"/>
      </w:pPr>
      <w:r>
        <w:t>ECLI:ES:TC:2015:46</w:t>
      </w:r>
    </w:p>
    <w:p w:rsidR="0085709A" w:rsidRDefault="0085709A" w:rsidP="0085709A">
      <w:pPr>
        <w:pStyle w:val="TextoNormalCentrado"/>
      </w:pPr>
    </w:p>
    <w:p w:rsidR="0085709A" w:rsidRDefault="0085709A" w:rsidP="0085709A">
      <w:pPr>
        <w:pStyle w:val="SntesisDescriptiva"/>
      </w:pPr>
      <w:r>
        <w:t>Recurso de inconstitucionalidad 2502-2010. Interpuesto por el Defensor del Pueblo en relación con diversos preceptos de la Ley del Parlamento de Cataluña 24/2009, de 23 diciembre, del Síndic de Greuges.</w:t>
      </w:r>
    </w:p>
    <w:p w:rsidR="0085709A" w:rsidRDefault="0085709A" w:rsidP="0085709A">
      <w:pPr>
        <w:pStyle w:val="SntesisDescriptiva"/>
      </w:pPr>
    </w:p>
    <w:p w:rsidR="0085709A" w:rsidRDefault="0085709A" w:rsidP="0085709A">
      <w:pPr>
        <w:pStyle w:val="SntesisAnaltica"/>
      </w:pPr>
      <w:r>
        <w:t>Potestades del Síndic de Greuges: interpretación conforme de los preceptos que definen las funciones de protección y garantía de los derechos constitucionales y estatutarios (STC 31/2010); nulidad de los preceptos legales autonómicos que atribuyen al Síndic de Greuges la condición de autoridad catalana para la prevención de la tortura y de otros tratos o penas crueles, inhumanos o degradantes.</w:t>
      </w:r>
    </w:p>
    <w:p w:rsidR="0085709A" w:rsidRDefault="0085709A" w:rsidP="0085709A">
      <w:pPr>
        <w:pStyle w:val="SntesisAnaltica"/>
      </w:pPr>
    </w:p>
    <w:p w:rsidR="0085709A" w:rsidRDefault="0085709A" w:rsidP="0085709A">
      <w:pPr>
        <w:pStyle w:val="Extracto"/>
      </w:pPr>
      <w:r>
        <w:t>1.</w:t>
      </w:r>
      <w:r>
        <w:tab/>
        <w:t>No es inconstitucional el hecho de que al Síndic de Greuges se le encargue la supervisión de la actividad de la Administración local de Cataluña y la de los organismos públicos o privados vinculados que dependen de la misma, pues, sin formar parte de la Administración de la Generalitat, las Administraciones locales están reguladas en el Estatuto de Autonomía; aunque, dicha supervisión, no podrá considerarse exclusiva ni excluyente de la supervisión del Defensor del Pueblo en cuanto que ésta lo es de todas las Administraciones Públicas, ya sean estatales, autonómicas o locales (STC 137/2010) [FJ 3].</w:t>
      </w:r>
    </w:p>
    <w:p w:rsidR="0085709A" w:rsidRDefault="0085709A" w:rsidP="0085709A">
      <w:pPr>
        <w:pStyle w:val="Extracto"/>
      </w:pPr>
    </w:p>
    <w:p w:rsidR="0085709A" w:rsidRDefault="0085709A" w:rsidP="0085709A">
      <w:pPr>
        <w:pStyle w:val="Extracto"/>
      </w:pPr>
      <w:r>
        <w:t>2.</w:t>
      </w:r>
      <w:r>
        <w:tab/>
        <w:t>Sólo el Estado ostenta competencia para designar los mecanismos nacionales de prevención que establece el Protocolo facultativo de la Convención contra la tortura y otros tratos o penas crueles, inhumanos o degradantes, así como para decidir si han de ser uno o varios, por lo que la designación por la Comunidad Autónoma de un mecanismo de prevención vulnera la competencia estatal y las normas estatales que designan el mecanismo [FJ 4].</w:t>
      </w:r>
    </w:p>
    <w:p w:rsidR="0085709A" w:rsidRDefault="0085709A" w:rsidP="0085709A">
      <w:pPr>
        <w:pStyle w:val="Extracto"/>
      </w:pPr>
    </w:p>
    <w:p w:rsidR="0085709A" w:rsidRDefault="0085709A" w:rsidP="0085709A">
      <w:pPr>
        <w:pStyle w:val="Extracto"/>
      </w:pPr>
      <w:r>
        <w:t>3.</w:t>
      </w:r>
      <w:r>
        <w:tab/>
        <w:t>La actividad con proyección exterior es materia del ordenamiento internacional reservada al Estado, constituyendo un límite en esta materia que actividades de las Comunidades Autónomas generen responsabilidad del Estado frente a Estados extranjeros u organizaciones inter o supranacionales [FJ 4].</w:t>
      </w:r>
    </w:p>
    <w:p w:rsidR="0085709A" w:rsidRDefault="0085709A" w:rsidP="0085709A">
      <w:pPr>
        <w:pStyle w:val="Extracto"/>
      </w:pPr>
    </w:p>
    <w:p w:rsidR="0085709A" w:rsidRDefault="0085709A" w:rsidP="0085709A">
      <w:pPr>
        <w:pStyle w:val="Extracto"/>
      </w:pPr>
      <w:r>
        <w:t>4.</w:t>
      </w:r>
      <w:r>
        <w:tab/>
        <w:t>Las funciones atribuidas al mecanismo nacional de prevención no suponen obstáculo alguno al ejercicio de las competencias de supervisión que tiene encomendadas el Síndic de Greuges, ‘exclusivamente’, pero no ‘con carácter exclusivo’, sobre la Administración de la Generalitat y la Administración local de Cataluña, y concretamente en relación con la prevención de la tortura, otros tratos o penas crueles, inhumanos o degradantes (STC 31/2010) [FJ 5].</w:t>
      </w:r>
    </w:p>
    <w:p w:rsidR="0085709A" w:rsidRDefault="0085709A" w:rsidP="0085709A">
      <w:pPr>
        <w:pStyle w:val="Extracto"/>
      </w:pPr>
    </w:p>
    <w:p w:rsidR="0085709A" w:rsidRDefault="0085709A" w:rsidP="0085709A">
      <w:pPr>
        <w:pStyle w:val="Extracto"/>
      </w:pPr>
      <w:r>
        <w:t>5.</w:t>
      </w:r>
      <w:r>
        <w:tab/>
        <w:t xml:space="preserve">Las funciones del mecanismo nacional de prevención no suponen un obstáculo para que el Defensor del Pueblo, en el ejercicio de las competencias que son inherentes a sus cometidos, más allá de su designación como mecanismo nacional de prevención de la tortura, pueda recabar, en su caso, la colaboración del respectivo Comisionado parlamentario para la mejor eficacia de sus gestiones y recibir como </w:t>
      </w:r>
      <w:r>
        <w:lastRenderedPageBreak/>
        <w:t>tal, o como mecanismo nacional designado, las quejas que le hubieran sido remitidas sobre la actividad de los órganos de la Administración pública estatal [FJ 5].</w:t>
      </w:r>
    </w:p>
    <w:p w:rsidR="0085709A" w:rsidRDefault="0085709A" w:rsidP="0085709A">
      <w:pPr>
        <w:pStyle w:val="Extracto"/>
      </w:pPr>
    </w:p>
    <w:p w:rsidR="0085709A" w:rsidRDefault="0085709A" w:rsidP="0085709A">
      <w:pPr>
        <w:pStyle w:val="Extracto"/>
      </w:pPr>
      <w:r>
        <w:t>6.</w:t>
      </w:r>
      <w:r>
        <w:tab/>
        <w:t>Le corresponde al Parlamento de Cataluña, en el ámbito de sus competencias, en virtud de lo dispuesto en el art. 79.4 EAC, regular la organización y las atribuciones del Síndic de Greuges y, además, el Síndic de Greuges goza de autonomía reglamentaria, organizativa, funcional y presupuestaria de acuerdo con las leyes [FJ 5].</w:t>
      </w:r>
    </w:p>
    <w:p w:rsidR="0085709A" w:rsidRDefault="0085709A" w:rsidP="0085709A">
      <w:pPr>
        <w:pStyle w:val="Extracto"/>
      </w:pPr>
    </w:p>
    <w:p w:rsidR="0085709A" w:rsidRDefault="0085709A" w:rsidP="0085709A">
      <w:pPr>
        <w:pStyle w:val="Extracto"/>
      </w:pPr>
      <w:r>
        <w:t>7.</w:t>
      </w:r>
      <w:r>
        <w:tab/>
        <w:t>Procede declarar inconstitucionales las expresiones ‘Autoridad Catalana’, ‘como Autoridad Catalana’ ‘en su condición de Autoridad Catalana’, pues con dicha expresión se viene a identificar, en cada uno de los preceptos en que la misma se utiliza, al Síndic de Greuges como mecanismo nacional de prevención incurriendo en un exceso competencial [FJ 5].</w:t>
      </w:r>
    </w:p>
    <w:p w:rsidR="0085709A" w:rsidRDefault="0085709A" w:rsidP="0085709A">
      <w:pPr>
        <w:pStyle w:val="Extracto"/>
      </w:pPr>
    </w:p>
    <w:p w:rsidR="0085709A" w:rsidRDefault="0085709A" w:rsidP="0085709A">
      <w:pPr>
        <w:pStyle w:val="Extracto"/>
      </w:pPr>
      <w:r>
        <w:t>8.</w:t>
      </w:r>
      <w:r>
        <w:tab/>
        <w:t>La atribución al Síndic de Greuges en su cometido de ‘Autoridad Catalana para la prevención de la Tortura y de otros Tratos o Penas Crueles, Inhumanos o Degradantes’, el acceso ‘a datos de las historias clínicas solo en la medida en que estén relacionados con las funciones que ejerce en esta materia’, debe ser declarada inconstitucional, pues tiene como única finalidad atribuir al Síndic de Greuges facultades que exceden sus competencias [FJ 5].</w:t>
      </w:r>
    </w:p>
    <w:p w:rsidR="0085709A" w:rsidRDefault="0085709A" w:rsidP="0085709A">
      <w:pPr>
        <w:pStyle w:val="Extracto"/>
      </w:pPr>
    </w:p>
    <w:p w:rsidR="0085709A" w:rsidRDefault="0085709A" w:rsidP="0085709A">
      <w:pPr>
        <w:pStyle w:val="Extracto"/>
      </w:pPr>
      <w:r>
        <w:t>9.</w:t>
      </w:r>
      <w:r>
        <w:tab/>
        <w:t>El ejercicio de la competencia de supervisión que tiene encomendada el Síndic de Greuges se circunscribe ‘exclusivamente’, aunque no de modo excluyente, a la Administración de la Generalitat y a la Administración local de Cataluña, quedando al margen de la misma la Administración general del Estado [FJ 6].</w:t>
      </w:r>
    </w:p>
    <w:p w:rsidR="0085709A" w:rsidRDefault="0085709A" w:rsidP="0085709A">
      <w:pPr>
        <w:pStyle w:val="Extracto"/>
      </w:pPr>
    </w:p>
    <w:p w:rsidR="0085709A" w:rsidRDefault="0085709A" w:rsidP="0085709A">
      <w:pPr>
        <w:pStyle w:val="Extracto"/>
      </w:pPr>
      <w:r>
        <w:t>10.</w:t>
      </w:r>
      <w:r>
        <w:tab/>
        <w:t>No hay tacha de constitucionalidad en el precepto que establece la posibilidad de que el Síndic de Greuges pueda realizar entrevistas, requerir la opinión del médico o médica, en tanto que tales funciones pueden entenderse desvinculadas de las funciones atribuidas como Autoridad Catalana y formar parte de sus cometidos de supervisión [FJ 6].</w:t>
      </w:r>
    </w:p>
    <w:p w:rsidR="0085709A" w:rsidRDefault="0085709A" w:rsidP="0085709A">
      <w:pPr>
        <w:pStyle w:val="Extracto"/>
      </w:pPr>
    </w:p>
    <w:p w:rsidR="0085709A" w:rsidRDefault="0085709A" w:rsidP="0085709A">
      <w:pPr>
        <w:pStyle w:val="Extracto"/>
      </w:pPr>
      <w:r>
        <w:t>11.</w:t>
      </w:r>
      <w:r>
        <w:tab/>
        <w:t>No resultan inconstitucionales los preceptos que configuran la creación, composición, selección de los miembros y funciones del “Equipo de Trabajo” y del “Consejo Asesor”, del Síndic de Greuges para la prevención de la tortura y de otros tratos o penas crueles, inhumanos o degradantes, ya que es competencia del Parlamento de Cataluña la regulación de la organización y las atribuciones del Síndic de Greuges; siendo además, que el Síndic de Greuges `goza de autonomía reglamentaria, organizativa, funcional y presupuestaria de acuerdo con las leyes’, para el ejercicio de sus competencias [FJ 6].</w:t>
      </w:r>
    </w:p>
    <w:p w:rsidR="0085709A" w:rsidRDefault="0085709A" w:rsidP="0085709A">
      <w:pPr>
        <w:pStyle w:val="Extracto"/>
      </w:pPr>
    </w:p>
    <w:p w:rsidR="0085709A" w:rsidRDefault="0085709A" w:rsidP="0085709A">
      <w:pPr>
        <w:pStyle w:val="Extracto"/>
      </w:pPr>
      <w:r>
        <w:t>12.</w:t>
      </w:r>
      <w:r>
        <w:tab/>
        <w:t>Aplica la doctrina de las STC 31/2010 y 137/2010 sobre la atribución exclusiva al Síndic de Greuges de funciones en relación con la protección y defensa de los derechos y las libertades [FJ 3].</w:t>
      </w:r>
    </w:p>
    <w:p w:rsidR="0085709A" w:rsidRDefault="0085709A" w:rsidP="0085709A">
      <w:pPr>
        <w:pStyle w:val="Extracto"/>
      </w:pPr>
    </w:p>
    <w:p w:rsidR="0085709A" w:rsidRDefault="0085709A" w:rsidP="0085709A">
      <w:pPr>
        <w:pStyle w:val="Extracto"/>
      </w:pPr>
      <w:r>
        <w:t>13.</w:t>
      </w:r>
      <w:r>
        <w:tab/>
        <w:t>Doctrina sobre el condicionamiento del principio de cooperación por el principio de voluntariedad (STC 137/2010) [FJ 3].</w:t>
      </w:r>
    </w:p>
    <w:p w:rsidR="0085709A" w:rsidRDefault="0085709A" w:rsidP="0085709A">
      <w:pPr>
        <w:pStyle w:val="Extracto"/>
      </w:pPr>
    </w:p>
    <w:p w:rsidR="0085709A" w:rsidRDefault="0085709A" w:rsidP="0085709A">
      <w:pPr>
        <w:pStyle w:val="Extracto"/>
      </w:pPr>
      <w:r>
        <w:t>14.</w:t>
      </w:r>
      <w:r>
        <w:tab/>
        <w:t>Doctrina sobre actividades de las Comunidades Autónomas con proyección exterior y sobre el alcance de la competencia exclusiva del Estado en materia de relaciones internacionales (SSTC 165/1994 y 31/2010) [FJ 4].</w:t>
      </w:r>
    </w:p>
    <w:p w:rsidR="0085709A" w:rsidRDefault="0085709A" w:rsidP="0085709A">
      <w:pPr>
        <w:pStyle w:val="Extracto"/>
      </w:pPr>
    </w:p>
    <w:p w:rsidR="0085709A" w:rsidRDefault="0085709A" w:rsidP="0085709A">
      <w:pPr>
        <w:pStyle w:val="Extracto"/>
      </w:pPr>
      <w:r>
        <w:t>15.</w:t>
      </w:r>
      <w:r>
        <w:tab/>
        <w:t>El ejercicio de las competencias de las Comunidades Autónomas para llevar a cabo una actividad con proyección externa, así como el alcance que esa actividad pueda tener, cuenta con el límite de las reservas que la Constitución efectúa en favor del Estado, y, señaladamente, la reserva prevista en el art. 149.1.3 de la Constitución, que confiere al Estado competencia exclusiva en materia de relaciones internacionales (STC 165/1994) [FJ 4].</w:t>
      </w:r>
    </w:p>
    <w:p w:rsidR="0085709A" w:rsidRDefault="0085709A" w:rsidP="0085709A">
      <w:pPr>
        <w:pStyle w:val="Extracto"/>
      </w:pPr>
    </w:p>
    <w:p w:rsidR="0085709A" w:rsidRDefault="0085709A" w:rsidP="0085709A">
      <w:pPr>
        <w:pStyle w:val="Extracto"/>
      </w:pPr>
      <w:r>
        <w:t>16.</w:t>
      </w:r>
      <w:r>
        <w:tab/>
        <w:t>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 [FJ 4].</w:t>
      </w:r>
    </w:p>
    <w:p w:rsidR="0085709A" w:rsidRDefault="0085709A" w:rsidP="0085709A">
      <w:pPr>
        <w:pStyle w:val="Extracto"/>
      </w:pPr>
    </w:p>
    <w:p w:rsidR="0085709A" w:rsidRDefault="0085709A" w:rsidP="0085709A">
      <w:pPr>
        <w:pStyle w:val="Extracto"/>
      </w:pPr>
      <w:r>
        <w:t>17.</w:t>
      </w:r>
      <w:r>
        <w:tab/>
        <w:t>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debiendo quedar fuera de la actividad con proyección exterior de las Comunidades Autónomas las actuaciones comprendidas en el referido título competencial [FJ 4].</w:t>
      </w:r>
    </w:p>
    <w:p w:rsidR="0085709A" w:rsidRDefault="0085709A" w:rsidP="0085709A">
      <w:pPr>
        <w:pStyle w:val="Extracto"/>
      </w:pPr>
    </w:p>
    <w:p w:rsidR="0085709A" w:rsidRDefault="0085709A" w:rsidP="0085709A">
      <w:pPr>
        <w:pStyle w:val="Extracto"/>
      </w:pPr>
      <w:r>
        <w:t>18.</w:t>
      </w:r>
      <w:r>
        <w:tab/>
        <w:t>El Tribunal ha identificado como algunos de los elementos esenciales que conforman el contenido de la reserva a favor del Estado del art. 149.1.3 CE, los relativos a la celebración de tratados (</w:t>
      </w:r>
      <w:r w:rsidRPr="0085709A">
        <w:rPr>
          <w:i/>
        </w:rPr>
        <w:t>ius contrahendi</w:t>
      </w:r>
      <w:r>
        <w:t>), a la representación exterior del Estado (</w:t>
      </w:r>
      <w:r w:rsidRPr="0085709A">
        <w:rPr>
          <w:i/>
        </w:rPr>
        <w:t>ius legationis</w:t>
      </w:r>
      <w:r>
        <w:t>), así como a la creación de obligaciones internacionales y a la responsabilidad internacional del Estado [FJ 4].</w:t>
      </w:r>
    </w:p>
    <w:p w:rsidR="0085709A" w:rsidRDefault="0085709A" w:rsidP="0085709A">
      <w:pPr>
        <w:pStyle w:val="Extracto"/>
      </w:pPr>
    </w:p>
    <w:p w:rsidR="0085709A" w:rsidRDefault="0085709A" w:rsidP="0085709A">
      <w:pPr>
        <w:pStyle w:val="Extracto"/>
      </w:pPr>
      <w:r>
        <w:t>19.</w:t>
      </w:r>
      <w:r>
        <w:tab/>
        <w:t>Dentro de la competencia estatal ex art. 149.1.3 CE,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2502/2010, interpuesto por el Defensor del Pueblo contra determinados preceptos de la Ley del Parlamento de Cataluña 24/2009, de 23 diciembre, del Síndic de Greuges. Ha comparecido sin formular alegaciones el Gobierno de la Nación, representado por el Abogado del Estado. Han comparecido y formulado alegaciones el Parlamento de Cataluña y el Gobierno de la Generalitat de Cataluña, por medio de sus respectivas representaciones procesales.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escrito presentado el 24 marzo 2010, el Defensor del Pueblo interpuso recurso de inconstitucionalidad contra los artículos 1 b), 3.1, 26 b) y c) y 78, y contra el título VIII en su integridad, artículos 68 a 77 ambos inclusive, de la Ley del Parlamento de Cataluña 24/2009, de 23 diciembre, del Síndic de Greuges. Según el recurso de inconstitucionalidad, los artículos impugnados incurrirían en las siguientes violaciones constitucionales:</w:t>
      </w:r>
    </w:p>
    <w:p w:rsidR="0085709A" w:rsidRDefault="0085709A" w:rsidP="0085709A">
      <w:pPr>
        <w:pStyle w:val="TextoNormal"/>
      </w:pPr>
    </w:p>
    <w:p w:rsidR="0085709A" w:rsidRDefault="0085709A" w:rsidP="0085709A">
      <w:pPr>
        <w:pStyle w:val="TextoNormal"/>
      </w:pPr>
      <w:r>
        <w:t>a) El art. 3.1 de la Ley 24/2009 atribuye al Síndic de Greuges la supervisión de la actividad de las Administraciones, organismos, empresas y personas a que se refiere el art. 78.1 de la Ley Orgánica 6/2006, de 19 de julio, de reforma del Estatuto de Autonomía de Cataluña (EAC, o nuevo Estatuto). La demanda reitera los fundamentos de la demanda de inconstitucionalidad interpuesta por el Defensor del Pueblo contra el segundo inciso del art. 78.1 EAC, desarrollado en el art. 3.1 de la Ley 24/2009, por consagrar la supervisión “con carácter exclusivo” del Síndic de Greuges, que excluye la actuación del Defensor del Pueblo, contradiciendo el art. 54 CE en cuanto a las competencias de supervisión del Defensor del Pueblo, y al art. 14 CE, por la injustificada desigualdad que provoca entre los titulares de derechos y libertades fundamentales según la Administración responsable de la actividad que afecta los derechos.</w:t>
      </w:r>
    </w:p>
    <w:p w:rsidR="0085709A" w:rsidRDefault="0085709A" w:rsidP="0085709A">
      <w:pPr>
        <w:pStyle w:val="TextoNormal"/>
      </w:pPr>
    </w:p>
    <w:p w:rsidR="0085709A" w:rsidRDefault="0085709A" w:rsidP="0085709A">
      <w:pPr>
        <w:pStyle w:val="TextoNormal"/>
      </w:pPr>
      <w:r>
        <w:t xml:space="preserve">b) El art. 26 de la Ley 24/2009 prevé la supervisión por el Síndic de Greuges de la actividad de “b) La Administración local” y “c) Los organismos públicos o privados que están vinculados … a la Administración local o que dependen de ésta, incluidos en cualquier caso los organismos autónomos, empresas públicas, agencias, corporaciones, sociedades civiles, sociedades mercantiles, consorcios, fundaciones públicas y fundaciones privadas, en los términos establecidos en el art. 78.1 del Estatuto”. Las referencias incondicionadas a la “Administración local” de los incisos “b” y “c” de este artículo reciben análogos reproches de inconstitucionalidad que los formulados por el Defensor del Pueblo contra el art. 78.1, último inciso, EAC, del que el art. 26 de la Ley 24/2009 es desarrollo. Por las mismas razones que el precepto del Estatuto, debe ser declarada la inconstitucionalidad de los incisos del art. 26 de la Ley 24/2009 “la Administración local” y “o a la Administración local”, que comprenden la totalidad de la actividad de la Administración local y de los organismos </w:t>
      </w:r>
      <w:r>
        <w:lastRenderedPageBreak/>
        <w:t>vinculados a ella, contradiciendo los arts. 54 y 137 CE, desconociendo la competencia del Defensor del Pueblo y la doctrina del Tribunal Constitucional sobre las facultades de supervisión de los comisionados parlamentarios y el Defensor del Pueblo sobre las Administraciones locales.</w:t>
      </w:r>
    </w:p>
    <w:p w:rsidR="0085709A" w:rsidRDefault="0085709A" w:rsidP="0085709A">
      <w:pPr>
        <w:pStyle w:val="TextoNormal"/>
      </w:pPr>
    </w:p>
    <w:p w:rsidR="0085709A" w:rsidRDefault="0085709A" w:rsidP="0085709A">
      <w:pPr>
        <w:pStyle w:val="TextoNormal"/>
      </w:pPr>
      <w:r>
        <w:t>c) El art. 78 de la Ley 24/2009, bajo el epígrafe “relaciones de cooperación con el Defensor del Pueblo” desarrolla el art. 78.2 EAC. Es impugnado por desconocer las competencias de las Cortes Generales y de su alto comisionado para regular las relaciones entre el Defensor del Pueblo y los comisionados parlamentarios autonómicos, infringiendo los arts. 54 y 66.2 CE.</w:t>
      </w:r>
    </w:p>
    <w:p w:rsidR="0085709A" w:rsidRDefault="0085709A" w:rsidP="0085709A">
      <w:pPr>
        <w:pStyle w:val="TextoNormal"/>
      </w:pPr>
    </w:p>
    <w:p w:rsidR="0085709A" w:rsidRDefault="0085709A" w:rsidP="0085709A">
      <w:pPr>
        <w:pStyle w:val="TextoNormal"/>
      </w:pPr>
      <w:r>
        <w:t>También aquí repite el Defensor del Pueblo los fundamentos de su recurso contra el Estatuto de Autonomía, en el que alegó que el art. 78.2 EAC vulnera el art. 54 CE, que llama para su desarrollo al legislador orgánico ordinario y no al legislador orgánico especial de la reforma estatutaria, así como al art. 14 CE. Añade la presente demanda que una Ley autonómica tampoco puede regular la colaboración del Síndic de Greuges con el Defensor del Pueblo.</w:t>
      </w:r>
    </w:p>
    <w:p w:rsidR="0085709A" w:rsidRDefault="0085709A" w:rsidP="0085709A">
      <w:pPr>
        <w:pStyle w:val="TextoNormal"/>
      </w:pPr>
    </w:p>
    <w:p w:rsidR="0085709A" w:rsidRDefault="0085709A" w:rsidP="0085709A">
      <w:pPr>
        <w:pStyle w:val="TextoNormal"/>
      </w:pPr>
      <w:r>
        <w:t>A mayor abundamiento, la demanda invoca el desconocimiento de las previsiones del art.12 de la Ley Orgánica 3/1981, de 6 abril del Defensor del Pueblo, a la que se refiere el art. 54 CE, que, en su párrafo primero, establece que el Defensor del Pueblo podrá, en todo caso, supervisar por sí mismo la actividad en la Comunidad Autónoma, en el segundo párrafo impone a los comisionados parlamentarios autonómicos la obligación de coordinarse con el Defensor del Pueblo, y prevé una facultad de iniciativa del Defensor del Pueblo para solicitar la cooperación de los comisionados.</w:t>
      </w:r>
    </w:p>
    <w:p w:rsidR="0085709A" w:rsidRDefault="0085709A" w:rsidP="0085709A">
      <w:pPr>
        <w:pStyle w:val="TextoNormal"/>
      </w:pPr>
    </w:p>
    <w:p w:rsidR="0085709A" w:rsidRDefault="0085709A" w:rsidP="0085709A">
      <w:pPr>
        <w:pStyle w:val="TextoNormal"/>
      </w:pPr>
      <w:r>
        <w:t xml:space="preserve">d) El art. 1 b) de la Ley 24/2009 atribuye al Síndic de Greuges la condición de autoridad catalana para la prevención de la tortura y otros tratos o penas crueles, inhumanos o degradantes, en el ámbito de actuación establecido en los arts. 3.1 y 69. El título VIII —denominado “Prevención de la Tortura y otros Tratos o Penas Crueles, Inhumanos o Degradantes” (arts. 68 a 77)— regula dicha atribución. Estos artículos son impugnados por afectar a la competencia exclusiva del Estado en materia de “relaciones internacionales” que establece el art. 149.1.3 CE. Las Cortes Generales, mediante la Ley Orgánica 1/2009 de 3 noviembre, designaron al Defensor del Pueblo mecanismo nacional de prevención de la tortura del Protocolo facultativo de la Convención de las Naciones Unidas contra la tortura y otros tratos o penas crueles, inhumanos o degradantes, adoptado por la Asamblea General de las Naciones Unidas el 18 de diciembre de 2002, y ratificado por España el 3 de marzo de 2006. Con la Ley 24/2009, de 23 de diciembre, el Parlamento de Cataluña pretende hacer lo propio con el Síndic de Greuges, en una decisión inconstitucional no solo según la estricta literalidad del art. 149.1.3 CE, sino también según su interpretación por el Tribunal Constitucional (STC 165/1994, de 26 de mayo). Aunque el preámbulo de la Ley 24/2009 pretenda fundar esta designación del Síndic de Greuges en lo dispuesto en el art. 196.4 EAC, que encomienda a la Generalitat que en el ámbito de sus competencias adopte las medidas necesarias para ejecutar las obligaciones derivadas de los tratados y convenios internacionales, no está en el ámbito de las competencias autonómicas comprometer la voluntad del Estado sobre quién debe ser este mecanismo. Son las Cortes Generales las que tienen la competencia y las que han decidido que exista un solo mecanismo de prevención, el Defensor del Pueblo, el cual es competente para la supervisión de todas las Administraciones, incluida la de la </w:t>
      </w:r>
      <w:r>
        <w:lastRenderedPageBreak/>
        <w:t>Generalitat, en lo que se refiere al control de los lugares de privación de libertad en el marco del Protocolo.</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14 abril 2010, el Pleno de este Tribunal acordó admitir a trámite el recurso de inconstitucionalidad, dar traslado de la demanda, conforme establece el art. 34 de la Ley Orgánica del Tribunal Constitucional (LOTC), al Congreso de los Diputados y al Senado, por conducto de sus Presidentes, y al Gobierno a través del Ministro de Justicia, así como al Gobierno y al Parlamento de Cataluña por conducto de sus Presidentes, al objeto de que en el plazo de 15 días se personaran en el procedimiento y formularan las alegaciones que estimaran convenientes, y publicar la incoación del recurso en el “Boletín Oficial del Estado” y en el “Diari Oficial de la Generalitat de Catalunya”.</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el 28 de abril de 2010, se personó en el procedimiento el Senado y ofreció su colaboración a los efectos del art. 88.1 LOTC. Por escrito registrado el 29 de abril de 2010, el Congreso de los Diputados se personó ofreciendo también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4</w:t>
      </w:r>
      <w:r>
        <w:t>. El 27 de abril de 2010, el Abogado del Estado, en nombre del Gobierno, presentó escrito personándose en el recurso, en el que se solicitaba fuera prorrogado el plazo concedido para formular alegaciones. Por providencia de 29 de abril de 2010 se tuvo por personado al Gobierno, y se prorrogó en ocho días más aquel plazo.</w:t>
      </w:r>
    </w:p>
    <w:p w:rsidR="0085709A" w:rsidRDefault="0085709A" w:rsidP="0085709A">
      <w:pPr>
        <w:pStyle w:val="TextoNormal"/>
      </w:pPr>
    </w:p>
    <w:p w:rsidR="0085709A" w:rsidRDefault="0085709A" w:rsidP="0085709A">
      <w:pPr>
        <w:pStyle w:val="TextoNormal"/>
      </w:pPr>
      <w:r w:rsidRPr="0085709A">
        <w:rPr>
          <w:rStyle w:val="NumeroAFNegritaCaracter"/>
        </w:rPr>
        <w:t>5</w:t>
      </w:r>
      <w:r>
        <w:t>. El Parlamento de Cataluña se personó en el procedimiento por escrito presentado el 30 de abril de 2010, y solicitó la concesión de una prórroga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La Generalitat de Cataluña se personó en el procedimiento por escrito presentado el 6 de mayo de 2010. Igualmente solicitó una prórroga del plazo para efectuar las alegaciones hasta el máximo legalmente posible.</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7 de mayo de 2010 se incorporaron los escritos del Parlamento y la Generalitat de Cataluña, se les tuvo por personados, y se acordó prorrogar en ocho días más el plazo concedido por la providencia de 14 de abril.</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por escrito de 12 de mayo de 2010, comunica que la subcomisión de seguimiento normativo prevención y solución de conflictos de la Comisión bilateral Generalitat-Estado había acordado iniciar negociaciones para resolver las discrepancias competenciales suscitadas en relación con el art. 1, el título VIII y preceptos concordantes de la Ley 24/2009, del Síndic de Greuges, designar un grupo de trabajo para proponer a la Subcomisión la solución que procediera, y comunicar el acuerdo al Tribunal Constitucional a los efectos previstos en el art. 33.2 LOTC. Manifestando que, abierto el procedimiento conciliatorio, de conformidad con sus disposiciones orgánicas, era su intención no formular alegaciones, aunque solicitaba se le notifique en su día la Sentencia que ponga fin al proceso.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Gobierno de la Generalitat de Cataluña, cumplimentó el trámite conferido mediante escrito presentado en este Tribunal el 21 de mayo de 2010, en el que realiza las siguientes alegaciones:</w:t>
      </w:r>
    </w:p>
    <w:p w:rsidR="0085709A" w:rsidRDefault="0085709A" w:rsidP="0085709A">
      <w:pPr>
        <w:pStyle w:val="TextoNormal"/>
      </w:pPr>
    </w:p>
    <w:p w:rsidR="0085709A" w:rsidRDefault="0085709A" w:rsidP="0085709A">
      <w:pPr>
        <w:pStyle w:val="TextoNormal"/>
      </w:pPr>
      <w:r>
        <w:t>a) Sobre el art. 3.1 de la Ley 24/2009, la Generalitat también reitera sus alegaciones al recurso del Defensor del Pueblo contra el art. 78.1 EAC, manteniendo que el Defensor del Pueblo no puede ser ajeno al principio de autonomía del art. 2 CE, de manera que su función de control de la Administración no se proyecta por encima de la organización territorial del Estado y del régimen de distribución de competencias y, en concreto, de las que corresponden al Síndic de Greuges. En cualquier caso, el Estatuto y la legislación vigente prevén mecanismos de relación y colaboración que permitirían al Defensor del Pueblo conocer de las actuaciones presuntamente lesivas de derechos fundamentales antes de interponer los correspondientes recursos de amparo ante el Tribunal Constitucional.</w:t>
      </w:r>
    </w:p>
    <w:p w:rsidR="0085709A" w:rsidRDefault="0085709A" w:rsidP="0085709A">
      <w:pPr>
        <w:pStyle w:val="TextoNormal"/>
      </w:pPr>
    </w:p>
    <w:p w:rsidR="0085709A" w:rsidRDefault="0085709A" w:rsidP="0085709A">
      <w:pPr>
        <w:pStyle w:val="TextoNormal"/>
      </w:pPr>
      <w:r>
        <w:t>b) Son plenamente constitucionales los incisos “la Administración local” y “o a la Administración local”, de las letras b) y c), respectivamente, del art. 26 de la Ley 24/2009. Las funciones de supervisión del Síndic de Greuges están reconocidas en el art. 78 EAC, que también reconoce en su párrafo segundo que el Defensor del Pueblo tiene en Cataluña facultades de control sobre la Administración del Estado, y funciones de garantía de los derechos de los ciudadanos, puesto que está legitimado para interponer recursos de amparo y de inconstitucionalidad. Este reconocimiento justifica la previsión de la necesaria relación de colaboración del Defensor del Pueblo con el Síndic de Greuges. Por otro lado, prever la capacidad del Defensor del Pueblo para supervisar la actividad de la Administración local en Cataluña no indica que la supervisión sea exclusiva.</w:t>
      </w:r>
    </w:p>
    <w:p w:rsidR="0085709A" w:rsidRDefault="0085709A" w:rsidP="0085709A">
      <w:pPr>
        <w:pStyle w:val="TextoNormal"/>
      </w:pPr>
    </w:p>
    <w:p w:rsidR="0085709A" w:rsidRDefault="0085709A" w:rsidP="0085709A">
      <w:pPr>
        <w:pStyle w:val="TextoNormal"/>
      </w:pPr>
      <w:r>
        <w:t>El reconocimiento constitucional de la autonomía de los entes locales se traduce en una garantía institucional de los elementos esenciales del autogobierno de los entes locales territoriales, sin que esa garantía institucional impida la previsión de controles externos sobre los entes locales, entre otros por el Síndic de Greuges. Esta supervisión no limita la autonomía local debido a que no tiene incidencia directa e inmediata en las resoluciones de las Administraciones municipales que el Síndic de Greuges no puede obligar a modificar. Por último, los sujetos titulares de los derechos y libertades reconocidos en la Constitución y de los derechos estatutarios no deben perder la garantía de la intervención del Síndic de Greuges ante la Administración local.</w:t>
      </w:r>
    </w:p>
    <w:p w:rsidR="0085709A" w:rsidRDefault="0085709A" w:rsidP="0085709A">
      <w:pPr>
        <w:pStyle w:val="TextoNormal"/>
      </w:pPr>
    </w:p>
    <w:p w:rsidR="0085709A" w:rsidRDefault="0085709A" w:rsidP="0085709A">
      <w:pPr>
        <w:pStyle w:val="TextoNormal"/>
      </w:pPr>
      <w:r>
        <w:t>c) El art.78 de la Ley 24/2009 no impone un procedimiento de coordinación entre Defensor del Pueblo y Síndic de Greuges sino que establece un principio que deriva de la doctrina constitucional; la necesidad de colaboración y coordinación. Este art. 78 de la Ley 24/2009 encaja con las disposiciones del Estatuto, la Constitución, y la Ley Orgánica 3/1981, de 6 abril del Defensor del Pueblo, en las que se reconoce la necesidad de colaboración y de coordinación entre el Defensor del Pueblo y el Síndic de Greuges.</w:t>
      </w:r>
    </w:p>
    <w:p w:rsidR="0085709A" w:rsidRDefault="0085709A" w:rsidP="0085709A">
      <w:pPr>
        <w:pStyle w:val="TextoNormal"/>
      </w:pPr>
    </w:p>
    <w:p w:rsidR="0085709A" w:rsidRDefault="0085709A" w:rsidP="0085709A">
      <w:pPr>
        <w:pStyle w:val="TextoNormal"/>
      </w:pPr>
      <w:r>
        <w:t xml:space="preserve">d) La designación del Síndic de Greuges como mecanismo nacional de prevención de la tortura por el art. 1 b) y su regulación en el título VIII de la Ley 24/2009 es ejecución interna del Protocolo en materias que son competencia de la Generalitat, y no incide en la reserva estatal ni la perturba o condiciona, con lo que se cumplen los requisitos establecidos por la STC 165/1994 para que las Comunidades Autónomas lleven a cabo actividades con proyección exterior. En el Protocolo se prevé que los Estados establezcan uno o varios mecanismos </w:t>
      </w:r>
      <w:r>
        <w:lastRenderedPageBreak/>
        <w:t>nacionales de prevención, siempre que estos cumplan determinadas características, que se dan en el Síndic de Greuges. Una vez designado el Síndic de Greuges, es el Estado, en tanto que sujeto internacional, el que debe comunicar formalmente su designación al organismo competente de las Naciones Unidas. Tampoco la atribución al Defensor del Pueblo del ejercicio de las funciones de mecanismo nacional por el art. 3 de la Ley Orgánica 1/2009 impide que el Parlamento de Cataluña establezca su propio mecanismo para actuar en aquellos ámbitos materiales en los que la Generalitat asumió competencias. Todo ello sin perjuicio de que los distintos mecanismos nacionales de prevención designados por España deberán coordinar el ejercicio de sus funciones, y lo cierto es que la Ley 24/2009 no solamente no impide esta coordinación sino que la promueve y prevé en diversos artículos.</w:t>
      </w:r>
    </w:p>
    <w:p w:rsidR="0085709A" w:rsidRDefault="0085709A" w:rsidP="0085709A">
      <w:pPr>
        <w:pStyle w:val="TextoNormal"/>
      </w:pPr>
    </w:p>
    <w:p w:rsidR="0085709A" w:rsidRDefault="0085709A" w:rsidP="0085709A">
      <w:pPr>
        <w:pStyle w:val="TextoNormal"/>
      </w:pPr>
      <w:r>
        <w:t>Por todo lo cual el Letrado del Gobierno de la Generalitat solicita que, previos los trámites oportunos, se dicte sentencia que desestime íntegramente el recurso y declare que los preceptos impugnados de la Ley 24/2009 resultan plenamente conformes con la Constitución española.</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del Parlamento de Cataluña cumplimentó el trámite conferido mediante escrito presentado en este Tribunal el 26 de mayo de 2010, en el que insta que se desestime el recurso de inconstitucionalidad según las siguientes alegaciones:</w:t>
      </w:r>
    </w:p>
    <w:p w:rsidR="0085709A" w:rsidRDefault="0085709A" w:rsidP="0085709A">
      <w:pPr>
        <w:pStyle w:val="TextoNormal"/>
      </w:pPr>
    </w:p>
    <w:p w:rsidR="0085709A" w:rsidRDefault="0085709A" w:rsidP="0085709A">
      <w:pPr>
        <w:pStyle w:val="TextoNormal"/>
      </w:pPr>
      <w:r>
        <w:t>a) La supervisión del Síndic de Greuges “con carácter exclusivo” sobre toda la Administración de la Generalitat no es contraria a los artículos 54 y 14 de la Constitución. Según el principio autonómico del art. 2 CE y la competencia exclusiva de la Generalitat de Cataluña sobre sus instituciones de autogobierno, el defensor autonómico debe tener el control exclusivo de la Administración que depende del Gobierno autonómico. La referencia del art. 54 CE a la “administración” no especifica a cuál o cuáles se refiere, y si la Constitución hubiera querido que abarcase a cualquiera o a todas las Administraciones públicas lo habría dicho o expresado usando la palabra en plural.</w:t>
      </w:r>
    </w:p>
    <w:p w:rsidR="0085709A" w:rsidRDefault="0085709A" w:rsidP="0085709A">
      <w:pPr>
        <w:pStyle w:val="TextoNormal"/>
      </w:pPr>
    </w:p>
    <w:p w:rsidR="0085709A" w:rsidRDefault="0085709A" w:rsidP="0085709A">
      <w:pPr>
        <w:pStyle w:val="TextoNormal"/>
      </w:pPr>
      <w:r>
        <w:t>El Estatuto de Autonomía es una Ley Orgánica de carácter especial, que de acuerdo con la Constitución establece el estatuto y funciones del Síndic de Greuges como institución homóloga y no subordinada al Defensor del Pueblo al que reserva en su art. 78.1 el ámbito de la administración de la Generalitat. La exclusividad sin embargo no es total, hay dos ámbitos de competencia de la Generalitat en los que el Defensor del Pueblo es el único que puede actuar, sin que quepa otra intervención del Síndic de Greuges que la de sugerencia o colaboración: interponer recurso de inconstitucionalidad si el Defensor del Pueblo considera que una ley del Parlamento catalán fuera contraria a la Constitución (art. 32 LOTC), y, en segundo lugar, promover recurso de amparo si la actuación de Administración autonómica conculca los derechos fundamentales (art. 46.1 LOTC).</w:t>
      </w:r>
    </w:p>
    <w:p w:rsidR="0085709A" w:rsidRDefault="0085709A" w:rsidP="0085709A">
      <w:pPr>
        <w:pStyle w:val="TextoNormal"/>
      </w:pPr>
    </w:p>
    <w:p w:rsidR="0085709A" w:rsidRDefault="0085709A" w:rsidP="0085709A">
      <w:pPr>
        <w:pStyle w:val="TextoNormal"/>
      </w:pPr>
      <w:r>
        <w:t xml:space="preserve">Añade dos argumentos más. La capacidad de actuación de un ombudsman debe venir referida a la del órgano del que actúa como comisionado, de manera que el Defensor del Pueblo no debe ejercer el control de la Administración autonómica puesto que son muy limitadas y excepcionales las actuaciones de control que las Cortes Generales pueden efectuar sobre el Gobierno y la Administración autonómica, en cambio estas funciones deben corresponder al Síndic de Greuges. En segundo lugar, el derecho comparado muestra que en los Estados compuestos donde coexisten instituciones de ombudsman en las áreas federal </w:t>
      </w:r>
      <w:r>
        <w:lastRenderedPageBreak/>
        <w:t>o estatal con otras de ámbito estatal y regional, la articulación competencial entre ambas está regulada en los términos de exclusividad que establece el art. 78.1 EAC.</w:t>
      </w:r>
    </w:p>
    <w:p w:rsidR="0085709A" w:rsidRDefault="0085709A" w:rsidP="0085709A">
      <w:pPr>
        <w:pStyle w:val="TextoNormal"/>
      </w:pPr>
    </w:p>
    <w:p w:rsidR="0085709A" w:rsidRDefault="0085709A" w:rsidP="0085709A">
      <w:pPr>
        <w:pStyle w:val="TextoNormal"/>
      </w:pPr>
      <w:r>
        <w:t>b) La supervisión del Síndic de Greuges sobre los entes locales y organismos públicos y privados que de ellos dependen, establecida en el art. 26 de la Ley 24/2009, versa sobre las materias en las que la Generalitat tiene competencias. Es un error del recurrente predicar de una Ley Orgánica especial, el Estatuto de Autonomía de Cataluña, la doctrina constitucional sobre normas infraestatutarias, que no puede trasladarse a la interpretación de la norma estatutaria porque esta, a su vez, es la que deviene parámetro de constitucionalidad, ciertamente integrada y conforme a la Constitución. La autonomía de los entes locales no impide los controles externos como el ejercido por el Síndic de Greuges, así como por otros órganos y medios de control de la actuación de los entes locales cuya existencia no se cuestiona, como la Agencia Catalana de Protección de Datos y la Sindicatura de Comptes.</w:t>
      </w:r>
    </w:p>
    <w:p w:rsidR="0085709A" w:rsidRDefault="0085709A" w:rsidP="0085709A">
      <w:pPr>
        <w:pStyle w:val="TextoNormal"/>
      </w:pPr>
    </w:p>
    <w:p w:rsidR="0085709A" w:rsidRDefault="0085709A" w:rsidP="0085709A">
      <w:pPr>
        <w:pStyle w:val="TextoNormal"/>
      </w:pPr>
      <w:r>
        <w:t>c) El art. 78 de la Ley 24/2009 es conforme al bloque de constitucionalidad siempre que se interprete correctamente en el contexto del Estado de las Autonomías. En este contexto, el art. 78.2 del Estatuto de Autonomía de Cataluña reconoce y exige la colaboración entre el Síndic y el Defensor del Pueblo, sin configurarla bajo una forma jurídica concreta, previendo que ambas instituciones la establezcan de la manera más respetuosa y eficiente posible. Este artículo del Estatuto ofrece además pautas hermenéuticas suficientes para determinar el alcance de los convenios de colaboración o, simplemente, de la práctica diaria de las relaciones entre ambas instituciones. Los supuestos que este precepto prevé son plenamente respetuosos para con las competencias respectivas de uno y otro, y constituyen un mínimo indispensable para esa colaboración.</w:t>
      </w:r>
    </w:p>
    <w:p w:rsidR="0085709A" w:rsidRDefault="0085709A" w:rsidP="0085709A">
      <w:pPr>
        <w:pStyle w:val="TextoNormal"/>
      </w:pPr>
    </w:p>
    <w:p w:rsidR="0085709A" w:rsidRDefault="0085709A" w:rsidP="0085709A">
      <w:pPr>
        <w:pStyle w:val="TextoNormal"/>
      </w:pPr>
      <w:r>
        <w:t>d) El art. 1 b) y el título VIII de la Ley 24/2009 no invaden la competencia exclusiva del Estado sobre relaciones internacionales del art. 149.1.3 CE, según resulta del art. 196.4 EAC y, fundamentalmente, de la doctrina de la STC 165/1994 con la que se ampliaron notablemente algunas líneas interpretativas contempladas por la doctrina anterior (STC 80/1993). De acuerdo con dicha doctrina, mientras no incidan en el núcleo reservado al Estado por el art. 149.1.3 CE, las Comunidades Autónomas pueden realizar actividades enmarcadas genéricamente en el concepto llamado “acción exterior”, siempre de acuerdo con las competencias que les atribuya el respectivo estatuto de autonomía y con la legítima finalidad de hacerlas efectivas.</w:t>
      </w:r>
    </w:p>
    <w:p w:rsidR="0085709A" w:rsidRDefault="0085709A" w:rsidP="0085709A">
      <w:pPr>
        <w:pStyle w:val="TextoNormal"/>
      </w:pPr>
    </w:p>
    <w:p w:rsidR="0085709A" w:rsidRDefault="0085709A" w:rsidP="0085709A">
      <w:pPr>
        <w:pStyle w:val="TextoNormal"/>
      </w:pPr>
      <w:r>
        <w:t>e) La atribución al Síndic de Greuges por la Ley 24/2009 de la condición de autoridad catalana para la prevención de la tortura es conforme, además de con la Constitución, con el Estatuto de Autonomía, el Protocolo y la modificación de la Ley Orgánica del Defensor del Pueblo por la Ley Orgánica 1/2009.</w:t>
      </w:r>
    </w:p>
    <w:p w:rsidR="0085709A" w:rsidRDefault="0085709A" w:rsidP="0085709A">
      <w:pPr>
        <w:pStyle w:val="TextoNormal"/>
      </w:pPr>
    </w:p>
    <w:p w:rsidR="0085709A" w:rsidRDefault="0085709A" w:rsidP="0085709A">
      <w:pPr>
        <w:pStyle w:val="TextoNormal"/>
      </w:pPr>
      <w:r>
        <w:t>El art. 196.4 EAC prevé: “La Generalitat debe adoptar las medidas necesarias para ejecutar las obligaciones derivadas de los tratados y los convenios internacionales ratificados por España o que vinculen al Estado en el ámbito de sus competencias.”; y la Generalitat tiene competencias en la materia objeto de regulación por el Protocolo.</w:t>
      </w:r>
    </w:p>
    <w:p w:rsidR="0085709A" w:rsidRDefault="0085709A" w:rsidP="0085709A">
      <w:pPr>
        <w:pStyle w:val="TextoNormal"/>
      </w:pPr>
    </w:p>
    <w:p w:rsidR="0085709A" w:rsidRDefault="0085709A" w:rsidP="0085709A">
      <w:pPr>
        <w:pStyle w:val="TextoNormal"/>
      </w:pPr>
      <w:r>
        <w:t xml:space="preserve">El Protocolo permite la creación de uno o varios “mecanismos nacionales de prevención” en cada Estado, que los establece, designa o mantiene según su ordenamiento interno, y que en los Estados compuestos los mecanismos que establezcan las “entidades descentralizadas” </w:t>
      </w:r>
      <w:r>
        <w:lastRenderedPageBreak/>
        <w:t>puedan ser designados mecanismos nacionales de prevención. Es una cuestión diferente de la designación la comunicación formal del establecimiento de la designación, de la autoridad catalana, al organismo competente de las Naciones Unidas.</w:t>
      </w:r>
    </w:p>
    <w:p w:rsidR="0085709A" w:rsidRDefault="0085709A" w:rsidP="0085709A">
      <w:pPr>
        <w:pStyle w:val="TextoNormal"/>
      </w:pPr>
    </w:p>
    <w:p w:rsidR="0085709A" w:rsidRDefault="0085709A" w:rsidP="0085709A">
      <w:pPr>
        <w:pStyle w:val="TextoNormal"/>
      </w:pPr>
      <w:r>
        <w:t>La modificación de la Ley Orgánica del Defensor del Pueblo por la Ley Orgánica 1/2009, según el principio de interpretación conforme a la Constitución, permite entender que la atribución que hace al Defensor del Pueblo de las funciones del mecanismo nacional de prevención de la tortura no excluye la posibilidad de que existan otros mecanismos nacionales establecidos por las Comunidades Autónomas.</w:t>
      </w:r>
    </w:p>
    <w:p w:rsidR="0085709A" w:rsidRDefault="0085709A" w:rsidP="0085709A">
      <w:pPr>
        <w:pStyle w:val="TextoNormal"/>
      </w:pPr>
    </w:p>
    <w:p w:rsidR="0085709A" w:rsidRDefault="0085709A" w:rsidP="0085709A">
      <w:pPr>
        <w:pStyle w:val="TextoNormal"/>
      </w:pPr>
      <w:r>
        <w:t>La prevención de la tortura y otros tratos o penas crueles, inhumanos o degradantes, son funciones competencia de la Generalitat, y específicamente del Síndic de Greuges en ejercicio de su función de protección y defensa de los derechos de las personas, aunque se ejercite de manera concurrente con la que mantiene genéricamente el Estado, y específicamente los Tribunales, el Tribunal Constitucional, y el Defensor del Pueblo, entre otros.</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3 de marzo de dos mil quince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Defensor del Pueblo impugna de la Ley del Parlamento de Cataluña 24/2009, de 23 diciembre, del Síndic de Greuges los arts. 1 b), 3.1, 26 apartados b) y c), incisos “la administración local” y “o a la administración local” y art. 78, y el título VIII en su integridad, arts. 68 a 77, ambos inclusive.</w:t>
      </w:r>
    </w:p>
    <w:p w:rsidR="0085709A" w:rsidRDefault="0085709A" w:rsidP="0085709A">
      <w:pPr>
        <w:pStyle w:val="TextoNormal"/>
      </w:pPr>
    </w:p>
    <w:p w:rsidR="0085709A" w:rsidRDefault="0085709A" w:rsidP="0085709A">
      <w:pPr>
        <w:pStyle w:val="TextoNormal"/>
      </w:pPr>
      <w:r>
        <w:t>La demanda del Defensor del Pueblo considera inconstitucional los arts. 3.1 y 26, apartados b) y c), de la Ley 24/2009 por atribuir al Síndic de Greuges facultades de supervisión sobre la Administración local y los organismos de ella dependientes, sin limitarlas a aquellas materias en las que el Estatuto atribuye competencias a la Comunidad Autónoma, y que ésta, además, hubiera transferido o delegado en los entes locales. Con ello se vulneran las competencias que corresponden al Defensor del Pueblo según el art. 54 CE, y la autonomía local garantizada en el art. 137 CE. Por su parte, el art. 78 de la Ley 24/2009 es considerado inconstitucional por establecer la suscripción de convenios entre el Síndic de Greuges y el Defensor del Pueblo para concretar el régimen de colaboración entre ambas instituciones, infringiendo los arts. 54 y 66.2 CE, de los que resulta la competencia de las Cortes Generales y del Defensor del Pueblo para regular las relaciones de éste último con los comisionados parlamentarios autonómicos.</w:t>
      </w:r>
    </w:p>
    <w:p w:rsidR="0085709A" w:rsidRDefault="0085709A" w:rsidP="0085709A">
      <w:pPr>
        <w:pStyle w:val="TextoNormal"/>
      </w:pPr>
    </w:p>
    <w:p w:rsidR="0085709A" w:rsidRDefault="0085709A" w:rsidP="0085709A">
      <w:pPr>
        <w:pStyle w:val="TextoNormal"/>
      </w:pPr>
      <w:r>
        <w:t xml:space="preserve">La creación de un mecanismo nacional de prevención de la tortura está prevista en el Protocolo facultativo de la convención de las Naciones Unidas contra la tortura y otros tratos o penas crueles, inhumanos o degradantes, adoptado por la Asamblea General de las Naciones Unidas el 18 de diciembre de 2002, y ratificado por España el 3 de marzo de 2006. El Defensor del Pueblo impugna el art. 1.b) de la Ley 24/2009 porque atribuye al Síndic de Greuges la condición de “Autoridad Catalana para la Prevención de la Tortura y de otros Tratos o Penas Crueles, Inhumanos o Degradantes”; esta atribución está regulada en el título </w:t>
      </w:r>
      <w:r>
        <w:lastRenderedPageBreak/>
        <w:t>VIII de la Ley 24/2009, denominado “Prevención de la Tortura y otros Tratos o Penas Crueles, Inhumanos o Degradantes”, que incluyen los arts. 68 a 77, todos ellos impugnados. El Defensor del Pueblo alega la inconstitucionalidad de todos éstos preceptos, por vulnerar la competencia exclusiva del Estado en materia de relaciones internacionales que establece el art. 149.1.3 CE, y que se ejercitó por las Cortes Generales, mediante la Ley Orgánica 1/2009 de 3 de noviembre, designando al Defensor del Pueblo mecanismo nacional de prevención de la tortura del Protocolo facultativo.</w:t>
      </w:r>
    </w:p>
    <w:p w:rsidR="0085709A" w:rsidRDefault="0085709A" w:rsidP="0085709A">
      <w:pPr>
        <w:pStyle w:val="TextoNormal"/>
      </w:pPr>
    </w:p>
    <w:p w:rsidR="0085709A" w:rsidRDefault="0085709A" w:rsidP="0085709A">
      <w:pPr>
        <w:pStyle w:val="TextoNormal"/>
      </w:pPr>
      <w:r>
        <w:t>El Gobierno de la Generalitat de Cataluña se opone al recurso del Defensor del Pueblo, alegando que los arts. 3.1, 26 apartados b) y c), y 78 de la Ley 24/2009 deben ser interpretados según el principio de autonomía del art. 2 CE. El art. 78.2 EAC reconoce al Defensor del Pueblo facultades de control sobre la Administración del Estado y funciones de garantía de los derechos de los ciudadanos, puesto que está legitimado para interponer recursos de amparo y de inconstitucionalidad, lo que justifica la previsión de la necesaria relación de colaboración con el Síndic de Greuges. Por otro lado, la autonomía de los entes locales no impide controles externos, entre otros por el Síndic de Greuges.</w:t>
      </w:r>
    </w:p>
    <w:p w:rsidR="0085709A" w:rsidRDefault="0085709A" w:rsidP="0085709A">
      <w:pPr>
        <w:pStyle w:val="TextoNormal"/>
      </w:pPr>
    </w:p>
    <w:p w:rsidR="0085709A" w:rsidRDefault="0085709A" w:rsidP="0085709A">
      <w:pPr>
        <w:pStyle w:val="TextoNormal"/>
      </w:pPr>
      <w:r>
        <w:t>Entiende el Gobierno de la Generalitat que el art. 1 b) y el título VIII de la Ley 24/2009 no afectan a la competencia exclusiva del Estado en materia de relaciones internacionales, en cuanto se cumplen los requisitos establecidos en la STC 165/1994 para que las Comunidades Autónomas lleven a cabo actividades con proyección exterior. La atribución al Defensor del Pueblo del ejercicio de las funciones de mecanismo nacional por la Ley Orgánica 1/2009 no impide que el Parlamento de Cataluña establezca su propio mecanismo para actuar en los ámbitos materiales en los que la Generalitat tiene competencias, y que sea después el Estado, como sujeto internacional, el que comunique la designación al organismo internacional correspondiente.</w:t>
      </w:r>
    </w:p>
    <w:p w:rsidR="0085709A" w:rsidRDefault="0085709A" w:rsidP="0085709A">
      <w:pPr>
        <w:pStyle w:val="TextoNormal"/>
      </w:pPr>
    </w:p>
    <w:p w:rsidR="0085709A" w:rsidRDefault="0085709A" w:rsidP="0085709A">
      <w:pPr>
        <w:pStyle w:val="TextoNormal"/>
      </w:pPr>
      <w:r>
        <w:t>El Parlamento de Cataluña igualmente se opone a la demanda, alegando la constitucionalidad de los arts. 3.1, 26 y 78 de la Ley 24/2009, porque, en los dos primeros, no se veta la intervención del Defensor del Pueblo en el ámbito de la Generalitat, donde existen dos ámbitos de competencia en los que éste es el único que puede actuar: interponer recurso de inconstitucionalidad y promover recurso de amparo. El Síndic de Greuges ejerce su actividad respecto de los entes locales de Cataluña, teniendo en cuenta la regulación que hace el Estatuto de la Administración local y de las competencias de la Generalitat respecto a esas entidades. El art. 78 de la Ley 24/2009, por su parte, no pretende regular al Defensor del Pueblo ni imponerle un procedimiento de coordinación con el Síndic de Greuges; sólo recoge el principio de colaboración y coordinación entre Estado y Comunidades Autónomas.</w:t>
      </w:r>
    </w:p>
    <w:p w:rsidR="0085709A" w:rsidRDefault="0085709A" w:rsidP="0085709A">
      <w:pPr>
        <w:pStyle w:val="TextoNormal"/>
      </w:pPr>
    </w:p>
    <w:p w:rsidR="0085709A" w:rsidRDefault="0085709A" w:rsidP="0085709A">
      <w:pPr>
        <w:pStyle w:val="TextoNormal"/>
      </w:pPr>
      <w:r>
        <w:t xml:space="preserve">También el Parlamento de Cataluña considera que la Ley 24/2009 no invade la competencia exclusiva del Estado sobre relaciones internacionales del art. 149.1.3 CE, ya que, siguiendo la doctrina de la STC 165/1994, las Comunidades Autónomas, en tanto no incidan en el núcleo reservado al Estado por el art. 149.1.3 CE, pueden realizar actividades enmarcadas genéricamente en el concepto llamado acción exterior, de acuerdo con las competencias que les atribuya el correspondiente estatuto de autonomía y con la legítima finalidad de hacerlas efectivas. Considera que tal atribución competencial deriva del art. 196.4 EAC que atribuye a la  el deber de adoptar las medidas necesarias para ejecutar las obligaciones derivadas de los tratados y los convenios internacionales ratificados por España o que vinculen al Estado en el ámbito de sus competencias. El principio de interpretación conforme a la </w:t>
      </w:r>
      <w:r>
        <w:lastRenderedPageBreak/>
        <w:t>Constitución, aplicado a la modificación de la Ley Orgánica del Defensor del Pueblo por Ley Orgánica 1/2009 que atribuye al Defensor del Pueblo las funciones del mecanismo nacional de prevención de la tortura, permitiría además otros mecanismos nacionales establecidos por las Comunidades Autónomas.</w:t>
      </w:r>
    </w:p>
    <w:p w:rsidR="0085709A" w:rsidRDefault="0085709A" w:rsidP="0085709A">
      <w:pPr>
        <w:pStyle w:val="TextoNormal"/>
      </w:pPr>
    </w:p>
    <w:p w:rsidR="0085709A" w:rsidRDefault="0085709A" w:rsidP="0085709A">
      <w:pPr>
        <w:pStyle w:val="TextoNormal"/>
      </w:pPr>
      <w:r w:rsidRPr="0085709A">
        <w:rPr>
          <w:rStyle w:val="NumeroAFNegritaCaracter"/>
        </w:rPr>
        <w:t>2</w:t>
      </w:r>
      <w:r>
        <w:t>. Los artículos impugnados pueden dividirse en dos grupos. Un primer grupo estaría formado por los arts. 3.1, 26 b), inciso “la administración local”, y c), inciso “o a la administración local”, y el art. 78, que, según la demanda, guardan directa relación con los reproches de inconstitucionalidad que el Defensor del Pueblo formuló al art. 78 de la Ley Orgánica 6/2006, de 19 de julio, de reforma del Estatuto de Autonomía de Cataluña (EAC), en el recurso de inconstitucionalidad 8675-2006. El segundo grupo estaría formado por el resto de los artículos impugnados: el art. 1 b) y todo el título VIII (arts. 68 a 77, ambos inclusive), en los que se regula la atribución al Síndic de Greuges de la condición de Autoridad Catalana para la Prevención de la Tortura y de otros Tratos o Penas Crueles, Inhumanos o Degradantes.</w:t>
      </w:r>
    </w:p>
    <w:p w:rsidR="0085709A" w:rsidRDefault="0085709A" w:rsidP="0085709A">
      <w:pPr>
        <w:pStyle w:val="TextoNormal"/>
      </w:pPr>
    </w:p>
    <w:p w:rsidR="0085709A" w:rsidRDefault="0085709A" w:rsidP="0085709A">
      <w:pPr>
        <w:pStyle w:val="TextoNormal"/>
      </w:pPr>
      <w:r w:rsidRPr="0085709A">
        <w:rPr>
          <w:rStyle w:val="NumeroAFNegritaCaracter"/>
        </w:rPr>
        <w:t>3</w:t>
      </w:r>
      <w:r>
        <w:t>. Dentro del primer grupo de artículos impugnados, se cuestiona el art. 3.1 por establecer la supervisión del Síndic de Greuges “con carácter exclusivo” sobre la actividad administrativa autonómica, en todos los órdenes, que impediría la actuación del Defensor del Pueblo, vulnerándose el art. 54 CE.</w:t>
      </w:r>
    </w:p>
    <w:p w:rsidR="0085709A" w:rsidRDefault="0085709A" w:rsidP="0085709A">
      <w:pPr>
        <w:pStyle w:val="TextoNormal"/>
      </w:pPr>
    </w:p>
    <w:p w:rsidR="0085709A" w:rsidRDefault="0085709A" w:rsidP="0085709A">
      <w:pPr>
        <w:pStyle w:val="TextoNormal"/>
      </w:pPr>
      <w:r>
        <w:t>En segundo lugar, se alega que el art. 26 b) inciso “la administración local” y c) inciso “o a la administración local” atribuyen al Síndic de Greuges la supervisión sobre la totalidad de la actividad de la administración local y de los organismos vinculados a ella, desconociendo la competencia del Defensor del Pueblo, y la doctrina del Tribunal Constitucional sobre las facultades de supervisión del Defensor del Pueblo y Comisionados parlamentarios autonómicos sobre dichas corporaciones.</w:t>
      </w:r>
    </w:p>
    <w:p w:rsidR="0085709A" w:rsidRDefault="0085709A" w:rsidP="0085709A">
      <w:pPr>
        <w:pStyle w:val="TextoNormal"/>
      </w:pPr>
    </w:p>
    <w:p w:rsidR="0085709A" w:rsidRDefault="0085709A" w:rsidP="0085709A">
      <w:pPr>
        <w:pStyle w:val="TextoNormal"/>
      </w:pPr>
      <w:r>
        <w:t>El art. 78 Ley 24/2009 es objeto de impugnación por desconocer las competencias de las Cortes Generales para regular las relaciones entre el Defensor del Pueblo y los Comisionados parlamentarios autonómicos.</w:t>
      </w:r>
    </w:p>
    <w:p w:rsidR="0085709A" w:rsidRDefault="0085709A" w:rsidP="0085709A">
      <w:pPr>
        <w:pStyle w:val="TextoNormal"/>
      </w:pPr>
    </w:p>
    <w:p w:rsidR="0085709A" w:rsidRDefault="0085709A" w:rsidP="0085709A">
      <w:pPr>
        <w:pStyle w:val="TextoNormal"/>
      </w:pPr>
      <w:r>
        <w:t>Este grupo de impugnaciones ha quedado resuelto en las Sentencias dictadas en los recursos de inconstitucionalidad contra la Ley Orgánica 6/2006, de 19 de julio, de reforma del Estatuto de Autonomía de Cataluña.</w:t>
      </w:r>
    </w:p>
    <w:p w:rsidR="0085709A" w:rsidRDefault="0085709A" w:rsidP="0085709A">
      <w:pPr>
        <w:pStyle w:val="TextoNormal"/>
      </w:pPr>
    </w:p>
    <w:p w:rsidR="0085709A" w:rsidRDefault="0085709A" w:rsidP="0085709A">
      <w:pPr>
        <w:pStyle w:val="TextoNormal"/>
      </w:pPr>
      <w:r>
        <w:t>La STC 31/2010, de 28 de junio (FJ 33), resolvió la impugnación del apartado primero del art. 78 EAC, concretamente por atribuir al Síndic de Greuges la función de supervisar la actividad administrativa autonómica, en todos los órdenes, “con carácter exclusivo”, ya que con esa exclusividad se haría imposible la actuación del Defensor del Pueblo respecto de la Administración catalana, vulnerándose el art. 54 CE. Indicamos entonces que la garantía extrajurisdiccional propia del Defensor del Pueblo no puede limitarse en su alcance a la supervisión de la Administración central del Estado, sino que ha de comprender a cualesquiera Administraciones públicas en aras de la perfecta cobertura de las garantías constitucionales de los derechos respecto de todas las variables del poder público. En consecuencia, declaramos en dicha Sentencia inconstitucional y nulo el inciso “con carácter exclusivo” contenido en el art. 78.1 EAC.</w:t>
      </w:r>
    </w:p>
    <w:p w:rsidR="0085709A" w:rsidRDefault="0085709A" w:rsidP="0085709A">
      <w:pPr>
        <w:pStyle w:val="TextoNormal"/>
      </w:pPr>
    </w:p>
    <w:p w:rsidR="0085709A" w:rsidRDefault="0085709A" w:rsidP="0085709A">
      <w:pPr>
        <w:pStyle w:val="TextoNormal"/>
      </w:pPr>
      <w:r>
        <w:lastRenderedPageBreak/>
        <w:t>Sobre la base de la anterior Sentencia, la STC 137/2010, de 16 de diciembre (FJ 7), razonó que declarada la inconstitucionalidad de la exclusividad del Síndic de Greuges en el ejercicio de la función de protección y defensa de los derechos y las libertades reconocidos por la Constitución y el EAC, sin embargo, no es inconstitucional el hecho de que al Síndic de Greuges se le encargue la supervisión de la actividad de la Administración local de Cataluña y la de los organismos públicos o privados vinculados que dependen de la misma (art. 78.1 EAC), pues, sin formar parte de la Administración de la Generalitat, las Administraciones locales están reguladas en el Estatuto de Autonomía. No obstante, dicha supervisión, no podrá considerarse exclusiva ni excluyente de la supervisión del Defensor del Pueblo en cuanto que ésta lo es de todas las Administraciones Públicas, ya sean estatales, autonómicas o locales.</w:t>
      </w:r>
    </w:p>
    <w:p w:rsidR="0085709A" w:rsidRDefault="0085709A" w:rsidP="0085709A">
      <w:pPr>
        <w:pStyle w:val="TextoNormal"/>
      </w:pPr>
    </w:p>
    <w:p w:rsidR="0085709A" w:rsidRDefault="0085709A" w:rsidP="0085709A">
      <w:pPr>
        <w:pStyle w:val="TextoNormal"/>
      </w:pPr>
      <w:r>
        <w:t>Habiendo sido declarada la inconstitucionalidad del inciso “con carácter exclusivo” del apartado 1 del art. 78 EAC (STC 31/2010, FJ 33), la remisión que hace el art. 3.1 de la Ley 24/2009 al art. 78.1 EAC se hace a un artículo depurado de inconstitucionalidad, en el que ya no existe la expresión “con carácter exclusivo”. De forma que queda preservada la competencia del Defensor del Pueblo para supervisar no sólo a la Administración central del Estado, sino a cualesquiera Administración pública en Cataluña.</w:t>
      </w:r>
    </w:p>
    <w:p w:rsidR="0085709A" w:rsidRDefault="0085709A" w:rsidP="0085709A">
      <w:pPr>
        <w:pStyle w:val="TextoNormal"/>
      </w:pPr>
    </w:p>
    <w:p w:rsidR="0085709A" w:rsidRDefault="0085709A" w:rsidP="0085709A">
      <w:pPr>
        <w:pStyle w:val="TextoNormal"/>
      </w:pPr>
      <w:r>
        <w:t>Lo mismo es aplicable a la impugnación de los incisos “la administración local" y “o a la administración local”, de las letras b) y c) del art. 26, que prevé la supervisión por el Síndic de Greuges de la Administración local y de los organismos públicos y privados vinculados con ésta que, igualmente por remisión expresa, se realiza en los términos del art. 78.1 EAC. Una vez depurado éste artículo del Estatuto, la supervisión del Síndic de Greuges sobre la Administración local y los organismos vinculados a ella no es exclusiva, con lo que no excluye la del Defensor del Pueblo.</w:t>
      </w:r>
    </w:p>
    <w:p w:rsidR="0085709A" w:rsidRDefault="0085709A" w:rsidP="0085709A">
      <w:pPr>
        <w:pStyle w:val="TextoNormal"/>
      </w:pPr>
    </w:p>
    <w:p w:rsidR="0085709A" w:rsidRDefault="0085709A" w:rsidP="0085709A">
      <w:pPr>
        <w:pStyle w:val="TextoNormal"/>
      </w:pPr>
      <w:r>
        <w:t>El último precepto de éste primer grupo es el art. 78 de la Ley 24/2009, que regula las relaciones de colaboración del Síndic de Greuges con el Defensor del Pueblo. El Defensor del Pueblo impugna éste precepto porque, entiende, regula la colaboración entre el Síndic de Greuges y el Defensor del Pueblo, vulnerando de esta forma las competencias de las Cortes Generales para regular las relaciones entre el Defensor del Pueblo y los Comisionados Parlamentarios autonómicos, con infracción de la Constitución en sus arts. 54 (Defensor del Pueblo) y 66.2 (potestad legislativa del Estado). Esta cuestión quedó resuelta en la antes citada STC 137/2010 (FJ 7), dictada en recurso del Defensor del Pueblo. La inclusión del llamado principio de cooperación en el art. 78.2 EAC y en el art. 78 de la Ley 24/2009 de desarrollo de aquél, está condicionada por el principio de voluntariedad. De manera que la previsión de la cooperación en el Estatuto o en normas autonómicas no impone nada al Estado, que puede actuar con plena libertad. De acuerdo con esta doctrina, no procede declarar que el art. 78 de la Ley 24/2009 es inconstitucional.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El segundo grupo de preceptos impugnados incluye el art. 1 b) de la Ley 24/2009, que atribuye al Síndic de Greuges la condición de autoridad catalana para la prevención de la tortura y de otros tratos o penas crueles, inhumanos o degradantes; y el título VIII —denominado “Prevención de la Tortura y otros Tratos o Penas Crueles, Inhumanos o Degradantes” (arts. 68 a 77, ambos inclusive)— que regula la atribución. El Defensor del Pueblo impugna estos artículos porque vulneran la competencia exclusiva del Estado en materia de </w:t>
      </w:r>
      <w:r>
        <w:lastRenderedPageBreak/>
        <w:t>relaciones internacionales que establece el art. 149.1.3 CE; incumplen la doctrina constitucional sobre este precepto desarrollada en la STC 165/1994, de 26 de mayo; y contradicen la Ley Orgánica 1/2009, de 3 de noviembre, en la que las Cortes Generales designaron al Defensor del Pueblo mecanismo nacional de prevención de la tortura. En cambio, el Gobierno y el Parlamento de Cataluña consideran que la regulación impugnada no incide en el núcleo reservado al Estado por el art. 149.1.3 CE. Se trataría por el contrario de una actividad de la Comunidad Autónoma enmarcada genéricamente en el concepto de actividades con proyección exterior, que permite al Parlamento de Cataluña establecer un mecanismo de prevención de la tortura para actuar en los ámbitos materiales en los que la Generalitat ostenta competencias. Una vez establecido el mecanismo por la Comunidad Autónoma, es el Estado, en tanto sujeto internacional, el que lo debe designar ante el organismo internacional correspondiente.</w:t>
      </w:r>
    </w:p>
    <w:p w:rsidR="0085709A" w:rsidRDefault="0085709A" w:rsidP="0085709A">
      <w:pPr>
        <w:pStyle w:val="TextoNormal"/>
      </w:pPr>
    </w:p>
    <w:p w:rsidR="0085709A" w:rsidRDefault="0085709A" w:rsidP="0085709A">
      <w:pPr>
        <w:pStyle w:val="TextoNormal"/>
      </w:pPr>
      <w:r>
        <w:t>El Protocolo facultativo de la Convención contra la tortura y otros tratos o penas crueles, inhumanos o degradantes, hecho en Nueva York el 18 de diciembre de 2002 y ratificado por España en 2006, tiene como objetivo establecer un sistema de visitas periódicas a cargo de órganos independientes, unos internacionales y otros nacionales, a los lugares en que se encuentren personas privadas de su libertad, con el fin de prevenir la tortura y otros tratos o penas crueles, inhumanos o degradantes (art. 1). Para ello los Estados partes establecen un sistema preventivo, no judicial, constituido por un órgano internacional (Subcomité para la Prevención) y por uno o varios, si así lo decide cada Estado, órganos nacionales (mecanismo nacional de prevención), que realizarán visitas a cualquier lugar bajo la jurisdicción y control del Estado en el que se encuentren o pudieran encontrarse personas privadas de libertad (arts. 2 y 3). A estos efectos, por privación de libertad se entiende cualquier forma de detención o encarcelamiento o de custodia de una persona por orden de una autoridad judicial o administrativa o de otra autoridad pública, en una institución pública o privada de la cual no pueda salir libremente (art. 4).</w:t>
      </w:r>
    </w:p>
    <w:p w:rsidR="0085709A" w:rsidRDefault="0085709A" w:rsidP="0085709A">
      <w:pPr>
        <w:pStyle w:val="TextoNormal"/>
      </w:pPr>
    </w:p>
    <w:p w:rsidR="0085709A" w:rsidRDefault="0085709A" w:rsidP="0085709A">
      <w:pPr>
        <w:pStyle w:val="TextoNormal"/>
      </w:pPr>
      <w:r>
        <w:t>El art. 17 del Protocolo dispone: “Cada Estado Parte mantendrá, designará o creará, a más tardar un año después de la entrada en vigor del presente Protocolo o de su ratificación o adhesión, uno o varios mecanismos nacionales independientes para la prevención de la tortura a nivel nacional. Los mecanismos establecidos por entidades descentralizadas podrán ser designados mecanismos nacionales de prevención a los efectos del presente Protocolo si se ajustan a sus disposiciones.” Por ello la Ley Orgánica 1/2009, de 3 de noviembre, complementaria de la Ley de reforma de la legislación procesal para la implantación de la nueva oficina judicial, por la que se modifica la Ley Orgánica 6/1985, de 1 de julio, del Poder Judicial, añadió una nueva disposición final única a la Ley Orgánica 3/1981, de 6 de abril, del Defensor del Pueblo, dedicada al mecanismo nacional de prevención de la tortura, en los términos siguientes:</w:t>
      </w:r>
    </w:p>
    <w:p w:rsidR="0085709A" w:rsidRDefault="0085709A" w:rsidP="0085709A">
      <w:pPr>
        <w:pStyle w:val="TextoNormal"/>
      </w:pPr>
    </w:p>
    <w:p w:rsidR="0085709A" w:rsidRDefault="0085709A" w:rsidP="0085709A">
      <w:pPr>
        <w:pStyle w:val="TextoNormal"/>
      </w:pPr>
      <w:r>
        <w:t>“Primero. El Defensor del Pueblo ejercerá las funciones del Mecanismo Nacional de Prevención de la Tortura de conformidad con la Constitución, la presente Ley y el Protocolo facultativo de la Convención contra la tortura u otros tratos o penas crueles, inhumanos o degradantes.</w:t>
      </w:r>
    </w:p>
    <w:p w:rsidR="0085709A" w:rsidRDefault="0085709A" w:rsidP="0085709A">
      <w:pPr>
        <w:pStyle w:val="TextoNormal"/>
      </w:pPr>
    </w:p>
    <w:p w:rsidR="0085709A" w:rsidRDefault="0085709A" w:rsidP="0085709A">
      <w:pPr>
        <w:pStyle w:val="TextoNormal"/>
      </w:pPr>
      <w:r>
        <w:lastRenderedPageBreak/>
        <w:t>Segundo. Se crea un Consejo Asesor como órgano de cooperación técnica y jurídica en el ejercicio de las funciones propias del Mecanismo Nacional de Prevención, que será presidido por el Adjunto en el que el Defensor del Pueblo delegue las funciones previstas en esta disposición. El Reglamento determinará su estructura, composición y funcionamiento.”</w:t>
      </w:r>
    </w:p>
    <w:p w:rsidR="0085709A" w:rsidRDefault="0085709A" w:rsidP="0085709A">
      <w:pPr>
        <w:pStyle w:val="TextoNormal"/>
      </w:pPr>
    </w:p>
    <w:p w:rsidR="0085709A" w:rsidRDefault="0085709A" w:rsidP="0085709A">
      <w:pPr>
        <w:pStyle w:val="TextoNormal"/>
      </w:pPr>
      <w:r>
        <w:t>La Resolución de 25 de enero de 2012, de las Mesas del Congreso de los Diputados y del Senado, modificó el Reglamento de Organización y Funcionamiento del Defensor del Pueblo, para adaptarlo a la modificación de la Ley Orgánica del Defensor del Pueblo, mediante la Ley Orgánica 1/2009, de 3 de noviembre, al objeto de que asuma las funciones del mecanismo nacional de prevención. En concreto, la modificación establece la estructura, composición y funcionamiento del Consejo Asesor que prevé la reforma como órgano de cooperación técnica y jurídica en el ejercicio de las funciones propias del mecanismo nacional de prevención.</w:t>
      </w:r>
    </w:p>
    <w:p w:rsidR="0085709A" w:rsidRDefault="0085709A" w:rsidP="0085709A">
      <w:pPr>
        <w:pStyle w:val="TextoNormal"/>
      </w:pPr>
    </w:p>
    <w:p w:rsidR="0085709A" w:rsidRDefault="0085709A" w:rsidP="0085709A">
      <w:pPr>
        <w:pStyle w:val="TextoNormal"/>
      </w:pPr>
      <w:r>
        <w:t>El Tribunal Constitucional, en la STC 165/1994, de 26 de mayo, restringiendo la postura mantenida hasta entonces, precisa el contenido del título competencial estatal “relaciones internacionales” del art. 149.1.3 CE: “no puede en forma alguna excluirse que, para llevar a cabo correctamente las funciones que tenga atribuidas, una Comunidad Autónoma haya de realizar determinadas actividades, no ya sólo fuera de su territorio, sino incluso fuera de los límites territoriales de España” (STC 165/1994, FJ 3). Anteriormente, el Tribunal había afirmado que “el constituyente —en un precepto [art. 149.1.3 CE] de alcance perfectamente meditado e inequívoco, según se deduce de sus antecedentes parlamentarios— ha reservado en exclusiva a los órganos centrales del Estado la totalidad de las competencias en materia de relaciones internacionales. Este carácter de la materia citada ya ha sido observado con anterioridad, si bien escuetamente, por este Tribunal (así en las SSTC 44/1982, fundamento jurídico 4 y 154/1985, fundamento jurídico 5).” (STC 137/89, de 20 de julio, FJ 3). Si bien inmediatamente, el Tribunal Constitucional matizó esta afirmación rechazando que “...cualquier relación, por lejana que sea, con temas en los que estén involucrados otros países o ciudadanos extranjeros, implique por sí sólo o necesariamente que la competencia resulte atribuida a la regla ‘relaciones internacionales’.” (STC 153/1989, de 5 de octubre, FJ 8). En posteriores Sentencias, el Tribunal consolida la doctrina que acepta que las Comunidades Autónomas realicen actividades con proyección exterior: “la dimensión externa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(STC 80/1993, FJ 3).</w:t>
      </w:r>
    </w:p>
    <w:p w:rsidR="0085709A" w:rsidRDefault="0085709A" w:rsidP="0085709A">
      <w:pPr>
        <w:pStyle w:val="TextoNormal"/>
      </w:pPr>
    </w:p>
    <w:p w:rsidR="0085709A" w:rsidRDefault="0085709A" w:rsidP="0085709A">
      <w:pPr>
        <w:pStyle w:val="TextoNormal"/>
      </w:pPr>
      <w:r>
        <w:t>Sin embargo, la STC 165/1994, de 26 de mayo, también estableció límites precisos a la acción exterior de las Comunidades Autónomas: “No obstante lo dicho, la posibilidad de que disponen las Comunidades Autónomas, como parte del ejercicio de sus competencias, para llevar a cabo una actividad con proyección externa, así como el alcance que esa actividad pueda tener, cuenta con un límite evidente: las reservas que la Constitución efectúa en favor del Estado, y, señaladamente, la reserva prevista en el art. 149.1.3 de la Constitución, que confiere al Estado competencia exclusiva en materia de relaciones internacionales.” (STC 165/1994, FJ 5).</w:t>
      </w:r>
    </w:p>
    <w:p w:rsidR="0085709A" w:rsidRDefault="0085709A" w:rsidP="0085709A">
      <w:pPr>
        <w:pStyle w:val="TextoNormal"/>
      </w:pPr>
    </w:p>
    <w:p w:rsidR="0085709A" w:rsidRDefault="0085709A" w:rsidP="0085709A">
      <w:pPr>
        <w:pStyle w:val="TextoNormal"/>
      </w:pPr>
      <w:r>
        <w:lastRenderedPageBreak/>
        <w:t>La doctrina sobre actividades de las Comunidades Autónomas con proyección exterior y el alcance de la competencia exclusiva del Estado en materia de relaciones internacionales ha sido reiterada en la STC 31/2010, de 28 de junio, FJ 125, con cita expresa de la STC 165/1994, de 26 de mayo, FFJJ 5 y 6, a los que se hace referencia por las partes en el presente recurso y posteriormente en la STC 118/2011, de 5 de julio, FJ 10, citada a su vez por la 138/2011, de 14 de septiembre, FJ 4.</w:t>
      </w:r>
    </w:p>
    <w:p w:rsidR="0085709A" w:rsidRDefault="0085709A" w:rsidP="0085709A">
      <w:pPr>
        <w:pStyle w:val="TextoNormal"/>
      </w:pPr>
    </w:p>
    <w:p w:rsidR="0085709A" w:rsidRDefault="0085709A" w:rsidP="0085709A">
      <w:pPr>
        <w:pStyle w:val="TextoNormal"/>
      </w:pPr>
      <w:r>
        <w:t>Dicha doctrina puede sintetizarse, a los efectos que aquí y ahora interesan, en los siguientes extremos:</w:t>
      </w:r>
    </w:p>
    <w:p w:rsidR="0085709A" w:rsidRDefault="0085709A" w:rsidP="0085709A">
      <w:pPr>
        <w:pStyle w:val="TextoNormal"/>
      </w:pPr>
    </w:p>
    <w:p w:rsidR="0085709A" w:rsidRDefault="0085709A" w:rsidP="0085709A">
      <w:pPr>
        <w:pStyle w:val="TextoNormal"/>
      </w:pPr>
      <w:r>
        <w:t>a)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w:t>
      </w:r>
    </w:p>
    <w:p w:rsidR="0085709A" w:rsidRDefault="0085709A" w:rsidP="0085709A">
      <w:pPr>
        <w:pStyle w:val="TextoNormal"/>
      </w:pPr>
    </w:p>
    <w:p w:rsidR="0085709A" w:rsidRDefault="0085709A" w:rsidP="0085709A">
      <w:pPr>
        <w:pStyle w:val="TextoNormal"/>
      </w:pPr>
      <w:r>
        <w:t>b) 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referido título competencial.</w:t>
      </w:r>
    </w:p>
    <w:p w:rsidR="0085709A" w:rsidRDefault="0085709A" w:rsidP="0085709A">
      <w:pPr>
        <w:pStyle w:val="TextoNormal"/>
      </w:pPr>
    </w:p>
    <w:p w:rsidR="0085709A" w:rsidRDefault="0085709A" w:rsidP="0085709A">
      <w:pPr>
        <w:pStyle w:val="TextoNormal"/>
      </w:pPr>
      <w:r>
        <w:t>c) Sin pretender una descripción exhaustiva de la reserva a favor del Estado del art. 149.1.3 CE, este Tribunal ha identificado como algunos de los elementos esenciales que conforman su contenido los relativos a la celebración de tratados (</w:t>
      </w:r>
      <w:r w:rsidRPr="0085709A">
        <w:rPr>
          <w:i/>
        </w:rPr>
        <w:t>ius contrahendi</w:t>
      </w:r>
      <w:r>
        <w:t>), a la representación exterior del Estado (</w:t>
      </w:r>
      <w:r w:rsidRPr="0085709A">
        <w:rPr>
          <w:i/>
        </w:rPr>
        <w:t>ius legationis</w:t>
      </w:r>
      <w:r>
        <w:t xml:space="preserve">), así como a la creación de obligaciones internacionales y a la responsabilidad internacional del Estado; en otras palabras,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w:t>
      </w:r>
      <w:r w:rsidRPr="0085709A">
        <w:rPr>
          <w:i/>
        </w:rPr>
        <w:t>ius contrahendi</w:t>
      </w:r>
      <w:r>
        <w:t>, no originen obligaciones inmediatas y actuales frente a los poderes públicos extranjeros, no incidan en la política exterior del Estado y no generen responsabilidad de éste frente a Estados extranjeros u organizaciones inter o supranacionales.</w:t>
      </w:r>
    </w:p>
    <w:p w:rsidR="0085709A" w:rsidRDefault="0085709A" w:rsidP="0085709A">
      <w:pPr>
        <w:pStyle w:val="TextoNormal"/>
      </w:pPr>
    </w:p>
    <w:p w:rsidR="0085709A" w:rsidRDefault="0085709A" w:rsidP="0085709A">
      <w:pPr>
        <w:pStyle w:val="TextoNormal"/>
      </w:pPr>
      <w:r>
        <w:t>d) Dentro de la competencia estatal,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w:t>
      </w:r>
    </w:p>
    <w:p w:rsidR="0085709A" w:rsidRDefault="0085709A" w:rsidP="0085709A">
      <w:pPr>
        <w:pStyle w:val="TextoNormal"/>
      </w:pPr>
    </w:p>
    <w:p w:rsidR="0085709A" w:rsidRDefault="0085709A" w:rsidP="0085709A">
      <w:pPr>
        <w:pStyle w:val="TextoNormal"/>
      </w:pPr>
      <w:r>
        <w:t xml:space="preserve">Aplicando esta doctrina al caso concreto enjuiciado, se aprecia que según el art.17 del Protocolo facultativo, “[c]ada Estado Parte mantendrá, designará o creará … uno o varios mecanismos nacionales independientes para la prevención de la tortura a nivel nacional.” El mismo art. 17 prevé también que “[l]os mecanismos establecidos por entidades descentralizadas podrán ser designados mecanismos nacionales de prevención a los efectos del presente Protocolo si se ajustan a sus disposiciones.” En este artículo es patente que la “designación” del mecanismo nacional de prevención prevista por los arts. 3 y 17 del Protocolo, </w:t>
      </w:r>
      <w:r>
        <w:lastRenderedPageBreak/>
        <w:t>sólo puede realizarla “cada Estado parte”. Desde otro punto de vista, el Protocolo crea obligaciones internacionales y establece la responsabilidad internacional del Estado, que es el único responsable del cumplimiento del Protocolo, no sólo en cuanto a la designación del mecanismo o mecanismos nacionales, sino que es también responsable del resto de los deberes que impone el Protocolo, como la cooperación con el Subcomité para la Prevención, la garantía de independencia funcional de los mecanismos nacionales de prevención, facilitar el cumplimiento de su mandato, o publicar y difundir los informes anuales de los mecanismos nacionales de prevención, entre otros.</w:t>
      </w:r>
    </w:p>
    <w:p w:rsidR="0085709A" w:rsidRDefault="0085709A" w:rsidP="0085709A">
      <w:pPr>
        <w:pStyle w:val="TextoNormal"/>
      </w:pPr>
    </w:p>
    <w:p w:rsidR="0085709A" w:rsidRDefault="0085709A" w:rsidP="0085709A">
      <w:pPr>
        <w:pStyle w:val="TextoNormal"/>
      </w:pPr>
      <w:r>
        <w:t>En consecuencia, el art. 149.1.3, según fue interpretado por la STC 165/1994, de 26 de mayo, no es compatible con una situación como la que plantea la Ley 24/2009 en los preceptos impugnados. El Protocolo ha sido firmado y ratificado por el Estado en ejercicio de sus propias competencias en “materias tan características del ordenamiento internacional como son las relativas a la celebración de tratados (</w:t>
      </w:r>
      <w:r w:rsidRPr="0085709A">
        <w:rPr>
          <w:i/>
        </w:rPr>
        <w:t>ius contrahendi</w:t>
      </w:r>
      <w:r>
        <w:t>), y a la representación exterior del Estado (</w:t>
      </w:r>
      <w:r w:rsidRPr="0085709A">
        <w:rPr>
          <w:i/>
        </w:rPr>
        <w:t>ius legationis</w:t>
      </w:r>
      <w:r>
        <w:t>), así como a la creación de obligaciones internacionales y a la responsabilidad internacional del Estado (SSTC 137/1987, 153/1989 y 80/1993)” (STC 165/1994, FJ 5). No se trata de un supuesto dudoso, de un aspecto de la competencia respecto del que el Tribunal Constitucional no se hubiera pronunciado, sino del núcleo esencial de la competencia exclusiva, perfectamente delimitado, compuesto de las materias características del derecho internacional, sobre las que las Comunidades Autónomas carecen de competencia. Sólo el Estado ostenta competencia para designar los mecanismos nacionales de prevención que establece el Protocolo, así como para decidir si han de ser uno o varios. La designación por la Comunidad Autónoma de un mecanismo de prevención vulnera la competencia estatal y las normas estatales que designan el mecanismo. Dicha designación del mecanismo nacional de prevención, tampoco puede tener amparo competencial —como alega el Letrado del Parlamento de Cataluña— en el art. 196.4 EAC, al que se alude a través de su mera cita, pues el mismo no es la consagración de título competencial alguno del que pudiera resultar la parcelación de la competencia exclusiva del Estado contenida en el art. 149.1.3 CE, sino, al contrario, consecuencia y lógico correlato de dicha exclusividad estatal al plasmar un deber de la Generalitat. En concreto, que la “debe adoptar las medidas necesarias” para que puedan ser ejecutadas las obligaciones que se deriven de los tratados y los convenios internacionales ratificados por España o que vinculen al Estado en el ámbito de sus competencias.</w:t>
      </w:r>
    </w:p>
    <w:p w:rsidR="0085709A" w:rsidRDefault="0085709A" w:rsidP="0085709A">
      <w:pPr>
        <w:pStyle w:val="TextoNormal"/>
      </w:pPr>
    </w:p>
    <w:p w:rsidR="0085709A" w:rsidRDefault="0085709A" w:rsidP="0085709A">
      <w:pPr>
        <w:pStyle w:val="TextoNormal"/>
      </w:pPr>
      <w:r>
        <w:t xml:space="preserve">Por otra parte, la tesis de que, una vez “designado” el mecanismo por la Comunidad Autónoma, es el Estado, en tanto sujeto internacional, el que debe “comunicar” la designación al organismo correspondiente de las Naciones Unidas, supone, equivocadamente, que la Comunidad Autónoma podría imponer al Estado obligaciones internacionales, que, en este caso, consistirían en notificar al organismo internacional competente la designación del organismo por la Comunidad Autónoma y, como consecuencia, asumir el Estado la responsabilidad del funcionamiento de un mecanismo cuya designación no habría realizado. Debemos insistir en que existen materias del ordenamiento internacional reservadas al Estado que actúan como límites a las actividades con proyección exterior que pueden desempeñar las Comunidades Autónomas, uno de estos límites es que esas actividades de las Comunidades Autónomas no generen responsabilidad del Estado frente a Estados extranjeros u organizaciones inter o supranacionales: “A la vista del alcance de la competencia exclusiva estatal, pues, la posibilidad de las Comunidades Autónomas de llevar a cabo actividades que tengan una proyección exterior debe entenderse limitada a aquéllas que, siendo necesarias, </w:t>
      </w:r>
      <w:r>
        <w:lastRenderedPageBreak/>
        <w:t xml:space="preserve">o al menos convenientes, para el ejercicio de sus competencias, no impliquen el ejercicio de un </w:t>
      </w:r>
      <w:r w:rsidRPr="0085709A">
        <w:rPr>
          <w:i/>
        </w:rPr>
        <w:t>ius contrahendi</w:t>
      </w:r>
      <w:r>
        <w:t>, no originen obligaciones inmediatas y actuales frente a poderes públicos extranjeros, no incidan en la política exterior del Estado, y no generen responsabilidad de éste frente a Estados extranjeros u organizaciones inter- o supranacionales.” (STC 165/1994, de 26 de mayo, FJ 6).</w:t>
      </w:r>
    </w:p>
    <w:p w:rsidR="0085709A" w:rsidRDefault="0085709A" w:rsidP="0085709A">
      <w:pPr>
        <w:pStyle w:val="TextoNormal"/>
      </w:pPr>
    </w:p>
    <w:p w:rsidR="0085709A" w:rsidRDefault="0085709A" w:rsidP="0085709A">
      <w:pPr>
        <w:pStyle w:val="TextoNormal"/>
      </w:pPr>
      <w:r>
        <w:t>Consecuencia de todo lo anterior es la declaración de inconstitucionalidad de los arts.1 b), 68.1 y 2, 69.2, 71 d), 74, 75 de la Ley del Parlamento de Cataluña 24/2009, en tanto que: i) los arts. 1 b) y 68.1, atribuyen al Síndic de Greuges la condición de autoridad catalana en el marco del Protocolo facultativo de la Convención de las Naciones Unidas contra la tortura; ii) los arts. 68.2 y 71 d), atribuyen al Síndic de Greuges el ejercicio de las competencias y funciones derivadas del mencionado Protocolo; iii) el art. 69.2 tiene como objeto articular la colaboración con el Estado para que el Síndic de Greuges pueda cumplir “las funciones que le corresponden como Autoridad Catalana”, en los espacios en que se hallen personas privadas de libertad “que sean de titularidad estatal”; iv) el art. 74 establece la obligación de presentar “un informe monográfico” sobre las actuaciones efectuadas como autoridad catalana vinculada al referido Protocolo; v) y, finalmente, el art. 75 que designa al Síndic de Greuges, como entidad que colabora con el Subcomité para la Prevención de la Tortura y Otros Tratos o Penas Crueles, Inhumanos, o Degradantes, que, como indica el art. 2 del Protocolo, realiza su labor en el marco de la Carta de las Naciones Unidas y se relaciona con los “Estados partes”. La regulación contenida en dichos preceptos vulnera la competencia exclusiva del Estado en materia de relaciones internacionales del art. 149.1.3 CE y, en el caso del art. 69.2, también la competencia exclusiva del Defensor del Pueblo sobre la Administración General del Estado en Cataluña conforme al art. 54 CE.</w:t>
      </w:r>
    </w:p>
    <w:p w:rsidR="0085709A" w:rsidRDefault="0085709A" w:rsidP="0085709A">
      <w:pPr>
        <w:pStyle w:val="TextoNormal"/>
      </w:pPr>
    </w:p>
    <w:p w:rsidR="0085709A" w:rsidRDefault="0085709A" w:rsidP="0085709A">
      <w:pPr>
        <w:pStyle w:val="TextoNormal"/>
      </w:pPr>
      <w:r>
        <w:t>Consecuencia accesoria de la declaración de inconstitucionalidad del art. 74 de la Ley 24/2009, que establece la obligación de presentar “un informe monográfico” sobre las actuaciones efectuadas como Autoridad Catalana vinculada al referido Protocolo, ha de ser la declaración de inconstitucionalidad de la letra c), del apartado 5, del art. 77, de la misma Ley, cuando atribuye al Consejo Asesor del Síndic de Greuges la facultad de “tener conocimiento” del mencionado informe “para poder formular observaciones al mismo”, pues dicha facultad se sustenta en un informe cuya elaboración y presentación por el Síndic de Greuges hemos considerado inconstitucional. Declaración de inconstitucionalidad que por otra parte no afecta en modo alguno a la obligación que tiene el Síndic de Greuges de “presentar anualmente al Parlamento” un informe sobre las actuaciones llevadas a cabo en el ejercicio de sus competencias (art. 64.1 de la Ley 24/2009).</w:t>
      </w:r>
    </w:p>
    <w:p w:rsidR="0085709A" w:rsidRDefault="0085709A" w:rsidP="0085709A">
      <w:pPr>
        <w:pStyle w:val="TextoNormal"/>
      </w:pPr>
    </w:p>
    <w:p w:rsidR="0085709A" w:rsidRDefault="0085709A" w:rsidP="0085709A">
      <w:pPr>
        <w:pStyle w:val="TextoNormal"/>
      </w:pPr>
      <w:r w:rsidRPr="0085709A">
        <w:rPr>
          <w:rStyle w:val="NumeroAFNegritaCaracter"/>
        </w:rPr>
        <w:t>5</w:t>
      </w:r>
      <w:r>
        <w:t>. Ahora bien, la impropiedad constitucional en la que ha incurrido el legislador autonómico al designar el mecanismo nacional de prevención, no significa fatalmente la inconstitucionalidad de todo el título VIII de la Ley 24/2009, pues sólo si la totalidad del contenido del referido título estuviera vinculada de modo inescindible al exceso competencial indicado, sería inevitable declarar la inconstitucionalidad de todos los preceptos que en el mismo se contienen.</w:t>
      </w:r>
    </w:p>
    <w:p w:rsidR="0085709A" w:rsidRDefault="0085709A" w:rsidP="0085709A">
      <w:pPr>
        <w:pStyle w:val="TextoNormal"/>
      </w:pPr>
    </w:p>
    <w:p w:rsidR="0085709A" w:rsidRDefault="0085709A" w:rsidP="0085709A">
      <w:pPr>
        <w:pStyle w:val="TextoNormal"/>
      </w:pPr>
      <w:r>
        <w:t xml:space="preserve">De este modo, el hecho de que solo el Estado ostente la competencia para designar el mecanismo nacional de prevención que establece el protocolo, así como para decidir si han de ser uno o varios mecanismos, y que la misma se integre en el núcleo esencial de la competencia exclusiva en materia de relaciones internacionales a la que alude el art. 149.1.3 CE, </w:t>
      </w:r>
      <w:r>
        <w:lastRenderedPageBreak/>
        <w:t>no es parámetro suficiente para enjuiciar la constitucionalidad del resto de los preceptos del título VIII de la Ley 24/2009.</w:t>
      </w:r>
    </w:p>
    <w:p w:rsidR="0085709A" w:rsidRDefault="0085709A" w:rsidP="0085709A">
      <w:pPr>
        <w:pStyle w:val="TextoNormal"/>
      </w:pPr>
    </w:p>
    <w:p w:rsidR="0085709A" w:rsidRDefault="0085709A" w:rsidP="0085709A">
      <w:pPr>
        <w:pStyle w:val="TextoNormal"/>
      </w:pPr>
      <w:r>
        <w:t>A tal fin, por una parte, es obligado insistir en que las funciones atribuidas al mecanismo nacional de prevención no suponen obstáculo alguno al ejercicio de las competencias de supervisión que tiene encomendadas el Síndic de Greuges, “exclusivamente”, pero no “con carácter exclusivo” (STC 31/2010, FJ 33), sobre la Administración de la Generalitat y la Administración local de Cataluña, y concretamente en relación con la prevención de la tortura, otros tratos o penas crueles, inhumanos o degradantes. Tampoco las funciones del mecanismo nacional de prevención suponen un obstáculo para que el Defensor del Pueblo, en el ejercicio de las competencias que son inherentes a sus cometidos, más allá de su designación como mecanismo nacional de prevención de la tortura, pueda recabar, en su caso, la colaboración del respectivo Comisionado parlamentario para la mejor eficacia de sus gestiones y recibir como tal, o como mecanismo nacional designado, las quejas que le hubieran sido remitidas sobre la actividad de los órganos de la Administración pública estatal. Dicha colaboración podría concretarse mediante acuerdos, entre otros, sobre los ámbitos de actuación de las Administraciones públicas objeto de supervisión, (art. 2.2 y 3 de la Ley 36/1985, de 6 de noviembre, por la que se regulan las relaciones entre la institución del Defensor del Pueblo y las figuras similares en las distintas Comunidades Autónomas). Y ello, entiéndase también sin perjuicio de la funciones encomendadas al Ministerio Fiscal, a quien el Síndic de Greuges y el Defensor del Pueblo deben comunicar los “indicios de la comisión de infracciones” penales o “la existencia de conducta o hechos presumiblemente delictivos” (arts. 45 de la Ley 24/2009 y 25.1 de la Ley Orgánica 3/1981, de 6 de abril, del Defensor del Pueblo, respectivamente).</w:t>
      </w:r>
    </w:p>
    <w:p w:rsidR="0085709A" w:rsidRDefault="0085709A" w:rsidP="0085709A">
      <w:pPr>
        <w:pStyle w:val="TextoNormal"/>
      </w:pPr>
    </w:p>
    <w:p w:rsidR="0085709A" w:rsidRDefault="0085709A" w:rsidP="0085709A">
      <w:pPr>
        <w:pStyle w:val="TextoNormal"/>
      </w:pPr>
      <w:r>
        <w:t>Por otra parte, a los efectos de enjuiciar la constitucionalidad de los preceptos contenidos en el capítulo II y III del título VIII de la Ley 24/2009, que llevan por rúbrica respectivamente “Equipo de Trabajo” y “Consejo Asesor” del Síndic de Greuges “para la Prevención de la Tortura y de otros Tratos o Penas Crueles, Inhumanos o Degradantes”, es conveniente recordar, que le corresponde al Parlamento de Cataluña, en el ámbito de sus competencias, en virtud de lo dispuesto en el art. 79.4 EAC, regular “la organización y las atribuciones” del Síndic de Greuges y que, además, el Síndic de Greuges “goza de autonomía reglamentaria, organizativa, funcional y presupuestaria de acuerdo con las leyes”.</w:t>
      </w:r>
    </w:p>
    <w:p w:rsidR="0085709A" w:rsidRDefault="0085709A" w:rsidP="0085709A">
      <w:pPr>
        <w:pStyle w:val="TextoNormal"/>
      </w:pPr>
    </w:p>
    <w:p w:rsidR="0085709A" w:rsidRDefault="0085709A" w:rsidP="0085709A">
      <w:pPr>
        <w:pStyle w:val="TextoNormal"/>
      </w:pPr>
      <w:r>
        <w:t>Llegados a este punto, tomando en consideración las premisas expuestas, y en tanto que sólo el Estado ostenta la competencia exclusiva para designar el Mecanismo Nacional, procede declarar inconstitucionales las expresiones: “Autoridad Catalana”, que rubrica el capítulo I del título VIII; “como Autoridad Catalana” de los arts. 69.1, 71, 72.1, 73, 76.1, 77.1; “en su condición de Autoridad Catalana” del art. 70, pues con dicha expresión se viene a identificar, en cada uno de los preceptos en que la misma se utiliza, al Síndic de Greuges como mecanismo nacional de prevención incurriendo en el exceso competencial indicado. Esta es la finalidad de las expresiones utilizadas tal y como se deriva del preámbulo de la ley, en el que se pretende “otorgar al Síndic de Greuges la condición de Autoridad Catalana para la Prevención de la Tortura y de otros Tratos o Penas Crueles, Inhumanos o Degradantes, al amparo del Protocolo facultativo de la Convención de las Naciones Unidas contra la tortura y otros tratos o penas crueles, inhumanos o degradantes, adoptado por la Asamblea General de las Naciones Unidas mediante la Resolución 57/199, de 18 de diciembre de 2002, y ratificado por España el 3 de marzo de 2006”.</w:t>
      </w:r>
    </w:p>
    <w:p w:rsidR="0085709A" w:rsidRDefault="0085709A" w:rsidP="0085709A">
      <w:pPr>
        <w:pStyle w:val="TextoNormal"/>
      </w:pPr>
    </w:p>
    <w:p w:rsidR="0085709A" w:rsidRDefault="0085709A" w:rsidP="0085709A">
      <w:pPr>
        <w:pStyle w:val="TextoNormal"/>
      </w:pPr>
      <w:r>
        <w:t>Del mismo modo, en tanto que el apartado segundo del art. 72, atribuye al Síndic de Greuges en su cometido de “Autoridad Catalana para la prevención de la Tortura y de otros Tratos o Penas Crueles, Inhumanos o Degradantes”, el acceso “a datos de las historias clínicas solo en la medida en que estén relacionados con las funciones que ejerce en esta materia”, debe ser declarado inconstitucional, pues dicho precepto tiene como única finalidad atribuir al Síndic de Greuges facultades que se vinculan exclusivamente a su función como mecanismo nacional de prevención y, por tanto, vinculadas de modo inescindible al exceso competencial señalado.</w:t>
      </w:r>
    </w:p>
    <w:p w:rsidR="0085709A" w:rsidRDefault="0085709A" w:rsidP="0085709A">
      <w:pPr>
        <w:pStyle w:val="TextoNormal"/>
      </w:pPr>
    </w:p>
    <w:p w:rsidR="0085709A" w:rsidRDefault="0085709A" w:rsidP="0085709A">
      <w:pPr>
        <w:pStyle w:val="TextoNormal"/>
      </w:pPr>
      <w:r w:rsidRPr="0085709A">
        <w:rPr>
          <w:rStyle w:val="NumeroAFNegritaCaracter"/>
        </w:rPr>
        <w:t>6</w:t>
      </w:r>
      <w:r>
        <w:t>. Al propio tiempo, declarada la inconstitucionalidad del apartado segundo del art. 69 de la Ley 24/2009, por desconocer no solo la competencia exclusiva del Estado en materia de relaciones internacionales del art. 149.1.3 CE, sino también la competencia exclusiva de supervisión del Defensor del Pueblo de la Administración general del Estado, la lógica consecuencia es considerar que la remisión que al mismo se efectúa en el apartado primero del art. 72, cuando indica que el Síndic de Greuges “tiene acceso a la información sobre el número y la ubicación de los espacios a que se refiere el artículo 69, sobre el número de personas privadas de libertad, sobre el trato que reciben estas personas y sobre las condiciones de su detención o internamiento”, debe entenderse referida al apartado primero del art. 69, quedando por ello excluido el acceso a información que pueda afectar a espacios de titularidad estatal. En este sentido, hemos reiterado que el ejercicio de la competencia de supervisión que tiene encomendada el Síndic de Greuges se circunscribe “exclusivamente”, aunque no de modo excluyente, a la Administración de la Generalitat y a la Administración local de Cataluña, quedando al margen de la misma la Administración general del Estado.</w:t>
      </w:r>
    </w:p>
    <w:p w:rsidR="0085709A" w:rsidRDefault="0085709A" w:rsidP="0085709A">
      <w:pPr>
        <w:pStyle w:val="TextoNormal"/>
      </w:pPr>
    </w:p>
    <w:p w:rsidR="0085709A" w:rsidRDefault="0085709A" w:rsidP="0085709A">
      <w:pPr>
        <w:pStyle w:val="TextoNormal"/>
      </w:pPr>
      <w:r>
        <w:t>Aplicando los parámetros de enjuiciamiento constitucional anteriormente expuestos, y suprimida por inconstitucional la expresión “como Autoridad Catalana” del art. 71 de la Ley 24/2009, las facultades que en dicho precepto se atribuyen al Síndic de Greuges en las letras a), b) y c), consistentes en visitar espacios en que se hallen personas privadas de libertad, hacer recomendaciones a las autoridades competentes y formular propuestas y observaciones sobre los anteproyectos de ley, así como la referencia contenida en el apartado primero del art. 73 de la referida Ley “en las dependencias que estime convenientes de aquellos espacios en que se hallen privadas de libertad”, deben entenderse referidas solamente a espacios que sean titularidad de la Administración de la Generalitat y a la Administración local de Cataluña, a autoridades de dichas Administraciones y, en fin, a anteproyectos de ley del Parlamento de Cataluña.</w:t>
      </w:r>
    </w:p>
    <w:p w:rsidR="0085709A" w:rsidRDefault="0085709A" w:rsidP="0085709A">
      <w:pPr>
        <w:pStyle w:val="TextoNormal"/>
      </w:pPr>
    </w:p>
    <w:p w:rsidR="0085709A" w:rsidRDefault="0085709A" w:rsidP="0085709A">
      <w:pPr>
        <w:pStyle w:val="TextoNormal"/>
      </w:pPr>
      <w:r>
        <w:t xml:space="preserve">Por último, debemos señalar que el apartado 2 del art. 73, cuando establece la posibilidad de que el Síndic de Greuges pueda realizar entrevistas, requerir la opinión del médico o médica, en tanto que tales funciones pueden entenderse desvinculadas de las funciones atribuidas como Autoridad Catalana y formar parte de los cometidos de supervisión del Síndic de Greuges a los que hemos aludido, no tiene tacha de inconstitucionalidad alguna. Esto mismo podemos afirmar de los arts. 76 y 77, una vez depurada por inconstitucional la expresión “como Autoridad Catalana” de los arts. 76.1 y 77.1, y declarada la inconstitucionalidad de la letra c), del apartado cinco, del art. 77, en tanto que los mismos respectivamente configuran la creación, composición, selección de los miembros y funciones del “Equipo de Trabajo” y del “Consejo Asesor”, del Síndic de Greuges para la prevención de la tortura y de otros tratos o penas crueles, inhumanos o degradantes. En tal sentido, hemos afirmado </w:t>
      </w:r>
      <w:r>
        <w:lastRenderedPageBreak/>
        <w:t>que corresponde al Parlamento de Cataluña, en el ámbito de sus competencias, en virtud de lo dispuesto en el art. 79.4 EAC, regular “la organización y las atribuciones” del Síndic de Greuges y que, además, el Síndic de Greuges “goza de autonomía reglamentaria, organizativa, funcional y presupuestaria de acuerdo con las leyes”, para el ejercicio de sus competencias.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parcialmente el recurso de inconstitucionalidad planteado por el Defensor del Pueblo contra la Ley del Parlamento de Cataluña 24/2009, de 23 diciembre, del Síndic de Greuges, y, en consecuencia, declarar que:</w:t>
      </w:r>
    </w:p>
    <w:p w:rsidR="0085709A" w:rsidRDefault="0085709A" w:rsidP="0085709A">
      <w:pPr>
        <w:pStyle w:val="TextoNormal"/>
      </w:pPr>
    </w:p>
    <w:p w:rsidR="0085709A" w:rsidRDefault="0085709A" w:rsidP="0085709A">
      <w:pPr>
        <w:pStyle w:val="TextoNormal"/>
      </w:pPr>
      <w:r>
        <w:t>1º No son inconstitucionales, interpretados en los términos expresados en el fundamento jurídico tercero: los arts. 3.1; 26.b), inciso “la administración local”, y c), inciso “o a la administración local”, y el art. 78; ni los arts. 71 a), b) y c), 72.1 y 73.1, siempre que se interpreten conforme a lo expuesto en el fundamento jurídico sexto.</w:t>
      </w:r>
    </w:p>
    <w:p w:rsidR="0085709A" w:rsidRDefault="0085709A" w:rsidP="0085709A">
      <w:pPr>
        <w:pStyle w:val="TextoNormal"/>
      </w:pPr>
    </w:p>
    <w:p w:rsidR="0085709A" w:rsidRDefault="0085709A" w:rsidP="0085709A">
      <w:pPr>
        <w:pStyle w:val="TextoNormal"/>
      </w:pPr>
      <w:r>
        <w:t>2º Se declaran inconstitucionales y se anulan los arts.1.b), 68.1 y 2, 69.2, 71 d), 72.2, 74, 75, 77.5 c), y los incisos “Autoridad Catalana”, que rubrica el capítulo I del título VIII, “como Autoridad Catalana” de los arts. 69.1, 71, 72.1, 73, 76.1, 77.1 y “en su condición de Autoridad Catalana” del art. 70.</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0" w:name="SENTENCIA_2015_47"/>
      <w:r>
        <w:lastRenderedPageBreak/>
        <w:t>SENTENCIA 47/2015, de 5 de marzo de 2015</w:t>
      </w:r>
    </w:p>
    <w:bookmarkEnd w:id="50"/>
    <w:p w:rsidR="0085709A" w:rsidRDefault="0085709A" w:rsidP="0085709A">
      <w:pPr>
        <w:pStyle w:val="TtuloResolucin"/>
      </w:pPr>
      <w:r>
        <w:t>Pleno</w:t>
      </w:r>
    </w:p>
    <w:p w:rsidR="0085709A" w:rsidRDefault="0085709A" w:rsidP="0085709A">
      <w:pPr>
        <w:pStyle w:val="TtuloBOE"/>
      </w:pPr>
      <w:r>
        <w:t>(BOE núm. 85, de 9 de abril de 2015)</w:t>
      </w:r>
    </w:p>
    <w:p w:rsidR="0085709A" w:rsidRDefault="0085709A" w:rsidP="0085709A">
      <w:pPr>
        <w:pStyle w:val="TextoNormalCentrado"/>
      </w:pPr>
      <w:r>
        <w:t>ECLI:ES:TC:2015:47</w:t>
      </w:r>
    </w:p>
    <w:p w:rsidR="0085709A" w:rsidRDefault="0085709A" w:rsidP="0085709A">
      <w:pPr>
        <w:pStyle w:val="TextoNormalCentrado"/>
      </w:pPr>
    </w:p>
    <w:p w:rsidR="0085709A" w:rsidRDefault="0085709A" w:rsidP="0085709A">
      <w:pPr>
        <w:pStyle w:val="SntesisDescriptiva"/>
      </w:pPr>
      <w:r>
        <w:t>Recurso de inconstitucionalidad 2856-2011. Interpuesto por la Xunta de Galicia en relación con el Real Decreto-ley 2/2011, de 18 de febrero, para el reforzamiento del sistema financiero.</w:t>
      </w:r>
    </w:p>
    <w:p w:rsidR="0085709A" w:rsidRDefault="0085709A" w:rsidP="0085709A">
      <w:pPr>
        <w:pStyle w:val="SntesisDescriptiva"/>
      </w:pPr>
    </w:p>
    <w:p w:rsidR="0085709A" w:rsidRDefault="0085709A" w:rsidP="0085709A">
      <w:pPr>
        <w:pStyle w:val="SntesisAnaltica"/>
      </w:pPr>
      <w:r>
        <w:t>Principios de seguridad jurídica, interdicción de la arbitrariedad e igualdad; límites a los decretos-leyes: constitucionalidad de los preceptos legales dictados al amparo de las competencias estatales sobre bases de ordenación del crédito, banca y seguros, acreditación de la concurrencia del presupuesto habilitante para la regulación urgente.</w:t>
      </w:r>
    </w:p>
    <w:p w:rsidR="0085709A" w:rsidRDefault="0085709A" w:rsidP="0085709A">
      <w:pPr>
        <w:pStyle w:val="SntesisAnaltica"/>
      </w:pPr>
    </w:p>
    <w:p w:rsidR="0085709A" w:rsidRDefault="0085709A" w:rsidP="0085709A">
      <w:pPr>
        <w:pStyle w:val="Extracto"/>
      </w:pPr>
      <w:r>
        <w:t>1.</w:t>
      </w:r>
      <w:r>
        <w:tab/>
        <w:t>El Gobierno ha cumplido debidamente la exigencia de explicitar y razonar la existencia de una “situación de extraordinaria y urgente necesidad”, referida a una concreta coyuntura económica, lo que conduce directamente a la desestimación del recurso en este punto, no alegándose en la demanda acerca de la falta de conexión de sentido entre la situación de urgencia apreciada por el Gobierno y las medidas adoptadas [FJ 5].</w:t>
      </w:r>
    </w:p>
    <w:p w:rsidR="0085709A" w:rsidRDefault="0085709A" w:rsidP="0085709A">
      <w:pPr>
        <w:pStyle w:val="Extracto"/>
      </w:pPr>
    </w:p>
    <w:p w:rsidR="0085709A" w:rsidRDefault="0085709A" w:rsidP="0085709A">
      <w:pPr>
        <w:pStyle w:val="Extracto"/>
      </w:pPr>
      <w:r>
        <w:t>2.</w:t>
      </w:r>
      <w:r>
        <w:tab/>
        <w:t xml:space="preserve">No hay desplazamiento de competencias autonómicas en materia de cajas de ahorros, sino el simple condicionamiento de la percepción de una ayuda estatal, en un ámbito como el de la estabilidad del sistema financiero de innegable competencia estatal </w:t>
      </w:r>
      <w:r w:rsidRPr="0085709A">
        <w:rPr>
          <w:i/>
        </w:rPr>
        <w:t>ex</w:t>
      </w:r>
      <w:r>
        <w:t xml:space="preserve"> art. 149.1.11 y 13 CE, a la existencia de una previsión estatutaria orientada a facilitar el cumplimiento de los requisitos necesarios para la articulación del plan público de capitalización, y por lo anterior la impugnación relativa al condicionamiento del apoyo financiero del FROB al cambio estatutario de la entidad de crédito, ha de ser desestimada [FJ 6].</w:t>
      </w:r>
    </w:p>
    <w:p w:rsidR="0085709A" w:rsidRDefault="0085709A" w:rsidP="0085709A">
      <w:pPr>
        <w:pStyle w:val="Extracto"/>
      </w:pPr>
    </w:p>
    <w:p w:rsidR="0085709A" w:rsidRDefault="0085709A" w:rsidP="0085709A">
      <w:pPr>
        <w:pStyle w:val="Extracto"/>
      </w:pPr>
      <w:r>
        <w:t>3.</w:t>
      </w:r>
      <w:r>
        <w:tab/>
        <w:t xml:space="preserve">Reitera doctrina sobre el alcance y la distribución de las competencias en materia de cajas de ahorro, </w:t>
      </w:r>
      <w:r w:rsidRPr="0085709A">
        <w:rPr>
          <w:i/>
        </w:rPr>
        <w:t>ex</w:t>
      </w:r>
      <w:r>
        <w:t xml:space="preserve"> apartados 11 y 13 del art. 149.1 CE [FJ 6].</w:t>
      </w:r>
    </w:p>
    <w:p w:rsidR="0085709A" w:rsidRDefault="0085709A" w:rsidP="0085709A">
      <w:pPr>
        <w:pStyle w:val="Extracto"/>
      </w:pPr>
    </w:p>
    <w:p w:rsidR="0085709A" w:rsidRDefault="0085709A" w:rsidP="0085709A">
      <w:pPr>
        <w:pStyle w:val="Extracto"/>
      </w:pPr>
      <w:r>
        <w:t>4.</w:t>
      </w:r>
      <w:r>
        <w:tab/>
        <w:t>Es la excepcionalidad de la situación y la importancia de la crisis la que ha hecho necesario establecer la posibilidad de recurrir al apoyo público del sistema financiero, pues la intervención del FROB en estos procesos de recapitalización se justifica, en la práctica, en la dificultad de las entidades para obtener los recursos propios necesarios [FJ 6].</w:t>
      </w:r>
    </w:p>
    <w:p w:rsidR="0085709A" w:rsidRDefault="0085709A" w:rsidP="0085709A">
      <w:pPr>
        <w:pStyle w:val="Extracto"/>
      </w:pPr>
    </w:p>
    <w:p w:rsidR="0085709A" w:rsidRDefault="0085709A" w:rsidP="0085709A">
      <w:pPr>
        <w:pStyle w:val="Extracto"/>
      </w:pPr>
      <w:r>
        <w:t>5.</w:t>
      </w:r>
      <w:r>
        <w:tab/>
        <w:t>Aplica doctrina sobre la pérdida sobrevenida de objeto en el ámbito del recurso de inconstitucionalidad como consecuencia de la pérdida de vigencia de los preceptos impugnados (SSTC 160/1987, 142/2014) [FJ 2].</w:t>
      </w:r>
    </w:p>
    <w:p w:rsidR="0085709A" w:rsidRDefault="0085709A" w:rsidP="0085709A">
      <w:pPr>
        <w:pStyle w:val="Extracto"/>
      </w:pPr>
    </w:p>
    <w:p w:rsidR="0085709A" w:rsidRDefault="0085709A" w:rsidP="0085709A">
      <w:pPr>
        <w:pStyle w:val="Extracto"/>
      </w:pPr>
      <w:r>
        <w:t>6.</w:t>
      </w:r>
      <w:r>
        <w:tab/>
        <w:t xml:space="preserve">Aplica doctrina sobre el presupuesto habilitante de la situación de extraordinaria y urgente necesidad, </w:t>
      </w:r>
      <w:r w:rsidRPr="0085709A">
        <w:rPr>
          <w:i/>
        </w:rPr>
        <w:t xml:space="preserve">ex </w:t>
      </w:r>
      <w:r>
        <w:t>art. 86 CE (SSTC 2/1982, 100/2012) [FJ 3].</w:t>
      </w:r>
    </w:p>
    <w:p w:rsidR="0085709A" w:rsidRDefault="0085709A" w:rsidP="0085709A">
      <w:pPr>
        <w:pStyle w:val="Extracto"/>
      </w:pPr>
    </w:p>
    <w:p w:rsidR="0085709A" w:rsidRDefault="0085709A" w:rsidP="0085709A">
      <w:pPr>
        <w:pStyle w:val="Extracto"/>
      </w:pPr>
      <w:r>
        <w:t>7.</w:t>
      </w:r>
      <w:r>
        <w:tab/>
        <w:t xml:space="preserve">La situación de urgencia aparece expresamente justificada en el preámbulo del Real Decreto-ley así como en el debate parlamentario de convalidación del mismo </w:t>
      </w:r>
      <w:r>
        <w:lastRenderedPageBreak/>
        <w:t>mediante una expresa referencia a una concreta coyuntura económica y a los efectos, en forma de incertidumbre sobre su solvencia y estabilidad, sobre un sector, el financiero, esencial para el conjunto de la economía, lo que permite excluir que se haya hecho un uso abusivo o arbitrario de esta fuente de derecho, por cuanto la situación era objetivamente merecedora de un tratamiento normativo por la vía de la legislación de urgencia [FJ 5].</w:t>
      </w:r>
    </w:p>
    <w:p w:rsidR="0085709A" w:rsidRDefault="0085709A" w:rsidP="0085709A">
      <w:pPr>
        <w:pStyle w:val="Extracto"/>
      </w:pPr>
    </w:p>
    <w:p w:rsidR="0085709A" w:rsidRDefault="0085709A" w:rsidP="0085709A">
      <w:pPr>
        <w:pStyle w:val="Extracto"/>
      </w:pPr>
      <w:r>
        <w:t>8.</w:t>
      </w:r>
      <w:r>
        <w:tab/>
        <w:t>La Constitución, aunque contempla la figura del Decreto-ley como un instrumento normativo constitucionalmente apropiado ante problemas o situaciones coyunturales, no excluye su uso, con carácter general, ante problemas o situaciones estructurales, dado que lo determinante es que la situación que se trata de afrontar venga cualificada por las notas de gravedad, imprevisibilidad o relevancia (SSTC 31/2011, 137/2011) [FJ 5].</w:t>
      </w:r>
    </w:p>
    <w:p w:rsidR="0085709A" w:rsidRDefault="0085709A" w:rsidP="0085709A">
      <w:pPr>
        <w:pStyle w:val="Extracto"/>
      </w:pPr>
    </w:p>
    <w:p w:rsidR="0085709A" w:rsidRDefault="0085709A" w:rsidP="0085709A">
      <w:pPr>
        <w:pStyle w:val="Extracto"/>
      </w:pPr>
      <w:r>
        <w:t>9.</w:t>
      </w:r>
      <w:r>
        <w:tab/>
        <w:t>La discrepancia con respecto a las concretas medidas adoptadas por el Gobierno para afrontar la situación de urgencia por él definida no es motivo suficiente para fundamentar la inconstitucionalidad de la utilización del decreto-ley; como tampoco puede serlo la consideración de que existirían medidas tanto o más adecuadas o efectivas para la consecución de los propios objetivos gubernamentales, toda vez que lo que ahora importa no son las medidas anteriormente adoptadas, sino que la concurrencia de una situación de extraordinaria y urgente necesidad, habilitante de la legislación de urgencia haya sido efectivamente acreditada (SSTC 39/2013, 183/2014)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2856/2011 interpuesto por la Xunta de Galicia contra el Real Decreto-ley 2/2011, de 18 de febrero, para el reforzamiento del sistema financiero. Ha comparecido y formulado alegaciones el Abogado del Estado.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16 de mayo de 2011 el Letrado de la Xunta de Galicia, en la representación que ostenta, interpuso recurso de inconstitucionalidad contra el Real Decreto-ley 2/2011, de 18 de febrero, para el reforzamiento del sistema financiero.</w:t>
      </w:r>
    </w:p>
    <w:p w:rsidR="0085709A" w:rsidRDefault="0085709A" w:rsidP="0085709A">
      <w:pPr>
        <w:pStyle w:val="TextoNormal"/>
      </w:pPr>
    </w:p>
    <w:p w:rsidR="0085709A" w:rsidRDefault="0085709A" w:rsidP="0085709A">
      <w:pPr>
        <w:pStyle w:val="TextoNormal"/>
      </w:pPr>
      <w:r>
        <w:t>Los motivos del recurso son, resumidamente expuestos, los siguientes:</w:t>
      </w:r>
    </w:p>
    <w:p w:rsidR="0085709A" w:rsidRDefault="0085709A" w:rsidP="0085709A">
      <w:pPr>
        <w:pStyle w:val="TextoNormal"/>
      </w:pPr>
    </w:p>
    <w:p w:rsidR="0085709A" w:rsidRDefault="0085709A" w:rsidP="0085709A">
      <w:pPr>
        <w:pStyle w:val="TextoNormal"/>
      </w:pPr>
      <w:r>
        <w:t>a) El escrito de interposición del recurso hace referencia inicialmente al Real Decreto-ley 2/2011 describiendo minuciosamente su contenido y su relación con el Real Decreto-ley 9/2009, de 26 de junio, de reestructuración bancaria y reforzamiento de los recursos propios de las entidades de crédito (del que la Xunta recurrió sus arts. 6, 7 y 8, en el recurso de inconstitucionalidad tramitado con el núm. 2603-2010) y con el Real Decreto-ley 11/2010, de 9 de julio, por el que se reforma el régimen jurídico de las cajas de ahorros. Examinando ya la cobertura competencial que, conforme a su disposición final cuarta, tendría la norma impugnada, el Letrado de la Xunta niega que estos preceptos puedan encontrar amparo competencial en el art. 149.1.6 CE, relativo a la legislación mercantil, estimando que los únicos títulos estatales de posible invocación serían los derivados del art. 149.1.11 o 13 CE. Con respecto a tales títulos competenciales señala que nos encontraríamos en una materia donde rige el binomio bases estatales-desarrollo y ejecución autonómica, la cual no permitiría la aprobación por el Estado de una regulación agotadora de la materia a normar, pues ello desbordaría las facultades derivadas de la dimensión material de las bases, siendo la asunción de competencias ejecutivas básicas una circunstancia excepcional que solamente puede aparecer cuando sea realmente imprescindible.</w:t>
      </w:r>
    </w:p>
    <w:p w:rsidR="0085709A" w:rsidRDefault="0085709A" w:rsidP="0085709A">
      <w:pPr>
        <w:pStyle w:val="TextoNormal"/>
      </w:pPr>
    </w:p>
    <w:p w:rsidR="0085709A" w:rsidRDefault="0085709A" w:rsidP="0085709A">
      <w:pPr>
        <w:pStyle w:val="TextoNormal"/>
      </w:pPr>
      <w:r>
        <w:t>b) Tras aludir a la legitimación de la que goza la Xunta de Galicia para interponer el presente recurso, el escrito de interposición considera, en primer lugar, que no concurren los supuestos excepcionales que, conforme al art. 86.1 CE, habilitarían para la utilización de la figura del decreto-ley pues no se explicitan las razones de la necesidad de esta regulación y de la inmediatez en su adopción. En tal sentido estima que el contexto de dificultades económicas no puede servir de excusa para la utilización abusiva de la figura que es lo que ocurriría en el presente caso en el que la exposición de motivos de la norma alude, sobre todo, a la solvencia de nuestro sistema financiero y a las medidas ya adoptadas para garantizarla. A su juicio, la razón que se recoge en la norma es de carácter general y abstracto, y no contrastada, por lo que no es de por sí suficiente para justificar la excepcionalidad en la utilización del decreto-ley, que, por lo demás, contiene unas medidas que no son de efecto inmediato y no eran imperiosamente necesarias en la medida en que adelanta la implantación de los estándares internacionales de capital que no eran de aplicación hasta un momento muy posterior. Asimismo destaca que “la regulación aquí recogida no tiene carácter coyuntural, sino con vocación de permanencia, junto a que se toca un aspecto nuclear del sector, la solvencia, lo que reafirma la impropiedad de haber utilizado tal figura normativa”. Concluye señalando que en algo menos de dos años se han dictado tres decretos-leyes que contienen reformas de gran calado en el sistema financiero, entendiendo que con las reformas anteriores, en particular la contenida en el Real Decreto-ley 9/2009, ya se podían solventar los hipotéticos problemas a los que se pretende responder ahora.</w:t>
      </w:r>
    </w:p>
    <w:p w:rsidR="0085709A" w:rsidRDefault="0085709A" w:rsidP="0085709A">
      <w:pPr>
        <w:pStyle w:val="TextoNormal"/>
      </w:pPr>
    </w:p>
    <w:p w:rsidR="0085709A" w:rsidRDefault="0085709A" w:rsidP="0085709A">
      <w:pPr>
        <w:pStyle w:val="TextoNormal"/>
      </w:pPr>
      <w:r>
        <w:lastRenderedPageBreak/>
        <w:t>c) Un segundo motivo de inconstitucionalidad vendría determinado por la infracción de los principios constitucionales de seguridad jurídica, confianza legítima y prohibición de retroactividad de las normas no favorables recogidos en el art. 9.3 CE, algo que se reprocha especialmente a las disposiciones transitorias primera y cuarta, en relación a la forma y plazos marcados para el cumplimiento de los requerimientos de capital que se establecen en el propio Real Decreto-ley 2/2011, los cuales suponen introducir exigencias nuevas en el sector financiero, con unos parámetros especialmente elevados en relación a los estándares internacionales de capital derivados de los acuerdos del comité de supervisión bancaria de Basilea, formado por representantes de trece bancos centrales entre los que se encuentra España, y conocidos como Basilea III. Requerimientos de capital que, con apoyo en un informe de la Dirección general de política financiera y tesoro de la propia Xunta de Galicia que se adjunta a la demanda, se estiman de imposible cumplimiento en los plazos fijados por la norma, por cuanto adelantan en mucho los establecidos en el mencionado acuerdo y abocan a las cajas de ahorro a modificar en todo o en parte su naturaleza, afectando especialmente al proceso de fusión de las cajas de ahorro gallegas que se hallaba en curso. Especialmente, a la disposición transitoria primera se le reprocha que vincula la obtención de ayuda del Fondo de reestructuración ordenada bancaria (FROB) a lo que denomina bancarización, esto es, el traspaso de la actividad financiera de la caja a un banco, con la excepción de aquellas entidades de crédito en las que se hubieran iniciado negociaciones para solicitar del FROB el reforzamiento de sus recursos propios, concepto este de inicio de negociaciones que implica una vulneración del principio de seguridad jurídica y del de igualdad, en cuanto que permite un tratamiento diferenciado entre entidades. Igualmente se reputan arbitrarios y contrarios al principio de igualdad del art. 14 CE los requisitos exigidos en el art. 1, para lo que se denomina como reforzamiento de la solvencia de las entidades de crédito, por cuanto los mismos se entienden discriminatorios para las cajas de ahorros que estarían sometidas a un régimen mucho más incisivo que el que se predica para los bancos o cooperativas de crédito al exigírseles una mayor exigencia de lo que la norma denomina capital principal, introduciendo así una división artificial o subjetiva entre entidades de crédito. Por otra parte, se alega que las transformaciones exigidas por la norma para el caso de que una caja de ahorros no cumpla los nuevos requerimientos de capital exigidos por la norma supone la vulneración de los principios constitucionales de igualdad y de intervención de la arbitrariedad, así como el principio de libertad de empresa.</w:t>
      </w:r>
    </w:p>
    <w:p w:rsidR="0085709A" w:rsidRDefault="0085709A" w:rsidP="0085709A">
      <w:pPr>
        <w:pStyle w:val="TextoNormal"/>
      </w:pPr>
    </w:p>
    <w:p w:rsidR="0085709A" w:rsidRDefault="0085709A" w:rsidP="0085709A">
      <w:pPr>
        <w:pStyle w:val="TextoNormal"/>
      </w:pPr>
      <w:r>
        <w:t>d) Finalmente, señala que la entrada de un órgano estatal, el FROB, en los procesos de reestructuración de las cajas de ahorros implica la introducción de numerosos cambios en su organización interna que se realiza, además, de forma cerrada sin intervención alguna del legislador autonómico. Así, si el solicitante de la ayuda es una caja de ahorros la decisión de bancarización pasa de la asamblea general al consejo de administración, estableciéndose parámetros muy concretos sobre la composición y organización de éste último. Por otra parte, el escrito de interposición destaca que la norma incrementa sustancialmente las atribuciones reconocidas a órganos del Estado, tales como el Banco de España y el FROB en las diferentes fases de los procesos de reestructuración recogidos en la norma.</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Mediante providencia de 7 de junio de 2011, el Pleno, a propuesta de la Sección Tercera, acordó admitir a trámite el recurso de inconstitucionalidad promovido por la Xunta de Galicia y, en su representación y defensa, por el Letrado de la misma, contra el Real Decreto-ley 2/2011, de 18 de febrero, para el reforzamiento del sistema financiero; dar traslado de la demanda y documentos presentados, conforme establece el art. 34 de la Ley Orgánica </w:t>
      </w:r>
      <w:r>
        <w:lastRenderedPageBreak/>
        <w:t>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el 17 de junio de 2011, el Abogado del Estado se personó en nombre del Gobierno y solicitó una prórroga en el plazo inicialmente concedido para la formulación de alegaciones, prórroga que le fue concedida por providencia del Pleno de 21de junio de 2011.</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registrado con fecha 22 de junio de 2011, el Presidente del Senado comunicó el acuerdo de la Mesa de la Cámara de personarse en el procedimiento y ofrecer su colaboración a los efectos del art. 88.1 LOTC. Lo mismo hizo el Presidente del Congreso de los Diputados por escrito que tuvo entrada en este Tribunal el día 24 de junio de 2011.</w:t>
      </w:r>
    </w:p>
    <w:p w:rsidR="0085709A" w:rsidRDefault="0085709A" w:rsidP="0085709A">
      <w:pPr>
        <w:pStyle w:val="TextoNormal"/>
      </w:pPr>
    </w:p>
    <w:p w:rsidR="0085709A" w:rsidRDefault="0085709A" w:rsidP="0085709A">
      <w:pPr>
        <w:pStyle w:val="TextoNormal"/>
      </w:pPr>
      <w:r w:rsidRPr="0085709A">
        <w:rPr>
          <w:rStyle w:val="NumeroAFNegritaCaracter"/>
        </w:rPr>
        <w:t>5</w:t>
      </w:r>
      <w:r>
        <w:t>. Las alegaciones presentadas por el Abogado del Estado fueron registradas en este Tribunal el día 15 de julio de 2011.</w:t>
      </w:r>
    </w:p>
    <w:p w:rsidR="0085709A" w:rsidRDefault="0085709A" w:rsidP="0085709A">
      <w:pPr>
        <w:pStyle w:val="TextoNormal"/>
      </w:pPr>
    </w:p>
    <w:p w:rsidR="0085709A" w:rsidRDefault="0085709A" w:rsidP="0085709A">
      <w:pPr>
        <w:pStyle w:val="TextoNormal"/>
      </w:pPr>
      <w:r>
        <w:t>a) El Abogado del Estado comienza su escrito con una extensa referencia a lo que denomina contexto económico en el que se adopta la norma impugnada, mediante, entre otros, la cita de los informes anuales del Banco de España de los años 2008, 2009 y 2010, a la grave situación de crisis económica y financiera puesta de manifiesto a partir del segundo semestre de 2008, concluyendo que “de acuerdo con las memorias extensamente citadas del Banco de España, la salida de la crisis, la eliminación de la desconfianza internacional sobre nuestra economía y de la consiguiente presión sobre nuestra deuda soberana, depende en gran medida de que se lleve a cabo la reestructuración del sector financiero y, en particular, del de las cajas de ahorros”. Alude seguidamente al objeto del recurso de inconstitucionalidad recogiendo pormenorizadamente lo señalado en su exposición de motivos, en relación con la recapitalización de las entidades de crédito como vía para aumentar la confianza en las mismas y favorecer así el flujo de crédito hacia la economía, así como a los fundamentos del recurso interpuesto agrupándolos en tres bloques: falta del presupuesto habilitante previsto en el art.86.1 CE, en cuanto no concurriría una “extraordinaria y urgente necesidad” que justificara las medidas adoptadas por el Real Decreto-ley 2/2011; alegaciones relativas a vulneraciones del principio de seguridad jurídica, de interdicción de arbitrariedad de los poderes públicos y de irretroactividad de las disposiciones restrictivas de derechos individuales (art. 9.3 CE), así como del principio de igualdad en cuanto que la norma sometería a las cajas de ahorros a un trato injustificadamente discriminatorio frente a otras entidades de crédito y, por último, una alegación estrictamente competencial, según la cual el Real Decreto-ley 2/2011 habría invadido las competencias autonómicas en materia de cajas de ahorros.</w:t>
      </w:r>
    </w:p>
    <w:p w:rsidR="0085709A" w:rsidRDefault="0085709A" w:rsidP="0085709A">
      <w:pPr>
        <w:pStyle w:val="TextoNormal"/>
      </w:pPr>
    </w:p>
    <w:p w:rsidR="0085709A" w:rsidRDefault="0085709A" w:rsidP="0085709A">
      <w:pPr>
        <w:pStyle w:val="TextoNormal"/>
      </w:pPr>
      <w:r>
        <w:t xml:space="preserve">b) Examinando ya la primera de las quejas planteadas, el Abogado del Estado recuerda la doctrina constitucional sobre el presupuesto habilitante, con cita de las SSTC 329/2005, 332/2005, 68/2007 y 31/2011, destacando que “el canon de enjuiciamiento del presupuesto habilitante se ciñe a corregir una eventual valoración abusiva o arbitraria por parte de los </w:t>
      </w:r>
      <w:r>
        <w:lastRenderedPageBreak/>
        <w:t>poderes políticos de la necesidad concurrente”. En ese sentido estima que resulta indiscutible la concurrencia de una situación de extraordinaria y urgente necesidad derivada de la situación de inestabilidad del sector financiero que se trata de solventar mediante la norma impugnada, en la medida en que la misma, como da cuenta su exposición de motivos, persigue reforzar la confianza en nuestro sistema financiero, “impidiendo dinámicas generadoras de incertidumbre que puedan dificultar el acceso a la financiación por parte de las entidades financieras y, en último extremo, impedir el normal flujo de crédito hacia la economía”. Absoluta necesidad acerca de la adopción de la norma en la que también se incide en el debate de convalidación. Así, atendiendo a la doctrina constitucional que ha declarado la especial aptitud del Decreto-ley para atender a coyunturas económicas problemáticas, el Abogado del Estado concluye que “las medidas adoptadas en el Real Decreto-ley 2/2011 venían justificadas por la extraordinaria y urgente necesidad de disipar las dudas que sobre la capacidad del sistema financiero español se habían generado como consecuencia de las tensiones financieras existentes en el entorno de la zona euro. Se hacía necesario, por tanto, eliminar con urgencia la incertidumbre existente sobre la solvencia de nuestras entidades de crédito y reforzar la confianza en el sistema financiero español. Todo ello, para evitar que las dificultades de acceso a la financiación con que se encontraban nuestras entidades se vieran agravadas, impidiendo el normal flujo del crédito hacia la economía”. Medidas cuya urgencia no se ve contradicha por los argumentos aducidos de contrario en la demanda, en tanto que encaminadas a garantizar dicha solvencia con la exigencia de nuevos requerimientos de capital y a facilitar ese reforzamiento, acelerando el proceso de reestructuración iniciado en reformas anteriores con la adaptación del FROB para facilitar la nueva capitalización.</w:t>
      </w:r>
    </w:p>
    <w:p w:rsidR="0085709A" w:rsidRDefault="0085709A" w:rsidP="0085709A">
      <w:pPr>
        <w:pStyle w:val="TextoNormal"/>
      </w:pPr>
    </w:p>
    <w:p w:rsidR="0085709A" w:rsidRDefault="0085709A" w:rsidP="0085709A">
      <w:pPr>
        <w:pStyle w:val="TextoNormal"/>
      </w:pPr>
      <w:r>
        <w:t xml:space="preserve">c) En cuanto a la segunda de las tachas formuladas descarta, en primer lugar, la infracción del principio de irretroactividad de las disposiciones sancionadoras no favorables o restrictivas de derechos individuales del art. 9.3 CE. Para ello recuerda la doctrina del Tribunal, con cita de la STC 112/2006, señalando que, conforme con esa doctrina, el Real Decreto-ley 2/2011 no es una norma retroactiva, sino que se limita a fijar hacia el futuro las exigencias de coeficiente de capital para las entidades de crédito. Respecto a la vulneración de los principios de seguridad jurídica y confianza legítima estima, tras recordar la doctrina constitucional al respecto, tanto desde el punto de vista de la certeza del derecho como desde la perspectiva de la confianza legítima, que no hay duda alguna de que la norma cumple con ambos extremos. En particular, desde la segunda perspectiva citada la norma establece plazos y mecanismos razonables para que las entidades que no cumplían los requisitos de capital a la fecha de su entrada en vigor el 20 de febrero de 2011 se adapten a las nuevas exigencias, por cuanto el legislador ha debido buscar el necesario y difícil equilibrio entre, de un lado, la urgencia de aplicar de forma inmediata medidas imprescindibles para recuperar la confianza en la solvencia de nuestro sistema financiero y, de otro, otorgar plazos necesariamente breves pero razonables para permitir la adaptación de las pocas entidades de crédito que no alcanzaban las nuevas exigencias de capitalización, previsión que, en todo caso, se complementa con la posible aportación de los recursos públicos del FROB para permitir el acceso a los necesarios requisitos de capitalización a aquellas entidades que no puedan alcanzarlos por otros medios en los plazos señalados. Niega también el Abogado del Estado la alegación de la demanda según la cual las cajas que no cumplieran los requisitos de la norma solamente podrían adaptarse, convirtiéndose en bancos, pues con ello se olvida la existencia de otros medios, distintos de la aportación del FROB, que permiten alcanzar </w:t>
      </w:r>
      <w:r>
        <w:lastRenderedPageBreak/>
        <w:t xml:space="preserve">esa misma finalidad y que también están previstos en la norma, entre los que cita la posibilidad de emitir instrumentos de capital, el traspaso de la actividad financiera a un banco o su transformación en una fundación de carácter especial traspasando su negocio a una entidad de crédito o la reducción de los activos ponderados por riesgo. Igualmente alude a la posibilidad de las cajas de ahorro de integrarse con otras o a la de optar por una reducción de los riesgos. Señala, además, que la norma persigue la mejora de la capitalización de las cajas de ahorro a través de una doble vía: la revisión del modelo tradicional de cuotas participativas o la adopción de un nuevo modelo organizativo basado en el ejercicio indirecto de la actividad financiera que facilite el acceso al mercado de capitales. </w:t>
      </w:r>
    </w:p>
    <w:p w:rsidR="0085709A" w:rsidRDefault="0085709A" w:rsidP="0085709A">
      <w:pPr>
        <w:pStyle w:val="TextoNormal"/>
      </w:pPr>
    </w:p>
    <w:p w:rsidR="0085709A" w:rsidRDefault="0085709A" w:rsidP="0085709A">
      <w:pPr>
        <w:pStyle w:val="TextoNormal"/>
      </w:pPr>
      <w:r>
        <w:t>Niega a continuación que la norma impugnada resulte discriminatoria respecto a las cajas de ahorros, así como que exista vulneración del art. 14 CE. Para ello resume la doctrina constitucional acerca del principio de igualdad ante la ley y la aplica al caso concreto señalando que las circunstancias que establece el art. 1.2 del Real Decreto-ley 2/2011 para elevar la exigencia de capitalización del 8 al 10 por 100 son razonables, objetivas y directamente relacionadas con la legítima finalidad de la norma impugnada y rigen por igual para todas las entidades de crédito. Por otra parte, en respuesta a la queja de que las cajas que no cumplan las exigencias de capitalización mínima se ven abocadas a su bancarización, se remite el Abogado del Estado a lo antes indicado respecto a las opciones que la norma otorga a las cajas. En cuanto al obligado cambio de estructuras organizativas para tener acceso a las ayudas del FROB, estima que la diferencia de tratamiento está justificada por las importantes divergencias que existen entre las cajas y el resto de las entidades de crédito, pues persigue asegurar que el apoyo del FROB financie exclusivamente el negocio financiero de las cajas y se conecta con el carácter temporal de la participación del FROB en la entidad de crédito con el objetivo de favorecer una posterior desinversión. Por otra parte, la nueva redacción que el Real Decreto-ley da al art. 10 del Real Decreto-ley 9/2009 no discrimina a las cajas frente a las cooperativas de crédito cuando permite que, respecto de éstas, el FROB adquiera participaciones preferentes convertibles en aportaciones de capital social, pues se trata de una medida que ya se ha aplicado previamente a las cajas mientras que ahora se busca promover la integración de la tipología de entidades de crédito más atomizada, como son las cooperativas de crédito, de forma que se logre un sistema financiero más sólido en su conjunto.</w:t>
      </w:r>
    </w:p>
    <w:p w:rsidR="0085709A" w:rsidRDefault="0085709A" w:rsidP="0085709A">
      <w:pPr>
        <w:pStyle w:val="TextoNormal"/>
      </w:pPr>
    </w:p>
    <w:p w:rsidR="0085709A" w:rsidRDefault="0085709A" w:rsidP="0085709A">
      <w:pPr>
        <w:pStyle w:val="TextoNormal"/>
      </w:pPr>
      <w:r>
        <w:t>d) Respecto a las tachas competenciales que se le formulan a la norma, el Abogado del Estado alude a la doctrina constitucional respecto a los arts. 149.1.6, 11 y 13 CE, señalando la prevalencia de los dos últimos, dada la materia a la que se refieren los preceptos controvertidos, destacando la extensión subjetiva y objetiva del título relativo a la ordenación del crédito y la banca, en particular en ámbitos relacionados con el saneamiento y reflotamiento de entidades de crédito en cuanto que con ello se trata de restaurar la confianza en el sistema. Alude a continuación a las diferencias de las cajas actuales con las tradicionales que sirvieron de modelo a la doctrina constitucional sentada desde las SSTC 48/1988 y 49/1989, en cuanto que las cajas de ahorros están implantadas en todo el territorio nacional, con unas dimensiones medias claramente sistémicas y plenamente equiparadas a los bancos en términos operativos.</w:t>
      </w:r>
    </w:p>
    <w:p w:rsidR="0085709A" w:rsidRDefault="0085709A" w:rsidP="0085709A">
      <w:pPr>
        <w:pStyle w:val="TextoNormal"/>
      </w:pPr>
    </w:p>
    <w:p w:rsidR="0085709A" w:rsidRDefault="0085709A" w:rsidP="0085709A">
      <w:pPr>
        <w:pStyle w:val="TextoNormal"/>
      </w:pPr>
      <w:r>
        <w:t xml:space="preserve">Entrando ya en la contestación de los argumentos de la demanda, el Abogado del Estado señala que la norma no vacía el título competencial autonómico sobre las cajas de ahorro, </w:t>
      </w:r>
      <w:r>
        <w:lastRenderedPageBreak/>
        <w:t xml:space="preserve">pues únicamente dispone que aquellas que por no alcanzar unos requisitos mínimos de capitalización precisen fondos públicos, tal aportación se haga en forma de aportaciones al capital y teniendo como contrapartida los correspondientes títulos valores. En todo caso, esa transferencia del negocio a un banco no afecta a la competencia autonómica que seguiría ejerciéndose sobre las cajas solventes que mantengan dicho carácter, así como sobre las nuevas cajas que pudieran surgir, además de que también se desplegaría respecto a la fundación especial resultante. Por lo demás, el establecimiento de niveles de capitalización tiene directa relación con la solvencia y, por tanto, con el art. 149.1.11 CE. En cuanto a que la recapitalización de la caja a través del FROB implica cambios en la estructura y organización de la caja el Abogado del Estado señala que el art. 12.1 y la disposición adicional quinta no operan </w:t>
      </w:r>
      <w:r w:rsidRPr="0085709A">
        <w:rPr>
          <w:i/>
        </w:rPr>
        <w:t>ex lege</w:t>
      </w:r>
      <w:r>
        <w:t xml:space="preserve"> una modificación estatutaria, sino que, simplemente, condicionan la ayuda del FROB a que los estatutos prevean esa habilitación al consejo de administración. No hay desplazamiento de competencias autonómicas, sino condicionamiento de la percepción de una ayuda estatal a la existencia de una previsión estatutaria, orientada a facilitar el cumplimiento de los requisitos necesarios para la articulación del plan público de capitalización. Por último, en cuanto a la queja relativa a las competencias que se atribuyen al Banco de España y al FROB, alega que la misma está escasamente argumentada en la demanda y, en todo caso, estima que vienen justificadas por la especialización técnica de ambas instituciones y por la necesidad de dar un tratamiento uniforme en todo el territorio nacional a una cuestión directamente relacionada con la solvencia del sistema financiero.</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3 de marzo de 2015,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proceso constitucional debemos resolver el recurso de inconstitucionalidad interpuesto por la Xunta de Galicia contra el Real Decreto-ley 2/2011, de 18 de febrero, para el reforzamiento del sistema financiero.</w:t>
      </w:r>
    </w:p>
    <w:p w:rsidR="0085709A" w:rsidRDefault="0085709A" w:rsidP="0085709A">
      <w:pPr>
        <w:pStyle w:val="TextoNormal"/>
      </w:pPr>
    </w:p>
    <w:p w:rsidR="0085709A" w:rsidRDefault="0085709A" w:rsidP="0085709A">
      <w:pPr>
        <w:pStyle w:val="TextoNormal"/>
      </w:pPr>
      <w:r>
        <w:t xml:space="preserve">Como se ha expuesto en los antecedentes la representación procesal de la Xunta de Galicia reprocha a la norma impugnada diversas tachas de inconstitucionalidad. Así, en primer lugar, entiende que no concurren los supuestos excepcionales que, conforme al art. 86.1 CE, habilitarían para la utilización de la figura del decreto-ley, pues no se explicitan las razones de la necesidad de esta regulación y de la inmediatez en su adopción. Un segundo motivo de inconstitucionalidad vendría determinado por la infracción de los principios constitucionales de seguridad jurídica, confianza legítima y prohibición de irretroactividad de las normas no favorables recogido en el art. 9.3 CE. Igualmente se reputan arbitrarios y contrarios al principio de igualdad del art. 14 CE los requisitos exigidos para el reforzamiento de la solvencia de las entidades de crédito, por cuanto los mismos se entienden discriminatorios para las cajas de ahorros, al estar sometidas a un régimen mucho más exigente que el que se predica para los bancos o cooperativas de crédito y que, en la práctica, suponen la desaparición de esa figura jurídica. Finalmente, desde la perspectiva competencial, señala que la entrada de un órgano estatal, el denominado Fondo de Reestructuración Ordenada Bancaria (FROB), en los procesos de reestructuración de las cajas de ahorros implica la introducción de numerosos cambios en su organización interna que se realiza, además, de forma </w:t>
      </w:r>
      <w:r>
        <w:lastRenderedPageBreak/>
        <w:t>cerrada sin intervención alguna del legislador autonómico, así como que la norma incrementa sustancialmente las atribuciones reconocidas a órganos del Estado, como el propio FROB y el Banco de España.</w:t>
      </w:r>
    </w:p>
    <w:p w:rsidR="0085709A" w:rsidRDefault="0085709A" w:rsidP="0085709A">
      <w:pPr>
        <w:pStyle w:val="TextoNormal"/>
      </w:pPr>
    </w:p>
    <w:p w:rsidR="0085709A" w:rsidRDefault="0085709A" w:rsidP="0085709A">
      <w:pPr>
        <w:pStyle w:val="TextoNormal"/>
      </w:pPr>
      <w:r>
        <w:t>El Abogado del Estado ha defendido la desestimación íntegra del recurso, pues estima que resulta de todo punto indiscutible la concurrencia de una situación de extraordinaria y urgente necesidad derivada de la situación de inestabilidad del sector financiero que se trata de solventar mediante la norma impugnada, en la medida en que persigue reforzar la confianza en dicho sistema. Defiende igualmente que el Real Decreto-ley 2/2011 cumple con las exigencias del art. 9.3 CE, sin que tampoco resulte discriminatorio para las cajas de ahorros y, desde el punto de vista competencial, ha destacado la importancia de las bases en esta materia, en particular en ámbitos relacionados con el saneamiento y reflotamiento de entidades de crédito, de manera que no se habrían desbordado las competencias estatales de los arts. 149.1.11 y 13 CE.</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 el proceso, antes de comenzar a resolverlo hemos de atender a dos cuestiones previas: la delimitación precisa de su objeto y la incidencia que modificaciones normativas posteriores a la interposición del recurso hayan podido tener sobre su pervivencia.</w:t>
      </w:r>
    </w:p>
    <w:p w:rsidR="0085709A" w:rsidRDefault="0085709A" w:rsidP="0085709A">
      <w:pPr>
        <w:pStyle w:val="TextoNormal"/>
      </w:pPr>
    </w:p>
    <w:p w:rsidR="0085709A" w:rsidRDefault="0085709A" w:rsidP="0085709A">
      <w:pPr>
        <w:pStyle w:val="TextoNormal"/>
      </w:pPr>
      <w:r>
        <w:t>a) En cuanto a lo primero, teniendo en cuenta las alegaciones formuladas en la demanda, debemos tener presente nuestra doctrina según la que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(por todas, STC 217/2013, de 19 de diciembre, FJ 1).</w:t>
      </w:r>
    </w:p>
    <w:p w:rsidR="0085709A" w:rsidRDefault="0085709A" w:rsidP="0085709A">
      <w:pPr>
        <w:pStyle w:val="TextoNormal"/>
      </w:pPr>
    </w:p>
    <w:p w:rsidR="0085709A" w:rsidRDefault="0085709A" w:rsidP="0085709A">
      <w:pPr>
        <w:pStyle w:val="TextoNormal"/>
      </w:pPr>
      <w:r>
        <w:t>Por tanto, atendiendo al criterio que hemos enunciado sobre la necesaria fundamentación del recurso de inconstitucionalidad y prescindiendo de la tacha de vulneración del art. 86.1 CE que se formula a la totalidad de la norma, el examen de las alegaciones formuladas en la demanda permite concluir que, pese a su pretensión de generalidad, la vulneración del art. 9.3 CE, en sus vertientes de protección de la seguridad jurídica, confianza legítima e interdicción de la arbitrariedad del legislador se formula vinculada a la introducción del nuevo concepto de capital principal y su exigencia en parámetros que se entienden muy elevados para las cajas de ahorros. Pese a su apariencia de generalidad esta queja se presenta argumentada en relación con los arts. 1, 2 y 3 y las disposiciones transitorias primera y tercera así como con la disposición final tercera. Una tacha similar, circunscrita a la vulneración del principio de seguridad jurídica del art. 9.3 CE, se le reprocha específicamente a la disposición transitoria cuarta. Por su parte, la denunciada vulneración del art. 14 CE, derivada del diferente tratamiento que recibirían las cajas de ahorro respecto a los bancos y cooperativas de crédito, es predicable del art. 1.</w:t>
      </w:r>
    </w:p>
    <w:p w:rsidR="0085709A" w:rsidRDefault="0085709A" w:rsidP="0085709A">
      <w:pPr>
        <w:pStyle w:val="TextoNormal"/>
      </w:pPr>
    </w:p>
    <w:p w:rsidR="0085709A" w:rsidRDefault="0085709A" w:rsidP="0085709A">
      <w:pPr>
        <w:pStyle w:val="TextoNormal"/>
      </w:pPr>
      <w:r>
        <w:t xml:space="preserve">Por otro lado, respecto a las infracciones del orden constitucional de distribución de competencias, es posible apreciar que se formula una queja de carácter general, consistente en que la aplicación de la norma estatal, en cuanto que obligaría a las cajas de ahorros a traspasar su actividad financiera a un banco, vacía de contenido las competencias autonómicas sobre las cajas; otra relacionada con la organización interna de las cajas, formulada al art. </w:t>
      </w:r>
      <w:r>
        <w:lastRenderedPageBreak/>
        <w:t>4.2, en cuanto que da nueva redacción a los arts. 12 y 13 del Real Decreto-ley 9/2009, de 26 de junio, sobre reestructuración bancaria y reforzamiento de los recursos propios de las entidades de crédito, en relación con la disposición adicional quinta del Real Decreto-ley 2/2011, y una tercera relacionada con las competencias ejecutivas atribuidas al Banco de España y al FROB.</w:t>
      </w:r>
    </w:p>
    <w:p w:rsidR="0085709A" w:rsidRDefault="0085709A" w:rsidP="0085709A">
      <w:pPr>
        <w:pStyle w:val="TextoNormal"/>
      </w:pPr>
    </w:p>
    <w:p w:rsidR="0085709A" w:rsidRDefault="0085709A" w:rsidP="0085709A">
      <w:pPr>
        <w:pStyle w:val="TextoNormal"/>
      </w:pPr>
      <w:r>
        <w:t>Sin embargo, respecto a la primera de ellas, resulta que la demanda no concreta los preceptos o incisos concretos a los que se imputa este exceso en el ejercicio de la competencia estatal, siendo, además, patente que la demanda incumple la necesaria carga alegatoria, pues no contiene la argumentación específica que fundamente la presunta contradicción constitucional en la medida en que se limita a afirmar que la norma “afectaría a nuestras competencias sobre las cajas de ahorro pues por la vía de la minoración o eliminación de la figura se vacía una materia competencial que nos otorga el bloque de constitucionalidad, la de las cajas de ahorros”, sin concretar ni las normas estatales que producirían ese efecto ni las razones por las que se vulneran las competencias autonómicas. Por eso, dado que la demanda no ha ofrecido argumentos que enerven la presunción de constitucionalidad de la que goza el Real Decreto-ley 2/2011, no podemos pronunciarnos sobre la queja enunciada.</w:t>
      </w:r>
    </w:p>
    <w:p w:rsidR="0085709A" w:rsidRDefault="0085709A" w:rsidP="0085709A">
      <w:pPr>
        <w:pStyle w:val="TextoNormal"/>
      </w:pPr>
    </w:p>
    <w:p w:rsidR="0085709A" w:rsidRDefault="0085709A" w:rsidP="0085709A">
      <w:pPr>
        <w:pStyle w:val="TextoNormal"/>
      </w:pPr>
      <w:r>
        <w:t>En cuanto al art. 4.2 y la disposición adicional quinta, la vulneración competencial se presenta argumentada respecto a la nueva redacción dada a los arts. 12.1 y 13 del Real Decreto-ley 9/2009, y a la propia disposición adicional quinta, preceptos a los que se reprocha que la entrada del FROB produce cambios en el gobierno corporativo de la entidad que van en detrimento de las competencias autonómicas.</w:t>
      </w:r>
    </w:p>
    <w:p w:rsidR="0085709A" w:rsidRDefault="0085709A" w:rsidP="0085709A">
      <w:pPr>
        <w:pStyle w:val="TextoNormal"/>
      </w:pPr>
    </w:p>
    <w:p w:rsidR="0085709A" w:rsidRDefault="0085709A" w:rsidP="0085709A">
      <w:pPr>
        <w:pStyle w:val="TextoNormal"/>
      </w:pPr>
      <w:r>
        <w:t>No sucede lo mismo, en tercer lugar, con la atribución de competencias que, según la demanda, la norma hace a favor del FROB y del Banco de España, pues, en ese caso la demanda se limita a describir dichas atribuciones sin concretar mínimamente la vulneración competencial que denuncia. Como hemos afirmado reiteradamente (por todas, STC 16/2003, de 30 de enero, FJ 9, y las allí citadas), la carga argumental en torno a la inconstitucionalidad del precepto corresponde a la parte que lo impugna y que la presunción de constitucionalidad de las normas con rango de ley no puede desvirtuarse sin un mínimo de argumentación, no siendo suficientes impugnaciones globales que no se apoyan en motivos suficientemente razonados (STC 43/1996, de 14 de marzo, FJ 5), como sucede en el presente caso.</w:t>
      </w:r>
    </w:p>
    <w:p w:rsidR="0085709A" w:rsidRDefault="0085709A" w:rsidP="0085709A">
      <w:pPr>
        <w:pStyle w:val="TextoNormal"/>
      </w:pPr>
    </w:p>
    <w:p w:rsidR="0085709A" w:rsidRDefault="0085709A" w:rsidP="0085709A">
      <w:pPr>
        <w:pStyle w:val="TextoNormal"/>
      </w:pPr>
      <w:r>
        <w:t>En conclusión de todo lo expuesto el objeto del presente recurso ha de quedar circunscrito a los arts. 1, 2 y 3 y las disposiciones transitorias primera, tercera así como a la disposición final tercera en lo relativo a la vulneración del art. 9.3 CE, en sus vertientes de protección de la seguridad jurídica, confianza legítima e interdicción de la arbitrariedad del legislador. La disposición transitoria cuarta ha de entenderse impugnada por vulneración del principio de seguridad jurídica del art. 9.3 CE y, respecto al art. 1, es posible también apreciar la denuncia de vulneración del art. 14 CE. Por último, por motivos competenciales se impugnan el art. 4.2, respecto a la nueva redacción dada a los arts. 12.1 y 13 del Real Decreto-ley 9/2009, y la disposición adicional quinta.</w:t>
      </w:r>
    </w:p>
    <w:p w:rsidR="0085709A" w:rsidRDefault="0085709A" w:rsidP="0085709A">
      <w:pPr>
        <w:pStyle w:val="TextoNormal"/>
      </w:pPr>
    </w:p>
    <w:p w:rsidR="0085709A" w:rsidRDefault="0085709A" w:rsidP="0085709A">
      <w:pPr>
        <w:pStyle w:val="TextoNormal"/>
      </w:pPr>
      <w:r>
        <w:t>b) Delimitado de esta forma el objeto del recurso, examinaremos ahora la incidencia que modificaciones normativas sobrevenidas hayan podido tener sobre la pervivencia del objeto del recurso o de alguno de sus motivos.</w:t>
      </w:r>
    </w:p>
    <w:p w:rsidR="0085709A" w:rsidRDefault="0085709A" w:rsidP="0085709A">
      <w:pPr>
        <w:pStyle w:val="TextoNormal"/>
      </w:pPr>
    </w:p>
    <w:p w:rsidR="0085709A" w:rsidRDefault="0085709A" w:rsidP="0085709A">
      <w:pPr>
        <w:pStyle w:val="TextoNormal"/>
      </w:pPr>
      <w:r>
        <w:t>Así, en primer lugar, es preciso señalar que el Real Decreto-ley 24/2012, de 31 de agosto, de reestructuración y resolución de entidades de crédito, y la posterior Ley 9/2012, de 14 de noviembre, del mismo título, han derogado expresamente las disposiciones transitoria tercera y final tercera del Real Decreto-ley 2/2011. Derogación expresa que, tras su previa modificación por las dos normas citadas, también ha sufrido el título primero, integrado por los impugnados arts. 1, 2 y 3, por mor de lo dispuesto en el Real Decreto-ley 14/2013, de 29 de noviembre, de medidas urgentes para la adaptación del derecho español a la normativa de la Unión Europea en materia de supervisión y solvencia de entidades financieras. Derogación, en suma, que también afecta a la disposición transitoria primera, en cuanto que se trataba de una norma relativa a la forma de cumplir los requerimientos de capital previstos en los arts. 1 y 2, ya expresamente derogados, como acabamos de exponer.</w:t>
      </w:r>
    </w:p>
    <w:p w:rsidR="0085709A" w:rsidRDefault="0085709A" w:rsidP="0085709A">
      <w:pPr>
        <w:pStyle w:val="TextoNormal"/>
      </w:pPr>
    </w:p>
    <w:p w:rsidR="0085709A" w:rsidRDefault="0085709A" w:rsidP="0085709A">
      <w:pPr>
        <w:pStyle w:val="TextoNormal"/>
      </w:pPr>
      <w:r>
        <w:t>Por su parte, el Real Decreto-ley 9/2009, de 26 de junio, sobre reestructuración bancaria y reforzamiento de los recursos propios de las entidades de crédito, modificado en su momento por el Real Decreto-ley 2/2011 y al que se refieren los también impugnados arts. 4.2 y disposición adicional quinta así como la disposición transitoria cuarta, ha sido derogado por la ya mencionada Ley 9/2012.</w:t>
      </w:r>
    </w:p>
    <w:p w:rsidR="0085709A" w:rsidRDefault="0085709A" w:rsidP="0085709A">
      <w:pPr>
        <w:pStyle w:val="TextoNormal"/>
      </w:pPr>
    </w:p>
    <w:p w:rsidR="0085709A" w:rsidRDefault="0085709A" w:rsidP="0085709A">
      <w:pPr>
        <w:pStyle w:val="TextoNormal"/>
      </w:pPr>
      <w:r>
        <w:t>Los criterios de nuestra doctrina respecto a la pérdida de objeto en los recursos de inconstitucionalidad los expone la STC 96/2014, de 2 de junio, FJ 2, que, tras señalar que la regla general en el ámbito de los recursos de inconstitucionalidad es que la derogación de la norma impugnada extingue su objeto, indica que no cabe dar una respuesta unívoca a esta cuestión, ya que, citando la STC 124/2003, de 19 de junio, FJ 3, señala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w:t>
      </w:r>
    </w:p>
    <w:p w:rsidR="0085709A" w:rsidRDefault="0085709A" w:rsidP="0085709A">
      <w:pPr>
        <w:pStyle w:val="TextoNormal"/>
      </w:pPr>
    </w:p>
    <w:p w:rsidR="0085709A" w:rsidRDefault="0085709A" w:rsidP="0085709A">
      <w:pPr>
        <w:pStyle w:val="TextoNormal"/>
      </w:pPr>
      <w:r>
        <w:t xml:space="preserve">Esta regla general conoce, no obstante, excepciones. Así, la denunciada vulneración del art. 86.1 CE no se ve afectada por el anterior criterio, ya que, en ese caso, la derogación de la norma no impide controlar si el ejercicio de la potestad reconocida al Gobierno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183/2014, de 6 de noviembre, FJ 2c)]. En segundo lugar, cuando lo que se traba en realidad es una controversia competencial, habremos de pronunciarnos sobre su titularidad en la medida en </w:t>
      </w:r>
      <w:r>
        <w:lastRenderedPageBreak/>
        <w:t>que se trate de una competencia controvertida o de que la disputa esté todavía viva [por todas, STC 204/2011, de 15 de diciembre, FJ 2 a)]. Esta circunstancia nos exige analizar si pervive la controversia competencial trabada sobre alguno de los preceptos impugnados en el recurso de inconstitucionalidad, tomando en consideración a este efecto la normativa que sustituyó a la impugnada.</w:t>
      </w:r>
    </w:p>
    <w:p w:rsidR="0085709A" w:rsidRDefault="0085709A" w:rsidP="0085709A">
      <w:pPr>
        <w:pStyle w:val="TextoNormal"/>
      </w:pPr>
    </w:p>
    <w:p w:rsidR="0085709A" w:rsidRDefault="0085709A" w:rsidP="0085709A">
      <w:pPr>
        <w:pStyle w:val="TextoNormal"/>
      </w:pPr>
      <w:r>
        <w:t>c) De acuerdo con los anteriores criterios examinaremos las modificaciones anteriores para ver en qué medida perviven las tachas de inconstitucionalidad que les formula la demanda.</w:t>
      </w:r>
    </w:p>
    <w:p w:rsidR="0085709A" w:rsidRDefault="0085709A" w:rsidP="0085709A">
      <w:pPr>
        <w:pStyle w:val="TextoNormal"/>
      </w:pPr>
    </w:p>
    <w:p w:rsidR="0085709A" w:rsidRDefault="0085709A" w:rsidP="0085709A">
      <w:pPr>
        <w:pStyle w:val="TextoNormal"/>
      </w:pPr>
      <w:r>
        <w:t>Así, la anteriormente expuesta sucesión de normas nos permite concluir la desaparición del objeto del recurso en relación con las vulneraciones constitucionales distintas del art. 86.1 CE que se imputaban a los arts. 1, 2 y 3, así como en relación con las disposiciones transitorias primera, tercera y cuarta y con la disposición final tercera, pues las quejas que se le imputaban, relativas a la vulneración de los arts. 9.3 y 14 CE, han desaparecido sobrevenidamente, en cuanto que, en los recursos de inconstitucionalidad, debido a la nota de abstracción que los rige y a que su finalidad es la depuración del ordenamiento jurídico, la derogación de los preceptos legales impugnados hacen que, con carácter general, su objeto decaiga.</w:t>
      </w:r>
    </w:p>
    <w:p w:rsidR="0085709A" w:rsidRDefault="0085709A" w:rsidP="0085709A">
      <w:pPr>
        <w:pStyle w:val="TextoNormal"/>
      </w:pPr>
    </w:p>
    <w:p w:rsidR="0085709A" w:rsidRDefault="0085709A" w:rsidP="0085709A">
      <w:pPr>
        <w:pStyle w:val="TextoNormal"/>
      </w:pPr>
      <w:r>
        <w:t>Por su parte, para determinar la pervivencia de las quejas competenciales que se formulan al art. 4.2, en cuanto modificativo de los arts. 12.1 y 13 del Real Decreto-ley 9/2009, y a la disposición adicional quinta hemos de acudir a la norma que sustituyó al Real Decreto-ley 2/2011, la ya mencionada Ley 9/2012. Interesa ahora recordar que las quejas competenciales formuladas se refieren a la necesidad de que sea el consejo de administración de la entidad el que adopte los acuerdos relativos a su participación en el banco a través del cual desarrollen, en su caso, su actividad como entidad de crédito (art. 12.1, último inciso del Real Decreto-ley 9/2009, en la redacción dada por el art. 4.2 impugnado, en relación con la disposición adicional quinta) así como a cambios en la forma de gobierno corporativo en relación al número de vocales del consejo de administración y los porcentajes de cada tipo de ellos, el tiempo de permanencia de los denominados consejeros independientes y las comisiones dependientes del mencionado consejo que derivan del art. 13 del Real Decreto-ley 9/2009, en la redacción impugnada que es la recibida por el Real Decreto-ley 2/2011.</w:t>
      </w:r>
    </w:p>
    <w:p w:rsidR="0085709A" w:rsidRDefault="0085709A" w:rsidP="0085709A">
      <w:pPr>
        <w:pStyle w:val="TextoNormal"/>
      </w:pPr>
    </w:p>
    <w:p w:rsidR="0085709A" w:rsidRDefault="0085709A" w:rsidP="0085709A">
      <w:pPr>
        <w:pStyle w:val="TextoNormal"/>
      </w:pPr>
      <w:r>
        <w:t xml:space="preserve">El contraste de los preceptos impugnados con la Ley 9/2012 permite concluir que pervive la tacha competencial asociada con la atribución al consejo de administración de la entidad de las decisiones en torno a la participación en un banco como medio para desarrollar su actividad de crédito, pues la misma regulación se recoge en el art. 28.4, segundo inciso, de la Ley 9/2012. Por el contrario, esta misma Ley 9/2012 no contiene una regulación similar respecto al resto de las tachas competenciales formuladas por lo que, forzosamente, habremos de concluir que, al derogarse el Real Decreto-ley 9/2009 por la Ley 9/2012, no solo es que los preceptos legales impugnados hayan perdido vigencia, sino que además ha desaparecido sobrevenidamente la controversia competencial. No es óbice para alcanzar la anterior conclusión el hecho de que la posterior Ley 26/2013, de 27 de diciembre, de cajas de ahorros y fundaciones bancarias, contenga previsiones relativas a la composición del consejo de administración y las comisiones que de él dependen (arts. 15 y ss.) y lo mismo haga, en relación al conjunto de las entidades de crédito, la Ley 10/2014, de 26 de junio, de ordenación, supervisión y solvencia de entidades de crédito (art. 28 y ss.). Ya tenemos establecido </w:t>
      </w:r>
      <w:r>
        <w:lastRenderedPageBreak/>
        <w:t>que el hecho de que una normativa estatal en parte semejante haya surgido después puede dar lugar, en su caso, a una nueva controversia competencial, que deberá ser deducida en relación a los nuevos preceptos, pero no es obstáculo para declarar que la controversia suscitada en este proceso desapareció con la Ley 9/2012, lo que lleva aparejadas las consecuencias indicadas sobre el objeto de este proceso (en el mismo sentido, STC 142/2014, de 11 de septiembre, FJ 2, y ATC 58/2013, de 26 de febrero</w:t>
      </w:r>
      <w:r w:rsidRPr="0085709A">
        <w:rPr>
          <w:i/>
        </w:rPr>
        <w:t>, in fi</w:t>
      </w:r>
      <w:r>
        <w:t>ne).</w:t>
      </w:r>
    </w:p>
    <w:p w:rsidR="0085709A" w:rsidRDefault="0085709A" w:rsidP="0085709A">
      <w:pPr>
        <w:pStyle w:val="TextoNormal"/>
      </w:pPr>
    </w:p>
    <w:p w:rsidR="0085709A" w:rsidRDefault="0085709A" w:rsidP="0085709A">
      <w:pPr>
        <w:pStyle w:val="TextoNormal"/>
      </w:pPr>
      <w:r>
        <w:t>En suma, recapitulando cuanto hemos expuesto acerca del objeto del recurso y su pervivencia, resulta que debemos pronunciarnos acerca de dos cuestiones: la vulneración del art. 86.1 CE por falta de presupuesto habilitante que se reprocha a la totalidad del Real Decreto-ley 2/2011, así como sobre la vulneración competencial que se imputa al art. 4.2, en la redacción que da al art. 12.1, último inciso, del Real Decreto-ley 9/2009, en relación con la disposición adicional quinta.</w:t>
      </w:r>
    </w:p>
    <w:p w:rsidR="0085709A" w:rsidRDefault="0085709A" w:rsidP="0085709A">
      <w:pPr>
        <w:pStyle w:val="TextoNormal"/>
      </w:pPr>
    </w:p>
    <w:p w:rsidR="0085709A" w:rsidRDefault="0085709A" w:rsidP="0085709A">
      <w:pPr>
        <w:pStyle w:val="TextoNormal"/>
      </w:pPr>
      <w:r w:rsidRPr="0085709A">
        <w:rPr>
          <w:rStyle w:val="NumeroAFNegritaCaracter"/>
        </w:rPr>
        <w:t>3</w:t>
      </w:r>
      <w:r>
        <w:t>. La doctrina constitucional sobre el primer motivo de inconstitucionalidad aducido y cuyo examen es prioritario, la vulneración del art. 86.1 CE por la falta de concurrencia del presupuesto habilitante de la extraordinaria y urgente necesidad, se encuentra resumida en la STC 183/2014, de 6 de noviembre, FJ 4, por referencia a la anterior STC 83/2014, de 29 de mayo, FJ 4, en los términos siguientes:</w:t>
      </w:r>
    </w:p>
    <w:p w:rsidR="0085709A" w:rsidRDefault="0085709A" w:rsidP="0085709A">
      <w:pPr>
        <w:pStyle w:val="TextoNormal"/>
      </w:pPr>
    </w:p>
    <w:p w:rsidR="0085709A" w:rsidRDefault="0085709A" w:rsidP="0085709A">
      <w:pPr>
        <w:pStyle w:val="TextoNormal"/>
      </w:pPr>
      <w:r>
        <w:t>“El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Generalmente, hemos venido admitiendo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0085709A" w:rsidRDefault="0085709A" w:rsidP="0085709A">
      <w:pPr>
        <w:pStyle w:val="TextoNormal"/>
      </w:pPr>
    </w:p>
    <w:p w:rsidR="0085709A" w:rsidRDefault="0085709A" w:rsidP="0085709A">
      <w:pPr>
        <w:pStyle w:val="TextoNormal"/>
      </w:pPr>
      <w: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tal fin, esto es, para valorar la concurrencia del citado presupuesto habilitante, debe realizarse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w:t>
      </w:r>
      <w:r>
        <w:lastRenderedPageBreak/>
        <w:t>expediente de elaboración de la misma’, debiendo siempre tenerse presentes ‘las situaciones concretas y los objetivos gubernamentales que han dado lugar a la aprobación de cada uno de los decretos-leyes enjuiciados’ (SSTC 1/2012, de 13 de enero, FJ 6; y 100/2012, de 8 de mayo, FJ 8). Es decir, para controlar la concurrencia del presupuesto habilitante del decreto-ley (la ‘extraordinaria y urgente necesidad’),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(SSTC 31/2011, de 17 de marzo, FJ 3; y 100/2012, de 8 de mayo, FJ 8).”</w:t>
      </w:r>
    </w:p>
    <w:p w:rsidR="0085709A" w:rsidRDefault="0085709A" w:rsidP="0085709A">
      <w:pPr>
        <w:pStyle w:val="TextoNormal"/>
      </w:pPr>
    </w:p>
    <w:p w:rsidR="0085709A" w:rsidRDefault="0085709A" w:rsidP="0085709A">
      <w:pPr>
        <w:pStyle w:val="TextoNormal"/>
      </w:pPr>
      <w:r>
        <w:t>Por último, cabe recordar que, en cuanto a la configuración de nuestro cometido en relación con los decretos-leyes, hemos afirmado “que el control que corresponde al Tribunal Constitucional en este punto es un control externo, en el sentido de que debe verificar, pero no sustituir, el juicio político o de oportunidad que corresponde al Gobierno” (STC 182/1997, de 28 de octubre, FJ 3).</w:t>
      </w:r>
    </w:p>
    <w:p w:rsidR="0085709A" w:rsidRDefault="0085709A" w:rsidP="0085709A">
      <w:pPr>
        <w:pStyle w:val="TextoNormal"/>
      </w:pPr>
    </w:p>
    <w:p w:rsidR="0085709A" w:rsidRDefault="0085709A" w:rsidP="0085709A">
      <w:pPr>
        <w:pStyle w:val="TextoNormal"/>
      </w:pPr>
      <w:r w:rsidRPr="0085709A">
        <w:rPr>
          <w:rStyle w:val="NumeroAFNegritaCaracter"/>
        </w:rPr>
        <w:t>4</w:t>
      </w:r>
      <w:r>
        <w:t>. La concurrencia de una situación de extraordinaria y urgente necesidad determinante de la aprobación del Real Decreto-ley 2/2011 ha sido negada por el Letrado de la Xunta de Galicia, argumentando que la norma no explicita sino de forma estereotipada la razón de la extraordinaria y urgente necesidad, estableciendo unas medidas que no son de efecto inmediato y que tampoco venían obligadas por la implantación de las recomendaciones del comité de supervisión bancaria de Basilea comúnmente conocidas como Basilea III. Añade, además, que se trata de medidas estructurales y no coyunturales que afectan a un aspecto nuclear del sector financiero, como es la solvencia y que ya existían normas anteriores dirigidas a la misma finalidad con lo que la ahora impugnada sería innecesaria para cumplir los objetivos que dice perseguir. Por su parte el Abogado del Estado ha defendido que, tanto en la exposición de motivos como en el posterior debate de convalidación, se expresa la concurrencia de una situación extraordinaria y urgente, derivada de la necesidad de disipar las dudas acerca de la solvencia del sistema financiero en una coyuntura económica especialmente problemática.</w:t>
      </w:r>
    </w:p>
    <w:p w:rsidR="0085709A" w:rsidRDefault="0085709A" w:rsidP="0085709A">
      <w:pPr>
        <w:pStyle w:val="TextoNormal"/>
      </w:pPr>
    </w:p>
    <w:p w:rsidR="0085709A" w:rsidRDefault="0085709A" w:rsidP="0085709A">
      <w:pPr>
        <w:pStyle w:val="TextoNormal"/>
      </w:pPr>
      <w:r>
        <w:t>De acuerdo con estas alegaciones y la doctrina expuesta procederemos a examinar ahora la concurrencia de la situación de extraordinaria y urgente necesidad, tomando en consideración, tanto lo afirmado por la propia exposición de motivos del Real Decreto-ley impugnado, como lo expuesto en el debate parlamentario de convalidación.</w:t>
      </w:r>
    </w:p>
    <w:p w:rsidR="0085709A" w:rsidRDefault="0085709A" w:rsidP="0085709A">
      <w:pPr>
        <w:pStyle w:val="TextoNormal"/>
      </w:pPr>
    </w:p>
    <w:p w:rsidR="0085709A" w:rsidRDefault="0085709A" w:rsidP="0085709A">
      <w:pPr>
        <w:pStyle w:val="TextoNormal"/>
      </w:pPr>
      <w:r>
        <w:t>a) La exposición de motivos del Real Decreto-ley 2/2011 comienza aludiendo a las tensiones a las que se ha enfrentado el sistema financiero internacional desde el comienzo de la crisis, afectando al cumplimiento de su función esencial como canalizador del crédito a la economía y determinando la necesidad de que los poderes públicos garanticen la existencia de un sistema financiero competitivo y sólido mediante dos tipos de medidas, las dirigidas a limitar las consecuencias de las crisis futuras y las de apoyo al sector financiero. Recalca, asimismo, que “el Gobierno de España, por su parte, ha venido impulsando desde el principio de la crisis una serie de medidas, que ahora se completan con el contenido del presente real decreto-ley, dirigidas a facilitar el acceso a la financiación de las entidades de crédito, salvaguardar la estabilidad del sistema, fomentar su restructuración y eficiencia, y velar, en último extremo, por la adecuada canalización del crédito hacia la economía real”.</w:t>
      </w:r>
    </w:p>
    <w:p w:rsidR="0085709A" w:rsidRDefault="0085709A" w:rsidP="0085709A">
      <w:pPr>
        <w:pStyle w:val="TextoNormal"/>
      </w:pPr>
    </w:p>
    <w:p w:rsidR="0085709A" w:rsidRDefault="0085709A" w:rsidP="0085709A">
      <w:pPr>
        <w:pStyle w:val="TextoNormal"/>
      </w:pPr>
      <w:r>
        <w:lastRenderedPageBreak/>
        <w:t>Tras lo anterior, la exposición de motivos hace un resumen de las medidas adoptadas desde el comienzo de la crisis con objeto de minimizar su impacto sobre el sistema financiero español y sobre el erario público, las cuales han propiciado un importante proceso de reestructuración del sector. Acto seguido, constata el difícil momento que vive el sector por cuanto “la evolución de los últimos meses de las tensiones financieras en el entorno de la zona euro ha generado dudas sobre la capacidad del sistema financiero español”, dudas que pueden minar la confianza en el sistema financiero y “dificultar aún más el acceso a la financiación por parte de las entidades, lo que a su vez incrementaría la percepción de riesgo dificultando el flujo de crédito hacia la economía, erosionando la capacidad de crecimiento, en un proceso de negativa retroalimentación”. Por eso, según la exposición de motivos, es “indispensable impedir el desarrollo de dicha dinámica y eliminar inmediatamente toda incertidumbre en relación con nuestro sistema financiero y, por extensión, con el conjunto de nuestra economía. Para ello, es necesario garantizar que cada una de las entidades que componen el sistema bancario español presente unos niveles de capital de máxima calidad suficientes para disipar cualquier duda no solo sobre su solvencia actual, sino también sobre su solidez frente a todo tipo de escenarios, incluidos aquellos poco favorables aun cuando tengan una probabilidad de materialización remota. De esta forma se afianzará la confianza en el sistema bancario español, lo que facilitará el acceso a la financiación a todas las entidades contribuyendo con ello al logro del objetivo fundamental de cualquier sistema bancario, esto es, la fluida canalización del ahorro hacia la inversión”.</w:t>
      </w:r>
    </w:p>
    <w:p w:rsidR="0085709A" w:rsidRDefault="0085709A" w:rsidP="0085709A">
      <w:pPr>
        <w:pStyle w:val="TextoNormal"/>
      </w:pPr>
    </w:p>
    <w:p w:rsidR="0085709A" w:rsidRDefault="0085709A" w:rsidP="0085709A">
      <w:pPr>
        <w:pStyle w:val="TextoNormal"/>
      </w:pPr>
      <w:r>
        <w:t>Se articulan así dos tipos de medidas, las relativas al reforzamiento del nivel de solvencia de las entidades, “mediante el establecimiento de un nivel elevado de exigencia con relación al capital de máxima calidad” y la aceleración de la fase final de los procesos de reestructuración de las entidades, mediante la adaptación del FROB como instrumento público para facilitar la nueva capitalización exigida. En cuanto a lo primero, “se establece una aplicación adelantada y exigente de los nuevos estándares internacionales de capital, Basilea III” y, “ante la evidencia de que habrá algunas entidades con dificultad para alcanzar este nuevo requisito de manera inminente, la norma ha diseñado una estrategia progresiva de cumplimiento”. La intervención del FROB se relaciona con el hecho de que no todas las entidades puedan captar capital en los mercados de capital, de modo que se modifica su regulación con objeto de que “la proporción de apoyos se realice mediante la adquisición temporal de acciones ordinarias, en condiciones de mercado, de aquellas entidades que no cumplan con los niveles de recursos propios exigidos y que así lo soliciten, ya sea de forma inmediata o una vez que acudiendo al mercado no hayan captado todos los recursos necesarios”, explicándose pormenorizadamente el modo en que dicha participación se articula. Los dos tipos de medidas anteriormente mencionados se completan con una serie de disposiciones de carácter fiscal dirigidas a asegurar que el proceso de reestructuración del sector financiero se realice sin costes fiscales asociados al propio proceso. Estas medidas “se dirigen como objetivo último, a garantizar la eficiencia de nuestro sistema financiero asegurando la canalización del crédito a la economía real y, con ello, posibilitando al máximo las posibilidades de crecimiento y creación de empleo”, pues con ellas se impulsa la utilización inmediata de los instrumentos ya existentes previstos en los Decretos-leyes “de creación del FROB y de reforma del régimen jurídico de las cajas de ahorros” para “concluir la fase final de dicho proceso de reestructuración. Se trata de alcanzar un sistema financiero más solvente, más transparente y con mayores facilidades de capitalización, culminando así la etapa de mayor modernización de nuestra reciente historia financiera”.</w:t>
      </w:r>
    </w:p>
    <w:p w:rsidR="0085709A" w:rsidRDefault="0085709A" w:rsidP="0085709A">
      <w:pPr>
        <w:pStyle w:val="TextoNormal"/>
      </w:pPr>
    </w:p>
    <w:p w:rsidR="0085709A" w:rsidRDefault="0085709A" w:rsidP="0085709A">
      <w:pPr>
        <w:pStyle w:val="TextoNormal"/>
      </w:pPr>
      <w:r>
        <w:lastRenderedPageBreak/>
        <w:t>Finalmente, tras una exposición descriptiva de cada uno de los preceptos que integran el Real Decreto-ley 2/2011, la exposición de motivos concluye afirmando que “la adopción de las medidas contempladas en este real decreto-ley resulta imprescindible para reforzar la confianza en nuestro sistema financiero, impidiendo dinámicas generadoras de incertidumbre que puedan dificultar el acceso a la financiación por parte de las entidades financieras y, en último extremo, impedir el normal flujo de crédito hacia la economía. Es por ello que la adopción de tales medidas exige acudir al procedimiento del real decreto-ley, cumpliéndose los requisitos del artículo 86 de la Constitución Española en cuanto a su extraordinaria y urgente necesidad”.</w:t>
      </w:r>
    </w:p>
    <w:p w:rsidR="0085709A" w:rsidRDefault="0085709A" w:rsidP="0085709A">
      <w:pPr>
        <w:pStyle w:val="TextoNormal"/>
      </w:pPr>
    </w:p>
    <w:p w:rsidR="0085709A" w:rsidRDefault="0085709A" w:rsidP="0085709A">
      <w:pPr>
        <w:pStyle w:val="TextoNormal"/>
      </w:pPr>
      <w:r>
        <w:t>b) En el debate parlamentario correspondiente al trámite de convalidación (Diario de Sesiones del Congreso de los Diputados, núm. 229, de 10 de marzo de 2011), la Sra. Vicepresidenta Segunda del Gobierno y Ministra de Economía y Hacienda se pronuncia en términos similares a los de la exposición de motivos del Real Decreto-ley 2/2011, señalando que “las medidas impulsadas por el Gobierno, que ahora se contemplan con el Real Decreto-ley para el reforzamiento del sistema financiero que les presento, han estado dirigidas a facilitar el acceso a la financiación de las entidades de crédito, a salvaguardar la estabilidad del sistema, a fomentar su reestructuración y eficiencia, especialmente en el sector de las cajas de ahorros, y a velar por la adecuada canalización del crédito hacia la economía real”.</w:t>
      </w:r>
    </w:p>
    <w:p w:rsidR="0085709A" w:rsidRDefault="0085709A" w:rsidP="0085709A">
      <w:pPr>
        <w:pStyle w:val="TextoNormal"/>
      </w:pPr>
    </w:p>
    <w:p w:rsidR="0085709A" w:rsidRDefault="0085709A" w:rsidP="0085709A">
      <w:pPr>
        <w:pStyle w:val="TextoNormal"/>
      </w:pPr>
      <w:r>
        <w:t>Pese a ello, la Sra. Vicepresidenta Segunda indica que “en los últimos meses se han venido produciendo tensiones financieras en el entorno de la zona euro, tensiones agravadas con las circunstancias que ha atravesado Irlanda y que han hecho que haya tenido que solicitar una ayuda financiera en el entorno europeo. Como saben, la confianza es el pilar fundamental de un sistema financiero, por lo que se considera indispensable seguir andando en la línea de las reformas estructurales iniciadas con el fin de eliminar cualquier incertidumbre que pueda existir de los mercados sobre nuestro sistema financiero, y por extensión sobre el conjunto de nuestra economía”. Para ello resulta “imprescindible garantizar que cada una de las entidades que componen nuestro sistema financiero, sea cual sea su forma jurídica, presente unos niveles de capital de máxima calidad, suficientes para eliminar cualquier duda, no solo sobre su solvencia actual sino también sobre su resistencia frente a todo tipo de escenarios adversos, aunque su materialización efectiva sea verdaderamente hipotética”. Así descrito el marco que justifica la adopción de las medidas la Sra. Vicepresidenta Segunda explica su contenido de forma similar a la expuesta en el Real Decreto-ley 2/2011, indicando que “con la adopción y aplicación de este real decreto-ley se completará este ambicioso proceso de reordenación del sector y de fortalecimiento de su solvencia, asegurando que las entidades están en disposición, no solo de absorber el impacto de la crisis, sino también de contribuir activamente a financiar una recuperación económica sostenida”.</w:t>
      </w:r>
    </w:p>
    <w:p w:rsidR="0085709A" w:rsidRDefault="0085709A" w:rsidP="0085709A">
      <w:pPr>
        <w:pStyle w:val="TextoNormal"/>
      </w:pPr>
    </w:p>
    <w:p w:rsidR="0085709A" w:rsidRDefault="0085709A" w:rsidP="0085709A">
      <w:pPr>
        <w:pStyle w:val="TextoNormal"/>
      </w:pPr>
      <w:r>
        <w:t xml:space="preserve">Finalmente, la concurrencia del presupuesto habilitante se justifica en los términos siguientes: “quisiera destacar que, dado el contexto de elevada incertidumbre en los mercados financieros y el riesgo de que esta situación termine dificultando la recuperación económica y la creación de empleo, estas medidas debían entrar en vigor de manera urgente, lo que justifica la utilización de la figura del real decreto-ley. Por todo ello, señorías, es por lo que les pido que, con su voto, ratifiquen el texto de este real decreto-ley porque es de extraordinaria urgencia y necesidad garantizar el flujo del crédito a la economía real, a las familias, también a las empresas, a las pequeñas y medianas empresas en particular, de manera que </w:t>
      </w:r>
      <w:r>
        <w:lastRenderedPageBreak/>
        <w:t>se fomenten al máximo las posibilidades de crecimiento económico y de creación de empleo.”</w:t>
      </w:r>
    </w:p>
    <w:p w:rsidR="0085709A" w:rsidRDefault="0085709A" w:rsidP="0085709A">
      <w:pPr>
        <w:pStyle w:val="TextoNormal"/>
      </w:pPr>
    </w:p>
    <w:p w:rsidR="0085709A" w:rsidRDefault="0085709A" w:rsidP="0085709A">
      <w:pPr>
        <w:pStyle w:val="TextoNormal"/>
      </w:pPr>
      <w:r w:rsidRPr="0085709A">
        <w:rPr>
          <w:rStyle w:val="NumeroAFNegritaCaracter"/>
        </w:rPr>
        <w:t>5</w:t>
      </w:r>
      <w:r>
        <w:t>. A la vista de los motivos señalados en el fundamento jurídico anterior puede concluirse que la situación de urgencia aparece expresamente justificada en el preámbulo del Real Decreto-ley así como en el debate parlamentario de convalidación del mismo. No se trata de una descripción “mediante fórmulas rituales o genéricas aplicables a todo tipo de realidades de un modo intercambiable” (STC 142/2014, de 11 de septiembre, FJ 5), sino que hay una expresa referencia a una concreta coyuntura económica y a los efectos, en forma de incertidumbre sobre su solvencia y estabilidad, sobre un sector, el financiero, esencial para el conjunto de la economía, lo que permite excluir que se haya hecho un uso abusivo o arbitrario de este fuente de derecho, por cuanto la situación era objetivamente merecedora de un tratamiento normativo por la vía de la legislación de urgencia. En efecto, tanto en la exposición de motivos como en el debate de convalidación, coinciden las razones que motivaron la adopción de las medidas, como es la pérdida de confianza de los mercados en el sistema financiero, consecuencia del recrudecimiento de las tensiones financieras relacionadas, en todo caso, con la crisis internacional iniciada en años anteriores, y que afectaba a las condiciones de financiación de las entidades de crédito. Dicha situación obligó a la reacción del Gobierno estableciendo medidas dirigidas a facilitar el flujo de crédito a la economía española, lo que, a su vez, a fin de recuperar esa confianza y evitar incertidumbres sobre la capacidad de nuestro sistema financiero, determina la adopción de nuevas medidas más exigentes, en el ámbito de la capitalización y la solvencia, con el objetivo de reforzar dicha solvencia mediante el establecimiento de estándares mínimos más elevados de capital de la máxima categoría. Con ello se busca, en última instancia, asegurar la capacidad de las entidades que integran el sistema financiero español de hacer frente, tanto a sus obligaciones para con terceros como a su función, esencial en un momento de graves dificultades económicas, de garantizar el flujo de crédito hacia los distintos sectores productivos de la economía.</w:t>
      </w:r>
    </w:p>
    <w:p w:rsidR="0085709A" w:rsidRDefault="0085709A" w:rsidP="0085709A">
      <w:pPr>
        <w:pStyle w:val="TextoNormal"/>
      </w:pPr>
    </w:p>
    <w:p w:rsidR="0085709A" w:rsidRDefault="0085709A" w:rsidP="0085709A">
      <w:pPr>
        <w:pStyle w:val="TextoNormal"/>
      </w:pPr>
      <w:r>
        <w:t xml:space="preserve">Así, los concretos reproches que el Letrado autonómico formula a la definición de la situación extraordinaria y urgente necesidad no pueden ser acogidos. Ya hemos apreciado que esta situación aparece debidamente explicitada, tanto en la exposición de motivos como en el debate parlamentario, lo que permite excluir un uso abusivo o arbitrario de esta fuente de derecho. Por otra parte, el hecho de que las medidas no vinieran obligadas hasta fecha posterior por los acuerdos alcanzados en el ya mencionado comité de supervisión bancaria de Basilea no es un argumento válido a efectos de apreciar la constitucionalidad del Real Decreto-ley 2/2011, pues no afecta a la situación de extraordinaria y urgente necesidad cuya ausencia se denuncia y se relaciona más bien con la discrepancia respecto a la medida adoptada. Asimismo, el hecho de que, a juicio del recurrente, se trate de una normativa con vocación estructural en cuanto que afecta a un aspecto nuclear del sector como la solvencia tampoco es obstáculo para que pueda apreciarse procedente el recurso a la legislación de urgencia, pues ya tenemos declarado que el que se trate de afrontar una situación de carácter estructural y no coyuntural, “por sí misma no es suficiente para estimar que en este caso no se haya hecho un uso constitucionalmente adecuado de la figura del decreto-ley, puesto que, aun configurándose como un instrumento normativo constitucionalmente apropiado ante problemas o situaciones coyunturales, no cabe excluir en principio y con carácter general su uso ante problemas o situaciones estructurales” (SSTC 31/2011, de 17 de marzo, FJ 4, y 137/2011, de 14 de septiembre, FJ 4), dado que lo determinante es que la situación que se </w:t>
      </w:r>
      <w:r>
        <w:lastRenderedPageBreak/>
        <w:t>trata de afrontar venga cualificada por las notas de gravedad, imprevisibilidad o relevancia. Por último, tampoco el hecho de que por el Gobierno se hubieran adoptados disposiciones anteriores en relación con la reestructuración del sector financiero puede ser atendido, pues, como ya señalamos en otra ocasión, “la discrepancia con respecto a las concretas medidas adoptadas por el Gobierno para afrontar la situación de urgencia por él definida no es motivo suficiente para fundamentar la inconstitucionalidad de la utilización del decreto-ley; como tampoco puede serlo la consideración de que existirían medidas tanto o más adecuadas o efectivas para la consecución de los propios objetivos gubernamentales” (STC 39/2013, de 14 de febrero, FJ 9), toda vez que lo que ahora importa no son las medidas anteriormente adoptadas, sino que la concurrencia de una situación de extraordinaria y urgente necesidad, habilitante de la legislación de urgencia haya sido efectivamente acreditada (en un sentido similar, STC 183/2014, FJ 6, con cita del ATC 179/2011, de 13 de diciembre, FJ 6) o, en otros términos, “lo que aquí debe importar no es tanto la causa de las circunstancias que justifican la legislación de urgencia cuanto el hecho de que tales circunstancias efectivamente concurran” (STC 11/2002, de 17 de enero, FJ 6).</w:t>
      </w:r>
    </w:p>
    <w:p w:rsidR="0085709A" w:rsidRDefault="0085709A" w:rsidP="0085709A">
      <w:pPr>
        <w:pStyle w:val="TextoNormal"/>
      </w:pPr>
    </w:p>
    <w:p w:rsidR="0085709A" w:rsidRDefault="0085709A" w:rsidP="0085709A">
      <w:pPr>
        <w:pStyle w:val="TextoNormal"/>
      </w:pPr>
      <w:r>
        <w:t>En suma, podemos considerar que, sin entrar en el juicio político que este Tribunal tiene vedado, se ha cumplido por el Gobierno la exigencia de explicitar y razonar la existencia de una “situación de extraordinaria y urgente necesidad”, lo que conduce directamente a la desestimación del recurso en este punto, pues en la demanda nada se alega acerca de la falta de conexión de sentido entre la situación de urgencia apreciada por el Gobierno y las medidas adoptadas.</w:t>
      </w:r>
    </w:p>
    <w:p w:rsidR="0085709A" w:rsidRDefault="0085709A" w:rsidP="0085709A">
      <w:pPr>
        <w:pStyle w:val="TextoNormal"/>
      </w:pPr>
    </w:p>
    <w:p w:rsidR="0085709A" w:rsidRDefault="0085709A" w:rsidP="0085709A">
      <w:pPr>
        <w:pStyle w:val="TextoNormal"/>
      </w:pPr>
      <w:r w:rsidRPr="0085709A">
        <w:rPr>
          <w:rStyle w:val="NumeroAFNegritaCaracter"/>
        </w:rPr>
        <w:t>6</w:t>
      </w:r>
      <w:r>
        <w:t>. Descartada, en los términos expuestos, la vulneración del art. 86.1 CE procede examinar ahora la tacha competencial que pervive, esto es, la formulada al último inciso del art. 12.1 del Real Decreto-ley 9/2009, en la redacción dada al mismo por el art. 4.2, en relación con la disposición adicional quinta del Real Decreto-ley 2/2011.</w:t>
      </w:r>
    </w:p>
    <w:p w:rsidR="0085709A" w:rsidRDefault="0085709A" w:rsidP="0085709A">
      <w:pPr>
        <w:pStyle w:val="TextoNormal"/>
      </w:pPr>
    </w:p>
    <w:p w:rsidR="0085709A" w:rsidRDefault="0085709A" w:rsidP="0085709A">
      <w:pPr>
        <w:pStyle w:val="TextoNormal"/>
      </w:pPr>
      <w:r>
        <w:t>El inciso cuestionado del art. 12.1, inserto en un precepto dedicado a regular el contenido del plan de recapitalización, dispone:</w:t>
      </w:r>
    </w:p>
    <w:p w:rsidR="0085709A" w:rsidRDefault="0085709A" w:rsidP="0085709A">
      <w:pPr>
        <w:pStyle w:val="TextoNormal"/>
      </w:pPr>
    </w:p>
    <w:p w:rsidR="0085709A" w:rsidRDefault="0085709A" w:rsidP="0085709A">
      <w:pPr>
        <w:pStyle w:val="TextoNormal"/>
      </w:pPr>
      <w:r>
        <w:t>“En caso de que las entidades solicitantes sean cajas de ahorros, adoptarán necesariamente el régimen previsto en la Disposición adicional quinta del Real Decreto-ley 2/2011, de 18 de febrero, para el reforzamiento del sistema financiero, en materia de acuerdos relativos a su participación en el banco a través del cual desarrollen, en su caso, su actividad como entidad de crédito.”</w:t>
      </w:r>
    </w:p>
    <w:p w:rsidR="0085709A" w:rsidRDefault="0085709A" w:rsidP="0085709A">
      <w:pPr>
        <w:pStyle w:val="TextoNormal"/>
      </w:pPr>
    </w:p>
    <w:p w:rsidR="0085709A" w:rsidRDefault="0085709A" w:rsidP="0085709A">
      <w:pPr>
        <w:pStyle w:val="TextoNormal"/>
      </w:pPr>
      <w:r>
        <w:t>Por su parte, la disposición adicional quinta, a la que remite el precepto trascrito, establece:</w:t>
      </w:r>
    </w:p>
    <w:p w:rsidR="0085709A" w:rsidRDefault="0085709A" w:rsidP="0085709A">
      <w:pPr>
        <w:pStyle w:val="TextoNormal"/>
      </w:pPr>
    </w:p>
    <w:p w:rsidR="0085709A" w:rsidRDefault="0085709A" w:rsidP="0085709A">
      <w:pPr>
        <w:pStyle w:val="TextoNormal"/>
      </w:pPr>
      <w:r>
        <w:t>“Sin perjuicio de las competencias legal y estatutariamente atribuidas a la Asamblea General, los estatutos sociales de las Cajas de Ahorro podrán determinar que el consejo de administración, como órgano que conforme al artículo 13 de la Ley 31/1985, de regulación de las normas básicas sobre Órganos Rectores de las Cajas de Ahorro, tiene encomendada la administración y gestión financiera de la entidad para el cumplimiento de sus fines, será el competente para aprobar, en su caso, los acuerdos de la caja relativos a su participación en el banco a través del cual desarrolle, en su caso, su actividad como entidad de crédito.”</w:t>
      </w:r>
    </w:p>
    <w:p w:rsidR="0085709A" w:rsidRDefault="0085709A" w:rsidP="0085709A">
      <w:pPr>
        <w:pStyle w:val="TextoNormal"/>
      </w:pPr>
    </w:p>
    <w:p w:rsidR="0085709A" w:rsidRDefault="0085709A" w:rsidP="0085709A">
      <w:pPr>
        <w:pStyle w:val="TextoNormal"/>
      </w:pPr>
      <w:r>
        <w:lastRenderedPageBreak/>
        <w:t>El enjuiciamiento de ambas disposiciones requiere una serie de precisiones previas.</w:t>
      </w:r>
    </w:p>
    <w:p w:rsidR="0085709A" w:rsidRDefault="0085709A" w:rsidP="0085709A">
      <w:pPr>
        <w:pStyle w:val="TextoNormal"/>
      </w:pPr>
    </w:p>
    <w:p w:rsidR="0085709A" w:rsidRDefault="0085709A" w:rsidP="0085709A">
      <w:pPr>
        <w:pStyle w:val="TextoNormal"/>
      </w:pPr>
      <w:r>
        <w:t>Así, es claro que la vulneración competencial, de existir, estaría en el inciso del art. 12.1, en la medida en que hace necesario lo que, en los términos de la disposición adicional quinta, no es sino una posibilidad que, en su caso, ha de ser concretada en los Estatutos de la entidad.</w:t>
      </w:r>
    </w:p>
    <w:p w:rsidR="0085709A" w:rsidRDefault="0085709A" w:rsidP="0085709A">
      <w:pPr>
        <w:pStyle w:val="TextoNormal"/>
      </w:pPr>
    </w:p>
    <w:p w:rsidR="0085709A" w:rsidRDefault="0085709A" w:rsidP="0085709A">
      <w:pPr>
        <w:pStyle w:val="TextoNormal"/>
      </w:pPr>
      <w:r>
        <w:t>Por otra parte, resulta también necesario insertar ambos preceptos en su contexto normativo. En ese sentido, los planes de recapitalización, cuyo contenido determina el art. 12, responden a la posibilidad, regulada en el art. 9, de que el FROB adopte medidas de apoyo financiero, “tales como la adquisición de acciones ordinarias representativas del capital social o aportaciones al capital social de las entidades, que, sin incurrir en las circunstancias establecidas en el artículo 6 del presente real decreto-ley, necesiten reforzar sus recursos propios y así lo soliciten”.</w:t>
      </w:r>
    </w:p>
    <w:p w:rsidR="0085709A" w:rsidRDefault="0085709A" w:rsidP="0085709A">
      <w:pPr>
        <w:pStyle w:val="TextoNormal"/>
      </w:pPr>
    </w:p>
    <w:p w:rsidR="0085709A" w:rsidRDefault="0085709A" w:rsidP="0085709A">
      <w:pPr>
        <w:pStyle w:val="TextoNormal"/>
      </w:pPr>
      <w:r>
        <w:t>Conviene ahora precisar que el FROB, creado por el Real Decreto-ley 9/2009 y en la actualidad regulado en la Ley 9/2012 (capítulo VIII, arts. 52 a 70), es una entidad de Derecho público con personalidad jurídica propia y plena capacidad pública y privada para el desarrollo de sus fines, que tiene por objeto gestionar los procesos de reestructuración y resolución de las entidades de crédito. Sus fondos propios estarán constituidos por las dotaciones establecidas al efecto en los presupuestos generales del Estado, pudiendo incrementar dichos fondos propios a través de la capitalización de préstamos, créditos o cualquier otra operación de endeudamiento del FROB en las que la Administración general del Estado figure como acreedora.</w:t>
      </w:r>
    </w:p>
    <w:p w:rsidR="0085709A" w:rsidRDefault="0085709A" w:rsidP="0085709A">
      <w:pPr>
        <w:pStyle w:val="TextoNormal"/>
      </w:pPr>
    </w:p>
    <w:p w:rsidR="0085709A" w:rsidRDefault="0085709A" w:rsidP="0085709A">
      <w:pPr>
        <w:pStyle w:val="TextoNormal"/>
      </w:pPr>
      <w:r>
        <w:t>De acuerdo con esa configuración del FROB el legislador estatal diseñó, entre otros, este mecanismo de capitalización parcial y temporal de los recursos de las entidades de crédito, el cual es puesto a disposición de aquellas que, sin encontrarse en situaciones de dificultades económicas que pudieran poner en riesgo su viabilidad, precisasen reforzar sus recursos propios para mejorar su fortaleza y solvencia. La actuación del FROB, realizada siempre a solicitud de las cajas de ahorro afectadas, requiere el previo traspaso de su actividad financiera a un banco con arreglo a lo dispuesto en los arts. 5 o 6 del Real Decreto-ley 11/2010, de 9 de julio. En todo caso la suscripción de capital por parte del FROB estaba condicionada a la elaboración por la entidad solicitante de un plan de recapitalización, plan que debía ser aprobado por el Banco de España. Dicho plan debería incluir un plan de negocio en el que se fijasen objetivos relativos a la eficiencia, rentabilidad, niveles de apalancamiento y liquidez. Asimismo, las entidades solicitantes deberían asumir compromisos en materia de reducción de costes de estructura, mejora de su gobierno corporativo —adaptándose lo dispuesto en los estándares de buen gobierno corporativo de las sociedades cotizadas— e incremento de la financiación a pequeñas y medianas empresas, en términos compatibles con los objetivos establecidos en su plan de negocio.</w:t>
      </w:r>
    </w:p>
    <w:p w:rsidR="0085709A" w:rsidRDefault="0085709A" w:rsidP="0085709A">
      <w:pPr>
        <w:pStyle w:val="TextoNormal"/>
      </w:pPr>
    </w:p>
    <w:p w:rsidR="0085709A" w:rsidRDefault="0085709A" w:rsidP="0085709A">
      <w:pPr>
        <w:pStyle w:val="TextoNormal"/>
      </w:pPr>
      <w:r>
        <w:t xml:space="preserve">En cuanto al encuadramiento competencial de los preceptos debatidos, basta con remitirnos a la STC 182/2013, cuyos FFJJ 4 y 5 sintetizan la doctrina constitucional relativa a la competencia estatal en materia de fijación de las bases de ordenación del crédito del art. 149.1.11 CE y sobre las competencias autonómicas con ella conectadas. Igualmente relevante resulta el fundamento jurídico 7 de la mencionada Sentencia respecto al alcance de esa competencia estatal en supuestos en los que se desarrollan procesos de reestructuración que afectan al sistema financiero en su conjunto y que coexisten con el régimen de control </w:t>
      </w:r>
      <w:r>
        <w:lastRenderedPageBreak/>
        <w:t>ordinario de las entidades de crédito. De conformidad con dicho canon, y por las razones que se exponen en los fundamentos jurídicos 9, 10 y 11, en aquella Sentencia declaramos la constitucionalidad de los mecanismos excepcionales de intervención para hacer frente a la crisis financiera previstos en los arts. 6 a 8 del Real Decreto-ley 9/2009, descartando las impugnaciones basadas en la vulneración de las competencias autonómicas en materia de cajas de ahorro.</w:t>
      </w:r>
    </w:p>
    <w:p w:rsidR="0085709A" w:rsidRDefault="0085709A" w:rsidP="0085709A">
      <w:pPr>
        <w:pStyle w:val="TextoNormal"/>
      </w:pPr>
    </w:p>
    <w:p w:rsidR="0085709A" w:rsidRDefault="0085709A" w:rsidP="0085709A">
      <w:pPr>
        <w:pStyle w:val="TextoNormal"/>
      </w:pPr>
      <w:r>
        <w:t xml:space="preserve">En parecidos términos debemos pronunciarnos ahora, pues, además, la queja que se formula se basa en la ausencia de intervención del legislador autonómico y en lo que se entiende como una modificación obligatoria de los estatutos de la entidad sin la intervención de ese legislador. Sin perjuicio de señalar que han de rechazarse los reproches de inconstitucionalidad vinculados a la vulneración de la legislación autonómica, pues es ésta la que ha de acomodarse a la decisión estatal, siempre que ésta sea formal y materialmente básica (por todas, STC 69/2013, de 14 de marzo, FJ 3), lo cierto es que el Letrado de la Xunta de Galicia no concreta la vulneración que denuncia. Frente a lo que parece entender, la norma estatal no impone cambios por sí misma, sino que se limita a condicionar el apoyo financiero del FROB para la recapitalización de la entidad, consistente en la adquisición temporal de acciones o en aportaciones al capital social, al cambio estatutario aludido en cuya virtud será el consejo de administración el competente para aprobar los acuerdos de la caja relativos a su participación en el banco a través del cual desarrolle, en su caso, su actividad como entidad de crédito. Esta previsión en nada afecta a la posible intervención autonómica en la modificación de los estatutos de la entidad, pues no opera </w:t>
      </w:r>
      <w:r w:rsidRPr="0085709A">
        <w:rPr>
          <w:i/>
        </w:rPr>
        <w:t>ex lege</w:t>
      </w:r>
      <w:r>
        <w:t>, sino que dicha modificación estatutaria habrá de realizarse conforme al marco legal, básico y de desarrollo autonómico, que le resulte aplicable.</w:t>
      </w:r>
    </w:p>
    <w:p w:rsidR="0085709A" w:rsidRDefault="0085709A" w:rsidP="0085709A">
      <w:pPr>
        <w:pStyle w:val="TextoNormal"/>
      </w:pPr>
    </w:p>
    <w:p w:rsidR="0085709A" w:rsidRDefault="0085709A" w:rsidP="0085709A">
      <w:pPr>
        <w:pStyle w:val="TextoNormal"/>
      </w:pPr>
      <w:r>
        <w:t xml:space="preserve">Por tanto, como apunta el Abogado del Estado, no hay desplazamiento de competencias autonómicas, sino el simple condicionamiento de la percepción de una ayuda estatal, en un ámbito como el de la estabilidad del sistema financiero de innegable competencia estatal </w:t>
      </w:r>
      <w:r w:rsidRPr="0085709A">
        <w:rPr>
          <w:i/>
        </w:rPr>
        <w:t>ex</w:t>
      </w:r>
      <w:r>
        <w:t xml:space="preserve"> art. 149.1.11 y 13 CE, a la existencia de una previsión estatutaria, orientada ésta precisamente a facilitar el cumplimiento de los requisitos necesarios para la articulación del plan público de capitalización (es decir, la existencia de acciones que puedan servir de contrapartida a dicha ayuda), teniendo en cuenta que la participación del FROB está temporalmente limitada a un plazo máximo de cinco años (art. 9.8 del Real Decreto-ley 9/2009 y art. 31.4 de la Ley 9/2012) y que dicha participación ha de revertir a las arcas públicas. Es, entonces, la excepcionalidad de la situación y la importancia de la crisis la que ha hecho necesario establecer la posibilidad de recurrir al apoyo público al sistema financiero, pues la intervención del FROB en estos procesos de recapitalización se justifica, en la práctica, en la dificultad de las entidades para obtener los recursos propios necesarios, en un contexto en el que la transferencia de la actividad financiera a un banco busca hacer desaparecer las restricciones de las cajas de ahorros para acceder a los mercados de valores y obtener los recursos necesarios para cumplir con los requerimientos de capital que pesan sobre todas las entidades de crédito. De esta suerte el paralelismo con las medidas examinadas en la ya mencionada STC 182/2013 resulta evidente y determina que debamos adoptar ahora idéntica solución.</w:t>
      </w:r>
    </w:p>
    <w:p w:rsidR="0085709A" w:rsidRDefault="0085709A" w:rsidP="0085709A">
      <w:pPr>
        <w:pStyle w:val="TextoNormal"/>
      </w:pPr>
    </w:p>
    <w:p w:rsidR="0085709A" w:rsidRDefault="0085709A" w:rsidP="0085709A">
      <w:pPr>
        <w:pStyle w:val="TextoNormal"/>
      </w:pPr>
      <w:r>
        <w:t>Por lo expuesto, la impugnación del art. 4.2, en cuanto que da nueva redacción al último inciso del art. 12.1 del Real Decreto-ley 2/2009, y de la disposición adicional quinta del Real Decreto-ley 2/2011, ha de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Declarar la pérdida sobrevenida del objeto del recurso en lo que, en lo que se refiere a la vulneración de los arts. 9.3 y 14 CE, de los arts. 1, 2 y 3 y las disposiciones transitorias primera, tercera y cuarta y disposición final tercera del Real Decreto-ley 2/2011, de 18 de febrero, para el reforzamiento del sistema financiero.</w:t>
      </w:r>
    </w:p>
    <w:p w:rsidR="0085709A" w:rsidRDefault="0085709A" w:rsidP="0085709A">
      <w:pPr>
        <w:pStyle w:val="TextoNormal"/>
      </w:pPr>
    </w:p>
    <w:p w:rsidR="0085709A" w:rsidRDefault="0085709A" w:rsidP="0085709A">
      <w:pPr>
        <w:pStyle w:val="TextoNormal"/>
      </w:pPr>
      <w:r>
        <w:t>2º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1" w:name="SENTENCIA_2015_48"/>
      <w:r>
        <w:lastRenderedPageBreak/>
        <w:t>SENTENCIA 48/2015, de 5 de marzo de 2015</w:t>
      </w:r>
    </w:p>
    <w:bookmarkEnd w:id="51"/>
    <w:p w:rsidR="0085709A" w:rsidRDefault="0085709A" w:rsidP="0085709A">
      <w:pPr>
        <w:pStyle w:val="TtuloResolucin"/>
      </w:pPr>
      <w:r>
        <w:t>Pleno</w:t>
      </w:r>
    </w:p>
    <w:p w:rsidR="0085709A" w:rsidRDefault="0085709A" w:rsidP="0085709A">
      <w:pPr>
        <w:pStyle w:val="TtuloBOE"/>
      </w:pPr>
      <w:r>
        <w:t>(BOE núm. 85, de 9 de abril de 2015)</w:t>
      </w:r>
    </w:p>
    <w:p w:rsidR="0085709A" w:rsidRDefault="0085709A" w:rsidP="0085709A">
      <w:pPr>
        <w:pStyle w:val="TextoNormalCentrado"/>
      </w:pPr>
      <w:r>
        <w:t>ECLI:ES:TC:2015:48</w:t>
      </w:r>
    </w:p>
    <w:p w:rsidR="0085709A" w:rsidRDefault="0085709A" w:rsidP="0085709A">
      <w:pPr>
        <w:pStyle w:val="TextoNormalCentrado"/>
      </w:pPr>
    </w:p>
    <w:p w:rsidR="0085709A" w:rsidRDefault="0085709A" w:rsidP="0085709A">
      <w:pPr>
        <w:pStyle w:val="SntesisDescriptiva"/>
      </w:pPr>
      <w:r>
        <w:t>Recurso de inconstitucionalidad 6045-2012. Interpuesto por la Xunta de Galicia, contra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SntesisDescriptiva"/>
      </w:pPr>
    </w:p>
    <w:p w:rsidR="0085709A" w:rsidRDefault="0085709A" w:rsidP="0085709A">
      <w:pPr>
        <w:pStyle w:val="SntesisAnaltica"/>
      </w:pPr>
      <w:r>
        <w:t>Principio de seguridad jurídica y límites a los decretos-leyes: acreditación de la concurrencia del presupuesto habilitante y de la conexión de sentido para la reforma de las medidas de fomento de la producción de energías renovables. Voto particular.</w:t>
      </w:r>
    </w:p>
    <w:p w:rsidR="0085709A" w:rsidRDefault="0085709A" w:rsidP="0085709A">
      <w:pPr>
        <w:pStyle w:val="SntesisAnaltica"/>
      </w:pPr>
    </w:p>
    <w:p w:rsidR="0085709A" w:rsidRDefault="0085709A" w:rsidP="0085709A">
      <w:pPr>
        <w:pStyle w:val="Extracto"/>
      </w:pPr>
      <w:r>
        <w:t>1.</w:t>
      </w:r>
      <w:r>
        <w:tab/>
        <w:t>La motivación de la exposición de motivos de la norma impugnada, el debate de convalidación del Decreto-ley, y la memoria de impacto normativo del Real Decreto-ley satisfacen el requisito de extraordinaria y urgente necesidad que han motivado la suspensión, mediante Real Decreto-ley, del sistema de asignación de incentivos económicos para las instalaciones de producción eléctrica de régimen especial, así como de inscripción de las mismas en el registro de pre-asignación de retribución [FJ 5].</w:t>
      </w:r>
    </w:p>
    <w:p w:rsidR="0085709A" w:rsidRDefault="0085709A" w:rsidP="0085709A">
      <w:pPr>
        <w:pStyle w:val="Extracto"/>
      </w:pPr>
    </w:p>
    <w:p w:rsidR="0085709A" w:rsidRDefault="0085709A" w:rsidP="0085709A">
      <w:pPr>
        <w:pStyle w:val="Extracto"/>
      </w:pPr>
      <w:r>
        <w:t>2.</w:t>
      </w:r>
      <w:r>
        <w:tab/>
        <w:t>Para controlar la concurrencia del presupuesto habilitante del decreto-ley (la ‘extraordinaria y urgente necesidad’),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(STC 183/2014) [FJ 6].</w:t>
      </w:r>
    </w:p>
    <w:p w:rsidR="0085709A" w:rsidRDefault="0085709A" w:rsidP="0085709A">
      <w:pPr>
        <w:pStyle w:val="Extracto"/>
      </w:pPr>
    </w:p>
    <w:p w:rsidR="0085709A" w:rsidRDefault="0085709A" w:rsidP="0085709A">
      <w:pPr>
        <w:pStyle w:val="Extracto"/>
      </w:pPr>
      <w:r>
        <w:t>3.</w:t>
      </w:r>
      <w:r>
        <w:tab/>
        <w:t>La situación a la que debían hacer frente las medidas impugnadas del Real Decreto-ley 1/2012 era la desviación de los costes del sistema eléctrico provocado por diversos factores que aparecen explicitados en la exposición de motivos o en el debate parlamentario de convalidación, factores cuya conjunción había llevado a incurrir en un déficit mayor al previsto inicialmente por el Gobierno, por lo que se ha cumplido por el Gobierno la exigencia de explicitar y razonar la existencia de una “situación de extraordinaria y urgente necesidad” (STC 183/2014) [FJ 6].</w:t>
      </w:r>
    </w:p>
    <w:p w:rsidR="0085709A" w:rsidRDefault="0085709A" w:rsidP="0085709A">
      <w:pPr>
        <w:pStyle w:val="Extracto"/>
      </w:pPr>
    </w:p>
    <w:p w:rsidR="0085709A" w:rsidRDefault="0085709A" w:rsidP="0085709A">
      <w:pPr>
        <w:pStyle w:val="Extracto"/>
      </w:pPr>
      <w:r>
        <w:t>4.</w:t>
      </w:r>
      <w:r>
        <w:tab/>
        <w:t>Aplica doctrina sobre el presupuesto habilitante de la situación de extraordinaria y urgente necesidad,</w:t>
      </w:r>
      <w:r w:rsidRPr="0085709A">
        <w:rPr>
          <w:i/>
        </w:rPr>
        <w:t xml:space="preserve"> ex</w:t>
      </w:r>
      <w:r>
        <w:t xml:space="preserve"> art. 86 CE (SSTC 6/1983, 39/2013) [FFJJ 3, 4].</w:t>
      </w:r>
    </w:p>
    <w:p w:rsidR="0085709A" w:rsidRDefault="0085709A" w:rsidP="0085709A">
      <w:pPr>
        <w:pStyle w:val="Extracto"/>
      </w:pPr>
    </w:p>
    <w:p w:rsidR="0085709A" w:rsidRDefault="0085709A" w:rsidP="0085709A">
      <w:pPr>
        <w:pStyle w:val="Extracto"/>
      </w:pPr>
      <w:r>
        <w:t>5.</w:t>
      </w:r>
      <w:r>
        <w:tab/>
        <w:t>Aplica doctrina sobre la pérdida sobrevenida de objeto en el ámbito del recurso de inconstitucionalidad como consecuencia de la pérdida de vigencia de los preceptos impugnados (SSTC 96/2014, 186/2014) [FJ 2].</w:t>
      </w:r>
    </w:p>
    <w:p w:rsidR="0085709A" w:rsidRDefault="0085709A" w:rsidP="0085709A">
      <w:pPr>
        <w:pStyle w:val="Extracto"/>
      </w:pPr>
    </w:p>
    <w:p w:rsidR="0085709A" w:rsidRDefault="0085709A" w:rsidP="0085709A">
      <w:pPr>
        <w:pStyle w:val="Extracto"/>
      </w:pPr>
      <w:r>
        <w:t>6.</w:t>
      </w:r>
      <w:r>
        <w:tab/>
        <w:t xml:space="preserve">La supresión del registro administrativo, cuya actividad suspende el Real Decreto-ley 1/2012, objeto del presente recurso de inconstitucionalidad, conduce a entender que las quejas que se imputaban a este precepto en relación con la vulneración </w:t>
      </w:r>
      <w:r>
        <w:lastRenderedPageBreak/>
        <w:t>del art. 9.3 CE han decaído, por lo que sobreviene la desaparición del objeto del recurso en este punto (STC 183/2014)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6045-2012, interpuesto por la Xunta de Galicia, contra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 Ha comparecido y formulado alegaciones el Abogado del Estado.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26 de octubre de 2012, el Letrado de la Xunta de Galicia, en nombre y representación del Gobierno de la Xunta de Galicia, presentó escrito de interposición de recurso de inconstitucionalidad contra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TextoNormal"/>
      </w:pPr>
    </w:p>
    <w:p w:rsidR="0085709A" w:rsidRDefault="0085709A" w:rsidP="0085709A">
      <w:pPr>
        <w:pStyle w:val="TextoNormal"/>
      </w:pPr>
      <w:r>
        <w:t>El Letrado de la Xunta de Galicia comienza su escrito de demanda exponiendo el contenido de la norma recurrida que establece, respecto de las instalaciones de producción de energía eléctrica en régimen especial (renovables y cogeneración) que el 28 de enero de 2012 no estuvieran inscritas en el registro de pre-asignación de retribución, así como de las instalaciones en régimen ordinario con derecho a percibir los incentivos económicos del Real Decreto 661/2007 que el 28 de enero de 2012 no dispusieran de autorización administrativa previa, las siguientes medidas:</w:t>
      </w:r>
    </w:p>
    <w:p w:rsidR="0085709A" w:rsidRDefault="0085709A" w:rsidP="0085709A">
      <w:pPr>
        <w:pStyle w:val="TextoNormal"/>
      </w:pPr>
    </w:p>
    <w:p w:rsidR="0085709A" w:rsidRDefault="0085709A" w:rsidP="0085709A">
      <w:pPr>
        <w:pStyle w:val="TextoNormal"/>
      </w:pPr>
      <w:r>
        <w:t>a) Supresión de los incentivos económicos (tarifas reguladas, primas y complementos) enunciados en los Reales Decretos 661/2007 y 1578/2008 (para fotovoltaicas).</w:t>
      </w:r>
    </w:p>
    <w:p w:rsidR="0085709A" w:rsidRDefault="0085709A" w:rsidP="0085709A">
      <w:pPr>
        <w:pStyle w:val="TextoNormal"/>
      </w:pPr>
    </w:p>
    <w:p w:rsidR="0085709A" w:rsidRDefault="0085709A" w:rsidP="0085709A">
      <w:pPr>
        <w:pStyle w:val="TextoNormal"/>
      </w:pPr>
      <w:r>
        <w:t>b) Suspensión de la tramitación del procedimiento de inscripción en el registro de pre-asignación de retribución regulado en el Real Decreto-ley 6/2009 y en el Real Decreto 1578/2008, con algunas particularidades respecto de los expedientes iniciados y, en relación con los cuales, el plazo de la administración para resolver estuviese vencido.</w:t>
      </w:r>
    </w:p>
    <w:p w:rsidR="0085709A" w:rsidRDefault="0085709A" w:rsidP="0085709A">
      <w:pPr>
        <w:pStyle w:val="TextoNormal"/>
      </w:pPr>
    </w:p>
    <w:p w:rsidR="0085709A" w:rsidRDefault="0085709A" w:rsidP="0085709A">
      <w:pPr>
        <w:pStyle w:val="TextoNormal"/>
      </w:pPr>
      <w:r>
        <w:t xml:space="preserve">Se añade que la nueva regulación ofrece a los titulares inscritos en el registro de pre-asignación la posibilidad de renunciar a la misma, con devolución de los avales depositados (arts. 59 </w:t>
      </w:r>
      <w:r w:rsidRPr="0085709A">
        <w:rPr>
          <w:i/>
        </w:rPr>
        <w:t>bis</w:t>
      </w:r>
      <w:r>
        <w:t xml:space="preserve"> y 66 </w:t>
      </w:r>
      <w:r w:rsidRPr="0085709A">
        <w:rPr>
          <w:i/>
        </w:rPr>
        <w:t>bis</w:t>
      </w:r>
      <w:r>
        <w:t xml:space="preserve"> del Real Decreto 1955/2000, de 1 de diciembre; art. 9 del Real Decreto 1578/2008, de 26 de septiembre, y art. 4.3 i del Real Decreto-ley 6/2009, de 30 de abril) en el plazo de dos meses desde la entrada en vigor del Real Decreto-ley, en caso de que no deseen ejecutar la instalación y siempre que el plazo de inscripción definitiva y venta de energía no hubiera vencido.</w:t>
      </w:r>
    </w:p>
    <w:p w:rsidR="0085709A" w:rsidRDefault="0085709A" w:rsidP="0085709A">
      <w:pPr>
        <w:pStyle w:val="TextoNormal"/>
      </w:pPr>
    </w:p>
    <w:p w:rsidR="0085709A" w:rsidRDefault="0085709A" w:rsidP="0085709A">
      <w:pPr>
        <w:pStyle w:val="TextoNormal"/>
      </w:pPr>
      <w:r>
        <w:t xml:space="preserve">Además la norma impugnada deroga el régimen establecido en el Real Decreto 661/2007 en relación con las modificaciones sustanciales de instalaciones (arts. 4.4 y 4 </w:t>
      </w:r>
      <w:r w:rsidRPr="0085709A">
        <w:rPr>
          <w:i/>
        </w:rPr>
        <w:t>bis</w:t>
      </w:r>
      <w:r>
        <w:t>), de manera tal que cualquier modificación de una instalación de régimen especial inscrita en el registro de pre-asignación podría hacerle perder su régimen económico primado, salvo que la modificación estuviera autorizada en una fecha anterior a la entrada en vigor del Real Decreto-ley recurrido en los términos regulados en el art. 4 del Real Decreto 661/2007.</w:t>
      </w:r>
    </w:p>
    <w:p w:rsidR="0085709A" w:rsidRDefault="0085709A" w:rsidP="0085709A">
      <w:pPr>
        <w:pStyle w:val="TextoNormal"/>
      </w:pPr>
    </w:p>
    <w:p w:rsidR="0085709A" w:rsidRDefault="0085709A" w:rsidP="0085709A">
      <w:pPr>
        <w:pStyle w:val="TextoNormal"/>
      </w:pPr>
      <w:r>
        <w:t>Tras exponer el contenido de la norma recurrida, el escrito de interposición del recurso de inconstitucionalidad describe el marco competencial al que afecta la aprobación de la misma, determinando que, en el presente caso, estaríamos dentro del ejercicio de la competencia sobre las bases del régimen energético enunciado en el art. 149.1.25 CE. Esta afirmación contrasta parcialmente con lo dispuesto en la disposición final primera del Real Decreto-ley 1/2012, que establece que el mismo tiene carácter básico al dictarse al amparo de las competencias que corresponden al Estado según el artículo 149.1, apartados 13 y 25 CE. Ante esta contradicción parcial, la representación procesal de la Xunta de Galicia entiende que el título a invocar por el Estado debería ser únicamente el recogido en la regla 25 del art. 149.1 CE y no en la 13, en la medida en que, siendo necesario identificar con la mayor precisión posible los títulos competenciales evitando enumeraciones extensivas, ha de atribuirse una preferencia al título competencial especial sobre el general (con cita de la STC 71/1982). A juicio de la recurrente, “no es difícil entrever que la cita de este apartado es un intento, ya habitual por parte del normador estatal —dicho sea con todo respeto—, de utilizar un título de los llamados horizontales, y por tanto de límites difusos, para cubrir donde no llega el título específico, en este caso, el del apartado 25” (con cita, en este punto, de las SSTC 125/1984, 197/1996, 45/2001 y 18/2011).</w:t>
      </w:r>
    </w:p>
    <w:p w:rsidR="0085709A" w:rsidRDefault="0085709A" w:rsidP="0085709A">
      <w:pPr>
        <w:pStyle w:val="TextoNormal"/>
      </w:pPr>
    </w:p>
    <w:p w:rsidR="0085709A" w:rsidRDefault="0085709A" w:rsidP="0085709A">
      <w:pPr>
        <w:pStyle w:val="TextoNormal"/>
      </w:pPr>
      <w:r>
        <w:t xml:space="preserve">Razonado lo anterior, y como aspecto procesal de carácter previo, el escrito de formalización hace constar que el presente recurso no se interpone por razones ligadas a la estricta materia competencial, lo que no es obstáculo a la legitimación de la Comunidad Autónoma, como se deduce de la lectura de las SSTC 68/2007 y 110/2011. En aplicación de la doctrina allí contenida, la Xunta de Galicia entiende que el Real Decreto-ley impugnado afecta de manera significativa a la competencia autonómica de desarrollo legislativo y ejecución en materia de régimen energético (art. 28.1.3 Estatuto de Autonomía de Galicia: EAG), así como a la competencia exclusiva de fomento y planificación de la actividad económica en Galicia (art. 30.1 EAG), en la medida en que el mismo limita las potestades de planificación </w:t>
      </w:r>
      <w:r>
        <w:lastRenderedPageBreak/>
        <w:t>de la actividad industrial en Galicia, estrechamente vinculadas tanto a la actividad económica como al desarrollo de la industria energética, así como a otras competencias, como la de ordenación del territorio que el art. 27.3 de esta misma norma estatutaria reconoce de manera exclusiva a la Comunidad Autónoma.</w:t>
      </w:r>
    </w:p>
    <w:p w:rsidR="0085709A" w:rsidRDefault="0085709A" w:rsidP="0085709A">
      <w:pPr>
        <w:pStyle w:val="TextoNormal"/>
      </w:pPr>
    </w:p>
    <w:p w:rsidR="0085709A" w:rsidRDefault="0085709A" w:rsidP="0085709A">
      <w:pPr>
        <w:pStyle w:val="TextoNormal"/>
      </w:pPr>
      <w:r>
        <w:t>A partir de los presupuestos procesales expuestos, el escrito de la Xunta de Galicia se estructura en torno a los dos grandes argumentos que sustentan la solicitud de declaración de inconstitucionalidad de la totalidad del Real Decreto-ley 1/2012: la inexistencia del presupuesto habilitante que contempla el art. 86 CE para acudir a la regulación mediante real decreto-ley de una materia y la lesión de los principios de seguridad jurídica y confianza legítima que se contienen en el art. 9.3 CE.</w:t>
      </w:r>
    </w:p>
    <w:p w:rsidR="0085709A" w:rsidRDefault="0085709A" w:rsidP="0085709A">
      <w:pPr>
        <w:pStyle w:val="TextoNormal"/>
      </w:pPr>
    </w:p>
    <w:p w:rsidR="0085709A" w:rsidRDefault="0085709A" w:rsidP="0085709A">
      <w:pPr>
        <w:pStyle w:val="TextoNormal"/>
      </w:pPr>
      <w:r>
        <w:t>A) En relación con el recurso a la modalidad del real decreto-ley, tras exponer la doctrina constitucional sobre el tema, con cita específica de las SSTC 29/1982, 68/2007 y 155/2005, la representación procesal de la Xunta de Galicia considera que, en este caso, existen elementos que permiten cuestionar y rechazar el ajuste del Real Decreto-ley 1/2012 a los parámetros recogidos en la Constitución Española.</w:t>
      </w:r>
    </w:p>
    <w:p w:rsidR="0085709A" w:rsidRDefault="0085709A" w:rsidP="0085709A">
      <w:pPr>
        <w:pStyle w:val="TextoNormal"/>
      </w:pPr>
    </w:p>
    <w:p w:rsidR="0085709A" w:rsidRDefault="0085709A" w:rsidP="0085709A">
      <w:pPr>
        <w:pStyle w:val="TextoNormal"/>
      </w:pPr>
      <w:r>
        <w:t>En primer lugar, entiende que no están suficientemente explicadas las razones de la necesidad de la regulación y de su inmediatez. Siendo somera la referencia de la exposición de motivos de la norma recurrida a la justificación de la urgencia, es inexistente en relación con las medidas que afectan a la producción de energía eólica. Especifica el recurso que, “en el único párrafo dedicado en la exposición de motivos a justificar la necesidad de la urgencia, se cita como causa de la misma la problemática referida a la energía fotovoltaica. Luego, y en un plano no tan preminente, se alude a un presunto efecto llamada en relación con otras tecnologías, entre las que no está, tampoco, la eólica”. Por lo tanto, y en el decir del recurrente, la energía eólica no se encuentra en la referencia principal para justificar la urgencia, ni en la secundaria o derivada, referida como efecto llamada. En esta misma línea de razonamiento se afirma que, en el debate de convalidación parlamentaria del Real Decreto-ley, tampoco se realiza referencia alguna a la necesidad de utilización, por razones de urgencia, de esta norma.</w:t>
      </w:r>
    </w:p>
    <w:p w:rsidR="0085709A" w:rsidRDefault="0085709A" w:rsidP="0085709A">
      <w:pPr>
        <w:pStyle w:val="TextoNormal"/>
      </w:pPr>
    </w:p>
    <w:p w:rsidR="0085709A" w:rsidRDefault="0085709A" w:rsidP="0085709A">
      <w:pPr>
        <w:pStyle w:val="TextoNormal"/>
      </w:pPr>
      <w:r>
        <w:t>De los anteriores argumentos, se extrae la conclusión de que, en relación con la energía eólica, no existe la más mínima justificación de la existencia de los parámetros que, según el art. 86 CE, son imprescindibles para asegurar la legitimidad constitucional de un real decreto-ley. También se afirma en el escrito de la Xunta que existen datos que ponen en duda que la única vía posible de regulación fuera el recurso al real decreto-ley, en la medida en que el problema del déficit tarifario era de sobra conocido, la medida impuesta no lo va a atajar por sí sola y, al ser una norma con vocación de temporalidad en un momento dado, hubiera sido necesario fijar el marco normativo pro-futuro de las medidas económicas que acompañarán al fomento de las energías renovables, lo que quizás podría haberse hecho ya, en el caso de haberse optado por abordar la regulación mediante el procedimiento legislativo ordinario.</w:t>
      </w:r>
    </w:p>
    <w:p w:rsidR="0085709A" w:rsidRDefault="0085709A" w:rsidP="0085709A">
      <w:pPr>
        <w:pStyle w:val="TextoNormal"/>
      </w:pPr>
    </w:p>
    <w:p w:rsidR="0085709A" w:rsidRDefault="0085709A" w:rsidP="0085709A">
      <w:pPr>
        <w:pStyle w:val="TextoNormal"/>
      </w:pPr>
      <w:r>
        <w:t xml:space="preserve">Adicionalmente se afirma que, no sólo no está explicitada la extraordinaria y urgente necesidad para acudir al real decreto-ley, sino que el presupuesto habilitante sencillamente no existía y, en particular, no existía en relación con la energía eólica. Una vez recordados </w:t>
      </w:r>
      <w:r>
        <w:lastRenderedPageBreak/>
        <w:t>los requisitos que la jurisprudencia constitucional vincula al reconocimiento de la concurrencia de la extraordinaria y urgente necesidad (con cita de la STC 29/1982), se desarrollan tres argumentos principales:</w:t>
      </w:r>
    </w:p>
    <w:p w:rsidR="0085709A" w:rsidRDefault="0085709A" w:rsidP="0085709A">
      <w:pPr>
        <w:pStyle w:val="TextoNormal"/>
      </w:pPr>
    </w:p>
    <w:p w:rsidR="0085709A" w:rsidRDefault="0085709A" w:rsidP="0085709A">
      <w:pPr>
        <w:pStyle w:val="TextoNormal"/>
      </w:pPr>
      <w:r>
        <w:t>a) La norma recurrida no establece un nuevo régimen económico para las energías renovables, limitándose a suprimir el existente para las nuevas generadoras y suspenderlo para las que están en tramitación, lo que resulta incompatible con el régimen de la regulación por real decreto-ley a juzgar por lo dispuesto en el fundamento jurídico 6 de la STC 29/1982, que establece que “las razones de extraordinaria y urgente necesidad, que excepcionalmente pueden habilitar al Gobierno, como ha quedado establecido, para abordar el tratamiento innovativo de determinadas materias reguladas por ley formal, no amparan bajo ningún punto de vista la inclusión de un precepto exclusivamente deslegalizador, que remite al futuro la regulación de la materia deslegalizada, máxime cuando no se fija un plazo perentorio para dictar tal regulación, que habría de ser inferior al necesario para tramitar la deslegalización como proyecto de ley por el procedimiento de urgencia”.</w:t>
      </w:r>
    </w:p>
    <w:p w:rsidR="0085709A" w:rsidRDefault="0085709A" w:rsidP="0085709A">
      <w:pPr>
        <w:pStyle w:val="TextoNormal"/>
      </w:pPr>
    </w:p>
    <w:p w:rsidR="0085709A" w:rsidRDefault="0085709A" w:rsidP="0085709A">
      <w:pPr>
        <w:pStyle w:val="TextoNormal"/>
      </w:pPr>
      <w:r>
        <w:t>b) El Real Decreto-ley 1/2012 no responde al requisito de necesidad de la regulación. Si la justificación de la norma se sitúa en la existencia del déficit tarifario del sistema eléctrico, la necesidad de la misma no concurre, porque las compensaciones a las energías renovables no han sido las únicas culpables del déficit, como prueba el informe anexo al escrito de interposición del recurso que aporta la Xunta de Galicia. Dicho de otro modo, no siendo el modelo de primas a las renovables el único culpable del déficit tarifario, no se puede verificar que, actuando sólo sobre aquellas, el déficit vaya a desaparecer, habida cuenta de que prácticamente todos los costes del sistema han aumentado desde el año 2005. En este contexto se afirma que la energía eólica no es la principal causante del problema del déficit de tarifa, como demostraría también el informe técnico que se adjunta. Además las medidas adoptadas pueden poner en peligro compromisos jurídicos del Estado relacionados con la apuesta por las energías renovables y derivados de la Directiva 2009/28/CE, de 23 de abril, que fijó para España el objetivo de conseguir que en el año 2020 el 20 por 100 del consumo final bruto de energía proceda de fuentes renovables y un 10 por 100 de la energía consumida en el trasporte provenga de fuentes renovables. Entiende la Xunta de Galicia, haciendo suyas las conclusiones del informe técnico que acompaña a su escrito de interposición del recurso de inconstitucionalidad, que “el Real Decreto-ley 1/2012 introduce inestabilidad regulatoria y genera desconfianza en los agentes inversores, lo que dificultará que nuestro país pueda alcanzar los objetivos fijados por la UE en las distintas Directivas en vigor y en el Plan de Energías Renovables 2011-2020”.</w:t>
      </w:r>
    </w:p>
    <w:p w:rsidR="0085709A" w:rsidRDefault="0085709A" w:rsidP="0085709A">
      <w:pPr>
        <w:pStyle w:val="TextoNormal"/>
      </w:pPr>
    </w:p>
    <w:p w:rsidR="0085709A" w:rsidRDefault="0085709A" w:rsidP="0085709A">
      <w:pPr>
        <w:pStyle w:val="TextoNormal"/>
      </w:pPr>
      <w:r>
        <w:t>c) Dicho esto, entiende la recurrente que, por lo demás, no concurre la existencia de la condición de extraordinaria necesidad, en la medida en que el déficit de tarifa no era algo imprevisto, sino un problema conocido desde hacía años y que había motivado desde finales del año 2002 la adopción de distintas medidas —todas ellas referidas en el recurso— para corregirlo.</w:t>
      </w:r>
    </w:p>
    <w:p w:rsidR="0085709A" w:rsidRDefault="0085709A" w:rsidP="0085709A">
      <w:pPr>
        <w:pStyle w:val="TextoNormal"/>
      </w:pPr>
    </w:p>
    <w:p w:rsidR="0085709A" w:rsidRDefault="0085709A" w:rsidP="0085709A">
      <w:pPr>
        <w:pStyle w:val="TextoNormal"/>
      </w:pPr>
      <w:r>
        <w:t xml:space="preserve">B) Concluida la exposición de los argumentos relativos a la inconstitucionalidad de la norma por quebrantamiento de los límites derivados del art. 86 CE, la recurrente entra en el examen de las razones que sustentan la invocación del art. 9.3 CE. Se entiende por parte de la Xunta que el principio de seguridad jurídica tiene una vertiente objetiva, relativa a la certeza del derecho, y otra vertiente subjetiva, relativa a la previsibilidad de los efectos de </w:t>
      </w:r>
      <w:r>
        <w:lastRenderedPageBreak/>
        <w:t>su aplicación por los poderes públicos, siendo un valor constitucional asegurar la protección de la confianza de los ciudadanos, que ajustan su conducta económica a la legislación vigente, frente a cambios normativos que no sean razonablemente previsibles (STC 182/1997). A juicio de la recurrente, el Real Decreto-ley ha dejado en la indefinición el régimen económico de los incentivos a las energías renovables por un tiempo indefinido, de modo que el grado de incertidumbre que esta medida genera impide el ejercicio de cualquier actividad de planificación necesaria para una adecuada instrumentación de la ejecución de la política energética en el territorio gallego en el ejercicio de las competencias propias de la Xunta, y para los operadores privados que apuestan por las energías renovables.</w:t>
      </w:r>
    </w:p>
    <w:p w:rsidR="0085709A" w:rsidRDefault="0085709A" w:rsidP="0085709A">
      <w:pPr>
        <w:pStyle w:val="TextoNormal"/>
      </w:pPr>
    </w:p>
    <w:p w:rsidR="0085709A" w:rsidRDefault="0085709A" w:rsidP="0085709A">
      <w:pPr>
        <w:pStyle w:val="TextoNormal"/>
      </w:pPr>
      <w:r>
        <w:t xml:space="preserve">En la medida en que no era previsible la eliminación sorpresiva y </w:t>
      </w:r>
      <w:r w:rsidRPr="0085709A">
        <w:rPr>
          <w:i/>
        </w:rPr>
        <w:t>sine die</w:t>
      </w:r>
      <w:r>
        <w:t xml:space="preserve"> de todos los incentivos económicos a las energías renovables, sin el surgimiento en paralelo de otro régimen económico en su sustitución, no se respeta el principio de confianza legítima. Entienden los recurrentes que la Ley 54/1997, del sector  eléctrico, proyecta el mandato implícito en toda su regulación y explícito en preceptos como el art. 30, a tenor del cual la producción de energía renovable o de régimen especial se vincula a la percepción de una prima por parte del productor. Así pues, las Comunidades Autónomas y los entes privados definieron sus actuaciones en virtud de lo dispuesto en la Ley 54/1997 y en el Real Decreto-ley 6/2009, entendiendo que existiría un régimen económico de apoyo a las energías renovables, habiendo venido el Real Decreto-ley 1/2012 a quebrar los principios de confianza legítima y de seguridad jurídica. Además, y siempre según el Letrado de la Xunta de Galicia, la norma recurrida abre la puerta en los arts. 3.3 y 4.4 a que haya excepciones por vía reglamentaria al régimen en ella previsto, lo que supone una vulneración del principio de legalidad (art. 9.3 CE), porque se remite en blanco a una decisión del Ejecutivo para excepcionar lo que recoge el Real Decreto-ley.</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13 de noviembre de 2012, el Pleno acordó admitir a trámite el recurso de inconstitucionalidad, dar traslado de la demanda y documentos presentados, conforme establece el art. 34 de la Ley Orgánica del Tribunal Constitucional (LOTC), al Congreso de los Diputados, al Senado y al Gobierno al objeto de que en el plazo de quince días puedan personarse en el proceso y formular alegaciones. Por último, se adoptó la decisión de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Con fecha de 19 de noviembre de 2012, el Abogado del Estado comparece en el proceso en la representación que legalmente ostenta y solicita del Tribunal que se le tenga por personado en el recurso de inconstitucionalidad, al tiempo que resuelva concederle una prórroga del plazo establecido para formular sus alegaciones.</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mediante diligencia de ordenación de 20 de noviembre de 2012, acordó tener por personada a la representación del Gobierno y prorrogar en ocho días el plazo en su día concedido para presentar sus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El día 20 de noviembre se registró en el Tribunal escrito del Presidente del Congreso de los Diputados en el que se comunicaba que dicha Cámara se daba por personada en el procedimiento y por ofrecida su colaboración a los efectos del art. 88.1 LOTC. En idénticos términos se manifiesta el escrito del Presidente del Senado, de 27 de noviembre de 2012, registrado en el Tribunal Constitucional el 28 de noviembre.</w:t>
      </w:r>
    </w:p>
    <w:p w:rsidR="0085709A" w:rsidRDefault="0085709A" w:rsidP="0085709A">
      <w:pPr>
        <w:pStyle w:val="TextoNormal"/>
      </w:pPr>
    </w:p>
    <w:p w:rsidR="0085709A" w:rsidRDefault="0085709A" w:rsidP="0085709A">
      <w:pPr>
        <w:pStyle w:val="TextoNormal"/>
      </w:pPr>
      <w:r w:rsidRPr="0085709A">
        <w:rPr>
          <w:rStyle w:val="NumeroAFNegritaCaracter"/>
        </w:rPr>
        <w:t>6</w:t>
      </w:r>
      <w:r>
        <w:t>. El escrito de alegaciones del Abogado del Estado, interesando la desestimación del recurso de inconstitucionalidad planteado por la Xunta de Galicia, tiene entrada en el Tribunal el día 20 de diciembre de 2012. La Abogacía del Estado, presentado el objeto del recurso de inconstitucionalidad y descrito el marco competencial, en el que se hace especial hincapié en que el título estatal prevalente es el recogido en el artículo 149.1.13 CE (con cita de las SSTC 18/2011 y 148/2011), da respuesta a las impugnaciones relativas a la infracción del art. 86 CE.</w:t>
      </w:r>
    </w:p>
    <w:p w:rsidR="0085709A" w:rsidRDefault="0085709A" w:rsidP="0085709A">
      <w:pPr>
        <w:pStyle w:val="TextoNormal"/>
      </w:pPr>
    </w:p>
    <w:p w:rsidR="0085709A" w:rsidRDefault="0085709A" w:rsidP="0085709A">
      <w:pPr>
        <w:pStyle w:val="TextoNormal"/>
      </w:pPr>
      <w:r>
        <w:t>En primer lugar, sostiene que los motivos de urgencia que legitiman la utilización del real decreto-ley han sido adecuadamente expuestos por los órganos políticos y, además, justifican la decisión de acudir al decreto ley. Ante todo por cuanto, en el marco de la crisis económica, de la que dan fe distintos informes del Banco de España (años 2008 a 2011), que se citan, el déficit tarifario del sistema eléctrico al que se refiere la exposición de motivos del Real Decreto-ley 1/2012 se constituye en un problema que afecta a la sostenibilidad económica del sistema. Asimismo se afirma que las primas de régimen especial que pretende limitar el Real Decreto-ley 1/2012 no son ajenas a la gravedad del incremento del déficit tarifario o déficit estructural de ingresos de actividades reguladas, que aumenta exponencialmente desde el año 2004.</w:t>
      </w:r>
    </w:p>
    <w:p w:rsidR="0085709A" w:rsidRDefault="0085709A" w:rsidP="0085709A">
      <w:pPr>
        <w:pStyle w:val="TextoNormal"/>
      </w:pPr>
    </w:p>
    <w:p w:rsidR="0085709A" w:rsidRDefault="0085709A" w:rsidP="0085709A">
      <w:pPr>
        <w:pStyle w:val="TextoNormal"/>
      </w:pPr>
      <w:r>
        <w:t>En este contexto, el Abogado del Estado asume que la urgencia de la medida se justifica en la exposición de motivos del Real Decreto-ley al afirmarse que “en este momento se encuentran pendientes de resolución las cuatro convocatorias de pre-asignación fotovoltaica correspondientes al año 2012, por una potencia cercana a los 550 MW. En efecto, la inevitable dilación en el tiempo de la adopción de esta medida que supondría su tramitación por el cauce normativo ordinario determinaría, inevitablemente, la entrada en el sistema de 550 MW fotovoltaicos adicionales y el riesgo de un efecto llamada para aquellas tecnologías cuyos objetivos no han sido cubiertos: Cogeneración, biomasa, biogás, hidráulica y residuos”. Las anteriores afirmaciones se completan con la alegación de la existencia de un fuerte desequilibrio entre oferta y demanda de energía, habiendo sido superados con creces los objetivos del Plan de energías renovables 2005-2010, de modo que es apreciable un exceso de potencia instalada, lo que incide negativamente en el incremento del déficit porque las previsiones de costes, en parte asociadas al sistema de primas, no quedan cubiertas con los ingresos previstos, lo que frena el ritmo de crecimiento de la acumulación de ese déficit, contribuyendo a dar solución al déficit que ya se ha venido acopiando. El informe de la Comisión Nacional de Energía, que igualmente se cita, estima que, de no haberse adoptado medida alguna, hubiera sido necesario incrementar los peajes (precio de la electricidad) en torno a un 10 por 100 entre el año 2012 y el 2015, lo cual sería difícilmente sostenible para los consumidores y no financiaría la totalidad del déficit acumulado.</w:t>
      </w:r>
    </w:p>
    <w:p w:rsidR="0085709A" w:rsidRDefault="0085709A" w:rsidP="0085709A">
      <w:pPr>
        <w:pStyle w:val="TextoNormal"/>
      </w:pPr>
    </w:p>
    <w:p w:rsidR="0085709A" w:rsidRDefault="0085709A" w:rsidP="0085709A">
      <w:pPr>
        <w:pStyle w:val="TextoNormal"/>
      </w:pPr>
      <w:r>
        <w:t xml:space="preserve">A partir de las dos ideas expuestas, la Abogacía del Estado contesta a los argumentos de la demanda afirmando que la justificación que se da sobre la situación de urgencia apreciada es suficiente; que el Real Decreto-ley 1/2012 no adopta medidas desreguladoras en el sentido de lo invocado por el recurso de la Xunta, quedando dentro de los márgenes descritos en la jurisprudencia constitucional, particularmente en la STC 1/2012, pues impone una innovación normativa de efectos inmediatos al suspender los procedimientos de inscripción en el correspondiente régimen, que estuvieran en curso a la entrada en vigor de la norma de </w:t>
      </w:r>
      <w:r>
        <w:lastRenderedPageBreak/>
        <w:t>urgencia, y al suprimir las primas de forma tan inminente como permite el respeto a la confianza legítima de quienes ya hubieran obtenido la autorización para operar en el régimen especial correspondiente; que la previsibilidad del déficit tarifario en nada obsta a la adopción de la medida porque concurría una evidente urgencia (con cita de los AATC 179/2011, de 13 de diciembre, FJ 6; y 35/2012, de 14 de febrero, FJ 3), siendo así que además no resultaba previsible el crecimiento de la deuda acumulada tras la adopción de las medidas de los años 2009 y 2010; que la supresión del régimen primado, contra lo que afirma la Xunta de Galicia, tiene una incidencia relevante en la progresiva eliminación del déficit tarifario, sin perjuicio de que otras medidas también hubieran podido coadyuvar a la reducción del mismo; y que sí hay una concreta justificación de la concurrencia del presupuesto habilitante en relación con la energía eólica, dado que existía un exceso de instalación sobre los objetivos programados y esa energía también tenía una incidencia en los sobrecostes que habían causado el déficit tarifario. En relación con esta última cuestión, el Abogado del Estado reconoce que, aunque ya en el momento de la entrada en vigor del Real Decreto-ley 1/2012, las nuevas instalaciones eólicas no tenían derecho a la percepción de prima alguna como resultado de la aplicación de la disposición transitoria quinta del Real Decreto-ley 6/2009, de 30 de abril, esta energía no se excluye por puras razones sistemáticas del ámbito de aplicación de la norma impugnada por lo que, en cualquier caso, lo que la demanda reprocharía aquí a la norma impugnada es que haya omitido una cláusula que expresamente exceptuara de su ámbito de aplicación a las instalaciones eólicas, lo que devendría en una inconstitucionalidad por omisión cuyo ámbito de reconocimiento es limitado por el Tribunal Constitucional y no concurriría aquí (con cita del ATC 433/2005, de 13 de diciembre).</w:t>
      </w:r>
    </w:p>
    <w:p w:rsidR="0085709A" w:rsidRDefault="0085709A" w:rsidP="0085709A">
      <w:pPr>
        <w:pStyle w:val="TextoNormal"/>
      </w:pPr>
    </w:p>
    <w:p w:rsidR="0085709A" w:rsidRDefault="0085709A" w:rsidP="0085709A">
      <w:pPr>
        <w:pStyle w:val="TextoNormal"/>
      </w:pPr>
      <w:r>
        <w:t xml:space="preserve">La Abogacía del Estado responde, por último, a las impugnaciones relacionadas con la vulneración del principio de seguridad jurídica, agrupando esas respuestas en torno a las cuestiones de la retroactividad, por un lado, y la seguridad jurídica y confianza legítima por otro. Respecto de la interdicción de la arbitrariedad contenida en el art. 9.3 CE, se invoca la jurisprudencia constitucional que manifiesta que esta prohibición se refiere a las limitaciones introducidas en el ámbito de los derechos fundamentales y de las libertades públicas, o en la esfera general de la protección de las personas (con cita de las SSTC 90/2009, de 20 de abril, FJ 4; y 100/2012, de 8 de mayo, FJ 10), con lo que no resultaría de aplicación a una norma que aspira simplemente a suprimir las primas o ayudas a determinadas instalaciones de generación eléctrica y que, por tanto, no tiene carácter sancionador, ni limita o restringe la esfera de libertades o derechos del título I de la Constitución. A este argumento se añade que el Tribunal (con cita de las SSTC 227/1988, de 29 de noviembre; 182/1997, de 28 de octubre, FJ 11 d); 234/2001, de 13 diciembre, FJ 8; 112/2006, de 5 de abril, FJ 17; y 100/2012, de 8 mayo, FJ 10) también ha declarado repetidamente que la retroactividad que el artículo 9.3 CE prohíbe es la “auténtica o de grado máximo”, mientras que por el contrario la “retroactividad impropia o de grado medio”, definida como la incidencia en “situaciones jurídicas actuales aún no concluidas”, no estaría sujeta a la prohibición, aunque sí podría tener relevancia constitucional desde la perspectiva de la protección de la seguridad jurídica. En este sentido, y en la medida en que el Real Decreto-ley 1/2012 sólo incide en los proyectos de instalación que todavía no han ingresado en el régimen especial primado por no haber sido inscritos en el registro de pre-asignación de retribución (art. 4.1 Real Decreto-ley 6/2009 o art. 4.1 del Real Decreto 1578/2008) y a las de régimen ordinario que a la entrada en vigor del Real Decreto-ley no dispusieran de autorización administrativa, la disposición impugnada no produce ningún tipo de retroactividad, ni propia ni impropia, en cuanto que sólo rige respecto de relaciones jurídicas que todavía no han nacido, no afectando </w:t>
      </w:r>
      <w:r>
        <w:lastRenderedPageBreak/>
        <w:t>a ningún derecho consolidado, asumido e integrado en el patrimonio del destinatario de la norma, sino en su caso a derechos futuros o esperados.</w:t>
      </w:r>
    </w:p>
    <w:p w:rsidR="0085709A" w:rsidRDefault="0085709A" w:rsidP="0085709A">
      <w:pPr>
        <w:pStyle w:val="TextoNormal"/>
      </w:pPr>
    </w:p>
    <w:p w:rsidR="0085709A" w:rsidRDefault="0085709A" w:rsidP="0085709A">
      <w:pPr>
        <w:pStyle w:val="TextoNormal"/>
      </w:pPr>
      <w:r>
        <w:t>Para dar respuesta a los argumentos del recurso de la Xunta de Galicia relativos a la seguridad jurídica en su proyección sobre la confianza legítima, el Abogado del Estado parte de que el Real Decreto-ley 1/2012 no establece ni siquiera una retroactividad impropia, por lo que tampoco puede plantear problema alguno de constitucionalidad desde la perspectiva de la seguridad jurídica o desde la confianza legítima. Respecto del reproche que el Abogado del Estado interpreta como relativo a la infracción de la seguridad jurídica, en su vertiente objetiva de certeza del derecho, se trae a colación la STC 37/2012, de 19 de marzo, cuyo fundamento jurídico 8 sintetiza la doctrina constitucional sobre la vertiente objetiva del principio de seguridad jurídica, señalando que “ha de entenderse como la certeza sobre el ordenamiento jurídico aplicable y los intereses jurídicamente tutelados, procurando ‘la claridad y no la confusión normativa’ (STC 46/1990, de 15 de marzo, F. 4), así como ‘la expectativa razonablemente fundada del ciudadano en cuál ha de ser la actuación del poder en la aplicación del Derecho’ (STC 36/1991, de 14 de febrero, F. 5). De este modo, sólo si el contenido o las omisiones de una norma (teniendo en cuenta las reglas de interpretación admisibles en Derecho)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 (SSTC 150/1990, de 4 de octubre, F. 8; 142/1993, de 22 de abril, F. 4; 212/1996, de 19 de diciembre, F. 15; y 96/2002, de 25 de abril, F. 5, por todas)”. En este sentido, la Abogacía del Estado afirma que la norma impugnada no lleva aparejada ninguna duda en sus destinatarios sobre su ámbito de aplicación, presupuesto de hecho al que es aplicable y consecuencias jurídicas, existiendo, por tanto, una perfecta predeterminación de todos los elementos nucleares de la norma.</w:t>
      </w:r>
    </w:p>
    <w:p w:rsidR="0085709A" w:rsidRDefault="0085709A" w:rsidP="0085709A">
      <w:pPr>
        <w:pStyle w:val="TextoNormal"/>
      </w:pPr>
    </w:p>
    <w:p w:rsidR="0085709A" w:rsidRDefault="0085709A" w:rsidP="0085709A">
      <w:pPr>
        <w:pStyle w:val="TextoNormal"/>
      </w:pPr>
      <w:r>
        <w:t>El Abogado del Estado reconoce que, efectivamente, el Real Decreto-ley estatuye una facultad discrecional conferida al Gobierno para restablecer la inscripción en el Registro, lo que supone que, si las circunstancias cambiaran en el sector energético, la autoridad competente podrá introducir nuevas primas; pero afirma también que esto sería así aunque nada dijera el artículo 4.4 del Real Decreto-ley 1/2012, y que este precepto no supone una remisión en blanco al reglamento, porque las exigencias de predeterminación legal sólo operan en aquellas materias respecto de las que existe una reserva material de ley, no existiendo tal reserva en este caso.</w:t>
      </w:r>
    </w:p>
    <w:p w:rsidR="0085709A" w:rsidRDefault="0085709A" w:rsidP="0085709A">
      <w:pPr>
        <w:pStyle w:val="TextoNormal"/>
      </w:pPr>
    </w:p>
    <w:p w:rsidR="0085709A" w:rsidRDefault="0085709A" w:rsidP="0085709A">
      <w:pPr>
        <w:pStyle w:val="TextoNormal"/>
      </w:pPr>
      <w:r w:rsidRPr="0085709A">
        <w:rPr>
          <w:rStyle w:val="NumeroAFNegritaCaracter"/>
        </w:rPr>
        <w:t>7</w:t>
      </w:r>
      <w:r>
        <w:t>. El Pleno del Tribunal Constitucional, mediante diligencia de 15 de enero de 2013, tras haber examinado el escrito de 26 diciembre 2012 presentado por el letrado don Rubén Labella Sobreval, en nombre y representación de la Asociación Nacional de Municipios con Instalaciones de Energías Renovables “ANMER”, en el que solicita se le tenga por comparecido y parte adquirida en el presente procedimiento, acuerda no haber lugar a dicha solicitud, al no estar dicha asociación legitimada para ser parte en el recurso de inconstitucionalidad conforme establecen los arts. 162.1 CE y 32 LOTC, y ha sostenido una reiterada doctrina de este Tribunal (entre otros AATC 172/1995, de 6 de junio, 175/2004, de 11 de mayo, y 248/2008, de 24 de julio).</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3 de marzo de 2015, se señaló para deliberación y votación del presente recurso de inconstitucionalidad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órgano de gobierno de la Xunta de Galicia ha interpuesto recurso de inconstitucionalidad contra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 El recurrente considera que esta disposición incurre en inconstitucionalidad, de un lado, por infracción del art. 86.1 CE, al entender que ni se justifica la existencia, ni la misma comparece, del presupuesto habilitante que contempla el citado precepto constitucional para acudir a la regulación mediante real decreto-ley de una materia y, de otro lado, porque existe una lesión manifiesta del principio de seguridad jurídica contenido en el art. 9.3 CE, en su vertiente de principio de confianza legítima.</w:t>
      </w:r>
    </w:p>
    <w:p w:rsidR="0085709A" w:rsidRDefault="0085709A" w:rsidP="0085709A">
      <w:pPr>
        <w:pStyle w:val="TextoNormal"/>
      </w:pPr>
    </w:p>
    <w:p w:rsidR="0085709A" w:rsidRDefault="0085709A" w:rsidP="0085709A">
      <w:pPr>
        <w:pStyle w:val="TextoNormal"/>
      </w:pPr>
      <w:r>
        <w:t>El Abogado del Estado solicita la desestimación del recurso de inconstitucionalidad por considerar que la disposición impugnada ni ha vulnerado el art. 86.1 CE, al concurrir el presupuesto habilitante y haberse manifestado adecuadamente su concurrencia por el Gobierno, ni ha lesionado la confianza legítima de los destinatarios de la norma, habiéndose respetado, por tanto, de manera suficiente las exigencias de seguridad jurídica que se derivan del art. 9.3 CE, al no afectar la norma a ningún derecho consolidado al cobro de primas, sino a meras expectativas de derecho.</w:t>
      </w:r>
    </w:p>
    <w:p w:rsidR="0085709A" w:rsidRDefault="0085709A" w:rsidP="0085709A">
      <w:pPr>
        <w:pStyle w:val="TextoNormal"/>
      </w:pPr>
    </w:p>
    <w:p w:rsidR="0085709A" w:rsidRDefault="0085709A" w:rsidP="0085709A">
      <w:pPr>
        <w:pStyle w:val="TextoNormal"/>
      </w:pPr>
      <w:r>
        <w:t>La norma impugnada, que lo es en su totalidad, suprime los incentivos económicos para las nuevas instalaciones de producción de energía eléctrica en régimen especial y para las nuevas instalaciones en régimen ordinario de tecnologías asimilables a las incluidas en el régimen especial (art. 1.1 del Real Decreto-ley 1/2012), y suspende los procedimientos de pre-asignación de retribución para el otorgamiento del régimen económico primado, estableciendo en el art. 2.2 algunas particularidades en relación con los procedimientos de inscripción no conclusos, por silencio administrativo y en relación con las instalaciones no realizadas a la fecha de entrada en vigor del Real Decreto-ley.</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en el enjuiciamiento de los motivos del recurso planteado por la Xunta de Galicia, procede realizar algunas observaciones sobre el objeto del mismo, para analizar en qué medida podría afectar a su pervivencia la aprobación de distintas disposiciones normativas que, tras la entrada en vigor del Real Decreto-ley 1/2012, se han referido también al régimen primado de instalaciones de producción de energía eléctrica a partir de cogeneración, fuentes de energía renovables y residuos, en particular la nueva Ley 24/2013, del sector eléctrico. Se trata de las siguientes seis normas, todas ellas con rango legal:</w:t>
      </w:r>
    </w:p>
    <w:p w:rsidR="0085709A" w:rsidRDefault="0085709A" w:rsidP="0085709A">
      <w:pPr>
        <w:pStyle w:val="TextoNormal"/>
      </w:pPr>
    </w:p>
    <w:p w:rsidR="0085709A" w:rsidRDefault="0085709A" w:rsidP="0085709A">
      <w:pPr>
        <w:pStyle w:val="TextoNormal"/>
      </w:pPr>
      <w:r>
        <w:t xml:space="preserve">a) La Ley 15/2012, de 27 de diciembre, de medidas fiscales para la sostenibilidad energética, que modifica la Ley 54/1997, del sector eléctrico, añadiendo un apartado 7 al art. 30, en aspectos relacionados con el derecho a la percepción de un régimen económico primado por instalaciones de energía renovable que utilicen combustibles. En concreto, la disposición final primera de la Ley excluye del sistema primado, con algunas salvedades que no hace al caso mencionar, la energía eléctrica imputable a la “utilización de un combustible </w:t>
      </w:r>
      <w:r>
        <w:lastRenderedPageBreak/>
        <w:t>en una instalación de generación que utilice como energía primaria alguna de las energías renovables no consumibles”.</w:t>
      </w:r>
    </w:p>
    <w:p w:rsidR="0085709A" w:rsidRDefault="0085709A" w:rsidP="0085709A">
      <w:pPr>
        <w:pStyle w:val="TextoNormal"/>
      </w:pPr>
    </w:p>
    <w:p w:rsidR="0085709A" w:rsidRDefault="0085709A" w:rsidP="0085709A">
      <w:pPr>
        <w:pStyle w:val="TextoNormal"/>
      </w:pPr>
      <w:r>
        <w:t>b) La ley 17/2012, de 27 de diciembre, de presupuestos generales del Estado para el año 2013, que establece una serie de aportaciones para financiar los costes del sistema eléctrico referidos al fomento de energías renovables.</w:t>
      </w:r>
    </w:p>
    <w:p w:rsidR="0085709A" w:rsidRDefault="0085709A" w:rsidP="0085709A">
      <w:pPr>
        <w:pStyle w:val="TextoNormal"/>
      </w:pPr>
    </w:p>
    <w:p w:rsidR="0085709A" w:rsidRDefault="0085709A" w:rsidP="0085709A">
      <w:pPr>
        <w:pStyle w:val="TextoNormal"/>
      </w:pPr>
      <w:r>
        <w:t>c) El Real Decreto-ley 2/2013, de 1 de febrero, que modifica el Real Decreto 661/2007, de 25 de mayo, por el que se regula la actividad de producción de energía eléctrica en régimen especial, con objeto de garantizar una “rentabilidad razonable” para estas instalaciones y evitar, al mismo tiempo, un suplemento de retribución de las mismas que recaería sobre los demás sujetos eléctricos. Entre otras medidas, la presente norma de urgencia introduce la noción de rentabilidad razonable, que posteriormente asumirá la Ley 24/2013; prevé la eliminación de la prima prevista en la normativa del sector eléctrico para aquellas instalaciones de régimen especial que vendan la energía producida en el mercado (art. 2); suprime la posibilidad de acogerse al cambio de opción previsto en el apartado 4 del artículo 24 del Real Decreto 661/2007 para las instalaciones que vendan la energía producida en el mercado (art. 3); sustituye el índice de actualización de la retribución de las actividades del sector eléctrico (art. 1), y extingue el cambio de opción para las instalaciones de régimen especial acogidas a la opción de venta a mercado (disposición adicional única).</w:t>
      </w:r>
    </w:p>
    <w:p w:rsidR="0085709A" w:rsidRDefault="0085709A" w:rsidP="0085709A">
      <w:pPr>
        <w:pStyle w:val="TextoNormal"/>
      </w:pPr>
    </w:p>
    <w:p w:rsidR="0085709A" w:rsidRDefault="0085709A" w:rsidP="0085709A">
      <w:pPr>
        <w:pStyle w:val="TextoNormal"/>
      </w:pPr>
      <w:r>
        <w:t>d) El Real Decreto-ley 9/2013, de 12 de julio, por el que se adoptan medidas urgentes para garantizar la estabilidad financiera del sistema eléctrico, que cambia el artículo 30.4 de la Ley 54/1997, del sector eléctrico, a fin de habilitar al Gobierno para que apruebe un nuevo régimen jurídico y económico para las instalaciones de producción de energía eléctrica existentes a partir de fuentes de energía renovable, cogeneración y residuos, introduciendo a su vez algunos principios concretos sobre los que se articulará dicho régimen basado en la percepción de ingresos derivados de la participación en el mercado, con una retribución adicional que cubra los costes de inversión que una empresa eficiente y bien gestionada no recupere en el mercado. Además, deroga el art. 4 del Real Decreto-ley 6/2009, de 30 de abril, que se encontraba en suspenso por la aplicación del Real Decreto-ley 1/2012 (art. 4.1). Este precepto, como hemos visto previamente, contempla el mecanismo de registro de pre-asignación de retribución para las instalaciones del régimen especial, con lo que la entrada en vigor del Real Decreto-ley 9/2013, sencillamente, convierte en definitiva la suspensión del procedimiento, al derogar el precepto que lo prevé. Como efecto consecutivo, hace inviable la eventual aplicación de lo dispuesto en el art. 4.4 del Real Decreto-ley 1/2012, que preveía que, “sin perjuicio de lo previsto en los apartados 1 y 2 de este artículo, el Gobierno podrá restablecer reglamentariamente la inscripción en el Registro de preasignación de retribución cuando el contexto energético así lo requiera”.</w:t>
      </w:r>
    </w:p>
    <w:p w:rsidR="0085709A" w:rsidRDefault="0085709A" w:rsidP="0085709A">
      <w:pPr>
        <w:pStyle w:val="TextoNormal"/>
      </w:pPr>
    </w:p>
    <w:p w:rsidR="0085709A" w:rsidRDefault="0085709A" w:rsidP="0085709A">
      <w:pPr>
        <w:pStyle w:val="TextoNormal"/>
      </w:pPr>
      <w:r>
        <w:t>e) La Ley 15/2013, de 17 de octubre, que regula la financiación con cargo a los presupuestos generales del Estado de determinados costes del sistema eléctrico, ocasionados por los incentivos económicos para el fomento a la producción de energía eléctrica a partir de fuentes de energías renovables, concediendo para ello un crédito extraordinario de 2.200.000.000 de euros.</w:t>
      </w:r>
    </w:p>
    <w:p w:rsidR="0085709A" w:rsidRDefault="0085709A" w:rsidP="0085709A">
      <w:pPr>
        <w:pStyle w:val="TextoNormal"/>
      </w:pPr>
    </w:p>
    <w:p w:rsidR="0085709A" w:rsidRDefault="0085709A" w:rsidP="0085709A">
      <w:pPr>
        <w:pStyle w:val="TextoNormal"/>
      </w:pPr>
      <w:r>
        <w:t xml:space="preserve">f) Por último, la Ley 24/2013, de 26 de diciembre, del sector eléctrico, que suprime el régimen especial primado de las tecnologías de producción a partir de fuentes de energía </w:t>
      </w:r>
      <w:r>
        <w:lastRenderedPageBreak/>
        <w:t>renovables, cogeneración y residuos, estableciendo para éstas una regulación análoga a la del resto de tecnologías que se integran en el mercado, sin perjuicio que se establezcan algunas consideraciones singulares. Así el régimen retributivo de las energías renovables, cogeneración y residuos se basa en la participación en el mercado de estas instalaciones, complementado los ingresos de mercado con una retribución regulada específica que permita a estas tecnologías competir en nivel de igualdad con el resto de tecnologías en el mercado.</w:t>
      </w:r>
    </w:p>
    <w:p w:rsidR="0085709A" w:rsidRDefault="0085709A" w:rsidP="0085709A">
      <w:pPr>
        <w:pStyle w:val="TextoNormal"/>
      </w:pPr>
    </w:p>
    <w:p w:rsidR="0085709A" w:rsidRDefault="0085709A" w:rsidP="0085709A">
      <w:pPr>
        <w:pStyle w:val="TextoNormal"/>
      </w:pPr>
      <w:r>
        <w:t>La citada Ley establece, en suma, que el sistema de primas se sustituye por un sistema de retribución regulada, también denominado de retribución específica complementaria o régimen retributivo específico, que, para el primer período regulatorio de seis años, se ajusta a lo previsto en el Real Decreto-ley 9/2013 y se basa en el principio de rentabilidad razonable introducido por el Real Decreto-ley 2/2013. A su vez la ley prevé la posibilidad, con carácter excepcional, de establecer nuevos regímenes retributivos específicos para fomentar la producción a partir de fuentes de energía renovables, cogeneración de alta eficiencia y residuos, cuando exista una obligación de cumplimiento de objetivos energéticos derivados de directivas europeas u otras normas del Derecho de la Unión Europea, o cuando su introducción suponga una reducción del coste energético y de la dependencia energética exterior.</w:t>
      </w:r>
    </w:p>
    <w:p w:rsidR="0085709A" w:rsidRDefault="0085709A" w:rsidP="0085709A">
      <w:pPr>
        <w:pStyle w:val="TextoNormal"/>
      </w:pPr>
    </w:p>
    <w:p w:rsidR="0085709A" w:rsidRDefault="0085709A" w:rsidP="0085709A">
      <w:pPr>
        <w:pStyle w:val="TextoNormal"/>
      </w:pPr>
      <w:r>
        <w:t>Aunque ninguna de las disposiciones citadas, ni siquiera la nueva Ley del sector eléctrico, deroga expresamente el Real Decreto-ley 1/2012, por lo que no se puede descartar en este inicial análisis la eventual ultraactividad de algunas de las disposiciones del mismo, la STC 183/2014, de 6 de noviembre, con fundamento en la anterior STC 96/2014, de 12 de junio, vino a establecer que el registro de preasignación de retribuciones fue suprimido por el Real Decreto-ley 9/2013, con la salvedad de su aplicación transitoria en tanto en cuanto se aprobara un nuevo régimen jurídico y económico de la actividad de producción a partir de fuentes de energía renovables, cogeneración y residuos con régimen económico primado. Es este régimen transitorio al que pone fin la Ley 24/2013, del sector eléctrico, desarrollada por el Real Decreto 413/2014, de 6 de junio, por el que se regula la actividad de producción de energía eléctrica a partir de fuentes de energía renovables, cogeneración y residuos, estableciendo el nuevo modelo de retribución. Con arreglo a lo anterior, la STC 183/2014 manifiesta que el panorama normativo descrito permite concluir que la norma recurrida, en tanto en cuanto hace referencia a un régimen económico primado que ya no se encuentra vigente, así como a la inscripción en un registro administrativo en su momento suprimido, no se encuentra materialmente en vigor, pese a no haber sido derogada formalmente, lo que consiente afirmar que las quejas que se imputaban a este precepto en relación con la vulneración del art. 9.3 CE han desaparecido sobrevenidamente. En el caso que nos ocupa, la aplicación de la doctrina transcrita obliga a alcanzar idéntica conclusión, estimando que la supresión del registro administrativo, cuya actividad suspende el Real Decreto-ley 1/2012, objeto del presente recurso de inconstitucionalidad, en los términos descritos, conduce a entender que las quejas asociadas al mismo, en relación con la vulneración del art. 9.3 CE han decaído, desapareciendo sobrevenidamente el objeto del recurso en este punto.</w:t>
      </w:r>
    </w:p>
    <w:p w:rsidR="0085709A" w:rsidRDefault="0085709A" w:rsidP="0085709A">
      <w:pPr>
        <w:pStyle w:val="TextoNormal"/>
      </w:pPr>
    </w:p>
    <w:p w:rsidR="0085709A" w:rsidRDefault="0085709A" w:rsidP="0085709A">
      <w:pPr>
        <w:pStyle w:val="TextoNormal"/>
      </w:pPr>
      <w:r>
        <w:t xml:space="preserve">En cualquier caso, ello no impide a este Tribunal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w:t>
      </w:r>
      <w:r>
        <w:lastRenderedPageBreak/>
        <w:t>en que se pronuncia el fallo” (STC 31/2011, de 17 de marzo, FJ 2). Por lo tanto y al menos, la cuestión del ajuste del Real Decreto-ley impugnado a las previsiones del art. 86 CE puede ser, sin ningún género de dudas, afrontada.</w:t>
      </w:r>
    </w:p>
    <w:p w:rsidR="0085709A" w:rsidRDefault="0085709A" w:rsidP="0085709A">
      <w:pPr>
        <w:pStyle w:val="TextoNormal"/>
      </w:pPr>
    </w:p>
    <w:p w:rsidR="0085709A" w:rsidRDefault="0085709A" w:rsidP="0085709A">
      <w:pPr>
        <w:pStyle w:val="TextoNormal"/>
      </w:pPr>
      <w:r w:rsidRPr="0085709A">
        <w:rPr>
          <w:rStyle w:val="NumeroAFNegritaCaracter"/>
        </w:rPr>
        <w:t>3</w:t>
      </w:r>
      <w:r>
        <w:t>. La controversia se centra, fundamentalmente, en determinar si el recurso a una norma de urgencia por parte del Ejecutivo ha respetado o no las previsiones del art. 86.1 CE, a tenor del cual el Gobierno, sólo en caso de extraordinaria y urgente necesidad, puede dictar disposiciones legislativas que, adicionalmente, no podrán, en ningún caso, afectar al ordenamiento de las instituciones básicas del Estado, a los derechos, deberes y libertades de los ciudadanos regulados en el título I CE, al régimen de las Comunidades Autónomas ni al Derecho electoral general. Por tanto, el art. 86.1 CE confiere al Gobierno la facultad de aprobar normas con rango legal, articuladas a través de la forma de real decreto-ley, sometiendo su ejercicio a “unos estrictos límites” destinados a garantizar un uso adecuado y no abusivo de este poder legislativo excepcional (STC 6/1983, de 31 de mayo, FJ 5).</w:t>
      </w:r>
    </w:p>
    <w:p w:rsidR="0085709A" w:rsidRDefault="0085709A" w:rsidP="0085709A">
      <w:pPr>
        <w:pStyle w:val="TextoNormal"/>
      </w:pPr>
    </w:p>
    <w:p w:rsidR="0085709A" w:rsidRDefault="0085709A" w:rsidP="0085709A">
      <w:pPr>
        <w:pStyle w:val="TextoNormal"/>
      </w:pPr>
      <w:r>
        <w:t>Tres son las exigencias o límites para un uso constitucionalmente regular del real decreto-ley. En primer lugar, el ejercicio de este poder legislativo excepcional ha de estar justificado por razones de “extraordinaria y urgente necesidad” (art. 86.1 CE); en segundo lugar, su contenido no puede afectar ni al ordenamiento de las instituciones básicas del Estado, ni al régimen de las Comunidades Autónomas, ni al derecho electoral general, ni a los derechos, deberes y libertades de los ciudadanos regulados en el título I CE y, finalmente, ha de someterse al Congreso de los Diputados para su debate y votación de totalidad, en el plazo de los treinta días siguientes al de su promulgación, con vistas a su convalidación o derogación (art. 86.2 CE).</w:t>
      </w:r>
    </w:p>
    <w:p w:rsidR="0085709A" w:rsidRDefault="0085709A" w:rsidP="0085709A">
      <w:pPr>
        <w:pStyle w:val="TextoNormal"/>
      </w:pPr>
    </w:p>
    <w:p w:rsidR="0085709A" w:rsidRDefault="0085709A" w:rsidP="0085709A">
      <w:pPr>
        <w:pStyle w:val="TextoNormal"/>
      </w:pPr>
      <w:r>
        <w:t>Para juzgar el alcance de esta impugnación es preciso recordar, siquiera someramente por ser jurisprudencia bien “consolidada” (STC 68/2007, de 28 de marzo, FJ 6), que la cláusula constitucional a la que se hace aquí referencia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Y en este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de cualquier otra, los poderes públicos se mueven dentro del marco trazado por la Constitución, de forma que este Tribunal podrá, en supuestos de uso abusivo o arbitrario, rechazar la definición que los órganos políticos hagan de una situación determinada como de ‘extraordinaria y urgente necesidad’ y, en consecuencia, declarar la inconstitucionalidad de un real decreto-ley por inexistencia del presupuesto habilitante por invasión de las facultades reservadas a las Cortes Generales por la Constitución.” (STC 137/2011, de 14 de septiembre, FJ 4).</w:t>
      </w:r>
    </w:p>
    <w:p w:rsidR="0085709A" w:rsidRDefault="0085709A" w:rsidP="0085709A">
      <w:pPr>
        <w:pStyle w:val="TextoNormal"/>
      </w:pPr>
    </w:p>
    <w:p w:rsidR="0085709A" w:rsidRDefault="0085709A" w:rsidP="0085709A">
      <w:pPr>
        <w:pStyle w:val="TextoNormal"/>
      </w:pPr>
      <w:r>
        <w:t xml:space="preserve">Sin perjuicio de lo anterior, nuestra jurisprudencia también viene afirmando que la Constitución ha adoptado “una solución flexible y matizada respecto del fenómeno del real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w:t>
      </w:r>
      <w:r>
        <w:lastRenderedPageBreak/>
        <w:t>objetivos marcados para la gobernación del país, que, por circunstancias difíciles o imposibles de prever, requieren una acción normativa inmediata o en que las coyunturas económicas exigen una rápida respuesta’ (STC 6/1983, de 4 de febrero, FJ 5)” (STC 237/2012, de 13 de diciembre, FJ 3).</w:t>
      </w:r>
    </w:p>
    <w:p w:rsidR="0085709A" w:rsidRDefault="0085709A" w:rsidP="0085709A">
      <w:pPr>
        <w:pStyle w:val="TextoNormal"/>
      </w:pPr>
    </w:p>
    <w:p w:rsidR="0085709A" w:rsidRDefault="0085709A" w:rsidP="0085709A">
      <w:pPr>
        <w:pStyle w:val="TextoNormal"/>
      </w:pPr>
      <w:r w:rsidRPr="0085709A">
        <w:rPr>
          <w:rStyle w:val="NumeroAFNegritaCaracter"/>
        </w:rPr>
        <w:t>4</w:t>
      </w:r>
      <w:r>
        <w:t>. En el desarrollo de su competencia para controlar el uso abusivo o arbitrario del real decreto-ley, este Tribunal ha venido estableciendo que le corresponde “un control externo”, debiendo “verificar, pero no sustituir, el juicio político o de oportunidad que corresponde al Gobierno y al Congreso de los Diputados en el ejercicio de la función de control parlamentario (art. 86.2 CE)” (STC 137/2011, de 14 de septiembre, FJ 4). Ese control externo, es decir, ese juicio sobre la regularidad constitucional de la cláusula de la “extraordinaria y urgente necesidad” ha de superar un doble canon (por todas STC 39/2013, de 14 de diciembre, FJ 5, y jurisprudencia allí citada). El primero, tal y como lo recordamos en el FJ 4 de la STC 237/2012, de 13 de diciembre, consiste en la identificación por el Gobierno de manera explícita y razonada de la concurrencia de esa singular situación, la extraordinaria y urgente necesidad, determinante de la aparición del presupuesto que le habilita para dictar con carácter excepcional unas normas dotadas de los atributos del rango y la fuerza propios de las leyes formales. El segundo canon se concreta en la existencia de una conexión de sentido o relación de adecuación entre ese presupuesto habilitante y las medidas contenidas en la norma de urgencia, de modo que éstas, como igualmente ha razonado la jurisprudencia constitucional, han de guardar una relación directa o de congruencia con la situación que se trata de afrontar.</w:t>
      </w:r>
    </w:p>
    <w:p w:rsidR="0085709A" w:rsidRDefault="0085709A" w:rsidP="0085709A">
      <w:pPr>
        <w:pStyle w:val="TextoNormal"/>
      </w:pPr>
    </w:p>
    <w:p w:rsidR="0085709A" w:rsidRDefault="0085709A" w:rsidP="0085709A">
      <w:pPr>
        <w:pStyle w:val="TextoNormal"/>
      </w:pPr>
      <w:r>
        <w:t>A la hora de aplicar este doble canon de enjuiciamiento, el fundamento jurídico 4 de la STC 137/2011 , de 14 de septiembre, estableció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real decreto-ley”.</w:t>
      </w:r>
    </w:p>
    <w:p w:rsidR="0085709A" w:rsidRDefault="0085709A" w:rsidP="0085709A">
      <w:pPr>
        <w:pStyle w:val="TextoNormal"/>
      </w:pPr>
    </w:p>
    <w:p w:rsidR="0085709A" w:rsidRDefault="0085709A" w:rsidP="0085709A">
      <w:pPr>
        <w:pStyle w:val="TextoNormal"/>
      </w:pPr>
      <w:r w:rsidRPr="0085709A">
        <w:rPr>
          <w:rStyle w:val="NumeroAFNegritaCaracter"/>
        </w:rPr>
        <w:t>5</w:t>
      </w:r>
      <w:r>
        <w:t>. De acuerdo con la anterior doctrina constitucional, hemos de examinar ahora si en el Real Decreto-ley 1/2012 concurre el presupuesto habilitante de la extraordinaria y urgente necesidad, procediendo a efectuar el análisis en los términos descritos en el fundamento precedente.</w:t>
      </w:r>
    </w:p>
    <w:p w:rsidR="0085709A" w:rsidRDefault="0085709A" w:rsidP="0085709A">
      <w:pPr>
        <w:pStyle w:val="TextoNormal"/>
      </w:pPr>
    </w:p>
    <w:p w:rsidR="0085709A" w:rsidRDefault="0085709A" w:rsidP="0085709A">
      <w:pPr>
        <w:pStyle w:val="TextoNormal"/>
      </w:pPr>
      <w:r>
        <w:t xml:space="preserve">En primer lugar, y por lo que hace a la definición de la concurrencia del presupuesto habilitante por el Gobierno, esta se exterioriza en la exposición de motivos de la norma impugnada que, por un lado, pone de manifiesto la superación de los objetivos “de potencia instalada previstos en el Plan de Energías Renovables 2005-2010 para la tecnología eólica y en particular para las tecnologías solar termoeléctrica y solar fotovoltaica” y, por otro, certifica que el desarrollo de las renovables ha hecho palpable “un desequilibrio entre los costes de producción y el valor de las primas, suponiendo un incremento del sobrecoste para el sistema en concepto de primas para las tecnologías solares de más de 2000 millones en 2010, cifra que se incrementará en 2000 millones de euros anuales a partir de 2014”. Dicho </w:t>
      </w:r>
      <w:r>
        <w:lastRenderedPageBreak/>
        <w:t>de otro modo, entiende el Gobierno que las primas son en gran medida innecesarias al momento de aprobarse el Real Decreto-ley porque, a su juicio, se han alcanzado los objetivos previstos de implantación de instalaciones de producción de energía eléctrica a partir de instalaciones de tecnología solar termoeléctrica y solar fotovoltaica y eólica (exposición de motivos). A ello, añade el texto que “la capacidad de generación instalada en este momento es suficiente para asegurar la cobertura de la demanda prevista para los próximos años. Así, no resulta imprescindible en este momento continuar con las tasas anuales de implantación de estas tecnologías para lograr al final de la década los objetivos previstos”.</w:t>
      </w:r>
    </w:p>
    <w:p w:rsidR="0085709A" w:rsidRDefault="0085709A" w:rsidP="0085709A">
      <w:pPr>
        <w:pStyle w:val="TextoNormal"/>
      </w:pPr>
    </w:p>
    <w:p w:rsidR="0085709A" w:rsidRDefault="0085709A" w:rsidP="0085709A">
      <w:pPr>
        <w:pStyle w:val="TextoNormal"/>
      </w:pPr>
      <w:r>
        <w:t>Además considera que, en un momento de crisis económica y de existencia de un acentuado déficit tarifario, y teniendo en cuenta que “las medidas adoptadas hasta la fecha no resultan suficientes, poniendo en riesgo el objetivo final de supresión del déficit tarifario a partir de 2013”, las primas son perjudiciales en la medida en que acentúan el citado déficit; “esto es, la diferencia entre los ingresos procedentes de los peajes de acceso a las redes de transporte y distribución de energía eléctrica y los costes de las actividades reguladas del sector eléctrico que deben cubrir”. Se entiende que es “necesario diseñar un nuevo modelo retributivo para este tipo de tecnologías que tenga en cuenta el nuevo escenario económico, promoviendo la asignación eficiente de los recursos a través de mecanismos de mercado. De este modo, se trata de articular a futuro un sistema que favorezca la competitividad del mercado a través de mecanismos similares a los utilizados en otros países de la Unión Europea y que garanticen la viabilidad futura del Sistema. Asimismo, los nuevos marcos deberán incentivar la reducción de costes aprovechando la pendiente de la curva de aprendizaje y propiciando la captura de la maduración de la tecnología de manera que reviertan éstos en los consumidores”. La exposición de motivos concluye el razonamiento afirmando que, de acuerdo con los motivos expuestos, “se ha considerado oportuna la supresión de los regímenes económicos incentivadores para ciertas instalaciones de régimen especial y para ciertas instalaciones de régimen ordinario de las mismas tecnologías, así como la suspensión del procedimiento de preasignación de retribución para las mismas, de forma que pueda acometerse la resolución del problema del elevado déficit tarifario del sistema eléctrico en un entorno más favorable”. Todo ello, y siempre según la exposición de motivos de la norma, se inscribe en el contexto de una compleja situación económica y financiera que “aconseja la supresión de los incentivos para la construcción de estas instalaciones, con carácter temporal, al menos hasta la solución del principal problema que amenaza la sostenibilidad económica del sistema eléctrico: el déficit tarifario del sistema eléctrico”.</w:t>
      </w:r>
    </w:p>
    <w:p w:rsidR="0085709A" w:rsidRDefault="0085709A" w:rsidP="0085709A">
      <w:pPr>
        <w:pStyle w:val="TextoNormal"/>
      </w:pPr>
    </w:p>
    <w:p w:rsidR="0085709A" w:rsidRDefault="0085709A" w:rsidP="0085709A">
      <w:pPr>
        <w:pStyle w:val="TextoNormal"/>
      </w:pPr>
      <w:r>
        <w:t>El Ministro de Industria, por su parte, en el debate de convalidación del Decreto-ley, acaecido el 9 de febrero de 2012, pone el acento de la justificación de las medidas adoptadas en la necesidad de frenar la generación de déficit tarifario y evitar el sobrecoste que de él se deriva, y que supone un problema que se agravaría de no adoptar de forma inmediata las medidas que se contienen en el Decreto-ley.</w:t>
      </w:r>
    </w:p>
    <w:p w:rsidR="0085709A" w:rsidRDefault="0085709A" w:rsidP="0085709A">
      <w:pPr>
        <w:pStyle w:val="TextoNormal"/>
      </w:pPr>
    </w:p>
    <w:p w:rsidR="0085709A" w:rsidRDefault="0085709A" w:rsidP="0085709A">
      <w:pPr>
        <w:pStyle w:val="TextoNormal"/>
      </w:pPr>
      <w:r>
        <w:t>Por lo que hace al tercer documento que este Tribunal puede tener en cuenta para realizar el examen de la concurrencia del presupuesto habilitante y valorar los motivos que llevaron al Gobierno a su aprobación, esto es, el expediente de elaboración del Decreto-ley o dicho de otro modo, la memoria de impacto normativo del proyecto de Real Decreto-ley, la misma insiste, al referirse a la oportunidad de la propuesta y aludir a la situación que se regula, que “el déficit de la tarifa eléctrica requiere de una solución inmediata para garantizar la soste</w:t>
      </w:r>
      <w:r>
        <w:lastRenderedPageBreak/>
        <w:t>nibilidad del Sistema Eléctrico. Uno de los costes que provoca dicho déficit es el del régimen especial”, añadiendo, al referirse a los objetivos que persigue la regulación que “el objetivo inmediato es el de limitar el sobrecoste a futuro debido a las primas del régimen especial, como paso previo a abordar la resolución del problema del déficit de la tarifa eléctrica”.</w:t>
      </w:r>
    </w:p>
    <w:p w:rsidR="0085709A" w:rsidRDefault="0085709A" w:rsidP="0085709A">
      <w:pPr>
        <w:pStyle w:val="TextoNormal"/>
      </w:pPr>
    </w:p>
    <w:p w:rsidR="0085709A" w:rsidRDefault="0085709A" w:rsidP="0085709A">
      <w:pPr>
        <w:pStyle w:val="TextoNormal"/>
      </w:pPr>
      <w:r>
        <w:t>La motivación ofrecida por el Gobierno en el preámbulo de la norma y retomada en los mismos términos en el debate parlamentario de convalidación (“Diario de Sesiones del Congreso de los Diputados” núm. 8 del año 2012) y en la memoria de impacto normativo, se construye, por tanto, sobre la identificación de un hecho: que el sistema primado es prescindible al momento de aprobación del Real Decreto-ley. A ello, se adiciona la mención al déficit tarifario, cuya solución es necesario afrontar de forma inmediata, habida cuenta de la situación del sistema eléctrico y el complejo escenario económico y financiero por la que atraviesa el país, y que exige evitar el incremento persistente del sobrecoste del régimen especial. A las anteriores razones se añade una más, particularmente referida a la urgencia de la medida, en tanto en cuanto “en este momento se encuentran pendientes de resolución las cuatro convocatorias de pre-asignación fotovoltaica correspondientes al año 2012, por una potencia cercana a los 550 MW. En efecto, la inevitable dilación en el tiempo de la adopción de esta medida que supondría su tramitación por el cauce normativo ordinario determinaría, inevitablemente, la entrada en el sistema de 550 MW fotovoltaicos adicionales y el riesgo de un efecto llamada para aquellas tecnologías cuyos objetivos no han sido cubiertos: Cogeneración, biomasa, biogás, hidráulica y residuos”.</w:t>
      </w:r>
    </w:p>
    <w:p w:rsidR="0085709A" w:rsidRDefault="0085709A" w:rsidP="0085709A">
      <w:pPr>
        <w:pStyle w:val="TextoNormal"/>
      </w:pPr>
    </w:p>
    <w:p w:rsidR="0085709A" w:rsidRDefault="0085709A" w:rsidP="0085709A">
      <w:pPr>
        <w:pStyle w:val="TextoNormal"/>
      </w:pPr>
      <w:r>
        <w:t>Por tanto, podemos concluir que, con la motivación aportada en la exposición de motivos de la norma, en el debate de convalidación del Decreto-ley, y en la memoria de impacto normativo del Real Decreto-ley, debe darse por satisfecho el requisito de que se hayan explicado las razones de extraordinaria y urgente necesidad que han motivado la suspensión, mediante Real Decreto-ley, del sistema de asignación de incentivos económicos para las instalaciones de producción eléctrica de régimen especial, así como de inscripción de las mismas en el registro de pre-asignación de retribución.</w:t>
      </w:r>
    </w:p>
    <w:p w:rsidR="0085709A" w:rsidRDefault="0085709A" w:rsidP="0085709A">
      <w:pPr>
        <w:pStyle w:val="TextoNormal"/>
      </w:pPr>
    </w:p>
    <w:p w:rsidR="0085709A" w:rsidRDefault="0085709A" w:rsidP="0085709A">
      <w:pPr>
        <w:pStyle w:val="TextoNormal"/>
      </w:pPr>
      <w:r>
        <w:t xml:space="preserve">La anterior consideración es coherente con la contenida en el fundamento jurídico 6 de la STC 183/2014, en el que, al verificar la concurrencia del presupuesto habilitante en la aprobación del Real Decreto-ley 2/2012, de 3 de febrero, de medidas urgentes en el sistema eléctrico y en el sector financiero, se afirmaba que “la situación a la que debían hacer frente las medidas aquí impugnadas era la desviación de los costes del sistema eléctrico provocado por diversos factores (sobrecoste de las primas del régimen especial, consignación de costes de los sistemas eléctricos extrapeninsulares e incremento del déficit por el descenso en la demanda de electricidad) que aparecen explicitados en la exposición de motivos o en el debate parlamentario de convalidación. Factores cuya conjunción había llevado a incurrir en un déficit mayor al previsto inicialmente por el Gobierno. Así, podemos considerar que, sin entrar en el juicio político que este Tribunal tiene vedado, se ha cumplido por el Gobierno la exigencia de explicitar y razonar la existencia de una “situación de extraordinaria y urgente necesidad”, sin que pueda admitirse la genérica alegación de la Letrada de la Junta de Andalucía respecto a que la existencia del déficit tarifario del sector eléctrico no podía, al no ser un hecho nuevo, fundamentar el dictado de los preceptos cuestionados del Real </w:t>
      </w:r>
      <w:r>
        <w:lastRenderedPageBreak/>
        <w:t>Decreto-ley 2/2013”. Similares razones expresaba el Gobierno para aprobar el Real Decreto-ley 1/2012, por lo que la conclusión alcanzada por este Tribunal ha de resultar idéntica respecto de la justificación de la concurrencia del presupuesto habilitante.</w:t>
      </w:r>
    </w:p>
    <w:p w:rsidR="0085709A" w:rsidRDefault="0085709A" w:rsidP="0085709A">
      <w:pPr>
        <w:pStyle w:val="TextoNormal"/>
      </w:pPr>
    </w:p>
    <w:p w:rsidR="0085709A" w:rsidRDefault="0085709A" w:rsidP="0085709A">
      <w:pPr>
        <w:pStyle w:val="TextoNormal"/>
      </w:pPr>
      <w:r w:rsidRPr="0085709A">
        <w:rPr>
          <w:rStyle w:val="NumeroAFNegritaCaracter"/>
        </w:rPr>
        <w:t>6</w:t>
      </w:r>
      <w:r>
        <w:t>. Por lo que hace al requisito de la conexión de sentido entre las medidas concretamente impugnadas y la situación de urgencia a la que se pretende atender con su aprobación, este Tribunal entiende que la misma concurre en relación con el Real Decreto-ley que se somete a nuestro examen.</w:t>
      </w:r>
    </w:p>
    <w:p w:rsidR="0085709A" w:rsidRDefault="0085709A" w:rsidP="0085709A">
      <w:pPr>
        <w:pStyle w:val="TextoNormal"/>
      </w:pPr>
    </w:p>
    <w:p w:rsidR="0085709A" w:rsidRDefault="0085709A" w:rsidP="0085709A">
      <w:pPr>
        <w:pStyle w:val="TextoNormal"/>
      </w:pPr>
      <w:r>
        <w:t>La entrada en vigor de la norma impugnada, y la consiguiente supresión del régimen primado en relación con las instalaciones de energía fotovoltaica, vino a suponer la suspensión absoluta de todas las convocatorias pendientes de resolución; esto es, la del primer trimestre del año 2012 (que correspondía a las solicitudes presentadas entre el 1 de junio y el 30 de noviembre del año 2011 y que deberían haberse resuelto antes del 1 de abril de 2012, según lo dispuesto en la Orden ITC/2585/2011), la del segundo trimestre del año (que correspondía a las solicitudes presentadas entre el 1 de junio y el 30 de noviembre del año 2011 y que deberían haberse resuelto antes del 1 de mayo de 2012), así como las convocatorias del tercer y cuarto trimestre, aún no cerradas  —a diferencia de las dos anteriores— puesto que la presentación de la solicitud podía producirse entre el 1 de diciembre del año anterior al de la convocatoria y el 31 de mayo, ambos inclusive, y cuyo resultado debería haber sido publicado antes del 1 de octubre y 1 de noviembre de 2012 respectivamente (según lo dispuesto en el anexo III del Real Decreto 1578/2008, cuyo art. 4 preveía la creación del registro de pre-asignación de retribución para las fotovoltaicas y las cadencias de presentación de solicitudes de inscripción en el registro de pre-asignación). La paralización descrita vino a suponer un ahorro económico en el sistema de primas, directamente imputable a los efectos de la aplicación del Real Decreto-ley 1/2012.</w:t>
      </w:r>
    </w:p>
    <w:p w:rsidR="0085709A" w:rsidRDefault="0085709A" w:rsidP="0085709A">
      <w:pPr>
        <w:pStyle w:val="TextoNormal"/>
      </w:pPr>
    </w:p>
    <w:p w:rsidR="0085709A" w:rsidRDefault="0085709A" w:rsidP="0085709A">
      <w:pPr>
        <w:pStyle w:val="TextoNormal"/>
      </w:pPr>
      <w:r>
        <w:t>El régimen del resto de instalaciones, derivado de la aplicación del art. 4 del Real Decreto-ley 6/2009, que da lugar a la aprobación del acuerdo del Consejo de Ministros, de 13 de noviembre de 2009, por el que se procede a la ordenación de los proyectos o instalaciones presentados al registro de pre-asignación de retribución, también se ve directamente afectado por la entrada en vigor del Real Decreto-ley 1/2012. El referido acuerdo establece la puesta en funcionamiento de las instalaciones primadas en fases sucesivas, la última de las cuales (la cuarta) supone que las instalaciones a ella vinculada —todas ellas con la tecnología solar, termoeléctrica y eólica—, comenzarían el vertido de energía eléctrica a través de la red a partir del 1 de enero de 2013, debiendo ser inscritas con carácter definitivo en el registro antes del 1 de enero de 2014. La entrada en vigor del Real Decreto-ley 1/2012 supone, suspendido el registro de pre-asignaciones, que ninguna instalación adicional podrá ser inscrita y acceder, consecuentemente, al sistema primado.</w:t>
      </w:r>
    </w:p>
    <w:p w:rsidR="0085709A" w:rsidRDefault="0085709A" w:rsidP="0085709A">
      <w:pPr>
        <w:pStyle w:val="TextoNormal"/>
      </w:pPr>
    </w:p>
    <w:p w:rsidR="0085709A" w:rsidRDefault="0085709A" w:rsidP="0085709A">
      <w:pPr>
        <w:pStyle w:val="TextoNormal"/>
      </w:pPr>
      <w:r>
        <w:t xml:space="preserve">Aunque de la aplicación de la disposición transitoria quinta del Real Decreto-ley 6/2009 se deriva que, una vez alcanzados los objetivos de potencia establecidos en los arts. 35 a 42 del Real Decreto 661/2007, queda bloqueado —al menos hasta la reordenación del sistema— el acceso al sistema de pre-asignación de las instalaciones que hubieran alcanzado dichos objetivos, lo que se verificaría a la entrada en vigor del Real Decreto-ley 1/2012 en relación con las termosolares y las eólicas, la suspensión del registro implica una total paralización de la incorporación de nuevas instalaciones de este tipo al sistema primado, hasta </w:t>
      </w:r>
      <w:r>
        <w:lastRenderedPageBreak/>
        <w:t>que se venga a establecer un nuevo sistema de financiación del sector eléctrico. Tal ha venido a acontecer con la aprobación de la Ley 24/2013, de 26 de diciembre. Por tanto, la aprobación del Real Decreto-ley 1/2012, y su entrada en vigor, bloquea los riesgos de reapertura de convocatorias por vía reglamentaria, conjurando así la posibilidad de incrementar el déficit tarifario; y, además, estrecha las posibilidades de crear un eventual “efecto llamada”, en caso de no suspender el sistema primado, a las instalaciones de cogeneración, biomasa, biogás, hidráulica y residuos, instalaciones en los que no se habría alcanzado aún el tope de potencia subvencionable previsto en su día en el del Real Decreto-ley 6/2009.</w:t>
      </w:r>
    </w:p>
    <w:p w:rsidR="0085709A" w:rsidRDefault="0085709A" w:rsidP="0085709A">
      <w:pPr>
        <w:pStyle w:val="TextoNormal"/>
      </w:pPr>
    </w:p>
    <w:p w:rsidR="0085709A" w:rsidRDefault="0085709A" w:rsidP="0085709A">
      <w:pPr>
        <w:pStyle w:val="TextoNormal"/>
      </w:pPr>
      <w:r>
        <w:t>En suma, el propósito de la norma es evitar el incremento del gasto dedicado a la financiación del sistema primado, derivado de la incorporación de nuevas instalaciones a dicho sistema, para, a partir de ahí, propiciar la reducción del déficit estructural del sector eléctrico. Esto es, el Real Decreto-ley minimiza el riesgo de eventuales desviaciones al alza del déficit, lo que, como dijimos en la STC 183/2014, constituye una situación susceptible de ser abordada mediante la legislación de urgencia, constatándose una evidente conexión entre la situación de extraordinaria y urgente necesidad y las medidas adoptadas para hacerle frente.</w:t>
      </w:r>
    </w:p>
    <w:p w:rsidR="0085709A" w:rsidRDefault="0085709A" w:rsidP="0085709A">
      <w:pPr>
        <w:pStyle w:val="TextoNormal"/>
      </w:pPr>
    </w:p>
    <w:p w:rsidR="0085709A" w:rsidRDefault="0085709A" w:rsidP="0085709A">
      <w:pPr>
        <w:pStyle w:val="TextoNormal"/>
      </w:pPr>
      <w:r>
        <w:t>Procede, por tanto, desestimar el recurso en este punto.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Declarar la pérdida sobrevenida del objeto del recurso, en lo que se refiere a la vulneración del art. 9.3 CE por parte del Real Decreto-ley 1/2012, de 27 de enero.</w:t>
      </w:r>
    </w:p>
    <w:p w:rsidR="0085709A" w:rsidRDefault="0085709A" w:rsidP="0085709A">
      <w:pPr>
        <w:pStyle w:val="TextoNormal"/>
      </w:pPr>
    </w:p>
    <w:p w:rsidR="0085709A" w:rsidRDefault="0085709A" w:rsidP="0085709A">
      <w:pPr>
        <w:pStyle w:val="TextoNormal"/>
      </w:pPr>
      <w:r>
        <w:t>2º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marzo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Fernando Valdés Dal-Ré respecto de la Sentencia dictada en el recurso de inconstitucionalidad núm. 6045-2012.</w:t>
      </w:r>
    </w:p>
    <w:p w:rsidR="0085709A" w:rsidRDefault="0085709A" w:rsidP="0085709A">
      <w:pPr>
        <w:pStyle w:val="TextoNormalNegritaCentrado"/>
        <w:keepNext/>
      </w:pPr>
    </w:p>
    <w:p w:rsidR="0085709A" w:rsidRDefault="0085709A" w:rsidP="0085709A">
      <w:pPr>
        <w:pStyle w:val="TextoNormal"/>
      </w:pPr>
      <w:r>
        <w:t xml:space="preserve">En ejercicio de la facultad que me confiere el art. 90.2 de la Ley Orgánica del Tribunal Constitucional y con pleno respeto al sentir de la mayoría del Tribunal, expreso mi disentimiento parcial con el fallo y la fundamentación jurídica de la Sentencia dictada que, sin perjuicio del mantenimiento de la declaración de extinción del recurso por desaparición sobrevenida del objeto respecto de la invocación del art. 9.3 CE hecha por la Xunta de Galicia, debió de declarar la nulidad parcial del Real Decreto-ley 1/2012 por la manifiesta vulneración del art. 86.1 CE, norma de urgencia ésta, por cierto, que inaugura la larga serie de disposiciones de la misma naturaleza promulgada por el Gobierno a lo largo de los 3 últimos </w:t>
      </w:r>
      <w:r>
        <w:lastRenderedPageBreak/>
        <w:t>años y que alcanza la abultada cifra de 63. Mantengo, con ello, una posición sostenida ya en los votos particulares a las SSTC 170/2012, de 4 de octubre, 233/2012, de 13 de diciembre y 12/2015, de 5 de febrero.</w:t>
      </w:r>
    </w:p>
    <w:p w:rsidR="0085709A" w:rsidRDefault="0085709A" w:rsidP="0085709A">
      <w:pPr>
        <w:pStyle w:val="TextoNormal"/>
      </w:pPr>
    </w:p>
    <w:p w:rsidR="0085709A" w:rsidRDefault="0085709A" w:rsidP="0085709A">
      <w:pPr>
        <w:pStyle w:val="TextoNormal"/>
      </w:pPr>
      <w:r>
        <w:t>Las razones en las que se sustenta mi disenso son fundamentalmente dos.</w:t>
      </w:r>
    </w:p>
    <w:p w:rsidR="0085709A" w:rsidRDefault="0085709A" w:rsidP="0085709A">
      <w:pPr>
        <w:pStyle w:val="TextoNormal"/>
      </w:pPr>
    </w:p>
    <w:p w:rsidR="0085709A" w:rsidRDefault="0085709A" w:rsidP="0085709A">
      <w:pPr>
        <w:pStyle w:val="TextoNormal"/>
      </w:pPr>
      <w:r>
        <w:t>1. Partiendo del recordatorio de que, en un Estado democrático de Derecho, este Tribunal tiene la responsabilidad de verificar que el Gobierno, que no posee la titularidad originaria del poder legislativo, cuando dicta una norma con rango y fuerza de ley queda sujeto a un serie de límites, debe insistirse en que tal verificación parte del análisis de la concurrencia del presupuesto habilitante de la “extraordinaria y urgente necesidad”, en los términos del canon desarrollado por este Tribunal, y expuesto en los FFJJ 3 y 4 de la Sentencia a la que planteo este voto particular.</w:t>
      </w:r>
    </w:p>
    <w:p w:rsidR="0085709A" w:rsidRDefault="0085709A" w:rsidP="0085709A">
      <w:pPr>
        <w:pStyle w:val="TextoNormal"/>
      </w:pPr>
    </w:p>
    <w:p w:rsidR="0085709A" w:rsidRDefault="0085709A" w:rsidP="0085709A">
      <w:pPr>
        <w:pStyle w:val="TextoNormal"/>
      </w:pPr>
      <w:r>
        <w:t>El canon de referencia aludido exige someter la validación constitucional de una norma aprobada al amparo de lo establecido en el art. 86.1 CE a un doble escrutinio: de un lado, la identificación por el Gobierno de manera clara, explícita y razonada de la concurrencia de la extraordinaria y urgente necesidad, determinante de la aparición del presupuesto que le habilita para dictar la norma de urgencia y, de otro lado, la existencia de una conexión de sentido o relación de adecuación entre esa singular situación y las medidas contenidas en la norma de urgencia.</w:t>
      </w:r>
    </w:p>
    <w:p w:rsidR="0085709A" w:rsidRDefault="0085709A" w:rsidP="0085709A">
      <w:pPr>
        <w:pStyle w:val="TextoNormal"/>
      </w:pPr>
    </w:p>
    <w:p w:rsidR="0085709A" w:rsidRDefault="0085709A" w:rsidP="0085709A">
      <w:pPr>
        <w:pStyle w:val="TextoNormal"/>
      </w:pPr>
      <w:r>
        <w:t>2. Mi discrepancia tiene que ver, en primer término y principalmente, con la aplicación que el parecer mayoritario efectúa del primero de los escrutinios. Y es que, a mi juicio, la justificación efectuada por el Gobierno resulta manifiestamente insuficiente.</w:t>
      </w:r>
    </w:p>
    <w:p w:rsidR="0085709A" w:rsidRDefault="0085709A" w:rsidP="0085709A">
      <w:pPr>
        <w:pStyle w:val="TextoNormal"/>
      </w:pPr>
    </w:p>
    <w:p w:rsidR="0085709A" w:rsidRDefault="0085709A" w:rsidP="0085709A">
      <w:pPr>
        <w:pStyle w:val="TextoNormal"/>
      </w:pPr>
      <w:r>
        <w:t>Como reitera nuestra jurisprudencia, y refleja el FJ 4 de la Sentencia del Pleno, la justificación formal de la presencia de la urgente y extraordinaria necesidad puede haber quedado reflejada y, por consiguiente, deducirse del examen de la exposición de motivos de la norma, del debate parlamentario de su convalidación y del propio expediente de elaboración de la misma, señaladamente de la memoria. En concreto, en relación con la norma aquí enjuiciada, los motivos que han sido explicitados de una forma razonada por el Gobierno solo aparecen exteriorizados en su preámbulo, y no a lo largo del debate parlamentario de convalidación o del expediente de elaboración de la misma.</w:t>
      </w:r>
    </w:p>
    <w:p w:rsidR="0085709A" w:rsidRDefault="0085709A" w:rsidP="0085709A">
      <w:pPr>
        <w:pStyle w:val="TextoNormal"/>
      </w:pPr>
    </w:p>
    <w:p w:rsidR="0085709A" w:rsidRDefault="0085709A" w:rsidP="0085709A">
      <w:pPr>
        <w:pStyle w:val="TextoNormal"/>
      </w:pPr>
      <w:r>
        <w:t xml:space="preserve">En el Diario de Sesiones del Congreso de los Diputados núm. 8 del año 2012 (X Legislatura) se transcribe la sesión plenaria núm. 7, de 9 de febrero de 2012, en la que se procede a la convalidación del Real Decreto-ley 1/2012 y en el que se rechaza su tramitación como proyecto de ley por el procedimiento de urgencia. En esta sesión, el Ministro de Industria, Energía y Turismo no realiza alusiones suficientes a las razones de urgencia o necesidad que pudieran justificar, en su día, la tramitación de la norma como decreto-ley, ciñendo sus explicaciones al contenido de la norma en torno a la cual se celebró el debate. Se hace una referencia al tipo normativo, pero es genérica y responde a una crítica de la oposición al recurso al real decreto-ley como forma de legislar, que se replica negando el excesivo uso a este tipo de norma con la alegación de que éste es la primera norma de urgencia del año 2012. La mención realizada en el FJ 5 de la Sentencia de la que discrepo, en relación con las observaciones del Ministro en el trámite de convalidación, a mi juicio, no son razones </w:t>
      </w:r>
      <w:r>
        <w:lastRenderedPageBreak/>
        <w:t>que justifiquen que las medidas se adopten por el trámite de la aprobación de un Decreto-ley, sino, sencillamente, que se adopten esas medidas.</w:t>
      </w:r>
    </w:p>
    <w:p w:rsidR="0085709A" w:rsidRDefault="0085709A" w:rsidP="0085709A">
      <w:pPr>
        <w:pStyle w:val="TextoNormal"/>
      </w:pPr>
    </w:p>
    <w:p w:rsidR="0085709A" w:rsidRDefault="0085709A" w:rsidP="0085709A">
      <w:pPr>
        <w:pStyle w:val="TextoNormal"/>
      </w:pPr>
      <w:r>
        <w:t>La misma observación cabe hacer en relación con la “memoria de impacto normativo del proyecto de Real Decreto-ley por el que se procede a la suspensión de los procedimientos de pre-asignación de retribución y a la supresión de los incentivos económicos para nuevas instalaciones de producción de energía eléctrica a partir de cogeneración, fuentes de energía renovables y residuos”. A mi juicio, la citada memoria tampoco ofrece justificación alguna de las razones que habrían llevado al Gobierno a optar por suspender los incentivos a las energías renovables a través de un real decreto-ley y no de la tramitación de una ley ordinaria, o incluso de un reglamento. El indicado informe admite que no se han considerado otras alternativas formales dentro del sistema de fuentes porque la única alternativa posible sería la inacción, que provocaría “la continuación del incremento del sobrecoste del régimen especial y, consecuentemente, una mayor dificultad para abordar la resolución del problema principal, la supresión del déficit de tarifa”. En el resumen que precede a la citada memoria (págs. 1 y 2), se afirma que el objetivo inmediato de la propuesta es “limitar el sobrecoste a futuro debido a las primas del régimen especial, como paso previo a abordar la resolución del problema del déficit de la tarifa eléctrica”, completando la justificación sobre la oportunidad de la propuesta con la aseveración de que “el déficit de la tarifa eléctrica requiere de una solución inmediata para garantizar la sostenibilidad del Sistema Eléctrico” siendo uno de los costes que provoca dicho déficit “el de régimen especial”. Por lo demás y, al referirse al impacto económico de las medidas propuestas, la memoria señala que los efectos sobre la economía en general serán permitir “una congelación del sobrecoste del régimen especial a partir del 2013”, sin aportar en este punto dato numérico alguno avalando tal afirmación.</w:t>
      </w:r>
    </w:p>
    <w:p w:rsidR="0085709A" w:rsidRDefault="0085709A" w:rsidP="0085709A">
      <w:pPr>
        <w:pStyle w:val="TextoNormal"/>
      </w:pPr>
    </w:p>
    <w:p w:rsidR="0085709A" w:rsidRDefault="0085709A" w:rsidP="0085709A">
      <w:pPr>
        <w:pStyle w:val="TextoNormal"/>
      </w:pPr>
      <w:r>
        <w:t>En suma, estas dos primeras fuentes para la identificación del presupuesto habilitante del ejercicio por el gobierno de este poder legislativo especial se limitan a suministrar las razones justificativas de la aprobación de una reforma del régimen primado, pero no ofrecen explicaciones sobre la necesidad de que este cambio normativo se instrumente mediante un real decreto-ley.</w:t>
      </w:r>
    </w:p>
    <w:p w:rsidR="0085709A" w:rsidRDefault="0085709A" w:rsidP="0085709A">
      <w:pPr>
        <w:pStyle w:val="TextoNormal"/>
      </w:pPr>
    </w:p>
    <w:p w:rsidR="0085709A" w:rsidRDefault="0085709A" w:rsidP="0085709A">
      <w:pPr>
        <w:pStyle w:val="TextoNormal"/>
      </w:pPr>
      <w:r>
        <w:t>La exposición de motivos del Real Decreto-ley 1/2012 también entra a analizar las razones que justifican la supresión temporal del sistema de primas, en el sentido en que refleja la Sentencia de la que discrepo. Pero al contrario de lo que opina la mayoría del Pleno, a mi juicio y al estilo del tratamiento efectuado por las otras dos fuentes, la práctica totalidad de las justificaciones ofrecidas por el preámbulo de la norma tampoco pretenden acreditar la necesidad de adoptar las medidas contenidas en dicha disposición. La motivación básica se refiere, sin duda alguna y como se ha reseñado, al contenido de la norma, a la necesidad de modificar la regulación hasta entonces vigente; pero no hay alusión alguna al instrumento normativo que articula esa regulación. Si bien la motivación específica se detiene en una cuestión relacionada con la urgencia para la adopción de la medida, como bien afirma la Xunta, esta justificación se refiere a las medidas que afectan a un solo tipo de instalaciones de producción de energía eléctrica.</w:t>
      </w:r>
    </w:p>
    <w:p w:rsidR="0085709A" w:rsidRDefault="0085709A" w:rsidP="0085709A">
      <w:pPr>
        <w:pStyle w:val="TextoNormal"/>
      </w:pPr>
    </w:p>
    <w:p w:rsidR="0085709A" w:rsidRDefault="0085709A" w:rsidP="0085709A">
      <w:pPr>
        <w:pStyle w:val="TextoNormal"/>
      </w:pPr>
      <w:r>
        <w:t xml:space="preserve">Entiendo que, con la motivación aportada en la exposición de motivos de la norma, no cabe dar por satisfecho el requisito de que se hayan explicado las razones de extraordinaria y urgente necesidad que han motivado la suspensión, mediante real decreto-ley, del sistema de asignación de incentivos económicos para la totalidad de las instalaciones de producción </w:t>
      </w:r>
      <w:r>
        <w:lastRenderedPageBreak/>
        <w:t>eléctrica de régimen especial, así como de inscripción de las mismas en el registro de pre-asignación de retribución.</w:t>
      </w:r>
    </w:p>
    <w:p w:rsidR="0085709A" w:rsidRDefault="0085709A" w:rsidP="0085709A">
      <w:pPr>
        <w:pStyle w:val="TextoNormal"/>
      </w:pPr>
    </w:p>
    <w:p w:rsidR="0085709A" w:rsidRDefault="0085709A" w:rsidP="0085709A">
      <w:pPr>
        <w:pStyle w:val="TextoNormal"/>
      </w:pPr>
      <w:r>
        <w:t>Desde luego, no puede considerarse satisfecho tal requisito con las simples y descriptivas explicaciones que hace la exposición de motivos, y luego reiteradas en el debate parlamentario de convalidación, sobre las novedades normativas que se incluyen en la norma de urgencia y cuyo objetivo residía en corregir un déficit tarifario particularmente preocupante en un contexto de crisis económica. La situación del sistema eléctrico, la compleja situación económica y financiera y la lucha contra el déficit tarifario son motivos que narran el contenido de la adopción de la disposición; pero ni justifican la aprobación mediante la promulgación del Real Decreto-ley impugnado, ni explican la razón que llevó al Gobierno a tramitar la suspensión del régimen primado de producción de energía eléctrica por medio de esa norma excepcional y no de una ley, excepto en el caso de las instalaciones de producción fotovoltaica.</w:t>
      </w:r>
    </w:p>
    <w:p w:rsidR="0085709A" w:rsidRDefault="0085709A" w:rsidP="0085709A">
      <w:pPr>
        <w:pStyle w:val="TextoNormal"/>
      </w:pPr>
    </w:p>
    <w:p w:rsidR="0085709A" w:rsidRDefault="0085709A" w:rsidP="0085709A">
      <w:pPr>
        <w:pStyle w:val="TextoNormal"/>
      </w:pPr>
      <w:r>
        <w:t>Por lo demás, y desde una perspectiva constitucional, la justificación general alegada por el Abogado del Estado no puede por menos de calificarse como un intento fallido de acreditación de la urgente y extraordinaria necesidad, pues la misma se limita, como ya se ha constatado, a explicar las novedades normativas. Si este Tribunal validase como justificación cualquier razón contenida en los preámbulos de las normas, en aras a explicar la conveniencia de modificar la regulación vigente en la materia, estaríamos reduciendo el alcance del control de constitucionalidad a una función rutinaria, privada del menor ámbito propio de verificación, puesto que la finalidad primera y esencial de las exposiciones de motivos o preámbulos de las disposiciones normativas consiste, precisamente, en ofrecer un resumen del contenido de la norma.</w:t>
      </w:r>
    </w:p>
    <w:p w:rsidR="0085709A" w:rsidRDefault="0085709A" w:rsidP="0085709A">
      <w:pPr>
        <w:pStyle w:val="TextoNormal"/>
      </w:pPr>
    </w:p>
    <w:p w:rsidR="0085709A" w:rsidRDefault="0085709A" w:rsidP="0085709A">
      <w:pPr>
        <w:pStyle w:val="TextoNormal"/>
      </w:pPr>
      <w:r>
        <w:t>3. El segundo argumento que justifica mi alejamiento de la posición mayoritaria tiene que ver con la valoración que hace la Sentencia de la concurrencia del requisito de la conexión de sentido. A este respecto es necesario recordar el razonamiento contenido en el FJ 11 de la STC 1/2012, de 13 de enero. Allí se afirmaba que la conexión de sentido debe darse entre la situación definida y cada una de las medidas del Real Decreto-ley que han sido impugnadas. En el caso que nos ocupa se impugna la totalidad del Real Decreto-ley, pero sólo se justifican, si bien someramente, las razones de urgencia de las medidas adoptadas, que se proyectan exclusivamente sobre las primas a las instalaciones fotovoltaicas, cogeneración, biomasa, biogás, hidráulica y residuos.</w:t>
      </w:r>
    </w:p>
    <w:p w:rsidR="0085709A" w:rsidRDefault="0085709A" w:rsidP="0085709A">
      <w:pPr>
        <w:pStyle w:val="TextoNormal"/>
      </w:pPr>
    </w:p>
    <w:p w:rsidR="0085709A" w:rsidRDefault="0085709A" w:rsidP="0085709A">
      <w:pPr>
        <w:pStyle w:val="TextoNormal"/>
      </w:pPr>
      <w:r>
        <w:t>El análisis de este segundo canon pide que la concurrencia del presupuesto habilitante del art. 86.1 CE no excluya la necesidad de realizar un examen individualizado de aquellas disposiciones incluidas en el Real Decreto-ley que la parte recurrente considere no amparadas por la finalidad a la que servía la adopción de dicha norma legislativa de urgencia, examen que ha de efectuarse desde una doble perspectiva para valorar la existencia de la conexión de sentido: por un lado, la del contenido y, por otro, la de la estructura de las disposiciones incluidas en el Real Decreto-ley controvertido (STC 29/1982, de 31 de mayo).</w:t>
      </w:r>
    </w:p>
    <w:p w:rsidR="0085709A" w:rsidRDefault="0085709A" w:rsidP="0085709A">
      <w:pPr>
        <w:pStyle w:val="TextoNormal"/>
      </w:pPr>
    </w:p>
    <w:p w:rsidR="0085709A" w:rsidRDefault="0085709A" w:rsidP="0085709A">
      <w:pPr>
        <w:pStyle w:val="TextoNormal"/>
      </w:pPr>
      <w:r>
        <w:t xml:space="preserve">Un examen individualizado del tipo que se apunta, sobre las medidas adoptadas en el Real Decreto-ley 1/2012, nos llevaría a concluir que el mismo, pese a referirse y afectar, con carácter general, a todas las nuevas instalaciones de producción de energía eléctrica a </w:t>
      </w:r>
      <w:r>
        <w:lastRenderedPageBreak/>
        <w:t>partir de cogeneración, fuentes de energía renovables y residuos, en realidad no tiene impacto real nada más que sobre las instalaciones fotovoltaicas, pues, como se refleja en la Sentencia, el resto de instalaciones candidatas a la subvención no eran susceptibles de integrarse, a corto o medio plazo, en el sistema primado. Por tanto, si la urgencia de la adopción de la medida era evitar un incremento del gasto dedicado a la financiación del sistema primado, éste, sólo se logra con las medidas destinadas a las instalaciones fotovoltaicas [art. 2.1 b) de la norma combatida], pudiendo solo proclamarse respecto de ellas, y no de las del resto, la conexión de sentido.</w:t>
      </w:r>
    </w:p>
    <w:p w:rsidR="0085709A" w:rsidRDefault="0085709A" w:rsidP="0085709A">
      <w:pPr>
        <w:pStyle w:val="TextoNormal"/>
      </w:pPr>
    </w:p>
    <w:p w:rsidR="0085709A" w:rsidRDefault="0085709A" w:rsidP="0085709A">
      <w:pPr>
        <w:pStyle w:val="TextoNormal"/>
      </w:pPr>
      <w:r>
        <w:t>Por su parte, y por lo que se refiere al argumento de un eventual “efecto llamada”, en caso de no suspender el sistema primado, a las instalaciones de cogeneración, biomasa, biogás, hidráulica y residuos, tampoco resulta posible apreciar la obligada relación de sentido. Ese efecto llamada sólo podría haber procedido de un ulterior acuerdo del Consejo de Ministros estableciendo una nueva ordenación de los proyectos o instalaciones presentados al registro de pre-asignación de retribución, en el que se hubiera incluido a esas instalaciones o proyectos en el sistema de primas.</w:t>
      </w:r>
    </w:p>
    <w:p w:rsidR="0085709A" w:rsidRDefault="0085709A" w:rsidP="0085709A">
      <w:pPr>
        <w:pStyle w:val="TextoNormal"/>
      </w:pPr>
    </w:p>
    <w:p w:rsidR="0085709A" w:rsidRDefault="0085709A" w:rsidP="0085709A">
      <w:pPr>
        <w:pStyle w:val="TextoNormal"/>
      </w:pPr>
      <w:r>
        <w:t>La entrada en vigor del Real Decreto-ley 1/2012 supone la aplicación de dos medidas de carácter temporal que no afectan a las instalaciones ya en marcha, ni por tanto al sistema de incentivos que las asiste, ni a las instalaciones ya inscritas en el Registro de Pre-asignación. Por una parte, se suprimen los incentivos económicos para las nuevas instalaciones de producción de energía eléctrica en régimen especial y para instalaciones de régimen ordinario de tecnologías asimilables a las incluidas en el régimen especial. Por otra, se suspenden los procedimientos de inscripción en el registro de pre-asignación de retribución de instalaciones en régimen especial. La supresión de incentivos no tiene efectos económicos inmediatos, quedando mediatizada su aplicación por la otra medida; esto es, por la suspensión de los procedimientos de pre-asignación o de los procedimientos de inscripción en el Registro de pre-asignaciones, en la medida en que, para recibir los incentivos, es precisa la inscripción previa en el Registro.</w:t>
      </w:r>
    </w:p>
    <w:p w:rsidR="0085709A" w:rsidRDefault="0085709A" w:rsidP="0085709A">
      <w:pPr>
        <w:pStyle w:val="TextoNormal"/>
      </w:pPr>
    </w:p>
    <w:p w:rsidR="0085709A" w:rsidRDefault="0085709A" w:rsidP="0085709A">
      <w:pPr>
        <w:pStyle w:val="TextoNormal"/>
      </w:pPr>
      <w:r>
        <w:t>Todo ello nos lleva a reafirmar que en la norma impugnada, salvo en lo que hace a las medidas relacionadas con las instalaciones fotovoltaicas, tal y como insiste en destacar la Comunidad Autónoma recurrente, no concurre el presupuesto habilitante, por lo que el recurso al Real Decreto-ley, puede considerarse abusivo, no superándose el canon de verificación de la regularidad constitucional de la cláusula de la “extraordinaria y urgente necesidad”, para la mayoría de su contenido. La norma impugnada debió ser declarada inconstitucional y, por consiguiente, nula en lo que hace a su proyección sobre las instalaciones de régimen especial que a la fecha de entrada en vigor del presente Real Decreto-ley, no hubieran resultado inscritas en el registro de pre-asignación de retribución previsto en el artículo 4.1 del Real Decreto-ley 6/2009, de 30 de abril, por el que se adoptan determinadas medidas en el sector energético y se aprueba el bono social (art. 2.1 a Real Decreto-ley 1/2012) y sobre las instalaciones de régimen ordinario, que a la fecha de entrada en vigor de la norma cuestionada no dispusieran de autorización administrativa otorgada por la Dirección General de Política Energética y Minas [art. 2.1 c) del Real Decreto-ley 1/2012].</w:t>
      </w:r>
    </w:p>
    <w:p w:rsidR="0085709A" w:rsidRDefault="0085709A" w:rsidP="0085709A">
      <w:pPr>
        <w:pStyle w:val="TextoNormal"/>
      </w:pPr>
    </w:p>
    <w:p w:rsidR="0085709A" w:rsidRDefault="0085709A" w:rsidP="0085709A">
      <w:pPr>
        <w:pStyle w:val="TextoNormal"/>
      </w:pPr>
      <w:r>
        <w:t>Y en tal sentido emito este Voto particular.</w:t>
      </w:r>
    </w:p>
    <w:p w:rsidR="0085709A" w:rsidRDefault="0085709A" w:rsidP="0085709A">
      <w:pPr>
        <w:pStyle w:val="TextoNormal"/>
      </w:pPr>
    </w:p>
    <w:p w:rsidR="0085709A" w:rsidRDefault="0085709A" w:rsidP="0085709A">
      <w:pPr>
        <w:pStyle w:val="TextoNormal"/>
      </w:pPr>
      <w:r>
        <w:t>Madrid, a cinco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lastRenderedPageBreak/>
        <w:br w:type="page"/>
      </w:r>
    </w:p>
    <w:p w:rsidR="0085709A" w:rsidRDefault="0085709A" w:rsidP="0085709A">
      <w:pPr>
        <w:pStyle w:val="TtuloResolucin"/>
      </w:pPr>
      <w:bookmarkStart w:id="52" w:name="SENTENCIA_2015_49"/>
      <w:r>
        <w:lastRenderedPageBreak/>
        <w:t>SENTENCIA 49/2015, de 5 de marzo de 2015</w:t>
      </w:r>
    </w:p>
    <w:bookmarkEnd w:id="52"/>
    <w:p w:rsidR="0085709A" w:rsidRDefault="0085709A" w:rsidP="0085709A">
      <w:pPr>
        <w:pStyle w:val="TtuloResolucin"/>
      </w:pPr>
      <w:r>
        <w:t>Pleno</w:t>
      </w:r>
    </w:p>
    <w:p w:rsidR="0085709A" w:rsidRDefault="0085709A" w:rsidP="0085709A">
      <w:pPr>
        <w:pStyle w:val="TtuloBOE"/>
      </w:pPr>
      <w:r>
        <w:t>(BOE núm. 85, de 9 de abril de 2015)</w:t>
      </w:r>
    </w:p>
    <w:p w:rsidR="0085709A" w:rsidRDefault="0085709A" w:rsidP="0085709A">
      <w:pPr>
        <w:pStyle w:val="TextoNormalCentrado"/>
      </w:pPr>
      <w:r>
        <w:t>ECLI:ES:TC:2015:49</w:t>
      </w:r>
    </w:p>
    <w:p w:rsidR="0085709A" w:rsidRDefault="0085709A" w:rsidP="0085709A">
      <w:pPr>
        <w:pStyle w:val="TextoNormalCentrado"/>
      </w:pPr>
    </w:p>
    <w:p w:rsidR="0085709A" w:rsidRDefault="0085709A" w:rsidP="0085709A">
      <w:pPr>
        <w:pStyle w:val="SntesisDescriptiva"/>
      </w:pPr>
      <w:r>
        <w:t>Recurso de inconstitucionalidad 1114-2013. Interpuesto por más de cincuenta diputados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El Real Decreto-ley 28/2012 por el que se deja en suspenso el efecto de actualización de las pensiones para el ejercicio de 2012 no incurre en un supuesto de retroactividad auténtica o de grado máximo prohibido por el art. 9.3 CE, dado que cuando se aprobó la norma no existía una relación consagrada o agotada incorporada al patrimonio del pensionista, sino una mera expectativa [FJ 5].</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(STC 114/1987) [FJ 5].</w:t>
      </w:r>
    </w:p>
    <w:p w:rsidR="0085709A" w:rsidRDefault="0085709A" w:rsidP="0085709A">
      <w:pPr>
        <w:pStyle w:val="Extracto"/>
      </w:pPr>
    </w:p>
    <w:p w:rsidR="0085709A" w:rsidRDefault="0085709A" w:rsidP="0085709A">
      <w:pPr>
        <w:pStyle w:val="Extracto"/>
      </w:pPr>
      <w:r>
        <w:t>3.</w:t>
      </w:r>
      <w:r>
        <w:tab/>
        <w:t>La suficiencia económica de los ciudadanos durante la tercera edad, consagrada en el art. 50 CE, tiene a erradicar situaciones de necesidad, que habrán de ser determinadas y apreciadas, teniendo en cuenta el contexto general en que se produzcan, y en conexión con las circunstancias económicas, las disponibilidades del momento y las necesidades de los diversos grupos sociales; no pudiendo excluirse que, atendiendo a las indicadas circunstancias,  el legislador regule el nivel y condiciones de las prestaciones a efectuar o las modifique para adaptarlas a las necesidades del momento (STC 127/1987) [FJ 5].</w:t>
      </w:r>
    </w:p>
    <w:p w:rsidR="0085709A" w:rsidRDefault="0085709A" w:rsidP="0085709A">
      <w:pPr>
        <w:pStyle w:val="Extracto"/>
      </w:pPr>
    </w:p>
    <w:p w:rsidR="0085709A" w:rsidRDefault="0085709A" w:rsidP="0085709A">
      <w:pPr>
        <w:pStyle w:val="Extracto"/>
      </w:pPr>
      <w:r>
        <w:t>4.</w:t>
      </w:r>
      <w:r>
        <w:tab/>
        <w:t>El art. 50 CE, que reconoce la suficiencia económica de los ciudadanos durante la tercera edad y la garantía de actualización periódica, no supone obligadamente el incremento anual de todas las pensiones, de donde puede afirmarse que,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[FJ 5].</w:t>
      </w:r>
    </w:p>
    <w:p w:rsidR="0085709A" w:rsidRDefault="0085709A" w:rsidP="0085709A">
      <w:pPr>
        <w:pStyle w:val="Extracto"/>
      </w:pPr>
    </w:p>
    <w:p w:rsidR="0085709A" w:rsidRDefault="0085709A" w:rsidP="0085709A">
      <w:pPr>
        <w:pStyle w:val="Extracto"/>
      </w:pPr>
      <w:r>
        <w:t>5.</w:t>
      </w:r>
      <w:r>
        <w:tab/>
        <w:t>La limitación de la actualización de la capacidad adquisitiva de las pensiones más altas, en tanto se encuentra fundada en las exigencias derivadas del control del gasto público y del principio de solidaridad, goza de una justificación objetiva y razonable (STC 100/1990) [FJ 5].</w:t>
      </w:r>
    </w:p>
    <w:p w:rsidR="0085709A" w:rsidRDefault="0085709A" w:rsidP="0085709A">
      <w:pPr>
        <w:pStyle w:val="Extracto"/>
      </w:pPr>
    </w:p>
    <w:p w:rsidR="0085709A" w:rsidRDefault="0085709A" w:rsidP="0085709A">
      <w:pPr>
        <w:pStyle w:val="Extracto"/>
      </w:pPr>
      <w:r>
        <w:lastRenderedPageBreak/>
        <w:t>6.</w:t>
      </w:r>
      <w:r>
        <w:tab/>
        <w:t>La expresión “de acuerdo con lo que establezca la Ley de Presupuestos Generales del Estado” supone reconocer al legislador un cierto margen para hacer frente a la actualización de las pensiones en función de las posibilidades económicas del Sistema, sin que quepa olvidar que se trata de administrar medios económicos limitados para un gran número de necesidades sociales (STC 134/1987) [FJ 5].</w:t>
      </w:r>
    </w:p>
    <w:p w:rsidR="0085709A" w:rsidRDefault="0085709A" w:rsidP="0085709A">
      <w:pPr>
        <w:pStyle w:val="Extracto"/>
      </w:pPr>
    </w:p>
    <w:p w:rsidR="0085709A" w:rsidRDefault="0085709A" w:rsidP="0085709A">
      <w:pPr>
        <w:pStyle w:val="Extracto"/>
      </w:pPr>
      <w:r>
        <w:t>7.</w:t>
      </w:r>
      <w:r>
        <w:tab/>
        <w:t>La remisión que la Ley General de Seguridad Social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[FJ 5].</w:t>
      </w:r>
    </w:p>
    <w:p w:rsidR="0085709A" w:rsidRDefault="0085709A" w:rsidP="0085709A">
      <w:pPr>
        <w:pStyle w:val="Extracto"/>
      </w:pPr>
    </w:p>
    <w:p w:rsidR="0085709A" w:rsidRDefault="0085709A" w:rsidP="0085709A">
      <w:pPr>
        <w:pStyle w:val="Extracto"/>
      </w:pPr>
      <w:r>
        <w:t>8.</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5].</w:t>
      </w:r>
    </w:p>
    <w:p w:rsidR="0085709A" w:rsidRDefault="0085709A" w:rsidP="0085709A">
      <w:pPr>
        <w:pStyle w:val="Extracto"/>
      </w:pPr>
    </w:p>
    <w:p w:rsidR="0085709A" w:rsidRDefault="0085709A" w:rsidP="0085709A">
      <w:pPr>
        <w:pStyle w:val="Extracto"/>
      </w:pPr>
      <w:r>
        <w:t>9.</w:t>
      </w:r>
      <w:r>
        <w:tab/>
        <w:t>El eventual devengo de la diferencia entre el IPC real y el IPC previsto tiene lugar el 31 de diciembre, siendo la Ley de presupuestos generales del Estado el instrumento para determinar el quantum de esa actualización, al tiempo que el período de generación de dicha actualización es el año natural, coincidiendo con el ejercicio presupuestario y con el período a que se refiere tanto la pensión como su eventual revalorización y actualización, pero sin poder confundir ese período con la regla de cálculo que prevé la norma (de noviembre del ejercicio anterior a noviembre del ejercicio económico a que se refiere la revalorización) [FJ 5].</w:t>
      </w:r>
    </w:p>
    <w:p w:rsidR="0085709A" w:rsidRDefault="0085709A" w:rsidP="0085709A">
      <w:pPr>
        <w:pStyle w:val="Extracto"/>
      </w:pPr>
    </w:p>
    <w:p w:rsidR="0085709A" w:rsidRDefault="0085709A" w:rsidP="0085709A">
      <w:pPr>
        <w:pStyle w:val="Extracto"/>
      </w:pPr>
      <w:r>
        <w:t>10.</w:t>
      </w:r>
      <w:r>
        <w:tab/>
        <w:t>Sólo a 31 de diciembre puede hablarse de un derecho adquirido a la actualización de la revalorización de las pensiones realizada en los términos previstos en la Ley de presupuestos, por lo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[FJ 5].</w:t>
      </w:r>
    </w:p>
    <w:p w:rsidR="0085709A" w:rsidRDefault="0085709A" w:rsidP="0085709A">
      <w:pPr>
        <w:pStyle w:val="Extracto"/>
      </w:pPr>
    </w:p>
    <w:p w:rsidR="0085709A" w:rsidRDefault="0085709A" w:rsidP="0085709A">
      <w:pPr>
        <w:pStyle w:val="Extracto"/>
      </w:pPr>
      <w:r>
        <w:t>11.</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expropiatoria [FJ 6].</w:t>
      </w:r>
    </w:p>
    <w:p w:rsidR="0085709A" w:rsidRDefault="0085709A" w:rsidP="0085709A">
      <w:pPr>
        <w:pStyle w:val="Extracto"/>
      </w:pPr>
    </w:p>
    <w:p w:rsidR="0085709A" w:rsidRDefault="0085709A" w:rsidP="0085709A">
      <w:pPr>
        <w:pStyle w:val="Extracto"/>
      </w:pPr>
      <w:r>
        <w:t>12.</w:t>
      </w:r>
      <w:r>
        <w:tab/>
        <w:t xml:space="preserve">Falta en el art. 2.1 del Real Decreto-ley 28/2012 impugnado un elemento indispensable para que pueda calificarse la no actualización de las pensiones de medida expropiatoria, cual es que sólo son expropiables y, por tanto indemnizables la privación de bienes y derechos o incluso intereses patrimoniales legítimos aun no garantizados como derechos subjetivos (por ejemplo, las situaciones en precario), </w:t>
      </w:r>
      <w:r>
        <w:lastRenderedPageBreak/>
        <w:t>pero en ningún caso lo son las expectativas; es más, la doctrina jurídica y la jurisprudencia consideran, casi unánimemente, que sólo son indemnizables las privaciones de derechos ciertos, efectivos y actuales, pero no eventuales o futuros (STC 108/1986)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1114-2013, interpuesto por más de 50 diputados integrantes de los Grupos Parlamentarios Socialista, Izquierdo Unida (IU), Iniciativa per Cataluña Verds-Esquerra Unida y Alternativa (ICV-EUIA), Chunta Aragonesista (CHA), La Izquierda Plural, Partido Nacionalista Vasco (EAJ-PNV), Convergencia i Unió (CIU) y Unión Progreso y Democracia (UPyD), contra el art. 2.1 del Real Decreto Ley 28/2012, de 30 de noviembre, de medidas de consolidación y garantía del Sistema de la Seguridad Social. Ha intervenido el Abogado del Estado, en representación del Gobierno de la Nación.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26 de febrero de 2013, la Procuradora de los Tribunales doña Virginia Aragón Segura, en representación de 146 Diputados del Congreso, interpuso recurso de inconstitucionalidad contra el art. 2.1 del Real Decreto-ley 28/2012, de 30 de noviembre, de medidas de consolidación y garantía del sistema de la Seguridad Social.</w:t>
      </w:r>
    </w:p>
    <w:p w:rsidR="0085709A" w:rsidRDefault="0085709A" w:rsidP="0085709A">
      <w:pPr>
        <w:pStyle w:val="TextoNormal"/>
      </w:pPr>
    </w:p>
    <w:p w:rsidR="0085709A" w:rsidRDefault="0085709A" w:rsidP="0085709A">
      <w:pPr>
        <w:pStyle w:val="TextoNormal"/>
      </w:pPr>
      <w:r w:rsidRPr="0085709A">
        <w:rPr>
          <w:rStyle w:val="NumeroAFNegritaCaracter"/>
        </w:rPr>
        <w:t>2</w:t>
      </w:r>
      <w:r>
        <w:t>. Los motivos de este recurso de inconstitucionalidad son los que, sucintamente, se recogen a continuación:</w:t>
      </w:r>
    </w:p>
    <w:p w:rsidR="0085709A" w:rsidRDefault="0085709A" w:rsidP="0085709A">
      <w:pPr>
        <w:pStyle w:val="TextoNormal"/>
      </w:pPr>
    </w:p>
    <w:p w:rsidR="0085709A" w:rsidRDefault="0085709A" w:rsidP="0085709A">
      <w:pPr>
        <w:pStyle w:val="TextoNormal"/>
      </w:pPr>
      <w:r>
        <w:t xml:space="preserve">a) El escrito de interposición del recurso comienza recordando el marco constitucional del sistema de pensiones. Así, señala que uno de los pilares básicos del Estado social de derecho proclamado por el art. 1.1 CE viene constituido por nuestro sistema público de Seguridad Social, establecido para atender los estados de necesidad de los ciudadanos, tal como lo garantiza el art. 41 CE, especial y tradicionalmente a través de su acción protectora </w:t>
      </w:r>
      <w:r>
        <w:lastRenderedPageBreak/>
        <w:t>de las personas que han abandonado el mercado de trabajo a edad avanzada tras un largo período de actividad profesional, por medio del sistema de pensiones contributivas por jubilación. En particular, el art. 50 CE contiene un mandato preciso dirigido al Estado: “los poderes públicos garantizarán, mediante pensiones adecuadas y periódicamente actualizadas, la suficiencia económica a los ciudadanos durante la tercera edad”.</w:t>
      </w:r>
    </w:p>
    <w:p w:rsidR="0085709A" w:rsidRDefault="0085709A" w:rsidP="0085709A">
      <w:pPr>
        <w:pStyle w:val="TextoNormal"/>
      </w:pPr>
    </w:p>
    <w:p w:rsidR="0085709A" w:rsidRDefault="0085709A" w:rsidP="0085709A">
      <w:pPr>
        <w:pStyle w:val="TextoNormal"/>
      </w:pPr>
      <w:r>
        <w:t>Afirma que la previsión legal de actualización de las pensiones contributivas de Seguridad Social, a través del mecanismo de revalorización anual de las pensiones contemplado en el texto de la Ley general de la Seguridad Social, no es el mero resultado de la soberana decisión del poder legislativo expresado a través del Congreso de los Diputados, sino que, más allá de ello, constituye un riguroso desarrollo del mandato constitucional de actualización periódica de las pensiones para garantizar su suficiencia económica. Por tanto, a su juicio, ni el legislador ostenta una libertad plena e ilimitada de suprimir el mecanismo de revalorización periódica de las pensiones del mencionado precepto constitucional ni el modo en el que pudiera producirse alguna excepción puntual y justificada a dicha actualización puede obviar el conjunto de prescripciones constitucionales.</w:t>
      </w:r>
    </w:p>
    <w:p w:rsidR="0085709A" w:rsidRDefault="0085709A" w:rsidP="0085709A">
      <w:pPr>
        <w:pStyle w:val="TextoNormal"/>
      </w:pPr>
    </w:p>
    <w:p w:rsidR="0085709A" w:rsidRDefault="0085709A" w:rsidP="0085709A">
      <w:pPr>
        <w:pStyle w:val="TextoNormal"/>
      </w:pPr>
      <w:r>
        <w:t>b) Una vez expuesto el marco constitucional, se analiza el desarrollo legal del mandato de revalorización de pensiones. Señalan los recurrentes que el art. 48 de la Ley general de la Seguridad Social (LGSS) contempla tres reglas complementarias de materialización de la voluntad legislativa de revalorización periódica de las pensiones contributivas que se pueden resumir del siguiente modo:</w:t>
      </w:r>
    </w:p>
    <w:p w:rsidR="0085709A" w:rsidRDefault="0085709A" w:rsidP="0085709A">
      <w:pPr>
        <w:pStyle w:val="TextoNormal"/>
      </w:pPr>
    </w:p>
    <w:p w:rsidR="0085709A" w:rsidRDefault="0085709A" w:rsidP="0085709A">
      <w:pPr>
        <w:pStyle w:val="TextoNormal"/>
      </w:pPr>
      <w:r>
        <w:t>— a principios de cada año presupuestario se debe efectuar un incremento de las pensiones contributivas, cuya cuantía vendrá ponderada y vinculada a la previsión de incremento de la inflación que se prevea por el poder público se va a producir a lo largo de dicho ejercicio presupuestario;</w:t>
      </w:r>
    </w:p>
    <w:p w:rsidR="0085709A" w:rsidRDefault="0085709A" w:rsidP="0085709A">
      <w:pPr>
        <w:pStyle w:val="TextoNormal"/>
      </w:pPr>
    </w:p>
    <w:p w:rsidR="0085709A" w:rsidRDefault="0085709A" w:rsidP="0085709A">
      <w:pPr>
        <w:pStyle w:val="TextoNormal"/>
      </w:pPr>
      <w:r>
        <w:t>— una vez concluido dicho ejercicio presupuestario, si al final de noviembre, y por comparación con el final de noviembre del año precedente, la inflación efectivamente producida resulta superior a la previsión de la misma contemplada inicialmente para dar cumplimiento a la regla precedente, se reconoce un derecho de los perceptores de pensiones contributivas que experimentaron el incremento precedente a recibir un abono de pago único a lo largo del primer trimestre del año sucesivo, cuya cuantía consistirá precisamente en la diferencia entre la inflación prevista y la efectivamente producida;</w:t>
      </w:r>
    </w:p>
    <w:p w:rsidR="0085709A" w:rsidRDefault="0085709A" w:rsidP="0085709A">
      <w:pPr>
        <w:pStyle w:val="TextoNormal"/>
      </w:pPr>
    </w:p>
    <w:p w:rsidR="0085709A" w:rsidRDefault="0085709A" w:rsidP="0085709A">
      <w:pPr>
        <w:pStyle w:val="TextoNormal"/>
      </w:pPr>
      <w:r>
        <w:t>— a los efectos de la determinación de la pensión del año sucesivo, la cantidad diferencial en que consista el abono único de la regla anterior, se incorporará a la cuantía de la pensión del correspondiente beneficiario de la prestación pública, de modo que se producirá un efecto de consolidación de la diferencia mencionada.</w:t>
      </w:r>
    </w:p>
    <w:p w:rsidR="0085709A" w:rsidRDefault="0085709A" w:rsidP="0085709A">
      <w:pPr>
        <w:pStyle w:val="TextoNormal"/>
      </w:pPr>
    </w:p>
    <w:p w:rsidR="0085709A" w:rsidRDefault="0085709A" w:rsidP="0085709A">
      <w:pPr>
        <w:pStyle w:val="TextoNormal"/>
      </w:pPr>
      <w:r>
        <w:t>Literalmente idéntica es la regulación relativa a la revalorización de las pensiones del sistema de clases pasivas.</w:t>
      </w:r>
    </w:p>
    <w:p w:rsidR="0085709A" w:rsidRDefault="0085709A" w:rsidP="0085709A">
      <w:pPr>
        <w:pStyle w:val="TextoNormal"/>
      </w:pPr>
    </w:p>
    <w:p w:rsidR="0085709A" w:rsidRDefault="0085709A" w:rsidP="0085709A">
      <w:pPr>
        <w:pStyle w:val="TextoNormal"/>
      </w:pPr>
      <w:r>
        <w:t xml:space="preserve">La materialización de estas tres reglas, señalan los recurrentes, se produce a través de las correspondientes concreciones establecidas en cada una de las sucesivas leyes de presupuestos del Estado, si bien la obligación de abono y de cumplimiento de cada una de las tres reglas se produce en momentos diferenciados. Así, en la medida en que el momento del </w:t>
      </w:r>
      <w:r>
        <w:lastRenderedPageBreak/>
        <w:t>devengo periódico de la pensión es distinto, se da cumplimiento a cada uno de los mandatos legales en leyes presupuestarias diferenciadas.</w:t>
      </w:r>
    </w:p>
    <w:p w:rsidR="0085709A" w:rsidRDefault="0085709A" w:rsidP="0085709A">
      <w:pPr>
        <w:pStyle w:val="TextoNormal"/>
      </w:pPr>
    </w:p>
    <w:p w:rsidR="0085709A" w:rsidRDefault="0085709A" w:rsidP="0085709A">
      <w:pPr>
        <w:pStyle w:val="TextoNormal"/>
      </w:pPr>
      <w:r>
        <w:t>En concreto, para dar cumplimiento a la primera de las reglas, el incremento de la pensión conforme a la previsión de inflación para el año 2012, ese incremento se contempla en la Ley de presupuestos para dicho año 2012. El incremento que se viene a contemplar es del 1 por 100. Constatado por el Instituto Nacional de Estadística que el índice de precios al consumo entre el 30 de noviembre de 2011 y el 30 de noviembre de 2012 se elevó hasta el 2,9 por 100, la materialización de lo previsto en el art. 48 LGSS debería haber conducido al cumplimiento de las reglas 2 y 3 a través de las Ley de presupuestos generales del Estado para 2013, por mediación de la previsión de un pago único a lo largo del primer trimestre de dicho ejercicio por valor equivalente a la diferencia entre inflación prevista e inflación efectiva, es decir, por valor equivalente a un 1,9 por 100, cantidad que, conforme a la regla tercera, debería consolidarse igualmente. Al ser devengo que han de efectuarse en el año 2013 dicha previsión debería concretarse justamente en la ley de presupuestos, es decir, en la Ley 17/2012, de 27 de diciembre.</w:t>
      </w:r>
    </w:p>
    <w:p w:rsidR="0085709A" w:rsidRDefault="0085709A" w:rsidP="0085709A">
      <w:pPr>
        <w:pStyle w:val="TextoNormal"/>
      </w:pPr>
    </w:p>
    <w:p w:rsidR="0085709A" w:rsidRDefault="0085709A" w:rsidP="0085709A">
      <w:pPr>
        <w:pStyle w:val="TextoNormal"/>
      </w:pPr>
      <w:r>
        <w:t>Sin embargo, añaden, ni lo uno ni lo otro se ha materializado a través de esta última, por cuanto que el Gobierno ha resuelto no dar cumplimiento a dicha actualización de las pensiones contributivas para el ejercicio presupuestario de 2013. Y dicha decisión política se ha plasmado a través de la aprobación del Real Decreto-ley 28/2012, de 30 de noviembre, de medidas de consolidación y garantía del sistema de Seguridad Social.</w:t>
      </w:r>
    </w:p>
    <w:p w:rsidR="0085709A" w:rsidRDefault="0085709A" w:rsidP="0085709A">
      <w:pPr>
        <w:pStyle w:val="TextoNormal"/>
      </w:pPr>
    </w:p>
    <w:p w:rsidR="0085709A" w:rsidRDefault="0085709A" w:rsidP="0085709A">
      <w:pPr>
        <w:pStyle w:val="TextoNormal"/>
      </w:pPr>
      <w:r>
        <w:t>c) A tenor de todo lo señalado, los recurrentes consideran que la suspensión de la actualización de las pensiones en su modalidad contributiva para 2012 es contraria a la retroactividad de las disposiciones restrictivas de derechos individuales garantizada constitucionalmente (art. 9.3 CE), en relación con el mandato constitucional de actualización periódica de las pensiones a los efectos de asegurar su suficiencia económica (art. 50 CE).</w:t>
      </w:r>
    </w:p>
    <w:p w:rsidR="0085709A" w:rsidRDefault="0085709A" w:rsidP="0085709A">
      <w:pPr>
        <w:pStyle w:val="TextoNormal"/>
      </w:pPr>
    </w:p>
    <w:p w:rsidR="0085709A" w:rsidRDefault="0085709A" w:rsidP="0085709A">
      <w:pPr>
        <w:pStyle w:val="TextoNormal"/>
      </w:pPr>
      <w:r>
        <w:t>Afirman los recurrentes que la prohibición de retroactividad constitucionalmente tutelada pretende otorgar plena seguridad jurídica al ciudadano de que los derechos subjetivos plenamente adquiridos en el pasado y que son exigibles frente a terceros en todo caso, no pueden ser expropiados de su patrimonio jurídico a resultas de una posterior decisión política del poder legislativo a consecuencia de un determinado cambio normativo.</w:t>
      </w:r>
    </w:p>
    <w:p w:rsidR="0085709A" w:rsidRDefault="0085709A" w:rsidP="0085709A">
      <w:pPr>
        <w:pStyle w:val="TextoNormal"/>
      </w:pPr>
    </w:p>
    <w:p w:rsidR="0085709A" w:rsidRDefault="0085709A" w:rsidP="0085709A">
      <w:pPr>
        <w:pStyle w:val="TextoNormal"/>
      </w:pPr>
      <w:r>
        <w:t>Indican que lo que la Constitución prohíbe es la retroactividad de las normas, es decir, la proyección de sus efectos hacia el pasado, al tiempo que se interpreta que la Constitución no impide la eficacia inmediata de la norma hacia el futuro a partir de la entrada en vigor de la misma. Lo que se prohíbe es la retroactividad auténtica, pero no así la denominada retroactividad impropia, que depende de otras circunstancias conectadas con la seguridad jurídica y la previsibilidad de actuación futura de cada sujeto en atención al principio de protección de la confianza legítima.</w:t>
      </w:r>
    </w:p>
    <w:p w:rsidR="0085709A" w:rsidRDefault="0085709A" w:rsidP="0085709A">
      <w:pPr>
        <w:pStyle w:val="TextoNormal"/>
      </w:pPr>
    </w:p>
    <w:p w:rsidR="0085709A" w:rsidRDefault="0085709A" w:rsidP="0085709A">
      <w:pPr>
        <w:pStyle w:val="TextoNormal"/>
      </w:pPr>
      <w:r>
        <w:t xml:space="preserve">A estos efectos, consideran los recurrentes que el art. 2.1 del Real Decreto-ley 28/2012 establece una retroactividad auténtica, una retroactividad de grado máximo a todos los efectos. Como expresamente se contempla en el mencionado precepto, lo que se deja de atender es la obligación de actualizar las pensiones ya percibidas, las correspondientes al año 2012. Tiene la norma efectos hacia el pasado, por cuanto que lo que contempla el art. 48 LGSS y </w:t>
      </w:r>
      <w:r>
        <w:lastRenderedPageBreak/>
        <w:t>el art. 27 del texto refundido de la Ley de clases pasivas es un derecho a una actualización de la pensión del ejercicio presupuestario 2012, es decir, respecto de cantidades que ya deberían haberse percibido. Lo que se le sustrae al pensionista con esa previsión legal son cantidades que le corresponden por un período pasado, el ejercicio 2012, y no futuro, 2013. Retroactividad de grado mínima es proceder a no dar cumplimiento al incremento futuro de las pensiones contemplado en el art. 48.1.1 LGSS, que depende de lo que haga cada año la correspondiente Ley de presupuestos generales del Estado, pero no la regla segunda que figura en el art. 48.1.2 LGSS. La primera lo es hacia el futuro; la segunda lo es hacia el pasado y, por ende, su incumplimiento en el instante en el que se adopta la decisión contiene una evidente manifestación de retroactividad auténtica o de grado máximo.</w:t>
      </w:r>
    </w:p>
    <w:p w:rsidR="0085709A" w:rsidRDefault="0085709A" w:rsidP="0085709A">
      <w:pPr>
        <w:pStyle w:val="TextoNormal"/>
      </w:pPr>
    </w:p>
    <w:p w:rsidR="0085709A" w:rsidRDefault="0085709A" w:rsidP="0085709A">
      <w:pPr>
        <w:pStyle w:val="TextoNormal"/>
      </w:pPr>
      <w:r>
        <w:t>d) Recuerdan los recurrentes que no cualquier tipo de retroactividad se encuentra prohibida constitucionalmente, sino tan solo aquellas que tienen el carácter de “restrictivas de derechos individuales” (art. 9.3 CE).</w:t>
      </w:r>
    </w:p>
    <w:p w:rsidR="0085709A" w:rsidRDefault="0085709A" w:rsidP="0085709A">
      <w:pPr>
        <w:pStyle w:val="TextoNormal"/>
      </w:pPr>
    </w:p>
    <w:p w:rsidR="0085709A" w:rsidRDefault="0085709A" w:rsidP="0085709A">
      <w:pPr>
        <w:pStyle w:val="TextoNormal"/>
      </w:pPr>
      <w:r>
        <w:t>Afirman los recurrentes que no cabe la menor duda de que la medida adoptada presenta un carácter “restrictivo”. La norma elimina para 2012 un derecho previamente reconocido por el ordenamiento jurídico. Y la restricción afecta a un derecho individual. Ni se trata de la restricción de un derecho genérico, pues es claramente individual, ni se trata de la tutela de un mero interés jurídico, sino de un estricto derecho subjetivo constitucionalmente tutelado. Se trata de un derecho de titularidad individual, cuyo disfrute se ve restringido parcialmente en la medida en que se suprime una actualización a la que tienen derecho conforme a la legislación aplicable en el año 2012. Añaden que no estamos ante un mero interés legítimo a la percepción del incremento, sino ante un estricto derecho subjetivo que no es cualquier derecho legal, sino un derecho reconocido constitucionalmente cual es el correspondiente al de la percepción de una pensión periódicamente actualizada (art. 50 CE).</w:t>
      </w:r>
    </w:p>
    <w:p w:rsidR="0085709A" w:rsidRDefault="0085709A" w:rsidP="0085709A">
      <w:pPr>
        <w:pStyle w:val="TextoNormal"/>
      </w:pPr>
    </w:p>
    <w:p w:rsidR="0085709A" w:rsidRDefault="0085709A" w:rsidP="0085709A">
      <w:pPr>
        <w:pStyle w:val="TextoNormal"/>
      </w:pPr>
      <w:r>
        <w:t>Advierten que el constituyente, cuando ha establecido el ámbito objetivo de los derechos amparados por la garantía de la irretroactividad constitucional, no lo ha restringido exclusivamente al ámbito de los derechos fundamentales y libertades públicas contempladas entre los arts. 14 y 29 CE, sino que ha tenido un designio mucho más amplio y, por ello, lo ha referido al conjunto de los derechos individuales. Así, señalan que tras un titubeo inicial que los circunscribía a los derechos fundamentales (STC 27/1981, de 20 de julio), el Tribunal Constitucional asienta el criterio de que eso derechos individuales abarcan otros derechos adicionales a los fundamentales.</w:t>
      </w:r>
    </w:p>
    <w:p w:rsidR="0085709A" w:rsidRDefault="0085709A" w:rsidP="0085709A">
      <w:pPr>
        <w:pStyle w:val="TextoNormal"/>
      </w:pPr>
    </w:p>
    <w:p w:rsidR="0085709A" w:rsidRDefault="0085709A" w:rsidP="0085709A">
      <w:pPr>
        <w:pStyle w:val="TextoNormal"/>
      </w:pPr>
      <w:r>
        <w:t>A su juicio, el alcance de esta categoría de los “derechos individuales” puede presentar algunas dudas interpretativas, aun cuando ello en modo alguno puede incidir en un caso como el presente, desde el instante en que esa categoría de los derechos individuales cuando menos incluye siempre a los derechos constitucionalizados, entre los cuales desde luego se encuentra el correspondiente a la actualización de las pensiones como elementos instrumental imprescindible para hacer efectivo el correlativo derecho constitucional a la suficiencia económica de las pensiones pública del sistema de Seguridad Social.</w:t>
      </w:r>
    </w:p>
    <w:p w:rsidR="0085709A" w:rsidRDefault="0085709A" w:rsidP="0085709A">
      <w:pPr>
        <w:pStyle w:val="TextoNormal"/>
      </w:pPr>
    </w:p>
    <w:p w:rsidR="0085709A" w:rsidRDefault="0085709A" w:rsidP="0085709A">
      <w:pPr>
        <w:pStyle w:val="TextoNormal"/>
      </w:pPr>
      <w:r>
        <w:t xml:space="preserve">e) Finalmente, en relación con el art. 9.3 CE, señalan que la jurisprudencia constitucional viene a exigir también que la retroactividad prohibida no incida sobre una mera expectativa de derecho, sino que afecte en todos sus términos a un derecho plenamente adquirido y, por tanto, perfectamente incorporado al patrimonio jurídico de la persona perjudicada por la </w:t>
      </w:r>
      <w:r>
        <w:lastRenderedPageBreak/>
        <w:t>restricción de derechos contemplada en la norma reformadora. La clave se encuentra en que se trate de derechos que ya están en el patrimonio individual, es decir, que se trate de derechos consolidados, asumidos e integrados en el patrimonio del sujeto.</w:t>
      </w:r>
    </w:p>
    <w:p w:rsidR="0085709A" w:rsidRDefault="0085709A" w:rsidP="0085709A">
      <w:pPr>
        <w:pStyle w:val="TextoNormal"/>
      </w:pPr>
    </w:p>
    <w:p w:rsidR="0085709A" w:rsidRDefault="0085709A" w:rsidP="0085709A">
      <w:pPr>
        <w:pStyle w:val="TextoNormal"/>
      </w:pPr>
      <w:r>
        <w:t>Afirman los recurrentes que en este concreto caso puede demostrarse y constatarse que nos encontramos ante derechos subjetivos incorporados ya al patrimonio jurídico del pensionista, plenamente consagrados y agotados. Así, señalan que la pensión se percibe periódicamente y, específicamente, se va incorporando al patrimonio jurídico de su titular cada mes, en términos tales que tanto el abono de las pagas extraordinarias como el pago único para actualización conforme a la inflación efectiva constituye una mera postergación en el pago de un derecho que se adquiere plenamente mes a mes. El incremento del pago único viene referenciado a cada uno de los meses en los que el pensionista ha venido percibiendo la misma a lo largo de todo el año 2012; por tanto, el hecho causante de la norma se produce día a día, conforme transcurre el año de referencia y el pensionista sigue reuniendo los elementos configuradores del hecho causante. De este modo, puede afirmarse que con el pago único lo que se hace es abonar una parte de meses vencidos que se ha ido retrasando en el pago hasta la constatación matemática de cuál ha sido el incremento del índice de precios al consumo de noviembre de 2011 a noviembre de 2012, de modo que esas cantidades se adeudan por períodos de tiempo ya transcurridos, es decir, por deudas de pasado, que no de futuro.</w:t>
      </w:r>
    </w:p>
    <w:p w:rsidR="0085709A" w:rsidRDefault="0085709A" w:rsidP="0085709A">
      <w:pPr>
        <w:pStyle w:val="TextoNormal"/>
      </w:pPr>
    </w:p>
    <w:p w:rsidR="0085709A" w:rsidRDefault="0085709A" w:rsidP="0085709A">
      <w:pPr>
        <w:pStyle w:val="TextoNormal"/>
      </w:pPr>
      <w:r>
        <w:t>A estos efectos, consideran que el pago único a lo largo del primer trimestre del ejercicio económico siguiente se identifica legalmente en cuanto a su configuración jurídica a todos los efectos al de una tercera paga extraordinaria cuyo derecho se va consolidando a lo largo de todo el año, con independencia de que materialmente se haya de abonar ya entrado el año siguiente.</w:t>
      </w:r>
    </w:p>
    <w:p w:rsidR="0085709A" w:rsidRDefault="0085709A" w:rsidP="0085709A">
      <w:pPr>
        <w:pStyle w:val="TextoNormal"/>
      </w:pPr>
    </w:p>
    <w:p w:rsidR="0085709A" w:rsidRDefault="0085709A" w:rsidP="0085709A">
      <w:pPr>
        <w:pStyle w:val="TextoNormal"/>
      </w:pPr>
      <w:r>
        <w:t>Señalan que no cabe confundir el momento de consolidación del derecho en el patrimonio del pensionista con el momento formal de surgimiento del devengo de dicha cantidad por parte de la Seguridad social. Es cierto que la norma se remite expresamente a la Ley de presupuestos, sin embargo tal remisión lo es a los meros efectos de materialización contable de una obligación ya plenamente asumida por el sistema de Seguridad Social. La remisión a la Ley de presupuestos del año siguiente tiene su única explicación en la circunstancia de que contablemente el abono del pago único se ha de efectuar en el primer trimestre del ejercicio presupuestario siguiente, pero lo relevante es que se ha de efectuar para dar cumplimiento a una deuda pendiente de pago, correspondiente al ejercicio precedente, con la única particularidad de que se devenga al siguiente. Se trata, así, a su juicio, de un ejemplo más de múltiples situaciones en las que la Administración pública tiene comprometido por anticipado el pago de determinadas deudas, que han surgido en el pasado, pero que se van a abonar materialmente en el siguiente año presupuestario.</w:t>
      </w:r>
    </w:p>
    <w:p w:rsidR="0085709A" w:rsidRDefault="0085709A" w:rsidP="0085709A">
      <w:pPr>
        <w:pStyle w:val="TextoNormal"/>
      </w:pPr>
    </w:p>
    <w:p w:rsidR="0085709A" w:rsidRDefault="0085709A" w:rsidP="0085709A">
      <w:pPr>
        <w:pStyle w:val="TextoNormal"/>
      </w:pPr>
      <w:r>
        <w:t xml:space="preserve">Indican que otra prueba de que se trata de derechos que se van consolidando periódicamente con el paso del tiempo, a semejanza de lo que sucede con el abono de las pagas extraordinarias, es que en el caso concreto de pensionistas que han fallecido a lo largo del correspondiente ejercicio presupuestario, lo mismo han ido consolidando la parte del pago único correspondiente al período de tiempo transcurrido entre el 1 de enero del correspondiente año y la fecha en la que se produjo el fallecimiento. Prueba de ello es que la Seguridad </w:t>
      </w:r>
      <w:r>
        <w:lastRenderedPageBreak/>
        <w:t>Social cuando ha procedido en el pasado al abono de este pago de actualización de la pensión, también lo ha realizado a favor de los herederos de los fallecidos en el año precedente y lo ha hecho justamente en relación a la parte proporcional del año transcurrido hasta el momento preciso del fallecimiento.</w:t>
      </w:r>
    </w:p>
    <w:p w:rsidR="0085709A" w:rsidRDefault="0085709A" w:rsidP="0085709A">
      <w:pPr>
        <w:pStyle w:val="TextoNormal"/>
      </w:pPr>
    </w:p>
    <w:p w:rsidR="0085709A" w:rsidRDefault="0085709A" w:rsidP="0085709A">
      <w:pPr>
        <w:pStyle w:val="TextoNormal"/>
      </w:pPr>
      <w:r>
        <w:t>f) A continuación, y una vez expuestos los motivos por los que consideran que el art. 2.1 del Real Decreto-ley 28/2012 vulnera el art. 9.3 CE, los recurrentes afirman que dicho precepto es también inconstitucional por vulneración del art. 33.3 CE. Señalan que la norma resulta ser, objetivamente ya que no en su dicción literal, una norma de contenido expropiatorio y que lo es sin respetar la exigencia contenida en el art. 33.3 CE de que tal efecto expropiatorio sea compensado por “la correspondiente indemnización”.</w:t>
      </w:r>
    </w:p>
    <w:p w:rsidR="0085709A" w:rsidRDefault="0085709A" w:rsidP="0085709A">
      <w:pPr>
        <w:pStyle w:val="TextoNormal"/>
      </w:pPr>
    </w:p>
    <w:p w:rsidR="0085709A" w:rsidRDefault="0085709A" w:rsidP="0085709A">
      <w:pPr>
        <w:pStyle w:val="TextoNormal"/>
      </w:pPr>
      <w:r>
        <w:t>Afirman que el Real Decreto-ley 28/2012, de 30 de noviembre, ha procedido a una expropiación —la que afecta al derecho de los titulares de pensión contributiva en 30 de noviembre de 2012 a ver actualizada su pensión mediante una paga única por el importe de la diferencia entre la inflación prevista para el período 30 de noviembre de 2011/30 de noviembre de 2012 y a incorporar esa diferencia a la base de la pensión correspondiente a 2013— con o sin causa justa pero, en todo caso, sin indemnización a favor de los así expropiados, lo que implica una expropiación inconstitucional en tanto viola al menos uno de los requisitos que para proceder a las mismas impone el art. 33.3 CE.</w:t>
      </w:r>
    </w:p>
    <w:p w:rsidR="0085709A" w:rsidRDefault="0085709A" w:rsidP="0085709A">
      <w:pPr>
        <w:pStyle w:val="TextoNormal"/>
      </w:pPr>
    </w:p>
    <w:p w:rsidR="0085709A" w:rsidRDefault="0085709A" w:rsidP="0085709A">
      <w:pPr>
        <w:pStyle w:val="TextoNormal"/>
      </w:pPr>
      <w:r w:rsidRPr="0085709A">
        <w:rPr>
          <w:rStyle w:val="NumeroAFNegritaCaracter"/>
        </w:rPr>
        <w:t>3</w:t>
      </w:r>
      <w:r>
        <w:t>. El Pleno, a propuesta de la Sección Tercera, acordó, por providencia de 12 de marzo de 2013,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Asimismo, ordenó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4</w:t>
      </w:r>
      <w:r>
        <w:t>. Por escrito registrado en el Tribunal el 27 de marzo de 2013, se personó el Abogado del Estado y solicitó prórroga del plazo concedido para la presentación del escrito de alegaciones.</w:t>
      </w:r>
    </w:p>
    <w:p w:rsidR="0085709A" w:rsidRDefault="0085709A" w:rsidP="0085709A">
      <w:pPr>
        <w:pStyle w:val="TextoNormal"/>
      </w:pPr>
    </w:p>
    <w:p w:rsidR="0085709A" w:rsidRDefault="0085709A" w:rsidP="0085709A">
      <w:pPr>
        <w:pStyle w:val="TextoNormal"/>
      </w:pPr>
      <w:r>
        <w:t>El Pleno del Tribunal acordó, por providencia de 1 de abril de 2013, tener por personado al Abogado del Estado y concederle una prórroga en ocho días más del plazo concedido para realizar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El Presidente del Senado, mediante escrito registrado el día 4 de abril de 2013, comunicó que la Cámara se personaba en el procedimiento ofreciendo su colaboración a los efectos del art. 88.1 LOTC. Lo mismo hizo el Presidente del Congreso por escrito registrado el 5 de abril de 2013.</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se personó, mediante escrito de alegaciones registrado en el Tribunal el 23 de abril de 2013, interesando la desestimación del recurso interpuesto por las razones que, resumidamente, se exponen a continuación:</w:t>
      </w:r>
    </w:p>
    <w:p w:rsidR="0085709A" w:rsidRDefault="0085709A" w:rsidP="0085709A">
      <w:pPr>
        <w:pStyle w:val="TextoNormal"/>
      </w:pPr>
    </w:p>
    <w:p w:rsidR="0085709A" w:rsidRDefault="0085709A" w:rsidP="0085709A">
      <w:pPr>
        <w:pStyle w:val="TextoNormal"/>
      </w:pPr>
      <w:r>
        <w:lastRenderedPageBreak/>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lastRenderedPageBreak/>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y por lo que se refiere a la vulneración del art. 33.3 CE, señala que el presupuesto para entender vulnerado este artículo es el mismo que el presupuesto para entender vulnerado el art. 9.3 CE, nos encontramos ante derechos consolidados integrantes del patrimonio de cada pensionista, del que ha sido privado y que, en consecuencia, exige una justa indemnización. Sin embargo, a juicio del Abogado del Estado, el art. 2.1 del Real Decreto-ley 28/2012 no afecta a derechos ya adquiridos por los particulares, al no haberse integrado en su patrimonio el derecho a la actualización de las pensiones que no se aplica, en el momento de la entrada en vigor de la norma que las acuerda, la Ley de presupuestos del año siguiente que será, en cuanto a quienes, cuanto y cuando, quien lo fije. Por tanto, si no existen derechos adquiridos afectados por la norma, sino una posible expectativa, no puede considerarse producido el supuesto contemplado en el art. 33.3, esto es la privación de derechos.</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3 de marzo de 2015 se señaló para deliberación y votación de la presente Sentencia el día 5 del mismo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se interpone por 146 Diputados de diversos Grupos Parlamentarios contra el art. 2.1 del Real Decreto-ley 28/2012, de 30 de noviembre, de medidas de consolidación y garantía del sistema de la Seguridad Social, que deja sin efecto, para el ejercicio 2012, la actualización de las pensiones para el caso de que el índice de precios al consumo (IPC) correspondiente al período comprendido entre noviembre del ejercicio anterior y noviembre del ejercicio económico en curso sea superior al IPC previsto y en función del cual se calcula la revalorización de la pensión.</w:t>
      </w:r>
    </w:p>
    <w:p w:rsidR="0085709A" w:rsidRDefault="0085709A" w:rsidP="0085709A">
      <w:pPr>
        <w:pStyle w:val="TextoNormal"/>
      </w:pPr>
    </w:p>
    <w:p w:rsidR="0085709A" w:rsidRDefault="0085709A" w:rsidP="0085709A">
      <w:pPr>
        <w:pStyle w:val="TextoNormal"/>
      </w:pPr>
      <w:r>
        <w:t>Consideran los recurrentes que el citado precepto vulnera el art. 9.3 CE al establecer una retroactividad auténtica contraria al derecho, constitucionalmente reconocido en el art. 50 CE, a la percepción de una pensión periódica y actualizada. Entienden, asimismo, que el precepto vulnera el art. 33.3 CE pues implica una expropiación de derechos con o sin causa justa, pero en todo caso, sin indemnización a favor de los así expropiados.</w:t>
      </w:r>
    </w:p>
    <w:p w:rsidR="0085709A" w:rsidRDefault="0085709A" w:rsidP="0085709A">
      <w:pPr>
        <w:pStyle w:val="TextoNormal"/>
      </w:pPr>
    </w:p>
    <w:p w:rsidR="0085709A" w:rsidRDefault="0085709A" w:rsidP="0085709A">
      <w:pPr>
        <w:pStyle w:val="TextoNormal"/>
      </w:pPr>
      <w:r>
        <w:t>El Abogado del Estado interesa la desestimación del recurso porque, a su juicio, la actualización de las pensiones conforme al IPC del año en curso no constituye un derecho consolidado integrado en el patrimonio del pensionista sino una mera expectativa de derecho y, como mucho, un derecho condicionado a la fijación de su contenido por la Ley de presupuestos generales del año siguiente si existe diferencia entre el IPC previsto y el acumulado a noviembre del ejercicio económico correspondiente.</w:t>
      </w:r>
    </w:p>
    <w:p w:rsidR="0085709A" w:rsidRDefault="0085709A" w:rsidP="0085709A">
      <w:pPr>
        <w:pStyle w:val="TextoNormal"/>
      </w:pPr>
    </w:p>
    <w:p w:rsidR="0085709A" w:rsidRDefault="0085709A" w:rsidP="0085709A">
      <w:pPr>
        <w:pStyle w:val="TextoNormal"/>
      </w:pPr>
      <w:r w:rsidRPr="0085709A">
        <w:rPr>
          <w:rStyle w:val="NumeroAFNegritaCaracter"/>
        </w:rPr>
        <w:t>2</w:t>
      </w:r>
      <w:r>
        <w:t>. Los arts. 48 del texto refundido de la Ley general de la Seguridad Social, aprobado por Real Decreto Legislativo 1/1994, de 20 de junio (en adelante, LGSS), y 27 del texto refundido de la Ley de clases pasivas del Estado, aprobado por Real Decreto Legislativo 670/1987, de 30 de abril, regulan, en cumplimiento del mandato constitucional previsto en el art. 50 CE, la revalorización de las pensiones. Estos preceptos han sufrido varias modificaciones a lo largo de los años. Así, hasta el año 1997 las pensiones reconocidas por jubilación o por invalidez permanente, en su modalidad contributiva, eran revalorizadas al comienzo de cada año, de acuerdo con el índice de precios al consumo previsto para dicho año, mientras que el resto de las pensiones reconocidas por el sistema de la Seguridad Social eran revalorizadas periódicamente por el Gobierno, a propuesta del Ministro de Trabajo y Seguridad Social, teniendo en cuenta, entre otros factores indicativos, la elevación del nivel medio de los salarios, el índice de precios al consumo y la evolución general de la economía, así como las posibilidades económicas del sistema de la Seguridad Social. La desviación que pudiera producirse sobre las previsiones de inflación para cada año sólo era tenida en cuenta en el año siguiente para mejorar todas las pensiones contributivas inferiores al salario mínimo interprofesional.</w:t>
      </w:r>
    </w:p>
    <w:p w:rsidR="0085709A" w:rsidRDefault="0085709A" w:rsidP="0085709A">
      <w:pPr>
        <w:pStyle w:val="TextoNormal"/>
      </w:pPr>
    </w:p>
    <w:p w:rsidR="0085709A" w:rsidRDefault="0085709A" w:rsidP="0085709A">
      <w:pPr>
        <w:pStyle w:val="TextoNormal"/>
      </w:pPr>
      <w:r>
        <w:t xml:space="preserve">La Ley 24/1997, de 15 de julio, de consolidación y racionalización del sistema de Seguridad Social, estableció la revalorización automática de las pensiones en función del índice de precios al consumo previsto para ese año (arts. 48.1.1 LGSS y 27.1 párrafo primero del texto refundido de la Ley de clases pasivas del Estado). Ahora bien, como la revalorización de las pensiones se realizaba en función de una estimación de la variación de precios al comienzo de cada año IPC y podía resultar que esa estimación no fuera exacta bien por ser inferior o superior a la variación real, la Ley general de Seguridad Social, art. 48.1.2, y el </w:t>
      </w:r>
      <w:r>
        <w:lastRenderedPageBreak/>
        <w:t>texto refundido de la Ley de clases pasivas del Estado, art. 27.1 párrafo segundo, previeron reglas específicas para estos casos. Así, de acuerdo con el art. 48.1.2 LGSS, regla recogida en iguales términos en el texto refundido de la Ley de clases pasivas del Estado, “si el índice de precios al consumo acumulado, correspondiente al período comprendido entre noviembre del ejercicio anterior y noviembre del ejercicio económico a que se refiere la revalorización, fuese superior al índice previsto, y en función del cual se calculó dicha revalorización, se procederá a la correspondiente actualización de acuerdo con lo que establezca la respectiva Ley de Presupuestos Generales del Estado. A tales efectos, a los pensionistas cuyas pensiones hubiesen sido objeto de revalorización en el ejercicio anterior, se les abonará la diferencia en un pago único, antes del 1 de abril del ejercicio posterior”. De este modo, conviene precisar, a efectos terminológicos, que el legislador utiliza el término revalorización para hacer referencia al incremento de la cuantía de las pensiones al comienzo de cada año y el término actualización para hacer referencia a la cantidad que debe abonarse a los pensionistas en caso de que el IPC real sea superior al IPC previsto.</w:t>
      </w:r>
    </w:p>
    <w:p w:rsidR="0085709A" w:rsidRDefault="0085709A" w:rsidP="0085709A">
      <w:pPr>
        <w:pStyle w:val="TextoNormal"/>
      </w:pPr>
    </w:p>
    <w:p w:rsidR="0085709A" w:rsidRDefault="0085709A" w:rsidP="0085709A">
      <w:pPr>
        <w:pStyle w:val="TextoNormal"/>
      </w:pPr>
      <w:r>
        <w:t>Como consecuencia de la crisis económica, la revalorización y actualización de las pensiones ha sufrido distintos avatares legislativos en los últimos años. Así, el Real Decreto-ley 8/2010, de 20 de mayo, por el que se adoptan medidas extraordinarias para la reducción del déficit público, procedió a suspender para el ejercicio de 2011 la aplicación de lo previsto en el artículo 48.1.1 de la Ley general de la Seguridad Social y en el art. 27.1 del texto refundido de la Ley de clases pasivas del Estado, es decir, la revalorización de las pensiones de la Seguridad Social en su modalidad contributiva, con la excepción de las pensiones mínimas de dicho sistema y de las pensiones no concurrentes del extinguido seguro obligatorio de vejez e invalidez. Dicha suspensión tampoco quedó prevista para las pensiones no contributivas de la Seguridad Social. Asimismo, para el año 2012 las pensiones se revalorizaron en un 1 por 100 (art. 5 Real Decreto-ley 20/2011, de 30 de diciembre, de medidas urgentes en materia presupuestaria, tributaria y financiera para la corrección del déficit público), sin embargo ese año no se abonó la diferencia entre el IPC real y el IPC previsto ya que el Real Decreto-ley 28/2012, de 30 de noviembre, de medidas de consolidación y garantía del sistema de Seguridad Social, dejó sin efecto la actualización de las pensiones para 2012. Finalmente, el sistema de revalorización de las pensiones se ha modificado por la Ley 23/2013, de 23 de diciembre, reguladora del factor de sostenibilidad y del índice de revalorización del sistema de pensiones a la Seguridad Social. Así, a partir de su entrada en vigor las pensiones se incrementarán al comienzo de cada año en función del índice de revalorización previsto en la correspondiente Ley de presupuestos generales del Estado que se fijará en atención a los ingresos del sistema de Seguridad Social, el número de pensiones contributivas del Sistema, la variación interanual de la pensión media del sistema en un año en ausencia de revalorización y el importe de los gastos del sistema de la Seguridad Social. Esta nueva regla de revalorización no afecta al presente recurso de inconstitucionalidad pues la norma cuestionada fue aprobada en el año 2012 y, por tanto, las reglas sobre revalorización y actualización de las pensiones vigentes en ese momento eran las descritas en el párrafo anterior.</w:t>
      </w:r>
    </w:p>
    <w:p w:rsidR="0085709A" w:rsidRDefault="0085709A" w:rsidP="0085709A">
      <w:pPr>
        <w:pStyle w:val="TextoNormal"/>
      </w:pPr>
    </w:p>
    <w:p w:rsidR="0085709A" w:rsidRDefault="0085709A" w:rsidP="0085709A">
      <w:pPr>
        <w:pStyle w:val="TextoNormal"/>
      </w:pPr>
      <w:r w:rsidRPr="0085709A">
        <w:rPr>
          <w:rStyle w:val="NumeroAFNegritaCaracter"/>
        </w:rPr>
        <w:t>3</w:t>
      </w:r>
      <w:r>
        <w:t>. Una vez expuesta brevemente la evolución legislativa en materia de revalorización y actualización de pensiones, resulta necesario reproducir el contenido del precepto cuestionado en el presente recurso, el art. 2.1 del Real Decreto-ley 28/2012, de 30 de noviembre, de medidas de consolidación y garantía del sistema de Seguridad Social, según el cual:</w:t>
      </w:r>
    </w:p>
    <w:p w:rsidR="0085709A" w:rsidRDefault="0085709A" w:rsidP="0085709A">
      <w:pPr>
        <w:pStyle w:val="TextoNormal"/>
      </w:pPr>
    </w:p>
    <w:p w:rsidR="0085709A" w:rsidRDefault="0085709A" w:rsidP="0085709A">
      <w:pPr>
        <w:pStyle w:val="TextoNormal"/>
      </w:pPr>
      <w:r>
        <w:lastRenderedPageBreak/>
        <w:t>“Se deja sin efecto para el ejercicio 2012 la actualización de las pensiones en los términos previstos en el apartado 1.2 del artículo 48 del texto refundido de la Ley General de la Seguridad Social, aprobado por Real Decreto Legislativo 1/1994, de 20 de junio, y en el párrafo segundo del apartado 1 del artículo 27 del texto refundido de la Ley de Clases Pasivas del Estado, aprobado por Real Decreto legislativo 670/1987, de 30 de abril.”</w:t>
      </w:r>
    </w:p>
    <w:p w:rsidR="0085709A" w:rsidRDefault="0085709A" w:rsidP="0085709A">
      <w:pPr>
        <w:pStyle w:val="TextoNormal"/>
      </w:pPr>
    </w:p>
    <w:p w:rsidR="0085709A" w:rsidRDefault="0085709A" w:rsidP="0085709A">
      <w:pPr>
        <w:pStyle w:val="TextoNormal"/>
      </w:pPr>
      <w:r>
        <w:t>El elevado déficit del sistema de la Seguridad Social durante el ejercicio 2012 y la necesidad de cumplir con el objetivo del déficit público, son las razones que según la exposición de motivos del Real Decreto-ley 28/2012, obligaron con carácter de extraordinaria y urgente necesidad a dejar sin efecto la actualización de las pensiones en el ejercicio 2012 y a suspender la revalorización de las pensiones para el ejercicio de 2013 en los términos previstos en el art. 48 LGSS y en el artículo 27 de la Ley de clases pasivas del Estado.</w:t>
      </w:r>
    </w:p>
    <w:p w:rsidR="0085709A" w:rsidRDefault="0085709A" w:rsidP="0085709A">
      <w:pPr>
        <w:pStyle w:val="TextoNormal"/>
      </w:pPr>
    </w:p>
    <w:p w:rsidR="0085709A" w:rsidRDefault="0085709A" w:rsidP="0085709A">
      <w:pPr>
        <w:pStyle w:val="TextoNormal"/>
      </w:pPr>
      <w:r>
        <w:t>En suma, como ya hemos señalado, para el año 2012 las pensiones se revalorizaron un 1 por 100, pero el IPC acumulado de noviembre de 2011 a noviembre de 2012 resultó ser un 2,9 por 100. En consecuencia, de conformidad con lo previsto en los arts. 48.1.2 LGSS y 27.1 de la Ley de clases pasivas del Estado debería haberse procedido, en principio, a la correspondiente actualización de acuerdo con lo que establezca la Ley de presupuestos generales del Estado. Sin embargo, el Real Decreto-ley 28/2012, de 30 de noviembre, dejó sin efecto la actualización de las pensiones conforme al IPC real en dicho ejercicio, lo que, a juicio de los recurrentes, es inconstitucional por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4</w:t>
      </w:r>
      <w:r>
        <w:t>. Para dar adecuada respuesta a la duda de constitucionalidad planteada hemos de tener presente nuestra doctrina sobre el principio de irretroactividad contemplado en el art.9.3 CE.</w:t>
      </w:r>
    </w:p>
    <w:p w:rsidR="0085709A" w:rsidRDefault="0085709A" w:rsidP="0085709A">
      <w:pPr>
        <w:pStyle w:val="TextoNormal"/>
      </w:pPr>
    </w:p>
    <w:p w:rsidR="0085709A" w:rsidRDefault="0085709A" w:rsidP="0085709A">
      <w:pPr>
        <w:pStyle w:val="TextoNormal"/>
      </w:pPr>
      <w:r>
        <w:t>a) Es doctrina reiterada de este Tribunal la de que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entre otras razones porque la interdicción absoluta de cualquier tipo de retroactividad conduciría a situaciones de congelación o petrificación del ordenamiento jurídico, lo que resulta inadmisible —ello, obviamente, sin perjuicio del debido respeto a otros principios consagrados en el art. 9.3 CE— (SSTC 108/1986, de 29 de julio, FJ 17; 99/1987, de 11 de junio, FJ 6).</w:t>
      </w:r>
    </w:p>
    <w:p w:rsidR="0085709A" w:rsidRDefault="0085709A" w:rsidP="0085709A">
      <w:pPr>
        <w:pStyle w:val="TextoNormal"/>
      </w:pPr>
    </w:p>
    <w:p w:rsidR="0085709A" w:rsidRDefault="0085709A" w:rsidP="0085709A">
      <w:pPr>
        <w:pStyle w:val="TextoNormal"/>
      </w:pPr>
      <w:r>
        <w:t>b) La expresión “restricción de derechos individuales” del art. 9.3 CE ha de equipararse a la idea de sanción, por lo cual el límite de dicho artículo hay que considerar que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rsidR="0085709A" w:rsidRDefault="0085709A" w:rsidP="0085709A">
      <w:pPr>
        <w:pStyle w:val="TextoNormal"/>
      </w:pPr>
    </w:p>
    <w:p w:rsidR="0085709A" w:rsidRDefault="0085709A" w:rsidP="0085709A">
      <w:pPr>
        <w:pStyle w:val="TextoNormal"/>
      </w:pPr>
      <w:r>
        <w:t xml:space="preserve">c) Lo que el art. 9.3 CE prohíbe es “la incidencia de la nueva ley en los efectos jurídicos ya producidos de situaciones anteriores, de suerte que la incidencia en los derechos, en cuanto a su proyección hacia el futuro, no pertenece al campo estricto de la irretroactividad” </w:t>
      </w:r>
      <w:r>
        <w:lastRenderedPageBreak/>
        <w:t>(STC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 9.3 CE, cuando incide sobre “relaciones consagradas” y afecta a “situaciones agotadas” [por todas, STC 99/1987, de 11 de junio, FJ 6 b)]” (STC 112/2006, de 5 de abril, FJ 17).</w:t>
      </w:r>
    </w:p>
    <w:p w:rsidR="0085709A" w:rsidRDefault="0085709A" w:rsidP="0085709A">
      <w:pPr>
        <w:pStyle w:val="TextoNormal"/>
      </w:pPr>
    </w:p>
    <w:p w:rsidR="0085709A" w:rsidRDefault="0085709A" w:rsidP="0085709A">
      <w:pPr>
        <w:pStyle w:val="TextoNormal"/>
      </w:pPr>
      <w:r w:rsidRPr="0085709A">
        <w:rPr>
          <w:rStyle w:val="NumeroAFNegritaCaracter"/>
        </w:rPr>
        <w:t>5</w:t>
      </w:r>
      <w:r>
        <w:t>. De acuerdo con la doctrina expuesta, resulta ineludible determinar con carácter previo si en el momento en que se dictó el Real Decreto-ley 28/2012, de 30 de noviembre, de medidas de consolidación y garantía del Sistema de la Seguridad Social, los pensionistas tenían una mera expectativa de derecho a recibir la diferencia entre el IPC real y el IPC estimado para el año 2012 o, por el contrario, tenían un derecho consolidado, asumido e integrado en su patrimonio.</w:t>
      </w:r>
    </w:p>
    <w:p w:rsidR="0085709A" w:rsidRDefault="0085709A" w:rsidP="0085709A">
      <w:pPr>
        <w:pStyle w:val="TextoNormal"/>
      </w:pPr>
    </w:p>
    <w:p w:rsidR="0085709A" w:rsidRDefault="0085709A" w:rsidP="0085709A">
      <w:pPr>
        <w:pStyle w:val="TextoNormal"/>
      </w:pPr>
      <w:r>
        <w:t>A estos efectos, consideran los recurrentes que el art. 2.1 del Real Decreto-ley 28/2012 establece una retroactividad auténtica, pues lo que se deja de atender es la obligación de actualizar las pensiones ya percibidas, o sea, las correspondientes al año 2012. Sin embargo, para el Abogado del Estado la actualización de las pensiones conforme al IPC del año en curso no constituye un derecho consolidado integrado en el patrimonio del pensionista, sino una mera expectativa de derecho y, como mucho, un derecho condicionado a la fijación de su contenido por la Ley general de presupuestos del año siguiente si existe diferencia entre el IPC previsto y el acumulado a noviembre del ejercicio económico correspondiente.</w:t>
      </w:r>
    </w:p>
    <w:p w:rsidR="0085709A" w:rsidRDefault="0085709A" w:rsidP="0085709A">
      <w:pPr>
        <w:pStyle w:val="TextoNormal"/>
      </w:pPr>
    </w:p>
    <w:p w:rsidR="0085709A" w:rsidRDefault="0085709A" w:rsidP="0085709A">
      <w:pPr>
        <w:pStyle w:val="TextoNormal"/>
      </w:pPr>
      <w:r>
        <w:t>La revalorización de las pensiones obedece a la necesidad de garantizar su poder adquisitivo en consonancia con el mandato constitucional, en virtud del cual los poderes públicos deberán garantizar, mediante pensiones adecuadas y periódicamente actualizadas, la suficiencia económica de los ciudadanos durante la tercera edad (art. 50 CE), así como “prestaciones sociales suficientes ante situaciones de necesidad” (art. 41 CE). De acuerdo con la interpretación que este Tribunal ha hecho de esta materia debemos tener en cuenta que:</w:t>
      </w:r>
    </w:p>
    <w:p w:rsidR="0085709A" w:rsidRDefault="0085709A" w:rsidP="0085709A">
      <w:pPr>
        <w:pStyle w:val="TextoNormal"/>
      </w:pPr>
    </w:p>
    <w:p w:rsidR="0085709A" w:rsidRDefault="0085709A" w:rsidP="0085709A">
      <w:pPr>
        <w:pStyle w:val="TextoNormal"/>
      </w:pPr>
      <w:r>
        <w:t>a) “Corresponde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(STC 114/1987, de 6 de julio, FJ 3);</w:t>
      </w:r>
    </w:p>
    <w:p w:rsidR="0085709A" w:rsidRDefault="0085709A" w:rsidP="0085709A">
      <w:pPr>
        <w:pStyle w:val="TextoNormal"/>
      </w:pPr>
    </w:p>
    <w:p w:rsidR="0085709A" w:rsidRDefault="0085709A" w:rsidP="0085709A">
      <w:pPr>
        <w:pStyle w:val="TextoNormal"/>
      </w:pPr>
      <w:r>
        <w:t>b) el art. 50 CE tiende “a erradicar situaciones de necesidad, que habrán de ser determinadas y apreciadas, teniendo en cuenta el contexto general en que se produzcan,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127/1987, de 16 de julio, FJ 4);</w:t>
      </w:r>
    </w:p>
    <w:p w:rsidR="0085709A" w:rsidRDefault="0085709A" w:rsidP="0085709A">
      <w:pPr>
        <w:pStyle w:val="TextoNormal"/>
      </w:pPr>
    </w:p>
    <w:p w:rsidR="0085709A" w:rsidRDefault="0085709A" w:rsidP="0085709A">
      <w:pPr>
        <w:pStyle w:val="TextoNormal"/>
      </w:pPr>
      <w:r>
        <w:lastRenderedPageBreak/>
        <w:t>c) este precepto constitucional, no obliga a que todas y cada una de las pensiones ya causadas experimenten un incremento anual.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w:t>
      </w:r>
    </w:p>
    <w:p w:rsidR="0085709A" w:rsidRDefault="0085709A" w:rsidP="0085709A">
      <w:pPr>
        <w:pStyle w:val="TextoNormal"/>
      </w:pPr>
    </w:p>
    <w:p w:rsidR="0085709A" w:rsidRDefault="0085709A" w:rsidP="0085709A">
      <w:pPr>
        <w:pStyle w:val="TextoNormal"/>
      </w:pPr>
      <w:r>
        <w:t>d) y, por último,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0085709A" w:rsidRDefault="0085709A" w:rsidP="0085709A">
      <w:pPr>
        <w:pStyle w:val="TextoNormal"/>
      </w:pPr>
    </w:p>
    <w:p w:rsidR="0085709A" w:rsidRDefault="0085709A" w:rsidP="0085709A">
      <w:pPr>
        <w:pStyle w:val="TextoNormal"/>
      </w:pPr>
      <w:r>
        <w:t>Como hemos señalado en el FJ 2, el art. 48.1 LGSS y el art. 27.1 del texto refundido de la Ley de clases pasivas del Estado contenían dos mandatos diferentes:</w:t>
      </w:r>
    </w:p>
    <w:p w:rsidR="0085709A" w:rsidRDefault="0085709A" w:rsidP="0085709A">
      <w:pPr>
        <w:pStyle w:val="TextoNormal"/>
      </w:pPr>
    </w:p>
    <w:p w:rsidR="0085709A" w:rsidRDefault="0085709A" w:rsidP="0085709A">
      <w:pPr>
        <w:pStyle w:val="TextoNormal"/>
      </w:pPr>
      <w:r>
        <w:t>— Por un lado, la revalorización de las pensiones al comienzo de cada año en función del correspondiente índice de precios al consumo previsto para dicho año (art. 48.1.1 LGSS y 27.1 párrafo primero de la Ley de clases pasivas del Estado). Para el año 2012 esa revalorización fue del 1 por 100;</w:t>
      </w:r>
    </w:p>
    <w:p w:rsidR="0085709A" w:rsidRDefault="0085709A" w:rsidP="0085709A">
      <w:pPr>
        <w:pStyle w:val="TextoNormal"/>
      </w:pPr>
    </w:p>
    <w:p w:rsidR="0085709A" w:rsidRDefault="0085709A" w:rsidP="0085709A">
      <w:pPr>
        <w:pStyle w:val="TextoNormal"/>
      </w:pPr>
      <w:r>
        <w:t>— y, por otro, la actualización de dicha revalorización, de manera que, que en el supuesto de que el IPC acumulado, correspondiente al período comprendido entre noviembre del ejercicio anterior y noviembre del ejercicio económico a que se refiere la revalorización fuese superior al índice previsto, “se procederá a la correspondiente actualización de acuerdo con lo que establezca la Ley de presupuestos generales del Estado” (arts. 48.1.2 LGSS y 27.1 de la Ley de clases pasivas del Estado). El art. 2.1 del Real Decreto-ley 28/2012, de 30 de noviembre, dejó sin efecto esta regla para el año 2012, lo que a juicio de los recurrentes vulnera el art. 9.3 CE.</w:t>
      </w:r>
    </w:p>
    <w:p w:rsidR="0085709A" w:rsidRDefault="0085709A" w:rsidP="0085709A">
      <w:pPr>
        <w:pStyle w:val="TextoNormal"/>
      </w:pPr>
    </w:p>
    <w:p w:rsidR="0085709A" w:rsidRDefault="0085709A" w:rsidP="0085709A">
      <w:pPr>
        <w:pStyle w:val="TextoNormal"/>
      </w:pPr>
      <w:r>
        <w:t>Pues bien,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En efecto, la Ley general de presupuestos es un instrumento a través del cual se consigna la previsión de ingresos y habilitación de gastos para un determinado ejercicio con la finalidad de hacer frente a las consecuencias económicas derivadas de la aplicación de otras leyes. Pero para que esto sea así no es necesario que dichas leyes contengan una remisión expresa a la Ley de presupuestos. Luego si en este caso el legislador se remite expresamente a ella es porque ha querido otorgar a esa remisión unos efectos que van más allá de la mera obligación de consignar en la misma la correspondiente partida de gastos.</w:t>
      </w:r>
    </w:p>
    <w:p w:rsidR="0085709A" w:rsidRDefault="0085709A" w:rsidP="0085709A">
      <w:pPr>
        <w:pStyle w:val="TextoNormal"/>
      </w:pPr>
    </w:p>
    <w:p w:rsidR="0085709A" w:rsidRDefault="0085709A" w:rsidP="0085709A">
      <w:pPr>
        <w:pStyle w:val="TextoNormal"/>
      </w:pPr>
      <w:r>
        <w:lastRenderedPageBreak/>
        <w:t>La expresión “de acuerdo con lo que establezca la Ley de Presupuestos Generales del Estado” supone reconocer al legislador un cierto margen para hacer frente a la actualización de las pensiones en función de las posibilidades económicas del Sistema, sin que quepa olvidar que se trata de administrar medios económicos limitados para un gran número de necesidades sociales (STC 134/1987, de 21 de julio, FJ 5).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w:t>
      </w:r>
    </w:p>
    <w:p w:rsidR="0085709A" w:rsidRDefault="0085709A" w:rsidP="0085709A">
      <w:pPr>
        <w:pStyle w:val="TextoNormal"/>
      </w:pPr>
    </w:p>
    <w:p w:rsidR="0085709A" w:rsidRDefault="0085709A" w:rsidP="0085709A">
      <w:pPr>
        <w:pStyle w:val="TextoNormal"/>
      </w:pPr>
      <w:r>
        <w:t>De este modo, el eventual devengo de la diferencia entre el IPC real y el IPC previsto tendría lugar el 31 de diciembre, siendo la Ley de presupuestos generales del Estado el instrumento para determinar el quantum de esa actualización. El período de generación de dicha actualización es el año natural, coincidiendo con el ejercicio presupuestario y con el período a que se refiere tanto la pensión como su eventual revalorización y actualización, pero sin poder confundir ese período con la regla de cálculo que prevé la norma (de noviembre del ejercicio anterior a noviembre del ejercicio económico a que se refiere la revalorización). Es decir, la referencia de noviembre a noviembre es una mera regla de cálculo por razones presupuestarias, pero la eventual actualización de la revalorización se devengaría y, por tanto, se consolidaría, el 31 de diciembre de cada ejercicio. Sólo en ese momento podría hablarse de un derecho adquirido a la actualización de la revalorización de las pensiones realizada en los términos previstos en la Ley de presupuestos. Por ello,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w:t>
      </w:r>
    </w:p>
    <w:p w:rsidR="0085709A" w:rsidRDefault="0085709A" w:rsidP="0085709A">
      <w:pPr>
        <w:pStyle w:val="TextoNormal"/>
      </w:pPr>
    </w:p>
    <w:p w:rsidR="0085709A" w:rsidRDefault="0085709A" w:rsidP="0085709A">
      <w:pPr>
        <w:pStyle w:val="TextoNormal"/>
      </w:pPr>
      <w:r>
        <w:t>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rsidRPr="0085709A">
        <w:rPr>
          <w:rStyle w:val="NumeroAFNegritaCaracter"/>
        </w:rPr>
        <w:t>6</w:t>
      </w:r>
      <w:r>
        <w:t>. Alegan también los recurrentes que la norma cuestionada vulnera el art. 33.3 CE al considerar que ha procedido a una expropiación, con o sin justa causa, pero, en todo caso, sin indemnización a favor de los expropiados.</w:t>
      </w:r>
    </w:p>
    <w:p w:rsidR="0085709A" w:rsidRDefault="0085709A" w:rsidP="0085709A">
      <w:pPr>
        <w:pStyle w:val="TextoNormal"/>
      </w:pPr>
    </w:p>
    <w:p w:rsidR="0085709A" w:rsidRDefault="0085709A" w:rsidP="0085709A">
      <w:pPr>
        <w:pStyle w:val="TextoNormal"/>
      </w:pPr>
      <w:r>
        <w:t xml:space="preserve">El art. 33.3 CE dispone que “nadie podrá ser privado de sus bienes y derechos sino por causa justificada de utilidad pública, o interés social, mediante la correspondiente indemnización y de conformidad con lo dispuesto por las Leyes”. Como señala la STC 108/1986, de 29 de julio, FJ 20, “no define la Constitución qué deba entenderse exactamente por expropiación de ‘bienes y derechos’, pero dado que el precepto se remite a ‘lo dispuesto por </w:t>
      </w:r>
      <w:r>
        <w:lastRenderedPageBreak/>
        <w:t>las Leyes’, parece que hay que referirse a la legislación vigente, que acoge un concepto amplio respecto al posible objeto de la expropiación”. Pues bien, de acuerdo con esa legislación falta en el art. 2.1 del Real Decreto-ley 28/2012 un elemento indispensable para que pueda calificarse la no actualización de las pensiones de medida expropiatoria, cual es que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(FJ 20).</w:t>
      </w:r>
    </w:p>
    <w:p w:rsidR="0085709A" w:rsidRDefault="0085709A" w:rsidP="0085709A">
      <w:pPr>
        <w:pStyle w:val="TextoNormal"/>
      </w:pPr>
    </w:p>
    <w:p w:rsidR="0085709A" w:rsidRDefault="0085709A" w:rsidP="0085709A">
      <w:pPr>
        <w:pStyle w:val="TextoNormal"/>
      </w:pPr>
      <w:r>
        <w:t>En consecuencia, la norma impugnada resulta acorde con el art. 33.3 CE en la medida en que su aplicación no ha supuesto la expropiación de derechos patrimoniales consolidados.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recurso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Fernando Valdés Dal-Ré y don Luis Ignacio Ortega Álvarez a la Sentencia dictada en el recurso de inconstitucionalidad núm. 1114-2013, al que se adhieren la Magistrada doña Adela Asua Batarrita y el Magistrado don Juan Antonio Xiol Ríos.</w:t>
      </w:r>
    </w:p>
    <w:p w:rsidR="0085709A" w:rsidRDefault="0085709A" w:rsidP="0085709A">
      <w:pPr>
        <w:pStyle w:val="TextoNormalNegritaCentrado"/>
        <w:keepNext/>
      </w:pPr>
    </w:p>
    <w:p w:rsidR="0085709A" w:rsidRDefault="0085709A" w:rsidP="0085709A">
      <w:pPr>
        <w:pStyle w:val="TextoNormal"/>
      </w:pPr>
      <w:r>
        <w:t>1. Como manifestamos durante la deliberación del presente proceso constitucional, disentimos de la decisión finalmente adoptada; pero también expresamos idéntico distanciamiento, y con similar intensidad, en relación con el razonamiento que sustenta la propia decisión. Dentro del obligado respeto hacia el parecer mayoritario de nuestros compañeros y por las razones que se expondrán seguidamente, entendemos que la Sentencia que resolvió el presente recurso de inconstitucionalidad debió declarar inconstitucional y nulo el art. 2.1 del Real Decreto-ley 28/2012, de 30 de noviembre, de medidas de consolidación y garantía del sistema de Seguridad Social por vulneración del art. 9.3 CE, en conexión con los arts. 10.1, 41 y 50 de este mismo texto constitucional.</w:t>
      </w:r>
    </w:p>
    <w:p w:rsidR="0085709A" w:rsidRDefault="0085709A" w:rsidP="0085709A">
      <w:pPr>
        <w:pStyle w:val="TextoNormal"/>
      </w:pPr>
    </w:p>
    <w:p w:rsidR="0085709A" w:rsidRDefault="0085709A" w:rsidP="0085709A">
      <w:pPr>
        <w:pStyle w:val="TextoNormal"/>
      </w:pPr>
      <w:r>
        <w:t xml:space="preserve">Desde una vertiente formal, la estructura interna de la Sentencia se mueve entre una loable síntesis, limitada a describir los términos del proceso (fundamentos jurídicos 2 y 3) así </w:t>
      </w:r>
      <w:r>
        <w:lastRenderedPageBreak/>
        <w:t>como la doctrina elaborada por este Tribunal acerca del denominado “principio de irretroactividad” (fundamento jurídico 4), y una similar sumariedad en el tratamiento y solución de la queja de inconstitucionalidad, que en ocasiones termina instalada en una inconsistencia o, al menos, liviandad argumental (fundamento jurídico 5). Probablemente, el efecto más perceptible de la sistemática elegida reside en la escasa importancia que parece querer transmitirse sobre el fondo del asunto.</w:t>
      </w:r>
    </w:p>
    <w:p w:rsidR="0085709A" w:rsidRDefault="0085709A" w:rsidP="0085709A">
      <w:pPr>
        <w:pStyle w:val="TextoNormal"/>
      </w:pPr>
    </w:p>
    <w:p w:rsidR="0085709A" w:rsidRDefault="0085709A" w:rsidP="0085709A">
      <w:pPr>
        <w:pStyle w:val="TextoNormal"/>
      </w:pPr>
      <w:r>
        <w:t>Haya sido o no ésta la finalidad perseguida, no resulta en modo alguno impertinente dejar ya constancia de la notable relevancia de las cuestiones objeto de enjuiciamiento, derivada no solo ni tanto del objetivo al amparo del cual habría venido a adoptarse la medida impugnada, consistente en contener “el elevado déficit del sistema de Seguridad Social” (apartado I del preámbulo del Real Decreto-ley 28/2012), cuanto de las consecuencias constitucionales de dicha medida que, al poner entre paréntesis mandatos dirigidos a los poderes públicos, destinados a proteger situaciones de necesidad, han terminado por incidir de manera directa en el núcleo básico del Estado social (art. 1.1 CE); en aquél enderezado a garantizar a toda persona una existencia acorde con los imperativos que impone el respeto al valor constitucional de la dignidad humana (art. 10.1 CE).</w:t>
      </w:r>
    </w:p>
    <w:p w:rsidR="0085709A" w:rsidRDefault="0085709A" w:rsidP="0085709A">
      <w:pPr>
        <w:pStyle w:val="TextoNormal"/>
      </w:pPr>
    </w:p>
    <w:p w:rsidR="0085709A" w:rsidRDefault="0085709A" w:rsidP="0085709A">
      <w:pPr>
        <w:pStyle w:val="TextoNormal"/>
      </w:pPr>
      <w:r>
        <w:t xml:space="preserve">La desestimación por la Sentencia del presente recurso de inconstitucionalidad se apoya en un concreto motivo; a saber, la negación del carácter retroactivo del art. 2.1 del citado Real Decreto-ley 28/2012. En las observaciones que siguen se fundamentará nuestra radical divergencia con esta conclusión, expresada en su aplicación tanto </w:t>
      </w:r>
      <w:r w:rsidRPr="0085709A">
        <w:rPr>
          <w:i/>
        </w:rPr>
        <w:t>ad casum</w:t>
      </w:r>
      <w:r>
        <w:t xml:space="preserve"> cuanto a futuros enjuiciamientos. Y es que, como más adelante se hará notar, el razonamiento que conduce a descartar la irretroactividad del precepto impugnado puede desplegar unos efectos devastadores en lo que concierne a la identificación del momento de maduración y reconocimiento de derechos y obligaciones por los poderes públicos.</w:t>
      </w:r>
    </w:p>
    <w:p w:rsidR="0085709A" w:rsidRDefault="0085709A" w:rsidP="0085709A">
      <w:pPr>
        <w:pStyle w:val="TextoNormal"/>
      </w:pPr>
    </w:p>
    <w:p w:rsidR="0085709A" w:rsidRDefault="0085709A" w:rsidP="0085709A">
      <w:pPr>
        <w:pStyle w:val="TextoNormal"/>
      </w:pPr>
      <w:r>
        <w:t xml:space="preserve">Desde luego, la privación al pasaje legal combatido de efectos retroactivos ha aprestado desde una perspectiva material una vía cómoda y segura para garantizar el mantenimiento del </w:t>
      </w:r>
      <w:r w:rsidRPr="0085709A">
        <w:rPr>
          <w:i/>
        </w:rPr>
        <w:t>statu quo</w:t>
      </w:r>
      <w:r>
        <w:t xml:space="preserve"> introducido por la tan citada disposición legal o, por expresar la misma idea desde otro ángulo, para evitar la potencial multiplicación de reclamaciones instadas por las personas afectadas por la previsión legal discutida de dejar sin efecto la actualización de pensiones, susceptibles de contrarrestar, al menos en parte, el objetivo de moderación de la deuda pública pretendido por el Gobierno al aprobarla. Pero al tiempo de ofrecer estas ventajas para la consecución del propósito político confesado, la motivación empleada para salvar la constitucionalidad del pasaje de la norma de urgencia a examen resulta, de entre todas las que hubieran sido constitucionalmente viables, la que se instala en el escenario más distante de la defensa y desarrollo del Estado social (art. 1.1 CE) y de las garantías y valores constitucionales asociados de modo inescindible a esta noción. Y todo ello, por cuanto la Sentencia de la mayoría, al optar por la decisión que concreta el fallo, renuncia a buscar otras soluciones capaces de aunar y conjugar de manera más equilibrada y proporcionada los intereses en presencia: el de las Administraciones públicas en asegurar la solvencia económica del sistema de protección social y el de los beneficiarios del propio sistema al mantenimiento del poder adquisitivo de las pensiones ya causadas y en fase de disfrute.</w:t>
      </w:r>
    </w:p>
    <w:p w:rsidR="0085709A" w:rsidRDefault="0085709A" w:rsidP="0085709A">
      <w:pPr>
        <w:pStyle w:val="TextoNormal"/>
      </w:pPr>
    </w:p>
    <w:p w:rsidR="0085709A" w:rsidRDefault="0085709A" w:rsidP="0085709A">
      <w:pPr>
        <w:pStyle w:val="TextoNormal"/>
      </w:pPr>
      <w:r>
        <w:t xml:space="preserve">2. Las razones de nuestra discrepancia parten de un doble y combinado presupuesto constitucional: de un lado, el reconocimiento de determinados derechos por la Constitución no </w:t>
      </w:r>
      <w:r>
        <w:lastRenderedPageBreak/>
        <w:t>es una mera declaración vacía de contenido, sino que presenta plena coherencia con la calificación de nuestro Estado como social y democrático de Derecho (art. 1.1) y, de otro el aseguramiento formal de esos derechos no es suficiente, siendo adicionalmente exigible su garantía material y debido cumplimiento.</w:t>
      </w:r>
    </w:p>
    <w:p w:rsidR="0085709A" w:rsidRDefault="0085709A" w:rsidP="0085709A">
      <w:pPr>
        <w:pStyle w:val="TextoNormal"/>
      </w:pPr>
    </w:p>
    <w:p w:rsidR="0085709A" w:rsidRDefault="0085709A" w:rsidP="0085709A">
      <w:pPr>
        <w:pStyle w:val="TextoNormal"/>
      </w:pPr>
      <w:r>
        <w:t>Los aspectos discutidos en el presente recurso, en el que se cuestiona una regulación a simple vista menos favorable para algunos de esos derechos, los enunciados en los arts. 41 y 50 CE en relación con la actualización periódica de las pensiones, nos situaban en primera instancia ante el problema de discernir la conformidad constitucional de una decisión de los poderes públicos de recortar o rebajar algunos de los aspectos previamente reconocidos en el ámbito de los derechos sociales. En otros términos, se planteaba una cuestión relacionada con la denominada irreversibilidad de los derechos sociales.</w:t>
      </w:r>
    </w:p>
    <w:p w:rsidR="0085709A" w:rsidRDefault="0085709A" w:rsidP="0085709A">
      <w:pPr>
        <w:pStyle w:val="TextoNormal"/>
      </w:pPr>
    </w:p>
    <w:p w:rsidR="0085709A" w:rsidRDefault="0085709A" w:rsidP="0085709A">
      <w:pPr>
        <w:pStyle w:val="TextoNormal"/>
      </w:pPr>
      <w:r>
        <w:t xml:space="preserve">No defendemos la tesis de la irreversibilidad absoluta de los derechos sociales que, aplicada a las circunstancias del presente caso, vendría a significar que, una vez que se ha regulado legalmente la actualización de las pensiones, toda medida regresiva que afectara al contenido de tal regulación estaría viciada de inconstitucionalidad. Esa postura implicaría el sacrificio de otros valores constitucionales, como el pluralismo político que implica la posibilidad de que, dentro del marco constitucional, sean posibles diversas opciones legislativas de configuración de los derechos sociales, atendiendo a las diversas prioridades políticas, siendo, por otra parte, evidente que las decisiones precedentes nunca pueden vincular de forma absoluta a las futuras. Ahora bien, el debate acerca de la alterabilidad o inalterabilidad del </w:t>
      </w:r>
      <w:r w:rsidRPr="0085709A">
        <w:rPr>
          <w:i/>
        </w:rPr>
        <w:t>statu quo</w:t>
      </w:r>
      <w:r>
        <w:t xml:space="preserve"> alcanzado en el desarrollo de los derechos sociales es sensiblemente más complejo.</w:t>
      </w:r>
    </w:p>
    <w:p w:rsidR="0085709A" w:rsidRDefault="0085709A" w:rsidP="0085709A">
      <w:pPr>
        <w:pStyle w:val="TextoNormal"/>
      </w:pPr>
    </w:p>
    <w:p w:rsidR="0085709A" w:rsidRDefault="0085709A" w:rsidP="0085709A">
      <w:pPr>
        <w:pStyle w:val="TextoNormal"/>
      </w:pPr>
      <w:r>
        <w:t>Admitido que el legislador podría adoptar medidas consideradas regresivas respecto a la situación anterior —pues los derechos sociales, y en particular en materia de seguridad social, están condicionados por lo que podemos calificar de reserva de lo posible—, tampoco podemos aceptar la tesis de que semejante conclusión consienta la adopción de cualquier medida y de cualquier modo. El problema es, entonces, el grado de restricción que pueden sufrir los derechos sociales. Señalada la inviabilidad de la irreversibilidad absoluta, no es aceptable, sin más, su opuesto, la reversibilidad incondicionada o, lo que es lo mismo, el reconocimiento al legislador de una libertad omnímoda al respecto; lo que es perfectamente admisible es que la aplicación de la legislación ordinaria esté presidida por un principio interpretativo restrictivo de los eventuales recortes sociales. No ha de olvidarse que es el legislador el máximo responsable de que los principios rectores constitucionales desplieguen toda su eficacia jurídica; esto es, la Constitución configura derechos sociales jurídicamente exigibles, pues no de otra forma puede entenderse el art. 53.3 CE, que expresamente ha querido remitir la decisión sobre la concreción en derechos de los principios socioeconómicos constitucionales al plano de la legislación ordinaria. Ni que decir tiene que entre ellos se encuentra los arts. 41 y 50 CE, que obligan a los poderes públicos a garantizar, mediante pensiones adecuadas y periódicamente actualizadas, la suficiencia económica de numerosos colectivos de ciudadanos, la mayor parte de ellos socialmente vulnerables y en estado de necesidad. En este caso, el legislador había determinado el mínimo protegido, mediante el mecanismo previsto en la Ley 24/1997, de 15 de julio, de consolidación y racionalización del Sistema de Seguridad Social, con el declarado y encomiable objetivo de garantizar el poder adquisitivo de las pensiones.</w:t>
      </w:r>
    </w:p>
    <w:p w:rsidR="0085709A" w:rsidRDefault="0085709A" w:rsidP="0085709A">
      <w:pPr>
        <w:pStyle w:val="TextoNormal"/>
      </w:pPr>
    </w:p>
    <w:p w:rsidR="0085709A" w:rsidRDefault="0085709A" w:rsidP="0085709A">
      <w:pPr>
        <w:pStyle w:val="TextoNormal"/>
      </w:pPr>
      <w:r>
        <w:lastRenderedPageBreak/>
        <w:t>En relación con ello y en un plano estrictamente relacionado con la Seguridad Social en el que el recurso nos instala, nuestra doctrina tiene declarado que las previsiones constitucionales en la materia suponen que pase a ocupar una posición decisiva el remedio de situaciones de necesidad, de suerte que el legislador no hace, pues, sino apreciar esas necesidades, teniendo en cuenta el contexto general en que se produzcan, y en conexión con las circunstancias económicas, las disponibilidades de medios y las necesidades de los diversos grupos sociales (así en la STC 65/1987, de 21 de mayo, FJ 17, reiterado en la STC 65/1990, de 5 de abril, FJ 9).</w:t>
      </w:r>
    </w:p>
    <w:p w:rsidR="0085709A" w:rsidRDefault="0085709A" w:rsidP="0085709A">
      <w:pPr>
        <w:pStyle w:val="TextoNormal"/>
      </w:pPr>
    </w:p>
    <w:p w:rsidR="0085709A" w:rsidRDefault="0085709A" w:rsidP="0085709A">
      <w:pPr>
        <w:pStyle w:val="TextoNormal"/>
      </w:pPr>
      <w:r>
        <w:t>Como ya se ha hecho constar, el reconocimiento del derecho a la actualización de las pensiones deriva de la Ley 24/1997, por lo que una eventual supresión de este derecho, como la llevada a cabo por el Real Decreto-ley impugnado para el año 2012, plantea cuestiones de mayor complejidad que las que la Sentencia pretende, exigiendo examinar los términos y condiciones que han de satisfacerse para que un retroceso en el nivel ya conseguido de derechos sociales, en este caso en relación con las pensiones, sea conforme con la Constitución. Como ya se ha razonado, la reversibilidad no puede significar que esa decisión restrictiva pueda hacerse sin justificar el alcance de las nuevas decisiones, sino que deberán darse unos supuestos o condiciones que expliquen el porqué de tal retroceso, lo que, en el caso, hubiera exigido analizar la fundamentación de la decisión adoptada por el legislador de urgencia, pues es ineludible una justificación del cambio que se quiere introducir. Lo que nos parece inadmisible es una regulación que, al afectar desfavorablemente a relaciones jurídicas ya consolidadas, nacidas de la confianza de los ciudadanos en la seguridad jurídica aplicable a la actualización de las pensiones, no venga acompañada de una justificación de su carácter ineludible, ya que, en caso contrario, puede suponer su inconstitucionalidad derivada del incumplimiento de concretos mandatos constitucionales, que ya habían sido concretados efectivamente por el legislador.</w:t>
      </w:r>
    </w:p>
    <w:p w:rsidR="0085709A" w:rsidRDefault="0085709A" w:rsidP="0085709A">
      <w:pPr>
        <w:pStyle w:val="TextoNormal"/>
      </w:pPr>
    </w:p>
    <w:p w:rsidR="0085709A" w:rsidRDefault="0085709A" w:rsidP="0085709A">
      <w:pPr>
        <w:pStyle w:val="TextoNormal"/>
      </w:pPr>
      <w:r>
        <w:t xml:space="preserve">Somos consciente de que, como se afirma en la STC 134/1987, de 21 de julio, FJ 5, el concepto de pensión adecuada del art. 50 CE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Ahora bien, a este Tribunal no le puede resultar indiferente que el derecho social reconocido constitucionalmente, aun no teniendo en el texto constitucional detalles precisos sobre su alcance y extensión, haya tenido ya un concreto desarrollo que en un momento determinado quiere ser suprimido. Ese desarrollo ya ha sido asumido por el legislador que, en su decisión, confirma que determinados derechos son compatibles con las disponibilidades económicas, que es lo que hizo posible su concreción. Dado que las circunstancias pueden variar, podrá cambiar también la regulación, pero no de cualquier modo, sino con total justificación, valorando los criterios de preferencia en la imposición de la restricción. Ya hemos argumentado que el nivel previamente reconocido de derechos sociales no constituye necesariamente una frontera infranqueable para el legislador; pero una decisión restrictiva con respecto al nivel de protección previamente reconocido coloca a éste en la obligación de justificar de modo mucho más exigente el porqué de la disminución o restricción, en cuanto podría entenderse que esa previa regulación no solo prueba su inicial compatibilidad con los recursos económicos disponibles, sino que, en ciertos aspectos, marca un contenido de lo que los ciudadanos entienden como recognoscible </w:t>
      </w:r>
      <w:r>
        <w:lastRenderedPageBreak/>
        <w:t>de ese derecho social y, en consecuencia, esperan su efectiva realización por los poderes públicos.</w:t>
      </w:r>
    </w:p>
    <w:p w:rsidR="0085709A" w:rsidRDefault="0085709A" w:rsidP="0085709A">
      <w:pPr>
        <w:pStyle w:val="TextoNormal"/>
      </w:pPr>
    </w:p>
    <w:p w:rsidR="0085709A" w:rsidRDefault="0085709A" w:rsidP="0085709A">
      <w:pPr>
        <w:pStyle w:val="TextoNormal"/>
      </w:pPr>
      <w:r>
        <w:t>3. a) El art. 9.3 de nuestro texto constitucional no enuncia una interdicción absoluta de retroacción de disposiciones. Antes al contrario, este pasaje de nuestra Carta Magna define el ámbito de imputación de la regla prohibitiva, identificando diferentes límites que afectan al objeto de la retroactividad. De otro lado, la jurisprudencia de este Tribunal ha tenido oportunidad de interpretar esos límites; pero, adicionalmente, también ha elaborado una teoría sobre la noción misma de la retroacción vedada a ciertas disposiciones, en la que se encuentran con relativa facilidad los ecos de la jurisprudencia constitucional alemana, al menos de la emitida en los primeros momentos.</w:t>
      </w:r>
    </w:p>
    <w:p w:rsidR="0085709A" w:rsidRDefault="0085709A" w:rsidP="0085709A">
      <w:pPr>
        <w:pStyle w:val="TextoNormal"/>
      </w:pPr>
    </w:p>
    <w:p w:rsidR="0085709A" w:rsidRDefault="0085709A" w:rsidP="0085709A">
      <w:pPr>
        <w:pStyle w:val="TextoNormal"/>
      </w:pPr>
      <w:r>
        <w:t>Centrando por el momento la atención en el primer aspecto, en el precepto impugnado, el art. 2.1 del Real Decreto-ley 28/2012, concurren, y de manera ejemplar, los dos elementos que, de conformidad con nuestra consolidada jurisprudencia en la materia, identifican el objeto de la prohibición de retroacción. En primer lugar, la regla jurídica establecida en ese precepto legal, consistente en dejar sin efecto la actualización de pensiones durante el año 2012 prevista en los arts. 48.1.2 del texto refundido de la Ley general de la Seguridad Social (LGSS) y 27.1, del texto refundido de clases pasivas del Estado, constituye una medida limitativa de un derecho individual del que eran titulares todas las personas que, a fecha 31 de diciembre de 2011, tenían causadas bien pensiones contributivas del sistema de Seguridad Social bien pensiones cubiertas por el régimen de clases pasivas del Estado.</w:t>
      </w:r>
    </w:p>
    <w:p w:rsidR="0085709A" w:rsidRDefault="0085709A" w:rsidP="0085709A">
      <w:pPr>
        <w:pStyle w:val="TextoNormal"/>
      </w:pPr>
    </w:p>
    <w:p w:rsidR="0085709A" w:rsidRDefault="0085709A" w:rsidP="0085709A">
      <w:pPr>
        <w:pStyle w:val="TextoNormal"/>
      </w:pPr>
      <w:r>
        <w:t xml:space="preserve">No obstante lo razonado, la limitación de un derecho no queda automáticamente tutelada por la proscripción de la retroacción </w:t>
      </w:r>
      <w:r w:rsidRPr="0085709A">
        <w:rPr>
          <w:i/>
        </w:rPr>
        <w:t>ex</w:t>
      </w:r>
      <w:r>
        <w:t xml:space="preserve"> art. 9.3 CE, habiendo hecho notar este Tribunal, desde su temprana Sentencia 46/1986, de 10 de abril, FJ 3, que dicha limitación ha de entenderse referida exclusivamente al ámbito de los derechos fundamentales y libertades públicas mencionados en el título I CE así como a ”la esfera general de protección de la persona” (entre otras muchas y como más recientes, SSTC 131/2001, de 7 de junio, FJ 5, 112/2006, de 5 de abril, FJ 17, 90/2009, de 20 de abril, FJ 4 y 100/2012, de 8 de mayo, FJ 10).</w:t>
      </w:r>
    </w:p>
    <w:p w:rsidR="0085709A" w:rsidRDefault="0085709A" w:rsidP="0085709A">
      <w:pPr>
        <w:pStyle w:val="TextoNormal"/>
      </w:pPr>
    </w:p>
    <w:p w:rsidR="0085709A" w:rsidRDefault="0085709A" w:rsidP="0085709A">
      <w:pPr>
        <w:pStyle w:val="TextoNormal"/>
      </w:pPr>
      <w:r>
        <w:t xml:space="preserve">En el caso enjuiciado, la supresión de la actualización de las pensiones en el ejercicio económico del 2012 afecta de lleno y de manera directa a la esfera general de protección de la persona. En el capítulo de los derechos sociales promovidos y gestionados por los poderes públicos con vistas a la efectiva y real implantación de un Estado social (art. 1.1 CE), las prestaciones sociales destinadas a “la reducción, remedio o eliminación de situaciones de necesidad” (STC 65/1987, de 21 de mayo, FJ 17) y ocasionadas en un buen número por la pérdida de las rentas de trabajo ocupan un lugar de primer orden; hasta tal punto, que tales prestaciones pueden calificarse con toda propiedad como expresión del deber de los poderes públicos de fomentar cuantas medidas contribuyan a garantizar la dignidad que corresponde a todas las personas por su condición de seres humanos (art. 10.1 CE). Por enunciar la idea con palabras de la STC 57/1994, de 28 de febrero (luego reiteradas en otros muchos pronunciamientos), “la dignidad ha de permanecer inalterada cualquiera que sea la situación en que la persona se encuentre, constituyendo en consecuencia, </w:t>
      </w:r>
      <w:r w:rsidRPr="0085709A">
        <w:rPr>
          <w:i/>
        </w:rPr>
        <w:t>un mínimum</w:t>
      </w:r>
      <w:r>
        <w:t xml:space="preserve"> invulnerable que todo estatuto jurídico debe asegurar, de modo que las limitaciones que se impongan en el disfrute de los derechos individuales no conlleven un menosprecio para la estima que, en cuanto ser humano, merece la persona” [FJ 3 A)].</w:t>
      </w:r>
    </w:p>
    <w:p w:rsidR="0085709A" w:rsidRDefault="0085709A" w:rsidP="0085709A">
      <w:pPr>
        <w:pStyle w:val="TextoNormal"/>
      </w:pPr>
    </w:p>
    <w:p w:rsidR="0085709A" w:rsidRDefault="0085709A" w:rsidP="0085709A">
      <w:pPr>
        <w:pStyle w:val="TextoNormal"/>
      </w:pPr>
      <w:r>
        <w:t>Adicionalmente a lo que se viene de razonar, en la regla formulada en el art. 2.1 del Real Decreto-ley 28/2012 también concurre el segundo de los elementos que definen el objeto de la interdicción de la retroactividad de ciertas disposiciones; esto es, la limitación del derecho individual afectado. El carácter restrictivo de la medida adoptada por el Gobierno mediante aquella norma de urgencia ocasionó a los beneficiarios de las pensiones que a 1 de enero de 2012 ya se habían revalorizado en el porcentaje del 1 por 100, correspondiente al incremento del Índice de precios al consumo (IPC) previsto en la Ley de presupuestos generales del Estado para ese mismo año, un indiscutible perjuicio económico, equivalente a la diferencia entre el aumento del IPC previsto y del real, cifrado a 30 de noviembre en un 1,9 por 100. Por este lado, el precepto impugnado vino a quebrar el principio de neutralidad de los procesos inflacionistas sobre las pensiones causadas, vigente en nuestro sistema de protección social desde 1997, haciendo recaer sobre las economías personales de los pensionistas, vulnerables y precarias la mayoría de ellas, dos tercios de la pérdida total de su poder adquisitivo; o, por enunciar la misma idea desde otro ángulo, desplazando a estas economías la carga de asumir dos tercios del crecimiento del coste de la vida.</w:t>
      </w:r>
    </w:p>
    <w:p w:rsidR="0085709A" w:rsidRDefault="0085709A" w:rsidP="0085709A">
      <w:pPr>
        <w:pStyle w:val="TextoNormal"/>
      </w:pPr>
    </w:p>
    <w:p w:rsidR="0085709A" w:rsidRDefault="0085709A" w:rsidP="0085709A">
      <w:pPr>
        <w:pStyle w:val="TextoNormal"/>
      </w:pPr>
      <w:r>
        <w:t xml:space="preserve">b) Antes de concluir el presente apartado, dedicado a acreditar la concurrencia en el precepto sometido por este Tribunal a juicio de conformidad o no con nuestra Constitución, es de todo punto pertinente hacer unas observaciones complementarias. En su FJ 5 c), la Sentencia de nuestra discrepancia procede a reproducir una aseveración contenida en la STC 134/1987, de 21 de julio, FJ 5, a tenor de la cual la garantía de la actualización periódica de las pensiones de las personas de la tercera edad </w:t>
      </w:r>
      <w:r w:rsidRPr="0085709A">
        <w:rPr>
          <w:i/>
        </w:rPr>
        <w:t>ex</w:t>
      </w:r>
      <w:r>
        <w:t xml:space="preserve"> art. 50 CE “no supone obligadamente el incremento anual de todas las pensiones”.</w:t>
      </w:r>
    </w:p>
    <w:p w:rsidR="0085709A" w:rsidRDefault="0085709A" w:rsidP="0085709A">
      <w:pPr>
        <w:pStyle w:val="TextoNormal"/>
      </w:pPr>
    </w:p>
    <w:p w:rsidR="0085709A" w:rsidRDefault="0085709A" w:rsidP="0085709A">
      <w:pPr>
        <w:pStyle w:val="TextoNormal"/>
      </w:pPr>
      <w:r>
        <w:t xml:space="preserve">De seguro y en razón de su mayor generalidad, hubiese sido más adecuado traer a colación otra afirmación formulada en el mismo fundamento jurídico; en concreto, la siguiente: “De ninguno de estos preceptos (se alude a los arts. 41 y 50 CE) puede deducirse … que la Constitución obligue a que se mantengan todas y cada una de las pensiones iniciales en su cuantía prevista ni que todas y cada una de las ya causadas experimenten un incremento anual”. De la simple lectura del último de los pasajes transcritos de la citada STC 134/1987 se deduce, sin margen para la incertidumbre, que la doble garantía instituida en estos preceptos constitucionales (la de la </w:t>
      </w:r>
      <w:r w:rsidRPr="0085709A">
        <w:rPr>
          <w:i/>
        </w:rPr>
        <w:t>suficiencia</w:t>
      </w:r>
      <w:r>
        <w:t xml:space="preserve"> de las prestaciones de la Seguridad Social </w:t>
      </w:r>
      <w:r w:rsidRPr="0085709A">
        <w:rPr>
          <w:i/>
        </w:rPr>
        <w:t>ex</w:t>
      </w:r>
      <w:r>
        <w:t xml:space="preserve"> art 41 y la de la </w:t>
      </w:r>
      <w:r w:rsidRPr="0085709A">
        <w:rPr>
          <w:i/>
        </w:rPr>
        <w:t>actualización</w:t>
      </w:r>
      <w:r>
        <w:t xml:space="preserve"> de las pensiones </w:t>
      </w:r>
      <w:r w:rsidRPr="0085709A">
        <w:rPr>
          <w:i/>
        </w:rPr>
        <w:t>ex</w:t>
      </w:r>
      <w:r>
        <w:t xml:space="preserve"> art. 50) no se encuentra privada, como de contrario parece sugerir la Sentencia de la que disentimos, ni de vinculabilidad para los poderes públicos ni de consecuencias jurídicas a favor de los beneficiarios de las prestaciones sociales. Lo que sostiene la STC 134/1987 (y han reiterado otras posteriores, entre ellas las SSTC 97/1990, de 24 de mayo, FJ 4 y 100/1990, de 30 de mayo, FJ 2), y ello es bien diferente, es que la actualización puede no operar respecto de la totalidad de las pensiones causadas; esto es, de todas y cada una de ellas. En otras palabras, este Tribunal no ha reconocido un derecho subjetivo, individualizado, a la actualización de pensiones. En realidad, lo que ha hecho notar nuestra jurisprudencia es la conformidad constitucional de las decisiones de moderar el principio de mantenimiento del poder adquisitivo de las pensiones, siempre y cuando esas decisiones delimiten su ámbito subjetivo conforme a fundados criterios selectivos y diferenciados.</w:t>
      </w:r>
    </w:p>
    <w:p w:rsidR="0085709A" w:rsidRDefault="0085709A" w:rsidP="0085709A">
      <w:pPr>
        <w:pStyle w:val="TextoNormal"/>
      </w:pPr>
    </w:p>
    <w:p w:rsidR="0085709A" w:rsidRDefault="0085709A" w:rsidP="0085709A">
      <w:pPr>
        <w:pStyle w:val="TextoNormal"/>
      </w:pPr>
      <w:r>
        <w:t xml:space="preserve">La Sentencia 134/1987 vino a consagrar, en efecto, el canon —por cierto, olvidado o pasado por alto por la Sentencia de la mayoría— que de manera obligada ha de informar las </w:t>
      </w:r>
      <w:r>
        <w:lastRenderedPageBreak/>
        <w:t>medidas restrictivas de las prestaciones sociales. Este canon, llamado a cumplir un relevante papel en los juicios de constitucionalidad sobre tales medidas, es el principio de solidaridad que, en su aplicación al tema debatido, comporta “el sacrificio de los intereses de los más favorecidos frente a los más desamparados con independencia, incluso, de las consecuencias puramente económicas de estos sacrificios” (FJ 5).</w:t>
      </w:r>
    </w:p>
    <w:p w:rsidR="0085709A" w:rsidRDefault="0085709A" w:rsidP="0085709A">
      <w:pPr>
        <w:pStyle w:val="TextoNormal"/>
      </w:pPr>
    </w:p>
    <w:p w:rsidR="0085709A" w:rsidRDefault="0085709A" w:rsidP="0085709A">
      <w:pPr>
        <w:pStyle w:val="TextoNormal"/>
      </w:pPr>
      <w:r>
        <w:t>Precisamente, el precepto objeto de impugnación dejó sin efecto de manera generalizada e indiferenciada el mantenimiento del poder adquisitivo de las pensiones causadas con anterioridad al 1 de enero de 2012, equiparando, desde la doble óptica subjetiva y objetiva, las pensiones de cuantía más baja, incluso aquellas sujetas al complemento a mínimos, con las de cuantía más alta, incluidas las situadas en el nivel máximo. Una regla jurídica de semejante contenido normativo confronta y agrede sin miramiento alguno el principio de solidaridad, que, como la propia STC 134/1987, FJ 5, hace notar, mantiene estrechas vinculaciones con “ciertas declaraciones constitucionales, como el de ser España un Estado social y democrático de Derecho que propugna entre otros valores superiores de su ordenamiento la justicia (art. 1.1) o el deber de promover las condiciones favorables para el progreso social y económico y para una distribución de la renta regional y personal más equitativa (art. 40.1)”.</w:t>
      </w:r>
    </w:p>
    <w:p w:rsidR="0085709A" w:rsidRDefault="0085709A" w:rsidP="0085709A">
      <w:pPr>
        <w:pStyle w:val="TextoNormal"/>
      </w:pPr>
    </w:p>
    <w:p w:rsidR="0085709A" w:rsidRDefault="0085709A" w:rsidP="0085709A">
      <w:pPr>
        <w:pStyle w:val="TextoNormal"/>
      </w:pPr>
      <w:r>
        <w:t>4. a) De conformidad con una consolidada jurisprudencia constitucional, la retroactividad interdicta por el art. 9.3 CE resulta aplicable exclusivamente a los derechos individuales, entendidos éstos en los términos anteriormente expuestos, siempre y cuando se trate de derechos “consolidados, asumidos e integrados en el patrimonio del sujeto y no a los pendientes, futuros, condicionados y expectativas” (por todas, SSTC 99/1987, de 11 de junio, FJ 6 b) y 178/1989, de 2 de noviembre, FJ 9). Por consiguiente y para este Tribunal, solo cabrá apreciar que una norma es retroactiva, a los efectos del precitado art. 9.3 CE, cuando incide sobre “relaciones consagradas” y afecta a “situaciones agotadas” (STC 116/2006, FJ 17, con cita de otras resoluciones anteriores).</w:t>
      </w:r>
    </w:p>
    <w:p w:rsidR="0085709A" w:rsidRDefault="0085709A" w:rsidP="0085709A">
      <w:pPr>
        <w:pStyle w:val="TextoNormal"/>
      </w:pPr>
    </w:p>
    <w:p w:rsidR="0085709A" w:rsidRDefault="0085709A" w:rsidP="0085709A">
      <w:pPr>
        <w:pStyle w:val="TextoNormal"/>
      </w:pPr>
      <w:r>
        <w:t>En el decir de la Sentencia de nuestro disenso, el precepto impugnado no pertenece a la categoría de normas retroactivas, conclusión ésta que se basa en la función que se asigna a la remisión que tanto la LGSS como del texto refundido de clases pasivas del Estado hacen a la Ley de presupuestos generales del Estado, remisión que, en el decir de dicha Sentencia, no tiene el alcance de mera habilitación de la “correspondiente partida del gasto presupuestario” sino el de atribución al legislador de “un margen de discrecionalidad a la hora de concretar la eventual actualización en función de las circunstancias económicas y sociales en cada momento existentes” (FJ 5). En atención a ello, la presente resolución entiende que, en la medida en que en la data de la entrada en vigor del Real Decreto-ley 28/2012 (1 de diciembre de 2012) ni se había aún aprobado la ley presupuestaria ni tampoco había expirado la fecha para la consolidación de la actualización de pensiones, “los pensionistas solo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(FJ 5).</w:t>
      </w:r>
    </w:p>
    <w:p w:rsidR="0085709A" w:rsidRDefault="0085709A" w:rsidP="0085709A">
      <w:pPr>
        <w:pStyle w:val="TextoNormal"/>
      </w:pPr>
    </w:p>
    <w:p w:rsidR="0085709A" w:rsidRDefault="0085709A" w:rsidP="0085709A">
      <w:pPr>
        <w:pStyle w:val="TextoNormal"/>
      </w:pPr>
      <w:r>
        <w:t xml:space="preserve">Por reiterar el razonamiento con la ayuda de sus palabras conclusivas: “En consecuencia, dado que cuando se aprobó el Real Decreto-ley 28/2012 no existía una relación consagrada o agotada incorporada al patrimonio del pensionista, sino una mera expectativa, hemos de </w:t>
      </w:r>
      <w:r>
        <w:lastRenderedPageBreak/>
        <w:t>rechazar que la norma cuestionada haya incurrido en un supuesto de retroactividad auténtica o de grado máximo prohibido por el art. 9.3 CE” (FJ 5</w:t>
      </w:r>
      <w:r w:rsidRPr="0085709A">
        <w:rPr>
          <w:i/>
        </w:rPr>
        <w:t>, in fi</w:t>
      </w:r>
      <w:r>
        <w:t>ne).</w:t>
      </w:r>
    </w:p>
    <w:p w:rsidR="0085709A" w:rsidRDefault="0085709A" w:rsidP="0085709A">
      <w:pPr>
        <w:pStyle w:val="TextoNormal"/>
      </w:pPr>
    </w:p>
    <w:p w:rsidR="0085709A" w:rsidRDefault="0085709A" w:rsidP="0085709A">
      <w:pPr>
        <w:pStyle w:val="TextoNormal"/>
      </w:pPr>
      <w:r>
        <w:t>Es ésta una tesis que no solo no podemos compartir; elevando el tono de nuestro disentimiento, queremos dejar expresa constancia de nuestra radical divergencia. En las observaciones que siguen se razonará este disenso, poniendo de manifiesto igualmente, y como ya se anticipó, sus sorpresivos y negativos efectos sobre la determinación del momento de la efectiva maduración de los derechos y obligaciones en el sector público.</w:t>
      </w:r>
    </w:p>
    <w:p w:rsidR="0085709A" w:rsidRDefault="0085709A" w:rsidP="0085709A">
      <w:pPr>
        <w:pStyle w:val="TextoNormal"/>
      </w:pPr>
    </w:p>
    <w:p w:rsidR="0085709A" w:rsidRDefault="0085709A" w:rsidP="0085709A">
      <w:pPr>
        <w:pStyle w:val="TextoNormal"/>
      </w:pPr>
      <w:r>
        <w:t>b) Una adecuada inteligencia del tema a debate requiere, como preliminar útil, diferenciar tres situaciones jurídicas, diferenciación ésta que la Sentencia aborda de manera parcial, sumaria y, en ocasiones, errada o, al menos, equívoca.</w:t>
      </w:r>
    </w:p>
    <w:p w:rsidR="0085709A" w:rsidRDefault="0085709A" w:rsidP="0085709A">
      <w:pPr>
        <w:pStyle w:val="TextoNormal"/>
      </w:pPr>
    </w:p>
    <w:p w:rsidR="0085709A" w:rsidRDefault="0085709A" w:rsidP="0085709A">
      <w:pPr>
        <w:pStyle w:val="TextoNormal"/>
      </w:pPr>
      <w:r>
        <w:t>La primera situación, de nula relevancia en el juicio de constitucionalidad, es el momento de devengo de la cantidad económica derivada de la actualización de pensiones. Para la resolución de la que nos apartamos, la “eventual actualización de la revalorización “se devengaría” y, por tanto, se consolidaría el 31 de diciembre de cada ejercicio” (FJ 5). Es este un criterio, no obstante, que viene desmentido por los arts. 48.1.2 LGSS y 27.1, párrafo segundo, del texto refundido de la Ley de clases pasivas del Estado, que definen esa secuencia temporal en términos simétricos; a saber: “a los pensionistas cuyas pensiones se hubieran causado o revalorizado en el ejercicio anterior, se les abonará la diferencia en un pago único, antes del primero de abril del ejercicio posterior”. El momento del devengo se identifica así en fecha incierta, pero en todo caso comprendida en el primer trimestre de cada anualidad.</w:t>
      </w:r>
    </w:p>
    <w:p w:rsidR="0085709A" w:rsidRDefault="0085709A" w:rsidP="0085709A">
      <w:pPr>
        <w:pStyle w:val="TextoNormal"/>
      </w:pPr>
    </w:p>
    <w:p w:rsidR="0085709A" w:rsidRDefault="0085709A" w:rsidP="0085709A">
      <w:pPr>
        <w:pStyle w:val="TextoNormal"/>
      </w:pPr>
      <w:r>
        <w:t>La segunda situación es el período de cálculo para conocer la concreta evolución del IPC y poder fijar, en su caso, la diferencia entre los IPC previsto y real, período éste que, una vez más, los pasajes legales citados de la LGSS y el texto refundido de la Ley de clases pasivas del Estado enuncian con notable claridad: “entre noviembre del ejercicio anterior y noviembre del ejercicio económico a que se refiera la revalorización”. Como equívocamente hace notar la Sentencia, este período es algo más y algo diferente de “una mera regla de cálculo por razones presupuestarias” (FJ 5). Es, desde luego, una regla de cálculo; pero ni es una mera regla, de carácter instrumental, ni su alcance normativo se agota en el ámbito presupuestario. Este período de cálculo cumple una función sustantiva de primer orden, pues acota la secuencia temporal dentro de la cual se procede a la concreción de la segunda de las piezas que articula el mantenimiento del poder adquisitivo de las pensiones. Una vez revalorizadas las pensiones al inicio de cada ejercicio económico conforme al IPC previsto, el mantenimiento comporta la actualización de las pensiones ya revalorizadas en una cantidad equivalente al diferencial entre ese IPC y el real, diferencial éste fijado a lo largo de dicho período de cálculo.</w:t>
      </w:r>
    </w:p>
    <w:p w:rsidR="0085709A" w:rsidRDefault="0085709A" w:rsidP="0085709A">
      <w:pPr>
        <w:pStyle w:val="TextoNormal"/>
      </w:pPr>
    </w:p>
    <w:p w:rsidR="0085709A" w:rsidRDefault="0085709A" w:rsidP="0085709A">
      <w:pPr>
        <w:pStyle w:val="TextoNormal"/>
      </w:pPr>
      <w:r>
        <w:t xml:space="preserve">La tercera y última de las situaciones jurídicas es la verdaderamente decisiva a efectos de la configuración del art. 2.1 de la disposición impugnada como una norma que lesiona la prohibición de retroactividad </w:t>
      </w:r>
      <w:r w:rsidRPr="0085709A">
        <w:rPr>
          <w:i/>
        </w:rPr>
        <w:t>ex</w:t>
      </w:r>
      <w:r>
        <w:t xml:space="preserve"> art. 9.3 CE. De ella, tratamos en las consideraciones que siguen.</w:t>
      </w:r>
    </w:p>
    <w:p w:rsidR="0085709A" w:rsidRDefault="0085709A" w:rsidP="0085709A">
      <w:pPr>
        <w:pStyle w:val="TextoNormal"/>
      </w:pPr>
    </w:p>
    <w:p w:rsidR="0085709A" w:rsidRDefault="0085709A" w:rsidP="0085709A">
      <w:pPr>
        <w:pStyle w:val="TextoNormal"/>
      </w:pPr>
      <w:r>
        <w:t xml:space="preserve">c) Los arts. 48.1.2 LGSS y 27.1, párrafo segundo, del texto refundido de clases pasivas del Estado poseen una misma estructura jurídica, lo que no puede ser de otro modo dada su más estricta identidad gramatical. Dicha estructura responde a la noción más canónica y </w:t>
      </w:r>
      <w:r>
        <w:lastRenderedPageBreak/>
        <w:t>ortodoxa de la regla jurídica, descomponiéndose en un supuesto de hecho y en una consecuencia jurídica. El supuesto de hecho lo constituye una situación definida del modo siguiente: el índice de precios al consumo acumulado correspondiente al período comprendido entre el 1 de diciembre (2011, en el caso a examen) y el 30 de noviembre del año posterior (2012, en el caso a examen) sobrepasa o excede (“es superior a favor de los beneficiarios de pensiones causadas con anterioridad al 31 de diciembre de 2011”, en el lenguaje legal) al índice previsto por la Ley de prespuestos para el ejercicio 2012 (el 1 por 100, en el caso a examen). De su lado, la consecuencia jurídica es la actualización de pensiones; es decir, el abono del diferencial entre ambos índices de precios al consumo a los beneficiarios de pensiones causadas con anterioridad al 1 de enero de 2012.</w:t>
      </w:r>
    </w:p>
    <w:p w:rsidR="0085709A" w:rsidRDefault="0085709A" w:rsidP="0085709A">
      <w:pPr>
        <w:pStyle w:val="TextoNormal"/>
      </w:pPr>
    </w:p>
    <w:p w:rsidR="0085709A" w:rsidRDefault="0085709A" w:rsidP="0085709A">
      <w:pPr>
        <w:pStyle w:val="TextoNormal"/>
      </w:pPr>
      <w:r>
        <w:t>Enunciando, como efectivamente lo hacen, una regla jurídica completa, la consecuencia jurídica de los preceptos a examen está sujeta, sin embargo, a condición, consistente en que, durante el tan citado período, el IPC real ha sido superior, efectivamente, al IPC previsto. Si tal acontece, la condición ha de entenderse cumplida y, por consiguiente, activado el mandato de mantenimiento de pensiones, en la parte referente a la actualización, adquiriendo desde entonces los beneficiarios de pensiones ya causadas con anterioridad al inicio de cada ejercicio económico el derecho a la actualización. En suma, el cumplimiento de la condición comporta la maduración o consumación del tan mencionado derecho a la actualización, que se incorpora e integra de manera automática en el patrimonio jurídico de los pensionistas; de cada uno de ellos al que resulte de aplicación el supuesto de hecho. O por expresar esta misma idea con el lenguaje de este Tribunal, la ejecución de la condición lleva aparejada la transformación de la actualización de pensiones de una simple expectativa en un “derecho adquirido” o, si se quiere, en una “relación consagrada” o una “situación agotada”. Una vez materializada la condición, hecho que adviene en el día conclusivo del periodo de cálculo del diferencial entre el IPC previsto y el real, el derecho de actualización de las pensiones se retrotrae a la fecha que define el comienzo de su disfrute, coincidente con el 1 de enero de cada anualidad, concluyendo, con criterios de normalidad, con la secuencia de clausura o cierre, convergente ahora con el 31 de diciembre de esa misma anualidad.</w:t>
      </w:r>
    </w:p>
    <w:p w:rsidR="0085709A" w:rsidRDefault="0085709A" w:rsidP="0085709A">
      <w:pPr>
        <w:pStyle w:val="TextoNormal"/>
      </w:pPr>
    </w:p>
    <w:p w:rsidR="0085709A" w:rsidRDefault="0085709A" w:rsidP="0085709A">
      <w:pPr>
        <w:pStyle w:val="TextoNormal"/>
      </w:pPr>
      <w:r>
        <w:t>d) A favor de la tesis aquí defendida, milita una pluralidad de razones, todas ellas dotadas de una mayor envergadura hermenéutica.</w:t>
      </w:r>
    </w:p>
    <w:p w:rsidR="0085709A" w:rsidRDefault="0085709A" w:rsidP="0085709A">
      <w:pPr>
        <w:pStyle w:val="TextoNormal"/>
      </w:pPr>
    </w:p>
    <w:p w:rsidR="0085709A" w:rsidRDefault="0085709A" w:rsidP="0085709A">
      <w:pPr>
        <w:pStyle w:val="TextoNormal"/>
      </w:pPr>
      <w:r>
        <w:t>i) Por lo pronto, así lo confirma una comprensión literal del precepto impugnado —por cierto, apenas evocado por la Sentencia—, a tenor del cual “</w:t>
      </w:r>
      <w:r w:rsidRPr="0085709A">
        <w:rPr>
          <w:i/>
        </w:rPr>
        <w:t>se deja sin efecto</w:t>
      </w:r>
      <w:r>
        <w:t xml:space="preserve"> para el ejercicio 2012 la actualización de las pensiones en los términos previstos”. La dicción empleada no ofrece dudas acerca del sentido que ha de atribuirse a la norma combatida: dejar algo sin efectos presupone necesariamente, de entrada, reconocer la existencia de ese algo; y también lleva implícita la producción de efectos. Por formular la idea ahora en lenguaje jurídico, solo pueden dejarse sin efectos aquellas situaciones jurídicas ya consolidadas o agotadas.</w:t>
      </w:r>
    </w:p>
    <w:p w:rsidR="0085709A" w:rsidRDefault="0085709A" w:rsidP="0085709A">
      <w:pPr>
        <w:pStyle w:val="TextoNormal"/>
      </w:pPr>
    </w:p>
    <w:p w:rsidR="0085709A" w:rsidRDefault="0085709A" w:rsidP="0085709A">
      <w:pPr>
        <w:pStyle w:val="TextoNormal"/>
      </w:pPr>
      <w:r>
        <w:t xml:space="preserve">Este primer argumento ya descarta, en sí mismo considerado, la tesis sostenida por el pronunciamiento de nuestra divergencia, privando de la necesaria consistencia interpretativa a la configuración jurídica de la actualización de pensiones como una mera expectativa hasta tanto en cuanto no se apruebe y entre en vigor la ley presupuestaria. Pero en segundo lugar y como resultante de lo anterior, también sustrae de fuerza hermenéutica a la consecuencia jurídica predicable del pasaje legal combatido, que no consistiría en haber dejado </w:t>
      </w:r>
      <w:r>
        <w:lastRenderedPageBreak/>
        <w:t>sin efectos la actualización de pensiones, sino en haber “suspendido (dicha actualización) con anterioridad a la consolidación” (FJ 5, párrafo penúltimo</w:t>
      </w:r>
      <w:r w:rsidRPr="0085709A">
        <w:rPr>
          <w:i/>
        </w:rPr>
        <w:t>, in fi</w:t>
      </w:r>
      <w:r>
        <w:t>ne).</w:t>
      </w:r>
    </w:p>
    <w:p w:rsidR="0085709A" w:rsidRDefault="0085709A" w:rsidP="0085709A">
      <w:pPr>
        <w:pStyle w:val="TextoNormal"/>
      </w:pPr>
    </w:p>
    <w:p w:rsidR="0085709A" w:rsidRDefault="0085709A" w:rsidP="0085709A">
      <w:pPr>
        <w:pStyle w:val="TextoNormal"/>
      </w:pPr>
      <w:r>
        <w:t>Una inteligencia del precepto discutido como la que se viene de evocar no solo contraría frontalmente el más tradicional y primero de los cánones de la interpretación jurídica: el literal. Adicionalmente, también confronta con una interpretación sistemática de dicho precepto con el art. 2.2 de la misma norma, que no se encuentra impugnado en el presente proceso constitucional, en el que, ahora sí, “se suspende”, bien que para el ejercicio 2013, la primera de las piezas que instrumentan el mantenimiento del poder adquisitivo de las pensiones: la revalorización de pensiones conforme al IPC previsto. Y es que, en verdad, el art. 2.1 del Real Decreto-ley 28/2012 no procedió a suspender, ni temporal ni indefinidamente, la actualización de pensiones; su alcance, bien distinto, residió en privar, abolir, cesar o suprimir el derecho, ya consolidado, a la percepción por los pensionistas de la segunda fracción que garantiza el mantenimiento del poder adquisitivo de sus pensiones.</w:t>
      </w:r>
    </w:p>
    <w:p w:rsidR="0085709A" w:rsidRDefault="0085709A" w:rsidP="0085709A">
      <w:pPr>
        <w:pStyle w:val="TextoNormal"/>
      </w:pPr>
    </w:p>
    <w:p w:rsidR="0085709A" w:rsidRDefault="0085709A" w:rsidP="0085709A">
      <w:pPr>
        <w:pStyle w:val="TextoNormal"/>
      </w:pPr>
      <w:r>
        <w:t>ii) Una comprensión igualmente lexicológica de los arts. 48.2.1 LGSS y 27.1, párrafo segundo, del texto refundido de la Ley de clases pasivas del Estado también contribuye a desmentir la tesis defendida de contrario y, por tanto, a corroborar la tesis que aquí se sostiene. Tras identificar el supuesto de hecho de la regla jurídica ahí formulada, ambos preceptos definen la consecuencia jurídica mediante el empleo de formas verbales de futuro (“se procederá” o “se les abonará”), típicas de los enunciados de mandatos imperativos.</w:t>
      </w:r>
    </w:p>
    <w:p w:rsidR="0085709A" w:rsidRDefault="0085709A" w:rsidP="0085709A">
      <w:pPr>
        <w:pStyle w:val="TextoNormal"/>
      </w:pPr>
    </w:p>
    <w:p w:rsidR="0085709A" w:rsidRDefault="0085709A" w:rsidP="0085709A">
      <w:pPr>
        <w:pStyle w:val="TextoNormal"/>
      </w:pPr>
      <w:r>
        <w:t xml:space="preserve">El alcance del giro gramatical “se procederá a la correspondiente actualización de acuerdo con lo que establezca la respectiva Ley de Presupuestos Generales del Estado” no consiente una inteligencia como la abogada por la Sentencia. Atendiendo a criterios de simple construcción gramatical, la expresión </w:t>
      </w:r>
      <w:r w:rsidRPr="0085709A">
        <w:rPr>
          <w:i/>
        </w:rPr>
        <w:t>de acuerdo</w:t>
      </w:r>
      <w:r>
        <w:t xml:space="preserve"> con la LGPE no desplaza a la ley reenviada la facultad de reconocer o de abolir la actualización de pensiones; su sentido, bien diferente, es el de diferir a dicha norma la consignación de los créditos para hacer frente “</w:t>
      </w:r>
      <w:r w:rsidRPr="0085709A">
        <w:rPr>
          <w:i/>
        </w:rPr>
        <w:t>a la correspondiente</w:t>
      </w:r>
      <w:r>
        <w:t xml:space="preserve"> actualización”, siempre y cuando, como ya se ha argumentado en reiteradas ocasiones, se hubiere cumplido la condición para que la misma opere de conformidad con los criterios establecidos en aquellos preceptos legales, cumplimiento que en efecto tuvo lugar.</w:t>
      </w:r>
    </w:p>
    <w:p w:rsidR="0085709A" w:rsidRDefault="0085709A" w:rsidP="0085709A">
      <w:pPr>
        <w:pStyle w:val="TextoNormal"/>
      </w:pPr>
    </w:p>
    <w:p w:rsidR="0085709A" w:rsidRDefault="0085709A" w:rsidP="0085709A">
      <w:pPr>
        <w:pStyle w:val="TextoNormal"/>
      </w:pPr>
      <w:r>
        <w:t>iii) Una intelección gramatical y sistemática de las disposiciones que en las sucesivas de la Ley de presupuestos generales del Estado se han ocupado del tema aquí a debate evidencia el carácter subordinado de las mismas; muestra, en efecto, que las leyes de presupuestos, una vez verificado el cumplimiento de la condición que los arts. 48.1.2 LGSS y 27.1, párrafo segundo, del texto refundido de la Ley de clases pasivas del Estado enuncian para la adquisición por los pensionistas del derecho a la actualización de pensiones, se circunscriben a reproducir los contenidos normativos de esos preceptos legales con fines simplemente aplicativos, sin aportar tan siquiera una concreción cuantitativa a la actualización de las pensiones.</w:t>
      </w:r>
    </w:p>
    <w:p w:rsidR="0085709A" w:rsidRDefault="0085709A" w:rsidP="0085709A">
      <w:pPr>
        <w:pStyle w:val="TextoNormal"/>
      </w:pPr>
    </w:p>
    <w:p w:rsidR="0085709A" w:rsidRDefault="0085709A" w:rsidP="0085709A">
      <w:pPr>
        <w:pStyle w:val="TextoNormal"/>
      </w:pPr>
      <w:r>
        <w:t>Utilizando una fórmula de estilo, las leyes de presupuestos generales del Estado han venido incorporando a su estructura interna una regla de “mantenimiento del poder adquisitivo de las pensiones”, sistemáticamente ubicada entre las disposiciones adicionales, del tenor siguiente:</w:t>
      </w:r>
    </w:p>
    <w:p w:rsidR="0085709A" w:rsidRDefault="0085709A" w:rsidP="0085709A">
      <w:pPr>
        <w:pStyle w:val="TextoNormal"/>
      </w:pPr>
    </w:p>
    <w:p w:rsidR="0085709A" w:rsidRDefault="0085709A" w:rsidP="0085709A">
      <w:pPr>
        <w:pStyle w:val="TextoNormal"/>
      </w:pPr>
      <w:r>
        <w:lastRenderedPageBreak/>
        <w:t xml:space="preserve">“Los pensionistas del sistema de Seguridad Social y de Clases Pasivas, con pensiones causadas con anterioridad al 1 de enero de ...y objeto de revalorización en dicho ejercicio, </w:t>
      </w:r>
      <w:r w:rsidRPr="0085709A">
        <w:rPr>
          <w:i/>
        </w:rPr>
        <w:t>recibirán</w:t>
      </w:r>
      <w:r>
        <w:t>, antes del 1 de abril del … y en un único pago, una cantidad equivalente a la diferencia entre la pensión percibida en … y la que hubiere correspondido de haber aplicado al importe de la pensión vigente a 31 de diciembre de … el incremento real experimentado por el IPC en el período noviembre … a noviembre” (entre otras: disposición adicional sexta.1 de la Ley de presupuestos generales del Estado para el año 2002; disposición adicional quinta.1, de la Ley de presupuestos para el año 2003; disposición adicional quinta.1de la Ley de presupuestos para el año 2004; disposición adicional quincuagésima primera.1, de la Ley de presupuestos para el año 2005; disposición adicional séptima.1 de la Ley de presupuestos para el año 2006; disposición adicional decimotercera.1 de la Ley de presupuestos para el año 2007; disposición adicional  decimocuarta.1 de la Ley de presupuestos para el año 2008; disposición adicional decimosegunda.1 de la Ley de presupuestos para el año 2009 y disposición adicional octava.1 de la Ley de persupuestos para el año 2011).</w:t>
      </w:r>
    </w:p>
    <w:p w:rsidR="0085709A" w:rsidRDefault="0085709A" w:rsidP="0085709A">
      <w:pPr>
        <w:pStyle w:val="TextoNormal"/>
      </w:pPr>
    </w:p>
    <w:p w:rsidR="0085709A" w:rsidRDefault="0085709A" w:rsidP="0085709A">
      <w:pPr>
        <w:pStyle w:val="TextoNormal"/>
      </w:pPr>
      <w:r>
        <w:t>Como puede inferirse de la mera lectura de la regla transcrita, la ordenación jurídica por las leyes de presupuestos de la actualización de pensiones responde, en su estructura, a la lógica propia de las cláusulas que proceden a la consignación de créditos o deudas ya causados y consolidados a resultas de lo establecido en otras leyes sustantivas. En el caso a examen, las disposiciones adicionales mencionadas no añaden ni quitan nada al contenido de las reglas jurídicas enunciadas en los arts. 48.1.2. LGSS y 27.1, párrafo segundo, del texto refundido de la Ley de clases pasivas del Estado, reproduciendo en su literalidad tanto el supuesto de hecho como la consecuencia jurídica, bien que ya delimitado uno y otra con las oportunas referencias temporales. La diferencia entre aquellas disposiciones y estas reglas reside en que esas primeras, al promulgarse una vez que ya ha acaecido el cumplimiento de la condición, ratifican, a los solos efectos de la provisión del oportuno gasto presupuestario, el derecho que asiste a los pensionistas al mantenimiento del poder adquisitivo de sus prestaciones. O, por decirlo con el certero lenguaje utilizado, los pensionistas “recibirán” una paga única equivalente a la diferencia entre los IPC previsto y real, siendo evidente que solo se recibe aquello a lo que ya se tiene derecho; es decir, a lo adquirido y consolidado.</w:t>
      </w:r>
    </w:p>
    <w:p w:rsidR="0085709A" w:rsidRDefault="0085709A" w:rsidP="0085709A">
      <w:pPr>
        <w:pStyle w:val="TextoNormal"/>
      </w:pPr>
    </w:p>
    <w:p w:rsidR="0085709A" w:rsidRDefault="0085709A" w:rsidP="0085709A">
      <w:pPr>
        <w:pStyle w:val="TextoNormal"/>
      </w:pPr>
      <w:r>
        <w:t>iv) Finalmente y a pesar de carecer el argumento que sigue de dimensión constitucional, los actos de las entidades gestoras del sistema de Seguridad Social, de manera sistemática e ininterrumpida desde la implantación en nuestro ordenamiento del principio de neutralidad del proceso inflacionario sobre las pensiones, vienen a avalar, la tesis aquí sostenida y, por tanto, a desmentir la argumentación que sustenta la desestimación por la Sentencia de la inexistencia de lesión del art. 9.3 CE por el art. 2.1 del Real Decreto-ley 28/2012. Tales actos se concretan en el reconocimiento y el abono a los derechohabientes de los pensionistas fallecidos a lo largo del correspondiente ejercicio anual, titulares de pensiones causadas con anterioridad al 1 de enero de ese mismo ejercicio, de la parte proporcional de la cuantía de la actualización de pensiones que el causante hubiere recibido en caso de no haberse producido el óbito.</w:t>
      </w:r>
    </w:p>
    <w:p w:rsidR="0085709A" w:rsidRDefault="0085709A" w:rsidP="0085709A">
      <w:pPr>
        <w:pStyle w:val="TextoNormal"/>
      </w:pPr>
    </w:p>
    <w:p w:rsidR="0085709A" w:rsidRDefault="0085709A" w:rsidP="0085709A">
      <w:pPr>
        <w:pStyle w:val="TextoNormal"/>
      </w:pPr>
      <w:r>
        <w:t xml:space="preserve">El interrogante que emerge de inmediato de esta práctica es de fácil enunciado: si la actualización de pensiones se consolidase, como sostiene la Sentencia, a 31 de diciembre de cada año, una vez aprobada la oportuna ley de presupuestos, de modo que hasta esa fecha los pensionistas no tuvieran más que expectativas de derechos y no derechos adquiridos </w:t>
      </w:r>
      <w:r>
        <w:lastRenderedPageBreak/>
        <w:t>¿cuál sería el título jurídico que fundamentaría el abono de la diferencia entre los IPC previsto y real por las entidades gestoras de las pensiones de la Seguridad Social y de clases pasivas del Estado? Descartado que ese abono pudiera venir motivado por razones de benevolencia o altruismo de esas entidades con quienes tienen la condición de derechohabientes del pensionista fallecido, el interrogante enunciado tiene una respuesta tan rápida como sencilla. Dicho abono se debe al modo como se integra la actualización de pensiones en el patrimonio jurídico de los pensionistas; a saber, una vez cumplida la condición estipulada por los preceptos legales encargados de garantizar el mantenimiento del poder adquisitivo de las pensiones, los efectos de ese cumplimiento se retrotraen al 1 de enero del año en el que se produce el fallecimiento, madurando su cuantía de forma progresiva a lo largo de ese año.</w:t>
      </w:r>
    </w:p>
    <w:p w:rsidR="0085709A" w:rsidRDefault="0085709A" w:rsidP="0085709A">
      <w:pPr>
        <w:pStyle w:val="TextoNormal"/>
      </w:pPr>
    </w:p>
    <w:p w:rsidR="0085709A" w:rsidRDefault="0085709A" w:rsidP="0085709A">
      <w:pPr>
        <w:pStyle w:val="TextoNormal"/>
      </w:pPr>
      <w:r>
        <w:t>5. Antes de finalizar el presente Voto particular, conviene efectuar una doble reflexión: una de perplejidad y la otra de preocupación.</w:t>
      </w:r>
    </w:p>
    <w:p w:rsidR="0085709A" w:rsidRDefault="0085709A" w:rsidP="0085709A">
      <w:pPr>
        <w:pStyle w:val="TextoNormal"/>
      </w:pPr>
    </w:p>
    <w:p w:rsidR="0085709A" w:rsidRDefault="0085709A" w:rsidP="0085709A">
      <w:pPr>
        <w:pStyle w:val="TextoNormal"/>
      </w:pPr>
      <w:r>
        <w:t>Por lo pronto, un entendimiento como el postulado por la Sentencia conduce de manera irremediable a privar de la menor significación jurídica al precepto aquí debatido. Si la actualización de pensiones madura, en el decir de la Sentencia, a 31 de diciembre de cada ejercicio, perteneciendo al legislador presupuestario, “en atención a las circunstancias sociales y económicas en cada momento existentes”, no solo la facultad de moderar o adecuar el diferencial existente tras la comparación entre los IPCs previsto y real, sino adicionalmente, y con mayor intensidad, la de conceder o suprimir la propia actualización, ¿cuál es la consecuencia jurídica atribuible al art. 2.1 del Real Decreto-ley 28/2012, norma adoptada por razones de extraordinaria y urgente necesidad? En otros términos igualmente interrogativos, si se entiende que la consecuencia de la decisión del Gobierno de “dejar sin efecto”, mediante un instrumento dotado del rango y fuerza de la ley, las previsiones legales sobre la actualización de pensiones no ha sido la supresión de derechos adquiridos, sino la mera suspensión de un derecho aún no consolidado, ¿este mismo efecto no se podría haber alcanzado mediante la simple omisión por la Ley de presupuestos del Estado para el año 2013 de la cláusula sobre mantenimiento del poder adquisitivo de las pensiones en el año 2012? Razones de economía normativa así lo hubieran aconsejado.</w:t>
      </w:r>
    </w:p>
    <w:p w:rsidR="0085709A" w:rsidRDefault="0085709A" w:rsidP="0085709A">
      <w:pPr>
        <w:pStyle w:val="TextoNormal"/>
      </w:pPr>
    </w:p>
    <w:p w:rsidR="0085709A" w:rsidRDefault="0085709A" w:rsidP="0085709A">
      <w:pPr>
        <w:pStyle w:val="TextoNormal"/>
      </w:pPr>
      <w:r>
        <w:t>Pero más allá de la sorpresa que, en términos de política legislativa, produce el criterio mayoritariamente adoptado, el razonamiento aprestado por la Sentencia para fundamentar el fallo desestimatorio del recurso puede desplegar unos efectos devastadores para la adquisición de derechos de las personas, físicas o jurídicas, frente a las instituciones sometidas en su actuación a las leyes de presupuestos así como para la consolidación de deudas y obligaciones por estas mismas instituciones. Estos potenciales efectos traen causa en el valor jurídico conferido a las remisiones de leyes sustantivas a la legislación presupuestaria. A partir de la doctrina formulada en esta Sentencia, las leyes de presupuestos, además de cumplir su tradicional y ortodoxa función de asegurar, mediante la oportuna consignación de créditos, la efectividad del cumplimiento por el Estado —de todo él, en su compleja composición—, de las obligaciones contraídas, asumiría como propia otra función; a saber, la transformación o conversión de las “simples expectativas de derechos” en derechos adquiridos. Quede ahí constancia del riesgo que lleva en sus genes esta Sentencia; y también de nuestra intensa inquietud ante la eventual concreción de este riesgo.</w:t>
      </w:r>
    </w:p>
    <w:p w:rsidR="0085709A" w:rsidRDefault="0085709A" w:rsidP="0085709A">
      <w:pPr>
        <w:pStyle w:val="TextoNormal"/>
      </w:pPr>
    </w:p>
    <w:p w:rsidR="0085709A" w:rsidRDefault="0085709A" w:rsidP="0085709A">
      <w:pPr>
        <w:pStyle w:val="TextoNormal"/>
      </w:pPr>
      <w:r>
        <w:t>Y en este sentido emitimos este Voto particular.</w:t>
      </w:r>
    </w:p>
    <w:p w:rsidR="0085709A" w:rsidRDefault="0085709A" w:rsidP="0085709A">
      <w:pPr>
        <w:pStyle w:val="TextoNormal"/>
      </w:pPr>
    </w:p>
    <w:p w:rsidR="0085709A" w:rsidRDefault="0085709A" w:rsidP="0085709A">
      <w:pPr>
        <w:pStyle w:val="TextoNormal"/>
      </w:pPr>
      <w:r>
        <w:t>Madrid, a cinco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3" w:name="SENTENCIA_2015_50"/>
      <w:r>
        <w:lastRenderedPageBreak/>
        <w:t>SENTENCIA 50/2015, de 5 de marzo de 2015</w:t>
      </w:r>
    </w:p>
    <w:bookmarkEnd w:id="53"/>
    <w:p w:rsidR="0085709A" w:rsidRDefault="0085709A" w:rsidP="0085709A">
      <w:pPr>
        <w:pStyle w:val="TtuloResolucin"/>
      </w:pPr>
      <w:r>
        <w:t>Pleno</w:t>
      </w:r>
    </w:p>
    <w:p w:rsidR="0085709A" w:rsidRDefault="0085709A" w:rsidP="0085709A">
      <w:pPr>
        <w:pStyle w:val="TtuloBOE"/>
      </w:pPr>
      <w:r>
        <w:t>(BOE núm. 85, de 9 de abril de 2015)</w:t>
      </w:r>
    </w:p>
    <w:p w:rsidR="0085709A" w:rsidRDefault="0085709A" w:rsidP="0085709A">
      <w:pPr>
        <w:pStyle w:val="TextoNormalCentrado"/>
      </w:pPr>
      <w:r>
        <w:t>ECLI:ES:TC:2015:50</w:t>
      </w:r>
    </w:p>
    <w:p w:rsidR="0085709A" w:rsidRDefault="0085709A" w:rsidP="0085709A">
      <w:pPr>
        <w:pStyle w:val="TextoNormalCentrado"/>
      </w:pPr>
    </w:p>
    <w:p w:rsidR="0085709A" w:rsidRDefault="0085709A" w:rsidP="0085709A">
      <w:pPr>
        <w:pStyle w:val="SntesisDescriptiva"/>
      </w:pPr>
      <w:r>
        <w:t>Cuestión de inconstitucionalidad 1549-2014. Planteada por la Sala de lo Contencioso-Administrativo del Tribunal Superior de Justicia de Castilla y León sobre la Ley de Castilla y León 5/2010, de 28 de mayo, de modificación de la Ley 4/2000, de 27 de junio, de declaración del parque natural de Fuentes Carrionas y Fuente Cobre-Montaña Palentina (Palencia).</w:t>
      </w:r>
    </w:p>
    <w:p w:rsidR="0085709A" w:rsidRDefault="0085709A" w:rsidP="0085709A">
      <w:pPr>
        <w:pStyle w:val="SntesisDescriptiva"/>
      </w:pPr>
    </w:p>
    <w:p w:rsidR="0085709A" w:rsidRDefault="0085709A" w:rsidP="0085709A">
      <w:pPr>
        <w:pStyle w:val="SntesisAnaltica"/>
      </w:pPr>
      <w:r>
        <w:t>Derecho a la tutela judicial efectiva (ejecución): nulidad de la Ley que impide la ejecución de la sentencia anulatoria de un plan de ordenación de los recursos naturales. Voto particular.</w:t>
      </w:r>
    </w:p>
    <w:p w:rsidR="0085709A" w:rsidRDefault="0085709A" w:rsidP="0085709A">
      <w:pPr>
        <w:pStyle w:val="SntesisAnaltica"/>
      </w:pPr>
    </w:p>
    <w:p w:rsidR="0085709A" w:rsidRDefault="0085709A" w:rsidP="0085709A">
      <w:pPr>
        <w:pStyle w:val="Extracto"/>
      </w:pPr>
      <w:r>
        <w:t>1.</w:t>
      </w:r>
      <w:r>
        <w:tab/>
        <w:t>La utilización de la ley no es una medida razonable ni proporcionada a la situación excepcional que ha justificado su aprobación [FJ 7].</w:t>
      </w:r>
    </w:p>
    <w:p w:rsidR="0085709A" w:rsidRDefault="0085709A" w:rsidP="0085709A">
      <w:pPr>
        <w:pStyle w:val="Extracto"/>
      </w:pPr>
    </w:p>
    <w:p w:rsidR="0085709A" w:rsidRDefault="0085709A" w:rsidP="0085709A">
      <w:pPr>
        <w:pStyle w:val="Extracto"/>
      </w:pPr>
      <w:r>
        <w:t>2.</w:t>
      </w:r>
      <w:r>
        <w:tab/>
        <w:t>Aun pudiendo estimarse que la modificación propuesta pudiera tener una justificación razonable, no se fundamenta la necesidad de que tal modificación se lleve a cabo mediante ley [FJ 7].</w:t>
      </w:r>
    </w:p>
    <w:p w:rsidR="0085709A" w:rsidRDefault="0085709A" w:rsidP="0085709A">
      <w:pPr>
        <w:pStyle w:val="Extracto"/>
      </w:pPr>
    </w:p>
    <w:p w:rsidR="0085709A" w:rsidRDefault="0085709A" w:rsidP="0085709A">
      <w:pPr>
        <w:pStyle w:val="Extracto"/>
      </w:pPr>
      <w:r>
        <w:t>3.</w:t>
      </w:r>
      <w:r>
        <w:tab/>
        <w:t>No existe explicación alguna acerca de la prevalencia otorgada al desarrollo socioeconómico de los municipios que integran el espacio natural pues, conforme a la Ley 4/2000, el objetivo prioritario ha de ser conservar, proteger y mejorar los recursos naturales, su vegetación, flora, fauna, agua y paisaje, preservando la diversidad genética y manteniendo la dinámica y estructura funcional de los ecosistemas [FJ 7].</w:t>
      </w:r>
    </w:p>
    <w:p w:rsidR="0085709A" w:rsidRDefault="0085709A" w:rsidP="0085709A">
      <w:pPr>
        <w:pStyle w:val="Extracto"/>
      </w:pPr>
    </w:p>
    <w:p w:rsidR="0085709A" w:rsidRDefault="0085709A" w:rsidP="0085709A">
      <w:pPr>
        <w:pStyle w:val="Extracto"/>
      </w:pPr>
      <w:r>
        <w:t>4.</w:t>
      </w:r>
      <w:r>
        <w:tab/>
        <w:t>La norma impugnada no puede calificarse de ley autoaplicativa –ya que contiene mandatos que revelan su naturaleza normativa, siendo susceptible de ser aplicada mientras continúe vigente y precisando de actos administrativos de aplicación, que permitan llevar a efecto la ejecución jurídica y física de sus previsiones–; tampoco es norma de destinatario único –pues sus destinatarios son todos aquellos afectados por la modificación de la ordenación de los recursos naturales que la norma contiene– [FJ 4].</w:t>
      </w:r>
    </w:p>
    <w:p w:rsidR="0085709A" w:rsidRDefault="0085709A" w:rsidP="0085709A">
      <w:pPr>
        <w:pStyle w:val="Extracto"/>
      </w:pPr>
    </w:p>
    <w:p w:rsidR="0085709A" w:rsidRDefault="0085709A" w:rsidP="0085709A">
      <w:pPr>
        <w:pStyle w:val="Extracto"/>
      </w:pPr>
      <w:r>
        <w:t>5.</w:t>
      </w:r>
      <w:r>
        <w:tab/>
        <w:t>Se concluye que la Ley impugnada es ley singular, en tanto que dictada en atención al supuesto de hecho excepcional que la justifica; constatándose que no todos los usos, ni todas las modificaciones de los planes de ordenación de los recursos naturales requieren norma legal [FJ 5].</w:t>
      </w:r>
    </w:p>
    <w:p w:rsidR="0085709A" w:rsidRDefault="0085709A" w:rsidP="0085709A">
      <w:pPr>
        <w:pStyle w:val="Extracto"/>
      </w:pPr>
    </w:p>
    <w:p w:rsidR="0085709A" w:rsidRDefault="0085709A" w:rsidP="0085709A">
      <w:pPr>
        <w:pStyle w:val="Extracto"/>
      </w:pPr>
      <w:r>
        <w:t>6.</w:t>
      </w:r>
      <w:r>
        <w:tab/>
        <w:t>Doctrina sobre leyes singulares (SSTC 203/2013, FJ 3) [FJ 3].</w:t>
      </w:r>
    </w:p>
    <w:p w:rsidR="0085709A" w:rsidRDefault="0085709A" w:rsidP="0085709A">
      <w:pPr>
        <w:pStyle w:val="Extracto"/>
      </w:pPr>
    </w:p>
    <w:p w:rsidR="0085709A" w:rsidRDefault="0085709A" w:rsidP="0085709A">
      <w:pPr>
        <w:pStyle w:val="Extracto"/>
      </w:pPr>
      <w:r>
        <w:t>7.</w:t>
      </w:r>
      <w:r>
        <w:tab/>
        <w:t>Doctrina sobre el canon de constitucionalidad de las leyes singulares, es decir las  dictadas en atención a un supuesto de hecho concreto, pero que no son de destinatario único ni autoaplicativas, fundamentado en la razonabilidad, proporcionalidad y adecuación (STC 129/2013, FJ 4) [FJ 5].</w:t>
      </w:r>
    </w:p>
    <w:p w:rsidR="0085709A" w:rsidRDefault="0085709A" w:rsidP="0085709A">
      <w:pPr>
        <w:pStyle w:val="Extracto"/>
      </w:pPr>
    </w:p>
    <w:p w:rsidR="0085709A" w:rsidRDefault="0085709A" w:rsidP="0085709A">
      <w:pPr>
        <w:pStyle w:val="Extracto"/>
      </w:pPr>
      <w:r>
        <w:lastRenderedPageBreak/>
        <w:t>8.</w:t>
      </w:r>
      <w:r>
        <w:tab/>
        <w:t>La modificación cuestionada no carece de justificación objetiva en la medida que, dentro del margen de discrecionalidad del legislador, responde a la necesidad de promover el desarrollo socioeconómico de la zona [FJ 6].</w:t>
      </w:r>
    </w:p>
    <w:p w:rsidR="0085709A" w:rsidRDefault="0085709A" w:rsidP="0085709A">
      <w:pPr>
        <w:pStyle w:val="Extracto"/>
      </w:pPr>
    </w:p>
    <w:p w:rsidR="0085709A" w:rsidRDefault="0085709A" w:rsidP="0085709A">
      <w:pPr>
        <w:pStyle w:val="Extracto"/>
      </w:pPr>
      <w:r>
        <w:t>9.</w:t>
      </w:r>
      <w:r>
        <w:tab/>
        <w:t>Doctrina sobre la calificación del carácter arbitrario de una norma (SSTC 174/2013, FJ 6; 20/2013, FJ 8; 196/2011, FJ 13) [FJ 6].</w:t>
      </w:r>
    </w:p>
    <w:p w:rsidR="0085709A" w:rsidRDefault="0085709A" w:rsidP="0085709A">
      <w:pPr>
        <w:pStyle w:val="Extracto"/>
      </w:pPr>
    </w:p>
    <w:p w:rsidR="0085709A" w:rsidRDefault="0085709A" w:rsidP="0085709A">
      <w:pPr>
        <w:pStyle w:val="Extracto"/>
      </w:pPr>
      <w:r>
        <w:t>10.</w:t>
      </w:r>
      <w:r>
        <w:tab/>
        <w:t>La Ley impugnada, en la medida que reproduce casi miméticamente una regulación reglamentaria previamente declarada nula, vulnera el art. 24.1 CE [FJ 8].</w:t>
      </w:r>
    </w:p>
    <w:p w:rsidR="0085709A" w:rsidRDefault="0085709A" w:rsidP="0085709A">
      <w:pPr>
        <w:pStyle w:val="Extracto"/>
      </w:pPr>
    </w:p>
    <w:p w:rsidR="0085709A" w:rsidRDefault="0085709A" w:rsidP="0085709A">
      <w:pPr>
        <w:pStyle w:val="Extracto"/>
      </w:pPr>
      <w:r>
        <w:t>11.</w:t>
      </w:r>
      <w:r>
        <w:tab/>
        <w:t>Aun cuando la Ley 5/2010 pueda encontrar justificación en una razón atendible, impone un sacrificio desproporcionado de los intereses en juego, expresados en el pronunciamiento judicial, concluyéndose que el legislador rebasó los límites constitucionales [FJ 8].</w:t>
      </w:r>
    </w:p>
    <w:p w:rsidR="0085709A" w:rsidRDefault="0085709A" w:rsidP="0085709A">
      <w:pPr>
        <w:pStyle w:val="Extracto"/>
      </w:pPr>
    </w:p>
    <w:p w:rsidR="0085709A" w:rsidRDefault="0085709A" w:rsidP="0085709A">
      <w:pPr>
        <w:pStyle w:val="Extracto"/>
      </w:pPr>
      <w:r>
        <w:t>12.</w:t>
      </w:r>
      <w:r>
        <w:tab/>
        <w:t>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FJ 3; 198/1994, FJ 3; 197/2000, FJ 2; 83/2001, FJ 4) [FJ 8].</w:t>
      </w:r>
    </w:p>
    <w:p w:rsidR="0085709A" w:rsidRDefault="0085709A" w:rsidP="0085709A">
      <w:pPr>
        <w:pStyle w:val="Extracto"/>
      </w:pPr>
    </w:p>
    <w:p w:rsidR="0085709A" w:rsidRDefault="0085709A" w:rsidP="0085709A">
      <w:pPr>
        <w:pStyle w:val="Extracto"/>
      </w:pPr>
      <w:r>
        <w:t>13.</w:t>
      </w:r>
      <w:r>
        <w:tab/>
        <w:t>En relación con el óbice procesal que considera que la cuestión no se ha planteado en el seno del debido proceso, basta para desestimarlo con constatar que la cuestión se ha planteado en el seno de un incidente de los previstos en el art. 109 de la Ley reguladora de la jurisdicción contencioso-administrativa; y la valoración de la procedencia de tal incidente corresponde en exclusiva a los Jueces y Tribunales ordinarios interpretando los requisitos ordenadores de los procesos propios de su jurisdicción (STC 248/2000, FJ 5) [FJ 2].</w:t>
      </w:r>
    </w:p>
    <w:p w:rsidR="0085709A" w:rsidRDefault="0085709A" w:rsidP="0085709A">
      <w:pPr>
        <w:pStyle w:val="Extracto"/>
      </w:pPr>
    </w:p>
    <w:p w:rsidR="0085709A" w:rsidRDefault="0085709A" w:rsidP="0085709A">
      <w:pPr>
        <w:pStyle w:val="Extracto"/>
      </w:pPr>
      <w:r>
        <w:t>14.</w:t>
      </w:r>
      <w:r>
        <w:tab/>
        <w:t>No hay impedimento para que el órgano judicial pueda, en un incidente de ejecución de sentencia, examinar determinados actos dotados de rango de ley (STC 248/2000, de 19 de octubre, FJ 5) [FJ 2].</w:t>
      </w:r>
    </w:p>
    <w:p w:rsidR="0085709A" w:rsidRDefault="0085709A" w:rsidP="0085709A">
      <w:pPr>
        <w:pStyle w:val="Extracto"/>
      </w:pPr>
    </w:p>
    <w:p w:rsidR="0085709A" w:rsidRDefault="0085709A" w:rsidP="0085709A">
      <w:pPr>
        <w:pStyle w:val="Extracto"/>
      </w:pPr>
      <w:r>
        <w:t>15.</w:t>
      </w:r>
      <w:r>
        <w:tab/>
        <w:t>En cuanto a las alegadas deficiencias en el trámite de audiencia, consistentes en la supuesta falta de exteriorización de los juicios de aplicabilidad y relevancia, basta con advertir que el juez no está obligado a detallar cada uno de los extremos de la cuestión de inconstitucionalidad sobre cuya conveniencia pueden pronunciarse las partes, sino que basta con identificar mínimamente la duda de constitucionalidad (indeterminación relativa), para que sobre la misma puedan versar las alegaciones (SSTC 166/2012, FJ 3; 166/2007, FJ 6) [FJ 2].</w:t>
      </w:r>
    </w:p>
    <w:p w:rsidR="0085709A" w:rsidRDefault="0085709A" w:rsidP="0085709A">
      <w:pPr>
        <w:pStyle w:val="Extracto"/>
      </w:pPr>
    </w:p>
    <w:p w:rsidR="0085709A" w:rsidRDefault="0085709A" w:rsidP="0085709A">
      <w:pPr>
        <w:pStyle w:val="Extracto"/>
      </w:pPr>
      <w:r>
        <w:t>16.</w:t>
      </w:r>
      <w:r>
        <w:tab/>
        <w:t>La posible vulneración de un precepto de la Ley estatal 42/2007 no puede formar parte de la presente cuestión, ya que dicho extremo no fue planteado a las partes en el trámite de audiencia y no tuvieron ocasión de pronunciarse sobre él (STC 222/2012, FJ 3) [FJ 2].</w:t>
      </w:r>
    </w:p>
    <w:p w:rsidR="0085709A" w:rsidRDefault="0085709A" w:rsidP="0085709A">
      <w:pPr>
        <w:pStyle w:val="Extracto"/>
      </w:pPr>
    </w:p>
    <w:p w:rsidR="0085709A" w:rsidRDefault="0085709A" w:rsidP="0085709A">
      <w:pPr>
        <w:pStyle w:val="Extracto"/>
      </w:pPr>
      <w:r>
        <w:lastRenderedPageBreak/>
        <w:t>17.</w:t>
      </w:r>
      <w:r>
        <w:tab/>
        <w:t>El control del juicio de relevancia que corresponde efectuar a este Tribunal no puede extenderse al examen del proceso mismo en que la cuestión se plantea ni al de los presupuestos procesales que le sirven de base, a fin de evitar que, por vía indirecta, se resuelva un problema de legalidad ordinaria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1549-2014 promovida por la Sala de lo Contencioso-administrativo del Tribunal Superior de Justicia de Castilla y León sobre la Ley de Castilla y León 5/2010, de 28 de mayo, de modificación de la Ley 4/2000, de 27 de junio, de Declaración del Parque Natural de Fuentes Carrionas y Fuente Cobre-Montaña Palentina (Palencia), por posible vulneración de los arts. 9.3 y 24.1, en relación con el art. 117.3 CE. Han comparecido y formulado alegaciones el Abogado del Estado, el Fiscal General del Estado, las Cortes y el Gobierno de Castilla y León y la representación procesal de la Sociedad Española de Ornitología y otras. Ha sido Ponente el Magistrado don Luis Ignacio Ortega Álvarez,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de este Tribunal Constitucional el día 14 de marzo de 2014 a los que se acompaña, junto con el testimonio del procedimiento correspondiente, el Auto de 28 de febrero de 2014, la Sala de lo Contencioso-Administrativo del Tribunal Superior de Justicia de Castilla y León plantea cuestión de inconstitucionalidad sobre la Ley 5/2010, de 28 de mayo, de modificación de la Ley 4/2000, de 27 de junio, de declaración del parque natural de Fuentes Carrionas y Fuente Cobre-Montaña Palentina (Palencia), por posible vulneración de los arts. 9.3 y 24.1, en relación con el art. 117.3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t xml:space="preserve">a) La Sala de lo Contencioso-Administrativo del Tribunal Superior de Justicia de Castilla y León dictó el 8 de enero de 2008 Sentencia estimatoria en el recurso interpuesto por la Asociación para la Defensa de los Recursos Naturales de Cantabria contra el Decreto </w:t>
      </w:r>
      <w:r>
        <w:lastRenderedPageBreak/>
        <w:t>13/2006, de 9 de marzo, por el que se modifica el anexo I del Decreto 140/1998, de 16 de julio, por el que se aprueba el plan de ordenación de los recursos naturales de Fuentes Carrionas y Fuente Cobre-Montaña Palentina (Palencia), declarando nulo de pleno derecho el citado Decreto. Nulidad de pleno derecho confirmada por Sentencia del Tribunal Supremo de 25 de enero de 2012 y que se basaba en que no había quedado acreditada la variación de las circunstancias socioeconómicas o medioambientales tenidas en cuenta a la hora de aprobar el Plan que ahora se modifica, sin que tampoco se hubiera valorado adecuadamente la repercusión que sobre la protección, conservación, mejora y utilización racional del espacio tiene la posible instalación de estaciones de esquí alpino.</w:t>
      </w:r>
    </w:p>
    <w:p w:rsidR="0085709A" w:rsidRDefault="0085709A" w:rsidP="0085709A">
      <w:pPr>
        <w:pStyle w:val="TextoNormal"/>
      </w:pPr>
    </w:p>
    <w:p w:rsidR="0085709A" w:rsidRDefault="0085709A" w:rsidP="0085709A">
      <w:pPr>
        <w:pStyle w:val="TextoNormal"/>
      </w:pPr>
      <w:r>
        <w:t>b) El 8 de mayo de 2012 la representación procesal por la Asociación para la Defensa de los Recursos Naturales de Cantabria instó la ejecución de la Sentencia firme.</w:t>
      </w:r>
    </w:p>
    <w:p w:rsidR="0085709A" w:rsidRDefault="0085709A" w:rsidP="0085709A">
      <w:pPr>
        <w:pStyle w:val="TextoNormal"/>
      </w:pPr>
    </w:p>
    <w:p w:rsidR="0085709A" w:rsidRDefault="0085709A" w:rsidP="0085709A">
      <w:pPr>
        <w:pStyle w:val="TextoNormal"/>
      </w:pPr>
      <w:r>
        <w:t>c) El 15 de mayo de 2012 la representación procesal de la Sociedad Española de Ornitología (</w:t>
      </w:r>
      <w:r w:rsidRPr="0085709A">
        <w:rPr>
          <w:i/>
        </w:rPr>
        <w:t>Birdlife</w:t>
      </w:r>
      <w:r>
        <w:t>), de la Asociación para la Defensa de la Naturaleza (WWW-ADENA) y de la Fundación Oso Pardo promueve incidente de ejecución de la Sentencia de 8 de enero de 2008 a efectos de que se declare la imposibilidad de ejecución de la misma debido a la promulgación de la Ley 5/2010, de 28 de mayo, solicitando que, en el momento de resolver el incidente, se plantee por la Sala cuestión de inconstitucionalidad sobre la citada norma.</w:t>
      </w:r>
    </w:p>
    <w:p w:rsidR="0085709A" w:rsidRDefault="0085709A" w:rsidP="0085709A">
      <w:pPr>
        <w:pStyle w:val="TextoNormal"/>
      </w:pPr>
    </w:p>
    <w:p w:rsidR="0085709A" w:rsidRDefault="0085709A" w:rsidP="0085709A">
      <w:pPr>
        <w:pStyle w:val="TextoNormal"/>
      </w:pPr>
      <w:r>
        <w:t>d) El 6 de junio de 2012 la representación procesal de la Sociedad Española de Ornitología-</w:t>
      </w:r>
      <w:r w:rsidRPr="0085709A">
        <w:rPr>
          <w:i/>
        </w:rPr>
        <w:t>Birdlife</w:t>
      </w:r>
      <w:r>
        <w:t>, WWW-ADENA y de la Fundación Oso Pardo, presenta un escrito en el que solicita que no se tenga por ejecutada la Sentencia de 8 de enero de 2008 por la mera publicación oficial en el “Boletín de la Junta de Castilla y León” de 1 de junio de 2012 de la Orden FYM/366/2012, de 16 de abril, por la que se dispone el cumplimiento en sus propios términos de la Sentencia núm. 20/2008, dictada por la Sala de lo Contencioso-Administrativo del Tribunal Superior de Justicia de Castilla y León, con sede en Valladolid, en el procedimiento ordinario 0000858-2006, así como de la Sentencia del Tribunal Supremo de 25 de enero de 2012, en lo relativo a las costas judiciales.</w:t>
      </w:r>
    </w:p>
    <w:p w:rsidR="0085709A" w:rsidRDefault="0085709A" w:rsidP="0085709A">
      <w:pPr>
        <w:pStyle w:val="TextoNormal"/>
      </w:pPr>
    </w:p>
    <w:p w:rsidR="0085709A" w:rsidRDefault="0085709A" w:rsidP="0085709A">
      <w:pPr>
        <w:pStyle w:val="TextoNormal"/>
      </w:pPr>
      <w:r>
        <w:t>e) Conferido a las partes traslado para que presentaran alegaciones, las representaciones procesales de la Asociación para la defensa de los recursos naturales de Cantabria y de Sociedad Española de Ornitología-</w:t>
      </w:r>
      <w:r w:rsidRPr="0085709A">
        <w:rPr>
          <w:i/>
        </w:rPr>
        <w:t>Birdlife</w:t>
      </w:r>
      <w:r>
        <w:t>, WWW-ADENA y Fundación Oso Pardo reiteraron la petición de planteamiento de la cuestión de inconstitucionalidad. Por su parte la Letrada de la Junta de Castilla y León sostuvo que el único legitimado para plantear la imposibilidad de ejecutar la Sentencia era el órgano administrativo obligado a su cumplimiento y que la Sentencia ya había sido ejecutada mediante la publicación de la Orden FYM/366/2012.</w:t>
      </w:r>
    </w:p>
    <w:p w:rsidR="0085709A" w:rsidRDefault="0085709A" w:rsidP="0085709A">
      <w:pPr>
        <w:pStyle w:val="TextoNormal"/>
      </w:pPr>
    </w:p>
    <w:p w:rsidR="0085709A" w:rsidRDefault="0085709A" w:rsidP="0085709A">
      <w:pPr>
        <w:pStyle w:val="TextoNormal"/>
      </w:pPr>
      <w:r>
        <w:t xml:space="preserve">f) El 14 de noviembre de 2013 el órgano judicial dictó providencia por la que se acuerda oír a las partes y al Ministerio Fiscal sobre la procedencia de plantear cuestión de inconstitucionalidad en relación con la Ley 5/2010, por la posible infracción de los siguientes preceptos constitucionales: a) art. 24.1, en relación con el artículo 117.3 CE, en su vertiente de derecho a la ejecución de las resoluciones judiciales, “por cuanto que las siete disposiciones adicionales de la citada Ley 5/2010 se configuran como preceptos legales aprobados </w:t>
      </w:r>
      <w:r w:rsidRPr="0085709A">
        <w:rPr>
          <w:i/>
        </w:rPr>
        <w:t>ad casum</w:t>
      </w:r>
      <w:r>
        <w:t xml:space="preserve">, con el propósito de eludir la ejecución de la sentencia firme de fecha 8 de enero de 2008, recaída en el recurso contencioso-administrativo número 858/2006 (que declaró la nulidad del Decreto 13/2006, de 9 de marzo, por el que se modifica el anexo I del Decreto </w:t>
      </w:r>
      <w:r>
        <w:lastRenderedPageBreak/>
        <w:t>140/1998, de 16 de julio, por el que se aprueba el plan de ordenación de los recursos naturales de Fuentes Carrionas y Fuente Cobre-Montaña Palentina, e impedir de esa forma su ejecución, con perjuicio de los derechos e intereses de los recurrentes y de las personas afectadas por el fallo de la mencionada sentencia. Ley autoaplicativa que impide un control de la misma intensidad que el que le correspondería realizar a los tribunales de la jurisdicción contencioso-administrativa (STC 129/2013, de 4 de junio)”; b) art. 9.3 CE, en relación al principio de interdicción de la arbitrariedad de los poderes públicos, pues el órgano judicial considera que la norma se ha aprobado con la finalidad de “eludir y frustrar la ejecución de la sentencia firme de fecha 8 de enero de 2008”, ya que la razón del fallo de la misma “fue que con la modificación introducida por el citado Decreto anulado se suprimía la prohibición de establecer estaciones de esquí alpino anteriormente establecida en el PORN sin acreditar ni justificar que hubieran cambiado las circunstancias tenidas en cuenta al establecer la prohibición, ni evaluar adecuadamente ni asegurarse que la nueva actividad que se permitía no causaría perjuicio a la integridad del espacio natural protegido y todo ello con independencia de que cada proyecto de instalación tuviera que quedar sujeto a esa previa evaluación ambiental, viniendo a reproducir la Ley cuya constitucionalidad se cuestiona el contenido del Decreto anulado convalidándolo mediante su elevación de rango, sin datos de ninguna clase que permitan valorar su racionalidad”; c) art. 23 CE , en relación con el art. 9, en cuanto la convalidación de la norma impide la intervención de los ciudadanos en los asuntos públicos; d) art. 24.2 CE, al privar a los ciudadanos de la posibilidad de acudir a la jurisdicción ordinaria para defender sus derechos legítimos y examinar la regularidad jurídica de este tipo de autorizaciones y, finalmente, infracción de los principios constitucionales de “división de poderes, generalidad de la ley, reserva de jurisdicción, jerarquía normativa, reserva de la Administración de la acción ejecutiva y control judicial de la actividad administrativa”, así como del principio de igualdad en la ley.</w:t>
      </w:r>
    </w:p>
    <w:p w:rsidR="0085709A" w:rsidRDefault="0085709A" w:rsidP="0085709A">
      <w:pPr>
        <w:pStyle w:val="TextoNormal"/>
      </w:pPr>
    </w:p>
    <w:p w:rsidR="0085709A" w:rsidRDefault="0085709A" w:rsidP="0085709A">
      <w:pPr>
        <w:pStyle w:val="TextoNormal"/>
      </w:pPr>
      <w:r>
        <w:t>g) El Fiscal estimó que, cumplidos los presupuestos procesales, consideraba pertinente el planteamiento de la cuestión. La representación procesal de las partes que habían instado el incidente de ejecución estimó procedente el planteamiento de la cuestión. La Letrada de la Junta de Castilla y León se opuso ya que el incidente de ejecución era inadmisible, tanto por falta de legitimación de los promotores como por el hecho de que la Sentencia de 8 de enero de 2008 ya ha sido ejecutada; alega también la deficiente formulación del juicio de relevancia y, finalmente, descarta la existencia de las vulneraciones constitucionales denunciadas en la providencia de 14 de noviembre de 2013.</w:t>
      </w:r>
    </w:p>
    <w:p w:rsidR="0085709A" w:rsidRDefault="0085709A" w:rsidP="0085709A">
      <w:pPr>
        <w:pStyle w:val="TextoNormal"/>
      </w:pPr>
    </w:p>
    <w:p w:rsidR="0085709A" w:rsidRDefault="0085709A" w:rsidP="0085709A">
      <w:pPr>
        <w:pStyle w:val="TextoNormal"/>
      </w:pPr>
      <w:r>
        <w:t>h) El órgano judicial dictó Auto de 28 de febrero de 2014 en el que acuerda plantear cuestión de inconstitucionalidad respecto a la Ley 5/2010 por la posible infracción del art. 24.1 en relación con el art. 117.3 CE, en su vertiente de derecho a la ejecución de las resoluciones judiciales, y del art. 9.3 CE, en cuanto consagra el principio de interdicción de la arbitrariedad de los poderes públicos.</w:t>
      </w:r>
    </w:p>
    <w:p w:rsidR="0085709A" w:rsidRDefault="0085709A" w:rsidP="0085709A">
      <w:pPr>
        <w:pStyle w:val="TextoNormal"/>
      </w:pPr>
    </w:p>
    <w:p w:rsidR="0085709A" w:rsidRDefault="0085709A" w:rsidP="0085709A">
      <w:pPr>
        <w:pStyle w:val="TextoNormal"/>
      </w:pPr>
      <w:r w:rsidRPr="0085709A">
        <w:rPr>
          <w:rStyle w:val="NumeroAFNegritaCaracter"/>
        </w:rPr>
        <w:t>3</w:t>
      </w:r>
      <w:r>
        <w:t>. Del contenido del Auto interesa destacar lo siguiente:</w:t>
      </w:r>
    </w:p>
    <w:p w:rsidR="0085709A" w:rsidRDefault="0085709A" w:rsidP="0085709A">
      <w:pPr>
        <w:pStyle w:val="TextoNormal"/>
      </w:pPr>
    </w:p>
    <w:p w:rsidR="0085709A" w:rsidRDefault="0085709A" w:rsidP="0085709A">
      <w:pPr>
        <w:pStyle w:val="TextoNormal"/>
      </w:pPr>
      <w:r>
        <w:t>Tras exponer los antecedentes del caso, respecto al procedimiento de ejecución de la Sentencia y recoger las alegaciones de las partes en el preceptivo trámite de audiencia, inicia el Auto sus razonamientos jurídicos señalando que concurren los presupuestos formales para el planteamiento de la cuestión.</w:t>
      </w:r>
    </w:p>
    <w:p w:rsidR="0085709A" w:rsidRDefault="0085709A" w:rsidP="0085709A">
      <w:pPr>
        <w:pStyle w:val="TextoNormal"/>
      </w:pPr>
    </w:p>
    <w:p w:rsidR="0085709A" w:rsidRDefault="0085709A" w:rsidP="0085709A">
      <w:pPr>
        <w:pStyle w:val="TextoNormal"/>
      </w:pPr>
      <w:r>
        <w:lastRenderedPageBreak/>
        <w:t>Descarta a continuación las alegaciones de la Letrada de la Junta de Castilla y León respecto a la falta de legitimación de los promotores del incidente de ejecución y a la adecuada ejecución de la Sentencia de 8 de enero de 2008. En cuanto a lo primero entiende aplicable el art. 109.1 de la Ley reguladora de la jurisdicción contencioso-administrativa (LJCA), por cuanto se trataría de personas afectadas por el fallo de la Sentencia cuya ejecución solicitan en la medida en que también impugnaron el mismo Decreto anulado por la Sentencia cuya ejecución se pretende, recurso que fue estimado en la instancia, habiéndose declarado la pérdida de objeto del recurso de casación interpuesto contra esa estimación al haber sido declarado nulo el Decreto 13/2006 por Sentencia firme. Por otra parte examina la alegación relativa a la imposibilidad de promover el incidente por cuanto el único legitimado sería el órgano encargado de ejecutar la Sentencia. Distingue entre el caso de una imposibilidad de carácter administrativo de aquel en el que la imposibilidad lo sea en virtud de una norma con rango de ley. A tal efecto recuerda la doctrina constitucional de las SSTC 73/2000 y 273/2000, en las que se desestimaron cuestiones de inconstitucionalidad descartando que el legislador hubiera tenido una actuación arbitraria. Recuerda el Auto, no obstante, que la STC 129/2013 anula una ley autonómica por entenderla autoaplicativa y contraria al derecho fundamental a la tutela judicial efectiva de los derechos e intereses legítimos afectados y la STC 92/2013 hace lo propio con una disposición autonómica que introducía una causa de suspensión en la ejecución de resoluciones judiciales firmes. Y la STC 203/2013 declara la nulidad de un proyecto regional de ordenación urbanística del ámbito territorial castellano leonés, por no satisfacer el canon de razonabilidad y proporcionalidad exigido a las leyes singulares.</w:t>
      </w:r>
    </w:p>
    <w:p w:rsidR="0085709A" w:rsidRDefault="0085709A" w:rsidP="0085709A">
      <w:pPr>
        <w:pStyle w:val="TextoNormal"/>
      </w:pPr>
    </w:p>
    <w:p w:rsidR="0085709A" w:rsidRDefault="0085709A" w:rsidP="0085709A">
      <w:pPr>
        <w:pStyle w:val="TextoNormal"/>
      </w:pPr>
      <w:r>
        <w:t>Por ello, el órgano judicial considera que, en estos casos, ha de determinarse si la ley que impide la ejecución del fallo es o no constitucional. Una vez, que se declare la constitucionalidad de la ley controvertida o se inadmita la cuestión de inconstitucionalidad es cuando la parte puede instar al órgano encargado del cumplimiento de la Sentencia que promueva el incidente del art. 105.2 LJCA y se adopten las medidas necesarias para aseguren la mayor efectividad de la ejecutoria.</w:t>
      </w:r>
    </w:p>
    <w:p w:rsidR="0085709A" w:rsidRDefault="0085709A" w:rsidP="0085709A">
      <w:pPr>
        <w:pStyle w:val="TextoNormal"/>
      </w:pPr>
    </w:p>
    <w:p w:rsidR="0085709A" w:rsidRDefault="0085709A" w:rsidP="0085709A">
      <w:pPr>
        <w:pStyle w:val="TextoNormal"/>
      </w:pPr>
      <w:r>
        <w:t>Respecto a la alegada imposibilidad de ejecutar la Sentencia, por cuanto ya lo habría sido en la Orden FYM/366/2012, entiende que la respuesta a este punto exige tener en cuenta cuál es el concreto contenido del derecho a la tutela judicial efectiva de los promoventes del incidente desde la vertiente del derecho a la ejecución de la Sentencia, que se concretaría en que aquellos podrían impugnar cualquier acto o disposición reglamentaria que suprimiese la prohibición de estaciones de esquí alpino en el espacio natural protegido sin haberse modificado el plan de ordenación siguiendo los mismos trámites observados para su aprobación y teniendo en cuenta que el objetivo prioritario del plan no es otro que conservar y proteger los recursos naturales, su vegetación, flora, fauna, gea y paisaje. Por tanto, considera que no es cierto que la ejecución de la Sentencia se agote con la publicación mencionada, desde el momento en que al amparo del art. 103.4 LJCA podían los actores instar la declaración de nulidad de pleno derecho de aquellos actos y disposiciones reglamentarias encaminadas a eludir el fallo de la Sentencia, lo que tienen vedado en este caso. Por ello, estima que la Sentencia no está ejecutada con la publicación de la Orden FYM/366/2012 y que, en consecuencia, cabe plantear la cuestión de inconstitucionalidad.</w:t>
      </w:r>
    </w:p>
    <w:p w:rsidR="0085709A" w:rsidRDefault="0085709A" w:rsidP="0085709A">
      <w:pPr>
        <w:pStyle w:val="TextoNormal"/>
      </w:pPr>
    </w:p>
    <w:p w:rsidR="0085709A" w:rsidRDefault="0085709A" w:rsidP="0085709A">
      <w:pPr>
        <w:pStyle w:val="TextoNormal"/>
      </w:pPr>
      <w:r>
        <w:t xml:space="preserve">Descarta igualmente la existencia de deficiencias formales en la providencia pues se ha exteriorizado el esquema argumental dirigido a probar la imprescindible interrelación entre </w:t>
      </w:r>
      <w:r>
        <w:lastRenderedPageBreak/>
        <w:t>el fallo del proceso y la validez de la norma cuestionada, ya que es clara la interrelación entre la declaración de imposibilidad o no de la ejecución del fallo y la validez de la Ley 5/2010, pues si esta no es constitucional procederá la declaración de que no es imposible la ejecución de la Sentencia y si, por el contrario, se inadmite o se desestima la cuestión de inconstitucionalidad, la declaración procedente será la de imposibilidad de ejecución de la sentencia en sus propios términos.</w:t>
      </w:r>
    </w:p>
    <w:p w:rsidR="0085709A" w:rsidRDefault="0085709A" w:rsidP="0085709A">
      <w:pPr>
        <w:pStyle w:val="TextoNormal"/>
      </w:pPr>
    </w:p>
    <w:p w:rsidR="0085709A" w:rsidRDefault="0085709A" w:rsidP="0085709A">
      <w:pPr>
        <w:pStyle w:val="TextoNormal"/>
      </w:pPr>
      <w:r>
        <w:t>Respecto al fondo del asunto se remite para fundamentar la duda de constitucionalidad a la doctrina de la STC 203/2013. Aplicando esa doctrina el órgano judicial llega a la conclusión de que “en la ley de que se trata se reproduce literalmente el contenido del Decreto 13/2006, de 9 de marzo, por el que se modifica el Anexo I del Decreto 140/1998, de 16 de julio, por el que se aprueba el Plan de Ordenación de los Recursos Naturales de Fuentes Carrionas y Fuente Cobre-Montaña Palentina (Palencia), declarado nulo por la sentencia de la Sala de 8 de enero de 2008”. Señala la Sala que “las Exposiciones de Motivos de ambas normas coinciden literalmente, salvo la inclusión de un par de párrafos en la Ley 5/2010. Párrafos que no van dirigidos a dar explicación alguna por la que un Decreto de la Junta de Castilla y León, el Decreto 140/1998, precisa ser modificado por un norma con rango de Ley; no se menciona en la Exposición de Motivos la sentencia de la Sala de 8 de enero de 2008 en la que se indicaba la necesidad de modificar el Decreto con los mismos trámites, entre los que se encuentra el esencial de la necesaria evaluación de impacto ambiental por exigirlo tanto la norma reglamentaria como el art. 6.3 de la Directiva 92/43/CEE, teniendo en cuenta el objetivo prioritario del Plan, que es la conservación y protección de los recursos naturales y se justifica la modificación por las mismas razones económico-sociales que se rechazan en la mencionada sentencia. Es de señalar que a la fecha en que entra en vigor la Ley 5/2010 sigue vigente el art. 32 de la Ley 8/1991, de 10 de mayo, de Espacios Naturales de la Comunidad de Castilla y León que atribuye a la Junta de Castilla y León, mediante Decreto, la aprobación de los Planes de Ordenación de los Recursos Naturales. Y tanto esta Ley, como la Ley 4/2007, de 13 de diciembre, de Patrimonio Natural y de la Biodiversidad, establecen que corresponde a los PORN la determinación de las limitaciones generales y específicas que respecto de los usos y actividades hayan de establecerse en función de la conservación de los espacios y especies a proteger, con especificación de las distintas zonas, en su caso (arts. 26 y 19, respectivamente)”.</w:t>
      </w:r>
    </w:p>
    <w:p w:rsidR="0085709A" w:rsidRDefault="0085709A" w:rsidP="0085709A">
      <w:pPr>
        <w:pStyle w:val="TextoNormal"/>
      </w:pPr>
    </w:p>
    <w:p w:rsidR="0085709A" w:rsidRDefault="0085709A" w:rsidP="0085709A">
      <w:pPr>
        <w:pStyle w:val="TextoNormal"/>
      </w:pPr>
      <w:r>
        <w:t>La Sala continúa argumentando que en la Ley 5/2010 ni se describen ni se justifican las razones imperiosas de interés público que justifiquen suprimir una prohibición de instalar estaciones de esquí alpino que antes se había considerado incompatible con la conservación del lugar. No parece que, según el órgano judicial, haya quedado justificada la excepcional relevancia que la supresión de la prohibición de esquí alpino pueda tener para la economía y la sociedad de la zona de que se trata, ni tampoco ha explicitado el legislador las razones por las que considera que la utilización de la ley es una medida razonable y proporcionada, aún a sabiendas de que su utilización elimina el control de la jurisdicción contencioso-administrativa, sin que la regulación material presente peculiaridad alguna con respecto de cualquier otra ordenación de recursos naturales aprobada por la Junta de Castilla y León.</w:t>
      </w:r>
    </w:p>
    <w:p w:rsidR="0085709A" w:rsidRDefault="0085709A" w:rsidP="0085709A">
      <w:pPr>
        <w:pStyle w:val="TextoNormal"/>
      </w:pPr>
    </w:p>
    <w:p w:rsidR="0085709A" w:rsidRDefault="0085709A" w:rsidP="0085709A">
      <w:pPr>
        <w:pStyle w:val="TextoNormal"/>
      </w:pPr>
      <w:r>
        <w:t xml:space="preserve">Con apoyo en la doctrina de las SSTC 129/2013 y 203/2013, el órgano judicial considera que la Ley 5/2010 vulnera los arts. 9.3, 24 y 117.3 CE, ya que carece de pretensión de generalidad y solo busca despejar un problema singular y circunstanciado, cual es el de la cobertura legislativa a situaciones anuladas por resoluciones judiciales. El efecto directo de </w:t>
      </w:r>
      <w:r>
        <w:lastRenderedPageBreak/>
        <w:t>la norma es excluir de la fiscalización de la jurisdicción contencioso-administrativa la actuación administrativa impugnada desde el momento en que, a través de la norma impugnada, se dota de fuerza legal a una disposición administrativa previamente anulada.</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6 de mayo de 2014, el Pleno, a propuesta de la Sección Segunda, acuerda admitir a trámite la presente cuestión y reservarse para sí el conocimiento de la misma; dar traslado de las actuaciones recibidas, conforme establece el artículo 37.3 de la Ley Orgánica del Tribunal Constitucional (LOTC), al Congreso de los Diputados y al Senado, por conducto de sus Presidentes, al Gobierno, por conducto del Ministro de Justicia, y al Fiscal General del Estado, así como al Gobierno de la Junta de Castilla y León y a las Cortes de Castilla y León, por conducto de sus Presidentes, al objeto de que, en el improrrogable plazo de quince días, puedan personarse en el proceso y formular las alegaciones que estimen convenientes; comunicar la presente resolución a la Sala de lo Contencioso-Administrativo del Tribunal Superior de Justicia de Castilla y León, a fin de que, de conformidad con lo dispuesto en el art. 35.3 LOTC, permanezca suspendido el proceso hasta que este Tribunal resuelva definitivamente la presente cuestión. Finalmente se ordenó publicar la incoación de la cuestión en el “Boletín Oficial del Estado” y en el “Boletín Oficial de Castilla y León”.</w:t>
      </w:r>
    </w:p>
    <w:p w:rsidR="0085709A" w:rsidRDefault="0085709A" w:rsidP="0085709A">
      <w:pPr>
        <w:pStyle w:val="TextoNormal"/>
      </w:pPr>
    </w:p>
    <w:p w:rsidR="0085709A" w:rsidRDefault="0085709A" w:rsidP="0085709A">
      <w:pPr>
        <w:pStyle w:val="TextoNormal"/>
      </w:pPr>
      <w:r w:rsidRPr="0085709A">
        <w:rPr>
          <w:rStyle w:val="NumeroAFNegritaCaracter"/>
        </w:rPr>
        <w:t>5</w:t>
      </w:r>
      <w:r>
        <w:t>. El Presidente del Congreso de los Diputados, en escrito registrado con fecha 19 de mayo de 2014, comunicó a este Tribunal que la Mesa de la Cámara adoptó el acuerdo de personarse en el proceso, ofreciendo su colaboración a los efectos del art. 88.1 LOTC. Idéntica comunicación efectuó el Presidente del Senado mediante escrito registrado en este Tribunal el mismo día 19 de mayo de 2014.</w:t>
      </w:r>
    </w:p>
    <w:p w:rsidR="0085709A" w:rsidRDefault="0085709A" w:rsidP="0085709A">
      <w:pPr>
        <w:pStyle w:val="TextoNormal"/>
      </w:pPr>
    </w:p>
    <w:p w:rsidR="0085709A" w:rsidRDefault="0085709A" w:rsidP="0085709A">
      <w:pPr>
        <w:pStyle w:val="TextoNormal"/>
      </w:pPr>
      <w:r w:rsidRPr="0085709A">
        <w:rPr>
          <w:rStyle w:val="NumeroAFNegritaCaracter"/>
        </w:rPr>
        <w:t>6</w:t>
      </w:r>
      <w:r>
        <w:t>. El 30 de mayo de 2014 se personó en el proceso el Abogado del Estado, en nombre del Gobierno, e interesó la estimación de la cuestión por las razones que a continuación se resumen.</w:t>
      </w:r>
    </w:p>
    <w:p w:rsidR="0085709A" w:rsidRDefault="0085709A" w:rsidP="0085709A">
      <w:pPr>
        <w:pStyle w:val="TextoNormal"/>
      </w:pPr>
    </w:p>
    <w:p w:rsidR="0085709A" w:rsidRDefault="0085709A" w:rsidP="0085709A">
      <w:pPr>
        <w:pStyle w:val="TextoNormal"/>
      </w:pPr>
      <w:r>
        <w:t>Tras exponer los antecedentes del caso, señala que tanto la jurisprudencia constante del Tribunal Supremo como la doctrina especializada, vienen considerando que los instrumentos de ordenación territorial, como cabría calificar, con arreglo al art. 45 de la Ley 42/2007, de 13 de diciembre, del patrimonio natural y de la biodiversidad, a los planes, programas o proyectos susceptibles de aprobación, ostentan la naturaleza de disposiciones de carácter general. Indica también que, a su juicio, la norma autonómica ha utilizado la cobertura legal que le dispensa el art. 45 de la Ley estatal 42/2007, conforme al cual la aprobación de los planes, programas o proyectos se someterá a una adecuada evaluación de las repercusiones, y si a pesar de las conclusiones negativas y a falta de soluciones alternativas debiera realizarse el plan o programa por razones imperiosas de interés público de primer orden, las Administraciones públicas competentes tomarán las medidas precisas para la salvaguarda para garantizar que la coherencia global de Natura 2000 quede protegida. Y que la concurrencia de razones imperiosas sólo podrá declararse para cada supuesto concreto: a) mediante una ley; b) mediante acuerdo motivado y público —por lo que a las Comunidades Autónomas respecta— del órgano de Gobierno de la Comunidad Autónoma.</w:t>
      </w:r>
    </w:p>
    <w:p w:rsidR="0085709A" w:rsidRDefault="0085709A" w:rsidP="0085709A">
      <w:pPr>
        <w:pStyle w:val="TextoNormal"/>
      </w:pPr>
    </w:p>
    <w:p w:rsidR="0085709A" w:rsidRDefault="0085709A" w:rsidP="0085709A">
      <w:pPr>
        <w:pStyle w:val="TextoNormal"/>
      </w:pPr>
      <w:r>
        <w:t xml:space="preserve">A la vista de la norma autonómica cuestionada y de la doctrina constitucional (STC 203/2013) estima el Abogado del Estado que, aunque ninguna ley se encuentra vinculada </w:t>
      </w:r>
      <w:r>
        <w:lastRenderedPageBreak/>
        <w:t>por el principio de jerarquía respecto de una ley previa, lo cierto es que el legislador, tanto el estatal como el autonómico, no ha establecido una reserva formal de ley para la aprobación de los planes, ni ha determinado tampoco las razones o causas generales susceptibles de actualización al caso concreto, por las que la utilización de la ley resulta ser o puede llegar a ser la medida adecuada de aprobación. Así, pues, continúa el Abogado del Estado “ante la falta de reserva material o formal de ley para la aprobación de, en este caso, primero el Plan ordenador y luego la Declaración misma de Parque Natural, debemos concluir con la doctrina constitucional general acerca de la viabilidad de las leyes singulares, que la utilización a tales efectos o fines, de esa clase de instrumento ordenador (la ley singular), resulta adecuada a la Constitución si dicha utilización obedece única y exclusivamente a una situación excepcional, pues el legislador se halla sujeto a los mismos límites constitucionales que el resto de leyes singulares que hayan sido dictadas en atención al supuesto de hecho excepcional que las justifica. Su canon de constitucionalidad es, como ya dijo la STC 166/1986, de 19 de diciembre, FJ 11.a, la razonabilidad y proporcionalidad de la misma al supuesto de hecho (singular) sobre el que se proyecta. La ley singular sólo será compatible con el principio de igualdad cuando la singularidad de la situación resulte inmediatamente de los hechos, de manera que el supuesto de la norma venga dado por ellos y sólo quepa al legislador establecer las consecuencias jurídicas necesarias para alcanzar el fin que se propone”.</w:t>
      </w:r>
    </w:p>
    <w:p w:rsidR="0085709A" w:rsidRDefault="0085709A" w:rsidP="0085709A">
      <w:pPr>
        <w:pStyle w:val="TextoNormal"/>
      </w:pPr>
    </w:p>
    <w:p w:rsidR="0085709A" w:rsidRDefault="0085709A" w:rsidP="0085709A">
      <w:pPr>
        <w:pStyle w:val="TextoNormal"/>
      </w:pPr>
      <w:r>
        <w:t>Aplicando la doctrina constitucional expuesta al caso de la Ley autonómica 5/2010, el Abogado del Estado concluye que el legislador no ha explicado las razones por las que entiende que la utilización de la ley es una medida razonable y proporcionada. Se trata de una norma que en sí misma podría haberse aprobado por el Consejo de Gobierno de la Comunidad Autónoma, pues es mera reproducción de lo ya dispuesto normativamente mediante el citado Decreto autonómico, que fue anulado. En definitiva, la ley ha sacrificado el control que hubiera correspondido a la jurisdicción contencioso-administrativa, con infracción de los arts. 24.1 y 117.3 y del 9.3 CE, en tanto que éste garantiza el principio de interdicción de la arbitrariedad de los poderes públicos, como el Auto de planteamiento asimismo concluye.</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con fecha 2 de junio de 2014 se personó en el proceso la representación de la Sociedad Española de Ornitología (</w:t>
      </w:r>
      <w:r w:rsidRPr="0085709A">
        <w:rPr>
          <w:i/>
        </w:rPr>
        <w:t>Birdlife</w:t>
      </w:r>
      <w:r>
        <w:t>), de la Asociación para la Defensa de la Naturaleza (WWW-ADENA) y de la Fundación Oso Pardo. Por diligencia de ordenación de la secretaría de justicia del Pleno de 3 de junio de 2014 se le tuvo por personado y parte, y se le concedió un plazo de quince días para que pudiera formular alegaciones conforme a lo previsto en el art. 37.2 LOTC.</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escrito registrado el día 3 de junio de 2014 formuló sus alegaciones la representación procesal de la Junta de Castilla y León interesando la inadmisión de la cuestión o, subsidiariamente, su desestimación.</w:t>
      </w:r>
    </w:p>
    <w:p w:rsidR="0085709A" w:rsidRDefault="0085709A" w:rsidP="0085709A">
      <w:pPr>
        <w:pStyle w:val="TextoNormal"/>
      </w:pPr>
    </w:p>
    <w:p w:rsidR="0085709A" w:rsidRDefault="0085709A" w:rsidP="0085709A">
      <w:pPr>
        <w:pStyle w:val="TextoNormal"/>
      </w:pPr>
      <w:r>
        <w:t>Expone en primer lugar que la cuestión ha de ser inadmitida ya que la sentencia ya ha sido ejecutada y, por otra parte, se han incumplido por la Sala los presupuestos procesales, con vulneración de los arts. 24 y 117 CE.</w:t>
      </w:r>
    </w:p>
    <w:p w:rsidR="0085709A" w:rsidRDefault="0085709A" w:rsidP="0085709A">
      <w:pPr>
        <w:pStyle w:val="TextoNormal"/>
      </w:pPr>
    </w:p>
    <w:p w:rsidR="0085709A" w:rsidRDefault="0085709A" w:rsidP="0085709A">
      <w:pPr>
        <w:pStyle w:val="TextoNormal"/>
      </w:pPr>
      <w:r>
        <w:t xml:space="preserve">En cuanto a lo primero, indica que la Orden FYM/366/2012 ya ha dado cumplimiento a la Sentencia en cuanto que resuelve dejar sin aplicación, por ser nulo de pleno derecho, el </w:t>
      </w:r>
      <w:r>
        <w:lastRenderedPageBreak/>
        <w:t>Decreto 13/2006. Así ejecutada la Sentencia, resulta que lo único que puede hacer el Tribunal en ejecución de Sentencia es controlar que la Administración no haya hecho uso o aplicado la disposición anulada y fuera de esas actuaciones no hay actividad ejecutiva susceptible de control.</w:t>
      </w:r>
    </w:p>
    <w:p w:rsidR="0085709A" w:rsidRDefault="0085709A" w:rsidP="0085709A">
      <w:pPr>
        <w:pStyle w:val="TextoNormal"/>
      </w:pPr>
    </w:p>
    <w:p w:rsidR="0085709A" w:rsidRDefault="0085709A" w:rsidP="0085709A">
      <w:pPr>
        <w:pStyle w:val="TextoNormal"/>
      </w:pPr>
      <w:r>
        <w:t>En segundo lugar argumenta que se han incumplido los presupuestos procesales con vulneración de los arts. 24 y 117 CE, en la medida en que ha abierto artificiosamente un incidente de ejecución con la única finalidad de promover la cuestión de inconstitucionalidad. Con ello se estaría vulnerando “el derecho de esta parte al debido proceso como soporte de su derecho a la tutela judicial efectiva y, sobre todo del derecho a la seguridad jurídica”. Entiende a este respecto que la sala proponente de la cuestión no se atiene a las normas de competencia y procedimiento que rigen el proceso, conducta procesal susceptible de ser enjuiciada por el Tribunal Constitucional “declarando la inconstitucional aplicación de las normas reguladoras del procedimiento con vulneración -por abuso- de los artículos 117.3 en relación con el 24 CE para concluir inadmitiendo la cuestión de inconstitucionalidad”.</w:t>
      </w:r>
    </w:p>
    <w:p w:rsidR="0085709A" w:rsidRDefault="0085709A" w:rsidP="0085709A">
      <w:pPr>
        <w:pStyle w:val="TextoNormal"/>
      </w:pPr>
    </w:p>
    <w:p w:rsidR="0085709A" w:rsidRDefault="0085709A" w:rsidP="0085709A">
      <w:pPr>
        <w:pStyle w:val="TextoNormal"/>
      </w:pPr>
      <w:r>
        <w:t>Estima también que en el presente caso realmente no existe un proceso abierto, ni siquiera ejecutivo, “toda vez que, como se ha dejado indicado, el proceso finalizó con la correcta expulsión del ordenamiento jurídico llevada a cabo por la sentencia que declaraba la nulidad del Decreto impugnado”. Para el Letrado de la Junta “se utilizan las normas procesales con una finalidad opuesta a la perseguida por la CE y en ella consagrada. Y se hace doblemente al forzar un improcedente incidente de imposibilidad legal de ejecución sin respeto de ninguno de los presupuestos necesarios para su apertura y se vulnera frontalmente el proceso constitucional contenido en la LOTC para el procedimiento regulador de la cuestión de inconstitucionalidad al aparentar la existencia del presupuesto esencial para su promoción que en realidad ni existe ni puede existir”.</w:t>
      </w:r>
    </w:p>
    <w:p w:rsidR="0085709A" w:rsidRDefault="0085709A" w:rsidP="0085709A">
      <w:pPr>
        <w:pStyle w:val="TextoNormal"/>
      </w:pPr>
    </w:p>
    <w:p w:rsidR="0085709A" w:rsidRDefault="0085709A" w:rsidP="0085709A">
      <w:pPr>
        <w:pStyle w:val="TextoNormal"/>
      </w:pPr>
      <w:r>
        <w:t>Tampoco resultaría procedente la apertura de un incidente de ejecución por imposibilidad legal de ejecutar la Sentencia a raíz de la promulgación de la Ley 5/2010, por cuanto el incidente de ejecución de Sentencia ya había finalizado y lo que se hace es forzar la interpretación de las disposiciones de la Ley de la jurisdicción contencioso-administrativa relativas a los incidentes de ejecución de sentencia, (arts. 105.2 y 109) “combinando la legitimación y el plazo reconocido en uno de ellos con el objeto al que se dirige el otro, con la única finalidad de dar cabida a la promoción de una cuestión de inconstitucionalidad a todas luces improcedente”.</w:t>
      </w:r>
    </w:p>
    <w:p w:rsidR="0085709A" w:rsidRDefault="0085709A" w:rsidP="0085709A">
      <w:pPr>
        <w:pStyle w:val="TextoNormal"/>
      </w:pPr>
    </w:p>
    <w:p w:rsidR="0085709A" w:rsidRDefault="0085709A" w:rsidP="0085709A">
      <w:pPr>
        <w:pStyle w:val="TextoNormal"/>
      </w:pPr>
      <w:r>
        <w:t xml:space="preserve">Además, se alega que no se ha justificado por el órgano judicial en qué medida la decisión sobre la ejecución de sentencia depende de la validez de la norma en cuestión, ni en la providencia de 14 de noviembre de 2013 ni en el Auto de 28 de marzo de 2014. Así, aprecia en la providencia el flagrante incumplimiento del necesario juicio de relevancia. Deficiencia que pretende ser suplida en el Auto de planteamiento, obviando que el juicio de relevancia ha de ofrecerse en la providencia por la que se da traslado para alegaciones a las partes. Tampoco en el mencionado Auto se realiza adecuadamente, pues “La Sala proponente no efectúa consideración alguna que permite al Tribunal Constitucional llevar a cabo su necesario control sobre el juicio de relevancia desde la perspectiva que se acaba de mencionar”. A lo que añade que “Se ofrece además una redacción confusa e ininteligible de la conexión de lo que resuelva el Tribunal Constitucional sobre la Ley 5/2010 con la ejecución de la Sentencia que anulaba el Decreto 13/2006, donde la única conclusión clara a que puede </w:t>
      </w:r>
      <w:r>
        <w:lastRenderedPageBreak/>
        <w:t>llegarse es que se pretende, a través de la inadecuada vía del incidente de ejecución, obtener un pronunciamiento sobre la constitucionalidad de la Ley que es irrelevante a todas luces en la Resolución que se dice pendiente de dictar sobre la imposibilidad legal de ejecutar”.</w:t>
      </w:r>
    </w:p>
    <w:p w:rsidR="0085709A" w:rsidRDefault="0085709A" w:rsidP="0085709A">
      <w:pPr>
        <w:pStyle w:val="TextoNormal"/>
      </w:pPr>
    </w:p>
    <w:p w:rsidR="0085709A" w:rsidRDefault="0085709A" w:rsidP="0085709A">
      <w:pPr>
        <w:pStyle w:val="TextoNormal"/>
      </w:pPr>
      <w:r>
        <w:t>En cuanto al fondo del asunto la representación procesal de la Junta de Castilla y León sostiene que procede desestimar la cuestión por cuanto la Ley 5/2010 no es una ley singular ya que participa de la misma naturaleza que la ley que modifica, en cuanto se incorpora a ésta y afecta al mismo parque natural. Se argumenta también que no es encuadrable en ninguno de los tres tipos de leyes singulares que examina la STC 203/2013, ya que no es una ley autoaplicativa, pues es susceptible de ser aplicada mientras continúe vigente y precisa de actos administrativos de aplicación. La Ley 5/2010 no se refiere a ninguna clase de proyecto, infraestructura o actividad en sí misma. Tampoco es una ley de destinatario único en cuanto sus destinatarios son genéricos e indeterminados y se aplica su régimen con carácter general a toda actuación/proyecto/infraestructura que aquéllos pudieran pretender realizar en el espacio natural a que se refiere. Finalmente la norma no ha sido dictada en atención a ninguna circunstancia singular o especial, sino que responde al ejercicio normal de la potestad legislativa.</w:t>
      </w:r>
    </w:p>
    <w:p w:rsidR="0085709A" w:rsidRDefault="0085709A" w:rsidP="0085709A">
      <w:pPr>
        <w:pStyle w:val="TextoNormal"/>
      </w:pPr>
    </w:p>
    <w:p w:rsidR="0085709A" w:rsidRDefault="0085709A" w:rsidP="0085709A">
      <w:pPr>
        <w:pStyle w:val="TextoNormal"/>
      </w:pPr>
      <w:r>
        <w:t>También se alega que la norma no vulnera el art. 9.3 CE, ni tampoco los arts. 24.1 y 117.3 CE. En cuanto a lo primero, señala que, pese a la deficiente argumentación del Auto, es posible sostener que la Ley 5/2010 no es arbitraria ni desproporcionada, conforme a los criterios de la STC 73/2000, en cuanto que la norma expone las razones que justifican su aprobación, sin que contenga discriminación de ningún tipo, ya que sus previsiones, aplicables en un ámbito territorial concreto, lo serán con carácter general a todas las actuaciones y proyectos e infraestructuras que se puedan llevar a cabo a su amparo, sin distingo alguno. Tampoco el derecho de acceso a la jurisdicción se ha visto impedido por la Ley 5/2010, pues hace referencia a un régimen normativo al que habrán de sujetarse, en su caso, las actuaciones, o los proyectos concretos que se pretendan llevar a cabo en el ámbito territorial del parque natural.</w:t>
      </w:r>
    </w:p>
    <w:p w:rsidR="0085709A" w:rsidRDefault="0085709A" w:rsidP="0085709A">
      <w:pPr>
        <w:pStyle w:val="TextoNormal"/>
      </w:pPr>
    </w:p>
    <w:p w:rsidR="0085709A" w:rsidRDefault="0085709A" w:rsidP="0085709A">
      <w:pPr>
        <w:pStyle w:val="TextoNormal"/>
      </w:pPr>
      <w:r w:rsidRPr="0085709A">
        <w:rPr>
          <w:rStyle w:val="NumeroAFNegritaCaracter"/>
        </w:rPr>
        <w:t>9</w:t>
      </w:r>
      <w:r>
        <w:t>. Por escrito registrado con fecha 5 de junio de 2014 formuló sus alegaciones el Letrado de las Cortes de Castilla y León solicitando la inadmisión de la cuestión o, subsidiariamente, su desestimación.</w:t>
      </w:r>
    </w:p>
    <w:p w:rsidR="0085709A" w:rsidRDefault="0085709A" w:rsidP="0085709A">
      <w:pPr>
        <w:pStyle w:val="TextoNormal"/>
      </w:pPr>
    </w:p>
    <w:p w:rsidR="0085709A" w:rsidRDefault="0085709A" w:rsidP="0085709A">
      <w:pPr>
        <w:pStyle w:val="TextoNormal"/>
      </w:pPr>
      <w:r>
        <w:t xml:space="preserve">En cuanto a las causas de inadmisibilidad de la cuestión señala, en primer lugar, la relativa a la vulneración de las formalidades esenciales del trámite de audiencia en el procedimiento </w:t>
      </w:r>
      <w:r w:rsidRPr="0085709A">
        <w:rPr>
          <w:i/>
        </w:rPr>
        <w:t>a quo</w:t>
      </w:r>
      <w:r>
        <w:t xml:space="preserve">. Así, argumenta que la providencia por la que se abre el trámite de audiencia “no contiene ningún razonamiento argumental, aunque sea sucinto, en el que se expliciten las motivaciones que conducen al órgano judicial remitente a considerar que la ley cuestionada es aplicable al trámite de ejecución de sentencia del que está conociendo, y a conjeturar que su fallo pueda depender de la constitucionalidad de la Ley 5/2010”. Tales carencias en la providencia habrían “dificultado sustancialmente a las partes conocer adecuadamente y alegar sobre los términos en los que se produce la duda de constitucionalidad del órgano juzgador”. Un segundo defecto imputable a la providencia y determinante de la inadmisión de la cuestión o, al menos de la reducción de su objeto, sería el relativo a la falta de identidad entre los preceptos del bloque de la constitucionalidad invocados en la providencia y en el auto de planteamiento como presuntamente vulnerados por la Ley de Castilla y León 5/2010 cuestionada, en la medida en que el Auto alude al art. 45.4 de la Ley estatal 42/2007, de 13 </w:t>
      </w:r>
      <w:r>
        <w:lastRenderedPageBreak/>
        <w:t>de diciembre, de patrimonio natural y de la biodiversidad, sin que la providencia haga referencia a ello.</w:t>
      </w:r>
    </w:p>
    <w:p w:rsidR="0085709A" w:rsidRDefault="0085709A" w:rsidP="0085709A">
      <w:pPr>
        <w:pStyle w:val="TextoNormal"/>
      </w:pPr>
    </w:p>
    <w:p w:rsidR="0085709A" w:rsidRDefault="0085709A" w:rsidP="0085709A">
      <w:pPr>
        <w:pStyle w:val="TextoNormal"/>
      </w:pPr>
      <w:r>
        <w:t>El Letrado de las Cortes de Castilla y León aprecia una segunda causa de inadmisión consistente en la inadecuada formulación del juicio de aplicabilidad, en cuanto que la norma cuestionada no es aplicable en el incidente de ejecución de la Sentencia del Tribunal Superior de Justicia de 8 de enero de 2008. Se alega que la Ley 5/2010 solo incidirá sobre la nulidad del Decreto 13/2006 y, por extensión, sobre la Sentencia que la declara y sobre el procedimiento de ejecución de la misma, si efectivamente hace revivir al texto normativo, al vehículo formal en el que se contienen las normas, o si tiene alguna incidencia sobre actuaciones amparadas en ese Decreto, pero no por el simple hecho de incorporar los mismos mandatos normativos de éste.</w:t>
      </w:r>
    </w:p>
    <w:p w:rsidR="0085709A" w:rsidRDefault="0085709A" w:rsidP="0085709A">
      <w:pPr>
        <w:pStyle w:val="TextoNormal"/>
      </w:pPr>
    </w:p>
    <w:p w:rsidR="0085709A" w:rsidRDefault="0085709A" w:rsidP="0085709A">
      <w:pPr>
        <w:pStyle w:val="TextoNormal"/>
      </w:pPr>
      <w:r>
        <w:t xml:space="preserve">Tampoco se entienden adecuadamente cumplidas las exigencias del juicio de relevancia, en la medida en que el Letrado de las Cortes de Castilla y León considera que “la resolución que haya de dictar la Sala promotora para resolver el incidente de ejecución no puede vincularse a que la ejecución de la sentencia en sus propios términos consista en hacer efectivos los fundamentos de aquélla, como establece el órgano judicial remitente cuando afirma que dicha ejecución conlleva la modificación del Plan de Ordenación por los mismos trámites observados para su aprobación, con la correspondiente evaluación de impacto ambiental, y con el objetivo de conservar y proteger los recursos naturales”. La Ley 5/2010 hubiera sido relevante para el supuesto de que la misma hubiera pretendido convalidar o sanar actuaciones administrativas realizadas al amparo del Decreto 13/2006 anulado, pero tal cuestión hubiera debido suscitarse en un procedimiento distinto de éste, sin que pueda formularse ahora en una suerte de actuación preventiva del órgano judicial </w:t>
      </w:r>
      <w:r w:rsidRPr="0085709A">
        <w:rPr>
          <w:i/>
        </w:rPr>
        <w:t>a quo</w:t>
      </w:r>
      <w:r>
        <w:t>.</w:t>
      </w:r>
    </w:p>
    <w:p w:rsidR="0085709A" w:rsidRDefault="0085709A" w:rsidP="0085709A">
      <w:pPr>
        <w:pStyle w:val="TextoNormal"/>
      </w:pPr>
    </w:p>
    <w:p w:rsidR="0085709A" w:rsidRDefault="0085709A" w:rsidP="0085709A">
      <w:pPr>
        <w:pStyle w:val="TextoNormal"/>
      </w:pPr>
      <w:r>
        <w:t>En cuanto a la desestimación de la cuestión por razones de fondo, comienza la representación procesal de las Cortes de Castilla y León por desechar las referidas al art. 23 CE y a la Ley 42/2007.</w:t>
      </w:r>
    </w:p>
    <w:p w:rsidR="0085709A" w:rsidRDefault="0085709A" w:rsidP="0085709A">
      <w:pPr>
        <w:pStyle w:val="TextoNormal"/>
      </w:pPr>
    </w:p>
    <w:p w:rsidR="0085709A" w:rsidRDefault="0085709A" w:rsidP="0085709A">
      <w:pPr>
        <w:pStyle w:val="TextoNormal"/>
      </w:pPr>
      <w:r>
        <w:t xml:space="preserve">Niega seguidamente que la Ley 5/2010 sea una ley singular autoaplicativa pues establece preceptos con naturaleza abstracta que pueden ser aplicados de manera indefinida sin agotar su eficacia, y que disponen también de la condición de la generalidad por la indeterminación de sus destinatarios. Por esta razón ninguna trascendencia tiene para determinar su constitucionalidad la doctrina respecto a las leyes singulares de esta condición, por lo que ha de descartarse la vulneración del art. 24.1 CE por este motivo. Tampoco es una ley singular desde el punto de vista de suponer un ejercicio excepcional de la potestad legislativa, ya que para ello no basta que responda a una situación excepcional. Para que la inconstitucionalidad concurra es necesario acreditar que la norma carece de una justificación objetiva y razonable y que es desproporcionada a la excepcionalidad de la situación que justifica su aprobación. En este caso la intervención del legislador en un ámbito habilitado al reglamento por la ley (la aprobación o modificación del plan de ordenación de los recursos naturales de un parque natural) no reviste la condición de un supuesto de hecho excepcional, pues la ley genérica de referencia (Ley 8/1991, de 10 de mayo, de espacios naturales de la Comunidad de Castilla y León) establece únicamente el procedimiento para la aprobación original de los planes de ordenación de los recursos naturales, pero no dispone nada acerca del procedimiento a seguir para su modificación, ni establece tampoco que la intervención del legislador sólo pueda acontecer en circunstancias excepcionales o singulares, ni impide que la norma legal </w:t>
      </w:r>
      <w:r>
        <w:lastRenderedPageBreak/>
        <w:t>incorpore previsiones que se contienen en el correspondiente al plan de ordenación de los recursos naturales..</w:t>
      </w:r>
    </w:p>
    <w:p w:rsidR="0085709A" w:rsidRDefault="0085709A" w:rsidP="0085709A">
      <w:pPr>
        <w:pStyle w:val="TextoNormal"/>
      </w:pPr>
    </w:p>
    <w:p w:rsidR="0085709A" w:rsidRDefault="0085709A" w:rsidP="0085709A">
      <w:pPr>
        <w:pStyle w:val="TextoNormal"/>
      </w:pPr>
      <w:r>
        <w:t>Argumenta también el Letrado de las Cortes de Castilla y León que la Ley 5/2010 cuenta con una justificación objetiva y razonable, relacionada con la situación socioeconómica de los municipios incluidos en el espacio natural y la necesidad de hacer compatible la utilización racional de los recursos naturales con la modernización y desarrollo de todos los sectores económicos y la protección de las zonas de montaña. Es, asimismo, una medida razonable y proporcionada en las circunstancias del caso dado que la intervención del legislador en un ámbito habilitado y regulado por el reglamento se ha de considerar el ejercicio normal de su potestad legislativa sin necesidad de una justificación que avale que esa intervención es razonable y proporcionada, ya que no son exigibles al legislador los requisitos procedimentales necesarios para llevar a cabo una modificación reglamentaria.</w:t>
      </w:r>
    </w:p>
    <w:p w:rsidR="0085709A" w:rsidRDefault="0085709A" w:rsidP="0085709A">
      <w:pPr>
        <w:pStyle w:val="TextoNormal"/>
      </w:pPr>
    </w:p>
    <w:p w:rsidR="0085709A" w:rsidRDefault="0085709A" w:rsidP="0085709A">
      <w:pPr>
        <w:pStyle w:val="TextoNormal"/>
      </w:pPr>
      <w:r>
        <w:t>Finalmente se alega que la Ley 5/2010 no vulnera el derecho a la tutela judicial efectiva pues “lo que ha hecho el legislador de Castilla y León es atribuir un nuevo régimen jurídico a un ámbito material anteriormente regulado en un reglamento, y lo ha hecho en el ejercicio normal de su potestad legislativa, a través de una regulación intrínsecamente general y sobre la que no se ha alegado ninguna tacha de inconstitucionalidad acerca de su contenido”. Asimismo, la imposibilidad de atribuir a la ley cuestionada la vulneración del art. 24.1 CE impide considerar que vulnera el art. 117.3 CE.</w:t>
      </w:r>
    </w:p>
    <w:p w:rsidR="0085709A" w:rsidRDefault="0085709A" w:rsidP="0085709A">
      <w:pPr>
        <w:pStyle w:val="TextoNormal"/>
      </w:pPr>
    </w:p>
    <w:p w:rsidR="0085709A" w:rsidRDefault="0085709A" w:rsidP="0085709A">
      <w:pPr>
        <w:pStyle w:val="TextoNormal"/>
      </w:pPr>
      <w:r w:rsidRPr="0085709A">
        <w:rPr>
          <w:rStyle w:val="NumeroAFNegritaCaracter"/>
        </w:rPr>
        <w:t>10</w:t>
      </w:r>
      <w:r>
        <w:t>. Con fecha 13 de junio de 2014 presentó su escrito de alegaciones el Fiscal General del Estado interesando la estimación de la cuestión por las razones que se resumen a continuación.</w:t>
      </w:r>
    </w:p>
    <w:p w:rsidR="0085709A" w:rsidRDefault="0085709A" w:rsidP="0085709A">
      <w:pPr>
        <w:pStyle w:val="TextoNormal"/>
      </w:pPr>
    </w:p>
    <w:p w:rsidR="0085709A" w:rsidRDefault="0085709A" w:rsidP="0085709A">
      <w:pPr>
        <w:pStyle w:val="TextoNormal"/>
      </w:pPr>
      <w:r>
        <w:t>Expone en primer lugar los antecedentes de hecho de la cuestión así como el contenido de la Ley 5/2010 y del propio Auto de planteamiento de la cuestión para, a continuación, examinar si se ha cumplido lo previsto en el art. 35.2 LOTC en lo relativo a las condiciones procesales exigibles.</w:t>
      </w:r>
    </w:p>
    <w:p w:rsidR="0085709A" w:rsidRDefault="0085709A" w:rsidP="0085709A">
      <w:pPr>
        <w:pStyle w:val="TextoNormal"/>
      </w:pPr>
    </w:p>
    <w:p w:rsidR="0085709A" w:rsidRDefault="0085709A" w:rsidP="0085709A">
      <w:pPr>
        <w:pStyle w:val="TextoNormal"/>
      </w:pPr>
      <w:r>
        <w:t xml:space="preserve">En cuanto al fondo del asunto, señala que la norma legal imposibilita los efectos derivados del fallo de la Sentencia de 8 de enero de 2008 de la Sala de lo Contencioso-Administrativo proponente de la presente cuestión de inconstitucionalidad, dado su rango normativo, lo que impide al órgano jurisdiccional adoptar medida alguna destinada a remover los obstáculos que imposibiliten su cumplimiento. Hace inviable el contenido de la resolución judicial, pues viene a reproducir el contenido de la normativa reglamentaria que había sido declarada nula por su incompatibilidad con el plan de ordenación de los recursos naturales de Fuentes Carrionas y Fuente cobre-Montaña Palentina (Palencia) del parque natural. La Ley autonómica crea un nuevo marco normativo que afecta directamente al objetivo prioritario del plan de ordenación de los recursos naturales de Fuentes Carrionas y Fuente cobre-Montaña Palentina (Palencia) del parque natural de conservar y proteger el espacio natural pues habilita la construcción de estaciones de esquí alpino prohibidas por el plan y de facto soslaya la normativa y las condiciones exigidas legal y reglamentariamente para la modificación del plan de ordenación de los recursos naturales , que es la norma básica para la protección, uso y gestión del parque. De esta manera, el legislador autonómico ha venido a </w:t>
      </w:r>
      <w:r>
        <w:lastRenderedPageBreak/>
        <w:t>sustituir al ejecutivo autonómico de la Comunidad de Castilla y León en su labor reglamentaria para llevar a cabo la reforma del plan de ordenación de los recursos naturales, subsanando la deficiente actuación administrativa.</w:t>
      </w:r>
    </w:p>
    <w:p w:rsidR="0085709A" w:rsidRDefault="0085709A" w:rsidP="0085709A">
      <w:pPr>
        <w:pStyle w:val="TextoNormal"/>
      </w:pPr>
    </w:p>
    <w:p w:rsidR="0085709A" w:rsidRDefault="0085709A" w:rsidP="0085709A">
      <w:pPr>
        <w:pStyle w:val="TextoNormal"/>
      </w:pPr>
      <w:r>
        <w:t>Alude el escrito del Ministerio Público a la doctrina de la STC 129/2013, para después señalar que la Ley 5/2010 supone la adopción de decisiones materialmente administrativas por parte del legislador, pero esta cuestión no es determinante ya que ninguna ley está vinculada por lo que dispone una ley previa. En consecuencia, aunque inicialmente la competencia para la modificación del plan de ordenación de los recursos naturales por vía reglamentaria le es atribuida por la legislación autonómica a la Administración de la Comunidad Autónoma, las Cortes de Castilla y León gozan de libertad para legislar sobre cualquier materia y abordar su regulación aunque exista un mecanismo administrativo para su normación. Ahora bien, para el Fiscal General del Estado, la Ley 5/2010 reuniría los requisitos que la doctrina constitucional ha exigido para considerar que estamos en presencia de una ley singular puesto que “se ha dictado para un supuesto concreto propiciar la posibilidad de construcción de una estación de esquí alpino en San Glorio (León) en el Parque natural, aboliendo obstáculos normativos, como la prohibición contenida en el PORN del Espacio Natural de construir estaciones de esquí alpino y aunque esta derogación pueda propiciar la instalación, en el Parque de otras estaciones de esquí, la referencia expresa a dicho proyecto de estación de esquí no por ello aparece que la ley nace con vocación de generalidad”. Concluye el Ministerio público que la Ley 5/2010 no respondería a circunstancias excepcionales de extraordinaria trascendencia y complejidad que imponen una actuación legislativa y que no son remediables a través de los instrumentos normales de los que dispone la Administración autonómica. Por ello, el Fiscal concluye que la aprobación de la Ley 5/2010 sólo persigue dar solución a una situación singular, propiciar la construcción de una estación de esquí alpino en San Glorio (León). Con esa actuación el legislador autonómico “ha vulnerado el art. 24.1 C.E. al eludir la efectividad de la sentencia de 8 de enero de 2008, cuya real ejecución del fallo ha venido a impedir”.</w:t>
      </w:r>
    </w:p>
    <w:p w:rsidR="0085709A" w:rsidRDefault="0085709A" w:rsidP="0085709A">
      <w:pPr>
        <w:pStyle w:val="TextoNormal"/>
      </w:pPr>
    </w:p>
    <w:p w:rsidR="0085709A" w:rsidRDefault="0085709A" w:rsidP="0085709A">
      <w:pPr>
        <w:pStyle w:val="TextoNormal"/>
      </w:pPr>
      <w:r>
        <w:t>En cuanto a la vulneración del art. 9.3 CE indica que, si la norma no responde a un criterio razonable y objetivo y no es proporcionada ha de concluirse que la norma ha desconocido el principio contenido en dicho precepto que prohíbe la arbitrariedad de los poderes públicos.</w:t>
      </w:r>
    </w:p>
    <w:p w:rsidR="0085709A" w:rsidRDefault="0085709A" w:rsidP="0085709A">
      <w:pPr>
        <w:pStyle w:val="TextoNormal"/>
      </w:pPr>
    </w:p>
    <w:p w:rsidR="0085709A" w:rsidRDefault="0085709A" w:rsidP="0085709A">
      <w:pPr>
        <w:pStyle w:val="TextoNormal"/>
      </w:pPr>
      <w:r>
        <w:t>Por todo lo expuesto, el Fiscal General del Estado considera que procede declarar la inconstitucionalidad de la Ley 5/2010 por vulneración del derecho fundamental a la tutela judicial efectiva reconocido en el art. 24.1 CE, en su vertiente de derecho a la ejecución de la resoluciones judiciales, y por vulneración del principio de interdicción de la arbitrariedad de los poderes públicos del art. 9.3 CE.</w:t>
      </w:r>
    </w:p>
    <w:p w:rsidR="0085709A" w:rsidRDefault="0085709A" w:rsidP="0085709A">
      <w:pPr>
        <w:pStyle w:val="TextoNormal"/>
      </w:pPr>
    </w:p>
    <w:p w:rsidR="0085709A" w:rsidRDefault="0085709A" w:rsidP="0085709A">
      <w:pPr>
        <w:pStyle w:val="TextoNormal"/>
      </w:pPr>
      <w:r w:rsidRPr="0085709A">
        <w:rPr>
          <w:rStyle w:val="NumeroAFNegritaCaracter"/>
        </w:rPr>
        <w:t>11</w:t>
      </w:r>
      <w:r>
        <w:t>. La representación procesal de la Sociedad Española de Ornitología-</w:t>
      </w:r>
      <w:r w:rsidRPr="0085709A">
        <w:rPr>
          <w:i/>
        </w:rPr>
        <w:t>Birdlife</w:t>
      </w:r>
      <w:r>
        <w:t>, de la Asociación para la Defensa de la Naturaleza (WWW-ADENA) y de la Fundación Oso Pardo formuló sus alegaciones mediante escrito registrado el día 26 de junio de 2014.</w:t>
      </w:r>
    </w:p>
    <w:p w:rsidR="0085709A" w:rsidRDefault="0085709A" w:rsidP="0085709A">
      <w:pPr>
        <w:pStyle w:val="TextoNormal"/>
      </w:pPr>
    </w:p>
    <w:p w:rsidR="0085709A" w:rsidRDefault="0085709A" w:rsidP="0085709A">
      <w:pPr>
        <w:pStyle w:val="TextoNormal"/>
      </w:pPr>
      <w:r>
        <w:t xml:space="preserve">Sostiene que la Ley 5/2010 supone la consagración legislativa de un texto normativo que había sido previamente declarado nulo por los Tribunales de Justicia, identidad de contenido entre la norma legal y el Decreto anulado que también fue señalado por el órgano judicial </w:t>
      </w:r>
      <w:r>
        <w:lastRenderedPageBreak/>
        <w:t xml:space="preserve">que plantea la cuestión. En cuanto a los concretos preceptos constitucionales que se consideran infringidos estima que la norma vulnera el art. 24.1 CE en relación con el art. 117.3 CE. Igualmente se considera vulnerado el principio de interdicción de la arbitrariedad de los poderes públicos del art. 9.3 CE, ya que la norma establece una regulación </w:t>
      </w:r>
      <w:r w:rsidRPr="0085709A">
        <w:rPr>
          <w:i/>
        </w:rPr>
        <w:t>ad hoc</w:t>
      </w:r>
      <w:r>
        <w:t xml:space="preserve"> para eludir la prohibición de instalaciones destinadas a la práctica del esquí alpino favoreciendo así determinados intereses privados. A las anteriores vulneraciones añade también las relativas al art. 23 CE, en cuanto que la tramitación legal habría eludido la información pública así como las del art. 14 CE, de las competencias estatales del art. 149.1. 23 CE, en concreto el apartado segundo del art. 21 de la Ley 42/2007, de 13 de diciembre, de matrimonio natural y de la biodiversidad y de los principios “de separación de poderes -al suponer una verdadera injerencia del poder legislativo en la Administración de Justicia-; de generalidad de la Ley —al tratarse de una Ley </w:t>
      </w:r>
      <w:r w:rsidRPr="0085709A">
        <w:rPr>
          <w:i/>
        </w:rPr>
        <w:t>ad causam</w:t>
      </w:r>
      <w:r>
        <w:t>—; el de reserva de jurisdicción -al interferir el legislativo en las funciones jurisdiccionales-; el de jerarquía normativa -al vulnerar normativa básica estatal-; y el de control judicial de la actividad administrativa -al elevar lo que era un reglamento a rango de ley para evitar su fiscalización por la jurisdicción ordinaria-”.</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3 de marzo de 2015 se señaló para deliberación y votación del presente recurso el día 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Contencioso-Administrativo del Tribunal Superior de Justicia de Castilla y León promueve cuestión de inconstitucionalidad en relación con la Ley 5/2010, de 28 de mayo, de modificación de la Ley 4/2000, de 27 de junio, de declaración del parque natural de Fuentes Carrionas y Fuente Cobre-Montaña Palentina (Palencia).</w:t>
      </w:r>
    </w:p>
    <w:p w:rsidR="0085709A" w:rsidRDefault="0085709A" w:rsidP="0085709A">
      <w:pPr>
        <w:pStyle w:val="TextoNormal"/>
      </w:pPr>
    </w:p>
    <w:p w:rsidR="0085709A" w:rsidRDefault="0085709A" w:rsidP="0085709A">
      <w:pPr>
        <w:pStyle w:val="TextoNormal"/>
      </w:pPr>
      <w:r>
        <w:t>El órgano judicial argumenta que la Ley 5/2010 hace imposible legalmente la ejecución de su Sentencia de 8 de enero de 2008, anulatoria del Decreto 13/2006, de 9 de marzo, por el que se modifica el anexo I del Decreto 140/1998, de 16 de julio, por el que se aprueba el plan de ordenación de los recursos naturales de Fuentes Carrionas y Fuente Cobre-Montaña Palentina (Palencia), en cuanto tiene un contenido idéntico al mencionado Decreto. Basándose en la doctrina de las SSTC 203/2013 y 129/2013, el órgano judicial considera que la norma es un tipo de ley singular contraria al art. 9.3 CE, en su vertiente de interdicción de la arbitrariedad de los poderes públicos, ya que se ha anulado la prohibición de establecer estaciones de esquí alpino que contenía el plan de ordenación de los recursos naturales de Fuentes Carrionas y Fuente Cobre-Montaña Palentina (Palencia), sin elementos de ninguna clase que permitan valorar la racionalidad de tal decisión, así como al art. 24.1 CE, en su vertiente del derecho a la ejecución de las Sentencias en sus propios términos, infracción que se presenta estrechamente vinculada a otra relacionada con la reserva a los Jueces y Tribunales de la potestad de juzgar y ejecutar lo juzgado establecida en el art. 117.3 CE.</w:t>
      </w:r>
    </w:p>
    <w:p w:rsidR="0085709A" w:rsidRDefault="0085709A" w:rsidP="0085709A">
      <w:pPr>
        <w:pStyle w:val="TextoNormal"/>
      </w:pPr>
    </w:p>
    <w:p w:rsidR="0085709A" w:rsidRDefault="0085709A" w:rsidP="0085709A">
      <w:pPr>
        <w:pStyle w:val="TextoNormal"/>
      </w:pPr>
      <w:r>
        <w:t xml:space="preserve">Como se ha dejado constancia en los antecedentes, tanto el Abogado del Estado como el Fiscal General del Estado interesan la estimación de la cuestión, por considerar que concurren las vulneraciones constitucionales apreciadas por el órgano judicial, lo que también ha hecho la representación procesal de las organizaciones comparecidas en el presente proceso. Por el contrario, las representaciones procesales de la Junta de Castilla y León y de las Cortes de Castilla y León entienden que la cuestión de inconstitucionalidad ha de ser inadmitida, </w:t>
      </w:r>
      <w:r>
        <w:lastRenderedPageBreak/>
        <w:t>por diversos motivos que luego se examinarán o, subsidiariamente, desestimada ya que no se trataría de una ley singular y su finalidad, frente a lo afirmado por el órgano judicial, no sería eludir el cumplimiento de una resolución judicial, por lo que no se vulneran los arts. 9.3 y 24.1 CE.</w:t>
      </w:r>
    </w:p>
    <w:p w:rsidR="0085709A" w:rsidRDefault="0085709A" w:rsidP="0085709A">
      <w:pPr>
        <w:pStyle w:val="TextoNormal"/>
      </w:pPr>
    </w:p>
    <w:p w:rsidR="0085709A" w:rsidRDefault="0085709A" w:rsidP="0085709A">
      <w:pPr>
        <w:pStyle w:val="TextoNormal"/>
      </w:pPr>
      <w:r w:rsidRPr="0085709A">
        <w:rPr>
          <w:rStyle w:val="NumeroAFNegritaCaracter"/>
        </w:rPr>
        <w:t>2</w:t>
      </w:r>
      <w:r>
        <w:t>. Los Letrados de la Junta y de las Cortes de Castilla y León han planteado óbices procesales determinantes, caso de ser apreciados, de la inadmisión de la presente cuestión por incumplimiento de las condiciones procesales. Por ello, y previo a cualquier enjuiciamiento de fondo, lo procedente es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STC 42/2013, de 14 de febrero, FJ 2).</w:t>
      </w:r>
    </w:p>
    <w:p w:rsidR="0085709A" w:rsidRDefault="0085709A" w:rsidP="0085709A">
      <w:pPr>
        <w:pStyle w:val="TextoNormal"/>
      </w:pPr>
    </w:p>
    <w:p w:rsidR="0085709A" w:rsidRDefault="0085709A" w:rsidP="0085709A">
      <w:pPr>
        <w:pStyle w:val="TextoNormal"/>
      </w:pPr>
      <w:r>
        <w:t>En concreto, el Letrado de la Junta de Castilla y León sostiene que, en rigor no existe un proceso en cuyo seno se plantee la cuestión de inconstitucionalidad, ya que la Sentencia habría sido ejecutada mediante la Orden FYM/366/2012, de 16 de abril, por la que se dispone la publicación del fallo en el “Boletín Oficial de Castilla y León”, de suerte que con su actuación, el órgano judicial estaría vulnerando los arts. 24.1 y 117 CE. En segundo lugar sostiene que la providencia omite el preceptivo juicio de relevancia, omisión que no puede ser subsanada en el posterior Auto, en el que, por lo demás, tampoco se realizaría adecuadamente. La representación procesal de las Cortes de Castilla y León plantea que se han incumplido los requisitos exigibles al trámite de audiencia en cuanto que la providencia no contiene referencia alguna a las razones por las que el órgano judicial entiende que la norma es aplicable al caso. A lo anterior añade que la providencia no menciona uno de los preceptos del bloque de la constitucionalidad que se entienden vulnerados, el art. 45.4 de la Ley estatal 42/2007, de 13 de diciembre, de patrimonio natural y de la biodiversidad. Una segunda causa de inadmisión sería la inadecuada formulación de los juicios de aplicabilidad y relevancia en el propio Auto, en cuanto que la Ley 5/2010 no sería de aplicación al incidente de ejecución en cuyo seno se ha planteado la cuestión.</w:t>
      </w:r>
    </w:p>
    <w:p w:rsidR="0085709A" w:rsidRDefault="0085709A" w:rsidP="0085709A">
      <w:pPr>
        <w:pStyle w:val="TextoNormal"/>
      </w:pPr>
    </w:p>
    <w:p w:rsidR="0085709A" w:rsidRDefault="0085709A" w:rsidP="0085709A">
      <w:pPr>
        <w:pStyle w:val="TextoNormal"/>
      </w:pPr>
      <w:r>
        <w:t xml:space="preserve">a) Comenzando nuestro análisis por el primero de los óbices planteados por el Letrado de la Junta de Castilla y León, que considera que la cuestión no se ha planteado en el seno del debido proceso, basta para desestimarlo con constatar que tal proceso existe, ya que, como argumenta el órgano judicial, la cuestión se ha planteado en el seno de un incidente de los previstos en el art. 109 de la Ley reguladora de la jurisdicción contencioso-administrativa (LJCA), en el que lo que se plantea es si se ha producido la “total ejecución de la sentencia”, a la que alude dicho precepto legal, en la medida en que la decisión de la Sentencia habría podido ser dejada sin efecto mediante la reproducción por el legislador autonómico de la regulación declarada nula, evitando así la efectividad de la decisión judicial. Así, en el incidente en cuyo seno se plantea la cuestión, se persigue asegurar el pleno cumplimiento de la conclusión alcanzada por la Sentencia de 8 de enero de 2008, en aras a la protección de la legalidad ambiental, evitando lo que, a juicio de las partes que lo instan, es una ejecución meramente aparente que tiene por finalidad sortear lo en su momento decidido por el órgano judicial, privándolo de virtualidad, para impedir precisamente que dicho control judicial sobre la preponderancia de los valores que determinaron la protección del </w:t>
      </w:r>
      <w:r>
        <w:lastRenderedPageBreak/>
        <w:t>espacio pueda llevarse a cabo, impidiendo así la aplicación de lo razonado por el Tribunal al resolver el litigio.</w:t>
      </w:r>
    </w:p>
    <w:p w:rsidR="0085709A" w:rsidRDefault="0085709A" w:rsidP="0085709A">
      <w:pPr>
        <w:pStyle w:val="TextoNormal"/>
      </w:pPr>
    </w:p>
    <w:p w:rsidR="0085709A" w:rsidRDefault="0085709A" w:rsidP="0085709A">
      <w:pPr>
        <w:pStyle w:val="TextoNormal"/>
      </w:pPr>
      <w:r>
        <w:t>Por tratarse de una cuestión de legalidad ordinaria, que no ha sido planteada en el seno de la cuestión de inconstitucionalidad, no corresponde a este Tribunal valorar la procedencia de tal incidente, decisión que corresponde en exclusiva a los Jueces y Tribunales ordinarios interpretando los requisitos ordenadores de los procesos propios de su jurisdicción. En ese sentido, el órgano judicial ha justificado en el Auto de planteamiento la procedencia de aplicar el art. 109 LJCA frente a lo dispuesto en el art. 105.2, por cuanto quienes instan la ejecución recurrieron en su momento, en el ejercicio de la acción popular en asuntos medioambientales (arts. 22 y 23 de la Ley 27/2006, de 18 de julio, por la que se regulan los derechos de acceso a la información, de participación pública y de acceso a la justicia en materia de medio ambiente), el Decreto anulado por la Sentencia de 8 de enero de 2008.</w:t>
      </w:r>
    </w:p>
    <w:p w:rsidR="0085709A" w:rsidRDefault="0085709A" w:rsidP="0085709A">
      <w:pPr>
        <w:pStyle w:val="TextoNormal"/>
      </w:pPr>
    </w:p>
    <w:p w:rsidR="0085709A" w:rsidRDefault="0085709A" w:rsidP="0085709A">
      <w:pPr>
        <w:pStyle w:val="TextoNormal"/>
      </w:pPr>
      <w:r>
        <w:t>Tampoco hay impedimento para que el órgano judicial pueda, en un incidente de ejecución de sentencia, examinar determinados actos dotados de rango de ley (STC 248/2000, de 19 de octubre, FJ 5), sin perjuicio de señalar también que el criterio del órgano judicial según el cual la ejecución de una Sentencia de anulación puede no concluir con su publicación, en la medida en que con esa publicación no se asegure la adecuada ejecución de lo acordado, no resulta desconocido en la jurisdicción ordinaria (así, por ejemplo, en la Sentencia del Tribunal Supremo de la Sección 5 de la Sala de lo Contencioso-Administrativo del Tribunal Supremo de 23 de abril de 2010, fundamento jurídico octavo).</w:t>
      </w:r>
    </w:p>
    <w:p w:rsidR="0085709A" w:rsidRDefault="0085709A" w:rsidP="0085709A">
      <w:pPr>
        <w:pStyle w:val="TextoNormal"/>
      </w:pPr>
    </w:p>
    <w:p w:rsidR="0085709A" w:rsidRDefault="0085709A" w:rsidP="0085709A">
      <w:pPr>
        <w:pStyle w:val="TextoNormal"/>
      </w:pPr>
      <w:r>
        <w:t>Por lo demás, y respecto a la infracción de otros preceptos constitucionales que se vincula a la aducida inexistencia del debido proceso, es claro que la inadmisión de la cuestión vendría dada por el incumplimiento de los requisitos exigidos en el art. 35 de la Ley Orgánica del Tribunal Constitucional (LOTC), pero no porque, a juicio de una de las partes, tal incumplimiento haya producido una vulneración de un precepto constitucional en su tramitación. No es que tal vulneración no pueda hipotéticamente producirse sino que, conforme con la Ley Orgánica de este Tribunal, no es posible inadmitir la cuestión por tal motivo, sin perjuicio de que pudiera manifestarse en el incumplimiento de las condiciones exigidas por el art. 35 LOTC, condiciones que, evidentemente, han de ser controladas por este Tribunal.</w:t>
      </w:r>
    </w:p>
    <w:p w:rsidR="0085709A" w:rsidRDefault="0085709A" w:rsidP="0085709A">
      <w:pPr>
        <w:pStyle w:val="TextoNormal"/>
      </w:pPr>
    </w:p>
    <w:p w:rsidR="0085709A" w:rsidRDefault="0085709A" w:rsidP="0085709A">
      <w:pPr>
        <w:pStyle w:val="TextoNormal"/>
      </w:pPr>
      <w:r>
        <w:t>b) En cuanto a las denunciadas deficiencias sufridas en el trámite de audiencia, que ambas representaciones procesales vinculan a la ausencia en la providencia de apertura de dicho trámite de cualquier referencia acerca de la aplicabilidad y relevancia de la norma cuestionada al caso, procede advertir que, como recuerda la STC 166/2012, de 1 de octubre, FJ 3,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rsidR="0085709A" w:rsidRDefault="0085709A" w:rsidP="0085709A">
      <w:pPr>
        <w:pStyle w:val="TextoNormal"/>
      </w:pPr>
    </w:p>
    <w:p w:rsidR="0085709A" w:rsidRDefault="0085709A" w:rsidP="0085709A">
      <w:pPr>
        <w:pStyle w:val="TextoNormal"/>
      </w:pPr>
      <w:r>
        <w:lastRenderedPageBreak/>
        <w:t xml:space="preserve">Conforme a dicha doctrina el óbice no puede ser admitido pues, sin perjuicio de que, pese a lo que parecen entender ambos Letrados, los juicios de aplicabilidad y relevancia no han de exteriorizarse en la providencia sino en el Auto de planteamiento de la cuestión, es indiscutible que, en este caso, de la redacción de la providencia cabe deducir sin dificultad los motivos que conducen al juzgador a dudar de la constitucionalidad de la norma. De esta manera, como se ha expuesto en los antecedentes, las partes han podido conocer los términos de la duda de constitucionalidad planteada así como expresar su criterio sobre ella a fin de poner a disposición del órgano judicial “un medio que le permita conocer, con rigor, la opinión de los sujetos interesados con el fin de facilitar su reflexión sobre la conveniencia o no de proceder a la apertura de dicho proceso” (STC 121/2010, de 29 de noviembre, FJ 4). Que esto es así lo constata el hecho de que una objeción similar a la ahora examinada ya fue expuesta por la representación procesal de la Junta de Castilla y León en el trámite de audiencia siendo expresamente valorado por el órgano </w:t>
      </w:r>
      <w:r w:rsidRPr="0085709A">
        <w:rPr>
          <w:i/>
        </w:rPr>
        <w:t>a quo</w:t>
      </w:r>
      <w:r>
        <w:t xml:space="preserve"> en la fundamentación jurídica del Auto de planteamiento.</w:t>
      </w:r>
    </w:p>
    <w:p w:rsidR="0085709A" w:rsidRDefault="0085709A" w:rsidP="0085709A">
      <w:pPr>
        <w:pStyle w:val="TextoNormal"/>
      </w:pPr>
    </w:p>
    <w:p w:rsidR="0085709A" w:rsidRDefault="0085709A" w:rsidP="0085709A">
      <w:pPr>
        <w:pStyle w:val="TextoNormal"/>
      </w:pPr>
      <w:r>
        <w:t>Finalmente, por lo que respecta a los óbices relativos al trámite de audiencia, teniendo en cuenta nuestra doctrina según la cual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(STC 222/2012, de 27 de noviembre, FJ 3), no puede sino compartirse la apreciación del Letrado de la Cámara autonómica en el sentido de que no puede formar parte del objeto de la presente cuestión la posible vulneración del art. 45.4 de la Ley estatal 42/2007, ya que dicho extremo no fue planteado a las partes en el trámite de audiencia y no tuvieron ocasión de pronunciarse sobre él.</w:t>
      </w:r>
    </w:p>
    <w:p w:rsidR="0085709A" w:rsidRDefault="0085709A" w:rsidP="0085709A">
      <w:pPr>
        <w:pStyle w:val="TextoNormal"/>
      </w:pPr>
    </w:p>
    <w:p w:rsidR="0085709A" w:rsidRDefault="0085709A" w:rsidP="0085709A">
      <w:pPr>
        <w:pStyle w:val="TextoNormal"/>
      </w:pPr>
      <w:r>
        <w:t xml:space="preserve">c) En cuanto a la deficiente formulación en el Auto de los juicios de aplicabilidad y relevancia, no debemos olvidar que el art. 35 LOTC ha confiado el efectivo planteamiento de la cuestión de inconstitucionalidad prevista en el art. 163 CE al exclusivo criterio del órgano judicial cuando aprecie dudas razonables sobre la constitucionalidad de la norma aplicable al caso que deben resolver (por todas, STC 130/1994, de 9 de mayo, FJ 2). En este sentido, la aplicabilidad al caso de la norma cuestionada es, en principio, materia de legalidad ordinaria, atribuida a los órganos jurisdiccionales y, en este sentido, hemos afirmado que “la selección de las normas aplicables, así como el análisis de su vigencia y derogación, corresponde en exclusiva a la jurisdicción ordinaria de acuerdo con el art. 117.3 CE”. De este modo, según nuestra doctrina, “el control por parte de este Tribunal de la selección de la norma aplicable 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y 126/1994, de 25 de abril, FJ 5). A este respecto no podemos ignorar el criterio seguido en recientes pronunciamientos constitucionales, en los que, ante situaciones análogas de previa denuncia del carácter dudoso y discutible de la aplicabilidad de la norma cuestionada en el proceso </w:t>
      </w:r>
      <w:r w:rsidRPr="0085709A">
        <w:rPr>
          <w:i/>
        </w:rPr>
        <w:t>a quo</w:t>
      </w:r>
      <w:r>
        <w:t xml:space="preserve">, que es, en el fondo lo que se discute, hemos exigido un pronunciamiento específico del órgano judicial sobre la aplicación de la norma al caso, a efectos de garantizar que la resolución del litigio depende realmente de la solución que este Tribunal ofrezca sobre la constitucionalidad de la norma (por todas STC 18/2014, de 30 de enero, FJ 4 y las allí citadas). </w:t>
      </w:r>
      <w:r>
        <w:lastRenderedPageBreak/>
        <w:t>En el presente caso, dicha argumentación existe, pues el órgano judicial ha justificado in extenso, tanto la aplicación del cauce procedimental del art. 109 LJCA, como las razones por las que, a la vista de lo dispuesto en la norma que cuestiona, duda de la total ejecución de su fallo.</w:t>
      </w:r>
    </w:p>
    <w:p w:rsidR="0085709A" w:rsidRDefault="0085709A" w:rsidP="0085709A">
      <w:pPr>
        <w:pStyle w:val="TextoNormal"/>
      </w:pPr>
    </w:p>
    <w:p w:rsidR="0085709A" w:rsidRDefault="0085709A" w:rsidP="0085709A">
      <w:pPr>
        <w:pStyle w:val="TextoNormal"/>
      </w:pPr>
      <w:r>
        <w:t xml:space="preserve">Algo similar sucede con la inadecuada formulación del juicio de relevancia, pues es a los Jueces y Tribunales ordinarios que plantean las cuestiones de inconstitucionalidad a los que corresponde comprobar y exteriorizar, </w:t>
      </w:r>
      <w:r w:rsidRPr="0085709A">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(SSTC 87/2012, de 18 de abril, FJ 2; y 146/2012, de 54 de julio, FJ 3).</w:t>
      </w:r>
    </w:p>
    <w:p w:rsidR="0085709A" w:rsidRDefault="0085709A" w:rsidP="0085709A">
      <w:pPr>
        <w:pStyle w:val="TextoNormal"/>
      </w:pPr>
    </w:p>
    <w:p w:rsidR="0085709A" w:rsidRDefault="0085709A" w:rsidP="0085709A">
      <w:pPr>
        <w:pStyle w:val="TextoNormal"/>
      </w:pPr>
      <w:r>
        <w:t xml:space="preserve">En el presente caso esta causa de inadmisión no puede prosperar. Baste decir a estos efectos que, como hemos señalado en diversas ocasiones, el control del juicio de relevancia que corresponde efectuar a este Tribunal no puede extenderse al examen del proceso mismo en que la cuestión se plantea ni al de los presupuestos procesales que le sirven de base, pues, como ya hemos advertido, por esa vía indirecta, se estaría resolviendo un problema de legalidad ordinaria —en este caso, la procedencia de un incidente de ejecución de los previstos en el art. 109 LJCA en cuyo seno se plantea la cuestión— para lo que este Tribunal carece de jurisdicción y de competencia [en un sentido similar SSTC 60/2013, de 13 de marzo, FJ 1 c), y 27/2012, de 1 de marzo, FJ 2 b)]. Teniendo en cuenta lo anteriormente expuesto, el planteamiento de la cuestión es, en este aspecto, correcto, ya que, dependiendo —en la interpretación del Tribunal Superior de Justicia— la decisión del incidente ejecutorio de la validez de la Ley 5/2010 en la medida en que es preciso determinar su incidencia en la efectividad de lo previamente resuelto, concurren los presupuestos para el acceso ante la instancia constitucional a través del cauce de la cuestión de inconstitucionalidad. La resolución judicial que está en el origen del proceso </w:t>
      </w:r>
      <w:r w:rsidRPr="0085709A">
        <w:rPr>
          <w:i/>
        </w:rPr>
        <w:t>a quo</w:t>
      </w:r>
      <w:r>
        <w:t xml:space="preserve"> impide que la modificación del plan de ordenación de recursos naturales de Fuentes Carrionas y Fuente Cobre-Montaña Palentina (Palencia) para posibilitar un determinado uso en un parque natural se lleve a cabo en la forma prevista por la disposición que ha sido anulada por el órgano judicial. En efecto, como señala el Auto de planteamiento aludiendo a la propia Sentencia de la Sala así como a la posterior del Tribunal Supremo, el derecho de los promotores del incidente se concreta en la posibilidad de “impugnar cualquier acto o disposición reglamentaria que suprimiese la prohibición de estaciones de esquí alpino en el espacio natural protegido sin haberse modificado el Plan de Ordenación siguiendo los mismos trámites observados para su aprobación con la correspondiente evaluación de impacto ambiental y teniendo en cuenta que el objetivo prioritario del Plan no es otro que conservar y proteger los recursos naturales, su vegetación, flora, fauna, gea y paisaje”. Dado que la cuestionada Ley 5/2010 presenta, </w:t>
      </w:r>
      <w:r w:rsidRPr="0085709A">
        <w:rPr>
          <w:i/>
        </w:rPr>
        <w:t>prima facie</w:t>
      </w:r>
      <w:r>
        <w:t xml:space="preserve">, similar contenido que la anterior norma reglamentaria, el órgano judicial entiende que se interpondría en la completa ejecución del mandato judicial relativo a la forma adecuada de proceder a la modificación del plan de ordenación de recursos naturales de Fuentes Carrionas y Fuente Cobre-Montaña Palentina (Palencia), y que determinó la nulidad decidida en la Sentencia que ahora pretende ejecutarse. En ese sentido la Sala considera que “no es </w:t>
      </w:r>
      <w:r>
        <w:lastRenderedPageBreak/>
        <w:t>cierto que la ejecución de la sentencia se agote con la publicación mencionada, desde el momento en que al amparo del art. 103.4 LJCA podían los actores instar la declaración de nulidad de pleno derecho de aquellos actos y disposiciones reglamentarias encaminadas a eludir el fallo de la sentencia, lo que tienen vedado en este caso al haberse aprobado la modificación mediante norma con rango de Ley”.</w:t>
      </w:r>
    </w:p>
    <w:p w:rsidR="0085709A" w:rsidRDefault="0085709A" w:rsidP="0085709A">
      <w:pPr>
        <w:pStyle w:val="TextoNormal"/>
      </w:pPr>
    </w:p>
    <w:p w:rsidR="0085709A" w:rsidRDefault="0085709A" w:rsidP="0085709A">
      <w:pPr>
        <w:pStyle w:val="TextoNormal"/>
      </w:pPr>
      <w:r>
        <w:t>Del razonamiento del órgano judicial se desprende que el pronunciamiento de este Tribunal es necesario para resolver el caso sometido a su consideración, en la medida en que el incidente, relativo a “cuantas cuestiones se planteen en la ejecución” —en los términos del art. 109 LJCA— no puede resolverse sin antes despejar la duda de constitucionalidad planteada sobre la disposición legal, pues, como ha señalado también el Fiscal General del Estado, “de su validez depende la eficacia ejecutiva de la Sentencia de 8 de enero de 2008”. Así ha dejado constancia de ello el órgano judicial en el Auto, al considerar que su Sentencia no ha sido totalmente ejecutada y exponiendo el nexo de subordinación entre la validez de la norma cuestionada y la resolución del incidente sometido a su consideración, sin que corresponda a este Tribunal reemplazar o sustituir a la Sala en esa valoración, pues la interpretación del sentido del fallo de las resoluciones judiciales es una función estrictamente jurisdiccional que, como tal, corresponde en exclusiva a los órganos judiciales.</w:t>
      </w:r>
    </w:p>
    <w:p w:rsidR="0085709A" w:rsidRDefault="0085709A" w:rsidP="0085709A">
      <w:pPr>
        <w:pStyle w:val="TextoNormal"/>
      </w:pPr>
    </w:p>
    <w:p w:rsidR="0085709A" w:rsidRDefault="0085709A" w:rsidP="0085709A">
      <w:pPr>
        <w:pStyle w:val="TextoNormal"/>
      </w:pPr>
      <w:r>
        <w:t>Por lo demás, el planteamiento del órgano judicial se ajusta a la doctrina de este Tribunal dictada en relación con la denominada garantía de interpretación finalista del fallo, que infiera de él todas sus naturales consecuencias para la cabal ejecución de lo ordenado, interpretándolo de acuerdo con la fundamentación y con el resto de los extremos del pleito. Así, a la hora de valorar si los Autos judiciales de ejecución respetan o no la Sentencia de la que traen causa, tiene siempre en cuenta tanto el fallo como la fundamentación jurídica de la resolución judicial, hemos destacado que la interpretación y aplicación del fallo no ha de ser literal, sino finalista, en armonía con el contenido total de la Sentencia (STC 148/1989, de 21 de septiembre, FJ 4); de este modo, fallo, fundamentos de las partes, hechos debatidos y argumentos planteados en defensa de las posturas encontradas son manifestaciones de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y global, pues ésta es la que permite extraer, con mayor grado de certeza, el genuino alcance y significación de las determinaciones del órgano jurisdiccional y de los efectos jurídicos, de naturaleza formal o material, que deben producir aquéllas” (entre otras, SSTC 240/1998, de 15 de diciembre, FJ 3; 83/2001, de 26 de Marzo, FJ 4; 146/2002, de 15 de Junio, FJ 3, o STC 116/2003, de 16 de junio, FJ 3).</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Despejados los óbices de procedibilidad, podemos ya resolver la duda de constitucionalidad que se nos plantea, para lo cual, a la vista de la forma en que se ha trabado el debate procesal, hemos de examinar la Ley 5/2010 para determinar si se encuadra en alguno de los supuestos que hemos calificado como ley singular. Dado que el órgano judicial considera que estamos ante una norma de esas características que carecería de justificación en cuanto que se habría dictado con el propósito de eludir el cumplimiento de una decisión judicial, </w:t>
      </w:r>
      <w:r>
        <w:lastRenderedPageBreak/>
        <w:t>debemos examinar cuál es la naturaleza de la ley impugnada, pues sólo establecida su verdadera naturaleza, podremos pronunciarnos sobre las distintas vulneraciones de preceptos constitucionales que se le imputan.</w:t>
      </w:r>
    </w:p>
    <w:p w:rsidR="0085709A" w:rsidRDefault="0085709A" w:rsidP="0085709A">
      <w:pPr>
        <w:pStyle w:val="TextoNormal"/>
      </w:pPr>
    </w:p>
    <w:p w:rsidR="0085709A" w:rsidRDefault="0085709A" w:rsidP="0085709A">
      <w:pPr>
        <w:pStyle w:val="TextoNormal"/>
      </w:pPr>
      <w:r>
        <w:t>En este examen debemos atenernos a nuestra doctrina sobre la cuestión, sistematizada en la STC 203/2013, FJ 3, en la que señalamos la existencia de diversos tipos de leyes singulares. Así, aludiendo a los supuestos contemplados en las SSTC 48/2005, de 3 de marzo, y 129/2013, de 4 de junio, incluimos en esta categoría a la ley autoaplicativa, “término éste que hace alusión a las leyes que contienen una actividad, típicamente ejecutiva, de aplicación de la norma al caso concreto”. Igualmente, citando el caso de la STC 166/1986, de 19 de diciembre, calificamos de ley singular aquella que lo es en atención a los destinatarios a los que va dirigida, indicando que tales leyes de destinatario único serían “otro de los supuestos que nuestra doctrina ha calificado como ley singular”. Finalmente, con apoyo en la doctrina de la STC 129/2013, FJ 4, hemos señalado que son leyes singulares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de modo que una ley que no fuera de destinatario único, ni autoplicativa, adolece de tal naturaleza si ha sido dictada en atención a un supuesto de hecho concreto, esto es, a una situación singular o excepcional”.</w:t>
      </w:r>
    </w:p>
    <w:p w:rsidR="0085709A" w:rsidRDefault="0085709A" w:rsidP="0085709A">
      <w:pPr>
        <w:pStyle w:val="TextoNormal"/>
      </w:pPr>
    </w:p>
    <w:p w:rsidR="0085709A" w:rsidRDefault="0085709A" w:rsidP="0085709A">
      <w:pPr>
        <w:pStyle w:val="TextoNormal"/>
      </w:pPr>
      <w:r>
        <w:t>Conforme a tales criterios hemos de examinar el contenido de la Ley 5/2010. Dicha norma consta de un artículo único modificativo de la Ley 4/2000, de 27 de junio, de Declaración del parque natural de Fuentes Carrionas y Fuente Cobre-Montaña Palentina, para incorporar siete nuevas disposiciones adicionales las cuales, conforme a la exposición de motivos, persiguen garantizar la compatibilidad de la conservación de los valores que motivaron la declaración de esta zona como parque natural con la posibilidad de autorizar determinados proyectos de estaciones de esquí alpino, previo análisis y evaluación de las repercusiones ambientales y de su adecuación a los objetivos de conservación del parque natural. Estas nuevas disposiciones adicionales modifican determinados aspectos del anexo I del Decreto 140/1998, de 16 de julio, por el que se aprueba el plan de ordenación de los recursos naturales de Fuentes Carrionas y Fuente Cobre-Montaña Palentina (Palencia), en relación específicamente con instalaciones vinculadas al ocio, en particular, la práctica del esquí alpino. La exposición de motivos de la Ley 5/2010 reconoce expresamente que dichas modificaciones no tenían cabida en la normativa anteriormente vigente, que prohibía específicamente este tipo de instalaciones.</w:t>
      </w:r>
    </w:p>
    <w:p w:rsidR="0085709A" w:rsidRDefault="0085709A" w:rsidP="0085709A">
      <w:pPr>
        <w:pStyle w:val="TextoNormal"/>
      </w:pPr>
    </w:p>
    <w:p w:rsidR="0085709A" w:rsidRDefault="0085709A" w:rsidP="0085709A">
      <w:pPr>
        <w:pStyle w:val="TextoNormal"/>
      </w:pPr>
      <w:r>
        <w:t xml:space="preserve">A estos efectos es relevante señalar que, conforme a lo que dispone la Ley 8/1991, de 10 de mayo, de espacios naturales de la Comunidad de Castilla y León, los planes de ordenación de los recursos naturales son instrumentos de planificación de los espacios naturales protegidos que han de responder a los objetivos medioambientales y socioeconómicos que se mencionan en su art. 26. Instrumentos de planificación, cuyo contenido mínimo viene determinado en el apartado 2 según el cual los planes de ordenación de los recursos naturales deben delimitar el ámbito territorial del espacio protegido; definir su estado de conservación, determinar limitaciones generales y específicas de usos y actividades, concretar aquellas actividades, obras o instalaciones a las que deba aplicárseles el régimen de evaluación de impacto ambiental; establecer criterios orientadores de las diversas políticas sectoriales </w:t>
      </w:r>
      <w:r>
        <w:lastRenderedPageBreak/>
        <w:t>que inciden en el espacio y fijar planes y programas que concreten las medidas que ayuden al progreso socio-económico de las poblaciones de los espacios.</w:t>
      </w:r>
    </w:p>
    <w:p w:rsidR="0085709A" w:rsidRDefault="0085709A" w:rsidP="0085709A">
      <w:pPr>
        <w:pStyle w:val="TextoNormal"/>
      </w:pPr>
    </w:p>
    <w:p w:rsidR="0085709A" w:rsidRDefault="0085709A" w:rsidP="0085709A">
      <w:pPr>
        <w:pStyle w:val="TextoNormal"/>
      </w:pPr>
      <w:r>
        <w:t>Tales instrumentos de planificación han de seguir para su aprobación la tramitación prevista en el art. 32.1 de la Ley 8/1991 que prevé la elaboración, por parte de la Consejería con participación de las entidades locales afectadas, de una propuesta inicial, sometidas a diversos informes así como al trámite de información pública y a un trámite de audiencia específico a los ayuntamientos y juntas vecinales afectados. La propuesta se remitirá al Consejo de urbanismo y ordenación del territorio de Castilla y León para su informe, así como al órgano colegiado previsto en el art. 39 de la Ley 8/1991. A la vista de este último informe, se elabora la propuesta definitiva que ha de ser sometida por el titular de la Consejería a su aprobación por Decreto de la Junta de Castilla y León.</w:t>
      </w:r>
    </w:p>
    <w:p w:rsidR="0085709A" w:rsidRDefault="0085709A" w:rsidP="0085709A">
      <w:pPr>
        <w:pStyle w:val="TextoNormal"/>
      </w:pPr>
    </w:p>
    <w:p w:rsidR="0085709A" w:rsidRDefault="0085709A" w:rsidP="0085709A">
      <w:pPr>
        <w:pStyle w:val="TextoNormal"/>
      </w:pPr>
      <w:r>
        <w:t>Las modificaciones del plan de ordenación de los recursos naturales introducidas por la Ley 5/2010 consisten en: excluir de las limitaciones en el uso de aguas a las instalaciones de esquí alpino (art. 12.4); permitir la introducción condicionada de elementos artificiales o infraestructuras para la prestación de servicios como televisión, radio, teléfono o electricidad (art. 17.2); eliminar la prohibición de construcción de estaciones de esquí alpino, como directriz relativa a las actividades deportivas y recreativas que es posible realizar en el espacio natural (art. 23.3) así como la prohibición absoluta de su instalación que se permite en las zonas de uso limitado y uso compatible (art. 63.4); posibilitar, en una de las zonas calificadas como de especial fragilidad del espacio, la realización de movimientos de tierras, actividades extractivas o la instalación de infraestructuras que puedan alterar significativamente el paisaje previa su adecuada evaluación y adopción de las oportunas medidas de integración paisajística [art. 27 c)]; permitir excepcionalmente edificaciones de nueva planta en las zonas de más valor del espacio natural para el desarrollo de la actividad agraria o ganadera, con autorización de la administración del espacio natural y , previo sometimiento al procedimiento de evaluación de impacto ambiental, para usos de interés público vinculados al ocio porque se aprecie la necesidad de su emplazamiento en suelo rústico a causa de sus específicos requerimientos en materia de ubicación (art. 29.4) e incluir la construcción de instalaciones de esquí alpino entre las actividades sometidas a evaluación de impacto ambiental (art. 47.8).</w:t>
      </w:r>
    </w:p>
    <w:p w:rsidR="0085709A" w:rsidRDefault="0085709A" w:rsidP="0085709A">
      <w:pPr>
        <w:pStyle w:val="TextoNormal"/>
      </w:pPr>
    </w:p>
    <w:p w:rsidR="0085709A" w:rsidRDefault="0085709A" w:rsidP="0085709A">
      <w:pPr>
        <w:pStyle w:val="TextoNormal"/>
      </w:pPr>
      <w:r w:rsidRPr="0085709A">
        <w:rPr>
          <w:rStyle w:val="NumeroAFNegritaCaracter"/>
        </w:rPr>
        <w:t>4</w:t>
      </w:r>
      <w:r>
        <w:t>. Expuesto su contenido, hemos de determinar si la norma se incluye en alguno de los supuestos contemplados en la STC 203/2013 a los que nos hemos referido antes. Así, desde la primera de las perspectivas allí examinadas, es claro que contiene mandatos en relación con los usos y actividades susceptibles de ser realizadas en el espacio natural protegido, bien levantando prohibiciones anteriormente existentes, bien sometiendo la realización de determinadas actuaciones a previos requisitos, por lo que tiene naturaleza normativa: es susceptible de ser aplicada mientras continúe vigente y precisa de actos administrativos de aplicación, que permitan llevar a efecto la ejecución jurídica y física de sus previsiones en relación con la construcción de las instalaciones a las que se refiere. Por eso a diferencia del primero de los supuestos de ley singular al que hemos aludido no puede considerarse como una ley autoaplicativa. Tampoco es posible calificar la Ley 5/2010 como una ley de destinatario único, de estructura singular en atención a los destinatarios a los que va dirigida, pues tiene por objeto, en los términos que se han expuesto, la regulación de determinados usos y sus destinatarios son todos aquellos afectados por la modificación de la ordenación de los recursos naturales que la norma contiene.</w:t>
      </w:r>
    </w:p>
    <w:p w:rsidR="0085709A" w:rsidRDefault="0085709A" w:rsidP="0085709A">
      <w:pPr>
        <w:pStyle w:val="TextoNormal"/>
      </w:pPr>
    </w:p>
    <w:p w:rsidR="0085709A" w:rsidRDefault="0085709A" w:rsidP="0085709A">
      <w:pPr>
        <w:pStyle w:val="TextoNormal"/>
      </w:pPr>
      <w:r>
        <w:t>Resta por examinar si nos encontramos ante el último tipo de ley singular al que se alude en la STC 203/2013, FJ 3, que considera leyes singulares a las dictadas en atención a un supuesto de hecho concreto que es el que justificaría la utilización de la ley, en razón del supuesto de hecho que regula pues, en otro caso y pese a que “no cabe deducir de la Constitución la existencia de una reserva reglamentaria, de manera que el legislador no tiene vedada la regulación de materias que no le están materialmente reservadas”, la regulación no precisa de norma de rango legal, por lo que la utilización de la ley no respondería al ejercicio normal de la potestad legislativa sino a una situación excepcional que ha de justificar el recurso a una norma de ese rango.</w:t>
      </w:r>
    </w:p>
    <w:p w:rsidR="0085709A" w:rsidRDefault="0085709A" w:rsidP="0085709A">
      <w:pPr>
        <w:pStyle w:val="TextoNormal"/>
      </w:pPr>
    </w:p>
    <w:p w:rsidR="0085709A" w:rsidRDefault="0085709A" w:rsidP="0085709A">
      <w:pPr>
        <w:pStyle w:val="TextoNormal"/>
      </w:pPr>
      <w:r w:rsidRPr="0085709A">
        <w:rPr>
          <w:rStyle w:val="NumeroAFNegritaCaracter"/>
        </w:rPr>
        <w:t>5</w:t>
      </w:r>
      <w:r>
        <w:t>. La ya mencionada Ley 8/1991, de 10 de mayo, de espacios naturales de la Comunidad de Castilla y León, establece los rasgos generales a los que han de responder los instrumentos de planificación que son los planes de ordenación de los recursos naturales y atribuye al Consejo de Gobierno la competencia para aprobarlos, pues la reserva legal se extiende únicamente a la declaración de un espacio como parque regional (art. 21.1). Es indiscutible que formalmente la Ley 5/2010 encontraría cobertura en dicha reserva, pues se presenta como una modificación de la Ley 4/2000, con lo que nos encontraríamos en un caso similar a los resueltos en las SSTC 128/1997, de 13 de febrero, y 248/2000, de 19 de octubre. Sin embargo, es patente que la norma ahora cuestionada no afecta en realidad a dicha Ley 4/2000, cuyo objeto se refiere a la delimitación del ámbito territorial del espacio protegido y a la fijación de los objetivos y finalidades a los que sirve la protección, remitiendo el régimen de protección, uso y gestión a lo que, en el marco de la Ley 8/1991, determine el correspondiente al plan de ordenación de los recursos naturales. Es dicho plan de ordenación de los recursos naturales el modificado por la introducción de las siete nuevas disposiciones adicionales que incluye la Ley 5/2010, con el contenido que antes hemos expuesto. El plan de ordenación de los recursos naturales y sus modificaciones que, en principio, habrían de aprobarse mediante una norma reglamentaria y, en cuanto tal, sometida al control de la jurisdicción contencioso-administrativa. Es cierto que, no existiendo reserva reglamentaria en nuestro ordenamiento, tal previsión de aprobación del plan de ordenación de los recursos naturales por decreto no es determinante, pero lo cierto es que en este caso tampoco existe reserva de ley para la modificación del instrumento de planificación, respecto al que se da la paradoja de que se utiliza el vehículo formal de la ley para introducir innovaciones en una norma de rango reglamentario, como es la que establece el régimen de protección del espacio natural.</w:t>
      </w:r>
    </w:p>
    <w:p w:rsidR="0085709A" w:rsidRDefault="0085709A" w:rsidP="0085709A">
      <w:pPr>
        <w:pStyle w:val="TextoNormal"/>
      </w:pPr>
    </w:p>
    <w:p w:rsidR="0085709A" w:rsidRDefault="0085709A" w:rsidP="0085709A">
      <w:pPr>
        <w:pStyle w:val="TextoNormal"/>
      </w:pPr>
      <w:r>
        <w:t xml:space="preserve">Esta forma de proceder se justifica en la existencia de “diferentes iniciativas de desarrollo económico y empresarial, derivadas de una creciente demanda social por las actividades de ocio, tiempo libre y disfrute en la naturaleza. Entre ellas, se han promovido varias iniciativas para el desarrollo de una estación invernal en la zona de San Glorio en León y sus inmediaciones en Palencia y Cantabria, que incluiría las instalaciones necesarias para la práctica de esquí alpino. Estas actuaciones permitirían, en el caso de que su evaluación ambiental fuera satisfactoria, una oportunidad de desarrollo de estos términos municipales, como ya ha ocurrido en otros territorios de España”. Por eso, a solicitud de diferentes ayuntamientos y de las propias Cortes de Castilla y León se promueve la modificación legislativa ahora cuestionada con la finalidad de favorecer “la adopción de las medidas oportunas para permitir la evaluación ambiental de estas actividades, garantizando a través de este procedimiento su compatibilidad con la conservación de los valores que motivaron la declaración de esta zona </w:t>
      </w:r>
      <w:r>
        <w:lastRenderedPageBreak/>
        <w:t>como Parque Natural”. En suma, a falta de una reserva material o formal de ley, la modificación del plan de ordenación de los recursos naturales de Fuentes Carrionas y Fuente cobre-Montaña Palentina (Palencia) en los términos expuestos mediante la inclusión de siete nuevas disposiciones adicionales en la Ley 4/2000, lo ha sido en razón de la singularidad del supuesto de hecho al que se quiere atender, que no es otra que posibilitar, previa la tramitación correspondiente, el eventual emplazamiento de instalaciones destinadas a la práctica del esquí alpino en determinadas zonas del espacio natural protegido en la convicción de que con ello se contribuye al desarrollo económico de la zona.</w:t>
      </w:r>
    </w:p>
    <w:p w:rsidR="0085709A" w:rsidRDefault="0085709A" w:rsidP="0085709A">
      <w:pPr>
        <w:pStyle w:val="TextoNormal"/>
      </w:pPr>
    </w:p>
    <w:p w:rsidR="0085709A" w:rsidRDefault="0085709A" w:rsidP="0085709A">
      <w:pPr>
        <w:pStyle w:val="TextoNormal"/>
      </w:pPr>
      <w:r>
        <w:t>Por tanto, como en el caso del último de los supuestos examinados en la STC 203/2013, FJ 3, debemos concluir que se trata de una ley singular, en tanto que dictada en atención al supuesto de hecho excepcional que la justifica. Basta constatar que no todos los usos, ni todas las modificaciones de los planes de ordenación de los recursos naturales  requieren norma legal, sino solamente este uso y la modificación del plan de ordenación de los recursos de este parque natural. La consecuencia es que “el canon de constitucionalidad que habremos de aplicar es el establecido en la doctrina constitucional para las leyes de esta naturaleza, con las particularidades que derivan de las especiales características de este género de leyes singulares, que no son ni de destinatario único ni autoaplicativas”, canon al que aludimos en la STC 129/2013, FJ 4 cuando concluimos que “el canon de constitucionalidad que debe utilizar este Tribunal al ejercer su función de control de este tipo de leyes es el de la razonabilidad, proporcionalidad y adecuación”. Así pues, dada la naturaleza de ley singular de la norma cuestionada hemos de comprobar, en primer lugar, si el supuesto de hecho que contempla tiene una justificación objetiva y, de ser así, si la utilización de la ley es proporcionada a la excepcionalidad que se trata de atender y que ha justificado su aprobación (STC 203/2013, FJ 4).</w:t>
      </w:r>
    </w:p>
    <w:p w:rsidR="0085709A" w:rsidRDefault="0085709A" w:rsidP="0085709A">
      <w:pPr>
        <w:pStyle w:val="TextoNormal"/>
      </w:pPr>
    </w:p>
    <w:p w:rsidR="0085709A" w:rsidRDefault="0085709A" w:rsidP="0085709A">
      <w:pPr>
        <w:pStyle w:val="TextoNormal"/>
      </w:pPr>
      <w:r w:rsidRPr="0085709A">
        <w:rPr>
          <w:rStyle w:val="NumeroAFNegritaCaracter"/>
        </w:rPr>
        <w:t>6</w:t>
      </w:r>
      <w:r>
        <w:t>. El legislador autonómico ha justificado la situación excepcional que ha llevado a la aprobación de la Ley 5/2010 en la necesidad de mejorar la economía de los núcleos de población del entorno del espacio natural protegido a través del incremento del turismo que se puede producir mediante el establecimiento de estaciones de esquí alpino hasta entonces prohibidas.</w:t>
      </w:r>
    </w:p>
    <w:p w:rsidR="0085709A" w:rsidRDefault="0085709A" w:rsidP="0085709A">
      <w:pPr>
        <w:pStyle w:val="TextoNormal"/>
      </w:pPr>
    </w:p>
    <w:p w:rsidR="0085709A" w:rsidRDefault="0085709A" w:rsidP="0085709A">
      <w:pPr>
        <w:pStyle w:val="TextoNormal"/>
      </w:pPr>
      <w:r>
        <w:t>Así, la exposición de motivos alude en primer lugar al deterioro en términos demográficos y económicos que sufren los municipios incluidos en este espacio natural, señalando el surgimiento de “diferentes iniciativas de desarrollo económico y empresarial”, entre las que se mencionan las relativas al desarrollo de una estación invernal para la práctica de esquí alpino, lo que, a juicio del legislador supone, en el caso de que su evaluación ambiental fuera satisfactoria, una oportunidad de desarrollo de los términos municipales en los que ubique. En la medida en que tales iniciativas no tenían cabida en la normativa que rige el parque natural, que prohibía expresamente la construcción de instalaciones de esquí alpino, se promueve esta modificación, solicitada por diferentes ayuntamientos y por las Cortes de Castilla y León, a fin de responder a uno de los objetivos perseguidos con la declaración del parque natural, “la promoción del desarrollo socioeconómico de las poblaciones del Espacio Natural y la mejora de sus condiciones de vida, de forma compatible con la conservación de sus valores”. Por ello, la norma considera necesaria la adopción de las medidas oportunas para la modificación de la normativa que impide el desarrollo de los proyectos de estaciones de esquí alpino, a fin de permitir la evaluación ambiental de estas actividades, como paso previo a su posible autorización.</w:t>
      </w:r>
    </w:p>
    <w:p w:rsidR="0085709A" w:rsidRDefault="0085709A" w:rsidP="0085709A">
      <w:pPr>
        <w:pStyle w:val="TextoNormal"/>
      </w:pPr>
    </w:p>
    <w:p w:rsidR="0085709A" w:rsidRDefault="0085709A" w:rsidP="0085709A">
      <w:pPr>
        <w:pStyle w:val="TextoNormal"/>
      </w:pPr>
      <w:r>
        <w:t>En cuanto al carácter arbitrario de la norma en relación con la justificación ofrecida por el legislador, es clara nuestra doctrina que establece la necesidad de manejar dicha calificación con la necesaria prudencia de forma que la aplicación del art. 9.3 CE como canon de control del legislador no le impongan constricciones indebidas y se respeten sus opciones (por todas, STC 174/2013, de 10 de octubre, FJ 6).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(por todas, STC 20/2013, de 31 de enero, FJ 8; con cita de la STC 196/2011, de 13 de diciembre, FJ 13).</w:t>
      </w:r>
    </w:p>
    <w:p w:rsidR="0085709A" w:rsidRDefault="0085709A" w:rsidP="0085709A">
      <w:pPr>
        <w:pStyle w:val="TextoNormal"/>
      </w:pPr>
    </w:p>
    <w:p w:rsidR="0085709A" w:rsidRDefault="0085709A" w:rsidP="0085709A">
      <w:pPr>
        <w:pStyle w:val="TextoNormal"/>
      </w:pPr>
      <w:r>
        <w:t>Por tanto, atendiendo a la prudencia con la que ha de atenderse para calificar una ley como arbitraria y al control negativo que nos es propio en relación con dicho principio de interdicción de la arbitrariedad de los poderes públicos, no cabe excluir que la modificación cuestionada carezca de justificación objetiva en la medida en que, dentro del margen de discrecionalidad del legislador, responde a la necesidad de promover el desarrollo socioeconómico de la zona, objetivo que, si bien no con el carácter de prioritario, es posible también hallar entre los perseguidos por la declaración del parque natural de Fuentes Carrionas y Fuente Cobre-Montaña Palentina (art. 2.4 de la Ley 4/2000).</w:t>
      </w:r>
    </w:p>
    <w:p w:rsidR="0085709A" w:rsidRDefault="0085709A" w:rsidP="0085709A">
      <w:pPr>
        <w:pStyle w:val="TextoNormal"/>
      </w:pPr>
    </w:p>
    <w:p w:rsidR="0085709A" w:rsidRDefault="0085709A" w:rsidP="0085709A">
      <w:pPr>
        <w:pStyle w:val="TextoNormal"/>
      </w:pPr>
      <w:r w:rsidRPr="0085709A">
        <w:rPr>
          <w:rStyle w:val="NumeroAFNegritaCaracter"/>
        </w:rPr>
        <w:t>7</w:t>
      </w:r>
      <w:r>
        <w:t>. Ahora bien, aun pudiendo estimarse que la modificación propuesta pudiera tener una justificación razonable, resulta que, al igual que en el caso examinado en la STC 203/2013, lo que en ningún caso se ha explicado es la necesidad de que tal modificación se lleve a cabo mediante ley.</w:t>
      </w:r>
    </w:p>
    <w:p w:rsidR="0085709A" w:rsidRDefault="0085709A" w:rsidP="0085709A">
      <w:pPr>
        <w:pStyle w:val="TextoNormal"/>
      </w:pPr>
    </w:p>
    <w:p w:rsidR="0085709A" w:rsidRDefault="0085709A" w:rsidP="0085709A">
      <w:pPr>
        <w:pStyle w:val="TextoNormal"/>
      </w:pPr>
      <w:r>
        <w:t xml:space="preserve">En efecto, en primer lugar, resulta muy significativo que la regulación material de la Ley no presenta sustanciales diferencias con la que se contenía en el Decreto 13/2006, de 9 de marzo, anulado por el Tribunal Superior de Justicia de Castilla y León en una Sentencia luego confirmada por el Tribunal Supremo (Sentencia del Tribunal Supremo, Sección 5 de la Sala Tercera de 25 de enero de 2012), decisiones judiciales en las que se apreció que no se había justificado que la modificación del plan de ordenación de los recursos naturales de Fuentes Carrionas y Fuente cobre-Montaña Palentina (Palencia) obedeciese a una previa evaluación que pusiese de manifiesto un cambio de las circunstancias medioambientales y socioeconómicas tenidas en cuenta para su elaboración, sin que tampoco se evaluase la necesidad de modificar el plan de ordenación de los recursos naturales de Fuentes Carrionas y Fuente cobre-Montaña Palentina (Palencia), específicamente en relación con la instalación de estaciones de esquí alpino. Pese a que ya hemos advertido no resulta en principio contrario a la Constitución, que el legislador asuma una tarea que antes había encomendado al poder reglamentario, resulta que, en este caso, la forma en la que el legislador la asume no se ajusta a las exigencias constitucionales. Frente a la vocación de generalidad que la ley ha de tener, esta no contiene mención alguna tendente a justificar la excepcional relevancia de la modificación del plan de ordenación de los recursos naturales de Fuentes Carrionas y Fuente cobre-Montaña Palentina (Palencia) en relación solamente con un específico uso, las instalaciones destinadas a la práctica del esquí alpino, determinante de su aprobación por ley, mientras que cualesquiera otras modificaciones del instrumento de planificación, sean o no relativas a los usos permitidos en el espacio protegido, deban llevarse a cabo por vía </w:t>
      </w:r>
      <w:r>
        <w:lastRenderedPageBreak/>
        <w:t>reglamentaria, con la circunstancia de que, en ese caso, la modificación está condicionada al cambio de las circunstancias o criterios que determinaron la aprobación del plan de ordenación de los recursos naturales además de tener que realizarse mediante los mismos trámites seguidos para su aprobación (art. 6 del anexo 1 del Decreto 140/1998).</w:t>
      </w:r>
    </w:p>
    <w:p w:rsidR="0085709A" w:rsidRDefault="0085709A" w:rsidP="0085709A">
      <w:pPr>
        <w:pStyle w:val="TextoNormal"/>
      </w:pPr>
    </w:p>
    <w:p w:rsidR="0085709A" w:rsidRDefault="0085709A" w:rsidP="0085709A">
      <w:pPr>
        <w:pStyle w:val="TextoNormal"/>
      </w:pPr>
      <w:r>
        <w:t>Tampoco la regulación presenta peculiaridad sustantiva alguna con respecto a cualquier otra modificación de un instrumento de este tipo, que ya hemos visto que corresponde aprobar al Consejo de Gobierno de la Comunidad Autónoma. Por último, no existe explicación alguna acerca de la prevalencia otorgada al desarrollo socioeconómico de los municipios que integran el espacio natural (objetivo básico, pero no prioritario de la declaración del parque natural de Fuentes Carrionas y Fuente Cobre-Montaña Palentina, con arreglo al art. 2.4 de la Ley 4/2000), pues conforme a dicha norma el objetivo prioritario ha de ser “conservar, proteger y mejorar los recursos naturales, su vegetación, flora, fauna, gea, agua y paisaje, preservando la diversidad genética y manteniendo la dinámica y estructura funcional de los ecosistemas” (art. 2.1 de la Ley 4/2000).</w:t>
      </w:r>
    </w:p>
    <w:p w:rsidR="0085709A" w:rsidRDefault="0085709A" w:rsidP="0085709A">
      <w:pPr>
        <w:pStyle w:val="TextoNormal"/>
      </w:pPr>
    </w:p>
    <w:p w:rsidR="0085709A" w:rsidRDefault="0085709A" w:rsidP="0085709A">
      <w:pPr>
        <w:pStyle w:val="TextoNormal"/>
      </w:pPr>
      <w:r>
        <w:t>No cabe entonces sino concluir, como en la STC 203/2013, FJ 8, que “la utilización de la ley no es una medida razonable ni proporcionada a la situación excepcional que ha justificado su aprobación, y por las mismas razones no satisface el segundo de los límites que la STC 166/1986, de 19 de diciembre, predica de las leyes singulares: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De aquí se obtiene un segundo límite a las Leyes singulares, que es, en cierta medida, comunicable con el fundamentado en el principio de igualdad, en cuanto que esa excepcionalidad exorbitante a la potestad ejecutiva resulta válida para ser utilizada como criterio justificador de la singularidad de la medida legislativa’ [FJ 11 B)]”.</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Asimismo, atendiendo a las circunstancias del caso, es posible apreciar que la norma impugnada, en la medida en que reproduce casi miméticamente una regulación reglamentaria previamente declarada nula, vulnera el art. 24.1 CE. Este Tribunal ha afirmado reiteradamente que 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83/2001, de 26 de marzo, FJ 4, entre otras muchas). Así, en la STC 312/2006, de 8 de noviembre, ya señalamos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pues siendo indudable que la Constitución reconoce al legislador un amplio margen de libertad al configurar sus opciones, no es menos cierto que también le somete a determinados límites, entre ellos el que se deriva del art. 24.1 CE”. Por tanto, señalamos en la misma Sentencia y fundamento jurídico que “no tiene cabida en nuestra Constitución aquella ley o el concreto régimen jurídico en ella establecido cuyo efecto sea el de sacrificar, de forma </w:t>
      </w:r>
      <w:r>
        <w:lastRenderedPageBreak/>
        <w:t>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3 de mayo, FJ 4, y 91/1993, de 15 de marzo, FJ 3), cabría estimar que tal Ley sería contraria al art. 24.1 en relación con los arts. 117.3 y 118 CE, al faltar la debida proporción entre la finalidad perseguida y el sacrificio impuesto (STC 4/1988, de 21 de enero, FJ 5)” (STC 73/2000, de 14 de marzo, FJ 11).</w:t>
      </w:r>
    </w:p>
    <w:p w:rsidR="0085709A" w:rsidRDefault="0085709A" w:rsidP="0085709A">
      <w:pPr>
        <w:pStyle w:val="TextoNormal"/>
      </w:pPr>
    </w:p>
    <w:p w:rsidR="0085709A" w:rsidRDefault="0085709A" w:rsidP="0085709A">
      <w:pPr>
        <w:pStyle w:val="TextoNormal"/>
      </w:pPr>
      <w:r>
        <w:t>Ya hemos constatado que, aun cuando la Ley 5/2010 pueda encontrar justificación en una razón atendible, impone un sacrificio desproporcionado de los intereses en juego expresados en el pronunciamiento judicial que hace que el legislador haya superado los límites constitucionales que debe siempre respetar. En particular porque tales supuestos han de ser objeto de un escrutinio especialmente riguroso asentado sobre la interpretación más favorable al derecho a la ejecución de las resoluciones judiciales firmes como parte integrante del derecho fundamental a la tutela judicial efectiva (art. 24.1 CE), que se traduce en la “garantía de que el fallo se cumpla, impidiendo que las Sentencias y los derechos en ellas reconocidos se conviertan en meras declaraciones de intenciones sin alcance práctico ni efectividad alguna” (por todas, STC 223/2004, de 29 de noviembre, FJ 6, y las numerosas resoluciones allí citadas).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presente cuestión de inconstitucionalidad y en consecuencia declarar que la Ley de Castilla y León 5/2010, de 28 de mayo, de modificación de la Ley 4/2000, de 27 de junio, de declaración del parque natural de Fuentes Carrionas y Fuente Cobre-Montaña Palentina (Palencia), es inconstitucional y nula.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cinco de marzo de dos mil quince.</w:t>
      </w:r>
    </w:p>
    <w:p w:rsidR="0085709A" w:rsidRDefault="0085709A" w:rsidP="0085709A">
      <w:pPr>
        <w:pStyle w:val="ParrafoNormal"/>
      </w:pPr>
    </w:p>
    <w:p w:rsidR="0085709A" w:rsidRDefault="0085709A" w:rsidP="0085709A">
      <w:pPr>
        <w:pStyle w:val="TextoNormalNegritaCentrado"/>
        <w:keepNext/>
      </w:pPr>
      <w:r>
        <w:t>Voto particular que formula el Presidente, don Francisco Pérez de los Cobos Orihuel, al que se adhieren los Magistrados don Pedro González-Trevijano Sánchez y don Ricardo Enríquez Sancho, a la Sentencia que resuelve la cuestión de inconstitucionalidad núm. 1549-2014.</w:t>
      </w:r>
    </w:p>
    <w:p w:rsidR="0085709A" w:rsidRDefault="0085709A" w:rsidP="0085709A">
      <w:pPr>
        <w:pStyle w:val="TextoNormalNegritaCentrado"/>
        <w:keepNext/>
      </w:pPr>
    </w:p>
    <w:p w:rsidR="0085709A" w:rsidRDefault="0085709A" w:rsidP="0085709A">
      <w:pPr>
        <w:pStyle w:val="TextoNormal"/>
      </w:pPr>
      <w:r>
        <w:t>Con el debido respeto hacia la mayoría del Pleno del Tribunal Constitucional, me veo en la obligación de manifestar a través de este Voto particular mi discrepancia con el fallo y, parcialmente, con la fundamentación jurídica de la Sentencia que ha estimado la presente cuestión de inconstitucionalidad.</w:t>
      </w:r>
    </w:p>
    <w:p w:rsidR="0085709A" w:rsidRDefault="0085709A" w:rsidP="0085709A">
      <w:pPr>
        <w:pStyle w:val="TextoNormal"/>
      </w:pPr>
    </w:p>
    <w:p w:rsidR="0085709A" w:rsidRDefault="0085709A" w:rsidP="0085709A">
      <w:pPr>
        <w:pStyle w:val="TextoNormal"/>
      </w:pPr>
      <w:r>
        <w:lastRenderedPageBreak/>
        <w:t>Quiero advertir ya, desde estas primeras líneas, que mi discrepancia no radica en el fondo del asunto, esto es, en la calificación de la Ley impugnada como ley singular inconstitucional, conclusión en la que coincido con la mayoría. Mi disenso se refiere a una cuestión previa de índole procesal, pues, en mi opinión, el Tribunal debería haber inadmitido la cuestión de inconstitucionalidad planteada al no cumplir debidamente con los juicios de aplicabilidad y relevancia.</w:t>
      </w:r>
    </w:p>
    <w:p w:rsidR="0085709A" w:rsidRDefault="0085709A" w:rsidP="0085709A">
      <w:pPr>
        <w:pStyle w:val="TextoNormal"/>
      </w:pPr>
    </w:p>
    <w:p w:rsidR="0085709A" w:rsidRDefault="0085709A" w:rsidP="0085709A">
      <w:pPr>
        <w:pStyle w:val="TextoNormal"/>
      </w:pPr>
      <w:r>
        <w:t>Es preciso tener en cuenta que la cuestión de inconstitucionalidad se suscita en el seno de un procedimiento de ejecución de una sentencia de anulación. En efecto, la sentencia había anulado el Decreto autonómico por el que se modificaba el plan de ordenación de los recursos naturales del parque natural Fuentes Carrionas dejando sin efecto la prohibición de instalar estaciones de esquí alpino en este espacio. Las partes interponen incidente de ejecución señalando que con la aprobación de la Ley 5/2010, de 28 de mayo, la Sentencia anulatoria del Decreto resulta de imposible ejecución y solicitando al órgano judicial que plantee cuestión de inconstitucionalidad.</w:t>
      </w:r>
    </w:p>
    <w:p w:rsidR="0085709A" w:rsidRDefault="0085709A" w:rsidP="0085709A">
      <w:pPr>
        <w:pStyle w:val="TextoNormal"/>
      </w:pPr>
    </w:p>
    <w:p w:rsidR="0085709A" w:rsidRDefault="0085709A" w:rsidP="0085709A">
      <w:pPr>
        <w:pStyle w:val="TextoNormal"/>
      </w:pPr>
      <w:r>
        <w:t>Es cierto que, como se afirma en la Sentencia de la que discrepo, la determinación del alcance del fallo y de si ha tenido o no lugar la total ejecución de la Sentencia es una cuestión que corresponde, en principio, valorar al órgano judicial al tratarse de un problema fundamentalmente de legalidad ordinaria. Pero también es cierto que, como veremos, en el presente caso, la interpretación y aplicación que ha hecho el órgano judicial va más allá de la legalidad ordinaria y termina teniendo un impacto sobre la configuración de la cuestión de inconstitucionalidad y su regulación procesal: es decir, termina teniendo un impacto sobre el proceso constitucional e incluso sobre la competencia de los órganos judiciales en relación con leyes inconstitucionales.</w:t>
      </w:r>
    </w:p>
    <w:p w:rsidR="0085709A" w:rsidRDefault="0085709A" w:rsidP="0085709A">
      <w:pPr>
        <w:pStyle w:val="TextoNormal"/>
      </w:pPr>
    </w:p>
    <w:p w:rsidR="0085709A" w:rsidRDefault="0085709A" w:rsidP="0085709A">
      <w:pPr>
        <w:pStyle w:val="TextoNormal"/>
      </w:pPr>
      <w:r>
        <w:t>En efecto, adviértase que el fallo de la Sentencia es de nulidad y que, por tanto, con la publicación en el boletín oficial de esa nulidad se ha dado cumplimiento a la Sentencia: el Decreto impugnado ha sido expulsado del ordenamiento jurídico. Ninguna medida adicional de ejecución es, en principio, necesaria para el cumplimiento del contenido de la sentencia. Otra cuestión es que las potestades de control que el art. 109 de la Ley reguladora de la jurisdicción contencioso-administrativa confiere a los órganos judiciales permitan evitar que la Administración aplique la disposición anulada. Pero no es esto, en modo alguno, lo que han suscitado las partes en el incidente de ejecución que, en realidad, no plantean problema concreto alguno de ejecución de la Sentencia: no hay acto o medida concreta que consideren que haya de realizarse y no haya tenido lugar y tampoco ningún acto de la Administración que pretenda tener amparo en el Decreto anulado y al que se opongan pretendiendo su anulación por el órgano judicial.</w:t>
      </w:r>
    </w:p>
    <w:p w:rsidR="0085709A" w:rsidRDefault="0085709A" w:rsidP="0085709A">
      <w:pPr>
        <w:pStyle w:val="TextoNormal"/>
      </w:pPr>
    </w:p>
    <w:p w:rsidR="0085709A" w:rsidRDefault="0085709A" w:rsidP="0085709A">
      <w:pPr>
        <w:pStyle w:val="TextoNormal"/>
      </w:pPr>
      <w:r>
        <w:t xml:space="preserve">En el asunto Itoiz (STC 73/2000), el Tribunal aceptó que, en ejecución, el órgano judicial planteara cuestión de inconstitucionalidad respecto a una ley que pretendía eludir el cumplimiento de la Sentencia, pero en aquel caso la Sentencia no era de mera anulación, sino que imponía la adopción de determinadas medidas, es decir, imponía una condena de hacer, lo que no ocurre en el caso que ahora nos ocupa. Obligación de hacer que además aún no se había cumplido y que se hacía de imposible cumplimiento al aprobarse la ley. En el caso Itoiz, por tanto, sí se estaba claramente ante un problema relacionado con la ejecución de la Sentencia. Por el contrario, en el caso que nos ocupa, la Sentencia ya se ha cumplido, la pretensión se ha satisfecho y el fallo se ha traducido en la desaparición del Decreto del </w:t>
      </w:r>
      <w:r>
        <w:lastRenderedPageBreak/>
        <w:t>ordenamiento jurídico mediante la publicación de su anulación en el boletín oficial correspondiente, sin que la Administración haya realizado actividad alguna que con la que pretenda indebidamente aplicar la norma anulada.</w:t>
      </w:r>
    </w:p>
    <w:p w:rsidR="0085709A" w:rsidRDefault="0085709A" w:rsidP="0085709A">
      <w:pPr>
        <w:pStyle w:val="TextoNormal"/>
      </w:pPr>
    </w:p>
    <w:p w:rsidR="0085709A" w:rsidRDefault="0085709A" w:rsidP="0085709A">
      <w:pPr>
        <w:pStyle w:val="TextoNormal"/>
      </w:pPr>
      <w:r>
        <w:t>Las partes en el incidente de ejecución no suscitan, como ya hemos dicho, un problema concreto de ejecución. Lo que plantean es una duda abstracta sobre el impacto de la Ley en el régimen jurídico del espacio natural y sobre la constitucionalidad de la nueva regulación. Pero esto no es una cuestión relativa a la ejecución de la Sentencia, sino un problema jurídico nuevo: la constitucionalidad o inconstitucionalidad de la ley por motivos además no necesariamente coincidentes con los que se plantearon respecto al Decreto anulado. Un problema jurídico nuevo y abstracto que no guarda vinculación alguna con la necesidad de adoptar determinadas medidas para la ejecución de la sentencia. Por ello, el planteamiento de la cuestión de inconstitucionalidad no cumple con el juicio de aplicabilidad y relevancia exigible.</w:t>
      </w:r>
    </w:p>
    <w:p w:rsidR="0085709A" w:rsidRDefault="0085709A" w:rsidP="0085709A">
      <w:pPr>
        <w:pStyle w:val="TextoNormal"/>
      </w:pPr>
    </w:p>
    <w:p w:rsidR="0085709A" w:rsidRDefault="0085709A" w:rsidP="0085709A">
      <w:pPr>
        <w:pStyle w:val="TextoNormal"/>
      </w:pPr>
      <w:r>
        <w:t>A la postre, por un lado, el incidente de ejecución se utiliza de forma indebida para plantear al órgano judicial la conveniencia de interponer una cuestión de inconstitucionalidad cuando ello hubiera debido realizarse, si acaso, en un momento posterior, mediante la impugnación de actos de aplicación de la ley, en un nuevo proceso. Y, por otro lado, el órgano judicial está planteando una cuestión de inconstitucionalidad en abstracto, es decir, virtualmente está interponiendo un recurso de inconstitucionalidad para el que carece de legitimación.</w:t>
      </w:r>
    </w:p>
    <w:p w:rsidR="0085709A" w:rsidRDefault="0085709A" w:rsidP="0085709A">
      <w:pPr>
        <w:pStyle w:val="TextoNormal"/>
      </w:pPr>
    </w:p>
    <w:p w:rsidR="0085709A" w:rsidRDefault="0085709A" w:rsidP="0085709A">
      <w:pPr>
        <w:pStyle w:val="TextoNormal"/>
      </w:pPr>
      <w:r>
        <w:t>La afirmación de que es necesario conocer la constitucionalidad de la Ley para resolver el incidente de ejecución resulta así artificiosa, porque el incidente de ejecución no es tal, sino el mero planteamiento de una duda abstracta sobre la constitucionalidad de la Ley. Por ello, el pronunciamiento del Tribunal sobre la Ley ni afecta ni obliga a medida alguna de ejecución de la Sentencia, lo que evidencia que, como decíamos más arriba, la Ley no es ni aplicable ni relevante para resolver un problema de verdadera ejecución de la Sentencia. Nos encontramos ante el planteamiento de una duda abstracta sobre la constitucionalidad de una ley que debería haberse planteado por los cauces legalmente previstos y por los sujetos legitimados para ello.</w:t>
      </w:r>
    </w:p>
    <w:p w:rsidR="0085709A" w:rsidRDefault="0085709A" w:rsidP="0085709A">
      <w:pPr>
        <w:pStyle w:val="TextoNormal"/>
      </w:pPr>
    </w:p>
    <w:p w:rsidR="0085709A" w:rsidRDefault="0085709A" w:rsidP="0085709A">
      <w:pPr>
        <w:pStyle w:val="TextoNormal"/>
      </w:pPr>
      <w:r>
        <w:t>Por todo lo anterior, entiendo que la decisión de plantear la cuestión de inconstitucionalidad excede de la competencia que corresponde a los órganos judiciales para ejecutar y hacer ejecutar lo juzgado y altera las vías procesales y requisitos de legitimación previstos en nuestro ordenamiento jurídico para impugnar la Ley. Razones éstas que deberían haber llevado a la inadmisión de la cuestión de inconstitucionalidad planteada.</w:t>
      </w:r>
    </w:p>
    <w:p w:rsidR="0085709A" w:rsidRDefault="0085709A" w:rsidP="0085709A">
      <w:pPr>
        <w:pStyle w:val="TextoNormal"/>
      </w:pPr>
    </w:p>
    <w:p w:rsidR="0085709A" w:rsidRDefault="0085709A" w:rsidP="0085709A">
      <w:pPr>
        <w:pStyle w:val="TextoNormal"/>
      </w:pPr>
      <w:r>
        <w:t>Madrid, a cinco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4" w:name="SENTENCIA_2015_51"/>
      <w:r>
        <w:lastRenderedPageBreak/>
        <w:t>SENTENCIA 51/2015, de 16 de marzo de 2015</w:t>
      </w:r>
    </w:p>
    <w:bookmarkEnd w:id="54"/>
    <w:p w:rsidR="0085709A" w:rsidRDefault="0085709A" w:rsidP="0085709A">
      <w:pPr>
        <w:pStyle w:val="TtuloResolucin"/>
      </w:pPr>
      <w:r>
        <w:t>Sala Primera</w:t>
      </w:r>
    </w:p>
    <w:p w:rsidR="0085709A" w:rsidRDefault="0085709A" w:rsidP="0085709A">
      <w:pPr>
        <w:pStyle w:val="TtuloBOE"/>
      </w:pPr>
      <w:r>
        <w:t>(BOE núm. 98, de 24 de abril de 2015)</w:t>
      </w:r>
    </w:p>
    <w:p w:rsidR="0085709A" w:rsidRDefault="0085709A" w:rsidP="0085709A">
      <w:pPr>
        <w:pStyle w:val="TextoNormalCentrado"/>
      </w:pPr>
      <w:r>
        <w:t>ECLI:ES:TC:2015:51</w:t>
      </w:r>
    </w:p>
    <w:p w:rsidR="0085709A" w:rsidRDefault="0085709A" w:rsidP="0085709A">
      <w:pPr>
        <w:pStyle w:val="TextoNormalCentrado"/>
      </w:pPr>
    </w:p>
    <w:p w:rsidR="0085709A" w:rsidRDefault="0085709A" w:rsidP="0085709A">
      <w:pPr>
        <w:pStyle w:val="SntesisDescriptiva"/>
      </w:pPr>
      <w:r>
        <w:t>Recurso de amparo 3626-2012. Promovido por doña María Pilar Horcajada de Lamo en relación con el Auto de la Sala de lo Contencioso-Administrativo del Tribunal Supremo, que inadmitió su recurso de casación frente a la Sentencia de la Audiencia Nacional que desestimó su pretensión de responsabilidad patrimonial del Estado por funcionamiento anormal de la Administración de Justicia.</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w:t>
      </w:r>
    </w:p>
    <w:p w:rsidR="0085709A" w:rsidRDefault="0085709A" w:rsidP="0085709A">
      <w:pPr>
        <w:pStyle w:val="SntesisAnaltica"/>
      </w:pPr>
    </w:p>
    <w:p w:rsidR="0085709A" w:rsidRDefault="0085709A" w:rsidP="0085709A">
      <w:pPr>
        <w:pStyle w:val="Extracto"/>
      </w:pPr>
      <w:r>
        <w:t>1.</w:t>
      </w:r>
      <w:r>
        <w:tab/>
        <w:t>Los problemas planteados en la demanda de amparo, respecto a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3626/2012, promovido por doña María Pilar Horcajada de Lamo representada por la Procuradora de los Tribunales doña Delia Villalonga Vicens y asistida por el Letrado don Luis Amat Navarro, contra Auto de 15 de marzo de 2012 de la Sección Primera de la Sala de lo Contencioso-administrativo del Tribunal Supremo, que inadmite el recurso de casación intentado frente a Sentencia de 14 de julio de 2011 de la </w:t>
      </w:r>
      <w:r>
        <w:lastRenderedPageBreak/>
        <w:t>Audiencia Nacional; asimismo se impugna la Providencia de 29 de mayo de 2012, por la que se inadmite el incidente de nulidad planteado frente al Auto antes citado. Ha intervenido el Ministerio Fiscal; ha comparecido el Abogado del Estado. Ha sido Ponente el Magistrado don Luis Ignacio Ortega Álvarez, quien expresa el parecer de la Sala.</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14 de junio de 2012, la demandante interpuso recurso de amparo contra las resoluciones citadas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los que se fundamenta la demanda son, sucintamente expuestos, los siguientes:</w:t>
      </w:r>
    </w:p>
    <w:p w:rsidR="0085709A" w:rsidRDefault="0085709A" w:rsidP="0085709A">
      <w:pPr>
        <w:pStyle w:val="TextoNormal"/>
      </w:pPr>
    </w:p>
    <w:p w:rsidR="0085709A" w:rsidRDefault="0085709A" w:rsidP="0085709A">
      <w:pPr>
        <w:pStyle w:val="TextoNormal"/>
      </w:pPr>
      <w:r>
        <w:t>Con fecha 14 de Julio de 2011, la Sala de lo Contencioso-Administrativo, Sección Tercera, de la Audiencia Nacional, dictó Sentencia en el recurso núm. 265-2012, desestimando el recurso contencioso-administrativo interpuesto por la recurrente contra la desestimación presunta de una reclamación de responsabilidad patrimonial del Estado por funcionamiento anormal de la Administración de Justicia.</w:t>
      </w:r>
    </w:p>
    <w:p w:rsidR="0085709A" w:rsidRDefault="0085709A" w:rsidP="0085709A">
      <w:pPr>
        <w:pStyle w:val="TextoNormal"/>
      </w:pPr>
    </w:p>
    <w:p w:rsidR="0085709A" w:rsidRDefault="0085709A" w:rsidP="0085709A">
      <w:pPr>
        <w:pStyle w:val="TextoNormal"/>
      </w:pPr>
      <w:r>
        <w:t>Esta Sentencia fue objeto de recurso de casación, que fue inadmitido por Auto del Tribunal Supremo, Sala Tercera, Sección Primera, de fecha 15 de marzo de 2012, en el recurso núm. 4727-2011. Razona que no se admite por no cumplirse los requisitos exigibles en los arts. 89.2 y 93.2 a) de la Ley Jurisdiccional. Interpuesto incidente de nulidad de actuaciones previsto en el art. 241 de la Ley Orgánica del Poder Judicial, fue rechazado mediante providencia de 29 de mayo de 2012.</w:t>
      </w:r>
    </w:p>
    <w:p w:rsidR="0085709A" w:rsidRDefault="0085709A" w:rsidP="0085709A">
      <w:pPr>
        <w:pStyle w:val="TextoNormal"/>
      </w:pPr>
    </w:p>
    <w:p w:rsidR="0085709A" w:rsidRDefault="0085709A" w:rsidP="0085709A">
      <w:pPr>
        <w:pStyle w:val="TextoNormal"/>
      </w:pPr>
      <w:r w:rsidRPr="0085709A">
        <w:rPr>
          <w:rStyle w:val="NumeroAFNegritaCaracter"/>
        </w:rPr>
        <w:t>3</w:t>
      </w:r>
      <w:r>
        <w:t>. La parte recurrente alega que se ha vulnerado el derecho fundamental a la tutela judicial efectiva del art. 24.1 CE, en su vertiente de derecho de acceso a la justicia, causante de indefensión, al vulnerar lo dispuesto en el art. 94.1 de la Ley reguladora de la jurisdicción contencioso-administrativa (LJCA), toda vez que se funda la inadmisión del recurso de casación en que el escrito de preparación del recurso no se hace expresión de las concretas infracciones normativas o jurisprudenciales aplicables al caso.</w:t>
      </w:r>
    </w:p>
    <w:p w:rsidR="0085709A" w:rsidRDefault="0085709A" w:rsidP="0085709A">
      <w:pPr>
        <w:pStyle w:val="TextoNormal"/>
      </w:pPr>
    </w:p>
    <w:p w:rsidR="0085709A" w:rsidRDefault="0085709A" w:rsidP="0085709A">
      <w:pPr>
        <w:pStyle w:val="TextoNormal"/>
      </w:pPr>
      <w:r>
        <w:t>Entiende la parte recurrente que es evidente que el art. 89.1 LJCA no exige la expresión de las concretas infracciones normativas o jurisprudenciales en el escrito de preparación del recurso, sino una “sucinta exposición de la concurrencia de los requisitos de forma exigidos”. Mientras que el art. 89.2 LJCA nos remite a los supuestos de Sentencias dictadas únicamente por los Tribunales Superiores de Justicia, en los que sí habrá de justificarse además de la concurrencia de los requisitos de forma exigidos la infracción normativa o jurisprudencia.</w:t>
      </w:r>
    </w:p>
    <w:p w:rsidR="0085709A" w:rsidRDefault="0085709A" w:rsidP="0085709A">
      <w:pPr>
        <w:pStyle w:val="TextoNormal"/>
      </w:pPr>
    </w:p>
    <w:p w:rsidR="0085709A" w:rsidRDefault="0085709A" w:rsidP="0085709A">
      <w:pPr>
        <w:pStyle w:val="TextoNormal"/>
      </w:pPr>
      <w:r>
        <w:t>En definitiva, la resolución impugnada en amparo vulnera la tutela judicial efectiva del art. 24.1 CE.</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Mediante Auto de 8 de mayo de 2013, se tuvo por abstenido al Magistrado don Juan José Gonzáles Rivas. La Sala Primera del Tribunal Constitucional acordó por providencia </w:t>
      </w:r>
      <w:r>
        <w:lastRenderedPageBreak/>
        <w:t>de 3 de junio de 2013, la admisión a trámite del recurso de amparo y, de conformidad con el art. 51 de la Ley Orgánica del Tribunal Constitucional (LOTC), requerir atentamente a la Sala de lo Contencioso-Administrativo del Tribunal Supremo para que remitiera testimonio del recurso de casación núm. 4727-2011; asimismo, se acordó requerir a la Sección Tercera de la Sala de lo Contencioso-Administrativo de la Audiencia Nacional para que remitiera testimonio del procedimiento núm. 265-2010 y para que emplazara a quienes fueron parte en dicho procedimiento, con excepción de la parte recurrente en amparo, ya personada.</w:t>
      </w:r>
    </w:p>
    <w:p w:rsidR="0085709A" w:rsidRDefault="0085709A" w:rsidP="0085709A">
      <w:pPr>
        <w:pStyle w:val="TextoNormal"/>
      </w:pPr>
    </w:p>
    <w:p w:rsidR="0085709A" w:rsidRDefault="0085709A" w:rsidP="0085709A">
      <w:pPr>
        <w:pStyle w:val="TextoNormal"/>
      </w:pPr>
      <w:r>
        <w:t>Mediante diligencia de ordenación de 12 de julio de 2013, se tuvieron por recibidas las actuaciones judiciales requeridas y se acordó un plazo común de veinte días para que las partes pudieran alegar lo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5</w:t>
      </w:r>
      <w:r>
        <w:t>. El Abogado del Estado presentó sus alegaciones el 11 de septiembre de 2013, solicitando la desestimación de la demanda de amparo.</w:t>
      </w:r>
    </w:p>
    <w:p w:rsidR="0085709A" w:rsidRDefault="0085709A" w:rsidP="0085709A">
      <w:pPr>
        <w:pStyle w:val="TextoNormal"/>
      </w:pPr>
    </w:p>
    <w:p w:rsidR="0085709A" w:rsidRDefault="0085709A" w:rsidP="0085709A">
      <w:pPr>
        <w:pStyle w:val="TextoNormal"/>
      </w:pPr>
      <w:r>
        <w:t>Expone que en este asunto el Auto impugnado del Tribunal Supremo de 15 de marzo de 2012, inadmite la casación de la actora dando aplicación a la doctrina elaborada por el propio Tribunal Supremo en el Auto de 10 de febrero de 2011, si bien este último no es mencionado en la demanda de amparo. Asimismo debe tenerse en cuenta que el recurso de casación se preparó con posterioridad a la fecha del citado Auto de 10 de febrero de 2011, pues la Sentencia de la Audiencia Nacional, recurrida, es de fecha 14 de julio de 2011. Por ello, constata en cuanto al recurso de casación interpuesto por la recurrente que solicita amparo, no ha habido por parte del Tribunal Supremo aplicación retroactiva de las nuevas exigencias jurisprudenciales sobre la preparación del recurso de casación.</w:t>
      </w:r>
    </w:p>
    <w:p w:rsidR="0085709A" w:rsidRDefault="0085709A" w:rsidP="0085709A">
      <w:pPr>
        <w:pStyle w:val="TextoNormal"/>
      </w:pPr>
    </w:p>
    <w:p w:rsidR="0085709A" w:rsidRDefault="0085709A" w:rsidP="0085709A">
      <w:pPr>
        <w:pStyle w:val="TextoNormal"/>
      </w:pPr>
      <w:r>
        <w:t>En cualquier caso, considera que, a la luz de la doctrina constitucional, el Auto recurrido no viola el derecho de acceso a los recursos garantizado por el art. 24.1 CE. La doctrina constitucional sobre las inadmisiones de recursos de casación en lo contencioso-administrativo por defectos insubsanables del escrito de preparación está compendiada en la STC 230/2001, de 26 de noviembre.</w:t>
      </w:r>
    </w:p>
    <w:p w:rsidR="0085709A" w:rsidRDefault="0085709A" w:rsidP="0085709A">
      <w:pPr>
        <w:pStyle w:val="TextoNormal"/>
      </w:pPr>
    </w:p>
    <w:p w:rsidR="0085709A" w:rsidRDefault="0085709A" w:rsidP="0085709A">
      <w:pPr>
        <w:pStyle w:val="TextoNormal"/>
      </w:pPr>
      <w:r>
        <w:t>Considera que en una visión realista, los “requisitos de forma” del escrito de preparación son los que claramente figuran en la ley, pero no necesariamente sólo y exclusivamente ellos, sino los que el Tribunal de casación pueda añadir al interpretar y aplicar la ley procesal sin desbordar los límites constitucionales, lo que equivale a decir sin arbitrariedad o irrazonabilidad. La exigencia jurisprudencial contenida en el Auto del Tribunal Supremo de 10 de febrero de 2011, cuya doctrina sirve de base al Auto ahora impugnado, es ciertamente discutible en el plano de la mera o simple legalidad, y ha sido objeto de críticas doctrinales nada infundadas, pero no por ello adquiere relevancia constitucional.</w:t>
      </w:r>
    </w:p>
    <w:p w:rsidR="0085709A" w:rsidRDefault="0085709A" w:rsidP="0085709A">
      <w:pPr>
        <w:pStyle w:val="TextoNormal"/>
      </w:pPr>
    </w:p>
    <w:p w:rsidR="0085709A" w:rsidRDefault="0085709A" w:rsidP="0085709A">
      <w:pPr>
        <w:pStyle w:val="TextoNormal"/>
      </w:pPr>
      <w:r>
        <w:t>En conclusión, estima la representación procesal del Estado, que en el presente caso el derecho fundamental de acceso al recurso no se ha visto lesionado.</w:t>
      </w:r>
    </w:p>
    <w:p w:rsidR="0085709A" w:rsidRDefault="0085709A" w:rsidP="0085709A">
      <w:pPr>
        <w:pStyle w:val="TextoNormal"/>
      </w:pPr>
    </w:p>
    <w:p w:rsidR="0085709A" w:rsidRDefault="0085709A" w:rsidP="0085709A">
      <w:pPr>
        <w:pStyle w:val="TextoNormal"/>
      </w:pPr>
      <w:r w:rsidRPr="0085709A">
        <w:rPr>
          <w:rStyle w:val="NumeroAFNegritaCaracter"/>
        </w:rPr>
        <w:t>6</w:t>
      </w:r>
      <w:r>
        <w:t>. El Ministerio Fiscal formuló sus alegaciones el 19 de septiembre de 2013, solicitando la desestimación de la demanda.</w:t>
      </w:r>
    </w:p>
    <w:p w:rsidR="0085709A" w:rsidRDefault="0085709A" w:rsidP="0085709A">
      <w:pPr>
        <w:pStyle w:val="TextoNormal"/>
      </w:pPr>
    </w:p>
    <w:p w:rsidR="0085709A" w:rsidRDefault="0085709A" w:rsidP="0085709A">
      <w:pPr>
        <w:pStyle w:val="TextoNormal"/>
      </w:pPr>
      <w:r>
        <w:t xml:space="preserve">Comienza el Ministerio Fiscal analizando la doctrina del Tribunal Supremo sobre los requisitos que debe cumplir el escrito de preparación del recurso de casación. Dadas las </w:t>
      </w:r>
      <w:r>
        <w:lastRenderedPageBreak/>
        <w:t>fechas del Auto impugnado y el Auto de 10 de febrero de 2011, a través del cual el Tribunal Supremo matizó su doctrina sobre la preparación del recurso de casación, señala que el problema no consiste en determinar si el cambio de criterio jurisprudencia operado por tal Auto ha resultado vulnerador del derecho a la tutela judicial efectiva (art. 24.1 CE) de la parte demandante de amparo, sino si el concreto Auto de inadmisión aquí impugnado o, más específicamente, su concreta motivación, ha producido a dicha parte esa lesión de derechos fundamentales.</w:t>
      </w:r>
    </w:p>
    <w:p w:rsidR="0085709A" w:rsidRDefault="0085709A" w:rsidP="0085709A">
      <w:pPr>
        <w:pStyle w:val="TextoNormal"/>
      </w:pPr>
    </w:p>
    <w:p w:rsidR="0085709A" w:rsidRDefault="0085709A" w:rsidP="0085709A">
      <w:pPr>
        <w:pStyle w:val="TextoNormal"/>
      </w:pPr>
      <w:r>
        <w:t>Tras recordar la doctrina sobre el derecho de acceso a los recursos, en cuanto manifestación del derecho a la tutela judicial efectiva, art. 24.1 CE, considera que tal derecho no ha sido vulnerado en el caso de la demandante de amparo. En efecto: i) el canon del error patente ha de quedar descartado de antemano, pues no se está discutiendo sobre una cuestión fáctica; y ii) del mismo modo ha de descartarse que la resolución judicial principalmente impugnada —el Auto de inadmisión del recurso de casación— incurra en arbitrariedad ni que sea irrazonable, pues es evidente que la decisión de la Sección Primera de la Sala de lo Contencioso-Administrativo del Tribunal Supremo no es “una simple expresión de la voluntad”, sin motivación o fundamento alguno (STC 164/2002, de 17 de septiembre, FJ 4), ni presenta “quiebras lógicas de tal magnitud que las conclusiones alcanzadas no puedan considerarse basadas en ninguna de las razones aducidas” (SSTC 151/2001, de 2 de julio, FJ 5; 164/2002, de 17 de septiembre, FJ 4), ni expresa un razonamiento jurídico que objetivamente no pueda resultar comprensible a “cualquier observador” (STC 222/2003, de 15 de diciembre, FJ 5). Y es que, por discutible que pueda parecer la argumentación que ha conducido a la inadmisión del recurso de casación entablado por la representación procesal de doña María del Pilar Horcajada de Lamo, el hecho cierto es que el Auto dictado por la Sección Primera de la Sala de lo Contencioso-Administrativo del Tribunal Supremo en el recurso de casación número 4727-2011, con fecha 15 de marzo de 2012, por el que se inadmitió el recurso de casación entablado contra la Sentencia dictada por la Sección Tercera de la Sala de lo Contencioso-Administrativo de la Audiencia Nacional, constituye una resolución debidamente motivada y que esa motivación no está incursa ni en error patente, ni en irrazonabilidad, ni en arbitrariedad, sin que sea factible aquí comparar esa su motivación con otras posibles motivaciones recaídas en otras resoluciones de igual naturaleza porque ello no es propio del juicio que ahora ha de hacerse, sino del juicio de igualdad, juicio este último que no ha sido propuesto en esta vía de amparo por la representación procesal de doña María del Pilar Horcajada de Lamo.</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12 de marzo 2015 se señaló para la deliberación y votación de la presente Sentencia el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15 de marzo de 2012, que acordó no admitir a trámite el recurso de casación interpuesto contra la Sentencia de la Sala de lo Contencioso-Administrativo de la Audiencia Nacional de 14 de julio de 2011, recaída en el procedimiento ordinario núm. 265-2012. También impugna la providencia mediante la que se inadmitió a trámite el incidente de nulidad de actuaciones promovido contra el Auto citado.</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la vulneración de su derecho a la tutela judicial efectiva (art. 24.1 CE), en su vertiente de acceso a los recursos, porque el Auto impugnado se funda en un requisito de admisibilidad no exigido por la ley.</w:t>
      </w:r>
    </w:p>
    <w:p w:rsidR="0085709A" w:rsidRDefault="0085709A" w:rsidP="0085709A">
      <w:pPr>
        <w:pStyle w:val="TextoNormal"/>
      </w:pPr>
    </w:p>
    <w:p w:rsidR="0085709A" w:rsidRDefault="0085709A" w:rsidP="0085709A">
      <w:pPr>
        <w:pStyle w:val="TextoNormal"/>
      </w:pPr>
      <w:r w:rsidRPr="0085709A">
        <w:rPr>
          <w:rStyle w:val="NumeroAFNegritaCaracter"/>
        </w:rPr>
        <w:t>2</w:t>
      </w:r>
      <w:r>
        <w:t>. El problema planteado en la demanda de amparo ha sido ya abordado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w:t>
      </w:r>
      <w:r w:rsidRPr="0085709A">
        <w:rPr>
          <w:i/>
        </w:rPr>
        <w:t>Brualla Gómez de la Torre c. España;</w:t>
      </w:r>
      <w:r>
        <w:t xml:space="preserve"> y de 25 enero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mayo 2000; </w:t>
      </w:r>
      <w:r w:rsidRPr="0085709A">
        <w:rPr>
          <w:i/>
        </w:rPr>
        <w:t>Llopis Ruiz c. España,</w:t>
      </w:r>
      <w:r>
        <w:t xml:space="preserve"> de 7 noviembre 2003; e </w:t>
      </w:r>
      <w:r w:rsidRPr="0085709A">
        <w:rPr>
          <w:i/>
        </w:rPr>
        <w:t>Ipamark c. España,</w:t>
      </w:r>
      <w:r>
        <w:t xml:space="preserve">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lastRenderedPageBreak/>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t>En consideración a lo argumentado,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doña María Pilar Horcajada de Lamo.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5" w:name="SENTENCIA_2015_52"/>
      <w:r>
        <w:lastRenderedPageBreak/>
        <w:t>SENTENCIA 52/2015, de 16 de marzo de 2015</w:t>
      </w:r>
    </w:p>
    <w:bookmarkEnd w:id="55"/>
    <w:p w:rsidR="0085709A" w:rsidRDefault="0085709A" w:rsidP="0085709A">
      <w:pPr>
        <w:pStyle w:val="TtuloResolucin"/>
      </w:pPr>
      <w:r>
        <w:t>Sala Primera</w:t>
      </w:r>
    </w:p>
    <w:p w:rsidR="0085709A" w:rsidRDefault="0085709A" w:rsidP="0085709A">
      <w:pPr>
        <w:pStyle w:val="TtuloBOE"/>
      </w:pPr>
      <w:r>
        <w:t>(BOE núm. 98, de 24 de abril de 2015)</w:t>
      </w:r>
    </w:p>
    <w:p w:rsidR="0085709A" w:rsidRDefault="0085709A" w:rsidP="0085709A">
      <w:pPr>
        <w:pStyle w:val="TextoNormalCentrado"/>
      </w:pPr>
      <w:r>
        <w:t>ECLI:ES:TC:2015:52</w:t>
      </w:r>
    </w:p>
    <w:p w:rsidR="0085709A" w:rsidRDefault="0085709A" w:rsidP="0085709A">
      <w:pPr>
        <w:pStyle w:val="TextoNormalCentrado"/>
      </w:pPr>
    </w:p>
    <w:p w:rsidR="0085709A" w:rsidRDefault="0085709A" w:rsidP="0085709A">
      <w:pPr>
        <w:pStyle w:val="SntesisDescriptiva"/>
      </w:pPr>
      <w:r>
        <w:t>Recurso de amparo 3819-2012. Promovido por don José Antonio Joan Bagué en relación con el Auto de la Sala de lo Contencioso-Administrativo del Tribunal Supremo, que inadmitió su recurso de casación frente al Auto de la Audiencia Nacional sobre declaración de responsabilidad en materia tributaria.</w:t>
      </w:r>
    </w:p>
    <w:p w:rsidR="0085709A" w:rsidRDefault="0085709A" w:rsidP="0085709A">
      <w:pPr>
        <w:pStyle w:val="SntesisDescriptiva"/>
      </w:pPr>
    </w:p>
    <w:p w:rsidR="0085709A" w:rsidRDefault="0085709A" w:rsidP="0085709A">
      <w:pPr>
        <w:pStyle w:val="SntesisAnaltica"/>
      </w:pPr>
      <w:r>
        <w:t>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p>
    <w:p w:rsidR="0085709A" w:rsidRDefault="0085709A" w:rsidP="0085709A">
      <w:pPr>
        <w:pStyle w:val="SntesisAnaltica"/>
      </w:pPr>
    </w:p>
    <w:p w:rsidR="0085709A" w:rsidRDefault="0085709A" w:rsidP="0085709A">
      <w:pPr>
        <w:pStyle w:val="Extracto"/>
      </w:pPr>
      <w:r>
        <w:t>1.</w:t>
      </w:r>
      <w:r>
        <w:tab/>
        <w:t>Las invocaciones constitucionales en que se fundamenta este recurso ya han sido objeto de análisis por el Pleno de este Tribunal en la STC 7/2015 [FJ 2].</w:t>
      </w:r>
    </w:p>
    <w:p w:rsidR="0085709A" w:rsidRDefault="0085709A" w:rsidP="0085709A">
      <w:pPr>
        <w:pStyle w:val="Extracto"/>
      </w:pPr>
    </w:p>
    <w:p w:rsidR="0085709A" w:rsidRDefault="0085709A" w:rsidP="0085709A">
      <w:pPr>
        <w:pStyle w:val="Extracto"/>
      </w:pPr>
      <w:r>
        <w:t>2.</w:t>
      </w:r>
      <w:r>
        <w:tab/>
        <w:t>Se descarta la lesión del derecho a la igualdad en la aplicación de la ley, ya que se cumple con los requisitos exigidos por la jurisprudencia constitucional para considerar que el cambio de criterio es acorde con el principio de igualdad por cuanto se caracteriza por su abstracción y generalidad, no constituyendo una solución para un único caso o persona [FJ 2].</w:t>
      </w:r>
    </w:p>
    <w:p w:rsidR="0085709A" w:rsidRDefault="0085709A" w:rsidP="0085709A">
      <w:pPr>
        <w:pStyle w:val="Extracto"/>
      </w:pPr>
    </w:p>
    <w:p w:rsidR="0085709A" w:rsidRDefault="0085709A" w:rsidP="0085709A">
      <w:pPr>
        <w:pStyle w:val="Extracto"/>
      </w:pPr>
      <w:r>
        <w:t>3.</w:t>
      </w:r>
      <w:r>
        <w:tab/>
        <w:t>Se estima la vulneración del derecho a la tutela judicial efectiva, porque la decisión de inadmisión impugnada no tomó en consideración que la exigencia del requisito controvertido no era conocido ni predecible para la parte recurrente en el momento en que se presentó el escrito de preparación; habiéndose intentado además la subsanación del defecto mediante la presentación de un escrito complementario a fin de adecuarse a las nuevas exigencias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3819-2012, promovido por don José Antonio Joan Bagué, representado por el Procurador de los Tribunales don Luis Fernando Granados Bravo y asistido por la Abogada doña Esther Zamarriego Santiago, contra el Auto de la Sección Primera </w:t>
      </w:r>
      <w:r>
        <w:lastRenderedPageBreak/>
        <w:t>de la Sala de lo Contencioso-administrativo del Tribunal Supremo de 2 de febrero de 2012, que declaró la inadmisión del recurso de casación núm. 2989/2011, y contra la providencia de 7 de mayo de 2012 que inadmitió el incidente de nulidad de actuaciones promovido contra aquél. Ha comparecido y formulado alegaciones el Abogado del Estado, en la representación que ostenta, y ha intervenido el Ministerio Fiscal. Ha sido Ponente la Magistrada doña Encarnación Roca Trias,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22 de junio de 2012 tuvo entrada en el Registro General de este Tribunal, escrito presentado por el Procurador de los Tribunales don Luis Fernando Granados Bravo, actuando en nombre y representación de don José Antonio Joan Bagué, y bajo la dirección letrada de la Abogada doña Esther Zamarriego Santiago, mediante el que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en lo que a este recurso de amparo interesa, los siguientes:</w:t>
      </w:r>
    </w:p>
    <w:p w:rsidR="0085709A" w:rsidRDefault="0085709A" w:rsidP="0085709A">
      <w:pPr>
        <w:pStyle w:val="TextoNormal"/>
      </w:pPr>
    </w:p>
    <w:p w:rsidR="0085709A" w:rsidRDefault="0085709A" w:rsidP="0085709A">
      <w:pPr>
        <w:pStyle w:val="TextoNormal"/>
      </w:pPr>
      <w:r>
        <w:t>a) El ahora demandante de amparo, mediante escrito registrado el 8 de marzo de 2011, preparó recurso de casación frente al Auto dictado por la Sala de lo Contencioso-Administrativo de la Audiencia Nacional (Sección Séptima) de fecha 21 de diciembre de 2010, confirmado por otro de 14 de febrero de 2011, aclarado éste último por Auto de 16 de marzo de 2011, dictados en la pieza separada de suspensión del recurso núm. 612-2010, sobre declaración de responsabilidad en materia tributaria.</w:t>
      </w:r>
    </w:p>
    <w:p w:rsidR="0085709A" w:rsidRDefault="0085709A" w:rsidP="0085709A">
      <w:pPr>
        <w:pStyle w:val="TextoNormal"/>
      </w:pPr>
    </w:p>
    <w:p w:rsidR="0085709A" w:rsidRDefault="0085709A" w:rsidP="0085709A">
      <w:pPr>
        <w:pStyle w:val="TextoNormal"/>
      </w:pPr>
      <w:r>
        <w:t>En el citado escrito, el recurrente puso de manifiesto la intención de interponer recurso de casación, la legitimación de la parte recurrente, el cumplimiento del plazo para la presentación del escrito y el carácter recurrible de la resolución impugnada. A ello añadió la precisión de que el recurso iba a fundarse en los motivos previstos en los apartados c) y d) del art. 88.1 de la Ley reguladora de la jurisdicción contencioso-administrativa (LJCA).</w:t>
      </w:r>
    </w:p>
    <w:p w:rsidR="0085709A" w:rsidRDefault="0085709A" w:rsidP="0085709A">
      <w:pPr>
        <w:pStyle w:val="TextoNormal"/>
      </w:pPr>
    </w:p>
    <w:p w:rsidR="0085709A" w:rsidRDefault="0085709A" w:rsidP="0085709A">
      <w:pPr>
        <w:pStyle w:val="TextoNormal"/>
      </w:pPr>
      <w:r>
        <w:t>b) El recurso fue tenido por preparado por Auto de la Sala de lo Contencioso-Administrativo de la Audiencia Nacional de 18 de abril de 2011.</w:t>
      </w:r>
    </w:p>
    <w:p w:rsidR="0085709A" w:rsidRDefault="0085709A" w:rsidP="0085709A">
      <w:pPr>
        <w:pStyle w:val="TextoNormal"/>
      </w:pPr>
    </w:p>
    <w:p w:rsidR="0085709A" w:rsidRDefault="0085709A" w:rsidP="0085709A">
      <w:pPr>
        <w:pStyle w:val="TextoNormal"/>
      </w:pPr>
      <w:r>
        <w:t>c) El 14 de junio de 2011, el demandante de amparo formuló recurso de casación ante el Tribunal Supremo que fue registrado con el núm. 2989-2011. Por diligencia de ordenación de 6 de julio de 2011 se tuvo por presentado el escrito interponiendo recurso de casación y como parte recurrente al hoy demandante de amparo. Asimismo, tras nombrar ponente y remitirse a él las actuaciones para que se instruya y someta a la deliberación de la Sala lo que haya de resolverse sobre la admisibilidad o inadmisibilidad del recurso de casación, se tuvo por personado y parte al Abogado del Estado en concepto de parte recurrida.</w:t>
      </w:r>
    </w:p>
    <w:p w:rsidR="0085709A" w:rsidRDefault="0085709A" w:rsidP="0085709A">
      <w:pPr>
        <w:pStyle w:val="TextoNormal"/>
      </w:pPr>
    </w:p>
    <w:p w:rsidR="0085709A" w:rsidRDefault="0085709A" w:rsidP="0085709A">
      <w:pPr>
        <w:pStyle w:val="TextoNormal"/>
      </w:pPr>
      <w:r>
        <w:t xml:space="preserve">d) El 19 de septiembre de 2011 se dictó providencia por la que Sala Tercera del Tribunal Supremo puso de manifiesto para alegaciones la posible concurrencia de la causa de inadmisión consistente en: “No haberse hecho indicación en el escrito de preparación del recurso de las correspondientes infracciones normativas o jurisprudenciales que se desarrollarán en el escrito de interposición [artículos 88.1, 89.1 y 93.2 a) LJCA]”. En cumplimiento de dicho </w:t>
      </w:r>
      <w:r>
        <w:lastRenderedPageBreak/>
        <w:t>trámite, el Abogado del Estado, en escrito registrado el 27 de septiembre de 2011, manifiesta “no tener nada que alegar, estando al criterio de la Sala sobre el concreto particular”. Por su parte, el 4 de octubre de 2011, el demandante de amparo formalizó escrito en el que defiende la procedencia de la admisión del recurso de casación.</w:t>
      </w:r>
    </w:p>
    <w:p w:rsidR="0085709A" w:rsidRDefault="0085709A" w:rsidP="0085709A">
      <w:pPr>
        <w:pStyle w:val="TextoNormal"/>
      </w:pPr>
    </w:p>
    <w:p w:rsidR="0085709A" w:rsidRDefault="0085709A" w:rsidP="0085709A">
      <w:pPr>
        <w:pStyle w:val="TextoNormal"/>
      </w:pPr>
      <w:r>
        <w:t>e) En la misma fecha de 4 de octubre de 2011, el demandante de amparo presentó escrito ante la Sala de lo Contencioso-Administrativo de la Audiencia Nacional en el que ponía de manifiesto que habiendo tenido conocimiento del Auto dictado por la Sala de lo Contencioso-Administrativo del Tribunal Supremo de 10 de febrero de 2011 (recurso núm. 2927-2010), por el que se modificaba su doctrina relativa a los requisitos exigibles para la preparación del recurso de casación formulado contra sentencias y autos dictados por la Audiencia Nacional, procedía a “adecuar el escrito de preparación a la nueva doctrina mantenida por el Tribunal Supremo en la materia citada”, con la advertencia de que “[d]icha adecuación se realiza, obviamente, para el caso de que dicha doctrina sea mantenida y reiterada por el Alto Tribunal … y considere que la misma resulta de aplicación incluso a los recursos de casación que hayan sido preparados con anterioridad a hacerse público el mencionado Auto”. Termina solicitando que se tuviera por adecuado el escrito de preparación del recurso de casación formulado y, previos los trámites legales que procedan, se remitiese al Tribunal Supremo para su unión al recurso de casación núm. 008-0002989-2011 interpuesto frente a los Autos impugnados.</w:t>
      </w:r>
    </w:p>
    <w:p w:rsidR="0085709A" w:rsidRDefault="0085709A" w:rsidP="0085709A">
      <w:pPr>
        <w:pStyle w:val="TextoNormal"/>
      </w:pPr>
    </w:p>
    <w:p w:rsidR="0085709A" w:rsidRDefault="0085709A" w:rsidP="0085709A">
      <w:pPr>
        <w:pStyle w:val="TextoNormal"/>
      </w:pPr>
      <w:r>
        <w:t>f) Por diligencia de ordenación de la Sala de lo Contencioso-Administrativo de la Audiencia Nacional de 10 de octubre de 2011, se tuvieron por hechas las manifestaciones contenidas en el “escrito de adecuación de recurso de casación” y se ordena su remisión a la Sala Tercera del Tribunal Supremo; lo que se efectuó mediante oficio dictado en la misma fecha. Por su parte, mediante diligencia de ordenación de Sala Tercera del Tribunal Supremo de 27 de octubre 2011, se tuvo por cumplimentado el trámite de alegaciones, así como por recibidos el oficio y el escrito de adecuación del recurso de casación presentado por el recurrente ante la Audiencia Nacional.</w:t>
      </w:r>
    </w:p>
    <w:p w:rsidR="0085709A" w:rsidRDefault="0085709A" w:rsidP="0085709A">
      <w:pPr>
        <w:pStyle w:val="TextoNormal"/>
      </w:pPr>
    </w:p>
    <w:p w:rsidR="0085709A" w:rsidRDefault="0085709A" w:rsidP="0085709A">
      <w:pPr>
        <w:pStyle w:val="TextoNormal"/>
      </w:pPr>
      <w:r>
        <w:t>g) Por Auto de 2 de febrero de 2012, la Sala Tercera del Tribunal Supremo (Sección Primera) declaró la inadmisión del recurso de casación. La Sala se remitió a los AATS de 10 de febrero, 12 de mayo y 16 de junio, todos de 2011, para terminar concluyendo que el recurso es inadmisible por estar defectuosamente preparado al no haber sido anunciados en el escrito de preparación los motivos del art. 88.1 LJCA con las exigencias que en los citados Autos se expresan.</w:t>
      </w:r>
    </w:p>
    <w:p w:rsidR="0085709A" w:rsidRDefault="0085709A" w:rsidP="0085709A">
      <w:pPr>
        <w:pStyle w:val="TextoNormal"/>
      </w:pPr>
    </w:p>
    <w:p w:rsidR="0085709A" w:rsidRDefault="0085709A" w:rsidP="0085709A">
      <w:pPr>
        <w:pStyle w:val="TextoNormal"/>
      </w:pPr>
      <w:r>
        <w:t xml:space="preserve">Tras alcanzar dicha conclusión y considerar que con lo expuesto se ha dado cumplida respuesta a las alegaciones del recurrente, entiende, no obstante, que conviene reiterar “que la doctrina relativa a las exigencias predicables del escrito de preparación del recurso de casación, en lo que atañe a la cita de las infracciones normativas o jurisprudenciales que se pretendan denunciar y desarrollar en el escrito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 En consecuencia, la Sala sostiene, después de hacer referencia a varias Sentencias de este Tribunal, la posibilidad de inadmitir un recurso de casación por un criterio interpretativo posterior al momento </w:t>
      </w:r>
      <w:r>
        <w:lastRenderedPageBreak/>
        <w:t xml:space="preserve">de presentación del escrito de preparación del recurso, acogiéndose al “mínimo efecto retroactivo”. Entiende, en síntesis, que “[e]n caso contrario, quedaría petrificada la nueva interpretación jurisprudencial a aquellos escritos de interposición de recursos que fueron presentados debidamente ante los Tribunales de Justicia a partir del momento del ‘anuncio’ del cambio de criterio, ‘anuncio’ a que no están obligados los órganos jurisdiccionales, tal y como tiene asentada la doctrina constitucional referida”. Asimismo, considera que hay que tener en cuenta que “una resolución judicial que incorpora un cambio de criterio jurisprudencial y cuya eficacia fuese meramente prospectiva sería un mero </w:t>
      </w:r>
      <w:r w:rsidRPr="0085709A">
        <w:rPr>
          <w:i/>
        </w:rPr>
        <w:t>obiter dictum</w:t>
      </w:r>
      <w:r>
        <w:t>, amén de que se frustraría la finalidad del proceso porque la resolución no afectaría a las partes”, y que “[e]l único límite temporal al que se limitan los cambios de criterio jurisprudenciales, de conformidad con la doctrina del Tribunal Constitucional, es a las situaciones jurídicas que gozan de la protección de cosa juzgada”. Añade a lo dicho que “es doctrina reiterada de esta Sala, que la inobservancia de lo preceptuado en el artículo 89.1 LJCA no puede entenderse como un mero efecto subsanable, tal y como pretende la parte recurrente, ya que no se trata de un defecto formal, pues afecta a la sustancia misma del recurso de casación”.</w:t>
      </w:r>
    </w:p>
    <w:p w:rsidR="0085709A" w:rsidRDefault="0085709A" w:rsidP="0085709A">
      <w:pPr>
        <w:pStyle w:val="TextoNormal"/>
      </w:pPr>
    </w:p>
    <w:p w:rsidR="0085709A" w:rsidRDefault="0085709A" w:rsidP="0085709A">
      <w:pPr>
        <w:pStyle w:val="TextoNormal"/>
      </w:pPr>
      <w:r>
        <w:t>h) El 23 de marzo de 2012, el ahora demandante de amparo presentó escrito promoviendo incidente de nulidad de actuaciones en el que, con una muy extensa argumentación, alegó la vulneración de los arts. 14 y 24 CE. En el escrito se alegaba, en resumen, que el Tribunal Supremo había modificado de manera arbitraria y sin motivación, su jurisprudencia sobre los requisitos del escrito de preparación del recurso de casación formulados contra sentencias y autos dictados por la Audiencia Nacional, exigiendo uno no contemplado en la ley y aplicándolo a escritos presentados con anterioridad a la adopción del nuevo criterio con vulneración de la doctrina del Tribunal Constitucional en materia de subsanación de defectos procesales. Aduce también, en relación con la vulneración del art. 14 CE, que con posterioridad al ATS de 10 de febrero de 2011, la misma Sección de la Sala dictó autos contrarios a esta nueva jurisprudencia, retomando el criterio anterior que exigía sólo la mención de los motivos de casación.</w:t>
      </w:r>
    </w:p>
    <w:p w:rsidR="0085709A" w:rsidRDefault="0085709A" w:rsidP="0085709A">
      <w:pPr>
        <w:pStyle w:val="TextoNormal"/>
      </w:pPr>
    </w:p>
    <w:p w:rsidR="0085709A" w:rsidRDefault="0085709A" w:rsidP="0085709A">
      <w:pPr>
        <w:pStyle w:val="TextoNormal"/>
      </w:pPr>
      <w:r>
        <w:t>i) Por providencia de 7 de mayo de 2012 fue inadmitido a trámite el incidente de nulidad de actuaciones promovido contra el Auto anterior. La Sala aprecia que las alegaciones de la parte recurrente “lo que ponen de manifiesto es una discrepancia con la declaración de inadmisión del recurso de casación y con los razonamientos jurídicos que fundan dicho pronunciamiento, utilizando el incidente de nulidad actuaciones como si de un recurso de súplica se tratara, intentando soslayar el obstáculo del art. 93.6 LJCA”. A lo dicho añade que “la invocación del principio constitucional alegado no pueden servir de excusa para soslayar la aplicación de la ley, en este caso, la que establece las reglas para la correcta preparación del recurso de casación”. Por último, señala que la inadmisión del recurso de casación no lesiona el derecho de acceso a los recursos (art. 24.1 CE), pues debe tenerse presente que “no se quebranta dicho derecho porque un proceso contencioso-administrativo quede resuelto en única instancia”.</w:t>
      </w:r>
    </w:p>
    <w:p w:rsidR="0085709A" w:rsidRDefault="0085709A" w:rsidP="0085709A">
      <w:pPr>
        <w:pStyle w:val="TextoNormal"/>
      </w:pPr>
    </w:p>
    <w:p w:rsidR="0085709A" w:rsidRDefault="0085709A" w:rsidP="0085709A">
      <w:pPr>
        <w:pStyle w:val="TextoNormal"/>
      </w:pPr>
      <w:r w:rsidRPr="0085709A">
        <w:rPr>
          <w:rStyle w:val="NumeroAFNegritaCaracter"/>
        </w:rPr>
        <w:t>3</w:t>
      </w:r>
      <w:r>
        <w:t>. El demandante basa su recurso de amparo en la vulneración de sus derechos a la igualdad en la aplicación de la ley (art. 14 CE) y a la tutela judicial efectiva (art. 24.1 CE), en su vertiente de acceso a los recursos.</w:t>
      </w:r>
    </w:p>
    <w:p w:rsidR="0085709A" w:rsidRDefault="0085709A" w:rsidP="0085709A">
      <w:pPr>
        <w:pStyle w:val="TextoNormal"/>
      </w:pPr>
    </w:p>
    <w:p w:rsidR="0085709A" w:rsidRDefault="0085709A" w:rsidP="0085709A">
      <w:pPr>
        <w:pStyle w:val="TextoNormal"/>
      </w:pPr>
      <w:r>
        <w:lastRenderedPageBreak/>
        <w:t>La argumentación del recurrente parte de que la exigencia de la anticipación al trámite de preparación de la cita de los concretos preceptos o la jurisprudencia que se reputan infringidos carece de cobertura legal en la Ley reguladora de la jurisdicción contencioso-administrativa, pues dicho requisito solo se exige en el supuesto concreto del art. 89.2 LJCA, relativo a la impugnación de las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Defiende, por ello, que el ATS de 2 de febrero 2012, objeto del presente recurso amparo, no sólo ha inadmitido el recurso de casación en aplicación de un requisito no contemplado en la ley, sino que dicho requisito ha sido aplicado de forma sorpresiva e inesperada como consecuencia del cambio jurisprudencial acaecido con el ATS de 10 de febrero 2011, que considera arbitrario y no motivado. Añade, además, que el citado Auto no es aplicable a su caso porque resolvió sobre la admisibilidad de un recurso de casación preparado frente a una sentencia de la Audiencia Nacional y no frente a un auto como ahora ocurre.</w:t>
      </w:r>
    </w:p>
    <w:p w:rsidR="0085709A" w:rsidRDefault="0085709A" w:rsidP="0085709A">
      <w:pPr>
        <w:pStyle w:val="TextoNormal"/>
      </w:pPr>
    </w:p>
    <w:p w:rsidR="0085709A" w:rsidRDefault="0085709A" w:rsidP="0085709A">
      <w:pPr>
        <w:pStyle w:val="TextoNormal"/>
      </w:pPr>
      <w:r>
        <w:t>Denuncia, en síntesis, que “habiendo preparado un recurso de casación cumpliendo escrupulosamente con la Ley y, especialmente, con la Jurisprudencia que la interpretaba en aquel momento, ha visto, sin embargo, inadmitido su recurso interpuesto frente a Autos de la Audiencia Nacional por la aplicación de un cambio jurisprudencial posterior, carente de cualquier fundamento legal, no justificado y que, aplicado con carácter retroactivo, ha hecho que, sin género de duda … se haya vulnerado de manera flagrante su derecho a la tutela judicial efectiva en su vertiente de acceso a los recursos (artículo 24 CE), así como su derecho a la igualdad, en su vertiente de igualdad en la aplicación judicial de la Ley (artículo 14 CE)”.</w:t>
      </w:r>
    </w:p>
    <w:p w:rsidR="0085709A" w:rsidRDefault="0085709A" w:rsidP="0085709A">
      <w:pPr>
        <w:pStyle w:val="TextoNormal"/>
      </w:pPr>
    </w:p>
    <w:p w:rsidR="0085709A" w:rsidRDefault="0085709A" w:rsidP="0085709A">
      <w:pPr>
        <w:pStyle w:val="TextoNormal"/>
      </w:pPr>
      <w:r>
        <w:t xml:space="preserve">Ambas quejas son extensamente desarrolladas en la demanda de amparo con amplia cita jurisprudencial tanto del Tribunal Constitucional como del Tribunal Supremo. Respecto de la alegada vulneración del derecho a la igualdad en la aplicación de la ley (art. 14 CE), el demandante de amparo argumenta que el cambio jurisprudencial que lleva a cabo el Auto impugnado supone una flagrante vulneración del citado derecho, pues se presenta como: irrazonado o arbitrario, por no haber justificado los motivos jurídicos que amparan el cambio de criterio; irrazonable, especialmente teniendo en cuenta que se pretende su aplicación con efectos </w:t>
      </w:r>
      <w:r w:rsidRPr="0085709A">
        <w:rPr>
          <w:i/>
        </w:rPr>
        <w:t>ex tunc</w:t>
      </w:r>
      <w:r>
        <w:t xml:space="preserve">; y sin vocación de permanencia, en la medida en que existen autos y sentencias posteriores al ATS de 10 de febrero 2011 en los que no se ha exigido por parte de la Sala Tercera del Tribunal Supremo (Sección Primera), el referido requisito de concretar en el escrito de preparación del recurso de casación interpuesto contra sentencias de la Audiencia Nacional, la norma o jurisprudencia que se considera infringida. Además, defiende que concurren las exigencias constitucionales precisas para fundamentar que se ha producido una efectiva vulneración del derecho de igualdad en aplicación de la ley (art. 14 CE), en cuanto se acredita un </w:t>
      </w:r>
      <w:r w:rsidRPr="0085709A">
        <w:rPr>
          <w:i/>
        </w:rPr>
        <w:t>tertium comparationis</w:t>
      </w:r>
      <w:r>
        <w:t xml:space="preserve"> válido (identidad del órgano judicial que dicta la resolución, identidad fáctica del supuesto a resolver, alteridad y ausencia de motivación para operar el cambio de criterio).</w:t>
      </w:r>
    </w:p>
    <w:p w:rsidR="0085709A" w:rsidRDefault="0085709A" w:rsidP="0085709A">
      <w:pPr>
        <w:pStyle w:val="TextoNormal"/>
      </w:pPr>
    </w:p>
    <w:p w:rsidR="0085709A" w:rsidRDefault="0085709A" w:rsidP="0085709A">
      <w:pPr>
        <w:pStyle w:val="TextoNormal"/>
      </w:pPr>
      <w:r>
        <w:t xml:space="preserve">Por su parte, en relación con la vulneración del derecho a la tutela judicial efectiva (art. 24.1 CE), en su vertiente de acceso al recurso, el recurrente considera que la decisión adoptada por la Sección Primera de la Sala Tercera, carece de cualquier cobertura legal dado que </w:t>
      </w:r>
      <w:r>
        <w:lastRenderedPageBreak/>
        <w:t>no se contiene ni se deduce de la Ley reguladora de la jurisdicción contencioso-administrativa; antes bien, resulta abiertamente contraria a la misma e, incluso, a la jurisprudencia del Tribunal Supremo relativa a los requisitos predicables de los escritos de preparación de recursos de casación, así como a la delimitación del concepto “requisitos de forma” realizada por el Tribunal Constitucional. Añade que la vulneración se produce, igualmente, por la aplicación retroactiva de un nuevo criterio jurisprudencial y por la indefensión que provoca tanto la falta de ofrecimiento para remediarlo como la decisión de no acceder a la subsanación de los defectos de que pudiera adolecer el escrito de preparación en el plazo concedido al efecto, en tanto que se le están exigiendo requisitos que no estaban en vigor al tiempo de presentarse el escrito de preparación, que no están recogidos en la ley y, además, que no habían sido identificados como tales requisitos por la Jurisprudencia del Tribunal Supremo en su consolidada doctrina configuraba a lo largo de más de doce años. A su juicio, la Sala Tercera debió tener en consideración su diligente proceder que demostró al aportar, tras el conocimiento del ATS de 10 de febrero de 2011, el escrito de adecuación a las nuevas exigencias previstas en él.</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3 de junio de 2013, la Sala Primera del Tribunal Constitucional, de conformidad con lo dispuesto en el art. 11.2 de la Ley Orgánica del Tribunal Constitucional (LOTC), acuerda conocer del presente recurso de amparo y admitir a trámite la demanda presentada. Asimismo, en aplicación de lo dispuesto en el art. 51 LOTC, acordó dirigir atenta comunicación a la Sección Primera de la Sala de lo Contencioso-Administrativo del Tribunal Supremo y a la Sección Séptima de la Sala de lo Contencioso-Administrativo de la Audiencia Nacional a fin de que, en el plazo de diez días, remitieran certificación o fotocopia adverada de las actuaciones correspondientes a los recursos núms. 2989-2011 y 612-2010,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El 18 de julio de 2013, el Abogado del Estado presentó escrito ante este Tribunal suplicando que, con la admisión del mismo, en la representación que ostenta, se le tenga por personado y parte en el presente recurso de amparo, señalando que se entiendan con él todos los posteriores trámites del procedimiento.</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Primera de este Tribunal de fecha de 22 de julio 2013, se tuvieron por recibidos los testimonios de las actuaciones remitidos por la Sala Tercera del Tribunal Supremo y por la Sección Séptima de la Sala de lo Contencioso-Administrativo de la Audiencia Nacional, y el escrito del Abogado del Estado a quien se tuvo por personado y parte en representación de la Administración pública. Y,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de 6 de agosto de 2013, el demandante de amparo presentó escrito de alegaciones remitiéndose al escrito de demanda de amparo que dio inicio al presente recurso.</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presentó sus alegaciones mediante escrito registrado el 19 de septiembre de 2013.</w:t>
      </w:r>
    </w:p>
    <w:p w:rsidR="0085709A" w:rsidRDefault="0085709A" w:rsidP="0085709A">
      <w:pPr>
        <w:pStyle w:val="TextoNormal"/>
      </w:pPr>
    </w:p>
    <w:p w:rsidR="0085709A" w:rsidRDefault="0085709A" w:rsidP="0085709A">
      <w:pPr>
        <w:pStyle w:val="TextoNormal"/>
      </w:pPr>
      <w:r>
        <w:t xml:space="preserve">Tras recordar la doctrina constitucional sobre la inadmisión del recurso de casación contencioso-administrativo por defectos insubsanables del escrito de preparación, procede al análisis del art. 89.1 LJCA y, en especial, el contenido de la expresión “los requisitos de forma exigidos”. Estima, al respecto, que si bien desde el plano de la legalidad es muy discutible la nueva exigencia jurisprudencial contenida en el ATS de 10 de febrero de 2011, la misma no puede calificarse ni de arbitraria ni irrazonable. Dicho esto, advierte de que el auténtico problema constitucional que la demanda suscita, y en el que la parte tiene razón, radica en la “aplicación </w:t>
      </w:r>
      <w:r w:rsidRPr="0085709A">
        <w:rPr>
          <w:i/>
        </w:rPr>
        <w:t>retrospectiva</w:t>
      </w:r>
      <w:r>
        <w:t xml:space="preserve"> de las nuevas máximas jurisprudenciales” del citado Auto no conocidas al tiempo de preparación del recurso de casación. Argumenta que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lo cual provoca, no una violación del principio de seguridad jurídica (art. 9.3 CE), que no resulta protegido por el recurso de amparo, sino “una aplicación irrazonable, por contraria a la confianza legítima, de las nuevas máximas jurisprudenciales determinantes de la admisión o inadmisión del recurso de casación, que por ello se traduce en una violación del derecho de acceso al recurso”. Añade, que “[l]a razonabilidad se extiende no sólo la interpretación que se hace de la norma, sino la forma en que esa interpretación se aplica a los supuestos de hecho sujetos a la misma”.</w:t>
      </w:r>
    </w:p>
    <w:p w:rsidR="0085709A" w:rsidRDefault="0085709A" w:rsidP="0085709A">
      <w:pPr>
        <w:pStyle w:val="TextoNormal"/>
      </w:pPr>
    </w:p>
    <w:p w:rsidR="0085709A" w:rsidRDefault="0085709A" w:rsidP="0085709A">
      <w:pPr>
        <w:pStyle w:val="TextoNormal"/>
      </w:pPr>
      <w:r>
        <w:t>Por lo expuesto, el Abogado del Estado muestra su interés en que se dicte una sentencia estimatoria cuya doctrina constitucional sea que “el derecho fundamental de acceso al recurso garantiza a los justiciables que las nuevas máximas jurisprudenciales que imponen más severos requisitos de forma al escrito de preparación del recurso de casación —cuyo incumplimiento puede determinar la inadmisión del recurso— no se aplicarán irrazonablemente contrariando las exigencias mínimas de la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9</w:t>
      </w:r>
      <w:r>
        <w:t>. El Ministerio Fiscal presentó sus alegaciones mediante escrito registrado el 4 de octubre de 2013.</w:t>
      </w:r>
    </w:p>
    <w:p w:rsidR="0085709A" w:rsidRDefault="0085709A" w:rsidP="0085709A">
      <w:pPr>
        <w:pStyle w:val="TextoNormal"/>
      </w:pPr>
    </w:p>
    <w:p w:rsidR="0085709A" w:rsidRDefault="0085709A" w:rsidP="0085709A">
      <w:pPr>
        <w:pStyle w:val="TextoNormal"/>
      </w:pPr>
      <w:r>
        <w:t>Tras referirse a los antecedentes de hecho, el Fiscal inicia su argumentación haciendo referencia a las vulneraciones aducidas por el recurrente y trayendo a colación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w:t>
      </w:r>
    </w:p>
    <w:p w:rsidR="0085709A" w:rsidRDefault="0085709A" w:rsidP="0085709A">
      <w:pPr>
        <w:pStyle w:val="TextoNormal"/>
      </w:pPr>
    </w:p>
    <w:p w:rsidR="0085709A" w:rsidRDefault="0085709A" w:rsidP="0085709A">
      <w:pPr>
        <w:pStyle w:val="TextoNormal"/>
      </w:pPr>
      <w:r>
        <w:t xml:space="preserve">El Fiscal realiza, en primer lugar, una “recapitulación fáctica” de la jurisprudencia del Tribunal Supremo relativa a los requisitos exigibles al escrito de preparación del recurso de casación, que inicia con el ATS 14419/2010, de 14 de octubre (recurso núm. 951-2010). Finalizada ésta, procede al examen de la alegada vulneración del art. 14 CE y señala, una vez afirmado que es evidente la existencia de un cambio de criterio en la Sección Primera de la Sala de lo Contencioso-Administrativo del Tribunal Supremo, que el problema radica en que la exigencia del ATS de 10 de febrero de 2011, relativa a la obligatoriedad de indicar </w:t>
      </w:r>
      <w:r>
        <w:lastRenderedPageBreak/>
        <w:t>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cuando se interponen recursos de casación frente a resoluciones dictadas por la Audiencia Nacional, no ha sido seguida de modo unánime por ésta. Lo que, a su juicio, pone en duda que la solución concretada en el citado Auto tuviera una verdadera voluntad de permanencia por responder a una interpretación abstracta y general de la norma aplicable.</w:t>
      </w:r>
    </w:p>
    <w:p w:rsidR="0085709A" w:rsidRDefault="0085709A" w:rsidP="0085709A">
      <w:pPr>
        <w:pStyle w:val="TextoNormal"/>
      </w:pPr>
    </w:p>
    <w:p w:rsidR="0085709A" w:rsidRDefault="0085709A" w:rsidP="0085709A">
      <w:pPr>
        <w:pStyle w:val="TextoNormal"/>
      </w:pPr>
      <w:r>
        <w:t xml:space="preserve">A efectos de comprobar la existencia de la alegada vulneración del principio de igualdad en aplicación de la ley (art. 14 CE), el Ministerio Fiscal destaca que la parte recurrente ha aportado un término válido de comparación para argumentar la misma: acompaña a su demanda el Auto impugnado en amparo y otros cuatro Autos dictados por la misma Sala y Sección y que siguen un criterio distinto al ATS de 10 de febrero de 2011 [AATS 1932/2011, 17 febrero de 2011 (recurso núm. 4600-2010), 4046/2011, 24 marzo de 2011 (recurso núm. 3896-2010), 3667/2011, 17 marzo 2011 (recurso núm. 6250-2010), y 8516/2011, 16 junio 2011 (recurso núm. 5151-2010)]. También señala que el Auto ahora impugnado no contiene referencia suficiente sobre la circunstancia de que esa misma Sección hubiera dictado previamente, pero vigente ya la doctrina fijada por el ATS de 10 febrero 2011, los citados cuatro Autos en sentido diferente al de aquél, ni tampoco justificación explícita del cambio de criterio producido entre aquéllos y el Auto de que ahora se trata; lo cual, a su juicio, “parece inexcusable”. Por lo expuesto, considera que, en el presente caso, se ha cumplido con la exigencia de la acreditación del </w:t>
      </w:r>
      <w:r w:rsidRPr="0085709A">
        <w:rPr>
          <w:i/>
        </w:rPr>
        <w:t>tertium comparationis</w:t>
      </w:r>
      <w:r>
        <w:t>, así como los requisitos de identidad de órgano judicial, alteridad y ausencia de toda motivación que justifique en términos generalizables el cambio de criterio.</w:t>
      </w:r>
    </w:p>
    <w:p w:rsidR="0085709A" w:rsidRDefault="0085709A" w:rsidP="0085709A">
      <w:pPr>
        <w:pStyle w:val="TextoNormal"/>
      </w:pPr>
    </w:p>
    <w:p w:rsidR="0085709A" w:rsidRDefault="0085709A" w:rsidP="0085709A">
      <w:pPr>
        <w:pStyle w:val="TextoNormal"/>
      </w:pPr>
      <w:r>
        <w:t>Por lo expuesto, el Fiscal interesa que se dicte sentencia por la que se declare que se ha vulnerado el derecho fundamental a la igualdad en la aplicación de la ley (art. 14 CE) del demandante de amparo, y se le restablezca en su derecho y, a tales fines, se acuerde la nulidad del Auto de 2 de febrero de 2012 por el que se inadmitió el recurso de casación, así como la providencia que inadmitió el incidente de nulidad actuaciones formulado contra él, retrotrayendo las actuaciones al momento procesal inmediatamente anterior al dictado del citado Auto para que se dicte una nueva resolución respetuosa con el derecho fundamental que ha de ser reconocido.</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12 de marzo de 2015 se señaló para deliberación y fallo de la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w:t>
      </w:r>
      <w:r>
        <w:lastRenderedPageBreak/>
        <w:t>el momento en que se presentó el escrito de preparación, a pesar de lo cual se intentó su subsanación; y (ii) del derecho a la igualdad en la aplicación de la ley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Las invocaciones constitucionales en que se fundamenta este recurso ya han sido objeto de análisis por el Pleno de este Tribunal en la STC 7/2015, de 22 de enero.</w:t>
      </w:r>
    </w:p>
    <w:p w:rsidR="0085709A" w:rsidRDefault="0085709A" w:rsidP="0085709A">
      <w:pPr>
        <w:pStyle w:val="TextoNormal"/>
      </w:pPr>
    </w:p>
    <w:p w:rsidR="0085709A" w:rsidRDefault="0085709A" w:rsidP="0085709A">
      <w:pPr>
        <w:pStyle w:val="TextoNormal"/>
      </w:pPr>
      <w:r>
        <w:t>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0085709A" w:rsidRDefault="0085709A" w:rsidP="0085709A">
      <w:pPr>
        <w:pStyle w:val="TextoNormal"/>
      </w:pPr>
    </w:p>
    <w:p w:rsidR="0085709A" w:rsidRDefault="0085709A" w:rsidP="0085709A">
      <w:pPr>
        <w:pStyle w:val="TextoNormal"/>
      </w:pPr>
      <w:r>
        <w:t xml:space="preserve">Igualmente, debe descartarle la lesión aducida del derecho a la igualdad en la aplicación de la ley. En el fundamento jurídico 4 de la Sentencia citada, ya se puso de manifestó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y razona explícitamente la alteración doctrinal, que se justifica a partir de la finalidad que debe cumplir el escrito de preparación del recurso de casación.</w:t>
      </w:r>
    </w:p>
    <w:p w:rsidR="0085709A" w:rsidRDefault="0085709A" w:rsidP="0085709A">
      <w:pPr>
        <w:pStyle w:val="TextoNormal"/>
      </w:pPr>
    </w:p>
    <w:p w:rsidR="0085709A" w:rsidRDefault="0085709A" w:rsidP="0085709A">
      <w:pPr>
        <w:pStyle w:val="TextoNormal"/>
      </w:pPr>
      <w:r>
        <w:t>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(FJ 3).</w:t>
      </w:r>
    </w:p>
    <w:p w:rsidR="0085709A" w:rsidRDefault="0085709A" w:rsidP="0085709A">
      <w:pPr>
        <w:pStyle w:val="TextoNormal"/>
      </w:pPr>
    </w:p>
    <w:p w:rsidR="0085709A" w:rsidRDefault="0085709A" w:rsidP="0085709A">
      <w:pPr>
        <w:pStyle w:val="TextoNormal"/>
      </w:pPr>
      <w:r>
        <w:t>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don José Antonio Joan Bagué, y, en su virtud:</w:t>
      </w:r>
    </w:p>
    <w:p w:rsidR="0085709A" w:rsidRDefault="0085709A" w:rsidP="0085709A">
      <w:pPr>
        <w:pStyle w:val="TextoNormal"/>
      </w:pPr>
    </w:p>
    <w:p w:rsidR="0085709A" w:rsidRDefault="0085709A" w:rsidP="0085709A">
      <w:pPr>
        <w:pStyle w:val="TextoNormal"/>
      </w:pPr>
      <w:r>
        <w:t>1º Declarar que ha sido vulnerado el derecho fundamental del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del Auto de 2 de febrero de 2012 y de la providencia de 7 de mayo de 2012, dictados en el recurso de casación núm. 2989-2011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Luis Ignacio Ortega Álvarez y don Juan Antonio Xiol Ríos a la Sentencia dictada en el recurso de amparo núm. 3819-2012.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de esta.</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dieciséis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6" w:name="SENTENCIA_2015_53"/>
      <w:r>
        <w:lastRenderedPageBreak/>
        <w:t>SENTENCIA 53/2015, de 16 de marzo de 2015</w:t>
      </w:r>
    </w:p>
    <w:bookmarkEnd w:id="56"/>
    <w:p w:rsidR="0085709A" w:rsidRDefault="0085709A" w:rsidP="0085709A">
      <w:pPr>
        <w:pStyle w:val="TtuloResolucin"/>
      </w:pPr>
      <w:r>
        <w:t>Sala Primera</w:t>
      </w:r>
    </w:p>
    <w:p w:rsidR="0085709A" w:rsidRDefault="0085709A" w:rsidP="0085709A">
      <w:pPr>
        <w:pStyle w:val="TtuloBOE"/>
      </w:pPr>
      <w:r>
        <w:t>(BOE núm. 98, de 24 de abril de 2015)</w:t>
      </w:r>
    </w:p>
    <w:p w:rsidR="0085709A" w:rsidRDefault="0085709A" w:rsidP="0085709A">
      <w:pPr>
        <w:pStyle w:val="TextoNormalCentrado"/>
      </w:pPr>
      <w:r>
        <w:t>ECLI:ES:TC:2015:53</w:t>
      </w:r>
    </w:p>
    <w:p w:rsidR="0085709A" w:rsidRDefault="0085709A" w:rsidP="0085709A">
      <w:pPr>
        <w:pStyle w:val="TextoNormalCentrado"/>
      </w:pPr>
    </w:p>
    <w:p w:rsidR="0085709A" w:rsidRDefault="0085709A" w:rsidP="0085709A">
      <w:pPr>
        <w:pStyle w:val="SntesisDescriptiva"/>
      </w:pPr>
      <w:r>
        <w:t>Recurso de amparo 6372-2012. Promovido por doña María Gil Sanjuán en relación con el Auto de la Sala de lo Contencioso-Administrativo del Tribunal Supremo, que inadmitió su recurso de casación frente a la Sentencia de la Audiencia Nacional sobre deslinde de costas.</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concedió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6372-2012, promovido por doña María Gil Sanjuán, representada por el Procurador de los Tribunales don Jorge Deleito García y defendida por el Letrado don Antonio García Montes, contra el Auto de la Sección Primera de la Sala de lo Contencioso-Administrativo del Tribunal Supremo, de 9 de febrero de 2012, por el que se inadmite el recurso de casación núm. 6918/2010, deducido contra la sentencia de la Sala de lo Contencioso-Administrativo de la Audiencia Nacional de 8 de octubre de 2010, así como </w:t>
      </w:r>
      <w:r>
        <w:lastRenderedPageBreak/>
        <w:t>contra el Auto de la misma Sala y Sección, de 13 de septiembre de 2012, por el que se desestima el incidente de nulidad promovido contra aquel Auto. Ha intervenido el Abogado del Estado, así como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13 de noviembre de 2012, el Procurador de los Tribunales don Jorge Deleito García, en nombre y representación de doña María Gil Sanjuán, formuló demanda de amparo contra las resoluciones judiciales reseñadas en el encabezamiento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relevantes para la resolución del presente recurso de amparo son, sucintamente expuestos, los siguientes:</w:t>
      </w:r>
    </w:p>
    <w:p w:rsidR="0085709A" w:rsidRDefault="0085709A" w:rsidP="0085709A">
      <w:pPr>
        <w:pStyle w:val="TextoNormal"/>
      </w:pPr>
    </w:p>
    <w:p w:rsidR="0085709A" w:rsidRDefault="0085709A" w:rsidP="0085709A">
      <w:pPr>
        <w:pStyle w:val="TextoNormal"/>
      </w:pPr>
      <w:r>
        <w:t>a) La Sección Primera de la Sala de lo Contencioso-Administrativo de la Audiencia Nacional, dictó Sentencia de 8 de octubre de 2010 en el procedimiento ordinario núm. 606-2007, por la que desestimó el recurso deducido por la demandante de amparo contra la Orden del Ministerio de Medio Ambiente de 27 de septiembre de 2007, por la que se aprueba el deslinde de los bienes de dominio público marítimo-terrestre del tramo de costa de unos 3.487 metros de longitud, que comprende desde el extremo oriental de la playa del Cabezo del Mojón hasta el extremo occidental de la playa de la Calera, en el término municipal de Cartagena (Murcia).</w:t>
      </w:r>
    </w:p>
    <w:p w:rsidR="0085709A" w:rsidRDefault="0085709A" w:rsidP="0085709A">
      <w:pPr>
        <w:pStyle w:val="TextoNormal"/>
      </w:pPr>
    </w:p>
    <w:p w:rsidR="0085709A" w:rsidRDefault="0085709A" w:rsidP="0085709A">
      <w:pPr>
        <w:pStyle w:val="TextoNormal"/>
      </w:pPr>
      <w:r>
        <w:t>b) Contra la anterior Sentencia preparó recurso de casación la ahora demandante de amparo, que lo hizo mediante escrito registrado en la Audiencia Nacional el 4 de noviembre de 2010. En él, puso de manifiesto la intención de interponer recurso de casación, el carácter recurrible de la resolución impugnada, la condición de la recurrente como parte en el juicio de que trae causa, y el cumplimiento del plazo para la presentación del escrito; a ello añadió la precisión de que el recurso iba a fundarse en los motivos c) y d) del art. 88.1 de la Ley reguladora de la jurisdicción contencioso-administrativa (LJCA). El recurso fue tenido por preparado por diligencia de ordenación de la Sala de lo Contencioso-Administrativo de la Audiencia Nacional de 11 de noviembre de 2010.</w:t>
      </w:r>
    </w:p>
    <w:p w:rsidR="0085709A" w:rsidRDefault="0085709A" w:rsidP="0085709A">
      <w:pPr>
        <w:pStyle w:val="TextoNormal"/>
      </w:pPr>
    </w:p>
    <w:p w:rsidR="0085709A" w:rsidRDefault="0085709A" w:rsidP="0085709A">
      <w:pPr>
        <w:pStyle w:val="TextoNormal"/>
      </w:pPr>
      <w:r>
        <w:t>c) Mediante escrito presentado en el Registro General del Tribunal Supremo el día 4 de enero de 2011, la demandante de amparo formalizó el escrito de interposición del recurso de casación. Por diligencia de ordenación de 10 de enero de 2011, la Sala Tercera del Tribunal Supremo tuvo por presentado dicho escrito.</w:t>
      </w:r>
    </w:p>
    <w:p w:rsidR="0085709A" w:rsidRDefault="0085709A" w:rsidP="0085709A">
      <w:pPr>
        <w:pStyle w:val="TextoNormal"/>
      </w:pPr>
    </w:p>
    <w:p w:rsidR="0085709A" w:rsidRDefault="0085709A" w:rsidP="0085709A">
      <w:pPr>
        <w:pStyle w:val="TextoNormal"/>
      </w:pPr>
      <w:r>
        <w:t xml:space="preserve">d) Por providencia de 28 de octubre de 2011, el órgano judicial acordó poner de manifiesto a las partes, para alegaciones por plazo común de diez días, la posible causa de inadmisión del recurso consistente en “[N]o haberse hecho indicación en el escrito de preparación del recurso de los motivos de casación y las correspondientes infracciones normativas o jurisprudenciales que se desarrollarán en el escrito de interposición (artículo 88.1, 89.1 y 93.2.a) de la Ley Jurisdiccional) en este sentido, Auto de 10 de febrero de 2011 inadmitiendo </w:t>
      </w:r>
      <w:r>
        <w:lastRenderedPageBreak/>
        <w:t>el RC 2927/10”. Cumpliendo el trámite conferido, el Abogado del Estado solicitó se declarara la inadmisión por la causa indicada, y por su parte, la demandante de amparo interesó la admisión del recurso de casación interpuesto.</w:t>
      </w:r>
    </w:p>
    <w:p w:rsidR="0085709A" w:rsidRDefault="0085709A" w:rsidP="0085709A">
      <w:pPr>
        <w:pStyle w:val="TextoNormal"/>
      </w:pPr>
    </w:p>
    <w:p w:rsidR="0085709A" w:rsidRDefault="0085709A" w:rsidP="0085709A">
      <w:pPr>
        <w:pStyle w:val="TextoNormal"/>
      </w:pPr>
      <w:r>
        <w:t>e) Seguidamente, el Tribunal Supremo dictó el Auto de 9 de febrero de 2012 frente al que se demanda amparo, por el que inadmitió el recurso de casación deducido por la demandante. Entre otras consideraciones, expuso el siguiente razonamiento:</w:t>
      </w:r>
    </w:p>
    <w:p w:rsidR="0085709A" w:rsidRDefault="0085709A" w:rsidP="0085709A">
      <w:pPr>
        <w:pStyle w:val="TextoNormal"/>
      </w:pPr>
    </w:p>
    <w:p w:rsidR="0085709A" w:rsidRDefault="0085709A" w:rsidP="0085709A">
      <w:pPr>
        <w:pStyle w:val="TextoNormal"/>
      </w:pPr>
      <w:r>
        <w:t>“SEGUNDO.- Este recurso de casación es inadmisible, por su defectuosa preparación.</w:t>
      </w:r>
    </w:p>
    <w:p w:rsidR="0085709A" w:rsidRDefault="0085709A" w:rsidP="0085709A">
      <w:pPr>
        <w:pStyle w:val="TextoNormal"/>
      </w:pPr>
    </w:p>
    <w:p w:rsidR="0085709A" w:rsidRDefault="0085709A" w:rsidP="0085709A">
      <w:pPr>
        <w:pStyle w:val="TextoNormal"/>
      </w:pPr>
      <w:r>
        <w:t xml:space="preserve">En efecto, como ha señalado esta Sala en numerosas resoluciones, cuando el artículo 89.1 de la Ley Jurisdiccional 29/1998 establece que el escrito de preparación debe contener una sucinta exposición de los requisitos de forma exigidos, se está refiriendo a los requisitos expresados en los artículos anteriores, y entre ellos figura de forma primordial la tajante regla procesal del artículo 88.1, que exige que el recurso se funde, exclusivamente, en alguno o algunos de los cuatro motivos que ahí se perfilan; de manera que es carga del recurrente en casación indicar ya en la fase de preparación el concreto o concretos motivos en que se fundará el recurso,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Si así no se exigiera, es decir, si se estimara innecesario anticipar el motivo o motivos al que se acogerá el escrito de interposición, en los términos expresados, el trámite de preparación quedaría privado de su sentido y finalidad característicos, desde el momento que el Tribunal </w:t>
      </w:r>
      <w:r w:rsidRPr="0085709A">
        <w:rPr>
          <w:i/>
        </w:rPr>
        <w:t>a quo</w:t>
      </w:r>
      <w:r>
        <w:t xml:space="preserve"> quedaría desprovisto de elementos de juicio para verificar que el recurso de casación cumple el más primario requisito de procedibilidad, cual es que se funda formalmente en uno de esos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w:t>
      </w:r>
    </w:p>
    <w:p w:rsidR="0085709A" w:rsidRDefault="0085709A" w:rsidP="0085709A">
      <w:pPr>
        <w:pStyle w:val="TextoNormal"/>
      </w:pPr>
    </w:p>
    <w:p w:rsidR="0085709A" w:rsidRDefault="0085709A" w:rsidP="0085709A">
      <w:pPr>
        <w:pStyle w:val="TextoNormal"/>
      </w:pPr>
      <w:r>
        <w:t>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88.1 que se utilice, doctrina que ha venido siendo recogida por esta Sala Tercera del Tribunal Supremo en numerosos pronunciamientos, del que es fiel exponente el ya citado Auto de 10 de febrero de 2011 (RC 2927/2010 ), seguido de otros posteriores, entre los que puede citarse el Auto de 26 de mayo de 2011 (RC 7033/2010)”.</w:t>
      </w:r>
    </w:p>
    <w:p w:rsidR="0085709A" w:rsidRDefault="0085709A" w:rsidP="0085709A">
      <w:pPr>
        <w:pStyle w:val="TextoNormal"/>
      </w:pPr>
    </w:p>
    <w:p w:rsidR="0085709A" w:rsidRDefault="0085709A" w:rsidP="0085709A">
      <w:pPr>
        <w:pStyle w:val="TextoNormal"/>
      </w:pPr>
      <w:r>
        <w:t>En aplicación de esta doctrina, y tras señalar que la recurrente se había limitado a anunciar en el escrito de preparación del recurso de casación que su interposición se ampararía en los motivos contemplados en los subapartados c) y d) del art. 88.1 LJCA, sin hacer indicación de los preceptos o jurisprudencia que se reputan infringidos o del contenido de las infracciones normativas o jurisprudenciales que se pretendan denunciar y desarrollar en el escrito de interposición, el Auto concluye que procedía la inadmisión del citado recurso de casación. Según precisa, a esta conclusión no obsta la alegación de la recurrente de que la inadmisión del recurso implicaría una vulneración de su derecho a la tutela judicial efectiva (art. 24.1 CE), pues el derecho a los recursos es de configuración legal, siendo preceptivo observar los requisitos legales que condicionan el acceso al mismo.</w:t>
      </w:r>
    </w:p>
    <w:p w:rsidR="0085709A" w:rsidRDefault="0085709A" w:rsidP="0085709A">
      <w:pPr>
        <w:pStyle w:val="TextoNormal"/>
      </w:pPr>
    </w:p>
    <w:p w:rsidR="0085709A" w:rsidRDefault="0085709A" w:rsidP="0085709A">
      <w:pPr>
        <w:pStyle w:val="TextoNormal"/>
      </w:pPr>
      <w:r>
        <w:t>f) Mediante escrito registrado el 11 de abril de 2012, la demandante de amparo dedujo incidente de nulidad de actuaciones, en el que argumentó que la inadmisión del recurso de casación provocaba la vulneración de su derecho a la tutela judicial efectiva (art. 24 CE), en relación con los arts. 9 y 117 CE y el art. 6.1 del Convenio de Roma para la protección de los derechos humanos y libertades públicas (sic), que también consideraba infringidos. A tal efecto razonó que la defectuosa preparación imputada venía referida a un requisito limitativo del acceso al recurso que no está previsto por el legislador y que deriva de una interpretación judicial contraria a la literalidad y finalidad expresas de la norma, procediéndose a su aplicación sin posibilidad de subsanación y con efecto retroactivo sobre actos realizados bajo un criterio interpretativo distinto.</w:t>
      </w:r>
    </w:p>
    <w:p w:rsidR="0085709A" w:rsidRDefault="0085709A" w:rsidP="0085709A">
      <w:pPr>
        <w:pStyle w:val="TextoNormal"/>
      </w:pPr>
    </w:p>
    <w:p w:rsidR="0085709A" w:rsidRDefault="0085709A" w:rsidP="0085709A">
      <w:pPr>
        <w:pStyle w:val="TextoNormal"/>
      </w:pPr>
      <w:r>
        <w:t>g) Mediante Auto de 13 de septiembre de 2012, frente al que también se demanda amparo, se acordó desestimar el incidente de nulidad promovido por la demandante. Entre otras consideraciones, el Auto fundamentó su respuesta en los siguientes razonamientos.</w:t>
      </w:r>
    </w:p>
    <w:p w:rsidR="0085709A" w:rsidRDefault="0085709A" w:rsidP="0085709A">
      <w:pPr>
        <w:pStyle w:val="TextoNormal"/>
      </w:pPr>
    </w:p>
    <w:p w:rsidR="0085709A" w:rsidRDefault="0085709A" w:rsidP="0085709A">
      <w:pPr>
        <w:pStyle w:val="TextoNormal"/>
      </w:pPr>
      <w:r>
        <w:t>“…conviene ahora insistir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0085709A" w:rsidRDefault="0085709A" w:rsidP="0085709A">
      <w:pPr>
        <w:pStyle w:val="TextoNormal"/>
      </w:pPr>
    </w:p>
    <w:p w:rsidR="0085709A" w:rsidRDefault="0085709A" w:rsidP="0085709A">
      <w:pPr>
        <w:pStyle w:val="TextoNormal"/>
      </w:pPr>
      <w:r>
        <w:t>Ciertamente, la doctrina reiterada por esta Sala desde el Auto de 10 de febrero de 2011 (rec. 2927/2010) incorpora nuevas exigencias al escrito de preparación del recurso de casación, respecto de las comprendidas en los criterios expuestos sistemáticamente en precedentes de la Sala, tal y como se ha declarado en los razonamientos del Auto cuya nulidad se insta, culminando así la evolución jurisprudencial que ya apuntaba el Auto de esta Sala de 14 de octubre de 2010 -recurso núm. 951/2010-. 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y la consecuencia de una diferente concepción jurídica igualmente razonable y fundada en Derecho de los supuestos sometidos a su decisión.</w:t>
      </w:r>
    </w:p>
    <w:p w:rsidR="0085709A" w:rsidRDefault="0085709A" w:rsidP="0085709A">
      <w:pPr>
        <w:pStyle w:val="TextoNormal"/>
      </w:pPr>
    </w:p>
    <w:p w:rsidR="0085709A" w:rsidRDefault="0085709A" w:rsidP="0085709A">
      <w:pPr>
        <w:pStyle w:val="TextoNormal"/>
      </w:pPr>
      <w:r>
        <w:t xml:space="preserve">CUARTO.- El Tribunal Constitucional viene entendiendo (entre otras, STC 76/2005, de 4 de abril, recurso de amparo número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número 6.002 /2002). En definitiva, lo que </w:t>
      </w:r>
      <w:r>
        <w:lastRenderedPageBreak/>
        <w:t>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(por todas, STC 176/2000, de 26 de junio, recurso de amparo número 6.604 /1997).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numero 5.552/1997 y STS de 22 de diciembre de 2003, recurso de casación numero 5.455/1998.</w:t>
      </w:r>
    </w:p>
    <w:p w:rsidR="0085709A" w:rsidRDefault="0085709A" w:rsidP="0085709A">
      <w:pPr>
        <w:pStyle w:val="TextoNormal"/>
      </w:pPr>
    </w:p>
    <w:p w:rsidR="0085709A" w:rsidRDefault="0085709A" w:rsidP="0085709A">
      <w:pPr>
        <w:pStyle w:val="TextoNormal"/>
      </w:pPr>
      <w:r>
        <w:t>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obiter dictum, amén de que se frustraría la finalidad del proceso porque la resolución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w:t>
      </w:r>
    </w:p>
    <w:p w:rsidR="0085709A" w:rsidRDefault="0085709A" w:rsidP="0085709A">
      <w:pPr>
        <w:pStyle w:val="TextoNormal"/>
      </w:pPr>
    </w:p>
    <w:p w:rsidR="0085709A" w:rsidRDefault="0085709A" w:rsidP="0085709A">
      <w:pPr>
        <w:pStyle w:val="TextoNormal"/>
      </w:pPr>
      <w:r>
        <w:t>En este sentido, la doctrina expuesta no es contraria a los principios constitucionales que deben regir el proceso y, en concreto, con el artículo 24.1 CE , pues conviene recordar que, según el Tribunal Constitucional, el derecho a la tutela judicial efectiva es "un derecho prestacional de configuración legal" cuyo ejercicio y prestación "están supeditados a la concurrencia de los presupuestos y requisitos que en cada caso, haya establecido el legislador", de tal modo que ese derecho "también se satisface con la obtención de una resolución de inadmisión, que impide entrar en el fondo de la cuestión planteada, si esta decisión se funda en la existencia de una causa legal que así lo justifique" (Sentencia 26/2003, de 10 de febrero , y las que en ella se citan), siendo esto último lo que aquí ocurre, debiendo tenerse presente, además, que resulta doctrina reiterada de esta Sala la de que no se quebranta dicho derecho porque un proceso contencioso-administrativo quede resuelto en única instancia (por todos, AATS de 10 de enero de 2008 -recurso de casación 4884/2006 - y de 14 de julio de 2011 -recurso de queja 26/2011-).</w:t>
      </w:r>
    </w:p>
    <w:p w:rsidR="0085709A" w:rsidRDefault="0085709A" w:rsidP="0085709A">
      <w:pPr>
        <w:pStyle w:val="TextoNormal"/>
      </w:pPr>
    </w:p>
    <w:p w:rsidR="0085709A" w:rsidRDefault="0085709A" w:rsidP="0085709A">
      <w:pPr>
        <w:pStyle w:val="TextoNormal"/>
      </w:pPr>
      <w:r>
        <w:t xml:space="preserve">[…] QUINTO.- Además, la inadmisión del recurso de casación, no lesiona el derecho de acceso a los recursos, que se integra en el contenido del derecho fundamental a la tutela judicial efectiva consagrado en el artículo 24 de la Constitución porque, como observa el Tribunal Constitucional en las Sentencias 105/2006, de 3 de abril, 265/2006, de 11 de septiembre, 22/2007, de 12 de febrero, 246/2007, de 10 de diciembre y 27/2009 de 26 de enero, el derecho a la revisión de las resoluciones judiciales, dejando a salvo el ámbito del orden jurisdiccional penal, en que se garantiza el derecho a la doble instancia, es un derecho de </w:t>
      </w:r>
      <w:r>
        <w:lastRenderedPageBreak/>
        <w:t xml:space="preserve">configuración legal en el que no resulta aplicable con la misma intensidad el principio </w:t>
      </w:r>
      <w:r w:rsidRPr="0085709A">
        <w:rPr>
          <w:i/>
        </w:rPr>
        <w:t>pro actione</w:t>
      </w:r>
      <w:r>
        <w:t>, por lo que la inadmisión de los recursos de forma motivada, en base a la aplicación de una causa legal y la interpretación de las normas procesales que las regulan, constituye una función jurisdiccional de exclusiva competencia de los Jueces y Tribunales, que sólo transciende al plano constitucional cuando el Tribunal incurra en error patente, arbitrariedad o en manifiesta irracionalidad.</w:t>
      </w:r>
    </w:p>
    <w:p w:rsidR="0085709A" w:rsidRDefault="0085709A" w:rsidP="0085709A">
      <w:pPr>
        <w:pStyle w:val="TextoNormal"/>
      </w:pPr>
    </w:p>
    <w:p w:rsidR="0085709A" w:rsidRDefault="0085709A" w:rsidP="0085709A">
      <w:pPr>
        <w:pStyle w:val="TextoNormal"/>
      </w:pPr>
      <w:r>
        <w:t xml:space="preserve">La declaración de inadmisibilidad tampoco contradice el derecho a un proceso equitativo, que garantiza el artículo 6.1 del Convenio Europeo de Derechos Humanos, que constituye para los órganos judiciales una fuente interpretativa prevalente del derecho a la tutela judicial efectiva de conformidad con el artículo 10.2 de la Constitución, ya que no se interpreta de forma rigorista el artículo 86 LJCA, al respetarse el principio de proporcionalidad entre las limitaciones impuestas al derecho de acceso a un tribunal para que examine el recurso y las consecuencias de su aplicación. (Sentencias del Tribunal Europeo de Derechos Humanos de 9 de noviembre de 2004 [Caso </w:t>
      </w:r>
      <w:r w:rsidRPr="0085709A">
        <w:rPr>
          <w:i/>
        </w:rPr>
        <w:t>Sáez Maeso</w:t>
      </w:r>
      <w:r>
        <w:t xml:space="preserve">] y de 7 de junio de 2007 [Caso </w:t>
      </w:r>
      <w:r w:rsidRPr="0085709A">
        <w:rPr>
          <w:i/>
        </w:rPr>
        <w:t>Salt Hiper</w:t>
      </w:r>
      <w:r>
        <w:t>]).”</w:t>
      </w:r>
    </w:p>
    <w:p w:rsidR="0085709A" w:rsidRDefault="0085709A" w:rsidP="0085709A">
      <w:pPr>
        <w:pStyle w:val="TextoNormal"/>
      </w:pPr>
    </w:p>
    <w:p w:rsidR="0085709A" w:rsidRDefault="0085709A" w:rsidP="0085709A">
      <w:pPr>
        <w:pStyle w:val="TextoNormal"/>
      </w:pPr>
      <w:r w:rsidRPr="0085709A">
        <w:rPr>
          <w:rStyle w:val="NumeroAFNegritaCaracter"/>
        </w:rPr>
        <w:t>3</w:t>
      </w:r>
      <w:r>
        <w:t>. Para la resolución del presente recurso de amparo ha de tenerse igualmente presente lo siguiente:</w:t>
      </w:r>
    </w:p>
    <w:p w:rsidR="0085709A" w:rsidRDefault="0085709A" w:rsidP="0085709A">
      <w:pPr>
        <w:pStyle w:val="TextoNormal"/>
      </w:pPr>
    </w:p>
    <w:p w:rsidR="0085709A" w:rsidRDefault="0085709A" w:rsidP="0085709A">
      <w:pPr>
        <w:pStyle w:val="TextoNormal"/>
      </w:pPr>
      <w:r>
        <w:t>a) El artículo 89.1 LJCA dispone que en el escrito de preparación del recurso de casación deberá manifestarse “la intención de interponer el recurso, con sucinta exposición de la concurrencia de los requisitos de forma exigidos”. El artículo 89.2 LJCA dispone que “en el supuesto previsto en el artículo 86.4 [sentencias dictadas por las salas de lo contencioso-administrativo de los Tribunales Superiores de Justicia, contra las que solo cabe recurso si este puede fundarse en infracción de normas de Derecho estatal o comunitario europeo], habrá de justificarse que la infracción de una norma estatal o comunitaria europea ha sido relevante y determinante del fallo de la sentencia”.</w:t>
      </w:r>
    </w:p>
    <w:p w:rsidR="0085709A" w:rsidRDefault="0085709A" w:rsidP="0085709A">
      <w:pPr>
        <w:pStyle w:val="TextoNormal"/>
      </w:pPr>
    </w:p>
    <w:p w:rsidR="0085709A" w:rsidRDefault="0085709A" w:rsidP="0085709A">
      <w:pPr>
        <w:pStyle w:val="TextoNormal"/>
      </w:pPr>
      <w:r>
        <w:t>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0085709A" w:rsidRDefault="0085709A" w:rsidP="0085709A">
      <w:pPr>
        <w:pStyle w:val="TextoNormal"/>
      </w:pPr>
    </w:p>
    <w:p w:rsidR="0085709A" w:rsidRDefault="0085709A" w:rsidP="0085709A">
      <w:pPr>
        <w:pStyle w:val="TextoNormal"/>
      </w:pPr>
      <w:r>
        <w:t xml:space="preserve">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w:t>
      </w:r>
      <w:r>
        <w:lastRenderedPageBreak/>
        <w:t>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0085709A" w:rsidRDefault="0085709A" w:rsidP="0085709A">
      <w:pPr>
        <w:pStyle w:val="TextoNormal"/>
      </w:pPr>
    </w:p>
    <w:p w:rsidR="0085709A" w:rsidRDefault="0085709A" w:rsidP="0085709A">
      <w:pPr>
        <w:pStyle w:val="TextoNormal"/>
      </w:pPr>
      <w:r>
        <w:t>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artículo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de 2010, FJ 6).</w:t>
      </w:r>
    </w:p>
    <w:p w:rsidR="0085709A" w:rsidRDefault="0085709A" w:rsidP="0085709A">
      <w:pPr>
        <w:pStyle w:val="TextoNormal"/>
      </w:pPr>
    </w:p>
    <w:p w:rsidR="0085709A" w:rsidRDefault="0085709A" w:rsidP="0085709A">
      <w:pPr>
        <w:pStyle w:val="TextoNormal"/>
      </w:pPr>
      <w:r>
        <w:t>e) El ATS de 10 de febrero de 2011 (recurso de casación 2927-2010), también de la Sección Primera de la Sala de lo Contencioso-Administrativo, a la que corresponde por reparto decidir sobre la admisibilidad de los recursos de casación, dictado asimismo con la finalidad de “clarificar” la doctrina jurisprudencial, especificó que el escrito de preparación, con carácter general, debe contener no solo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añadiendo que tal exigencia “existe tanto cuando la resolución impugnada procede de los Tribunales Superiores de Justicia como de la Audiencia Nacional y cualquiera que sea el motivo del artículo 88.1 que se utilice” (FJ 4).</w:t>
      </w:r>
    </w:p>
    <w:p w:rsidR="0085709A" w:rsidRDefault="0085709A" w:rsidP="0085709A">
      <w:pPr>
        <w:pStyle w:val="TextoNormal"/>
      </w:pPr>
    </w:p>
    <w:p w:rsidR="0085709A" w:rsidRDefault="0085709A" w:rsidP="0085709A">
      <w:pPr>
        <w:pStyle w:val="TextoNormal"/>
      </w:pPr>
      <w:r>
        <w:t xml:space="preserve">El citado Auto expone las razones por las cuales se introdujo esta especificación. En concreto señala que si así no se exigiera, el trámite de preparación quedaría privado de su sentido y finalidad, dado que “el tribunal </w:t>
      </w:r>
      <w:r w:rsidRPr="0085709A">
        <w:rPr>
          <w:i/>
        </w:rPr>
        <w:t>a quo</w:t>
      </w:r>
      <w:r>
        <w:t xml:space="preserve">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(FJ 4)</w:t>
      </w:r>
    </w:p>
    <w:p w:rsidR="0085709A" w:rsidRDefault="0085709A" w:rsidP="0085709A">
      <w:pPr>
        <w:pStyle w:val="TextoNormal"/>
      </w:pPr>
    </w:p>
    <w:p w:rsidR="0085709A" w:rsidRDefault="0085709A" w:rsidP="0085709A">
      <w:pPr>
        <w:pStyle w:val="TextoNormal"/>
      </w:pPr>
      <w:r w:rsidRPr="0085709A">
        <w:rPr>
          <w:rStyle w:val="NumeroAFNegritaCaracter"/>
        </w:rPr>
        <w:t>4</w:t>
      </w:r>
      <w:r>
        <w:t>. Con apoyo en la argumentación que a continuación se expone de manera sintetizada, la recurrente reprocha a los Autos frente a los que se demanda amparo la vulneración del derecho a la tutela judicial efectiva sin indefensión (art. 24 CE), en su dimensión de acceso a los recursos.</w:t>
      </w:r>
    </w:p>
    <w:p w:rsidR="0085709A" w:rsidRDefault="0085709A" w:rsidP="0085709A">
      <w:pPr>
        <w:pStyle w:val="TextoNormal"/>
      </w:pPr>
    </w:p>
    <w:p w:rsidR="0085709A" w:rsidRDefault="0085709A" w:rsidP="0085709A">
      <w:pPr>
        <w:pStyle w:val="TextoNormal"/>
      </w:pPr>
      <w:r>
        <w:t xml:space="preserve">Al inicio de su demanda pone de relieve que el escrito de preparación del recurso de casación presentado en el caso cumplía con lo exigido por el art. 89 LJCA y por la doctrina de la Sala imperante en aquel momento, que por entonces no requería la expresión de las </w:t>
      </w:r>
      <w:r>
        <w:lastRenderedPageBreak/>
        <w:t xml:space="preserve">normas y jurisprudencia que se entienden infringidas, exigencia que ha determinado la inadmisión de su recurso y que, según indica, constituye un requisito no previsto en la ley, que ha sido establecido </w:t>
      </w:r>
      <w:r w:rsidRPr="0085709A">
        <w:rPr>
          <w:i/>
        </w:rPr>
        <w:t>ex novo</w:t>
      </w:r>
      <w:r>
        <w:t xml:space="preserve"> por vía de interpretación judicial posterior a la formulación del escrito de preparación por la recurrente. Tras aludir a algunos pronunciamientos del Tribunal Constitucional relativos al acceso al recurso y a los límites para la configuración legal de sus presupuestos de admisibilidad (entre otras, SSTC 116/1986, 58/1987, 46/1982, 172/1987), señala que la naturaleza y requisitos del escrito de preparación del recurso de casación están perfectamente definidos en el art. 89 LJCA, sin que se pueda pretender atribuirle una finalidad distinta por vía de interpretación judicial, aprovechando para introducir requisitos que no están previstos por el legislador para dicho trámite, pues ello resulta contrario a la doctrina constitucional citada y al derecho a la tutela judicial efectiva. Afirma que no cabe intentar integrar en dicho escrito de preparación un requisito limitativo del acceso al recurso que no está previsto en el art. 89 LJCA. Tal pretensión, indica, constituye un exceso de jurisdicción contrario no sólo al derecho fundamental invocado, sino también a los arts. 9 y 117 CE, señalando que la configuración legal del procedimiento no puede quedar al arbitrio de la interpretación judicial si la misma, como ocurre en este supuesto, es contraria a la literalidad y finalidad expresas de la norma.</w:t>
      </w:r>
    </w:p>
    <w:p w:rsidR="0085709A" w:rsidRDefault="0085709A" w:rsidP="0085709A">
      <w:pPr>
        <w:pStyle w:val="TextoNormal"/>
      </w:pPr>
    </w:p>
    <w:p w:rsidR="0085709A" w:rsidRDefault="0085709A" w:rsidP="0085709A">
      <w:pPr>
        <w:pStyle w:val="TextoNormal"/>
      </w:pPr>
      <w:r>
        <w:t>Además, denuncia que ese criterio restrictivo de acceso al recurso se pretenda aplicar sin posibilidad de subsanación y con efecto retroactivo sobre actos realizados por la parte bajo un criterio interpretativo distinto. Al hilo de ello reproduce el contenido del art. 9.3 CE —con subrayado de los principios de legalidad, irretroactividad de las disposiciones restrictivas de derechos individuales, y seguridad jurídica—, y afirma que la actuación de la Sala de lo Contencioso-Administrativo del Tribunal Supremo contradice los principios invocados, insistiendo en que se contraviene el derecho a la tutela judicial efectiva de la demandante que, preparando un recurso de casación conforme al tenor literal y doctrina interpretativa de esa misma Sala, se ve sorprendida por una inadmisión según un criterio interpretativo posterior aplicado retroactivamente. Por ello, cuestiona la decisión del órgano judicial de aplicar el cambio de criterio aun en supuestos en que el recurrente no tenía posibilidad de conocer su vigencia.</w:t>
      </w:r>
    </w:p>
    <w:p w:rsidR="0085709A" w:rsidRDefault="0085709A" w:rsidP="0085709A">
      <w:pPr>
        <w:pStyle w:val="TextoNormal"/>
      </w:pPr>
    </w:p>
    <w:p w:rsidR="0085709A" w:rsidRDefault="0085709A" w:rsidP="0085709A">
      <w:pPr>
        <w:pStyle w:val="TextoNormal"/>
      </w:pPr>
      <w:r>
        <w:t>Tal modo de proceder, añade, vulnera también el art. 6.1 del Convenio de Roma de 4 de noviembre de 1950, para la protección de los derechos humanos y libertades públicas (sic), haciendo alusión a la STEDH de 9 de noviembre de 2004, que, según expresa, fue dictada en un supuesto análogo al presente en que la Sala de lo Contencioso-Administrativo del Tribunal Supremo inadmitió un recurso de casación por no haberse especificado cuál de los motivos invocaba el recurrente, habiendo declarado el TEDH que los límites a la admisión de los recursos no deben restringir el acceso de los interesados a los tribunales cuando afecte al derecho a la tutela judicial. Indica que el Tribunal Constitucional ha recogido dicha doctrina en numerosas Sentencias (entre otras, SSTC 19/1983 y 117/1986), al afirmar que los órganos judiciales deben utilizar criterios interpretativos favorables al acceso a los recursos legales, evitando incurrir en el rigor formalista de limitarse a una aplicación estricta y literal de los preceptos legales que conduzca a negar un recurso por una irregularidad formal subsanable, sin dar oportunidad al interesado de proceder a su subsanación (STC 3/1987).</w:t>
      </w:r>
    </w:p>
    <w:p w:rsidR="0085709A" w:rsidRDefault="0085709A" w:rsidP="0085709A">
      <w:pPr>
        <w:pStyle w:val="TextoNormal"/>
      </w:pPr>
    </w:p>
    <w:p w:rsidR="0085709A" w:rsidRDefault="0085709A" w:rsidP="0085709A">
      <w:pPr>
        <w:pStyle w:val="TextoNormal"/>
      </w:pPr>
      <w:r>
        <w:t xml:space="preserve">Considera la demandante que, en el caso, se le ha generado una manifiesta indefensión, que a mayor abundamiento queda acreditada a la vista de que esa limitación </w:t>
      </w:r>
      <w:r w:rsidRPr="0085709A">
        <w:rPr>
          <w:i/>
        </w:rPr>
        <w:t>ex novo</w:t>
      </w:r>
      <w:r>
        <w:t xml:space="preserve"> al recurso de casación es la vía para declarar firme e inatacable la Sentencia de la Sala de lo </w:t>
      </w:r>
      <w:r>
        <w:lastRenderedPageBreak/>
        <w:t>Contencioso-Administrativo de la Audiencia Nacional, a la que, además de vulnerar el derecho de propiedad, le reprocha ser irrazonada, arbitraria y no atender a todas las cuestiones suscitadas y acreditadas, resultando así contraria al art. 24 CE, interpretado conforme a la doctrina constitucional a la que hace referencia. Todo ello, entiende, la deja privada de una resolución del Tribunal Supremo sobre el fondo de su recurso y del acceso posterior a la vía constitucional.</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 la Secretaría de Justicia de la Sala Primera de este Tribunal, de 21 de noviembre de 2012, se concedió a la parte recurrente un plazo de diez días para que acreditase fehacientemente la fecha de notificación del Auto de 13 de septiembre de 2012 de la Sección Primera de la Sala de lo Contencioso-Administrativo del Tribunal Supremo. Tal requerimiento fue cumplimentado mediante escrito registrado el 29 de noviembre de 2012.</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3 de junio de 2013, la Sala Primera del Tribunal Constitucional acordó admitir a trámite la demanda de amparo. Asimismo, en aplicación de lo dispuesto en 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número 6918-2010 y al recurso número 606-2007, respectivamente, debiendo previamente emplazarse, para que pudieran comparecer en el recurso de amparo en el término de diez días, a quienes hubieran sido parte en el procedimiento, excepto a la parte recurrente en amparo. Igualmente se acordó notificar la resolución con efectos de emplazamiento al Abogado del Estado, en representación de la Administración, quien mediante escrito registrado ante este Tribunal el 18 de junio de 2013 solicitó se le tuviera por personado y parte en 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Primera de este Tribunal de 10 de septiembre de 2013 se tuvieron por recibidos los testimonios de las actuaciones remitidos por el Tribunal Supremo y la Audiencia Nacional, así como el escrito del Abogado del Estado a quien se tuvo por personado y parte en nombre y en la representación que ostenta. Asimismo, a tenor de lo dispuesto en el artículo 52 LOTC, se dio vista de todas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Abogado del Estado formuló alegaciones mediante escrito registrado el 11 de octubre de 2013, en el que solicita que se “dicte sentencia con arreglo a derecho”.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retrospectiva de las nuevas máximas jurisprudenciales contenidas en el Auto de la Sección Primera de la Sala de lo Contencioso-Administrativo del Tribunal Supremo de 10 de febrero de 2011, inexistentes cuando se presentó el escrito de preparación del recurso de casación y que determinan su inadmisión por no haberse preparado conforme a ellas, supone frustrar sorpresivamente la razonable expectativa o confianza legítima sobre la admisión de un recurso de casación preparado de acuerdo con los requisitos de forma </w:t>
      </w:r>
      <w:r>
        <w:lastRenderedPageBreak/>
        <w:t>exigidos por la jurisprudencia en el momento de presentar el escrito de preparación, sin dar oportunidad procesal ninguna de ajustar dicho escrito a las nuevas exigencias. Considera por ello que la cuestión radica en la “irrazonabilidad” de exigir, para la realización de un acto procesal agotado, el cumplimiento de unos requisitos de forma que razonablemente no se conocían en el momento en que se efectuó dicho acto procesal, provocando así una violación del derecho de acceso al recurso.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la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9</w:t>
      </w:r>
      <w:r>
        <w:t>. Mediante escrito registrado el 15 de octubre de 2013, la representación procesal de la recurrente dio por reproducida la demanda de amparo, reiterando, en síntesis, la queja y argumentación allí contenidas, en relación con la alegada vulneración del derecho a la tutela judicial efectiva (art. 24.1 CE).</w:t>
      </w:r>
    </w:p>
    <w:p w:rsidR="0085709A" w:rsidRDefault="0085709A" w:rsidP="0085709A">
      <w:pPr>
        <w:pStyle w:val="TextoNormal"/>
      </w:pPr>
    </w:p>
    <w:p w:rsidR="0085709A" w:rsidRDefault="0085709A" w:rsidP="0085709A">
      <w:pPr>
        <w:pStyle w:val="TextoNormal"/>
      </w:pPr>
      <w:r w:rsidRPr="0085709A">
        <w:rPr>
          <w:rStyle w:val="NumeroAFNegritaCaracter"/>
        </w:rPr>
        <w:t>10</w:t>
      </w:r>
      <w:r>
        <w:t>. El Ministerio Fiscal presentó sus alegaciones mediante escrito registrado el 24 de octubre de 2013, en el que interesa que se desestime por completo el recurso de amparo, en atención a la argumentación que, en síntesis, se expone a continuación.</w:t>
      </w:r>
    </w:p>
    <w:p w:rsidR="0085709A" w:rsidRDefault="0085709A" w:rsidP="0085709A">
      <w:pPr>
        <w:pStyle w:val="TextoNormal"/>
      </w:pPr>
    </w:p>
    <w:p w:rsidR="0085709A" w:rsidRDefault="0085709A" w:rsidP="0085709A">
      <w:pPr>
        <w:pStyle w:val="TextoNormal"/>
      </w:pPr>
      <w:r>
        <w:t xml:space="preserve">Tras señalar que el recurso de amparo únicamente denuncia la vulneración del derecho a la tutela judicial efectiva en su modalidad de derecho de acceso al recurso (art. 24.1 CE), el Fiscal realiza un repaso de la evolución de la doctrina del Tribunal Supremo en relación con los requisitos que debe reunir el escrito de preparación del recurso de casación contencioso-administrativo. Fija como uno de los hitos de esta evolución el ATS 14419/2010, de 14 de octubre, a cuyos requerimientos se ajustó la demandante de amparo al preparar su recurso de casación el 4 de noviembre de 2010. No obstante, señala, el posterior ATS 2371/2011, de 10 de febrero, añadió la exigencia de que en el escrito de preparación, además de especificar el concreto o concretos motivos en que se fundará el recurso, había de hacerse indicación de los concretos preceptos o jurisprudencia que se reputan infringidos o del contenido de las infracciones normativas o jurisprudenciales que se pretendan denunciar y desarrollar en el escrito de interposición del recurso de casación, aunque sea en forma sucinta, siendo ese nuevo criterio el que fue aplicado en el caso ahora controvertido. Con relación a esta actuación, el Fiscal recoge la doctrina del Tribunal Constitucional sobre el derecho de acceso a los recursos, destacando, entre otros aspectos, que el control constitucional respecto a las resoluciones judiciales dictadas sobre los presupuestos o requisitos de admisión de los recursos debe limitarse a comprobar si tienen motivación, si han incurrido en error material patente, en arbitrariedad o en manifiesta irrazonabilidad, únicas circunstancias que pueden determinar la lesión del derecho a la tutela judicial efectiva. Pues bien, en el caso enjuiciado considera el Fiscal que el Auto de inadmisión impugnado constituye una resolución que cuenta con la debida motivación, no estando ésta incursa ni en error patente, ni en irrazonabilidad, ni en arbitrariedad. Antes al contrario, entiende que la exigencia de especificar en la fase de preparación del recurso de casación los concretos preceptos o jurisprudencia que se reputan infringidos o el contenido de las infracciones normativas o jurisprudenciales que se pretenden desarrollar en el escrito de interposición del recurso fluye del propio tenor de los apartados c) y d) del art. 88.1 LJCA, de ahí que, tras aludir al contenido de los dos motivos de casación incluidos en estas previsiones, señala que de ninguna manera </w:t>
      </w:r>
      <w:r>
        <w:lastRenderedPageBreak/>
        <w:t>puede afirmarse que la indicada exigencia constituye un requisito no establecido por la ley. Tales razonamientos son, en definitiva, los que conducen al Fiscal a declarar la inexistencia de infracción del art. 24.1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12 de marzo de 2015 se señaló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9 de febrero de 2012, que acordó no admitir a trámite el recurso de casación interpuesto contra la Sentencia de la Sala de lo Contencioso-Administrativo de la Audiencia Nacional de 8 de octubre de 2010, recaída en el procedimiento ordinario núm. 606-2007. También impugna el Auto de la misma Sala y Sección, de 13 de septiembre de 2012, por el que se desestima el incidente de nulidad promovido contra el Auto anterior.</w:t>
      </w:r>
    </w:p>
    <w:p w:rsidR="0085709A" w:rsidRDefault="0085709A" w:rsidP="0085709A">
      <w:pPr>
        <w:pStyle w:val="TextoNormal"/>
      </w:pPr>
    </w:p>
    <w:p w:rsidR="0085709A" w:rsidRDefault="0085709A" w:rsidP="0085709A">
      <w:pPr>
        <w:pStyle w:val="TextoNormal"/>
      </w:pPr>
      <w:r>
        <w:t xml:space="preserve">La recurrente, según se expresa con más detalle en los antecedentes de hecho de esta Sentencia, imputa a las resoluciones recurridas la vulneración de su derecho fundamental a la tutela judicial efectiva sin indefensión (art. 24 CE), en su dimensión de derecho de acceso a los recursos legalmente establecidos. En conexión con esta queja, pero a diferencia de lo que en ella sucede, en el curso de su argumentación denuncia también la infracción de otros preceptos que, por sí mismos y en virtud de los arts. 53.2 CE y 41 de la Ley Orgánica del Tribunal Constitucional (LOTC), no se encuentran incluidos en el ámbito de protección del recurso de amparo —en concreto, los arts. 9 y 117 CE (SSTC 237/1993, de 12 de julio, FJ 2; 241/2000, de 16 de octubre, FJ 2), así como el art. 6.1 del Convenio de Roma de 1950, sin perjuicio de su valor interpretativo </w:t>
      </w:r>
      <w:r w:rsidRPr="0085709A">
        <w:rPr>
          <w:i/>
        </w:rPr>
        <w:t>ex</w:t>
      </w:r>
      <w:r>
        <w:t xml:space="preserve"> art. 10.2 CE (SSTC 126/2009, de 21 de mayo, FJ 3; 62/2011, de 5 de mayo, FJ 2)—.</w:t>
      </w:r>
    </w:p>
    <w:p w:rsidR="0085709A" w:rsidRDefault="0085709A" w:rsidP="0085709A">
      <w:pPr>
        <w:pStyle w:val="TextoNormal"/>
      </w:pPr>
    </w:p>
    <w:p w:rsidR="0085709A" w:rsidRDefault="0085709A" w:rsidP="0085709A">
      <w:pPr>
        <w:pStyle w:val="TextoNormal"/>
      </w:pPr>
      <w:r>
        <w:t>El objeto del presente recurso de amparo se concreta, por tanto, en el análisis de la alegada vulneración del derecho a la tutela judicial efectiva, en su vertiente de acceso a los recursos, denuncia que la demandante sustenta en distintas consideraciones que pueden reconducirse y sistematizarse en los siguientes reproches: i) porque los Autos impugnados se fundan en un requisito de admisibilidad no exigido por la ley; (ii) porque la exigencia de anticipar en el escrito de preparación del recurso de casación los concretos preceptos o la jurisprudencia que se reputan infringidos se ha aplicado con carácter retroactivo, en un momento en que aquella exigencia no era conocida ni requerida en la jurisprudencia precedente.</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Asimismo, hemos de recordar que el TEDH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w:t>
      </w:r>
      <w:r w:rsidRPr="0085709A">
        <w:rPr>
          <w:i/>
        </w:rPr>
        <w:t>rualla Gómez de la Torre c. España;</w:t>
      </w:r>
      <w:r>
        <w:t xml:space="preserve"> y de 25 enero 2005, caso P</w:t>
      </w:r>
      <w:r w:rsidRPr="0085709A">
        <w:rPr>
          <w:i/>
        </w:rPr>
        <w:t>uchol Oliver c. España)</w:t>
      </w:r>
      <w:r>
        <w:t>.</w:t>
      </w:r>
    </w:p>
    <w:p w:rsidR="0085709A" w:rsidRDefault="0085709A" w:rsidP="0085709A">
      <w:pPr>
        <w:pStyle w:val="TextoNormal"/>
      </w:pPr>
    </w:p>
    <w:p w:rsidR="0085709A" w:rsidRDefault="0085709A" w:rsidP="0085709A">
      <w:pPr>
        <w:pStyle w:val="TextoNormal"/>
      </w:pPr>
      <w:r>
        <w:t>Igualmente relevantes son las Sentencias del Tribunal de Estrasburgo recaídas en los casos S</w:t>
      </w:r>
      <w:r w:rsidRPr="0085709A">
        <w:rPr>
          <w:i/>
        </w:rPr>
        <w:t>ociedad General de Aguas de Barcelona c. España,</w:t>
      </w:r>
      <w:r>
        <w:t xml:space="preserve"> de 25 mayo 2000; L</w:t>
      </w:r>
      <w:r w:rsidRPr="0085709A">
        <w:rPr>
          <w:i/>
        </w:rPr>
        <w:t>lopis Ruiz c. España,</w:t>
      </w:r>
      <w:r>
        <w:t xml:space="preserve"> de 7 noviembre 2003; e I</w:t>
      </w:r>
      <w:r w:rsidRPr="0085709A">
        <w:rPr>
          <w:i/>
        </w:rPr>
        <w:t>pamark c. España,</w:t>
      </w:r>
      <w:r>
        <w:t xml:space="preserve">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 xml:space="preserve">En este sentido, el Tribunal Supremo, en los Autos que son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Con ello se sigue la pauta de otras resoluciones del mismo órgano judicial, que ha establecido este criterio en atención a que la fase de preparación del recurso de casación tiene sustantividad propia, sin que pueda </w:t>
      </w:r>
      <w:r>
        <w:lastRenderedPageBreak/>
        <w:t>quedar reducida a un trámite carente de trascendencia. Desde esa óptica, en los Autos impugnados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criterio plasmado en los Autos impugnados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TEDH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su excepcionamiento por disposición legal que establezca el efecto exclusivamente prospectivo de la Sentencia, como el art. 100.7 LJCA en el recurso de casación en interés de ley).</w:t>
      </w:r>
    </w:p>
    <w:p w:rsidR="0085709A" w:rsidRDefault="0085709A" w:rsidP="0085709A">
      <w:pPr>
        <w:pStyle w:val="TextoNormal"/>
      </w:pPr>
    </w:p>
    <w:p w:rsidR="0085709A" w:rsidRDefault="0085709A" w:rsidP="0085709A">
      <w:pPr>
        <w:pStyle w:val="TextoNormal"/>
      </w:pPr>
      <w:r>
        <w:t xml:space="preserve">Así tuvimos ocasión de señalarlo ya en nuestra STC 95/1993, de 22 de marzo, en la que subrayamos que la Sentencia que introduce un cambio jurisprudencial hace “decir a la </w:t>
      </w:r>
      <w:r>
        <w:lastRenderedPageBreak/>
        <w:t>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doña María Gil Sanjuán.</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Luis Ignacio Ortega Álvarez y don Juan Antonio Xiol Ríos a la Sentencia dictada en el recurso de amparo núm. 6372-2012.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dieciséis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7" w:name="SENTENCIA_2015_54"/>
      <w:r>
        <w:lastRenderedPageBreak/>
        <w:t>SENTENCIA 54/2015, de 16 de marzo de 2015</w:t>
      </w:r>
    </w:p>
    <w:bookmarkEnd w:id="57"/>
    <w:p w:rsidR="0085709A" w:rsidRDefault="0085709A" w:rsidP="0085709A">
      <w:pPr>
        <w:pStyle w:val="TtuloResolucin"/>
      </w:pPr>
      <w:r>
        <w:t>Sala Segunda</w:t>
      </w:r>
    </w:p>
    <w:p w:rsidR="0085709A" w:rsidRDefault="0085709A" w:rsidP="0085709A">
      <w:pPr>
        <w:pStyle w:val="TtuloBOE"/>
      </w:pPr>
      <w:r>
        <w:t>(BOE núm. 98, de 24 de abril de 2015)</w:t>
      </w:r>
    </w:p>
    <w:p w:rsidR="0085709A" w:rsidRDefault="0085709A" w:rsidP="0085709A">
      <w:pPr>
        <w:pStyle w:val="TextoNormalCentrado"/>
      </w:pPr>
      <w:r>
        <w:t>ECLI:ES:TC:2015:54</w:t>
      </w:r>
    </w:p>
    <w:p w:rsidR="0085709A" w:rsidRDefault="0085709A" w:rsidP="0085709A">
      <w:pPr>
        <w:pStyle w:val="TextoNormalCentrado"/>
      </w:pPr>
    </w:p>
    <w:p w:rsidR="0085709A" w:rsidRDefault="0085709A" w:rsidP="0085709A">
      <w:pPr>
        <w:pStyle w:val="SntesisDescriptiva"/>
      </w:pPr>
      <w:r>
        <w:t>Recurso de amparo 2603-2013. Promovido por la entidad Chatarras Iruña, S.A., en relación con las Sentencias del Tribunal Superior de Justicia de Navarra y de un Juzgado de lo Contencioso-Administrativo de Pamplona que desestimaron su impugnación de diversas actuaciones de comprobación e investigación, llevadas a cabo por la hacienda de Navarra.</w:t>
      </w:r>
    </w:p>
    <w:p w:rsidR="0085709A" w:rsidRDefault="0085709A" w:rsidP="0085709A">
      <w:pPr>
        <w:pStyle w:val="SntesisDescriptiva"/>
      </w:pPr>
    </w:p>
    <w:p w:rsidR="0085709A" w:rsidRDefault="0085709A" w:rsidP="0085709A">
      <w:pPr>
        <w:pStyle w:val="SntesisAnaltica"/>
      </w:pPr>
      <w:r>
        <w:t>Vulneración de los derechos a la inviolabilidad del domicilio y a un proceso con todas las garantías: entrada en las dependencias de la empresa realizada sin instrucción de derechos; vulneración de la garantía de no autoincriminación.</w:t>
      </w:r>
    </w:p>
    <w:p w:rsidR="0085709A" w:rsidRDefault="0085709A" w:rsidP="0085709A">
      <w:pPr>
        <w:pStyle w:val="SntesisAnaltica"/>
      </w:pPr>
    </w:p>
    <w:p w:rsidR="0085709A" w:rsidRDefault="0085709A" w:rsidP="0085709A">
      <w:pPr>
        <w:pStyle w:val="Extracto"/>
      </w:pPr>
      <w:r>
        <w:t>1.</w:t>
      </w:r>
      <w:r>
        <w:tab/>
        <w:t>La indebida prolongación de la vía judicial previa por causa de la interposición de un recurso no autorizado por la Ley puede ocasionar la extemporaneidad del recurso de amparo por prórroga indebida del plazo establecido en el art. 44.2 de la Ley Orgánica del Tribunal Constitucional (LOTC); no obstante, para que dicha consecuencia se produzca, la improcedencia del recurso debe ser evidente (STC 135/2007, FJ 4) [FJ 3].</w:t>
      </w:r>
    </w:p>
    <w:p w:rsidR="0085709A" w:rsidRDefault="0085709A" w:rsidP="0085709A">
      <w:pPr>
        <w:pStyle w:val="Extracto"/>
      </w:pPr>
    </w:p>
    <w:p w:rsidR="0085709A" w:rsidRDefault="0085709A" w:rsidP="0085709A">
      <w:pPr>
        <w:pStyle w:val="Extracto"/>
      </w:pPr>
      <w:r>
        <w:t>2.</w:t>
      </w:r>
      <w:r>
        <w:tab/>
        <w:t>La improcedencia del recurso es evidente cuando resulta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(STC 135/2007, FJ 4) [FJ 3].</w:t>
      </w:r>
    </w:p>
    <w:p w:rsidR="0085709A" w:rsidRDefault="0085709A" w:rsidP="0085709A">
      <w:pPr>
        <w:pStyle w:val="Extracto"/>
      </w:pPr>
    </w:p>
    <w:p w:rsidR="0085709A" w:rsidRDefault="0085709A" w:rsidP="0085709A">
      <w:pPr>
        <w:pStyle w:val="Extracto"/>
      </w:pPr>
      <w:r>
        <w:t>3.</w:t>
      </w:r>
      <w:r>
        <w:tab/>
        <w:t>No puede considerarse como manifiestamente improcedente a los efectos de determinar la extemporaneidad del recurso de amparo, la interposición por el demandante, cuente o no con asistencia letrada, de recursos o remedios procesales manifiestamente improcedentes cuando la misma sea consecuencia de una errónea indicación consignada en la instrucción de recursos a que se refiere el art. 248.4 LOPJ, con fundamento en que la instrucción o información errónea acerca de los recursos facilitada por los órganos judiciales es susceptible de inducir a error a la parte litigante, que hay que considerar en todo caso excusable (SSTC 79/2004, FJ 2; 241/2006, FJ 3) [FJ 3].</w:t>
      </w:r>
    </w:p>
    <w:p w:rsidR="0085709A" w:rsidRDefault="0085709A" w:rsidP="0085709A">
      <w:pPr>
        <w:pStyle w:val="Extracto"/>
      </w:pPr>
    </w:p>
    <w:p w:rsidR="0085709A" w:rsidRDefault="0085709A" w:rsidP="0085709A">
      <w:pPr>
        <w:pStyle w:val="Extracto"/>
      </w:pPr>
      <w:r>
        <w:t>4.</w:t>
      </w:r>
      <w:r>
        <w:tab/>
        <w:t>El derecho fundamental a la inviolabilidad del domicilio es extensivo a las personas jurídicas, si bien no existe una plena correlación entre el concepto legal de domicilio de las personas jurídicas establecido por la legislación mercantil, con el del domicilio constitucionalmente protegido, ya que éste es un concepto de mayor amplitud que el concepto jurídico privado o jurídico administrativo (SSTC 22/1984, FJ 2; 50/1995, FJ 5) [FJ 5].</w:t>
      </w:r>
    </w:p>
    <w:p w:rsidR="0085709A" w:rsidRDefault="0085709A" w:rsidP="0085709A">
      <w:pPr>
        <w:pStyle w:val="Extracto"/>
      </w:pPr>
    </w:p>
    <w:p w:rsidR="0085709A" w:rsidRDefault="0085709A" w:rsidP="0085709A">
      <w:pPr>
        <w:pStyle w:val="Extracto"/>
      </w:pPr>
      <w:r>
        <w:t>5.</w:t>
      </w:r>
      <w:r>
        <w:tab/>
        <w:t xml:space="preserve">Las personas jurídicas gozan de una intensidad menor de protección, por faltar una estrecha vinculación con un ámbito de intimidad en su sentido originario; esto </w:t>
      </w:r>
      <w:r>
        <w:lastRenderedPageBreak/>
        <w:t>es, el referido a la vida personal y familiar, sólo predicable de las personas físicas (STC 69/1999, FJ 2) [FJ 5].</w:t>
      </w:r>
    </w:p>
    <w:p w:rsidR="0085709A" w:rsidRDefault="0085709A" w:rsidP="0085709A">
      <w:pPr>
        <w:pStyle w:val="Extracto"/>
      </w:pPr>
    </w:p>
    <w:p w:rsidR="0085709A" w:rsidRDefault="0085709A" w:rsidP="0085709A">
      <w:pPr>
        <w:pStyle w:val="Extracto"/>
      </w:pPr>
      <w:r>
        <w:t>6.</w:t>
      </w:r>
      <w:r>
        <w:tab/>
        <w:t>En el ámbito de la intimidad, la protección constitucional del domicilio de las personas jurídicas y, específicamente de las sociedades mercantiles, sólo se extiende a los espacios físicos que son indispensables para que puedan desarrollar su actividad sin intromisiones ajenas, por constituir el centro de dirección de la sociedad o de un establecimiento dependiente de la misma o servir a la custodia de los documentos u otros soportes de la vida diaria de la sociedad o de su establecimiento que quedan reservados al conocimiento de terceros (STC 69/1999, FJ 2) [FJ 5].</w:t>
      </w:r>
    </w:p>
    <w:p w:rsidR="0085709A" w:rsidRDefault="0085709A" w:rsidP="0085709A">
      <w:pPr>
        <w:pStyle w:val="Extracto"/>
      </w:pPr>
    </w:p>
    <w:p w:rsidR="0085709A" w:rsidRDefault="0085709A" w:rsidP="0085709A">
      <w:pPr>
        <w:pStyle w:val="Extracto"/>
      </w:pPr>
      <w:r>
        <w:t>7.</w:t>
      </w:r>
      <w:r>
        <w:tab/>
        <w:t>El consentimiento eficaz del sujeto particular permite la inmisión en su derecho a la intimidad, si bien no precisa ser expreso, admitiéndose también un consentimiento tácito (STC 173/2011, FJ 2); en supuestos referentes al derecho a la inviolabilidad del domicilio del art. 18.2 CE, este consentimiento no necesita ser expreso (STC 22/1984) y, salvo casos excepcionales, la mera falta de oposición a la intromisión domiciliar no podrá entenderse como un consentimiento tácito (STC 209/2007, FJ 5) [FJ 5].</w:t>
      </w:r>
    </w:p>
    <w:p w:rsidR="0085709A" w:rsidRDefault="0085709A" w:rsidP="0085709A">
      <w:pPr>
        <w:pStyle w:val="Extracto"/>
      </w:pPr>
    </w:p>
    <w:p w:rsidR="0085709A" w:rsidRDefault="0085709A" w:rsidP="0085709A">
      <w:pPr>
        <w:pStyle w:val="Extracto"/>
      </w:pPr>
      <w:r>
        <w:t>8.</w:t>
      </w:r>
      <w:r>
        <w:tab/>
        <w:t>El consentimiento eficaz tiene como presupuesto el de la garantía formal de la información expresa y previa, que debe incluir los términos y alcance de la actuación para la que se recaba autorización; garantía que se vulnera, en el ámbito del derecho a la intimidad, en los casos en que la actuación no se ajusta a los términos y el alcance para el que se otorgó el consentimiento, quebrando la conexión entre la actuación que se realiza y el objetivo tolerado para el que fue recabado el consentimiento (SSTC 110/1984, FJ 8; 70/2009, FJ 2) [FJ 5].</w:t>
      </w:r>
    </w:p>
    <w:p w:rsidR="0085709A" w:rsidRDefault="0085709A" w:rsidP="0085709A">
      <w:pPr>
        <w:pStyle w:val="Extracto"/>
      </w:pPr>
    </w:p>
    <w:p w:rsidR="0085709A" w:rsidRDefault="0085709A" w:rsidP="0085709A">
      <w:pPr>
        <w:pStyle w:val="Extracto"/>
      </w:pPr>
      <w:r>
        <w:t>9.</w:t>
      </w:r>
      <w:r>
        <w:tab/>
        <w:t>Son aplicables a las sanciones administrativas los principios sustantivos derivados del art. 25.1 CE, considerando que los principios inspiradores del orden penal son de aplicación con ciertos matices al Derecho administrativo sancionador al ser ambos manifestaciones del ordenamiento punitivo del Estado, y ha proyectado sobre las actuaciones dirigidas a ejercer las potestades sancionadoras de la Administración las garantías procedimentales ínsitas en el art. 24.2 CE, no sólo mediante su aplicación literal, sino en la medida necesaria para preservar los valores esenciales que se encuentran en la base del precepto (SSTC 18/1981, FJ 2; STC 59/2014, FJ 3) [FJ 7].</w:t>
      </w:r>
    </w:p>
    <w:p w:rsidR="0085709A" w:rsidRDefault="0085709A" w:rsidP="0085709A">
      <w:pPr>
        <w:pStyle w:val="Extracto"/>
      </w:pPr>
    </w:p>
    <w:p w:rsidR="0085709A" w:rsidRDefault="0085709A" w:rsidP="0085709A">
      <w:pPr>
        <w:pStyle w:val="Extracto"/>
      </w:pPr>
      <w:r>
        <w:t>10.</w:t>
      </w:r>
      <w:r>
        <w:tab/>
        <w:t>Acerca de esta traslación condicionada a que se trate de garantías que resulten compatibles con la naturaleza del procedimiento administrativo sancionador, partiendo del inicial reproche a la imposición de sanciones sin observar procedimiento alguno, se ha ido elaborando progresivamente una doctrina que asume la vigencia en el seno del procedimiento administrativo sancionador de un amplio abanico de garantías del art. 24 CE. (SSTC 7/1998, FJ 5; 117/2002, FJ 5) [FJ 7].</w:t>
      </w:r>
    </w:p>
    <w:p w:rsidR="0085709A" w:rsidRDefault="0085709A" w:rsidP="0085709A">
      <w:pPr>
        <w:pStyle w:val="Extracto"/>
      </w:pPr>
    </w:p>
    <w:p w:rsidR="0085709A" w:rsidRDefault="0085709A" w:rsidP="0085709A">
      <w:pPr>
        <w:pStyle w:val="Extracto"/>
      </w:pPr>
      <w:r>
        <w:t>11.</w:t>
      </w:r>
      <w:r>
        <w:tab/>
        <w:t xml:space="preserve">Sin ánimo de exhaustividad, se pueden citar, como garantías del art. 24 CE, el derecho a la defensa; el derecho a la asistencia letrada, con ciertas condiciones; el derecho a ser informado de la acusación; el derecho a la presunción de inocencia, </w:t>
      </w:r>
      <w:r>
        <w:lastRenderedPageBreak/>
        <w:t>recayendo sobre la Administración la carga de la prueba de los hechos constitutivos de infracción, con la prohibición de utilización de pruebas obtenidas con vulneración de derechos fundamentales; el derecho a no declarar contra sí mismo; y el derecho a utilizar los medios de prueba adecuados para la defensa y prohibición de denegación inmotivada de medios de prueba (SSTC 7/1998, FJ 5; 117/2002, FJ 5) [FJ 7].</w:t>
      </w:r>
    </w:p>
    <w:p w:rsidR="0085709A" w:rsidRDefault="0085709A" w:rsidP="0085709A">
      <w:pPr>
        <w:pStyle w:val="Extracto"/>
      </w:pPr>
    </w:p>
    <w:p w:rsidR="0085709A" w:rsidRDefault="0085709A" w:rsidP="0085709A">
      <w:pPr>
        <w:pStyle w:val="Extracto"/>
      </w:pPr>
      <w:r>
        <w:t>12.</w:t>
      </w:r>
      <w:r>
        <w:tab/>
        <w:t>A diferencia del Convenio europeo para la protección de los derechos humanos y de las libertades fundamentales, nuestra Constitución sí menciona específicamente en su art. 24.2 los derechos a “no declarar contra sí mismos” y a “no confesarse culpables”, que están estrechamente relacionados con los derechos de defensa y a la presunción de inocencia, de los que constituye una manifestación concreta (STC 161/1997, FJ 5) [FJ 7].</w:t>
      </w:r>
    </w:p>
    <w:p w:rsidR="0085709A" w:rsidRDefault="0085709A" w:rsidP="0085709A">
      <w:pPr>
        <w:pStyle w:val="Extracto"/>
      </w:pPr>
    </w:p>
    <w:p w:rsidR="0085709A" w:rsidRDefault="0085709A" w:rsidP="0085709A">
      <w:pPr>
        <w:pStyle w:val="Extracto"/>
      </w:pPr>
      <w:r>
        <w:t>13.</w:t>
      </w:r>
      <w:r>
        <w:tab/>
        <w:t>El reconocimiento del derecho a no declarar contra sí mismo, en cuanto garantía instrumental del derecho de defensa, ha de ser respetado, pues los valores esenciales que se encuentran en la base del art. 24.2 CE no quedarían salvaguardados si se admitiera que la Administración pudiera compeler u obligar al administrado a confesar la comisión o autoría de los hechos antijurídicos que se le imputan o pudieran imputar o a declarar en tal sentido (SSTC 272/2006, FJ 3; 142/2009, FJ 4) [FJ 7].</w:t>
      </w:r>
    </w:p>
    <w:p w:rsidR="0085709A" w:rsidRDefault="0085709A" w:rsidP="0085709A">
      <w:pPr>
        <w:pStyle w:val="Extracto"/>
      </w:pPr>
    </w:p>
    <w:p w:rsidR="0085709A" w:rsidRDefault="0085709A" w:rsidP="0085709A">
      <w:pPr>
        <w:pStyle w:val="Extracto"/>
      </w:pPr>
      <w:r>
        <w:t>14.</w:t>
      </w:r>
      <w:r>
        <w:tab/>
        <w:t>La posibilidad de valoración en juicio de pruebas que pudieran estar conectadas con otras obtenidas con vulneración de derechos fundamentales sustantivos requiere un análisis a dos niveles: en primer lugar, ha de analizarse si existe o no conexión causal entre ambas pruebas, conexión que constituye el presupuesto para poder hablar de prueba derivada, y sólo si existiera dicha conexión procede el análisis de la conexión de antijuridicidad, cuya inexistencia legitimaría la posibilidad de valoración de la prueba derivada (STC 28/2002, FJ 4) [FJ 8].</w:t>
      </w:r>
    </w:p>
    <w:p w:rsidR="0085709A" w:rsidRDefault="0085709A" w:rsidP="0085709A">
      <w:pPr>
        <w:pStyle w:val="Extracto"/>
      </w:pPr>
    </w:p>
    <w:p w:rsidR="0085709A" w:rsidRDefault="0085709A" w:rsidP="0085709A">
      <w:pPr>
        <w:pStyle w:val="Extracto"/>
      </w:pPr>
      <w:r>
        <w:t>15.</w:t>
      </w:r>
      <w:r>
        <w:tab/>
        <w:t>La valoración acerca de si se ha roto o no el nexo entre una prueba y otra no es, en sí misma, un hecho, sino un juicio de experiencia acerca del grado de conexión que determina la pertinencia o impertinencia de la prueba cuestionada lo que corresponde examinar a los Jueces y Tribunales ordinarios, limitándose nuestro control a la comprobación de la razonabilidad del mismo [FJ 8].</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 2603-2013, promovido por la entidad Chatarras Iruña, S.A., representada por la Procuradora de los Tribunales doña Andrea de Dorremochea Guiot y defendida por la Letrada doña Cecilia Gutiérrez Ganzarain, contra la Sentencia de fecha 15 de marzo de 2013, dictada por la Sala de lo Contencioso-Administrativo del Tribunal Superior de Justicia de Navarra en el recurso de apelación 303-12, interpuesto contra la Sentencia de 6 de febrero de 2012 dictada por el Juzgado de lo Contencioso-Administrativo 1 de Pamplona, en procedimiento ordinario núm. 81-2010, que, a su vez, desestiman el recurso contencioso contra el acuerdo de fecha 30 de marzo de 2010 del Tribunal Económico-Administrativo Foral de Navarra. Han comparecido el Letrado de la Comunidad Foral de Navarra y el Ministerio Fiscal.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30 de abril de 2013, la Procuradora de los Tribunales doña Andrea de Dorremochea Guiot, en nombre y representación de Chatarras Iruña, S.A., y bajo la dirección de la Abogada doña Cecilia Gutiérrez Ganzarain, interpuso recurso de amparo contra las resoluciones referidas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fundamenta la demanda de amparo son, sucintamente expuestos, los siguientes:</w:t>
      </w:r>
    </w:p>
    <w:p w:rsidR="0085709A" w:rsidRDefault="0085709A" w:rsidP="0085709A">
      <w:pPr>
        <w:pStyle w:val="TextoNormal"/>
      </w:pPr>
    </w:p>
    <w:p w:rsidR="0085709A" w:rsidRDefault="0085709A" w:rsidP="0085709A">
      <w:pPr>
        <w:pStyle w:val="TextoNormal"/>
      </w:pPr>
      <w:r>
        <w:t>a) Con fecha 21 de junio de 2006 por los servicios de inspección de la Hacienda Tributaria de Navarra se iniciaron las actuaciones de comprobación e investigación de las declaraciones tributarias de la entidad mercantil recurrente, Chatarras Iruña, S.A., correspondientes a varios impuestos y periodos impositivos [impuesto sobre el valor añadido (IVA) —2002, 2003, 2004 y 2005—, impuesto de sociedades —2001, 2002, 2003, 2004 y 2005—, impuesto sobre la renta de las personas físicas (IRPF) —2003, 2004 y 2005—].</w:t>
      </w:r>
    </w:p>
    <w:p w:rsidR="0085709A" w:rsidRDefault="0085709A" w:rsidP="0085709A">
      <w:pPr>
        <w:pStyle w:val="TextoNormal"/>
      </w:pPr>
    </w:p>
    <w:p w:rsidR="0085709A" w:rsidRDefault="0085709A" w:rsidP="0085709A">
      <w:pPr>
        <w:pStyle w:val="TextoNormal"/>
      </w:pPr>
      <w:r>
        <w:t>La diligencia se llevó a cabo con la presencia de los actuarios, acompañados de un sargento de la Policía Foral de Navarra y por un colaborador experto en informática. Los socios administradores permitieron el registro, el acceso a los ordenadores de la empresa y la copia de los discos duros, sin que conste que estos fueran informados de su derecho a oponerse a la entrada y registro.</w:t>
      </w:r>
    </w:p>
    <w:p w:rsidR="0085709A" w:rsidRDefault="0085709A" w:rsidP="0085709A">
      <w:pPr>
        <w:pStyle w:val="TextoNormal"/>
      </w:pPr>
    </w:p>
    <w:p w:rsidR="0085709A" w:rsidRDefault="0085709A" w:rsidP="0085709A">
      <w:pPr>
        <w:pStyle w:val="TextoNormal"/>
      </w:pPr>
      <w:r>
        <w:t>Una parte de las mencionadas liquidaciones y las sanciones correspondientes se documentaron en actas en las que los representantes de la recurrente hicieron mención en la firma su desacuerdo con la forma en que se efectuó la entrada y registro, y fueron objeto, primero, del procedimiento administrativo, interponiéndose reclamación económico-administrativa en fecha 5 de junio de 2008, y posteriormente del contencioso-administrativo, a los que se refiere el presente recurso de amparo (IVA —2002, 2004 y 2005—, impuesto de sociedades —2001, 2002 y 2004—, IRPF —2003, 2004, 2005).</w:t>
      </w:r>
    </w:p>
    <w:p w:rsidR="0085709A" w:rsidRDefault="0085709A" w:rsidP="0085709A">
      <w:pPr>
        <w:pStyle w:val="TextoNormal"/>
      </w:pPr>
    </w:p>
    <w:p w:rsidR="0085709A" w:rsidRDefault="0085709A" w:rsidP="0085709A">
      <w:pPr>
        <w:pStyle w:val="TextoNormal"/>
      </w:pPr>
      <w:r>
        <w:lastRenderedPageBreak/>
        <w:t>La otra parte, cuya cuantía era suficiente para incoar un proceso penal (IVA 2003, e impuesto de sociedades 2003 y 2005), fueron firmadas en conformidad por los representantes de la empresa, mediante acta suscrita en fecha 2 de octubre de 2009, incoándose diligencias penales que posteriormente fueron sobreseídas, y que no son objeto de este recurso.</w:t>
      </w:r>
    </w:p>
    <w:p w:rsidR="0085709A" w:rsidRDefault="0085709A" w:rsidP="0085709A">
      <w:pPr>
        <w:pStyle w:val="TextoNormal"/>
      </w:pPr>
    </w:p>
    <w:p w:rsidR="0085709A" w:rsidRDefault="0085709A" w:rsidP="0085709A">
      <w:pPr>
        <w:pStyle w:val="TextoNormal"/>
      </w:pPr>
      <w:r>
        <w:t>b) Una vez se dictó resolución en el procedimiento administrativo de comprobación y sancionador, por la parte demandante se interpuso reclamación económico-administrativa el día 5 de junio de 2008, la cual fue tramitada ante el Tribunal Económico-Administrativo Foral de Navarra, que desestimó la reclamación por acuerdo de fecha 30 de marzo de 2010.</w:t>
      </w:r>
    </w:p>
    <w:p w:rsidR="0085709A" w:rsidRDefault="0085709A" w:rsidP="0085709A">
      <w:pPr>
        <w:pStyle w:val="TextoNormal"/>
      </w:pPr>
    </w:p>
    <w:p w:rsidR="0085709A" w:rsidRDefault="0085709A" w:rsidP="0085709A">
      <w:pPr>
        <w:pStyle w:val="TextoNormal"/>
      </w:pPr>
      <w:r>
        <w:t>En las resoluciones administrativas se tuvo en cuenta como prueba, además de los documentos y datos obtenidos en la entrada en el domicilio social de la recurrente del día 21 de junio de 2006, los datos de la propia Administración actuante, así como documentación obrante en el expediente procedente de diferentes fuentes (Agencia estatal de la administración tributaria, Ayuntamiento de Pamplona, Diputación Foral de Vizcaya y Guipúzcoa, Policía Foral de Navarra, escritos presentados por terceros) y diversa documentación aportada por la sociedad recurrente, mencionándose expresamente en la resolución del Tribunal Económico-Administrativo un disquete aportado por el representante de la empresa interesada en fecha 21 de febrero de 2007.</w:t>
      </w:r>
    </w:p>
    <w:p w:rsidR="0085709A" w:rsidRDefault="0085709A" w:rsidP="0085709A">
      <w:pPr>
        <w:pStyle w:val="TextoNormal"/>
      </w:pPr>
    </w:p>
    <w:p w:rsidR="0085709A" w:rsidRDefault="0085709A" w:rsidP="0085709A">
      <w:pPr>
        <w:pStyle w:val="TextoNormal"/>
      </w:pPr>
      <w:r>
        <w:t>c) Frente a dicho acuerdo de 30 de marzo de 2010, la entidad mercantil aquí recurrente interpuso recurso contencioso-administrativo con fecha 14 de junio de 2010, que fue turnado al Juzgado de lo Contencioso-Administrativo núm. 1 de Pamplona, tramitándose el procedimiento ordinario núm. 81-2010, en el cual se dictó Sentencia de fecha 6 de febrero de 2012 en el que se desestimaba el recurso contencioso-administrativo interpuesto, rechazando que se hubiera producido vulneración de derechos fundamentales.</w:t>
      </w:r>
    </w:p>
    <w:p w:rsidR="0085709A" w:rsidRDefault="0085709A" w:rsidP="0085709A">
      <w:pPr>
        <w:pStyle w:val="TextoNormal"/>
      </w:pPr>
    </w:p>
    <w:p w:rsidR="0085709A" w:rsidRDefault="0085709A" w:rsidP="0085709A">
      <w:pPr>
        <w:pStyle w:val="TextoNormal"/>
      </w:pPr>
      <w:r>
        <w:t>d) Mediante escrito de 7 de marzo de 2012 por la parte recurrente se interpuso recurso de apelación contra la citada Sentencia de 6 de febrero de 2012 del Juzgado de lo Contencioso-Administrativo núm. 1 de Pamplona.</w:t>
      </w:r>
    </w:p>
    <w:p w:rsidR="0085709A" w:rsidRDefault="0085709A" w:rsidP="0085709A">
      <w:pPr>
        <w:pStyle w:val="TextoNormal"/>
      </w:pPr>
    </w:p>
    <w:p w:rsidR="0085709A" w:rsidRDefault="0085709A" w:rsidP="0085709A">
      <w:pPr>
        <w:pStyle w:val="TextoNormal"/>
      </w:pPr>
      <w:r>
        <w:t>e) En fecha 15 de marzo de 2013 se dictó Sentencia por la Sala de lo Contencioso-Administrativo del Tribunal Superior de Justicia de Navarra por la que se acordaba inadmitir parcialmente el recurso de apelación en los términos recogidos en el fundamento jurídico  primero de la misma Sentencia y desestimar el recurso en todo lo demás.</w:t>
      </w:r>
    </w:p>
    <w:p w:rsidR="0085709A" w:rsidRDefault="0085709A" w:rsidP="0085709A">
      <w:pPr>
        <w:pStyle w:val="TextoNormal"/>
      </w:pPr>
    </w:p>
    <w:p w:rsidR="0085709A" w:rsidRDefault="0085709A" w:rsidP="0085709A">
      <w:pPr>
        <w:pStyle w:val="TextoNormal"/>
      </w:pPr>
      <w:r>
        <w:t>Del contenido de esta Sentencia resultan de interés los siguientes particulares:</w:t>
      </w:r>
    </w:p>
    <w:p w:rsidR="0085709A" w:rsidRDefault="0085709A" w:rsidP="0085709A">
      <w:pPr>
        <w:pStyle w:val="TextoNormal"/>
      </w:pPr>
    </w:p>
    <w:p w:rsidR="0085709A" w:rsidRDefault="0085709A" w:rsidP="0085709A">
      <w:pPr>
        <w:pStyle w:val="TextoNormal"/>
      </w:pPr>
      <w:r>
        <w:t>“PRIMERO.- Se ha alegado por la Administración demandada-apelada la inadmisibilidad parcial del recurso de apelación en razón a la cuantía por no alcanzar algunas de las liquidaciones tributarias en litigio la mínima establecida en el art. 81.1.a) LJ para el acceso a la apelación: 30.000 €, supuesto en el que se encontrarían:</w:t>
      </w:r>
    </w:p>
    <w:p w:rsidR="0085709A" w:rsidRDefault="0085709A" w:rsidP="0085709A">
      <w:pPr>
        <w:pStyle w:val="TextoNormal"/>
      </w:pPr>
    </w:p>
    <w:p w:rsidR="0085709A" w:rsidRDefault="0085709A" w:rsidP="0085709A">
      <w:pPr>
        <w:pStyle w:val="TextoNormal"/>
      </w:pPr>
      <w:r>
        <w:t>-Todas las sanciones correspondientes al Impuesto sobre Sociedades (IS) menos la correspondiente al año 2004.</w:t>
      </w:r>
    </w:p>
    <w:p w:rsidR="0085709A" w:rsidRDefault="0085709A" w:rsidP="0085709A">
      <w:pPr>
        <w:pStyle w:val="TextoNormal"/>
      </w:pPr>
    </w:p>
    <w:p w:rsidR="0085709A" w:rsidRDefault="0085709A" w:rsidP="0085709A">
      <w:pPr>
        <w:pStyle w:val="TextoNormal"/>
      </w:pPr>
      <w:r>
        <w:t>-Todas las liquidaciones mensuales por el Impuesto sobre el Valor Añadido (IVA) correspondientes al año 2002 menos la de noviembre.</w:t>
      </w:r>
    </w:p>
    <w:p w:rsidR="0085709A" w:rsidRDefault="0085709A" w:rsidP="0085709A">
      <w:pPr>
        <w:pStyle w:val="TextoNormal"/>
      </w:pPr>
    </w:p>
    <w:p w:rsidR="0085709A" w:rsidRDefault="0085709A" w:rsidP="0085709A">
      <w:pPr>
        <w:pStyle w:val="TextoNormal"/>
      </w:pPr>
      <w:r>
        <w:t>-Todas las sanciones por el mismo impuesto y período.</w:t>
      </w:r>
    </w:p>
    <w:p w:rsidR="0085709A" w:rsidRDefault="0085709A" w:rsidP="0085709A">
      <w:pPr>
        <w:pStyle w:val="TextoNormal"/>
      </w:pPr>
    </w:p>
    <w:p w:rsidR="0085709A" w:rsidRDefault="0085709A" w:rsidP="0085709A">
      <w:pPr>
        <w:pStyle w:val="TextoNormal"/>
      </w:pPr>
      <w:r>
        <w:t>-Todas las liquidaciones mensuales por el mismo impuesto y ejercicio de 2004, excepto la correspondiente a diciembre.</w:t>
      </w:r>
    </w:p>
    <w:p w:rsidR="0085709A" w:rsidRDefault="0085709A" w:rsidP="0085709A">
      <w:pPr>
        <w:pStyle w:val="TextoNormal"/>
      </w:pPr>
    </w:p>
    <w:p w:rsidR="0085709A" w:rsidRDefault="0085709A" w:rsidP="0085709A">
      <w:pPr>
        <w:pStyle w:val="TextoNormal"/>
      </w:pPr>
      <w:r>
        <w:t>-Todas las liquidaciones mensuales por retenciones a cuenta y las correspondientes sanciones.</w:t>
      </w:r>
    </w:p>
    <w:p w:rsidR="0085709A" w:rsidRDefault="0085709A" w:rsidP="0085709A">
      <w:pPr>
        <w:pStyle w:val="TextoNormal"/>
      </w:pPr>
    </w:p>
    <w:p w:rsidR="0085709A" w:rsidRDefault="0085709A" w:rsidP="0085709A">
      <w:pPr>
        <w:pStyle w:val="TextoNormal"/>
      </w:pPr>
      <w:r>
        <w:t>Ninguna de tales liquidaciones y sanciones puede, por tanto, considerarse incluida en el recurso de apelación dado el método de determinación de la cuantía que -se dice- tiene establecido esta Sala y que se resume en que se ha de calcular liquidación por liquidación y sanción por sanción sin incluir recargos, costas ni intereses ….</w:t>
      </w:r>
    </w:p>
    <w:p w:rsidR="0085709A" w:rsidRDefault="0085709A" w:rsidP="0085709A">
      <w:pPr>
        <w:pStyle w:val="TextoNormal"/>
      </w:pPr>
    </w:p>
    <w:p w:rsidR="0085709A" w:rsidRDefault="0085709A" w:rsidP="0085709A">
      <w:pPr>
        <w:pStyle w:val="TextoNormal"/>
      </w:pPr>
      <w:r>
        <w:t>SEGUNDO.- …. Rechazado por la sentencia apelada, se insiste de nuevo en esta segunda instancia en que el acceso y subsiguiente registro en la sede social de la recurrente se hizo sin respetar las exigencias legales y con vulneración del derecho fundamental a la inviolabilidad del domicilio recogido en el art. 18 CE, siendo, por tanto, nulo de pleno derecho lo actuado.</w:t>
      </w:r>
    </w:p>
    <w:p w:rsidR="0085709A" w:rsidRDefault="0085709A" w:rsidP="0085709A">
      <w:pPr>
        <w:pStyle w:val="TextoNormal"/>
      </w:pPr>
    </w:p>
    <w:p w:rsidR="0085709A" w:rsidRDefault="0085709A" w:rsidP="0085709A">
      <w:pPr>
        <w:pStyle w:val="TextoNormal"/>
      </w:pPr>
      <w:r>
        <w:t>….</w:t>
      </w:r>
    </w:p>
    <w:p w:rsidR="0085709A" w:rsidRDefault="0085709A" w:rsidP="0085709A">
      <w:pPr>
        <w:pStyle w:val="TextoNormal"/>
      </w:pPr>
    </w:p>
    <w:p w:rsidR="0085709A" w:rsidRDefault="0085709A" w:rsidP="0085709A">
      <w:pPr>
        <w:pStyle w:val="TextoNormal"/>
      </w:pPr>
      <w:r>
        <w:t>En el presente caso, son hechos no discutidos que los funcionarios actuantes acudieron al domicilio social de Chatarras Iruña acompañados de un agente de la Policía Foral y portando una autorización administrativa que (se entendía) les habilitaba para ello, autorización que no fue necesario exhibir puesto que el acceso y posterior registro les fue facilitado por los socios administradores habilitados para ello por ostentar la representación legal de la sociedad. A ninguno de estos informaron aquéllos del derecho que les asistía a oponerse a la entrada (Aunque no fue objeto de prueba directa, este hecho aparece tácitamente admitido por la Administración y aun expresamente si se atiende a la declaración del Director del Servicio sobre la finalidad de la presencia en el acto de la Policía Foral).</w:t>
      </w:r>
    </w:p>
    <w:p w:rsidR="0085709A" w:rsidRDefault="0085709A" w:rsidP="0085709A">
      <w:pPr>
        <w:pStyle w:val="TextoNormal"/>
      </w:pPr>
    </w:p>
    <w:p w:rsidR="0085709A" w:rsidRDefault="0085709A" w:rsidP="0085709A">
      <w:pPr>
        <w:pStyle w:val="TextoNormal"/>
      </w:pPr>
      <w:r>
        <w:t>El juzgado ha estimado que, dada la actitud de los responsables de la empresa, no se incurrió en irregularidad alguna al procederse en la forma expuesta, conclusión que no podemos compartir por contraria a la doctrina establecida con valor de jurisprudencia (obsérvese en la transcripción que precede que está sentada reiteradamente) toda vez que el consentimiento no fue prestado previa información del derecho al que acabamos de referirnos, única forma válida que excusa la necesidad de la autorización judicial, siendo por ende irrelevantes cuantas consideraciones se hacen por la Administración en torno al alcance de la actitud mostrada por los representantes de la empresa que, en su opinión, relevaría a los inspectores actuantes de mostrar la autorización administrativa y de solicitar la judicial.</w:t>
      </w:r>
    </w:p>
    <w:p w:rsidR="0085709A" w:rsidRDefault="0085709A" w:rsidP="0085709A">
      <w:pPr>
        <w:pStyle w:val="TextoNormal"/>
      </w:pPr>
    </w:p>
    <w:p w:rsidR="0085709A" w:rsidRDefault="0085709A" w:rsidP="0085709A">
      <w:pPr>
        <w:pStyle w:val="TextoNormal"/>
      </w:pPr>
      <w:r>
        <w:t>Así que no insistiremos más en este particular: los hechos son claros y la jurisprudencia que los valora también. La consecuencia que ésta establece es asimismo inequívoca: nulidad radical o de pleno derecho por vulneración de un derecho fundamental.</w:t>
      </w:r>
    </w:p>
    <w:p w:rsidR="0085709A" w:rsidRDefault="0085709A" w:rsidP="0085709A">
      <w:pPr>
        <w:pStyle w:val="TextoNormal"/>
      </w:pPr>
    </w:p>
    <w:p w:rsidR="0085709A" w:rsidRDefault="0085709A" w:rsidP="0085709A">
      <w:pPr>
        <w:pStyle w:val="TextoNormal"/>
      </w:pPr>
      <w:r>
        <w:t>…</w:t>
      </w:r>
    </w:p>
    <w:p w:rsidR="0085709A" w:rsidRDefault="0085709A" w:rsidP="0085709A">
      <w:pPr>
        <w:pStyle w:val="TextoNormal"/>
      </w:pPr>
    </w:p>
    <w:p w:rsidR="0085709A" w:rsidRDefault="0085709A" w:rsidP="0085709A">
      <w:pPr>
        <w:pStyle w:val="TextoNormal"/>
      </w:pPr>
      <w:r>
        <w:lastRenderedPageBreak/>
        <w:t xml:space="preserve">Esto nos sitúa ante la cuestión doctrinal y jurisprudencialmente conocida como la doctrina de los frutos del árbol envenenado, que en su formulación más simple propone que son nulas todas las evidencias o pruebas obtenidas directamente o a consecuencia de un acto nulo, pero que en su desarrollo ha sido delimitada en su alcance en el sentido de liberar de tal nulidad aquellas pruebas que, aunque posteriores, hayan sido obtenidas con total independencia del acto nulo. En tal sentido la Sala 2ª del TS (aplicable </w:t>
      </w:r>
      <w:r w:rsidRPr="0085709A">
        <w:rPr>
          <w:i/>
        </w:rPr>
        <w:t>mutatis mutandi</w:t>
      </w:r>
      <w:r>
        <w:t xml:space="preserve"> en esta jurisdicción contencioso-administrativa pues en ambos casos se trata de la nulidad de una diligencia de entrada y registro), de 9 de julio de 1993, señala que aunque la prueba nula es insubsanable, ello no obsta a que por otras vías pueda probarse el hecho básico nuclear objeto de la diligencia nula. Y sigue diciendo, ‘Así por la vía de la confesión del acusado, que está en su derecho de hacerla, ... de las declaraciones de los testigos, etc.’</w:t>
      </w:r>
    </w:p>
    <w:p w:rsidR="0085709A" w:rsidRDefault="0085709A" w:rsidP="0085709A">
      <w:pPr>
        <w:pStyle w:val="TextoNormal"/>
      </w:pPr>
    </w:p>
    <w:p w:rsidR="0085709A" w:rsidRDefault="0085709A" w:rsidP="0085709A">
      <w:pPr>
        <w:pStyle w:val="TextoNormal"/>
      </w:pPr>
      <w:r>
        <w:t>Y justamente eso es lo sucedido en el caso en el que entre la actuación nula y la finalización del expediente de inspección ha mediado un reconocimiento de hechos por el representante de la inspeccionada al que ha de otorgársele ese efecto interruptor del nexo entre la nulidad declarada y la resolución final. Ese reconocimiento es el de que "la Sociedad ha llevado en los años 2001 a 2005, ambos inclusive, una contabilidad B al margen de la contabilidad oficial, que se ha mantenido oculta y respecto de la cual se han incumplido de forma absoluta las obligaciones fiscales", reconocimiento que está en la base de la conformidad prestada por su representante a las actas levantadas por la Inspección respecto al IVA 2003, sociedades 2003 y 2005 y sanciones por los mismos períodos e impuestos respecto de los cuales se incoó causa penal luego sobreseída al saldar los imputados todas sus responsabilidades frente a la Hacienda Foral.</w:t>
      </w:r>
    </w:p>
    <w:p w:rsidR="0085709A" w:rsidRDefault="0085709A" w:rsidP="0085709A">
      <w:pPr>
        <w:pStyle w:val="TextoNormal"/>
      </w:pPr>
    </w:p>
    <w:p w:rsidR="0085709A" w:rsidRDefault="0085709A" w:rsidP="0085709A">
      <w:pPr>
        <w:pStyle w:val="TextoNormal"/>
      </w:pPr>
      <w:r>
        <w:t>Aunque esta causa penal se siguió solo por los impuestos y períodos indicados por ser estos los únicos de los que se alcanzaba el mínimo cuantitativo necesario para la tipificación de los hechos como delito, el reconocimiento se extiende a todos los períodos de 2001 a 2005, ambos inclusive, e impuestos inspeccionados, por lo que va de suyo que también a las actas relativas a esos otros ejercicios respecto de los que no la hubo es extensible la conformidad; o, dicho de otro modo, puede afirmarse la veracidad de los hechos en ella reflejados, máxime cuando nada ha alegado la recurrente en torno a la inexactitud de alguno de ellos.</w:t>
      </w:r>
    </w:p>
    <w:p w:rsidR="0085709A" w:rsidRDefault="0085709A" w:rsidP="0085709A">
      <w:pPr>
        <w:pStyle w:val="TextoNormal"/>
      </w:pPr>
    </w:p>
    <w:p w:rsidR="0085709A" w:rsidRDefault="0085709A" w:rsidP="0085709A">
      <w:pPr>
        <w:pStyle w:val="TextoNormal"/>
      </w:pPr>
      <w:r>
        <w:t>Y este reconocimiento está totalmente desvinculado de la diligencia que hemos reputado nula, no constando que haya sido efectuado por error o intimidación, sino es la psicológica (y legal) del proceso penal. Así que ha de tenérsele por válido en derecho siendo pertinente precisar que si bien la STS de 9-7-93 condiciona la eficacia de la confesión a que se refiere a que haya sido el confesante advertido de sus derechos, esta exigencia debe entenderse hecha en el contexto del proceso penal en el que aquella sentencia se dicta y en el que es preceptiva en todo caso, cosa que no sucede en el administrativo, especialmente si el administrado estaba asistido, como lo estaba, jurídicamente.</w:t>
      </w:r>
    </w:p>
    <w:p w:rsidR="0085709A" w:rsidRDefault="0085709A" w:rsidP="0085709A">
      <w:pPr>
        <w:pStyle w:val="TextoNormal"/>
      </w:pPr>
    </w:p>
    <w:p w:rsidR="0085709A" w:rsidRDefault="0085709A" w:rsidP="0085709A">
      <w:pPr>
        <w:pStyle w:val="TextoNormal"/>
      </w:pPr>
      <w:r>
        <w:t>Por tanto y en resumen, ha de entenderse que ese reconocimiento es bastante para aislar la prueba nula y no extender sus efectos a las actas levantadas, como autoriza la repetida sentencia…”</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La parte recurrente aduce en su demanda de amparo las siguientes vulneraciones: i) vulneración del derecho a la inviolabilidad del domicilio del art. 18.2 CE, si bien respecto </w:t>
      </w:r>
      <w:r>
        <w:lastRenderedPageBreak/>
        <w:t>de los pronunciamientos del Tribunal Económico-Administrativo Foral y del Juzgado de lo Contencioso-Administrativo núm. 1 de Pamplona, no admitidos en apelación y que, por tanto, devinieron firmes en primera instancia, aduciendo que el consentimiento de los representantes de la sociedad no es válido al no haber sido informados de la posibilidad de oponerse a la actuación inspectora; ii) vulneración del derecho al secreto de las comunicaciones del art. 18.3 CE, con las misma circunstancias y alcance del motivo anterior, al haber accedido los funcionarios actuantes de forma indiscriminada a los números de teléfono de los clientes de la recurrente; iii).vulneración del derecho a un proceso justo con todas las garantías del art. 24.2 CE, en cuanto al reconocimiento del valor de la conformidad realizada por la Sentencia del Tribunal Superior de Justicia de Navarra, en tanto que dicho reconocimiento está condicionado por la prueba ilícita obtenida con vulneración de derechos fundamentales; y iv) vulneración del derecho a la presunción de inocencia del art. 24.2 CE, por no existir prueba válida y lícita que haya sido suficiente para demostrar los hechos y cuantías contenidas en las resoluciones administrativas inicialmente impugnadas.</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29 de mayo de 2014 la Sala Segunda de este Tribunal acordó la admisión a trámite de la demanda de amparo presentada y, de conformidad con lo dispuesto en el art. 51 de la Ley Orgánica del Tribunal Constitucional (LOTC), dirigir atenta comunicación a la Sala de lo Contencioso-Administrativo del Tribunal Superior de Justicia de Navarra y al Juzgado de lo Contencioso-Administrativo núm. 1 de Pamplona a fin de que remitieran certificación o copia adverada de las actuaciones y para que se procediera al emplazamiento de quienes hubieran sido parte en el proceso para que en el plazo de diez días pudieran comparecer en este proceso constitucional de amparo.</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del Secretario de Justicia de la Sala Segunda de este Tribunal de fecha 4 de julio de 2014 se acordó tener por personado y parte al Letrado de la Comunidad Foral de Navarra y, con arreglo al art. 52 LOTC, conceder a las partes personadas y el Ministerio Fiscal el plazo común de veinte días para que, con vista de las actuaciones, formulasen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Por la parte demandante y por el Fiscal se solicitó que se aportara el expediente administrativo, acordándose de conformidad por diligencia de ordenación de fecha 7 de octubre de 2014 y, una vez incorporado, se dio vista a las partes quienes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7</w:t>
      </w:r>
      <w:r>
        <w:t>. En el trámite del art. 52 LOTC, el demandante presentó alegaciones que reproducían sustancialmente las ya formuladas en su escrito de demanda de amparo constitucional.</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Letrado de la Comunidad Foral de Navarra presentó su escrito de alegaciones en el mismo trámite, en el que solicitó la denegación del amparo, alegando en síntesis lo siguiente: i) en primer lugar, opone como óbice de admisibilidad la falta de trascendencia constitucional del recurso; ii) no existe vulneración del derecho constitucional a la inviolabilidad del domicilio puesto que el demandante de amparo prestó conformidad a la entrada en el local de los actuarios quienes, además, tenían autorización del director gerente de la Hacienda Tributaria de Navarra, sin que tuviera que hacer uso de dicha autorización al ser invitadas a pasar a las dependencias por los representantes de la entidad demandante; iii) la inspección se realizó en todo momento con el consentimiento del obligado tributario, de forma que lo obtenido en la visita de inspección es plenamente utilizable, tanto en lo referido </w:t>
      </w:r>
      <w:r>
        <w:lastRenderedPageBreak/>
        <w:t>a la entrada en el domicilio como en el acceso al material informático y a la aportación de las facturas telefónicas por parte de los representantes de la empresa recurrente; y iv) no existe vulneración del derecho a un proceso con todas las garantías y a la presunción de inocencia, puesto que la evidencia de la conducta infractora se obtiene de otros elementos de prueba obrantes en autos, y del reconocimiento realizado por el propio obligado tributario en las actas de conformidad, que no fueron impugnadas por la entidad demandante.</w:t>
      </w:r>
    </w:p>
    <w:p w:rsidR="0085709A" w:rsidRDefault="0085709A" w:rsidP="0085709A">
      <w:pPr>
        <w:pStyle w:val="TextoNormal"/>
      </w:pPr>
    </w:p>
    <w:p w:rsidR="0085709A" w:rsidRDefault="0085709A" w:rsidP="0085709A">
      <w:pPr>
        <w:pStyle w:val="TextoNormal"/>
      </w:pPr>
      <w:r w:rsidRPr="0085709A">
        <w:rPr>
          <w:rStyle w:val="NumeroAFNegritaCaracter"/>
        </w:rPr>
        <w:t>9</w:t>
      </w:r>
      <w:r>
        <w:t>. El Ministerio Fiscal presentó su escrito de alegaciones, en el que se solicita, con carácter principal, la inadmisión parcial del recurso por extemporaneidad, en relación a las liquidaciones no admitidas en apelación, y la estimación del amparo por vulneración del derecho a un proceso con todas las garantías del art 24.2 CE, interesando que se declara la nulidad de las resoluciones impugnadas con retroacción de actuaciones. Subsidiariamente, para el caso de no apreciarse la inadmisibilidad opuesta, que se declare la vulneración del derecho a la inviolabilidad del domicilio y al secreto de las comunicaciones en relación a las liquidaciones tributarias no admitidas en apelación, declarando la nulidad de las resoluciones impugnadas con retroacción de actuaciones.</w:t>
      </w:r>
    </w:p>
    <w:p w:rsidR="0085709A" w:rsidRDefault="0085709A" w:rsidP="0085709A">
      <w:pPr>
        <w:pStyle w:val="TextoNormal"/>
      </w:pPr>
    </w:p>
    <w:p w:rsidR="0085709A" w:rsidRDefault="0085709A" w:rsidP="0085709A">
      <w:pPr>
        <w:pStyle w:val="TextoNormal"/>
      </w:pPr>
      <w:r>
        <w:t>Alega en síntesis lo siguiente: i) en primer lugar, opone la extemporaneidad de las vulneraciones imputadas a la Sentencia del Juzgado por recurso manifiestamente improcedente en relación a las liquidaciones tributarias inadmitidas en apelación; ii) en cuanto al fondo, entiende que la Sentencia del Tribunal Superior de Justicia de Navarra vulneró el derecho a un proceso con todas las garantías, en relación al derecho a no declarar contra sí mismo y a no confesarse culpable, al haber apreciado la lesión del art. 18.2 CE y ello no obstante dar valor sanatorio a la conformidad expresada por el obligado tributario cuando es evidente la estrecha vinculación con las diligencias reputadas ilícitas; iii) por el contrario, no existe vulneración de la presunción de inocencia, puesto que existen distintas pruebas de cargo, reflejadas en los informes de inspección, independientes de las obtenidas como consecuencia de la entrada, cuya suficiencia debe ser valorada, en su caso, por la Administración, dada la función revisora de la jurisdicción contencioso-administrativa; y iv) subsidiariamente, y para el caso de que no se apreciara la inadmisibilidad parcial aducida, el Fiscal entiende que se ha producido una vulneración de los derechos fundamentales a la inviolabilidad del domicilio y del secreto de las comunicaciones al no ser válido el consentimiento prestado por el obligado tributario.</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12 de marzo de 2015, se señaló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Es objeto del presente recurso de amparo la Sentencia de fecha 15 de marzo de 2013, dictada por la Sala de lo Contencioso-Administrativo del Tribunal Superior de Justicia de Navarra en el recurso de apelación 303-2012, interpuesto contra la Sentencia de 6 de febrero de 2012 dictada por el Juzgado de lo Contencioso-Administrativo 1 de Pamplona, en procedimiento ordinario núm. 81-2010, que, a su vez, desestiman el recurso contencioso contra el acuerdo de fecha 30 de marzo de 2010 del Tribunal Económico-Administrativo Foral de Navarra.</w:t>
      </w:r>
    </w:p>
    <w:p w:rsidR="0085709A" w:rsidRDefault="0085709A" w:rsidP="0085709A">
      <w:pPr>
        <w:pStyle w:val="TextoNormal"/>
      </w:pPr>
    </w:p>
    <w:p w:rsidR="0085709A" w:rsidRDefault="0085709A" w:rsidP="0085709A">
      <w:pPr>
        <w:pStyle w:val="TextoNormal"/>
      </w:pPr>
      <w:r>
        <w:lastRenderedPageBreak/>
        <w:t>En la demanda de amparo se denuncian las siguientes infracciones : i) vulneración del derecho a la inviolabilidad del domicilio del art. 18.2 CE,; ii) vulneración del derecho al secreto de las comunicaciones del art. 18.3 CE; iii) vulneración del derecho a un proceso justo con todas las garantías del art. 24.2 CE; y iv) vulneración del derecho a la presunción de inocencia del art. 24.2 CE, por no existir prueba válida y lícita que haya sido suficiente para demostrar los hechos y cuantías contenidas en las resoluciones administrativas inicialmente impugnadas.</w:t>
      </w:r>
    </w:p>
    <w:p w:rsidR="0085709A" w:rsidRDefault="0085709A" w:rsidP="0085709A">
      <w:pPr>
        <w:pStyle w:val="TextoNormal"/>
      </w:pPr>
    </w:p>
    <w:p w:rsidR="0085709A" w:rsidRDefault="0085709A" w:rsidP="0085709A">
      <w:pPr>
        <w:pStyle w:val="TextoNormal"/>
      </w:pPr>
      <w:r>
        <w:t>El Ministerio Fiscal opone la inadmisibilidad parcial del recurso por extemporaneidad; en cuanto al resto, interesa la estimación del amparo por la vulneración del derecho a un proceso con todas las garantías. Por su parte, el Letrado de la Comunidad Foral de Navarra opone, como causa de inadmisibilidad, la falta de especial trascendencia constitucional del recurso, solicitando en otro caso la desestimación del recurso.</w:t>
      </w:r>
    </w:p>
    <w:p w:rsidR="0085709A" w:rsidRDefault="0085709A" w:rsidP="0085709A">
      <w:pPr>
        <w:pStyle w:val="TextoNormal"/>
      </w:pPr>
    </w:p>
    <w:p w:rsidR="0085709A" w:rsidRDefault="0085709A" w:rsidP="0085709A">
      <w:pPr>
        <w:pStyle w:val="TextoNormal"/>
      </w:pPr>
      <w:r w:rsidRPr="0085709A">
        <w:rPr>
          <w:rStyle w:val="NumeroAFNegritaCaracter"/>
        </w:rPr>
        <w:t>2</w:t>
      </w:r>
      <w:r>
        <w:t>. El análisis del presente recurso de amparo debe partir de la sistematización de los motivos de amparo alegados por la demandante, que pueden dividirse en dos bloques:</w:t>
      </w:r>
    </w:p>
    <w:p w:rsidR="0085709A" w:rsidRDefault="0085709A" w:rsidP="0085709A">
      <w:pPr>
        <w:pStyle w:val="TextoNormal"/>
      </w:pPr>
    </w:p>
    <w:p w:rsidR="0085709A" w:rsidRDefault="0085709A" w:rsidP="0085709A">
      <w:pPr>
        <w:pStyle w:val="TextoNormal"/>
      </w:pPr>
      <w:r>
        <w:t>(i) un primer bloque hace referencia a las vulneraciones imputadas a la Sentencia del Juzgado de lo Contencioso-Administrativo núm. 1 de Pamplona, que se refieren exclusivamente a las liquidaciones y sanciones que quedaron imprejuzgadas en segunda instancia, al ser inadmitido parcialmente el recurso de apelación por razón de cuantía según se ha expresado en los antecedentes de esta resolución. En este bloque se incluyen las lesiones del art. 18.2 y 18.3 CE, por cuanto que la Sentencia de instancia entendió que la actuación inspectora fue lícita en cuanto a la entrada en domicilio y acceso a los listados telefónicos.</w:t>
      </w:r>
    </w:p>
    <w:p w:rsidR="0085709A" w:rsidRDefault="0085709A" w:rsidP="0085709A">
      <w:pPr>
        <w:pStyle w:val="TextoNormal"/>
      </w:pPr>
    </w:p>
    <w:p w:rsidR="0085709A" w:rsidRDefault="0085709A" w:rsidP="0085709A">
      <w:pPr>
        <w:pStyle w:val="TextoNormal"/>
      </w:pPr>
      <w:r>
        <w:t>(ii) un segundo bloque es el de vulneraciones imputadas a la Sentencia de apelación, dictada por el Tribunal Superior de Justicia, que se refieren a las liquidaciones y sanciones que fueron resueltas en alzada. En relación a éstas, la vulneración aducida es la del art. 24.2 CE, puesto que la Sentencia de apelación apreció la ilicitud de la entrada domiciliar y del acceso a los listados telefónicos, si bien desestimó el recurso al no apreciar conexión de antijuridicidad con la conformidad prestada por el obligado tributario.</w:t>
      </w:r>
    </w:p>
    <w:p w:rsidR="0085709A" w:rsidRDefault="0085709A" w:rsidP="0085709A">
      <w:pPr>
        <w:pStyle w:val="TextoNormal"/>
      </w:pPr>
    </w:p>
    <w:p w:rsidR="0085709A" w:rsidRDefault="0085709A" w:rsidP="0085709A">
      <w:pPr>
        <w:pStyle w:val="TextoNormal"/>
      </w:pPr>
      <w:r>
        <w:t>Delimitado así el objeto y atendidas las alegaciones de las partes, debemos examinar con carácter previo los óbices procesales aducidos.</w:t>
      </w:r>
    </w:p>
    <w:p w:rsidR="0085709A" w:rsidRDefault="0085709A" w:rsidP="0085709A">
      <w:pPr>
        <w:pStyle w:val="TextoNormal"/>
      </w:pPr>
    </w:p>
    <w:p w:rsidR="0085709A" w:rsidRDefault="0085709A" w:rsidP="0085709A">
      <w:pPr>
        <w:pStyle w:val="TextoNormal"/>
      </w:pPr>
      <w:r>
        <w:t>Siguiendo un orden lógico, en primer lugar ha de analizarse la causa de inadmisibilidad parcial opuesta por el Ministerio Fiscal que se refiere al primero de los bloques expresados, consistente en la indebida prolongación de la vía judicial previa al haberse interpuesto un recurso de apelación manifiestamente improcedente. Posteriormente, se examinará el óbice opuesto por el Letrado de la Comunidad Foral de Navarra referido a la falta de especial trascendencia constitucional del recurso.</w:t>
      </w:r>
    </w:p>
    <w:p w:rsidR="0085709A" w:rsidRDefault="0085709A" w:rsidP="0085709A">
      <w:pPr>
        <w:pStyle w:val="TextoNormal"/>
      </w:pPr>
    </w:p>
    <w:p w:rsidR="0085709A" w:rsidRDefault="0085709A" w:rsidP="0085709A">
      <w:pPr>
        <w:pStyle w:val="TextoNormal"/>
      </w:pPr>
      <w:r w:rsidRPr="0085709A">
        <w:rPr>
          <w:rStyle w:val="NumeroAFNegritaCaracter"/>
        </w:rPr>
        <w:t>3</w:t>
      </w:r>
      <w:r>
        <w:t>. En relación a la causa de inadmisibilidad parcial opuesta por el Ministerio Fiscal, la misma se refiere a los actos impugnados cuya apelación fue inadmitida por no alcanzar la cuantía de 30.000 € y que resultan expresados en el fundamento jurídico primero de la Sentencia dictada por el Tribunal Superior de Justicia de Navarra.</w:t>
      </w:r>
    </w:p>
    <w:p w:rsidR="0085709A" w:rsidRDefault="0085709A" w:rsidP="0085709A">
      <w:pPr>
        <w:pStyle w:val="TextoNormal"/>
      </w:pPr>
    </w:p>
    <w:p w:rsidR="0085709A" w:rsidRDefault="0085709A" w:rsidP="0085709A">
      <w:pPr>
        <w:pStyle w:val="TextoNormal"/>
      </w:pPr>
      <w:r>
        <w:lastRenderedPageBreak/>
        <w:t xml:space="preserve">De acuerdo con la doctrina de este Tribunal, la indebida prolongación de la vía judicial previa por causa de la interposición de un recurso no autorizado por la Ley puede ocasionar la extemporaneidad del recurso de amparo por prórroga indebida del plazo establecido en el art. 44.2 de la Ley Orgánica del Tribunal Constitucional (LOTC). Pero para que dicha consecuencia se produzca, este Tribunal ha venido exigiendo que la improcedencia del recurso sea evidente, esto es, comprobable </w:t>
      </w:r>
      <w:r w:rsidRPr="0085709A">
        <w:rPr>
          <w:i/>
        </w:rPr>
        <w:t>prima facie</w:t>
      </w:r>
      <w:r>
        <w:t xml:space="preserv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w:t>
      </w:r>
    </w:p>
    <w:p w:rsidR="0085709A" w:rsidRDefault="0085709A" w:rsidP="0085709A">
      <w:pPr>
        <w:pStyle w:val="TextoNormal"/>
      </w:pPr>
    </w:p>
    <w:p w:rsidR="0085709A" w:rsidRDefault="0085709A" w:rsidP="0085709A">
      <w:pPr>
        <w:pStyle w:val="TextoNormal"/>
      </w:pPr>
      <w:r>
        <w:t>En este caso, la Sentencia de primera instancia indicaba que contra la misma podía interponerse recurso de apelación, sin referencia alguna a la irrecurribilidad de actos de cuantía no superior a 30.000 euros. La parte demandante, siguiendo las indicaciones, interpuso recurso de apelación, que fue admitido y tramitado por el Juzgado de instancia. Por tanto, la inadmisibilidad parcial del recurso se resuelve en la Sentencia dictada por la Sala de apelación.</w:t>
      </w:r>
    </w:p>
    <w:p w:rsidR="0085709A" w:rsidRDefault="0085709A" w:rsidP="0085709A">
      <w:pPr>
        <w:pStyle w:val="TextoNormal"/>
      </w:pPr>
    </w:p>
    <w:p w:rsidR="0085709A" w:rsidRDefault="0085709A" w:rsidP="0085709A">
      <w:pPr>
        <w:pStyle w:val="TextoNormal"/>
      </w:pPr>
      <w:r>
        <w:t>A la vista de ello, es de aplicación la doctrina establecida en la STC 241/2006, de 20 de julio, del Pleno, FJ 3, en la cual se afirma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de la Ley Orgánica del Poder Judicial (LOPJ), con fundamento en que la instrucción o información errónea acerca de los recursos facilitada por los órganos judicial es susceptible de inducir a un error a la parte litigante, que hay que considerar en todo caso excusable dada la autoridad que necesariamente ha de merecer la decisión judicial, citando las SSTC 79/2004, de 5 de mayo, FJ 2, y 244/2005, de 10 de octubre, FJ 3.</w:t>
      </w:r>
    </w:p>
    <w:p w:rsidR="0085709A" w:rsidRDefault="0085709A" w:rsidP="0085709A">
      <w:pPr>
        <w:pStyle w:val="TextoNormal"/>
      </w:pPr>
    </w:p>
    <w:p w:rsidR="0085709A" w:rsidRDefault="0085709A" w:rsidP="0085709A">
      <w:pPr>
        <w:pStyle w:val="TextoNormal"/>
      </w:pPr>
      <w:r>
        <w:t>En aplicación de dicha doctrina constitucional, en el presente caso ha de rechazarse la posible extemporaneidad de la demanda de amparo como consecuencia de la interposición de un recurso manifiestamente improcedente, consideración que ha de merecer en este caso la apelación contra actos de cuantía no superior a 30.000 euros, puesto que la parte siguió las indicaciones del órgano jurisdiccional de instancia y, además, el recurso fue admitido por el órgano</w:t>
      </w:r>
      <w:r w:rsidRPr="0085709A">
        <w:rPr>
          <w:i/>
        </w:rPr>
        <w:t xml:space="preserve"> a qu</w:t>
      </w:r>
      <w:r>
        <w:t>o.</w:t>
      </w:r>
    </w:p>
    <w:p w:rsidR="0085709A" w:rsidRDefault="0085709A" w:rsidP="0085709A">
      <w:pPr>
        <w:pStyle w:val="TextoNormal"/>
      </w:pPr>
    </w:p>
    <w:p w:rsidR="0085709A" w:rsidRDefault="0085709A" w:rsidP="0085709A">
      <w:pPr>
        <w:pStyle w:val="TextoNormal"/>
      </w:pPr>
      <w:r>
        <w:t>Además, debe subrayarse que la recurrente ejercitó una demanda con acciones acumuladas, las cuales se resolvieron definitivamente en la Sentencia de segunda instancia, si bien con declaración de inadmisibilidad parcial del recurso de apelación respecto de algunas de las acciones que habían sido acumuladas. En esta tesitura, no es procedente fragmentar la interposición del amparo, puesto que la Sentencia que puso fin a la vía judicial fue la de segunda instancia, en tanto que dicha resolución es la que resuelve sobre todas las acciones acumuladas, al haberse tramitado la apelación interpuesta por la parte recurrente.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Debemos ahora analizar el óbice procesal aducido por el Letrado de la Comunidad Foral de Navarra relativo a la falta de trascendencia constitucional del recurso.</w:t>
      </w:r>
    </w:p>
    <w:p w:rsidR="0085709A" w:rsidRDefault="0085709A" w:rsidP="0085709A">
      <w:pPr>
        <w:pStyle w:val="TextoNormal"/>
      </w:pPr>
    </w:p>
    <w:p w:rsidR="0085709A" w:rsidRDefault="0085709A" w:rsidP="0085709A">
      <w:pPr>
        <w:pStyle w:val="TextoNormal"/>
      </w:pPr>
      <w:r>
        <w:t>Este Tribunal ha venido distinguiendo entre la justificación de la especial trascendencia constitucional, que es un requisito procesal de la demanda, y la existencia misma de la especial trascendencia constitucional, que es una apreciación que corresponde al Tribunal.</w:t>
      </w:r>
    </w:p>
    <w:p w:rsidR="0085709A" w:rsidRDefault="0085709A" w:rsidP="0085709A">
      <w:pPr>
        <w:pStyle w:val="TextoNormal"/>
      </w:pPr>
    </w:p>
    <w:p w:rsidR="0085709A" w:rsidRDefault="0085709A" w:rsidP="0085709A">
      <w:pPr>
        <w:pStyle w:val="TextoNormal"/>
      </w:pPr>
      <w:r>
        <w:t xml:space="preserve">Respecto del requisito procesal, hemos indicado que el art. 50.1 a) LOTC establece que la admisión del recurso de amparo exige el cumplimiento de los requisitos fijados en los arts. 41 a 46 y 49 LOTC, estableciendo este último precepto en su apartado primero </w:t>
      </w:r>
      <w:r w:rsidRPr="0085709A">
        <w:rPr>
          <w:i/>
        </w:rPr>
        <w:t>in fine</w:t>
      </w:r>
      <w:r>
        <w:t>, de forma inequívoca —“[e]n todo caso”—, que la demanda ha de justificar la especial trascendencia constitucional del recurso. Para satisfacer esta exigencia,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85709A" w:rsidRDefault="0085709A" w:rsidP="0085709A">
      <w:pPr>
        <w:pStyle w:val="TextoNormal"/>
      </w:pPr>
    </w:p>
    <w:p w:rsidR="0085709A" w:rsidRDefault="0085709A" w:rsidP="0085709A">
      <w:pPr>
        <w:pStyle w:val="TextoNormal"/>
      </w:pPr>
      <w:r>
        <w:t>En el presente caso, la demanda razona específicamente sobre la especial trascendencia constitucional del recurso, con cita expresa de la STC 155/2009, de 25 de junio, y alegando en síntesis: i) la negativa del deber de acatamiento de la doctrina constitucional sobre el derecho a la inviolabilidad del domicilio y el secreto de las comunicaciones de la cual se habría apartado conscientemente el Juzgado núm. 1 de Navarra; ii) apartamiento de la doctrina constitucional sobre el secreto de las comunicaciones, que se califica de consciente y deliberado; iii) negativa a acatar la doctrina sobre la prueba ilícitamente obtenida (art. 24.2 CE) ; y iv) necesidad de perfilar la doctrina constitucional sobre los efectos y el tratamiento procesal de la prueba ilícita y la posibilidad de convalidar los hechos objeto de confesión libre cuando ésta no se produce ni el seno de un procedimiento administrativo ni en el judicial, en el cual tampoco se ha practicado un interrogatorio en sentido estricto.</w:t>
      </w:r>
    </w:p>
    <w:p w:rsidR="0085709A" w:rsidRDefault="0085709A" w:rsidP="0085709A">
      <w:pPr>
        <w:pStyle w:val="TextoNormal"/>
      </w:pPr>
    </w:p>
    <w:p w:rsidR="0085709A" w:rsidRDefault="0085709A" w:rsidP="0085709A">
      <w:pPr>
        <w:pStyle w:val="TextoNormal"/>
      </w:pPr>
      <w:r>
        <w:t>Por tanto, y con independencia de la valoración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que tenemos asentados en nuestra doctrina antes citada.</w:t>
      </w:r>
    </w:p>
    <w:p w:rsidR="0085709A" w:rsidRDefault="0085709A" w:rsidP="0085709A">
      <w:pPr>
        <w:pStyle w:val="TextoNormal"/>
      </w:pPr>
    </w:p>
    <w:p w:rsidR="0085709A" w:rsidRDefault="0085709A" w:rsidP="0085709A">
      <w:pPr>
        <w:pStyle w:val="TextoNormal"/>
      </w:pPr>
      <w:r>
        <w:t>En relación a la especial trascendencia constitucional de esta demanda de amparo, hemos declarado, entre otras muchas, en la STC 127/2013, de 3 de junio, FJ 2,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(entre otras, STC 95/2010, de 15 de noviembre, FJ 4)”.</w:t>
      </w:r>
    </w:p>
    <w:p w:rsidR="0085709A" w:rsidRDefault="0085709A" w:rsidP="0085709A">
      <w:pPr>
        <w:pStyle w:val="TextoNormal"/>
      </w:pPr>
    </w:p>
    <w:p w:rsidR="0085709A" w:rsidRDefault="0085709A" w:rsidP="0085709A">
      <w:pPr>
        <w:pStyle w:val="TextoNormal"/>
      </w:pPr>
      <w:r>
        <w:lastRenderedPageBreak/>
        <w:t>En el presente caso, el recurso de amparo plantea dos cuestiones que resulta conveniente aclarar como son los requisitos de validez del consentimiento en entradas domiciliares y la proyección sobre la garantía de no autoincriminación en el procedimiento sancionador de la conformidad prestada en relación a otros periodos impositivos para evitar un proceso penal, y que trae causa de una previa actuación ilícita que, de alguna manera, ha podido condicionarla, lo cual justifica la admisión del recurso al encajar en el apartado b) del fundamento jurídico 2 de la STC 155/2009, de 25 de junio, por lo que el óbice opuesto debe ser desestimado.</w:t>
      </w:r>
    </w:p>
    <w:p w:rsidR="0085709A" w:rsidRDefault="0085709A" w:rsidP="0085709A">
      <w:pPr>
        <w:pStyle w:val="TextoNormal"/>
      </w:pPr>
    </w:p>
    <w:p w:rsidR="0085709A" w:rsidRDefault="0085709A" w:rsidP="0085709A">
      <w:pPr>
        <w:pStyle w:val="TextoNormal"/>
      </w:pPr>
      <w:r w:rsidRPr="0085709A">
        <w:rPr>
          <w:rStyle w:val="NumeroAFNegritaCaracter"/>
        </w:rPr>
        <w:t>5</w:t>
      </w:r>
      <w:r>
        <w:t>. Delimitado así el objeto del amparo, debemos iniciar nuestro análisis en relación a la inviolabilidad del domicilio que se imputa a la actuación inspectora, así como a la Sentencia del Juzgado, respecto de las liquidaciones que quedaron imprejuzgadas en apelación al no admitirse el recurso. En cuanto a los actos administrativos cuya apelación fue resuelta, como ha quedado expuesto en los antecedentes, la Sentencia de la Sala de apelación apreció la vulneración del art. 18.2 CE en aplicación de la jurisprudencia del Tribunal Supremo sobre los requisitos exigibles para que el consentimiento del interesado a la entrada sea válido.</w:t>
      </w:r>
    </w:p>
    <w:p w:rsidR="0085709A" w:rsidRDefault="0085709A" w:rsidP="0085709A">
      <w:pPr>
        <w:pStyle w:val="TextoNormal"/>
      </w:pPr>
    </w:p>
    <w:p w:rsidR="0085709A" w:rsidRDefault="0085709A" w:rsidP="0085709A">
      <w:pPr>
        <w:pStyle w:val="TextoNormal"/>
      </w:pPr>
      <w:r>
        <w:t>Para analizar este motivo, y habida cuenta que la actuación se produce en el domicilio de una persona jurídica, debe recordarse la doctrina de este Tribunal que afirma que el derecho fundamental a la inviolabilidad del domicilio es extensivo a las personas jurídicas ( por todas, STC 137/1985, de 17 de octubre, FJ 3), si bien no existe una plena correlación entre el concepto legal de domicilio de las personas jurídicas establecido por la legislación mercantil, con el del domicilio constitucionalmente protegido, ya que éste es un concepto “de mayor amplitud que el concepto jurídico privado o jurídico administrativo” (SSTC 22/1984, de 17 de febrero, FJ 2; 160/1991, de 16 de julio, FJ 8, y 50/1995, de 23 de febrero, FJ 5, entre otras).</w:t>
      </w:r>
    </w:p>
    <w:p w:rsidR="0085709A" w:rsidRDefault="0085709A" w:rsidP="0085709A">
      <w:pPr>
        <w:pStyle w:val="TextoNormal"/>
      </w:pPr>
    </w:p>
    <w:p w:rsidR="0085709A" w:rsidRDefault="0085709A" w:rsidP="0085709A">
      <w:pPr>
        <w:pStyle w:val="TextoNormal"/>
      </w:pPr>
      <w:r>
        <w:t>La STC 69/1999, de 26 de abril, FJ 2, precisa que las personas jurídicas gozan de una intensidad menor de protección, por faltar una estrecha vinculación con un ámbito de intimidad en su sentido originario; esto es, el referido a la vida personal y familiar, sólo predicable de las personas físicas. De suerte que ha de entenderse que en este ámbito la protección constitucional del domicilio de las personas jurídicas y, en lo que aquí importa, de las sociedades mercantiles, sólo se extiende a los espacios físicos que son indispensables para que puedan desarrollar su actividad sin intromisiones ajenas, por constituir el centro de dirección de la sociedad o de un establecimiento dependiente de la misma o servir a la custodia de los documentos u otros soportes de la vida diaria de la sociedad o de su establecimiento que quedan reservados al conocimiento de terceros.</w:t>
      </w:r>
    </w:p>
    <w:p w:rsidR="0085709A" w:rsidRDefault="0085709A" w:rsidP="0085709A">
      <w:pPr>
        <w:pStyle w:val="TextoNormal"/>
      </w:pPr>
    </w:p>
    <w:p w:rsidR="0085709A" w:rsidRDefault="0085709A" w:rsidP="0085709A">
      <w:pPr>
        <w:pStyle w:val="TextoNormal"/>
      </w:pPr>
      <w:r>
        <w:t>En el presente caso, según los hechos probados recogidos en la Sentencia recurrida, los funcionarios actuantes acudieron al domicilio social de la entidad mercantil Chatarras Iruña, S.A., acompañados de un sargento de la Policía Foral y portando una autorización administrativa, que no fue necesario exhibir puesto que el acceso y posterior registro les fue facilitado por los socios administradores habilitados para ello por ostentar la representación legal de la sociedad. Los funcionarios entraron en las dependencias de la empresa y sin que a ninguno de los socios se informara del derecho que les asistía a oponerse a la entrada.</w:t>
      </w:r>
    </w:p>
    <w:p w:rsidR="0085709A" w:rsidRDefault="0085709A" w:rsidP="0085709A">
      <w:pPr>
        <w:pStyle w:val="TextoNormal"/>
      </w:pPr>
    </w:p>
    <w:p w:rsidR="0085709A" w:rsidRDefault="0085709A" w:rsidP="0085709A">
      <w:pPr>
        <w:pStyle w:val="TextoNormal"/>
      </w:pPr>
      <w:r>
        <w:lastRenderedPageBreak/>
        <w:t>Debemos, por tanto, analizar si se han cumplido los requisitos del consentimiento del titular del derecho cuando, como en este caso, el consentimiento actúa como fuente de legitimación constitucional de la injerencia en el ámbito de los derechos fundamentales del art. 18 CE. En este ámbito, hemos afirmado en la STC 173/2011, de 7 de noviembre, FJ 2, que el consentimiento eficaz del sujeto particular permite la inmisión en su derecho a la intimidad, si bien no precisa ser expreso, admitiéndose también un consentimiento tácito; en supuestos referentes al derecho a la inviolabilidad del domicilio del art. 18.2 CE, hemos indicado asimismo que este consentimiento no necesita ser expreso (STC 22/1984, de 17 de febrero) y que, salvo casos excepcionales, la mera falta de oposición a la intromisión domiciliar no podrá entenderse como un consentimiento tácito (STC 209/2007, de 24 de septiembre, FJ 5).</w:t>
      </w:r>
    </w:p>
    <w:p w:rsidR="0085709A" w:rsidRDefault="0085709A" w:rsidP="0085709A">
      <w:pPr>
        <w:pStyle w:val="TextoNormal"/>
      </w:pPr>
    </w:p>
    <w:p w:rsidR="0085709A" w:rsidRDefault="0085709A" w:rsidP="0085709A">
      <w:pPr>
        <w:pStyle w:val="TextoNormal"/>
      </w:pPr>
      <w:r>
        <w:t>Ahora bien, en todos los casos, el consentimiento eficaz tiene como presupuesto el de la garantía formal de la información expresa y previa, que debe incluir los términos y alcance de la actuación para la que se recaba la autorización injerente. Así, en el ámbito del derecho a la intimidad, hemos apreciado la vulneración de dicha garantía en los casos en que la actuación no se ajusta a los términos y el alcance para el que se otorgó el consentimiento, quebrando la conexión entre la actuación que se realiza y el objetivo tolerado para el que fue recabado el consentimiento (en este sentido, SSTC 110/1984, de 26 de noviembre, FJ 8, y 70/2009, de 23 de marzo, FJ 2).</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A la hora de determinar los requisitos del consentimiento del titular </w:t>
      </w:r>
      <w:r w:rsidRPr="0085709A">
        <w:rPr>
          <w:i/>
        </w:rPr>
        <w:t>ex</w:t>
      </w:r>
      <w:r>
        <w:t xml:space="preserve"> art. 18.2 CE debemos tomar en consideración el contexto en que se produce la intervención injerente (STC 209/2007, 24 de septiembre, FJ 5).</w:t>
      </w:r>
    </w:p>
    <w:p w:rsidR="0085709A" w:rsidRDefault="0085709A" w:rsidP="0085709A">
      <w:pPr>
        <w:pStyle w:val="TextoNormal"/>
      </w:pPr>
    </w:p>
    <w:p w:rsidR="0085709A" w:rsidRDefault="0085709A" w:rsidP="0085709A">
      <w:pPr>
        <w:pStyle w:val="TextoNormal"/>
      </w:pPr>
      <w:r>
        <w:t>En el caso ahora examinado, se trata de una actuación que infringe el contenido del art. 18.2 CE, como examinaremos a continuación.</w:t>
      </w:r>
    </w:p>
    <w:p w:rsidR="0085709A" w:rsidRDefault="0085709A" w:rsidP="0085709A">
      <w:pPr>
        <w:pStyle w:val="TextoNormal"/>
      </w:pPr>
    </w:p>
    <w:p w:rsidR="0085709A" w:rsidRDefault="0085709A" w:rsidP="0085709A">
      <w:pPr>
        <w:pStyle w:val="TextoNormal"/>
      </w:pPr>
      <w:r>
        <w:t>En este ámbito de la inspección tributaria cuestionada, resultaban también de aplicación los arts. 131.2 de la Ley Foral 13/2000, de 14 de diciembre, general tributaria de Navarra, y 40.4 del Reglamento de inspección tributaria de la Administración de Navarra, aprobado por Decreto Foral 152/2001, de 11 de junio, que establecen la obligación de que los funcionarios de la inspección recaben el consentimiento del interesado “advirtiéndole de sus derechos”.</w:t>
      </w:r>
    </w:p>
    <w:p w:rsidR="0085709A" w:rsidRDefault="0085709A" w:rsidP="0085709A">
      <w:pPr>
        <w:pStyle w:val="TextoNormal"/>
      </w:pPr>
    </w:p>
    <w:p w:rsidR="0085709A" w:rsidRDefault="0085709A" w:rsidP="0085709A">
      <w:pPr>
        <w:pStyle w:val="TextoNormal"/>
      </w:pPr>
      <w:r>
        <w:t>Tal como se ha expresado anteriormente, la entrada en las dependencias de la empresa se hizo sin advertencia de derechos al interesado, por lo que, en el contexto de esa normativa, los funcionarios actuantes no podían considerar que la falta de oposición del obligado tributario fuera suficiente, pues su Reglamento de actuación les obligaba a despejar toda duda mediante la instrucción de derechos al interesado, advirtiéndole de la posibilidad de oponerse a la entrada en el domicilio para llevar a cabo la actuación inspectora.</w:t>
      </w:r>
    </w:p>
    <w:p w:rsidR="0085709A" w:rsidRDefault="0085709A" w:rsidP="0085709A">
      <w:pPr>
        <w:pStyle w:val="TextoNormal"/>
      </w:pPr>
    </w:p>
    <w:p w:rsidR="0085709A" w:rsidRDefault="0085709A" w:rsidP="0085709A">
      <w:pPr>
        <w:pStyle w:val="TextoNormal"/>
      </w:pPr>
      <w:r>
        <w:t xml:space="preserve">Junto a ello, también ha de tenerse en cuenta que los actuarios portaban una autorización administrativa para la entrada que no fue necesario exhibir al ser facilitado el acceso por los socios administradores. Este dato es relevante en este caso pues la advertencia de derechos lógicamente debía incluir este dato, esto es, que portaban una autorización administrativa para el caso de negativa u oposición del obligado tributario, lo cual nos sitúa en una hipótesis </w:t>
      </w:r>
      <w:r>
        <w:lastRenderedPageBreak/>
        <w:t>de información manifiestamente insuficiente para recabar el consentimiento, pues la autorización administrativa en modo alguno habilita la entrada en los espacios físicos que constituyen el domicilio de la persona jurídica objeto de protección constitucional.</w:t>
      </w:r>
    </w:p>
    <w:p w:rsidR="0085709A" w:rsidRDefault="0085709A" w:rsidP="0085709A">
      <w:pPr>
        <w:pStyle w:val="TextoNormal"/>
      </w:pPr>
    </w:p>
    <w:p w:rsidR="0085709A" w:rsidRDefault="0085709A" w:rsidP="0085709A">
      <w:pPr>
        <w:pStyle w:val="TextoNormal"/>
      </w:pPr>
      <w:r>
        <w:t>En consecuencia, apreciamos en este caso una quiebra esencial de la garantía de información para recabar consentimiento del interesado, que de esta forma resulta viciado, de lo que se concluye que no hay un consentimiento eficaz para justificar la intromisión domiciliaria en el supuesto contemplado y ello determina la apreciación de la lesión del art. 18.2 CE por la entrada en el domicilio social del día 21 de junio de 2006.</w:t>
      </w:r>
    </w:p>
    <w:p w:rsidR="0085709A" w:rsidRDefault="0085709A" w:rsidP="0085709A">
      <w:pPr>
        <w:pStyle w:val="TextoNormal"/>
      </w:pPr>
    </w:p>
    <w:p w:rsidR="0085709A" w:rsidRDefault="0085709A" w:rsidP="0085709A">
      <w:pPr>
        <w:pStyle w:val="TextoNormal"/>
      </w:pPr>
      <w:r>
        <w:t>La apreciación de esta lesión del art. 18.2 hace innecesario el examen de la alegada vulneración del secreto de las comunicaciones del art. 18.3 CE respecto de los datos obtenidos por la entrega de las facturas telefónicas de la sociedad recurrente, puesto que esta actuación trae causa de la entrada, donde se tomaron los datos obrantes en un archivo informático que pretendían corroborarse por la inspección, de manera que esta diligencia derivada resulta viciada por su conexión con la prueba obtenida con vulneración del derecho a la inviolabilidad del domicilio.</w:t>
      </w:r>
    </w:p>
    <w:p w:rsidR="0085709A" w:rsidRDefault="0085709A" w:rsidP="0085709A">
      <w:pPr>
        <w:pStyle w:val="TextoNormal"/>
      </w:pPr>
    </w:p>
    <w:p w:rsidR="0085709A" w:rsidRDefault="0085709A" w:rsidP="0085709A">
      <w:pPr>
        <w:pStyle w:val="TextoNormal"/>
      </w:pPr>
      <w:r w:rsidRPr="0085709A">
        <w:rPr>
          <w:rStyle w:val="NumeroAFNegritaCaracter"/>
        </w:rPr>
        <w:t>7</w:t>
      </w:r>
      <w:r>
        <w:t>. Seguidamente ha de entrarse en el análisis de la aducida vulneración del art. 24.2 CE, en relación a la garantía de no autoincriminación. Como se ha expresado en los antecedentes, la Sentencia de apelación impugnada, una vez apreciadas la vulneración de derechos fundamentales en la actuación de acceso y posterior registro de las instalaciones de la entidad recurrente por falta de consentimiento informado, entendió que la conformidad ulterior del representante de la empresa tenía eficacia sanatoria del vicio apreciado. Esta misma cuestión se plantea en relación a las liquidaciones tributarias que quedaron imprejuzgadas al haber sido ahora apreciada la misma vulneración en el anterior fundamento.</w:t>
      </w:r>
    </w:p>
    <w:p w:rsidR="0085709A" w:rsidRDefault="0085709A" w:rsidP="0085709A">
      <w:pPr>
        <w:pStyle w:val="TextoNormal"/>
      </w:pPr>
    </w:p>
    <w:p w:rsidR="0085709A" w:rsidRDefault="0085709A" w:rsidP="0085709A">
      <w:pPr>
        <w:pStyle w:val="TextoNormal"/>
      </w:pPr>
      <w:r>
        <w:t>Por tanto, debe analizarse si se vulnera la garantía de no autoincriminación al desconectar, como hace la Sentencia de la Sala que ha sido impugnada, las actuaciones reputadas nulas y el reconocimiento de hechos del representante de la empresa demandante, realizado para evitar un proceso penal respecto de tres de los ejercicios inspeccionados (IVA 2003 y el impuesto de sociedades 2003 y 2005), concediendo a esta conformidad una eficacia sanadora o determinante.</w:t>
      </w:r>
    </w:p>
    <w:p w:rsidR="0085709A" w:rsidRDefault="0085709A" w:rsidP="0085709A">
      <w:pPr>
        <w:pStyle w:val="TextoNormal"/>
      </w:pPr>
    </w:p>
    <w:p w:rsidR="0085709A" w:rsidRDefault="0085709A" w:rsidP="0085709A">
      <w:pPr>
        <w:pStyle w:val="TextoNormal"/>
      </w:pPr>
      <w:r>
        <w:t>Para dar respuesta a la cuestión, debemos partir de nuestra doctrina que, desde la STC 18/1981, de 8 de junio, FJ 2, ha declarado la aplicabilidad a las sanciones administrativas de los principios sustantivos derivados del art. 25.1 CE, considerando que los principios inspiradores del orden penal son de aplicación con ciertos matices al Derecho administrativo sancionador al ser ambos manifestaciones del ordenamiento punitivo del Estado, y ha proyectado sobre las actuaciones dirigidas a ejercer las potestades sancionadoras de la Administración las garantías procedimentales ínsitas en el art. 24.2 CE. Ello, no solo mediante su aplicación literal, sino en la medida necesaria para preservar los valores esenciales que se encuentran en la base del precepto (por todas, STC 59/2014, de 5 de mayo, FJ 3).</w:t>
      </w:r>
    </w:p>
    <w:p w:rsidR="0085709A" w:rsidRDefault="0085709A" w:rsidP="0085709A">
      <w:pPr>
        <w:pStyle w:val="TextoNormal"/>
      </w:pPr>
    </w:p>
    <w:p w:rsidR="0085709A" w:rsidRDefault="0085709A" w:rsidP="0085709A">
      <w:pPr>
        <w:pStyle w:val="TextoNormal"/>
      </w:pPr>
      <w:r>
        <w:t xml:space="preserve">Acerca de esta traslación, por otra parte condicionada a que se trate de garantías que resulten compatibles con la naturaleza del procedimiento administrativo sancionador, existen reiterados pronunciamientos de este Tribunal. Así, partiendo del inicial reproche a la </w:t>
      </w:r>
      <w:r>
        <w:lastRenderedPageBreak/>
        <w:t>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 a); 276/2000, de 16 de noviembre, FJ 7, y 117/2002, de 20 de mayo, FJ 5).</w:t>
      </w:r>
    </w:p>
    <w:p w:rsidR="0085709A" w:rsidRDefault="0085709A" w:rsidP="0085709A">
      <w:pPr>
        <w:pStyle w:val="TextoNormal"/>
      </w:pPr>
    </w:p>
    <w:p w:rsidR="0085709A" w:rsidRDefault="0085709A" w:rsidP="0085709A">
      <w:pPr>
        <w:pStyle w:val="TextoNormal"/>
      </w:pPr>
      <w:r>
        <w:t xml:space="preserve">Concretamente, y en lo relativo a la garantía de no autoincriminación, este Tribunal ha afirmado en la STC 18/2005, de 1 de febrero, FJ 2, que “conforme señala el Tribunal Europeo de Derechos Humanos, ‘aunque no se menciona específicamente en el art. 6 del Convenio, el derecho a guardar silencio y el privilegio contra la autoincriminación son normas internacionales generalmente reconocidas que descansan en el núcleo de la noción de proceso justo garantizada en el art. 6.1 del Convenio". El derecho a no autoincriminarse, en particular -ha señalado-, presupone que las autoridades logren probar su caso sin recurrir a pruebas obtenidas mediante métodos coercitivos o de presión en contra de la voluntad de la 'persona acusada'. Proporcionando al acusado protección contra la coacción indebida ejercida por las autoridades, estas inmunidades contribuyen a evitar errores judiciales y asegurar los fines del artículo 6’ (STEDH de 3 de mayo de 2001, caso </w:t>
      </w:r>
      <w:r w:rsidRPr="0085709A">
        <w:rPr>
          <w:i/>
        </w:rPr>
        <w:t>J.B. c. Suiza</w:t>
      </w:r>
      <w:r>
        <w:t xml:space="preserve">, § 64; en el mismo sentido, SSTEDH de 8 de febrero de 1996, caso </w:t>
      </w:r>
      <w:r w:rsidRPr="0085709A">
        <w:rPr>
          <w:i/>
        </w:rPr>
        <w:t>John Murray c. Reino Unido</w:t>
      </w:r>
      <w:r>
        <w:t xml:space="preserve">, § 45; de 17 de diciembre de 1996, caso </w:t>
      </w:r>
      <w:r w:rsidRPr="0085709A">
        <w:rPr>
          <w:i/>
        </w:rPr>
        <w:t>Saunders c. Reino Unido</w:t>
      </w:r>
      <w:r>
        <w:t xml:space="preserve">, § 68; de 20 de octubre de 1997, caso </w:t>
      </w:r>
      <w:r w:rsidRPr="0085709A">
        <w:rPr>
          <w:i/>
        </w:rPr>
        <w:t>Serves c. Francia</w:t>
      </w:r>
      <w:r>
        <w:t xml:space="preserve">, § 46; de 21 de diciembre de 2000, caso </w:t>
      </w:r>
      <w:r w:rsidRPr="0085709A">
        <w:rPr>
          <w:i/>
        </w:rPr>
        <w:t>Heaney y McGuinness c. Irlanda</w:t>
      </w:r>
      <w:r>
        <w:t xml:space="preserve">, § 40; de 21 de diciembre de 2000, caso </w:t>
      </w:r>
      <w:r w:rsidRPr="0085709A">
        <w:rPr>
          <w:i/>
        </w:rPr>
        <w:t>Quinn c. Irlanda</w:t>
      </w:r>
      <w:r>
        <w:t xml:space="preserve">, § 40; de 8 de abril de 2004, caso </w:t>
      </w:r>
      <w:r w:rsidRPr="0085709A">
        <w:rPr>
          <w:i/>
        </w:rPr>
        <w:t>Weh c. Austria</w:t>
      </w:r>
      <w:r>
        <w:t xml:space="preserve">, § 39). “En este sentido —concluye el Tribunal de Estrasburgo— el derecho está estrechamente vinculado a la presunción de inocencia recogida en el artículo 6, apartado 2, del Convenio” (Sentencias Saunders, § 68; </w:t>
      </w:r>
      <w:r w:rsidRPr="0085709A">
        <w:rPr>
          <w:i/>
        </w:rPr>
        <w:t>Heaney y McGuinness, § 40; Quinn</w:t>
      </w:r>
      <w:r>
        <w:t xml:space="preserve">, § 40; y </w:t>
      </w:r>
      <w:r w:rsidRPr="0085709A">
        <w:rPr>
          <w:i/>
        </w:rPr>
        <w:t>Weh</w:t>
      </w:r>
      <w:r>
        <w:t>, § 39).</w:t>
      </w:r>
    </w:p>
    <w:p w:rsidR="0085709A" w:rsidRDefault="0085709A" w:rsidP="0085709A">
      <w:pPr>
        <w:pStyle w:val="TextoNormal"/>
      </w:pPr>
    </w:p>
    <w:p w:rsidR="0085709A" w:rsidRDefault="0085709A" w:rsidP="0085709A">
      <w:pPr>
        <w:pStyle w:val="TextoNormal"/>
      </w:pPr>
      <w:r>
        <w:t xml:space="preserve">En relación a la garantía de no autoincriminación en el ámbito tributario, el Tribunal Europeo de Derechos Humanos se ha pronunciado, entre otras, en las Sentencias de 17 de diciembre de 1996, caso </w:t>
      </w:r>
      <w:r w:rsidRPr="0085709A">
        <w:rPr>
          <w:i/>
        </w:rPr>
        <w:t>Saunders c. Reino Unido</w:t>
      </w:r>
      <w:r>
        <w:t xml:space="preserve">, y de 19 de septiembre de 2000, caso </w:t>
      </w:r>
      <w:r w:rsidRPr="0085709A">
        <w:rPr>
          <w:i/>
        </w:rPr>
        <w:t>I.J.L. y otros c. Reino Unido</w:t>
      </w:r>
      <w:r>
        <w:t>, donde advierte que, si de acuerdo con la legislación aplicable la declaración ha sido obtenida bajo medios coactivos, esta información no puede ser alegada como prueba en el posterior juicio de la persona interesada, aunque tales declaraciones se hayan realizado antes de ser acusado.</w:t>
      </w:r>
    </w:p>
    <w:p w:rsidR="0085709A" w:rsidRDefault="0085709A" w:rsidP="0085709A">
      <w:pPr>
        <w:pStyle w:val="TextoNormal"/>
      </w:pPr>
    </w:p>
    <w:p w:rsidR="0085709A" w:rsidRDefault="0085709A" w:rsidP="0085709A">
      <w:pPr>
        <w:pStyle w:val="TextoNormal"/>
      </w:pPr>
      <w:r>
        <w:t xml:space="preserve">A diferencia del Convenio europeo para la protección de los derechos humanos y de las libertades fundamentales, nuestra Constitución sí menciona específicamente en su art. 24.2 los derechos a “no declarar contra sí mismos” y a “no confesarse culpables”, que, como venimos señalando, están estrechamente relacionados con los derechos de defensa y a la presunción de inocencia, de los que constituye una manifestación concreta (STC 161/1997, </w:t>
      </w:r>
      <w:r>
        <w:lastRenderedPageBreak/>
        <w:t>de 2 de octubre, FJ 5). Este reconocimiento del derecho a no declarar contra sí mismo, en cuanto garantía instrumental del derecho de defensa, ha de ser respetado, en principio, en la imposición de cualesquiera sanciones administrativas, sin perjuicio de las modulaciones que pudiera experimentar en razón de las diferencias existentes ente el orden penal y el administrativo sancionador, precisando que “los valores esenciales que se encuentran en la base del art. 24.2 CE no quedarían salvaguardados si se admitiera que la Administración pudiera compeler u obligar al administrado a confesar la comisión o autoría de los hechos antijurídicos que se le imputan o pudieran imputar o a declarar en tal sentido” (entre otras, SSTC 272/2006, de 25 de septiembre, FJ 3; 70/2008, de 23 de junio, FJ 4; y 142/2009, de 15 de junio, FJ 4).</w:t>
      </w:r>
    </w:p>
    <w:p w:rsidR="0085709A" w:rsidRDefault="0085709A" w:rsidP="0085709A">
      <w:pPr>
        <w:pStyle w:val="TextoNormal"/>
      </w:pPr>
    </w:p>
    <w:p w:rsidR="0085709A" w:rsidRDefault="0085709A" w:rsidP="0085709A">
      <w:pPr>
        <w:pStyle w:val="TextoNormal"/>
      </w:pPr>
      <w:r w:rsidRPr="0085709A">
        <w:rPr>
          <w:rStyle w:val="NumeroAFNegritaCaracter"/>
        </w:rPr>
        <w:t>8</w:t>
      </w:r>
      <w:r>
        <w:t>. La aplicación de la doctrina anteriormente expuesta nos lleva a examinar si se ha producido la vulneración de la garantía de no autoincriminación reconocida en el art. 24.2 CE.</w:t>
      </w:r>
    </w:p>
    <w:p w:rsidR="0085709A" w:rsidRDefault="0085709A" w:rsidP="0085709A">
      <w:pPr>
        <w:pStyle w:val="TextoNormal"/>
      </w:pPr>
    </w:p>
    <w:p w:rsidR="0085709A" w:rsidRDefault="0085709A" w:rsidP="0085709A">
      <w:pPr>
        <w:pStyle w:val="TextoNormal"/>
      </w:pPr>
      <w:r>
        <w:t>En efecto, tal como se ha expuesto en los antecedentes, la Sentencia del Tribunal Superior de Justicia de Navarra, tras apreciar la lesión del derecho fundamental a la inviolabilidad del domicilio, convalidó los actos administrativos por la eficacia de las manifestaciones realizadas por el representante de la empresa en las actas de conformidad de fecha 2 de octubre de 2009 en las que reconocía los hechos en relación a los impuestos y ejercicios cuya cuantía podía determinar la incoación de un proceso penal (v.gr. IVA 2003 y el impuesto de sociedades 2003 y 2005), que sería finalmente sobreseído. Por tanto, tales actas de conformidad no se referían a las liquidaciones y sanciones impugnadas en el recurso contencioso-administrativo, las cuales habían sido firmadas en disconformidad anteriormente y habían sido impugnadas en vía económico-administrativa en fecha 5 de junio de 2008.</w:t>
      </w:r>
    </w:p>
    <w:p w:rsidR="0085709A" w:rsidRDefault="0085709A" w:rsidP="0085709A">
      <w:pPr>
        <w:pStyle w:val="TextoNormal"/>
      </w:pPr>
    </w:p>
    <w:p w:rsidR="0085709A" w:rsidRDefault="0085709A" w:rsidP="0085709A">
      <w:pPr>
        <w:pStyle w:val="TextoNormal"/>
      </w:pPr>
      <w:r>
        <w:t>De ello se deriva que la conclusión alcanzada por el órgano judicial sobre la ruptura del nexo causal entre la prueba ilícita y el reconocimiento de los hechos se asienta en una extensión de la conformidad prestada en otro expediente con la finalidad de evitar la tramitación de un proceso penal. Entendemos que ello vulnera la garantía del expedientado a no declarar contra sí mismo, puesto que se otorga valor de confesión a un reconocimiento de hechos que fue realizado en otro expediente, con la finalidad de regularizar la situación en relación a unas liquidaciones y sanciones concretas, sin consideración a que las actas a que se refiere el recurso contencioso-administrativo fueron firmadas en disconformidad precisamente por su conexión con los datos obtenidos de las diligencias practicadas con vulneración del art. 18.2 CE. Esta conformidad prestada para evitar un proceso penal, no se puede extender al consentimiento prestado en un procedimiento distinto de carácter administrativo sancionador, lo que suponía rebasar los límites de la declaración de voluntad en los concretos términos y a los fines que fue formulada.</w:t>
      </w:r>
    </w:p>
    <w:p w:rsidR="0085709A" w:rsidRDefault="0085709A" w:rsidP="0085709A">
      <w:pPr>
        <w:pStyle w:val="TextoNormal"/>
      </w:pPr>
    </w:p>
    <w:p w:rsidR="0085709A" w:rsidRDefault="0085709A" w:rsidP="0085709A">
      <w:pPr>
        <w:pStyle w:val="TextoNormal"/>
      </w:pPr>
      <w:r>
        <w:t xml:space="preserve">En este sentido, hemos venido afirmando que la posibilidad de valoración en juicio de pruebas que pudieran estar conectadas con otras obtenidas con vulneración de derechos fundamentales sustantivos requiere un análisis a dos niveles: en primer lugar, ha de analizarse si existe o no conexión causal entre ambas pruebas, conexión que constituye el presupuesto para poder hablar de prueba derivada, y sólo si existiera dicha conexión procede el análisis de la conexión de antijuridicidad, cuya inexistencia legitimaría la posibilidad de valoración de la prueba derivada (por todas, STC 28/2002, de 11 de febrero, FJ 4). La valoración acerca </w:t>
      </w:r>
      <w:r>
        <w:lastRenderedPageBreak/>
        <w:t>de si se ha roto o no el nexo entre una prueba y otra no es, en sí misma, un hecho, sino un juicio de experiencia acerca del grado de conexión que determina la pertinencia o impertinencia de la prueba cuestionada lo que corresponde examinar a los Jueces y Tribunales ordinarios, limitándose nuestro control a la comprobación de la razonabilidad del mismo.</w:t>
      </w:r>
    </w:p>
    <w:p w:rsidR="0085709A" w:rsidRDefault="0085709A" w:rsidP="0085709A">
      <w:pPr>
        <w:pStyle w:val="TextoNormal"/>
      </w:pPr>
    </w:p>
    <w:p w:rsidR="0085709A" w:rsidRDefault="0085709A" w:rsidP="0085709A">
      <w:pPr>
        <w:pStyle w:val="TextoNormal"/>
      </w:pPr>
      <w:r>
        <w:t>En este caso, la conclusión obtenida en la Sentencia impugnada no cumple estos requisitos por cuanto que la prueba declarada ilícita se convalida con base a un reconocimiento de hechos que se realiza en otro expediente, en lo que aparece como una prueba derivada indirecta y que por ello no puede alcanzar el valor de confesión cuando, como en este caso, la recurrente había expresado su disconformidad en relación con los actos aquí impugnados precisamente con fundamento en la ilicitud de la actuación inspectora.</w:t>
      </w:r>
    </w:p>
    <w:p w:rsidR="0085709A" w:rsidRDefault="0085709A" w:rsidP="0085709A">
      <w:pPr>
        <w:pStyle w:val="TextoNormal"/>
      </w:pPr>
    </w:p>
    <w:p w:rsidR="0085709A" w:rsidRDefault="0085709A" w:rsidP="0085709A">
      <w:pPr>
        <w:pStyle w:val="TextoNormal"/>
      </w:pPr>
      <w:r>
        <w:t>En definitiva, se ha vulnerado la garantía de no autoincriminación del art. 24.2 CE al extenderse la conformidad prestada en un procedimiento administrativo a otros procedimientos administrativos sancionadores distintos, que constituyen el objeto de este recurso de amparo.</w:t>
      </w:r>
    </w:p>
    <w:p w:rsidR="0085709A" w:rsidRDefault="0085709A" w:rsidP="0085709A">
      <w:pPr>
        <w:pStyle w:val="TextoNormal"/>
      </w:pPr>
    </w:p>
    <w:p w:rsidR="0085709A" w:rsidRDefault="0085709A" w:rsidP="0085709A">
      <w:pPr>
        <w:pStyle w:val="TextoNormal"/>
      </w:pPr>
      <w:r w:rsidRPr="0085709A">
        <w:rPr>
          <w:rStyle w:val="NumeroAFNegritaCaracter"/>
        </w:rPr>
        <w:t>9</w:t>
      </w:r>
      <w:r>
        <w:t>. Finalmente, debemos ahora analizar la denuncia de vulneración del principio de presunción de inocencia, una vez descartado el efecto convalidante de la conformidad prestada por el obligado tributario en relación a actos distintos.</w:t>
      </w:r>
    </w:p>
    <w:p w:rsidR="0085709A" w:rsidRDefault="0085709A" w:rsidP="0085709A">
      <w:pPr>
        <w:pStyle w:val="TextoNormal"/>
      </w:pPr>
    </w:p>
    <w:p w:rsidR="0085709A" w:rsidRDefault="0085709A" w:rsidP="0085709A">
      <w:pPr>
        <w:pStyle w:val="TextoNormal"/>
      </w:pPr>
      <w:r>
        <w:t>A la vista de lo actuado, tal como se expresa en el antecedente 2.b) “en las resoluciones administrativas se tuvo en cuenta como prueba, además de los documentos y datos obtenidos en la entrada en el domicilio social de la recurrente del día 21 de junio de 2006, los datos de la propia Administración actuante, así como documentación obrante en el expediente procedente de diferentes fuentes (Agencia Estatal de la Administración Tributaria, Ayuntamiento de Pamplona, Diputación Foral de Vizcaya y Guipúzcoa, Policía Foral de Navarra y escritos presentados por terceros) y diversa documentación aportada por la sociedad recurrente, mencionándose expresamente en la resolución del Tribunal Económico-administrativo un disquete aportado por el representante de la empresa interesada en fecha 21 de febrero de 2007”, por lo que puede constatarse que existen otras pruebas en el expediente administrativo que pueden ser valoradas teniendo en cuenta la ilicitud declarada.</w:t>
      </w:r>
    </w:p>
    <w:p w:rsidR="0085709A" w:rsidRDefault="0085709A" w:rsidP="0085709A">
      <w:pPr>
        <w:pStyle w:val="TextoNormal"/>
      </w:pPr>
    </w:p>
    <w:p w:rsidR="0085709A" w:rsidRDefault="0085709A" w:rsidP="0085709A">
      <w:pPr>
        <w:pStyle w:val="TextoNormal"/>
      </w:pPr>
      <w:r>
        <w:t>Por tanto, nuestras posibilidades de control en el presente caso se agotan con la declaración de nulidad por la vulneración del derecho a la inviolabilidad del domicilio y la lesión de la garantía de no autoincriminación, sin que podamos determinar ahora si se ha vulnerado o no el derecho a la presunción de inocencia, pues corresponde a la jurisdicción ordinaria examinar si existe o no conexión de antijuridicidad con el resto de diligencias practicadas, así como valorar si la prueba estaba o no contaminada y el grado de vinculación de la que pueda considerarse constitucionalmente legítima, para concluir si era suficiente o no para sustentar la declaración de culpabilidad en el procedimiento administrativo.</w:t>
      </w:r>
    </w:p>
    <w:p w:rsidR="0085709A" w:rsidRDefault="0085709A" w:rsidP="0085709A">
      <w:pPr>
        <w:pStyle w:val="TextoNormal"/>
      </w:pPr>
    </w:p>
    <w:p w:rsidR="0085709A" w:rsidRDefault="0085709A" w:rsidP="0085709A">
      <w:pPr>
        <w:pStyle w:val="TextoNormal"/>
      </w:pPr>
      <w:r>
        <w:t>Todo ello, en coherencia con la doctrina constitucional, sustancialmente contenida en las SSTC 49/1999, de 5 de abril, FJ 14; 149/2001, de 27 de junio, FJ 7, y 202/2001, de 15 de octubre, FJ 8.</w:t>
      </w:r>
    </w:p>
    <w:p w:rsidR="0085709A" w:rsidRDefault="0085709A" w:rsidP="0085709A">
      <w:pPr>
        <w:pStyle w:val="TextoNormal"/>
      </w:pPr>
    </w:p>
    <w:p w:rsidR="0085709A" w:rsidRDefault="0085709A" w:rsidP="0085709A">
      <w:pPr>
        <w:pStyle w:val="TextoNormal"/>
      </w:pPr>
      <w:r>
        <w:t xml:space="preserve">De todo ello se desprende que, para restablecer a la parte recurrente en sus derecho a la inviolabilidad del domicilio y a un proceso con todas las garantías, cuya vulneración hemos </w:t>
      </w:r>
      <w:r>
        <w:lastRenderedPageBreak/>
        <w:t>afirmado, han de anularse las Sentencias del Juzgado de lo Contencioso-Administrativo núm. 1 de Pamplona y de la Sala del Tribunal Superior de Justicia de Navarra, retrotrayendo las actuaciones al momento anterior a la sentencia dictada en el recurso contencioso-administrativo en primera instancia, para que este órgano judicial pueda fundamentar suficientemente el juicio de conexión o desconexión y valorar las pruebas constitucionalmente lícitas en el sentido que estime oportuno.</w:t>
      </w:r>
    </w:p>
    <w:p w:rsidR="0085709A" w:rsidRDefault="0085709A" w:rsidP="0085709A">
      <w:pPr>
        <w:pStyle w:val="TextoNormal"/>
      </w:pPr>
    </w:p>
    <w:p w:rsidR="0085709A" w:rsidRDefault="0085709A" w:rsidP="0085709A">
      <w:pPr>
        <w:pStyle w:val="TextoNormal"/>
      </w:pPr>
      <w:r w:rsidRPr="0085709A">
        <w:rPr>
          <w:rStyle w:val="NumeroAFNegritaCaracter"/>
        </w:rPr>
        <w:t>10</w:t>
      </w:r>
      <w:r>
        <w:t>. Los razonamientos expuestos conducen a estimar el recurso de amparo por vulneración del art. 18.2 CE y de la garantía procesal de no autoincriminación del art. 24.2 CE, y a anular las resoluciones judiciales impugnadas, retrotrayendo las actuaciones en el sentido expuesto.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Chatarras Iruña, S.A. y, en su virtud:</w:t>
      </w:r>
    </w:p>
    <w:p w:rsidR="0085709A" w:rsidRDefault="0085709A" w:rsidP="0085709A">
      <w:pPr>
        <w:pStyle w:val="TextoNormal"/>
      </w:pPr>
    </w:p>
    <w:p w:rsidR="0085709A" w:rsidRDefault="0085709A" w:rsidP="0085709A">
      <w:pPr>
        <w:pStyle w:val="TextoNormal"/>
      </w:pPr>
      <w:r>
        <w:t>1º Reconocer el derecho de la recurrente a la inviolabilidad del domicilio (art. 18. 2 CE), así como a un proceso con todas las garantías (art. 24.2 CE).</w:t>
      </w:r>
    </w:p>
    <w:p w:rsidR="0085709A" w:rsidRDefault="0085709A" w:rsidP="0085709A">
      <w:pPr>
        <w:pStyle w:val="TextoNormal"/>
      </w:pPr>
    </w:p>
    <w:p w:rsidR="0085709A" w:rsidRDefault="0085709A" w:rsidP="0085709A">
      <w:pPr>
        <w:pStyle w:val="TextoNormal"/>
      </w:pPr>
      <w:r>
        <w:t>2º Restablecer su derecho y, a tal fin, anular la Sentencia de 6 de febrero de 2012 dictada por el Juzgado de lo Contencioso-Administrativo 1 de Pamplona, en procedimiento ordinario núm. 81-2010, y la Sentencia de 15 de marzo de 2013 dictada por la Sala de lo Contencioso-Administrativo del Tribunal Superior de Justicia de Navarra.</w:t>
      </w:r>
    </w:p>
    <w:p w:rsidR="0085709A" w:rsidRDefault="0085709A" w:rsidP="0085709A">
      <w:pPr>
        <w:pStyle w:val="TextoNormal"/>
      </w:pPr>
    </w:p>
    <w:p w:rsidR="0085709A" w:rsidRDefault="0085709A" w:rsidP="0085709A">
      <w:pPr>
        <w:pStyle w:val="TextoNormal"/>
      </w:pPr>
      <w:r>
        <w:t>3º Retrotraer las actuaciones al momento anterior al de dictarse la primera de las mencionadas Sentencias para que se dicte otra respetuosa con los derechos fundamentales reconocidos.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8" w:name="SENTENCIA_2015_55"/>
      <w:r>
        <w:lastRenderedPageBreak/>
        <w:t>SENTENCIA 55/2015, de 16 de marzo de 2015</w:t>
      </w:r>
    </w:p>
    <w:bookmarkEnd w:id="58"/>
    <w:p w:rsidR="0085709A" w:rsidRDefault="0085709A" w:rsidP="0085709A">
      <w:pPr>
        <w:pStyle w:val="TtuloResolucin"/>
      </w:pPr>
      <w:r>
        <w:t>Sala Primera</w:t>
      </w:r>
    </w:p>
    <w:p w:rsidR="0085709A" w:rsidRDefault="0085709A" w:rsidP="0085709A">
      <w:pPr>
        <w:pStyle w:val="TtuloBOE"/>
      </w:pPr>
      <w:r>
        <w:t>(BOE núm. 98, de 24 de abril de 2015)</w:t>
      </w:r>
    </w:p>
    <w:p w:rsidR="0085709A" w:rsidRDefault="0085709A" w:rsidP="0085709A">
      <w:pPr>
        <w:pStyle w:val="TextoNormalCentrado"/>
      </w:pPr>
      <w:r>
        <w:t>ECLI:ES:TC:2015:55</w:t>
      </w:r>
    </w:p>
    <w:p w:rsidR="0085709A" w:rsidRDefault="0085709A" w:rsidP="0085709A">
      <w:pPr>
        <w:pStyle w:val="TextoNormalCentrado"/>
      </w:pPr>
    </w:p>
    <w:p w:rsidR="0085709A" w:rsidRDefault="0085709A" w:rsidP="0085709A">
      <w:pPr>
        <w:pStyle w:val="SntesisDescriptiva"/>
      </w:pPr>
      <w:r>
        <w:t>Recurso de amparo 3222-2013. Promovido por don Javier Ruiz Benítez de Lugo Parejo en relación con las Sentencias de la Audiencia Provincial y de un Juzgado de lo Penal de Santa Cruz de Tenerife que le condenaron por un delito de conducción temeraria en concurso con tres delitos de homicidio por imprudencia grave.</w:t>
      </w:r>
    </w:p>
    <w:p w:rsidR="0085709A" w:rsidRDefault="0085709A" w:rsidP="0085709A">
      <w:pPr>
        <w:pStyle w:val="SntesisDescriptiva"/>
      </w:pPr>
    </w:p>
    <w:p w:rsidR="0085709A" w:rsidRDefault="0085709A" w:rsidP="0085709A">
      <w:pPr>
        <w:pStyle w:val="SntesisAnaltica"/>
      </w:pPr>
      <w:r>
        <w:t>Supuesta vulneración de los derechos a la tutela judicial efectiva y a la presunción de inocencia: falta de documentación de la vista oral no causante de indefensión, control de la valoración judicial de la prueba de cargo (STC 137/2005).</w:t>
      </w:r>
    </w:p>
    <w:p w:rsidR="0085709A" w:rsidRDefault="0085709A" w:rsidP="0085709A">
      <w:pPr>
        <w:pStyle w:val="SntesisAnaltica"/>
      </w:pPr>
    </w:p>
    <w:p w:rsidR="0085709A" w:rsidRDefault="0085709A" w:rsidP="0085709A">
      <w:pPr>
        <w:pStyle w:val="Extracto"/>
      </w:pPr>
      <w:r>
        <w:t>1.</w:t>
      </w:r>
      <w:r>
        <w:tab/>
        <w:t>La documentación de las actuaciones no constituye un requisito de validez de los actos procesales, sino la prueba auténtica que permite constatar la realidad material de lo actuado; lo cual podría afectar el ejercicio de algunos derechos fundamentales [FJ 2].</w:t>
      </w:r>
    </w:p>
    <w:p w:rsidR="0085709A" w:rsidRDefault="0085709A" w:rsidP="0085709A">
      <w:pPr>
        <w:pStyle w:val="Extracto"/>
      </w:pPr>
    </w:p>
    <w:p w:rsidR="0085709A" w:rsidRDefault="0085709A" w:rsidP="0085709A">
      <w:pPr>
        <w:pStyle w:val="Extracto"/>
      </w:pPr>
      <w:r>
        <w:t>2.</w:t>
      </w:r>
      <w:r>
        <w:tab/>
        <w:t>Si las periciales no documentadas cuya valoración se propone en apelación no cuestionan la credibilidad de los testigos, ni lo declarado por los propios acusados, la defensa del recurrente no aporta una argumentación verosímil sobre la indefensión que dice sufrir por no poder contar en apelación con el registro audiovisual de dichas declaraciones periciales, de modo que lo manifestado por los peritos carece de toda relevancia para cambiar la relación de hechos probados de la Sentencia de instancia, tanto en lo referido a la velocidad de ambos vehículos, como a la fase semafórica, cuando fueron atropelladas las víctimas [FJ 3].</w:t>
      </w:r>
    </w:p>
    <w:p w:rsidR="0085709A" w:rsidRDefault="0085709A" w:rsidP="0085709A">
      <w:pPr>
        <w:pStyle w:val="Extracto"/>
      </w:pPr>
    </w:p>
    <w:p w:rsidR="0085709A" w:rsidRDefault="0085709A" w:rsidP="0085709A">
      <w:pPr>
        <w:pStyle w:val="Extracto"/>
      </w:pPr>
      <w:r>
        <w:t>3.</w:t>
      </w:r>
      <w:r>
        <w:tab/>
        <w:t>Desde la función de control externo, se constata que la Sentencia del Juzgado de lo Penal resulta del todo motivada (art. 24.1 CE), exponiendo de manera separada y numerada, de modo claro, los distintos hechos probados, así como la existencia de prueba de cargo que fundamenta la culpabilidad de los dos acusados, entre ellos el aquí recurrente, detallando los distintos medios de convicción practicados y las razones por las que se atribuye o no credibilidad a cada uno (fundamentos jurídicos primero y segundo) [FJ 5].</w:t>
      </w:r>
    </w:p>
    <w:p w:rsidR="0085709A" w:rsidRDefault="0085709A" w:rsidP="0085709A">
      <w:pPr>
        <w:pStyle w:val="Extracto"/>
      </w:pPr>
    </w:p>
    <w:p w:rsidR="0085709A" w:rsidRDefault="0085709A" w:rsidP="0085709A">
      <w:pPr>
        <w:pStyle w:val="Extracto"/>
      </w:pPr>
      <w:r>
        <w:t>4.</w:t>
      </w:r>
      <w:r>
        <w:tab/>
        <w:t>Doctrina sobre la importancia de la documentación de la vista en orden a la verificación de la existencia de prueba de cargo, en relación con el derecho a la presunción de inocencia (STC 22/2013) [FJ 2].</w:t>
      </w:r>
    </w:p>
    <w:p w:rsidR="0085709A" w:rsidRDefault="0085709A" w:rsidP="0085709A">
      <w:pPr>
        <w:pStyle w:val="Extracto"/>
      </w:pPr>
    </w:p>
    <w:p w:rsidR="0085709A" w:rsidRDefault="0085709A" w:rsidP="0085709A">
      <w:pPr>
        <w:pStyle w:val="Extracto"/>
      </w:pPr>
      <w:r>
        <w:t>5.</w:t>
      </w:r>
      <w:r>
        <w:tab/>
        <w:t xml:space="preserve">El control del cumplimiento de las garantías requeridas para la integración del resultado de las diligencias de investigación en la actividad probatoria, sólo puede hacerse a través del correspondiente acta, levantada por el Secretario judicial, quien ha de documentar fehacientemente el acto y el contenido del juicio oral, y debiendo estarse a lo que el acta dice, y a lo que no dice; en consecuencia, no cabe afirmar que se haya practicado un determinado medio de prueba por el hecho de </w:t>
      </w:r>
      <w:r>
        <w:lastRenderedPageBreak/>
        <w:t>que se haya pedido e incluso que se haya admitido, si la actuación no queda reflejada en el único instrumento previsto para su constancia externa y fehaciente (SSTC 161/1990, 22/2013) [FJ 2 c)].</w:t>
      </w:r>
    </w:p>
    <w:p w:rsidR="0085709A" w:rsidRDefault="0085709A" w:rsidP="0085709A">
      <w:pPr>
        <w:pStyle w:val="Extracto"/>
      </w:pPr>
    </w:p>
    <w:p w:rsidR="0085709A" w:rsidRDefault="0085709A" w:rsidP="0085709A">
      <w:pPr>
        <w:pStyle w:val="Extracto"/>
      </w:pPr>
      <w:r>
        <w:t>6.</w:t>
      </w:r>
      <w:r>
        <w:tab/>
        <w:t>La actividad de documentación de la vista reviste importancia para comprobar el cumplimiento de otras garantías del proceso penal, ya no vinculadas al resultado de la prueba sino a la alegación de las pretensiones deducidas; así, el derecho a la correlación entre acusación y defensa respecto de la Sentencia, en cuanto al enjuiciamiento del hecho punible (principio acusatorio, art. 24.2 CE), y el deber de congruencia de la Sentencia (derecho a la tutela judicial efectiva, art. 24.1 CE) en cuanto al objeto de la acción civil acumulada [FJ 2].</w:t>
      </w:r>
    </w:p>
    <w:p w:rsidR="0085709A" w:rsidRDefault="0085709A" w:rsidP="0085709A">
      <w:pPr>
        <w:pStyle w:val="Extracto"/>
      </w:pPr>
    </w:p>
    <w:p w:rsidR="0085709A" w:rsidRDefault="0085709A" w:rsidP="0085709A">
      <w:pPr>
        <w:pStyle w:val="Extracto"/>
      </w:pPr>
      <w:r>
        <w:t>7.</w:t>
      </w:r>
      <w:r>
        <w:tab/>
        <w:t>El principio de libre valoración de la prueba, reconocido en el art. 741 de la L.E.Cr., exige para que pueda considerársele ajustado a la Constitución, que se ponderen los distintos elementos que constituyen la actividad probatoria, sin que de esa ponderación pueda excluirse la prueba de descargo realizada en el juicio oral, ya que ello supone desconocer los derechos del inculpado consagrados en el art. 24.2 de la Norma fundamental (SSTC 145/1985, 133/2014) [FJ 4 a)].</w:t>
      </w:r>
    </w:p>
    <w:p w:rsidR="0085709A" w:rsidRDefault="0085709A" w:rsidP="0085709A">
      <w:pPr>
        <w:pStyle w:val="Extracto"/>
      </w:pPr>
    </w:p>
    <w:p w:rsidR="0085709A" w:rsidRDefault="0085709A" w:rsidP="0085709A">
      <w:pPr>
        <w:pStyle w:val="Extracto"/>
      </w:pPr>
      <w:r>
        <w:t>8.</w:t>
      </w:r>
      <w:r>
        <w:tab/>
        <w:t>El derecho al recurso garantiza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las que rigen el proceso penal; las que inspiran el principio de presunción de inocencia, y las reglas de la lógica y la experiencia conforme a las cuales han de realizarse las inferencias que permiten considerar un hecho como probado (SSTC 105/2003, 16/2014) [FJ 4 b)].</w:t>
      </w:r>
    </w:p>
    <w:p w:rsidR="0085709A" w:rsidRDefault="0085709A" w:rsidP="0085709A">
      <w:pPr>
        <w:pStyle w:val="Extracto"/>
      </w:pPr>
    </w:p>
    <w:p w:rsidR="0085709A" w:rsidRDefault="0085709A" w:rsidP="0085709A">
      <w:pPr>
        <w:pStyle w:val="Extracto"/>
      </w:pPr>
      <w:r>
        <w:t>9.</w:t>
      </w:r>
      <w:r>
        <w:tab/>
        <w:t>El derecho fundamental a la doble instancia penal queda garantizado en el recurso de apelación del proceso penal abreviado al que tuvo acceso el demandante de amparo, y en el que se otorgan plena jurisdicción al Tribunal</w:t>
      </w:r>
      <w:r w:rsidRPr="0085709A">
        <w:rPr>
          <w:i/>
        </w:rPr>
        <w:t xml:space="preserve"> ad quem </w:t>
      </w:r>
      <w:r>
        <w:t xml:space="preserve">para resolver cuantas cuestiones se planteen, sean de hecho o de Derecho; y conlleva que el Juzgador </w:t>
      </w:r>
      <w:r w:rsidRPr="0085709A">
        <w:rPr>
          <w:i/>
        </w:rPr>
        <w:t xml:space="preserve">ad quem </w:t>
      </w:r>
      <w:r>
        <w:t>asuma la plena jurisdicción sobre el caso, en idéntica situación que el Juez</w:t>
      </w:r>
      <w:r w:rsidRPr="0085709A">
        <w:rPr>
          <w:i/>
        </w:rPr>
        <w:t xml:space="preserve"> a quo</w:t>
      </w:r>
      <w:r>
        <w:t>, no sólo por lo que respecta a la subsunción de los hechos en la norma, sino también para la determinación de tales hechos a través de la valoración de la prueba, pudiendo revisar y corregir la ponderación llevada a cabo por el Juez a quo (STC 172/1997) [FJ 4 b)].</w:t>
      </w:r>
    </w:p>
    <w:p w:rsidR="0085709A" w:rsidRDefault="0085709A" w:rsidP="0085709A">
      <w:pPr>
        <w:pStyle w:val="Extracto"/>
      </w:pPr>
    </w:p>
    <w:p w:rsidR="0085709A" w:rsidRDefault="0085709A" w:rsidP="0085709A">
      <w:pPr>
        <w:pStyle w:val="Extracto"/>
      </w:pPr>
      <w:r>
        <w:t>10.</w:t>
      </w:r>
      <w:r>
        <w:tab/>
        <w:t>Sólo cabe considerar vulnerado el derecho a la presunción de inocencia en la jurisdicción de amparo cuando la inferencia sea ilógica o tan abierta que en su seno quepa tal pluralidad de conclusiones alternativas que ninguna de ellas pueda darse por probada (STC 229/2003) [FJ 5].</w:t>
      </w:r>
    </w:p>
    <w:p w:rsidR="0085709A" w:rsidRDefault="0085709A" w:rsidP="0085709A">
      <w:pPr>
        <w:pStyle w:val="Extracto"/>
      </w:pPr>
    </w:p>
    <w:p w:rsidR="0085709A" w:rsidRDefault="0085709A" w:rsidP="0085709A">
      <w:pPr>
        <w:pStyle w:val="Extracto"/>
      </w:pPr>
      <w:r>
        <w:t>11.</w:t>
      </w:r>
      <w:r>
        <w:tab/>
        <w:t xml:space="preserve">La jurisdicción del Tribunal Constitucional se ciñe a efectuar un control externo, de modo que el juicio de amparo constitucional versa acerca de la razonabilidad del nexo establecido por la jurisdicción ordinaria, sin que podamos entrar a examinar otras posibles inferencias propuestas por quien solicita el amparo;  y, de otro, que entre diversas alternativas igualmente lógicas, dicho control no puede </w:t>
      </w:r>
      <w:r>
        <w:lastRenderedPageBreak/>
        <w:t>alcanzar la sustitución de la valoración efectuada por los órganos judiciales, ni siquiera afirmar que fuera significativamente más probable un acaecimiento alternativo de los hechos (STC 13/2014)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3222-2013, promovido por don Javier Ruiz Benítez de Lugo Parejo, representado por el Procurador de los Tribunales don Jorge Deleito García y asistido por el abogado don Víctor Moreno Catena, contra la Sentencia de la Sección Quinta de la Audiencia Provincial de Santa Cruz de Tenerife, de 11 de abril de 2013, que confirmó la condena dictada por la Sentencia del Juzgado de lo Penal núm. 3 de Santa Cruz de Tenerife, de 13 de abril de 2011. Ha intervenido el Ministerio Fiscal.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el 29 de mayo de 2013, el Procurador de los Tribunales don Jorge Deleito García, actuando en nombre de don Javier Ruiz Benítez de Lugo Parejo, interpuso demanda de amparo contra las resoluciones indicadas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con relevancia para la resolución del presente recurso de amparo y a los que se refiere la demanda presentada, son los siguientes:</w:t>
      </w:r>
    </w:p>
    <w:p w:rsidR="0085709A" w:rsidRDefault="0085709A" w:rsidP="0085709A">
      <w:pPr>
        <w:pStyle w:val="TextoNormal"/>
      </w:pPr>
    </w:p>
    <w:p w:rsidR="0085709A" w:rsidRDefault="0085709A" w:rsidP="0085709A">
      <w:pPr>
        <w:pStyle w:val="TextoNormal"/>
      </w:pPr>
      <w:r>
        <w:t xml:space="preserve">a) El Juzgado de lo Penal núm. 3 de Santa Cruz de Tenerife, dictó Sentencia el 13 de abril de 2011 en el procedimiento abreviado núm. 346-2010, condenando al acusado aquí demandante de amparo, como autor: (i) de un delito de conducción temeraria, en concurso legal con tres delitos de homicidio por imprudencia grave cometidos utilizando vehículo a motor, a la pena de tres años y tres meses de prisión, con la accesoria de inhabilitación especial para el ejercicio del derecho de sufragio pasivo por el tiempo de la condena, así como también a la pena de cinco años y nueve meses de privación del derecho de conducir vehículos a motor y ciclomotores; (ii) de un delito de omisión del deber de socorro, a la pena de nueve meses de prisión y pena accesoria de inhabilitación especial para el ejercicio del derecho de sufragio pasivo por el tiempo de la condena. Quedando obligado además a indemnizar solidariamente con el otro coacusado don Pedro Galván Hernández-Rubio, a los </w:t>
      </w:r>
      <w:r>
        <w:lastRenderedPageBreak/>
        <w:t>perjudicados don Carlos Córdoba de la Rosa y don Miguel Ángel Córdoba de la Rosa, familiares de las personas fallecidas en el accidente de circulación origen de las actuaciones, en la cantidad de 194.033,38 euros; además de la aseguradora Mapfre como responsable directa. También al abono de la mitad de las costas procesales, incluidas las causadas a la acusación particular.</w:t>
      </w:r>
    </w:p>
    <w:p w:rsidR="0085709A" w:rsidRDefault="0085709A" w:rsidP="0085709A">
      <w:pPr>
        <w:pStyle w:val="TextoNormal"/>
      </w:pPr>
    </w:p>
    <w:p w:rsidR="0085709A" w:rsidRDefault="0085709A" w:rsidP="0085709A">
      <w:pPr>
        <w:pStyle w:val="TextoNormal"/>
      </w:pPr>
      <w:r>
        <w:t>La Sentencia fue aclarada por Auto del Juzgado de 26 de abril de 2011, subsanando errores materiales sin incidencia para este amparo.</w:t>
      </w:r>
    </w:p>
    <w:p w:rsidR="0085709A" w:rsidRDefault="0085709A" w:rsidP="0085709A">
      <w:pPr>
        <w:pStyle w:val="TextoNormal"/>
      </w:pPr>
    </w:p>
    <w:p w:rsidR="0085709A" w:rsidRDefault="0085709A" w:rsidP="0085709A">
      <w:pPr>
        <w:pStyle w:val="TextoNormal"/>
      </w:pPr>
      <w:r>
        <w:t>Como hechos probados, la Sentencia recoge que “momentos antes” de las 21.30 horas del 28 de octubre de 2006, el aquí recurrente conducía un vehículo Volkswagen Polo:</w:t>
      </w:r>
    </w:p>
    <w:p w:rsidR="0085709A" w:rsidRDefault="0085709A" w:rsidP="0085709A">
      <w:pPr>
        <w:pStyle w:val="TextoNormal"/>
      </w:pPr>
    </w:p>
    <w:p w:rsidR="0085709A" w:rsidRDefault="0085709A" w:rsidP="0085709A">
      <w:pPr>
        <w:pStyle w:val="TextoNormal"/>
      </w:pPr>
      <w:r>
        <w:t>“[P]or la autopista TF-5 y las calles Álvaro Rodríguez López y Fuentes de Santa Cruz, haciéndolo con maniobras bruscas, velocidad elevada y sin respetar las distancias de seguridad, cambiándose constantemente de carril para adelantar a los vehículos que le precedían todo ello con riesgo para los demás usuarios de la vía…</w:t>
      </w:r>
    </w:p>
    <w:p w:rsidR="0085709A" w:rsidRDefault="0085709A" w:rsidP="0085709A">
      <w:pPr>
        <w:pStyle w:val="TextoNormal"/>
      </w:pPr>
    </w:p>
    <w:p w:rsidR="0085709A" w:rsidRDefault="0085709A" w:rsidP="0085709A">
      <w:pPr>
        <w:pStyle w:val="TextoNormal"/>
      </w:pPr>
      <w:r>
        <w:t>En ese momento, en las proximidades del Auditorio de Tenerife, el acusado Pedro … conducía el vehículo BMW MINI COUPER [sic] con matrícula 3377-CLD …; incorporándose a la Avenida de la Constitución desde la zona de aparcamientos contigua al Castillo Negro y deteniendo su vehículo, por la retención del tráfico propia de la fase roja del semáforo, justo detrás del otro acusado. Siendo así, inopinadamente, al cambiar a verde el mencionado semáforo, los acusados reanudaron la marcha con sus respectivos vehículos a toda velocidad, acelerando ambos bruscamente con absoluta falta de la más elemental diligencia y del deber de cuidado exigible a cualquier conductor de vehículos a motor y a una velocidad notablemente inadecuada a las circunstancias del lugar —avenidas céntricas, con afluencia de otros vehículos y peatones— y excesiva, por ser muy superior a la reglamentariamente prevista para las vías de carácter urbano por las que circulaban —que era la genérica de 50 km/hora—, comprendida entre los 80 y los 100 kilómetros por hora, saltándose en fase roja algunos de los semáforos que se fueron encontrando a su paso en una de las más principales y céntricas avenidas de esta capital, la Avenida de José Antonio (actual Avenida Marítima), como el situado [a] la altura de las confluencias con la calle San Sebastián —que rebasó en fase roja al menos Pedro— …, e Imeldo Serís —que ambos acusados rebasaron en fase roja—, manteniendo la elevada velocidad y la proximidad entre ambos vehículos, en una especie de ‘carrera’ al tiempo que rebasaban a otros vehículos que circulaban entre ambos semáforos o estaban detenidos ante el último de ellos, a cuyos usuarios pusieron igualmente en riesgo con tal proceder.</w:t>
      </w:r>
    </w:p>
    <w:p w:rsidR="0085709A" w:rsidRDefault="0085709A" w:rsidP="0085709A">
      <w:pPr>
        <w:pStyle w:val="TextoNormal"/>
      </w:pPr>
    </w:p>
    <w:p w:rsidR="0085709A" w:rsidRDefault="0085709A" w:rsidP="0085709A">
      <w:pPr>
        <w:pStyle w:val="TextoNormal"/>
      </w:pPr>
      <w:r>
        <w:t>… No resulta probado que en dicho momento el semáforo se encontrare en fase ámbar intermitente para los vehículos que circulaban por dicha vía con dirección hacia San Andrés.</w:t>
      </w:r>
    </w:p>
    <w:p w:rsidR="0085709A" w:rsidRDefault="0085709A" w:rsidP="0085709A">
      <w:pPr>
        <w:pStyle w:val="TextoNormal"/>
      </w:pPr>
    </w:p>
    <w:p w:rsidR="0085709A" w:rsidRDefault="0085709A" w:rsidP="0085709A">
      <w:pPr>
        <w:pStyle w:val="TextoNormal"/>
      </w:pPr>
      <w:r>
        <w:t xml:space="preserve">... En tal situación, el acusado Javier … que circulaba por el carril izquierdo de los dos de sentido San Andrés y que acababa de rebasar a los vehículos anteriormente mencionados, dejó de mirar hacia delante para hacerlo al menos un instante por uno de los retrovisores a fin de comprobar la posición del otro acusado, siendo que al volver a mirar al frente se vio sorprendido por la presencia de los tres peatones sobre dicho paso de cebra en el mismo carril por el que circulaba, por lo que sólo tuvo tiempo de efectuar una brusca maniobra para esquivarlos, invadiendo total o cuando menos parcialmente uno de los carriles del sentido </w:t>
      </w:r>
      <w:r>
        <w:lastRenderedPageBreak/>
        <w:t>contrario, sin señalizar de alguna manera la maniobra para alertar al vehículo que le seguía, continuando su marcha sin detenerse para auxiliar a los atropellados pese a observar el violentísimo atropello por su espejo retrovisor, mientras que Pedro … que por circular por detrás y muy próximo no observando mínimamente la distancia de seguridad necesaria respecto del vehículo que le precedía, atendiendo a la velocidad en todo caso superior a 80 kilómetros/hora a que en ese momento circulaban ambos vehículos, no tuvo tiempo de reaccionar arrollándolos en el mismo lugar anteriormente dicho…”.</w:t>
      </w:r>
    </w:p>
    <w:p w:rsidR="0085709A" w:rsidRDefault="0085709A" w:rsidP="0085709A">
      <w:pPr>
        <w:pStyle w:val="TextoNormal"/>
      </w:pPr>
    </w:p>
    <w:p w:rsidR="0085709A" w:rsidRDefault="0085709A" w:rsidP="0085709A">
      <w:pPr>
        <w:pStyle w:val="TextoNormal"/>
      </w:pPr>
      <w:r>
        <w:t>Como consecuencia del impacto, fallecieron don Carlos Córdoba Rando (de 66 años de edad), doña Rosario de la Rosa Ibáñez (de 61 años, esposa del anterior) y doña Fátima Córdoba de la Rosa (de 41 años, hija de los anteriores y “afectada de una deficiencia mental profunda”). Los dos acusados negaron haber participado en ningún tipo de carrera ni tampoco que se conocieran. La defensa del demandante de amparo sostuvo que circulaba con su vehículo a una velocidad adecuada, que al ver a los tres peatones de frente decidió esquivarlos por la izquierda, lo cual logró, pero que detrás de él y a su derecha venía un coche marca mini, color rojo, que fue el que atropelló a las víctimas; que al escuchar el impacto miró por su retrovisor y se percató de lo sucedido.</w:t>
      </w:r>
    </w:p>
    <w:p w:rsidR="0085709A" w:rsidRDefault="0085709A" w:rsidP="0085709A">
      <w:pPr>
        <w:pStyle w:val="TextoNormal"/>
      </w:pPr>
    </w:p>
    <w:p w:rsidR="0085709A" w:rsidRDefault="0085709A" w:rsidP="0085709A">
      <w:pPr>
        <w:pStyle w:val="TextoNormal"/>
      </w:pPr>
      <w:r>
        <w:t>La prueba de cargo que funda las condenas de los dos acusados, según se motiva en el fundamento jurídico primero de la Sentencia del Juzgado, viene conformada tanto por las declaraciones de ambos acusados, de las que el Juzgado infiere un reconocimiento al menos parcial de los hechos; por dos testigos que manifestaron haber presenciado lo ocurrido; y por nueve testigos que observaron a los dos vehículos implicados y a sus ocupantes, antes o en su caso después del atropello. Asimismo, se indica que emitieron informes y fueron interrogados en la vista diversos expertos. La Sentencia declara, en lo que a esta última prueba interesa, lo siguiente:</w:t>
      </w:r>
    </w:p>
    <w:p w:rsidR="0085709A" w:rsidRDefault="0085709A" w:rsidP="0085709A">
      <w:pPr>
        <w:pStyle w:val="TextoNormal"/>
      </w:pPr>
    </w:p>
    <w:p w:rsidR="0085709A" w:rsidRDefault="0085709A" w:rsidP="0085709A">
      <w:pPr>
        <w:pStyle w:val="TextoNormal"/>
      </w:pPr>
      <w:r>
        <w:t>“El conjunto de la prueba testifical practicada presenta interesantes corroboraciones periféricas y objetivaciones a través de las periciales practicadas en el acto del plenario, especialmente en lo concerniente a la velocidad del vehículo Míni en el momento del atropello. Así, resulta objetivado que el vehículo Míni circulaba entonces a una velocidad superior en todo caso a 80 km/h, lo cual fue confirmado por la totalidad de los peritos que emitieron informes sobre tal extremo de la velocidad. Así, en el interrogatorio de los agentes del Equipo de Reconstrucción de Accidentes —ERAT— de la Guardia Civil con TIP núm. 72.134, 38.564 y 23.514, tras manifestar éstos que hicieron el cálculo más conservador, esto es, que tomaron todos los datos más favorables al conductor, concluyeron que el acusado Pedro circulaba a una velocidad entre 85 y 100 km/h. Y así partieron del examen del Mini, donde apreciaron el impacto de 2 personas, y de los graves menoscabos físicos sufridos por las víctimas, así como de la posición final de las mismas, todos ellos datos indubitados a partir de los cuales concluyen la elevada velocidad a la que se produjo el atropello, y que explica la elevación del peatón por encima. No obstante reconocieron que no fue posible conocer el punto exacto del atropello, fijando una franja de entre unos metros antes y después del paso de cebra; y concluyeron que el Mini no se detuvo así como que el vehículo no pasó sobre las víctimas…</w:t>
      </w:r>
    </w:p>
    <w:p w:rsidR="0085709A" w:rsidRDefault="0085709A" w:rsidP="0085709A">
      <w:pPr>
        <w:pStyle w:val="TextoNormal"/>
      </w:pPr>
    </w:p>
    <w:p w:rsidR="0085709A" w:rsidRDefault="0085709A" w:rsidP="0085709A">
      <w:pPr>
        <w:pStyle w:val="TextoNormal"/>
      </w:pPr>
      <w:r>
        <w:t xml:space="preserve">En cuando a la velocidad a que circulaba el acusado Javier Benítez, si bien es cierto como sostiene el perito Félix M. Ríos Abreu que no era posible fijarla, sin embargo este juzgador </w:t>
      </w:r>
      <w:r>
        <w:lastRenderedPageBreak/>
        <w:t>a partir del conjunto de la prueba practicada en los términos ya analizado[s] alcanza la convicción de que se situó por encima de los 80 km/h, al igual que el acusado Pedro Galván, puesto que no otra cosa resulta de las pruebas testificales, que redundan en situar a la misma velocidad a ambos acusados, y que en todo caso iban muy juntos, circunstancia ésta que sería incompatible con el hecho de que llevaran ambos vehículos distintas velocidades. En cuanto a las supuestas reparaciones que se habrían efectuado en el Volkswagen en la parte delantera, el perito D. Víctor Manuel Fajardo advirtió que había signos de reparaciones del frontal delantero, y si bien inicialmente expresó que ‘serían de días’ después sostuvo que no podría determinar la fecha en que se efectuaron. En cualquier caso, ningún vestigio fue encontrado del que se pudiere desprender que sufrió algún golpe la noche de autos…”.</w:t>
      </w:r>
    </w:p>
    <w:p w:rsidR="0085709A" w:rsidRDefault="0085709A" w:rsidP="0085709A">
      <w:pPr>
        <w:pStyle w:val="TextoNormal"/>
      </w:pPr>
    </w:p>
    <w:p w:rsidR="0085709A" w:rsidRDefault="0085709A" w:rsidP="0085709A">
      <w:pPr>
        <w:pStyle w:val="TextoNormal"/>
      </w:pPr>
      <w:r>
        <w:t>b) El juicio oral se celebró en cinco sesiones consecutivas, entre los días 4 a 8 de abril de 2011. Por lo que hace a la sesión del día 6 de abril, relevante a los efectos de este amparo, figura en las actuaciones el acta sucinta de la Secretaria del Juzgado dando cuenta de la prueba testifical y pericial practicada. En cuanto a los cinco primeros testigos, el acta se limita a identificar su nombre, qué parte procesal les ha formulado preguntas y cuál o cuáles no, y si han respondido a las mismas (“No hay preguntas”, “Contesta a sus preguntas”). Durante el interrogatorio a la quinta testigo, el acta refleja lo siguiente: “Se ha producido un problema técnico con la grabación, interrumpiendo la sesión 2 minutos para solucionar el problema”. Luego de un punto y aparte, se lee la frase: “Se ha solucionado el problema de grabación”. Pese a tal indicación, el acta empieza a recoger con cierto detalle las respuestas que ofrece la misma testigo a las nuevas preguntas que se le formulan y lo mismo se hace con el siguiente testigo. Al finalizar esta última declaración, el acta indica, en letras mayúsculas: “CONTINÚA EL ACTA SUCINTA”, volviendo al formato anterior con la siguiente testigo y, tras ella, con el interrogatorio de quienes fueron citados como expertos (prueba pericial), cerrándose luego la sesión.</w:t>
      </w:r>
    </w:p>
    <w:p w:rsidR="0085709A" w:rsidRDefault="0085709A" w:rsidP="0085709A">
      <w:pPr>
        <w:pStyle w:val="TextoNormal"/>
      </w:pPr>
    </w:p>
    <w:p w:rsidR="0085709A" w:rsidRDefault="0085709A" w:rsidP="0085709A">
      <w:pPr>
        <w:pStyle w:val="TextoNormal"/>
      </w:pPr>
      <w:r>
        <w:t>La vista tenía fijado su inicio a las 9:30 horas, constando en el acta que se suspendió a las 20:37 horas. Por lógica la pericial, que fue la última en realizarse, debió serlo en la sesión de tarde de ese día 6 de abril de 2011.</w:t>
      </w:r>
    </w:p>
    <w:p w:rsidR="0085709A" w:rsidRDefault="0085709A" w:rsidP="0085709A">
      <w:pPr>
        <w:pStyle w:val="TextoNormal"/>
      </w:pPr>
    </w:p>
    <w:p w:rsidR="0085709A" w:rsidRDefault="0085709A" w:rsidP="0085709A">
      <w:pPr>
        <w:pStyle w:val="TextoNormal"/>
      </w:pPr>
      <w:r>
        <w:t>c) Notificada la Sentencia, todas las partes personadas en la causa (Ministerio Fiscal, acusación particular y los dos acusados) formalizaron recurso de apelación contra ella. Por lo que respecta al aquí demandante de amparo, obra en las actuaciones un escrito de su Procurador, de 5 de mayo de 2011, donde se hace saber al Juzgado que tras haber solicitado copia de la grabación de las sesiones de la vista y recibir varios DVD, se constató que “faltaba parte de la prueba practicada los días 4 de Abril de 2011 y 6 de Abril de 2011”. Reitera por ello la petición de que se le expida copia de las grabaciones y actas realizadas, con suspensión del plazo de diez días para formalizar el recurso de apelación “hasta la entrega de la información requerida”.</w:t>
      </w:r>
    </w:p>
    <w:p w:rsidR="0085709A" w:rsidRDefault="0085709A" w:rsidP="0085709A">
      <w:pPr>
        <w:pStyle w:val="TextoNormal"/>
      </w:pPr>
    </w:p>
    <w:p w:rsidR="0085709A" w:rsidRDefault="0085709A" w:rsidP="0085709A">
      <w:pPr>
        <w:pStyle w:val="TextoNormal"/>
      </w:pPr>
      <w:r>
        <w:t>d) El Juzgado dictó providencia el 18 de mayo de 2011, acordando hacer entrega a la representación procesal del aquí recurrente del soporte DVD con las declaraciones realizadas en el acto del juicio oral del día 4 de abril de 2011, añadiendo lo siguiente:</w:t>
      </w:r>
    </w:p>
    <w:p w:rsidR="0085709A" w:rsidRDefault="0085709A" w:rsidP="0085709A">
      <w:pPr>
        <w:pStyle w:val="TextoNormal"/>
      </w:pPr>
    </w:p>
    <w:p w:rsidR="0085709A" w:rsidRDefault="0085709A" w:rsidP="0085709A">
      <w:pPr>
        <w:pStyle w:val="TextoNormal"/>
      </w:pPr>
      <w:r>
        <w:t xml:space="preserve">“Asimismo, y observado un error en el sistema informático de la sala número 4 de este Palacio de Justicia, que impide la adecuada recuperación de todos y cada uno de los fragmentos de la sesión del juicio oral del día 6 de abril del 2011, ofíciese a la mayor brevedad </w:t>
      </w:r>
      <w:r>
        <w:lastRenderedPageBreak/>
        <w:t>a la Dirección General de Relaciones con la Administración de Justicia del Gobierno de Canarias, a fin de que pongan los medios para la recuperación de la integridad de la citada sesión en soporte apto para la reproducción del sonido y de la imagen (DVD).”</w:t>
      </w:r>
    </w:p>
    <w:p w:rsidR="0085709A" w:rsidRDefault="0085709A" w:rsidP="0085709A">
      <w:pPr>
        <w:pStyle w:val="TextoNormal"/>
      </w:pPr>
    </w:p>
    <w:p w:rsidR="0085709A" w:rsidRDefault="0085709A" w:rsidP="0085709A">
      <w:pPr>
        <w:pStyle w:val="TextoNormal"/>
      </w:pPr>
      <w:r>
        <w:t>e) La Secretaria del Juzgado dictó diligencia de constancia el 1 de junio de 2011, indicando que al hacer el cotejo entre el DVD del juicio oral del día 6 de abril de 2011 y el acta del juicio de ese día, se comprueba lo siguiente:</w:t>
      </w:r>
    </w:p>
    <w:p w:rsidR="0085709A" w:rsidRDefault="0085709A" w:rsidP="0085709A">
      <w:pPr>
        <w:pStyle w:val="TextoNormal"/>
      </w:pPr>
    </w:p>
    <w:p w:rsidR="0085709A" w:rsidRDefault="0085709A" w:rsidP="0085709A">
      <w:pPr>
        <w:pStyle w:val="TextoNormal"/>
      </w:pPr>
      <w:r>
        <w:t>“[N]o aparece en la grabación las declaraciones de: - Pericial técnica GCJ72134D; P385646 y Q23514K, por videoconferencia junto con la declaración presencial de Victor Manuel Fajardo Estévez (mecánico) - Médico Forense María Luisa Suárez Solá - Roberto Morera Bello, junto con Policía Local 99, 152 y 158 - Pericial técnica Sixto Troya Santana …; se requirió a la Dirección General de Relaciones con la Administración de Justicia para que informara sobre lo ocurrido, emitiendo informe por parte del equipo informático donde nos hacen saber que no consta nada grabado en el disco duro del día 6/04/11, a pesar de que nosotros tenemos declaraciones grabadas de ese día, de lo que doy fe.”</w:t>
      </w:r>
    </w:p>
    <w:p w:rsidR="0085709A" w:rsidRDefault="0085709A" w:rsidP="0085709A">
      <w:pPr>
        <w:pStyle w:val="TextoNormal"/>
      </w:pPr>
    </w:p>
    <w:p w:rsidR="0085709A" w:rsidRDefault="0085709A" w:rsidP="0085709A">
      <w:pPr>
        <w:pStyle w:val="TextoNormal"/>
      </w:pPr>
      <w:r>
        <w:t>Con arreglo a esta diligencia de la Secretaria, el Juzgado dictó a su vez una providencia en la misma fecha, 1 de junio de 2011, acordando la reanudación del cómputo de los 10 días para interponer el recurso de apelación, a partir del siguiente a la notificación de esta última resolución.</w:t>
      </w:r>
    </w:p>
    <w:p w:rsidR="0085709A" w:rsidRDefault="0085709A" w:rsidP="0085709A">
      <w:pPr>
        <w:pStyle w:val="TextoNormal"/>
      </w:pPr>
    </w:p>
    <w:p w:rsidR="0085709A" w:rsidRDefault="0085709A" w:rsidP="0085709A">
      <w:pPr>
        <w:pStyle w:val="TextoNormal"/>
      </w:pPr>
      <w:r>
        <w:t>f) En virtud de escrito de 6 de junio de 2011, el Ministerio Fiscal solicitó al Juzgado la apertura de un incidente de reconstrucción de actuaciones al amparo del art. 232 y siguientes de la supletoria Ley 1/2000, de enjuiciamiento civil (LEC), “a fin de subsanar en la medida de lo posible la falta parcial de documentación del acto del juicio oral del presente procedimiento”, concretamente en relación con la prueba no grabada de la sesión del 6 de abril de 2011. Como “medios de reconstitución del defecto de documentación”, se propuso el nombramiento de un técnico informático para que examinara el disco duro del aparato de grabación, por si era posible rescatar el archivo; recabar “de las cadenas de televisión que siguieron el acto del juicio copia de las grabaciones que hicieron del mismo”; que se tuvieran en cuenta las notas que hubiera tomado el Magistrado Juez durante la sesión referida y así como la documental aportada por los “peritos y testigos afectados por la falta de grabación”.</w:t>
      </w:r>
    </w:p>
    <w:p w:rsidR="0085709A" w:rsidRDefault="0085709A" w:rsidP="0085709A">
      <w:pPr>
        <w:pStyle w:val="TextoNormal"/>
      </w:pPr>
    </w:p>
    <w:p w:rsidR="0085709A" w:rsidRDefault="0085709A" w:rsidP="0085709A">
      <w:pPr>
        <w:pStyle w:val="TextoNormal"/>
      </w:pPr>
      <w:r>
        <w:t xml:space="preserve">g) El 10 de junio de 2011 tuvo entrada en el Registro del Juzgado </w:t>
      </w:r>
      <w:r w:rsidRPr="0085709A">
        <w:rPr>
          <w:i/>
        </w:rPr>
        <w:t>a quo</w:t>
      </w:r>
      <w:r>
        <w:t>, escrito del representante procesal del demandante de amparo por el que interpuso recurso de apelación contra la Sentencia. El “motivo I” del recurso (se plantean un total de 19 motivos), sin hacer referencia a la solicitud de reconstrucción de autos del Fiscal, alega la vulneración de los derechos a la tutela judicial efectiva (art. 24.1 CE) y a la presunción de inocencia (art. 24.2 CE), “en relación con el 743 y 788.6 de la Ley de Enjuiciamiento Criminal y 238 de la LOPJ”. Se sostiene que se produce indefensión dada la imposibilidad de preparar el recurso en relación con las pruebas de descargo de carácter personal (peritos) que se practicaron en la sesión del 6 de abril de 2011, al no quedar registradas tales declaraciones en soporte audiovisual y no contener el acta sucinta levantada por la Secretaria un resumen de las distintas pruebas. Aduce vulneración también del derecho a una segunda instancia (art. 24.1 CE), porque el órgano judicial de apelación no pudo valorar el material probatorio de descargo, lo que debe llevar a la absolución del recurrente o, “subsidiariamente, [a la] nulidad del juicio ordenando la repetición del mismo”.</w:t>
      </w:r>
    </w:p>
    <w:p w:rsidR="0085709A" w:rsidRDefault="0085709A" w:rsidP="0085709A">
      <w:pPr>
        <w:pStyle w:val="TextoNormal"/>
      </w:pPr>
    </w:p>
    <w:p w:rsidR="0085709A" w:rsidRDefault="0085709A" w:rsidP="0085709A">
      <w:pPr>
        <w:pStyle w:val="TextoNormal"/>
      </w:pPr>
      <w:r>
        <w:t xml:space="preserve">h) La Secretaria del Juzgado proveyó a la solicitud del Ministerio Fiscal acerca de la incoación del expediente de reconstrucción de autos, dictando diligencia de ordenación el 28 de junio de 2011, acordando dar traslado a las demás partes por término de tres días, a fin de que se manifestaran respecto a su procedencia. Mediante escrito recibido en el Registro del Juzgado </w:t>
      </w:r>
      <w:r w:rsidRPr="0085709A">
        <w:rPr>
          <w:i/>
        </w:rPr>
        <w:t>a quo</w:t>
      </w:r>
      <w:r>
        <w:t xml:space="preserve"> el 7 de julio de 2011, la representación procesal del recurrente se opuso a dicha incoación, entendiendo que era inadecuado el procedimiento y que la “inexistencia, la pérdida o el deterioro de la grabación original” debe suponer la nulidad “automática” de dichos actos, teniendo en cuenta además la posibilidad de que “el Disco Duro haya sido manipulado por distintos peritos en un intento, sin duda lícito y loable, de recuperar lo grabado”. Y rechaza la alternativa de las grabaciones de las cadenas de televisión que cubrieron el juicio, al no corresponder a un soporte custodiado por la Secretaría del Juzgado </w:t>
      </w:r>
      <w:r w:rsidRPr="0085709A">
        <w:rPr>
          <w:i/>
        </w:rPr>
        <w:t>ex</w:t>
      </w:r>
      <w:r>
        <w:t xml:space="preserve"> art. 453.1 de la Ley Orgánica del Poder Judicial (LOPJ).</w:t>
      </w:r>
    </w:p>
    <w:p w:rsidR="0085709A" w:rsidRDefault="0085709A" w:rsidP="0085709A">
      <w:pPr>
        <w:pStyle w:val="TextoNormal"/>
      </w:pPr>
    </w:p>
    <w:p w:rsidR="0085709A" w:rsidRDefault="0085709A" w:rsidP="0085709A">
      <w:pPr>
        <w:pStyle w:val="TextoNormal"/>
      </w:pPr>
      <w:r>
        <w:t xml:space="preserve">i) Obra en los autos un informe de la empresa Egson encargada del funcionamiento de los equipos de grabación situados en la Sala de vistas, en el que, tras sus propias comprobaciones y analizar la versión de los funcionarios del Juzgado sobre lo sucedido, se concluye que el aparato funcionaba correctamente y que el problema pudo venir dado al momento de intentar hacer las copias, puesto que de manera incorrecta se movieron los archivos de su ubicación original y se les cambió el nombre, lo que ocasionó su borrado “haciendo imposible su posterior localización por el programa”. De ese informe discrepó por su lado la Secretaria del Juzgado </w:t>
      </w:r>
      <w:r w:rsidRPr="0085709A">
        <w:rPr>
          <w:i/>
        </w:rPr>
        <w:t>a quo</w:t>
      </w:r>
      <w:r>
        <w:t>, quien remitió oficio el 10 de junio de 2011 dirigido a la Dirección General de Relaciones con la Administración de Justicia del Gobierno de Canarias, haciendo constar que la actuación de los Auxiliares y de ella misma había sido la correcta, sin perjuicio de haberse observado una anomalía que llevó a levantar “acta extensa”, hasta que “en un receso se comprobó con posterioridad que se había grabado correctamente donde se produjo la anomalía, y se siguió levantando Acta Sucinta”, aunque después del acto se comprobó que no aparecía grabación de esa sesión.</w:t>
      </w:r>
    </w:p>
    <w:p w:rsidR="0085709A" w:rsidRDefault="0085709A" w:rsidP="0085709A">
      <w:pPr>
        <w:pStyle w:val="TextoNormal"/>
      </w:pPr>
    </w:p>
    <w:p w:rsidR="0085709A" w:rsidRDefault="0085709A" w:rsidP="0085709A">
      <w:pPr>
        <w:pStyle w:val="TextoNormal"/>
      </w:pPr>
      <w:r>
        <w:t>j) Mediante providencia de 19 de julio de 2011, el Juzgado acordó la apertura del expediente de reconstrucción de las actuaciones, “para lo cual líbrense los despachos oportunos a la cadena de Televisión Autonómica, programa ‘Código Abierto’ a fin de que remitan a este Juzgado copia de las grabaciones del día 6/04/11”.</w:t>
      </w:r>
    </w:p>
    <w:p w:rsidR="0085709A" w:rsidRDefault="0085709A" w:rsidP="0085709A">
      <w:pPr>
        <w:pStyle w:val="TextoNormal"/>
      </w:pPr>
    </w:p>
    <w:p w:rsidR="0085709A" w:rsidRDefault="0085709A" w:rsidP="0085709A">
      <w:pPr>
        <w:pStyle w:val="TextoNormal"/>
      </w:pPr>
      <w:r>
        <w:t>Dicha resolución fue impugnada en reforma por la representación del aquí recurrente en amparo, por escrito presentado el 2 de septiembre de 2011, aduciendo falta de motivación e insistiendo en la inadecuación del expediente; admitiéndose a trámite el recurso por providencia de 8 de septiembre de 2011.</w:t>
      </w:r>
    </w:p>
    <w:p w:rsidR="0085709A" w:rsidRDefault="0085709A" w:rsidP="0085709A">
      <w:pPr>
        <w:pStyle w:val="TextoNormal"/>
      </w:pPr>
    </w:p>
    <w:p w:rsidR="0085709A" w:rsidRDefault="0085709A" w:rsidP="0085709A">
      <w:pPr>
        <w:pStyle w:val="TextoNormal"/>
      </w:pPr>
      <w:r>
        <w:t>k) Al día siguiente —9 de septiembre—, sin haberse resuelto todavía el recurso de reforma, la Secretaria del Juzgado dictó diligencia de ordenación de este tenor:</w:t>
      </w:r>
    </w:p>
    <w:p w:rsidR="0085709A" w:rsidRDefault="0085709A" w:rsidP="0085709A">
      <w:pPr>
        <w:pStyle w:val="TextoNormal"/>
      </w:pPr>
    </w:p>
    <w:p w:rsidR="0085709A" w:rsidRDefault="0085709A" w:rsidP="0085709A">
      <w:pPr>
        <w:pStyle w:val="TextoNormal"/>
      </w:pPr>
      <w:r>
        <w:t>“Habiendo recibido de la cadena de televisión ‘Código Abierto’ DVD de la grabación correspondiente al día 06/04/2011, únase a las presentes actuaciones dándose copia del mismo a las partes. Para llevar a efecto la reconstrucción de las actuaciones, de conformidad con el artículo 234 de la LEC, se señala comparecencia ante el Secretario Judicial el próximo 19/09/2011 a las 9:30 horas, en la sala de vistas nº 14, citando a todas las partes mediante su representación procesal y a sus abogados…”</w:t>
      </w:r>
    </w:p>
    <w:p w:rsidR="0085709A" w:rsidRDefault="0085709A" w:rsidP="0085709A">
      <w:pPr>
        <w:pStyle w:val="TextoNormal"/>
      </w:pPr>
    </w:p>
    <w:p w:rsidR="0085709A" w:rsidRDefault="0085709A" w:rsidP="0085709A">
      <w:pPr>
        <w:pStyle w:val="TextoNormal"/>
      </w:pPr>
      <w:r>
        <w:t>l) Conforme se hace constar en el acta de la comparecencia de 19 de septiembre de 2011, se acordó la suspensión de ésta a petición de las partes, a la espera de que se resolviera el recurso de reforma.</w:t>
      </w:r>
    </w:p>
    <w:p w:rsidR="0085709A" w:rsidRDefault="0085709A" w:rsidP="0085709A">
      <w:pPr>
        <w:pStyle w:val="TextoNormal"/>
      </w:pPr>
    </w:p>
    <w:p w:rsidR="0085709A" w:rsidRDefault="0085709A" w:rsidP="0085709A">
      <w:pPr>
        <w:pStyle w:val="TextoNormal"/>
      </w:pPr>
      <w:r>
        <w:t>m) A través de Auto de 20 de octubre de 2011, el Juzgado desestimó el recurso de reforma. En su consecuencia, la Secretaria del Juzgado dictó diligencia de ordenación el 24 de octubre de 2011, señalando la celebración de la comparecencia que había sido suspendida, para el día 2 de noviembre de 2011.</w:t>
      </w:r>
    </w:p>
    <w:p w:rsidR="0085709A" w:rsidRDefault="0085709A" w:rsidP="0085709A">
      <w:pPr>
        <w:pStyle w:val="TextoNormal"/>
      </w:pPr>
    </w:p>
    <w:p w:rsidR="0085709A" w:rsidRDefault="0085709A" w:rsidP="0085709A">
      <w:pPr>
        <w:pStyle w:val="TextoNormal"/>
      </w:pPr>
      <w:r>
        <w:t>En la fecha señalada tuvo lugar lo acordado. El Ministerio Fiscal solicitó que se tuvieran por reconstruidas las actuaciones de la sesión de 6 de abril de 2011 con las cintas aportadas por el ente público “Televisión Canaria”. Se opuso a dicha solicitud la defensa del aquí recurrente, alegando que el DVD era incompleto y defectuoso, con “continuos cortes de audio y vídeo, tiene una duración de 1 hora 26 min. y 14 segundos, de los cuales 34 min. y 34 segundos se corresponden con la prueba practicada el día 6 y eso resulta indicativo de la escasa magnitud de lo grabado frente a lo que realmente ocurrió ese día, recordemos que el juicio se inició a las 9:30 horas y terminó a las 20:37 horas”.</w:t>
      </w:r>
    </w:p>
    <w:p w:rsidR="0085709A" w:rsidRDefault="0085709A" w:rsidP="0085709A">
      <w:pPr>
        <w:pStyle w:val="TextoNormal"/>
      </w:pPr>
    </w:p>
    <w:p w:rsidR="0085709A" w:rsidRDefault="0085709A" w:rsidP="0085709A">
      <w:pPr>
        <w:pStyle w:val="TextoNormal"/>
      </w:pPr>
      <w:r>
        <w:t>n) Al existir desacuerdo entre las partes se dictó providencia el mismo día 2 de noviembre de 2011, convocando a las partes a una comparecencia ante el Magistrado-Juez, para el día 14 de noviembre de 2011. De ésta se levantó a su vez pertinente acta, la cual recogió lo solicitado por el Ministerio Fiscal y las defensas, ratificándose todas en lo que ya habían manifestado en la comparecencia anterior.</w:t>
      </w:r>
    </w:p>
    <w:p w:rsidR="0085709A" w:rsidRDefault="0085709A" w:rsidP="0085709A">
      <w:pPr>
        <w:pStyle w:val="TextoNormal"/>
      </w:pPr>
    </w:p>
    <w:p w:rsidR="0085709A" w:rsidRDefault="0085709A" w:rsidP="0085709A">
      <w:pPr>
        <w:pStyle w:val="TextoNormal"/>
      </w:pPr>
      <w:r>
        <w:t>ñ) En la misma fecha, 14 de noviembre de 2011, el Juzgado dictó Auto accediendo a lo solicitado por el Ministerio Fiscal en los siguientes términos: “ACUERDO: LA RECONSTRUCCIÓN del Acta del Juicio Oral a partir de las manifestaciones y alegaciones formuladas por el Ministerio Fiscal y por la defensa del acusado D. Javier …, de acuerdo con las precisiones fijadas en los anteriores fundamentos jurídicos tercero, cuarto, quinto y sexto, así como del contenido de los DVD facilitados por los medios de comunicación audiovisuales”. A tal efecto el Juzgado recuerda ante todo, en su fundamento jurídico primero:</w:t>
      </w:r>
    </w:p>
    <w:p w:rsidR="0085709A" w:rsidRDefault="0085709A" w:rsidP="0085709A">
      <w:pPr>
        <w:pStyle w:val="TextoNormal"/>
      </w:pPr>
    </w:p>
    <w:p w:rsidR="0085709A" w:rsidRDefault="0085709A" w:rsidP="0085709A">
      <w:pPr>
        <w:pStyle w:val="TextoNormal"/>
      </w:pPr>
      <w:r>
        <w:t>“[E]l dispositivo de captación de imágenes y de sonido del que está dotado la Sala de Vistas, fue activado por el personal de auxilio de este Juzgado, pese a lo cual ni las imágenes ni el sonido fueron registrados en el soporte DVD unido a las actuaciones, habiéndose comprobado con posterioridad que tampoco en la computadora de Sala (desde la cual debieron copiarse al referido DVD) quedaron registrados. Toda vez que este Órgano Judicial tuvo la convicción de contar con los recursos y medios tecnológicos aptos e idóneos para fijar en soporte autenticado la grabación del sonido y de la imagen, que permitiera su ulterior reproducción, por la Sra. Secretaria Judicial se extendió acta sucinta con referencia al número y clase de procedimiento, lugar y fecha de celebración, tiempo de duración, asistentes al acto, peticiones y propuestas de las partes, proposición de pruebas, con declaración de pertinencia y orden en la práctica de las mismas, resoluciones que adoptó el Juez así como las circunstancias e incidencias que no podían constar en aquel soporte electrónico, todo ello en estricto cumplimiento de lo preceptuado en el artículo 743.3 LECrim…”</w:t>
      </w:r>
    </w:p>
    <w:p w:rsidR="0085709A" w:rsidRDefault="0085709A" w:rsidP="0085709A">
      <w:pPr>
        <w:pStyle w:val="TextoNormal"/>
      </w:pPr>
    </w:p>
    <w:p w:rsidR="0085709A" w:rsidRDefault="0085709A" w:rsidP="0085709A">
      <w:pPr>
        <w:pStyle w:val="TextoNormal"/>
      </w:pPr>
      <w:r>
        <w:lastRenderedPageBreak/>
        <w:t>A continuación, en el mismo fundamento, se reconoce la relevancia de la grabación no efectuada:</w:t>
      </w:r>
    </w:p>
    <w:p w:rsidR="0085709A" w:rsidRDefault="0085709A" w:rsidP="0085709A">
      <w:pPr>
        <w:pStyle w:val="TextoNormal"/>
      </w:pPr>
    </w:p>
    <w:p w:rsidR="0085709A" w:rsidRDefault="0085709A" w:rsidP="0085709A">
      <w:pPr>
        <w:pStyle w:val="TextoNormal"/>
      </w:pPr>
      <w:r>
        <w:t>“Siendo así, conviene poner de relieve la importancia del citado soporte electrónico, en la medida que sustituye el acta levantad[a] bajo la fe pública del Secretario judicial, que por consiguiente lo que en definitiva interesa la representación del Ministerio Público es la reconstrucción de parte de un componente esencial del proceso penal, el acta que documenta lo sucedido durante el acto del juicio oral, esto es, que ha de reflejar todo aquello que sucedía en el acto del juicio, fase esencial del proceso penal durante el cual se desarrolla la totalidad de la prueba bajo los principios de oralidad, publicidad, inmediación, igualdad y contradicción … En el presente supuesto es lo cierto que la destrucción o desaparición del sonido e imágenes captados no es total, sino que afecta exclusivamente a las cuatro periciales ya citadas; sin embargo ello no obsta a que dichos fragmentos resulten igualmente imprescindibles, habiéndose de proceder a su reconstrucción con todas las garantías, en especial respetando escrupulosamente el derecho a que no se produzca indefensión consagrado por el artículo 24 de la Constitución, lo cual es plenamente posible en el presente caso…”</w:t>
      </w:r>
    </w:p>
    <w:p w:rsidR="0085709A" w:rsidRDefault="0085709A" w:rsidP="0085709A">
      <w:pPr>
        <w:pStyle w:val="TextoNormal"/>
      </w:pPr>
    </w:p>
    <w:p w:rsidR="0085709A" w:rsidRDefault="0085709A" w:rsidP="0085709A">
      <w:pPr>
        <w:pStyle w:val="TextoNormal"/>
      </w:pPr>
      <w:r>
        <w:t>Tras aclarar de inmediato, no obstante, que “ninguna de las cuatro pruebas cuya reconstrucción se interesa fueron acogidas por este Juzgador para fundamentar la condena de D. Javier”, el Auto recoge en sus fundamentos jurídicos segundo a cuarto, un resumen sobre el objeto de lo declarado por cada una de las personas interrogadas en la sesión del 6 de abril de 2011, a partir de los observaciones que formularon al efecto el Ministerio Fiscal y la defensa del aquí recurrente, en las comparecencia celebradas.</w:t>
      </w:r>
    </w:p>
    <w:p w:rsidR="0085709A" w:rsidRDefault="0085709A" w:rsidP="0085709A">
      <w:pPr>
        <w:pStyle w:val="TextoNormal"/>
      </w:pPr>
    </w:p>
    <w:p w:rsidR="0085709A" w:rsidRDefault="0085709A" w:rsidP="0085709A">
      <w:pPr>
        <w:pStyle w:val="TextoNormal"/>
      </w:pPr>
      <w:r>
        <w:t xml:space="preserve">o) El demandante de amparo interpuso recurso de apelación contra esta resolución judicial. La Sección Quinta de la Audiencia Provincial de Santa Cruz de Tenerife, competente también —como de inmediato se verá— para la resolución del recurso de apelación contra la Sentencia del Juzgado </w:t>
      </w:r>
      <w:r w:rsidRPr="0085709A">
        <w:rPr>
          <w:i/>
        </w:rPr>
        <w:t>a quo</w:t>
      </w:r>
      <w:r>
        <w:t>, dictó Auto el 27 de septiembre de 2012, rollo núm. 116-2012, estimando parcialmente el recurso contra el citado Auto de 14 de noviembre de 2011, en el sentido de acordar:</w:t>
      </w:r>
    </w:p>
    <w:p w:rsidR="0085709A" w:rsidRDefault="0085709A" w:rsidP="0085709A">
      <w:pPr>
        <w:pStyle w:val="TextoNormal"/>
      </w:pPr>
    </w:p>
    <w:p w:rsidR="0085709A" w:rsidRDefault="0085709A" w:rsidP="0085709A">
      <w:pPr>
        <w:pStyle w:val="TextoNormal"/>
      </w:pPr>
      <w:r>
        <w:t>“[C]on relación al contenido de las pruebas practicadas en la sesión del juicio oral del día 6 de abril de 2011, se tiene por reconstruida parcialmente en los fragmentos que corresponden a estas diligencias y que constan en el soporte DVD incorporado al incidente de reconstrucción. En todo lo restante, no ha lugar a tener por reconstruidas estas actuaciones…”</w:t>
      </w:r>
    </w:p>
    <w:p w:rsidR="0085709A" w:rsidRDefault="0085709A" w:rsidP="0085709A">
      <w:pPr>
        <w:pStyle w:val="TextoNormal"/>
      </w:pPr>
    </w:p>
    <w:p w:rsidR="0085709A" w:rsidRDefault="0085709A" w:rsidP="0085709A">
      <w:pPr>
        <w:pStyle w:val="TextoNormal"/>
      </w:pPr>
      <w:r>
        <w:t>A criterio de la Audiencia, en su fundamento de derecho tercero, la reconstrucción parcial de la vista no grabada resultaba posible, pero sólo con el soporte audiovisual de la cadena “Televisión Canaria”. No así con la versión dada por las partes y el propio Magistrado Juez respecto a lo declarado por los peritos:</w:t>
      </w:r>
    </w:p>
    <w:p w:rsidR="0085709A" w:rsidRDefault="0085709A" w:rsidP="0085709A">
      <w:pPr>
        <w:pStyle w:val="TextoNormal"/>
      </w:pPr>
    </w:p>
    <w:p w:rsidR="0085709A" w:rsidRDefault="0085709A" w:rsidP="0085709A">
      <w:pPr>
        <w:pStyle w:val="TextoNormal"/>
      </w:pPr>
      <w:r>
        <w:t xml:space="preserve">“[P]uede aceptarse [el soporte editado por la Televisión Canaria] como elemento apto para permitir reproducir los contenidos perdidos … Sin embargo, no puede completarse esta actividad con apreciaciones subjetivas a las que se les ha atribuido condición de fuente de información directa, con la meritoria pretensión de completar la falta del material probatorio para reproducir los contenidos inexistentes. El parecer de los sujetos procesales es relevante, a través de sus alegaciones, para fijar su posición con respecto a los materiales probatorios </w:t>
      </w:r>
      <w:r>
        <w:lastRenderedPageBreak/>
        <w:t>sobre los que se edifica la reconstrucción de autos, pero inadecuado e insuficiente como medio de reproducción de los contenidos perdidos. Afirmación ésta que vierte este Tribunal exclusivamente a los fines de este procedimiento, puesto que las manifestaciones vertidas por los sujetos procesales, en los autos principales, sobre el desarrollo y contenido del juicio pueden ser examinadas y valoradas por este tribunal de apelación al resolver el recurso principal.”</w:t>
      </w:r>
    </w:p>
    <w:p w:rsidR="0085709A" w:rsidRDefault="0085709A" w:rsidP="0085709A">
      <w:pPr>
        <w:pStyle w:val="TextoNormal"/>
      </w:pPr>
    </w:p>
    <w:p w:rsidR="0085709A" w:rsidRDefault="0085709A" w:rsidP="0085709A">
      <w:pPr>
        <w:pStyle w:val="TextoNormal"/>
      </w:pPr>
      <w:r>
        <w:t>Lo que recalca más adelante, en el fundamento cuarto:</w:t>
      </w:r>
    </w:p>
    <w:p w:rsidR="0085709A" w:rsidRDefault="0085709A" w:rsidP="0085709A">
      <w:pPr>
        <w:pStyle w:val="TextoNormal"/>
      </w:pPr>
    </w:p>
    <w:p w:rsidR="0085709A" w:rsidRDefault="0085709A" w:rsidP="0085709A">
      <w:pPr>
        <w:pStyle w:val="TextoNormal"/>
      </w:pPr>
      <w:r>
        <w:t>“[N]o puede considerarse que se haya reconstruido en su integridad el acta del juicio oral, en la forma que recoge la parte dispositiva del auto recurrido. Estrictamente se entienden reconstruidos parcialmente los soportes documentales con respecto a los fragmentos del DVD incorporado a estas actuaciones, facilitado por un medio de comunicación, que resultan coincidentes con determinados momentos (no con su integridad) de estas intervenciones en el juicio oral …”</w:t>
      </w:r>
    </w:p>
    <w:p w:rsidR="0085709A" w:rsidRDefault="0085709A" w:rsidP="0085709A">
      <w:pPr>
        <w:pStyle w:val="TextoNormal"/>
      </w:pPr>
    </w:p>
    <w:p w:rsidR="0085709A" w:rsidRDefault="0085709A" w:rsidP="0085709A">
      <w:pPr>
        <w:pStyle w:val="TextoNormal"/>
      </w:pPr>
      <w:r>
        <w:t>p) El 11 de abril de 2013, la propia Sección Quinta de la Audiencia Provincial de Santa Cruz de Tenerife dictó Sentencia en el rollo de apelación núm. 72-2012, estimando parcialmente el recurso interpuesto contra la Sentencia de primera instancia, únicamente en el sentido de absolver al recurrente del delito de omisión del deber de socorro por el que también había sido condenado, pero confirmando a la apelada en todo lo demás; con desestimación de los demás recursos.</w:t>
      </w:r>
    </w:p>
    <w:p w:rsidR="0085709A" w:rsidRDefault="0085709A" w:rsidP="0085709A">
      <w:pPr>
        <w:pStyle w:val="TextoNormal"/>
      </w:pPr>
    </w:p>
    <w:p w:rsidR="0085709A" w:rsidRDefault="0085709A" w:rsidP="0085709A">
      <w:pPr>
        <w:pStyle w:val="TextoNormal"/>
      </w:pPr>
      <w:r>
        <w:t xml:space="preserve">En lo que aquí importa destacar, el fundamento de Derecho tercero examina el primer motivo del recurso de apelación del demandante de amparo. Se precisa, ante todo, que se cumplieron las formalidades legales en cuanto a la realización de la vista en presencia de la Secretaria judicial y el levantamiento por ésta de un acta sucinta </w:t>
      </w:r>
      <w:r w:rsidRPr="0085709A">
        <w:rPr>
          <w:i/>
        </w:rPr>
        <w:t>ex</w:t>
      </w:r>
      <w:r>
        <w:t xml:space="preserve"> art. 743.3 de la Ley de enjuiciamiento criminal (LECrim,) con “utilización del sistema de grabación, de uso preceptivo también en presencia del secretario judicial”. Ante la inexistencia sin embargo de los “contenidos” de prueba, al no disponerse de la grabación correspondiente, y dado que el incidente de reconstrucción de actuaciones ha arrojado un resultado apenas parcial, se acepta que se ha producido una “irregularidad”, la cual, sin embargo, no puede acarrear la nulidad de las actuaciones “ni mucho menos” la absolución del acusado, teniendo en cuenta “la prueba practicada en el juicio y … los razonamientos fácticos de la sentencia para motivar la condena”. En concreto:</w:t>
      </w:r>
    </w:p>
    <w:p w:rsidR="0085709A" w:rsidRDefault="0085709A" w:rsidP="0085709A">
      <w:pPr>
        <w:pStyle w:val="TextoNormal"/>
      </w:pPr>
    </w:p>
    <w:p w:rsidR="0085709A" w:rsidRDefault="0085709A" w:rsidP="0085709A">
      <w:pPr>
        <w:pStyle w:val="TextoNormal"/>
      </w:pPr>
      <w:r>
        <w:t xml:space="preserve">“Según el recurrente, las ratificaciones y explicaciones de los peritos pondrían de manifiesto conclusiones que les llevarían a afirmar que todo lo relativo a la intervención del Polo Rojo Adventur[e] (vehículo conducido por el recurrente) se basa en suposiciones teóricas, dada la inexistencia de datos objetivos para permitir determinar su intervención en el accidente. En los mismos términos, se cita en el recurso, como argumento exponente de la supuesta indefensión causada, que el técnico Roberto Morera y tres de los policías locales, en cuanto a velocidad y fase semafórica, sólo podían aplicarse al Mini rojo (vehículo conducido por el otro acusado) por falta también de pruebas objetivas para ubicar el automóvil del acusado (Polo), ni para concretar el momento de paso por el punto del accidente, ni pruebas objetivas de su velocidad. A partir de esta exposición, de las propias alegaciones del recurrente, debe afirmarse que la pérdida de las grabaciones en absoluto produce lesión para el derecho de defensa, en los términos expresados, cuando la propia sentencia reconoce y </w:t>
      </w:r>
      <w:r>
        <w:lastRenderedPageBreak/>
        <w:t>acepta, en cierta forma, estas conclusiones y viene a fundar la declaración de hechos probados en medios distintos de prueba … la inexistencia de los registros del juicio o la pérdida de estos contenidos no producen efectiva indefensión, en la forma que pretende el recurrente, cuando el contenido y los resultados de estas pruebas, de dichos dictámenes, no contradicen los fundamentos de la sentencia que motivan la condena…”.</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alega diversas vulneraciones de derechos fundamentales, contra las dos Sentencias de instancia impugnadas. Como primer motivo del recurso se alega la lesión del derecho a la tutela judicial efectiva (art. 24.1 CE), derivada de la falta de grabación de la vista del 6 de abril de 2011, en la cual se practicaron diversas pruebas periciales. En concreto y por lo que se refiere a las que interesan a dicha defensa, se mencionan las siguientes: (i) interrogatorio realizado a los miembros del equipo de reconstrucción de accidentes de tráfico de la Guardia Civil con tarjeta de identidad profesional núm. 72134, 38564 y 23514, quienes además de ratificar en juicio sus informes a través de videoconferencia, respondieron a distintas preguntas de la defensa; (ii) ratificación del informe pericial del mecánico don Víctor Manuel Fajardo Estévez; (iii) declaración de don Roberto Morera, representante local de la empresa “Lumican”, encargada del funcionamiento de la sala de control de tráfico de Santa Cruz de Tenerife; y (iv) declaraciones de los policías locales con placas de identificación núm. 99 y 152, quienes acudieron al lugar de los hechos una vez producido el accidente, así como la del policía local núm. 158, quien se hizo cargo del atestado y de la toma de declaración a varios testigos en comisaría. Los agentes, que ya habían declarado como testigos el día anterior, fueron propuestos como peritos para esa sesión a fin de que aportaran sus máximas de la experiencia aprehendidas en razón de su trabajo, lo que fue admitido por el Juzgado.</w:t>
      </w:r>
    </w:p>
    <w:p w:rsidR="0085709A" w:rsidRDefault="0085709A" w:rsidP="0085709A">
      <w:pPr>
        <w:pStyle w:val="TextoNormal"/>
      </w:pPr>
    </w:p>
    <w:p w:rsidR="0085709A" w:rsidRDefault="0085709A" w:rsidP="0085709A">
      <w:pPr>
        <w:pStyle w:val="TextoNormal"/>
      </w:pPr>
      <w:r>
        <w:t>Según la demanda de amparo, todas esas declaraciones resultaban “relevantes pruebas de descargo”. Sin embargo, como consecuencia del fallo técnico sufrido en el sistema de grabación del Juzgado, la documentación del acto quedó sustituida en el expediente de reconstrucción de actuaciones, por un resumen aportado por Televisión Canaria, en el que se dedican sólo treinta y cuatro (34) minutos y treinta y cuatro (34) segundos a la prueba practicada, cuando en la realidad la sesión se prolongó durante varias horas. Dicha grabación, dice la demanda, evidencia una yuxtaposición de imágenes y adolece de graves deficiencias del sonido y carencia de metraje, sin posibilidad de que el Secretario pueda adverar su contenido con las debidas garantías, lo que abona la indefensión alegada.</w:t>
      </w:r>
    </w:p>
    <w:p w:rsidR="0085709A" w:rsidRDefault="0085709A" w:rsidP="0085709A">
      <w:pPr>
        <w:pStyle w:val="TextoNormal"/>
      </w:pPr>
    </w:p>
    <w:p w:rsidR="0085709A" w:rsidRDefault="0085709A" w:rsidP="0085709A">
      <w:pPr>
        <w:pStyle w:val="TextoNormal"/>
      </w:pPr>
      <w:r>
        <w:t>Se deriva también de todo ello, argumenta la demanda, una lesión del derecho al recurso (art. 24.1 CE), entendida ésta desde dos perspectivas: primero, porque al tener que formular el escrito de apelación sin contar con la debida documentación del acto, el recuerdo de lo sucedido ha quedado confiado en exclusiva “a la memoria del letrado” actuante y, aunque éste, se añade, pudo recordar “el sentido general y la importancia de dichas declaraciones, queda imposibilitado para fundar su recurso con todos los elementos necesarios para articular la impugnación de la sentencia, expresando tanto el contenido exacto de lo sucedido, trasladando matices y detalles que podrían enriquecer y mejor ilustrar sus argumentos, así como las puntualizaciones precisas que tendrían que fundamentar la defensa y que serían determinantes para formar la íntima formación del tribunal de segundo grado”.</w:t>
      </w:r>
    </w:p>
    <w:p w:rsidR="0085709A" w:rsidRDefault="0085709A" w:rsidP="0085709A">
      <w:pPr>
        <w:pStyle w:val="TextoNormal"/>
      </w:pPr>
    </w:p>
    <w:p w:rsidR="0085709A" w:rsidRDefault="0085709A" w:rsidP="0085709A">
      <w:pPr>
        <w:pStyle w:val="TextoNormal"/>
      </w:pPr>
      <w:r>
        <w:t xml:space="preserve">En segundo lugar, porque los Magistrados de la Sección Juzgadora no pudieron ejercitar una revisión plena de las pruebas practicadas, quedando limitada la segunda instancia al </w:t>
      </w:r>
      <w:r>
        <w:lastRenderedPageBreak/>
        <w:t xml:space="preserve">estudio de los autos remitidos por el Juzgado de lo Penal y el resumen contenido en el DVD que aportó Televisión Canaria. Se invoca el derecho a una segunda instancia al condenado penal, </w:t>
      </w:r>
      <w:r w:rsidRPr="0085709A">
        <w:rPr>
          <w:i/>
        </w:rPr>
        <w:t>ex</w:t>
      </w:r>
      <w:r>
        <w:t xml:space="preserve"> art. 14.5 del Pacto internacional de derechos civil y políticos con cita de la STC 120/2009, de 18 de mayo, sobre la potestad del Tribunal de apelación para valorar las pruebas del órgano judicial </w:t>
      </w:r>
      <w:r w:rsidRPr="0085709A">
        <w:rPr>
          <w:i/>
        </w:rPr>
        <w:t>a quo</w:t>
      </w:r>
      <w:r>
        <w:t>, si bien con la matización impuesta por la doctrina de la STC 167/2002 de 18 de septiembre, en recursos de apelación contra sentencias absolutorias.</w:t>
      </w:r>
    </w:p>
    <w:p w:rsidR="0085709A" w:rsidRDefault="0085709A" w:rsidP="0085709A">
      <w:pPr>
        <w:pStyle w:val="TextoNormal"/>
      </w:pPr>
    </w:p>
    <w:p w:rsidR="0085709A" w:rsidRDefault="0085709A" w:rsidP="0085709A">
      <w:pPr>
        <w:pStyle w:val="TextoNormal"/>
      </w:pPr>
      <w:r>
        <w:t xml:space="preserve">Se alega finalmente en este primer motivo, que en el incidente de reconstrucción de actuaciones el Juzgado </w:t>
      </w:r>
      <w:r w:rsidRPr="0085709A">
        <w:rPr>
          <w:i/>
        </w:rPr>
        <w:t>a quo</w:t>
      </w:r>
      <w:r>
        <w:t xml:space="preserve"> calificó a la prueba de descargo no grabada de “imprescindible”, y que dicha falta de grabación no pueda subsanarse, como pretende la Audiencia, limitándose al examen exclusivo de las pruebas de cargo, “sin ponderarlas con respecto al resto de pruebas, y muy especialmente [con] aquellas que podrían poner en entredicho el resultado de su práctica”, citando en su apoyo la STC 88/2013, de 11 de abril; así como también la STC 4/2004, de 14 de enero en cuanto al efecto de nulidad determinado por la falta de documentación de la vista, pese a la diferencia de supuesto con el que aquí se enjuicia.</w:t>
      </w:r>
    </w:p>
    <w:p w:rsidR="0085709A" w:rsidRDefault="0085709A" w:rsidP="0085709A">
      <w:pPr>
        <w:pStyle w:val="TextoNormal"/>
      </w:pPr>
    </w:p>
    <w:p w:rsidR="0085709A" w:rsidRDefault="0085709A" w:rsidP="0085709A">
      <w:pPr>
        <w:pStyle w:val="TextoNormal"/>
      </w:pPr>
      <w:r>
        <w:t>El segundo motivo de la demanda de amparo, dirigido contra las dos Sentencias impugnadas, alega la lesión del derecho a la presunción de inocencia (art. 24.2 CE) por inexistencia de prueba de cargo, pues las inferencias que fundan la condena no son sino meras “presunciones sobre indicios y conjeturas sobre presunciones”; algunas de ellas irrazonables; y otras en todo caso “ni mucho menos son las únicas explicaciones posibles” sobre lo sucedido. Se conculca así la doctrina de la STC 174/1985, de 17 de diciembre, FJ 2 —cita también la más reciente STC 128/2011, de 18 de julio, en el mismo sentido—, sobre presunción de inocencia y valoración de prueba indiciaria.</w:t>
      </w:r>
    </w:p>
    <w:p w:rsidR="0085709A" w:rsidRDefault="0085709A" w:rsidP="0085709A">
      <w:pPr>
        <w:pStyle w:val="TextoNormal"/>
      </w:pPr>
    </w:p>
    <w:p w:rsidR="0085709A" w:rsidRDefault="0085709A" w:rsidP="0085709A">
      <w:pPr>
        <w:pStyle w:val="TextoNormal"/>
      </w:pPr>
      <w:r>
        <w:t>Los siguientes motivos del recurso, del tercero al quinto, denuncian todos ellos la vulneración del derecho a la tutela judicial efectiva (art. 24.1 CE), en su vertiente de derecho a una motivación, conjuntamente con la lesión del derecho a la presunción de inocencia (art. 24.2 CE). Se sostiene en el tercero, en síntesis, que ninguna de las dos Sentencias de instancia han dado explicación suficiente de por qué carecen de valor las pruebas de descargo; en el cuarto motivo se reitera dicha queja en relación con ciertos hechos que resultan incriminatorios para la defensa del recurrente, en cuanto a las condiciones en que se produjo el atropello; y el quinto motivo, en la misma línea, critica el análisis de ambas Sentencias que sustenta la tesis de un “efecto pantalla” causado por el coche del recurrente sobre el otro acusado, lo que habría contribuido al desenlace ya conocido. El suplico de la demanda solicita la nulidad de la Sentencia dictada en apelación y “eventualmente” la de primera instancia.</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diligencia de ordenación de la Secretaría de Justicia de la Sección Primera de este Tribunal, de 13 de junio de 2013, se acordó requerir a la Sección Quinta de la Audiencia Provincial de Santa Cruz de Tenerife y al Juzgado de lo Penal núm. 3 de dicha ciudad, para que en el plazo de diez días remitieran, respectivamente, testimonio del rollo de apelación núm. 72-2012 y del procedimiento abreviado núm. 346-2010.</w:t>
      </w:r>
    </w:p>
    <w:p w:rsidR="0085709A" w:rsidRDefault="0085709A" w:rsidP="0085709A">
      <w:pPr>
        <w:pStyle w:val="TextoNormal"/>
      </w:pPr>
    </w:p>
    <w:p w:rsidR="0085709A" w:rsidRDefault="0085709A" w:rsidP="0085709A">
      <w:pPr>
        <w:pStyle w:val="TextoNormal"/>
      </w:pPr>
      <w:r>
        <w:t>Dicho requerimiento fue cumplimentado mediante sendos oficios, el de la Secretaría de la Sección Juzgadora, de 25 de junio de 2013 y el de la Secretaría del Juzgado de instancia, de 15 de julio de 2013.</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5</w:t>
      </w:r>
      <w:r>
        <w:t xml:space="preserve">. Con fecha 10 de febrero de 2014, la Sala Primera de este Tribunal dictó providencia admitiendo a trámite la demanda de amparo y, “constando ya remitidas las actuaciones por los Tribunales intervinientes en la vía judicial previa”, ordenó dirigir comunicación al Juzgado de lo Penal núm. 3 de Santa Cruz de Tenerife, </w:t>
      </w:r>
      <w:r w:rsidRPr="0085709A">
        <w:rPr>
          <w:i/>
        </w:rPr>
        <w:t>ex</w:t>
      </w:r>
      <w:r>
        <w:t xml:space="preserve"> art. 51 de la Ley Orgánica del Tribunal Constitucional (LOTC), para que en plazo que no excediera de diez días, emplazara a quienes hubiesen sido parte en el procedimiento abreviado núm. 346-10, excepto a la parte recurrente en amparo, con el fin de poder comparecer en el presente recurso, si lo desean, en un plazo de diez días.</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Sección Primera de este Tribunal, de 25 de marzo de 2014, se concedió audiencia por veinte días a todas las partes para formular alegaciones (art. 52 LOTC).</w:t>
      </w:r>
    </w:p>
    <w:p w:rsidR="0085709A" w:rsidRDefault="0085709A" w:rsidP="0085709A">
      <w:pPr>
        <w:pStyle w:val="TextoNormal"/>
      </w:pPr>
    </w:p>
    <w:p w:rsidR="0085709A" w:rsidRDefault="0085709A" w:rsidP="0085709A">
      <w:pPr>
        <w:pStyle w:val="TextoNormal"/>
      </w:pPr>
      <w:r w:rsidRPr="0085709A">
        <w:rPr>
          <w:rStyle w:val="NumeroAFNegritaCaracter"/>
        </w:rPr>
        <w:t>7</w:t>
      </w:r>
      <w:r>
        <w:t>. El representante procesal del recurrente formalizó escrito el 25 de abril de 2014, reiterando las alegaciones de su demanda, y pidiendo el otorgamiento de lo solicitado en ella.</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presentó su escrito de alegaciones el 26 de mayo de 2014, interesando “con carácter principal” la estimación parcial de la demanda en cuanto a su primer y tercer motivo. Subsidiariamente, para el caso de no apreciarse la misma, “desestimar la totalidad de los restantes motivos de amparo aducidos por el recurrente” y, con ello, el recurso.</w:t>
      </w:r>
    </w:p>
    <w:p w:rsidR="0085709A" w:rsidRDefault="0085709A" w:rsidP="0085709A">
      <w:pPr>
        <w:pStyle w:val="TextoNormal"/>
      </w:pPr>
    </w:p>
    <w:p w:rsidR="0085709A" w:rsidRDefault="0085709A" w:rsidP="0085709A">
      <w:pPr>
        <w:pStyle w:val="TextoNormal"/>
      </w:pPr>
      <w:r>
        <w:t>Luego de dedicar los “antecedentes” a un recorrido por los hitos principales de la causa, el escrito aborda en sus “consideraciones jurídicas” el análisis de los motivos de la demanda de amparo. Respecto del primero de ellos, tras hacer cita de doctrina constitucional sobre el derecho al recurso (STC 201/2012, de 12 de noviembre, FJ 3), el ámbito de control del recurso de apelación penal (STC 184/2013, de 4 de noviembre, FJ 7); la práctica de pruebas en dicha apelación (SSTC 4/2004, de 14 de enero, FJ 3; 8/2008, de 11 de marzo, FJ 6; y 88/2013, de 11 de abril, FFJJ 7 y 8), así como también el derecho a no padecer indefensión (STC 12/2011, de 28 de febrero, FJ 3), se detiene el escrito de alegaciones en el análisis de la queja de indefensión planteada por el recurrente, a partir de las dos perspectivas que éste invoca. Desde la primera de ellas (falta de soporte de documentación para preparar adecuadamente el recurso) descarta el Fiscal la indefensión, afirmando que el escrito de apelación evidencia un contenido suficiente, gracias a los datos de la memoria del letrado ya aportados en el incidente de reconstrucción (“en fechas inmediatamente cercanas a la celebración del juicio”); a las referencias también que de dicha prueba de peritos se hace en la Sentencia apelada y a disponerse en autos de los informes de los propios peritos, por cuyo contenido fueron interrogados en la sesión no grabada.</w:t>
      </w:r>
    </w:p>
    <w:p w:rsidR="0085709A" w:rsidRDefault="0085709A" w:rsidP="0085709A">
      <w:pPr>
        <w:pStyle w:val="TextoNormal"/>
      </w:pPr>
    </w:p>
    <w:p w:rsidR="0085709A" w:rsidRDefault="0085709A" w:rsidP="0085709A">
      <w:pPr>
        <w:pStyle w:val="TextoNormal"/>
      </w:pPr>
      <w:r>
        <w:t xml:space="preserve">Considera por el contrario el Ministerio público que sí produce indefensión la “imposibilidad de que por el tribunal de apelación se pueda revisar la sentencia condenatoria dictada en primera instancia [por la] ausencia de grabación audiovisual en una sesión del juicio oral”. Se pone de relieve el tratamiento que ha recibido de este problema por parte de las Audiencias Provinciales y de la Sala Segunda del Tribunal Supremo, aunque a propósito de la pérdida del soporte audiovisual de toda la vista oral. Tras ello invoca como doctrina constitucional pertinente a este caso, las SSTC 4/2004 y 184/2013. En cuanto a la Sentencia de apelación impugnada, dice que la respuesta dada por la Audiencia para negar la indefensión, </w:t>
      </w:r>
      <w:r>
        <w:lastRenderedPageBreak/>
        <w:t>“dando por admitidas en cierto modo las denominadas ‘pruebas de descargo’, no sólo significa considerarlas como no relevantes, lo que implicaría una valoración tácita de las mismas, sino que, sobre todo, desconocería la importancia que les otorga la propia sentencia [d]el Juzgado de lo Penal, pues a pesar de los informes escritos previos, no se trataría de pruebas periciales documentadas, toda vez que fueron objeto de precisiones y aclaraciones en el juicio oral, cuya trascendencia no podemos aquí concretar, pero a las que alude el propio órgano judicial de instancia”.</w:t>
      </w:r>
    </w:p>
    <w:p w:rsidR="0085709A" w:rsidRDefault="0085709A" w:rsidP="0085709A">
      <w:pPr>
        <w:pStyle w:val="TextoNormal"/>
      </w:pPr>
    </w:p>
    <w:p w:rsidR="0085709A" w:rsidRDefault="0085709A" w:rsidP="0085709A">
      <w:pPr>
        <w:pStyle w:val="TextoNormal"/>
      </w:pPr>
      <w:r>
        <w:t xml:space="preserve">Ante el resultado fallido del incidente de reconstrucción, razona el Ministerio Fiscal que la valoración de esa prueba “deviene en esencial por su contenido y por integrar una parte sustancial de la </w:t>
      </w:r>
      <w:r w:rsidRPr="0085709A">
        <w:rPr>
          <w:i/>
        </w:rPr>
        <w:t>ratio decidendi</w:t>
      </w:r>
      <w:r>
        <w:t xml:space="preserve"> de la sentencia apelada y, sin embargo, ello no resulta posible para la Audiencia Provincial, que carece de la grabación de la prueba personal-pericial”. Como modo de reparar la lesión, considera que la Audiencia Provincial debió haber celebrado vista para revisar esa prueba personal, pues aunque el recurrente no solicitó su práctica y, en realidad, “no se estaba en presencia de ninguno de los supuestos contemplados en el art. 790.3 LECrim”, siendo incluso que “la jurisdicción ordinaria es muy restrictiva a ampliar los supuestos a que dicho precepto se refiere”, resultaba no obstante procedente la vista, “no en calidad de prueba en segunda instancia, en sentido estricto …, sino como elemento de aplicación de aquella ‘máxima irradiación de las garantías constitucionales’…”, a la que se refiere la STC 184/2013, FJ 7 que previamente cita.</w:t>
      </w:r>
    </w:p>
    <w:p w:rsidR="0085709A" w:rsidRDefault="0085709A" w:rsidP="0085709A">
      <w:pPr>
        <w:pStyle w:val="TextoNormal"/>
      </w:pPr>
    </w:p>
    <w:p w:rsidR="0085709A" w:rsidRDefault="0085709A" w:rsidP="0085709A">
      <w:pPr>
        <w:pStyle w:val="TextoNormal"/>
      </w:pPr>
      <w:r>
        <w:t xml:space="preserve">La estimación de este primer motivo de la demanda de amparo lleva aparejada, según el Fiscal, también la del motivo tercero “en cuanto a una indebida motivación sobre la prueba de descargo”. Ante la eventualidad de que no lo aprecie así el Tribunal, continúa el escrito argumentando sobre los restantes motivos que integran el recurso, los cuales considera deben desestimarse todos. En cuanto a los motivos segundo y quinto, luego de recoger las inferencias de las Sentencias impugnadas que se cuestionan por el recurrente y extractar los pasajes de aquéllas, afirma que no pueden considerarse aisladamente los datos probatorios ni convertir este amparo en una tercera instancia; únicamente determinar la corrección del </w:t>
      </w:r>
      <w:r w:rsidRPr="0085709A">
        <w:rPr>
          <w:i/>
        </w:rPr>
        <w:t>iter</w:t>
      </w:r>
      <w:r>
        <w:t xml:space="preserve"> discursivo de dichas Sentencias. A esos efectos, entiende que en cuanto a los “hechos básicos -presencia de ambos coches, velocidad del MINI y circulación del Polo por delante del mismo, circunstancias de la vía- no puede reputarse irracional o arbitrario, ni las inferencias excesivamente abiertas, sin que por ello se vulnere el derecho a la presunción de inocencia”.</w:t>
      </w:r>
    </w:p>
    <w:p w:rsidR="0085709A" w:rsidRDefault="0085709A" w:rsidP="0085709A">
      <w:pPr>
        <w:pStyle w:val="TextoNormal"/>
      </w:pPr>
    </w:p>
    <w:p w:rsidR="0085709A" w:rsidRDefault="0085709A" w:rsidP="0085709A">
      <w:pPr>
        <w:pStyle w:val="TextoNormal"/>
      </w:pPr>
      <w:r>
        <w:t>Finalmente se refiere al motivo cuarto de la demanda de amparo, descartando que exista falta de motivación por el hecho de que las Sentencias no concedan relevancia a un punto de debate —la fase semafórica del semáforo por donde cruzaron las víctimas del atropello— suscitado por la defensa, pudiendo discreparse de esa fundamentación pero no tildarla de irracional, arbitraria o incursa en error patente.</w:t>
      </w:r>
    </w:p>
    <w:p w:rsidR="0085709A" w:rsidRDefault="0085709A" w:rsidP="0085709A">
      <w:pPr>
        <w:pStyle w:val="TextoNormal"/>
      </w:pPr>
    </w:p>
    <w:p w:rsidR="0085709A" w:rsidRDefault="0085709A" w:rsidP="0085709A">
      <w:pPr>
        <w:pStyle w:val="TextoNormal"/>
      </w:pPr>
      <w:r w:rsidRPr="0085709A">
        <w:rPr>
          <w:rStyle w:val="NumeroAFNegritaCaracter"/>
        </w:rPr>
        <w:t>9</w:t>
      </w:r>
      <w:r>
        <w:t>. Por otrosí digo, la parte recurrente había solicitado en su demanda de amparo la suspensión de la ejecución de la Sentencia de apelación impugnada, tanto en relación con la pena privativa de libertad de tres años y tres meses impuesta al recurrente, como en cuanto a la accesoria de inhabilitación especial para el ejercicio del derecho de sufragio pasivo.</w:t>
      </w:r>
    </w:p>
    <w:p w:rsidR="0085709A" w:rsidRDefault="0085709A" w:rsidP="0085709A">
      <w:pPr>
        <w:pStyle w:val="TextoNormal"/>
      </w:pPr>
    </w:p>
    <w:p w:rsidR="0085709A" w:rsidRDefault="0085709A" w:rsidP="0085709A">
      <w:pPr>
        <w:pStyle w:val="TextoNormal"/>
      </w:pPr>
      <w:r>
        <w:lastRenderedPageBreak/>
        <w:t>La Sección Primera de este Tribunal dictó providencia el 10 de febrero de 2014, acordando abrir la pieza separada de suspensión y conceder plazo común de tres días al Ministerio Fiscal y al demandante de amparo para que formularan alegaciones. El representante procesal de este último presentó escrito el 18 de febrero de 2014, ratificándose en su solicitud de suspensión; la cual el Ministerio Fiscal consideró conforme a Derecho, por escrito presentado el 24 de febrero de 2014.</w:t>
      </w:r>
    </w:p>
    <w:p w:rsidR="0085709A" w:rsidRDefault="0085709A" w:rsidP="0085709A">
      <w:pPr>
        <w:pStyle w:val="TextoNormal"/>
      </w:pPr>
    </w:p>
    <w:p w:rsidR="0085709A" w:rsidRDefault="0085709A" w:rsidP="0085709A">
      <w:pPr>
        <w:pStyle w:val="TextoNormal"/>
      </w:pPr>
      <w:r>
        <w:t>Finalmente, la Sala dictó Auto el 27 de marzo de 2014, suspendiendo la pena de prisión y la accesoria de inhabilitación especial.</w:t>
      </w:r>
    </w:p>
    <w:p w:rsidR="0085709A" w:rsidRDefault="0085709A" w:rsidP="0085709A">
      <w:pPr>
        <w:pStyle w:val="TextoNormal"/>
      </w:pPr>
    </w:p>
    <w:p w:rsidR="0085709A" w:rsidRDefault="0085709A" w:rsidP="0085709A">
      <w:pPr>
        <w:pStyle w:val="TextoNormal"/>
      </w:pPr>
      <w:r w:rsidRPr="0085709A">
        <w:rPr>
          <w:rStyle w:val="NumeroAFNegritaCaracter"/>
        </w:rPr>
        <w:t>10</w:t>
      </w:r>
      <w:r>
        <w:t>. Por diligencia de ordenación de la Secretaría de Justicia de la Sección Primera de este Tribunal, de 27 de noviembre de 2014, se acordó requerir nuevamente al Juzgado de lo Penal núm. 3 de Santa Cruz de Tenerife, “para que a la mayor brevedad posible remita copia del soporte en DVD de la grabación correspondiente al día 6 de abril de 2011 realizado por la cadena de televisión ‘Código Abierto’ obrante en el expediente de reconstrucción de actuaciones Procedimiento abreviado 346/2010”.</w:t>
      </w:r>
    </w:p>
    <w:p w:rsidR="0085709A" w:rsidRDefault="0085709A" w:rsidP="0085709A">
      <w:pPr>
        <w:pStyle w:val="TextoNormal"/>
      </w:pPr>
    </w:p>
    <w:p w:rsidR="0085709A" w:rsidRDefault="0085709A" w:rsidP="0085709A">
      <w:pPr>
        <w:pStyle w:val="TextoNormal"/>
      </w:pPr>
      <w:r w:rsidRPr="0085709A">
        <w:rPr>
          <w:rStyle w:val="NumeroAFNegritaCaracter"/>
        </w:rPr>
        <w:t>11</w:t>
      </w:r>
      <w:r>
        <w:t>. Mediante oficio de la Secretaría del Juzgado de lo Penal, de 1 de diciembre de 2014, se procedió a remitir testimonio del acta del juicio oral del día 6 de abril de 2011, así como el DVD con la grabación de dicha sesión, aportado por “Televisión Canaria”, obrantes ambos en la pieza de reconstrucción de actuaciones.</w:t>
      </w:r>
    </w:p>
    <w:p w:rsidR="0085709A" w:rsidRDefault="0085709A" w:rsidP="0085709A">
      <w:pPr>
        <w:pStyle w:val="TextoNormal"/>
      </w:pPr>
    </w:p>
    <w:p w:rsidR="0085709A" w:rsidRDefault="0085709A" w:rsidP="0085709A">
      <w:pPr>
        <w:pStyle w:val="TextoNormal"/>
      </w:pPr>
      <w:r w:rsidRPr="0085709A">
        <w:rPr>
          <w:rStyle w:val="NumeroAFNegritaCaracter"/>
        </w:rPr>
        <w:t>12</w:t>
      </w:r>
      <w:r>
        <w:t xml:space="preserve">. En la misma fecha, 1 de diciembre de 2014, la Secretaría de Justicia de la Sección Primera de este Tribunal, hizo constar la recepción de la anterior documentación escrita y audiovisual procedente del Juzgado de lo Penal </w:t>
      </w:r>
      <w:r w:rsidRPr="0085709A">
        <w:rPr>
          <w:i/>
        </w:rPr>
        <w:t>a quo</w:t>
      </w:r>
      <w:r>
        <w:t>, habilitando un plazo de tres días a las partes para que “puedan conocer dichos documentos -estando en esta Secretaría a su disposición- y alegar al respecto lo que a su derecho convenga”.</w:t>
      </w:r>
    </w:p>
    <w:p w:rsidR="0085709A" w:rsidRDefault="0085709A" w:rsidP="0085709A">
      <w:pPr>
        <w:pStyle w:val="TextoNormal"/>
      </w:pPr>
    </w:p>
    <w:p w:rsidR="0085709A" w:rsidRDefault="0085709A" w:rsidP="0085709A">
      <w:pPr>
        <w:pStyle w:val="TextoNormal"/>
      </w:pPr>
      <w:r w:rsidRPr="0085709A">
        <w:rPr>
          <w:rStyle w:val="NumeroAFNegritaCaracter"/>
        </w:rPr>
        <w:t>13</w:t>
      </w:r>
      <w:r>
        <w:t>. En su respuesta, el Fiscal actuante en este proceso presentó escrito de alegaciones de 4 de diciembre de 2014, con entrada en el Registro de este Tribunal en la misma fecha, por el que afirma: “Examinado el soporte DVD …; su contenido, además de algunas deficiencias de sonido y grabación que afectarían a su valoración autónoma, como ya se puso de manifiesto en el incidente de reconstrucción, no altera, a juicio de este Ministerio Fiscal, las consideraciones expuestas en nuestro informe de alegaciones de fecha 23 de mayo pasado, por lo que nos remitimos al mismo”.</w:t>
      </w:r>
    </w:p>
    <w:p w:rsidR="0085709A" w:rsidRDefault="0085709A" w:rsidP="0085709A">
      <w:pPr>
        <w:pStyle w:val="TextoNormal"/>
      </w:pPr>
    </w:p>
    <w:p w:rsidR="0085709A" w:rsidRDefault="0085709A" w:rsidP="0085709A">
      <w:pPr>
        <w:pStyle w:val="TextoNormal"/>
      </w:pPr>
      <w:r w:rsidRPr="0085709A">
        <w:rPr>
          <w:rStyle w:val="NumeroAFNegritaCaracter"/>
        </w:rPr>
        <w:t>14</w:t>
      </w:r>
      <w:r>
        <w:t>. Por su parte, la representación procesal del demandante de amparo presentó escrito de 9 de diciembre de 2014, con entrada en el Registro del Tribunal el día 10 de diciembre, por el que formula alegaciones en el sentido de afirmar la insuficiencia del acta escrita de la sesión ya indicada; y advertir de los defectos que presenta la grabación aportada en el incidente de reconstrucción y que ahora se remite, al tratarse de fragmentos de varias sesiones que presenta saltos de imagen, defectos de sonido, donde la cámara capta a los testigos “desde atrás”. En definitiva, se aduce que es una grabación que no ofrece “la misma calidad ni cantidad de información que el sistema de grabación del Juzgado ni cuenta con garantía alguna de integridad de su contenido”.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15</w:t>
      </w:r>
      <w:r>
        <w:t>. Mediante diligencia de constancia del 11 de diciembre de 2014, la Secretaría de Justicia de la Sección Primera del Tribunal reflejó “haberse recibido los precedentes escritos de alegaciones del Ministerio Fiscal y del Procurador don Jorge Deleito García”.</w:t>
      </w:r>
    </w:p>
    <w:p w:rsidR="0085709A" w:rsidRDefault="0085709A" w:rsidP="0085709A">
      <w:pPr>
        <w:pStyle w:val="TextoNormal"/>
      </w:pPr>
    </w:p>
    <w:p w:rsidR="0085709A" w:rsidRDefault="0085709A" w:rsidP="0085709A">
      <w:pPr>
        <w:pStyle w:val="TextoNormal"/>
      </w:pPr>
      <w:r w:rsidRPr="0085709A">
        <w:rPr>
          <w:rStyle w:val="NumeroAFNegritaCaracter"/>
        </w:rPr>
        <w:t>16</w:t>
      </w:r>
      <w:r>
        <w:t>. Por providencia de fecha 12 de marzo de 2015, se señaló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Se interpone el presente recurso de amparo contra la Sentencia dictada por la Sección Quinta de la Audiencia Provincial de Santa Cruz de Tenerife, estimatoria en parte del recurso de apelación promovido contra la dictada por el Juzgado de lo Penal núm. 3 de la misma circunscripción judicial, con el resultado, en lo que aquí interesa, de mantener la condena impuesta por esta última al recurrente por un delito de conducción temeraria, en concurso legal con tres delitos de homicidio por imprudencia grave. Aunque el suplico de la demanda solicita la nulidad de la Sentencia dictada en apelación y sólo “eventualmente” la de primera instancia, los distintos motivos del recurso formulan reproches contra ambas resoluciones judiciales, por lo que lógicamente deben considerarse impugnadas las dos.</w:t>
      </w:r>
    </w:p>
    <w:p w:rsidR="0085709A" w:rsidRDefault="0085709A" w:rsidP="0085709A">
      <w:pPr>
        <w:pStyle w:val="TextoNormal"/>
      </w:pPr>
    </w:p>
    <w:p w:rsidR="0085709A" w:rsidRDefault="0085709A" w:rsidP="0085709A">
      <w:pPr>
        <w:pStyle w:val="TextoNormal"/>
      </w:pPr>
      <w:r>
        <w:t>Como fundamento de su pretensión, en síntesis, el demandante aduce como primer motivo de amparo la lesión del derecho a la tutela judicial efectiva (art. 24.1 CE), en dos de sus vertientes, la del derecho a no padecer indefensión y la de acceso a la doble instancia penal, atribuidas ambas a la falta de grabación de una de las sesiones de la vista oral en la que se practicó prueba pericial que califica de descargo y relevante, lo que impidió su utilización en apelación. Se alega también dentro de este motivo, la lesión del derecho a la presunción de inocencia (art. 24.2 CE), en cuanto a la no valoración por la Audiencia de aquella prueba de descargo. Los demás motivos del recurso plantean la infracción tanto del derecho a la presunción de inocencia respecto a diversos pronunciamientos probatorios contenidos en las Sentencias recurridas, como del derecho a una motivación reforzada (art. 24.1 CE). El Ministerio Fiscal, por su parte, interesa la estimación del amparo por el primer motivo y, en caso de no apreciarse así, que se acuerde la desestimación del recurso.</w:t>
      </w:r>
    </w:p>
    <w:p w:rsidR="0085709A" w:rsidRDefault="0085709A" w:rsidP="0085709A">
      <w:pPr>
        <w:pStyle w:val="TextoNormal"/>
      </w:pPr>
    </w:p>
    <w:p w:rsidR="0085709A" w:rsidRDefault="0085709A" w:rsidP="0085709A">
      <w:pPr>
        <w:pStyle w:val="TextoNormal"/>
      </w:pPr>
      <w:r>
        <w:t>Siendo por tanto varias las lesiones constitucionales que se invocan por el recurrente, para un correcto orden de proceder en su resolución atenderemos a la consolidada doctrina de este Tribunal, en cuya virtud ha de otorgarse prioridad al examen de aquellas quejas “de las que pudiera derivarse la retroacción de actuaciones y, dentro de éstas, a las que, al determinar la retroacción a momentos anteriores, hacen innecesario nuestro pronunciamiento sobre las restantes” (SSTC 42/2004, de 23 de marzo, FJ 3; 169/2005, de 20 de junio, FJ 2; 245/2005, de 10 de octubre, FJ 2; 43/2007, de 26 de febrero, FJ 2; y 2/2011, de 14 de febrero, FJ 2). Empezaremos, por tanto, con el análisis de la denuncia contenida en el primer motivo de la demanda, relativa a la falta de grabación de una de las sesiones de la vista oral en la que se practicaron interrogatorios de expertos, que la defensa califica como prueba de descargo, y las consecuencias que ello trajo consigo en cuanto al recurso de apelación interpuesto por el demandante.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Antes de considerar las circunstancias acaecidas en el asunto de autos debemos determinar, con carácter previo, si la falta de documentación de las actuaciones de un proceso reviste relevancia desde la perspectiva de la lesión de los derechos fundamentales. En caso afirmativo, cuál sería el derecho concernido en este caso y el modo en que debería ser reparada su lesión:</w:t>
      </w:r>
    </w:p>
    <w:p w:rsidR="0085709A" w:rsidRDefault="0085709A" w:rsidP="0085709A">
      <w:pPr>
        <w:pStyle w:val="TextoNormal"/>
      </w:pPr>
    </w:p>
    <w:p w:rsidR="0085709A" w:rsidRDefault="0085709A" w:rsidP="0085709A">
      <w:pPr>
        <w:pStyle w:val="TextoNormal"/>
      </w:pPr>
      <w:r>
        <w:t>a) La actividad de documentación de las actuaciones de un proceso, como se sabe, queda encomendada en nuestro ordenamiento jurídico al Secretario judicial (arts. 454.1 de la Ley Orgánica del Poder Judicial (LOPJ); 148 de la Ley de enjuiciamiento civil (LEC); y 6 del Reglamento orgánico del cuerpo de Secretarios Judiciales, aprobado por Real Decreto 1608/2005, de 30 de diciembre quien recibe la ayuda del personal perteneciente al cuerpo de Auxilio Judicial en la custodia de las actuaciones escritas y en la comprobación del correcto funcionamiento de los medios técnicos que han de registrar actos orales [art. 478, letras d) y f) LOPJ], sin perjuicio de la supervisión última que, como cualquier otra actividad desarrollada dentro del órgano judicial, le corresponde a su titular (art. 165 LOPJ). El producto de esa actividad de documentación se configura como fuente auténtica de la realidad de lo actuado, gracias a la fe pública emanada del Secretario Judicial, quien a tal efecto deja “constancia fehaciente” de lo que presencia (arts. 453.1 LOPJ; 145.2 LEC y 5 del Reglamento orgánico del cuerpo de Secretarios Judiciales).</w:t>
      </w:r>
    </w:p>
    <w:p w:rsidR="0085709A" w:rsidRDefault="0085709A" w:rsidP="0085709A">
      <w:pPr>
        <w:pStyle w:val="TextoNormal"/>
      </w:pPr>
    </w:p>
    <w:p w:rsidR="0085709A" w:rsidRDefault="0085709A" w:rsidP="0085709A">
      <w:pPr>
        <w:pStyle w:val="TextoNormal"/>
      </w:pPr>
      <w:r>
        <w:t xml:space="preserve">De este modo, respecto de las actuaciones testimoniadas por este último hemos dicho que “resulta correcto el adagio </w:t>
      </w:r>
      <w:r w:rsidRPr="0085709A">
        <w:rPr>
          <w:i/>
        </w:rPr>
        <w:t>quod non est in actis, non est in mundo</w:t>
      </w:r>
      <w:r>
        <w:t>, es decir, lo que no está en las actuaciones, no existe” (STC 32/1999, de 8 de marzo, FJ 5). Tal afirmación no obsta, sin embargo, cuando resulta preciso, a la eventual integración de los datos faltantes en ese soporte, con otros medios de prueba (ATC 167/2000, de 7 de julio, FJ 1); o al propio control de lo que haya sido certificado (ATC 152/2004, de 27 de abril, FJ 1).</w:t>
      </w:r>
    </w:p>
    <w:p w:rsidR="0085709A" w:rsidRDefault="0085709A" w:rsidP="0085709A">
      <w:pPr>
        <w:pStyle w:val="TextoNormal"/>
      </w:pPr>
    </w:p>
    <w:p w:rsidR="0085709A" w:rsidRDefault="0085709A" w:rsidP="0085709A">
      <w:pPr>
        <w:pStyle w:val="TextoNormal"/>
      </w:pPr>
      <w:r>
        <w:t>b) Respecto a la relevancia que la documentación de las actuaciones reviste en el proceso penal, debe señalarse que el art. 230 LOPJ, en su redacción original de 1 de julio de 1985, ya contemplaba el posible uso de “cualesquiera medios de documentación y reproducción” de las actuaciones judiciales, siempre que ofrezcan garantías de autenticidad; precisando la Ley Orgánica 16/1994, de 8 de noviembre, cuyo art. 8.2 modificó dicho precepto, que los Juzgados y Tribunales pueden valerse para aquel fin, de “medios técnicos, electrónicos, informáticos y telemáticos”. En desarrollo de esta previsión general, la Ley de enjuiciamiento civil 1/2000 fue la primera en implantar para los procesos civiles el registro de las vistas y comparecencias, “en soporte apto para la grabación y reproducción del sonido y de la imagen”, bajo custodia del Secretario judicial (art. 147). La Ley 13/2009, de 3 de noviembre, “de reforma de la legislación procesal para la implantación de la nueva Oficina Judicial”, ha extendido la obligatoriedad del registro audiovisual de los actos orales a los demás órdenes de jurisdicción, modificando las respectivas leyes procesales.</w:t>
      </w:r>
    </w:p>
    <w:p w:rsidR="0085709A" w:rsidRDefault="0085709A" w:rsidP="0085709A">
      <w:pPr>
        <w:pStyle w:val="TextoNormal"/>
      </w:pPr>
    </w:p>
    <w:p w:rsidR="0085709A" w:rsidRDefault="0085709A" w:rsidP="0085709A">
      <w:pPr>
        <w:pStyle w:val="TextoNormal"/>
      </w:pPr>
      <w:r>
        <w:t xml:space="preserve">En lo que aquí específicamente importa, que es la grabación de la vista oral en los procesos penales [art. segundo, apartado 95, de la Ley 13/2009, que reforma a tales efectos el art. 743 de la Ley de enjuiciamiento criminal (LECrim) —el esquema regulador, en todo caso, se reitera en las normas relativas a los demás órdenes—], se dispone que si el Secretario Judicial cuenta con los medios tecnológicos necesarios, “garantizará la autenticidad e integridad de lo grabado o reproducido mediante la utilización de la firma electrónica reconocida u otro sistema de seguridad que conforme a la ley ofrezca tales garantías”, lo que </w:t>
      </w:r>
      <w:r>
        <w:lastRenderedPageBreak/>
        <w:t xml:space="preserve">hace innecesaria su presencia en la Sala así como de tener que levantar acta, salvo ciertas excepciones (art. 743.2 LECrim). De no disponer de firma electrónica o sistema equivalente, el Secretario debe redactar acta sucinta con los datos identificativos mínimos de la sesión, </w:t>
      </w:r>
      <w:r w:rsidRPr="0085709A">
        <w:rPr>
          <w:i/>
        </w:rPr>
        <w:t>ex</w:t>
      </w:r>
      <w:r>
        <w:t xml:space="preserve"> art. 743.3 LECrim (“número y clase de procedimiento; lugar y fecha de celebración; tiempo de duración, asistentes al acto; peticiones y propuestas de las partes; en caso de proposición de pruebas, declaración de pertinencia y orden en la práctica de las mismas; resoluciones que adopte el Juez o Tribunal; así como las circunstancias e incidencias que no pudieran constar en aquel soporte”).</w:t>
      </w:r>
    </w:p>
    <w:p w:rsidR="0085709A" w:rsidRDefault="0085709A" w:rsidP="0085709A">
      <w:pPr>
        <w:pStyle w:val="TextoNormal"/>
      </w:pPr>
    </w:p>
    <w:p w:rsidR="0085709A" w:rsidRDefault="0085709A" w:rsidP="0085709A">
      <w:pPr>
        <w:pStyle w:val="TextoNormal"/>
      </w:pPr>
      <w:r>
        <w:t>El levantamiento de acta detallada de la vista se convierte por tanto en un supuesto de excepción, que se emplea únicamente cuando la grabación no resulta posible y tal eventualidad es conocida antes o en el momento de abrirse la sesión, en cuyo caso el acta del Secretario habrá de recoger “con la extensión y detalle necesarios, el contenido esencial de la prueba practicada, las incidencias y reclamaciones producidas y las resoluciones adoptadas” (art. 743.4 LECrim). Al margen de su extensión, el acta ha de levantarse siempre “por procedimiento informático”, salvo que el órgano judicial carezca de tal medio técnico (art. 743.5 LECrim). Con estas previsiones legales, el soporte de grabación audiovisual ha venido a desplazar al acta escrita como medio de documentación de las actuaciones orales en todos los órdenes de la jurisdicción, superando las tradicionales limitaciones de esta última. Interesa añadir, en fin, que la misma Ley 13/2009 modificó también el apartado 6 del art. 788 de la LECrim, a fin de prever que en el proceso abreviado —por cuyo cauce, recordemos, se sustanció la primera instancia del proceso seguido contra el recurrente—, “cuanto se refiere a la grabación de las sesiones del juicio oral y a su documentación, serán aplicables las disposiciones contenidas en el artículo 743 de la presente Ley”.</w:t>
      </w:r>
    </w:p>
    <w:p w:rsidR="0085709A" w:rsidRDefault="0085709A" w:rsidP="0085709A">
      <w:pPr>
        <w:pStyle w:val="TextoNormal"/>
      </w:pPr>
    </w:p>
    <w:p w:rsidR="0085709A" w:rsidRDefault="0085709A" w:rsidP="0085709A">
      <w:pPr>
        <w:pStyle w:val="TextoNormal"/>
      </w:pPr>
      <w:r>
        <w:t>c) La doctrina de este Tribunal ha resaltado la importancia de la documentación de la vista en orden a la verificación de la existencia de prueba de cargo, en relación con el derecho a la presunción de inocencia (art. 24.2 CE): “El control del cumplimiento de las garantías requeridas para la integración del resultado de las diligencias de investigación en la actividad probatoria, en los términos señalados, sólo puede hacerse a través del correspondiente acta, levantada por el Secretario judicial que … ha de documentar fehacientemente el acto y el contenido del juicio oral. Y en orden a la actividad probatoria desarrollada en el juicio oral, ha de estarse a lo que el acta dice, y a lo que no dice. En consecuencia, no cabe afirmar que se haya practicado un determinado medio de prueba por el hecho de que se haya pedido e incluso que se haya admitido, si la actuación no queda reflejada en el único instrumento previsto para su constancia externa y fehaciente” (SSTC 161/1990, de 19 de octubre, FJ 3; 118/1991, de 23 de mayo, FJ 3; 140/1991, de 20 de junio, FJ 3; 82/1992, de 28 de mayo, FJ 3, y 92/2006, de 27 de marzo, FJ 3. En el mismo sentido, STC 22/2013, de 31 de enero, FJ 4). Esta doctrina, dictada a propósito del acta escrita, resulta predicable sin dificultad dialéctica alguna a la grabación audiovisual como soporte de documentación.</w:t>
      </w:r>
    </w:p>
    <w:p w:rsidR="0085709A" w:rsidRDefault="0085709A" w:rsidP="0085709A">
      <w:pPr>
        <w:pStyle w:val="TextoNormal"/>
      </w:pPr>
    </w:p>
    <w:p w:rsidR="0085709A" w:rsidRDefault="0085709A" w:rsidP="0085709A">
      <w:pPr>
        <w:pStyle w:val="TextoNormal"/>
      </w:pPr>
      <w:r>
        <w:t>También la actividad de documentación de la vista reviste importancia para comprobar el cumplimiento de otras garantías del proceso penal, ya no vinculadas al resultado de la prueba sino a la alegación de las pretensiones deducidas. Así, el derecho a la correlación entre acusación y defensa respecto de la Sentencia, en cuanto al enjuiciamiento del hecho punible (principio acusatorio, art. 24.2 CE), y el deber de congruencia de la Sentencia (derecho a la tutela judicial efectiva, art. 24.1 CE) en cuanto al objeto de la acción civil acu</w:t>
      </w:r>
      <w:r>
        <w:lastRenderedPageBreak/>
        <w:t>mulada, donde este Tribunal ha dicho por ejemplo: “Como acertadamente le indicó al recurrente el Juez de apelación, y en este mismo sentido se han pronunciado el Abogado del Estado y el Ministerio Fiscal, ha de estarse a lo que el acta dice y a lo que no dice (STC 118/1991, por todas), y en este caso no dice que, en el acto del juicio, tuvieran lugar las alegaciones que ahora pretende hacer valer” (STC 307/1993, de 25 de octubre, FJ 2).</w:t>
      </w:r>
    </w:p>
    <w:p w:rsidR="0085709A" w:rsidRDefault="0085709A" w:rsidP="0085709A">
      <w:pPr>
        <w:pStyle w:val="TextoNormal"/>
      </w:pPr>
    </w:p>
    <w:p w:rsidR="0085709A" w:rsidRDefault="0085709A" w:rsidP="0085709A">
      <w:pPr>
        <w:pStyle w:val="TextoNormal"/>
      </w:pPr>
      <w:r>
        <w:t>Según se evidencia de lo expuesto, debe concluirse que la documentación de las actuaciones no constituye un requisito de validez de los actos procesales, sino la prueba auténtica que permite constatar la realidad material de lo actuado. Ello podría afectar el ejercicio de algunos derechos fundamentales. Esta doctrina ya se dejó sentada en la STC 4/2004, de 14 de enero, FJ 5, que declaró que la pérdida de la documentación de las actuaciones no comporta en sí misma la vulneración de ninguna de las garantías esenciales del proceso.</w:t>
      </w:r>
    </w:p>
    <w:p w:rsidR="0085709A" w:rsidRDefault="0085709A" w:rsidP="0085709A">
      <w:pPr>
        <w:pStyle w:val="TextoNormal"/>
      </w:pPr>
    </w:p>
    <w:p w:rsidR="0085709A" w:rsidRDefault="0085709A" w:rsidP="0085709A">
      <w:pPr>
        <w:pStyle w:val="TextoNormal"/>
      </w:pPr>
      <w:r w:rsidRPr="0085709A">
        <w:rPr>
          <w:rStyle w:val="NumeroAFNegritaCaracter"/>
        </w:rPr>
        <w:t>3</w:t>
      </w:r>
      <w:r>
        <w:t>. Corresponde por tanto atender a las circunstancias del caso planteado por el recurrente, con el fin de constatar si se produce la indefensión que éste alega. Tanto en su escrito de apelación como en la demanda de amparo, según indicamos antes, se afirma como primer motivo, que hay indefensión porque en la sesión de la vista oral correspondiente al 6 de abril de 2011, fueron interrogados expertos y en su caso personas dotadas de un saber especializado producto de su actividad cotidiana (agentes de policía local), quienes, siempre según la defensa, habrían arrojado datos favorables a su exculpación, pues permitiría acreditar, en primer lugar, que el vehículo del recurrente no transitaba a excesiva velocidad, y en segundo lugar, que no había constancia de la fase semafórica del semáforo al momento en que las víctimas cruzaron la calzada y sufrieron el impacto mortal del vehículo conducido por el coacusado Pedro.</w:t>
      </w:r>
    </w:p>
    <w:p w:rsidR="0085709A" w:rsidRDefault="0085709A" w:rsidP="0085709A">
      <w:pPr>
        <w:pStyle w:val="TextoNormal"/>
      </w:pPr>
    </w:p>
    <w:p w:rsidR="0085709A" w:rsidRDefault="0085709A" w:rsidP="0085709A">
      <w:pPr>
        <w:pStyle w:val="TextoNormal"/>
      </w:pPr>
      <w:r>
        <w:t xml:space="preserve">Queda corroborado en las actuaciones que la sesión de la vista oral a la que se hace mención, no quedó documentada —ni por soporte audiovisual, ni por acta escrita detallada— por causas que no les son imputables a la parte recurrente. Según se expuso en los antecedentes de esta Sentencia, al estar prevista la grabación de la sesión del día 6 de abril de 2011 mediante soporte audiovisual, tal como se había hecho con las sesiones anteriores, la Secretaria del Juzgado empezó a levantar acta sucinta de la misma. Sin embargo, durante la práctica de la quinta testifical hizo constar un “problema de grabación” que obligó a una suspensión de dos minutos, tras la cual la propia acta refleja que “se ha solucionado el problema”. Posteriormente, al solicitar la defensa una copia del soporte para preparar su recurso de apelación, se descubre que no existe registro de la vista, por lo que ve imposibilitada su consulta. Entre las actuaciones remitidas por el Juzgado </w:t>
      </w:r>
      <w:r w:rsidRPr="0085709A">
        <w:rPr>
          <w:i/>
        </w:rPr>
        <w:t>a quo</w:t>
      </w:r>
      <w:r>
        <w:t xml:space="preserve"> a este Tribunal Constitucional, se incluyen nueve DVD con las grabaciones de las distintas sesiones de la vista oral. El núm. 3 se refiere a la citada sesión del 6 de abril de 2011, pero en él no aparece la declaración de ninguno de los peritos identificados por la defensa en su demanda de amparo, sino otros expertos que fueron interrogados antes, ese mismo día. Ya fuese por tanto que el aparato de grabación no llegara a funcionar o bien —como sostiene la empresa encargada del sistema—, que la grabación sí se realizó pero el archivo informático fue borrado por error al intentar hacer las copias, lo cierto es que esta parte de la sesión quedó sin documentar.</w:t>
      </w:r>
    </w:p>
    <w:p w:rsidR="0085709A" w:rsidRDefault="0085709A" w:rsidP="0085709A">
      <w:pPr>
        <w:pStyle w:val="TextoNormal"/>
      </w:pPr>
    </w:p>
    <w:p w:rsidR="0085709A" w:rsidRDefault="0085709A" w:rsidP="0085709A">
      <w:pPr>
        <w:pStyle w:val="TextoNormal"/>
      </w:pPr>
      <w:r>
        <w:t xml:space="preserve">El posterior incidente de reconstrucción de actuaciones, abierto a solicitud del Ministerio Fiscal luego de dictada la Sentencia del Juzgado, deparó un resultado insatisfactorio. Dada la insuficiencia del acta sucinta, sólo pudo disponerse de una grabación aportada por el ente </w:t>
      </w:r>
      <w:r>
        <w:lastRenderedPageBreak/>
        <w:t>público “Televisión Canaria”, previamente editada por su personal técnico. En primera instancia el propio Juez de la causa consideró posible la reconstrucción con dicho soporte audiovisual y las versiones dadas por las partes y su señoría en relación a lo declarado por los expertos en esa vista, la Audiencia en la apelación de este incidente descartó considerar aquellas versiones subjetivas, pero otorgó validez a la mentada grabación, pese a advertir sus evidentes limitaciones (Auto de 27 de septiembre de 2012, fundamento cuarto), decretando una reconstrucción “parcial”. En soporte televisivo no aparece el interrogatorio a los miembros del equipo de reconstrucción de accidentes de tráfico de la Guardia Civil, ni el de los agentes locales (a quienes sólo se ve sentados, de espaldas). La declaración de don Roberto Morera (control de tráfico en Santa Cruz de Tenerife) sí aparece, pero presenta cortes de edición y en varias ocasiones falla el sonido, lo que impide conocer el alcance real de sus respuestas.</w:t>
      </w:r>
    </w:p>
    <w:p w:rsidR="0085709A" w:rsidRDefault="0085709A" w:rsidP="0085709A">
      <w:pPr>
        <w:pStyle w:val="TextoNormal"/>
      </w:pPr>
    </w:p>
    <w:p w:rsidR="0085709A" w:rsidRDefault="0085709A" w:rsidP="0085709A">
      <w:pPr>
        <w:pStyle w:val="TextoNormal"/>
      </w:pPr>
      <w:r>
        <w:t xml:space="preserve">Ahora bien, tal ausencia de documentación no puede comportar en este caso la merma del derecho a la defensa (lesión del art. 24.1 CE) que se denuncia. El recurrente parte de una premisa, y es afirmar que la declaración de los peritos permitiría probar que no circulaba de manera imprudente o a velocidad excesiva en el momento en el que el vehículo del otro acusado causó el atropello. Este aserto, sin embargo, no se corresponde con el relato de hechos probados de la Sentencia del Juzgado, confirmada en apelación, ni con las pruebas que sustentan dicho </w:t>
      </w:r>
      <w:r w:rsidRPr="0085709A">
        <w:rPr>
          <w:i/>
        </w:rPr>
        <w:t>factum</w:t>
      </w:r>
      <w:r>
        <w:t>. Los peritos se limitaron a hacer sus cálculos respecto del único vehículo que colisionó con los peatones, el del acusado don Pedro Galván Hernández, pues sólo sobre él podían realizarse estimaciones técnicas, según explica la Sentencia en el fundamento jurídico primero.</w:t>
      </w:r>
    </w:p>
    <w:p w:rsidR="0085709A" w:rsidRDefault="0085709A" w:rsidP="0085709A">
      <w:pPr>
        <w:pStyle w:val="TextoNormal"/>
      </w:pPr>
    </w:p>
    <w:p w:rsidR="0085709A" w:rsidRDefault="0085709A" w:rsidP="0085709A">
      <w:pPr>
        <w:pStyle w:val="TextoNormal"/>
      </w:pPr>
      <w:r>
        <w:t>En cuanto al acusado aquí recurrente en amparo, la Sentencia señala que la conclusión de que conducía a velocidad excesiva no se obtiene por pericial, sino por el reconocimiento parcial de los hechos que hacen ambos acusados, así como diversas testificales, que situaban a ambos vehículos transitando casi en paralelo (el del recurrente, de hecho, delante del causante del atropello, al momento de producirse éste).</w:t>
      </w:r>
    </w:p>
    <w:p w:rsidR="0085709A" w:rsidRDefault="0085709A" w:rsidP="0085709A">
      <w:pPr>
        <w:pStyle w:val="TextoNormal"/>
      </w:pPr>
    </w:p>
    <w:p w:rsidR="0085709A" w:rsidRDefault="0085709A" w:rsidP="0085709A">
      <w:pPr>
        <w:pStyle w:val="TextoNormal"/>
      </w:pPr>
      <w:r>
        <w:t>Por tanto, si las periciales no documentadas cuya valoración se propone en apelación no cuestionan la credibilidad de los testigos, ni lo declarado por los propios acusados, y teniendo en cuenta la absoluta lógica de la inferencia judicial, la conclusión que cabe extraer desde nuestra función de control externo, es que la defensa del recurrente no aporta una argumentación verosímil sobre la indefensión que dice sufrir por no poder contar en apelación con el registro audiovisual de dichas declaraciones periciales, de modo que lo manifestado por los peritos carece de toda relevancia para cambiar la relación de hechos probados de la Sentencia de instancia, tanto en lo referido a la velocidad de ambos vehículos, como a la fase semafórica, cuando fueron atropelladas las víctimas.</w:t>
      </w:r>
    </w:p>
    <w:p w:rsidR="0085709A" w:rsidRDefault="0085709A" w:rsidP="0085709A">
      <w:pPr>
        <w:pStyle w:val="TextoNormal"/>
      </w:pPr>
    </w:p>
    <w:p w:rsidR="0085709A" w:rsidRDefault="0085709A" w:rsidP="0085709A">
      <w:pPr>
        <w:pStyle w:val="TextoNormal"/>
      </w:pPr>
      <w:r>
        <w:t>Ha de desestimarse por tanto esta primera queja de la demanda de amparo.</w:t>
      </w:r>
    </w:p>
    <w:p w:rsidR="0085709A" w:rsidRDefault="0085709A" w:rsidP="0085709A">
      <w:pPr>
        <w:pStyle w:val="TextoNormal"/>
      </w:pPr>
    </w:p>
    <w:p w:rsidR="0085709A" w:rsidRDefault="0085709A" w:rsidP="0085709A">
      <w:pPr>
        <w:pStyle w:val="TextoNormal"/>
      </w:pPr>
      <w:r w:rsidRPr="0085709A">
        <w:rPr>
          <w:rStyle w:val="NumeroAFNegritaCaracter"/>
        </w:rPr>
        <w:t>4</w:t>
      </w:r>
      <w:r>
        <w:t>. Idéntico desenlace han de tener las otras dos lesiones constitucionales, que el motivo primero de la demanda de amparo anuda a aquella indefensión:</w:t>
      </w:r>
    </w:p>
    <w:p w:rsidR="0085709A" w:rsidRDefault="0085709A" w:rsidP="0085709A">
      <w:pPr>
        <w:pStyle w:val="TextoNormal"/>
      </w:pPr>
    </w:p>
    <w:p w:rsidR="0085709A" w:rsidRDefault="0085709A" w:rsidP="0085709A">
      <w:pPr>
        <w:pStyle w:val="TextoNormal"/>
      </w:pPr>
      <w:r>
        <w:t xml:space="preserve">a) Así, de un lado, se alega que la respuesta denegatoria dada por la Audiencia Provincial a la denuncia de indefensión comporta, en su consecuencia, la conculcación también del </w:t>
      </w:r>
      <w:r>
        <w:lastRenderedPageBreak/>
        <w:t>derecho a la presunción de inocencia del recurrente (art. 24.2 CE), al limitarse las dos Sentencias impugnadas a valorar la prueba de cargo, quitando indebidamente toda importancia a la de descargo contenida en la pericial practicada el 6 de marzo de 2011.</w:t>
      </w:r>
    </w:p>
    <w:p w:rsidR="0085709A" w:rsidRDefault="0085709A" w:rsidP="0085709A">
      <w:pPr>
        <w:pStyle w:val="TextoNormal"/>
      </w:pPr>
    </w:p>
    <w:p w:rsidR="0085709A" w:rsidRDefault="0085709A" w:rsidP="0085709A">
      <w:pPr>
        <w:pStyle w:val="TextoNormal"/>
      </w:pPr>
      <w:r>
        <w:t>Ciertamente, este Tribunal tiene fijada doctrina a tenor de la cual “…el principio de libre valoración de la prueba, reconocido en el art. 741 de la L.E.Cr., exige para que pueda considerársele ajustado a la Constitución, que se ponderen los distintos elementos que constituyen la actividad probatoria, sin que de esa ponderación pueda excluirse, como ocurre en el caso que nos ocupa, la prueba de descargo realizada en el juicio oral, ya que ello supone desconocer los derechos del inculpado consagrados en el art. 24.2 de la Norma fundamental…” (STC 145/1985, de 28 de octubre, FJ 6; en el mismo sentido, entre otras, SSTC 180/2002, de 14 de octubre, FJ 3; 148/2009, de 15 de junio, FJ 4; 104/2011, de 20 de junio, FJ 2; 88/2013, de 11 de abril, FJ 12, y 133/2014, de 22 de julio, FJ 8). Doctrina que reiterada a propósito de la labor revisora de los tribunales de apelación penal [SSTC 111/1999, de 14 de junio, FJ 4, y 143/2005, de 6 de junio, FJ 5 b)].</w:t>
      </w:r>
    </w:p>
    <w:p w:rsidR="0085709A" w:rsidRDefault="0085709A" w:rsidP="0085709A">
      <w:pPr>
        <w:pStyle w:val="TextoNormal"/>
      </w:pPr>
    </w:p>
    <w:p w:rsidR="0085709A" w:rsidRDefault="0085709A" w:rsidP="0085709A">
      <w:pPr>
        <w:pStyle w:val="TextoNormal"/>
      </w:pPr>
      <w:r>
        <w:t>La aplicación de esta doctrina no lleva al resultado buscado por el recurso. Las dos Sentencias impugnadas no niegan el derecho a que se valore prueba de descargo; lo que de manera distinta sostienen es que la pericial propugnada no permite desvirtuar la prueba de cargo, dado el objeto de lo que se intenta probar con aquélla y la distinta naturaleza de los medios de prueba que fundan la condena. A fin de no ser repetitivos, hemos de remitirnos a los razonamientos dados en el fundamento jurídico anterior de esta Sentencia sobre dicha falta de relevancia, lo que determina que no se haya hecho un uso selectivo del material probatorio en perjuicio del recurrente.</w:t>
      </w:r>
    </w:p>
    <w:p w:rsidR="0085709A" w:rsidRDefault="0085709A" w:rsidP="0085709A">
      <w:pPr>
        <w:pStyle w:val="TextoNormal"/>
      </w:pPr>
    </w:p>
    <w:p w:rsidR="0085709A" w:rsidRDefault="0085709A" w:rsidP="0085709A">
      <w:pPr>
        <w:pStyle w:val="TextoNormal"/>
      </w:pPr>
      <w:r>
        <w:t>b) Tampoco, de otro lado, se ha vulnerado el derecho al recurso que invoca la demanda de amparo, dentro de su primer motivo. El derecho a la doble instancia penal contra Sentencias de condena, en los términos recogidos por el art. 14.5 del Pacto internacional de derechos civiles y políticos de 1966 (“Toda persona declarada culpable de un delito tendrá derecho a que el fallo condenatorio y la pena que se le haya impuesto sean sometidos a un tribunal superior, conforme a lo prescrito por la ley”), garantiza según reiteradamente venimos diciendo,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(SSTC 16/2011, de 28 de febrero, FJ 3; 13/2014 a 16/2014 inclusive, todas de 30 de enero y en el FJ 2).</w:t>
      </w:r>
    </w:p>
    <w:p w:rsidR="0085709A" w:rsidRDefault="0085709A" w:rsidP="0085709A">
      <w:pPr>
        <w:pStyle w:val="TextoNormal"/>
      </w:pPr>
    </w:p>
    <w:p w:rsidR="0085709A" w:rsidRDefault="0085709A" w:rsidP="0085709A">
      <w:pPr>
        <w:pStyle w:val="TextoNormal"/>
      </w:pPr>
      <w:r>
        <w:t xml:space="preserve">Ese derecho fundamental a la doble instancia penal queda garantizado, desde luego, en el recurso de apelación del proceso penal abreviado al que tuvo acceso el demandante de amparo, habiendo señalado este Tribunal que en el mismo se otorgan “plenas facultades o plena jurisdicción al Tribunal </w:t>
      </w:r>
      <w:r w:rsidRPr="0085709A">
        <w:rPr>
          <w:i/>
        </w:rPr>
        <w:t>ad quem</w:t>
      </w:r>
      <w:r>
        <w:t xml:space="preserve"> para resolver cuantas cuestiones se planteen, sean de hecho o de Derecho; (…) conlleva que el Juzgador </w:t>
      </w:r>
      <w:r w:rsidRPr="0085709A">
        <w:rPr>
          <w:i/>
        </w:rPr>
        <w:t>ad quem</w:t>
      </w:r>
      <w:r>
        <w:t xml:space="preserve"> asuma la plena jurisdicción </w:t>
      </w:r>
      <w:r>
        <w:lastRenderedPageBreak/>
        <w:t xml:space="preserve">sobre el caso, en idéntica situación que el Juez </w:t>
      </w:r>
      <w:r w:rsidRPr="0085709A">
        <w:rPr>
          <w:i/>
        </w:rPr>
        <w:t>a quo</w:t>
      </w:r>
      <w:r>
        <w:t xml:space="preserve">, no sólo por lo que respecta a la subsunción de los hechos en la norma, sino también para la determinación de tales hechos a través de la valoración de la prueba, pudiendo revisar y corregir la ponderación llevada a cabo por el Juez </w:t>
      </w:r>
      <w:r w:rsidRPr="0085709A">
        <w:rPr>
          <w:i/>
        </w:rPr>
        <w:t>a quo</w:t>
      </w:r>
      <w:r>
        <w:t xml:space="preserve"> (por todas, SSTC 172/1997, de 14 de octubre, FJ 4; 120/1999, de 28 de junio, FFJJ 3 y 5; ATC 220/1999, de 20 de septiembre)…” (STC 167/2002, de 18 de septiembre, FJ 11; 200/2002, de 28 de octubre, FJ 4; 230/2002, de 9 de diciembre, FJ 7; 41/2003, de 27 de febrero, FJ 4 c); 10/2004, de 9 de febrero, FJ 6; 12/2004, de 9 de febrero, FJ 3, y 184/2013, de 4 de noviembre, FJ 7).</w:t>
      </w:r>
    </w:p>
    <w:p w:rsidR="0085709A" w:rsidRDefault="0085709A" w:rsidP="0085709A">
      <w:pPr>
        <w:pStyle w:val="TextoNormal"/>
      </w:pPr>
    </w:p>
    <w:p w:rsidR="0085709A" w:rsidRDefault="0085709A" w:rsidP="0085709A">
      <w:pPr>
        <w:pStyle w:val="TextoNormal"/>
      </w:pPr>
      <w:r>
        <w:t>En su aplicación debe rechazarse esta última queja, pues resulta evidente que nada ha impedido al recurrente articular su pretensión impugnatoria en apelación formalizando, entre otros, varios motivos relativos a la revisión del juicio probatorio que ha fundado la condena. Por lo que ni por vía de ley, ni de resolución judicial de primera o segunda instancia, se ha restringido el objeto cognitivo del recurso en su perjuicio.</w:t>
      </w:r>
    </w:p>
    <w:p w:rsidR="0085709A" w:rsidRDefault="0085709A" w:rsidP="0085709A">
      <w:pPr>
        <w:pStyle w:val="TextoNormal"/>
      </w:pPr>
    </w:p>
    <w:p w:rsidR="0085709A" w:rsidRDefault="0085709A" w:rsidP="0085709A">
      <w:pPr>
        <w:pStyle w:val="TextoNormal"/>
      </w:pPr>
      <w:r>
        <w:t>Su desestimación obliga al análisis de los demás motivos planteados en la demanda.</w:t>
      </w:r>
    </w:p>
    <w:p w:rsidR="0085709A" w:rsidRDefault="0085709A" w:rsidP="0085709A">
      <w:pPr>
        <w:pStyle w:val="TextoNormal"/>
      </w:pPr>
    </w:p>
    <w:p w:rsidR="0085709A" w:rsidRDefault="0085709A" w:rsidP="0085709A">
      <w:pPr>
        <w:pStyle w:val="TextoNormal"/>
      </w:pPr>
      <w:r w:rsidRPr="0085709A">
        <w:rPr>
          <w:rStyle w:val="NumeroAFNegritaCaracter"/>
        </w:rPr>
        <w:t>5</w:t>
      </w:r>
      <w:r>
        <w:t>. Los que aparecen así como motivos segundo a quinto del recurso, formulan un cuestionamiento al juicio probatorio contenido en la Sentencia del Juzgado de lo Penal, así como al de la Audiencia, en la medida en que ésta razona la conformidad a derecho de la apelada. Dicho cuestionamiento se articula, de un lado, como una vulneración del derecho a la presunción de inocencia (art. 24.2 CE) tanto por inexistencia de prueba de cargo e inobservancia de la doctrina constitucional sobre prueba indiciaria (motivo segundo), como por no valorarse cierta prueba de descargo (motivo tercero). De otro lado, como una lesión, también, del derecho a la tutela judicial efectiva (art. 24.1 CE), por defectuosa motivación de la prueba de cargo (motivos tercero, cuarto y quinto). Dada la evidente conexión de tratamiento de tales motivos entre sí, procede darles una respuesta conjunta.</w:t>
      </w:r>
    </w:p>
    <w:p w:rsidR="0085709A" w:rsidRDefault="0085709A" w:rsidP="0085709A">
      <w:pPr>
        <w:pStyle w:val="TextoNormal"/>
      </w:pPr>
    </w:p>
    <w:p w:rsidR="0085709A" w:rsidRDefault="0085709A" w:rsidP="0085709A">
      <w:pPr>
        <w:pStyle w:val="TextoNormal"/>
      </w:pPr>
      <w:r>
        <w:t>La tesis de la demanda es que la prueba de cargo no se sustenta en prueba directa contra el acusado aquí recurrente, sino en una cadena de conjeturas e inferencias que se van entrecruzando hasta traducirse en una “quimérica construcción” donde, “aunque se obtengan conclusiones cabales éstas ni mucho menos son las únicas explicaciones posibles”. Para ello, extrayendo pasajes de las declaraciones de varios testigos y ofreciendo su propia sistematización de las inferencias realizadas por el juzgador, entra a rechazarlas una a una alegando que no está probado que solamente circularan dos vehículos en el momento de los hechos; que los testigos no identificaron el color del vehículo del recurrente; que no hubo pacto tácito para hacer la carrera con el otro acusado Pedro ni cada uno tenía conciencia de las actuaciones ilícitas que podía hacer el otro; que no cabe atribuirle al recurrente la conducción excesiva de Pedro o afirmar que el recurrente perdió el control de la conducción. En definitiva, se incumpliría la doctrina sobre enervación de la presunción de inocencia por prueba indiciaria (con cita de SSTC 174/1985, de 17 de diciembre, FFJJ 2 a 5, y 128/2011, de 18 de julio). Todo esto, que se expone en el motivo segundo, se complementa: (</w:t>
      </w:r>
      <w:r w:rsidRPr="0085709A">
        <w:rPr>
          <w:i/>
        </w:rPr>
        <w:t>i</w:t>
      </w:r>
      <w:r>
        <w:t xml:space="preserve">) con el motivo cuarto, que invocando como se dijo lesión del art. 24.1 CE, sostiene que no se ha motivado, en concreto, el hecho probado de la fase semafórica situado a la altura de la calle de Imeldo Serís por donde cruzaron los peatones atropellados, si bien al respecto reconoce la demanda que “…ciertamente tiene razón la Audiencia Provincial en que incluir entre los hechos probados, el hecho negativo de que no quedase acreditado que el semáforo estuviera en fase ámbar no contradice estrictamente el hecho probado precedente [que estaba en verde </w:t>
      </w:r>
      <w:r>
        <w:lastRenderedPageBreak/>
        <w:t>cuando cruzaron las víctimas], pero visto el fundamento segundo de la sentencia de instancia es muy indicativo de la escasa técnica jurídica con que se ha afrontado la cuestión”; y (</w:t>
      </w:r>
      <w:r w:rsidRPr="0085709A">
        <w:rPr>
          <w:i/>
        </w:rPr>
        <w:t>ii</w:t>
      </w:r>
      <w:r>
        <w:t xml:space="preserve">) con el motivo quinto, que también </w:t>
      </w:r>
      <w:r w:rsidRPr="0085709A">
        <w:rPr>
          <w:i/>
        </w:rPr>
        <w:t>ex</w:t>
      </w:r>
      <w:r>
        <w:t xml:space="preserve"> art. 24.1 CE, plantea que no se ha motivado el hecho probado de que el recurrente influyó en el devenir del accidente, restando credibilidad la demanda a algunos testigos que declararon en este punto. En cuanto a la no valoración de la prueba de descargo, del que habla a su vez el motivo tercero en la invocada lesión doble de la presunción de inocencia (art. 24.1 CE) y el derecho a una resolución motivada (art. 24.1 CE), constituye en gran parte reiteración de la última queja incluida en el motivo primero, analizada ya y desestimada en el anterior fundamento jurídico 5 a) de esta Sentencia, a la que añade la no valoración de pericial sobre colores, de nuevo sobre la identificación del vehículo del recurrente por los testigos.</w:t>
      </w:r>
    </w:p>
    <w:p w:rsidR="0085709A" w:rsidRDefault="0085709A" w:rsidP="0085709A">
      <w:pPr>
        <w:pStyle w:val="TextoNormal"/>
      </w:pPr>
    </w:p>
    <w:p w:rsidR="0085709A" w:rsidRDefault="0085709A" w:rsidP="0085709A">
      <w:pPr>
        <w:pStyle w:val="TextoNormal"/>
      </w:pPr>
      <w:r>
        <w:t>Pues bien, como recientemente ha recordado este Tribunal en relación con nuestra doctrina sobre el control de la actividad judicial de valoración de la prueba y la vulneración del derecho a la presunción de inocencia, hemos de partir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 […]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 (SSTC 13/2014 a 16/2014, todas de 30 de enero, FJ 6, y 23/2014, de 30 de enero, FJ 5).</w:t>
      </w:r>
    </w:p>
    <w:p w:rsidR="0085709A" w:rsidRDefault="0085709A" w:rsidP="0085709A">
      <w:pPr>
        <w:pStyle w:val="TextoNormal"/>
      </w:pPr>
    </w:p>
    <w:p w:rsidR="0085709A" w:rsidRDefault="0085709A" w:rsidP="0085709A">
      <w:pPr>
        <w:pStyle w:val="TextoNormal"/>
      </w:pPr>
      <w:r>
        <w:t xml:space="preserve">La aplicación de dicha doctrina conduce a la desestimación de los indicados motivos segundo a quinto de la demanda de amparo. Desde la función de control externo que nos corresponder ejercitar, se constata que la Sentencia del Juzgado de lo Penal resulta del todo motivada (art. 24.1 CE), exponiendo de manera separada y numerada, de modo claro, los distintos hechos probados, así como la existencia de prueba de cargo que fundamenta la culpabilidad de los dos acusados, entre ellos el aquí recurrente, detallando los distintos medios de convicción practicados y las razones por las que se atribuye o no credibilidad a cada uno (fundamentos jurídicos primero y segundo). En lo que hace a la condena de don Javier, ya se indicó antes que la prueba de cargo es principalmente prueba directa, tanto lo reconocido por el propio recurrente en el plenario, como por al menos dos testigos (don Efraín R. y doña Lorena H.V.) quienes declararon que aquél circulaba de manera contigua o muy junta al vehículo del otro acusado don Pedro, vehículo del que a su vez pericialmente se ha podido establecer que circulaba a velocidad excesiva (extremo no cuestionado por la defensa del aquí recurrente), encontrándose ambos testigos a pocos metros del lugar de impacto, por lo que pudieron ver lo sucedido; además de otros testigos que vieron ambos </w:t>
      </w:r>
      <w:r>
        <w:lastRenderedPageBreak/>
        <w:t>vehículos en tramos anteriores de la calzada, y una vez detenidos luego del atropello. Asimismo, el recurrente reconoció en juicio que había efectuado una maniobra de quiebro a la izquierda sin señalizar, como lo corrobora el otro acusado, quien declaró que iba detrás de aquél en ese momento, maniobra cuya causa no supo interpretar, lo que contribuyó junto a la falta de visibilidad, al resultado ya indicado. El resto de las argumentaciones de la demanda, a modo de tercera instancia, consiste en ir dando su propio análisis de la prueba, otorgando mayor valor a hechos no probados (la fase semafórica del semáforo por donde cruzaron las víctimas) frente a los probados (la velocidad excesiva y la maniobra brusca), e intentar sembrar dudas sobre la prueba de cargo, como por ejemplo que los testigos reconocieron el color del vehículo de don Pedro, pero no el de don Javier. Insistiendo siempre, en fin, que todo se basa en conjeturas e inferencias sin verdadera base fáctica, lo que si bien resulta lícito y comprensible de alegar desde la perspectiva de parte, no responde a la realidad de lo que resulta de la Sentencia y, por tanto, carece de base suficiente para fundar una lesión del derecho a la presunción de inocencia o del derecho a una resolución judicial debidamente motivada (motivación reforzada, en este caso, por ser de condena), tal como se esgrime.</w:t>
      </w:r>
    </w:p>
    <w:p w:rsidR="0085709A" w:rsidRDefault="0085709A" w:rsidP="0085709A">
      <w:pPr>
        <w:pStyle w:val="TextoNormal"/>
      </w:pPr>
    </w:p>
    <w:p w:rsidR="0085709A" w:rsidRDefault="0085709A" w:rsidP="0085709A">
      <w:pPr>
        <w:pStyle w:val="TextoNormal"/>
      </w:pPr>
      <w:r>
        <w:t>La Sentencia de apelación, por lo demás, resulta respetuosa de ambos derechos fundamentales, contestando en sus casi cincuenta páginas de fundamentación jurídica a los motivos de apelación interpuestos por el recurrente, de las cuales dedica diecinueve páginas (fundamentos segundo a octavo) a resolver los motivos de naturaleza probatoria, explicitando las razones por las que considera correcto el enjuiciamiento del caso por la resolución apelada, sin incurrir en ninguna quiebra lógica en su discurso.</w:t>
      </w:r>
    </w:p>
    <w:p w:rsidR="0085709A" w:rsidRDefault="0085709A" w:rsidP="0085709A">
      <w:pPr>
        <w:pStyle w:val="TextoNormal"/>
      </w:pPr>
    </w:p>
    <w:p w:rsidR="0085709A" w:rsidRDefault="0085709A" w:rsidP="0085709A">
      <w:pPr>
        <w:pStyle w:val="TextoNormal"/>
      </w:pPr>
      <w:r>
        <w:t>El rechazo de estos otros motivos de la demanda de amparo, determina la del recurso en su totalidad.</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amparo interpuesto por don Javier Ruiz Benítez de Lugo Parejo.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59" w:name="SENTENCIA_2015_56"/>
      <w:r>
        <w:lastRenderedPageBreak/>
        <w:t>SENTENCIA 56/2015, de 16 de marzo de 2015</w:t>
      </w:r>
    </w:p>
    <w:bookmarkEnd w:id="59"/>
    <w:p w:rsidR="0085709A" w:rsidRDefault="0085709A" w:rsidP="0085709A">
      <w:pPr>
        <w:pStyle w:val="TtuloResolucin"/>
      </w:pPr>
      <w:r>
        <w:t>Sala Segunda</w:t>
      </w:r>
    </w:p>
    <w:p w:rsidR="0085709A" w:rsidRDefault="0085709A" w:rsidP="0085709A">
      <w:pPr>
        <w:pStyle w:val="TtuloBOE"/>
      </w:pPr>
      <w:r>
        <w:t>(BOE núm. 98, de 24 de abril de 2015)</w:t>
      </w:r>
    </w:p>
    <w:p w:rsidR="0085709A" w:rsidRDefault="0085709A" w:rsidP="0085709A">
      <w:pPr>
        <w:pStyle w:val="TextoNormalCentrado"/>
      </w:pPr>
      <w:r>
        <w:t>ECLI:ES:TC:2015:56</w:t>
      </w:r>
    </w:p>
    <w:p w:rsidR="0085709A" w:rsidRDefault="0085709A" w:rsidP="0085709A">
      <w:pPr>
        <w:pStyle w:val="TextoNormalCentrado"/>
      </w:pPr>
    </w:p>
    <w:p w:rsidR="0085709A" w:rsidRDefault="0085709A" w:rsidP="0085709A">
      <w:pPr>
        <w:pStyle w:val="SntesisDescriptiva"/>
      </w:pPr>
      <w:r>
        <w:t>Cuestión de inconstitucionalidad 2965-2014. Planteada por la Sala de lo Contencioso-Administrativo del Tribunal Superior de Justicia de Castilla-La Mancha en relación con diversos preceptos de la Ley 8/2007, de 28 de mayo, y el texto refundido de la Ley de suelo.</w:t>
      </w:r>
    </w:p>
    <w:p w:rsidR="0085709A" w:rsidRDefault="0085709A" w:rsidP="0085709A">
      <w:pPr>
        <w:pStyle w:val="SntesisDescriptiva"/>
      </w:pPr>
    </w:p>
    <w:p w:rsidR="0085709A" w:rsidRDefault="0085709A" w:rsidP="0085709A">
      <w:pPr>
        <w:pStyle w:val="SntesisAnaltica"/>
      </w:pPr>
      <w:r>
        <w:t>Derecho de propiedad y expropiación forzosa: inadmisión parcial y pérdida sobrevenida de objeto de la cuestión de inconstitucionalidad (STC 141/2014); constitucionalidad del precepto legal que excluye la valoración de expectativas derivadas de la asignación de edificabilidades y usos por la ordenación territorial y urbanística aún no realizados (STC 43/2015).</w:t>
      </w:r>
    </w:p>
    <w:p w:rsidR="0085709A" w:rsidRDefault="0085709A" w:rsidP="0085709A">
      <w:pPr>
        <w:pStyle w:val="SntesisAnaltica"/>
      </w:pPr>
    </w:p>
    <w:p w:rsidR="0085709A" w:rsidRDefault="0085709A" w:rsidP="0085709A">
      <w:pPr>
        <w:pStyle w:val="Extracto"/>
      </w:pPr>
      <w:r>
        <w:t>1.</w:t>
      </w:r>
      <w:r>
        <w:tab/>
        <w:t>Se desestima la cuestión pues la regulación de un criterio de valoración que excluya de la compensación debida el incremento de valor que adquiere en el mercado un suelo clasificado como rústico, por la confianza en que el planeamiento le reconocerá en su día usos urbanísticos, esto es, propios de los núcleos urbanos, no es inconstitucional, dado que pretende evitar que se traslade a la colectividad tanto el coste de los riesgos que corresponde asumir a la propiedad como el resto de elementos subjetivos que intervienen en la formación del precio de mercado, de modo que el art. 33.3 CE no garantiza en todo caso el valor de mercado (SSTC 141/2014, 43/2015) [FJ 3].</w:t>
      </w:r>
    </w:p>
    <w:p w:rsidR="0085709A" w:rsidRDefault="0085709A" w:rsidP="0085709A">
      <w:pPr>
        <w:pStyle w:val="Extracto"/>
      </w:pPr>
    </w:p>
    <w:p w:rsidR="0085709A" w:rsidRDefault="0085709A" w:rsidP="0085709A">
      <w:pPr>
        <w:pStyle w:val="Extracto"/>
      </w:pPr>
      <w:r>
        <w:t>2.</w:t>
      </w:r>
      <w:r>
        <w:tab/>
        <w:t>Una vez eliminado del ordenamiento jurídico el inciso de “hasta un máximo del doble” del art. 23.1 a) del texto refundido de la Ley del suelo, sólo cabe declarar que la cuestión ha perdido objeto en lo que atañe a la duda de constitucionalidad relativa a dicho precepto, plantada por la Sala promotora de la cuestión (STC 141/2014)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 este Tribunal, compuesta por doña Adela Asua Batarrita, Presidenta, don Fernando Valdés Dal-Ré, don Juan José González Rivas,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la cuestión de inconstitucionalidad núm. 2965-2014, planteada por la Sección Segunda de la Sala de lo Contencioso-administrativo del Tribunal Superior de Justicia de Castilla-La Mancha, en relación con los arts. 22.1.a) y 2 de la Ley 8/2007, de 28 de mayo, de </w:t>
      </w:r>
      <w:r>
        <w:lastRenderedPageBreak/>
        <w:t>Suelo, y arts. 23.1.a) y 2 del Real Decreto Legislativo 2/2008, de 20 de junio, por el que se aprueba el Texto Refundido de la Ley de Suelo, por posible vulneración del art. 33.3 CE. Han intervenido y formulado alegaciones el Abogado del Estado y el Fiscal General del Estado.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12 de mayo de 2014 tuvo entrada en el Registro General de este Tribunal oficio de la Sección Segunda de la Sala de lo Contencioso-Administrativo del Tribunal Superior de Justicia de Castilla-La Mancha, al que se acompaña, junto con el testimonio de las actuaciones del procedimiento ordinario núm. 274-2010, el Auto de 2 de abril de 2014, en el que se acuerda plantear cuestión de inconstitucionalidad en relación con el art. 22.1 a) y 2 de la Ley 8/2007, de 28 de mayo, de suelo, y el art. 23.1 a) y 2 del texto refundido de la Ley de suelo, aprobado por Real Decreto Legislativo 2/2008, de 20 de junio, por posible vulneración del art. 33.3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presente cuestión de inconstitucionalidad son, sucintamente expuestos, los siguientes:</w:t>
      </w:r>
    </w:p>
    <w:p w:rsidR="0085709A" w:rsidRDefault="0085709A" w:rsidP="0085709A">
      <w:pPr>
        <w:pStyle w:val="TextoNormal"/>
      </w:pPr>
    </w:p>
    <w:p w:rsidR="0085709A" w:rsidRDefault="0085709A" w:rsidP="0085709A">
      <w:pPr>
        <w:pStyle w:val="TextoNormal"/>
      </w:pPr>
      <w:r>
        <w:t>a) La empresa Oretania XXI, S.L., interpuso recurso contencioso-administrativo contra la resolución del jurado provincial de expropiación de Ciudad Real de 22 de febrero de 2010, dictada en el expediente 85-2009, por el que se fijó el justiprecio de la finca núm. 100, de la parcela 530, polígono 1, en término municipal de Puertollano, para la realización del proyecto de mejora y acondicionamiento para el ciclo integral del agua (clave 009-CR), siendo la Administración expropiante la Confederación Hidrográfica del Guadalquivir y el beneficiario Aquavir, S.A., ulteriormente sustituida por Aquasur, S.A.</w:t>
      </w:r>
    </w:p>
    <w:p w:rsidR="0085709A" w:rsidRDefault="0085709A" w:rsidP="0085709A">
      <w:pPr>
        <w:pStyle w:val="TextoNormal"/>
      </w:pPr>
    </w:p>
    <w:p w:rsidR="0085709A" w:rsidRDefault="0085709A" w:rsidP="0085709A">
      <w:pPr>
        <w:pStyle w:val="TextoNormal"/>
      </w:pPr>
      <w:r>
        <w:t>La demandante discrepa del método de capitalización de rentas aplicado por el jurado provincial de expropiación, que vino a estimar que el suelo tenía naturaleza rural. Considera que se ha obviado que dicho suelo ya estaba incluido en el plan parcial, que fue aprobado por el Ayuntamiento de Puertollano, y que estaba incluido en el programa de actuación urbanística del sector “Puerta Alcudia”, por lo que los terrenos objeto de expropiación, a la entrada en vigor de la disposición transitoria tercera de la Ley 8/2007, tenían el carácter de suelo urbano, incluido en los ámbitos delimitados para los que el planeamiento había establecido condiciones de desarrollo, por lo que la valoración debió hacerse por el sistema de comparación.</w:t>
      </w:r>
    </w:p>
    <w:p w:rsidR="0085709A" w:rsidRDefault="0085709A" w:rsidP="0085709A">
      <w:pPr>
        <w:pStyle w:val="TextoNormal"/>
      </w:pPr>
    </w:p>
    <w:p w:rsidR="0085709A" w:rsidRDefault="0085709A" w:rsidP="0085709A">
      <w:pPr>
        <w:pStyle w:val="TextoNormal"/>
      </w:pPr>
      <w:r>
        <w:t xml:space="preserve">b) Una vez concluso el procedimiento, y antes de dictar Sentencia, la Sección Segunda de la Sala de lo Contencioso-Administrativo del Tribunal Superior de Justicia de Castilla-La Mancha dictó providencia de fecha 12 de febrero de 2014 por la que, al amparo de lo previsto en el art. 35.2 de la Ley Orgánica del Tribunal Constitucional (LOTC), acuerda oír a las partes y al Ministerio Fiscal por plazo común de diez días, para que puedan alegar sobre la pertinencia de plantear cuestión de inconstitucionalidad en relación con el art. 22.1 a) y 2 de la Ley 8/2007, de 28 de mayo, de suelo, y art. 23.1 a) y 2 del texto refundido de la Ley de suelo, aprobado por Real Decreto Legislativo 2/2008, de 20 de junio, en cuanto que las limitaciones que en ellos se establecen para la valoración de los terrenos en el suelo rural </w:t>
      </w:r>
      <w:r>
        <w:lastRenderedPageBreak/>
        <w:t>podría impedirle fijar el justiprecio del bien conforme a su valor real, con la consiguiente vulneración del art. 33.3 CE.</w:t>
      </w:r>
    </w:p>
    <w:p w:rsidR="0085709A" w:rsidRDefault="0085709A" w:rsidP="0085709A">
      <w:pPr>
        <w:pStyle w:val="TextoNormal"/>
      </w:pPr>
    </w:p>
    <w:p w:rsidR="0085709A" w:rsidRDefault="0085709A" w:rsidP="0085709A">
      <w:pPr>
        <w:pStyle w:val="TextoNormal"/>
      </w:pPr>
      <w:r>
        <w:t xml:space="preserve">c) El Ministerio Fiscal emitió informe de fecha 6 de febrero de 2014, en el que considera que concurren los requisitos formales y sustanciales para proceder a la interposición de la cuestión de inconstitucionalidad en cuanto, </w:t>
      </w:r>
      <w:r w:rsidRPr="0085709A">
        <w:rPr>
          <w:i/>
        </w:rPr>
        <w:t>prima facie</w:t>
      </w:r>
      <w:r>
        <w:t>, las previsiones de los preceptos cuestionados son susceptibles de hacer ineficaz la garantía de la propiedad privada frente el poder expropiatorio de los poderes públicos, habida cuenta de que, siquiera en apariencia, aseguran en todo caso una justa compensación económica a quienes, por razones de utilidad pública o interés social, se ven privados de bienes o derechos de contenido patrimonial.</w:t>
      </w:r>
    </w:p>
    <w:p w:rsidR="0085709A" w:rsidRDefault="0085709A" w:rsidP="0085709A">
      <w:pPr>
        <w:pStyle w:val="TextoNormal"/>
      </w:pPr>
    </w:p>
    <w:p w:rsidR="0085709A" w:rsidRDefault="0085709A" w:rsidP="0085709A">
      <w:pPr>
        <w:pStyle w:val="TextoNormal"/>
      </w:pPr>
      <w:r>
        <w:t>La entidad recurrente interesó también el planteamiento de la cuestión de inconstitucionalidad, en escrito presentado el 5 de marzo de 2014, manifestando que si el Tribunal estima aplicable al caso la Ley 8/2007, de 28 de mayo y el Real Decreto Legislativo 2/2008, de 20 de junio, a efectos de valoración del suelo, nada opone al planteamiento de la cuestión.</w:t>
      </w:r>
    </w:p>
    <w:p w:rsidR="0085709A" w:rsidRDefault="0085709A" w:rsidP="0085709A">
      <w:pPr>
        <w:pStyle w:val="TextoNormal"/>
      </w:pPr>
    </w:p>
    <w:p w:rsidR="0085709A" w:rsidRDefault="0085709A" w:rsidP="0085709A">
      <w:pPr>
        <w:pStyle w:val="TextoNormal"/>
      </w:pPr>
      <w:r>
        <w:t>El Abogado del Estado, en escrito registrado el 4 de marzo de 2014, se opone al planteamiento de la cuestión de inconstitucionalidad, alegando la plena constitucionalidad de los preceptos cuestionados, con indicación de que no es novedosa en nuestro ordenamiento la prohibición de valorar expectativas urbanísticas por proximidad a suelo urbano, y que tal medida resulte plenamente constitucional; que no existe derecho indemnizatorio alguno, si el propietario no ha adquirido las facultades correspondientes, derivadas del riguroso cumplimiento de deberes y cargas urbanísticas; y que la doctrina constitucional no identifica, necesariamente, la indemnización con el precio de mercado.</w:t>
      </w:r>
    </w:p>
    <w:p w:rsidR="0085709A" w:rsidRDefault="0085709A" w:rsidP="0085709A">
      <w:pPr>
        <w:pStyle w:val="TextoNormal"/>
      </w:pPr>
    </w:p>
    <w:p w:rsidR="0085709A" w:rsidRDefault="0085709A" w:rsidP="0085709A">
      <w:pPr>
        <w:pStyle w:val="TextoNormal"/>
      </w:pPr>
      <w:r w:rsidRPr="0085709A">
        <w:rPr>
          <w:rStyle w:val="NumeroAFNegritaCaracter"/>
        </w:rPr>
        <w:t>3</w:t>
      </w:r>
      <w:r>
        <w:t>. El 2 de abril de 2014, la Sala de lo Contencioso-Administrativo del Tribunal Superior de Justicia de Castilla-La Mancha dictó Auto promoviendo la cuestión de inconstitucionalidad, en los términos que seguidamente se detallan.</w:t>
      </w:r>
    </w:p>
    <w:p w:rsidR="0085709A" w:rsidRDefault="0085709A" w:rsidP="0085709A">
      <w:pPr>
        <w:pStyle w:val="TextoNormal"/>
      </w:pPr>
    </w:p>
    <w:p w:rsidR="0085709A" w:rsidRDefault="0085709A" w:rsidP="0085709A">
      <w:pPr>
        <w:pStyle w:val="TextoNormal"/>
      </w:pPr>
      <w:r>
        <w:t>Tras recoger los antecedentes del caso y reproducir las normas cuestionadas, la fundamentación del Auto comienza por hacer referencia al cumplimiento de los requisitos del art. 35 LOTC, señalando que es incontrovertida la aplicación de la Ley 8/2007 en el expediente expropiatorio, que se ha concedido a las partes el trámite de audiencia según exige la LOTC y que la cuestión se plantea estando concluso el procedimiento, a falta tan sólo de dictar la resolución final del mismo.</w:t>
      </w:r>
    </w:p>
    <w:p w:rsidR="0085709A" w:rsidRDefault="0085709A" w:rsidP="0085709A">
      <w:pPr>
        <w:pStyle w:val="TextoNormal"/>
      </w:pPr>
    </w:p>
    <w:p w:rsidR="0085709A" w:rsidRDefault="0085709A" w:rsidP="0085709A">
      <w:pPr>
        <w:pStyle w:val="TextoNormal"/>
      </w:pPr>
      <w:r>
        <w:t>En lo que respecta a la aplicabilidad de las normas cuya constitucionalidad se cuestiona, señala el Auto que dichos preceptos son de aplicación, vista la fecha de entrada en vigor de la Ley 8/2007, el 1 de julio de 2007, y conforme a lo establecido en la disposición transitoria tercera del Real Decreto Legislativo 2/2008, habida cuenta de que el proyecto relativo a las obras fue aprobado por resolución de la Ministra de Medio Ambiente, de fecha 19 de octubre del 2007, fecha esta posterior a la entrada en vigor de la Ley 8/2007, por lo que, a efectos de valoraciones, debía aplicarse la referida Ley al caso enjuiciado.</w:t>
      </w:r>
    </w:p>
    <w:p w:rsidR="0085709A" w:rsidRDefault="0085709A" w:rsidP="0085709A">
      <w:pPr>
        <w:pStyle w:val="TextoNormal"/>
      </w:pPr>
    </w:p>
    <w:p w:rsidR="0085709A" w:rsidRDefault="0085709A" w:rsidP="0085709A">
      <w:pPr>
        <w:pStyle w:val="TextoNormal"/>
      </w:pPr>
      <w:r>
        <w:t xml:space="preserve">En cuanto al juicio de relevancia, tras citar la doctrina constitucional de aplicación, señala que el suelo expropiado está en situación de suelo rural, lo que determina que, al amparo de lo previsto en el art. 22.1 a) y 2 de la Ley 8/2007 y 23.1 a) y 2 del texto refundido, los terrenos han de ser valorados por el sistema de capitalización de rentas, método que sólo </w:t>
      </w:r>
      <w:r>
        <w:lastRenderedPageBreak/>
        <w:t>responde a la valoración del rendimiento agrícola, pero no al valor real de los terrenos según su situación, descartándose expresamente la valoración de las expectativas urbanísticas. Por ello, la relevancia del planteamiento de la cuestión de inconstitucionalidad reside en que tales preceptos impidieron al jurado de expropiación  — e impiden ahora a la propia Sala— valorar los terrenos en base a su valor real, valor al que podía llegarse, según la legislación anterior, por el método de comparación con fincas análogas, que constituía anteriormente el método principal de valoración, siendo subsidiario el de capitalización de rentas, criterio este último que, por su insuficiencia para reflejar el valor real, fue corregido por la jurisprudencia, defendiendo la posibilidad de incrementar hasta en un 500 por 100 el valor obtenido por capitalización, atendiendo a las expectativas urbanísticas de los terrenos.</w:t>
      </w:r>
    </w:p>
    <w:p w:rsidR="0085709A" w:rsidRDefault="0085709A" w:rsidP="0085709A">
      <w:pPr>
        <w:pStyle w:val="TextoNormal"/>
      </w:pPr>
    </w:p>
    <w:p w:rsidR="0085709A" w:rsidRDefault="0085709A" w:rsidP="0085709A">
      <w:pPr>
        <w:pStyle w:val="TextoNormal"/>
      </w:pPr>
      <w:r>
        <w:t>Descendiendo al caso concreto, la Sala considera que el valor fijado por la Administración se atiene a la normativa vigente, que sólo permite valorar el suelo por el método de capitalización de la renta anual o potencial de la explotación, según su estado en el momento al que venga referida la valoración, con posibilidad de corrección al alza en un 100 por 100. Sin embargo, el órgano judicial considera que ese método no es aceptable, puesto que la demandante adquirió la propiedad de un total de 5.975 m2, en el año 2006, por un precio 50.000 euros (8,379 €/m2), mientras que la pericial de parte arroja un valor de 35 €/m2 por el sistema de comparación. Por todo ello, aprecia la existencia de unas especiales circunstancias en la finca expropiada, que la hacen merecedora de una valoración superior a la que las normas de aplicación permiten obtener. Esas concretas circunstancias de la finca expropiada evidencian unas importantes expectativas que no se pueden desconocer y que permitirían incrementar el valor básico obtenido por el Jurado por capitalización hasta en un 500 por 100, aplicando la doctrina establecida por el Tribunal Supremo o, en su caso, atendiendo al precio de adquisición y, aún más, si se aplicará la comparación con la valoración comprobada establecida por la Administración. En cualquier caso, sería superior al máximo posible en aplicación de los preceptos cuya constitucionalidad se cuestiona. En definitiva, entiende la Sala que el fallo de la Sentencia que habrá de dictarse en el procedimiento dependerá, en cuanto al montante del justiprecio, de la validez o no de los preceptos cuya constitucionalidad se cuestiona.</w:t>
      </w:r>
    </w:p>
    <w:p w:rsidR="0085709A" w:rsidRDefault="0085709A" w:rsidP="0085709A">
      <w:pPr>
        <w:pStyle w:val="TextoNormal"/>
      </w:pPr>
    </w:p>
    <w:p w:rsidR="0085709A" w:rsidRDefault="0085709A" w:rsidP="0085709A">
      <w:pPr>
        <w:pStyle w:val="TextoNormal"/>
      </w:pPr>
      <w:r>
        <w:t>Entrando en el análisis de los fundamentos del planteamiento de la cuestión, invoca el Auto el art. 33.3 CE, que está inspirado en el mantenimiento de la indemnidad. Señala como antecedente inmediato el art. 43 de la Ley de expropiación forzosa, que consagraba el criterio estimativo en el caso de que la valoración realizada conforme a los criterios legales no resultara conforme con el valor real del bien. Afirma que la disposición adicional quinta de la Ley 8/2007, de 28 de mayo (recogida después en la disposición adicional quinta del Real Decreto Legislativo 2/2008, de 20 de junio), determina que en la actualidad tanto los jurados como los Tribunales de Justicia se encuentran encorsetados por las rígidas reglas que al efecto se contienen y que, por lo que se refiere al suelo rural, consisten en la aplicación del método de capitalización de rentas, que se encuentra con la barrera de que el valor no puede ser corregido al alza sino hasta un máximo del doble, en función de factores objetivos de localización, sin que, en todo caso, puedan tenerse en cuenta expectativas derivadas de la asignación de edificabilidades y usos por la ordenación territorial o urbanística, que no haya sido aun plenamente realizados. Entiende la Sala promotora que dichas limitaciones contravienen el art. 33.3 CE.</w:t>
      </w:r>
    </w:p>
    <w:p w:rsidR="0085709A" w:rsidRDefault="0085709A" w:rsidP="0085709A">
      <w:pPr>
        <w:pStyle w:val="TextoNormal"/>
      </w:pPr>
    </w:p>
    <w:p w:rsidR="0085709A" w:rsidRDefault="0085709A" w:rsidP="0085709A">
      <w:pPr>
        <w:pStyle w:val="TextoNormal"/>
      </w:pPr>
      <w:r>
        <w:lastRenderedPageBreak/>
        <w:t>Se recoge asimismo la doctrina del Tribunal Constitucional sobre el contenido real de la indemnización o “justo precio”, recogida en la STC 166/1986, de 19 de diciembre, FJ 13 B) y en la STC 313/2006, de 8 de noviembre, FJ 9, según la cual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w:t>
      </w:r>
    </w:p>
    <w:p w:rsidR="0085709A" w:rsidRDefault="0085709A" w:rsidP="0085709A">
      <w:pPr>
        <w:pStyle w:val="TextoNormal"/>
      </w:pPr>
    </w:p>
    <w:p w:rsidR="0085709A" w:rsidRDefault="0085709A" w:rsidP="0085709A">
      <w:pPr>
        <w:pStyle w:val="TextoNormal"/>
      </w:pPr>
      <w:r>
        <w:t>Se invoca también por la Sala la doctrina del Tribunal Europeo de Derechos Humanos, señalando que, a su entender, los preceptos que se cuestionan vulnerarían el art. 1 del protocolo adicional del Convenio de Roma. A partir de éste, se citan numerosas Sentencias del referido Tribunal, de las que la Sala deduce que, si bien el Tribunal Europeo de Derechos Humanos reconoce excepciones a la regla del reembolso equivalente al pleno valor de mercado, en los supuestos de expropiaciones por causa de utilidad pública, sólo una indemnización íntegra puede ser considerada como razonablemente proporcionada al valor del bien.</w:t>
      </w:r>
    </w:p>
    <w:p w:rsidR="0085709A" w:rsidRDefault="0085709A" w:rsidP="0085709A">
      <w:pPr>
        <w:pStyle w:val="TextoNormal"/>
      </w:pPr>
    </w:p>
    <w:p w:rsidR="0085709A" w:rsidRDefault="0085709A" w:rsidP="0085709A">
      <w:pPr>
        <w:pStyle w:val="TextoNormal"/>
      </w:pPr>
      <w:r>
        <w:t>El Auto hace referencia, acto seguido, a la abundante doctrina del Tribunal Supremo favorable a la valoración de las expectativas urbanísticas en suelo no urbanizable, señalando que, tradicionalmente, bajo la vigencia de la Ley de suelo de 1976, las expectativas urbanísticas fueron un elemento más de valoración en los suelos no urbanizables, y que, desde entonces, con la única excepción de los ocho años que estuvo vigente la Ley de suelo 8/1990, y su texto refundido, aprobado por Real Decreto Legislativo 1/1992, nuestra legislación urbanística ha permitido su valoración hasta la vigente Ley 8/2007, en la que se ha vuelto a prohibir expresamente tal posibilidad.</w:t>
      </w:r>
    </w:p>
    <w:p w:rsidR="0085709A" w:rsidRDefault="0085709A" w:rsidP="0085709A">
      <w:pPr>
        <w:pStyle w:val="TextoNormal"/>
      </w:pPr>
    </w:p>
    <w:p w:rsidR="0085709A" w:rsidRDefault="0085709A" w:rsidP="0085709A">
      <w:pPr>
        <w:pStyle w:val="TextoNormal"/>
      </w:pPr>
      <w:r>
        <w:t xml:space="preserve">Incluye igualmente el Auto de planteamiento la cita de una serie de modificaciones normativas posteriores que, a juicio de la Sala, vendrían a evidenciar la insuficiencia del método de capitalización para obtener el valor real del suelo rural. En este sentido, se señala que aunque tanto la Ley 8/2007 como el Real Decreto Legislativo 2/2008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corriera el riesgo de alejar de forma significativa el resultado de las valoraciones respecto de los precios de mercado del suelo rural sin consideración de expectativas urbanísticas, aquélla no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w:t>
      </w:r>
      <w:r>
        <w:lastRenderedPageBreak/>
        <w:t>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w:t>
      </w:r>
    </w:p>
    <w:p w:rsidR="0085709A" w:rsidRDefault="0085709A" w:rsidP="0085709A">
      <w:pPr>
        <w:pStyle w:val="TextoNormal"/>
      </w:pPr>
    </w:p>
    <w:p w:rsidR="0085709A" w:rsidRDefault="0085709A" w:rsidP="0085709A">
      <w:pPr>
        <w:pStyle w:val="TextoNormal"/>
      </w:pPr>
      <w:r>
        <w:t xml:space="preserve">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También resultan contrarios a la jurisprudencia del Tribunal Europeo de Derechos Humanos, en cuanto que, en expropiaciones con fines de utilidad pública, sólo la indemnización íntegra puede ser considerada como razonablemente proporcionada al valor del bien que se expropia. En este punto, aclara el órgano promotor de la cuestión que por “valoración de expectativas urbanísticas” no está defendiendo que se deban valorar puras hipótesis, valores no reales o perjuicios meramente hipotéticos, inciertos o futuros. Lo que se pretende valorar no es la expectativa misma sino el incremento real de valor que la misma genera actualmente sobre el valor del suelo en el mercado, basándose en circunstancias actuales que son proyectadas al futuro por el mercado, lo cual genera, a su vez, un incremento real y actual del valor. Por otra parte, se plantea si es pertinente aquí la invocación del carácter supuestamente especulativo de este tipo de valores, teniendo en cuenta la obligación de los poderes públicos </w:t>
      </w:r>
      <w:r w:rsidRPr="0085709A">
        <w:rPr>
          <w:i/>
        </w:rPr>
        <w:t>ex</w:t>
      </w:r>
      <w:r>
        <w:t xml:space="preserve"> art. 47 CE de evitar la especulación del suelo. Afirma la Sala que resultaría sumamente paradójico que todos los agentes económicos tuvieran que padecer las elevaciones de valor del suelo, derivadas de unas u otras circunstancias, y que, sin embargo, los poderes públicos, precisamente obligados a velar por evitar la especulación, fuesen los únicos que quedasen al margen de sus efectos negativos a base de diseñar métodos legales de valoración artificiosos y alejados del hallazgo del valor real. A juicio de la Sala, la lucha contra la especulación consiste en eliminarla del mercado y no en dejar a las Administraciones públicas y sólo a ellas al margen de sus efectos negativos, mientras que el resto de los operadores económicos no sólo tienen que soportar sus consecuencias sino que, en el momento en que sufran una expropiación, no van a poder obtener por el suelo el valor que tienen que soportar en el resto de operaciones inmobiliarias. La Administración debe pagar por un suelo lo que la fecha a la que haya que valorar tuviera que abonar cualquiera que quisiera o necesitara adquirirlo, incluidas las expectativas, con independencia de que se hayan cumplido o no después. En suma, entiende la Sala que el coeficiente que tanto el art. 22 de la Ley 8/2007 como su correlativo 23 del texto refundido de 2008 contemplan es claramente insuficiente para que los propietarios puedan obtener esa indemnización íntegra por la pérdida del bien expropiado.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El Pleno de este Tribunal, por providencia de 15 de julio de 2014, acordó admitir a trámite la cuestión de inconstitucionalidad, deferir, de conformidad con lo dispuesto en el art. 10.1 c) LOTC, a la Sala Segunda, a la que por turno objetivo le ha correspondido, el conocimiento de la presente cuestión, así como dar traslado de las actuaciones al Congreso de los Diputados y al Senado por conducto de sus Presidentes, al Gobierno por conducto del Ministerio de Justicia, y al Fiscal General del Estado,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w:t>
      </w:r>
      <w:r>
        <w:lastRenderedPageBreak/>
        <w:t>que este Tribunal resuelva definitivamente la presente cuestión. En la misma providencia se acordó por el Tribunal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El Presidente del Congreso de los Diputados, mediante escrito que tuvo entrada el 25 de julio de 2014 en el Registro General del Tribunal, solicitó dar por personada a esa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presentó su escrito de alegaciones el 31 de julio de 2014. Comienza señalando el escrito que la cuestión de inconstitucionalidad debería centrarse en la constitucionalidad del párrafo III del apartado 2 del art. 23 del texto refundido de la Ley de suelo, excluyendo, por no ser objeto de duda, la regla del apartado 2, pues la cuestión que el Auto plantea es si la existencia de terrenos cercanos con distinta clasificación, fundamentalmente de terrenos urbanos, debe tenerse en cuenta o no en la valoración de la finca, y no en que en la finca expropiada concurra algún tipo de expectativas urbanísticas derivadas del planeamiento. Lo que la Sala discute es que el legislador, con la redacción del apartado 2, párrafo III del art. 23 del texto refundido de la Ley de suelo, impide en la valoración de la finca las expectativas urbanísticas y su incidencia sobre el valor del suelo expropiado derivadas de su proximidad a terrenos urbanos, y concretamente a un polígono industrial. Por ello, también debería excluirse de la cuestión de inconstitucionalidad el párrafo I del apartado a) del art. 23 del texto refundido de la Ley de suelo, en la medida en que el Auto no duda de la constitucionalidad del método de obtención de capitalización de la renta real o potencial. No obstante lo cual, se aborda la constitucionalidad de este precepto.</w:t>
      </w:r>
    </w:p>
    <w:p w:rsidR="0085709A" w:rsidRDefault="0085709A" w:rsidP="0085709A">
      <w:pPr>
        <w:pStyle w:val="TextoNormal"/>
      </w:pPr>
    </w:p>
    <w:p w:rsidR="0085709A" w:rsidRDefault="0085709A" w:rsidP="0085709A">
      <w:pPr>
        <w:pStyle w:val="TextoNormal"/>
      </w:pPr>
      <w:r>
        <w:t>Afirma así el Abogado del Estado que el precepto impugnado es conforme con la Constitución, por cuanto el sistema de valoración legal es razonable y no arbitrario y permite otorgar al expropiado la indemnización a la que se refiere el art. 33.3 CE. De acuerdo con la interpretación conjunta de lo dispuesto en la Ley y en el Reglamento de valoraciones de la Ley de suelo, para valorar inmuebles en situación básica de suelo rural, al tratarse de un mercado más opaco que el del suelo en situación de urbanizado, se desarrolla el valor de capitalización de la renta real o potencial de la explotación, en un contexto de búsqueda del valor correspondiente al más alto y mejor uso del suelo rural, sin tener en cuenta las expectativas urbanísticas; y asimismo el método de valoración contempla no solo su aprovechamiento agrícola o ganadero sino una amplia gama de actividades económicas presentes o susceptibles de ser desarrolladas en el mismo.</w:t>
      </w:r>
    </w:p>
    <w:p w:rsidR="0085709A" w:rsidRDefault="0085709A" w:rsidP="0085709A">
      <w:pPr>
        <w:pStyle w:val="TextoNormal"/>
      </w:pPr>
    </w:p>
    <w:p w:rsidR="0085709A" w:rsidRDefault="0085709A" w:rsidP="0085709A">
      <w:pPr>
        <w:pStyle w:val="TextoNormal"/>
      </w:pPr>
      <w:r>
        <w:t xml:space="preserve">La Ley y el Reglamento incluyen, de igual modo, determinaciones muy precisas que obligan a calcular la renta real y la potencial, obligan a compararlas y a elegir la que sea superior, indican los factores que deben formar parte de los de disfrute o explotación, lo que supone que no deben considerarse únicamente los rendimientos agrarios, sino todos los rendimientos reales o potenciales, incluidos los procedentes de actividades de ocio que pudieran realizarse en la finca y también subvenciones que tengan carácter estable, como son las provenientes de la Política Agraria Común. Y en lo que respecta al coeficiente corrector, tanto el texto refundido de la Ley de suelo como el Reglamento de valoraciones asumen que la localización influye en el valor de este suelo, siendo la renta de posición un factor relevante en la formación tradicional del precio de la tierra. Por otra parte, para que esta modulación del valor del suelo no pueda llevar a resultados arbitrarios, se limita al máximo del doble del valor obtenido. Desde esta perspectiva, los criterios de valoración establecidos </w:t>
      </w:r>
      <w:r>
        <w:lastRenderedPageBreak/>
        <w:t>persiguen determinar con la necesaria objetividad y seguridad jurídica el valor de sustitución del inmueble en el mercado por otro similar en su misma situación.</w:t>
      </w:r>
    </w:p>
    <w:p w:rsidR="0085709A" w:rsidRDefault="0085709A" w:rsidP="0085709A">
      <w:pPr>
        <w:pStyle w:val="TextoNormal"/>
      </w:pPr>
    </w:p>
    <w:p w:rsidR="0085709A" w:rsidRDefault="0085709A" w:rsidP="0085709A">
      <w:pPr>
        <w:pStyle w:val="TextoNormal"/>
      </w:pPr>
      <w:r>
        <w:t>En lo atinente a la constitucionalidad del sistema de valoración regulado en el  texto refundido de la Ley de suelo, se afirma, con cita de la doctrina constitucional (SSTC 61/1997 y 164/2001), que el legislador estatal es el único competente para establecer los criterios y métodos de valoración, y goza de amplio margen para fijar las distintas modalidades de valoración —dependientes de la naturaleza de los bienes y derechos expropiados— a las que sólo se exige, desde la perspectiva constitucional, que no se revelen manifiestamente desprovistas de base razonable.</w:t>
      </w:r>
    </w:p>
    <w:p w:rsidR="0085709A" w:rsidRDefault="0085709A" w:rsidP="0085709A">
      <w:pPr>
        <w:pStyle w:val="TextoNormal"/>
      </w:pPr>
    </w:p>
    <w:p w:rsidR="0085709A" w:rsidRDefault="0085709A" w:rsidP="0085709A">
      <w:pPr>
        <w:pStyle w:val="TextoNormal"/>
      </w:pPr>
      <w:r>
        <w:t>En cuanto al reproche de inconstitucionalidad que el Auto dirige al art. 22 de la Ley de suelo, y que se centra en que el límite máximo del valor de corrección es insuficiente para incorporar el mayor valor correspondiente a la proximidad de suelo urbano, considera el Abogado del Estado que tal razonamiento propende a confundir valor y precio, y a olvidar que el art. 33.3 CE no impone que las valoraciones deban reflejar necesariamente los movimientos especulativos o las imperfecciones del mercado del suelo; el llamado precio de mercado no tiene por qué ser reflejo del valor adecuado y razonable de un bien, atendido su estado y la definición específica de valor que se utilice. Es así plenamente conforme con los criterios constitucionales de proporcional, adecuado y razonable equilibrio entre sacrificio del expropiado e indemnización, que un terreno en situación básica de suelo rural (art. 12.1 del texto refundido de la Ley de suelo) se tase tomando en consideración su capacidad rediticia, real o potencial [art. 22.1 a) I y II del texto refundido de la Ley de suelo], en la citada situación básica, sin valorar expectativas no realizadas incompatibles con esa situación o estado [art. 22.2.1 a) III de la Ley de suelo]. Del art. 33.3 CE no se desprende pues que sea obligatorio valorar las expectativas derivadas de la asignación de edificabilidades y usos por la ordenación urbanística cuando no estén plenamente realizados.</w:t>
      </w:r>
    </w:p>
    <w:p w:rsidR="0085709A" w:rsidRDefault="0085709A" w:rsidP="0085709A">
      <w:pPr>
        <w:pStyle w:val="TextoNormal"/>
      </w:pPr>
    </w:p>
    <w:p w:rsidR="0085709A" w:rsidRDefault="0085709A" w:rsidP="0085709A">
      <w:pPr>
        <w:pStyle w:val="TextoNormal"/>
      </w:pPr>
      <w:r>
        <w:t>La Ley de suelo ha optado por el método de capitalización para valorar os terrenos rurales frente al método de comparación de la Ley 6/1998, que ha resultado de difícil aplicación por el escaso número de muestras, que podían no llevar a valores razonables. La capitalización así es un método de actualización perfectamente idóneo para obtener el valor de un bien rústico, habida cuenta de que en toda España se dispone de una información incomparablemente superior de rentas que de ventas. Por tanto dicho método nunca se podrá calificar como método generador de un valor que no se corresponde con la indemnización a la que se refiere el art. 33.3 CE. Y es que está claro que tomar como referencia para las tasaciones imperativas los precios especulativos pagados en un mercado con funcionamiento real muy alejado de la definición teórica de la competencia perfecta no sólo no es conforme al canon constitucional de la indemnización adecuada en relación razonable de proporcionalidad con el sacrificio expropiatorio, sino que, por alimentar la especulación, quebrantaría el mandato constitucional de impedirla (art. 47 CE). No hay, pues, ni discriminación, ni injusticia ni absurdo en que las valoraciones no sigan las tendencias especulativas de quienes operan en un mercado local de suelo.</w:t>
      </w:r>
    </w:p>
    <w:p w:rsidR="0085709A" w:rsidRDefault="0085709A" w:rsidP="0085709A">
      <w:pPr>
        <w:pStyle w:val="TextoNormal"/>
      </w:pPr>
    </w:p>
    <w:p w:rsidR="0085709A" w:rsidRDefault="0085709A" w:rsidP="0085709A">
      <w:pPr>
        <w:pStyle w:val="TextoNormal"/>
      </w:pPr>
      <w:r>
        <w:t xml:space="preserve">Finalmente, señala que no puede considerarse contrario a la Constitución que se prescinda de las expectativas urbanísticas de un suelo que está clasificado como suelo rural o no urbanizable, ya que la inclusión de las que puede generar por su proximidad a suelo urbano </w:t>
      </w:r>
      <w:r>
        <w:lastRenderedPageBreak/>
        <w:t>o porque en el futuro pueda llegar a serlo, es completamente contrario a los principios básicos del derecho urbanístico y llevaría a una indefinición del valor del suelo no urbanizable en virtud del cual sus titulares se beneficiarían de unas plusvalías generadas por la comunidad y de las que no son acreedores.</w:t>
      </w:r>
    </w:p>
    <w:p w:rsidR="0085709A" w:rsidRDefault="0085709A" w:rsidP="0085709A">
      <w:pPr>
        <w:pStyle w:val="TextoNormal"/>
      </w:pPr>
    </w:p>
    <w:p w:rsidR="0085709A" w:rsidRDefault="0085709A" w:rsidP="0085709A">
      <w:pPr>
        <w:pStyle w:val="TextoNormal"/>
      </w:pPr>
      <w:r w:rsidRPr="0085709A">
        <w:rPr>
          <w:rStyle w:val="NumeroAFNegritaCaracter"/>
        </w:rPr>
        <w:t>7</w:t>
      </w:r>
      <w:r>
        <w:t>. El Fiscal General del Estado formuló escrito de alegaciones en fecha 9 de septiembre de 2014. Tras afirmar que se han observado por el órgano judicial los trámites previstos en el art. 35.2 LOTC, y, por tanto las condiciones procesales exigidas para el planteamiento de la cuestión de inconstitucionalidad.</w:t>
      </w:r>
    </w:p>
    <w:p w:rsidR="0085709A" w:rsidRDefault="0085709A" w:rsidP="0085709A">
      <w:pPr>
        <w:pStyle w:val="TextoNormal"/>
      </w:pPr>
    </w:p>
    <w:p w:rsidR="0085709A" w:rsidRDefault="0085709A" w:rsidP="0085709A">
      <w:pPr>
        <w:pStyle w:val="TextoNormal"/>
      </w:pPr>
      <w:r>
        <w:t>Asimismo, efectúa una amplia relación de los antecedentes legislativos para centrarse en el contenido de la regulación cuestionada, afirmando que la legislación sobre valoración del suelo en situación de suelo rural, que ha establecido el método de capitalización de renta real o potencial, en atención a la explotación o aprovechamiento del terreno, recoge un factor de corrección de la localización, para elevar al alza el valor obtenido hasta un máximo del doble de dicho valor, establece un tipo de capitalización variable a través de las leyes de presupuestos generales del Estado y contempla una corrección para evitar que el valor resultante de la tasación del bien expropiado se aleje del valor real de mercado y pretendiendo eliminar cualquier tipo de especulación derivada de las expectativas urbanísticas ligadas a la actividad de la Administración, como consecuencia de la ordenación del territorio o su actividad urbanística. Tal regulación responde a criterios objetivos legítimos y permite concluir, como señala el Alto Tribunal que “no se revelan manifiestamente desprovistos de base razonable”. En consecuencia, considera que el art. 22.1 a) y 2 de la Ley 8/2007, de 28 de mayo, de suelo, y el art. 23, apartados 1 a) y 2 del Real Decreto Legislativo 2/2008, de 20 de junio, por el que se aprueba el texto refundido de la Ley de suelo, no serían contrarios al art. 33 CE en su garantía de indemnización.</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providencia de 12 de marzo de 2015 se señaló para deliberación y votación de la presente Sentencia el día 16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Sección Segunda de la Sala de lo Contencioso-administrativo del Tribunal Superior de Justicia de Castilla-La Mancha plantea cuestión de inconstitucionalidad en relación con los apartados 1 a) y 2 del art. 22 de la Ley 8/2007, de 28 de mayo, de suelo, y los apartados 1 a) y 2 del art. 23 del texto refundido de la Ley de suelo, aprobado por Real Decreto Legislativo 2/2008, de 20 de junio, por posible vulneración del art. 33.3 CE. Tales dudas de inconstitucionalidad se fundamentan por el órgano promotor de la cuestión en los argumentos ya expuestos en los antecedentes de la presente resolución. El Abogado el Estado y el Fiscal General del Estado solicitan la desestimación de la presente cuestión de inconstitucionalidad, por considerar que las previsiones de los preceptos cuestionados son acordes con las exigencias del art. 33.3 CE.</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Con carácter previo al examen de fondo, resulta necesario pronunciarse sobre un aspecto concreto de la presente cuestión de inconstitucionalidad que podría suponer la concurrencia de un óbice procesal. Es preciso recordar que, de acuerdo con la constante doctrina </w:t>
      </w:r>
      <w:r>
        <w:lastRenderedPageBreak/>
        <w:t>de este Tribunal, no existe ningún impedimento para realizar un pronunciamiento de inadmisión de una cuestión de inconstitucionalidad en la fase de resolución de la misma, esto es, mediante sentencia, dado que la tramitación específica del art. 37.1 de la Ley Orgánica del Tribunal Constitucional (LOTC) no tiene carácter preclusivo, por lo que es posible apreciar en Sentencia la ausencia de los requisitos, tanto procesales como de fundamentación, requeridos para el válido planteamiento de la cuestión de inconstitucionalidad (STC 10/2015, de 2 de febrero; 38/2014, de 11 de marzo, FJ 2, y Sentencias en ella citadas).</w:t>
      </w:r>
    </w:p>
    <w:p w:rsidR="0085709A" w:rsidRDefault="0085709A" w:rsidP="0085709A">
      <w:pPr>
        <w:pStyle w:val="TextoNormal"/>
      </w:pPr>
    </w:p>
    <w:p w:rsidR="0085709A" w:rsidRDefault="0085709A" w:rsidP="0085709A">
      <w:pPr>
        <w:pStyle w:val="TextoNormal"/>
      </w:pPr>
      <w:r>
        <w:t>Así pues, y en lo que respecta al juicio de aplicabilidad, debe recordarse que, de acuerdo con lo dispuesto en el art. 35.1 LOTC, la norma legal cuya constitucionalidad se cuestiona debe ser aplicable al caso, y, asimismo, de conformidad con el art. 35.2 LOTC, el órgano judicial debe especificar en qué media la decisión del proceso depende de la validez de la norma en cuestión. El razonamiento del juicio de aplicabilidad incluido en el Auto de planteamiento de la cuestión se dirige a justificar tanto la aplicación de la Ley 8/2007, de 28 de mayo, de suelo, como de su texto refundido, aprobado por Real Decreto Legislativo 2/2008, de 20 de junio.</w:t>
      </w:r>
    </w:p>
    <w:p w:rsidR="0085709A" w:rsidRDefault="0085709A" w:rsidP="0085709A">
      <w:pPr>
        <w:pStyle w:val="TextoNormal"/>
      </w:pPr>
    </w:p>
    <w:p w:rsidR="0085709A" w:rsidRDefault="0085709A" w:rsidP="0085709A">
      <w:pPr>
        <w:pStyle w:val="TextoNormal"/>
      </w:pPr>
      <w:r>
        <w:t>Argumenta la Sala que el Tribunal Supremo ha declarado en Sentencias de 24 de junio, 3 de diciembre, y 26 de diciembre, todas ellas de 2013, que hay que entender que, cuando la disposición transitoria tercera de la Ley de suelo se refiere al inicio del expediente para determinar la aplicación de los nuevos criterios de valoración, está haciendo mención al inicio de la pieza separada de justiprecio y no al inicio del procedimiento expropiatorio. Añade, además, que aunque esta regla sea contraria a lo que en Sentencias anteriores había afirmado el Tribunal Supremo, la jurisprudencia citada se refiere específicamente a la Ley cuya aplicación se plantea en el caso de autos, por lo que la Sala debe seguir el mismo criterio.</w:t>
      </w:r>
    </w:p>
    <w:p w:rsidR="0085709A" w:rsidRDefault="0085709A" w:rsidP="0085709A">
      <w:pPr>
        <w:pStyle w:val="TextoNormal"/>
      </w:pPr>
    </w:p>
    <w:p w:rsidR="0085709A" w:rsidRDefault="0085709A" w:rsidP="0085709A">
      <w:pPr>
        <w:pStyle w:val="TextoNormal"/>
      </w:pPr>
      <w:r>
        <w:t>Así pues, continua el Auto, extrapolando la anterior doctrina al caso, como quiera que “el proyecto relativo a las obras fue aprobado por resolución de la Ministra de Medio Ambiente, de fecha 19 de octubre de 2007, fecha ésta posterior a la entrada en vigor de la Ley 8/2007, es claro que, a efectos de valoraciones, debía aplicarse ya la referida Ley al caso enjuiciado”.</w:t>
      </w:r>
    </w:p>
    <w:p w:rsidR="0085709A" w:rsidRDefault="0085709A" w:rsidP="0085709A">
      <w:pPr>
        <w:pStyle w:val="TextoNormal"/>
      </w:pPr>
    </w:p>
    <w:p w:rsidR="0085709A" w:rsidRDefault="0085709A" w:rsidP="0085709A">
      <w:pPr>
        <w:pStyle w:val="TextoNormal"/>
      </w:pPr>
      <w:r>
        <w:t>Una correcta aplicación de la jurisprudencia que asume el Auto, hubiera determinado que la fecha relevante para determinar la norma aplicable al caso no fuera la citada de la aprobación del procedimiento expropiatorio —19 de octubre de 2007— sino la de inicio de la pieza separada de justiprecio, que tuvo lugar en febrero de 2009.</w:t>
      </w:r>
    </w:p>
    <w:p w:rsidR="0085709A" w:rsidRDefault="0085709A" w:rsidP="0085709A">
      <w:pPr>
        <w:pStyle w:val="TextoNormal"/>
      </w:pPr>
    </w:p>
    <w:p w:rsidR="0085709A" w:rsidRDefault="0085709A" w:rsidP="0085709A">
      <w:pPr>
        <w:pStyle w:val="TextoNormal"/>
      </w:pPr>
      <w:r>
        <w:t xml:space="preserve">El Auto de planteamiento no razona nada, sin embargo, sobre la aplicabilidad del art. 23 del Real Decreto Legislativo 2/2008, de 20 de junio, por el que se aprueba el texto refundido de la Ley de suelo, que da por supuesto; siendo obvio, de un lado, que ambas normas legales, la Ley 8/2007, de suelo, derogada por el posterior texto refundido, y este último, actualmente vigente, ni estaban ni pudieron estar en vigor en un mismo momento, y, de otro, que la hoja de aprecio de la empresa expropiada fue presentada a la Administración expropiante el 9 de febrero de 2009, bajo la vigencia exclusiva, por tanto, del texto refundido de la Ley de suelo. Así pues, dada la conexión que debe existir entre el pronunciamiento de este Tribunal y el proceso en que la cuestión se plantea, procede inadmitir la presente cuestión de </w:t>
      </w:r>
      <w:r>
        <w:lastRenderedPageBreak/>
        <w:t xml:space="preserve">inconstitucionalidad en relación con el art. 22.1 a) y 2 de la Ley 8/2007, precepto que no resulta de aplicación en el procedimiento </w:t>
      </w:r>
      <w:r w:rsidRPr="0085709A">
        <w:rPr>
          <w:i/>
        </w:rPr>
        <w:t>a quo</w:t>
      </w:r>
      <w:r>
        <w:t>.</w:t>
      </w:r>
    </w:p>
    <w:p w:rsidR="0085709A" w:rsidRDefault="0085709A" w:rsidP="0085709A">
      <w:pPr>
        <w:pStyle w:val="TextoNormal"/>
      </w:pPr>
    </w:p>
    <w:p w:rsidR="0085709A" w:rsidRDefault="0085709A" w:rsidP="0085709A">
      <w:pPr>
        <w:pStyle w:val="TextoNormal"/>
      </w:pPr>
      <w:r w:rsidRPr="0085709A">
        <w:rPr>
          <w:rStyle w:val="NumeroAFNegritaCaracter"/>
        </w:rPr>
        <w:t>3</w:t>
      </w:r>
      <w:r>
        <w:t>. En cuanto al fondo de la cuestión de inconstitucionalidad 2965-2014, las dudas que han llevado a la Sala a plantear la presente cuestión de inconstitucionalidad han de ser examinadas a la luz de lo dispuesto en la STC 141/2014, de 11 de septiembre, y de conformidad con lo señalado en la STC 43/2015, de 2 de marzo, dictada en la cuestión de inconstitucionalidad 1591-2014, resoluciones en las que se han venido a resolver cuestiones coincidentes con la aquí planteada.</w:t>
      </w:r>
    </w:p>
    <w:p w:rsidR="0085709A" w:rsidRDefault="0085709A" w:rsidP="0085709A">
      <w:pPr>
        <w:pStyle w:val="TextoNormal"/>
      </w:pPr>
    </w:p>
    <w:p w:rsidR="0085709A" w:rsidRDefault="0085709A" w:rsidP="0085709A">
      <w:pPr>
        <w:pStyle w:val="TextoNormal"/>
      </w:pPr>
      <w:r>
        <w:t>La STC 141/2014, de 11 de septiembre, tras analizar tanto el art. 22.1 a) de la Ley de suelo, como el art. 23.1 a) del texto refundido de la misma Ley, entendió que eran constitucionales, una vez depurado el inciso de “hasta un máximo del doble”, cuya inconstitucionalidad y nulidad declaró. Por ello, una vez eliminado del ordenamiento jurídico el inciso anteriormente señalado, sólo cabe declarar que la cuestión ha perdido objeto en lo que atañe a la duda de constitucionalidad relativa al art. 23.1 a) del texto refundido de la Ley de suelo, que plantea la Sala promotora de la cuestión.</w:t>
      </w:r>
    </w:p>
    <w:p w:rsidR="0085709A" w:rsidRDefault="0085709A" w:rsidP="0085709A">
      <w:pPr>
        <w:pStyle w:val="TextoNormal"/>
      </w:pPr>
    </w:p>
    <w:p w:rsidR="0085709A" w:rsidRDefault="0085709A" w:rsidP="0085709A">
      <w:pPr>
        <w:pStyle w:val="TextoNormal"/>
      </w:pPr>
      <w:r>
        <w:t>Por lo que respecta al art. 23.2 del texto refundido de la Ley de suelo, aunque este apartado no fue impugnado en los recursos de inconstitucionalidad que dieron lugar a la STC 141/2014, de 11 de septiembre, motivo por el cual ésta no se pronunció específicamente sobre el mismo, la solución a la duda de constitucionalidad planteada viene predeterminada por lo afirmado por este Tribunal en el fundamento jurídico 9 B) de dicha Sentencia, en la medida en que dicho apartado 2 sólo es una reiteración de la regla establecida en el apartado 1 a), ya depurado constitucionalmente.</w:t>
      </w:r>
    </w:p>
    <w:p w:rsidR="0085709A" w:rsidRDefault="0085709A" w:rsidP="0085709A">
      <w:pPr>
        <w:pStyle w:val="TextoNormal"/>
      </w:pPr>
    </w:p>
    <w:p w:rsidR="0085709A" w:rsidRDefault="0085709A" w:rsidP="0085709A">
      <w:pPr>
        <w:pStyle w:val="TextoNormal"/>
      </w:pPr>
      <w:r>
        <w:t>Sobre este particular, ya hemos afirmado en la STC 43/2015 que, de conformidad con lo señalado en la STC 141/2014: “la regulación de un criterio de valoración que excluya de la compensación debida el incremento de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En otras palabras, el art. 33.3 CE no garantiza en todo caso el valor de mercado. No lo hace sin duda, cuando en su formación intervienen las expectativas derivadas de la futura aprobación del planeamiento, si siquiera las derivadas de un planeamiento ya aprobado hasta que se hayan cumplido las cargas y deberes legalmente establecidos”.</w:t>
      </w:r>
    </w:p>
    <w:p w:rsidR="0085709A" w:rsidRDefault="0085709A" w:rsidP="0085709A">
      <w:pPr>
        <w:pStyle w:val="TextoNormal"/>
      </w:pPr>
    </w:p>
    <w:p w:rsidR="0085709A" w:rsidRDefault="0085709A" w:rsidP="0085709A">
      <w:pPr>
        <w:pStyle w:val="TextoNormal"/>
      </w:pPr>
      <w:r>
        <w:t>Procede, en consecuencia, desestimar en este punto la cuestión de inconstitucionalidad planteada.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1º Inadmitir la cuestión de inconstitucionalidad formulada en relación con el art. 22.1 a) y 2 de la Ley 8/2007, de 28 de mayo, de suelo.</w:t>
      </w:r>
    </w:p>
    <w:p w:rsidR="0085709A" w:rsidRDefault="0085709A" w:rsidP="0085709A">
      <w:pPr>
        <w:pStyle w:val="TextoNormal"/>
      </w:pPr>
    </w:p>
    <w:p w:rsidR="0085709A" w:rsidRDefault="0085709A" w:rsidP="0085709A">
      <w:pPr>
        <w:pStyle w:val="TextoNormal"/>
      </w:pPr>
      <w:r>
        <w:t>2º Declarar la pérdida sobrevenida de objeto de la cuestión de inconstitucionalidad, respecto del art. 23.1 a) del texto refundido de la Ley de suelo, aprobado por Real Decreto Legislativo 2/2008, de 20 de junio.</w:t>
      </w:r>
    </w:p>
    <w:p w:rsidR="0085709A" w:rsidRDefault="0085709A" w:rsidP="0085709A">
      <w:pPr>
        <w:pStyle w:val="TextoNormal"/>
      </w:pPr>
    </w:p>
    <w:p w:rsidR="0085709A" w:rsidRDefault="0085709A" w:rsidP="0085709A">
      <w:pPr>
        <w:pStyle w:val="TextoNormal"/>
      </w:pPr>
      <w:r>
        <w:t>3º Desestimar en lo demás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dieciséis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0" w:name="SENTENCIA_2015_57"/>
      <w:r>
        <w:lastRenderedPageBreak/>
        <w:t>SENTENCIA 57/2015, de 18 de marzo de 2015</w:t>
      </w:r>
    </w:p>
    <w:bookmarkEnd w:id="60"/>
    <w:p w:rsidR="0085709A" w:rsidRDefault="0085709A" w:rsidP="0085709A">
      <w:pPr>
        <w:pStyle w:val="TtuloResolucin"/>
      </w:pPr>
      <w:r>
        <w:t>Pleno</w:t>
      </w:r>
    </w:p>
    <w:p w:rsidR="0085709A" w:rsidRDefault="0085709A" w:rsidP="0085709A">
      <w:pPr>
        <w:pStyle w:val="TtuloBOE"/>
      </w:pPr>
      <w:r>
        <w:t>(BOE núm. 98, de 24 de abril de 2015)</w:t>
      </w:r>
    </w:p>
    <w:p w:rsidR="0085709A" w:rsidRDefault="0085709A" w:rsidP="0085709A">
      <w:pPr>
        <w:pStyle w:val="TextoNormalCentrado"/>
      </w:pPr>
      <w:r>
        <w:t>ECLI:ES:TC:2015:57</w:t>
      </w:r>
    </w:p>
    <w:p w:rsidR="0085709A" w:rsidRDefault="0085709A" w:rsidP="0085709A">
      <w:pPr>
        <w:pStyle w:val="TextoNormalCentrado"/>
      </w:pPr>
    </w:p>
    <w:p w:rsidR="0085709A" w:rsidRDefault="0085709A" w:rsidP="0085709A">
      <w:pPr>
        <w:pStyle w:val="SntesisDescriptiva"/>
      </w:pPr>
      <w:r>
        <w:t>Recurso de inconstitucionalidad 7826-2004. Interpuesto por más de cincuenta Senadores del Grupo Parlamentario Popular del Senado en relación con la Ley del Parlamento de Cantabria 2/2004, de 27 de septiembre, del plan de ordenación del litoral.</w:t>
      </w:r>
    </w:p>
    <w:p w:rsidR="0085709A" w:rsidRDefault="0085709A" w:rsidP="0085709A">
      <w:pPr>
        <w:pStyle w:val="SntesisDescriptiva"/>
      </w:pPr>
    </w:p>
    <w:p w:rsidR="0085709A" w:rsidRDefault="0085709A" w:rsidP="0085709A">
      <w:pPr>
        <w:pStyle w:val="SntesisAnaltica"/>
      </w:pPr>
      <w:r>
        <w:t>Competencias sobre ordenación del territorio, urbanismo y medio ambiente; autonomía local: nulidad de los preceptos legales que imponen la dirección de los crecimientos urbanísticos, permiten al Gobierno autonómico prescindir enteramente de la clasificación urbanística del suelo en el diseño y ejecución de sus políticas sectoriales con incidencia territorial, y hacen depender el ejercicio de la potestad sancionadora municipal de la adaptación del planeamiento a la Ley; interpretación conforme del precepto legal que atribuye fuerza vinculante a los informes emitidos por un órgano autonómico.</w:t>
      </w:r>
    </w:p>
    <w:p w:rsidR="0085709A" w:rsidRDefault="0085709A" w:rsidP="0085709A">
      <w:pPr>
        <w:pStyle w:val="SntesisAnaltica"/>
      </w:pPr>
    </w:p>
    <w:p w:rsidR="0085709A" w:rsidRDefault="0085709A" w:rsidP="0085709A">
      <w:pPr>
        <w:pStyle w:val="Extracto"/>
      </w:pPr>
      <w:r>
        <w:t>1.</w:t>
      </w:r>
      <w:r>
        <w:tab/>
        <w:t>Se declara la extinción del presente recurso de inconstitucionalidad por desaparición sobrevenida de su objeto, respecto de la disposición transitoria cuarta de la Ley del Parlamento de Cantabria 2/2004, de 27 de septiembre [FJ 26].</w:t>
      </w:r>
    </w:p>
    <w:p w:rsidR="0085709A" w:rsidRDefault="0085709A" w:rsidP="0085709A">
      <w:pPr>
        <w:pStyle w:val="Extracto"/>
      </w:pPr>
    </w:p>
    <w:p w:rsidR="0085709A" w:rsidRDefault="0085709A" w:rsidP="0085709A">
      <w:pPr>
        <w:pStyle w:val="Extracto"/>
      </w:pPr>
      <w:r>
        <w:t>2.</w:t>
      </w:r>
      <w:r>
        <w:tab/>
        <w:t>El artículo 27.1 b) de la norma impugnada no es inconstitucional, interpretado en los términos del fundamento jurídico 15 b); sí se declara la inconstitucionalidad y nulidad del artículo 45.3, del artículo 51.3, en sus incisos “en cuyo caso sus determinaciones prevalecerán sobre las de este Plan” y “y con independencia de la clasificación urbanística”, y del apartado segundo de la disposición transitoria octava, si bien respecto de estos preceptos anulados, a fin de preservar el principio de seguridad jurídica, se mantiene  la validez de todas las actuaciones firmes que se hayan producido en su aplicación [FJ 26].</w:t>
      </w:r>
    </w:p>
    <w:p w:rsidR="0085709A" w:rsidRDefault="0085709A" w:rsidP="0085709A">
      <w:pPr>
        <w:pStyle w:val="Extracto"/>
      </w:pPr>
    </w:p>
    <w:p w:rsidR="0085709A" w:rsidRDefault="0085709A" w:rsidP="0085709A">
      <w:pPr>
        <w:pStyle w:val="Extracto"/>
      </w:pPr>
      <w:r>
        <w:t>3.</w:t>
      </w:r>
      <w:r>
        <w:tab/>
        <w:t>La evaluación de impacto ambiental es un instrumento que sirve para preservar los recursos naturales y defender el medio ambiente a fin de facilitar a las autoridades competentes la información que les permita decidir con pleno conocimiento de sus posibles impactos significativos en el medio ambiente (Preámbulo de las Directivas 85/337/CEE y 97/11/CE y del Real Decreto Legislativo 1.302/1986); así, la legislación ofrece a los poderes públicos un instrumento para cumplir su deber de cohonestar el desarrollo económico con la protección del medio ambiente (STC 64/1982) y que se configura como una técnica o instrumento de tutela ambiental preventiva (STC 13/1998) [FJ 4].</w:t>
      </w:r>
    </w:p>
    <w:p w:rsidR="0085709A" w:rsidRDefault="0085709A" w:rsidP="0085709A">
      <w:pPr>
        <w:pStyle w:val="Extracto"/>
      </w:pPr>
    </w:p>
    <w:p w:rsidR="0085709A" w:rsidRDefault="0085709A" w:rsidP="0085709A">
      <w:pPr>
        <w:pStyle w:val="Extracto"/>
      </w:pPr>
      <w:r>
        <w:t>4.</w:t>
      </w:r>
      <w:r>
        <w:tab/>
        <w:t>El procedimiento de evaluación de impacto ambiental supone un preceptivo trámite de información pública, que ha de comprender las medidas adecuadas para que permitan prevenir, corregir y, en su caso, compensar, los posibles efectos adversos de la actividad sobre el medio ambiente, así como un programa de vigilancia ambiental para garantizar el cumplimiento de las medidas preventivas, correctoras y compensatorias, en todas las fases del proyecto, sin que pueda autorizarse ningún proyecto que no haya obtenido la previa declaración de impacto ambiental favorable (STC 106/2014) [FJ 4].</w:t>
      </w:r>
    </w:p>
    <w:p w:rsidR="0085709A" w:rsidRDefault="0085709A" w:rsidP="0085709A">
      <w:pPr>
        <w:pStyle w:val="Extracto"/>
      </w:pPr>
    </w:p>
    <w:p w:rsidR="0085709A" w:rsidRDefault="0085709A" w:rsidP="0085709A">
      <w:pPr>
        <w:pStyle w:val="Extracto"/>
      </w:pPr>
      <w:r>
        <w:t>5.</w:t>
      </w:r>
      <w:r>
        <w:tab/>
        <w:t>No se advierte siquiera un inadecuado cumplimiento del trámite de audiencia pública y consulta a los municipios costeros afectados por la elaboración y posterior aprobación del plan de ordenación del litoral, por lo que el principio constitucional de autonomía local, ha sido respetado [FJ 6].</w:t>
      </w:r>
    </w:p>
    <w:p w:rsidR="0085709A" w:rsidRDefault="0085709A" w:rsidP="0085709A">
      <w:pPr>
        <w:pStyle w:val="Extracto"/>
      </w:pPr>
    </w:p>
    <w:p w:rsidR="0085709A" w:rsidRDefault="0085709A" w:rsidP="0085709A">
      <w:pPr>
        <w:pStyle w:val="Extracto"/>
      </w:pPr>
      <w:r>
        <w:t>6.</w:t>
      </w:r>
      <w:r>
        <w:tab/>
        <w:t>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(STC 132/2014) [FJ 6].</w:t>
      </w:r>
    </w:p>
    <w:p w:rsidR="0085709A" w:rsidRDefault="0085709A" w:rsidP="0085709A">
      <w:pPr>
        <w:pStyle w:val="Extracto"/>
      </w:pPr>
    </w:p>
    <w:p w:rsidR="0085709A" w:rsidRDefault="0085709A" w:rsidP="0085709A">
      <w:pPr>
        <w:pStyle w:val="Extracto"/>
      </w:pPr>
      <w:r>
        <w:t>7.</w:t>
      </w:r>
      <w:r>
        <w:tab/>
        <w:t>La Constitución no asegura un ámbito competencial determinado y no cabe hablar de “intereses naturales de los entes locales”,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40/1998) [FJ 6].</w:t>
      </w:r>
    </w:p>
    <w:p w:rsidR="0085709A" w:rsidRDefault="0085709A" w:rsidP="0085709A">
      <w:pPr>
        <w:pStyle w:val="Extracto"/>
      </w:pPr>
    </w:p>
    <w:p w:rsidR="0085709A" w:rsidRDefault="0085709A" w:rsidP="0085709A">
      <w:pPr>
        <w:pStyle w:val="Extracto"/>
      </w:pPr>
      <w:r>
        <w:t>8.</w:t>
      </w:r>
      <w:r>
        <w:tab/>
        <w:t>Corresponde al legislador la determinación concreta del contenido de la autonomía local, respetando el núcleo esencial de la garantía institucional de dicha autonomía y sin romper con la imagen comúnmente aceptada de la institución que, en cuanto formación jurídica, viene a ser determinada en buena parte por las normas que en cada momento la regulan y por su aplicación (STC 40/1998) [FJ 6].</w:t>
      </w:r>
    </w:p>
    <w:p w:rsidR="0085709A" w:rsidRDefault="0085709A" w:rsidP="0085709A">
      <w:pPr>
        <w:pStyle w:val="Extracto"/>
      </w:pPr>
    </w:p>
    <w:p w:rsidR="0085709A" w:rsidRDefault="0085709A" w:rsidP="0085709A">
      <w:pPr>
        <w:pStyle w:val="Extracto"/>
      </w:pPr>
      <w:r>
        <w:t>9.</w:t>
      </w:r>
      <w:r>
        <w:tab/>
        <w:t xml:space="preserve">La traslación </w:t>
      </w:r>
      <w:r w:rsidRPr="0085709A">
        <w:rPr>
          <w:i/>
        </w:rPr>
        <w:t xml:space="preserve">mutatis mutandis </w:t>
      </w:r>
      <w:r>
        <w:t>del principio de participación ciudadana en el planeamiento administrativo a la tramitación y aprobación de leyes autonómicas es errónea ya que la necesidad de reiterar el trámite de información pública deriva del principio de la participación ciudadana en la elaboración del planeamiento para dotar a éste de la necesaria legitimación democrática y ésta no puede considerarse ausente cuando, como aquí ocurre, el producto normativo es fruto de la voluntad del Parlamento autonómico [FJ 7].</w:t>
      </w:r>
    </w:p>
    <w:p w:rsidR="0085709A" w:rsidRDefault="0085709A" w:rsidP="0085709A">
      <w:pPr>
        <w:pStyle w:val="Extracto"/>
      </w:pPr>
    </w:p>
    <w:p w:rsidR="0085709A" w:rsidRDefault="0085709A" w:rsidP="0085709A">
      <w:pPr>
        <w:pStyle w:val="Extracto"/>
      </w:pPr>
      <w:r>
        <w:t>10.</w:t>
      </w:r>
      <w:r>
        <w:tab/>
        <w:t>La limitación de la intervención municipal exclusivamente a la fase de aprobación inicial de instrumentos de planeamiento urbanístico es, a priori, compatible con el mínimo exigido a la legislación sectorial por el principio de autonomía local, porque a lo que obliga ésta es a que existan competencias municipales relevantes y reconocibles en la ordenación y en el planeamiento urbanístico, y la norma cuestionada sigue atribuyendo a los Ayuntamientos competencias esenciales en relación con el planeamiento, concretamente en sus dos primeras fases de aprobación inicial y provisional S(C 159/2001) [FJ 10].</w:t>
      </w:r>
    </w:p>
    <w:p w:rsidR="0085709A" w:rsidRDefault="0085709A" w:rsidP="0085709A">
      <w:pPr>
        <w:pStyle w:val="Extracto"/>
      </w:pPr>
    </w:p>
    <w:p w:rsidR="0085709A" w:rsidRDefault="0085709A" w:rsidP="0085709A">
      <w:pPr>
        <w:pStyle w:val="Extracto"/>
      </w:pPr>
      <w:r>
        <w:t>11.</w:t>
      </w:r>
      <w:r>
        <w:tab/>
        <w:t xml:space="preserve">No se trata, por tanto, de valorar en qué medida la participación reconocida a las entidades locales en los procedimientos previstos por el legislador autonómico para el desarrollo de las actuaciones integrales estratégicas satisface un hipotético </w:t>
      </w:r>
      <w:r>
        <w:lastRenderedPageBreak/>
        <w:t>“óptimo constitucional” en cuanto a la intervención municipal en asuntos que conciernan a la comunidad local, sino de examinar hasta qué punto, y a la vista de los intereses supramunicipales concurrentes, el legislador autonómico ha respetado ese mínimo que impone la proclamación constitucional de la autonomía local (STC 47/2005) [FJ 10].</w:t>
      </w:r>
    </w:p>
    <w:p w:rsidR="0085709A" w:rsidRDefault="0085709A" w:rsidP="0085709A">
      <w:pPr>
        <w:pStyle w:val="Extracto"/>
      </w:pPr>
    </w:p>
    <w:p w:rsidR="0085709A" w:rsidRDefault="0085709A" w:rsidP="0085709A">
      <w:pPr>
        <w:pStyle w:val="Extracto"/>
      </w:pPr>
      <w:r>
        <w:t>12.</w:t>
      </w:r>
      <w:r>
        <w:tab/>
        <w:t>No puede motejarse de desproporcionada una previsión que busca preservar la coherencia —en este caso territorial— de los instrumentos de planeamiento urbanístico y de su adaptación a las exigencias dimanantes de otros planes jerárquicamente supraordenados [FJ 12].</w:t>
      </w:r>
    </w:p>
    <w:p w:rsidR="0085709A" w:rsidRDefault="0085709A" w:rsidP="0085709A">
      <w:pPr>
        <w:pStyle w:val="Extracto"/>
      </w:pPr>
    </w:p>
    <w:p w:rsidR="0085709A" w:rsidRDefault="0085709A" w:rsidP="0085709A">
      <w:pPr>
        <w:pStyle w:val="Extracto"/>
      </w:pPr>
      <w:r>
        <w:t>13.</w:t>
      </w:r>
      <w:r>
        <w:tab/>
        <w:t>Lo expuesto permite rechazar la impugnación del art. 9.1 de la Ley impugnada pues de su lectura puede inferirse justificada la acentuada intervención autonómica en la ordenación territorial y urbanística de los municipios costeros en atención a la constante preocupación por la protección de los valores ambientales y ecológicos de los terrenos situados en el área litoral, unos valores que trascienden, con toda evidencia, la estricta esfera de lo municipal y que legitiman la intervención autonómica, supeditada siempre, claro está, al control de legalidad que puedan realizar jueces y tribunales [FJ 13 b)].</w:t>
      </w:r>
    </w:p>
    <w:p w:rsidR="0085709A" w:rsidRDefault="0085709A" w:rsidP="0085709A">
      <w:pPr>
        <w:pStyle w:val="Extracto"/>
      </w:pPr>
    </w:p>
    <w:p w:rsidR="0085709A" w:rsidRDefault="0085709A" w:rsidP="0085709A">
      <w:pPr>
        <w:pStyle w:val="Extracto"/>
      </w:pPr>
      <w:r>
        <w:t>14.</w:t>
      </w:r>
      <w:r>
        <w:tab/>
        <w:t>Existe siempre un interés supramunicipal en las decisiones sobre el “cómo, cuándo y dónde deben surgir o desarrollarse los asentamientos humanos” y es ese interés supramunicipal el que está presente en la consideración de la “capacidad de acogida” como factor determinante del “umbral de crecimiento de cada núcleo” de población, según la expresión empleada por el art. 11 de la Ley del plan de ordenación del litoral, o el “máximo crecimiento urbanístico que un territorio puede soportar”, en los términos del art. 12 e) de la Ley de ordenación territorial y régimen urbanístico del suelo de Cantabria [FJ 14 b)].</w:t>
      </w:r>
    </w:p>
    <w:p w:rsidR="0085709A" w:rsidRDefault="0085709A" w:rsidP="0085709A">
      <w:pPr>
        <w:pStyle w:val="Extracto"/>
      </w:pPr>
    </w:p>
    <w:p w:rsidR="0085709A" w:rsidRDefault="0085709A" w:rsidP="0085709A">
      <w:pPr>
        <w:pStyle w:val="Extracto"/>
      </w:pPr>
      <w:r>
        <w:t>15.</w:t>
      </w:r>
      <w:r>
        <w:tab/>
        <w:t>La actividad consistente en la delimitación de los diversos usos a que puede destinarse el suelo o espacio físico territorial y su núcleo fundamental está constituido por un conjunto de actuaciones públicas de contenido planificador cuyo objeto consiste no sólo en la fijación misma de los usos del suelo sino también el equilibrio entre las distintas partes del territorio del mismo (SSTC 77/1984, 149/1998) [FJ 14 b)].</w:t>
      </w:r>
    </w:p>
    <w:p w:rsidR="0085709A" w:rsidRDefault="0085709A" w:rsidP="0085709A">
      <w:pPr>
        <w:pStyle w:val="Extracto"/>
      </w:pPr>
    </w:p>
    <w:p w:rsidR="0085709A" w:rsidRDefault="0085709A" w:rsidP="0085709A">
      <w:pPr>
        <w:pStyle w:val="Extracto"/>
      </w:pPr>
      <w:r>
        <w:t>16.</w:t>
      </w:r>
      <w:r>
        <w:tab/>
        <w:t>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(STC 141/2014) [FJ 14 b)].</w:t>
      </w:r>
    </w:p>
    <w:p w:rsidR="0085709A" w:rsidRDefault="0085709A" w:rsidP="0085709A">
      <w:pPr>
        <w:pStyle w:val="Extracto"/>
      </w:pPr>
    </w:p>
    <w:p w:rsidR="0085709A" w:rsidRDefault="0085709A" w:rsidP="0085709A">
      <w:pPr>
        <w:pStyle w:val="Extracto"/>
      </w:pPr>
      <w:r>
        <w:t>17.</w:t>
      </w:r>
      <w:r>
        <w:tab/>
        <w:t>La competencia en materia de urbanismo abarca, fundamentalmente, las políticas de ordenación de la ciudad; es decir, la determinación del cómo, cuándo y dónde deben surgir o desarrollarse los asentamientos humanos (STC 61/1997) [FJ 14 b)].</w:t>
      </w:r>
    </w:p>
    <w:p w:rsidR="0085709A" w:rsidRDefault="0085709A" w:rsidP="0085709A">
      <w:pPr>
        <w:pStyle w:val="Extracto"/>
      </w:pPr>
    </w:p>
    <w:p w:rsidR="0085709A" w:rsidRDefault="0085709A" w:rsidP="0085709A">
      <w:pPr>
        <w:pStyle w:val="Extracto"/>
      </w:pPr>
      <w:r>
        <w:t>18.</w:t>
      </w:r>
      <w:r>
        <w:tab/>
        <w:t xml:space="preserve">Puede apreciarse la concurrencia de un interés supramunicipal que justifica la opción legal por la conservación y creación de masas forestales y la selección, entre </w:t>
      </w:r>
      <w:r>
        <w:lastRenderedPageBreak/>
        <w:t>otras herramientas posibles al efecto, de los corredores verdes intermedios como uno de los mecanismos idóneos para la consecución de ese fin, de tal modo que la limitación de la libertad de elección del planificador urbanístico municipal puede considerarse proporcionada al fin legítimo que se persigue, por lo que no se aprecia infracción del principio de autonomía local [FJ 15 c)].</w:t>
      </w:r>
    </w:p>
    <w:p w:rsidR="0085709A" w:rsidRDefault="0085709A" w:rsidP="0085709A">
      <w:pPr>
        <w:pStyle w:val="Extracto"/>
      </w:pPr>
    </w:p>
    <w:p w:rsidR="0085709A" w:rsidRDefault="0085709A" w:rsidP="0085709A">
      <w:pPr>
        <w:pStyle w:val="Extracto"/>
      </w:pPr>
      <w:r>
        <w:t>19.</w:t>
      </w:r>
      <w:r>
        <w:tab/>
        <w:t>El informe de la Comisión Regional de Ordenación del Territorio y Urbanismo únicamente tendrá auténtico carácter vinculante cuando se ciña a la consideración de aquellos aspectos que trasciendan la esfera de lo municipal y determinen la denegación de la autorización o licencia por afectar a intereses supramunicipales [FJ 16 b)].</w:t>
      </w:r>
    </w:p>
    <w:p w:rsidR="0085709A" w:rsidRDefault="0085709A" w:rsidP="0085709A">
      <w:pPr>
        <w:pStyle w:val="Extracto"/>
      </w:pPr>
    </w:p>
    <w:p w:rsidR="0085709A" w:rsidRDefault="0085709A" w:rsidP="0085709A">
      <w:pPr>
        <w:pStyle w:val="Extracto"/>
      </w:pPr>
      <w:r>
        <w:t>20.</w:t>
      </w:r>
      <w:r>
        <w:tab/>
        <w:t>El informe vinculante es un expediente de acomodación o integración entre dos competencias concurrentes —estatal y autonómica— que, partiendo de títulos diversos y con distinto objeto jurídico, convergen sobre un mismo espacio físico, y que están llamadas, en consecuencia, a cohonestarse, si bien la conformidad de la Administración estatal sólo habrá de considerarse exigible cuando dicha declaración afecta a espacios o enclaves físicos sobre los que se proyecte una competencia estatal concurrente, a fin de garantizar la integridad de la competencia del Estado (STC 40/1998) [FJ 16 b)].</w:t>
      </w:r>
    </w:p>
    <w:p w:rsidR="0085709A" w:rsidRDefault="0085709A" w:rsidP="0085709A">
      <w:pPr>
        <w:pStyle w:val="Extracto"/>
      </w:pPr>
    </w:p>
    <w:p w:rsidR="0085709A" w:rsidRDefault="0085709A" w:rsidP="0085709A">
      <w:pPr>
        <w:pStyle w:val="Extracto"/>
      </w:pPr>
      <w:r>
        <w:t>21.</w:t>
      </w:r>
      <w:r>
        <w:tab/>
        <w:t>Debe sostenerse la legitimidad de la técnica del informe vinculante, si bien poniendo de relieve que la exigencia de un informe de esta naturaleza convierte, de hecho, la aprobación final del plan o proyecto en un acto complejo en el que han de concurrir dos voluntades distintas y esa concurrencia necesaria sólo es constitucionalmente admisible cuando ambas voluntades resuelven sobre asuntos de su propia competencia (STC 149/1991) [FJ 16 b)].</w:t>
      </w:r>
    </w:p>
    <w:p w:rsidR="0085709A" w:rsidRDefault="0085709A" w:rsidP="0085709A">
      <w:pPr>
        <w:pStyle w:val="Extracto"/>
      </w:pPr>
    </w:p>
    <w:p w:rsidR="0085709A" w:rsidRDefault="0085709A" w:rsidP="0085709A">
      <w:pPr>
        <w:pStyle w:val="Extracto"/>
      </w:pPr>
      <w:r>
        <w:t>22.</w:t>
      </w:r>
      <w:r>
        <w:tab/>
        <w:t>La opción legislativa consistente en la obligación de conservar el carácter agrícola de los accesos a las playas rurales, responde al deseo de conservar los valores ambientales propios de este tipo de caminos rurales, evitando la transformación de este tipo de vías de comunicación en otras con mayor impacto ambiental [FJ 16 d)].</w:t>
      </w:r>
    </w:p>
    <w:p w:rsidR="0085709A" w:rsidRDefault="0085709A" w:rsidP="0085709A">
      <w:pPr>
        <w:pStyle w:val="Extracto"/>
      </w:pPr>
    </w:p>
    <w:p w:rsidR="0085709A" w:rsidRDefault="0085709A" w:rsidP="0085709A">
      <w:pPr>
        <w:pStyle w:val="Extracto"/>
      </w:pPr>
      <w:r>
        <w:t>23.</w:t>
      </w:r>
      <w:r>
        <w:tab/>
        <w:t>La norma controvertida defiende un modelo territorial cuya fijación trasciende los intereses municipales, decantándose por un modelo de desarrollo urbanístico que prima el gradualismo en el proceso de transformación del suelo, evitando así la creación de núcleos desperdigados de población que precisen posteriormente de la creación de infraestructuras de comunicación e integración, y todo ello sin impedir absolutamente que el planificador urbanístico municipal se decante por otras alternativas [FJ 17 a)].</w:t>
      </w:r>
    </w:p>
    <w:p w:rsidR="0085709A" w:rsidRDefault="0085709A" w:rsidP="0085709A">
      <w:pPr>
        <w:pStyle w:val="Extracto"/>
      </w:pPr>
    </w:p>
    <w:p w:rsidR="0085709A" w:rsidRDefault="0085709A" w:rsidP="0085709A">
      <w:pPr>
        <w:pStyle w:val="Extracto"/>
      </w:pPr>
      <w:r>
        <w:t>24.</w:t>
      </w:r>
      <w:r>
        <w:tab/>
        <w:t xml:space="preserve">No cabe vislumbrar presencia alguna de intereses supramunicipales que justifiquen una determinación urbanística que se impone al ayuntamiento por encima de cualquier consideración sobre las características físicas del terreno objeto de su actuación, a tiempo que se ciegan por completo las libertades de crecimiento urbanístico en unos términos tales que niegan la autonomía municipal y conllevan, </w:t>
      </w:r>
      <w:r>
        <w:lastRenderedPageBreak/>
        <w:t>por tanto, la necesaria declaración de inconstitucionalidad y nulidad del precepto legal [FJ 17 a)].</w:t>
      </w:r>
    </w:p>
    <w:p w:rsidR="0085709A" w:rsidRDefault="0085709A" w:rsidP="0085709A">
      <w:pPr>
        <w:pStyle w:val="Extracto"/>
      </w:pPr>
    </w:p>
    <w:p w:rsidR="0085709A" w:rsidRDefault="0085709A" w:rsidP="0085709A">
      <w:pPr>
        <w:pStyle w:val="Extracto"/>
      </w:pPr>
      <w:r>
        <w:t>25.</w:t>
      </w:r>
      <w:r>
        <w:tab/>
        <w:t>La competencia en materia de vivienda asumida por las Comunidades Autónomas en sus respectivos estatutos de Autonomía faculta a estas para desarrollar, ciertamente, una política propia en la materia (STC 141/2014) [FJ 17 b)].</w:t>
      </w:r>
    </w:p>
    <w:p w:rsidR="0085709A" w:rsidRDefault="0085709A" w:rsidP="0085709A">
      <w:pPr>
        <w:pStyle w:val="Extracto"/>
      </w:pPr>
    </w:p>
    <w:p w:rsidR="0085709A" w:rsidRDefault="0085709A" w:rsidP="0085709A">
      <w:pPr>
        <w:pStyle w:val="Extracto"/>
      </w:pPr>
      <w:r>
        <w:t>26.</w:t>
      </w:r>
      <w:r>
        <w:tab/>
        <w:t>No es el legislador, ni aun siquiera la Comunidad Autónoma, quien impone una determinada clasificación o destino del suelo, sino que se limita a incidir sobre esas decisiones municipales estableciendo una reserva de suelo para vivienda de promoción pública en aras de la satisfacción de las necesidades de los grupos más desfavorecidos de población y en atención a las necesidades e intereses supramunicipales, como son los aquí afectados; y una reserva de suelo de esas características no puede reputarse inconstitucional [FJ 17 b)].</w:t>
      </w:r>
    </w:p>
    <w:p w:rsidR="0085709A" w:rsidRDefault="0085709A" w:rsidP="0085709A">
      <w:pPr>
        <w:pStyle w:val="Extracto"/>
      </w:pPr>
    </w:p>
    <w:p w:rsidR="0085709A" w:rsidRDefault="0085709A" w:rsidP="0085709A">
      <w:pPr>
        <w:pStyle w:val="Extracto"/>
      </w:pPr>
      <w:r>
        <w:t>27.</w:t>
      </w:r>
      <w:r>
        <w:tab/>
        <w:t>Se desestima el motivo de impugnación derivado del art. 50 de la Ley impugnada, que atribuye el protagonismo principal en la definición operativa de la capacidad de carga de un territorio a los planificadores urbanísticos municipales, a quienes corresponde la zonificación del territorio en función de la capacidad de carga y la acreditación de riesgos de deterioro ambiental, social y cultural (art. 50, en relación con el art. 10, ambos de la Ley del plan de ordenación del litoral), de tal forma que la concurrencia de esos riesgos reviste un indudable interés supramunicipal pues condicionaría el desarrollo urbanístico del territorio circundante [FJ 17 c)].</w:t>
      </w:r>
    </w:p>
    <w:p w:rsidR="0085709A" w:rsidRDefault="0085709A" w:rsidP="0085709A">
      <w:pPr>
        <w:pStyle w:val="Extracto"/>
      </w:pPr>
    </w:p>
    <w:p w:rsidR="0085709A" w:rsidRDefault="0085709A" w:rsidP="0085709A">
      <w:pPr>
        <w:pStyle w:val="Extracto"/>
      </w:pPr>
      <w:r>
        <w:t>28.</w:t>
      </w:r>
      <w:r>
        <w:tab/>
        <w:t>La habilitación al Ejecutivo autonómico no solo a prescindir de la clasificación urbanística del suelo en el diseño y ejecución de sus políticas sectoriales con incidencia territorial sino incluso a prescindir de las determinaciones aparentemente vinculantes de la propia Ley habilitante, supone un debilitamiento del principio de autonomía municipal carente de razón suficiente, lo que representa una quiebra injustificada del principio de autonomía, que es uno de los principios estructurales básicos de nuestra Constitución y, además, trastoca el sistema de fuentes y el principio de primacía de la Ley  (art. 1.1 CE) (SSTC 4/1981 34/1995) [FJ 18 a)].</w:t>
      </w:r>
    </w:p>
    <w:p w:rsidR="0085709A" w:rsidRDefault="0085709A" w:rsidP="0085709A">
      <w:pPr>
        <w:pStyle w:val="Extracto"/>
      </w:pPr>
    </w:p>
    <w:p w:rsidR="0085709A" w:rsidRDefault="0085709A" w:rsidP="0085709A">
      <w:pPr>
        <w:pStyle w:val="Extracto"/>
      </w:pPr>
      <w:r>
        <w:t>29.</w:t>
      </w:r>
      <w:r>
        <w:tab/>
        <w:t>Los proyectos de interés regional reconocidos en la norma controvertida, tienen como finalidad la restauración o recuperación de espacios de singular valor ambiental, siendo condición misma para su efectividad que puedan imponerse a clasificaciones urbanísticas que prevean la transformación del suelo en algún modo incompatible con esos valores ambientales que los planes singulares de interés regional se proponen restaurar o recuperar, de donde se concluye la existencia de un claro interés municipal que legitima la intervención autonómica [FJ 18 a)].</w:t>
      </w:r>
    </w:p>
    <w:p w:rsidR="0085709A" w:rsidRDefault="0085709A" w:rsidP="0085709A">
      <w:pPr>
        <w:pStyle w:val="Extracto"/>
      </w:pPr>
    </w:p>
    <w:p w:rsidR="0085709A" w:rsidRDefault="0085709A" w:rsidP="0085709A">
      <w:pPr>
        <w:pStyle w:val="Extracto"/>
      </w:pPr>
      <w:r>
        <w:t>30.</w:t>
      </w:r>
      <w:r>
        <w:tab/>
        <w:t>La delimitación de las actuaciones integrales estratégicas productivas conlleva, en coherencia con la virtualidad del principio de jerarquía normativa, que la clasificación urbanística, contenida por definición en instrumentos de planeamiento urbanístico municipal, haya de ceder ante la decisión adoptada por el Parlamento de Cantabria, en tanto que ha sido el propio legislador quien —actuando como ins</w:t>
      </w:r>
      <w:r>
        <w:lastRenderedPageBreak/>
        <w:t>tancia legítimamente competente para la identificación del interés supramunicipal— ha concretado el territorio y las actuaciones a los que se aplicará esta regulación excepcional [FJ 18 d)].</w:t>
      </w:r>
    </w:p>
    <w:p w:rsidR="0085709A" w:rsidRDefault="0085709A" w:rsidP="0085709A">
      <w:pPr>
        <w:pStyle w:val="Extracto"/>
      </w:pPr>
    </w:p>
    <w:p w:rsidR="0085709A" w:rsidRDefault="0085709A" w:rsidP="0085709A">
      <w:pPr>
        <w:pStyle w:val="Extracto"/>
      </w:pPr>
      <w:r>
        <w:t>31.</w:t>
      </w:r>
      <w:r>
        <w:tab/>
        <w:t>El legislador autonómico no ha prescindido de la participación municipal en un asunto de su competencia, como es la elaboración de instrumentos de planeamiento cuya incidencia sobre el planeamiento urbanístico municipal es obvia, y, consecuentemente, no puede apreciarse infracción de la autonomía local constitucionalmente reconocida [FJ 18 f)].</w:t>
      </w:r>
    </w:p>
    <w:p w:rsidR="0085709A" w:rsidRDefault="0085709A" w:rsidP="0085709A">
      <w:pPr>
        <w:pStyle w:val="Extracto"/>
      </w:pPr>
    </w:p>
    <w:p w:rsidR="0085709A" w:rsidRDefault="0085709A" w:rsidP="0085709A">
      <w:pPr>
        <w:pStyle w:val="Extracto"/>
      </w:pPr>
      <w:r>
        <w:t>32.</w:t>
      </w:r>
      <w:r>
        <w:tab/>
        <w:t>No se produce la quiebra de la relación de instrumentalidad que la potestad sancionadora ha de guardar con la potestad sustantiva a la que acompaña desde el instante que se atribuye el ejercicio de la potestad sancionadora a quien ostenta la potestad de autorización de los usos del suelo [FJ 20].</w:t>
      </w:r>
    </w:p>
    <w:p w:rsidR="0085709A" w:rsidRDefault="0085709A" w:rsidP="0085709A">
      <w:pPr>
        <w:pStyle w:val="Extracto"/>
      </w:pPr>
    </w:p>
    <w:p w:rsidR="0085709A" w:rsidRDefault="0085709A" w:rsidP="0085709A">
      <w:pPr>
        <w:pStyle w:val="Extracto"/>
      </w:pPr>
      <w:r>
        <w:t>33.</w:t>
      </w:r>
      <w:r>
        <w:tab/>
        <w:t>La “implantación de viviendas sometidas a algún régimen de protección pública” responde a un legítimo interés supramunicipal, encuadrado en la competencia autonómica en materia de vivienda, interés que también concurre en la posibilidad de ubicar esas viviendas en suelo urbano pues esta categoría de suelo no puede constituir un límite al ejercicio de las competencias autonómicas, en especial cuando por la propia naturaleza y contenido de estas deban incidir sobre el mismo [FJ 21].</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7826-2004, interpuesto por más de cincuenta Senadores del Grupo Parlamentario Popular del Senado en relación con la Ley del Parlamento de Cantabria 2/2004, de 27 de septiembre, del plan de ordenación del litoral. Han comparecido y formulado alegaciones el Gobierno y el Parlamento de Cantabria.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28 de diciembre de 2004, doña María Rosa Vindel López, en representación de más de cincuenta Senadores del Grupo Parlamentario Popular del Senado, interpuso recurso de inconstitucionalidad respecto de la totalidad de la Ley del Parlamento de Cantabria 2/2004, de 27 de septiembre, del plan de ordenación del litoral y, subsidiariamente, frente a los arts. 1 a 26, 27.1, 28 a 74, disposiciones adicionales primera a tercera, disposiciones transitorias primera a séptima, apartado segundo de la disposición transitoria octava, disposiciones transitorias décima a duodécima, apartado segundo de la disposición derogatoria única, disposiciones finales primera a tercera y anexos I y III. Previa invocación de los arts. 9.3 (principios de legalidad, jerarquía normativa e interdicción de la arbitrariedad de los poderes públicos), 103.1 (sometimiento pleno de la Administración a la ley), 137 y 140 (autonomía municipal), 149.1.1 (competencia exclusiva del Estado para el establecimiento de las condiciones básicas de igualdad en el ejercicio de los derechos y el cumplimiento de los deberes constitucionales), 149.1.18 (competencia estatal sobre bases de régimen jurídico de las Administraciones locales) y 149.1.23 (competencia estatal sobre legislación básica ambiental) de la Constitución y tras una referencia los antecedentes de la Ley autonómica impugnada y del plan de ordenación del litoral que con la misma se aprueba, la demanda pasa a exponer los motivos del presente recurso de inconstitucionalidad.</w:t>
      </w:r>
    </w:p>
    <w:p w:rsidR="0085709A" w:rsidRDefault="0085709A" w:rsidP="0085709A">
      <w:pPr>
        <w:pStyle w:val="TextoNormal"/>
      </w:pPr>
    </w:p>
    <w:p w:rsidR="0085709A" w:rsidRDefault="0085709A" w:rsidP="0085709A">
      <w:pPr>
        <w:pStyle w:val="TextoNormal"/>
      </w:pPr>
      <w:r>
        <w:t>a) El primero de dichos motivos se dirige contra la totalidad del texto legislativo, al que se achaca vulneración de la legislación básica ambiental en materia de protección ambiental y, a su través, del art. 149.1.23 CE. Al respecto, apuntan los Senadores recurrentes que la legislación básica exige el sometimiento del plan del literal a la correspondiente evaluación de impacto ambiental porque supone una transformación del uso del suelo que afecta a una superficie de más de cien hectáreas. En defensa de su tesis, los actores invocan lo dispuesto en el art. 1.1 y grupo 9 del anexo I del Real Decreto Legislativo 1302/1986, de 28 de junio, de evaluación de impacto ambiental y la disposición adicional segunda de la Ley 4/1989, de 27 de marzo, de espacios naturales protegidos y de la flora y fauna silvestre.</w:t>
      </w:r>
    </w:p>
    <w:p w:rsidR="0085709A" w:rsidRDefault="0085709A" w:rsidP="0085709A">
      <w:pPr>
        <w:pStyle w:val="TextoNormal"/>
      </w:pPr>
    </w:p>
    <w:p w:rsidR="0085709A" w:rsidRDefault="0085709A" w:rsidP="0085709A">
      <w:pPr>
        <w:pStyle w:val="TextoNormal"/>
      </w:pPr>
      <w:r>
        <w:t>Los Senadores recurrentes mencionan hasta cinco actuaciones integrales estratégicas productivas previstas en la Ley autonómica impugnada que supondrían, cada una de ellas, una transformación del uso del suelo superior a las 100 hectáreas, extensión a partir de la cual la legislación básica estatal establece la necesaria evaluación de impacto ambiental. Sostienen, además, con fundamento en la jurisprudencia que al respecto ha ido elaborando la Sala de lo Contencioso-Administrativo del Tribunal Supremo, que es el propio plan de ordenación del litoral el que “hace posible el cambio del uso del suelo” y es, por tanto, con ocasión de su aprobación cuando debiera haberse efectuado la pertinente evaluación de impacto pues “es el plan de ordenación del litoral el instrumento que cambia el uso del suelo” y el que modifica drásticamente su régimen jurídico. Rechazan, por el contrario, que pueda posponerse ese estudio a un momento posterior, la aprobación de los proyectos singulares de interés regional, que califican como “actuaciones de ejecución” del plan de ordenación del litoral. Añaden los Senadores recurrentes que “toda intervención en el medio natural o el paisaje que dé lugar a una de las actuaciones previstas en los anexos de la Directiva 85/337/CEE de 27 de junio, como ocurre con el Plan de Ordenación del Litoral de Cantabria, que supone una transformación de uso del suelo de más de 100 hectáreas, debe ser sometida a Evaluación de Impacto Ambiental”.</w:t>
      </w:r>
    </w:p>
    <w:p w:rsidR="0085709A" w:rsidRDefault="0085709A" w:rsidP="0085709A">
      <w:pPr>
        <w:pStyle w:val="TextoNormal"/>
      </w:pPr>
    </w:p>
    <w:p w:rsidR="0085709A" w:rsidRDefault="0085709A" w:rsidP="0085709A">
      <w:pPr>
        <w:pStyle w:val="TextoNormal"/>
      </w:pPr>
      <w:r>
        <w:t>Para los Senadores recurrentes, la necesidad de someter el plan de ordenación del litoral a evaluación de impacto ambiental se ve reforzada tras la aprobación de la Directiva 2001/42/CE del Parlamento Europeo y del Consejo, de 27 de junio de 2001, relativa a la evaluación de los efectos de determinados planes y programas en el medio ambiente. Defienden que se cumplen todos los requisitos establecidos al efecto en el art. 3.2 de la Directiva pues el plan en cuestión versa sobre la ordenación del territorio y la utilización del suelo y establece el marco para la autorización futura de proyectos enumerados en los anexos I y II de la Directiva 85/337/CEE, relativa a la evaluación de las repercusiones de determinados proyectos públicos y privados sobre el medio ambiente. Añaden que la Directiva 2001/42/CE fue incorporada al Derecho de la propia Comunidad Autónoma de Cantabria mediante la aprobación de la Ley 5/2002, de 24 de julio, de medidas cautelares urbanísticas en el ámbito del litoral, de sometimiento de los instrumentos de planificación territorial y urbanística a evaluación ambiental y de régimen urbanístico de los cementerios. Para los actores, lo dispuesto en esta Ley resulta aplicable al plan de ordenación del litoral, que debiera haberse sometido a evaluación de impacto ambiental. En apoyo de esta tesis citan, asimismo, el Decreto del Gobierno de Cantabria 50/1991, de 29 de abril, que estableció la obligación de realizar estimación de impacto ambiental, entre otros, de los planes de ordenación del territorio y la Ley 2/2001, de 25 de junio, de ordenación territorial y régimen urbanístico del suelo de Cantabria, en cuya disposición adicional cuarta se equipara el plan de ordenación litoral con un plan regional de ordenación territorial, sujeto a evaluación ambiental.</w:t>
      </w:r>
    </w:p>
    <w:p w:rsidR="0085709A" w:rsidRDefault="0085709A" w:rsidP="0085709A">
      <w:pPr>
        <w:pStyle w:val="TextoNormal"/>
      </w:pPr>
    </w:p>
    <w:p w:rsidR="0085709A" w:rsidRDefault="0085709A" w:rsidP="0085709A">
      <w:pPr>
        <w:pStyle w:val="TextoNormal"/>
      </w:pPr>
      <w:r>
        <w:t>Para los actores, “al no haberse llevado a cabo la obligada evaluación de impacto ambiental no se ha cumplido una garantía esencial que para la protección del medio ambiente impone la legislación básica estatal, y no se han podido evaluar las consecuencias medioambientales derivadas de las importantísimas transformaciones relativas al uso del suelo”. Aseveración que luego desarrollan con referencias específicas al régimen jurídico de la evaluación ambiental establecido en el Real Decreto Legislativo 1302/1986. En el caso de las áreas estratégicas productivas, la desatención de la legislación básica ambiental se vería agravada por “el elevado grado de arbitrariedad y la falta de estudios medioambientales en lo que se refiere a la elección” de dichas áreas. Este reproche se fundamenta, según explican los propios Senadores recurrentes, en que en las memorias de información y de ordenación que acompañan al plan de ordenación del litoral no figuran las razones para la ubicación de estos concretos espacios, inmensas reservas de suelo industrial, ni se tienen en cuenta las consecuencias ambientales de las transformaciones anunciadas. Llaman la atención sobre el hecho de que los objetivos generales de cuatro de las cinco actuaciones integrales estratégicas productivas coincidan íntegramente en su literalidad.</w:t>
      </w:r>
    </w:p>
    <w:p w:rsidR="0085709A" w:rsidRDefault="0085709A" w:rsidP="0085709A">
      <w:pPr>
        <w:pStyle w:val="TextoNormal"/>
      </w:pPr>
    </w:p>
    <w:p w:rsidR="0085709A" w:rsidRDefault="0085709A" w:rsidP="0085709A">
      <w:pPr>
        <w:pStyle w:val="TextoNormal"/>
      </w:pPr>
      <w:r>
        <w:t>Sostienen los Senadores recurrentes que la dimensión de los suelos afectados por estas actuaciones integrales estratégicas productivas es tal —suman más de cinco millones de metros cuadrados— que su implantación hubiera requerido un estudio mucho más serio que el existente. Para acreditar este extremo, reproducen diversos pasajes de las memorias de información y de ordenación del plan, que fueron objeto de aprobación provisional, de las que se aporta copia, y examinan en especial el área Piélagos-Villaescusa, en cuya declaración detectan algunas inconsistencias.</w:t>
      </w:r>
    </w:p>
    <w:p w:rsidR="0085709A" w:rsidRDefault="0085709A" w:rsidP="0085709A">
      <w:pPr>
        <w:pStyle w:val="TextoNormal"/>
      </w:pPr>
    </w:p>
    <w:p w:rsidR="0085709A" w:rsidRDefault="0085709A" w:rsidP="0085709A">
      <w:pPr>
        <w:pStyle w:val="TextoNormal"/>
      </w:pPr>
      <w:r>
        <w:lastRenderedPageBreak/>
        <w:t>b) También se reprocha a la totalidad de la Ley del Parlamento de Cantabria 2/2004 la infracción de los arts. 137 y 140 y 149.1.1 y 18 CE. Este reproche se desarrolla en cuatro epígrafes.</w:t>
      </w:r>
    </w:p>
    <w:p w:rsidR="0085709A" w:rsidRDefault="0085709A" w:rsidP="0085709A">
      <w:pPr>
        <w:pStyle w:val="TextoNormal"/>
      </w:pPr>
    </w:p>
    <w:p w:rsidR="0085709A" w:rsidRDefault="0085709A" w:rsidP="0085709A">
      <w:pPr>
        <w:pStyle w:val="TextoNormal"/>
      </w:pPr>
      <w:r>
        <w:t>En el primero de esos epígrafes los recurrentes hacen una serie de consideraciones en torno a la autonomía local, poniendo de relieve el “lugar especialmente importante” que ocupa la Ley 7/1985, de 2 de abril, reguladora de las bases del régimen local (LBRL) pues se trata de una norma “dictada al amparo del artículo 149.1.18 de la CE por el Estado, pero que por sus contenidos definidores de la garantía institucional de la Autonomía Local ocupa un lugar especial en el ordenamiento jurídico definiendo el alcance de esa garantía institucional de la Autonomía Local”. Dedican particular atención a los pronunciamientos de este Tribunal acerca de la función que desempeña la mencionada Ley de bases de régimen local en nuestro ordenamiento jurídico y recuerdan, asimismo, la doctrina constitucional acerca del concepto y contenido de la autonomía local y su similitud con los términos de la Carta europea de la autonomía local.</w:t>
      </w:r>
    </w:p>
    <w:p w:rsidR="0085709A" w:rsidRDefault="0085709A" w:rsidP="0085709A">
      <w:pPr>
        <w:pStyle w:val="TextoNormal"/>
      </w:pPr>
    </w:p>
    <w:p w:rsidR="0085709A" w:rsidRDefault="0085709A" w:rsidP="0085709A">
      <w:pPr>
        <w:pStyle w:val="TextoNormal"/>
      </w:pPr>
      <w:r>
        <w:t>Tras ello, recuerdan que, conforme al art. 25.2 LBRL, el municipio ejercerá en todo caso competencias en materia de ordenación urbanística [letra d)] y protección ambiental [letra f)]. De acuerdo con lo establecido en el art. 2.2 y 25.3 LBRL, la autonomía garantizada a los municipios no se traduce propiamente en un “</w:t>
      </w:r>
      <w:r w:rsidRPr="0085709A">
        <w:rPr>
          <w:i/>
        </w:rPr>
        <w:t>quantum</w:t>
      </w:r>
      <w:r>
        <w:t xml:space="preserve"> competencial” garantizado por la propia Ley de bases sino que el contenido competencial efectivo de cada municipio depende de las leyes sectoriales estatales y autonómicas. De modo que el art. 25 LBRL es un marco de garantía, una lista de materias respecto de las cuales los municipios habrán de ostentar algún tipo de competencia. Este precepto obliga al legislador sectorialmente competente por razón de la materia a asegurar a los municipios su intervención en los asuntos que les conciernan (SSTC 214/1989 y 159/2001; específicamente en relación con el urbanismo se cita el fundamento jurídico 39 de la STC 40/1998).</w:t>
      </w:r>
    </w:p>
    <w:p w:rsidR="0085709A" w:rsidRDefault="0085709A" w:rsidP="0085709A">
      <w:pPr>
        <w:pStyle w:val="TextoNormal"/>
      </w:pPr>
    </w:p>
    <w:p w:rsidR="0085709A" w:rsidRDefault="0085709A" w:rsidP="0085709A">
      <w:pPr>
        <w:pStyle w:val="TextoNormal"/>
      </w:pPr>
      <w:r>
        <w:t>Con cita de la STC 170/1989, los Senadores recurrentes defienden que esa participación municipal en los asuntos de su interés ha de ser “adecuada y proporcional con los intereses en conflicto” y no meramente simbólica. En el caso del planeamiento territorial, sostienen que corresponde a la Comunidad Autónoma la formulación y aprobación definitiva de los instrumentos de carácter supramunicipal, pero la incidencia de éstos en las competencias municipales hace necesaria una intervención del municipio en su elaboración. Así está previsto en la Ley de ordenación territorial y régimen urbanístico de Cantabria con respecto al plan de ordenación del litoral (arts. 16 y 17 y disposición adicional cuarta), sin que pueda confundirse la audiencia singular a los municipios afectados con el trámite general de información pública. Siempre en opinión de los actores en este proceso constitucional, estas previsiones legales deben ponerse en relación con aquellas previsiones de la normativa básica estatal en materia de régimen local y de urbanismo (con referencia específica al texto refundido de la Ley del suelo aprobado por el Real Decreto Legislativo 1/1992 y la Ley 6/1998, del régimen del suelo y valoraciones) que incorporan “una especial garantía de la participación ciudadana y de las entidades locales afectadas” en la elaboración de los instrumentos de planeamiento territorial. La vulneración de esa garantía que tiene lugar cuando la participación se desarrolla por debajo del umbral definido por la legislación básica, representa una causa mediata de inconstitucionalidad que comprende la infracción del art. 149.1.1 CE en la medida en que afecta a los propietarios del suelo.</w:t>
      </w:r>
    </w:p>
    <w:p w:rsidR="0085709A" w:rsidRDefault="0085709A" w:rsidP="0085709A">
      <w:pPr>
        <w:pStyle w:val="TextoNormal"/>
      </w:pPr>
    </w:p>
    <w:p w:rsidR="0085709A" w:rsidRDefault="0085709A" w:rsidP="0085709A">
      <w:pPr>
        <w:pStyle w:val="TextoNormal"/>
      </w:pPr>
      <w:r>
        <w:lastRenderedPageBreak/>
        <w:t>En el segundo epígrafe se efectúa un exhaustivo examen de los preceptos de la Ley autonómica controvertida que fueron modificados luego de la audiencia a los municipios. Este examen se cierra con la afirmación de que “ni un solo precepto” del plan de ordenación del litoral aprobado finalmente por el Parlamento de Cantabria “mantiene su anterior redacción y ubicación sistemática, habiendo sido modificados todos los anexos excepto el de playas”. Los Senadores recurrentes no dejan de hacer hincapié en el hecho de que la inmensa mayoría de esos cambios se materializaron en el texto del proyecto de ley presentado en su día por el Gobierno autonómico al Parlamento. En términos cuantitativos, estos cambios se traducen en que “el documento sometido a información pública contiene 93 artículos, una sola disposición adicional, seis transitorias y una final, mientras que la Ley aprobada contiene 74 artículos, cuatro disposiciones adicionales, doce transitorias, una derogatoria y tres finales.”</w:t>
      </w:r>
    </w:p>
    <w:p w:rsidR="0085709A" w:rsidRDefault="0085709A" w:rsidP="0085709A">
      <w:pPr>
        <w:pStyle w:val="TextoNormal"/>
      </w:pPr>
    </w:p>
    <w:p w:rsidR="0085709A" w:rsidRDefault="0085709A" w:rsidP="0085709A">
      <w:pPr>
        <w:pStyle w:val="TextoNormal"/>
      </w:pPr>
      <w:r>
        <w:t>En el tercer epígrafe se sostiene que ha habido infracción de los arts. 137 y 140 CE por la “relevancia constitucional de las modificaciones introducidas en el documento aprobado respecto al sometido a información pública”. Para los actores, las normas estatales y autonómicas reseñadas en el primer epígrafe de este motivo del recurso garantizan una participación efectiva de los municipios en la formación del plan de ordenación del litoral por la incidencia que dicho instrumento está llamado a tener sobre el ejercicio de las competencias locales en materia territorial y urbanística. En este caso la efectividad de esa participación se ha visto mermada por dos razones: no hubo una audiencia singularizada a los ayuntamientos al margen del trámite general de información pública y el texto del plan de ordenación del litoral finalmente presentado a la consideración del Parlamento de Cantabria pocas semejanzas guardaba con el documento sometido a dicho trámite. La preservación de la efectividad de la participación municipal en la elaboración del plan obligaba a someter el documento modificado a una nueva audiencia antes de su definitiva remisión al Parlamento.</w:t>
      </w:r>
    </w:p>
    <w:p w:rsidR="0085709A" w:rsidRDefault="0085709A" w:rsidP="0085709A">
      <w:pPr>
        <w:pStyle w:val="TextoNormal"/>
      </w:pPr>
    </w:p>
    <w:p w:rsidR="0085709A" w:rsidRDefault="0085709A" w:rsidP="0085709A">
      <w:pPr>
        <w:pStyle w:val="TextoNormal"/>
      </w:pPr>
      <w:r>
        <w:t>El cuarto y último epígrafe está dedicado a justificar la relevancia constitucional de “la omisión del trámite de participación de los Ayuntamientos afectados en el trámite de evaluación ambiental preceptivo del plan que ha sido omitido”. En este punto se hace especial mención de las Directivas 85/337/CEE y 2011/42/CE, del Real Decreto Legislativo 1302/1986 y de la STC 13/1998 (en especial, su fundamento jurídico 7), que sirven de base para postular la necesaria intervención municipal no sólo en la elaboración del plan en sí sino también respecto del informe ambiental “que no se ha redactado ni tramitado en este caso”, incumpliéndose con ello la normativa básica estatal en la materia.</w:t>
      </w:r>
    </w:p>
    <w:p w:rsidR="0085709A" w:rsidRDefault="0085709A" w:rsidP="0085709A">
      <w:pPr>
        <w:pStyle w:val="TextoNormal"/>
      </w:pPr>
    </w:p>
    <w:p w:rsidR="0085709A" w:rsidRDefault="0085709A" w:rsidP="0085709A">
      <w:pPr>
        <w:pStyle w:val="TextoNormal"/>
      </w:pPr>
      <w:r>
        <w:t>c) Seguidamente se expone, como motivo segundo del recurso, la “fundamentación jurídica del recurso de inconstitucionalidad respecto de algunas partes de la Ley de Cantabria 2/2004, de 27 de septiembre, reputadas inconstitucionales”.</w:t>
      </w:r>
    </w:p>
    <w:p w:rsidR="0085709A" w:rsidRDefault="0085709A" w:rsidP="0085709A">
      <w:pPr>
        <w:pStyle w:val="TextoNormal"/>
      </w:pPr>
    </w:p>
    <w:p w:rsidR="0085709A" w:rsidRDefault="0085709A" w:rsidP="0085709A">
      <w:pPr>
        <w:pStyle w:val="TextoNormal"/>
      </w:pPr>
      <w:r>
        <w:t>Sostienen los Senadores recurrentes la “inconstitucionalidad de los arts. 1 a 26, 27.1, 28 a 74, las disposiciones adicionales primera a tercera, las disposiciones transitorias primera a sexta, las disposiciones transitorias décima a duodécima, disposición derogatoria única apartado segundo y las disposiciones finales primera a tercera, así como los anexos de la Ley 2/2004 de Cantabria todos inclusive por infracción del artículo 149.1.23 de la Constitución.” A estos efectos se remiten a los argumentos sintetizados en la letra a) para la hipótesis de que el Tribunal entendiese que algunas disposiciones de la Ley autonómica contro</w:t>
      </w:r>
      <w:r>
        <w:lastRenderedPageBreak/>
        <w:t>vertida no forman parte del plan de ordenación del litoral sino que son normas independientes que han sido incorporadas a la Ley de aprobación del plan y que no deben someterse a evaluación ambiental al establecer “un régimen jurídico sustantivo ajeno al contenido de la Ley”. Con las mismas precisiones y remitiéndose a los argumentos resumidos en la letra b) de este antecedentes, defienden igualmente, que esos mismos preceptos legales son contrarios a los arts. 137, 140, 149.1.1 y 149.1.18 CE “por la carencia de participación efectiva en el proceso de elaboración de la norma final de las corporaciones locales y los ciudadanos afectados”.</w:t>
      </w:r>
    </w:p>
    <w:p w:rsidR="0085709A" w:rsidRDefault="0085709A" w:rsidP="0085709A">
      <w:pPr>
        <w:pStyle w:val="TextoNormal"/>
      </w:pPr>
    </w:p>
    <w:p w:rsidR="0085709A" w:rsidRDefault="0085709A" w:rsidP="0085709A">
      <w:pPr>
        <w:pStyle w:val="TextoNormal"/>
      </w:pPr>
      <w:r>
        <w:t>Con remisión a las razones resumidas en la letra a), sostienen los recurrentes que el título IV y el anexo III de la Ley impugnada, relativos a las actuaciones integrales estratégicas, son contrarios al art. 149.1.23 CE al no haber sido sometidos a evaluación ambiental una previsiones de actuaciones integrales estratégicas que suponen una transformación de uso del suelo que afectan a una superficie superior a las 100 hectáreas y que implican la eliminación de la cubierta vegetal arbustiva igualmente superior a las 100 hectáreas. También se les achaca infracción de los arts. 137 y 140 CE al vulnerar la autonomía municipal porque las actuaciones integrales estratégicas representan el establecimiento de áreas en cuya ordenación y gestión urbanística el municipio no tendrá posibilidad de intervenir pese a tratarse de una cuestión de indudable interés municipal: su delimitación corresponde a una instancia ajena al municipio y su desarrollo se lleva a cabo a través de instrumentos de ordenación —los proyectos singulares de interés regional— sobre los cuales los municipios no tienen ninguna capacidad de decisión (el art. 29 de la Ley limita la participación municipal en su elaboración a un trámite de audiencia, coincidente en plazos y efectos con la información pública general). En algunos casos, como las actuaciones integrales estratégicas productivas, esos instrumentos de planeamiento resultan especialmente agresivos para con la autonomía municipal, a la que vienen a ignorar. Denuncian los recurrentes que los proyectos singulares de interés regional son “abiertamente inconstitucionales” por vulneración de la autonomía municipal en cuanto que pueden actuar sobre cualquier terreno, con independencia de su clasificación urbanística (lo que abre la intervención incluso en el suelo típicamente municipal: el suelo urbano), porque “su delimitación lleva implícita la declaración de interés regional del artículo 28 de la Ley de Cantabria 2/2001, de 25 de junio, con lo que la escasa participación municipal que existía en el procedimiento de declaración de interés regional derivada de dicho precepto ya desaparece por completo” y porque la ampliación del ámbito de los proyectos singulares de interés regional que se plasma en la disposición adicional cuarta de la Ley 2/2004 margina al municipio en la función de ordenación urbanística de algunas zonas de su territorio. A la infracción constitucional inmediata (arts. 137 y 140 CE) se añadiría, al decir de los recurrentes, una causa de inconstitucionalidad mediata por vulneración del art. 58.2 LBRL, pues el legislador autonómico no habría garantizado suficientemente la participación en un asunto que les atañe por afectar a sus competencias sobre ordenación territorial y urbanística y de protección ambiental (se citan al respecto las SSTC 40/1998 y 159/2001). A mayor abundamiento, la autonomía local en materia urbanística obliga a que existan competencias municipales relevantes y reconocibles tanto en la ordenación y planeamiento urbanístico como en el plano de la ejecución o gestión (STC 159/2001, FJ 4), obligación que habría sido desatendida por el legislador autonómico.</w:t>
      </w:r>
    </w:p>
    <w:p w:rsidR="0085709A" w:rsidRDefault="0085709A" w:rsidP="0085709A">
      <w:pPr>
        <w:pStyle w:val="TextoNormal"/>
      </w:pPr>
    </w:p>
    <w:p w:rsidR="0085709A" w:rsidRDefault="0085709A" w:rsidP="0085709A">
      <w:pPr>
        <w:pStyle w:val="TextoNormal"/>
      </w:pPr>
      <w:r>
        <w:t>En este punto se hace una especial referencia al capítulo I del título IV de la Ley del Parlamento de Cantabria 2/2004, donde se contiene la “regulación global” de las actuacio</w:t>
      </w:r>
      <w:r>
        <w:lastRenderedPageBreak/>
        <w:t>nes integrales estratégicas, pues la misma “crea de forma unilateral y arbitraria zonas exentas de control e intervención municipal”. Concretamente, el art. 51.1 de la Ley, en relación con los anexos I y III recoge una delimitación unilateral (no se ha contado con los municipios afectados, que sólo han podido intervenir en el trámite de información pública posterior a la aprobación inicial) y arbitraria (como demuestra la insuficiencia de las memorias y las variaciones habidas durante el procedimiento de elaboración del proyecto de ley) de espacios que quedan bajo control directo de la Comunidad Autónoma, única con capacidad de decisión sobre ellos. El art. 52 impone la adaptación del planeamiento urbanístico municipal a las determinaciones de los planes y proyectos aprobados en desarrollo de las actuaciones integrales estratégicas, condicionando la libertad del planificador municipal y el art. 53 congela los usos autorizables al regular los usos compatibles en esas áreas.</w:t>
      </w:r>
    </w:p>
    <w:p w:rsidR="0085709A" w:rsidRDefault="0085709A" w:rsidP="0085709A">
      <w:pPr>
        <w:pStyle w:val="TextoNormal"/>
      </w:pPr>
    </w:p>
    <w:p w:rsidR="0085709A" w:rsidRDefault="0085709A" w:rsidP="0085709A">
      <w:pPr>
        <w:pStyle w:val="TextoNormal"/>
      </w:pPr>
      <w:r>
        <w:t>En definitiva, para los Senadores recurrentes, el título IV de la Ley, en relación con su anexo III “no respeta el derecho del municipio a participar a través de órganos propios en un asunto que le atañe y en el que están presentes de forma evidente intereses locales”, afectando así a su existencia como “real institución de autogobierno”; tampoco respeta el principio de autonomía local “que obliga a que existan competencias municipales relevantes y reconocibles en la ordenación y el planeamiento urbanístico”.</w:t>
      </w:r>
    </w:p>
    <w:p w:rsidR="0085709A" w:rsidRDefault="0085709A" w:rsidP="0085709A">
      <w:pPr>
        <w:pStyle w:val="TextoNormal"/>
      </w:pPr>
    </w:p>
    <w:p w:rsidR="0085709A" w:rsidRDefault="0085709A" w:rsidP="0085709A">
      <w:pPr>
        <w:pStyle w:val="TextoNormal"/>
      </w:pPr>
      <w:r>
        <w:t>d) A continuación se examina la constitucionalidad de los preceptos de la Ley de Cantabria 2/2004 que permiten la aprobación de proyectos singulares de interés regional “con independencia de la clasificación urbanística del suelo”. Los Senadores identifican como tales preceptos los arts. 51.3, 51.4, 54, 55 y 57, que permitirían al Gobierno de Cantabria implantar “instalaciones industriales”, “viviendas sometidas a algún régimen de protección pública” o “grandes equipamientos y servicios” sobre cualquier clase de suelo, incluido, por tanto, el suelo rústico de especial protección.</w:t>
      </w:r>
    </w:p>
    <w:p w:rsidR="0085709A" w:rsidRDefault="0085709A" w:rsidP="0085709A">
      <w:pPr>
        <w:pStyle w:val="TextoNormal"/>
      </w:pPr>
    </w:p>
    <w:p w:rsidR="0085709A" w:rsidRDefault="0085709A" w:rsidP="0085709A">
      <w:pPr>
        <w:pStyle w:val="TextoNormal"/>
      </w:pPr>
      <w:r>
        <w:t>En opinión de los actores, estos preceptos legales vulneran las competencias exclusivas del Estado en materia de condiciones básicas de igualdad en el ejercicio de los derechos y cumplimiento de los deberes constitucionales (art. 149.1.1 CE) y sobre legislación básica de protección ambiental (art. 149.1.23 CE). Se trata de una inconstitucionalidad mediata, consecuencia de la infracción de los arts. 9 y 20 de la Ley 6/1998, de 13 de abril, de régimen del suelo y valoraciones, relativos a esta clase concreta de suelo. Pese a que estos preceptos básicos excluyen cualquier intervención sobre el suelo no urbanizable especialmente protegido, la Ley autonómica permite en esta clase de suelo actuaciones de carácter turístico, cultural, deportivo o residencial para viviendas protegidas (art. 51.3), restauración o recuperación de espacios de singular valor ambiental (art. 51.4), industriales o productivas (art. 54), de reordenación (art. 55) y ambientales (art. 57).</w:t>
      </w:r>
    </w:p>
    <w:p w:rsidR="0085709A" w:rsidRDefault="0085709A" w:rsidP="0085709A">
      <w:pPr>
        <w:pStyle w:val="TextoNormal"/>
      </w:pPr>
    </w:p>
    <w:p w:rsidR="0085709A" w:rsidRDefault="0085709A" w:rsidP="0085709A">
      <w:pPr>
        <w:pStyle w:val="TextoNormal"/>
      </w:pPr>
      <w:r>
        <w:t>Entienden los actores que también se vulneran los arts. 137 y 140 CE. En primer lugar, porque al desconocer las exigencias y limitaciones de la legislación básica se está alterando el sistema de fuentes en una materia que afecta a los intereses de los municipios, quienes se ven privados de toda capacidad de intervención. Afección a la autonomía municipal que se agravaría, al decir de los Senadores recurrentes, por la prevalencia atribuida en el art. 29.6 de la Ley cántabra a los proyectos singulares de interés regionales sobre los instrumentos municipales de planeamiento urbanístico. En segundo lugar puesto que se crea una situación de desigualdad entre municipios litorales y de interior contraria a la autonomía local.</w:t>
      </w:r>
    </w:p>
    <w:p w:rsidR="0085709A" w:rsidRDefault="0085709A" w:rsidP="0085709A">
      <w:pPr>
        <w:pStyle w:val="TextoNormal"/>
      </w:pPr>
    </w:p>
    <w:p w:rsidR="0085709A" w:rsidRDefault="0085709A" w:rsidP="0085709A">
      <w:pPr>
        <w:pStyle w:val="TextoNormal"/>
      </w:pPr>
      <w:r>
        <w:lastRenderedPageBreak/>
        <w:t>e) Expuestos los motivos dirigidos frente a la totalidad o partes de la Ley autonómica controvertida, dan cuenta los actores de la fundamentación jurídica del recurso respecto de cada uno de los preceptos que reputan inconstitucionales y en relación con los cuales ejercen una pretensión subsidiaria de nulidad. Esta relación se abre con una referencia a los “fundamentos jurídicos generales”, donde se apunta la vulneración de los arts. 149.1.18 y 18 CE por infracción de diversos preceptos de las Leyes de bases de régimen local y de régimen del suelo y valoraciones; 103 y 9.3 CE; 137, 140 y 149.1.18 CE, respecto de los cuales se efectúa una síntesis de la doctrina constitucional en materia de autonomía local.</w:t>
      </w:r>
    </w:p>
    <w:p w:rsidR="0085709A" w:rsidRDefault="0085709A" w:rsidP="0085709A">
      <w:pPr>
        <w:pStyle w:val="TextoNormal"/>
      </w:pPr>
    </w:p>
    <w:p w:rsidR="0085709A" w:rsidRDefault="0085709A" w:rsidP="0085709A">
      <w:pPr>
        <w:pStyle w:val="TextoNormal"/>
      </w:pPr>
      <w:r>
        <w:t>El art. 3 de la Ley se impugna porque la suspensión, sin plazo, de la aprobación definitiva del planeamiento urbanístico municipal en su totalidad es una intervención excesiva e innecesaria. Se trata, por tanto, de una vulneración de la autonomía municipal.</w:t>
      </w:r>
    </w:p>
    <w:p w:rsidR="0085709A" w:rsidRDefault="0085709A" w:rsidP="0085709A">
      <w:pPr>
        <w:pStyle w:val="TextoNormal"/>
      </w:pPr>
    </w:p>
    <w:p w:rsidR="0085709A" w:rsidRDefault="0085709A" w:rsidP="0085709A">
      <w:pPr>
        <w:pStyle w:val="TextoNormal"/>
      </w:pPr>
      <w:r>
        <w:t>Idéntico vicio se achaca al art. 9.1 de la Ley, que regula una zonificación en atención a la capacidad de carga, establecida por el Gobierno de Cantabria pese a que en su determinación pormenorizada no concurren necesariamente intereses supramunicipales y sin que se conozca exactamente el proceso lógico de cálculo. El anexo I de la Ley sería igualmente inconstitucional pues concreta el criterio establecido en este precepto. El carácter exhaustivo y absolutamente vinculante de la zonificación supone un desplazamiento de los municipios y, sin embargo, la zonificación es disponible para las políticas sectoriales del Gobierno autonómico a partir de lo previsto en los arts. 51.3 de la Ley del plan de ordenación del litoral y 26 de la Ley de ordenación territorial y régimen urbanístico del suelo. Los recurrentes apuntan a que la supresión del pasaje que arranca con “El modelo de ordenación” y se cierra en la letra c) permitiría ajustar el precepto legal a los mandatos constitucionales.</w:t>
      </w:r>
    </w:p>
    <w:p w:rsidR="0085709A" w:rsidRDefault="0085709A" w:rsidP="0085709A">
      <w:pPr>
        <w:pStyle w:val="TextoNormal"/>
      </w:pPr>
    </w:p>
    <w:p w:rsidR="0085709A" w:rsidRDefault="0085709A" w:rsidP="0085709A">
      <w:pPr>
        <w:pStyle w:val="TextoNormal"/>
      </w:pPr>
      <w:r>
        <w:t>El art. 10 se impugna en cuanto que permite un control del planeamiento municipal en la fase de aprobación definitiva incompatible con la autonomía local al privar al municipio de cualquier poder decisorio. Toda decisión del planificador municipal implica insoslayablemente una modificación de la situación preexistente, un deterioro ambiental, social o cultural, por lo que la capacidad de control autonómica, al no graduarse la intensidad de ese deterioro o su trascendencia, es casi ilimitada. Para los Senadores recurrentes, se introduce así un control genérico o indeterminado contrario a la doctrina de la STC 4/1981, dado que, conforme se dispone en el art. 50 de la Ley la capacidad de carga va a ser un criterio de control de la Comunidad Autónoma sobre el planeamiento municipal. A partir de la Ley impugnada la decisión sobre extremos capitales del urbanismo municipal se ha trasladado a la esfera autonómica.</w:t>
      </w:r>
    </w:p>
    <w:p w:rsidR="0085709A" w:rsidRDefault="0085709A" w:rsidP="0085709A">
      <w:pPr>
        <w:pStyle w:val="TextoNormal"/>
      </w:pPr>
    </w:p>
    <w:p w:rsidR="0085709A" w:rsidRDefault="0085709A" w:rsidP="0085709A">
      <w:pPr>
        <w:pStyle w:val="TextoNormal"/>
      </w:pPr>
      <w:r>
        <w:t>Los Senadores recurrentes impugnan el art. 11.2, porque introduce un parámetro —la capacidad de acogida— sin que exista un interés supramunicipal, defiriéndose, además, los criterios de cálculo a un futuro reglamento autonómico (disposición adicional tercera). No se reputa inconstitucional el concepto mismo sino el establecimiento de unos parámetros uniformes.</w:t>
      </w:r>
    </w:p>
    <w:p w:rsidR="0085709A" w:rsidRDefault="0085709A" w:rsidP="0085709A">
      <w:pPr>
        <w:pStyle w:val="TextoNormal"/>
      </w:pPr>
    </w:p>
    <w:p w:rsidR="0085709A" w:rsidRDefault="0085709A" w:rsidP="0085709A">
      <w:pPr>
        <w:pStyle w:val="TextoNormal"/>
      </w:pPr>
      <w:r>
        <w:t xml:space="preserve">El art. 12 se recurre en cuanto que introduce algunos conceptos que inciden ilegítimamente en la autonomía municipal, tales como la prohibición de dirigirse con carácter general hacia los núcleos con menor capacidad de carga, la prohibición de la transformación de la morfología de los núcleos rurales de manera uniforme y absoluta y la prohibición de reequilibrio de los crecimientos siempre que estos se dirijan hacia las áreas de menor capacidad </w:t>
      </w:r>
      <w:r>
        <w:lastRenderedPageBreak/>
        <w:t>de carga. Por lo demás, se defiende que “el plan general no es un instrumento que deba necesariamente ir a remolque de las estadísticas y de los proyectos existentes de implantación” sino que “ser el vehículo que, con una adecuada planificación y previendo siempre equipamiento suficiente, atraiga esos proyectos e invierta las estadísticas poblacionales negativas o insatisfactorias”. Para los recurrentes, estas son decisiones que debe tomar el gobierno local en atención a las especificidades municipales. Los demandantes concretan la impugnación en la petición de anulación de los apartados 2 y 5 y las letras e) y f) del apartado 6 del precepto.</w:t>
      </w:r>
    </w:p>
    <w:p w:rsidR="0085709A" w:rsidRDefault="0085709A" w:rsidP="0085709A">
      <w:pPr>
        <w:pStyle w:val="TextoNormal"/>
      </w:pPr>
    </w:p>
    <w:p w:rsidR="0085709A" w:rsidRDefault="0085709A" w:rsidP="0085709A">
      <w:pPr>
        <w:pStyle w:val="TextoNormal"/>
      </w:pPr>
      <w:r>
        <w:t>Del art. 14 se impugnan el apartado primero y el inciso “la consecución de una malla de espacios libres, a fin de” del apartado tercero. Los recurrentes no se explican el interés supramunicipal que subyace tras la prohibición del cómputo de determinados espacios libres de carácter local por el hecho de que, al completarse su urbanización, tengan más del 10 por 100 de desnivel en el 80 por 100 de la superficie de manera global y uniforme. Además, se obliga a urbanizar el espacio libre para reducir los desniveles, cuando la decisión municipal pudiera ser la de preservar las características naturales del terreno. Los criterios manejados no garantizan la accesibilidad ni la calidad de los espacios libres. El inciso reproducido del apartado tercero se impugna porque impide a los municipios optar por la concentración de espacios libres como modelo territorial (sobre todo en los municipios urbanos), en lugar de disgregarlos en una malla. Se establece así una solución uniforme y discrecional desapoderando a los municipios.</w:t>
      </w:r>
    </w:p>
    <w:p w:rsidR="0085709A" w:rsidRDefault="0085709A" w:rsidP="0085709A">
      <w:pPr>
        <w:pStyle w:val="TextoNormal"/>
      </w:pPr>
    </w:p>
    <w:p w:rsidR="0085709A" w:rsidRDefault="0085709A" w:rsidP="0085709A">
      <w:pPr>
        <w:pStyle w:val="TextoNormal"/>
      </w:pPr>
      <w:r>
        <w:t>Se impugna el inciso “de la necesidad” del art. 15.3 de la Ley. Para los senadores recurrentes, este inciso, al exigir que se justifique la necesidad del emplazamiento de edificaciones a una distancia inferior a 50 metros de explotaciones forestales, limita injustificadamente la capacidad de decisión municipal en un ámbito de su interés.</w:t>
      </w:r>
    </w:p>
    <w:p w:rsidR="0085709A" w:rsidRDefault="0085709A" w:rsidP="0085709A">
      <w:pPr>
        <w:pStyle w:val="TextoNormal"/>
      </w:pPr>
    </w:p>
    <w:p w:rsidR="0085709A" w:rsidRDefault="0085709A" w:rsidP="0085709A">
      <w:pPr>
        <w:pStyle w:val="TextoNormal"/>
      </w:pPr>
      <w:r>
        <w:t>Del art. 16 se controvierte el inciso final de su letra a) porque limita injustificadamente el margen de discreción municipal al imponer como objetivo inexcusable la creación de espacios verdes intermedios en las bandas limítrofes con las grandes infraestructuras. Frente a esta imposición, los municipios podrían optar por localizar esas zonas verdes en espacios alejados de las infraestructuras para evitar su deterioro.</w:t>
      </w:r>
    </w:p>
    <w:p w:rsidR="0085709A" w:rsidRDefault="0085709A" w:rsidP="0085709A">
      <w:pPr>
        <w:pStyle w:val="TextoNormal"/>
      </w:pPr>
    </w:p>
    <w:p w:rsidR="0085709A" w:rsidRDefault="0085709A" w:rsidP="0085709A">
      <w:pPr>
        <w:pStyle w:val="TextoNormal"/>
      </w:pPr>
      <w:r>
        <w:t>El art. 20.2 se impugna en su integridad porque impone al planeamiento la delimitación de espacios necesarios para llevar a cabo los vertidos de tierras y materiales de excavación. A juicio de los recurrentes, el legislador autonómico debiera limitarse a dejar libertad a los municipios para optar por el no establecimiento de zonas determinadas, admitiendo vertidos inertes en todo el territorio, o identificar las zonas en las que se prohíben los vertidos.</w:t>
      </w:r>
    </w:p>
    <w:p w:rsidR="0085709A" w:rsidRDefault="0085709A" w:rsidP="0085709A">
      <w:pPr>
        <w:pStyle w:val="TextoNormal"/>
      </w:pPr>
    </w:p>
    <w:p w:rsidR="0085709A" w:rsidRDefault="0085709A" w:rsidP="0085709A">
      <w:pPr>
        <w:pStyle w:val="TextoNormal"/>
      </w:pPr>
      <w:r>
        <w:t xml:space="preserve">Del art. 25 se solicita la anulación de la prohibición de localización de espacios libres locales y generales en las áreas de protección costera, incluso cuando las mismas no pertenezcan al dominio público marítimo-terrestre o hidráulico. El precepto es contradictorio con otras disposiciones de la propia Ley que permiten localizar en estas áreas la senda litoral (art. 67), que obligan a adquirir patrimonio público litoral (art. 60) o que estatuyen la reserva de suelo litoral (art. 61), todos los cuales tienden a la creación de espacios libres con diferentes usos. El concepto de espacio libre no implica de suyo una intensidad de uso que supere la “capacidad de carga” de una concreta área en los términos definidos en el art. 10 </w:t>
      </w:r>
      <w:r>
        <w:lastRenderedPageBreak/>
        <w:t>y su prohibición de su ubicación en las áreas de protección costera no responde a ningún fin supramunicipal.</w:t>
      </w:r>
    </w:p>
    <w:p w:rsidR="0085709A" w:rsidRDefault="0085709A" w:rsidP="0085709A">
      <w:pPr>
        <w:pStyle w:val="TextoNormal"/>
      </w:pPr>
    </w:p>
    <w:p w:rsidR="0085709A" w:rsidRDefault="0085709A" w:rsidP="0085709A">
      <w:pPr>
        <w:pStyle w:val="TextoNormal"/>
      </w:pPr>
      <w:r>
        <w:t>Sostienen los recurrentes que el carácter vinculante del informe que la Comisión Regional de Ordenación del Territorio y Urbanismo debe emitir en el procedimiento de autorización de construcciones en suelo no urbanizable [art. 27.1 b)] es contrario a la autonomía municipal. Al no precisarse más, el efecto vinculante del informe no sólo impide la concesión de la licencia urbanística cuando concurran intereses supramunicipales (informe negativo), sino que también obliga a que el municipio otorgue la licencia cuando el informe sea positivo. De modo que traslada una competencia urbanística municipal a la esfera autonómica.</w:t>
      </w:r>
    </w:p>
    <w:p w:rsidR="0085709A" w:rsidRDefault="0085709A" w:rsidP="0085709A">
      <w:pPr>
        <w:pStyle w:val="TextoNormal"/>
      </w:pPr>
    </w:p>
    <w:p w:rsidR="0085709A" w:rsidRDefault="0085709A" w:rsidP="0085709A">
      <w:pPr>
        <w:pStyle w:val="TextoNormal"/>
      </w:pPr>
      <w:r>
        <w:t>El art. 37, referido a los planes especiales, se recurre en su integridad porque habilita al Gobierno de Cantabria para la redacción de planes especiales que pueden reordenar el entorno de las playas, independientemente de su clasificación urbanística, sin requerimiento previo al ayuntamiento ni invocación alguna de razones supramunicipales que justifiquen el desplazamiento de las instancias municipales.</w:t>
      </w:r>
    </w:p>
    <w:p w:rsidR="0085709A" w:rsidRDefault="0085709A" w:rsidP="0085709A">
      <w:pPr>
        <w:pStyle w:val="TextoNormal"/>
      </w:pPr>
    </w:p>
    <w:p w:rsidR="0085709A" w:rsidRDefault="0085709A" w:rsidP="0085709A">
      <w:pPr>
        <w:pStyle w:val="TextoNormal"/>
      </w:pPr>
      <w:r>
        <w:t>Del art. 42, que lleva por rúbrica “accesos rodados” se controvierte la imposición de la obligación de conservar el carácter agrícola de los accesos a las playas rurales, sin posibilidad de justificar otras alternativas. No existe interés supramunicipal que sustente esta medida. Distinta valoración merecería para los Senadores recurrentes que el precepto hubiese supeditado el cambio a un estudio ambiental previo.</w:t>
      </w:r>
    </w:p>
    <w:p w:rsidR="0085709A" w:rsidRDefault="0085709A" w:rsidP="0085709A">
      <w:pPr>
        <w:pStyle w:val="TextoNormal"/>
      </w:pPr>
    </w:p>
    <w:p w:rsidR="0085709A" w:rsidRDefault="0085709A" w:rsidP="0085709A">
      <w:pPr>
        <w:pStyle w:val="TextoNormal"/>
      </w:pPr>
      <w:r>
        <w:t>Los actores solicitan la declaración de inconstitucionalidad de los apartados 1 y 3, así como de la frase final del apartado 2, del art. 45 de la Ley. El apartado primero se impugna en cuanto obliga a la adopción de un modelo concreto, rehabilitando y renovando las edificaciones, e impidiendo que el municipio opte por un tipo de edificación diferente y la eliminación de aquellas que no sean acordes al mismo. La Comunidad Autónoma no se limita a identificar objetivos sino que impone medidas muy concretas que merman la autonomía municipal. El apartado segundo se considera inconstitucional porque obliga a adoptar un modelo territorial concreto pues impone de manera uniforme la continuidad de la trama en los municipios existentes, limitando la discrecionalidad del planeamiento. El apartado tercero se controvierte porque obliga a dirigir el crecimiento hacia las zonas de pendientes más suaves, sin permitir ponderar otros valores, como pueda ser el agrícola o ambiental de esas mismas zonas.</w:t>
      </w:r>
    </w:p>
    <w:p w:rsidR="0085709A" w:rsidRDefault="0085709A" w:rsidP="0085709A">
      <w:pPr>
        <w:pStyle w:val="TextoNormal"/>
      </w:pPr>
    </w:p>
    <w:p w:rsidR="0085709A" w:rsidRDefault="0085709A" w:rsidP="0085709A">
      <w:pPr>
        <w:pStyle w:val="TextoNormal"/>
      </w:pPr>
      <w:r>
        <w:t xml:space="preserve">El art. 47.3 se impugna porque no deja margen alguno de decisión a los municipios respecto de una cuestión que afecta a su esfera de intereses, como es la relativa a si necesita viviendas sociales, en qué cantidad y ubicadas en qué zonas del término municipal. La reserva del 35 por 100 de superficie construida a esta clase de vivienda contenida en la Ley controvertida contrasta con la previsión de la Ley del suelo de Cantabria, que exime a los municipios de la obligación de cumplir con la reserva para este tipo de vivienda de los porcentajes de suelo fijados por la propia Ley, siempre que existan circunstancias que lo justifique y así se acredite en la memoria del plan urbanístico. A los municipios a los que les resulta de aplicación esta previsión no sólo se les impone un porcentaje elevado de reserva de suelo para vivienda social sino que también se decide dónde debe estar ubicado ese suelo: en las áreas periurbanas. La autonomía municipal puede quedar condicionada, además, en </w:t>
      </w:r>
      <w:r>
        <w:lastRenderedPageBreak/>
        <w:t>virtud del art. 26 de la Ley del suelo de Cantabria, al poder aprobarse, sin intervención local, un proyecto singular de interés regional que tenga por finalidad una promoción de esta clase de vivienda (lo que no supera el umbral de participación local al que hace referencia la STC 51/2004).</w:t>
      </w:r>
    </w:p>
    <w:p w:rsidR="0085709A" w:rsidRDefault="0085709A" w:rsidP="0085709A">
      <w:pPr>
        <w:pStyle w:val="TextoNormal"/>
      </w:pPr>
    </w:p>
    <w:p w:rsidR="0085709A" w:rsidRDefault="0085709A" w:rsidP="0085709A">
      <w:pPr>
        <w:pStyle w:val="TextoNormal"/>
      </w:pPr>
      <w:r>
        <w:t>El art. 50 se impugna porque extiende los criterios del plan de ordenación del litoral a otras áreas en las que no concurren los intereses supramunicipales que justifican la aprobación de este plan. Este precepto permite que el Gobierno autonómico imponga sus criterios de oportunidad en materia de ordenación territorial, haciendo uso de figuras como la “capacidad de carga”, que la Ley en cuestión define mediante el uso de conceptos jurídicos indeterminados, lo que deja en manos del Ejecutivo un amplio margen de apreciación. Por lo demás, al amparo del art. 51 el Gobierno de Cantabria puede impulsar actividades enmarcadas en políticas sectoriales (cultura, vivienda, etc.) sin que sea preciso que revistan interés o relevancia supramunicipal.</w:t>
      </w:r>
    </w:p>
    <w:p w:rsidR="0085709A" w:rsidRDefault="0085709A" w:rsidP="0085709A">
      <w:pPr>
        <w:pStyle w:val="TextoNormal"/>
      </w:pPr>
    </w:p>
    <w:p w:rsidR="0085709A" w:rsidRDefault="0085709A" w:rsidP="0085709A">
      <w:pPr>
        <w:pStyle w:val="TextoNormal"/>
      </w:pPr>
      <w:r>
        <w:t>El art. 51 se impugna en su totalidad por las razones aducidas contra la regulación de las “actuaciones integrales estratégicas”. Más específicamente, el recurso se dirige frente a sus apartados 3 y 4 en cuanto que vinculan el planeamiento municipal con la obtención de objetivos de políticas sectoriales de la Comunidad Autónoma sin necesidad de que las actuaciones concretas afectadas por dicha vinculación hayan de tener relevancia supramunicipal. Se prescinde así del principio de coordinación administrativa en favor de la subordinación de los municipios en el ejercicio de sus competencias a los intereses de la Comunidad Autónoma. A este respecto se hace hincapié en que el interés autonómico en el desarrollo de la actividad es algo distinto de la relevancia supramunicipal del proyecto, único concepto que justificaría la prevalencia autonómica. Los recurrentes centran sus discrepancias en los incisos “y con independencia de la clasificación urbanística”, que figura en los apartados 3 y 4 del art. 51 de la Ley autonómica y “en cuyo caso sus determinaciones prevalecerán sobre las de este Plan” del art. 51.3. A este último inciso se le reprocha la vulneración del principio de jerarquía normativa al situar los proyectos singulares de interés general —aprobados por el Gobierno autonómico— por encima de la propia Ley del plan de ordenación del litoral, lo que no sólo altera el sistema de fuentes sino que, además, representa una auténtica reserva de dispensación en favor del Gobierno de Cantabria, quien podrá sustraerse a los mandatos del planeamiento territorial contenida en la Ley autonómica 2/2004.</w:t>
      </w:r>
    </w:p>
    <w:p w:rsidR="0085709A" w:rsidRDefault="0085709A" w:rsidP="0085709A">
      <w:pPr>
        <w:pStyle w:val="TextoNormal"/>
      </w:pPr>
    </w:p>
    <w:p w:rsidR="0085709A" w:rsidRDefault="0085709A" w:rsidP="0085709A">
      <w:pPr>
        <w:pStyle w:val="TextoNormal"/>
      </w:pPr>
      <w:r>
        <w:t>Los recurrentes impugnan el art. 52 de la Ley cántabra por las razones ya esgrimidas frente a la regulación de las denominadas “actuaciones integrales estratégicas” pues obliga a adaptar el planeamiento urbanístico municipal a los proyectos singulares de interés regional aunque éstos no revistan relevancia supramunicipal. Al art. 53 de la Ley le reprochan que genere incertidumbre respecto de las actividades que puedan desarrollarse en las áreas de actuaciones integrales estratégicas. En relación con ambos preceptos legales los actores se remiten a los argumentos ya expuestos frente a la regulación de esta clase de actuaciones.</w:t>
      </w:r>
    </w:p>
    <w:p w:rsidR="0085709A" w:rsidRDefault="0085709A" w:rsidP="0085709A">
      <w:pPr>
        <w:pStyle w:val="TextoNormal"/>
      </w:pPr>
    </w:p>
    <w:p w:rsidR="0085709A" w:rsidRDefault="0085709A" w:rsidP="0085709A">
      <w:pPr>
        <w:pStyle w:val="TextoNormal"/>
      </w:pPr>
      <w:r>
        <w:t xml:space="preserve">Para los promotores de este recurso, las razones por las que solicitan la declaración de inconstitucionalidad del art. 54 “son especialmente claras”. De un lado, sostienen que “es absolutamente evidente” la necesidad de someter a evaluación de impacto ambiental la transformación del uso del suelo que implica la eliminación de la cubierta vegetal arbustiva en una superficie de más de cien hectáreas (la aplicación de la Ley afecta a más de 500 </w:t>
      </w:r>
      <w:r>
        <w:lastRenderedPageBreak/>
        <w:t>hectáreas). De otro, entienden que la vulneración de la autonomía municipal “también resulta especialmente clara” en la medida en que el precepto introduce una reserva en favor de la Comunidad Autónoma para actuar sobre los terrenos delimitados como actuación estratégica sin un plazo definido y sin precisar el concreto proyecto de relevancia supramunicipal que ha de llevarse a cabo; además, permite la derogación del plan urbanístico por el proyecto singular de interés regional. Por otra parte, impugnan el inciso “y con independencia de su clasificación urbanística” del art. 54 a), que permite al Gobierno de Cantabria la ubicación de este tipo de proyectos incluso en suelo no urbanizable de especial protección. También impugnan el art. 54 b) dado que la delimitación lleva implícita la declaración de interés regional del art. 28 de la Ley del suelo de Cantabria, de modo que en este caso ni siquiera existe un proyecto concreto que pueda ser considerado de interés regional, pues la Ley no lo incorpora, de modo que “la declaración de interés regional sin conocer el proyecto concreto es un auténtico acto de fe que se exige a los municipios”.</w:t>
      </w:r>
    </w:p>
    <w:p w:rsidR="0085709A" w:rsidRDefault="0085709A" w:rsidP="0085709A">
      <w:pPr>
        <w:pStyle w:val="TextoNormal"/>
      </w:pPr>
    </w:p>
    <w:p w:rsidR="0085709A" w:rsidRDefault="0085709A" w:rsidP="0085709A">
      <w:pPr>
        <w:pStyle w:val="TextoNormal"/>
      </w:pPr>
      <w:r>
        <w:t>Al art. 55, relativo a las actuaciones integrales estratégicas de reordenación, le serían de aplicación los motivos de impugnación generales esgrimidos frente a la regulación de las actuaciones integrales estratégicas. A este tipo de actuaciones le sería de aplicación la necesidad de formular una evaluación de impacto ambiental pues las transformaciones previstas superan las 1.800 hectáreas. Junto a ello se apunta que las actuaciones integrales estratégicas de reordenación contempladas en el anexo III vulnera la autonomía municipal al prescindir la Ley de los instrumentos de planeamiento urbanístico, siendo así que la reordenación se materializa a través de determinaciones propias de un plan general y mediante instrumentos en cuya formulación no participa el municipio (se invoca nuevamente la doctrina de la STC 51/2004).</w:t>
      </w:r>
    </w:p>
    <w:p w:rsidR="0085709A" w:rsidRDefault="0085709A" w:rsidP="0085709A">
      <w:pPr>
        <w:pStyle w:val="TextoNormal"/>
      </w:pPr>
    </w:p>
    <w:p w:rsidR="0085709A" w:rsidRDefault="0085709A" w:rsidP="0085709A">
      <w:pPr>
        <w:pStyle w:val="TextoNormal"/>
      </w:pPr>
      <w:r>
        <w:t>Los motivos generales de impugnación de las actuaciones integrales estratégicas son aplicables, en opinión de los recurrentes, al art. 56 de la Ley cántabra, añadiéndose una queja específica sobre la falta de intervención de los municipios en la elaboración de los planes especiales a los que se refiere el precepto legal y la fuerza exorbitante atribuida a estos planes especiales, que llega al punto de desplazar a los planes generales municipales. En parecidos términos se impugna el art. 57.</w:t>
      </w:r>
    </w:p>
    <w:p w:rsidR="0085709A" w:rsidRDefault="0085709A" w:rsidP="0085709A">
      <w:pPr>
        <w:pStyle w:val="TextoNormal"/>
      </w:pPr>
    </w:p>
    <w:p w:rsidR="0085709A" w:rsidRDefault="0085709A" w:rsidP="0085709A">
      <w:pPr>
        <w:pStyle w:val="TextoNormal"/>
      </w:pPr>
      <w:r>
        <w:t xml:space="preserve">La disposición adicional tercera remite a un Decreto del Gobierno autonómico el establecimiento de los criterios interpretativos para el cálculo de la capacidad de acogida, definida en el art. 12. Para los recurrentes se trata de una previsión anómala pues un Ejecutivo no puede fijar los criterios interpretativos de un precepto legal “a los que habrán de sujetarse el resto de los operadores jurídicos y señaladamente los Tribunales y el resto de las Administraciones Públicas”. En su opinión estamos en el ámbito de la competencia estatal sobre “reglas para la aplicación y eficacia de las normas jurídicas” (art. 149.1.8 CE). A ello se añade que los municipios no participarán en la aprobación de estas normas al preverse tan solo la emisión de un informe del Consejo de Ordenación del Territorio y Urbanismo, en el que ciertamente están representadas las corporaciones locales, pero sin que sea lícito olvidar que la representación no lo es necesariamente de los municipios del litoral afectados por la norma a informar. De acuerdo con el art. 3 del Decreto 164/2003, de 18 de septiembre, sólo tres de los treinta y cinco miembros del Consejo son nombrados por los entes locales, sin que quepa un nombramiento </w:t>
      </w:r>
      <w:r w:rsidRPr="0085709A">
        <w:rPr>
          <w:i/>
        </w:rPr>
        <w:t>ad hoc</w:t>
      </w:r>
      <w:r>
        <w:t xml:space="preserve"> en función de los asuntos a dictaminar. Los recurrentes invocan la doctrina de la STC 40/1998, FJ 41.</w:t>
      </w:r>
    </w:p>
    <w:p w:rsidR="0085709A" w:rsidRDefault="0085709A" w:rsidP="0085709A">
      <w:pPr>
        <w:pStyle w:val="TextoNormal"/>
      </w:pPr>
    </w:p>
    <w:p w:rsidR="0085709A" w:rsidRDefault="0085709A" w:rsidP="0085709A">
      <w:pPr>
        <w:pStyle w:val="TextoNormal"/>
      </w:pPr>
      <w:r>
        <w:lastRenderedPageBreak/>
        <w:t>A la disposición adicional cuarta, que modifica el art. 26 de la Ley del suelo de Cantabria, relativo a los proyectos singulares de interés regional, se le reprocha arbitrariedad y vulneración de la autonomía municipal. Respecto de lo primero, apuntan los recurrentes que se aprovecha la oportunidad para, a través de la reforma de la Ley del suelo, ampliar el ámbito de aplicación de una figura originariamente diseñada sólo para los 37 municipios litorales. Se da, además, la paradoja de que el propio texto legal reformado —la Ley del suelo— era el que establecía el ámbito de aplicación y el procedimiento de elaboración de la Ley del plan de ordenación del litoral que ahora la reforma. Con relación a lo segundo, se impone a los municipios un instrumento de planeamiento en cuya formulación no han intervenido, previéndose expresamente que incida sobre aspectos tan imbricados en el interés municipal como la determinación de “viviendas sometidas a algún régimen de protección pública”; los recurrentes no discuten la referencia a las “instalaciones industriales”, siempre que quede vinculada al asentamiento en más de un término municipal o que trasciendan este marco por su incidencia económica, magnitud u otras características singulares.</w:t>
      </w:r>
    </w:p>
    <w:p w:rsidR="0085709A" w:rsidRDefault="0085709A" w:rsidP="0085709A">
      <w:pPr>
        <w:pStyle w:val="TextoNormal"/>
      </w:pPr>
    </w:p>
    <w:p w:rsidR="0085709A" w:rsidRDefault="0085709A" w:rsidP="0085709A">
      <w:pPr>
        <w:pStyle w:val="TextoNormal"/>
      </w:pPr>
      <w:r>
        <w:t>Idénticos reproches se dirigen contra la disposición transitoria tercera, relativa a las modificaciones puntuales de los instrumentos de planeamiento no adaptados a la Ley del suelo. Señalan los recurrentes que no se entiende la razón de la prohibición general de modificaciones puntuales que impliquen aumento de densidad en el área no litoral si esas modificaciones no perjudican a los objetivos del plan de ordenación del litoral, objeto de aprobación por la Ley 2/2004. Subrayan la paradoja de que se prohíban las modificaciones puntuales y luego se permitan las que sirvan a una política sectorial del Gobierno autonómico (arts. 45.5 y 47.3 de la Ley, que reservan para vivienda protegida del 35 por 100 del suelo destinado a uso residencial y del 30 por 100 de viviendas en suelo urbanizable).</w:t>
      </w:r>
    </w:p>
    <w:p w:rsidR="0085709A" w:rsidRDefault="0085709A" w:rsidP="0085709A">
      <w:pPr>
        <w:pStyle w:val="TextoNormal"/>
      </w:pPr>
    </w:p>
    <w:p w:rsidR="0085709A" w:rsidRDefault="0085709A" w:rsidP="0085709A">
      <w:pPr>
        <w:pStyle w:val="TextoNormal"/>
      </w:pPr>
      <w:r>
        <w:t>A su vez, la disposición transitoria cuarta se dedica a las viviendas de protección pública en los municipios con planeamiento no adaptado a la Ley del suelo de Cantabria. Esta disposición transitoria condiciona a la previsión de determinados estándares de vivienda protegida la realización de modificaciones puntuales de planeamiento, sin que esa limitación responda a la necesidad de garantizar el cumplimiento de las previsiones del plan en la materia (arts. 45 y 47 de la Ley), habida cuenta de que se impide la clasificación de suelo industrial o con destino dotacional o el aumento de densidad de esos suelos, pese a que los objetivos que fijan los preceptos mencionados se calculan exclusivamente sobre la superficie de uso residencial.</w:t>
      </w:r>
    </w:p>
    <w:p w:rsidR="0085709A" w:rsidRDefault="0085709A" w:rsidP="0085709A">
      <w:pPr>
        <w:pStyle w:val="TextoNormal"/>
      </w:pPr>
    </w:p>
    <w:p w:rsidR="0085709A" w:rsidRDefault="0085709A" w:rsidP="0085709A">
      <w:pPr>
        <w:pStyle w:val="TextoNormal"/>
      </w:pPr>
      <w:r>
        <w:t>El apartado segundo de la disposición transitoria quinta, dedicada al suelo urbanizable en los municipios con planeamiento no adaptado, se impugna porque impone la ubicación territorial donde ha de asentarse la edificación destinada a vivienda protegida (áreas periurbanas), frustrando así una política municipal sin que concurra un interés supramunicipal especificado. En el tercer párrafo se contiene una reserva de dispensación incompatible con el principio de autonomía local en la medida en que permite incumplir el planeamiento municipal.</w:t>
      </w:r>
    </w:p>
    <w:p w:rsidR="0085709A" w:rsidRDefault="0085709A" w:rsidP="0085709A">
      <w:pPr>
        <w:pStyle w:val="TextoNormal"/>
      </w:pPr>
    </w:p>
    <w:p w:rsidR="0085709A" w:rsidRDefault="0085709A" w:rsidP="0085709A">
      <w:pPr>
        <w:pStyle w:val="TextoNormal"/>
      </w:pPr>
      <w:r>
        <w:t>De la disposición transitoria octava se impugna su apartado segundo, en cuanto que infringiría la autonomía local la atribución a la Administración autonómica de la competencia para sancionar cualquier infracción cometida en el área afectada por el plan de ordenación del litoral. Esta impugnación se conecta con la del art. 65.</w:t>
      </w:r>
    </w:p>
    <w:p w:rsidR="0085709A" w:rsidRDefault="0085709A" w:rsidP="0085709A">
      <w:pPr>
        <w:pStyle w:val="TextoNormal"/>
      </w:pPr>
    </w:p>
    <w:p w:rsidR="0085709A" w:rsidRDefault="0085709A" w:rsidP="0085709A">
      <w:pPr>
        <w:pStyle w:val="TextoNormal"/>
      </w:pPr>
      <w:r>
        <w:lastRenderedPageBreak/>
        <w:t>A su vez, de la disposición transitoria duodécima de la Ley se recurre la posibilidad de que la Comunidad Autónoma, sin participación alguna del municipio, resuelva de oficio las contradicciones sobre clasificación de suelo urbano. La impugnación se concreta en el inciso “o de oficio por la Consejería competente en materia de ordenación del territorio y urbanismo, a los efectos de su posible exclusión del ámbito de aplicación de esta Ley”.</w:t>
      </w:r>
    </w:p>
    <w:p w:rsidR="0085709A" w:rsidRDefault="0085709A" w:rsidP="0085709A">
      <w:pPr>
        <w:pStyle w:val="TextoNormal"/>
      </w:pPr>
    </w:p>
    <w:p w:rsidR="0085709A" w:rsidRDefault="0085709A" w:rsidP="0085709A">
      <w:pPr>
        <w:pStyle w:val="TextoNormal"/>
      </w:pPr>
      <w:r>
        <w:t>La disposición final primera sería contraria a la autonomía municipal al ordenar la formulación, en el plazo de un año, de proyectos especiales de iniciativa autonómica o proyectos singulares de interés regional sin necesidad de requerir ni brindar al municipio la oportunidad para que lleven a cabo la reordenación de la zona a la que se refiere la disposición final, la bahía de Santander.</w:t>
      </w:r>
    </w:p>
    <w:p w:rsidR="0085709A" w:rsidRDefault="0085709A" w:rsidP="0085709A">
      <w:pPr>
        <w:pStyle w:val="TextoNormal"/>
      </w:pPr>
    </w:p>
    <w:p w:rsidR="0085709A" w:rsidRDefault="0085709A" w:rsidP="0085709A">
      <w:pPr>
        <w:pStyle w:val="TextoNormal"/>
      </w:pPr>
      <w:r>
        <w:t>El anexo I se impugna por su íntima conexión con los arts. 9.1 y 10 de la Ley al concretar la zonificación en función de la capacidad de carga y las actuaciones estratégicas integrales en los términos definidos por los citados preceptos de la Ley que los recurrentes consideran inconstitucionales. El anexo III se impugna por las mismas razones que el título IV, relativo a las actuaciones integrales estratégicas y se le achaca la vulneración del art. 149.1.1 y 23 CE.</w:t>
      </w:r>
    </w:p>
    <w:p w:rsidR="0085709A" w:rsidRDefault="0085709A" w:rsidP="0085709A">
      <w:pPr>
        <w:pStyle w:val="TextoNormal"/>
      </w:pPr>
    </w:p>
    <w:p w:rsidR="0085709A" w:rsidRDefault="0085709A" w:rsidP="0085709A">
      <w:pPr>
        <w:pStyle w:val="TextoNormal"/>
      </w:pPr>
      <w:r>
        <w:t>f) La demanda se cierra con un extenso suplico en el que se solicita en primer lugar la declaración de inconstitucionalidad de la totalidad de la Ley del Parlamento de Cantabria 2/2004, de 27 de septiembre, del plan de ordenación del litoral.</w:t>
      </w:r>
    </w:p>
    <w:p w:rsidR="0085709A" w:rsidRDefault="0085709A" w:rsidP="0085709A">
      <w:pPr>
        <w:pStyle w:val="TextoNormal"/>
      </w:pPr>
    </w:p>
    <w:p w:rsidR="0085709A" w:rsidRDefault="0085709A" w:rsidP="0085709A">
      <w:pPr>
        <w:pStyle w:val="TextoNormal"/>
      </w:pPr>
      <w:r>
        <w:t>Subsidiariamente se solicita la declaración de inconstitucionalidad de los arts. 1 a 26, 27.1, 28 a 74 y las disposiciones transitorias primera a séptima, décima a duodécima y el apartado segundo de la disposición transitoria octava, el apartado segundo de la disposición derogatoria única y las disposiciones finales primera a tercera, así como los anexos I y III. De manera específica se solicita la declaración de inconstitucionalidad del título IV y, por conexión, de los anexos I y III.</w:t>
      </w:r>
    </w:p>
    <w:p w:rsidR="0085709A" w:rsidRDefault="0085709A" w:rsidP="0085709A">
      <w:pPr>
        <w:pStyle w:val="TextoNormal"/>
      </w:pPr>
    </w:p>
    <w:p w:rsidR="0085709A" w:rsidRDefault="0085709A" w:rsidP="0085709A">
      <w:pPr>
        <w:pStyle w:val="TextoNormal"/>
      </w:pPr>
      <w:r>
        <w:t xml:space="preserve">También subsidiariamente se interesa la declaración de inconstitucionalidad de los siguientes preceptos legales: art. 3, inciso “la tramitación de este procedimiento suspenderá el plazo para aprobar definitivamente el instrumento de planeamiento”; del art. 9.1 el pasaje comprendido entre “El modelo de ordenación en el Área litoral se zonifica” y “en los que los usos de producción pueden compatibilizarse con la protección”; arts. 10; 11.2; 12.1, 2, 5 y 6 e) y f); 14.1 e inciso “la consecución de una malla de espacios libres, a fin de” del art. 14.3; 15.3 en su inciso “de la necesidad”; 16 a) en su inciso “en particular en las bandas limítrofes con las grandes infraestructuras de comunicación, eléctricas y otras, estableciendo corredores verdes intermedios”; 20.2; 25 en su inciso “de Protección Costera y”; la palabra “vinculante” del art. 27.1 b); 37; 42.2 en su inciso “en el supuesto en que el acceso se realice a través de caminos agrícolas se mantendrá su carácter”; 45.1 y 3 y la mención “En el caso de núcleos preexistentes se promoverá la continuidad de la trama” del art. 45.2; 47.3; 50; 51 en su totalidad, alternativamente, 51.3 y 4 y, subsidiariamente, los incisos “y con independencia de la clasificación urbanística” y “en cuyo caso sus determinaciones prevalecerán sobre las de este Plan” del art. 51.3 y el inciso “y con independencia de la clasificación urbanística de los suelos” del art. 51.4; 52; 53; 54 en su totalidad y alternativamente el inciso “y con independencia de su clasificación urbanística” la letra a) y la letra b) íntegra; 55; 56; 57; del art. 60.2 el inciso “debiendo destinar, aquellos de más de 5.000 habitantes, al menos </w:t>
      </w:r>
      <w:r>
        <w:lastRenderedPageBreak/>
        <w:t>la quinta parte de la cantidad a la que se refiere el artículo 231 de la Ley de Cantabria 2/2001, de 25 de junio, para la adquisición de ese suelo litoral” y 65. Igualmente, las disposiciones adicionales tercera; cuarta, en su totalidad y, subsidiariamente, los incisos “de viviendas sometidas a algún régimen de protección pública, así como de” de su apartado primero y el inciso “suelo urbano” de su apartado tercero; transitorias tercera y cuarta, el apartado segundo de la transitoria quinta y el apartado segundo de la transitoria octava, así como el inciso “o de oficio por la Consejería competente en materia de ordenación del territorio y urbanismo”, a los efectos de su posible exclusión del ámbito de aplicación de esta Ley de la disposición transitoria duodécima, y la disposición final primera. Por último se solicita la declaración de inconstitucionalidad de los anexos I y III.</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2 de febrero de 2005, la Sección Cuarta de este Tribunal acordó admitir a trámite el presente recurso de inconstitucionalidad, así como dar traslado de la demanda y documentos presentados, de conformidad con el art. 34 de la Ley Orgánica del Tribunal Constitucional (LOTC), al Congreso de los Diputados y al Senado por conducto de sus Presidentes, al Gobierno a través del Ministro de Justicia y al Gobierno y al Parlamento de Cantabria por conducto de sus respectivos Presidentes, al objeto de que en el plazo de quince días pudiesen personarse en el proceso y formular las alegaciones que estimaran convenientes; y publicar la incoación del recurso en el “Boletín Oficial del Estado”, lo que se llevó a efecto en el núm. 45, de 22 de febrero de 2005, y en el “Boletín Oficial de Cantabria”.</w:t>
      </w:r>
    </w:p>
    <w:p w:rsidR="0085709A" w:rsidRDefault="0085709A" w:rsidP="0085709A">
      <w:pPr>
        <w:pStyle w:val="TextoNormal"/>
      </w:pPr>
    </w:p>
    <w:p w:rsidR="0085709A" w:rsidRDefault="0085709A" w:rsidP="0085709A">
      <w:pPr>
        <w:pStyle w:val="TextoNormal"/>
      </w:pPr>
      <w:r w:rsidRPr="0085709A">
        <w:rPr>
          <w:rStyle w:val="NumeroAFNegritaCaracter"/>
        </w:rPr>
        <w:t>3</w:t>
      </w:r>
      <w:r>
        <w:t>. El 16 de febrero de 2005, el Abogado del Estado, actuando en la representación que ostenta, comunicó que no iba a formular alegaciones y que se personaba en este proceso a los efectos de que en su día se le notifiquen las resoluciones que en él se dicten. El siguiente día 21 se registró un escrito del Presidente del Congreso de los Diputados comunicando el acuerdo adoptado por la Mesa de la Cámara en el sentido de no personarse en el procedimiento ni formular alegaciones. El 24 de febrero se recibió el escrito trasladando el acuerdo adoptado el 22 de febrero de 2005 por el Presidente del Senado dando por personada a la Cámara en el presente proceso constitucional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4</w:t>
      </w:r>
      <w:r>
        <w:t>. Actuando en representación del Parlamento de Cantabria, el 24 de febrero de 2005 se personó en este proceso su Letrado Secretario General, solicitando una prórroga del plazo conferido para formular alegaciones. Por providencia de 28 de febrero de 2005 la Sección Cuarta acordó ampliar en ocho días el plazo inicialmente concedido por proveído de 2 de febrero anterior.</w:t>
      </w:r>
    </w:p>
    <w:p w:rsidR="0085709A" w:rsidRDefault="0085709A" w:rsidP="0085709A">
      <w:pPr>
        <w:pStyle w:val="TextoNormal"/>
      </w:pPr>
    </w:p>
    <w:p w:rsidR="0085709A" w:rsidRDefault="0085709A" w:rsidP="0085709A">
      <w:pPr>
        <w:pStyle w:val="TextoNormal"/>
      </w:pPr>
      <w:r w:rsidRPr="0085709A">
        <w:rPr>
          <w:rStyle w:val="NumeroAFNegritaCaracter"/>
        </w:rPr>
        <w:t>5</w:t>
      </w:r>
      <w:r>
        <w:t>. El 10 de marzo de 2005 la representación procesal del Gobierno de Cantabria presentó en el Registro General de este Tribunal su escrito de alegaciones en el que, tras referirse al “contenido y finalidades de la Ley 2/2004”, sus antecedentes y tramitación, expone los motivos por los que solicita la íntegra desestimación de este recurso de inconstitucionalidad.</w:t>
      </w:r>
    </w:p>
    <w:p w:rsidR="0085709A" w:rsidRDefault="0085709A" w:rsidP="0085709A">
      <w:pPr>
        <w:pStyle w:val="TextoNormal"/>
      </w:pPr>
    </w:p>
    <w:p w:rsidR="0085709A" w:rsidRDefault="0085709A" w:rsidP="0085709A">
      <w:pPr>
        <w:pStyle w:val="TextoNormal"/>
      </w:pPr>
      <w:r>
        <w:t xml:space="preserve">a) Se dedica un primer apartado a las “cuestiones generales y comunes a todo el recurso”, en el que se reitera que el canon de enjuiciamiento de las leyes autonómicas está integrado por el bloque de constitucionalidad en los términos del art. 28.1 LOTC, del que no forman </w:t>
      </w:r>
      <w:r>
        <w:lastRenderedPageBreak/>
        <w:t>parte las normas de Derecho europeo (STC 41/2002, FJ 2). En particular, rechaza la representación del Gobierno cántabro la pretensión de erigir los diferentes preceptos de la Ley de bases de régimen local en otras tantas normas integrantes del bloque de constitucionalidad. Apunta, asimismo, que no es este lugar oportuno para pronunciarse acerca de la eventual existencia de discordancias entre la Ley impugnada y otras normas autonómicas, como puede suceder con la Ley 2/2001, de 25 de junio, de ordenación territorial y régimen urbanístico del suelo de Cantabria, o la Ley 5/2002, de 24 de julio, de medidas cautelares urbanísticas en el ámbito del litoral, ni de los efectos que hayan de derivarse de tales discordancias.</w:t>
      </w:r>
    </w:p>
    <w:p w:rsidR="0085709A" w:rsidRDefault="0085709A" w:rsidP="0085709A">
      <w:pPr>
        <w:pStyle w:val="TextoNormal"/>
      </w:pPr>
    </w:p>
    <w:p w:rsidR="0085709A" w:rsidRDefault="0085709A" w:rsidP="0085709A">
      <w:pPr>
        <w:pStyle w:val="TextoNormal"/>
      </w:pPr>
      <w:r>
        <w:t>b) Pasa seguidamente la representación procesal del Gobierno de Cantabria a dar réplica a los argumentos en los que se funda “la pretendida vulneración de la legislación básica estatal en materia de medio ambiente (art. 149.1.23 CE). La evaluación de impacto ambiental”.</w:t>
      </w:r>
    </w:p>
    <w:p w:rsidR="0085709A" w:rsidRDefault="0085709A" w:rsidP="0085709A">
      <w:pPr>
        <w:pStyle w:val="TextoNormal"/>
      </w:pPr>
    </w:p>
    <w:p w:rsidR="0085709A" w:rsidRDefault="0085709A" w:rsidP="0085709A">
      <w:pPr>
        <w:pStyle w:val="TextoNormal"/>
      </w:pPr>
      <w:r>
        <w:t>Al respecto precisa que sólo la normativa básica estatal puede ser considerada parámetro de constitucionalidad de la Ley, no así el Derecho europeo ni la legislación de la propia Comunidad Autónoma de Cantabria (en este caso, la Ley 5/2002, que traspuso la Directiva 2001/42/CEE). Dicho lo cual, sostiene la Letrada autonómica que la Ley 2/2004 no tiene encaje en el concepto de “proyecto” recogido en dicha normativa básica que su propio rango normativo descarta el sometimiento del texto legal al trámite de evaluación de impacto ambiental.</w:t>
      </w:r>
    </w:p>
    <w:p w:rsidR="0085709A" w:rsidRDefault="0085709A" w:rsidP="0085709A">
      <w:pPr>
        <w:pStyle w:val="TextoNormal"/>
      </w:pPr>
    </w:p>
    <w:p w:rsidR="0085709A" w:rsidRDefault="0085709A" w:rsidP="0085709A">
      <w:pPr>
        <w:pStyle w:val="TextoNormal"/>
      </w:pPr>
      <w:r>
        <w:t>En cuanto a lo primero, recuerda la Letrada autonómica que el Derecho europeo ha diseñado diversas técnicas dirigidas a introducir la variable ambiental en los procesos de toma de decisiones; entre otras, la evaluación de impacto ambiental de obras y proyectos y la evaluación ambiental estratégica de planes y programas (Directivas 85/377/CEE y 2001/42/CE). En el momento de interponerse este recurso de inconstitucionalidad sólo la primera de estas figuras se había incorporado al Derecho interno mediante la aprobación del Real Decreto Legislativo 1302/1986. La Directiva 2001/42/CE no había sido traspuesta al momento de elaborarse la Ley de la Asamblea de Cantabria 2/2004, sin que, por entonces, hubieran trascurrido los plazos establecidos en el art. 13.1 de la propia Directiva para adaptar las legislaciones nacionales y para su aplicación a los planes y programas —21 de julio de 2004—, toda vez que los actos preparatorios formales del plan de ordenación del litoral son anteriores a esta fecha (el anteproyecto de ley se aprobó el 31 de marzo de 2004).</w:t>
      </w:r>
    </w:p>
    <w:p w:rsidR="0085709A" w:rsidRDefault="0085709A" w:rsidP="0085709A">
      <w:pPr>
        <w:pStyle w:val="TextoNormal"/>
      </w:pPr>
    </w:p>
    <w:p w:rsidR="0085709A" w:rsidRDefault="0085709A" w:rsidP="0085709A">
      <w:pPr>
        <w:pStyle w:val="TextoNormal"/>
      </w:pPr>
      <w:r>
        <w:t xml:space="preserve">Hecha esta precisión, la Letrada autonómica expone las razones por las que defiende la improcedencia de calificar la Ley 2/2004 como “proyecto” a los efectos de la Directiva 85/337. En particular subraya que el término “proyecto”, según resulta de la propia Directiva y del Reglamento de desarrollo del Real Decreto Legislativo 1302/1986, aprobado por Real Decreto 1131/1988, se conecta con “la autorización o realización de una obra, instalación o actividad, y alude a los instrumentos de realización o ejecución de obras que deben tener carácter definido y ejecutivo”. El propio Tribunal Constitucional habría partido de esta misma interpretación en la STC 13/1998, de 22 de enero, y otro tanto habrían hecho el Tribunal Supremo y los Tribunales Superiores de Justicia. El hecho de que la Sala de lo Contencioso-Administrativo haya considerado incluidos los planes urbanísticos entre los “proyectos” a los que se hace referencia en la Directiva 85/337 no contradice esta conclusión pues estos instrumentos de planeamiento llevan a cabo por sí mismos la transformación </w:t>
      </w:r>
      <w:r>
        <w:lastRenderedPageBreak/>
        <w:t>urbanística del suelo y fijan su ordenación. Por el contrario, el plan de ordenación del litoral ni clasifica el suelo ni impone el desarrollo urbanístico de determinados espacios ni prevé tan siquiera su transformación, limitándose a establecer unos estándares que el planificador deberá respetar. Así sucede con las áreas periurbanas y de modelo tradicional, cuya transformación no impone la Ley sino que remite al planificador municipal, o con las actuaciones integrales estratégicas productivas. En este último caso, de acuerdo con la Ley de ordenación territorial y régimen urbanístico del suelo, corresponde a la Ley 2/2004 elaborar las propuestas de actuaciones, orientar la implantación de infraestructuras, señalar la localización y ejecución de infraestructuras y equipamientos autonómicos, sin que ello suponga la transformación directa del suelo; los propios recurrentes convienen en este punto al reconocer que no se sabe “en qué van a consistir” ni cuándo se materializarán estas actuaciones.</w:t>
      </w:r>
    </w:p>
    <w:p w:rsidR="0085709A" w:rsidRDefault="0085709A" w:rsidP="0085709A">
      <w:pPr>
        <w:pStyle w:val="TextoNormal"/>
      </w:pPr>
    </w:p>
    <w:p w:rsidR="0085709A" w:rsidRDefault="0085709A" w:rsidP="0085709A">
      <w:pPr>
        <w:pStyle w:val="TextoNormal"/>
      </w:pPr>
      <w:r>
        <w:t>Tampoco dispone el plan la total eliminación de la cubierta vegetal arbustiva o arbórea de todos los terrenos incluidos en las actuaciones integrales estratégicas, como sostienen de contrario los recurrentes. Será cuando se proceda a la efectiva transformación cuando deban evaluarse sus repercusiones ambientales y no en un momento muy anterior, como es la Ley aquí impugnada. En opinión de la Letrada autonómica, la sola lectura de la Ley no permite conocer con precisión el espacio que abarcará el concreto proyecto ni la efectiva ocupación de los terrenos, debiendo esperarse a la elaboración de los proyectos singulares de interés regional, instrumentos de ordenación territorial que detallan y fijan las características técnicas de los proyectos y que, en cuanto tales, están sujetos a la evaluación de impacto ambiental.</w:t>
      </w:r>
    </w:p>
    <w:p w:rsidR="0085709A" w:rsidRDefault="0085709A" w:rsidP="0085709A">
      <w:pPr>
        <w:pStyle w:val="TextoNormal"/>
      </w:pPr>
    </w:p>
    <w:p w:rsidR="0085709A" w:rsidRDefault="0085709A" w:rsidP="0085709A">
      <w:pPr>
        <w:pStyle w:val="TextoNormal"/>
      </w:pPr>
      <w:r>
        <w:t>La Letrada autonómica hace hincapié en que las características del plan de ordenación del litoral aprobado por la Ley controvertida impiden la realización de una evaluación de impacto ambiental. Podría pensarse, ciertamente, en una evaluación estratégica, como la establecida en la Directiva de 2001 y que no había sido transpuesta al Derecho interno al momento de aprobarse la Ley del Parlamento de Cantabria 2/2004. En particular, hace hincapié en que, de acuerdo con la doctrina sentada por este Tribunal en la STC 13/1998 y el Tribunal de Justicia de las Comunidades Europeas en la Sentencia de 19 de septiembre de l999 (asunto C-435/1997), las leyes no son objeto idóneo de la evaluación de impacto ambiental. A mayor abundamiento, señala que “el Parlamento ha podido valorar la variable ambiental a la hora de aprobar la Ley 2/2004 a la vista de la documentación remitida por el Gobierno y de los medios técnicos puestos a su disposición para su conocimiento y análisis”. De entre esa documentación singulariza el diagnóstico territorial del litoral de Cantabria realizado por la Universidad de Cantabria, de cuyo índice se aporta copia, y el sistema de información geográfica, cuya cartografía sirvió de bases para la valoración de las distintas unidades territoriales. Ejemplifica la utilización de esta documentación en las actuaciones integrales estratégicas productivas del área de Castro Urdiales, Marina de Cudeyo-Medio Cudeyo, Piélagos-Villaescusa, Parque Científico Tecnológico de Santander y Val de San Vicente.</w:t>
      </w:r>
    </w:p>
    <w:p w:rsidR="0085709A" w:rsidRDefault="0085709A" w:rsidP="0085709A">
      <w:pPr>
        <w:pStyle w:val="TextoNormal"/>
      </w:pPr>
    </w:p>
    <w:p w:rsidR="0085709A" w:rsidRDefault="0085709A" w:rsidP="0085709A">
      <w:pPr>
        <w:pStyle w:val="TextoNormal"/>
      </w:pPr>
      <w:r>
        <w:t xml:space="preserve">Como corolario de todo lo anterior, la Letrada autonómica expone las siguientes conclusiones: “La normativa básica estatal no exige que las leyes se sujeten a evaluación de impacto ambiental sino que únicamente impone esta técnica para la aprobación de ‘proyectos’, expresión que no es aplicable al POL [plan de ordenación del litoral] en el sentido que debe darse al término de acuerdo con la legislación comunitaria y estatal y con la jurisprudencia del TC, TJCE, TS y TTSSJJ. No obstante, durante la tramitación parlamentaria del proyecto </w:t>
      </w:r>
      <w:r>
        <w:lastRenderedPageBreak/>
        <w:t>de Ley, dada la información remitida al Parlamento, éste ha podido valorar y ha valorado, de hecho, la variable ambiental, al probar la Ley 2/2004.”</w:t>
      </w:r>
    </w:p>
    <w:p w:rsidR="0085709A" w:rsidRDefault="0085709A" w:rsidP="0085709A">
      <w:pPr>
        <w:pStyle w:val="TextoNormal"/>
      </w:pPr>
    </w:p>
    <w:p w:rsidR="0085709A" w:rsidRDefault="0085709A" w:rsidP="0085709A">
      <w:pPr>
        <w:pStyle w:val="TextoNormal"/>
      </w:pPr>
      <w:r>
        <w:t>c) Se refiere luego la representación procesal del Gobierno de Cantabria al procedimiento seguido para la elaboración y aprobación de la Ley 2/2004 y la garantía institucional de la autonomía local.</w:t>
      </w:r>
    </w:p>
    <w:p w:rsidR="0085709A" w:rsidRDefault="0085709A" w:rsidP="0085709A">
      <w:pPr>
        <w:pStyle w:val="TextoNormal"/>
      </w:pPr>
    </w:p>
    <w:p w:rsidR="0085709A" w:rsidRDefault="0085709A" w:rsidP="0085709A">
      <w:pPr>
        <w:pStyle w:val="TextoNormal"/>
      </w:pPr>
      <w:r>
        <w:t>Al respecto, la Letrada autonómica centra su atención en la consideración del derecho a participar en asuntos que afecten al círculo de intereses de las Administraciones locales como un derecho de configuración legal. Caracterización que le permite rechazar la pretensión de que la participación de los municipios afectados debiera haberse llevado a cabo mediante un trámite de audiencia previo a la propuesta de resolución o que debiera haberse reiterado tras la aprobación provisional, como si estuviéramos ante un plan urbanístico. A su juicio, los recurrentes pretenden elevar a la categoría de normas integrantes del bloque de constitucionalidad determinadas previsiones legales reguladoras de procedimientos administrativos concretos, cuando, en rigor, la propia Ley de bases de régimen local remite a la legislación sectorial la concreción de la intervención de los entes locales en asuntos de su interés. Y es que, como ha destacado la STC 40/1998, la Constitución no identifica un contenido concreto o un ámbito competencial determinado de la autonomía local. Consecuentemente con la doctrina sentada en esta Sentencia y en la STC 51/2004, el legislador autonómico está facultado para regular el urbanismo y otorgar a los entes locales mayor o menor presencia y participación en los diversos ámbitos de la actividad urbanística, con el límite de que esos entes locales puedan ser reconocidos por los ciudadanos como instancias autónomas de toma de decisiones.</w:t>
      </w:r>
    </w:p>
    <w:p w:rsidR="0085709A" w:rsidRDefault="0085709A" w:rsidP="0085709A">
      <w:pPr>
        <w:pStyle w:val="TextoNormal"/>
      </w:pPr>
    </w:p>
    <w:p w:rsidR="0085709A" w:rsidRDefault="0085709A" w:rsidP="0085709A">
      <w:pPr>
        <w:pStyle w:val="TextoNormal"/>
      </w:pPr>
      <w:r>
        <w:t>Sentado esto, la Letrada parlamentaria defiende que en el procedimiento de elaboración de la Ley territorial 2/2004 no se ha desconocido el principio de participación. Se trata de una ley de ordenación territorial con prioritaria aplicabilidad a la zona costera de la Comunidad Autónoma y no al resto del territorio autonómico, pues se excluyen los suelos urbanos y urbanizables con plan parcial definitivamente aprobado al momento de entrada en vigor de la Ley, que cuenten con algún régimen especial de protección o con un plan de ordenación de los recursos naturales.</w:t>
      </w:r>
    </w:p>
    <w:p w:rsidR="0085709A" w:rsidRDefault="0085709A" w:rsidP="0085709A">
      <w:pPr>
        <w:pStyle w:val="TextoNormal"/>
      </w:pPr>
    </w:p>
    <w:p w:rsidR="0085709A" w:rsidRDefault="0085709A" w:rsidP="0085709A">
      <w:pPr>
        <w:pStyle w:val="TextoNormal"/>
      </w:pPr>
      <w:r>
        <w:t xml:space="preserve">Sostiene la Letrada autonómica que al tratarse de una ley y no existir en nuestro Derecho la distinción entre ley en sentido formal y material, no es posible proyectar sobre ella categorías y formas de argumentar adecuadas para el análisis de decisiones administrativas. De modo que si la tramitación de la Ley 2/2004 no hubiera seguido el procedimiento previsto en la Ley 2/2001, de ordenación territorial y régimen urbanístico del suelo de Cantabria (arts. 16 y 17) o el establecido en la Ley de bases de régimen local para la aprobación de los instrumentos de planeamiento (art. 58.2), no por ello merecería reproche alguno de inconstitucionalidad. Dicho esto, la Letrada deja constancia de que la aprobación de la Ley se ha llevado a cabo siguiendo el procedimiento establecido por el legislador autonómico en la Ley 2/2001: antes de elaborarse el anteproyecto, la Consejería competente recabó datos, informes y opiniones de cada ayuntamiento, como prevé el art. 16 b) de dicha Ley, y a la aprobación inicial del plan de ordenación del litoral por la Comisión de Ordenación del Territorio y Urbanismo siguió un trámite de información pública y audiencia a los municipios, que dio lugar a una reformulación del plan antes de ser remitido a la Consejería para su aprobación como proyecto de Ley por el Gobierno autonómico. Lo que no exige la Ley </w:t>
      </w:r>
      <w:r>
        <w:lastRenderedPageBreak/>
        <w:t>2/2001 ni ninguna otra norma con idéntico rango, es someter el proyecto reformulado a una nueva fase de información pública, hipótesis que carecería de fundamento cabal, de acuerdo con el dictamen del Consejo de Estado de 3 febrero de 2005, emitido a solicitud de varios municipios de Cantabria con requisito previo al planteamiento de un conflicto en defensa de la autonomía local frente a la Ley 2/2004.</w:t>
      </w:r>
    </w:p>
    <w:p w:rsidR="0085709A" w:rsidRDefault="0085709A" w:rsidP="0085709A">
      <w:pPr>
        <w:pStyle w:val="TextoNormal"/>
      </w:pPr>
    </w:p>
    <w:p w:rsidR="0085709A" w:rsidRDefault="0085709A" w:rsidP="0085709A">
      <w:pPr>
        <w:pStyle w:val="TextoNormal"/>
      </w:pPr>
      <w:r>
        <w:t>Seguidamente, la Letrada autonómica expone de manera circunstanciada el alcance de las modificaciones introducidas entre la aprobación inicial y provisional del plan, a fin de poner de relieve que “ni las modificaciones introducidas son las indicadas interesadamente por los recurrentes ni determinan un cambio en el modelo propuesto”. En particular, pone de manifiesto las modificaciones resultantes de la estimación de las alegaciones en su día presentadas por el propio Partido Popular (preceptos relativos al ámbito de aplicación, el concepto de capacidad de carga, el informe de impacto territorial o la clasificación de las playas, entre otros), al que pertenecen los parlamentarios promotores del presente recurso de inconstitucionalidad, así como aquellas otras con las que se trataba de preservar la coherencia del proyecto con el marco normativo de ordenación territorial entonces vigente (cambios en la zonificación, o en el precepto relativo a la adaptación del planeamiento urbanístico en las actuaciones integrales estratégicas). En resumen, de los 74 artículos del texto aprobado provisionalmente, 32 no habían sufrido alteración alguna; del resto, 22 fueron modificados como consecuencia de la aceptación de alegaciones presentadas por el Partido Popular, 6 para su adaptación a la legislación de ordenación territorial y 5 fueron objeto de nueva redacción (red ferroviaria, área no litoral, estudios agrológicos, inventario de humedales y red de custodia del territorio). De los preceptos nuevamente redactados o modificados a resultas de la aceptación de las alegaciones formuladas por persona distinta del Partido Popular solo han sido impugnados los relativos al porcentaje de vivienda de protección oficial, los objetivos y terrenos sobre los que pueden proyectarse las actuaciones integrales estratégicas y la integración del área no litoral en el área de ordenación.</w:t>
      </w:r>
    </w:p>
    <w:p w:rsidR="0085709A" w:rsidRDefault="0085709A" w:rsidP="0085709A">
      <w:pPr>
        <w:pStyle w:val="TextoNormal"/>
      </w:pPr>
    </w:p>
    <w:p w:rsidR="0085709A" w:rsidRDefault="0085709A" w:rsidP="0085709A">
      <w:pPr>
        <w:pStyle w:val="TextoNormal"/>
      </w:pPr>
      <w:r>
        <w:t>d) Tras remitirse a lo anteriormente expuesto para rechazar el reproche de vulneración de la legislación básica ambiental y de infracción de la garantía institucional de la autonomía local dirigido por los recurrentes frente a diversos preceptos de la Ley 2/2004, la Letrada autonómica pasa a defender la constitucionalidad de la regulación que esta Ley contiene de las actuaciones integrales estratégicas y los proyectos singulares de interés regional.</w:t>
      </w:r>
    </w:p>
    <w:p w:rsidR="0085709A" w:rsidRDefault="0085709A" w:rsidP="0085709A">
      <w:pPr>
        <w:pStyle w:val="TextoNormal"/>
      </w:pPr>
    </w:p>
    <w:p w:rsidR="0085709A" w:rsidRDefault="0085709A" w:rsidP="0085709A">
      <w:pPr>
        <w:pStyle w:val="TextoNormal"/>
      </w:pPr>
      <w:r>
        <w:t xml:space="preserve">Comienza sus alegaciones poniendo de relieve la existencia de dos clases de actuaciones integrales estratégicas: las que se delimitan gráficamente en el anexo III y se regulan en los arts. 51.1 y 2 y 52 a 57, y aquellas otras que pueden delimitarse mediante proyectos singulares de interés regional (art. 51.3 y 4). Añade que el plan de ordenación del litoral solo introduce algunas particularidades en el acabado régimen jurídico de actuaciones y proyectos establecido por la Ley 2/2001, a la que se remite y cuya validez no ha sido controvertida. Concretamente, la intervención municipal en la delimitación y ordenación de estos instrumentos de planeamiento se regula íntegramente en la Ley 2/2001, introduciéndose únicamente la novedad de que la delimitación de proyectos singulares que desarrollen actuaciones integrales delimitadas en el anexo III del plan de ordenación del litoral lleva implícita su declaración de interés regional [art. 54 b)], sin que ello constituya vulneración de la autonomía local. Por el contrario, en los proyectos singulares que delimiten nuevas actuaciones integrales será precisa la declaración formal de interés regional en los términos del art. 28 de la Ley 2/2001, pues la Ley 2/2004 no regula en absoluto el procedimiento de aprobación </w:t>
      </w:r>
      <w:r>
        <w:lastRenderedPageBreak/>
        <w:t>de estos proyectos singulares de interés regional. Añade que los proyectos singulares no son instrumentos que permitan a la Comunidad Autónoma intervenir en la esfera municipal sino mecanismos, como existen en todas las Comunidades Autónomas, que permiten el desarrollo de actuaciones que exceden de las posibilidades ordinarias de los entes locales. Es perfectamente posible, por ello mismo, que la iniciativa de elaboración de un proyecto singular parta de la propia entidad local, como lo demuestra el hecho de que durante la fase de alegaciones los Ayuntamientos de Valdáliga y Limpias solicitaron la delimitación en sus términos municipales de sendas actuaciones integrales estratégicas industriales.</w:t>
      </w:r>
    </w:p>
    <w:p w:rsidR="0085709A" w:rsidRDefault="0085709A" w:rsidP="0085709A">
      <w:pPr>
        <w:pStyle w:val="TextoNormal"/>
      </w:pPr>
    </w:p>
    <w:p w:rsidR="0085709A" w:rsidRDefault="0085709A" w:rsidP="0085709A">
      <w:pPr>
        <w:pStyle w:val="TextoNormal"/>
      </w:pPr>
      <w:r>
        <w:t>A los motivos de impugnación del título IV y del anexo III de la Ley opone la Letrada autonómica los mismos argumentos ya expuestos en relación con la impugnación de la totalidad de la Ley por vulneración de la normativa básica estatal en materia de protección ambiental. Reitera, a este respecto, que el plan de ordenación del litoral no es un “proyecto” sujeto a evaluación de impacto ambiental y que las actuaciones integrales estratégicas no conllevan la eliminación completa de la cubierta vegetal arbustiva o arbórea de todos los terrenos en ellas comprendidos. No es así, particularmente, en las actuaciones integrales estratégicas ambientales y de reordenación, entre cuyos objetivos figura la recuperación paisajística y geomorfológica, la protección de hábitats existentes, recuperación de dunas, etc. Por lo demás, de acuerdo con lo establecido en su art. 53, la entrada en vigor de la Ley no implica transformación de suelos sino mantenimiento de los usos existentes y la implantación de otros compatibles con los objetivos de cada actuación. Son los proyectos singulares de interés regional los que deben someterse a evaluación de impacto ambiental.</w:t>
      </w:r>
    </w:p>
    <w:p w:rsidR="0085709A" w:rsidRDefault="0085709A" w:rsidP="0085709A">
      <w:pPr>
        <w:pStyle w:val="TextoNormal"/>
      </w:pPr>
    </w:p>
    <w:p w:rsidR="0085709A" w:rsidRDefault="0085709A" w:rsidP="0085709A">
      <w:pPr>
        <w:pStyle w:val="TextoNormal"/>
      </w:pPr>
      <w:r>
        <w:t xml:space="preserve">Rechaza igualmente la Letrada autonómica que la delimitación de las actuaciones integrales estratégicas por la Ley vulnere la autonomía municipal pues los municipios afectados participaron en el trámite de audiencia habido en la fase administrativa de elaboración del anteproyecto de ley. Con respecto a la intervención de los entes locales en el procedimiento de aprobación de los proyectos singulares de interés regional y de los planes especiales, hace hincapié en que estos instrumentos de planeamiento fueron regulados por la Ley 2/2001, de ordenación territorial y régimen urbanístico del suelo de Cantabria, cuya conformidad con la Constitución no se ha puesto en duda, limitándose la Ley 2/2004 a introducir las siguientes tres novedades: i) que los proyectos singulares hayan de incluir “las infraestructuras de conexión con los sistemas generales exteriores a la actuación que resulten necesarias”, ii) el incremento de finalidades a perseguir con estos proyectos singulares y iii) la posibilidad de ubicarlas en cualquier suelo, con independencia de su clasificación urbanística. En rigor, la primera de estas novedades no sería tal pues estaría implícita en el art. 27.1 d) de la Ley territorial 2/2001. En cuanto a la segunda, menciona la Letrada autonómica la implantación de viviendas sometidas a algún régimen de protección pública (art. 26.1 de la Ley 2/2004), las actuaciones integrales de carácter turístico, deportivo o cultural (art. 51.3), o ambiental (art. 51.4). La ampliación de objetivos de los proyectos singulares es fruto del ejercicio por el legislador autonómico de títulos competenciales propios (planificación de la actividad económica, turismo, deporte, industria, protección ambiental…), que no puede merecer reproche alguno de inconstitucionalidad por vulneración de la autonomía local pues concurre un evidente interés supralocal en la regulación normativa que se controvierte. Cosa distinta es que ese mismo interés se halle presente en las concretas actuaciones que en su día se adopten. Por lo que atañe a la posibilidad de ubicar proyectos singulares en cualquier clase de suelo, la innovación normativa se ha llevado a cabo mediante la reforma de la Ley 2/2001 y el establecimiento de nuevas previsiones legales [en particular, </w:t>
      </w:r>
      <w:r>
        <w:lastRenderedPageBreak/>
        <w:t>arts. 51. 3 y 4, y 54 a) de la Ley 2/2004]. Afirma la Letrada autonómica que no “comprende cuál es el ataque a la autonomía local porque una norma con rango de Ley permita la aprobación y desarrollo [de los proyectos singulares], en principio, en toda clase de suelo.” Realmente, lo que se cuestiona es que esas actuaciones se puedan llevar a cabo en contra de las determinaciones del planeamiento municipal, algo perfectamente legítimo cuando concurre, como aquí, un interés supralocal (STC 170/1989). El problema es de jerarquía normativa entre planes, un problema ya resuelto por la Ley 2/2001, que se decanta por la vinculatoriedad de los proyectos para los planes municipales.</w:t>
      </w:r>
    </w:p>
    <w:p w:rsidR="0085709A" w:rsidRDefault="0085709A" w:rsidP="0085709A">
      <w:pPr>
        <w:pStyle w:val="TextoNormal"/>
      </w:pPr>
    </w:p>
    <w:p w:rsidR="0085709A" w:rsidRDefault="0085709A" w:rsidP="0085709A">
      <w:pPr>
        <w:pStyle w:val="TextoNormal"/>
      </w:pPr>
      <w:r>
        <w:t>Niega la Letrada autonómica que la regulación de los proyectos singulares de interés regional atente en modo alguno contra el principio de igualdad, pues no toda diferencia de trato dispensada por el legislador representa de suyo discriminación contraria al art. 14 CE. Menos, si cabe, cuando se trata de diferencias reguladoras expresamente buscadas en aras de facilitar una adecuada gestión de los intereses locales en el ámbito urbanístico, como aquí sucede, siempre en opinión de la Letrada de los servicios jurídicos del Gobierno de Cantabria.</w:t>
      </w:r>
    </w:p>
    <w:p w:rsidR="0085709A" w:rsidRDefault="0085709A" w:rsidP="0085709A">
      <w:pPr>
        <w:pStyle w:val="TextoNormal"/>
      </w:pPr>
    </w:p>
    <w:p w:rsidR="0085709A" w:rsidRDefault="0085709A" w:rsidP="0085709A">
      <w:pPr>
        <w:pStyle w:val="TextoNormal"/>
      </w:pPr>
      <w:r>
        <w:t>e) Responde a continuación la Letrada autonómica a los motivos impugnatorios específicamente dirigidos frente a los preceptos de la Ley recurridos. Respuesta que comienza con la indicación de que “no existen razones suficientes para entrar a examinar el fondo” de la controversia referida a los títulos preliminar, primero, segundo y tercero, las disposiciones transitorias tercera, cuarta, quinta, duodécima (erróneamente identificada en el escrito rector del proceso como undécima), disposición final primera y anexo I, “dado que la supuesta inconstitucionalidad de los mismos ha quedado insuficientemente alegada en el escrito de demanda”. Los recurrentes citan los arts. 4.1 c), 10.3, 25.2 d), 55 a) y b) y 58.2 LBRL afirmando que integran el bloque de constitucionalidad aquí aplicable de acuerdo con las SSTC 27/1987, de 27 de febrero, y 109/1998, de 26 de mayo. Sin embargo, partiendo de la primera de que en estas resoluciones no se atribuye la condición de normas del bloque a todos los preceptos de dicha Ley, falta tanto la justificación de esa caracterización para los artículos de la Ley de bases de régimen local invocados como la argumentación que permita concluir que los preceptos de la Ley autonómica 2/2004 concretamente impugnados vulneran, en efecto, dichas normas del bloque. Falta, por consiguiente, un riguroso planteamiento impugnatorio.</w:t>
      </w:r>
    </w:p>
    <w:p w:rsidR="0085709A" w:rsidRDefault="0085709A" w:rsidP="0085709A">
      <w:pPr>
        <w:pStyle w:val="TextoNormal"/>
      </w:pPr>
    </w:p>
    <w:p w:rsidR="0085709A" w:rsidRDefault="0085709A" w:rsidP="0085709A">
      <w:pPr>
        <w:pStyle w:val="TextoNormal"/>
      </w:pPr>
      <w:r>
        <w:t xml:space="preserve">Seguidamente introduce unas consideraciones generales sobre la autonomía local, el urbanismo y la ordenación del territorio, para defender la constitucionalidad de la Ley, cuyo fundamento competencial ha de buscarse en el título relativo a la ordenación del territorio, función pública cuyo origen se encuentra en la necesidad de controlar la utilización espontánea del territorio. Con esta función pública se trata de corregir los desequilibrios que existan, así como plasmar especialmente políticas supramunicipales respetuosas con la autonomía local. La primera vertiente conlleva la organización del espacio, canalización de actividades e instalaciones, servicios y asentamientos. En cuanto a lo segundo, destaca la Letrada autonómica la existencia de una “línea de continuidad entre la política económica general, la ordenación del territorio, la planificación urbanística y la política de la vivienda en la que finalmente se plasma y concreta todo”. Ese continuo integra competencias autonómicas y locales, cuya relación debe articular el legislador, quien establece el marco y encuadramiento de las funciones urbanísticas cuyo ejercicio encomienda a los entes locales. (STC 14/2004, de 12 de febrero). Hace hincapié, igualmente, en la sustantividad propia que debe </w:t>
      </w:r>
      <w:r>
        <w:lastRenderedPageBreak/>
        <w:t>reconocerse a la competencia sobre ordenación territorial, de modo que las determinaciones establecidas por el legislador competente en esta materia han de imponerse al planificador urbanístico, vinculación que “forma parte de la lógica misma de la ordenación territorial pues sin la proyección de los criterios genéricos al plano más concreto del municipio, aquélla dejaría de ser una política para convertirse en una serie de principios informadores sin virtualidad jurídica destacada”. Tras dar cuenta de la relación existente entre ordenación territorial y política de vivienda, concluye la Letrada autonómica que “la interrelación, de mayor a menor, de las tres perspectivas que constan en el título competencial estatutario (ordenación territorial, urbanismo y vivienda) halla así una visión integradora de ópticas complementarias que no sólo no vulneran la autonomía local, sino que, conforman una visión omnicomprensiva del territorio, tanto desde el punto de vista espacial como social; lo que, sin duda, puede incluirse en la idea del desarrollo integral y sostenible de una zona sensible como es la del ámbito de aplicación de la Ley 2/2004: los municipios costeros”.</w:t>
      </w:r>
    </w:p>
    <w:p w:rsidR="0085709A" w:rsidRDefault="0085709A" w:rsidP="0085709A">
      <w:pPr>
        <w:pStyle w:val="TextoNormal"/>
      </w:pPr>
    </w:p>
    <w:p w:rsidR="0085709A" w:rsidRDefault="0085709A" w:rsidP="0085709A">
      <w:pPr>
        <w:pStyle w:val="TextoNormal"/>
      </w:pPr>
      <w:r>
        <w:t>Con respecto a la autonomía local, recuerda la Letrada autonómica que la Constitución garantiza su existencia, pero no un elenco tasado de competencias propias y exclusivas, dependiendo su alcance y contenido de aquello que dispongan los legisladores competentes, que tienen como límite infranqueable la recognoscibilidad de la imagen que de la institución tenga la conciencia social en cada tiempo y lugar. En el caso del urbanismo, no se trata de una competencia exclusivamente local sino de una materia en la cual el legislador autonómico debe definir el alcance de la intervención local. Ciertamente, la Ley 2/2004 limita la discrecionalidad del planificador urbanístico municipal en aras de unos intereses superiores, pero no predetermina el modelo urbanístico. La Ley no clasifica el suelo sino que se limita a fijar estándares de obligado cumplimiento, dentro de los cuales han de moverse los entes locales. A estos corresponde clasificar y calificar urbanísticamente el suelo, respetando en todo caso la exclusión de edificaciones en pantalla o la acumulación de volúmenes en determinados espacios cercanos a la costa, densidades máximas de vivienda, niveles de equipamientos, etc. Son éstas regulaciones que tradicionalmente se han impuesto a los planificadores municipales y que limitan pero no lesionan la autonomía local.</w:t>
      </w:r>
    </w:p>
    <w:p w:rsidR="0085709A" w:rsidRDefault="0085709A" w:rsidP="0085709A">
      <w:pPr>
        <w:pStyle w:val="TextoNormal"/>
      </w:pPr>
    </w:p>
    <w:p w:rsidR="0085709A" w:rsidRDefault="0085709A" w:rsidP="0085709A">
      <w:pPr>
        <w:pStyle w:val="TextoNormal"/>
      </w:pPr>
      <w:r>
        <w:t>Del art. 3.1 de la Ley se impugna la frase “la tramitación de este procedimiento suspenderá el plazo para aprobar definitivamente el instrumento de planeamiento”, sin que se precise vulneración de precepto constitucional alguno. Se trata, sostiene la Letrada autonómica, de una previsión perfectamente integrable en el art. 72 de la Ley de ordenación territorial y régimen urbanístico del suelo, que permite la aprobación parcial de un plan general cuando las objeciones para su aprobación completa afecten a zonas o determinaciones tan concretas que, prescindiendo de ellas, el plan pueda ser objeto de aplicación coherente.</w:t>
      </w:r>
    </w:p>
    <w:p w:rsidR="0085709A" w:rsidRDefault="0085709A" w:rsidP="0085709A">
      <w:pPr>
        <w:pStyle w:val="TextoNormal"/>
      </w:pPr>
    </w:p>
    <w:p w:rsidR="0085709A" w:rsidRDefault="0085709A" w:rsidP="0085709A">
      <w:pPr>
        <w:pStyle w:val="TextoNormal"/>
      </w:pPr>
      <w:r>
        <w:t xml:space="preserve">En cuanto al art. 9.1 y el anexo I, recuerda que el plan de ordenación del litoral, dando cumplimiento a la previsión de la disposición adicional cuarta de la Ley 2/2001, zonifica los espacios en tres tipos, en función de su capacidad de carga: área periurbana, área de modelo tradicional y área de ordenación ecológica. El criterio empleado para ello por la Ley impugnada no es arbitrario ni contrario a la autonomía local al dar preponderancia al interés supramunicipal en la protección del medio ambiente y en la ordenación racional de los recursos naturales. En este contexto habrá de moverse la discrecionalidad del planificador municipal, lo que no supone vaciamiento alguno de las competencias urbanísticas locales. Como tampoco puede criticarse la no vinculación de los proyectos singulares, pues no son éstos instrumentos urbanísticos sino de ordenación territorial. Por lo demás, la prevalencia </w:t>
      </w:r>
      <w:r>
        <w:lastRenderedPageBreak/>
        <w:t>del interés supramunicipal halla reflejo, en lo que ahora interesaría, en el art. 20 de la Ley 6/1998.</w:t>
      </w:r>
    </w:p>
    <w:p w:rsidR="0085709A" w:rsidRDefault="0085709A" w:rsidP="0085709A">
      <w:pPr>
        <w:pStyle w:val="TextoNormal"/>
      </w:pPr>
    </w:p>
    <w:p w:rsidR="0085709A" w:rsidRDefault="0085709A" w:rsidP="0085709A">
      <w:pPr>
        <w:pStyle w:val="TextoNormal"/>
      </w:pPr>
      <w:r>
        <w:t>El art. 10 de la Ley define la “capacidad de carga”, concepto jurídico indeterminado que, de acuerdo con lo dispuesto en el art. 50, debe ser utilizado por los municipios al elaborar sus planes urbanísticos. No son en modo alguno excepcionales los mandatos dirigidos por el legislador a los planificadores municipales para que éstos presten especial atención a la salvaguardia de los valores ambientales y culturales del territorio. La introducción del concepto de capacidad de carga, que también figura en el plan territorial insular de Menorca, responde a esa preocupación constante. La verificación del efectivo respeto a esos valores corresponderá, en todo caso, a los tribunales contencioso-administrativos.</w:t>
      </w:r>
    </w:p>
    <w:p w:rsidR="0085709A" w:rsidRDefault="0085709A" w:rsidP="0085709A">
      <w:pPr>
        <w:pStyle w:val="TextoNormal"/>
      </w:pPr>
    </w:p>
    <w:p w:rsidR="0085709A" w:rsidRDefault="0085709A" w:rsidP="0085709A">
      <w:pPr>
        <w:pStyle w:val="TextoNormal"/>
      </w:pPr>
      <w:r>
        <w:t>La “capacidad de acogida”, calculada conforme a los parámetros del art. 12, determinará el umbral de crecimiento de cada núcleo (art. 11). En rigor, estos parámetros concretan las normas de aplicación directa de la Ley de ordenación territorial de Cantabria, cuyos arts. 32 y ss. imponen al planificador la obligación de prestar especial atención a la utilización racional de los recursos naturales. Se trata, en definitiva, de procurar un crecimiento ordenado que atienda a las necesidades efectivas del municipio y a sus posibilidades, un crecimiento respetuoso con el medio ambiente, paisaje y morfología de los núcleos, correspondiendo la selección última del modelo a los propios municipios.</w:t>
      </w:r>
    </w:p>
    <w:p w:rsidR="0085709A" w:rsidRDefault="0085709A" w:rsidP="0085709A">
      <w:pPr>
        <w:pStyle w:val="TextoNormal"/>
      </w:pPr>
    </w:p>
    <w:p w:rsidR="0085709A" w:rsidRDefault="0085709A" w:rsidP="0085709A">
      <w:pPr>
        <w:pStyle w:val="TextoNormal"/>
      </w:pPr>
      <w:r>
        <w:t>El art. 14 excluye del cómputo como espacios libres locales de los terrenos que, una vez urbanizados, cuenten con pendientes superiores al 10 por 100 en más de un 80 por 100 de su superficie. Es un estándar urbanístico que concreta el mandato genérico de accesibilidad de los espacios libres establecido por la Ley de ordenación territorial de Cantabria en sus arts. 39.1 y 40.1. La prohibición no solo es lógica sino susceptible de ser impuesta por una norma con rango de ley al planificador municipal.</w:t>
      </w:r>
    </w:p>
    <w:p w:rsidR="0085709A" w:rsidRDefault="0085709A" w:rsidP="0085709A">
      <w:pPr>
        <w:pStyle w:val="TextoNormal"/>
      </w:pPr>
    </w:p>
    <w:p w:rsidR="0085709A" w:rsidRDefault="0085709A" w:rsidP="0085709A">
      <w:pPr>
        <w:pStyle w:val="TextoNormal"/>
      </w:pPr>
      <w:r>
        <w:t>El art. 15.3 prohíbe con carácter general la implantación de explotaciones forestales a menos de 50 metros de los núcleos de población, lo que conecta con la propia Ley de montes, que emplaza a las Comunidades Autónomas para que establezcan medidas de seguridad aplicables a las urbanizaciones cercanas a los montes. A su vez, el art. 16 obliga al planificador urbanístico a prestar especial atención a la conservación de los espacios verdes y masas forestales, estableciendo corredores verdes. Los recurrentes no justifican cómo puede este precepto legal afectar a la autonomía municipal. También se critica que el art. 20 de la Ley imponga al planificador municipal la obligación de delimitar espacios para vertido de tierras y materiales procedentes de excavaciones, aduciéndose tan solo la libertad de hacerlo allí donde no esté expresamente prohibido.</w:t>
      </w:r>
    </w:p>
    <w:p w:rsidR="0085709A" w:rsidRDefault="0085709A" w:rsidP="0085709A">
      <w:pPr>
        <w:pStyle w:val="TextoNormal"/>
      </w:pPr>
    </w:p>
    <w:p w:rsidR="0085709A" w:rsidRDefault="0085709A" w:rsidP="0085709A">
      <w:pPr>
        <w:pStyle w:val="TextoNormal"/>
      </w:pPr>
      <w:r>
        <w:t xml:space="preserve">El art. 25 permite localizar espacios libres en el área de protección, con excepción de las áreas de protección costera e intermareal, definidas en el art. 8.1 a) y b). Se trata de terrenos poco idóneos para ubicar zonas de esparcimiento y ocio —función de los espacios libres— y con unos valores ambientales que explican el establecimiento de esta norma adicional de protección. Siempre en opinión de la Letrada autonómica, este régimen no es contradictorio con la ubicación en ese espacio de la senda litoral (arts. 60 y 61), que no es un espacio libre sino, a lo sumo, una infraestructura lineal que, por su naturaleza, no puede ubicarse en otro espacio y que tampoco cumple con el requisito de poseer 30 metros de diámetro mínimo </w:t>
      </w:r>
      <w:r>
        <w:lastRenderedPageBreak/>
        <w:t>establecido por el art. 4 del Reglamento de planeamiento para el cómputo de los espacios libres de uso público.</w:t>
      </w:r>
    </w:p>
    <w:p w:rsidR="0085709A" w:rsidRDefault="0085709A" w:rsidP="0085709A">
      <w:pPr>
        <w:pStyle w:val="TextoNormal"/>
      </w:pPr>
    </w:p>
    <w:p w:rsidR="0085709A" w:rsidRDefault="0085709A" w:rsidP="0085709A">
      <w:pPr>
        <w:pStyle w:val="TextoNormal"/>
      </w:pPr>
      <w:r>
        <w:t>En el art. 27.1 b) se regula el procedimiento para la autorización de usos, instalaciones y actividades en el área de protección, mientras que en el art. 65 y el apartado segundo de la disposición transitoria octava se establece el régimen sancionador. Estos preceptos no innovan las previsiones de la Ley de ordenación territorial de Cantabria ni vacían la competencia municipal para el otorgamiento de licencias. El efecto vinculante del informe de la Comisión Regional de Ordenación del Territorio y Urbanismo de Cantabria no desplaza la competencia municipal para la eventual denegación de la licencia por razones urbanísticas. Por otra parte, el régimen sancionador se limita al ámbito supramunicipal, previo a la licencia urbanística, con la particularidad de que cuando se trate de suelo clasificado ya adaptado a las previsiones de la Ley 2/2004, el ejercicio de la potestad sancionadora corresponde a los entes locales.</w:t>
      </w:r>
    </w:p>
    <w:p w:rsidR="0085709A" w:rsidRDefault="0085709A" w:rsidP="0085709A">
      <w:pPr>
        <w:pStyle w:val="TextoNormal"/>
      </w:pPr>
    </w:p>
    <w:p w:rsidR="0085709A" w:rsidRDefault="0085709A" w:rsidP="0085709A">
      <w:pPr>
        <w:pStyle w:val="TextoNormal"/>
      </w:pPr>
      <w:r>
        <w:t>Del art. 37 de la Ley discuten los recurrentes el hecho de que los municipios no puedan redactar planes especiales que afecten a las playas. Sin embargo, la reserva de esta función a la Comunidad Autónoma trae causa directa de lo establecido en la Ley de ordenación territorial de Cantabria (disposición adicional cuarta, apartado primero).</w:t>
      </w:r>
    </w:p>
    <w:p w:rsidR="0085709A" w:rsidRDefault="0085709A" w:rsidP="0085709A">
      <w:pPr>
        <w:pStyle w:val="TextoNormal"/>
      </w:pPr>
    </w:p>
    <w:p w:rsidR="0085709A" w:rsidRDefault="0085709A" w:rsidP="0085709A">
      <w:pPr>
        <w:pStyle w:val="TextoNormal"/>
      </w:pPr>
      <w:r>
        <w:t>Por su parte, el art. 42 prevé el mantenimiento del carácter de los caminos agrícolas que den acceso a las playas semirrurales y rurales. Se trata de una medida destinada a preservar los valores ambientales que solo puede llevar a cabo el legislador autonómico, pues las playas afectadas están, obviamente, ubicadas en distintos municipios. Que se descarte su pavimentación no significa que se prive a los municipios de su competencia de pavimentación de las vías públicas.</w:t>
      </w:r>
    </w:p>
    <w:p w:rsidR="0085709A" w:rsidRDefault="0085709A" w:rsidP="0085709A">
      <w:pPr>
        <w:pStyle w:val="TextoNormal"/>
      </w:pPr>
    </w:p>
    <w:p w:rsidR="0085709A" w:rsidRDefault="0085709A" w:rsidP="0085709A">
      <w:pPr>
        <w:pStyle w:val="TextoNormal"/>
      </w:pPr>
      <w:r>
        <w:t>El art. 45 fija criterios de desarrollo urbanístico en el área de ordenación que no imponen un modelo de crecimiento predefinido ni eliminan por completo la discrecionalidad del planificador, sino que propenden a la protección del litoral mediante la ordenación del crecimiento urbanístico y no solo a través de normas que prohíban determinados usos. El apartado primero del precepto alude a la rehabilitación y consolidación de los intersticios para procurar el uso eficiente y sostenible del suelo y se decanta por dirigir el crecimiento con pendientes más suaves, atendiendo a la orografía de Cantabria. Por otro lado, la necesidad de promover la continuidad de la trama urbana preexistente (art. 45.2) se dirige a proteger el paisaje y la morfología de los núcleos de población para evitar que se alteren hasta hacerse irreconocibles. Estas previsiones no cercenan ni eliminan la autonomía municipal.</w:t>
      </w:r>
    </w:p>
    <w:p w:rsidR="0085709A" w:rsidRDefault="0085709A" w:rsidP="0085709A">
      <w:pPr>
        <w:pStyle w:val="TextoNormal"/>
      </w:pPr>
    </w:p>
    <w:p w:rsidR="0085709A" w:rsidRDefault="0085709A" w:rsidP="0085709A">
      <w:pPr>
        <w:pStyle w:val="TextoNormal"/>
      </w:pPr>
      <w:r>
        <w:t>El art. 47.3 de la Ley establece un porcentaje de viviendas sujetas a regímenes especiales de protección para los suelos urbanizables de uso residencial en las áreas periurbanas, pero no clasifica el suelo ni, obviamente, lleva a cabo la construcción de viviendas de protección pública, siendo los ayuntamientos las instancias competentes para decidir si el crecimiento urbano se proyecta sobre dichas áreas. Lo que hace la Ley en este punto es plasmar territorialmente la política de vivienda de la Comunidad Autónoma identificando el valor estratégico de determinadas áreas con incidencia supramunicipal, como las concernidas por el precepto controvertido.</w:t>
      </w:r>
    </w:p>
    <w:p w:rsidR="0085709A" w:rsidRDefault="0085709A" w:rsidP="0085709A">
      <w:pPr>
        <w:pStyle w:val="TextoNormal"/>
      </w:pPr>
    </w:p>
    <w:p w:rsidR="0085709A" w:rsidRDefault="0085709A" w:rsidP="0085709A">
      <w:pPr>
        <w:pStyle w:val="TextoNormal"/>
      </w:pPr>
      <w:r>
        <w:lastRenderedPageBreak/>
        <w:t xml:space="preserve">Responde seguidamente la Letrada autonómica a la impugnación de los arts. 51 a 57, relativos a las actuaciones integrales estratégicas, reiterando que la concreción de proyectos singulares de interés regional se hará en un momento posterior a la Ley y mediante actos susceptibles de fiscalización judicial. En cuanto a la impugnación del art. 51.3 y 4, afirma que el recurso parte de la consideración de que las directrices recogidas en el plan de ordenación del litoral para el área de ordenación vinculan tanto al planeamiento urbanístico como al territorial, añadiendo que se trata de una “afirmación que esta parte no puede compartir”. Entiende, por el contrario, que hay que partir del hecho de que la Ley prevé dos tipos de actuaciones integrales estratégicas: las delimitadas gráficamente en los anexos I y III (a las que se refiere el art. 51.1) y aquellas otras que ulteriormente pueda llevar a cabo el Gobierno autonómico a través de los correspondientes proyectos singulares de interés regional. Pues bien, “el legislador ha querido que los criterios de ordenación sean exclusivamente aplicables a los planeamientos urbanísticos y no a otros instrumentos de ordenación territorial que por su interés supramunicipal gozan de su particular régimen jurídico”. Es la propia Ley la que establece que los proyectos singulares no tienen por qué respetar las directrices de ordenación, por lo que no hay reserva de dispensación sino una regulación normativa específica para sectores distintos de los afectados por el título III de la Ley. Lo dicho permitiría salvar la constitucionalidad de los demás preceptos, si bien en relación con los arts. 55 y 56 la Letrada autonómica añade que la regulación del plan especial que desarrolle las actuaciones integrales —en cuya elaboración se garantiza la participación municipal </w:t>
      </w:r>
      <w:r w:rsidRPr="0085709A">
        <w:rPr>
          <w:i/>
        </w:rPr>
        <w:t>ex</w:t>
      </w:r>
      <w:r>
        <w:t xml:space="preserve"> art. 59.1 de la Ley de ordenación territorial de Cantabria— ha de respetar los intereses locales en presencia y concentrarse en los supramunicipales.</w:t>
      </w:r>
    </w:p>
    <w:p w:rsidR="0085709A" w:rsidRDefault="0085709A" w:rsidP="0085709A">
      <w:pPr>
        <w:pStyle w:val="TextoNormal"/>
      </w:pPr>
    </w:p>
    <w:p w:rsidR="0085709A" w:rsidRDefault="0085709A" w:rsidP="0085709A">
      <w:pPr>
        <w:pStyle w:val="TextoNormal"/>
      </w:pPr>
      <w:r>
        <w:t>De acuerdo con la síntesis propuesta por la Letrada autonómica, el art. 60.2 se impugna por arbitrario “porque se considera incongruente vincular la obligación de adquirir terrenos sujetos a protección con las consignaciones presupuestarias de los capítulos I y II de los presupuestos”. Tras hacer referencia a la regulación de los patrimonios municipales del suelo en la Ley de ordenación territorial de Cantabria hace hincapié en que partiendo de ella, el legislador autonómico ha precisado los fines a los que ha de destinarse parte de esos patrimonios, siempre en el marco de la Ley de ordenación territorial y respetando las atribuciones municipales que configuran el núcleo básico de la autonomía local. Se han precisado las técnicas de adquisición del suelo, ya previstas en la Ley 2/2001, para integrar el denominado “patrimonio público litoral”: mediante el normal cumplimiento de los deberes urbanísticos o mediante su adquisición directa aplicando las cantidades reservadas en cumplimiento del mandato recogido en el art. 60.2 de la Ley recurrida y que sólo son exigibles a los ayuntamientos que tienen la obligación de constituir un patrimonio municipal del suelo de acuerdo con el art. 229 de la Ley de ordenación territorial de Cantabria. Esta cantidad ha de detraerse de aquella otra que dichos ayuntamientos vienen obligados a consignar por imperativo del art. 231 de la Ley 2/2001. De modo que la Ley 2/2004 precisa una obligación que ya se había establecido tres años antes. El precepto tampoco vulneraría la autonomía presupuestaria de los entes locales pues se limita a especificar que del total del montante destinado para cumplir la obligación de constituir un patrimonio municipal del suelo, para el que se reserva el 10 por 100 del presupuesto, una quinta parte ha de dirigirse a la adquisición de patrimonio litoral al servicio de todos los ciudadanos, lo que no supone una predeterminación de la cantidad que efectivamente haya de destinarse a la adquisición de este patrimonio público litoral.</w:t>
      </w:r>
    </w:p>
    <w:p w:rsidR="0085709A" w:rsidRDefault="0085709A" w:rsidP="0085709A">
      <w:pPr>
        <w:pStyle w:val="TextoNormal"/>
      </w:pPr>
    </w:p>
    <w:p w:rsidR="0085709A" w:rsidRDefault="0085709A" w:rsidP="0085709A">
      <w:pPr>
        <w:pStyle w:val="TextoNormal"/>
      </w:pPr>
      <w:r>
        <w:lastRenderedPageBreak/>
        <w:t>Niega la Letrada autonómica que la disposición adicional tercera haga otra cosa que remitir a la potestad reglamentaria del Gobierno, que en este caso se ejercerá previo informe del Consejo de Ordenación del Territorio y Urbanismo, la fijación de los criterios interpretativos para el cálculo de la capacidad de acogida a la que se refiere el art. 12, sin que ello suponga desapoderamiento alguno de la función jurisdiccional privativa de los tribunales ni afecte a la participación municipal en la elaboración del reglamento, como sucede en cualquier otra disposición autonómica de carácter general.</w:t>
      </w:r>
    </w:p>
    <w:p w:rsidR="0085709A" w:rsidRDefault="0085709A" w:rsidP="0085709A">
      <w:pPr>
        <w:pStyle w:val="TextoNormal"/>
      </w:pPr>
    </w:p>
    <w:p w:rsidR="0085709A" w:rsidRDefault="0085709A" w:rsidP="0085709A">
      <w:pPr>
        <w:pStyle w:val="TextoNormal"/>
      </w:pPr>
      <w:r>
        <w:t>Admite la Letrada autonómica que la reforma de la Ley de ordenación territorial llevada a cabo por la disposición adicional cuarta tuvo su origen en una enmienda parlamentaria que modificaba en este punto el proyecto de ley, pero rechaza que ello represente causa de nulidad. El hecho de que la Ley regule el plan de ordenación del litoral, de aplicación territorialmente limitada, no le priva de su condición de norma general de origen parlamentario, susceptible de ordenar materias de competencia autonómica, sin que exista relación jerárquica entre ella y la Ley de ordenación territorial a la que reforma. No puede tildarse, por ello, de arbitraria la solución adoptada, en particular si se repara en que la modificación se ha llevado a cabo en el trámite de elaboración de la norma a la que emplazaba la Ley reformada para completar el programa normativo de esta. En cuanto a la denuncia de infracción de la autonomía local por incluir como objeto de los proyectos singulares la “implantación de viviendas sometidas a algún régimen de protección pública” y extender su ámbito de aplicación al suelo urbano, la representante procesal del Gobierno de Cantabria hace hincapié en que la disposición controvertida se ha dictado en ejercicio de la competencia exclusiva autonómica sobre vivienda y con ella se trata hacer efectivo el derecho a una vivienda digna y la lucha contra la especulación, objetivos legítimos, como ya habría recordado la STC 207/1999, de 11 de noviembre, y que se plasma en diversas normas autonómicas, que relaciona la Letrada del Gobierno de Cantabria, quien también defiende que existe una clara conexión entre la modificación de la regulación de las actuaciones industriales y el interés supramunicipal, sin perjuicio del eventual control jurisdiccional respecto de dichas actuaciones. Declara finalmente, con respecto al desarrollo de proyectos singulares en suelo urbano, que no puede compartirse la consideración de esta clase de suelo como inmune a la intervención autonómica.</w:t>
      </w:r>
    </w:p>
    <w:p w:rsidR="0085709A" w:rsidRDefault="0085709A" w:rsidP="0085709A">
      <w:pPr>
        <w:pStyle w:val="TextoNormal"/>
      </w:pPr>
    </w:p>
    <w:p w:rsidR="0085709A" w:rsidRDefault="0085709A" w:rsidP="0085709A">
      <w:pPr>
        <w:pStyle w:val="TextoNormal"/>
      </w:pPr>
      <w:r>
        <w:t>La disposición transitoria tercera de la Ley prohíbe modificaciones de los instrumentos planeamiento que, al implicar reclasificación de suelo o incrementos de densidad en el área de ordenación, pongan en riesgo la adaptación aquellos a las Leyes de ordenación territorial y del plan de ordenación del litoral, en tanto que las disposiciones transitorias cuarta y quinta permiten ciertas modificaciones. La Letrada autonómica defiende la constitucionalidad de estas disposiciones transitorias haciendo hincapié en su carácter cautelar.</w:t>
      </w:r>
    </w:p>
    <w:p w:rsidR="0085709A" w:rsidRDefault="0085709A" w:rsidP="0085709A">
      <w:pPr>
        <w:pStyle w:val="TextoNormal"/>
      </w:pPr>
    </w:p>
    <w:p w:rsidR="0085709A" w:rsidRDefault="0085709A" w:rsidP="0085709A">
      <w:pPr>
        <w:pStyle w:val="TextoNormal"/>
      </w:pPr>
      <w:r>
        <w:t>La disposición transitoria duodécima —que los recurrentes citan erróneamente como undécima— trata de facilitar la corrección de errores cartográficos a fin de excluir del ámbito de aplicación del plan de ordenación del litoral suelos que efectivamente eran urbanos. No es cierto que los municipios no tengan ningún tipo de intervención pues al procedimiento le es de aplicación el art. 34 de la Ley 30/1992, que contempla la participación de los interesados, entre quienes figuran, obviamente, los ayuntamientos afectados.</w:t>
      </w:r>
    </w:p>
    <w:p w:rsidR="0085709A" w:rsidRDefault="0085709A" w:rsidP="0085709A">
      <w:pPr>
        <w:pStyle w:val="TextoNormal"/>
      </w:pPr>
    </w:p>
    <w:p w:rsidR="0085709A" w:rsidRDefault="0085709A" w:rsidP="0085709A">
      <w:pPr>
        <w:pStyle w:val="TextoNormal"/>
      </w:pPr>
      <w:r>
        <w:t xml:space="preserve">La disposición final primera prevé que en el plazo de un año se aprueben inicialmente cualquiera de los instrumentos previstos en el art. 55 para la actuación integral estratégica </w:t>
      </w:r>
      <w:r>
        <w:lastRenderedPageBreak/>
        <w:t>de reordenación de la bahía de Santander. Para la Letrada autonómica, la impugnación de esta disposición es extemporánea porque el régimen de elaboración y aprobación de los planes especiales ha de buscarse en la Ley de ordenación territorial de Cantabria y no en la Ley 2/2004.</w:t>
      </w:r>
    </w:p>
    <w:p w:rsidR="0085709A" w:rsidRDefault="0085709A" w:rsidP="0085709A">
      <w:pPr>
        <w:pStyle w:val="TextoNormal"/>
      </w:pPr>
    </w:p>
    <w:p w:rsidR="0085709A" w:rsidRDefault="0085709A" w:rsidP="0085709A">
      <w:pPr>
        <w:pStyle w:val="TextoNormal"/>
      </w:pPr>
      <w:r w:rsidRPr="0085709A">
        <w:rPr>
          <w:rStyle w:val="NumeroAFNegritaCaracter"/>
        </w:rPr>
        <w:t>6</w:t>
      </w:r>
      <w:r>
        <w:t>. El 21 de marzo de 2005 formularon alegaciones los Letrados del Parlamento de Cantabria, actuando en representación de esta Cámara Legislativa autonómica.</w:t>
      </w:r>
    </w:p>
    <w:p w:rsidR="0085709A" w:rsidRDefault="0085709A" w:rsidP="0085709A">
      <w:pPr>
        <w:pStyle w:val="TextoNormal"/>
      </w:pPr>
    </w:p>
    <w:p w:rsidR="0085709A" w:rsidRDefault="0085709A" w:rsidP="0085709A">
      <w:pPr>
        <w:pStyle w:val="TextoNormal"/>
      </w:pPr>
      <w:r>
        <w:t>a) Tras relatar los antecedentes y tramitación parlamentaria de la Ley objeto de este proceso constitucional, efectúan unas “consideraciones generales sobre el recurso planteado: la Ley de Cantabria 2/2004, como Ley que desarrolla las competencias de la Comunidad Autónoma de Cantabria”. Consideraciones que se abren con el recordatorio de que el objeto de este proceso es una auténtica Ley, a la que no es posible trasladar, como hacen en alguna ocasión los parlamentarios recurrentes, exigencias propias del procedimiento de elaboración de disposiciones de carácter general. Subrayan, igualmente, que existen diferentes alternativas para la aprobación de planes autonómicos de ordenación territorial, de modo que la exigencia de forma de ley para el plan de ordenación del litoral de Cantabria es “una decisión soberana y unánime del Parlamento de Cantabria, que se deriva de la aprobación de la Ley 2/2001, lo que conlleva añadir al mismo un importante plus de legitimación y autoridad democrática”. A este respecto, recuerdan la discusión habida con ocasión de la aprobación de la Ley 2/2001, de 25 de junio, de ordenación territorial y régimen urbanístico del suelo de Cantabria, cuyo proyecto partía de la consideración meramente administrativa de los planes regionales de ordenación territorial, entre ellos el plan de ordenación del litoral. Sostienen los Letrados parlamentarios autonómicos que “la Ley 2/2004 se ampara en el ejercicio de un amplísimo elenco de competencias estatutarias”, expresamente citadas en el preámbulo de la Ley (ordenación del territorio y del litoral, urbanismo y vivienda, planificación de la actividad económica y fomento y desarrollo de Cantabria; desarrollo legislativo y ejecución en materia de protección del medio ambiente y de los ecosistemas). Ciñéndose exclusivamente a la competencia autonómica sobre ordenación territorial, los Letrados parlamentarios —con cita de la STC 14/2004, de 12 de febrero, FJ 6— hacen hincapié en que con ella se pretende la articulación del espacio de tal manera que puedan corregirse los desequilibrios en él existentes por medio de unas acertadas medidas de política general.</w:t>
      </w:r>
    </w:p>
    <w:p w:rsidR="0085709A" w:rsidRDefault="0085709A" w:rsidP="0085709A">
      <w:pPr>
        <w:pStyle w:val="TextoNormal"/>
      </w:pPr>
    </w:p>
    <w:p w:rsidR="0085709A" w:rsidRDefault="0085709A" w:rsidP="0085709A">
      <w:pPr>
        <w:pStyle w:val="TextoNormal"/>
      </w:pPr>
      <w:r>
        <w:t xml:space="preserve">En coherencia con todo ello, destacan que “el juicio de constitucionalidad debe proyectarse exclusivamente sobre el ‘bloque de constitucionalidad’ a que se refiere el artículo 28 de la Ley Orgánica del Tribunal Constitucional” y no, como pretenden los recurrentes, partiendo del contraste de la Ley autonómica con normas que no vienen al caso o que nada tienen que ver con el “bloque de constitucionalidad” a que se refiere el art. 28 LOTC, como son las pertenecientes al Derecho de la Unión Europea o las emanadas por la propia Comunidad Autónoma de Cantabria, en especial la Ley 2/2001, a la que no se encuentra jerárquicamente subordinada la ahora controvertida. Respecto de la Ley de bases del régimen local, recuerdan que no todas sus disposiciones se integran en ese bloque de constitucionalidad. Como tampoco forma parte de dicho bloque la totalidad de la legislación básica estatal, pese a que, según los recurrentes, las leyes que el Estado aprueba como básicas al amparo del art. 149.1 CE delimitan las competencias del Estado y las Comunidades Autónomas y, por tanto, toda esta legislación básica estatal se integraría, automáticamente y sin matices, en el bloque de constitucionalidad del art. 28.1 LOTC. Sin embargo, para la representación del Parlamento de Cantabria sólo incurrirían en inconstitucionalidad las normas autonómicas que </w:t>
      </w:r>
      <w:r>
        <w:lastRenderedPageBreak/>
        <w:t>infringieran un precepto básico estatal cuando aquellas fuesen desarrollo específico de estas pues en ocasiones las normas básicas inciden de manera indirecta en la distribución de competencias entre el Estado y las Comunidades Autónomas, pero no se han dictado “para delimitar las competencias del Estado y de las Comunidades Autónomas o para regular o armonizar el ejercicio de las competencias de éstas”, según establece el art. 28 LOTC. De donde se deriva que, en lo que aquí interesa, sólo forman parte del bloque de constitucionalidad, aparte de la propia Constitución y los Estatutos de Autonomía, las leyes que, de acuerdo con lo previsto en el art. 150 CE, delegan o transfieren a las Comunidades Autónomas el ejercicio de determinadas facultades o armonizan ese mismo ejercicio. De modo que no sería inconstitucional una norma autonómica aprobada en ejercicio de una competencia exclusiva que infringiese una ley básica estatal dictada al amparo de otro título distinto, pues no existe una superioridad general de las normas básicas estatales sobre las disposiciones legales autonómicas. Además, el art. 28.1 LOTC se refiere específica y exclusivamente a “Leyes”, lo que deja fuera las normas reglamentarias básicas dictadas por el Estado. Además, “al decir ‘Leyes’ la LOTC, seguramente excluya también normas con rango de Ley pero que no son leyes, como los decretos leyes y los decretos legislativos. Por ello debe considerarse que no es canon de constitucionalidad el Real Decreto Legislativo 1302/1986”. Ello no obstante, los Letrados parlamentarios analizan cada uno de los argumentos alegados en la demanda a fin de demostrar que no ha habido vulneración de ninguna norma del bloque de constitucionalidad.</w:t>
      </w:r>
    </w:p>
    <w:p w:rsidR="0085709A" w:rsidRDefault="0085709A" w:rsidP="0085709A">
      <w:pPr>
        <w:pStyle w:val="TextoNormal"/>
      </w:pPr>
    </w:p>
    <w:p w:rsidR="0085709A" w:rsidRDefault="0085709A" w:rsidP="0085709A">
      <w:pPr>
        <w:pStyle w:val="TextoNormal"/>
      </w:pPr>
      <w:r>
        <w:t>b) Respecto de la evaluación de impacto ambiental, los recurrentes denuncian que el anteproyecto de ley habría incurrido en diversas infracciones de la normativa básica estatal en la materia (Real Decreto Legislativo 1302/1986, de 28 de junio, y Ley 4/1989, de 27 de marzo, de espacios naturales y de la flora y fauna silvestres), así como de las Directivas 1985/337/CEE, del Consejo, en relación con la evaluación de las repercusiones de determinados proyectos públicos y privados sobre el medio ambiente y 2001/42/CE, del Parlamento Europeo y del Consejo, de 27 de junio de 2001. El núcleo del reproche se sitúa en el hecho de no haber sometido a evaluación de impacto ambiental un proyecto que supondría “transformaciones de uso del suelo que impliquen eliminación de la cubierta vegetal arbustiva, cuando dichas transformaciones afecten a superficies superiores a 100 hectáreas”.</w:t>
      </w:r>
    </w:p>
    <w:p w:rsidR="0085709A" w:rsidRDefault="0085709A" w:rsidP="0085709A">
      <w:pPr>
        <w:pStyle w:val="TextoNormal"/>
      </w:pPr>
    </w:p>
    <w:p w:rsidR="0085709A" w:rsidRDefault="0085709A" w:rsidP="0085709A">
      <w:pPr>
        <w:pStyle w:val="TextoNormal"/>
      </w:pPr>
      <w:r>
        <w:t xml:space="preserve">Al respecto, replican los Letrados parlamentarios que de la regulación del Real Decreto Legislativo 1302/1986 no se deduce la obligación de que un proyecto de ley, mucho menos una ley, hayan de someterse a evaluación de impacto ambiental. De lo establecido en su disposición adicional primera claramente se infiere que la aprobación de los proyectos por el legislador conlleva la no aplicación del régimen jurídico contenido en este Real Decreto Legislativo. Ciertamente, esta disposición adicional menciona exclusivamente las leyes estatales, pero lo hace por efecto mimético del art. 1.5 de la Directiva 1985/337/CEE, que se limita a reproducir. Este precepto del Derecho europeo se refiere a los actos legislativos nacionales, que, en el sistema español de distribución de competencias, pueden ser aprobados tanto por las Cortes Generales como por los Parlamentos autonómicos. De entre los pronunciamientos referidos a la identidad de rango de las leyes estatales y autonómicas, la representación del Parlamento de Cantabria menciona expresamente las SSTC 187/1988, de 17 de octubre, y 17/1991 y 18/1991, de 31 de enero. Además, siendo el medio ambiente una materia con concurrencia competencial entre el Estado y las Comunidades Autónomas, no tendría sentido establecer un régimen más riguroso para la aprobación de las leyes autonómicas. El art. 1.5 no se ha visto modificado por la Directiva 2001/42/CE del Parlamento </w:t>
      </w:r>
      <w:r>
        <w:lastRenderedPageBreak/>
        <w:t>Europeo y del Consejo, de 27 de junio de 2001, que, frente a lo sostenido de contrario por los recurrentes, no ha sido incorporada al ordenamiento interno por la Ley cántabra 5/2002, de 24 de julio, de medidas cautelares urbanísticas en el ámbito del litoral, de sometimiento de los instrumentos de planificación territorial y urbanística a evaluación ambiental y de régimen urbanístico de los cementerios. Para los Letrados parlamentarios la Directiva 2001/42/CE ni es canon de constitucionalidad ni resulta aplicable a este caso puesto que no ha sido objeto de transposición y, en todo caso, vendría a reafirmar el no sometimiento a evaluación de impacto de las leyes, tanto estatales como autonómicas.</w:t>
      </w:r>
    </w:p>
    <w:p w:rsidR="0085709A" w:rsidRDefault="0085709A" w:rsidP="0085709A">
      <w:pPr>
        <w:pStyle w:val="TextoNormal"/>
      </w:pPr>
    </w:p>
    <w:p w:rsidR="0085709A" w:rsidRDefault="0085709A" w:rsidP="0085709A">
      <w:pPr>
        <w:pStyle w:val="TextoNormal"/>
      </w:pPr>
      <w:r>
        <w:t>La explicación de dicha exclusión ha de buscarse, obviamente, en la singularidad del procedimiento de aprobación de las leyes, fundamentalmente en lo relativo al sometimiento del proyecto a información pública, como viene a reconocer de manera expresa el art. 15 de la Directiva 1985/337/CEE. Siendo la publicidad y la transparencia el principal objetivo perseguido por la norma europea, ella misma admite que la consecución de ambos objetivos está asegurada en el caso de los Parlamentos por su naturaleza representativa. Toda vez que los procedimientos de las Cortes Generales y los Parlamentos autonómicos están informados por unos mismos principios, iría contra toda lógica imponer la evaluación de impacto ambiental a los proyectos tramitados por éstos al tiempo que se excluye para las leyes elaboradas por aquellas. En esta misma línea, el art. 6 del Decreto de Cantabria 50/1991, de 29 de abril, de evaluación de impacto ambiental —que integra, junto con el Real Decreto Legislativo 1302/1986 la normativa vigente en Cantabria en materia de evaluación ambiental—, expresamente exime de la necesidad de evaluación de impacto ambiental a las leyes autonómicas.</w:t>
      </w:r>
    </w:p>
    <w:p w:rsidR="0085709A" w:rsidRDefault="0085709A" w:rsidP="0085709A">
      <w:pPr>
        <w:pStyle w:val="TextoNormal"/>
      </w:pPr>
    </w:p>
    <w:p w:rsidR="0085709A" w:rsidRDefault="0085709A" w:rsidP="0085709A">
      <w:pPr>
        <w:pStyle w:val="TextoNormal"/>
      </w:pPr>
      <w:r>
        <w:t>De modo que no puede hablarse, en este punto, de vulneración de la normativa básica estatal. Por otro lado, el hipotético incumplimiento de las Directivas europeas no puede ser examinado en este proceso pues no tienen la consideración de canon de constitucionalidad según ha declarado el Tribunal Constitucional en las SSTC 64/1991 o 254/1993, entre otras. Lo que, además, exime de la necesidad de dar respuesta específica a cada uno de los diversos reproches de vulneración de normas europeas que se contienen en el escrito rector de este proceso.</w:t>
      </w:r>
    </w:p>
    <w:p w:rsidR="0085709A" w:rsidRDefault="0085709A" w:rsidP="0085709A">
      <w:pPr>
        <w:pStyle w:val="TextoNormal"/>
      </w:pPr>
    </w:p>
    <w:p w:rsidR="0085709A" w:rsidRDefault="0085709A" w:rsidP="0085709A">
      <w:pPr>
        <w:pStyle w:val="TextoNormal"/>
      </w:pPr>
      <w:r>
        <w:t>c) Por lo que se refiere a la elaboración del anteproyecto de ley, los recurrentes critican que el texto sometido a información pública fuera objeto de modificación sin que se abriera un nuevo trámite de audiencia singular a los municipios afectados. En rigor, los Letrados parlamentarios autonómicos indican que lo aquí sucedido ha sido consecuencia lógica del procedimiento legislativo regulado en el Reglamento del Parlamento de Cantabria.</w:t>
      </w:r>
    </w:p>
    <w:p w:rsidR="0085709A" w:rsidRDefault="0085709A" w:rsidP="0085709A">
      <w:pPr>
        <w:pStyle w:val="TextoNormal"/>
      </w:pPr>
    </w:p>
    <w:p w:rsidR="0085709A" w:rsidRDefault="0085709A" w:rsidP="0085709A">
      <w:pPr>
        <w:pStyle w:val="TextoNormal"/>
      </w:pPr>
      <w:r>
        <w:t>De los preceptos de la Ley de bases de régimen local [arts. 2.1, 55 b), 58.2 y 59], la Ley 6/1998, sobre régimen del suelo y valoraciones (art. 6.1) y el texto refundido de la Ley sobre régimen del suelo y ordenación urbana de 1992 (art. 113.2) se deduce que el legislador estatal ha establecido una garantía general de que los municipios tengan asegurada “la participación pública en los procesos de planeamiento y gestión, así como el derecho a la información de las entidades representativas de los intereses afectados por cada actuación”, como reza el art. 6.1 de la Ley 6/1998, pero no se trata de normas integrantes del bloque de constitucionalidad.</w:t>
      </w:r>
    </w:p>
    <w:p w:rsidR="0085709A" w:rsidRDefault="0085709A" w:rsidP="0085709A">
      <w:pPr>
        <w:pStyle w:val="TextoNormal"/>
      </w:pPr>
    </w:p>
    <w:p w:rsidR="0085709A" w:rsidRDefault="0085709A" w:rsidP="0085709A">
      <w:pPr>
        <w:pStyle w:val="TextoNormal"/>
      </w:pPr>
      <w:r>
        <w:lastRenderedPageBreak/>
        <w:t>Para los Letrados parlamentarios autonómicos, los recurrentes parecen haber incurrido en cierta contradicción porque reconocen que hubo audiencia previa a los municipios interesados en la fase de redacción del anteproyecto, echando en falta su reiteración, haciendo caso omiso del rango legal de la norma controvertida, que, de suyo, subsanaría los defectos formales padecidos en la fase administrativa de elaboración del anteproyecto. Ponen el acento, además, en que la redacción del anteproyecto y la posterior presentación del proyecto de ley ante la Cámara son condiciones inexcusables, que no límites, del ejercicio de la potestad legislativa atribuida a los Parlamentos.</w:t>
      </w:r>
    </w:p>
    <w:p w:rsidR="0085709A" w:rsidRDefault="0085709A" w:rsidP="0085709A">
      <w:pPr>
        <w:pStyle w:val="TextoNormal"/>
      </w:pPr>
    </w:p>
    <w:p w:rsidR="0085709A" w:rsidRDefault="0085709A" w:rsidP="0085709A">
      <w:pPr>
        <w:pStyle w:val="TextoNormal"/>
      </w:pPr>
      <w:r>
        <w:t>La introducción de modificaciones y alteraciones en el anteproyecto tras la conclusión de la fase de audiencia e información pública es plenamente coherente con la lógica de esta fase del procedimiento pre-parlamentario pues tiene como finalidad, justamente, la incorporación de novedades en el texto inicial. Es por esto que los Letrados parlamentarios afirman que “no se entiende bien que en el escrito de interposición se argumente que debe abrirse un nuevo plazo para información pública sobre la base de las modificaciones introducidas en el texto sometido a información pública, si este trámite sirve precisamente para introducir modificaciones sugeridas por los interesados”. Este motivo impugnatorio resulta paradójico puesto que, según la lógica seguida por los senadores recurrentes, de no haberse acogido ninguna de las sugerencias formuladas por los interesados en el trámite de audiencia e información pública, no sería precisa la reapertura que demandan.</w:t>
      </w:r>
    </w:p>
    <w:p w:rsidR="0085709A" w:rsidRDefault="0085709A" w:rsidP="0085709A">
      <w:pPr>
        <w:pStyle w:val="TextoNormal"/>
      </w:pPr>
    </w:p>
    <w:p w:rsidR="0085709A" w:rsidRDefault="0085709A" w:rsidP="0085709A">
      <w:pPr>
        <w:pStyle w:val="TextoNormal"/>
      </w:pPr>
      <w:r>
        <w:t>Tras exponer el procedimiento de elaboración del plan de ordenación del litoral, tal y como viene regulado en el art. 16 de la Ley del Parlamento de Cantabria 2/2001, los Letrados parlamentarios hacen hincapié en que el plan es una ley; más concretamente, “una ley aprobada por medio de un procedimiento entendido como la sucesión concatenada de actos a través de los cuales se manifiesta el pluralismo político de forma inextricable al mismo ser de una sociedad democrática, de forma que enlaza con la cláusula de Estado democrático del art. 1.1 CE”. Recuerdan, además, que nadie, en el curso de la tramitación parlamentaria del proyecto, apuntó siquiera la “ausencia de estudios previos” que ahora aducen los recurrentes. Solo planteando esta carencia en el momento procedimental oportuno se hubiera dado ocasión de repararla, como dejó sentado la STC 108/1986. Sin embargo, ningún grupo parlamentario ni diputado a título individual, como tampoco ninguno de los municipios que presuntamente habrían sido afectados, elevó queja alguna sobre este particular.</w:t>
      </w:r>
    </w:p>
    <w:p w:rsidR="0085709A" w:rsidRDefault="0085709A" w:rsidP="0085709A">
      <w:pPr>
        <w:pStyle w:val="TextoNormal"/>
      </w:pPr>
    </w:p>
    <w:p w:rsidR="0085709A" w:rsidRDefault="0085709A" w:rsidP="0085709A">
      <w:pPr>
        <w:pStyle w:val="TextoNormal"/>
      </w:pPr>
      <w:r>
        <w:t xml:space="preserve">Los recurrentes también basan su impugnación en la existencia de divergencias entre el texto sometido al trámite de información pública en la fase pre-parlamentaria y el posteriormente aprobado por el Parlamento de Cantabria. En opinión de los Letrados parlamentarios autonómicos, este motivo impugnatorio choca frontalmente con la división constitucional y estatutaria de poderes. El hecho de que la Asamblea Legislativa modificara el proyecto de ley entra dentro del lógico ejercicio de su potestad de enmienda y aprobación de los textos sometidos a su consideración. La audiencia previa a los municipios afectados no significa compartir la potestad legislativa; al contrario de lo que parecen sostener los recurrentes, lo inconstitucional sería limitar la libertad del Parlamento autonómico a los criterios manifestados por dichos municipios. Las modificaciones del texto han respondido bien al trámite de información pública, bien al ejercicio de la potestad legislativa (examen y enmienda del proyecto presentado por el Gobierno en este caso) por el Parlamento de Cantabria. El plan de ordenación del litoral es una verdadera ley, no un plan urbanístico más, con lo que ello </w:t>
      </w:r>
      <w:r>
        <w:lastRenderedPageBreak/>
        <w:t>implica, pues relativiza el alcance de los vicios que haya podido haber durante la fase de formulación del plan (ATC 135/2004, de 20 de abril).</w:t>
      </w:r>
    </w:p>
    <w:p w:rsidR="0085709A" w:rsidRDefault="0085709A" w:rsidP="0085709A">
      <w:pPr>
        <w:pStyle w:val="TextoNormal"/>
      </w:pPr>
    </w:p>
    <w:p w:rsidR="0085709A" w:rsidRDefault="0085709A" w:rsidP="0085709A">
      <w:pPr>
        <w:pStyle w:val="TextoNormal"/>
      </w:pPr>
      <w:r>
        <w:t>d) En lo que atañe a la eventual vulneración de la autonomía local constitucionalmente garantizada, la representación procesal del Parlamento de Cantabria emprende un análisis del “concepto constitucional de autonomía” en el que se hace hincapié en la diferencia cualitativa de la autonomía de que gozan las Comunidades Autónomas y los entes locales. En torno al “significado y alcance de la garantía constitucional de la autonomía local”, cita algunas resoluciones de este Tribunal, en particular algunos pasajes de la STC 40/1998, de 19 de febrero, así como la Carta europea de la autonomía local, de 15 de octubre de 1985. Seguidamente examina la Ley de bases de régimen local como “instrumento de garantía de la autonomía local, legislación básica y parámetro de constitucionalidad”. La STC 159/2001, de 5 de julio, calificó a esta Ley como “cauce y soporte normativo” de la articulación de la garantía institucional de la autonomía local constitucionalmente establecida, al tiempo que norma de desarrollo de la competencia estatal prevista en el art. 149.1.18 CE para regular “las bases del régimen jurídico de las Administraciones públicas”, siendo una de ellas la Administración local. Esta Ley no desciende a la fijación detallada de las competencias de los entes locales sino que remite dicha tarea a la legislación sectorial, que no puede hacer de los entes locales meros órganos descentralizados del Estado o las Comunidades Autónomas sino que debe atender a su “carácter bifronte”. En cuanto a esta función de determinación de las competencias locales por la legislación sectorial, debe salvaguardar el núcleo o contenido esencial de la autonomía local, definido por la jurisprudencia constitucional como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del asunto o materia de que se trate (SSTC 32/1981, 27/1987, 170/1989, 40/1998 y 109/1998). Destacan los Letrados parlamentarios autonómicos que los potenciales conflictos que puedan surgir en la integración de los diversos intereses en presencia deben ser resueltos mediante el empleo de técnicas de colaboración y coordinación entre las distintas Administraciones públicas.</w:t>
      </w:r>
    </w:p>
    <w:p w:rsidR="0085709A" w:rsidRDefault="0085709A" w:rsidP="0085709A">
      <w:pPr>
        <w:pStyle w:val="TextoNormal"/>
      </w:pPr>
    </w:p>
    <w:p w:rsidR="0085709A" w:rsidRDefault="0085709A" w:rsidP="0085709A">
      <w:pPr>
        <w:pStyle w:val="TextoNormal"/>
      </w:pPr>
      <w:r>
        <w:t>Analizan seguidamente los Letrados parlamentarios la Ley de Cantabria 2/2004 “como norma que respeta la autonomía local constitucionalmente garantizada en la identificación de los intereses locales y supralocales”. A este respecto, reproducen diversos pasajes de los preámbulos de la Ley del Parlamento de Cantabria 2/2001, de 25 de junio, y de la propia Ley 2/2004, aquí impugnada, en los que, siempre según su opinión, se plasmaría “la voluntad de ejercer con plenitud las competencias propias sin invasión o menoscabo de las que corresponden a otras instancias”, lo que se concreta en el establecimiento, por el art. 6 de esta última Ley, de distintos mecanismos de coordinación y colaboración entre Administraciones públicas.</w:t>
      </w:r>
    </w:p>
    <w:p w:rsidR="0085709A" w:rsidRDefault="0085709A" w:rsidP="0085709A">
      <w:pPr>
        <w:pStyle w:val="TextoNormal"/>
      </w:pPr>
    </w:p>
    <w:p w:rsidR="0085709A" w:rsidRDefault="0085709A" w:rsidP="0085709A">
      <w:pPr>
        <w:pStyle w:val="TextoNormal"/>
      </w:pPr>
      <w:r>
        <w:t xml:space="preserve">Habida cuenta de que el reproche de vulneración de la autonomía local, en cuanto se dirige contra la totalidad del texto de la Ley controvertida, se confunde con las denuncias, a las que ya han dado respuesta los Letrados parlamentarios autonómicos, relativas a las deficiencias supuestamente habidas durante la tramitación del proyecto de Ley, la representación del Parlamento de Cantabria, dedica particular atención a los reproches dirigidos contra determinados los preceptos de la Ley relativos a las actuaciones integrales estratégicas (arts. 51 a 57). En su opinión, estas actuaciones “constituyen un ejemplo paradigmático de </w:t>
      </w:r>
      <w:r>
        <w:lastRenderedPageBreak/>
        <w:t>la presencia de intereses supralocales en el desarrollo legislativo de la competencia autonómica de ordenación del territorio, y de su manifiesta transversalidad y vocación expansiva” y la regulación legal de la figura, así como la remisión a posteriores proyectos singulares de interés regional así lo atestiguaría.</w:t>
      </w:r>
    </w:p>
    <w:p w:rsidR="0085709A" w:rsidRDefault="0085709A" w:rsidP="0085709A">
      <w:pPr>
        <w:pStyle w:val="TextoNormal"/>
      </w:pPr>
    </w:p>
    <w:p w:rsidR="0085709A" w:rsidRDefault="0085709A" w:rsidP="0085709A">
      <w:pPr>
        <w:pStyle w:val="TextoNormal"/>
      </w:pPr>
      <w:r>
        <w:t>e) Se cierra la parte argumentativa del escrito de alegaciones del Parlamento de Cantabria con un epígrafe titulado “arbitrariedad, principio de legalidad y principio de jerarquía”, en el que se señala que las denuncias de arbitrariedad y de vulneración de los principios de legalidad y jerarquía normativa (art. 9.3 CE) tienen un carácter marcadamente genérico y abstracto pues en ninguno de los casos se explica el proceso lógico que conduce a tildar de arbitrario un determinado precepto de la Ley. Se declara, además, que la Ley controvertida rebasa sobradamente el canon de enjuiciamiento empleado en la STC 66/1985, de 23 de mayo, respecto de la noción constitucional de arbitrariedad. No menos genéricas son, por otra parte, las alegaciones relativas a la supuesta vulneración de los principios de legalidad y jerarquía normativa, lo que exime, siempre en opinión de los Letrados parlamentarios autonómicos, de un análisis más detenido.</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17 de marzo de 2015, se señaló para deliberación y votación de la presente Sentencia el día 18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proceso constitucional tiene por objeto la Ley del Parlamento de Cantabria 2/2004, de 27 de septiembre, del plan de ordenación del litoral, cuya anulación íntegra solicitan los senadores promotores del recurso de inconstitucionalidad, quienes, con carácter subsidiario, interesan la declaración de inconstitucionalidad y nulidad de algunos de los preceptos y anexos de la Ley autonómica referida. Se oponen de consuno a ambas pretensiones las representaciones procesales del Gobierno y del Parlamento de Cantabria.</w:t>
      </w:r>
    </w:p>
    <w:p w:rsidR="0085709A" w:rsidRDefault="0085709A" w:rsidP="0085709A">
      <w:pPr>
        <w:pStyle w:val="TextoNormal"/>
      </w:pPr>
    </w:p>
    <w:p w:rsidR="0085709A" w:rsidRDefault="0085709A" w:rsidP="0085709A">
      <w:pPr>
        <w:pStyle w:val="TextoNormal"/>
      </w:pPr>
      <w:r>
        <w:t>El origen de la Ley autonómica cuya constitucionalidad se controvierte en este proceso ha de buscarse en la disposición adicional cuarta de la Ley 2/2001, de 25 de junio, de ordenación territorial y régimen urbanístico del suelo de Cantabria. Conforme a lo indicado en el apartado primero de esta disposición adicional, “en atención a las peculiaridades y especial singularidad de la zona costera, y con la finalidad de una protección efectiva e integral de la misma, el Gobierno elaborará un Plan de Ordenación del Litoral que queda equiparado a todos los efectos al Plan Regional de Ordenación Territorial previsto en el artículo 11 de esta Ley y que se elaborará de acuerdo con el procedimiento del artículo 16 de la misma.” En la sistemática de la Ley 2/2001, el plan regional de ordenación territorial —al que, como se ha apreciado, se equiparaba por ministerio de la Ley el plan de ordenación del litoral— representaba uno de los tres instrumentos de ordenación territorial, junto con las normas urbanísticas regionales y los proyectos singulares de interés regional.</w:t>
      </w:r>
    </w:p>
    <w:p w:rsidR="0085709A" w:rsidRDefault="0085709A" w:rsidP="0085709A">
      <w:pPr>
        <w:pStyle w:val="TextoNormal"/>
      </w:pPr>
    </w:p>
    <w:p w:rsidR="0085709A" w:rsidRDefault="0085709A" w:rsidP="0085709A">
      <w:pPr>
        <w:pStyle w:val="TextoNormal"/>
      </w:pPr>
      <w:r>
        <w:t xml:space="preserve">En esa misma disposición adicional se enumeran las funciones y contenido del plan de ordenación del litoral (apartados segundo y tercero), así como la documentación que debe contener (apartado cuarto). Siempre conforme a lo establecido en la disposición adicional cuarta de la Ley 2/2001, el ámbito comprendido en el plan de ordenación del litoral “será el </w:t>
      </w:r>
      <w:r>
        <w:lastRenderedPageBreak/>
        <w:t>territorio correspondiente a los 37 municipios costeros existentes en la Comunidad Autónoma, excluyéndose del mismo los suelos clasificados como urbanos o urbanizables con Plan Parcial aprobado definitivamente, así como aquellos otros que gocen ya de algún instrumento especial de protección por corresponder a zonas declaradas Espacios Naturales Protegidos o que dispongan de Planes de Ordenación de los Recursos Naturales en vigor” (apartado quinto).</w:t>
      </w:r>
    </w:p>
    <w:p w:rsidR="0085709A" w:rsidRDefault="0085709A" w:rsidP="0085709A">
      <w:pPr>
        <w:pStyle w:val="TextoNormal"/>
      </w:pPr>
    </w:p>
    <w:p w:rsidR="0085709A" w:rsidRDefault="0085709A" w:rsidP="0085709A">
      <w:pPr>
        <w:pStyle w:val="TextoNormal"/>
      </w:pPr>
      <w:r>
        <w:t>De acuerdo con su art. 1, la Ley del Parlamento de Cantabria 2/2004, de 27 de septiembre, del plan de ordenación del litoral, tiene por objeto tanto la aprobación del propio plan “con la finalidad de dotar de una protección integral y efectiva a la franja costera” y “el establecimiento de criterios para la ordenación del territorio de los municipios costeros de Cantabria”.</w:t>
      </w:r>
    </w:p>
    <w:p w:rsidR="0085709A" w:rsidRDefault="0085709A" w:rsidP="0085709A">
      <w:pPr>
        <w:pStyle w:val="TextoNormal"/>
      </w:pPr>
    </w:p>
    <w:p w:rsidR="0085709A" w:rsidRDefault="0085709A" w:rsidP="0085709A">
      <w:pPr>
        <w:pStyle w:val="TextoNormal"/>
      </w:pPr>
      <w:r>
        <w:t>La Ley define un “modelo territorial” (rúbrica del título I) articulado sobre tres tipos de áreas: área de protección [“ámbitos que, en atención a sus singularidades o sus características físicas y ambientales, relacionadas con los procesos y paisajes litorales, son merecedores de una especial protección”, art. 7.1 a)], divididas por el art. 8 en áreas de protección ambiental y áreas de protección litoral; áreas de ordenación [“ámbitos de organización del modelo territorial en el que se hace compatible el crecimiento con la protección de los valores litorales mediante la adecuada identificación de éstos y la gradación y zonificación de las figuras de protección”, art. 7.1 b)], en relación con las cuales el art. 9 distingue dos áreas: área litoral y área no litoral; y actuaciones integrales estratégicas, definiéndose estas últimas como los “ámbitos adecuados para el desarrollo de políticas sectoriales estratégicas de carácter territorial” [art. 7.1 c)]. El art. 51.1 de la Ley territorial indica que “[las] Actuaciones Integrales Estratégicas delimitan sectores que, por el interés de su desarrollo en el marco de políticas sectoriales de la Comunidad Autónoma de Cantabria, vinculan al planeamiento municipal desde la entrada en vigor de esta Ley”. El régimen jurídico de las actuaciones integrales estratégicas se regula en el título IV (arts. 51 a 57) de la Ley, debiendo consignarse el hecho de que en su anexo III la propia Ley incorpora un total de once actuaciones integrales estratégicas. La Ley completa los criterios de “zonificación” del “modelo territorial” con la introducción del concepto “capacidad de carga”, definido como “la aptitud de un área determinada para soportar un nivel de intensidad de usos, sin que se produzca un proceso de deterioro ambiental, social o cultural” (art. 10). Junto con la “capacidad de carga”, la Ley territorial introduce la noción de “capacidad de acogida territorial”, regulada en los arts. 11 a 16, definida como “el máximo crecimiento urbanístico que un territorio puede soportar atendiendo a las dinámicas de población, actividad económica, disponibilidad de recursos, infraestructuras y equipamientos … conforme al modelo territorial propuesto” (art. 11.1). Finalmente, el modelo territorial se completa con el establecimiento de unos “criterios generales aplicables a todo el término municipal” (arts. 14 a 22).</w:t>
      </w:r>
    </w:p>
    <w:p w:rsidR="0085709A" w:rsidRDefault="0085709A" w:rsidP="0085709A">
      <w:pPr>
        <w:pStyle w:val="TextoNormal"/>
      </w:pPr>
    </w:p>
    <w:p w:rsidR="0085709A" w:rsidRDefault="0085709A" w:rsidP="0085709A">
      <w:pPr>
        <w:pStyle w:val="TextoNormal"/>
      </w:pPr>
      <w:r>
        <w:t xml:space="preserve">La Ley diferencia entre “normas de protección” (a las que dedica el título II: arts. 23 a 44) y “criterios de ordenación” (título III: arts. 45 a 50). En cuanto a las primeras, asentada la premisa de que las limitaciones generales de uso de cada categoría de protección han de entenderse “sin perjuicio del régimen más restrictivo que pudiera establecer la legislación sectorial o el planeamiento territorial” (art. 23), el legislador autonómico distingue entre usos permitidos, usos autorizables en función de las categorías de protección y régimen específico de las playas. Por lo que hace a los segundos, sentados unos criterios comunes para la totalidad del área de ordenación (arts. 45 y 46), la Ley define en sus arts. 47 y 48 el </w:t>
      </w:r>
      <w:r>
        <w:lastRenderedPageBreak/>
        <w:t>régimen de los crecimientos urbanísticos en las áreas periurbanas [“sectores o áreas periféricas de los núcleos urbanos en el entorno de las autovías y de la Bahía de Santander, sometidos a procesos de transformación territorial por la implantación de nuevos usos que han podido modificar su estructura territorial” conforme a la definición que de las mismas hallamos en el art. 9.1 a)] y áreas de modelo tradicional [“espacios de organización tradicional, normalmente libres de edificación, constituidos por las mieses inmediatas a los núcleos, generalmente ocupados por cultivos y diversos elementos delimitadores de las mismas, vegetales o inertes, y los terrazgos de monte, dedicados a pradería y labrantío, de significado valor agrario y ambiental” (art. 9.1 b)], al tiempo que en los arts. 49 y 50 establece el régimen jurídico del área de ordenación ecológica forestal [“sistemas forestales o espacios ocupados por vegetación arbustiva de matorral o arbórea diferente a la relacionada en el art. 8.1.d), en los que los usos de producción pueden compatibilizarse con la protección”, art. 9.1 c)] y no litoral (“territorio de los municipios costeros no afectado por fenómenos físicos relacionados con la dinámica litoral”, art. 9.2).</w:t>
      </w:r>
    </w:p>
    <w:p w:rsidR="0085709A" w:rsidRDefault="0085709A" w:rsidP="0085709A">
      <w:pPr>
        <w:pStyle w:val="TextoNormal"/>
      </w:pPr>
    </w:p>
    <w:p w:rsidR="0085709A" w:rsidRDefault="0085709A" w:rsidP="0085709A">
      <w:pPr>
        <w:pStyle w:val="TextoNormal"/>
      </w:pPr>
      <w:r>
        <w:t>Como ya se ha indicado, en el título IV se contiene el régimen jurídico de las actuaciones integrales estratégicas. El título V identifica como sistemas generales territoriales “las grandes infraestructuras significativas como elementos articuladores del territorio litoral”, entre las que figuran los puertos estatales y autonómicos, los aeropuertos, ferrocarriles… (art. 58), cuyo régimen jurídico remite a su legislación específica (art. 59).</w:t>
      </w:r>
    </w:p>
    <w:p w:rsidR="0085709A" w:rsidRDefault="0085709A" w:rsidP="0085709A">
      <w:pPr>
        <w:pStyle w:val="TextoNormal"/>
      </w:pPr>
    </w:p>
    <w:p w:rsidR="0085709A" w:rsidRDefault="0085709A" w:rsidP="0085709A">
      <w:pPr>
        <w:pStyle w:val="TextoNormal"/>
      </w:pPr>
      <w:r>
        <w:t>El título VI lleva por rúbrica “Patrimonio público litoral” y en él se regula la adquisición de suelo para la constitución de patrimonio público litoral (art. 60), el establecimiento de reserva de suelo litoral (art. 61) y la delimitación de zonas en el área de protección en las cuales las transmisiones onerosas de terreno pueden quedar sujetas al ejercicio de los derechos de tanteo y retracto.</w:t>
      </w:r>
    </w:p>
    <w:p w:rsidR="0085709A" w:rsidRDefault="0085709A" w:rsidP="0085709A">
      <w:pPr>
        <w:pStyle w:val="TextoNormal"/>
      </w:pPr>
    </w:p>
    <w:p w:rsidR="0085709A" w:rsidRDefault="0085709A" w:rsidP="0085709A">
      <w:pPr>
        <w:pStyle w:val="TextoNormal"/>
      </w:pPr>
      <w:r>
        <w:t>Tras la definición del régimen jurídico sancionador (título VII: arts. 63 a 66), el articulado de la Ley se completa con un título —el VIII— rubricado “Propuestas de actuación”, integradas por la red de sendas y caminos del litoral (art. 67), la estrategia de educación ambiental (art. 68), los estudios complementarios sobre el medio (arts. 69 a 73) y la red de custodia del territorio (art. 74).</w:t>
      </w:r>
    </w:p>
    <w:p w:rsidR="0085709A" w:rsidRDefault="0085709A" w:rsidP="0085709A">
      <w:pPr>
        <w:pStyle w:val="TextoNormal"/>
      </w:pPr>
    </w:p>
    <w:p w:rsidR="0085709A" w:rsidRDefault="0085709A" w:rsidP="0085709A">
      <w:pPr>
        <w:pStyle w:val="TextoNormal"/>
      </w:pPr>
      <w:r>
        <w:t xml:space="preserve">La Ley cuenta con cuatro disposiciones adicionales, doce transitorias, una derogatoria y tres finales. Las disposiciones adicionales versan sobre aprovechamientos urbanísticos no susceptibles de materialización al momento de adaptación del planeamiento municipal a la Ley, la previsión de realización de un plan especial para el corredor Santander-Torrelavega, la remisión al reglamento para la definición de los criterios interpretativos para el cálculo de la capacidad de carga y, finalmente, la modificación del art. 26 de la Ley de ordenación territorial y régimen urbanístico del suelo, relativo a los proyectos singulares de interés regional (que ha sido objeto de posteriores modificaciones, la última mediante la Ley 5/2012, de 11 de diciembre, de reforma del régimen transitorio en materia de ordenación del territorio y urbanismo). Las disposiciones transitorias versan, entre otros extremos, sobre la eficacia de las determinaciones de la Ley, adaptación del planeamiento urbanístico y el régimen aplicable en tanto se produce esa adaptación, en especial con referencia a las viviendas de protección pública y al suelo urbanizable, autorizaciones en el área de protección, régimen sancionador, lugares de importancia comunitaria, medidas cautelares. De las disposiciones finales interesa mencionar la primera, que fija en un año el plazo para la aprobación </w:t>
      </w:r>
      <w:r>
        <w:lastRenderedPageBreak/>
        <w:t>inicial de los instrumentos necesarios para la actuación integral estratégica de la Bahía de Santander.</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emprender el estudio de las cuestiones de fondo planteadas en este proceso constitucional interesa dejar constancia de que durante su tramitación el Parlamento de Cantabria ha aprobado la Ley 8/2013, de 2 de diciembre, por la que se modifica la Ley 2/2004, de 27 de septiembre, del plan de ordenación del litoral. Como claramente pone de manifiesto su propio título, esta última Ley ha incidido, siquiera parcialmente, sobre el objeto de este proceso constitucional pues ha dado nueva redacción a sus arts. 27.2 y 46, así como a sus disposiciones transitorias primera, apartado segundo, y tercera, al tiempo que ha derogado los apartados 2 y 3 de su art. 48, y su disposición transitoria cuarta.</w:t>
      </w:r>
    </w:p>
    <w:p w:rsidR="0085709A" w:rsidRDefault="0085709A" w:rsidP="0085709A">
      <w:pPr>
        <w:pStyle w:val="TextoNormal"/>
      </w:pPr>
    </w:p>
    <w:p w:rsidR="0085709A" w:rsidRDefault="0085709A" w:rsidP="0085709A">
      <w:pPr>
        <w:pStyle w:val="TextoNormal"/>
      </w:pPr>
      <w:r>
        <w:t>Para valorar la incidencia real que la derogación o modificación de una norma legal llevada a cabo durante la sustanciación de un recurso de inconstitucionalidad pueda tener en el proceso, hemos de partir, como premisa insoslayable, de que en principio, carece de objeto la impugnación de normas que ya no forman parte del orden legal pues no tendría sentido que “en un recurso abstracto, como el de inconstitucionalidad, dirigido a la depuración objetiva del ordenamiento jurídico, este Tribunal se pronunciase ‘sobre normas que el mismo legislador ha expulsado ya de dicho ordenamiento … de modo total, sin ultraactividad’ …” (STC 120/2014 de 17 de julio, FJ 4, y las numerosas resoluciones allí citadas). En esta misma Sentencia y fundamento jurídico hemos reseñado que “una excepción a dicha doctrina la constituyen aquellos supuestos en los que a través de un recurso de inconstitucionalidad lo que se entabla, en realidad, es una controversia en el ámbito de las competencias del Estado y de las Comunidades Autónomas, si la esfera respectiva de competencias no resulta pacífica aunque la disposición sobre la que se trabó el conflicto resulte luego derogada o modificada [por todas, SSTC 196/1997, de 13 de noviembre, FJ 2; 194/2004, de 4 de noviembre, FJ 4; 204/2011, de 15 de diciembre, FJ 2 a); 120/2012, de 4 de junio, FJ 2]. También se configura como excepción … el hecho de que los motivos de impugnación esgrimidos afecten a la validez del procedimiento legislativo, ya que en tal caso subsiste una vez más el interés constitucional de velar por el recto ejercicio de la potestad legislativa (SSTC 136/2011, de 13 de septiembre, FJ 2; 86/2013, de 11 de abril, FJ 2; y 132/2013, FJ 3).”</w:t>
      </w:r>
    </w:p>
    <w:p w:rsidR="0085709A" w:rsidRDefault="0085709A" w:rsidP="0085709A">
      <w:pPr>
        <w:pStyle w:val="TextoNormal"/>
      </w:pPr>
    </w:p>
    <w:p w:rsidR="0085709A" w:rsidRDefault="0085709A" w:rsidP="0085709A">
      <w:pPr>
        <w:pStyle w:val="TextoNormal"/>
      </w:pPr>
      <w:r>
        <w:t>La aplicación a este caso de la doctrina expuesta permite concluir que, en la medida en que la pretensión anulatoria de la totalidad de la Ley de Cantabria 2/2004, del plan de ordenación del litoral, ejercida con carácter principal tiene como fundamento la alegada invalidez del procedimiento seguido para la aprobación de dicha Ley, el presente proceso constitucional no ha perdido su objeto pues, en los términos antes empleados, subsiste el interés de velar por el recto ejercicio de la potestad legislativa. En efecto, con la única salvedad de la disposición transitoria cuarta, cuya derogación determina que respecto a ella la presente impugnación haya perdido su objeto, todos los preceptos de la Ley 2/2004 modificados por la Ley 8/2013 han sido impugnados con fundamento en motivos que afectan al procedimiento seguido para la elaboración de la primera de dichas leyes. Por lo que hace a la disposición transitoria tercera, y sin perjuicio de que persista su impugnación en cuanto le es de aplicación ese motivo general, la nueva redacción no elimina la controversia competencial que se suscitaba en relación con la anterior aunque nuestro examen debe llevarse a cabo teniendo en cuenta su texto original.</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Entrando ya en el fondo de las cuestiones planteadas en este proceso constitucional debemos comenzar señalando que el primer motivo del recurso se dirige contra la totalidad de la Ley del Parlamento de Cantabria 2/2004, de 27 de septiembre, del plan de ordenación del litoral. Sostienen los senadores recurrentes que la Ley autonómica habría incurrido en infracción de la legislación básica ambiental dictada por el Estado al amparo de la competencia exclusiva que le atribuye el art. 149.1.23 CE. Concretamente, sostienen que el plan del litoral debiera haberse sometido a evaluación de impacto ambiental puesto que implica el cambio de los usos del suelo en una superficie superior a las cien hectáreas que la disposición adicional segunda de la Ley 4/1989, de 27 de marzo, de espacios naturales protegidos y de la flora y fauna silvestre, hace preceptiva la realización de impacto ambiental toda vez que, conforme a su propia literalidad, dicho precepto legal “amplía la lista de actividades sometidas a evaluación de impacto ambiental contenida en el anexo 1 del Real Decreto Legislativo 1302/1986, de 28 de junio, con la inclusión en la misma de las transformaciones de uso del suelo que impliquen eliminación de la cubierta vegetal arbustiva o arbórea y supongan riesgo potencial para las infraestructuras de interés general de la Nación y, en todo caso, cuando dichas transformaciones afecten a superficies superiores a 100 hectáreas.” Los senadores recurrentes hacen hincapié en que es el propio plan de ordenación del litoral el instrumento normativo que modifica radicalmente el régimen jurídico del suelo, por lo que debe ser objeto de evaluación de impacto ambiental, una obligación que no puede soslayarse remitiéndose a la eventual evaluación de las posteriores actuaciones de ejecución del plan. Para los senadores recurrentes, la aprobación de la Directiva 2001/42/CE del Parlamento Europeo y del Consejo de 27 de junio de 2001, relativa a la evaluación de los efectos de determinados planes y programas en el medio ambiente —Directiva que se habría incorporado al Derecho autonómico de Cantabria con la promulgación de la Ley 5/2002, de 24 de julio, de medidas cautelares urbanísticas en el ámbito del litoral, de sometimiento de los instrumentos de planificación territorial y urbanística a evaluación ambiental y de régimen urbanístico de los cementerios—, milita en favor de esta interpretación del alcance de la obligación de sometimiento del plan a la previa evaluación de impacto ambiental.</w:t>
      </w:r>
    </w:p>
    <w:p w:rsidR="0085709A" w:rsidRDefault="0085709A" w:rsidP="0085709A">
      <w:pPr>
        <w:pStyle w:val="TextoNormal"/>
      </w:pPr>
    </w:p>
    <w:p w:rsidR="0085709A" w:rsidRDefault="0085709A" w:rsidP="0085709A">
      <w:pPr>
        <w:pStyle w:val="TextoNormal"/>
      </w:pPr>
      <w:r>
        <w:t>Las representaciones procesales del Gobierno y del Parlamento de Cantabria rechazan que la Ley autonómica haya vulnerado la legislación básica estatal en materia ambiental. De un lado, ambas representaciones procesales destacan que ni las normas de Derecho de la Unión Europea ni las leyes de la propia Comunidad Autónoma —en este caso, la Ley 5/2002— invocadas por los actores pueden reputarse canon de constitucionalidad de la Ley controvertida y, de otro, hacen hincapié en que las bases no incluyen la obligación de que los proyectos de ley se sometan a evaluación de impacto ambiental.</w:t>
      </w:r>
    </w:p>
    <w:p w:rsidR="0085709A" w:rsidRDefault="0085709A" w:rsidP="0085709A">
      <w:pPr>
        <w:pStyle w:val="TextoNormal"/>
      </w:pPr>
    </w:p>
    <w:p w:rsidR="0085709A" w:rsidRDefault="0085709A" w:rsidP="0085709A">
      <w:pPr>
        <w:pStyle w:val="TextoNormal"/>
      </w:pPr>
      <w:r w:rsidRPr="0085709A">
        <w:rPr>
          <w:rStyle w:val="NumeroAFNegritaCaracter"/>
        </w:rPr>
        <w:t>4</w:t>
      </w:r>
      <w:r>
        <w:t>. Planteada la cuestión en estos términos, interesa recordar los pronunciamientos de este Tribunal relativos a la evaluación de impacto ambiental.</w:t>
      </w:r>
    </w:p>
    <w:p w:rsidR="0085709A" w:rsidRDefault="0085709A" w:rsidP="0085709A">
      <w:pPr>
        <w:pStyle w:val="TextoNormal"/>
      </w:pPr>
    </w:p>
    <w:p w:rsidR="0085709A" w:rsidRDefault="0085709A" w:rsidP="0085709A">
      <w:pPr>
        <w:pStyle w:val="TextoNormal"/>
      </w:pPr>
      <w:r>
        <w:t xml:space="preserve">Reflexión que debe arrancar por la STC 13/1998, de 22 de enero, FJ 4, en la cual este Tribunal tuvo ocasión de señalar que la evaluación de impacto ambiental “es un instrumento que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(Preámbulo de las Directivas 85/337/CEE y 97/11/CE y del Real Decreto Legislativo 1.302/1986). La legislación </w:t>
      </w:r>
      <w:r>
        <w:lastRenderedPageBreak/>
        <w:t>ofrece a los poderes públicos, de esta forma, un instrumento para cumplir su deber de cohonestar el desarrollo económico con la protección del medio ambiente (STC 64/1982, fundamento jurídico 2). La evaluación del impacto ambiental aparece configurada como una técnica o instrumento de tutela ambiental preventiva —con relación a proyectos de obras y actividades— de ámbito objetivo global o integrador y de naturaleza participativa” (en idénticos términos, STC 90/2000, de 30 de marzo, FJ 4). Más recientemente, en la STC 106/2014, de 24 de junio, FJ 8 a), hemos recordado el origen esencialmente comunitario de este instrumento de protección ambiental al advertir que “como este Tribunal tuvo ocasión de señalar en su STC 13/1998, de 22 de enero, con referencia a la normativa comunitaria a la sazón vigente, la ‘evaluación de impacto ambiental que, al margen de algunos precedentes impropios, constituye un instrumento de nuevo cuño, asimilado entre nosotros desde el Derecho comunitario’ (STC 13/1998, FJ 3)”. En esta misma Sentencia y lugar, y por referencia específica a la incidencia ambiental que pueda revestir el uso de la técnica de fractura hidráulica, popularizada con el sustantivo “</w:t>
      </w:r>
      <w:r w:rsidRPr="0085709A">
        <w:rPr>
          <w:i/>
        </w:rPr>
        <w:t>fracking</w:t>
      </w:r>
      <w:r>
        <w:t xml:space="preserve">”, hemos dicho igualmente que el procedimiento de evaluación de impacto ambiental “supone un preceptivo trámite de información pública, consultas a las Administraciones públicas afectadas y a personas interesadas sobre el proyecto y el estudio de impacto ambiental presentado (que ha de comprender las medidas adecuadas para que permitan prevenir, corregir y, en su caso, compensar, los posibles efectos adversos de la actividad sobre el medio ambiente, así como un programa de vigilancia ambiental para garantizar el cumplimiento de las medidas preventivas, correctoras y compensatorias, en todas las fases del proyecto). En el marco de este procedimiento deberá quedar garantizada la máxima protección del medio ambiente y de los recursos naturales, sin que pueda autorizarse ningún proyecto que no haya obtenido la previa declaración de impacto ambiental favorable. De este modo la Administración que resulte competente en cada caso para autorizar los proyectos que impliquen la utilización de la técnica de la fractura hidráulica, ya sea el Estado o la Comunidad Autónoma, deberá llevar a cabo de forma previa la correspondiente evaluación de impacto ambiental de cada proyecto, en la que habrá de hacerse efectivo el principio de precaución, de suerte que, como es obvio, se denegará la autorización del proyecto que suponga el empleo de la técnica del </w:t>
      </w:r>
      <w:r w:rsidRPr="0085709A">
        <w:rPr>
          <w:i/>
        </w:rPr>
        <w:t>fracking</w:t>
      </w:r>
      <w:r>
        <w:t xml:space="preserve"> si el resultado de la evaluación de impacto ambiental del mismo es negativo.”</w:t>
      </w:r>
    </w:p>
    <w:p w:rsidR="0085709A" w:rsidRDefault="0085709A" w:rsidP="0085709A">
      <w:pPr>
        <w:pStyle w:val="TextoNormal"/>
      </w:pPr>
    </w:p>
    <w:p w:rsidR="0085709A" w:rsidRDefault="0085709A" w:rsidP="0085709A">
      <w:pPr>
        <w:pStyle w:val="TextoNormal"/>
      </w:pPr>
      <w:r>
        <w:t>Este Tribunal ha sido muy consciente, como ponen de relieve los pasajes de resoluciones ahora reproducidos, del encuadramiento de la evaluación de impacto ambiental en el seno de un procedimiento administrativo y de su consideración como un trámite esencial en un procedimiento complejo de aprobación de obras y proyectos. Ningún sentido tiene apelar a la Directiva 2001/42/CE del Parlamento Europeo y del Consejo de 27 de junio de 2001, para postular que de ella deriva una obligación de insertar en los procedimientos legislativos un estudio específico sobre las consecuencias ambientales de los planes, programas o proyectos objeto de las correspondientes normas, en primer lugar, porque las directivas no pueden utilizarse con carácter general como canon para el enjuiciamiento de la constitucionalidad de las leyes (SSTC 183/2014, de 6 de noviembre, FJ 3, y 147/1996, de 26 de septiembre, FJ 3, entre otras), y, además porque esa directiva fue traspuesta a nuestro derecho interno por la Ley 21/2013, de 9 de diciembre, de evaluación ambiental y, sin necesidad de que nos pronunciemos expresamente en este momento sobre su ámbito de aplicación, es patente que en modo alguno podía haber sido considerada en un procedimiento legislativo ya terminado en la fecha de su promulgación.</w:t>
      </w:r>
    </w:p>
    <w:p w:rsidR="0085709A" w:rsidRDefault="0085709A" w:rsidP="0085709A">
      <w:pPr>
        <w:pStyle w:val="TextoNormal"/>
      </w:pPr>
    </w:p>
    <w:p w:rsidR="0085709A" w:rsidRDefault="0085709A" w:rsidP="0085709A">
      <w:pPr>
        <w:pStyle w:val="TextoNormal"/>
      </w:pPr>
      <w:r>
        <w:lastRenderedPageBreak/>
        <w:t>Dicho lo cual solo resta añadir que ni tan siquiera la hipotética reconducción del alegato a una denuncia de ausencia de ponderación de los valores ambientales arroja un resultado distinto habida cuenta de la falta de elementos de juicio que nos permitan alcanzar una conclusión tan grave como es la patente desatención por el legislador de ese citado mandato constitucional de protección ambiental que contiene el art. 45 de nuestra Carta Magna.</w:t>
      </w:r>
    </w:p>
    <w:p w:rsidR="0085709A" w:rsidRDefault="0085709A" w:rsidP="0085709A">
      <w:pPr>
        <w:pStyle w:val="TextoNormal"/>
      </w:pPr>
    </w:p>
    <w:p w:rsidR="0085709A" w:rsidRDefault="0085709A" w:rsidP="0085709A">
      <w:pPr>
        <w:pStyle w:val="TextoNormal"/>
      </w:pPr>
      <w:r w:rsidRPr="0085709A">
        <w:rPr>
          <w:rStyle w:val="NumeroAFNegritaCaracter"/>
        </w:rPr>
        <w:t>5</w:t>
      </w:r>
      <w:r>
        <w:t>. Los senadores recurrentes dirigen un segundo reproche al conjunto de la Ley del Parlamento de Cantabria 2/2004, de 27 de septiembre, del plan de ordenación del litoral, consistente en la vulneración del principio de autonomía local proclamado por los arts. 137 y 140 CE, así como de las competencias reservadas al Estado por los epígrafes 1 y 18 del art. 149.1 CE. Sostienen, a este respecto, que en el art. 25 de la Ley de bases de régimen local (LBRL), se define el marco de garantía de la autonomía local mediante la identificación de las materias —entre las que se encuentran la ordenación urbanística [letra d)] y la protección ambiental [letra f)]— respecto de las cuales los municipios han de ostentar competencias. En opinión de los actores, las modificaciones introducidas tras el trámite de audiencia en el proyecto de la que finalmente se ha aprobado como Ley del Parlamento de Cantabria 2/2004, habrían impedido la participación efectiva de los municipios cántabros en la formación del plan de ordenación del litoral. Denuncian, en particular, que no hubiera una audiencia singularizada de los ayuntamientos, al margen del trámite general de información pública, y que el texto del proyecto de ley finalmente presentado a la consideración del Parlamento de Cantabria guardaba pocas semejanzas con el sometido a ese mismo trámite de información pública. Siempre en opinión de los senadores promotores del recurso de inconstitucionalidad que ahora nos ocupa, la preservación de la efectividad de la participación municipal en la elaboración del plan obligaba a someter el documento modificado a una nueva audiencia antes de su definitiva remisión al Parlamento de Cantabria. A mayor abundamiento, los actores echan en falta la intervención de los municipios en la evaluación ambiental que ni siquiera se llevó a cabo.</w:t>
      </w:r>
    </w:p>
    <w:p w:rsidR="0085709A" w:rsidRDefault="0085709A" w:rsidP="0085709A">
      <w:pPr>
        <w:pStyle w:val="TextoNormal"/>
      </w:pPr>
    </w:p>
    <w:p w:rsidR="0085709A" w:rsidRDefault="0085709A" w:rsidP="0085709A">
      <w:pPr>
        <w:pStyle w:val="TextoNormal"/>
      </w:pPr>
      <w:r>
        <w:t>Las representaciones procesales del Gobierno y del Parlamento de Cantabria contraponen a estas consideraciones la caracterización del derecho de la comunidad local a participar en asuntos que afecten a su círculo de intereses como un derecho de configuración legal. Sentada esta premisa, hacen hincapié en la imposibilidad de trasladar acríticamente al procedimiento legislativo previsiones establecidas para los procedimientos de elaboración de disposiciones de carácter general de estricta naturaleza administrativa. No existe norma alguna a la que haya de atenerse el legislador autonómico en el procedimiento de elaboración de la Ley 2/2004 que obligue a someter el anteproyecto de ley a un nuevo trámite de información pública o de audiencia singularizada a los ayuntamientos. La letrada del Ejecutivo autonómico apunta, además, que las modificaciones introducidas en el anteproyecto de ley no han supuesto una alteración sustancial del modelo inicialmente propuesto y que apenas un puñado de los numerosos preceptos legales cuya redacción fue modificada por la aceptación de alegaciones presentadas en el trámite de información pública y no sometida a un nuevo trámite de audiencia, han sido impugnados por los mismos actores que ahora echan en falta la realización de ese mismo trámite de audiencia, lo que demostraría la oportunidad del cambio de redacción habido. Por su parte, los Letrados del Parlamento de Cantabria inciden especialmente en el análisis de los preceptos relativos a las denominadas “actuaciones integrales estratégicas” (arts. 51 a 57), que, en su opinión, “constituyen un ejemplo pa</w:t>
      </w:r>
      <w:r>
        <w:lastRenderedPageBreak/>
        <w:t>radigmático de la presencia de intereses supralocales en el desarrollo legislativo de la competencia autonómica de ordenación del territorio y de su manifiesta transversalidad y vocación expansiva”.</w:t>
      </w:r>
    </w:p>
    <w:p w:rsidR="0085709A" w:rsidRDefault="0085709A" w:rsidP="0085709A">
      <w:pPr>
        <w:pStyle w:val="TextoNormal"/>
      </w:pPr>
    </w:p>
    <w:p w:rsidR="0085709A" w:rsidRDefault="0085709A" w:rsidP="0085709A">
      <w:pPr>
        <w:pStyle w:val="TextoNormal"/>
      </w:pPr>
      <w:r w:rsidRPr="0085709A">
        <w:rPr>
          <w:rStyle w:val="NumeroAFNegritaCaracter"/>
        </w:rPr>
        <w:t>6</w:t>
      </w:r>
      <w:r>
        <w:t>. Para dar respuesta a este motivo impugnatorio debemos recordar, como ya hiciéramos en la reciente STC 132/2014, de 22 de julio, con cita expresa, entre otras y destacadamente, de la STC 240/2006, de 20 de julio, que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de 28 de julio, FJ 4)’, (STC 40/1998, de 19 de febrero, FJ 39). Tal como declaramos en la STC 159/2001, de 5 de julio, FJ 5, se trata de una noción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 … 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(FJ 5).</w:t>
      </w:r>
    </w:p>
    <w:p w:rsidR="0085709A" w:rsidRDefault="0085709A" w:rsidP="0085709A">
      <w:pPr>
        <w:pStyle w:val="TextoNormal"/>
      </w:pPr>
    </w:p>
    <w:p w:rsidR="0085709A" w:rsidRDefault="0085709A" w:rsidP="0085709A">
      <w:pPr>
        <w:pStyle w:val="TextoNormal"/>
      </w:pPr>
      <w:r>
        <w:t>En la misma línea, en la STC 40/1998, de 19 de febrero, FJ 39, este Tribunal tuvo ocasión de señalar que ese “derecho de intervención en los asuntos de su competencia forma, por tanto, el núcleo primigenio de la autonomía local. No obstante, este Tribunal ha señalado igualmente que la Constitución no asegura un contenido concreto o un ámbito competencial determinado y que no cabe hablar de ‘intereses naturales de los entes locales’ (STC 32/1981),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170/1989, fundamento jurídico 9), de manera que corresponde al legislador la determinación concreta del contenido de la autonomía local, respetando el núcleo esencial de la garantía institucional de dicha autonomía (SSTC 259/1988, 214/1989 y 46/1992) y sin romper con la ‘imagen comúnmente aceptada de la institución que, en cuanto formación jurídica, viene determinada en buena parte por las normas que en cada momento la regulan y la aplicación que de las mismas se hace’ (STC 32/1981, fundamento jurídico 3).”</w:t>
      </w:r>
    </w:p>
    <w:p w:rsidR="0085709A" w:rsidRDefault="0085709A" w:rsidP="0085709A">
      <w:pPr>
        <w:pStyle w:val="TextoNormal"/>
      </w:pPr>
    </w:p>
    <w:p w:rsidR="0085709A" w:rsidRDefault="0085709A" w:rsidP="0085709A">
      <w:pPr>
        <w:pStyle w:val="TextoNormal"/>
      </w:pPr>
      <w:r>
        <w:t xml:space="preserve">A su vez, el art. 2.1 LBRL establece que “para la efectividad de la autonomía garantizada constitucionalmente a las Entidades Locales, la legislación del Estado y la de las Comunidades Autónomas, reguladora de los distintos sectores de acción pública, según la distribución constitucional de competencias, deberá asegurar a los Municipios, las Provincias y las Islas su derecho a intervenir en cuantos asuntos afecten directamente al círculo de sus intereses, atribuyéndoles las competencias que proceda en atención a las características de la </w:t>
      </w:r>
      <w:r>
        <w:lastRenderedPageBreak/>
        <w:t>actividad pública de que se trate y a la capacidad de gestión de la Entidad Local, de conformidad con los principios de descentralización, proximidad, eficacia y eficiencia, y con estricta sujeción a la normativa de estabilidad presupuestaria y sostenibilidad financiera.”</w:t>
      </w:r>
    </w:p>
    <w:p w:rsidR="0085709A" w:rsidRDefault="0085709A" w:rsidP="0085709A">
      <w:pPr>
        <w:pStyle w:val="TextoNormal"/>
      </w:pPr>
    </w:p>
    <w:p w:rsidR="0085709A" w:rsidRDefault="0085709A" w:rsidP="0085709A">
      <w:pPr>
        <w:pStyle w:val="TextoNormal"/>
      </w:pPr>
      <w:r>
        <w:t>Ni que decir tiene que entre los asuntos de interés de los municipios y a los que por tanto se extienden sus competencias, figuran, de acuerdo por lo dispuesto en la normativa básica estatal, tanto el urbanismo [art. 25.2 a) LBRL, en la redacción dada al mismo por la Ley 27/2013, de 27 de diciembre, de racionalización y sostenibilidad de la Administración local] como el medio ambiente [art. 25.2 b) LBRL]. Ambas materias competenciales han sido específicamente invocadas por los recurrentes en defensa del alegato impugnatorio que ahora nos ocupa.</w:t>
      </w:r>
    </w:p>
    <w:p w:rsidR="0085709A" w:rsidRDefault="0085709A" w:rsidP="0085709A">
      <w:pPr>
        <w:pStyle w:val="TextoNormal"/>
      </w:pPr>
    </w:p>
    <w:p w:rsidR="0085709A" w:rsidRDefault="0085709A" w:rsidP="0085709A">
      <w:pPr>
        <w:pStyle w:val="TextoNormal"/>
      </w:pPr>
      <w:r>
        <w:t>En este caso importa reseñar que, en virtud de lo dispuesto en el art. 24.3 de su Estatuto de Autonomía, la Comunidad Autónoma de Cantabria ha asumido competencia exclusiva —exclusividad que ha de interpretarse a la luz de la doctrina sintetizada, entre otras, en las SSTC 40/1998, FJ 29; y 46/2007, de 1 de marzo, FJ 3— en materia de “ordenación del territorio y del litoral, urbanismo y vivienda” y de desarrollo legislativo y ejecución sobre “protección del medio ambiente y de los ecosistemas” (art. 25.7 de ese mismo texto estatutario). Ambas competencias tienen un marcado carácter transversal u horizontal, como puso de relieve este Tribunal en la STC 8/2012, de 18 de enero, FJ 3.</w:t>
      </w:r>
    </w:p>
    <w:p w:rsidR="0085709A" w:rsidRDefault="0085709A" w:rsidP="0085709A">
      <w:pPr>
        <w:pStyle w:val="TextoNormal"/>
      </w:pPr>
    </w:p>
    <w:p w:rsidR="0085709A" w:rsidRDefault="0085709A" w:rsidP="0085709A">
      <w:pPr>
        <w:pStyle w:val="TextoNormal"/>
      </w:pPr>
      <w:r>
        <w:t>Como quiera que la competencia sobre ordenación territorial “tiene por objeto la actividad consistente en la delimitación de los diversos usos a que puede destinarse el suelo o espacio físico territorial” (STC 77/1984, de 3 de julio, FJ 2), definición objetiva que podemos extender a la competencia autonómica sobre ordenación del litoral, y toda vez que ese mismo es el objeto de la Ley de ordenación del litoral aquí controvertida, puede resultar pertinente comprobar qué mecanismos ha dispuesto el propio legislador autonómico cántabro para garantizar el derecho de los municipios —aquí, los ubicados en la franja del litoral— a intervenir en los asuntos de su interés. Al respecto, los senadores recurrentes invocan de manera específica los arts. 16 y 17 de la Ley 2/2001, de 25 de junio, de ordenación territorial y régimen urbanístico del suelo de Cantabria, aplicables al plan de ordenación del litoral por mor de lo establecido en su disposición adicional cuarta, rubricada “Plan de Ordenación del Litoral”, que equipara “a todos los efectos” el plan de ordenación del litoral con el plan regional de ordenación territorial y prevé su elaboración “de acuerdo con el procedimiento del artículo 16”.</w:t>
      </w:r>
    </w:p>
    <w:p w:rsidR="0085709A" w:rsidRDefault="0085709A" w:rsidP="0085709A">
      <w:pPr>
        <w:pStyle w:val="TextoNormal"/>
      </w:pPr>
    </w:p>
    <w:p w:rsidR="0085709A" w:rsidRDefault="0085709A" w:rsidP="0085709A">
      <w:pPr>
        <w:pStyle w:val="TextoNormal"/>
      </w:pPr>
      <w:r>
        <w:t xml:space="preserve">Pues bien, de acuerdo con lo previsto en ese art. 16 de la Ley de ordenación territorial y régimen urbanístico del suelo de Cantabria, entre las reglas a las que se somete la formulación y aprobación del plan de ordenación del litoral figura el traslado del proyecto de plan a la Comisión Regional de Ordenación del Territorio para su aprobación inicial y su sometimiento a un trámite de información pública por plazo no inferior a dos meses, durante los cuales la Comisión “dará audiencia singularizada a … todos los Ayuntamientos afectados” [letra c)]. Dichos ayuntamientos son los correspondientes a los 37 municipios costeros a los que se alude en el apartado quinto de la ya citada disposición adicional cuarta. Transcurrido ese plazo de consulta e información pública, “la Comisión solicitará informe a la Consejería autora del Plan acerca de lo alegado en el citado trámite. Evacuado dicho informe la Comisión aprobará provisionalmente el Plan y lo trasladará al Consejero competente en materia </w:t>
      </w:r>
      <w:r>
        <w:lastRenderedPageBreak/>
        <w:t>de ordenación territorial para su aprobación como Proyecto de Ley por el Gobierno.” [letra d)].</w:t>
      </w:r>
    </w:p>
    <w:p w:rsidR="0085709A" w:rsidRDefault="0085709A" w:rsidP="0085709A">
      <w:pPr>
        <w:pStyle w:val="TextoNormal"/>
      </w:pPr>
    </w:p>
    <w:p w:rsidR="0085709A" w:rsidRDefault="0085709A" w:rsidP="0085709A">
      <w:pPr>
        <w:pStyle w:val="TextoNormal"/>
      </w:pPr>
      <w:r>
        <w:t>Así se hizo, según consigna la Comisión Permanente del Consejo de Estado en su dictamen de 3 de febrero de 2005, emitido en el expediente 16-2005, con carácter previo a la formalización de conflicto en defensa de la autonomía local tramitado con el núm. 1501-2005. En dicho dictamen se recuerda que el proyecto de ley fue “aprobado inicialmente el 31 de marzo de 2004 por la Comisión Regional de Ordenación del Territorio y Urbanismo de Cantabria y sometido a información pública y audiencia de los Municipios costeros afectados por el Plan de Ordenación del Litoral. Algunos de ellos presentaron escritos de alegaciones oponiéndose a su aprobación y proponiendo numerosas modificaciones a su articulado. Asimismo, presentó sus alegaciones la Federación de Municipios de Cantabria. El proyecto de Ley fue aprobado provisionalmente el 19 de julio de 2004 por la Comisión Regional de Ordenación del Territorio y Urbanismo de Cantabria, introduciendo en el texto inicial numerosas e importantes modificaciones.”</w:t>
      </w:r>
    </w:p>
    <w:p w:rsidR="0085709A" w:rsidRDefault="0085709A" w:rsidP="0085709A">
      <w:pPr>
        <w:pStyle w:val="TextoNormal"/>
      </w:pPr>
    </w:p>
    <w:p w:rsidR="0085709A" w:rsidRDefault="0085709A" w:rsidP="0085709A">
      <w:pPr>
        <w:pStyle w:val="TextoNormal"/>
      </w:pPr>
      <w:r>
        <w:t>A la vista de lo dispuesto en el art. 28 de la Ley Orgánica de este Tribunal Constitucional, no es preciso desplegar esfuerzo argumental alguno para concluir que la Ley 2/2001, de 25 de junio, de ordenación territorial y régimen urbanístico del suelo de Cantabria no puede erigirse en canon de constitucionalidad de la Ley de Cantabria 2/2004, de 27 de septiembre, del plan de ordenación del litoral. De modo que el recordatorio del pasaje del dictamen del Consejo de Estado reproducido en el párrafo anterior no tiene como fin dar respuesta al planteamiento sostenido de contrario por los parlamentarios recurrentes sino poner de manifiesto que no se advierte siquiera un inadecuado cumplimiento del trámite de audiencia pública y consulta a los municipios costeros afectados por la elaboración y posterior aprobación del plan de ordenación del litoral.</w:t>
      </w:r>
    </w:p>
    <w:p w:rsidR="0085709A" w:rsidRDefault="0085709A" w:rsidP="0085709A">
      <w:pPr>
        <w:pStyle w:val="TextoNormal"/>
      </w:pPr>
    </w:p>
    <w:p w:rsidR="0085709A" w:rsidRDefault="0085709A" w:rsidP="0085709A">
      <w:pPr>
        <w:pStyle w:val="TextoNormal"/>
      </w:pPr>
      <w:r>
        <w:t xml:space="preserve">Sentado esto, debemos hacer nuestras las palabras del Consejo de Estado, cuando, en ese mismo dictamen de 3 de febrero de 2005, declara que “en relación con la pretendida inconstitucionalidad de la Ley 2/2004 derivada de la tramitación administrativa del correspondiente proyecto de Ley, en concreto por la falta de reiteración de la audiencia a los Municipios, se advierte que tal pretensión se fundamenta en la traslación </w:t>
      </w:r>
      <w:r w:rsidRPr="0085709A">
        <w:rPr>
          <w:i/>
        </w:rPr>
        <w:t>mutatis mutandis</w:t>
      </w:r>
      <w:r>
        <w:t xml:space="preserve"> del principio de participación ciudadana en el planeamiento administrativo a la tramitación y aprobación de leyes autonómicas. Tal traslación es errónea ya que la necesidad de reiterar el trámite de información pública deriva ‘del principio de la participación ciudadana en la elaboración del planeamiento para dotar a éste de la necesaria legitimación democrática’ y ésta no puede considerarse ausente cuando, como aquí ocurre, el producto normativo es fruto de la voluntad del Parlamento autonómico.”</w:t>
      </w:r>
    </w:p>
    <w:p w:rsidR="0085709A" w:rsidRDefault="0085709A" w:rsidP="0085709A">
      <w:pPr>
        <w:pStyle w:val="TextoNormal"/>
      </w:pPr>
    </w:p>
    <w:p w:rsidR="0085709A" w:rsidRDefault="0085709A" w:rsidP="0085709A">
      <w:pPr>
        <w:pStyle w:val="TextoNormal"/>
      </w:pPr>
      <w:r>
        <w:t>La invocación del art. 58.2, inciso segundo LBRL es, asimismo, inadecuada porque se refiere a los instrumentos de planificación elaborados por la Administración.</w:t>
      </w:r>
    </w:p>
    <w:p w:rsidR="0085709A" w:rsidRDefault="0085709A" w:rsidP="0085709A">
      <w:pPr>
        <w:pStyle w:val="TextoNormal"/>
      </w:pPr>
    </w:p>
    <w:p w:rsidR="0085709A" w:rsidRDefault="0085709A" w:rsidP="0085709A">
      <w:pPr>
        <w:pStyle w:val="TextoNormal"/>
      </w:pPr>
      <w:r>
        <w:t xml:space="preserve">Dicho lo anterior, siquiera sea para rebatir las alegaciones efectuadas en tal sentido por los recurrentes, hemos de advertir que parte de un planteamiento desacertado. Tratándose de normas con rango de ley, no puede invocarse el principio de autonomía local para condicionar los correspondientes procedimientos legislativos imponiendo en ellos la audiencia de los ayuntamientos que pudieran resultar afectados por los proyectos en tramitación. Dicho principio actúa como canon de constitucionalidad del contenido de las leyes, no del </w:t>
      </w:r>
      <w:r>
        <w:lastRenderedPageBreak/>
        <w:t>procedimiento de su elaboración, y desde esta perspectiva se enjuiciarán los preceptos de la ley que se impugna en este recurso. Lo expuesto permite rechazar la incardinación que los recurrentes postulan de la reiteración del trámite de audiencia en la autonomía municipal constitucionalmente garantizada pues esta garantía lo es de un instituto de participación de la comunidad local en el juego libre y democrático, no confiriéndoles a los entes locales un poder de veto o predeterminación de la regulación legislativa de las instituciones.</w:t>
      </w:r>
    </w:p>
    <w:p w:rsidR="0085709A" w:rsidRDefault="0085709A" w:rsidP="0085709A">
      <w:pPr>
        <w:pStyle w:val="TextoNormal"/>
      </w:pPr>
    </w:p>
    <w:p w:rsidR="0085709A" w:rsidRDefault="0085709A" w:rsidP="0085709A">
      <w:pPr>
        <w:pStyle w:val="TextoNormal"/>
      </w:pPr>
      <w:r w:rsidRPr="0085709A">
        <w:rPr>
          <w:rStyle w:val="NumeroAFNegritaCaracter"/>
        </w:rPr>
        <w:t>7</w:t>
      </w:r>
      <w:r>
        <w:t>. Denuncian los senadores recurrentes la “inconstitucionalidad de los arts. 1 a 26, 27.1, 28 a 74, las disposiciones adicionales primera a tercera, las disposiciones transitorias primera a sexta, las disposiciones transitorias décima a duodécima, disposición derogatoria única apartado segundo y las disposiciones finales primera a tercera, así como los anexos de la Ley 2/2004 de Cantabria todos inclusive por infracción del artículo 149.1.23 de la Constitución”, así como “por infracción de los artículos 137, 140, 149.1.1 y 149.1.18 de la Constitución”. Pese a que los propios actores hablan del “carácter subsidiario o alternativo” de estas impugnaciones, lo cierto es que tanto por los motivos esgrimidos como por su alcance objetivo, hemos de subsumirlas en los motivos del recurso examinados en los fundamentos jurídicos anteriores y proceder a su desestimación.</w:t>
      </w:r>
    </w:p>
    <w:p w:rsidR="0085709A" w:rsidRDefault="0085709A" w:rsidP="0085709A">
      <w:pPr>
        <w:pStyle w:val="TextoNormal"/>
      </w:pPr>
    </w:p>
    <w:p w:rsidR="0085709A" w:rsidRDefault="0085709A" w:rsidP="0085709A">
      <w:pPr>
        <w:pStyle w:val="TextoNormal"/>
      </w:pPr>
      <w:r>
        <w:t>En lo que hace a los motivos, los recurrentes reiteran las críticas relativas a la falta de formulación de evaluación ambiental, lo que conllevaría la infracción mediata del art. 149.1.23 CE, así como a la ausencia de mecanismos efectivos de participación de los municipios costeros en el procedimiento administrativo previo a la tramitación parlamentaria de la Ley de ordenación del litoral ahora controvertida, que daría como resultado la vulneración de la autonomía local constitucionalmente garantizada. Como claramente puede apreciarse, se trata de los mismos motivos del recurso que ya han sido examinados en los fundamentos jurídicos previos de esta misma resolución, sin que la atribución del carácter subsidiario o alternativo a estos motivos les añada nota distintiva alguna o les singularice al punto de merecer un tratamiento autónomo diferenciado del ya dispensado a los dos primeros motivos del recurso.</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Se impugnan en su conjunto el título IV (arts. 51 a 57) y el anexo III de la Ley del plan de ordenación del litoral, relativos a las actuaciones integrales estratégicas. Para los recurrentes, estas previsiones legales deberían haberse sometido a evaluación ambiental pues implican la transformación de usos del suelo —y la eliminación de la cubierta vegetal arbustiva— en una superficie superior a las 100 hectáreas. Al propio tiempo, denuncian que vulneran la autonomía municipal al desapoderar a los municipios afectados de toda capacidad de intervención en una decisión que afecta a la ordenación de su territorio. Al respecto, subrayan que el art. 29 de la Ley de ordenación territorial y régimen urbanístico del suelo de Cantabria limita la participación municipal en la elaboración de estos proyectos a un trámite de audiencia coincidente en plazos y efectos con la información pública general. En particular, denuncian que este tipo de actuaciones integrales pueda emplearse sobre cualquier clase de suelo, incluyendo el suelo urbano, que su delimitación lleve implícita la declaración de interés general (art. 54 de la Ley controvertida) y que la disposición adicional cuarta amplíe el ámbito de estos proyectos singulares, marginando con ello a los municipios en la función de ordenación urbanística de algunas zonas de su propio territorio. Para los actores, el legislador autonómico habría desatendido la obligación que sobre él pesa de reconocer a los municipios competencias relevantes y reconocible tanto en la ordenación y </w:t>
      </w:r>
      <w:r>
        <w:lastRenderedPageBreak/>
        <w:t>planeamiento urbanístico, como en el ámbito de la ejecución o gestión (STC 159/2001, FJ 4).</w:t>
      </w:r>
    </w:p>
    <w:p w:rsidR="0085709A" w:rsidRDefault="0085709A" w:rsidP="0085709A">
      <w:pPr>
        <w:pStyle w:val="TextoNormal"/>
      </w:pPr>
    </w:p>
    <w:p w:rsidR="0085709A" w:rsidRDefault="0085709A" w:rsidP="0085709A">
      <w:pPr>
        <w:pStyle w:val="TextoNormal"/>
      </w:pPr>
      <w:r>
        <w:t>Los recurrentes singularizan los reproches que dirigen frente a los arts. 51 a 53 de la Ley autonómica. Así, el primero de ellos contendría una delimitación unilateral y arbitraria —no se ha contado con el concurso de los municipios interesados y falta una explicación racional de la decisión— de los espacios sobre los cuales la Comunidad Autónoma asume un control directo. El art. 52 condiciona la libertad del planificador municipal al imponer la adaptación del planeamiento urbanístico municipal a las determinaciones de los planes y proyectos aprobados en desarrollo de las actuaciones integrales estratégicas. Finalmente, el art. 53 congela los usos autorizables al regular los usos compatibles en esas áreas.</w:t>
      </w:r>
    </w:p>
    <w:p w:rsidR="0085709A" w:rsidRDefault="0085709A" w:rsidP="0085709A">
      <w:pPr>
        <w:pStyle w:val="TextoNormal"/>
      </w:pPr>
    </w:p>
    <w:p w:rsidR="0085709A" w:rsidRDefault="0085709A" w:rsidP="0085709A">
      <w:pPr>
        <w:pStyle w:val="TextoNormal"/>
      </w:pPr>
      <w:r>
        <w:t>Las representaciones procesales del Gobierno y del Parlamento de Cantabria defienden de consuno la constitucionalidad de la regulación de las actuaciones integrales estratégicas contenida en la Ley del plan de ordenación del litoral objeto de este proceso. Descartan, a este respecto, que el plan de ordenación del litoral sea un “proyecto” sujeto a evaluación de impacto ambiental y que las actuaciones integrales estratégicas conlleven la eliminación completa de la cubierta vegetal arbustiva o arbórea de todos los terrenos en ellas comprendidos; a juicio de la Letrada del Ejecutivo autonómico, esto no sucedería en las actuaciones integrales estratégicas ambientales y de reordenación, entre cuyos objetivos figura la recuperación paisajística y geomorfológica, la protección de hábitats existentes, recuperación de dunas, etc. Por lo demás, de acuerdo con lo establecido en su art. 53, la entrada en vigor de la Ley no implica transformación de suelos sino mantenimiento de los usos existentes y la implantación de otros compatibles con los objetivos de cada actuación. Serán los proyectos singulares de interés regional los que hayan de someterse a evaluación de impacto ambiental.</w:t>
      </w:r>
    </w:p>
    <w:p w:rsidR="0085709A" w:rsidRDefault="0085709A" w:rsidP="0085709A">
      <w:pPr>
        <w:pStyle w:val="TextoNormal"/>
      </w:pPr>
    </w:p>
    <w:p w:rsidR="0085709A" w:rsidRDefault="0085709A" w:rsidP="0085709A">
      <w:pPr>
        <w:pStyle w:val="TextoNormal"/>
      </w:pPr>
      <w:r>
        <w:t>Por otra parte, esta misma Letrada autonómica distingue dos clases de actuaciones integrales estratégicas: las delimitadas gráficamente en el anexo III de la Ley 2/2004 y cuya regulación se contiene en los arts. 51.1 y 2, 52 y 57, y aquellas otras que pueden delimitarse mediante proyectos singulares de interés regional (art. 51.3 y 4), al tiempo que defiende que la Ley enjuiciada se limita a introducir algunas particularidades en el acabado régimen jurídico de actuaciones y proyectos establecido por la Ley 2/2001, cuya validez no ha sido puesta en tela de juicio.</w:t>
      </w:r>
    </w:p>
    <w:p w:rsidR="0085709A" w:rsidRDefault="0085709A" w:rsidP="0085709A">
      <w:pPr>
        <w:pStyle w:val="TextoNormal"/>
      </w:pPr>
    </w:p>
    <w:p w:rsidR="0085709A" w:rsidRDefault="0085709A" w:rsidP="0085709A">
      <w:pPr>
        <w:pStyle w:val="TextoNormal"/>
      </w:pPr>
      <w:r>
        <w:t>Es en esa Ley de 2001 donde se regula la intervención municipal en la delimitación y ordenación de estos instrumentos de planeamiento, limitándose la Ley 2/2004 a introducir la novedad de que la delimitación de proyectos singulares que desarrollen actuaciones integrales delimitadas en el anexo III del plan de ordenación del litoral lleva implícita su declaración de interés regional [art. 54 b)], declaración que habrá de ser formal y expresa, por el contrario, cuando se delimiten nuevas actuaciones integrales (art. 28 de la Ley 2/2001). Rechaza en particular la Letrada autonómica que los proyectos singulares sean instrumentos que permitan a la Comunidad Autónoma invadir las competencias municipales, defendiendo, por el contrario su consideración como mecanismos que permiten el desarrollo de actuaciones que superan las posibilidades ordinarias de los entes locales.</w:t>
      </w:r>
    </w:p>
    <w:p w:rsidR="0085709A" w:rsidRDefault="0085709A" w:rsidP="0085709A">
      <w:pPr>
        <w:pStyle w:val="TextoNormal"/>
      </w:pPr>
    </w:p>
    <w:p w:rsidR="0085709A" w:rsidRDefault="0085709A" w:rsidP="0085709A">
      <w:pPr>
        <w:pStyle w:val="TextoNormal"/>
      </w:pPr>
      <w:r>
        <w:t xml:space="preserve">Se rechaza igualmente que la delimitación de las actuaciones integrales estratégicas por la Ley vulnere la autonomía municipal pues los municipios afectados participaron en el </w:t>
      </w:r>
      <w:r>
        <w:lastRenderedPageBreak/>
        <w:t>trámite de audiencia habido en la fase administrativa de elaboración del anteproyecto de ley. Con respecto a la intervención de los entes locales en el procedimiento de aprobación de los proyectos singulares de interés regional y de los planes especiales, se hace hincapié en que la regulación de estos instrumentos de planeamiento ha de buscarse en la Ley de ordenación territorial y régimen urbanístico, limitándose la Ley 2/2004 a introducir las siguientes novedades: a) que los proyectos singulares hayan de incluir “las infraestructuras de conexión con los sistemas generales exteriores a la actuación que resulten necesarias”, b) el incremento de finalidades a perseguir con estos proyectos singulares y c) la posibilidad de ubicarlas en cualquier suelo, con independencia de su clasificación urbanística. En rigor, la primera de estas novedades no sería tal pues estaría implícita en el art. 27.1 d) de la Ley autonómica 2/2001; la segunda permitiría la implantación de viviendas sometidas a algún régimen de protección pública (art. 26.1 de la Ley 2/2004), así como la puesta en marcha de actuaciones integrales de carácter turístico, deportivo o cultural (art. 51.3), o ambiental (art. 51.4), ámbitos materiales sobre los cuales ostenta competencias la Comunidad Autónoma, de modo que la concurrencia de un evidente interés supralocal permite descartar, de plano, la existencia de un vicio de vulneración de la autonomía municipal.</w:t>
      </w:r>
    </w:p>
    <w:p w:rsidR="0085709A" w:rsidRDefault="0085709A" w:rsidP="0085709A">
      <w:pPr>
        <w:pStyle w:val="TextoNormal"/>
      </w:pPr>
    </w:p>
    <w:p w:rsidR="0085709A" w:rsidRDefault="0085709A" w:rsidP="0085709A">
      <w:pPr>
        <w:pStyle w:val="TextoNormal"/>
      </w:pPr>
      <w:r>
        <w:t>Por lo que se refiere a la posibilidad de ubicar proyectos singulares en cualquier clase de suelo, la innovación normativa se ha llevado a cabo mediante la reforma de la Ley 2/2001 y el establecimiento de nuevas previsiones legales [en particular, arts. 51. 3 y 4, y 54 a) de la Ley 2/2004]. En otro orden de cosas, la regulación de la Ley 2/2004 es coherente con la aplicación del principio de jerarquía a las relaciones entre instrumentos de planeamiento, extremo resuelto por la Ley de ordenación territorial y régimen urbanístico del suelo de Cantabria, del que resulta la primacía de los planes supramunicipales.</w:t>
      </w:r>
    </w:p>
    <w:p w:rsidR="0085709A" w:rsidRDefault="0085709A" w:rsidP="0085709A">
      <w:pPr>
        <w:pStyle w:val="TextoNormal"/>
      </w:pPr>
    </w:p>
    <w:p w:rsidR="0085709A" w:rsidRDefault="0085709A" w:rsidP="0085709A">
      <w:pPr>
        <w:pStyle w:val="TextoNormal"/>
      </w:pPr>
      <w:r w:rsidRPr="0085709A">
        <w:rPr>
          <w:rStyle w:val="NumeroAFNegritaCaracter"/>
        </w:rPr>
        <w:t>9</w:t>
      </w:r>
      <w:r>
        <w:t>. Como ya se ha avanzado anteriormente, de acuerdo con lo establecido en su art. 7, la Ley del Parlamento de Cantabria 2/2004, además de distinguir las áreas de protección y de ordenación de los municipios costeros —es decir, aquellos a los que resulta de aplicación la Ley—, se refiere a las actuaciones integrales estratégicas que, según lo establecido en el art. 51.1 de la propia Ley, “delimitan sectores que, por el interés de su desarrollo en el marco de políticas sectoriales de la Comunidad Autónoma de Cantabria vinculan al planeamiento municipal desde la entrada en vigor de esta Ley”. El régimen jurídico de las actuaciones integrales estratégicas se regula en el título IV (arts. 51 a 57) de la Ley, cuya anulación postulan ahora los recurrentes.</w:t>
      </w:r>
    </w:p>
    <w:p w:rsidR="0085709A" w:rsidRDefault="0085709A" w:rsidP="0085709A">
      <w:pPr>
        <w:pStyle w:val="TextoNormal"/>
      </w:pPr>
    </w:p>
    <w:p w:rsidR="0085709A" w:rsidRDefault="0085709A" w:rsidP="0085709A">
      <w:pPr>
        <w:pStyle w:val="TextoNormal"/>
      </w:pPr>
      <w:r>
        <w:t>Ese régimen jurídico se completa con lo dispuesto en el anexo III, en el cual la Ley aprobatoria del plan de ordenación del litoral recoge un total de once actuaciones integrales estratégicas: tres en las que, siguiendo la clasificación tripartita del art. 51.2, priman los intereses de reordenación (Bahía de Santander, Universidad Pontificia de Comillas y Área minera de Dícido), otras tres de carácter ambiental (Canteras de Cuchía, Ría de Cubas y Somo-Laredo) y, finalmente, cinco productivas (Castro Urdiales, Marina de Cudeyo-Medio Cudeyo, Piélagos-Villaescusa, Parque científico-tecnológico de Santander y Val de San Vicente). Además de estas once actuaciones específicamente previstas por la Ley, el art. 51.3 habilita al Gobierno autonómico para llevar a cabo otras, en los siguientes términos:</w:t>
      </w:r>
    </w:p>
    <w:p w:rsidR="0085709A" w:rsidRDefault="0085709A" w:rsidP="0085709A">
      <w:pPr>
        <w:pStyle w:val="TextoNormal"/>
      </w:pPr>
    </w:p>
    <w:p w:rsidR="0085709A" w:rsidRDefault="0085709A" w:rsidP="0085709A">
      <w:pPr>
        <w:pStyle w:val="TextoNormal"/>
      </w:pPr>
      <w:r>
        <w:t xml:space="preserve">“Excepto en las categorías de protección ambiental, y con independencia de la clasificación urbanística, el Gobierno podrá aprobar Proyectos Singulares de Interés Regional para </w:t>
      </w:r>
      <w:r>
        <w:lastRenderedPageBreak/>
        <w:t>llevar a cabo otras Actuaciones Integrales Estratégicas de carácter turístico, deportivo, cultural o residencial para viviendas sometidas a algún régimen de protección pública, en cuyo caso, sus determinaciones prevalecerán sobre las de este Plan, respetando en todo caso las limitaciones de uso del Área de Protección.”</w:t>
      </w:r>
    </w:p>
    <w:p w:rsidR="0085709A" w:rsidRDefault="0085709A" w:rsidP="0085709A">
      <w:pPr>
        <w:pStyle w:val="TextoNormal"/>
      </w:pPr>
    </w:p>
    <w:p w:rsidR="0085709A" w:rsidRDefault="0085709A" w:rsidP="0085709A">
      <w:pPr>
        <w:pStyle w:val="TextoNormal"/>
      </w:pPr>
      <w:r>
        <w:t>El art. 52 impone la adaptación de los planes y proyectos municipales a las actuaciones integrales estratégicas “en la primera modificación o revisión del planeamiento urbanístico”, en tanto que el art. 53, rubricado “usos compatibles”, dispone que “hasta la aprobación de los instrumentos de desarrollo de las Actuaciones Integrales Estratégicas únicamente se permite el mantenimiento de los usos existentes y la implantación de usos compatibles con los objetivos de la actuación, según las determinaciones del Anexo III”.</w:t>
      </w:r>
    </w:p>
    <w:p w:rsidR="0085709A" w:rsidRDefault="0085709A" w:rsidP="0085709A">
      <w:pPr>
        <w:pStyle w:val="TextoNormal"/>
      </w:pPr>
    </w:p>
    <w:p w:rsidR="0085709A" w:rsidRDefault="0085709A" w:rsidP="0085709A">
      <w:pPr>
        <w:pStyle w:val="TextoNormal"/>
      </w:pPr>
      <w:r>
        <w:t>Por lo que se refiere al régimen jurídico específico de cada una de las diferentes clases de actuaciones integrales estratégicas, interesa señalar que, con respecto a las de carácter prioritariamente productivo, el art. 54 prevé que su desarrollo “se llevará a cabo a través de uno o varios Proyectos Singulares de Interés Regional” (figura de planeamiento regulada en los arts. 26 y ss. de la Ley de ordenación territorial y régimen urbanístico del suelo de Cantabria; a este respecto, debe hacerse notar tanto que la propia Ley del plan de ordenación del litoral reforma, en su disposición adicional cuarta, el art. 26 de la Ley de ordenación territorial y régimen urbanístico del suelo de Cantabria, como que dicho precepto de la Ley 2/2001 ha sido objeto de diversas modificaciones posteriores, la última de ellas la introducida por la Ley 5/2012, de 11 de diciembre, de reforma del régimen transitorio en materia de ordenación del territorio y urbanismo), con las siguientes “particularidades”, en los términos del propio art. 54 de la Ley del plan de ordenación del litoral:</w:t>
      </w:r>
    </w:p>
    <w:p w:rsidR="0085709A" w:rsidRDefault="0085709A" w:rsidP="0085709A">
      <w:pPr>
        <w:pStyle w:val="TextoNormal"/>
      </w:pPr>
    </w:p>
    <w:p w:rsidR="0085709A" w:rsidRDefault="0085709A" w:rsidP="0085709A">
      <w:pPr>
        <w:pStyle w:val="TextoNormal"/>
      </w:pPr>
      <w:r>
        <w:t>“a) En los terrenos donde se localicen, y con independencia de su clasificación urbanística, podrán tramitarse Proyectos Singulares de Interés Regional de conformidad con lo establecido en el artículo 29 de la Ley de Cantabria 2/2001, de 25 de junio, y con el contenido regulado en el artículo 27 del mismo texto legal. El Proyecto Singular de Interés Regional incluirá además las infraestructuras de conexión con los Sistemas Generales exteriores a la actuación que resulten necesarias.</w:t>
      </w:r>
    </w:p>
    <w:p w:rsidR="0085709A" w:rsidRDefault="0085709A" w:rsidP="0085709A">
      <w:pPr>
        <w:pStyle w:val="TextoNormal"/>
      </w:pPr>
    </w:p>
    <w:p w:rsidR="0085709A" w:rsidRDefault="0085709A" w:rsidP="0085709A">
      <w:pPr>
        <w:pStyle w:val="TextoNormal"/>
      </w:pPr>
      <w:r>
        <w:t>b) Su delimitación lleva implícita la declaración de interés regional del artículo 28 de la Ley de Cantabria 2/2001, de 25 de junio.”</w:t>
      </w:r>
    </w:p>
    <w:p w:rsidR="0085709A" w:rsidRDefault="0085709A" w:rsidP="0085709A">
      <w:pPr>
        <w:pStyle w:val="TextoNormal"/>
      </w:pPr>
    </w:p>
    <w:p w:rsidR="0085709A" w:rsidRDefault="0085709A" w:rsidP="0085709A">
      <w:pPr>
        <w:pStyle w:val="TextoNormal"/>
      </w:pPr>
      <w:r>
        <w:t>A las actuaciones integrales estratégicas de reordenación dedica la Ley su art. 55, cuyo apartado primero extiende a estas actuaciones las singularidades introducidas en el art. 54 para las de carácter productivo, mientras que en el apartado segundo declara inaplicable a los espacios delimitados gráficamente como áreas de reordenación en el anexo III el régimen de usos compatibles general del art. 53, señalando que en ellos “únicamente se podrán mantener los usos existentes, así como obtener a través de los distintos procedimientos establecidos en la legislación urbanística los suelos destinados a sistemas generales de espacios libres o de equipamientos deportivos descubiertos”. El art. 56 enumera las determinaciones mínimas que han de contener los planes especiales que se aprueben para esta clase de espacios.</w:t>
      </w:r>
    </w:p>
    <w:p w:rsidR="0085709A" w:rsidRDefault="0085709A" w:rsidP="0085709A">
      <w:pPr>
        <w:pStyle w:val="TextoNormal"/>
      </w:pPr>
    </w:p>
    <w:p w:rsidR="0085709A" w:rsidRDefault="0085709A" w:rsidP="0085709A">
      <w:pPr>
        <w:pStyle w:val="TextoNormal"/>
      </w:pPr>
      <w:r>
        <w:lastRenderedPageBreak/>
        <w:t>En cuanto a las actuaciones integrales estratégicas ambientales, el art. 57 prevé que se puedan “desarrollar a través de Planes Especiales o Proyectos Singulares de Interés Regional con las especialidades establecidas en los artículos anteriores, y de acuerdo con los objetivos recogidos en el Anexo III”.</w:t>
      </w:r>
    </w:p>
    <w:p w:rsidR="0085709A" w:rsidRDefault="0085709A" w:rsidP="0085709A">
      <w:pPr>
        <w:pStyle w:val="TextoNormal"/>
      </w:pPr>
    </w:p>
    <w:p w:rsidR="0085709A" w:rsidRDefault="0085709A" w:rsidP="0085709A">
      <w:pPr>
        <w:pStyle w:val="TextoNormal"/>
      </w:pPr>
      <w:r w:rsidRPr="0085709A">
        <w:rPr>
          <w:rStyle w:val="NumeroAFNegritaCaracter"/>
        </w:rPr>
        <w:t>10</w:t>
      </w:r>
      <w:r>
        <w:t>. La lectura de los alegatos dirigidos por los recurrentes contra los preceptos que integran el título IV de la Ley del plan de ordenación del litoral relativos a las “actuaciones integrales estratégicas” pone de manifiesto que, más allá de los reproches específicamente dirigidos contra ellos individualmente considerados, la impugnación global de dicho título se asienta sobre dos pilares: En primer lugar, la denuncia de que la regulación legal de los proyectos singulares de interés regional es “abiertamente inconstitucional” puesto que permite desconocer la clasificación urbanística del suelo y, a su través, la intervención de la Administración autonómica incluso sobre el suelo urbano, es decir, aquella clase de suelo sobre la que se proyectan con mayor intensidad las potestades municipales de ordenación y gestión urbanística. En segundo lugar, se quejan los senadores recurrentes de que la previsión contenida en el art. 54 b) de la Ley, conforme a la cual, la delimitación de las actuaciones integrales estratégicas productivas llevará implícita su declaración de interés regional a los efectos del art. 28 de la Ley de ordenación del territorio y régimen urbanístico del suelo de Cantabria, anula las facultades de intervención de los municipios en asuntos sobre los que concurre un indiscutible interés local, pues afecta a la ordenación urbanística de zonas del territorio municipal, materia sobre la que debe poder pronunciarse e intervenir la comunidad municipal. Con invocación del art. 58.2 LBRL, se achaca al legislador autonómico que no haya garantizado suficientemente la participación municipal en un asunto que atañe directamente a las competencias locales sobre ordenación del territorio, urbanismo y medio ambiente. Antes bien, se permite que la Comunidad Autónoma extraiga del control y de las potestades de ordenación municipal una parte del territorio, condicionando la libertad de configurador del planificador urbanístico desde el momento en que el art. 52 impone la adaptación del planeamiento urbanístico a las determinaciones de los planes y proyectos aprobados en desarrollo de las actuaciones integrales estratégicas y el art. 53 congela los usos autorizables al regular los compatibles en estas áreas.</w:t>
      </w:r>
    </w:p>
    <w:p w:rsidR="0085709A" w:rsidRDefault="0085709A" w:rsidP="0085709A">
      <w:pPr>
        <w:pStyle w:val="TextoNormal"/>
      </w:pPr>
    </w:p>
    <w:p w:rsidR="0085709A" w:rsidRDefault="0085709A" w:rsidP="0085709A">
      <w:pPr>
        <w:pStyle w:val="TextoNormal"/>
      </w:pPr>
      <w:r>
        <w:t>Al examinar el presente motivo impugnatorio de la Ley autonómica no debemos perder de vista el carácter global del mismo. No se trata de tres derivaciones de un mismo alegato sino de tres elementos integrantes de una causa de nulidad de una parte de la Ley del plan de ordenación del litoral. Lo que significa que habrá de quedar para después el enjuiciamiento por separado y de manera singularizada de la constitucionalidad de cada uno de los preceptos que integran el título IV de la Ley del Parlamento de Cantabria 2/2004. Lo que ahora interesa es determinar hasta qué punto la lectura conjunta de todos ellos da como resultado una regulación inconstitucional en tanto que vulneradora de la autonomía constitucionalmente garantizada a los municipios; aquí, a los 37 municipios costeros en cuyo territorio resulta de entera aplicación la Ley.</w:t>
      </w:r>
    </w:p>
    <w:p w:rsidR="0085709A" w:rsidRDefault="0085709A" w:rsidP="0085709A">
      <w:pPr>
        <w:pStyle w:val="TextoNormal"/>
      </w:pPr>
    </w:p>
    <w:p w:rsidR="0085709A" w:rsidRDefault="0085709A" w:rsidP="0085709A">
      <w:pPr>
        <w:pStyle w:val="TextoNormal"/>
      </w:pPr>
      <w:r>
        <w:t>Pues bien, con independencia de lo que posteriormente resulte del análisis circunstanciado de las impugnaciones singularizadas de los preceptos que lo componen, debemos descartar que, valorado en su conjunto, el título IV de la Ley del plan de ordenación del litoral merezca el reproche de inconstitucionalidad contra él dirigido.</w:t>
      </w:r>
    </w:p>
    <w:p w:rsidR="0085709A" w:rsidRDefault="0085709A" w:rsidP="0085709A">
      <w:pPr>
        <w:pStyle w:val="TextoNormal"/>
      </w:pPr>
    </w:p>
    <w:p w:rsidR="0085709A" w:rsidRDefault="0085709A" w:rsidP="0085709A">
      <w:pPr>
        <w:pStyle w:val="TextoNormal"/>
      </w:pPr>
      <w:r>
        <w:lastRenderedPageBreak/>
        <w:t xml:space="preserve">Con respecto a la posible incidencia autonómica en cualquier tipo de suelo, con entera abstracción por tanto de su clasificación urbanística, baste significar que esa incidencia se ciñe exclusivamente a las actuaciones integrales recogidas en el anexo III —conforme a la cartografía del anexo I— de la Ley del Parlamento de Cantabria 2/2004, por lo que —salvada la duda que pudiera plantear lo dispuesto en el art. 51.3, sobre el que tendremos ocasión de volver posteriormente— carece de la </w:t>
      </w:r>
      <w:r w:rsidRPr="0085709A">
        <w:rPr>
          <w:i/>
        </w:rPr>
        <w:t>vis expansiva</w:t>
      </w:r>
      <w:r>
        <w:t xml:space="preserve"> que pretenden atribuirle los recurrentes. Esta misma razón nos lleva a descartar la inconstitucionalidad de la afirmación de que la delimitación los terrenos en los que hayan de localizarse las actuaciones integrales estratégicas productivas llevará implícita la declaración de interés regional a los efectos del art. 28 de la Ley de ordenación territorial y régimen urbanístico del suelo [art. 54 b)], al versar igualmente sobre las comprendidas en el anexo III de la propia Ley 2/2004.</w:t>
      </w:r>
    </w:p>
    <w:p w:rsidR="0085709A" w:rsidRDefault="0085709A" w:rsidP="0085709A">
      <w:pPr>
        <w:pStyle w:val="TextoNormal"/>
      </w:pPr>
    </w:p>
    <w:p w:rsidR="0085709A" w:rsidRDefault="0085709A" w:rsidP="0085709A">
      <w:pPr>
        <w:pStyle w:val="TextoNormal"/>
      </w:pPr>
      <w:r>
        <w:t xml:space="preserve">Por lo que hace a la denuncia específica de vulneración del art. 58.2 LBRL, conforme al cual las Administraciones competentes en materia de aprobación de planes “deberán otorgar a las restantes algún tipo de participación que permita armonizar los intereses públicos afectados”, baste recordar que, conforme este Tribunal tiene dicho en las SSTC 159/2001, FJ 12, y 51/2004, de 13 de abril, FJ 10, “ni de la Constitución ni de aquellos preceptos de la legislación estatal (LBRL) que integran el bloque de la constitucionalidad se deduce cuál deba ser la intensidad o la medida concreta de las competencias que respecto de (determinados Planes) deba atribuirse en la legislación autonómica sectorial a los entes locales (redacción inicial o fase preparatoria, audiencia previa, informe vinculante o no, participación en organismos mixtos, etc.).” En la STC 159/2001 se consideró que la limitación de la intervención municipal exclusivamente a la fase de aprobación inicial de instrumentos de planeamiento urbanístico “es, </w:t>
      </w:r>
      <w:r w:rsidRPr="0085709A">
        <w:rPr>
          <w:i/>
        </w:rPr>
        <w:t>a priori</w:t>
      </w:r>
      <w:r>
        <w:t>, compatible con el mínimo exigido a la legislación sectorial por el principio de autonomía local, porque, como ya hemos precisado, a lo que obliga ésta es a que existan competencias municipales relevantes y reconocibles en la ordenación y en el planeamiento urbanístico, y la norma cuestionada sigue atribuyendo a los Ayuntamientos competencias esenciales en relación con el planeamiento, concretamente en sus dos primeras fases de aprobación inicial y provisional. Ni la norma autonómica directamente cuestionada (art. 50 del Decreto Legislativo 1/1990) ni tampoco los preceptos que refundió (singularmente la Ley 3/1984, por remisión al Decreto de 11 de octubre de 1978) atentan contra la autonomía local en la medida en que, respetando otras facultades municipales de intervención, no eliminan toda participación de los Ayuntamientos en el proceso de elaboración y aprobación del planeamiento derivado.” (</w:t>
      </w:r>
      <w:r w:rsidRPr="0085709A">
        <w:rPr>
          <w:i/>
        </w:rPr>
        <w:t>ibídem</w:t>
      </w:r>
      <w:r>
        <w:t>). Por su parte, en la STC 51/2004, se concluyó que el hecho de que la competencia de iniciativa para la modificación del plan general metropolitano de Barcelona esté atribuida a la Comisión de Urbanismo de Barcelona “cuando dicha modificación exceda del ámbito de los intereses cuya gestión corresponde a un municipio o a una comarca, no significa que estas entidades locales carezcan de posibilidades de participación en el procedimiento de aprobación de la modificación del planeamiento general metropolitano correspondiente. Por el contrario, en estos supuestos deberá aplicarse lo dispuesto en el art. 59.1 del texto refundido catalán que, tras regular la fase de información pública durante un mes que sigue a la aprobación inicial del plan urbanístico de que se trate, dispone que ‘si el plan no hubiera sido redactado por el Ayuntamiento respectivo, se abrirá otro período de igual duración para dar audiencia a las Corporaciones Locales a cuyo territorio afecte’.” (</w:t>
      </w:r>
      <w:r w:rsidRPr="0085709A">
        <w:rPr>
          <w:i/>
        </w:rPr>
        <w:t>loc. cit</w:t>
      </w:r>
      <w:r>
        <w:t xml:space="preserve">.). No se trata, por tanto, de valorar en qué medida la participación reconocida a las entidades locales en los procedimientos previstos por el legislador autonómico para el desarrollo de las actuaciones integrales estratégicas satisfaga un hipotético “óptimo constitucional” (STC 47/2005, de 3 de marzo, FJ 10) en cuanto a la </w:t>
      </w:r>
      <w:r>
        <w:lastRenderedPageBreak/>
        <w:t>intervención municipal en asuntos que conciernan a la comunidad local, sino de examinar hasta qué punto, y a la vista de los intereses supramunicipales concurrentes, el legislador autonómico ha respetado ese mínimo que impone la proclamación constitucional de la autonomía local. Un respeto que, en el juicio global que ahora nos corresponde efectuar, podemos entender satisfecho habida cuenta de que, como ya hemos indicado, en principio, los preceptos controvertidos hacen referencia a la intervención municipal en el desarrollo de las actuaciones integrales estratégicas comprendidas en el anexo III (con la cartografía que figura en el anexo I) de la Ley, respecto de las cuales el legislador autonómico ya ha llevado a cabo una función de delimitación correspondiente a la concurrencia de intereses supramunicipales.</w:t>
      </w:r>
    </w:p>
    <w:p w:rsidR="0085709A" w:rsidRDefault="0085709A" w:rsidP="0085709A">
      <w:pPr>
        <w:pStyle w:val="TextoNormal"/>
      </w:pPr>
    </w:p>
    <w:p w:rsidR="0085709A" w:rsidRDefault="0085709A" w:rsidP="0085709A">
      <w:pPr>
        <w:pStyle w:val="TextoNormal"/>
      </w:pPr>
      <w:r w:rsidRPr="0085709A">
        <w:rPr>
          <w:rStyle w:val="NumeroAFNegritaCaracter"/>
        </w:rPr>
        <w:t>11</w:t>
      </w:r>
      <w:r>
        <w:t>. Llegados a este punto de nuestro pronunciamiento, parece oportuno que nos apartemos de la sistemática propuesta por los actores en el escrito rector de este proceso y remitamos el enjuiciamiento de la constitucionalidad de los arts. 51.3 y 4, 54, 55 y 57 y la disposición adicional cuarta de la Ley controvertida al estudio de la pretensión subsidiaria de nulidad dirigida frente a diferentes preceptos de la Ley del plan de ordenación del litoral. Es cierto que los actores impugnan conjunta y separadamente —pues los agrupan bajo un mismo motivo del recurso— los ya citados preceptos de la Ley, en cuanto que, al permitir la aprobación de proyectos singulares de interés regional prescindiendo de la clasificación del suelo sobre el que hayan de asentarse, ignorarían las competencias estatales sobre condiciones básicas de igualdad en el ejercicio de los derechos constitucionales (art. 149.1.1 CE) y en materia de legislación básica de protección ambiental (art. 149.1.23 CE), así como la autonomía reconocida a los municipios por los arts. 137 y 140 CE. Sin embargo, no es menos cierto que esa impugnación conjunta de los preceptos legales referidos carece de un tratamiento específico y singularizado. Al punto de que las alegaciones sobre las que se sustenta coinciden y complementan aquellas otras empleadas en el ejercicio de la pretensión subsidiaria de nulidad de concretos preceptos —entre los que se encuentran los arts. 51.3 y 4, 54, 55 y 57 y la disposición adicional cuarta de la Ley autonómica— cuya anulación por inconstitucionalidad se postula.</w:t>
      </w:r>
    </w:p>
    <w:p w:rsidR="0085709A" w:rsidRDefault="0085709A" w:rsidP="0085709A">
      <w:pPr>
        <w:pStyle w:val="TextoNormal"/>
      </w:pPr>
    </w:p>
    <w:p w:rsidR="0085709A" w:rsidRDefault="0085709A" w:rsidP="0085709A">
      <w:pPr>
        <w:pStyle w:val="TextoNormal"/>
      </w:pPr>
      <w:r>
        <w:t>Por las razones expuestas, el examen de la conformidad de estos preceptos con las normas integrantes del bloque de constitucionalidad invocadas por los actores en su recurso se realizará en los fundamentos jurídicos dedicados al examen de cada uno de estos preceptos en particular.</w:t>
      </w:r>
    </w:p>
    <w:p w:rsidR="0085709A" w:rsidRDefault="0085709A" w:rsidP="0085709A">
      <w:pPr>
        <w:pStyle w:val="TextoNormal"/>
      </w:pPr>
    </w:p>
    <w:p w:rsidR="0085709A" w:rsidRDefault="0085709A" w:rsidP="0085709A">
      <w:pPr>
        <w:pStyle w:val="TextoNormal"/>
      </w:pPr>
      <w:r w:rsidRPr="0085709A">
        <w:rPr>
          <w:rStyle w:val="NumeroAFNegritaCaracter"/>
        </w:rPr>
        <w:t>12</w:t>
      </w:r>
      <w:r>
        <w:t>. En el escrito rector de este proceso constitucional se contiene una “fundamentación jurídica del recurso de inconstitucionalidad respecto de cada uno de los preceptos de la Ley de Cantabria 2/2004, de 27 de septiembre, reputados inconstitucionales”, fundamentación que se abre con la enunciación de unos “fundamentos jurídicos generales” relativos al principio de legalidad (arts. 9.3 y 103 CE), la conexión de la autonomía local con el urbanismo (arts. 137, 140 y 149.1.18 CE) y las competencias estatales sobre condiciones básicas de igualdad en el ejercicio de los derechos y el cumplimiento de los deberes constitucionales (art. 149.1.1 CE), la fijación de las reglas relativas a la aplicación y eficacia de las normas jurídicas (art. 149.1.8 CE) y las bases del régimen jurídico de las Administraciones públicas (art. 149.1.18 CE).</w:t>
      </w:r>
    </w:p>
    <w:p w:rsidR="0085709A" w:rsidRDefault="0085709A" w:rsidP="0085709A">
      <w:pPr>
        <w:pStyle w:val="TextoNormal"/>
      </w:pPr>
    </w:p>
    <w:p w:rsidR="0085709A" w:rsidRDefault="0085709A" w:rsidP="0085709A">
      <w:pPr>
        <w:pStyle w:val="TextoNormal"/>
      </w:pPr>
      <w:r>
        <w:t xml:space="preserve">El primero de los preceptos de la Ley del Parlamento de Cantabria 2/2004, de 27 de septiembre, del plan de ordenación del litoral, es el art. 3, rubricado “Procedimiento para la </w:t>
      </w:r>
      <w:r>
        <w:lastRenderedPageBreak/>
        <w:t>actualización del ámbito”. Más concretamente, se controvierte el inciso final de su apartado primero.</w:t>
      </w:r>
    </w:p>
    <w:p w:rsidR="0085709A" w:rsidRDefault="0085709A" w:rsidP="0085709A">
      <w:pPr>
        <w:pStyle w:val="TextoNormal"/>
      </w:pPr>
    </w:p>
    <w:p w:rsidR="0085709A" w:rsidRDefault="0085709A" w:rsidP="0085709A">
      <w:pPr>
        <w:pStyle w:val="TextoNormal"/>
      </w:pPr>
      <w:r>
        <w:t>Dispone el art. 3.1 de la Ley controvertida lo siguiente:</w:t>
      </w:r>
    </w:p>
    <w:p w:rsidR="0085709A" w:rsidRDefault="0085709A" w:rsidP="0085709A">
      <w:pPr>
        <w:pStyle w:val="TextoNormal"/>
      </w:pPr>
    </w:p>
    <w:p w:rsidR="0085709A" w:rsidRDefault="0085709A" w:rsidP="0085709A">
      <w:pPr>
        <w:pStyle w:val="TextoNormal"/>
      </w:pPr>
      <w:r>
        <w:t>“Si en la adaptación del planeamiento urbanístico a esta Ley se advirtiera que existen suelos indebidamente excluidos de su ámbito de aplicación, la Comisión Regional de Ordenación del Territorio y Urbanismo propondrá su inclusión y zonificación conforme a los criterios de la presente Ley.</w:t>
      </w:r>
    </w:p>
    <w:p w:rsidR="0085709A" w:rsidRDefault="0085709A" w:rsidP="0085709A">
      <w:pPr>
        <w:pStyle w:val="TextoNormal"/>
      </w:pPr>
    </w:p>
    <w:p w:rsidR="0085709A" w:rsidRDefault="0085709A" w:rsidP="0085709A">
      <w:pPr>
        <w:pStyle w:val="TextoNormal"/>
      </w:pPr>
      <w:r>
        <w:t>Dicha propuesta será sometida simultáneamente a información pública y audiencia singularizada a la Administración General del Estado y al Ayuntamiento interesado por plazo de un mes.</w:t>
      </w:r>
    </w:p>
    <w:p w:rsidR="0085709A" w:rsidRDefault="0085709A" w:rsidP="0085709A">
      <w:pPr>
        <w:pStyle w:val="TextoNormal"/>
      </w:pPr>
    </w:p>
    <w:p w:rsidR="0085709A" w:rsidRDefault="0085709A" w:rsidP="0085709A">
      <w:pPr>
        <w:pStyle w:val="TextoNormal"/>
      </w:pPr>
      <w:r>
        <w:t>Transcurrido dicho plazo, se emitirá informe por la Dirección General competente en materia de ordenación del territorio y, previo acuerdo de la Comisión Regional de Ordenación del Territorio y Urbanismo, el Consejero competente lo elevará al Consejo de Gobierno para su aprobación mediante Decreto.</w:t>
      </w:r>
    </w:p>
    <w:p w:rsidR="0085709A" w:rsidRDefault="0085709A" w:rsidP="0085709A">
      <w:pPr>
        <w:pStyle w:val="TextoNormal"/>
      </w:pPr>
    </w:p>
    <w:p w:rsidR="0085709A" w:rsidRDefault="0085709A" w:rsidP="0085709A">
      <w:pPr>
        <w:pStyle w:val="TextoNormal"/>
      </w:pPr>
      <w:r>
        <w:t>La tramitación de este procedimiento suspenderá el plazo para aprobar definitivamente el instrumento de planeamiento.”</w:t>
      </w:r>
    </w:p>
    <w:p w:rsidR="0085709A" w:rsidRDefault="0085709A" w:rsidP="0085709A">
      <w:pPr>
        <w:pStyle w:val="TextoNormal"/>
      </w:pPr>
    </w:p>
    <w:p w:rsidR="0085709A" w:rsidRDefault="0085709A" w:rsidP="0085709A">
      <w:pPr>
        <w:pStyle w:val="TextoNormal"/>
      </w:pPr>
      <w:r>
        <w:t>Para los recurrentes, la suspensión sin término definido de la aprobación definitiva del instrumento de planeamiento urbanístico vulnera la autonomía municipal pues representa una intervención excesiva e innecesaria al proyectarse sobre zonas del plan que no son objeto de actualización y hacerse sin precisarse el plazo de dicha suspensión. Por el contrario, para la representación letrada del Gobierno de Cantabria estamos ante una previsión normativa plenamente coherente con lo establecido en el art. 72 de la Ley de ordenación territorial y régimen urbanístico del suelo de Cantabria —conforme al cual, “cuando las objeciones a la aprobación definitiva del plan general afecten a zonas o determinaciones tan concretas que, prescindiendo de ellas, el Plan se pueda aplicar con coherencia, este se aprobará definitivamente salvo en la parte objeto de reparos, que quedará en suspenso hasta su rectificación en los términos precisados por la resolución aprobatoria”—.</w:t>
      </w:r>
    </w:p>
    <w:p w:rsidR="0085709A" w:rsidRDefault="0085709A" w:rsidP="0085709A">
      <w:pPr>
        <w:pStyle w:val="TextoNormal"/>
      </w:pPr>
    </w:p>
    <w:p w:rsidR="0085709A" w:rsidRDefault="0085709A" w:rsidP="0085709A">
      <w:pPr>
        <w:pStyle w:val="TextoNormal"/>
      </w:pPr>
      <w:r>
        <w:t xml:space="preserve">Debemos llamar la atención acerca de la existencia, por encima de las discrepancias que puedan mantener las partes que han alegado en relación con la constitucionalidad del precepto legal que ahora nos ocupa, de una coincidencia esencial en punto a la posibilidad de interpretar el inciso final del art. 3.1 de la Ley del plan de ordenación del litoral como una concreción de la regla general plasmada en la primera frase del art. 72 de la Ley de ordenación territorial y régimen urbanístico del suelo de Cantabria reproducida en el párrafo anterior. Esa coincidencia permite concluir que el precepto cuestionado de la Ley territorial 2/2004 no abre la puerta a una intervención desproporcionada en el procedimiento de actualización del ámbito de los instrumentos de planeamiento municipal sino que establece una especificación por razón de la materia de la regla general del art. 72 de la Ley 2/2001: los efectos suspensivos de ambos preceptos legales se proyectan exclusivamente sobre la fase final de la aprobación de los instrumentos de planeamiento, la aprobación definitiva y ninguno de ellos establece un término para esa suspensión, supeditándose en ambos casos a </w:t>
      </w:r>
      <w:r>
        <w:lastRenderedPageBreak/>
        <w:t>la subsanación del vicio de incoherencia que impide la plena aprobación definitiva del instrumento de planeamiento. No puede motejarse de desproporcionada una previsión como la que nos ocupa, con la que se busca preservar la coherencia —en este caso territorial— de los instrumentos de planeamiento urbanístico y de su adaptación a las exigencias dimanantes de otros planes jerárquicamente supraordenados.</w:t>
      </w:r>
    </w:p>
    <w:p w:rsidR="0085709A" w:rsidRDefault="0085709A" w:rsidP="0085709A">
      <w:pPr>
        <w:pStyle w:val="TextoNormal"/>
      </w:pPr>
    </w:p>
    <w:p w:rsidR="0085709A" w:rsidRDefault="0085709A" w:rsidP="0085709A">
      <w:pPr>
        <w:pStyle w:val="TextoNormal"/>
      </w:pPr>
      <w:r>
        <w:t>Contemplado el inciso final del art. 3.1 de la Ley del plan de ordenación del litoral como una especificación de la regla general establecida por el art. 72 de la Ley de ordenación territorial y de régimen urbanístico del suelo de Cantabria, decae la denuncia de falta de proporcionalidad pues aquel se limita a introducir un nuevo supuesto de suspensión de la aprobación definitiva de los instrumentos de planeamiento cuando dicha aprobación pudiera quebrar la coherencia territorial —por exclusión indebida de suelos del ámbito de aplicación del instrumento de planeamiento— del plan y en la medida estrictamente precisa para salvaguardar esa coherencia territorial. De suerte que, de acuerdo con lo establecido en la regla general, la suspensión únicamente comprenderá las partes del planeamiento aquejadas por la exclusión indebida de su ámbito territorial de determinados espacios, en línea con lo previsto en el art. 72 de la Ley 2/2001. Sin que, por otra parte, lo dicho implique en modo alguno erigir a este último precepto de la Ley de ordenación territorial en canon de validez del inciso final del art. 3.1 de la Ley del plan de ordenación del litoral sino, única y exclusivamente, poner de manifiesto la existencia de un criterio general en la legislación autonómica cántabra al que es posible reconducir el precepto legal cuya validez controvierten los actores en este proceso constitucional; criterio general coincidente con aquella vertiente del principio de proporcionalidad que entienden aplicable al presente caso.</w:t>
      </w:r>
    </w:p>
    <w:p w:rsidR="0085709A" w:rsidRDefault="0085709A" w:rsidP="0085709A">
      <w:pPr>
        <w:pStyle w:val="TextoNormal"/>
      </w:pPr>
    </w:p>
    <w:p w:rsidR="0085709A" w:rsidRDefault="0085709A" w:rsidP="0085709A">
      <w:pPr>
        <w:pStyle w:val="TextoNormal"/>
      </w:pPr>
      <w:r>
        <w:t>Lo expuesto conduce derechamente a la desestimación de la impugnación del inciso final del art. 3.1 de la Ley del plan de ordenación del litoral.</w:t>
      </w:r>
    </w:p>
    <w:p w:rsidR="0085709A" w:rsidRDefault="0085709A" w:rsidP="0085709A">
      <w:pPr>
        <w:pStyle w:val="TextoNormal"/>
      </w:pPr>
    </w:p>
    <w:p w:rsidR="0085709A" w:rsidRDefault="0085709A" w:rsidP="0085709A">
      <w:pPr>
        <w:pStyle w:val="TextoNormal"/>
      </w:pPr>
      <w:r w:rsidRPr="0085709A">
        <w:rPr>
          <w:rStyle w:val="NumeroAFNegritaCaracter"/>
        </w:rPr>
        <w:t>13</w:t>
      </w:r>
      <w:r>
        <w:t>. Se impugnan igualmente el primer apartado del art. 9, rubricado “Área de ordenación”, y el art. 10, titulado “Capacidad de carga”.</w:t>
      </w:r>
    </w:p>
    <w:p w:rsidR="0085709A" w:rsidRDefault="0085709A" w:rsidP="0085709A">
      <w:pPr>
        <w:pStyle w:val="TextoNormal"/>
      </w:pPr>
    </w:p>
    <w:p w:rsidR="0085709A" w:rsidRDefault="0085709A" w:rsidP="0085709A">
      <w:pPr>
        <w:pStyle w:val="TextoNormal"/>
      </w:pPr>
      <w:r>
        <w:t>a) El primero de estos preceptos legales establece la siguiente zonificación del área litoral:</w:t>
      </w:r>
    </w:p>
    <w:p w:rsidR="0085709A" w:rsidRDefault="0085709A" w:rsidP="0085709A">
      <w:pPr>
        <w:pStyle w:val="TextoNormal"/>
      </w:pPr>
    </w:p>
    <w:p w:rsidR="0085709A" w:rsidRDefault="0085709A" w:rsidP="0085709A">
      <w:pPr>
        <w:pStyle w:val="TextoNormal"/>
      </w:pPr>
      <w:r>
        <w:t>“Área Litoral: Comprende el territorio de los municipios costeros que determina una franja entre el Área de Protección y los relieves que delimitan el área de influencia marina, así como los territorios asociados a la dinámica litoral y a la presencia del mar y de las rías.</w:t>
      </w:r>
    </w:p>
    <w:p w:rsidR="0085709A" w:rsidRDefault="0085709A" w:rsidP="0085709A">
      <w:pPr>
        <w:pStyle w:val="TextoNormal"/>
      </w:pPr>
    </w:p>
    <w:p w:rsidR="0085709A" w:rsidRDefault="0085709A" w:rsidP="0085709A">
      <w:pPr>
        <w:pStyle w:val="TextoNormal"/>
      </w:pPr>
      <w:r>
        <w:t>El modelo de ordenación en el Área litoral se zonifica, en función de su capacidad de carga, con el fin de compatibilizar las necesidades del desarrollo económico y social, la protección ambiental y la preservación de las áreas que presentan riesgos o que no reúnen las condiciones necesarias para la ocupación, en las siguientes categorías que tienen su representación gráfica en el Anexo I:</w:t>
      </w:r>
    </w:p>
    <w:p w:rsidR="0085709A" w:rsidRDefault="0085709A" w:rsidP="0085709A">
      <w:pPr>
        <w:pStyle w:val="TextoNormal"/>
      </w:pPr>
    </w:p>
    <w:p w:rsidR="0085709A" w:rsidRDefault="0085709A" w:rsidP="0085709A">
      <w:pPr>
        <w:pStyle w:val="TextoNormal"/>
      </w:pPr>
      <w:r>
        <w:t>a) Área Periurbana (AP): se corresponde con los sectores o áreas periféricas de los núcleos ubicados en el entorno de las autovías y de la Bahía de Santander, sometidos a procesos de transformación territorial por la implantación de nuevos usos que han podido modificar su estructura territorial.</w:t>
      </w:r>
    </w:p>
    <w:p w:rsidR="0085709A" w:rsidRDefault="0085709A" w:rsidP="0085709A">
      <w:pPr>
        <w:pStyle w:val="TextoNormal"/>
      </w:pPr>
    </w:p>
    <w:p w:rsidR="0085709A" w:rsidRDefault="0085709A" w:rsidP="0085709A">
      <w:pPr>
        <w:pStyle w:val="TextoNormal"/>
      </w:pPr>
      <w:r>
        <w:lastRenderedPageBreak/>
        <w:t>b) Área de Modelo Tradicional (MT): se corresponde con los espacios de organización tradicional, normalmente libres de edificación, constituidos por las mieses inmediatas a los núcleos, generalmente ocupados por cultivos y diversos elementos delimitadores de las mismas, vegetales o inertes, y los terrazgos de monte, dedicados a pradería y labrantío, de significado valor agrario y ambiental.</w:t>
      </w:r>
    </w:p>
    <w:p w:rsidR="0085709A" w:rsidRDefault="0085709A" w:rsidP="0085709A">
      <w:pPr>
        <w:pStyle w:val="TextoNormal"/>
      </w:pPr>
    </w:p>
    <w:p w:rsidR="0085709A" w:rsidRDefault="0085709A" w:rsidP="0085709A">
      <w:pPr>
        <w:pStyle w:val="TextoNormal"/>
      </w:pPr>
      <w:r>
        <w:t>c) Área de Ordenación Ecológico Forestal (OEF): comprende los sistemas forestales o espacios ocupados por vegetación arbustiva de matorral o arbórea diferente a la relacionada en el artículo 8.1.d), en los que los usos de producción pueden compatibilizarse con la protección.”</w:t>
      </w:r>
    </w:p>
    <w:p w:rsidR="0085709A" w:rsidRDefault="0085709A" w:rsidP="0085709A">
      <w:pPr>
        <w:pStyle w:val="TextoNormal"/>
      </w:pPr>
    </w:p>
    <w:p w:rsidR="0085709A" w:rsidRDefault="0085709A" w:rsidP="0085709A">
      <w:pPr>
        <w:pStyle w:val="TextoNormal"/>
      </w:pPr>
      <w:r>
        <w:t>Para los actores, este precepto legal lleva a cabo una zonificación de la denominada “área litoral” en función de un criterio, como es el de capacidad de carga, en cuya definición —contenida en el art. 10 de la propia Ley recurrida— no se aprecia con claridad la concurrencia de intereses supramunicipales que justifiquen el fuerte grado de vinculación impuesto a los planificadores municipales. Por el contrario, este límite no actúa frente al Gobierno autonómico que, conforme a lo establecido en el art. 51.3 y en la disposición adicional cuarta de la Ley controvertida, puede actuar al margen del mismo. Las denuncias alzadas contra el art. 9.1 se proyectan sobre el anexo I de la Ley, donde encontraría concreción territorial el criterio recogido en este precepto legal.</w:t>
      </w:r>
    </w:p>
    <w:p w:rsidR="0085709A" w:rsidRDefault="0085709A" w:rsidP="0085709A">
      <w:pPr>
        <w:pStyle w:val="TextoNormal"/>
      </w:pPr>
    </w:p>
    <w:p w:rsidR="0085709A" w:rsidRDefault="0085709A" w:rsidP="0085709A">
      <w:pPr>
        <w:pStyle w:val="TextoNormal"/>
      </w:pPr>
      <w:r>
        <w:t>En cuanto al art. 10 de la Ley recurrida —donde se define la capacidad de carga como “la aptitud de un área determinada para soportar un nivel de intensidad de usos, sin que produzca un proceso de deterioro ambiental, social o cultural”—, entienden los actores que “permite un control del planeamiento municipal en la fase de aprobación definitiva de forma discrecional” e incompatible con la autonomía local constitucionalmente garantizada a los municipios. Concretamente, apuntan que toda decisión del planificador municipal implica insoslayablemente una modificación de la realidad preexistente, es decir, un deterioro ambiental, social o cultural. Se abre así la puerta a un auténtico control genérico o indeterminado contrario a la doctrina sentada por la STC 4/1981, de 2 de febrero, pues una noción tan abierta como la de capacidad de carga permite valorar la oportunidad de las decisiones que pueda adoptar el planificador municipal.</w:t>
      </w:r>
    </w:p>
    <w:p w:rsidR="0085709A" w:rsidRDefault="0085709A" w:rsidP="0085709A">
      <w:pPr>
        <w:pStyle w:val="TextoNormal"/>
      </w:pPr>
    </w:p>
    <w:p w:rsidR="0085709A" w:rsidRDefault="0085709A" w:rsidP="0085709A">
      <w:pPr>
        <w:pStyle w:val="TextoNormal"/>
      </w:pPr>
      <w:r>
        <w:t>Al respecto, sostiene la Letrada del Gobierno de Cantabria que la zonificación controvertida trae causa de lo establecido en la disposición adicional cuarta de la Ley 2/2001, sin que el criterio empleado para ello en la Ley del plan de ordenación del litoral resulte arbitrario ni contrario a la autonomía local al dar preponderancia al interés supramunicipal concurrente en la protección del medio ambiente y la ordenación racional de los recursos naturales. La zonificación contenida en la Ley enmarca el ámbito en el que habrá de moverse el planificador local, lo que no representa vaciamiento alguno de las competencias urbanísticas local sino prevalencia del interés supramunicipal que, siempre en opinión de la representación letrada del Gobierno autonómico, hallaría adecuado reflejo en el art. 20 de la entonces vigente Ley 6/1998, de 13 de abril, sobre régimen del suelo y valoraciones, rubricado “Derechos de los propietarios de suelo no urbanizable”. Por lo que respecta al art. 10, en él se define la noción “capacidad de carga” —en coherencia con la libertad de que goza el legislador sectorialmente competente para establecer los medios a través de los cuales se asegure de que los planificadores municipales salvaguarden los valores ambientales y culturales del territorio.</w:t>
      </w:r>
    </w:p>
    <w:p w:rsidR="0085709A" w:rsidRDefault="0085709A" w:rsidP="0085709A">
      <w:pPr>
        <w:pStyle w:val="TextoNormal"/>
      </w:pPr>
    </w:p>
    <w:p w:rsidR="0085709A" w:rsidRDefault="0085709A" w:rsidP="0085709A">
      <w:pPr>
        <w:pStyle w:val="TextoNormal"/>
      </w:pPr>
      <w:r>
        <w:t xml:space="preserve">b) Convencionalmente, puede afirmarse que el concepto “capacidad de carga” —traducción literal del término inglés </w:t>
      </w:r>
      <w:r w:rsidRPr="0085709A">
        <w:rPr>
          <w:i/>
        </w:rPr>
        <w:t>carrying capacity</w:t>
      </w:r>
      <w:r>
        <w:t>— hace referencia a la tolerancia del territorio para acoger usos del suelo sin que se produzcan deterioros en el medio que superen los límites aceptables. Bien puede decirse que esta definición se corresponde con la recogida en el art. 10 de la Ley del Parlamento de Cantabria ahora impugnada, en la medida en que sitúa el umbral de tolerancia en el punto que represente un deterioro, o degradación, “ambiental, social o cultural” del ámbito territorial afectado.</w:t>
      </w:r>
    </w:p>
    <w:p w:rsidR="0085709A" w:rsidRDefault="0085709A" w:rsidP="0085709A">
      <w:pPr>
        <w:pStyle w:val="TextoNormal"/>
      </w:pPr>
    </w:p>
    <w:p w:rsidR="0085709A" w:rsidRDefault="0085709A" w:rsidP="0085709A">
      <w:pPr>
        <w:pStyle w:val="TextoNormal"/>
      </w:pPr>
      <w:r>
        <w:t>Atendiendo a su coincidencia esencial con la definición acuñada en el ámbito científico, en principio, la definición que de “capacidad de carga” se contiene en el art. 10 de la Ley del plan de ordenación del litoral no puede merecer reproche alguno de invalidez. El legislador competente en materia de ordenación territorial y urbanismo, en este caso el legislador autonómico cántabro, ha empleado un concepto típicamente urbanístico útil para la definición del modelo territorial que adopta. Bien entendido que ese concepto opera de diferente modo según se proyecte sobre el área litoral, en cuyo caso resulta de directa aplicación la zonificación contenida en el art. 9.1 de la Ley, o sobre el área no litoral, en la que se remite a los planes generales de ordenación urbana la determinación “conforme a los criterios establecidos en la presente Ley, [de] las distintas áreas en función de su capacidad de carga” (art. 50).</w:t>
      </w:r>
    </w:p>
    <w:p w:rsidR="0085709A" w:rsidRDefault="0085709A" w:rsidP="0085709A">
      <w:pPr>
        <w:pStyle w:val="TextoNormal"/>
      </w:pPr>
    </w:p>
    <w:p w:rsidR="0085709A" w:rsidRDefault="0085709A" w:rsidP="0085709A">
      <w:pPr>
        <w:pStyle w:val="TextoNormal"/>
      </w:pPr>
      <w:r>
        <w:t>Esta distinta incidencia del concepto según el área territorial de que se trate es coherente con la concurrencia de unos intereses supramunicipales predominantes en el área litoral, que son precisamente aquellos que legitiman la aprobación de un plan de ordenación del litoral equiparado a todos los efectos al plan regional de ordenación territorial (apartado primero de la disposición adicional cuarta de la Ley de ordenación territorial y régimen urbanístico del suelo de Cantabria), que se concretan en la “atención a las peculiaridades y especial singularidad de la zona costera, y con la finalidad de una protección efectiva e integral de la misma” (</w:t>
      </w:r>
      <w:r w:rsidRPr="0085709A">
        <w:rPr>
          <w:i/>
        </w:rPr>
        <w:t>loc. cit</w:t>
      </w:r>
      <w:r>
        <w:t>.). En el área no litoral el protagonismo de los planificadores municipales es más acusado, precisamente porque, según se indica en el art. 9.2 de la Ley, comprende el territorio de los 37 municipios costeros “no afectado por fenómenos físicos relacionados con la dinámica litoral”, que es justamente uno de los conceptos que determinan la integración del territorio en el área litoral conforme a lo dispuesto en el art. 9.1 de la Ley recurrida ya que, de acuerdo con este precepto legal, dicha área está compuesta por el territorio de los municipios costeros comprendido entre el área de protección y los relieves que delimitan el área de influencia marina, así como los territorios asociados a la dinámica litoral y a la presencia del mar y de las rías.</w:t>
      </w:r>
    </w:p>
    <w:p w:rsidR="0085709A" w:rsidRDefault="0085709A" w:rsidP="0085709A">
      <w:pPr>
        <w:pStyle w:val="TextoNormal"/>
      </w:pPr>
    </w:p>
    <w:p w:rsidR="0085709A" w:rsidRDefault="0085709A" w:rsidP="0085709A">
      <w:pPr>
        <w:pStyle w:val="TextoNormal"/>
      </w:pPr>
      <w:r>
        <w:t xml:space="preserve">Contemplada desde otro punto de vista, la diferente virtualidad del concepto “capacidad de carga” resultante, en lo que ahora estrictamente interesa, de la lectura conjunta de los art. 10 y 50 de la Ley autonómica impugnada permite descartar que nos hallemos ante un instrumento diseñado para el ejercicio de “controles genéricos e indeterminados que sitúen a las entidades locales en una posición de subordinación o dependencia cuasi jerárquica de la Administración del Estado u otras entidades territoriales”, que fue justamente aquello que la invocada STC 4/1981, de 2 de febrero, FJ 3, declaró contrario al principio de autonomía. Por más que al definir la noción de “capacidad de carga” se empleen conceptos jurídicos indeterminados, como indudablemente hace el art. 10 de la Ley del plan de ordenación del litoral, este solo hecho no la torna contraria a la Constitución por infracción del principio de </w:t>
      </w:r>
      <w:r>
        <w:lastRenderedPageBreak/>
        <w:t xml:space="preserve">autonomía municipal, habida cuenta de que puede entenderse satisfecho el requisito de certidumbre de la norma en atención a las singulares características que concurren en el universo de destinatarios de la misma, aquellos que intervienen en el ejercicio de la potestad pública de planeamiento y que bien puede decirse que están habituados al empleo de conceptos dotados de un elevado grado de indeterminación o apertura. El margen de intervención de los planificadores municipales en el cierre de este concepto indeterminado que nos ocupa es diferente en las áreas litoral y no litoral por el distinto peso de los intereses supramunicipales en uno y otro supuesto. Si bien en ambas áreas el riesgo de degradación debe estar acreditado (exigencia que expresamente recoge el art. 50 </w:t>
      </w:r>
      <w:r w:rsidRPr="0085709A">
        <w:rPr>
          <w:i/>
        </w:rPr>
        <w:t>in fine</w:t>
      </w:r>
      <w:r>
        <w:t>), en el área litoral ha sido el propio legislador autonómico quien ha llevado a cabo la valoración de la existencia de ese riesgo, valoración que se plasma en la cartografía recogida en el anexo I de la Ley, por lo que dicho anexo no puede reputarse contrario a la Constitución sino expresión gráfica de la concurrencia de un requisito introducido por el propio legislador autonómico. En cuanto tal, el anexo I coadyuva a la realización del principio de seguridad de la norma jurídica pues permite conocer en cada caso la valoración del riesgo de deterioro realizada por el legislador.</w:t>
      </w:r>
    </w:p>
    <w:p w:rsidR="0085709A" w:rsidRDefault="0085709A" w:rsidP="0085709A">
      <w:pPr>
        <w:pStyle w:val="TextoNormal"/>
      </w:pPr>
    </w:p>
    <w:p w:rsidR="0085709A" w:rsidRDefault="0085709A" w:rsidP="0085709A">
      <w:pPr>
        <w:pStyle w:val="TextoNormal"/>
      </w:pPr>
      <w:r>
        <w:t>Sin perjuicio de dejar para más adelante el examen del art. 51.3 y su eventual inconstitucionalidad por exonerar al Gobierno autonómico de satisfacer los requisitos que dimanan del concepto de capacidad de carga, lo expuesto permite rechazar la impugnación del art. 9.1 de la Ley territorial pues de su lectura conjunta con el anexo I de la Ley, postulada con acierto por los propios recurrentes, se deduce la concurrencia de esos intereses supramunicipales que se niega de contrario, lo que justifica la acentuada intervención autonómica en la ordenación territorial y urbanística de los municipios costeros. Una atenta lectura de los tres supuestos (área periurbana, área de modelo tradicional y área de ordenación ecológico forestal) que figuran en el art. 9.1 de la Ley permite advertir la constante preocupación por la protección de los valores ambientales y ecológicos de los terrenos situados en el área litoral, unos valores que trascienden, con toda evidencia, la estricta esfera de lo municipal y que legitiman la intervención autonómica, supeditada siempre, claro está, al control de legalidad que puedan realizar jueces y tribunales en el ejercicio de la potestad jurisdiccional.</w:t>
      </w:r>
    </w:p>
    <w:p w:rsidR="0085709A" w:rsidRDefault="0085709A" w:rsidP="0085709A">
      <w:pPr>
        <w:pStyle w:val="TextoNormal"/>
      </w:pPr>
    </w:p>
    <w:p w:rsidR="0085709A" w:rsidRDefault="0085709A" w:rsidP="0085709A">
      <w:pPr>
        <w:pStyle w:val="TextoNormal"/>
      </w:pPr>
      <w:r w:rsidRPr="0085709A">
        <w:rPr>
          <w:rStyle w:val="NumeroAFNegritaCaracter"/>
        </w:rPr>
        <w:t>14</w:t>
      </w:r>
      <w:r>
        <w:t>. Impugnan los actores la regulación que de la “capacidad de acogida” se contiene en los arts. 11.2 y 12 y en la disposición adicional tercera de la Ley del plan de ordenación del litoral.</w:t>
      </w:r>
    </w:p>
    <w:p w:rsidR="0085709A" w:rsidRDefault="0085709A" w:rsidP="0085709A">
      <w:pPr>
        <w:pStyle w:val="TextoNormal"/>
      </w:pPr>
    </w:p>
    <w:p w:rsidR="0085709A" w:rsidRDefault="0085709A" w:rsidP="0085709A">
      <w:pPr>
        <w:pStyle w:val="TextoNormal"/>
      </w:pPr>
      <w:r>
        <w:t xml:space="preserve">a) No discuten el concepto en sí mismo considerado sino el establecimiento de “un parámetro que luego es impuesto en función de unos criterios uniformes predeterminados por el Gobierno de Cantabria” sin que, al decir de los recurrentes, concurra un interés supramunicipal que lo justifique. Del art. 12 se recurren específicamente los apartados 2 y 5 y las letras e) y f) del apartado 6, porque incorporan algunos conceptos que incidirían ilegítimamente en la autonomía municipal. Con respecto a la disposición adicional tercera, que remite la fijación de los criterios interpretativos para el cálculo de la capacidad de acogida, representa una anomalía la atribución al Gobierno de la potestad para fijar los criterios interpretativos de un precepto legal, aquí el art. 12, a los que habrán de sujetarse los diferentes operadores jurídicos “y señaladamente los Tribunales y el resto de las Administraciones Públicas”. En opinión de los recurrentes, el precepto ignora la competencia atribuida en exclusiva al Estado por el art. 149.1.8 CE para establecer las “reglas para la aplicación y eficacia de las </w:t>
      </w:r>
      <w:r>
        <w:lastRenderedPageBreak/>
        <w:t>normas jurídicas”. Es cierto, en fin, que la disposición adicional tercera de la Ley del Parlamento de Cantabria 2/2004 contempla la intervención del Consejo de Ordenación del Territorio y Urbanismo en el procedimiento de elaboración del Decreto en el que deben fijarse esos criterios interpretativos, como es igualmente cierto que en este órgano colegiado tienen representación las corporaciones locales. Pero no es menos cierto que esa representación es minoritaria y, por consiguiente de escasa efectividad pues sólo tres de sus treinta y cinco miembros son nombrados a propuesta de los entes locales.</w:t>
      </w:r>
    </w:p>
    <w:p w:rsidR="0085709A" w:rsidRDefault="0085709A" w:rsidP="0085709A">
      <w:pPr>
        <w:pStyle w:val="TextoNormal"/>
      </w:pPr>
    </w:p>
    <w:p w:rsidR="0085709A" w:rsidRDefault="0085709A" w:rsidP="0085709A">
      <w:pPr>
        <w:pStyle w:val="TextoNormal"/>
      </w:pPr>
      <w:r>
        <w:t>La representación letrada del Gobierno de Cantabria defiende que con la definición de la noción de “capacidad de acogida” se concreta la aplicación directa de la Ley de ordenación territorial y régimen urbanístico del suelo de Cantabria, cuyos arts. 32 y ss. hacen recaer sobre el planificador la obligación de prestar especial atención a la utilización racional de los recursos naturales.</w:t>
      </w:r>
    </w:p>
    <w:p w:rsidR="0085709A" w:rsidRDefault="0085709A" w:rsidP="0085709A">
      <w:pPr>
        <w:pStyle w:val="TextoNormal"/>
      </w:pPr>
    </w:p>
    <w:p w:rsidR="0085709A" w:rsidRDefault="0085709A" w:rsidP="0085709A">
      <w:pPr>
        <w:pStyle w:val="TextoNormal"/>
      </w:pPr>
      <w:r>
        <w:t>b) De acuerdo con el art. 11.2 de la Ley recurrida, “la capacidad de acogida, calculada de acuerdo a los parámetros del artículo siguiente, determinará el umbral del crecimiento urbanístico de cada núcleo, debiendo ser ese crecimiento coherente con las determinaciones establecidas en la presente Ley para cada categoría de ordenación”. Del art. 12, al que se remite expresamente este precepto legal, impugnan los actores los apartados 2 y 5, así como el apartado 6 e) y f) cuya correcta intelección precisa de la lectura del apartado primero:</w:t>
      </w:r>
    </w:p>
    <w:p w:rsidR="0085709A" w:rsidRDefault="0085709A" w:rsidP="0085709A">
      <w:pPr>
        <w:pStyle w:val="TextoNormal"/>
      </w:pPr>
    </w:p>
    <w:p w:rsidR="0085709A" w:rsidRDefault="0085709A" w:rsidP="0085709A">
      <w:pPr>
        <w:pStyle w:val="TextoNormal"/>
      </w:pPr>
      <w:r>
        <w:t>“Artículo 12. Cálculo de la capacidad de acogida.</w:t>
      </w:r>
    </w:p>
    <w:p w:rsidR="0085709A" w:rsidRDefault="0085709A" w:rsidP="0085709A">
      <w:pPr>
        <w:pStyle w:val="TextoNormal"/>
      </w:pPr>
    </w:p>
    <w:p w:rsidR="0085709A" w:rsidRDefault="0085709A" w:rsidP="0085709A">
      <w:pPr>
        <w:pStyle w:val="TextoNormal"/>
      </w:pPr>
      <w:r>
        <w:t>1. De acuerdo con la información disponible, para el cálculo de la capacidad de acogida se atenderá a los siguientes parámetros:</w:t>
      </w:r>
    </w:p>
    <w:p w:rsidR="0085709A" w:rsidRDefault="0085709A" w:rsidP="0085709A">
      <w:pPr>
        <w:pStyle w:val="TextoNormal"/>
      </w:pPr>
    </w:p>
    <w:p w:rsidR="0085709A" w:rsidRDefault="0085709A" w:rsidP="0085709A">
      <w:pPr>
        <w:pStyle w:val="TextoNormal"/>
      </w:pPr>
      <w:r>
        <w:t>a) Población, estimando tanto la población residente como la estacional.</w:t>
      </w:r>
    </w:p>
    <w:p w:rsidR="0085709A" w:rsidRDefault="0085709A" w:rsidP="0085709A">
      <w:pPr>
        <w:pStyle w:val="TextoNormal"/>
      </w:pPr>
    </w:p>
    <w:p w:rsidR="0085709A" w:rsidRDefault="0085709A" w:rsidP="0085709A">
      <w:pPr>
        <w:pStyle w:val="TextoNormal"/>
      </w:pPr>
      <w:r>
        <w:t>A estos efectos, la población residente se corresponderá con la población censada, corregida en su caso con otros parámetros que se puedan ponderar en atención a las características del municipio.</w:t>
      </w:r>
    </w:p>
    <w:p w:rsidR="0085709A" w:rsidRDefault="0085709A" w:rsidP="0085709A">
      <w:pPr>
        <w:pStyle w:val="TextoNormal"/>
      </w:pPr>
    </w:p>
    <w:p w:rsidR="0085709A" w:rsidRDefault="0085709A" w:rsidP="0085709A">
      <w:pPr>
        <w:pStyle w:val="TextoNormal"/>
      </w:pPr>
      <w:r>
        <w:t>La población estacional se estimará a partir de las residencias vacantes y de las plazas turísticas hoteleras, casas rurales y ‘campings’.</w:t>
      </w:r>
    </w:p>
    <w:p w:rsidR="0085709A" w:rsidRDefault="0085709A" w:rsidP="0085709A">
      <w:pPr>
        <w:pStyle w:val="TextoNormal"/>
      </w:pPr>
    </w:p>
    <w:p w:rsidR="0085709A" w:rsidRDefault="0085709A" w:rsidP="0085709A">
      <w:pPr>
        <w:pStyle w:val="TextoNormal"/>
      </w:pPr>
      <w:r>
        <w:t>b) Recursos e infraestructuras de abastecimiento, saneamiento, red viaria y energía del municipio.</w:t>
      </w:r>
    </w:p>
    <w:p w:rsidR="0085709A" w:rsidRDefault="0085709A" w:rsidP="0085709A">
      <w:pPr>
        <w:pStyle w:val="TextoNormal"/>
      </w:pPr>
    </w:p>
    <w:p w:rsidR="0085709A" w:rsidRDefault="0085709A" w:rsidP="0085709A">
      <w:pPr>
        <w:pStyle w:val="TextoNormal"/>
      </w:pPr>
      <w:r>
        <w:t>c) Equipamientos, con especial atención a los educativos y sanitarios.</w:t>
      </w:r>
    </w:p>
    <w:p w:rsidR="0085709A" w:rsidRDefault="0085709A" w:rsidP="0085709A">
      <w:pPr>
        <w:pStyle w:val="TextoNormal"/>
      </w:pPr>
    </w:p>
    <w:p w:rsidR="0085709A" w:rsidRDefault="0085709A" w:rsidP="0085709A">
      <w:pPr>
        <w:pStyle w:val="TextoNormal"/>
      </w:pPr>
      <w:r>
        <w:t>2. Al objeto de realizar el cálculo anterior, deberán valorarse las tendencias de crecimiento tanto poblacional como de construcción de viviendas y programas o proyectos de implantación de actividades económicas y de infraestructuras y equipamientos, utilizando para ello los datos estadísticos, así como otras circunstancias extraordinarias debidamente justificadas.</w:t>
      </w:r>
    </w:p>
    <w:p w:rsidR="0085709A" w:rsidRDefault="0085709A" w:rsidP="0085709A">
      <w:pPr>
        <w:pStyle w:val="TextoNormal"/>
      </w:pPr>
    </w:p>
    <w:p w:rsidR="0085709A" w:rsidRDefault="0085709A" w:rsidP="0085709A">
      <w:pPr>
        <w:pStyle w:val="TextoNormal"/>
      </w:pPr>
      <w:r>
        <w:t>…</w:t>
      </w:r>
    </w:p>
    <w:p w:rsidR="0085709A" w:rsidRDefault="0085709A" w:rsidP="0085709A">
      <w:pPr>
        <w:pStyle w:val="TextoNormal"/>
      </w:pPr>
    </w:p>
    <w:p w:rsidR="0085709A" w:rsidRDefault="0085709A" w:rsidP="0085709A">
      <w:pPr>
        <w:pStyle w:val="TextoNormal"/>
      </w:pPr>
      <w:r>
        <w:lastRenderedPageBreak/>
        <w:t>5. El Planeamiento propondrá el crecimiento del municipio para cada uno de sus núcleos, conforme al horizonte temporal fijado, en función de los cálculos anteriores, sin dirigirse, con carácter general, hacia las áreas con menor capacidad de carga.</w:t>
      </w:r>
    </w:p>
    <w:p w:rsidR="0085709A" w:rsidRDefault="0085709A" w:rsidP="0085709A">
      <w:pPr>
        <w:pStyle w:val="TextoNormal"/>
      </w:pPr>
    </w:p>
    <w:p w:rsidR="0085709A" w:rsidRDefault="0085709A" w:rsidP="0085709A">
      <w:pPr>
        <w:pStyle w:val="TextoNormal"/>
      </w:pPr>
      <w:r>
        <w:t>No obstante, en los núcleos de carácter rural, de dimensión y dinámica poblacional reducida, el planeamiento motivadamente podrá prever crecimientos urbanísticos superiores a los resultantes conforme a los cálculos anteriores, siempre que dicho crecimiento no suponga una transformación de su morfología.</w:t>
      </w:r>
    </w:p>
    <w:p w:rsidR="0085709A" w:rsidRDefault="0085709A" w:rsidP="0085709A">
      <w:pPr>
        <w:pStyle w:val="TextoNormal"/>
      </w:pPr>
    </w:p>
    <w:p w:rsidR="0085709A" w:rsidRDefault="0085709A" w:rsidP="0085709A">
      <w:pPr>
        <w:pStyle w:val="TextoNormal"/>
      </w:pPr>
      <w:r>
        <w:t>El planeamiento podrá reequilibrar los crecimientos entre sus distintos núcleos, siempre que éstos no se dirijan hacia áreas de menor capacidad de carga y se prevean las infraestructuras y dotaciones necesarias.</w:t>
      </w:r>
    </w:p>
    <w:p w:rsidR="0085709A" w:rsidRDefault="0085709A" w:rsidP="0085709A">
      <w:pPr>
        <w:pStyle w:val="TextoNormal"/>
      </w:pPr>
    </w:p>
    <w:p w:rsidR="0085709A" w:rsidRDefault="0085709A" w:rsidP="0085709A">
      <w:pPr>
        <w:pStyle w:val="TextoNormal"/>
      </w:pPr>
      <w:r>
        <w:t>6. Se calcularán los recursos, infraestructuras y equipamientos necesarios para el crecimiento previsto conforme a la legislación aplicable y atendiendo, entre otros, a los siguientes criterios:</w:t>
      </w:r>
    </w:p>
    <w:p w:rsidR="0085709A" w:rsidRDefault="0085709A" w:rsidP="0085709A">
      <w:pPr>
        <w:pStyle w:val="TextoNormal"/>
      </w:pPr>
    </w:p>
    <w:p w:rsidR="0085709A" w:rsidRDefault="0085709A" w:rsidP="0085709A">
      <w:pPr>
        <w:pStyle w:val="TextoNormal"/>
      </w:pPr>
      <w:r>
        <w:t>…</w:t>
      </w:r>
    </w:p>
    <w:p w:rsidR="0085709A" w:rsidRDefault="0085709A" w:rsidP="0085709A">
      <w:pPr>
        <w:pStyle w:val="TextoNormal"/>
      </w:pPr>
    </w:p>
    <w:p w:rsidR="0085709A" w:rsidRDefault="0085709A" w:rsidP="0085709A">
      <w:pPr>
        <w:pStyle w:val="TextoNormal"/>
      </w:pPr>
      <w:r>
        <w:t>e) Los equipamientos educativos se calcularán prioritariamente para la población permanente.</w:t>
      </w:r>
    </w:p>
    <w:p w:rsidR="0085709A" w:rsidRDefault="0085709A" w:rsidP="0085709A">
      <w:pPr>
        <w:pStyle w:val="TextoNormal"/>
      </w:pPr>
    </w:p>
    <w:p w:rsidR="0085709A" w:rsidRDefault="0085709A" w:rsidP="0085709A">
      <w:pPr>
        <w:pStyle w:val="TextoNormal"/>
      </w:pPr>
      <w:r>
        <w:t>f) Los equipamientos sanitarios considerarán fundamentalmente la población permanente, aunque, a efectos de superficie necesaria, se tendrá en cuenta también la estacional.”</w:t>
      </w:r>
    </w:p>
    <w:p w:rsidR="0085709A" w:rsidRDefault="0085709A" w:rsidP="0085709A">
      <w:pPr>
        <w:pStyle w:val="TextoNormal"/>
      </w:pPr>
    </w:p>
    <w:p w:rsidR="0085709A" w:rsidRDefault="0085709A" w:rsidP="0085709A">
      <w:pPr>
        <w:pStyle w:val="TextoNormal"/>
      </w:pPr>
      <w:r>
        <w:t>Finalmente, en la disposición adicional tercera se establece que “por Decreto del Consejo de Gobierno, previo informe del Consejo de Ordenación del Territorio y Urbanismo, se aprobarán las normas que contengan los criterios interpretativos para el cálculo de la capacidad de acogida a que se refiere el artículo 12 de la presente Ley, que deberán ser publicados en el ‘Boletín Oficial de Cantabria’ a los efectos de su vigencia y efectividad”.</w:t>
      </w:r>
    </w:p>
    <w:p w:rsidR="0085709A" w:rsidRDefault="0085709A" w:rsidP="0085709A">
      <w:pPr>
        <w:pStyle w:val="TextoNormal"/>
      </w:pPr>
    </w:p>
    <w:p w:rsidR="0085709A" w:rsidRDefault="0085709A" w:rsidP="0085709A">
      <w:pPr>
        <w:pStyle w:val="TextoNormal"/>
      </w:pPr>
      <w:r>
        <w:t xml:space="preserve">Antes de abordar el enjuiciamiento de la constitucionalidad de los preceptos legales reproducidos interesa reseñar que, de acuerdo con el art. 11.1 de la Ley, se entiende por capacidad de acogida “el máximo crecimiento urbanístico que un territorio puede soportar atendiendo a las dinámicas de población, actividad económica, disponibilidad de recursos, infraestructuras y equipamientos, todo ello conforme al modelo territorial propuesto”. Cumple asimismo consignar que, de acuerdo con el art. 12 e) de la Ley de ordenación territorial y régimen urbanístico del suelo de Cantabria, entre los contenidos necesarios del plan regional de ordenación territorial —figura a la que se equipara el plan de ordenación del litoral </w:t>
      </w:r>
      <w:r w:rsidRPr="0085709A">
        <w:rPr>
          <w:i/>
        </w:rPr>
        <w:t>ex</w:t>
      </w:r>
      <w:r>
        <w:t xml:space="preserve"> disposición adicional cuarta de dicha Ley autonómica— figura la “formulación de directrices para calcular la capacidad de acogida entendida como el máximo crecimiento urbanístico que un territorio puede soportar atendiendo a las dinámicas de población, actividad económica, disponibilidad de recursos, infraestructuras y equipamientos de acuerdo con el modelo territorial que se proponga y en virtud del principio de desarrollo sostenible”.</w:t>
      </w:r>
    </w:p>
    <w:p w:rsidR="0085709A" w:rsidRDefault="0085709A" w:rsidP="0085709A">
      <w:pPr>
        <w:pStyle w:val="TextoNormal"/>
      </w:pPr>
    </w:p>
    <w:p w:rsidR="0085709A" w:rsidRDefault="0085709A" w:rsidP="0085709A">
      <w:pPr>
        <w:pStyle w:val="TextoNormal"/>
      </w:pPr>
      <w:r>
        <w:t xml:space="preserve">De modo que la Ley autonómica 2/2001, de ordenación territorial y régimen urbanístico del suelo de Cantabria anticipaba, como uno de los contenidos necesarios de la Ley de aprobación del plan de ordenación del litoral, la definición de un modelo territorial —aplicable </w:t>
      </w:r>
      <w:r>
        <w:lastRenderedPageBreak/>
        <w:t xml:space="preserve">a los 37 municipios costeros—, en cuyo seno adquiría pleno sentido el cálculo de la capacidad de acogida. Es más, bien puede afirmarse que en esa misma definición del modelo territorial radicaba la clave de la caracterización del plan de ordenación del litoral con el todavía </w:t>
      </w:r>
      <w:r w:rsidRPr="0085709A">
        <w:rPr>
          <w:i/>
        </w:rPr>
        <w:t>non nato</w:t>
      </w:r>
      <w:r>
        <w:t xml:space="preserve"> plan regional de ordenación territorial.</w:t>
      </w:r>
    </w:p>
    <w:p w:rsidR="0085709A" w:rsidRDefault="0085709A" w:rsidP="0085709A">
      <w:pPr>
        <w:pStyle w:val="TextoNormal"/>
      </w:pPr>
    </w:p>
    <w:p w:rsidR="0085709A" w:rsidRDefault="0085709A" w:rsidP="0085709A">
      <w:pPr>
        <w:pStyle w:val="TextoNormal"/>
      </w:pPr>
      <w:r>
        <w:t>Los actores en este proceso constitucional no controvierten la noción misma de “capacidad de acogida” ni la definición que de ella se hace en el art. 11.1 de la Ley del plan de ordenación del litoral sino, en sus propias palabras, “el hecho de que para la determinación de la misma haya de ser calculada conforme a los parámetros establecidos en el artículo 12 y en general de la Ley, parámetros de cálculo que reputamos, en cuanto se impongan al municipio de forma uniforme invasores de la autonomía municipal”. En especial, los recurrentes discrepan del intenso efecto vinculante que la Ley autonómica atribuye a este concepto, concretado en el hecho de que, según establece el art. 11.2, la capacidad de acogida “determinará el umbral del crecimiento urbanístico de cada núcleo”.</w:t>
      </w:r>
    </w:p>
    <w:p w:rsidR="0085709A" w:rsidRDefault="0085709A" w:rsidP="0085709A">
      <w:pPr>
        <w:pStyle w:val="TextoNormal"/>
      </w:pPr>
    </w:p>
    <w:p w:rsidR="0085709A" w:rsidRDefault="0085709A" w:rsidP="0085709A">
      <w:pPr>
        <w:pStyle w:val="TextoNormal"/>
      </w:pPr>
      <w:r>
        <w:t>A fin de dar adecuada respuesta a los alegatos de los actores convendrá recordar sucintamente los pronunciamientos principales de este Tribunal acerca de las competencias “ordenación del territorio” y “urbanismo” que han sido las concretamente ejercidas por el Parlamento de Cantabria al aprobar la Ley cuya constitucionalidad ahora se cuestiona. Respeto de la primera, este Tribunal tiene declarado que “en una primera aproximación global al concepto de ordenación del territorio … el referido título competencial ‘tiene por objeto la actividad consistente en la delimitación de los diversos usos a que puede destinarse el suelo o espacio físico territorial’ (SSTC 77/1984, FJ 2; 149/1991, fundamento jurídico 1 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(STC 149/1998, de 2 de julio, FJ 3). Por su parte, y en cuanto al urbanismo, la STC 141/2014, de 11 de septiembre, FJ 5 A), ha extractado lo esencial de la STC 61/1997, de 20 de marzo, al respecto, en los siguientes términos: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(STC 61/1997, FJ 6). En definitiva, la competencia en materia de urbanismo abarca, fundamentalmente, ‘las políticas de ordenación de la ciudad’; es decir, la determinación del ‘cómo, cuándo y dónde deben surgir o desarrollarse los asentamientos humanos’ (STC 61/1997, FJ 6).”</w:t>
      </w:r>
    </w:p>
    <w:p w:rsidR="0085709A" w:rsidRDefault="0085709A" w:rsidP="0085709A">
      <w:pPr>
        <w:pStyle w:val="TextoNormal"/>
      </w:pPr>
    </w:p>
    <w:p w:rsidR="0085709A" w:rsidRDefault="0085709A" w:rsidP="0085709A">
      <w:pPr>
        <w:pStyle w:val="TextoNormal"/>
      </w:pPr>
      <w:r>
        <w:t xml:space="preserve">Desde la perspectiva que nos ofrece esta doctrina constitucional bien podemos afirmar, por tanto, que existe siempre un interés supramunicipal en las decisiones sobre el “cómo, cuándo y dónde deben surgir o desarrollarse los asentamientos humanos”. Es ese interés supramunicipal el que está presente en la consideración de la “capacidad de acogida” como factor determinante del “umbral de crecimiento de cada núcleo” de población, según la expresión empleada por el art. 11 de la Ley del plan de ordenación del litoral, o el “máximo crecimiento urbanístico que un territorio puede soportar”, en los términos del art. 12 e) de la Ley de ordenación territorial y régimen urbanístico del suelo de Cantabria. El agotamiento de la capacidad de acogida territorial marca los límites del crecimiento, en este caso urbanístico, de un núcleo de población, razón por la cual su determinación no podrá considerarse </w:t>
      </w:r>
      <w:r>
        <w:lastRenderedPageBreak/>
        <w:t>ayuna de interés supramunicipal, como de contrario sostienen los recurrentes en este proceso constitucional.</w:t>
      </w:r>
    </w:p>
    <w:p w:rsidR="0085709A" w:rsidRDefault="0085709A" w:rsidP="0085709A">
      <w:pPr>
        <w:pStyle w:val="TextoNormal"/>
      </w:pPr>
    </w:p>
    <w:p w:rsidR="0085709A" w:rsidRDefault="0085709A" w:rsidP="0085709A">
      <w:pPr>
        <w:pStyle w:val="TextoNormal"/>
      </w:pPr>
      <w:r>
        <w:t>En cuanto a la habilitación legal al Gobierno autonómico para que apruebe “las normas que contengan los criterios interpretativos para el cálculo de la capacidad de acogida” (disposición adicional tercera) debemos comenzar rechazando que represente una vulneración de la competencia estatal para la fijación de las “reglas para la aplicación y eficacia de las normas jurídicas” (art. 149.1.8 CE). Como este Tribunal dijera en la STC 14/1986, de 31 de enero, al dilucidar qué deba entenderse “por ‘reglas relativa a la aplicación y eficacia de las normas jurídicas’ si es que ello requiere de alguna profundización, porque su simple enunciado puede ser suficientemente expresivo, y sin precisión de remitir a lo que por tal entiende el Código Civil al rubricar algunos capítulos de su Título preliminar, bastará con recordar que —aparte otras instituciones que aquí no importan— no otra cosa que ordenación de la aplicación y eficacia habrá que reputar a todo aquello que se concrete en disciplinar la aplicación de las normas jurídicas en el tiempo” (FJ 6), que es algo bien distinto de lo que hace la Ley cántabra, que se limita a remitir al reglamento, como por lo demás es frecuente en nuestra tradición legislativa, la precisa determinación de los parámetros, de suyo abiertos o indeterminados, empleados por el legislador autonómico —tanto en el art. 12 e) de la Ley de ordenación territorial y régimen urbanístico del suelo de Cantabria, como en los arts. 11 y 12 de la Ley del plan de ordenación del litoral— para pergeñar la noción de “capacidad de acogida”. Sin perjuicio de señalar que no se advierte aquí la vulneración de ninguna reserva material de ley, hemos de indicar que la colaboración reglamentaria se justifica por el carácter marcadamente técnico de la materia. A mayor abundamiento, los recurrentes no explican en qué fundamentan su reivindicación de la intervención del legislador estatal, que se halla implícita en su invocación del art. 149.1.8 CE: ni dicho legislador sería el competente por razón de la materia, ni la habilitación tiene por objeto la disciplina general de la aplicabilidad de las normas jurídicas en el tiempo o en el espacio, núcleo esencial de la competencia estatal a la que llaman los recurrentes.</w:t>
      </w:r>
    </w:p>
    <w:p w:rsidR="0085709A" w:rsidRDefault="0085709A" w:rsidP="0085709A">
      <w:pPr>
        <w:pStyle w:val="TextoNormal"/>
      </w:pPr>
    </w:p>
    <w:p w:rsidR="0085709A" w:rsidRDefault="0085709A" w:rsidP="0085709A">
      <w:pPr>
        <w:pStyle w:val="TextoNormal"/>
      </w:pPr>
      <w:r>
        <w:t xml:space="preserve">Tampoco merece reproche alguno de inconstitucionalidad la enumeración de fuentes de información que, conforme al art. 12.2 de la Ley, habrán de manejarse al calcular la capacidad de acogida de un territorio. Si, conforme a lo previsto en el art. 12 e) de la Ley de ordenación territorial y régimen urbanístico del suelo de Cantabria, en la definición de la capacidad de acogida de un territorio habrá de atenderse “a las dinámicas de población, actividad económica, disponibilidad de recursos, infraestructuras y equipamientos”, no puede tildarse de irrazonable o arbitrario que el legislador autonómico emplace a los planificadores urbanísticos a que valoren “las tendencias de crecimiento tanto poblacional como de construcción de viviendas y programas o proyectos de implantación de actividades económicas y de infraestructuras y equipamientos, utilizando para ellos los datos estadísticos, así como otras circunstancias extraordinarias debidamente justificadas”. Como pone de manifiesto el inciso final del precepto, la enumeración no tiene carácter exhaustivo y se corresponde adecuadamente con las fuentes de información que reflejan esas dinámicas de población, actividad económica, disponibilidad de recursos, infraestructuras y equipamientos de las que hace mención el art. 12 e) de la Ley 2/2001. La amplia libertad de elección de que indudablemente gozan los planificadores urbanísticos encuentra uno de sus límites infranqueables en la disponibilidad misma de suelo susceptible de transformación urbanística sin </w:t>
      </w:r>
      <w:r>
        <w:lastRenderedPageBreak/>
        <w:t>que dicha transformación ponga en riesgo la preservación de valores e intereses de relevancia supramunicipal, como sucederá cuando represente el agotamiento del territorio y la superación de los límites del crecimiento de los núcleos de población.</w:t>
      </w:r>
    </w:p>
    <w:p w:rsidR="0085709A" w:rsidRDefault="0085709A" w:rsidP="0085709A">
      <w:pPr>
        <w:pStyle w:val="TextoNormal"/>
      </w:pPr>
    </w:p>
    <w:p w:rsidR="0085709A" w:rsidRDefault="0085709A" w:rsidP="0085709A">
      <w:pPr>
        <w:pStyle w:val="TextoNormal"/>
      </w:pPr>
      <w:r>
        <w:t xml:space="preserve">La prohibición de que el crecimiento se dirija a las áreas con menor capacidad de carga no es absoluta, como bien se aprecia en el art. 12.5, no solo porque esa prohibición se establece “con carácter general” sino, además, porque el propio legislador excepciona a los núcleos de carácter rural, de dimensión y dinámica poblacional reducida. Fijada con estas dos cautelas, la prohibición no puede ser considerada contraria al principio de autonomía municipal pues proporciona al planificador urbanístico un criterio con el que evitar el “deterioro ambiental, cultural o social” del territorio (art. 10 </w:t>
      </w:r>
      <w:r w:rsidRPr="0085709A">
        <w:rPr>
          <w:i/>
        </w:rPr>
        <w:t>in fine</w:t>
      </w:r>
      <w:r>
        <w:t>), supuestos de degradación que entrañan riesgos sobre intereses que rebasan el plano de lo estrictamente municipal.</w:t>
      </w:r>
    </w:p>
    <w:p w:rsidR="0085709A" w:rsidRDefault="0085709A" w:rsidP="0085709A">
      <w:pPr>
        <w:pStyle w:val="TextoNormal"/>
      </w:pPr>
    </w:p>
    <w:p w:rsidR="0085709A" w:rsidRDefault="0085709A" w:rsidP="0085709A">
      <w:pPr>
        <w:pStyle w:val="TextoNormal"/>
      </w:pPr>
      <w:r>
        <w:t>Finalmente, parecen razonablemente respetuosas con el principio de autonomía municipal las reglas relativas al cálculo de los equipamientos educativos y sanitarios que figuran en las letras e) y f) del art. 12.6. En aquellos, el legislador autonómico llama a priorizar la satisfacción de la población permanente, algo que no puede sorprender a poco que se repare en que es esta misma población la usuaria principal del servicio público concernido y teniendo siempre presente que la prioridad no significa exclusividad, de modo que pueden tomarse en consideración las necesidades educativas de la población flotante o estacional en aquellos núcleos de población cuando así lo justifiquen las características peculiares del núcleo de población. En cuando a los equipamientos sanitarios, el propio legislador llama a tomar en consideración la población estacional “a efectos de superficie necesaria”, lo que se corresponde con la perspectiva desde la cual el urbanismo puede contemplar las necesidades sanitarias de una población.</w:t>
      </w:r>
    </w:p>
    <w:p w:rsidR="0085709A" w:rsidRDefault="0085709A" w:rsidP="0085709A">
      <w:pPr>
        <w:pStyle w:val="TextoNormal"/>
      </w:pPr>
    </w:p>
    <w:p w:rsidR="0085709A" w:rsidRDefault="0085709A" w:rsidP="0085709A">
      <w:pPr>
        <w:pStyle w:val="TextoNormal"/>
      </w:pPr>
      <w:r w:rsidRPr="0085709A">
        <w:rPr>
          <w:rStyle w:val="NumeroAFNegritaCaracter"/>
        </w:rPr>
        <w:t>15</w:t>
      </w:r>
      <w:r>
        <w:t>. El capítulo III del título I de la Ley contiene, como su propia rúbrica anticipa, los “criterios generales aplicables a todo el término municipal”. De él se impugnan parcialmente los arts. 14, 15, 16 y 20.</w:t>
      </w:r>
    </w:p>
    <w:p w:rsidR="0085709A" w:rsidRDefault="0085709A" w:rsidP="0085709A">
      <w:pPr>
        <w:pStyle w:val="TextoNormal"/>
      </w:pPr>
    </w:p>
    <w:p w:rsidR="0085709A" w:rsidRDefault="0085709A" w:rsidP="0085709A">
      <w:pPr>
        <w:pStyle w:val="TextoNormal"/>
      </w:pPr>
      <w:r>
        <w:t xml:space="preserve">a) Del art. 14 se recurren su apartado primero (de acuerdo al cual, “los instrumentos de desarrollo urbanístico de municipios adaptados a la presente Ley no computarán como espacios libres de carácter local aquellos terrenos que, una vez urbanizados, cuenten con pendientes superiores al 10 por 100 en más de un 80 por 100 de la superficie de su ámbito”) y el inciso “la consecución de una malla de espacios libres, a fin de” del apartado tercero (leído en su totalidad, el apartado dice así: “El planeamiento establecerá entre sus objetivos la consecución de una malla de espacios libres, a fin de permitir el contacto de la población con la naturaleza y las áreas rurales, conservar unas condiciones ambientales adecuadas y salvaguardar las zonas con valores ecológicos y paisajísticos compatibles con las actividades humanas, integrándose en el modelo territorial propuesto”). Los actores no alcanzan a vislumbrar la existencia de un interés supramunicipal en la primera de estas reglas, que, además, implica la necesidad de urbanizar determinados espacios libres para reducir los desniveles, siendo así que el municipio podría optar por mantener las características naturales del terreno. En opinión de los recurrentes, los criterios fijados por la Ley no garantizan la accesibilidad ni la calidad de los espacios libres. El inciso controvertido del apartado tercero se impugna porque impide a los municipios optar por la concentración de espacios libres como modelo territorial (sobre todo en los municipios urbanos), en lugar de disgregarlos en una malla, imponiéndose así una solución uniforme para todos los municipios. La </w:t>
      </w:r>
      <w:r>
        <w:lastRenderedPageBreak/>
        <w:t>representación letrada del Gobierno de Cantabria defiende la necesidad de ver en el art. 14.1 de la Ley territorial un estándar urbanístico que concreta el mandato genérico de accesibilidad de los espacios libres establecido por la Ley de ordenación territorial de Cantabria en sus arts. 39.1 y 40.1.</w:t>
      </w:r>
    </w:p>
    <w:p w:rsidR="0085709A" w:rsidRDefault="0085709A" w:rsidP="0085709A">
      <w:pPr>
        <w:pStyle w:val="TextoNormal"/>
      </w:pPr>
    </w:p>
    <w:p w:rsidR="0085709A" w:rsidRDefault="0085709A" w:rsidP="0085709A">
      <w:pPr>
        <w:pStyle w:val="TextoNormal"/>
      </w:pPr>
      <w:r>
        <w:t>Debemos compartir la lectura que de los dos apartados del art. 14 de la Ley del plan de ordenación del litoral defiende la Letrada autonómica, lo que conduce directamente a la desestimación del recurso en este punto.</w:t>
      </w:r>
    </w:p>
    <w:p w:rsidR="0085709A" w:rsidRDefault="0085709A" w:rsidP="0085709A">
      <w:pPr>
        <w:pStyle w:val="TextoNormal"/>
      </w:pPr>
    </w:p>
    <w:p w:rsidR="0085709A" w:rsidRDefault="0085709A" w:rsidP="0085709A">
      <w:pPr>
        <w:pStyle w:val="TextoNormal"/>
      </w:pPr>
      <w:r>
        <w:t>Por lo que se refiere al apartado primero del precepto legal que ahora enjuiciamos, ha de considerarse concreción del mandato de “máxima accesibilidad” de los espacios libres contenido en los arts. 39.1 y 40.1 de la Ley del Parlamento de Cantabria 2/2001 y viene a coincidir con la prohibición de computar como espacios libres de carácter local los terrenos que, una vez urbanizados, cuenten con pendientes superiores al 10 por 100 en más de un 80 por 100 de la superficie de su ámbito que recoge el art. 7.5 de las Normas urbanísticas regionales, aprobadas por el Decreto del Gobierno de Cantabria 65/2010, de 30 de septiembre. Este mandato de máxima accesibilidad difícilmente puede entenderse satisfecho cuando las pendientes superiores al 10 por 100 ocupan más del 80 por 100 de la superficie del ámbito pues, en tales casos, no pueden cumplir la función de garantizar “un mínimo inderogable de calidad de vida”, según se predica en el inciso final del segundo párrafo del art. 39.1 de la Ley 2/2001.</w:t>
      </w:r>
    </w:p>
    <w:p w:rsidR="0085709A" w:rsidRDefault="0085709A" w:rsidP="0085709A">
      <w:pPr>
        <w:pStyle w:val="TextoNormal"/>
      </w:pPr>
    </w:p>
    <w:p w:rsidR="0085709A" w:rsidRDefault="0085709A" w:rsidP="0085709A">
      <w:pPr>
        <w:pStyle w:val="TextoNormal"/>
      </w:pPr>
      <w:r>
        <w:t>En cuanto a la opción legal por una “malla de espacios libres” (art. 14.3), no cabe sino destacar la existencia de una línea de continuidad con las previsiones de la Ley de ordenación territorial y régimen urbanístico del suelo de Cantabria, en cuyo art. 39.1, relativo a los “espacios libres y equipamientos de sistemas generales”, podemos leer que los “espacios públicos libres … se distribuirán homogéneamente”, lo que excluye de suyo la concentración propuesta como posible alternativa por los recurrentes. Nos encontramos, pues, ante una norma legal plenamente coherente en su contenido con aquella otra que le sirve de antecesora y con la que establece una relación funcional especialmente estrecha, al punto de concretar el estándar urbanístico que nos ocupa.</w:t>
      </w:r>
    </w:p>
    <w:p w:rsidR="0085709A" w:rsidRDefault="0085709A" w:rsidP="0085709A">
      <w:pPr>
        <w:pStyle w:val="TextoNormal"/>
      </w:pPr>
    </w:p>
    <w:p w:rsidR="0085709A" w:rsidRDefault="0085709A" w:rsidP="0085709A">
      <w:pPr>
        <w:pStyle w:val="TextoNormal"/>
      </w:pPr>
      <w:r>
        <w:t>b) Se impugna el inciso “de la necesidad” del art. 15.3 de la Ley (de acuerdo con este precepto, “sin perjuicio de lo establecido en la legislación sectorial, no se podrán implantar nuevas explotaciones forestales intensivas a una distancia inferior de 50 metros de núcleos de población. Del mismo modo, y salvo justificación expresa de la necesidad de su emplazamiento en dicho ámbito, en los nuevos crecimientos urbanísticos no podrán implantarse edificaciones a una distancia inferior a la anteriormente establecida”). Para los recurrentes se trata de una limitación injustificada de la libertad de decisión de los municipios en una materia de su interés. Por su parte, la representación letrada del Gobierno de Cantabria conecta esta previsión con la Ley de montes, que emplaza a las Comunidades Autónomas para que establezcan medidas de seguridad aplicables a las urbanizaciones cercanas a los montes.</w:t>
      </w:r>
    </w:p>
    <w:p w:rsidR="0085709A" w:rsidRDefault="0085709A" w:rsidP="0085709A">
      <w:pPr>
        <w:pStyle w:val="TextoNormal"/>
      </w:pPr>
    </w:p>
    <w:p w:rsidR="0085709A" w:rsidRDefault="0085709A" w:rsidP="0085709A">
      <w:pPr>
        <w:pStyle w:val="TextoNormal"/>
      </w:pPr>
      <w:r>
        <w:t xml:space="preserve">Nuevamente hemos de convenir con la Letrada autonómica cuando vincula el estándar urbanístico que nos ocupa con el emplazamiento a las Comunidades Autónomas que hallamos en el art. 44.3 de la Ley 43/2003, de 21 de noviembre, de montes, para que regulen en los montes y áreas colindantes el ejercicio de actividades que puedan entrañar riesgo de </w:t>
      </w:r>
      <w:r>
        <w:lastRenderedPageBreak/>
        <w:t>incendios y establezcan las “normas de seguridad aplicables a las urbanizaciones, otras edificaciones, obras, instalaciones eléctricas e infraestructuras de transporte en terrenos forestales y sus inmediaciones, que puedan implicar peligro de incendios o ser afectadas por estos”. La prevención de los riesgos forestales representa de por sí un interés de relevancia supramunicipal que justifica, en línea con lo previsto en la legislación básica estatal, la intervención autonómica controvertida. Lo que determina la desestimación del recurso de inconstitucionalidad también en este concreto extremo.</w:t>
      </w:r>
    </w:p>
    <w:p w:rsidR="0085709A" w:rsidRDefault="0085709A" w:rsidP="0085709A">
      <w:pPr>
        <w:pStyle w:val="TextoNormal"/>
      </w:pPr>
    </w:p>
    <w:p w:rsidR="0085709A" w:rsidRDefault="0085709A" w:rsidP="0085709A">
      <w:pPr>
        <w:pStyle w:val="TextoNormal"/>
      </w:pPr>
      <w:r>
        <w:t>c) Del art. 16 se controvierte el inciso final de su letra a) porque limita injustificadamente los márgenes de libertad del planificador urbanístico municipal al imponer como objetivo inexcusable la creación de corredores verdes intermedios en las bandas limítrofes con las grandes infraestructuras, siendo así que los municipios podrían optar por localizar esas zonas verdes en espacios alejados de las infraestructuras, precisamente para evitar su deterioro. La Letrada de la Comunidad Autónoma defiende la constitucionalidad del precepto en cuanto que expresa la opción legítima de crear corredores verdes como modo de conservación de los espacios verdes y masas forestales, opción que no considera contraria a la autonomía municipal.</w:t>
      </w:r>
    </w:p>
    <w:p w:rsidR="0085709A" w:rsidRDefault="0085709A" w:rsidP="0085709A">
      <w:pPr>
        <w:pStyle w:val="TextoNormal"/>
      </w:pPr>
    </w:p>
    <w:p w:rsidR="0085709A" w:rsidRDefault="0085709A" w:rsidP="0085709A">
      <w:pPr>
        <w:pStyle w:val="TextoNormal"/>
      </w:pPr>
      <w:r>
        <w:t xml:space="preserve">El inciso final del art. 16 a) de la Ley del plan de ordenación del litoral hace recaer sobre los municipios la obligación de establecer “corredores verdes intermedios” situados en “las bandas limítrofes con las grandes infraestructuras de comunicación, eléctricas y otras”. Pese a que los corredores verdes no son </w:t>
      </w:r>
      <w:r w:rsidRPr="0085709A">
        <w:rPr>
          <w:i/>
        </w:rPr>
        <w:t>prima facie</w:t>
      </w:r>
      <w:r>
        <w:t xml:space="preserve"> instrumentos para la conservación de espacios verdes y masas forestales sino vías de comunicación reservadas para los desplazamientos no motorizados, ello no implica que no sirvan también a aquella finalidad conservacionista, en particular cuando se trata de corredores ecológicos, es decir, vías que facilitan la conectividad entre espacios protegidos al estar dotados de alto valor ecológico (al respecto, art. 20 de la Ley 42/2007, de 13 de diciembre, del patrimonio natural y de la biodiversidad). Siendo ello así, puede apreciarse la concurrencia de un interés supramunicipal que justifica la opción legal por la conservación y creación de masas forestales y la selección, entre otras herramientas posibles al efecto, de los corredores verdes intermedios como uno de los mecanismos idóneos para la consecución de ese fin. La limitación de la libertad de elección del planificador urbanístico municipal puede considerarse proporcionada al fin legítimo que se persigue, por lo que no se aprecia infracción del principio de autonomía local, lo que determina la desestimación de este motivo del recurso.</w:t>
      </w:r>
    </w:p>
    <w:p w:rsidR="0085709A" w:rsidRDefault="0085709A" w:rsidP="0085709A">
      <w:pPr>
        <w:pStyle w:val="TextoNormal"/>
      </w:pPr>
    </w:p>
    <w:p w:rsidR="0085709A" w:rsidRDefault="0085709A" w:rsidP="0085709A">
      <w:pPr>
        <w:pStyle w:val="TextoNormal"/>
      </w:pPr>
      <w:r>
        <w:t>d) El art. 20.2 se impugna en su integridad porque impone al planeamiento la delimitación de espacios necesarios para llevar a cabo los vertidos de tierras y materiales de excavación (“El planeamiento delimitará los espacios necesarios para llevar a cabo en su territorio los vertidos de tierras y materiales procedentes de excavaciones, sin perjuicio de los posibles Planes Especiales que al amparo del artículo 59 de la Ley de Cantabria 2/2001, de 25 de junio, puedan dictarse”). Para los recurrentes, sería más respetuoso con la autonomía local dejar libertad a los municipios para optar por el no establecimiento de zonas determinadas, admitiendo vertidos inertes en todo el territorio, o identificar las zonas en las que se prohíben los vertidos.</w:t>
      </w:r>
    </w:p>
    <w:p w:rsidR="0085709A" w:rsidRDefault="0085709A" w:rsidP="0085709A">
      <w:pPr>
        <w:pStyle w:val="TextoNormal"/>
      </w:pPr>
    </w:p>
    <w:p w:rsidR="0085709A" w:rsidRDefault="0085709A" w:rsidP="0085709A">
      <w:pPr>
        <w:pStyle w:val="TextoNormal"/>
      </w:pPr>
      <w:r>
        <w:t xml:space="preserve">El art. 20 de la Ley del plan de ordenación del litoral opta por atribuir al planeamiento la localización de las instalaciones de recogida de residuos (apartado primero) y de vertidos </w:t>
      </w:r>
      <w:r>
        <w:lastRenderedPageBreak/>
        <w:t xml:space="preserve">de tierras y materiales procedentes de excavaciones (apartado segundo). No puede considerarse contrario a la autonomía municipal la identificación de este contenido necesario de los instrumentos de planeamiento urbanístico, pues se trata de un supuesto de uso del suelo que afecta a la gestión racional de este recurso natural. Por lo demás, el precepto prioriza la intervención del planificador municipal al remitir a los planes especiales del art. 59 de la Ley de ordenación territorial y de régimen urbanístico del suelo de Cantabria, remisión que, en principio, debe entenderse hecha a los planes especiales de ordenación de residuos que la Comunidad Autónoma puede formular y aprobar </w:t>
      </w:r>
      <w:r w:rsidRPr="0085709A">
        <w:rPr>
          <w:i/>
        </w:rPr>
        <w:t>ex</w:t>
      </w:r>
      <w:r>
        <w:t xml:space="preserve"> art. 59.1 d). No se aprecia, por consiguiente, la concurrencia de ningún motivo de nulidad, lo que conduce a la desestimación del recurso también en este punto.</w:t>
      </w:r>
    </w:p>
    <w:p w:rsidR="0085709A" w:rsidRDefault="0085709A" w:rsidP="0085709A">
      <w:pPr>
        <w:pStyle w:val="TextoNormal"/>
      </w:pPr>
    </w:p>
    <w:p w:rsidR="0085709A" w:rsidRDefault="0085709A" w:rsidP="0085709A">
      <w:pPr>
        <w:pStyle w:val="TextoNormal"/>
      </w:pPr>
      <w:r w:rsidRPr="0085709A">
        <w:rPr>
          <w:rStyle w:val="NumeroAFNegritaCaracter"/>
        </w:rPr>
        <w:t>16</w:t>
      </w:r>
      <w:r>
        <w:t>. Del título II, rubricado “Normas de protección” se impugnan parcialmente los arts. 25, 27, 37 y 42.</w:t>
      </w:r>
    </w:p>
    <w:p w:rsidR="0085709A" w:rsidRDefault="0085709A" w:rsidP="0085709A">
      <w:pPr>
        <w:pStyle w:val="TextoNormal"/>
      </w:pPr>
    </w:p>
    <w:p w:rsidR="0085709A" w:rsidRDefault="0085709A" w:rsidP="0085709A">
      <w:pPr>
        <w:pStyle w:val="TextoNormal"/>
      </w:pPr>
      <w:r>
        <w:t>a) El art. 25 establece que “en el Área de Protección, salvo en las categorías de Protección Costera y Protección Intermareal, se podrán localizar sistemas de espacios libres, tanto generales como locales, que por su naturaleza sean compatibles con los valores de la categoría de protección donde se ubiquen”. Al respecto, debe recordarse que, conforme al art. 8.1 de la Ley, la categoría de protección costera “engloba la totalidad de las unidades territoriales de Playas, Sistemas Dunares, Acantilados y Orlas litorales. Se corresponde con espacios asociados a la acción de la dinámica marina cuyas características los convierten en unidades territoriales de protección necesaria por sus valores ambientales excepcionales y elevada sensibilidad ambiental”, en tanto que la de protección intermareal “engloba las unidades directamente sometidas a la dinámica intermareal. Se corresponde con las áreas en que el escenario costero se prolonga por rías y estuarios generando formas asociadas a la dinámica fluvio-marina, compartiendo sus mismas características y valores de conservación”.</w:t>
      </w:r>
    </w:p>
    <w:p w:rsidR="0085709A" w:rsidRDefault="0085709A" w:rsidP="0085709A">
      <w:pPr>
        <w:pStyle w:val="TextoNormal"/>
      </w:pPr>
    </w:p>
    <w:p w:rsidR="0085709A" w:rsidRDefault="0085709A" w:rsidP="0085709A">
      <w:pPr>
        <w:pStyle w:val="TextoNormal"/>
      </w:pPr>
      <w:r>
        <w:t>Impugnan específicamente los recurrentes la prohibición de localización de espacios libres, locales y generales, en el área de protección costera. Al respecto, hacen hincapié en la contradicción con otras previsiones de la propia Ley, que permiten localizar en estas áreas la senda litoral (art. 67), obligan a adquirir patrimonio público litoral (art. 60) o imponen una reserva de suelo litoral (art. 61). Siempre en opinión de los actores, todos estos preceptos tenderían a la creación de espacios libres con usos diferentes. Además, los espacios libres no presuponen intensidades de uso que superen la “capacidad de carga” de un territorio concreto, en los términos definidos por el art. 10, y la prohibición de su ubicación en las áreas de protección costera no responde a ningún fin supramunicipal. A ello replica la representación letrada del Gobierno autonómico que los terrenos integrados en el área de protección costera son escasamente idóneos para ubicar zonas de esparcimiento y ocio —función de los espacios libres— y con unos valores ambientales que explican el establecimiento de esta norma adicional de protección. Por otro lado, la previsión legal no es contradictoria con la ubicación en esta área de la senda litoral (arts. 60 y 61), pues esta senda no constituye un espacio libre sino, a lo sumo, una infraestructura lineal que, por su propia naturaleza, no puede ubicarse en un espacio diferente.</w:t>
      </w:r>
    </w:p>
    <w:p w:rsidR="0085709A" w:rsidRDefault="0085709A" w:rsidP="0085709A">
      <w:pPr>
        <w:pStyle w:val="TextoNormal"/>
      </w:pPr>
    </w:p>
    <w:p w:rsidR="0085709A" w:rsidRDefault="0085709A" w:rsidP="0085709A">
      <w:pPr>
        <w:pStyle w:val="TextoNormal"/>
      </w:pPr>
      <w:r>
        <w:t xml:space="preserve">Como puede apreciarse con su sola lectura, el art. 25 de la Ley del Parlamento de Cantabria 2/2004, permite el establecimiento de espacios libres en el área de protección, con la prohibición absoluta de que los mismos se ubiquen en las categorías de protección costera y protección intermareal. Los senadores recurrentes impugnan la prohibición en cuanto </w:t>
      </w:r>
      <w:r>
        <w:lastRenderedPageBreak/>
        <w:t>afecta a la primera de estas categorías porque no se ha invocado ningún interés supramunicipal que justifique la decisión adoptada, habida cuenta, en especial, de que la propia Ley prevería en su art. 67 el asentamiento en esta categoría de la senda litoral.</w:t>
      </w:r>
    </w:p>
    <w:p w:rsidR="0085709A" w:rsidRDefault="0085709A" w:rsidP="0085709A">
      <w:pPr>
        <w:pStyle w:val="TextoNormal"/>
      </w:pPr>
    </w:p>
    <w:p w:rsidR="0085709A" w:rsidRDefault="0085709A" w:rsidP="0085709A">
      <w:pPr>
        <w:pStyle w:val="TextoNormal"/>
      </w:pPr>
      <w:r>
        <w:t xml:space="preserve">De acuerdo con las palabras de la Sentencia de la Sala de lo Contencioso-Administrativo del Tribunal Supremo de 7 de junio de 1989, puede advertirse que nuestro Derecho urbanístico integra en el sistema de espacios libres “aquellos espacios en que el planeamiento impone su inedificabilidad al objeto de destinarlos a usos colectivos y al ocio ciudadano”. La prohibición absoluta que nos ocupa comparte con esta definición de los sistemas de espacios libres la exclusión de edificabilidad en los terrenos ubicados en las categorías de protección costera y protección intermareal, pero se aleja por el fin perseguido al disponer que dichos terrenos queden libres de edificación, pues no se trata de destinarlos a usos colectivos y al ocio ciudadano sino de preservar “sus valores ambientales excepcionales y [su] elevada sensibilidad ambiental”, en los términos empleados por el art. 8.1 a) de la Ley del plan de ordenación del litoral. La excepcionalidad de estos valores ambientales a la que se refiere el propio legislador pone de relieve la concurrencia de un indudable interés supramunicipal que justifica la prohibición de ubicar —incluso— espacios libres en esta categoría de suelo. Justificación que no resulta contradicha por los arts. 60, 61 y 67 de la propia Ley, no solo porque el ámbito de aplicación de estos preceptos legales no se agota en la categoría de protección costera sino porque las técnicas de adquisición y reserva de suelo litoral son, en sí mismos, instrumentos para la preservación de la protección dispensada a estos suelos por la Ley del plan de ordenación del litoral. En cuanto a la “senda litoral supramunicipal” mencionada en el art. 60.1 </w:t>
      </w:r>
      <w:r w:rsidRPr="0085709A">
        <w:rPr>
          <w:i/>
        </w:rPr>
        <w:t>in fine</w:t>
      </w:r>
      <w:r>
        <w:t>, y con independencia de que ni de este precepto legal ni de lo dispuesto en el art. 67 se infiere inevitablemente la obligación de que la misma se ubique sobre la categoría que nos ocupa, su sola denominación es por demás ilustrativa de la existencia de un interés supramunicipal.</w:t>
      </w:r>
    </w:p>
    <w:p w:rsidR="0085709A" w:rsidRDefault="0085709A" w:rsidP="0085709A">
      <w:pPr>
        <w:pStyle w:val="TextoNormal"/>
      </w:pPr>
    </w:p>
    <w:p w:rsidR="0085709A" w:rsidRDefault="0085709A" w:rsidP="0085709A">
      <w:pPr>
        <w:pStyle w:val="TextoNormal"/>
      </w:pPr>
      <w:r>
        <w:t>b) Sostienen los recurrentes que el carácter vinculante del informe que la Comisión Regional de Ordenación del Territorio y Urbanismo debe emitir en el procedimiento de autorización de construcciones en suelo no urbanizable [art. 27.1 b)] es contrario a la autonomía municipal pues ante el silencio guardado al respecto por la Ley, entienden que dicho informe no sólo es vinculante cuando impida la concesión de la licencia cuando concurran intereses supramunicipales, sino también cuando sea positivo, en cuyo caso el municipio vendrá obligado a otorgar la licencia, desplazándose con ello el ejercicio de la potestad de autorización de la esfera urbanística municipal a la autonómica. Por el contrario, la representación letrada del Gobierno de Cantabria sostiene que el informe sólo tiene carácter vinculante cuando sea contrario al otorgamiento de la licencia por concurrir óbices de carácter supramunicipal, pero no desplaza la competencia municipal para la eventual denegación de la licencia por razones urbanísticas.</w:t>
      </w:r>
    </w:p>
    <w:p w:rsidR="0085709A" w:rsidRDefault="0085709A" w:rsidP="0085709A">
      <w:pPr>
        <w:pStyle w:val="TextoNormal"/>
      </w:pPr>
    </w:p>
    <w:p w:rsidR="0085709A" w:rsidRDefault="0085709A" w:rsidP="0085709A">
      <w:pPr>
        <w:pStyle w:val="TextoNormal"/>
      </w:pPr>
      <w:r>
        <w:t xml:space="preserve">Por referencia específica a las relaciones competenciales entre el Estado y las Comunidades Autónomas, este Tribunal ha elaborado una doctrina sobre la figura del informe vinculante que se sintetiza del siguiente modo en la STC 40/1998, de 19 de febrero, FJ 38: “Así, en la STC 103/1989, se afirma que se trata de ‘un expediente de acomodación o integración entre dos competencias concurrentes —estatal y autonómica— que, partiendo de títulos diversos y con distinto objeto jurídico, convergen sobre un mismo espacio físico, y que están llamadas, en consecuencia, a cohonestarse’ [fundamento jurídico 7 a)], si bien ‘la </w:t>
      </w:r>
      <w:r>
        <w:lastRenderedPageBreak/>
        <w:t>conformidad de la Administración estatal... sólo habrá de considerarse exigible cuando dicha declaración afecta a espacios o enclaves físicos sobre los que se proyecte una competencia estatal concurrente, a fin de garantizar, efectivamente, la integridad de la competencia del Estado’ [fundamento jurídico 7 c)]. Y en la STC 149/1991 hemos sostenido la legitimidad de esta técnica, si bien poniendo de relieve que la exigencia de un informe de esta naturaleza ‘convierte, de hecho, la aprobación final del plan o proyecto en un acto complejo en el que han de concurrir dos voluntades distintas y esa concurrencia necesaria sólo es constitucionalmente admisible cuando ambas voluntades resuelven sobre asuntos de su propia competencia’ [fundamento jurídico 7 A) c)].” (En similares términos, STC 18/2011, de 3 de marzo, FJ 21).</w:t>
      </w:r>
    </w:p>
    <w:p w:rsidR="0085709A" w:rsidRDefault="0085709A" w:rsidP="0085709A">
      <w:pPr>
        <w:pStyle w:val="TextoNormal"/>
      </w:pPr>
    </w:p>
    <w:p w:rsidR="0085709A" w:rsidRDefault="0085709A" w:rsidP="0085709A">
      <w:pPr>
        <w:pStyle w:val="TextoNormal"/>
      </w:pPr>
      <w:r>
        <w:t>En lo que ahora interesa, de esta doctrina constitucional resulta plenamente aplicable a la compartición de potestades y competencias entre los entes locales y otras Administraciones territoriales, la exigencia de que unos y otras “resuelvan sobre asuntos de su propia competencia”. Lo que, en este caso, se traduce, como bien apunta la representación letrada del Gobierno de Cantabria, en la limitación del efecto vinculante del informe de la Comisión Regional de Ordenación del Territorio y Urbanismo a aquellos supuestos en los que se deniegue la concesión de la licencia o autorización por la concurrencia de óbices de relevancia supramunicipal, lo que deja incólumes las potestades municipales para su otorgamiento o denegación en función de criterios estrictamente urbanísticos (esto es, de contraste con el instrumento de planeamiento urbanístico municipal en cada caso aplicable).</w:t>
      </w:r>
    </w:p>
    <w:p w:rsidR="0085709A" w:rsidRDefault="0085709A" w:rsidP="0085709A">
      <w:pPr>
        <w:pStyle w:val="TextoNormal"/>
      </w:pPr>
    </w:p>
    <w:p w:rsidR="0085709A" w:rsidRDefault="0085709A" w:rsidP="0085709A">
      <w:pPr>
        <w:pStyle w:val="TextoNormal"/>
      </w:pPr>
      <w:r>
        <w:t>Dicho de otro modo, el informe de la Comisión Regional de Ordenación del Territorio y Urbanismo únicamente tendrá auténtico carácter vinculante cuando se ciña a la consideración de aquellos aspectos que trasciendan la esfera de lo municipal y determinen la denegación de la autorización o licencia por afectar a intereses supramunicipales. Interpretado de este modo, el precepto legal no puede reputarse inconstitucional y así se llevará al fallo de esta resolución.</w:t>
      </w:r>
    </w:p>
    <w:p w:rsidR="0085709A" w:rsidRDefault="0085709A" w:rsidP="0085709A">
      <w:pPr>
        <w:pStyle w:val="TextoNormal"/>
      </w:pPr>
    </w:p>
    <w:p w:rsidR="0085709A" w:rsidRDefault="0085709A" w:rsidP="0085709A">
      <w:pPr>
        <w:pStyle w:val="TextoNormal"/>
      </w:pPr>
      <w:r>
        <w:t>c) El art. 37, que lleva por título “Planes Especiales” se recurre en su totalidad por cuanto permite que el Gobierno autonómico elabore planes especiales de reordenación del entorno de las playas, sin consideración alguna a su clasificación urbanística ni requerimiento previo al ayuntamiento en el que estén situados los terrenos afectados. Los actores denuncian la falta de invocación de razones supramunicipales que justifiquen el desplazamiento de las instancias municipales. A su vez, la representación letrada del Gobierno de Cantabria indica que la habilitación al Ejecutivo autonómico trae causa directa de lo establecido en el apartado primero de la disposición adicional cuarta de la Ley de ordenación territorial y régimen urbanístico del suelo de Cantabria, por lo que no habría innovación normativa en el precepto legal que ahora se controvierte.</w:t>
      </w:r>
    </w:p>
    <w:p w:rsidR="0085709A" w:rsidRDefault="0085709A" w:rsidP="0085709A">
      <w:pPr>
        <w:pStyle w:val="TextoNormal"/>
      </w:pPr>
    </w:p>
    <w:p w:rsidR="0085709A" w:rsidRDefault="0085709A" w:rsidP="0085709A">
      <w:pPr>
        <w:pStyle w:val="TextoNormal"/>
      </w:pPr>
      <w:r>
        <w:t xml:space="preserve">Debemos descartar que el precepto legal cuestionado incurra en causa de nulidad por ignorar la autonomía municipal dado que los planes especiales que contempla se dictan en desarrollo de las previsiones del plan de ordenación del litoral y no de los instrumentos de planeamiento urbanístico general municipal. Habida cuenta la naturaleza del plan de ordenación del litoral, no puede merecer reproche alguno de inconstitucionalidad la atribución al Gobierno autonómico de la potestad para proceder a su desarrollo mediante la aprobación de los correspondientes planes especiales. Por otro lado, no podrán esos planes especiales </w:t>
      </w:r>
      <w:r>
        <w:lastRenderedPageBreak/>
        <w:t>proceder a una nueva clasificación urbanística del suelo pues esta determinación está reservada a los planes generales de ordenación urbana por el art. 44.1 b) de la Ley de ordenación territorial y de régimen urbanístico del suelo de Cantabria.</w:t>
      </w:r>
    </w:p>
    <w:p w:rsidR="0085709A" w:rsidRDefault="0085709A" w:rsidP="0085709A">
      <w:pPr>
        <w:pStyle w:val="TextoNormal"/>
      </w:pPr>
    </w:p>
    <w:p w:rsidR="0085709A" w:rsidRDefault="0085709A" w:rsidP="0085709A">
      <w:pPr>
        <w:pStyle w:val="TextoNormal"/>
      </w:pPr>
      <w:r>
        <w:t>d) Del art. 42, que lleva por rúbrica “accesos rodados” se controvierte la imposición de la obligación de conservar el carácter agrícola de los accesos a las playas rurales, sin posibilidad de justificar otras alternativas. Nuevamente denuncian los actores la inexistencia de un interés supramunicipal que justifique esta medida. Para la representación letrada del Gobierno de Cantabria, con la medida discutida se trata de preservar los valores ambientales de los caminos agrícolas.</w:t>
      </w:r>
    </w:p>
    <w:p w:rsidR="0085709A" w:rsidRDefault="0085709A" w:rsidP="0085709A">
      <w:pPr>
        <w:pStyle w:val="TextoNormal"/>
      </w:pPr>
    </w:p>
    <w:p w:rsidR="0085709A" w:rsidRDefault="0085709A" w:rsidP="0085709A">
      <w:pPr>
        <w:pStyle w:val="TextoNormal"/>
      </w:pPr>
      <w:r>
        <w:t>De acuerdo con el apartado segundo del art. 42 de la Ley del plan de ordenación del litoral, que es el específicamente impugnado, “en las playas semirrurales y rurales, en el supuesto en que el acceso se realice a través de caminos agrícolas, se mantendrá su carácter, estableciendo limitaciones a la circulación motorizada a partir de las zonas de aparcamiento habilitadas al efecto.” La opción legislativa responde al deseo de conservar los valores ambientales propios de este tipo de caminos rurales, evitando la transformación de este tipo de vías de comunicación en otras con mayor impacto ambiental. Consecuentemente, debemos desestimar el presente motivo de impugnación.</w:t>
      </w:r>
    </w:p>
    <w:p w:rsidR="0085709A" w:rsidRDefault="0085709A" w:rsidP="0085709A">
      <w:pPr>
        <w:pStyle w:val="TextoNormal"/>
      </w:pPr>
    </w:p>
    <w:p w:rsidR="0085709A" w:rsidRDefault="0085709A" w:rsidP="0085709A">
      <w:pPr>
        <w:pStyle w:val="TextoNormal"/>
      </w:pPr>
      <w:r w:rsidRPr="0085709A">
        <w:rPr>
          <w:rStyle w:val="NumeroAFNegritaCaracter"/>
        </w:rPr>
        <w:t>17</w:t>
      </w:r>
      <w:r>
        <w:t>. Del título III, rubricado “Criterios de ordenación” se impugnan varios apartados del art. 45, así como los arts. 47.3 y 50.</w:t>
      </w:r>
    </w:p>
    <w:p w:rsidR="0085709A" w:rsidRDefault="0085709A" w:rsidP="0085709A">
      <w:pPr>
        <w:pStyle w:val="TextoNormal"/>
      </w:pPr>
    </w:p>
    <w:p w:rsidR="0085709A" w:rsidRDefault="0085709A" w:rsidP="0085709A">
      <w:pPr>
        <w:pStyle w:val="TextoNormal"/>
      </w:pPr>
      <w:r>
        <w:t>a) Los actores solicitan la declaración de inconstitucionalidad de los apartados 1 y 3, así como de la frase final del apartado 2, del art. 45 de la Ley. El apartado primero se impugna en cuanto obliga a la adopción de un modelo concreto, rehabilitando y renovando las edificaciones, e impidiendo que el municipio opte por un tipo de edificación diferente y la eliminación de aquellas que no sean acordes al mismo. La Comunidad Autónoma no se limita a identificar objetivos sino que impone medidas muy concretas que merman la autonomía municipal. El apartado segundo se considera inconstitucional porque obliga a adoptar un modelo territorial concreto al imponer uniformemente la continuidad de la trama en los municipios existentes, limitando la discrecionalidad del planeamiento. El apartado tercero se controvierte porque obliga a dirigir el crecimiento hacia las zonas de pendientes más suaves, sin permitir ponderar otros valores, como pueda ser el agrícola o ambiental de esas mismas zonas.</w:t>
      </w:r>
    </w:p>
    <w:p w:rsidR="0085709A" w:rsidRDefault="0085709A" w:rsidP="0085709A">
      <w:pPr>
        <w:pStyle w:val="TextoNormal"/>
      </w:pPr>
    </w:p>
    <w:p w:rsidR="0085709A" w:rsidRDefault="0085709A" w:rsidP="0085709A">
      <w:pPr>
        <w:pStyle w:val="TextoNormal"/>
      </w:pPr>
      <w:r>
        <w:t>En opinión de la representación letrada del Gobierno de Cantabria, este precepto legal establece criterios de desarrollo urbanístico en el área de ordenación que no imponen un modelo de crecimiento predefinido ni eliminan por completo la discrecionalidad del planificador, sino que sirven a la protección del litoral mediante la ordenación del crecimiento urbanístico. El apartado primero del precepto fomenta el uso eficiente y sostenible del uso y —atendiendo a las características orográficas de la región— encauza el crecimiento hacia los terrenos con pendientes más suaves. Por otro lado, la necesidad de promover la continuidad de la trama urbana preexistente (art. 45.2) se dirige a proteger el paisaje y la morfología de los núcleos de población para evitar que se alteren hasta hacerse irreconocibles.</w:t>
      </w:r>
    </w:p>
    <w:p w:rsidR="0085709A" w:rsidRDefault="0085709A" w:rsidP="0085709A">
      <w:pPr>
        <w:pStyle w:val="TextoNormal"/>
      </w:pPr>
    </w:p>
    <w:p w:rsidR="0085709A" w:rsidRDefault="0085709A" w:rsidP="0085709A">
      <w:pPr>
        <w:pStyle w:val="TextoNormal"/>
      </w:pPr>
      <w:r>
        <w:t>El art. 45, rubricado “criterios generales de desarrollo urbanístico en el Área de Ordenación”, dispone en sus tres primeros apartados:</w:t>
      </w:r>
    </w:p>
    <w:p w:rsidR="0085709A" w:rsidRDefault="0085709A" w:rsidP="0085709A">
      <w:pPr>
        <w:pStyle w:val="TextoNormal"/>
      </w:pPr>
    </w:p>
    <w:p w:rsidR="0085709A" w:rsidRDefault="0085709A" w:rsidP="0085709A">
      <w:pPr>
        <w:pStyle w:val="TextoNormal"/>
      </w:pPr>
      <w:r>
        <w:t>“1. Al objeto de conseguir un uso más eficiente y sostenible del suelo, el planeamiento fomentará la rehabilitación y renovación de sus edificaciones y la consolidación de los intersticios completando las tramas existentes.</w:t>
      </w:r>
    </w:p>
    <w:p w:rsidR="0085709A" w:rsidRDefault="0085709A" w:rsidP="0085709A">
      <w:pPr>
        <w:pStyle w:val="TextoNormal"/>
      </w:pPr>
    </w:p>
    <w:p w:rsidR="0085709A" w:rsidRDefault="0085709A" w:rsidP="0085709A">
      <w:pPr>
        <w:pStyle w:val="TextoNormal"/>
      </w:pPr>
      <w:r>
        <w:t>2. El planeamiento general velará por que los nuevos crecimientos urbanísticos se planteen de forma integral, con especial atención a la morfología y escala de la intervención y con modelos tipológicos que se adapten, en lo básico, al entorno. En el caso de núcleos preexistentes se promoverá la continuidad de la trama.</w:t>
      </w:r>
    </w:p>
    <w:p w:rsidR="0085709A" w:rsidRDefault="0085709A" w:rsidP="0085709A">
      <w:pPr>
        <w:pStyle w:val="TextoNormal"/>
      </w:pPr>
    </w:p>
    <w:p w:rsidR="0085709A" w:rsidRDefault="0085709A" w:rsidP="0085709A">
      <w:pPr>
        <w:pStyle w:val="TextoNormal"/>
      </w:pPr>
      <w:r>
        <w:t>3. El Planeamiento dirigirá los crecimientos urbanísticos hacia las zonas con pendientes más suaves.”</w:t>
      </w:r>
    </w:p>
    <w:p w:rsidR="0085709A" w:rsidRDefault="0085709A" w:rsidP="0085709A">
      <w:pPr>
        <w:pStyle w:val="TextoNormal"/>
      </w:pPr>
    </w:p>
    <w:p w:rsidR="0085709A" w:rsidRDefault="0085709A" w:rsidP="0085709A">
      <w:pPr>
        <w:pStyle w:val="TextoNormal"/>
      </w:pPr>
      <w:r>
        <w:t>Como ya se ha reseñado, del apartado segundo únicamente se controvierte su inciso final, de acuerdo con el cual, en los núcleos de población preexistentes el planeamiento general ha de promover la continuidad de la trama o malla urbana.</w:t>
      </w:r>
    </w:p>
    <w:p w:rsidR="0085709A" w:rsidRDefault="0085709A" w:rsidP="0085709A">
      <w:pPr>
        <w:pStyle w:val="TextoNormal"/>
      </w:pPr>
    </w:p>
    <w:p w:rsidR="0085709A" w:rsidRDefault="0085709A" w:rsidP="0085709A">
      <w:pPr>
        <w:pStyle w:val="TextoNormal"/>
      </w:pPr>
      <w:r>
        <w:t>De modo que son dos los aspectos del precepto legal que controvierten los senadores recurrentes en este proceso constitucional: por una parte, la opción legislativa por completar y continuar la trama urbana y, por otra, la imposición al planeamiento de la obligación de dirigir los crecimientos urbanísticos hacia las zonas con pendientes más suaves. Quedan al margen de nuestras consideraciones aquellos supuestos en los que ambas opciones puedan eventualmente colisionar, como acaso puede suceder cuando la continuidad o complitud de la trama exija encauzar el crecimiento urbanístico hacia zonas con pendientes pronunciadas.</w:t>
      </w:r>
    </w:p>
    <w:p w:rsidR="0085709A" w:rsidRDefault="0085709A" w:rsidP="0085709A">
      <w:pPr>
        <w:pStyle w:val="TextoNormal"/>
      </w:pPr>
    </w:p>
    <w:p w:rsidR="0085709A" w:rsidRDefault="0085709A" w:rsidP="0085709A">
      <w:pPr>
        <w:pStyle w:val="TextoNormal"/>
      </w:pPr>
      <w:r>
        <w:t>A la hora de dar respuesta a la cuestión planteada debemos comenzar recordando que en el ámbito urbanístico municipal se proyecta una auténtica “imbricación de intereses diversos” (STC 51/2004, de 13 de abril, FJ 12), que se articula tanto mediante la intervención de Administraciones territoriales distintas del municipio, al que corresponde el protagonismo habida cuenta de que “la decisión sobre la configuración del asentamiento urbano municipal en que consiste el plan urbanístico —marco regulador del espacio físico de la convivencia de los vecinos— es una tarea comprendida prioritariamente en el ámbito de los intereses del municipio; y sobre aquella decisión se proyectan, por tanto, de forma especialmente intensa las exigencias de la autonomía municipal” (</w:t>
      </w:r>
      <w:r w:rsidRPr="0085709A">
        <w:rPr>
          <w:i/>
        </w:rPr>
        <w:t>loc. cit</w:t>
      </w:r>
      <w:r>
        <w:t>.), como a través del establecimiento de determinaciones básicas de carácter territorial vinculantes para ese mismo planificador urbanístico municipal.</w:t>
      </w:r>
    </w:p>
    <w:p w:rsidR="0085709A" w:rsidRDefault="0085709A" w:rsidP="0085709A">
      <w:pPr>
        <w:pStyle w:val="TextoNormal"/>
      </w:pPr>
    </w:p>
    <w:p w:rsidR="0085709A" w:rsidRDefault="0085709A" w:rsidP="0085709A">
      <w:pPr>
        <w:pStyle w:val="TextoNormal"/>
      </w:pPr>
      <w:r>
        <w:t>En esta ocasión nos ocupan sendas determinaciones territoriales básicas. Con respecto a la primera de ellas —complemento y continuidad de la trama urbana— es preciso señalar que este precepto legal se aleja y trasciende lo dispuesto en el art. 33.2 de la Ley de ordenación territorial y de régimen urbanístico del suelo de Cantabria, en virtud del cual y a fin de proteger el patrimonio cultural, “los Planes Generales velarán … por la conservación de la trama urbana en los núcleos tradicionales”, en dos aspectos capitales: por una parte, extiende su ámbito de aplicación más allá de los núcleos de población tradicionales y, lo que resulta más importante, no se limita a una función de conservación de la trama urbana sino que opta por su consolidación y continuidad.</w:t>
      </w:r>
    </w:p>
    <w:p w:rsidR="0085709A" w:rsidRDefault="0085709A" w:rsidP="0085709A">
      <w:pPr>
        <w:pStyle w:val="TextoNormal"/>
      </w:pPr>
    </w:p>
    <w:p w:rsidR="0085709A" w:rsidRDefault="0085709A" w:rsidP="0085709A">
      <w:pPr>
        <w:pStyle w:val="TextoNormal"/>
      </w:pPr>
      <w:r>
        <w:lastRenderedPageBreak/>
        <w:t xml:space="preserve">Sentado esto, hemos de afirmar, en primer lugar, que la opción legislativa contenida en los apartados primero y segundo </w:t>
      </w:r>
      <w:r w:rsidRPr="0085709A">
        <w:rPr>
          <w:i/>
        </w:rPr>
        <w:t>in fine</w:t>
      </w:r>
      <w:r>
        <w:t xml:space="preserve"> del art. 45 de la Ley del plan de ordenación del litoral se corresponde con un modelo territorial cuya fijación trasciende los intereses municipales. El legislador autonómico se decanta por un modelo de desarrollo urbanístico que prima el gradualismo en el proceso de transformación del suelo, evitando así la creación de núcleos desperdigados de población que precisen posteriormente de la creación de infraestructuras de comunicación e integración, con lo que ello supone de incremento de la ocupación y uso del suelo. Además, el legislador no impide absolutamente que el planificador urbanístico municipal se decante por otras alternativas pues el uso de verbos como “fomentar” y “promover” deja un margen de decisión al planificador, que, obviamente, deberá motivar el modo como haya ejercido su libertad de configuración, su discrecionalidad.</w:t>
      </w:r>
    </w:p>
    <w:p w:rsidR="0085709A" w:rsidRDefault="0085709A" w:rsidP="0085709A">
      <w:pPr>
        <w:pStyle w:val="TextoNormal"/>
      </w:pPr>
    </w:p>
    <w:p w:rsidR="0085709A" w:rsidRDefault="0085709A" w:rsidP="0085709A">
      <w:pPr>
        <w:pStyle w:val="TextoNormal"/>
      </w:pPr>
      <w:r>
        <w:t>Distinto es el caso del art. 45.3, donde el legislador autonómico niega todo margen de opción al municipio pues establece que el planeamiento “dirigirá los crecimientos urbanísticos hacia las zonas con pendientes más suaves”. No cabe vislumbrar en éste precepto presencia alguna de intereses supramunicipales que justifiquen una determinación urbanística que se impone al ayuntamiento por encima de cualquier consideración sobre las características físicas del terreno objeto de su actuación. Se ciegan por completo las libertades de crecimiento urbanístico en unos términos tales que niegan la autonomía municipal y conllevan, por tanto, la necesaria declaración de inconstitucionalidad y nulidad del precepto legal.</w:t>
      </w:r>
    </w:p>
    <w:p w:rsidR="0085709A" w:rsidRDefault="0085709A" w:rsidP="0085709A">
      <w:pPr>
        <w:pStyle w:val="TextoNormal"/>
      </w:pPr>
    </w:p>
    <w:p w:rsidR="0085709A" w:rsidRDefault="0085709A" w:rsidP="0085709A">
      <w:pPr>
        <w:pStyle w:val="TextoNormal"/>
      </w:pPr>
      <w:r>
        <w:t>b) De acuerdo con el art. 47.3 de la Ley del plan de ordenación del litoral, “cada sector de suelo urbanizable que se desarrolle en estas áreas [se refiere a las áreas periurbanas] y en el que se prevea uso residencial deberá destinar, al menos, un 35 por 100 de la superficie construida destinada a uso residencial para vivienda sujeta a algún régimen de protección, destinando un mínimo del 10 por 100 para la construcción de viviendas de protección oficial de régimen especial”.</w:t>
      </w:r>
    </w:p>
    <w:p w:rsidR="0085709A" w:rsidRDefault="0085709A" w:rsidP="0085709A">
      <w:pPr>
        <w:pStyle w:val="TextoNormal"/>
      </w:pPr>
    </w:p>
    <w:p w:rsidR="0085709A" w:rsidRDefault="0085709A" w:rsidP="0085709A">
      <w:pPr>
        <w:pStyle w:val="TextoNormal"/>
      </w:pPr>
      <w:r>
        <w:t>El precepto legal ahora reproducido se impugna porque, al decir de los recurrentes, no dejaría margen alguno de decisión a los municipios respecto de una cuestión que afecta a su esfera de intereses, como es la relativa a si necesita viviendas sociales, en qué cantidad y ubicadas en qué zonas del término municipal. A los municipios a los que les resulta de aplicación esta previsión no sólo se les impone un porcentaje elevado de reserva de suelo para vivienda social sino que también se decide dónde debe estar ubicado ese suelo: en las áreas periurbanas. La autonomía municipal puede quedar condicionada, además, en virtud del art. 26 de la Ley 2/2001, al poder aprobarse, sin intervención local, un proyecto singular de interés regional que tenga por finalidad una promoción de esta clase de vivienda (lo que no supera el umbral de participación local al que hace referencia la STC 51/2004). Por el contrario, la representación procesal del Gobierno de Cantabria apunta que el precepto, si bien establece un porcentaje de viviendas sujetas a regímenes especiales de protección para los suelos urbanizables de uso residencial en las áreas periurbanas, no clasifica el suelo ni, obviamente, lleva a cabo la construcción de viviendas de protección pública, siendo los ayuntamientos las instancias competentes para decidir si el crecimiento urbano se proyecta sobre dichas áreas. Lo que hace la Ley en este punto es plasmar territorialmente la política de vivienda de la Comunidad Autónoma identificando el valor estratégico de determinadas áreas con incidencia supramunicipal, como las concernidas por el precepto controvertido.</w:t>
      </w:r>
    </w:p>
    <w:p w:rsidR="0085709A" w:rsidRDefault="0085709A" w:rsidP="0085709A">
      <w:pPr>
        <w:pStyle w:val="TextoNormal"/>
      </w:pPr>
    </w:p>
    <w:p w:rsidR="0085709A" w:rsidRDefault="0085709A" w:rsidP="0085709A">
      <w:pPr>
        <w:pStyle w:val="TextoNormal"/>
      </w:pPr>
      <w:r>
        <w:lastRenderedPageBreak/>
        <w:t>En relación entonces con la configuración legal de los derechos de tanteo y retracto como instrumentos al servicio de la política de viviendas, este Tribunal tuvo ocasión de señalar en la STC 207/1999, de 11 de noviembre, que aquellos “se instrumentan al servicio de finalidades constitucionales que son ínsitas a la normativa sobre urbanismo y vivienda, competencia exclusiva de la Comunidad Foral de Navarra (art. 44.1 LORAFNA), pues se configuran, en puridad, como un mecanismo o técnica jurídica establecido con la plausible finalidad de combatir el fenómeno de la especulación del suelo, haciendo, asimismo, viable la construcción de viviendas que, por su régimen de protección pública, sean asequibles al sector más desfavorecido de la población, en acomodación a los mandatos constitucionales contenidos en los arts. 33.2 y 47 C.E.” (FJ 5). Nuevamente es evidente la imbricación de los intereses municipales —concretados en la potestad de planeamiento urbanístico del territorio— y supramunicipales —aquí, los relativos a la política de vivienda—, que justifica y aun exige la instrumentación de técnicas que aseguren la satisfacción de las necesidades de vivienda de los sectores sociales más desfavorecidos.</w:t>
      </w:r>
    </w:p>
    <w:p w:rsidR="0085709A" w:rsidRDefault="0085709A" w:rsidP="0085709A">
      <w:pPr>
        <w:pStyle w:val="TextoNormal"/>
      </w:pPr>
    </w:p>
    <w:p w:rsidR="0085709A" w:rsidRDefault="0085709A" w:rsidP="0085709A">
      <w:pPr>
        <w:pStyle w:val="TextoNormal"/>
      </w:pPr>
      <w:r>
        <w:t>Del mismo modo, la STC 141/2014, de 11 de septiembre, ha declarado que, con respeto a la correspondiente legislación básica estatal, “la competencia en materia de vivienda asumida por las Comunidades Autónomas en sus respectivos estatutos de Autonomía faculta a estas para desarrollar, ciertamente, una política propia en la materia” [FJ 8 b)].</w:t>
      </w:r>
    </w:p>
    <w:p w:rsidR="0085709A" w:rsidRDefault="0085709A" w:rsidP="0085709A">
      <w:pPr>
        <w:pStyle w:val="TextoNormal"/>
      </w:pPr>
    </w:p>
    <w:p w:rsidR="0085709A" w:rsidRDefault="0085709A" w:rsidP="0085709A">
      <w:pPr>
        <w:pStyle w:val="TextoNormal"/>
      </w:pPr>
      <w:r>
        <w:t>El legislador autonómico diseña una técnica para la ejecución de la política pública de vivienda: la reserva de un porcentaje de suelo para vivienda de promoción pública. No es el legislador, ni aun siquiera la Comunidad Autónoma, quien impone una determinada clasificación o destino del suelo al que afecta el precepto que nos ocupa —suelo urbanizable destinado a uso residencial ubicado en el área periurbana que, de acuerdo con el art. 9.1 a) “se corresponde con los sectores o áreas periféricas de los núcleos ubicados en el entorno de las autovías y de la Bahía de Santander, sometidos a procesos de transformación territorial por la implantación de nuevos usos que han podido modificar su estructura territorial”— sino que se limita a incidir sobre esas decisiones municipales estableciendo una reserva de suelo para vivienda de promoción pública en aras de la satisfacción de las necesidades de los grupos más desfavorecidos de población y en atención a las necesidades e intereses supramunicipales, como son los aquí afectados.</w:t>
      </w:r>
    </w:p>
    <w:p w:rsidR="0085709A" w:rsidRDefault="0085709A" w:rsidP="0085709A">
      <w:pPr>
        <w:pStyle w:val="TextoNormal"/>
      </w:pPr>
    </w:p>
    <w:p w:rsidR="0085709A" w:rsidRDefault="0085709A" w:rsidP="0085709A">
      <w:pPr>
        <w:pStyle w:val="TextoNormal"/>
      </w:pPr>
      <w:r>
        <w:t>Lo expuesto determina la desestimación del recurso también en este punto concreto.</w:t>
      </w:r>
    </w:p>
    <w:p w:rsidR="0085709A" w:rsidRDefault="0085709A" w:rsidP="0085709A">
      <w:pPr>
        <w:pStyle w:val="TextoNormal"/>
      </w:pPr>
    </w:p>
    <w:p w:rsidR="0085709A" w:rsidRDefault="0085709A" w:rsidP="0085709A">
      <w:pPr>
        <w:pStyle w:val="TextoNormal"/>
      </w:pPr>
      <w:r>
        <w:t>c) De acuerdo con el art. 50, “en el Área no litoral, los Planes Generales de Ordenación Urbana determinarán, conforme a los criterios establecidos en la presente Ley, las distintas áreas en función de su capacidad de carga, así como de sus valores naturales, culturales, paisajísticos y la existencia de riesgos acreditados”.</w:t>
      </w:r>
    </w:p>
    <w:p w:rsidR="0085709A" w:rsidRDefault="0085709A" w:rsidP="0085709A">
      <w:pPr>
        <w:pStyle w:val="TextoNormal"/>
      </w:pPr>
    </w:p>
    <w:p w:rsidR="0085709A" w:rsidRDefault="0085709A" w:rsidP="0085709A">
      <w:pPr>
        <w:pStyle w:val="TextoNormal"/>
      </w:pPr>
      <w:r>
        <w:t>Este precepto se impugna porque extiende los criterios del plan de ordenación del litoral a otras áreas en las que no concurrirían los intereses supramunicipales que justifican la aprobación del plan. Se facilita así que el Gobierno autonómico imponga sus criterios de oportunidad en materia de ordenación territorial, haciendo uso de una figura, como la “capacidad de carga”, que se define apelando a conceptos jurídicos indeterminados, lo que deja en manos del Ejecutivo regional un amplio margen de apreciación.</w:t>
      </w:r>
    </w:p>
    <w:p w:rsidR="0085709A" w:rsidRDefault="0085709A" w:rsidP="0085709A">
      <w:pPr>
        <w:pStyle w:val="TextoNormal"/>
      </w:pPr>
    </w:p>
    <w:p w:rsidR="0085709A" w:rsidRDefault="0085709A" w:rsidP="0085709A">
      <w:pPr>
        <w:pStyle w:val="TextoNormal"/>
      </w:pPr>
      <w:r>
        <w:lastRenderedPageBreak/>
        <w:t>El art. 50 de la Ley del Parlamento de Cantabria 2/2004 tiene como principal virtualidad comprender en el ámbito de aplicación del concepto “capacidad de carga” a la totalidad de los territorios pertenecientes a los 37 municipios a los que afecta el plan de ordenación del litoral. Ahora bien, como ya advirtiéramos con anterioridad, este concepto opera de manera diferente según se proyecte sobre el área litoral —en cuyo caso resulta de directa aplicación la zonificación contenida en el art. 9.1 de la Ley—, o sobre el área no litoral, en la que el art. 50 de la Ley reconoce el protagonismo regulador de los planes generales de ordenación urbana.</w:t>
      </w:r>
    </w:p>
    <w:p w:rsidR="0085709A" w:rsidRDefault="0085709A" w:rsidP="0085709A">
      <w:pPr>
        <w:pStyle w:val="TextoNormal"/>
      </w:pPr>
    </w:p>
    <w:p w:rsidR="0085709A" w:rsidRDefault="0085709A" w:rsidP="0085709A">
      <w:pPr>
        <w:pStyle w:val="TextoNormal"/>
      </w:pPr>
      <w:r>
        <w:t xml:space="preserve">La extensión de la utilidad del concepto “capacidad de carga” más allá del área litoral, en los términos en que se lleva a cabo en el art. 50 de la Ley autonómica impugnada, no puede reputarse contraria a la autonomía municipal. Por una parte, el concepto que nos ocupa se nos presenta como un instrumento idóneo para la realización del objeto propio de la competencia autonómica sobre ordenación del territorio: la fijación de los usos del suelo y el equilibrio entre las distintas partes del territorio, en los términos de la doctrina constitucional sintetizada en la STC 149/1998, FJ 3, antes recordada. Por otra, la incorporación de este concepto a una ley en la que conviven aspectos propios de la ordenación del territorio y del urbanismo </w:t>
      </w:r>
      <w:r w:rsidRPr="0085709A">
        <w:rPr>
          <w:i/>
        </w:rPr>
        <w:t>stricto sensu</w:t>
      </w:r>
      <w:r>
        <w:t xml:space="preserve"> —que, conforme señalamos en la STC 141/2014, FJ 5 A), como título competencial alude a la “disciplina jurídica del hecho social o colectivo de los asentamientos de población en el espacio físico, lo que, en el plano jurídico, se traduce en la ordenación urbanística, como objeto normativo de las leyes urbanísticas”— se corresponde con la íntima trabazón existente entre ambos títulos competenciales. Finalmente, porque el precepto atribuye el protagonismo principal en la definición operativa de la capacidad de carga de un territorio a los planificadores urbanísticos municipales, a quienes corresponde la zonificación del territorio en función de la capacidad de carga y la acreditación de riesgos de deterioro ambiental, social y cultural (art. 50, en relación con el art. 10, ambos de la Ley del plan de ordenación del litoral). La concurrencia de esos riesgos reviste un indudable interés supramunicipal pues incidirá y condicionará el desarrollo urbanístico del territorio circundante; los supuestos de deterioro identificados en el art. 10 no se agotan en el área territorial que los padece directamente sino que se expanden más allá de los límites del término municipal.</w:t>
      </w:r>
    </w:p>
    <w:p w:rsidR="0085709A" w:rsidRDefault="0085709A" w:rsidP="0085709A">
      <w:pPr>
        <w:pStyle w:val="TextoNormal"/>
      </w:pPr>
    </w:p>
    <w:p w:rsidR="0085709A" w:rsidRDefault="0085709A" w:rsidP="0085709A">
      <w:pPr>
        <w:pStyle w:val="TextoNormal"/>
      </w:pPr>
      <w:r>
        <w:t>Lo expuesto conduce a la desestimación de este motivo del recurso.</w:t>
      </w:r>
    </w:p>
    <w:p w:rsidR="0085709A" w:rsidRDefault="0085709A" w:rsidP="0085709A">
      <w:pPr>
        <w:pStyle w:val="TextoNormal"/>
      </w:pPr>
    </w:p>
    <w:p w:rsidR="0085709A" w:rsidRDefault="0085709A" w:rsidP="0085709A">
      <w:pPr>
        <w:pStyle w:val="TextoNormal"/>
      </w:pPr>
      <w:r w:rsidRPr="0085709A">
        <w:rPr>
          <w:rStyle w:val="NumeroAFNegritaCaracter"/>
        </w:rPr>
        <w:t>18</w:t>
      </w:r>
      <w:r>
        <w:t>. Los actores impugnan total o parcialmente todos los artículos que componen el título IV, rubricado “Actuaciones integrales estratégicas” (arts. 51 a 57).</w:t>
      </w:r>
    </w:p>
    <w:p w:rsidR="0085709A" w:rsidRDefault="0085709A" w:rsidP="0085709A">
      <w:pPr>
        <w:pStyle w:val="TextoNormal"/>
      </w:pPr>
    </w:p>
    <w:p w:rsidR="0085709A" w:rsidRDefault="0085709A" w:rsidP="0085709A">
      <w:pPr>
        <w:pStyle w:val="TextoNormal"/>
      </w:pPr>
      <w:r>
        <w:t xml:space="preserve">a) Del art. 51 impugnan específicamente sus apartados 3 y 4 en cuanto convierten a los municipios en instrumentos de las políticas sectoriales de la Comunidad Autónoma, en detrimento del principio de coordinación administrativa. Los recurrentes subrayan que el interés autonómico en el desarrollo de la actividad es algo bien distinto de la relevancia supramunicipal del proyecto, único concepto que justificaría la prevalencia autonómica y centran sus discrepancias en los incisos “y con independencia de la clasificación urbanística”, que figura en los apartados 3 y 4 del art. 51 de la Ley autonómica y “en cuyo caso sus determinaciones prevalecerán sobre las de este Plan” del art. 51.3. A este último inciso se le reprocha la vulneración del principio de jerarquía normativa al situar los proyectos singulares de interés regional —aprobados por el Gobierno autonómico— por encima de la propia Ley del plan de ordenación del litoral, lo que no sólo altera el sistema de fuentes sino </w:t>
      </w:r>
      <w:r>
        <w:lastRenderedPageBreak/>
        <w:t>que, además, representa una auténtica reserva de dispensación en favor del Gobierno de Cantabria, quien podrá sustraerse a los mandatos del planeamiento territorial contenida en la Ley autonómica 2/2004.</w:t>
      </w:r>
    </w:p>
    <w:p w:rsidR="0085709A" w:rsidRDefault="0085709A" w:rsidP="0085709A">
      <w:pPr>
        <w:pStyle w:val="TextoNormal"/>
      </w:pPr>
    </w:p>
    <w:p w:rsidR="0085709A" w:rsidRDefault="0085709A" w:rsidP="0085709A">
      <w:pPr>
        <w:pStyle w:val="TextoNormal"/>
      </w:pPr>
      <w:r>
        <w:t>La representación letrada del Gobierno de Cantabria defiende la necesidad de leer el art. 51.3 y 4 de la Ley desde la dualidad de actuaciones integrales estratégicas previstas por el propio legislador: las delimitadas gráficamente en los anexos I y III (a las que se refiere el art. 51.1) y aquellas otras que ulteriormente pueda llevar a cabo el Gobierno autonómico a través de los correspondientes proyectos singulares de interés regional y añade que “el legislador ha querido que los criterios de ordenación sean exclusivamente aplicables a los planeamientos urbanísticos y no a otros instrumentos de ordenación territorial que por su interés supramunicipal gozan de su particular régimen jurídico”. De modo que es la propia Ley la que ha dispuesto que los proyectos singulares no tienen por qué respetar las directrices de ordenación, por lo que no hay reserva de dispensación sino una regulación normativa específica para sectores distintos de los afectados por el título III de la Ley.</w:t>
      </w:r>
    </w:p>
    <w:p w:rsidR="0085709A" w:rsidRDefault="0085709A" w:rsidP="0085709A">
      <w:pPr>
        <w:pStyle w:val="TextoNormal"/>
      </w:pPr>
    </w:p>
    <w:p w:rsidR="0085709A" w:rsidRDefault="0085709A" w:rsidP="0085709A">
      <w:pPr>
        <w:pStyle w:val="TextoNormal"/>
      </w:pPr>
      <w:r>
        <w:t>De acuerdo con el art. 51.3, “excepto en las categorías de protección ambiental, y con independencia de la clasificación urbanística, el Gobierno podrá aprobar Proyectos Singulares de Interés Regional para llevar a cabo otras Actuaciones Integrales Estratégicas de carácter turístico, deportivo, cultural o residencial para viviendas sometidas a algún régimen de protección pública, en cuyo caso, sus determinaciones prevalecerán sobre las de este Plan, respetando en todo caso las limitaciones de uso del Área de Protección”. Por su parte, el art. 51.4 dispone lo siguiente: “Para la restauración o recuperación de espacios de singular valor ambiental y con independencia de la clasificación urbanística de los suelos se podrán aprobar Proyectos Singulares de Interés Regional en todo el ámbito de aplicación de esta Ley.”</w:t>
      </w:r>
    </w:p>
    <w:p w:rsidR="0085709A" w:rsidRDefault="0085709A" w:rsidP="0085709A">
      <w:pPr>
        <w:pStyle w:val="TextoNormal"/>
      </w:pPr>
    </w:p>
    <w:p w:rsidR="0085709A" w:rsidRDefault="0085709A" w:rsidP="0085709A">
      <w:pPr>
        <w:pStyle w:val="TextoNormal"/>
      </w:pPr>
      <w:r>
        <w:t>En cuanto al art. 51.3, hemos de dar la razón a los recurrentes cuando denuncian que habilita al Ejecutivo autonómico no solo a prescindir de la clasificación urbanística del suelo en el diseño y ejecución de sus políticas sectoriales con incidencia territorial sino incluso a prescindir de las determinaciones aparentemente vinculantes de la propia Ley habilitante. Lo primero supone un debilitamiento del principio de autonomía municipal carente de razón suficiente, lo que representa una quiebra injustificada del principio de autonomía, “que es uno de los principios estructurales básicos de nuestra Constitución”, según dijimos en las SSTC 4/1981, FJ 3; y 214/1989, de 21 de diciembre, FJ 13 c). Lo segundo trastoca el sistema de fuentes y, muy particularmente, el principio de primacía de la Ley, postulado básico de un Estado de Derecho (art. 1.1 CE), como advirtiera este Tribunal en la STC 34/1995, de 6 de febrero, FJ 3. El precepto legal permite que el Ejecutivo autonómico haga uso de esta posibilidad “para llevar a cabo otras Actuaciones Integrales Estratégicas de carácter turístico, deportivo, cultural o residencial para viviendas sometidas a algún régimen de protección pública”, lo que abre la puerta a una amplia panoplia de excepciones a las determinaciones establecidas por el propio legislador.</w:t>
      </w:r>
    </w:p>
    <w:p w:rsidR="0085709A" w:rsidRDefault="0085709A" w:rsidP="0085709A">
      <w:pPr>
        <w:pStyle w:val="TextoNormal"/>
      </w:pPr>
    </w:p>
    <w:p w:rsidR="0085709A" w:rsidRDefault="0085709A" w:rsidP="0085709A">
      <w:pPr>
        <w:pStyle w:val="TextoNormal"/>
      </w:pPr>
      <w:r>
        <w:t xml:space="preserve">Por consiguiente, debemos estimar el recurso en este punto y declarar la inconstitucionalidad y nulidad de los incisos “en cuyo caso sus determinaciones prevalecerán sobre las de este Plan” así como “y con independencia de la clasificación urbanística” del art. 51.3, conclusión que, sin embargo, no podemos extender a este mismo inciso en cuanto se contiene en el art. 51.4. En este precepto legal se identifica un claro interés supramunicipal que </w:t>
      </w:r>
      <w:r>
        <w:lastRenderedPageBreak/>
        <w:t>legitima la acción de la Comunidad Autónoma: la restauración o recuperación de espacios de singular valor ambiental, lo que —por comparación con el art. 51.3— limita notablemente la indeterminación de los supuestos legitimadores de la intervención autonómica.</w:t>
      </w:r>
    </w:p>
    <w:p w:rsidR="0085709A" w:rsidRDefault="0085709A" w:rsidP="0085709A">
      <w:pPr>
        <w:pStyle w:val="TextoNormal"/>
      </w:pPr>
    </w:p>
    <w:p w:rsidR="0085709A" w:rsidRDefault="0085709A" w:rsidP="0085709A">
      <w:pPr>
        <w:pStyle w:val="TextoNormal"/>
      </w:pPr>
      <w:r>
        <w:t>A diferencia de los proyectos de interés regional a que se refiere el art. 51.3, que tienen por objeto la transformación física del suelo para conseguir determinadas finalidades, en las que el interés supramunicipal que las legitima no puede autorizar su establecimiento con independencia de las previsiones del propio ayuntamiento del municipio en que van a asentarse sobre el modo en que su territorio puede ser transformado, los proyectos de interés regional reconocidos en el art. 51.4 tienen como finalidad la restauración o recuperación de espacios de singular valor ambiental; es por ello condición misma para su efectividad que puedan imponerse a clasificaciones urbanísticas que prevean la transformación del suelo en algún modo incompatible con esos valores ambientales que los planes singulares de interés regional se proponen restaurar o recuperar.</w:t>
      </w:r>
    </w:p>
    <w:p w:rsidR="0085709A" w:rsidRDefault="0085709A" w:rsidP="0085709A">
      <w:pPr>
        <w:pStyle w:val="TextoNormal"/>
      </w:pPr>
    </w:p>
    <w:p w:rsidR="0085709A" w:rsidRDefault="0085709A" w:rsidP="0085709A">
      <w:pPr>
        <w:pStyle w:val="TextoNormal"/>
      </w:pPr>
      <w:r>
        <w:t>b) Impugnan los recurrentes el art. 52 en cuanto que obliga a adaptar el planeamiento urbanístico municipal a los proyectos singulares de interés regional aunque estos no revistan relevancia supramunicipal; este extremo es rechazado por la representación letrada del Gobierno de Cantabria, que defiende la concurrencia de ese interés supramunicipal en los supuestos a los que resulta de aplicación el precepto legal controvertido.</w:t>
      </w:r>
    </w:p>
    <w:p w:rsidR="0085709A" w:rsidRDefault="0085709A" w:rsidP="0085709A">
      <w:pPr>
        <w:pStyle w:val="TextoNormal"/>
      </w:pPr>
    </w:p>
    <w:p w:rsidR="0085709A" w:rsidRDefault="0085709A" w:rsidP="0085709A">
      <w:pPr>
        <w:pStyle w:val="TextoNormal"/>
      </w:pPr>
      <w:r>
        <w:t>De acuerdo con el art. 52 de la Ley del plan de ordenación del litoral, “los municipios deberán recoger las determinaciones de los Planes y Proyectos aprobados en desarrollo de las Actuaciones Integrales Estratégicas en la primera modificación o revisión del planeamiento urbanístico. Si en ese momento se constatara la existencia de terrenos sobrantes, no incluidos en los Planes o Proyectos, se seguirá el procedimiento previsto en el artículo 3 para su adecuada zonificación.” Salvado el principio de jerarquía normativa con la anulación de los incisos del art. 51.3 examinados en el apartado anterior de este mismo fundamento jurídico, no padece la autonomía local por el hecho de que la Ley prevea la adaptación de los instrumentos municipales de planeamiento urbanístico a las determinaciones contenidas en otros planes supraordenados. En el bien entendido que esa obligación de adaptación hace referencia a las determinaciones establecidas por la Comunidad Autónoma en el legítimo ejercicio de sus competencias, sin que la eventualidad de un uso desviado de la norma pueda servir de fundamento para su anulación pues, como dijera la STC 58/1982, de 27 de julio, FJ 2, “la mera posibilidad de un uso torticero de las normas no puede ser nunca en sí misma motivo bastante para declarar la inconstitucionalidad de éstas, pues aunque el Estado de Derecho tiende hacia la sustitución del gobierno de los hombres por el gobierno de las leyes, no hay ningún legislador, por sabio que sea, capaz de producir leyes de las que un gobernante no pueda hacer mal uso” (en idénticos términos, SSTC 132/1989, de 18 de julio, FJ 14; y 40/1998, FJ 21).</w:t>
      </w:r>
    </w:p>
    <w:p w:rsidR="0085709A" w:rsidRDefault="0085709A" w:rsidP="0085709A">
      <w:pPr>
        <w:pStyle w:val="TextoNormal"/>
      </w:pPr>
    </w:p>
    <w:p w:rsidR="0085709A" w:rsidRDefault="0085709A" w:rsidP="0085709A">
      <w:pPr>
        <w:pStyle w:val="TextoNormal"/>
      </w:pPr>
      <w:r>
        <w:t xml:space="preserve">c) Los actores impugnan el art. 53 de la Ley (“Hasta la aprobación de los instrumentos de desarrollo de las Actuaciones Integrales Estratégicas únicamente se permite el mantenimiento de los usos existentes y la implantación de usos compatibles con los objetivos de la actuación, según las determinaciones del Anexo III”) reiterando los argumentos esgrimidos frente a la regulación legal de las actuaciones integrales estratégicas. Además, le reprochan a este precepto legal que genera incertidumbre respecto de las actividades que pueden desarrollarse en las áreas de actuaciones integrales estratégicas. El rechazo de los motivos de </w:t>
      </w:r>
      <w:r>
        <w:lastRenderedPageBreak/>
        <w:t>inconstitucionalidad dirigidos contra la regulación general de las actuaciones integrales estratégicas debe conducir ahora a la desestimación de la impugnación específica de uno de los preceptos legales que integran dicha regulación general. De igual modo, debemos convenir en que la supeditación de la aprobación de nuevas actividades a su compatibilidad con los objetivos de las actuaciones integrales estratégicas, según resultan de las determinaciones contenidas en el anexo III de la propia Ley responde al propósito de salvaguardar la eficacia del planeamiento territorial supramunicipal, sin que la incertidumbre que pueda generarse resulte excesiva o desproporcionada porque impida el conocimiento de la normativa aplicable o haga imprevisible la actuación de los poderes públicos llamados a aplicar la norma (en términos equivalentes a lo que hemos afirmado respecto de las vertientes objetiva y subjetiva del principio de seguridad jurídica proclamado por el art. 9.3 CE; al respecto, por todas, STC 54/2008, de 14 de abril, FJ 4).</w:t>
      </w:r>
    </w:p>
    <w:p w:rsidR="0085709A" w:rsidRDefault="0085709A" w:rsidP="0085709A">
      <w:pPr>
        <w:pStyle w:val="TextoNormal"/>
      </w:pPr>
    </w:p>
    <w:p w:rsidR="0085709A" w:rsidRDefault="0085709A" w:rsidP="0085709A">
      <w:pPr>
        <w:pStyle w:val="TextoNormal"/>
      </w:pPr>
      <w:r>
        <w:t>d) Bajo la rúbrica “Régimen jurídico”, referido al de las actuaciones integrales estratégicas productivas, dispone el art. 54 de la Ley lo siguiente:</w:t>
      </w:r>
    </w:p>
    <w:p w:rsidR="0085709A" w:rsidRDefault="0085709A" w:rsidP="0085709A">
      <w:pPr>
        <w:pStyle w:val="TextoNormal"/>
      </w:pPr>
    </w:p>
    <w:p w:rsidR="0085709A" w:rsidRDefault="0085709A" w:rsidP="0085709A">
      <w:pPr>
        <w:pStyle w:val="TextoNormal"/>
      </w:pPr>
      <w:r>
        <w:t>“El desarrollo de estas Actuaciones Integrales Estratégicas se llevará a cabo a través de uno o varios Proyectos Singulares de Interés Regional, con las siguientes particularidades:</w:t>
      </w:r>
    </w:p>
    <w:p w:rsidR="0085709A" w:rsidRDefault="0085709A" w:rsidP="0085709A">
      <w:pPr>
        <w:pStyle w:val="TextoNormal"/>
      </w:pPr>
    </w:p>
    <w:p w:rsidR="0085709A" w:rsidRDefault="0085709A" w:rsidP="0085709A">
      <w:pPr>
        <w:pStyle w:val="TextoNormal"/>
      </w:pPr>
      <w:r>
        <w:t>a) En los terrenos donde se localicen, y con independencia de su clasificación urbanística, podrán tramitarse Proyectos Singulares de Interés Regional de conformidad con lo establecido en el artículo 29 de la Ley de Cantabria 2/2001, de 25 de junio, y con el contenido regulado en el artículo 27 del mismo texto legal. El Proyecto Singular de Interés Regional incluirá además las infraestructuras de conexión con los Sistemas Generales exteriores a la actuación que resulten necesarias.</w:t>
      </w:r>
    </w:p>
    <w:p w:rsidR="0085709A" w:rsidRDefault="0085709A" w:rsidP="0085709A">
      <w:pPr>
        <w:pStyle w:val="TextoNormal"/>
      </w:pPr>
    </w:p>
    <w:p w:rsidR="0085709A" w:rsidRDefault="0085709A" w:rsidP="0085709A">
      <w:pPr>
        <w:pStyle w:val="TextoNormal"/>
      </w:pPr>
      <w:r>
        <w:t>b) Su delimitación lleva implícita la declaración de interés regional del artículo 28 de la Ley de Cantabria 2/2001, de 25 de junio.”</w:t>
      </w:r>
    </w:p>
    <w:p w:rsidR="0085709A" w:rsidRDefault="0085709A" w:rsidP="0085709A">
      <w:pPr>
        <w:pStyle w:val="TextoNormal"/>
      </w:pPr>
    </w:p>
    <w:p w:rsidR="0085709A" w:rsidRDefault="0085709A" w:rsidP="0085709A">
      <w:pPr>
        <w:pStyle w:val="TextoNormal"/>
      </w:pPr>
      <w:r>
        <w:t>Para los actores “es absolutamente evidente” la necesidad de someter a evaluación de impacto ambiental la transformación del uso del suelo que implica la eliminación de la cubierta vegetal arbustiva en una superficie de más de cien hectáreas. Sostienen, además, que la vulneración de la autonomía municipal “también resulta especialmente clara” en la medida en que el precepto introduce una reserva en favor de la Comunidad Autónoma para actuar sobre los terrenos delimitados como actuación estratégica sin un plazo definido y sin precisar el concreto proyecto de relevancia supramunicipal que ha de llevarse a cabo; además, permite la derogación del plan urbanístico por el proyecto singular de interés regional. En particular, impugnan el inciso “y con independencia de su clasificación urbanística” del art. 54 a), que permite al Gobierno de Cantabria la ubicación de este tipo de proyectos incluso en suelo no urbanizable de especial protección. También impugnan el art. 54 b) puesto que la delimitación lleva implícita la declaración de interés regional, sin necesidad siquiera de que exista un proyecto concreto al que pueda cuadrar esa declaración.</w:t>
      </w:r>
    </w:p>
    <w:p w:rsidR="0085709A" w:rsidRDefault="0085709A" w:rsidP="0085709A">
      <w:pPr>
        <w:pStyle w:val="TextoNormal"/>
      </w:pPr>
    </w:p>
    <w:p w:rsidR="0085709A" w:rsidRDefault="0085709A" w:rsidP="0085709A">
      <w:pPr>
        <w:pStyle w:val="TextoNormal"/>
      </w:pPr>
      <w:r>
        <w:t xml:space="preserve">Para dar adecuada respuesta a la impugnación del art. 54 de la Ley del plan de ordenación del litoral debemos comenzar señalando que toda vez que este precepto dispone que el desarrollo de las actuaciones integrales estratégicas productivas se llevará a cabo mediante la elaboración y aprobación de uno o varios proyectos singulares de interés regional, serán estos proyectos singulares los que habrán de someterse, en su caso, a evaluación ambiental. </w:t>
      </w:r>
      <w:r>
        <w:lastRenderedPageBreak/>
        <w:t>Tanto más cuanto que la exclusión de esta evaluación no figura entre las “particularidades” referenciadas en el propio art. 54 de la Ley recurrida.</w:t>
      </w:r>
    </w:p>
    <w:p w:rsidR="0085709A" w:rsidRDefault="0085709A" w:rsidP="0085709A">
      <w:pPr>
        <w:pStyle w:val="TextoNormal"/>
      </w:pPr>
    </w:p>
    <w:p w:rsidR="0085709A" w:rsidRDefault="0085709A" w:rsidP="0085709A">
      <w:pPr>
        <w:pStyle w:val="TextoNormal"/>
      </w:pPr>
      <w:r>
        <w:t>Tampoco se aprecia vulneración del principio de autonomía local desde el momento en que el ámbito territorial de aplicación del precepto se contrae a las cinco actuaciones integrales estratégicas productivas identificadas en el anexo III de la Ley. Por consiguiente, ha sido el propio legislador quien —actuando como instancia legítimamente competente para la identificación del interés supramunicipal— ha concretado el territorio y las actuaciones a los que se aplicará esta regulación excepcional. Es por ello que no puede prosperar en este caso la impugnación del inciso “y con independencia de su clasificación urbanística”, pues la delimitación de las actuaciones integrales estratégicas productivas conlleva, en coherencia con la virtualidad del principio de jerarquía normativa, que esa clasificación urbanística, contenida por definición en instrumentos de planeamiento urbanístico municipal, haya de ceder ante la decisión adoptada por el Parlamento de Cantabria. Otro tanto sucede con la atribución de interés regional a la delimitación pues es consecuencia lógica del hecho de que esa delimitación la haya llevado a cabo el propio legislador regional.</w:t>
      </w:r>
    </w:p>
    <w:p w:rsidR="0085709A" w:rsidRDefault="0085709A" w:rsidP="0085709A">
      <w:pPr>
        <w:pStyle w:val="TextoNormal"/>
      </w:pPr>
    </w:p>
    <w:p w:rsidR="0085709A" w:rsidRDefault="0085709A" w:rsidP="0085709A">
      <w:pPr>
        <w:pStyle w:val="TextoNormal"/>
      </w:pPr>
      <w:r>
        <w:t>e) El art. 55 de la Ley establece el régimen jurídico de las actuaciones integrales estratégicas de reordenación en los siguientes términos:</w:t>
      </w:r>
    </w:p>
    <w:p w:rsidR="0085709A" w:rsidRDefault="0085709A" w:rsidP="0085709A">
      <w:pPr>
        <w:pStyle w:val="TextoNormal"/>
      </w:pPr>
    </w:p>
    <w:p w:rsidR="0085709A" w:rsidRDefault="0085709A" w:rsidP="0085709A">
      <w:pPr>
        <w:pStyle w:val="TextoNormal"/>
      </w:pPr>
      <w:r>
        <w:t>“1. En los ámbitos delimitados por esta Ley como Actuaciones Integrales Estratégicas de Reordenación podrán aprobarse uno o varios Planes Especiales o bien desarrollarse a través de Proyectos Singulares de Interés Regional con las particularidades establecidas en el artículo 54 de esta Ley.</w:t>
      </w:r>
    </w:p>
    <w:p w:rsidR="0085709A" w:rsidRDefault="0085709A" w:rsidP="0085709A">
      <w:pPr>
        <w:pStyle w:val="TextoNormal"/>
      </w:pPr>
    </w:p>
    <w:p w:rsidR="0085709A" w:rsidRDefault="0085709A" w:rsidP="0085709A">
      <w:pPr>
        <w:pStyle w:val="TextoNormal"/>
      </w:pPr>
      <w:r>
        <w:t>2. Lo establecido en el artículo 53 no será de aplicación a los espacios delimitados gráficamente como Áreas de Reordenación en el Anexo III en los que únicamente se podrán mantener los usos existentes, así como obtener a través de los distintos procedimientos establecidos en la legislación urbanística los suelos destinados a sistemas generales de espacios libres o de equipamientos deportivos descubiertos.”</w:t>
      </w:r>
    </w:p>
    <w:p w:rsidR="0085709A" w:rsidRDefault="0085709A" w:rsidP="0085709A">
      <w:pPr>
        <w:pStyle w:val="TextoNormal"/>
      </w:pPr>
    </w:p>
    <w:p w:rsidR="0085709A" w:rsidRDefault="0085709A" w:rsidP="0085709A">
      <w:pPr>
        <w:pStyle w:val="TextoNormal"/>
      </w:pPr>
      <w:r>
        <w:t>En puridad, se alzan contra este precepto legal los mismos motivos impugnatorios que ya hemos analizado en relación con el art. 54, siendo trasladables a este las conclusiones alcanzadas en el enjuiciamiento de aquel. En primer lugar, porque el art. 55.1 se limita a extender a la elaboración de los proyectos singulares de interés regional o los planes especiales de desarrollo de las actuaciones integrales estratégicas de reordenación las peculiaridades procedimentales del art. 54, entre las que no figura la supresión de la evaluación ambiental. Además, el precepto es de aplicación a las tres actuaciones integrales estratégicas de reordenación que figuran en el anexo III de la Ley, en consonancia con la prevalencia aquí de un interés supramunicipal prevalente.</w:t>
      </w:r>
    </w:p>
    <w:p w:rsidR="0085709A" w:rsidRDefault="0085709A" w:rsidP="0085709A">
      <w:pPr>
        <w:pStyle w:val="TextoNormal"/>
      </w:pPr>
    </w:p>
    <w:p w:rsidR="0085709A" w:rsidRDefault="0085709A" w:rsidP="0085709A">
      <w:pPr>
        <w:pStyle w:val="TextoNormal"/>
      </w:pPr>
      <w:r>
        <w:t>f) El art. 56 de la Ley se refiere a los planes especiales que se aprueben en los ámbitos delimitados como actuaciones integrales estratégicas de reordenación; por su parte, el art. 57 contiene el régimen jurídico de las actuaciones integrales estratégicas ambientales. A ambos imputan los recurrentes la infracción de la autonomía municipal porque no contemplan la intervención de los municipios en la elaboración de unos instrumentos de planeamiento cuya fuerza exorbitante llega al punto de desplazar a los planes generales municipales.</w:t>
      </w:r>
    </w:p>
    <w:p w:rsidR="0085709A" w:rsidRDefault="0085709A" w:rsidP="0085709A">
      <w:pPr>
        <w:pStyle w:val="TextoNormal"/>
      </w:pPr>
    </w:p>
    <w:p w:rsidR="0085709A" w:rsidRDefault="0085709A" w:rsidP="0085709A">
      <w:pPr>
        <w:pStyle w:val="TextoNormal"/>
      </w:pPr>
      <w:r>
        <w:t>Tienen razón los recurrentes al señalar que ni el art. 56.1 ni el art. 57 de la Ley del plan de ordenación del litoral prevén intervención alguna de los municipios en la tramitación de los planes especiales que puedan aprobarse en los ámbitos delimitados como actuaciones integrales estratégicas de reordenación o en las actuaciones integrales estratégicas ambientales. Ahora bien, esta ausencia no puede sorprender en exceso habida cuenta de que el art. 56.1 se refiere al contenido necesario de los planes especiales y el art. 57 al régimen jurídico de las actuaciones integrales estratégicas ambientales.</w:t>
      </w:r>
    </w:p>
    <w:p w:rsidR="0085709A" w:rsidRDefault="0085709A" w:rsidP="0085709A">
      <w:pPr>
        <w:pStyle w:val="TextoNormal"/>
      </w:pPr>
    </w:p>
    <w:p w:rsidR="0085709A" w:rsidRDefault="0085709A" w:rsidP="0085709A">
      <w:pPr>
        <w:pStyle w:val="TextoNormal"/>
      </w:pPr>
      <w:r>
        <w:t>Estamos ante planes especiales de los regulados en los arts. 59.1 y 76.1 de la Ley de ordenación territorial y de régimen urbanístico del suelo de Cantabria. El segundo de dichos preceptos señala que la aprobación de estos planes especiales corresponde al Gobierno autonómico, “siguiendo el procedimiento previsto para la aprobación de las Normas Urbanísticas Regionales en el artículo 23 de esta Ley”. Pues bien, en el apartado b) de ese art. 23, rubricado “Elaboración y aprobación”, se establece que, una vez redactadas las normas urbanísticas regionales por la Consejería competente, “serán trasladadas a la Comisión Regional de Urbanismo que las aprobará inicialmente y las someterá a información pública por un plazo no inferior a dos meses. Al mismo tiempo, la Comisión comunicará expresamente y dará audiencia singularizada a … los Ayuntamientos interesados”. De modo que la lectura integrada de todas las disposiciones legales que disciplinan el procedimiento de elaboración de los planes especiales a los que se refiere el art. 56.1 de la Ley del plan de ordenación del litoral pone de relieve que el legislador autonómico no ha prescindido de la participación municipal en un asunto de su competencia, como es la elaboración de instrumentos de planeamiento cuya incidencia sobre el planeamiento urbanístico municipal es obvia. Consecuentemente, no puede apreciarse infracción de la autonomía local constitucionalmente reconocida al ignorar por entero la competencia que en la materia ostentan estos entes locales, lo que determina la desestimación de este motivo del recurso.</w:t>
      </w:r>
    </w:p>
    <w:p w:rsidR="0085709A" w:rsidRDefault="0085709A" w:rsidP="0085709A">
      <w:pPr>
        <w:pStyle w:val="TextoNormal"/>
      </w:pPr>
    </w:p>
    <w:p w:rsidR="0085709A" w:rsidRDefault="0085709A" w:rsidP="0085709A">
      <w:pPr>
        <w:pStyle w:val="TextoNormal"/>
      </w:pPr>
      <w:r>
        <w:t>Tampoco se aprecia tacha alguna de inconstitucionalidad en el art. 56.2, habida cuenta del protagonismo que en este precepto se reconoce a los planificadores urbanísticos municipales en la determinación de la incidencia que los planes especiales puedan tener sobre los instrumentos de planeamiento urbano.</w:t>
      </w:r>
    </w:p>
    <w:p w:rsidR="0085709A" w:rsidRDefault="0085709A" w:rsidP="0085709A">
      <w:pPr>
        <w:pStyle w:val="TextoNormal"/>
      </w:pPr>
    </w:p>
    <w:p w:rsidR="0085709A" w:rsidRDefault="0085709A" w:rsidP="0085709A">
      <w:pPr>
        <w:pStyle w:val="TextoNormal"/>
      </w:pPr>
      <w:r w:rsidRPr="0085709A">
        <w:rPr>
          <w:rStyle w:val="NumeroAFNegritaCaracter"/>
        </w:rPr>
        <w:t>19</w:t>
      </w:r>
      <w:r>
        <w:t>. Del art. 60.2 se impugna el inciso “debiendo destinar, aquellos de más de 5.000 habitantes, al menos la quinta parte de la cantidad a que se refiere el artículo 231 de la Ley de Cantabria 2/2001 para la adquisición de ese suelo litoral”. Con invocación de la STC 109/1998, de 21 de mayo, los recurrentes denuncian que esta previsión es contraria a la autonomía municipal en su vertiente financiera en la medida en que impone una obligación cuyo cumplimiento condicionará seriamente los presupuestos municipales. Para los recurrentes, el precepto incurre en arbitrariedad porque no existe una correlación entre superficie litoral y presupuesto de ingresos municipales, pudiendo darse el caso de municipios con gran población y elevados ingresos pero sin terrenos litorales, como sucede en Torrelavega.</w:t>
      </w:r>
    </w:p>
    <w:p w:rsidR="0085709A" w:rsidRDefault="0085709A" w:rsidP="0085709A">
      <w:pPr>
        <w:pStyle w:val="TextoNormal"/>
      </w:pPr>
    </w:p>
    <w:p w:rsidR="0085709A" w:rsidRDefault="0085709A" w:rsidP="0085709A">
      <w:pPr>
        <w:pStyle w:val="TextoNormal"/>
      </w:pPr>
      <w:r>
        <w:t xml:space="preserve">La representación procesal del Gobierno de Cantabria defiende la constitucionalidad del precepto legal sobre la base de que éste se limita a precisar los fines a los que debe destinarse una parte del patrimonio municipal del suelo y lo hace respetando las atribuciones municipales que configuran el núcleo básico de la autonomía local. Se han precisado las técnicas </w:t>
      </w:r>
      <w:r>
        <w:lastRenderedPageBreak/>
        <w:t>de adquisición del suelo, ya previstas en la Ley 2/2001, para integrar el denominado “patrimonio público litoral”, mediante el normal cumplimiento de los deberes urbanísticos o mediante su adquisición directa aplicando las cantidades reservadas en virtud del art. 60.2 de la Ley recurrida y que sólo son exigibles a los ayuntamientos que tienen la obligación de constituir un patrimonio municipal del suelo de acuerdo con el art. 229 de la Ley de ordenación territorial de Cantabria. Esta cantidad ha de detraerse de aquella otra que dichos ayuntamientos vienen obligados a consignar por imperativo del art. 231 de la Ley 2/2001. De modo que la Ley 2/2004 precisa una obligación que ya se había establecido tres años antes. En opinión de la Letrada autonómica, el precepto tampoco vulneraría la autonomía presupuestaria de los entes locales pues se limitaría a especificar que del total del montante destinado para cumplir la obligación de constituir un patrimonio municipal del suelo, para el que se reserva el 10 por 100 del presupuesto, una quinta parte ha de dirigirse a la adquisición de patrimonio litoral al servicio de todos los ciudadanos, lo que no supone una predeterminación de la cantidad que efectivamente haya de destinarse a la adquisición de este patrimonio público litoral.</w:t>
      </w:r>
    </w:p>
    <w:p w:rsidR="0085709A" w:rsidRDefault="0085709A" w:rsidP="0085709A">
      <w:pPr>
        <w:pStyle w:val="TextoNormal"/>
      </w:pPr>
    </w:p>
    <w:p w:rsidR="0085709A" w:rsidRDefault="0085709A" w:rsidP="0085709A">
      <w:pPr>
        <w:pStyle w:val="TextoNormal"/>
      </w:pPr>
      <w:r>
        <w:t>La impugnación debe ser desestimada. El art. 60.2 de la Ley del plan de ordenación del litoral se refiere específicamente a una categoría de los bienes que integran los patrimonios municipales del suelo en los municipios costeros de Cantabria, lo que, conforme con la doctrina sentada en la STC 61/1997, FJ 36, se inserta sin violencia en las competencias autonómicas en la materia.</w:t>
      </w:r>
    </w:p>
    <w:p w:rsidR="0085709A" w:rsidRDefault="0085709A" w:rsidP="0085709A">
      <w:pPr>
        <w:pStyle w:val="TextoNormal"/>
      </w:pPr>
    </w:p>
    <w:p w:rsidR="0085709A" w:rsidRDefault="0085709A" w:rsidP="0085709A">
      <w:pPr>
        <w:pStyle w:val="TextoNormal"/>
      </w:pPr>
      <w:r>
        <w:t>Invocan los recurrentes, en defensa de su pretensión anulatoria, la doctrina sentada en la STC 109/1998, FJ 10, acerca de la autonomía financiera de las haciendas locales en su vertiente de gasto público, entendida, según se definió entonces como “la capacidad genérica de determinar y ordenar, bajo la propia responsabilidad, los gastos necesarios para el ejercicio de las competencias conferidas”. En esa misma resolución y lugar se recuerda cómo “en la STC 237/1992 se profundizó en el alcance de la autonomía de gasto de las Corporaciones locales, considerando aplicable en lo esencial la doctrina inicialmente vertida en torno a las Comunidades Autónomas, según la cual la misma entraña, en línea de principio, la plena disponibilidad de sus ingresos, sin condicionamientos indebidos y en toda su extensión, para poder ejercer las competencias propias; pero ello en el bien entendido de que ‘esa libertad para establecer el plan de ingresos y gastos, en definitiva el presupuesto, no se establece constitucionalmente con carácter absoluto’ (fundamento jurídico 6).” Pues bien, no se acierta a comprender el sentido de la invocación siendo así que, en rigor, el precepto no crea la obligación de constituir estos patrimonios municipales —cuyo establecimiento ha de buscarse en otras normas— sino que se limita a especificar que al menos una quinta parte de estos patrimonios especiales habrá de estar constituida por “suelo litoral” sujeto a un régimen de protección o por el que discurra la senda litoral supramunicipal.</w:t>
      </w:r>
    </w:p>
    <w:p w:rsidR="0085709A" w:rsidRDefault="0085709A" w:rsidP="0085709A">
      <w:pPr>
        <w:pStyle w:val="TextoNormal"/>
      </w:pPr>
    </w:p>
    <w:p w:rsidR="0085709A" w:rsidRDefault="0085709A" w:rsidP="0085709A">
      <w:pPr>
        <w:pStyle w:val="TextoNormal"/>
      </w:pPr>
      <w:r>
        <w:t xml:space="preserve">Ciertamente, el precepto restringe en cierta medida la libertad que el art. 233 de la Ley de ordenación territorial y régimen urbanístico de Cantabria reconoce a los ayuntamientos para elegir el destino de los fondos integrantes del patrimonio municipal, al imponerles una finalidad específica, la de constituir un patrimonio público litoral, dedicando a ello precisamente la quinta parte de la cantidad que debería ir asignada a aquellas finalidades. Sin embargo esta obligación no puede considerarse desproporcionada, habida cuenta que la constitución del patrimonio público litoral responde también a una finalidad de evidente interés social y que los fondos que se destinan a su formación, si bien se obtienen de los que con </w:t>
      </w:r>
      <w:r>
        <w:lastRenderedPageBreak/>
        <w:t>carácter general han de aplicarse a los fines previstos en el citado art. 233, se detraen de aquellos en un porcentaje que no puede decirse reduzca seriamente las posibilidades de actuación de los ayuntamientos en ese campo.</w:t>
      </w:r>
    </w:p>
    <w:p w:rsidR="0085709A" w:rsidRDefault="0085709A" w:rsidP="0085709A">
      <w:pPr>
        <w:pStyle w:val="TextoNormal"/>
      </w:pPr>
    </w:p>
    <w:p w:rsidR="0085709A" w:rsidRDefault="0085709A" w:rsidP="0085709A">
      <w:pPr>
        <w:pStyle w:val="TextoNormal"/>
      </w:pPr>
      <w:r>
        <w:t>Para concluir, resulta obvio que la posibilidad de adquirir estos suelos dependerá de su existencia misma en el término municipal, pues de otro modo resultará sencillamente irrealizable por imposibilidad material.</w:t>
      </w:r>
    </w:p>
    <w:p w:rsidR="0085709A" w:rsidRDefault="0085709A" w:rsidP="0085709A">
      <w:pPr>
        <w:pStyle w:val="TextoNormal"/>
      </w:pPr>
    </w:p>
    <w:p w:rsidR="0085709A" w:rsidRDefault="0085709A" w:rsidP="0085709A">
      <w:pPr>
        <w:pStyle w:val="TextoNormal"/>
      </w:pPr>
      <w:r w:rsidRPr="0085709A">
        <w:rPr>
          <w:rStyle w:val="NumeroAFNegritaCaracter"/>
        </w:rPr>
        <w:t>20</w:t>
      </w:r>
      <w:r>
        <w:t>. En materia sancionadora se impugnan el art. 65 y el apartado segundo de la disposición transitoria octava. Conforme al primero de estos preceptos, “la competencia para la inspección y sanción de las infracciones que se cometan en el Área de protección corresponderá a la Administración que, de conformidad con lo establecido en el artículo 27 de esta Ley, sea competente para otorgar la autorización a que se refiere dicho precepto”. De acuerdo con el apartado segundo de la disposición transitoria octava, “en los municipios con planes no adaptados a la presente Ley, la competencia a la que se refiere el artículo 65 para la inspección y sanción de las infracciones que se cometan en el Área de Protección corresponderá en todo caso a la Administración autonómica”.</w:t>
      </w:r>
    </w:p>
    <w:p w:rsidR="0085709A" w:rsidRDefault="0085709A" w:rsidP="0085709A">
      <w:pPr>
        <w:pStyle w:val="TextoNormal"/>
      </w:pPr>
    </w:p>
    <w:p w:rsidR="0085709A" w:rsidRDefault="0085709A" w:rsidP="0085709A">
      <w:pPr>
        <w:pStyle w:val="TextoNormal"/>
      </w:pPr>
      <w:r>
        <w:t>Los actores impugnan el art. 65 por vulneración de la autonomía municipal en cuanto que atribuye el ejercicio de la potestad sancionadora a la Administración autonómica incluso en los supuestos en los que el ilícito consista en la falta de licencia municipal o en la inobservancia de cualquier requisito establecido por el municipio, y el apartado segundo de la disposición transitoria octava porque la atribución a la Administración autonómica de la competencia para sancionar cualquier infracción cometida en el área afectada por el plan de ordenación del litoral sería contraria a la autonomía municipal. La representación letrada del Gobierno de Cantabria defiende la constitucionalidad de estas previsiones legales porque versan sobre aspectos supramunicipales, si bien es cierto que cuando se trate de suelo clasificado ya adaptado a las previsiones de la Ley 2/2004, el ejercicio de la potestad sancionadora corresponde a los entes locales.</w:t>
      </w:r>
    </w:p>
    <w:p w:rsidR="0085709A" w:rsidRDefault="0085709A" w:rsidP="0085709A">
      <w:pPr>
        <w:pStyle w:val="TextoNormal"/>
      </w:pPr>
    </w:p>
    <w:p w:rsidR="0085709A" w:rsidRDefault="0085709A" w:rsidP="0085709A">
      <w:pPr>
        <w:pStyle w:val="TextoNormal"/>
      </w:pPr>
      <w:r>
        <w:t xml:space="preserve">Antes de dar respuesta al núcleo de la impugnación del art. 65 y el apartado segundo de la disposición transitoria octava de la Ley autonómica recurrida interesa señalar que lo establecido en el primero de estos preceptos ha de integrarse con el art. 27, al que expresamente remite. El art. 27 regula el procedimiento para los usos autorizables en el área de protección, y lo hace remitiéndose, a su vez, a las reglas contenidas en el art. 116 de la Ley de ordenación territorial y de régimen urbanístico del suelo de Cantabria, referido al “procedimiento para autorizar construcciones en suelo rústico”. De modo que tanto el art. 27 de la Ley del plan de ordenación del litoral como el art. 116 de la Ley de ordenación territorial y de régimen urbanístico del suelo de Cantabria tienen como supuesto de hecho la realización de usos del suelo en terrenos rústicos o no urbanizables, donde se produce un entrecruzamiento, en el mejor de los casos, de intereses municipales y supramunicipales que explica la intervención de las instancias autonómicas y locales en los procedimientos de otorgamiento —en su caso, denegación— de las correspondientes autorizaciones. Esa misma concatenación de intereses municipales y supramunicipales se da en el área de protección y explica la regulación que de los procedimientos autorizatorios que incidan sobre ella se contiene en el art. 27 de la Ley del plan de ordenación del litoral —cuyo apartado 1 b) hemos acomodado a las exigencias del bloque de constitucionalidad mediante una interpretación </w:t>
      </w:r>
      <w:r>
        <w:lastRenderedPageBreak/>
        <w:t>conforme llevada a la parte dispositiva de esta resolución— como también explica la remisión al régimen de autorizaciones de usos del suelo en terrenos que estén clasificados como rústicos.</w:t>
      </w:r>
    </w:p>
    <w:p w:rsidR="0085709A" w:rsidRDefault="0085709A" w:rsidP="0085709A">
      <w:pPr>
        <w:pStyle w:val="TextoNormal"/>
      </w:pPr>
    </w:p>
    <w:p w:rsidR="0085709A" w:rsidRDefault="0085709A" w:rsidP="0085709A">
      <w:pPr>
        <w:pStyle w:val="TextoNormal"/>
      </w:pPr>
      <w:r>
        <w:t>Dicho esto, podemos descartar que concurra en el art. 65 de la Ley del plan de ordenación del litoral el vicio de inconstitucionalidad que le achacan los recurrentes. En rigor, estos denuncian la quiebra de la relación de instrumentalidad que la potestad sancionadora ha de guardar con la potestad sustantiva a la que acompaña (por todas, y desde la perspectiva competencial, STC 34/2013, de 14 de febrero, FJ 20, y las resoluciones allí mencionadas). Ahora bien, esa ruptura no es tal desde el instante que se atribuye el ejercicio de la potestad sancionadora a quien ostenta la potestad de autorización de los usos del suelo; dicho de otro modo, se atribuye el ejercicio del poder de represión a quien es competente para comprobar la conformidad de esos usos con el planeamiento que rige el área de protección, apoderándose así a la Administración competente con todos los instrumentos necesarios para que desempeñe su función de garantía de los valores que concurren en el área de protección y que justifica el establecimiento de un régimen jurídico específico para la misma. No hay, por consiguiente, vaciamiento alguno de las competencias municipales en la materia, pues cuando corresponda al municipio el otorgamiento de la autorización administrativa, esto es, cuando ostente la condición de Administración de control, intervendrá también como Administración titular de la potestad sancionadora. Lo que determina la desestimación de este motivo del recurso.</w:t>
      </w:r>
    </w:p>
    <w:p w:rsidR="0085709A" w:rsidRDefault="0085709A" w:rsidP="0085709A">
      <w:pPr>
        <w:pStyle w:val="TextoNormal"/>
      </w:pPr>
    </w:p>
    <w:p w:rsidR="0085709A" w:rsidRDefault="0085709A" w:rsidP="0085709A">
      <w:pPr>
        <w:pStyle w:val="TextoNormal"/>
      </w:pPr>
      <w:r>
        <w:t>La disposición transitoria octava consta de dos apartados. El primero de ellos establece que “los procedimientos sancionadores iniciados con anterioridad a la entrada en vigor de esta Ley, de conformidad con las determinaciones del Decreto 60/1993, de 24 de agosto, por el que se regulan las autorizaciones de uso en la zona de servidumbre de protección del dominio público marítimo-terrestre y el procedimiento sancionador, seguirán tramitándose conforme al mismo” y el segundo precisa que “en los municipios con planes no adaptados a la presente Ley, la competencia a la que se refiere el artículo 65 para la inspección y sanción de las infracciones que se cometan en el Área de Protección corresponderá en todo caso a la Administración autonómica.”</w:t>
      </w:r>
    </w:p>
    <w:p w:rsidR="0085709A" w:rsidRDefault="0085709A" w:rsidP="0085709A">
      <w:pPr>
        <w:pStyle w:val="TextoNormal"/>
      </w:pPr>
    </w:p>
    <w:p w:rsidR="0085709A" w:rsidRDefault="0085709A" w:rsidP="0085709A">
      <w:pPr>
        <w:pStyle w:val="TextoNormal"/>
      </w:pPr>
      <w:r>
        <w:t xml:space="preserve">Como puede observarse, la previsión del apartado segundo de esta disposición transitoria traslada, en todo caso, a la Administración autonómica el ejercicio de la potestad sancionadora respecto de las infracciones que se cometan en terrenos del área de protección ubicados en municipios cuyo planeamiento no se haya adaptado a la Ley del plan de ordenación del litoral. De modo que la efectividad de esta previsión está sujeta a la condición resolutoria consistente en la efectiva adaptación del planeamiento urbanístico municipal a la Ley recurrida, momento a partir del cual se reintegrará al municipio en el disfrute pleno de sus potestades sancionadoras. Estamos, por consiguiente, ante una medida de indudable carácter transitorio pero de discutible naturaleza cautelar. En efecto, según constante doctrina de la Sala de lo Contencioso-Administrativo del Tribunal Supremo, con la posibilidad —reconocida a los órganos competentes para la aprobación inicial de los instrumentos de planeamiento— de suspender la tramitación de otros planes y el otorgamiento de nuevas licencias y autorizaciones de actos que impliquen usos del suelo, se trata de evitar la realización de obras o la aprobación de reglas de ordenación urbanística del suelo que puedan resultar contrarias o incompatibles con el nuevo planeamiento proyectado. En particular, se intenta </w:t>
      </w:r>
      <w:r>
        <w:lastRenderedPageBreak/>
        <w:t>lograr la efectiva satisfacción de los intereses generales implicados en la actividad administrativa de ordenación urbanística del territorio, intereses cuyo logro podría frustrarse si se llevasen a cabo obras y actividades contrarias o incompatibles con el ya inminente nuevo planeamiento.</w:t>
      </w:r>
    </w:p>
    <w:p w:rsidR="0085709A" w:rsidRDefault="0085709A" w:rsidP="0085709A">
      <w:pPr>
        <w:pStyle w:val="TextoNormal"/>
      </w:pPr>
    </w:p>
    <w:p w:rsidR="0085709A" w:rsidRDefault="0085709A" w:rsidP="0085709A">
      <w:pPr>
        <w:pStyle w:val="TextoNormal"/>
      </w:pPr>
      <w:r>
        <w:t>Sentado esto, no se acierta a ver qué riesgo para la adaptación del planeamiento urbanístico municipal a la Ley del plan de ordenación del litoral se trata de precaver con la regla contenida en el apartado segundo de la disposición transitoria octava de la Ley recurrida. El precepto traslada por entero al ámbito autonómico el ejercicio de la potestad sancionadora cuando se trate de infracciones cometidas en zonas del área de protección ubicadas en municipios con planes no adaptados a la Ley. De suerte que los municipios quedan enteramente desapoderados para ejercer las potestades que, en materia de disciplina urbanística les reconoce la legislación urbanística general, hasta tanto no lleven a cabo la adaptación de sus instrumentos de planeamiento a las disposiciones de la Ley del plan de ordenación del litoral. Dicho de otro modo, el precepto contiene un acicate —o un castigo, si se contempla desde su envés— para que los municipios actúen con presteza y diligencia en la adaptación de su planeamiento a la Ley del plan de ordenación del litoral, pues solo a la conclusión de ese proceso se producirá la reversión íntegra de la potestad sancionadora de la que quedan temporalmente —bien que sin identificación precisa de un término— privados. Con independencia de la efectividad que una previsión de este tipo pueda tener en la consecución del objetivo perseguido (la adaptación del planeamiento municipal a la nueva Ley), lo cierto es que con ella no se evita la aparición de ningún riesgo para la efectividad de las determinaciones de la Ley y representa una privación absoluta del ejercicio de una potestad que la legislación urbanística reconoce a los municipios sin que, por las razones que se acaban de exponer, concurra un interés supramunicipal que lo justifique, por lo que debe declararse su inconstitucionalidad y nulidad.</w:t>
      </w:r>
    </w:p>
    <w:p w:rsidR="0085709A" w:rsidRDefault="0085709A" w:rsidP="0085709A">
      <w:pPr>
        <w:pStyle w:val="TextoNormal"/>
      </w:pPr>
    </w:p>
    <w:p w:rsidR="0085709A" w:rsidRDefault="0085709A" w:rsidP="0085709A">
      <w:pPr>
        <w:pStyle w:val="TextoNormal"/>
      </w:pPr>
      <w:r w:rsidRPr="0085709A">
        <w:rPr>
          <w:rStyle w:val="NumeroAFNegritaCaracter"/>
        </w:rPr>
        <w:t>21</w:t>
      </w:r>
      <w:r>
        <w:t>. A la disposición adicional cuarta, que modifica el art. 26 de la Ley de ordenación territorial y de régimen urbanístico del suelo de Cantabria, relativo a los proyectos singulares de interés regional, se le reprocha arbitrariedad y vulneración de la autonomía municipal. Respecto de lo primero, apuntan los recurrentes que se aprovecha la oportunidad para, a través de la reforma de la Ley 2/2001, ampliar el ámbito de aplicación de una figura originariamente diseñada sólo para los 37 municipios litorales. Se da, además, la paradoja de que el propio texto legal reformado era el que establecía el ámbito de aplicación y el procedimiento de elaboración de la Ley del plan de ordenación del litoral que ahora la reforma. Con relación a lo segundo, se impone a los municipios un instrumento de planeamiento en cuya formulación no han intervenido, previéndose expresamente que incida sobre aspectos tan conectados con el interés municipal como la determinación de “viviendas sometidas a algún régimen de protección pública”; los recurrentes no discuten la referencia a las “instalaciones industriales”, siempre que quede vinculada al asentamiento en más de un término municipal o que trasciendan este marco por su incidencia económica, magnitud u otras características singulares.</w:t>
      </w:r>
    </w:p>
    <w:p w:rsidR="0085709A" w:rsidRDefault="0085709A" w:rsidP="0085709A">
      <w:pPr>
        <w:pStyle w:val="TextoNormal"/>
      </w:pPr>
    </w:p>
    <w:p w:rsidR="0085709A" w:rsidRDefault="0085709A" w:rsidP="0085709A">
      <w:pPr>
        <w:pStyle w:val="TextoNormal"/>
      </w:pPr>
      <w:r>
        <w:t xml:space="preserve">Por su parte, la representación letrada del Gobierno autonómico defiende la idoneidad de la Ley del plan de ordenación del litoral para modificar la redacción de un precepto de la Ley de ordenación territorial y de régimen urbanístico del suelo de Cantabria pues además de que aquella es una norma general de origen parlamentario, no guarda con esta una relación de subordinación jerárquica. En cuanto a la denuncia de infracción de la autonomía </w:t>
      </w:r>
      <w:r>
        <w:lastRenderedPageBreak/>
        <w:t>local por incluir como objeto de los proyectos singulares la “implantación de viviendas sometidas a algún régimen de protección pública” y extender su ámbito de aplicación al suelo urbano, la Letrada autonómica hace hincapié en que la disposición controvertida se ha dictado en ejercicio de la competencia exclusiva autonómica sobre vivienda y con ella se trata hacer efectivo el derecho a una vivienda digna y la lucha contra la especulación, por lo que existe una clara conexión entre la modificación de la regulación de las actuaciones industriales y el interés supramunicipal, sin perjuicio del eventual control jurisdiccional de aquellas actuaciones. Declara finalmente, con respecto al desarrollo de proyectos singulares en suelo urbano, que no puede compartirse la consideración de esta clase de suelo como inmune a la intervención autonómica.</w:t>
      </w:r>
    </w:p>
    <w:p w:rsidR="0085709A" w:rsidRDefault="0085709A" w:rsidP="0085709A">
      <w:pPr>
        <w:pStyle w:val="TextoNormal"/>
      </w:pPr>
    </w:p>
    <w:p w:rsidR="0085709A" w:rsidRDefault="0085709A" w:rsidP="0085709A">
      <w:pPr>
        <w:pStyle w:val="TextoNormal"/>
      </w:pPr>
      <w:r>
        <w:t>Antes de dar respuesta a la impugnación de la modificación del art. 26 de la Ley de ordenación territorial y régimen urbanístico del suelo de Cantabria llevada a cabo por la disposición adicional cuarta de la Ley del plan de ordenación del litoral, debemos señalar que este artículo de la Ley territorial 2/2001 ha sido objeto de posteriores reformas que, en todo caso, no han incidido significativamente en los extremos controvertidos en este proceso constitucional.</w:t>
      </w:r>
    </w:p>
    <w:p w:rsidR="0085709A" w:rsidRDefault="0085709A" w:rsidP="0085709A">
      <w:pPr>
        <w:pStyle w:val="TextoNormal"/>
      </w:pPr>
    </w:p>
    <w:p w:rsidR="0085709A" w:rsidRDefault="0085709A" w:rsidP="0085709A">
      <w:pPr>
        <w:pStyle w:val="TextoNormal"/>
      </w:pPr>
      <w:r>
        <w:t>Al respecto, debemos descartar, en primer lugar, que del hecho de que la Ley del Parlamento de Cantabria 2/2004 tenga por objeto específico la aprobación del plan de ordenación del litoral no se sigue que no pueda regular ninguna otra materia sobre la que ostente competencias el legislador autonómico. Estamos ante una norma legal que ha sido aprobada tras seguirse la pertinente tramitación parlamentaria y que, como bien ha puesto de relieve la representación letrada del Gobierno de Cantabria, no se encuentra jerárquicamente subordinada a la Ley 2/2001, cuyo contenido puede ser modificado por la Ley del plan de ordenación del litoral ahora controvertida.</w:t>
      </w:r>
    </w:p>
    <w:p w:rsidR="0085709A" w:rsidRDefault="0085709A" w:rsidP="0085709A">
      <w:pPr>
        <w:pStyle w:val="TextoNormal"/>
      </w:pPr>
    </w:p>
    <w:p w:rsidR="0085709A" w:rsidRDefault="0085709A" w:rsidP="0085709A">
      <w:pPr>
        <w:pStyle w:val="TextoNormal"/>
      </w:pPr>
      <w:r>
        <w:t>Tampoco puede reprocharse a la reforma en cuestión que incorpore los proyectos singulares de interés regional a la panoplia de instrumentos de ordenación territorial disponibles en toda la Comunidad Autónoma de Cantabria. En particular, porque ni la figura es de suyo contraria al bloque de constitucionalidad, ni —supuesto que ello fuera de suyo causa de nulidad— su regulación legal —ahora contenida en el art. 26 de la Ley de ordenación territorial y régimen urbanístico del suelo de Cantabria— queda insoslayablemente ceñida al territorio de los 37 municipios costeros afectados por el plan de ordenación del litoral.</w:t>
      </w:r>
    </w:p>
    <w:p w:rsidR="0085709A" w:rsidRDefault="0085709A" w:rsidP="0085709A">
      <w:pPr>
        <w:pStyle w:val="TextoNormal"/>
      </w:pPr>
    </w:p>
    <w:p w:rsidR="0085709A" w:rsidRDefault="0085709A" w:rsidP="0085709A">
      <w:pPr>
        <w:pStyle w:val="TextoNormal"/>
      </w:pPr>
      <w:r>
        <w:t>En cuanto al procedimiento de elaboración y aprobación de los proyectos singulares de interés regional, debemos llamar la atención sobre el hecho de que el precepto que se recurre se limita a indicar en el inciso final de su apartado segundo que “podrán promoverse y desarrollarse por la iniciativa pública o privada”, sin que de esta afirmación pueda inferirse la exclusión de toda participación municipal en el proceso de aprobación de los concretos proyectos singulares de interés regional, toda vez que el procedimiento para su aprobación se regula en el art. 29 de dicha Ley, en cuyo apartado 3 se prevé la audiencia de los municipios afectados, tras la aprobación inicial del proyecto.</w:t>
      </w:r>
    </w:p>
    <w:p w:rsidR="0085709A" w:rsidRDefault="0085709A" w:rsidP="0085709A">
      <w:pPr>
        <w:pStyle w:val="TextoNormal"/>
      </w:pPr>
    </w:p>
    <w:p w:rsidR="0085709A" w:rsidRDefault="0085709A" w:rsidP="0085709A">
      <w:pPr>
        <w:pStyle w:val="TextoNormal"/>
      </w:pPr>
      <w:r>
        <w:t xml:space="preserve">Finalmente, la utilización de este instrumento de ordenación territorial para la “implantación de viviendas sometidas a algún régimen de protección pública” responde a un legítimo interés supramunicipal. Debemos remitirnos en este punto a lo señalado en el fundamento jurídico 16 b), con cita de la STC 207/1999, respecto del contenido de la competencia </w:t>
      </w:r>
      <w:r>
        <w:lastRenderedPageBreak/>
        <w:t>autonómica en materia de vivienda. Interés que también concurre en la posibilidad de ubicar esas viviendas en suelo urbano pues, como bien ha apuntado la representación letrada del Gobierno de Cantabria, esta categoría de suelo no puede constituir un límite al ejercicio de las competencias autonómicas, en especial cuando por la propia naturaleza y contenido de estas deban incidir sobre el mismo.</w:t>
      </w:r>
    </w:p>
    <w:p w:rsidR="0085709A" w:rsidRDefault="0085709A" w:rsidP="0085709A">
      <w:pPr>
        <w:pStyle w:val="TextoNormal"/>
      </w:pPr>
    </w:p>
    <w:p w:rsidR="0085709A" w:rsidRDefault="0085709A" w:rsidP="0085709A">
      <w:pPr>
        <w:pStyle w:val="TextoNormal"/>
      </w:pPr>
      <w:r>
        <w:t>Todo lo expuesto conduce a la desestimación del recurso en este punto.</w:t>
      </w:r>
    </w:p>
    <w:p w:rsidR="0085709A" w:rsidRDefault="0085709A" w:rsidP="0085709A">
      <w:pPr>
        <w:pStyle w:val="TextoNormal"/>
      </w:pPr>
    </w:p>
    <w:p w:rsidR="0085709A" w:rsidRDefault="0085709A" w:rsidP="0085709A">
      <w:pPr>
        <w:pStyle w:val="TextoNormal"/>
      </w:pPr>
      <w:r w:rsidRPr="0085709A">
        <w:rPr>
          <w:rStyle w:val="NumeroAFNegritaCaracter"/>
        </w:rPr>
        <w:t>22</w:t>
      </w:r>
      <w:r>
        <w:t>. Constatada al comienzo de los fundamentos jurídicos de esta resolución la pérdida sobrevenida de objeto del presente recurso de inconstitucionalidad en cuanto se controvertía la disposición transitoria cuarta de la Ley territorial, debemos pasar inmediatamente al análisis de sus disposiciones transitorias tercera y quinta que imponen determinadas limitaciones a la potestad de planeamiento municipal de los ayuntamientos que no hayan procedido a la adaptación de sus instrumentos de planeamiento a la Ley de ordenación territorial y régimen urbanístico del suelo de Cantabria y a la Ley del plan de ordenación del litoral.</w:t>
      </w:r>
    </w:p>
    <w:p w:rsidR="0085709A" w:rsidRDefault="0085709A" w:rsidP="0085709A">
      <w:pPr>
        <w:pStyle w:val="TextoNormal"/>
      </w:pPr>
    </w:p>
    <w:p w:rsidR="0085709A" w:rsidRDefault="0085709A" w:rsidP="0085709A">
      <w:pPr>
        <w:pStyle w:val="TextoNormal"/>
      </w:pPr>
      <w:r>
        <w:t>Para los recurrentes la disposición transitoria tercera, que, en su aplicación práctica, en combinación con la disposición transitoria cuarta, entonces vigente, a la que se remitía, impide modificaciones puntuales de los instrumentos de planeamiento no adaptados que supongan cambios en la clasificación del suelo para destinarlo a la construcción de viviendas, a no ser que su mayoría esté sometida a algún régimen de protección pública, lesiona el principio de autonomía municipal, pues no se entiende la razón por la que pueden aprobarse modificaciones puntuales de los instrumentos de ordenación que dediquen la mayor parte del suelo urbanizable a la construcción de viviendas sometidas a algún régimen de protección pública y no, en caso contrario.</w:t>
      </w:r>
    </w:p>
    <w:p w:rsidR="0085709A" w:rsidRDefault="0085709A" w:rsidP="0085709A">
      <w:pPr>
        <w:pStyle w:val="TextoNormal"/>
      </w:pPr>
    </w:p>
    <w:p w:rsidR="0085709A" w:rsidRDefault="0085709A" w:rsidP="0085709A">
      <w:pPr>
        <w:pStyle w:val="TextoNormal"/>
      </w:pPr>
      <w:r>
        <w:t>La presente impugnación no puede prosperar. Los recurrentes la apoyan en la previa declaración de inconstitucionalidad de los artículos 45.5 y 47.3 de la Ley. Sin embargo, si hemos declarado ajustadas a la Constitución las prescripciones contenidas en dichos preceptos relativas a la obligación de destinar una parte del suelo urbanizable a la construcción de viviendas sujetas a algún régimen de protección, en los porcentajes que en esos preceptos se establecen, la disposición transitoria tercera se entiende como una medida indispensable para asegurar que esas previsiones no se frustren si los ayuntamientos no proceden a la necesaria adaptación de los instrumentos de planeamiento.</w:t>
      </w:r>
    </w:p>
    <w:p w:rsidR="0085709A" w:rsidRDefault="0085709A" w:rsidP="0085709A">
      <w:pPr>
        <w:pStyle w:val="TextoNormal"/>
      </w:pPr>
    </w:p>
    <w:p w:rsidR="0085709A" w:rsidRDefault="0085709A" w:rsidP="0085709A">
      <w:pPr>
        <w:pStyle w:val="TextoNormal"/>
      </w:pPr>
      <w:r>
        <w:t>De la disposición transitoria quinta impugnan sus apartados segundo y tercero: aquel porque impone la ubicación de edificación destinada a vivienda protegida en las áreas periurbanas, frustrando así toda política municipal alternativa sin que concurra un interés supramunicipal; el apartado tercero porque contendría una reserva de dispensación incompatible con el principio de autonomía local en la medida en que permite incumplir el planeamiento municipal.</w:t>
      </w:r>
    </w:p>
    <w:p w:rsidR="0085709A" w:rsidRDefault="0085709A" w:rsidP="0085709A">
      <w:pPr>
        <w:pStyle w:val="TextoNormal"/>
      </w:pPr>
    </w:p>
    <w:p w:rsidR="0085709A" w:rsidRDefault="0085709A" w:rsidP="0085709A">
      <w:pPr>
        <w:pStyle w:val="TextoNormal"/>
      </w:pPr>
      <w:r>
        <w:t xml:space="preserve">Estamos ante disposiciones transitorias que contienen auténticas previsiones cautelares en garantía de la efectividad de la adaptación del planeamiento urbanístico a las determinaciones de la Ley del plan de ordenación del litoral. En el caso del apartado segundo de la transitoria quinta, es evidente además la concurrencia del interés supramunicipal ínsito en la política autonómica de vivienda. En el del apartado tercero de la disposición transitoria quinta, no estamos en rigor ante una reserva de dispensación pues no excepciona parámetro </w:t>
      </w:r>
      <w:r>
        <w:lastRenderedPageBreak/>
        <w:t>alguno de edificabilidad y aprovechamiento, sino ante la previsión de regímenes urbanísticos alternativos, legítimos ambos por disposición expresa de la Ley, cuando los planes parciales hubieran sido objeto de aprobación provisional al momento de entrada en vigor de la Ley territorial 2/2004. Se trata de una previsión que no infringe ninguna norma del bloque de constitucionalidad, por lo que procede la desestimación del recurso también en este concreto extremo.</w:t>
      </w:r>
    </w:p>
    <w:p w:rsidR="0085709A" w:rsidRDefault="0085709A" w:rsidP="0085709A">
      <w:pPr>
        <w:pStyle w:val="TextoNormal"/>
      </w:pPr>
    </w:p>
    <w:p w:rsidR="0085709A" w:rsidRDefault="0085709A" w:rsidP="0085709A">
      <w:pPr>
        <w:pStyle w:val="TextoNormal"/>
      </w:pPr>
      <w:r w:rsidRPr="0085709A">
        <w:rPr>
          <w:rStyle w:val="NumeroAFNegritaCaracter"/>
        </w:rPr>
        <w:t>23</w:t>
      </w:r>
      <w:r>
        <w:t>. De la disposición transitoria duodécima de la Ley se recurre la posibilidad de que la Comunidad Autónoma, sin participación alguna del municipio en opinión de los recurrentes, resuelva de oficio las contradicciones sobre clasificación de suelo urbano. La impugnación se concreta en el inciso “o de oficio por la Consejería competente en materia de ordenación del territorio y urbanismo, a los efectos de su posible exclusión del ámbito de aplicación de esta Ley”. Por el contrario, la representación letrada del Gobierno de Cantabria destaca que con esta previsión legal se trata de facilitar la corrección de errores cartográficos a fin de excluir del ámbito de aplicación del plan de ordenación del litoral suelos que efectivamente eran urbanos, teniendo intervención los municipios en este procedimiento por aplicación del art. 34 de la Ley 30/1992, de 26 de noviembre, de régimen jurídico de las Administraciones públicas y del procedimiento administrativo común, relativo a la participación de los interesados, entre quienes figuran, obviamente, los ayuntamientos afectados.</w:t>
      </w:r>
    </w:p>
    <w:p w:rsidR="0085709A" w:rsidRDefault="0085709A" w:rsidP="0085709A">
      <w:pPr>
        <w:pStyle w:val="TextoNormal"/>
      </w:pPr>
    </w:p>
    <w:p w:rsidR="0085709A" w:rsidRDefault="0085709A" w:rsidP="0085709A">
      <w:pPr>
        <w:pStyle w:val="TextoNormal"/>
      </w:pPr>
      <w:r>
        <w:t>No puede estimarse el recurso en este punto desde el momento en que el inciso que los propios actores identifican como núcleo de su impugnación no hace otra cosa que atribuir a la Consejería competencia en materia de ordenación del territorio y urbanismo la potestad de iniciación del expediente administrativo al que se refiere esta disposición transitoria. En la medida en que las dudas sobre la clasificación de una determinada área como suelo urbano pueden afectar tanto a la entidad local en cuyo término municipal radique esa área cuanto a la Administración autonómica, no puede merecer reproche alguno el reconocimiento de esa potestad de iniciación del expediente administrativo; lo contrario significaría tanto como dejar en manos de los ayuntamientos concernidos un monopolio para la resolución de discrepancias cartográficas carente de justificación en el principio de autonomía local.</w:t>
      </w:r>
    </w:p>
    <w:p w:rsidR="0085709A" w:rsidRDefault="0085709A" w:rsidP="0085709A">
      <w:pPr>
        <w:pStyle w:val="TextoNormal"/>
      </w:pPr>
    </w:p>
    <w:p w:rsidR="0085709A" w:rsidRDefault="0085709A" w:rsidP="0085709A">
      <w:pPr>
        <w:pStyle w:val="TextoNormal"/>
      </w:pPr>
      <w:r w:rsidRPr="0085709A">
        <w:rPr>
          <w:rStyle w:val="NumeroAFNegritaCaracter"/>
        </w:rPr>
        <w:t>24</w:t>
      </w:r>
      <w:r>
        <w:t>. La disposición final primera sería contraria a la autonomía municipal al ordenar la formulación, en el plazo de un año, de proyectos especiales de iniciativa autonómica o proyectos singulares de interés regional sin necesidad de requerir ni brindar al municipio la oportunidad para que lleven a cabo la reordenación de la zona a la que se refiere la disposición final: la bahía de Santander. Para la Letrada autonómica, la impugnación de esta disposición es extemporánea porque el régimen de elaboración y aprobación de los planes especiales ha de buscarse en la Ley de ordenación territorial de Cantabria y no en la Ley 2/2004.</w:t>
      </w:r>
    </w:p>
    <w:p w:rsidR="0085709A" w:rsidRDefault="0085709A" w:rsidP="0085709A">
      <w:pPr>
        <w:pStyle w:val="TextoNormal"/>
      </w:pPr>
    </w:p>
    <w:p w:rsidR="0085709A" w:rsidRDefault="0085709A" w:rsidP="0085709A">
      <w:pPr>
        <w:pStyle w:val="TextoNormal"/>
      </w:pPr>
      <w:r>
        <w:t xml:space="preserve">Debemos rechazar el óbice de inadmisión aducido por la Letrada autonómica puesto que la impugnación de la disposición final primera de la Ley del Parlamento de Cantabria 2/2004 no tiene por objeto ese régimen de elaboración y aprobación de los planes especiales sino la imposición de un plazo específico para la actuación integral estratégica de reordenación de la Bahía de Santander. Hecha esta precisión, debemos, igualmente, desestimar el recurso en este punto porque la intervención autonómica en la actuación integral estratégica de reordenación de la Bahía de Santander encuentra justificación en la concurrencia del mismo </w:t>
      </w:r>
      <w:r>
        <w:lastRenderedPageBreak/>
        <w:t>interés supramunicipal que ha legitimado la clasificación de esta actuación integral estratégica por parte del legislador autonómico. Corresponderá, por tanto, a la Administración autonómica, mediante el recurso en su caso a los planes especiales del art. 59 de la Ley de ordenación territorial y régimen urbanístico del suelo de Cantabria, el eventual desarrollo territorial supramunicipal de esa actuación integral, sin que quepa la traslación a los municipios de esta potestad que es también una carga de intervención para dar adecuado cumplimiento a las determinaciones de la Ley en este punto.</w:t>
      </w:r>
    </w:p>
    <w:p w:rsidR="0085709A" w:rsidRDefault="0085709A" w:rsidP="0085709A">
      <w:pPr>
        <w:pStyle w:val="TextoNormal"/>
      </w:pPr>
    </w:p>
    <w:p w:rsidR="0085709A" w:rsidRDefault="0085709A" w:rsidP="0085709A">
      <w:pPr>
        <w:pStyle w:val="TextoNormal"/>
      </w:pPr>
      <w:r w:rsidRPr="0085709A">
        <w:rPr>
          <w:rStyle w:val="NumeroAFNegritaCaracter"/>
        </w:rPr>
        <w:t>25</w:t>
      </w:r>
      <w:r>
        <w:t>. El anexo I se impugna por su íntima conexión con los arts. 9.1 y 10 de la Ley al concretar la zonificación en función de la capacidad de carga y las actuaciones estratégicas integrales en los términos definidos por los citados preceptos de la Ley que los recurrentes consideran inconstitucionales, en tanto que el anexo III se impugna por las mismas razones que el título IV, relativo a las actuaciones integrales estratégicas. Las desestimaciones de las impugnaciones de los arts. 9.1 y 10 y del título IV en su conjunto, deben conducir ahora a alcanzar idéntica conclusión respecto de los anexos I y III de la Ley del plan de ordenación del litoral.</w:t>
      </w:r>
    </w:p>
    <w:p w:rsidR="0085709A" w:rsidRDefault="0085709A" w:rsidP="0085709A">
      <w:pPr>
        <w:pStyle w:val="TextoNormal"/>
      </w:pPr>
    </w:p>
    <w:p w:rsidR="0085709A" w:rsidRDefault="0085709A" w:rsidP="0085709A">
      <w:pPr>
        <w:pStyle w:val="TextoNormal"/>
      </w:pPr>
      <w:r w:rsidRPr="0085709A">
        <w:rPr>
          <w:rStyle w:val="NumeroAFNegritaCaracter"/>
        </w:rPr>
        <w:t>26</w:t>
      </w:r>
      <w:r>
        <w:t>. Por todo ello procede declarar la extinción del presente recurso de inconstitucionalidad por desaparición sobrevenida de su objeto, respecto de la disposición transitoria cuarta de la Ley del Parlamento de Cantabria 2/2004, de 27 de septiembre; declarar que su artículo 27.1 b) no es inconstitucional, interpretado en los términos del fundamento jurídico 15 b) y declarar la inconstitucionalidad y nulidad del artículo 45.3, del artículo 51.3, en sus incisos “en cuyo caso sus determinaciones prevalecerán sobre las de este Plan” y “y con independencia de la clasificación urbanística”, y del apartado segundo de la disposición transitoria octava, si bien respecto de estos preceptos anulados, a fin de preservar el principio de seguridad jurídica, debemos mantener la validez de todas las actuaciones firmes que se hayan producido en su aplicación.</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La extinción del presente recurso de inconstitucionalidad, por desaparición sobrevenida de su objeto, respecto de la disposición transitoria cuarta de la Ley del Parlamento de Cantabria 2/2004, de 27 de septiembre, del plan de ordenación del litoral.</w:t>
      </w:r>
    </w:p>
    <w:p w:rsidR="0085709A" w:rsidRDefault="0085709A" w:rsidP="0085709A">
      <w:pPr>
        <w:pStyle w:val="TextoNormal"/>
      </w:pPr>
    </w:p>
    <w:p w:rsidR="0085709A" w:rsidRDefault="0085709A" w:rsidP="0085709A">
      <w:pPr>
        <w:pStyle w:val="TextoNormal"/>
      </w:pPr>
      <w:r>
        <w:t>2º Declarar que el artículo 27.1 b) no es inconstitucional interpretado en los términos del fundamento jurídico 15 b).</w:t>
      </w:r>
    </w:p>
    <w:p w:rsidR="0085709A" w:rsidRDefault="0085709A" w:rsidP="0085709A">
      <w:pPr>
        <w:pStyle w:val="TextoNormal"/>
      </w:pPr>
    </w:p>
    <w:p w:rsidR="0085709A" w:rsidRDefault="0085709A" w:rsidP="0085709A">
      <w:pPr>
        <w:pStyle w:val="TextoNormal"/>
      </w:pPr>
      <w:r>
        <w:t>3º Declarar la inconstitucionalidad y nulidad del artículo 45.3, del artículo 51.3 en sus incisos “en cuyo caso sus determinaciones prevalecerán sobre las de este Plan” y “y con independencia de la clasificación urbanística”, y del apartado segundo de la disposición transitoria octava.</w:t>
      </w:r>
    </w:p>
    <w:p w:rsidR="0085709A" w:rsidRDefault="0085709A" w:rsidP="0085709A">
      <w:pPr>
        <w:pStyle w:val="TextoNormal"/>
      </w:pPr>
    </w:p>
    <w:p w:rsidR="0085709A" w:rsidRDefault="0085709A" w:rsidP="0085709A">
      <w:pPr>
        <w:pStyle w:val="TextoNormal"/>
      </w:pPr>
      <w:r>
        <w:lastRenderedPageBreak/>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dieciocho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1" w:name="SENTENCIA_2015_58"/>
      <w:r>
        <w:lastRenderedPageBreak/>
        <w:t>SENTENCIA 58/2015, de 18 de marzo de 2015</w:t>
      </w:r>
    </w:p>
    <w:bookmarkEnd w:id="61"/>
    <w:p w:rsidR="0085709A" w:rsidRDefault="0085709A" w:rsidP="0085709A">
      <w:pPr>
        <w:pStyle w:val="TtuloResolucin"/>
      </w:pPr>
      <w:r>
        <w:t>Pleno</w:t>
      </w:r>
    </w:p>
    <w:p w:rsidR="0085709A" w:rsidRDefault="0085709A" w:rsidP="0085709A">
      <w:pPr>
        <w:pStyle w:val="TtuloBOE"/>
      </w:pPr>
      <w:r>
        <w:t>(BOE núm. 98, de 24 de abril de 2015)</w:t>
      </w:r>
    </w:p>
    <w:p w:rsidR="0085709A" w:rsidRDefault="0085709A" w:rsidP="0085709A">
      <w:pPr>
        <w:pStyle w:val="TextoNormalCentrado"/>
      </w:pPr>
      <w:r>
        <w:t>ECLI:ES:TC:2015:58</w:t>
      </w:r>
    </w:p>
    <w:p w:rsidR="0085709A" w:rsidRDefault="0085709A" w:rsidP="0085709A">
      <w:pPr>
        <w:pStyle w:val="TextoNormalCentrado"/>
      </w:pPr>
    </w:p>
    <w:p w:rsidR="0085709A" w:rsidRDefault="0085709A" w:rsidP="0085709A">
      <w:pPr>
        <w:pStyle w:val="SntesisDescriptiva"/>
      </w:pPr>
      <w:r>
        <w:t>Conflicto positivo de competencia 5937-2011. Planteado por el Gobierno de la Generalitat de Cataluña en relación con diversos preceptos del Real Decreto 804/2011, de 10 de junio, por el que se regula la ordenación zootécnica, sanitaria y de bienestar animal de las explotaciones equinas y se establece el plan sanitario equino.</w:t>
      </w:r>
    </w:p>
    <w:p w:rsidR="0085709A" w:rsidRDefault="0085709A" w:rsidP="0085709A">
      <w:pPr>
        <w:pStyle w:val="SntesisDescriptiva"/>
      </w:pPr>
    </w:p>
    <w:p w:rsidR="0085709A" w:rsidRDefault="0085709A" w:rsidP="0085709A">
      <w:pPr>
        <w:pStyle w:val="SntesisAnaltica"/>
      </w:pPr>
      <w:r>
        <w:t>Competencias sobre ordenación general de la economía, ganadería y sanidad: constitucionalidad de las disposiciones estatales sobre condiciones mínimas que deben reunir las explotaciones equinas, libros de explotación y programas sanitarios de control oficial (STC 158/2011). Voto particular.</w:t>
      </w:r>
    </w:p>
    <w:p w:rsidR="0085709A" w:rsidRDefault="0085709A" w:rsidP="0085709A">
      <w:pPr>
        <w:pStyle w:val="SntesisAnaltica"/>
      </w:pPr>
    </w:p>
    <w:p w:rsidR="0085709A" w:rsidRDefault="0085709A" w:rsidP="0085709A">
      <w:pPr>
        <w:pStyle w:val="Extracto"/>
      </w:pPr>
      <w:r>
        <w:t>1.</w:t>
      </w:r>
      <w:r>
        <w:tab/>
        <w:t>Aplica la doctrina de las SSTC 145/1989, 158/2011 y 207/2011. La competencia estatal de bases y coordinación de la planificación de la economía se proyecta en el subsector de la ganadería, habida cuenta de la relación reconocida y expresa que tiene con la política económica general [FJ 2].</w:t>
      </w:r>
    </w:p>
    <w:p w:rsidR="0085709A" w:rsidRDefault="0085709A" w:rsidP="0085709A">
      <w:pPr>
        <w:pStyle w:val="Extracto"/>
      </w:pPr>
    </w:p>
    <w:p w:rsidR="0085709A" w:rsidRDefault="0085709A" w:rsidP="0085709A">
      <w:pPr>
        <w:pStyle w:val="Extracto"/>
      </w:pPr>
      <w:r>
        <w:t>2.</w:t>
      </w:r>
      <w:r>
        <w:tab/>
        <w:t>Corresponde al Estado, en virtud de su competencia de ordenación general de la economía, establecer las directrices globales de ordenación y regulación del mercado agropecuario nacional [FJ 2].</w:t>
      </w:r>
    </w:p>
    <w:p w:rsidR="0085709A" w:rsidRDefault="0085709A" w:rsidP="0085709A">
      <w:pPr>
        <w:pStyle w:val="Extracto"/>
      </w:pPr>
    </w:p>
    <w:p w:rsidR="0085709A" w:rsidRDefault="0085709A" w:rsidP="0085709A">
      <w:pPr>
        <w:pStyle w:val="Extracto"/>
      </w:pPr>
      <w:r>
        <w:t>3.</w:t>
      </w:r>
      <w:r>
        <w:tab/>
        <w:t>Queda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su propia agricultura y ganadería no supongan interferencia negativa o distorsionen la ordenación general establecida por el Estado, sino más bien que sean coadyuvantes o inocuas para esta ordenación estatal [FJ 2].</w:t>
      </w:r>
    </w:p>
    <w:p w:rsidR="0085709A" w:rsidRDefault="0085709A" w:rsidP="0085709A">
      <w:pPr>
        <w:pStyle w:val="Extracto"/>
      </w:pPr>
    </w:p>
    <w:p w:rsidR="0085709A" w:rsidRDefault="0085709A" w:rsidP="0085709A">
      <w:pPr>
        <w:pStyle w:val="Extracto"/>
      </w:pPr>
      <w:r>
        <w:t>4.</w:t>
      </w:r>
      <w:r>
        <w:tab/>
        <w:t>Las medidas de aislamiento y control de entradas; sistema de limpieza y desinfección; agua; sistemas de tratamiento de animales adaptados a la aplicación de medidas zootécnicas; aislamiento de alimentos para caballos; observación de animales sintomáticos, medidas de limpieza de équidos en los certámenes y medidas de eliminación del estiércol tienen la finalidad de minimizar los riesgos sanitarios y medioambientales que generan estas explotaciones y la eliminación de sus residuos; sus normas básicas de regulación deben ser de mínimos, pudiendo ser completadas con mayor rigor de protección por las Comunidades Autónomas (SSTC 207/2011, y 158/2011)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conflicto positivo de competencia núm. 5937-2011 interpuesto por la Generalitat de Catalunya contra los apartados 3 y 5 del art. 4; el apartado 1 del art. 6; el apartado 2 del art. 8 y los anexos III y IV del Real Decreto 804/2011, de 10 de junio, por el que se regula la ordenación zootécnica, sanitaria y de bienestar animal de las explotaciones equinas y se establece el plan sanitario equino. Ha comparecido y formulado alegaciones el Abogado del Estado. Ha sido Ponente la Magistrada Dña.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Por escrito registrado en el Tribunal Constitucional el 2 de noviembre de 2011, la Abogada de la Generalitat de Catalunya, en la representación que legalmente ostenta, interpuso conflicto positivo de competencias contra los apartados 3 y 5 del art. 4; el apartado 1 del art. 6; el apartado 2 del art. 8 y los anexos III y IV del Real Decreto 804/2011, de 10 de junio, por el que se regula la ordenación zootécnica, sanitaria y de bienestar animal de las explotaciones equinas y se establece el plan sanitario equino, por considerar que el Estado ha excedido los títulos competenciales que le asisten, vulnerando así las competencias asumidas estatutariamente. Los fundamentos jurídicos en que se sustenta la demanda son los que a continuación se exponen.</w:t>
      </w:r>
    </w:p>
    <w:p w:rsidR="0085709A" w:rsidRDefault="0085709A" w:rsidP="0085709A">
      <w:pPr>
        <w:pStyle w:val="TextoNormal"/>
      </w:pPr>
    </w:p>
    <w:p w:rsidR="0085709A" w:rsidRDefault="0085709A" w:rsidP="0085709A">
      <w:pPr>
        <w:pStyle w:val="TextoNormal"/>
      </w:pPr>
      <w:r>
        <w:t>El Real Decreto impugnado pretende establecer unas bases comunes para la definición y ordenación del sector, normas de contenido heterogéneo que regulan aspectos diversos como son los zootécnicos, los higiénicos y los sanitarios y que incluye junto a prescripciones obligatorias normas técnicas de detalle o bien obvias y redundantes, o que adolecen de excesiva prolijidad. El Gobierno de la Generalitat no impugna la totalidad de la disposición, sino aquellos apartados de determinados preceptos en los que se incide de forma más penetrante en las competencias autonómicas que vacía de contenido.</w:t>
      </w:r>
    </w:p>
    <w:p w:rsidR="0085709A" w:rsidRDefault="0085709A" w:rsidP="0085709A">
      <w:pPr>
        <w:pStyle w:val="TextoNormal"/>
      </w:pPr>
    </w:p>
    <w:p w:rsidR="0085709A" w:rsidRDefault="0085709A" w:rsidP="0085709A">
      <w:pPr>
        <w:pStyle w:val="TextoNormal"/>
      </w:pPr>
      <w:r>
        <w:t xml:space="preserve">El sector equino ha sufrido una importante evolución en los últimos años. Casi abandonado su uso para transporte y trabajo, las actividades más relevantes son las de ocio y deportivas así como el rendimiento cárnico. Se trata de un sector económico que por sí solo tiene una muy escasa entidad, radicando su importancia en las actividades relacionadas con el ocio, turismo rural y servicios con él relacionadas, siendo apenas relevante la industria cárnica en el ámbito de los mercados alimentarios, en comparación con otras producciones cárnicas, cuyo peso en el conjunto de la ganadería es mayor. Su incidencia en la sanidad es, por tanto, ínfima y difícilmente podrá afectar a la salud humana. Por tanto, una regulación </w:t>
      </w:r>
      <w:r>
        <w:lastRenderedPageBreak/>
        <w:t>consistente en las condiciones de alojamiento de los caballos o el contenido de los libros de explotación tiene poco que ver con la competencia estatal en materia de sanidad o bases de la actividad económica.</w:t>
      </w:r>
    </w:p>
    <w:p w:rsidR="0085709A" w:rsidRDefault="0085709A" w:rsidP="0085709A">
      <w:pPr>
        <w:pStyle w:val="TextoNormal"/>
      </w:pPr>
    </w:p>
    <w:p w:rsidR="0085709A" w:rsidRDefault="0085709A" w:rsidP="0085709A">
      <w:pPr>
        <w:pStyle w:val="TextoNormal"/>
      </w:pPr>
      <w:r>
        <w:t xml:space="preserve">Los títulos competenciales que invoca el Real Decreto impugnado en su disposición final segunda son la ordenación general de la economía y las bases y coordinación de la sanidad. De otra parte, los títulos autonómicos de aplicación son: (i) la competencia exclusiva en materia de ganadería [art. 116.1 d) del Estatuto de Autonomía de Cataluña (EAC)] que incluye la sanidad vegetal y animal, cuando no tengan efectos sobre la salud humana y la protección de los animales, en el respeto a lo que establezca el Estado en ejercicio de sus competencias de los apartados 13 y 16 del art. 149.1 CE; (ii) la competencia compartida de ordenación, planificación, la determinación, regulación y ejecución de actuaciones dirigidas a preservar y promover la salud pública que incluye la sanidad animal con efectos sobre la salud humana, la sanidad alimentaria y ambiental y la vigilancia epidemiológica [art. 162.3 b) EAC], y finalmente (iii) la competencia de planificación, ordenación y promoción de la actividad económica (art. 152 EAC). De acuerdo con la doctrina constitucional, el alcance material de cada uno de los títulos estatales concretos debe determinarse sobre la base de su contenido y las finalidades que persigue. El art. 149.1.13 CE habilita al Estado para regular e incluso adoptar las medidas necesarias para integrar la agricultura de la Comunidad Autónoma en la política general (STC 80/1985, de 4 de julio), competencia que comprende la aprobación de las directrices y criterios globales de ordenación de un sector concreto y las medidas singulares que sean necesarias para alcanzar los fines propuestos dentro de la ordenación de cada sector. Se trata, por tanto, de una materia de competencia compartida, debiendo primar la competencia autonómica, cuando no se advierta una directa y significativa incidencia sobre la actividad económica general (STC 112/1995, de 6 de julio y 128/1999, de 1 de julio). </w:t>
      </w:r>
      <w:r>
        <w:tab/>
        <w:t>De otro lado, la conexión entre sanidad y sanidad animal ha sido establecida por la doctrina constitucional en la STC 192/1990, de 29 de noviembre FJ 2, sin perjuicio de lo cual debe tenerse en cuenta que el alcance de esta competencia básica no puede desplazar las competencias autonómicas de desarrollo normativo y ejecución de los controles.</w:t>
      </w:r>
    </w:p>
    <w:p w:rsidR="0085709A" w:rsidRDefault="0085709A" w:rsidP="0085709A">
      <w:pPr>
        <w:pStyle w:val="TextoNormal"/>
      </w:pPr>
    </w:p>
    <w:p w:rsidR="0085709A" w:rsidRDefault="0085709A" w:rsidP="0085709A">
      <w:pPr>
        <w:pStyle w:val="TextoNormal"/>
      </w:pPr>
      <w:r>
        <w:t>Esto expuesto, la demanda analiza de forma pormenorizada cada uno de los preceptos impugnados. El apartado 3 del art. 4 establece las condiciones generales de las construcciones e instalaciones. En algunos casos se trata de especificaciones innecesarias por obvias, en otros casos disposiciones de buenas prácticas en el ejercicio de la actividad que no tienen conexión alguna ni con la economía ni con la sanidad, correspondiendo de lleno a la materia ganadería. La extralimitación se puede deducir si se compara con el contenido de la Ley 8/2003, de 24 de abril, de sanidad animal, cuando regula las condiciones sanitarias básicas que deben cumplirse en las explotaciones animales (arts. 36.2 y 37), remitiéndose a la normativa sectorial.</w:t>
      </w:r>
    </w:p>
    <w:p w:rsidR="0085709A" w:rsidRDefault="0085709A" w:rsidP="0085709A">
      <w:pPr>
        <w:pStyle w:val="TextoNormal"/>
      </w:pPr>
    </w:p>
    <w:p w:rsidR="0085709A" w:rsidRDefault="0085709A" w:rsidP="0085709A">
      <w:pPr>
        <w:pStyle w:val="TextoNormal"/>
      </w:pPr>
      <w:r>
        <w:t xml:space="preserve">El art. 4.5 se refiere a las condiciones para garantizar el bienestar animal que se introduce con la salvaguarda de la Ley 32/2007, de 7 de noviembre, para el cuidado de los animales en su explotación, transporte y sacrificio. Las condiciones que se establecen adolecen de ser obviedades o redundancias y no tienen cabida en los títulos genéricos del art. 149.1.13 y 16 CE, contrastando con la regulación establecida en otro apartado del mismo precepto, que no se discute, relativo a las condiciones higiénico-sanitarias. El bienestar animal, que tiene por finalidad ahorrar dolor y sufrimiento en la explotación del ganado, tiene su regulación básica </w:t>
      </w:r>
      <w:r>
        <w:lastRenderedPageBreak/>
        <w:t>en otra ley distinta la cual al referirse a las explotaciones de animales encomienda a las Administraciones públicas que adopten las medidas necesarias para asegurar el bienestar.</w:t>
      </w:r>
    </w:p>
    <w:p w:rsidR="0085709A" w:rsidRDefault="0085709A" w:rsidP="0085709A">
      <w:pPr>
        <w:pStyle w:val="TextoNormal"/>
      </w:pPr>
    </w:p>
    <w:p w:rsidR="0085709A" w:rsidRDefault="0085709A" w:rsidP="0085709A">
      <w:pPr>
        <w:pStyle w:val="TextoNormal"/>
      </w:pPr>
      <w:r>
        <w:t>El art. 6.1 regula el libro de explotación, que tendrá el formato que se apruebe por la autoridad competente y los datos mínimos que se indican en el anexo IV, mientas que la Ley 8/2003 se limita a exigir un libro de explotación, que contenga los datos exigidos por la normativa aplicable debiéndose mantener actualizado. Esta referencia de la Ley 8/2003 lo es a la normativa sectorial que corresponde a la Comunidad Autónoma en materia de sanidad animal [art. 116.1 d) EAC], teniendo en cuenta, además, que el empleo de este documento para el control informativo de determinados aspectos de la explotación ganadera es instrumental para el ejercicio de las competencias que corresponde a la Generalitat.</w:t>
      </w:r>
    </w:p>
    <w:p w:rsidR="0085709A" w:rsidRDefault="0085709A" w:rsidP="0085709A">
      <w:pPr>
        <w:pStyle w:val="TextoNormal"/>
      </w:pPr>
    </w:p>
    <w:p w:rsidR="0085709A" w:rsidRDefault="0085709A" w:rsidP="0085709A">
      <w:pPr>
        <w:pStyle w:val="TextoNormal"/>
      </w:pPr>
      <w:r>
        <w:t>El art. 8.2 regula el programa de control, estableciendo que se realizará de acuerdo con lo dispuesto en las partes I y II del anexo III. Se trata de actuaciones sobre determinadas enfermedades equinas, concretando periodicidades en los controles, toma de muestras, etc. Son todas ellas operaciones que se enmarcan en las funciones de ejecución que corresponde a la Comunidad Autónoma, siendo así que el precepto impugnado no se limita a establecer reglas generales, sino que regula de forma acabada el modo y manera de realizar los controles, condicionando la competencia ejecutiva de la Comunidad Autónoma. Se trata, por otra parte, de actuaciones que se refieren a enfermedades que no tienen incidencia sobre la salud humana y que no requerirían de una regulación y coordinación de la intensidad de la aquí regulada.</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22 de noviembre de 2011, el Pleno del Tribunal Constitucional acordó admitir a trámite el conflicto positivo de competencias; dar traslado de la demanda para personación y alegaciones al Gobierno de la Nación; comunicar la incoación a la Sala de lo Contencioso-Administrativo del Tribunal Supremo, y publicar la incoación en el “Boletín Oficial del Estado” y en el diario oficial de la Comunidad Autónoma.</w:t>
      </w:r>
    </w:p>
    <w:p w:rsidR="0085709A" w:rsidRDefault="0085709A" w:rsidP="0085709A">
      <w:pPr>
        <w:pStyle w:val="TextoNormal"/>
      </w:pPr>
    </w:p>
    <w:p w:rsidR="0085709A" w:rsidRDefault="0085709A" w:rsidP="0085709A">
      <w:pPr>
        <w:pStyle w:val="TextoNormal"/>
      </w:pPr>
      <w:r w:rsidRPr="0085709A">
        <w:rPr>
          <w:rStyle w:val="NumeroAFNegritaCaracter"/>
        </w:rPr>
        <w:t>3</w:t>
      </w:r>
      <w:r>
        <w:t>. El 11 de enero de 2012, el Abogado del Estado, actuando en representación del Gobierno del Estado, presentó sus alegaciones en el Tribunal Constitucional. Comienza en la contestación a la demanda recordando que el problema suscitado en este conflicto es, una vez más, la incidencia de las competencias estatales en las asumidas estatutariamente como exclusivas o compartidas, aspecto sobre el que ha fijado doctrina en la STC 31/2010, FFJJ 59, 60 y 64. De esta forma, la asunción por la Comunidad Autónoma de las competencias de los arts. 116.1 d) y b) y 162.3 EAC no pueden limitar las competencias que asisten al Estado, debiendo tenerse en cuenta que las obligaciones internacionales asumidas por el Estado obligan a reforzar la homogeneización de los aspectos técnicos y operativos. Cita la Directiva 98/58 del Consejo, de 20 de julio de 2000, mediante la que se traspuso al Derecho europeo el Convenio europeo de protección de animales en explotaciones ganaderas, el Reglamento (CE) 504/2008, de la Comisión por el que se aplican las Directivas 90/426/CEE y 90/427/CEE sobre identificación de équidos, el reglamento (CE) 1099/2009, del Consejo, sobre protección de los animales en el momento de la matanza y la Directiva 92/102/CEE que dio lugar al Real Decreto 479/2004, de 26 de marzo por el que se establece y regula el registro general de explotaciones ganaderas (REGA).</w:t>
      </w:r>
    </w:p>
    <w:p w:rsidR="0085709A" w:rsidRDefault="0085709A" w:rsidP="0085709A">
      <w:pPr>
        <w:pStyle w:val="TextoNormal"/>
      </w:pPr>
    </w:p>
    <w:p w:rsidR="0085709A" w:rsidRDefault="0085709A" w:rsidP="0085709A">
      <w:pPr>
        <w:pStyle w:val="TextoNormal"/>
      </w:pPr>
      <w:r>
        <w:t xml:space="preserve">El cumplimiento de unas condiciones mínimas de construcción, ubicación, higiénico sanitarias y de bienestar animal constituye pieza clave de este tipo de explotaciones, presentes </w:t>
      </w:r>
      <w:r>
        <w:lastRenderedPageBreak/>
        <w:t>en zonas rurales y urbanas, en desarrollo de los arts. 25, 36, 54 y 56 de la Ley 8/2003, de sanidad animal y de los arts. 4 y 6 de la Ley 32/2007, para el cuidado de los animales en su explotación. Se trata de una norma básica de desarrollo de dos leyes, hallándose la concreta habilitación en la disposición adicional quinta de la Ley 8/2003 y en el art. 4 de la Ley 33/2007, y ambas leyes son dictadas en ejercicio de competencias básicas. Frente a lo razonado por la demanda, entiende el Abogado del Estado, que concurren dos títulos competenciales para el dictado de los preceptos impugnados, de donde se extrae la aplicación de la técnica de la coordinación y no solo la relación bases-desarrollo. Tras explicar el alcance que en la doctrina constitucional se ha dado al título competencial del art. 149.1.13 CE, señala que el sector equino es el más diverso que existe en el ámbito ganadero, de una importancia económica del 0,2 por 100 de la producción final agraria (84,3 millones de euros en 2010), siendo las rentas obtenidas por actividades relacionadas entre 700 y 800 millones de euros. Es manifiesto, en consecuencia, que concurre el citado título competencial para el dictado de la norma impugnada. Por otra parte, tras explicar el contenido del art. 149.1.16 CE y de las bases en materia sanitaria, destaca la vinculación de la norma impugnada con la mejora sanitaria de las explotaciones y con la propia salud humana, y la posibilidad de que las bases desempeñen una labor de coordinación (STC 27/1987, de 27 de febrero) para conseguir la integración de una diversidad de intereses contrapuestos de distintas Comunidades Autónomas para la protección del sector equino. En relación con las epizootias, y en contra de lo alegado en la demanda, las enfermedades expresamente previstas en el anexo II son zoonóticas y con una elevada tasa de mortalidad humana.</w:t>
      </w:r>
    </w:p>
    <w:p w:rsidR="0085709A" w:rsidRDefault="0085709A" w:rsidP="0085709A">
      <w:pPr>
        <w:pStyle w:val="TextoNormal"/>
      </w:pPr>
    </w:p>
    <w:p w:rsidR="0085709A" w:rsidRDefault="0085709A" w:rsidP="0085709A">
      <w:pPr>
        <w:pStyle w:val="TextoNormal"/>
      </w:pPr>
      <w:r>
        <w:t xml:space="preserve">Ya en concreto sobre los preceptos impugnados, considera que el art. 4.3 es un desarrollo de los arts. 36, 37, 53 y 54 de la Ley 8/2003, que ofrece una mínima regulación para cada una de las condiciones que recoge por lo que no impide a las Comunidades Autónomas su competencia de desarrollo normativo. Forman parte de la competencia estatal </w:t>
      </w:r>
      <w:r w:rsidRPr="0085709A">
        <w:rPr>
          <w:i/>
        </w:rPr>
        <w:t>ex</w:t>
      </w:r>
      <w:r>
        <w:t xml:space="preserve"> art. 149.1.16 CE la regulación de aspectos tales como la concreción del área en que se realizará la explotación, así como los métodos de aislamiento del exterior, control eficaz de entradas y salidas; formas y condiciones de la correcta limpieza y desinfección de vehículos; calzado de operarios y visitantes, locales y material y utensilios en contacto con los animales, método de garantizar el agua en cantidad y calidad; sistemas apropiados para el manejo de animales; ubicación y tamaño del material de construcción; medios adecuados de aislamiento de animales sospechosos de estar afectados por enfermedades contagiosas, forma y tamaño de los estercoleros, si en las concentraciones deben o no disponer de dispositivos de ducha para caballos y asistencia veterinaria y en tal caso sus características. Resultan de plena aplicación los razonamientos de las SSTC 158/2011 y 162/2011, que encuadran en la materia básica la regulación de las condiciones de funcionamiento de las explotaciones. El art. 4.3 es, por tanto formal y materialmente básico (disposición final segunda).</w:t>
      </w:r>
    </w:p>
    <w:p w:rsidR="0085709A" w:rsidRDefault="0085709A" w:rsidP="0085709A">
      <w:pPr>
        <w:pStyle w:val="TextoNormal"/>
      </w:pPr>
    </w:p>
    <w:p w:rsidR="0085709A" w:rsidRDefault="0085709A" w:rsidP="0085709A">
      <w:pPr>
        <w:pStyle w:val="TextoNormal"/>
      </w:pPr>
      <w:r>
        <w:t>El art. 4.5 desarrolla para el sector equino las condiciones necesarias para garantizar el bienestar animal, y utiliza las mismas expresiones genéricas y abiertas que fácilmente permiten apreciar la posibilidad de un posterior desarrollo normativo. Se inscribe en la materia sanidad, pues se dirige a mejorar la sanidad animal estableciendo unas mínimas medidas preventivas, y es formal y materialmente básico.</w:t>
      </w:r>
    </w:p>
    <w:p w:rsidR="0085709A" w:rsidRDefault="0085709A" w:rsidP="0085709A">
      <w:pPr>
        <w:pStyle w:val="TextoNormal"/>
      </w:pPr>
    </w:p>
    <w:p w:rsidR="0085709A" w:rsidRDefault="0085709A" w:rsidP="0085709A">
      <w:pPr>
        <w:pStyle w:val="TextoNormal"/>
      </w:pPr>
      <w:r>
        <w:t xml:space="preserve">Aduce la demanda como principal razón impugnatoria del art. 6.1 y del anexo IV la previa existencia de una regulación autonómica del libro de explotación, pero ello es irrelevante para invalidar la regulación básica posterior. Ambos vienen a desarrollar lo dispuesto en los </w:t>
      </w:r>
      <w:r>
        <w:lastRenderedPageBreak/>
        <w:t>arts. 38.2, 39 y 56.2 de la Ley 8/2003. Se trata de una regulación de mínimos que tiene, además, un carácter flexible pues el párrafo segundo establece determinadas excepciones y la posibilidad de que las autoridades competentes eximan su llevanza a cierto tipo de explotaciones, mientras que los datos que deben figurar son mínimos, sin que el libro de explotación cumpla una función meramente instrumental. Al contrario, este contenido mínimo sirve para garantizar la trazabilidad de la carne de équidos debiendo incardinarse en la materia sanidad, tal y como señala la STC 158/2011.</w:t>
      </w:r>
    </w:p>
    <w:p w:rsidR="0085709A" w:rsidRDefault="0085709A" w:rsidP="0085709A">
      <w:pPr>
        <w:pStyle w:val="TextoNormal"/>
      </w:pPr>
    </w:p>
    <w:p w:rsidR="0085709A" w:rsidRDefault="0085709A" w:rsidP="0085709A">
      <w:pPr>
        <w:pStyle w:val="TextoNormal"/>
      </w:pPr>
      <w:r>
        <w:t>En cuanto al art. 8.2 y el anexo III del Real Decreto 804/2011, señala el Abogado del Estado que a pesar del marcado carácter técnico que concurre en el precepto impugnado y que le obliga a ser extenso para definir las materias que comprende, deja amplio margen para el desarrollo normativo. Además los programas del Anexo III son voluntarios, solo se aplican a un reducido número de animales —aquellos que se destinen a la monta natural— siendo el único efecto el de impedir que los animales que adolezcan de una calificación sanitaria oficial frente a ambas enfermedades puedan ser destinados a este tipo de monta. A las calificaciones sanitarias se refiere el art. 44 de la Ley 8/2003. Estas se obtienen por la realización de una serie de pruebas que el anexo II detalla. En lo que se refiere a los controles analíticos con toma de muestras, el anexo III se limita a reproducir el manual de pruebas de diagnóstico y de las vacunas de la Organización Mundial de la Salud. Se trata de una medida técnica indispensable para garantizar la homogeneidad técnica que haga posible la coordinación (STC 32/1983, FJ 3).</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17 de marzo de 2015, se señaló para deliberación y votación de la presente Sentencia el día 18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Se cuestiona en este proceso la constitucionalidad de los apartados 3 y 5 del art. 4; el apartado 1 del art. 6; el apartado 2 del art. 8 y los anexos III y IV del Real Decreto 804/2011, de 10 de junio, por el que se regula la ordenación zootécnica, sanitaria y de bienestar animal de las explotaciones equinas y se establece el plan sanitario equino. Entiende la Comunidad Autónoma recurrente que el Estado ha excedido sus títulos competenciales vulnerando las competencias asumidas estatutariamente. Por el contrario, el Abogado del Estado sostiene que todos los preceptos impugnados son manifestación del correcto ejercicio de la competencia que atribuye al Estado el art. 149.1.16 CE.</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Para resolver este conflicto debemos comenzar por realizar su encuadramiento competencial. La Generalitat de Catalunya no discute que la norma impugnada se haya dictado en ejercicio de las competencias que ostenta el Estado </w:t>
      </w:r>
      <w:r w:rsidRPr="0085709A">
        <w:rPr>
          <w:i/>
        </w:rPr>
        <w:t>ex</w:t>
      </w:r>
      <w:r>
        <w:t xml:space="preserve"> art. 149.1.13 y 16 CE, tal y como establece la disposición final segunda del Real Decreto 804/2011. Su discurso gira en torno a que los concretos preceptos impugnados han sido dictados en ejercicio de la competencia básica en materia de sanidad, que ha sido extravasada por el Estado, dada en algunos casos la obviedad y redundancia de sus determinaciones y, en otros, su prolijidad. El Abogado del Estado, aunque inicialmente señala que concurren ambos títulos competenciales para el dictado de la norma, después, al analizar los preceptos recurridos, se refiere única y exclusivamente al contemplado en el art. 149.1.16 CE, esto es, a la competencia del Estado en materia de sanidad.</w:t>
      </w:r>
    </w:p>
    <w:p w:rsidR="0085709A" w:rsidRDefault="0085709A" w:rsidP="0085709A">
      <w:pPr>
        <w:pStyle w:val="TextoNormal"/>
      </w:pPr>
    </w:p>
    <w:p w:rsidR="0085709A" w:rsidRDefault="0085709A" w:rsidP="0085709A">
      <w:pPr>
        <w:pStyle w:val="TextoNormal"/>
      </w:pPr>
      <w:r>
        <w:t xml:space="preserve">Con carácter general, tal y como ha reconocido la doctrina constitucional, la competencia estatal de bases y coordinación de la planificación de la economía se proyecta en el subsector de la ganadería, habida cuenta de la relación reconocida y expresa que tiene con la política económica general (SSTC 145/1989, FJ 5; 158/2011, de 19 de octubre, FJ 8 y 207/2011, de 20 de diciembre, FJ 7). Así, este Tribunal ha afirmado que corresponde al Estado, en virtud de su competencia de ordenación general de la economía, establecer las directrices globales de ordenación y regulación del mercado agropecuario nacional,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su propia agricultura y ganadería no supongan interferencia negativa o distorsionen la ordenación general establecida por el Estado, sino más bien que sean coadyuvantes o inocuas para esta ordenación estatal. Y, junto a ello, este Tribunal ha reconocido la competencia autonómica para adoptar las disposiciones necesarias en complemento del derecho comunitario europeo y para ejecutar y aplicar en su ámbito territorial normativa comunitaria siempre que, </w:t>
      </w:r>
      <w:r w:rsidRPr="0085709A">
        <w:rPr>
          <w:i/>
        </w:rPr>
        <w:t>ratione materiae</w:t>
      </w:r>
      <w:r>
        <w:t>, las Comunidades Autónomas ostenten esa competencia y no rebasen la linde establecida por la normativa comunitaria y la estatal básica o de coordinación (STC 104/2013, de 25 de abril, FJ 5)</w:t>
      </w:r>
    </w:p>
    <w:p w:rsidR="0085709A" w:rsidRDefault="0085709A" w:rsidP="0085709A">
      <w:pPr>
        <w:pStyle w:val="TextoNormal"/>
      </w:pPr>
    </w:p>
    <w:p w:rsidR="0085709A" w:rsidRDefault="0085709A" w:rsidP="0085709A">
      <w:pPr>
        <w:pStyle w:val="TextoNormal"/>
      </w:pPr>
      <w:r>
        <w:t>También la doctrina constitucional ha puesto de manifiesto el juego del título competencial del art. 149.1.16 CE, en el subsector ganadería (entre otras SSTC 32/1983, de 28 de abril, FJ 3, y158/2011, de 19 de octubre, FJ 10). Así lo reconoció este Tribunal al afirmar que las epizootias que hayan de afectar al ganado se inscriben competencialmente en la materia de sanidad (SSTC 32/1983, de 28 de abril, FJ 3, y 192/1990, de 29 de noviembre, FJ 2), competencia que comprende también las medidas de prevención y lucha contra las enfermedades de los animales, tal y como ha afirmado la STC 158/2011, de 19 de octubre, FJ 10. La competencia estatal de sanidad incluye el establecimiento de las bases y la coordinación.</w:t>
      </w:r>
    </w:p>
    <w:p w:rsidR="0085709A" w:rsidRDefault="0085709A" w:rsidP="0085709A">
      <w:pPr>
        <w:pStyle w:val="TextoNormal"/>
      </w:pPr>
    </w:p>
    <w:p w:rsidR="0085709A" w:rsidRDefault="0085709A" w:rsidP="0085709A">
      <w:pPr>
        <w:pStyle w:val="TextoNormal"/>
      </w:pPr>
      <w:r>
        <w:t xml:space="preserve">El art. 116.1 d) del Estatuto de Autonomía de Cataluña (EAC) atribuye en exclusiva a la Comunidad autónoma recurrente la sanidad animal cuando no tenga efectos sobre la salud humana y la protección de los animales. Al mismo tiempo, la competencia compartida en materia de sanidad y salud pública incluye la sanidad animal con efectos sobre la salud humana [art. 162.3 b) EAC]. De ello hay que entender que la competencia sobre sanidad animal en el sector ganadero es sustancialmente una competencia sanitaria aunque se proyecte en éste ámbito. Tal y como precisó la STC 31/2010, FFJJ 59, 60 y 64, la asunción por la Comunidad Autónoma de competencias exclusivas no impide el ejercicio de las exclusivas del Estado </w:t>
      </w:r>
      <w:r w:rsidRPr="0085709A">
        <w:rPr>
          <w:i/>
        </w:rPr>
        <w:t>ex</w:t>
      </w:r>
      <w:r>
        <w:t xml:space="preserve"> art. 149.1 CE, sea cuando éstas concurren con las autonómicas sobre el mismo espacio físico u objeto jurídico, sea cuando se trate de materias de competencia compartida, cualquiera que sea la utilización de los términos “competencia exclusiva” o “competencias exclusivas” en los preceptos del Estatuto. En aplicación de esta doctrina, las competencias asumidas por la Comunidad Autónoma en el apartado d) del art. 116.1 EAC están limitadas por las citadas competencias estatales, y así lo tuvo en cuenta la STC 6/2014, de 27 de enero, FJ 4.</w:t>
      </w:r>
    </w:p>
    <w:p w:rsidR="0085709A" w:rsidRDefault="0085709A" w:rsidP="0085709A">
      <w:pPr>
        <w:pStyle w:val="TextoNormal"/>
      </w:pPr>
    </w:p>
    <w:p w:rsidR="0085709A" w:rsidRDefault="0085709A" w:rsidP="0085709A">
      <w:pPr>
        <w:pStyle w:val="TextoNormal"/>
      </w:pPr>
      <w:r>
        <w:lastRenderedPageBreak/>
        <w:t>Esto afirmado, cabe señalar que, a la hora de abordar la acomodación de los concretos preceptos impugnados al orden constitucional de competencias, debe partirse de la más específica en que estos se sustentan que es, por otra parte, la técnica utilizada en la Sentencia más reciente en materia de ganadería, la STC 6/2014.</w:t>
      </w:r>
    </w:p>
    <w:p w:rsidR="0085709A" w:rsidRDefault="0085709A" w:rsidP="0085709A">
      <w:pPr>
        <w:pStyle w:val="TextoNormal"/>
      </w:pPr>
    </w:p>
    <w:p w:rsidR="0085709A" w:rsidRDefault="0085709A" w:rsidP="0085709A">
      <w:pPr>
        <w:pStyle w:val="TextoNormal"/>
      </w:pPr>
      <w:r>
        <w:t>Para esta labor, que acometeremos en los siguientes fundamentos jurídicos, se tendrá en cuenta el contenido de los preceptos impugnados y la finalidad que éstos persiguen, no sin antes rechazar el argumento de la Abogacía del Estado, según el cual el alcance de las competencias estatales sería más intenso dado que las obligaciones internacionales asumidas por el Estado obligan a reforzar la homogeneización de los aspectos técnicos y operativos. Pues bien, el reparto interno de competencias no viene prejuzgado por el Derecho comunitario europeo que, salvo excepción, reconoce a los Estados miembros plena autonomía para ordenar la organización interna y el procedimiento destinado al desarrollo y ejecución del Derecho europeo conforme a las propias normas nacionales. En conclusión, este tipo de cuestiones deben resolverse exclusivamente conforme a las normas constitucionales y estatutarias de distribución de competencias, tal y como este Tribunal ha señalado en reiteradas ocasiones. En concreto, en materia de ganadería, cabe citar por todas la STC 79/1992, de 28 de mayo, FJ 10.</w:t>
      </w:r>
    </w:p>
    <w:p w:rsidR="0085709A" w:rsidRDefault="0085709A" w:rsidP="0085709A">
      <w:pPr>
        <w:pStyle w:val="TextoNormal"/>
      </w:pPr>
    </w:p>
    <w:p w:rsidR="0085709A" w:rsidRDefault="0085709A" w:rsidP="0085709A">
      <w:pPr>
        <w:pStyle w:val="TextoNormal"/>
      </w:pPr>
      <w:r w:rsidRPr="0085709A">
        <w:rPr>
          <w:rStyle w:val="NumeroAFNegritaCaracter"/>
        </w:rPr>
        <w:t>3</w:t>
      </w:r>
      <w:r>
        <w:t>. Se impugna el apartado 3 del art. 4 del Real Decreto 804/2011, “condiciones generales de las construcciones e instalaciones”, cuyo tenor literal es el siguiente:</w:t>
      </w:r>
    </w:p>
    <w:p w:rsidR="0085709A" w:rsidRDefault="0085709A" w:rsidP="0085709A">
      <w:pPr>
        <w:pStyle w:val="TextoNormal"/>
      </w:pPr>
    </w:p>
    <w:p w:rsidR="0085709A" w:rsidRDefault="0085709A" w:rsidP="0085709A">
      <w:pPr>
        <w:pStyle w:val="TextoNormal"/>
      </w:pPr>
      <w:r>
        <w:t>“a) La explotación se situará en un área delimitada, aislada del exterior y que permita un control eficaz de entradas y salidas de vehículos, personas y animales mediante un vallado perimetral o sistemas equivalentes.</w:t>
      </w:r>
    </w:p>
    <w:p w:rsidR="0085709A" w:rsidRDefault="0085709A" w:rsidP="0085709A">
      <w:pPr>
        <w:pStyle w:val="TextoNormal"/>
      </w:pPr>
    </w:p>
    <w:p w:rsidR="0085709A" w:rsidRDefault="0085709A" w:rsidP="0085709A">
      <w:pPr>
        <w:pStyle w:val="TextoNormal"/>
      </w:pPr>
      <w:r>
        <w:t>b) La explotación dispondrá de un sistema apropiado a las características de cada explotación para la correcta limpieza y desinfección de vehículos, calzado de los operarios y visitantes, y locales, material y utensilios que están en contacto con los animales.</w:t>
      </w:r>
    </w:p>
    <w:p w:rsidR="0085709A" w:rsidRDefault="0085709A" w:rsidP="0085709A">
      <w:pPr>
        <w:pStyle w:val="TextoNormal"/>
      </w:pPr>
    </w:p>
    <w:p w:rsidR="0085709A" w:rsidRDefault="0085709A" w:rsidP="0085709A">
      <w:pPr>
        <w:pStyle w:val="TextoNormal"/>
      </w:pPr>
      <w:r>
        <w:t>c) Deberán disponer de agua en cantidad y calidad higiénica adecuadas para los animales y de dispositivos de reserva de agua o sistemas equivalentes que aseguren su suministro adecuado en todo caso.</w:t>
      </w:r>
    </w:p>
    <w:p w:rsidR="0085709A" w:rsidRDefault="0085709A" w:rsidP="0085709A">
      <w:pPr>
        <w:pStyle w:val="TextoNormal"/>
      </w:pPr>
    </w:p>
    <w:p w:rsidR="0085709A" w:rsidRDefault="0085709A" w:rsidP="0085709A">
      <w:pPr>
        <w:pStyle w:val="TextoNormal"/>
      </w:pPr>
      <w:r>
        <w:t>d) Deberán disponer de sistemas apropiados de manejo de los animales, diseñados para facilitar la aplicación de medidas zootécnicas así como los trabajos de identificación y control.</w:t>
      </w:r>
    </w:p>
    <w:p w:rsidR="0085709A" w:rsidRDefault="0085709A" w:rsidP="0085709A">
      <w:pPr>
        <w:pStyle w:val="TextoNormal"/>
      </w:pPr>
    </w:p>
    <w:p w:rsidR="0085709A" w:rsidRDefault="0085709A" w:rsidP="0085709A">
      <w:pPr>
        <w:pStyle w:val="TextoNormal"/>
      </w:pPr>
      <w:r>
        <w:t>e) Dispondrán de un almacén o área destinada específicamente al almacenamiento de piensos que evite su deterioro, la contaminación por agentes exógenos y el acceso de animales.</w:t>
      </w:r>
    </w:p>
    <w:p w:rsidR="0085709A" w:rsidRDefault="0085709A" w:rsidP="0085709A">
      <w:pPr>
        <w:pStyle w:val="TextoNormal"/>
      </w:pPr>
    </w:p>
    <w:p w:rsidR="0085709A" w:rsidRDefault="0085709A" w:rsidP="0085709A">
      <w:pPr>
        <w:pStyle w:val="TextoNormal"/>
      </w:pPr>
      <w:r>
        <w:t>f) Contarán con medios adecuados para la observación y aislamiento de animales sospechosos de estar infectados por enfermedades infecciosas o infectados por las mismas, con arreglo a las características de la explotación.</w:t>
      </w:r>
    </w:p>
    <w:p w:rsidR="0085709A" w:rsidRDefault="0085709A" w:rsidP="0085709A">
      <w:pPr>
        <w:pStyle w:val="TextoNormal"/>
      </w:pPr>
    </w:p>
    <w:p w:rsidR="0085709A" w:rsidRDefault="0085709A" w:rsidP="0085709A">
      <w:pPr>
        <w:pStyle w:val="TextoNormal"/>
      </w:pPr>
      <w:r>
        <w:t xml:space="preserve">g) Para la gestión de los estiércoles generados en las instalaciones de estabulación, deberán disponer de estercoleros impermeabilizados natural o artificialmente, que eviten el </w:t>
      </w:r>
      <w:r>
        <w:lastRenderedPageBreak/>
        <w:t>riesgo de filtración y contaminación de las aguas superficiales o subterráneas, con capacidad suficiente para permitir la gestión adecuada de los mismos.</w:t>
      </w:r>
    </w:p>
    <w:p w:rsidR="0085709A" w:rsidRDefault="0085709A" w:rsidP="0085709A">
      <w:pPr>
        <w:pStyle w:val="TextoNormal"/>
      </w:pPr>
    </w:p>
    <w:p w:rsidR="0085709A" w:rsidRDefault="0085709A" w:rsidP="0085709A">
      <w:pPr>
        <w:pStyle w:val="TextoNormal"/>
      </w:pPr>
      <w:r>
        <w:t>h) En el caso de concentraciones de équidos para concursos o competiciones o para actividades de carácter lúdico o cultural deberán, si la autoridad competente así lo considera necesario, disponer de dispositivos de ducha para caballos y tener acceso a asistencia veterinaria.</w:t>
      </w:r>
    </w:p>
    <w:p w:rsidR="0085709A" w:rsidRDefault="0085709A" w:rsidP="0085709A">
      <w:pPr>
        <w:pStyle w:val="TextoNormal"/>
      </w:pPr>
    </w:p>
    <w:p w:rsidR="0085709A" w:rsidRDefault="0085709A" w:rsidP="0085709A">
      <w:pPr>
        <w:pStyle w:val="TextoNormal"/>
      </w:pPr>
      <w:r>
        <w:t>No obstante lo anterior, lo previsto en la letra a) no será de aplicación a las poblaciones de équidos que vivan en condiciones silvestres o semi-silvestres, lo previsto en las letras b), e), f) y g) no serán de aplicación a las explotaciones equinas extensivas, y lo establecido en las letras b), d), e) y f) g) no serán de aplicación a las explotaciones equinas de pequeña capacidad aunque deberán realizar una adecuada gestión de estiércoles.”</w:t>
      </w:r>
    </w:p>
    <w:p w:rsidR="0085709A" w:rsidRDefault="0085709A" w:rsidP="0085709A">
      <w:pPr>
        <w:pStyle w:val="TextoNormal"/>
      </w:pPr>
    </w:p>
    <w:p w:rsidR="0085709A" w:rsidRDefault="0085709A" w:rsidP="0085709A">
      <w:pPr>
        <w:pStyle w:val="TextoNormal"/>
      </w:pPr>
      <w:r>
        <w:t>El apartado impugnado desarrolla los arts. 36, 37 y 54 de la Ley 8/2003, de sanidad animal. En concreto el art. 36.2 de dicha Ley prevé que las condiciones sanitarias básicas que deben cumplir las explotaciones de animales serán las que establezca la normativa vigente. En todo caso, las explotaciones intensivas y los alojamientos en las extensivas deberán estar aislados, de tal forma que se limite y regule sanitariamente el libre acceso de personas, animales y vehículos. El art. 37 establece que cualquier actividad de explotación animal estará supeditada a la eliminación higiénica de efluentes, subproductos de explotación, residuos de especial tratamiento y cadáveres, de acuerdo con las normas de sanidad animal, salud pública y protección del medio ambiente. Finalmente el art. 54 al regular los requisitos para la autorización de certámenes pecuarios, que corresponde al órgano competente de la Comunidad Autónoma en que radiquen, exige que tengan un emplazamiento higiénico, con unas instalaciones adecuadas, y estar distanciados de explotaciones ganaderas o instalaciones que puedan ser fuente o vehículo de enfermedades de los animales; disponer de medios humanos, materiales y técnicos necesarios para asegurar el correcto desarrollo del certamen, así como un centro de limpieza y desinfección en, al menos, los certámenes de ganado de carácter nacional o en los que se pretenda destinar los animales a comercio intracomunitario. Este precepto remite al reglamento para el resto de requisitos específicos.</w:t>
      </w:r>
    </w:p>
    <w:p w:rsidR="0085709A" w:rsidRDefault="0085709A" w:rsidP="0085709A">
      <w:pPr>
        <w:pStyle w:val="TextoNormal"/>
      </w:pPr>
    </w:p>
    <w:p w:rsidR="0085709A" w:rsidRDefault="0085709A" w:rsidP="0085709A">
      <w:pPr>
        <w:pStyle w:val="TextoNormal"/>
      </w:pPr>
      <w:r>
        <w:t xml:space="preserve">A la vista de su contenido, no cabe duda de que la competencia estatal que se relaciona más efectivamente con el apartado impugnado es la sanidad, materia en la que el Estado dispone, </w:t>
      </w:r>
      <w:r w:rsidRPr="0085709A">
        <w:rPr>
          <w:i/>
        </w:rPr>
        <w:t>ex</w:t>
      </w:r>
      <w:r>
        <w:t xml:space="preserve"> art. 149.1.16 CE, de la capacidad para establecer las normas básicas y coordinación.</w:t>
      </w:r>
    </w:p>
    <w:p w:rsidR="0085709A" w:rsidRDefault="0085709A" w:rsidP="0085709A">
      <w:pPr>
        <w:pStyle w:val="TextoNormal"/>
      </w:pPr>
    </w:p>
    <w:p w:rsidR="0085709A" w:rsidRDefault="0085709A" w:rsidP="0085709A">
      <w:pPr>
        <w:pStyle w:val="TextoNormal"/>
      </w:pPr>
      <w:r>
        <w:t xml:space="preserve">La inclusión de normas básicas en una disposición reglamentaria obliga a determinar si son formal y materialmente básicas. La disposición final quinta de la Ley 8/2003 autoriza al Gobierno a dictar cuantas disposiciones sean precisas para la aplicación y desarrollo de esta Ley, de manera que una interpretación sistemática de la misma debe llevar a entender que la remisión a la “normativa vigente” que realiza el art. 36.2 para la determinación de las condiciones sanitarias básicas, o la llamada del art. 37 a las “normas de sanidad animal”, o finalmente la remisión al reglamento para completar los requisitos exigidos a los certámenes, lejos de establecer una reserva de competencia autonómica, como alega la Comunidad recurrente, incluye el desarrollo por el Gobierno, en una materia esencialmente técnica, de lo regulado en la propia ley en lo que sea preciso para garantizar el mínimo denominador común de aplicación en todo el territorio, que es, en definitiva, lo que supone la legislación </w:t>
      </w:r>
      <w:r>
        <w:lastRenderedPageBreak/>
        <w:t>básica. Ello no es óbice para que, aun cuando lo básico pueda, como ocurre en este caso, tener acomodo en una norma reglamentaria, le sea exigible, como a las leyes, que su carácter básico se declare expresamente en la norma o se infiera de su estructura en la misma medida para evitar elementos de confusión e incertidumbre (STC 158/2011, de 19 de octubre, FJ 7). Este requisito se ve satisfecho por la disposición final segunda del Real Decreto cuestionado cuando establece que se dicta al amparo de lo dispuesto en el artículo 149.1.13 y 16 de la Constitución.</w:t>
      </w:r>
    </w:p>
    <w:p w:rsidR="0085709A" w:rsidRDefault="0085709A" w:rsidP="0085709A">
      <w:pPr>
        <w:pStyle w:val="TextoNormal"/>
      </w:pPr>
    </w:p>
    <w:p w:rsidR="0085709A" w:rsidRDefault="0085709A" w:rsidP="0085709A">
      <w:pPr>
        <w:pStyle w:val="TextoNormal"/>
      </w:pPr>
      <w:r>
        <w:t>Lo señalado conduce a considerar que la Ley 8/2003 otorga cobertura al precepto impugnado, en cuanto que establece, para un concreto tipo de explotaciones ganaderas, las equinas, prescripciones técnicas sanitarias y relativas al tratamiento para la eliminación de un tipo de subproducto, el estiércol, directamente relacionado con la sanidad animal y humana, con el medio ambiente etc. Ello, junto con la afirmación de su carácter básico por la disposición final segunda del reglamento impugnado, permite entender justificado el cumplimiento de las exigencias de la normativa básica desde la perspectiva formal.</w:t>
      </w:r>
    </w:p>
    <w:p w:rsidR="0085709A" w:rsidRDefault="0085709A" w:rsidP="0085709A">
      <w:pPr>
        <w:pStyle w:val="TextoNormal"/>
      </w:pPr>
    </w:p>
    <w:p w:rsidR="0085709A" w:rsidRDefault="0085709A" w:rsidP="0085709A">
      <w:pPr>
        <w:pStyle w:val="TextoNormal"/>
      </w:pPr>
      <w:r>
        <w:t>Materialmente, todas estas medidas —aislamiento y control de entradas; sistema de limpieza y desinfección; agua; sistemas de tratamiento de animales adaptados a la aplicación de medidas zootécnicas; aislamiento de alimentos para caballos; observación de animales sintomáticos, medidas de limpieza de équidos en los certámenes y medidas de eliminación del estiércol— tienen la finalidad de minimizar los riesgos sanitarios y medioambientales de todo orden que generan estas explotaciones y la eliminación de sus residuos. Ahora bien, como recuerdan las SSTC 207/2011, de 20 de diciembre, FJ 8, y 158/2011, FJ 10, estas normas básicas deben ser de mínimos, pudiendo ser completadas con mayor rigor de protección por las Comunidades Autónomas sin que lo básico tenga vetado la regulación de lo obvio, redundante o propio del sentido común, pues corresponde al Estado definir el contenido material de lo básico siempre que se respeten los límites anteriormente enunciados.</w:t>
      </w:r>
    </w:p>
    <w:p w:rsidR="0085709A" w:rsidRDefault="0085709A" w:rsidP="0085709A">
      <w:pPr>
        <w:pStyle w:val="TextoNormal"/>
      </w:pPr>
    </w:p>
    <w:p w:rsidR="0085709A" w:rsidRDefault="0085709A" w:rsidP="0085709A">
      <w:pPr>
        <w:pStyle w:val="TextoNormal"/>
      </w:pPr>
      <w:r>
        <w:t>Pues bien, las prescripciones que contiene el apartado impugnado utilizan conceptos indeterminados que permiten su concreción por la Comunidad Autónoma a quien corresponde la definición de los sistemas de cerramiento equivalentes al vallado, de los controles eficaces de salidas; de los sistemas de desinfección, de la cantidad y calidad del agua, de los sistemas de manejo de animales, de las características del almacén de piensos, de los medios para la observación de los animales, de las formas de impermeabilización de estercoleros y su capacidad, etc.</w:t>
      </w:r>
    </w:p>
    <w:p w:rsidR="0085709A" w:rsidRDefault="0085709A" w:rsidP="0085709A">
      <w:pPr>
        <w:pStyle w:val="TextoNormal"/>
      </w:pPr>
    </w:p>
    <w:p w:rsidR="0085709A" w:rsidRDefault="0085709A" w:rsidP="0085709A">
      <w:pPr>
        <w:pStyle w:val="TextoNormal"/>
      </w:pPr>
      <w:r>
        <w:t>En consecuencia, el apartado 3 del art. 4 del Real Decreto 804/2011 no vulnera las competencias autonómicas.</w:t>
      </w:r>
    </w:p>
    <w:p w:rsidR="0085709A" w:rsidRDefault="0085709A" w:rsidP="0085709A">
      <w:pPr>
        <w:pStyle w:val="TextoNormal"/>
      </w:pPr>
    </w:p>
    <w:p w:rsidR="0085709A" w:rsidRDefault="0085709A" w:rsidP="0085709A">
      <w:pPr>
        <w:pStyle w:val="TextoNormal"/>
      </w:pPr>
      <w:r w:rsidRPr="0085709A">
        <w:rPr>
          <w:rStyle w:val="NumeroAFNegritaCaracter"/>
        </w:rPr>
        <w:t>4</w:t>
      </w:r>
      <w:r>
        <w:t>. Se impugna el apartado 5 del art. 4, “condiciones para garantizar el bienestar animal” cuyo tenor es el siguiente:</w:t>
      </w:r>
    </w:p>
    <w:p w:rsidR="0085709A" w:rsidRDefault="0085709A" w:rsidP="0085709A">
      <w:pPr>
        <w:pStyle w:val="TextoNormal"/>
      </w:pPr>
    </w:p>
    <w:p w:rsidR="0085709A" w:rsidRDefault="0085709A" w:rsidP="0085709A">
      <w:pPr>
        <w:pStyle w:val="TextoNormal"/>
      </w:pPr>
      <w:r>
        <w:t>“Sin perjuicio de lo previsto en la Ley 32/2007, de 7 de noviembre, para el cuidado de los animales en su explotación, transporte y sacrificio, deberán cumplirse los siguientes requisitos:</w:t>
      </w:r>
    </w:p>
    <w:p w:rsidR="0085709A" w:rsidRDefault="0085709A" w:rsidP="0085709A">
      <w:pPr>
        <w:pStyle w:val="TextoNormal"/>
      </w:pPr>
    </w:p>
    <w:p w:rsidR="0085709A" w:rsidRDefault="0085709A" w:rsidP="0085709A">
      <w:pPr>
        <w:pStyle w:val="TextoNormal"/>
      </w:pPr>
      <w:r>
        <w:lastRenderedPageBreak/>
        <w:t>a) Las explotaciones dispondrán de instalaciones o sistemas apropiados que permitan, en la medida en que sea necesario y posible, la protección contra las inclemencias del tiempo y los depredadores.</w:t>
      </w:r>
    </w:p>
    <w:p w:rsidR="0085709A" w:rsidRDefault="0085709A" w:rsidP="0085709A">
      <w:pPr>
        <w:pStyle w:val="TextoNormal"/>
      </w:pPr>
    </w:p>
    <w:p w:rsidR="0085709A" w:rsidRDefault="0085709A" w:rsidP="0085709A">
      <w:pPr>
        <w:pStyle w:val="TextoNormal"/>
      </w:pPr>
      <w:r>
        <w:t>b) Los materiales que se utilicen para la construcción, en particular de recintos y de equipos con los que los animales puedan estar en contacto, no deberán ser perjudiciales para los animales y deberán poderse limpiar y desinfectar a fondo.</w:t>
      </w:r>
    </w:p>
    <w:p w:rsidR="0085709A" w:rsidRDefault="0085709A" w:rsidP="0085709A">
      <w:pPr>
        <w:pStyle w:val="TextoNormal"/>
      </w:pPr>
    </w:p>
    <w:p w:rsidR="0085709A" w:rsidRDefault="0085709A" w:rsidP="0085709A">
      <w:pPr>
        <w:pStyle w:val="TextoNormal"/>
      </w:pPr>
      <w:r>
        <w:t>c) Las instalaciones para alojar a los animales se construirán y mantendrán de forma que no presenten bordes afilados ni salientes, que puedan causar heridas a los animales, y que contemplen el necesario vallado en función del tipo de explotación, salvo, en este último caso, en las explotaciones extensivas, pastos y de animales silvestres o semisilvestres.</w:t>
      </w:r>
    </w:p>
    <w:p w:rsidR="0085709A" w:rsidRDefault="0085709A" w:rsidP="0085709A">
      <w:pPr>
        <w:pStyle w:val="TextoNormal"/>
      </w:pPr>
    </w:p>
    <w:p w:rsidR="0085709A" w:rsidRDefault="0085709A" w:rsidP="0085709A">
      <w:pPr>
        <w:pStyle w:val="TextoNormal"/>
      </w:pPr>
      <w:r>
        <w:t>d) En el interior de las construcciones donde se alojen animales, la circulación del aire, el nivel de polvo, la temperatura, la humedad relativa del aire y la concentración de gases deben mantenerse dentro de los límites que no sean perjudiciales.</w:t>
      </w:r>
    </w:p>
    <w:p w:rsidR="0085709A" w:rsidRDefault="0085709A" w:rsidP="0085709A">
      <w:pPr>
        <w:pStyle w:val="TextoNormal"/>
      </w:pPr>
    </w:p>
    <w:p w:rsidR="0085709A" w:rsidRDefault="0085709A" w:rsidP="0085709A">
      <w:pPr>
        <w:pStyle w:val="TextoNormal"/>
      </w:pPr>
      <w:r>
        <w:t>e) No se limitará la libertad de movimientos propia de los animales de manera que se les cause sufrimiento o daños innecesarios, teniendo en cuenta la edad del animal y su estado fisiológico.</w:t>
      </w:r>
    </w:p>
    <w:p w:rsidR="0085709A" w:rsidRDefault="0085709A" w:rsidP="0085709A">
      <w:pPr>
        <w:pStyle w:val="TextoNormal"/>
      </w:pPr>
    </w:p>
    <w:p w:rsidR="0085709A" w:rsidRDefault="0085709A" w:rsidP="0085709A">
      <w:pPr>
        <w:pStyle w:val="TextoNormal"/>
      </w:pPr>
      <w:r>
        <w:t>f) Los animales deberán recibir una alimentación sana, que sea adecuada a su edad y especie y en suficiente cantidad con el fin de mantener su buen estado de salud y de satisfacer sus necesidades de nutrición. Todos los animales deberán tener acceso al agua, en cantidad y calidad suficiente.”</w:t>
      </w:r>
    </w:p>
    <w:p w:rsidR="0085709A" w:rsidRDefault="0085709A" w:rsidP="0085709A">
      <w:pPr>
        <w:pStyle w:val="TextoNormal"/>
      </w:pPr>
    </w:p>
    <w:p w:rsidR="0085709A" w:rsidRDefault="0085709A" w:rsidP="0085709A">
      <w:pPr>
        <w:pStyle w:val="TextoNormal"/>
      </w:pPr>
      <w:r>
        <w:t>La materia más directamente afectada en este caso es la sanidad animal, en la que debe circunscribirse el bienestar animal por la estrecha relación que guarda con ésta. En concreto, el art. 4 de la Ley 32/2007, de 7 de noviembre, para el cuidado de los animales, en su explotación, transporte, experimentación y sacrificio, determina que las Administraciones públicas adoptarán las medidas necesarias para asegurar que, en las explotaciones, los animales no padezcan dolores, sufrimientos o daños inútiles, para lo que se tendrá en cuenta su especie y grado de desarrollo, adaptación y domesticación, así como sus necesidades fisiológicas y etiológicas, de acuerdo con la experiencia adquirida, los conocimientos científicos y la normativa comunitaria y nacional de aplicación en cada caso. La disposición sexta de esta Ley autoriza al Gobierno, en el ámbito de las competencias del Estado, a dictar cuantas disposiciones sean precisas para la aplicación y desarrollo de esta Ley, y en particular, para concretar el régimen de infracciones y sanciones dispuesto en esta Ley.</w:t>
      </w:r>
    </w:p>
    <w:p w:rsidR="0085709A" w:rsidRDefault="0085709A" w:rsidP="0085709A">
      <w:pPr>
        <w:pStyle w:val="TextoNormal"/>
      </w:pPr>
    </w:p>
    <w:p w:rsidR="0085709A" w:rsidRDefault="0085709A" w:rsidP="0085709A">
      <w:pPr>
        <w:pStyle w:val="TextoNormal"/>
      </w:pPr>
      <w:r>
        <w:t xml:space="preserve">Cabe concluir, por las mismas razones señaladas en relación al apartado cuarto de este mismo precepto, que esta regulación es formal y materialmente básica. Lo es formalmente a la vista de la remisión que la disposición final sexta realiza al desarrollo reglamentario del Gobierno sin perjuicio de la competencia de las Administraciones competentes para su desarrollo, y de la disposición final segunda del reglamento impugnado que afirma su carácter básico. Materialmente, porque todas las prescripciones establecidas en el apartado impugnado tienden a garantizar que los équidos no sufran dolor, padecimiento o daños inútiles, dejando un amplio margen de desarrollo normativo a las Comunidades Autónomas, ya que los conceptos jurídicos indeterminados que se utilizan para la determinación de las bases, </w:t>
      </w:r>
      <w:r>
        <w:lastRenderedPageBreak/>
        <w:t>tales como instalaciones apropiadas; materiales no perjudiciales, límites que no sean perjudiciales, edad del animal y estado fisiológico etc. permiten su concreción por la Comunidad Autónoma. Esta conclusión se ve corroborada, a mayor abundamiento, por la propia recurrente cuando afirma que se trata de obviedades y redundancias y que, precisamente por ello, no tienen cabida en el título de lo básico. En razón de lo expuesto, el apartado 5 del art. 4 del Real Decreto 804/2011 no vulnera las competencias de la Comunidad recurrente.</w:t>
      </w:r>
    </w:p>
    <w:p w:rsidR="0085709A" w:rsidRDefault="0085709A" w:rsidP="0085709A">
      <w:pPr>
        <w:pStyle w:val="TextoNormal"/>
      </w:pPr>
    </w:p>
    <w:p w:rsidR="0085709A" w:rsidRDefault="0085709A" w:rsidP="0085709A">
      <w:pPr>
        <w:pStyle w:val="TextoNormal"/>
      </w:pPr>
      <w:r w:rsidRPr="0085709A">
        <w:rPr>
          <w:rStyle w:val="NumeroAFNegritaCaracter"/>
        </w:rPr>
        <w:t>5</w:t>
      </w:r>
      <w:r>
        <w:t>. El art. 6.1 del reglamento impugnado establece:</w:t>
      </w:r>
    </w:p>
    <w:p w:rsidR="0085709A" w:rsidRDefault="0085709A" w:rsidP="0085709A">
      <w:pPr>
        <w:pStyle w:val="TextoNormal"/>
      </w:pPr>
    </w:p>
    <w:p w:rsidR="0085709A" w:rsidRDefault="0085709A" w:rsidP="0085709A">
      <w:pPr>
        <w:pStyle w:val="TextoNormal"/>
      </w:pPr>
      <w:r>
        <w:t xml:space="preserve">“El libro de explotación, que podrá ser llevado de forma electrónica, deberá tener un formato aprobado por la autoridad competente y deberá contener los datos mínimos que se indican en el anexo IV. No obstante lo anterior, el libro de explotación de los mataderos podrá no incluir los datos contenidos en los párrafos b), f), g), j), k) y l) del anexo IV, debiendo, además, en cualquier caso, retener el DIE del animal sacrificado, y hacer constar en el libro de explotación que se ha comprobado que en el DIE adjunto consta expresamente, en la parte II de su sección IX, que se trata de un animal destinado desde su origen al sacrificio para consumo humano. Lo señalado en este apartado se entenderá sin perjuicio del resto de comprobaciones de las restantes secciones del DIE y sin perjuicio del resto de información que debe tener en su poder a efectos del cumplimiento del Real Decreto 361/2009, de 20 de marzo, por el que se regula la información sobre la cadena alimentaria que debe acompañar a los animales destinados a sacrificio, y de acreditación de lo exigido en el Real Decreto 54/1995, de 20 de enero, sobre protección de los animales en el momento de su sacrificio o matanza y, en este último caso, a </w:t>
      </w:r>
      <w:r>
        <w:tab/>
        <w:t>partir del 1 de enero de 2013, en el Reglamento (CE) n.º 1099/2009, del Consejo, de 24 de septiembre de 2009.”</w:t>
      </w:r>
    </w:p>
    <w:p w:rsidR="0085709A" w:rsidRDefault="0085709A" w:rsidP="0085709A">
      <w:pPr>
        <w:pStyle w:val="TextoNormal"/>
      </w:pPr>
    </w:p>
    <w:p w:rsidR="0085709A" w:rsidRDefault="0085709A" w:rsidP="0085709A">
      <w:pPr>
        <w:pStyle w:val="TextoNormal"/>
      </w:pPr>
      <w:r>
        <w:t>El tenor del anexo IV titulado “contenido mínimo del Libro de explotación", es el siguiente:</w:t>
      </w:r>
    </w:p>
    <w:p w:rsidR="0085709A" w:rsidRDefault="0085709A" w:rsidP="0085709A">
      <w:pPr>
        <w:pStyle w:val="TextoNormal"/>
      </w:pPr>
    </w:p>
    <w:p w:rsidR="0085709A" w:rsidRDefault="0085709A" w:rsidP="0085709A">
      <w:pPr>
        <w:pStyle w:val="TextoNormal"/>
      </w:pPr>
      <w:r>
        <w:t>“a) Código REGA de la explotación.</w:t>
      </w:r>
    </w:p>
    <w:p w:rsidR="0085709A" w:rsidRDefault="0085709A" w:rsidP="0085709A">
      <w:pPr>
        <w:pStyle w:val="TextoNormal"/>
      </w:pPr>
    </w:p>
    <w:p w:rsidR="0085709A" w:rsidRDefault="0085709A" w:rsidP="0085709A">
      <w:pPr>
        <w:pStyle w:val="TextoNormal"/>
      </w:pPr>
      <w:r>
        <w:t>b) Nombre, coordenadas geográficas y/o dirección de la explotación.</w:t>
      </w:r>
    </w:p>
    <w:p w:rsidR="0085709A" w:rsidRDefault="0085709A" w:rsidP="0085709A">
      <w:pPr>
        <w:pStyle w:val="TextoNormal"/>
      </w:pPr>
    </w:p>
    <w:p w:rsidR="0085709A" w:rsidRDefault="0085709A" w:rsidP="0085709A">
      <w:pPr>
        <w:pStyle w:val="TextoNormal"/>
      </w:pPr>
      <w:r>
        <w:t>c) Identificación del titular, NIF, pasaporte o tarjeta de residencia, dirección completa y, en su caso, teléfono fijo y/o móvil, y/o fax.</w:t>
      </w:r>
    </w:p>
    <w:p w:rsidR="0085709A" w:rsidRDefault="0085709A" w:rsidP="0085709A">
      <w:pPr>
        <w:pStyle w:val="TextoNormal"/>
      </w:pPr>
    </w:p>
    <w:p w:rsidR="0085709A" w:rsidRDefault="0085709A" w:rsidP="0085709A">
      <w:pPr>
        <w:pStyle w:val="TextoNormal"/>
      </w:pPr>
      <w:r>
        <w:t>d) Códigos de identificación de los animales presentes en la explotación, de acuerdo con lo establecido en el Real Decreto1515/2009, de 2 de octubre.</w:t>
      </w:r>
    </w:p>
    <w:p w:rsidR="0085709A" w:rsidRDefault="0085709A" w:rsidP="0085709A">
      <w:pPr>
        <w:pStyle w:val="TextoNormal"/>
      </w:pPr>
    </w:p>
    <w:p w:rsidR="0085709A" w:rsidRDefault="0085709A" w:rsidP="0085709A">
      <w:pPr>
        <w:pStyle w:val="TextoNormal"/>
      </w:pPr>
      <w:r>
        <w:t>e) Especie, sexo, raza y fecha de nacimiento del animal.</w:t>
      </w:r>
    </w:p>
    <w:p w:rsidR="0085709A" w:rsidRDefault="0085709A" w:rsidP="0085709A">
      <w:pPr>
        <w:pStyle w:val="TextoNormal"/>
      </w:pPr>
    </w:p>
    <w:p w:rsidR="0085709A" w:rsidRDefault="0085709A" w:rsidP="0085709A">
      <w:pPr>
        <w:pStyle w:val="TextoNormal"/>
      </w:pPr>
      <w:r>
        <w:t xml:space="preserve">f) Inspecciones y controles: fecha de realización, motivo, número de acta, en su caso, e identificación </w:t>
      </w:r>
      <w:r>
        <w:tab/>
        <w:t>del veterinario actuante.</w:t>
      </w:r>
    </w:p>
    <w:p w:rsidR="0085709A" w:rsidRDefault="0085709A" w:rsidP="0085709A">
      <w:pPr>
        <w:pStyle w:val="TextoNormal"/>
      </w:pPr>
    </w:p>
    <w:p w:rsidR="0085709A" w:rsidRDefault="0085709A" w:rsidP="0085709A">
      <w:pPr>
        <w:pStyle w:val="TextoNormal"/>
      </w:pPr>
      <w:r>
        <w:t>g) Nacimientos y muertes en la explotación con la fecha del suceso.</w:t>
      </w:r>
    </w:p>
    <w:p w:rsidR="0085709A" w:rsidRDefault="0085709A" w:rsidP="0085709A">
      <w:pPr>
        <w:pStyle w:val="TextoNormal"/>
      </w:pPr>
    </w:p>
    <w:p w:rsidR="0085709A" w:rsidRDefault="0085709A" w:rsidP="0085709A">
      <w:pPr>
        <w:pStyle w:val="TextoNormal"/>
      </w:pPr>
      <w:r>
        <w:t>h) Posibles incidencias en la identificación de los animales.</w:t>
      </w:r>
    </w:p>
    <w:p w:rsidR="0085709A" w:rsidRDefault="0085709A" w:rsidP="0085709A">
      <w:pPr>
        <w:pStyle w:val="TextoNormal"/>
      </w:pPr>
    </w:p>
    <w:p w:rsidR="0085709A" w:rsidRDefault="0085709A" w:rsidP="0085709A">
      <w:pPr>
        <w:pStyle w:val="TextoNormal"/>
      </w:pPr>
      <w:r>
        <w:lastRenderedPageBreak/>
        <w:t>i) Entrada de animales: fecha, código de la explotación de procedencia, identificación del animal número de guía, certificado sanitario o documento de traslado, identificación del transportista y número de matrícula del vehículo y, en su caso, de la parte del medio de transporte que contenga a los animales.</w:t>
      </w:r>
    </w:p>
    <w:p w:rsidR="0085709A" w:rsidRDefault="0085709A" w:rsidP="0085709A">
      <w:pPr>
        <w:pStyle w:val="TextoNormal"/>
      </w:pPr>
    </w:p>
    <w:p w:rsidR="0085709A" w:rsidRDefault="0085709A" w:rsidP="0085709A">
      <w:pPr>
        <w:pStyle w:val="TextoNormal"/>
      </w:pPr>
      <w:r>
        <w:t>j) Salida de animales: fecha, código de la explotación de destino, identificación del animal y número de guía, certificado sanitario o documento de traslado.</w:t>
      </w:r>
    </w:p>
    <w:p w:rsidR="0085709A" w:rsidRDefault="0085709A" w:rsidP="0085709A">
      <w:pPr>
        <w:pStyle w:val="TextoNormal"/>
      </w:pPr>
    </w:p>
    <w:p w:rsidR="0085709A" w:rsidRDefault="0085709A" w:rsidP="0085709A">
      <w:pPr>
        <w:pStyle w:val="TextoNormal"/>
      </w:pPr>
      <w:r>
        <w:t>k) Identificación de las personas al cuidado de los animales.</w:t>
      </w:r>
    </w:p>
    <w:p w:rsidR="0085709A" w:rsidRDefault="0085709A" w:rsidP="0085709A">
      <w:pPr>
        <w:pStyle w:val="TextoNormal"/>
      </w:pPr>
    </w:p>
    <w:p w:rsidR="0085709A" w:rsidRDefault="0085709A" w:rsidP="0085709A">
      <w:pPr>
        <w:pStyle w:val="TextoNormal"/>
      </w:pPr>
      <w:r>
        <w:t xml:space="preserve">l) Nombre, apellidos y firma del representante de las autoridades competentes que haya comprobado el </w:t>
      </w:r>
      <w:r>
        <w:tab/>
        <w:t>registro y la fecha en la que se llevó a cabo la comprobación.”</w:t>
      </w:r>
    </w:p>
    <w:p w:rsidR="0085709A" w:rsidRDefault="0085709A" w:rsidP="0085709A">
      <w:pPr>
        <w:pStyle w:val="TextoNormal"/>
      </w:pPr>
    </w:p>
    <w:p w:rsidR="0085709A" w:rsidRDefault="0085709A" w:rsidP="0085709A">
      <w:pPr>
        <w:pStyle w:val="TextoNormal"/>
      </w:pPr>
      <w:r>
        <w:t>El art. 6.1 impugnado así como el anexo, que determina el contenido mínimo del libro de explotación, deben analizarse en el contexto que establece la Ley 8/2003, de sanidad animal. El art. 38 de la citada Ley regula el registro y libro de explotación, sobre el que tienen competencias las Comunidades Autónomas en la que radiquen las explotaciones, aunque contempla la existencia de un registro nacional de carácter informativo, directamente relacionado con el sistema de identificación (art. 39 de la Ley 8/2003) de las especies animales a la que nuestro Estado viene obligado por la Directiva 92/102/CEE del Consejo, de 27 de noviembre de 1992, relativa a la identificación y al registro de animales, incorporada al ordenamiento jurídico español por el Real Decreto 205/1996, de 9 de febrero, por el que se establece un sistema de identificación y registro de las especies bovina, porcina, ovina y caprina. Esta obligación del derecho europeo ha sido ampliada por el Estado español, en la Ley de sanidad, a todas las explotaciones ganaderas ubicadas en España, siendo el Real Decreto 479/2004, de 26 de marzo, el que regula este registro (REGA) así como los datos necesarios para llevar a cabo las inscripciones y la caracterización del código de identificación de cada explotación. El registro general de explotaciones ganaderas se nutre de los datos obrantes en los registros gestionados por los órganos competentes de las Comunidades Autónomas.</w:t>
      </w:r>
    </w:p>
    <w:p w:rsidR="0085709A" w:rsidRDefault="0085709A" w:rsidP="0085709A">
      <w:pPr>
        <w:pStyle w:val="TextoNormal"/>
      </w:pPr>
    </w:p>
    <w:p w:rsidR="0085709A" w:rsidRDefault="0085709A" w:rsidP="0085709A">
      <w:pPr>
        <w:pStyle w:val="TextoNormal"/>
      </w:pPr>
      <w:r>
        <w:t>La materia en la que se inscribe el apartado impugnado tiene, en consecuencia, directa conexión con la sanidad animal a la que sirve la identificación de las especies, pues tal y como este Tribunal afirmó en la STC 158/2011, de 19 de octubre, FJ 11: “No existe duda, por tanto, que la identificación del ganado forma parte de un conjunto de medidas sanitarias dirigidas a la prevención y lucha contra las enfermedades de los animales, siendo más específica esta finalidad que otras de orden económico o medioambiental que, sin duda, también están presentes”. El apartado impugnado es formalmente básico, pues constituye un desarrollo para las explotaciones equinas de la previsión de los arts. 38 y 39 de la Ley 8/2003, amparado por la disposición final quinta de esta norma legal. Y es materialmente básico pues se limita a establecer cuándo es exigible, a determinar que podrá ser llevado de forma electrónica, que deberá tener un formato aprobado por la autoridad competente y deberá contener los datos mínimos que se indican en el anexo IV, según el tipo de explotación, dejando un margen de desarrollo normativo a las Comunidades Autónomas. En concreto, es necesaria la determinación de los datos mínimos para que el registro general de explotaciones ganaderas pueda cumplir su función informativa, sin perjuicio de que la Comunidad Autónoma recurrente pueda ampliarlos en aquello que considere necesario para el ejercicio de sus competencias y, en especial, de la asumida en materia de ganadería.</w:t>
      </w:r>
    </w:p>
    <w:p w:rsidR="0085709A" w:rsidRDefault="0085709A" w:rsidP="0085709A">
      <w:pPr>
        <w:pStyle w:val="TextoNormal"/>
      </w:pPr>
    </w:p>
    <w:p w:rsidR="0085709A" w:rsidRDefault="0085709A" w:rsidP="0085709A">
      <w:pPr>
        <w:pStyle w:val="TextoNormal"/>
      </w:pPr>
      <w:r w:rsidRPr="0085709A">
        <w:rPr>
          <w:rStyle w:val="NumeroAFNegritaCaracter"/>
        </w:rPr>
        <w:t>6</w:t>
      </w:r>
      <w:r>
        <w:t>. Se impugna el apartado 2 del art. 8 del Real Decreto 804/2011 (“El programa de control se realizará de acuerdo a lo establecido en las partes I y II del anexo III”) y el anexo III.</w:t>
      </w:r>
    </w:p>
    <w:p w:rsidR="0085709A" w:rsidRDefault="0085709A" w:rsidP="0085709A">
      <w:pPr>
        <w:pStyle w:val="TextoNormal"/>
      </w:pPr>
    </w:p>
    <w:p w:rsidR="0085709A" w:rsidRDefault="0085709A" w:rsidP="0085709A">
      <w:pPr>
        <w:pStyle w:val="TextoNormal"/>
      </w:pPr>
      <w:r>
        <w:t>Este apartado se inscribe en el art. 8, relativo a los programas sanitarios de control oficial de enfermedades equinas y de vigilancia epizootiológica, cuya ejecución corresponde a la Comunidad Autónoma. El anexo III regula los programas de control oficial frente a dos enfermedades de transmisión sexual, la arteritis viral equina (parte I) y la metritis contagiosa equina (parte II), estableciendo qué caballos, de todos los reproductores, están sujetos al programa —los destinados a la monta natural—, la periodicidad del control analítico y las condiciones para realizarlo, las técnicas analíticas a utilizar para la identificación del virus; las calificaciones sanitarias; las normas para la cubrición, y el protocolo sanitario para realizar las vacunaciones.</w:t>
      </w:r>
    </w:p>
    <w:p w:rsidR="0085709A" w:rsidRDefault="0085709A" w:rsidP="0085709A">
      <w:pPr>
        <w:pStyle w:val="TextoNormal"/>
      </w:pPr>
    </w:p>
    <w:p w:rsidR="0085709A" w:rsidRDefault="0085709A" w:rsidP="0085709A">
      <w:pPr>
        <w:pStyle w:val="TextoNormal"/>
      </w:pPr>
      <w:r>
        <w:t>La materia afectada es sin duda la sanidad, en la que se inscriben las enfermedades animales y las técnicas preventivas de las mismas (STC 158/2011, de 19 de octubre, FJ 10). Alega la Comunidad recurrente que el art. 8.2, puesto en relación con el anexo III, establece una regulación de las competencias de ejecución autonómicas que determina su ejercicio cuando se trata de enfermedades que no tienen incidencia sobre la salud humana por lo que no requerirían de una función de coordinación tan intensa.</w:t>
      </w:r>
    </w:p>
    <w:p w:rsidR="0085709A" w:rsidRDefault="0085709A" w:rsidP="0085709A">
      <w:pPr>
        <w:pStyle w:val="TextoNormal"/>
      </w:pPr>
    </w:p>
    <w:p w:rsidR="0085709A" w:rsidRDefault="0085709A" w:rsidP="0085709A">
      <w:pPr>
        <w:pStyle w:val="TextoNormal"/>
      </w:pPr>
      <w:r>
        <w:t>Sobre la función de coordinación, en concreto en materia sanitaria, este Tribunal ya afirmó en la STC 32/1983, de 28 de abril, FJ 2 que persigue la integración de la diversidad de las partes o subsistemas en el conjunto, evitando contradicciones y reduciendo disfunciones que, de subsistir, impedirían o dificultarían respectivamente la realidad misma del sistema. Por ello, aunque constituye un reforzamiento o complemento de la noción de bases, es una competencia distinta a la de fijación de las bases, y presupone lógicamente que hay algo que debe ser coordinado, esto es, presupone la existencia de competencias de las Comunidades Autónomas en materia de sanidad. El Estado, al coordinarlas, debe obviamente respetarlas, pues ni la fijación de bases ni la coordinación general deben llegar a tal grado de desarrollo que dejen vacías de contenido las correspondientes competencias de las Comunidades Autónomas. En definitiva, debe ser entendida como la fijación de medios y de sistemas de relación que hagan posible la información recíproca, la homogeneidad técnica en determinados aspectos y la acción conjunta de las autoridades sanitarias estatales y comunitarias en el ejercicio de sus respectivas competencias de tal modo que se logre la integración de actos parciales en la globalidad del sistema sanitario.</w:t>
      </w:r>
    </w:p>
    <w:p w:rsidR="0085709A" w:rsidRDefault="0085709A" w:rsidP="0085709A">
      <w:pPr>
        <w:pStyle w:val="TextoNormal"/>
      </w:pPr>
    </w:p>
    <w:p w:rsidR="0085709A" w:rsidRDefault="0085709A" w:rsidP="0085709A">
      <w:pPr>
        <w:pStyle w:val="TextoNormal"/>
      </w:pPr>
      <w:r>
        <w:t>Debe observarse que la regulación técnica que incluye el anexo III sólo afecta al control de la arteritis viral equina y la metritis contagiosa equina, quedando el resto de las enfermedades mencionadas en el anexo II sujetas a los programas de vigilancia epizootiológica que las Comunidades Autónomas establezcan. Si a ello se añade que los programas afectan a un número muy limitado de animales y contienen normativa técnica que pretende garantizar, a través incluso de la remisión a protocolos internacionales de los sistemas de análisis, la fiabilidad de los controles a efectos de impedir la extensión de estas dos enfermedades, no cabe afirmar que las competencias de ejecución de la Comunidad Autónoma en materia de vigilancia sanitaria animal hayan sido predeterminadas o vaciadas de contenido. Por tanto, ni el art. 8.2 ni el anexo III del reglamento impugnado vulneran las competencias de la Comunidad Autónoma recurrente.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conflicto positivo de competencias interpuesto por la Generalitat de Catalunya.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dieciocho de marzo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Luis Ignacio Ortega Álvarez y don Fernando Valdés Dal-Ré a la Sentencia dictada en el conflicto positivo de competencia núm. 5937-2011.</w:t>
      </w:r>
    </w:p>
    <w:p w:rsidR="0085709A" w:rsidRDefault="0085709A" w:rsidP="0085709A">
      <w:pPr>
        <w:pStyle w:val="TextoNormalNegritaCentrado"/>
        <w:keepNext/>
      </w:pPr>
    </w:p>
    <w:p w:rsidR="0085709A" w:rsidRDefault="0085709A" w:rsidP="0085709A">
      <w:pPr>
        <w:pStyle w:val="TextoNormal"/>
      </w:pPr>
      <w:r>
        <w:t>En ejercicio de la facultad que nos confiere el art. 90.2 de la Ley Orgánica del Tribunal Constitucional (LOTC) y con pleno respeto a la opinión de la mayoría del Tribunal, debemos manifestar nuestra discrepancia con la Sentencia dictada, por las razones ya defendidas en su momento durante la deliberación y que expresamos a continuación.</w:t>
      </w:r>
    </w:p>
    <w:p w:rsidR="0085709A" w:rsidRDefault="0085709A" w:rsidP="0085709A">
      <w:pPr>
        <w:pStyle w:val="TextoNormal"/>
      </w:pPr>
    </w:p>
    <w:p w:rsidR="0085709A" w:rsidRDefault="0085709A" w:rsidP="0085709A">
      <w:pPr>
        <w:pStyle w:val="TextoNormal"/>
      </w:pPr>
      <w:r>
        <w:t>En primer lugar, consideramos que la Sentencia hubiera debido abordar el encuadramiento de la presente controversia en el sistema material de distribución de competencias entre el Estado y las Comunidades Autónomas de forma mucho más precisa y cuidadosa en relación tanto con los preceptos constitucionales y estatutarios aplicables como con la doctrina constitucional al respecto.</w:t>
      </w:r>
    </w:p>
    <w:p w:rsidR="0085709A" w:rsidRDefault="0085709A" w:rsidP="0085709A">
      <w:pPr>
        <w:pStyle w:val="TextoNormal"/>
      </w:pPr>
    </w:p>
    <w:p w:rsidR="0085709A" w:rsidRDefault="0085709A" w:rsidP="0085709A">
      <w:pPr>
        <w:pStyle w:val="TextoNormal"/>
      </w:pPr>
      <w:r>
        <w:t xml:space="preserve">La Sentencia aborda esta cuestión en su fundamento jurídico 2 y lo hace de una forma extremadamente somera, sin examinar con el detalle y la precisión que hubieran resultado necesarios, los títulos autonómicos que se relacionan con la competencia estatal en materia de sanidad </w:t>
      </w:r>
      <w:r w:rsidRPr="0085709A">
        <w:rPr>
          <w:i/>
        </w:rPr>
        <w:t>ex</w:t>
      </w:r>
      <w:r>
        <w:t xml:space="preserve"> art. 149.1.16, que es la aquí concernida. La Sentencia solventa la cuestión con la mera cita de los títulos autonómicos de los arts. 116.1 d) y 162.3 b) del Estatuto de Autonomía de Cataluña (EAC) y la afirmación de que “la competencia sobre sanidad animal en el sector ganadero es sustancialmente una competencia sanitaria aunque se proyecte en éste ámbito”, para luego concluir que “las competencias asumidas por la Comunidad Autónoma en el apartado d) del art. 116.1 EAC están limitadas por las citadas competencias estatales, y así lo tuvo en cuenta la STC 6/2014, de 27 de enero, FJ 4”.</w:t>
      </w:r>
    </w:p>
    <w:p w:rsidR="0085709A" w:rsidRDefault="0085709A" w:rsidP="0085709A">
      <w:pPr>
        <w:pStyle w:val="TextoNormal"/>
      </w:pPr>
    </w:p>
    <w:p w:rsidR="0085709A" w:rsidRDefault="0085709A" w:rsidP="0085709A">
      <w:pPr>
        <w:pStyle w:val="TextoNormal"/>
      </w:pPr>
      <w:r>
        <w:t xml:space="preserve">Ahora bien, en su dicción literal el art. 116.1 d) EAC atribuye a la Comunidad Autónoma, en el marco de sus competencias sobre agricultura y ganadería, la competencia exclusiva en materia de “sanidad vegetal y animal cuando no tenga efectos sobre la salud humana y la protección de los animales”. Paralelamente, en el art. 162.3 b) EAC, la competencia compartida se circunscribe a la “sanidad animal con efectos sobre la salud humana”. Interesa advertir que la sanidad animal sin efectos sobre la salud humana no se concibe por el Estatuto de Autonomía de Cataluña como parte integrante de la “sanidad” y la “salud pública”, </w:t>
      </w:r>
      <w:r>
        <w:lastRenderedPageBreak/>
        <w:t>sino de la “agricultura y ganadería”. Por su parte la sanidad animal con efectos sobre la salud humana se integra en la materia “sanidad”, más específicamente la “salud pública”. Es cierto que la referencia del art. 116 EAC al 149.1.16 CE evidencia que la “sanidad animal que no tenga efectos sobre la salud humana” no queda, como podría parecer en primera instancia, circunscrita, respecto al título de intervención estatal, al mero ámbito de la ordenación de la economía del sector primario sino también vinculada al título constitucional de “sanidad”.</w:t>
      </w:r>
    </w:p>
    <w:p w:rsidR="0085709A" w:rsidRDefault="0085709A" w:rsidP="0085709A">
      <w:pPr>
        <w:pStyle w:val="TextoNormal"/>
      </w:pPr>
    </w:p>
    <w:p w:rsidR="0085709A" w:rsidRDefault="0085709A" w:rsidP="0085709A">
      <w:pPr>
        <w:pStyle w:val="TextoNormal"/>
      </w:pPr>
      <w:r>
        <w:t>Señalado lo anterior, es claro que, atendiendo al objeto y finalidad de las normas impugnadas, nos hallaríamos en el ámbito del art. 149.1.16 CE en relación con lo dispuesto en el art. 116.1 d) EAC. Así, el adecuado encuadramiento competencial requería interpretar el alcance de las citadas competencias autonómicas cuando no esté comprometida la salud humana, como es el caso. La Sentencia no lleva a cabo esta operación, más que de modo somero y por referencia a jurisprudencia anterior, que no se cita correctamente y que no se ha adentrado en el análisis de los citados títulos competenciales estatutarios, que específicamente acotan un ámbito de competencias a favor de la Comunidad Autónoma lógicamente más intenso cuando no está en juego la salud humana. En cuanto a lo primero estimamos que la correcta lectura de la doctrina de las SSTC 32/1983, de 28 de abril, FJ 3; 192/1990, de 29 de noviembre, FJ 2; y 158/2011, de 19 de octubre, FJ 9, lleva a conclusiones mucho más matizadas respecto al alcance de la competencia estatal, pues aunque, conforme a la doctrina las epizootias que hayan de afectar al ganado se inscriben competencialmente en la materia de sanidad, eso no puede servir para legitimar cualquier tipo de medida estatal. De hecho las examinadas en las Sentencias citadas se referían esencialmente a medidas de naturaleza coordinadora, que presupone la actuación autonómica, o preventivas y, en este caso, es patente que, al menos alguna de las normas impugnadas, exceden, con mucho, dichos ámbitos.</w:t>
      </w:r>
    </w:p>
    <w:p w:rsidR="0085709A" w:rsidRDefault="0085709A" w:rsidP="0085709A">
      <w:pPr>
        <w:pStyle w:val="TextoNormal"/>
      </w:pPr>
    </w:p>
    <w:p w:rsidR="0085709A" w:rsidRDefault="0085709A" w:rsidP="0085709A">
      <w:pPr>
        <w:pStyle w:val="TextoNormal"/>
      </w:pPr>
      <w:r>
        <w:t>Hay también un segundo problema de principio en la Sentencia, que consiste en su argumentación acerca de la necesaria “densidad normativa” de las bases estatales. En nuestra opinión esta construcción, en la que late la idea de que lo que es obvio ha de ser necesariamente básico, se sitúa a espaldas de la doctrina constitucional sobre la noción de lo básico. Como es conocido esa doctrina ha tenido un desarrollo muy extenso y matizado, que entre otras cosas implica la necesidad de analizar en una perspectiva forzosamente casuística el contenido de cada precepto calificado como básico, en el contexto de las finalidades a las que sirve y de su propio contenido. Es cierto que esa aproximación en la práctica ha dado como resultado una interpretación no precisamente restrictiva del alcance de lo básico en la doble perspectiva material y formal, pero estimamos que el Tribunal debiera evitar utilizar argumentos que, con escaso fundamento en su doctrina, pueda expandirla todavía más, lo que sucedería si se consagra esta idea de la escasa densidad normativa como consustancial a lo básico.</w:t>
      </w:r>
    </w:p>
    <w:p w:rsidR="0085709A" w:rsidRDefault="0085709A" w:rsidP="0085709A">
      <w:pPr>
        <w:pStyle w:val="TextoNormal"/>
      </w:pPr>
    </w:p>
    <w:p w:rsidR="0085709A" w:rsidRDefault="0085709A" w:rsidP="0085709A">
      <w:pPr>
        <w:pStyle w:val="TextoNormal"/>
      </w:pPr>
      <w:r>
        <w:t>La combinación de ambos elementos, produce como resultado un enjuiciamiento más que condescendiente con la regulación estatal que conduce a la desestimación integra del conflicto, cuando una adecuada delimitación competencial y un entendimiento de lo básico ajustado a los parámetros de nuestra doctrina hubiera debido conducir a conclusiones algo diferentes. Ello es particularmente patente en el caso de los arts. 4.5 y 8.2 en su remisión al anexo III.</w:t>
      </w:r>
    </w:p>
    <w:p w:rsidR="0085709A" w:rsidRDefault="0085709A" w:rsidP="0085709A">
      <w:pPr>
        <w:pStyle w:val="TextoNormal"/>
      </w:pPr>
    </w:p>
    <w:p w:rsidR="0085709A" w:rsidRDefault="0085709A" w:rsidP="0085709A">
      <w:pPr>
        <w:pStyle w:val="TextoNormal"/>
      </w:pPr>
      <w:r>
        <w:lastRenderedPageBreak/>
        <w:t>En cuanto al primero de ellos, relativo a las denominadas “condiciones para garantizar el bienestar animal”, la Sentencia simplemente afirma que “la materia más directamente afectada en este caso es la sanidad animal, en la que debe circunscribirse el bienestar animal por la estrecha relación que guarda con ésta”. A nuestro juicio, la inclusión sin matices de la materia “bienestar animal” en la “sanidad animal” y, con ello, en el ámbito de la legislación básica en materia de sanidad (art. 149.1.16 CE) es un nuevo ejemplo de injustificada expansión de la competencia estatal, en la medida en que la Sentencia no repara solo en que el tratamiento de la “protección de los animales” figura en el Estatuto de Autonomía de Cataluña como competencia exclusiva autonómica, cuanto tampoco en que resulta evidente que, dado el tenor literal del precepto, no se refiere a cuestiones relacionadas con epizootias a las que, según la doctrina que la Sentencia dice aplicar, sería de aplicación el título estatal en materia de sanidad. El bienestar animal, que ha sido objeto de amplia regulación en el Derecho europeo, tiene una regulación cuidadosamente limitada por razones competenciales en la Ley estatal 32/2007, de 7 de noviembre, para el cuidado de los animales, en su explotación, transporte, experimentación y sacrificio. Quiere decirse con ello que no se trata de negar la competencia del Estado para regular determinados aspectos del bienestar animal, pero consideramos a todas luces excesivo reconducir toda la regulación al ámbito de la competencia estatal sobre legislación básica en materia de sanidad, como parece apuntar la Sentencia.</w:t>
      </w:r>
    </w:p>
    <w:p w:rsidR="0085709A" w:rsidRDefault="0085709A" w:rsidP="0085709A">
      <w:pPr>
        <w:pStyle w:val="TextoNormal"/>
      </w:pPr>
    </w:p>
    <w:p w:rsidR="0085709A" w:rsidRDefault="0085709A" w:rsidP="0085709A">
      <w:pPr>
        <w:pStyle w:val="TextoNormal"/>
      </w:pPr>
      <w:r>
        <w:t>Finalmente el razonamiento de la Sentencia acerca del anexo III impugnado es sumamente discutible pues, en esencia, lo que viene a sostenerse es que la detallada regulación del programa de control que contiene sólo afecta a dos enfermedades y que, puesto que el resto de las previstas en la norma quedan sujetas a los programas de vigilancia epizootiológica que las Comunidades Autónomas establezcan, eso hace que no se vulneren sus competencias. Pero eso no es, en realidad, lo que debía resolverse, sino que lo hubiera debido determinarse es la razón por la que era necesaria esa detallada intervención estatal en relación, precisamente, con esas dos enfermedades, para lo que es absolutamente indiferente que, con respecto a las restantes, no se vulnerasen las competencias autonómicas. Antes al contrario, el contraste entre los anexos II y III del Real Decreto hace todavía más necesaria una indagación que la Sentencia renuncia a realizar, consagrando, nuevamente, una interpretación sumamente expansiva de las competencias estatales.</w:t>
      </w:r>
    </w:p>
    <w:p w:rsidR="0085709A" w:rsidRDefault="0085709A" w:rsidP="0085709A">
      <w:pPr>
        <w:pStyle w:val="TextoNormal"/>
      </w:pPr>
    </w:p>
    <w:p w:rsidR="0085709A" w:rsidRDefault="0085709A" w:rsidP="0085709A">
      <w:pPr>
        <w:pStyle w:val="TextoNormal"/>
      </w:pPr>
      <w:r>
        <w:t>Y en ese sentido emitimos este Voto particular.</w:t>
      </w:r>
    </w:p>
    <w:p w:rsidR="0085709A" w:rsidRDefault="0085709A" w:rsidP="0085709A">
      <w:pPr>
        <w:pStyle w:val="TextoNormal"/>
      </w:pPr>
    </w:p>
    <w:p w:rsidR="0085709A" w:rsidRDefault="0085709A" w:rsidP="0085709A">
      <w:pPr>
        <w:pStyle w:val="TextoNormal"/>
      </w:pPr>
      <w:r>
        <w:t>Madrid, a dieciocho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2" w:name="SENTENCIA_2015_59"/>
      <w:r>
        <w:lastRenderedPageBreak/>
        <w:t>SENTENCIA 59/2015, de 18 de marzo de 2015</w:t>
      </w:r>
    </w:p>
    <w:bookmarkEnd w:id="62"/>
    <w:p w:rsidR="0085709A" w:rsidRDefault="0085709A" w:rsidP="0085709A">
      <w:pPr>
        <w:pStyle w:val="TtuloResolucin"/>
      </w:pPr>
      <w:r>
        <w:t>Pleno</w:t>
      </w:r>
    </w:p>
    <w:p w:rsidR="0085709A" w:rsidRDefault="0085709A" w:rsidP="0085709A">
      <w:pPr>
        <w:pStyle w:val="TtuloBOE"/>
      </w:pPr>
      <w:r>
        <w:t>(BOE núm. 98, de 24 de abril de 2015)</w:t>
      </w:r>
    </w:p>
    <w:p w:rsidR="0085709A" w:rsidRDefault="0085709A" w:rsidP="0085709A">
      <w:pPr>
        <w:pStyle w:val="TextoNormalCentrado"/>
      </w:pPr>
      <w:r>
        <w:t>ECLI:ES:TC:2015:59</w:t>
      </w:r>
    </w:p>
    <w:p w:rsidR="0085709A" w:rsidRDefault="0085709A" w:rsidP="0085709A">
      <w:pPr>
        <w:pStyle w:val="TextoNormalCentrado"/>
      </w:pPr>
    </w:p>
    <w:p w:rsidR="0085709A" w:rsidRDefault="0085709A" w:rsidP="0085709A">
      <w:pPr>
        <w:pStyle w:val="SntesisDescriptiva"/>
      </w:pPr>
      <w:r>
        <w:t>Recurso de inconstitucionalidad 1873-2013. Interpuesto por el Gobierno de la Generalitat de Cataluña respecto del artículo 19 de la Ley 16/2012, de 27 de diciembre, por la que se adoptan diversas medidas tributarias dirigidas a la consolidación de las finanzas públicas y al impulso de la actividad económica.</w:t>
      </w:r>
    </w:p>
    <w:p w:rsidR="0085709A" w:rsidRDefault="0085709A" w:rsidP="0085709A">
      <w:pPr>
        <w:pStyle w:val="SntesisDescriptiva"/>
      </w:pPr>
    </w:p>
    <w:p w:rsidR="0085709A" w:rsidRDefault="0085709A" w:rsidP="0085709A">
      <w:pPr>
        <w:pStyle w:val="SntesisAnaltica"/>
      </w:pPr>
      <w:r>
        <w:t>Competencias financieras, finalidad recaudatoria de los tributos, compensación por ocupación del hecho imponible y facultades de enmienda del Senado: STC 26/2015 (constitucionalidad del precepto legal estatal que regula el impuesto sobre los depósitos en las entidades de crédito), concurrencia del requisito de la conexión de homogeneidad en el ejercicio del derecho de enmienda (STC 119/2011). Voto particular.</w:t>
      </w:r>
    </w:p>
    <w:p w:rsidR="0085709A" w:rsidRDefault="0085709A" w:rsidP="0085709A">
      <w:pPr>
        <w:pStyle w:val="SntesisAnaltica"/>
      </w:pPr>
    </w:p>
    <w:p w:rsidR="0085709A" w:rsidRDefault="0085709A" w:rsidP="0085709A">
      <w:pPr>
        <w:pStyle w:val="Extracto"/>
      </w:pPr>
      <w:r>
        <w:t>1.</w:t>
      </w:r>
      <w:r>
        <w:tab/>
        <w:t>La cuestión planteada sobre si el precepto impugnado habría invadido el ámbito constitucionalmente reservado a Ley Orgánica, ex art. 157.3 CE, y si suponía una limitación indebida y, por ello inconstitucional, del alcance de la compensación en caso de ocupación de hechos, vulnerando así el régimen de  autonomía financiera de las Comunidades Autónomas (art. 156.1 CE), coincide parcialmente con la STC 26/2015, 19 de febrero, cuyos fundamentos jurídicos 4 a 6, por lo que se descarta la inconstitucionalidad del art. 19 de la Ley impugnada [FJ 3].</w:t>
      </w:r>
    </w:p>
    <w:p w:rsidR="0085709A" w:rsidRDefault="0085709A" w:rsidP="0085709A">
      <w:pPr>
        <w:pStyle w:val="Extracto"/>
      </w:pPr>
    </w:p>
    <w:p w:rsidR="0085709A" w:rsidRDefault="0085709A" w:rsidP="0085709A">
      <w:pPr>
        <w:pStyle w:val="Extracto"/>
      </w:pPr>
      <w:r>
        <w:t>2.</w:t>
      </w:r>
      <w:r>
        <w:tab/>
        <w:t>No consta que la enmienda no fuera admitida ni que algún senador o grupo parlamentario suscitase la cuestión de su carencia de congruencia material, lo que genera una presunción de coherencia u homogeneidad que se incardina en el amplio margen de apreciación que deben tener los órganos de gobierno de las Cámaras para determinar la existencia de conexión material entre enmienda y proyecto o proposición de ley objeto de debate (SSTC 119/2011, 204/2011) [FJ 6].</w:t>
      </w:r>
    </w:p>
    <w:p w:rsidR="0085709A" w:rsidRDefault="0085709A" w:rsidP="0085709A">
      <w:pPr>
        <w:pStyle w:val="Extracto"/>
      </w:pPr>
    </w:p>
    <w:p w:rsidR="0085709A" w:rsidRDefault="0085709A" w:rsidP="0085709A">
      <w:pPr>
        <w:pStyle w:val="Extracto"/>
      </w:pPr>
      <w:r>
        <w:t>3.</w:t>
      </w:r>
      <w:r>
        <w:tab/>
        <w:t>Doctrina sobre el ejercicio del derecho de enmienda al articulado (SSTC 119/2011, 120/2014)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inconstitucionalidad núm. 1873-2013, interpuesto por el Gobierno de Cataluña contra el art. 19 de la Ley 16/2012, de 27 de diciembre, por la que se adoptan diversas medidas tributarias dirigidas a la consolidación de las finanzas públicas y al impulso de la actividad económica. Han intervenido y formulado alegaciones el Abogado del Estado y el Senado.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26 de marzo de 2013 tuvo entrada en el Registro General de este Tribunal Constitucional un escrito de la Abogada de la Generalitat de Cataluña, en representación del Gobierno de esta Comunidad Autónoma, por el que interpone un recurso de inconstitucionalidad contra el art. 19 de la Ley 16/2012, de 27 de diciembre, por la que se adoptan diversas medidas tributarias dirigidas a la consolidación de las finanzas públicas y al impulso de la actividad económica, precepto que establece el impuesto sobre los depósitos en las entidades de crédito.</w:t>
      </w:r>
    </w:p>
    <w:p w:rsidR="0085709A" w:rsidRDefault="0085709A" w:rsidP="0085709A">
      <w:pPr>
        <w:pStyle w:val="TextoNormal"/>
      </w:pPr>
    </w:p>
    <w:p w:rsidR="0085709A" w:rsidRDefault="0085709A" w:rsidP="0085709A">
      <w:pPr>
        <w:pStyle w:val="TextoNormal"/>
      </w:pPr>
      <w:r>
        <w:t>El escrito comienza con una descripción de las circunstancias que rodearon la aprobación de la Ley 16/2012, cuyo artículo 19 se impugna. Se hace hincapié en la vinculación entre la creación de este tributo estatal y la doctrina sentada por la STC 210/2012, de 14 noviembre, en la que se había declarado la constitucionalidad de la Ley de la Asamblea de Extremadura 14/2001, de 29 noviembre, que establecía un impuesto similar sobre depósitos bancarios. La doctrina contenida en esa Sentencia despejaba las dudas suscitadas diez años atrás por la aprobación de la Ley extremeña, dejando vía libre a las Comunidades Autónomas para mantener, como era el caso de Extremadura, Andalucía y Canarias, o para crear, como ha sido el caso de Cataluña y Asturias, un impuesto autonómico sobre los depósitos bancarios. Precisamente con base en el aval otorgado por la citada Sentencia, el Gobierno de la Generalitat de Cataluña resolvió aprobar el Decreto-ley 5/2012, de 18 diciembre, del impuesto de depósitos en las entidades de crédito. Análogamente, la Ley del Principado de Asturias 3/2012, de 28 diciembre, de presupuestos para el año 2013, estableció en su artículo 41 otro impuesto sobre depósitos en las entidades de crédito.</w:t>
      </w:r>
    </w:p>
    <w:p w:rsidR="0085709A" w:rsidRDefault="0085709A" w:rsidP="0085709A">
      <w:pPr>
        <w:pStyle w:val="TextoNormal"/>
      </w:pPr>
    </w:p>
    <w:p w:rsidR="0085709A" w:rsidRDefault="0085709A" w:rsidP="0085709A">
      <w:pPr>
        <w:pStyle w:val="TextoNormal"/>
      </w:pPr>
      <w:r>
        <w:t>Sin embargo, la citada STC 210/2012 desencadenó una sorprendente reacción en las instancias estatales, ya que con la pretensión de impedir la proliferación de este tipo de tributos, se estableció una extravagante figura sin efectividad tributaria, puesto que se fijó un tipo de gravamen del 0 por 100, y se aprobó por un procedimiento legislativo manifiestamente inconstitucional.</w:t>
      </w:r>
    </w:p>
    <w:p w:rsidR="0085709A" w:rsidRDefault="0085709A" w:rsidP="0085709A">
      <w:pPr>
        <w:pStyle w:val="TextoNormal"/>
      </w:pPr>
    </w:p>
    <w:p w:rsidR="0085709A" w:rsidRDefault="0085709A" w:rsidP="0085709A">
      <w:pPr>
        <w:pStyle w:val="TextoNormal"/>
      </w:pPr>
      <w:r>
        <w:t>a) Como primer motivo de inconstitucionalidad, expone que la creación de esta figura tributaria no estaba en el proyecto de ley presentado en el Congreso de los Diputados el 28 septiembre 2012, de manera que fue una vez enviado el texto aprobado al Senado, el 4 diciembre, cuando se publicaron las enmiendas entre las que se encontraban las presentadas por el Grupo Parlamentario Popular en el Senado y que introdujeron el citado impuesto.</w:t>
      </w:r>
    </w:p>
    <w:p w:rsidR="0085709A" w:rsidRDefault="0085709A" w:rsidP="0085709A">
      <w:pPr>
        <w:pStyle w:val="TextoNormal"/>
      </w:pPr>
    </w:p>
    <w:p w:rsidR="0085709A" w:rsidRDefault="0085709A" w:rsidP="0085709A">
      <w:pPr>
        <w:pStyle w:val="TextoNormal"/>
      </w:pPr>
      <w:r>
        <w:lastRenderedPageBreak/>
        <w:t>Expuesta en estos términos la tramitación legislativa, afirma, en primer lugar, que el art. 19 de la ley 16/2012 es inconstitucional por haberse infringido en su tramitación y aprobación el procedimiento legislativo, ya que la figura tributaria se introdujo en el proyecto mediante una enmienda formulada en el Senado que no guardaba conexión con las materias contenidas en el proyecto de ley aprobado por el Congreso de los Diputados. Se cita en apoyo de este motivo la doctrina contenida en las SSTC 119/2011, de 5 julio, FJ 6, y 136/2011, de 13 septiembre, FJ 7, de la que deriva la exigencia general de conexión u homogeneidad entre las enmiendas y los textos a enmendar, que a su vez es consecuencia del carácter subsidiario que, por su propia naturaleza, tiene toda enmienda en relación con el texto enmendado. Ello es así porque la enmienda conceptualmente implica la modificación de algo preexistente, cuyo objeto y naturaleza ha sido determinado con anterioridad, de forma que “no puede servir de mecanismo para dar vida a una realidad nueva, que debe nacer de una, también nueva iniciativa”. En concreto sobre la introducción de enmiendas en el Senado, el Tribunal ha confirmado que esta Cámara es de segunda lectura, deduciéndose de los arts. 88 a 91 CE la intención del constituyente de que la aprobación de los textos legislativos se produzca siempre, en primer lugar, en el Congreso de los Diputados, limitándose la facultad de enmienda del Senado a aquellas que guarden una mínima relación de homogeneidad material con los proyectos de ley remitidos por el Congreso.</w:t>
      </w:r>
    </w:p>
    <w:p w:rsidR="0085709A" w:rsidRDefault="0085709A" w:rsidP="0085709A">
      <w:pPr>
        <w:pStyle w:val="TextoNormal"/>
      </w:pPr>
    </w:p>
    <w:p w:rsidR="0085709A" w:rsidRDefault="0085709A" w:rsidP="0085709A">
      <w:pPr>
        <w:pStyle w:val="TextoNormal"/>
      </w:pPr>
      <w:r>
        <w:t>Considera que la anterior doctrina conduce necesariamente a la inconstitucionalidad de la norma recurrida, toda vez que las medidas fiscales incluidas en el citado proyecto de ley número 121-000026 se referían a los impuestos sobre la renta de las personas físicas, sociedades, patrimonio y valor añadido, y a los tributos locales sobre bienes inmuebles y sobre actividades económicas, sin que hubiera en dicho proyecto de ley ninguna alusión al impuesto sobre depósitos bancarios, como tampoco la había en el proyecto de ley aprobado por el Congreso de los Diputados. En consecuencia, la introducción en el Senado de la enmienda de adición número 169 por la que se incorporó al proyecto de ley el capítulo II, artículo 19, regulador del referido impuesto, se hizo sin conexión material alguna entre la materia sobre la que versaba la enmienda y las que se contenían en el proyecto de ley que había sido ya aprobado por el Congreso de los Diputados, sin que tal ausencia de conexión pueda salvarse afirmando que el impuesto sobre depósitos bancarios constituye una medida tributaria semejante a la restantes, ya que dicho tributo no tenía ánimo recaudatorio, toda vez que se fijó un tipo de gravamen del 0 por 100.</w:t>
      </w:r>
    </w:p>
    <w:p w:rsidR="0085709A" w:rsidRDefault="0085709A" w:rsidP="0085709A">
      <w:pPr>
        <w:pStyle w:val="TextoNormal"/>
      </w:pPr>
    </w:p>
    <w:p w:rsidR="0085709A" w:rsidRDefault="0085709A" w:rsidP="0085709A">
      <w:pPr>
        <w:pStyle w:val="TextoNormal"/>
      </w:pPr>
      <w:r>
        <w:t>b) En segundo lugar, el artículo 19 supondría un ejercicio fraudulento de la potestad tributaria y en consecuencia una lesión directa de las competencias financieras autonómicas, con infracción de los principios de lealtad constitucional y de interdicción de la arbitrariedad de los poderes públicos (art. 9.3 CE). El tributo aprobado, con un tipo de gravamen del 0 por 100, tiene como única finalidad impedir la efectividad de los impuestos autonómicos similares ya existentes o que pudieran crearse en un futuro. Se trata además de una mera apariencia de tributo, ya que no se establece ninguna obligación de pago, a través de la cual el Estado ha tratado de activar la prohibición de doble imposición autonómica prevista en el art. 6.2 de la Ley Orgánica de financiación de las Comunidades Autónomas (LOFCA), impidiendo de forma ilegítima el ejercicio de la competencia de las Comunidades Autónomas para la creación de tributos (arts. 133.2 CE y 203.5 del Estatuto de Autonomía de Cataluña) y vulnerando su autonomía financiera [arts. 156.1 y 157.1 b) CE].</w:t>
      </w:r>
    </w:p>
    <w:p w:rsidR="0085709A" w:rsidRDefault="0085709A" w:rsidP="0085709A">
      <w:pPr>
        <w:pStyle w:val="TextoNormal"/>
      </w:pPr>
    </w:p>
    <w:p w:rsidR="0085709A" w:rsidRDefault="0085709A" w:rsidP="0085709A">
      <w:pPr>
        <w:pStyle w:val="TextoNormal"/>
      </w:pPr>
      <w:r>
        <w:lastRenderedPageBreak/>
        <w:t>El Estado ha ejercido así sus propias competencias de forma abusiva, de naturaleza similar al abuso de derecho prescrito por el art. 7 del Código civil y a la desviación de poder en el ejercicio de las competencias a que se refiere el art. 63 de la Ley 30/1992, de 26 noviembre, del régimen jurídico de las Administraciones públicas y del procedimiento administrativo común. Cita en su apoyo la doctrina constitucional contenida, entre otras, en la STC 13/2007, de 18 enero, FFJJ 8 y 9, de acuerdo con la cual no se permiten las interferencias en el ejercicio legítimo de las competencias de los otros entes territoriales, citándose también la STC 123/2012, de 5 junio, en cuyo fundamento jurídico 8 este Tribunal ha recordado que el principio de lealtad resulta esencial en las relaciones entre las diversas instancias del poder territorial, teniendo además una específica proyección en materia financiera (con cita de la STC 109/2011, de 22 de junio, FJ 5).</w:t>
      </w:r>
    </w:p>
    <w:p w:rsidR="0085709A" w:rsidRDefault="0085709A" w:rsidP="0085709A">
      <w:pPr>
        <w:pStyle w:val="TextoNormal"/>
      </w:pPr>
    </w:p>
    <w:p w:rsidR="0085709A" w:rsidRDefault="0085709A" w:rsidP="0085709A">
      <w:pPr>
        <w:pStyle w:val="TextoNormal"/>
      </w:pPr>
      <w:r>
        <w:t>La regulación estatal del impuesto, con la mera voluntad de impedir el ejercicio de las competencias autonómicas, carece además de toda racionalidad, lo que supone un ejercicio arbitrario del poder normativo del Estado. Se refiere a continuación al principio de interdicción de la arbitrariedad de los poderes públicos que consagra el art. 9.3 CE, precepto que también habría sido infringido en consecuencia.</w:t>
      </w:r>
    </w:p>
    <w:p w:rsidR="0085709A" w:rsidRDefault="0085709A" w:rsidP="0085709A">
      <w:pPr>
        <w:pStyle w:val="TextoNormal"/>
      </w:pPr>
    </w:p>
    <w:p w:rsidR="0085709A" w:rsidRDefault="0085709A" w:rsidP="0085709A">
      <w:pPr>
        <w:pStyle w:val="TextoNormal"/>
      </w:pPr>
      <w:r>
        <w:t>c) Finalmente, se afirma específicamente la inconstitucionalidad del apartado 13 del art. 19 de la Ley 16/2012, que limitaría indebidamente la aplicación de las medidas de coordinación o compensación que contempla el art. 6.2 LOFCA. Se insiste en este punto en que, caso de no admitir los anteriores argumentos de inconstitucionalidad, es claro que la Comunidad Autónoma de Cataluña tenía derecho a que se le aplicaran dichas medidas para contrarrestar la pérdida de ingresos consecuencia del establecimiento del impuesto estatal.</w:t>
      </w:r>
    </w:p>
    <w:p w:rsidR="0085709A" w:rsidRDefault="0085709A" w:rsidP="0085709A">
      <w:pPr>
        <w:pStyle w:val="TextoNormal"/>
      </w:pPr>
    </w:p>
    <w:p w:rsidR="0085709A" w:rsidRDefault="0085709A" w:rsidP="0085709A">
      <w:pPr>
        <w:pStyle w:val="TextoNormal"/>
      </w:pPr>
      <w:r>
        <w:t>Afirma que en concreto la limitación de las medidas compensatorias que establece el párrafo segundo del artículo 19.13 impugnado contradice lo establecido en el art. 6.2 LOFCA.</w:t>
      </w:r>
    </w:p>
    <w:p w:rsidR="0085709A" w:rsidRDefault="0085709A" w:rsidP="0085709A">
      <w:pPr>
        <w:pStyle w:val="TextoNormal"/>
      </w:pPr>
    </w:p>
    <w:p w:rsidR="0085709A" w:rsidRDefault="0085709A" w:rsidP="0085709A">
      <w:pPr>
        <w:pStyle w:val="TextoNormal"/>
      </w:pPr>
      <w:r>
        <w:t>Desde otra perspectiva, ese mismo párrafo supone retrotraer los efectos de la creación del impuesto sobre los depósitos en las entidades de crédito estatal a los impuestos autonómicos preexistentes al 1 de diciembre de 2012, fecha anterior a su entrada en vigor, lo que vulnera el art. 9.3 CE, que proscribe la retroactividad de las normas desfavorables.</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23 de abril de 2013, el Pleno del Tribunal Constitucional, a propuesta de la Sección Segunda,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Asimismo, se ordenó publicar la incoación del recurso en el “Boletín Oficial del Estado”, lo que se llevó a efecto en el número 114, de 13 de mayo de 2013.</w:t>
      </w:r>
    </w:p>
    <w:p w:rsidR="0085709A" w:rsidRDefault="0085709A" w:rsidP="0085709A">
      <w:pPr>
        <w:pStyle w:val="TextoNormal"/>
      </w:pPr>
    </w:p>
    <w:p w:rsidR="0085709A" w:rsidRDefault="0085709A" w:rsidP="0085709A">
      <w:pPr>
        <w:pStyle w:val="TextoNormal"/>
      </w:pPr>
      <w:r w:rsidRPr="0085709A">
        <w:rPr>
          <w:rStyle w:val="NumeroAFNegritaCaracter"/>
        </w:rPr>
        <w:t>3</w:t>
      </w:r>
      <w:r>
        <w:t>. El 10 de mayo de 2013 se registró el escrito del Abogado del Estado por el que se solicita se le tenga por personado, en la representación que legalmente ostenta, así como que se le conceda una prórroga por el máximo legal del plazo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El Pleno, mediante providencia de 13 de mayo de 2013, acuerda incorporar a las actuaciones el escrito del Abogado del Estado, teniéndosele por personado en el presente proceso, así como conceder la prórroga solicitada, ampliando en ocho días más el plazo establecido en la anterior providencia de 23 de abril.</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General de este Tribunal con fecha de 16 de mayo de 2013, el Presidente del Senado comunicó el acuerdo de la Mesa de la Cámara por el que se persona en el procedimiento y comparece a los solos efectos de formular alegaciones en relación con los vicios del procedimiento legislativo alegados.</w:t>
      </w:r>
    </w:p>
    <w:p w:rsidR="0085709A" w:rsidRDefault="0085709A" w:rsidP="0085709A">
      <w:pPr>
        <w:pStyle w:val="TextoNormal"/>
      </w:pPr>
    </w:p>
    <w:p w:rsidR="0085709A" w:rsidRDefault="0085709A" w:rsidP="0085709A">
      <w:pPr>
        <w:pStyle w:val="TextoNormal"/>
      </w:pPr>
      <w:r w:rsidRPr="0085709A">
        <w:rPr>
          <w:rStyle w:val="NumeroAFNegritaCaracter"/>
        </w:rPr>
        <w:t>6</w:t>
      </w:r>
      <w:r>
        <w:t>. El 17 de mayo de 2013 se registró el escrito del Presidente del Congreso de los Diputados comunicando el acuerdo de la Mesa de la Cámara por el que ésta se persona en el procedimiento y da por ofrecida su colaboración a los efectos del art. 88.1 LOTC, remitiendo asimismo el recurso a la Dirección de Estudios, Análisis y Publicaciones y a la Asesoría Jurídica de la Secretaría Judicial.</w:t>
      </w:r>
    </w:p>
    <w:p w:rsidR="0085709A" w:rsidRDefault="0085709A" w:rsidP="0085709A">
      <w:pPr>
        <w:pStyle w:val="TextoNormal"/>
      </w:pPr>
    </w:p>
    <w:p w:rsidR="0085709A" w:rsidRDefault="0085709A" w:rsidP="0085709A">
      <w:pPr>
        <w:pStyle w:val="TextoNormal"/>
      </w:pPr>
      <w:r w:rsidRPr="0085709A">
        <w:rPr>
          <w:rStyle w:val="NumeroAFNegritaCaracter"/>
        </w:rPr>
        <w:t>7</w:t>
      </w:r>
      <w:r>
        <w:t>. El 27 mayo 2013 tuvo entrada en el Registro General de este Tribunal el escrito del Letrado de las Cortes Generales y jefe de la Asesoría Jurídica del Senado, en nombre y representación de dicha Cámara, por el que formula alegaciones únicamente en relación con los vicios de procedimiento legislativo que se alegan. Se refiere así tan sólo al motivo relativo a la falta de congruencia material en las enmiendas presentadas y aprobadas por el Senado, que según la demanda fundamentarían la inconstitucionalidad del art. 19 de la Ley 16/2012.</w:t>
      </w:r>
    </w:p>
    <w:p w:rsidR="0085709A" w:rsidRDefault="0085709A" w:rsidP="0085709A">
      <w:pPr>
        <w:pStyle w:val="TextoNormal"/>
      </w:pPr>
    </w:p>
    <w:p w:rsidR="0085709A" w:rsidRDefault="0085709A" w:rsidP="0085709A">
      <w:pPr>
        <w:pStyle w:val="TextoNormal"/>
      </w:pPr>
      <w:r>
        <w:t>Tras referir brevemente los términos de la impugnación, afirma que la recurrente carece de legitimación activa para plantear esta objeción, toda vez que la doctrina del Tribunal Constitucional sobre la conexión debida entre las enmiendas presentadas y el ámbito material de los proyectos de ley se basa en el derecho de participación política de los representantes, derechos que sufrirían si se admitiesen enmiendas con exceso material. Tras citar la doctrina contenida en las SSTC 119/2011, de 5 julio; 136/2011, de 13 septiembre; 204/2011, de 15 diciembre, y 209/2012 de 14 noviembre, concluye que los vicios de procedimiento sólo pueden tener relevancia constitucional cuando lesionen derechos de participación política, lo que sólo puede darse cuando se trate de miembros del órgano legislativo que tramita la ley en cuestión. En consecuencia y al carecer el recurrente de esa condición, no puede invocar en este caso su derecho de participación política.</w:t>
      </w:r>
    </w:p>
    <w:p w:rsidR="0085709A" w:rsidRDefault="0085709A" w:rsidP="0085709A">
      <w:pPr>
        <w:pStyle w:val="TextoNormal"/>
      </w:pPr>
    </w:p>
    <w:p w:rsidR="0085709A" w:rsidRDefault="0085709A" w:rsidP="0085709A">
      <w:pPr>
        <w:pStyle w:val="TextoNormal"/>
      </w:pPr>
      <w:r>
        <w:t>Sin perjuicio de lo anterior, afirma que en todo caso se producía en este supuesto la homogeneidad material entre la enmienda originaria del artículo 19 del proyecto y el ámbito material de dicho proyecto. Teniendo en cuenta así la doctrina de las citadas SSTC 119/2011 y 136/2011, expone que el objeto del proyecto era la adopción de diversas medidas tributarias, siendo la enmienda precisamente relativa a la introducción de un nuevo tributo, por lo que con aplicación de la doctrina contenida en el fundamento jurídico 4 de la STC 209/2012, de 14 noviembre, no puede negarse dicha falta de conexión.</w:t>
      </w:r>
    </w:p>
    <w:p w:rsidR="0085709A" w:rsidRDefault="0085709A" w:rsidP="0085709A">
      <w:pPr>
        <w:pStyle w:val="TextoNormal"/>
      </w:pPr>
    </w:p>
    <w:p w:rsidR="0085709A" w:rsidRDefault="0085709A" w:rsidP="0085709A">
      <w:pPr>
        <w:pStyle w:val="TextoNormal"/>
      </w:pPr>
      <w:r>
        <w:lastRenderedPageBreak/>
        <w:t>A ello añade que en la misma STC 119/2011, de 5 julio, se declaró que el órgano al que reglamentariamente corresponda efectuar ese análisis contará con un amplio margen de valoración. En este caso, los órganos del Senado encargados de la calificación material de las enmiendas, el Presidente y la Mesa, han actuado con todo rigor.</w:t>
      </w:r>
    </w:p>
    <w:p w:rsidR="0085709A" w:rsidRDefault="0085709A" w:rsidP="0085709A">
      <w:pPr>
        <w:pStyle w:val="TextoNormal"/>
      </w:pPr>
    </w:p>
    <w:p w:rsidR="0085709A" w:rsidRDefault="0085709A" w:rsidP="0085709A">
      <w:pPr>
        <w:pStyle w:val="TextoNormal"/>
      </w:pPr>
      <w:r>
        <w:t>Expone a continuación que desde la STC 119/2011, de 5 julio, y precisamente para garantizar el cumplimiento de la doctrina allí recogida, el Senado ha configurado un procedimiento específico, que se acompaña en un documento anexo al escrito de alegaciones, por el cual la Mesa del Senado delega en el Presidente la calificación material de las enmiendas, sin perjuicio de que sus acuerdos puedan someterse a la reconsideración de la Mesa en virtud del artículo 36, apartado 2, del Reglamento del Senado. Todas las enmiendas presentadas son, por tanto, revisadas por los letrados correspondientes, que advierten sobre sus posibles excesos respecto al ámbito material del proyecto. En consecuencia, si la enmienda número 169 del Grupo Popular, que fue la que dio lugar a que se añadiera el artículo 19 controvertido, fue admitida a trámite, lo fue tras un examen de mínima compatibilidad, añadiendo en todo caso que ningún senador o grupo parlamentario suscitó la cuestión de que las enmiendas carecían de congruencia material.</w:t>
      </w:r>
    </w:p>
    <w:p w:rsidR="0085709A" w:rsidRDefault="0085709A" w:rsidP="0085709A">
      <w:pPr>
        <w:pStyle w:val="TextoNormal"/>
      </w:pPr>
    </w:p>
    <w:p w:rsidR="0085709A" w:rsidRDefault="0085709A" w:rsidP="0085709A">
      <w:pPr>
        <w:pStyle w:val="TextoNormal"/>
      </w:pPr>
      <w:r>
        <w:t>A partir de lo anterior, considera que es claro no sólo que el recurrente carece de legitimación procesal, sino que tampoco se ha cometido ningún vicio formal o de procedimiento debido a la falta de congruencia material.</w:t>
      </w:r>
    </w:p>
    <w:p w:rsidR="0085709A" w:rsidRDefault="0085709A" w:rsidP="0085709A">
      <w:pPr>
        <w:pStyle w:val="TextoNormal"/>
      </w:pPr>
    </w:p>
    <w:p w:rsidR="0085709A" w:rsidRDefault="0085709A" w:rsidP="0085709A">
      <w:pPr>
        <w:pStyle w:val="TextoNormal"/>
      </w:pPr>
      <w:r w:rsidRPr="0085709A">
        <w:rPr>
          <w:rStyle w:val="NumeroAFNegritaCaracter"/>
        </w:rPr>
        <w:t>8</w:t>
      </w:r>
      <w:r>
        <w:t>. El 7 de junio de 2013 tiene entrada en este Tribunal el escrito del Abogado del Estado, por el que se solicita la desestimación del mismo a partir de las siguientes alegaciones.</w:t>
      </w:r>
    </w:p>
    <w:p w:rsidR="0085709A" w:rsidRDefault="0085709A" w:rsidP="0085709A">
      <w:pPr>
        <w:pStyle w:val="TextoNormal"/>
      </w:pPr>
    </w:p>
    <w:p w:rsidR="0085709A" w:rsidRDefault="0085709A" w:rsidP="0085709A">
      <w:pPr>
        <w:pStyle w:val="TextoNormal"/>
      </w:pPr>
      <w:r>
        <w:t>Se inicia el escrito con la descripción de los elementos esenciales del impuesto sobre depósitos en las entidades de crédito creado por el art. 19 de la Ley 16/2012 objeto del presente recurso.</w:t>
      </w:r>
    </w:p>
    <w:p w:rsidR="0085709A" w:rsidRDefault="0085709A" w:rsidP="0085709A">
      <w:pPr>
        <w:pStyle w:val="TextoNormal"/>
      </w:pPr>
    </w:p>
    <w:p w:rsidR="0085709A" w:rsidRDefault="0085709A" w:rsidP="0085709A">
      <w:pPr>
        <w:pStyle w:val="TextoNormal"/>
      </w:pPr>
      <w:r>
        <w:t>Hecha esta sucinta exposición, se refiere el escrito a la relación que el presente asunto tiene con los recursos de inconstitucionalidad interpuestos por el Presidente del Gobierno contra el Decreto-ley de Cataluña 5/2012, de 18 diciembre, recurso registrado con el número 7279-2012 en este Tribunal; así como con el recurso interpuesto contra el artículo 41 y la disposición final séptima de la Ley del Principado de Asturias 3/2012, de 28 diciembre, de presupuestos generales para 2013, registrado con el número 631-2013 en este mismo Tribunal. Añade que, además, el presente proceso guarda relación directa con los recursos 1873-2013 y 1881-2013 interpuestos, respectivamente, por el Gobierno de Cataluña y el Consejo de Gobierno del Principado de Asturias, contra el mismo art. 19 de la Ley 16/2012 que aquí interesa.</w:t>
      </w:r>
    </w:p>
    <w:p w:rsidR="0085709A" w:rsidRDefault="0085709A" w:rsidP="0085709A">
      <w:pPr>
        <w:pStyle w:val="TextoNormal"/>
      </w:pPr>
    </w:p>
    <w:p w:rsidR="0085709A" w:rsidRDefault="0085709A" w:rsidP="0085709A">
      <w:pPr>
        <w:pStyle w:val="TextoNormal"/>
      </w:pPr>
      <w:r>
        <w:t>Se examinan a continuación los tres motivos de inconstitucionalidad que se alegan en relación al impuesto estatal.</w:t>
      </w:r>
    </w:p>
    <w:p w:rsidR="0085709A" w:rsidRDefault="0085709A" w:rsidP="0085709A">
      <w:pPr>
        <w:pStyle w:val="TextoNormal"/>
      </w:pPr>
    </w:p>
    <w:p w:rsidR="0085709A" w:rsidRDefault="0085709A" w:rsidP="0085709A">
      <w:pPr>
        <w:pStyle w:val="TextoNormal"/>
      </w:pPr>
      <w:r>
        <w:t xml:space="preserve">a) En relación con la posible infracción de las normas de tramitación parlamentaria, comienza recordando la doctrina citada en las SSTC 119/2011, de 5 julio, y 136/2011, de 13 septiembre, así como la posterior 209/2012, de 14 noviembre [FJ 4 b)], cuya aplicación al caso que aquí se plantea permite descartar la inconstitucionalidad pretendida por este motivo. Destaca que la Ley 16/2012 es una ley tributaria de contenido heterogéneo, que se </w:t>
      </w:r>
      <w:r>
        <w:lastRenderedPageBreak/>
        <w:t>refería a distintas normas tributarias, de manera que era en realidad una norma tributaria de carácter transversal que modificaba la práctica totalidad de figuras principales del sistema tributario. No puede así afirmarse que exista una absoluta desconexión entre la regulación de un impuesto nuevo con el contenido del proyecto inicial, sin perjuicio de que el impuesto sobre los depósitos en las entidades de crédito guarda conexión con el impuesto sobre el valor añadido, como ya estableció la STC 210/2012, de 14 noviembre. Añade que, para que una enmienda pueda entenderse conexa con el texto enmendado, basta una mínima relación material, de forma que “sólo cuando sea evidente y manifiesto que no existe tal conexión deberá rechazarse la enmienda”. La alegación de la demanda carece por tanto de todo fundamento, toda vez que no puede afirmarse que existiera una evidente y manifiestan desconexión entre el contenido del proyecto y la citada enmienda, sin perjuicio de que tal principio no puede suponer que el procedimiento legislativo se vea atrapado en unas reglas tan rígidas que hagan del debate parlamentario un procedimiento completamente reglado. Y añade, en fin, que durante la tramitación parlamentaria, diputados y senadores eran conscientes de que se discutía un texto que pretendía modificar las principales figuras del sistema tributario español, sin que en consecuencia la enmienda aprobada en el Senado planteara “una problemática política por completo ajena a la que hasta el momento había rodeado” el texto original (SSTC 119/2011, FJ 9, y 136/2011, FJ 8).</w:t>
      </w:r>
    </w:p>
    <w:p w:rsidR="0085709A" w:rsidRDefault="0085709A" w:rsidP="0085709A">
      <w:pPr>
        <w:pStyle w:val="TextoNormal"/>
      </w:pPr>
    </w:p>
    <w:p w:rsidR="0085709A" w:rsidRDefault="0085709A" w:rsidP="0085709A">
      <w:pPr>
        <w:pStyle w:val="TextoNormal"/>
      </w:pPr>
      <w:r>
        <w:t>b) Se refiere a continuación a la tacha de infracción de los principios de lealtad constitucional y de interdicción de la arbitrariedad, así como al pretendido ejercicio fraudulento de la potestad tributaria originaria del Estado.</w:t>
      </w:r>
    </w:p>
    <w:p w:rsidR="0085709A" w:rsidRDefault="0085709A" w:rsidP="0085709A">
      <w:pPr>
        <w:pStyle w:val="TextoNormal"/>
      </w:pPr>
    </w:p>
    <w:p w:rsidR="0085709A" w:rsidRDefault="0085709A" w:rsidP="0085709A">
      <w:pPr>
        <w:pStyle w:val="TextoNormal"/>
      </w:pPr>
      <w:r>
        <w:t>En concreto, y para empezar, se refiere el escrito a la potestad tributaria originaria del Estado, tal y como ha sido interpretada en general por la doctrina de este Tribunal (STC 100/2012, de 8 de mayo, FJ 7 entre otras), y, concretamente, por la STC 210/2012, de 14 noviembre, que efectivamente declaró la compatibilidad del impuesto sobre los depósitos en las entidades de crédito extremeño con las figuras tributarias estatales existentes al tiempo de dictarse aquella Sentencia, pero que no restringe a futuro la potestad tributaria originaria que corresponde al Estado.</w:t>
      </w:r>
    </w:p>
    <w:p w:rsidR="0085709A" w:rsidRDefault="0085709A" w:rsidP="0085709A">
      <w:pPr>
        <w:pStyle w:val="TextoNormal"/>
      </w:pPr>
    </w:p>
    <w:p w:rsidR="0085709A" w:rsidRDefault="0085709A" w:rsidP="0085709A">
      <w:pPr>
        <w:pStyle w:val="TextoNormal"/>
      </w:pPr>
      <w:r>
        <w:t>Recalca que la citada STC 210/2012 no impide que el Estado ejerza su potestad tributaria creando un impuesto similar, sino que simplemente su establecimiento le impone instrumentar las medidas de compensación o coordinación adecuadas de las Comunidades Autónomas que vean disminuidos efectivamente sus ingresos.</w:t>
      </w:r>
    </w:p>
    <w:p w:rsidR="0085709A" w:rsidRDefault="0085709A" w:rsidP="0085709A">
      <w:pPr>
        <w:pStyle w:val="TextoNormal"/>
      </w:pPr>
    </w:p>
    <w:p w:rsidR="0085709A" w:rsidRDefault="0085709A" w:rsidP="0085709A">
      <w:pPr>
        <w:pStyle w:val="TextoNormal"/>
      </w:pPr>
      <w:r>
        <w:t>A continuación, cita la doctrina constitucional sobre la arbitrariedad del legislador, detallando la contenida en la STC 238/2012, de 13 diciembre, FJ 6 b), en la que el Tribunal insiste en el cuidado que se ha de tener cuando se trata de aplicar preceptos generales e indeterminados como sucede con la interdicción de la arbitrariedad, sin que el simple disenso de los recurrentes permita hablar de arbitrariedad, ya que no debe confundirse lo que es arbitrio legítimo con capricho, inconsecuencia o incoherencia.</w:t>
      </w:r>
    </w:p>
    <w:p w:rsidR="0085709A" w:rsidRDefault="0085709A" w:rsidP="0085709A">
      <w:pPr>
        <w:pStyle w:val="TextoNormal"/>
      </w:pPr>
    </w:p>
    <w:p w:rsidR="0085709A" w:rsidRDefault="0085709A" w:rsidP="0085709A">
      <w:pPr>
        <w:pStyle w:val="TextoNormal"/>
      </w:pPr>
      <w:r>
        <w:t>A partir de lo anterior, centra la cuestión en sí el art. 19 de la Ley 16/2012 “carece de toda justificación” y responde al simple “capricho, inconsistencia o incoherencia”; o más bien obedece a la razonable consecución de un fin constitucionalmente amparado.</w:t>
      </w:r>
    </w:p>
    <w:p w:rsidR="0085709A" w:rsidRDefault="0085709A" w:rsidP="0085709A">
      <w:pPr>
        <w:pStyle w:val="TextoNormal"/>
      </w:pPr>
    </w:p>
    <w:p w:rsidR="0085709A" w:rsidRDefault="0085709A" w:rsidP="0085709A">
      <w:pPr>
        <w:pStyle w:val="TextoNormal"/>
      </w:pPr>
      <w:r>
        <w:lastRenderedPageBreak/>
        <w:t>En este punto, y tras recordar la extensa doctrina acerca de los posibles fines extrafiscales de los tributos, hace hincapié en que de la demanda parece deducir de la doctrina de este Tribunal la inconstitucionalidad de los impuestos de tipo cero, cuando lo cierto es que tal consecuencia no puede derivarse de ningún precepto constitucional. En este punto, se recuerda que cuando el Tribunal se ha referido a la necesaria finalidad fiscal de todo impuesto, lo ha hecho únicamente para recordar que el artículo 31 de la Constitución, en su vertiente del principio de capacidad económica, exige que todo tributo este anudado a una manifestación de riqueza, de modo que sin ésta no pueda existir aquél. Ahora bien, la Constitución no impide que transitoriamente, y precisamente en atención a otros fines constitucionalmente legítimos, se pueda configurar un tributo cuyo hecho imponible sea una manifestación de riqueza, con un tipo cero de gravamen inicial.</w:t>
      </w:r>
    </w:p>
    <w:p w:rsidR="0085709A" w:rsidRDefault="0085709A" w:rsidP="0085709A">
      <w:pPr>
        <w:pStyle w:val="TextoNormal"/>
      </w:pPr>
    </w:p>
    <w:p w:rsidR="0085709A" w:rsidRDefault="0085709A" w:rsidP="0085709A">
      <w:pPr>
        <w:pStyle w:val="TextoNormal"/>
      </w:pPr>
      <w:r>
        <w:t>Describe a continuación el impuesto sobre los depósitos en las entidades de crédito, que se configura como un auténtico impuesto, si bien por razones de política económica se configura temporalmente con tipo de gravamen cero. Esta posibilidad de hecho está expresamente prevista en el artículo 55 de la Ley general tributaria, existiendo tributos con tipo cero en nuestro ordenamiento, como sucede con el impuesto especial sobre el vino y bebidas fermentadas regulado en los artículos 27 y siguientes de la Ley 38/1992, de 28 diciembre, de impuestos especiales, cuyo artículo 30 establece un gravamen cero.</w:t>
      </w:r>
    </w:p>
    <w:p w:rsidR="0085709A" w:rsidRDefault="0085709A" w:rsidP="0085709A">
      <w:pPr>
        <w:pStyle w:val="TextoNormal"/>
      </w:pPr>
    </w:p>
    <w:p w:rsidR="0085709A" w:rsidRDefault="0085709A" w:rsidP="0085709A">
      <w:pPr>
        <w:pStyle w:val="TextoNormal"/>
      </w:pPr>
      <w:r>
        <w:t>Añade que existen razones de política económica que justificaron el establecimiento inicial de un tipo cero en el art. 19 de la Ley 16/2012, cuya finalidad declarada en el preámbulo es asegurar un tratamiento fiscal armonizado que garantice una mayor eficiencia en el funcionamiento del sistema financiero. Se refiere en este punto el alegato a la gravedad de la crisis financiera, recogiendo algunas afirmaciones del informe anual del Banco de España de 2008 en las que se aprecia la singular gravedad esta crisis, que probablemente sólo encuentre parangón con la crisis de 1929. Se refiere asimismo a los informes de 2009 y 2011 de la misma entidad. En relación en concreto con la situación de las entidades de depósito españolas, se cita el informe de estabilidad financiera del Banco de España de noviembre 2012, destacando de forma pormenorizada las tensiones financieras en el área del euro, los problemas de financiación de las entidades bancarias, al no poder acceder con facilidad a los mercados mayoristas de financiación, y la bajada de la rentabilidad de las entidades de depósito. Así descritas, y dado su agravamiento, como destaca el “Boletín económico del Banco de España” de marzo 2013, no puede desconocerse la grave incidencia que un impuesto sobre los depósitos en las entidades de crédito como el establecido por Extremadura, Andalucía, Canarias, Cataluña y Asturias ocasiona en un sector financiero ya gravemente deteriorado por la crisis. A partir de lo anterior, expone detalladamente los desequilibrios del sistema financiero que afectan, de un lado, al sector de las entidades de depósito y su reestructuración; y, de otro lado, al acceso al crédito de las empresas economías domésticas y, por tanto, en definitiva, al propio crecimiento económico. Se refiere además a los datos aportados por la asociación española de la banca en relación con el coste para el conjunto del sector de las entidades de crédito que supondría la extensión de un impuesto con la configuración del autonómico, establecido por Cataluña, al conjunto de las entidades de crédito.</w:t>
      </w:r>
    </w:p>
    <w:p w:rsidR="0085709A" w:rsidRDefault="0085709A" w:rsidP="0085709A">
      <w:pPr>
        <w:pStyle w:val="TextoNormal"/>
      </w:pPr>
    </w:p>
    <w:p w:rsidR="0085709A" w:rsidRDefault="0085709A" w:rsidP="0085709A">
      <w:pPr>
        <w:pStyle w:val="TextoNormal"/>
      </w:pPr>
      <w:r>
        <w:t xml:space="preserve">A partir de lo anterior, el art. 19 de la Ley 16/2012 se incardina no sólo en la competencia contenida en el art. 149.1.14 CE, sino también en el título contenido en el ordinal 13 del mismo art. 149.1 CE. Se insiste en este punto en que, además de la finalidad fiscal, la norma </w:t>
      </w:r>
      <w:r>
        <w:lastRenderedPageBreak/>
        <w:t>tiene un claro fin extrafiscal, constitucionalmente legítimo y estrechamente vinculado con la grave situación de crisis financiera que afecta a las entidades de depósito en España.</w:t>
      </w:r>
    </w:p>
    <w:p w:rsidR="0085709A" w:rsidRDefault="0085709A" w:rsidP="0085709A">
      <w:pPr>
        <w:pStyle w:val="TextoNormal"/>
      </w:pPr>
    </w:p>
    <w:p w:rsidR="0085709A" w:rsidRDefault="0085709A" w:rsidP="0085709A">
      <w:pPr>
        <w:pStyle w:val="TextoNormal"/>
      </w:pPr>
      <w:r>
        <w:t>Añade que la finalidad del impuesto sobre los depósitos en las entidades de crédito estatal de asegurar un tratamiento fiscal armonizado debe enmarcarse en el ámbito de la carta de emplazamiento que el 27 febrero 2012 la Comisión Europea remitió al Ministro de Asuntos Exteriores sobre la posible incompatibilidad con los artículos 49 (derecho de establecimiento), 56 (libre circulación de servicios) y 63 (libre circulación de capitales) del Tratado de funcionamiento de la Unión Europea de ciertas disposiciones de la legislación tributaria española referente al impuesto que se aplica a los bancos en algunas comuniones autónomas. La carta se refería en concreto a las ventajas fiscales de los impuestos extremeño y andaluz en función de la localización de la sede social y sucursales. En este sentido, la creación del impuesto sobre los depósitos en las entidades de crédito estatal debe enmarcarse también en la corriente actual en el seno de la Unión Europea en relación con el gravamen de determinadas operaciones financieras.</w:t>
      </w:r>
    </w:p>
    <w:p w:rsidR="0085709A" w:rsidRDefault="0085709A" w:rsidP="0085709A">
      <w:pPr>
        <w:pStyle w:val="TextoNormal"/>
      </w:pPr>
    </w:p>
    <w:p w:rsidR="0085709A" w:rsidRDefault="0085709A" w:rsidP="0085709A">
      <w:pPr>
        <w:pStyle w:val="TextoNormal"/>
      </w:pPr>
      <w:r>
        <w:t>c) El art. 19.13 de la Ley 16/2012 no infringe el art. 6.2 LOFCA. Comienza en este punto por destacar que el art. 19.13 de la Ley 16/2012 tiene también la finalidad legítima de evitar que, durante la tramitación parlamentaria del impuesto estatal sobre los depósitos en las entidades de crédito, Comunidades Autónomas que hasta el momento no habían mostrado interés alguno en gravar ese hecho imponible, lo hicieran precipitadamente, adelantándose al legislador estatal, tal y como hizo Cataluña. En este punto, describe en detalle el proceso por el cual la Comunidad Autónoma de Cataluña estableció el impuesto sobre depósitos en entidades de crédito, y la públicamente denunciada finalidad de establecer tal impuesto para “blindar el espacio fiscal de la Generalitat”.</w:t>
      </w:r>
    </w:p>
    <w:p w:rsidR="0085709A" w:rsidRDefault="0085709A" w:rsidP="0085709A">
      <w:pPr>
        <w:pStyle w:val="TextoNormal"/>
      </w:pPr>
    </w:p>
    <w:p w:rsidR="0085709A" w:rsidRDefault="0085709A" w:rsidP="0085709A">
      <w:pPr>
        <w:pStyle w:val="TextoNormal"/>
      </w:pPr>
      <w:r>
        <w:t>En todo caso, insiste el escrito en que esta Comunidad Autónoma no ha perdido recaudación alguna a consecuencia del establecimiento del impuesto estatal, por lo que ni siquiera la limitación de la compensación le supone perjuicio alguno. En efecto, el periodo impositivo del impuesto sobre los depósitos en las entidades de crédito catalán coincide con el año natural, devengándose el impuesto el último día del periodo impositivo, por tanto el primer ingreso por el impuesto establecido no se realizaría hasta antes del 31 marzo 2013. Se refiere también a la tramitación legislativa para apuntalar su conclusión de que la creación del impuesto sobre los depósitos en las entidades de crédito fue oportunista, una vez que al menos desde el 29 noviembre 2012 era conocida la intención de crear un impuesto estatal sobre los depósitos en las entidades de crédito, citando asimismo las palabras del portavoz del gobierno de la Generalitat de Cataluña a tenor de los cuales la aprobación del Decreto-ley 5/2012 tenía como finalidad el “blindaje” del espacio fiscal de la Generalitat.</w:t>
      </w:r>
    </w:p>
    <w:p w:rsidR="0085709A" w:rsidRDefault="0085709A" w:rsidP="0085709A">
      <w:pPr>
        <w:pStyle w:val="TextoNormal"/>
      </w:pPr>
    </w:p>
    <w:p w:rsidR="0085709A" w:rsidRDefault="0085709A" w:rsidP="0085709A">
      <w:pPr>
        <w:pStyle w:val="TextoNormal"/>
      </w:pPr>
      <w:r>
        <w:t xml:space="preserve">En fin, el impuesto sobre los depósitos en las entidades de crédito catalán no cumplía en ningún supuesto los requisitos de la compensación del art. 6.2 LOFCA, ya que el tributo creado por esta Comunidad Autónoma no comenzaría a percibir los ingresos hasta finales de 2013, de manera que no habría pérdida recaudatoria estrictamente. Finaliza afirmando que, en todo caso, la aprobación </w:t>
      </w:r>
      <w:r w:rsidRPr="0085709A">
        <w:rPr>
          <w:i/>
        </w:rPr>
        <w:t>in extremis</w:t>
      </w:r>
      <w:r>
        <w:t xml:space="preserve"> de tributos autonómicos con la sola finalidad —expresamente declarada— de acceder a la compensación estatal resulta manifiestamente contraria al espíritu y a la letra del art. 6.2 LOFCA, lo que igualmente avala la constitucionalidad del art. 19.13, que precisamente intenta evitar este tipo de maniobras.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del art. 219 de la Ley Orgánica del Poder Judicial, en relación con el art. 80 LOTC. Por Auto del Tribunal de 17 de septiembre de 2013, se acuerda la inadmisión a trámite de las recusaciones promovidas, y, formulado recurso de súplica contra el anterior Auto por el Parlamento y la Generalitat de Cataluña, el Pleno, en providencia de 2 de octubre de 2013 acordó su inadmisión a trámite.</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17 de marzo de 2015 se señaló para deliberación y votación de la presente Sentencia el día 18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se dirige contra el art. 19 de la Ley 16/2012, de 27 de diciembre, por la que se adoptan diversas medidas tributarias dirigidas a la consolidación de las finanzas públicas y al impulso de la actividad económica (en adelante, Ley 16/2012), que establece el “impuesto sobre los depósitos en las entidades de crédito”.</w:t>
      </w:r>
    </w:p>
    <w:p w:rsidR="0085709A" w:rsidRDefault="0085709A" w:rsidP="0085709A">
      <w:pPr>
        <w:pStyle w:val="TextoNormal"/>
      </w:pPr>
    </w:p>
    <w:p w:rsidR="0085709A" w:rsidRDefault="0085709A" w:rsidP="0085709A">
      <w:pPr>
        <w:pStyle w:val="TextoNormal"/>
      </w:pPr>
      <w:r>
        <w:t>La demanda, interpuesta por la Abogada de la Generalitat de Cataluña, en representación del Gobierno de esta Comunidad Autónoma, se sustenta en tres motivos.</w:t>
      </w:r>
    </w:p>
    <w:p w:rsidR="0085709A" w:rsidRDefault="0085709A" w:rsidP="0085709A">
      <w:pPr>
        <w:pStyle w:val="TextoNormal"/>
      </w:pPr>
    </w:p>
    <w:p w:rsidR="0085709A" w:rsidRDefault="0085709A" w:rsidP="0085709A">
      <w:pPr>
        <w:pStyle w:val="TextoNormal"/>
      </w:pPr>
      <w:r>
        <w:t>En primer lugar, el art. 19 de la Ley 16/2012 se reputa inconstitucional por haberse infringido en su tramitación y aprobación el procedimiento legislativo, ya que el precepto tiene su origen en dos enmiendas, (las número 166 y 169), introducidas durante la tramitación de la norma en el Senado (“Boletín Oficial de las Cortes Generales” núm. 130, de 4 de diciembre de 2012), que no guardaban conexión con las materias contenidas en el proyecto de ley aprobado por el Congreso de los Diputados, por la que se adoptan diversas medidas tributarias dirigidas a la consolidación de las finanzas públicas y al impulso de la actividad económica.</w:t>
      </w:r>
    </w:p>
    <w:p w:rsidR="0085709A" w:rsidRDefault="0085709A" w:rsidP="0085709A">
      <w:pPr>
        <w:pStyle w:val="TextoNormal"/>
      </w:pPr>
    </w:p>
    <w:p w:rsidR="0085709A" w:rsidRDefault="0085709A" w:rsidP="0085709A">
      <w:pPr>
        <w:pStyle w:val="TextoNormal"/>
      </w:pPr>
      <w:r>
        <w:t>En segundo lugar, el artículo 19 supondría un ejercicio fraudulento de la potestad tributaria con lesión directa de las competencias financieras autonómicas para la creación de tributos (arts. 133.2 CE y 203.5 del Estatuto de Autonomía de Cataluña), así como de la autonomía financiera [arts. 156.1 y 157.1 b) CE] de las Comunidades Autónomas, además de infringir los principios de lealtad constitucional y de interdicción de la arbitrariedad de los poderes públicos (art. 9.3 CE).</w:t>
      </w:r>
    </w:p>
    <w:p w:rsidR="0085709A" w:rsidRDefault="0085709A" w:rsidP="0085709A">
      <w:pPr>
        <w:pStyle w:val="TextoNormal"/>
      </w:pPr>
    </w:p>
    <w:p w:rsidR="0085709A" w:rsidRDefault="0085709A" w:rsidP="0085709A">
      <w:pPr>
        <w:pStyle w:val="TextoNormal"/>
      </w:pPr>
      <w:r>
        <w:t>En tercer lugar, se alega la inconstitucionalidad del apartado 13 del art. 19 de la Ley 16/2012, que limitaría indebidamente la aplicación de las medidas de coordinación o compensación que contempla el art. 6.2 de la Ley Orgánica de financiación de las Comunidades Autónomas (LOFCA).</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Antes de abordar el fondo de la controversia, debemos considerar la incidencia que pueda tener en este proceso la modificación del precepto que se impugna, el art. 19 de la Ley 16/2012, mediante el art. 124 del Real Decreto-ley 8/2014, de 4 de julio, de aprobación de medidas urgentes para el crecimiento, la competitividad y la eficiencia (Real Decreto-ley 8/2014, en adelante), y, posteriormente, mediante el art. 124 de la Ley 18/2014, de 15 de octubre, de aprobación de medidas urgentes para el crecimiento, la competitividad y la eficiencia.</w:t>
      </w:r>
    </w:p>
    <w:p w:rsidR="0085709A" w:rsidRDefault="0085709A" w:rsidP="0085709A">
      <w:pPr>
        <w:pStyle w:val="TextoNormal"/>
      </w:pPr>
    </w:p>
    <w:p w:rsidR="0085709A" w:rsidRDefault="0085709A" w:rsidP="0085709A">
      <w:pPr>
        <w:pStyle w:val="TextoNormal"/>
      </w:pPr>
      <w:r>
        <w:t>Pues bien, de acuerdo con nuestra consolidada doctrina, estas modificaciones no privan de objeto al presente recurso. De una parte, porque la controversia que se plantea tiene contenido competencial que no puede considerarse resuelto tras las modificaciones legislativas indicadas, como ya hemos precisado en la STC 26/2015, de 19 de febrero (FJ 3), con cita de las SSTC 134/2011, de 20 de julio, FJ 2 b), y 161/2012, de 20 de septiembre, FJ 2 b). Y, de otra, porque el primero de los motivos se refiere al procedimiento legislativo mismo, de manera que “la eventual derogación o modificación de alguna de las normas contenidas en esta disposición legal no incidiría en el control de los vicios de validez en que pudiera haberse incurrido al momento de su aprobación, con lo cual subsiste el interés constitucional de velar por el recto ejercicio de la potestad legislativa” (SSTC 136/2011, de 13 de septiembre, FJ 2, y 132/2013, de 5 de julio, FJ 1).</w:t>
      </w:r>
    </w:p>
    <w:p w:rsidR="0085709A" w:rsidRDefault="0085709A" w:rsidP="0085709A">
      <w:pPr>
        <w:pStyle w:val="TextoNormal"/>
      </w:pPr>
    </w:p>
    <w:p w:rsidR="0085709A" w:rsidRDefault="0085709A" w:rsidP="0085709A">
      <w:pPr>
        <w:pStyle w:val="TextoNormal"/>
      </w:pPr>
      <w:r w:rsidRPr="0085709A">
        <w:rPr>
          <w:rStyle w:val="NumeroAFNegritaCaracter"/>
        </w:rPr>
        <w:t>3</w:t>
      </w:r>
      <w:r>
        <w:t>. El presente recurso de inconstitucionalidad, cuyo objeto hemos recogido en los antecedentes y resumido en el fundamento primero, coincide parcialmente en su objeto con el promovido por el Parlamento de Cataluña, (núm. 1808-2013), contra el mismo art. 19 de la Ley 16/2012, resuelto por la STC 26/2015, de 19 de febrero.</w:t>
      </w:r>
    </w:p>
    <w:p w:rsidR="0085709A" w:rsidRDefault="0085709A" w:rsidP="0085709A">
      <w:pPr>
        <w:pStyle w:val="TextoNormal"/>
      </w:pPr>
    </w:p>
    <w:p w:rsidR="0085709A" w:rsidRDefault="0085709A" w:rsidP="0085709A">
      <w:pPr>
        <w:pStyle w:val="TextoNormal"/>
      </w:pPr>
      <w:r>
        <w:t xml:space="preserve">Aquel recurso se fundamentaba en tres motivos. En primer lugar, que el impuesto estatal sobre los depósitos en las entidades de crédito era una simulación de impuesto, sin encaje en el concepto de tributo del art. 31.1 CE, por lo que su establecimiento no podía ampararse en las competencias del Estado para crear tributos (arts. 133.1 y 149.1.14 CE). En segundo lugar, se alegaba que, si bien el Estado ostentaba la competencia para armonizar la imposición sobre los depósitos bancarios, ello debía hacerse mediante ley orgánica, </w:t>
      </w:r>
      <w:r w:rsidRPr="0085709A">
        <w:rPr>
          <w:i/>
        </w:rPr>
        <w:t>ex</w:t>
      </w:r>
      <w:r>
        <w:t xml:space="preserve"> art. 157.3 CE, por lo que el art. 19 de la Ley 16/2012 habría invadido el ámbito constitucionalmente reservado este tipo normativo. Por último, se imputaba al apartado 13 del artículo 19 una limitación indebida y, por ello inconstitucional, del alcance de la compensación en caso de ocupación de hechos, vulnerando así el art. 6.2 LOFCA y la autonomía financiera de las Comunidades Autónomas (art. 156.1 CE). Estos motivos son esencialmente coincidentes con los motivos segundo y tercero expresados en la demanda.</w:t>
      </w:r>
    </w:p>
    <w:p w:rsidR="0085709A" w:rsidRDefault="0085709A" w:rsidP="0085709A">
      <w:pPr>
        <w:pStyle w:val="TextoNormal"/>
      </w:pPr>
    </w:p>
    <w:p w:rsidR="0085709A" w:rsidRDefault="0085709A" w:rsidP="0085709A">
      <w:pPr>
        <w:pStyle w:val="TextoNormal"/>
      </w:pPr>
      <w:r>
        <w:t>Pues bien, a estas tachas hemos dado respuesta en nuestra STC 26/2015, 19 de febrero, en cuyos fundamentos jurídicos 4 a 6, que deben darse aquí por reproducidos, hemos descartado la inconstitucionalidad del citado art. 19 de la Ley 16/2012, por los motivos allí expuestos.</w:t>
      </w:r>
    </w:p>
    <w:p w:rsidR="0085709A" w:rsidRDefault="0085709A" w:rsidP="0085709A">
      <w:pPr>
        <w:pStyle w:val="TextoNormal"/>
      </w:pPr>
    </w:p>
    <w:p w:rsidR="0085709A" w:rsidRDefault="0085709A" w:rsidP="0085709A">
      <w:pPr>
        <w:pStyle w:val="TextoNormal"/>
      </w:pPr>
      <w:r>
        <w:t>En el recurso que ahora debemos resolver se aduce sin embargo una tacha nueva, a la que por tanto deberá darse respuesta ahora. Como se ha hecho constar en los antecedentes, se aduce una posible infracción del procedimiento legislativo que condujo a la aprobación del precepto impugnado.</w:t>
      </w:r>
    </w:p>
    <w:p w:rsidR="0085709A" w:rsidRDefault="0085709A" w:rsidP="0085709A">
      <w:pPr>
        <w:pStyle w:val="TextoNormal"/>
      </w:pPr>
    </w:p>
    <w:p w:rsidR="0085709A" w:rsidRDefault="0085709A" w:rsidP="0085709A">
      <w:pPr>
        <w:pStyle w:val="TextoNormal"/>
      </w:pPr>
      <w:r>
        <w:lastRenderedPageBreak/>
        <w:t>En concreto, se alega que el establecimiento del impuesto estatal sobre depósitos en las entidades de crédito, no figuraba en el proyecto de ley presentado en el Congreso de los Diputados el 28 septiembre 2012, y aprobado por la Comisión de Hacienda y Administraciones públicas con competencia legislativa plena el 26 noviembre. Su inclusión se debió a la enmienda de adición número 169 introducida en el Senado por el Grupo Parlamentario Popular, carente de conexión, según la demanda, con las materias contenidas en el proyecto de ley aprobado por el Congreso de los Diputados, número 121-000026, y que se refería a los impuestos sobre la renta de las personas físicas, sociedades, patrimonio y valor añadido, y a los tributos locales sobre bienes inmuebles y sobre actividades económicas, pero sin contener ninguna alusión al impuesto sobre depósitos bancarios. Tal ausencia de conexión no puede además salvarse, se añade, afirmando que el impuesto sobre depósitos bancarios constituye una medida tributaria semejante a la restantes, ya que dicho tributo no tenía ánimo recaudatorio, toda vez que se fijó un tipo de gravamen del 0 por 100. Por tanto, y de acuerdo con la doctrina contenida en las SSTC 119/2011, de 5 julio, FJ 6, y 136/2011, de 13 septiembre, FJ 7, se incumple la exigencia de conexión de homogeneidad entre las enmiendas y los textos a enmendar, lo que conduce a su juicio a la inconstitucionalidad de la norma recurrida.</w:t>
      </w:r>
    </w:p>
    <w:p w:rsidR="0085709A" w:rsidRDefault="0085709A" w:rsidP="0085709A">
      <w:pPr>
        <w:pStyle w:val="TextoNormal"/>
      </w:pPr>
    </w:p>
    <w:p w:rsidR="0085709A" w:rsidRDefault="0085709A" w:rsidP="0085709A">
      <w:pPr>
        <w:pStyle w:val="TextoNormal"/>
      </w:pPr>
      <w:r w:rsidRPr="0085709A">
        <w:rPr>
          <w:rStyle w:val="NumeroAFNegritaCaracter"/>
        </w:rPr>
        <w:t>4</w:t>
      </w:r>
      <w:r>
        <w:t>. Antes de enjuiciar el fondo de las cuestiones objeto de este proceso constitucional debemos dar respuesta a la objeción de procedibilidad que formula el Letrado del Senado, en la representación que ostenta, y que está vinculada a la controversia de fondo. Considera en su escrito que la recurrente no está legitimada para plantear una objeción sobre el proceso legislativo, toda vez que la doctrina del Tribunal Constitucional sobre la conexión debida entre las enmiendas presentadas y el ámbito material de los proyectos de ley se basa en el derecho de participación política de los representantes.</w:t>
      </w:r>
    </w:p>
    <w:p w:rsidR="0085709A" w:rsidRDefault="0085709A" w:rsidP="0085709A">
      <w:pPr>
        <w:pStyle w:val="TextoNormal"/>
      </w:pPr>
    </w:p>
    <w:p w:rsidR="0085709A" w:rsidRDefault="0085709A" w:rsidP="0085709A">
      <w:pPr>
        <w:pStyle w:val="TextoNormal"/>
      </w:pPr>
      <w:r>
        <w:t>Esta objeción debe ser desestimada, para lo que basta recordar que este Tribunal viene realizando una interpretación flexible de la legitimación de las Comunidades Autónomas para interponer recursos de inconstitucionalidad, contenida en el art. 32.2 de la Ley Orgánica del Tribunal Constitucional (LOTC). Al respecto, hemos afirmado en reiteradas ocasiones que dicha legitimidad en los recursos de inconstitucionalidad se encuentra fundamentalmente al servicio de la depuración del ordenamiento jurídico (por todas, con cita de muchas otras, SSTC 110/2011, de 22 de junio, FJ 2, y STC 239/2012, de 13 de diciembre, FJ 2), en coherencia con el objeto y finalidad misma del recurso de inconstitucionalidad, de carácter abstracto y orientado a la depuración objetiva del ordenamiento. Por ello, dicha legitimación ha sido entendida en los mismos términos y con la misma amplitud que la del resto de los sujetos contemplados en los anteriores artículos de la Ley Orgánica del Tribunal Constitucional, al haberles sido reconocida a cada uno de ellos “no en atención a su interés, sino en virtud de la alta cualificación política que se infiere de su respectivo cometido constitucional” [entre otras, SSTC 5/1981, de 13 de febrero, FJ 3; 180/2000, de 19 de junio, FJ 2 a); 274/2000, de 15 de noviembre, FJ 2, y 96/2002, de 25 de abril, FJ 3]. En fin, de acuerdo con nuestra doctrina contenida en las SSTC 119/2011, de 5 julio, 136/2011, de 13 septiembre, 204/2011, de 15 diciembre, y 209/2012 de 14 noviembre, y atendiendo al citado objeto mismo del recurso de inconstitucionalidad, corresponde aquí garantizar la primacía de la Constitución (art. 27.1 LOTC) y asegurar en concreto el correcto funcionamiento del sistema de producción normativa preconizado por la Norma fundamental, depurando y expulsando del ordenamiento las normas impugnadas que se aparten de dicho sistema. Debe así rechazarse la citada objeción de procedibilidad.</w:t>
      </w:r>
    </w:p>
    <w:p w:rsidR="0085709A" w:rsidRDefault="0085709A" w:rsidP="0085709A">
      <w:pPr>
        <w:pStyle w:val="TextoNormal"/>
      </w:pPr>
    </w:p>
    <w:p w:rsidR="0085709A" w:rsidRDefault="0085709A" w:rsidP="0085709A">
      <w:pPr>
        <w:pStyle w:val="TextoNormal"/>
      </w:pPr>
      <w:r w:rsidRPr="0085709A">
        <w:rPr>
          <w:rStyle w:val="NumeroAFNegritaCaracter"/>
        </w:rPr>
        <w:t>5</w:t>
      </w:r>
      <w:r>
        <w:t>. Para resolver esta tacha de inconstitucionalidad debemos partir de la doctrina sobre el ejercicio del derecho de enmienda al articulado, recogida, en esencia, en las Sentencias citadas por las partes; las SSTC 119/2011, de 5 julio, FJ 6 (recurso de amparo avocado núm. 7464-2003); 136/2011, de 13 septiembre, FJ 7 (recurso de inconstitucionalidad núm. 1390-1999); y 176/2011, de 8 de noviembre (recurso de inconstitucionalidad núm. 1827-2000); así como las posteriores SSTC 209/2012, de 14 de noviembre (recurso de inconstitucionalidad núm. 1848-2002), 132/2013, de 5 de junio (recurso de inconstitucionalidad núm. 4247-2002), y 120/2014, de 17 de julio (recurso de inconstitucionalidad núm. 1756-2003). Todas ellas dieron respuesta a recursos planteados, entre otros motivos, por infracciones del procedimiento legislativo similares a la que aquí interesa.</w:t>
      </w:r>
    </w:p>
    <w:p w:rsidR="0085709A" w:rsidRDefault="0085709A" w:rsidP="0085709A">
      <w:pPr>
        <w:pStyle w:val="TextoNormal"/>
      </w:pPr>
    </w:p>
    <w:p w:rsidR="0085709A" w:rsidRDefault="0085709A" w:rsidP="0085709A">
      <w:pPr>
        <w:pStyle w:val="TextoNormal"/>
      </w:pPr>
      <w:r>
        <w:t>De la anterior doctrina pueden extraerse las siguientes ideas principales:</w:t>
      </w:r>
    </w:p>
    <w:p w:rsidR="0085709A" w:rsidRDefault="0085709A" w:rsidP="0085709A">
      <w:pPr>
        <w:pStyle w:val="TextoNormal"/>
      </w:pPr>
    </w:p>
    <w:p w:rsidR="0085709A" w:rsidRDefault="0085709A" w:rsidP="0085709A">
      <w:pPr>
        <w:pStyle w:val="TextoNormal"/>
      </w:pPr>
      <w:r>
        <w:t>a) En el ejercicio del derecho de enmienda al articulado, como forma de incidir en la iniciativa legislativa, debe respetarse una conexión mínima de homogeneidad con el texto enmendado, so pena de afectar, de modo contrario a la Constitución, tanto al derecho del autor de la iniciativa (art. 87 CE), como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w:t>
      </w:r>
    </w:p>
    <w:p w:rsidR="0085709A" w:rsidRDefault="0085709A" w:rsidP="0085709A">
      <w:pPr>
        <w:pStyle w:val="TextoNormal"/>
      </w:pPr>
    </w:p>
    <w:p w:rsidR="0085709A" w:rsidRDefault="0085709A" w:rsidP="0085709A">
      <w:pPr>
        <w:pStyle w:val="TextoNormal"/>
      </w:pPr>
      <w:r>
        <w:t>b) Para determinar si concurre tal conexión material u homogeneidad mínima entre la iniciativa legislativa y la enmienda presentada, el órgano al que reglamentariamente corresponda efectuar ese análisis contará en todo caso con un amplio margen de valoración, pues de lo contrario el procedimiento legislativo se vería atrapado en unas reglas tan rígidas que pueden convertir el debate parlamentario en un procedimiento completamente reglado. Esto significa que los órganos de gobierno de las Cámaras deben contar con un amplio margen de apreciación para determinar la existencia de conexión material entre enmienda y proyecto o proposición de ley objeto de debate, debiendo éstos pronunciarse de forma motivada acerca de la conexión, de suerte que “sólo cuando sea evidente y manifiesto que no existe tal conexión deberá rechazarse la enmienda, puesto que, en tal caso, se pervertiría la auténtica naturaleza del derecho de enmienda, ya que habría pasado a convertirse en una nueva iniciativa legislativa” (STC 119/2011, FJ 7).</w:t>
      </w:r>
    </w:p>
    <w:p w:rsidR="0085709A" w:rsidRDefault="0085709A" w:rsidP="0085709A">
      <w:pPr>
        <w:pStyle w:val="TextoNormal"/>
      </w:pPr>
    </w:p>
    <w:p w:rsidR="0085709A" w:rsidRDefault="0085709A" w:rsidP="0085709A">
      <w:pPr>
        <w:pStyle w:val="TextoNormal"/>
      </w:pPr>
      <w:r>
        <w:t>c) Cuando se trate de normas de contenido heterogéneo también debe respetarse el correcto ejercicio del derecho de enmienda dentro del procedimiento legislativo, si bien en este caso “la conexión de homogeneidad ha de entenderse de modo flexible que atienda también a su funcionalidad; y es que la pluralidad de las materias sobre las que versa en tales casos la iniciativa legislativa no las convierte en leyes de contenido indeterminado, ya que éste queda delimitado en el concreto texto presentado para su tramitación parlamentaria” (STC 136/2011, de 13 de septiembre, FJ 8).</w:t>
      </w:r>
    </w:p>
    <w:p w:rsidR="0085709A" w:rsidRDefault="0085709A" w:rsidP="0085709A">
      <w:pPr>
        <w:pStyle w:val="TextoNormal"/>
      </w:pPr>
    </w:p>
    <w:p w:rsidR="0085709A" w:rsidRDefault="0085709A" w:rsidP="0085709A">
      <w:pPr>
        <w:pStyle w:val="TextoNormal"/>
      </w:pPr>
      <w:r w:rsidRPr="0085709A">
        <w:rPr>
          <w:rStyle w:val="NumeroAFNegritaCaracter"/>
        </w:rPr>
        <w:t>6</w:t>
      </w:r>
      <w:r>
        <w:t>. Partiendo de las anteriores consideraciones, procede examinar si se ha infringido, como alega la demanda, el citado procedimiento legislativo.</w:t>
      </w:r>
    </w:p>
    <w:p w:rsidR="0085709A" w:rsidRDefault="0085709A" w:rsidP="0085709A">
      <w:pPr>
        <w:pStyle w:val="TextoNormal"/>
      </w:pPr>
    </w:p>
    <w:p w:rsidR="0085709A" w:rsidRDefault="0085709A" w:rsidP="0085709A">
      <w:pPr>
        <w:pStyle w:val="TextoNormal"/>
      </w:pPr>
      <w:r>
        <w:lastRenderedPageBreak/>
        <w:t>a) En primer lugar, debemos considerar cuál ha sido la valoración del órgano que reglamentariamente tiene encomendado el examen de las enmiendas.</w:t>
      </w:r>
    </w:p>
    <w:p w:rsidR="0085709A" w:rsidRDefault="0085709A" w:rsidP="0085709A">
      <w:pPr>
        <w:pStyle w:val="TextoNormal"/>
      </w:pPr>
    </w:p>
    <w:p w:rsidR="0085709A" w:rsidRDefault="0085709A" w:rsidP="0085709A">
      <w:pPr>
        <w:pStyle w:val="TextoNormal"/>
      </w:pPr>
      <w:r>
        <w:t>La admisión de la enmienda número 169 del Grupo Popular, que dio lugar a que se añadiera el artículo 19 que se impugna, fue objeto de un examen previo y específico por parte del órgano que tiene encomendada esta función, la Mesa del Senado, que como se expone en el escrito de alegaciones de esta Cámara tiene delegada la calificación material de las enmiendas en el Presidente de la misma.</w:t>
      </w:r>
    </w:p>
    <w:p w:rsidR="0085709A" w:rsidRDefault="0085709A" w:rsidP="0085709A">
      <w:pPr>
        <w:pStyle w:val="TextoNormal"/>
      </w:pPr>
    </w:p>
    <w:p w:rsidR="0085709A" w:rsidRDefault="0085709A" w:rsidP="0085709A">
      <w:pPr>
        <w:pStyle w:val="TextoNormal"/>
      </w:pPr>
      <w:r>
        <w:t>Ello es precisamente consecuencia de un nuevo procedimiento aprobado para dar cumplimiento a la doctrina contenida en la STC 119/2011 en relación con la calificación de las enmiendas. Dicho procedimiento se aplica a la presentación de propuestas de modificación a una iniciativa legislativa, una vez concluido el plazo de presentación de enmiendas, recogido en el acta de la reunión de la Mesa del Senado del 9 de octubre de 2012.</w:t>
      </w:r>
    </w:p>
    <w:p w:rsidR="0085709A" w:rsidRDefault="0085709A" w:rsidP="0085709A">
      <w:pPr>
        <w:pStyle w:val="TextoNormal"/>
      </w:pPr>
    </w:p>
    <w:p w:rsidR="0085709A" w:rsidRDefault="0085709A" w:rsidP="0085709A">
      <w:pPr>
        <w:pStyle w:val="TextoNormal"/>
      </w:pPr>
      <w:r>
        <w:t>Por lo que aquí importa, en dicho procedimiento, una vez finalizado el plazo de presentación de enmiendas, el Presidente del Senado, por delegación conferida por la Mesa de la Cámara, procede a calificar e inadmitir de forma motivada las enmiendas que incumplan los requisitos para su tramitación, abriéndose la posibilidad de que los grupos parlamentarios o senadores afectados puedan solicitar la reconsideración del acuerdo correspondiente a la Mesa, en virtud del artículo 36.2 del Reglamento del Senado.</w:t>
      </w:r>
    </w:p>
    <w:p w:rsidR="0085709A" w:rsidRDefault="0085709A" w:rsidP="0085709A">
      <w:pPr>
        <w:pStyle w:val="TextoNormal"/>
      </w:pPr>
    </w:p>
    <w:p w:rsidR="0085709A" w:rsidRDefault="0085709A" w:rsidP="0085709A">
      <w:pPr>
        <w:pStyle w:val="TextoNormal"/>
      </w:pPr>
      <w:r>
        <w:t>Este dato, junto con el hecho cierto de que durante el proceso ningún senador o grupo parlamentario suscitó la cuestión de que las enmiendas carecían de congruencia material, debe tenerse en cuenta precisamente a la luz de nuestra doctrina citada, pues hemos reiterado que el órgano al que reglamentariamente corresponda efectuar ese análisis contará con un amplio margen de valoración y que, en concreto, cuando éste aprecie una falta absoluta de conexión, deberá valorar, siquiera de forma sucinta, si concurre o no tal conexión mínima, de suerte que “sólo cuando sea evidente y manifiesto que no existe tal conexión deberá rechazarse la enmienda, puesto que, en tal caso, se pervertiría la auténtica naturaleza del derecho de enmienda, ya que habría pasado a convertirse en una nueva iniciativa legislativa” (STC 119/2011, FJ 7).</w:t>
      </w:r>
    </w:p>
    <w:p w:rsidR="0085709A" w:rsidRDefault="0085709A" w:rsidP="0085709A">
      <w:pPr>
        <w:pStyle w:val="TextoNormal"/>
      </w:pPr>
    </w:p>
    <w:p w:rsidR="0085709A" w:rsidRDefault="0085709A" w:rsidP="0085709A">
      <w:pPr>
        <w:pStyle w:val="TextoNormal"/>
      </w:pPr>
      <w:r>
        <w:t>El propio examen de la práctica seguida por el Senado permite comprobar que este órgano ha tenido en cuenta la doctrina citada, a partir de la publicación de la citada STC 119/2011. En la actualidad, la Presidencia del Senado, en ejercicio de la citada delegación por parte de la Mesa de la Cámara, efectúa un control de coherencia y homogeneidad de enmiendas, existiendo numerosos ejemplos; entre otros, inadmisión a trámite de la enmienda número 165, planteada por el Grupo Parlamentario Popular, por falta de conexión con el proyecto de ley reguladora de la jurisdicción social (“Boletín Oficial de las Cortes Generales.” Senado, núm. 111, de 14 de septiembre de 2011); o inadmisión de la enmienda número 573, planteada por el mismo Grupo Popular, al entenderla desconectada con el proyecto de ley de medidas urgentes para la reforma del mercado laboral (“Boletín Oficial de las Cortes Generales.” Senado, núm. 70, de 13 de junio 2012).</w:t>
      </w:r>
    </w:p>
    <w:p w:rsidR="0085709A" w:rsidRDefault="0085709A" w:rsidP="0085709A">
      <w:pPr>
        <w:pStyle w:val="TextoNormal"/>
      </w:pPr>
    </w:p>
    <w:p w:rsidR="0085709A" w:rsidRDefault="0085709A" w:rsidP="0085709A">
      <w:pPr>
        <w:pStyle w:val="TextoNormal"/>
      </w:pPr>
      <w:r>
        <w:t xml:space="preserve">En este caso concreto, no consta que la enmienda no fuera admitida, ni tampoco, como ya se ha adelantado, que algún senador o grupo parlamentario suscitase la cuestión de su carencia de congruencia material. Este dato tiene relevancia, sobre todo si se tiene en cuenta </w:t>
      </w:r>
      <w:r>
        <w:lastRenderedPageBreak/>
        <w:t>que los recursos de inconstitucionalidad resueltos por las citadas SSTC 119/2011 y siguientes, hasta la más reciente STC 120/2014, tienen en común el referirse a los años 2002 y 2003, además de haber sido en todos los casos planteadas por un grupo de parlamentarios.</w:t>
      </w:r>
    </w:p>
    <w:p w:rsidR="0085709A" w:rsidRDefault="0085709A" w:rsidP="0085709A">
      <w:pPr>
        <w:pStyle w:val="TextoNormal"/>
      </w:pPr>
    </w:p>
    <w:p w:rsidR="0085709A" w:rsidRDefault="0085709A" w:rsidP="0085709A">
      <w:pPr>
        <w:pStyle w:val="TextoNormal"/>
      </w:pPr>
      <w:r>
        <w:t>Lo anterior no significa que este Tribunal deba dejar de controlar si existe la citada coherencia entre enmiendas, pero sí que existe una presunción de coherencia u homogeneidad por el hecho de no haber sido inadmitida; en especial, comprobado que en dicha Cámara se ha implantado, con carácter expreso según se ha constatado, una práctica para verificar específicamente dicho aspecto en las enmiendas que se introduzcan. Esta práctica “se incardina en el amplio margen de apreciación que hemos reiterado deben tener los órganos de gobierno de las Cámaras para determinar la existencia de conexión material entre enmienda y proyecto o proposición de ley objeto de debate” (SSTC 119/2011, FJ 7, y 204/2011, FJ 4).</w:t>
      </w:r>
    </w:p>
    <w:p w:rsidR="0085709A" w:rsidRDefault="0085709A" w:rsidP="0085709A">
      <w:pPr>
        <w:pStyle w:val="TextoNormal"/>
      </w:pPr>
    </w:p>
    <w:p w:rsidR="0085709A" w:rsidRDefault="0085709A" w:rsidP="0085709A">
      <w:pPr>
        <w:pStyle w:val="TextoNormal"/>
      </w:pPr>
      <w:r>
        <w:t>b) Entrando ya en el contenido de la misma, debemos examinar, si pese al anterior control por parte del órgano de la Cámara, la introducción del impuesto sobre los depósitos en las entidades de crédito a través del artículo 19 impugnado adoleció de una ausencia “mínima” de homogeneidad con el texto enmendado, afectándose así tanto al derecho del autor de la iniciativa (art. 87 CE), como al carácter instrumental del procedimiento legislativo (art. 66.2 CE), lo que “podría alcanzar relevancia constitucional, si alterase de forma sustancial el proceso de formación de voluntad en el seno de las Cámaras”, como hemos hecho constar.</w:t>
      </w:r>
    </w:p>
    <w:p w:rsidR="0085709A" w:rsidRDefault="0085709A" w:rsidP="0085709A">
      <w:pPr>
        <w:pStyle w:val="TextoNormal"/>
      </w:pPr>
    </w:p>
    <w:p w:rsidR="0085709A" w:rsidRDefault="0085709A" w:rsidP="0085709A">
      <w:pPr>
        <w:pStyle w:val="TextoNormal"/>
      </w:pPr>
      <w:r>
        <w:t>En este caso, el proyecto tenía como objeto una serie de medidas tributarias, de forma que en principio es posible apreciar la vinculación entre una enmienda que establece un tributo nuevo y un texto legislativo que modifica las figuras centrales del sistema tributario.</w:t>
      </w:r>
    </w:p>
    <w:p w:rsidR="0085709A" w:rsidRDefault="0085709A" w:rsidP="0085709A">
      <w:pPr>
        <w:pStyle w:val="TextoNormal"/>
      </w:pPr>
    </w:p>
    <w:p w:rsidR="0085709A" w:rsidRDefault="0085709A" w:rsidP="0085709A">
      <w:pPr>
        <w:pStyle w:val="TextoNormal"/>
      </w:pPr>
      <w:r>
        <w:t>Abona esta conclusión el propio contenido heterogéneo del proyecto de ley, que se refería de forma conjunta a diversos tributos, lo que permite ya desestimar la tacha en aplicación de nuestra doctrina contenida en la STC 209/2012, de 14 de noviembre, FJ 4 b), que precisamente se refiere a la introducción, mediante enmiendas, de nuevas figuras tributarias en un texto legislativo que, entre otros aspectos, contenía una serie de medidas tributarias. En la citada Sentencia y fundamento afirmamos que “la introducción de las tres enmiendas citadas en el texto de una iniciativa que precisamente hacía referencia a medidas tributarias en diferentes materias (impuestos y tasas) no sólo no está huérfana de la necesaria conexión material con el objeto de la iniciativa (STC 136/2011, de 13 de septiembre, FJ 8), sino que es congruente con su objeto, espíritu y fines esenciales (ATC 118/1999, de 10 de mayo, FJ 4), tanto más cuando la conexión reclamada no tiene que ser de identidad con las medidas previstas en el texto de la iniciativa sino de afinidad con las materias recogidas en el mismo”.</w:t>
      </w:r>
    </w:p>
    <w:p w:rsidR="0085709A" w:rsidRDefault="0085709A" w:rsidP="0085709A">
      <w:pPr>
        <w:pStyle w:val="TextoNormal"/>
      </w:pPr>
    </w:p>
    <w:p w:rsidR="0085709A" w:rsidRDefault="0085709A" w:rsidP="0085709A">
      <w:pPr>
        <w:pStyle w:val="TextoNormal"/>
      </w:pPr>
      <w:r>
        <w:t xml:space="preserve">En efecto, el argumento de la total desconexión entre la enmienda y el proyecto de ley decae con el análisis del segundo, ya que dicho proyecto se articula precisamente como una norma tributaria de carácter transversal cuya finalidad era modificar los principales tributos del sistema. En efecto, en el texto aprobado por el Congreso de los Diputados (publicado en el “Boletín Oficial de las Cortes Generales”, núm., 125, de 23 de noviembre de 2012, pág. 34) se introducían importantes modificaciones en los impuestos sobre la renta de las personas físicas (capítulo I), sobre sociedades (capítulos II y III), sobre el patrimonio (capítulo IV), sobre la renta de no residentes (capítulo V), sobre el valor añadido (capítulo VI), sobre transmisiones patrimoniales y actos jurídicos documentados (capítulo VII), en los tributos </w:t>
      </w:r>
      <w:r>
        <w:lastRenderedPageBreak/>
        <w:t>locales (capítulo VIII) y en el catastro inmobiliario (capítulo IX), y, en fin, en el régimen económico y fiscal de Canarias.</w:t>
      </w:r>
    </w:p>
    <w:p w:rsidR="0085709A" w:rsidRDefault="0085709A" w:rsidP="0085709A">
      <w:pPr>
        <w:pStyle w:val="TextoNormal"/>
      </w:pPr>
    </w:p>
    <w:p w:rsidR="0085709A" w:rsidRDefault="0085709A" w:rsidP="0085709A">
      <w:pPr>
        <w:pStyle w:val="TextoNormal"/>
      </w:pPr>
      <w:r>
        <w:t>Tratándose así de una norma cuyo contenido tributario resultaba evidente, aunque incluyendo distintos tributos, no puede afirmarse que exista una total falta de homogeneidad o desconexión, en los términos alegados por la demanda, y de acuerdo con nuestra doctrina reiterada, que exige cohonestar el examen de la posible vulneración constitucional con la necesaria flexibilidad en el procedimiento legislativo y el papel de control que a los órganos de gobierno corresponden y del que el proceso constitucional es siempre subsidiario. No habiéndose así constatado una alteración sustancial del proceso de formación de voluntad en el seno de las Cámaras, el presente motivo de inconstitucionalidad debe ser desestimado.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inconstitucionalidad interpuesto por el Gobierno de Cataluña contra el art. 19 de la Ley 16/2012, de 27 de diciembre, por la que se adoptan diversas medidas tributarias dirigidas a la consolidación de las finanzas públicas y al impulso de la actividad económica.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dieciocho de marzo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al que se adhieren el Magistrado don Luis Ignacio Ortega Álvarez y la Magistrada doña Encarnación Roca Trías respecto de la Sentencia dictada en el recurso de inconstitucionalidad núm. 1873-2013.</w:t>
      </w:r>
    </w:p>
    <w:p w:rsidR="0085709A" w:rsidRDefault="0085709A" w:rsidP="0085709A">
      <w:pPr>
        <w:pStyle w:val="TextoNormalNegritaCentrado"/>
        <w:keepNext/>
      </w:pPr>
    </w:p>
    <w:p w:rsidR="0085709A" w:rsidRDefault="0085709A" w:rsidP="0085709A">
      <w:pPr>
        <w:pStyle w:val="TextoNormal"/>
      </w:pPr>
      <w:r>
        <w:t>Con respeto a la opinión mayoritaria de mis compañeros en la que se sustenta la Sentencia, manifiesto mi discrepancia con la argumentación y decisión de desestimar el recurso de inconstitucionalidad interpuesto por el Gobierno de Cataluña contra el art. 19 de la Ley 16/2012, de 27 de diciembre, por el que se crea el impuesto sobre depósitos en las entidades de crédito.</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26/2015, de 19 de febrero, al que me remito para evitar reiteraciones innecesarias.</w:t>
      </w:r>
    </w:p>
    <w:p w:rsidR="0085709A" w:rsidRDefault="0085709A" w:rsidP="0085709A">
      <w:pPr>
        <w:pStyle w:val="TextoNormal"/>
      </w:pPr>
    </w:p>
    <w:p w:rsidR="0085709A" w:rsidRDefault="0085709A" w:rsidP="0085709A">
      <w:pPr>
        <w:pStyle w:val="TextoNormal"/>
      </w:pPr>
      <w:r>
        <w:t>Madrid, a dieciocho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3" w:name="SENTENCIA_2015_60"/>
      <w:r>
        <w:lastRenderedPageBreak/>
        <w:t>SENTENCIA 60/2015, de 18 de marzo de 2015</w:t>
      </w:r>
    </w:p>
    <w:bookmarkEnd w:id="63"/>
    <w:p w:rsidR="0085709A" w:rsidRDefault="0085709A" w:rsidP="0085709A">
      <w:pPr>
        <w:pStyle w:val="TtuloResolucin"/>
      </w:pPr>
      <w:r>
        <w:t>Pleno</w:t>
      </w:r>
    </w:p>
    <w:p w:rsidR="0085709A" w:rsidRDefault="0085709A" w:rsidP="0085709A">
      <w:pPr>
        <w:pStyle w:val="TtuloBOE"/>
      </w:pPr>
      <w:r>
        <w:t>(BOE núm. 98, de 24 de abril de 2015)</w:t>
      </w:r>
    </w:p>
    <w:p w:rsidR="0085709A" w:rsidRDefault="0085709A" w:rsidP="0085709A">
      <w:pPr>
        <w:pStyle w:val="TextoNormalCentrado"/>
      </w:pPr>
      <w:r>
        <w:t>ECLI:ES:TC:2015:60</w:t>
      </w:r>
    </w:p>
    <w:p w:rsidR="0085709A" w:rsidRDefault="0085709A" w:rsidP="0085709A">
      <w:pPr>
        <w:pStyle w:val="TextoNormalCentrado"/>
      </w:pPr>
    </w:p>
    <w:p w:rsidR="0085709A" w:rsidRDefault="0085709A" w:rsidP="0085709A">
      <w:pPr>
        <w:pStyle w:val="SntesisDescriptiva"/>
      </w:pPr>
      <w:r>
        <w:t>Cuestión de inconstitucionalidad 3337-2013. Planteada por la Sección Séptima de la Sala de lo Contencioso-Administrativo del Tribunal Supremo respecto del artículo 12 bis de la Ley de la Comunidad Valenciana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w:t>
      </w:r>
    </w:p>
    <w:p w:rsidR="0085709A" w:rsidRDefault="0085709A" w:rsidP="0085709A">
      <w:pPr>
        <w:pStyle w:val="SntesisDescriptiva"/>
      </w:pPr>
    </w:p>
    <w:p w:rsidR="0085709A" w:rsidRDefault="0085709A" w:rsidP="0085709A">
      <w:pPr>
        <w:pStyle w:val="SntesisAnaltica"/>
      </w:pPr>
      <w:r>
        <w:t>Límites a la potestad tributaria de las Comunidades Autónomas: nulidad del precepto legal que supedita el disfrute de una bonificación tributaria a la residencia habitual en la Comunidad Valenciana.</w:t>
      </w:r>
    </w:p>
    <w:p w:rsidR="0085709A" w:rsidRDefault="0085709A" w:rsidP="0085709A">
      <w:pPr>
        <w:pStyle w:val="SntesisAnaltica"/>
      </w:pPr>
    </w:p>
    <w:p w:rsidR="0085709A" w:rsidRDefault="0085709A" w:rsidP="0085709A">
      <w:pPr>
        <w:pStyle w:val="Extracto"/>
      </w:pPr>
      <w:r>
        <w:t>1.</w:t>
      </w:r>
      <w:r>
        <w:tab/>
        <w:t>Se estima la cuestión de inconstitucionalidad y se declara la inconstitucionalidad y consiguiente nulidad de los términos “que tengan su residencia habitual en la Comunitat Valenciana” contenidos en la Ley impugnada que regula el tramo autonómico del IRPF y restantes tributos cedidos, de medidas fiscales, de gestión administrativa y financiera, y de organización de la Generalitat [FJ 6].</w:t>
      </w:r>
    </w:p>
    <w:p w:rsidR="0085709A" w:rsidRDefault="0085709A" w:rsidP="0085709A">
      <w:pPr>
        <w:pStyle w:val="Extracto"/>
      </w:pPr>
    </w:p>
    <w:p w:rsidR="0085709A" w:rsidRDefault="0085709A" w:rsidP="0085709A">
      <w:pPr>
        <w:pStyle w:val="Extracto"/>
      </w:pPr>
      <w:r>
        <w:t>2.</w:t>
      </w:r>
      <w:r>
        <w:tab/>
        <w:t>La cuestión consiste en determinar si es o no contrario al derecho a la igualdad el hecho de que la bonificación controvertida se aplique únicamente a los parientes del grupo I (descendientes y adoptados menores de veintiún años) y del grupo II (descendientes y adoptados mayores de veintiún años, cónyuges, ascendientes y adoptantes), “que tengan su residencia habitual en la Comunitat Valenciana a la fecha del devengo del impuesto” y no así a los parientes de los mismos grupo I y II que residan fuera del territorio de la Comunidad Autónoma [FJ 3].</w:t>
      </w:r>
    </w:p>
    <w:p w:rsidR="0085709A" w:rsidRDefault="0085709A" w:rsidP="0085709A">
      <w:pPr>
        <w:pStyle w:val="Extracto"/>
      </w:pPr>
    </w:p>
    <w:p w:rsidR="0085709A" w:rsidRDefault="0085709A" w:rsidP="0085709A">
      <w:pPr>
        <w:pStyle w:val="Extracto"/>
      </w:pPr>
      <w:r>
        <w:t>3.</w:t>
      </w:r>
      <w:r>
        <w:tab/>
        <w:t>Para que sea constitucionalmente lícita la diferencia de trato, no sólo tiene que existir una justificación objetiva y razonable, sino que las consecuencias jurídicas que se deriven de tal distinción deben ser proporcionadas a la finalidad perseguida, de suerte que se eviten resultados excesivamente gravosos o desmedidos (SSTC 255/2004, 10/2005, 295/2006, 83/2014) [FJ 4].</w:t>
      </w:r>
    </w:p>
    <w:p w:rsidR="0085709A" w:rsidRDefault="0085709A" w:rsidP="0085709A">
      <w:pPr>
        <w:pStyle w:val="Extracto"/>
      </w:pPr>
    </w:p>
    <w:p w:rsidR="0085709A" w:rsidRDefault="0085709A" w:rsidP="0085709A">
      <w:pPr>
        <w:pStyle w:val="Extracto"/>
      </w:pPr>
      <w:r>
        <w:t>4.</w:t>
      </w:r>
      <w:r>
        <w:tab/>
        <w:t>El principio de igualdad ante la ley tributaria, conlleva la prohibición en la concesión de privilegios tributarios discriminatorios, es decir, de beneficios tributarios injustificados desde el punto de vista constitucional que puedan constituir una quiebra del deber genérico de contribuir al sostenimiento de los gastos del Estado (STC 96/2002) [FJ 4].</w:t>
      </w:r>
    </w:p>
    <w:p w:rsidR="0085709A" w:rsidRDefault="0085709A" w:rsidP="0085709A">
      <w:pPr>
        <w:pStyle w:val="Extracto"/>
      </w:pPr>
    </w:p>
    <w:p w:rsidR="0085709A" w:rsidRDefault="0085709A" w:rsidP="0085709A">
      <w:pPr>
        <w:pStyle w:val="Extracto"/>
      </w:pPr>
      <w:r>
        <w:t>5.</w:t>
      </w:r>
      <w:r>
        <w:tab/>
        <w:t>El determinante de la desigualdad no es la existencia misma de una medida diferente en el territorio nacional, “sino la existencia o no de una justificación razonable que legitime la medida diferente” (SSTC 96/2002, 100/2012)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3337-2013, promovida por la Sección Séptima de la Sala de lo Contencioso-Administrativo del Tribunal Supremo respecto del art. 12.bis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por presunta vulneración de los arts. 14, 31.1 y 139.1, todos ellos de la Constitución. Han comparecido el Abogado del Estado, en la representación que ostenta, y el Fiscal General del Estado.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día 30 de mayo de 2013 tuvo entrada en el Registro General del Tribunal Constitucional un escrito de la Sección Séptima de la Sala de lo Contencioso-Administrativo del Tribunal Supremo al que se acompaña, junto al testimonio del correspondiente procedimiento, el Auto de 8 de mayo de 2013 por el que se acuerda plantear cuestión de inconstitucionalidad en relación con el art. 12 </w:t>
      </w:r>
      <w:r w:rsidRPr="0085709A">
        <w:rPr>
          <w:i/>
        </w:rPr>
        <w:t>bis</w:t>
      </w:r>
      <w:r>
        <w:t xml:space="preserve">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por presunta vulneración de los arts. 14, 31.1 y 139.1, todos ellos de la Constitución.</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sucintamente expuestos, son los siguientes:</w:t>
      </w:r>
    </w:p>
    <w:p w:rsidR="0085709A" w:rsidRDefault="0085709A" w:rsidP="0085709A">
      <w:pPr>
        <w:pStyle w:val="TextoNormal"/>
      </w:pPr>
    </w:p>
    <w:p w:rsidR="0085709A" w:rsidRDefault="0085709A" w:rsidP="0085709A">
      <w:pPr>
        <w:pStyle w:val="TextoNormal"/>
      </w:pPr>
      <w:r>
        <w:t xml:space="preserve">a) Con fecha de 13 de abril de 2010, don Gaspar Juan Armelles Reig, junto con sus hermanas (doña Emilia y doña María del Carmen Armelles Reig) y su madre (doña Emilia Reig Roig), presentaron ante el Servicio territorial de economía y hacienda de Castellón la declaración-liquidación del impuesto sobre sucesiones correspondiente a la sucesión de su padre y cónyuge, respectivamente, don Gaspar Armelles Linares, en la que con una misma </w:t>
      </w:r>
      <w:r>
        <w:lastRenderedPageBreak/>
        <w:t>porción hereditaria individual para cada uno de los descendientes de 841.999,40 €, la cuota tributaria derivada de la normativa del impuesto ascendía a 1.985,96 € para el primer heredero (doña Emilia), tras aplicarse una bonificación del 99 por 100 por tener su residencia habitual en la Comunidad Valenciana de conformidad con el art. 20.2 a) de la Ley de la Comunidad Valenciana 29/1987; a 2.184,55 € para el segundo heredero (doña María del Carmen), tras aplicarse la misma bonificación del 99 por 100 por tener igualmente su residencia habitual en la Comunidad Valenciana; y a 202.210,86 € para el tercer heredero (don Gaspar Juan), quien no tenía derecho a aplicarse la citada bonificación del 99 por 100 por no tener su residencia habitual en la Comunidad Valenciana.</w:t>
      </w:r>
    </w:p>
    <w:p w:rsidR="0085709A" w:rsidRDefault="0085709A" w:rsidP="0085709A">
      <w:pPr>
        <w:pStyle w:val="TextoNormal"/>
      </w:pPr>
    </w:p>
    <w:p w:rsidR="0085709A" w:rsidRDefault="0085709A" w:rsidP="0085709A">
      <w:pPr>
        <w:pStyle w:val="TextoNormal"/>
      </w:pPr>
      <w:r>
        <w:t>b) Solicitada la rectificación de la anterior autoliquidación por don Gaspar Juan Armelles Reig al considerar que la norma legal de cobertura establecía una discriminación contraria a la Constitución y sin haber obtenido respuesta alguna en el plazo de seis meses, interpuso un recurso contencioso-administrativo (núm. 03-2162-2010) por el procedimiento especial de protección de los derechos fundamentales ante la Sala de lo Contencioso-Administrativo del Tribunal Superior de Justicia de Valencia, que por Sentencia núm. 727/2011, de 13 de junio, de la Sección Tercera, lo desestimó, por considerar que “la medida normativa combatida ni es arbitraria, ni está ayuna de fundamento legal”, pues “responde a una finalidad constitucionalmente amparada que es la protección de la familia”.</w:t>
      </w:r>
    </w:p>
    <w:p w:rsidR="0085709A" w:rsidRDefault="0085709A" w:rsidP="0085709A">
      <w:pPr>
        <w:pStyle w:val="TextoNormal"/>
      </w:pPr>
    </w:p>
    <w:p w:rsidR="0085709A" w:rsidRDefault="0085709A" w:rsidP="0085709A">
      <w:pPr>
        <w:pStyle w:val="TextoNormal"/>
      </w:pPr>
      <w:r>
        <w:t xml:space="preserve">c) Interpuesto un recurso de casación ante el Tribunal Supremo (núm. 4209-2011) contra la anterior Sentencia, concluso el procedimiento y señalado por providencia con fecha de 21 de enero de 2013 para votación y fallo el día 6 de febrero de 2013, por nueva providencia del día 11 de febrero de 2013 se suspendió el señalamiento citado, acordando oír a las partes y al Ministerio Fiscal para que alegasen lo que considerasen oportuno sobre el planteamiento de una cuestión de inconstitucionalidad con relación al art. 12 </w:t>
      </w:r>
      <w:r w:rsidRPr="0085709A">
        <w:rPr>
          <w:i/>
        </w:rPr>
        <w:t>bis</w:t>
      </w:r>
      <w:r>
        <w:t xml:space="preserve"> de la Ley de la Comunidad Valenciana 13/1997, en la redacción dada por el art. 16 de la Ley de la Comunidad Valenciana 10/2006, por si pudiera ser contrario a los arts. 14, 31.1 y 139.1, todos ellos de la Constitución.</w:t>
      </w:r>
    </w:p>
    <w:p w:rsidR="0085709A" w:rsidRDefault="0085709A" w:rsidP="0085709A">
      <w:pPr>
        <w:pStyle w:val="TextoNormal"/>
      </w:pPr>
    </w:p>
    <w:p w:rsidR="0085709A" w:rsidRDefault="0085709A" w:rsidP="0085709A">
      <w:pPr>
        <w:pStyle w:val="TextoNormal"/>
      </w:pPr>
      <w:r>
        <w:t>Evacuado el trámite de alegaciones conferido, la representación procesal de la parte recurrente consideró procedente el planteamiento de la cuestión de inconstitucionalidad. Por su parte, el Abogado de la Generalitat Valenciana, en la representación que ostenta, defendió la improcedencia de dicho planteamiento. Finalmente, el Ministerio Fiscal no se opuso al citado planteamiento.</w:t>
      </w:r>
    </w:p>
    <w:p w:rsidR="0085709A" w:rsidRDefault="0085709A" w:rsidP="0085709A">
      <w:pPr>
        <w:pStyle w:val="TextoNormal"/>
      </w:pPr>
    </w:p>
    <w:p w:rsidR="0085709A" w:rsidRDefault="0085709A" w:rsidP="0085709A">
      <w:pPr>
        <w:pStyle w:val="TextoNormal"/>
      </w:pPr>
      <w:r w:rsidRPr="0085709A">
        <w:rPr>
          <w:rStyle w:val="NumeroAFNegritaCaracter"/>
        </w:rPr>
        <w:t>3</w:t>
      </w:r>
      <w:r>
        <w:t>. En el Auto de planteamiento de la cuestión de inconstitucionalidad de 11 de mayo de 2013 el órgano judicial proponente, tras repasar los antecedentes de hecho en el planteamiento de la cuestión, después de concretar los razonamientos de la sentencia impugnada y una vez precisadas las alegaciones de las partes y del Ministerio Fiscal sobre la constitucionalidad del precepto controvertido, realiza las consideraciones que, a continuación, se sintetizan:</w:t>
      </w:r>
    </w:p>
    <w:p w:rsidR="0085709A" w:rsidRDefault="0085709A" w:rsidP="0085709A">
      <w:pPr>
        <w:pStyle w:val="TextoNormal"/>
      </w:pPr>
    </w:p>
    <w:p w:rsidR="0085709A" w:rsidRDefault="0085709A" w:rsidP="0085709A">
      <w:pPr>
        <w:pStyle w:val="TextoNormal"/>
      </w:pPr>
      <w:r>
        <w:t xml:space="preserve">a) El art. 12 </w:t>
      </w:r>
      <w:r w:rsidRPr="0085709A">
        <w:rPr>
          <w:i/>
        </w:rPr>
        <w:t>bis</w:t>
      </w:r>
      <w:r>
        <w:t xml:space="preserve"> de la Ley de la Comunidad Valenciana 13/1997, de 23 de diciembre, por la que se regula el tramo autonómico del impuesto sobre la renta de las personas físicas y restantes tributos cedidos, en su originaria redacción, disponía que “[g]ozarán de una bonificación del 99 por 100 de la cuota tributaria del Impuesto sobre Sucesiones y Donaciones: a) Las adquisiciones </w:t>
      </w:r>
      <w:r w:rsidRPr="0085709A">
        <w:rPr>
          <w:i/>
        </w:rPr>
        <w:t>mortis causa</w:t>
      </w:r>
      <w:r>
        <w:t xml:space="preserve"> por parientes del causante pertenecientes a los Grupos I </w:t>
      </w:r>
      <w:r>
        <w:lastRenderedPageBreak/>
        <w:t xml:space="preserve">y II del artículo 20.2 a) de la Ley 29/1987, de 18 de diciembre, del Impuesto sobre Sucesiones y Donaciones, que tengan su residencia habitual en la Comunitat Valenciana a la fecha del devengo del impuesto”. La redacción posteriormente dada a ese mismo precepto por la Ley de la Comunidad Valenciana 16/2003, aunque no condicionaba la aplicación del beneficio a la residencia del sujeto pasivo del impuesto, sin embargo, sí la limitaba a las adquisiciones </w:t>
      </w:r>
      <w:r w:rsidRPr="0085709A">
        <w:rPr>
          <w:i/>
        </w:rPr>
        <w:t>mortis causa</w:t>
      </w:r>
      <w:r>
        <w:t xml:space="preserve"> por descendientes menores de 21 años (parientes del grupo I de la Ley reguladora del impuesto sobre sucesiones). Sería, finalmente, la Ley de la Comunidad Valenciana 10/2006, la que, al dar una nueva redacción al art. 12 </w:t>
      </w:r>
      <w:r w:rsidRPr="0085709A">
        <w:rPr>
          <w:i/>
        </w:rPr>
        <w:t>bis</w:t>
      </w:r>
      <w:r>
        <w:t>, condicionó la aplicación del beneficio fiscal a la residencia habitual en la Comunidad Valenciana.</w:t>
      </w:r>
    </w:p>
    <w:p w:rsidR="0085709A" w:rsidRDefault="0085709A" w:rsidP="0085709A">
      <w:pPr>
        <w:pStyle w:val="TextoNormal"/>
      </w:pPr>
    </w:p>
    <w:p w:rsidR="0085709A" w:rsidRDefault="0085709A" w:rsidP="0085709A">
      <w:pPr>
        <w:pStyle w:val="TextoNormal"/>
      </w:pPr>
      <w:r>
        <w:t>Para el órgano judicial, la explicación que da a esta modificación el preámbulo de la Ley se refiere a la extensión de la deducción a los parientes del grupo II (descendientes de 21 años o más, cónyuges y ascendientes), pero no a la introducción del condicionamiento por residencia habitual en la Comunidad Valenciana. Dicho artículo viene precedido por los arts. 10 a 12 que regulan, respectivamente, las deducciones, la tarifa y la cuota tributaria, sin que ninguno de ellos establezca como elemento rector el de la residencia habitual del sujeto pasivo. De hecho, el art. 10.4 a) de la Ley Orgánica 8/1980, de 22 de septiembre, de financiación de las Comunidades Autónomas, fija como punto de conexión del impuesto sobre sucesiones, el domicilio del causante.</w:t>
      </w:r>
    </w:p>
    <w:p w:rsidR="0085709A" w:rsidRDefault="0085709A" w:rsidP="0085709A">
      <w:pPr>
        <w:pStyle w:val="TextoNormal"/>
      </w:pPr>
    </w:p>
    <w:p w:rsidR="0085709A" w:rsidRDefault="0085709A" w:rsidP="0085709A">
      <w:pPr>
        <w:pStyle w:val="TextoNormal"/>
      </w:pPr>
      <w:r>
        <w:t>b) Hechas las precisiones anteriores, señala a continuación el órgano judicial que, en la aplicación del beneficio fiscal controvertido (bonificación en cuota del 99 por 100), se introduce una diferencia de trato en función de la residencia habitual, de modo que los sujetos pasivos residentes en la Comunidad Valenciana se benefician de la bonificación y los no residentes en ella no, pese a que la relación de unos y otros con el causante de la herencia sea la misma y que la parte del caudal hereditario que les corresponda pueda ser igual. Pues bien, como la diferencia de tratamiento es inequívoca, entiende el órgano judicial que debe buscarse si existe una justificación constitucional. No obstante, antes de ello recuerda el órgano judicial la doctrina del Tribunal Constitucional con relación al principio de igualdad (y, en concreto, la sentada en la STC 96/2002, de 25 de abril), para concluir que, una vez constatada la diferencia, la justificación de la misma corresponde darla al poder público que la ha establecido. A tal fin, debe examinarse si los grupos de personas en que se establece la diferencia son homogéneos, si existe un fin constitucionalmente legítimo que justifique la diferencia por razón de la residencia, si las consecuencias jurídicas que resultan de la distinción son adecuadas y proporcionadas al fin, y, por último, si la residencia puede operar como elemento de diferenciación, en relación con el art. 139.1 CE.</w:t>
      </w:r>
    </w:p>
    <w:p w:rsidR="0085709A" w:rsidRDefault="0085709A" w:rsidP="0085709A">
      <w:pPr>
        <w:pStyle w:val="TextoNormal"/>
      </w:pPr>
    </w:p>
    <w:p w:rsidR="0085709A" w:rsidRDefault="0085709A" w:rsidP="0085709A">
      <w:pPr>
        <w:pStyle w:val="TextoNormal"/>
      </w:pPr>
      <w:r>
        <w:t>c) Con relación a la homogeneidad entre los grupos de personas, a juicio del órgano judicial, resulta clara, al tratarse de un impuesto sobre sucesiones cuyos sujetos pasivos se encuentran en el mismo grado de relación familiar con el causante de la sucesión, sin más diferencia entre ellos que el hecho de la residencia.</w:t>
      </w:r>
    </w:p>
    <w:p w:rsidR="0085709A" w:rsidRDefault="0085709A" w:rsidP="0085709A">
      <w:pPr>
        <w:pStyle w:val="TextoNormal"/>
      </w:pPr>
    </w:p>
    <w:p w:rsidR="0085709A" w:rsidRDefault="0085709A" w:rsidP="0085709A">
      <w:pPr>
        <w:pStyle w:val="TextoNormal"/>
      </w:pPr>
      <w:r>
        <w:t xml:space="preserve">d) Respecto del fin constitucionalmente legítimo, no se cuestiona el establecimiento de la bonificación en sí misma, sino la limitación de la misma a los residentes en la Comunidad Valenciana. En este sentido, tanto el preámbulo de la Ley de la Comunidad Valenciana 16/2003 como el de la Ley de la misma Comunidad Autónoma 10/2006 se limitan a justificar la bonificación en razón de la protección de la familia y de la neutralidad tributaria del impuesto en las transmisiones </w:t>
      </w:r>
      <w:r w:rsidRPr="0085709A">
        <w:rPr>
          <w:i/>
        </w:rPr>
        <w:t>mortis causa</w:t>
      </w:r>
      <w:r>
        <w:t xml:space="preserve"> del caudal familiar, sin alusión alguna al factor </w:t>
      </w:r>
      <w:r>
        <w:lastRenderedPageBreak/>
        <w:t>residencia, lo que supone que la obligación del poder público causante de la diferencia de trato de justificar el distinto tratamiento no se ha cumplido cuando, además, el fin perseguido, a juicio del órgano judicial, se da en los mismos términos con relación a los residentes y a los no residentes.</w:t>
      </w:r>
    </w:p>
    <w:p w:rsidR="0085709A" w:rsidRDefault="0085709A" w:rsidP="0085709A">
      <w:pPr>
        <w:pStyle w:val="TextoNormal"/>
      </w:pPr>
    </w:p>
    <w:p w:rsidR="0085709A" w:rsidRDefault="0085709A" w:rsidP="0085709A">
      <w:pPr>
        <w:pStyle w:val="TextoNormal"/>
      </w:pPr>
      <w:r>
        <w:t>Tampoco se encuentra razón alguna de esa diferencia en el debate parlamentario de la Ley, pues, existiendo enmiendas de supresión, no aparece debate alguno sobre el elemento de la residencia. Sólo resta, entonces, para el órgano judicial, intentar encontrar la razón de esa diferencia en las alegaciones de la Comunidad Valenciana en el trámite de audiencia otorgado con carácter previo al planteamiento de la cuestión. Sin embargo, de dichas alegaciones, que gozan —a su juicio— de gran ambigüedad, no se alcanza a adivinar con un mínimo de precisión cuál pueda ser el fin, al mezclarse consideraciones que tienen que ver con la diferencia de trato de una misma situación como consecuencia de la aplicación de legislaciones de diferentes Comunidades Autónomas, circunstancia esta que nada tiene que ver con el caso planteado en el que la diferencia deriva de una misma ley de una Comunidad Autónoma y no de diferentes leyes de otras tantas Comunidades Autónomas.</w:t>
      </w:r>
    </w:p>
    <w:p w:rsidR="0085709A" w:rsidRDefault="0085709A" w:rsidP="0085709A">
      <w:pPr>
        <w:pStyle w:val="TextoNormal"/>
      </w:pPr>
    </w:p>
    <w:p w:rsidR="0085709A" w:rsidRDefault="0085709A" w:rsidP="0085709A">
      <w:pPr>
        <w:pStyle w:val="TextoNormal"/>
      </w:pPr>
      <w:r>
        <w:t>Así las cosas, para el órgano judicial promotor de la cuestión, lo más próximo a la concreción del fin constitucional al que, en su caso, pueda orientarse la utilización del elemento residencia para diferenciar entre sujetos pasivos de un mismo impuesto de sucesiones, con la misma relación de parentesco con el causante de la herencia, es la afirmación que se hace a la “consecución de determinadas políticas sectoriales”. Ahora bien, para que dicha finalidad pueda reputarse legítima es imprescindible determinar de qué políticas sectoriales se trata, determinación que no se hace más allá de la de beneficiar a sus residentes.</w:t>
      </w:r>
    </w:p>
    <w:p w:rsidR="0085709A" w:rsidRDefault="0085709A" w:rsidP="0085709A">
      <w:pPr>
        <w:pStyle w:val="TextoNormal"/>
      </w:pPr>
    </w:p>
    <w:p w:rsidR="0085709A" w:rsidRDefault="0085709A" w:rsidP="0085709A">
      <w:pPr>
        <w:pStyle w:val="TextoNormal"/>
      </w:pPr>
      <w:r>
        <w:t>Señala el órgano judicial que la Comunidad Autónoma aduce que “los sistemas fiscales de las Comunidades Autónomas, de forma directa o indirecta tenderán a favorecer a sus residentes entendiendo como justificación suficiente que ello refrendará la consecuencia de políticas sectoriales a la par que retroalimentaría la propia riqueza”. Tal alegación es para el órgano judicial, sin embargo, poco convincente para justificar la existencia de un fin constitucionalmente legítimo en cuanto clave de la diferencia de tratamiento normativo, pues con ello se pretende que el propósito de beneficiar a los residentes sirva para la consecución de políticas sectoriales. Este planteamiento es, a juicio del órgano judicial, inaceptable, no sólo por su absoluta vaguedad e inconcreción, tanto más cuanto que va de suyo que cualquier sistema fiscal tiene como objetivo último el de posibilitar la realización de políticas sectoriales a través del gasto público, sino porque no se alcanza a comprender cómo el favorecimiento de los residentes en el tratamiento fiscal encaja en la realización de políticas sectoriales respetuosas de la contribución de cada cual conforme a su capacidad económica, mediante un sistema tributario justo inspirado en los principios de igualdad y progresividad (art. 31.1 CE). En consecuencia, ni la ley que establece el trato desigual ha explicitado la finalidad justificativa de la diferencia introducida, ni tal finalidad se puede inferir de la regulación controvertida, ni, en fin, la Comunidad Autónoma ha logrado identificarla, lo que es ya de por sí suficiente para considerar que la citada diferenciación es contraria al art. 14 CE y, consecuentemente, al art. 31.1 CE.</w:t>
      </w:r>
    </w:p>
    <w:p w:rsidR="0085709A" w:rsidRDefault="0085709A" w:rsidP="0085709A">
      <w:pPr>
        <w:pStyle w:val="TextoNormal"/>
      </w:pPr>
    </w:p>
    <w:p w:rsidR="0085709A" w:rsidRDefault="0085709A" w:rsidP="0085709A">
      <w:pPr>
        <w:pStyle w:val="TextoNormal"/>
      </w:pPr>
      <w:r>
        <w:t xml:space="preserve">e) A continuación, señala el órgano judicial que, si no existe un fin constitucionalmente legítimo que justifique la diferencia de trato por razón de la residencia, no tiene sentido plantearse la proporcionalidad de las consecuencias jurídicas. Ahora bien, entiende que no </w:t>
      </w:r>
      <w:r>
        <w:lastRenderedPageBreak/>
        <w:t xml:space="preserve">está de más señalar que tampoco podría considerarse la diferencia de trato proporcionada, si una semejante capacidad económica derivada de una igual adquisición </w:t>
      </w:r>
      <w:r w:rsidRPr="0085709A">
        <w:rPr>
          <w:i/>
        </w:rPr>
        <w:t>mortis causa</w:t>
      </w:r>
      <w:r>
        <w:t xml:space="preserve"> procedente de la herencia del mismo causante por sujetos ligados por vínculo familiar, el pretendido fin de protección de la familia y fomento de la neutralidad impositiva sería el mismo en todos los casos, tanto más si se tiene en cuenta que, en ninguno de los elementos del impuesto, opera la residencia como elemento distintivo.</w:t>
      </w:r>
    </w:p>
    <w:p w:rsidR="0085709A" w:rsidRDefault="0085709A" w:rsidP="0085709A">
      <w:pPr>
        <w:pStyle w:val="TextoNormal"/>
      </w:pPr>
    </w:p>
    <w:p w:rsidR="0085709A" w:rsidRDefault="0085709A" w:rsidP="0085709A">
      <w:pPr>
        <w:pStyle w:val="TextoNormal"/>
      </w:pPr>
      <w:r>
        <w:t>f) Analiza, en último lugar, el órgano judicial el recurso a la residencia como elemento de diferenciación desde el punto de vista del art. 139.1 CE, subrayando una vez más que no se está ante un supuesto en el que la comparación se efectúe respecto de leyes de diferentes Comunidades Autónomas, sino en uno en el que se analiza la validez constitucional del diferente tratamiento de los contribuyentes sometidos a un mismo impuesto en cuanto a la aplicación de una misma bonificación. No obstante, antes que nada precisa el órgano judicial que no es aceptable la afirmación que realiza la representación procesal de la Comunidad Valenciana en el trámite de alegaciones de que “los sistemas fiscales de las Comunidades Autónomas, de forma directa o indirecta, tenderán a favorecer a sus residentes entendiendo como justificación suficiente, que ello refrendará la consecución de políticas sectoriales a la par que retroalimentará la propia riqueza”. Y no es aceptable porque mezcla, de modo inaceptable, lo que son las políticas sectoriales, sin duda, constitucionalmente legítimas, como expresión de la autonomía de las Comunidades Autónomas, con el desviado criterio de favorecimiento de residentes frente a los no residentes, cuando a unos y otros se les aplica la misma ley.</w:t>
      </w:r>
    </w:p>
    <w:p w:rsidR="0085709A" w:rsidRDefault="0085709A" w:rsidP="0085709A">
      <w:pPr>
        <w:pStyle w:val="TextoNormal"/>
      </w:pPr>
    </w:p>
    <w:p w:rsidR="0085709A" w:rsidRDefault="0085709A" w:rsidP="0085709A">
      <w:pPr>
        <w:pStyle w:val="TextoNormal"/>
      </w:pPr>
      <w:r>
        <w:t>Para el órgano judicial promotor de la cuestión de inconstitucionalidad una cosa es que el criterio de la residencia pueda definir la base subjetiva de referencia de la legislación autonómica, de modo que con carácter general la legislación de cada autonomía se refiera a los residentes en su territorio y no a los que residan fuera de él. Y otra cosa distinta es que cuando, en función de un determinado punto de conexión, un ciudadano no residente en una determinada Comunidad Autónoma quede sometido a la legislación de esa Comunidad Autónoma, luego esa Ley le niegue los derechos que concede a quien sí reside en la misma. En consecuencia, no se puede admitir el planteamiento de la Comunidad Autónoma de que, aun cuando el planteamiento de la infracción no se refiera a las diferencias surgidas de las distintas normativas de las Comunidades Autónomas, la cuestión se justifique de la misma manera, pues los residentes en una y otra Comunidad se ven abocados a soportar regímenes fiscales diversos, ya procedan de legislaciones diferentes o de la misma norma, sin que ello dé lugar a la infracción de la Constitución.</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Mediante providencia de 24 de septiembre de 2013, el Pleno de este Tribunal acordó admitir a trámite la cuestión de inconstitucionalidad planteada, de conformidad con lo dispuesto en el art. 10.2 de la Ley Orgánica del Tribunal Constitucional (LOTC), reservar para sí el conocimiento de la misma, dar traslado de las actuaciones recibidas, conforme establece el art. 37.2 LOTC, al Congreso de los Diputados y al Senado, por conducto de sus Presidentes, al Gobierno, por conducto del Ministerio de Justicia, al Fiscal General del Estado, así como a la Generalitat Valenciana y a las Cortes Valencianas, por conducto de sus Presidentes, al objeto de que, en el improrrogable plazo de quince días, pudieran personarse en el proceso y formular las alegaciones que estimasen convenientes. Asimismo, acordó comunicar la presente resolución a la Sección Séptima de la Sala de lo Contencioso-Administrativo del Tribunal Supremo a fin de que, de conformidad con lo dispuesto en el art. 35.3 </w:t>
      </w:r>
      <w:r>
        <w:lastRenderedPageBreak/>
        <w:t>LOTC, permaneciese suspendido el proceso hasta que por este Tribunal se resolviese definitivamente la cuestión. Todo ello con publicación de la incoación de la cuestión en el “Boletín Oficial del Estado” (lo que tuvo lugar en el “BOE” núm. 240, de 7 de octubre de 2013) y en el “Diari Oficial de la Comunitat Valenciana”.</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día 2 de octubre de 2013, el Presidente del Congreso de los Diputados comunicó a este Tribunal la decisión de la Mesa de la Cámara de personarse en el procedimiento y ofrecer su colaboración a los efectos del art. 88.1 LOTC, con remisión a la Dirección de Estudios, Análisis y Publicaciones, y a la Asesoría Jurídica de la Secretaría General. Posteriormente, por escrito registrado en este Tribunal el siguiente 9 de octubre, el Presidente del Senado comunicó a este Tribunal el acuerdo de la Mesa de la Cámara de fecha 8 de octubre anterior para que se tuviera a dicha Cámara por personada en el procedimiento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registrado en este Tribunal el día 18 de octubre de 2013, el Abogado del Estado se personó en el procedimiento señalando que no iba a formular alegaciones.</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de 22 de octubre de 2013 presentó en el Registro General de este Tribunal su escrito de alegaciones la Abogada de la Generalitat Valenciana, suplicando se dictase sentencia por la que se desestimase la cuestión. Tras precisar los razonamientos del Auto de planteamiento de la cuestión de inconstitucionalidad, arranca la representante de la Generalitat destacando la realidad que supone el Estado de las autonomías y, más concretamente, el principio de autonomía financiera de las Comunidades Autónomas reconocida en el art. 156.1 CE, lo que supone, según el art. 157 CE, la existencia de medios financieros para hacer frente a los gastos inherentes al ejercicio de sus competencias. Esta autonomía financiera se basa, a su juicio, en un principio de corresponsabilidad fiscal efectiva, conforme al cual las Comunidades Autónomas pueden establecer sus propios tributos e incidir en algunos aspectos de los tributos estatales, al atribuírseles ciertas competencias normativas vinculadas al desarrollo del principio de autonomía financiera respecto a los tributos cedidos, sin modificar la reserva legal, en cuanto a los elementos esenciales cuya regulación esencial corresponde al Estado. Estos aspectos esenciales se contienen en la Ley 29/1987, de 18 de diciembre, del impuesto sobre sucesiones, de forma que es el Estado el garante del mantenimiento de unas posiciones jurídicas análogas en el territorio español, pero sin menoscabar el principio de autonomía financiara, como sucedería si fijase el ámbito personal de afección de las bonificaciones autonómicas mediante la determinación de los criterios de vinculación a la tributación en una u otra Comunidad Autónoma.</w:t>
      </w:r>
    </w:p>
    <w:p w:rsidR="0085709A" w:rsidRDefault="0085709A" w:rsidP="0085709A">
      <w:pPr>
        <w:pStyle w:val="TextoNormal"/>
      </w:pPr>
    </w:p>
    <w:p w:rsidR="0085709A" w:rsidRDefault="0085709A" w:rsidP="0085709A">
      <w:pPr>
        <w:pStyle w:val="TextoNormal"/>
      </w:pPr>
      <w:r>
        <w:t xml:space="preserve">Antes de la reforma operada por la Ley Orgánica 3/2009, de 18 de diciembre, señala, a continuación, la Abogada de la Generalitat, las posibilidades legislativas de las Comunidades Autónomas con relación al impuesto sobre sucesiones, recaían sobre el establecimiento de deducciones y bonificaciones en la cuota, regulando el Estado los aspectos básicos del impuesto de cara a garantizar una posición esencialmente igual de los españoles. Por tanto, aunque al Estado le corresponde garantizar unas condiciones básicas entre los contribuyentes (SSTC 76/1983, FJ 2, y 37/1981, FJ 12), las Comunidades Autónomas pueden, en el ejercicio de las competencias que les corresponden, vía deducción o bonificación, modificar sustantivamente la realidad cuantitativa de la tributación por el impuesto, introduciendo con </w:t>
      </w:r>
      <w:r>
        <w:lastRenderedPageBreak/>
        <w:t>ello una presión fiscal diferenciada, de forma que la residencia en uno u otro territorio suponga asumir unas diferentes cargas fiscales. El sistema de las autonomías implica por sí la existencia de distintos regímenes fiscales y la sujeción del contribuyente vendrá dada por su domicilio habitual, quien tiene libertad para elegirlo y, por tanto, quien tiene que asumir, no sólo los beneficios o cargas de su elección, sino un mejor o peor régimen de gasto público. Así se ha pronunciado el Tribunal Constitucional en relación con la libertad de residencia al considerar que son los ciudadanos los que tienen que asumir diferentes obligaciones o beneficios que por las residencias se les imponen (STC 8/1986), asumiendo así las consecuencias de su opción (STC 90/1989).</w:t>
      </w:r>
    </w:p>
    <w:p w:rsidR="0085709A" w:rsidRDefault="0085709A" w:rsidP="0085709A">
      <w:pPr>
        <w:pStyle w:val="TextoNormal"/>
      </w:pPr>
    </w:p>
    <w:p w:rsidR="0085709A" w:rsidRDefault="0085709A" w:rsidP="0085709A">
      <w:pPr>
        <w:pStyle w:val="TextoNormal"/>
      </w:pPr>
      <w:r>
        <w:t>Reconoce la Abogada de la Generalitat que, en el impuesto sobre sucesiones, se produce una notable disfunción porque el criterio para determinar la vinculación a una Comunidad Autónoma lo es el domicilio del causante y no el del causahabiente, este último sujeto pasivo del tributo. Por eso, no es de extrañar que la Comunidad Autónoma haya alterado el punto de conexión habitual establecido para los impuestos personales, efectuando la precisión de que la aplicación de la bonificación controvertida sea de aplicación exclusivamente a los residentes, sin que con ello incurra en ninguna arbitrariedad, y sin que el hecho de que hijos del mismo causante tributen de forma distinta hiera la sensibilidad constitucional. Además, continúa, la diferencia introducida por el precepto controvertido cuenta con una justificación como es que el ahorro que supone al residente en la Comunidad la aplicación de la bonificación va a revertir por otras vías en el mismo territorio, lo que supondrá un beneficio o un retorno de la bonificación vía recaudación posterior.</w:t>
      </w:r>
    </w:p>
    <w:p w:rsidR="0085709A" w:rsidRDefault="0085709A" w:rsidP="0085709A">
      <w:pPr>
        <w:pStyle w:val="TextoNormal"/>
      </w:pPr>
    </w:p>
    <w:p w:rsidR="0085709A" w:rsidRDefault="0085709A" w:rsidP="0085709A">
      <w:pPr>
        <w:pStyle w:val="TextoNormal"/>
      </w:pPr>
      <w:r>
        <w:t xml:space="preserve">Para abundar en la legitimidad de la limitación introducida y aun siendo consciente de que las normas que menciona no están sometidas a examen en el presente proceso constitucional, acude la Abogada de la Generalitat a citar dos supuestos similares en otras Comunidades Autónomas, como son el del Decreto Legislativo del Gobierno de Aragón 1/2005, de 26 de septiembre, en el que se establece una reducción del 100 por 100 en las donaciones </w:t>
      </w:r>
      <w:r w:rsidRPr="0085709A">
        <w:rPr>
          <w:i/>
        </w:rPr>
        <w:t>inter vivos</w:t>
      </w:r>
      <w:r>
        <w:t xml:space="preserve"> siempre que el donante y el donatario tengan su residencia habitual en la Comunidad de Aragón (art. 132.2), y la Ley de la Comunidad de La Rioja 10/2010, de 16 de diciembre, de medidas fiscales y administrativas, que exige para la aplicación de la reducción estatal de la transmisión de la empresa familiar que la misma esté situada en la Comunidad y que el heredero tenga allí su domicilio fiscal (art. 5). Más globalmente, añade la Abogada de la Generalitat, casi todas las Comunidades Autónomas exigen para la aplicación de las reducciones correspondientes a la transmisión de empresas que se garantice la permanencia de la actividad y que se tenga el domicilio social en la Comunidad Autónoma [art. 21 del Decreto Legislativo 1/2009 (Canarias), art. 4 de la Ley 6/2008 (Asturias), art. 21 del Decreto Legislativo 1/2008 (Castilla y León), art. 2 de la Ley 12/2006 (Murcia), art. 15 del Decreto Legislativo 1/2006 (Extremadura), art. 5 de la Ley 9/2008 (Galicia), etc.]. Todo lo anterior pone de manifiesto, a juicio de la Abogada de la Generalitat, que las Comunidades Autónomas tienden a mejorar las condiciones tributarias de quienes mantienen un vínculo fiscal con ellas, para favorecer la atracción y mantenimiento de empresas y capitales.</w:t>
      </w:r>
    </w:p>
    <w:p w:rsidR="0085709A" w:rsidRDefault="0085709A" w:rsidP="0085709A">
      <w:pPr>
        <w:pStyle w:val="TextoNormal"/>
      </w:pPr>
    </w:p>
    <w:p w:rsidR="0085709A" w:rsidRDefault="0085709A" w:rsidP="0085709A">
      <w:pPr>
        <w:pStyle w:val="TextoNormal"/>
      </w:pPr>
      <w:r>
        <w:t xml:space="preserve">Una vez hechas las precisiones anteriores, pasa la Abogada de la Generalitat a analizar la vulneración del principio de igualdad (art. 14 CE), para lo cual parte de la precisión de que este derecho, lo que exige, es el respeto de unas posiciones jurídicas fundamentales, admitiendo diferencias siempre que exista una justificación plausible. En efecto, tomando como punto de partida la doctrina de la STC 96/2002, concluye que la justificación plausible </w:t>
      </w:r>
      <w:r>
        <w:lastRenderedPageBreak/>
        <w:t>de la diferencia controvertida se debe a la realización de políticas sectoriales concretas y es consecuencia de la elección de la residencia por el ciudadano, de la que deriva la asunción de diferentes derechos y obligaciones según la Comunidad en la que se encuentre. Sólo con esto se justifica, a juicio de la Abogada de la Generalitat, la diferencia introducida. Además, añade que, a diferencia de otras Comunidades Autónomas que gozan de la condición de capitalidad del Estado o de gran capital, disfrutando de poblaciones millonarias, y, por tanto, de un gran nivel de financiación, en la Comunidad Valenciana no concurre esta circunstancia, lo que permite justificar igualmente la medida adoptada. En conclusión, es legítima y acorde la introducción por parte de las Comunidades Autónomas de criterios de diferenciación en relación a sus residentes.</w:t>
      </w:r>
    </w:p>
    <w:p w:rsidR="0085709A" w:rsidRDefault="0085709A" w:rsidP="0085709A">
      <w:pPr>
        <w:pStyle w:val="TextoNormal"/>
      </w:pPr>
    </w:p>
    <w:p w:rsidR="0085709A" w:rsidRDefault="0085709A" w:rsidP="0085709A">
      <w:pPr>
        <w:pStyle w:val="TextoNormal"/>
      </w:pPr>
      <w:r>
        <w:t>Por otra parte, con relación a la exigencia del órgano promotor de la cuestión de que se definan las políticas sectoriales legitimadoras del trato diferenciado por razón de la residencia, manifiesta la Abogada de la Generalitat su disconformidad al considerar que la limitación de las bonificaciones por razón de la residencia se circunscribe al ámbito de la autonomía financiera reconocido por la Constitución a las Comunidades Autónomas. Esta cuestión fue abordada, aunque fuera del ámbito tributario, por la STC 90/1989 (ayudas para el desempleo agrario), en la que se legitima la exclusión por razón de la residencia.</w:t>
      </w:r>
    </w:p>
    <w:p w:rsidR="0085709A" w:rsidRDefault="0085709A" w:rsidP="0085709A">
      <w:pPr>
        <w:pStyle w:val="TextoNormal"/>
      </w:pPr>
    </w:p>
    <w:p w:rsidR="0085709A" w:rsidRDefault="0085709A" w:rsidP="0085709A">
      <w:pPr>
        <w:pStyle w:val="TextoNormal"/>
      </w:pPr>
      <w:r>
        <w:t>En fin, respecto de la alegada vulneración del art. 139.1 CE por los sistemas fiscales de las Comunidades Autónomas que buscan favorecer a sus residentes, reconoce la Abogada de la Generalitat que es una realidad incontestable que las Comunidades Autónomas adopten medidas dirigidas a beneficiar a su población, en el ejercicio de sus propias competencias y sin invadir las ajenas, y, entre esas medidas se encuentran las mejoras fiscales que pretenden atender las necesidades de los sujetos pasivos. La limitación de las deducciones por razón de la residencia es algo ínsito en los regímenes jurídicos de los demás tributos y no es sino consecuencia, de un lado, del Estado de las Autonomías que determina un distinto elenco de derechos y deberes para los ciudadanos en función de su residencia, y, de otro, del principio de autonomía financiera (art. 156.1 CE), que no admite que los beneficios fiscales establecidos por la Comunidad Autónoma que suponen un sacrificio recaudatorio para éstas, puedan encontrar una “fuga” por la configuración que el Estado decida establecer en cada momento del punto de conexión del tributo no sólo con merma de las posibilidades de actuación de las Comunidades Autónomas, sino con invasión del reconocimiento constitucional de este principio.</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escrito presentado en el Registro General de este Tribunal el día 23 de octubre de 2013, los Letrados de las Cortes Valencianas, en representación de esta Cámara, suplicaron la desestimación de la cuestión de inconstitucionalidad, al no existir, a su juicio, colisión alguna con los arts. 14, 31.1 y 139.1, todos ellos de la Constitución.</w:t>
      </w:r>
    </w:p>
    <w:p w:rsidR="0085709A" w:rsidRDefault="0085709A" w:rsidP="0085709A">
      <w:pPr>
        <w:pStyle w:val="TextoNormal"/>
      </w:pPr>
    </w:p>
    <w:p w:rsidR="0085709A" w:rsidRDefault="0085709A" w:rsidP="0085709A">
      <w:pPr>
        <w:pStyle w:val="TextoNormal"/>
      </w:pPr>
      <w:r>
        <w:t xml:space="preserve">Tras detallar los antecedentes en el planteamiento de la cuestión y concretar el contenido de la norma cuestionada, efectúan los Letrados de las Cortes Valencianas una precisión previa consistente en señalar que, a resultas del modelo de distribución competencial existente en materia del impuesto sobre sucesiones y donaciones, los órganos legislativos de las Comunidades Autónomas de régimen común tienen la capacidad de regular algunos aspectos decisivos de la cuantificación de las obligaciones tributarias derivadas de la realización de los hechos imponibles, habiendo establecido con distinta intensidad bonificaciones en el </w:t>
      </w:r>
      <w:r>
        <w:lastRenderedPageBreak/>
        <w:t>pago del impuesto en los supuestos de transmisión de la herencia dentro del núcleo familiar directo.</w:t>
      </w:r>
    </w:p>
    <w:p w:rsidR="0085709A" w:rsidRDefault="0085709A" w:rsidP="0085709A">
      <w:pPr>
        <w:pStyle w:val="TextoNormal"/>
      </w:pPr>
    </w:p>
    <w:p w:rsidR="0085709A" w:rsidRDefault="0085709A" w:rsidP="0085709A">
      <w:pPr>
        <w:pStyle w:val="TextoNormal"/>
      </w:pPr>
      <w:r>
        <w:t xml:space="preserve">Una vez hecha la anterior precisión, pasan los Letrados de las Cortes Valencianas a analizar la doctrina de este Tribunal relativa, tanto al principio de igualdad ante la Ley, como al ejercicio de las competencias tributarias de las Comunidades Autónomas, para concluir que, de un lado, corresponde al legislador apreciar en qué situaciones es procedente diferenciar y tratar desigualmente, debiendo interpretarse las normas relativas a los beneficios fiscales de forma lógica y restrictiva, al suponer una excepción a ese principio de igualdad; y, de otro, que la competencia tributaria, como manifestación de la autonomía financiera de las Comunidades Autónomas, no sólo justifica posibles diferencias fiscales, sino que la igualdad de impuesto propio de una Comunidad Autónoma debe referirse a los residentes en la propia Comunidad, sin que sea necesario garantizar la uniformidad tributaria de todos los españoles, aun cuando tengan la misma capacidad económica. En suma, las diferencias territoriales no vulneran, </w:t>
      </w:r>
      <w:r w:rsidRPr="0085709A">
        <w:rPr>
          <w:i/>
        </w:rPr>
        <w:t>per se</w:t>
      </w:r>
      <w:r>
        <w:t>, el derecho a la igualdad, pues de otro modo se anularía la autonomía financiera de las Comunidades Autónomas de la que la competencia tributaria es una manifestación. Por esta razón, el que los residentes en una y otra Comunidad Autónoma se vean abocados a soportar regímenes fiscales diversos, ya sea por proceder de normativas diferentes, ya lo sea por derivar de la misma norma, supone una diferencia de trato que no infringe la Constitución (con cita de la STC 108/2003).</w:t>
      </w:r>
    </w:p>
    <w:p w:rsidR="0085709A" w:rsidRDefault="0085709A" w:rsidP="0085709A">
      <w:pPr>
        <w:pStyle w:val="TextoNormal"/>
      </w:pPr>
    </w:p>
    <w:p w:rsidR="0085709A" w:rsidRDefault="0085709A" w:rsidP="0085709A">
      <w:pPr>
        <w:pStyle w:val="TextoNormal"/>
      </w:pPr>
      <w:r>
        <w:t>En efecto, para las Cortes Valencianas, la cuestión ha de situarse en el marco del Estado de las Autonomías y, concretamente, en el sistema de distribución competencial en materia tributaria. Así, la Ley Orgánica 8/1980, de 22 de septiembre, de financiación de las Comunidades Autónomas (en su redacción anterior a la Ley Orgánica 3/2009, de 18 de diciembre), basada en un principio de corresponsabilidad fiscal efectiva, otorgaba a las Comunidades Autónomas la posibilidad de incidir normativamente en aspectos importantes de los tributos cedidos, pero sin afectar a sus elementos esenciales. Aunque el legislador autonómico no puede incidir en los aspectos básicos del impuesto, entre esos aspectos sobre los que sí puede incidir se encuentra la posibilidad de establecer deducciones o bonificaciones en la cuota, con la cual, puede atemperarse la realidad cuantitativa de la tributación por ese impuesto, correspondiendo al Estado garantizar las condiciones básicas de igualdad entre los contribuyentes. De esta manera, la Comunidad Autónoma, en función de sus intereses y de los de sus residentes cuya gestión y protección tiene encomendadas, puede introducir presiones fiscales diferentes en función de la residencia o no en su territorio, sin que de ello quepa deducir una artificiosa infracción del principio de igualdad, tanto más cuanto que el contribuyente puede elegir libremente su domicilio, con los consiguientes beneficios/cargas fiscales que ha de asumir por ello.</w:t>
      </w:r>
    </w:p>
    <w:p w:rsidR="0085709A" w:rsidRDefault="0085709A" w:rsidP="0085709A">
      <w:pPr>
        <w:pStyle w:val="TextoNormal"/>
      </w:pPr>
    </w:p>
    <w:p w:rsidR="0085709A" w:rsidRDefault="0085709A" w:rsidP="0085709A">
      <w:pPr>
        <w:pStyle w:val="TextoNormal"/>
      </w:pPr>
      <w:r>
        <w:t>A continuación, destacan las Cortes Valencianas que, en el impuesto sobre sucesiones, se produce una notable disfunción, pues el criterio de la residencia para determinar la Comunidad Autónoma competente se aplica en función del domicilio del causante y no del sujeto pasivo (causahabiente), motivo por el cual la Comunidad Valenciana ha precisado la aplicación de la bonificación a los residentes, sin que esta restricción pueda considerarse arbitraria, al contar con una justificación razonable, como es, favorecer a quien habitualmente opera con sus bienes en el ámbito de la Comunidad sobre la que normalmente rever</w:t>
      </w:r>
      <w:r>
        <w:lastRenderedPageBreak/>
        <w:t>tirá por otras vías el ahorro producido en el contribuyente como consecuencia de la aplicación de la deducción. De esta manera, se producirá un retorno de la bonificación vía recaudación posterior.</w:t>
      </w:r>
    </w:p>
    <w:p w:rsidR="0085709A" w:rsidRDefault="0085709A" w:rsidP="0085709A">
      <w:pPr>
        <w:pStyle w:val="TextoNormal"/>
      </w:pPr>
    </w:p>
    <w:p w:rsidR="0085709A" w:rsidRDefault="0085709A" w:rsidP="0085709A">
      <w:pPr>
        <w:pStyle w:val="TextoNormal"/>
      </w:pPr>
      <w:r>
        <w:t>Para las Cortes Valencianas, la situación que se cuestiona no es única de la Comunidad Valenciana, pues otras Comunidades Autónomas (como, por ejemplo, la de Aragón o la de La Rioja) han establecido beneficios fiscales en el impuesto sobre sucesiones o en el de donaciones condicionándolos también en su aplicación a la residencia habitual en su Comunidad. De hecho, casi todas las Comunidades Autónomas, para la aplicación de las reducciones correspondientes a la transmisión de las empresas, exigen la permanencia de la actividad y domicilio social en la correspondiente Comunidad Autónoma (así, por ejemplo, Asturias, Canarias, Castilla y León, Extremadura, Galicia, Murcia, etc.), lo que pone de manifiesto una cierta competitividad en la captación de capitales, actividades empresariales, etc.</w:t>
      </w:r>
    </w:p>
    <w:p w:rsidR="0085709A" w:rsidRDefault="0085709A" w:rsidP="0085709A">
      <w:pPr>
        <w:pStyle w:val="TextoNormal"/>
      </w:pPr>
    </w:p>
    <w:p w:rsidR="0085709A" w:rsidRDefault="0085709A" w:rsidP="0085709A">
      <w:pPr>
        <w:pStyle w:val="TextoNormal"/>
      </w:pPr>
      <w:r>
        <w:t>En suma, el principio de igualdad ante la ley permite las diferencias de trato justificadas, en lo que ahora interesa, la persecución de diferentes políticas sectoriales por las Comunidades Autónomas. Como señaló la STC 96/2002, la condición de no residente puede justificar un tratamiento diferenciado cuando concurra una “justificación plausible”. Debe reputarse, en consecuencia, plenamente legítima y acorde con el principio de igualdad, la introducción por parte de las Comunidades Autónomas de ciertos criterios de diferenciación en relación a los residentes, como forma de consecución de políticas sectoriales.</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General del Estado, por escrito registrado en este Tribunal el día 15 de noviembre de 2013, interesó la estimación de la presente cuestión de inconstitucionalidad, con declaración de inconstitucionalidad y nulidad del precepto cuestionado. Tras precisar los antecedentes de la cuestión, concretar los fundamentos del Auto de planteamiento y comprobar que dicho planteamiento de la cuestión no adolece de vicio procesal alguno que pueda impedir un pronunciamiento sobre el fondo, comienza el Fiscal en sus alegaciones destacando, de un lado, que el único aspecto sometido a la consideración de este Tribunal es el condicionamiento de la bonificación cuestionada al hecho de que los sujetos pasivos “tengan su residencia habitual en la Comunitat Valenciana a la fecha del devengo del impuesto”; y, de otro, que el problema planteado no es la diferencia de trato derivada de normativas autonómicas distintas (comparación del régimen jurídico de leyes de diferentes Comunidades Autónomas sobre el impuesto sobre sucesiones), sino la proveniente de una misma ley (tratamiento diferenciado a los contribuyentes sometidos a un mismo impuesto en una misma Comunidad Autónoma), precisión esta que considera importante para no mezclarla con el fenómeno de la pluralidad de legislaciones autonómicas.</w:t>
      </w:r>
    </w:p>
    <w:p w:rsidR="0085709A" w:rsidRDefault="0085709A" w:rsidP="0085709A">
      <w:pPr>
        <w:pStyle w:val="TextoNormal"/>
      </w:pPr>
    </w:p>
    <w:p w:rsidR="0085709A" w:rsidRDefault="0085709A" w:rsidP="0085709A">
      <w:pPr>
        <w:pStyle w:val="TextoNormal"/>
      </w:pPr>
      <w:r>
        <w:t>Lo anterior supone, a juicio del Fiscal General del Estado, que no está en juego la potestad tributaria atribuida a las Comunidades Autónomas por los arts. 133.2 y 157.1 b), ambos CE. Simplemente, se trata de una desigualdad ante la ley que sólo sería contraria al art. 14 CE si resultase artificiosa o injustificada por no venir fundada en criterios objetivos y razonables, o si las consecuencias jurídicas que genera resultasen desproporcionadas por no guardar la debida relación la medida adoptada, con el resultado producido y la finalidad pretendida. Pues bien, para el Fiscal General del Estado, resulta evidente que el art. 12.</w:t>
      </w:r>
      <w:r w:rsidRPr="0085709A">
        <w:rPr>
          <w:i/>
        </w:rPr>
        <w:t>bis</w:t>
      </w:r>
      <w:r>
        <w:t xml:space="preserve"> a) de la Ley 13/1997, de 23 de diciembre, de la Comunidad Valenciana, establece, en cuento a la obligación derivada para el mismo grupo de parientes en los que concurren una igualdad </w:t>
      </w:r>
      <w:r>
        <w:lastRenderedPageBreak/>
        <w:t xml:space="preserve">de circunstancias familiares en orden a las transmisiones </w:t>
      </w:r>
      <w:r w:rsidRPr="0085709A">
        <w:rPr>
          <w:i/>
        </w:rPr>
        <w:t>mortis causa</w:t>
      </w:r>
      <w:r>
        <w:t xml:space="preserve"> del impuesto sobre sucesiones, una diferencia de trato, según tengan o no su residencia habitual en la Comunidad Valenciana a la fecha del devengo del impuesto. De esta manera, un mismo grupo de personas (descendientes y adoptados, cónyuges, ascendientes y adoptantes), que se encuentren en una misma situación ante la muerte de un mismo causante, soportarán un trato desigual en función de que su residencia esté o no en la citada Comunidad al momento del fallecimiento del causante (así, por ejemplo, un mismo grupo de hermanos va a tributar de manera diferente en función de su residencia).</w:t>
      </w:r>
    </w:p>
    <w:p w:rsidR="0085709A" w:rsidRDefault="0085709A" w:rsidP="0085709A">
      <w:pPr>
        <w:pStyle w:val="TextoNormal"/>
      </w:pPr>
    </w:p>
    <w:p w:rsidR="0085709A" w:rsidRDefault="0085709A" w:rsidP="0085709A">
      <w:pPr>
        <w:pStyle w:val="TextoNormal"/>
      </w:pPr>
      <w:r>
        <w:t xml:space="preserve">La residencia se convierte así en el elemento diferenciador, por lo que es necesario concretar, a juicio del Fiscal General del Estado, si concurre una justificación objetiva y razonable del trato desigual y, por tanto, si existe un fin constitucionalmente legítimo. Pues bien, desde su origen, el fin de la bonificación en la cuota del 99 por 100 en el impuesto sobre sucesiones, a favor de los parientes, se halla en la protección de la familia y la neutralidad tributaria con ocasión de la transmisión </w:t>
      </w:r>
      <w:r w:rsidRPr="0085709A">
        <w:rPr>
          <w:i/>
        </w:rPr>
        <w:t>mortis causa</w:t>
      </w:r>
      <w:r>
        <w:t xml:space="preserve"> de los bienes del causante. El preámbulo de la Ley 16/2003, que no condicionó la aplicación del beneficio fiscal a la residencia del causahabiente, justificó la introducción de este beneficio, con carácter general, en la necesidad de salvaguardar la neutralidad tributaria en el relevo generacional en la titularidad del patrimonio familiar no empresarial dentro del ámbito de la familia, para mantener incólume el patrimonio heredado como recurso económico colectivo de la familia del fallecido. Más concretamente, respecto de los menores de 21 años, pretendía reducir la tributación de los descendientes más jóvenes por razones de justicia redistributiva, evitando con ello, bien que el metálico recibido para subsistir debiera aplicarse, al menos en parte, al pago del impuesto, bien que se tuviese que liquidar, con idéntica finalidad contributiva, parte del patrimonio no empresarial. Y, cuando se introdujo la nueva condición de residencia en la Comunidad Valenciana en orden al disfrute del beneficio fiscal, se justificó “en el contexto de la política social de apoyo a la familia directa y de fomento de la neutralidad fiscal del tráfico jurídico en el seno de la misma”.</w:t>
      </w:r>
    </w:p>
    <w:p w:rsidR="0085709A" w:rsidRDefault="0085709A" w:rsidP="0085709A">
      <w:pPr>
        <w:pStyle w:val="TextoNormal"/>
      </w:pPr>
    </w:p>
    <w:p w:rsidR="0085709A" w:rsidRDefault="0085709A" w:rsidP="0085709A">
      <w:pPr>
        <w:pStyle w:val="TextoNormal"/>
      </w:pPr>
      <w:r>
        <w:t>Para el Fiscal General del Estado nos encontramos ante situaciones absolutamente iguales u homogéneas (residentes y no residentes, parientes, cuya relación familiar con el causante es la misma y cuyo caudal hereditario puede ser incluso igual), respecto de las cuales la finalidad de protección económica a la familia directa y de fomento de la neutralidad fiscal del tráfico jurídico en el seno de la familia, justifican, sin distinción alguna, un trato de excepción al deber general de contribuir al sostenimiento de los gastos públicos de acuerdo con su capacidad económica (art. 31.1 CE). La diferenciación entre unos y otros parientes directos por el hecho de la residencia o no en la Comunidad Valenciana carece, entonces, de fundamento alguno en la protección de la familia directa o en la neutralidad tributaria de la transmisión de los bienes. Es más, incluso podría afirmarse que la diferencia es contraria a dicho apoyo o protección económica familiar y a la neutralidad tributaria, pues que precisamente lo que hace la diferenciación es tanto “neutralizar la neutralización” como la protección a la familia de los no residentes en la Comunidad Autónoma y ello aunque tengan la misma relación con el causante y aunque reciban el mismo caudal relicto. Con ello, se genera un impacto en los no residentes que podrá calificarse, en algunos casos, como manifiestamente desproporcionado, sino atroz, sobre el caudal percibido, con un alto potencial de generar perjuicios, agravios comparativos y conflictividad en el seno familiar al alterar indefectiblemente el reparto final de los bienes del caudal relicto.</w:t>
      </w:r>
    </w:p>
    <w:p w:rsidR="0085709A" w:rsidRDefault="0085709A" w:rsidP="0085709A">
      <w:pPr>
        <w:pStyle w:val="TextoNormal"/>
      </w:pPr>
    </w:p>
    <w:p w:rsidR="0085709A" w:rsidRDefault="0085709A" w:rsidP="0085709A">
      <w:pPr>
        <w:pStyle w:val="TextoNormal"/>
      </w:pPr>
      <w:r>
        <w:lastRenderedPageBreak/>
        <w:t>Basta con acudir, a juicio del Fiscal General del Estado, a la STC 19/2012, para comprobar cómo el principio de protección a la familia previsto en el art. 39.1 CE, si bien no obliga a llevar a cabo esa protección a través de medidas de naturaleza tributaria, sí impide que, a través de medidas de esta naturaleza, se vaya en contra del mandato constitucional por imponer un tratamiento más gravoso a quienes están incluidos en una unidad familiar (FJ 15). Trasladando esa doctrina a grupos familiares que están en igualdad de circunstancias familiares, considera el Fiscal que el trato dispar entre ellos por razón de la residencia está introduciendo una discriminación contraria a la protección económica de la familia (art. 39.1 CE), puesto que, a igualdad de condiciones y cargas entre los mismos familiares, a partir de un mismo hecho revelador de capacidad económica, la bonificación sólo resulta aplicable a los residentes en la Comunidad Autónoma, imponiendo a los no residentes un trato más gravoso. En consecuencia, se está, a su juicio, empleando un criterio de reparto de las cargas públicas que discrimina sin una justificación que lo legitime, pues ni los debates parlamentarios ni el preámbulo de la Ley aportan razón alguna al respecto, ni tampoco es posible encontrarla en las alegaciones de la representación de la Generalitat Valenciana al no concretarse cuál sería la política sectorial o el objetivo perseguido.</w:t>
      </w:r>
    </w:p>
    <w:p w:rsidR="0085709A" w:rsidRDefault="0085709A" w:rsidP="0085709A">
      <w:pPr>
        <w:pStyle w:val="TextoNormal"/>
      </w:pPr>
    </w:p>
    <w:p w:rsidR="0085709A" w:rsidRDefault="0085709A" w:rsidP="0085709A">
      <w:pPr>
        <w:pStyle w:val="TextoNormal"/>
      </w:pPr>
      <w:r>
        <w:t>Para el Fiscal General del Estado tampoco justificaría el trato dispar el sometimiento de la capacidad económica de los residentes en la Comunidad Valenciana a otras cargas tributarias de la citada Comunidad y su correlativo goce del gasto público, pues no resultaría razonable que quien es no residente en una Comunidad deba contribuir al sostenimiento de su gasto público en mayor medida cuando nada va a recibir, respecto de quien, como residente, va a disfrutar de dicho gasto.</w:t>
      </w:r>
    </w:p>
    <w:p w:rsidR="0085709A" w:rsidRDefault="0085709A" w:rsidP="0085709A">
      <w:pPr>
        <w:pStyle w:val="TextoNormal"/>
      </w:pPr>
    </w:p>
    <w:p w:rsidR="0085709A" w:rsidRDefault="0085709A" w:rsidP="0085709A">
      <w:pPr>
        <w:pStyle w:val="TextoNormal"/>
      </w:pPr>
      <w:r>
        <w:t>De todo lo anterior concluye el Fiscal General del Estado que la única finalidad realmente apreciable se hallaría, entonces, en el favorecimiento de los propios residentes, que aun cuando hipotéticamente pudiese admitirse, en el mejor de los casos, como legitimador del trato diferencial, en ningún caso superaría el test de la proporcionalidad de las consecuencias jurídicas que genera. De hecho, no sólo contradice el principio de igualdad sino el deber de todos de contribuir a los gastos públicos en condiciones de igualdad de acuerdo con su capacidad económica (art. 31.1 CE, en relación con el art. 14 CE), pues, revelando un mismo incremento de capacidad económica un mismo grupo de parientes con igualdad de circunstancias familiares, unos apenas contribuirían al sostenimiento de los gastos públicos (con el 1 por 100 de la contribución) y otros lo harían en toda su dimensión (con el 100 por 100 de la contribución, es decir, con 99 veces más). Tal discriminación resulta inaceptable desde un punto de vista constitucional (SSTC 96/2002, FJ 7; 10/2005, FJ 5, y 16/2012, FJ 4), al contradecir el principio de igualdad en materia tributaria (art. 14 CE, en relación con el art. 31.1 CE).</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17 de marzo de 2015, se señaló para deliberación y votación de la presente Sentencia el día 18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Hemos de comenzar el análisis de la presente cuestión de inconstitucionalidad con la inicial precisión de que, si bien en la parte dispositiva del Auto de 8 de mayo de 2013 de la Sala de lo Contencioso-Administrativo del Tribunal Supremo, se ha acordado plantear, sin </w:t>
      </w:r>
      <w:r>
        <w:lastRenderedPageBreak/>
        <w:t xml:space="preserve">mayor precisión, la eventual inconstitucionalidad del art. 12 </w:t>
      </w:r>
      <w:r w:rsidRPr="0085709A">
        <w:rPr>
          <w:i/>
        </w:rPr>
        <w:t>bis</w:t>
      </w:r>
      <w:r>
        <w:t xml:space="preserve">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ha de ser acotado su objeto de modo exclusivo a su apartado a), porque así lo expone el órgano judicial en los antecedentes de hecho y en los fundamentos jurídicos de su resolución, esto es al apartado que establece una bonificación del 99 por 100 de la cuota tributaria del impuesto sobre sucesiones y donaciones para los residentes habituales en la citada Comunidad, por presunta vulneración de los arts. 14, 31.1 y 139.1, todos ellos de la Constitución.</w:t>
      </w:r>
    </w:p>
    <w:p w:rsidR="0085709A" w:rsidRDefault="0085709A" w:rsidP="0085709A">
      <w:pPr>
        <w:pStyle w:val="TextoNormal"/>
      </w:pPr>
    </w:p>
    <w:p w:rsidR="0085709A" w:rsidRDefault="0085709A" w:rsidP="0085709A">
      <w:pPr>
        <w:pStyle w:val="TextoNormal"/>
      </w:pPr>
      <w:r>
        <w:t xml:space="preserve">Por otro lado, hay que señalar también que el art. 12 </w:t>
      </w:r>
      <w:r w:rsidRPr="0085709A">
        <w:rPr>
          <w:i/>
        </w:rPr>
        <w:t>bis</w:t>
      </w:r>
      <w:r>
        <w:t xml:space="preserve"> a) cuestionado ha sido posteriormente modificado, en lo que al objeto del presente proceso constitucional interesa, primeramente por el Decreto-ley 4/2013, de 2 de agosto, del Consell de la Generalitat, por el que se establecen medidas urgentes para la reducción del déficit público y la lucha contra el fraude fiscal en la Comunidad Valenciana, concretamente, que redujo la bonificación en él prevista del 99 al 75 por 100, y, ulteriormente, ha sido nuevamente reformado por el apartado uno del art. 48 de la Ley 7/2014, de 22 de diciembre, de medidas fiscales, de gestión administrativa y financiera, y de organización de la Generalitat, que es el texto legal actualmente en vigor, que ha suprimido, precisamente, la referencia a que el reconocimiento de la bonificación se aplique solamente a aquellos que tuvieran su residencia habitual en la Comunidad Valenciana a la fecha del devengo del impuesto. Esa circunstancia, sin embargo, no hace decaer el objeto del presente proceso constitucional cuando, a pesar de las modificaciones operadas, la norma cuestionada siga siendo aplicable en el proceso </w:t>
      </w:r>
      <w:r w:rsidRPr="0085709A">
        <w:rPr>
          <w:i/>
        </w:rPr>
        <w:t>a quo</w:t>
      </w:r>
      <w:r>
        <w:t xml:space="preserve"> y de su validez dependa la decisión a adoptar en el mismo [por todas, STC 93/2014, de 29 de mayo, FJ 1 a)], como así sucede en el presente supuesto, en el que es claro que el precepto cuestionado, aún después de los cambios normativos que ha sufrido, resulta aplicable en el proceso contencioso-administrativo en el que se ha suscitado la presente cuestión de inconstitucionalidad, pues, a su amparo, se giró la liquidación que constituye el objeto del proceso judicial </w:t>
      </w:r>
      <w:r w:rsidRPr="0085709A">
        <w:rPr>
          <w:i/>
        </w:rPr>
        <w:t>a quo</w:t>
      </w:r>
      <w:r>
        <w:t>, dependiendo de la validez de la norma cuestionada la decisión que haya de adoptarse en el mismo. En consecuencia, cabe concluir que el presente proceso no ha perdido su objeto.</w:t>
      </w:r>
    </w:p>
    <w:p w:rsidR="0085709A" w:rsidRDefault="0085709A" w:rsidP="0085709A">
      <w:pPr>
        <w:pStyle w:val="TextoNormal"/>
      </w:pPr>
    </w:p>
    <w:p w:rsidR="0085709A" w:rsidRDefault="0085709A" w:rsidP="0085709A">
      <w:pPr>
        <w:pStyle w:val="TextoNormal"/>
      </w:pPr>
      <w:r w:rsidRPr="0085709A">
        <w:rPr>
          <w:rStyle w:val="NumeroAFNegritaCaracter"/>
        </w:rPr>
        <w:t>2</w:t>
      </w:r>
      <w:r>
        <w:t>. También, con carácter previo a la resolución de la cuestión que se somete a nuestro enjuiciamiento, resulta necesario indicar cuál era el marco normativo en el que fue aprobada esta norma legal autonómica para analizar ulteriormente la problemática constitucional de fondo planteada.</w:t>
      </w:r>
    </w:p>
    <w:p w:rsidR="0085709A" w:rsidRDefault="0085709A" w:rsidP="0085709A">
      <w:pPr>
        <w:pStyle w:val="TextoNormal"/>
      </w:pPr>
    </w:p>
    <w:p w:rsidR="0085709A" w:rsidRDefault="0085709A" w:rsidP="0085709A">
      <w:pPr>
        <w:pStyle w:val="TextoNormal"/>
      </w:pPr>
      <w:r>
        <w:t xml:space="preserve">En este sentido, hay que señalar que, al momento de aprobarse la norma objeto de la presente cuestión de inconstitucionalidad, el impuesto sobre sucesiones y donaciones tenía la naturaleza de un tributo cedido a las Comunidades Autónomas de conformidad con los arts. 11 d) Ley Orgánica 8/1980, de 22 de septiembre, de financiación de las Comunidades Autónomas (en lo sucesivo, LOFCA), y 17.1 c) de la Ley 21/2001, 27 de diciembre, por la que se regulaban las medidas fiscales y administrativas del nuevo sistema de financiación de las Comunidades Autónomas de régimen común y ciudades con Estatuto de Autonomía, habiéndose cedido el rendimiento del impuesto en el que el causante tuviese su residencia habitual a la fecha del devengo (art. 24.1 de la Ley 21/2001) y delegándose competencias </w:t>
      </w:r>
      <w:r>
        <w:lastRenderedPageBreak/>
        <w:t>normativas tanto sobre las “reducciones” aplicables a la base imponible, como sobre las “deducciones y bonificaciones” de la cuota [art. 40.1 a) y c) de la Ley 21/2001].</w:t>
      </w:r>
    </w:p>
    <w:p w:rsidR="0085709A" w:rsidRDefault="0085709A" w:rsidP="0085709A">
      <w:pPr>
        <w:pStyle w:val="TextoNormal"/>
      </w:pPr>
    </w:p>
    <w:p w:rsidR="0085709A" w:rsidRDefault="0085709A" w:rsidP="0085709A">
      <w:pPr>
        <w:pStyle w:val="TextoNormal"/>
      </w:pPr>
      <w:r>
        <w:t xml:space="preserve">Al momento de dictarse la liquidación impugnada en el proceso contencioso-administrativo del que deriva la presente cuestión de inconstitucionalidad se encontraba ya vigente la Ley 22/2009, de 18 de diciembre, por la que se regula el sistema de financiación de las Comunidades Autónomas de régimen común y ciudades con Estatuto de Autonomía y se modifican determinadas normas tributarias, por la que se cede a las Comunidades Autónomas, entre otros, el impuesto sobre sucesiones y donaciones [art. 25.1 c) de la Ley 22/2009], que se rige, entre otras normas, tanto por “la Ley propia de cada tributo”, como “por las normas emanadas de la Comunidad Autónoma competente según el alcance y los puntos de conexión establecidos en el mismo” (art. 27.1 de la Ley 22/2009). Nuevamente, se cede “el rendimiento del Impuesto sobre Sucesiones y Donaciones producido en su territorio” (art. 32.1 de la Ley 22/2009), considerándose producido en su territorio, en el caso del impuesto que grava las adquisiciones </w:t>
      </w:r>
      <w:r w:rsidRPr="0085709A">
        <w:rPr>
          <w:i/>
        </w:rPr>
        <w:t>mortis causa</w:t>
      </w:r>
      <w:r>
        <w:t>, el rendimiento generado “en el territorio donde el causante tenga su residencia habitual a la fecha del devengo” [art. 32.2 a) de la Ley 22/2009], de manera que “se aplicará la normativa de la Comunidad Autónoma en la que el causante o donatario hubiere tenido su residencia habitual” (art. 32.5 de la Ley 22/2009). En lo que al ejercicio de competencias normativas se refiere, las Comunidades Autónomas podrán establecer tanto “[r]educciones de la base imponible, … siempre que respondan a circunstancias de carácter económico o social propias de la Comunidad Autónoma de que se trate” [art. 48.1 a), párrafo primero, de la Ley 22/2009], como “deducciones y bonificaciones de la cuota” [art. 48.1 d) de la Ley 22/2009].</w:t>
      </w:r>
    </w:p>
    <w:p w:rsidR="0085709A" w:rsidRDefault="0085709A" w:rsidP="0085709A">
      <w:pPr>
        <w:pStyle w:val="TextoNormal"/>
      </w:pPr>
    </w:p>
    <w:p w:rsidR="0085709A" w:rsidRDefault="0085709A" w:rsidP="0085709A">
      <w:pPr>
        <w:pStyle w:val="TextoNormal"/>
      </w:pPr>
      <w:r>
        <w:t>Por su parte, la Ley 29/1987, de 18 de diciembre, del impuesto sobre sucesiones y donaciones, precisa, antes que nada, que “[l]a cesión del Impuesto a las Comunidades Autónomas se regirá por lo dispuesto en las normas reguladoras de la Cesión de Tributos del Estado a las Comunidades Autónomas y tendrá el alcance y condiciones que para cada una de ellas establezca su específica Ley de Cesión” (art. 2.2 LISD). A continuación, atribuye la condición de sujetos pasivos, en las adquisiciones “</w:t>
      </w:r>
      <w:r w:rsidRPr="0085709A">
        <w:rPr>
          <w:i/>
        </w:rPr>
        <w:t>mortis causa</w:t>
      </w:r>
      <w:r>
        <w:t>”, a los causahabientes [art. 5 a) de la Ley de impuesto sobre sucesiones y donaciones], que cuando tengan su residencia habitual en España se les exigirá el impuesto “con independencia de dónde se encuentren situados los bienes o derechos que integren el incremento de patrimonio gravado” (art. 6.1 de esa misma Ley).</w:t>
      </w:r>
    </w:p>
    <w:p w:rsidR="0085709A" w:rsidRDefault="0085709A" w:rsidP="0085709A">
      <w:pPr>
        <w:pStyle w:val="TextoNormal"/>
      </w:pPr>
    </w:p>
    <w:p w:rsidR="0085709A" w:rsidRDefault="0085709A" w:rsidP="0085709A">
      <w:pPr>
        <w:pStyle w:val="TextoNormal"/>
      </w:pPr>
      <w:r>
        <w:t xml:space="preserve">El desarrollo normativo en la Comunidad Valenciana del impuesto sobre sucesiones y donaciones se produjo por la Ley de dicha Comunidad 13/1997, de 23 de diciembre, por la que se regula el tramo autonómico del impuesto sobre la renta de las personas físicas y restantes tributos cedidos, cuyo art. 12.bis, en su redacción original, preveía “una bonificación del 99 por 100 de la cuota tributaria del Impuesto sobre Sucesiones y Donaciones” para las “[l]as adquisiciones </w:t>
      </w:r>
      <w:r w:rsidRPr="0085709A">
        <w:rPr>
          <w:i/>
        </w:rPr>
        <w:t>mortis causa</w:t>
      </w:r>
      <w:r>
        <w:t xml:space="preserve"> por parientes del causante pertenecientes a los Grupos I y II del artículo 20.2.a) de la Ley 29/1987, de 18 de diciembre, del Impuesto sobre Sucesiones y Donaciones, que tengan su residencia habitual en la Comunitat Valenciana a la fecha del devengo del impuesto” [letra a)].</w:t>
      </w:r>
    </w:p>
    <w:p w:rsidR="0085709A" w:rsidRDefault="0085709A" w:rsidP="0085709A">
      <w:pPr>
        <w:pStyle w:val="TextoNormal"/>
      </w:pPr>
    </w:p>
    <w:p w:rsidR="0085709A" w:rsidRDefault="0085709A" w:rsidP="0085709A">
      <w:pPr>
        <w:pStyle w:val="TextoNormal"/>
      </w:pPr>
      <w:r>
        <w:t>A continuación, la Ley de las Cortes Valencianas 16/2003, de 17 de diciembre, de medidas fiscales, de gestión administrativa y financiera, y de organización de la Generalitat Va</w:t>
      </w:r>
      <w:r>
        <w:lastRenderedPageBreak/>
        <w:t xml:space="preserve">lenciana, dio nueva redacción al artículo 12 </w:t>
      </w:r>
      <w:r w:rsidRPr="0085709A">
        <w:rPr>
          <w:i/>
        </w:rPr>
        <w:t>bis</w:t>
      </w:r>
      <w:r>
        <w:t xml:space="preserve"> de la anterior Ley 13/1997, de 23 de diciembre, con el siguiente contenido: “Gozarán de una bonificación del 99% de la cuota tributaria del impuesto sobre sucesiones y donaciones: a) Las adquisiciones </w:t>
      </w:r>
      <w:r w:rsidRPr="0085709A">
        <w:rPr>
          <w:i/>
        </w:rPr>
        <w:t>mortis causa</w:t>
      </w:r>
      <w:r>
        <w:t xml:space="preserve"> por parientes del causante pertenecientes al Grupo I de grado de parentesco del artículo 20.2 a) de la Ley 29/1987, de 18 de diciembre.”</w:t>
      </w:r>
    </w:p>
    <w:p w:rsidR="0085709A" w:rsidRDefault="0085709A" w:rsidP="0085709A">
      <w:pPr>
        <w:pStyle w:val="TextoNormal"/>
      </w:pPr>
    </w:p>
    <w:p w:rsidR="0085709A" w:rsidRDefault="0085709A" w:rsidP="0085709A">
      <w:pPr>
        <w:pStyle w:val="TextoNormal"/>
      </w:pPr>
      <w:r>
        <w:t xml:space="preserve">Posteriormente, la Ley 10/2006, de 26 de diciembre, de la Generalitat Valenciana de medidas fiscales, de gestión administrativa y financiera, y de organización de la Generalitat, volvió a recuperar la redacción que tenía el art. 12.bis de la Ley 13/1997, de 23 de diciembre, antes de la modificación operara por la Ley 16/2003, de 17 de diciembre: “Gozarán de una bonificación del 99 por 100 de la cuota tributaria del Impuesto sobre Sucesiones y Donaciones: a) Las adquisiciones </w:t>
      </w:r>
      <w:r w:rsidRPr="0085709A">
        <w:rPr>
          <w:i/>
        </w:rPr>
        <w:t>mortis causa</w:t>
      </w:r>
      <w:r>
        <w:t xml:space="preserve"> por parientes del causante pertenecientes a los Grupos I y II del artículo 20.2 a) de la Ley 29/1987, de 18 de diciembre, del Impuesto sobre Sucesiones y Donaciones, que tengan su residencia habitual en la Comunitat Valenciana a la fecha del devengo del impuesto”.</w:t>
      </w:r>
    </w:p>
    <w:p w:rsidR="0085709A" w:rsidRDefault="0085709A" w:rsidP="0085709A">
      <w:pPr>
        <w:pStyle w:val="TextoNormal"/>
      </w:pPr>
    </w:p>
    <w:p w:rsidR="0085709A" w:rsidRDefault="0085709A" w:rsidP="0085709A">
      <w:pPr>
        <w:pStyle w:val="TextoNormal"/>
      </w:pPr>
      <w:r>
        <w:t xml:space="preserve">Por su parte, el Decreto-ley 4/2013, de 2 de agosto, del Consell de la Generalitat, por el que se establecen medidas urgentes para la reducción del déficit público y la lucha contra el fraude fiscal en la Comunidad Valenciana, ha modificado nuevamente el art. 12 </w:t>
      </w:r>
      <w:r w:rsidRPr="0085709A">
        <w:rPr>
          <w:i/>
        </w:rPr>
        <w:t>bis</w:t>
      </w:r>
      <w:r>
        <w:t xml:space="preserve"> de la Ley 13/1997, de 23 de diciembre, pero esta vez sólo para reducir el porcentaje de bonificación al 75 por 100. Y, por último, el apartado uno del art. 48 de la Ley 7/2014, de 22 de diciembre, de medidas fiscales, de gestión administrativa y financiera, y de organización de la Generalitat, ha suprimido la exigencia del requisito de la residencia habitual en la Comunidad Valenciana a la fecha del devengo del impuesto.</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De conformidad con lo que antecede, el art. 12 </w:t>
      </w:r>
      <w:r w:rsidRPr="0085709A">
        <w:rPr>
          <w:i/>
        </w:rPr>
        <w:t>bis</w:t>
      </w:r>
      <w:r>
        <w:t xml:space="preserve"> de la Ley 13/1997, de 23 de diciembre, por la que se regula el tramo autonómico del IRPF y restantes tributos cedidos, en la redacción que le dio la Ley 10/2006, de 26 de diciembre, de la Generalitat Valenciana de medidas fiscales, de gestión administrativa y financiera, y de organización de la Generalitat, establece una bonificación del 99 por 100 de la cuota tributaria del impuesto sobre sucesiones y donaciones para “[l]as adquisiciones </w:t>
      </w:r>
      <w:r w:rsidRPr="0085709A">
        <w:rPr>
          <w:i/>
        </w:rPr>
        <w:t>mortis causa</w:t>
      </w:r>
      <w:r>
        <w:t xml:space="preserve"> por parientes del causante pertenecientes a los Grupos I y II del artículo 20.2 a) de la Ley 29/1987, de 18 de diciembre, del impuesto sobre sucesiones y donaciones, que tengan su residencia habitual en la Comunitat Valenciana a la fecha del devengo del impuesto”, es decir, según el art. 20 de la Ley 29/1987, tanto para las “adquisiciones por descendientes y adoptados menores de veintiún años” (grupo I) como para las “adquisiciones por descendientes y adoptados de veintiuno o más años, cónyuges, ascendientes y adoptantes” (grupo II).</w:t>
      </w:r>
    </w:p>
    <w:p w:rsidR="0085709A" w:rsidRDefault="0085709A" w:rsidP="0085709A">
      <w:pPr>
        <w:pStyle w:val="TextoNormal"/>
      </w:pPr>
    </w:p>
    <w:p w:rsidR="0085709A" w:rsidRDefault="0085709A" w:rsidP="0085709A">
      <w:pPr>
        <w:pStyle w:val="TextoNormal"/>
      </w:pPr>
      <w:r>
        <w:t xml:space="preserve">La cuestión sometida a nuestra consideración consiste, pues, en determinar si el hecho de que la bonificación controvertida se aplique únicamente a los parientes del grupo I (descendientes y adoptados menores de veintiún años) y del grupo II (descendientes y adoptados mayores de veintiún años, cónyuges, ascendientes y adoptantes), “que tengan su residencia habitual en la Comunitat Valenciana a la fecha del devengo del impuesto” y no así a los parientes de los mismos grupo I y II que residan fuera del territorio de la Comunidad Autónoma, es o no contrario al derecho a la igualdad (arts. 14, 31.1 y 139.1, todos ellos CE). Para el órgano judicial promotor de la cuestión de inconstitucionalidad, ni la ley que ha establecido el trato desigual ha explicitado la finalidad justificativa de la diferencia introducida, ni tal finalidad puede inferirse de la regulación controvertida, ni, en fin, la Comunidad </w:t>
      </w:r>
      <w:r>
        <w:lastRenderedPageBreak/>
        <w:t>Autónoma ha logrado identificarla. De la misma opinión es el Fiscal General del Estado para quien la introducción de un trato dispar con fundamento en la residencia supone introducir una discriminación contraria a la protección económica de la familia (art. 39.1 CE), puesto que, a igualdad de condiciones y cargas entre los mismos familiares y a partir de un mismo hecho revelador de capacidad económica, la bonificación sólo resulta aplicable a los residentes en la Comunidad Autónoma, imponiendo a los no residentes un trato más gravoso, sin una justificación que lo legitime, pues ni los debates parlamentarios, ni el preámbulo de la Ley, ni tampoco la Comunidad Autónoma, han aportado razón alguna en tal sentido.</w:t>
      </w:r>
    </w:p>
    <w:p w:rsidR="0085709A" w:rsidRDefault="0085709A" w:rsidP="0085709A">
      <w:pPr>
        <w:pStyle w:val="TextoNormal"/>
      </w:pPr>
    </w:p>
    <w:p w:rsidR="0085709A" w:rsidRDefault="0085709A" w:rsidP="0085709A">
      <w:pPr>
        <w:pStyle w:val="TextoNormal"/>
      </w:pPr>
      <w:r>
        <w:t>Por el contrario, tanto la Generalitat Valenciana como las Cortes Valencianas, no sólo entienden que la introducción de ciertos criterios de diferenciación en relación a los residentes es una forma de llevar a efecto políticas sectoriales concretas, siendo la diferencia controvertida consecuencia exclusiva de la elección de la residencia por el ciudadano, sino que, además, es habitual que las Comunidades Autónomas establezcan beneficios fiscales en el impuesto sobre sucesiones condicionándolos en su aplicación a la residencia en sus territorios.</w:t>
      </w:r>
    </w:p>
    <w:p w:rsidR="0085709A" w:rsidRDefault="0085709A" w:rsidP="0085709A">
      <w:pPr>
        <w:pStyle w:val="TextoNormal"/>
      </w:pPr>
    </w:p>
    <w:p w:rsidR="0085709A" w:rsidRDefault="0085709A" w:rsidP="0085709A">
      <w:pPr>
        <w:pStyle w:val="TextoNormal"/>
      </w:pPr>
      <w:r w:rsidRPr="0085709A">
        <w:rPr>
          <w:rStyle w:val="NumeroAFNegritaCaracter"/>
        </w:rPr>
        <w:t>4</w:t>
      </w:r>
      <w:r>
        <w:t>. Pues bien, en relación al principio de igualdad ante la ley, cuya sede natural se encuentra en el art. 14 CE, este Tribunal viene insistiendo en que dicho principio impone al legislador, con carácter general, el deber de dispensar un mismo tratamiento a quienes se encuentren en situaciones jurídicas iguales, con prohibición de toda desigualdad que, desde el punto de vista de la finalidad de la norma cuestionada, carezca de una justificación objetiva y razonable o resulte desproporcionada en relación con dicha justificación.</w:t>
      </w:r>
    </w:p>
    <w:p w:rsidR="0085709A" w:rsidRDefault="0085709A" w:rsidP="0085709A">
      <w:pPr>
        <w:pStyle w:val="TextoNormal"/>
      </w:pPr>
    </w:p>
    <w:p w:rsidR="0085709A" w:rsidRDefault="0085709A" w:rsidP="0085709A">
      <w:pPr>
        <w:pStyle w:val="TextoNormal"/>
      </w:pPr>
      <w:r>
        <w:t>Así pues, lo que prohíbe el principio de igualdad es la creación de situaciones desiguales artificiosas o injustificadas, que no se apoyen en criterios objetivos y razonables, según juicios de valor generalmente aceptados. Ahora bien, para que sea constitucionalmente lícita la diferencia de trato, no sólo tiene que existir una justificación objetiva y razonable, sino que las consecuencias jurídicas que se deriven de tal distinción deben ser proporcionadas a la finalidad perseguida, de suerte que se eviten resultados excesivamente gravosos o desmedidos (entre otras, SSTC 255/2004, de 23 de diciembre, FJ 4; 10/2005, de 20 de enero, FJ 5; 295/2006, de 11 de octubre, FJ 5, y 83/2014, de 29 de mayo, FJ 7).</w:t>
      </w:r>
    </w:p>
    <w:p w:rsidR="0085709A" w:rsidRDefault="0085709A" w:rsidP="0085709A">
      <w:pPr>
        <w:pStyle w:val="TextoNormal"/>
      </w:pPr>
    </w:p>
    <w:p w:rsidR="0085709A" w:rsidRDefault="0085709A" w:rsidP="0085709A">
      <w:pPr>
        <w:pStyle w:val="TextoNormal"/>
      </w:pPr>
      <w:r>
        <w:t>Más concretamente, pero ahora con relación al principio de igualdad ante la ley tributaria del art. 31.1 CE, hemos señalado que dicho principio conlleva la prohibición en la concesión de privilegios tributarios discriminatorios, es decir, de beneficios tributarios injustificados desde el punto de vista constitucional que puedan constituir una quiebra del deber genérico de contribuir al sostenimiento de los gastos del Estado (STC 96/2002, de 25 de abril, FJ 7). Y ello porque “la exención, como quiebra del principio de generalidad que rige la materia tributaria, al neutralizar la obligación tributaria derivada de la realización de un hecho revelador de capacidad económica, es constitucionalmente válida siempre que responda a fines de interés general que la justifiquen (por ejemplo, por motivos de política económica o social, para atender al mínimo de subsistencia, por razones de técnica tributaria, etc.), quedando, en caso contrario, proscrita, desde el punto de vista constitucional, por cuanto la Constitución a todos impone el deber de contribuir al sostenimiento de los gastos públicos en función de su capacidad económica” (STC 96/2002, FJ 7).</w:t>
      </w:r>
    </w:p>
    <w:p w:rsidR="0085709A" w:rsidRDefault="0085709A" w:rsidP="0085709A">
      <w:pPr>
        <w:pStyle w:val="TextoNormal"/>
      </w:pPr>
    </w:p>
    <w:p w:rsidR="0085709A" w:rsidRDefault="0085709A" w:rsidP="0085709A">
      <w:pPr>
        <w:pStyle w:val="TextoNormal"/>
      </w:pPr>
      <w:r>
        <w:lastRenderedPageBreak/>
        <w:t>Lo importante no es, entonces, la existencia misma de una medida diferente en el territorio nacional, “sino la existencia o no de una justificación razonable que legitime la medida diferente” (SSTC 96/2002, de 25 de abril, FJ 12, y 100/2012, de 8 de mayo, FJ 4), así como, “la proporcionalidad de la medida, entendida como adecuación razonable al fin legítimo constitucionalmente perseguido” (SSTC 88/1986, de 1 de julio, FJ 6, y 100/2012, de 8 de mayo, FJ 4).</w:t>
      </w:r>
    </w:p>
    <w:p w:rsidR="0085709A" w:rsidRDefault="0085709A" w:rsidP="0085709A">
      <w:pPr>
        <w:pStyle w:val="TextoNormal"/>
      </w:pPr>
    </w:p>
    <w:p w:rsidR="0085709A" w:rsidRDefault="0085709A" w:rsidP="0085709A">
      <w:pPr>
        <w:pStyle w:val="TextoNormal"/>
      </w:pPr>
      <w:r>
        <w:t>En suma, para comprobar si una determinada medida es respetuosa con el principio de igualdad ante la ley tributaria es preciso, en primer lugar, concretar que las situaciones que se pretenden comparar sean iguales; en segundo término, una vez concretado que las situaciones son comparables, que existe una finalidad objetiva y razonable que legitime el trato desigual de esas situaciones iguales; y, en tercer lugar, que las consecuencias jurídicas a que conduce la disparidad de trato sean razonables, por existir una relación de proporcionalidad entre el medio empleado y la finalidad perseguida, evitando resultados especialmente gravosos o desmedidos.</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Como hemos visto con anterioridad, la Ley 29/1987, de 18 de diciembre, del impuesto sobre sucesiones y donaciones, atribuye la condición de sujeto pasivo en las adquisiciones </w:t>
      </w:r>
      <w:r w:rsidRPr="0085709A">
        <w:rPr>
          <w:i/>
        </w:rPr>
        <w:t>mortis causa</w:t>
      </w:r>
      <w:r>
        <w:t xml:space="preserve"> a los causahabientes [art. 5 a)]. Por su parte, el art. 12 </w:t>
      </w:r>
      <w:r w:rsidRPr="0085709A">
        <w:rPr>
          <w:i/>
        </w:rPr>
        <w:t>bis</w:t>
      </w:r>
      <w:r>
        <w:t xml:space="preserve"> de la Ley 13/1997, de 23 de diciembre, en la redacción que le dio la Ley 10/2006, de 26 de diciembre, prevé, para el supuesto de adquisiciones </w:t>
      </w:r>
      <w:r w:rsidRPr="0085709A">
        <w:rPr>
          <w:i/>
        </w:rPr>
        <w:t>mortis causa</w:t>
      </w:r>
      <w:r>
        <w:t xml:space="preserve"> de bienes y derechos por descendientes y adoptados, cónyuges, ascendientes y adoptantes, una bonificación en la cuota del impuesto sobre sucesiones del 99 por 100, pero únicamente para los residentes en la Comunidad Valenciana. Esto ha supuesto en el asunto objeto del proceso contencioso-administrativo en cuyo seno se ha planteado la presente cuestión de inconstitucionalidad, que, con relación a una misma herencia, con una misma porción hereditaria para cada uno de los herederos (841.999,40 €) y con el mismo grado de parentesco respecto del causante, la cuota tributaria resultante haya sido para un descendiente de 1.985,96 € (residente en la Comunidad Valenciana), para otro de 2.184,55 € (residente en la Comunidad Valenciana) y para el tercero de ellos de 202.210,86 € (no residente en la Comunidad Valenciana).</w:t>
      </w:r>
    </w:p>
    <w:p w:rsidR="0085709A" w:rsidRDefault="0085709A" w:rsidP="0085709A">
      <w:pPr>
        <w:pStyle w:val="TextoNormal"/>
      </w:pPr>
    </w:p>
    <w:p w:rsidR="0085709A" w:rsidRDefault="0085709A" w:rsidP="0085709A">
      <w:pPr>
        <w:pStyle w:val="TextoNormal"/>
      </w:pPr>
      <w:r>
        <w:t>Es importante tener presente que ningún óbice existe desde el punto de vista constitucional para la utilización de la residencia como un elemento diferenciador entre contribuyentes, siempre y cuando, claro está, la diferencia de trato responda a un fin constitucionalmente legítimo y, por tanto, no se convierta la residencia, por sí sola, en la razón del trato diferente. Una vez hecha esta precisión hay que añadir, a renglón seguido, que es evidente que la situación de un heredero (descendiente) que reside en la Comunidad Valenciana respecto de la de otro heredero (también descendiente) que no reside en la Comunidad Valenciana, con relación a una misma herencia y causante (con residencia fiscal al momento del fallecimiento en la Comunidad Valenciana), en orden al pago del impuesto sobre sucesiones que para uno y otro se devenga, es objetivamente comparable. Y siendo objetivamente comparable una y otra situación, la norma legal cuestionada les dispensa un trato desigual, lo que nos obliga, como siguiente paso, a verificar si existe una finalidad objetiva y razonable que lo legitime.</w:t>
      </w:r>
    </w:p>
    <w:p w:rsidR="0085709A" w:rsidRDefault="0085709A" w:rsidP="0085709A">
      <w:pPr>
        <w:pStyle w:val="TextoNormal"/>
      </w:pPr>
    </w:p>
    <w:p w:rsidR="0085709A" w:rsidRDefault="0085709A" w:rsidP="0085709A">
      <w:pPr>
        <w:pStyle w:val="TextoNormal"/>
      </w:pPr>
      <w:r>
        <w:t xml:space="preserve">Las únicas justificaciones que pueden encontrarse en las diferentes normas autonómicas que se han encargado de la regulación de esa bonificación son unas apelaciones genéricas a que se trata de una medida “de la política social” (exposición de motivos de la Ley 13/1997) </w:t>
      </w:r>
      <w:r>
        <w:lastRenderedPageBreak/>
        <w:t>o “de apoyo a la familia directa y de fomento de la neutralidad fiscal del tráfico jurídico en el seno de la misma” (exposición de motivos de la Ley 10/2006). Sólo en la Ley 16/2003, de 17 de diciembre, que introdujo entre 2004 y 2006 una bonificación del 99 por 100 para los parientes del grupo I (descendientes menores de 21 años), pero sin condicionarla a la residencia en la Comunidad Valenciana, aparecía como justificación, por un lado, la de “salvaguardar la neutralidad tributaria en la circunstancia del relevo generacional en la titularidad del patrimonio familiar no empresarial dentro del ámbito de la familia, de tal manera que la mayor neutralidad posible a este respecto permita el mantenimiento incólume del patrimonio heredado como recurso económico colectivo de la familia del fallecido”; y, por otro, la de evitar que los descendientes menores de 21 años “normalmente sin recursos económicos propios” se viesen en la necesidad de tener que aplicar el metálico recibido para subsistir al pago del impuesto o se tuviese “que liquidar, con idéntica finalidad contributiva, parte del patrimonio no empresarial susceptible de producir riqueza en un futuro” (exposición de motivos).</w:t>
      </w:r>
    </w:p>
    <w:p w:rsidR="0085709A" w:rsidRDefault="0085709A" w:rsidP="0085709A">
      <w:pPr>
        <w:pStyle w:val="TextoNormal"/>
      </w:pPr>
    </w:p>
    <w:p w:rsidR="0085709A" w:rsidRDefault="0085709A" w:rsidP="0085709A">
      <w:pPr>
        <w:pStyle w:val="TextoNormal"/>
      </w:pPr>
      <w:r>
        <w:t>Conforme a lo que antecede, aun aceptando que las razones esgrimidas por las normas citadas puedan servir para justificar la introducción del privilegio tributario (la bonificación en cuota) y, por tanto, la adopción de la medida, no es posible admitir, sin embargo, como con corrección señala el órgano judicial promotor de la cuestión, que sean válidas para legitimar la diferencia de trato que introduce. Si la razón de la medida es la realización de una política social de apoyo a la familia directa del causante, en principio, el mismo apoyo merece recibir cualquier miembro integrante de esa “familia directa” a la que se dirige la norma legal, tanto más si lo que se pretende es salvar la neutralidad del impuesto en las herencias directas de padres a hijos, entre cónyuges, o de hijos a padres, evitando la tributación del patrimonio familiar. A falta de fundamento justificativo en las normas autonómicas, no se alcanza a comprender razón alguna de política social, en general, o de protección de la familia directa, en particular, que pueda legitimar la aplicación dispar de la bonificación entre hermanos, herederos de un mismo padre y, por tanto, causahabientes de una misma herencia.</w:t>
      </w:r>
    </w:p>
    <w:p w:rsidR="0085709A" w:rsidRDefault="0085709A" w:rsidP="0085709A">
      <w:pPr>
        <w:pStyle w:val="TextoNormal"/>
      </w:pPr>
    </w:p>
    <w:p w:rsidR="0085709A" w:rsidRDefault="0085709A" w:rsidP="0085709A">
      <w:pPr>
        <w:pStyle w:val="TextoNormal"/>
      </w:pPr>
      <w:r>
        <w:t>Como señala el órgano judicial que promueve la presente cuestión, no estamos ante un supuesto en el que la diferencia de trato venga dada por una pluralidad de normas fruto de la propia diversidad territorial en que se configura la nación española, sino ante un supuesto en el que la diferencia se consagra en una única norma, acudiendo para ello a la residencia o no en el territorio de la Comunidad Autónoma. Si bien las desigualdades de naturaleza tributaria producidas por la existencia de diferentes poderes tributarios (estatal, autonómico y local) se justifican, en principio, no sólo de forma objetiva sino también razonable, siempre que sus consecuencias sean proporcionales, en la propia diversidad territorial, al convertirse el territorio en un elemento diferenciador de situaciones idénticas (por ejemplo, SSTC 76/1983, de 5 de agosto, FJ 2; 150/1990, de 4 de octubre, FJ 7, y 233/1999, de 16 de diciembre, FJ 26), en el caso que no ocupa y, como señala el órgano judicial, el territorio ha dejado de ser un elemento de diferenciación de situaciones objetivamente comparables, para convertirse en un elemento de discriminación, pues con la diferencia se ha pretendido exclusivamente “favorecer a sus residentes”, tratándose así a una misma categoría de contribuyentes de forma diferente por el sólo hecho de su distinta residencia.</w:t>
      </w:r>
    </w:p>
    <w:p w:rsidR="0085709A" w:rsidRDefault="0085709A" w:rsidP="0085709A">
      <w:pPr>
        <w:pStyle w:val="TextoNormal"/>
      </w:pPr>
    </w:p>
    <w:p w:rsidR="0085709A" w:rsidRDefault="0085709A" w:rsidP="0085709A">
      <w:pPr>
        <w:pStyle w:val="TextoNormal"/>
      </w:pPr>
      <w:r>
        <w:t xml:space="preserve">En suma, al carecer de cualquier justificación legitimadora el recurso a la residencia como elemento de diferenciación, no sólo se vulnera el principio de igualdad (art. 14 CE), </w:t>
      </w:r>
      <w:r>
        <w:lastRenderedPageBreak/>
        <w:t>sino que, como con acierto señala el Fiscal General del Estado, se ha utilizado un criterio de reparto de las cargas públicas carente de una justificación razonable y, por tanto, incompatible con un sistema tributario justo (art. 31.1 CE).</w:t>
      </w:r>
    </w:p>
    <w:p w:rsidR="0085709A" w:rsidRDefault="0085709A" w:rsidP="0085709A">
      <w:pPr>
        <w:pStyle w:val="TextoNormal"/>
      </w:pPr>
    </w:p>
    <w:p w:rsidR="0085709A" w:rsidRDefault="0085709A" w:rsidP="0085709A">
      <w:pPr>
        <w:pStyle w:val="TextoNormal"/>
      </w:pPr>
      <w:r>
        <w:t>No desdice la anterior conclusión, como pretenden la Generalitat y las Cortes Valencianas, la circunstancia de que otras Comunidades Autónomas hayan establecido otros beneficios fiscales en el impuesto sobre sucesiones, que se condicionen al hecho de la residencia en su territorio, porque ni esas otras medidas constituyen el objeto del presente proceso constitucional, ni el hecho de que se anuden a la residencia es razón suficiente para dotarlas de legitimidad desde un punto de vista constitucional, pues no sólo la medida deberá responder a un fin constitucionalmente legítimo, sino que la eventual diferencia de trato que introduzcan deberá contar, como se ha señalado, con una razón suficiente que justifique el trato dispar.</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En suma, el desarrollo argumental hasta aquí seguido conduce directamente a la estimación de la cuestión de inconstitucionalidad y a declarar la inconstitucionalidad y consiguiente nulidad de los términos “que tengan su residencia habitual en la Comunitat Valenciana” contenidos en el art. 12 </w:t>
      </w:r>
      <w:r w:rsidRPr="0085709A">
        <w:rPr>
          <w:i/>
        </w:rPr>
        <w:t>bis</w:t>
      </w:r>
      <w:r>
        <w:t xml:space="preserve"> a) de la Ley de la Comunidad Valenciana 13/1997, de 23 de diciembre, por la que se regula el tramo autonómico del IRPF y restantes tributos cedidos, en la redacción dada por el art. 16 de la Ley de la Comunidad Valenciana 10/2006, de 26 de diciembre, de medidas fiscales, de gestión administrativa y financiera, y de organización de la Generalitat, en la medida en que vienen aquellos a excluir la bonificación en la cuota tributaria que prevé para las adquisiciones </w:t>
      </w:r>
      <w:r w:rsidRPr="0085709A">
        <w:rPr>
          <w:i/>
        </w:rPr>
        <w:t>mortis causa</w:t>
      </w:r>
      <w:r>
        <w:t xml:space="preserve"> por parientes del causante pertenecientes a los grupos I y II del artículo 20.2 a) de la Ley 29/1987, de 18 de diciembre, del impuesto sobre sucesiones y donaciones, que no tengan su residencia habitual en la Comunidad Valenciana a la fecha del devengo del impuesto.</w:t>
      </w:r>
    </w:p>
    <w:p w:rsidR="0085709A" w:rsidRDefault="0085709A" w:rsidP="0085709A">
      <w:pPr>
        <w:pStyle w:val="TextoNormal"/>
      </w:pPr>
    </w:p>
    <w:p w:rsidR="0085709A" w:rsidRDefault="0085709A" w:rsidP="0085709A">
      <w:pPr>
        <w:pStyle w:val="TextoNormal"/>
      </w:pPr>
      <w:r>
        <w:t>Finalmente, en lo que atañe al alcance en el tiempo de nuestro pronunciamiento, hemos de seguir la doctrina recogida, entre otras, en las SSTC 54/2002, de 27 de febrero, FJ 9, y 365/2006, de 21 de diciembre, FJ 8, o 161/2012, de 20 de septiembre, FJ 7. En ellas hemos declarado que “en supuestos como el que ahora nos ocupa y atendiendo a la pluralidad de valores constitucionales que concurren debemos traer a colación…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El principio de seguridad jurídica (art. 9.3 CE) reclama la intangibilidad de las situaciones jurídicas consolidadas; no sólo las decididas con fuerza de cosa juzgada, sino también las situaciones administrativas firmes”.</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 xml:space="preserve">Estimar la cuestión de inconstitucionalidad núm. 3337-2013 promovida por la Sección Séptima de la Sala de lo Contencioso-Administrativo del Tribunal Supremo y, en consecuencia, declarar la inconstitucionalidad y nulidad de los términos “que tengan su residencia habitual en la Comunitat Valenciana” contenidos en el art. 12 </w:t>
      </w:r>
      <w:r w:rsidRPr="0085709A">
        <w:rPr>
          <w:i/>
        </w:rPr>
        <w:t>bis</w:t>
      </w:r>
      <w:r>
        <w:t xml:space="preserve"> a) de la Ley de la Comunidad Valenciana 13/1997, de 23 de diciembre, por la que se regula el tramo autonómico del impuesto sobre la renta de las personas físicas y restantes tributos cedidos, en la redacción dada por el art. 16 de la Ley de la Comunidad Valenciana 10/2006, de 26 de diciembre, de medidas fiscales, de gestión administrativa y financiera, y de organización de la Generalitat, con los efectos que se declaran en el fundamento jurídico 6 de esta Sentencia.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dieciocho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4" w:name="SENTENCIA_2015_61"/>
      <w:r>
        <w:lastRenderedPageBreak/>
        <w:t>SENTENCIA 61/2015, de 18 de marzo de 2015</w:t>
      </w:r>
    </w:p>
    <w:bookmarkEnd w:id="64"/>
    <w:p w:rsidR="0085709A" w:rsidRDefault="0085709A" w:rsidP="0085709A">
      <w:pPr>
        <w:pStyle w:val="TtuloResolucin"/>
      </w:pPr>
      <w:r>
        <w:t>Pleno</w:t>
      </w:r>
    </w:p>
    <w:p w:rsidR="0085709A" w:rsidRDefault="0085709A" w:rsidP="0085709A">
      <w:pPr>
        <w:pStyle w:val="TtuloBOE"/>
      </w:pPr>
      <w:r>
        <w:t>(BOE núm. 98, de 24 de abril de 2015)</w:t>
      </w:r>
    </w:p>
    <w:p w:rsidR="0085709A" w:rsidRDefault="0085709A" w:rsidP="0085709A">
      <w:pPr>
        <w:pStyle w:val="TextoNormalCentrado"/>
      </w:pPr>
      <w:r>
        <w:t>ECLI:ES:TC:2015:61</w:t>
      </w:r>
    </w:p>
    <w:p w:rsidR="0085709A" w:rsidRDefault="0085709A" w:rsidP="0085709A">
      <w:pPr>
        <w:pStyle w:val="TextoNormalCentrado"/>
      </w:pPr>
    </w:p>
    <w:p w:rsidR="0085709A" w:rsidRDefault="0085709A" w:rsidP="0085709A">
      <w:pPr>
        <w:pStyle w:val="SntesisDescriptiva"/>
      </w:pPr>
      <w:r>
        <w:t>Conflicto positivo de competencia 4305-2013 . Planteado por el Gobierno de la Generalitat de Cataluña, en relación con diversos preceptos del Real Decreto 34/2008, de 18 de enero, por el que se regulan los certificados de profesionalidad, en la redacción dada por el artículo primero del Real Decreto 189/2013, de 15 de marzo, por el que se modifica el anterior y los reales decretos por los que se establecen certificados de profesionalidad dictados en su aplicación.</w:t>
      </w:r>
    </w:p>
    <w:p w:rsidR="0085709A" w:rsidRDefault="0085709A" w:rsidP="0085709A">
      <w:pPr>
        <w:pStyle w:val="SntesisDescriptiva"/>
      </w:pPr>
    </w:p>
    <w:p w:rsidR="0085709A" w:rsidRDefault="0085709A" w:rsidP="0085709A">
      <w:pPr>
        <w:pStyle w:val="SntesisAnaltica"/>
      </w:pPr>
      <w:r>
        <w:t>Competencias en materia laboral: preceptos reglamentarios estatales que vulneran competencias autonómicas al atribuir el ejercicio de funciones ejecutivas al Servicio Público de Empleo Estatal.</w:t>
      </w:r>
    </w:p>
    <w:p w:rsidR="0085709A" w:rsidRDefault="0085709A" w:rsidP="0085709A">
      <w:pPr>
        <w:pStyle w:val="SntesisAnaltica"/>
      </w:pPr>
    </w:p>
    <w:p w:rsidR="0085709A" w:rsidRDefault="0085709A" w:rsidP="0085709A">
      <w:pPr>
        <w:pStyle w:val="Extracto"/>
      </w:pPr>
      <w:r>
        <w:t>1.</w:t>
      </w:r>
      <w:r>
        <w:tab/>
        <w:t>La función de autorización discutida se ha de limitar a comprobar si queda garantizada plenamente la unidad de acción y la homogeneidad en la concesión de las autorizaciones de las plataformas virtuales de aprendizaje, sin que sea preciso, por tanto, su atribución a un único titular; concluyéndose que no concurre la excepcionalidad justificadora de la asunción por el Servicio Público de Empleo Estatal de las facultades ejecutivas autonómicas, en tanto que no resulta imprescindible la intervención estatal para garantizar la homogeneidad en este concreto aspecto de la actividad formativa examinada [FJ 4 a)].</w:t>
      </w:r>
    </w:p>
    <w:p w:rsidR="0085709A" w:rsidRDefault="0085709A" w:rsidP="0085709A">
      <w:pPr>
        <w:pStyle w:val="Extracto"/>
      </w:pPr>
    </w:p>
    <w:p w:rsidR="0085709A" w:rsidRDefault="0085709A" w:rsidP="0085709A">
      <w:pPr>
        <w:pStyle w:val="Extracto"/>
      </w:pPr>
      <w:r>
        <w:t>2.</w:t>
      </w:r>
      <w:r>
        <w:tab/>
        <w:t>No existe en este caso una justificación constitucionalmente válida para que se traslade al Estado una competencia ejecutiva autonómica pues en este supuesto el Estado ha ejercido su exclusiva competencia normativa en la materia; y habiéndose convertido en reglada la función de acreditación de los centros que imparten teleformación, queda garantizada la unidad de acción en el ejercicio de esta concreta función de acreditación de centros [FJ 4 b)].</w:t>
      </w:r>
    </w:p>
    <w:p w:rsidR="0085709A" w:rsidRDefault="0085709A" w:rsidP="0085709A">
      <w:pPr>
        <w:pStyle w:val="Extracto"/>
      </w:pPr>
    </w:p>
    <w:p w:rsidR="0085709A" w:rsidRDefault="0085709A" w:rsidP="0085709A">
      <w:pPr>
        <w:pStyle w:val="Extracto"/>
      </w:pPr>
      <w:r>
        <w:t>3.</w:t>
      </w:r>
      <w:r>
        <w:tab/>
        <w:t>Las funciones de gestión se encuentran, una vez más, marcadamente regladas por el Estado y, al tratarse de una regulación lo suficientemente precisa y detallada, se evita el riesgo de una falta de homogeneidad en su aplicación [FJ 4 c)].</w:t>
      </w:r>
    </w:p>
    <w:p w:rsidR="0085709A" w:rsidRDefault="0085709A" w:rsidP="0085709A">
      <w:pPr>
        <w:pStyle w:val="Extracto"/>
      </w:pPr>
    </w:p>
    <w:p w:rsidR="0085709A" w:rsidRDefault="0085709A" w:rsidP="0085709A">
      <w:pPr>
        <w:pStyle w:val="Extracto"/>
      </w:pPr>
      <w:r>
        <w:t>4.</w:t>
      </w:r>
      <w:r>
        <w:tab/>
        <w:t>La Constitución Española atribuye al Estado la ordenación general de la materia laboral, por lo que las Comunidades Autónomas únicamente pueden disponer de competencias de ejecución que incluyen la aprobación de reglamentos internos de organización de los servicios necesarios, la regulación de la propia competencia funcional de ejecución y, en general, el desarrollo del conjunto de actuaciones preciso para la puesta en práctica de la normativa reguladora del conjunto del sistema de relaciones laborales, así como la potestad sancionadora en la materia (STC 176/2014) [FJ 2].</w:t>
      </w:r>
    </w:p>
    <w:p w:rsidR="0085709A" w:rsidRDefault="0085709A" w:rsidP="0085709A">
      <w:pPr>
        <w:pStyle w:val="Extracto"/>
      </w:pPr>
    </w:p>
    <w:p w:rsidR="0085709A" w:rsidRDefault="0085709A" w:rsidP="0085709A">
      <w:pPr>
        <w:pStyle w:val="Extracto"/>
      </w:pPr>
      <w:r>
        <w:t>5.</w:t>
      </w:r>
      <w:r>
        <w:tab/>
        <w:t xml:space="preserve">El principio de territorialidad de las competencias autonómicas significa que  éstas deben tener por objeto fenómenos, situaciones o relaciones radicadas en el territorio de la propia Comunidad Autónoma, lo que no implica necesariamente que </w:t>
      </w:r>
      <w:r>
        <w:lastRenderedPageBreak/>
        <w:t>cuando el fenómeno objeto de las competencias autonómicas se extiende a lo largo del territorio de más de una Comunidad Autónoma, éstas pierdan en todo caso y de forma automática la competencia ni que la titularidad de la misma deba trasladarse necesariamente al Estado (STC 194/2011) [FJ 3].</w:t>
      </w:r>
    </w:p>
    <w:p w:rsidR="0085709A" w:rsidRDefault="0085709A" w:rsidP="0085709A">
      <w:pPr>
        <w:pStyle w:val="Extracto"/>
      </w:pPr>
    </w:p>
    <w:p w:rsidR="0085709A" w:rsidRDefault="0085709A" w:rsidP="0085709A">
      <w:pPr>
        <w:pStyle w:val="Extracto"/>
      </w:pPr>
      <w:r>
        <w:t>6.</w:t>
      </w:r>
      <w:r>
        <w:tab/>
        <w:t>El desplazamiento de las competencias autonómicas y su asunción por el Estado en supuesto de supraterritorialidad no están constitucionalmente impedidos, aunque sí revisten ‘carácter excepcional’, de forma que sólo puede producirse tal atribución cuando, además del alcance territorial superior al de una Comunidad Autónoma del fenómeno objeto de competencia, la actividad pública que sobre él se ejerza no sea susceptible de fraccionamiento, requiriéndose además el alto grado de homogeneidad que sólo pueda garantizar su atribución a un único titular: el Estado o un ente con capacidad de integrar intereses contrapuestos de varias Comunidades Autónomas (STC 22/2014)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conflicto positivo de competencia núm. 4305-2013 promovido por el Gobierno de la Generalitat de Cataluña, en relación con los arts. 10.5, 12.bis.4, párrafo tercero y 19.2, párrafo segundo, del Real Decreto 34/2008, de 18 de enero, por el que se regulan los certificados de profesionalidad, en la redacción dada por el artículo primero del Real Decreto 189/2013, de 15 de marzo, por el que se modifica el anterior y los Reales Decretos por los que se establecen certificados de profesionalidad dictados en su aplicación. Ha comparecido y formulado alegaciones el Abogado del Estado en la representación que legalmente ostenta.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presentado en el Registro General del Tribunal Constitucional el día 10 de julio de 2013, el Abogado de la Generalitat de Cataluña, en la representación que legalmente ostenta, interpuso conflicto positivo de competencia con relación a los arts. 10.5, </w:t>
      </w:r>
      <w:r>
        <w:lastRenderedPageBreak/>
        <w:t xml:space="preserve">12 </w:t>
      </w:r>
      <w:r w:rsidRPr="0085709A">
        <w:rPr>
          <w:i/>
        </w:rPr>
        <w:t>bis</w:t>
      </w:r>
      <w:r>
        <w:t>.4 y 19.2 del Real Decreto 34/2008, de 18 de enero, por el que se regulan los certificados de profesionalidad, en la redacción dada por el artículo primero del Real Decreto 189/2013, de 15 de marzo. En su escrito se sostiene que dichos preceptos vulneran las competencias ejecutivas que le corresponden a la Generalitat de Cataluña en materia de trabajo, de acuerdo con la distribución constitucional y estatutariamente establecida en los arts. 149.1.7 CE y 170.1 b) de la Ley Orgánica 6/2006, de 19 de julio, de reforma del Estatuto de Autonomía de Cataluña (en adelante, EAC). Los argumentos en los que sustenta el conflicto planteado son los que a continuación se sintetizan:</w:t>
      </w:r>
    </w:p>
    <w:p w:rsidR="0085709A" w:rsidRDefault="0085709A" w:rsidP="0085709A">
      <w:pPr>
        <w:pStyle w:val="TextoNormal"/>
      </w:pPr>
    </w:p>
    <w:p w:rsidR="0085709A" w:rsidRDefault="0085709A" w:rsidP="0085709A">
      <w:pPr>
        <w:pStyle w:val="TextoNormal"/>
      </w:pPr>
      <w:r>
        <w:t xml:space="preserve">a) Comienza recordando que, dentro del subsistema de formación profesional para el empleo, los certificados de profesionalidad son instrumentos de acreditación, en el ámbito de la Administración laboral, de las cualificaciones incluidas en el “Catálogo Nacional de Cualificaciones Profesionales”, adquiridas a través de procesos formativos o del proceso de reconocimiento de la experiencia laboral y de vías no formales de formación. Después precisa que, de las distintas modificaciones introducidas por el Real Decreto 189/2013 en la regulación de tales certificados, sólo es objeto del presente proceso un aspecto concreto: la atribución al Servicio Público de Empleo Estatal de las funciones ejecutivas de acreditación y autorización, cuando la formación a que se refieren los certificados de profesionalidad se realice en la modalidad de teleformación. Son tres los preceptos en que se atribuiría la realización de una función ejecutiva a un órgano estatal, en detrimento de su realización por los órganos autonómicos competentes: 1º) El art. 10.5 que precisa que, cuando la formación vinculada a los certificados de profesionalidad se desarrolle mediante teleformación, deberá realizarse a través de una plataforma virtual de aprendizaje, que en cada caso asegure la gestión de los contenidos y el seguimiento y evaluación de los participantes; se dispone al respecto que será “autorizada por el Servicio Público de Empleo Estatal”; 2º) el art. 12 </w:t>
      </w:r>
      <w:r w:rsidRPr="0085709A">
        <w:rPr>
          <w:i/>
        </w:rPr>
        <w:t>bis</w:t>
      </w:r>
      <w:r>
        <w:t>.4, que prevé que será el Servicio público de empleo estatal quien realice la “acreditación de los centros que impartan la formación conducente a la obtención de un certificado de profesionalidad en la modalidad de teleformación”; 3º) el art. 19.2 que, con relación a las acciones formativas no financiadas con fondos públicos desarrolladas por empresas y centros de iniciativa privada, dispone que cuando se lleven a cabo en la modalidad de teleformación “se entenderá por Administración competente el Servicio Público de Empleo Estatal”.</w:t>
      </w:r>
    </w:p>
    <w:p w:rsidR="0085709A" w:rsidRDefault="0085709A" w:rsidP="0085709A">
      <w:pPr>
        <w:pStyle w:val="TextoNormal"/>
      </w:pPr>
    </w:p>
    <w:p w:rsidR="0085709A" w:rsidRDefault="0085709A" w:rsidP="0085709A">
      <w:pPr>
        <w:pStyle w:val="TextoNormal"/>
      </w:pPr>
      <w:r>
        <w:t>Prosigue diciendo que una competencia de naturaleza claramente ejecutiva, que había sido asumida estatutariamente por la Generalitat de Cataluña y venía siendo ejercida pacíficamente por su servicio público de empleo, se adjudica en los preceptos reseñados a un órgano de la Administración central del Estado; a pesar de que, originariamente, el Real Decreto 34/2008 no hacía depender la determinación de la Administración competente de la modalidad de formación impartida. Tal modificación se ha producido sin que exista razón alguna que lo justifique, vulnerando claramente el orden de reparto competencial.</w:t>
      </w:r>
    </w:p>
    <w:p w:rsidR="0085709A" w:rsidRDefault="0085709A" w:rsidP="0085709A">
      <w:pPr>
        <w:pStyle w:val="TextoNormal"/>
      </w:pPr>
    </w:p>
    <w:p w:rsidR="0085709A" w:rsidRDefault="0085709A" w:rsidP="0085709A">
      <w:pPr>
        <w:pStyle w:val="TextoNormal"/>
      </w:pPr>
      <w:r>
        <w:t xml:space="preserve">b) Dicho lo que antecede, procede a efectuar el encuadre competencial del objeto de la controversia. Indica que la disposición final del Real Decreto 189/2013 invoca como título competencial el art. 149.1.7 y 30 CE, sin distinguir sobre qué preceptos abarca cada una de dichas reglas. Sin embargo, los preceptos objeto del presente conflicto, en los que se atribuye funciones ejecutivas al Servicio Público de Empleo Estatal como Administración laboral competente, encuentran su mejor y prioritario acomodo en la materia laboral. Respecto a ella, hay que tener en cuenta que, en virtud del art. 170.1 EAC, la Generalitat ha asumido la competencia de carácter ejecutivo, con expresa inclusión [letra b)], de las políticas activas </w:t>
      </w:r>
      <w:r>
        <w:lastRenderedPageBreak/>
        <w:t>de empleo que incluyen la formación de los demandantes de empleo y de los trabajadores en activo. Indica que tal previsión estatutaria responde perfectamente a la expresa previsión del constituyente, que en el art. 149.1.7 CE establece que corresponde al Estado la competencia exclusiva de la legislación laboral, añadiendo, “sin perjuicio de que sea ejecutada por los órganos de las Comunidades Autónomas”. Asimismo, recuerda que este encuadre competencial es conforme con lo establecido en la doctrina constitucional, citando las SSTC 111/2012, 194/2012 y 16/2013.</w:t>
      </w:r>
    </w:p>
    <w:p w:rsidR="0085709A" w:rsidRDefault="0085709A" w:rsidP="0085709A">
      <w:pPr>
        <w:pStyle w:val="TextoNormal"/>
      </w:pPr>
    </w:p>
    <w:p w:rsidR="0085709A" w:rsidRDefault="0085709A" w:rsidP="0085709A">
      <w:pPr>
        <w:pStyle w:val="TextoNormal"/>
      </w:pPr>
      <w:r>
        <w:t>Sentado lo anterior, el Abogado de la Generalitat añade que la utilización de los nuevos medios tecnológicos en la teleformación no puede servir para alterar el referido encuadre competencial, al tener sólo un carácter instrumental (STC 76/1984, de 29 de junio, FJ 1). Además, no cabe duda de que, dado el creciente uso de medios tecnológicos en todos los ámbitos (también en el campo de la formación), negar a las instancias autonómicas la intervención ejecutiva que les compete en el caso de que se utilice la modalidad de teleformación, supondría relegar su actuación a situaciones residuales cada vez más minoritarias. Señala también que, aunque este Tribunal en alguna de sus resoluciones ha admitido que puedan atribuirse funciones ejecutivas a órganos estatales, lo ha hecho cuando la actividad pública no admite fraccionamiento y su ejercicio por el Estado resulta “imprescindible”. Ha de tenerse en cuenta que el Tribunal Constitucional también tiene igualmente declarado que, cuando el Estado ostenta una competencia normativa completa “quedando garantizado en tal alto grado la unidad de acción”, dicha posibilidad tiene que apreciarse forzosamente de forma mucho más restrictiva (STC 156/1996).</w:t>
      </w:r>
    </w:p>
    <w:p w:rsidR="0085709A" w:rsidRDefault="0085709A" w:rsidP="0085709A">
      <w:pPr>
        <w:pStyle w:val="TextoNormal"/>
      </w:pPr>
    </w:p>
    <w:p w:rsidR="0085709A" w:rsidRDefault="0085709A" w:rsidP="0085709A">
      <w:pPr>
        <w:pStyle w:val="TextoNormal"/>
      </w:pPr>
      <w:r>
        <w:t xml:space="preserve">c) Llegados a este punto, analiza con mayor detalle cada una de las normas controvertidas. Con relación al primero de los preceptos impugnados (art. 10.5), destaca que la “plataforma virtual de aprendizaje”, a través de la que se lleva a cabo la teleformación, se encuentra reglada en un alto grado por instancias estatales, ya que a estas últimas les corresponde determinar los “requisitos de accesibilidad y diseño para todos” de ese tipo de formación (apartado 2 del mismo precepto). Se exige además que las referidas plataformas virtuales cumplan una serie de requisitos [previstos en el nuevo art. 12 </w:t>
      </w:r>
      <w:r w:rsidRPr="0085709A">
        <w:rPr>
          <w:i/>
        </w:rPr>
        <w:t>bis</w:t>
      </w:r>
      <w:r>
        <w:t>, apartado 4 c)], de acuerdo con las especificaciones técnicas que se establezcan reglamentariamente. En suma, toda la regulación de la plataforma de aprendizaje permite afirmar que su autorización no deja margen de discrecionalidad; la Generalitat se limitará a comprobar el cumplimiento de los requisitos establecidos por las instancias estatales, por lo que cabe concluir que no resulta justificada la reserva de tal competencia al Servicio de Empleo Público Estatal, en detrimento de los órganos autonómicos competentes alterando la normal aplicación del orden competencial.</w:t>
      </w:r>
    </w:p>
    <w:p w:rsidR="0085709A" w:rsidRDefault="0085709A" w:rsidP="0085709A">
      <w:pPr>
        <w:pStyle w:val="TextoNormal"/>
      </w:pPr>
    </w:p>
    <w:p w:rsidR="0085709A" w:rsidRDefault="0085709A" w:rsidP="0085709A">
      <w:pPr>
        <w:pStyle w:val="TextoNormal"/>
      </w:pPr>
      <w:r>
        <w:t xml:space="preserve">Después, en relación con la “acreditación de los centros” a la que se refiere el art. 12 </w:t>
      </w:r>
      <w:r w:rsidRPr="0085709A">
        <w:rPr>
          <w:i/>
        </w:rPr>
        <w:t>bis</w:t>
      </w:r>
      <w:r>
        <w:t xml:space="preserve">.4, en su párrafo tercero, indica que tampoco existe razón para su atribución al Estado. Como ocurría con relación al art. 10.5, existiría una regulación general sobre los centros de teleformación, en el mismo art. 12 </w:t>
      </w:r>
      <w:r w:rsidRPr="0085709A">
        <w:rPr>
          <w:i/>
        </w:rPr>
        <w:t>bis</w:t>
      </w:r>
      <w:r>
        <w:t>, que hace de tal acreditación una actuación reglada. Añade que resulta paradójico que en el párrafo siguiente se respeten las competencias autonómicas relativas a las funciones de seguimiento y control. Se introduce, así, una dualidad de Administraciones actuantes en relación a un mismo centro; aparte de no resultar necesaria, sería contraria al orden competencial.</w:t>
      </w:r>
    </w:p>
    <w:p w:rsidR="0085709A" w:rsidRDefault="0085709A" w:rsidP="0085709A">
      <w:pPr>
        <w:pStyle w:val="TextoNormal"/>
      </w:pPr>
    </w:p>
    <w:p w:rsidR="0085709A" w:rsidRDefault="0085709A" w:rsidP="0085709A">
      <w:pPr>
        <w:pStyle w:val="TextoNormal"/>
      </w:pPr>
      <w:r>
        <w:lastRenderedPageBreak/>
        <w:t>Finalmente, en cuanto al también controvertido art. 19.2, párrafo segundo, el Abogado de la Generalitat indica que se establece un distinto régimen competencial de intervención administrativa en la acreditación de las empresas y centros de formación de iniciativa privada, según sea la modalidad de impartición de la formación que opten por utilizar. A diferencia del precepto anteriormente analizado, en este caso no sólo se reserva a favor del Servicio Público de Empleo Estatal la función ejecutiva de autorización, sino también las de evaluación, seguimiento y control, en el caso de acciones de formación llevadas a cabo a través de la teleformación. En suma, las Comunidades Autónomas quedan totalmente desapoderadas de sus competencias ejecutivas en relación con la actuación formativa de empresas y centros de iniciativa privada; tal y como ocurría en los casos previamente examinados, también aquí la actuación administrativa resulte altamente reglada.</w:t>
      </w:r>
    </w:p>
    <w:p w:rsidR="0085709A" w:rsidRDefault="0085709A" w:rsidP="0085709A">
      <w:pPr>
        <w:pStyle w:val="TextoNormal"/>
      </w:pPr>
    </w:p>
    <w:p w:rsidR="0085709A" w:rsidRDefault="0085709A" w:rsidP="0085709A">
      <w:pPr>
        <w:pStyle w:val="TextoNormal"/>
      </w:pPr>
      <w:r>
        <w:t>d) Partiendo, pues, de que los preceptos impugnados distorsionan el orden de distribución competencial en materia laboral, al atribuir al Estado el ejercicio de unas funciones de naturaleza ejecutiva que corresponden a la Generalitat, pasa a analizar la pretendida justificación de la reserva a favor del Servicio Público de Empleo Estatal de determinadas funciones ejecutivas en la modalidad de teleformación.</w:t>
      </w:r>
    </w:p>
    <w:p w:rsidR="0085709A" w:rsidRDefault="0085709A" w:rsidP="0085709A">
      <w:pPr>
        <w:pStyle w:val="TextoNormal"/>
      </w:pPr>
    </w:p>
    <w:p w:rsidR="0085709A" w:rsidRDefault="0085709A" w:rsidP="0085709A">
      <w:pPr>
        <w:pStyle w:val="TextoNormal"/>
      </w:pPr>
      <w:r>
        <w:t>Son dos los argumentos aducidos por el Gobierno de la Nación para justificar la asunción de las competencias de naturaleza ejecutiva. De un lado, que sería necesario para garantizar una oferta homogénea y coherente en todo el Estado; de otro, que se trata de una actividad que podrá ofertarse y desarrollarse potencialmente en todo el ámbito estatal, excediendo el ámbito territorial de una Comunidad Autónoma.</w:t>
      </w:r>
    </w:p>
    <w:p w:rsidR="0085709A" w:rsidRDefault="0085709A" w:rsidP="0085709A">
      <w:pPr>
        <w:pStyle w:val="TextoNormal"/>
      </w:pPr>
    </w:p>
    <w:p w:rsidR="0085709A" w:rsidRDefault="0085709A" w:rsidP="0085709A">
      <w:pPr>
        <w:pStyle w:val="TextoNormal"/>
      </w:pPr>
      <w:r>
        <w:t>Para rechazar el primero de los argumentos esgrimidos, el Abogado de la Generalitat indica que bastaría remitirse a la doctrina constitucional sobre la improcedencia de que el Estado pretenda asumir competencias ejecutivas, con el pretexto de que resulta necesario para asegurar la igualdad de trato y la unidad del sistema en todo el territorio nacional. Recuerda que tal asunción sólo se permitiría cuando resulte imprescindible. Además, conforme a la doctrina constitucional, cuando el Estado ostenta una competencia normativa completa sobre la materia (como es el caso), dicha posibilidad tiene que apreciarse de forma mucho más restrictiva. Dado que el Estado dispone en materia de teleformación de una amplísima capacidad normativa, no resulta imprescindible que sean por él asumidas funciones de naturaleza ejecutiva en detrimento de las competencias autonómicas.</w:t>
      </w:r>
    </w:p>
    <w:p w:rsidR="0085709A" w:rsidRDefault="0085709A" w:rsidP="0085709A">
      <w:pPr>
        <w:pStyle w:val="TextoNormal"/>
      </w:pPr>
    </w:p>
    <w:p w:rsidR="0085709A" w:rsidRDefault="0085709A" w:rsidP="0085709A">
      <w:pPr>
        <w:pStyle w:val="TextoNormal"/>
      </w:pPr>
      <w:r>
        <w:t>Por lo que se refiere al segundo de los argumentos utilizados (esto es, el relativo a que la plataforma virtual resulte potencialmente accesible desde un ámbito territorial superior al de la Generalitat, y esté abierta a cualquier usuario), recuerda que —conforme a la doctrina constitucional— la supraterritorialidad no es título competencial. Además, precisa que el ámbito territorial de los potenciales destinatarios de una actividad de formación no está determinado por el medio utilizado para impartirla, sino por los términos en que es ofrecida por los centros. Esta premisa resulta aplicable tanto a la formación en línea como a la formación a distancia, e incluso a la presencial. Por otra parte, añade que la actividad de teleformación se imparte a través de establecimientos ubicados físicamente en un territorio determinado; además de la plataforma virtual de aprendizaje, se debe disponer de las correspondientes instalaciones para realizar una prueba de evaluación final de carácter presencial (arts. 12 y 10.6); con todo ello resulta necesario un lugar físico de conexión de la actividad formativa, que es el mismo que viene a determinar la competencia material.</w:t>
      </w:r>
    </w:p>
    <w:p w:rsidR="0085709A" w:rsidRDefault="0085709A" w:rsidP="0085709A">
      <w:pPr>
        <w:pStyle w:val="TextoNormal"/>
      </w:pPr>
    </w:p>
    <w:p w:rsidR="0085709A" w:rsidRDefault="0085709A" w:rsidP="0085709A">
      <w:pPr>
        <w:pStyle w:val="TextoNormal"/>
      </w:pPr>
      <w:r>
        <w:t>En el mismo sentido, el Abogado de la Generalitat prosigue diciendo que las funciones ejecutivas que se reclaman consisten en actuaciones administrativas a realizar siempre dentro del territorio catalán; las plataformas virtuales y los centros a autorizar, evaluar y controlar, son los que radiquen y se ubiquen en territorio autonómico. Que los usuarios puedan acceder eventualmente al mismo desde fuera de la Comunidad Autónoma (e incluso desde el extranjero), es algo que no altera la relación entre cada centro y la Administración competente, sino que constituye una normal manifestación de la posibilidad de que los efectos de la actuación autonómica se proyecten fuera de la respectiva Comunidad (STC 194/2011). Así las cosas, si la potencial utilización de los medios telemáticos por los usuarios de los servicios pudiera alterar la dependencia administrativa de quienes los prestan, la proliferación actual en el uso de tales medios llevaría a una absurda alteración del mapa competencial. El uso de la informática y de internet debe ser considerado como algo competencialmente neutro, incapaz de alterar el sistema de reparto competencial en los ámbitos materiales en que se utilice. En suma, el instrumento o soporte telemático que utilicen los centros, para llevar a cabo sus actividades formativas en orden a los certificados de profesionalidad, no puede conducir a alterar la titularidad de las competencias de ejecución controvertidas que, en esta materia, corresponderían a la Generalitat de Cataluña.</w:t>
      </w:r>
    </w:p>
    <w:p w:rsidR="0085709A" w:rsidRDefault="0085709A" w:rsidP="0085709A">
      <w:pPr>
        <w:pStyle w:val="TextoNormal"/>
      </w:pPr>
    </w:p>
    <w:p w:rsidR="0085709A" w:rsidRDefault="0085709A" w:rsidP="0085709A">
      <w:pPr>
        <w:pStyle w:val="TextoNormal"/>
      </w:pPr>
      <w:r w:rsidRPr="0085709A">
        <w:rPr>
          <w:rStyle w:val="NumeroAFNegritaCaracter"/>
        </w:rPr>
        <w:t>2</w:t>
      </w:r>
      <w:r>
        <w:t>. Con fecha de 2 de agosto de 2013, se presentó ante el Registro General del Tribunal Constitucional un escrito de los Abogados de la Generalitat de Cataluña, en la representación que ostentan, por el que formularon la recusación del Excmo. Sr. Presidente del Tribunal Constitucional, don Francisco Pérez de los Cobos Orihuel, porque concurrirían las causas previstas en los apartados 9 y 10 del art. 219 de la Ley Orgánica del Poder Judicial, en relación a diversos procedimientos; entre ellos, el presente conflicto positivo de competencia. Por ATC 180/2013, de 17 de septiembre, el Pleno del Tribunal Constitucional inadmitió a trámite la recusación promovida. Formulado recurso de súplica frente a ese Auto por los Abogados de la Generalitat de Cataluña, fue inadmitido a trámite por el Pleno del Tribunal Constitucional, mediante providencia de 2 de octubre de 2013.</w:t>
      </w:r>
    </w:p>
    <w:p w:rsidR="0085709A" w:rsidRDefault="0085709A" w:rsidP="0085709A">
      <w:pPr>
        <w:pStyle w:val="TextoNormal"/>
      </w:pPr>
    </w:p>
    <w:p w:rsidR="0085709A" w:rsidRDefault="0085709A" w:rsidP="0085709A">
      <w:pPr>
        <w:pStyle w:val="TextoNormal"/>
      </w:pPr>
      <w:r w:rsidRPr="0085709A">
        <w:rPr>
          <w:rStyle w:val="NumeroAFNegritaCaracter"/>
        </w:rPr>
        <w:t>3</w:t>
      </w:r>
      <w:r>
        <w:t>. Por providencia del Pleno del Tribunal Constitucional de 22 de octubre de 2013, se acordó admitir a trámite el presente conflicto positivo de competencia y dar traslado de la demanda y documentos presentados al Gobierno de la Nación, por conducto de su Presidente, para que en el plazo de veinte días, por medio de la representación procesal que determina el art. 82.2 de la Ley Orgánica del Tribunal Constitucional (LOTC), aportase cuantos documentos y alegaciones considerase convenientes. Igualmente, se acordó comunicar la incoación del conflicto a la Sala de lo Contencioso-Administrativo del Tribunal Supremo, por si ante la misma estuvieran impugnados o se impugnaren los preceptos cuestionados; en tal caso se suspendería el curso del proceso hasta la decisión del conflicto, según dispone el art. 61.2 LOTC. Finalmente, se ordenó la publicación de la incoación del conflicto en el “Boletín Oficial del Estado” y en el “Diari Oficial de la Generalitat de Catalunya” (lo que se cumplimentó, respectivamente, en el “BOE” núm. 262, de 1 de noviembre de 2013, y en el “DOGC” núm. 6498, de 11 de noviembre de 2013).</w:t>
      </w:r>
    </w:p>
    <w:p w:rsidR="0085709A" w:rsidRDefault="0085709A" w:rsidP="0085709A">
      <w:pPr>
        <w:pStyle w:val="TextoNormal"/>
      </w:pPr>
    </w:p>
    <w:p w:rsidR="0085709A" w:rsidRDefault="0085709A" w:rsidP="0085709A">
      <w:pPr>
        <w:pStyle w:val="TextoNormal"/>
      </w:pPr>
      <w:r w:rsidRPr="0085709A">
        <w:rPr>
          <w:rStyle w:val="NumeroAFNegritaCaracter"/>
        </w:rPr>
        <w:t>4</w:t>
      </w:r>
      <w:r>
        <w:t>. Por escrito registrado ante este Tribunal el 30 de octubre de 2013, el Abogado del Estado se personó en el proceso solicitando una prórroga del plazo concedido para formular alegaciones, lo que le fue concedido mediante providencia de 4 de noviembre de 2013.</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Con fecha de 9 de diciembre de 2013 se presentó por el Abogado del Estado, en la representación que ostenta, el escrito de alegaciones que a continuación se resume. Tras referirse primero al objeto del conflicto planteado y a la normativa estatal aplicable a los certificados de profesionalidad, mantiene —en coincidencia con lo manifestado por la Generalitat de Cataluña—, que los preceptos controvertidos encuentran prevalente acomodo en la materia laboral. En consecuencia, procedería delimitar en este proceso constitucional el alcance de la competencia del Estado y de la Comunidad Autónoma de Cataluña </w:t>
      </w:r>
      <w:r w:rsidRPr="0085709A">
        <w:rPr>
          <w:i/>
        </w:rPr>
        <w:t>ex</w:t>
      </w:r>
      <w:r>
        <w:t xml:space="preserve"> arts. 149.1.7 CE y 170 EAC. Aclara, a este respecto, que la Generalitat no discute las facultades normativas del Estado en la materia; la controversia se limitaría a los aspectos aplicativos o de ejecución de las normas estatales. En ese contexto, indica que la competencia ejecutiva en la referida materia correspondería, en principio, a la Comunidad Autónoma, salvo que sea atribuible al Estado por generar efectos supracomunitarios.</w:t>
      </w:r>
    </w:p>
    <w:p w:rsidR="0085709A" w:rsidRDefault="0085709A" w:rsidP="0085709A">
      <w:pPr>
        <w:pStyle w:val="TextoNormal"/>
      </w:pPr>
    </w:p>
    <w:p w:rsidR="0085709A" w:rsidRDefault="0085709A" w:rsidP="0085709A">
      <w:pPr>
        <w:pStyle w:val="TextoNormal"/>
      </w:pPr>
      <w:r>
        <w:t>Destaca después el Abogado del Estado que las propias características de la teleformación hacen que esté abierta a cualquier usuario que quiera acceder a ella, independientemente de su residencia; no existiría pues límite territorial a la actuación de los centros que impartan esta modalidad de formación, al ser su ámbito de actuación extensivo a todo el Estado. Con el objeto de garantizar una oferta homogénea y coherente para todo el Estado, el art. 12.bis.4 impugnado atribuye al Servicio Público de Empleo Estatal la acreditación de los centros que impartan la formación conducente a la obtención de certificados de profesionalidad en la modalidad de teleformación; así como el art. 10.5 la autorización de las plataformas virtuales de aprendizaje. Sostiene que la atribución de tales competencias al Estado se encuentra plenamente justificada, pues se pretende evitar el fraccionamiento de una actividad que, realizándose en más de una Comunidad Autónoma, debe tener un carácter unitario. Se trata de garantizar una oferta homogénea y coherente de centros acreditados para todo el Estado, sin limitación territorial en su actuación, cuando impartan tal tipo de formación. Igual justificación merecería, a juicio del Abogado del Estado, la atribución al Servicio Público de Empleo Estatal de la competencia de autorización, evaluación, seguimiento y control en los casos de acciones formativas en la modalidad de teleformación llevadas a cabo por centros de iniciativa privada no financiados con fondos públicos. Además, en el propio art. 170.1 b) EAC se reconoce la falta de competencia de la Generalitat para la formación supraterritorial, limitando su presencia a la mera participación en los planes y actividades de formación supraterritoriales estatales. Recuerda después que las tecnologías de la información y comunicación operan como meros instrumentos al servicio de la acción pública; son pues competencialmente neutros. La utilización de un instrumento telemático no determinaría la competencia estatal cuando no implique la extensión potencial del desarrollo de la actividad en el ámbito estatal. Ciertamente, en el caso de que la acción formativa se limite al ámbito de la Comunidad Autónoma, a ella le corresponderán las competencias discutidas. Es decir, la atribución de la competencia al Estado se basa en la supraterritorialidad de la actuación de los centros de teleformación y no en la utilización misma de los medios electrónicos.</w:t>
      </w:r>
    </w:p>
    <w:p w:rsidR="0085709A" w:rsidRDefault="0085709A" w:rsidP="0085709A">
      <w:pPr>
        <w:pStyle w:val="TextoNormal"/>
      </w:pPr>
    </w:p>
    <w:p w:rsidR="0085709A" w:rsidRDefault="0085709A" w:rsidP="0085709A">
      <w:pPr>
        <w:pStyle w:val="TextoNormal"/>
      </w:pPr>
      <w:r>
        <w:t xml:space="preserve">Finalmente, señala que las plataformas electrónicas para impartir la formación no contienen limitación respecto del lugar en el que pueden ofrecer sus servicios; la autorización habría de otorgarse pues con la misma extensión que su funcionamiento (ámbito supraterritorial). Si la plataforma es potencialmente accesible desde un ámbito superior a la Comunidad Autónoma —abierta a cualquier usuario que quiera acceder a la misma—, no existiría </w:t>
      </w:r>
      <w:r>
        <w:lastRenderedPageBreak/>
        <w:t>límite territorial a la actuación de los centros que imparten esa modalidad de formación. Entiende el Abogado del Estado que la norma estatal respeta la posibilidad de que un centro de formación solicite autorización para el desarrollo de un servicio de teleformación limitado al ámbito de la Comunidad Autónoma; por ejemplo, a través de una intranet. En tales casos, la competencia correspondería a la propia Comunidad Autónoma. Lo determinante sería el ámbito territorial en el que puedan prestar sus servicios las empresas de teleformación; si ofrecen el servicio “en abierto”, la autorización tendrá un alcance que supera el ámbito de la Comunidad Autónoma, mientras que si la oferta de servicios se hiciese sólo para su ámbito interno, no cabría apreciar supraterritorialidad, siendo la competencia de la Comunidad Autónoma y no del Estado. Esta sería, según el Abogado del Estado, la interpretación de los artículos impugnados conforme con la Constitución, lo que le lleva a solicitar que se dicte sentencia desestimatoria de la demanda.</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10 de diciembre de 2013, se hace constar que dentro del plazo conferido al efecto se ha personado en el presente proceso y formulado alegaciones el Abogado del Estado, quedando pendiente en su momento para deliberación y votación la Sentencia, sin perjuicio de lo dispuesto en el art. 84 LOTC.</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providencia de 17 de marzo de 2015, se señaló para deliberación y votación de la presente Sentencia el día 18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 El presente proceso constitucional tiene por objeto resolver el conflicto positivo de competencia planteado por el Gobierno de la Generalitat de Cataluña con relación a los arts. 10.5, 12 </w:t>
      </w:r>
      <w:r w:rsidRPr="0085709A">
        <w:rPr>
          <w:i/>
        </w:rPr>
        <w:t>bis</w:t>
      </w:r>
      <w:r>
        <w:t>.4, párrafo tercero y 19.2, párrafo segundo, del Real Decreto 34/2008, de 18 de enero, por el que se regulan los certificados de profesionalidad, en la redacción dada en el artículo primero del Real Decreto 189/2013, de 15 de marzo.</w:t>
      </w:r>
    </w:p>
    <w:p w:rsidR="0085709A" w:rsidRDefault="0085709A" w:rsidP="0085709A">
      <w:pPr>
        <w:pStyle w:val="TextoNormal"/>
      </w:pPr>
    </w:p>
    <w:p w:rsidR="0085709A" w:rsidRDefault="0085709A" w:rsidP="0085709A">
      <w:pPr>
        <w:pStyle w:val="TextoNormal"/>
      </w:pPr>
      <w:r>
        <w:t xml:space="preserve">Como ha quedado expuesto en los antecedentes de esta Sentencia, el Gobierno de la Generalitat de Cataluña reclama como competencia autonómica el ejercicio de las funciones relativas a la formación profesional en su modalidad de teleformación que se atribuyen al Servicio Público de Empleo Estatal en los preceptos impugnados; en concreto, las relativas a la autorización de las plataformas virtuales de aprendizaje a través de las cuales se realiza tal tipo de formación (art. 10.5), la acreditación de los centros que la impartan (art. 12.bis.4, párrafo tercero), así como la autorización, evaluación seguimiento y control de las acciones formativas, no financiadas con fondos públicos, impartidas en esa modalidad por empresas y centros de iniciativa privada (art. 19.2, párrafo segundo). Se sostiene al respecto, que tales normas, al atribuir esas funciones al Servicio Público de Empleo Estatal, vulneran las competencias autonómicas en materia de trabajo, que resultan de lo dispuesto en los arts. 149.1.17 CE y 170.1 b) de la Ley Orgánica 6/2006, de 19 de julio, de reforma del Estatuto de Autonomía de Cataluña. Siendo los certificados de profesionalidad encuadrables en la materia laboral, al Estado le correspondería la totalidad de la legislación y a la Comunidad Autónoma el ejercicio de las funciones de naturaleza ejecutiva, como son precisamente las que ahora se discuten. Destaca que nos encontramos ante un ámbito en el que la capacidad normativa del Estado es completa, lo que excluye la traslación a favor de los órganos estatales de funciones ejecutivas; la garantía de unidad del sistema en lo relativo a las acciones </w:t>
      </w:r>
      <w:r>
        <w:lastRenderedPageBreak/>
        <w:t>formativas puede llevarse a cabo por el Estado mediante la regulación, con el detalle que considere conveniente, de todo lo relativo a esas acciones formativas, sin que resulte preciso privar a las Comunidades Autónomas de sus funciones de gestión, dado el carácter marcadamente reglado de las mismas. En definitiva, se recuerda que la supraterritorialidad no es un título competencial y se señala que el instrumento o soporte telemático que utilicen los centros para llevar a cabo sus actividades formativas, en orden a la obtención de certificados de profesionalidad, no puede conducir a alterar la titularidad de las competencias de ejecución que en materia laboral corresponden a la Generalitat.</w:t>
      </w:r>
    </w:p>
    <w:p w:rsidR="0085709A" w:rsidRDefault="0085709A" w:rsidP="0085709A">
      <w:pPr>
        <w:pStyle w:val="TextoNormal"/>
      </w:pPr>
    </w:p>
    <w:p w:rsidR="0085709A" w:rsidRDefault="0085709A" w:rsidP="0085709A">
      <w:pPr>
        <w:pStyle w:val="TextoNormal"/>
      </w:pPr>
      <w:r>
        <w:t>El Abogado del Estado comparte el encuadramiento competencial realizado por la Generalitat de Cataluña. Considera que la controversia se limita a determinados aspectos aplicativos o de ejecución de las normas estatales. Afirma que, si bien en principio corresponde a la Comunidad Autónoma la ejecución de las normas estatales en materia laboral, en el caso de la teleformación las funciones ejecutivas controvertidas son atribuibles al Estado debido al ámbito supraterritorial de desenvolvimiento de las acciones formativas; al estar abiertas a cualquier usuario se haría necesario garantizar una oferta homogénea y coherente para todo el Estado.</w:t>
      </w:r>
    </w:p>
    <w:p w:rsidR="0085709A" w:rsidRDefault="0085709A" w:rsidP="0085709A">
      <w:pPr>
        <w:pStyle w:val="TextoNormal"/>
      </w:pPr>
    </w:p>
    <w:p w:rsidR="0085709A" w:rsidRDefault="0085709A" w:rsidP="0085709A">
      <w:pPr>
        <w:pStyle w:val="TextoNormal"/>
      </w:pPr>
      <w:r w:rsidRPr="0085709A">
        <w:rPr>
          <w:rStyle w:val="NumeroAFNegritaCaracter"/>
        </w:rPr>
        <w:t>2</w:t>
      </w:r>
      <w:r>
        <w:t>. Centrados así los términos del debate, el enjuiciamiento de la cuestión controvertida exige proceder, en primer lugar, al encuadramiento competencial de la materia objeto de los preceptos impugnados.</w:t>
      </w:r>
    </w:p>
    <w:p w:rsidR="0085709A" w:rsidRDefault="0085709A" w:rsidP="0085709A">
      <w:pPr>
        <w:pStyle w:val="TextoNormal"/>
      </w:pPr>
    </w:p>
    <w:p w:rsidR="0085709A" w:rsidRDefault="0085709A" w:rsidP="0085709A">
      <w:pPr>
        <w:pStyle w:val="TextoNormal"/>
      </w:pPr>
      <w:r>
        <w:t>Como ha quedado antes expuesto, ambas partes coinciden en considerar que las normas impugnadas, a pesar de guardar relación con la materia de educación, se insertan prevalentemente en el ámbito de la materia “legislación laboral”. En efecto, los preceptos controvertidos regulan determinados aspectos relativos a la acción de formación profesional para el empleo, dirigida a la obtención de los certificados de profesionalidad, en virtud de los cuales se acreditan oficialmente las cualificaciones del catálogo nacional de cualificaciones profesionales en el ámbito de la Administración laboral. Las competencias profesionales, acreditadas mediante los mencionados certificados, se adquieren a través de la experiencia laboral o de vías no formales de formación que se establezcan en el desarrollo normativo del art. 8.4 de la Ley Orgánica 5/2002, de 19 de junio, de las cualificaciones y de la formación profesional (art. 8.2 del Real Decreto 34/2008). En suma, los mencionados certificados de profesionalidad, a cuya consecución atiende la acción formativa discutida, persiguen la acreditación de las correspondientes competencias profesionales adquiridas por vías distintas de las previstas en la formación profesional reglada.</w:t>
      </w:r>
    </w:p>
    <w:p w:rsidR="0085709A" w:rsidRDefault="0085709A" w:rsidP="0085709A">
      <w:pPr>
        <w:pStyle w:val="TextoNormal"/>
      </w:pPr>
    </w:p>
    <w:p w:rsidR="0085709A" w:rsidRDefault="0085709A" w:rsidP="0085709A">
      <w:pPr>
        <w:pStyle w:val="TextoNormal"/>
      </w:pPr>
      <w:r>
        <w:t>Las normas impugnadas no afectan pues a la “formación profesional reglada”, que forma parte del sistema educativo y se ubica en el ámbito de las competencias relativas a la educación (art. 149.1.30 CE), sino a la “formación profesional para el empleo”, que se incardina en la materia laboral y en las competencias relacionadas con la misma (art. 149.1.7 CE) [STC 111/2012, de 24 de mayo, FJ 7; 194/2012, de 31 de octubre, FFJJ 4 y 6; 88/2014, de 9 de junio, FJ 3; y 198/2014, de 15 de diciembre, FJ 3]. Todos los preceptos impugnados se refieren a una concreta modalidad de este último tipo de formación profesional (la teleformación), atribuyendo al respecto funciones de acreditación, autorización y control al Servicio Público de Empleo Estatal.</w:t>
      </w:r>
    </w:p>
    <w:p w:rsidR="0085709A" w:rsidRDefault="0085709A" w:rsidP="0085709A">
      <w:pPr>
        <w:pStyle w:val="TextoNormal"/>
      </w:pPr>
    </w:p>
    <w:p w:rsidR="0085709A" w:rsidRDefault="0085709A" w:rsidP="0085709A">
      <w:pPr>
        <w:pStyle w:val="TextoNormal"/>
      </w:pPr>
      <w:r>
        <w:lastRenderedPageBreak/>
        <w:t>Partiendo, pues, de que las normas controvertidas se incardinan en la materia “legislación laboral”, el reparto competencial relativo a ella viene dado por lo dispuesto en el art. 149.1.7 CE y en el art. 170.1 b) del Estatuto de Autonomía de Cataluña (EAC). El primero de los preceptos atribuye al Estado competencia exclusiva sobre legislación laboral, sin perjuicio de su ejecución por los órganos de las Comunidades Autónomas; el segundo dispone que corresponde a la Generalitat de Cataluña la competencia ejecutiva en materia de trabajo y relaciones laborales y, concretamente, sobre “las políticas activas de ocupación, que incluyen la formación de los demandantes de ocupación y de los trabajadores en activo”.</w:t>
      </w:r>
    </w:p>
    <w:p w:rsidR="0085709A" w:rsidRDefault="0085709A" w:rsidP="0085709A">
      <w:pPr>
        <w:pStyle w:val="TextoNormal"/>
      </w:pPr>
    </w:p>
    <w:p w:rsidR="0085709A" w:rsidRDefault="0085709A" w:rsidP="0085709A">
      <w:pPr>
        <w:pStyle w:val="TextoNormal"/>
      </w:pPr>
      <w:r>
        <w:t>El deslinde competencial en esta materia ha sido precisado por este Tribunal en reiteradas ocasiones. Ha señalado que la Constitución Española atribuye al Estado la ordenación general de la materia laboral, sin que ningún espacio de regulación externa les quede a las Comunidades Autónomas. Estas únicamente pueden disponer de una competencia de mera ejecución de la normación estatal, que incluye la emanación de reglamentos internos de organización de los servicios necesarios,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(por todas, STC 176/2014, de 3 de noviembre, FJ 3).</w:t>
      </w:r>
    </w:p>
    <w:p w:rsidR="0085709A" w:rsidRDefault="0085709A" w:rsidP="0085709A">
      <w:pPr>
        <w:pStyle w:val="TextoNormal"/>
      </w:pPr>
    </w:p>
    <w:p w:rsidR="0085709A" w:rsidRDefault="0085709A" w:rsidP="0085709A">
      <w:pPr>
        <w:pStyle w:val="TextoNormal"/>
      </w:pPr>
      <w:r w:rsidRPr="0085709A">
        <w:rPr>
          <w:rStyle w:val="NumeroAFNegritaCaracter"/>
        </w:rPr>
        <w:t>3</w:t>
      </w:r>
      <w:r>
        <w:t>. Una vez precisado el encuadramiento y reparto competencial en la materia, es preciso dar respuesta a la controversia planteada. Ha de tenerse en cuenta que, admitiendo ambas partes la naturaleza ejecutiva de las funciones atribuidas por las normas impugnadas al Servicio Público de Empleo Estatal, lo que discuten es su atribución al Estado sobre la base de la existencia de eventuales efectos supraterritoriales.</w:t>
      </w:r>
    </w:p>
    <w:p w:rsidR="0085709A" w:rsidRDefault="0085709A" w:rsidP="0085709A">
      <w:pPr>
        <w:pStyle w:val="TextoNormal"/>
      </w:pPr>
    </w:p>
    <w:p w:rsidR="0085709A" w:rsidRDefault="0085709A" w:rsidP="0085709A">
      <w:pPr>
        <w:pStyle w:val="TextoNormal"/>
      </w:pPr>
      <w:r>
        <w:t>Siendo esos los términos de la controversia, se hace necesario recordar, en cuanto al principio de territorialidad de las competencias autonómicas, que el mismo significa, en lo que ahora interesa, “que esas competencias deben tener por objeto fenómenos, situaciones o relaciones radicadas en el territorio de la propia Comunidad Autónoma”; esto, sin embargo, “no implica necesariamente que cuando el fenómeno objeto de las competencias autonómicas se extiende a lo largo del territorio de más de una Comunidad Autónoma, éstas pierdan en todo caso y de forma automática la competencia y la titularidad de la misma deba trasladarse necesariamente al Estado, sin que deba justificarse la necesidad de este traslado”. Lo contrario supondría utilizar el principio de supraterritorialidad como principio delimitador de competencias fuera de los casos expresamente previstos por el bloque de la constitucionalidad (STC 194/2011, de 13 de diciembre, FJ 5).</w:t>
      </w:r>
    </w:p>
    <w:p w:rsidR="0085709A" w:rsidRDefault="0085709A" w:rsidP="0085709A">
      <w:pPr>
        <w:pStyle w:val="TextoNormal"/>
      </w:pPr>
    </w:p>
    <w:p w:rsidR="0085709A" w:rsidRDefault="0085709A" w:rsidP="0085709A">
      <w:pPr>
        <w:pStyle w:val="TextoNormal"/>
      </w:pPr>
      <w:r>
        <w:t xml:space="preserve">Si bien el desplazamiento de las competencias autonómicas y su asunción por el Estado en supuesto de supraterritorialidad no están constitucionalmente impedidos, sí que revisten un “carácter excepcional”. Como ya hemos declarado en repetidas ocasiones, sólo puede producirse tal atribución cuando, además del alcance territorial superior al de una Comunidad Autónoma del fenómeno objeto de competencia, la actividad pública que sobre él se ejerza no sea susceptible de fraccionamiento. Aun en ese caso, dicha actuación no puede llevarse a cabo mediante mecanismos de cooperación y coordinación, sino que requiere un alto grado de homogeneidad, que sólo pueda garantizar su atribución a un único titular, que </w:t>
      </w:r>
      <w:r>
        <w:lastRenderedPageBreak/>
        <w:t>forzosamente deba ser el Estado o —cuando sea necesario— un ente con capacidad de integrar intereses contrapuestos de varias Comunidades Autónomas (SSTC 111/2012, de 24 de mayo, FJ 11; 244/2012, de 18 de diciembre, FJ 7, y 22/2014, de 13 de febrero, FJ 7).</w:t>
      </w:r>
    </w:p>
    <w:p w:rsidR="0085709A" w:rsidRDefault="0085709A" w:rsidP="0085709A">
      <w:pPr>
        <w:pStyle w:val="TextoNormal"/>
      </w:pPr>
    </w:p>
    <w:p w:rsidR="0085709A" w:rsidRDefault="0085709A" w:rsidP="0085709A">
      <w:pPr>
        <w:pStyle w:val="TextoNormal"/>
      </w:pPr>
      <w:r w:rsidRPr="0085709A">
        <w:rPr>
          <w:rStyle w:val="NumeroAFNegritaCaracter"/>
        </w:rPr>
        <w:t>4</w:t>
      </w:r>
      <w:r>
        <w:t>. Para valorar si en el presente caso concurre la excepcionalidad justificativa de la asunción de competencias ejecutivas por el Estado, hemos de atender tanto al contenido de los preceptos impugnados, dentro del marco jurídico en el que se insertan, como a los argumentos aportados por el Abogado del Estado para fundamentar tal excepcionalidad.</w:t>
      </w:r>
    </w:p>
    <w:p w:rsidR="0085709A" w:rsidRDefault="0085709A" w:rsidP="0085709A">
      <w:pPr>
        <w:pStyle w:val="TextoNormal"/>
      </w:pPr>
    </w:p>
    <w:p w:rsidR="0085709A" w:rsidRDefault="0085709A" w:rsidP="0085709A">
      <w:pPr>
        <w:pStyle w:val="TextoNormal"/>
      </w:pPr>
      <w:r>
        <w:t>a) En este proceso constitucional se cuestiona, en primer lugar, que se atribuya al Servicio Público de Empleo Estatal la función de autorizar la plataforma virtual de aprendizaje a través de la cual se desarrolla la teleformación (art. 10.5).</w:t>
      </w:r>
    </w:p>
    <w:p w:rsidR="0085709A" w:rsidRDefault="0085709A" w:rsidP="0085709A">
      <w:pPr>
        <w:pStyle w:val="TextoNormal"/>
      </w:pPr>
    </w:p>
    <w:p w:rsidR="0085709A" w:rsidRDefault="0085709A" w:rsidP="0085709A">
      <w:pPr>
        <w:pStyle w:val="TextoNormal"/>
      </w:pPr>
      <w:r>
        <w:t>Hay que tener presente que el art. 10 del Real Decreto 34/2008, en el que se inserta tal previsión, se refiere a las “modalidades de impartición de la formación referida a los certificados de profesionalidad”. Distingue entre la formación “presencial” y la “teleformación”, señalando que esta última es aquella en la que las acciones formativas se desarrollan (en su totalidad o en combinación con la presencial) “a través de las tecnologías de la información y comunicación, posibilitando la interactividad de alumnos, tutores formadores y recursos situados en distinto lugar” (art. 10.2). Además se exige que la teleformación, que contará con una organización y metodología apropiada a la modalidad, “deberá cumplir los requisitos de accesibilidad y diseño para todos establecidos por el Servicio de Empleo Público Estatal”, siendo complementada necesariamente por asistencia tutorial (art. 10.2). Habrá de garantizarse, asimismo, la consecución por el alumnado de los resultados de aprendizaje previstos (art. 10.3); sus módulos formativos han de efectuar la evaluación en los términos exigidos en ese Real Decreto, incluyendo obligatoriamente una prueba de final de carácter presencial (art. 10.6). Para tal evaluación no sólo se aplicarán las reglas generales previstas en el Real Decreto, sino las específicas previsiones dirigidas a la teleformación en su art. 14.7. En cualquier caso, corresponderá al Ministerio de Empleo y Seguridad Social la determinación de “las condiciones de impartición de los certificados de profesionalidad en las distintas modalidades con el fin de garantizar la calidad de impartición de los mismos” (art. 10.7).</w:t>
      </w:r>
    </w:p>
    <w:p w:rsidR="0085709A" w:rsidRDefault="0085709A" w:rsidP="0085709A">
      <w:pPr>
        <w:pStyle w:val="TextoNormal"/>
      </w:pPr>
    </w:p>
    <w:p w:rsidR="0085709A" w:rsidRDefault="0085709A" w:rsidP="0085709A">
      <w:pPr>
        <w:pStyle w:val="TextoNormal"/>
      </w:pPr>
      <w:r>
        <w:t xml:space="preserve">Este art. 10 ha de ponerse en relación con el art. 12 </w:t>
      </w:r>
      <w:r w:rsidRPr="0085709A">
        <w:rPr>
          <w:i/>
        </w:rPr>
        <w:t>bis</w:t>
      </w:r>
      <w:r>
        <w:t xml:space="preserve"> del mismo Real Decreto, que en su apartado 4 establece los requisitos que deben reunir los centros para su acreditación e impartición en la modalidad de teleformación; entre ellos destaca la exigencia de que dispongan de una “plataforma de aprendizaje de teleformación con capacidad suficiente para gestionar y garantizar la formación del alumnado, permitiendo la interactividad y el trabajo cooperativo, así como la disponibilidad de un servicio técnico de mantenimiento” (apartado c); se especifican los requisitos que debe poseer la referida plataforma (herramientas de gestión, niveles de fiabilidad, seguridad, e interactividad, y dispositivos de acceso).</w:t>
      </w:r>
    </w:p>
    <w:p w:rsidR="0085709A" w:rsidRDefault="0085709A" w:rsidP="0085709A">
      <w:pPr>
        <w:pStyle w:val="TextoNormal"/>
      </w:pPr>
    </w:p>
    <w:p w:rsidR="0085709A" w:rsidRDefault="0085709A" w:rsidP="0085709A">
      <w:pPr>
        <w:pStyle w:val="TextoNormal"/>
      </w:pPr>
      <w:r>
        <w:t>Finalmente, las condiciones en las que ha de impartirse la teleformación han sido posteriormente precisadas por la Orden ESS/1897/2013, de 10 de octubre, que desarrolla el Real Decreto 34/2008 y los dictados en su aplicación, que específicamente regula la plataforma virtual en su art. 15.</w:t>
      </w:r>
    </w:p>
    <w:p w:rsidR="0085709A" w:rsidRDefault="0085709A" w:rsidP="0085709A">
      <w:pPr>
        <w:pStyle w:val="TextoNormal"/>
      </w:pPr>
    </w:p>
    <w:p w:rsidR="0085709A" w:rsidRDefault="0085709A" w:rsidP="0085709A">
      <w:pPr>
        <w:pStyle w:val="TextoNormal"/>
      </w:pPr>
      <w:r>
        <w:lastRenderedPageBreak/>
        <w:t>En síntesis, se comprueba que la autorización de la plataforma virtual de aprendizaje a la que se refiere el art. 10.5 impugnado está sujeta al cumplimiento, no sólo de las condiciones impuestas por el Estado para la impartición de los certificados de profesionalidad en la modalidad de teleformación, sino de todos y cada uno de los requisitos a los que se ha hecho referencia, impuestos en ese mismo art. 10 y en el resto de los preceptos del Real Decreto y normas que lo desarrollan.</w:t>
      </w:r>
    </w:p>
    <w:p w:rsidR="0085709A" w:rsidRDefault="0085709A" w:rsidP="0085709A">
      <w:pPr>
        <w:pStyle w:val="TextoNormal"/>
      </w:pPr>
    </w:p>
    <w:p w:rsidR="0085709A" w:rsidRDefault="0085709A" w:rsidP="0085709A">
      <w:pPr>
        <w:pStyle w:val="TextoNormal"/>
      </w:pPr>
      <w:r>
        <w:t>En coincidencia con lo mantenido por la Generalitat de Cataluña, hay que concluir que nos encontramos con una actividad administrativa reglada en alto grado, al haber ejercido el Estado su competencia normativa plena sobre la materia. A la vista de la pormenorizada regulación descrita, la función de autorización discutida se ha de limitar a comprobar si la misma cumple con los requisitos establecidos por el Estado; está de este modo garantizada plenamente la unidad de acción y la homogeneidad en la concesión de las autorizaciones de las plataformas virtuales de aprendizaje, sin que sea preciso, por tanto, su atribución a un único titular. No concurre, por consiguiente, la excepcionalidad justificadora de la asunción por el Servicio Público de Empleo Estatal de las facultades ejecutivas autonómicas, en tanto que no resulta imprescindible la intervención estatal para garantizar la homogeneidad en este concreto aspecto de la actividad formativa examinada.</w:t>
      </w:r>
    </w:p>
    <w:p w:rsidR="0085709A" w:rsidRDefault="0085709A" w:rsidP="0085709A">
      <w:pPr>
        <w:pStyle w:val="TextoNormal"/>
      </w:pPr>
    </w:p>
    <w:p w:rsidR="0085709A" w:rsidRDefault="0085709A" w:rsidP="0085709A">
      <w:pPr>
        <w:pStyle w:val="TextoNormal"/>
      </w:pPr>
      <w:r>
        <w:t>Por lo demás, el hecho de que a las citadas plataformas virtuales objeto de autorización puedan acceder eventualmente usuarios de otras Comunidades Autónomas no ha de ser óbice para alcanzar la anterior conclusión; lo determinante, a los efectos de comprobar si se cumple o no con el principio de territorialidad de las competencias autonómicas, es el lugar en donde esté ubicada la empresa que ofrece la formación en esa concreta modalidad, esto es, el ámbito territorial donde radiquen sus instalaciones y todos los recursos necesarios para llevarla a cabo. La plataforma virtual constituye uno de los instrumentos necesarios en este caso para impartir la formación, pero no puede convertirse tal recurso telemático (debido a su eventual alcance) en el elemento determinante de la atribución competencial controvertida.</w:t>
      </w:r>
    </w:p>
    <w:p w:rsidR="0085709A" w:rsidRDefault="0085709A" w:rsidP="0085709A">
      <w:pPr>
        <w:pStyle w:val="TextoNormal"/>
      </w:pPr>
    </w:p>
    <w:p w:rsidR="0085709A" w:rsidRDefault="0085709A" w:rsidP="0085709A">
      <w:pPr>
        <w:pStyle w:val="TextoNormal"/>
      </w:pPr>
      <w:r>
        <w:t xml:space="preserve">b) En segundo lugar, se cuestiona el art. 12 </w:t>
      </w:r>
      <w:r w:rsidRPr="0085709A">
        <w:rPr>
          <w:i/>
        </w:rPr>
        <w:t>bis</w:t>
      </w:r>
      <w:r>
        <w:t>.4, que en su párrafo tercero atribuye también al Servicio Público de Empleo Estatal la “acreditación de los centros” que impartan la formación conducente a la obtención de un certificado de profesionalidad en la modalidad de teleformación.</w:t>
      </w:r>
    </w:p>
    <w:p w:rsidR="0085709A" w:rsidRDefault="0085709A" w:rsidP="0085709A">
      <w:pPr>
        <w:pStyle w:val="TextoNormal"/>
      </w:pPr>
    </w:p>
    <w:p w:rsidR="0085709A" w:rsidRDefault="0085709A" w:rsidP="0085709A">
      <w:pPr>
        <w:pStyle w:val="TextoNormal"/>
      </w:pPr>
      <w:r>
        <w:t xml:space="preserve">Mientras que, en principio, la acreditación de los centros que imparten la referida formación en su modalidad presencial corresponde a los servicios públicos de empleo competentes en el territorio en que radiquen (art. 12 </w:t>
      </w:r>
      <w:r w:rsidRPr="0085709A">
        <w:rPr>
          <w:i/>
        </w:rPr>
        <w:t>bis</w:t>
      </w:r>
      <w:r>
        <w:t>.3), cuando de teleformación se trata se atribuye esa competencia ejecutiva al Estado.</w:t>
      </w:r>
    </w:p>
    <w:p w:rsidR="0085709A" w:rsidRDefault="0085709A" w:rsidP="0085709A">
      <w:pPr>
        <w:pStyle w:val="TextoNormal"/>
      </w:pPr>
    </w:p>
    <w:p w:rsidR="0085709A" w:rsidRDefault="0085709A" w:rsidP="0085709A">
      <w:pPr>
        <w:pStyle w:val="TextoNormal"/>
      </w:pPr>
      <w:r>
        <w:t xml:space="preserve">No existe tampoco en este caso una justificación constitucionalmente válida para que se traslade al Estado una competencia ejecutiva autonómica pues, como se ha dicho antes con relación a las plataformas virtuales de aprendizaje, también en este supuesto el Estado ha ejercido su exclusiva competencia normativa en la materia. Ha convertido en reglada la función de acreditación de los centros que imparten teleformación, lo que garantiza una vez más la unidad de acción en el ejercicio de esta concreta función de acreditación de centros. En efecto, el art. 12 </w:t>
      </w:r>
      <w:r w:rsidRPr="0085709A">
        <w:rPr>
          <w:i/>
        </w:rPr>
        <w:t>bis</w:t>
      </w:r>
      <w:r>
        <w:t xml:space="preserve">.4, determina los requisitos que deben cumplir los centros para su acreditación e impartición en la modalidad de teleformación; exige que dispongan de un </w:t>
      </w:r>
      <w:r>
        <w:lastRenderedPageBreak/>
        <w:t>proyecto formativo, instalaciones y recursos, plataforma de aprendizaje, materiales y planificación, en los términos establecidos en sus apartados a), b), c), d) y e). Además de tales previsiones, la acreditación requerirá el cumplimiento de los requisitos recogidos en los arts. 10, 14, 15 y 16 de la Orden ESS/1897/2013, sobre tutores-formadores, proyecto formativo, plataforma virtual, materiales y soportes didácticos del curso; así como el de las exigencias a las que el art. 13 se refiere, relativas al sistema de gestión de calidad y requisitos de la solicitud de acreditación. Por consiguiente, tampoco en este caso existe justificación para el desplazamiento de la competencia autonómica de ejecución a favor del Estado, al no ser necesario que sea él el que ejerza la competencia ejecutiva para garantizar la homogeneidad.</w:t>
      </w:r>
    </w:p>
    <w:p w:rsidR="0085709A" w:rsidRDefault="0085709A" w:rsidP="0085709A">
      <w:pPr>
        <w:pStyle w:val="TextoNormal"/>
      </w:pPr>
    </w:p>
    <w:p w:rsidR="0085709A" w:rsidRDefault="0085709A" w:rsidP="0085709A">
      <w:pPr>
        <w:pStyle w:val="TextoNormal"/>
      </w:pPr>
      <w:r>
        <w:t>c) En tercer lugar, se impugna el art. 19.2, párrafo segundo, que atribuye al Servicio Público de Empleo Estatal la “autorización, la evaluación seguimiento y el control” de las acciones formativas impartidas en la modalidad de teleformación cuando, no siendo financiadas con fondos públicos, se desarrollan por empresas y centros de iniciativa privada. En este caso, la reserva de competencias ejecutivas al Estado es más amplia; no sólo se ciñe a la autorización o acreditación, como en los otros preceptos impugnados, sino que alcanza también a la “evaluación seguimiento y control” de las acciones formativas.</w:t>
      </w:r>
    </w:p>
    <w:p w:rsidR="0085709A" w:rsidRDefault="0085709A" w:rsidP="0085709A">
      <w:pPr>
        <w:pStyle w:val="TextoNormal"/>
      </w:pPr>
    </w:p>
    <w:p w:rsidR="0085709A" w:rsidRDefault="0085709A" w:rsidP="0085709A">
      <w:pPr>
        <w:pStyle w:val="TextoNormal"/>
      </w:pPr>
      <w:r>
        <w:t>Por los motivos que ya han sido reseñados, tampoco estas funciones ejecutivas pueden ser atribuidas al Estado sobre la base exclusivamente de la modalidad de formación utilizada (teleformación); el propio art. 19.1 detalla los requisitos que deben cumplir tal tipo de empresas para poder ofrecer y desarrollar esa modalidad de formación y el art. 22 de la Orden ESS/1987/2013 desarrolla los mecanismos de seguimiento y control a que se encuentran sujetas. En definitiva, las funciones de gestión se encuentran, una vez más, marcadamente regladas por el Estado y, al tratarse de una regulación lo suficientemente precisa y detallada, se evita el riesgo de una falta de homogeneidad en su aplicación.</w:t>
      </w:r>
    </w:p>
    <w:p w:rsidR="0085709A" w:rsidRDefault="0085709A" w:rsidP="0085709A">
      <w:pPr>
        <w:pStyle w:val="TextoNormal"/>
      </w:pPr>
    </w:p>
    <w:p w:rsidR="0085709A" w:rsidRDefault="0085709A" w:rsidP="0085709A">
      <w:pPr>
        <w:pStyle w:val="TextoNormal"/>
      </w:pPr>
      <w:r w:rsidRPr="0085709A">
        <w:rPr>
          <w:rStyle w:val="NumeroAFNegritaCaracter"/>
        </w:rPr>
        <w:t>5</w:t>
      </w:r>
      <w:r>
        <w:t>. De acuerdo con todo ello, debemos concluir que los preceptos impugnados, al atribuir al Servicio Público de Empleo Estatal competencias autonómicas de ejecución con relación a la formación conducente a la obtención de certificados de profesionalidad en su modalidad de teleformación, vulneran el orden constitucional y estatutario de distribución de competencias en la materia [arts. 149.1.7 CE y 170.1 b) EAC].</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 xml:space="preserve">Estimar el presente conflicto positivo de competencia y, en consecuencia, declarar que los arts. 10.5, 12 </w:t>
      </w:r>
      <w:r w:rsidRPr="0085709A">
        <w:rPr>
          <w:i/>
        </w:rPr>
        <w:t>bis</w:t>
      </w:r>
      <w:r>
        <w:t>.4, párrafo tercero, y 19.2, párrafo segundo, del Real Decreto 34/2008, de 18 de enero, por el que se regulan los certificados de profesionalidad (en la redacción dada por el Real Decreto 189/2013, de 15 de marzo), vulneran las competencias de la Generalitat de Cataluña.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lastRenderedPageBreak/>
        <w:t>Dada en Madrid, a dieciocho de marzo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5" w:name="SENTENCIA_2015_62"/>
      <w:r>
        <w:lastRenderedPageBreak/>
        <w:t>SENTENCIA 62/2015, de 13 de abril de 2015</w:t>
      </w:r>
    </w:p>
    <w:bookmarkEnd w:id="65"/>
    <w:p w:rsidR="0085709A" w:rsidRDefault="0085709A" w:rsidP="0085709A">
      <w:pPr>
        <w:pStyle w:val="TtuloResolucin"/>
      </w:pPr>
      <w:r>
        <w:t>Sala Primera</w:t>
      </w:r>
    </w:p>
    <w:p w:rsidR="0085709A" w:rsidRDefault="0085709A" w:rsidP="0085709A">
      <w:pPr>
        <w:pStyle w:val="TtuloBOE"/>
      </w:pPr>
      <w:r>
        <w:t>(BOE núm. 122, de 22 de mayo de 2015)</w:t>
      </w:r>
    </w:p>
    <w:p w:rsidR="0085709A" w:rsidRDefault="0085709A" w:rsidP="0085709A">
      <w:pPr>
        <w:pStyle w:val="TextoNormalCentrado"/>
      </w:pPr>
      <w:r>
        <w:t>ECLI:ES:TC:2015:62</w:t>
      </w:r>
    </w:p>
    <w:p w:rsidR="0085709A" w:rsidRDefault="0085709A" w:rsidP="0085709A">
      <w:pPr>
        <w:pStyle w:val="TextoNormalCentrado"/>
      </w:pPr>
    </w:p>
    <w:p w:rsidR="0085709A" w:rsidRDefault="0085709A" w:rsidP="0085709A">
      <w:pPr>
        <w:pStyle w:val="SntesisDescriptiva"/>
      </w:pPr>
      <w:r>
        <w:t>Cuestión de inconstitucionalidad 6069-2009. Planteada por la Sala de lo Contencioso-Administrativo de la Audiencia Nacional respecto de la disposición adicional cuadragésima octava de la Ley 2/2004, de 27 de diciembre, de presupuestos generales del Estado para 2005.</w:t>
      </w:r>
    </w:p>
    <w:p w:rsidR="0085709A" w:rsidRDefault="0085709A" w:rsidP="0085709A">
      <w:pPr>
        <w:pStyle w:val="SntesisDescriptiva"/>
      </w:pPr>
    </w:p>
    <w:p w:rsidR="0085709A" w:rsidRDefault="0085709A" w:rsidP="0085709A">
      <w:pPr>
        <w:pStyle w:val="SntesisAnaltica"/>
      </w:pPr>
      <w:r>
        <w:t>Límites materiales de las leyes de presupuestos: constitucionalidad del precepto legal que introduce el descuento sobre el volumen de ventas de productos farmacéuticos al Sistema Nacional de Salud (STC 44/2015).</w:t>
      </w:r>
    </w:p>
    <w:p w:rsidR="0085709A" w:rsidRDefault="0085709A" w:rsidP="0085709A">
      <w:pPr>
        <w:pStyle w:val="SntesisAnaltica"/>
      </w:pPr>
    </w:p>
    <w:p w:rsidR="0085709A" w:rsidRDefault="0085709A" w:rsidP="0085709A">
      <w:pPr>
        <w:pStyle w:val="Extracto"/>
      </w:pPr>
      <w:r>
        <w:t>1.</w:t>
      </w:r>
      <w:r>
        <w:tab/>
        <w:t>Aun cuando la disposición cuestionada introdujo en el ordenamiento, ex novo, una prestación patrimonial de carácter público, en la medida que no tenía naturaleza tributaria, no podía considerarse que hubiese transgredido la prohibición prevista en el apartado 7 del art. 134 CE en que se restringe el contenido de la Ley de presupuestos exclusivamente con relación a los tributos, pero sin que dicha restricción alcance a otras prestaciones patrimoniales coactivas que carezcan de naturaleza tributaria, pues aunque todas las deudas tributarias son prestaciones patrimoniales de carácter público, no todas las prestaciones patrimoniales (coactivas) tienen naturaleza tributaria (STC 44/2015) [FJ. 3].</w:t>
      </w:r>
    </w:p>
    <w:p w:rsidR="0085709A" w:rsidRDefault="0085709A" w:rsidP="0085709A">
      <w:pPr>
        <w:pStyle w:val="Extracto"/>
      </w:pPr>
    </w:p>
    <w:p w:rsidR="0085709A" w:rsidRDefault="0085709A" w:rsidP="0085709A">
      <w:pPr>
        <w:pStyle w:val="Extracto"/>
      </w:pPr>
      <w:r>
        <w:t>2.</w:t>
      </w:r>
      <w:r>
        <w:tab/>
        <w:t>Las prestaciones patrimoniales de carácter público objeto de cuestión consisten en una prestación pecuniaria de interés público -aplicada a la facturación al Sistema Nacional de Salud-, impuesta coactiva y unilateralmente por las Cortes Generales, que se satisface a un ente público -el Ministerio de Sanidad y Consumo-, sin la concurrencia de la voluntad del sujeto obligado a su pago -empresarios, grupos empresariales, fabricantes e importadores de medicamentos y sustancias medicinales-, cuyo supuesto de hecho -la dispensación de medicamentos a cargo al Sistema Nacional de Salud- no se realiza de forma libre por el sujeto obligado, pues es la ley la que obliga a dispensarlos [FJ 3 d)].</w:t>
      </w:r>
    </w:p>
    <w:p w:rsidR="0085709A" w:rsidRDefault="0085709A" w:rsidP="0085709A">
      <w:pPr>
        <w:pStyle w:val="Extracto"/>
      </w:pPr>
    </w:p>
    <w:p w:rsidR="0085709A" w:rsidRDefault="0085709A" w:rsidP="0085709A">
      <w:pPr>
        <w:pStyle w:val="Extracto"/>
      </w:pPr>
      <w:r>
        <w:t>3.</w:t>
      </w:r>
      <w:r>
        <w:tab/>
        <w:t>Aunque el descuento previsto en la disposición adicional controvertida tiene la naturaleza de prestación impuesta, sin embargo, carece de naturaleza tributaria, pues su finalidad principal no es la de establecer un tributo, esto es, una nueva forma de ingreso público con la que coadyuvar a la financiación de gasto del gasto público, sino que pretende efectuar una asignación de los recursos públicos que responda a los criterios de eficiencia y de economía (art. 31.2 CE) [FJ 3 e)].</w:t>
      </w:r>
    </w:p>
    <w:p w:rsidR="0085709A" w:rsidRDefault="0085709A" w:rsidP="0085709A">
      <w:pPr>
        <w:pStyle w:val="Extracto"/>
      </w:pPr>
    </w:p>
    <w:p w:rsidR="0085709A" w:rsidRDefault="0085709A" w:rsidP="0085709A">
      <w:pPr>
        <w:pStyle w:val="Extracto"/>
      </w:pPr>
      <w:r>
        <w:t>4.</w:t>
      </w:r>
      <w:r>
        <w:tab/>
        <w:t>Aunque la Constitución autoriza el establecimiento de prestaciones patrimoniales de carácter público con arreglo a la ley (art. 31.3 CE), cuando se trata de prestaciones patrimoniales de naturaleza tributaria condiciona los instrumentos normativos a través de los que se puede cumplir con aquella previsión [FJ 3 a)].</w:t>
      </w:r>
    </w:p>
    <w:p w:rsidR="0085709A" w:rsidRDefault="0085709A" w:rsidP="0085709A">
      <w:pPr>
        <w:pStyle w:val="Extracto"/>
      </w:pPr>
    </w:p>
    <w:p w:rsidR="0085709A" w:rsidRDefault="0085709A" w:rsidP="0085709A">
      <w:pPr>
        <w:pStyle w:val="Extracto"/>
      </w:pPr>
      <w:r>
        <w:lastRenderedPageBreak/>
        <w:t>5.</w:t>
      </w:r>
      <w:r>
        <w:tab/>
        <w:t>La reserva de ley tributaria (arts. 31.3 y 133.1, ambos de la Constitución) se ve reforzada por la prohibición atinente a la Ley de presupuestos de no crear o modificar tributos (art. 134.7 CE), que deriva no sólo del condicionamiento a que somete el art. 134 CE a los presupuestos generales como vehículo de dirección y orientación de la política económica del Gobierno y, por tanto, con una función específica y constitucionalmente definida, sino también de las restricciones impuestas a su tramitación parlamentaria (fundamentalmente en los trámites de enmienda y debate) por los Reglamentos de las Cámaras (STC 44/2015) [FJ 3 a)].</w:t>
      </w:r>
    </w:p>
    <w:p w:rsidR="0085709A" w:rsidRDefault="0085709A" w:rsidP="0085709A">
      <w:pPr>
        <w:pStyle w:val="Extracto"/>
      </w:pPr>
    </w:p>
    <w:p w:rsidR="0085709A" w:rsidRDefault="0085709A" w:rsidP="0085709A">
      <w:pPr>
        <w:pStyle w:val="Extracto"/>
      </w:pPr>
      <w:r>
        <w:t>6.</w:t>
      </w:r>
      <w:r>
        <w:tab/>
        <w:t>En la medida que no puede efectuarse una lectura expansiva de los límites que la Constitución impone a la Ley de presupuestos, cuando el art. 134.7 CE prohíbe a la Ley de presupuestos ‘crear tributos’ está poniendo en conexión esta limitación con el deber de contribuir al que hace referencia el art. 31.1 CE y con la potestad originaria del Estado para crear tributos por ley del art. 133.1 CE, sin que dicha prohibición pueda extenderse a cualquier ‘prestación patrimonial de carácter público’ a que se refiere el art. 31.3 CE [FJ 3 b)].</w:t>
      </w:r>
    </w:p>
    <w:p w:rsidR="0085709A" w:rsidRDefault="0085709A" w:rsidP="0085709A">
      <w:pPr>
        <w:pStyle w:val="Extracto"/>
      </w:pPr>
    </w:p>
    <w:p w:rsidR="0085709A" w:rsidRDefault="0085709A" w:rsidP="0085709A">
      <w:pPr>
        <w:pStyle w:val="Extracto"/>
      </w:pPr>
      <w:r>
        <w:t>7.</w:t>
      </w:r>
      <w:r>
        <w:tab/>
        <w:t>Son prestaciones patrimoniales de carácter público las impuestas coactivamente, esto es, las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(STC 44/2015) [FJ 3 c)].</w:t>
      </w:r>
    </w:p>
    <w:p w:rsidR="0085709A" w:rsidRDefault="0085709A" w:rsidP="0085709A">
      <w:pPr>
        <w:pStyle w:val="Extracto"/>
      </w:pPr>
    </w:p>
    <w:p w:rsidR="0085709A" w:rsidRDefault="0085709A" w:rsidP="0085709A">
      <w:pPr>
        <w:pStyle w:val="Extracto"/>
      </w:pPr>
      <w:r>
        <w:t>8.</w:t>
      </w:r>
      <w:r>
        <w:tab/>
        <w:t>Para determinar cuándo puede considerarse que una prestación patrimonial resulta coactivamente impuesta, es necesario concretar, en primer lugar, si el supuesto de hecho que da lugar a la obligación ha sido o no realizado de forma libre y espontánea por el sujeto obligado, y, en segundo lugar, si la libertad o la espontaneidad exigida en la realización del supuesto de hecho y en la decisión de obligarse es real y efectiva [FJ 3 c)].</w:t>
      </w:r>
    </w:p>
    <w:p w:rsidR="0085709A" w:rsidRDefault="0085709A" w:rsidP="0085709A">
      <w:pPr>
        <w:pStyle w:val="Extracto"/>
      </w:pPr>
    </w:p>
    <w:p w:rsidR="0085709A" w:rsidRDefault="0085709A" w:rsidP="0085709A">
      <w:pPr>
        <w:pStyle w:val="Extracto"/>
      </w:pPr>
      <w:r>
        <w:t>9.</w:t>
      </w:r>
      <w:r>
        <w:tab/>
        <w:t>Para concretar cuándo una prestación patrimonial impuesta tiene a su vez naturaleza tributaria habrá que comprobar si se satisface, directa o indirectamente, a los entes públicos con la finalidad de contribuir al sostenimiento de los gastos públicos, sometiendo a gravamen un presupuesto de hecho o hecho imponible revelador de capacidad económica (STC 44/2015) [FJ 3 c)].</w:t>
      </w:r>
    </w:p>
    <w:p w:rsidR="0085709A" w:rsidRDefault="0085709A" w:rsidP="0085709A">
      <w:pPr>
        <w:pStyle w:val="Extracto"/>
      </w:pPr>
    </w:p>
    <w:p w:rsidR="0085709A" w:rsidRDefault="0085709A" w:rsidP="0085709A">
      <w:pPr>
        <w:pStyle w:val="Extracto"/>
      </w:pPr>
      <w:r>
        <w:t>10.</w:t>
      </w:r>
      <w:r>
        <w:tab/>
        <w:t>Las personas físicas, jurídicas y grupos empresariales fabricantes o importadores de medicamentos o sustancias medicinales, en tanto que garantes de la protección de la salud pública (arts. 43.2 y 51.1, CE), así como las oficinas de farmacia, en su condición de establecimientos sanitarios privados de interés público,  pueden ser obligadas por el Estado, en el ejercicio de sus competencias exclusivas sobre productos farmacéuticos (art. 149.1.16 CE), a abastecer, suministrar y dispensar, a través del Sistema Nacional de Salud, los medicamentos, sustancias medicinales y productos necesarios para proteger la salud pública y la atención primaria a la salud de los ciudadanos [FJ 3].</w:t>
      </w:r>
    </w:p>
    <w:p w:rsidR="0085709A" w:rsidRDefault="0085709A" w:rsidP="0085709A">
      <w:pPr>
        <w:pStyle w:val="Extracto"/>
      </w:pPr>
    </w:p>
    <w:p w:rsidR="0085709A" w:rsidRDefault="0085709A" w:rsidP="0085709A">
      <w:pPr>
        <w:pStyle w:val="Extracto"/>
      </w:pPr>
      <w:r>
        <w:lastRenderedPageBreak/>
        <w:t>11.</w:t>
      </w:r>
      <w:r>
        <w:tab/>
        <w:t>El Estado que puede actuar tanto sobre el precio de los medicamentos como sobre el coste que para Sistema Nacional de Salud tienen los medicamentos, para imponer, incluso, un descuento (rappel) en función del volumen de ventas, por el consiguiente interés público que subyace a la prestación farmacéutica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6069-2009 promovida por la Sección Cuarta de la Sala de lo Contencioso-Administrativo de la Audiencia Nacional respecto de la disposición adicional cuadragésima octava de la Ley 2/2004, de 24 de diciembre, de Presupuestos Generales del Estado para 2005, por posible vulneración del art. 134.7 de la Constitución. Han intervenido y formulado alegaciones el Abogado del Estado, en la representación que ostenta, el Fiscal General del Estado y la representación procesal de la entidad “Roche Farma, S.A.”.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30 de junio de 2009 tuvo entrada en el Registro General del Tribunal Constitucional un escrito de la Sección Cuarta de la Sala de lo Contencioso-Administrativo de la Audiencia Nacional al que se acompaña, junto al testimonio del correspondiente procedimiento, el Auto de 15 de junio de 2009 por el que se acordaba plantear una cuestión de inconstitucionalidad en relación con la disposición adicional cuadragésima octava de la Ley 2/2004, de 27 de diciembre, de presupuestos generales del Estado para 2005, por la que se introducía una nueva disposición adicional novena en la Ley 25/1990, de 20 de diciembre, del medicamento, relativa a los “ingresos de los empresarios, grupos empresariales, fabricantes e importadores de medicamentos y sustancias medicinales por descuentos por volumen de ventas al Sistema Nacional de Salud”, por su posible contradicción con el art. 134.7 de la Constitución Española (en adelante,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t xml:space="preserve">a) La entidad Roche Farma, S.A., interpuso un recurso contencioso-administrativo ante el Tribunal Superior de Justicia de Madrid contra la resolución de la Ministra de Sanidad y </w:t>
      </w:r>
      <w:r>
        <w:lastRenderedPageBreak/>
        <w:t>Consumo de fecha 8 de febrero de 2007, estimatoria parcialmente (en el sentido de ordenar la aplicación de la minoración correspondiente a la calificación PROFARMA) del recurso de alzada interpuesto por dicha entidad contra la resolución de la Dirección General de Farmacia y Productos Sanitarios de fecha 1 de junio de 2006, sobre regularización de ingresos efectuados en el ejercicio 2005, de conformidad con lo establecido en la disposición adicional novena de la Ley 25/1990, en la redacción que le dio la Ley 2/2004. Esta disposición regulaba un ingreso cuatrimestral que resultaba de aplicar un determinado porcentaje sobre el volumen cuatrimestral de ventas de medicamentos y sustancias medicinales al Sistema nacional de salud.</w:t>
      </w:r>
    </w:p>
    <w:p w:rsidR="0085709A" w:rsidRDefault="0085709A" w:rsidP="0085709A">
      <w:pPr>
        <w:pStyle w:val="TextoNormal"/>
      </w:pPr>
    </w:p>
    <w:p w:rsidR="0085709A" w:rsidRDefault="0085709A" w:rsidP="0085709A">
      <w:pPr>
        <w:pStyle w:val="TextoNormal"/>
      </w:pPr>
      <w:r>
        <w:t>b) Por Auto con fecha de 10 de septiembre de 2007 (procedimiento núm. 422-2007), la Sección Octava de la Sala de lo Contencioso-Administrativo del Tribunal Superior de Justicia de Madrid acordó declararse objetivamente incompetente para conocer del recurso, remitiendo las actuaciones a la Sala de lo Contencioso-Administrativo de la Audiencia Nacional, que aceptó la competencia (procedimiento núm. 385-2007).</w:t>
      </w:r>
    </w:p>
    <w:p w:rsidR="0085709A" w:rsidRDefault="0085709A" w:rsidP="0085709A">
      <w:pPr>
        <w:pStyle w:val="TextoNormal"/>
      </w:pPr>
    </w:p>
    <w:p w:rsidR="0085709A" w:rsidRDefault="0085709A" w:rsidP="0085709A">
      <w:pPr>
        <w:pStyle w:val="TextoNormal"/>
      </w:pPr>
      <w:r>
        <w:t>c) En su escrito de recurso la entidad Roche Farma, S.A., defendía que aquella disposición adicional novena de la Ley 2/2004 era inconstitucional, al considerar que el ingreso en ella establecido constituía un auténtico tributo que, por haber sido establecido mediante una Ley de presupuestos generales del Estado, resultaba contrario a la prohibición prevista en el art. 134.7 CE, además de vulnerar los principios de capacidad económica y no confiscatoriedad protegidos por el art. 31.1 CE, y el principio de igualdad garantizado por el art. 14 CE.</w:t>
      </w:r>
    </w:p>
    <w:p w:rsidR="0085709A" w:rsidRDefault="0085709A" w:rsidP="0085709A">
      <w:pPr>
        <w:pStyle w:val="TextoNormal"/>
      </w:pPr>
    </w:p>
    <w:p w:rsidR="0085709A" w:rsidRDefault="0085709A" w:rsidP="0085709A">
      <w:pPr>
        <w:pStyle w:val="TextoNormal"/>
      </w:pPr>
      <w:r>
        <w:t>d) Concluso el recurso, y señalado por providencia con fecha de 2 de enero de 2009 para votación y fallo el día 25 de febrero siguiente, por providencia del mismo día 25 de febrero de 2009, y de conformidad con el art. 35.2 de la Ley Orgánica del Tribunal Constitucional (en adelante, LOTC), la Sección acordó oír a las partes y al Ministerio Fiscal para que alegasen lo que considerasen oportuno sobre la pertinencia de plantear una cuestión de inconstitucionalidad con relación a la disposición adicional novena de la Ley 25/1990, de 20 de diciembre, de medicamento, en la redacción dada por la Ley 2/2004, de 27 de diciembre, de presupuestos generales del Estado para 2005, por posible vulneración del art. 134.7 de la Constitución.</w:t>
      </w:r>
    </w:p>
    <w:p w:rsidR="0085709A" w:rsidRDefault="0085709A" w:rsidP="0085709A">
      <w:pPr>
        <w:pStyle w:val="TextoNormal"/>
      </w:pPr>
    </w:p>
    <w:p w:rsidR="0085709A" w:rsidRDefault="0085709A" w:rsidP="0085709A">
      <w:pPr>
        <w:pStyle w:val="TextoNormal"/>
      </w:pPr>
      <w:r>
        <w:t>e) Evacuado el trámite de alegaciones conferido, tanto la representación procesal de la parte actora como el Ministerio Fiscal interesaron el planteamiento de la cuestión de inconstitucionalidad, al considerar ambos que la disposición adicional controvertida instituía un nuevo tributo por Ley de presupuestos cuando el art. 134.7 CE prohíbe a esta norma legal crear tributos. El Abogado del Estado, por su parte, consideró improcedente el planteamiento de la cuestión, no sólo por ser innecesario al estar pendiente un recurso de inconstitucionalidad (núm. 38-2005) sobre diferentes preceptos de la Ley 2/2004, de 27 de diciembre (y entre ellos, la disposición adicional cuadragésima octava que introducía la disposición adicional novena en la Ley 25/1990), sino también por considerar constitucional la disposición controvertida pues, a su juicio, no podía considerarse como un tributo por tratarse de un mero descuento sobre el volumen de ventas.</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En el Auto de planteamiento de la cuestión de inconstitucionalidad el órgano judicial proponente, tras precisar los antecedentes de hecho en el planteamiento de la cuestión y </w:t>
      </w:r>
      <w:r>
        <w:lastRenderedPageBreak/>
        <w:t>delimitar el contenido de precepto cuestionado, realiza, en síntesis, las consideraciones que a continuación se extractan:</w:t>
      </w:r>
    </w:p>
    <w:p w:rsidR="0085709A" w:rsidRDefault="0085709A" w:rsidP="0085709A">
      <w:pPr>
        <w:pStyle w:val="TextoNormal"/>
      </w:pPr>
    </w:p>
    <w:p w:rsidR="0085709A" w:rsidRDefault="0085709A" w:rsidP="0085709A">
      <w:pPr>
        <w:pStyle w:val="TextoNormal"/>
      </w:pPr>
      <w:r>
        <w:t xml:space="preserve">a) Arranca el Auto de planteamiento concretando las razones por las que la resolución administrativa impugnada en el proceso </w:t>
      </w:r>
      <w:r w:rsidRPr="0085709A">
        <w:rPr>
          <w:i/>
        </w:rPr>
        <w:t>a quo</w:t>
      </w:r>
      <w:r>
        <w:t xml:space="preserve"> rechazaba la consideración de los ingresos previstos en la disposición controvertida como tributos. Concretamente, porque el establecimiento de un “descuento por volumen de ventas” de los fabricantes o importadores de medicamentos del Sistema Nacional de Salud no pretendía sino regular el precio del medicamento a través de un mecanismo indirecto, tratándose de verdaderos rappels en los que el Estado actúa como un cliente —principal cliente— que exige un descuento por el volumen de ventas a las industrias proveedoras, y sin que aquellas personas y entidades que no suministrasen medicamentos al Servicio Nacional de Salud tuviesen que satisfacer ingreso alguno. Desde esta postura, añade el Auto, no se podía considerar aquel descuento como un impuesto sobre las ventas, ni por tanto podía calificarse como una prestación patrimonial de carácter público, ni como un tributo, pues el descuento no se hallaría ligado a la capacidad económica de los proveedores al no actuar sobre sus ventas o beneficios totales, sino únicamente sobre la partida correspondiente a las dispensadas en virtud de receta con cargo a los fondos del Estado para, de esta forma, fijar su precio. En consecuencia, el descuento no afectaría a la capacidad económica pues sería exclusivamente una forma de regular un precio. Además, añade, carecería del carácter general propio de cada tributo, pues no afectaría a todos los fabricantes o importadores de medicamentos o sustancias medicinales, sino sólo a aquéllos que venden al Sistema Nacional de Salud. En fin, le faltaría igualmente la obligatoriedad que concurre en todo tributo al no ser exigible a todas las personas y entidades, sino sólo y exclusivamente a aquellas que voluntariamente decidiesen dispensar sus productos a través del Sistema Nacional de Salud.</w:t>
      </w:r>
    </w:p>
    <w:p w:rsidR="0085709A" w:rsidRDefault="0085709A" w:rsidP="0085709A">
      <w:pPr>
        <w:pStyle w:val="TextoNormal"/>
      </w:pPr>
    </w:p>
    <w:p w:rsidR="0085709A" w:rsidRDefault="0085709A" w:rsidP="0085709A">
      <w:pPr>
        <w:pStyle w:val="TextoNormal"/>
      </w:pPr>
      <w:r>
        <w:t xml:space="preserve">b) A continuación precisa el Auto de planteamiento las razones por las que la parte recurrente consideraba que la disposición controvertida establecía un verdadero tributo y no una simple medida de control de precios. Señala a este respecto que para la actora nos encontraríamos ante un ingreso público, al tratarse del pago de unas cantidades de dinero al Estado, afectadas, en un 50 por 100, al desarrollo de una política de cohesión sanitaria y otros fines, y el otro 50 por 100, a fines de investigación del Instituto de Salud Carlos III. Se trataría, además, de una prestación pecuniaria exigida mediante liquidación notificada por una Administración pública (el Ministerio de Sanidad y Consumo), cuyo devengo se produciría por la realización del supuesto de hecho (hecho imponible) al que la Ley vincula el deber de contribuir (las ventas a través de receta oficial al Sistema Nacional de Salud por las personas físicas o jurídicas que se dediquen a la fabricación o importación de medicamentos, sustancias medicinales o cualesquiera otros productos sanitarios) y cuyo fin último sería la obtención de los ingresos necesarios para el sostenimiento de los gastos públicos (concretados en el desarrollo de la política de cohesión sanitaria, en el desarrollo de programas de formación de educación sanitaria de la población para favorecer el uso racional o responsable del medicamento y en la investigación). No se trataría, pues, de una medida de control de los precios de los medicamentos, al no afectar al precio en sí, tratándose de un impuesto sobre el volumen de ventas realizadas al sistema público de salud por parte de las compañías farmacéuticas. En fin, añade el Auto de planteamiento, para la actora el hecho de que los descuentos no estuviesen ligados —según defiende la Administración demandada— a la capacidad económica, no impediría que se tratase de un tributo, sino que, simplemente, se trataría de un tributo ajeno al principio de capacidad económica; igualmente, el hecho de que no afecte </w:t>
      </w:r>
      <w:r>
        <w:lastRenderedPageBreak/>
        <w:t>a todos los fabricantes o importadores no sería determinante de su condición de tributo; y la pretendida falta de obligatoriedad basada en que se puede renunciar a suministrar medicamentos al Sistema Nacional de Salud, es irreal porque sería tanto como renunciar a desarrollar la actividad en la medida que el Estado es el principal demandante de medicamentos.</w:t>
      </w:r>
    </w:p>
    <w:p w:rsidR="0085709A" w:rsidRDefault="0085709A" w:rsidP="0085709A">
      <w:pPr>
        <w:pStyle w:val="TextoNormal"/>
      </w:pPr>
    </w:p>
    <w:p w:rsidR="0085709A" w:rsidRDefault="0085709A" w:rsidP="0085709A">
      <w:pPr>
        <w:pStyle w:val="TextoNormal"/>
      </w:pPr>
      <w:r>
        <w:t xml:space="preserve">c) Una vez delimitadas las posturas de la Administración demandada y de la parte demandante, señala el órgano judicial, antes de nada, que de la validez constitucional de la disposición adicional cuestionada depende la decisión a adoptar en el proceso, pues si aquella es inconstitucional, también lo será la liquidación impugnada, y si no lo es, no podrá imputársele defecto alguno de legalidad. Hecha esta precisión, pasa a concretar las razones por las que considera que la disposición adicional cuestionada vulnera el art. 134.7 CE, que prohíbe la creación de tributos mediante la Ley de presupuestos. Así, tras precisar el contenido tal disposición, precisa que, a su juicio, el ingreso previsto en ella no puede considerarse como una medida de intervención en los precios de los medicamentos, ni como un </w:t>
      </w:r>
      <w:r w:rsidRPr="0085709A">
        <w:rPr>
          <w:i/>
        </w:rPr>
        <w:t>rappel</w:t>
      </w:r>
      <w:r>
        <w:t xml:space="preserve"> o descuento sobre el volumen de ventas, pues participa de la naturaleza tributaria de las prestaciones patrimoniales de carácter público del art. 31.3 CE y, en particular, de las exacciones parafiscales, al reunir las características propias de este tipo de prestaciones, cuales son, como apunta, entre otras, la Sentencia del Tribunal Supremo de fecha 13 de julio de 2007 (recurso de casación núm. 86-2005), la coactividad, la extrapresupuestariedad y la afectación.</w:t>
      </w:r>
    </w:p>
    <w:p w:rsidR="0085709A" w:rsidRDefault="0085709A" w:rsidP="0085709A">
      <w:pPr>
        <w:pStyle w:val="TextoNormal"/>
      </w:pPr>
    </w:p>
    <w:p w:rsidR="0085709A" w:rsidRDefault="0085709A" w:rsidP="0085709A">
      <w:pPr>
        <w:pStyle w:val="TextoNormal"/>
      </w:pPr>
      <w:r>
        <w:t xml:space="preserve">Para el órgano judicial concurren los requisitos para atribuirle la expresada naturaleza tributaria (en el sentido definido por el Tribunal Constitucional en las SSTC 182/1997 y 63/2003), en la medida que se trata de una prestación patrimonial coactiva que se satisface, directa o indirectamente, a los entes públicos con la finalidad de contribuir al sostenimiento de los gastos público. De esta manera, con independencia de la calificación formal que le otorga la ley (STC 233/1999, FJ 18), el “ingreso por descuento sobre el volumen de ventas al Sistema Nacional de Salud” reviste la naturaleza de una prestación patrimonial de carácter público de naturaleza tributaria, en primer lugar, porque establece un hecho imponible como es “la fabricación o importación de medicamentos, sustancias medicinales y cualesquiera otros productos sanitarios que se dispensen en territorio nacional a través de receta oficial del Sistema Nacional de Salud”; en segundo lugar, porque configura como obligados tributarios (sujetos pasivos) a “[l]as personas físicas, los grupos empresariales y las personas jurídicas no integradas en ellos que se dediquen en España a la fabricación o importación de medicamentos, sustancias medicinales y cualesquiera otros productos sanitarios que se dispensen en territorio nacional a través de receta oficial del Sistema Nacional de Salud”; en tercer lugar, porque se determina una cuota mediante la aplicación a la base imponible (volumen cuatrimestral de ventas) de unos porcentajes sobre los tramos que se contempla en la escala que establece; en cuarto lugar, porque se establece el deber de los obligados al pago de realizar el ingreso cuatrimestralmente, practicándose la regularización por el Ministerio de Sanidad en el primer plazo del ejercicio siguiente mediante la comunicación de la cantidad a ingresar a cada fabricante e importador afectado; y, en quinto lugar, porque se articula un ingreso de carácter extrapresupuestario que no tiene reflejo en la Ley de presupuestos, pues no se encuentra incluido en la totalidad de ingresos y gastos del sector público estatal, y que se encuentra afecto a unos fines concretos como son la investigación en el ámbito de la biomedicina, el desarrollo de una política de cohesión sanitaria, el desarrollo </w:t>
      </w:r>
      <w:r>
        <w:lastRenderedPageBreak/>
        <w:t>de programas de formación para facultativos médicos y el desarrollo de programas de educación sanitaria de la población para favorecer el uso racional o responsable de medicamentos.</w:t>
      </w:r>
    </w:p>
    <w:p w:rsidR="0085709A" w:rsidRDefault="0085709A" w:rsidP="0085709A">
      <w:pPr>
        <w:pStyle w:val="TextoNormal"/>
      </w:pPr>
    </w:p>
    <w:p w:rsidR="0085709A" w:rsidRDefault="0085709A" w:rsidP="0085709A">
      <w:pPr>
        <w:pStyle w:val="TextoNormal"/>
      </w:pPr>
      <w:r>
        <w:t xml:space="preserve">Conforme a lo expuesto, considera la Sala que, con independencia de la denominación que se le otorgue, el ingreso regulado en la disposición adicional cuadragésima octava de la Ley 2/2004 tiene naturaleza tributaria, lo que implica que tanto su creación </w:t>
      </w:r>
      <w:r w:rsidRPr="0085709A">
        <w:rPr>
          <w:i/>
        </w:rPr>
        <w:t>ex novo</w:t>
      </w:r>
      <w:r>
        <w:t>, como la determinación de sus elementos esenciales o configuradores, debe efectuarse por ley, pero no la de presupuestos generales del Estado, so pena de incurrir en la prohibición prevista en el art. 134.7 CE.</w:t>
      </w:r>
    </w:p>
    <w:p w:rsidR="0085709A" w:rsidRDefault="0085709A" w:rsidP="0085709A">
      <w:pPr>
        <w:pStyle w:val="TextoNormal"/>
      </w:pPr>
    </w:p>
    <w:p w:rsidR="0085709A" w:rsidRDefault="0085709A" w:rsidP="0085709A">
      <w:pPr>
        <w:pStyle w:val="TextoNormal"/>
      </w:pPr>
      <w:r>
        <w:t xml:space="preserve">No desdice la anterior conclusión, a juicio de la Sala, ninguna de las razones esgrimidas por la Administración demandada para negar la naturaleza tributaria del controvertido ingreso, por los siguiente motivos: 1º) Porque no puede calificarse como un “descuento sobre el volumen de ventas” o </w:t>
      </w:r>
      <w:r w:rsidRPr="0085709A">
        <w:rPr>
          <w:i/>
        </w:rPr>
        <w:t>rappel</w:t>
      </w:r>
      <w:r>
        <w:t xml:space="preserve"> sobre la facturación de las empresas proveedoras de medicamentos al Servicio Nacional de Salud, dado el carácter voluntario de esta figura —propia de la contratación privada—, que no concurre en relación con el ingreso controvertido, pues todos los fabricantes e importadores de medicamentos, sustancias medicinales y productos sanitarios que se dispensen a través de receta oficial del Sistema Nacional de Salud vienen obligados a efectuarlo y no pueden convenir con la Administración ni su aplicación ni su importe. 2º) Porque el “descuento” no se aplica a los proveedores, sino a los “fabricantes e importadores”, pudiendo reducirse su importe en función de la valoración de la compañía en el marco de la acción PROFARMA, lo que no guarda ninguna relación con el mecanismo de los </w:t>
      </w:r>
      <w:r w:rsidRPr="0085709A">
        <w:rPr>
          <w:i/>
        </w:rPr>
        <w:t>rappels</w:t>
      </w:r>
      <w:r>
        <w:t xml:space="preserve"> o “descuentos sobre el volumen de ventas”. 3º) Porque no se trata de una medida que pueda considerarse encuadrada en la potestad estatal de regulación de los precios de los medicamentos, puesto que no se justifica en qué medida su aplicación afecta a la fijación del precio del medicamento, en los términos en que dicha potestad aparece regulada en el art. 1 de la Ley 25/1990, del medicamento (precepto que establece la forma de fijación del precio inicial). 4º) Porque no es cierto que para determinar la cuantía del ingreso “se consideren los precios de venta con IVA”, pues la disposición adicional novena parte del precio de venta del laboratorio, esto es, del precio sin incluir el impuesto sobre el valor añadido (IVA). 5º) Porque el hecho de que solo se aplique a los fabricantes o importadores cuyos productos se dispensen mediante receta oficial con cargo al Sistema Nacional de Salud y no a todos los fabricantes o importadores de medicamentos, no le hace perder su condición de tributo, pues una característica común a todos los tributos es la de que solo se aplican a aquellos que realizan un determinado hecho imponible, sin que ello afecte al carácter de generalidad o a la obligatoriedad del mismo. 6º) Porque no es cierto que todas las personas o entidades afectadas por esta disposición puedan elegir voluntariamente dispensar sus productos a través del Sistema Nacional de Salud, habida cuenta que el art. 3 de la Ley del medicamento impone a los laboratorios e importadores (entre otras entidades y estructuras sanitarias) tanto la obligación de suministrar los medicamentos que se les soliciten (en las condiciones legal y reglamentariamente establecidas), como la continuidad en la prestación del servicio de suministro. 7º) Porque el ingreso controvertido tiene una naturaleza diferente a la de los márgenes comerciales resultantes de la dispensación de medicamentos regulados en el Real Decreto 165/1997 y en el Real Decreto-ley 5/2000, pues mientras en estos el margen comercial de venta se establece sobre el precio de venta al público incrementado en el impuesto sobre el valor añadido (operando como una deducción sobre la facturación mensual de cada oficina de farmacia por recetas de especialidades farmacéuticas </w:t>
      </w:r>
      <w:r>
        <w:lastRenderedPageBreak/>
        <w:t>dispensadas con cargo a fondos de la Seguridad Social o a fondos estatales afectos a la sanidad), en el ingreso por descuento sobre el volumen de ventas se establece sobre el precio de venta de laboratorio, sin incluir el IVA (operando como un ingreso cuatrimestral sobre las ventas, posteriormente regularizado por la Administración).</w:t>
      </w:r>
    </w:p>
    <w:p w:rsidR="0085709A" w:rsidRDefault="0085709A" w:rsidP="0085709A">
      <w:pPr>
        <w:pStyle w:val="TextoNormal"/>
      </w:pPr>
    </w:p>
    <w:p w:rsidR="0085709A" w:rsidRDefault="0085709A" w:rsidP="0085709A">
      <w:pPr>
        <w:pStyle w:val="TextoNormal"/>
      </w:pPr>
      <w:r>
        <w:t>Concluye el precisando, de un lado, que sobre esa misma disposición adicional cuadragésima octava de la Ley 2/2004, de 27 de diciembre, de presupuestos generales del Estado para 2005, pende un recurso de inconstitucionalidad (núm. 1955-2005); y, de otro, que aun cuando la Ley 29/2006, de 26 de julio, de garantías y uso racional de los medicamentos y productos sanitarios, ha derogado la Ley 25/1990, de 20 de diciembre, del medicamento, estableciendo en su lugar —en su disposición adicional sexta, bajo la rúbrica “Aportaciones por volumen de ventas al Sistema Nacional de Salud”— un ingreso análogo al cuestionado, ello no afecta al objeto de la presente cuestión de inconstitucionalidad, puesto que la disposición controvertida resulta aplicable en el proceso contencioso-administrativo del que deriva la presente cuestión.</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25 de febrero de 2010, el Pleno, a propuesta de la Sección Segunda de este Tribunal, acordó admitir a trámite la presente cuestión de inconstitucionalidad y, de conformidad con lo dispuesto en el art. 10.1 c) LOTC, deferir su conocimiento a la Sala Primera, a la que por turno objetivo le correspondía. Asimismo, acordaba dar traslado de las actuaciones recibidas, de conformidad con el art. 37.2 LOTC, al Congreso de los Diputados y al Senado, por conducto de sus Presidentes, y al Gobierno, al objeto de que en el plazo de quince días, pudieran personarse en el proceso y formular las alegaciones que estimasen convenientes. En la misma resolución se acordó publicar la incoación de la cuestión en el “Boletín Oficial del Estado” (BOE), lo que se llevó a efecto en el “BOE” núm. 63 de 13 de marzo de 2010.</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que tuvo entrada en el Registro General de este Tribunal el día 12 de marzo de 2010, el Presidente del Congreso de los Diputados comunicó la decisión de la Mesa de la Cámara de personarse en el procedimiento, ofreciendo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registrado en este Tribunal el día 16 de marzo de 2010, la Procuradora doña María Luisa Sánchez Quero, en nombre y representación de la entidad mercantil Roche Farma, S.A., bajo la dirección de la letrada doña Abigail Blanco Vázquez, solicitó de este Tribunal que se la tuviera por personada en el presente procedimiento.</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escrito presentado en el Registro de este Tribunal el día 17 de marzo de 2010, el Presidente del Senado comunicó a este Tribunal el acuerdo de la Mesa de la Cámara de darla por personada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Por escrito registrado en este Tribunal el día 17 de marzo de 2010, el Procurador don Francisco Velasco Muñoz-Cuellar, en nombre y representación de las entidades mercantiles Arbora &amp; Ausonia, S.L., Coloplast Productos Médicos, S.A., Laboratorios Hartmann, S.A., Smith and Nephew, S.A., Textil Planas Olivera, S.A., Braun Medical, S.A., Mölnlycke Health Care, S.L., ID Médica España, S.A., Astra Tech, S.A., Covidien Spain, S.L., Pedro </w:t>
      </w:r>
      <w:r>
        <w:lastRenderedPageBreak/>
        <w:t>Homs, S.L., Smith Medical España, S.R.L., Algodones del Bages, S.A., y Palex, S.A., y con la asistencia del Letrado don Alberto Raventós Soler, suplicó se le tuviera por comparecido y parte interesada en el procedimiento, pues aun cuando no eran parte en el proceso contencioso-administrativo núm. 385-2007 seguido ante la Sección Cuarta de la Audiencia Nacional en el que se promovido la presente cuestión de inconstitucionalidad, si lo eran en el recurso núm. 497-2008 seguido ante la Sección Octava de la Sala de lo Contencioso-Administrativo del Tribunal Superior de Justicia de Madrid, en el que se planteaba idéntica pretensión de nulidad.</w:t>
      </w:r>
    </w:p>
    <w:p w:rsidR="0085709A" w:rsidRDefault="0085709A" w:rsidP="0085709A">
      <w:pPr>
        <w:pStyle w:val="TextoNormal"/>
      </w:pPr>
    </w:p>
    <w:p w:rsidR="0085709A" w:rsidRDefault="0085709A" w:rsidP="0085709A">
      <w:pPr>
        <w:pStyle w:val="TextoNormal"/>
      </w:pPr>
      <w:r w:rsidRPr="0085709A">
        <w:rPr>
          <w:rStyle w:val="NumeroAFNegritaCaracter"/>
        </w:rPr>
        <w:t>9</w:t>
      </w:r>
      <w:r>
        <w:t>. Por diligencia de ordenación de la Sala Primera con fecha de 18 de marzo de 2010 se acordó tener por personada a la Procuradora doña María Luisa Sánchez Quero, en nombre y representación de Roche Farma, S.A., con concesión de un plazo de quince días para que formulase las alegaciones que estimase convenientes, conforme establece el art. 37.2 LOTC.</w:t>
      </w:r>
    </w:p>
    <w:p w:rsidR="0085709A" w:rsidRDefault="0085709A" w:rsidP="0085709A">
      <w:pPr>
        <w:pStyle w:val="TextoNormal"/>
      </w:pPr>
    </w:p>
    <w:p w:rsidR="0085709A" w:rsidRDefault="0085709A" w:rsidP="0085709A">
      <w:pPr>
        <w:pStyle w:val="TextoNormal"/>
      </w:pPr>
      <w:r w:rsidRPr="0085709A">
        <w:rPr>
          <w:rStyle w:val="NumeroAFNegritaCaracter"/>
        </w:rPr>
        <w:t>10</w:t>
      </w:r>
      <w:r>
        <w:t>. Con fecha de 26 de marzo de 2010 presentó un escrito en el Registro de este Tribunal el Abogado del Estado, en la representación que ostenta, solicitando se le tuviese por personado y suplicando se desestimase la cuestión planteada. Razona el Abogado del Estado en este sentido que el descuento regulado por la disposición adicional controvertida no es un tributo y, por tanto, no le es de aplicación la prohibición prevista en el apartado 7 del art. 134 CE en que se restringe el contenido de la Ley de presupuestos exclusivamente con relación a los tributos, pero sin que dicha restricción alcance a otras prestaciones patrimoniales coactivas que carezcan de naturaleza tributaria. Precisa a este respecto que aunque todas las deudas tributarias son prestaciones patrimoniales de carácter público, no todas las prestaciones patrimoniales (coactivas) tienen naturaleza tributaria (con cita de la STC 182/1997, FJ 15).</w:t>
      </w:r>
    </w:p>
    <w:p w:rsidR="0085709A" w:rsidRDefault="0085709A" w:rsidP="0085709A">
      <w:pPr>
        <w:pStyle w:val="TextoNormal"/>
      </w:pPr>
    </w:p>
    <w:p w:rsidR="0085709A" w:rsidRDefault="0085709A" w:rsidP="0085709A">
      <w:pPr>
        <w:pStyle w:val="TextoNormal"/>
      </w:pPr>
      <w:r>
        <w:t>Tras realizar una serie de consideraciones sobre la jurisprudencia constitucional relativa al concepto de tributo y de impuesto, y a la necesaria concurrencia del principio de capacidad económica, así como al carácter coactivo de las prestaciones patrimoniales, el Abogado del Estado pasa a examinar el precepto cuestionado, señalando en primer lugar que, aun siendo cierto que existe para las empresas farmacéuticas (laboratorios e importadores) una obligación de suministro de medicamentos o productos sanitarios al Sistema Nacional de Salud, por el significado que tienen para la salud humana como bien constitucionalmente protegido (arts. 15 y 43, ambos de la Constitución), esa obligación de suministro en nada elimina ni empaña la voluntariedad del contrato de suministro de medicamentos con hospitales o con oficinas de farmacia.</w:t>
      </w:r>
    </w:p>
    <w:p w:rsidR="0085709A" w:rsidRDefault="0085709A" w:rsidP="0085709A">
      <w:pPr>
        <w:pStyle w:val="TextoNormal"/>
      </w:pPr>
    </w:p>
    <w:p w:rsidR="0085709A" w:rsidRDefault="0085709A" w:rsidP="0085709A">
      <w:pPr>
        <w:pStyle w:val="TextoNormal"/>
      </w:pPr>
      <w:r>
        <w:t>En segundo lugar, a su juicio, tampoco estaríamos en presencia de un bien, servicio o actividad administrativa objetivamente indispensable para satisfacer las necesidades básicas de la vida personal o social de los particulares, pues el descuento controvertido nada tiene que ver con una necesidad básica de los fabricantes o importadores, sino exclusivamente con los ingresos que estos obtienen del Sistema Nacional de Salud.</w:t>
      </w:r>
    </w:p>
    <w:p w:rsidR="0085709A" w:rsidRDefault="0085709A" w:rsidP="0085709A">
      <w:pPr>
        <w:pStyle w:val="TextoNormal"/>
      </w:pPr>
    </w:p>
    <w:p w:rsidR="0085709A" w:rsidRDefault="0085709A" w:rsidP="0085709A">
      <w:pPr>
        <w:pStyle w:val="TextoNormal"/>
      </w:pPr>
      <w:r>
        <w:t xml:space="preserve">En tercer lugar, a su juicio, los descuentos por volumen de ventas no se hallarían ligados a la capacidad económica de los proveedores, pues no actuarían sobre sus ventas o beneficios totales, sino sólo sobre la partida correspondiente a las dispensadas con cargo a los fondos del Estado, poniendo de manifiesto que no se trataría de un tributo, sino de una manera de regular los precios. Pero es que, además, carecerían del carácter general propio </w:t>
      </w:r>
      <w:r>
        <w:lastRenderedPageBreak/>
        <w:t>de todo tributo, pues no afectarían a todos los fabricantes o importadores de medicamentos o sustancias medicinales, sino sólo a aquellos que dispensasen recetas con cargo al Sistema Nacional de Salud. Y también les faltaría, a su parecer, la característica de obligatoriedad que concurre en los tributos pues los descuentos no son exigidos a todas las personas y entidades, sino sólo y exclusivamente a aquellas que voluntariamente decidiesen dispensar sus productos a través del Sistema Nacional de Salud. En fin, tampoco podría entenderse que este descuento constituiría una tasa al faltarle uno de sus elementos esenciales como es la existencia de un servicio administrativo, lo que a su vez determinaría la inexistencia de una conexión con el coste del servicio.</w:t>
      </w:r>
    </w:p>
    <w:p w:rsidR="0085709A" w:rsidRDefault="0085709A" w:rsidP="0085709A">
      <w:pPr>
        <w:pStyle w:val="TextoNormal"/>
      </w:pPr>
    </w:p>
    <w:p w:rsidR="0085709A" w:rsidRDefault="0085709A" w:rsidP="0085709A">
      <w:pPr>
        <w:pStyle w:val="TextoNormal"/>
      </w:pPr>
      <w:r>
        <w:t xml:space="preserve">En suma, para el Abogado del Estado, se estaría ante un </w:t>
      </w:r>
      <w:r w:rsidRPr="0085709A">
        <w:rPr>
          <w:i/>
        </w:rPr>
        <w:t>rappel</w:t>
      </w:r>
      <w:r>
        <w:t>, es decir, ante una medida de regulación de precios industriales (precios de venta de laboratorio), cuya única peculiaridad sería la de haber sido establecida por la Ley de presupuestos respecto de aquellos fabricantes e importadores que voluntariamente suministran medicamentos y productos sanitarios al Sistema Nacional de Salud, decayendo así la tesis del órgano judicial que promueve la cuestión, conforme a la cual se trataría de un tributo parafiscal. Por tanto, un descuento sobre un ingreso a favor de un empresario (fabricador o importador) como consecuencia de la adquisición de medicamentos, sustancias y productos dispensados mediante receta oficial del Sistema Nacional de Salud, nada tiene que ver con la configuración legislativa de un hecho imponible basado en un índice de capacidad económica.</w:t>
      </w:r>
    </w:p>
    <w:p w:rsidR="0085709A" w:rsidRDefault="0085709A" w:rsidP="0085709A">
      <w:pPr>
        <w:pStyle w:val="TextoNormal"/>
      </w:pPr>
    </w:p>
    <w:p w:rsidR="0085709A" w:rsidRDefault="0085709A" w:rsidP="0085709A">
      <w:pPr>
        <w:pStyle w:val="TextoNormal"/>
      </w:pPr>
      <w:r w:rsidRPr="0085709A">
        <w:rPr>
          <w:rStyle w:val="NumeroAFNegritaCaracter"/>
        </w:rPr>
        <w:t>11</w:t>
      </w:r>
      <w:r>
        <w:t>. El día 31 de marzo de 2010 presentó su escrito de alegaciones el Fiscal General del Estado, suplicando la desestimación de la presente cuestión de inconstitucionalidad. Tras concretar los antecedentes de hecho en el planteamiento de la misma, y destacar la evolución de la disposición adicional cuestionada, sistematizar la doctrina constitucional relativa al concepto de prestación patrimonial de carácter público (con cita de las SSTC 185/1995 y 182/1997), concretar el alcance de las obligaciones previstas en la normativa del medicamento para la autorización y registro de especialidades farmacéuticas de cara a su comercialización, así como citar la doctrina judicial existente sobre el descuento controvertido (concretamente, del Tribunal Superior de Justicia de Madrid, de la Audiencia Nacional y del Tribunal Supremo) y los preceptos de la Ley 58/2003, de 17 de diciembre, general tributaria, relativos al concepto de prestación patrimonial y de tributo, sostiene el Fiscal General del Estado que el descuento cuestionado reviste la naturaleza de una prestación patrimonial de carácter público, que se satisface a un ente público, pero no para aportar recursos, sino para disminuir el gasto. A su juicio, aunque existiese un beneficio o contraprestación individualizable para el fabricante importador (como es que los medicamentos incluso en el Sistema Nacional de Salud se integran en un circuito privilegiado de comercialización), duda que la norma haya establecido el descuento en función de la capacidad económica de cada cual, al vincularlo con el coste del producto y su margen de beneficio, lo que acentúa su carácter extratributario.</w:t>
      </w:r>
    </w:p>
    <w:p w:rsidR="0085709A" w:rsidRDefault="0085709A" w:rsidP="0085709A">
      <w:pPr>
        <w:pStyle w:val="TextoNormal"/>
      </w:pPr>
    </w:p>
    <w:p w:rsidR="0085709A" w:rsidRDefault="0085709A" w:rsidP="0085709A">
      <w:pPr>
        <w:pStyle w:val="TextoNormal"/>
      </w:pPr>
      <w:r>
        <w:t xml:space="preserve">En suma, para el Fiscal General del Estado, la disposición adicional cuestionada estaría contemplando una prestación pública de carácter patrimonial, que aunque de imposición unilateral, carecería de naturaleza tributaria, al no reunir en su regulación las características de las figuras tributarias, correspondiendo su naturaleza a la de una medida de intervención en el precio de los medicamentos, que se enmarcaría dentro de la política de contención del gasto público del Gobierno y que se erigiría en un instrumento de su dirección y orientación política. De esta manera, al carecer de naturaleza tributaria, cumpliría con los requisitos de </w:t>
      </w:r>
      <w:r>
        <w:lastRenderedPageBreak/>
        <w:t>reserva de ley de las prestaciones patrimoniales coactivas, pues se ha establecido por Ley de presupuestos, no siéndole de aplicación, en consecuencia, la prohibición prevista en el apartado 7 del art. 134 CE.</w:t>
      </w:r>
    </w:p>
    <w:p w:rsidR="0085709A" w:rsidRDefault="0085709A" w:rsidP="0085709A">
      <w:pPr>
        <w:pStyle w:val="TextoNormal"/>
      </w:pPr>
    </w:p>
    <w:p w:rsidR="0085709A" w:rsidRDefault="0085709A" w:rsidP="0085709A">
      <w:pPr>
        <w:pStyle w:val="TextoNormal"/>
      </w:pPr>
      <w:r w:rsidRPr="0085709A">
        <w:rPr>
          <w:rStyle w:val="NumeroAFNegritaCaracter"/>
        </w:rPr>
        <w:t>12</w:t>
      </w:r>
      <w:r>
        <w:t>. El día 16 de abril de 2010 presentó su escrito de alegaciones la Procuradora doña María Luisa Sánchez Quero, en nombre y representación de la entidad mercantil Roche Farma, S.A., suplicando se dictase Sentencia por la que se declarase la inconstitucionalidad de la disposición adicional cuadragésima octava de la Ley 2/2004, de 27 de diciembre. Para la representación procesal de esta entidad, atendiendo a la definición de tributo que hace el art. 2 de la Ley 58/2003, de 17 de diciembre, general tributaria, el ingreso que nos ocupa tendría naturaleza tributaria, pues nos encontraríamos ante un ingreso público consistente en una prestación pecuniaria exigida por una Administración pública (el Ministerio de Sanidad y Consumo), como consecuencia de la realización de un supuesto de hecho (la fabricación e importación de medicamentos, sustancias medicinales y cualesquiera productos sanitarios que se dispensen a través de receta oficial del Sistema Nacional de Salud), al que la Ley vincula el deber de contribuir, con el fin primordial de obtener los ingresos necesarios para el sostenimiento de los gastos públicos. Por tanto, la disposición adicional cuestionada sería inconstitucional por contravenir el art. 134.7 CE, al establecer una figura tributaria nueva (tal y como así lo ha señalado también tanto la Fiscalía de la Audiencia Nacional en su dictamen de 7 de abril de 2009 como el propio Auto de la Audiencia Nacional de 15 de junio de 2009).</w:t>
      </w:r>
    </w:p>
    <w:p w:rsidR="0085709A" w:rsidRDefault="0085709A" w:rsidP="0085709A">
      <w:pPr>
        <w:pStyle w:val="TextoNormal"/>
      </w:pPr>
    </w:p>
    <w:p w:rsidR="0085709A" w:rsidRDefault="0085709A" w:rsidP="0085709A">
      <w:pPr>
        <w:pStyle w:val="TextoNormal"/>
      </w:pPr>
      <w:r w:rsidRPr="0085709A">
        <w:rPr>
          <w:rStyle w:val="NumeroAFNegritaCaracter"/>
        </w:rPr>
        <w:t>13</w:t>
      </w:r>
      <w:r>
        <w:t>. Mediante providencia de la Sala Primera de fecha 27 de abril de 2010 se acordó no tener por personado y parte al Procurador don Francisco Velasco Muñoz-Cuellar, en nombre y representación de las entidades Arbora &amp; Ausonia, S.L., Coloplast Productos Médicos, S.A., Laboratorios Hartmann, S.A., Smith and Nephew, S.A., Textil Planas Olivera, S.A., Braun Medical, S.A., Mölnlycke Health Care, S.L., ID Médica España, S.A., Astra Tech, S.A., Covidien Spain, S.L., Pedro Homs, S.L., Smith Medical España, S.R.L., Algodones del Bages, S.A., y Palex, S.A., al no ser parte en el procedimiento ordinario núm. 585-2007 ante la Sección Cuarta de la Sala de lo Contencioso-Administrativo de la Audiencia Nacional, del que dimana la presente cuestión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14</w:t>
      </w:r>
      <w:r>
        <w:t>. Por providencia de 9 de abril de 2015 se señaló para deliberación y votación de la presente Sentencia el día 13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Como ha quedado expuesto en los antecedentes, el objeto de la presente cuestión de inconstitucionalidad lo constituye la disposición adicional cuadragésima octava de la Ley 2/2004, de 27 de diciembre, de presupuestos generales del Estado para 2005, de modificación de la Ley 25/1990, de 20 de diciembre, del medicamento, por su posible contradicción con el art. 134.7 CE.</w:t>
      </w:r>
    </w:p>
    <w:p w:rsidR="0085709A" w:rsidRDefault="0085709A" w:rsidP="0085709A">
      <w:pPr>
        <w:pStyle w:val="TextoNormal"/>
      </w:pPr>
    </w:p>
    <w:p w:rsidR="0085709A" w:rsidRDefault="0085709A" w:rsidP="0085709A">
      <w:pPr>
        <w:pStyle w:val="TextoNormal"/>
      </w:pPr>
      <w:r>
        <w:t xml:space="preserve">Antes de entrar a dar respuesta a la concreta cuestión planteada por el órgano judicial, conviene efectuar una precisión previa. La disposición adicional controvertida añadía una disposición adicional novena a la Ley 25/1990, de 20 de diciembre, del medicamento, Esta </w:t>
      </w:r>
      <w:r>
        <w:lastRenderedPageBreak/>
        <w:t xml:space="preserve">Ley ha sido posteriormente sustituida y derogada por la Ley 29/2006, de 26 de julio, de garantías y uso racional de los medicamentos. Esa circunstancia, sin embargo, no hace decaer el objeto del presente proceso constitucional en la medida que esa derogación no provoca que la norma cuestionada deje de ser aplicable en el proceso </w:t>
      </w:r>
      <w:r w:rsidRPr="0085709A">
        <w:rPr>
          <w:i/>
        </w:rPr>
        <w:t>a quo</w:t>
      </w:r>
      <w:r>
        <w:t>, dependiendo aún de su validez la decisión a adoptar en el mismo [por todas, STC 93/2014, de 29 de mayo, FJ 1 a)].</w:t>
      </w:r>
    </w:p>
    <w:p w:rsidR="0085709A" w:rsidRDefault="0085709A" w:rsidP="0085709A">
      <w:pPr>
        <w:pStyle w:val="TextoNormal"/>
      </w:pPr>
    </w:p>
    <w:p w:rsidR="0085709A" w:rsidRDefault="0085709A" w:rsidP="0085709A">
      <w:pPr>
        <w:pStyle w:val="TextoNormal"/>
      </w:pPr>
      <w:r w:rsidRPr="0085709A">
        <w:rPr>
          <w:rStyle w:val="NumeroAFNegritaCaracter"/>
        </w:rPr>
        <w:t>2</w:t>
      </w:r>
      <w:r>
        <w:t>. Como se ha dicho, la disposición adicional cuadragésima octava de la Ley 2/2004, de 27 de diciembre, de presupuestos generales del Estado para 2005, introduce una nueva disposición adicional novena en la Ley 25/1990, de 20 de diciembre, del medicamento, que, bajo el título “Ingresos de los empresarios, grupos empresariales, fabricantes e importadores de medicamentos y sustancias medicinales por descuentos por volumen de ventas al Sistema Nacional de Salud”, estableció la obligación para las personas físicas, los grupos empresariales y cualesquiera otras personas jurídicas que se dedicasen a la fabricación o importación de medicamentos, sustancias medicinales y cualesquiera otros productos sanitarios que se dispensasen en territorio nacional a través de receta oficial del Sistema Nacional de Salud, de ingresar con carácter cuatrimestral, entre el 1,5 (para ventas de hasta 3 millones de euros) hasta el 5 por 100 (para ventas superiores a 300 millones de euros), de su volumen cuatrimestral de ventas. La cantidad resultante se corregía mediante la aplicación de un porcentaje (de entre el 0 y el 25 por 100) en función de la valoración de las compañías en el marco de la acción PROFARMA (programa que tenía como objetivo aumentar la competitividad de la industria farmacéutica en España, a través de la modernización del sector y la potenciación de aquellas actividades que aportasen un mayor valor añadido). Además, se obligaba a ingresar de forma anticipada, en función de las ventas del ejercicio inmediatamente anterior, la cantidad que el Ministerio de Sanidad y Consumo comunicase al fabricante o importador afectado.</w:t>
      </w:r>
    </w:p>
    <w:p w:rsidR="0085709A" w:rsidRDefault="0085709A" w:rsidP="0085709A">
      <w:pPr>
        <w:pStyle w:val="TextoNormal"/>
      </w:pPr>
    </w:p>
    <w:p w:rsidR="0085709A" w:rsidRDefault="0085709A" w:rsidP="0085709A">
      <w:pPr>
        <w:pStyle w:val="TextoNormal"/>
      </w:pPr>
      <w:r>
        <w:t>Esa disposición adicional novena de la Ley 25/1990, de 30 de diciembre, fue sustituida posteriormente por la disposición adicional sexta de la Ley 29/2006, de 26 de julio, de garantías y uso racional de los medicamentos, la cual, esta vez bajo el título de “Aportaciones por volumen de ventas al Sistema Nacional de Salud”, situó el porcentaje aplicable al volumen cuatrimestral de ventas entre el 1,5 (para ventas de hasta 3 millones de euros) y el 2 por 100 (para ventas superiores a 3 millones de euros).</w:t>
      </w:r>
    </w:p>
    <w:p w:rsidR="0085709A" w:rsidRDefault="0085709A" w:rsidP="0085709A">
      <w:pPr>
        <w:pStyle w:val="TextoNormal"/>
      </w:pPr>
    </w:p>
    <w:p w:rsidR="0085709A" w:rsidRDefault="0085709A" w:rsidP="0085709A">
      <w:pPr>
        <w:pStyle w:val="TextoNormal"/>
      </w:pPr>
      <w:r>
        <w:t xml:space="preserve">Para el órgano judicial que promueve la cuestión de inconstitucionalidad, con la disposición adicional cuestionada se ha establecido unilateralmente una obligación de pago por parte del poder público, sin el concurso de la voluntad del sujeto llamado a satisfacerla, lo que incide en la prohibición constitucional de establecer tributos en la Ley de presupuestos (art. 134.7 CE). Tanto para el Abogado del Estado como para el Fiscal General del Estado, sin embargo, el descuento controvertido, aunque pueda revestir la naturaleza de una prestación patrimonial de carácter público, carecería de naturaleza tributaria por tratarse de un </w:t>
      </w:r>
      <w:r w:rsidRPr="0085709A">
        <w:rPr>
          <w:i/>
        </w:rPr>
        <w:t>rappel</w:t>
      </w:r>
      <w:r>
        <w:t xml:space="preserve"> sobre las ventas que se encuadraría dentro de la potestad estatal de regulación de los precios de los medicamentos, lo que le impediría incidir en la prohibición prevista que el art. 134.7 CE.</w:t>
      </w:r>
    </w:p>
    <w:p w:rsidR="0085709A" w:rsidRDefault="0085709A" w:rsidP="0085709A">
      <w:pPr>
        <w:pStyle w:val="TextoNormal"/>
      </w:pPr>
    </w:p>
    <w:p w:rsidR="0085709A" w:rsidRDefault="0085709A" w:rsidP="0085709A">
      <w:pPr>
        <w:pStyle w:val="TextoNormal"/>
      </w:pPr>
      <w:r w:rsidRPr="0085709A">
        <w:rPr>
          <w:rStyle w:val="NumeroAFNegritaCaracter"/>
        </w:rPr>
        <w:t>3</w:t>
      </w:r>
      <w:r>
        <w:t>. La cuestión que se somete a nuestra consideración es idéntica a la planteada en el recurso de inconstitucionalidad núm. 1955-2005, entre otros preceptos, sobre la propia dis</w:t>
      </w:r>
      <w:r>
        <w:lastRenderedPageBreak/>
        <w:t xml:space="preserve">posición adicional cuadragésima octava de la Ley 2/2004, de 27 de diciembre, de presupuestos generales del Estado para 2005, que ha sido recientemente desestimado por la STC 44/2015, de 5 de marzo, al considerar este Tribunal que aun cuando la disposición cuestionada introdujo en el ordenamiento, </w:t>
      </w:r>
      <w:r w:rsidRPr="0085709A">
        <w:rPr>
          <w:i/>
        </w:rPr>
        <w:t>ex novo</w:t>
      </w:r>
      <w:r>
        <w:t>, una prestación patrimonial de carácter público, en la medida que no tenía naturaleza tributaria, no podía considerarse que hubiese transgredido la prohibición prevista en el apartado 7 del art. 134 CE (FJ 5). Las razones que llevaron a este Tribunal a alcanzar esa conclusión, sucintamente expuestas, son las siguientes:</w:t>
      </w:r>
    </w:p>
    <w:p w:rsidR="0085709A" w:rsidRDefault="0085709A" w:rsidP="0085709A">
      <w:pPr>
        <w:pStyle w:val="TextoNormal"/>
      </w:pPr>
    </w:p>
    <w:p w:rsidR="0085709A" w:rsidRDefault="0085709A" w:rsidP="0085709A">
      <w:pPr>
        <w:pStyle w:val="TextoNormal"/>
      </w:pPr>
      <w:r>
        <w:t>a) Aunque la Constitución autoriza el establecimiento de prestaciones patrimoniales de carácter público “con arreglo a la ley” (art. 31.3 CE), cuando se trata de prestaciones patrimoniales de naturaleza tributaria condiciona los instrumentos normativos a través de los que se puede cumplir con aquella previsión, pues no sólo limita el uso del decreto-ley a aquellos supuestos en los que no se afecte a los deberes de los ciudadanos regulados en el título I (art. 86.1 CE) y, concretamente, al deber de todos de contribuir al sostenimiento de los gastos públicos (art. 31.1 CE), sino que impide la utilización de la Ley de presupuestos como instrumento para “crear tributos” (art. 134.7 CE) y excluye la materia tributaria de la iniciativa popular (art. 87.3 CE) [STC 44/2015, de 5 de marzo, FJ 5 d); y en el mismo sentido, STC 83/2014, de 29 de mayo, FJ 3]. En consecuencia, la reserva de ley tributaria (arts. 31.3 y 133.1, ambos de la Constitución), en lo que ahora interesa, se ve reforzada por la prohibición atinente a la Ley de presupuestos de no crear o modificar tributos (art. 134.7 CE), que deriva no sólo del condicionamiento a que somete el art. 134 CE a los presupuestos generales como vehículo de dirección y orientación de la política económica del Gobierno y, por tanto, con una función específica y constitucionalmente definida, sino también de las restricciones impuestas a su tramitación parlamentaria (fundamentalmente en los trámites de enmienda y debate) por los Reglamentos de las Cámaras [STC 44/2015, de 5 de marzo, FJ 5 d)].</w:t>
      </w:r>
    </w:p>
    <w:p w:rsidR="0085709A" w:rsidRDefault="0085709A" w:rsidP="0085709A">
      <w:pPr>
        <w:pStyle w:val="TextoNormal"/>
      </w:pPr>
    </w:p>
    <w:p w:rsidR="0085709A" w:rsidRDefault="0085709A" w:rsidP="0085709A">
      <w:pPr>
        <w:pStyle w:val="TextoNormal"/>
      </w:pPr>
      <w:r>
        <w:t>b) En la medida que no puede efectuarse una lectura expansiva de los límites que la Constitución impone a la Ley de presupuestos, cuando el art. 134.7 CE prohíbe a la Ley de presupuestos “crear tributos” está poniendo en conexión esta limitación con el deber de contribuir al que hace referencia el art. 31.1 CE y con la potestad originaria del Estado para crear tributos por ley del art. 133.1 CE, sin que dicha prohibición pueda extenderse a cualquier “prestación patrimonial de carácter público” a que se refiere el art. 31.3 CE. Dicho de otra manera, cuando el Constituyente consideró inhábil el instrumento presupuestario para introducir nuevos “tributos” en el ordenamiento o para modificar los existentes (sin previa habilitación legal al respecto), era consciente de la existencia de una reserva de ley en materia de “prestaciones patrimoniales de carácter público” (art. 31.3 CE), y, sin embargo, no quiso extender aquella limitación a toda clase de prestación patrimonial de carácter público, sino únicamente a las de naturaleza tributaria, quedando legitimadas las restantes prestaciones patrimoniales no tributarias para formar parte del contenido eventual de la Ley de presupuestos, claro está, siempre y cuando guarden la necesaria conexión económica —relación directa con los ingresos o gastos del Estado o vehículo director de la política económica del Gobierno— o presupuestaria —para una mayor inteligencia o mejor ejecución del presupuesto— [STC 44/2015, de 5 de marzo, FJ 5 e)].</w:t>
      </w:r>
    </w:p>
    <w:p w:rsidR="0085709A" w:rsidRDefault="0085709A" w:rsidP="0085709A">
      <w:pPr>
        <w:pStyle w:val="TextoNormal"/>
      </w:pPr>
    </w:p>
    <w:p w:rsidR="0085709A" w:rsidRDefault="0085709A" w:rsidP="0085709A">
      <w:pPr>
        <w:pStyle w:val="TextoNormal"/>
      </w:pPr>
      <w:r>
        <w:t xml:space="preserve">c) Con independencia del </w:t>
      </w:r>
      <w:r w:rsidRPr="0085709A">
        <w:rPr>
          <w:i/>
        </w:rPr>
        <w:t>nomen iuris</w:t>
      </w:r>
      <w:r>
        <w:t xml:space="preserve"> (descuentos por volumen de ventas o </w:t>
      </w:r>
      <w:r w:rsidRPr="0085709A">
        <w:rPr>
          <w:i/>
        </w:rPr>
        <w:t>rappels</w:t>
      </w:r>
      <w:r>
        <w:t xml:space="preserve"> sobre ventas), las prestaciones patrimoniales de carácter público tienen cada una de ellas la naturaleza propia y específica que les corresponda, de acuerdo con su presupuesto de hecho y </w:t>
      </w:r>
      <w:r>
        <w:lastRenderedPageBreak/>
        <w:t>en función de su configuración y estructura jurídica. De esta manera, son prestaciones de esta naturaleza las impuestas coactivamente, esto es, las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[STC 44/2015, de 5 de marzo, FJ 5 d) y en el mismo sentido, STC 83/2014, de 29 de mayo, FJ 3].</w:t>
      </w:r>
    </w:p>
    <w:p w:rsidR="0085709A" w:rsidRDefault="0085709A" w:rsidP="0085709A">
      <w:pPr>
        <w:pStyle w:val="TextoNormal"/>
      </w:pPr>
    </w:p>
    <w:p w:rsidR="0085709A" w:rsidRDefault="0085709A" w:rsidP="0085709A">
      <w:pPr>
        <w:pStyle w:val="TextoNormal"/>
      </w:pPr>
      <w:r>
        <w:t>Para determinar cuándo puede considerarse que una prestación patrimonial resulta coactivamente impuesta, es necesario concretar, en primer lugar, si el supuesto de hecho que da lugar a la obligación ha sido o no realizado de forma libre y espontánea por el sujeto obligado, y, en segundo lugar, si la libertad o la espontaneidad exigida en la realización del supuesto de hecho y en la decisión de obligarse es real y efectiva. Eso sí, no toda prestación impuesta tiene que tener necesariamente naturaleza tributaria y ser una expresión concreta del deber de contribuir del art. 31.1 CE, como sucede cuando con ella no se persigue derechamente buscar una nueva forma de allegar medios económicos con los que financiar el gasto público, aunque tenga como efecto económico indirecto el de servir también a dicha financiación. Por tanto, para concretar cuándo una prestación patrimonial impuesta tiene a su vez naturaleza tributaria habrá que comprobar si se satisface, directa o indirectamente, a los entes públicos con la finalidad de contribuir al sostenimiento de los gastos públicos, sometiendo a gravamen un presupuesto de hecho o hecho imponible revelador de capacidad económica [STC 44/2015, de 5 de marzo, FJ 5.d); y en el mismo sentido, STC 83/2014, de 29 de mayo, FJ 3].</w:t>
      </w:r>
    </w:p>
    <w:p w:rsidR="0085709A" w:rsidRDefault="0085709A" w:rsidP="0085709A">
      <w:pPr>
        <w:pStyle w:val="TextoNormal"/>
      </w:pPr>
    </w:p>
    <w:p w:rsidR="0085709A" w:rsidRDefault="0085709A" w:rsidP="0085709A">
      <w:pPr>
        <w:pStyle w:val="TextoNormal"/>
      </w:pPr>
      <w:r>
        <w:t>d) Los “[i]ngresos de los de los empresarios, grupos empresariales, fabricantes e importadores de medicamentos y sustancias medicinales por descuentos por volumen de ventas al Sistema Nacional de Salud” previstos en la disposición adicional cuadragésima octava de la Ley 2/2004, de 27 de diciembre, de presupuestos generales del Estado para 2005, de acuerdo con su supuesto de hecho y en función de la configuración y estructura jurídica que le ha dado el legislador, tienen la naturaleza de una prestación patrimonial de carácter público. En efecto, consisten en una prestación pecuniaria (aplicada a la facturación al Sistema Nacional de Salud), impuesta coactiva y unilateralmente por el poder público (las Cortes Generales), que se satisface a un ente público (el Ministerio de Sanidad y Consumo), sin la concurrencia de la voluntad del sujeto obligado a su pago (los empresarios, grupos empresariales, fabricantes e importadores de medicamentos y sustancias medicinales), donde el supuesto de hecho que da lugar al mismo (la dispensación de medicamentos a cargo al Sistema Nacional de Salud) no se realiza de forma libre y espontánea por el sujeto obligado (pues tanto el art. 3.1 de la Ley 25/1990, de 20 de diciembre, del medicamento, como el art. 2.1 de la vigente Ley 29/2006, de 26 de julio, de garantías y uso racional de los medicamentos y productos sanitarios, obligan a dispensar los medicamentos) y en el que la prestación debida tiene una inequívoca finalidad de interés público (la contención urgente del gasto público farmacéutico) [STC 44/2015, de 5 de marzo, FJ 5 e); y sentido similar, STC 83/2014, de 29 de mayo, FJ 3].</w:t>
      </w:r>
    </w:p>
    <w:p w:rsidR="0085709A" w:rsidRDefault="0085709A" w:rsidP="0085709A">
      <w:pPr>
        <w:pStyle w:val="TextoNormal"/>
      </w:pPr>
    </w:p>
    <w:p w:rsidR="0085709A" w:rsidRDefault="0085709A" w:rsidP="0085709A">
      <w:pPr>
        <w:pStyle w:val="TextoNormal"/>
      </w:pPr>
      <w:r>
        <w:t xml:space="preserve">e) Aunque el descuento previsto en la disposición adicional controvertida tiene la naturaleza de una prestación impuesta, sin embargo, carece de naturaleza tributaria, pues su finalidad principal, como sostiene el Abogado del Estado, no es la de establecer un tributo, esto es, una nueva forma de ingreso público con la que coadyuvar a la financiación de gasto </w:t>
      </w:r>
      <w:r>
        <w:lastRenderedPageBreak/>
        <w:t>del gasto público, sino que pretende efectuar una asignación de los recursos públicos que responda a los criterios de eficiencia y de economía (art. 31.2 CE). En efecto, con la deducción controvertida, el Estado no ha recurrido a su poder tributario (art. 133.1 CE) para establecer una nueva forma de contribución al sostenimiento de los gastos públicos (art. 31.1 CE), sino que ha puesto su poder de gasto al servicio de una concreta política farmacéutica, no sólo con la finalidad de garantizar un uso racional del medicamento (art. 43 CE), sino con el objetivo de llevar a cabo una adecuada y razonable distribución de unos recursos públicos escasos frente a necesidades de protección siempre crecientes (art. 31.2 CE). De esta manera, los sujetos obligados a soportar la prestación impuesta no son llamados a su cumplimiento como contribuyentes por la realización de un hecho revelador de capacidad económica, esto es, en el ámbito de una nueva relación tributaria, en la que el Estado se erija en el sujeto activo, y los empresarios, grupos empresariales, fabricantes e importadores de medicamentos y sustancias medicinales, en el sujeto pasivo, sino que lo son en el seno de la relación económica de la que surgen tanto derechos como cargas que asumir.</w:t>
      </w:r>
    </w:p>
    <w:p w:rsidR="0085709A" w:rsidRDefault="0085709A" w:rsidP="0085709A">
      <w:pPr>
        <w:pStyle w:val="TextoNormal"/>
      </w:pPr>
    </w:p>
    <w:p w:rsidR="0085709A" w:rsidRDefault="0085709A" w:rsidP="0085709A">
      <w:pPr>
        <w:pStyle w:val="TextoNormal"/>
      </w:pPr>
      <w:r>
        <w:t>No hay que olvidar que las personas físicas, jurídicas y grupos empresariales, que sean fabricantes o importadores de medicamentos, sustancias medicinales o cualesquiera otros productos, son un agente imprescindible en la realización de la asistencia farmacéutica que sirve a la garantía de la protección de la salud pública (arts. 43.2 y 51.1, CE). Por esta razón, el Estado, en el ejercicio de sus competencias exclusivas sobre productos farmacéuticos (art. 149.1.16 CE), no sólo puede obligarles (como a las oficinas de farmacia que tiene la condición de establecimientos sanitarios privados de interés público) a abastecer, suministrar y dispensar, a través del Sistema Nacional de Salud, los medicamentos, sustancias medicinales y productos necesarios para proteger la salud pública, en general, y la atención primaria a la salud de los ciudadanos, en particular, sino que puede actuar tanto sobre el precio de los medicamentos como sobre el coste que para aquel Sistema nacional tienen los medicamentos, para imponer, incluso, un descuento (</w:t>
      </w:r>
      <w:r w:rsidRPr="0085709A">
        <w:rPr>
          <w:i/>
        </w:rPr>
        <w:t>rappel</w:t>
      </w:r>
      <w:r>
        <w:t>) en función del volumen de ventas, por el consiguiente interés público que subyace a la prestación farmacéutica.</w:t>
      </w:r>
    </w:p>
    <w:p w:rsidR="0085709A" w:rsidRDefault="0085709A" w:rsidP="0085709A">
      <w:pPr>
        <w:pStyle w:val="TextoNormal"/>
      </w:pPr>
    </w:p>
    <w:p w:rsidR="0085709A" w:rsidRDefault="0085709A" w:rsidP="0085709A">
      <w:pPr>
        <w:pStyle w:val="TextoNormal"/>
      </w:pPr>
      <w:r>
        <w:t>De esta manera, la determinación de un descuento en función del volumen de ventas de especialidades farmacéuticas al Sistema Nacional de Salud, “por mucho que con la misma se consiga como efecto económico indirecto el de la financiación del gasto público, no puede considerarse que afecte al deber de “todos” de contribuir al sostenimiento de los gastos públicos (art. 31.1 CE)” [STC 44/2015, de 5 de marzo, FJ 5.d); y en el mismo sentido, STC 83/2014, de 29 de mayo, FJ 3].</w:t>
      </w:r>
    </w:p>
    <w:p w:rsidR="0085709A" w:rsidRDefault="0085709A" w:rsidP="0085709A">
      <w:pPr>
        <w:pStyle w:val="TextoNormal"/>
      </w:pPr>
    </w:p>
    <w:p w:rsidR="0085709A" w:rsidRDefault="0085709A" w:rsidP="0085709A">
      <w:pPr>
        <w:pStyle w:val="TextoNormal"/>
      </w:pPr>
      <w:r>
        <w:t xml:space="preserve">En suma, los “[i]ngresos de los de los empresarios, grupos empresariales, fabricantes e importadores de medicamentos y sustancias medicinales por descuentos por volumen de ventas al Sistema Nacional de Salud” previstos en la disposición adicional cuadragésima octava de la Ley 2/2004, de 27 de diciembre, de presupuestos generales del Estado para 2005, tienen la naturaleza de una prestación patrimonial coactivamente impuesta y, por tal motivo, sometida en su establecimiento al principio de reserva de ley (art. 31.3 CE). Sin embargo, aun siendo una prestación patrimonial impuesta, carece de naturaleza tributaria, pues no responde al establecimiento de un nuevo instrumento de contribución al sostenimiento de los gastos públicos por la realización de un hecho revelador de capacidad económica, sino que es consecuencia del ejercicio de una actividad que forma parte de un sector regulado por el Estado, tanto en la fijación de los precios de las especialidades farmacéuticas, como en la determinación de los márgenes comerciales de las oficinas de farmacia que </w:t>
      </w:r>
      <w:r>
        <w:lastRenderedPageBreak/>
        <w:t>las dispensan [STC 44/2015, de 5 de marzo, FJ 5 e); y en el mismo sentido, STC 83/2014, de 29 de mayo, FJ 3]. Su inclusión en el contenido eventual de la Ley de presupuestos generales del Estado no sólo se legítima por tratarse de un instrumento idóneo al servicio de una política gubernamental de reducción de gasto público farmacéutico, sino también por guardar una relación directa con los gastos del Estado.</w:t>
      </w:r>
    </w:p>
    <w:p w:rsidR="0085709A" w:rsidRDefault="0085709A" w:rsidP="0085709A">
      <w:pPr>
        <w:pStyle w:val="TextoNormal"/>
      </w:pPr>
    </w:p>
    <w:p w:rsidR="0085709A" w:rsidRDefault="0085709A" w:rsidP="0085709A">
      <w:pPr>
        <w:pStyle w:val="TextoNormal"/>
      </w:pPr>
      <w:r>
        <w:t>Por los motivos expuestos debe rechazarse la presente cuestión de inconstitucionalidad.</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6" w:name="SENTENCIA_2015_63"/>
      <w:r>
        <w:lastRenderedPageBreak/>
        <w:t>SENTENCIA 63/2015, de 13 de abril de 2015</w:t>
      </w:r>
    </w:p>
    <w:bookmarkEnd w:id="66"/>
    <w:p w:rsidR="0085709A" w:rsidRDefault="0085709A" w:rsidP="0085709A">
      <w:pPr>
        <w:pStyle w:val="TtuloResolucin"/>
      </w:pPr>
      <w:r>
        <w:t>Sala Primera</w:t>
      </w:r>
    </w:p>
    <w:p w:rsidR="0085709A" w:rsidRDefault="0085709A" w:rsidP="0085709A">
      <w:pPr>
        <w:pStyle w:val="TtuloBOE"/>
      </w:pPr>
      <w:r>
        <w:t>(BOE núm. 122, de 22 de mayo de 2015)</w:t>
      </w:r>
    </w:p>
    <w:p w:rsidR="0085709A" w:rsidRDefault="0085709A" w:rsidP="0085709A">
      <w:pPr>
        <w:pStyle w:val="TextoNormalCentrado"/>
      </w:pPr>
      <w:r>
        <w:t>ECLI:ES:TC:2015:63</w:t>
      </w:r>
    </w:p>
    <w:p w:rsidR="0085709A" w:rsidRDefault="0085709A" w:rsidP="0085709A">
      <w:pPr>
        <w:pStyle w:val="TextoNormalCentrado"/>
      </w:pPr>
    </w:p>
    <w:p w:rsidR="0085709A" w:rsidRDefault="0085709A" w:rsidP="0085709A">
      <w:pPr>
        <w:pStyle w:val="SntesisDescriptiva"/>
      </w:pPr>
      <w:r>
        <w:t>Recurso de amparo 4416-2012. Promovido por don Álvaro Ramírez Montoya respecto de las resoluciones dictadas por la Audiencia Provincial de A Coruña y por un Juzgado de lo Penal en ejecutoria por un delito de hurto.</w:t>
      </w:r>
    </w:p>
    <w:p w:rsidR="0085709A" w:rsidRDefault="0085709A" w:rsidP="0085709A">
      <w:pPr>
        <w:pStyle w:val="SntesisDescriptiva"/>
      </w:pPr>
    </w:p>
    <w:p w:rsidR="0085709A" w:rsidRDefault="0085709A" w:rsidP="0085709A">
      <w:pPr>
        <w:pStyle w:val="SntesisAnaltica"/>
      </w:pPr>
      <w:r>
        <w:t>Vulneración del derecho a la tutela judicial efectiva en relación con los derechos a la libertad personal y a la legalidad penal: resoluciones judiciales que no satisfacen el canon de motivación reforzada exigible en materia de prescripción de las penas (STC 97/2010). Voto particular.</w:t>
      </w:r>
    </w:p>
    <w:p w:rsidR="0085709A" w:rsidRDefault="0085709A" w:rsidP="0085709A">
      <w:pPr>
        <w:pStyle w:val="SntesisAnaltica"/>
      </w:pPr>
    </w:p>
    <w:p w:rsidR="0085709A" w:rsidRDefault="0085709A" w:rsidP="0085709A">
      <w:pPr>
        <w:pStyle w:val="Extracto"/>
      </w:pPr>
      <w:r>
        <w:t>1.</w:t>
      </w:r>
      <w:r>
        <w:tab/>
        <w:t>El criterio interpretativo que supuso entender interrumpida la  prescripción de la pena de un año de prisión impuesta al recurrente en amparo desde la sucesión misma de decisiones judiciales tendentes a dar respuesta a sus continuas solicitudes de cumplimiento alternativo, no se encuentra amparado en la literalidad de la norma aplicable, lo que incide en el derecho a la legalidad penal y repercute en los derechos del demandante a la tutela judicial efectiva y a la libertad, impidiendo estimar debidamente satisfecho el canon de motivación reforzada exigible [FJ 5].</w:t>
      </w:r>
    </w:p>
    <w:p w:rsidR="0085709A" w:rsidRDefault="0085709A" w:rsidP="0085709A">
      <w:pPr>
        <w:pStyle w:val="Extracto"/>
      </w:pPr>
    </w:p>
    <w:p w:rsidR="0085709A" w:rsidRDefault="0085709A" w:rsidP="0085709A">
      <w:pPr>
        <w:pStyle w:val="Extracto"/>
      </w:pPr>
      <w:r>
        <w:t>2.</w:t>
      </w:r>
      <w:r>
        <w:tab/>
        <w:t>La única hipótesis impeditiva del transcurso del plazo de prescripción de la pena que actualmente reconoce de modo expreso el art. 134 del Código Penal es el quebrantamiento del cumplimiento de la pena ya iniciada; de modo que  no cabe entender que la denegación de cada una de las formas alternativas al cumplimiento tenga cobijo en el precepto referenciado, pues precisamente su denegación impide entender iniciado un cumplimiento equivalente a la ejecución</w:t>
      </w:r>
      <w:r w:rsidRPr="0085709A">
        <w:rPr>
          <w:i/>
        </w:rPr>
        <w:t xml:space="preserve"> in natura</w:t>
      </w:r>
      <w:r>
        <w:t xml:space="preserve"> [FJ 5].</w:t>
      </w:r>
    </w:p>
    <w:p w:rsidR="0085709A" w:rsidRDefault="0085709A" w:rsidP="0085709A">
      <w:pPr>
        <w:pStyle w:val="Extracto"/>
      </w:pPr>
    </w:p>
    <w:p w:rsidR="0085709A" w:rsidRDefault="0085709A" w:rsidP="0085709A">
      <w:pPr>
        <w:pStyle w:val="Extracto"/>
      </w:pPr>
      <w:r>
        <w:t>3.</w:t>
      </w:r>
      <w:r>
        <w:tab/>
        <w:t>En el ámbito de la pena no cabe hablar de otras formas de interrupción de la prescripción de la pena distintas del quebrantamiento de condena, por no existir una regulación sustantiva en tal sentido, como en cambio sí existía en el antes del Código Penal de 1973 (STC 97/2010) [FJ 5].</w:t>
      </w:r>
    </w:p>
    <w:p w:rsidR="0085709A" w:rsidRDefault="0085709A" w:rsidP="0085709A">
      <w:pPr>
        <w:pStyle w:val="Extracto"/>
      </w:pPr>
    </w:p>
    <w:p w:rsidR="0085709A" w:rsidRDefault="0085709A" w:rsidP="0085709A">
      <w:pPr>
        <w:pStyle w:val="Extracto"/>
      </w:pPr>
      <w:r>
        <w:t>4.</w:t>
      </w:r>
      <w:r>
        <w:tab/>
        <w:t>El control de la prescripción penal en sede de jurisdicción constitucional se funda en el derecho a la tutela efectiva y en la conexión de la prescripción en el ámbito punitivo con el derecho a la libertad, sin posibilidad de interpretaciones</w:t>
      </w:r>
      <w:r w:rsidRPr="0085709A">
        <w:rPr>
          <w:i/>
        </w:rPr>
        <w:t xml:space="preserve"> in malam partem</w:t>
      </w:r>
      <w:r>
        <w:t xml:space="preserve"> en virtud del art. 25.1 CE, lo que determina un control de la resolución impugnada bajo el canon de la motivación reforzada; y los términos en los que el instituto de la prescripción penal venga regulado deben ser interpretados con particular rigor “en tanto que perjudiquen al reo” [FJ 5].</w:t>
      </w:r>
    </w:p>
    <w:p w:rsidR="0085709A" w:rsidRDefault="0085709A" w:rsidP="0085709A">
      <w:pPr>
        <w:pStyle w:val="Extracto"/>
      </w:pPr>
    </w:p>
    <w:p w:rsidR="0085709A" w:rsidRDefault="0085709A" w:rsidP="0085709A">
      <w:pPr>
        <w:pStyle w:val="Extracto"/>
      </w:pPr>
      <w:r>
        <w:t>5.</w:t>
      </w:r>
      <w:r>
        <w:tab/>
        <w:t>Los actos de ejecución vinculados al cumplimiento de las penas, in natura o por sustitución, tienen relevancia para interrumpir la prescripción (SSTC 187/2013, 49/2014) [FJ 4].</w:t>
      </w:r>
    </w:p>
    <w:p w:rsidR="0085709A" w:rsidRDefault="0085709A" w:rsidP="0085709A">
      <w:pPr>
        <w:pStyle w:val="Extracto"/>
      </w:pPr>
    </w:p>
    <w:p w:rsidR="0085709A" w:rsidRDefault="0085709A" w:rsidP="0085709A">
      <w:pPr>
        <w:pStyle w:val="Extracto"/>
      </w:pPr>
      <w:r>
        <w:t>6.</w:t>
      </w:r>
      <w:r>
        <w:tab/>
        <w:t xml:space="preserve">La doctrina establecida en la STC 97/2010, de 15 de noviembre, descartó que la suspensión de la ejecución de la pena durante la tramitación de una solicitud de </w:t>
      </w:r>
      <w:r>
        <w:lastRenderedPageBreak/>
        <w:t>indulto, como también de un recurso de amparo, despliegue un efecto interruptor sobre el plazo señalado a la prescripción de la pena;  ahora bien, dicha doctrina no resulta directamente trasladable a aquellos supuestos de paralización de la ejecución natural de la pena derivados de otras formas alternativas de cumplimiento que reconoce expresamente el legislador [FJ 4].</w:t>
      </w:r>
    </w:p>
    <w:p w:rsidR="0085709A" w:rsidRDefault="0085709A" w:rsidP="0085709A">
      <w:pPr>
        <w:pStyle w:val="Extracto"/>
      </w:pPr>
    </w:p>
    <w:p w:rsidR="0085709A" w:rsidRDefault="0085709A" w:rsidP="0085709A">
      <w:pPr>
        <w:pStyle w:val="Extracto"/>
      </w:pPr>
      <w:r>
        <w:t>7.</w:t>
      </w:r>
      <w:r>
        <w:tab/>
        <w:t>Dada la trascendencia de los valores constitucionales y derechos fundamentales en juego, entre los cuales destacan la libertad personal y la legalidad penal, el estándar de motivación exigible a la respuesta judicial será especialmente riguroso, debiendo abarcar tanto la exteriorización del razonamiento por el que se estima que concurre el supuesto previsto en la ley, como el nexo de coherencia entre la decisión adoptada, la norma que le sirve de fundamento y los fines que la justifican [FJ 3].</w:t>
      </w:r>
    </w:p>
    <w:p w:rsidR="0085709A" w:rsidRDefault="0085709A" w:rsidP="0085709A">
      <w:pPr>
        <w:pStyle w:val="Extracto"/>
      </w:pPr>
    </w:p>
    <w:p w:rsidR="0085709A" w:rsidRDefault="0085709A" w:rsidP="0085709A">
      <w:pPr>
        <w:pStyle w:val="Extracto"/>
      </w:pPr>
      <w:r>
        <w:t>8.</w:t>
      </w:r>
      <w:r>
        <w:tab/>
        <w:t>La jurisdicción constitucional no puede eludir la declaración de inconstitucionalidad o la apreciación de lesión en los señalados derechos fundamentales cuando la interpretación judicial de la norma reguladora de la prescripción, aun no siendo irrazonable o arbitraria, lleve consigo una aplicación extensiva o analógica en perjuicio del reo que exceda de su significado gramatical (STC 97/2010) [FJ 3].</w:t>
      </w:r>
    </w:p>
    <w:p w:rsidR="0085709A" w:rsidRDefault="0085709A" w:rsidP="0085709A">
      <w:pPr>
        <w:pStyle w:val="Extracto"/>
      </w:pPr>
    </w:p>
    <w:p w:rsidR="0085709A" w:rsidRDefault="0085709A" w:rsidP="0085709A">
      <w:pPr>
        <w:pStyle w:val="Extracto"/>
      </w:pPr>
      <w:r>
        <w:t>9.</w:t>
      </w:r>
      <w:r>
        <w:tab/>
        <w:t>Respecto al óbice planteado en relación con la tutela judicial efectiva en su vertiente de incongruencia omisiva, la razón que llevó a desestimar la solicitud de prescripción de la pena fue la obtención de respuesta judicial a cada una de las distintas solicitudes formuladas por el demandante en el seno de la ejecutoria, respuestas que llevaron a los órganos judiciales a considerar interrumpido el plazo de prescripción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4416-2012, promovido por don Álvaro Ramírez Montoya, representado por el Procurador de los Tribunales don Marco Aurelio Labajo González y asistido por el Abogado don José Ramón Sierra Sánchez, contra el Auto de 4 de junio de 2012 dictado por la Sección Primera de la Audiencia Provincial de A Coruña en el rollo de apelación núm. 438-2012, y el de fecha de 17 de febrero de 2012 dictado por el Juzgado de lo Penal núm. 5 de A Coruña en la ejecutoria núm. 316-2005 (procedimiento abreviado </w:t>
      </w:r>
      <w:r>
        <w:lastRenderedPageBreak/>
        <w:t>núm. 609-2003). Ha intervenido el Ministerio Fiscal.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17 de julio de 2012, el Procurador de los Tribunales don Marco Aurelio Labajo González, en nombre y representación de don Álvaro Ramírez Montoya, interpuso recurso de amparo contra las resoluciones judiciales que se citan en el encabezamiento. Por otrosí solicitó la suspensión de la ejecución de la pena.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t>a) El Juzgado de lo Penal núm. 5 de A Coruña, por Sentencia de 13 de abril de 2005, dictada en el procedimiento abreviado núm. 329-2002, condenó al demandante como autor responsable de un delito de hurto, sin apreciar circunstancias modificativas en su responsabilidad criminal, imponiéndole la pena de un año de prisión, con la accesoria de inhabilitación especial para el derecho de sufragio pasivo durante el tiempo de condena, pago de las costas e indemnización al perjudicado en la cantidad de 1.800 €. Los hechos declarados probados datan del 10 de junio de 2002. La Sentencia no fue recurrida en apelación y adquirió firmeza por Auto de 21 de diciembre de 2006, incoándose la ejecutoria núm. 316-2005. El Auto fue notificado a su Procurador el día 29 de diciembre de 2006 y al ahora demandante el 26 de enero de 2007.</w:t>
      </w:r>
    </w:p>
    <w:p w:rsidR="0085709A" w:rsidRDefault="0085709A" w:rsidP="0085709A">
      <w:pPr>
        <w:pStyle w:val="TextoNormal"/>
      </w:pPr>
    </w:p>
    <w:p w:rsidR="0085709A" w:rsidRDefault="0085709A" w:rsidP="0085709A">
      <w:pPr>
        <w:pStyle w:val="TextoNormal"/>
      </w:pPr>
      <w:r>
        <w:t>b) El mismo 26 de enero de 2007 el demandante de amparo solicitó la suspensión de la pena de prisión, comprometiéndose a abonar la responsabilidad civil fijada, a razón de 100 € mensuales, consignables judicialmente entre los días 1 y 5 de cada mes. Por providencia de 1 de marzo de 2010 se dejaba constancia de un único ingreso hasta esa fecha, por importe de 100 €, acordándose su entrega al perjudicado. Mediante sendos Autos de 16 de marzo de 2010 se declaró, por un lado, insolvente al demandante, sin perjuicio de lo que fuere pertinente en caso de venir a mejor fortuna, y se rechazó, por otro, su solicitud de suspensión de la pena privativa de libertad, al constarle diversos antecedentes penales computables que impedían tenerlo por delincuente primario. Acordó, en función de ello, el Juzgado de lo Penal la ejecución de la pena, siendo requerido el demandante el 4 de mayo siguiente para su ingreso voluntario en prisión en el plazo de diez días, bajo apercibimiento expreso de ser conducido por la fuerza pública en otro caso.</w:t>
      </w:r>
    </w:p>
    <w:p w:rsidR="0085709A" w:rsidRDefault="0085709A" w:rsidP="0085709A">
      <w:pPr>
        <w:pStyle w:val="TextoNormal"/>
      </w:pPr>
    </w:p>
    <w:p w:rsidR="0085709A" w:rsidRDefault="0085709A" w:rsidP="0085709A">
      <w:pPr>
        <w:pStyle w:val="TextoNormal"/>
      </w:pPr>
      <w:r>
        <w:t>c) Mediante escrito presentado el 20 de mayo de 2010, el demandante solicitó la sustitución de la pena de prisión por la de trabajos en beneficio de la comunidad, conforme a la previsión del art. 88.1 del Código penal, en su inciso 1. Dicha solicitud fue desestimada por Auto de 11 de junio de 2010, decisión confirmada en reforma por Auto de 5 de octubre de 2010 y, posteriormente, en apelación por Auto dictado el 21 de marzo de 2011 por la Sección Primera de la Audiencia Provincial de A Coruña. Entretanto —concretamente, el 6 de julio de 2010— el demandante consignó una nueva cantidad por importe de 1.000 €.</w:t>
      </w:r>
    </w:p>
    <w:p w:rsidR="0085709A" w:rsidRDefault="0085709A" w:rsidP="0085709A">
      <w:pPr>
        <w:pStyle w:val="TextoNormal"/>
      </w:pPr>
    </w:p>
    <w:p w:rsidR="0085709A" w:rsidRDefault="0085709A" w:rsidP="0085709A">
      <w:pPr>
        <w:pStyle w:val="TextoNormal"/>
      </w:pPr>
      <w:r>
        <w:t xml:space="preserve">Ante la desestimación en firme de su petición, el 7 de abril de 2011 el Juzgado de lo Penal dictó providencia requiriendo nuevamente al penado para que, en el plazo de cinco </w:t>
      </w:r>
      <w:r>
        <w:lastRenderedPageBreak/>
        <w:t>días, ingresara voluntariamente en prisión para el cumplimiento de la pena, requerimiento que fue recurrido en reforma por el penado y desestimado por Auto de 23 de mayo de 2011.</w:t>
      </w:r>
    </w:p>
    <w:p w:rsidR="0085709A" w:rsidRDefault="0085709A" w:rsidP="0085709A">
      <w:pPr>
        <w:pStyle w:val="TextoNormal"/>
      </w:pPr>
    </w:p>
    <w:p w:rsidR="0085709A" w:rsidRDefault="0085709A" w:rsidP="0085709A">
      <w:pPr>
        <w:pStyle w:val="TextoNormal"/>
      </w:pPr>
      <w:r>
        <w:t>d) El 20 de abril de 2011 (tres días antes, por tanto) el demandante de amparo había presentado un nuevo escrito, solicitando en esta ocasión la sustitución de la pena de prisión por la de multa, conforme a la previsión del art. 88.1 del Código penal, en su inciso 1, petición que le fue rechazada por providencia de 13 de mayo de 2011, en la que asimismo se ordenaba, por tercera vez, su ingreso voluntario en prisión, dándole el plazo de una audiencia y bajo el expreso apercibimiento de que, en caso de no hacerlo, sería conducido por la fuerza pública.</w:t>
      </w:r>
    </w:p>
    <w:p w:rsidR="0085709A" w:rsidRDefault="0085709A" w:rsidP="0085709A">
      <w:pPr>
        <w:pStyle w:val="TextoNormal"/>
      </w:pPr>
    </w:p>
    <w:p w:rsidR="0085709A" w:rsidRDefault="0085709A" w:rsidP="0085709A">
      <w:pPr>
        <w:pStyle w:val="TextoNormal"/>
      </w:pPr>
      <w:r>
        <w:t>e) Mediante escrito presentado el 19 de mayo de 2011, la representación del demandante de amparo solicitó nuevamente la suspensión de la ejecución de la pena privativa de libertad, en esta ocasión ante la circunstancia de haber solicitado ante el Ministerio de Justicia la gracia de indulto. Siéndole desestimada su pretensión suspensiva por el Juzgado de lo Penal por Auto de 9 de junio de 2011, mediante igual tipo de resolución judicial el 24 de junio de 2011 se acordó su detención e ingreso en prisión, llamándose al penado por requisitoria y oficiándose a tal fin a las fuerzas y cuerpos de seguridad del Estado.</w:t>
      </w:r>
    </w:p>
    <w:p w:rsidR="0085709A" w:rsidRDefault="0085709A" w:rsidP="0085709A">
      <w:pPr>
        <w:pStyle w:val="TextoNormal"/>
      </w:pPr>
    </w:p>
    <w:p w:rsidR="0085709A" w:rsidRDefault="0085709A" w:rsidP="0085709A">
      <w:pPr>
        <w:pStyle w:val="TextoNormal"/>
      </w:pPr>
      <w:r>
        <w:t>El Consejo de Ministros de 19 de agosto de 2011 denegó al demandante el indulto solicitado.</w:t>
      </w:r>
    </w:p>
    <w:p w:rsidR="0085709A" w:rsidRDefault="0085709A" w:rsidP="0085709A">
      <w:pPr>
        <w:pStyle w:val="TextoNormal"/>
      </w:pPr>
    </w:p>
    <w:p w:rsidR="0085709A" w:rsidRDefault="0085709A" w:rsidP="0085709A">
      <w:pPr>
        <w:pStyle w:val="TextoNormal"/>
      </w:pPr>
      <w:r>
        <w:t>f) La representación procesal del demandante, a través de un nuevo escrito registrado ante el Decanato de los Juzgados de A Coruña el 23 de enero de 2012, solicitó que, conforme a lo dispuesto en los arts. 130.1.7, 33.3 a), 133.1 y 134 del Código penal, fuera declarada extinguida su responsabilidad penal por prescripción de la pena al haber transcurrido más de cinco años tanto desde el momento en que finalizó el plazo para recurrir la Sentencia, como desde la declaración de su firmeza.</w:t>
      </w:r>
    </w:p>
    <w:p w:rsidR="0085709A" w:rsidRDefault="0085709A" w:rsidP="0085709A">
      <w:pPr>
        <w:pStyle w:val="TextoNormal"/>
      </w:pPr>
    </w:p>
    <w:p w:rsidR="0085709A" w:rsidRDefault="0085709A" w:rsidP="0085709A">
      <w:pPr>
        <w:pStyle w:val="TextoNormal"/>
      </w:pPr>
      <w:r>
        <w:t xml:space="preserve">La petición fue desestimada por Auto de 17 de febrero de 2012, al considerar el Juzgado de lo Penal competente que el plazo de prescripción del art. 134 del Código penal puede resultar interrumpido en los casos en los que la ejecución se ve “paralizada, suspendida o dilatada por una resolución o incidente iniciado a instancia o en interés del penado”. Tras una abundante cita jurisprudencial —principalmente, dimanante de Audiencias Provinciales y con inclusión de algún precedente del Tribunal Supremo, recalcando las escasas ocasiones en que este órgano ha podido pronunciarse al respecto, al no figurar tal materia entre sus habituales competencias decisorias— sostiene, más específicamente, a continuación que “en todos estos casos la suspensión o dilación de la ejecución de la pena deriva de una previsión legal expresa de la Ley introducida en interés del reo o de principios o garantías constitucionales, por lo que resulta indudable que los efectos de dicha suspensión de la ejecución de la pena han de alcanzar también al cómputo de la prescripción de dicha pena, pues, una vez que se paraliza la ejecución de una pena por imperio de la Ley y en beneficio del reo, se paraliza con ello también el transcurso de los plazos prescriptivos de dicha pena”. Proyectando esta interpretación sobre el caso de autos, el Juzgado de lo Penal no considera prescrita la pena, por cuanto “las sucesivas peticiones de beneficios a favor del penado, así como los continuos recursos interpuestos en esta ejecutoria demuestran con claridad que la </w:t>
      </w:r>
      <w:r>
        <w:lastRenderedPageBreak/>
        <w:t>dilación que se aprecia en acordar la orden de ingreso en prisión de Álvaro Ramírez Montoya para el cumplimiento efectivo de la pena impuesta ha sido debida a tales maniobras, lo que no puede llevar aparejado ahora la declaración de prescripción de la pena”.</w:t>
      </w:r>
    </w:p>
    <w:p w:rsidR="0085709A" w:rsidRDefault="0085709A" w:rsidP="0085709A">
      <w:pPr>
        <w:pStyle w:val="TextoNormal"/>
      </w:pPr>
    </w:p>
    <w:p w:rsidR="0085709A" w:rsidRDefault="0085709A" w:rsidP="0085709A">
      <w:pPr>
        <w:pStyle w:val="TextoNormal"/>
      </w:pPr>
      <w:r>
        <w:t>g) El Auto de 17 de febrero de 2012 fue recurrido en apelación, siendo el recurso desestimado por la Sección Primera de la Audiencia Provincial de A Coruña por Auto de 4 de junio de 2012. El Tribunal provincial, dejando constancia de las diferencias que presenta el supuesto examinado respecto del contemplado en la STC 97/2010, de 15 de noviembre, destaca la falta de transcurso de los plazos legalmente previstos para la prescripción de la pena de prisión concretamente impuesta, dado que las actuaciones han permanecido “vivas”, “sustanciándose recursos ordinarios interpuestos por la representación del penado contra decisiones del Juzgado tendentes a dar respuesta a las continuas solicitudes de la parte, sin que transcurran en modo alguno los plazos legalmente previstos por causa de paralizaciones innecesarias, y resultando que si se hubiera procedido a la ejecución inmediata de la pena privativa de libertad sin aguardar a los resultados de esos recursos como en algún momento llegó a acordarse, el órgano encargado de la ejecutoria habría tenido que justificar la decisión ante las protestas lógicas de la parte. No hay, en consecuencia, ‘olvido’ o ‘renuncia’ al ejercicio de</w:t>
      </w:r>
      <w:r w:rsidRPr="0085709A">
        <w:rPr>
          <w:i/>
        </w:rPr>
        <w:t>l ius punien</w:t>
      </w:r>
      <w:r>
        <w:t>di”.</w:t>
      </w:r>
    </w:p>
    <w:p w:rsidR="0085709A" w:rsidRDefault="0085709A" w:rsidP="0085709A">
      <w:pPr>
        <w:pStyle w:val="TextoNormal"/>
      </w:pPr>
    </w:p>
    <w:p w:rsidR="0085709A" w:rsidRDefault="0085709A" w:rsidP="0085709A">
      <w:pPr>
        <w:pStyle w:val="TextoNormal"/>
      </w:pPr>
      <w:r>
        <w:t>h) Por Auto de 14 de junio de 2012, el demandante fue declarado rebelde por el Juzgado de lo Penal, acordándose la suspensión y archivo de la ejecutoria en tanto fuere hallado.</w:t>
      </w:r>
    </w:p>
    <w:p w:rsidR="0085709A" w:rsidRDefault="0085709A" w:rsidP="0085709A">
      <w:pPr>
        <w:pStyle w:val="TextoNormal"/>
      </w:pPr>
    </w:p>
    <w:p w:rsidR="0085709A" w:rsidRDefault="0085709A" w:rsidP="0085709A">
      <w:pPr>
        <w:pStyle w:val="TextoNormal"/>
      </w:pPr>
      <w:r w:rsidRPr="0085709A">
        <w:rPr>
          <w:rStyle w:val="NumeroAFNegritaCaracter"/>
        </w:rPr>
        <w:t>3</w:t>
      </w:r>
      <w:r>
        <w:t>. Con fecha de entrada en el Registro General del Tribunal Constitucional de 17 de julio de 2012, el recurrente presenta demanda de amparo contra los Autos de 17 de febrero y 4 de junio de 2012.</w:t>
      </w:r>
    </w:p>
    <w:p w:rsidR="0085709A" w:rsidRDefault="0085709A" w:rsidP="0085709A">
      <w:pPr>
        <w:pStyle w:val="TextoNormal"/>
      </w:pPr>
    </w:p>
    <w:p w:rsidR="0085709A" w:rsidRDefault="0085709A" w:rsidP="0085709A">
      <w:pPr>
        <w:pStyle w:val="TextoNormal"/>
      </w:pPr>
      <w:r>
        <w:t>En ella aduce, en primer lugar, la vulneración del derecho a la tutela judicial efectiva (art. 24.1 CE), por incongruencia omisiva, en relación con el derecho a la libertad y a la legalidad penal (arts. 17.1 y 25.1 CE). Considera que las resoluciones judiciales “no sólo no dan respuesta, sino que ninguna de ellas hace siquiera mención a la que el recurrente esgrimió como una de las alegaciones principales de su pretensión, a saber, la que se refiere a la determinación del momento inicial para el cómputo del plazo de prescripción”.</w:t>
      </w:r>
    </w:p>
    <w:p w:rsidR="0085709A" w:rsidRDefault="0085709A" w:rsidP="0085709A">
      <w:pPr>
        <w:pStyle w:val="TextoNormal"/>
      </w:pPr>
    </w:p>
    <w:p w:rsidR="0085709A" w:rsidRDefault="0085709A" w:rsidP="0085709A">
      <w:pPr>
        <w:pStyle w:val="TextoNormal"/>
      </w:pPr>
      <w:r>
        <w:t xml:space="preserve">El demandante de amparo estima que debió ser tomado en consideración como tal el momento en el que la resolución devino firme, con independencia de lo que tardara el Juzgado en declarar la firmeza de la resolución —que, aduce, fue más de un año y seis meses después—, pues, a su juicio, constituye un “término siempre cierto y constatable en contraposición al momento incierto o arbitrario en que formalmente se declare así”. Recuerda al respecto que la norma que regula la materia —art. 134 del Código penal— es norma restrictiva de derechos, por lo que no puede ser objeto de una interpretación amplia o extensiva, sino todo lo contrario. Sostiene que, de entenderse que tal término es el que marca la regla de cómputo, “la pena impuesta al demandante de amparo prescribió a finales del mes de mayo del 2010, esto es, cinco años después de la fecha en que la Sentencia que la impuso fue firme, finales de mayo de 2005”. Dicho esto, advierte que “a día de hoy, aunque pretendiera hacerse valer como </w:t>
      </w:r>
      <w:r w:rsidRPr="0085709A">
        <w:rPr>
          <w:i/>
        </w:rPr>
        <w:t>dies a quo</w:t>
      </w:r>
      <w:r>
        <w:t xml:space="preserve"> del cómputo el de la fecha del Auto que declaró su firmeza, 21 de diciembre de 2006, igualmente habría operado su prescripción”.</w:t>
      </w:r>
    </w:p>
    <w:p w:rsidR="0085709A" w:rsidRDefault="0085709A" w:rsidP="0085709A">
      <w:pPr>
        <w:pStyle w:val="TextoNormal"/>
      </w:pPr>
    </w:p>
    <w:p w:rsidR="0085709A" w:rsidRDefault="0085709A" w:rsidP="0085709A">
      <w:pPr>
        <w:pStyle w:val="TextoNormal"/>
      </w:pPr>
      <w:r>
        <w:lastRenderedPageBreak/>
        <w:t>Como segundo motivo de amparo, el demandante denuncia la vulneración del derecho a la tutela judicial efectiva (art. 24.1 CE), en su vertiente de derecho a una resolución fundada en derecho, lo que de nuevo relaciona con la libertad y la legalidad penal (arts. 17.1 y 25.1 CE). Para el demandante, “las resoluciones judiciales contra las que se interpone el amparo han sido dictadas sin cumplir las expectativas exigibles del deber de motivación”. Pone de manifiesto que en la decisión adoptada por el Juzgado de instancia se prescinde de la doctrina sentada en la STC 97/2010, de 15 de noviembre, que ni siquiera es objeto de cita; mientras que en la dictada por la Audiencia Provincial tal doctrina ha sido aplicada “de manera arbitraria, irrazonable y patentemente errónea”.</w:t>
      </w:r>
    </w:p>
    <w:p w:rsidR="0085709A" w:rsidRDefault="0085709A" w:rsidP="0085709A">
      <w:pPr>
        <w:pStyle w:val="TextoNormal"/>
      </w:pPr>
    </w:p>
    <w:p w:rsidR="0085709A" w:rsidRDefault="0085709A" w:rsidP="0085709A">
      <w:pPr>
        <w:pStyle w:val="TextoNormal"/>
      </w:pPr>
      <w:r w:rsidRPr="0085709A">
        <w:rPr>
          <w:rStyle w:val="NumeroAFNegritaCaracter"/>
        </w:rPr>
        <w:t>4</w:t>
      </w:r>
      <w:r>
        <w:t>. De conformidad con lo dispuesto en el art. 11.2 de la Ley Orgánica del Tribunal Constitucional (LOTC), por providencia de 28 de enero de 2013 la Sala Primera de este Tribunal acordó conocer del recurso de amparo admitiendo a trámite la demanda y, en aplicación de lo dispuesto en el art. 51 LOTC, dirigir atenta comunicación al Juzgado de lo Penal núm. 5 y a la Sección Primera de la Audiencia Provincial de A Coruña para que remitieran certificación o fotocopia adverada de las actuaciones, así como para emplazar a quienes hubieran sido parte en el proceso para que pudieran comparecer en el presente recurso.</w:t>
      </w:r>
    </w:p>
    <w:p w:rsidR="0085709A" w:rsidRDefault="0085709A" w:rsidP="0085709A">
      <w:pPr>
        <w:pStyle w:val="TextoNormal"/>
      </w:pPr>
    </w:p>
    <w:p w:rsidR="0085709A" w:rsidRDefault="0085709A" w:rsidP="0085709A">
      <w:pPr>
        <w:pStyle w:val="TextoNormal"/>
      </w:pPr>
      <w:r>
        <w:t>Con idéntica fecha se acordó la formación de pieza separada de suspensión. Por Auto de 14 de febrero de 2013, la Sala Primera de este Tribunal acordó suspender la ejecución de la pena privativa de libertad de un año de prisión impuesta al demandante.</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 la Secretaría de la Sala Primera de este Tribunal de fecha 27 de febrero de 2013, se acordó dar vista de las actuaciones a las partes personadas y al Ministerio Fiscal, por plazo común de veinte días, para presentar las alegaciones que estimasen pertinentes, de conformidad con lo previsto en el art. 52.1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Ministerio Fiscal cumplimentó el trámite de alegaciones mediante escrito presentado el 2 de abril de 2013.</w:t>
      </w:r>
    </w:p>
    <w:p w:rsidR="0085709A" w:rsidRDefault="0085709A" w:rsidP="0085709A">
      <w:pPr>
        <w:pStyle w:val="TextoNormal"/>
      </w:pPr>
    </w:p>
    <w:p w:rsidR="0085709A" w:rsidRDefault="0085709A" w:rsidP="0085709A">
      <w:pPr>
        <w:pStyle w:val="TextoNormal"/>
      </w:pPr>
      <w:r>
        <w:t>Con carácter preliminar, el Fiscal analiza la queja relativa a la vulneración del derecho a la tutela judicial efectiva por incongruencia omisiva (art. 24.1 CE), que estima incursa en causa de inadmisión por falta de agotamiento de la vía judicial previa, pues la cuestión relativa al momento de inicio del cómputo del plazo de prescripción —puesta de manifiesto en el escrito de recurso de apelación— no habría obtenido respuesta por parte de la Audiencia Provincial, lo que, a su juicio, debió dar lugar al incidente de nulidad de actuaciones (art. 241 de la Ley Orgánica del Poder Judicial). Pone de relieve, igualmente, que la tardanza en la declaración de la firmeza de la Sentencia no fue denunciada temporáneamente ante el Juzgado de lo Penal tras haberse decidido la no interposición del recurso de apelación, como tampoco hizo la parte alegación alguna cuando se le notificó el Auto declaratorio de la firmeza de la Sentencia condenatoria.</w:t>
      </w:r>
    </w:p>
    <w:p w:rsidR="0085709A" w:rsidRDefault="0085709A" w:rsidP="0085709A">
      <w:pPr>
        <w:pStyle w:val="TextoNormal"/>
      </w:pPr>
    </w:p>
    <w:p w:rsidR="0085709A" w:rsidRDefault="0085709A" w:rsidP="0085709A">
      <w:pPr>
        <w:pStyle w:val="TextoNormal"/>
      </w:pPr>
      <w:r>
        <w:t xml:space="preserve">De forma subsidiaria, para el caso de no apreciarse tal causa de inadmisión, el Ministerio Fiscal considera que la queja no debe tener acogida, “pues como se recoge en el hecho cuarto de la demanda cuando se solicitó del Juzgado de lo Penal la declaración de la extinción de la responsabilidad criminal por la prescripción de la pena privativa de libertad, el día 23 de enero de 2012, el plazo prescriptivo había transcurrido incluso aceptando como </w:t>
      </w:r>
      <w:r>
        <w:lastRenderedPageBreak/>
        <w:t>fecha de cómputo inicial la del auto que había declarado la firmeza de la sentencia, esto es, 21 de diciembre de 2006”. Por lo expuesto considera que, aunque el demandante entienda que su alegación constituía una pretensión y que la misma quedó imprejuzgada, lo cierto es que “tal alegación carecía de toda sustantividad, al ser plenamente irrelevante para resolver la cuestión controvertida”. Si ello es así en el esquema argumentativo del demandante, entiende el Fiscal que “lo es, con mayor razón, en los fundamentos de las decisiones judiciales que han desestimado la pretensión prescriptiva aducida por la parte, puesto que para los órganos judiciales el plazo prescriptivo no habría transcurrido por las razones expuestas en las resoluciones judiciales, antes transcritas, al haber otorgado virtualidad interruptivas (sic) a las decisiones judiciales dictadas en la ejecutoria, decisiones que se adoptaron con anterioridad a que trascurriera el plazo interruptivo, en cualquiera de los dos cómputos, así el auto de 16 de marzo de 2010, que, (sic) declaró no haber lugar a la suspensión de la pena impuesta y que acordó su ejecución, fue pronunciado cuando aún no habían trascurrido cinco años desde la fecha en que se había dictado la sentencia”, extremo éste que tampoco aparece cuestionado en la demanda.</w:t>
      </w:r>
    </w:p>
    <w:p w:rsidR="0085709A" w:rsidRDefault="0085709A" w:rsidP="0085709A">
      <w:pPr>
        <w:pStyle w:val="TextoNormal"/>
      </w:pPr>
    </w:p>
    <w:p w:rsidR="0085709A" w:rsidRDefault="0085709A" w:rsidP="0085709A">
      <w:pPr>
        <w:pStyle w:val="TextoNormal"/>
      </w:pPr>
      <w:r>
        <w:t>El Fiscal, sin embargo, solicita que sea otorgado el amparo desde el segundo de los motivos alegados en la demanda, dado que no considera que la respuesta acogida en las resoluciones judiciales impugnadas —que atribuyen efecto interruptor del plazo de prescripción de la pena al dictado en la ejecutoria penal de determinadas resoluciones judiciales dirigidas a resolver las sucesivas peticiones de suspensión o sustitución de la pena de prisión— cumpla el canon de motivación reforzada exigible en estos casos. Con fundamento en la STC 97/2010, de 15 de noviembre, FFJJ 2, 4 y 5, entiende que semejante criterio se aparta del tenor literal del art. 134 del Código penal, “que sólo contempla como causa interruptiva de dicha prescripción, su cumplimiento”. Argumenta que los órganos judiciales han aplicado a la prescripción de la pena causas previstas para la prescripción de las infracciones penales, lo cual “excede de modo palmario del tenor literal de los preceptos de aplicación, implica la contemplación de nuevas causas interruptivas de la prescripción, en una interpretación contra reo y desconoce la doctrina constitucional sobre la materia que, en la STC 97/2010, ha desautorizado argumentaciones similares a las ahora sostenidas en las resoluciones cuestionadas”.</w:t>
      </w:r>
    </w:p>
    <w:p w:rsidR="0085709A" w:rsidRDefault="0085709A" w:rsidP="0085709A">
      <w:pPr>
        <w:pStyle w:val="TextoNormal"/>
      </w:pPr>
    </w:p>
    <w:p w:rsidR="0085709A" w:rsidRDefault="0085709A" w:rsidP="0085709A">
      <w:pPr>
        <w:pStyle w:val="TextoNormal"/>
      </w:pPr>
      <w:r>
        <w:t>En función de todo ello, concluye solicitando el otorgamiento del amparo por vulneración del derecho a la tutela judicial efectiva en relación con el derecho a la libertad y a la legalidad penal (arts. 24.1, 17.1 y 25.1 CE), y la anulación de las resoluciones recurridas, con retroacción de las actuaciones al momento inmediatamente anterior al dictado de la primera de ellas, a fin de que se dicte otra respetuosa con los derechos fundamentales vulnerados.</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9 de abril de 2015, se señaló para deliberación y votación de la presente Sentencia el día 13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Es objeto del presente recurso de amparo el Auto dictado el 4 de junio de 2012 por la Sección Primera de la Audiencia Provincial de A Coruña, que desestimó el recurso de apelación contra el Auto del Juzgado de lo Penal núm. 5 de A Coruña de 17 de febrero de 2012, </w:t>
      </w:r>
      <w:r>
        <w:lastRenderedPageBreak/>
        <w:t>resolución que a su vez desestimó la petición de declarar extinguida la responsabilidad penal del demandante por prescripción de la pena de un año de prisión que le había sido impuesta en el procedimiento del que trae causa.</w:t>
      </w:r>
    </w:p>
    <w:p w:rsidR="0085709A" w:rsidRDefault="0085709A" w:rsidP="0085709A">
      <w:pPr>
        <w:pStyle w:val="TextoNormal"/>
      </w:pPr>
    </w:p>
    <w:p w:rsidR="0085709A" w:rsidRDefault="0085709A" w:rsidP="0085709A">
      <w:pPr>
        <w:pStyle w:val="TextoNormal"/>
      </w:pPr>
      <w:r>
        <w:t>El recurrente funda su demanda en dos motivos: el primero de ellos, por vulneración del derecho a la tutela judicial (art. 24.1 CE), al no haber dado respuesta el Auto de la Audiencia Provincial a la alegación hecha por el demandante respecto de la fecha que debe ser tomada como inicio del cómputo del plazo de prescripción de la pena; entiende el demandante que hubo de ser en el momento en que finalizó el plazo para recurrir la Sentencia, y no la fecha del Auto que declaró su firmeza. El segundo, por vulneración del derecho a la tutela judicial efectiva, en relación con el derecho a la libertad y a la legalidad penal (arts. 24.1, 17.1 y 25.1 CE), al apreciar las resoluciones impugnadas una causa de interrupción de la prescripción de la pena no prevista en la ley, que se concreta en las diversas respuestas judiciales a las distintas peticiones realizadas en la ejecutoria, posibilidad que se aparta de la doctrina establecida en la STC 97/2010, de 15 de noviembre.</w:t>
      </w:r>
    </w:p>
    <w:p w:rsidR="0085709A" w:rsidRDefault="0085709A" w:rsidP="0085709A">
      <w:pPr>
        <w:pStyle w:val="TextoNormal"/>
      </w:pPr>
    </w:p>
    <w:p w:rsidR="0085709A" w:rsidRDefault="0085709A" w:rsidP="0085709A">
      <w:pPr>
        <w:pStyle w:val="TextoNormal"/>
      </w:pPr>
      <w:r>
        <w:t>El Ministerio Fiscal interesa que se otorgue el amparo, con fundamento exclusivo en la segunda vulneración invocada en la demanda.</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 cualquier consideración de fondo, debemos analizar la objeción procesal planteada por el Ministerio Fiscal a la primera vulneración, ya que su concurrencia determinaría la inadmisión del motivo en este momento procesal. Al efecto, procede recordar que, tal y como hemos declarado de forma reiterada, los defectos insubsanables de que pueda estar afectada la demanda de amparo no resultan convalidados por el hecho de que haya sido inicialmente admitida a trámite, pudiendo abordarse por este Tribunal —incluso, de oficio— el examen de los presupuestos de viabilidad de la demanda de amparo en fase de Sentencia, llegando en su caso, si tales defectos son apreciados, a la declaración de inadmisión del recurso o del motivo afectado por ellos (por todas, STC 170/2013, de 7 de octubre, FJ 2).</w:t>
      </w:r>
    </w:p>
    <w:p w:rsidR="0085709A" w:rsidRDefault="0085709A" w:rsidP="0085709A">
      <w:pPr>
        <w:pStyle w:val="TextoNormal"/>
      </w:pPr>
    </w:p>
    <w:p w:rsidR="0085709A" w:rsidRDefault="0085709A" w:rsidP="0085709A">
      <w:pPr>
        <w:pStyle w:val="TextoNormal"/>
      </w:pPr>
      <w:r>
        <w:t>El hecho que da contenido al primer motivo de amparo es la omisión de respuesta, en el Auto de la Audiencia Provincial, al motivo de apelación que discrepaba de la fecha de inicio del plazo de prescripción de la pena y que el recurrente concretó en el momento de finalización del plazo para recurrir la Sentencia condenatoria, sin que frente a dicho vacío planteara el demandante incidente de nulidad de actuaciones dirigido a agotar la vía judicial previa [art. 241 de la Ley Orgánica del Poder Judicial (LOPJ)]. Tal ausencia impugnativa permitiría —según el Ministerio Fiscal— apreciar la causa de inadmisión prevista en los arts. 44.1 a) y 50.1 a) de la Ley Orgánica del Tribunal Constitucional (LOTC).</w:t>
      </w:r>
    </w:p>
    <w:p w:rsidR="0085709A" w:rsidRDefault="0085709A" w:rsidP="0085709A">
      <w:pPr>
        <w:pStyle w:val="TextoNormal"/>
      </w:pPr>
    </w:p>
    <w:p w:rsidR="0085709A" w:rsidRDefault="0085709A" w:rsidP="0085709A">
      <w:pPr>
        <w:pStyle w:val="TextoNormal"/>
      </w:pPr>
      <w:r>
        <w:t>La respuesta al óbice planteado debe partir de la doctrina de este Tribunal que, al delimitar el contenido del derecho fundamental invocado —tutela judicial efectiva (art. 24.1 CE), en su vertiente de incongruencia omisiva por omisión de respuesta a todas o a alguna de las alegaciones de las partes—, condiciona la vulneración a que se produzca una efectiva falta de respuesta a la invocación de unos hechos jurídicamente determinantes del sentido del fallo. Es, pues, la incidencia en el fallo la que cualifica la alegación como jurídica y hace que la falta de respuesta judicial a la misma adquiera relevancia constitucional (STC 25/2012, de 27 de febrero, FJ 4).</w:t>
      </w:r>
    </w:p>
    <w:p w:rsidR="0085709A" w:rsidRDefault="0085709A" w:rsidP="0085709A">
      <w:pPr>
        <w:pStyle w:val="TextoNormal"/>
      </w:pPr>
    </w:p>
    <w:p w:rsidR="0085709A" w:rsidRDefault="0085709A" w:rsidP="0085709A">
      <w:pPr>
        <w:pStyle w:val="TextoNormal"/>
      </w:pPr>
      <w:r>
        <w:lastRenderedPageBreak/>
        <w:t>Sin embargo, no concurre en el presente caso ese supuesto silencio ante una alegación jurídica. Y ello porque, según se desprende de los antecedentes de hecho, la razón que llevó a desestimar la solicitud de prescripción de la pena fue la obtención de respuesta judicial a cada una de las distintas solicitudes formuladas por el demandante en el seno de la ejecutoria, respuestas que llevaron a los órganos judiciales a considerar interrumpido el plazo de prescripción. La primera de ellas, mediante el Auto de 16 de marzo de 2010 que rechazó la solicitud de suspensión de la pena, fecha en la que no había transcurrido el plazo de prescripción de la misma (cinco años), tanto si el día de inicio del cómputo es la fecha que indica el recurrente (finales de mayo del año 2005), como si lo es la de declaración de firmeza (Auto de 21 de diciembre de 2006). Tal circunstancia hace accesoria e irrelevante la respuesta que se dice omitida para el pronunciamiento de fondo y permite excluir la exigencia de plantear el incidente de nulidad de actuaciones (art. 241 LOPJ) para agotar la vía judicial previa, como expresión del carácter subsidiario del recurso de amparo [art. 44.1 a) LOTC].</w:t>
      </w:r>
    </w:p>
    <w:p w:rsidR="0085709A" w:rsidRDefault="0085709A" w:rsidP="0085709A">
      <w:pPr>
        <w:pStyle w:val="TextoNormal"/>
      </w:pPr>
    </w:p>
    <w:p w:rsidR="0085709A" w:rsidRDefault="0085709A" w:rsidP="0085709A">
      <w:pPr>
        <w:pStyle w:val="TextoNormal"/>
      </w:pPr>
      <w:r>
        <w:t>Las razones y la doctrina expuesta permiten también declarar inexistente la vulneración del derecho a la tutela judicial efectiva por incongruencia omisiva, al carecer de relevancia constitucional la ausencia de respuesta que motiva la primera queja del demandante.</w:t>
      </w:r>
    </w:p>
    <w:p w:rsidR="0085709A" w:rsidRDefault="0085709A" w:rsidP="0085709A">
      <w:pPr>
        <w:pStyle w:val="TextoNormal"/>
      </w:pPr>
    </w:p>
    <w:p w:rsidR="0085709A" w:rsidRDefault="0085709A" w:rsidP="0085709A">
      <w:pPr>
        <w:pStyle w:val="TextoNormal"/>
      </w:pPr>
      <w:r w:rsidRPr="0085709A">
        <w:rPr>
          <w:rStyle w:val="NumeroAFNegritaCaracter"/>
        </w:rPr>
        <w:t>3</w:t>
      </w:r>
      <w:r>
        <w:t>. La cuestión que da contenido al segundo motivo de amparo consiste en determinar si la interpretación que llevó en este caso a ambos órganos judiciales a estimar interrumpido el plazo de prescripción de la pena, vulnera los derechos fundamentales invocados. El demandante de amparo aduce que las resoluciones recurridas contravienen la doctrina establecida por este Tribunal en la STC 97/2010, de 15 de noviembre, al atribuir a las actuaciones procesales de la ejecutoria el efecto de interrumpir el plazo de prescripción de la pena, criterio que asimismo defiende el Fiscal.</w:t>
      </w:r>
    </w:p>
    <w:p w:rsidR="0085709A" w:rsidRDefault="0085709A" w:rsidP="0085709A">
      <w:pPr>
        <w:pStyle w:val="TextoNormal"/>
      </w:pPr>
    </w:p>
    <w:p w:rsidR="0085709A" w:rsidRDefault="0085709A" w:rsidP="0085709A">
      <w:pPr>
        <w:pStyle w:val="TextoNormal"/>
      </w:pPr>
      <w:r>
        <w:t xml:space="preserve">Antes de examinar el fondo de la cuestión, procede traer a colación lo señalado en las SSTC 47/2014, de 7 de abril, o 37/2010, de 19 de julio, entre otras muchas, para recordar que la prescripción penal supone una autolimitación o renuncia del Estado al </w:t>
      </w:r>
      <w:r w:rsidRPr="0085709A">
        <w:rPr>
          <w:i/>
        </w:rPr>
        <w:t>ius puniendi</w:t>
      </w:r>
      <w:r>
        <w:t xml:space="preserve"> por el mero transcurso del tiempo, tomando en consideración la función de la pena, la situación del presunto inculpado y su derecho a que no se dilate indebidamente en el tiempo la virtual amenaza de una sanción penal. Dicho instituto encuentra justificación constitucional en el principio de seguridad jurídica, si bien, por tratarse de una situación de libre configuración legal, no cabe concluir que su establecimiento suponga una merma del derecho de acción de los acusadores (STEDH de 22 de octubre de 1996, caso </w:t>
      </w:r>
      <w:r w:rsidRPr="0085709A">
        <w:rPr>
          <w:i/>
        </w:rPr>
        <w:t>Stubbings</w:t>
      </w:r>
      <w:r>
        <w:t>, § 46 y ss.), como tampoco que las peculiaridades del régimen jurídico que el legislador decida adoptar —delitos a los que se refiere, plazos de prescripción, momento inicial de cómputo del plazo o causas de interrupción del mismo— afecten, en sí mismas, a derecho fundamental alguno de los acusados (en este sentido, SSTC 63/2005, de 14 de marzo, FJ 2; 29/2008, de 20 de febrero, FJ 7; 79/2008, de 14 de julio, FJ 2, o 157/1990, de 18 de octubre, FJ 3, entre otras muchas).</w:t>
      </w:r>
    </w:p>
    <w:p w:rsidR="0085709A" w:rsidRDefault="0085709A" w:rsidP="0085709A">
      <w:pPr>
        <w:pStyle w:val="TextoNormal"/>
      </w:pPr>
    </w:p>
    <w:p w:rsidR="0085709A" w:rsidRDefault="0085709A" w:rsidP="0085709A">
      <w:pPr>
        <w:pStyle w:val="TextoNormal"/>
      </w:pPr>
      <w:r>
        <w:t xml:space="preserve">Constituye, asimismo, una consolidada doctrina constitucional la que considera que la apreciación en cada caso concreto de la prescripción como causa extintiva de la responsabilidad criminal es, en principio, una cuestión de legalidad ordinaria, carente por su propio contenido de relevancia constitucional (SSTC 195/2009, de 28 de septiembre, FJ 2, o 206/2009, de 23 de noviembre, FJ 2, por remisión a las SSTC 63/2001, de 17 de marzo, FJ 7; 63/2005, de 14 de marzo, FJ 2; 82/2006, de 13 de marzo, FJ 10; 79/2008, de 14 de julio, </w:t>
      </w:r>
      <w:r>
        <w:lastRenderedPageBreak/>
        <w:t xml:space="preserve">FJ 2, y 195/2009, de 28 de septiembre, FJ 2). Cuestión distinta es que la concreta decisión judicial que aprecia o rechaza tal prescripción resulte susceptible de acceder al amparo, estando, en efecto, legitimado este Tribunal para revisar </w:t>
      </w:r>
      <w:r w:rsidRPr="0085709A">
        <w:rPr>
          <w:i/>
        </w:rPr>
        <w:t>ad causam</w:t>
      </w:r>
      <w:r>
        <w:t xml:space="preserve"> el canon de motivación concretamente utilizado (SSTC 214/1999, de 29 de noviembre, FJ 4; 63/2001, de 17 de marzo, FJ 7; 63/2005, de 14 de marzo, FJ 3; 82/2006, de 13 de marzo, FJ 10, o 79/2008, de 14 de julio, FJ 2), dada la trascendencia de los valores constitucionales y derechos fundamentales en juego, entre los cuales destacan la libertad personal (art. 17.1 CE) y la legalidad penal (art. 25.1 CE). La decisión judicial deberá así razonar los elementos tomados en cuenta a la hora de interpretar el órgano judicial las normas relativas a la prescripción penal —que, por otra parte, distan de ser diáfanas— respetando, al propio tiempo, los fines que dicho instituto persigue (en este sentido, nuevamente SSTC 63/2005, de 14 de marzo, FJ 3; 29/2008, de 20 de febrero, FJ 10; 79/2008, de 14 de julio, FJ 2, o 195/2009, de 28 de septiembre, FJ 2). El estándar de motivación exigible a la respuesta judicial en estos casos será, pues, especialmente riguroso, debiendo abarcar tanto la exteriorización del razonamiento por el que se estima que concurre —o no— el supuesto previsto en la ley, como el nexo de coherencia entre la decisión adoptada, la norma que le sirve de fundamento y los fines que la justifican.</w:t>
      </w:r>
    </w:p>
    <w:p w:rsidR="0085709A" w:rsidRDefault="0085709A" w:rsidP="0085709A">
      <w:pPr>
        <w:pStyle w:val="TextoNormal"/>
      </w:pPr>
    </w:p>
    <w:p w:rsidR="0085709A" w:rsidRDefault="0085709A" w:rsidP="0085709A">
      <w:pPr>
        <w:pStyle w:val="TextoNormal"/>
      </w:pPr>
      <w:r>
        <w:t>Es ésta la razón por la que la jurisdicción constitucional no puede eludir la declaración de inconstitucionalidad o la apreciación de lesión en los señalados derechos fundamentales cuando la interpretación judicial de la norma reguladora de la prescripción, aun no siendo irrazonable o arbitraria, lleve consigo una aplicación extensiva o analógica en perjuicio del reo que exceda de su significado gramatical (SSTC 63/2005, de 14 de marzo, FJ 3: 29/2008, de 20 de febrero, FFJJ 7 y 10; 195/2009, de 28 de septiembre, FJ 2; 207/2009, de 23 de noviembre, FJ 2; 37/2010, de 19 de julio, FJ 2; 97/2010, de 15 de noviembre, FJ 2, o 152/2013, de 9 de septiembre, FJ 3).</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Este Tribunal, en su STC 97/2010, de 15 de noviembre, FJ 4, descartó que la suspensión de la ejecución de la pena durante la tramitación de una solicitud de indulto —como también de un recurso de amparo— despliegue un efecto interruptivo sobre el plazo señalado a la prescripción de la pena, poniendo de relieve la carencia de específica previsión legal al efecto, en la medida en que el art. 134 del Código penal se limita a indicar como </w:t>
      </w:r>
      <w:r w:rsidRPr="0085709A">
        <w:rPr>
          <w:i/>
        </w:rPr>
        <w:t>dies a quo</w:t>
      </w:r>
      <w:r>
        <w:t xml:space="preserve"> para el cómputo del plazo de prescripción de la pena la fecha en que la Sentencia deviene firme o bien aquélla en que la condena es quebrantada. Doctrina de la que también se hacen eco las SSTC 109/2013, de 6 de mayo, 152/2013, de 9 de septiembre, 187/2013, de 4 de noviembre, 192/2013, de 18 de noviembre y 49/2014, de 7 de abril.</w:t>
      </w:r>
    </w:p>
    <w:p w:rsidR="0085709A" w:rsidRDefault="0085709A" w:rsidP="0085709A">
      <w:pPr>
        <w:pStyle w:val="TextoNormal"/>
      </w:pPr>
    </w:p>
    <w:p w:rsidR="0085709A" w:rsidRDefault="0085709A" w:rsidP="0085709A">
      <w:pPr>
        <w:pStyle w:val="TextoNormal"/>
      </w:pPr>
      <w:r>
        <w:t xml:space="preserve">Ahora bien, tal y como este Tribunal destacó en la STC 81/2014, de 28 de mayo, FJ 3, </w:t>
      </w:r>
      <w:r w:rsidRPr="0085709A">
        <w:rPr>
          <w:i/>
        </w:rPr>
        <w:t>in fine</w:t>
      </w:r>
      <w:r>
        <w:t xml:space="preserve">, y reiteró en la STC 180/2014, de 3 de noviembre, FFJJ 2 y 3, la doctrina establecida en la STC 97/2010, de 15 de noviembre, no resulta directamente trasladable a aquellos supuestos de paralización de la ejecución natural de la pena derivados de cuantas formas alternativas de cumplimiento reconoce expresamente el legislador, dada su diferente naturaleza jurídica y efectos. Tal es el caso de la suspensión y la sustitución de las penas privativas de libertad de corta duración (arts. 80 y ss. del Código penal): al otorgarse alguno de estos beneficios, la ejecución de la concreta pena de prisión impuesta deviene imposible, salvo que el citado beneficio sea revocado. Es decir, su concesión impide al Estado ejercer, entretanto, el </w:t>
      </w:r>
      <w:r w:rsidRPr="0085709A">
        <w:rPr>
          <w:i/>
        </w:rPr>
        <w:t>ius puniendi</w:t>
      </w:r>
      <w:r>
        <w:t xml:space="preserve"> directamente resultante del fallo condenatorio. Y si el penado termina cumpliendo cuantos requisitos derivan de la norma y de la resolución judicial que ordenó </w:t>
      </w:r>
      <w:r>
        <w:lastRenderedPageBreak/>
        <w:t xml:space="preserve">esa ejecución alternativa, se producirá </w:t>
      </w:r>
      <w:r w:rsidRPr="0085709A">
        <w:rPr>
          <w:i/>
        </w:rPr>
        <w:t>ope legis</w:t>
      </w:r>
      <w:r>
        <w:t xml:space="preserve"> el mismo efecto que si hubiera cumplido la pena principal, esto es, la extinción de la responsabilidad penal declarada en firme.</w:t>
      </w:r>
    </w:p>
    <w:p w:rsidR="0085709A" w:rsidRDefault="0085709A" w:rsidP="0085709A">
      <w:pPr>
        <w:pStyle w:val="TextoNormal"/>
      </w:pPr>
    </w:p>
    <w:p w:rsidR="0085709A" w:rsidRDefault="0085709A" w:rsidP="0085709A">
      <w:pPr>
        <w:pStyle w:val="TextoNormal"/>
      </w:pPr>
      <w:r>
        <w:t xml:space="preserve">Por tal motivo, la STC 81/2014, de 28 de mayo, llegaba a la conclusión de que el criterio sostenido en la instancia judicial, consistente en entender interrumpido en aquel caso el plazo necesario para dar por prescrita la pena durante el período al que se extendió esa ejecución alternativa, luego quebrantada, no sólo se ajusta a los parámetros de razonabilidad constitucionalmente exigibles, sino también a las finalidades asociadas a la prescripción. Se estimó, en suma, compatible tal tesis no sólo con el canon de motivación reforzada exigible </w:t>
      </w:r>
      <w:r w:rsidRPr="0085709A">
        <w:rPr>
          <w:i/>
        </w:rPr>
        <w:t>ex art</w:t>
      </w:r>
      <w:r>
        <w:t xml:space="preserve">. 134 del Código penal, sino también con la doctrina recogida en las SSTC 187/2013, de 4 de noviembre, FJ 4, y 49/2014, de 7 de abril, FJ 3, que en síntesis vienen a establecer que los actos de ejecución vinculados al cumplimiento de las penas, </w:t>
      </w:r>
      <w:r w:rsidRPr="0085709A">
        <w:rPr>
          <w:i/>
        </w:rPr>
        <w:t>in natura</w:t>
      </w:r>
      <w:r>
        <w:t xml:space="preserve"> o por sustitución, tienen relevancia para interrumpir la prescripción.</w:t>
      </w:r>
    </w:p>
    <w:p w:rsidR="0085709A" w:rsidRDefault="0085709A" w:rsidP="0085709A">
      <w:pPr>
        <w:pStyle w:val="TextoNormal"/>
      </w:pPr>
    </w:p>
    <w:p w:rsidR="0085709A" w:rsidRDefault="0085709A" w:rsidP="0085709A">
      <w:pPr>
        <w:pStyle w:val="TextoNormal"/>
      </w:pPr>
      <w:r w:rsidRPr="0085709A">
        <w:rPr>
          <w:rStyle w:val="NumeroAFNegritaCaracter"/>
        </w:rPr>
        <w:t>5</w:t>
      </w:r>
      <w:r>
        <w:t>. Aproximándonos a la cuestión que procede abordar en el presente amparo, no puede sino marcarse cierta distancia respecto de la doctrina emanada de las señaladas SSTC 81/2014, de 28 de mayo, y 180/2014, de 3 de noviembre, en la medida en que —como queda visto— el debate de fondo se centró entonces en el efecto interruptor que cabe derivar del otorgamiento al penado del beneficio que representa una forma de cumplimiento alternativa a la pena de prisión, a través del reconocimiento de alguna de las diversas modalidades que a tal fin prevén los arts. 80 y ss. del Código penal. Situación opuesta a la que aquí es objeto de análisis, cuyo sustrato precisamente reside en el rechazo judicial de cuantas peticiones efectuó el penado a tal fin, solicitando, en cascada, cada una de las modalidades de cumplimiento de la pena alternativo a la prisión que contempla la norma.</w:t>
      </w:r>
    </w:p>
    <w:p w:rsidR="0085709A" w:rsidRDefault="0085709A" w:rsidP="0085709A">
      <w:pPr>
        <w:pStyle w:val="TextoNormal"/>
      </w:pPr>
    </w:p>
    <w:p w:rsidR="0085709A" w:rsidRDefault="0085709A" w:rsidP="0085709A">
      <w:pPr>
        <w:pStyle w:val="TextoNormal"/>
      </w:pPr>
      <w:r>
        <w:t xml:space="preserve">Centrados en tal modo los términos del actual debate, no parece que, desde los estrictos términos en que aparece redactado el art. 134 del Código penal, resulte factible afirmar que cuantos actos de ejecución se dirigieron aquí contra el condenado, siendo distintos del cumplimiento </w:t>
      </w:r>
      <w:r w:rsidRPr="0085709A">
        <w:rPr>
          <w:i/>
        </w:rPr>
        <w:t>in natura</w:t>
      </w:r>
      <w:r>
        <w:t xml:space="preserve"> o sustitutivo, puedan entenderse compatibles con el comienzo de ejecución al que alude el citado precepto. Tal y como consta en los antecedentes de esta resolución, después de dictarse Sentencia condenatoria y de declararse su firmeza, por Auto de 16 de marzo de 2010 se desestimó la solicitud de suspensión de la pena; a ella siguieron, de forma sucesiva, dos solicitudes de sustitución de la pena amparadas en el art. 88 del Código penal, así como una petición de suspensión durante la tramitación del indulto, peticiones que también fueron desestimadas. Hasta en tres ocasiones el órgano judicial ordenó el ingreso voluntario en prisión, no llegando a materializarse en ninguna de ellas. De este modo, las actuaciones se prolongaron en el tiempo hasta el 23 de enero de 2012, sin que existiera ninguna actuación de cumplimiento efectivo de la pena, sino tan sólo órdenes judiciales de ingreso voluntario en prisión que, por diferentes circunstancias, vinieron a quedar frustradas en su resultado material.</w:t>
      </w:r>
    </w:p>
    <w:p w:rsidR="0085709A" w:rsidRDefault="0085709A" w:rsidP="0085709A">
      <w:pPr>
        <w:pStyle w:val="TextoNormal"/>
      </w:pPr>
    </w:p>
    <w:p w:rsidR="0085709A" w:rsidRDefault="0085709A" w:rsidP="0085709A">
      <w:pPr>
        <w:pStyle w:val="TextoNormal"/>
      </w:pPr>
      <w:r>
        <w:t xml:space="preserve">El demandante de amparo aduce que las resoluciones recurridas contravienen la doctrina establecida por este Tribunal en la STC 97/2010, de 15 de noviembre. En ella, como ya hemos visto, este Tribunal negó que la suspensión de la ejecución durante la tramitación de una solicitud de indulto o de un recurso de amparo tuviera el efecto de interrumpir el plazo de prescripción de la pena, por cuanto en el ámbito de la ejecución de la pena no existe una regulación sustantiva de la interrupción de la prescripción en los preceptos del vigente Código penal, a diferencia de lo que sucedía en el precedente Código penal de 1973, cuyo art. </w:t>
      </w:r>
      <w:r>
        <w:lastRenderedPageBreak/>
        <w:t>116 contemplaba como causa de interrupción de la prescripción la comisión de otro delito antes de completar el tiempo de prescripción.</w:t>
      </w:r>
    </w:p>
    <w:p w:rsidR="0085709A" w:rsidRDefault="0085709A" w:rsidP="0085709A">
      <w:pPr>
        <w:pStyle w:val="TextoNormal"/>
      </w:pPr>
    </w:p>
    <w:p w:rsidR="0085709A" w:rsidRDefault="0085709A" w:rsidP="0085709A">
      <w:pPr>
        <w:pStyle w:val="TextoNormal"/>
      </w:pPr>
      <w:r>
        <w:t xml:space="preserve">No es, sin embargo, tal criterio vinculado a la no suspensión por la tramitación de un indulto el que resulta directamente aplicable al caso, con la sola excepción del periodo afectado por esa concreta petición del demandante, sino aquél que también recuerda la STC 49/2014, de 7 de abril, FJ 2, por remisión a las SSTC 109/2013, de 6 de mayo, y 192/2013, de 18 de noviembre, en el sentido de que el control de la prescripción penal en sede de jurisdicción constitucional se funda en el derecho a la tutela efectiva y en la conexión de la prescripción en el ámbito punitivo con el derecho a la libertad (art. 17.1 CE), sin posibilidad de interpretaciones </w:t>
      </w:r>
      <w:r w:rsidRPr="0085709A">
        <w:rPr>
          <w:i/>
        </w:rPr>
        <w:t>in malam partem</w:t>
      </w:r>
      <w:r>
        <w:t xml:space="preserve"> en virtud del art. 25.1 CE (STC 29/2008, de 20 de febrero, FJ 12), lo que determina un control de la resolución impugnada bajo el canon de la motivación reforzada. Resultará así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0085709A" w:rsidRDefault="0085709A" w:rsidP="0085709A">
      <w:pPr>
        <w:pStyle w:val="TextoNormal"/>
      </w:pPr>
    </w:p>
    <w:p w:rsidR="0085709A" w:rsidRDefault="0085709A" w:rsidP="0085709A">
      <w:pPr>
        <w:pStyle w:val="TextoNormal"/>
      </w:pPr>
      <w:r>
        <w:t>El único precepto que el Código penal dedica a la cuestión que analizamos es el art. 134, con la siguiente redacción literal: “El tiempo de la prescripción de la pena se computará desde la fecha de la sentencia firme o desde el quebrantamiento de la condena, si ésta hubiese comenzado a cumplirse.” El legislador no contempla otras causas de interrupción de la prescripción de la pena que éstas, de manera que, desde el momento en que se trata de ejecutar una resolución firme contra persona o personas determinadas, el eje de la prescripción de la pena gira en torno al cumplimiento de la misma. Y ello porque, a diferencia de la prescripción del delito, en la fase de ejecución el culpable ya está plenamente identificado y, al menos en los casos en que no se sustrae a la acción de la justicia, se encuentra a disposición del Juez o Tribunal para la ejecución de la pena (STC 187/2013, de 4 de noviembre, FFJJ 4 y 5, citando a las SSTC 109/2013, de 6 de mayo, FJ 4 y 6, y 152/2013, de 9 de septiembre, FJ 5). Así pues, en el ámbito de ejecución de la pena no cabe hablar de otras formas de interrupción de la prescripción de la pena distintas del quebrantamiento de condena, por no existir una regulación sustantiva en tal sentido, como en cambio sí existía en el antes citado Código penal de 1973 (SSTC 97/2010, de 15 de noviembre, FJ 4; 109/2013, de 6 de mayo, FJ 4; 187/2013, de 4 de noviembre, FJ 4; 192/2013, de 18 de noviembre, FJ 4 y 49/2014, de 7 de abril, FJ 3).</w:t>
      </w:r>
    </w:p>
    <w:p w:rsidR="0085709A" w:rsidRDefault="0085709A" w:rsidP="0085709A">
      <w:pPr>
        <w:pStyle w:val="TextoNormal"/>
      </w:pPr>
    </w:p>
    <w:p w:rsidR="0085709A" w:rsidRDefault="0085709A" w:rsidP="0085709A">
      <w:pPr>
        <w:pStyle w:val="TextoNormal"/>
      </w:pPr>
      <w:r>
        <w:t xml:space="preserve">Circunstancias todas ellas que llevan a excluir en este caso la justificación postulada en la instancia, que adjudica un efecto interruptor del plazo de prescripción a las diferentes resoluciones judiciales recaídas a lo largo de la ejecutoria de la que trae causa el amparo, dirigidas en su mayoría a resolver sobre las sucesivas peticiones realizadas por el penado en orden a cumplir la pena de prisión en alguna de las formas alternativas que prevén los arts. 80 y ss. del Código penal. Y ello porque la única hipótesis impeditiva del transcurso del plazo de prescripción de la pena que actualmente reconoce de modo expreso el art. 134 del Código penal es el quebrantamiento del cumplimiento de la pena ya iniciada. Por tal motivo, no cabe entender que la denegación de cada una de las formas alternativas al cumplimiento </w:t>
      </w:r>
      <w:r>
        <w:lastRenderedPageBreak/>
        <w:t xml:space="preserve">tenga cobijo en el precepto referenciado, pues precisamente su denegación impide entender iniciado un cumplimiento equivalente a la ejecución </w:t>
      </w:r>
      <w:r w:rsidRPr="0085709A">
        <w:rPr>
          <w:i/>
        </w:rPr>
        <w:t>in natura</w:t>
      </w:r>
      <w:r>
        <w:t>.</w:t>
      </w:r>
    </w:p>
    <w:p w:rsidR="0085709A" w:rsidRDefault="0085709A" w:rsidP="0085709A">
      <w:pPr>
        <w:pStyle w:val="TextoNormal"/>
      </w:pPr>
    </w:p>
    <w:p w:rsidR="0085709A" w:rsidRDefault="0085709A" w:rsidP="0085709A">
      <w:pPr>
        <w:pStyle w:val="TextoNormal"/>
      </w:pPr>
      <w:r>
        <w:t>El art. 118 de nuestra Constitución recoge el mandato expreso de cumplimiento de las Sentencias y demás resoluciones firmes dictadas por los Jueces y Tribunales, deber cuyo seguimiento incumbe al órgano judicial competente a la hora de hacer ejecutar la Sentencia, adoptando sin dilación las medidas necesarias para que el condenado ingrese en el establecimiento penal destinado a tal fin, según prevé también la normativa procesal y, en particular, el art. 990 de la Ley de enjuiciamiento criminal en su inciso segundo. Para casos como el examinado, el legislador no ha previsto expresamente mecanismos suspensivos excepcionales que otorguen a la tramitación de peticiones como las examinadas —como tampoco a los recursos subsidiarios a las mismas— efectos suspensivos del cumplimiento.</w:t>
      </w:r>
    </w:p>
    <w:p w:rsidR="0085709A" w:rsidRDefault="0085709A" w:rsidP="0085709A">
      <w:pPr>
        <w:pStyle w:val="TextoNormal"/>
      </w:pPr>
    </w:p>
    <w:p w:rsidR="0085709A" w:rsidRDefault="0085709A" w:rsidP="0085709A">
      <w:pPr>
        <w:pStyle w:val="TextoNormal"/>
      </w:pPr>
      <w:r>
        <w:t>Conforme a la doctrina expuesta, el criterio interpretativo sostenido por los órganos jurisdiccionales en las resoluciones recurridas —que supuso entender interrumpida la prescripción de la pena de un año de prisión impuesta al recurrente en amparo desde la sucesión misma de decisiones judiciales tendentes a dar respuesta a sus continuas solicitudes de cumplimiento alternativo— no puede entenderse amparado en la literalidad de la norma aplicable, lo que incide en el derecho a la legalidad penal (art. 25.1 CE) y repercute en los derechos del demandante a la tutela judicial efectiva (art. 24.1 CE) y a la libertad (art. 17.1 CE), impidiendo estimar debidamente satisfecho el canon de motivación reforzada exigible en estos casos.</w:t>
      </w:r>
    </w:p>
    <w:p w:rsidR="0085709A" w:rsidRDefault="0085709A" w:rsidP="0085709A">
      <w:pPr>
        <w:pStyle w:val="TextoNormal"/>
      </w:pPr>
    </w:p>
    <w:p w:rsidR="0085709A" w:rsidRDefault="0085709A" w:rsidP="0085709A">
      <w:pPr>
        <w:pStyle w:val="TextoNormal"/>
      </w:pPr>
      <w:r>
        <w:t>Debe, por ello, otorgarse el amparo solicitado para restablecer al recurrente en la integridad de los derechos fundamentales vulnerados, y así anular el Auto de la Sección Primera de la Audiencia Provincial de A Coruña de 4 de junio de 2012, en la medida en que se fundamenta en la aplicación de una interrupción de la prescripción sin base legal, retrotrayendo las actuaciones al momento anterior al dictado por el Juzgado de lo Penal núm. 5 de A Coruña del Auto de 17 de febrero de 2012, que desestimó la prescripción de la pena solicitada por el recurrente, para que se dicten nuevas resoluciones judiciales respetuosas con los derechos fundamentales vulnerados.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interpuesto por don Álvaro Ramírez Montoya, otorgándole el amparo, y en su virtud:</w:t>
      </w:r>
    </w:p>
    <w:p w:rsidR="0085709A" w:rsidRDefault="0085709A" w:rsidP="0085709A">
      <w:pPr>
        <w:pStyle w:val="TextoNormal"/>
      </w:pPr>
    </w:p>
    <w:p w:rsidR="0085709A" w:rsidRDefault="0085709A" w:rsidP="0085709A">
      <w:pPr>
        <w:pStyle w:val="TextoNormal"/>
      </w:pPr>
      <w:r>
        <w:t>1º Declarar que se ha vulnerado su derecho a la tutela judicial efectiva (art. 24.1 CE), en relación con el derecho a la libertad (art. 17.1 CE) y con el derecho a la legalidad penal (art. 25.1 CE).</w:t>
      </w:r>
    </w:p>
    <w:p w:rsidR="0085709A" w:rsidRDefault="0085709A" w:rsidP="0085709A">
      <w:pPr>
        <w:pStyle w:val="TextoNormal"/>
      </w:pPr>
    </w:p>
    <w:p w:rsidR="0085709A" w:rsidRDefault="0085709A" w:rsidP="0085709A">
      <w:pPr>
        <w:pStyle w:val="TextoNormal"/>
      </w:pPr>
      <w:r>
        <w:lastRenderedPageBreak/>
        <w:t>2º Restablecerlo en la integridad de sus derechos y, a tal fin, anular el Auto dictado el 4 de junio de 2012 por la Sección Primera de la Audiencia Provincial de A Coruña en el rollo de apelación núm. 438-2012, así como el Auto dictado el 17 de febrero de 2012 por el Juzgado de lo Penal núm. 5 de A Coruña en la ejecutoria núm. 316-2005, retrotrayendo las actuaciones al momento inmediatamente anterior al dictado de este último, con el fin de que este órgano judicial dicte una nueva resolución respetuosa de los derechos fundamentales afectados.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trece de abril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Encarnación Roca Trías a la Sentencia dictada en el recurso de amparo núm. 4416-2012.</w:t>
      </w:r>
    </w:p>
    <w:p w:rsidR="0085709A" w:rsidRDefault="0085709A" w:rsidP="0085709A">
      <w:pPr>
        <w:pStyle w:val="TextoNormalNegritaCentrado"/>
        <w:keepNext/>
      </w:pPr>
    </w:p>
    <w:p w:rsidR="0085709A" w:rsidRDefault="0085709A" w:rsidP="0085709A">
      <w:pPr>
        <w:pStyle w:val="TextoNormal"/>
      </w:pPr>
      <w:r>
        <w:t>En el ejercicio de la facultad que me confiere el art. 90.2 de la Ley Orgánica del Tribunal Constitucional, y desde el máximo respeto a la opinión expresada por la mayoría, vengo a mostrar mi discrepancia únicamente en lo relativo a entender que la motivación expuesta en las resoluciones judiciales frente a las que se interpone la reclamación de amparo no cubre el canon de motivación reforzada exigible en estos casos.</w:t>
      </w:r>
    </w:p>
    <w:p w:rsidR="0085709A" w:rsidRDefault="0085709A" w:rsidP="0085709A">
      <w:pPr>
        <w:pStyle w:val="TextoNormal"/>
      </w:pPr>
    </w:p>
    <w:p w:rsidR="0085709A" w:rsidRDefault="0085709A" w:rsidP="0085709A">
      <w:pPr>
        <w:pStyle w:val="TextoNormal"/>
      </w:pPr>
      <w:r>
        <w:t>1. Dicha discrepancia requiere un resumen preliminar de los principales hitos procesales de los que la demanda de amparo trae causa, asimismo reflejados en los antecedentes de esta resolución. Una vez declarada la firmeza de la condena, el Juzgado de lo Penal en el Auto de 16 de marzo de 2010, desestimó una primera petición del penado en la que solicitaba la de suspensión de la pena privativa de libertad, requiriéndole para que ingresara voluntariamente en prisión. Frente a ello, reaccionó el recurrente, planteando sucesivamente dos solicitudes de sustitución de esta pena, por aplicación del art. 88 del Código penal (CP). Desestimada la primera de ellas (sustitución por trabajos en beneficio de la comunidad), fue nuevamente requerido de ingreso voluntario, que impugnó, planteando —antes de que se resolviera la impugnación— esa segunda petición de sustitución (ahora por multa). Rechazadas todas sus pretensiones mediante otras tantas resoluciones judiciales, cuyo fundamento y debida motivación en modo alguno ha puesto en duda ante este Tribunal, el recurrente intentó una última suspensión ligada a la tramitación del indulto, que le fue judicialmente desestimada, al igual que terminó siéndolo el propio indulto. Llegamos así al 23 de enero de 2012, en un ir y venir de solicitudes del penado que produjeron que se pospusiera el efectivo cumplimiento de la pena de prisión.</w:t>
      </w:r>
    </w:p>
    <w:p w:rsidR="0085709A" w:rsidRDefault="0085709A" w:rsidP="0085709A">
      <w:pPr>
        <w:pStyle w:val="TextoNormal"/>
      </w:pPr>
    </w:p>
    <w:p w:rsidR="0085709A" w:rsidRDefault="0085709A" w:rsidP="0085709A">
      <w:pPr>
        <w:pStyle w:val="TextoNormal"/>
      </w:pPr>
      <w:r>
        <w:t xml:space="preserve">Acabados los posibles recursos, el Juzgado de lo Penal acordó la detención del demandante para su ingreso en prisión, frente a lo cual —y no sin antes interesar esa nueva suspensión de la ejecución durante la tramitación del indulto— éste pidió que se declarara prescrita la pena. Es contra el rechazo de la prescripción que actúa ahora en amparo. Entre los argumentos de fondo de la desestimación, tanto el órgano judicial de la instancia como el de segundo grado destacan que no ha existido verdadera inactividad o desidia judicial que, abarcando el plazo de paralización procesal de cinco años aquí aplicable, permita entender prescrita la pena; siendo así que, de haberse acordado por el Juzgado de lo Penal la inmediata ejecución de una pena privativa de libertad de corta duración como la aquí impuesta, obligando al penado a ingresar en prisión antes de recaer decisión en firme para cada una de sus </w:t>
      </w:r>
      <w:r>
        <w:lastRenderedPageBreak/>
        <w:t>aisladas peticiones, podría habérsele generado un daño grave e irreparable, en atención al cual quedó pospuesta la orden judicial coercitiva.</w:t>
      </w:r>
    </w:p>
    <w:p w:rsidR="0085709A" w:rsidRDefault="0085709A" w:rsidP="0085709A">
      <w:pPr>
        <w:pStyle w:val="TextoNormal"/>
      </w:pPr>
    </w:p>
    <w:p w:rsidR="0085709A" w:rsidRDefault="0085709A" w:rsidP="0085709A">
      <w:pPr>
        <w:pStyle w:val="TextoNormal"/>
      </w:pPr>
      <w:r>
        <w:t>La segunda premisa de la que parte el Juzgado de lo Penal al desestimar la petición de prescripción y confirma la Audiencia Provincial consiste, asimismo, en entender que las múltiples solicitudes planteadas por el demandante dirigidas a obtener el beneplácito judicial al cumplimiento alternativo a la pena privativa de libertad, en unión del cúmulo de recursos que interpuso frente a otras tantas desestimaciones por parte de los órganos judiciales encargados de resolver, exigían una respuesta judicial individualizada, pues de esa misma forma individualizada iban siendo progresivamente planteadas, lo que demuestra que la dilación del ingreso en prisión obedece a razones ajenas a la actuación judicial misma y, por ende, no implica una paralización del proceso innecesaria y judicialmente imputable al Juez.</w:t>
      </w:r>
    </w:p>
    <w:p w:rsidR="0085709A" w:rsidRDefault="0085709A" w:rsidP="0085709A">
      <w:pPr>
        <w:pStyle w:val="TextoNormal"/>
      </w:pPr>
    </w:p>
    <w:p w:rsidR="0085709A" w:rsidRDefault="0085709A" w:rsidP="0085709A">
      <w:pPr>
        <w:pStyle w:val="TextoNormal"/>
      </w:pPr>
      <w:r>
        <w:t xml:space="preserve">2. No se discute que la posición procesal del demandante de amparo estuvo marcada por el empleo paulatino de cuantos mecanismos prevén los arts. 80 y ss. CP, canalizando sucesivas peticiones de diferente cuño a raíz de la desestimación de la inmediata anterior. Cada petición buscó expresa y directamente, bien eludir el cumplimiento </w:t>
      </w:r>
      <w:r w:rsidRPr="0085709A">
        <w:rPr>
          <w:i/>
        </w:rPr>
        <w:t>in natura</w:t>
      </w:r>
      <w:r>
        <w:t xml:space="preserve"> de la pena, bien la orden misma de ingreso en prisión, provocando de hecho el efecto de postergar la ejecución material. Frente a cada notificación de una nueva desestimación, actuó el demandante con cuantos resortes figuran en la norma, hasta agotar el régimen de recursos, o bien planteó una nueva pretensión distinta de la anterior, si bien susceptible de haber sido acumulada a la inicial.</w:t>
      </w:r>
    </w:p>
    <w:p w:rsidR="0085709A" w:rsidRDefault="0085709A" w:rsidP="0085709A">
      <w:pPr>
        <w:pStyle w:val="TextoNormal"/>
      </w:pPr>
    </w:p>
    <w:p w:rsidR="0085709A" w:rsidRDefault="0085709A" w:rsidP="0085709A">
      <w:pPr>
        <w:pStyle w:val="TextoNormal"/>
      </w:pPr>
      <w:r>
        <w:t xml:space="preserve">Lo anterior demuestra que no hubo desidia judicial, que hubiera podido entenderse como una renuncia al </w:t>
      </w:r>
      <w:r w:rsidRPr="0085709A">
        <w:rPr>
          <w:i/>
        </w:rPr>
        <w:t>ius puniendi</w:t>
      </w:r>
      <w:r>
        <w:t xml:space="preserve"> del Estado, sino una clara voluntad judicial dirigida a dar efectividad a la condena. La ejecutoria esté colmada de decisiones judiciales que dan respuesta a cada una de esas pretensiones, siguiendo entretanto su curso la ejecución en lo atinente a las demás consecuencias del delito, como el abono de la responsabilidad civil. Aun constatándose ciertos periodos de estancamiento de la ejecutoria, ninguno de ellos resulta lo suficientemente prolongado como para abarcar por sí mismo el plazo prescriptivo, y no es menos cierto que con este proceder, el demandante contribuyó decididamente a la ralentización del proceso en su conjunto.</w:t>
      </w:r>
    </w:p>
    <w:p w:rsidR="0085709A" w:rsidRDefault="0085709A" w:rsidP="0085709A">
      <w:pPr>
        <w:pStyle w:val="TextoNormal"/>
      </w:pPr>
    </w:p>
    <w:p w:rsidR="0085709A" w:rsidRDefault="0085709A" w:rsidP="0085709A">
      <w:pPr>
        <w:pStyle w:val="TextoNormal"/>
      </w:pPr>
      <w:r>
        <w:t xml:space="preserve">Para evitar el perjuicio que el inicio de la ejecución de la pena privativa de libertad pudiera causar, el Juzgado de lo Penal optó por esperar a la toma de una decisión judicial en firme, llegada la cual un nuevo giro en la estrategia defensiva reconducía la ejecución de la pena al mismo punto de partida. El recelo judicial a dar efectividad al año de prisión, ponderando sus perniciosos efectos frente a un eventual pronunciamiento favorable a los intereses del penado mientras aún era factible obtenerlo en alguna de las instancias que seguían abiertas, justifica su propia postergación. Las decisiones judiciales se fundamentan en el principio </w:t>
      </w:r>
      <w:r w:rsidRPr="0085709A">
        <w:rPr>
          <w:i/>
        </w:rPr>
        <w:t>pro reo</w:t>
      </w:r>
      <w:r>
        <w:t>, que sustentan también el razonamiento de las resoluciones combatidas en sede de amparo que consideraron, en función de ello, interrumpido el plazo de prescripción de la pena.</w:t>
      </w:r>
    </w:p>
    <w:p w:rsidR="0085709A" w:rsidRDefault="0085709A" w:rsidP="0085709A">
      <w:pPr>
        <w:pStyle w:val="TextoNormal"/>
      </w:pPr>
    </w:p>
    <w:p w:rsidR="0085709A" w:rsidRDefault="0085709A" w:rsidP="0085709A">
      <w:pPr>
        <w:pStyle w:val="TextoNormal"/>
      </w:pPr>
      <w:r>
        <w:t xml:space="preserve">Tal motivación no puede entenderse ilógica ni irracional, como tampoco carente de un sólido fundamento constitucional </w:t>
      </w:r>
      <w:r w:rsidRPr="0085709A">
        <w:rPr>
          <w:i/>
        </w:rPr>
        <w:t>pro libertate</w:t>
      </w:r>
      <w:r>
        <w:t xml:space="preserve"> que colma las exigencias de una motivación reforzada, primando la libertad personal (art. 17.1 CE) frente al cumplimiento de la pena </w:t>
      </w:r>
      <w:r>
        <w:lastRenderedPageBreak/>
        <w:t>(arts. 25 y 118 CE). Similar espíritu ha presidido, en sede de amparo, la concesión al demandante del beneficio suspensivo de la ejecución de la pena de prisión impuesta, dictando este Tribunal Auto a tal fin el 14 de febrero de 2013, para evitar el perjuicio que el ingreso en prisión hubiera podido suponer al recurrente en una eventual estimación del amparo solicitado, por el que efectivamente se ha decantado la mayoría.</w:t>
      </w:r>
    </w:p>
    <w:p w:rsidR="0085709A" w:rsidRDefault="0085709A" w:rsidP="0085709A">
      <w:pPr>
        <w:pStyle w:val="TextoNormal"/>
      </w:pPr>
    </w:p>
    <w:p w:rsidR="0085709A" w:rsidRDefault="0085709A" w:rsidP="0085709A">
      <w:pPr>
        <w:pStyle w:val="TextoNormal"/>
      </w:pPr>
      <w:r>
        <w:t>3. En un segundo orden de cosas, la legítima elección de una estrategia defensiva no puede merecer el reconocimiento constitucional cuando produzca el resultado del incumplimiento de la pena impuesta en firme. Ningún derecho fundamental se concibe ilimitado y, por ello mismo, tampoco el de defensa, a pesar de su reconocimiento amplio en el art. 24 CE. En este sentido el sujeto pasivo del proceso puede optar por defenderse de la forma que estime más conveniente para sus intereses (SSTC 142/2009, de 15 de junio, FJ 6, y 61/2005, de 14 de marzo, FJ 3); pero no resulta constitucionalmente correcto concatenar a esa previa y libre elección de la estrategia procesal defensiva un efecto anulatorio de aquellas consecuencias penales y procesales que pudieren finalmente manifestarse adversas o contrarias a sus propósitos, como tampoco puede seguirse de ello una garantía de impunidad para quien, en uso de sus derechos, optó voluntariamente por la que consideró su línea de defensa más conveniente, contando para ello con el oportuno respaldo técnico.</w:t>
      </w:r>
    </w:p>
    <w:p w:rsidR="0085709A" w:rsidRDefault="0085709A" w:rsidP="0085709A">
      <w:pPr>
        <w:pStyle w:val="TextoNormal"/>
      </w:pPr>
    </w:p>
    <w:p w:rsidR="0085709A" w:rsidRDefault="0085709A" w:rsidP="0085709A">
      <w:pPr>
        <w:pStyle w:val="TextoNormal"/>
      </w:pPr>
      <w:r>
        <w:t>El uso por el recurrente de las distintas opciones permitidas por la norma constituyó un diseño defensivo fundado y legítimo. Siendo incuestionable el derecho del demandante a invocar pretensiones amparadas en la ley y a emplear cuantos mecanismos le reconoce el ordenamiento procesal penal, no considero menos razonable entender que las consecuencias que de ello puedan seguirse no han de quedar constreñidas a los eventuales efectos favorables al reo, debiendo asimismo abarcar aquéllos que, desde esa misma libertad de elección, le resulten perjudiciales. En este caso, esta estrategia habría producido la interrupción de la prescripción de la pena cada vez que se presentó el correspondiente recurso, obligando al juez a dar la correspondiente respuesta.</w:t>
      </w:r>
    </w:p>
    <w:p w:rsidR="0085709A" w:rsidRDefault="0085709A" w:rsidP="0085709A">
      <w:pPr>
        <w:pStyle w:val="TextoNormal"/>
      </w:pPr>
    </w:p>
    <w:p w:rsidR="0085709A" w:rsidRDefault="0085709A" w:rsidP="0085709A">
      <w:pPr>
        <w:pStyle w:val="TextoNormal"/>
      </w:pPr>
      <w:r>
        <w:t>4. Cierto es que el principio de seguridad jurídica actúa frente a la quiebra de las legítimas expectativas que pudiere tener el penado en cuanto a que el transcurso en cómputo global de los plazos de prescripción legalmente previstos haría que la pena que le había sido impuesta, no pudiera ser finalmente ejecutada. Sin embargo, frente al anterior argumento cabe oponer el de la buena fe procesal, que encuentra su reverso en el fraude de ley. A ambos aluden expresamente tanto el art. 11.1 y 2 de la Ley Orgánica del Poder Judicial (LOPJ), como el art. 7.1 y 2 del Código civil. A dicho fraude se ha referido también este Tribunal Constitucional en algunas ocasiones. Así, en relación con otro precepto vinculado a la ejecución penal como es el art. 58.1 CP, las SSTC 158/2012, de 17 de septiembre, FJ 4, y 92/2012, de 7 de mayo, FJ 5, señalaron que “los efectos de la aplicación normativa postulada se alejarían de su finalidad y generarían una suerte de fraude de ley, dado que una interpretación pretendidamente apoyada en el enunciado literal de la norma pero que desconoce su finalidad, provocaría un efecto no querido por ésta”.</w:t>
      </w:r>
    </w:p>
    <w:p w:rsidR="0085709A" w:rsidRDefault="0085709A" w:rsidP="0085709A">
      <w:pPr>
        <w:pStyle w:val="TextoNormal"/>
      </w:pPr>
    </w:p>
    <w:p w:rsidR="0085709A" w:rsidRDefault="0085709A" w:rsidP="0085709A">
      <w:pPr>
        <w:pStyle w:val="TextoNormal"/>
      </w:pPr>
      <w:r>
        <w:t xml:space="preserve">Doctrinalmente, el principio de legalidad penal se descompone en varias garantías, entre las cuales figura la de la ejecución de las penas, de modo que la actividad jurídico-administrativa en que consiste tal ejecución ha de ajustarse obligatoriamente a lo dispuesto en la Ley y en los reglamentos que la desarrollan. Así se desprende del art. 117.3 CE, cuando atribuye de forma exclusiva a los Jueces y Tribunales la potestad de juzgar y “hacer ejecutar </w:t>
      </w:r>
      <w:r>
        <w:lastRenderedPageBreak/>
        <w:t>lo juzgado según las normas de procedimiento establecidas por las leyes”. El art. 3.2 CP se manifiesta en un sentido parecido al señalar que “tampoco podrá ejecutarse pena ni medida de seguridad en otra forma que la prescrita por la Ley y reglamentos que la desarrollan, ni con otras circunstancias o accidentes que los expresados en su texto”.</w:t>
      </w:r>
    </w:p>
    <w:p w:rsidR="0085709A" w:rsidRDefault="0085709A" w:rsidP="0085709A">
      <w:pPr>
        <w:pStyle w:val="TextoNormal"/>
      </w:pPr>
    </w:p>
    <w:p w:rsidR="0085709A" w:rsidRDefault="0085709A" w:rsidP="0085709A">
      <w:pPr>
        <w:pStyle w:val="TextoNormal"/>
      </w:pPr>
      <w:r>
        <w:t>Sin embargo, el tratamiento legislativo de la ejecución de las penas y de las medidas de seguridad en el ordenamiento jurídico español dista mucho de ser satisfactorio. A falta de una regulación omnicomprensiva o general sobre la ejecución penal, la normativa vigente en la materia se caracteriza por su dispersión, fragmentación y falta de sistemática, excediendo con mucho el único ámbito del Código penal para encontrar complementos en otras normas, sustantivas y procesales. Ello la ha convertido en una fuente reconocida e inagotable de controversias interpretativas, y ha obligado a este Tribunal a ofrecer repetidas respuestas en clave constitucional. De algunas de ellas el propio prelegislador parece hacerse tímido eco en la nueva redacción propuesta para el art. 134 CP, actualmente en fase parlamentaria, recogiendo expresamente nuevas circunstancias de interrupción de los plazos de prescripción de la sanción penal.</w:t>
      </w:r>
    </w:p>
    <w:p w:rsidR="0085709A" w:rsidRDefault="0085709A" w:rsidP="0085709A">
      <w:pPr>
        <w:pStyle w:val="TextoNormal"/>
      </w:pPr>
    </w:p>
    <w:p w:rsidR="0085709A" w:rsidRDefault="0085709A" w:rsidP="0085709A">
      <w:pPr>
        <w:pStyle w:val="TextoNormal"/>
      </w:pPr>
      <w:r>
        <w:t>Tal dispersión normativa permite entender racional la interpretación defendida en la instancia por los órganos judiciales, en función de la cual, la prescripción de la pena no se valora limitándola al art. 134 CP, sino que se pone en relación con otros referidos a la ejecución y que, en las muy particulares circunstancias del caso, son un claro referente a tener en cuenta, como son los arts. 80 y ss. CP, efectuando así una labor integradora. Por tal motivo, no estimo que la interpretación judicial analizada en el presente amparo haya vulnerado el principio de seguridad jurídica, como tampoco el de legalidad penal. Antes al contrario, los órganos judiciales ajustaron su razonamiento a una interpretación sistemática de los diversos preceptos penales en conflicto, que no ciñeron a la exclusiva y estricta horma del art. 134 CP, sino a cuantos preceptos relacionados con la ejecución habían tenido un carácter sustancial en este caso. Resolvieron así la solicitud de prescripción de la pena respetando las garantías constitucionalmente exigibles.</w:t>
      </w:r>
    </w:p>
    <w:p w:rsidR="0085709A" w:rsidRDefault="0085709A" w:rsidP="0085709A">
      <w:pPr>
        <w:pStyle w:val="TextoNormal"/>
      </w:pPr>
    </w:p>
    <w:p w:rsidR="0085709A" w:rsidRDefault="0085709A" w:rsidP="0085709A">
      <w:pPr>
        <w:pStyle w:val="TextoNormal"/>
      </w:pPr>
      <w:r>
        <w:t>Por todas las razones expuestas estimo que la pretensión de amparo no hubo de ser acogida.</w:t>
      </w:r>
    </w:p>
    <w:p w:rsidR="0085709A" w:rsidRDefault="0085709A" w:rsidP="0085709A">
      <w:pPr>
        <w:pStyle w:val="TextoNormal"/>
      </w:pPr>
    </w:p>
    <w:p w:rsidR="0085709A" w:rsidRDefault="0085709A" w:rsidP="0085709A">
      <w:pPr>
        <w:pStyle w:val="TextoNormal"/>
      </w:pPr>
      <w:r>
        <w:t>Y en tal sentido emito este Voto particular.</w:t>
      </w:r>
    </w:p>
    <w:p w:rsidR="0085709A" w:rsidRDefault="0085709A" w:rsidP="0085709A">
      <w:pPr>
        <w:pStyle w:val="TextoNormal"/>
      </w:pPr>
    </w:p>
    <w:p w:rsidR="0085709A" w:rsidRDefault="0085709A" w:rsidP="0085709A">
      <w:pPr>
        <w:pStyle w:val="TextoNormal"/>
      </w:pPr>
      <w:r>
        <w:t>Madrid, a trece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7" w:name="SENTENCIA_2015_64"/>
      <w:r>
        <w:lastRenderedPageBreak/>
        <w:t>SENTENCIA 64/2015, de 13 de abril de 2015</w:t>
      </w:r>
    </w:p>
    <w:bookmarkEnd w:id="67"/>
    <w:p w:rsidR="0085709A" w:rsidRDefault="0085709A" w:rsidP="0085709A">
      <w:pPr>
        <w:pStyle w:val="TtuloResolucin"/>
      </w:pPr>
      <w:r>
        <w:t>Sala Primera</w:t>
      </w:r>
    </w:p>
    <w:p w:rsidR="0085709A" w:rsidRDefault="0085709A" w:rsidP="0085709A">
      <w:pPr>
        <w:pStyle w:val="TtuloBOE"/>
      </w:pPr>
      <w:r>
        <w:t>(BOE núm. 122, de 22 de mayo de 2015)</w:t>
      </w:r>
    </w:p>
    <w:p w:rsidR="0085709A" w:rsidRDefault="0085709A" w:rsidP="0085709A">
      <w:pPr>
        <w:pStyle w:val="TextoNormalCentrado"/>
      </w:pPr>
      <w:r>
        <w:t>ECLI:ES:TC:2015:64</w:t>
      </w:r>
    </w:p>
    <w:p w:rsidR="0085709A" w:rsidRDefault="0085709A" w:rsidP="0085709A">
      <w:pPr>
        <w:pStyle w:val="TextoNormalCentrado"/>
      </w:pPr>
    </w:p>
    <w:p w:rsidR="0085709A" w:rsidRDefault="0085709A" w:rsidP="0085709A">
      <w:pPr>
        <w:pStyle w:val="SntesisDescriptiva"/>
      </w:pPr>
      <w:r>
        <w:t>Recurso de amparo 4592-2012. Promovido por BMC Software Distribution BV, en relación con el Auto de la Sala de lo Contencioso-Administrativo del Tribunal Supremo que inadmitió su recurso de casación frente a Sentencia de la Audiencia Nacional sobre impuesto de sociedades.</w:t>
      </w:r>
    </w:p>
    <w:p w:rsidR="0085709A" w:rsidRDefault="0085709A" w:rsidP="0085709A">
      <w:pPr>
        <w:pStyle w:val="SntesisDescriptiva"/>
      </w:pPr>
    </w:p>
    <w:p w:rsidR="0085709A" w:rsidRDefault="0085709A" w:rsidP="0085709A">
      <w:pPr>
        <w:pStyle w:val="SntesisAnaltica"/>
      </w:pPr>
      <w:r>
        <w:t>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p>
    <w:p w:rsidR="0085709A" w:rsidRDefault="0085709A" w:rsidP="0085709A">
      <w:pPr>
        <w:pStyle w:val="SntesisAnaltica"/>
      </w:pPr>
    </w:p>
    <w:p w:rsidR="0085709A" w:rsidRDefault="0085709A" w:rsidP="0085709A">
      <w:pPr>
        <w:pStyle w:val="Extracto"/>
      </w:pPr>
      <w:r>
        <w:t>1.</w:t>
      </w:r>
      <w:r>
        <w:tab/>
        <w:t>Las invocaciones constitucionales en que se fundamenta este recurso ya han sido objeto de análisis por el Pleno de este Tribunal en la STC 7/2015 [FJ 2].</w:t>
      </w:r>
    </w:p>
    <w:p w:rsidR="0085709A" w:rsidRDefault="0085709A" w:rsidP="0085709A">
      <w:pPr>
        <w:pStyle w:val="Extracto"/>
      </w:pPr>
    </w:p>
    <w:p w:rsidR="0085709A" w:rsidRDefault="0085709A" w:rsidP="0085709A">
      <w:pPr>
        <w:pStyle w:val="Extracto"/>
      </w:pPr>
      <w:r>
        <w:t>2.</w:t>
      </w:r>
      <w:r>
        <w:tab/>
        <w:t>Se descarta la lesión del derecho a la igualdad en la aplicación de la ley, ya que se cumple con los requisitos exigidos por la jurisprudencia constitucional para considerar que el cambio de criterio es acorde con el principio de igualdad en cuanto se caracteriza por su abstracción y generalidad, no constituye una solución para un caso o para una persona y razona explícitamente la alteración doctrinal, que se justifica a partir de la finalidad que debe cumplir el escrito de preparación del recurso de casación [FJ 2].</w:t>
      </w:r>
    </w:p>
    <w:p w:rsidR="0085709A" w:rsidRDefault="0085709A" w:rsidP="0085709A">
      <w:pPr>
        <w:pStyle w:val="Extracto"/>
      </w:pPr>
    </w:p>
    <w:p w:rsidR="0085709A" w:rsidRDefault="0085709A" w:rsidP="0085709A">
      <w:pPr>
        <w:pStyle w:val="Extracto"/>
      </w:pPr>
      <w:r>
        <w:t>3.</w:t>
      </w:r>
      <w:r>
        <w:tab/>
        <w:t>Se considera vulnerado el derecho a la tutela judicial efectiva, porque la decisión de inadmisión impugnada no tomó en consideración que la exigencia del requisito controvertido, no era conocido ni predecible para la parte recurrente en el momento en que se presentó el escrito de preparación, habiéndose intentado subsanar además mediante la presentación de un escrito complementario de adecuación a las nuevas exigencias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 4592-2012, promovido por BMC SOFTWARE DISTRIBUTION BV, representado por la Procuradora de los Tribunales doña Inés Tascón Herrero y asistido por la Abogada doña Ana Martínez Gutiérrez, contra el Auto de la Sección Primera de la Sala de lo Contencioso-Administrativo del Tribunal Supremo de 1 de diciembre de 2011, que declaró la inadmisión del recurso de casación núm. 99-2011, y contra el Auto de 24 de mayo de 2012 que desestimó el incidente de nulidad de actuaciones promovido contra aquél. Ha comparecido y formulado alegaciones el Abogado del Estado, en la representación que ostenta, y ha intervenido el Ministerio Fiscal. Ha sido Ponente la Magistrada doña Encarnación Roca Trias,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24 de julio de 2012 tuvo entrada en el Registro General de este Tribunal, escrito presentado por la Procuradora de los Tribunales doña María Luisa Sánchez Quero, actuando en nombre y representación de BMC Software Distribution BV, y bajo la dirección letrada de la Abogada doña Ana Martínez Gutiérrez, mediante el que interpuso recurso de amparo contra las resoluciones judiciales que se mencionan en el encabezamiento. Por escrito de 25 de febrero de 2015, se comunicó a este Tribunal el cambio de representación actuando como Procuradora doña Inés Tascón Herrero.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en lo que a este recurso de amparo interesa, los siguientes:</w:t>
      </w:r>
    </w:p>
    <w:p w:rsidR="0085709A" w:rsidRDefault="0085709A" w:rsidP="0085709A">
      <w:pPr>
        <w:pStyle w:val="TextoNormal"/>
      </w:pPr>
    </w:p>
    <w:p w:rsidR="0085709A" w:rsidRDefault="0085709A" w:rsidP="0085709A">
      <w:pPr>
        <w:pStyle w:val="TextoNormal"/>
      </w:pPr>
      <w:r>
        <w:t>a) La mercantil demandante de amparo, mediante escrito registrado el 16 de diciembre de 2010, preparó recurso de casación frente a la Sentencia dictada por la Sala de lo Contencioso-Administrativo de la Audiencia Nacional (Sección Segunda), de fecha 25 de noviembre de 2010, que estimaba en parte el recurso contencioso-administrativo por ella interpuesto, contra la resolución del Tribunal Económico-Administrativo Central de fecha de 31 de mayo de 2007, sobre liquidación del impuesto sobre sociedades en relación con los ejercicios 1996 a 1998, ambos inclusive. En el citado escrito, la sociedad recurrente puso de manifiesto la intención de interponer recurso de casación, la legitimación de la parte recurrente, el cumplimiento del plazo para la presentación del escrito y el carácter recurrible de la resolución impugnada. A ello añadió la precisión de que el recurso iba a fundarse en los motivos previstos en los apartados c) y d) del art. 88.1 de la Ley reguladora de la jurisdicción contencioso-administrativa (LJCA).</w:t>
      </w:r>
    </w:p>
    <w:p w:rsidR="0085709A" w:rsidRDefault="0085709A" w:rsidP="0085709A">
      <w:pPr>
        <w:pStyle w:val="TextoNormal"/>
      </w:pPr>
    </w:p>
    <w:p w:rsidR="0085709A" w:rsidRDefault="0085709A" w:rsidP="0085709A">
      <w:pPr>
        <w:pStyle w:val="TextoNormal"/>
      </w:pPr>
      <w:r>
        <w:t>También y por escrito registrado el 3 de diciembre de 2010, se preparó recurso de casación por el Abogado del Estado. Ambos recursos fueron tenidos por preparados por diligencia de ordenación de la Sala de lo Contencioso-Administrativo de la Audiencia Nacional dictada el 20 de diciembre de 2010.</w:t>
      </w:r>
    </w:p>
    <w:p w:rsidR="0085709A" w:rsidRDefault="0085709A" w:rsidP="0085709A">
      <w:pPr>
        <w:pStyle w:val="TextoNormal"/>
      </w:pPr>
    </w:p>
    <w:p w:rsidR="0085709A" w:rsidRDefault="0085709A" w:rsidP="0085709A">
      <w:pPr>
        <w:pStyle w:val="TextoNormal"/>
      </w:pPr>
      <w:r>
        <w:t>b) El 3 de febrero de 2011, la demandante de amparo formuló recurso de casación ante el Tribunal Supremo. Asimismo, mediante escrito presentado el 31 de enero de 2011 se formuló recurso de casación por la Administración del Estado, recurso en el que la demandante se personó como recurrida. Ambos recursos fueron registrados con el núm. 99-2011.</w:t>
      </w:r>
    </w:p>
    <w:p w:rsidR="0085709A" w:rsidRDefault="0085709A" w:rsidP="0085709A">
      <w:pPr>
        <w:pStyle w:val="TextoNormal"/>
      </w:pPr>
    </w:p>
    <w:p w:rsidR="0085709A" w:rsidRDefault="0085709A" w:rsidP="0085709A">
      <w:pPr>
        <w:pStyle w:val="TextoNormal"/>
      </w:pPr>
      <w:r>
        <w:t>c) En fecha 30 de marzo de 2011, la recurrente presentó escrito ante la Sala de lo Contencioso-Administrativo de la Audiencia Nacional en el que ponía de manifiesto que habiendo tenido conocimiento del Auto dictado por la Sala de lo Contencioso-Administrativo del Tribunal Supremo (en adelante, ATS), de 10 de febrero de 2011 (rec. núm. 2927-2010) —que, según señala, en la fecha de presentación del escrito no le constaba hubiera sido publicado en la base de datos oficial del Consejo General del Poder Judicial— por el que se modificaba su doctrina relativa a los requisitos exigibles para la preparación del recurso de casación formulado contra sentencias y autos dictados por la Audiencia Nacional, procedía a adecuar el escrito de preparación a la nueva doctrina mantenida por el Tribunal Supremo en la materia citada, con la advertencia de que “[d]icha adecuación se realiza, obviamente, para el caso de que dicha doctrina sea mantenida por el Alto Tribunal y, en el caso de que así sea, considere que la misma resulta de aplicación incluso a los recursos de casación que hayan sido preparados con anterioridad a hacerse público el mencionado Auto”. Termina solicitando que teniendo por presentado el citado escrito y por efectuadas las manifestaciones realizadas, se tuviera por adecuado el escrito de preparación de casación formulado, y, previos los trámites legales que procediesen, se remitiera el escrito al Tribunal Supremo para su unión al recurso de casación núm. 8-99-2011 interpuesto frente a la Sentencia impugnada.</w:t>
      </w:r>
    </w:p>
    <w:p w:rsidR="0085709A" w:rsidRDefault="0085709A" w:rsidP="0085709A">
      <w:pPr>
        <w:pStyle w:val="TextoNormal"/>
      </w:pPr>
    </w:p>
    <w:p w:rsidR="0085709A" w:rsidRDefault="0085709A" w:rsidP="0085709A">
      <w:pPr>
        <w:pStyle w:val="TextoNormal"/>
      </w:pPr>
      <w:r>
        <w:t>Por diligencia de ordenación de 21 de junio de 2011 de la Sala Tercera del Tribunal Supremo, se tuvo por recibido el anterior escrito presentado en la Audiencia Nacional.</w:t>
      </w:r>
    </w:p>
    <w:p w:rsidR="0085709A" w:rsidRDefault="0085709A" w:rsidP="0085709A">
      <w:pPr>
        <w:pStyle w:val="TextoNormal"/>
      </w:pPr>
    </w:p>
    <w:p w:rsidR="0085709A" w:rsidRDefault="0085709A" w:rsidP="0085709A">
      <w:pPr>
        <w:pStyle w:val="TextoNormal"/>
      </w:pPr>
      <w:r>
        <w:t>d) El 19 de mayo de 2011 se dictó providencia por la que la Sala Tercera del Tribunal Supremo, tanto respecto del recurso de casación interpuesto por la Administración General del Estado como por BMC Software Distribution BV, puso de manifiesto a las partes para alegaciones la posible concurrencia de la causa de inadmisión, consistente en: “no haber anunciado en el escrito de preparación del recurso de casación, las correspondientes infracciones normativas o jurisprudenciales que se desarrollarán en el escrito de interposición (artículos 88.1, 89.1 y 93.2 a de la LRJCA, y Auto de la Sala de 10 de febrero de 2011, dictado en recurso de casación 2927/2010)”. En cumplimiento de dicho trámite, tanto el Abogado del Estado como la mercantil recurrente formalizaron sus escritos, registrados el 27 de mayo de 2011 y el 6 de junio de 2011, respectivamente, en los que se defiende la procedencia de la admisión de sus recursos de casación.</w:t>
      </w:r>
    </w:p>
    <w:p w:rsidR="0085709A" w:rsidRDefault="0085709A" w:rsidP="0085709A">
      <w:pPr>
        <w:pStyle w:val="TextoNormal"/>
      </w:pPr>
    </w:p>
    <w:p w:rsidR="0085709A" w:rsidRDefault="0085709A" w:rsidP="0085709A">
      <w:pPr>
        <w:pStyle w:val="TextoNormal"/>
      </w:pPr>
      <w:r>
        <w:t>e) Por Auto de 1 de diciembre de 2011, la Sala Tercera del Tribunal Supremo (Sección Primera) declaró la inadmisión de los recursos de casación interpuestos por el Abogado del Estado y por la sociedad demandante. La Sala se remitió a los AATS de 10 de febrero, 12 de mayo y 16 de junio, todos de 2011, para terminar concluyendo que los recursos de casación resultan inadmisibles por no cumplirse los requisitos exigidos en los arts. 89.2 y 93.2 a) LJCA. En concreto, en el caso de la mercantil actora, por no citar en su escrito de preparación “las concretas infracciones normativas o jurisprudenciales que se reputan infringidas, refiriéndose únicamente a que el recurso se fundamenta en los motivos previstos en los apartados c) y d) del artículo 88.1 de la Ley jurisdiccional”.</w:t>
      </w:r>
    </w:p>
    <w:p w:rsidR="0085709A" w:rsidRDefault="0085709A" w:rsidP="0085709A">
      <w:pPr>
        <w:pStyle w:val="TextoNormal"/>
      </w:pPr>
    </w:p>
    <w:p w:rsidR="0085709A" w:rsidRDefault="0085709A" w:rsidP="0085709A">
      <w:pPr>
        <w:pStyle w:val="TextoNormal"/>
      </w:pPr>
      <w:r>
        <w:t>Considera, en síntesis, “que la doctrina relativa a las exigencias predicables del escrito de preparación del recurso de casación, en lo que atañe a la cita de las infracciones norma</w:t>
      </w:r>
      <w:r>
        <w:lastRenderedPageBreak/>
        <w:t xml:space="preserve">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 En consecuencia, la Sala sostiene, después de hacer referencia a varias Sentencias de este Tribunal, la posibilidad de inadmitir un recurso de casación por un criterio interpretativo posterior al momento de presentación del escrito de preparación del recurso, acogiéndose al “mínimo efecto retroactivo”. Estima que “[e]n caso contrario, quedaría petrificada la nueva interpretación jurisprudencial a aquellos escritos de interposición de recursos que fueron presentados debidamente ante los Tribunales de Justicia a partir del momento del ‘anuncio’ del cambio de criterio, ‘anunció’ que no están obligados los órganos jurisdiccionales, tal y como tiene asentada la doctrina constitucional referida”. Asimismo, considera que hay que tener en cuenta que “una resolución judicial que incorpora un cambio de criterio jurisprudencial y cuya eficacia fuese meramente prospectiva sería un mero </w:t>
      </w:r>
      <w:r w:rsidRPr="0085709A">
        <w:rPr>
          <w:i/>
        </w:rPr>
        <w:t>obiter dictum</w:t>
      </w:r>
      <w:r>
        <w:t xml:space="preserve">, amén de que se frustraría la finalidad del proceso porque la resolución no afectaría a las partes”, y que “[e]l único límite temporal al que se limitan los cambios de criterio jurisprudenciales, de conformidad con la doctrina del Tribunal Constitucional, es a las situaciones jurídicas que gozan de la protección de cosa juzgada”. Añade a lo dicho que no puede ser acogida la pretendida adecuación del escrito de preparación en momento distinto al contemplado en el art. 89.1 LJCA, “pues la primera fase de preparación del recurso de casación no se configuran en el sistema de la Ley Jurisdiccional como un mero formalismo carente de mayor trascendencia, sino más bien como un trámite que adquiere sustantividad propia, en cuanto ha sido establecido por el legislador con la evidente finalidad de permitir al mismo Tribunal que ha dictado la resolución judicial efectuar un primer juicio sobre la procedencia del recurso y constatar si se dan las condiciones previstas en la Ley de la Jurisdicción para darle trámite y remitir lo actuado ante el Tribunal Supremo; y con el propósito de proporcionar a la parte recurrida información acerca de los motivos en que se fundamentará el recurso de casación”. A su juicio, es “obvio” que dicha finalidad “sólo puede cumplirse si la Sala </w:t>
      </w:r>
      <w:r w:rsidRPr="0085709A">
        <w:rPr>
          <w:i/>
        </w:rPr>
        <w:t>a quo</w:t>
      </w:r>
      <w:r>
        <w:t xml:space="preserve"> y las partes disponen de toda la información necesaria para formar criterio sobre tal cuestión; de ahí que sea carga de interesado en recurrir en casación proporcionar ya en el escrito de preparación los datos indispensables para comprobar el cumplimiento de esos requisitos, sin que, por lo demás, esta carga procesal que sólo al recurrente afecta, puede ser cumplida o completada en momento distinto recogido en el citado artículo y en perjuicio de la parte procesal enfrentada a quien pretende recurrir”.</w:t>
      </w:r>
    </w:p>
    <w:p w:rsidR="0085709A" w:rsidRDefault="0085709A" w:rsidP="0085709A">
      <w:pPr>
        <w:pStyle w:val="TextoNormal"/>
      </w:pPr>
    </w:p>
    <w:p w:rsidR="0085709A" w:rsidRDefault="0085709A" w:rsidP="0085709A">
      <w:pPr>
        <w:pStyle w:val="TextoNormal"/>
      </w:pPr>
      <w:r>
        <w:t>f) El 10 de febrero de 2012, la ahora demandante de amparo presentó escrito promoviendo incidente de nulidad de actuaciones en el que, con una muy extensa argumentación, alegó la vulneración de los arts. 14 y 24 CE. En el escrito se alegaba, en resumen, que el Tribunal Supremo había modificado de manera arbitraria y sin motivación, su jurisprudencia sobre los requisitos del escrito de preparación del recurso de casación formulados contra sentencias y autos dictados por la Audiencia Nacional, exigiendo uno no contemplado en la Ley y aplicándolo a escritos presentados con anterioridad a la adopción del nuevo criterio, con vulneración de la doctrina del Tribunal Constitucional en materia de subsanación de defectos procesales. Aduce también, en relación con la vulneración del art. 14 CE, que con posterioridad al ATS de 10 de febrero de 2011, la misma Sección de la Sala dictó resoluciones contrarias a esta nueva jurisprudencia, retomando el criterio anterior que exigía sólo la mención de los motivos de casación.</w:t>
      </w:r>
    </w:p>
    <w:p w:rsidR="0085709A" w:rsidRDefault="0085709A" w:rsidP="0085709A">
      <w:pPr>
        <w:pStyle w:val="TextoNormal"/>
      </w:pPr>
    </w:p>
    <w:p w:rsidR="0085709A" w:rsidRDefault="0085709A" w:rsidP="0085709A">
      <w:pPr>
        <w:pStyle w:val="TextoNormal"/>
      </w:pPr>
      <w:r>
        <w:t xml:space="preserve">g) Por Auto de 24 de mayo de 2012 se desestimó el incidente de nulidad de actuaciones promovido contra el Auto anterior. La Sala aprecia que el incidente planteado se limita, en lo fundamental, a discrepar con la declaración de inadmisión del recurso de casación por ella efectuada y con los razonamientos jurídicos que fundan dicho pronunciamiento, “utilizando el incidente de nulidad actuaciones como si de un recurso de súplica se tratara, pretendiendo someter a crítica la bondad jurídica de una resolución judicial que es firme </w:t>
      </w:r>
      <w:r w:rsidRPr="0085709A">
        <w:rPr>
          <w:i/>
        </w:rPr>
        <w:t>ex lege</w:t>
      </w:r>
      <w:r>
        <w:t xml:space="preserve"> —art. 93.6 LRJCA—”, cuando, en lo sustancial, las alegaciones han recibido una respuesta motivada en el Auto de 1 de diciembre de 2011. A lo dicho añade que conviene recordar que el derecho a la tutela judicial efectiva (art. 24.1 CE), es un derecho prestacional de configuración legal, cuyo ejercicio y prestación “están supeditados a la concurrencia de los presupuestos y requisitos que, en cada caso, haya establecido el legislador”, que “también se satisface con la obtención de una resolución de inadmisión … si esta decisión se funda en la existencia de una causa legal que así lo justifique”. Señala al respecto que debe tenerse presente que “resulta doctrina reiterada de esta Sala la de que no se quebranta dicho derecho porque un proceso contencioso-administrativo quede resuelto en única instancia”. Por otra parte, y en relación con las posibilidades de subsanación de los defectos formales, considera que el incumplimiento de la carga que a la parte recurrente impone el art. 89.1 LJCA, supone un vicio sustancial que afecta al contenido mismo de la actuación procesal de parte y no un simple defecto de forma que admita su subsanación de conformidad con el art. 138 LJCA (al respecto, se remite a la STC 265/2005).</w:t>
      </w:r>
    </w:p>
    <w:p w:rsidR="0085709A" w:rsidRDefault="0085709A" w:rsidP="0085709A">
      <w:pPr>
        <w:pStyle w:val="TextoNormal"/>
      </w:pPr>
    </w:p>
    <w:p w:rsidR="0085709A" w:rsidRDefault="0085709A" w:rsidP="0085709A">
      <w:pPr>
        <w:pStyle w:val="TextoNormal"/>
      </w:pPr>
      <w:r w:rsidRPr="0085709A">
        <w:rPr>
          <w:rStyle w:val="NumeroAFNegritaCaracter"/>
        </w:rPr>
        <w:t>3</w:t>
      </w:r>
      <w:r>
        <w:t>. El demandante basa su recurso de amparo en la vulneración de sus derechos a la igualdad en la aplicación de la ley (art. 14 CE) y a la tutela judicial efectiva (art. 24.1 CE), en su vertiente de acceso a los recursos.</w:t>
      </w:r>
    </w:p>
    <w:p w:rsidR="0085709A" w:rsidRDefault="0085709A" w:rsidP="0085709A">
      <w:pPr>
        <w:pStyle w:val="TextoNormal"/>
      </w:pPr>
    </w:p>
    <w:p w:rsidR="0085709A" w:rsidRDefault="0085709A" w:rsidP="0085709A">
      <w:pPr>
        <w:pStyle w:val="TextoNormal"/>
      </w:pPr>
      <w:r>
        <w:t>La argumentación de la mercantil recurrente parte de que la exigencia de la anticipación al trámite de preparación de la cita de los concretos preceptos o la jurisprudencia que se reputan infringidos carece de cobertura legal en LJCA, pues dicho requisito sólo se exige en el supuesto concreto del art. 89.2 LJCA, relativo a la impugnación de las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Defiende, por ello, que el ATS de 1 de diciembre de 2011, objeto del presente recurso amparo, no sólo ha inadmitido el recurso de casación en aplicación de un requisito no contemplado en la Ley, sino que dicho requisito ha sido aplicado de forma sorpresiva e inesperada como consecuencia del cambio jurisprudencial acaecido con el ATS de 10 de febrero de 2011 (recurso núm. 2927-2010), que considera arbitrario y no motivado.</w:t>
      </w:r>
    </w:p>
    <w:p w:rsidR="0085709A" w:rsidRDefault="0085709A" w:rsidP="0085709A">
      <w:pPr>
        <w:pStyle w:val="TextoNormal"/>
      </w:pPr>
    </w:p>
    <w:p w:rsidR="0085709A" w:rsidRDefault="0085709A" w:rsidP="0085709A">
      <w:pPr>
        <w:pStyle w:val="TextoNormal"/>
      </w:pPr>
      <w:r>
        <w:t>Denuncia, en síntesis, que “habiendo preparado un recurso de casación cumpliendo escrupulosamente con la Ley y, especialmente, con la Jurisprudencia que la interpretaba en aquel momento, ha visto, sin embargo, inadmitido su recurso por un cambio jurisprudencial posterior, carente de cualquier fundamento legal, no justificado y que, aplicado con carácter retroactivo, ha hecho que, sin género de duda … se haya vulnerado de manera flagrante su derecho a la tutela judicial efectiva en su vertiente de acceso a los recursos (artículo 24 CE), así como su derecho a la igualdad, en su vertiente de igualdad en la aplicación judicial de la Ley (artículo 14 CE)”.</w:t>
      </w:r>
    </w:p>
    <w:p w:rsidR="0085709A" w:rsidRDefault="0085709A" w:rsidP="0085709A">
      <w:pPr>
        <w:pStyle w:val="TextoNormal"/>
      </w:pPr>
    </w:p>
    <w:p w:rsidR="0085709A" w:rsidRDefault="0085709A" w:rsidP="0085709A">
      <w:pPr>
        <w:pStyle w:val="TextoNormal"/>
      </w:pPr>
      <w:r>
        <w:lastRenderedPageBreak/>
        <w:t xml:space="preserve">Ambas quejas son extensamente desarrolladas en la demanda de amparo con amplia cita jurisprudencial tanto del Tribunal Constitucional como del Tribunal Supremo. Respecto de la alegada vulneración del derecho a la igualdad en la aplicación de la ley (art. 14 CE), la demandante de amparo argumenta que el cambio jurisprudencial que lleva a cabo el Auto impugnado supone una flagrante vulneración del citado derecho, pues se presenta como irrazonado o arbitrario, por no haber justificado los motivos jurídicos que amparan el cambio de criterio; irrazonable, especialmente teniendo en cuenta que se pretende su aplicación con efectos </w:t>
      </w:r>
      <w:r w:rsidRPr="0085709A">
        <w:rPr>
          <w:i/>
        </w:rPr>
        <w:t>ex tunc</w:t>
      </w:r>
      <w:r>
        <w:t xml:space="preserve">; y sin vocación de permanencia, en la medida en que existen autos y sentencias posteriores al ATS de 10 de febrero de 2011 en los que no se ha exigido por parte de la Sala Tercera del Tribunal Supremo (Sección Primera), el referido requisito de concretar en el escrito de preparación del recurso de casación interpuesto contra sentencias de la Audiencia Nacional, la norma o jurisprudencia que se considera infringida. Además, defiende que concurren las exigencias constitucionales precisas para fundamentar que se ha producido una efectiva vulneración del derecho de igualdad en aplicación de la ley (art. 14 CE), en cuanto se acredita un </w:t>
      </w:r>
      <w:r w:rsidRPr="0085709A">
        <w:rPr>
          <w:i/>
        </w:rPr>
        <w:t>tertium comparationis</w:t>
      </w:r>
      <w:r>
        <w:t xml:space="preserve"> válido (identidad del órgano judicial que dicta la resolución, identidad fáctica del supuesto a resolver, alteridad y ausencia de motivación para operar el cambio de criterio).</w:t>
      </w:r>
    </w:p>
    <w:p w:rsidR="0085709A" w:rsidRDefault="0085709A" w:rsidP="0085709A">
      <w:pPr>
        <w:pStyle w:val="TextoNormal"/>
      </w:pPr>
    </w:p>
    <w:p w:rsidR="0085709A" w:rsidRDefault="0085709A" w:rsidP="0085709A">
      <w:pPr>
        <w:pStyle w:val="TextoNormal"/>
      </w:pPr>
      <w:r>
        <w:t>Por su parte, en relación con la vulneración del derecho a la tutela judicial efectiva (art. 24.1 CE), en su vertiente de acceso al recurso, la sociedad recurrente considera que la decisión adoptada por la Sección Primera de la Sala Tercera, carece de cualquier cobertura legal dado que no se contiene ni se deduce de la Ley jurisdiccional; antes bien, resulta abiertamente contraria a la misma e, incluso, a la jurisprudencia del Tribunal Supremo relativa a los requisitos predicables de los escritos de preparación de recursos de casación, así como a la delimitación del concepto “requisitos de forma” realizada por el Tribunal Constitucional. Añade que la vulneración se produce, igualmente, por la aplicación retroactiva de un nuevo criterio jurisprudencial y por la indefensión que provoca tanto la falta de ofrecimiento para remediarlo, como la decisión de no acceder a la subsanación de los defectos de que pudiera adolecer el escrito de preparación en el plazo concedido al efecto, en tanto que se le están exigiendo requisitos que no estaban en vigor al tiempo de presentarse el escrito de preparación, que no están recogidos en la Ley y, además, que no habían sido identificados como tales requisitos por la jurisprudencia del Tribunal Supremo en su consolidada doctrina configurada a lo largo de más de 12 años. A su juicio, la Sala Tercera debió tener en consideración su diligente proceder que demostró al aportar el escrito de fecha de 30 de marzo de 2011 de adecuación a las nuevas exigencias previstas en el ATS de 10 de febrero de 2011.</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20 de mayo de 2013, la Sala Primera del Tribunal Constitucional, de conformidad con lo dispuesto en el art. 11.2 de la Ley Orgánica del Tribunal Constitucional (LOTC), acuerda conocer del presente recurso de amparo y admitir a trámite la demanda presentada. Asimismo, en aplicación de lo dispuesto en el art. 51 LOTC, acordó dirigir atenta comunicación a la Sección Primera de la Sala de lo Contencioso-Administrativo del Tribunal Supremo y a la Sección Segunda de la Sala de lo Contencioso-Administrativo de la Audiencia Nacional a fin de que, en el plazo de diez días, remitieran certificación o fotocopia adverada de las actuaciones correspondientes a los recursos núms. 99-2011 y 329-2007,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El 14 de junio de 2013, el Abogado del Estado presentó escrito ante este Tribunal suplicando que, con la admisión del mismo, se le tenga, en la representación que ostenta, por personado y parte en el presente recurso de amparo, señalando que se entiendan con él todos los posteriores trámites del procedimiento.</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Primera de este Tribunal de fecha de 11 de septiembre 2013, se tuvieron por recibidos los testimonios de las actuaciones remitidos por la Sala Tercera de lo Contencioso-Administrativo del Tribunal Supremo y por la Sección Segunda de la Sala de igual orden de la Audiencia Nacional, y el escrito del Abogado del Estado a quien se tuvo por personado y parte en representación de la Administración pública. Y, a tenor de lo dispuesto en el art. 52 LOTC, por un plazo común de veinte días, se dio vista de las actuaciones,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de 4 de octubre de 2013, la demandante de amparo presentó escrito de alegaciones remitiéndose al escrito de demanda de amparo que dio inicio al presente recurso.</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presentó sus alegaciones mediante escrito registrado el 17 de octubre de 2013.</w:t>
      </w:r>
    </w:p>
    <w:p w:rsidR="0085709A" w:rsidRDefault="0085709A" w:rsidP="0085709A">
      <w:pPr>
        <w:pStyle w:val="TextoNormal"/>
      </w:pPr>
    </w:p>
    <w:p w:rsidR="0085709A" w:rsidRDefault="0085709A" w:rsidP="0085709A">
      <w:pPr>
        <w:pStyle w:val="TextoNormal"/>
      </w:pPr>
      <w:r>
        <w:t>Tras referirse a los antecedentes de hecho, el Fiscal inicia su argumentación haciendo referencia a las vulneraciones aducidas por la recurrente y a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w:t>
      </w:r>
    </w:p>
    <w:p w:rsidR="0085709A" w:rsidRDefault="0085709A" w:rsidP="0085709A">
      <w:pPr>
        <w:pStyle w:val="TextoNormal"/>
      </w:pPr>
    </w:p>
    <w:p w:rsidR="0085709A" w:rsidRDefault="0085709A" w:rsidP="0085709A">
      <w:pPr>
        <w:pStyle w:val="TextoNormal"/>
      </w:pPr>
      <w:r>
        <w:t>El Fiscal realiza, en primer lugar, una “recapitulación fáctica” de la jurisprudencia del Tribunal Supremo relativa a los requisitos exigibles al escrito de preparación del recurso de casación, que inicia con el ATS 14419/2010, de 14 de octubre (recurso núm. 951-2010). Finalizada ésta, procede al examen de la alegada vulneración del art. 14 CE y que siendo evidente la existencia de un cambio de criterio en la Sección Primera de la Sala de lo Contencioso-Administrativo del Tribunal Supremo, el problema radica en que la exigencia del ATS de 10 de febrero de 2011, relativa a la obligatoriedad de indicar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cuando se interponen recursos de casación frente a resoluciones dictadas por la Audiencia Nacional, no ha sido seguida de modo unánime por ésta. Lo que, a su juicio, pone en duda que la solución concretada en el citado Auto tuviera una verdadera voluntad de permanencia por responder a una interpretación abstracta y general de la norma aplicable.</w:t>
      </w:r>
    </w:p>
    <w:p w:rsidR="0085709A" w:rsidRDefault="0085709A" w:rsidP="0085709A">
      <w:pPr>
        <w:pStyle w:val="TextoNormal"/>
      </w:pPr>
    </w:p>
    <w:p w:rsidR="0085709A" w:rsidRDefault="0085709A" w:rsidP="0085709A">
      <w:pPr>
        <w:pStyle w:val="TextoNormal"/>
      </w:pPr>
      <w:r>
        <w:lastRenderedPageBreak/>
        <w:t>A efectos de comprobar la existencia de la alegada vulneración del principio de igualdad en aplicación de la ley (art. 14 CE), el Ministerio Fiscal destaca que la parte recurrente ha aportado un término válido de comparación para argumentar la misma, porque acompaña a su demanda el Auto impugnado en amparo y otros cuatro Autos dictados por la misma Sala y Sección y que siguen un criterio distinto al ATS de 10 de febrero de 2011 [AATS 1932/2011, de 17 febrero (recurso núm. 4600.2010); 4046/2011, de 24 marzo (recurso núm. 3896-2010); 3667/2011, de 17 marzo (recurso núm. 6250-2010), y 8516/2011, de 16 junio (recurso núm. 5151-2010)]. Igualmente considera que se ha cumplido en el presente caso con los requisitos de identidad de órgano judicial, alteridad y ausencia de referencia suficiente sobre la circunstancia de que esa misma Sección hubiera dictado previamente, pero vigente ya la doctrina fijada por el ATS de 10 febrero de 2011, los citados cuatro autos en sentido diferente al de aquél, como tampoco justificación explícita del cambio de criterio producido entre aquéllos y el Auto de que ahora se trata, lo cual, a su juicio, “parece inexcusable”.</w:t>
      </w:r>
    </w:p>
    <w:p w:rsidR="0085709A" w:rsidRDefault="0085709A" w:rsidP="0085709A">
      <w:pPr>
        <w:pStyle w:val="TextoNormal"/>
      </w:pPr>
    </w:p>
    <w:p w:rsidR="0085709A" w:rsidRDefault="0085709A" w:rsidP="0085709A">
      <w:pPr>
        <w:pStyle w:val="TextoNormal"/>
      </w:pPr>
      <w:r>
        <w:t>Por lo expuesto, el Fiscal interesa que se dicte sentencia por la que se declare que se ha vulnerado el derecho fundamental a la igualdad en la aplicación de la ley (art. 14 CE) de la demandante de amparo, y se la restablezca en su derecho y, a tales fines, se acuerde la nulidad del Auto de 1 de diciembre de 2011 por el que se inadmitió el recurso de casación, así como el Auto por el que se desestimó el incidente de nulidad actuaciones entablado contra aquel otro auto, retrotrayendo las actuaciones al momento procesal inmediatamente anterior al dictado del Auto de 1 de diciembre de 2011, para que se dicte una nueva resolución respetuosa con el derecho fundamental que ha de ser reconocido.</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presentó sus alegaciones mediante escrito registrado el 11 de octubre de 2013.</w:t>
      </w:r>
    </w:p>
    <w:p w:rsidR="0085709A" w:rsidRDefault="0085709A" w:rsidP="0085709A">
      <w:pPr>
        <w:pStyle w:val="TextoNormal"/>
      </w:pPr>
    </w:p>
    <w:p w:rsidR="0085709A" w:rsidRDefault="0085709A" w:rsidP="0085709A">
      <w:pPr>
        <w:pStyle w:val="TextoNormal"/>
      </w:pPr>
      <w:r>
        <w:t>Tras recordar la doctrina constitucional sobre la inadmisión del recurso de casación contencioso-administrativo por defectos insubsanables del escrito de preparación, procede al análisis del art. 89.1 LJCA y, en especial, el contenido de la expresión “los requisitos de forma exigidos”. Estima, al respecto, que si bien desde el plano de la legalidad, es muy discutible la nueva exigencia jurisprudencial contenida en el ATS de 10 de febrero de 2011, la misma no puede calificarse ni de arbitraria ni irrazonable. Dicho esto, advierte que el auténtico problema constitucional que la demanda suscita, y en el que la parte tiene razón, radica en la “aplicación retrospectiva de las nuevas máximas jurisprudenciales” del citado Auto, no conocidas al tiempo de preparación del recurso de casación. Argumenta que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lo cual provoca, no una violación del principio de seguridad jurídica (art. 9.3 CE), que no resulta protegido por el recurso de amparo, sino “una aplicación irrazonable, por contraria a la confianza legítima, de las nuevas máximas jurisprudenciales determinantes de la admisión o inadmisión del recurso de casación, que por ello se traducen en una violación del derecho de acceso al recurso”. Añade, que “[l]a razonabilidad se extiende no sólo la interpretación que se hace de la norma, sino la forma en que esa interpretación se aplica a los supuestos de hecho sujetos a la misma”.</w:t>
      </w:r>
    </w:p>
    <w:p w:rsidR="0085709A" w:rsidRDefault="0085709A" w:rsidP="0085709A">
      <w:pPr>
        <w:pStyle w:val="TextoNormal"/>
      </w:pPr>
    </w:p>
    <w:p w:rsidR="0085709A" w:rsidRDefault="0085709A" w:rsidP="0085709A">
      <w:pPr>
        <w:pStyle w:val="TextoNormal"/>
      </w:pPr>
      <w:r>
        <w:t>Por lo expuesto, el Abogado del Estado apoya que se dicte una sentencia con arreglo a Derecho, en la que la doctrina que dicte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la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9 de abril de 2015, se señaló para deliberación y fallo de la Sentencia el día 13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Las invocaciones constitucionales en que se fundamenta este recurso ya han sido objeto de análisis por el Pleno de este Tribunal en la STC 7/2015, de 22 de enero.</w:t>
      </w:r>
    </w:p>
    <w:p w:rsidR="0085709A" w:rsidRDefault="0085709A" w:rsidP="0085709A">
      <w:pPr>
        <w:pStyle w:val="TextoNormal"/>
      </w:pPr>
    </w:p>
    <w:p w:rsidR="0085709A" w:rsidRDefault="0085709A" w:rsidP="0085709A">
      <w:pPr>
        <w:pStyle w:val="TextoNormal"/>
      </w:pPr>
      <w:r>
        <w:t>Con remisión a lo expuesto en esa sentencia, debe desestimarse la alegada lesión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0085709A" w:rsidRDefault="0085709A" w:rsidP="0085709A">
      <w:pPr>
        <w:pStyle w:val="TextoNormal"/>
      </w:pPr>
    </w:p>
    <w:p w:rsidR="0085709A" w:rsidRDefault="0085709A" w:rsidP="0085709A">
      <w:pPr>
        <w:pStyle w:val="TextoNormal"/>
      </w:pPr>
      <w:r>
        <w:t xml:space="preserve">Igualmente, debe descartarse la lesión invocada del derecho a la igualdad en la aplicación de la ley. En el fundamento jurídico 4 de la Sentencia citada,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y razona explícitamente la alteración doctrinal, que se justifica a partir de la finalidad que debe cumplir el escrito de preparación del recurso de casación.</w:t>
      </w:r>
    </w:p>
    <w:p w:rsidR="0085709A" w:rsidRDefault="0085709A" w:rsidP="0085709A">
      <w:pPr>
        <w:pStyle w:val="TextoNormal"/>
      </w:pPr>
    </w:p>
    <w:p w:rsidR="0085709A" w:rsidRDefault="0085709A" w:rsidP="0085709A">
      <w:pPr>
        <w:pStyle w:val="TextoNormal"/>
      </w:pPr>
      <w:r>
        <w:t xml:space="preserve">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w:t>
      </w:r>
      <w:r>
        <w:lastRenderedPageBreak/>
        <w:t>criterio jurisprudencial, mediante la presentación de un escrito complementario de adecuación a las nuevas exigencias (FJ 3).</w:t>
      </w:r>
    </w:p>
    <w:p w:rsidR="0085709A" w:rsidRDefault="0085709A" w:rsidP="0085709A">
      <w:pPr>
        <w:pStyle w:val="TextoNormal"/>
      </w:pPr>
    </w:p>
    <w:p w:rsidR="0085709A" w:rsidRDefault="0085709A" w:rsidP="0085709A">
      <w:pPr>
        <w:pStyle w:val="TextoNormal"/>
      </w:pPr>
      <w:r>
        <w:t>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BMC Software Distribution BV, y, en su virtud:</w:t>
      </w:r>
    </w:p>
    <w:p w:rsidR="0085709A" w:rsidRDefault="0085709A" w:rsidP="0085709A">
      <w:pPr>
        <w:pStyle w:val="TextoNormal"/>
      </w:pPr>
    </w:p>
    <w:p w:rsidR="0085709A" w:rsidRDefault="0085709A" w:rsidP="0085709A">
      <w:pPr>
        <w:pStyle w:val="TextoNormal"/>
      </w:pPr>
      <w:r>
        <w:t>1º Declarar que ha sido vulnerado el derecho fundamental de la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 los Autos de 1 de diciembre de 2011 y 24 de mayo de 2012, dictados en el recurso de casación núm. 99-2011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trece de abril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el recurso de amparo núm. 4592-2012.</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manifestó mi discrepancia con la fundamentación jurídica de esta.</w:t>
      </w:r>
    </w:p>
    <w:p w:rsidR="0085709A" w:rsidRDefault="0085709A" w:rsidP="0085709A">
      <w:pPr>
        <w:pStyle w:val="TextoNormal"/>
      </w:pPr>
    </w:p>
    <w:p w:rsidR="0085709A" w:rsidRDefault="0085709A" w:rsidP="0085709A">
      <w:pPr>
        <w:pStyle w:val="TextoNormal"/>
      </w:pPr>
      <w:r>
        <w:t>Las razones de mi discrepancia son coincidentes con las que ya fueron expuestas en los votos particulares formulados a la SSTC 7/2015, de 22 de enero, y 16/2015, de 16 de febrero, a los que para evitar reiteraciones innecesarias me remito.</w:t>
      </w:r>
    </w:p>
    <w:p w:rsidR="0085709A" w:rsidRDefault="0085709A" w:rsidP="0085709A">
      <w:pPr>
        <w:pStyle w:val="TextoNormal"/>
      </w:pPr>
    </w:p>
    <w:p w:rsidR="0085709A" w:rsidRDefault="0085709A" w:rsidP="0085709A">
      <w:pPr>
        <w:pStyle w:val="TextoNormal"/>
      </w:pPr>
      <w:r>
        <w:lastRenderedPageBreak/>
        <w:t>Madrid, a trece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8" w:name="SENTENCIA_2015_65"/>
      <w:r>
        <w:lastRenderedPageBreak/>
        <w:t>SENTENCIA 65/2015, de 13 de abril de 2015</w:t>
      </w:r>
    </w:p>
    <w:bookmarkEnd w:id="68"/>
    <w:p w:rsidR="0085709A" w:rsidRDefault="0085709A" w:rsidP="0085709A">
      <w:pPr>
        <w:pStyle w:val="TtuloResolucin"/>
      </w:pPr>
      <w:r>
        <w:t>Sala Primera</w:t>
      </w:r>
    </w:p>
    <w:p w:rsidR="0085709A" w:rsidRDefault="0085709A" w:rsidP="0085709A">
      <w:pPr>
        <w:pStyle w:val="TtuloBOE"/>
      </w:pPr>
      <w:r>
        <w:t>(BOE núm. 122, de 22 de mayo de 2015)</w:t>
      </w:r>
    </w:p>
    <w:p w:rsidR="0085709A" w:rsidRDefault="0085709A" w:rsidP="0085709A">
      <w:pPr>
        <w:pStyle w:val="TextoNormalCentrado"/>
      </w:pPr>
      <w:r>
        <w:t>ECLI:ES:TC:2015:65</w:t>
      </w:r>
    </w:p>
    <w:p w:rsidR="0085709A" w:rsidRDefault="0085709A" w:rsidP="0085709A">
      <w:pPr>
        <w:pStyle w:val="TextoNormalCentrado"/>
      </w:pPr>
    </w:p>
    <w:p w:rsidR="0085709A" w:rsidRDefault="0085709A" w:rsidP="0085709A">
      <w:pPr>
        <w:pStyle w:val="SntesisDescriptiva"/>
      </w:pPr>
      <w:r>
        <w:t>Recurso de amparo 1485-2013, 1486-2013. Promovidos por don Ivo Aragón Iñigo Fernández y don Sergio Benítez Moriana en relación con las Sentencias de la Audiencia Provincial de Teruel y de un Juzgado de lo Penal que les condenaron por un delito de injurias graves con publicidad.</w:t>
      </w:r>
    </w:p>
    <w:p w:rsidR="0085709A" w:rsidRDefault="0085709A" w:rsidP="0085709A">
      <w:pPr>
        <w:pStyle w:val="SntesisDescriptiva"/>
      </w:pPr>
    </w:p>
    <w:p w:rsidR="0085709A" w:rsidRDefault="0085709A" w:rsidP="0085709A">
      <w:pPr>
        <w:pStyle w:val="SntesisAnaltica"/>
      </w:pPr>
      <w:r>
        <w:t>Supuesta vulneración de las libertades de expresión e información: condena por injurias graves por las inequívocas acusaciones de falta de probidad dirigidas contra el juzgador en un determinado proceso. Votos particulares.</w:t>
      </w:r>
    </w:p>
    <w:p w:rsidR="0085709A" w:rsidRDefault="0085709A" w:rsidP="0085709A">
      <w:pPr>
        <w:pStyle w:val="SntesisAnaltica"/>
      </w:pPr>
    </w:p>
    <w:p w:rsidR="0085709A" w:rsidRDefault="0085709A" w:rsidP="0085709A">
      <w:pPr>
        <w:pStyle w:val="Extracto"/>
      </w:pPr>
      <w:r>
        <w:t>1.</w:t>
      </w:r>
      <w:r>
        <w:tab/>
        <w:t>Las sentencias impugnadas no violaron el derecho fundamental de los demandantes a expresarse en libertad [art. 20.1.a) CE], sino que, antes al contrario, los demandantes no ejercieron de modo responsable la libertad de expresión [FJ 5].</w:t>
      </w:r>
    </w:p>
    <w:p w:rsidR="0085709A" w:rsidRDefault="0085709A" w:rsidP="0085709A">
      <w:pPr>
        <w:pStyle w:val="Extracto"/>
      </w:pPr>
    </w:p>
    <w:p w:rsidR="0085709A" w:rsidRDefault="0085709A" w:rsidP="0085709A">
      <w:pPr>
        <w:pStyle w:val="Extracto"/>
      </w:pPr>
      <w:r>
        <w:t>2.</w:t>
      </w:r>
      <w:r>
        <w:tab/>
        <w:t>Corresponde a la jurisdicción ordinaria asegurar, en los procesos de los que conozca, un ponderado equilibrio entre las posiciones subjetivas que busquen ampararse en el derecho al honor y en el derecho a una comunicación pública libre, por más que tal ponderación o ajuste pueda ser sometido al ulterior enjuiciamiento del Tribunal Constitucional [FJ 1].</w:t>
      </w:r>
    </w:p>
    <w:p w:rsidR="0085709A" w:rsidRDefault="0085709A" w:rsidP="0085709A">
      <w:pPr>
        <w:pStyle w:val="Extracto"/>
      </w:pPr>
    </w:p>
    <w:p w:rsidR="0085709A" w:rsidRDefault="0085709A" w:rsidP="0085709A">
      <w:pPr>
        <w:pStyle w:val="Extracto"/>
      </w:pPr>
      <w:r>
        <w:t>3.</w:t>
      </w:r>
      <w:r>
        <w:tab/>
        <w:t xml:space="preserve">El planteamiento de colisión, directa o indirecta, entre libertades </w:t>
      </w:r>
      <w:r w:rsidRPr="0085709A">
        <w:rPr>
          <w:i/>
        </w:rPr>
        <w:t xml:space="preserve">uti cives </w:t>
      </w:r>
      <w:r>
        <w:t>de expresión o información, de un lado y el derecho al honor de jueces y magistrados en el ejercicio de su función, del otro, han llegado muy rara vez a sentencia de este Tribunal, lo que justifica la especial trascendencia constitucional del presente recurso de amparo [FJ 1].</w:t>
      </w:r>
    </w:p>
    <w:p w:rsidR="0085709A" w:rsidRDefault="0085709A" w:rsidP="0085709A">
      <w:pPr>
        <w:pStyle w:val="Extracto"/>
      </w:pPr>
    </w:p>
    <w:p w:rsidR="0085709A" w:rsidRDefault="0085709A" w:rsidP="0085709A">
      <w:pPr>
        <w:pStyle w:val="Extracto"/>
      </w:pPr>
      <w:r>
        <w:t>4.</w:t>
      </w:r>
      <w:r>
        <w:tab/>
        <w:t>El derecho a la libertad de expresión debe distinguirse del derecho a comunicar información, pues mientras los hechos noticiables son susceptibles de prueba, las opiniones o juicios de valor no se prestan a una demostración de exactitud, y ello hace que a quien ejercita la libertad de expresión no le sea exigible la prueba de la verdad o diligencia en su averiguación, que condiciona, en cambio, la legitimidad del derecho de información por expreso mandato constitucional (STC 41/2011) [FJ 2].</w:t>
      </w:r>
    </w:p>
    <w:p w:rsidR="0085709A" w:rsidRDefault="0085709A" w:rsidP="0085709A">
      <w:pPr>
        <w:pStyle w:val="Extracto"/>
      </w:pPr>
    </w:p>
    <w:p w:rsidR="0085709A" w:rsidRDefault="0085709A" w:rsidP="0085709A">
      <w:pPr>
        <w:pStyle w:val="Extracto"/>
      </w:pPr>
      <w:r>
        <w:t>5.</w:t>
      </w:r>
      <w:r>
        <w:tab/>
        <w:t>Las libertades del art. 20 de la Constitución, no sólo son derechos fundamentales de cada persona, sino que también significan el reconocimiento y garantía de la opinión pública libre, que es una institución ligada de manera inescindible al pluralismo político, valor esencial del Estado democrático, estando, por ello, esas libertades dotadas de una eficacia que transciende a la que es común y propia de los demás derechos fundamentales, incluido el del honor (STC 107/1988) [FJ 3].</w:t>
      </w:r>
    </w:p>
    <w:p w:rsidR="0085709A" w:rsidRDefault="0085709A" w:rsidP="0085709A">
      <w:pPr>
        <w:pStyle w:val="Extracto"/>
      </w:pPr>
    </w:p>
    <w:p w:rsidR="0085709A" w:rsidRDefault="0085709A" w:rsidP="0085709A">
      <w:pPr>
        <w:pStyle w:val="Extracto"/>
      </w:pPr>
      <w:r>
        <w:t>6.</w:t>
      </w:r>
      <w:r>
        <w:tab/>
        <w:t xml:space="preserve">Como concepto constitucional, el derecho fundamental al honor proscribe ser escarnecido o humillado ante sí mismo o ante los demás y garantiza, en términos positivos, la buena reputación de una persona, protegiéndola frente a expresiones </w:t>
      </w:r>
      <w:r>
        <w:lastRenderedPageBreak/>
        <w:t>o mensajes que la hagan desmerecer en la consideración ajena al ir en su descrédito o menosprecio o que sean tenidas en el concepto público por afrentosas (STC 127/2004, 216/2013) [FJ 3].</w:t>
      </w:r>
    </w:p>
    <w:p w:rsidR="0085709A" w:rsidRDefault="0085709A" w:rsidP="0085709A">
      <w:pPr>
        <w:pStyle w:val="Extracto"/>
      </w:pPr>
    </w:p>
    <w:p w:rsidR="0085709A" w:rsidRDefault="0085709A" w:rsidP="0085709A">
      <w:pPr>
        <w:pStyle w:val="Extracto"/>
      </w:pPr>
      <w:r>
        <w:t>7.</w:t>
      </w:r>
      <w:r>
        <w:tab/>
        <w:t>El trabajo, para la mujer y el hombre de nuestra época, representa un sector importante y significativo de su quehacer en la proyección al exterior, hacia los demás e incluso en su aspecto interno es el factor predominante de realización personal, por lo que el prestigio en este ámbito, especialmente en su aspecto ético o deontológico, más aún que en la técnica, ha de reputarse incluido en el núcleo protegible y protegido constitucionalmente del derecho al honor (STC 223/1992) [FJ 3].</w:t>
      </w:r>
    </w:p>
    <w:p w:rsidR="0085709A" w:rsidRDefault="0085709A" w:rsidP="0085709A">
      <w:pPr>
        <w:pStyle w:val="Extracto"/>
      </w:pPr>
    </w:p>
    <w:p w:rsidR="0085709A" w:rsidRDefault="0085709A" w:rsidP="0085709A">
      <w:pPr>
        <w:pStyle w:val="Extracto"/>
      </w:pPr>
      <w:r>
        <w:t>8.</w:t>
      </w:r>
      <w:r>
        <w:tab/>
        <w:t>La divulgación de cualesquiera expresiones o hechos concernientes a una persona que la difamen o hagan desmerecer en la consideración ajena o que afecten negativamente a su reputación y buen nombre (art. 7.3 y 7 L.O. 1/1982) ha de ser calificada como intromisión ilegítima en el ámbito de protección del derecho al honor, si bien no cualquier crítica a la pericia profesional puede ser considerada automáticamente como un atentado a la honorabilidad personal (STC 223/1992) [FJ 3].</w:t>
      </w:r>
    </w:p>
    <w:p w:rsidR="0085709A" w:rsidRDefault="0085709A" w:rsidP="0085709A">
      <w:pPr>
        <w:pStyle w:val="Extracto"/>
      </w:pPr>
    </w:p>
    <w:p w:rsidR="0085709A" w:rsidRDefault="0085709A" w:rsidP="0085709A">
      <w:pPr>
        <w:pStyle w:val="Extracto"/>
      </w:pPr>
      <w:r>
        <w:t>9.</w:t>
      </w:r>
      <w:r>
        <w:tab/>
        <w:t>Doctrina sobre la libertad de expresión y los criterios ofrecidos por el Tribunal Constitucional para resolver el conflicto con el derecho fundamental al honor [FFJJ 3, 4 a), b), c)].</w:t>
      </w:r>
    </w:p>
    <w:p w:rsidR="0085709A" w:rsidRDefault="0085709A" w:rsidP="0085709A">
      <w:pPr>
        <w:pStyle w:val="Extracto"/>
      </w:pPr>
    </w:p>
    <w:p w:rsidR="0085709A" w:rsidRDefault="0085709A" w:rsidP="0085709A">
      <w:pPr>
        <w:pStyle w:val="Extracto"/>
      </w:pPr>
      <w:r>
        <w:t>10.</w:t>
      </w:r>
      <w:r>
        <w:tab/>
        <w:t>Si el Tribunal Constitucional llegara apreciar una infracción del art. 20.1.a) CE, ello no sería por conculcación de lo dispuesto en los preceptos penales aplicados, reguladores del delito de injurias graves hechas con publicidad –lo que, en hipótesis, sólo resultaría relevante, en su caso a los efectos del art. 25.1 CE-, sino por la aplicación de tales tipos penales en contra del contenido de la libertad de expresión, constitucionalmente protegido [FJ 3].</w:t>
      </w:r>
    </w:p>
    <w:p w:rsidR="0085709A" w:rsidRDefault="0085709A" w:rsidP="0085709A">
      <w:pPr>
        <w:pStyle w:val="Extracto"/>
      </w:pPr>
    </w:p>
    <w:p w:rsidR="0085709A" w:rsidRDefault="0085709A" w:rsidP="0085709A">
      <w:pPr>
        <w:pStyle w:val="Extracto"/>
      </w:pPr>
      <w:r>
        <w:t>11.</w:t>
      </w:r>
      <w:r>
        <w:tab/>
        <w:t>A diferencia de otras autoridades y, desde luego, de los actores políticos en general, el juez –que como tal se expresa sólo a través de sus resoluciones- carece, por obvias razones de reserva, prudencia y contención, de la misma a capacidad de réplica personal con la que otros personajes públicos cuentan para salir al paso de censuras al ejercicio de su función que estime injustas, falsas o atentatorias a su honor profesional (STC 46/1998, 69/2001) [FJ 4].</w:t>
      </w:r>
    </w:p>
    <w:p w:rsidR="0085709A" w:rsidRDefault="0085709A" w:rsidP="0085709A">
      <w:pPr>
        <w:pStyle w:val="Extracto"/>
      </w:pPr>
    </w:p>
    <w:p w:rsidR="0085709A" w:rsidRDefault="0085709A" w:rsidP="0085709A">
      <w:pPr>
        <w:pStyle w:val="Extracto"/>
      </w:pPr>
      <w:r>
        <w:t>12.</w:t>
      </w:r>
      <w:r>
        <w:tab/>
        <w:t>Las censuras a un determinado juez cuya actuación se califique de parcial o de deliberadamente injusta son percibidas por la ciudadanía con un alcance e intensidad reprobatorios muy superiores al que deparan las diatribas que, a veces al límite mismo del exceso, puede llegar a desatarse o intercambiarse en un debate político, pues el modo normal en que tales polémicas discurren puede relativizar la carga peyorativa de eventuales dicterios que recobrarían, sin embargo, toda su gravedad semántica si tuvieran como destinatarios a los titulares del Poder judicial [FJ 4].</w:t>
      </w:r>
    </w:p>
    <w:p w:rsidR="0085709A" w:rsidRDefault="0085709A" w:rsidP="0085709A">
      <w:pPr>
        <w:pStyle w:val="Extracto"/>
      </w:pPr>
    </w:p>
    <w:p w:rsidR="0085709A" w:rsidRDefault="0085709A" w:rsidP="0085709A">
      <w:pPr>
        <w:pStyle w:val="Extracto"/>
      </w:pPr>
      <w:r>
        <w:t>13.</w:t>
      </w:r>
      <w:r>
        <w:tab/>
        <w:t xml:space="preserve">La censura de parcialidad constituye siempre una de las más graves que pueden dirigirse a quien ejerce jurisdicción, circunstancia que se añade al hecho de que se </w:t>
      </w:r>
      <w:r>
        <w:lastRenderedPageBreak/>
        <w:t xml:space="preserve">formuló en el caso de los condenados con plena impertinencia respecto del debate (en una carta periodística) sobre la corrección técnica de un determinado peritaje y sin la menor base fáctica en la que pudieran haberse apoyado, siquiera de modo precario o indiciario, afirmaciones tan denigratorias (STEDH, </w:t>
      </w:r>
      <w:r w:rsidRPr="0085709A">
        <w:rPr>
          <w:i/>
        </w:rPr>
        <w:t>caso Lozowska c. Polonia</w:t>
      </w:r>
      <w:r>
        <w:t>, de 13/01/2015) [FJ 5].</w:t>
      </w:r>
    </w:p>
    <w:p w:rsidR="0085709A" w:rsidRDefault="0085709A" w:rsidP="0085709A">
      <w:pPr>
        <w:pStyle w:val="Extracto"/>
      </w:pPr>
    </w:p>
    <w:p w:rsidR="0085709A" w:rsidRDefault="0085709A" w:rsidP="0085709A">
      <w:pPr>
        <w:pStyle w:val="Extracto"/>
      </w:pPr>
      <w:r>
        <w:t>14.</w:t>
      </w:r>
      <w:r>
        <w:tab/>
        <w:t>Las resoluciones judiciales son plenamente susceptibles de crítica por la ciudadanía, pues en nuestra democracia pluralista la jurisdicción se ejerce no sólo en el seno del debate procesal, sino también, dictada la resolución que proceda, ante el foro de la opinión pública libre [FJ 5].</w:t>
      </w:r>
    </w:p>
    <w:p w:rsidR="0085709A" w:rsidRDefault="0085709A" w:rsidP="0085709A">
      <w:pPr>
        <w:pStyle w:val="Extracto"/>
      </w:pPr>
    </w:p>
    <w:p w:rsidR="0085709A" w:rsidRDefault="0085709A" w:rsidP="0085709A">
      <w:pPr>
        <w:pStyle w:val="Extracto"/>
      </w:pPr>
      <w:r>
        <w:t>15.</w:t>
      </w:r>
      <w:r>
        <w:tab/>
        <w:t>Son dicterios, no criterios, los que se difunden con daño tanto para el honor profesional del juez al que se dirigen como para la confianza en la justicia y en la imparcialidad judicial que se presume siempre y que no puede ponerse en público entredicho sin datos o argumentos aptos para justificar acusaciones tan graves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los recursos de amparo acumulados núms. 1485-2013 y 1486-2013, promovidos el primero por don Ivo Aragón Iñigo Fernández y el segundo por don Sergio Benítez Moriana, representados por la Procuradora de los Tribunales doña Olga Romojaro Casado y asistidos por la Letrada doña Beatriz Aranda Iglesias, contra la Sentencia del Juzgado de lo Penal núm. 1 de Teruel, de 10 de julio de 2012, que condenó a uno y a otro recurrente como autores de un delito de injurias graves con publicidad, así como contra la Sentencia de 29 de enero de 2013 de la Audiencia Provincial de Teruel, en rollo de apelación 44/2012, confirmatoria de la anterior. Ha intervenido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sendos escritos presentados en el Registro General de este Tribunal el mismo día 13 de marzo de 2013, don Ivo Aragón Íñigo Fernández y don Sergio Benítez Moriana interpusieron, respectivamente, recurso de amparo constitucional con la represen</w:t>
      </w:r>
      <w:r>
        <w:lastRenderedPageBreak/>
        <w:t>tación y la asistencia, en ambos casos, de la Procuradora de los Tribunales doña Olga Romojaro Casado y de la Letrada doña Beatriz Aranda Iglesias. Uno y otro recurso tienen por objeto la Sentencia núm. 113/2012, de 10 de julio, del Juzgado de lo Penal núm. 1 de Teruel, que condenó a los recurrentes como autores de un delito de injurias graves con publicidad, así como la Sentencia de la Audiencia Provincial de Teruel, de 29 de enero de 2013, en rollo de apelación 44-2012, confirmatoria de la anterior.</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más relevantes en los que tienen su origen las demandas de amparo son, en síntesis, los siguientes:</w:t>
      </w:r>
    </w:p>
    <w:p w:rsidR="0085709A" w:rsidRDefault="0085709A" w:rsidP="0085709A">
      <w:pPr>
        <w:pStyle w:val="TextoNormal"/>
      </w:pPr>
    </w:p>
    <w:p w:rsidR="0085709A" w:rsidRDefault="0085709A" w:rsidP="0085709A">
      <w:pPr>
        <w:pStyle w:val="TextoNormal"/>
      </w:pPr>
      <w:r>
        <w:t>a) Los demandantes de amparo, en la condición de portavoces de la asociación Plataforma Aguilar Natural, se dirigieron a la Magistrada-Juez del Juzgado de lo Contencioso-Administrativo de Teruel en carta abierta que apareció en la sección “Cartas al Director” del “Diario de Teruel” el 11 de marzo de 2010. El texto así publicado fue el siguiente:</w:t>
      </w:r>
    </w:p>
    <w:p w:rsidR="0085709A" w:rsidRDefault="0085709A" w:rsidP="0085709A">
      <w:pPr>
        <w:pStyle w:val="TextoNormal"/>
      </w:pPr>
    </w:p>
    <w:p w:rsidR="0085709A" w:rsidRDefault="0085709A" w:rsidP="0085709A">
      <w:pPr>
        <w:pStyle w:val="TextoNormal"/>
      </w:pPr>
      <w:r>
        <w:t>“A María Elena Marcén, magistrado-juez del Juzgado de lo Contencioso Administrativo de Teruel.</w:t>
      </w:r>
    </w:p>
    <w:p w:rsidR="0085709A" w:rsidRDefault="0085709A" w:rsidP="0085709A">
      <w:pPr>
        <w:pStyle w:val="TextoNormal"/>
      </w:pPr>
    </w:p>
    <w:p w:rsidR="0085709A" w:rsidRDefault="0085709A" w:rsidP="0085709A">
      <w:pPr>
        <w:pStyle w:val="TextoNormal"/>
      </w:pPr>
      <w:r>
        <w:t>Con motivo de la sentencia n. 166/2009 emitida por su juzgado en el pleito entre la empresa WBB-SIBELCO y el Ayuntamiento de Aguilar del Alfambra, que acatamos aunque que de ningún modo sea justa, ha demostrado parcialidad y falta de competencia.</w:t>
      </w:r>
    </w:p>
    <w:p w:rsidR="0085709A" w:rsidRDefault="0085709A" w:rsidP="0085709A">
      <w:pPr>
        <w:pStyle w:val="TextoNormal"/>
      </w:pPr>
    </w:p>
    <w:p w:rsidR="0085709A" w:rsidRDefault="0085709A" w:rsidP="0085709A">
      <w:pPr>
        <w:pStyle w:val="TextoNormal"/>
      </w:pPr>
      <w:r>
        <w:t>La sentencia demuestra que no ha querido saber nada de las cuestiones técnicas que estaba juzgando. Ha sobreentendido gratuitamente la independencia e imparcialidad del perito encargado de evaluar el proyecto por obviar sus aberraciones técnicas y metodológicas. No se ha planteado si podía haber algo de dudoso en el peritaje de alguien que no ha aparecido por Aguilar y ha usado en exclusiva materiales y documentación proporcionados por WBB-SIBELCO.</w:t>
      </w:r>
    </w:p>
    <w:p w:rsidR="0085709A" w:rsidRDefault="0085709A" w:rsidP="0085709A">
      <w:pPr>
        <w:pStyle w:val="TextoNormal"/>
      </w:pPr>
    </w:p>
    <w:p w:rsidR="0085709A" w:rsidRDefault="0085709A" w:rsidP="0085709A">
      <w:pPr>
        <w:pStyle w:val="TextoNormal"/>
      </w:pPr>
      <w:r>
        <w:t>Por otro lado, los argumentos con los que deslegitima al Ayuntamiento no los ha usado con WBB-SIBELCO, a pesar de ser equivalentes. El primer fundamento de su sentencia es la desacreditación del informe del Ayuntamiento redactado por un arquitecto urbanista y una abogada urbanista por no ser ingenieros de minas. Sin embargo, da por buenos los de un aparejador que nadie sabe de dónde ha salido, que no se ha leído la normativa urbanística de Aguilar y que carece de competencia para pronunciarse sobre temas urbanísticos... pero que da la razón a WBB-SIBELCO.</w:t>
      </w:r>
    </w:p>
    <w:p w:rsidR="0085709A" w:rsidRDefault="0085709A" w:rsidP="0085709A">
      <w:pPr>
        <w:pStyle w:val="TextoNormal"/>
      </w:pPr>
    </w:p>
    <w:p w:rsidR="0085709A" w:rsidRDefault="0085709A" w:rsidP="0085709A">
      <w:pPr>
        <w:pStyle w:val="TextoNormal"/>
      </w:pPr>
      <w:r>
        <w:t>Asimismo, desacredita el Informe por el vínculo familiar de uno de sus autores con un portavoz de esta Plataforma. Lo inaceptable es que calla que la constitución de esta Plataforma y su elección de cargos fue muy posterior a la elaboración del Informe.</w:t>
      </w:r>
    </w:p>
    <w:p w:rsidR="0085709A" w:rsidRDefault="0085709A" w:rsidP="0085709A">
      <w:pPr>
        <w:pStyle w:val="TextoNormal"/>
      </w:pPr>
    </w:p>
    <w:p w:rsidR="0085709A" w:rsidRDefault="0085709A" w:rsidP="0085709A">
      <w:pPr>
        <w:pStyle w:val="TextoNormal"/>
      </w:pPr>
      <w:r>
        <w:t>Lo intolerable es que acepta por incuestionables los argumentos de un testigo, López Jimeno, que reconoció su amistad con el presidente de WBB-SIBELCO y que para más escarnio mintió en la vista oral, de lo cual usted tiene pruebas documentales.</w:t>
      </w:r>
    </w:p>
    <w:p w:rsidR="0085709A" w:rsidRDefault="0085709A" w:rsidP="0085709A">
      <w:pPr>
        <w:pStyle w:val="TextoNormal"/>
      </w:pPr>
    </w:p>
    <w:p w:rsidR="0085709A" w:rsidRDefault="0085709A" w:rsidP="0085709A">
      <w:pPr>
        <w:pStyle w:val="TextoNormal"/>
      </w:pPr>
      <w:r>
        <w:t>Pero su triste labor no ha quedado ahí.</w:t>
      </w:r>
    </w:p>
    <w:p w:rsidR="0085709A" w:rsidRDefault="0085709A" w:rsidP="0085709A">
      <w:pPr>
        <w:pStyle w:val="TextoNormal"/>
      </w:pPr>
    </w:p>
    <w:p w:rsidR="0085709A" w:rsidRDefault="0085709A" w:rsidP="0085709A">
      <w:pPr>
        <w:pStyle w:val="TextoNormal"/>
      </w:pPr>
      <w:r>
        <w:lastRenderedPageBreak/>
        <w:t>Usted desconoce jurisprudencia que hace al caso y, lo que es peor, se ha lavado escandalosamente las manos porque ha tenido en su poder pruebas de contradicción documental en su peritaje, y no ha hecho nada. E incluso no se le ha movido ni un pelo ante el hecho de que su perito dejara en blanco una cuestión que usted planteaba.</w:t>
      </w:r>
    </w:p>
    <w:p w:rsidR="0085709A" w:rsidRDefault="0085709A" w:rsidP="0085709A">
      <w:pPr>
        <w:pStyle w:val="TextoNormal"/>
      </w:pPr>
    </w:p>
    <w:p w:rsidR="0085709A" w:rsidRDefault="0085709A" w:rsidP="0085709A">
      <w:pPr>
        <w:pStyle w:val="TextoNormal"/>
      </w:pPr>
      <w:r>
        <w:t>Usted, Sra. Jueza, representa a un poder del Estado. Sus decisiones condicionan la vida de la gente, o, en este caso, de todo un pueblo que asistió a presenciar la vista (seguro que en la vida había visto llena su sala). Una gente que esperaba en vilo su sentencia y que hubiera merecido rigor y seriedad. Que usted hubiera hecho un trabajo concienzudo para llegar a unas conclusiones equilibradas.</w:t>
      </w:r>
    </w:p>
    <w:p w:rsidR="0085709A" w:rsidRDefault="0085709A" w:rsidP="0085709A">
      <w:pPr>
        <w:pStyle w:val="TextoNormal"/>
      </w:pPr>
    </w:p>
    <w:p w:rsidR="0085709A" w:rsidRDefault="0085709A" w:rsidP="0085709A">
      <w:pPr>
        <w:pStyle w:val="TextoNormal"/>
      </w:pPr>
      <w:r>
        <w:t>Pero no ha querido complicarse la vida con asuntos técnicos, los ha ignorado. Y da la impresión de haber sentenciado primero y construido la argumentación después, sustentándolo en la apariencia salomónica de un peritaje lacayo. Sra. Marcen, usted representa a un poder, pero no a la justicia.</w:t>
      </w:r>
    </w:p>
    <w:p w:rsidR="0085709A" w:rsidRDefault="0085709A" w:rsidP="0085709A">
      <w:pPr>
        <w:pStyle w:val="TextoNormal"/>
      </w:pPr>
    </w:p>
    <w:p w:rsidR="0085709A" w:rsidRDefault="0085709A" w:rsidP="0085709A">
      <w:pPr>
        <w:pStyle w:val="TextoNormal"/>
      </w:pPr>
      <w:r>
        <w:t>Sergio Benítez Moriana e Ivo Aragón, portavoces de la Plataforma Aguilar Natural.”</w:t>
      </w:r>
    </w:p>
    <w:p w:rsidR="0085709A" w:rsidRDefault="0085709A" w:rsidP="0085709A">
      <w:pPr>
        <w:pStyle w:val="TextoNormal"/>
      </w:pPr>
    </w:p>
    <w:p w:rsidR="0085709A" w:rsidRDefault="0085709A" w:rsidP="0085709A">
      <w:pPr>
        <w:pStyle w:val="TextoNormal"/>
      </w:pPr>
      <w:r>
        <w:t>El texto así hecho público en el Diario de Teruel hace referencia al proceso contencioso-administrativo seguido ante el mencionado Juzgado y en el que fue parte actora determinada empresa mercantil y demandado el Ayuntamiento de Aguilar del Alfambra (Teruel). Se resolvió por Sentencia de 25 de noviembre de 2009, que declaró la nulidad del decreto del citado Ayuntamiento entonces impugnado.</w:t>
      </w:r>
    </w:p>
    <w:p w:rsidR="0085709A" w:rsidRDefault="0085709A" w:rsidP="0085709A">
      <w:pPr>
        <w:pStyle w:val="TextoNormal"/>
      </w:pPr>
    </w:p>
    <w:p w:rsidR="0085709A" w:rsidRDefault="0085709A" w:rsidP="0085709A">
      <w:pPr>
        <w:pStyle w:val="TextoNormal"/>
      </w:pPr>
      <w:r>
        <w:t>b) La Magistrada-Juez destinataria de la transcrita carta abierta remitió la misma al Ministerio Fiscal por considerar que mediante ella se habían cometido sendos delitos de calumnia e injuria y a fin de que por la Fiscalía se procediera de oficio conforme a lo dispuesto en el artículo 215 del Código penal. El Ministerio Fiscal formuló acusación penal contra los demandantes de amparo como autores de un delito de injurias graves con publicidad (arts. 208, 209 y 211 del Código penal), lo que dio lugar a la apertura y sustanciación del correspondiente procedimiento abreviado, resuelto por Sentencia núm. 113/2012, de 10 de julio, del Juzgado de lo Penal núm. 1 de Teruel, que condenó a los demandantes de amparo como autores de un delito de injurias graves hechas con publicidad de los artículos 208, 209 y 211 y siguientes del Código penal a la pena, para cada uno de ellos, de multa de diez meses a razón de una cuota diaria de ocho euros, con la responsabilidad personal subsidiaria en caso de impago de un día de privación de libertad por cada dos cuotas no satisfechas, y a la publicación de la Sentencia a su cargo en el “Diario de Teruel”. El fallo dispuso, asimismo, que cada uno de los condenados debería indemnizar a la Magistrada-Juez a la que se dirigió la carta abierta en la cuantía de tres mil euros por los daños morales sufridos.</w:t>
      </w:r>
    </w:p>
    <w:p w:rsidR="0085709A" w:rsidRDefault="0085709A" w:rsidP="0085709A">
      <w:pPr>
        <w:pStyle w:val="TextoNormal"/>
      </w:pPr>
    </w:p>
    <w:p w:rsidR="0085709A" w:rsidRDefault="0085709A" w:rsidP="0085709A">
      <w:pPr>
        <w:pStyle w:val="TextoNormal"/>
      </w:pPr>
      <w:r>
        <w:t>c) Interpuesto recurso de apelación por los actuales demandantes de amparo contra la Sentencia que los condenó, el mismo fue resuelto por Sentencia de la Audiencia Provincial de Teruel, de 29 de enero de 2013, que desestimó los recursos de apelación interpuestos y confirmó la Sentencia impugnada.</w:t>
      </w:r>
    </w:p>
    <w:p w:rsidR="0085709A" w:rsidRDefault="0085709A" w:rsidP="0085709A">
      <w:pPr>
        <w:pStyle w:val="TextoNormal"/>
      </w:pPr>
    </w:p>
    <w:p w:rsidR="0085709A" w:rsidRDefault="0085709A" w:rsidP="0085709A">
      <w:pPr>
        <w:pStyle w:val="TextoNormal"/>
      </w:pPr>
      <w:r w:rsidRPr="0085709A">
        <w:rPr>
          <w:rStyle w:val="NumeroAFNegritaCaracter"/>
        </w:rPr>
        <w:t>3</w:t>
      </w:r>
      <w:r>
        <w:t>. Los fundamentos jurídicos de uno y otro recurso de amparo pueden resumirse como sigue:</w:t>
      </w:r>
    </w:p>
    <w:p w:rsidR="0085709A" w:rsidRDefault="0085709A" w:rsidP="0085709A">
      <w:pPr>
        <w:pStyle w:val="TextoNormal"/>
      </w:pPr>
    </w:p>
    <w:p w:rsidR="0085709A" w:rsidRDefault="0085709A" w:rsidP="0085709A">
      <w:pPr>
        <w:pStyle w:val="TextoNormal"/>
      </w:pPr>
      <w:r>
        <w:lastRenderedPageBreak/>
        <w:t>a) Tras afirmar que las Sentencias impugnadas vulneran los derechos de los actores a la libertad de expresión y a la libertad de información [apartados 1 a) y 1 d) del art. 20 CE], se argumenta la especial trascendencia constitucional de los recursos en el “hecho novedoso o poco frecuente” de que las Sentencias impugnadas resolvieron un conflicto entre los invocados derechos fundamentales de los actores, en tanto que portavoces de una asociación ciudadana, y el derecho al honor de un magistrado-juez por críticas relativas al ejercicio de su cargo, así como en la afirmación de que ambas Sentencias interpretan los derechos fundamentales en conflicto de forma contraria a la doctrina constitucional.</w:t>
      </w:r>
    </w:p>
    <w:p w:rsidR="0085709A" w:rsidRDefault="0085709A" w:rsidP="0085709A">
      <w:pPr>
        <w:pStyle w:val="TextoNormal"/>
      </w:pPr>
    </w:p>
    <w:p w:rsidR="0085709A" w:rsidRDefault="0085709A" w:rsidP="0085709A">
      <w:pPr>
        <w:pStyle w:val="TextoNormal"/>
      </w:pPr>
      <w:r>
        <w:t>b) Las resoluciones dictadas por el Juzgado de lo Penal y por la Audiencia Provincial de Teruel vulneran de forma grave —se dice— las libertades de expresión y de información de los recurrentes, al no ponderar en los debidos términos la relevancia pública sobrevenida de la información vertida en un medio de prensa y su derecho a la libre expresión de opiniones. Se señala, tras ello, que los demandantes son portavoces de la asociación ciudadana Plataforma Aguilar Natural, entidad sin ánimo de lucro cuyos fines son la defensa del desarrollo económico y social sostenible de Aguilar del Alfambra mediante el fomento de la explotación de recursos naturales de la comarca dentro de los límites de su regeneración para garantizar la conservación del paisaje y de su medio ambiente. El proceso contencioso-administrativo sobre el que versó la carta pública por la que fueron condenados tenía por objeto la necesidad o no de calificación de la actividad de determinada empresa en dicha localidad (explotación de yacimientos minerales) como molesta, insalubre, nociva y peligrosa y por lo tanto la necesidad de realizar un preceptivo estudio de impacto medioambiental. La pericia realizada por el perito judicial en ese proceso contencioso-administrativo fue objeto de investigación por la Fiscalía provincial de Teruel, que llegó a recabar de la Fiscalía General del Estado la emisión de informe sobre dicha pericial y la actuación concreta del perito, informe que concluyó con la apreciación de que dicha pericial no daba ninguna precisión y no debería admitirse. Dadas las anteriores conclusiones —se dice— de la Fiscalía General del Estado, la Plataforma recabó durante meses informes científicos sobre la repetida pericial, que llegaron a las mismas conclusiones.</w:t>
      </w:r>
    </w:p>
    <w:p w:rsidR="0085709A" w:rsidRDefault="0085709A" w:rsidP="0085709A">
      <w:pPr>
        <w:pStyle w:val="TextoNormal"/>
      </w:pPr>
    </w:p>
    <w:p w:rsidR="0085709A" w:rsidRDefault="0085709A" w:rsidP="0085709A">
      <w:pPr>
        <w:pStyle w:val="TextoNormal"/>
      </w:pPr>
      <w:r>
        <w:t>c) Reproducen, a continuación, los demandantes el texto de la carta abierta dirigida a la Magistrado-Juez del Juzgado de lo contencioso-administrativo que conoció del recurso antes dicho y añaden que con posterioridad a la publicación de dicha carta remitieron una segunda, que transcriben, también al “Diario de Teruel”, dirigida al representante del Foro Judicial Independiente, a fin de aclarar la primera misiva.</w:t>
      </w:r>
    </w:p>
    <w:p w:rsidR="0085709A" w:rsidRDefault="0085709A" w:rsidP="0085709A">
      <w:pPr>
        <w:pStyle w:val="TextoNormal"/>
      </w:pPr>
    </w:p>
    <w:p w:rsidR="0085709A" w:rsidRDefault="0085709A" w:rsidP="0085709A">
      <w:pPr>
        <w:pStyle w:val="TextoNormal"/>
      </w:pPr>
      <w:r>
        <w:t>d) Se dice en los recursos de amparo que las expresiones contenidas en la carta abierta firmada por los actores deben tener amparo en las libertades de expresión e información, sin que puedan considerarse constitutivas de un delito de injurias. Son —se observa— mera expresión de ideas y juicios de valor relativos a la actividad profesional de la Magistrada en un proceso judicial concreto, sin que en ningún caso contengan críticas relativas a su esfera personal como ciudadana. De la lectura de la misiva —se añade— resulta evidente que se está hablando de las irregularidades en un proceso en relación con la intervención de un perito que incluso estaban siendo investigadas por la Fiscalía.</w:t>
      </w:r>
    </w:p>
    <w:p w:rsidR="0085709A" w:rsidRDefault="0085709A" w:rsidP="0085709A">
      <w:pPr>
        <w:pStyle w:val="TextoNormal"/>
      </w:pPr>
    </w:p>
    <w:p w:rsidR="0085709A" w:rsidRDefault="0085709A" w:rsidP="0085709A">
      <w:pPr>
        <w:pStyle w:val="TextoNormal"/>
      </w:pPr>
      <w:r>
        <w:t xml:space="preserve">e) El carácter informativo de la carta es evidente, habida cuenta de la trascendencia y repercusión de la Sentencia a la que se refiere y ha de estar amparado también en la libertad de expresión, cuyo objeto es la difusión de ideas, pensamientos, opiniones y juicios de valor. </w:t>
      </w:r>
      <w:r>
        <w:lastRenderedPageBreak/>
        <w:t xml:space="preserve">Esta difusión no afrenta al honor de la Magistrada y, además, la información vertida es noticiable, así como veraz y contrastada a la vista de las investigaciones realizadas por la Fiscalía y sus conclusiones. Tras referirse las demandas a la diferenciación entre libertades de expresión e información, se afirma que en el presente caso la carta abierta, por su contexto y contenido, encierra juicios de valor, además de información veraz. Se añade que los límites de la crítica cuando se ejercita la libertad de expresión </w:t>
      </w:r>
      <w:r w:rsidRPr="0085709A">
        <w:rPr>
          <w:i/>
        </w:rPr>
        <w:t>ex</w:t>
      </w:r>
      <w:r>
        <w:t xml:space="preserve"> art. 20.1 a) CE son más amplios si ésta se refiere a personas que, por dedicarse a actividades públicas, están expuestas a un más riguroso control de sus actividades y manifestaciones que si se tratase de simples particulares. Se afirma que la carta por la que los demandantes fueron condenados no contiene una sola expresión ultrajante, insultante o humillante sin relación con las ideas que se pretende exponer. Se trata, además, de una información absolutamente veraz. Las expresiones concretas deben ponerse en relación con la idea o convicción de Plataforma Aguilar Natural de que la Juez dictó sentencia en base a una prueba pericial inválida. La carta no contiene una sola expresión intrínsecamente vejatoria, innecesaria o gratuita para su exposición. El hecho de que haya resultado molesta, incómoda o incluso irritante a la Juez denunciante no la convierte en ataque a su derecho al honor y menos aún en constitutiva de ilícito penal.</w:t>
      </w:r>
    </w:p>
    <w:p w:rsidR="0085709A" w:rsidRDefault="0085709A" w:rsidP="0085709A">
      <w:pPr>
        <w:pStyle w:val="TextoNormal"/>
      </w:pPr>
    </w:p>
    <w:p w:rsidR="0085709A" w:rsidRDefault="0085709A" w:rsidP="0085709A">
      <w:pPr>
        <w:pStyle w:val="TextoNormal"/>
      </w:pPr>
      <w:r>
        <w:t>f) La Sentencia de condena considera que los actores traspasaran los límites de la libertad de expresión, al formular un ataque personal a quien desempeña la tarea jurisdiccional mediante expresiones inequívocamente insultantes y vejatorias de la dignidad de la denunciante de forma innecesaria y gratuita, pero este criterio es erróneo y contrario a pacífica doctrina y jurisprudencia. En ningún caso se hace referencia a la magistrada en su ámbito personal, tampoco a su ejercicio diario jurisdiccional. Únicamente se valora su actividad profesional en este proceso judicial concreto, lo que debe estar amparado por los derechos constitucionales invocados. Tras citar jurisprudencia en la materia de este Tribunal, del Tribunal Supremo y de la Audiencia Nacional, así como del Tribunal Europeo de Derechos Humanos, se reitera que la carta, sin expresión injuriosa alguna, contiene opiniones libres sobre la valoración por un juez de una prueba pericial que estaba siendo objeto de investigación en el orden penal, así como afirmaciones sobre hechos ciertos, en todo caso coincidentes con los expresados en un informe de la Fiscalía General del Estado de 5 de mayo de 2010 y de distintos profesionales de reconocido prestigio y expertos en la materia.</w:t>
      </w:r>
    </w:p>
    <w:p w:rsidR="0085709A" w:rsidRDefault="0085709A" w:rsidP="0085709A">
      <w:pPr>
        <w:pStyle w:val="TextoNormal"/>
      </w:pPr>
    </w:p>
    <w:p w:rsidR="0085709A" w:rsidRDefault="0085709A" w:rsidP="0085709A">
      <w:pPr>
        <w:pStyle w:val="TextoNormal"/>
      </w:pPr>
      <w:r>
        <w:t>Concluyeron las demandas con la súplica de que se dictara sentencia que declarase la violación de los derechos fundamentales a la libertad de expresión y de información de los actores y declarase nulas y sin efecto las resoluciones recurridas. Por otrosí se solicitó la suspensión de la ejecución de la Sentencia recurrida.</w:t>
      </w:r>
    </w:p>
    <w:p w:rsidR="0085709A" w:rsidRDefault="0085709A" w:rsidP="0085709A">
      <w:pPr>
        <w:pStyle w:val="TextoNormal"/>
      </w:pPr>
    </w:p>
    <w:p w:rsidR="0085709A" w:rsidRDefault="0085709A" w:rsidP="0085709A">
      <w:pPr>
        <w:pStyle w:val="TextoNormal"/>
      </w:pPr>
      <w:r w:rsidRPr="0085709A">
        <w:rPr>
          <w:rStyle w:val="NumeroAFNegritaCaracter"/>
        </w:rPr>
        <w:t>4</w:t>
      </w:r>
      <w:r>
        <w:t>. Por sendas providencias de 8 de septiembre de 2014, la Sala Primera acordó conocer de los recursos de amparo y admitirlos a trámite, así como dirigir atentas comunicaciones a los órganos judiciales para que remitiesen las actuaciones y emplazasen a quienes hubieran sido parte en el procedimiento, excepto a los actuales recurrentes, para que, si lo desearan, pudieran comparecer en los recursos de amparo. Conforme a lo solicitado por los actores, se acordó, asimismo, se formase la correspondiente pieza separada de suspensión.</w:t>
      </w:r>
    </w:p>
    <w:p w:rsidR="0085709A" w:rsidRDefault="0085709A" w:rsidP="0085709A">
      <w:pPr>
        <w:pStyle w:val="TextoNormal"/>
      </w:pPr>
    </w:p>
    <w:p w:rsidR="0085709A" w:rsidRDefault="0085709A" w:rsidP="0085709A">
      <w:pPr>
        <w:pStyle w:val="TextoNormal"/>
      </w:pPr>
      <w:r>
        <w:t xml:space="preserve">Tras las alegaciones de los demandantes y del Ministerio Fiscal, la Sala Primera acordó, por autos de 6 de octubre de 2014, suspender la ejecución de las resoluciones judiciales </w:t>
      </w:r>
      <w:r>
        <w:lastRenderedPageBreak/>
        <w:t>impugnadas, exclusivamente en lo referido a la publicación y divulgación de la Sentencia condenatoria en los términos en ella establecidos.</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diligencias de ordenación de 9 de diciembre de 2014 se dio vista de las actuaciones de uno y otro recurso al Ministerio Fiscal y a las partes personadas por plazo común de veinte días para que en dicho término pudieran presentar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sendos escritos del 12 de diciembre siguiente, la representación de los demandantes de amparo manifestó que se ratificaba en las alegaciones presentadas en los recursos de amparo formulados en su día.</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sendos escritos de 6 de febrero de 2015 presentó sus alegaciones sobre uno y otro recurso el Ministerio Fiscal. El contenido de estas alegaciones es sustancialmente idéntico para ambos recursos de amparo y puede resumirse como sigue:</w:t>
      </w:r>
    </w:p>
    <w:p w:rsidR="0085709A" w:rsidRDefault="0085709A" w:rsidP="0085709A">
      <w:pPr>
        <w:pStyle w:val="TextoNormal"/>
      </w:pPr>
    </w:p>
    <w:p w:rsidR="0085709A" w:rsidRDefault="0085709A" w:rsidP="0085709A">
      <w:pPr>
        <w:pStyle w:val="TextoNormal"/>
      </w:pPr>
      <w:r>
        <w:t>a) Tras referirse a los antecedentes del caso, observa el Ministerio Fiscal que la única invocación de derecho fundamental que los recursos hacen es la referida a los derechos reconocidos en el art. 20.1 a) y d) CE, sin que los demandantes aduzcan su derecho a la tutela judicial efectiva, si bien no cabe olvidar que estamos ante un procedimiento penal que ha concluido en condena firme por delito de injurias graves, por lo que procede la pregunta sobre hasta dónde debe llegar el control del Tribunal Constitucional respecto a las resoluciones judiciales afectadas de posible vulneración, esto es, si tan sólo cabe constatar el cumplimiento del canon externo de ponderación entre los derechos en conflicto o si, por el contrario, la valoración sobre ellos de la resolución impugnada respeta su respectiva posición en el catálogo constitucional. La respuesta —dice el Ministerio Fiscal— la da el propio Tribunal Constitucional en la STC 174/2006, en cuyo fundamento jurídico 2 se argumentó la necesidad de verificar, en el ámbito de las libertades de expresión e información en relación con el derecho al honor, si la valoración judicial había respetado la posición constitucional de los derechos en juego.</w:t>
      </w:r>
    </w:p>
    <w:p w:rsidR="0085709A" w:rsidRDefault="0085709A" w:rsidP="0085709A">
      <w:pPr>
        <w:pStyle w:val="TextoNormal"/>
      </w:pPr>
    </w:p>
    <w:p w:rsidR="0085709A" w:rsidRDefault="0085709A" w:rsidP="0085709A">
      <w:pPr>
        <w:pStyle w:val="TextoNormal"/>
      </w:pPr>
      <w:r>
        <w:t>Señala acto seguido el Ministerio Fiscal que, invocadas como han sido tanto las libertades de expresión como la de información, es preciso comprobar si efectivamente ambos derechos pueden estar aquí afectados o sólo uno de ellos. Con cita, de nuevo, de la STC 174/2006, se observa que, como en el caso entonces resuelto, del contenido de la carta cuya publicación da lugar a la condena por injurias de los recurrentes se desprenden una serie de hechos ocurridos en el devenir de un proceso judicial administrativo, pero que también es evidente que ni la Sentencia de primera instancia ni la de la Audiencia Provincial en apelación contienen reproche alguno a los condenados por la descripción de hechos y sí, al contrario, por lo que la misiva tiene de carácter valorativo o de descalificaciones referidas a la magistrada destinataria de la carta, de modo que se debe entender que sólo la libertad de expresión debe contraponerse aquí al honor para determinar la prevalencia de uno u otro de estos derechos. Además, la argumentación de los recurrentes, por más que invoquen tanto la libertad de expresión como la de información, se refiere siempre a la primera, pues la publicación de la carta no tenía una finalidad puramente informativa, sino crítica con la resolución judicial, es decir, no se trataba de trasmitir la noticia de que se había dictado una sentencia y el contenido de sus pronunciamientos, sino de cuestionar estos.</w:t>
      </w:r>
    </w:p>
    <w:p w:rsidR="0085709A" w:rsidRDefault="0085709A" w:rsidP="0085709A">
      <w:pPr>
        <w:pStyle w:val="TextoNormal"/>
      </w:pPr>
    </w:p>
    <w:p w:rsidR="0085709A" w:rsidRDefault="0085709A" w:rsidP="0085709A">
      <w:pPr>
        <w:pStyle w:val="TextoNormal"/>
      </w:pPr>
      <w:r>
        <w:lastRenderedPageBreak/>
        <w:t>b) Pasa luego el Ministerio Fiscal a analizar el contenido del derecho al honor (art. 18.1 CE) y a examinar los casos en que éste —dice— debe retirarse en aras del ejercicio de un derecho que, por su carácter colectivo, como es la libertad de expresión e información, deba prevalecer. Se hace referencia, dicho lo anterior, a la jurisprudencia constitucional en este ámbito, recordándose que el derecho al honor protege la buena reputación de una persona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Se trata, pues, de analizar si la actuación de los condenados estuvo dentro de los márgenes de la libertad de expresión porque, si así hubiera sido, el ámbito de protección del derecho al honor deberá plegarse aunque su actuación resultase molesta, objetivamente considerada, para su destinataria.</w:t>
      </w:r>
    </w:p>
    <w:p w:rsidR="0085709A" w:rsidRDefault="0085709A" w:rsidP="0085709A">
      <w:pPr>
        <w:pStyle w:val="TextoNormal"/>
      </w:pPr>
    </w:p>
    <w:p w:rsidR="0085709A" w:rsidRDefault="0085709A" w:rsidP="0085709A">
      <w:pPr>
        <w:pStyle w:val="TextoNormal"/>
      </w:pPr>
      <w:r>
        <w:t>c) Antes, sin embargo, es preciso atender a las circunstancias que, según la doctrina constitucional, tienen trascendencia para tal valoración. Es, en primer lugar, dato relevante la condición de quién sea destinatario de la crítica, pues reiteradamente ha mantenido el Tribunal que quienes ejercen funciones públicas ven mermado el nivel de protección de sus derechos personales. También lo es el que las expresiones que se consideren dudosas sean relevantes para el interés general o se pretenda con ellas crear “opinión pública”, siempre según la jurisprudencia constitucional (STC 174/2006). Entre tales personas caracterizadas por su intervención en la cosa pública están también, por supuesto, los jueces y magistrados, cuyos actos están especialmente sometidos al escrutinio de la sociedad, sin olvidar que la exteriorización de la función de un juez lo es por medio de sus resoluciones, las cuales por eso están sometidas a la crítica, no sólo por el ejercicio de los recursos en el ejercicio legítimo de defensa, en el ámbito del proceso en que se dictan, sino también a la que se pueda ejercer con destino a la opinión pública, pues sus decisiones producen efectos que en muchos casos afectan a una generalidad de ciudadanos o a una colectividad (STC 46/1998).</w:t>
      </w:r>
    </w:p>
    <w:p w:rsidR="0085709A" w:rsidRDefault="0085709A" w:rsidP="0085709A">
      <w:pPr>
        <w:pStyle w:val="TextoNormal"/>
      </w:pPr>
    </w:p>
    <w:p w:rsidR="0085709A" w:rsidRDefault="0085709A" w:rsidP="0085709A">
      <w:pPr>
        <w:pStyle w:val="TextoNormal"/>
      </w:pPr>
      <w:r>
        <w:t xml:space="preserve">d) Ya en cuanto al examen de las Sentencias objeto de los recursos, señala el Ministerio Fiscal que nada cabe reprocharles en cuanto a su motivación, con independencia de que no se ha alegado aquí tal déficit, pues la doctrina constitucional reseñada está recogida, de manera irreprochable, en la Sentencia del Juzgado de lo Penal, confirmada en apelación. Lo único que cabría reprochar a estas resoluciones no es el haber desconocido tal doctrina, sino, en todo caso, su traslación a los hechos. Para estas Sentencias, las expresiones enjuiciadas supondrían una crítica que, respecto de algunas de ellas, sería “normal”, por ejemplo, la del “desconocimiento de la Jurisprudencia que hace al caso” o la de “no entrar en cuestiones técnicas”. Sin embargo, otras como “(s)e ha lavado escandalosamente las manos, porque ha tenido en su poder pruebas de contradicción documental en su peritaje y no ha hecho nada…”, “(n)o ha querido complicarse la vida con asuntos técnicos, los ha ignorado. Y da la impresión de haber sentenciado primero y construido la argumentación después, sustentándolo en la apariencia salomónica de un peritaje lacayo...”, “(h)a sobreentendido gratuitamente la independencia e imparcialidad del perito encargado de evaluar el proyecto por obviar sus aberraciones técnicas y metodológicas” y “(h)a demostrado parcialidad y falta de competencia”, para terminar con “Sra. Marcén usted representa a un poder, pero no a la </w:t>
      </w:r>
      <w:r>
        <w:lastRenderedPageBreak/>
        <w:t>justicia”, son conceptuadas como superadoras de la mera crítica amparada por la libertad de expresión y se convierten en un ataque personal, con descalificaciones personales, para terminar calificando este cúmulo de expresiones como insultantes inequívocamente, expresadas además con la intención de vejar a la Magistrada denunciante de forma innecesaria y gratuita. Esta afirmación tan contundente es lo que se ha de analizar para ver si realmente estamos ante un supuesto que, por excesivo, queda extramuros de la protección del art. 20 CE.</w:t>
      </w:r>
    </w:p>
    <w:p w:rsidR="0085709A" w:rsidRDefault="0085709A" w:rsidP="0085709A">
      <w:pPr>
        <w:pStyle w:val="TextoNormal"/>
      </w:pPr>
    </w:p>
    <w:p w:rsidR="0085709A" w:rsidRDefault="0085709A" w:rsidP="0085709A">
      <w:pPr>
        <w:pStyle w:val="TextoNormal"/>
      </w:pPr>
      <w:r>
        <w:t>Hay que comenzar por diferenciar las afirmaciones que tienen por destinataria a la persona del juez de aquellas otras cuyo destinatario es alguno de su actos, pues es evidente que será mucho más lógico que la gratuidad o innecesariedad de las manifestaciones se den cuando se refieran a las circunstancias personales que cuando afecten a los actos o resoluciones emanados de otra persona. Desde esta perspectiva, todo el escrito se dirige contra la Sentencia dictada por la Magistrada, pero no de forma general o indiscriminada, sino en relación con los elementos probatorios que tuvo en cuenta para tomar su decisión. Todas las afirmaciones tienen como objetivo cuestionar el contenido de la prueba pericial elaborada por alguien a quien considera muy próximo a una de las partes del procedimiento.</w:t>
      </w:r>
    </w:p>
    <w:p w:rsidR="0085709A" w:rsidRDefault="0085709A" w:rsidP="0085709A">
      <w:pPr>
        <w:pStyle w:val="TextoNormal"/>
      </w:pPr>
    </w:p>
    <w:p w:rsidR="0085709A" w:rsidRDefault="0085709A" w:rsidP="0085709A">
      <w:pPr>
        <w:pStyle w:val="TextoNormal"/>
      </w:pPr>
      <w:r>
        <w:t xml:space="preserve">En el párrafo segundo de la misiva, lo que pone en tela de juicio es la credibilidad del referido perito sin poner en duda su posible falta de parcialidad y su cualificación técnica, ya que le imputa no haber tomado conocimiento </w:t>
      </w:r>
      <w:r w:rsidRPr="0085709A">
        <w:rPr>
          <w:i/>
        </w:rPr>
        <w:t>in situ</w:t>
      </w:r>
      <w:r>
        <w:t xml:space="preserve"> del terreno sometido a peritaje, y la única “descalificación” que le dirige a la juzgadora es la de no haber querido saber nada de esas cuestiones técnicas, sin que parezca por tanto suficiente. En los párrafos tercero y cuarto —continúa el Ministerio Fiscal— pretenden los autores del escrito poner de relieve el distinto criterio seguido a la hora de cuestionar el contenido de las dos pruebas periciales sometidas al tribunal, la del perito del Ayuntamiento y la del perito de la empresa, sin que se haga objeto a la Juez de ninguna descalificación, salvo la muy dudosa de que la desacreditación del peritaje lo podía obtener de pruebas documentales que obraban en su poder. No parece que en estos dos párrafos se contengan tampoco juicios valorativos de la suficiente entidad para entender que se ofende gravemente a la autora de la Sentencia. El párrafo quinto, tras calificar de “triste” la labor desarrollada en la Sentencia, lo que no parece más que un signo de desagrado, pero no descalificativo, vuelve a insistir en la no utilización de pruebas documentales para desmontar la tesis del perito en cuya imparcialidad no creen los autores de la carta. Es cierto que le acusen de desconocer la jurisprudencia, pero no le están imputando ignorancia, ya que se refiere a la que “hace al caso”, es decir, no parece referirse a la falta de conocimiento de la doctrina jurisprudencial, sino a la falta de aplicación de esa doctrina al caso, lo que no deja de ser una afirmación bastante habitual cuando se cuestiona por la vía de los recursos una resolución judicial. Y en este mismo sentido puede entenderse la referencia a “lavarse las manos”, si bien ésta es una frase algo más cargada de contenido peyorativo, ya que presupone una dejación voluntaria de lo que se dice, concretamente de la no aplicación de la doctrina jurisprudencial, aunque tampoco de la suficiente entidad para considerar la expresión como gravemente ofensiva o vejatoria. El último párrafo, en fin, está plagado de frases con notable carga demagógica referida a la función judicial y su naturaleza de poder de Estado o de valor democrático, pero que por sí solo no es más que una queja demasiado generalizada a la función judicial, sólo puede considerarse objetivamente ofensiva cuando afirma que la autora de la Sentencia ha ignorado los aspectos técnicos, lo que no deja de estar en relación, una vez más, con el tratamiento que la Juez ha dado a las pruebas periciales, que obviamente los autores de la carta consideran injusto, o también </w:t>
      </w:r>
      <w:r>
        <w:lastRenderedPageBreak/>
        <w:t>cuando insinúa, que no afirma, que da la impresión de haber sentenciado primero y argumentado después, pero tampoco —estima el Ministerio Fiscal— tal ofensa alcanzaría ese grado de gravedad que sería exigible, pues al fin se podría traducir en una frase mucho más respetuosa con la función de la denunciante, diciendo que, habiendo preconcebido desde la demanda cómo debería ser la decisión, ni siquiera la concurrencia de pruebas periciales, cuya calificación ya han realizado antes, le ha hecho cambiar el sentido de la misma.</w:t>
      </w:r>
    </w:p>
    <w:p w:rsidR="0085709A" w:rsidRDefault="0085709A" w:rsidP="0085709A">
      <w:pPr>
        <w:pStyle w:val="TextoNormal"/>
      </w:pPr>
    </w:p>
    <w:p w:rsidR="0085709A" w:rsidRDefault="0085709A" w:rsidP="0085709A">
      <w:pPr>
        <w:pStyle w:val="TextoNormal"/>
      </w:pPr>
      <w:r>
        <w:t>Es evidente —se añade— que la acumulación de los contenidos del escrito que quedan analizados por párrafos tiene que provocar un efecto amplificador en su valoración, sin olvidar el párrafo primero, en el que de forma directa se le imputa demostrar parcialidad y falta de competencia, pero tampoco habría que olvidar que nos encontramos ante un proceso penal por delito, que de todos los instrumentos que nuestro Derecho ofrece para la protección del honor es el último al que acudir, sólo previsto para las infracciones más graves del mismo. Ni en la Sentencia de instancia ni en la de apelación se justifican las razones por las que se considera que las intromisiones en el honor sean graves y no hay que olvidar que esa circunstancia es necesaria para su calificación como delito, aunque ello no ha sido denunciado por los recurrentes en amparo y debe quedar fuera de cuestionamiento.</w:t>
      </w:r>
    </w:p>
    <w:p w:rsidR="0085709A" w:rsidRDefault="0085709A" w:rsidP="0085709A">
      <w:pPr>
        <w:pStyle w:val="TextoNormal"/>
      </w:pPr>
    </w:p>
    <w:p w:rsidR="0085709A" w:rsidRDefault="0085709A" w:rsidP="0085709A">
      <w:pPr>
        <w:pStyle w:val="TextoNormal"/>
      </w:pPr>
      <w:r>
        <w:t>e) Con arreglo a lo anterior, estima el Fiscal que las afirmaciones contenidas en el escrito, calificadas por las sentencias de absolutamente vejatorias o insultantes, no alcanzan tal grado. Nada cabe reprochar a estas sentencias en cuanto a su recogida de la doctrina del Tribunal Constitucional en estos supuestos de colisión entre derechos, pero al fin todo se reduciría a una función valorativa de los hechos concretos y su posible adecuación a esa doctrina y es ahí, en la argumentación conclusiva, donde las resoluciones impugnadas adolecen de fundamento. No se niega por el Fiscal que los autores de la carta han utilizado expresiones que deben resultar molestas, desabridas o hirientes y que, desde luego, podrían haber optado por otras menos dañosas para la dignidad de su destinataria, pero reitera que todo el contenido de la carta tiene por objeto no tanto cuestionarse la profesionalidad de la juzgadora como su falta de acierto en este caso concreto y lo hace de una forma crítica y con motivación, no acudiendo a descalificaciones gratuitas por innecesarias o insultantes, sino al modo en que se articulan los recursos cuando de una parte procesal se trata, aunque los demandantes no fueron parte en el proceso y no podían acudir a ese remedio. La falta de tacto y de adecuación en los términos debidos a la función judicial no es de tal magnitud que permita tacharla de delictiva. Tampoco cabe pasar por alto las circunstancias que la jurisprudencia constitucional ha marcado considerando como atenuadoras de la exigibilidad del respeto al honor, ya citadas, y que se dan en este caso. En primer lugar, la circunstancia de que el destinatario de los improperios esté ejerciendo una función pública y que las críticas se refieren precisamente a ese ejercicio, lo que aquí no es discutible y así lo reconocen las propias Sentencias cuestionadas. Estamos ante una juez dictando sentencia, que por ello tiene que soportar un plus de sometimiento a la opinión pública en su actuaciones En segundo lugar, la cuestión tiene trascendencia para la sociedad, gravita un interés social, aunque sea para un colectivo tan delimitado territorialmente como los habitantes de Aguilar del Alfambra y, por último, no cabe dejar de lado que en la actuación de los condenados se refleja un ánimo de crear “opinión pública”. Estamos ante los portavoces de una plataforma creada precisamente para el seguimiento de este proceso con un ánimo, lícito, de intentar obtener que las decisiones, administrativas primero y judiciales después, se dirijan en una dirección concreta, la de la salvaguarda del medio ambiente en las actividades de explota</w:t>
      </w:r>
      <w:r>
        <w:lastRenderedPageBreak/>
        <w:t>ción minera que se llevan a cabo en la localidad. Para la consecución de esa finalidad, confesada en los estatutos de la asociación, es relevante la publicación de opiniones de los órganos de la plataforma y su aspecto crítico. Ante una decisión judicial que se considere desacertada, es razonable, por aquellos que no son parte procesal y que, por tanto, no tengan en su poder los mecanismos procesales para su revocación, que se intente hacer llegar al colectivo de los ciudadanos afectados por la decisión una opinión crítica con la Sentencia. Es cierto que las palabras que se eligen para ese cometido contienen algún exceso, pero también lo es que el escrito pretende cuestionar de forma motivada dónde entienden sus autores que radica lo erróneo de la decisión. Pero el escrito no va dirigido a otro órgano judicial, sino al público en general y por eso tanto en su dialéctica como en su contenido no le son exigibles los criterios de respeto y lealtad profesional a que puede estar obligado quien ejercita un recurso, permitiéndose una terminología mucho más propia de la sociedad a la que se dirige y menos exigente con el rigor técnico jurídico.</w:t>
      </w:r>
    </w:p>
    <w:p w:rsidR="0085709A" w:rsidRDefault="0085709A" w:rsidP="0085709A">
      <w:pPr>
        <w:pStyle w:val="TextoNormal"/>
      </w:pPr>
    </w:p>
    <w:p w:rsidR="0085709A" w:rsidRDefault="0085709A" w:rsidP="0085709A">
      <w:pPr>
        <w:pStyle w:val="TextoNormal"/>
      </w:pPr>
      <w:r>
        <w:t>Por todo ello entiende el Fiscal que esos excesos verbales no son de suficiente entidad para calificarlos de delito, calificación que se reserva para las más graves manifestaciones, pues de todas las posibilidades de defensa en Derecho del honor de la ofendida (demanda civil, juicio de faltas o proceso por delito) se optó por la más grave y por tanto la valoración a hacer tiene que tenerlo en cuenta, razón por la que el Fiscal estima que procede acceder a los amparos solicitados.</w:t>
      </w:r>
    </w:p>
    <w:p w:rsidR="0085709A" w:rsidRDefault="0085709A" w:rsidP="0085709A">
      <w:pPr>
        <w:pStyle w:val="TextoNormal"/>
      </w:pPr>
    </w:p>
    <w:p w:rsidR="0085709A" w:rsidRDefault="0085709A" w:rsidP="0085709A">
      <w:pPr>
        <w:pStyle w:val="TextoNormal"/>
      </w:pPr>
      <w:r>
        <w:t>Se concluyó interesando se dictara sentencia de conformidad con los términos de este escrito y con los pronunciamientos de otorgar los amparos, reconocer el derecho a la libertad de expresión de los demandantes [art. 20.1 a) CE] y declarar la nulidad de las Sentencias de 10 de julio de 2012 y de 29 de enero de 2013, dictadas, respectivamente, por el Juzgado de lo Penal núm. 1 y por la Audiencia Provincial de Teruel.</w:t>
      </w:r>
    </w:p>
    <w:p w:rsidR="0085709A" w:rsidRDefault="0085709A" w:rsidP="0085709A">
      <w:pPr>
        <w:pStyle w:val="TextoNormal"/>
      </w:pPr>
    </w:p>
    <w:p w:rsidR="0085709A" w:rsidRDefault="0085709A" w:rsidP="0085709A">
      <w:pPr>
        <w:pStyle w:val="TextoNormal"/>
      </w:pPr>
      <w:r w:rsidRPr="0085709A">
        <w:rPr>
          <w:rStyle w:val="NumeroAFNegritaCaracter"/>
        </w:rPr>
        <w:t>8</w:t>
      </w:r>
      <w:r>
        <w:t>. Por sendas providencias de 16 de febrero de 2015, la Sala Primera concedió a las partes personadas un plazo de diez días para que, conforme determina el art. 83 de la Ley Orgánica del Tribunal Constitucional, alegasen lo que conviniera a su derecho sobre la acumulación del recurso 1486-2013 al 1485-2013. Tras las alegaciones, en las que tanto los demandantes de amparo como el Ministerio Fiscal manifestaron su conformidad con la acumulación de ambos recursos, la Sala acordó, por Auto de 16 de marzo de 2015, la acumulación del recurso 1486-2013 al recurso 1485-2013.</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9 de abril de 2015 se señaló para deliberación y votación de la presente Sentencia el día 13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Según en lo que antecede queda expuesto con detalle, los demandantes en los dos recursos de amparo aquí acumulados fueron condenados por Sentencia de 10 de julio de 2012, del Juzgado de lo Penal núm. 1 de Teruel, como autores de un delito de injurias graves hechas con publicidad (arts. 208, 209, 211 y ss. del Código penal) por las manifestaciones contenidas en la carta abierta, que ambos suscribieron como portavoces de la asociación Plataforma Aguilar Natural, dirigida a la Magistrada-Juez del Juzgado de lo Contencioso-Administrativo de Teruel, texto que fue publicado el 11 de marzo de 2010 en la sección </w:t>
      </w:r>
      <w:r>
        <w:lastRenderedPageBreak/>
        <w:t>“Cartas al Director” del “Diario de Teruel”. Estimó el juzgador penal que esta carta pública —transcrita en el antecedente segundo de la presente Sentencia— lesionó el derecho al honor (art. 18.1 CE) de la titular del referido órgano judicial por el exceso en que se había incurrido al censurar en ella la actuación de la Magistrada-Juez en el proceso contencioso-administrativo al que puso término en primera instancia su Sentencia de 25 de noviembre de 2009, pleito éste promovido entonces por una entidad mercantil contra determinado decreto del Ayuntamiento de Aguilar del Alfambra (Teruel) y en el que se debatió —en síntesis— si la ejecución de cierto proyecto de extracción de minerales debía someterse al procedimiento de evaluación de impacto ambiental o quedar sujeto al procedimiento de licencia ambiental de actividad clasificada. Recurrida en apelación la resolución penal de condena, la misma fue confirmada por Sentencia de 29 de enero de 2013, de la Audiencia Provincial de Teruel. Tanto la Sentencia dictada por el Juzgado de lo Penal como la recaída en segunda instancia son, una y otra, impugnadas en estos recursos de amparo, por entender los demandantes que ambas resoluciones conculcaron sus derechos fundamentales a ejercer sin traba las libertades de expresión e información [apartados 1 a) y 1 d) del art. 20 CE]. Piden por ello la anulación de las Sentencias recurridas, solicitud que también formula en sus alegaciones el Ministerio Fiscal, si bien sólo con fundamento en la infracción de la libertad de expresión de los demandantes, única que habría sido menoscabada, a decir del ministerio público, por las Sentencias objeto de los recursos.</w:t>
      </w:r>
    </w:p>
    <w:p w:rsidR="0085709A" w:rsidRDefault="0085709A" w:rsidP="0085709A">
      <w:pPr>
        <w:pStyle w:val="TextoNormal"/>
      </w:pPr>
    </w:p>
    <w:p w:rsidR="0085709A" w:rsidRDefault="0085709A" w:rsidP="0085709A">
      <w:pPr>
        <w:pStyle w:val="TextoNormal"/>
      </w:pPr>
      <w:r>
        <w:t xml:space="preserve">De nuevo llega hasta este Tribunal, en consecuencia, una controversia jurídico-constitucional en la que aparecen comprometidos, de una parte, el derecho fundamental al honor y, de la otra, las libertades —también con la condición de derechos fundamentales— de expresión o de información; derechos, unos y otros, colindantes en su definición constitucional [art. 18.1 y apartados 1 a) y d) y 4 del art. 20 CE] y a menudo en conflicto, por ello, en la experiencia jurídica concreta. Corresponde ante todo a la jurisdicción ordinaria asegurar, en los procesos de los que conozca, un ponderado equilibrio entre las posiciones subjetivas que busquen ampararse, respectivamente, en aquel derecho al honor y en los que preservan, en tensión con él, una comunicación pública libre, por más que tal ponderación o ajuste pueda ser, como aquí ha ocurrido, sometido al ulterior enjuiciamiento del Tribunal Constitucional, pues la convivencia armónica entre unos derechos y otros no queda preservada, según con reiteración hemos dicho, mediante la sola argumentación en la resolución judicial sobre cuál sea el respectivo valor, </w:t>
      </w:r>
      <w:r w:rsidRPr="0085709A">
        <w:rPr>
          <w:i/>
        </w:rPr>
        <w:t>ad casum</w:t>
      </w:r>
      <w:r>
        <w:t>, de unas pretensiones y otras. Debe además el Juez, ya como exigencia sustantiva, sopesar correctamente tales pretensiones jurídicas con arreglo a los criterios que después recordaremos, esto es, llevar a cabo una delimitación constitucional adecuada de las situaciones jurídicas así opuestas; delimitación que, llegado el caso, puede ser enjuiciada y, si preciso fuera, corregida por este Tribunal (por todas las resoluciones en este sentido, SSTC 143/1991, de 1 de julio, FJ 2; 89/2010, de 15 de noviembre, FJ 3, y 41/2011, de 11 de abril, FJ 4).</w:t>
      </w:r>
    </w:p>
    <w:p w:rsidR="0085709A" w:rsidRDefault="0085709A" w:rsidP="0085709A">
      <w:pPr>
        <w:pStyle w:val="TextoNormal"/>
      </w:pPr>
    </w:p>
    <w:p w:rsidR="0085709A" w:rsidRDefault="0085709A" w:rsidP="0085709A">
      <w:pPr>
        <w:pStyle w:val="TextoNormal"/>
      </w:pPr>
      <w:r>
        <w:t xml:space="preserve">La jurisprudencia constitucional que parte de lo que queda dicho viene de antiguo, ciertamente, y llega con continuidad hasta hoy a través de no pocos pronunciamientos en los que nuestra doctrina al respecto ha quedado sentada de modo pormenorizado, en correspondencia con los diversos tipos de supuestos que, en el marco de esta problemática general, han venido a suscitarse ante esta jurisdicción. Que ya exista este consolidado acervo jurisprudencial no ha sido obstáculo, sin embargo, para la admisión a trámite de los recursos de amparo aquí acumulados, pues casos en que se planteara, directa o indirectamente, una colisión entre libertades </w:t>
      </w:r>
      <w:r w:rsidRPr="0085709A">
        <w:rPr>
          <w:i/>
        </w:rPr>
        <w:t>uti cives</w:t>
      </w:r>
      <w:r>
        <w:t xml:space="preserve"> de expresión o información, de un lado, y derecho al honor </w:t>
      </w:r>
      <w:r>
        <w:lastRenderedPageBreak/>
        <w:t>de jueces y magistrados en el ejercicio de su función, del otro, han llegado muy rara vez a sentencia de este Tribunal y cuando lo han hecho no ha sido, desde luego, en el pasado más reciente, siendo así que tales concretos supuestos de tensión o conflicto entre derechos presentan singularidades de relieve —como acredita la jurisprudencia del Tribunal Europeo de Derechos Humanos, según se recordará— respecto de las contraposiciones comunes, por así llamarlas, entre derechos de la personalidad y libertades de expresión o información. Era por tanto procedente volver sobre nuestra jurisprudencia general en este ámbito para perfilarla, y en su caso adecuarla, en atención a las peculiaridades que, según decimos, muestran supuestos como el actual. En ello es de ver la especial trascendencia constitucional de los presentes recursos de amparo [art. 50.1 b) de la Ley Orgánica del Tribunal Constitucional].</w:t>
      </w:r>
    </w:p>
    <w:p w:rsidR="0085709A" w:rsidRDefault="0085709A" w:rsidP="0085709A">
      <w:pPr>
        <w:pStyle w:val="TextoNormal"/>
      </w:pPr>
    </w:p>
    <w:p w:rsidR="0085709A" w:rsidRDefault="0085709A" w:rsidP="0085709A">
      <w:pPr>
        <w:pStyle w:val="TextoNormal"/>
      </w:pPr>
      <w:r w:rsidRPr="0085709A">
        <w:rPr>
          <w:rStyle w:val="NumeroAFNegritaCaracter"/>
        </w:rPr>
        <w:t>2</w:t>
      </w:r>
      <w:r>
        <w:t>. Aducen los recurrentes, vale reiterar, que las Sentencias que impugnan violaron sus libertades tanto de expresión como de información. Lo primero que hemos de determinar, por tanto, es si fueron efectivamente ambos derechos fundamentales los que vinieron a ejercerse —ya se dirá si con exceso o no— mediante la carta pública a resultas de la cual fueron acusados y condenados, o si sólo fue puesto en práctica, o lo fue de modo preponderante, uno de tales derechos fundamentales. La Constitución, y nuestra jurisprudencia con ella (por todas STC 79/2014, de 28 de mayo, FJ 4), distinguen, como es bien conocido,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Por más que, como no hemos dejado de observar en ocasiones anteriores,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w:t>
      </w:r>
    </w:p>
    <w:p w:rsidR="0085709A" w:rsidRDefault="0085709A" w:rsidP="0085709A">
      <w:pPr>
        <w:pStyle w:val="TextoNormal"/>
      </w:pPr>
    </w:p>
    <w:p w:rsidR="0085709A" w:rsidRDefault="0085709A" w:rsidP="0085709A">
      <w:pPr>
        <w:pStyle w:val="TextoNormal"/>
      </w:pPr>
      <w:r>
        <w:t xml:space="preserve">Aunque la carta pública que los demandantes suscribieron no deja de mostrar un cierto carácter informativo —dar noticia del dictado de una sentencia de posible interés para los lectores del Diario de Teruel—, es indudable que ese alcance es en ella del todo marginal, pues la carta, sencillamente, no describe el pleito; ni tan siquiera lo resume. Su componente primordial fue, más bien, el de fijar la posición y valoración sobre tal resolución judicial de la asociación por la que, en calidad de portavoces, suscribieron dicha carta los actores, manifestaciones de opinión y juicios de valor, muy patentes y reiterados en aquel texto, que fueron además —en parte, al menos— los que se tuvieron en cuenta a la hora de dictar la condena penal aquí recurrida. Siendo esto así, como sin duda es, no hay sino que coincidir, en cuanto a este extremo, con lo alegado por el Ministerio Fiscal en orden a que la libertad </w:t>
      </w:r>
      <w:r w:rsidRPr="0085709A">
        <w:rPr>
          <w:i/>
        </w:rPr>
        <w:t>ex</w:t>
      </w:r>
      <w:r>
        <w:t xml:space="preserve"> art. 20 CE cuyo ejercicio, legítimo o no, está aquí en juego es la garantizada en el apartado 1 a) de dicho precepto, esto es, la libertad de expresión.</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Como cualquier otro derecho fundamental de libertad, el enunciado en el art. 20.1 a) CE hace posible y garantiza la autodeterminación del individuo y, a su través, de los grupos sociales en los que por libre decisión pueda integrarse. Tiene también este derecho, y con reiteración lo hemos dicho, una dimensión trascendente u objetiva (por todas, SSTC </w:t>
      </w:r>
      <w:r>
        <w:lastRenderedPageBreak/>
        <w:t xml:space="preserve">107/1988, de 8 de junio, FJ 2; y 216/2013, de 19 de diciembre, FJ 5), pues mediante su ejercicio —sin más restricciones que las que puedan fundamentarse en la preservación de otros derechos o bienes constitucionales— se construye un espacio de libre comunicación social, de continuo abierto, y se propicia con ello la formación tanto de opinión pública como de una ciudadanía activa, sin cuya vitalidad crítica no son posibles, o no lo son en plenitud, ni la democracia ni el pluralismo políticos (art. 1.1 CE). Esta libertad de expresión, ya queda dicho, no está exenta, como cualquiera otra, de límites fijados o fundamentados en la Constitución y con ellos ha de ser consecuente su ejercicio, pues si bien el Ordenamiento no ha de cohibir sin razón suficiente la más amplia manifestación y difusión de ideas y opiniones, su expresión conlleva siempre, como todo ejercicio de libertad civil, deberes y responsabilidades y así lo viene recordando, justamente para este preciso ámbito, el Tribunal de Estrasburgo (por todas, Sentencia de 24 de febrero de 2015, caso </w:t>
      </w:r>
      <w:r w:rsidRPr="0085709A">
        <w:rPr>
          <w:i/>
        </w:rPr>
        <w:t>Haldimann y otros c. Suiza</w:t>
      </w:r>
      <w:r>
        <w:t>, párrafo 46). Figura entre estos límites, por lo que ahora hace al caso, el que viene dado por el necesario respeto al honor ajeno (art. 20.4 CE), bien constitucional éste que tiene, además, la condición de derecho fundamental en sí mismo (art. 18.1 CE y STC 85/1992, de 8 de junio, FJ 4), siendo procedente recordar ahora que los derechos de este carácter no consienten abstractas ordenaciones de valor entre unos y otros (en este sentido, STC 11/2000, de 17 de enero, FJ 7), aunque sí sea preciso, llegado el caso, la determinación jurisdiccional concreta de cuál sea la situación jurídica de derecho fundamental que, en colisión con otra de la misma condición, deba prevalecer al cabo. Como concepto constitucional, el de honor ha sido también objeto, según se sabe, de identificación por una jurisprudencia constitucional ya muy arraigada y a la que aquí procede remitirse, no sin recordar que, en general, este derecho fundamental proscribe el “ser escarnecido o humillado ante sí mismo o ante los demás” (STC 127/2004, de 19 de julio, FJ 5) y garantiza, ya en términos positivos, “la buena reputación de una persona, protegiéndola frente a expresiones o mensajes” que la hagan “desmerecer en la consideración ajena al ir en su descrédito o menosprecio o que sean tenidas en el concepto público por afrentosas” (STC 216/2013, FJ 5). Es preciso también puntualizar, porque así lo requiere el correcto encuadramiento constitucional del actual caso, que el honor que la Constitución protege es también el que se expone y acredita en la vida profesional del sujeto, vertiente ésta de la actividad individual que no podrá ser, sin daño para el derecho fundamental, menospreciada sin razón legítima, con temeridad o por capricho [respecto al “prestigio profesional” a estos efectos, STC 223/1992, de 14 de diciembre, FJ 3; en términos no diferentes, SSTC 9/2007, de 15 de enero, FJ 3; 41/2011, FJ 5 c); y 216/2013, FJ 5]. La simple crítica a la pericia profesional en el desempeño de una actividad no debe confundirse, sin más, con un atentado al honor, cierto es, pero la protección del art. 18.1 CE sí defiende de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9/2007, FJ 3 y jurisprudencia allí citada).</w:t>
      </w:r>
    </w:p>
    <w:p w:rsidR="0085709A" w:rsidRDefault="0085709A" w:rsidP="0085709A">
      <w:pPr>
        <w:pStyle w:val="TextoNormal"/>
      </w:pPr>
    </w:p>
    <w:p w:rsidR="0085709A" w:rsidRDefault="0085709A" w:rsidP="0085709A">
      <w:pPr>
        <w:pStyle w:val="TextoNormal"/>
      </w:pPr>
      <w:r>
        <w:t xml:space="preserve">El juez que conozca de pretensiones enfrentadas y basadas, respectivamente, en la defensa del honor y en la afirmación, frente a ella, de la propia y legítima libertad de expresión debe, como ha quedado dicho, sopesar una y otra situación jurídica en atención a las circunstancias del caso; al contenido y contexto de las manifestaciones proferidas o puestas por escrito; a su intensidad aflictiva, mayor o menor, sobre el honor ajeno; al posible interés </w:t>
      </w:r>
      <w:r>
        <w:lastRenderedPageBreak/>
        <w:t xml:space="preserve">público del objeto sobre el que se hicieron aquellas manifestaciones; a la condición pública (como personaje de notoriedad social o como autoridad pública) o privada de quien haya visto afectado su derecho </w:t>
      </w:r>
      <w:r w:rsidRPr="0085709A">
        <w:rPr>
          <w:i/>
        </w:rPr>
        <w:t>ex</w:t>
      </w:r>
      <w:r>
        <w:t xml:space="preserve"> art. 18.1 CE; al carácter genérico o, por el contrario, individualizado de las referencias que, en uso de la libertad </w:t>
      </w:r>
      <w:r w:rsidRPr="0085709A">
        <w:rPr>
          <w:i/>
        </w:rPr>
        <w:t>ex</w:t>
      </w:r>
      <w:r>
        <w:t xml:space="preserve"> art. 20.1 a), puedan causar daño en el bien tutelado por aquel derecho; a la distinción, capital, entre criticar un acto o comportamiento, en sí mismo, o hacerlo sólo a resultas de la censura </w:t>
      </w:r>
      <w:r w:rsidRPr="0085709A">
        <w:rPr>
          <w:i/>
        </w:rPr>
        <w:t>ad personam</w:t>
      </w:r>
      <w:r>
        <w:t xml:space="preserve"> de quien lo llevó a cabo y, en fin, a cualesquiera otros elementos significativos que permitan la mejor identificación y reconocimiento del respectivo valor que tuvieron, en el caso, los derechos así en liza. De todo ello hay referencias en nuestra jurisprudencia, a la que aquí, de nuevo, procede remitirse (por todas, SSTC 46/1998, de 2 de marzo, FFJJ 2 a 5; 174/2006, de 5 de junio, FJ 4, y 9/2007, FJ 4). Importa también ahora, con todo, recordar expresamente dos de los criterios o pautas que al respecto figuran de modo constante, desde el principio, en nuestra doctrina. De una parte, que las expresiones que puedan inicialmente afectar al honor ajeno, por afrentosas o ultrajantes, sólo podrían decirse legítimas, en su caso, si fueron, atendido el contexto, necesarias o pertinentes para el discurso en que se integraron, pues es patente que si esas expresiones acaso afectantes al honor se realizan al margen de dicha relación con el discurso en que se inscriben o, en tal caso, sin una mínima base fáctica que les dé soporte bastante estaremos ante el nudo vituperio, que nuestra Constitución —casi huelga decirlo— no ampara en modo alguno. Al menos desde la antes citada STC 85/1992, FJ 4, venimos señalando que la norma fundamental, en efecto, no reconoce ni admite un supuesto “derecho al insulto”, que sería inconciliable, de modo radical, con la dignidad de la persona (art. 10.1 CE). No pueden, en definitiva, buscar amparo en el derecho </w:t>
      </w:r>
      <w:r w:rsidRPr="0085709A">
        <w:rPr>
          <w:i/>
        </w:rPr>
        <w:t>ex</w:t>
      </w:r>
      <w:r>
        <w:t xml:space="preserve"> art. 20.1 a) CE “las expresiones absolutamente vejatorias, es decir, las que, en las concretas circunstancias del caso, y al margen de su veracidad, sean ofensivas o ultrajantes y resulten impertinentes para expresar las opiniones o informaciones de que se trate” (STC 216/2013, FJ 5, y jurisprudencia allí citada). Es preciso también reiterar, de otro lado, que siendo muy cierto, también conforme a jurisprudencia constante, que, tratándose de asuntos públicos, las personas con esa misma condición quedan expuestas a inquisiciones y críticas especialmente intensas e incisivas y superiores, en todo caso, a las que suelen resultar tolerables entre los ciudadanos del común —críticas que, en principio, debieran soportar esas personas involucradas en la vida pública—, no lo es menos que incluso los personajes y los servidores públicos no pierden en modo alguno, por serlo, su derecho al honor (STC 148/2001, de 27 de junio, FJ 6), so pena de admitir —lo que en modo alguno puede hacerse— que quien actúe en el escenario público quede a merced, sin límite, de cualesquiera invectivas o ultrajes que menoscaben su reputación o su buen nombre. Es de relieve advertir, en relación con esto, y ya por lo que importa al presente caso, que los titulares de órganos judiciales se encuentran, por lo que se refiere al ejercicio de su función, en una “singular posición” (STC 46/1998, FFJJ 3 y 5) respecto de otras autoridades públicas y, desde luego, de los actores políticos, entre otras razones porque el posible descrédito sin fundamento que pudieran llegar a sufrir dañaría, eventualmente, no sólo su honor personal, sino también, de modo inseparable, la confianza de todos en la justicia, que es condición basilar del Estado de Derecho (art. 1.1 CE). Esta última consideración, sobre la que de inmediato volveremos, es también una constante en la jurisprudencia del Tribunal Europeo de Derechos Humanos (Sentencia de 24 de septiembre de 2013, caso </w:t>
      </w:r>
      <w:r w:rsidRPr="0085709A">
        <w:rPr>
          <w:i/>
        </w:rPr>
        <w:t>Belpietro c. Italia</w:t>
      </w:r>
      <w:r>
        <w:t>, párrafo 48, por todas).</w:t>
      </w:r>
    </w:p>
    <w:p w:rsidR="0085709A" w:rsidRDefault="0085709A" w:rsidP="0085709A">
      <w:pPr>
        <w:pStyle w:val="TextoNormal"/>
      </w:pPr>
    </w:p>
    <w:p w:rsidR="0085709A" w:rsidRDefault="0085709A" w:rsidP="0085709A">
      <w:pPr>
        <w:pStyle w:val="TextoNormal"/>
      </w:pPr>
      <w:r>
        <w:t xml:space="preserve">Es ya posible, a partir de lo anterior, entrar en el examen de la concreta queja constitucional promovida por los recurrentes y considerar, por tanto, si las manifestaciones por las que sufrieron condena penal estaban sin embargo amparadas por el legítimo ejercicio de su </w:t>
      </w:r>
      <w:r>
        <w:lastRenderedPageBreak/>
        <w:t xml:space="preserve">derecho de libertad de expresión o, por el contrario, resultaron lesivas, como apreciaron los juzgadores </w:t>
      </w:r>
      <w:r w:rsidRPr="0085709A">
        <w:rPr>
          <w:i/>
        </w:rPr>
        <w:t>a quo</w:t>
      </w:r>
      <w:r>
        <w:t>, para el honor de la magistrada a la que dirigieron su carta pública. El enjuiciamiento a la luz de nuestra doctrina de las resoluciones judiciales impugnadas y, junto a ello, la consideración en su conjunto del texto de aquella carta y, dentro de ella, de determinadas expresiones vertidas entonces por los demandantes es, de la mano de criterios como los expuestos, el objeto exclusivo de nuestro juicio. No resultan relevantes a estos efectos, por tanto, las consideraciones expuestas por el Ministerio Fiscal en sus alegaciones a propósito de la no expresa motivación por los juzgadores penales —en su criterio— de la “gravedad” de las injurias aquí castigadas penalmente o, en relación con esta observación, respecto del carácter extremo que tiene el proceso penal por delito respecto de otras posibles vías (juicio por faltas o juicio civil) a las que cabe también acudir en defensa del honor. Con independencia de que las Sentencias aquí impugnadas se extendieron sobre la intensidad del daño al honor del que juzgaban (el “peor oprobio que se puede predicar de quien está ejerciendo funciones judiciales”, por ejemplo, en palabras de la Sentencia dictada en apelación), lo determinante es que si este Tribunal llegara a apreciar aquí una infracción del art. 20.1 a) CE ello no sería por la conculcación de lo dispuesto en los preceptos penales aplicados a los recurrentes —lo que, en hipótesis, sólo resultaría relevante, en su caso, a los efectos del art. 25.1 CE, no invocado en estos recursos—, sino por la aplicación de tales tipos penales en contra del contenido constitucionalmente protegido de la libertad de expresión (por todas las resoluciones en este sentido, STC 174/2006, FJ 2). Sólo, en definitiva, si esta libertad se ejerció sin exceso (sin daño —en lo que ahora importa— del honor ajeno) sería la misma reconocible y procedería, también sólo entonces, la estimación de estos recursos de amparo.</w:t>
      </w:r>
    </w:p>
    <w:p w:rsidR="0085709A" w:rsidRDefault="0085709A" w:rsidP="0085709A">
      <w:pPr>
        <w:pStyle w:val="TextoNormal"/>
      </w:pPr>
    </w:p>
    <w:p w:rsidR="0085709A" w:rsidRDefault="0085709A" w:rsidP="0085709A">
      <w:pPr>
        <w:pStyle w:val="TextoNormal"/>
      </w:pPr>
      <w:r w:rsidRPr="0085709A">
        <w:rPr>
          <w:rStyle w:val="NumeroAFNegritaCaracter"/>
        </w:rPr>
        <w:t>4</w:t>
      </w:r>
      <w:r>
        <w:t>. No cabe, desde luego, censurar las Sentencias aquí impugnadas por haberse omitido en ellas toda consideración de la libertad de expresión de los entonces acusados por injurias. El Juzgado de lo Penal ponderó por extenso y con detalle , de la mano de la jurisprudencia constitucional, la interacción, en el caso, entre ese derecho fundamental y el que preservaba, mediante el tipo de injurias graves hechas con publicidad, el honor de la Magistrada destinataria de la carta abierta que aquéllos suscribieron y llegó a la razonada conclusión de que determinadas expresiones de dicho texto eran “inequívocamente insultantes” , estaban dirigidas “al descrédito o desprestigio de la Juez autora de la resolución” y resultaban, en definitiva, ajenas al ámbito protegido por el art. 20.1 CE. Otro tanto hizo, bien que de manera más sucinta, la Audiencia Provincial en apelación. No basta, sin embargo, con constatar que dicha ponderación se realizó para dar por cumplido, sólo con ello, el deber que, en supuestos como el presente, impone la Constitución a los órganos judiciales. La concreta acomodación entre derechos así llevada a cabo ha de ser además, como antes recordamos, conforme al ámbito respectivo, atendidas las circunstancias del caso, de unos derechos y otros. Si lo fue o no es lo que aquí hemos de resolver.</w:t>
      </w:r>
    </w:p>
    <w:p w:rsidR="0085709A" w:rsidRDefault="0085709A" w:rsidP="0085709A">
      <w:pPr>
        <w:pStyle w:val="TextoNormal"/>
      </w:pPr>
    </w:p>
    <w:p w:rsidR="0085709A" w:rsidRDefault="0085709A" w:rsidP="0085709A">
      <w:pPr>
        <w:pStyle w:val="TextoNormal"/>
      </w:pPr>
      <w:r>
        <w:t>Para fundamentar debidamente nuestro juicio se ha de partir, sobre lo ya dicho, de las siguientes consideraciones:</w:t>
      </w:r>
    </w:p>
    <w:p w:rsidR="0085709A" w:rsidRDefault="0085709A" w:rsidP="0085709A">
      <w:pPr>
        <w:pStyle w:val="TextoNormal"/>
      </w:pPr>
    </w:p>
    <w:p w:rsidR="0085709A" w:rsidRDefault="0085709A" w:rsidP="0085709A">
      <w:pPr>
        <w:pStyle w:val="TextoNormal"/>
      </w:pPr>
      <w:r>
        <w:t xml:space="preserve">a) La carta en la que se contuvieron las expresiones valoradas como injuriosas por los juzgadores </w:t>
      </w:r>
      <w:r w:rsidRPr="0085709A">
        <w:rPr>
          <w:i/>
        </w:rPr>
        <w:t>a quo</w:t>
      </w:r>
      <w:r>
        <w:t xml:space="preserve"> pretendió hacer pública la posición crítica de la asociación de la que los actores fueron portavoces sobre una determinada sentencia judicial que, por su posible alcance medioambiental, afectaba, cierto es, al propio fin estatutario de dicha asociación, así como a un ámbito territorial en el que la asociación Plataforma Aguilar Natural desenvuelve su actividad. La hipotética incidencia sobre el medio ambiente de una determinada actividad </w:t>
      </w:r>
      <w:r>
        <w:lastRenderedPageBreak/>
        <w:t xml:space="preserve">empresarial es, sin duda, cosa de interés general y de interés también, cualificadamente, para una asociación ecologista. El Tribunal Europeo de Derechos Humanos no ha dejado de destacar la importante posición, pareja a la de la prensa escrita, que cabe reconocer, a estos efectos, a las asociaciones ciudadanas (por todas, Sentencia de 17 de febrero de 2015, caso </w:t>
      </w:r>
      <w:r w:rsidRPr="0085709A">
        <w:rPr>
          <w:i/>
        </w:rPr>
        <w:t>Guseva c. Bulgaria</w:t>
      </w:r>
      <w:r>
        <w:t>, párrafo 38, y jurisprudencia allí citada).</w:t>
      </w:r>
    </w:p>
    <w:p w:rsidR="0085709A" w:rsidRDefault="0085709A" w:rsidP="0085709A">
      <w:pPr>
        <w:pStyle w:val="TextoNormal"/>
      </w:pPr>
    </w:p>
    <w:p w:rsidR="0085709A" w:rsidRDefault="0085709A" w:rsidP="0085709A">
      <w:pPr>
        <w:pStyle w:val="TextoNormal"/>
      </w:pPr>
      <w:r>
        <w:t xml:space="preserve">b) Las actuaciones y resoluciones judiciales pueden ser objeto de pública crítica por los ciudadanos y la libertad para hacerlo tiene, sin duda alguna, la firme garantía de lo dispuesto en el art. 20.1 a) CE. Así hemos tenido ya ocasión de declararlo (STC 46/1998, FFJJ 3 y siguientes) y así lo ha señalado también, con reiteración, el Tribunal de Estrasburgo (por todas, Sentencias de 18 de septiembre de 2012, caso </w:t>
      </w:r>
      <w:r w:rsidRPr="0085709A">
        <w:rPr>
          <w:i/>
        </w:rPr>
        <w:t>Falter Zeitschriften GmbH c. Austria</w:t>
      </w:r>
      <w:r>
        <w:t>, párrafo 38). Esta crítica no dejará, en general, de ser legítima por su eventual aspereza de tono o de lenguaje, pues la Constitución ampara como libertad de expresión, en según qué circunstancias, también las manifestaciones desabridas o que puedan molestar, herir, inquietar o disgustar [por todas, STC 41/2011, FJ 5 d)]. No es obviamente la complacencia ajena lo perseguido aquí como valioso por la norma fundamental, sino la afirmación individual y de los grupos, junto a la formación de una opinión pública libre y celosa en la defensa de los derechos e intereses de todos.</w:t>
      </w:r>
    </w:p>
    <w:p w:rsidR="0085709A" w:rsidRDefault="0085709A" w:rsidP="0085709A">
      <w:pPr>
        <w:pStyle w:val="TextoNormal"/>
      </w:pPr>
    </w:p>
    <w:p w:rsidR="0085709A" w:rsidRDefault="0085709A" w:rsidP="0085709A">
      <w:pPr>
        <w:pStyle w:val="TextoNormal"/>
      </w:pPr>
      <w:r>
        <w:t xml:space="preserve">c) La libertad de palabra para la crítica y, en su caso, censura públicas de las resoluciones judiciales no es, desde luego, irrestricta, sujeta como está a los límites y condiciones que, con carácter general, hemos recordado en el fundamento jurídico que antecede. Para juzgar de su ejercicio legítimo se ha de tener presente, además, la singular posición del Poder Judicial en el Estado constitucional, posición que —todavía sin descender al caso actual— puede llevar a reprobar </w:t>
      </w:r>
      <w:r w:rsidRPr="0085709A">
        <w:rPr>
          <w:i/>
        </w:rPr>
        <w:t>ex Constitutione</w:t>
      </w:r>
      <w:r>
        <w:t xml:space="preserve"> manifestaciones y expresiones que resultarían acaso tolerables si hubieran sido dirigidas a los titulares de otros cargos públicos. A diferencia, en primer lugar, de otras autoridades y, desde luego, de los actores políticos en general, el Juez —que como tal se expresa sólo a través de sus resoluciones— carece, por obvias razones de reserva, prudencia y contención, de la misma capacidad de réplica personal con la que aquéllos cuentan para salir al paso de censuras al ejercicio de su función que estime injustas, falsas o atentatorias a su honor profesional [SSTC 46/1998, FJ 5; y 162/1999, de 27 de septiembre, FJ 9; sobre la obligación, en general, de discreción judicial en relación con la imagen de imparcialidad, STC 69/2001, de 17 de marzo, FJ 14 b); asimismo, Sentencias del Tribunal Europeo de Derechos Humanos de 26 de abril de 1995, caso </w:t>
      </w:r>
      <w:r w:rsidRPr="0085709A">
        <w:rPr>
          <w:i/>
        </w:rPr>
        <w:t>Prager y Oberschlick c. Austria</w:t>
      </w:r>
      <w:r>
        <w:t xml:space="preserve">, párrafo 34 y, entre otras, la ya citada en el caso </w:t>
      </w:r>
      <w:r w:rsidRPr="0085709A">
        <w:rPr>
          <w:i/>
        </w:rPr>
        <w:t>Falter Zeitschriften GmbH</w:t>
      </w:r>
      <w:r>
        <w:t xml:space="preserve">, párrafo 39]. De otro lado, las censuras a un determinado juez cuya actuación se califique de parcial o de deliberadamente injusta son percibidas por la ciudadanía —como evidencia la experiencia común— con un alcance e intensidad reprobatorios muy superiores al que deparan las diatribas o invectivas que, a veces al límite mismo del exceso, pueden llegar a desatarse o intercambiarse al socaire de lo que en alguna ocasión hemos descrito como un “vivo y ardiente debate político” (STC 148/2001, de 27 de junio, FJ 7), pues “el modo normal en que tales polémicas discurren” (STC 39/2005, de 28 de febrero, FJ 5) puede relativizar, en cierta medida, la carga peyorativa de eventuales dicterios que recobrarían, sin embargo, toda su gravedad semántica si tuvieran como destinatarios a los titulares del Poder Judicial. No cabe desconocer en fin, y en relación con lo dicho, que las críticas desmedidas y carentes de todo fundamento al Juez en ejercicio de sus funciones pueden llegar a afectar no ya sólo a su honorabilidad profesional —como se planteó en el proceso </w:t>
      </w:r>
      <w:r w:rsidRPr="0085709A">
        <w:rPr>
          <w:i/>
        </w:rPr>
        <w:t>a quo</w:t>
      </w:r>
      <w:r>
        <w:t xml:space="preserve">—, sino también, según quedó ya antes apuntado, a la confianza misma en la </w:t>
      </w:r>
      <w:r>
        <w:lastRenderedPageBreak/>
        <w:t xml:space="preserve">justicia (por todas, Sentencia del Tribunal Europeo de Derechos Humanos, de 11 de julio de 2013, caso </w:t>
      </w:r>
      <w:r w:rsidRPr="0085709A">
        <w:rPr>
          <w:i/>
        </w:rPr>
        <w:t>Morice c. Francia</w:t>
      </w:r>
      <w:r>
        <w:t>, párrafo 107), que es uno de los pilares existenciales del Estado de Derecho. Todo ello no desdice, desde luego, de lo antes afirmado en orden a la plena exposición a la crítica pública de las resoluciones judiciales, pero sí debe ser tenido en cuenta para no trasladar sin matices a casos como el actual, por las razones dichas, nuestra doctrina general [expuesta, por ejemplo, en la STC 110/2000, de 5 de mayo, FJ 8 c)] sobre los límites más amplios o menos taxativos —pero existentes, con todo— de la libertad de expresión cuando se emplea no con el resultado de hacer cuestión del honor de ciudadanos comunes, sino con el de poner en entredicho, al calor del debate cívico y político y con su dialéctica propia, la plena honorabilidad o probidad de personajes públicos o de titulares de cargos públicos que también lo son.</w:t>
      </w:r>
    </w:p>
    <w:p w:rsidR="0085709A" w:rsidRDefault="0085709A" w:rsidP="0085709A">
      <w:pPr>
        <w:pStyle w:val="TextoNormal"/>
      </w:pPr>
    </w:p>
    <w:p w:rsidR="0085709A" w:rsidRDefault="0085709A" w:rsidP="0085709A">
      <w:pPr>
        <w:pStyle w:val="TextoNormal"/>
      </w:pPr>
      <w:r w:rsidRPr="0085709A">
        <w:rPr>
          <w:rStyle w:val="NumeroAFNegritaCaracter"/>
        </w:rPr>
        <w:t>5</w:t>
      </w:r>
      <w:r>
        <w:t>. Sobre la base de cuanto antecede y a la vista de las circunstancias del caso no cabe, en modo alguno, apreciar que las Sentencias impugnadas ante nosotros violaran el derecho fundamental de los demandantes a expresarse en libertad [art. 20.1 a) CE].</w:t>
      </w:r>
    </w:p>
    <w:p w:rsidR="0085709A" w:rsidRDefault="0085709A" w:rsidP="0085709A">
      <w:pPr>
        <w:pStyle w:val="TextoNormal"/>
      </w:pPr>
    </w:p>
    <w:p w:rsidR="0085709A" w:rsidRDefault="0085709A" w:rsidP="0085709A">
      <w:pPr>
        <w:pStyle w:val="TextoNormal"/>
      </w:pPr>
      <w:r>
        <w:t xml:space="preserve">No estamos, en efecto, ante una crítica genérica, por acre que hubiera sido, al funcionamiento del Poder Judicial (STC 107/1988, FJ 3), sino ante una carta pública en la que se reprueba, a una magistrada individualizada en la cabecera del texto. Tampoco ante comentarios o valoraciones sobre la orientación o tendencias de juicio, en general, de un miembro de aquel Poder, ni —ya por lo que hace al actual caso— ante la sola discrepancia, por enfática que su expresión fuera, con la actuación del juzgador, discrepancia que puede llegar a poner en duda o a negar incluso, como aquí en parte se hizo, su competencia profesional. Todo ello queda, en general y de principio, amparado por la libertad de expresión. No habilita este derecho fundamental, sin embargo, para formular, sin pertinencia argumental ni fundamento bastante, las inequívocas acusaciones de parcialidad o falta de probidad que aquí se dirigieron también al juzgador en un determinado proceso. Tachas éstas de extrema gravedad que, por lo demás, ningún parangón guardan —en contra de lo alegado en este recurso por el Ministerio Fiscal— con la vehemencia argumental que puede llegar a ampararse, según los casos, en la libertad de expresión forense, siquiera sea porque la cualificada libertad de palabra de los Letrados y, en general, de quienes defienden sus posiciones en juicio —tampoco ilimitada— es digna de tutela cuando está al servicio, como es regla, de la exposición de razones y argumentos (en tal sentido, STC 39/2009, de 9 de febrero, FJ 3, y jurisprudencia allí citada), ausentes en las censuras por parcialidad que aquí consideramos. Los recurrentes —esto es lo determinante para nuestro enjuiciamiento— suscribieron </w:t>
      </w:r>
      <w:r w:rsidRPr="0085709A">
        <w:rPr>
          <w:i/>
        </w:rPr>
        <w:t>coram populo</w:t>
      </w:r>
      <w:r>
        <w:t xml:space="preserve"> un escrito en el que, si bien dijeron acatar la Sentencia dictada, tildaron inmediatamente, de modo expreso, apodíctico y reiterado, de parcial el proceder de la Magistrada mediante expresiones tales como “ha demostrado parcialidad”, “acepta por incuestionables los argumentos de un testigo … que para más escarnio mintió en la vista oral, de lo cual tiene usted pruebas documentales”, “se ha lavado escandalosamente las manos porque ha tenido en su poder pruebas de contradicción documental en su peritaje, y no ha hecho nada” o “da la impresión de haber sentenciado primero y construido la argumentación después”. Censura ésta de parcialidad que, a no dudarlo, constituye siempre una de las más graves que pueden dirigirse a quien ejerce jurisdicción y que se formuló entonces, esto es lo que ahora importa, con plena impertinencia respecto del debate, sin duda legítimo, sobre la corrección técnica de un determinado peritaje y sin la más mínima base fáctica en la que pudieran haberse apoyado, siquiera de modo precario o indiciario, afirmaciones tan denigratorias (sobre la doctrina del Tribunal Europeo de Derechos Humanos en punto a la “suficiente base </w:t>
      </w:r>
      <w:r>
        <w:lastRenderedPageBreak/>
        <w:t xml:space="preserve">fáctica” de determinados juicios de valor, Sentencia, entre otras, de 13 de enero de 2015, en el caso </w:t>
      </w:r>
      <w:r w:rsidRPr="0085709A">
        <w:rPr>
          <w:i/>
        </w:rPr>
        <w:t>Lozowska c. Polonia</w:t>
      </w:r>
      <w:r>
        <w:t xml:space="preserve">, párrafo 83; asimismo, STC 79/2014, FJ 5). La imparcialidad judicial es soporte estructural del proceso —sin ella, hemos dicho, no lo hay en verdad (SSTC 11/2000, FJ 4; y 178/2014, de 3 de noviembre, FJ 2)— y se integra, por tanto, en el derecho fundamental a un proceso con todas las garantías (art. 24.2 CE; entre otras muchas, STC 240/2005, de 10 de octubre, FJ 3). Negarla abiertamente en público, al margen de los cauces procesales, respecto de un concreto juzgador y un determinado proceso y hacerlo sin aportar razón pertinente alguna, sino aventurando simples presunciones, entraña un grave menosprecio del honor profesional de quien sufra tal afrenta, a quien el Ordenamiento ampara, como aquí ocurrió, para defender su probidad. En modo alguno queda empañada la apreciación que ahora hacemos —coincidente en este extremo con la de los juzgadores </w:t>
      </w:r>
      <w:r w:rsidRPr="0085709A">
        <w:rPr>
          <w:i/>
        </w:rPr>
        <w:t>a quo</w:t>
      </w:r>
      <w:r>
        <w:t>— por la circunstancia, que los demandantes hacen valer en sus recursos, de que el dictamen del perito judicial del que disienten, y al que se refirieron también en su carta abierta, fuera, una vez dictada ya la Sentencia contenciosa, y a denuncia de la asociación Plataforma Aguilar Natural, sometido a investigación por la Fiscalía y objeto de un informe crítico en esas mismas diligencias, pues es evidente que el debate técnico, o incluso jurídico, sobre la regularidad de la pericia que se valoró en el proceso no autoriza, sin más, a negar la imparcialidad del juez que basó su decisión en tal prueba. Las manifestaciones que aquí consideramos se habrían de seguir viendo como un uso desviado de la libertad de expresión, en lo que encierran de denigración gratuita, incluso en la hipótesis, por tanto, de que aquellas diligencias de investigación de la Fiscalía no se hubieran finalmente archivado (como se desprende de las actuaciones que lo fueron), pues, insistimos, la discusión en torno a la corrección técnica de una prueba de este género no es, en lo absoluto, razón bastante para afirmar, como se hizo, la parcialidad del juzgador que la tomó en su día en cuenta.</w:t>
      </w:r>
    </w:p>
    <w:p w:rsidR="0085709A" w:rsidRDefault="0085709A" w:rsidP="0085709A">
      <w:pPr>
        <w:pStyle w:val="TextoNormal"/>
      </w:pPr>
    </w:p>
    <w:p w:rsidR="0085709A" w:rsidRDefault="0085709A" w:rsidP="0085709A">
      <w:pPr>
        <w:pStyle w:val="TextoNormal"/>
      </w:pPr>
      <w:r>
        <w:t xml:space="preserve">Impertinente como fue a efectos de discutir la repetida pericia y carente como estuvo de una mínima y coherente base fáctica, la repetida, contundente y pública denostación de la Magistrada como parcial no constituyó, en el caso, legítimo ejercicio de la libertad de expresión para la que hoy se busca amparo. Las resoluciones judiciales son, reiteramos, plenamente susceptibles de crítica por la ciudadanía, pues en nuestra democracia pluralista la jurisdicción se ejerce no sólo en el seno del debate procesal, sino también, dictada la resolución que proceda, ante el foro de la opinión pública libre. Pero lo que la Constitución no protege es la censura a esas resoluciones o a sus autores que parta exclusivamente, como aquí fue el caso, ya de la reprobación </w:t>
      </w:r>
      <w:r w:rsidRPr="0085709A">
        <w:rPr>
          <w:i/>
        </w:rPr>
        <w:t>ad personam</w:t>
      </w:r>
      <w:r>
        <w:t xml:space="preserve">, sin razón atendible, de quienes las dictaron, ya de premisas argumentales (la aducida incorrección de la pericia, sobre todo) que no consienten, en manera alguna, concluir en reproche tan severo como el de parcialidad. Son dicterios, no criterios, los que así se difunden entonces, con daño tanto para el honor profesional del juez al que se dirigen como para la confianza en la justicia, esto es, en una imparcialidad judicial que se presume siempre y que no puede ponerse en público entredicho sin datos o argumentos aptos para justificar acusaciones tan graves, cuya entidad, obvio es, no viene a menos por la circunstancia de que censuras infundadas de tal alcance no sean, como es de lamentar, enteramente insólitas, pues la mayor o menor frecuencia con que se llegue a abusar de determinado derecho no legitima la conducta de quien incurra en ese ejercicio excesivo de la libertad constitucional. No habiendo ejercido de este modo responsable su libertad de expresión, los demandantes —frente a lo que observa el Ministerio Fiscal— no contribuyeron mediante la carta abierta de la que aquí se trata a formar opinión pública, pues para ser ésta, como es, un valor constitucional y de cultura digno de protección debe basarse en casos como el presente, y por intensa que sea la crítica en la que se concluya, </w:t>
      </w:r>
      <w:r>
        <w:lastRenderedPageBreak/>
        <w:t>en un principio de argumentación que estuvo ausente, sin embargo, en la tacha de parcialidad que los demandantes dirigieron en público a la juzgadora.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los recursos de amparo solicitados por don Ivo Aragón Iñigo Fernández y don Sergio Benítez Moriana.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trece de abril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Andrés Ollero Tassara, en relación con la Sentencia dictada en los recursos de amparo acumulados núm. 1485-2013 y 1486-2013.</w:t>
      </w:r>
    </w:p>
    <w:p w:rsidR="0085709A" w:rsidRDefault="0085709A" w:rsidP="0085709A">
      <w:pPr>
        <w:pStyle w:val="TextoNormalNegritaCentrado"/>
        <w:keepNext/>
      </w:pPr>
    </w:p>
    <w:p w:rsidR="0085709A" w:rsidRDefault="0085709A" w:rsidP="0085709A">
      <w:pPr>
        <w:pStyle w:val="TextoNormal"/>
      </w:pPr>
      <w:r>
        <w:t>Con el máximo respeto a la posición mayoritaria en la Sala, y en ejercicio de la facultad conferida por el art. 90.2 de la Ley Orgánica del Tribunal Constitucional, formulo Voto particular respecto de la Sentencia citada en el encabezamiento.</w:t>
      </w:r>
    </w:p>
    <w:p w:rsidR="0085709A" w:rsidRDefault="0085709A" w:rsidP="0085709A">
      <w:pPr>
        <w:pStyle w:val="TextoNormal"/>
      </w:pPr>
    </w:p>
    <w:p w:rsidR="0085709A" w:rsidRDefault="0085709A" w:rsidP="0085709A">
      <w:pPr>
        <w:pStyle w:val="TextoNormal"/>
      </w:pPr>
      <w:r>
        <w:t>1. Mi discrepancia afecta tanto al fallo como a la fundamentación en que se apoya. Esta habría de abordar la posible inexistencia de ilícito penal si una conducta ha sido realizada en ejercicio de un derecho fundamental. Para constatarlo, habría que tener en cuenta los cánones de constitucionalidad consolidados en la doctrina del Tribunal. Considero que no se deslindan adecuadamente los elementos del primer problema, ni se respetan los cánones establecidos.</w:t>
      </w:r>
    </w:p>
    <w:p w:rsidR="0085709A" w:rsidRDefault="0085709A" w:rsidP="0085709A">
      <w:pPr>
        <w:pStyle w:val="TextoNormal"/>
      </w:pPr>
    </w:p>
    <w:p w:rsidR="0085709A" w:rsidRDefault="0085709A" w:rsidP="0085709A">
      <w:pPr>
        <w:pStyle w:val="TextoNormal"/>
      </w:pPr>
      <w:r>
        <w:t>2. La libertad de expresión reconocida en el art. 20 CE es un derecho fundamental que goza de especial protección por este Tribunal, al servir de fundamento al pluralismo político generador de una opinión pública libre (por todas, SSTC 6/1981, de 16 de marzo, FJ 3, y 50/2010, de 4 de octubre, FJ 5). No se trata, sin embargo, de un derecho ilimitado; en su obligada ponderación con el derecho al honor del aludido ha de considerarse como extralimitación ajena al derecho fundamental el recurso a “vejaciones innecesarias” o “expresiones insultantes” (entre otras muchas, SSTC 171/1990, de 12 de noviembre, FJ 10; 40/1992, de 30 de marzo, FJ 3, y 56/2008, de 14 de abril, FJ 7). Como consecuencia, para constatar si la carta publicada criticando a una Magistrada ha respetado tal límite, en cuyo caso quedaría excluida la entrada en juego de todo enjuiciamiento penal, hemos de proyectar sobre la conducta de sus autores los cánones de constitucionalidad consolidados en la doctrina del Tribunal.</w:t>
      </w:r>
    </w:p>
    <w:p w:rsidR="0085709A" w:rsidRDefault="0085709A" w:rsidP="0085709A">
      <w:pPr>
        <w:pStyle w:val="TextoNormal"/>
      </w:pPr>
    </w:p>
    <w:p w:rsidR="0085709A" w:rsidRDefault="0085709A" w:rsidP="0085709A">
      <w:pPr>
        <w:pStyle w:val="TextoNormal"/>
      </w:pPr>
      <w:r>
        <w:t xml:space="preserve">Además del ya señalado, es preciso tener en cuenta otro canon de constitucionalidad establecido, de acuerdo con el cual el honor de los aludidos a los que quepa considerar como </w:t>
      </w:r>
      <w:r>
        <w:lastRenderedPageBreak/>
        <w:t>“personajes públicos” (SSTC 172/1990, de 12 de noviembre, FJ 2 y 89/2010, de 15 de noviembre, FJ 3, por todas) goza de menor protección, al estar sometidos a crítica más intensa en el control al que ha de someterlos la pública opinión en una sociedad democrática; habría pues que determinar si ha de considerarse a la Magistrada criticada como uno de tales personajes. Por idéntica razón, las circunstancias en que la crítica se realice pueden generar, por el contrario, una protección reforzada. No será idéntica la que merezca lo expresado por un ciudadano oralmente que la reflejada en hojas volanderas (STC 165/1987, de 27 de octubre, FJ 10) o incluso la plasmada en medios de comunicación (SSTC 6/2000, de 17 de enero, FJ 8, y 197/2006, de 3 de julio, FJ 4); como tampoco merece idéntica protección la opinión expresada individualmente a título personal que las realizadas en representación de un colectivo afectado por los hechos sometidos a crítica (así, SSTC 90/1999, de 26 de mayo, FJ 4, y 198/2004, de 15 de noviembre, FJ 7).</w:t>
      </w:r>
    </w:p>
    <w:p w:rsidR="0085709A" w:rsidRDefault="0085709A" w:rsidP="0085709A">
      <w:pPr>
        <w:pStyle w:val="TextoNormal"/>
      </w:pPr>
    </w:p>
    <w:p w:rsidR="0085709A" w:rsidRDefault="0085709A" w:rsidP="0085709A">
      <w:pPr>
        <w:pStyle w:val="TextoNormal"/>
      </w:pPr>
      <w:r>
        <w:t>La Sentencia de la que discrepo parece insinuar la existencia de un novedoso canon de constitucionalidad adicional, que convertiría a los jueces y magistrados en peculiares ciudadanos que, lejos de gozar de menor protección (como miembros de un poder público), contarían con un amparo más exhaustivo. Esta postura contradice frontalmente la doctrina fijada por el Tribunal sobre la legitimidad de la crítica a las resoluciones judiciales, “que no difiere sustancialmente, en cuanto tal, de la que pueda dirigirse a los actos propios de otros profesionales, incluso los constituidos en autoridad, siempre que por su contexto, expresión y finalidad merezca aquella calificación, puesto que, aun reconociendo la posición de algún modo singular de los titulares de los órganos jurisdiccionales, sus actuaciones, en cuanto personas públicas, no pueden permanecer inmunes al ejercicio del derecho a la crítica que ampara la libertad de expresión” (STC 46/1998, de 2 de marzo, FJ 3). Coherente con este planteamiento ha sido el legislador, al eliminar la figura penal del desacato.</w:t>
      </w:r>
    </w:p>
    <w:p w:rsidR="0085709A" w:rsidRDefault="0085709A" w:rsidP="0085709A">
      <w:pPr>
        <w:pStyle w:val="TextoNormal"/>
      </w:pPr>
    </w:p>
    <w:p w:rsidR="0085709A" w:rsidRDefault="0085709A" w:rsidP="0085709A">
      <w:pPr>
        <w:pStyle w:val="TextoNormal"/>
      </w:pPr>
      <w:r>
        <w:t>En cualquier caso, para ser coherente con la fundamentación de su fallo, el enjuiciamiento del que discrepo debería haber llevado, si acaso, al Tribunal a cuestionar el tenor del Código penal por apreciar una inconstitucionalidad por omisión, antes que a dar por bueno que quepa amparar en grado tal a los miembros del Poder Judicial. Al argumento esbozado de que estos no están en condiciones de defenderse (como ocurre a no pocos personajes públicos) no faltaría quien contrapusiera, sin incurrir en teórico desacato, que la entrada en juego del Ministerio Fiscal, en una circunscripción no muy amplia, planteando ante otro órgano nada alejado la posible injuria contenida en la crítica formulada, no constituiría precisamente un homenaje a la exigible imparcialidad objetiva, que excluye toda apariencia de corporativismo.</w:t>
      </w:r>
    </w:p>
    <w:p w:rsidR="0085709A" w:rsidRDefault="0085709A" w:rsidP="0085709A">
      <w:pPr>
        <w:pStyle w:val="TextoNormal"/>
      </w:pPr>
    </w:p>
    <w:p w:rsidR="0085709A" w:rsidRDefault="0085709A" w:rsidP="0085709A">
      <w:pPr>
        <w:pStyle w:val="TextoNormal"/>
      </w:pPr>
      <w:r>
        <w:t xml:space="preserve">3. Es preciso pues determinar, ante todo, si en la carta publicada cabe detectar “vejaciones innecesarias”. Ciertamente, en su primer párrafo, se afirma que la Magistrada “ha demostrado parcialidad y falta de competencia”. Indudablemente no cabe exigir, a quien critica una resolución judicial que le afecta negativamente, grandes loas a la competencia de la autora. Por otra parte, todos los pormenores que a continuación se critican en la carta, encajarían sin esfuerzo en el presunto déficit de competencia atribuible a la Magistrada. La alusión, sin duda más grave, a su presunta parcialidad queda así aislada; aunque la situación no es equiparable al cuestionamiento de la imparcialidad del juzgador presente en buena parte de las recusaciones legalmente reguladas (STC 178/2014, de 3 de noviembre FJ 2, entre otras), difícilmente podría por sí sola servir de fundamento para considerarla como extralimitación vejatoria, salvo que a los jueces y magistrados se concediera esa peculiar </w:t>
      </w:r>
      <w:r>
        <w:lastRenderedPageBreak/>
        <w:t>protección ya descartada. Consideramos pues que los recurrentes críticos con la Magistrada, que no dudan en la línea anterior en expresar que acatan la Sentencia “emitida por su Juzgado”, lo que no deja de despersonalizar relativamente su crítica, no han incurrido en su carta en “vejaciones innecesarias” ni han empleado tampoco “expresiones insultantes”.</w:t>
      </w:r>
    </w:p>
    <w:p w:rsidR="0085709A" w:rsidRDefault="0085709A" w:rsidP="0085709A">
      <w:pPr>
        <w:pStyle w:val="TextoNormal"/>
      </w:pPr>
    </w:p>
    <w:p w:rsidR="0085709A" w:rsidRDefault="0085709A" w:rsidP="0085709A">
      <w:pPr>
        <w:pStyle w:val="TextoNormal"/>
      </w:pPr>
      <w:r>
        <w:t>4. No habiendo incurrido los recurrentes en una rechazable extralimitación, gozan de la especial protección que el art. 20 CE confiere a quienes ejercen la libertad de expresión, sin que los jueces y magistrados gocen de una privilegiada protección como miembros del Poder Judicial, sino más bien de la más liviana atribuida a los personajes públicos. Por todo ello, el legítimo ejercicio de su libertad de expresión descarta la posible aplicación de tipos penales referidos a comportamientos ilícitos.</w:t>
      </w:r>
    </w:p>
    <w:p w:rsidR="0085709A" w:rsidRDefault="0085709A" w:rsidP="0085709A">
      <w:pPr>
        <w:pStyle w:val="TextoNormal"/>
      </w:pPr>
    </w:p>
    <w:p w:rsidR="0085709A" w:rsidRDefault="0085709A" w:rsidP="0085709A">
      <w:pPr>
        <w:pStyle w:val="TextoNormal"/>
      </w:pPr>
      <w:r>
        <w:t>Por todo ello me veo obligado a suscribir este Voto particular.</w:t>
      </w:r>
    </w:p>
    <w:p w:rsidR="0085709A" w:rsidRDefault="0085709A" w:rsidP="0085709A">
      <w:pPr>
        <w:pStyle w:val="TextoNormal"/>
      </w:pPr>
    </w:p>
    <w:p w:rsidR="0085709A" w:rsidRDefault="0085709A" w:rsidP="0085709A">
      <w:pPr>
        <w:pStyle w:val="TextoNormal"/>
      </w:pPr>
      <w:r>
        <w:t>Madrid, a trece de abril de dos mil quince.</w:t>
      </w:r>
    </w:p>
    <w:p w:rsidR="0085709A" w:rsidRDefault="0085709A" w:rsidP="0085709A">
      <w:pPr>
        <w:pStyle w:val="TextoNormal"/>
      </w:pPr>
    </w:p>
    <w:p w:rsidR="0085709A" w:rsidRDefault="0085709A" w:rsidP="0085709A">
      <w:pPr>
        <w:pStyle w:val="TextoNormalNegritaCentrado"/>
        <w:keepNext/>
      </w:pPr>
      <w:r>
        <w:t>Voto particular que formula el Magistrado don Juan Antonio Xiol Ríos a la Sentencia dictada en el recurso de amparo núm. 1485-2013.</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con el fallo. Considero que hubiera debido estimarse el recurso de amparo por vulneración del derecho a la libertad de expresión [art. 20.1 a) CE].</w:t>
      </w:r>
    </w:p>
    <w:p w:rsidR="0085709A" w:rsidRDefault="0085709A" w:rsidP="0085709A">
      <w:pPr>
        <w:pStyle w:val="TextoNormal"/>
      </w:pPr>
    </w:p>
    <w:p w:rsidR="0085709A" w:rsidRDefault="0085709A" w:rsidP="0085709A">
      <w:pPr>
        <w:pStyle w:val="TextoNormal"/>
      </w:pPr>
      <w:r>
        <w:t>1. La reacción penal frente a la libertad de expresión.</w:t>
      </w:r>
    </w:p>
    <w:p w:rsidR="0085709A" w:rsidRDefault="0085709A" w:rsidP="0085709A">
      <w:pPr>
        <w:pStyle w:val="TextoNormal"/>
      </w:pPr>
    </w:p>
    <w:p w:rsidR="0085709A" w:rsidRDefault="0085709A" w:rsidP="0085709A">
      <w:pPr>
        <w:pStyle w:val="TextoNormal"/>
      </w:pPr>
      <w:r>
        <w:t>Ante todo, creo oportuno subrayar una cuestión que estimo capital.</w:t>
      </w:r>
    </w:p>
    <w:p w:rsidR="0085709A" w:rsidRDefault="0085709A" w:rsidP="0085709A">
      <w:pPr>
        <w:pStyle w:val="TextoNormal"/>
      </w:pPr>
    </w:p>
    <w:p w:rsidR="0085709A" w:rsidRDefault="0085709A" w:rsidP="0085709A">
      <w:pPr>
        <w:pStyle w:val="TextoNormal"/>
      </w:pPr>
      <w:r>
        <w:t xml:space="preserve">La opinión mayoritaria en que se sustenta la Sentencia considera que el presente recurso de amparo plantea únicamente una controversia entre el derecho fundamental al honor y el derecho a la libertad de expresión. Sin embargo, cuando la vía judicial previa trae causa del ejercicio de una acción penal por injurias u otros delitos cometidos con ocasión de actos que pueden resultar amparados en la libertad de expresión, el análisis constitucional no puede limitarse a la ponderación entre los derechos subjetivos en conflicto, pues entran en juego los presupuestos para el ejercicio del </w:t>
      </w:r>
      <w:r w:rsidRPr="0085709A">
        <w:rPr>
          <w:i/>
        </w:rPr>
        <w:t>ius puniendi</w:t>
      </w:r>
      <w:r>
        <w:t xml:space="preserve"> del Estado, los cuales determinan que no siempre la protección del derecho al honor puede ser articulada mediante una sanción penal.</w:t>
      </w:r>
    </w:p>
    <w:p w:rsidR="0085709A" w:rsidRDefault="0085709A" w:rsidP="0085709A">
      <w:pPr>
        <w:pStyle w:val="TextoNormal"/>
      </w:pPr>
    </w:p>
    <w:p w:rsidR="0085709A" w:rsidRDefault="0085709A" w:rsidP="0085709A">
      <w:pPr>
        <w:pStyle w:val="TextoNormal"/>
      </w:pPr>
      <w:r>
        <w:t xml:space="preserve">Según el Tribunal Europeo de Derechos Humanos, la naturaleza y la gravedad de las penas infligidas son elementos que deben tomarse en consideración cuando se trata de valorar la proporcionalidad de la injerencia en la libertad de expresión, especialmente si se trata de una sanción penal (entre otras, STEDH de 22 de enero de 2015, caso </w:t>
      </w:r>
      <w:r w:rsidRPr="0085709A">
        <w:rPr>
          <w:i/>
        </w:rPr>
        <w:t>Pinto Pinheiro Marques c. Portugal</w:t>
      </w:r>
      <w:r>
        <w:t>, § 46).</w:t>
      </w:r>
    </w:p>
    <w:p w:rsidR="0085709A" w:rsidRDefault="0085709A" w:rsidP="0085709A">
      <w:pPr>
        <w:pStyle w:val="TextoNormal"/>
      </w:pPr>
    </w:p>
    <w:p w:rsidR="0085709A" w:rsidRDefault="0085709A" w:rsidP="0085709A">
      <w:pPr>
        <w:pStyle w:val="TextoNormal"/>
      </w:pPr>
      <w:r>
        <w:t>En supuestos como el presente, pues, no basta ponderar los derechos al honor y a la libertad de expresión de la víctima y el condenado, respectivamente, sino que también debe escrutarse la legitimidad constitucional de la reacción penal del Estado para la protección del derecho al honor.</w:t>
      </w:r>
    </w:p>
    <w:p w:rsidR="0085709A" w:rsidRDefault="0085709A" w:rsidP="0085709A">
      <w:pPr>
        <w:pStyle w:val="TextoNormal"/>
      </w:pPr>
    </w:p>
    <w:p w:rsidR="0085709A" w:rsidRDefault="0085709A" w:rsidP="0085709A">
      <w:pPr>
        <w:pStyle w:val="TextoNormal"/>
      </w:pPr>
      <w:r>
        <w:lastRenderedPageBreak/>
        <w:t>La opinión mayoritaria en que se sustenta la Sentencia admite que el derecho a la libertad de expresión es algo más que un derecho fundamental subjetivo, pues tiene una dimensión objetiva vinculada al hecho de que hace posible la formación de la opinión pública libre. Así, el derecho a la libertad de expresión es consustancial con la democracia, hasta el punto de que una democracia no sería reconocida como tal en una situación de ausencia o quiebras graves en la protección de ese derecho.</w:t>
      </w:r>
    </w:p>
    <w:p w:rsidR="0085709A" w:rsidRDefault="0085709A" w:rsidP="0085709A">
      <w:pPr>
        <w:pStyle w:val="TextoNormal"/>
      </w:pPr>
    </w:p>
    <w:p w:rsidR="0085709A" w:rsidRDefault="0085709A" w:rsidP="0085709A">
      <w:pPr>
        <w:pStyle w:val="TextoNormal"/>
      </w:pPr>
      <w:r>
        <w:t xml:space="preserve">Pero la opinión de la que discrepo no repara suficientemente, a mi juicio, en las consecuencias que este principio impone sobre el hecho de que lo enjuiciado en este caso es una condena penal. Según la jurisprudencia constitucional “la dimensión objetiva de los derechos fundamentales, su carácter de elementos esenciales del Ordenamiento jurídico, impone a los órganos judiciales al aplicar una norma penal la obligación de tener presente el contenido constitucional de los derechos fundamentales, impidiendo reacciones punitivas que supongan un sacrificio innecesario o desproporcionado de los mismos o tengan un efecto disuasor o desalentador del ejercicio de los derechos fundamentales” (STC 108/2008, de 22 de septiembre, FJ 3, y, entre otras, STEDH de 29 de mayo de 2012, caso </w:t>
      </w:r>
      <w:r w:rsidRPr="0085709A">
        <w:rPr>
          <w:i/>
        </w:rPr>
        <w:t>Tanasoaica c. Rumania</w:t>
      </w:r>
      <w:r>
        <w:t>, §56).</w:t>
      </w:r>
    </w:p>
    <w:p w:rsidR="0085709A" w:rsidRDefault="0085709A" w:rsidP="0085709A">
      <w:pPr>
        <w:pStyle w:val="TextoNormal"/>
      </w:pPr>
    </w:p>
    <w:p w:rsidR="0085709A" w:rsidRDefault="0085709A" w:rsidP="0085709A">
      <w:pPr>
        <w:pStyle w:val="TextoNormal"/>
      </w:pPr>
      <w:r>
        <w:t>La idea de una restricción de la intervención penal en el contexto del ejercicio de derechos fundamentales se ha reflejado de manera profusa en la jurisprudencia constitucional. Así, este tribunal ha declarado que “los tipos penales no pueden interpretarse y aplicarse de forma contraria a los derechos fundamentales” y que “los hechos probados no pueden ser a un mismo tiempo valorados como actos de ejercicio de un derecho fundamental y como conductas constitutivas de un delito” (STC 108/2008, FJ 3). “[T]ambién se ha cuestionado la aplicación de los tipos penales en aquellos supuestos en los que, pese a que puedan apreciarse excesos en el ejercicio del derecho fundamental, éstos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104/2011, de 20 de junio, FJ 6).</w:t>
      </w:r>
    </w:p>
    <w:p w:rsidR="0085709A" w:rsidRDefault="0085709A" w:rsidP="0085709A">
      <w:pPr>
        <w:pStyle w:val="TextoNormal"/>
      </w:pPr>
    </w:p>
    <w:p w:rsidR="0085709A" w:rsidRDefault="0085709A" w:rsidP="0085709A">
      <w:pPr>
        <w:pStyle w:val="TextoNormal"/>
      </w:pPr>
      <w:r>
        <w:t>En suma, la respuesta penal en el ámbito del ejercicio de la libertad de expresión comporta un juicio constitucional de necesidad y de proporcionalidad. Debe ponderarse no solo si resulta prevalente el derecho al honor frente a la libertad de expresión; sino también si un eventual exceso o abuso en su ejercicio es de tal magnitud y la lesión correlativa del derecho al honor de tal importancia que resulta justificada una respuesta penal.</w:t>
      </w:r>
    </w:p>
    <w:p w:rsidR="0085709A" w:rsidRDefault="0085709A" w:rsidP="0085709A">
      <w:pPr>
        <w:pStyle w:val="TextoNormal"/>
      </w:pPr>
    </w:p>
    <w:p w:rsidR="0085709A" w:rsidRDefault="0085709A" w:rsidP="0085709A">
      <w:pPr>
        <w:pStyle w:val="TextoNormal"/>
      </w:pPr>
      <w:r>
        <w:t>2. Valoración del caso enjuiciado.</w:t>
      </w:r>
    </w:p>
    <w:p w:rsidR="0085709A" w:rsidRDefault="0085709A" w:rsidP="0085709A">
      <w:pPr>
        <w:pStyle w:val="TextoNormal"/>
      </w:pPr>
    </w:p>
    <w:p w:rsidR="0085709A" w:rsidRDefault="0085709A" w:rsidP="0085709A">
      <w:pPr>
        <w:pStyle w:val="TextoNormal"/>
      </w:pPr>
      <w:r>
        <w:t xml:space="preserve">Este juicio de necesidad y de proporcionalidad, a mi parecer, ha sido omitido en la formación de la opinión mayoritaria. Pero no es esto solo; creo, en conjunto, que el contexto y </w:t>
      </w:r>
      <w:r>
        <w:lastRenderedPageBreak/>
        <w:t>el contenido de la carta que motivó la condena ponen de manifiesto (i) que la conducta enjuiciada estaba dentro del ámbito objetivo de protección del derecho a la libertad de expresión, por lo que resultaba prevalente sobre el derecho al honor; y (ii) que, en cualquier caso, al encuadrarse esa conducta en el contenido y finalidad del ejercicio del derecho a la libertad de expresión, la apreciación de un eventual exceso en su ejercicio, puesto en relación con la incidencia en el derecho al honor, no hacía necesaria ni justificaba una respuesta penal, pues las circunstancias del caso hacen que una condena de esta naturaleza resulte disuasoria para el ejercicio del derecho fundamental a la libertad de expresión.</w:t>
      </w:r>
    </w:p>
    <w:p w:rsidR="0085709A" w:rsidRDefault="0085709A" w:rsidP="0085709A">
      <w:pPr>
        <w:pStyle w:val="TextoNormal"/>
      </w:pPr>
    </w:p>
    <w:p w:rsidR="0085709A" w:rsidRDefault="0085709A" w:rsidP="0085709A">
      <w:pPr>
        <w:pStyle w:val="TextoNormal"/>
      </w:pPr>
      <w:r>
        <w:t>3. Prevalencia de la libertad de expresión.</w:t>
      </w:r>
    </w:p>
    <w:p w:rsidR="0085709A" w:rsidRDefault="0085709A" w:rsidP="0085709A">
      <w:pPr>
        <w:pStyle w:val="TextoNormal"/>
      </w:pPr>
    </w:p>
    <w:p w:rsidR="0085709A" w:rsidRDefault="0085709A" w:rsidP="0085709A">
      <w:pPr>
        <w:pStyle w:val="TextoNormal"/>
      </w:pPr>
      <w:r>
        <w:t>La opinión mayoritaria concluye que el contenido de la carta que dio lugar a la condena no es una manifestación genuina del derecho a la libertad de expresión y resulta prevalente el derecho al honor. Se funda en dos argumentos: (i) que la crítica se dirige a un miembro del poder judicial; y (ii) que las expresiones proferidas carecen de una base fáctica que las justifiquen.</w:t>
      </w:r>
    </w:p>
    <w:p w:rsidR="0085709A" w:rsidRDefault="0085709A" w:rsidP="0085709A">
      <w:pPr>
        <w:pStyle w:val="TextoNormal"/>
      </w:pPr>
    </w:p>
    <w:p w:rsidR="0085709A" w:rsidRDefault="0085709A" w:rsidP="0085709A">
      <w:pPr>
        <w:pStyle w:val="TextoNormal"/>
      </w:pPr>
      <w:r>
        <w:t>Discrepo de la comprensión realizada por la opinión de la mayoría en ambos aspectos.</w:t>
      </w:r>
    </w:p>
    <w:p w:rsidR="0085709A" w:rsidRDefault="0085709A" w:rsidP="0085709A">
      <w:pPr>
        <w:pStyle w:val="TextoNormal"/>
      </w:pPr>
    </w:p>
    <w:p w:rsidR="0085709A" w:rsidRDefault="0085709A" w:rsidP="0085709A">
      <w:pPr>
        <w:pStyle w:val="TextoNormal"/>
      </w:pPr>
      <w:r>
        <w:t xml:space="preserve">(i) La opinión mayoritaria, haciéndose eco de la jurisprudencia del Tribunal Europeo de Derechos Humanos, sostiene que los jueces requieren una superior protección a la de otros cargos públicos frente al ejercicio del derecho a la libertad de expresión de la ciudadanía por carecer de capacidad de réplica (STEDH de 24 de febrero de 1997, caso </w:t>
      </w:r>
      <w:r w:rsidRPr="0085709A">
        <w:rPr>
          <w:i/>
        </w:rPr>
        <w:t>De Haes y Gijsels c. Bélgica</w:t>
      </w:r>
      <w:r>
        <w:t xml:space="preserve">). Esta opinión, a mi juicio, prescinde de las matizaciones que acompañan a esa doctrina del Tribunal Europeo de Derechos Humanos. El Tribunal, por una parte, en la Sentencia citada restringe la protección de que deben ser objeto los tribunales a los ataques destructivos carentes de cualquier base fáctica. Por otra parte, en definitiva, admite que la operación de ponderación que debe hacerse respecto del honor de los jueces es idéntica a la de los demás cargos públicos, cosa que conduce a estimar lesionado el derecho a la libertad de expresión en el caso que examina, por versar sobre un asunto de interés público, cual es la imparcialidad y competencia de los tribunales (véase Monica Macover, </w:t>
      </w:r>
      <w:r w:rsidRPr="0085709A">
        <w:rPr>
          <w:i/>
        </w:rPr>
        <w:t>Freedom of expression, Human rights handbooks</w:t>
      </w:r>
      <w:r>
        <w:t xml:space="preserve">, No. 2, Consejo de Europa, págs. 57 a 59). Considero, pues, que la labor de administrar la justicia desarrollada por jueces y magistrados, en tanto que integrantes del poder judicial (art. 117.1 CE), es una manifestación más del ejercicio de un poder del Estado y, como tal, está sometida a crítica y escrutinio por parte de la ciudadanía. La tolerancia a la crítica de la actuación de jueces y magistrados en el desempeño de su función pública, habida cuenta del carácter no electivo y, por tanto, no sometido a ningún otro tipo de control por parte de la ciudadanía, no puede restringirse en relación con la crítica que cabe desarrollar respecto de otro tipo de servidores públicos. Cualquier poder del Estado, también el poder judicial, en tanto que emanado de la soberanía popular (art. 1.2 CE), debe soportar la crítica con un idéntico nivel de tolerancia incluyendo las críticas ofensivas, lacerantes o perturbadoras (entre otras, STEDH de 21 de octubre de 2014, caso </w:t>
      </w:r>
      <w:r w:rsidRPr="0085709A">
        <w:rPr>
          <w:i/>
        </w:rPr>
        <w:t>Murat Mural c. Turquía</w:t>
      </w:r>
      <w:r>
        <w:t xml:space="preserve">, § 61), las cuales pueden incluir una determinada dosis de exageración o incluso de provocación (entre otras, SSTEDH de 1 de junio de 2010, caso </w:t>
      </w:r>
      <w:r w:rsidRPr="0085709A">
        <w:rPr>
          <w:i/>
        </w:rPr>
        <w:t>Gutiérrez Suárez c. España</w:t>
      </w:r>
      <w:r>
        <w:t xml:space="preserve">, § 61, y de 15 de marzo de 2011, caso </w:t>
      </w:r>
      <w:r w:rsidRPr="0085709A">
        <w:rPr>
          <w:i/>
        </w:rPr>
        <w:t>Otegi Mondragon c. España</w:t>
      </w:r>
      <w:r>
        <w:t>, § 54).</w:t>
      </w:r>
    </w:p>
    <w:p w:rsidR="0085709A" w:rsidRDefault="0085709A" w:rsidP="0085709A">
      <w:pPr>
        <w:pStyle w:val="TextoNormal"/>
      </w:pPr>
    </w:p>
    <w:p w:rsidR="0085709A" w:rsidRDefault="0085709A" w:rsidP="0085709A">
      <w:pPr>
        <w:pStyle w:val="TextoNormal"/>
      </w:pPr>
      <w:r>
        <w:t xml:space="preserve">En este caso, por lo demás, resulta evidente el interés público de la cuestión, relacionada con la protección del medio ambiente (entre otras, STEDH de 29 de mayo de 2012, caso </w:t>
      </w:r>
      <w:r w:rsidRPr="0085709A">
        <w:rPr>
          <w:i/>
        </w:rPr>
        <w:lastRenderedPageBreak/>
        <w:t>Tanasoaica c. Rumania</w:t>
      </w:r>
      <w:r>
        <w:t>, § 48); la dedicación de la asociación a la que pertenecen los recurrentes a promoverla; y el interés público que reviste la imparcialidad y competencia de los tribunales (STEDH de 24 de febrero de 1997 citada, caso</w:t>
      </w:r>
      <w:r w:rsidRPr="0085709A">
        <w:rPr>
          <w:i/>
        </w:rPr>
        <w:t xml:space="preserve"> De Haes y Gijsels c. Bélgic</w:t>
      </w:r>
      <w:r>
        <w:t>a).</w:t>
      </w:r>
    </w:p>
    <w:p w:rsidR="0085709A" w:rsidRDefault="0085709A" w:rsidP="0085709A">
      <w:pPr>
        <w:pStyle w:val="TextoNormal"/>
      </w:pPr>
    </w:p>
    <w:p w:rsidR="0085709A" w:rsidRDefault="0085709A" w:rsidP="0085709A">
      <w:pPr>
        <w:pStyle w:val="TextoNormal"/>
      </w:pPr>
      <w:r>
        <w:t>La eventual dificultad de réplica que institucionalmente tienen los integrantes del poder judicial debe, ciertamente, ser tenida en consideración al valorar las circunstancias del caso; pero no puede erigirse como valladar general a toda crítica, incluso cuando sea acerba. En nuestro sistema la facultad de defensa o réplica está garantizada mediante la facultad reconocida a los jueces por el art. 14 de la Ley Orgánica del Poder Judicial de instar el amparo del Consejo General del Poder Judicial cuando se sientan inquietados o perturbados en su independencia por declaraciones o manifestaciones hechas en público y recogidas en medios de comunicación que objetivamente supongan un ataque a la independencia judicial y sean susceptibles de influir en la libre capacidad de resolución del juez o magistrado.</w:t>
      </w:r>
    </w:p>
    <w:p w:rsidR="0085709A" w:rsidRDefault="0085709A" w:rsidP="0085709A">
      <w:pPr>
        <w:pStyle w:val="TextoNormal"/>
      </w:pPr>
    </w:p>
    <w:p w:rsidR="0085709A" w:rsidRDefault="0085709A" w:rsidP="0085709A">
      <w:pPr>
        <w:pStyle w:val="TextoNormal"/>
      </w:pPr>
      <w:r>
        <w:t>(ii) En la carta publicada por los recurrentes se imputa falta de parcialidad y de competencia al titular del órgano judicial. Pero esta crítica no se formula con carácter general como una imputación contra la personalidad o actividad del juez en conjunto, sino (citando elementos fácticos extraídos del desarrollo de un procedimiento judicial) en relación estrecha y pormenorizada con un determinado acto de valoración de la prueba pericial. Este acto se estima desacertado por unos motivos que se exponen con detalle, consistentes, en la opinión de los autores de la carta, en el error cometido, a la vista de datos que se suponen a disposición del juez, sobre el distinto peso y crédito que debía reconocerse a uno y otro dictamen pericial. Junto a la crítica a este acto judicial, existe una crítica, de tono aparentemente más duro, contra la actitud de uno de los peritos. Esto es, la crítica de parcialidad, por mucho que pueda resultar peyorativa para un juez, no se hace descontextualizada ni desvinculada de unos concretos datos objetivos. Al contrario, estos se exponen en la carta publicada y, por tanto, en el marco de la formación de una opinión pública libre permiten e invitan al lector a extraer sus propias conclusiones. La carta no contiene en absoluto descalificaciones groseras y gratuitas respecto de las que la opinión pública no pueda tomar una posición informada.</w:t>
      </w:r>
    </w:p>
    <w:p w:rsidR="0085709A" w:rsidRDefault="0085709A" w:rsidP="0085709A">
      <w:pPr>
        <w:pStyle w:val="TextoNormal"/>
      </w:pPr>
    </w:p>
    <w:p w:rsidR="0085709A" w:rsidRDefault="0085709A" w:rsidP="0085709A">
      <w:pPr>
        <w:pStyle w:val="TextoNormal"/>
      </w:pPr>
      <w:r>
        <w:t>Es, por lo demás, evidente que no puede formularse una crítica a una decisión judicial sin presuponer de un modo u otro que su autor ha incurrido en falta de parcialidad o de competencia. De esto se sigue que entender que la imputación de falta de parcialidad o de competencia a un juez justifica por sí sola una condena penal hace imposible, en la práctica, la crítica libre de las decisiones judiciales, tanto en sede doctrinal como en otros foros de formación de la opinión pública, como son los medios de comunicación. En suma, se produce un efecto disuasorio incompatible con el ejercicio de la libertad de expresión en este ámbito.</w:t>
      </w:r>
    </w:p>
    <w:p w:rsidR="0085709A" w:rsidRDefault="0085709A" w:rsidP="0085709A">
      <w:pPr>
        <w:pStyle w:val="TextoNormal"/>
      </w:pPr>
    </w:p>
    <w:p w:rsidR="0085709A" w:rsidRDefault="0085709A" w:rsidP="0085709A">
      <w:pPr>
        <w:pStyle w:val="TextoNormal"/>
      </w:pPr>
      <w:r>
        <w:t>4. Desproporción de la condena penal.</w:t>
      </w:r>
    </w:p>
    <w:p w:rsidR="0085709A" w:rsidRDefault="0085709A" w:rsidP="0085709A">
      <w:pPr>
        <w:pStyle w:val="TextoNormal"/>
      </w:pPr>
    </w:p>
    <w:p w:rsidR="0085709A" w:rsidRDefault="0085709A" w:rsidP="0085709A">
      <w:pPr>
        <w:pStyle w:val="TextoNormal"/>
      </w:pPr>
      <w:r>
        <w:t xml:space="preserve">En cualquier caso, incluso aceptando a efectos dialécticos la conclusión sustentada por la posición de la mayoría de que hubo un ejercicio abusivo de la libertad de expresión y que prevalecía el derecho al honor, me resisto a pensar que este es un supuesto en que resulte justificado y proporcionado acudir al derecho penal para reprimir esta conducta. De imponerse visiones como las que sustenta la posición de la mayoría es más que probable que el </w:t>
      </w:r>
      <w:r>
        <w:lastRenderedPageBreak/>
        <w:t>efecto disuasorio que se vaya generando respecto de la posibilidad de crítica a las resoluciones judiciales convierta las decisiones de jueces y magistrados en un objeto excluido del debate público. Ni que decir tiene que este no es el panorama más deseable para el mercado de las ideas ni para la democracia misma, ni tampoco para los miembros del poder judicial, que deben ver en la crítica un medio de acentuar su imparcialidad y competencia y en la tolerancia para con ella una cualidad inherente a la importancia constitucional de su función.</w:t>
      </w:r>
    </w:p>
    <w:p w:rsidR="0085709A" w:rsidRDefault="0085709A" w:rsidP="0085709A">
      <w:pPr>
        <w:pStyle w:val="TextoNormal"/>
      </w:pPr>
    </w:p>
    <w:p w:rsidR="0085709A" w:rsidRDefault="0085709A" w:rsidP="0085709A">
      <w:pPr>
        <w:pStyle w:val="TextoNormal"/>
      </w:pPr>
      <w:r>
        <w:t>Madrid, a trece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69" w:name="SENTENCIA_2015_66"/>
      <w:r>
        <w:lastRenderedPageBreak/>
        <w:t>SENTENCIA 66/2015, de 13 de abril de 2015</w:t>
      </w:r>
    </w:p>
    <w:bookmarkEnd w:id="69"/>
    <w:p w:rsidR="0085709A" w:rsidRDefault="0085709A" w:rsidP="0085709A">
      <w:pPr>
        <w:pStyle w:val="TtuloResolucin"/>
      </w:pPr>
      <w:r>
        <w:t>Sala Segunda</w:t>
      </w:r>
    </w:p>
    <w:p w:rsidR="0085709A" w:rsidRDefault="0085709A" w:rsidP="0085709A">
      <w:pPr>
        <w:pStyle w:val="TtuloBOE"/>
      </w:pPr>
      <w:r>
        <w:t>(BOE núm. 122, de 22 de mayo de 2015)</w:t>
      </w:r>
    </w:p>
    <w:p w:rsidR="0085709A" w:rsidRDefault="0085709A" w:rsidP="0085709A">
      <w:pPr>
        <w:pStyle w:val="TextoNormalCentrado"/>
      </w:pPr>
      <w:r>
        <w:t>ECLI:ES:TC:2015:66</w:t>
      </w:r>
    </w:p>
    <w:p w:rsidR="0085709A" w:rsidRDefault="0085709A" w:rsidP="0085709A">
      <w:pPr>
        <w:pStyle w:val="TextoNormalCentrado"/>
      </w:pPr>
    </w:p>
    <w:p w:rsidR="0085709A" w:rsidRDefault="0085709A" w:rsidP="0085709A">
      <w:pPr>
        <w:pStyle w:val="SntesisDescriptiva"/>
      </w:pPr>
      <w:r>
        <w:t>Recurso de amparo 3875-2013. Promovido por doña Candelaria Martínez Martínez y tres personas más en relación con las Sentencias del Tribunal Superior de Justicia de la Comunidad Valenciana y un Juzgado de lo Social desestimatorias de su demanda en expediente de regulación de empleo.</w:t>
      </w:r>
    </w:p>
    <w:p w:rsidR="0085709A" w:rsidRDefault="0085709A" w:rsidP="0085709A">
      <w:pPr>
        <w:pStyle w:val="SntesisDescriptiva"/>
      </w:pPr>
    </w:p>
    <w:p w:rsidR="0085709A" w:rsidRDefault="0085709A" w:rsidP="0085709A">
      <w:pPr>
        <w:pStyle w:val="SntesisAnaltica"/>
      </w:pPr>
      <w:r>
        <w:t>Supuesta vulneración del derecho a la igualdad: utilización del criterio de la edad superior a cincuenta y cinco años como factor determinante para la selección de los trabajadores afectados por un despido colectivo.</w:t>
      </w:r>
    </w:p>
    <w:p w:rsidR="0085709A" w:rsidRDefault="0085709A" w:rsidP="0085709A">
      <w:pPr>
        <w:pStyle w:val="SntesisAnaltica"/>
      </w:pPr>
    </w:p>
    <w:p w:rsidR="0085709A" w:rsidRDefault="0085709A" w:rsidP="0085709A">
      <w:pPr>
        <w:pStyle w:val="Extracto"/>
      </w:pPr>
      <w:r>
        <w:t>1.</w:t>
      </w:r>
      <w:r>
        <w:tab/>
        <w:t>El principio de igualdad y a la prohibición de discriminación contiene referida en el art. 14 CE se refiere al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[FJ 3].</w:t>
      </w:r>
    </w:p>
    <w:p w:rsidR="0085709A" w:rsidRDefault="0085709A" w:rsidP="0085709A">
      <w:pPr>
        <w:pStyle w:val="Extracto"/>
      </w:pPr>
    </w:p>
    <w:p w:rsidR="0085709A" w:rsidRDefault="0085709A" w:rsidP="0085709A">
      <w:pPr>
        <w:pStyle w:val="Extracto"/>
      </w:pPr>
      <w:r>
        <w:t>2.</w:t>
      </w:r>
      <w:r>
        <w:tab/>
        <w:t xml:space="preserve">A diferencia del principio genérico de igualdad, que no postula ni como fin ni como medio la paridad y sólo exige la razonabilidad de la diferencia normativa de trato, las prohibiciones de discriminación contenidas en el art. 14 CE implican un juicio de razonabilidad de la diferenciación establecida </w:t>
      </w:r>
      <w:r w:rsidRPr="0085709A">
        <w:rPr>
          <w:i/>
        </w:rPr>
        <w:t>ex constitutione</w:t>
      </w:r>
      <w:r>
        <w:t>, de manera que sólo pueden ser utilizadas excepcionalmente por el legislador usando en el juicio de legitimidad constitucional un canon mucho más estricto, así como un mayor rigor respecto a las exigencias materiales de proporcionalidad (SSTC 126/1997, 229/1992, 75/1983, 209/1988) [FJ 3].</w:t>
      </w:r>
    </w:p>
    <w:p w:rsidR="0085709A" w:rsidRDefault="0085709A" w:rsidP="0085709A">
      <w:pPr>
        <w:pStyle w:val="Extracto"/>
      </w:pPr>
    </w:p>
    <w:p w:rsidR="0085709A" w:rsidRDefault="0085709A" w:rsidP="0085709A">
      <w:pPr>
        <w:pStyle w:val="Extracto"/>
      </w:pPr>
      <w:r>
        <w:t>3.</w:t>
      </w:r>
      <w:r>
        <w:tab/>
        <w:t>La edad como factor de discriminación es una de las condiciones o circunstancias incluidas en la fórmula abierta con la que se cierra la regla de prohibición de discriminación establecida en el art. 14 CE, con la consecuencia de someter su utilización como factor de diferenciación al canon de constitucionalidad más estricto, en correspondencia con la heterogeneidad de los supuestos enjuiciados, tanto en procesos de amparo constitucional como de control de normas con rango de ley (SSTC 190/2005, 247/2005, 280/2006 341/2006, 63/2011, 79/2011, 117/2011, y 161/2011) [FJ 3].</w:t>
      </w:r>
    </w:p>
    <w:p w:rsidR="0085709A" w:rsidRDefault="0085709A" w:rsidP="0085709A">
      <w:pPr>
        <w:pStyle w:val="Extracto"/>
      </w:pPr>
    </w:p>
    <w:p w:rsidR="0085709A" w:rsidRDefault="0085709A" w:rsidP="0085709A">
      <w:pPr>
        <w:pStyle w:val="Extracto"/>
      </w:pPr>
      <w:r>
        <w:t>4.</w:t>
      </w:r>
      <w:r>
        <w:tab/>
        <w:t xml:space="preserve">La decisión del Instituto Valenciano de la Vivienda para rescindir la relación laboral de doscientos cincuenta y dos contratos de trabajo en función de su edad próxima a la jubilación resulta un criterio adecuado y proporcionado porque el Instituto adoptó las medidas que exige la legislación laboral para evitar o minimizar los daños que produce la extinción de los contratos de trabajo; máxime cuando estos trabajadores podrán percibir un subsidio por desempleo hasta cumplir la </w:t>
      </w:r>
      <w:r>
        <w:lastRenderedPageBreak/>
        <w:t>edad para acceder a la pensión de jubilación; de modo que tales medidas no suponen una lesión desproporcionada en relación con los fines que se persiguen [FJ 4 y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Asúa Batarrita, Presidenta, don Fernando Valdés Dal-Ré, don Juan José González Rivas,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3875-2013, promovido por doña Candelaria Martínez Martínez, doña Desamparados González Ortega, doña Amparo Palerm Eduardo y doña Luz Desamparados Cebrián Piqueras, representados por la Procuradora de los Tribunales doña María Isabel Campillo García y asistidos por el Abogado don Ricardo Peralta Ortega, contra la Sentencia de la Sala de lo Social del Tribunal Superior de Justicia de la Comunidad Valenciana de 2 de mayo de 2013, por la que se desestima el recurso de suplicación interpuesto contra la Sentencia del Juzgado de lo Social núm. 1 de Valencia de 19 de noviembre de 2012. Han intervenido el Letrado de la Abogacía General de la Generalitat Valenciana, en la representación que ostenta de la empresa pública Instituto Valenciano de la Vivienda, S.A. y el Ministerio Fiscal.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Procuradora de los Tribunales doña María Isabel Campillo García, en nombre y representación de doña Candelaria Martínez Martínez, doña Desamparados González Ortega, doña Amparo Palerm Eduardo y doña Luz Desamparados Cebrián Piqueras, bajo la dirección del Letrado don Ricardo Peralta Ortega, interpuso demanda de amparo contra las resoluciones que se mencionan en el encabezamiento mediante escrito registrado en este Tribunal el 21 de junio de 2013, por entender vulnerado el derecho a la no discriminación por razón de edad reconocido en el art. 14 CE.</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los que tiene su origen el presente recurso, relevantes para su resolución, son los siguientes:</w:t>
      </w:r>
    </w:p>
    <w:p w:rsidR="0085709A" w:rsidRDefault="0085709A" w:rsidP="0085709A">
      <w:pPr>
        <w:pStyle w:val="TextoNormal"/>
      </w:pPr>
    </w:p>
    <w:p w:rsidR="0085709A" w:rsidRDefault="0085709A" w:rsidP="0085709A">
      <w:pPr>
        <w:pStyle w:val="TextoNormal"/>
      </w:pPr>
      <w:r>
        <w:t xml:space="preserve">a) Las demandantes de amparo venían prestando sus servicios para la empresa pública Instituto Valenciano de la Vivienda, S.A. En fecha 2 de abril de 2012 el Instituto Valenciano </w:t>
      </w:r>
      <w:r>
        <w:lastRenderedPageBreak/>
        <w:t>de la Vivienda, S.A., comunicó a la autoridad laboral y a la representación de los trabajadores la apertura del período de consultas con el fin de proceder a la extinción de 252 contratos de trabajo, haciendo constar los extremos requeridos legalmente.</w:t>
      </w:r>
    </w:p>
    <w:p w:rsidR="0085709A" w:rsidRDefault="0085709A" w:rsidP="0085709A">
      <w:pPr>
        <w:pStyle w:val="TextoNormal"/>
      </w:pPr>
    </w:p>
    <w:p w:rsidR="0085709A" w:rsidRDefault="0085709A" w:rsidP="0085709A">
      <w:pPr>
        <w:pStyle w:val="TextoNormal"/>
      </w:pPr>
      <w:r>
        <w:t>b) El período de consultas concluyó con un acta final de acuerdo de fecha 4 de mayo de 2012 en la que las partes reconocieron y aceptaron las razones económicas, productivas y organizativas, que habían negociado de buena fe, sin dolo, coacción, fraude ni abuso de derecho suscribiendo el acuerdo por el que, finalmente, quedaban afectados 211 trabajadores. Asimismo, en el acta se señalaba que, para su determinación, se atendería a los criterios de selección establecidos en la memoria, acordando el abono de las indemnizaciones en el momento de la notificación del cese a los trabajadores, la formalización del convenio especial para los mayores de 55 años y la realización de los ceses en el período de los cuatro meses siguientes a la terminación de las consultas.</w:t>
      </w:r>
    </w:p>
    <w:p w:rsidR="0085709A" w:rsidRDefault="0085709A" w:rsidP="0085709A">
      <w:pPr>
        <w:pStyle w:val="TextoNormal"/>
      </w:pPr>
    </w:p>
    <w:p w:rsidR="0085709A" w:rsidRDefault="0085709A" w:rsidP="0085709A">
      <w:pPr>
        <w:pStyle w:val="TextoNormal"/>
      </w:pPr>
      <w:r>
        <w:t>c) Los criterios establecidos para la designación de los trabajadores afectados por los despidos fueron cuatro, sin carácter excluyente y con valoración en su caso de combinación de varios de ellos. Tales criterios fueron los siguientes:</w:t>
      </w:r>
    </w:p>
    <w:p w:rsidR="0085709A" w:rsidRDefault="0085709A" w:rsidP="0085709A">
      <w:pPr>
        <w:pStyle w:val="TextoNormal"/>
      </w:pPr>
    </w:p>
    <w:p w:rsidR="0085709A" w:rsidRDefault="0085709A" w:rsidP="0085709A">
      <w:pPr>
        <w:pStyle w:val="TextoNormal"/>
      </w:pPr>
      <w:r>
        <w:t>“- El criterio principal para la designación de trabajadores afectados es su pertenencia a las distintas direcciones, departamentos o unidades de trabajo que van a verse afectadas por su eliminación, así como la pertenencia a las órdenes de ejecución (encomienda). De esta forma, se verán afectados por la extinción aquellos trabajadores pertenecientes a las direcciones, departamentos o unidades de trabajo de líneas de actividad que se suprimen, y en concreto se verán afectados los trabajadores pertenecientes a las siguientes:</w:t>
      </w:r>
    </w:p>
    <w:p w:rsidR="0085709A" w:rsidRDefault="0085709A" w:rsidP="0085709A">
      <w:pPr>
        <w:pStyle w:val="TextoNormal"/>
      </w:pPr>
    </w:p>
    <w:p w:rsidR="0085709A" w:rsidRDefault="0085709A" w:rsidP="0085709A">
      <w:pPr>
        <w:pStyle w:val="TextoNormal"/>
      </w:pPr>
      <w:r>
        <w:t>Dirección de Comunicación.</w:t>
      </w:r>
    </w:p>
    <w:p w:rsidR="0085709A" w:rsidRDefault="0085709A" w:rsidP="0085709A">
      <w:pPr>
        <w:pStyle w:val="TextoNormal"/>
      </w:pPr>
    </w:p>
    <w:p w:rsidR="0085709A" w:rsidRDefault="0085709A" w:rsidP="0085709A">
      <w:pPr>
        <w:pStyle w:val="TextoNormal"/>
      </w:pPr>
      <w:r>
        <w:t>Dirección de Gestión Urbanística.</w:t>
      </w:r>
    </w:p>
    <w:p w:rsidR="0085709A" w:rsidRDefault="0085709A" w:rsidP="0085709A">
      <w:pPr>
        <w:pStyle w:val="TextoNormal"/>
      </w:pPr>
    </w:p>
    <w:p w:rsidR="0085709A" w:rsidRDefault="0085709A" w:rsidP="0085709A">
      <w:pPr>
        <w:pStyle w:val="TextoNormal"/>
      </w:pPr>
      <w:r>
        <w:t>Dirección de Infraestructuras.</w:t>
      </w:r>
    </w:p>
    <w:p w:rsidR="0085709A" w:rsidRDefault="0085709A" w:rsidP="0085709A">
      <w:pPr>
        <w:pStyle w:val="TextoNormal"/>
      </w:pPr>
    </w:p>
    <w:p w:rsidR="0085709A" w:rsidRDefault="0085709A" w:rsidP="0085709A">
      <w:pPr>
        <w:pStyle w:val="TextoNormal"/>
      </w:pPr>
      <w:r>
        <w:t>Dirección de Ordenación Urbanística.</w:t>
      </w:r>
    </w:p>
    <w:p w:rsidR="0085709A" w:rsidRDefault="0085709A" w:rsidP="0085709A">
      <w:pPr>
        <w:pStyle w:val="TextoNormal"/>
      </w:pPr>
    </w:p>
    <w:p w:rsidR="0085709A" w:rsidRDefault="0085709A" w:rsidP="0085709A">
      <w:pPr>
        <w:pStyle w:val="TextoNormal"/>
      </w:pPr>
      <w:r>
        <w:t>Dirección de Gestión y Venta de Inmuebles.</w:t>
      </w:r>
    </w:p>
    <w:p w:rsidR="0085709A" w:rsidRDefault="0085709A" w:rsidP="0085709A">
      <w:pPr>
        <w:pStyle w:val="TextoNormal"/>
      </w:pPr>
    </w:p>
    <w:p w:rsidR="0085709A" w:rsidRDefault="0085709A" w:rsidP="0085709A">
      <w:pPr>
        <w:pStyle w:val="TextoNormal"/>
      </w:pPr>
      <w:r>
        <w:t>Departamento de Unidad de Apoyo Técnico del Área de Suelo.</w:t>
      </w:r>
    </w:p>
    <w:p w:rsidR="0085709A" w:rsidRDefault="0085709A" w:rsidP="0085709A">
      <w:pPr>
        <w:pStyle w:val="TextoNormal"/>
      </w:pPr>
    </w:p>
    <w:p w:rsidR="0085709A" w:rsidRDefault="0085709A" w:rsidP="0085709A">
      <w:pPr>
        <w:pStyle w:val="TextoNormal"/>
      </w:pPr>
      <w:r>
        <w:t>Departamento de Seguridad y Salud Obras del Área del Suelo.</w:t>
      </w:r>
    </w:p>
    <w:p w:rsidR="0085709A" w:rsidRDefault="0085709A" w:rsidP="0085709A">
      <w:pPr>
        <w:pStyle w:val="TextoNormal"/>
      </w:pPr>
    </w:p>
    <w:p w:rsidR="0085709A" w:rsidRDefault="0085709A" w:rsidP="0085709A">
      <w:pPr>
        <w:pStyle w:val="TextoNormal"/>
      </w:pPr>
      <w:r>
        <w:t>Unidad de Contratación de la Dirección de Asesoría Jurídica y Contratación.</w:t>
      </w:r>
    </w:p>
    <w:p w:rsidR="0085709A" w:rsidRDefault="0085709A" w:rsidP="0085709A">
      <w:pPr>
        <w:pStyle w:val="TextoNormal"/>
      </w:pPr>
    </w:p>
    <w:p w:rsidR="0085709A" w:rsidRDefault="0085709A" w:rsidP="0085709A">
      <w:pPr>
        <w:pStyle w:val="TextoNormal"/>
      </w:pPr>
      <w:r>
        <w:t>Unidad de protección de Datos de la Dirección de Asesoría Jurídica y Contratación.</w:t>
      </w:r>
    </w:p>
    <w:p w:rsidR="0085709A" w:rsidRDefault="0085709A" w:rsidP="0085709A">
      <w:pPr>
        <w:pStyle w:val="TextoNormal"/>
      </w:pPr>
    </w:p>
    <w:p w:rsidR="0085709A" w:rsidRDefault="0085709A" w:rsidP="0085709A">
      <w:pPr>
        <w:pStyle w:val="TextoNormal"/>
      </w:pPr>
      <w:r>
        <w:t>Unidad de servicios, suministros y actividad preventiva de la Dirección de Recursos Humanos.</w:t>
      </w:r>
    </w:p>
    <w:p w:rsidR="0085709A" w:rsidRDefault="0085709A" w:rsidP="0085709A">
      <w:pPr>
        <w:pStyle w:val="TextoNormal"/>
      </w:pPr>
    </w:p>
    <w:p w:rsidR="0085709A" w:rsidRDefault="0085709A" w:rsidP="0085709A">
      <w:pPr>
        <w:pStyle w:val="TextoNormal"/>
      </w:pPr>
      <w:r>
        <w:t>Unidad de Renta Básica de Emancipación de la Dirección Agencia Valenciana de Alquiler.</w:t>
      </w:r>
    </w:p>
    <w:p w:rsidR="0085709A" w:rsidRDefault="0085709A" w:rsidP="0085709A">
      <w:pPr>
        <w:pStyle w:val="TextoNormal"/>
      </w:pPr>
    </w:p>
    <w:p w:rsidR="0085709A" w:rsidRDefault="0085709A" w:rsidP="0085709A">
      <w:pPr>
        <w:pStyle w:val="TextoNormal"/>
      </w:pPr>
      <w:r>
        <w:t>Unidad de mediación y alquileres de la Dirección Agencia Valenciana de Alquiler.</w:t>
      </w:r>
    </w:p>
    <w:p w:rsidR="0085709A" w:rsidRDefault="0085709A" w:rsidP="0085709A">
      <w:pPr>
        <w:pStyle w:val="TextoNormal"/>
      </w:pPr>
    </w:p>
    <w:p w:rsidR="0085709A" w:rsidRDefault="0085709A" w:rsidP="0085709A">
      <w:pPr>
        <w:pStyle w:val="TextoNormal"/>
      </w:pPr>
      <w:r>
        <w:t>Unidad de Gestión en Alicante de la dirección Centro de Gestión de Vivienda Pública.</w:t>
      </w:r>
    </w:p>
    <w:p w:rsidR="0085709A" w:rsidRDefault="0085709A" w:rsidP="0085709A">
      <w:pPr>
        <w:pStyle w:val="TextoNormal"/>
      </w:pPr>
    </w:p>
    <w:p w:rsidR="0085709A" w:rsidRDefault="0085709A" w:rsidP="0085709A">
      <w:pPr>
        <w:pStyle w:val="TextoNormal"/>
      </w:pPr>
      <w:r>
        <w:t>Departamento de Gestión de Suelo Público de la dirección Centro de Gestión de Vivienda Pública.</w:t>
      </w:r>
    </w:p>
    <w:p w:rsidR="0085709A" w:rsidRDefault="0085709A" w:rsidP="0085709A">
      <w:pPr>
        <w:pStyle w:val="TextoNormal"/>
      </w:pPr>
    </w:p>
    <w:p w:rsidR="0085709A" w:rsidRDefault="0085709A" w:rsidP="0085709A">
      <w:pPr>
        <w:pStyle w:val="TextoNormal"/>
      </w:pPr>
      <w:r>
        <w:t>Sin perjuicio de lo anterior, en determinados supuestos excepcionales en los que en principio el trabajador quedaría afecto a la extinción en base a su vinculación a direcciones, departamentos o unidades que se suprimen, podrá hacerse prevalecer criterios de experiencia y polivalencia, a fin de realizar una adecuada reestructuración del IVVSA en su conjunto, primando criterios de experiencia y polivalencia, en los términos indicados en el siguiente apartado.</w:t>
      </w:r>
    </w:p>
    <w:p w:rsidR="0085709A" w:rsidRDefault="0085709A" w:rsidP="0085709A">
      <w:pPr>
        <w:pStyle w:val="TextoNormal"/>
      </w:pPr>
    </w:p>
    <w:p w:rsidR="0085709A" w:rsidRDefault="0085709A" w:rsidP="0085709A">
      <w:pPr>
        <w:pStyle w:val="TextoNormal"/>
      </w:pPr>
      <w:r>
        <w:t>- Respecto a las direcciones, departamentos o unidades de trabajo que se mantienen y que serán objeto de reestructuración dirigido a su adecuado dimensionamiento, se tendrá en cuenta como criterios: la experiencia profesional de los trabajadores y los años de experiencia en el IVVSA, así como su polivalencia funcional, perfil y capacidades técnicas específicas para las áreas y puestos de trabajo que se quieren conservar tras la adopción de la medida extintiva, pertenencia a una categoría o grupo profesional, adscripción geográfica a los centros de Valencia, Castellón y Alicante, y todo ello vinculado a una estructura de costes sostenible. Se tendrá en cuenta la experiencia y polivalencia de los trabajadores y que haya podido observarse en el IVVSA durante su prestación de servicios en el Instituto.</w:t>
      </w:r>
    </w:p>
    <w:p w:rsidR="0085709A" w:rsidRDefault="0085709A" w:rsidP="0085709A">
      <w:pPr>
        <w:pStyle w:val="TextoNormal"/>
      </w:pPr>
    </w:p>
    <w:p w:rsidR="0085709A" w:rsidRDefault="0085709A" w:rsidP="0085709A">
      <w:pPr>
        <w:pStyle w:val="TextoNormal"/>
      </w:pPr>
      <w:r>
        <w:t>- En determinados departamentos y respecto de aquéllos puestos o funciones que presenten determinadas peculiaridades o se caractericen por su especial tecnicidad, tales como los Departamentos de Sistemas y Análisis y Programación, se acudirá principalmente a criterios relacionados con la experiencia, titulación y conocimientos específicos, tareas llevadas a cabo, conocimiento de programas y de aquéllos específicos del IVVSA, capacidad de reciclaje y adaptación, además de experiencia y polivalencia, teniendo en cuenta las necesidades que deben ser cubiertas para dar servicio al conjunto del IVVSA y nueva estructura de los Departamentos.</w:t>
      </w:r>
    </w:p>
    <w:p w:rsidR="0085709A" w:rsidRDefault="0085709A" w:rsidP="0085709A">
      <w:pPr>
        <w:pStyle w:val="TextoNormal"/>
      </w:pPr>
    </w:p>
    <w:p w:rsidR="0085709A" w:rsidRDefault="0085709A" w:rsidP="0085709A">
      <w:pPr>
        <w:pStyle w:val="TextoNormal"/>
      </w:pPr>
      <w:r>
        <w:t>- Con el objetivo de establecer una nueva estructura de la plantilla que se mantenga a largo plazo en su nuevo dimensionamiento, y de ocasionar el menor perjuicio para el trabajador, se aplicará como criterio en la selección de trabajadores afectados el de aquellos trabajadores que se encuentren en una situación más próxima a la jubilación. El IVVSA suscribirá el correspondiente convenio especial con la Seguridad Social en aquéllos casos en que sea preceptivo.”</w:t>
      </w:r>
    </w:p>
    <w:p w:rsidR="0085709A" w:rsidRDefault="0085709A" w:rsidP="0085709A">
      <w:pPr>
        <w:pStyle w:val="TextoNormal"/>
      </w:pPr>
    </w:p>
    <w:p w:rsidR="0085709A" w:rsidRDefault="0085709A" w:rsidP="0085709A">
      <w:pPr>
        <w:pStyle w:val="TextoNormal"/>
      </w:pPr>
      <w:r>
        <w:t>d) El 11 de mayo de 2012 la empresa comunicó al comité de empresa la relación de trabajadores afectados, llevando a efecto el Instituto Valenciano de la Vivienda, S.A., en la misma fecha comunicación a la autoridad laboral del acuerdo con traslado de copia íntegra así como anexo de la relación de trabajadores afectados.</w:t>
      </w:r>
    </w:p>
    <w:p w:rsidR="0085709A" w:rsidRDefault="0085709A" w:rsidP="0085709A">
      <w:pPr>
        <w:pStyle w:val="TextoNormal"/>
      </w:pPr>
    </w:p>
    <w:p w:rsidR="0085709A" w:rsidRDefault="0085709A" w:rsidP="0085709A">
      <w:pPr>
        <w:pStyle w:val="TextoNormal"/>
      </w:pPr>
      <w:r>
        <w:t xml:space="preserve">e) A las recurrentes en amparo se les notificó su cese de forma individual refiriendo las causas justificativas del mismo así como la inclusión en el listado de afectadas en aplicación </w:t>
      </w:r>
      <w:r>
        <w:lastRenderedPageBreak/>
        <w:t>de los criterios establecidos en el acuerdo, con abono a cada una de ellas de la cuantía acordada en relación a su antigüedad y salario.</w:t>
      </w:r>
    </w:p>
    <w:p w:rsidR="0085709A" w:rsidRDefault="0085709A" w:rsidP="0085709A">
      <w:pPr>
        <w:pStyle w:val="TextoNormal"/>
      </w:pPr>
    </w:p>
    <w:p w:rsidR="0085709A" w:rsidRDefault="0085709A" w:rsidP="0085709A">
      <w:pPr>
        <w:pStyle w:val="TextoNormal"/>
      </w:pPr>
      <w:r>
        <w:t>f) Resultaron afectados por el despido todos los trabajadores de 55 o más años, a los que se les gestionó el convenio especial con la Seguridad Social.</w:t>
      </w:r>
    </w:p>
    <w:p w:rsidR="0085709A" w:rsidRDefault="0085709A" w:rsidP="0085709A">
      <w:pPr>
        <w:pStyle w:val="TextoNormal"/>
      </w:pPr>
    </w:p>
    <w:p w:rsidR="0085709A" w:rsidRDefault="0085709A" w:rsidP="0085709A">
      <w:pPr>
        <w:pStyle w:val="TextoNormal"/>
      </w:pPr>
      <w:r>
        <w:t>g) Las demandantes de amparo y otra trabajadora interpusieron demanda sobre despido contra el Instituto Valenciano de la Vivienda, S.A., y contra don Javier Belardi Pérez, como presidente del comité de empresa, por entender que su despido era discriminatorio por razón de edad. Todas las demandas fueron acumuladas a la primera presentada, autos 785-2012 del Juzgado de lo Social núm. 1 de Valencia, que, en fecha 19 de noviembre de 2012, dictó Sentencia desestimatoria por inexistencia de vulneración de derecho fundamental alguno en el cese de las recurrentes. Afirma el Juzgado de lo Social que “la fijación del criterio de la edad, no puede fundar la alegación de una situación discriminatoria respecto al contenido de los acuerdos libremente adoptados por las partes que negociaron el expediente y en lo que se fundamenta la resolución del ERE, ya que se trata de un criterio objetivo, de aplicación igual para cuantos se encuentren en tal situación, tratándose además del colectivo más próximo a la jubilación y por tanto con menores expectativas de vida laboral, llevando incluso a efecto en el propio acuerdo con la representación de los trabajadores de unos sistemas de prestaciones y mejoras, incluyendo las previsiones de abono del convenio especial con la Seguridad Social, etc.”. Asimismo, señala que “las actuaciones que toman en consideración la edad pueden ser valoradas ajustadas a derecho o no en relación a las circunstancias del caso y el cuerpo de doctrina jurisprudencial referido viene a señalar que en supuestos de crisis de empresa el criterio de afectación del expediente según la proximidad a la edad de jubilación es adecuado, y todo ello valorando que en el caso de autos el citado criterio no es el único que se determina ni se acredita mínimamente que haya sido el único utilizado puesto que para ello hubiera sido preceptivo acreditar la preferencia en su caso respecto a otros trabajadores (lo que por el tipo de proceso no era factible)”.</w:t>
      </w:r>
    </w:p>
    <w:p w:rsidR="0085709A" w:rsidRDefault="0085709A" w:rsidP="0085709A">
      <w:pPr>
        <w:pStyle w:val="TextoNormal"/>
      </w:pPr>
    </w:p>
    <w:p w:rsidR="0085709A" w:rsidRDefault="0085709A" w:rsidP="0085709A">
      <w:pPr>
        <w:pStyle w:val="TextoNormal"/>
      </w:pPr>
      <w:r>
        <w:t>h) Contra esta Sentencia interpusieron las demandantes de amparo un recurso de suplicación que fue desestimado por Sentencia de la Sala de lo Social del Tribunal Superior de Justicia de la Comunidad Valenciana de 2 de mayo de 2013. Consideró la Sala que no existía discriminación en los despidos de las cuatro recurrentes, “pues los mismos se encuadran en los criterios de selección establecidos, debiéndose tener en cuenta que razones productivas, económicas y organizativas han justificado el acuerdo de extinción colectiva alcanzado, lo que a su vez justifica la decisión empresarial sin que se aprecie indicio de discriminación” en sus despidos.</w:t>
      </w:r>
    </w:p>
    <w:p w:rsidR="0085709A" w:rsidRDefault="0085709A" w:rsidP="0085709A">
      <w:pPr>
        <w:pStyle w:val="TextoNormal"/>
      </w:pPr>
    </w:p>
    <w:p w:rsidR="0085709A" w:rsidRDefault="0085709A" w:rsidP="0085709A">
      <w:pPr>
        <w:pStyle w:val="TextoNormal"/>
      </w:pPr>
      <w:r>
        <w:t>Frente a esta Sentencia se interpone 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t>3</w:t>
      </w:r>
      <w:r>
        <w:t>. Las recurrentes fundamentan su demanda de amparo en la vulneración del derecho a la no discriminación por edad reconocido en el art. 14 CE.</w:t>
      </w:r>
    </w:p>
    <w:p w:rsidR="0085709A" w:rsidRDefault="0085709A" w:rsidP="0085709A">
      <w:pPr>
        <w:pStyle w:val="TextoNormal"/>
      </w:pPr>
    </w:p>
    <w:p w:rsidR="0085709A" w:rsidRDefault="0085709A" w:rsidP="0085709A">
      <w:pPr>
        <w:pStyle w:val="TextoNormal"/>
      </w:pPr>
      <w:r>
        <w:t xml:space="preserve">Tras citar y reproducir el contenido de la jurisprudencia constitucional en materia de discriminación por edad, recuerda la demanda que la edad ha sido incluida en el art. 21.1 de la Carta de los derechos fundamentales de la Unión Europea entre las razones por las que se prohíbe toda discriminación. Asimismo, señala que en el ámbito nacional debe destacarse la relevancia de la nueva redacción dada por la disposición final cuarta de la Ley 3/2012, de </w:t>
      </w:r>
      <w:r>
        <w:lastRenderedPageBreak/>
        <w:t>6 de julio, a la disposición adicional décima del Estatuto de los trabajadores, declarando nulas y sin efecto las cláusulas de los convenios colectivos que prevean la jubilación forzosa por cumplimiento de la edad de jubilación, disposición que viene a concretar una de las medidas contenida en la Estrategia global de para empleo de los trabajadores y trabajadoras de más edad 2012-2014 publicada por resolución de 14 de noviembre de 2011 de la Secretaría de Estado de Empleo y que recoge el actual consenso de empresarios y sindicatos en la materia.</w:t>
      </w:r>
    </w:p>
    <w:p w:rsidR="0085709A" w:rsidRDefault="0085709A" w:rsidP="0085709A">
      <w:pPr>
        <w:pStyle w:val="TextoNormal"/>
      </w:pPr>
    </w:p>
    <w:p w:rsidR="0085709A" w:rsidRDefault="0085709A" w:rsidP="0085709A">
      <w:pPr>
        <w:pStyle w:val="TextoNormal"/>
      </w:pPr>
      <w:r>
        <w:t>A juicio de las recurrentes, a pesar de la evidente evolución que ha habido tanto en los textos normativos como en los criterios judiciales en relación con la discriminación por edad, sin embargo, en el ámbito específico de los despidos colectivos, continúa vigente un criterio que puede ser concretado en palabras de la Sentencia de la Sala Tercera del Tribunal Supremo de 9 de marzo de 2011 según el cual, “parece razonable que los trabajadores afectados por las medidas de ajuste de plantilla sean aquellos que se encuentran más próximos a la edad de jubilación y, consiguientemente, con unas expectativas laborales muy cortas, sin que ello comporte la lesión del art. 14 CE”.</w:t>
      </w:r>
    </w:p>
    <w:p w:rsidR="0085709A" w:rsidRDefault="0085709A" w:rsidP="0085709A">
      <w:pPr>
        <w:pStyle w:val="TextoNormal"/>
      </w:pPr>
    </w:p>
    <w:p w:rsidR="0085709A" w:rsidRDefault="0085709A" w:rsidP="0085709A">
      <w:pPr>
        <w:pStyle w:val="TextoNormal"/>
      </w:pPr>
      <w:r>
        <w:t>En contra de dicho criterio, sostienen las recurrentes que el empleo de la edad superior a los 55 años como factor determinante del cese de las demandantes, en cuanto integrantes del colectivo de empleados de la empresa mayores de esa edad, constituye un caso evidente de actuación discriminatoria que debe, en consecuencia, ser declarado como despido nulo. Esta conclusión se justifica, en primer lugar, porque no hay una previsión legal que ampare el uso del criterio de la edad en actuaciones como la llevada a cabo por la empresa. Además, en este sentido, añaden que el Tribunal Supremo ha afirmado que la libertad empresarial de selección del personal afectado en un despido colectivo no legitima actuaciones discriminatorias.</w:t>
      </w:r>
    </w:p>
    <w:p w:rsidR="0085709A" w:rsidRDefault="0085709A" w:rsidP="0085709A">
      <w:pPr>
        <w:pStyle w:val="TextoNormal"/>
      </w:pPr>
    </w:p>
    <w:p w:rsidR="0085709A" w:rsidRDefault="0085709A" w:rsidP="0085709A">
      <w:pPr>
        <w:pStyle w:val="TextoNormal"/>
      </w:pPr>
      <w:r>
        <w:t>A continuación, afirman las recurrentes que la actuación empresarial impugnada carece de justificación objetiva. No hay razón por la que el personal mayor de 55 años no pueda continuar trabajando con normalidad, máxime cuando le faltan muchos años para alcanzar la edad legal de jubilación, cada vez más retrasada y, en todo caso, voluntaria. Ni tampoco hay razón alguna para suponer una vinculación temporal futura mayor al personal menor de 55 años cuando no existe ningún pacto de permanencia y ese personal menor es el que, en realidad, más cambia de trabajo. De otra parte, indican, es una medida indiscriminada, referida a todo el personal mayor de 55 años y no referida a algún o algunos puestos concretos de trabajo.</w:t>
      </w:r>
    </w:p>
    <w:p w:rsidR="0085709A" w:rsidRDefault="0085709A" w:rsidP="0085709A">
      <w:pPr>
        <w:pStyle w:val="TextoNormal"/>
      </w:pPr>
    </w:p>
    <w:p w:rsidR="0085709A" w:rsidRDefault="0085709A" w:rsidP="0085709A">
      <w:pPr>
        <w:pStyle w:val="TextoNormal"/>
      </w:pPr>
      <w:r>
        <w:t>Señalan también que el sacrificio que se impone con el despido al personal mayor de 55 años es desproporcionado, ya que se le priva de trabajo y con una cobertura limitada de desempleo, complementada sólo, durante un corto período de tiempo, a una edad en que sus perspectivas de ocupación son notablemente peores que las de los trabajadores más jóvenes. A las ahora demandantes no solo se les priva de la retribución por el puesto de trabajo cuando aún les restan muchos años para la jubilación, sino que además se les perjudica notablemente en la cuantía de las mismas, como consecuencia del despido, a lo que se añade que, a su juicio, no se les haya ofrecido la menor garantía en relación a una pensión mínima.</w:t>
      </w:r>
    </w:p>
    <w:p w:rsidR="0085709A" w:rsidRDefault="0085709A" w:rsidP="0085709A">
      <w:pPr>
        <w:pStyle w:val="TextoNormal"/>
      </w:pPr>
    </w:p>
    <w:p w:rsidR="0085709A" w:rsidRDefault="0085709A" w:rsidP="0085709A">
      <w:pPr>
        <w:pStyle w:val="TextoNormal"/>
      </w:pPr>
      <w:r>
        <w:t xml:space="preserve">Por último, las recurrentes justifican la especial trascendencia constitucional de la cuestión que se plantea en este recurso en cuatro razones. En primer lugar, por la relevante y </w:t>
      </w:r>
      <w:r>
        <w:lastRenderedPageBreak/>
        <w:t>general repercusión social de la temática planteada en un momento en que la crisis económica se traduce en cientos de miles de despidos, articulados en muchos casos a través de despidos colectivos, en los que se establecen criterios de selección del personal que en la realidad descargan por diversas razones de manera más intensa sobre las personas de más edad. En segundo lugar, porque la problemática planteada en este recurso no ha sido tratada por este Tribunal que ha tenido ocasión de pronunciarse sobre diversos supuestos de discriminación por edad, pero no en el marco de los despidos colectivos. En tercer lugar, porque en los tribunales competentes perduran unos criterios que chocan con los criterios generales de este Tribunal, en aplicación de la Constitución y la normativa internacional. Y, finalmente, porque la problemática aquí planteada ha sido objeto de importantes novedades, tanto legales a nivel internacional y nacional, como judiciales, que requieren de la intervención de este Tribunal desde su especial perspectiva de definidor de los derechos constitucionales.</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7 de abril de 2014, la Sala Segunda acordó la admisión a trámite de la demanda y, a tenor de lo dispuesto en el art. 51 de la Ley Orgánica del Tribunal Constitucional (LOTC), requerir a la Sala de lo Social del Tribunal Superior de Justicia de la Comunidad Valenciana, para que en el plazo de diez días remitiera certificación o copia adverada de las actuaciones correspondientes al recurso de suplicación núm. 561-2013. Igualmente se acordó dirigir comunicación al Juzgado de lo Social núm. 1 de Valencia a fin de que, en plazo que no excediera de diez días, remitiera certificación o copia adverada de las actuaciones correspondientes a los autos 785/2012, debiendo previamente emplazarse, para que en el plazo de diez días pudieran comparecer en el recurso de amparo a quiénes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presentado el 28 de mayo de 2014 en el Registro General de este Tribunal, se personó en el recurso de amparo el Letrado de la Abogacía General de la Generalitat de Valencia.</w:t>
      </w:r>
    </w:p>
    <w:p w:rsidR="0085709A" w:rsidRDefault="0085709A" w:rsidP="0085709A">
      <w:pPr>
        <w:pStyle w:val="TextoNormal"/>
      </w:pPr>
    </w:p>
    <w:p w:rsidR="0085709A" w:rsidRDefault="0085709A" w:rsidP="0085709A">
      <w:pPr>
        <w:pStyle w:val="TextoNormal"/>
      </w:pPr>
      <w:r w:rsidRPr="0085709A">
        <w:rPr>
          <w:rStyle w:val="NumeroAFNegritaCaracter"/>
        </w:rPr>
        <w:t>6</w:t>
      </w:r>
      <w:r>
        <w:t>. Una vez recibidas las actuaciones, a través de diligencia de ordenación de la Secretaría de Justicia de la Sala Segunda de 17 de julio de 2014, se acordó tener por personado y parte en el procedimiento al Letrado de la Abogacía de la Generalitat en nombre y representación del Instituto Valenciano de la Vivienda, S.A., y dar vista de las actuaciones a las partes personadas y al Ministerio Fiscal por término de veinte días, dentro de los cuales podrían presentar las alegaciones que estimasen pertinentes, conforme a lo establecido en el art. 52.1 LOTC.</w:t>
      </w:r>
    </w:p>
    <w:p w:rsidR="0085709A" w:rsidRDefault="0085709A" w:rsidP="0085709A">
      <w:pPr>
        <w:pStyle w:val="TextoNormal"/>
      </w:pPr>
    </w:p>
    <w:p w:rsidR="0085709A" w:rsidRDefault="0085709A" w:rsidP="0085709A">
      <w:pPr>
        <w:pStyle w:val="TextoNormal"/>
      </w:pPr>
      <w:r w:rsidRPr="0085709A">
        <w:rPr>
          <w:rStyle w:val="NumeroAFNegritaCaracter"/>
        </w:rPr>
        <w:t>7</w:t>
      </w:r>
      <w:r>
        <w:t>. Las recurrentes, en escrito registrado el 30 de julio de 2014, presentaron sus alegaciones ratificándose en su escrito de demanda de amparo.</w:t>
      </w:r>
    </w:p>
    <w:p w:rsidR="0085709A" w:rsidRDefault="0085709A" w:rsidP="0085709A">
      <w:pPr>
        <w:pStyle w:val="TextoNormal"/>
      </w:pPr>
    </w:p>
    <w:p w:rsidR="0085709A" w:rsidRDefault="0085709A" w:rsidP="0085709A">
      <w:pPr>
        <w:pStyle w:val="TextoNormal"/>
      </w:pPr>
      <w:r w:rsidRPr="0085709A">
        <w:rPr>
          <w:rStyle w:val="NumeroAFNegritaCaracter"/>
        </w:rPr>
        <w:t>8</w:t>
      </w:r>
      <w:r>
        <w:t>. El 17 de septiembre de 2014 presentó sus alegaciones el Letrado de la Abogacía General de la Generalitat Valenciana, en la representación que ostenta de la empresa pública Instituto Valenciano de la Vivienda, S.A.</w:t>
      </w:r>
    </w:p>
    <w:p w:rsidR="0085709A" w:rsidRDefault="0085709A" w:rsidP="0085709A">
      <w:pPr>
        <w:pStyle w:val="TextoNormal"/>
      </w:pPr>
    </w:p>
    <w:p w:rsidR="0085709A" w:rsidRDefault="0085709A" w:rsidP="0085709A">
      <w:pPr>
        <w:pStyle w:val="TextoNormal"/>
      </w:pPr>
      <w:r>
        <w:t xml:space="preserve">Manifiesta, en primer lugar, su oposición a la realidad fáctica contenida en el recurso y, en concreto, en relación con los criterios de afectación de los trabajadores, pues uno de los criterios era encontrarse en una situación próxima a la jubilación, pero hay que resaltar, </w:t>
      </w:r>
      <w:r>
        <w:lastRenderedPageBreak/>
        <w:t>señala, y eso no lo hacen las recurrentes, que este criterio fue establecido con el objetivo de disponer de una estructura de plantilla que se mantuviera a largo plazo y de ocasionar un menor perjuicio para el trabajador que fuera incluido en la relación de despedidos, previa suscripción de convenio especial con la Seguridad Social en los casos en que fuera preceptivo.</w:t>
      </w:r>
    </w:p>
    <w:p w:rsidR="0085709A" w:rsidRDefault="0085709A" w:rsidP="0085709A">
      <w:pPr>
        <w:pStyle w:val="TextoNormal"/>
      </w:pPr>
    </w:p>
    <w:p w:rsidR="0085709A" w:rsidRDefault="0085709A" w:rsidP="0085709A">
      <w:pPr>
        <w:pStyle w:val="TextoNormal"/>
      </w:pPr>
      <w:r>
        <w:t>El Letrado se remite a los argumentos sostenidos en las Sentencias recurridas y añade que existe un criterio consolidado jurisprudencialmente según el cual es razonable incluir como trabajadores afectados por un expediente de regulación de empleo a aquellos que se encuentren más próximos a la jubilación y, consiguientemente, con unas expectativas laborales muy cortas, sin que ello comporte lesión del art. 14 CE.</w:t>
      </w:r>
    </w:p>
    <w:p w:rsidR="0085709A" w:rsidRDefault="0085709A" w:rsidP="0085709A">
      <w:pPr>
        <w:pStyle w:val="TextoNormal"/>
      </w:pPr>
    </w:p>
    <w:p w:rsidR="0085709A" w:rsidRDefault="0085709A" w:rsidP="0085709A">
      <w:pPr>
        <w:pStyle w:val="TextoNormal"/>
      </w:pPr>
      <w:r>
        <w:t>Además, indica que este no ha sido el único criterio fijado para la selección de trabajadores afectados por el expediente de regulación de empleo, ni tampoco el prioritario y, a continuación, analiza lo que ocurrió con cada una de las recurrentes. Así, doña Candelaria Martínez Martínez estaba adscrita a la Dirección de Gestión Urbanística, que iba a desaparecer. Doña Desamparados González Ortega estaba adscrita a la unidad de renta básica de emancipación de la Agencia Valenciana de Alquiler, que también desaparecería. No obstante, señalaba también, que algunos de los trabajadores de esta unidad quedaron en suspenso, y su contrato se revitalizó después como consecuencia de la encomienda de gestión que, con posterioridad se suscribió con la Consellería. En concreto de tal Unidad fueron dos trabajadores los que consiguieron la revitalización de sus contratos; uno, licenciado en derecho, y otra, administrativa, al igual que la recurrente, pero más joven (47 años), por lo que no tenía acceso a los beneficios de los más próximos a la jubilación, y, además, con titulación superior, licenciada en psicología, en consecuencia, con mayor polivalencia funcional que la recurrente. Doña Amparo Palerm Eduardo, trabajadora del Centro de Gestión de la Vivienda Pública, que se ha visto drásticamente reducido al pasar de 70 trabajadores aproximadamente, a 40, agregando a lo expuesto que, de los 30 afectados, 10 eran mayores de 55 años y todos ellos, en base, primero, a la referida reestructuración y, después, a su edad, han sido incluidos en el expediente de regulación de empleo. Por último, doña Luz Desamparados Cebrián Piqueras, adscrita a la encomienda de gestión del plan estratégico valenciano, que también iba a desaparecer.</w:t>
      </w:r>
    </w:p>
    <w:p w:rsidR="0085709A" w:rsidRDefault="0085709A" w:rsidP="0085709A">
      <w:pPr>
        <w:pStyle w:val="TextoNormal"/>
      </w:pPr>
    </w:p>
    <w:p w:rsidR="0085709A" w:rsidRDefault="0085709A" w:rsidP="0085709A">
      <w:pPr>
        <w:pStyle w:val="TextoNormal"/>
      </w:pPr>
      <w:r>
        <w:t>Concluye señalando que ha existido un pleno cumplimiento de la legalidad en la fijación del criterio de selección a los trabajadores más próximos a la edad de jubilación, habiéndose aplicado por igual a todos los trabajadores que se encontraban en la misma situación jurídica y sometidos al mismo régimen jurídico. Indica también que en el expediente de regulación de empleo han sido incluidos los 35 trabajadores mayores de 55 años pero no hay que olvidar tampoco que, del total de una plantilla de 238 trabajadores, fueron incluidos 211 en el expediente de regulación de empleo.</w:t>
      </w:r>
    </w:p>
    <w:p w:rsidR="0085709A" w:rsidRDefault="0085709A" w:rsidP="0085709A">
      <w:pPr>
        <w:pStyle w:val="TextoNormal"/>
      </w:pPr>
    </w:p>
    <w:p w:rsidR="0085709A" w:rsidRDefault="0085709A" w:rsidP="0085709A">
      <w:pPr>
        <w:pStyle w:val="TextoNormal"/>
      </w:pPr>
      <w:r w:rsidRPr="0085709A">
        <w:rPr>
          <w:rStyle w:val="NumeroAFNegritaCaracter"/>
        </w:rPr>
        <w:t>9</w:t>
      </w:r>
      <w:r>
        <w:t>. Por su parte, el Ministerio Fiscal, en escrito registrado el día 23 de septiembre de 2014, presentó sus alegaciones interesando que fuera denegado el amparo solicitado.</w:t>
      </w:r>
    </w:p>
    <w:p w:rsidR="0085709A" w:rsidRDefault="0085709A" w:rsidP="0085709A">
      <w:pPr>
        <w:pStyle w:val="TextoNormal"/>
      </w:pPr>
    </w:p>
    <w:p w:rsidR="0085709A" w:rsidRDefault="0085709A" w:rsidP="0085709A">
      <w:pPr>
        <w:pStyle w:val="TextoNormal"/>
      </w:pPr>
      <w:r>
        <w:t xml:space="preserve">Comienza su escrito el Fiscal recordando los antecedentes de este asunto y el contenido de las Sentencias recurridas. Señala que las razones esgrimidas para justificar el acogimiento de la edad de 55 años o más como causa de despido objetivo han sido dos, de un lado que eran trabajadores que por estar más próximos a la edad de jubilación su permanencia era </w:t>
      </w:r>
      <w:r>
        <w:lastRenderedPageBreak/>
        <w:t>más gravosa para la empresa, pues cesarían más pronto en su actividad laboral, lo que determinaría la necesidad de nuevas contrataciones con la consiguiente inversión en formación y aprendizaje. Y, la segunda, que la medida era la que causaba menos perjuicio a los trabajadores por encontrarse en una situación más próxima a la jubilación, lo que determinaría que la empleadora suscribiera el convenio correspondiente con la Seguridad Social en los casos en que fuera preceptivo legalmente, no discutiéndose que tal convenio se haya celebrado en relación a las trabajadoras recurrentes.</w:t>
      </w:r>
    </w:p>
    <w:p w:rsidR="0085709A" w:rsidRDefault="0085709A" w:rsidP="0085709A">
      <w:pPr>
        <w:pStyle w:val="TextoNormal"/>
      </w:pPr>
    </w:p>
    <w:p w:rsidR="0085709A" w:rsidRDefault="0085709A" w:rsidP="0085709A">
      <w:pPr>
        <w:pStyle w:val="TextoNormal"/>
      </w:pPr>
      <w:r>
        <w:t>Indica, también, que se previó además una mejora voluntaria de prestaciones en función del colectivo y tramos de edad a partir de la edad de 45 años, siendo el último tramo entre 58 y 61 años con una cuota mensual bruta de 849 € desde el acceso a la prestación de desempleo durante un período de doce meses, así como por otro período más corto, de ocho meses y medio, para los trabajadores entre 50 y 57 años.</w:t>
      </w:r>
    </w:p>
    <w:p w:rsidR="0085709A" w:rsidRDefault="0085709A" w:rsidP="0085709A">
      <w:pPr>
        <w:pStyle w:val="TextoNormal"/>
      </w:pPr>
    </w:p>
    <w:p w:rsidR="0085709A" w:rsidRDefault="0085709A" w:rsidP="0085709A">
      <w:pPr>
        <w:pStyle w:val="TextoNormal"/>
      </w:pPr>
      <w:r>
        <w:t>Afirma el Ministerio Fiscal que la primera de las razones esgrimidas, la de garantizar la estabilidad de la plantilla, no parece muy convincente pues dado el gran número de trabajadores despedidos y la constitución de bolsas de trabajo, que también se contemplan, los costes de formación y aprendizaje a que se alude eran meramente retóricos.</w:t>
      </w:r>
    </w:p>
    <w:p w:rsidR="0085709A" w:rsidRDefault="0085709A" w:rsidP="0085709A">
      <w:pPr>
        <w:pStyle w:val="TextoNormal"/>
      </w:pPr>
    </w:p>
    <w:p w:rsidR="0085709A" w:rsidRDefault="0085709A" w:rsidP="0085709A">
      <w:pPr>
        <w:pStyle w:val="TextoNormal"/>
      </w:pPr>
      <w:r>
        <w:t>La segunda de ellas, a su juicio, sí parece basarse en causas objetivas y generales pues es cierto que el colectivo de trabajadores mayores de 55 años en los supuestos de despidos colectivos cuentan con una mayor protección social que los demás trabajadores y que con la suscripción de convenios especiales se posibilita acceder a la jubilación anticipada, eso sí con los coeficientes reductores pertinentes.</w:t>
      </w:r>
    </w:p>
    <w:p w:rsidR="0085709A" w:rsidRDefault="0085709A" w:rsidP="0085709A">
      <w:pPr>
        <w:pStyle w:val="TextoNormal"/>
      </w:pPr>
    </w:p>
    <w:p w:rsidR="0085709A" w:rsidRDefault="0085709A" w:rsidP="0085709A">
      <w:pPr>
        <w:pStyle w:val="TextoNormal"/>
      </w:pPr>
      <w:r>
        <w:t>Es cierto, añade, que su situación es peor que la que tendrían si continuaran en su puesto de trabajo, pero es mejor que la de los trabajadores despedidos de menos edad, debiendo relativizarse las dificultades de acceso al trabajo de los trabajadores de más de 55 años, pues de un lado, existen medidas legales para favorecerlo y así se recoge en la demanda y por otra parte en las actuales circunstancias dichas dificultades afectan a gran parte de los trabajadores, por lo que no puede compartirse el criterio de la demanda de que el sacrificio que se les impone sea desproporcionado. Por ello, afirma, la elección de los trabajadores que cuentan con mayor protección social que se ha producido en este supuesto cumple los requisitos de justificación y proporcionalidad exigidos constitucionalmente.</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9 de abril de 2015, se señaló para deliberación y votación de la presente Sentencia el día 13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Las demandantes de amparo imputan a las resoluciones impugnadas la vulneración de su derecho a la no discriminación por razón de edad (art. 14 CE). Afirman que la utilización del criterio de la edad superior a 55 años como factor determinante para la selección de los trabajadores afectados por un despido colectivo constituye un caso evidente de actuación discriminatoria. Consideran que la utilización de este criterio carece de justificación objetiva y supone un sacrificio desproporcionado para el personal mayor de 55 años, ya que se les priva de trabajo con una cobertura limitada de desempleo —complementada solo durante </w:t>
      </w:r>
      <w:r>
        <w:lastRenderedPageBreak/>
        <w:t>un corto período de tiempo— a una edad en que sus perspectivas de ocupación son notablemente peores que las de los trabajadores más jóvenes.</w:t>
      </w:r>
    </w:p>
    <w:p w:rsidR="0085709A" w:rsidRDefault="0085709A" w:rsidP="0085709A">
      <w:pPr>
        <w:pStyle w:val="TextoNormal"/>
      </w:pPr>
    </w:p>
    <w:p w:rsidR="0085709A" w:rsidRDefault="0085709A" w:rsidP="0085709A">
      <w:pPr>
        <w:pStyle w:val="TextoNormal"/>
      </w:pPr>
      <w:r>
        <w:t>El Letrado de la Abogacía General de la Generalitat Valenciana, en la representación que ostenta de la empresa pública Instituto Valenciano de la Vivienda, S.A., para la que prestaban servicios las recurrentes, interesa la desestimación del recurso de amparo. Señala que uno de los criterios utilizados para la selección de los trabajadores despedidos fue el de tener una edad próxima a la jubilación con el objetivo de establecer una estructura de plantilla que se mantuviera a largo plazo y de ocasionar un menor perjuicio para el trabajador afectado por el expediente, previa suscripción de un convenio especial con la Seguridad Social en los casos en que fuera preceptivo, añadiendo a lo expuesto que existe un criterio consolidado jurisprudencialmente según el cual es razonable incluir como trabajadores afectados por un expediente de regulación de empleo a aquellos que se encuentren más próximos a la jubilación y, consiguientemente, con unas expectativas laborales más cortas, sin que ello comporte lesión del art. 14 CE.</w:t>
      </w:r>
    </w:p>
    <w:p w:rsidR="0085709A" w:rsidRDefault="0085709A" w:rsidP="0085709A">
      <w:pPr>
        <w:pStyle w:val="TextoNormal"/>
      </w:pPr>
    </w:p>
    <w:p w:rsidR="0085709A" w:rsidRDefault="0085709A" w:rsidP="0085709A">
      <w:pPr>
        <w:pStyle w:val="TextoNormal"/>
      </w:pPr>
      <w:r>
        <w:t>Por su parte, el Ministerio Fiscal interesa también que se deniegue el amparo solicitado al entender que la elección de los trabajadores que cuenten con mayor protección social, como ha sucedido en este supuesto, para incluirlos en la relación de despedidos como consecuencia de un expediente de regulación de empleo, cumple con los requisitos de justificación y proporcionalidad exigidos constitucionalmente.</w:t>
      </w:r>
    </w:p>
    <w:p w:rsidR="0085709A" w:rsidRDefault="0085709A" w:rsidP="0085709A">
      <w:pPr>
        <w:pStyle w:val="TextoNormal"/>
      </w:pPr>
    </w:p>
    <w:p w:rsidR="0085709A" w:rsidRDefault="0085709A" w:rsidP="0085709A">
      <w:pPr>
        <w:pStyle w:val="TextoNormal"/>
      </w:pPr>
      <w:r w:rsidRPr="0085709A">
        <w:rPr>
          <w:rStyle w:val="NumeroAFNegritaCaracter"/>
        </w:rPr>
        <w:t>2</w:t>
      </w:r>
      <w:r>
        <w:t>. La selección de los trabajadores afectados por un despido colectivo constituye una facultad del empresario que, aunque inscrita en sus poderes de organización, debe ejercerse respetando la preferencia legal de los representantes de los trabajadores, las garantías que el ordenamiento jurídico otorga a los trabajadores en general y los condicionantes establecidos en el convenio colectivo o en el acuerdo alcanzado durante el período de consultas, sin que en ningún caso pueda incurrirse en fraude de ley o abuso de derecho y sin que la actuación empresarial pueda estar guiada por móviles discriminatorios.</w:t>
      </w:r>
    </w:p>
    <w:p w:rsidR="0085709A" w:rsidRDefault="0085709A" w:rsidP="0085709A">
      <w:pPr>
        <w:pStyle w:val="TextoNormal"/>
      </w:pPr>
    </w:p>
    <w:p w:rsidR="0085709A" w:rsidRDefault="0085709A" w:rsidP="0085709A">
      <w:pPr>
        <w:pStyle w:val="TextoNormal"/>
      </w:pPr>
      <w:r>
        <w:t>En el presente supuesto, los criterios establecidos para la designación de los trabajadores afectados por el despido colectivo, que resultaron aprobados durante el período de consultas, fueron los cuatro que se han detallado en los antecedentes de esta resolución. El último de dichos criterios señalaba que serían incluidos en la relación de despido los trabajadores que se encontraran en una edad más próxima a la jubilación. Pues bien, la cuestión que debemos determinar en este recurso de amparo es si la selección de los trabajadores despedidos en virtud de este último criterio constituye, como sostienen las recurrentes en amparo, una discriminación por razón de edad.</w:t>
      </w:r>
    </w:p>
    <w:p w:rsidR="0085709A" w:rsidRDefault="0085709A" w:rsidP="0085709A">
      <w:pPr>
        <w:pStyle w:val="TextoNormal"/>
      </w:pPr>
    </w:p>
    <w:p w:rsidR="0085709A" w:rsidRDefault="0085709A" w:rsidP="0085709A">
      <w:pPr>
        <w:pStyle w:val="TextoNormal"/>
      </w:pPr>
      <w:r w:rsidRPr="0085709A">
        <w:rPr>
          <w:rStyle w:val="NumeroAFNegritaCaracter"/>
        </w:rPr>
        <w:t>3</w:t>
      </w:r>
      <w:r>
        <w:t>. La doctrina de este Tribunal relativa al principio de igualdad y a la prohibición de discriminación (art. 14 CE) fue resumida en la STC 200/2001, de 4 de octubre, FJ 4, en la que afirmamos que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w:t>
      </w:r>
      <w:r>
        <w:lastRenderedPageBreak/>
        <w:t>ciente justificación de tal diferencia, que aparezca al mismo tiempo como fundada y razonable, de acuerdo con criterios y juicios de valor generalmente aceptados, y cuyas consecuencias no resulten, en todo caso, desproporcionadas”.</w:t>
      </w:r>
    </w:p>
    <w:p w:rsidR="0085709A" w:rsidRDefault="0085709A" w:rsidP="0085709A">
      <w:pPr>
        <w:pStyle w:val="TextoNormal"/>
      </w:pPr>
    </w:p>
    <w:p w:rsidR="0085709A" w:rsidRDefault="0085709A" w:rsidP="0085709A">
      <w:pPr>
        <w:pStyle w:val="TextoNormal"/>
      </w:pPr>
      <w:r>
        <w:t>En la referida resolución —STC 200/2001, de 4 de octubre, FJ 4 b)— recordamos, sin embargo, que la virtualidad del art. 14 CE no se agota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y 145/1991, de 1 de julio, FJ 2)”.</w:t>
      </w:r>
    </w:p>
    <w:p w:rsidR="0085709A" w:rsidRDefault="0085709A" w:rsidP="0085709A">
      <w:pPr>
        <w:pStyle w:val="TextoNormal"/>
      </w:pPr>
    </w:p>
    <w:p w:rsidR="0085709A" w:rsidRDefault="0085709A" w:rsidP="0085709A">
      <w:pPr>
        <w:pStyle w:val="TextoNormal"/>
      </w:pPr>
      <w:r>
        <w:t xml:space="preserve">Al respecto este Tribunal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w:t>
      </w:r>
      <w:r w:rsidRPr="0085709A">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 [STC 200/2001, FJ 4 b)].</w:t>
      </w:r>
    </w:p>
    <w:p w:rsidR="0085709A" w:rsidRDefault="0085709A" w:rsidP="0085709A">
      <w:pPr>
        <w:pStyle w:val="TextoNormal"/>
      </w:pPr>
    </w:p>
    <w:p w:rsidR="0085709A" w:rsidRDefault="0085709A" w:rsidP="0085709A">
      <w:pPr>
        <w:pStyle w:val="TextoNormal"/>
      </w:pPr>
      <w:r>
        <w:t>Por lo que se refiere en concreto a la edad como factor de discriminación, este Tribunal ha considerado que se trata de una de las condiciones o circunstancias incluidas en la fórmula abierta con la que se cierra la regla de prohibición de discriminación establecida en el art. 14 CE, con la consecuencia de someter su utilización como factor de diferenciación al canon de constitucionalidad más estricto, en aplicación del cual hemos llegado a soluciones diversas, en correspondencia con la heterogeneidad de los supuestos enjuiciados, tanto en procesos de amparo constitucional como de control de normas con rango de ley (entre otras, SSTC 190/2005, 7 de julio; 247/2005, de 7 de noviembre; 280/2006, de 9 de octubre; 341/2006, de 11 de diciembre; 63/2011, de 16 de mayo; 79/2011, de 6 de junio; 117/2011, de 4 de julio, y 161/2011, de 19 de octubre).</w:t>
      </w:r>
    </w:p>
    <w:p w:rsidR="0085709A" w:rsidRDefault="0085709A" w:rsidP="0085709A">
      <w:pPr>
        <w:pStyle w:val="TextoNormal"/>
      </w:pPr>
    </w:p>
    <w:p w:rsidR="0085709A" w:rsidRDefault="0085709A" w:rsidP="0085709A">
      <w:pPr>
        <w:pStyle w:val="TextoNormal"/>
      </w:pPr>
      <w:r>
        <w:t xml:space="preserve">Esta interpretación del Tribunal se ve reforzada, de acuerdo con lo previsto en el art. 10.2 CE, por el tenor del art. 21.1 de la Carta de los Derechos Fundamentales de la Unión Europea, que prohíbe expresamente toda discriminación por razón de la edad, referencia expresa </w:t>
      </w:r>
      <w:r>
        <w:lastRenderedPageBreak/>
        <w:t xml:space="preserve">que ha llevado al Tribunal de Justicia de la Unión Europea a reafirmar el carácter de “principio general del Derecho de la Unión” que alcanza esta concreta prohibición (Sentencia de la Gran Sala de 19 de enero de 2010, asunto C-555/07, </w:t>
      </w:r>
      <w:r w:rsidRPr="0085709A">
        <w:rPr>
          <w:i/>
        </w:rPr>
        <w:t>Kücükdeveci c. Swedex GmbH</w:t>
      </w:r>
      <w:r>
        <w:t>, FJ 21).</w:t>
      </w:r>
    </w:p>
    <w:p w:rsidR="0085709A" w:rsidRDefault="0085709A" w:rsidP="0085709A">
      <w:pPr>
        <w:pStyle w:val="TextoNormal"/>
      </w:pPr>
    </w:p>
    <w:p w:rsidR="0085709A" w:rsidRDefault="0085709A" w:rsidP="0085709A">
      <w:pPr>
        <w:pStyle w:val="TextoNormal"/>
      </w:pPr>
      <w:r w:rsidRPr="0085709A">
        <w:rPr>
          <w:rStyle w:val="NumeroAFNegritaCaracter"/>
        </w:rPr>
        <w:t>4</w:t>
      </w:r>
      <w:r>
        <w:t>. Una vez sentado que la edad, como factor al que alcanza la prohibición constitucional de discriminación, sólo puede fundar un tratamiento diferenciado cuando se cumplen rigurosas exigencias de justificación y proporcionalidad, debemos analizar las circunstancias concretas que se dan en este supuesto.</w:t>
      </w:r>
    </w:p>
    <w:p w:rsidR="0085709A" w:rsidRDefault="0085709A" w:rsidP="0085709A">
      <w:pPr>
        <w:pStyle w:val="TextoNormal"/>
      </w:pPr>
    </w:p>
    <w:p w:rsidR="0085709A" w:rsidRDefault="0085709A" w:rsidP="0085709A">
      <w:pPr>
        <w:pStyle w:val="TextoNormal"/>
      </w:pPr>
      <w:r>
        <w:t>Como se ha señalado en los antecedentes, el día 4 de mayo de 2012 el Instituto Valenciano de la Vivienda, S.A., llegó a un acuerdo con los representantes de los trabajadores por el que se decidió la extinción del contrato de trabajo de 211 empleados de esta entidad. Como también se ha destacado precedentemente, uno de los criterios para escoger a los despedidos era el de la edad, pues podían verse afectados por el expediente de regulación de empleo aquellos trabajadores que se encontraran más próximos a la edad de jubilación. De este modo, resultaron afectados todos los trabajadores de la empresa que tenían 55 o más años de edad, en concreto 35 trabajadores de un total de 211 despedidos, a quienes se les gestionó el convenio especial con la Seguridad Social. A la vista de este presupuesto fáctico, debemos determinar si la utilización de la edad como criterio de selección de los trabajadores afectados por el despido colectivo tuvo una justificación razonable y proporcionada.</w:t>
      </w:r>
    </w:p>
    <w:p w:rsidR="0085709A" w:rsidRDefault="0085709A" w:rsidP="0085709A">
      <w:pPr>
        <w:pStyle w:val="TextoNormal"/>
      </w:pPr>
    </w:p>
    <w:p w:rsidR="0085709A" w:rsidRDefault="0085709A" w:rsidP="0085709A">
      <w:pPr>
        <w:pStyle w:val="TextoNormal"/>
      </w:pPr>
      <w:r>
        <w:t>En este punto, hay que recordar que fueron dos las razones esgrimidas por la empresa para justificar el criterio referente a la edad. De una parte, la empresa señaló que la permanencia de los trabajadores más próximos a la edad de jubilación le era más gravosa, pues habían de cesar antes en su actividad laboral, lo que determinaría la necesidad de nuevas contrataciones con la consiguiente inversión en formación y aprendizaje; de otro lado, la entidad argumentó que esta medida era la que menos perjuicio podía ocasionar a los propios trabajadores, pues los que respondieran a aquel criterio se hallarían en una situación más próxima a la jubilación y tal circunstancia determinaría que la empresa suscribiera el convenio especial correspondiente con la Seguridad Social en los casos en que fuera preceptivo legalmente.</w:t>
      </w:r>
    </w:p>
    <w:p w:rsidR="0085709A" w:rsidRDefault="0085709A" w:rsidP="0085709A">
      <w:pPr>
        <w:pStyle w:val="TextoNormal"/>
      </w:pPr>
    </w:p>
    <w:p w:rsidR="0085709A" w:rsidRDefault="0085709A" w:rsidP="0085709A">
      <w:pPr>
        <w:pStyle w:val="TextoNormal"/>
      </w:pPr>
      <w:r>
        <w:t>Debemos, pues, determinar si estas dos razones constituyen un sacrificio proporcionado o si por el contrario carece de esa necesaria proporcionalidad para dar cobertura a la decisión empresarial desde el punto de vista de la prohibición de discriminación contenida en el art. 14 CE.</w:t>
      </w:r>
    </w:p>
    <w:p w:rsidR="0085709A" w:rsidRDefault="0085709A" w:rsidP="0085709A">
      <w:pPr>
        <w:pStyle w:val="TextoNormal"/>
      </w:pPr>
    </w:p>
    <w:p w:rsidR="0085709A" w:rsidRDefault="0085709A" w:rsidP="0085709A">
      <w:pPr>
        <w:pStyle w:val="TextoNormal"/>
      </w:pPr>
      <w:r w:rsidRPr="0085709A">
        <w:rPr>
          <w:rStyle w:val="NumeroAFNegritaCaracter"/>
        </w:rPr>
        <w:t>5</w:t>
      </w:r>
      <w:r>
        <w:t>. La primera razón aducida por el Instituto Valenciano de la Vivienda, S.A., se refiere, como acaba de exponerse, al ahorro de los costes de formación que la empresa habría de asumir una vez que los trabajadores afectados se jubilasen y que fuera necesario reemplazarlos. Hay que coincidir con el Ministerio Fiscal en que dicha razón carece de envergadura suficiente para justificar la diferencia de trato dada a las recurrentes por razón de su edad.</w:t>
      </w:r>
    </w:p>
    <w:p w:rsidR="0085709A" w:rsidRDefault="0085709A" w:rsidP="0085709A">
      <w:pPr>
        <w:pStyle w:val="TextoNormal"/>
      </w:pPr>
    </w:p>
    <w:p w:rsidR="0085709A" w:rsidRDefault="0085709A" w:rsidP="0085709A">
      <w:pPr>
        <w:pStyle w:val="TextoNormal"/>
      </w:pPr>
      <w:r>
        <w:t xml:space="preserve">En primer lugar, como señala la Fiscal ante el Tribunal Constitucional, los costes de formación derivados de la jubilación de cuatro trabajadores son escasamente significativos si se evalúan dentro de un procedimiento de despido colectivo que afecta a 211 trabajadores (procedimiento en el que se acordó, a su vez, la constitución de bolsas de trabajo). En el </w:t>
      </w:r>
      <w:r>
        <w:lastRenderedPageBreak/>
        <w:t>contexto de un expediente de regulación de empleo de semejantes proporciones, no es de extrañar que el Ministerio Fiscal califique estos costes de “retóricos”.</w:t>
      </w:r>
    </w:p>
    <w:p w:rsidR="0085709A" w:rsidRDefault="0085709A" w:rsidP="0085709A">
      <w:pPr>
        <w:pStyle w:val="TextoNormal"/>
      </w:pPr>
    </w:p>
    <w:p w:rsidR="0085709A" w:rsidRDefault="0085709A" w:rsidP="0085709A">
      <w:pPr>
        <w:pStyle w:val="TextoNormal"/>
      </w:pPr>
      <w:r>
        <w:t>De otro lado, es igualmente patente que el mero ahorro de estos costes futuros es un criterio de selección insuficiente, ya que no guarda proporción con el perjuicio que la situación de desempleo supone para los trabajadores afectados. Una selección de trabajadores realizada exclusivamente en atención a dichos costes entrañaría un sacrificio desproporcionado que no podría considerarse objetiva y razonablemente justificado. La primera razón aducida por la empresa no resulta, pues, convincente a efectos de justificar la diferencia de trato dada a las recurrentes de amparo por razón exclusiva de su edad.</w:t>
      </w:r>
    </w:p>
    <w:p w:rsidR="0085709A" w:rsidRDefault="0085709A" w:rsidP="0085709A">
      <w:pPr>
        <w:pStyle w:val="TextoNormal"/>
      </w:pPr>
    </w:p>
    <w:p w:rsidR="0085709A" w:rsidRDefault="0085709A" w:rsidP="0085709A">
      <w:pPr>
        <w:pStyle w:val="TextoNormal"/>
      </w:pPr>
      <w:r w:rsidRPr="0085709A">
        <w:rPr>
          <w:rStyle w:val="NumeroAFNegritaCaracter"/>
        </w:rPr>
        <w:t>6</w:t>
      </w:r>
      <w:r>
        <w:t>. La segunda justificación ofrecida por la empresa para utilizar la edad como criterio de selección de los trabajadores afectados por el expediente de regulación de empleo se refiere, como se ha expuesto anteriormente, al menor perjuicio que el despido supone para los trabajadores de más edad, dada la mayor protección social brindada a los mayores de cincuenta y cinco años.</w:t>
      </w:r>
    </w:p>
    <w:p w:rsidR="0085709A" w:rsidRDefault="0085709A" w:rsidP="0085709A">
      <w:pPr>
        <w:pStyle w:val="TextoNormal"/>
      </w:pPr>
    </w:p>
    <w:p w:rsidR="0085709A" w:rsidRDefault="0085709A" w:rsidP="0085709A">
      <w:pPr>
        <w:pStyle w:val="TextoNormal"/>
      </w:pPr>
      <w:r>
        <w:t>Entendemos que esta circunstancia sí puede convertir la edad próxima a la jubilación en un factor objetivo y no arbitrario de selección de los trabajadores afectados por el despido colectivo, siempre que se cumplan determinadas exigencias.</w:t>
      </w:r>
    </w:p>
    <w:p w:rsidR="0085709A" w:rsidRDefault="0085709A" w:rsidP="0085709A">
      <w:pPr>
        <w:pStyle w:val="TextoNormal"/>
      </w:pPr>
    </w:p>
    <w:p w:rsidR="0085709A" w:rsidRDefault="0085709A" w:rsidP="0085709A">
      <w:pPr>
        <w:pStyle w:val="TextoNormal"/>
      </w:pPr>
      <w:r>
        <w:t>En efecto, tal y como tempranamente señaló este Tribunal en relación con la fijación de una edad máxima de permanencia en el trabajo, el sacrificio personal y económico impuesto a determinados trabajadores por razón exclusiva de su edad sólo puede ser legítimo si se ve compensado de forma efectiva, de modo que no suponga una lesión desproporcionada en relación con los fines que persigue la medida adoptada (SSTC 22/1981, de 2 de julio, FJ 9, y 58/1985, de 30 de abril, FJ 7). Siguiendo esta misma línea de razonamiento, la selección de los trabajadores afectados por un despido colectivo en función del menor daño o perjuicio que la situación de desempleo conlleva para determinados sectores de edad, sólo puede considerarse legítima y proporcionada si se ve acompañada de medidas efectivas que atenúen los efectos negativos generados por la situación de desempleo, sin que en ningún caso pueda considerarse justificación suficiente del despido la mera proximidad de la edad de jubilación.</w:t>
      </w:r>
    </w:p>
    <w:p w:rsidR="0085709A" w:rsidRDefault="0085709A" w:rsidP="0085709A">
      <w:pPr>
        <w:pStyle w:val="TextoNormal"/>
      </w:pPr>
    </w:p>
    <w:p w:rsidR="0085709A" w:rsidRDefault="0085709A" w:rsidP="0085709A">
      <w:pPr>
        <w:pStyle w:val="TextoNormal"/>
      </w:pPr>
      <w:r>
        <w:t xml:space="preserve">De este modo, la selección de trabajadores en función de su edad próxima a la jubilación es un criterio adecuado y proporcionado siempre que se adopten medidas efectivas para evitar o minimizar los daños que la extinción de los contratos de trabajo produce en los afectados, de acuerdo con lo exigido por la propia legislación laboral. Así, conforme establece el art. 51.9 de la Ley del estatuto de los trabajadores, cuando se trate de procedimientos de despidos colectivos de empresas no incursas en procedimiento concursal, que incluyan trabajadores con cincuenta y cinco o más años de edad que no tuvieren la condición de mutualistas el 1 de enero de 1967, existe la obligación de abonar las cuotas destinadas a la financiación de un convenio especial en los términos previstos en la Ley general de la Seguridad Social (LGSS), lo que permite al trabajador generar el derecho a las prestaciones de Seguridad Social aunque no esté trabajando. En el supuesto ahora examinado, dicho convenio fue efectivamente suscrito para todas las recurrentes en amparo. En el mismo sentido, una vez agotada la prestación por desempleo los trabajadores mayores de 55 años que no </w:t>
      </w:r>
      <w:r>
        <w:lastRenderedPageBreak/>
        <w:t>tengan rentas de cualquier naturaleza superiores al 75 por 100 del salario mínimo interprofesional y que la renta media de su unidad familiar no supere tampoco esa cantidad, podrán percibir un subsidio por desempleo hasta cumplir la edad para acceder a la pensión de jubilación (art. 215.1.3 LGSS).</w:t>
      </w:r>
    </w:p>
    <w:p w:rsidR="0085709A" w:rsidRDefault="0085709A" w:rsidP="0085709A">
      <w:pPr>
        <w:pStyle w:val="TextoNormal"/>
      </w:pPr>
    </w:p>
    <w:p w:rsidR="0085709A" w:rsidRDefault="0085709A" w:rsidP="0085709A">
      <w:pPr>
        <w:pStyle w:val="TextoNormal"/>
      </w:pPr>
      <w:r>
        <w:t>Debe tenerse en cuenta, asimismo, que en el caso que nos ocupa la empresa estableció determinadas mejoras voluntarias de la prestación por desempleo para los trabajadores de mayor edad, que incrementaban su duración cuanto mayor fuera la edad del trabajador. En efecto, para los trabajadores entre 45 y 49 años, ambos inclusive, se pactó una cuota mensual bruta de 840 € desde el acceso a la prestación por desempleo durante el período máximo de seis meses; para los trabajadores entre 50 y 57 años de edad, ambos inclusive, se pactó, asimismo, una cuota mensual bruta de 840 € desde el acceso a la prestación por desempleo durante un período máximo total de ocho meses y medio, de forma que percibiera un importe de 840 € durante los primeros ocho meses y un noveno mes de 420 €; y trabajadores entre 58 y 61 años, una cuota mensual bruta de 840 € desde el acceso a la prestación por desempleo durante un período máximo de doce meses. De este modo, dicho complemento empresarial pretendía evitar que los trabajadores afectados sufrieran un perjuicio desproporcionado respecto de su situación en activo.</w:t>
      </w:r>
    </w:p>
    <w:p w:rsidR="0085709A" w:rsidRDefault="0085709A" w:rsidP="0085709A">
      <w:pPr>
        <w:pStyle w:val="TextoNormal"/>
      </w:pPr>
    </w:p>
    <w:p w:rsidR="0085709A" w:rsidRDefault="0085709A" w:rsidP="0085709A">
      <w:pPr>
        <w:pStyle w:val="TextoNormal"/>
      </w:pPr>
      <w:r>
        <w:t>De acuerdo con lo expuesto, la existencia de medidas efectivas llamadas a minimizar el perjuicio ocasionado al trabajador próximo a la edad de jubilación hace que el criterio de la edad resulte en el presente caso proporcionado, lo que nos conduce a concluir que la utilización de dicho criterio no vulneró el art. 14 CE al no constituir una discriminación por razón de edad.</w:t>
      </w:r>
    </w:p>
    <w:p w:rsidR="0085709A" w:rsidRDefault="0085709A" w:rsidP="0085709A">
      <w:pPr>
        <w:pStyle w:val="TextoNormal"/>
      </w:pPr>
    </w:p>
    <w:p w:rsidR="0085709A" w:rsidRDefault="0085709A" w:rsidP="0085709A">
      <w:pPr>
        <w:pStyle w:val="TextoNormal"/>
      </w:pPr>
      <w:r>
        <w:t>El motivo debe ser desestimado.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Denegar el amparo solicitado por doña Candelaria Martínez Martínez, doña Desamparados González Ortega, doña Amparo Palerm Eduardo y doña Luz Desamparados Cebrián Piqueras.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0" w:name="SENTENCIA_2015_67"/>
      <w:r>
        <w:lastRenderedPageBreak/>
        <w:t>SENTENCIA 67/2015, de 14 de abril de 2015</w:t>
      </w:r>
    </w:p>
    <w:bookmarkEnd w:id="70"/>
    <w:p w:rsidR="0085709A" w:rsidRDefault="0085709A" w:rsidP="0085709A">
      <w:pPr>
        <w:pStyle w:val="TtuloResolucin"/>
      </w:pPr>
      <w:r>
        <w:t>Pleno</w:t>
      </w:r>
    </w:p>
    <w:p w:rsidR="0085709A" w:rsidRDefault="0085709A" w:rsidP="0085709A">
      <w:pPr>
        <w:pStyle w:val="TtuloBOE"/>
      </w:pPr>
      <w:r>
        <w:t>(BOE núm. 122, de 22 de mayo de 2015)</w:t>
      </w:r>
    </w:p>
    <w:p w:rsidR="0085709A" w:rsidRDefault="0085709A" w:rsidP="0085709A">
      <w:pPr>
        <w:pStyle w:val="TextoNormalCentrado"/>
      </w:pPr>
      <w:r>
        <w:t>ECLI:ES:TC:2015:67</w:t>
      </w:r>
    </w:p>
    <w:p w:rsidR="0085709A" w:rsidRDefault="0085709A" w:rsidP="0085709A">
      <w:pPr>
        <w:pStyle w:val="TextoNormalCentrado"/>
      </w:pPr>
    </w:p>
    <w:p w:rsidR="0085709A" w:rsidRDefault="0085709A" w:rsidP="0085709A">
      <w:pPr>
        <w:pStyle w:val="SntesisDescriptiva"/>
      </w:pPr>
      <w:r>
        <w:t>Recurso de amparo 1713-2012. Promovido por Banco Santander, S.A., en relación con el Auto de la Sala de lo Contencioso-Administrativo del Tribunal Supremo que inadmitió su recurso de casación frente a Sentencia de la Audiencia Nacional sobre impuesto de sociedades.</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avocado número 1713-2012, promovido por Banco Santander S.A., representado por el Procurador de los Tribunales don Cesáreo Hidalgo Senén y asistido por el Abogado don Jesús Remón Peñalver, contra el Auto de la Sección Primera de la Sala de lo Contencioso-Administrativo del Tribunal Supremo de 10 de noviembre de 2011, </w:t>
      </w:r>
      <w:r>
        <w:lastRenderedPageBreak/>
        <w:t>que declaró la inadmisión del recurso de casación núm. 1504-2011, y contra la providencia de 7 de febrero de 2012 que inadmitió a trámite el incidente de nulidad de actuaciones promovido contra aquél. Ha comparecido el Abogado del Estado, en la representación que ostenta, y ha intervenido el Ministerio Fiscal.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23 de marzo de 2012, don Cesáreo Hidalgo Senén, Procurador de los Tribunales, actuando en nombre y representación de Banco Santander, S.A.,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en síntesis, los siguientes:</w:t>
      </w:r>
    </w:p>
    <w:p w:rsidR="0085709A" w:rsidRDefault="0085709A" w:rsidP="0085709A">
      <w:pPr>
        <w:pStyle w:val="TextoNormal"/>
      </w:pPr>
    </w:p>
    <w:p w:rsidR="0085709A" w:rsidRDefault="0085709A" w:rsidP="0085709A">
      <w:pPr>
        <w:pStyle w:val="TextoNormal"/>
      </w:pPr>
      <w:r>
        <w:t>a) La sociedad demandante de amparo interpuso recurso contencioso-administrativo contra la resolución del Tribunal Económico-administrativo Central, de 14 de septiembre de 2007, R.G.3806/04-R.S.29/06, relativo a la liquidación girada el 29 de julio de 2004 por la Oficina Nacional de Inspección de la Agencia Estatal de la Administración Tributaria en el impuesto sobre sociedades (régimen de declaración consolidada) del ejercicio 1999 (período: 1 de enero-16 de abril).</w:t>
      </w:r>
    </w:p>
    <w:p w:rsidR="0085709A" w:rsidRDefault="0085709A" w:rsidP="0085709A">
      <w:pPr>
        <w:pStyle w:val="TextoNormal"/>
      </w:pPr>
    </w:p>
    <w:p w:rsidR="0085709A" w:rsidRDefault="0085709A" w:rsidP="0085709A">
      <w:pPr>
        <w:pStyle w:val="TextoNormal"/>
      </w:pPr>
      <w:r>
        <w:t>b) En el seno del procedimiento ordinario núm. 449-2007, dictó Sentencia de 19 de enero de 2011 la Sección Segunda de la Sala de lo Contencioso-Administrativo de la Audiencia Nacional, confirmatoria de la resolución del Tribunal Económico-Administrativo Central.</w:t>
      </w:r>
    </w:p>
    <w:p w:rsidR="0085709A" w:rsidRDefault="0085709A" w:rsidP="0085709A">
      <w:pPr>
        <w:pStyle w:val="TextoNormal"/>
      </w:pPr>
    </w:p>
    <w:p w:rsidR="0085709A" w:rsidRDefault="0085709A" w:rsidP="0085709A">
      <w:pPr>
        <w:pStyle w:val="TextoNormal"/>
      </w:pPr>
      <w:r>
        <w:t>c) En fecha 7 de marzo de 2011, la representación procesal de Banco Santander, S.A., formalizó escrito de preparación de recurso de casación contra la Sentencia referida, anunciándolo al amparo del motivo d) del art. 88.1 de la Ley reguladora de la jurisdicción contencioso-administrativa (LJCA).</w:t>
      </w:r>
    </w:p>
    <w:p w:rsidR="0085709A" w:rsidRDefault="0085709A" w:rsidP="0085709A">
      <w:pPr>
        <w:pStyle w:val="TextoNormal"/>
      </w:pPr>
    </w:p>
    <w:p w:rsidR="0085709A" w:rsidRDefault="0085709A" w:rsidP="0085709A">
      <w:pPr>
        <w:pStyle w:val="TextoNormal"/>
      </w:pPr>
      <w:r>
        <w:t>Por providencia de 25 de mayo de 2011, la Sala de lo Contencioso-Administrativo del Tribunal Supremo acordó conceder a las partes del recurso de casación núm. 1504-2011 un plazo de diez días para que formularan alegaciones acerca de la posible concurrencia de la siguiente causa de inadmisión del recurso:</w:t>
      </w:r>
    </w:p>
    <w:p w:rsidR="0085709A" w:rsidRDefault="0085709A" w:rsidP="0085709A">
      <w:pPr>
        <w:pStyle w:val="TextoNormal"/>
      </w:pPr>
    </w:p>
    <w:p w:rsidR="0085709A" w:rsidRDefault="0085709A" w:rsidP="0085709A">
      <w:pPr>
        <w:pStyle w:val="TextoNormal"/>
      </w:pPr>
      <w:r>
        <w:t>“No haberse hecho indicación en el escrito de preparación del recurso, de las concretas infracciones normativas o jurisprudenciales que se desarrollarán en el escrito de interposición del recurso de casación (artículos 88.1, 89.1 y 93.2.a. de la LRJCA y Auto de la Sala de 10 de febrero de 2011, dictado en el recurso de casación 2927/2010).”</w:t>
      </w:r>
    </w:p>
    <w:p w:rsidR="0085709A" w:rsidRDefault="0085709A" w:rsidP="0085709A">
      <w:pPr>
        <w:pStyle w:val="TextoNormal"/>
      </w:pPr>
    </w:p>
    <w:p w:rsidR="0085709A" w:rsidRDefault="0085709A" w:rsidP="0085709A">
      <w:pPr>
        <w:pStyle w:val="TextoNormal"/>
      </w:pPr>
      <w:r>
        <w:t>La parte recurrente presentó alegaciones en dicho trámite mediante escrito de fecha 14 de junio de 2011, en el que solicitaba la admisión del recurso por haber cumplido los requisitos exigidos por la Sala de forma estable y consolidada en los escritos de preparación.</w:t>
      </w:r>
    </w:p>
    <w:p w:rsidR="0085709A" w:rsidRDefault="0085709A" w:rsidP="0085709A">
      <w:pPr>
        <w:pStyle w:val="TextoNormal"/>
      </w:pPr>
    </w:p>
    <w:p w:rsidR="0085709A" w:rsidRDefault="0085709A" w:rsidP="0085709A">
      <w:pPr>
        <w:pStyle w:val="TextoNormal"/>
      </w:pPr>
      <w:r>
        <w:t xml:space="preserve">d) Por Auto de 10 de noviembre de 2011, la Sala Tercera del Tribunal Supremo (Sección Primera) declaró la inadmisión del recurso de casación. La resolución se remite al ATS </w:t>
      </w:r>
      <w:r>
        <w:lastRenderedPageBreak/>
        <w:t>dictado en el recurso de casación núm. 2927-2010, a la vista de cuya doctrina concluye que, al no contener el escrito de preparación del recurso la cita de las infracciones normativas o jurisprudenciales denunciadas, procedía la inadmisión del mismo por su defectuosa preparación. En la referida resolución se argumenta: (i) que la exigencia de cita de las infracciones normativas o jurisprudenciales que se estiman infringidas responde a una concepción de la fase de preparación como trámite con sustantividad propia —que no constituye un mero formalismo carente de trascendencia y que persigue garantizar que la parte recurrida cuente desde un principio con la información necesaria para adoptar la posición procesal que estime pertinente—; (ii) que el cambio de criterio interpretativo operado por el Auto de 10 de febrero de 2011, dictado en el recurso de casación antes citado, culmina una evolución jurisprudencial dirigida a hacer efectiva esa concepción del trámite de preparación del recurso, lo que es perfectamente compatible con el carácter dinámico y adaptativo de la jurisprudencia, que ha de ajustarse a las nuevas realidades en las que se desenvuelven las relaciones jurídicas, y (iii) que la aplicación del nuevo criterio a todas las situaciones jurídicas pendientes de resolver, con independencia de la fecha de presentación del escrito de preparación, obedece al “mínimo efecto retroactivo” al que se ha referido el Tribunal Constitucional en el examen de los cambios jurisprudenciales.</w:t>
      </w:r>
    </w:p>
    <w:p w:rsidR="0085709A" w:rsidRDefault="0085709A" w:rsidP="0085709A">
      <w:pPr>
        <w:pStyle w:val="TextoNormal"/>
      </w:pPr>
    </w:p>
    <w:p w:rsidR="0085709A" w:rsidRDefault="0085709A" w:rsidP="0085709A">
      <w:pPr>
        <w:pStyle w:val="TextoNormal"/>
      </w:pPr>
      <w:r>
        <w:t>e) Contra el Auto de inadmisión de 10 de noviembre de 2011 fue promovido incidente de nulidad de actuaciones, invocándose el derecho a la tutela judicial efectiva en su vertiente de acceso a los recursos (art. 24.1 CE), siendo inadmitido dicho remedio procesal por providencia de 7 de febrero de 2012.</w:t>
      </w:r>
    </w:p>
    <w:p w:rsidR="0085709A" w:rsidRDefault="0085709A" w:rsidP="0085709A">
      <w:pPr>
        <w:pStyle w:val="TextoNormal"/>
      </w:pPr>
    </w:p>
    <w:p w:rsidR="0085709A" w:rsidRDefault="0085709A" w:rsidP="0085709A">
      <w:pPr>
        <w:pStyle w:val="TextoNormal"/>
      </w:pPr>
      <w:r w:rsidRPr="0085709A">
        <w:rPr>
          <w:rStyle w:val="NumeroAFNegritaCaracter"/>
        </w:rPr>
        <w:t>3</w:t>
      </w:r>
      <w:r>
        <w:t>. El recurrente estima que el Auto de 10 de noviembre de 2011 ha vulnerado su derecho a la tutela judicial efectiva (art. 24.1 CE), en su vertiente de acceso a los recursos. Según afirma, el escrito de preparación del recurso de casación del Banco de Santander, S.A., cumplía con las exigencias de la jurisprudencia consolidada de la Sala Tercera de lo Contencioso-Administrativo del Tribunal Supremo relativa a los escritos de preparación de la interposición de la casación. En consecuencia, la resolución recurrida, con su cambio de criterio, opera con base en una causa de inadmisión no prevista legalmente, que vulnera el contenido esencial del derecho a la tutela judicial efectiva y se aparta, de manera tan sorpresiva como inmotivada, del tenor literal de los preceptos legales que regulan el contenido del escrito de preparación y de la jurisprudencia constante y reiterada sobre el particular. La decisión de inadmisión descansa así en una fundamentación arbitraria e irrazonable que lesiona el derecho fundamental alegado.</w:t>
      </w:r>
    </w:p>
    <w:p w:rsidR="0085709A" w:rsidRDefault="0085709A" w:rsidP="0085709A">
      <w:pPr>
        <w:pStyle w:val="TextoNormal"/>
      </w:pPr>
    </w:p>
    <w:p w:rsidR="0085709A" w:rsidRDefault="0085709A" w:rsidP="0085709A">
      <w:pPr>
        <w:pStyle w:val="TextoNormal"/>
      </w:pPr>
      <w:r>
        <w:t>En segundo lugar, con infracción del principio general que deriva del art. 9.3 CE, el Auto recurrido aplica de forma retroactiva una novedosa doctrina sobre los requisitos formales del escrito de preparación del recurso de casación que, sin estar prevista en la Ley y contrariando la doctrina anterior, impide el acceso al recurso. En concreto, aplica ese cambio de criterio a la impugnación en casación de una sentencia recaída con anterioridad a la fijación de esa nueva posición jurisprudencial, puesto que la Sentencia de la Sala de lo Contencioso-Administrativo de la Audiencia Nacional contra la que se formuló el escrito de preparación de recurso de casación fue dictada el 19 de enero de 2011, mientras que la doctrina invocada por la Sala Tercera de lo Contencioso-Administrativo del Tribunal Supremo, determinante de la inadmisión del recurso de casación preparado, sólo se inició con el posterior Auto de aquella Sala, de 10 de febrero de 2011 (recurso de casación núm. 2927-2010).</w:t>
      </w:r>
    </w:p>
    <w:p w:rsidR="0085709A" w:rsidRDefault="0085709A" w:rsidP="0085709A">
      <w:pPr>
        <w:pStyle w:val="TextoNormal"/>
      </w:pPr>
    </w:p>
    <w:p w:rsidR="0085709A" w:rsidRDefault="0085709A" w:rsidP="0085709A">
      <w:pPr>
        <w:pStyle w:val="TextoNormal"/>
      </w:pPr>
      <w:r>
        <w:lastRenderedPageBreak/>
        <w:t>Finalmente, el Auto de inadmisión incurre también en un formalismo enervante del derecho a la tutela judicial efectiva, que olvida el mandato constitucional que impone interpretar la legalidad en el sentido más favorable a la efectividad de los derechos fundamentales, optando en cambio por una solución no favorable al acceso al recurso, contrario a la doctrina jurisprudencial del Tribunal Europeo de Derechos Humanos recaída en torno al art. 6.1 del Convenio europeo para la protección de los derechos humanos y de las libertades fundamentales.</w:t>
      </w:r>
    </w:p>
    <w:p w:rsidR="0085709A" w:rsidRDefault="0085709A" w:rsidP="0085709A">
      <w:pPr>
        <w:pStyle w:val="TextoNormal"/>
      </w:pPr>
    </w:p>
    <w:p w:rsidR="0085709A" w:rsidRDefault="0085709A" w:rsidP="0085709A">
      <w:pPr>
        <w:pStyle w:val="TextoNormal"/>
      </w:pPr>
      <w:r w:rsidRPr="0085709A">
        <w:rPr>
          <w:rStyle w:val="NumeroAFNegritaCaracter"/>
        </w:rPr>
        <w:t>4</w:t>
      </w:r>
      <w:r>
        <w:t>. Presentada la demanda de amparo, la Sala Segunda de este Tribunal, por Auto de 7 de noviembre de 2013, acordó declarar justificada la abstención para el conocimiento del presente recurso de amparo formulada por el Magistrado don Juan José González Rivas,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7 de noviembre de 2013, la Sala Segunda acordó admitir a trámite la demanda de amparo. Asimismo, en aplicación de lo dispuesto en el art. 51 de la Ley Orgánica del Tribunal Constitucional (LOTC), acordó dirigir atenta comunicación al Tribunal Supremo y a la Audiencia Nacional a fin de que, en el plazo de diez días, remitieran, respectivamente, certificación o fotocopia adverada de las actuaciones correspondientes al recurso de casación núm. 1504-2011 y al procedimiento ordinario núm. 449-2007, debiendo previamente emplazarse para que pudieran comparecer en el recurso de amparo, en el término de diez días, a quienes hubieran sido parte en el procedimiento, excepto a la parte recurrente.</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Segunda de este Tribunal, de fecha 2 de diciembre de 2013, se tuvieron por recibidos los testimonios de las actuaciones, remitidos por el Tribunal Supremo y por la Audiencia Nacional, así como por personado y parte al Abogado del Estado, en la representación que ostenta, como solicitó éste en escrito registrado el día 21 de noviembre de 2013.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presentó sus alegaciones mediante escrito registrado el 18 de diciembre de 2013, en el que interesa que se dicte sentencia estimatoria por vulneración del art. 24.1 CE. Entiende incumplidas “las exigencias mínimas de confianza legítima de los justiciables”. A su juicio, las nuevas máximas jurisprudenciales contenidas en el ATS de 10 de febrero de 2011 se han aplicado en perjuicio del recurrente, que había preparado la casación antes de que se pudiera conocer aquella innovadora resolución, de manera que su recurso de casación fue inadmitido en virtud de nuevas “exigencias” jurisprudenciales que razonablemente no se conocían al tiempo de su preparación. La razonable expectativa o confianza legítima sobre la admisión de un recurso de casación preparado de acuerdo con los requisitos de forma exigidos por la jurisprudencia en el momento de presentar el escrito de preparación, por tanto, se vio sorpresivamente frustrada por la aplicación retrospectiva de las nuevas máximas jurisprudenciales, sin dar oportunidad procesal ninguna de ajustar el escrito ya presentado a las nuevas exigencias.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8</w:t>
      </w:r>
      <w:r>
        <w:t>. En fecha 27 de diciembre de 2013 se registró en este Tribunal el escrito de alegaciones de la sociedad recurrente de amparo, en el que insiste y desarrolla con nuevas referencias jurisprudenciales las alegaciones ya contenidas en su demanda de amparo.</w:t>
      </w:r>
    </w:p>
    <w:p w:rsidR="0085709A" w:rsidRDefault="0085709A" w:rsidP="0085709A">
      <w:pPr>
        <w:pStyle w:val="TextoNormal"/>
      </w:pPr>
    </w:p>
    <w:p w:rsidR="0085709A" w:rsidRDefault="0085709A" w:rsidP="0085709A">
      <w:pPr>
        <w:pStyle w:val="TextoNormal"/>
      </w:pPr>
      <w:r w:rsidRPr="0085709A">
        <w:rPr>
          <w:rStyle w:val="NumeroAFNegritaCaracter"/>
        </w:rPr>
        <w:t>9</w:t>
      </w:r>
      <w:r>
        <w:t>. El Ministerio Fiscal evacuó el trámite mediante escrito registrado el 15 de enero de 2014, interesando la desestimación del recurso. A su parecer, el Auto dictado por la Sección Primera de la Sala de lo Contencioso-Administrativo del Tribunal Supremo constituye una resolución debidamente motivada, que no está incursa ni en error patente, ni en irrazonabilidad, ni en arbitrariedad. Por lo demás, advierte, cuando la parte ahora demandante de amparo formuló su escrito de preparación del recurso de casación —el día 7 de marzo de 2011— ya se hallaba vigente la nueva doctrina jurisprudencial iniciada por el ATS de 10 de febrero de 2011, recaído en el recurso de casación núm. 2927-2010, por lo que nada ha de extrañar que la Sección Primera de la Sala de lo Contencioso-Administrativo del Tribunal Supremo aplicara la nueva doctrina a un recurso de casación preparado en vigencia de aquélla.</w:t>
      </w:r>
    </w:p>
    <w:p w:rsidR="0085709A" w:rsidRDefault="0085709A" w:rsidP="0085709A">
      <w:pPr>
        <w:pStyle w:val="TextoNormal"/>
      </w:pPr>
    </w:p>
    <w:p w:rsidR="0085709A" w:rsidRDefault="0085709A" w:rsidP="0085709A">
      <w:pPr>
        <w:pStyle w:val="TextoNormal"/>
      </w:pPr>
      <w:r w:rsidRPr="0085709A">
        <w:rPr>
          <w:rStyle w:val="NumeroAFNegritaCaracter"/>
        </w:rPr>
        <w:t>10</w:t>
      </w:r>
      <w:r>
        <w:t>. La Sala Segunda de este Tribunal, por Auto de 6 de noviembre de 2014, acordó declarar justificada la abstención para el conocimiento del presente recurso de amparo formulada por el Magistrado don Ricardo Enríquez Sancho,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11</w:t>
      </w:r>
      <w:r>
        <w:t>. El Pleno de este Tribunal, mediante providencia de 17 de marzo de 2015, acordó, de conformidad con el art. 10.1 n) LOTC, a propuesta de la Sala Segunda, recabar para sí el conocimiento de este recurso de amparo.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del presente recurso es determinar si ha vulnerado el derecho a la tutela judicial efectiva (art. 24.1 CE), desde la perspectiva del derecho de acceso al recurso, la decisión judicial de inadmitir el recurso de casación contencioso-administrativo por no haberse citado en el escrito de preparación los concretos preceptos o la jurisprudencia que se reputan infringidos, y todo ello: (a) por referirse a una causa de inadmisión sin cobertura legal; b) porque la nueva exigencia constituye un requisito que no era conocido ni predecible a tenor de la jurisprudencia aplicable en el momento en que se presentó el escrito de preparación y (c) por incurrir la decisión adoptada en un formalismo enervante, que olvida el mandato constitucional que impone interpretar la legalidad en el sentido más favorable a la efectividad de los derechos fundamentales.</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de noviembre de 2003; e </w:t>
      </w:r>
      <w:r w:rsidRPr="0085709A">
        <w:rPr>
          <w:i/>
        </w:rPr>
        <w:t>Ipamark c. España</w:t>
      </w:r>
      <w:r>
        <w:t>,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anteriormente indicada persigue garantizar que la parte recurrida cuente desde </w:t>
      </w:r>
      <w:r>
        <w:lastRenderedPageBreak/>
        <w:t>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la excepción que, por disposición legal, establezca el efecto exclusivamente prospectivo de la sentencia, como así se prevé en el art. 100.7 LJCA en el recurso de casación en interés de ley).</w:t>
      </w:r>
    </w:p>
    <w:p w:rsidR="0085709A" w:rsidRDefault="0085709A" w:rsidP="0085709A">
      <w:pPr>
        <w:pStyle w:val="TextoNormal"/>
      </w:pPr>
    </w:p>
    <w:p w:rsidR="0085709A" w:rsidRDefault="0085709A" w:rsidP="0085709A">
      <w:pPr>
        <w:pStyle w:val="TextoNormal"/>
      </w:pPr>
      <w: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w:t>
      </w:r>
      <w:r>
        <w:lastRenderedPageBreak/>
        <w:t>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Banco de Santander, S.A.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abril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Fernando Valdés Dal-Ré y don Juan Antonio Xiol Ríos a la Sentencia dictada en el recurso de amparo avocado núm. 1713-2012.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las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catorce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1" w:name="SENTENCIA_2015_68"/>
      <w:r>
        <w:lastRenderedPageBreak/>
        <w:t>SENTENCIA 68/2015, de 14 de abril de 2015</w:t>
      </w:r>
    </w:p>
    <w:bookmarkEnd w:id="71"/>
    <w:p w:rsidR="0085709A" w:rsidRDefault="0085709A" w:rsidP="0085709A">
      <w:pPr>
        <w:pStyle w:val="TtuloResolucin"/>
      </w:pPr>
      <w:r>
        <w:t>Pleno</w:t>
      </w:r>
    </w:p>
    <w:p w:rsidR="0085709A" w:rsidRDefault="0085709A" w:rsidP="0085709A">
      <w:pPr>
        <w:pStyle w:val="TtuloBOE"/>
      </w:pPr>
      <w:r>
        <w:t>(BOE núm. 122, de 22 de mayo de 2015)</w:t>
      </w:r>
    </w:p>
    <w:p w:rsidR="0085709A" w:rsidRDefault="0085709A" w:rsidP="0085709A">
      <w:pPr>
        <w:pStyle w:val="TextoNormalCentrado"/>
      </w:pPr>
      <w:r>
        <w:t>ECLI:ES:TC:2015:68</w:t>
      </w:r>
    </w:p>
    <w:p w:rsidR="0085709A" w:rsidRDefault="0085709A" w:rsidP="0085709A">
      <w:pPr>
        <w:pStyle w:val="TextoNormalCentrado"/>
      </w:pPr>
    </w:p>
    <w:p w:rsidR="0085709A" w:rsidRDefault="0085709A" w:rsidP="0085709A">
      <w:pPr>
        <w:pStyle w:val="SntesisDescriptiva"/>
      </w:pPr>
      <w:r>
        <w:t>Recurso de amparo 2604-2012. Promovido por Promotora de Informaciones, S.A., en relación con el Auto de la Sala de lo Contencioso-Administrativo del Tribunal Supremo que inadmitió su recurso de casación frente a Sentencia de la Audiencia Nacional sobre impuesto de sociedades.</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2604-2012, promovido por la mercantil PROMOTORA DE INFORMACIONES, S.A., representada por el Procurador de los Tribunales don Argimiro Vázquez Guillén y defendida por el Letrado don Carlos Casanova Caballero, contra el </w:t>
      </w:r>
      <w:r>
        <w:lastRenderedPageBreak/>
        <w:t>Auto de la Sección Primera de la Sala de lo Contencioso-Administrativo del Tribunal Supremo, de 26 de enero de 2012, que declaró la inadmisión del recurso de casación núm. 1495-2011, interpuesto contra la Sentencia de la Sección Segunda de la Sala de lo Contencioso-Administrativo de la Audiencia Nacional de 16 de febrero de 2011, y contra la providencia de 16 de abril de 2012 que inadmitió a trámite el incidente de nulidad de actuaciones promovido contra aquel Auto. Ha sido parte el Abogado del Estado, en la representación que ostenta, y ha intervenido el Ministerio Fiscal.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4 de mayo de 2012 el Procurador de los Tribunales don Argimiro Vázquez Guillén, actuando en nombre y representación de la mercantil Promotora de Informaciones, S.A., formuló demanda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relevantes para la resolución del presente recurso de amparo son, sucintamente expuestos, los siguientes:</w:t>
      </w:r>
    </w:p>
    <w:p w:rsidR="0085709A" w:rsidRDefault="0085709A" w:rsidP="0085709A">
      <w:pPr>
        <w:pStyle w:val="TextoNormal"/>
      </w:pPr>
    </w:p>
    <w:p w:rsidR="0085709A" w:rsidRDefault="0085709A" w:rsidP="0085709A">
      <w:pPr>
        <w:pStyle w:val="TextoNormal"/>
      </w:pPr>
      <w:r>
        <w:t>a) La sociedad demandante de amparo interpuso recurso contencioso-administrativo contra la resolución del Tribunal Económico-Administrativo Central de 31 de enero de 2008, que estimó parcialmente las reclamaciones económico-administrativas formuladas en materia de impuesto sobre sociedades. Seguido el procedimiento por sus trámites con el núm. 56-2008, la Sección Segunda de la Sala de lo Contencioso-Administrativo de la Audiencia Nacional dictó con fecha 16 de febrero de 2011 Sentencia parcialmente estimatoria, en la que confirmó la resolución del Tribunal Económico-Administrativo Central en todos sus extremos excepto en el relativo a la sanción impuesta, que dejó sin efecto.</w:t>
      </w:r>
    </w:p>
    <w:p w:rsidR="0085709A" w:rsidRDefault="0085709A" w:rsidP="0085709A">
      <w:pPr>
        <w:pStyle w:val="TextoNormal"/>
      </w:pPr>
    </w:p>
    <w:p w:rsidR="0085709A" w:rsidRDefault="0085709A" w:rsidP="0085709A">
      <w:pPr>
        <w:pStyle w:val="TextoNormal"/>
      </w:pPr>
      <w:r>
        <w:t>b) Contra la anterior Sentencia la mercantil demandante de amparo preparó el 2 de marzo de 2011 recurso de casación, en el que puso de manifiesto la intención de interponerlo, la legitimación de la parte recurrente, el cumplimiento del plazo para la presentación del escrito, el carácter recurrible de la resolución impugnada y la suficiencia de la cuantía para el acceso a la casación. Añadió la precisión de que el recurso se sustentaba en los motivos enumerados en el art. 88.1 de la Ley reguladora de la jurisdicción contencioso-administrativa (LJCA), apartados c), por infracción de las normas reguladoras de la Sentencia (incongruencia), y d), por infracción de las normas del ordenamiento jurídico, concretamente de las Leyes 43/1995, de 27 de diciembre, reguladora del impuesto sobre sociedades, 230/1963, de 28 de diciembre, general tributaria, y 1/1998, de 26 de febrero, de derechos y garantías de los contribuyentes. El recurso fue tenido por preparado por diligencia de ordenación del Secretario de la Sala de lo Contencioso-Administrativo de la Audiencia Nacional de 4 de marzo de 2011, y las partes quedaron emplazadas para comparecer ante la Sala de lo Contencioso-Administrativo del Tribunal Supremo.</w:t>
      </w:r>
    </w:p>
    <w:p w:rsidR="0085709A" w:rsidRDefault="0085709A" w:rsidP="0085709A">
      <w:pPr>
        <w:pStyle w:val="TextoNormal"/>
      </w:pPr>
    </w:p>
    <w:p w:rsidR="0085709A" w:rsidRDefault="0085709A" w:rsidP="0085709A">
      <w:pPr>
        <w:pStyle w:val="TextoNormal"/>
      </w:pPr>
      <w:r>
        <w:t>c) El 31 de marzo de 2011 la sociedad demandante de amparo formalizó ante el Tribunal Supremo el recurso de casación, que se registró con el núm. 1495-2011 y que fue tenido por interpuesto mediante providencia de 5 de abril de 2011.</w:t>
      </w:r>
    </w:p>
    <w:p w:rsidR="0085709A" w:rsidRDefault="0085709A" w:rsidP="0085709A">
      <w:pPr>
        <w:pStyle w:val="TextoNormal"/>
      </w:pPr>
    </w:p>
    <w:p w:rsidR="0085709A" w:rsidRDefault="0085709A" w:rsidP="0085709A">
      <w:pPr>
        <w:pStyle w:val="TextoNormal"/>
      </w:pPr>
      <w:r>
        <w:lastRenderedPageBreak/>
        <w:t>d) Por providencia de 13 de junio de 2011 la Sección Primera de la Sala de lo Contencioso-Administrativo del Tribunal Supremo acordó poner de manifiesto a las partes para alegaciones la posible concurrencia de la causa de inadmisión consistente en “no haber hecho indicación en el escrito de preparación del recurso de las correspondientes infracciones normativas o jurisprudenciales que se desarrollarán en el escrito de interposición (artículos 88.1, 89.1 y 93.2.a de la LRJCA y Auto de la Sala de 10 de febrero de 2011, dictado en el recurso de casación 2927/10), no siendo adecuada a tal efecto la cita de normas jurídicas completas”. El trámite fue cumplido por la demandante de amparo, que interesó la admisión y tramitación del recurso.</w:t>
      </w:r>
    </w:p>
    <w:p w:rsidR="0085709A" w:rsidRDefault="0085709A" w:rsidP="0085709A">
      <w:pPr>
        <w:pStyle w:val="TextoNormal"/>
      </w:pPr>
    </w:p>
    <w:p w:rsidR="0085709A" w:rsidRDefault="0085709A" w:rsidP="0085709A">
      <w:pPr>
        <w:pStyle w:val="TextoNormal"/>
      </w:pPr>
      <w:r>
        <w:t>e) El Tribunal Supremo dictó el Auto de 26 de enero de 2012, por el que declaró la inadmisión del recurso de casación interpuesto por la demandante. La Sala se remitió al ATS de 10 de febrero de 2011, reiterado por los AATS de 12 de mayo y 16 de junio de 2011, del que transcribió varios de sus fundamentos a la vista de los cuales concluyó que, no habiéndose citado en el escrito de preparación del recurso formalizado por la sociedad recurrente las infracciones normativas o jurisprudenciales que iban a desarrollarse en el escrito de interposición, puesto que se limitaba a anunciar que el recurso se fundaría en los motivos enumerados en el artículo 88.1 LJCA, expresando el contenido de sus apartados c) y d), y respecto a este último apartado citando genéricamente textos legales (Ley 43/1995, de 27 de diciembre, reguladora del impuesto sobre sociedades; Ley 230/1963, de 28 de diciembre, general tributaria; y Ley 1/1998, de 26 de febrero, de derechos y garantías de los contribuyentes), procedía declarar la inadmisión del recurso de casación.</w:t>
      </w:r>
    </w:p>
    <w:p w:rsidR="0085709A" w:rsidRDefault="0085709A" w:rsidP="0085709A">
      <w:pPr>
        <w:pStyle w:val="TextoNormal"/>
      </w:pPr>
    </w:p>
    <w:p w:rsidR="0085709A" w:rsidRDefault="0085709A" w:rsidP="0085709A">
      <w:pPr>
        <w:pStyle w:val="TextoNormal"/>
      </w:pPr>
      <w:r>
        <w:t xml:space="preserve">f) El 27 de febrero de 2012 la sociedad demandante de amparo promovió incidente de nulidad de actuaciones en el que denunció la vulneración del derecho a la tutela judicial efectiva en su vertiente de acceso a los recursos (art. 24.1 CE). Con cita de la doctrina constitucional sobre el derecho fundamental concernido, sostuvo que la Sala debía realizar una interpretación favorable a la admisión del recurso cuando, aun apreciando defectos formales, éstos eran no impeditivos u obstativos y que, aplicando el principio antiformalista, </w:t>
      </w:r>
      <w:r w:rsidRPr="0085709A">
        <w:rPr>
          <w:i/>
        </w:rPr>
        <w:t>favor acti</w:t>
      </w:r>
      <w:r>
        <w:t xml:space="preserve"> y </w:t>
      </w:r>
      <w:r w:rsidRPr="0085709A">
        <w:rPr>
          <w:i/>
        </w:rPr>
        <w:t>pro actione</w:t>
      </w:r>
      <w:r>
        <w:t>, debía considerar subsanable la omisión. Añadió que la interpretación del Tribunal Supremo era fruto de un formalismo excesivo y claramente desproporcionada en relación con los intereses sacrificados, procediendo que entrara a conocer al menos del motivo articulado sobre el apartado d) del art. 88.1 LJCA, al constar de manera indubitada la normativa que se consideraba vulnerada por la Sentencia de instancia y al no existir contradicción entre el escrito de preparación y el de interposición del recurso.</w:t>
      </w:r>
    </w:p>
    <w:p w:rsidR="0085709A" w:rsidRDefault="0085709A" w:rsidP="0085709A">
      <w:pPr>
        <w:pStyle w:val="TextoNormal"/>
      </w:pPr>
    </w:p>
    <w:p w:rsidR="0085709A" w:rsidRDefault="0085709A" w:rsidP="0085709A">
      <w:pPr>
        <w:pStyle w:val="TextoNormal"/>
      </w:pPr>
      <w:r>
        <w:t xml:space="preserve">g) El incidente fue inadmitido a trámite por providencia de la Sección Primera de la Sala de lo Contencioso-Administrativo del Tribunal Supremo de 16 de abril de 2012, en la que se señala que la demandante expresa su discrepancia con la declaración de inadmisión del recurso y con los razonamientos jurídicos que fundan dicho pronunciamiento utilizando el incidente como si se tratara de un recurso de súplica, y que la invocación del principio constitucional alegado no puede servir de excusa para soslayar la aplicación de la ley, en este caso de la que establece las reglas para la correcta preparación del recurso de casación; añade que el derecho de acceso al recurso es un derecho de configuración legal, razón por la cual la inadmisión de un recurso en aplicación de sus requisitos interpretados de modo no irrazonable y motivadamente no lesiona el indicado derecho; por último, que la interpretación de las normas legales que regulan las causas de inadmisión constituye una función jurisdiccional de exclusiva competencia de los jueces y tribunales que sólo trasciende al </w:t>
      </w:r>
      <w:r>
        <w:lastRenderedPageBreak/>
        <w:t>plano constitucional en el caso de que el Tribunal incurra en error patente, arbitrariedad o manifiesta irracionalidad.</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En la demanda de amparo se reprocha al Auto de inadmisión del recurso de casación la vulneración del derecho de la recurrente a la tutela judicial efectiva (art. 24.1 CE) en su vertiente del derecho de acceso a los recursos. Razona que la Ley jurisdiccional no exige en su art. 88.1 d) que se citen los “preceptos” sino las “normas” que se consideran infringidas, requisito que fue cumplido en el escrito de preparación; sostiene que, de existir la omisión, sería subsanable como declaró la STS de 5 de noviembre de 1996; que el Auto es contrario al principio antiformalista y </w:t>
      </w:r>
      <w:r w:rsidRPr="0085709A">
        <w:rPr>
          <w:i/>
        </w:rPr>
        <w:t>favor acti</w:t>
      </w:r>
      <w:r>
        <w:t xml:space="preserve">, y que el principio </w:t>
      </w:r>
      <w:r w:rsidRPr="0085709A">
        <w:rPr>
          <w:i/>
        </w:rPr>
        <w:t>pro actione</w:t>
      </w:r>
      <w:r>
        <w:t xml:space="preserve"> permite a la Sala valorar conjuntamente los escritos de preparación y de interposición; que el Tribunal Supremo había declarado que esta exigencia no era aplicable a las Sentencias dictadas por la Audiencia Nacional; que la interpretación del Tribunal Supremo es rigorista y desproporcionada e incurre en un excesivo formalismo que incumple la doctrina del Tribunal Constitucional y del Tribunal Europeo de Derechos Humanos que cita; que ya se garantizaba el derecho de la parte demandada a conocer el contenido y alcance del recurso; que no existe incongruencia o discrepancia entre el escrito de preparación y el escrito de interposición; y que el Tribunal pudo haber entrado a conocer al menos del motivo articulado en el apartado d) del art. 88.1 LJCA.</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22 de octubre de 2013, el Magistrado de este Tribunal don Juan José González Rivas solicitó que se le tuviera por abstenido en el presente recurso, dada la concurrencia de la causa de abstención prevista en el art. 219.11 de la Ley Orgánica del Poder Judicial (LOPJ), habida cuenta de que formó parte de la Sección Primera de la Sala Tercera del Tribunal Supremo, que dictó el Auto de inadmisión de 26 de enero de 2012, del que trae causa el presente recurso de amparo. Por ATC 246/2013, de 28 de octubre, la Sala Segunda de este Tribunal estimó justificada la abstención formulada por el Magistrado don Juan José González Rivas, apartándole definitivamente del conocimiento del presente recurso de amparo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5 de diciembre de 2013 la Sala Segunda del Tribunal Constitucional acordó admitir a trámite la demanda de amparo. Asimismo, en aplicación de lo dispuesto en el art. 51 de la Ley Orgánica del Tribunal Constituciional (LOTC), acordó dirigir atenta comunicación a la Sección Primera de la Sala de lo Contencioso-Administrativo del Tribunal Supremo y a la Sección Cuarta de la Sala de lo Contencioso-Administrativo de la Audiencia Nacional, así como al Tribunal Económico-Administrativo Central, a fin de que, en el plazo de diez días, remitieran certificación o fotocopia adverada de las actuaciones correspondientes al recurso de casación núm. 1495-2011, al procedimiento ordinario núm. 56-2008 y a la resolución de fecha 31 de enero de 2008,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26 de diciembre de 2013, el Abogado del Estado, en la representación que ostenta,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7</w:t>
      </w:r>
      <w:r>
        <w:t>. Por diligencia de ordenación de la Secretaría de Justicia de la Sala Segunda de este Tribunal de fecha 18 de junio de 2014 se tuvo por personado y parte en el procedimiento al Abogado del Estado y se acordó dar vista de las actuaciones recibidas a las partes personadas y al Ministerio Fiscal, por plazo común de veinte días, para que dentro de dicho término pudieran presentar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La representación procesal de la sociedad demandante de amparo formuló sus alegaciones mediante escrito de 8 de julio de 2014 en el que solicitó la estimación del recurso y que se “ordene al Tribunal Supremo [que] entre a conocer del fondo del Recurso de casación núm. 1495/2011”. La recurrente reitera las alegaciones contenidas en la demanda de amparo, y destaca el rigorismo en que incurre el Tribunal Supremo al aplicar a un recurso de casación interpuesto contra una Sentencia dictada por la Audiencia Nacional el 16 de febrero de 2011 la nueva jurisprudencia contenida en el ATS dictado el 10 de febrero de 2011. Añade que los requisitos exigidos no se contienen en los arts. 88 y 89 LJCA y que no son necesarios para los fines que se alegan, puesto que ni los requiere el Tribunal </w:t>
      </w:r>
      <w:r w:rsidRPr="0085709A">
        <w:rPr>
          <w:i/>
        </w:rPr>
        <w:t>a quo</w:t>
      </w:r>
      <w:r>
        <w:t xml:space="preserve">  para verificar que el recurso cumple los requisitos de procedibilidad ni los precisa la parte recurrida para adoptar su posición procesal en aras de evitar una posible indefensión.</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presentó sus alegaciones mediante escrito registrado el 10 de julio de 2014, en el que interesa que se dicte Sentencia otorgando el amparo pretendido. Tras resumir la doctrina constitucional sobre la inadmisión del recurso de casación en el orden contencioso-administrativo por defectos insubsanables del escrito de preparación, analiza el art. 89.1 LJCA y, en especial, el contenido de la expresión “los requisitos de forma exigidos” y razona que no son exclusivamente los que figuran con claridad en la ley sino también “los que el tribunal de casación pueda añadir al interpretar y aplicar la ley procesal sin desbordar los límites constitucionales, lo que equivale a decir sin arbitrariedad o irrazonabilidad”. Concluye que, aunque es muy discutible, no puede calificarse de arbitraria o irrazonable la exigencia de anticipar en el escrito de preparación del recurso las concretas infracciones normativas o jurisprudenciales que pretenden desarrollarse en el escrito de interposición, también cuando se recurran Sentencias dictadas por la Audiencia Nacional. No obstante lo anterior, aprecia que la aplicación retroactiva de las nuevas máximas jurisprudenciales contenidas en el ATS de 10 de febrero de 2011, inexistentes o de imposible conocimiento cuando se presentó el escrito de preparación del recurso de casación, sin dar oportunidad de ajustar el escrito a las nuevas exigencias, constituye una aplicación irrazonable, por contraria a la confianza legítima, de aquellos requisitos, que comporta una vulneración del derecho de acceso a los recursos.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10</w:t>
      </w:r>
      <w:r>
        <w:t xml:space="preserve">. El Ministerio Fiscal presentó sus alegaciones mediante escrito registrado el 18 de julio de 2014 en el que, a la vista de la doctrina del Tribunal Constitucional sobre el acceso a los recursos que recoge, interesó que se desestimara el recurso de amparo. Sistematiza el Fiscal la evolución de la doctrina del Tribunal Supremo sobre los requisitos que debe reunir el escrito de preparación del recurso de casación, señalando como uno de los hitos de esta </w:t>
      </w:r>
      <w:r>
        <w:lastRenderedPageBreak/>
        <w:t xml:space="preserve">evolución el ATS 144/2010, de 14 de octubre, a cuyos requerimientos se ajustó la demandante de amparo al preparar su recurso de casación el 10 de enero de 2011. Ahora bien, el posterior ATS 2371/2011, de 10 de febrero, cambió la doctrina hasta entonces existente en el sentido de exigir, también para los recursos contra Sentencias de la Audiencia Nacional, que en el escrito de preparación se especifique el concreto o concretos motivos en que se fundará el recurso, con indicación de los concretos preceptos o jurisprudencia que se reputan infringidos o del contenido de las infracciones normativas o jurisprudenciales que se pretendan denunciar y desarrollar en el escrito de interposición del recurso de casación, aunque sea en forma sucinta. Tal doctrina fue aplicada en el caso ahora controvertido y es la que ha de enjuiciarse de acuerdo con el canon de acceso al recurso, no regido por el principio </w:t>
      </w:r>
      <w:r w:rsidRPr="0085709A">
        <w:rPr>
          <w:i/>
        </w:rPr>
        <w:t>pro actione</w:t>
      </w:r>
      <w:r>
        <w:t xml:space="preserve"> sino por el de la racionalidad y la interdicción de la arbitrariedad y el error patente.</w:t>
      </w:r>
    </w:p>
    <w:p w:rsidR="0085709A" w:rsidRDefault="0085709A" w:rsidP="0085709A">
      <w:pPr>
        <w:pStyle w:val="TextoNormal"/>
      </w:pPr>
    </w:p>
    <w:p w:rsidR="0085709A" w:rsidRDefault="0085709A" w:rsidP="0085709A">
      <w:pPr>
        <w:pStyle w:val="TextoNormal"/>
      </w:pPr>
      <w:r>
        <w:t>Pues bien, considera el Fiscal que las razones ofrecidas en el Auto impugnado, descartado el error patente que nadie esgrime, configuran una resolución motivada que no puede tildarse de arbitraria ni de irrazonable, y que la exigencia de especificar las concretas infracciones legales o jurisprudenciales fluye con naturalidad del propio tenor de los apartados c) y d) del art. 88.1 LJCA que regulan precisamente los motivos de casación esgrimidos en el escrito de preparación del recurso, relativos a las infracciones de las normas reguladoras de la Sentencia o de las que rigen los actos y garantías procesales y a la infracción de las normas del ordenamiento jurídico o de la jurisprudencia que fueran aplicables para resolver las cuestiones objeto de debate. Sostiene el Fiscal que no resulta irrazonable que tales normas o jurisprudencia se concreten al preparar el recurso.</w:t>
      </w:r>
    </w:p>
    <w:p w:rsidR="0085709A" w:rsidRDefault="0085709A" w:rsidP="0085709A">
      <w:pPr>
        <w:pStyle w:val="TextoNormal"/>
      </w:pPr>
    </w:p>
    <w:p w:rsidR="0085709A" w:rsidRDefault="0085709A" w:rsidP="0085709A">
      <w:pPr>
        <w:pStyle w:val="TextoNormal"/>
      </w:pPr>
      <w:r w:rsidRPr="0085709A">
        <w:rPr>
          <w:rStyle w:val="NumeroAFNegritaCaracter"/>
        </w:rPr>
        <w:t>11</w:t>
      </w:r>
      <w:r>
        <w:t>. Por escrito de fecha 4 de noviembre de 2014, el Magistrado de este Tribunal don Ricardo Enríquez Sancho solicitó que se le tuviera por abstenido en el presente recurso, dada la concurrencia de la causa de abstención prevista en el art. 219.11 LOPJ, habida cuenta de que formó parte de la Sección Primera de la Sala Tercera del Tribunal Supremo que dictó el Auto de 26 de enero de 2012, del que trae causa el presente recurso de amparo. Mediante ATC 272/2014, de 6 de noviembre, la Sala Segunda de este Tribunal acordó estimar justificada la abstención para el conocimiento del presente recurso de amparo formulada por el Magistrado don Ricardo Enríquez Sánchez, apartándole definitivamente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12</w:t>
      </w:r>
      <w:r>
        <w:t>. El Pleno de este Tribunal, mediante providencia de 17 de marzo de 2015, acordó, de conformidad con el art. 10.1 n) LOTC, a propuesta de la Sala Segunda, recabar para sí el conocimiento de este recurso de amparo.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sociedad demandante de amparo impugna en este proceso constitucional el Auto de la Sección Primera de la Sala de lo Contencioso-Administrativo del Tribunal Supremo de 26 de enero de 2012, que acordó no admitir a trámite el recurso de casación núm. 1495-2011, interpuesto contra la Sentencia de la Sala de lo Contencioso-Administrativo de la Audiencia Nacional (Sección Segunda) de 16 de febrero de 2011, dictada en el procedimiento ordinario núm. 56-2008. También impugna la providencia de 16 de abril de 2012, que inadmitió a trámite el incidente de nulidad de actuaciones promovido contra el Auto citado.</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la vulneración de su derecho a la tutela judicial efectiva (art. 24.1 CE), en su vertiente de acceso a los recursos, porque la interpretación del Tribunal Supremo es rigorista y desproporcionada e incurre en un excesivo formalismo que incumple la doctrina del Tribunal Constitucional y del Tribunal Europeo de Derechos Humanos y, en definitiva, el Auto impugnado se funda en un requisito de admisibilidad no exigido por la ley. El Abogado del Estado ha solicitado la estimación del recurso de amparo por entender que la exigencia de los nuevos requisitos jurisprudenciales contenidos en el ATS de 10 de febrero de 2011 constituye una aplicación irrazonable, por contraria a la confianza legítima, de tales requisitos procesales, que comporta una vulneración del derecho de acceso a los recursos. Por su parte, el Ministerio Fiscal ha solicitado la íntegra desestimación del recurso.</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en la STC 7/2015, de 22 de enero, en la que el Tribunal Constitucional ha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de noviembre de 2003; e </w:t>
      </w:r>
      <w:r w:rsidRPr="0085709A">
        <w:rPr>
          <w:i/>
        </w:rPr>
        <w:t>Ipamark c. España</w:t>
      </w:r>
      <w:r>
        <w:t xml:space="preserve">, de 17 de febrero de 2004, que presentan en común juzgar resoluciones en las que nuestro Tribunal Supremo inadmitió </w:t>
      </w:r>
      <w:r>
        <w:lastRenderedPageBreak/>
        <w:t>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t>En consideración a lo hasta aquí argumentado, procede la desestimación.</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la mercantil Promotora de Informaciones, S.A.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abril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respecto de la Sentencia dictada en el recurso de amparo avocado al Pleno núm. 2604-2012.</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pleno respeto a la opinión de la mayoría del Pleno, manifiesto mi discrepancia con la desestimación del amparo negando la vulneración del art. 24.1 CE, en su vertiente de derecho de acceso a los recursos, relativa a la falta de cobertura legal de la causa de inadmisión impugnada, pese a que como ponente de la presente Sentencia y, en dicha condición, recojo en ella la opinión mayoritaria del Pleno.</w:t>
      </w:r>
    </w:p>
    <w:p w:rsidR="0085709A" w:rsidRDefault="0085709A" w:rsidP="0085709A">
      <w:pPr>
        <w:pStyle w:val="TextoNormal"/>
      </w:pPr>
    </w:p>
    <w:p w:rsidR="0085709A" w:rsidRDefault="0085709A" w:rsidP="0085709A">
      <w:pPr>
        <w:pStyle w:val="TextoNormal"/>
      </w:pPr>
      <w:r>
        <w:t>En cuanto a la fundamentación de mi discrepancia, me remito a lo expuesto en el apartado 1 del Voto particular formulado por el Magistrado don Juan Antonio Xiol Ríos a la STC 7/2015, de 22 de enero, al que entonces me adherí.</w:t>
      </w:r>
    </w:p>
    <w:p w:rsidR="0085709A" w:rsidRDefault="0085709A" w:rsidP="0085709A">
      <w:pPr>
        <w:pStyle w:val="TextoNormal"/>
      </w:pPr>
    </w:p>
    <w:p w:rsidR="0085709A" w:rsidRDefault="0085709A" w:rsidP="0085709A">
      <w:pPr>
        <w:pStyle w:val="TextoNormal"/>
      </w:pPr>
      <w:r>
        <w:t>Madrid, a catorce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2" w:name="SENTENCIA_2015_69"/>
      <w:r>
        <w:lastRenderedPageBreak/>
        <w:t>SENTENCIA 69/2015, de 14 de abril de 2015</w:t>
      </w:r>
    </w:p>
    <w:bookmarkEnd w:id="72"/>
    <w:p w:rsidR="0085709A" w:rsidRDefault="0085709A" w:rsidP="0085709A">
      <w:pPr>
        <w:pStyle w:val="TtuloResolucin"/>
      </w:pPr>
      <w:r>
        <w:t>Pleno</w:t>
      </w:r>
    </w:p>
    <w:p w:rsidR="0085709A" w:rsidRDefault="0085709A" w:rsidP="0085709A">
      <w:pPr>
        <w:pStyle w:val="TtuloBOE"/>
      </w:pPr>
      <w:r>
        <w:t>(BOE núm. 122, de 22 de mayo de 2015)</w:t>
      </w:r>
    </w:p>
    <w:p w:rsidR="0085709A" w:rsidRDefault="0085709A" w:rsidP="0085709A">
      <w:pPr>
        <w:pStyle w:val="TextoNormalCentrado"/>
      </w:pPr>
      <w:r>
        <w:t>ECLI:ES:TC:2015:69</w:t>
      </w:r>
    </w:p>
    <w:p w:rsidR="0085709A" w:rsidRDefault="0085709A" w:rsidP="0085709A">
      <w:pPr>
        <w:pStyle w:val="TextoNormalCentrado"/>
      </w:pPr>
    </w:p>
    <w:p w:rsidR="0085709A" w:rsidRDefault="0085709A" w:rsidP="0085709A">
      <w:pPr>
        <w:pStyle w:val="SntesisDescriptiva"/>
      </w:pPr>
      <w:r>
        <w:t>Recurso de amparo 3045-2012. Promovido por Inmobiliaria Alozaima, S.L., y otras cuatro entidades mercantiles, en relación con el Auto de la Sala de lo Contencioso-Administrativo del Tribunal Supremo que inadmitió su recurso de casación frente a Sentencia de la Audiencia Nacional sobre acuerdo de la Comisión Nacional de la Competencia.</w:t>
      </w:r>
    </w:p>
    <w:p w:rsidR="0085709A" w:rsidRDefault="0085709A" w:rsidP="0085709A">
      <w:pPr>
        <w:pStyle w:val="SntesisDescriptiva"/>
      </w:pPr>
    </w:p>
    <w:p w:rsidR="0085709A" w:rsidRDefault="0085709A" w:rsidP="0085709A">
      <w:pPr>
        <w:pStyle w:val="SntesisAnaltica"/>
      </w:pPr>
      <w:r>
        <w:t>Supuesta vulneración de los derechos a la igualdad y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3045-2012, promovido por las sociedades mercantiles Inmobiliaria Alozaima S.L., Grupo Acraba, S.L., E.S. El Moro, S.L., Estagas, S.L., y Grossen, S.A., representadas por el Procurador de los Tribunales don David García Riquelme y asistidas por los Abogados don Alfredo Hernández Pardo y doña Lourdes Ruiz Ezquerra, contra </w:t>
      </w:r>
      <w:r>
        <w:lastRenderedPageBreak/>
        <w:t>el Auto de la Sección Primera de la Sala de lo Contencioso-Administrativo del Tribunal Supremo, de fecha 29 de septiembre del 2011, que resolvió la inadmisión del recurso de casación núm. 677-2011, interpuesto por las sociedades demandantes de amparo, y contra el Auto de fecha 15 de marzo de 2012, que desestimó el incidente de nulidad de actuaciones deducido contra la resolución precedente. Ha comparecido el Abogado del Estado, en la representación que ostenta. También ha comparecido la mercantil Disa Península, S.L.U., representada por la Procuradora de Tribunales doña Teresa de las Alas- Pumariño Larrañaga y asistida por el Abogado don Rafael Allendesalazar. Ha intervenido el Ministerio Fiscal. Ha sido Ponente el Magistrado don Pedro José González Trevijano-Sánchez,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23 de mayo de 2012 tuvo entrada en el Registro General de este Tribunal el escrito presentado por el Procurador de los Tribunales don David García Riquelme, en representación de las entidades mercantiles Inmobiliaria Alozaima, S.L., Grupo Acraba, S.L., E.S. El Moro, S.L., Estagas, S.L., y Grossen, S.A., y asistidas por los Abogados don Alfredo Hernández Pardo y doña Lourdes Ruiz Ezquerra, mediante el cual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Las demandantes de amparo (junto con otra que no ha comparecido en el presente recurso de amparo) interpusieron recurso contencioso-administrativo contra el acuerdo del Consejo de la Comisión Nacional de la Competencia (expediente 691 DISA), de fecha 27 de noviembre de 2007.</w:t>
      </w:r>
    </w:p>
    <w:p w:rsidR="0085709A" w:rsidRDefault="0085709A" w:rsidP="0085709A">
      <w:pPr>
        <w:pStyle w:val="TextoNormal"/>
      </w:pPr>
    </w:p>
    <w:p w:rsidR="0085709A" w:rsidRDefault="0085709A" w:rsidP="0085709A">
      <w:pPr>
        <w:pStyle w:val="TextoNormal"/>
      </w:pPr>
      <w:r>
        <w:t>b) Seguido el procedimiento por sus trámites, con el núm.35-2008, la Sala de lo Contencioso-Administrativo de la Audiencia Nacional (Sección Sexta) dictó, en fecha 2 de diciembre de 2010, Sentencia desestimatoria de las pretensiones de las demandantes.</w:t>
      </w:r>
    </w:p>
    <w:p w:rsidR="0085709A" w:rsidRDefault="0085709A" w:rsidP="0085709A">
      <w:pPr>
        <w:pStyle w:val="TextoNormal"/>
      </w:pPr>
    </w:p>
    <w:p w:rsidR="0085709A" w:rsidRDefault="0085709A" w:rsidP="0085709A">
      <w:pPr>
        <w:pStyle w:val="TextoNormal"/>
      </w:pPr>
      <w:r>
        <w:t>c) Mediante escrito presentado el día 10 de enero de 2011, las sociedades demandantes de amparo (junto con la otra entidad que no ha comparecido en el presente recurso) interesaron que se tuviera por preparado recurso de casación contra la Sentencia antes indicada. En dicho escrito pusieron de manifiesto la intención de interponer recurso de casación y, a su vez, indicaron que el recurso iba a fundarse en los motivos previstos en el art. 88.1 d) de la Ley reguladora de la jurisdicción contencioso-administrativa (LJCA).</w:t>
      </w:r>
    </w:p>
    <w:p w:rsidR="0085709A" w:rsidRDefault="0085709A" w:rsidP="0085709A">
      <w:pPr>
        <w:pStyle w:val="TextoNormal"/>
      </w:pPr>
    </w:p>
    <w:p w:rsidR="0085709A" w:rsidRDefault="0085709A" w:rsidP="0085709A">
      <w:pPr>
        <w:pStyle w:val="TextoNormal"/>
      </w:pPr>
      <w:r>
        <w:t xml:space="preserve">d) Por diligencia de ordenación de fecha 27 de enero de 2011, la Sala de lo Contencioso-Administrativo de la Audiencia Nacional tuvo por preparado el recurso de casación. Asimismo, dicho órgano acordó emplazar a las demandantes para que comparecieran ante la Sala Tercera del Tribunal Supremo. Una vez recibidas las actuaciones por el órgano </w:t>
      </w:r>
      <w:r w:rsidRPr="0085709A">
        <w:rPr>
          <w:i/>
        </w:rPr>
        <w:t>ad quem</w:t>
      </w:r>
      <w:r>
        <w:t>, el día 16 de marzo de 2011 las entidades actoras interpusieron el recurso de casación ante la Sala Tercera del Tribunal Supremo. El recurso de casación fue registrado con el número 677-2011.</w:t>
      </w:r>
    </w:p>
    <w:p w:rsidR="0085709A" w:rsidRDefault="0085709A" w:rsidP="0085709A">
      <w:pPr>
        <w:pStyle w:val="TextoNormal"/>
      </w:pPr>
    </w:p>
    <w:p w:rsidR="0085709A" w:rsidRDefault="0085709A" w:rsidP="0085709A">
      <w:pPr>
        <w:pStyle w:val="TextoNormal"/>
      </w:pPr>
      <w:r>
        <w:lastRenderedPageBreak/>
        <w:t>e) Por providencia de 26 de abril de 2011, la Sala Tercera del Tribunal Supremo confirió traslado a las partes, a fin que formularan alegaciones sobre la posible concurrencia de causa de inadmisión, consistente en no haber citado en el escrito de preparación las infracciones normativas o jurisprudenciales que iban a desarrollarse en el escrito de interposición [arts. 88.1, 89.1 y 93.2 a) LJCA], conforme a lo establecido en el ATS de 10 de febrero de 2011, dictado en el recurso de casación 2927-2010.</w:t>
      </w:r>
    </w:p>
    <w:p w:rsidR="0085709A" w:rsidRDefault="0085709A" w:rsidP="0085709A">
      <w:pPr>
        <w:pStyle w:val="TextoNormal"/>
      </w:pPr>
    </w:p>
    <w:p w:rsidR="0085709A" w:rsidRDefault="0085709A" w:rsidP="0085709A">
      <w:pPr>
        <w:pStyle w:val="TextoNormal"/>
      </w:pPr>
      <w:r>
        <w:t>f) El 16 de mayo de 2011, las sociedades demandantes evacuaron el traslado conferido. En síntesis, pusieron de relieve cuál es, según su criterio, la finalidad del escrito de preparación del recurso de casación y qué requisitos de forma deben ser cumplimentados, entre los cuales no figura la obligación de indicar las infracciones legales o jurisprudenciales atribuidas a la Sentencia recurrida. Asimismo, indicaron que el ATS de fecha 10 de febrero de 2011 es de fecha posterior al escrito de preparación del recurso de casación, de manera que la nueva doctrina estatuida no puede ser aplicada a situaciones precedentes. Por todo ello, interesaron la admisión del recurso de casación, para así satisfacer el derecho al acceso a los recursos que les reconoce el art. 24.1 CE.</w:t>
      </w:r>
    </w:p>
    <w:p w:rsidR="0085709A" w:rsidRDefault="0085709A" w:rsidP="0085709A">
      <w:pPr>
        <w:pStyle w:val="TextoNormal"/>
      </w:pPr>
    </w:p>
    <w:p w:rsidR="0085709A" w:rsidRDefault="0085709A" w:rsidP="0085709A">
      <w:pPr>
        <w:pStyle w:val="TextoNormal"/>
      </w:pPr>
      <w:r>
        <w:t>g) Por Auto de 29 de septiembre de 2011, la Sala Tercera del Tribunal Supremo (Sección Primera) acordó la inadmisión del recurso de casación. En apoyo de su decisión, la Sala se remitió a la doctrina establecida en ATS de 10 de febrero de 2011 y concluyó que, al no haberse citado en el escrito de preparación del recurso de casación las infracciones normativas o jurisprudenciales que iban a desarrollarse en el escrito de interposición, procedía la inadmisión del referido recurso. Respecto de la alegación de las demandantes, acerca de que la preparación del recurso de casación tuvo lugar con anterioridad al dictado del ATS de fecha 10 de febrero de 2011, la Sala consideró que, de acuerdo con la doctrina constitucional, los jueces y tribunales pueden modificar la interpretación precedente sobre determinados preceptos legales, con tal que el cambio de criterio sea razonado, en términos de Derecho, para que no resulte arbitrario ni sea fruto de un mero voluntarismo casuístico. Por tanto, la exigencia de igualdad y no arbitrariedad no puede traducirse en una petrificación de la jurisprudencia, de modo que cada órgano judicial quede rígidamente vinculado por sus propios precedentes.</w:t>
      </w:r>
    </w:p>
    <w:p w:rsidR="0085709A" w:rsidRDefault="0085709A" w:rsidP="0085709A">
      <w:pPr>
        <w:pStyle w:val="TextoNormal"/>
      </w:pPr>
    </w:p>
    <w:p w:rsidR="0085709A" w:rsidRDefault="0085709A" w:rsidP="0085709A">
      <w:pPr>
        <w:pStyle w:val="TextoNormal"/>
      </w:pPr>
      <w:r>
        <w:t>h) En fecha 29 de noviembre de 2011, la sociedades recurrentes promovieron incidente de nulidad de actuaciones, en el cual, con una extensa argumentación, alegaron la vulneración del derecho a la igualdad en la aplicación judicial de la Ley (artículo 14 CE) y del derecho a la tutela judicial efectiva en su vertiente de acceso a los recursos (artículo 24.1 CE). Denunciaron, en resumen, que el Tribunal Supremo había introducido una modificación arbitraria e infundada respecto de los requisitos del escrito de preparación del recurso de casación contra Sentencias dictadas por la Audiencia Nacional, pues dicho cambio de criterio impone el cumplimiento de unas exigencias no contempladas en la ley y, además, se aplica a escritos de preparación presentados con anterioridad a que pudiera conocerse el nuevo criterio establecido. Finalmente, invocaron la quiebra del derecho a la igualdad en la aplicación judicial de la ley, puesto que otros recursos de casación fueron admitidos cumpliendo los mismos presupuestos formales que los seguidos por las demandantes de amparo.</w:t>
      </w:r>
    </w:p>
    <w:p w:rsidR="0085709A" w:rsidRDefault="0085709A" w:rsidP="0085709A">
      <w:pPr>
        <w:pStyle w:val="TextoNormal"/>
      </w:pPr>
    </w:p>
    <w:p w:rsidR="0085709A" w:rsidRDefault="0085709A" w:rsidP="0085709A">
      <w:pPr>
        <w:pStyle w:val="TextoNormal"/>
      </w:pPr>
      <w:r>
        <w:t xml:space="preserve">i) Por Auto de 15 de marzo de 2012 fue desestimado el incidente de nulidad de actuaciones promovido contra el Auto de 10 de noviembre de 2011. En esencia, el órgano judicial considera que las demandantes se limitan a discrepar de las razones tenidas en consideración </w:t>
      </w:r>
      <w:r>
        <w:lastRenderedPageBreak/>
        <w:t>para inadmitir el recurso de casación, asimilando el incidente de nulidad a un recurso de súplica.</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las siguientes circunstancias:</w:t>
      </w:r>
    </w:p>
    <w:p w:rsidR="0085709A" w:rsidRDefault="0085709A" w:rsidP="0085709A">
      <w:pPr>
        <w:pStyle w:val="TextoNormal"/>
      </w:pPr>
    </w:p>
    <w:p w:rsidR="0085709A" w:rsidRDefault="0085709A" w:rsidP="0085709A">
      <w:pPr>
        <w:pStyle w:val="TextoNormal"/>
      </w:pPr>
      <w:r>
        <w:t>a) El Auto en cuya virtud se inadmitió el recurso de casación exige al recurrente anticipar, en el escrito de preparación del recurso de casación, los concretos preceptos o la jurisprudencia que se reputan infringidos. Dicha imposición carece de cobertura en la LJCA, puesto que ningún precepto de la citada norma así lo exige cuando se impugnan Sentencias dictadas por la Audiencia Nacional.</w:t>
      </w:r>
    </w:p>
    <w:p w:rsidR="0085709A" w:rsidRDefault="0085709A" w:rsidP="0085709A">
      <w:pPr>
        <w:pStyle w:val="TextoNormal"/>
      </w:pPr>
    </w:p>
    <w:p w:rsidR="0085709A" w:rsidRDefault="0085709A" w:rsidP="0085709A">
      <w:pPr>
        <w:pStyle w:val="TextoNormal"/>
      </w:pPr>
      <w:r>
        <w:t>b) Por otra parte, el criterio sustentado en el referido Auto se ha aplicado con carácter retroactivo, pues no era conocido ni predecible al momento de preparar el recurso de casación. A este respecto, destaca la diferencia entre los cambios jurisprudenciales relativos a cuestiones sustantivas, que resuelven el fondo del asunto, y las modificaciones de criterio referidas a las normas sobre la admisibilidad de los recursos, las cuales no pueden ser exigidas una vez vencido el trámite sobre el que se proyecta el cambio de criterio, pues ello origina indefensión.</w:t>
      </w:r>
    </w:p>
    <w:p w:rsidR="0085709A" w:rsidRDefault="0085709A" w:rsidP="0085709A">
      <w:pPr>
        <w:pStyle w:val="TextoNormal"/>
      </w:pPr>
    </w:p>
    <w:p w:rsidR="0085709A" w:rsidRDefault="0085709A" w:rsidP="0085709A">
      <w:pPr>
        <w:pStyle w:val="TextoNormal"/>
      </w:pPr>
      <w:r>
        <w:t>c) La modificación de criterio efectuado por la Sala Tercera del Tribunal Supremo comporta una quiebra del principio de igualdad en la aplicación de la ley, toda vez que otros recursos preparados siguiendo el mismo esquema fueron admitidos a trámite, por la aplicación de un criterio más benévolo para el derecho de acceso a los recursos.</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16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fecha 15 de marzo de 2012, que es objeto de impugnación en el presente recurso. Mediante escrito de fecha 30 de octubre de 2013, el referido Magistrado también comunicó haber formado parte de la referida Sección, que también dictó el Auto de inadmisión, de fecha 29 de septiembre de 2011, igualmente combatido en el presente recurso de amparo. Por Auto de fecha 23 de septiembre de 2013, la Sección Tercera de este Tribunal resolvió estimar justificada la causa de abstención invocada, apartando definitivamente del conocimiento del presente recurso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Por providencia de 7 de noviembre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677-2011 y al recurso núm. 35-2008, respectivamente, debiendo previamente emplazarse para que </w:t>
      </w:r>
      <w:r>
        <w:lastRenderedPageBreak/>
        <w:t>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21 de noviembre de 2013, el Abogado del Estado, en la representación que le es propia, solicitó que se le tuviera por personado y parte en el presente recurso. Asimismo, por escrito de fecha 29 de abril de 2014, la sociedad Disa Península, S.L.U., quien había sido emplazada por la Sala de lo Contencioso-Administrativo de la Audiencia Nacional conforme a lo acordado en la providencia citada en el apartado anterior, solicitó que se la tuviera por comparecida en el presente recurso, bajo la representación del Procuradora de Tribunales doña Teresa de Alas-Pumariño Larrañaga y asistida por el abogado don Rafael Allendesalazar.</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fecha 22 de mayo de 2014, se tuvo por personado y parte al Abogado del Estado, en representación de la Administración del Estado, y a la sociedad Disa Península, S.L.U. A tenor de lo dispuesto en el art. 52.1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presentó sus alegaciones mediante escrito registrado el día 30 de mayo de 2014. En síntesis, considera que, a la luz de la doctrina constitucional, el Auto de inadmisión combatido en amparo vulnera el derecho al acceso a los recursos que garantiza el art. 24.1 CE. Para el Abogado del Estado el auténtico problema constitucional que la demanda suscita radica en la aplicación retrospectiva de las nuevas máximas jurisprudenciales plasmadas en el ATS de 10 de febrero de 2011, que la demandante no podía conocer cuando preparó el recurso de casación. En el presente caso, la inadmisión del recurso de casación se sustenta, precisamente, en que no se preparó conforme a las referidas máximas, lo que supone imponer retroactivamente un novedoso régimen procesal desfavorable a la realización de un acto procesal totalmente concluido. Por tanto, la cuestión principal radica en la irrazonabilidad de una decisión que impone unos requisitos de forma que la parte no tenía posibilidad de conocer ni, por tanto, de cumplir.</w:t>
      </w:r>
    </w:p>
    <w:p w:rsidR="0085709A" w:rsidRDefault="0085709A" w:rsidP="0085709A">
      <w:pPr>
        <w:pStyle w:val="TextoNormal"/>
      </w:pPr>
    </w:p>
    <w:p w:rsidR="0085709A" w:rsidRDefault="0085709A" w:rsidP="0085709A">
      <w:pPr>
        <w:pStyle w:val="TextoNormal"/>
      </w:pPr>
      <w:r>
        <w:t>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9</w:t>
      </w:r>
      <w:r>
        <w:t>. En fecha 20 de junio de 2014 presentó sus alegaciones la entidad Disa Península, S.L.U. Para dicha sociedad, las resoluciones combatidas en el presente recurso de amparo no vulneran el art. 14 CE. A ese respecto, considera que las demandantes no han aportado un término válido de comparación sobre el que sustentar la pretendida desigualdad constitucionalmente proscrita. Por otro lado, añade que no concurre ninguna de las circunstancias que, según la doctrina constitucional, dan lugar a la desigualdad en la aplicación de la ley por parte de los órganos judiciales.</w:t>
      </w:r>
    </w:p>
    <w:p w:rsidR="0085709A" w:rsidRDefault="0085709A" w:rsidP="0085709A">
      <w:pPr>
        <w:pStyle w:val="TextoNormal"/>
      </w:pPr>
    </w:p>
    <w:p w:rsidR="0085709A" w:rsidRDefault="0085709A" w:rsidP="0085709A">
      <w:pPr>
        <w:pStyle w:val="TextoNormal"/>
      </w:pPr>
      <w:r>
        <w:lastRenderedPageBreak/>
        <w:t>En relación con la denunciada lesión de la tutela judicial efectiva (art. 24.1 CE), considera que el motivo está también desprovisto de todo fundamento, habida cuenta de que el giro jurisprudencial a que se alude tuvo lugar, al menos, desde el año 2009. Sobre ese particular advierte que, desde el año mencionado, diversas resoluciones del Tribunal Supremo venían exigiendo que en el escrito de preparación se indicasen los motivos del recurso de casación (AATS de fecha 3 de noviembre de 2009, 14 de octubre, 18 de noviembre y 25 de noviembre de 2010). En consecuencia, la indefensión que invocan las demandantes no es imputable al órgano judicial, sino a un error cometido por aquéllas.</w:t>
      </w:r>
    </w:p>
    <w:p w:rsidR="0085709A" w:rsidRDefault="0085709A" w:rsidP="0085709A">
      <w:pPr>
        <w:pStyle w:val="TextoNormal"/>
      </w:pPr>
    </w:p>
    <w:p w:rsidR="0085709A" w:rsidRDefault="0085709A" w:rsidP="0085709A">
      <w:pPr>
        <w:pStyle w:val="TextoNormal"/>
      </w:pPr>
      <w:r>
        <w:t>Finalmente, la entidad personada sostiene que la inadmisión está exhaustivamente motivada, se basa en una causa legalmente prevista y es absolutamente compatible con lo establecido en los arts. 9.3, 14 y 24 CE.</w:t>
      </w:r>
    </w:p>
    <w:p w:rsidR="0085709A" w:rsidRDefault="0085709A" w:rsidP="0085709A">
      <w:pPr>
        <w:pStyle w:val="TextoNormal"/>
      </w:pPr>
    </w:p>
    <w:p w:rsidR="0085709A" w:rsidRDefault="0085709A" w:rsidP="0085709A">
      <w:pPr>
        <w:pStyle w:val="TextoNormal"/>
      </w:pPr>
      <w:r w:rsidRPr="0085709A">
        <w:rPr>
          <w:rStyle w:val="NumeroAFNegritaCaracter"/>
        </w:rPr>
        <w:t>10</w:t>
      </w:r>
      <w:r>
        <w:t>. El Ministerio Fiscal presentó sus alegaciones mediante escrito registrado el 20 de junio de 2014. Descarta la vulneración del art. 14 CE, dado que las sociedades demandantes no han ofrecido un desarrollo argumental adecuado para justificar la vulneración de la igualdad en la aplicación de la ley. Tal deficiencia aboca al fracaso del motivo, toda vez que no le corresponde al Tribunal Constitucional reconstruir las demandas de amparo.</w:t>
      </w:r>
    </w:p>
    <w:p w:rsidR="0085709A" w:rsidRDefault="0085709A" w:rsidP="0085709A">
      <w:pPr>
        <w:pStyle w:val="TextoNormal"/>
      </w:pPr>
    </w:p>
    <w:p w:rsidR="0085709A" w:rsidRDefault="0085709A" w:rsidP="0085709A">
      <w:pPr>
        <w:pStyle w:val="TextoNormal"/>
      </w:pPr>
      <w:r>
        <w:t>También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de casación, esto es, la obligación de indicar las concretas infracciones normativas o jurisprudenciales, se desprende del propio tenor de los apartados c) y d) del art. 88 LJCA. Por ello, concluye que el requisito cuyo incumplimiento ha determinado la inadmisión del referido recurso no viene impuesto por la jurisprudencia, sino por la propia normativa legal.</w:t>
      </w:r>
    </w:p>
    <w:p w:rsidR="0085709A" w:rsidRDefault="0085709A" w:rsidP="0085709A">
      <w:pPr>
        <w:pStyle w:val="TextoNormal"/>
      </w:pPr>
    </w:p>
    <w:p w:rsidR="0085709A" w:rsidRDefault="0085709A" w:rsidP="0085709A">
      <w:pPr>
        <w:pStyle w:val="TextoNormal"/>
      </w:pPr>
      <w:r w:rsidRPr="0085709A">
        <w:rPr>
          <w:rStyle w:val="NumeroAFNegritaCaracter"/>
        </w:rPr>
        <w:t>11</w:t>
      </w:r>
      <w:r>
        <w:t>. Por escrito de fecha 23 de junio de 2014, la mercantil Grossen, S.A., interesó que se la tuviera por desistida del presente recurso de amparo. Tras la realización de los trámites oportunos, por Auto de la Sala Segunda de este Tribunal, de fecha 8 de septiembre de 2014, se acordó tener por desistida a la referida entidad.</w:t>
      </w:r>
    </w:p>
    <w:p w:rsidR="0085709A" w:rsidRDefault="0085709A" w:rsidP="0085709A">
      <w:pPr>
        <w:pStyle w:val="TextoNormal"/>
      </w:pPr>
    </w:p>
    <w:p w:rsidR="0085709A" w:rsidRDefault="0085709A" w:rsidP="0085709A">
      <w:pPr>
        <w:pStyle w:val="TextoNormal"/>
      </w:pPr>
      <w:r w:rsidRPr="0085709A">
        <w:rPr>
          <w:rStyle w:val="NumeroAFNegritaCaracter"/>
        </w:rPr>
        <w:t>12</w:t>
      </w:r>
      <w:r>
        <w:t>. En fecha 25 de junio de 2014 presentaron sus alegaciones las entidades demandantes (salvo la sociedad desistida), en el sentido de ratificar íntegramente el escrito de demanda.</w:t>
      </w:r>
    </w:p>
    <w:p w:rsidR="0085709A" w:rsidRDefault="0085709A" w:rsidP="0085709A">
      <w:pPr>
        <w:pStyle w:val="TextoNormal"/>
      </w:pPr>
    </w:p>
    <w:p w:rsidR="0085709A" w:rsidRDefault="0085709A" w:rsidP="0085709A">
      <w:pPr>
        <w:pStyle w:val="TextoNormal"/>
      </w:pPr>
      <w:r w:rsidRPr="0085709A">
        <w:rPr>
          <w:rStyle w:val="NumeroAFNegritaCaracter"/>
        </w:rPr>
        <w:t>13</w:t>
      </w:r>
      <w:r>
        <w:t>. Por escrito de fecha 17 de julio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29 de septiembre de 2011, del que trae causa el presente recurso de amparo. Por Auto de fecha 17 de julio de 2014, la Sala Segunda de este Tribunal resolvió estimar justificada la causa de abstención invocada, apartando definitivamente del conocimiento del presente recurso y de todas sus incidencias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14</w:t>
      </w:r>
      <w:r>
        <w:t>. Mediante providencia de fecha de 17 de marzo de 2015, el Pleno, en su reunión de esa fecha y conforme establece el artículo 10.1 n) de la Ley Orgánica del Tribunal, a propuesta de la Sala Segunda, acuerda recabar para sí el conocimiento del recurso de amparo.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Las entidades demandantes de amparo impugnan el Auto de la Sección Primera de la Sala de lo Contencioso-Administrativo del Tribunal Supremo de 29 de septiembre de 2011, que acordó no admitir a trámite el recurso de casación interpuesto contra la Sentencia de la Sala de lo Contencioso-Administrativo de la Audiencia Nacional (Sección Sexta) de 2 de diciembre de 2010, recaída en el procedimiento ordinario núm. 35-2008. También impugnan el Auto de fecha 15 de marzo de 2012, en cuya virtud se desestimó el incidente de nulidad promovido contra la resolución citada en primer lugar.</w:t>
      </w:r>
    </w:p>
    <w:p w:rsidR="0085709A" w:rsidRDefault="0085709A" w:rsidP="0085709A">
      <w:pPr>
        <w:pStyle w:val="TextoNormal"/>
      </w:pPr>
    </w:p>
    <w:p w:rsidR="0085709A" w:rsidRDefault="0085709A" w:rsidP="0085709A">
      <w:pPr>
        <w:pStyle w:val="TextoNormal"/>
      </w:pPr>
      <w:r>
        <w:t>Las recurrentes,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a un supuesto en el que aquella exigencia no era conocida ni predecible a tenor de la jurisprudencia precedente; (iii) la vulneración de su derecho a la igualdad en la aplicación judicial de la ley (art.14 CE), pues entiende que la interpretación jurisprudencial combatida ha supuesto para las entidades demandantes un trato menos favorable, desde la perspectiva del acceso a los recursos, que las resoluciones dictadas con anterioridad al ATS de fecha 10 de febrero de 2011.</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w:t>
      </w:r>
      <w:r>
        <w:lastRenderedPageBreak/>
        <w:t>procesal es más estricto (SSTC 37/1995, de 17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de noviembre de 2003; e </w:t>
      </w:r>
      <w:r w:rsidRPr="0085709A">
        <w:rPr>
          <w:i/>
        </w:rPr>
        <w:t>Ipamark c. España</w:t>
      </w:r>
      <w:r>
        <w:t>,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anteriormente indicada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la excepción que, por disposición legal, establezca el efecto exclusivamente prospectivo de la Sentencia, como así se prevé en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las sociedades recurrentes no procedieron del modo expuesto, ni siquiera después de que le fuera notificada la providencia mediante la que el </w:t>
      </w:r>
      <w:r>
        <w:lastRenderedPageBreak/>
        <w:t>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y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se continúe con posterioridad (por todas, SSTC 105/2009, de 4 de mayo, FJ 4, y 178/2014, de 3 de noviembre, FJ 4).</w:t>
      </w:r>
    </w:p>
    <w:p w:rsidR="0085709A" w:rsidRDefault="0085709A" w:rsidP="0085709A">
      <w:pPr>
        <w:pStyle w:val="TextoNormal"/>
      </w:pPr>
    </w:p>
    <w:p w:rsidR="0085709A" w:rsidRDefault="0085709A" w:rsidP="0085709A">
      <w:pPr>
        <w:pStyle w:val="TextoNormal"/>
      </w:pPr>
      <w:r>
        <w:t xml:space="preserve">De acuerdo con ello, el Auto del Tribunal Supremo impugnado —lejos de ser una decisión particularizada y adoptada </w:t>
      </w:r>
      <w:r w:rsidRPr="0085709A">
        <w:rPr>
          <w:i/>
        </w:rPr>
        <w:t>ad hoc</w:t>
      </w:r>
      <w:r>
        <w:t xml:space="preserve"> por el órgano judicial para resolver ese solo caso o para aplicarlo exclusivamente a las recurrentes— constituye la plasmación de un criterio jurisprudencial previamente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las entidades mercantiles Inmobiliaria Alozaima, S.L., Grupo Acraba, S.L., E.S. El Moro, S.L., y Estagas, S.L.</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abril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Fernando Valdés Dal-Ré y don Juan Antonio Xiol Ríos a la Sentencia dictada en el recurso de amparo avocado núm. 3045-2012.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lastRenderedPageBreak/>
        <w:t>Las razones de nuestra discrepancia son coincidentes con las que ya fueron expuestas en los Votos particulares formulados a las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catorce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3" w:name="SENTENCIA_2015_70"/>
      <w:r>
        <w:lastRenderedPageBreak/>
        <w:t>SENTENCIA 70/2015, de 14 de abril de 2015</w:t>
      </w:r>
    </w:p>
    <w:bookmarkEnd w:id="73"/>
    <w:p w:rsidR="0085709A" w:rsidRDefault="0085709A" w:rsidP="0085709A">
      <w:pPr>
        <w:pStyle w:val="TtuloResolucin"/>
      </w:pPr>
      <w:r>
        <w:t>Pleno</w:t>
      </w:r>
    </w:p>
    <w:p w:rsidR="0085709A" w:rsidRDefault="0085709A" w:rsidP="0085709A">
      <w:pPr>
        <w:pStyle w:val="TtuloBOE"/>
      </w:pPr>
      <w:r>
        <w:t>(BOE núm. 122, de 22 de mayo de 2015)</w:t>
      </w:r>
    </w:p>
    <w:p w:rsidR="0085709A" w:rsidRDefault="0085709A" w:rsidP="0085709A">
      <w:pPr>
        <w:pStyle w:val="TextoNormalCentrado"/>
      </w:pPr>
      <w:r>
        <w:t>ECLI:ES:TC:2015:70</w:t>
      </w:r>
    </w:p>
    <w:p w:rsidR="0085709A" w:rsidRDefault="0085709A" w:rsidP="0085709A">
      <w:pPr>
        <w:pStyle w:val="TextoNormalCentrado"/>
      </w:pPr>
    </w:p>
    <w:p w:rsidR="0085709A" w:rsidRDefault="0085709A" w:rsidP="0085709A">
      <w:pPr>
        <w:pStyle w:val="SntesisDescriptiva"/>
      </w:pPr>
      <w:r>
        <w:t>Recurso de amparo 3985-2012. Promovido por Transportes de tierra, aire y mar, S.A., en relación con el Auto de la Sala de lo Contencioso-Administrativo del Tribunal Supremo que inadmitió su recurso de casación frente a Sentencia del Tribunal Superior de Justicia de Andalucía sobre fijación de justiprecio expropiatorio.</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 Votos particulares.</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3985-2012, promovido por TRANSPORTES DE TIERRA, AIRE Y MAR, S.A., representada por el Procurador de los Tribunales don José Andrés Cayuela Castillejo y asistida por la Letrada doña Giovana Gómez López, contra el Auto de la Sección Primera de la Sala de lo Contencioso-Administrativo del Tribunal Supremo, </w:t>
      </w:r>
      <w:r>
        <w:lastRenderedPageBreak/>
        <w:t>de 29 de septiembre de 2011, que declaró la inadmisión del recurso de casación núm. 1281/2011, interpuesto contra la Sentencia del Tribunal Superior de Justicia de Andalucía (Sección Cuarta), con sede en Sevilla, de 29 de abril de 2010, así como contra el Auto de 12 de abril de 2012 que desestimó el incidente de nulidad de actuaciones promovido contra aquél. Ha sido parte el Abogado del Estado, en la representación que ostenta, y ha intervenido el Ministerio Fiscal.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26 de junio de 2012, el Procurador de los Tribunales don José Andrés Cayuela Castillejo, actuando en nombre y representación de Transportes de tierra, aire y mar, S.A. (TAMSA),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sucintamente expuestos, los siguientes:</w:t>
      </w:r>
    </w:p>
    <w:p w:rsidR="0085709A" w:rsidRDefault="0085709A" w:rsidP="0085709A">
      <w:pPr>
        <w:pStyle w:val="TextoNormal"/>
      </w:pPr>
    </w:p>
    <w:p w:rsidR="0085709A" w:rsidRDefault="0085709A" w:rsidP="0085709A">
      <w:pPr>
        <w:pStyle w:val="TextoNormal"/>
      </w:pPr>
      <w:r>
        <w:t>a) La sociedad demandante de amparo interpuso recurso contencioso-administrativo contra el acuerdo del Jurado provincial de expropiación forzosa de Cádiz, de 10 de noviembre de 2006, que fijó el justiprecio de un terreno expropiado a la mercantil en el término municipal de Jerez de la Frontera. Seguido el procedimiento por sus trámites con el núm. 35-2007, fue desestimado por Sentencia dictada por la Sección Cuarta de la Sala de lo Contencioso-Administrativo del Tribunal Superior de Justicia de Andalucía, con sede en Sevilla, el 29 de abril de 2010.</w:t>
      </w:r>
    </w:p>
    <w:p w:rsidR="0085709A" w:rsidRDefault="0085709A" w:rsidP="0085709A">
      <w:pPr>
        <w:pStyle w:val="TextoNormal"/>
      </w:pPr>
    </w:p>
    <w:p w:rsidR="0085709A" w:rsidRDefault="0085709A" w:rsidP="0085709A">
      <w:pPr>
        <w:pStyle w:val="TextoNormal"/>
      </w:pPr>
      <w:r>
        <w:t>b) Mediante escrito de 6 de octubre de 2010 la demandante de amparo preparó recurso de casación contra la anterior Sentencia. En él puso de manifiesto la intención de interponerlo, la legitimación de la parte recurrente, el cumplimiento del plazo para la presentación del escrito, el carácter recurrible de la resolución impugnada y la suficiencia de cuantía para el acceso a la casación; añadió que el recurso iba a fundarse en el “quebrantamiento de las formas esenciales del juicio por infracción de las normas reguladoras de la sentencia [artículo 88.1 c) de la LRJCA]”; y precisó que no era de aplicación lo dispuesto en los arts. 89.2 y 86.4 de la Ley jurisdiccional por haberlo declarado así la Sala de lo Contencioso-Administrativo del Tribunal Supremo en las SSTS de 27 de diciembre de 2002, 26 de octubre de 2004, 21 de septiembre de 2005, 28 de febrero de 2007 y 23 de julio de 2009, y en los AATS de l6 de abril de 2009 y 13 de mayo de 2010. La Sala del Tribunal Superior de Justicia de Andalucía dictó Auto el 19 de octubre de 2010 por el que declaró no haber lugar a tener por preparado el recurso por no haberse cumplido la previsión establecida en el artículo 86.4 de la Ley de la jurisdicción contencioso-administrativa, que exige que en el escrito de preparación del recurso de casación se justifique que la infracción de una norma estatal o comunitaria europea ha sido determinante del fallo de la sentencia. El 8 de noviembre de 2010 la demandante interpuso recurso de reposición, que fue estimado por Auto de 7 de enero de 2011, que tuvo por preparado el recurso en consideración a que el mismo se preparó sólo por el motivo previsto en el apartado c) del art. 88.1 de la Ley reguladora de la jurisdicción contencioso-administrativa (LJCA), lo que exime de la justificación exigida.</w:t>
      </w:r>
    </w:p>
    <w:p w:rsidR="0085709A" w:rsidRDefault="0085709A" w:rsidP="0085709A">
      <w:pPr>
        <w:pStyle w:val="TextoNormal"/>
      </w:pPr>
    </w:p>
    <w:p w:rsidR="0085709A" w:rsidRDefault="0085709A" w:rsidP="0085709A">
      <w:pPr>
        <w:pStyle w:val="TextoNormal"/>
      </w:pPr>
      <w:r>
        <w:t>c) La demandante de amparo se personó e interpuso el recurso de casación, que fue registrado con el núm. 1281-2011, mediante escrito presentado en el Registro General del Tribunal Supremo el 2 de marzo de 2011.</w:t>
      </w:r>
    </w:p>
    <w:p w:rsidR="0085709A" w:rsidRDefault="0085709A" w:rsidP="0085709A">
      <w:pPr>
        <w:pStyle w:val="TextoNormal"/>
      </w:pPr>
    </w:p>
    <w:p w:rsidR="0085709A" w:rsidRDefault="0085709A" w:rsidP="0085709A">
      <w:pPr>
        <w:pStyle w:val="TextoNormal"/>
      </w:pPr>
      <w:r>
        <w:t>d) El 23 de mayo de 2011 la Sección Primera de la Sala de lo Contencioso-Administrativo del Tribunal Supremo dictó providencia por la que acordó poner de manifiesto a las partes, para que formularan las alegaciones que estimaran pertinentes por término de diez días, la posible concurrencia de la causa de inadmisión consistente en la “[d]efectuosa preparación del recurso, pues invocado el único motivo casacional al amparo del art. 88.1 c) de la Ley Jurisdiccional, no se ha hecho indicación en el escrito de preparación de, o bien los correspondientes preceptos o jurisprudencia que se consideran infringidos por la sentencia recurrida, o bien el contenido de las infracciones normativas o jurisprudenciales que se pretenden denunciar y desarrollar en el escrito impugnatorio [artículos 88.1; 89.1 y 93.2.a) de la Ley Jurisdiccional y ATS, 10-2-2011, recurso núm. 2927-2010]”. El trámite fue verificado por el Abogado del Estado, que solicitó la inadmisión del recurso, y por la demandante de amparo que, tras citar la jurisprudencia constante del Tribunal Supremo sobre la cuestión, interesó su admisión.</w:t>
      </w:r>
    </w:p>
    <w:p w:rsidR="0085709A" w:rsidRDefault="0085709A" w:rsidP="0085709A">
      <w:pPr>
        <w:pStyle w:val="TextoNormal"/>
      </w:pPr>
    </w:p>
    <w:p w:rsidR="0085709A" w:rsidRDefault="0085709A" w:rsidP="0085709A">
      <w:pPr>
        <w:pStyle w:val="TextoNormal"/>
      </w:pPr>
      <w:r>
        <w:t>e) Mediante Auto dictado el 29 de septiembre de 2011 la Sección Primera de la Sala Tercera del Tribunal Supremo declaró la inadmisión del recurso de casación interpuesto por la demandante de amparo. La Sala se remitió al ATS de 10 de febrero de 2011, del que transcribió varios de sus fundamentos, a la vista de los cuales concluyó que, no habiéndose citado en el escrito de preparación, ni siquiera sucintamente, las infracciones normativas o jurisprudenciales que se iban a desarrollar en el escrito de interposición, procedía la inadmisión del recurso de casación por estar defectuosamente preparado.</w:t>
      </w:r>
    </w:p>
    <w:p w:rsidR="0085709A" w:rsidRDefault="0085709A" w:rsidP="0085709A">
      <w:pPr>
        <w:pStyle w:val="TextoNormal"/>
      </w:pPr>
    </w:p>
    <w:p w:rsidR="0085709A" w:rsidRDefault="0085709A" w:rsidP="0085709A">
      <w:pPr>
        <w:pStyle w:val="TextoNormal"/>
      </w:pPr>
      <w:r>
        <w:t>f) El 28 de noviembre de 2011 la demandante de amparo promovió incidente de nulidad de actuaciones en el que sostuvo que había preparado el recurso de casación ante el Tribunal Superior de Justicia de Andalucía mediante escrito presentado el 6 de octubre de 2010, que cumplía los requisitos del art. 89 LJCA y se ajustaba con escrupuloso respeto a la jurisprudencia sobre los requisitos del escrito de preparación establecida por el Tribunal Supremo a partir del ATS de 23 de abril de 2009, reiterada en otros posteriores que citaba. Y que la Sala había acordado declarar la inadmisión del recurso por incumplimiento de unos requisitos que no existían cuando la demandante preparó su recurso de casación, lo que suponía una restricción en el acceso al recurso vulneradora de su derecho a la tutela judicial efectiva (art. 24.1 CE).</w:t>
      </w:r>
    </w:p>
    <w:p w:rsidR="0085709A" w:rsidRDefault="0085709A" w:rsidP="0085709A">
      <w:pPr>
        <w:pStyle w:val="TextoNormal"/>
      </w:pPr>
    </w:p>
    <w:p w:rsidR="0085709A" w:rsidRDefault="0085709A" w:rsidP="0085709A">
      <w:pPr>
        <w:pStyle w:val="TextoNormal"/>
      </w:pPr>
      <w:r>
        <w:t xml:space="preserve">g) La Sección Primera de la Sala de lo Contencioso-Administrativo del Tribunal Supremo, mediante Auto de 12 de abril de 2012, resolvió desestimar el incidente. El Tribunal reprodujo los fundamentos jurídicos del ATS de 10 de febrero de 2011 y, tras citar la doctrina constitucional sobre los requisitos que deben cumplir los cambios jurisprudenciales, rechazó que se hubiera vulnerado el derecho de la actora a la tutela judicial efectiva (24.1 CE) en su vertiente de acceso a los recursos, y precisó que el nuevo criterio jurisprudencial debía aplicarse a todo supuesto o situación jurídica pendiente de resolver, con independencia del momento en que se interpuso el recurso, excepción hecha de las situaciones jurídicas que gozan de la protección de la cosa juzgada, a fin de evitar que la nueva interpretación </w:t>
      </w:r>
      <w:r>
        <w:lastRenderedPageBreak/>
        <w:t xml:space="preserve">quedara petrificada y que su eficacia fuese la de un mero </w:t>
      </w:r>
      <w:r w:rsidRPr="0085709A">
        <w:rPr>
          <w:i/>
        </w:rPr>
        <w:t>obiter dictum</w:t>
      </w:r>
      <w:r>
        <w:t>. Por último, consideró que las alegaciones de la parte recurrente ponían de manifiesto su discrepancia con la declaración de inadmisión del recurso de casación y con los razonamientos jurídicos que fundan dicho pronunciamiento, habiendo utilizado el incidente de nulidad de actuaciones como si de un recurso de súplica se tratara.</w:t>
      </w:r>
    </w:p>
    <w:p w:rsidR="0085709A" w:rsidRDefault="0085709A" w:rsidP="0085709A">
      <w:pPr>
        <w:pStyle w:val="TextoNormal"/>
      </w:pPr>
    </w:p>
    <w:p w:rsidR="0085709A" w:rsidRDefault="0085709A" w:rsidP="0085709A">
      <w:pPr>
        <w:pStyle w:val="TextoNormal"/>
      </w:pPr>
      <w:r w:rsidRPr="0085709A">
        <w:rPr>
          <w:rStyle w:val="NumeroAFNegritaCaracter"/>
        </w:rPr>
        <w:t>3</w:t>
      </w:r>
      <w:r>
        <w:t>. En la demanda de amparo se reprocha a los Autos del Tribunal Supremo impugnados la vulneración del derecho a la tutela judicial efectiva (art. 24.1 CE) en su vertiente de acceso a los recursos. Tras exponer la doctrina constitucional sobre el derecho que considera vulnerado, la demandante de amparo alega que el escrito de preparación de su recurso de casación se formuló de conformidad con el art. 89 LJCA y con la jurisprudencia dictada por la Sala a partir del ATS de 23 de abril de 2009, y que no procede la aplicación retroactiva del ATS de 10 de febrero de 2011 a recursos que se encontraban en trámite de admisión cuando el Tribunal Supremo modificó su jurisprudencia. Añade que la aplicación de las nuevas exigencias con carácter retroactivo se ha efectuado sin justificación alguna o bien con una justificación que no parece cumplir el canon de razonabilidad, en la medida en que el derecho de la recurrida a conocer los motivos del recurso surge, por disposición de la Ley, después de interpuesto éste; y que el cambio jurisprudencial evidencia un gran desequilibrio entre la tutela del derecho de la recurrida y la restricción del acceso al recurso de aquellos recurrentes que han visto inadmitido el preparado correctamente a causa de la exigencia de nuevos requisitos procesales con carácter retroactivo.</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27 de septiembre de 2013, el Magistrado de este Tribunal don Juan José González Rivas solicitó que se le tuviera por abstenido en el presente recurso, dada la concurrencia de la causa de abstención prevista en el art. 219.11 de la Ley Orgánica del Poder Judicial (LOPJ), habida cuenta de que formó parte de la Sección Primera de la Sala Tercera del Tribunal Supremo, que dictó el Auto de inadmisión de 29 de septiembre de 2011, del que trae causa el presente recurso de amparo. Por ATC 202/2013, de 27 de septiembre, la Sala Segunda de este Tribunal estimó justificada la abstención para el conocimiento del presente recurso de amparo formulada por el Magistrado don Juan José González Rivas, apartándole definitivamente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10 de octubre de 2013 la Sala Segunda del Tribunal Constitucional acordó admitir a trámite la demanda de amparo. Asimismo, en aplicación de lo dispuesto en el art. 51 de la Ley Orgánica del Tribunal Constitucional (LOTC), acordó dirigir atenta comunicación a las Sección Primera de la Sala de lo Contencioso-Administrativo del Tribunal Supremo y a la Sección Cuarta de la Sala de lo Contencioso-Administrativo del Tribunal Superior de Justicia de Andalucía, con sede en Sevilla, a fin de que, en el plazo de diez días, remitieran certificación o fotocopia adverada de las actuaciones correspondientes al recurso de casación núm. 1281-2011 y al recurso núm. 35-2007,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28 de octubre de 2013, el Abogado del Estado, en la representación que ostenta,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7</w:t>
      </w:r>
      <w:r>
        <w:t>. Por diligencia de ordenación de la Secretaría de Justicia de la Sala Segunda de este Tribunal de fecha 20 de noviembre de 2013 se tuvo por personado y parte en el procedimiento al Abogado del Estado en la representación que le es propia, y se acordó dirigir atenta comunicación al Jurado provincial de expropiación forzosa de Cádiz a fin de que, en el plazo de diez días, remitiera copia testimoniada del expediente de expropiación núm. 2006-2003.</w:t>
      </w:r>
    </w:p>
    <w:p w:rsidR="0085709A" w:rsidRDefault="0085709A" w:rsidP="0085709A">
      <w:pPr>
        <w:pStyle w:val="TextoNormal"/>
      </w:pPr>
    </w:p>
    <w:p w:rsidR="0085709A" w:rsidRDefault="0085709A" w:rsidP="0085709A">
      <w:pPr>
        <w:pStyle w:val="TextoNormal"/>
      </w:pPr>
      <w:r w:rsidRPr="0085709A">
        <w:rPr>
          <w:rStyle w:val="NumeroAFNegritaCaracter"/>
        </w:rPr>
        <w:t>8</w:t>
      </w:r>
      <w:r>
        <w:t>. Por diligencia de ordenación de la misma Secretaría de Justicia de fecha 17 de diciembre de 2013 se acordó dar vista de las actuaciones recibidas a las partes personadas, por plazo común de veinte días, para que dentro de dicho término pudieran presentar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presentó sus alegaciones mediante escrito registrado el 10 de enero de 2014 en el que solicita al Tribunal que “dicte sentencia con arreglo a Derecho.” Tras resumir la doctrina constitucional sobre la inadmisión del recurso de casación en el orden contencioso-administrativo por defectos insubsanables del escrito de preparación, analiza el art. 89.1 LJCA y, en especial, el contenido de la expresión “los requisitos de forma exigidos” y razona que no son exclusivamente los que figuran con claridad en la Ley sino también “los que el tribunal de casación pueda añadir al interpretar y aplicar la Ley procesal sin desbordar los límites constitucionales, lo que equivale a decir sin arbitrariedad o irrazonabilidad”; concluye que, aunque es muy discutible, no puede calificarse de arbitraria o irrazonable la exigencia contenida en el ATS de 10 de febrero de 2011 de anticipar resumidamente en todos los casos los motivos casacionales que se desarrollarán en el escrito de interposición, citando las normas o la jurisprudencia que se reputen infringidas. No obstante lo anterior, aprecia que la aplicación retroactiva de las nuevas máximas jurisprudenciales, inexistentes o de imposible conocimiento cuando se presentó el escrito de preparación del recurso de casación, sin dar oportunidad de ajustar el mismo a las nuevas exigencias, constituye una aplicación irrazonable, por contraria a la confianza legítima, de aquellos requisitos, que comporta una vulneración del derecho a la tutela judicial efectiva (24.1 CE) en su vertiente de derecho de acceso a los recursos.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10</w:t>
      </w:r>
      <w:r>
        <w:t>. La sociedad recurrente en amparo presentó sus alegaciones el 27 de enero de 2014, mediante escrito en el que manifestó que se ratificaba íntegramente en su demanda, que reprodujo parcialmente, añadiendo nuevas citas de doctrina constitucional.</w:t>
      </w:r>
    </w:p>
    <w:p w:rsidR="0085709A" w:rsidRDefault="0085709A" w:rsidP="0085709A">
      <w:pPr>
        <w:pStyle w:val="TextoNormal"/>
      </w:pPr>
    </w:p>
    <w:p w:rsidR="0085709A" w:rsidRDefault="0085709A" w:rsidP="0085709A">
      <w:pPr>
        <w:pStyle w:val="TextoNormal"/>
      </w:pPr>
      <w:r w:rsidRPr="0085709A">
        <w:rPr>
          <w:rStyle w:val="NumeroAFNegritaCaracter"/>
        </w:rPr>
        <w:t>11</w:t>
      </w:r>
      <w:r>
        <w:t xml:space="preserve">. El Ministerio Fiscal presentó sus alegaciones mediante escrito registrado el 13 de febrero de 2014 en el que interesó que se desestimara por completo el recurso de amparo. Tras recordar la evolución de la jurisprudencia del Tribunal Supremo relativa a los requisitos del escrito de interposición del recurso de casación, y la doctrina del Tribunal Constitucional sobre el derecho de acceso a los recursos y, en particular, al recurso de casación, concluye que los Autos frente a los que se demanda el amparo están en este caso debidamente motivados y no incurren en error patente, irrazonabilidad o arbitrariedad, porque la </w:t>
      </w:r>
      <w:r>
        <w:lastRenderedPageBreak/>
        <w:t>exigencia que aplican se deriva de la literalidad de los apartados c) y d) del art. 88.1 LJCA, el primero de los cuales regula precisamente el motivo de casación que fue esgrimido por la demandante en el escrito de preparación del recurso, relativo a las infracciones de las normas reguladoras de la Sentencia o de las que rigen los actos y garantías procesales, por lo que no resulta irrazonable que tales normas se concreten al preparar el recurso.</w:t>
      </w:r>
    </w:p>
    <w:p w:rsidR="0085709A" w:rsidRDefault="0085709A" w:rsidP="0085709A">
      <w:pPr>
        <w:pStyle w:val="TextoNormal"/>
      </w:pPr>
    </w:p>
    <w:p w:rsidR="0085709A" w:rsidRDefault="0085709A" w:rsidP="0085709A">
      <w:pPr>
        <w:pStyle w:val="TextoNormal"/>
      </w:pPr>
      <w:r w:rsidRPr="0085709A">
        <w:rPr>
          <w:rStyle w:val="NumeroAFNegritaCaracter"/>
        </w:rPr>
        <w:t>12</w:t>
      </w:r>
      <w:r>
        <w:t>. Por escrito de fecha 4 de noviembre de 2014, el Magistrado de este Tribunal don Ricardo Enríquez Sancho solicitó que se le tuviera por abstenido en el presente recurso, dada la concurrencia de la causa de abstención prevista en el art. 219.11 LOPJ, habida cuenta de que formó parte de la Sección Primera de la Sala Tercera del Tribunal Supremo que dictó los Autos de 20 de septiembre de 2011 y 12 de abril de 2012, de los que trae causa el presente recurso de amparo. Por ATC 273/2014, de 6 de noviembre, la Sala Segunda de este Tribunal acordó estimar justificada la abstención para el conocimiento del presente recurso de amparo formulada por el Magistrado don Ricardo Enríquez Sancho, apartándole definitivamente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13</w:t>
      </w:r>
      <w:r>
        <w:t>. El Pleno de este Tribunal, mediante providencia de 17 de marzo de 2015, acordó, de conformidad con el art. 10.1 n) LOTC, a propuesta de la Sala Segunda, recabar para sí el conocimiento de este recurso de amparo.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sociedad demandante de amparo impugna en este proceso constitucional el Auto de la Sección Primera de la Sala de lo Contencioso-Administrativo del Tribunal Supremo de 29 de septiembre de 2011, que acordó no admitir a trámite el recurso de casación núm. 1281-2011, interpuesto contra la Sentencia de la Sección Cuarta de la Sala de lo Contencioso-Administrativo del Tribunal Superior de Justicia de Andalucía, con sede en Sevilla, de 29 de abril de 2010, dictada en el procedimiento ordinario núm. 35-2007. También impugna el Auto de 12 de abril de 2012, que desestimó el incidente de nulidad de actuaciones promovido contra el Auto inicialmente citado.</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El Abogado del Estado ha solicitado que se dicte una sentencia conforme a derecho, por entender que no resulta razonable exigir el cumplimiento de unos requisitos de forma en un determinado acto procesal, que razonablemente no se podían conocer en el momento en que se realizó dicho acto. Por su parte, el Ministerio Fiscal ha interesado la desestimación del recurso.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Asimismo, debe rechazarse que la exigencia del nuevo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 añadirse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su excepción por disposición legal que establezca </w:t>
      </w:r>
      <w:r>
        <w:lastRenderedPageBreak/>
        <w:t>el efecto exclusivamente prospectivo de la Sentencia, como el art. 100.7 de la Ley reguladora de la jurisdicción contencioso-administrativa en el recurso de casación en interés de ley).</w:t>
      </w:r>
    </w:p>
    <w:p w:rsidR="0085709A" w:rsidRDefault="0085709A" w:rsidP="0085709A">
      <w:pPr>
        <w:pStyle w:val="TextoNormal"/>
      </w:pPr>
    </w:p>
    <w:p w:rsidR="0085709A" w:rsidRDefault="0085709A" w:rsidP="0085709A">
      <w:pPr>
        <w:pStyle w:val="TextoNormal"/>
      </w:pPr>
      <w:r>
        <w:t>Así tuvo ocasión de señalarlo ya la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3</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Transportes de tierra, aire y mar, S.A.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abril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respecto de la Sentencia dictada en el recurso de amparo avocado al Pleno núm. 3985-2012.</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pleno respeto a la opinión de la mayoría del Pleno, manifiesto mi discrepancia con la desestimación del amparo negando la vulneración del art. 24.1 CE, en su vertiente de derecho de acceso a los recursos, relativa a la aplicación retroactiva de la exigencia de anticipar en el escrito de preparación del recurso de casación los concretos preceptos o la jurisprudencia que se reputan infringidos, pese a que como ponente de la presente Sentencia y, en dicha condición, recojo en ella la opinión mayoritaria del Pleno.</w:t>
      </w:r>
    </w:p>
    <w:p w:rsidR="0085709A" w:rsidRDefault="0085709A" w:rsidP="0085709A">
      <w:pPr>
        <w:pStyle w:val="TextoNormal"/>
      </w:pPr>
    </w:p>
    <w:p w:rsidR="0085709A" w:rsidRDefault="0085709A" w:rsidP="0085709A">
      <w:pPr>
        <w:pStyle w:val="TextoNormal"/>
      </w:pPr>
      <w:r>
        <w:t>En cuanto a la fundamentación de mi discrepancia, me remito a lo expuesto en el apartado 2 del Voto particular formulado por el Magistrado don Juan Antonio Xiol Ríos a la STC 7/2015, de 22 de enero, al que entonces me adherí.</w:t>
      </w:r>
    </w:p>
    <w:p w:rsidR="0085709A" w:rsidRDefault="0085709A" w:rsidP="0085709A">
      <w:pPr>
        <w:pStyle w:val="TextoNormal"/>
      </w:pPr>
    </w:p>
    <w:p w:rsidR="0085709A" w:rsidRDefault="0085709A" w:rsidP="0085709A">
      <w:pPr>
        <w:pStyle w:val="TextoNormal"/>
      </w:pPr>
      <w:r>
        <w:t>Madrid, a catorce de abril de dos mil quince.</w:t>
      </w:r>
    </w:p>
    <w:p w:rsidR="0085709A" w:rsidRDefault="0085709A" w:rsidP="0085709A">
      <w:pPr>
        <w:pStyle w:val="TextoNormal"/>
      </w:pPr>
    </w:p>
    <w:p w:rsidR="0085709A" w:rsidRDefault="0085709A" w:rsidP="0085709A">
      <w:pPr>
        <w:pStyle w:val="TextoNormalNegritaCentrado"/>
        <w:keepNext/>
      </w:pPr>
      <w:r>
        <w:t>Voto particular que formulan los Magistrados don Fernando Valdés Dal-Ré y don Juan Antonio Xiol Ríos a la Sentencia dictada en el recurso de amparo avocado núm. 3985-2012.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las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catorce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4" w:name="SENTENCIA_2015_71"/>
      <w:r>
        <w:lastRenderedPageBreak/>
        <w:t>SENTENCIA 71/2015, de 14 de abril de 2015</w:t>
      </w:r>
    </w:p>
    <w:bookmarkEnd w:id="74"/>
    <w:p w:rsidR="0085709A" w:rsidRDefault="0085709A" w:rsidP="0085709A">
      <w:pPr>
        <w:pStyle w:val="TtuloResolucin"/>
      </w:pPr>
      <w:r>
        <w:t>Pleno</w:t>
      </w:r>
    </w:p>
    <w:p w:rsidR="0085709A" w:rsidRDefault="0085709A" w:rsidP="0085709A">
      <w:pPr>
        <w:pStyle w:val="TtuloBOE"/>
      </w:pPr>
      <w:r>
        <w:t>(BOE núm. 122, de 22 de mayo de 2015)</w:t>
      </w:r>
    </w:p>
    <w:p w:rsidR="0085709A" w:rsidRDefault="0085709A" w:rsidP="0085709A">
      <w:pPr>
        <w:pStyle w:val="TextoNormalCentrado"/>
      </w:pPr>
      <w:r>
        <w:t>ECLI:ES:TC:2015:71</w:t>
      </w:r>
    </w:p>
    <w:p w:rsidR="0085709A" w:rsidRDefault="0085709A" w:rsidP="0085709A">
      <w:pPr>
        <w:pStyle w:val="TextoNormalCentrado"/>
      </w:pPr>
    </w:p>
    <w:p w:rsidR="0085709A" w:rsidRDefault="0085709A" w:rsidP="0085709A">
      <w:pPr>
        <w:pStyle w:val="SntesisDescriptiva"/>
      </w:pPr>
      <w:r>
        <w:t>Recurso de amparo 4503-2012. Promovido por Construcciones Azagra, S.A., en relación con el Auto de la Sala de lo Contencioso-Administrativo del Tribunal Supremo que inadmitió su recurso de casación frente a Sentencia de la Audiencia Nacional sobre impuesto sobre el valor añadido.</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4503-2012, promovido por la mercantil CONSTRUCCIONES AZAGRA, S.A., representada por el Procurador de los Tribunales don Luis Estrugo Muñoz y asistida por el Abogado don Antonio Francisco Delgado González, contra el Auto de la Sección Primera de la Sala de lo Contencioso-Administrativo del Tribunal Supremo, </w:t>
      </w:r>
      <w:r>
        <w:lastRenderedPageBreak/>
        <w:t>de 1 de marzo de 2012, que inadmite el recurso de casación núm. 4824/2011, deducido contra la Sentencia de la Sala de lo Contencioso-Administrativo de la Audiencia Nacional de 29 de junio de 2011, y contra la providencia de 28 de mayo de 2012 por la que se inadmite a trámite el incidente de nulidad de actuaciones promovido contra aquel Auto. Ha sido parte el Abogado del Estado, en la representación que ostenta, y ha intervenido el Ministerio Fiscal.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13 de julio de 2012 el Procurador de los Tribunales don Luis Estrugo Muñoz, actuando en nombre y representación de la mercantil Construcciones Azagra, S.A., interpuso recurso de amparo contra las resoluciones judiciales que se mencionan en el encabezamiento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relevantes para la resolución del presente recurso de amparo son, sucintamente expuestos, los siguientes:</w:t>
      </w:r>
    </w:p>
    <w:p w:rsidR="0085709A" w:rsidRDefault="0085709A" w:rsidP="0085709A">
      <w:pPr>
        <w:pStyle w:val="TextoNormal"/>
      </w:pPr>
    </w:p>
    <w:p w:rsidR="0085709A" w:rsidRDefault="0085709A" w:rsidP="0085709A">
      <w:pPr>
        <w:pStyle w:val="TextoNormal"/>
      </w:pPr>
      <w:r>
        <w:t>a) La sociedad demandante de amparo interpuso recurso contencioso-administrativo contra resolución del Tribunal Económico-Administrativo Central de 22 de junio de 2010, en materia de impuesto sobre el valor añadido. Seguido el procedimiento por sus trámites con el núm. 578-2010, la Sección Sexta de la Sala de lo Contencioso-Administrativo de la Audiencia Nacional dictó Sentencia parcialmente estimatoria el 29 de junio de 2011.</w:t>
      </w:r>
    </w:p>
    <w:p w:rsidR="0085709A" w:rsidRDefault="0085709A" w:rsidP="0085709A">
      <w:pPr>
        <w:pStyle w:val="TextoNormal"/>
      </w:pPr>
    </w:p>
    <w:p w:rsidR="0085709A" w:rsidRDefault="0085709A" w:rsidP="0085709A">
      <w:pPr>
        <w:pStyle w:val="TextoNormal"/>
      </w:pPr>
      <w:r>
        <w:t>b) Contra la anterior Sentencia la demandante de amparo preparó recurso de casación, en el que precisó que iba a fundarse en la infracción de las normas del ordenamiento jurídico o de la jurisprudencia que fueran aplicables para resolver las cuestiones objeto de debate. El recurso fue tenido por preparado por diligencia de ordenación del Secretario de la Sala de lo Contencioso-Administrativo de la Audiencia Nacional de 7 de septiembre de 2011.</w:t>
      </w:r>
    </w:p>
    <w:p w:rsidR="0085709A" w:rsidRDefault="0085709A" w:rsidP="0085709A">
      <w:pPr>
        <w:pStyle w:val="TextoNormal"/>
      </w:pPr>
    </w:p>
    <w:p w:rsidR="0085709A" w:rsidRDefault="0085709A" w:rsidP="0085709A">
      <w:pPr>
        <w:pStyle w:val="TextoNormal"/>
      </w:pPr>
      <w:r>
        <w:t>c) El 14 de octubre de 2011 la demandante presentó en el Registro General del Tribunal Supremo el escrito de interposición del recurso de casación, que fue registrado con el núm. 4824-2011.</w:t>
      </w:r>
    </w:p>
    <w:p w:rsidR="0085709A" w:rsidRDefault="0085709A" w:rsidP="0085709A">
      <w:pPr>
        <w:pStyle w:val="TextoNormal"/>
      </w:pPr>
    </w:p>
    <w:p w:rsidR="0085709A" w:rsidRDefault="0085709A" w:rsidP="0085709A">
      <w:pPr>
        <w:pStyle w:val="TextoNormal"/>
      </w:pPr>
      <w:r>
        <w:t>d) Por providencia de 9 de enero de 2012 la Sección Primera de la Sala de lo Contencioso-Administrativo del Tribunal Supremo acordó poner de manifiesto las actuaciones a las partes, por término de diez días, para que formularan alegaciones sobre la posible concurrencia de la causa de inadmisión del recurso de casación consistente en “no haberse citado en el escrito de preparación del recurso de casación las infracciones normativas o jurisprudenciales que la recurrente desarrollará en el escrito de interposición (artículos 88.1; 89.1 y 93.2.a) LRJCA y Auto de la Sala de 10 de febrero de 2011, recurso de casación 2927/2010)”. El trámite fue verificado por el Abogado del Estado, que estimó procedente que se declarase la inadmisión del recurso por la causa expuesta, y por la sociedad recurrente, que interesó su admisión.</w:t>
      </w:r>
    </w:p>
    <w:p w:rsidR="0085709A" w:rsidRDefault="0085709A" w:rsidP="0085709A">
      <w:pPr>
        <w:pStyle w:val="TextoNormal"/>
      </w:pPr>
    </w:p>
    <w:p w:rsidR="0085709A" w:rsidRDefault="0085709A" w:rsidP="0085709A">
      <w:pPr>
        <w:pStyle w:val="TextoNormal"/>
      </w:pPr>
      <w:r>
        <w:t xml:space="preserve">e) Mediante Auto de 1 de marzo de 2012 la Sala declaró la inadmisión del recurso de casación por estar defectuosamente preparado, remitiéndose a las consideraciones jurídicas </w:t>
      </w:r>
      <w:r>
        <w:lastRenderedPageBreak/>
        <w:t>contenidas en el ATS de 10 de febrero de 2011, reiteradas en los AATS de 8 de septiembre y de 6 de octubre de 2011, a la vista de las cuales concluyó que, no habiéndose mencionado en el escrito de preparación las concretas y específicas infracciones normativas o jurisprudenciales que se pretendían denunciar y desarrollar en el escrito de interposición del recurso, aunque fuere sucintamente, puesto que el anuncio de interposición del recurso se limitaba a citar el art. 88.1 de la Ley reguladora de la jurisdicción contencioso-administrativa (LJCA) y a señalar a continuación que el recurso de casación se iba a fundar en el motivo consistente en la infracción de las normas del ordenamiento jurídico o de la jurisprudencia que fueran aplicables para resolver las cuestiones objeto de debate, el recurso era inadmisible por su defectuosa preparación.</w:t>
      </w:r>
    </w:p>
    <w:p w:rsidR="0085709A" w:rsidRDefault="0085709A" w:rsidP="0085709A">
      <w:pPr>
        <w:pStyle w:val="TextoNormal"/>
      </w:pPr>
    </w:p>
    <w:p w:rsidR="0085709A" w:rsidRDefault="0085709A" w:rsidP="0085709A">
      <w:pPr>
        <w:pStyle w:val="TextoNormal"/>
      </w:pPr>
      <w:r>
        <w:t>f) El 23 de abril de 2012 la sociedad demandante de amparo promovió incidente de nulidad de actuaciones, en el que denunció la vulneración de su derecho a la tutela judicial efectiva en su vertiente de acceso al recurso (art. 24.1 CE). Sostuvo que en el Auto recurrido se había aplicado de forma arbitraria un precepto distinto al previsto en la LJCA para el examen de los requisitos del escrito de preparación del recurso de casación, sin que ello responda a la finalidad de evitar la indefensión de la parte recurrida, lo que pone de manifiesto la dejación por el Tribunal de su deber de juzgar. Alegó también la contravención de la doctrina del Tribunal Europeo de Derechos Humanos contenida, entre otras, en la STEDH de 9 de noviembre de 2004, que declara que la inadmisión de un recurso de casación por omisión del motivo en que se funda, sin posibilidad de subsanación, se basa en una interpretación rigorista y desproporcionada que vulnera el derecho a la tutela judicial efectiva y el art. 6.1 del Convenio europeo para la protección de los derechos humanos y de las libertades fundamentales (CEDH).</w:t>
      </w:r>
    </w:p>
    <w:p w:rsidR="0085709A" w:rsidRDefault="0085709A" w:rsidP="0085709A">
      <w:pPr>
        <w:pStyle w:val="TextoNormal"/>
      </w:pPr>
    </w:p>
    <w:p w:rsidR="0085709A" w:rsidRDefault="0085709A" w:rsidP="0085709A">
      <w:pPr>
        <w:pStyle w:val="TextoNormal"/>
      </w:pPr>
      <w:r>
        <w:t>g) En providencia de 28 de mayo de 2012 la Sección Primera de la Sala de lo Contencioso-Administrativo del Tribunal Supremo inadmitió a trámite el incidente de nulidad de actuaciones promovido por la sociedad demandante, por entender que la demandante expresaba su discrepancia con la declaración de inadmisión del recurso y con los razonamientos jurídicos que la fundaban utilizando el incidente de nulidad como si se tratara de un recurso de súplica, y que las posibles restricciones a la recurribilidad de la Sentencia que se pretendía impugnar no vulneraban el derecho fundamental de acceso a los recursos, que no se quebranta porque un proceso contencioso-administrativo quede resuelto en única instancia, como es doctrina reiterada del Tribunal Constitucional.</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La sociedad demandante de amparo imputa a las resoluciones del Tribunal Supremo impugnadas la vulneración del derecho a la tutela judicial efectiva (art. 24.1 CE) en su vertiente de acceso a los recursos. Sostiene que imponen un requisito no previsto en el art. 89.1 LJCA, que no exige que en el escrito de preparación del recurso de casación se citen las infracciones normativas o jurisprudenciales que se desarrollarán en el escrito de interposición. Añade que la parte recurrida conocerá los motivos del recurso y podrá, en consecuencia, adoptar una posición al respecto cuando se le dé traslado del escrito de formalización del mismo, lo que excluye que la omisión del nuevo requisito pueda producirle indefensión. Por último, que la Sentencia del Tribunal Europeo de Derechos Humanos de 9 de noviembre de 2004 (asunto </w:t>
      </w:r>
      <w:r w:rsidRPr="0085709A">
        <w:rPr>
          <w:i/>
        </w:rPr>
        <w:t>Sáez Maeso c. España</w:t>
      </w:r>
      <w:r>
        <w:t>) ha declarado que la inadmisión de un recurso de casación por la omisión en el escrito de interposición del motivo en el que se funda el re</w:t>
      </w:r>
      <w:r>
        <w:lastRenderedPageBreak/>
        <w:t>curso, sin posibilidad de subsanación, constituye una interpretación rigorista y desproporcionada que vulnera el derecho a la tutela judicial efectiva consagrado en el art. 24 CE y el art. 6.1 CEDH lo que, con mayor motivo, es aplicable al presente caso.</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27 de septiembre de 2013, el Magistrado de este Tribunal don Juan José González Rivas solicitó que se le tuviera por abstenido en el presente recurso, dada la concurrencia de la causa de abstención prevista en el art. 219.11 de la Ley Orgánica del Poder Judicial (LOPJ), habida cuenta de que formó parte de la Sección Primera de la Sala Tercera del Tribunal Supremo, que dictó el Auto de inadmisión de 1 de marzo de 2012, del que trae causa el presente recurso de amparo. Por ATC 203/2013, de 27 de septiembre, la Sala Segunda de este Tribunal estimó justificada la abstención para el conocimiento del presente recurso de amparo formulada por el Magistrado don Juan José González Rivas, apartándole definitivamente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10 de octubre de 2013 la Sala Segunda del Tribunal Constitucional acordó admitir a trámite la demanda de amparo. Asimismo, en aplicación de lo dispuesto en el art. 51 de la Ley Orgánica del Tribunal constitucional (LOTC), acordó dirigir atenta comunicación a la Sección Primera de la Sala de lo Contencioso-Administrativo del Tribunal Supremo y a la Sección Sexta de la Sala de lo Contencioso-Administrativo de la Audiencia Nacional a fin de que, en el plazo de diez días, remitieran certificación o fotocopia adverada de las actuaciones correspondientes al recurso de casación núm. 4824-2011 y al recurso núm. 578-2010,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29 de octubre de 2013, el Abogado del Estado, en la representación que le es propia,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fecha 15 de noviembre de 2013 se tuvo por personado y parte en el procedimiento al Abogado del Estado en la representación que le es propia, y se acordó reclamar al Tribunal Económico-Administrativo Central el expediente relativo a la resolución de 22 de junio de 2010, desestimatoria del recurso de alzada interpuesto contra la resolución del Tribunal Económico-Administrativo Regional de Andalucía de 29 de abril de 2008.</w:t>
      </w:r>
    </w:p>
    <w:p w:rsidR="0085709A" w:rsidRDefault="0085709A" w:rsidP="0085709A">
      <w:pPr>
        <w:pStyle w:val="TextoNormal"/>
      </w:pPr>
    </w:p>
    <w:p w:rsidR="0085709A" w:rsidRDefault="0085709A" w:rsidP="0085709A">
      <w:pPr>
        <w:pStyle w:val="TextoNormal"/>
      </w:pPr>
      <w:r w:rsidRPr="0085709A">
        <w:rPr>
          <w:rStyle w:val="NumeroAFNegritaCaracter"/>
        </w:rPr>
        <w:t>8</w:t>
      </w:r>
      <w:r>
        <w:t>. Por diligencia de ordenación de la misma Secretaría de Justicia de fecha 7 de enero de 2014 se acordó dar vista de las actuaciones recibidas a la parte recurrente, al Ministerio Fiscal y al Abogado del Estado, por plazo común de veinte días, para que dentro de dicho término pudieran presentar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El Abogado del Estado presentó sus alegaciones mediante escrito registrado el 6 de febrero de 2014, en el que interesa que se dicte Sentencia desestimatoria del recurso. Expone que el Auto del Tribunal Supremo de 10 de febrero de 2011, que establece la exigencia del nuevo requisito, es bastante anterior a la Sentencia de la Audiencia Nacional cuyo recurso se inadmite, de fecha 29 de junio de 2011. Y razona que, a la luz de la doctrina constitucional </w:t>
      </w:r>
      <w:r>
        <w:lastRenderedPageBreak/>
        <w:t>que expone, el Auto que interpreta el art. 89.1 LJCA no vulnera el derecho de acceso a los recursos garantizado por el art. 24.1 CE. Se funda en que es lícito interpretar que con la imprecisa expresión “los requisitos de forma exigidos”, que contiene el art. 89.1 LJCA, el legislador procesal administrativo ha querido conceder al Tribunal de casación un amplio margen para determinar cómo debe conformarse, en la acepción de “dar forma” el escrito de preparación. En una visión realista, concluye, los “requisitos de forma” del escrito de preparación son los que claramente figuran en la ley, pero también los que el Tribunal de casación pueda añadir al interpretar y aplicar la ley procesal sin desbordar los límites constitucionales constituidos por la arbitrariedad y la irrazonabilidad, lo que no puede predicarse de la exigencia jurisprudencial de anticipar resumidamente los motivos casacionales que se desarrollarán en el escrito de interposición, citando las normas o la jurisprudencia que se reputen infringidas, también cuando se trate de Sentencias dictadas por la Audiencia Nacional.</w:t>
      </w:r>
    </w:p>
    <w:p w:rsidR="0085709A" w:rsidRDefault="0085709A" w:rsidP="0085709A">
      <w:pPr>
        <w:pStyle w:val="TextoNormal"/>
      </w:pPr>
    </w:p>
    <w:p w:rsidR="0085709A" w:rsidRDefault="0085709A" w:rsidP="0085709A">
      <w:pPr>
        <w:pStyle w:val="TextoNormal"/>
      </w:pPr>
      <w:r w:rsidRPr="0085709A">
        <w:rPr>
          <w:rStyle w:val="NumeroAFNegritaCaracter"/>
        </w:rPr>
        <w:t>10</w:t>
      </w:r>
      <w:r>
        <w:t>. La representación procesal de la demandante de amparo presentó escrito el 7 de febrero de 2014 en el que manifestó que se remitía para sus alegaciones al contenido íntegro de la demanda de amparo.</w:t>
      </w:r>
    </w:p>
    <w:p w:rsidR="0085709A" w:rsidRDefault="0085709A" w:rsidP="0085709A">
      <w:pPr>
        <w:pStyle w:val="TextoNormal"/>
      </w:pPr>
    </w:p>
    <w:p w:rsidR="0085709A" w:rsidRDefault="0085709A" w:rsidP="0085709A">
      <w:pPr>
        <w:pStyle w:val="TextoNormal"/>
      </w:pPr>
      <w:r w:rsidRPr="0085709A">
        <w:rPr>
          <w:rStyle w:val="NumeroAFNegritaCaracter"/>
        </w:rPr>
        <w:t>11</w:t>
      </w:r>
      <w:r>
        <w:t>. El Ministerio Fiscal presentó sus alegaciones mediante escrito registrado el 6 de marzo de 2014 en el que interesó que se desestimara íntegramente el recurso de amparo. Tras sintetizar la doctrina del Tribunal sobre el derecho de acceso a los recursos y, en particular, al recurso de casación, concluye que el Auto del Tribunal Supremo que declara la inadmisión del recurso de casación en este caso está debidamente motivado y no incurre en error patente, irrazonabilidad o arbitrariedad, porque la exigencia que aplica se deriva de los apartados c) y d) del art. 88.1 LJCA. Y añade que cuando la sociedad demandante de amparo preparó su recurso de casación ya era constante la jurisprudencia iniciada con el ATS de 10 de febrero de 2011, por lo que no puede apreciarse la concurrencia de ninguna infracción constitucional.</w:t>
      </w:r>
    </w:p>
    <w:p w:rsidR="0085709A" w:rsidRDefault="0085709A" w:rsidP="0085709A">
      <w:pPr>
        <w:pStyle w:val="TextoNormal"/>
      </w:pPr>
    </w:p>
    <w:p w:rsidR="0085709A" w:rsidRDefault="0085709A" w:rsidP="0085709A">
      <w:pPr>
        <w:pStyle w:val="TextoNormal"/>
      </w:pPr>
      <w:r w:rsidRPr="0085709A">
        <w:rPr>
          <w:rStyle w:val="NumeroAFNegritaCaracter"/>
        </w:rPr>
        <w:t>12</w:t>
      </w:r>
      <w:r>
        <w:t>. Por escrito de fecha 4 de noviembre de 2014, el Magistrado de este Tribunal don Ricardo Enríquez Sancho solicitó que se le tuviera por abstenido en el presente recurso, dada la concurrencia de la causa de abstención prevista en el art. 219.11 LOPJ, habida cuenta de que formó parte de la Sección Primera de la Sala Tercera del Tribunal Supremo que dictó el Auto de inadmisión de 1 de marzo de 2012, del que trae causa el presente recurso de amparo. Por ATC 274/2014, de 6 de noviembre, la Sala Segunda de este Tribunal acordó estimar justificada la abstención para el conocimiento del presente recurso de amparo formulada por el Magistrado don Ricardo Enríquez Sancho, apartándole definitivamente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13</w:t>
      </w:r>
      <w:r>
        <w:t>. El Pleno de este Tribunal, mediante providencia de 17 de marzo de 2015, acordó, de conformidad con el art. 10.1 n) LOTC, a propuesta de la Sala Segunda, recabar para sí el conocimiento de este recurso de amparo.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en este proceso constitucional el Auto de la Sección Primera de la Sala de lo Contencioso-Administrativo del Tribunal Supremo de 1 de marzo de 2012, que acordó no admitir a trámite el recurso de casación núm. 4824-2011, interpuesto contra la Sentencia de la Sala de lo Contencioso-Administrativo de la Audiencia Nacional de 29 de junio de 2011, dictada en el procedimiento ordinario núm. 578-2010. También impugna la providencia de 28 de mayo de 2012, por la que se inadmitió a trámite el incidente de nulidad de actuaciones promovido contra el Auto citado.</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la vulneración de su derecho a la tutela judicial efectiva (art. 24.1 CE), en su vertiente de acceso a los recursos, porque el Auto impugnado se funda en un requisito de admisibilidad no exigido por la ley. Por su parte, han solicitado la desestimación del recurso tanto el Abogado del Estado como el Ministerio Fiscal.</w:t>
      </w:r>
    </w:p>
    <w:p w:rsidR="0085709A" w:rsidRDefault="0085709A" w:rsidP="0085709A">
      <w:pPr>
        <w:pStyle w:val="TextoNormal"/>
      </w:pPr>
    </w:p>
    <w:p w:rsidR="0085709A" w:rsidRDefault="0085709A" w:rsidP="0085709A">
      <w:pPr>
        <w:pStyle w:val="TextoNormal"/>
      </w:pPr>
      <w:r w:rsidRPr="0085709A">
        <w:rPr>
          <w:rStyle w:val="NumeroAFNegritaCaracter"/>
        </w:rPr>
        <w:t>2</w:t>
      </w:r>
      <w:r>
        <w:t>. La cuestión planteada en la demanda de amparo ha sido ya abordada por este Tribunal en la STC 7/2015, de 22 de enero, en la que el Tribunal Constitucional ha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lastRenderedPageBreak/>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de noviembre de 2003; e </w:t>
      </w:r>
      <w:r w:rsidRPr="0085709A">
        <w:rPr>
          <w:i/>
        </w:rPr>
        <w:t>Ipamark c. España</w:t>
      </w:r>
      <w:r>
        <w:t>,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lastRenderedPageBreak/>
        <w:t>En consideración a lo hasta aquí argumentado,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Construcciones Azagra, S.A.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abril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respecto de la Sentencia dictada en el recurso de amparo avocado al Pleno núm. 4503-2012.</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pleno respeto a la opinión de la mayoría del Pleno, manifiesto mi discrepancia con la desestimación del amparo negando la vulneración del art. 24.1 CE, en su vertiente de derecho de acceso a los recursos, relativa a la falta de cobertura legal de la causa de inadmisión impugnada, pese a que como ponente de la presente Sentencia y, en dicha condición, recojo en ella la opinión mayoritaria del Pleno.</w:t>
      </w:r>
    </w:p>
    <w:p w:rsidR="0085709A" w:rsidRDefault="0085709A" w:rsidP="0085709A">
      <w:pPr>
        <w:pStyle w:val="TextoNormal"/>
      </w:pPr>
    </w:p>
    <w:p w:rsidR="0085709A" w:rsidRDefault="0085709A" w:rsidP="0085709A">
      <w:pPr>
        <w:pStyle w:val="TextoNormal"/>
      </w:pPr>
      <w:r>
        <w:t>En cuanto a la fundamentación jurídica de mi discrepancia, me remito a lo expuesto en el apartado 1 del Voto particular formulado por el Magistrado don Juan Antonio Xiol Ríos a la STC 7/2015, de 22 de enero, al que entonces me adherí.</w:t>
      </w:r>
    </w:p>
    <w:p w:rsidR="0085709A" w:rsidRDefault="0085709A" w:rsidP="0085709A">
      <w:pPr>
        <w:pStyle w:val="TextoNormal"/>
      </w:pPr>
    </w:p>
    <w:p w:rsidR="0085709A" w:rsidRDefault="0085709A" w:rsidP="0085709A">
      <w:pPr>
        <w:pStyle w:val="TextoNormal"/>
      </w:pPr>
      <w:r>
        <w:t>Madrid, a catorce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5" w:name="SENTENCIA_2015_72"/>
      <w:r>
        <w:lastRenderedPageBreak/>
        <w:t>SENTENCIA 72/2015, de 14 de abril de 2015</w:t>
      </w:r>
    </w:p>
    <w:bookmarkEnd w:id="75"/>
    <w:p w:rsidR="0085709A" w:rsidRDefault="0085709A" w:rsidP="0085709A">
      <w:pPr>
        <w:pStyle w:val="TtuloResolucin"/>
      </w:pPr>
      <w:r>
        <w:t>Pleno</w:t>
      </w:r>
    </w:p>
    <w:p w:rsidR="0085709A" w:rsidRDefault="0085709A" w:rsidP="0085709A">
      <w:pPr>
        <w:pStyle w:val="TtuloBOE"/>
      </w:pPr>
      <w:r>
        <w:t>(BOE núm. 122, de 22 de mayo de 2015)</w:t>
      </w:r>
    </w:p>
    <w:p w:rsidR="0085709A" w:rsidRDefault="0085709A" w:rsidP="0085709A">
      <w:pPr>
        <w:pStyle w:val="TextoNormalCentrado"/>
      </w:pPr>
      <w:r>
        <w:t>ECLI:ES:TC:2015:72</w:t>
      </w:r>
    </w:p>
    <w:p w:rsidR="0085709A" w:rsidRDefault="0085709A" w:rsidP="0085709A">
      <w:pPr>
        <w:pStyle w:val="TextoNormalCentrado"/>
      </w:pPr>
    </w:p>
    <w:p w:rsidR="0085709A" w:rsidRDefault="0085709A" w:rsidP="0085709A">
      <w:pPr>
        <w:pStyle w:val="SntesisDescriptiva"/>
      </w:pPr>
      <w:r>
        <w:t>Recurso de amparo 112-2013. Promovido por Pegasa 2, S.L., en relación con el Auto de la Sala de lo Contencioso-Administrativo del Tribunal Supremo que inadmitió su recurso de casación frente a Sentencia de la Audiencia Nacional sobre impuesto de sociedades.</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112-2013, promovido por la entidad mercantil Pegasa, 2 S.L., representada por el Procurador de los Tribunales don Felipe Segundo Juanas Blanco y asistida por el Abogado don Jordi Ponsá Serrano, contra el Auto de la Sección Primera de la Sala de lo Contencioso-Administrativo del Tribunal Supremo, de fecha 12 de julio de 2012, que resolvió la inadmisión del recurso de casación núm. 6519-2011, interpuesto por la entidad demandante, y contra la providencia, de fecha 20 de noviembre de 2012, que </w:t>
      </w:r>
      <w:r>
        <w:lastRenderedPageBreak/>
        <w:t>inadmitió el incidente de nulidad de actuaciones interpuesto contra la resolución precedente. Ha comparecido el Abogado del Estado, en la representación que ostenta, y ha intervenido el Ministerio Fiscal. Ha sido Ponente el Magistrado don Pedro González Trevijano-Sánchez,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8 de enero del 2013 tuvo entrada en el Registro General de este Tribunal el escrito presentado por el Procurador de los Tribunales don Felipe Segundo Juanas Blanco, actuando en nombre y representación de Pegasa 2, S.L., y bajo la dirección letrada del Abogado don Jordi Ponsá Serrano, mediante el cual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Pegasa 2, S.L., e Inversiones Gampell 2, S.L., interpusieron recurso contencioso-administrativo contra la resolución del Tribunal Económico-Administrativo Central, de fecha 11 de septiembre del 2008, relativo al ejercicio del año 2000 del impuesto de sociedades. La cuantía del recurso quedó fijada en 872.082,23 €.</w:t>
      </w:r>
    </w:p>
    <w:p w:rsidR="0085709A" w:rsidRDefault="0085709A" w:rsidP="0085709A">
      <w:pPr>
        <w:pStyle w:val="TextoNormal"/>
      </w:pPr>
    </w:p>
    <w:p w:rsidR="0085709A" w:rsidRDefault="0085709A" w:rsidP="0085709A">
      <w:pPr>
        <w:pStyle w:val="TextoNormal"/>
      </w:pPr>
      <w:r>
        <w:t>b) Seguido el procedimiento por sus trámites, con el núm. 408-2008, la Sala de lo Contencioso-Administrativo de la Audiencia Nacional (Sección Segunda) dictó, en fecha 10 de noviembre de 2011, Sentencia desestimatoria de las pretensiones de las recurrentes.</w:t>
      </w:r>
    </w:p>
    <w:p w:rsidR="0085709A" w:rsidRDefault="0085709A" w:rsidP="0085709A">
      <w:pPr>
        <w:pStyle w:val="TextoNormal"/>
      </w:pPr>
    </w:p>
    <w:p w:rsidR="0085709A" w:rsidRDefault="0085709A" w:rsidP="0085709A">
      <w:pPr>
        <w:pStyle w:val="TextoNormal"/>
      </w:pPr>
      <w:r>
        <w:t>c) Mediante escrito presentado el día 13 de diciembre del 2011, Pegasa 2, S.L., formuló escrito de preparación del recurso de casación contra la Sentencia recaída en la instancia. En dicho escrito puso de manifiesto la intención de interponer recurso de casación y, a su vez, indicó que el recurso iba a fundarse en los motivos previstos en el art. 88.1 d) de la Ley reguladora de la jurisdicción contencioso-administrativa (LJCA).</w:t>
      </w:r>
    </w:p>
    <w:p w:rsidR="0085709A" w:rsidRDefault="0085709A" w:rsidP="0085709A">
      <w:pPr>
        <w:pStyle w:val="TextoNormal"/>
      </w:pPr>
    </w:p>
    <w:p w:rsidR="0085709A" w:rsidRDefault="0085709A" w:rsidP="0085709A">
      <w:pPr>
        <w:pStyle w:val="TextoNormal"/>
      </w:pPr>
      <w:r>
        <w:t xml:space="preserve">d) Por diligencia de ordenación de fecha 16 de diciembre de 2011, la Sala de lo Contencioso-Administrativo de la Audiencia Nacional tuvo por preparado el recurso de casación. Asimismo, dicho órgano acordó emplazar a la recurrente para que compareciera ante la Sala Tercera del Tribunal Supremo. Una vez recibidas las actuaciones por el órgano </w:t>
      </w:r>
      <w:r w:rsidRPr="0085709A">
        <w:rPr>
          <w:i/>
        </w:rPr>
        <w:t>ad quem</w:t>
      </w:r>
      <w:r>
        <w:t>, el día 31 de enero del 2012 la actora interpuso el recurso de casación ante la Sala Tercera del Tribunal Supremo. El recurso de casación fue registrado con el núm. 6519-2011.</w:t>
      </w:r>
    </w:p>
    <w:p w:rsidR="0085709A" w:rsidRDefault="0085709A" w:rsidP="0085709A">
      <w:pPr>
        <w:pStyle w:val="TextoNormal"/>
      </w:pPr>
    </w:p>
    <w:p w:rsidR="0085709A" w:rsidRDefault="0085709A" w:rsidP="0085709A">
      <w:pPr>
        <w:pStyle w:val="TextoNormal"/>
      </w:pPr>
      <w:r>
        <w:t>e) Por providencia de 11 de mayo de 2012, la Sala Tercera del Tribunal Supremo confirió traslado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y 89.1 y 93.2 a) LJCA, Auto de Sala de 10 de febrero de 2011, recurso de casación 2927-2010].</w:t>
      </w:r>
    </w:p>
    <w:p w:rsidR="0085709A" w:rsidRDefault="0085709A" w:rsidP="0085709A">
      <w:pPr>
        <w:pStyle w:val="TextoNormal"/>
      </w:pPr>
    </w:p>
    <w:p w:rsidR="0085709A" w:rsidRDefault="0085709A" w:rsidP="0085709A">
      <w:pPr>
        <w:pStyle w:val="TextoNormal"/>
      </w:pPr>
      <w:r>
        <w:t xml:space="preserve">f) El 5 de junio de 2012 la entidad demandante evacuó el traslado conferido, interesando la admisión a trámite del recurso de casación. En síntesis, afirmó que, habida cuenta de la </w:t>
      </w:r>
      <w:r>
        <w:lastRenderedPageBreak/>
        <w:t>disparidad de resoluciones al respecto, cabe considerar que el Tribunal Supremo no ha resuelto definitivamente sobre sí es preceptivo indicar, en el escrito de preparación del recurso de casación, las concretas infracciones normativas o jurisprudenciales en que se pretenda sustentar el recurso. Por otro lado, advirtió que los preceptos invocados en la providencia de traslado a las partes no han sido modificados legalmente y, por tanto, no es dable añadir, por vía jurisprudencial, nuevos requisitos en relación con la preparación del reiterado recurso de casación. Por último, apuntó que las decisiones de los jueces y tribunales deben estar orientadas a favorecer la efectividad del derecho al recurso.</w:t>
      </w:r>
    </w:p>
    <w:p w:rsidR="0085709A" w:rsidRDefault="0085709A" w:rsidP="0085709A">
      <w:pPr>
        <w:pStyle w:val="TextoNormal"/>
      </w:pPr>
    </w:p>
    <w:p w:rsidR="0085709A" w:rsidRDefault="0085709A" w:rsidP="0085709A">
      <w:pPr>
        <w:pStyle w:val="TextoNormal"/>
      </w:pPr>
      <w:r>
        <w:t>g) Por Auto de 12 de julio del 2012, la Sala Tercera del Tribunal Supremo (Sección Primera) acordó la inadmisión del recurso de casación. La Sala se remitió a la doctrina establecida en ATS de 10 de febrero de 2011 y concluyó que no habiéndose citado, en el escrito de preparación del recurso formalizado por la sociedad recurrente, las infracciones normativas o jurisprudenciales que iban a desarrollarse en el escrito de interposición, procedía la inadmisión del recurso de casación.</w:t>
      </w:r>
    </w:p>
    <w:p w:rsidR="0085709A" w:rsidRDefault="0085709A" w:rsidP="0085709A">
      <w:pPr>
        <w:pStyle w:val="TextoNormal"/>
      </w:pPr>
    </w:p>
    <w:p w:rsidR="0085709A" w:rsidRDefault="0085709A" w:rsidP="0085709A">
      <w:pPr>
        <w:pStyle w:val="TextoNormal"/>
      </w:pPr>
      <w:r>
        <w:t>h) En fecha 19 de octubre de 2012, la sociedad demandante promovió incidente de nulidad de actuaciones. En síntesis, alegó la vulneración del derecho a la tutela judicial efectiva en su vertiente de acceso a los recursos legalmente establecidos (art. 24.1 CE), habida cuenta de que el requisito cuyo incumplimiento ha determinado la inadmisión del recurso no está expresamente contemplado por la ley. También destacó que el Tribunal Supremo ha llevado a cabo una interpretación contraria a la mayor efectividad del derecho fundamental al recurso, lo que ha conducido a un resultado desproporcionado.</w:t>
      </w:r>
    </w:p>
    <w:p w:rsidR="0085709A" w:rsidRDefault="0085709A" w:rsidP="0085709A">
      <w:pPr>
        <w:pStyle w:val="TextoNormal"/>
      </w:pPr>
    </w:p>
    <w:p w:rsidR="0085709A" w:rsidRDefault="0085709A" w:rsidP="0085709A">
      <w:pPr>
        <w:pStyle w:val="TextoNormal"/>
      </w:pPr>
      <w:r>
        <w:t>i) Por providencia de 20 de noviembre de 2012 fue inadmitido el incidente de nulidad de actuaciones promovido contra el Auto de inadmisión del recurso de casación. En esencia, el órgano judicial considera que la demandante se limita a discrepar de las razones tenidas en consideración para inadmitir el recurso de casación, asimilando el incidente de nulidad a un recurso de reposición.</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aduce la vulneración del derecho a la tutela judicial efectiva sin indefensión, en su vertiente del acceso a los recursos (art. 24.1 CE). En síntesis, la vulneración denunciada tiene el siguiente fundamento:</w:t>
      </w:r>
    </w:p>
    <w:p w:rsidR="0085709A" w:rsidRDefault="0085709A" w:rsidP="0085709A">
      <w:pPr>
        <w:pStyle w:val="TextoNormal"/>
      </w:pPr>
    </w:p>
    <w:p w:rsidR="0085709A" w:rsidRDefault="0085709A" w:rsidP="0085709A">
      <w:pPr>
        <w:pStyle w:val="TextoNormal"/>
      </w:pPr>
      <w:r>
        <w:t>a) El Tribunal Supremo ha inadmitido el recurso de casación sin brindar la posibilidad de subsanación del trámite de preparación supuestamente defectuoso, en base a la doctrina estatuida en el ATS de fecha 10 de febrero de 2011, cuya fecha de publicación se ignora, tras trece años de vigencia de la norma procesal de aplicación.</w:t>
      </w:r>
    </w:p>
    <w:p w:rsidR="0085709A" w:rsidRDefault="0085709A" w:rsidP="0085709A">
      <w:pPr>
        <w:pStyle w:val="TextoNormal"/>
      </w:pPr>
    </w:p>
    <w:p w:rsidR="0085709A" w:rsidRDefault="0085709A" w:rsidP="0085709A">
      <w:pPr>
        <w:pStyle w:val="TextoNormal"/>
      </w:pPr>
      <w:r>
        <w:t>b) La novedosa interpretación patrocinada por el Tribunal Supremo adolece de la necesaria racionalidad, pues exige el cumplimiento de un requisito —la indicación de las concretas infracciones normativas y jurisprudenciales en el escrito de preparación— que no está previsto en el art. 89.1 LJCA, precepto este que no ha sido modificado por la Ley 37/2011, de 10 de octubre.</w:t>
      </w:r>
    </w:p>
    <w:p w:rsidR="0085709A" w:rsidRDefault="0085709A" w:rsidP="0085709A">
      <w:pPr>
        <w:pStyle w:val="TextoNormal"/>
      </w:pPr>
    </w:p>
    <w:p w:rsidR="0085709A" w:rsidRDefault="0085709A" w:rsidP="0085709A">
      <w:pPr>
        <w:pStyle w:val="TextoNormal"/>
      </w:pPr>
      <w:r>
        <w:t>c) La inadmisión del recurso de casación no se acompasa con la exigencia ínsita en el derecho a la tutela judicial efectiva, en orden a favorecer la efectividad del derecho fundamental al recurso.</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12 de julio de 2012,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6519-2011 y al recurso núm. 408-2008,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28 de octubre de 2013, el Abogado del Estado, en la representación que le es propia,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fecha 15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de fecha 16 de diciembre de 2013, la sociedad demandante de amparo formuló sus alegaciones. En esencia, dicha entidad se remite a lo ya manifestado en el escrito de demanda, reiterando las pretensiones interesadas en dicho escrito.</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El Abogado del Estado presentó sus alegaciones mediante escrito registrado el día 18 de diciembre de 2013. En síntesis, considera que, a la luz de la doctrina constitucional, el Auto de inadmisión combatido en amparo vulnera el derecho al acceso a los recursos que garantiza el art. 24.1 CE. Para el Abogado del Estado el problema constitucional que la demanda suscita radica en la aplicación retrospectiva de las nuevas máximas jurisprudenciales plasmadas en el ATS de 10 de febrero de 2011, las cuales pudieron ser desconocidas en el momento de la preparación del recurso de casación. En el presente caso, la inadmisión del recurso de casación se sustenta, precisamente, en que no se preparó conforme a las referidas máximas. Por tanto, la cuestión principal reside en la irrazonabilidad de una decisión </w:t>
      </w:r>
      <w:r>
        <w:lastRenderedPageBreak/>
        <w:t>que impone unos requisitos de forma que, razonablemente, pudieron ser desconocidos por la demandante.</w:t>
      </w:r>
    </w:p>
    <w:p w:rsidR="0085709A" w:rsidRDefault="0085709A" w:rsidP="0085709A">
      <w:pPr>
        <w:pStyle w:val="TextoNormal"/>
      </w:pPr>
    </w:p>
    <w:p w:rsidR="0085709A" w:rsidRDefault="0085709A" w:rsidP="0085709A">
      <w:pPr>
        <w:pStyle w:val="TextoNormal"/>
      </w:pPr>
      <w:r>
        <w:t>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10</w:t>
      </w:r>
      <w:r>
        <w:t>. Por escrito de fecha 16 de diciembre de 2013, la sociedad demandante de amparo formuló sus alegaciones. En esencia, dicha entidad se remite a lo ya manifestado en el escrito de demanda, reiterando las pretensiones interesadas en el mismo.</w:t>
      </w:r>
    </w:p>
    <w:p w:rsidR="0085709A" w:rsidRDefault="0085709A" w:rsidP="0085709A">
      <w:pPr>
        <w:pStyle w:val="TextoNormal"/>
      </w:pPr>
    </w:p>
    <w:p w:rsidR="0085709A" w:rsidRDefault="0085709A" w:rsidP="0085709A">
      <w:pPr>
        <w:pStyle w:val="TextoNormal"/>
      </w:pPr>
      <w:r w:rsidRPr="0085709A">
        <w:rPr>
          <w:rStyle w:val="NumeroAFNegritaCaracter"/>
        </w:rPr>
        <w:t>11</w:t>
      </w:r>
      <w:r>
        <w:t>. El Ministerio Fiscal presentó sus alegaciones mediante escrito registrado el 16 de enero de 2014.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de casación, esto es, la obligación de indicar las concretas infracciones normativas o jurisprudenciales, se desprende del propio tenor del apartado d) del art. 88 LJCA. Por ello, considera que el requisito cuyo incumplimiento ha determinado la inadmisión del referido recurso no viene impuesto por la jurisprudencia, sino por la propia normativa legal.</w:t>
      </w:r>
    </w:p>
    <w:p w:rsidR="0085709A" w:rsidRDefault="0085709A" w:rsidP="0085709A">
      <w:pPr>
        <w:pStyle w:val="TextoNormal"/>
      </w:pPr>
    </w:p>
    <w:p w:rsidR="0085709A" w:rsidRDefault="0085709A" w:rsidP="0085709A">
      <w:pPr>
        <w:pStyle w:val="TextoNormal"/>
      </w:pPr>
      <w:r>
        <w:t>Finalmente, el Ministerio Fiscal afirma que cuando la parte demandante formuló el escrito de preparación del recurso de casación —el día 13 de diciembre de 2011— ya estaba vigente la nueva doctrina jurisprudencial iniciada con el ATS 2371/2011, de 10 de febrero; por tanto, nada de extraño tiene que el recurso de casación se inadmitiera en aplicación del criterio establecido en el Auto objeto de cita.</w:t>
      </w:r>
    </w:p>
    <w:p w:rsidR="0085709A" w:rsidRDefault="0085709A" w:rsidP="0085709A">
      <w:pPr>
        <w:pStyle w:val="TextoNormal"/>
      </w:pPr>
    </w:p>
    <w:p w:rsidR="0085709A" w:rsidRDefault="0085709A" w:rsidP="0085709A">
      <w:pPr>
        <w:pStyle w:val="TextoNormal"/>
      </w:pPr>
      <w:r w:rsidRPr="0085709A">
        <w:rPr>
          <w:rStyle w:val="NumeroAFNegritaCaracter"/>
        </w:rPr>
        <w:t>12</w:t>
      </w:r>
      <w:r>
        <w:t>.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12 de julio de 2012,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13</w:t>
      </w:r>
      <w:r>
        <w:t>. Mediante providencia de fecha de 17 de marzo de 2015, el Pleno, en su reunión de esa fecha y conforme establece el artículo 10.1 n) de la Ley Orgánica del Tribunal, a propuesta de la Sala Segunda, acuerda recabar para sí el conocimiento del recurso de amparo.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12 de julio de 2012, que acordó no admitir a trámite el recurso de casación interpuesto contra la Sentencia de la Sala de lo Contencioso-Administrativo de la Audiencia Nacional (Sección Segunda) de 10 de noviembre de 2011, recaída en el procedimiento ordinario núm. 408-2008. También impugna la providencia mediante la que se inadmitió a trámite el incidente de nulidad de actuaciones, de fecha 20 de noviembre de 2012, promovido contra el Auto citado.</w:t>
      </w:r>
    </w:p>
    <w:p w:rsidR="0085709A" w:rsidRDefault="0085709A" w:rsidP="0085709A">
      <w:pPr>
        <w:pStyle w:val="TextoNormal"/>
      </w:pPr>
    </w:p>
    <w:p w:rsidR="0085709A" w:rsidRDefault="0085709A" w:rsidP="0085709A">
      <w:pPr>
        <w:pStyle w:val="TextoNormal"/>
      </w:pPr>
      <w:r>
        <w:t>La sociedad recurrente, según se expresa con más detalle en los antecedentes de hecho de esta resolución, imputa a las resoluciones recurridas la vulneración de su derecho a la tutela judicial efectiva (art. 24.1 CE), en su vertiente de acceso a los recursos: (i) porque la inadmisión acordada por el Auto impugnado se funda en un requisito de admisibilidad no exigido por la ley; (ii) porque el órgano judicial no brindó la posibilidad de subsanación del trámite de preparación supuestamente defectuoso, tras trece años de vigencia de la norma procesal de aplicación, que no ha sido modificada hasta el momento presente; (iii) porque la decisión de inadmisión no se acompasa con el principio de interpretación más favorable a la efectividad del derecho al recurso.</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en esencia,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w:t>
      </w:r>
      <w:r>
        <w:lastRenderedPageBreak/>
        <w:t xml:space="preserve">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noviembre 2003, e </w:t>
      </w:r>
      <w:r w:rsidRPr="0085709A">
        <w:rPr>
          <w:i/>
        </w:rPr>
        <w:t>Ipamark c. España</w:t>
      </w:r>
      <w:r>
        <w:t>,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breve exposición de la concurrencia de los requisitos de forma exigidos”), alcanzando la conclusión de que uno de esos requisitos ha de ser la cita, siquiera breve, de las normas y la jurisprudencia que se estimen infringidas, en atención a que la fase de preparación del recurso de casación tiene sustantividad propia, sin que pueda quedar reducida a un trámite carente de trascendencia. Desde esa óptica, en el Auto impugnado se razona que la exigencia antes indicada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Debe rechazarse, asimismo, que la exigencia del mencionado requisito viole el derecho a la tutela judicial efectiva (art. 24.1 CE), en su vertiente de acceso a los recursos. 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w:t>
      </w:r>
      <w:r>
        <w:lastRenderedPageBreak/>
        <w:t>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ésta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la excepción que, por disposición legal, establezca el efecto exclusivamente prospectivo de la Sentencia, como así se prevé en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el recurso de amparo interpuesto por la entidad Pegasa 2, S.L.</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6" w:name="SENTENCIA_2015_73"/>
      <w:r>
        <w:lastRenderedPageBreak/>
        <w:t>SENTENCIA 73/2015, de 14 de abril de 2015</w:t>
      </w:r>
    </w:p>
    <w:bookmarkEnd w:id="76"/>
    <w:p w:rsidR="0085709A" w:rsidRDefault="0085709A" w:rsidP="0085709A">
      <w:pPr>
        <w:pStyle w:val="TtuloResolucin"/>
      </w:pPr>
      <w:r>
        <w:t>Pleno</w:t>
      </w:r>
    </w:p>
    <w:p w:rsidR="0085709A" w:rsidRDefault="0085709A" w:rsidP="0085709A">
      <w:pPr>
        <w:pStyle w:val="TtuloBOE"/>
      </w:pPr>
      <w:r>
        <w:t>(BOE núm. 122, de 22 de mayo de 2015)</w:t>
      </w:r>
    </w:p>
    <w:p w:rsidR="0085709A" w:rsidRDefault="0085709A" w:rsidP="0085709A">
      <w:pPr>
        <w:pStyle w:val="TextoNormalCentrado"/>
      </w:pPr>
      <w:r>
        <w:t>ECLI:ES:TC:2015:73</w:t>
      </w:r>
    </w:p>
    <w:p w:rsidR="0085709A" w:rsidRDefault="0085709A" w:rsidP="0085709A">
      <w:pPr>
        <w:pStyle w:val="TextoNormalCentrado"/>
      </w:pPr>
    </w:p>
    <w:p w:rsidR="0085709A" w:rsidRDefault="0085709A" w:rsidP="0085709A">
      <w:pPr>
        <w:pStyle w:val="SntesisDescriptiva"/>
      </w:pPr>
      <w:r>
        <w:t>Recurso de inconstitucionalidad 1881-2013. Interpuesto por el Consejo de Gobierno del Principado de Asturias respecto del artículo 19 de la Ley 16/2012, de 27 de diciembre, por la que se adoptan diversas medidas tributarias dirigidas a la consolidación de las finanzas públicas y al impulso de la actividad económica.</w:t>
      </w:r>
    </w:p>
    <w:p w:rsidR="0085709A" w:rsidRDefault="0085709A" w:rsidP="0085709A">
      <w:pPr>
        <w:pStyle w:val="SntesisDescriptiva"/>
      </w:pPr>
    </w:p>
    <w:p w:rsidR="0085709A" w:rsidRDefault="0085709A" w:rsidP="0085709A">
      <w:pPr>
        <w:pStyle w:val="SntesisAnaltica"/>
      </w:pPr>
      <w:r>
        <w:t>Competencias financieras, finalidad recaudatoria de los tributos, compensación por ocupación del hecho imponible y facultades de enmienda del Senado: constitucionalidad del precepto legal estatal que regula el impuesto sobre los depósitos en las entidades de crédito (SSTC 26/2015 y 59/2015). Voto particular.</w:t>
      </w:r>
    </w:p>
    <w:p w:rsidR="0085709A" w:rsidRDefault="0085709A" w:rsidP="0085709A">
      <w:pPr>
        <w:pStyle w:val="SntesisAnaltica"/>
      </w:pPr>
    </w:p>
    <w:p w:rsidR="0085709A" w:rsidRDefault="0085709A" w:rsidP="0085709A">
      <w:pPr>
        <w:pStyle w:val="Extracto"/>
      </w:pPr>
      <w:r>
        <w:t>1.</w:t>
      </w:r>
      <w:r>
        <w:tab/>
        <w:t>El art. 6.2 LOFCA no establece una compensación automática ni predetermina la compensación a adoptar por el legislador, de manera que el establecimiento de un impuesto estatal sobre hechos imponibles gravados por las Comunidades Autónomas, como es el caso del impuesto sobre los depósitos en las entidades de crédito, no supone siempre y necesariamente un incremento de los créditos presupuestarios en los términos alegados y, de otro lado, no tratándose de la tramitación de una ley de presupuestos difícilmente podría vulnerarse el art. 134 CE (STC 26/2015) [FJ 4].</w:t>
      </w:r>
    </w:p>
    <w:p w:rsidR="0085709A" w:rsidRDefault="0085709A" w:rsidP="0085709A">
      <w:pPr>
        <w:pStyle w:val="Extracto"/>
      </w:pPr>
    </w:p>
    <w:p w:rsidR="0085709A" w:rsidRDefault="0085709A" w:rsidP="0085709A">
      <w:pPr>
        <w:pStyle w:val="Extracto"/>
      </w:pPr>
      <w:r>
        <w:t>2.</w:t>
      </w:r>
      <w:r>
        <w:tab/>
        <w:t>Se descarta que el controvertido impuesto sobre los depósitos en las entidades de crédito sea un tributo simulado, por el mero hecho de tener un tipo de gravamen cero y, por tanto, el Estado ostenta la competencia para establecer un tributo cuya finalidad principal es asegurar un tratamiento fiscal armonizado de esta materia imponible sin necesidad de aprobar una ley de armonización (STC 26/2015) [FJ 3].</w:t>
      </w:r>
    </w:p>
    <w:p w:rsidR="0085709A" w:rsidRDefault="0085709A" w:rsidP="0085709A">
      <w:pPr>
        <w:pStyle w:val="Extracto"/>
      </w:pPr>
    </w:p>
    <w:p w:rsidR="0085709A" w:rsidRDefault="0085709A" w:rsidP="0085709A">
      <w:pPr>
        <w:pStyle w:val="Extracto"/>
      </w:pPr>
      <w:r>
        <w:t>3.</w:t>
      </w:r>
      <w:r>
        <w:tab/>
        <w:t>Resulta razonable tratar de evitar que, durante el proceso de elaboración de la Ley 16/2012, algunas Comunidades Autónoma crearan tributos equivalentes al impuesto sobre depósitos en las entidades de crédito estatal, en procedimientos legislativos más rápidos, anticipándose así a la aprobación de aquel tributo, y situándose en la posición de posibles acreedoras de las medidas de compensación o coordinación que dicha norma establece (STC 26/2015) [FJ 3].</w:t>
      </w:r>
    </w:p>
    <w:p w:rsidR="0085709A" w:rsidRDefault="0085709A" w:rsidP="0085709A">
      <w:pPr>
        <w:pStyle w:val="Extracto"/>
      </w:pPr>
    </w:p>
    <w:p w:rsidR="0085709A" w:rsidRDefault="0085709A" w:rsidP="0085709A">
      <w:pPr>
        <w:pStyle w:val="Extracto"/>
      </w:pPr>
      <w:r>
        <w:t>4.</w:t>
      </w:r>
      <w:r>
        <w:tab/>
        <w:t xml:space="preserve">Se rechaza la infracción del art. 9.3 CE pues el principio de irretroactividad de las leyes se refiere únicamente a las leyes </w:t>
      </w:r>
      <w:r w:rsidRPr="0085709A">
        <w:rPr>
          <w:i/>
        </w:rPr>
        <w:t xml:space="preserve">ex post facto </w:t>
      </w:r>
      <w:r>
        <w:t>sancionadoras o restrictivas de derechos individuales; fuera de estos dos ámbitos, nada impide al legislador dotar a la ley del grado de retroactividad que considere oportuno, a fin de evitar situaciones de congelación o petrificación del ordenamiento jurídico (STC 49/2015) [FJ 3].</w:t>
      </w:r>
    </w:p>
    <w:p w:rsidR="0085709A" w:rsidRDefault="0085709A" w:rsidP="0085709A">
      <w:pPr>
        <w:pStyle w:val="Extracto"/>
      </w:pPr>
    </w:p>
    <w:p w:rsidR="0085709A" w:rsidRDefault="0085709A" w:rsidP="0085709A">
      <w:pPr>
        <w:pStyle w:val="Extracto"/>
      </w:pPr>
      <w:r>
        <w:t>5.</w:t>
      </w:r>
      <w:r>
        <w:tab/>
        <w:t xml:space="preserve">No se advierte la falta de ponderación entre el examen de la posible vulneración constitucional, la necesaria flexibilidad en el procedimiento legislativo y el papel </w:t>
      </w:r>
      <w:r>
        <w:lastRenderedPageBreak/>
        <w:t>de control,  que corresponde a los órganos de gobierno y del que el proceso constitucional es siempre subsidiario” (STC 59/2015)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1881/2013, interpuesto por el Consejo de Gobierno del Principado de Asturias contra el art. 19 de la Ley 16/2012, de 27 de diciembre, por la que se adoptan diversas medidas tributarias dirigidas a la consolidación de las finanzas públicas y al impulso de la actividad económica. Han intervenido y formulado alegaciones el Abogado del Estado y el Letrado de las Cortes Generales en representación del Senado. Ha sido Ponente el Magistrado don Andrés Ollero Tassara, que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27 de marzo de 2013 tuvo entrada en el Registro General de este Tribunal Constitucional escrito del Letrado del Servicio Jurídico del Principado de Asturias, en representación del Consejo de Gobierno de esta Comunidad Autónoma, por el que interpone recurso de inconstitucionalidad contra el art. 19 de la Ley 16/2012, de 27 de diciembre, por la que se adoptan diversas medidas tributarias dirigidas a la consolidación de las finanzas públicas y al impulso de la actividad económica; entre otras, se crea el impuesto sobre los depósitos en las entidades de crédito..</w:t>
      </w:r>
    </w:p>
    <w:p w:rsidR="0085709A" w:rsidRDefault="0085709A" w:rsidP="0085709A">
      <w:pPr>
        <w:pStyle w:val="TextoNormal"/>
      </w:pPr>
    </w:p>
    <w:p w:rsidR="0085709A" w:rsidRDefault="0085709A" w:rsidP="0085709A">
      <w:pPr>
        <w:pStyle w:val="TextoNormal"/>
      </w:pPr>
      <w:r>
        <w:t xml:space="preserve">Comienza el escrito con una descripción del procedimiento legislativo que condujo a la aprobación de la norma impugnada, destacando que el impuesto sobre los depósitos en las entidades de crédito se introdujo mediante dos enmiendas en el Senado, presentadas por el Grupo Parlamentario Popular (las número 166 y 169, “Boletín Oficial de las Cortes Generales-Senado” número 130, de 4 de diciembre de 2012). La creación del impuesto refleja la doctrina contenida en la STC 210/2012, de 14 de noviembre, en la que se había declarado que la Ley 14/2001, de 29 de noviembre, del impuesto sobre depósitos de las entidades de crédito, aprobada por la Comunidad Autónoma de Extremadura, se ajustaba a la Constitución y a la Ley Orgánica 8/1980, de 22 de septiembre, de financiación de las Comunidades Autónomas (LOFCA, en adelante). </w:t>
      </w:r>
    </w:p>
    <w:p w:rsidR="0085709A" w:rsidRDefault="0085709A" w:rsidP="0085709A">
      <w:pPr>
        <w:pStyle w:val="TextoNormal"/>
      </w:pPr>
    </w:p>
    <w:p w:rsidR="0085709A" w:rsidRDefault="0085709A" w:rsidP="0085709A">
      <w:pPr>
        <w:pStyle w:val="TextoNormal"/>
      </w:pPr>
      <w:r>
        <w:t xml:space="preserve">Se describe en la demanda el proceso legislativo que condujo al establecimiento del impuesto autonómico sobre depósitos en las entidades de crédito. Este tributo se incluyó en el proyecto de ley del Principado de Asturias de presupuestos generales para 2013, que fue presentado ante la Junta General del Principado de Asturias el 4 de diciembre de 2012 y admitido a trámite por la Mesa de la Cámara con fecha 5 de diciembre de 2012. Finalmente fue aprobado, dando lugar a la Ley del Principado de Asturias 3/2012, de 28 de diciembre, de presupuestos generales para 2013 (“BOPA” núm. 300, de 29 de diciembre de 2012). </w:t>
      </w:r>
    </w:p>
    <w:p w:rsidR="0085709A" w:rsidRDefault="0085709A" w:rsidP="0085709A">
      <w:pPr>
        <w:pStyle w:val="TextoNormal"/>
      </w:pPr>
    </w:p>
    <w:p w:rsidR="0085709A" w:rsidRDefault="0085709A" w:rsidP="0085709A">
      <w:pPr>
        <w:pStyle w:val="TextoNormal"/>
      </w:pPr>
      <w:r>
        <w:t>Con fecha 26 de febrero de 2013, el Tribunal Constitucional admitió a trámite el recurso de inconstitucionalidad 631-2013, interpuesto por el Presidente del Gobierno contra el art. 41 y la disposición final séptima de la Ley del Principado de Asturias 3/2012, de presupuestos generales para 2013, que establece el citado impuesto autonómico contra los depósitos bancarios, lo que conllevó los efectos suspensivos del art. 161.2 CE.</w:t>
      </w:r>
    </w:p>
    <w:p w:rsidR="0085709A" w:rsidRDefault="0085709A" w:rsidP="0085709A">
      <w:pPr>
        <w:pStyle w:val="TextoNormal"/>
      </w:pPr>
    </w:p>
    <w:p w:rsidR="0085709A" w:rsidRDefault="0085709A" w:rsidP="0085709A">
      <w:pPr>
        <w:pStyle w:val="TextoNormal"/>
      </w:pPr>
      <w:r>
        <w:t xml:space="preserve">Expuesto lo anterior, alega la demanda que el art. 19 de la Ley 16/2012 es inconstitucional, tanto por haber incurrido la norma en vicios de procedimiento legislativo, como por razones materiales; se vulnerarían el art. 150.3 CE, en relación con el art. 1 de la Ley 12/1983, de 14 de octubre, del proceso autonómico (en adelante, LPA), el art. 2 LOFCA y los arts. 168 del Reglamento del Congreso de los Diputados (RCD) y 141 del Reglamento del Senado (RS); el art. 90.2 CE en relación con el art. 107 RS; el art. 134.6 CE; los arts. 156 y 157.3 CE, en relación con el art. 42 del Estatuto de Autonomía para Asturias, y los arts. 9.3. y 31.1 CE. </w:t>
      </w:r>
    </w:p>
    <w:p w:rsidR="0085709A" w:rsidRDefault="0085709A" w:rsidP="0085709A">
      <w:pPr>
        <w:pStyle w:val="TextoNormal"/>
      </w:pPr>
    </w:p>
    <w:p w:rsidR="0085709A" w:rsidRDefault="0085709A" w:rsidP="0085709A">
      <w:pPr>
        <w:pStyle w:val="TextoNormal"/>
      </w:pPr>
      <w:r>
        <w:t>Lo anterior se concreta en los siguientes seis motivos de inconstitucionalidad:</w:t>
      </w:r>
    </w:p>
    <w:p w:rsidR="0085709A" w:rsidRDefault="0085709A" w:rsidP="0085709A">
      <w:pPr>
        <w:pStyle w:val="TextoNormal"/>
      </w:pPr>
    </w:p>
    <w:p w:rsidR="0085709A" w:rsidRDefault="0085709A" w:rsidP="0085709A">
      <w:pPr>
        <w:pStyle w:val="TextoNormal"/>
      </w:pPr>
      <w:r>
        <w:t>1º El art. 19 de la Ley 16/2012 es una norma que tendría por objeto armonizar las disposiciones legislativas que se refieren al gravamen de esta materia imponible. En consecuencia, se vulneran las normas procedimentales rectoras de la elaboración y aprobación de las leyes de armonización, al no adoptar forma legal (art. 150.3 CE, art. 1 LPA; art. 2 LOFCA; y los arts. 168 RCD y 141 RS). El propósito de armonización de las disposiciones legales es indiscutible, teniendo en cuenta que varias Comunidades Autónomas habían aprobado sus propios tributos autonómicos sobre depósitos en entidades de crédito. Siendo legítimo en este caso armonizar la materia, ello debería haberse llevado a cabo siguiendo el procedimiento establecido y en concreto oyendo con carácter previo a las Comunidades Autónomas.</w:t>
      </w:r>
    </w:p>
    <w:p w:rsidR="0085709A" w:rsidRDefault="0085709A" w:rsidP="0085709A">
      <w:pPr>
        <w:pStyle w:val="TextoNormal"/>
      </w:pPr>
    </w:p>
    <w:p w:rsidR="0085709A" w:rsidRDefault="0085709A" w:rsidP="0085709A">
      <w:pPr>
        <w:pStyle w:val="TextoNormal"/>
      </w:pPr>
      <w:r>
        <w:t xml:space="preserve">2º En segundo lugar, el art. 19 es inconstitucional por infracción del procedimiento legislativo, al haberse introducido mediante una enmienda en el Senado y no guardar conexión con las materias contenidas en el proyecto de ley previamente aprobado por el Congreso. Con esta forma de proceder se habría vulnerado el art. 90.2 CE relativo a la potestad de enmienda del Senado, así como el art. 107 RS, tal y como ha sido interpretado por la doctrina constitucional; citándose las SSTC 119/2011 y 136/2011 relativas al derecho de enmienda. Expone que la enmienda de adición número 169 —publicada en el “BOCG, Senado”, núm. 130, de 4 de diciembre de 2012— con la finalidad de introducir el impuesto estatal sobre depósitos bancarios, no guardaba ninguna conexión con las materias contenidas en el proyecto de ley aprobado en el Congreso de los Diputados; de acuerdo con la citada doctrina la norma sería inconstitucional. En concreto, alega que la introducción del citado impuesto no </w:t>
      </w:r>
      <w:r>
        <w:lastRenderedPageBreak/>
        <w:t>era equivalente al resto de medidas tributarias previstas en el proyecto; no tenía el ánimo de recaudar ya que su gravamen era del cero por cien. Concluye que esta desviación en el ejercicio del derecho de enmienda tiene relevancia constitucional porque ha afectado al derecho del Gobierno, autor de la iniciativa, a decidir las materias que se someten al debate de las Cortes Generales, además de haber lesionado el derecho de participación de las minorías y la opinión pública representada en el proceso legislativo.</w:t>
      </w:r>
    </w:p>
    <w:p w:rsidR="0085709A" w:rsidRDefault="0085709A" w:rsidP="0085709A">
      <w:pPr>
        <w:pStyle w:val="TextoNormal"/>
      </w:pPr>
    </w:p>
    <w:p w:rsidR="0085709A" w:rsidRDefault="0085709A" w:rsidP="0085709A">
      <w:pPr>
        <w:pStyle w:val="TextoNormal"/>
      </w:pPr>
      <w:r>
        <w:t>3º Se considera también vulnerado el art. 134.6 CE, precepto que establece que toda enmienda que implique aumento del gasto requiere la previa conformidad del Gobierno. Se razona que la remisión del art. 19 de la Ley 16/2012 al art. 6.2 LOFCA supone un incremento de gasto derivado de la obligación de compensar a las Comunidades Autónomas que ya habían gravado el mismo hecho imponible sobre el que ahora recae el impuesto sobre los depósitos en las entidades de crédito estatal. A partir de ahí se afirma que no consta que la enmienda en la que el precepto tiene su origen haya sido trasladada al Gobierno al objeto de que éste pueda ejercer su potestad de veto o manifestar su conformidad, tal y como exige la norma constitucional. En este caso se ha presentado una iniciativa legislativa sustantiva, con repercusión presupuestaria, por parte del Senado, que altera el equilibrio de los presupuestos al implicar compensaciones económicas a varias Comunidades Autónomas sin haberse sometido a la conformidad o anuencia del Gobierno, pudiendo además afectar al principio de estabilidad presupuestaria regulado en el art. 135 CE.</w:t>
      </w:r>
    </w:p>
    <w:p w:rsidR="0085709A" w:rsidRDefault="0085709A" w:rsidP="0085709A">
      <w:pPr>
        <w:pStyle w:val="TextoNormal"/>
      </w:pPr>
    </w:p>
    <w:p w:rsidR="0085709A" w:rsidRDefault="0085709A" w:rsidP="0085709A">
      <w:pPr>
        <w:pStyle w:val="TextoNormal"/>
      </w:pPr>
      <w:r>
        <w:t>4º El art. 19, apartado 13, invade además la reserva de Ley Orgánica del art. 157.3 CE; la compensación que allí se regula contraviene lo dispuesto en el art. 6.2 LOFCA, lo que supone además la vulneración de la autonomía financiera del Principado de Asturias (arts. 156 CE y 42 del Estatuto de Autonomía para Asturias). En concreto, la limitación de las medidas de compensación que supone, declarándolas aplicables únicamente a aquellos impuestos creados antes del 1 de diciembre de 2012, implica en realidad una modificación subrepticia del art. 6.2 LOFCA, que resulta así vulnerado; con ello se suprime el derecho a recibir una adecuada compensación para las Comunidades Autónomas que hayan aprobado sus propios tributos sobre los depósitos entre el 1 de diciembre de 2012 y el 1 de enero de 2013.</w:t>
      </w:r>
    </w:p>
    <w:p w:rsidR="0085709A" w:rsidRDefault="0085709A" w:rsidP="0085709A">
      <w:pPr>
        <w:pStyle w:val="TextoNormal"/>
      </w:pPr>
    </w:p>
    <w:p w:rsidR="0085709A" w:rsidRDefault="0085709A" w:rsidP="0085709A">
      <w:pPr>
        <w:pStyle w:val="TextoNormal"/>
      </w:pPr>
      <w:r>
        <w:t>5º En vinculación con lo anterior, se alega que el apartado 13 del art. 19 vulnera igualmente el art. 9.3. CE, que contempla los principios constitucionales de irretroactividad de las disposiciones restrictivas de derechos y de interdicción de la arbitrariedad. Ello es así porque la efectividad de la compensación que regula se retrotrae a la fecha de 1 de diciembre de 2012, con el propósito de frustrar la compensación a las Comunidades Autónomas que aprobasen el tributo en una fecha posterior.</w:t>
      </w:r>
    </w:p>
    <w:p w:rsidR="0085709A" w:rsidRDefault="0085709A" w:rsidP="0085709A">
      <w:pPr>
        <w:pStyle w:val="TextoNormal"/>
      </w:pPr>
    </w:p>
    <w:p w:rsidR="0085709A" w:rsidRDefault="0085709A" w:rsidP="0085709A">
      <w:pPr>
        <w:pStyle w:val="TextoNormal"/>
      </w:pPr>
      <w:r>
        <w:t xml:space="preserve">6º Finalmente, el art. 19 vulnera el art. 31.1 CE, que dispone que el ejercicio de la potestad tributaria tiene por objeto contribuir al sostenimiento de los gastos públicos, estableciendo una relación teleológica entre el ejercicio de dicha potestad y la finalidad recaudatoria o fiscal que le es consustancial. El impuesto sobre los depósitos en las entidades de crédito estatal carece de finalidad contributiva alguna; el establecimiento de un único tipo de gravamen con tipo cero es incompatible con los principios recogidos en el art. 31.1 CE y específicamente con la finalidad contributiva consustancial al concepto de tributo. Asimismo, dado que su único objeto es anular las competencias tributarias autonómicas sobre los depósitos bancarios, vulnera también con ello el principio de lealtad institucional que ha </w:t>
      </w:r>
      <w:r>
        <w:lastRenderedPageBreak/>
        <w:t>de regir en esta materia y que prohíbe el ejercicio de las competencias propias con el único propósito de frustrar el ejercicio de las ajenas. En definitiva, se incurre con esta norma en fraude de ley o, más precisamente, en un fraude a la Constitución, dado que, al amparo de una norma solo en apariencia tributaria, se persigue un resultado de regulación, distribución, atribución y negación competencial prohibido por el ordenamiento jurídico y contrario a él (art. 6.2 del Código civil). La vulneración del principio de lealtad constitucional deriva así de que se ejercen las competencias propias con el único propósito de frustrar el ejercicio de las ajenas.</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23 de abril de 2013 el Pleno del Tribunal Constitucional, a propuesta de la Sección Segunda,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Asimismo, se ordenó publicar la incoación del recurso en el “Boletín Oficial del Estado”, lo que se llevó a efecto en el núm. 114, de 13 de mayo de 2013.</w:t>
      </w:r>
    </w:p>
    <w:p w:rsidR="0085709A" w:rsidRDefault="0085709A" w:rsidP="0085709A">
      <w:pPr>
        <w:pStyle w:val="TextoNormal"/>
      </w:pPr>
    </w:p>
    <w:p w:rsidR="0085709A" w:rsidRDefault="0085709A" w:rsidP="0085709A">
      <w:pPr>
        <w:pStyle w:val="TextoNormal"/>
      </w:pPr>
      <w:r w:rsidRPr="0085709A">
        <w:rPr>
          <w:rStyle w:val="NumeroAFNegritaCaracter"/>
        </w:rPr>
        <w:t>3</w:t>
      </w:r>
      <w:r>
        <w:t>. El 10 de mayo de 2013 se registró el escrito del Abogado del Estado por el que solicita se le tenga por personado, en la representación que legalmente ostenta, así como que se le conceda una prórroga por el máximo legal del plazo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mediante providencia de 13 de mayo de 2013, acuerda incorporar a las actuaciones el anterior escrito del Abogado del Estado, teniéndosele por personado en el presente proceso, así como conceder la prórroga solicitada, ampliando en ocho días más el plazo establecido en la anterior providencia de 23 de abril.</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General de este Tribunal con fecha de 16 de mayo de 2013, el Presidente del Senado comunicó el acuerdo de la Mesa de la Cámara por el que se persona en el procedimiento y comparece a los solos efectos de formular alegaciones en relación con los vicios del procedimiento legislativo alegados.</w:t>
      </w:r>
    </w:p>
    <w:p w:rsidR="0085709A" w:rsidRDefault="0085709A" w:rsidP="0085709A">
      <w:pPr>
        <w:pStyle w:val="TextoNormal"/>
      </w:pPr>
    </w:p>
    <w:p w:rsidR="0085709A" w:rsidRDefault="0085709A" w:rsidP="0085709A">
      <w:pPr>
        <w:pStyle w:val="TextoNormal"/>
      </w:pPr>
      <w:r w:rsidRPr="0085709A">
        <w:rPr>
          <w:rStyle w:val="NumeroAFNegritaCaracter"/>
        </w:rPr>
        <w:t>6</w:t>
      </w:r>
      <w:r>
        <w:t>. El 17 de mayo de 2013 se registró el escrito del Presidente del Congreso de los Diputados comunicando el acuerdo de la Mesa de la Cámara por el que ésta se persona en el procedimiento y da por ofrecida su colaboración a los efectos del art. 88.1 LOTC, remitiendo asimismo el recurso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7</w:t>
      </w:r>
      <w:r>
        <w:t>. El 27 de mayo de 2013 tuvo entrada en el Registro General el escrito del Letrado de las Cortes Generales y jefe de la Asesoría Jurídica del Senado, en nombre y representación de la Cámara, por el que formula alegaciones en relación con los vicios de procedimiento legislativo que se aducen en el recurso.</w:t>
      </w:r>
    </w:p>
    <w:p w:rsidR="0085709A" w:rsidRDefault="0085709A" w:rsidP="0085709A">
      <w:pPr>
        <w:pStyle w:val="TextoNormal"/>
      </w:pPr>
    </w:p>
    <w:p w:rsidR="0085709A" w:rsidRDefault="0085709A" w:rsidP="0085709A">
      <w:pPr>
        <w:pStyle w:val="TextoNormal"/>
      </w:pPr>
      <w:r>
        <w:t xml:space="preserve">a) Sobre el supuesto carácter armonizador de la norma que se impugna, y la consiguiente infracción del art. 150.3 CE, afirma que el Senado ha actuado con pleno respeto a las normas </w:t>
      </w:r>
      <w:r>
        <w:lastRenderedPageBreak/>
        <w:t>procedimentales toda vez que el art. 141 RS establece que el Gobierno, la Comisión General de las Comunidades Autónomas o 25 senadores podrán proponer al Senado que aprecie la necesidad de que el Estado dicte leyes de armonización según lo previsto en el citado precepto constitucional, añadiendo que ninguno de los órganos legitimados para proponer la aprobación de una ley de armonización planteó tal caso en el proyecto de ley.</w:t>
      </w:r>
    </w:p>
    <w:p w:rsidR="0085709A" w:rsidRDefault="0085709A" w:rsidP="0085709A">
      <w:pPr>
        <w:pStyle w:val="TextoNormal"/>
      </w:pPr>
    </w:p>
    <w:p w:rsidR="0085709A" w:rsidRDefault="0085709A" w:rsidP="0085709A">
      <w:pPr>
        <w:pStyle w:val="TextoNormal"/>
      </w:pPr>
      <w:r>
        <w:t>b) En relación con la falta de congruencia material en las enmiendas presentadas y aprobadas por el Senado, que según la demanda fundamentarían la inconstitucionalidad del art. 19 de la Ley 16/2012, afirma en primer lugar el escrito que la recurrente carece de legitimación para plantear esta objeción, toda vez que la doctrina del Tribunal Constitucional sobre la conexión debida entre las enmiendas presentadas y el ámbito material de los proyectos de ley se basa en el derecho de participación política de los representantes, derechos que sufrirían si se admitiesen enmiendas con exceso material. Tras citar la doctrina contenida en las SSTC 119/2011, de 5 julio; 136/2011, de 13 septiembre; 204/2011, de 15 diciembre, y 209/2012, de 14 noviembre, concluye que los vicios de procedimiento sólo pueden tener relevancia constitucional cuando lesionen derechos de participación política; esto sólo puede darse cuando se trate de miembros del órgano legislativo que tramita la ley en cuestión. En este caso es claro que el recurrente carece de esa condición, por lo que no puede invocar en este caso su derecho de participación política.</w:t>
      </w:r>
    </w:p>
    <w:p w:rsidR="0085709A" w:rsidRDefault="0085709A" w:rsidP="0085709A">
      <w:pPr>
        <w:pStyle w:val="TextoNormal"/>
      </w:pPr>
    </w:p>
    <w:p w:rsidR="0085709A" w:rsidRDefault="0085709A" w:rsidP="0085709A">
      <w:pPr>
        <w:pStyle w:val="TextoNormal"/>
      </w:pPr>
      <w:r>
        <w:t>Sin perjuicio del anterior óbice, se alega que en todo caso sí se producía en este supuesto la homogeneidad material entre la enmienda originaria del art. 19 del proyecto y el ámbito material de dicho proyecto. Teniendo en cuenta la doctrina de las citadas SSTC 119/2011 y 136/2011, expone que el objeto del proyecto era la adopción de diversas medidas tributarias, siendo la enmienda precisamente relativa a la introducción de un nuevo tributo, por lo que con aplicación de la doctrina contenida en la STC 209/2012, FJ 4, no puede negarse dicha falta de conexión.</w:t>
      </w:r>
    </w:p>
    <w:p w:rsidR="0085709A" w:rsidRDefault="0085709A" w:rsidP="0085709A">
      <w:pPr>
        <w:pStyle w:val="TextoNormal"/>
      </w:pPr>
    </w:p>
    <w:p w:rsidR="0085709A" w:rsidRDefault="0085709A" w:rsidP="0085709A">
      <w:pPr>
        <w:pStyle w:val="TextoNormal"/>
      </w:pPr>
      <w:r>
        <w:t>A ello añade que en la misma STC 119/2011 se declaró que el órgano al que reglamentariamente corresponda efectuar ese análisis contará con un amplio margen de valoración. En este caso, los órganos del Senado encargados de la calificación material de las enmiendas, el Presidente y la Mesa, han actuado con todo rigor.</w:t>
      </w:r>
    </w:p>
    <w:p w:rsidR="0085709A" w:rsidRDefault="0085709A" w:rsidP="0085709A">
      <w:pPr>
        <w:pStyle w:val="TextoNormal"/>
      </w:pPr>
    </w:p>
    <w:p w:rsidR="0085709A" w:rsidRDefault="0085709A" w:rsidP="0085709A">
      <w:pPr>
        <w:pStyle w:val="TextoNormal"/>
      </w:pPr>
      <w:r>
        <w:t>Expone a continuación que precisamente desde la STC 119/2011, para garantizar el cumplimiento de la doctrina allí recogida, el Senado ha configurado un procedimiento específico, que se acompaña en un anexo, por el cual la Mesa delega en el Presidente la calificación material de las enmiendas, sin perjuicio de que sus acuerdos puedan someterse a la reconsideración de la Mesa en virtud del art. 36.2 RS. Es decir, todas las enmiendas presentadas son revisadas por los letrados correspondientes, que advierten sobre sus posibles excesos respecto al ámbito material del proyecto. En consecuencia, si la enmienda número 169 del Grupo Popular, que fue la que dio lugar a que se añadiera el art. 19 controvertido, fue admitida a trámite, fue tras un examen de mínima compatibilidad, añadiendo en todo caso que ningún senador o grupo parlamentario suscitó la cuestión de que las enmiendas carecían de congruencia material.</w:t>
      </w:r>
    </w:p>
    <w:p w:rsidR="0085709A" w:rsidRDefault="0085709A" w:rsidP="0085709A">
      <w:pPr>
        <w:pStyle w:val="TextoNormal"/>
      </w:pPr>
    </w:p>
    <w:p w:rsidR="0085709A" w:rsidRDefault="0085709A" w:rsidP="0085709A">
      <w:pPr>
        <w:pStyle w:val="TextoNormal"/>
      </w:pPr>
      <w:r>
        <w:t>A partir de lo anterior, se considera que es claro no sólo que el recurrente carece de legitimidad procesal, sino que tampoco se ha cometido ningún vicio formal o de procedimiento debido a la falta de congruencia material.</w:t>
      </w:r>
    </w:p>
    <w:p w:rsidR="0085709A" w:rsidRDefault="0085709A" w:rsidP="0085709A">
      <w:pPr>
        <w:pStyle w:val="TextoNormal"/>
      </w:pPr>
    </w:p>
    <w:p w:rsidR="0085709A" w:rsidRDefault="0085709A" w:rsidP="0085709A">
      <w:pPr>
        <w:pStyle w:val="TextoNormal"/>
      </w:pPr>
      <w:r>
        <w:t>c) Por último, en relación con la vulneración del art. 134.6 CE, considera de nuevo que la recurrente no tiene legitimidad para plantear esta objeción dado que en su caso sólo al Gobierno correspondería plantear la vulneración del art. 134.6 CE, ya que sólo él resulta mencionado como titular de la facultad de oponerse a una enmienda con consecuencias presupuestarias. En todo caso, sin perjuicio de lo anterior, destaca que las enmiendas 166 y 169, como todas las presentadas, fueron remitidas con fecha 3 de diciembre de 2012 al Gobierno.</w:t>
      </w:r>
    </w:p>
    <w:p w:rsidR="0085709A" w:rsidRDefault="0085709A" w:rsidP="0085709A">
      <w:pPr>
        <w:pStyle w:val="TextoNormal"/>
      </w:pPr>
    </w:p>
    <w:p w:rsidR="0085709A" w:rsidRDefault="0085709A" w:rsidP="0085709A">
      <w:pPr>
        <w:pStyle w:val="TextoNormal"/>
      </w:pPr>
      <w:r w:rsidRPr="0085709A">
        <w:rPr>
          <w:rStyle w:val="NumeroAFNegritaCaracter"/>
        </w:rPr>
        <w:t>8</w:t>
      </w:r>
      <w:r>
        <w:t>. El 7 de junio de 2013 tiene entrada en este Tribunal el escrito del Abogado del Estado, por el que se solicita la desestimación del presente recurso a partir de las siguientes alegaciones.</w:t>
      </w:r>
    </w:p>
    <w:p w:rsidR="0085709A" w:rsidRDefault="0085709A" w:rsidP="0085709A">
      <w:pPr>
        <w:pStyle w:val="TextoNormal"/>
      </w:pPr>
    </w:p>
    <w:p w:rsidR="0085709A" w:rsidRDefault="0085709A" w:rsidP="0085709A">
      <w:pPr>
        <w:pStyle w:val="TextoNormal"/>
      </w:pPr>
      <w:r>
        <w:t>Inicia el escrito con la descripción de los elementos esenciales del impuesto sobre depósitos en las entidades de crédito creado por el art. 19 de la Ley 16/2012 objeto del presente recurso.</w:t>
      </w:r>
    </w:p>
    <w:p w:rsidR="0085709A" w:rsidRDefault="0085709A" w:rsidP="0085709A">
      <w:pPr>
        <w:pStyle w:val="TextoNormal"/>
      </w:pPr>
    </w:p>
    <w:p w:rsidR="0085709A" w:rsidRDefault="0085709A" w:rsidP="0085709A">
      <w:pPr>
        <w:pStyle w:val="TextoNormal"/>
      </w:pPr>
      <w:r>
        <w:t>Hecha esta sucinta exposición, se refiere el escrito a la relación que el presente asunto tiene con los recursos de inconstitucionalidad interpuestos por el Presidente del Gobierno contra el Decreto-ley de Cataluña 5/2012, de 18 diciembre, registrado con el núm. 7279-2012 en este Tribunal; así como con el interpuesto contra el art. 41 y la disposición final séptima de la Ley del Principado de Asturias 3/2012, de 28 diciembre, de Presupuestos Generales para 2013, registrado con el núm. 631-2013 en este mismo Tribunal. Añade que el presente proceso guarda relación directa con los recursos núms. 1808-2013 y 1873-2013 interpuestos, respectivamente, por el Parlamento y el Gobierno de Cataluña, contra el mismo art. 19 de la Ley 19/2012 ahora impugnado.</w:t>
      </w:r>
    </w:p>
    <w:p w:rsidR="0085709A" w:rsidRDefault="0085709A" w:rsidP="0085709A">
      <w:pPr>
        <w:pStyle w:val="TextoNormal"/>
      </w:pPr>
    </w:p>
    <w:p w:rsidR="0085709A" w:rsidRDefault="0085709A" w:rsidP="0085709A">
      <w:pPr>
        <w:pStyle w:val="TextoNormal"/>
      </w:pPr>
      <w:r>
        <w:t>Se examinan a continuación los motivos de inconstitucionalidad que se alegan en relación al impuesto estatal.</w:t>
      </w:r>
    </w:p>
    <w:p w:rsidR="0085709A" w:rsidRDefault="0085709A" w:rsidP="0085709A">
      <w:pPr>
        <w:pStyle w:val="TextoNormal"/>
      </w:pPr>
    </w:p>
    <w:p w:rsidR="0085709A" w:rsidRDefault="0085709A" w:rsidP="0085709A">
      <w:pPr>
        <w:pStyle w:val="TextoNormal"/>
      </w:pPr>
      <w:r>
        <w:t>1º El art. 19 de la Ley 16/2012 no es una norma de armonización en el sentido del art. 150.3 CE; la demanda basa lo contrario en el hecho de que su pretensión sea la de asegurar un tratamiento fiscal armonizado que garantice una mayor eficiencia en el funcionamiento del sistema financiero. En este sentido, insiste en que la distinción constitucional entre las diversas tipologías normativas con fuerza de ley se hace desde una perspectiva formal; son los órganos políticos constitucionalmente habilitados en cada caso quienes deciden qué concreto tipo de norma debe dictarse. A renglón seguido, se refiere a la jurisprudencia sentada en la STC 76/1983, de 5 agosto, relativa a los recursos previos de inconstitucionalidad interpuestos contra el texto definitivo del proyecto de ley orgánica de armonización del proceso autonómico, en el que ya se apuntó que una ley de armonización es siempre una norma de cierre del sistema. En consecuencia, este tipo normativo es aplicable sólo a aquellos supuestos en los cuales el legislador estatal no dispone de otros cauces constitucionales para el ejercicio de su potestad legislativa. Tras transcribir el fundamento jurídico 3 de dicha Sentencia, concluye que en este caso el Estado ha entendido que los títulos competenciales de los arts. 133.1, 149.1.13 y 14 CE amparan legalmente al citado art. 19, de manera que no sólo era innecesario, sino que hubiera sido constitucionalmente reprochable acudir a una ley armonizadora.</w:t>
      </w:r>
    </w:p>
    <w:p w:rsidR="0085709A" w:rsidRDefault="0085709A" w:rsidP="0085709A">
      <w:pPr>
        <w:pStyle w:val="TextoNormal"/>
      </w:pPr>
    </w:p>
    <w:p w:rsidR="0085709A" w:rsidRDefault="0085709A" w:rsidP="0085709A">
      <w:pPr>
        <w:pStyle w:val="TextoNormal"/>
      </w:pPr>
      <w:r>
        <w:lastRenderedPageBreak/>
        <w:t>2º Tampoco se ha producido infracción alguna de las normas de tramitación parlamentaria. Comienza en este punto recordando la doctrina citada en las SSTC 119/2011 y 136/2011, así como la posterior STC 209/2012 [FJ 4 b)], cuya aplicación al caso que aquí se plantea permite descartar la inconstitucionalidad por este motivo pretendida. Destaca que la 16/2012 es una ley tributaria de contenido heterogéneo, que se refería a distintas normas tributarias; se trataba en realidad de una norma de carácter transversal que modificaba la práctica totalidad de figuras principales del sistema tributario. No puede pues afirmarse que exista una absoluta desconexión entre la regulación de un impuesto nuevo y el contenido del proyecto inicial, sin perjuicio de que el impuesto sobre los depósitos en las entidades de crédito guarde relación con el impuesto sobre el valor añadido, como ya estableció la STC 210/2012. Añade que, para que una enmienda pueda entenderse conexa con el texto enmendado, basta una mínima proximidad material; “sólo cuando sea evidente y manifiesto que no existe tal conexión deberá rechazarse”. La alegación de la demanda carece por tanto de todo fundamento, toda vez que no puede afirmarse que existiera una evidente y manifiesta desconexión entre el contenido del proyecto y la citada enmienda; sin perjuicio de que tal principio de conexión no pueda suponer que el procedimiento legislativo se vea atrapado en unas reglas tan rígidas que harían del debate parlamentario un procedimiento completamente reglado. Añade en fin que, durante la tramitación parlamentaria, diputados y senadores eran conscientes de que se debatía un texto que pretendían modificar las principales figuras del sistema tributario español sin que, en consecuencia, la enmienda aprobada en el Senado planteara “una problemática política por completo ajena a la que hasta el momento había rodeado” el texto original (SSTC 119/2011, FJ 9; y 136/2011, FJ 8).</w:t>
      </w:r>
    </w:p>
    <w:p w:rsidR="0085709A" w:rsidRDefault="0085709A" w:rsidP="0085709A">
      <w:pPr>
        <w:pStyle w:val="TextoNormal"/>
      </w:pPr>
    </w:p>
    <w:p w:rsidR="0085709A" w:rsidRDefault="0085709A" w:rsidP="0085709A">
      <w:pPr>
        <w:pStyle w:val="TextoNormal"/>
      </w:pPr>
      <w:r>
        <w:t>3º Debería descartase igualmente la infracción del art. 134.6 CE; conclusión a la que se llega tras transcribir el art. 151 RS que en todo caso garantiza que las enmiendas tramitadas sean remitidas de inmediato al Gobierno, lo que ha sucedido en este caso. Sin perjuicio de lo anterior, aunque se hubiera omitido tal trámite, cosa que no ha sucedido, tampoco la demanda hace ningún esfuerzo para justificar que dicha falta de comunicación al Gobierno haya alcanzado relevancia constitucional, en el sentido de alterarse de forma sustancial el proceso de formación de voluntad en el seno de las Cámaras.</w:t>
      </w:r>
    </w:p>
    <w:p w:rsidR="0085709A" w:rsidRDefault="0085709A" w:rsidP="0085709A">
      <w:pPr>
        <w:pStyle w:val="TextoNormal"/>
      </w:pPr>
    </w:p>
    <w:p w:rsidR="0085709A" w:rsidRDefault="0085709A" w:rsidP="0085709A">
      <w:pPr>
        <w:pStyle w:val="TextoNormal"/>
      </w:pPr>
      <w:r>
        <w:t>4º Se refiere a continuación, de forma conjunta, a la tacha de infracción de los principios de lealtad constitucional y de interdicción de la arbitrariedad (art. 9.3 CE), así como al pretendido ejercicio fraudulento de la potestad tributaria originaria del Estado.</w:t>
      </w:r>
    </w:p>
    <w:p w:rsidR="0085709A" w:rsidRDefault="0085709A" w:rsidP="0085709A">
      <w:pPr>
        <w:pStyle w:val="TextoNormal"/>
      </w:pPr>
    </w:p>
    <w:p w:rsidR="0085709A" w:rsidRDefault="0085709A" w:rsidP="0085709A">
      <w:pPr>
        <w:pStyle w:val="TextoNormal"/>
      </w:pPr>
      <w:r>
        <w:t>Comienza por recordar el ámbito y contenido de la potestad tributaria originaria del Estado, con referencia a la doctrina constitucional sobre la arbitrariedad del legislador y, finalmente, a la legítima finalidad perseguida por la norma que se impugna.</w:t>
      </w:r>
    </w:p>
    <w:p w:rsidR="0085709A" w:rsidRDefault="0085709A" w:rsidP="0085709A">
      <w:pPr>
        <w:pStyle w:val="TextoNormal"/>
      </w:pPr>
    </w:p>
    <w:p w:rsidR="0085709A" w:rsidRDefault="0085709A" w:rsidP="0085709A">
      <w:pPr>
        <w:pStyle w:val="TextoNormal"/>
      </w:pPr>
      <w:r>
        <w:t>En concreto, para empezar, se refiere el escrito a la potestad tributaria originaria del Estado, tal y como ha sido interpretada en general por la doctrina de este Tribunal (STC 100/2012, de 8 de mayo, FJ 7, entre otras); concretamente, por la STC 210/2012, que declaró la compatibilidad del impuesto sobre los depósitos en las entidades de crédito extremeño con las figuras tributarias estatales existentes al tiempo de dictarse aquella Sentencia, pero que no restringía a futuro la potestad tributaria originaria que corresponde al Estado; en concreto, no le impide establecer un impuesto sobre los depósitos en las entidades de crédito de ámbito estatal como así se ha hecho.</w:t>
      </w:r>
    </w:p>
    <w:p w:rsidR="0085709A" w:rsidRDefault="0085709A" w:rsidP="0085709A">
      <w:pPr>
        <w:pStyle w:val="TextoNormal"/>
      </w:pPr>
    </w:p>
    <w:p w:rsidR="0085709A" w:rsidRDefault="0085709A" w:rsidP="0085709A">
      <w:pPr>
        <w:pStyle w:val="TextoNormal"/>
      </w:pPr>
      <w:r>
        <w:lastRenderedPageBreak/>
        <w:t>Recalca que la citada STC 210/2012 no impide que el Estado ejerza su potestad tributaria creando un impuesto similar, sino que simplemente su establecimiento le impone instrumentar las medidas de compensación o coordinación adecuadas en favor de las Comunidades Autónomas que vean disminuidos sus ingresos.</w:t>
      </w:r>
    </w:p>
    <w:p w:rsidR="0085709A" w:rsidRDefault="0085709A" w:rsidP="0085709A">
      <w:pPr>
        <w:pStyle w:val="TextoNormal"/>
      </w:pPr>
    </w:p>
    <w:p w:rsidR="0085709A" w:rsidRDefault="0085709A" w:rsidP="0085709A">
      <w:pPr>
        <w:pStyle w:val="TextoNormal"/>
      </w:pPr>
      <w:r>
        <w:t>A continuación, cita la doctrina constitucional sobre la arbitrariedad del legislador, contenida en la STC 238/2012, de 13 diciembre, FJ 6 b). En ella el Tribunal insiste en el cuidado que se ha de tener cuando se trata de aplicar preceptos generales e indeterminados, como sucede con la interdicción de la arbitrariedad, sin que el simple disenso de los recurrentes permita hablar de arbitrariedad, ya que no debe confundirse lo que es arbitrio legítimo con capricho, inconsecuencia o incoherencia.</w:t>
      </w:r>
    </w:p>
    <w:p w:rsidR="0085709A" w:rsidRDefault="0085709A" w:rsidP="0085709A">
      <w:pPr>
        <w:pStyle w:val="TextoNormal"/>
      </w:pPr>
    </w:p>
    <w:p w:rsidR="0085709A" w:rsidRDefault="0085709A" w:rsidP="0085709A">
      <w:pPr>
        <w:pStyle w:val="TextoNormal"/>
      </w:pPr>
      <w:r>
        <w:t>A partir de lo anterior, centra la cuestión en si el art. 19 de la Ley 16/2012 “carece de toda justificación”, por responder a simple “capricho, inconsistencia o incoherencia” o, más bien, apunta a la razonable consecución de un fin constitucionalmente amparado.</w:t>
      </w:r>
    </w:p>
    <w:p w:rsidR="0085709A" w:rsidRDefault="0085709A" w:rsidP="0085709A">
      <w:pPr>
        <w:pStyle w:val="TextoNormal"/>
      </w:pPr>
    </w:p>
    <w:p w:rsidR="0085709A" w:rsidRDefault="0085709A" w:rsidP="0085709A">
      <w:pPr>
        <w:pStyle w:val="TextoNormal"/>
      </w:pPr>
      <w:r>
        <w:t>Tras recordar la extensa doctrina acerca de los posibles fines extrafiscales de los tributos, hace hincapié en que la demanda parece deducir de ella la inconstitucionalidad de los impuestos de tipo cero; lo cierto es que tal consecuencia no puede derivarse de ningún precepto constitucional. En este punto, hace hincapié en que cuando el Tribunal se ha referido a la necesaria finalidad fiscal de todo impuesto, lo ha hecho únicamente para recordar que el art. 31 CE, en su vertiente del principio de capacidad económica, exige que todo tributo esté anudado a una manifestación de riqueza, de modo que sin ésta no pueda existir. La Constitución no impide que transitoriamente, en atención a otros fines constitucionalmente legítimos, se pueda configurar un tributo, cuyo hecho imponible sea una manifestación de riqueza, con un tipo cero de gravamen inicial.</w:t>
      </w:r>
    </w:p>
    <w:p w:rsidR="0085709A" w:rsidRDefault="0085709A" w:rsidP="0085709A">
      <w:pPr>
        <w:pStyle w:val="TextoNormal"/>
      </w:pPr>
    </w:p>
    <w:p w:rsidR="0085709A" w:rsidRDefault="0085709A" w:rsidP="0085709A">
      <w:pPr>
        <w:pStyle w:val="TextoNormal"/>
      </w:pPr>
      <w:r>
        <w:t>Describe a continuación el impuesto sobre los depósitos en las entidades de crédito, que se configura como un auténtico impuesto, si bien por razones de política económica se configura temporalmente con tipo de gravamen cero. Esta posibilidad de hecho está expresamente prevista en el art. 55 de la Ley general tributaria, existiendo tributos con tipo cero en nuestro ordenamiento, como sucede con el impuesto especial sobre el vino y bebidas fermentadas regulado en los arts. 27 y siguientes de la Ley 38/1992, de 28 diciembre, de impuestos especiales, cuyo art. 30 establece un gravamen cero.</w:t>
      </w:r>
    </w:p>
    <w:p w:rsidR="0085709A" w:rsidRDefault="0085709A" w:rsidP="0085709A">
      <w:pPr>
        <w:pStyle w:val="TextoNormal"/>
      </w:pPr>
    </w:p>
    <w:p w:rsidR="0085709A" w:rsidRDefault="0085709A" w:rsidP="0085709A">
      <w:pPr>
        <w:pStyle w:val="TextoNormal"/>
      </w:pPr>
      <w:r>
        <w:t xml:space="preserve">Añade que existen razones de política económica que justificaron el establecimiento inicial de un tipo cero en el art. 19 de la Ley 16/2012, cuya finalidad declarada en el preámbulo era asegurar un tratamiento fiscal armonizado que garantice una mayor eficiencia en el funcionamiento del sistema financiero. Se refiere en este punto a la gravedad de la crisis financiera, recogiendo algunas afirmaciones del informe anual del Banco de España de 2008; en él se aprecia la singular gravedad esta crisis, probablemente sólo parangonable a la de 1929. Se refiere asimismo al informe de 2009 de la misma entidad y al de 2011. En relación, en concreto, a la situación de las entidades de depósito españolas se cita el informe de estabilidad financiera del Banco de España de noviembre de 2012 destacando de forma pormenorizada las tensiones financieras en el área del euro, así como los problemas de financiación de las entidades bancarias, al no poder acceder con facilidad a los mercados mayoristas, así como la bajada de la rentabilidad de las entidades de depósito. Así descritas, y dado su agravamiento como destaca el Boletín económico del Banco de España de marzo de 2013, </w:t>
      </w:r>
      <w:r>
        <w:lastRenderedPageBreak/>
        <w:t>no puede desconocerse la grave incidencia que un impuesto sobre los depósitos en las entidades de crédito como el establecido por Extremadura, Andalucía, Canarias, Cataluña y Asturias ocasionaría en un sector financiero ya gravemente deteriorado por la crisis. A partir de lo anterior, expone detalladamente los desequilibrios del sistema financiero que afectan, de un lado, al sector de las entidades de depósito y su reestructuración; de otro, al acceso al crédito de las empresas y economías domésticas y, con ello, al propio crecimiento económico. Se refiere además, en concreto, a los datos aportados por la Asociación Española de la Banca en relación con el coste que, para el sector de las entidades de crédito, supondría la extensión de impuestos autonómicos como el establecido por Cataluña.</w:t>
      </w:r>
    </w:p>
    <w:p w:rsidR="0085709A" w:rsidRDefault="0085709A" w:rsidP="0085709A">
      <w:pPr>
        <w:pStyle w:val="TextoNormal"/>
      </w:pPr>
    </w:p>
    <w:p w:rsidR="0085709A" w:rsidRDefault="0085709A" w:rsidP="0085709A">
      <w:pPr>
        <w:pStyle w:val="TextoNormal"/>
      </w:pPr>
      <w:r>
        <w:t>El art. 19 de la Ley 16/2012 se incardinaría no sólo en la competencia contenida en el art. 149.1.14 CE, sino también en el título contenido en el ordinal 13 del mismo art. 149.1 CE. Insiste en este punto en que, además de la finalidad fiscal, la norma tiene un claro fin extrafiscal, constitucionalmente legítimo y estrechamente vinculado con la grave situación de crisis financiera que afecta a las entidades de depósito en España.</w:t>
      </w:r>
    </w:p>
    <w:p w:rsidR="0085709A" w:rsidRDefault="0085709A" w:rsidP="0085709A">
      <w:pPr>
        <w:pStyle w:val="TextoNormal"/>
      </w:pPr>
    </w:p>
    <w:p w:rsidR="0085709A" w:rsidRDefault="0085709A" w:rsidP="0085709A">
      <w:pPr>
        <w:pStyle w:val="TextoNormal"/>
      </w:pPr>
      <w:r>
        <w:t>Añade que la finalidad del impuesto sobre los depósitos en las entidades de crédito estatal —asegurar un tratamiento fiscal armonizado— debe enmarcarse en el ámbito de la carta de emplazamiento que el 27 de febrero de 2012 la Comisión remitió al Ministro de Asuntos Exteriores sobre la posible incompatibilidad con los arts. 49 (derecho de establecimiento), 56 (libre circulación de servicios) y 63 (libre circulación de capitales) del Tratado de funcionamiento de la Unión Europea de ciertas disposiciones de la legislación tributaria española referente al impuesto que se aplica a los bancos en algunas Comunidades Autónomas. La carta se refería en concreto a las ventajas fiscales de los impuestos extremeño y andaluz, supeditadas a la localización de la sede social y sucursales en dichas Comunidades. En este sentido, la creación del impuesto sobre los depósitos en las entidades de crédito estatal debe enmarcarse también en la corriente actual existente en el seno de la Unión Europea en relación con el gravamen de determinadas operaciones financieras.</w:t>
      </w:r>
    </w:p>
    <w:p w:rsidR="0085709A" w:rsidRDefault="0085709A" w:rsidP="0085709A">
      <w:pPr>
        <w:pStyle w:val="TextoNormal"/>
      </w:pPr>
    </w:p>
    <w:p w:rsidR="0085709A" w:rsidRDefault="0085709A" w:rsidP="0085709A">
      <w:pPr>
        <w:pStyle w:val="TextoNormal"/>
      </w:pPr>
      <w:r>
        <w:t>5º El art. 19.13 de la Ley 16/2012 no infringe el art. 6.2 LOFCA. Comienza en este punto por destacar que el art. 19.13 de la Ley 16/2012 tiene también la finalidad legítima de evitar que, durante la tramitación parlamentaria del impuesto sobre los depósitos en las entidades de crédito estatal, Comunidades Autónomas que hasta el momento no habían mostrado interés alguno en gravar ese hecho imponible, lo hicieran precipitadamente adelantándose al legislador estatal, como hizo Cataluña. Describe con detalle el proceso por el cual la Comunidad Autónoma de Cataluña estableció el impuesto sobre depósitos en entidades de crédito, así como la públicamente denunciada finalidad de establecer tal impuesto para “blindar el espacio fiscal de la Generalitat”. Lo mismo sucede, atendiendo a las fechas, con el impuesto introducido por el art. 41 y la disposición final séptima de la Ley del Principado de Asturias 3/2012, de 28 de diciembre, de presupuestos generales para 2013 (objeto del recurso de inconstitucionalidad núm. 631-2013, interpuesto por el Presidente del Gobierno). Este proyecto de ley de presupuestos generales para 2013 del Principado de Asturias fue presentado a la Cámara el 4 de diciembre de 2012, y admitido por la Mesa al día siguiente (“Boletín Oficial de la Junta General del Principado de Asturias”, núm. 15, de 5 de diciembre).</w:t>
      </w:r>
    </w:p>
    <w:p w:rsidR="0085709A" w:rsidRDefault="0085709A" w:rsidP="0085709A">
      <w:pPr>
        <w:pStyle w:val="TextoNormal"/>
      </w:pPr>
    </w:p>
    <w:p w:rsidR="0085709A" w:rsidRDefault="0085709A" w:rsidP="0085709A">
      <w:pPr>
        <w:pStyle w:val="TextoNormal"/>
      </w:pPr>
      <w:r>
        <w:t>6º Por último, la norma estatal, concluye el Abogado del Estado, no vulnera el art. 9.3 CE, pues ni siquiera se trata de un impuesto con efectos retroactivos, sino con una limitación temporal de la compensación que se encuentra justificada como ha quedado expuesto.</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14 de abril de 2015, se señaló ese mismo día para la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recurso de inconstitucionalidad el Principado de Asturias impugna el art. 19 de la Ley 16/2012, de 27 de diciembre, por la que se adoptan diversas medidas tributarias dirigidas a la consolidación de las finanzas públicas y al impulso de la actividad económica, mediante el que se crea el impuesto sobre los depósitos en las entidades de crédito.</w:t>
      </w:r>
    </w:p>
    <w:p w:rsidR="0085709A" w:rsidRDefault="0085709A" w:rsidP="0085709A">
      <w:pPr>
        <w:pStyle w:val="TextoNormal"/>
      </w:pPr>
    </w:p>
    <w:p w:rsidR="0085709A" w:rsidRDefault="0085709A" w:rsidP="0085709A">
      <w:pPr>
        <w:pStyle w:val="TextoNormal"/>
      </w:pPr>
      <w:r>
        <w:t>Considera la demanda, con los argumentos que han quedado recogidos en el antecedente primero, que el citado precepto es inconstitucional por los siguientes motivos:</w:t>
      </w:r>
    </w:p>
    <w:p w:rsidR="0085709A" w:rsidRDefault="0085709A" w:rsidP="0085709A">
      <w:pPr>
        <w:pStyle w:val="TextoNormal"/>
      </w:pPr>
    </w:p>
    <w:p w:rsidR="0085709A" w:rsidRDefault="0085709A" w:rsidP="0085709A">
      <w:pPr>
        <w:pStyle w:val="TextoNormal"/>
      </w:pPr>
      <w:r>
        <w:t>- En primer lugar, por tratarse de una norma de armonización que no respeta los preceptos constitucionales y del bloque de constitucionalidad que regulan la adopción de disposiciones armonizadoras de las competencias autonómicas [art. 150.3 CE, art. 1 de la Ley 12/1983, de 14 de octubre, del proceso autonómico; art. 2 de la Ley Orgánica de financiación de las Comunidades Autónomas (LOFCA); y arts. 168 del Reglamento del Congreso de los Diputados y 141 del Reglamento del Senado].</w:t>
      </w:r>
    </w:p>
    <w:p w:rsidR="0085709A" w:rsidRDefault="0085709A" w:rsidP="0085709A">
      <w:pPr>
        <w:pStyle w:val="TextoNormal"/>
      </w:pPr>
    </w:p>
    <w:p w:rsidR="0085709A" w:rsidRDefault="0085709A" w:rsidP="0085709A">
      <w:pPr>
        <w:pStyle w:val="TextoNormal"/>
      </w:pPr>
      <w:r>
        <w:t>- En segundo lugar, por infracción del procedimiento legislativo, al haberse introducido el impuesto mediante una enmienda en el Senado sin conexión con las materias contenidas en el proyecto de ley previamente aprobado por el Congreso. Se habría vulnerado así la doctrina constitucional contenida en las SSTC 119/2011, de 5 de julio, FJ 6, y 136/2011, de 13 de septiembre, FJ 7.</w:t>
      </w:r>
    </w:p>
    <w:p w:rsidR="0085709A" w:rsidRDefault="0085709A" w:rsidP="0085709A">
      <w:pPr>
        <w:pStyle w:val="TextoNormal"/>
      </w:pPr>
    </w:p>
    <w:p w:rsidR="0085709A" w:rsidRDefault="0085709A" w:rsidP="0085709A">
      <w:pPr>
        <w:pStyle w:val="TextoNormal"/>
      </w:pPr>
      <w:r>
        <w:t>- En tercer lugar, se habría vulnerado el art. 134.6 CE ya que, en virtud del art. 6.2 LOFCA, la creación del impuesto sobre los depósitos en las entidades de crédito estatal necesariamente supondría un incremento de gasto, derivado de la obligación de compensar a las Comunidades Autónomas que ya habían gravado el mismo hecho imponible, sin que la enmienda en la que el precepto tiene su origen haya sido trasladada al Gobierno, al objeto de que pudiera ejercer su potestad de veto o manifestar su conformidad.</w:t>
      </w:r>
    </w:p>
    <w:p w:rsidR="0085709A" w:rsidRDefault="0085709A" w:rsidP="0085709A">
      <w:pPr>
        <w:pStyle w:val="TextoNormal"/>
      </w:pPr>
    </w:p>
    <w:p w:rsidR="0085709A" w:rsidRDefault="0085709A" w:rsidP="0085709A">
      <w:pPr>
        <w:pStyle w:val="TextoNormal"/>
      </w:pPr>
      <w:r>
        <w:t>- En cuarto lugar, el apartado 13 del art. 19 habría vulnerado la reserva de Ley Orgánica del art. 157.3 CE, ya que establece una regulación que contraviene el art. 6.2 LOFCA.</w:t>
      </w:r>
    </w:p>
    <w:p w:rsidR="0085709A" w:rsidRDefault="0085709A" w:rsidP="0085709A">
      <w:pPr>
        <w:pStyle w:val="TextoNormal"/>
      </w:pPr>
    </w:p>
    <w:p w:rsidR="0085709A" w:rsidRDefault="0085709A" w:rsidP="0085709A">
      <w:pPr>
        <w:pStyle w:val="TextoNormal"/>
      </w:pPr>
      <w:r>
        <w:t>- En conexión con lo anterior, en quinto lugar, el mismo apartado 13 vulneraría también el art. 9.3 CE, que consagra los principios de irretroactividad de las disposiciones restrictivas de derechos y de interdicción de la arbitrariedad; la efectividad de la compensación que regula se retrotrae a la fecha de 1 de diciembre de 2012, con el propósito de frustrar la compensación a las Comunidades Autónomas que aprobasen el tributo en una fecha posterior.</w:t>
      </w:r>
    </w:p>
    <w:p w:rsidR="0085709A" w:rsidRDefault="0085709A" w:rsidP="0085709A">
      <w:pPr>
        <w:pStyle w:val="TextoNormal"/>
      </w:pPr>
    </w:p>
    <w:p w:rsidR="0085709A" w:rsidRDefault="0085709A" w:rsidP="0085709A">
      <w:pPr>
        <w:pStyle w:val="TextoNormal"/>
      </w:pPr>
      <w:r>
        <w:t xml:space="preserve">- En sexto y último lugar, la creación del impuesto sobre los depósitos en las entidades de crédito estatal vulneraría el art. 31.1 CE. El establecimiento de un gravamen con tipo </w:t>
      </w:r>
      <w:r>
        <w:lastRenderedPageBreak/>
        <w:t>cero sería incompatible con los principios allí recogidos; vulneraría también con ello el principio de lealtad institucional, que ha de regir en esta materia y que prohíbe el ejercicio de las competencias propias con el único propósito de frustrar el ejercicio de las ajenas.</w:t>
      </w:r>
    </w:p>
    <w:p w:rsidR="0085709A" w:rsidRDefault="0085709A" w:rsidP="0085709A">
      <w:pPr>
        <w:pStyle w:val="TextoNormal"/>
      </w:pPr>
    </w:p>
    <w:p w:rsidR="0085709A" w:rsidRDefault="0085709A" w:rsidP="0085709A">
      <w:pPr>
        <w:pStyle w:val="TextoNormal"/>
      </w:pPr>
      <w:r w:rsidRPr="0085709A">
        <w:rPr>
          <w:rStyle w:val="NumeroAFNegritaCaracter"/>
        </w:rPr>
        <w:t>2</w:t>
      </w:r>
      <w:r>
        <w:t>. El presente recurso de inconstitucionalidad coincide parcialmente en su objeto con el resuelto en nuestras SSTC 26/2015, de 19 de febrero, y 59/2015, de 17 de marzo, en las que se resolvieron los recursos de inconstitucionalidad núms. 1808-2013, interpuesto por el Parlamento de Cataluña, y 1873-2013, interpuesto por el Gobierno de la misma Comunidad, contra el mismo art. 19 de la Ley 16/2012.</w:t>
      </w:r>
    </w:p>
    <w:p w:rsidR="0085709A" w:rsidRDefault="0085709A" w:rsidP="0085709A">
      <w:pPr>
        <w:pStyle w:val="TextoNormal"/>
      </w:pPr>
    </w:p>
    <w:p w:rsidR="0085709A" w:rsidRDefault="0085709A" w:rsidP="0085709A">
      <w:pPr>
        <w:pStyle w:val="TextoNormal"/>
      </w:pPr>
      <w:r>
        <w:t>Antes de abordar el fondo de la controversia, debemos recordar que el objeto de la misma no ha desaparecido en este caso, a pesar de que la norma impugnada ha sido objeto de modificaciones durante la pendencia del proceso; por las mismas razones ya expuestas en las citadas SSTC 26/2015, FJ 3 y 59/2015, FJ 2. De esta manera, las modificaciones acometidas, en primer lugar, mediante el art. 124 del Real Decreto-ley 8/2014, de 4 de julio, de aprobación de medidas urgentes para el crecimiento, la competitividad y la eficiencia y, en segundo lugar, mediante el art. 124 de la Ley 18/2014, de 15 de octubre, de aprobación de medidas urgentes para el crecimiento, la competitividad y la eficiencia, no privan de objeto al presente recurso por dos razones:</w:t>
      </w:r>
    </w:p>
    <w:p w:rsidR="0085709A" w:rsidRDefault="0085709A" w:rsidP="0085709A">
      <w:pPr>
        <w:pStyle w:val="TextoNormal"/>
      </w:pPr>
    </w:p>
    <w:p w:rsidR="0085709A" w:rsidRDefault="0085709A" w:rsidP="0085709A">
      <w:pPr>
        <w:pStyle w:val="TextoNormal"/>
      </w:pPr>
      <w:r>
        <w:t>La primera razón es que la controversia que se plantea tiene un contenido competencial que no puede considerarse resuelto; la segunda es que, tal y como sucedía en la controversia resuelta en la STC 59/2015, uno de los motivos —en este caso, el segundo— se refiere al procedimiento legislativo mismo; subiste pues el interés constitucional en velar por el recto ejercicio de la potestad legislativa (59/2015, FJ 2; con cita de las SSTC 136/2011, de 13 de septiembre, FJ 2, y 132/2013, de 5 de julio, FJ 1).</w:t>
      </w:r>
    </w:p>
    <w:p w:rsidR="0085709A" w:rsidRDefault="0085709A" w:rsidP="0085709A">
      <w:pPr>
        <w:pStyle w:val="TextoNormal"/>
      </w:pPr>
    </w:p>
    <w:p w:rsidR="0085709A" w:rsidRDefault="0085709A" w:rsidP="0085709A">
      <w:pPr>
        <w:pStyle w:val="TextoNormal"/>
      </w:pPr>
      <w:r w:rsidRPr="0085709A">
        <w:rPr>
          <w:rStyle w:val="NumeroAFNegritaCaracter"/>
        </w:rPr>
        <w:t>3</w:t>
      </w:r>
      <w:r>
        <w:t>. Planteado el recurso de inconstitucionalidad en los términos expuestos, podemos concluir que las cuestiones planteadas han sido ya resueltas por las SSTC 26/2015 y 59/2015, con la única excepción del tercer motivo, relativo a la posible vulneración del art. 134.6 CE, al que se deberá responder en el siguiente fundamento.</w:t>
      </w:r>
    </w:p>
    <w:p w:rsidR="0085709A" w:rsidRDefault="0085709A" w:rsidP="0085709A">
      <w:pPr>
        <w:pStyle w:val="TextoNormal"/>
      </w:pPr>
    </w:p>
    <w:p w:rsidR="0085709A" w:rsidRDefault="0085709A" w:rsidP="0085709A">
      <w:pPr>
        <w:pStyle w:val="TextoNormal"/>
      </w:pPr>
      <w:r>
        <w:t>Procede en consecuencia desestimar íntegramente los cinco motivos restantes, a partir de las siguientes consideraciones:</w:t>
      </w:r>
    </w:p>
    <w:p w:rsidR="0085709A" w:rsidRDefault="0085709A" w:rsidP="0085709A">
      <w:pPr>
        <w:pStyle w:val="TextoNormal"/>
      </w:pPr>
    </w:p>
    <w:p w:rsidR="0085709A" w:rsidRDefault="0085709A" w:rsidP="0085709A">
      <w:pPr>
        <w:pStyle w:val="TextoNormal"/>
      </w:pPr>
      <w:r>
        <w:t>a) En primer lugar, en la STC 26/2015 hemos descartado que el impuesto sobre los depósitos en las entidades de crédito establecido por el art. 19 de la Ley 16/2012 fuera un tributo simulado, por el mero hecho de tener un tipo de gravamen cero [FJ 4 a)]. Asimismo, afirmamos entonces que el Estado ostenta la competencia para establecer un tributo cuya finalidad principal es precisamente “asegurar un tratamiento fiscal armonizado de esta materia imponible” [FJ 4 b)]. No es para ello precisa la aprobación de una ley de armonización; “el Estado no sólo no invade el ámbito reservado a la ley orgánica por el art. 157.3 CE, sino que ha ejercido su competencia de forma legítima, haciendo uso de la citada posibilidad de ocupar los hechos imponibles previamente gravados por un tributo autonómico” [STC 26/2015, FJ 5 a)].</w:t>
      </w:r>
    </w:p>
    <w:p w:rsidR="0085709A" w:rsidRDefault="0085709A" w:rsidP="0085709A">
      <w:pPr>
        <w:pStyle w:val="TextoNormal"/>
      </w:pPr>
    </w:p>
    <w:p w:rsidR="0085709A" w:rsidRDefault="0085709A" w:rsidP="0085709A">
      <w:pPr>
        <w:pStyle w:val="TextoNormal"/>
      </w:pPr>
      <w:r>
        <w:t>Como consecuencia, procede desestimar los motivos primero y sexto de la demanda.</w:t>
      </w:r>
    </w:p>
    <w:p w:rsidR="0085709A" w:rsidRDefault="0085709A" w:rsidP="0085709A">
      <w:pPr>
        <w:pStyle w:val="TextoNormal"/>
      </w:pPr>
    </w:p>
    <w:p w:rsidR="0085709A" w:rsidRDefault="0085709A" w:rsidP="0085709A">
      <w:pPr>
        <w:pStyle w:val="TextoNormal"/>
      </w:pPr>
      <w:r>
        <w:lastRenderedPageBreak/>
        <w:t>b) En segundo lugar, en la STC 26/2015 hemos descartado las vulneraciones constitucionales que se atribuyen al apartado 13 del art. 19 de la Ley 16/2012; este precepto no contradice la LOFCA, sino que concreta el alcance de su art. 6.2, “no con la finalidad de interpretar el referido precepto de la LOFCA, sino para aplicarlo en atención al procedimiento legislativo seguido para su aprobación, lo que implica, como es propio de todo proceso aplicativo de una norma, una previa labor de interpretación de su sentido y alcance” (STC 26/2015, FJ 6).</w:t>
      </w:r>
    </w:p>
    <w:p w:rsidR="0085709A" w:rsidRDefault="0085709A" w:rsidP="0085709A">
      <w:pPr>
        <w:pStyle w:val="TextoNormal"/>
      </w:pPr>
    </w:p>
    <w:p w:rsidR="0085709A" w:rsidRDefault="0085709A" w:rsidP="0085709A">
      <w:pPr>
        <w:pStyle w:val="TextoNormal"/>
      </w:pPr>
      <w:r>
        <w:t>A ello añadimos que tampoco resultaba inconstitucional la limitación temporal de la compensación, pues “atendiendo a ese proceso de elaboración del art. 19 impugnado en este recurso, puede concluirse que la fijación de esa fecha de 1 de diciembre de 2012 no contraviene lo previsto en el art. 6.2 LOFCA, pues obedece a la finalidad, que no puede considerarse irrazonable, de evitar que durante el proceso de elaboración de la Ley 16/2012 pudieran algunas Comunidades Autónoma crear tributos equivalentes al impuesto sobre depósitos en las entidades de crédito estatal, en procedimientos legislativos más rápidos, anticipándose así a la aprobación de aquel tributo, y más que con la finalidad de aprobar una nueva fuente de ingresos tributarios, que es la previsión contemplada en el art. 6.2 LOFCA, con la de situarse en la posición de posibles acreedoras de las medidas de compensación o coordinación que dicho precepto considera. De ahí la elección de esa fecha del 1 de diciembre de 2012, toda vez que el art. 19 de la Ley 16/2012 fue incorporado a ella tras la aprobación de una enmienda presentada en el Senado el 29 de noviembre de 2012” (STC 26/2015, FJ 6).</w:t>
      </w:r>
    </w:p>
    <w:p w:rsidR="0085709A" w:rsidRDefault="0085709A" w:rsidP="0085709A">
      <w:pPr>
        <w:pStyle w:val="TextoNormal"/>
      </w:pPr>
    </w:p>
    <w:p w:rsidR="0085709A" w:rsidRDefault="0085709A" w:rsidP="0085709A">
      <w:pPr>
        <w:pStyle w:val="TextoNormal"/>
      </w:pPr>
      <w:r>
        <w:t xml:space="preserve">Una vez concluida la legitimidad de la restricción temporal de la compensación, decae igualmente el motivo referido a la infracción del art. 9.3 CE. A mayor abundamiento, y como hemos recordado recientemente en la STC 49/2015, de 5 de marzo, el principio de irretroactividad de las leyes que contempla el art. 9.3 CE se refiere únicamente a las leyes </w:t>
      </w:r>
      <w:r w:rsidRPr="0085709A">
        <w:rPr>
          <w:i/>
        </w:rPr>
        <w:t>ex post facto</w:t>
      </w:r>
      <w:r>
        <w:t xml:space="preserve"> sancionadoras o restrictivas de derechos individuales; fuera de estos dos ámbitos, nada impide al legislador dotar a la ley del grado de retroactividad que considere oportuno, ya que de lo contrario se podrían producir situaciones de congelación o petrificación del ordenamiento jurídico (STC 49/2015, FJ 4). Por tanto, el hecho de que el art. 19.13 de la Ley 16/2012 limite la compensación a los tributos autonómicos, que recaigan sobre el mismo hecho imponible gravado ahora por el impuesto sobre los depósitos en las entidades de crédito estatal, establecidos con anterioridad al 1 de diciembre de 2012, supone un reducido efecto retroactivo de la ley estatal, que no implica una restricción de derechos arbitraria, por lo que no se vulnera tampoco el art. 9.3 CE.</w:t>
      </w:r>
    </w:p>
    <w:p w:rsidR="0085709A" w:rsidRDefault="0085709A" w:rsidP="0085709A">
      <w:pPr>
        <w:pStyle w:val="TextoNormal"/>
      </w:pPr>
    </w:p>
    <w:p w:rsidR="0085709A" w:rsidRDefault="0085709A" w:rsidP="0085709A">
      <w:pPr>
        <w:pStyle w:val="TextoNormal"/>
      </w:pPr>
      <w:r>
        <w:t>Dadas las anteriores consideraciones, deben desestimarse los motivos de inconstitucionalidad cuarto y quinto, que se refieren al art. 19.13 de la Ley 16/2012.</w:t>
      </w:r>
    </w:p>
    <w:p w:rsidR="0085709A" w:rsidRDefault="0085709A" w:rsidP="0085709A">
      <w:pPr>
        <w:pStyle w:val="TextoNormal"/>
      </w:pPr>
    </w:p>
    <w:p w:rsidR="0085709A" w:rsidRDefault="0085709A" w:rsidP="0085709A">
      <w:pPr>
        <w:pStyle w:val="TextoNormal"/>
      </w:pPr>
      <w:r>
        <w:t>c) Finalmente, en tercer lugar, en la STC 59/2015, además de descartar la objeción de procedibilidad que formula el Letrado del Senado, en relación con la legitimación activa de la Comunidad Autónoma (FJ 4), hemos descartado toda infracción del procedimiento legislativo en la tramitación del precepto impugnado. En efecto, “no puede afirmarse que exista una total falta de homogeneidad o desconexión, en los términos alegados por la demanda, y de acuerdo con nuestra doctrina reiterada, que exige cohonestar el examen de la posible vulneración constitucional con la necesaria flexibilidad en el procedimiento legislativo y el papel de control que a los órganos de gobierno corresponden y del que el proceso constitucional es siempre subsidiario” [STC 59/2015, FJ 6 b)].</w:t>
      </w:r>
    </w:p>
    <w:p w:rsidR="0085709A" w:rsidRDefault="0085709A" w:rsidP="0085709A">
      <w:pPr>
        <w:pStyle w:val="TextoNormal"/>
      </w:pPr>
    </w:p>
    <w:p w:rsidR="0085709A" w:rsidRDefault="0085709A" w:rsidP="0085709A">
      <w:pPr>
        <w:pStyle w:val="TextoNormal"/>
      </w:pPr>
      <w:r>
        <w:t>La aplicación de esta doctrina a la presente controversia permite, en fin, desestimar el segundo motivo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4</w:t>
      </w:r>
      <w:r>
        <w:t>. Subsiste pues en este proceso el tercer motivo de inconstitucionalidad invocado en la demanda, que considera vulnerado el art. 134.6 CE; precepto que establece que “toda proposición o enmienda que suponga aumento de los créditos o disminución de los ingresos presupuestarios requerirá la conformidad del Gobierno para su tramitación”. Según la demanda, dado que en virtud del art. 6.2 LOFCA el Estado está obligado a compensar a las Comunidades Autónomas cuando establezca tributos sobre hechos previamente gravados por éstas, la creación del impuesto sobre los depósitos en las entidades de crédito  estatal supondría necesariamente un incremento de gasto, al existir ya impuestos de este tipo establecidos por otras Comunidades Autónomas. El hecho de que la enmienda en la que el precepto tiene su origen no haya sido trasladada al Gobierno, al objeto de que pudiera ejercer su potestad de veto o manifestar su conformidad, supone una vulneración del citado precepto constitucional. Con ello, y atendiendo a la función del presupuesto como vehículo de la política económica del Gobierno, se ha vulnerado la disposición que pretende preservar las competencias presupuestarias del Ejecutivo, con el resultado de que, de forma sustantiva —además de vulnerarse el art. 134.6 CE— se ha afectado al principio de estabilidad regulado por el art. 135 CE.</w:t>
      </w:r>
    </w:p>
    <w:p w:rsidR="0085709A" w:rsidRDefault="0085709A" w:rsidP="0085709A">
      <w:pPr>
        <w:pStyle w:val="TextoNormal"/>
      </w:pPr>
    </w:p>
    <w:p w:rsidR="0085709A" w:rsidRDefault="0085709A" w:rsidP="0085709A">
      <w:pPr>
        <w:pStyle w:val="TextoNormal"/>
      </w:pPr>
      <w:r>
        <w:t>La alegación carece de fundamento en los términos en que está planteada, por lo que el motivo debe ser desestimado partiendo de las siguientes consideraciones:</w:t>
      </w:r>
    </w:p>
    <w:p w:rsidR="0085709A" w:rsidRDefault="0085709A" w:rsidP="0085709A">
      <w:pPr>
        <w:pStyle w:val="TextoNormal"/>
      </w:pPr>
    </w:p>
    <w:p w:rsidR="0085709A" w:rsidRDefault="0085709A" w:rsidP="0085709A">
      <w:pPr>
        <w:pStyle w:val="TextoNormal"/>
      </w:pPr>
      <w:r>
        <w:t>En primer lugar, debe descartarse la premisa de la que parte la demanda en la fundamentación de este motivo. Como constatamos en la STC 26/2015, FJ 6, el art. 6.2 LOFCA no establece una compensación automática; ni siquiera predetermina la medida de coordinación o compensación a adoptar por el legislador, de manera que el establecimiento de un impuesto estatal sobre hechos imponibles gravados por las Comunidades Autónomas, como es el caso del impuesto sobre los depósitos en las entidades de crédito, no supone siempre y necesariamente un incremento de los créditos presupuestarios en los términos alegados.</w:t>
      </w:r>
    </w:p>
    <w:p w:rsidR="0085709A" w:rsidRDefault="0085709A" w:rsidP="0085709A">
      <w:pPr>
        <w:pStyle w:val="TextoNormal"/>
      </w:pPr>
    </w:p>
    <w:p w:rsidR="0085709A" w:rsidRDefault="0085709A" w:rsidP="0085709A">
      <w:pPr>
        <w:pStyle w:val="TextoNormal"/>
      </w:pPr>
      <w:r>
        <w:t>En segundo lugar, no estamos ante la tramitación de una ley de presupuestos, por lo que difícilmente podría afectarse en este caso a las competencias del Gobierno contenidas en el art. 134 CE, en los términos defendidos por la demanda. En todo caso, las citadas enmiendas 166 y 169, como todas las presentadas, fueron efectivamente remitidas —con fecha 3 de diciembre de 2012— al Gobierno, tal y como establece el art. 151 del Reglamento del Senado.</w:t>
      </w:r>
    </w:p>
    <w:p w:rsidR="0085709A" w:rsidRDefault="0085709A" w:rsidP="0085709A">
      <w:pPr>
        <w:pStyle w:val="TextoNormal"/>
      </w:pPr>
    </w:p>
    <w:p w:rsidR="0085709A" w:rsidRDefault="0085709A" w:rsidP="0085709A">
      <w:pPr>
        <w:pStyle w:val="TextoNormal"/>
      </w:pPr>
      <w:r>
        <w:t>A ello debe añadirse, incluso obviando las anteriores consideraciones, que tampoco la demanda contiene ningún esfuerzo argumentativo para justificar que la eventual falta de comunicación al Gobierno alcanzaría relevancia constitucional, en el sentido de privar al Ejecutivo de sus competencias en relación con el presupuesto, sin que se contenga tampoco alegación alguna en relación a la afectación del art. 135 CE.</w:t>
      </w:r>
    </w:p>
    <w:p w:rsidR="0085709A" w:rsidRDefault="0085709A" w:rsidP="0085709A">
      <w:pPr>
        <w:pStyle w:val="TextoNormal"/>
      </w:pPr>
    </w:p>
    <w:p w:rsidR="0085709A" w:rsidRDefault="0085709A" w:rsidP="0085709A">
      <w:pPr>
        <w:pStyle w:val="TextoNormal"/>
      </w:pPr>
      <w:r>
        <w:t>En consecuencia, el presente motivo y, con ello, la demanda en su integridad deben ser desestimados.</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inconstitucionalidad interpuesto por el Consejo de Gobierno del Principado de Asturias contra el art. 19 de la Ley 16/2012, de 27 de diciembre, por la que se adoptan diversas medidas tributarias dirigidas a la consolidación de las finanzas públicas y al impulso de la actividad económica.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abril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al que se adhieren las Magistradas doña Adela Asua Batarrita y doña Encarnación Roca Trías y el Magistrado don Fernando Valdés Dal-Ré, respecto de la Sentencia dictada en el recurso de inconstitucional núm. 1881-2013.</w:t>
      </w:r>
    </w:p>
    <w:p w:rsidR="0085709A" w:rsidRDefault="0085709A" w:rsidP="0085709A">
      <w:pPr>
        <w:pStyle w:val="TextoNormalNegritaCentrado"/>
        <w:keepNext/>
      </w:pPr>
    </w:p>
    <w:p w:rsidR="0085709A" w:rsidRDefault="0085709A" w:rsidP="0085709A">
      <w:pPr>
        <w:pStyle w:val="TextoNormal"/>
      </w:pPr>
      <w:r>
        <w:t>Con respeto a la opinión mayoritaria de mis compañeros en la que se sustenta la Sentencia, manifiesto mi discrepancia con la argumentación y decisión de desestimar el recurso de inconstitucionalidad interpuesto por el Consejo de Gobierno del Principado de Asturias contra el art. 19 de la Ley 16/2012, de 27 de diciembre, por el que se crea el impuesto sobre depósitos en las entidades de crédito.</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26/2015, de 19 de febrero, al que para evitar reiteraciones innecesarias me remito.</w:t>
      </w:r>
    </w:p>
    <w:p w:rsidR="0085709A" w:rsidRDefault="0085709A" w:rsidP="0085709A">
      <w:pPr>
        <w:pStyle w:val="TextoNormal"/>
      </w:pPr>
    </w:p>
    <w:p w:rsidR="0085709A" w:rsidRDefault="0085709A" w:rsidP="0085709A">
      <w:pPr>
        <w:pStyle w:val="TextoNormal"/>
      </w:pPr>
      <w:r>
        <w:t>Madrid, a catorce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7" w:name="SENTENCIA_2015_74"/>
      <w:r>
        <w:lastRenderedPageBreak/>
        <w:t>SENTENCIA 74/2015, de 27 de abril de 2015</w:t>
      </w:r>
    </w:p>
    <w:bookmarkEnd w:id="77"/>
    <w:p w:rsidR="0085709A" w:rsidRDefault="0085709A" w:rsidP="0085709A">
      <w:pPr>
        <w:pStyle w:val="TtuloResolucin"/>
      </w:pPr>
      <w:r>
        <w:t>Sala Segunda</w:t>
      </w:r>
    </w:p>
    <w:p w:rsidR="0085709A" w:rsidRDefault="0085709A" w:rsidP="0085709A">
      <w:pPr>
        <w:pStyle w:val="TtuloBOE"/>
      </w:pPr>
      <w:r>
        <w:t>(BOE núm. 136, de 8 de junio de 2015)</w:t>
      </w:r>
    </w:p>
    <w:p w:rsidR="0085709A" w:rsidRDefault="0085709A" w:rsidP="0085709A">
      <w:pPr>
        <w:pStyle w:val="TextoNormalCentrado"/>
      </w:pPr>
      <w:r>
        <w:t>ECLI:ES:TC:2015:74</w:t>
      </w:r>
    </w:p>
    <w:p w:rsidR="0085709A" w:rsidRDefault="0085709A" w:rsidP="0085709A">
      <w:pPr>
        <w:pStyle w:val="TextoNormalCentrado"/>
      </w:pPr>
    </w:p>
    <w:p w:rsidR="0085709A" w:rsidRDefault="0085709A" w:rsidP="0085709A">
      <w:pPr>
        <w:pStyle w:val="SntesisDescriptiva"/>
      </w:pPr>
      <w:r>
        <w:t>Recurso de amparo 9400-2009. Promovido por don Issa Koulibaly respecto del Auto dictado por el Juzgado de lo Contencioso-Administrativo número 18 de Madrid en proceso sobre denegación de la autorización de residencia.</w:t>
      </w:r>
    </w:p>
    <w:p w:rsidR="0085709A" w:rsidRDefault="0085709A" w:rsidP="0085709A">
      <w:pPr>
        <w:pStyle w:val="SntesisDescriptiva"/>
      </w:pPr>
    </w:p>
    <w:p w:rsidR="0085709A" w:rsidRDefault="0085709A" w:rsidP="0085709A">
      <w:pPr>
        <w:pStyle w:val="SntesisAnaltica"/>
      </w:pPr>
      <w:r>
        <w:t>Vulneración del derecho a un proceso sin dilaciones indebidas: demora superior a dos años en la celebración de la vista del juicio en un procedimiento abreviado contencioso-administrativo (STC 142/2010).</w:t>
      </w:r>
    </w:p>
    <w:p w:rsidR="0085709A" w:rsidRDefault="0085709A" w:rsidP="0085709A">
      <w:pPr>
        <w:pStyle w:val="SntesisAnaltica"/>
      </w:pPr>
    </w:p>
    <w:p w:rsidR="0085709A" w:rsidRDefault="0085709A" w:rsidP="0085709A">
      <w:pPr>
        <w:pStyle w:val="Extracto"/>
      </w:pPr>
      <w:r>
        <w:t>1.</w:t>
      </w:r>
      <w:r>
        <w:tab/>
        <w:t>Se considera vulnerado el derecho a un proceso sin dilaciones indebidas del recurrente [FJ 6].</w:t>
      </w:r>
    </w:p>
    <w:p w:rsidR="0085709A" w:rsidRDefault="0085709A" w:rsidP="0085709A">
      <w:pPr>
        <w:pStyle w:val="Extracto"/>
      </w:pPr>
    </w:p>
    <w:p w:rsidR="0085709A" w:rsidRDefault="0085709A" w:rsidP="0085709A">
      <w:pPr>
        <w:pStyle w:val="Extracto"/>
      </w:pPr>
      <w:r>
        <w:t>2.</w:t>
      </w:r>
      <w:r>
        <w:tab/>
        <w:t>El otorgamiento del amparo debe limitarse a la declaración de la violación del derecho fundamental, toda vez que se deduce de las actuaciones recibidas en este Tribunal que el procedimiento en cuestión ya ha concluido, habiéndose celebrado la vista acordada por el Juzgado e, incluso, recaído Sentencia finalmente estimatoria de la pretensión actora [FJ 6].</w:t>
      </w:r>
    </w:p>
    <w:p w:rsidR="0085709A" w:rsidRDefault="0085709A" w:rsidP="0085709A">
      <w:pPr>
        <w:pStyle w:val="Extracto"/>
      </w:pPr>
    </w:p>
    <w:p w:rsidR="0085709A" w:rsidRDefault="0085709A" w:rsidP="0085709A">
      <w:pPr>
        <w:pStyle w:val="Extracto"/>
      </w:pPr>
      <w:r>
        <w:t>3.</w:t>
      </w:r>
      <w:r>
        <w:tab/>
        <w:t>Debe acogerse la alegación de pérdida sobrevenida de objeto de la pretensión que solicita la anticipación de la celebración de vista, puesto que la vista ya tuvo lugar, aunque fuera en la tardía fecha de su señalamiento (STC 89/2014) [FJ 3].</w:t>
      </w:r>
    </w:p>
    <w:p w:rsidR="0085709A" w:rsidRDefault="0085709A" w:rsidP="0085709A">
      <w:pPr>
        <w:pStyle w:val="Extracto"/>
      </w:pPr>
    </w:p>
    <w:p w:rsidR="0085709A" w:rsidRDefault="0085709A" w:rsidP="0085709A">
      <w:pPr>
        <w:pStyle w:val="Extracto"/>
      </w:pPr>
      <w:r>
        <w:t>4.</w:t>
      </w:r>
      <w:r>
        <w:tab/>
        <w:t>Aunque al tiempo de dictarse la presente Sentencia resolutoria del recurso de amparo la dilación indebida denunciada ya haya cesado (el recurso contencioso-administrativo entablado por el demandante finalizó incluso con anterioridad a la fecha de admisión del recurso), no por ello debe apreciarse que haya quedado privado de objeto el presente proceso constitucional, pues no puede considerarse reparada aquella dilación mediante una actuación judicial tardía o demorada [FJ 3].</w:t>
      </w:r>
    </w:p>
    <w:p w:rsidR="0085709A" w:rsidRDefault="0085709A" w:rsidP="0085709A">
      <w:pPr>
        <w:pStyle w:val="Extracto"/>
      </w:pPr>
    </w:p>
    <w:p w:rsidR="0085709A" w:rsidRDefault="0085709A" w:rsidP="0085709A">
      <w:pPr>
        <w:pStyle w:val="Extracto"/>
      </w:pPr>
      <w:r>
        <w:t>5.</w:t>
      </w:r>
      <w:r>
        <w:tab/>
        <w:t>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el proceso [FJ 4].</w:t>
      </w:r>
    </w:p>
    <w:p w:rsidR="0085709A" w:rsidRDefault="0085709A" w:rsidP="0085709A">
      <w:pPr>
        <w:pStyle w:val="Extracto"/>
      </w:pPr>
    </w:p>
    <w:p w:rsidR="0085709A" w:rsidRDefault="0085709A" w:rsidP="0085709A">
      <w:pPr>
        <w:pStyle w:val="Extracto"/>
      </w:pPr>
      <w:r>
        <w:t>6.</w:t>
      </w:r>
      <w:r>
        <w:tab/>
        <w:t>El asunto planteado no revestía una especial complejidad, al tratarse de un recurso interpuesto contra una denegación de autorización de residencia por circunstancias excepcionales de arraigo, por lo que no parece razonable que su señalamiento y resolución se haya diferido, con evidente perjuicio del recurrente, a una fecha tan lejana, casi dos años y medio después de la interposición del recurso contencioso-administrativo [FJ 4].</w:t>
      </w:r>
    </w:p>
    <w:p w:rsidR="0085709A" w:rsidRDefault="0085709A" w:rsidP="0085709A">
      <w:pPr>
        <w:pStyle w:val="Extracto"/>
      </w:pPr>
    </w:p>
    <w:p w:rsidR="0085709A" w:rsidRDefault="0085709A" w:rsidP="0085709A">
      <w:pPr>
        <w:pStyle w:val="Extracto"/>
      </w:pPr>
      <w:r>
        <w:lastRenderedPageBreak/>
        <w:t>7.</w:t>
      </w:r>
      <w:r>
        <w:tab/>
        <w:t>El juicio sobre el contenido concreto de las dilaciones, y sobre si son o no indebidas, debe ser el resultado de la aplicación a las circunstancias específicas de cada caso de ciertos criterios objetivos: la complejidad del litigio, los márgenes ordinarios de duración de los litigios del mismo tipo, el interés que arriesga el demandante de amparo, su conducta procesal y la conducta de las autoridades (SSTC 38/2008, 54/2014) [FJ 4].</w:t>
      </w:r>
    </w:p>
    <w:p w:rsidR="0085709A" w:rsidRDefault="0085709A" w:rsidP="0085709A">
      <w:pPr>
        <w:pStyle w:val="Extracto"/>
      </w:pPr>
    </w:p>
    <w:p w:rsidR="0085709A" w:rsidRDefault="0085709A" w:rsidP="0085709A">
      <w:pPr>
        <w:pStyle w:val="Extracto"/>
      </w:pPr>
      <w:r>
        <w:t>8.</w:t>
      </w:r>
      <w:r>
        <w:tab/>
        <w:t>El derecho a un proceso sin dilaciones indebidas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(SSTC 135/2004, 54/2014) [FJ 4].</w:t>
      </w:r>
    </w:p>
    <w:p w:rsidR="0085709A" w:rsidRDefault="0085709A" w:rsidP="0085709A">
      <w:pPr>
        <w:pStyle w:val="Extracto"/>
      </w:pPr>
    </w:p>
    <w:p w:rsidR="0085709A" w:rsidRDefault="0085709A" w:rsidP="0085709A">
      <w:pPr>
        <w:pStyle w:val="Extracto"/>
      </w:pPr>
      <w:r>
        <w:t>9.</w:t>
      </w:r>
      <w:r>
        <w:tab/>
        <w:t>El retraso en la tramitación procesal ha de ser ponderado teniendo en cuenta el interés que arriesga el recurrente en el pleito -obtener una resolución judicial que determine si era o no ajustada a Derecho una resolución de la Delegación del Gobierno-, que afectaba necesariamente a un ámbito preferente de sus derechos e intereses legítimos, relacionado con la organización de su vida familiar y social, pues del sentido de la misma podía depender incluso su permanencia en España [FJ 4].</w:t>
      </w:r>
    </w:p>
    <w:p w:rsidR="0085709A" w:rsidRDefault="0085709A" w:rsidP="0085709A">
      <w:pPr>
        <w:pStyle w:val="Extracto"/>
      </w:pPr>
    </w:p>
    <w:p w:rsidR="0085709A" w:rsidRDefault="0085709A" w:rsidP="0085709A">
      <w:pPr>
        <w:pStyle w:val="Extracto"/>
      </w:pPr>
      <w:r>
        <w:t>10.</w:t>
      </w:r>
      <w:r>
        <w:tab/>
        <w:t>El hecho de que la demora denunciada se deba a motivos estructurales, no imputables directamente al órgano judicial no impide apreciar la vulneración del derecho del recurrente a un proceso sin dilaciones indebidas, pues esta situación no altera la naturaleza injustificada de dichas dilaciones [FJ 5].</w:t>
      </w:r>
    </w:p>
    <w:p w:rsidR="0085709A" w:rsidRDefault="0085709A" w:rsidP="0085709A">
      <w:pPr>
        <w:pStyle w:val="Extracto"/>
      </w:pPr>
    </w:p>
    <w:p w:rsidR="0085709A" w:rsidRDefault="0085709A" w:rsidP="0085709A">
      <w:pPr>
        <w:pStyle w:val="Extracto"/>
      </w:pPr>
      <w:r>
        <w:t>11.</w:t>
      </w:r>
      <w:r>
        <w:tab/>
        <w:t>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(SSTC 160/2004, 54/2014) [FJ 5].</w:t>
      </w:r>
    </w:p>
    <w:p w:rsidR="0085709A" w:rsidRDefault="0085709A" w:rsidP="0085709A">
      <w:pPr>
        <w:pStyle w:val="Extracto"/>
      </w:pPr>
    </w:p>
    <w:p w:rsidR="0085709A" w:rsidRDefault="0085709A" w:rsidP="0085709A">
      <w:pPr>
        <w:pStyle w:val="Extracto"/>
      </w:pPr>
      <w:r>
        <w:t>12.</w:t>
      </w:r>
      <w:r>
        <w:tab/>
        <w:t>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(SSTC 160/2004, 54/2014) [FJ 5].</w:t>
      </w:r>
    </w:p>
    <w:p w:rsidR="0085709A" w:rsidRDefault="0085709A" w:rsidP="0085709A">
      <w:pPr>
        <w:pStyle w:val="Extracto"/>
      </w:pPr>
    </w:p>
    <w:p w:rsidR="0085709A" w:rsidRDefault="0085709A" w:rsidP="0085709A">
      <w:pPr>
        <w:pStyle w:val="Extracto"/>
      </w:pPr>
      <w:r>
        <w:t>13.</w:t>
      </w:r>
      <w:r>
        <w:tab/>
        <w:t xml:space="preserve">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w:t>
      </w:r>
      <w:r>
        <w:lastRenderedPageBreak/>
        <w:t>para el correcto desarrollo de las funciones que el ordenamiento les encomienda (SSTC 160/2004, 54/2014) [FJ 5].</w:t>
      </w:r>
    </w:p>
    <w:p w:rsidR="0085709A" w:rsidRDefault="0085709A" w:rsidP="0085709A">
      <w:pPr>
        <w:pStyle w:val="Extracto"/>
      </w:pPr>
    </w:p>
    <w:p w:rsidR="0085709A" w:rsidRDefault="0085709A" w:rsidP="0085709A">
      <w:pPr>
        <w:pStyle w:val="Extracto"/>
      </w:pPr>
      <w:r>
        <w:t>14.</w:t>
      </w:r>
      <w:r>
        <w:tab/>
        <w:t xml:space="preserve">El Tribunal Europeo de Derechos Humanos ha afirmado que el carácter estructural de las dilaciones sufridas por los recurrentes no debe privar a los ciudadanos de su derecho al respeto del plazo razonable y que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 (SSTEDH casos </w:t>
      </w:r>
      <w:r w:rsidRPr="0085709A">
        <w:rPr>
          <w:i/>
        </w:rPr>
        <w:t>Unión Alimentaria Sanders c. España</w:t>
      </w:r>
      <w:r>
        <w:t xml:space="preserve">, de 7 de julio de 1989 y </w:t>
      </w:r>
      <w:r w:rsidRPr="0085709A">
        <w:rPr>
          <w:i/>
        </w:rPr>
        <w:t xml:space="preserve">Lenaerts c. Bélgica </w:t>
      </w:r>
      <w:r>
        <w:t>de 11 de marzo de 2004) [FJ 5].</w:t>
      </w:r>
    </w:p>
    <w:p w:rsidR="0085709A" w:rsidRDefault="0085709A" w:rsidP="0085709A">
      <w:pPr>
        <w:pStyle w:val="Extracto"/>
      </w:pPr>
    </w:p>
    <w:p w:rsidR="0085709A" w:rsidRDefault="0085709A" w:rsidP="0085709A">
      <w:pPr>
        <w:pStyle w:val="Extracto"/>
      </w:pPr>
      <w:r>
        <w:t>15.</w:t>
      </w:r>
      <w:r>
        <w:tab/>
        <w:t>La especial trascendencia constitucional radica en el contraste de la resolución judicial impugnada con la doctrina que este Tribunal estableció en la STC 93/2008, de 21 de julio, dictada también en un supuesto en que se analizaba una denuncia de dilaciones indebidas originadas por causas estructurales del órgano judicial con posibilidades de originar un cambio de doctrina (STC 155/2009)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9400-2009, promovido por don Issa Koulibaly, representado por la Procuradora de los Tribunales doña María Elvira Encinas Lorente y asistido por el Letrado don Alfonso Carbonell Tortosa, contra el Auto de 16 de septiembre de 2009 del Juzgado de lo Contencioso-Administrativo núm. 18 de Madrid, dictado en el procedimiento abreviado núm. 619-2009. Ha comparecido el Abogado del Estado. Ha intervenido el Ministerio Fiscal.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registrado en este Tribunal el día 6 de noviembre de 2009, por el Letrado don Alfonso Carbonell Tortosa, en nombre de don Issa Koulibaly, se interpuso recurso de amparo contra la resolución antes citada, solicitando en el mismo escrito se le designara Procurador del turno de oficio que asumiera su representación. Esta designación </w:t>
      </w:r>
      <w:r>
        <w:lastRenderedPageBreak/>
        <w:t>se efectuó en la persona de la Procuradora de los Tribunales doña María Elvira Encinas Lorente, que ratificó dicho recurso de amparo en fecha 3 de febrero de 2010.</w:t>
      </w:r>
    </w:p>
    <w:p w:rsidR="0085709A" w:rsidRDefault="0085709A" w:rsidP="0085709A">
      <w:pPr>
        <w:pStyle w:val="TextoNormal"/>
      </w:pPr>
    </w:p>
    <w:p w:rsidR="0085709A" w:rsidRDefault="0085709A" w:rsidP="0085709A">
      <w:pPr>
        <w:pStyle w:val="TextoNormal"/>
      </w:pPr>
      <w:r w:rsidRPr="0085709A">
        <w:rPr>
          <w:rStyle w:val="NumeroAFNegritaCaracter"/>
        </w:rPr>
        <w:t>2</w:t>
      </w:r>
      <w:r>
        <w:t>. La demanda de amparo tiene su origen en los siguientes antecedentes:</w:t>
      </w:r>
    </w:p>
    <w:p w:rsidR="0085709A" w:rsidRDefault="0085709A" w:rsidP="0085709A">
      <w:pPr>
        <w:pStyle w:val="TextoNormal"/>
      </w:pPr>
    </w:p>
    <w:p w:rsidR="0085709A" w:rsidRDefault="0085709A" w:rsidP="0085709A">
      <w:pPr>
        <w:pStyle w:val="TextoNormal"/>
      </w:pPr>
      <w:r>
        <w:t>a) El 27 de mayo de 2009 el recurrente interpuso recurso contencioso-administrativo contra la resolución de la Delegación del Gobierno en Madrid de 18 de febrero del mismo año, desestimatoria del recurso de reposición formulado contra la resolución de dicha Delegación, de fecha 30 de septiembre de 2008, en virtud de la cual se denegó al recurrente en amparo la autorización de residencia por circunstancias excepcionales de arraigo.</w:t>
      </w:r>
    </w:p>
    <w:p w:rsidR="0085709A" w:rsidRDefault="0085709A" w:rsidP="0085709A">
      <w:pPr>
        <w:pStyle w:val="TextoNormal"/>
      </w:pPr>
    </w:p>
    <w:p w:rsidR="0085709A" w:rsidRDefault="0085709A" w:rsidP="0085709A">
      <w:pPr>
        <w:pStyle w:val="TextoNormal"/>
      </w:pPr>
      <w:r>
        <w:t>b) El Juzgado de lo Contencioso-Administrativo núm. 18 de Madrid, mediante providencia de 7 de julio de 2009, admitió a trámite la demanda presentada, acordando señalar la vista del procedimiento para el 23 de noviembre de 2011 a las 10:20 horas.</w:t>
      </w:r>
    </w:p>
    <w:p w:rsidR="0085709A" w:rsidRDefault="0085709A" w:rsidP="0085709A">
      <w:pPr>
        <w:pStyle w:val="TextoNormal"/>
      </w:pPr>
    </w:p>
    <w:p w:rsidR="0085709A" w:rsidRDefault="0085709A" w:rsidP="0085709A">
      <w:pPr>
        <w:pStyle w:val="TextoNormal"/>
      </w:pPr>
      <w:r>
        <w:t>c) Interpuesto recurso de súplica contra la anterior providencia, donde el demandante denunciaba las dilaciones indebidas que podrían producirse al fijarse la vista en plazo tan alejado, el Juzgado lo desestimó por Auto de 16 de septiembre de 2009. Razona que la providencia recurrida “acata estrictamente el Artículo 182 de la L.E.Civ., señalándose día para la vista según los procedimientos lleguen y por orden en que lleguen”, no existiendo, añadía, “ninguna de las causas para realizar nuevo señalamiento (Art. 183 y ss de la L.E.Civ.)”.</w:t>
      </w:r>
    </w:p>
    <w:p w:rsidR="0085709A" w:rsidRDefault="0085709A" w:rsidP="0085709A">
      <w:pPr>
        <w:pStyle w:val="TextoNormal"/>
      </w:pPr>
    </w:p>
    <w:p w:rsidR="0085709A" w:rsidRDefault="0085709A" w:rsidP="0085709A">
      <w:pPr>
        <w:pStyle w:val="TextoNormal"/>
      </w:pPr>
      <w:r>
        <w:t>d) Con posterioridad a la interposición de la demanda de amparo, se celebró el acto del juicio en la fecha señalada, dictándose Sentencia desestimatoria de 24 de noviembre de 2011, que fue sin embargo revocada por la Sentencia de 31 de octubre de 2012 de la Sala de lo Contencioso-Administrativo del Tribunal Superior de Justicia de Madrid, en el recurso de apelación núm. 515-2012, que estima el recurso y declara el derecho del apelante a la obtención de la autorización solicitada.</w:t>
      </w:r>
    </w:p>
    <w:p w:rsidR="0085709A" w:rsidRDefault="0085709A" w:rsidP="0085709A">
      <w:pPr>
        <w:pStyle w:val="TextoNormal"/>
      </w:pPr>
    </w:p>
    <w:p w:rsidR="0085709A" w:rsidRDefault="0085709A" w:rsidP="0085709A">
      <w:pPr>
        <w:pStyle w:val="TextoNormal"/>
      </w:pPr>
      <w:r w:rsidRPr="0085709A">
        <w:rPr>
          <w:rStyle w:val="NumeroAFNegritaCaracter"/>
        </w:rPr>
        <w:t>3</w:t>
      </w:r>
      <w:r>
        <w:t>. Considera el recurrente que el señalamiento de la vista del procedimiento para el día 23 de noviembre de 2011, cuando el recurso contencioso-administrativo se presentó el 27 de mayo de 2009, vulnera sus derechos a la tutela judicial efectiva (art. 24.1 CE) y a un proceso sin dilaciones indebidas (art. 24.2 CE). Afirma que podría aceptarse que dicho señalamiento se retrasara unos meses, dado el cúmulo de trabajo que asumen actualmente los juzgados de lo contencioso-administrativo de la capital, pero, teniendo en cuenta la escasa complejidad del asunto, el referido plazo no era razonable, suponiendo, por ello, una lesión de los invocados derechos fundamentales.</w:t>
      </w:r>
    </w:p>
    <w:p w:rsidR="0085709A" w:rsidRDefault="0085709A" w:rsidP="0085709A">
      <w:pPr>
        <w:pStyle w:val="TextoNormal"/>
      </w:pPr>
    </w:p>
    <w:p w:rsidR="0085709A" w:rsidRDefault="0085709A" w:rsidP="0085709A">
      <w:pPr>
        <w:pStyle w:val="TextoNormal"/>
      </w:pPr>
      <w:r>
        <w:t>Para desvirtuar lo expuesto, según la demanda presentada, no sirve alegar el carácter “estructural” de dichos retrasos, no debiendo olvidarse que el derecho que reconoce el art. 24.2 CE no se limita al aspecto negativo de proscripción de las dilaciones indebidas sino que incluye asimismo el derecho a que la decisión se dicte en un plazo razonable (se citan, entre otras, las SSTC 24/1981, de 14 de julio, y 32/1999, de 8 de marzo).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La Sala Segunda de este Tribunal Constitucional, tras diversos requerimientos formulados al recurrente para la correcta formalización de la demanda de amparo (de acuerdo con </w:t>
      </w:r>
      <w:r>
        <w:lastRenderedPageBreak/>
        <w:t>lo previsto en el art. 49.4 de la Ley Orgánica del Tribunal Constitucional (LOTC), la admitió a trámite por providencia de 22 de enero de 2015, resolviendo al mismo tiempo requerir al Juzgado de lo Contencioso-Administrativo núm. 18 de Madrid para que remitiera testimonio de las actuaciones del procedimiento abreviado núm. 619-2009, con la orden de que se emplazara a quienes hubieran sido parte en el procedimiento, excepto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diligencia de ordenación de la Secretaria de Justicia de la Sala Segunda de 19 de febrero de 2015, a tenor de lo dispuesto en el art. 52.1 LOTC, se tuvo por personado y parte en el procedimiento al Abogado del Estado, en la representación que ostenta, como solicitó en su escrito del día 5 de febrero anterior, y, asimismo, se acordó dar vista de las actuaciones recibidas a la parte recurrente, al Abogado del Estado y al Ministerio Fiscal por un plazo común de veinte días para que, dentro de dicho término, presentaran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cumplimentando el trámite conferido por escrito registrado en este Tribunal el 20 de marzo de 2015, solicitó que la demanda fuera inadmitida o, en su defecto, desestimada.</w:t>
      </w:r>
    </w:p>
    <w:p w:rsidR="0085709A" w:rsidRDefault="0085709A" w:rsidP="0085709A">
      <w:pPr>
        <w:pStyle w:val="TextoNormal"/>
      </w:pPr>
    </w:p>
    <w:p w:rsidR="0085709A" w:rsidRDefault="0085709A" w:rsidP="0085709A">
      <w:pPr>
        <w:pStyle w:val="TextoNormal"/>
      </w:pPr>
      <w:r>
        <w:t>La inadmisión sería a su juicio procedente porque el demandante no ha realizado una correcta justificación de la especial trascendencia constitucional del recurso presentado, demostrando la proyección objetiva del amparo. Invoca únicamente un interés particular, vinculado a la lesión denunciada, que podía haber sido satisfecho por cauces distintos a los de la demanda de amparo, señaladamente a través de la suspensión de la resolución recurrida como medida cautelar. Por lo demás, añade, existe jurisprudencia sobre la materia, como la STC 93/2008, de 21 de junio. Por todo ello, concurriría en este caso el óbice de procedibilidad que se deriva del art. 50.1 b) LOTC.</w:t>
      </w:r>
    </w:p>
    <w:p w:rsidR="0085709A" w:rsidRDefault="0085709A" w:rsidP="0085709A">
      <w:pPr>
        <w:pStyle w:val="TextoNormal"/>
      </w:pPr>
    </w:p>
    <w:p w:rsidR="0085709A" w:rsidRDefault="0085709A" w:rsidP="0085709A">
      <w:pPr>
        <w:pStyle w:val="TextoNormal"/>
      </w:pPr>
      <w:r>
        <w:t>De cualquier modo, considera la representación procesal del Estado que resulta cuando menos dudoso que en el presente proceso constitucional pueda hablarse de demoras sufridas como consecuencia de deficiencias estructurales. Y que, a mayor abundamiento, la demanda habría perdido sobrevenidamente su objeto, particularmente en lo relativo a la pretensión de anticipación de la vista, pues el juicio tuvo lugar hace años, en la fecha señalada.</w:t>
      </w:r>
    </w:p>
    <w:p w:rsidR="0085709A" w:rsidRDefault="0085709A" w:rsidP="0085709A">
      <w:pPr>
        <w:pStyle w:val="TextoNormal"/>
      </w:pPr>
    </w:p>
    <w:p w:rsidR="0085709A" w:rsidRDefault="0085709A" w:rsidP="0085709A">
      <w:pPr>
        <w:pStyle w:val="TextoNormal"/>
      </w:pPr>
      <w:r w:rsidRPr="0085709A">
        <w:rPr>
          <w:rStyle w:val="NumeroAFNegritaCaracter"/>
        </w:rPr>
        <w:t>7</w:t>
      </w:r>
      <w:r>
        <w:t>. La parte recurrente formuló sus alegaciones mediante escrito que tuvo entrada en el Registro General del Tribunal el 23 de marzo de 2015, ratificando los argumentos esgrimidos en su demanda de amparo.</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evacuó el trámite el día 27 de marzo de 2015 e interesó el otorgamiento del amparo.</w:t>
      </w:r>
    </w:p>
    <w:p w:rsidR="0085709A" w:rsidRDefault="0085709A" w:rsidP="0085709A">
      <w:pPr>
        <w:pStyle w:val="TextoNormal"/>
      </w:pPr>
    </w:p>
    <w:p w:rsidR="0085709A" w:rsidRDefault="0085709A" w:rsidP="0085709A">
      <w:pPr>
        <w:pStyle w:val="TextoNormal"/>
      </w:pPr>
      <w:r>
        <w:t>Comienza por advertir que no puede entenderse que el recurso planteado haya perdido su objeto. Con cita de la STC 99/2014, de 23 de junio, FJ 2, pone de relieve que el hecho de que la vista en cuestión se haya celebrado e incluso se haya dictado también Sentencia sobre el fondo del asunto no implica la desaparición de la posible lesión del derecho y, en consecuencia, no puede ser óbice para apreciar la eventual vulneración existente, que debe relacionarse con el momento de la presentación de la demanda de amparo.</w:t>
      </w:r>
    </w:p>
    <w:p w:rsidR="0085709A" w:rsidRDefault="0085709A" w:rsidP="0085709A">
      <w:pPr>
        <w:pStyle w:val="TextoNormal"/>
      </w:pPr>
    </w:p>
    <w:p w:rsidR="0085709A" w:rsidRDefault="0085709A" w:rsidP="0085709A">
      <w:pPr>
        <w:pStyle w:val="TextoNormal"/>
      </w:pPr>
      <w:r>
        <w:t>Entrando en el núcleo de la cuestión constitucional planteada, entiende el Fiscal, luego de resumir la doctrina contenida en las SSTC 99/2014, de 23 de junio; 89/2014, de 9 de junio, y 54/2014, de 10 de abril, que el señalamiento efectuado por el Juzgado para el 23 de noviembre de 2011 representa una demora de casi dos años y medio desde la fecha de interposición del recurso, análoga a los plazos para la celebración de una vista considerados excesivos por las Sentencias antes citadas de este Tribunal.</w:t>
      </w:r>
    </w:p>
    <w:p w:rsidR="0085709A" w:rsidRDefault="0085709A" w:rsidP="0085709A">
      <w:pPr>
        <w:pStyle w:val="TextoNormal"/>
      </w:pPr>
    </w:p>
    <w:p w:rsidR="0085709A" w:rsidRDefault="0085709A" w:rsidP="0085709A">
      <w:pPr>
        <w:pStyle w:val="TextoNormal"/>
      </w:pPr>
      <w:r>
        <w:t>Sostiene con base en ello, conforme ha dispuesto este Tribunal en la reciente STC 54/2014, de 10 de abril, que no altera el carácter no justificado del retraso. Y tampoco impide a los ciudadanos reaccionar frente al mismo que la dilación se deba a un problema de carácter estructural y no a la pasividad del órgano judicial, ni a su silencio ante peticiones del recurrente o a una ausencia de actividad procesal durante largos periodos de tiempo. Más aún, prosigue, si se tiene en cuenta que el asunto planteado no revestía una especial complejidad, que el retraso no es imputable a la conducta del demandante, que éste denunció las dilaciones recurriendo la providencia de señalamiento, y que el fondo del asunto afectaba a un importante interés, pues la denegación de la autorización de residencia acordada tenía como consecuencia una posible expulsión del territorio nacional, con evidente perjuicio para el interesado.</w:t>
      </w:r>
    </w:p>
    <w:p w:rsidR="0085709A" w:rsidRDefault="0085709A" w:rsidP="0085709A">
      <w:pPr>
        <w:pStyle w:val="TextoNormal"/>
      </w:pPr>
    </w:p>
    <w:p w:rsidR="0085709A" w:rsidRDefault="0085709A" w:rsidP="0085709A">
      <w:pPr>
        <w:pStyle w:val="TextoNormal"/>
      </w:pPr>
      <w:r>
        <w:t>Por lo expuesto, el Fiscal considera que, dadas las circunstancias del presente supuesto, se ha producido la vulneración del derecho del demandante a un proceso sin dilaciones indebidas.</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23 de abril de 2015 se acordó para deliberación y votación de la presente Sentencia el día 27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Conforme se ha dejado expuesto en los antecedentes, la demanda de amparo se dirige contra el Auto del Juzgado de lo Contencioso-Administrativo número 18 de Madrid, de fecha 16 de septiembre de 2009, por considerar que dicha resolución vulnera el derecho fundamental a un proceso sin dilaciones indebidas (art. 24.2 CE). Se cita asimismo, aunque sin mayor desarrollo, el derecho a la tutela judicial efectiva del art. 24.1 CE. En síntesis, el demandante afirma que el señalamiento de la vista del procedimiento abreviado núm. 619-2009, fijada para el 23 de noviembre de 2011, resultaba excesivamente tardío teniendo en cuenta que el recurso fue presentado el 27 de mayo de 2009, y que, por tanto, como el Auto impugnado no acordó la celebración de la vista en un plazo razonable, ha sido dañado el derecho fundamental anteriormente indicado.</w:t>
      </w:r>
    </w:p>
    <w:p w:rsidR="0085709A" w:rsidRDefault="0085709A" w:rsidP="0085709A">
      <w:pPr>
        <w:pStyle w:val="TextoNormal"/>
      </w:pPr>
    </w:p>
    <w:p w:rsidR="0085709A" w:rsidRDefault="0085709A" w:rsidP="0085709A">
      <w:pPr>
        <w:pStyle w:val="TextoNormal"/>
      </w:pPr>
      <w:r>
        <w:t>El Abogado del Estado interesa la inadmisión del presente recurso de amparo, dada la falta de justificación de la especial trascendencia constitucional. Con carácter subsidiario postula la desestimación del recurso, al no apreciar lesión del derecho fundamental invocado, y a su vez apunta la pérdida sobrevenida de su objeto.</w:t>
      </w:r>
    </w:p>
    <w:p w:rsidR="0085709A" w:rsidRDefault="0085709A" w:rsidP="0085709A">
      <w:pPr>
        <w:pStyle w:val="TextoNormal"/>
      </w:pPr>
    </w:p>
    <w:p w:rsidR="0085709A" w:rsidRDefault="0085709A" w:rsidP="0085709A">
      <w:pPr>
        <w:pStyle w:val="TextoNormal"/>
      </w:pPr>
      <w:r>
        <w:lastRenderedPageBreak/>
        <w:t>El Ministerio Fiscal, por su parte, interesa la estimación del recurso y el consiguiente reconocimiento de la lesión del derecho a no sufrir dilaciones indebidas (art. 24.2 CE), sin que proceda emitir otros pronunciamientos adicionales.</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en la cuestión sustantiva, es necesario analizar el óbice procesal formulado por la representación del Estado, que considera que el demandante no ha justificado correctamente la especial trascendencia constitucional del recurso.</w:t>
      </w:r>
    </w:p>
    <w:p w:rsidR="0085709A" w:rsidRDefault="0085709A" w:rsidP="0085709A">
      <w:pPr>
        <w:pStyle w:val="TextoNormal"/>
      </w:pPr>
    </w:p>
    <w:p w:rsidR="0085709A" w:rsidRDefault="0085709A" w:rsidP="0085709A">
      <w:pPr>
        <w:pStyle w:val="TextoNormal"/>
      </w:pPr>
      <w:r>
        <w:t>De la lectura de la demanda de amparo se infiere que el recurrente ha realizado el esfuerzo argumental exigible, pues en la misma, además de razonarse acerca de la supuesta lesión de sus derechos fundamentales y de los perjuicios que le supone en sus derechos e intereses la resolución judicial impugnada, se pone de relieve en un apartado específico que la especial trascendencia constitucional radica en el contraste de aquel pronunciamiento con la doctrina que este Tribunal estableció en la STC 93/2008, de 21 de julio, dictada también en un supuesto en que se analizaba una denuncia de dilaciones indebidas originadas por causas estructurales del órgano judicial. Dicho planteamiento podría llevar a este Tribunal Constitucional a un proceso de reflexión interno dirigido a un posible cambio de doctrina (supuesto previsto en la letra b, fundamento jurídico 2, de la STC 155/2009, de 25 de junio). En consecuencia, con estos antecedentes, cabe concluir que se ha cumplimentado por la parte recurrente el razonable esfuerzo argumental que le compete en orden a enlazar las infracciones constitucionales denunciadas con alguno de los criterios establecidos en el art. 50.1 b) de la Ley Orgánica del Tribunal Constitucional,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w:t>
      </w:r>
    </w:p>
    <w:p w:rsidR="0085709A" w:rsidRDefault="0085709A" w:rsidP="0085709A">
      <w:pPr>
        <w:pStyle w:val="TextoNormal"/>
      </w:pPr>
    </w:p>
    <w:p w:rsidR="0085709A" w:rsidRDefault="0085709A" w:rsidP="0085709A">
      <w:pPr>
        <w:pStyle w:val="TextoNormal"/>
      </w:pPr>
      <w:r w:rsidRPr="0085709A">
        <w:rPr>
          <w:rStyle w:val="NumeroAFNegritaCaracter"/>
        </w:rPr>
        <w:t>3</w:t>
      </w:r>
      <w:r>
        <w:t>. En cuanto a la alegación del Abogado del Estado relativa a la pérdida sobrevenida del objeto del recurso, como dijera recientemente nuestra STC 99/2014, de 23 de junio, FJ 2, y antes aún el Pleno de este Tribunal en la STC 54/2014, de 10 de abril, FJ 3, aunque al tiempo de dictarse esta Sentencia resolutoria del recurso de amparo la dilación indebida denunciada ya haya cesado (el recurso contencioso-administrativo entablado por el demandante finalizó incluso con anterioridad a la fecha de admisión del recurso), no por ello debe apreciarse que haya quedado privado de objeto el presente proceso constitucional, pues no puede considerarse reparada aquella dilación mediante una actuación judicial tardía o demorada. De lo contrario, añadía el Pleno del Tribunal, con cita de la STC 141/2010, de 21 de diciembre, FJ 2,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w:t>
      </w:r>
    </w:p>
    <w:p w:rsidR="0085709A" w:rsidRDefault="0085709A" w:rsidP="0085709A">
      <w:pPr>
        <w:pStyle w:val="TextoNormal"/>
      </w:pPr>
    </w:p>
    <w:p w:rsidR="0085709A" w:rsidRDefault="0085709A" w:rsidP="0085709A">
      <w:pPr>
        <w:pStyle w:val="TextoNormal"/>
      </w:pPr>
      <w:r>
        <w:t>No obstante, sí debe acogerse la alegación de pérdida sobrevenida de objeto de la pretensión que solicita la anticipación de la celebración de vista, puesto que, como se desprende de lo relatado en los antecedentes de esta resolución, la vista ya tuvo lugar, aunque fuera en la tardía fecha de su señalamiento (en sentido similar, STC 89/2014, de 9 de junio, FJ 3).</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Despejadas las anteriores cuestiones, procede abordar el fondo de la queja planteada. El fundamento jurídico 4 de la STC 54/2014, antes citada, declaró:</w:t>
      </w:r>
    </w:p>
    <w:p w:rsidR="0085709A" w:rsidRDefault="0085709A" w:rsidP="0085709A">
      <w:pPr>
        <w:pStyle w:val="TextoNormal"/>
      </w:pPr>
    </w:p>
    <w:p w:rsidR="0085709A" w:rsidRDefault="0085709A" w:rsidP="0085709A">
      <w:pPr>
        <w:pStyle w:val="TextoNormal"/>
      </w:pPr>
      <w:r>
        <w:t>“Para determinar si nos encontramos o no ante una vulneración del derecho a un proceso sin dilaciones indebidas (art. 24.2 CE), hemos de acudir a las pautas que nos ofrece nuestra doctrina, conforme a la cual este derecho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que estamos comentando” (STC 153/2005, de 6 de junio, FJ 2). En la STC 178/2007, de 23 de julio, FJ 2, recogiendo jurisprudencia anterior, subrayábamos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(En los mismos términos, las SSTC 38/2008, de 25 de febrero, FJ 2; 93/2008, FJ 2; 94/2008, FJ 2, y 142/2010, FJ 3, entre otras).”</w:t>
      </w:r>
    </w:p>
    <w:p w:rsidR="0085709A" w:rsidRDefault="0085709A" w:rsidP="0085709A">
      <w:pPr>
        <w:pStyle w:val="TextoNormal"/>
      </w:pPr>
    </w:p>
    <w:p w:rsidR="0085709A" w:rsidRDefault="0085709A" w:rsidP="0085709A">
      <w:pPr>
        <w:pStyle w:val="TextoNormal"/>
      </w:pPr>
      <w:r>
        <w:t>Aplicando la anterior doctrina al caso, podemos afirmar, en primer lugar, que el asunto planteado, como se dice en la demanda, no revestía una especial complejidad, al tratarse de un recurso interpuesto contra una denegación de autorización de residencia por circunstancias excepcionales de arraigo. Teniendo en cuenta la pretensión deducida ante el órgano judicial —que ni siquiera éste califica como particularmente compleja—, no parece razonable que su señalamiento y resolución se haya diferido, con evidente perjuicio del recurrente, a una fecha tan lejana, casi dos años y medio después de la interposición del recurso contencioso-administrativo. Ello ha supuesto para el demandante una larga espera antes de poder saber si el acto administrativo impugnado era o no definitivo, con el perjuicio adicional que inevitablemente aflora de la constatación de que la resolución final dictada en apelación ha resultado estimatoria de su pretensión (Sentencia de 31 de octubre de 2012 de la Sala de lo Contencioso-Administrativo del Tribunal Superior de Justicia de Madrid, en el recurso de apelación núm. 515-2012, declarando el derecho del apelante a la obtención de la autorización solicitada).</w:t>
      </w:r>
    </w:p>
    <w:p w:rsidR="0085709A" w:rsidRDefault="0085709A" w:rsidP="0085709A">
      <w:pPr>
        <w:pStyle w:val="TextoNormal"/>
      </w:pPr>
    </w:p>
    <w:p w:rsidR="0085709A" w:rsidRDefault="0085709A" w:rsidP="0085709A">
      <w:pPr>
        <w:pStyle w:val="TextoNormal"/>
      </w:pPr>
      <w:r>
        <w:t xml:space="preserve">Este Tribunal Constitucional ha tenido ocasión de pronunciarse, en diferentes ocasiones, sobre la vulneración del derecho a un proceso sin dilaciones indebidas, con motivo del señalamiento de la vista. Concretamente, la STC 93/2008 contempló un supuesto en que dicho señalamiento se fijó para el 23 de octubre de 2008, mientras que el recurso en sede judicial, contra una denegación de permiso de residencia y trabajo, había sido presentado el 6 de abril </w:t>
      </w:r>
      <w:r>
        <w:lastRenderedPageBreak/>
        <w:t>de 2006; en el caso enjuiciado en la STC 141/2010, de 21 de diciembre, la vista fue establecida para el 9 de marzo de 2010 y el recurso, contra un decreto de expulsión del territorio nacional, se interpuso el 30 de julio de 2008; en el supuesto analizado en la STC 142/2010, las fechas de la vista y de interposición del recurso, frente a una denegación de asilo, fueron el 15 de febrero de 2011 y 28 de julio de 2009; y, por último, para terminar con los ejemplos, en la STC 54/2014, de 10 de abril, la fecha del señalamiento y celebración de la vista fueron, respectivamente, el 27 de febrero de 2009 y 17 de mayo de 2011. Cabe advertir, por tanto, que el presente caso se inscribe también en lo que nuestra doctrina ha calificado como demora constitutiva de una dilación indebida.</w:t>
      </w:r>
    </w:p>
    <w:p w:rsidR="0085709A" w:rsidRDefault="0085709A" w:rsidP="0085709A">
      <w:pPr>
        <w:pStyle w:val="TextoNormal"/>
      </w:pPr>
    </w:p>
    <w:p w:rsidR="0085709A" w:rsidRDefault="0085709A" w:rsidP="0085709A">
      <w:pPr>
        <w:pStyle w:val="TextoNormal"/>
      </w:pPr>
      <w:r>
        <w:t>Por otra parte, el retraso en la tramitación procesal ha de ser ponderado teniendo en cuenta el interés que arriesga el recurrente en el pleito, que no es otro en este caso que el de obtener una resolución judicial que determine si era o no ajustada a Derecho una resolución de la Delegación del Gobierno en Madrid que afectaba necesariamente a un ámbito preferente de sus derechos e intereses legítimos, relacionado con la organización de su vida familiar y social, pues del sentido de la misma podía depender incluso su permanencia en España.</w:t>
      </w:r>
    </w:p>
    <w:p w:rsidR="0085709A" w:rsidRDefault="0085709A" w:rsidP="0085709A">
      <w:pPr>
        <w:pStyle w:val="TextoNormal"/>
      </w:pPr>
    </w:p>
    <w:p w:rsidR="0085709A" w:rsidRDefault="0085709A" w:rsidP="0085709A">
      <w:pPr>
        <w:pStyle w:val="TextoNormal"/>
      </w:pPr>
      <w:r>
        <w:t>Finalmente, ha de excluirse que la conducta del demandante merezca reproche alguno, dado que, además de no haber propiciado el retraso en cuestión, ha venido denunciando ante el órgano judicial la concurrencia de las supuestas dilaciones, recurriendo de manera particular la providencia de 7 de julio de 2009 en la que se determinaba la fecha de la vista.</w:t>
      </w:r>
    </w:p>
    <w:p w:rsidR="0085709A" w:rsidRDefault="0085709A" w:rsidP="0085709A">
      <w:pPr>
        <w:pStyle w:val="TextoNormal"/>
      </w:pPr>
    </w:p>
    <w:p w:rsidR="0085709A" w:rsidRDefault="0085709A" w:rsidP="0085709A">
      <w:pPr>
        <w:pStyle w:val="TextoNormal"/>
      </w:pPr>
      <w:r w:rsidRPr="0085709A">
        <w:rPr>
          <w:rStyle w:val="NumeroAFNegritaCaracter"/>
        </w:rPr>
        <w:t>5</w:t>
      </w:r>
      <w:r>
        <w:t>. El hecho de que la demora denunciada se deba a motivos estructurales, no imputables directamente al órgano judicial (como se deduce claramente de su respuesta al resolver el recurso de súplica contra la providencia del señalamiento, cuyo tenor se ha reflejado con anterioridad)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0085709A" w:rsidRDefault="0085709A" w:rsidP="0085709A">
      <w:pPr>
        <w:pStyle w:val="TextoNormal"/>
      </w:pPr>
    </w:p>
    <w:p w:rsidR="0085709A" w:rsidRDefault="0085709A" w:rsidP="0085709A">
      <w:pPr>
        <w:pStyle w:val="TextoNormal"/>
      </w:pPr>
      <w:r>
        <w:t>Así, en la ya citada STC 54/2014, por referencia a la doctrina contenida en la STC 142/2010, de 21 de diciembre, hemos afirmado:</w:t>
      </w:r>
    </w:p>
    <w:p w:rsidR="0085709A" w:rsidRDefault="0085709A" w:rsidP="0085709A">
      <w:pPr>
        <w:pStyle w:val="TextoNormal"/>
      </w:pPr>
    </w:p>
    <w:p w:rsidR="0085709A" w:rsidRDefault="0085709A" w:rsidP="0085709A">
      <w:pPr>
        <w:pStyle w:val="TextoNormal"/>
      </w:pPr>
      <w:r>
        <w:t xml:space="preserve">“[C]omo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w:t>
      </w:r>
      <w:r>
        <w:lastRenderedPageBreak/>
        <w:t>provea la dotación a los órganos judiciales de los medios personales y materiales precisos para el correcto desarrollo de las funciones que el ordenamiento les encomienda.” (FJ 6)</w:t>
      </w:r>
    </w:p>
    <w:p w:rsidR="0085709A" w:rsidRDefault="0085709A" w:rsidP="0085709A">
      <w:pPr>
        <w:pStyle w:val="TextoNormal"/>
      </w:pPr>
    </w:p>
    <w:p w:rsidR="0085709A" w:rsidRDefault="0085709A" w:rsidP="0085709A">
      <w:pPr>
        <w:pStyle w:val="TextoNormal"/>
      </w:pPr>
      <w:r>
        <w:t xml:space="preserve">Este también es el criterio del Tribunal Europeo de Derechos Humanos cuando en su Sentencia caso </w:t>
      </w:r>
      <w:r w:rsidRPr="0085709A">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85709A">
        <w:rPr>
          <w:i/>
        </w:rPr>
        <w:t>Lenaerts contra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85709A" w:rsidRDefault="0085709A" w:rsidP="0085709A">
      <w:pPr>
        <w:pStyle w:val="TextoNormal"/>
      </w:pPr>
    </w:p>
    <w:p w:rsidR="0085709A" w:rsidRDefault="0085709A" w:rsidP="0085709A">
      <w:pPr>
        <w:pStyle w:val="TextoNormal"/>
      </w:pPr>
      <w:r w:rsidRPr="0085709A">
        <w:rPr>
          <w:rStyle w:val="NumeroAFNegritaCaracter"/>
        </w:rPr>
        <w:t>6</w:t>
      </w:r>
      <w:r>
        <w:t>. Por todo ello, se ha vulnerado el derecho a un proceso sin dilaciones indebidas del recurrente (art. 24.2 CE). No obstante, el otorgamiento del amparo debe limitarse a la declaración de la violación del derecho fundamental, toda vez que se deduce de las actuaciones recibidas en este Tribunal que el procedimiento en cuestión ya ha concluido, habiéndose celebrado la vista acordada por el Juzgado e, incluso, recaído Sentencia finalmente estimatoria de la pretensión actora.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a don Issa Koulibaly y, en su virtud, declarar que se ha vulnerado su derecho a un proceso sin dilaciones indebidas (art. 24.2 CE).</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veintisiete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8" w:name="SENTENCIA_2015_75"/>
      <w:r>
        <w:lastRenderedPageBreak/>
        <w:t>SENTENCIA 75/2015, de 27 de abril de 2015</w:t>
      </w:r>
    </w:p>
    <w:bookmarkEnd w:id="78"/>
    <w:p w:rsidR="0085709A" w:rsidRDefault="0085709A" w:rsidP="0085709A">
      <w:pPr>
        <w:pStyle w:val="TtuloResolucin"/>
      </w:pPr>
      <w:r>
        <w:t>Sala Primera</w:t>
      </w:r>
    </w:p>
    <w:p w:rsidR="0085709A" w:rsidRDefault="0085709A" w:rsidP="0085709A">
      <w:pPr>
        <w:pStyle w:val="TtuloBOE"/>
      </w:pPr>
      <w:r>
        <w:t>(BOE núm. 136, de 8 de junio de 2015)</w:t>
      </w:r>
    </w:p>
    <w:p w:rsidR="0085709A" w:rsidRDefault="0085709A" w:rsidP="0085709A">
      <w:pPr>
        <w:pStyle w:val="TextoNormalCentrado"/>
      </w:pPr>
      <w:r>
        <w:t>ECLI:ES:TC:2015:75</w:t>
      </w:r>
    </w:p>
    <w:p w:rsidR="0085709A" w:rsidRDefault="0085709A" w:rsidP="0085709A">
      <w:pPr>
        <w:pStyle w:val="TextoNormalCentrado"/>
      </w:pPr>
    </w:p>
    <w:p w:rsidR="0085709A" w:rsidRDefault="0085709A" w:rsidP="0085709A">
      <w:pPr>
        <w:pStyle w:val="SntesisDescriptiva"/>
      </w:pPr>
      <w:r>
        <w:t>Recurso de amparo 1664-2012. Promovido por Endesa, S.A., y Endesa Generación, S.A., en relación con el Auto de la Sala de lo Contencioso-Administrativo del Tribunal Supremo que inadmitió su recurso de casación frente a Sentencia de la Audiencia Nacional sobre derechos de emisión de gases de efecto invernadero.</w:t>
      </w:r>
    </w:p>
    <w:p w:rsidR="0085709A" w:rsidRDefault="0085709A" w:rsidP="0085709A">
      <w:pPr>
        <w:pStyle w:val="SntesisDescriptiva"/>
      </w:pPr>
    </w:p>
    <w:p w:rsidR="0085709A" w:rsidRDefault="0085709A" w:rsidP="0085709A">
      <w:pPr>
        <w:pStyle w:val="SntesisAnaltica"/>
      </w:pPr>
      <w:r>
        <w:t>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1664-2012, promovido por las mercantiles Endesa S.A. y Endesa Generación S.A., representadas por el Procurador de los Tribunales don José Guerrero Tramoyeres y asistida por los Abogados don Juan José Lavilla Rubira y don José María Barrios Garrido, contra el Auto de la Sección Primera de la Sala de lo Contencioso-Administrativo del Tribunal Supremo de 30 de junio de 2011, que acordó inadmitir el recurso de </w:t>
      </w:r>
      <w:r>
        <w:lastRenderedPageBreak/>
        <w:t>casación núm. 6236-2010, y contra el Auto de 19 de enero de 2012 que desestimó el incidente de nulidad de actuaciones promovido contra aquél. Ha comparecido y formulado alegaciones el Abogado del Estado, en la representación que ostenta, y ha intervenido el Ministerio Fiscal. Ha sido Ponente la Magistrada doña Encarnación Roca Trias,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21 de marzo de 2012 tuvo entrada en el Registro General de este Tribunal escrito presentado por el Procurador de los Tribunales don José Guerrero Tramoyeres, actuando en nombre y representación de las mercantiles Endesa, S.A., y Endesa Generación, S.A., y bajo la dirección letrada de los Abogados don Juan José Villa Rubira y don José María Barrios Garrido, mediante el que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Por el representación procesal de las entidades Endesa, S.A., y Endesa Generación, S.A., se interpuso recurso contencioso-administrativo contra la resolución tácita que acuerda la desestimación por silencio del recurso interpuesto contra la resolución del Consejo de Administración de la Comisión Nacional de Energía de fecha de 24 de abril de 2008, por la que se determinan las obligaciones de pago de Endesa Generación, S.A., en aplicación de la Orden ITC/3315/2007, por la que se regula para el año 2006 la minoración de la retribución de la actividad de producción de energía eléctrica en el equivalente al valor de los derechos de emisión de gases de efecto invernadero asignados gratuitamente.</w:t>
      </w:r>
    </w:p>
    <w:p w:rsidR="0085709A" w:rsidRDefault="0085709A" w:rsidP="0085709A">
      <w:pPr>
        <w:pStyle w:val="TextoNormal"/>
      </w:pPr>
    </w:p>
    <w:p w:rsidR="0085709A" w:rsidRDefault="0085709A" w:rsidP="0085709A">
      <w:pPr>
        <w:pStyle w:val="TextoNormal"/>
      </w:pPr>
      <w:r>
        <w:t>b) Seguido el procedimiento por sus trámites con el núm. 632-2008, la Sala de lo Contencioso-Administrativo de la Audiencia Nacional (Sección Primera) dictó Sentencia desestimatoria con fecha 14 de septiembre de 2010.</w:t>
      </w:r>
    </w:p>
    <w:p w:rsidR="0085709A" w:rsidRDefault="0085709A" w:rsidP="0085709A">
      <w:pPr>
        <w:pStyle w:val="TextoNormal"/>
      </w:pPr>
    </w:p>
    <w:p w:rsidR="0085709A" w:rsidRDefault="0085709A" w:rsidP="0085709A">
      <w:pPr>
        <w:pStyle w:val="TextoNormal"/>
      </w:pPr>
      <w:r>
        <w:t>c) Contra la anterior Sentencia se preparó recurso de casación por las mercantiles demandantes de amparo, que lo fue mediante escrito registrado en la Audiencia Nacional el 8 de octubre de 2010. En él se hizo constar su intención de interponer recurso de casación conforme a los requisitos formales señalados en el art. 89.1 de la Ley reguladora de la jurisdicción contencioso-administrativa (LJCA), la Sala ante la que se prepara el recurso, la legitimación para interponerlo, el plazo para la presentación del escrito, el carácter recurrible de la resolución impugnada así como motivo de la preparación del recurso, a saber, entender que la Sentencia impugnada se ha dictado con vulneración de las normas del ordenamiento jurídico aplicable y con infracción de las normas reguladoras de la Sentencia lo que, anuncia, se detallará en el escrito de interposición del recurso. Con fecha de 20 de octubre de 2010, fue notificada la providencia de 14 de octubre de 2010 dictada por la Sala de lo Contencioso-Administrativo de la Audiencia Nacional, por la que se tiene por preparado el recurso el recurso de casación y se emplaza a las partes para comparecer ante la Sala de lo Contencioso-Administrativo del Tribunal Supremo, en el plazo de treinta días, si a su derecho conviniera.</w:t>
      </w:r>
    </w:p>
    <w:p w:rsidR="0085709A" w:rsidRDefault="0085709A" w:rsidP="0085709A">
      <w:pPr>
        <w:pStyle w:val="TextoNormal"/>
      </w:pPr>
    </w:p>
    <w:p w:rsidR="0085709A" w:rsidRDefault="0085709A" w:rsidP="0085709A">
      <w:pPr>
        <w:pStyle w:val="TextoNormal"/>
      </w:pPr>
      <w:r>
        <w:lastRenderedPageBreak/>
        <w:t>d) El 7 de diciembre de 2010, las actoras interpusieron recurso de casación ante el Tribunal Supremo contra la citada Sentencia. Recurso que fue tenido por presentado por providencia de 10 de diciembre de 2010 y que fue registrado con el número 6236-2010.</w:t>
      </w:r>
    </w:p>
    <w:p w:rsidR="0085709A" w:rsidRDefault="0085709A" w:rsidP="0085709A">
      <w:pPr>
        <w:pStyle w:val="TextoNormal"/>
      </w:pPr>
    </w:p>
    <w:p w:rsidR="0085709A" w:rsidRDefault="0085709A" w:rsidP="0085709A">
      <w:pPr>
        <w:pStyle w:val="TextoNormal"/>
      </w:pPr>
      <w:r>
        <w:t>e) El 25 de abril de 2011 se dictó providencia por la que la Sala Tercera del Tribunal Supremo puso de manifiesto a las partes para alegaciones, la posible concurrencia de la causa de inadmisión consistente en “no haber citado en el escrito de preparación del recurso de casación las infracciones normativas o jurisprudenciales que la recurrente desarrollará en el escrito de interposición (artículos 88.1; 89.1 y 93.2.a) de la LJCA y Auto de la Sala de 10 de febrero de 2011, recurso de casación 2927/2010)”.</w:t>
      </w:r>
    </w:p>
    <w:p w:rsidR="0085709A" w:rsidRDefault="0085709A" w:rsidP="0085709A">
      <w:pPr>
        <w:pStyle w:val="TextoNormal"/>
      </w:pPr>
    </w:p>
    <w:p w:rsidR="0085709A" w:rsidRDefault="0085709A" w:rsidP="0085709A">
      <w:pPr>
        <w:pStyle w:val="TextoNormal"/>
      </w:pPr>
      <w:r>
        <w:t>f) El 16 de mayo de 2011, las entidades demandantes formalizaron escrito de oposición al posible motivo de inadmisión expuesto en la providencia de 25 de abril de 2011. Alegan, en síntesis, que el motivo de inadmisión citado resultaba contrario a la jurisprudencia consolidada que, de forma unánime, había venido manteniendo la Sala, siendo el mismo contrario al derecho fundamental a la igualdad en la aplicación de la ley (art. 14 CE), a los principios de confianza legítima y seguridad jurídica consagrados en el art. 9.3 CE y al derecho a la tutela judicial efectiva (art. 24.1 CE).</w:t>
      </w:r>
    </w:p>
    <w:p w:rsidR="0085709A" w:rsidRDefault="0085709A" w:rsidP="0085709A">
      <w:pPr>
        <w:pStyle w:val="TextoNormal"/>
      </w:pPr>
    </w:p>
    <w:p w:rsidR="0085709A" w:rsidRDefault="0085709A" w:rsidP="0085709A">
      <w:pPr>
        <w:pStyle w:val="TextoNormal"/>
      </w:pPr>
      <w:r>
        <w:t>g) Por Auto de 30 de junio de 2011, la Sala Tercera del Tribunal Supremo (Sección Primera) acordó la inadmisión del recurso de casación. En apoyo de su decisión, la Sala se remitió a la doctrina establecida en los AATS de 14 de febrero de 2011 y 10 de febrero de 2011 (recursos núms. 6251-2010 y 2927-2010) y concluyó, tras proceder a la transcripción de los fundamentos jurídicos tercero y cuarto de la última de las resoluciones citadas, que si bien la parte recurrente expresó en el escrito de preparación su intención de interponer el recurso de casación por los motivos incardinables en los apartados c) y d) del art. 88.1 LJCA, no citó la normativa supuestamente infringida por la Sala de instancia respecto de ninguno de ellos, por lo que el recurso resultaba inadmisible, sin que frente a dicha conclusión pudieran prevalecer las razones expuestas por la actora en el trámite de alegaciones.</w:t>
      </w:r>
    </w:p>
    <w:p w:rsidR="0085709A" w:rsidRDefault="0085709A" w:rsidP="0085709A">
      <w:pPr>
        <w:pStyle w:val="TextoNormal"/>
      </w:pPr>
    </w:p>
    <w:p w:rsidR="0085709A" w:rsidRDefault="0085709A" w:rsidP="0085709A">
      <w:pPr>
        <w:pStyle w:val="TextoNormal"/>
      </w:pPr>
      <w:r>
        <w:t>h) El 3 de octubre de 2011, la parte demandante de amparo promovió incidente de nulidad de actuaciones. En síntesis, alegó la vulneración (i) del derecho a la tutela judicial efectiva (art. 24.1 CE) por incurrir el Auto impugnado en incongruencia omisiva al no dar respuesta a dos de las alegaciones planteadas en su escrito; (ii) del derecho a la tutela judicial efectiva (art. 24.1 CE), en su dimensión de acceso a los recursos; (iii) y del derecho a la igualdad en la aplicación judicial de la ley (art. 14 CE).</w:t>
      </w:r>
    </w:p>
    <w:p w:rsidR="0085709A" w:rsidRDefault="0085709A" w:rsidP="0085709A">
      <w:pPr>
        <w:pStyle w:val="TextoNormal"/>
      </w:pPr>
    </w:p>
    <w:p w:rsidR="0085709A" w:rsidRDefault="0085709A" w:rsidP="0085709A">
      <w:pPr>
        <w:pStyle w:val="TextoNormal"/>
      </w:pPr>
      <w:r>
        <w:t xml:space="preserve">i) Por Auto de 19 de enero de 2012, la Sala Tercera del Tribunal Supremo (Sección Primera) desestimó el incidente de nulidad de actuaciones. La Sala aprecia, tras rechazar la alegada incongruencia omisiva que se imputa al Auto cuya nulidad se insta, que el incidente planteado se limita, en lo fundamental, a discrepar con la declaración de inadmisión del recurso de casación por ella efectuada y con los razonamientos jurídicos que fundan dicho pronunciamiento, utilizando el incidente de nulidad de actuaciones como si de un recurso de súplica se tratara, reiterando lo alegado en el escrito de alegaciones y que ha recibido contestación en el Auto impugnado. Advierte que es reiterada la doctrina constitucional que admite sin reservas el cambio jurisprudencial, siempre que no sea arbitrario y esté motivado, sosteniendo, después de hacer referencia a varias Sentencias de este Tribunal, la posibilidad de inadmitir un recurso de casación por un criterio interpretativo posterior al momento de </w:t>
      </w:r>
      <w:r>
        <w:lastRenderedPageBreak/>
        <w:t xml:space="preserve">presentación del escrito de preparación del recurso, acogiéndose al “mínimo efecto retroactivo”. Estima que “[e]n caso contrario, quedaría petrificada la nueva interpretación jurisprudencial a aquellos escritos de interposición de recursos que fueron presentados debidamente ante los Tribunales de Justicia a partir del momento del ‘anuncio’ del cambio de criterio, ‘anuncio’ a que no están obligados los órganos jurisdiccionales, tal y como tiene asentada la doctrina constitucional referida”. Asimismo, considera que hay que tener en cuenta que “una resolución judicial que incorpora un cambio de criterio jurisprudencial y cuya eficacia fuese meramente prospectiva sería un mero </w:t>
      </w:r>
      <w:r w:rsidRPr="0085709A">
        <w:rPr>
          <w:i/>
        </w:rPr>
        <w:t>obiter dictum</w:t>
      </w:r>
      <w:r>
        <w:t>, amén de que se frustraría la finalidad del proceso porque la resolución no afectaría a las partes”, y que “[e]l único límite temporal al que se limitan los cambios de criterio jurisprudenciales, de conformidad con la doctrina del Tribunal Constitucional, es a las situaciones jurídicas que gozan de la protección de cosa juzgada”.</w:t>
      </w:r>
    </w:p>
    <w:p w:rsidR="0085709A" w:rsidRDefault="0085709A" w:rsidP="0085709A">
      <w:pPr>
        <w:pStyle w:val="TextoNormal"/>
      </w:pPr>
    </w:p>
    <w:p w:rsidR="0085709A" w:rsidRDefault="0085709A" w:rsidP="0085709A">
      <w:pPr>
        <w:pStyle w:val="TextoNormal"/>
      </w:pPr>
      <w:r w:rsidRPr="0085709A">
        <w:rPr>
          <w:rStyle w:val="NumeroAFNegritaCaracter"/>
        </w:rPr>
        <w:t>3</w:t>
      </w:r>
      <w:r>
        <w:t>. Las mercantiles demandantes de amparo basan su recurso en las siguientes vulneraciones que, de manera sucinta, se exponen continuación:</w:t>
      </w:r>
    </w:p>
    <w:p w:rsidR="0085709A" w:rsidRDefault="0085709A" w:rsidP="0085709A">
      <w:pPr>
        <w:pStyle w:val="TextoNormal"/>
      </w:pPr>
    </w:p>
    <w:p w:rsidR="0085709A" w:rsidRDefault="0085709A" w:rsidP="0085709A">
      <w:pPr>
        <w:pStyle w:val="TextoNormal"/>
      </w:pPr>
      <w:r>
        <w:t>a) En la demanda de amparo se denuncia que los Autos de 30 de junio de 2011 y 19 de enero de 2012, han vulnerado su derecho a la tutela judicial efectiva (art. 24.1 CE), en su vertiente de acceso a los recursos. Las recurrentes consideran que exigir el requisito consistente en anticipar en el escrito de preparación del recurso de casación los concretos preceptos o la jurisprudencia que se reputan infringidos, también cuando la resolución impugnada proceda de la Audiencia Nacional, es excesivamente riguroso y formalista, y no sólo se aparta sin una justificación razonable de los requisitos que hasta la fecha venían siendo exigibles conforme a la doctrina jurisprudencial de la Sala de lo Contencioso-Administrativo del Tribunal Supremo anterior al Auto de 10 de febrero de 2011, sino que, además, añade requisitos que no tienen cobertura legal en la Ley reguladora de la jurisdicción contenciosa-administrativa, incurriendo, por consiguiente, en arbitrariedad y falta de proporcionalidad. Las demandantes de amparo consideran, en síntesis, que fuera de los casos expresamente previstos en el art. 89.2 LJCA, la Ley no exige que en el escrito preparatorio del recurso se haya de hacer mención, ni tan siquiera sucinta, a la fundamentación jurídica del recurso con cita expresa de las normas y jurisprudencia infringidas, pues se trata de una cuestión de fondo que pertenece a la fase de interposición, tal y como expresamente prevé el art. 92.1 LJCA. Lo contrario —añaden— supondría equiparar los requisitos que se exigen respecto a los escritos de preparación de recursos interpuestos contra Sentencias de la Audiencia Nacional a los que se exigen para los escrito interpuestos contra Sentencias de los Tribunales de Justicia, obviando el “presupuesto sobreañadido” que para la inadmisión de estos últimos exige el art. 89.2 LJCA. Además, estiman, que ningún menoscabo puede causar a la parte recurrida la omisión por la parte recurrente de las normas y jurisprudencia que, en concreto, se consideran infringidas en el escrito de preparación.</w:t>
      </w:r>
    </w:p>
    <w:p w:rsidR="0085709A" w:rsidRDefault="0085709A" w:rsidP="0085709A">
      <w:pPr>
        <w:pStyle w:val="TextoNormal"/>
      </w:pPr>
    </w:p>
    <w:p w:rsidR="0085709A" w:rsidRDefault="0085709A" w:rsidP="0085709A">
      <w:pPr>
        <w:pStyle w:val="TextoNormal"/>
      </w:pPr>
      <w:r>
        <w:t xml:space="preserve">Las mercantiles demandantes de amparo también consideran vulnerado el derecho a la tutela judicial efectiva (art. 24.1 CE), por fundarse la inadmisión de su recurso de casación en la omisión del citado requisito que no fue exigido por la Sala hasta el Auto de 10 de febrero de 2011. Entienden que al presentarse su escrito de preparación el 8 de octubre de 2010, se produjo una aplicación retroactiva de la citada jurisprudencia. Añaden que, teniendo en cuenta el “radical e inesperado cambio jurisprudencial” que se produjo tras el dictado del citado Auto, el órgano judicial debió adoptar medidas de flexibilización para no </w:t>
      </w:r>
      <w:r>
        <w:lastRenderedPageBreak/>
        <w:t>obstaculizar el ejercicio de su derecho (al respecto, cita la STC 143/2011, de 26 de septiembre).</w:t>
      </w:r>
    </w:p>
    <w:p w:rsidR="0085709A" w:rsidRDefault="0085709A" w:rsidP="0085709A">
      <w:pPr>
        <w:pStyle w:val="TextoNormal"/>
      </w:pPr>
    </w:p>
    <w:p w:rsidR="0085709A" w:rsidRDefault="0085709A" w:rsidP="0085709A">
      <w:pPr>
        <w:pStyle w:val="TextoNormal"/>
      </w:pPr>
      <w:r>
        <w:t>b) Igualmente, las demandantes de amparo entienden vulnerado su derecho a la igualdad en la aplicación de la ley (art. 14 CE). Consideran que se cumplen los requisitos requeridos por la jurisprudencia constitucional para estimarla producida: cambio jurisprudencial, identidad de Sala y Sección, y falta de una de justificación razonable y suficiente del cambio de criterio. En apoyo de dicha afirmación se citan como término de comparación los Autos del Tribunal Supremo de 2 de diciembre de 2010 y 3 de febrero de 2011.</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4 de julio de 2012, la Sección Primera de este Tribunal, acordó, por unanimidad, con arreglo a lo previsto en el art. 50.1 a) de la Ley Orgánica del Tribunal Constitucional (LOTC), inadmitir a trámite la demanda de amparo, dada la manifiesta inexistencia de violación de un derecho fundamental tutelable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El 19 de septiembre de 2012, y de conformidad con lo dispuesto en el art. 50.3 LOTC, el Ministerio Fiscal ante el Tribunal Constitucional interpuso recurso de súplica contra la citada providencia de 4 de julio de 2012, solicitando que se deje sin efecto la resolución de inadmisión, sin perjuicio de que se adopte la resolución procedente en orden a la admisión o no, por otras causas, del recurso de amparo interpuesto.</w:t>
      </w:r>
    </w:p>
    <w:p w:rsidR="0085709A" w:rsidRDefault="0085709A" w:rsidP="0085709A">
      <w:pPr>
        <w:pStyle w:val="TextoNormal"/>
      </w:pPr>
    </w:p>
    <w:p w:rsidR="0085709A" w:rsidRDefault="0085709A" w:rsidP="0085709A">
      <w:pPr>
        <w:pStyle w:val="TextoNormal"/>
      </w:pPr>
      <w:r w:rsidRPr="0085709A">
        <w:rPr>
          <w:rStyle w:val="NumeroAFNegritaCaracter"/>
        </w:rPr>
        <w:t>6</w:t>
      </w:r>
      <w:r>
        <w:t>. Por Auto dictado por la Sección Primera de fecha de 17 de diciembre de 2012, se acordó estimar el recurso de súplica interpuesto por el Ministerio Fiscal y, en consecuencia, dejar sin efecto la providencia de 4 de julio de 2012, que declaró la inadmisión del presente recurso de amparo, debiéndose reponer las actuaciones al momento anterior a dictarse la providencia anulada.</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20 de mayo de 2013, la Sala Primera del Tribunal Constitucional, de conformidad con lo dispuesto en el art. 11.2 LOTC,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número 6236-2010 y al recurso núm. 632-2008,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escrito presentado el 14 de junio de 2013, el Abogado del Estado, en la representación que ostenta, se personó en el procedimiento, suplicando que, con la admisión del mismo, se le tenga por personado y parte en el presente recurso de amparo, entendiéndose con él todos los posteriores trámites del procedimiento.</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Por diligencia de ordenación de la Secretaría de Justicia de la Sala Primera de este Tribunal, de fecha 17 de junio de 2013, se tuvieron por recibidos los testimonios de las actuaciones remitidos por el Tribunal Supremo y por la Audiencia Nacional, así como el escrito del Abogado del Estado a quien se tuvo por personado y parte en representación de </w:t>
      </w:r>
      <w:r>
        <w:lastRenderedPageBreak/>
        <w:t>la Administración del Estado. A tenor de lo dispuesto en el artículo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10</w:t>
      </w:r>
      <w:r>
        <w:t>. Por escrito de fecha de 17 de julio de 2013, las mercantiles demandantes de amparo presentaron escrito de alegaciones remitiéndose con carácter general a los hechos y fundamentos de Derecho alegados en la demanda de amparo, dándolos por reproducidos.</w:t>
      </w:r>
    </w:p>
    <w:p w:rsidR="0085709A" w:rsidRDefault="0085709A" w:rsidP="0085709A">
      <w:pPr>
        <w:pStyle w:val="TextoNormal"/>
      </w:pPr>
    </w:p>
    <w:p w:rsidR="0085709A" w:rsidRDefault="0085709A" w:rsidP="0085709A">
      <w:pPr>
        <w:pStyle w:val="TextoNormal"/>
      </w:pPr>
      <w:r w:rsidRPr="0085709A">
        <w:rPr>
          <w:rStyle w:val="NumeroAFNegritaCaracter"/>
        </w:rPr>
        <w:t>11</w:t>
      </w:r>
      <w:r>
        <w:t>. El Abogado del Estado presentó sus alegaciones mediante escrito registrado el 16 de julio de 2013. Comienza su escrito descartando que se haya vulnerado el derecho a la igualdad en la aplicación judicial de la ley (art. 14 CE). A su juicio, el ATS de 30 de junio de 2011, por el que se inadmite el recurso de casación interpuesto por las demandantes de amparo, no hace sino aplicar la línea jurisprudencial iniciada por el ATS de 10 de febrero de 2011, proseguida —añade— en decenas de autos de inadmisión dictados entre ambas fechas por la misma Sección y Sala, siendo irrelevante que existan resoluciones aisladas que se aparten de aquélla.</w:t>
      </w:r>
    </w:p>
    <w:p w:rsidR="0085709A" w:rsidRDefault="0085709A" w:rsidP="0085709A">
      <w:pPr>
        <w:pStyle w:val="TextoNormal"/>
      </w:pPr>
    </w:p>
    <w:p w:rsidR="0085709A" w:rsidRDefault="0085709A" w:rsidP="0085709A">
      <w:pPr>
        <w:pStyle w:val="TextoNormal"/>
      </w:pPr>
      <w:r>
        <w:t>En relación con la alegada vulneración del art. 24.1 CE, el Abogado del Estado, tras recordar la doctrina constitucional sobre la inadmisión del recurso de casación contencioso-administrativo por defectos insubsanables del escrito de preparación, analiza e interpreta el art. 89.1 LJCA; en especial, el contenido de la expresión “los requisitos de forma exigidos”. Considera que “’los requisitos de forma’ exigidos para el escrito de preparación son los que claramente figuran en la ley, pero no necesariamente estos, sino los que el Tribunal de casación pueda añadir al interpretar y aplicar la ley procesal sin desbordar los límites constitucionales”, es decir, sin arbitrariedad o irrazonabilidad. Estima, al respecto, que si bien desde el plano de la legalidad, es muy discutible la nueva exigencia jurisprudencial contenida en el ATS de 10 de febrero de 2011, la misma no puede calificarse ni de arbitraria ni irrazonable.</w:t>
      </w:r>
    </w:p>
    <w:p w:rsidR="0085709A" w:rsidRDefault="0085709A" w:rsidP="0085709A">
      <w:pPr>
        <w:pStyle w:val="TextoNormal"/>
      </w:pPr>
    </w:p>
    <w:p w:rsidR="0085709A" w:rsidRDefault="0085709A" w:rsidP="0085709A">
      <w:pPr>
        <w:pStyle w:val="TextoNormal"/>
      </w:pPr>
      <w:r>
        <w:t xml:space="preserve">Dicho esto, advierte que el auténtico problema constitucional que la demanda suscita, y en el que la parte tiene razón, radica en la “aplicación </w:t>
      </w:r>
      <w:r w:rsidRPr="0085709A">
        <w:rPr>
          <w:i/>
        </w:rPr>
        <w:t>retrospectiva</w:t>
      </w:r>
      <w:r>
        <w:t xml:space="preserve"> de las nuevas máximas jurisprudenciales” del citado Auto, que no eran conocidas al tiempo de preparación del recurso de casación. Argumenta que es irrazonable exigir para la realización de un acto procesal agotado, el cumplimiento de unos requisitos de forma que no existían en el momento en que se efectuó dicho acto procesal; requisitos que, por ello, la parte no tenía ninguna posibilidad de conocer ni de cumplir. A su juicio,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lo cual provoca, no una violación del principio de seguridad jurídica (art. 9.3 CE), que no resulta protegido por el recurso de amparo, sino “una aplicación irrazonable, por contraria a la confianza legítima, de las nuevas máximas jurisprudenciales determinantes de la admisión o inadmisión del recurso de casación, que por ello se traducen en una violación del derecho de acceso al recurso”. Añade, que “[l]a razonabilidad se extiende no sólo la interpretación que se hace de la norma, sino la forma en que esa interpretación se aplica a los supuestos de hecho sujetos a la misma”.</w:t>
      </w:r>
    </w:p>
    <w:p w:rsidR="0085709A" w:rsidRDefault="0085709A" w:rsidP="0085709A">
      <w:pPr>
        <w:pStyle w:val="TextoNormal"/>
      </w:pPr>
    </w:p>
    <w:p w:rsidR="0085709A" w:rsidRDefault="0085709A" w:rsidP="0085709A">
      <w:pPr>
        <w:pStyle w:val="TextoNormal"/>
      </w:pPr>
      <w:r>
        <w:t>Por lo expuesto, el Abogado del Estado apoya que se dicte una Sentencia con arreglo a Derecho, en la que la doctrina que dicte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12</w:t>
      </w:r>
      <w:r>
        <w:t>. El Ministerio Fiscal presentó sus alegaciones mediante escrito registrado el 4 de septiembre de 2013, en el que interesa se dicte Sentencia por la que se la desestime el presente recurso de amparo.</w:t>
      </w:r>
    </w:p>
    <w:p w:rsidR="0085709A" w:rsidRDefault="0085709A" w:rsidP="0085709A">
      <w:pPr>
        <w:pStyle w:val="TextoNormal"/>
      </w:pPr>
    </w:p>
    <w:p w:rsidR="0085709A" w:rsidRDefault="0085709A" w:rsidP="0085709A">
      <w:pPr>
        <w:pStyle w:val="TextoNormal"/>
      </w:pPr>
      <w:r>
        <w:t xml:space="preserve">Tras referirse a los antecedentes de hecho, el Fiscal inicia su argumentación haciendo referencia a las vulneraciones aducidas por las recurrentes y a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 Dicho esto estima que no se ha producido la denunciada vulneración del art. 14 CE, por cuanto no se dan los requisitos que exige la doctrina constitucional para entender producida la misma. En concreto considera que si bien en el presente caso estarían acreditados elementos de posible comparación —supuestos resueltos con distinto criterio e identidad de órgano judicial—, no puede hablarse ni de un cambio de criterio u orientación propiamente atribuible al Auto impugnado de 30 de junio de 2011, ni de una respuesta que resulte ser ocasional, </w:t>
      </w:r>
      <w:r w:rsidRPr="0085709A">
        <w:rPr>
          <w:i/>
        </w:rPr>
        <w:t>ad personam</w:t>
      </w:r>
      <w:r>
        <w:t xml:space="preserve"> o </w:t>
      </w:r>
      <w:r w:rsidRPr="0085709A">
        <w:rPr>
          <w:i/>
        </w:rPr>
        <w:t>ad casum</w:t>
      </w:r>
      <w:r>
        <w:t xml:space="preserve"> irreflexiva y carente de motivación y razonamientos. Por el contrario, la resolución impugnada incorpora, a su juicio, un criterio que es “secuela o seguimiento” de un cambio jurisprudencial consciente destinado a ser mantenido “con cierta continuidad con fundamento en razones jurídicas objetivas”, y que se motiva remitiéndose al ATS de 10 de febrero de 2011. A lo dicho añade que las demandantes no mencionan ni acreditan, como era su carga, la existencia de resoluciones que coetáneamente o con posterioridad al Auto impugnado hayan mantenido la posición anterior al ATS de 10 de febrero de 2011.</w:t>
      </w:r>
    </w:p>
    <w:p w:rsidR="0085709A" w:rsidRDefault="0085709A" w:rsidP="0085709A">
      <w:pPr>
        <w:pStyle w:val="TextoNormal"/>
      </w:pPr>
    </w:p>
    <w:p w:rsidR="0085709A" w:rsidRDefault="0085709A" w:rsidP="0085709A">
      <w:pPr>
        <w:pStyle w:val="TextoNormal"/>
      </w:pPr>
      <w:r>
        <w:t xml:space="preserve">El Ministerio Fiscal descarta, igualmente, que se haya vulnerado el derecho a la tutela judicial efectiva (art. 24.1 CE), en su vertiente de acceso a los recursos legalmente establecidos. A su juicio, el Auto de 10 de febrero de 2011, al que se remite el Auto impugnado, “no puede calificarse de inmotivado, irreflexivo, arbitrario o no razonado o irrazonable o/y carente de todo apoyo legal y, en consecuencia, tampoco, desde esta perspectiva, cabría calificarse de ilegítimo constitucionalmente hablando”. Argumenta que puede mantenerse sin dificultad que la obligación de indicar ya en la fase de preparación del recurso de casación tanto en el concreto o concretos motivos en que se fundará el recurso como también los concretos preceptos o jurisprudencia que se reputan infringidos o el contenido de las infracciones normativas o jurisprudenciales que se pretendan denunciar y desarrollar en el escrito de interposición del recurso de casación, “fluye del propio tenor de los apartados c) y d) del art. 88.1. LJCA”. También rechaza la posible vulneración del art. 24.1 CE, como consecuencia de la aplicación retroactiva de la nueva línea jurisprudencial dictada por la Sala de lo Contencioso-Administrativo del Tribunal Supremo tras el Auto de 10 de febrero </w:t>
      </w:r>
      <w:r>
        <w:lastRenderedPageBreak/>
        <w:t>de 2011. Considera, tras admitir la crudeza de la situación, que el hecho de que no se hubieran adoptado medidas de flexibilización y subsanación, como así propugnaban los demandantes, no vulnera derecho fundamental alguno. A su juicio, si bien dichas medidas hubieran resultado deseables, sin embargo, no tienen carácter obligatorio alguno al encontramos ante el derecho de acceso a los recursos y, particularmente, en sede de recurso de casación, cuya decisión corresponde al máximo intérprete de la legalidad ordinaria.</w:t>
      </w:r>
    </w:p>
    <w:p w:rsidR="0085709A" w:rsidRDefault="0085709A" w:rsidP="0085709A">
      <w:pPr>
        <w:pStyle w:val="TextoNormal"/>
      </w:pPr>
    </w:p>
    <w:p w:rsidR="0085709A" w:rsidRDefault="0085709A" w:rsidP="0085709A">
      <w:pPr>
        <w:pStyle w:val="TextoNormal"/>
      </w:pPr>
      <w:r w:rsidRPr="0085709A">
        <w:rPr>
          <w:rStyle w:val="NumeroAFNegritaCaracter"/>
        </w:rPr>
        <w:t>13</w:t>
      </w:r>
      <w:r>
        <w:t>. Por providencia de 23 de abril de 2015, se señaló para deliberación y votación de la presente Sentencia el día 27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30 de junio de 2011, que acordó no admitir a trámite el recurso de casación interpuesto contra la Sentencia de la Sala de lo Contencioso-Administrativo de la Audiencia Nacional (Sección Primera) de 14 de septiembre de 2010, recaída en el procedimiento ordinario núm. 632-2008. También impugna el Auto de 19 de enero de 2012 que desestimó el incidente de nulidad de actuaciones promovido contra el Auto citado.</w:t>
      </w:r>
    </w:p>
    <w:p w:rsidR="0085709A" w:rsidRDefault="0085709A" w:rsidP="0085709A">
      <w:pPr>
        <w:pStyle w:val="TextoNormal"/>
      </w:pPr>
    </w:p>
    <w:p w:rsidR="0085709A" w:rsidRDefault="0085709A" w:rsidP="0085709A">
      <w:pPr>
        <w:pStyle w:val="TextoNormal"/>
      </w:pPr>
      <w:r>
        <w:t>Las recurrentes,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(iii) la vulneración de su derecho a la igualdad en la aplicación judicial de la Ley (art. 14 CE), pues entienden que se ha aplicado una interpretación jurisprudencial contradictoria con las resoluciones dictadas con anterioridad por el órgano judicial sin ofrecer una justificación razonable y suficiente del cambio de criterio.</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w:t>
      </w:r>
      <w:r>
        <w:lastRenderedPageBreak/>
        <w:t>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noviembre 2003; e </w:t>
      </w:r>
      <w:r w:rsidRPr="0085709A">
        <w:rPr>
          <w:i/>
        </w:rPr>
        <w:t>Ipamark c. España</w:t>
      </w:r>
      <w:r>
        <w:t>,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las recurrentes reputen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w:t>
      </w:r>
      <w:r>
        <w:lastRenderedPageBreak/>
        <w:t>constituye un ejercicio legítimo de las facultades interpretativas que el art. 123 CE reserva al Tribunal Supremo sino que contiene, asimismo, una ponderación suficiente de los fines propios de la norma y de las consecuencias que su aplicación genera en la esfera de las recurrentes.</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su excepcionamiento por disposición legal que establezca el efecto exclusivamente prospectivo de la Sentencia, como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w:t>
      </w:r>
      <w:r>
        <w:lastRenderedPageBreak/>
        <w:t>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se continúe con posterioridad (por todas, SSTC 105/2009, de 4 de mayo, FJ 4; y 178/2014, de 3 de noviembre, FJ 4).</w:t>
      </w:r>
    </w:p>
    <w:p w:rsidR="0085709A" w:rsidRDefault="0085709A" w:rsidP="0085709A">
      <w:pPr>
        <w:pStyle w:val="TextoNormal"/>
      </w:pPr>
    </w:p>
    <w:p w:rsidR="0085709A" w:rsidRDefault="0085709A" w:rsidP="0085709A">
      <w:pPr>
        <w:pStyle w:val="TextoNormal"/>
      </w:pPr>
      <w:r>
        <w:t xml:space="preserve">De acuerdo con ello, el Auto del Tribunal Supremo impugnado —lejos de ser una decisión particularizada y adoptada </w:t>
      </w:r>
      <w:r w:rsidRPr="0085709A">
        <w:rPr>
          <w:i/>
        </w:rPr>
        <w:t>ad hoc</w:t>
      </w:r>
      <w:r>
        <w:t xml:space="preserve">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Endesa, S.A., y Endesa Generación, S.A.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veintisiete de abril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el recurso de amparo núm. 1644-2012.</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Considero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lastRenderedPageBreak/>
        <w:t>Las razones de mi discrepancia son coincidentes con las que ya fueron expuestas en los votos particulares formulados a las SSTC 7/2015, de 22 de enero, y 16/2015, de 16 de febrero, a los que para evitar reiteraciones innecesarias me remito.</w:t>
      </w:r>
    </w:p>
    <w:p w:rsidR="0085709A" w:rsidRDefault="0085709A" w:rsidP="0085709A">
      <w:pPr>
        <w:pStyle w:val="TextoNormal"/>
      </w:pPr>
    </w:p>
    <w:p w:rsidR="0085709A" w:rsidRDefault="0085709A" w:rsidP="0085709A">
      <w:pPr>
        <w:pStyle w:val="TextoNormal"/>
      </w:pPr>
      <w:r>
        <w:t>Madrid, a veintisiete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79" w:name="SENTENCIA_2015_76"/>
      <w:r>
        <w:lastRenderedPageBreak/>
        <w:t>SENTENCIA 76/2015, de 27 de abril de 2015</w:t>
      </w:r>
    </w:p>
    <w:bookmarkEnd w:id="79"/>
    <w:p w:rsidR="0085709A" w:rsidRDefault="0085709A" w:rsidP="0085709A">
      <w:pPr>
        <w:pStyle w:val="TtuloResolucin"/>
      </w:pPr>
      <w:r>
        <w:t>Sala Primera</w:t>
      </w:r>
    </w:p>
    <w:p w:rsidR="0085709A" w:rsidRDefault="0085709A" w:rsidP="0085709A">
      <w:pPr>
        <w:pStyle w:val="TtuloBOE"/>
      </w:pPr>
      <w:r>
        <w:t>(BOE núm. 136, de 8 de junio de 2015)</w:t>
      </w:r>
    </w:p>
    <w:p w:rsidR="0085709A" w:rsidRDefault="0085709A" w:rsidP="0085709A">
      <w:pPr>
        <w:pStyle w:val="TextoNormalCentrado"/>
      </w:pPr>
      <w:r>
        <w:t>ECLI:ES:TC:2015:76</w:t>
      </w:r>
    </w:p>
    <w:p w:rsidR="0085709A" w:rsidRDefault="0085709A" w:rsidP="0085709A">
      <w:pPr>
        <w:pStyle w:val="TextoNormalCentrado"/>
      </w:pPr>
    </w:p>
    <w:p w:rsidR="0085709A" w:rsidRDefault="0085709A" w:rsidP="0085709A">
      <w:pPr>
        <w:pStyle w:val="SntesisDescriptiva"/>
      </w:pPr>
      <w:r>
        <w:t>Recurso de amparo 6696-2012. Promovido por don Víctor Hugo Tituaña Yugcha en relación con el Auto de la Sección Primera de la Sala de lo Contencioso-Administrativo del Tribunal Supremo que inadmitió su recurso de casación frente a Sentencia de la Audiencia Nacional sobre denegación de la concesión de la nacionalidad española.</w:t>
      </w:r>
    </w:p>
    <w:p w:rsidR="0085709A" w:rsidRDefault="0085709A" w:rsidP="0085709A">
      <w:pPr>
        <w:pStyle w:val="SntesisDescriptiva"/>
      </w:pPr>
    </w:p>
    <w:p w:rsidR="0085709A" w:rsidRDefault="0085709A" w:rsidP="0085709A">
      <w:pPr>
        <w:pStyle w:val="SntesisAnaltica"/>
      </w:pPr>
      <w:r>
        <w:t>Supuesta vulneración del derecho a la tutela judicial efectiva (acceso al recurso): inadmisión de un recurso de casación basada en la omisión, en el escrito de preparación, de la cita de las normas y jurisprudencia que el recurrente consideraba infringidas (STC 7/2015).</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6696/2012, promovido por Víctor Hugo Tituaña Yugcha representado por la Procuradora de los Tribunales doña Ana Isabel Lobera Argüelles y defendido por el Letrado don Valentín Javier Sebastián Chena contra el Auto de la Sección Primera de la Sala de lo Contencioso-Administrativo del Tribunal Supremo de 19 de julio de 2012, por el que se inadmite el recurso de casación núm. 5518-2011, deducido contra la Sentencia de la Sala de lo Contencioso-Administrativo de la Audiencia Nacional, de 29 de </w:t>
      </w:r>
      <w:r>
        <w:lastRenderedPageBreak/>
        <w:t>septiembre de 2011, así como contra la providencia de la misma Sala, de 31 de octubre de 2012, por la que se inadmite el incidente de nulidad contra aquel Auto. Ha intervenido el Abogado del Estado, así como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27 de noviembre de 2012, la Procuradora doña Ana Isabel Lobera Argüelles formuló demanda contra las resoluciones judiciales reseñadas en el encabezamiento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relevantes para la resolución del presente recurso de amparo son, sucintamente expuestos, los siguientes:</w:t>
      </w:r>
    </w:p>
    <w:p w:rsidR="0085709A" w:rsidRDefault="0085709A" w:rsidP="0085709A">
      <w:pPr>
        <w:pStyle w:val="TextoNormal"/>
      </w:pPr>
    </w:p>
    <w:p w:rsidR="0085709A" w:rsidRDefault="0085709A" w:rsidP="0085709A">
      <w:pPr>
        <w:pStyle w:val="TextoNormal"/>
      </w:pPr>
      <w:r>
        <w:t>a) La Sección Tercera de la Sala de lo Contencioso-Administrativo de la Audiencia Nacional dictó Sentencia de 29 de septiembre de 2011 en procedimiento ordinario núm. 493-2009, por la que se desestimó el recurso deducido por el demandante de amparo contra la resolución de la Dirección General de los Registros y del Notariado de 18 de marzo de 2009, confirmatoria en reposición de la dictada el 23 de diciembre de 2008 denegatoria de la concesión de nacionalidad.</w:t>
      </w:r>
    </w:p>
    <w:p w:rsidR="0085709A" w:rsidRDefault="0085709A" w:rsidP="0085709A">
      <w:pPr>
        <w:pStyle w:val="TextoNormal"/>
      </w:pPr>
    </w:p>
    <w:p w:rsidR="0085709A" w:rsidRDefault="0085709A" w:rsidP="0085709A">
      <w:pPr>
        <w:pStyle w:val="TextoNormal"/>
      </w:pPr>
      <w:r>
        <w:t>b) Contra dicha resolución preparó recurso de casación el demandante de amparo mediante escrito de fecha 17 de octubre de 2011. En él puso de manifiesto la intención de interponerlo, la legitimación de la parte recurrente, el cumplimiento del plazo para la presentación del escrito, así como el carácter recurrible de la resolución impugnada. En dicho escrito se expresa igualmente que el recurso se fundamentaría en los motivos previstos en los apartados c) y d) del art. 88.1 de la Ley 29/1998, de 13 de julio, reguladora de la jurisdicción contencioso-administrativa (LJCA). El recurso fue tenido por preparado por diligencia de ordenación de la Sala de lo Contencioso-Administrativo de la Audiencia Nacional de 21 de octubre de 2011.</w:t>
      </w:r>
    </w:p>
    <w:p w:rsidR="0085709A" w:rsidRDefault="0085709A" w:rsidP="0085709A">
      <w:pPr>
        <w:pStyle w:val="TextoNormal"/>
      </w:pPr>
    </w:p>
    <w:p w:rsidR="0085709A" w:rsidRDefault="0085709A" w:rsidP="0085709A">
      <w:pPr>
        <w:pStyle w:val="TextoNormal"/>
      </w:pPr>
      <w:r>
        <w:t>c) Mediante escrito presentado en el Registro General del Tribunal Supremo el día 14 de noviembre de 2011, el demandante de amparo se personó y formalizó el escrito de interposición del recurso de casación. La Sala Tercera del Tribunal Supremo dictó diligencia de ordenación de 13 de abril de 2012, por la que tuvo por presentado dicho escrito.</w:t>
      </w:r>
    </w:p>
    <w:p w:rsidR="0085709A" w:rsidRDefault="0085709A" w:rsidP="0085709A">
      <w:pPr>
        <w:pStyle w:val="TextoNormal"/>
      </w:pPr>
    </w:p>
    <w:p w:rsidR="0085709A" w:rsidRDefault="0085709A" w:rsidP="0085709A">
      <w:pPr>
        <w:pStyle w:val="TextoNormal"/>
      </w:pPr>
      <w:r>
        <w:t>d) Mediante providencia de 16 de mayo de 2012, el órgano judicial acordó poner de manifiesto a las partes, para alegaciones por plazo común de diez días, la posible concurrencia de la causa de inadmisión en el recurso de casación interpuesto, consistente en “no haberse hecho indicación en el escrito de preparación de las concretas infracciones normativas o jurisprudenciales que se desarrollarán en el escrito de interposición (artículos 88.1, 89.1 y 93.2.a) de la LRJCA; Auto de 10 de febrero de 2011, rec. 2927/2010)”. Tanto el Abogado del Estado como el demandante de amparo cumplieron el trámite conferido interesando respectivamente la inadmisión y admisión del recurso de casación interpuesto.</w:t>
      </w:r>
    </w:p>
    <w:p w:rsidR="0085709A" w:rsidRDefault="0085709A" w:rsidP="0085709A">
      <w:pPr>
        <w:pStyle w:val="TextoNormal"/>
      </w:pPr>
    </w:p>
    <w:p w:rsidR="0085709A" w:rsidRDefault="0085709A" w:rsidP="0085709A">
      <w:pPr>
        <w:pStyle w:val="TextoNormal"/>
      </w:pPr>
      <w:r>
        <w:lastRenderedPageBreak/>
        <w:t>e) Seguidamente el Tribunal Supremo dictó el Auto de 19 de julio de 2012 frente al que se demanda amparo, por el que inadmitió el recurso de casación deducido por el demandante. Entre otras consideraciones, y siguiendo la doctrina fijada en el ATS de 10 de febrero de 2011, expuso el siguiente razonamiento:</w:t>
      </w:r>
    </w:p>
    <w:p w:rsidR="0085709A" w:rsidRDefault="0085709A" w:rsidP="0085709A">
      <w:pPr>
        <w:pStyle w:val="TextoNormal"/>
      </w:pPr>
    </w:p>
    <w:p w:rsidR="0085709A" w:rsidRDefault="0085709A" w:rsidP="0085709A">
      <w:pPr>
        <w:pStyle w:val="TextoNormal"/>
      </w:pPr>
      <w:r>
        <w:t>“SEGUNDO.- …</w:t>
      </w:r>
    </w:p>
    <w:p w:rsidR="0085709A" w:rsidRDefault="0085709A" w:rsidP="0085709A">
      <w:pPr>
        <w:pStyle w:val="TextoNormal"/>
      </w:pPr>
    </w:p>
    <w:p w:rsidR="0085709A" w:rsidRDefault="0085709A" w:rsidP="0085709A">
      <w:pPr>
        <w:pStyle w:val="TextoNormal"/>
      </w:pPr>
      <w:r>
        <w:t xml:space="preserve">a) Cuando el artículo 89.1 LJCA establece que el escrito de preparación debe contener una sucinta exposición de los requisitos de forma exigidos, se está refiriendo a los requisitos expresados en los artículos anteriores, y entre ellos figura de forma primordial la tajante regla procesal del artículo 88.1, que exige que el recurso se funde, exclusivamente, en alguno o algunos de los cuatro motivos que ahí se perfilan; de manera que es carga del recurrente en casación indicar ya en la fase de preparación el concreto o concretos motivos en que se fundará el recurso y no en cualesquiera otras razones no contempladas en la Ley Jurisdiccional,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Si así no se exigiera, es decir, si se estimara innecesario anticipar el motivo o motivos al que se acogerá el escrito de interposición en los términos expresados, el trámite de preparación quedaría privado de su sentido y finalidad característicos, desde el momento que el Tribunal </w:t>
      </w:r>
      <w:r w:rsidRPr="0085709A">
        <w:rPr>
          <w:i/>
        </w:rPr>
        <w:t>a quo</w:t>
      </w:r>
      <w:r>
        <w:t xml:space="preserve"> quedaría desprovisto de elementos de juicio para verificar que el recurso de casación cumple el más primario requisito de procedibilidad, cual es que se funda formalmente en uno de esos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w:t>
      </w:r>
    </w:p>
    <w:p w:rsidR="0085709A" w:rsidRDefault="0085709A" w:rsidP="0085709A">
      <w:pPr>
        <w:pStyle w:val="TextoNormal"/>
      </w:pPr>
    </w:p>
    <w:p w:rsidR="0085709A" w:rsidRDefault="0085709A" w:rsidP="0085709A">
      <w:pPr>
        <w:pStyle w:val="TextoNormal"/>
      </w:pPr>
      <w:r>
        <w:t>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88.1 que se utilice.</w:t>
      </w:r>
    </w:p>
    <w:p w:rsidR="0085709A" w:rsidRDefault="0085709A" w:rsidP="0085709A">
      <w:pPr>
        <w:pStyle w:val="TextoNormal"/>
      </w:pPr>
    </w:p>
    <w:p w:rsidR="0085709A" w:rsidRDefault="0085709A" w:rsidP="0085709A">
      <w:pPr>
        <w:pStyle w:val="TextoNormal"/>
      </w:pPr>
      <w:r>
        <w:t>b) Los dos primeros apartados de que consta el artículo 89 de la Ley de la Jurisdicción deben ser interpretados y aplicados de forma conjunta y armónica. Así, el segundo apartado no es independiente del primero o alternativo al mismo, al contrario, se asienta en el apartado primero y establece un requisito añadido sobre éste, para el caso específico que en él se contempla, de sentencias dictadas por los Tribunales Superiores de Justicia. Consiguientemente, la regla general aplicable a todos los casos y motivos casacionales (</w:t>
      </w:r>
      <w:r w:rsidRPr="0085709A">
        <w:rPr>
          <w:i/>
        </w:rPr>
        <w:t>ex</w:t>
      </w:r>
      <w:r>
        <w:t xml:space="preserve"> artículo 89.1 LJCA) es que ha de anunciarse ya en la preparación el motivo del artículo 88.1 al que se acogerá el recurso de casación en los concretos términos expuestos en el apartado anterior; y existe además un caso específico de impugnaciones casacionales (</w:t>
      </w:r>
      <w:r w:rsidRPr="0085709A">
        <w:rPr>
          <w:i/>
        </w:rPr>
        <w:t>ex</w:t>
      </w:r>
      <w:r>
        <w:t xml:space="preserve"> artículo 89.2 LJCA), las concernientes a sentencias dictadas por los Tribunales Superiores de Justicia y basadas en el motivo casacional del apartado d), en las que ha de darse en el propio escrito de preparación un paso más, no sólo anunciando el motivo y las infracciones, sino además justificando, sucinta pero en todo caso suficientemente, la relevancia de la infracción del Derecho estatal o de la Unión Europea en que ese motivo pretende basarse en el fallo de la sentencia, como corresponde a su naturaleza.</w:t>
      </w:r>
    </w:p>
    <w:p w:rsidR="0085709A" w:rsidRDefault="0085709A" w:rsidP="0085709A">
      <w:pPr>
        <w:pStyle w:val="TextoNormal"/>
      </w:pPr>
    </w:p>
    <w:p w:rsidR="0085709A" w:rsidRDefault="0085709A" w:rsidP="0085709A">
      <w:pPr>
        <w:pStyle w:val="TextoNormal"/>
      </w:pPr>
      <w:r>
        <w:lastRenderedPageBreak/>
        <w:t>c) Si el escrito de preparación no especifica en modo alguno los motivos a los que se acogerá la interposición con las exigencias expresadas, el recurso será inadmisible por aplicación del artículo 93.2.a) en relación con los artículos 88.1 y 89.1, todos ellos de la Ley Jurisdiccional, por haber sido defectuosamente preparado. Y esta misma conclusión, la de inadmisibilidad, será de aplicación, aunque sea de forma limitada a los motivos casacionales afectados, cuando se desarrolle en el escrito de interposición un motivo no anunciado previamente en el escrito de preparación o las infracciones normativas o jurisprudenciales desarrolladas en el escrito de interposición no guarden relación con las anunciadas en el escrito de preparación.</w:t>
      </w:r>
    </w:p>
    <w:p w:rsidR="0085709A" w:rsidRDefault="0085709A" w:rsidP="0085709A">
      <w:pPr>
        <w:pStyle w:val="TextoNormal"/>
      </w:pPr>
    </w:p>
    <w:p w:rsidR="0085709A" w:rsidRDefault="0085709A" w:rsidP="0085709A">
      <w:pPr>
        <w:pStyle w:val="TextoNormal"/>
      </w:pPr>
      <w:r>
        <w:t>d) Esta exigencia legal primaria del artículo 89.1 LJCA, de necesaria y obligada anticipación o anuncio en el escrito de preparación de los motivos que se piensan esgrimir en la interposición, es aplicable tanto respecto de las sentencias y autos procedentes de los Tribunales Superiores de Justicia como respecto de los dictados por la Audiencia Nacional, si bien, como antes dijimos y es jurisprudencia consolidada, la carga añadida del apartado segundo del mismo precepto sólo juega respecto de las sentencias dictadas por los Tribunales Superiores de Justicia.”</w:t>
      </w:r>
    </w:p>
    <w:p w:rsidR="0085709A" w:rsidRDefault="0085709A" w:rsidP="0085709A">
      <w:pPr>
        <w:pStyle w:val="TextoNormal"/>
      </w:pPr>
    </w:p>
    <w:p w:rsidR="0085709A" w:rsidRDefault="0085709A" w:rsidP="0085709A">
      <w:pPr>
        <w:pStyle w:val="TextoNormal"/>
      </w:pPr>
      <w:r>
        <w:t>En aplicación de esta doctrina, la Sala concluyó que, no habiéndose citado en el escrito de preparación del recurso formalizado por el recurrente las infracciones normativas o jurisprudenciales que iban a desarrollarse en el escrito de interposición, pues se limitaba a anunciar que el recurso se fundamentaría en los motivos previstos en los apartados c) y d) del art. 88.1 de la Ley jurisdiccional, procedía la inadmisión del recurso de casación deducido por el demandante de amparo. Según precisa el Auto, a esta conclusión no obstan las alegaciones del recurrente, a las que da respuesta mediante el siguiente razonamiento:</w:t>
      </w:r>
    </w:p>
    <w:p w:rsidR="0085709A" w:rsidRDefault="0085709A" w:rsidP="0085709A">
      <w:pPr>
        <w:pStyle w:val="TextoNormal"/>
      </w:pPr>
    </w:p>
    <w:p w:rsidR="0085709A" w:rsidRDefault="0085709A" w:rsidP="0085709A">
      <w:pPr>
        <w:pStyle w:val="TextoNormal"/>
      </w:pPr>
      <w:r>
        <w:t>“CUARTO.- …</w:t>
      </w:r>
    </w:p>
    <w:p w:rsidR="0085709A" w:rsidRDefault="0085709A" w:rsidP="0085709A">
      <w:pPr>
        <w:pStyle w:val="TextoNormal"/>
      </w:pPr>
    </w:p>
    <w:p w:rsidR="0085709A" w:rsidRDefault="0085709A" w:rsidP="0085709A">
      <w:pPr>
        <w:pStyle w:val="TextoNormal"/>
      </w:pPr>
      <w:r>
        <w:t>[C]onviene ahora reiterar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 sin que, por lo demás, esta carga procesal que sólo al recurrente afecta, pueda ni deba ser cumplida o completada por la Sala, de oficio y en perjuicio de la parte procesal enfrentada a quien pretende recurrir.</w:t>
      </w:r>
    </w:p>
    <w:p w:rsidR="0085709A" w:rsidRDefault="0085709A" w:rsidP="0085709A">
      <w:pPr>
        <w:pStyle w:val="TextoNormal"/>
      </w:pPr>
    </w:p>
    <w:p w:rsidR="0085709A" w:rsidRDefault="0085709A" w:rsidP="0085709A">
      <w:pPr>
        <w:pStyle w:val="TextoNormal"/>
      </w:pPr>
      <w:r>
        <w:t xml:space="preserve">Ciertamente, la doctrina reiterada por esta Sala desde el Auto de 10 de febrero de 2011 (rec. 2927/2010) incorpora nuevas exigencias al escrito de preparación del recurso de casación, pretendiendo clarificar aún más la doctrina jurisprudencial sobre esta cuestión. Mas, no hay que olvidar que es reiterada la doctrina constitucional que admite sin reservas el cambio de criterio jurisprudencial, siempre que éste no sea arbitrario y esté motivado, sin que quepa pretender de la jurisprudencia un carácter monolítico y estático y, en este sentido, el Alto Tribunal considera que los cambios de criterio jurisprudenciales son legítimos cuando son razonados y razonables (STC 29/2005, de 14 de febrero, recurso de amparo nº </w:t>
      </w:r>
      <w:r>
        <w:lastRenderedPageBreak/>
        <w:t>6002 /2002).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nº 5552/1997, y STS de 22 de diciembre de 2003, recurso de casación nº 5455/1998.</w:t>
      </w:r>
    </w:p>
    <w:p w:rsidR="0085709A" w:rsidRDefault="0085709A" w:rsidP="0085709A">
      <w:pPr>
        <w:pStyle w:val="TextoNormal"/>
      </w:pPr>
    </w:p>
    <w:p w:rsidR="0085709A" w:rsidRDefault="0085709A" w:rsidP="0085709A">
      <w:pPr>
        <w:pStyle w:val="TextoNormal"/>
      </w:pPr>
      <w:r>
        <w:t>Finalmente, y en relación con la invocada vulneración del principio de la tutela judicial efectiva consagrado en el artículo 24 CE, ha de expresarse que las posibles restricciones a la recurribilidad de determinadas resoluciones no son incompatibles con el derecho a la tutela judicial efectiva del artículo 24.1 de la Constitución, ni con el principio de seguridad jurídica siempre que se articulen por Ley siendo doctrina reiterada de esta Sala que no se quebranta dicho derecho porque un proceso contencioso-administrativo quede resuelto en única instancia.</w:t>
      </w:r>
    </w:p>
    <w:p w:rsidR="0085709A" w:rsidRDefault="0085709A" w:rsidP="0085709A">
      <w:pPr>
        <w:pStyle w:val="TextoNormal"/>
      </w:pPr>
    </w:p>
    <w:p w:rsidR="0085709A" w:rsidRDefault="0085709A" w:rsidP="0085709A">
      <w:pPr>
        <w:pStyle w:val="TextoNormal"/>
      </w:pPr>
      <w:r>
        <w:t xml:space="preserve">Además, sobre el acceso a los recursos, existe una consolidada doctrina del Tribunal Constitucional que, reiterada en su Sentencia nº 252/2004, de 20 de diciembre, puede resumirse en lo siguiente: ‘... como hemos sintetizado en la STC 71/2002, de 8 de abril,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 Como consecuencia de lo anterior, el principio hermenéutico </w:t>
      </w:r>
      <w:r w:rsidRPr="0085709A">
        <w:rPr>
          <w:i/>
        </w:rPr>
        <w:t>pro actione</w:t>
      </w:r>
      <w:r>
        <w:t xml:space="preserv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w:t>
      </w:r>
    </w:p>
    <w:p w:rsidR="0085709A" w:rsidRDefault="0085709A" w:rsidP="0085709A">
      <w:pPr>
        <w:pStyle w:val="TextoNormal"/>
      </w:pPr>
    </w:p>
    <w:p w:rsidR="0085709A" w:rsidRDefault="0085709A" w:rsidP="0085709A">
      <w:pPr>
        <w:pStyle w:val="TextoNormal"/>
      </w:pPr>
      <w:r>
        <w:t xml:space="preserve">Por otra parte, como ha declarado también el Tribunal Constitucional en su Sentencia núm. 230/2001, de 26 de noviembre, entendiéndose incorporado el sistema de recursos a la tutela judicial en la configuración que le otorga cada una de las Leyes reguladoras de los diversos órdenes jurisdiccionales, ‘estas leyes pueden establecer distintos requisitos procesales para la admisión de los recursos, cuya interpretación es competencia exclusiva de los Jueces y Tribunales ordinarios. Y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 y ha sido tomada en un recurso, como el de casación, que está sometido en su admisión a rigurosos </w:t>
      </w:r>
      <w:r>
        <w:lastRenderedPageBreak/>
        <w:t>requisitos, incluso de naturaleza formal (SSTC 119/1998, FJ 2, y 160/1996, de 15 de octubre, FJ 3)’.”</w:t>
      </w:r>
    </w:p>
    <w:p w:rsidR="0085709A" w:rsidRDefault="0085709A" w:rsidP="0085709A">
      <w:pPr>
        <w:pStyle w:val="TextoNormal"/>
      </w:pPr>
    </w:p>
    <w:p w:rsidR="0085709A" w:rsidRDefault="0085709A" w:rsidP="0085709A">
      <w:pPr>
        <w:pStyle w:val="TextoNormal"/>
      </w:pPr>
      <w:r>
        <w:t>f) El 26 de septiembre de 2012, el demandante de amparo dedujo incidente de nulidad de actuaciones en el que alegó vulneración del derecho a la tutela judicial efectiva, reconocido en el art. 24.1 de la Constitución, en su variante de acceso a los recursos legalmente previstos. Adujo que no concurrían elementos que pudieran fundamentar la inadmisión de la casación puesto que la legislación no prevé expresamente el requisito que ahora exige el Tribunal Supremo (con cita en analogía del antiguo art. 479 de la Ley de enjuiciamiento civil). Asimismo, respecto al motivo preparado al amparo de la letra d) del art. 88.1 LJCA indicó que tampoco podría concurrir la causa de inadmisión por señalarse como única norma infringida en la demanda contencioso-administrativa el artículo 22.4 del Código civil, precepto material discutido ante la Audiencia Nacional y que por ser el único, se considera superflua su individualización.</w:t>
      </w:r>
    </w:p>
    <w:p w:rsidR="0085709A" w:rsidRDefault="0085709A" w:rsidP="0085709A">
      <w:pPr>
        <w:pStyle w:val="TextoNormal"/>
      </w:pPr>
    </w:p>
    <w:p w:rsidR="0085709A" w:rsidRDefault="0085709A" w:rsidP="0085709A">
      <w:pPr>
        <w:pStyle w:val="TextoNormal"/>
      </w:pPr>
      <w:r>
        <w:t>g) Mediante providencia de 31 de octubre de 2012, frente a la que también se demanda amparo, se acordó la inadmisión a trámite del incidente de nulidad promovido por el demandante. Se razona que el demandante expresa su discrepancia con la inadmisión del recurso utilizando el incidente de nulidad a modo de recurso de reposición y que la invocación del principio constitucional alegado no puede servir de excusa para soslayar la aplicación de la ley.</w:t>
      </w:r>
    </w:p>
    <w:p w:rsidR="0085709A" w:rsidRDefault="0085709A" w:rsidP="0085709A">
      <w:pPr>
        <w:pStyle w:val="TextoNormal"/>
      </w:pPr>
    </w:p>
    <w:p w:rsidR="0085709A" w:rsidRDefault="0085709A" w:rsidP="0085709A">
      <w:pPr>
        <w:pStyle w:val="TextoNormal"/>
      </w:pPr>
      <w:r w:rsidRPr="0085709A">
        <w:rPr>
          <w:rStyle w:val="NumeroAFNegritaCaracter"/>
        </w:rPr>
        <w:t>3</w:t>
      </w:r>
      <w:r>
        <w:t>. Para la resolución del presente recurso de amparo ha de tenerse igualmente presente lo siguiente:</w:t>
      </w:r>
    </w:p>
    <w:p w:rsidR="0085709A" w:rsidRDefault="0085709A" w:rsidP="0085709A">
      <w:pPr>
        <w:pStyle w:val="TextoNormal"/>
      </w:pPr>
    </w:p>
    <w:p w:rsidR="0085709A" w:rsidRDefault="0085709A" w:rsidP="0085709A">
      <w:pPr>
        <w:pStyle w:val="TextoNormal"/>
      </w:pPr>
      <w:r>
        <w:t>a) El art. 89.1 LJCA dispone que en el escrito de preparación del recurso de casación deberá manifestarse “la intención de interponer el recurso, con sucinta exposición de la concurrencia de los requisitos de forma exigidos”. El art. 89.2 LJCA dispone que “en el supuesto previsto en el artículo 86.4 [sentencias dictadas por las salas de lo contencioso-administrativo de los Tribunales Superiores de Justicia, contra las que solo cabe recurso si este puede fundarse en infracción de normas de Derecho estatal o comunitario europeo], habrá de justificarse que la infracción de una norma estatal o comunitaria europea ha sido relevante y determinante del fallo de la sentencia”.</w:t>
      </w:r>
    </w:p>
    <w:p w:rsidR="0085709A" w:rsidRDefault="0085709A" w:rsidP="0085709A">
      <w:pPr>
        <w:pStyle w:val="TextoNormal"/>
      </w:pPr>
    </w:p>
    <w:p w:rsidR="0085709A" w:rsidRDefault="0085709A" w:rsidP="0085709A">
      <w:pPr>
        <w:pStyle w:val="TextoNormal"/>
      </w:pPr>
      <w:r>
        <w:t>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0085709A" w:rsidRDefault="0085709A" w:rsidP="0085709A">
      <w:pPr>
        <w:pStyle w:val="TextoNormal"/>
      </w:pPr>
    </w:p>
    <w:p w:rsidR="0085709A" w:rsidRDefault="0085709A" w:rsidP="0085709A">
      <w:pPr>
        <w:pStyle w:val="TextoNormal"/>
      </w:pPr>
      <w:r>
        <w:t xml:space="preserve">c) Más adelante, algunas resoluciones del Tribunal Supremo (AATS de 3 de diciembre de 2009, recurso de casación 577-2009; 4 de marzo de 2010, recurso de casación 4416-2009, y 6 de mayo de 2010, recurso de casación 6228-2009) comenzaron a entender exigible </w:t>
      </w:r>
      <w:r>
        <w:lastRenderedPageBreak/>
        <w:t>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0085709A" w:rsidRDefault="0085709A" w:rsidP="0085709A">
      <w:pPr>
        <w:pStyle w:val="TextoNormal"/>
      </w:pPr>
    </w:p>
    <w:p w:rsidR="0085709A" w:rsidRDefault="0085709A" w:rsidP="0085709A">
      <w:pPr>
        <w:pStyle w:val="TextoNormal"/>
      </w:pPr>
      <w:r>
        <w:t>d) En los AATS 951/2010 y 573/2010, de 14 de octubre, y 3461/2010, de 18 de noviembre,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FJ 6).</w:t>
      </w:r>
    </w:p>
    <w:p w:rsidR="0085709A" w:rsidRDefault="0085709A" w:rsidP="0085709A">
      <w:pPr>
        <w:pStyle w:val="TextoNormal"/>
      </w:pPr>
    </w:p>
    <w:p w:rsidR="0085709A" w:rsidRDefault="0085709A" w:rsidP="0085709A">
      <w:pPr>
        <w:pStyle w:val="TextoNormal"/>
      </w:pPr>
      <w:r>
        <w:t>e) El ATS de 10 de febrero de 2011 (recurso de casación 2927-2010), al que se ha hecho ya referencia, dictado también por la Sección Primera de la Sala de lo Contencioso-Administrativo, a la que corresponde por reparto decidir sobre la admisibilidad de los recursos de casación, dictado también con la finalidad de “clarificar” la doctrina jurisprudencial, especificó que el escrito de preparación, con carácter general, debe contener no solo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añadiendo que tal exigencia “existe tanto cuando la resolución impugnada procede de los Tribunales Superiores de Justicia como de la Audiencia Nacional y cualquiera que sea el motivo del artículo 88.1 que se utilice” (FJ 4).</w:t>
      </w:r>
    </w:p>
    <w:p w:rsidR="0085709A" w:rsidRDefault="0085709A" w:rsidP="0085709A">
      <w:pPr>
        <w:pStyle w:val="TextoNormal"/>
      </w:pPr>
    </w:p>
    <w:p w:rsidR="0085709A" w:rsidRDefault="0085709A" w:rsidP="0085709A">
      <w:pPr>
        <w:pStyle w:val="TextoNormal"/>
      </w:pPr>
      <w:r>
        <w:t xml:space="preserve">El citado Auto expone las razones por las cuales se introdujo esta especificación. En concreto señala que si así no se exigiera, el trámite de preparación quedaría privado de su sentido y finalidad, dado que “el tribunal </w:t>
      </w:r>
      <w:r w:rsidRPr="0085709A">
        <w:rPr>
          <w:i/>
        </w:rPr>
        <w:t>a quo</w:t>
      </w:r>
      <w:r>
        <w:t xml:space="preserve">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(FJ 4).</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En su demanda, el recurrente reprocha al Auto de inadmisión frente al que se demanda amparo la vulneración del derecho a la tutela judicial efectiva (art. 24.1 CE), en su vertiente de acceso a los recursos legalmente previstos. Sostiene a tal efecto que la exigencia del </w:t>
      </w:r>
      <w:r>
        <w:lastRenderedPageBreak/>
        <w:t xml:space="preserve">Tribunal Supremo de que en el escrito de preparación del recurso de casación se indique la concreta infracción normativa o jurisprudencial que posteriormente se desarrollará constituye un requisito inexistente en la Ley reguladora de la jurisdicción contencioso-administrativa, por lo que supone la incorporación </w:t>
      </w:r>
      <w:r w:rsidRPr="0085709A">
        <w:rPr>
          <w:i/>
        </w:rPr>
        <w:t>ex novo</w:t>
      </w:r>
      <w:r>
        <w:t>, al parecer desde el año 2011, de un obstáculo a la admisión de los recursos, que no se encuentra previsto en la ley. Por ello, con cita de la STC 35/2011, el demandante considera que la inadmisión de su recurso de casación no resulta razonable; además, en el presente caso, dado que el recurso contencioso-administrativo se había formulado por la infracción de una única norma —el art. 22.4 del Código civil— añade que la exigencia introducida por el Tribunal Supremo, además de no prevista en la ley, resulta desproporcionada y, por todo ello, contraria al derecho de acceso a los recursos legales.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23 de septiembre de 2013, la Sala Primera del Tribunal Constitucional acordó admitir a trámite la demanda de amparo. Asimismo, en aplicación de lo dispuesto en 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número 5518-2011 y al recurso número 493-2009, respectivamente, debiendo previamente emplazarse, para que pudieran comparecer en el recurso de amparo en el término de diez días, a quienes hubieran sido parte en el procedimiento, excepto a la parte recurrente en amparo. Tras el emplazamiento a los interesados, el Abogado del Estado, mediante escrito registrado ante este Tribunal el 24 de octubre de 2013, solicitó se le tuviera por personado y parte en 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Primera de este Tribunal de 28 de octubre de 2013 se tuvieron por recibidos los testimonios de las actuaciones remitidos por el Tribunal Supremo y la Audiencia Nacional, así como el escrito del Abogado del Estado, a quien se tuvo por personado y parte en nombre y representación de la Administración. Asimismo,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La representación procesal del demandante de amparo presentó escrito el 7 de noviembre de 2013 por el que daba por reproducidas íntegramente las alegaciones contenidas en la demanda de amparo.</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presentó sus alegaciones mediante escrito registrado el 27 de noviembre de 2013. En él recoge la doctrina del Tribunal Constitucional sobre el acceso a los recursos y la evolución de la jurisprudencia del Tribunal Supremo sobre los requisitos que debe reunir el escrito de preparación del recurso de casación contencioso-administrativo. A la vista de las alegaciones formuladas en la demanda de amparo, interesa que se desestime íntegramente la misma.</w:t>
      </w:r>
    </w:p>
    <w:p w:rsidR="0085709A" w:rsidRDefault="0085709A" w:rsidP="0085709A">
      <w:pPr>
        <w:pStyle w:val="TextoNormal"/>
      </w:pPr>
    </w:p>
    <w:p w:rsidR="0085709A" w:rsidRDefault="0085709A" w:rsidP="0085709A">
      <w:pPr>
        <w:pStyle w:val="TextoNormal"/>
      </w:pPr>
      <w:r>
        <w:t xml:space="preserve">La argumentación del Ministerio Fiscal se desarrolla, en síntesis, del siguiente modo. En referencia al derecho a la tutela judicial efectiva que se dice vulnerado, el Fiscal realiza un repaso de la evolución de la doctrina del Tribunal Supremo en relación con los requisitos </w:t>
      </w:r>
      <w:r>
        <w:lastRenderedPageBreak/>
        <w:t xml:space="preserve">que deber reunir el escrito de preparación del recurso de casación. Fija como uno de los hitos de esta evolución el ATS 14419/2010, de 14 de octubre, a cuyos requerimientos se ajustó el demandante de amparo al preparar su recurso de casación. Ahora bien, el posterior ATS 2371/2011, de 10 de febrero, cambió la doctrina hasta entonces existente en el sentido de exigir, también para los recursos contra Sentencias de la Audiencia Nacional, que en el escrito de preparación se especifique el concreto o concretos motivos en que se fundará el recurso, con indicación de los concretos preceptos o jurisprudencia que se reputan infringidos o del contenido de las infracciones normativas o jurisprudenciales que se pretendan denunciar y desarrollar en el escrito de interposición del recurso de casación, aunque sea en forma sucinta. Tal doctrina fue aplicada en el caso ahora controvertido y es la que ha de enjuiciarse de acuerdo con el canon de acceso al recurso, no regido por el principio </w:t>
      </w:r>
      <w:r w:rsidRPr="0085709A">
        <w:rPr>
          <w:i/>
        </w:rPr>
        <w:t>pro actione</w:t>
      </w:r>
      <w:r>
        <w:t xml:space="preserve"> sino por el de la razonabilidad y la interdicción de la arbitrariedad y el error patente.</w:t>
      </w:r>
    </w:p>
    <w:p w:rsidR="0085709A" w:rsidRDefault="0085709A" w:rsidP="0085709A">
      <w:pPr>
        <w:pStyle w:val="TextoNormal"/>
      </w:pPr>
    </w:p>
    <w:p w:rsidR="0085709A" w:rsidRDefault="0085709A" w:rsidP="0085709A">
      <w:pPr>
        <w:pStyle w:val="TextoNormal"/>
      </w:pPr>
      <w:r>
        <w:t>Pues bien, considera el Fiscal que las razones ofrecidas en el Auto impugnado, descartado el error patente que nadie esgrime, configuran una resolución motivada que no puede tildarse de arbitraria ni de irrazonable sino que, antes al contrario, el Fiscal considera que la exigencia de especificar las concretas infracciones legales o jurisprudenciales fluye con naturalidad de los motivos de casación esgrimidos en el escrito de preparación del recurso, que se refieren precisamente a las infracciones de las normas reguladoras de la Sentencia o de las que rigen los actos y garantías procesales y a la infracción de las normas del ordenamiento jurídico o de la jurisprudencia que fueran aplicables para resolver las cuestiones objeto de debate. No resulta irrazonable, se dice, que tales normas o jurisprudencia se concreten al preparar el recurso. Por lo demás el Fiscal considera que cuando el demandante de amparo formuló su escrito de preparación del recurso de casación —17 de octubre de 2011— ya se hallaba vigente la nueva doctrina jurisprudencial iniciada por el ATS 2371/2011, de 10 de febrero, por lo que nada ha de extrañar que el Tribunal Supremo aplicara dicha doctrina al caso enjuiciado.</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formuló alegaciones mediante escrito presentado el 18 de febrero de 2014, en el que solicita que se dicte Sentencia desestimando el recurso de amparo. En este caso subraya que el ATS de 10 de febrero de 2011, por el que se consagra el nuevo requisito en el recurso de casación, es bastante anterior a la Sentencia de la Audiencia Nacional de 29 de septiembre de 2011 frente a la que se interpone el recurso inadmitido, por lo que en el momento de prepararse el recurso de casación, la exigencia de los nuevos requisitos era sobradamente conocida en el foro. Asimismo,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de la exigencia jurisprudencial contenida en el ATS de 10 de febrero de 2011 de indicar ya en la preparación las normas y/o jurisprudencia infringidas no puede calificarse ni de arbitraria ni de irrazonable. Considera la Abogacía del Estado que los argumentos del citado ATS no son lógicamente “cogentes” y podría debatirse sobre su fuerza suasoria, si bien, con independencia de su mayor o menor endeblez, tampoco pueden tacharse de arbitrarios e irrazonables, añadiendo además que no ha existido “voluntarismo selectivo”, puesto que las mayores exigencias de forma impuestas al escrito de preparación vienen aplicándose con carácter general. Tales consideraciones le llevan a concluir que, a la luz de la doctrina constitucional, no se ha vulnerado el derecho de acceso a los recursos garantizado por el art. 24.1 CE.</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23 de abril de 2015 se señaló para deliberación y votación de la presente Sentencia el día 27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19 de julio de 2012, que acordó no admitir a trámite el recurso de casación interpuesto contra la Sentencia de la Sala de lo Contencioso-Administrativo de la Audiencia Nacional de 29 de septiembre de 2011, recaída en el procedimiento ordinario núm. 493-2009. También impugna la providencia de 31 de octubre de 2012 mediante la que se inadmitió a trámite el incidente de nulidad de actuaciones promovido contra el Auto citado.</w:t>
      </w:r>
    </w:p>
    <w:p w:rsidR="0085709A" w:rsidRDefault="0085709A" w:rsidP="0085709A">
      <w:pPr>
        <w:pStyle w:val="TextoNormal"/>
      </w:pPr>
    </w:p>
    <w:p w:rsidR="0085709A" w:rsidRDefault="0085709A" w:rsidP="0085709A">
      <w:pPr>
        <w:pStyle w:val="TextoNormal"/>
      </w:pPr>
      <w:r>
        <w:t>El recurrente, según se expresa con más detalle en los antecedentes de hecho de esta resolución, imputa a las resoluciones recurridas la vulneración de su derecho a la tutela judicial efectiva (art. 24.1 CE), en su vertiente de acceso a los recursos, porque el Auto impugnado se funda en un requisito de admisibilidad no exigido por la ley, cuya exigencia en este caso resulta además desproporcionada por cuanto que el recurso contencioso-administrativo se había formulado por la infracción de una única norma.</w:t>
      </w:r>
    </w:p>
    <w:p w:rsidR="0085709A" w:rsidRDefault="0085709A" w:rsidP="0085709A">
      <w:pPr>
        <w:pStyle w:val="TextoNormal"/>
      </w:pPr>
    </w:p>
    <w:p w:rsidR="0085709A" w:rsidRDefault="0085709A" w:rsidP="0085709A">
      <w:pPr>
        <w:pStyle w:val="TextoNormal"/>
      </w:pPr>
      <w:r w:rsidRPr="0085709A">
        <w:rPr>
          <w:rStyle w:val="NumeroAFNegritaCaracter"/>
        </w:rPr>
        <w:t>2</w:t>
      </w:r>
      <w:r>
        <w:t>. El problema planteado en la demanda de amparo ha sido ya abordado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 xml:space="preserve">De entrada, a la vista de las alegaciones del recurrente, hemos de señalar que, como ya se dijera en la citada STC 7/2015, FJ 3, “el enjuiciamiento versa sobre un supuesto de acceso al recurso y no de acceso a la jurisdicción, distinción que resulta relevante en el plano de la jurisprudencia constitucional a los efectos de la no aplicación del canon de proporcionalidad en la exigencia de los requisitos legales para el derecho al recurso”, pues, en efecto, conforme este Tribunal ha reiterado, la interpretación y la aplicación de las normas procesales que contemplan los requisitos para la admisión de los recursos son materias de legalidad ordinaria, propias de los Tribunales de Justicia (art. 117.3 CE), “sin que el control que nos corresponde realizar … pueda extenderse al juicio de proporcionalidad inherente al principio </w:t>
      </w:r>
      <w:r w:rsidRPr="0085709A">
        <w:rPr>
          <w:i/>
        </w:rPr>
        <w:t>pro actione</w:t>
      </w:r>
      <w:r>
        <w:t xml:space="preserve">, característico del derecho de acceso a la jurisdicción” (STC 55/2008, de 14 de abril, FJ 2; o SSTC 33/2008, de 25 de febrero, FFJJ 2 y 4, y 132/2011, de 18 de julio, FJ 3). Esto aclarado, 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w:t>
      </w:r>
      <w:r>
        <w:lastRenderedPageBreak/>
        <w:t>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de noviembre de 2003; e </w:t>
      </w:r>
      <w:r w:rsidRPr="0085709A">
        <w:rPr>
          <w:i/>
        </w:rPr>
        <w:t>Ipamark c. España</w:t>
      </w:r>
      <w:r>
        <w:t>,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w:t>
      </w:r>
      <w:r>
        <w:lastRenderedPageBreak/>
        <w:t>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t xml:space="preserve">A mayor abundamiento debemos señalar que la exigencia del mencionado requisito en el Auto impugnado responde a un cambio de criterio interpretativo previamente adoptado por el Tribunal Supremo con carácter general y con vocación de permanencia para resolver todos los supuestos de las mismas características. Al respecto,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 También por nuestra parte, en la STC 95/1993, de 22 de marzo,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t>En consideración a lo argumentado,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don Víctor Hugo Tituaña Yugcha.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veintisiete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0" w:name="SENTENCIA_2015_77"/>
      <w:r>
        <w:lastRenderedPageBreak/>
        <w:t>SENTENCIA 77/2015, de 27 de abril de 2015</w:t>
      </w:r>
    </w:p>
    <w:bookmarkEnd w:id="80"/>
    <w:p w:rsidR="0085709A" w:rsidRDefault="0085709A" w:rsidP="0085709A">
      <w:pPr>
        <w:pStyle w:val="TtuloResolucin"/>
      </w:pPr>
      <w:r>
        <w:t>Sala Primera</w:t>
      </w:r>
    </w:p>
    <w:p w:rsidR="0085709A" w:rsidRDefault="0085709A" w:rsidP="0085709A">
      <w:pPr>
        <w:pStyle w:val="TtuloBOE"/>
      </w:pPr>
      <w:r>
        <w:t>(BOE núm. 136, de 8 de junio de 2015)</w:t>
      </w:r>
    </w:p>
    <w:p w:rsidR="0085709A" w:rsidRDefault="0085709A" w:rsidP="0085709A">
      <w:pPr>
        <w:pStyle w:val="TextoNormalCentrado"/>
      </w:pPr>
      <w:r>
        <w:t>ECLI:ES:TC:2015:77</w:t>
      </w:r>
    </w:p>
    <w:p w:rsidR="0085709A" w:rsidRDefault="0085709A" w:rsidP="0085709A">
      <w:pPr>
        <w:pStyle w:val="TextoNormalCentrado"/>
      </w:pPr>
    </w:p>
    <w:p w:rsidR="0085709A" w:rsidRDefault="0085709A" w:rsidP="0085709A">
      <w:pPr>
        <w:pStyle w:val="SntesisDescriptiva"/>
      </w:pPr>
      <w:r>
        <w:t>Recurso de amparo 3303-2013. Promovido por don Miguel Andrés Milano Aspe y doña Kelli Marie Angevine en relación con la Sentencia dictada por la Sala de lo Contencioso-Administrativo del Tribunal Superior de Justicia de Madrid sobre liquidación del impuesto sobre transmisiones patrimoniales y actos jurídicos documentados.</w:t>
      </w:r>
    </w:p>
    <w:p w:rsidR="0085709A" w:rsidRDefault="0085709A" w:rsidP="0085709A">
      <w:pPr>
        <w:pStyle w:val="SntesisDescriptiva"/>
      </w:pPr>
    </w:p>
    <w:p w:rsidR="0085709A" w:rsidRDefault="0085709A" w:rsidP="0085709A">
      <w:pPr>
        <w:pStyle w:val="SntesisAnaltica"/>
      </w:pPr>
      <w:r>
        <w:t>Vulneración del derecho a la igualdad ante el deber de contribuir, en conexión con el principio de protección económica de la familia: resolución judicial que, al atribuir eficacia constitutiva al título de familia numerosa, excluye a los recurrentes del disfrute de un beneficio fiscal. Voto particular.</w:t>
      </w:r>
    </w:p>
    <w:p w:rsidR="0085709A" w:rsidRDefault="0085709A" w:rsidP="0085709A">
      <w:pPr>
        <w:pStyle w:val="SntesisAnaltica"/>
      </w:pPr>
    </w:p>
    <w:p w:rsidR="0085709A" w:rsidRDefault="0085709A" w:rsidP="0085709A">
      <w:pPr>
        <w:pStyle w:val="Extracto"/>
      </w:pPr>
      <w:r>
        <w:t>1.</w:t>
      </w:r>
      <w:r>
        <w:tab/>
        <w:t>El incidente de nulidad de actuaciones no puede considerarse un mero trámite formal previo al amparo constitucional sino como un verdadero instrumento procesal que, en vía de la jurisdicción ordinaria, podrá remediar aquellas lesiones de derechos fundamentales que no hayan podido denunciarse antes de recaer resolución que ponga fin al proceso y siempre que dicha resolución no sea susceptible de recurso ordinario ni extraordinario (STC 204/2014) [FJ 1].</w:t>
      </w:r>
    </w:p>
    <w:p w:rsidR="0085709A" w:rsidRDefault="0085709A" w:rsidP="0085709A">
      <w:pPr>
        <w:pStyle w:val="Extracto"/>
      </w:pPr>
    </w:p>
    <w:p w:rsidR="0085709A" w:rsidRDefault="0085709A" w:rsidP="0085709A">
      <w:pPr>
        <w:pStyle w:val="Extracto"/>
      </w:pPr>
      <w:r>
        <w:t>2.</w:t>
      </w:r>
      <w:r>
        <w:tab/>
        <w:t>El principio de igualdad prohíbe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(SSTC 295/2006, 19/2012) [FJ 3].</w:t>
      </w:r>
    </w:p>
    <w:p w:rsidR="0085709A" w:rsidRDefault="0085709A" w:rsidP="0085709A">
      <w:pPr>
        <w:pStyle w:val="Extracto"/>
      </w:pPr>
    </w:p>
    <w:p w:rsidR="0085709A" w:rsidRDefault="0085709A" w:rsidP="0085709A">
      <w:pPr>
        <w:pStyle w:val="Extracto"/>
      </w:pPr>
      <w:r>
        <w:t>3.</w:t>
      </w:r>
      <w:r>
        <w:tab/>
        <w:t>El principio de igualdad prohíbe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(SSTC 295/2006, 19/2012) [FJ 3].</w:t>
      </w:r>
    </w:p>
    <w:p w:rsidR="0085709A" w:rsidRDefault="0085709A" w:rsidP="0085709A">
      <w:pPr>
        <w:pStyle w:val="Extracto"/>
      </w:pPr>
    </w:p>
    <w:p w:rsidR="0085709A" w:rsidRDefault="0085709A" w:rsidP="0085709A">
      <w:pPr>
        <w:pStyle w:val="Extracto"/>
      </w:pPr>
      <w:r>
        <w:t>4.</w:t>
      </w:r>
      <w:r>
        <w:tab/>
        <w:t>Los poderes públicos están obligados a asegurar la protección económica de la familia y, aunque, desde un punto de vista constitucional, tan válida es la opción legislativa dirigida a garantizar su protección a través de medidas de naturaleza tributaria como de cualquier otra naturaleza, sin embargo, si el legislador opta por garantizar la protección económica de la familia previendo la aplicación de un tipo reducido por la adquisición de la vivienda habitual de la familia numerosa, debe hacerlo sin establecer discriminaciones injustificadas entre sus potenciales destinatarios [FJ 3].</w:t>
      </w:r>
    </w:p>
    <w:p w:rsidR="0085709A" w:rsidRDefault="0085709A" w:rsidP="0085709A">
      <w:pPr>
        <w:pStyle w:val="Extracto"/>
      </w:pPr>
    </w:p>
    <w:p w:rsidR="0085709A" w:rsidRDefault="0085709A" w:rsidP="0085709A">
      <w:pPr>
        <w:pStyle w:val="Extracto"/>
      </w:pPr>
      <w:r>
        <w:lastRenderedPageBreak/>
        <w:t>5.</w:t>
      </w:r>
      <w:r>
        <w:tab/>
        <w:t>El principio de igualdad opera en dos planos distintos, esto es, frente al legislador o al poder reglamentario, y frente al aplicador; y en el primer plano, el principio de igualdad impide que puedan configurarse los supuestos de hecho de la norma de modo tal que se dé trato distinto a personas que, desde todos los puntos de vista legítimamente adoptables, se encuentran en la misma situación o, dicho de otro modo, que se otorgue relevancia jurídica a circunstancias que no guardan relación alguna con el sentido de la regulación que, al incluirlas, incurre en arbitrariedad y es por eso discriminatoria. (STC 144/1988) [FJ 3].</w:t>
      </w:r>
    </w:p>
    <w:p w:rsidR="0085709A" w:rsidRDefault="0085709A" w:rsidP="0085709A">
      <w:pPr>
        <w:pStyle w:val="Extracto"/>
      </w:pPr>
    </w:p>
    <w:p w:rsidR="0085709A" w:rsidRDefault="0085709A" w:rsidP="0085709A">
      <w:pPr>
        <w:pStyle w:val="Extracto"/>
      </w:pPr>
      <w:r>
        <w:t>6.</w:t>
      </w:r>
      <w:r>
        <w:tab/>
        <w:t>El principio de igualdad opera en dos planos distintos, esto es, frente al legislador o al poder reglamentario, y frente al aplicador; en este último plano,  la igualdad ante la ley obliga a que ésta sea aplicada efectivamente de modo igual a todos aquellos que se encuentran en la misma situación, sin que el aplicador pueda establecer diferencia alguna en razón de las personas o de circunstancias que no sean precisamente las presentes en la norma (STC 144/1988) [FJ 3].</w:t>
      </w:r>
    </w:p>
    <w:p w:rsidR="0085709A" w:rsidRDefault="0085709A" w:rsidP="0085709A">
      <w:pPr>
        <w:pStyle w:val="Extracto"/>
      </w:pPr>
    </w:p>
    <w:p w:rsidR="0085709A" w:rsidRDefault="0085709A" w:rsidP="0085709A">
      <w:pPr>
        <w:pStyle w:val="Extracto"/>
      </w:pPr>
      <w:r>
        <w:t>7.</w:t>
      </w:r>
      <w:r>
        <w:tab/>
        <w:t>Aunque al Tribunal Constitucional no corresponde la interpretación de la legalidad tributaria, dado que esta es una función encomendada a los órganos de la jurisdicción ordinaria, sí le corresponde efectuar una supervisión externa de la razonabilidad de la fundamentación de las resoluciones judiciales recurridas, para determinar si la interpretación judicial de la ley es conforme o no con la Constitución y, en lo que ahora toca, desde la perspectiva del derecho a la igualdad, en su conexión con el principio de protección a la familia (SSTC 96/1997, 35/2014, 144/1988, 96/1997)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3303-2013 promovido por don Miguel Andrés Milano Aspe y doña Kelli Marie Angevine, representados por la Procuradora de los Tribunales doña Patricia Rosch Iglesias, bajo la dirección del Letrado don Alfonso Pérez Moreno, contra el Auto de la Sección Novena de la Sala de lo Contencioso-Administrativo del Tribunal Superior de Justicia de Madrid con fecha de 19 de abril de 2013 que inadmite a trámite el incidente de nulidad de actuaciones promovido contra la Sentencia de la misma Sala y Sección núm. 1010 de fecha 26 de diciembre de 2012, estimatoria del recurso núm. 488-2008 interpuesto por la Comunidad de Madrid contra la Resolución del Tribunal Económico-Administrativo Regional de Madrid de fecha 27 de febrero de 2008, estimatoria, a su vez, de la </w:t>
      </w:r>
      <w:r>
        <w:lastRenderedPageBreak/>
        <w:t>reclamación núm. 28/00472/07 presentada por los recurrentes en amparo contra la resolución de la Dirección General de Tributos de la Consejería de Economía y Hacienda de la Comunidad de Madrid de fecha 27 de julio de 2006, desestimatoria de la solicitud de devolución de ingresos indebidos en materia de Impuesto sobre Transmisiones Patrimoniales y Actos Jurídicos Documentados. Han intervenido el Abogado del Estado y la Letrada de la Comunidad de Madrid, en la representación que ostentan, y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Por escrito registrado en este Tribunal el día 31 de mayo de 2013, doña Patricia Rosch Iglesias, en nombre y representación de don Miguel Andrés Milano Aspe y doña Kelli Marie Angevine, interpuso recurso de amparo contra las resoluciones judiciales que se indican en el encabezamiento de esta Sentencia.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t>a) Los demandantes en amparo, casados, padres de tres hijos menores nacidos en 1997, 2000 y 2003 (según consta en el libro de familia expedido por la Dirección General de los Registros y del Notariado), adquirieron mediante escritura pública la que iba a constituir su vivienda habitual con fecha de 14 de septiembre 2005, presentando el día 22 de septiembre siguiente ante la Dirección General de Tributos de la Consejería de Economía y Hacienda de la Comunidad de Madrid una autoliquidación en concepto de impuesto sobre transmisiones patrimoniales y actos jurídicos documentados, en la que, sobre una base imponible de 1.380.000 €, se aplicó un tipo de gravamen del 7 por 100, ingresando una deuda tributaria por importe de 96.600 €.</w:t>
      </w:r>
    </w:p>
    <w:p w:rsidR="0085709A" w:rsidRDefault="0085709A" w:rsidP="0085709A">
      <w:pPr>
        <w:pStyle w:val="TextoNormal"/>
      </w:pPr>
    </w:p>
    <w:p w:rsidR="0085709A" w:rsidRDefault="0085709A" w:rsidP="0085709A">
      <w:pPr>
        <w:pStyle w:val="TextoNormal"/>
      </w:pPr>
      <w:r>
        <w:t>b) Con fecha 15 diciembre de 2005 presentaron una solicitud de devolución de ingresos indebidos al entender que el tipo de gravamen aplicable debía haber sido el del 4 por 100, en lugar del 7 por 100, por tratarse de la adquisición de una vivienda destinada a ser la habitual de una familia numerosa. Dicha solicitud fue desestimada por la resolución de la Dirección General de Tributos de la Consejería de Economía y Hacienda de la Comunidad de Madrid de fecha 27 de julio de 2006, con fundamento en la falta de acreditación de la condición de familia numerosa, de conformidad con lo establecido en los artículos 5 y 7 de la Ley 40/2003 de 18 noviembre, de protección a las familias numerosas, al carecerse al momento del devengo del tributo del título acreditativo de la condición de familia numerosa.</w:t>
      </w:r>
    </w:p>
    <w:p w:rsidR="0085709A" w:rsidRDefault="0085709A" w:rsidP="0085709A">
      <w:pPr>
        <w:pStyle w:val="TextoNormal"/>
      </w:pPr>
    </w:p>
    <w:p w:rsidR="0085709A" w:rsidRDefault="0085709A" w:rsidP="0085709A">
      <w:pPr>
        <w:pStyle w:val="TextoNormal"/>
      </w:pPr>
      <w:r>
        <w:t xml:space="preserve">c) Presentada una reclamación económico-administrativa (núm. 28-00472-2007) ante el Tribunal Económico-Administrativo Regional de Madrid, por resolución con fecha 27 de febrero de 2008 se estima, reconociéndose el derecho a la devolución del exceso ingresado, al considerar que lo importante para disfrutar del beneficio no es estar en posesión del título de familia numerosa al momento de la adquisición, sino reunir las condiciones legales para alcanzar tal condición. A juicio de este órgano, si bien el título de familia numerosa que contempla la Ley 40/2003, de 18 de noviembre, es un requisito necesario para el reconocimiento del beneficio, sin embargo, se tiene derecho a la aplicación del beneficio fiscal si se comprueba que concurrían las condiciones necesarias para tener la condición de familia </w:t>
      </w:r>
      <w:r>
        <w:lastRenderedPageBreak/>
        <w:t>numerosa al momento de la adquisición, aun cuando el título se obtuviese en un momento posterior al devengo del impuesto.</w:t>
      </w:r>
    </w:p>
    <w:p w:rsidR="0085709A" w:rsidRDefault="0085709A" w:rsidP="0085709A">
      <w:pPr>
        <w:pStyle w:val="TextoNormal"/>
      </w:pPr>
    </w:p>
    <w:p w:rsidR="0085709A" w:rsidRDefault="0085709A" w:rsidP="0085709A">
      <w:pPr>
        <w:pStyle w:val="TextoNormal"/>
      </w:pPr>
      <w:r>
        <w:t>d) Contra la anterior resolución, la Comunidad de Madrid interpuso un recurso contencioso-administrativo (núm. 488-2008) ante la Sala de lo Contencioso-Administrativo del Tribunal Superior de Justicia de Madrid, quien por Sentencia de su Sección Novena núm. 1010, con fecha de 26 de diciembre de 2012, lo estima con fundamento en que el art. 5 de la Ley 40/2003, de 18 de noviembre, dispone que “la condición de familia numerosa se acreditará mediante título oficial establecido al efecto, que será otorgado cuando concurran los requisitos establecidos en esta ley a petición de cualquiera de los ascendientes, tutor, acogedor, guardador y otro miembro de la unidad familiar con capacidad legal”, añadiendo a continuación el art. 7 que “los beneficios concedidos a las familias numerosas surtirán efectos desde la fecha de la presentación de la solicitud de reconocimiento o renovación del título original”. Para la Sección Novena la dicción del art. 7 citada es clara en cuanto dispone que la fecha de solicitud del título de familia numerosa está unida a la fecha a partir de la cual empiezan a reconocerse los beneficios regulados a favor de las familias numerosas, razón por la cual, al haberse solicitado el título de familia numerosa en fecha posterior a la de adquisición de la vivienda (fecha del devengo del impuesto), no era posible disfrutar del beneficio en el tipo impositivo. Para el órgano judicial citado “no es suficiente con que se tenga en la fecha del devengo la condición de familia numerosa sino que se exige tener en dicha fecha, al menos, solicitado, el título oficial que acredite la condición de familia numerosa”.</w:t>
      </w:r>
    </w:p>
    <w:p w:rsidR="0085709A" w:rsidRDefault="0085709A" w:rsidP="0085709A">
      <w:pPr>
        <w:pStyle w:val="TextoNormal"/>
      </w:pPr>
    </w:p>
    <w:p w:rsidR="0085709A" w:rsidRDefault="0085709A" w:rsidP="0085709A">
      <w:pPr>
        <w:pStyle w:val="TextoNormal"/>
      </w:pPr>
      <w:r>
        <w:t>e) Promovido por los recurrentes en amparo un incidente de nulidad de actuaciones contra la anterior Sentencia, al considerar que infringía el derecho a la igualdad en relación con las familias que habían obtenido la acreditación formal de familia numerosa, por Auto de la misma Sala y Sección con fecha de 19 de abril de 2013 se inadmite a trámite. A juicio del órgano judicial no cabe hablar de trato desigual frente a quien tiene reconocida por la Administración la condición de familia numerosa pues se trata de situaciones diferentes. Eso sí, esta decisión la adopta la Sala siendo “consciente de que se trata de una cuestión discutible”, en la que caben, al menos, dos interpretaciones de la norma la “antiformalista”, que permitiría gozar de los beneficios a aquel que sin tener reconocido por la Administración la condición de familia numerosa, se le reconoce tal situación en atención al número de miembros que componen la familia: y la más “formalista”, que está a la letra de la ley. Y entre una y otra opta el órgano judicial por esta última tesis “por la mayor seguridad jurídica y por carecer de los datos que se exigen para el reconocimiento de una familia como numerosa, datos de los que sí dispone la Administración”.</w:t>
      </w:r>
    </w:p>
    <w:p w:rsidR="0085709A" w:rsidRDefault="0085709A" w:rsidP="0085709A">
      <w:pPr>
        <w:pStyle w:val="TextoNormal"/>
      </w:pPr>
    </w:p>
    <w:p w:rsidR="0085709A" w:rsidRDefault="0085709A" w:rsidP="0085709A">
      <w:pPr>
        <w:pStyle w:val="TextoNormal"/>
      </w:pPr>
      <w:r w:rsidRPr="0085709A">
        <w:rPr>
          <w:rStyle w:val="NumeroAFNegritaCaracter"/>
        </w:rPr>
        <w:t>2</w:t>
      </w:r>
      <w:r>
        <w:t>. Se alega en la demanda de amparo la vulneración del derecho a la igualdad (art. 14 CE), concretamente, a no sufrir un trato desigual y discriminatorio, en relación con el principio de protección social, económica y jurídica de la familia (art. 39.1 CE). Tras precisar los antecedentes de hecho de los que trae causa la demanda de amparo, se señala que las resoluciones judiciales impugnadas vulneran el derecho a la igualdad que consagra el art. 14 CE, pues introduce no sólo una diferencia entre situaciones que pueden considerarse iguales, sin que se exista una justificación objetiva y razonable para ello, sino que las consecuencias jurídicas que derivan del trato desigual resultan desproporcionadas a la finalidad perseguida (con cita de las SSTC 200/2001, 88/2005 y 75/2011).</w:t>
      </w:r>
    </w:p>
    <w:p w:rsidR="0085709A" w:rsidRDefault="0085709A" w:rsidP="0085709A">
      <w:pPr>
        <w:pStyle w:val="TextoNormal"/>
      </w:pPr>
    </w:p>
    <w:p w:rsidR="0085709A" w:rsidRDefault="0085709A" w:rsidP="0085709A">
      <w:pPr>
        <w:pStyle w:val="TextoNormal"/>
      </w:pPr>
      <w:r>
        <w:lastRenderedPageBreak/>
        <w:t>Para los recurrentes en amparo el caso denunciado guarda una gran similitud con el analizado en la STC 199/2004 (denegación de pensión de viudedad por el hecho de que el matrimonio en cuestión no estuviera inscrito en el Registro Civil), en la que se consideraba que se viola el principio de igualdad en la ley cuando ante dos supuestos de hecho que pueden considerarse iguales, se introduce en uno de ellos un elemento o factor que permita diferenciarlo del otro, falto de un fundamento racional, siendo, en consecuencia, arbitrario, por no resultar necesario tal factor diferencial para la consecución del fin perseguido por el legislador.</w:t>
      </w:r>
    </w:p>
    <w:p w:rsidR="0085709A" w:rsidRDefault="0085709A" w:rsidP="0085709A">
      <w:pPr>
        <w:pStyle w:val="TextoNormal"/>
      </w:pPr>
    </w:p>
    <w:p w:rsidR="0085709A" w:rsidRDefault="0085709A" w:rsidP="0085709A">
      <w:pPr>
        <w:pStyle w:val="TextoNormal"/>
      </w:pPr>
      <w:r>
        <w:t>Subraya la demanda que la Sentencia objeto del presente recurso de amparo no cuestiona que los recurrentes sean familia numerosa, lo que impide entender que su situación sea distinta a la de otras familias numerosas. Además, añade, la condición de familia numerosa se obtiene por el mero hecho de estar incluido en alguno de los supuestos legales, constituyendo la condición a la que la norma jurídica vincula una determinada consecuencia jurídica, por lo que la negativa a aplicar ese régimen jurídico por la falta de acreditación supone introducir una diferencia que no puede calificarse de objetiva y razonable, resultando además desproporcionada con la finalidad de la norma (la protección de las familias), para terminar dotando de un valor constitutivo a la citada acreditación (estar en posesión del título oficial de familia numerosa).</w:t>
      </w:r>
    </w:p>
    <w:p w:rsidR="0085709A" w:rsidRDefault="0085709A" w:rsidP="0085709A">
      <w:pPr>
        <w:pStyle w:val="TextoNormal"/>
      </w:pPr>
    </w:p>
    <w:p w:rsidR="0085709A" w:rsidRDefault="0085709A" w:rsidP="0085709A">
      <w:pPr>
        <w:pStyle w:val="TextoNormal"/>
      </w:pPr>
      <w:r>
        <w:t>Para los recurrentes el art. 4.1.3 de la Ley 5/2004, de 28 de diciembre, de medidas fiscales y administrativas de la Comunidad de Madrid, reconoce la aplicación del tipo impositivo reducido del 4 por 100 cuando se trata de un sujeto pasivo titular de una familia numerosa, remitiéndose a la Ley 40/2003, de 18 de noviembre, de protección a las familias numerosas, a los efectos de la definición de la familia numerosa, pero no en cuanto a los condicionantes de acreditación que pueda establecer esta última norma legal. De esta manera, añaden, aquel art. 4.1.3 reconoce el beneficio fiscal a todas las familias que entren en la definición legal de familias numerosas, condición que ya tenían a la fecha del devengo del impuesto, con independencia de que hubiesen obtenido o no el título acreditativo.</w:t>
      </w:r>
    </w:p>
    <w:p w:rsidR="0085709A" w:rsidRDefault="0085709A" w:rsidP="0085709A">
      <w:pPr>
        <w:pStyle w:val="TextoNormal"/>
      </w:pPr>
    </w:p>
    <w:p w:rsidR="0085709A" w:rsidRDefault="0085709A" w:rsidP="0085709A">
      <w:pPr>
        <w:pStyle w:val="TextoNormal"/>
      </w:pPr>
      <w:r>
        <w:t>Si el art. 39 CE, continúan los recurrentes, establece como principio rector de la política social y económica, la protección social, económica y jurídica de la familia, y este principio debe inspirar la legislación positiva, la práctica judicial y la actuación de los poderes públicos (art. 53.3 CE), es evidente que la interpretación de las normas jurídicas debe efectuarse conforme al criterio de la mayor protección de la familia, con independencia de aspectos de carácter formal.</w:t>
      </w:r>
    </w:p>
    <w:p w:rsidR="0085709A" w:rsidRDefault="0085709A" w:rsidP="0085709A">
      <w:pPr>
        <w:pStyle w:val="TextoNormal"/>
      </w:pPr>
    </w:p>
    <w:p w:rsidR="0085709A" w:rsidRDefault="0085709A" w:rsidP="0085709A">
      <w:pPr>
        <w:pStyle w:val="TextoNormal"/>
      </w:pPr>
      <w:r>
        <w:t>Por último, para los recurrentes el Auto de inadmisión del incidente de nulidad de actuaciones incide aún más en la violación del derecho fundamental, pues pudiendo haber escogido una interpretación acorde con el derecho fundamental en juego escoge la más formalista, que no tiene en cuenta ni el derecho a la igualdad ni el principio de protección a la familia.</w:t>
      </w:r>
    </w:p>
    <w:p w:rsidR="0085709A" w:rsidRDefault="0085709A" w:rsidP="0085709A">
      <w:pPr>
        <w:pStyle w:val="TextoNormal"/>
      </w:pPr>
    </w:p>
    <w:p w:rsidR="0085709A" w:rsidRDefault="0085709A" w:rsidP="0085709A">
      <w:pPr>
        <w:pStyle w:val="TextoNormal"/>
      </w:pPr>
      <w:r w:rsidRPr="0085709A">
        <w:rPr>
          <w:rStyle w:val="NumeroAFNegritaCaracter"/>
        </w:rPr>
        <w:t>3</w:t>
      </w:r>
      <w:r>
        <w:t>. . Por providencia con fecha de 15 de diciembre de 2014, la Sala Primera de este Tribunal acordó la admisión a trámite del recurso de amparo. Asimismo, y en aplicación de lo previsto en el art. 51 de la Ley Orgánica de este Tribunal (LOTC), se acordó dirigir comunicación tanto al Tribunal Superior de Justicia de Madrid como al Tribunal Económico-</w:t>
      </w:r>
      <w:r>
        <w:lastRenderedPageBreak/>
        <w:t>Administrativo Regional de Madrid, a fin de que en el plazo de diez días remitiesen, respectivamente, certificación o fotocopia adverada de las actuaciones correspondientes al recurso núm. 488-08 y a la reclamación núm. 28-000472-2007, interesándose al mismo tiempo que se emplazara a quienes hubiesen sido parte en el procedimiento, excepto a la parte recurrente en amparo, para que en el plazo de diez días pudieran comparecer ante este Tribunal si así lo deseasen.</w:t>
      </w:r>
    </w:p>
    <w:p w:rsidR="0085709A" w:rsidRDefault="0085709A" w:rsidP="0085709A">
      <w:pPr>
        <w:pStyle w:val="TextoNormal"/>
      </w:pPr>
    </w:p>
    <w:p w:rsidR="0085709A" w:rsidRDefault="0085709A" w:rsidP="0085709A">
      <w:pPr>
        <w:pStyle w:val="TextoNormal"/>
      </w:pPr>
      <w:r w:rsidRPr="0085709A">
        <w:rPr>
          <w:rStyle w:val="NumeroAFNegritaCaracter"/>
        </w:rPr>
        <w:t>4</w:t>
      </w:r>
      <w:r>
        <w:t>. Por escrito presentado en el Registro de este Tribunal el día 17 de diciembre de 2014 el Abogado del Estado suplicó se le tuviera por personado en el procedimiento.</w:t>
      </w:r>
    </w:p>
    <w:p w:rsidR="0085709A" w:rsidRDefault="0085709A" w:rsidP="0085709A">
      <w:pPr>
        <w:pStyle w:val="TextoNormal"/>
      </w:pPr>
    </w:p>
    <w:p w:rsidR="0085709A" w:rsidRDefault="0085709A" w:rsidP="0085709A">
      <w:pPr>
        <w:pStyle w:val="TextoNormal"/>
      </w:pPr>
      <w:r w:rsidRPr="0085709A">
        <w:rPr>
          <w:rStyle w:val="NumeroAFNegritaCaracter"/>
        </w:rPr>
        <w:t>5</w:t>
      </w:r>
      <w:r>
        <w:t>. La Letrada de la Comunidad de Madrid presentó un escrito en el Registro General de este Tribunal el día 14 de enero de 2015 suplicando se le tuviese por personada en el recurso de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diligencia de ordenación de fecha 28 de enero de 2015, la Sala Primera acordó tener por personados y parte al Abogado del Estado y a la Letrada de la Comunidad de Madrid, en la representación que ostentan, así como dar vista de las actuaciones recibidas a las partes personadas y al Ministerio Fiscal, por plazo común de veinte días, para que, conforme determina el art. 52.1 de la Ley Orgánica de este Tribunal, presentasen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escrito registrado en este Tribunal el día 23 de febrero de 2015, don Miguel Andrés Milano Aspe y doña Kelli Marie Angevine, representados por la Procuradora doña Patricia Rosch Iglesias y defendidos por el Letrado don Alfonso Pérez Moreno, evacuaron el trámite de alegaciones conferido suplicando se dictase Sentencia conforme a lo interesado en el escrito de demanda de amparo.</w:t>
      </w:r>
    </w:p>
    <w:p w:rsidR="0085709A" w:rsidRDefault="0085709A" w:rsidP="0085709A">
      <w:pPr>
        <w:pStyle w:val="TextoNormal"/>
      </w:pPr>
    </w:p>
    <w:p w:rsidR="0085709A" w:rsidRDefault="0085709A" w:rsidP="0085709A">
      <w:pPr>
        <w:pStyle w:val="TextoNormal"/>
      </w:pPr>
      <w:r w:rsidRPr="0085709A">
        <w:rPr>
          <w:rStyle w:val="NumeroAFNegritaCaracter"/>
        </w:rPr>
        <w:t>8</w:t>
      </w:r>
      <w:r>
        <w:t>. El día 26 de febrero de 2015 evacuó el trámite de alegaciones la Letrada de la Comunidad de Madrid solicitando se inadmitiese el mismo, o en su defecto, se dictase Sentencia desestimatoria. Comienza la Letrada autonómica sus alegaciones oponiendo tres óbices de procedibilidad: la extemporaneidad de la demanda, la falta de invocación previa del derecho fundamental vulnerado y la falta de justificación de la especial trascendencia constitucional.</w:t>
      </w:r>
    </w:p>
    <w:p w:rsidR="0085709A" w:rsidRDefault="0085709A" w:rsidP="0085709A">
      <w:pPr>
        <w:pStyle w:val="TextoNormal"/>
      </w:pPr>
    </w:p>
    <w:p w:rsidR="0085709A" w:rsidRDefault="0085709A" w:rsidP="0085709A">
      <w:pPr>
        <w:pStyle w:val="TextoNormal"/>
      </w:pPr>
      <w:r>
        <w:t>En primer lugar, para la Letrada de la Comunidad de Madrid, pese a que la demanda de amparo se dirige formalmente contra la Sentencia y Auto del Tribunal Superior de Justicia de Madrid, respectivamente, de 26 de diciembre de 2012 y de 19 de abril de 2013, sin embargo, el recurso ha de entenderse formulado por el cauce del art. 43 LOTC y no por el previsto en el art. 44 LOTC, ya que la infracción constitucional que se denuncia se imputa directamente a la resolución recaída en el procedimiento administrativo, sin que se articulen vulneraciones autónomas achacables a las resoluciones judiciales impugnadas. A su juicio, no puede entenderse que la vulneración alegada “sea imputable de modo inmediato y directo a una acción u omisión del órgano judicial”, pues no se ha aportado término válido de comparación para que pueda apreciarse la vulneración del principio de igualdad en la aplicación judicial del Derecho, lo que confirma que la presente demanda debe entenderse formalizada por el cauce del art. 43 LOTC y que podría haberse presentado extemporáneamente, esto es, fuera del plazo de los 20 días siguientes al de la notificación de la resolución judicial [art. 50.1 a) LOTC, en relación con el art. 43 LOTC].</w:t>
      </w:r>
    </w:p>
    <w:p w:rsidR="0085709A" w:rsidRDefault="0085709A" w:rsidP="0085709A">
      <w:pPr>
        <w:pStyle w:val="TextoNormal"/>
      </w:pPr>
    </w:p>
    <w:p w:rsidR="0085709A" w:rsidRDefault="0085709A" w:rsidP="0085709A">
      <w:pPr>
        <w:pStyle w:val="TextoNormal"/>
      </w:pPr>
      <w:r>
        <w:t>Considera igualmente que no se invocó formalmente, tan pronto como fue posible, la vulneración del derecho constitucional a la igualdad (art. 14), ni ante el Tribunal Económico-Administrativo Regional, ni ante el Tribunal Superior de Justicia de Madrid, lo que se llevó a efecto sólo con ocasión del planteamiento de incidente de nulidad de actuaciones, convirtiendo así a este incidente en improcedente, al no darse el presupuesto exigido en el art. 241 de la Ley Orgánica del Poder Judicial, de que la vulneración del derecho no haya podido denunciarse antes de recaer la resolución que ponga fin al proceso (ATC 42/2010 y STC 89/2011), y sin que sea de aplicación la doctrina de la STC 216/2013, que se refiere a un situación concreta y sin vocación de aplicación extensiva. En suma, considera que procede inadmitir el presente recurso al no haberse planteado en la vía judicial previa la vulneración del derecho a la igualdad [art. 44.1 b) y c) LOTC, en relación con el art. 43 LOTC].</w:t>
      </w:r>
    </w:p>
    <w:p w:rsidR="0085709A" w:rsidRDefault="0085709A" w:rsidP="0085709A">
      <w:pPr>
        <w:pStyle w:val="TextoNormal"/>
      </w:pPr>
    </w:p>
    <w:p w:rsidR="0085709A" w:rsidRDefault="0085709A" w:rsidP="0085709A">
      <w:pPr>
        <w:pStyle w:val="TextoNormal"/>
      </w:pPr>
      <w:r>
        <w:t>En fin, a juicio de esta representación, tampoco se habría cumplido con la carga de justificar la especial trascendencia constitucional [art. 50.1 a) LOTC, en relación con art. 49.1 LOTC], pues la demanda de amparo no contiene una fundamentación suficiente de su especial trascendencia constitucional, al no desplegar esfuerzo argumental alguno destinado a vincular la vulneración constitucional alegada con los criterios del art. 50.1 b) LOTC. El recurrente se limita a argumentar sobre la lesión del derecho fundamental alegado, confundiendo la vulneración del derecho con la especial trascendencia constitucional del recurso (SSTC 143/2011, FJ 2). La demanda debe inadmitirse, por tanto, al carecer de argumentación alguna dirigida a justificar su utilidad para la interpretación, aplicación y eficacia general de la Constitución o para la determinación del contenido y alcance de los derechos fundamentales.</w:t>
      </w:r>
    </w:p>
    <w:p w:rsidR="0085709A" w:rsidRDefault="0085709A" w:rsidP="0085709A">
      <w:pPr>
        <w:pStyle w:val="TextoNormal"/>
      </w:pPr>
    </w:p>
    <w:p w:rsidR="0085709A" w:rsidRDefault="0085709A" w:rsidP="0085709A">
      <w:pPr>
        <w:pStyle w:val="TextoNormal"/>
      </w:pPr>
      <w:r>
        <w:t>Una vez concretadas las causas de inadmisibilidad, pasa la Letrada de la Comunidad de Madrid a analizar la vulneración denunciada. A tal fin señala que el art. 4.1.3 de la Ley 5/2014, de 28 de diciembre, de medidas fiscales y administrativas de la Comunidad de Madrid, dispone que “[s]e aplicará el tipo impositivo reducido del 4 por 100 a la transmisión de un inmueble que vaya a constituir la vivienda habitual de una familia numerosa, siempre que se cumplan simultáneamente los siguientes requisitos: a) Que el sujeto pasivo sea titular de una familia numerosa”, precisando a renglón seguido que “[a] los efectos de lo dispuesto en este apartado, tendrán la consideración de familias numerosas aquellas que defina como tal la Ley 40/2003, de 18 de noviembre, de Protección a las Familias Numerosas”. Este precepto hay que ponerlo en relación con la Ley 40/2003, de 18 de noviembre, de protección a las familias numerosas, normativa básica y de aplicación general para todo el Estado (a excepción de los artículos 11 a 16), cuyo art. 5 reza que “[l]a condición de familia numerosa se acreditará mediante el título oficial establecido al efecto, que será otorgado cuando concurran los requisitos establecidos en esta Ley, a petición de cualquiera de los ascendientes, tutor, acogedor, guardador, u otro miembro de la unidad familiar con capacidad legal”. A continuación, el art. 7.1 dispone que “[l]os beneficios concedidos a las familias numerosas surtirán efectos desde la fecha de la presentación de la solicitud de reconocimiento o renovación del título oficial”.</w:t>
      </w:r>
    </w:p>
    <w:p w:rsidR="0085709A" w:rsidRDefault="0085709A" w:rsidP="0085709A">
      <w:pPr>
        <w:pStyle w:val="TextoNormal"/>
      </w:pPr>
    </w:p>
    <w:p w:rsidR="0085709A" w:rsidRDefault="0085709A" w:rsidP="0085709A">
      <w:pPr>
        <w:pStyle w:val="TextoNormal"/>
      </w:pPr>
      <w:r>
        <w:t xml:space="preserve">Para la Letrada autonómica la Sala de lo Contencioso-Administrativo aplica la normativa plenamente vigente, sin que pueda tacharse de contraria al derecho a la igualdad, toda vez que la misma establece el mismo tratamiento para todas las situaciones idénticas. En efecto, la fecha de efectos de los beneficios a que pudieran tener derecho las familias numerosas se </w:t>
      </w:r>
      <w:r>
        <w:lastRenderedPageBreak/>
        <w:t>fija legalmente para todo el Estado (</w:t>
      </w:r>
      <w:r w:rsidRPr="0085709A">
        <w:rPr>
          <w:i/>
        </w:rPr>
        <w:t>ex</w:t>
      </w:r>
      <w:r>
        <w:t xml:space="preserve"> art. 7 de la Ley 40/2003), en la fecha de presentación de la solicitud de reconocimiento o renovación del título oficial, que acredita la condición de familia numerosa. Toda familia numerosa, entendida por tal la que se define en el art. 2 de la Ley 40/2003 y cumpliendo las condiciones previstas en el art. 3, que quiera hacer valer los beneficios concedidos a las mismas, ha de ajustarse a lo previsto en los arts. 5 y 7 de la Ley 40/2003. Pues bien, el Tribunal Superior de Justicia de Madrid, Sala de lo Contencioso-Administrativo, reiteradamente ha fallado en el mismo sentido que la Sentencia que se recurre en amparo [por ejemplo, entre otras, Sentencias de 30 de diciembre de 2009 (recurso núm. 615-2007); de 24 de febrero de 2011 (recurso núm. 875-2008); y de 18 de enero de 2011 (recurso núm. 489-2008)].</w:t>
      </w:r>
    </w:p>
    <w:p w:rsidR="0085709A" w:rsidRDefault="0085709A" w:rsidP="0085709A">
      <w:pPr>
        <w:pStyle w:val="TextoNormal"/>
      </w:pPr>
    </w:p>
    <w:p w:rsidR="0085709A" w:rsidRDefault="0085709A" w:rsidP="0085709A">
      <w:pPr>
        <w:pStyle w:val="TextoNormal"/>
      </w:pPr>
      <w:r>
        <w:t>Aunque los demandantes de amparo, en apoyo de su pretensión, citan la STC 199/2004, de 15 de noviembre, para la Letrada de la Comunidad de Madrid su doctrina no es de aplicación al supuesto enjuiciado en la presente demanda de amparo, porque mientras que en la Sentencia del Tribunal Superior de Justicia de Madrid de 26 de diciembre de 2012 se aplica la normativa básica vigente que no deja dudas de que los beneficios concedidos a las familias numerosas surtirán efectos desde la fecha de presentación de la solicitud de reconocimiento o renovación del título oficial (</w:t>
      </w:r>
      <w:r w:rsidRPr="0085709A">
        <w:rPr>
          <w:i/>
        </w:rPr>
        <w:t>ex</w:t>
      </w:r>
      <w:r>
        <w:t xml:space="preserve"> art. 7 de la Ley 40/2003), la STC 199/2004 analiza un supuesto en que la norma de aplicación no contiene de modo expreso el requisito (de la inscripción registral), en que se fundamenta la vulneración del derecho a la igualdad. La desigualdad que se denuncia es exclusiva consecuencia de una determinada interpretación de la Ley por parte de la Administración.</w:t>
      </w:r>
    </w:p>
    <w:p w:rsidR="0085709A" w:rsidRDefault="0085709A" w:rsidP="0085709A">
      <w:pPr>
        <w:pStyle w:val="TextoNormal"/>
      </w:pPr>
    </w:p>
    <w:p w:rsidR="0085709A" w:rsidRDefault="0085709A" w:rsidP="0085709A">
      <w:pPr>
        <w:pStyle w:val="TextoNormal"/>
      </w:pPr>
      <w:r>
        <w:t>En definitiva, concluye la Letrada de la Comunidad de Madrid, procede la desestimación del recurso de amparo planteado, al no existir vulneración del derecho a la igualdad.</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evacuó el trámite de alegaciones conferido mediante escrito registrado en este Tribunal el día 28 de febrero de 2015, en el que instaba la inadmisión del recurso de amparo, o, subsidiariamente, su desestimación. En su escrito postula, en primer lugar, la inadmisión del recurso de amparo por incumplimiento del art. 50.1 LOTC, que exige que el demandante de amparo acredite no solo la posible infracción del derecho fundamental, sino también la transcendencia constitucional de la infracción alegada (STC 140/2013, FFJJ 3 y 4). Sin embargo, el demandante dedica un solo párrafo (pág. 8 de la demanda) a justificar la transcendencia constitucional del recurso.</w:t>
      </w:r>
    </w:p>
    <w:p w:rsidR="0085709A" w:rsidRDefault="0085709A" w:rsidP="0085709A">
      <w:pPr>
        <w:pStyle w:val="TextoNormal"/>
      </w:pPr>
    </w:p>
    <w:p w:rsidR="0085709A" w:rsidRDefault="0085709A" w:rsidP="0085709A">
      <w:pPr>
        <w:pStyle w:val="TextoNormal"/>
      </w:pPr>
      <w:r>
        <w:t>Para el Abogado del Estado, en el supuesto objeto de consideración no se debate la cuestión relativa a la determinación, delimitación y alcance del derecho fundamental a la igualdad en el tratamiento de las familias numerosas, sino que, con ocasión de su aplicación a una familia numerosa, el debate planteado versa sobre el diseño de un régimen tributario diferente a quien se encuentra en situaciones jurídicas diversas, cuestión que no presenta especial trascendencia constitucional, por haberse pronunciado el Tribunal Constitucional reiteradamente sobre la cuestión (por ejemplo, en STC 33/2006, FJ 3), lo que impide considerarlo como un supuesto que, en palabras de la STC 155/2009, entrañe “importancia para la interpretación de la Constitución, para su aplicación o para su general eficacia y para la determinación del contenido y alcance de los derechos fundamentales”.</w:t>
      </w:r>
    </w:p>
    <w:p w:rsidR="0085709A" w:rsidRDefault="0085709A" w:rsidP="0085709A">
      <w:pPr>
        <w:pStyle w:val="TextoNormal"/>
      </w:pPr>
    </w:p>
    <w:p w:rsidR="0085709A" w:rsidRDefault="0085709A" w:rsidP="0085709A">
      <w:pPr>
        <w:pStyle w:val="TextoNormal"/>
      </w:pPr>
      <w:r>
        <w:lastRenderedPageBreak/>
        <w:t>Ya con relación a la vulneración denunciada y tras concretar el contenido tanto del art. 4.3 de la Ley 5/2004, de 28 de diciembre, de medidas fiscales y administrativas de la Comunidad Autónoma de Madrid, como el del art. 5 de La Ley 40/2003, de 18 de noviembre, de familias numerosas, considera el Abogado del Estado que de la regulación del beneficio fiscal se deduce que su disfrute está indisolublemente vinculado a la correcta y debida acreditación de la condición de familia numerosa mediante la obtención del correspondiente título. A su juicio, con carácter general, el disfrute de los derechos, facultades, bonificaciones y ventajas que lleva aparejada la condición de familia numerosa se condiciona al cumplimiento de la carga de la obtención del correspondiente título de familia numerosa que acredite tal condición. Más concretamente, en el ámbito tributario, la carga deviene en obligación formal para la obtención de la bonificación tributaria, de manera que la debida acreditación de la condición de familia numerosa mediante el correspondiente título es un requisito o condición indispensable para el disfrute del beneficio, sin cuyo cumplimiento, no puede reconocerse y, por tanto, ejercitarse.</w:t>
      </w:r>
    </w:p>
    <w:p w:rsidR="0085709A" w:rsidRDefault="0085709A" w:rsidP="0085709A">
      <w:pPr>
        <w:pStyle w:val="TextoNormal"/>
      </w:pPr>
    </w:p>
    <w:p w:rsidR="0085709A" w:rsidRDefault="0085709A" w:rsidP="0085709A">
      <w:pPr>
        <w:pStyle w:val="TextoNormal"/>
      </w:pPr>
      <w:r>
        <w:t>Conforme a lo que antecede, para el Abogado del Estado ninguna discriminación ni desigualdad se observa en la resolución judicial impugnada, pues no nos encontramos ante situaciones iguales tratadas de un modo diferente, sino ante la exigencia de acreditar la condición de familia numerosa en el momento del devengo del impuesto mediante la presentación del título, acreditación que no se ha producido. De esta manera, quien cumple la obligación formal, obtiene el beneficio, y quien no la cumple, no puede disfrutarlo, dispensándose así un igual trato a situaciones iguales y un diferente trato a situaciones diversas.</w:t>
      </w:r>
    </w:p>
    <w:p w:rsidR="0085709A" w:rsidRDefault="0085709A" w:rsidP="0085709A">
      <w:pPr>
        <w:pStyle w:val="TextoNormal"/>
      </w:pPr>
    </w:p>
    <w:p w:rsidR="0085709A" w:rsidRDefault="0085709A" w:rsidP="0085709A">
      <w:pPr>
        <w:pStyle w:val="TextoNormal"/>
      </w:pPr>
      <w:r>
        <w:t>Puntualiza el Abogado del Estado que el término de comparación ofrecido por el demandante de amparo no es correcto, pues la condición de familia numerosa no se obtiene por el hecho de estar incluido en alguno de los supuestos legales, sino por la obtención del título con cuya presentación se obtiene el beneficio. A su juicio, la exigencia de acreditación de la condición de familia numerosa mediante la presentación del título está cargada de lógica, razonabilidad y proporcionalidad, pues si el ordenamiento jurídico acoge determinados derechos, beneficios, ventajas y facultades para las familias numerosas, es necesario que en el momento de su reconocimiento se reúna tal condición; condición, que por un elemental principio de seguridad jurídica, eficacia administrativa, justicia y buena administración, debe poder acreditarse de modo fehaciente, seguro y cierto mediante la presentación del título (que no es más que un documento expedido por la propia Administración en ejercicio de su potestad certificante) que acredite la condición de familia numerosa en el momento del reconocimiento del correspondiente derecho o beneficio.</w:t>
      </w:r>
    </w:p>
    <w:p w:rsidR="0085709A" w:rsidRDefault="0085709A" w:rsidP="0085709A">
      <w:pPr>
        <w:pStyle w:val="TextoNormal"/>
      </w:pPr>
    </w:p>
    <w:p w:rsidR="0085709A" w:rsidRDefault="0085709A" w:rsidP="0085709A">
      <w:pPr>
        <w:pStyle w:val="TextoNormal"/>
      </w:pPr>
      <w:r w:rsidRPr="0085709A">
        <w:rPr>
          <w:rStyle w:val="NumeroAFNegritaCaracter"/>
        </w:rPr>
        <w:t>10</w:t>
      </w:r>
      <w:r>
        <w:t>. El día 6 de marzo de 2015 presentó su escrito de alegaciones el Ministerio Fiscal solicitando la estimación del recurso por vulneración del derecho a la igualdad de trato (art. 14 CE). Tras relatar los antecedentes de hecho del presente recurso de amparo y una vez concretadas las razones en las que la demanda de amparo basa la vulneración del derecho fundamental invocado, subraya el Fiscal que en el presente caso no se discute si la familia de los recurrentes era o no numerosa, sino si, puesto al momento en el que se produjo el devengo del impuesto se carecía del correspondiente título acreditativo, ello es razón suficiente para privarles del beneficio fiscal. Recuerda el Fiscal a estos efectos que la interpretación de las normas debe realizarse conforme al criterio de la mayor protección a la familia, con independencia de aspectos que indudablemente tienen un carácter formal.</w:t>
      </w:r>
    </w:p>
    <w:p w:rsidR="0085709A" w:rsidRDefault="0085709A" w:rsidP="0085709A">
      <w:pPr>
        <w:pStyle w:val="TextoNormal"/>
      </w:pPr>
    </w:p>
    <w:p w:rsidR="0085709A" w:rsidRDefault="0085709A" w:rsidP="0085709A">
      <w:pPr>
        <w:pStyle w:val="TextoNormal"/>
      </w:pPr>
      <w:r>
        <w:lastRenderedPageBreak/>
        <w:t>A continuación pasa el Fiscal a precisar la doctrina de este Tribunal en relación con el principio de igualdad del art. 14 CE, conforme a la cual, el principio de igualdad no sólo exige que la diferencia de trato resulte objetivamente justificada y razonable, sino también que supere un juicio de proporcionalidad en sede constitucional sobre la relación existente entre la medida adoptada, el resultado producido y la finalidad pretendida. A su juicio, la aplicación de esta doctrina al presente caso revela que se ha producido la vulneración denunciada en la medida en que en las resoluciones judiciales cuestionadas se atiende a un criterio formalista, como es la existencia de reconocimiento administrativo no previsto en la norma legal de concesión del beneficio fiscal, para introducir una diferencia de trato que carece de base objetiva y razonable. La norma de concesión del beneficio fiscal —añade— va orientada al favorecimiento y protección de las familias numerosas, de modo que lo esencial es si al momento del devengo del impuesto se ostentaba la condición de familia numerosa en atención a los requisitos exigidos por el art. 2 de la Ley 40/2003, de 18 de noviembre, de protección a las familias numerosas y, más concretamente, el número de miembros integrantes de la misma.</w:t>
      </w:r>
    </w:p>
    <w:p w:rsidR="0085709A" w:rsidRDefault="0085709A" w:rsidP="0085709A">
      <w:pPr>
        <w:pStyle w:val="TextoNormal"/>
      </w:pPr>
    </w:p>
    <w:p w:rsidR="0085709A" w:rsidRDefault="0085709A" w:rsidP="0085709A">
      <w:pPr>
        <w:pStyle w:val="TextoNormal"/>
      </w:pPr>
      <w:r>
        <w:t>Para el Fiscal, la Ley 40/2003, de 18 de noviembre, de protección a las familias numerosas, guarda conexión con el art. 39 CE, subrayando en el art. 1.2 que “los beneficios establecidos al amparo de esta ley tienen como finalidad primordial contribuir a promover las condiciones para que la igualdad de los miembros de las familias numerosas sea real y efectiva en el acceso y disfrute de los bienes económicos, sociales y culturales”. Esta previsión normativa obliga, en consecuencia, a entender desproporcionado y carente de una base razonable, desde la perspectiva del principio y derecho a la igualdad (art. 14 CE), que no puedan disfrutar una reducción fiscal quienes ostentan realmente la condición de familia numerosa (por hallarse dentro de los supuestos del art. 2 de la referida Ley) al momento del devengo del impuesto, por el mero hecho formal de no haber solicitado a dicho tiempo su título acreditativo. La norma sobre la que se establece la aplicación diferenciada no ha exigido, en ningún momento, el reconocimiento de tal condición, sino simplemente que el inmueble vaya a constituir la vivienda de una familia numerosa.</w:t>
      </w:r>
    </w:p>
    <w:p w:rsidR="0085709A" w:rsidRDefault="0085709A" w:rsidP="0085709A">
      <w:pPr>
        <w:pStyle w:val="TextoNormal"/>
      </w:pPr>
    </w:p>
    <w:p w:rsidR="0085709A" w:rsidRDefault="0085709A" w:rsidP="0085709A">
      <w:pPr>
        <w:pStyle w:val="TextoNormal"/>
      </w:pPr>
      <w:r>
        <w:t>La dicción literal del precepto cuya aplicación fue cuestionada en el supuesto subyacente, continúa el Fiscal, es bien clara. El art. 4.1.3 de la Ley 5/2004, de 28 de diciembre, de medidas fiscales y administrativas de la Comunidad de Madrid, dispone que “[s]e aplicará el tipo impositivo reducido del 4 por 100 a la transmisión de un inmueble que vaya a constituir la vivienda habitual de una familia numerosa”, siempre que se cumplan simultáneamente los siguientes requisitos: a) que el sujeto pasivo sea titular de una familia numerosa; b) que el inmueble constituya la vivienda habitual de la familia numerosa de la que sea titular el sujeto pasivo; y c) que, en el supuesto de que la anterior vivienda habitual fuera propiedad de alguno de los titulares de la familia numerosa, ésta se venda en el plazo de dos años anteriores o posteriores a la adquisición de la nueva vivienda habitual. Y precisa ese mismo precepto a renglón seguido: “A los efectos de lo dispuesto en este apartado, tendrán la consideración de familias numerosas aquellas que defina como tal la Ley 40/2003, de 18 de noviembre, de Protección a las Familias Numerosas”.</w:t>
      </w:r>
    </w:p>
    <w:p w:rsidR="0085709A" w:rsidRDefault="0085709A" w:rsidP="0085709A">
      <w:pPr>
        <w:pStyle w:val="TextoNormal"/>
      </w:pPr>
    </w:p>
    <w:p w:rsidR="0085709A" w:rsidRDefault="0085709A" w:rsidP="0085709A">
      <w:pPr>
        <w:pStyle w:val="TextoNormal"/>
      </w:pPr>
      <w:r>
        <w:t xml:space="preserve">Conforme a lo que antecede, considera el Fiscal que el reenvío a la Ley 40/2003 es a los solos efectos de conocer qué ha de entenderse por familia numerosa. De esta manera, a las familias numerosas definidas en el art. 2 de la Ley 40/2003 debe anudarse la misma consecuencia jurídica: el disfrute del beneficio fiscal previsto en la normativa autonómica. El </w:t>
      </w:r>
      <w:r>
        <w:lastRenderedPageBreak/>
        <w:t xml:space="preserve">hecho de introducir una diferencia de trato entre quienes ostentaban la condición de familia numerosa con base en una extensión remisoria del párrafo </w:t>
      </w:r>
      <w:r w:rsidRPr="0085709A">
        <w:rPr>
          <w:i/>
        </w:rPr>
        <w:t>in fine</w:t>
      </w:r>
      <w:r>
        <w:t xml:space="preserve"> de la norma aplicable al precepto que regula el reconocimiento administrativo de tal condición, supone introducir una exigencia que carece de base razonable y conduce a resultados claramente desproporcionados desde la perspectiva de la orientación material de la norma aplicada. Por esta razón, se ha dotado a situaciones iguales de un tratamiento desigual no justificado y desproporcionado.</w:t>
      </w:r>
    </w:p>
    <w:p w:rsidR="0085709A" w:rsidRDefault="0085709A" w:rsidP="0085709A">
      <w:pPr>
        <w:pStyle w:val="TextoNormal"/>
      </w:pPr>
    </w:p>
    <w:p w:rsidR="0085709A" w:rsidRDefault="0085709A" w:rsidP="0085709A">
      <w:pPr>
        <w:pStyle w:val="TextoNormal"/>
      </w:pPr>
      <w:r>
        <w:t>En suma, al no existir una base objetiva y razonable que justifique el trato diferenciado que introducen las resoluciones judiciales impugnadas, hay que concluir que se ha producido la vulneración del principio de igualdad (art. 14 CE) denunciada por los recurrentes, razón por la cual, debe dictarse Sentencia por la que se otorgue el amparo solicitado, declarándose la vulneración del derecho de los recurrentes a la igualdad de trato (art. 14 CE) y acordándose la nulidad del Auto de 19 de abril de 2013 y de la Sentencia núm. 1010 de la Sala de lo Contencioso-Administrativo del Tribunal Superior de Justicia de Madrid, de fecha 26 de diciembre de 2012, resoluciones ambas recaídas en el procedimiento ordinario núm. 488-2008, con retroacción de las actuaciones al momento anterior a la referida sentencia, para que por el órgano judicial se dicte otra respetuosa con el derecho que se declara vulnerado.</w:t>
      </w:r>
    </w:p>
    <w:p w:rsidR="0085709A" w:rsidRDefault="0085709A" w:rsidP="0085709A">
      <w:pPr>
        <w:pStyle w:val="TextoNormal"/>
      </w:pPr>
    </w:p>
    <w:p w:rsidR="0085709A" w:rsidRDefault="0085709A" w:rsidP="0085709A">
      <w:pPr>
        <w:pStyle w:val="TextoNormal"/>
      </w:pPr>
      <w:r w:rsidRPr="0085709A">
        <w:rPr>
          <w:rStyle w:val="NumeroAFNegritaCaracter"/>
        </w:rPr>
        <w:t>11</w:t>
      </w:r>
      <w:r>
        <w:t>. . Por providencia de 23 de abril de 2015 se señaló para deliberación y votación de la presente Sentencia el día 27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Objeto y óbices de procedibilidad.- Como ha quedado expuesto en los antecedentes, el objeto del presente recurso de amparo lo constituye tanto el Auto de la Sección Novena de la Sala de lo Contencioso-Administrativo del Tribunal Superior de Justicia de Madrid con fecha de 19 de abril de 2013, por el que se inadmite el incidente de nulidad de actuaciones promovido por los recurrentes, así como su Sentencia núm. 1010/2012, de fecha 26 de diciembre de 2012, estimatoria del recurso núm. 488-2008 interpuesto por la Comunidad de Madrid contra la resolución del Tribunal Económico-Administrativo Regional de Madrid de fecha 27 de febrero de 2008, estimatoria de la reclamación núm. 28-00472-2007 presentada contra la resolución desestimatoria de la devolución de ingresos indebidos en materia de impuesto sobre transmisiones patrimoniales y actos jurídicos documentados por posible vulneración del derecho a la igualdad del art. 14 CE, en conexión con el principio de protección a la familia del art. 39.1 CE. Las resoluciones judiciales impugnadas, aun reconociendo que los recurrentes constituyen una familia numerosa, sin embargo, les niega el derecho a aplicarse en la adquisición de la que va ser su vivienda habitual el tipo reducido del 4 por 100 por carecer en el momento del devengo (fecha de la adquisición) del título acreditativo de tal condición.</w:t>
      </w:r>
    </w:p>
    <w:p w:rsidR="0085709A" w:rsidRDefault="0085709A" w:rsidP="0085709A">
      <w:pPr>
        <w:pStyle w:val="TextoNormal"/>
      </w:pPr>
    </w:p>
    <w:p w:rsidR="0085709A" w:rsidRDefault="0085709A" w:rsidP="0085709A">
      <w:pPr>
        <w:pStyle w:val="TextoNormal"/>
      </w:pPr>
      <w:r>
        <w:t xml:space="preserve">Antes de entrar a analizar la vulneración denunciada en el presente proceso de amparo, es necesario dar respuesta a los óbices de procedibilidad opuestos tanto por el Abogado del Estado como por la Letrada de la Comunidad de Madrid, para lo cual, lo primero que debemos hacer es precisar que no estamos en presencia de un recurso de amparo interpuesto por la vía del art. 43 de la Ley Orgánica del Tribunal Constitucional (LOTC), en el que la lesión </w:t>
      </w:r>
      <w:r>
        <w:lastRenderedPageBreak/>
        <w:t>del derecho fundamental se anuda al acto o resolución recaída en el procedimiento administrativo, como defiende la Letrada de la Comunidad de Madrid, sino ante un recurso de amparo formalizado por el cauce del art. 44 LOTC, en el que la lesión se imputa a las resoluciones judiciales objeto del presente proceso constitucional. Hay que tener presente que los recurrentes habían obtenido el reconocimiento de su pretensión de aplicación del beneficio fiscal controvertido en sede administrativa, concretamente, por la resolución del Tribunal Económico-Administrativo Regional de Madrid con fecha de 27 de febrero de 2008 (dictada en la reclamación económico-administrativa núm. 28-00472-2007), siendo la Sentencia núm. 1010 de la Sección Novena de la Sala de lo Contencioso-Administrativo del Tribunal Superior de Justicia de Madrid con fecha de 26 de diciembre de 2012, la que, con ocasión del recurso núm. 488-2008 interpuesto por la Comunidad de Madrid, revoca la resolución administrativa impugnada y les niega el derecho a su aplicación. No cabe duda, pues, que la eventual lesión del derecho a la igualdad habría venido provocada única y exclusivamente por la interpretación judicial realizada, razón por la cual, los recurrentes, como no podía ser de otra manera, imputan a esa resolución judicial la lesión de su derecho, solicitando la anulación tanto de la Sentencia de fecha 26 de diciembre de 2012 como la del Auto de 19 de abril de 2013. Estamos, en consecuencia, ante la eventual violación de un derecho fundamental con un origen “inmediato y directo en un acto y omisión de un órgano judicial” (art. 44.1 LOTC).</w:t>
      </w:r>
    </w:p>
    <w:p w:rsidR="0085709A" w:rsidRDefault="0085709A" w:rsidP="0085709A">
      <w:pPr>
        <w:pStyle w:val="TextoNormal"/>
      </w:pPr>
    </w:p>
    <w:p w:rsidR="0085709A" w:rsidRDefault="0085709A" w:rsidP="0085709A">
      <w:pPr>
        <w:pStyle w:val="TextoNormal"/>
      </w:pPr>
      <w:r>
        <w:t>a) Extemporaneidad (recurso de amparo del art. 43 LOTC): Para la Letrada de la Comunidad de Madrid la demanda podría haberse presentado de forma extemporánea [art. 50.1 a) LOTC] pues, pese a que se dirige formalmente contra la Sentencia y Auto del Tribunal Superior de Justicia de Madrid, respectivamente, de 26 de diciembre de 2012 y 19 de abril de 2013, sin embargo, el recurso ha de entenderse formulado por el cauce del art. 43 LOTC, en la medida que la infracción constitucional que se denuncia se imputa exclusivamente a la resolución recaída en el procedimiento administrativo, y no así a las resoluciones judiciales impugnadas, lo que podría haber implicado su presentación más allá del plazo de los 20 días previsto en el art. 43.2 LOTC.</w:t>
      </w:r>
    </w:p>
    <w:p w:rsidR="0085709A" w:rsidRDefault="0085709A" w:rsidP="0085709A">
      <w:pPr>
        <w:pStyle w:val="TextoNormal"/>
      </w:pPr>
    </w:p>
    <w:p w:rsidR="0085709A" w:rsidRDefault="0085709A" w:rsidP="0085709A">
      <w:pPr>
        <w:pStyle w:val="TextoNormal"/>
      </w:pPr>
      <w:r>
        <w:t>Puesto que ya hemos señalado que estamos en presencia de un recurso de amparo articulado por la vía el art. 44 LOTC, el plazo para interponerlo “será de 30 días, a partir de la notificación de la resolución recaída en el proceso judicial” (art. 44.2 LOTC). Pues bien, el Auto de la Sección Novena de la Sala de lo Contencioso-Administrativo del Tribunal Superior de Justicia de Madrid fue notificado a la representación procesal de los recurrentes, según consta en la propia resolución judicial, el día 29 de abril de 2013, y el recurso de amparo se presentó en el Decanato de Madrid de los Juzgados de Primera Instancia y de lo Mercantil el día 27 de mayo siguiente, recibiéndose en el Registro General de este Tribunal Constitucional el día 31 de mayo, esto es, dentro del plazo de los 30 días previsto en el art. 44.2 LOTC, que se extendía hasta el día 14 de junio. Pero es que incluso tomando el plazo de 20 días previsto en el art. 43.2 LOTC, el recurso se habría presentado en plazo, al finalizar éste el día 31 de mayo. Debe rechazarse, pues, la concurrencia de esta objeción.</w:t>
      </w:r>
    </w:p>
    <w:p w:rsidR="0085709A" w:rsidRDefault="0085709A" w:rsidP="0085709A">
      <w:pPr>
        <w:pStyle w:val="TextoNormal"/>
      </w:pPr>
    </w:p>
    <w:p w:rsidR="0085709A" w:rsidRDefault="0085709A" w:rsidP="0085709A">
      <w:pPr>
        <w:pStyle w:val="TextoNormal"/>
      </w:pPr>
      <w:r>
        <w:t>b) Falta de invocación previa del derecho fundamental vulnerado: Considera también la Letrada de la Comunidad de Madrid que el derecho fundamental que se dice lesionado no se invocó formalmente, tan pronto como fue posible, ni ante el Tribunal Económico-Admi</w:t>
      </w:r>
      <w:r>
        <w:lastRenderedPageBreak/>
        <w:t>nistrativo Regional, ni ante el Tribunal Superior de Justicia de Madrid, sino única y exclusivamente con ocasión del incidente de nulidad de actuaciones promovido con la Sentencia dictada.</w:t>
      </w:r>
    </w:p>
    <w:p w:rsidR="0085709A" w:rsidRDefault="0085709A" w:rsidP="0085709A">
      <w:pPr>
        <w:pStyle w:val="TextoNormal"/>
      </w:pPr>
    </w:p>
    <w:p w:rsidR="0085709A" w:rsidRDefault="0085709A" w:rsidP="0085709A">
      <w:pPr>
        <w:pStyle w:val="TextoNormal"/>
      </w:pPr>
      <w:r>
        <w:t>Uno de los requisitos que exige el art. 44 LOTC es “[q]ue se haya denunciado formalmente en el proceso, si hubo oportunidad, la vulneración del derecho constitucional, tan pronto como, una vez conocida, hubiera lugar para ello” [apartado 1 c)]. La razón de esta invocación previa, como tantas veces hemos dicho,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[entre las últimas, SSTC 118/2014, de 8 de julio, FJ 2 a); 128/2014, de 21 de julio, FJ 2 a), y 175/2014, de 3 de noviembre, FJ 2)].</w:t>
      </w:r>
    </w:p>
    <w:p w:rsidR="0085709A" w:rsidRDefault="0085709A" w:rsidP="0085709A">
      <w:pPr>
        <w:pStyle w:val="TextoNormal"/>
      </w:pPr>
    </w:p>
    <w:p w:rsidR="0085709A" w:rsidRDefault="0085709A" w:rsidP="0085709A">
      <w:pPr>
        <w:pStyle w:val="TextoNormal"/>
      </w:pPr>
      <w:r>
        <w:t xml:space="preserve">Como se ha dicho con anterioridad, puesto que la resolución del Tribunal Económico-Administrativo Regional de Madrid con fecha de 27 de febrero de 2008 reconocía el derecho de los recurrentes al disfrute del beneficio fiscal controvertido, siendo la Sentencia núm. 1010 de la Sección Novena de la Sala de lo Contencioso-Administrativo del Tribunal Superior de Justicia de Madrid núm. 1010 con fecha de 26 de diciembre de 2012, la que se lo niega, la eventual lesión del derecho a la igualdad habría venido provocada única y exclusivamente por la interpretación judicial y, por tanto, el primer momento hábil para invocar la lesión del derecho sería, como con corrección han hecho los recurrentes, a través de la promoción del incidente de nulidad de actuaciones </w:t>
      </w:r>
      <w:r w:rsidRPr="0085709A">
        <w:rPr>
          <w:i/>
        </w:rPr>
        <w:t>ex</w:t>
      </w:r>
      <w:r>
        <w:t xml:space="preserve"> art. 241 de la Ley Orgánica del Poder Judicial (LOPJ). Se ha cumplido, entonces, con la carga de denunciar en el proceso la lesión del derecho fundamental, “tan pronto como, una vez conocida, hubo lugar para ello” [art. 44.1 c) LOTC], debiendo entenderse satisfecha la finalidad a la que obedece el mencionado requisito procesal, a saber, la de dar la ocasión al órgano judicial de pronunciarse sobre la misma para preservar así la subsidiariedad del esta jurisdicción constitucional.</w:t>
      </w:r>
    </w:p>
    <w:p w:rsidR="0085709A" w:rsidRDefault="0085709A" w:rsidP="0085709A">
      <w:pPr>
        <w:pStyle w:val="TextoNormal"/>
      </w:pPr>
    </w:p>
    <w:p w:rsidR="0085709A" w:rsidRDefault="0085709A" w:rsidP="0085709A">
      <w:pPr>
        <w:pStyle w:val="TextoNormal"/>
      </w:pPr>
      <w:r>
        <w:t>c) Improcedencia del incidente de nulidad de actuaciones: A juicio de la Letrada de la Comunidad de Madrid el incidente de nulidad de actuaciones promovido por los recurrentes en amparo resultaba improcedente para agotar la vía judicial previa pues la supuesta vulneración del derecho fundamental podría haber sido alegada con anterioridad a la sentencia cuya nulidad se pretendía en el citado incidente.</w:t>
      </w:r>
    </w:p>
    <w:p w:rsidR="0085709A" w:rsidRDefault="0085709A" w:rsidP="0085709A">
      <w:pPr>
        <w:pStyle w:val="TextoNormal"/>
      </w:pPr>
    </w:p>
    <w:p w:rsidR="0085709A" w:rsidRDefault="0085709A" w:rsidP="0085709A">
      <w:pPr>
        <w:pStyle w:val="TextoNormal"/>
      </w:pPr>
      <w:r>
        <w:t xml:space="preserve">Precisamente un caso como el que nos ocupa representa uno de los supuestos en los que el incidente de nulidad de actuaciones se convierte en un instrumento imprescindible para un correcto agotamiento de “todos los medios de impugnación previstos por las normas procesales para el caso concreto dentro de la vía judicial” [art. 44.1 a) LOTC], siempre que la lesión del derecho fundamental “no haya podido denunciarse antes de recaer resolución que ponga fin al proceso” (art. 241.1 LOPJ). En el presente caso, la vulneración del derecho fundamental cuya protección se impetra en amparo por la parte recurrente, se imputa a la última resolución que cierra la vía judicial y no antes, razón por la cual, la formulación del incidente de nulidad de actuaciones se convierte en una condición necesaria “para poder considerar cumplido el requisito del agotamiento de la vía judicial previa” [ATC 200/2010, de 21 de diciembre, FJ 2 c)]. En consecuencia, puesto que basta para estimar cumplido el mencionado requisito con “comprobar que los órganos judiciales han tenido la oportunidad </w:t>
      </w:r>
      <w:r>
        <w:lastRenderedPageBreak/>
        <w:t>de pronunciarse sobre los derechos fundamentales luego invocados en vía de amparo constitucional” [SSTC 216/2013, de 19 de diciembre, FJ 2 d), y 18/2015, de 16 de febrero, FJ 2], no cabe sino rechazar también esta objeción habida cuenta que la Sección Novena de la Sala de lo Contencioso-Administrativo del Tribunal Superior de Justicia de Madrid tuvo la oportunidad, a través de la formulación del incidente de nulidad por los recurrentes, de examinar la lesión del derecho fundamental alegada y pronunciarse sobre la misma, aun cuando luego en su Auto con fecha de 19 de abril de 2013 acordase finalmente inadmitirlo a trámite. No hay que olvidar que el citado remedio procesal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[STC 204/2014, de 15 de diciembre, FJ 2 a)].</w:t>
      </w:r>
    </w:p>
    <w:p w:rsidR="0085709A" w:rsidRDefault="0085709A" w:rsidP="0085709A">
      <w:pPr>
        <w:pStyle w:val="TextoNormal"/>
      </w:pPr>
    </w:p>
    <w:p w:rsidR="0085709A" w:rsidRDefault="0085709A" w:rsidP="0085709A">
      <w:pPr>
        <w:pStyle w:val="TextoNormal"/>
      </w:pPr>
      <w:r>
        <w:t>d) Insuficiente justificación de la especial trascendencia constitucional: Tanto el Abogado del Estado como la Letrada de la Comunidad de Madrid entienden que no se ha cumplido con la carga de justificar la especial trascendencia constitucional [art. 50.1 a) LOTC, en relación con art. 49.1 LOTC], pues la demanda de amparo no contiene una justificación suficiente de su especial trascendencia constitucional.</w:t>
      </w:r>
    </w:p>
    <w:p w:rsidR="0085709A" w:rsidRDefault="0085709A" w:rsidP="0085709A">
      <w:pPr>
        <w:pStyle w:val="TextoNormal"/>
      </w:pPr>
    </w:p>
    <w:p w:rsidR="0085709A" w:rsidRDefault="0085709A" w:rsidP="0085709A">
      <w:pPr>
        <w:pStyle w:val="TextoNormal"/>
      </w:pPr>
      <w:r>
        <w:t xml:space="preserve">Debe señalarse que la cuestión sobre si el contenido del recurso justifica una decisión sobre el fondo en razón de su especial trascendencia constitucional constituye un requisito de admisibilidad de la demanda de amparo que es objeto de valoración en el trámite de admisión contemplado en el art. 50.1 LOTC (SSTC 192/2012, de 29 de octubre, FJ 2, y 21/2015, de 16 de febrero, FJ 2), de conformidad con los criterios establecidos en la STC 155/2009, de 25 de junio. Eso sí, ese deber de justificar de modo suficiente la especial trascendencia constitucional del recurso “tiene un alcance instrumental, en cuanto se dirige a proporcionar al Tribunal elementos de juicio para decidir sobre la admisibilidad de la demanda”, razón por la cual “si </w:t>
      </w:r>
      <w:r w:rsidRPr="0085709A">
        <w:rPr>
          <w:i/>
        </w:rPr>
        <w:t>ab initio</w:t>
      </w:r>
      <w:r>
        <w:t xml:space="preserve"> el Tribunal se consideró suficientemente ilustrado, no cabe sino hacer un uso prudente de la facultad de inadmitir posteriormente la demanda por meros defectos en el modo de redactarla” (SSTC 17/2011, de 28 de febrero, FJ 2, y 212/2013, de 16 de diciembre, FJ 2), de manera que sólo se modificará al dictar sentencia la apreciación inicial al admitir la demanda cuando existan razones que así lo exijan [SSTC 96/2012, de 7 de mayo, FJ 4; 183/2011, de 21 de noviembre, FJ 2; 27/2013, de 11 de febrero, FJ 2, y 127/2013, de 16 de diciembre, FJ 2 a)].</w:t>
      </w:r>
    </w:p>
    <w:p w:rsidR="0085709A" w:rsidRDefault="0085709A" w:rsidP="0085709A">
      <w:pPr>
        <w:pStyle w:val="TextoNormal"/>
      </w:pPr>
    </w:p>
    <w:p w:rsidR="0085709A" w:rsidRDefault="0085709A" w:rsidP="0085709A">
      <w:pPr>
        <w:pStyle w:val="TextoNormal"/>
      </w:pPr>
      <w:r>
        <w:t xml:space="preserve">No hay que olvidar que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(SSTC 183/2011, de 21 de noviembre, FJ 2; y 212/2013, de 18 de diciembre, FJ 2). Y lo hace </w:t>
      </w:r>
      <w:r w:rsidRPr="0085709A">
        <w:rPr>
          <w:i/>
        </w:rPr>
        <w:t>ad casum</w:t>
      </w:r>
      <w:r>
        <w:t xml:space="preserve"> (STC 212/2013, de 16 de diciembre, FJ 2), teniendo “un amplio margen decisorio para estimar cuándo el contenido de un recurso de amparo justifica una decisión sobre el fondo en razón de su especial trascendencia constitucional” [SSTC 89/2011, de 6 de junio, FJ 2 c); y 107/2012, de 21 de mayo, FJ 2], debido al “carácter notablemente abierto e indeterminado, tanto de la </w:t>
      </w:r>
      <w:r>
        <w:lastRenderedPageBreak/>
        <w:t>noción de ‘especial trascendencia constitucional’, como de los criterios legalmente establecidos para su apreciación” [SSTC 89/2011, de 6 de junio, FJ 2 c), y 127/2013, de 3 de junio, FJ 2 a)].</w:t>
      </w:r>
    </w:p>
    <w:p w:rsidR="0085709A" w:rsidRDefault="0085709A" w:rsidP="0085709A">
      <w:pPr>
        <w:pStyle w:val="TextoNormal"/>
      </w:pPr>
    </w:p>
    <w:p w:rsidR="0085709A" w:rsidRDefault="0085709A" w:rsidP="0085709A">
      <w:pPr>
        <w:pStyle w:val="TextoNormal"/>
      </w:pPr>
      <w:r>
        <w:t>Una vez hechas las precisiones anteriores y con respecto al cumplimiento de la carga de los demandantes de realizar la indicada justificación, debemos señalar que si bien es cierto que no se satisface “con una “simple o abstracta mención” de la especial trascendencia constitucional, ‘huérfana de la más mínima argumentación’” [SSTC 176/2012, de 15 de octubre, FJ 3; 178/2012, de 15 de octubre, FJ 2 b), y 2/2013, de 14 de enero, FJ 3], también lo es que los recurrentes hacen el mínimo esfuerzo argumental exigible para disociar los argumentos dirigidos a evidenciar la existencia de la lesión del derecho fundamental y los razonamientos específicamente dirigidos a justificar que el recurso presenta especial trascendencia constitucional (SSTC 1/2015, de 19 de enero, FJ 2, y 23/2015, de 16 de febrero, FJ 2), cumpliendo así con el requisito derivado del art. 49.1 LOTC. En efecto, los demandantes entienden que, en el presente caso, la importancia para la interpretación, aplicación y general eficacia de la Constitución se halla en que no sólo está en juego el derecho a un trato igual y no discriminatorio a las familias numerosas, sino también la incidencia negativa que la interpretación judicial cuestionada tiene en el principio de protección social, económica y jurídica de la familia que preconiza el art. 39 de la Constitución, principio que debe inspirar la legislación positiva, la práctica judicial y la actuación de los poderes públicos (art. 53.3 CE).</w:t>
      </w:r>
    </w:p>
    <w:p w:rsidR="0085709A" w:rsidRDefault="0085709A" w:rsidP="0085709A">
      <w:pPr>
        <w:pStyle w:val="TextoNormal"/>
      </w:pPr>
    </w:p>
    <w:p w:rsidR="0085709A" w:rsidRDefault="0085709A" w:rsidP="0085709A">
      <w:pPr>
        <w:pStyle w:val="TextoNormal"/>
      </w:pPr>
      <w:r>
        <w:t xml:space="preserve">Conforme a lo que antecede, si en un estadio anterior del presente procedimiento, este Tribunal consideró acreditada la especial trascendencia del recurso de amparo sometido a enjuiciamiento y, por ello, se acordó su admisión, el criterio entonces seguido debe ahora mantenerse inalterado por las singularidades que reviste el presente caso. pues aunque la relación genérica entre los beneficios fiscales y las familias ha sido tratada en alguna ocasión por este Tribunal (por ejemplo, en la STC 19/2012, de 15 de febrero, FJ 5), no ha ocurrido así respecto de los que son de aplicación a las familias que además tienen la condición de numerosas. Por tanto, en orden a explicitar la aplicación de la especial trascendencia constitucional “en los asuntos declarados admisibles con el fin de garantizar una buena administración de justicia” (Sentencia de la Sección Tercera del Tribunal Europeo de Derechos Humanos de 20 de enero de 2015, asunto </w:t>
      </w:r>
      <w:r w:rsidRPr="0085709A">
        <w:rPr>
          <w:i/>
        </w:rPr>
        <w:t>Arribas Antón contra España</w:t>
      </w:r>
      <w:r>
        <w:t>, §37), con el objeto de hacer así “recognoscibles los criterios de aplicación empleados al respecto” (STC 9/2015, de 2 de febrero, FJ 3), debe señalarse que el contenido del presente recurso de amparo plantea un problema o una faceta de un derecho fundamental susceptible de amparo sobre el que no hay doctrina del Tribunal Constitucional (STC 155/2009, de 25 de junio, FJ 2).</w:t>
      </w:r>
    </w:p>
    <w:p w:rsidR="0085709A" w:rsidRDefault="0085709A" w:rsidP="0085709A">
      <w:pPr>
        <w:pStyle w:val="TextoNormal"/>
      </w:pPr>
    </w:p>
    <w:p w:rsidR="0085709A" w:rsidRDefault="0085709A" w:rsidP="0085709A">
      <w:pPr>
        <w:pStyle w:val="TextoNormal"/>
      </w:pPr>
      <w:r>
        <w:t>No existiendo, entonces, razones para alterar la decisión adoptada al momento de la admisión a trámite de la presente demanda de amparo, debe rechazarse también este último óbice de procedibilidad.</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Vulneración denunciada y marco normativo legal aplicable. Una vez resueltos los óbices de procedibilidad alegados ya estamos en disposición de analizar la vulneración denunciada. Como ha quedado expuesto en los antecedentes, la cuestión sometida a la consideración de este Tribunal es, sencillamente, si la interpretación efectuada por la Sección Novena de la Sala de lo Contencioso-Administrativo del Tribunal Superior de Justicia de Madrid por la que se niega la aplicación en el impuesto sobre transmisiones patrimoniales del tipo reducido previsto para las familias numerosas (del 4 por 100), vulnera el principio </w:t>
      </w:r>
      <w:r>
        <w:lastRenderedPageBreak/>
        <w:t>de igualdad (art. 14 CE) en relación con el principio de protección a la familia (art. 39 CE), pues aun teniendo los recurrentes la condición de familia numerosa al momento del devengo del tributo (padres con niños menores), carecían del correspondiente título acreditativo por no haberlo solicitado. Considera la Letrada de la Comunidad de Madrid que no se ha producido la lesión denunciada pues los beneficios concedidos a las familias numerosas sólo surten efectos desde la fecha de presentación de la solicitud de reconocimiento del título oficial. De la misma opinión es el Abogado del Estado para quien la condición de familia numerosa no se obtiene por el hecho de estar incluido en alguno de los supuestos legales, sino por la obtención del título con cuya presentación se obtiene el beneficio. Sin embargo, a juicio del Fiscal, sí se ha producido la vulneración denunciada pues se ha introducido una diferencia de trato entre quienes ostentaban la condición de familia numerosa mediante la introducción de una exigencia (el reconocimiento administrativo de tal condición) que carece de una base razonable y conduce a resultados claramente desproporcionados.</w:t>
      </w:r>
    </w:p>
    <w:p w:rsidR="0085709A" w:rsidRDefault="0085709A" w:rsidP="0085709A">
      <w:pPr>
        <w:pStyle w:val="TextoNormal"/>
      </w:pPr>
    </w:p>
    <w:p w:rsidR="0085709A" w:rsidRDefault="0085709A" w:rsidP="0085709A">
      <w:pPr>
        <w:pStyle w:val="TextoNormal"/>
      </w:pPr>
      <w:r>
        <w:t>Antes de entrar a dar respuesta a la cuestión planteada es necesario delimitar brevemente el marco normativo en el que sitúa la vulneración denunciada. Al tal fin es conveniente subrayar que, desde un plano general, la Ley 40/2003, de 18 de noviembre, de protección a las familias numerosas, con relación al “concepto de familia numerosa” señala, con carácter general, que “se entiende por familia numerosa la integrada por uno o dos ascendientes con tres o más hijos, sean o no comunes” (art. 2.1), acreditándose tal condición “mediante el título oficial establecido al efecto, que será otorgado cuando concurran los requisitos establecidos en esta ley, a petición de cualquiera de los ascendientes, tutor, acogedor, guardador, u otro miembro de la unidad familiar con capacidad legal” (art. 5.1). Es competencia de la Comunidad Autónoma de residencia del solicitante “el reconocimiento de la condición de familia numerosa, así como para la expedición y renovación del título que acredita dicha condición y categoría” (art. 5.2). Eso sí, “[l]os beneficios concedidos a las familias numerosas surtirán efectos desde la fecha de la presentación de la solicitud de reconocimiento o renovación del título oficial” (art. 7.1).</w:t>
      </w:r>
    </w:p>
    <w:p w:rsidR="0085709A" w:rsidRDefault="0085709A" w:rsidP="0085709A">
      <w:pPr>
        <w:pStyle w:val="TextoNormal"/>
      </w:pPr>
    </w:p>
    <w:p w:rsidR="0085709A" w:rsidRDefault="0085709A" w:rsidP="0085709A">
      <w:pPr>
        <w:pStyle w:val="TextoNormal"/>
      </w:pPr>
      <w:r>
        <w:t>Por otra parte, con relación a la normativa de la Comunidad de Madrid, es preciso recodar que, al momento de producirse los hechos que han dado lugar al presente recurso de amparo, el impuesto sobre transmisiones patrimoniales y actos jurídicos documentados era un impuesto estatal cedido a las Comunidades [arts. 11 c) de la Ley Orgánica 8/1980, de 22 de septiembre, de financiación de las Comunidades Autónomas; y 17.1 d) de la entonces vigente Ley 21/2001, de 27 de diciembre, por la que se regulan las medidas fiscales y administrativas del nuevo sistema de financiación de las Comunidades Autónomas de régimen común y Ciudades con Estatuto de Autonomías en el que se atribuía a las Comunidades Autónomas la posibilidad de establecer los tipos de gravamen, en relación con la modalidad de “transmisiones patrimoniales onerosas”, en la transmisión de bienes inmuebles (art. 41.1 a) de la Ley 21/2001)].</w:t>
      </w:r>
    </w:p>
    <w:p w:rsidR="0085709A" w:rsidRDefault="0085709A" w:rsidP="0085709A">
      <w:pPr>
        <w:pStyle w:val="TextoNormal"/>
      </w:pPr>
    </w:p>
    <w:p w:rsidR="0085709A" w:rsidRDefault="0085709A" w:rsidP="0085709A">
      <w:pPr>
        <w:pStyle w:val="TextoNormal"/>
      </w:pPr>
      <w:r>
        <w:t xml:space="preserve">En el ejercicio de esa competencia, la Comunidad de Madrid fijó el tipo de gravamen de la modalidad de “transmisiones patrimoniales onerosas”, con carácter general y para la transmisión de bienes inmuebles, en el 7 por 100 (art. 4.1.1 de la entonces vigente Ley de la Comunidad de Madrid 5/2004, de 28 de diciembre, de medidas fiscales y administrativas), y con carácter específico, para “la transmisión de un inmueble que vaya a constituir la vivienda habitual de una familia numerosa”, en el 4 por 100, siempre y cuando se cumpliesen simultáneamente, entre otros, los dos requisitos siguientes: “[q]ue el sujeto pasivo sea titular </w:t>
      </w:r>
      <w:r>
        <w:lastRenderedPageBreak/>
        <w:t>de una familia numerosa” y “[q]ue el inmueble constituya la vivienda habitual de la familia numerosa de la que fuese titular el sujeto pasivo”. Y, a estos efectos, se añade, “tendrán la consideración de familias numerosas aquellas que defina como tal la Ley 40/2003, de 18 de noviembre, de Protección a las Familias Numerosas” (art. 4.1.3 de la Ley de la Comunidad de Madrid 5/2004). Esta misma redacción se contuvo en el art. 4.1.3 de las Leyes 7/2005, de 23 de diciembre, de medidas fiscales y administrativas; 4/2006, de 22 de diciembre, de medidas fiscales y administrativas, y 7/2007, de 21 de diciembre, de medidas fiscales y administrativas.</w:t>
      </w:r>
    </w:p>
    <w:p w:rsidR="0085709A" w:rsidRDefault="0085709A" w:rsidP="0085709A">
      <w:pPr>
        <w:pStyle w:val="TextoNormal"/>
      </w:pPr>
    </w:p>
    <w:p w:rsidR="0085709A" w:rsidRDefault="0085709A" w:rsidP="0085709A">
      <w:pPr>
        <w:pStyle w:val="TextoNormal"/>
      </w:pPr>
      <w:r>
        <w:t>Posteriormente, la Ley 3/2008, de 29 de diciembre, de medidas fiscales y administrativas de la Comunidad de Madrid, con relación a los tipos de gravamen en la modalidad de transmisiones patrimoniales onerosas insiste en que “el concepto de familia numerosa es el establecido por la Ley 40/2003, de 18 de noviembre, de Protección a las Familias Numerosas”, pero esta vez precisando a renglón seguido que “[l]a acreditación de la condición legal de familia numerosa se realizará mediante la presentación del título de familia numerosa, libro de familia u otro documento que pruebe que dicha condición ya concurría en la fecha del devengo” (art. 4.2). Esta disposición se reproduciría luego en el art. 4 de la Ley 10/2009, de 23 de diciembre, de medidas fiscales y administrativas de la Comunidad de Madrid, para pasar a ser finalmente el art. 29 (tipo de gravamen aplicable a la adquisición de vivienda habitual por familias numerosas) del Decreto Legislativo del Gobierno de Madrid 1/2010, de 21 de octubre, por el que se aprueba el texto refundido de las disposiciones legales de la Comunidad de Madrid en materia de tributos cedidos por 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Igualdad ante la ley tributaria y protección de la familia. Como se dijo anteriormente, a juicio de los recurrentes el precepto cuestionado genera una diferencia de trato entre titulares de familias que tienen la condición de numerosas por encajar en los supuestos legales, por el sólo hecho de poseer o no el título administrativo que reconoce esa condición, lo que resulta incompatible con el art. 14 CE, en conexión con el art 39.1 CE.</w:t>
      </w:r>
    </w:p>
    <w:p w:rsidR="0085709A" w:rsidRDefault="0085709A" w:rsidP="0085709A">
      <w:pPr>
        <w:pStyle w:val="TextoNormal"/>
      </w:pPr>
    </w:p>
    <w:p w:rsidR="0085709A" w:rsidRDefault="0085709A" w:rsidP="0085709A">
      <w:pPr>
        <w:pStyle w:val="TextoNormal"/>
      </w:pPr>
      <w:r>
        <w:t>a) Igualdad ante la ley tributaria (arts. 14 y 31.1 CE): Los recurrentes plantean la vulneración por la interpretación judicial cuestionada del principio de igualdad “en la ley” o “ante la ley”, principio que, como venimos señalando,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295/2006, de 11 de octubre, FJ 5, y 19/2012, de 15 de febrero, FJ 5).</w:t>
      </w:r>
    </w:p>
    <w:p w:rsidR="0085709A" w:rsidRDefault="0085709A" w:rsidP="0085709A">
      <w:pPr>
        <w:pStyle w:val="TextoNormal"/>
      </w:pPr>
    </w:p>
    <w:p w:rsidR="0085709A" w:rsidRDefault="0085709A" w:rsidP="0085709A">
      <w:pPr>
        <w:pStyle w:val="TextoNormal"/>
      </w:pPr>
      <w:r>
        <w:t xml:space="preserve">Pero aún debemos precisar más. Puesto que la eventual vulneración se articula desde el punto de vista del deber de contribuir, al centrarse en la atribución de un diferente tratamiento fiscal en el impuesto sobre transmisiones patrimoniales y actos jurídicos documentados a las familias numerosas que adquieren su vivienda habitual, esta diferencia de trato debe situarse también en el ámbito del art. 31.1 CE, precepto que, como venimos afirmando, </w:t>
      </w:r>
      <w:r>
        <w:lastRenderedPageBreak/>
        <w:t>conecta de manera inescindible la igualdad con los principios de generalidad, capacidad, justicia y progresividad, que se enuncian en dicho precepto constitucional citado (entre muchas, SSTC 255/2004, de 23 de diciembre, FJ 4; 10/2005, de 20 de enero, FJ 5; 57/2005, de 14 de marzo, FJ 3; 33/2006, de 13 de febrero, FJ 3; 54/2006, de 27 de febrero, FJ 7, y 295/2006, de 11 de octubre, FJ 5).</w:t>
      </w:r>
    </w:p>
    <w:p w:rsidR="0085709A" w:rsidRDefault="0085709A" w:rsidP="0085709A">
      <w:pPr>
        <w:pStyle w:val="TextoNormal"/>
      </w:pPr>
    </w:p>
    <w:p w:rsidR="0085709A" w:rsidRDefault="0085709A" w:rsidP="0085709A">
      <w:pPr>
        <w:pStyle w:val="TextoNormal"/>
      </w:pPr>
      <w:r>
        <w:t>En el presente caso, la desigualdad de gravamen que se denuncia se produce por razones de naturaleza subjetiva que son las que, conforme a nuestra jurisprudencia, se sitúan tanto en el art. 14 CE, como en el art. 31.1 CE (SSTC 193/2004, de 4 de noviembre, FJ 3; 57/2005, de 14 de marzo, FJ 3; 33/2006, de 13 de febrero, FJ 3; y 54/2006, de 27 de febrero, FJ 6; y 295/2006, de 11 de octubre, FJ 5), ya que lo determinante para el diferente trato desde el punto de vista del deber de contribuir es si se tiene o no —en los términos exigidos por el órgano judicial— la condición de familia numerosa al momento del devengo del tributo.</w:t>
      </w:r>
    </w:p>
    <w:p w:rsidR="0085709A" w:rsidRDefault="0085709A" w:rsidP="0085709A">
      <w:pPr>
        <w:pStyle w:val="TextoNormal"/>
      </w:pPr>
    </w:p>
    <w:p w:rsidR="0085709A" w:rsidRDefault="0085709A" w:rsidP="0085709A">
      <w:pPr>
        <w:pStyle w:val="TextoNormal"/>
      </w:pPr>
      <w:r>
        <w:t>b) Protección a la familia (art. 39.1 CE): A lo anterior debe ahora añadirse que “la protección de la familia por parte de los poderes públicos a la que apela el art. 39.1 CE, si bien no obliga a que necesariamente se dispense ‘a través de medidas de una determinada naturaleza’ (STC 214/1994, de 14 de julio, FJ 7) o, más concretamente, ‘a través del sistema tributario’ (ATC 289/1999, de 30 de noviembre, FJ 7), y ni mucho menos a que se adopten ‘medidas fiscales de una determinada intensidad’ (ATC 289/1999, de 30 de noviembre, FJ 7), ‘sin perjuicio de la legitimidad de medidas fiscales orientadas a la protección de la familia (art. 39.1 CE)’ (STC 209/1988, de 10 de noviembre, FJ 9), sí impide, sin embargo, que a través de medidas de naturaleza tributaria se vaya en contra de ese mandato por imponer un tratamiento más gravoso a quienes están incluidos en una unidad familiar (SSTC 209/1988, de 10 de noviembre, FJ 9; y 45/1989, de 20 de febrero, FJ 7)” (STC 19/2012, de 15 de febrero, FJ 5), y debemos añadir ahora, que tenga la condición de familia numerosa.</w:t>
      </w:r>
    </w:p>
    <w:p w:rsidR="0085709A" w:rsidRDefault="0085709A" w:rsidP="0085709A">
      <w:pPr>
        <w:pStyle w:val="TextoNormal"/>
      </w:pPr>
    </w:p>
    <w:p w:rsidR="0085709A" w:rsidRDefault="0085709A" w:rsidP="0085709A">
      <w:pPr>
        <w:pStyle w:val="TextoNormal"/>
      </w:pPr>
      <w:r>
        <w:t>En consecuencia, los poderes públicos vienen obligados a asegurar la protección económica de la familia (art. 39.1 CE), y, aunque, desde un punto de vista constitucional, tan válida es la opción legislativa dirigida a garantizar su protección a través de medidas de naturaleza tributaria como de cualquier otra naturaleza, sin embargo, si el legislador opta por garantizar la protección económica de la familia previendo la aplicación de un tipo reducido por la adquisición de la vivienda habitual de la familia numerosa, debe hacerlo “sin establecer discriminaciones injustificadas entre sus potenciales destinatarios, al tratarse a fin de cuentas, de la igualdad de todos ante una exigencia constitucional —el deber de contribuir o la solidaridad en el levantamiento de las cargas públicas—” (SSTC 57/2005, de 14 de marzo, FJ 4, y 19/2012, de 15 de febrero, FJ 5).</w:t>
      </w:r>
    </w:p>
    <w:p w:rsidR="0085709A" w:rsidRDefault="0085709A" w:rsidP="0085709A">
      <w:pPr>
        <w:pStyle w:val="TextoNormal"/>
      </w:pPr>
    </w:p>
    <w:p w:rsidR="0085709A" w:rsidRDefault="0085709A" w:rsidP="0085709A">
      <w:pPr>
        <w:pStyle w:val="TextoNormal"/>
      </w:pPr>
      <w:r>
        <w:t xml:space="preserve">c) El principio de igualdad en la interpretación judicial: El principio de igualdad opera, como tantas veces hemos dicho, en dos planos distintos. De una parte, frente al legislador o al poder reglamentario, y, de otra, frente al aplicador. En el primer plano, impide que puedan configurarse los supuestos de hecho de la norma de modo tal que se dé trato distinto a personas que, desde todos los puntos de vista legítimamente adoptables, se encuentran en la misma situación o, dicho de otro modo, que se otorgue relevancia jurídica a circunstancias que no guardan relación alguna con el sentido de la regulación que, al incluirlas, incurre en arbitrariedad y es por eso discriminatoria. En el segundo plano, la igualdad ante la ley obliga a que ésta sea aplicada efectivamente de modo igual a todos aquellos que se encuentran en la misma situación, sin que el aplicador pueda establecer diferencia alguna en razón de las </w:t>
      </w:r>
      <w:r>
        <w:lastRenderedPageBreak/>
        <w:t>personas o de circunstancias que no sean precisamente las presentes en la norma (STC 144/1988, de 12 de julio, FJ 1).</w:t>
      </w:r>
    </w:p>
    <w:p w:rsidR="0085709A" w:rsidRDefault="0085709A" w:rsidP="0085709A">
      <w:pPr>
        <w:pStyle w:val="TextoNormal"/>
      </w:pPr>
    </w:p>
    <w:p w:rsidR="0085709A" w:rsidRDefault="0085709A" w:rsidP="0085709A">
      <w:pPr>
        <w:pStyle w:val="TextoNormal"/>
      </w:pPr>
      <w:r>
        <w:t>Nos encontramos en el plano de la aplicación, pues es a la interpretación judicial a la que se imputa el establecimiento de una diferencia entre familias numerosas con fundamento en una circunstancia que no está presente en la norma reguladora del beneficio fiscal. Aunque a este Tribunal no le corresponde la interpretación de la legalidad tributaria, dado que esta es una función encomendada a los órganos de la jurisdicción ordinaria (art. 117.3 CE), sí le corresponde efectuar una supervisión externa de la razonabilidad de la fundamentación de las resoluciones judiciales recurridas (STC 35/2014, de 27 de febrero, FJ 5), para determinar si la interpretación judicial de la ley es conforme o no con la Constitución (SSTC 144/1988, de 12 de julio, FJ 3, y 96/1997, de 19 de mayo, FJ 5), en lo que ahora toca, desde la perspectiva del derecho a la igualdad, en su conexión con el principio de protección a la familia. Y ello, para comprobar que al revisar los actos relativos al ejercicio de dicho derecho fundamental los actores jurídicos no han interpretado de modo incompatible con la Constitución disposiciones legales o reglamentarias que, en otra interpretación, no lo serían (STC 96/1997, de 19 de mayo, FJ 5).</w:t>
      </w:r>
    </w:p>
    <w:p w:rsidR="0085709A" w:rsidRDefault="0085709A" w:rsidP="0085709A">
      <w:pPr>
        <w:pStyle w:val="TextoNormal"/>
      </w:pPr>
    </w:p>
    <w:p w:rsidR="0085709A" w:rsidRDefault="0085709A" w:rsidP="0085709A">
      <w:pPr>
        <w:pStyle w:val="TextoNormal"/>
      </w:pPr>
      <w:r w:rsidRPr="0085709A">
        <w:rPr>
          <w:rStyle w:val="NumeroAFNegritaCaracter"/>
        </w:rPr>
        <w:t>4</w:t>
      </w:r>
      <w:r>
        <w:t>. Resolución. Los demandantes en amparo, casados, padres de tres hijos menores nacidos en 1997, 2000 y 2003, adquirieron mediante escritura pública con fecha de 14 de septiembre 2005 la que iba a ser su vivienda habitual. Al momento del devengo del impuesto sobre transmisiones patrimoniales y actos jurídicos documentados [en la misma fecha de realización acto gravado de conformidad con el 49.1 a) del Real Decreto Legislativo 1/1993, de 24 de septiembre, por el que se aprueba el texto refundido de la Ley del impuesto sobre transmisiones patrimoniales y actos jurídicos documentados], revestían, de acuerdo con la Ley 40/2003, de 18 de noviembre, de protección a las familias numerosas, la condición de familia numerosa, por estar la suya “integrada por uno o dos ascendientes con tres o más hijos, sean o no comunes” (art. 2.1). Aunque estaban en posesión del libro de familia expedido por la Dirección General de los Registros y del Notariado, carecían, sin embargo, del título acreditativo de la condición de “familia numerosa”, a emitir por la Comunidad Autónoma de Madrid (art. 5.1). Solicitado el citado título tras la adquisición de la vivienda, fue expedido con fecha de 5 de diciembre de 2005.</w:t>
      </w:r>
    </w:p>
    <w:p w:rsidR="0085709A" w:rsidRDefault="0085709A" w:rsidP="0085709A">
      <w:pPr>
        <w:pStyle w:val="TextoNormal"/>
      </w:pPr>
    </w:p>
    <w:p w:rsidR="0085709A" w:rsidRDefault="0085709A" w:rsidP="0085709A">
      <w:pPr>
        <w:pStyle w:val="TextoNormal"/>
      </w:pPr>
      <w:r>
        <w:t>La resolución del Tribunal Económico-Administrativo Regional de Madrid con fecha de 27 de febrero de 2008, reconoció el derecho a la aplicación de tipo de gravamen reducido. Subraya esta resolución que la obtención del título es un requisito imprescindible para que pueda reconocerse la condición de familia numerosa, no sirviendo —entonces— otros documentos como el libro de familia. Ahora bien, le niega al citado título un carácter constitutivo de la condición de familia numerosa, que se adquiere cuando se da el supuesto de hecho previsto por la norma. Dicho esto, considera, sin embargo, “que si bien el título es imprescindible para que puedan reconocerse los beneficios que la ley le atribuye a una familia numerosa, no pudiendo otorgarse estos sin la previa acreditación de la condición de tal que solo puede hacerse mediante el título, si una vez expedido éste y a la vista del mismo se comprueba, tal como ocurre en el presente caso, que la condición de familia numerosa que se acredita, ya concurría en la fecha del devengo procede otorgar el beneficio correspondiente”.</w:t>
      </w:r>
    </w:p>
    <w:p w:rsidR="0085709A" w:rsidRDefault="0085709A" w:rsidP="0085709A">
      <w:pPr>
        <w:pStyle w:val="TextoNormal"/>
      </w:pPr>
    </w:p>
    <w:p w:rsidR="0085709A" w:rsidRDefault="0085709A" w:rsidP="0085709A">
      <w:pPr>
        <w:pStyle w:val="TextoNormal"/>
      </w:pPr>
      <w:r>
        <w:lastRenderedPageBreak/>
        <w:t>Por su parte, la Sección Novena de la Sala de lo Contencioso-Administrativo del Tribunal Superior de Justicia de Madrid, en las resoluciones judiciales que son objeto del presente proceso constitucional, niegan a los recurrentes el derecho a la aplicación del tipo de gravamen del 4 por 100 por la adquisición de su vivienda habitual, pues aunque habían solicitado el título de familia numerosa lo habían hecho en un momento posterior al del devengo del tributo, lo que les impedía su aplicación al carecer del mismo en el momento del devengo. Reconoce a estos efectos el órgano judicial que en el asunto controvertido caben, al menos, dos interpretaciones de la norma: la “antiformalista”, que permitiría gozar del beneficio tributario discutido sin tener reconocida por la Administración su condición de familia numerosa en atención al número de miembros que componen la familia; y la “formalista”, apegada a la letra de la ley, que impediría disfrutar el beneficio a quien, aun teniendo la condición de familia numerosa por contar con el número de miembros necesario, carecía del reconocimiento administrativo de tal condición. Y ante tal disyuntiva se decanta, siendo “consciente de que se trata de una cuestión discutible”, por la que denomina como tesis “formalista”, con fundamento tanto en el art. 5 de la Ley 40/2003, de 18 de noviembre, que dispone que “la condición de familia numerosa se acreditará mediante título oficial establecido al efecto”, como en el art. 7 de esa misma norma legal, que establece que “los beneficios concedidos a las familias numerosas surtirán efectos desde la fecha de la presentación de la solicitud de reconocimiento o renovación del título original”.</w:t>
      </w:r>
    </w:p>
    <w:p w:rsidR="0085709A" w:rsidRDefault="0085709A" w:rsidP="0085709A">
      <w:pPr>
        <w:pStyle w:val="TextoNormal"/>
      </w:pPr>
    </w:p>
    <w:p w:rsidR="0085709A" w:rsidRDefault="0085709A" w:rsidP="0085709A">
      <w:pPr>
        <w:pStyle w:val="TextoNormal"/>
      </w:pPr>
      <w:r>
        <w:t>Conforme a lo que antecede podemos comprobar cómo existen, al menos, dos interpretaciones posibles de la disposición legal aplicada: de un lado, como hizo el Tribunal Económico-Administrativo Regional de Madrid, entendiendo que aun cuando el título de familia numerosa fue expedido en un momento posterior al del devengo (el 5 de diciembre de 2005), en la medida que con su expedición se acredita una condición, la de familia numerosa, que ya existía la momento de la adquisición de la vivienda (el 14 de septiembre de 2005) y, por tanto, del devengo del impuesto, no cabe sino reconocer a los recurrentes la aplicación del tipo reducido por la adquisición de la que iba a ser su vivienda habitual; de otro lado, como ha hecho la Sección Novena de la Sala de lo Contencioso-Administrativo del Tribunal Superior de Justicia de Madrid, considerando que aun cuando al momento de la adquisición de la vivienda se tuviese, conforme a la Ley 40/2003, la condición de familia numerosa, la falta del correspondiente título acreditativo de tal condición en aquel momento impide reconocer el derecho a la aplicación del tipo de gravamen reducido.</w:t>
      </w:r>
    </w:p>
    <w:p w:rsidR="0085709A" w:rsidRDefault="0085709A" w:rsidP="0085709A">
      <w:pPr>
        <w:pStyle w:val="TextoNormal"/>
      </w:pPr>
    </w:p>
    <w:p w:rsidR="0085709A" w:rsidRDefault="0085709A" w:rsidP="0085709A">
      <w:pPr>
        <w:pStyle w:val="TextoNormal"/>
      </w:pPr>
      <w:r>
        <w:t xml:space="preserve">No cabe duda de que las resoluciones judiciales impugnadas han optado, entre esas dos interpretaciones posibles de la norma, por aquella que, por su formalismo, no sólo resulta irrazonable, sino que no es conforme con la igualdad de todos (en este caso, las familias numerosas) en el cumplimiento del deber de contribuir a las cargas públicas (arts. 14 y 31.1, ambos de la CE), pues a la fecha del devengo del tributo (momento de la adquisición de la vivienda) los recurrentes ya tenían la condición de familia numerosa, acreditada con el libro de familia, aunque no por el de familia numerosa. Ahora bien, la expedición del correspondiente título de familia numerosa por la Comunidad Autónoma de Madrid en un momento en el que aún se estaba en disposición, de conformidad con la normativa tributaria, de solicitar la aplicación del beneficio (mediante la solicitud de la rectificación de la autoliquidación presentada), permitía acreditar que, ya al momento del devengo, concurría la exigencia legal para la aplicación del beneficio controvertido, la de tener la condición de familia numerosa acreditada “mediante el título oficial” (art. 5.1 de la Ley 40/2003), momento desde el cual surtían efectos “[l]os beneficios concedidos a las familias numerosas” (art. 7.1 de la </w:t>
      </w:r>
      <w:r>
        <w:lastRenderedPageBreak/>
        <w:t>Ley 40/2003). No hay que descuidar que, en el presente caso, el título de familia numerosa, como señala el Tribunal Económico-Administrativo Regional de Madrid, carecía de eficacia constitutiva, por tenerla meramente declarativa de una condición, la de familia numerosa, que ya se poseía al momento del devengo del tributo. Por lo demás, este ha sido el criterio posteriormente seguido por el legislador autonómico, quien a través de la Ley 3/2008, de 29 de diciembre, de medidas fiscales y administrativas de la Comunidad de Madrid, precisó que “[l]a acreditación de la condición legal de familia numerosa se realizará mediante la presentación del título de familia numerosa, libro de familia u otro documento que pruebe que dicha condición ya concurría en la fecha del devengo” (art. 4.2, y actual art. 29 del Decreto Legislativo del Gobierno de Madrid 1/2010, de 21 de octubre, por el que se aprueba el texto refundido de las disposiciones legales de la Comunidad de Madrid en materia de tributos cedidos por el Estado).</w:t>
      </w:r>
    </w:p>
    <w:p w:rsidR="0085709A" w:rsidRDefault="0085709A" w:rsidP="0085709A">
      <w:pPr>
        <w:pStyle w:val="TextoNormal"/>
      </w:pPr>
    </w:p>
    <w:p w:rsidR="0085709A" w:rsidRDefault="0085709A" w:rsidP="0085709A">
      <w:pPr>
        <w:pStyle w:val="TextoNormal"/>
      </w:pPr>
      <w:r>
        <w:t>Con su decisión, el órgano judicial ha provocado como consecuencia inmediata, la exclusión de los recurrentes del ámbito de aplicación de un beneficio fiscal previsto para las familias numerosas, introduciendo una diferencia de trato que no sólo carece de una justificación objetiva y razonable, sino que, además, provoca una consecuencia que resulta excesivamente gravosa. Una vez que el legislador ha optado por garantizar la protección económica de las familias numerosas mediante la aplicación de un tipo reducido por la adquisición de su vivienda habitual, los órganos judiciales en su aplicación no pueden interpretar las disposiciones legales aplicables de un modo incompatible con la Constitución, cuando es posible otra interpretación alternativa —como hizo el Tribunal Económico-Administrativo Regional del Madrid— sin violentar la letra de la ley. Al no hacerlo el órgano judicial ha impedido servir a la finalidad constitucional de asegurar la protección económica de la familia (art. 39.1 CE), en este caso, de la familia numerosa.</w:t>
      </w:r>
    </w:p>
    <w:p w:rsidR="0085709A" w:rsidRDefault="0085709A" w:rsidP="0085709A">
      <w:pPr>
        <w:pStyle w:val="TextoNormal"/>
      </w:pPr>
    </w:p>
    <w:p w:rsidR="0085709A" w:rsidRDefault="0085709A" w:rsidP="0085709A">
      <w:pPr>
        <w:pStyle w:val="TextoNormal"/>
      </w:pPr>
      <w:r w:rsidRPr="0085709A">
        <w:rPr>
          <w:rStyle w:val="NumeroAFNegritaCaracter"/>
        </w:rPr>
        <w:t>5</w:t>
      </w:r>
      <w:r>
        <w:t>. Efectos de la declaración de lesión. Las conclusiones expuestas en los fundamentos precedentes conducen directamente al otorgamiento del amparo solicitado por los recurrentes, lo cual exige fijar, con arreglo a lo dispuesto en el art. 55.1 LOTC, el alcance del amparo otorgado. Los demandantes de amparo solicitan la anulación de las resoluciones judiciales impugnadas y que se confirme la resolución del Tribunal Económico-Administrativo Regional de Madrid objeto del recurso contencioso-administrativo. Por su parte, el Ministerio Fiscal interesa asimismo la declaración de nulidad de las resoluciones judiciales impugnadas, pero con retroacción de las actuaciones al momento anterior al de dictar sentencia para que por el órgano judicial se dicte otra respetuosa con el derecho vulnerado.</w:t>
      </w:r>
    </w:p>
    <w:p w:rsidR="0085709A" w:rsidRDefault="0085709A" w:rsidP="0085709A">
      <w:pPr>
        <w:pStyle w:val="TextoNormal"/>
      </w:pPr>
    </w:p>
    <w:p w:rsidR="0085709A" w:rsidRDefault="0085709A" w:rsidP="0085709A">
      <w:pPr>
        <w:pStyle w:val="TextoNormal"/>
      </w:pPr>
      <w:r>
        <w:t xml:space="preserve">En este punto conviene recordar que el art. 55 LOTC faculta al Tribunal para realizar algún o algunos de los pronunciamientos que contempla, confiriendo a la Sentencia en la que otorgue el amparo demandado una flexibilidad que resulta especialmente intensa en lo que se refiere a la determinación del instrumento adecuado para el restablecimiento del recurrente en la integridad de su derecho (SSTC 99/1983, de 16 de noviembre, F5, y 186/2001, de 17 de septiembre, FJ 9). En el presente caso el otorgamiento del amparo comporta la declaración de nulidad de las resoluciones impugnadas [art. 55.1 a) LOTC]. Sin embargo, a la vista de la naturaleza sustantiva de la vulneración declarada, de que a partir de los hechos enjuiciados el restablecimiento del derecho del recurrente en amparo pasa por la confirmación de la interpretación efectuada por el Tribunal Económico-Administrativo Regional de Madrid, y, en fin, de la innecesariedad de un nuevo enjuiciamiento que no estaría destinado a corregir el desconocimiento en contra del recurrente de normas procesales con relevancia </w:t>
      </w:r>
      <w:r>
        <w:lastRenderedPageBreak/>
        <w:t>constitucional y en el cual el órgano judicial no podría resolver de un modo distinto a como lo hemos hecho en la presente resolución, resulta improcedente, por elementales razones de economía procesal, acordar la retroacción de actuaciones para reintegrar al recurrente en la integridad de sus derechos (en sentido parecido, SSTC 146/2006, de 8 de mayo, FJ 5; 344/2006, de 11 de diciembre, FJ 6; 29/2008, de 20 de febrero, FJ 13; 77/2008, de 7 de julio, FJ 6; 156/2009, de 29 de junio, FJ 8, y 57/2010, de 4 de octubre, FJ 10).</w:t>
      </w:r>
    </w:p>
    <w:p w:rsidR="0085709A" w:rsidRDefault="0085709A" w:rsidP="0085709A">
      <w:pPr>
        <w:pStyle w:val="TextoNormal"/>
      </w:pPr>
    </w:p>
    <w:p w:rsidR="0085709A" w:rsidRDefault="0085709A" w:rsidP="0085709A">
      <w:pPr>
        <w:pStyle w:val="TextoNormal"/>
      </w:pPr>
      <w:r>
        <w:t>Por tanto, ha de estarse en ejecución de nuestro fallo al reconocimiento del derecho a la aplicación del tipo de gravamen previsto para las familias numerosas efectuado por la resolución del Tribunal Económico-Administrativo Regional de Madrid de fecha 27 de febrero de 2008, dictada en la reclamación núm. 28/00472/07, que se confirma, debiendo declararse la nulidad tanto la Sentencia núm. 1010 de la Sección Novena de la Sala de lo Contencioso-Administrativo del Tribunal Superior de Justicia de Madrid de fecha 26 de diciembre de 2012, dictada en el recurso núm. 488-2008, como de su Auto con fecha de 19 de abril de 2013, que inadmite a trámite el incidente de nulidad de actuaciones promovido contra la misma.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demanda de amparo promovida por don Miguel Andrés Milano Aspe y doña Kelli Marie Angevine, y, en consecuencia:</w:t>
      </w:r>
    </w:p>
    <w:p w:rsidR="0085709A" w:rsidRDefault="0085709A" w:rsidP="0085709A">
      <w:pPr>
        <w:pStyle w:val="TextoNormal"/>
      </w:pPr>
    </w:p>
    <w:p w:rsidR="0085709A" w:rsidRDefault="0085709A" w:rsidP="0085709A">
      <w:pPr>
        <w:pStyle w:val="TextoNormal"/>
      </w:pPr>
      <w:r>
        <w:t>1º Declarar vulnerado el derecho de los recurrentes en amparo a la igualdad ante el deber de contribuir (arts. 14 y 31.1 CE), en conexión con el principio de protección económica de la familia (art. 39.1 CE).</w:t>
      </w:r>
    </w:p>
    <w:p w:rsidR="0085709A" w:rsidRDefault="0085709A" w:rsidP="0085709A">
      <w:pPr>
        <w:pStyle w:val="TextoNormal"/>
      </w:pPr>
    </w:p>
    <w:p w:rsidR="0085709A" w:rsidRDefault="0085709A" w:rsidP="0085709A">
      <w:pPr>
        <w:pStyle w:val="TextoNormal"/>
      </w:pPr>
      <w:r>
        <w:t>2º Restablecerlos en su derecho y, a tal fin, declarar la nulidad tanto de la Sentencia núm. 1010 de la Sección Novena de la Sala de lo Contencioso-Administrativo del Tribunal Superior de Justicia de Madrid de fecha 26 de diciembre de 2012, dictada en el recurso núm. 488-2008, como de su Auto con fecha de 19 de abril de 2013, con los efectos que determinan en el fundamento jurídico 5 de esta Sentencia.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veintisiete de abril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Andrés Ollero Tassara, en relación con la Sentencia dictada en el recurso de amparo núm. 3303-2013.</w:t>
      </w:r>
    </w:p>
    <w:p w:rsidR="0085709A" w:rsidRDefault="0085709A" w:rsidP="0085709A">
      <w:pPr>
        <w:pStyle w:val="TextoNormalNegritaCentrado"/>
        <w:keepNext/>
      </w:pPr>
    </w:p>
    <w:p w:rsidR="0085709A" w:rsidRDefault="0085709A" w:rsidP="0085709A">
      <w:pPr>
        <w:pStyle w:val="TextoNormal"/>
      </w:pPr>
      <w:r>
        <w:t>Con el máximo respeto a la posición mayoritaria en la Sala, y en ejercicio de la facultad conferida por el art. 90.2 de la Ley Orgánica del Tribunal Constitucional, formulo Voto particular respecto de la Sentencia citada en el encabezamiento.</w:t>
      </w:r>
    </w:p>
    <w:p w:rsidR="0085709A" w:rsidRDefault="0085709A" w:rsidP="0085709A">
      <w:pPr>
        <w:pStyle w:val="TextoNormal"/>
      </w:pPr>
    </w:p>
    <w:p w:rsidR="0085709A" w:rsidRDefault="0085709A" w:rsidP="0085709A">
      <w:pPr>
        <w:pStyle w:val="TextoNormal"/>
      </w:pPr>
      <w:r>
        <w:lastRenderedPageBreak/>
        <w:t>1. Mi discrepancia deriva del convencimiento de que la fundamentación en que se apoya el fallo no respeta la doctrina establecida por este Tribunal en un doble aspecto. Por una parte, en el alcance de su posibilidad de revisar resoluciones judiciales cuando puedan considerarse, por irrazonables o arbitrarias, vulneradoras del derecho a la tutela judicial efectiva (art. 24.1 CE); por otra al distinguir, dentro de la clásica exigencia de igualdad ante la ley (art. 14 CE), la igualdad “en la ley” y la igualdad “en la aplicación de la ley”.</w:t>
      </w:r>
    </w:p>
    <w:p w:rsidR="0085709A" w:rsidRDefault="0085709A" w:rsidP="0085709A">
      <w:pPr>
        <w:pStyle w:val="TextoNormal"/>
      </w:pPr>
    </w:p>
    <w:p w:rsidR="0085709A" w:rsidRDefault="0085709A" w:rsidP="0085709A">
      <w:pPr>
        <w:pStyle w:val="TextoNormal"/>
      </w:pPr>
      <w:r>
        <w:t>2. Como consta en el antecedente 2 de la Sentencia, la demanda de amparo no considera vulnerado el derecho a la tutela judicial efectiva (art. 24.1 CE), sino “el derecho a la igualdad (art. 14 CE), concretamente, a no sufrir un trato desigual y discriminatorio, en relación con el principio de protección social, económica y jurídica de la familia (art. 39.1 CE)”; así efectivamente se declara en el fallo. Los recurrentes resaltan la similitud de su caso con el contemplado por la STC 199/2004, de 15 de noviembre, “en la que se consideraba que se viola el principio de igualdad en la Ley” y no en la aplicación de la misma. También la Sentencia de la que ahora discrepo lo asume, en su FJ 3 a): “Los recurrentes plantean la vulneración por la interpretación judicial cuestionada del principio de igualdad ‘en la ley’ o ‘ante la ley’, principio que, como venimos señalando, impone al legislador el deber de dispensar un mismo tratamiento a quienes se encuentran en situaciones jurídicas iguales”.</w:t>
      </w:r>
    </w:p>
    <w:p w:rsidR="0085709A" w:rsidRDefault="0085709A" w:rsidP="0085709A">
      <w:pPr>
        <w:pStyle w:val="TextoNormal"/>
      </w:pPr>
    </w:p>
    <w:p w:rsidR="0085709A" w:rsidRDefault="0085709A" w:rsidP="0085709A">
      <w:pPr>
        <w:pStyle w:val="TextoNormal"/>
      </w:pPr>
      <w:r>
        <w:t xml:space="preserve">Dado que no corresponde a este Tribunal reconstruir de oficio la demanda de amparo, cuando el demandante no ha satisfecho la carga de argumentación que sobre él recae (SSTC 7/1988, de 13 de enero, FJ 3; 52/1999, de 12 de abril, FJ 5; 189/2002, de 14 de octubre, FJ 3; 123/2003, de 14 de julio, FJ 2; 182/2009, de 7 de septiembre, FJ 2 y 32/2013, de 11 de febrero, FJ 3, entre otras muchas), ello llevaría a descartar fundamentos doctrinales relativos tanto al art. 24.1 CE como al art. 14 CE, en su referencia a la igualdad “en la aplicación de la ley” (desde la STC 8/1981, de 30 de marzo); extremos estos que la Sentencia no tiene en cuenta, mezclando de continuo referencias a unos y otros supuestos. Así en el fundamento jurídico 1 se afirma que “la lesión se imputa a las resoluciones judiciales objeto del presente proceso constitucional”; lo que descartaría una desigualdad “en la ley”, para situarla </w:t>
      </w:r>
      <w:r w:rsidRPr="0085709A">
        <w:rPr>
          <w:i/>
        </w:rPr>
        <w:t>en la aplicación</w:t>
      </w:r>
      <w:r>
        <w:t xml:space="preserve"> de la norma por los órganos judiciales: “la eventual lesión del derecho a la igualdad habría venido provocada única y exclusivamente por la interpretación judicial realizada”. En el fundamento jurídico 3 c) se aborda igualmente “el principio de igualdad en la interpretación judicial”, afirmando que nos “encontramos en el plano de la aplicación”. Asegura por lo demás que al Tribunal “le corresponde efectuar una supervisión externa de la razonabilidad de la fundamentación de las resoluciones judiciales recurridas”; lo cual sería muy cierto si la vulneración invocada fuera la del art. 24 CE, pero no es el caso.</w:t>
      </w:r>
    </w:p>
    <w:p w:rsidR="0085709A" w:rsidRDefault="0085709A" w:rsidP="0085709A">
      <w:pPr>
        <w:pStyle w:val="TextoNormal"/>
      </w:pPr>
    </w:p>
    <w:p w:rsidR="0085709A" w:rsidRDefault="0085709A" w:rsidP="0085709A">
      <w:pPr>
        <w:pStyle w:val="TextoNormal"/>
      </w:pPr>
      <w:r>
        <w:t xml:space="preserve">3. De acuerdo con la doctrina del Tribunal, se vulnera el principio de igualdad “en la aplicación de la ley” cuando un mismo órgano judicial (entre otras, STC 39/1984, de 20 de marzo) aplica una norma a supuestos idénticos (ya en la STC 23/1981, de 10 de julio) acudiendo a criterios interpretativos dispares. Esto lleva consigo la necesidad de que el recurrente aporte un </w:t>
      </w:r>
      <w:r w:rsidRPr="0085709A">
        <w:rPr>
          <w:i/>
        </w:rPr>
        <w:t>tertium comparationis</w:t>
      </w:r>
      <w:r>
        <w:t xml:space="preserve"> (entre otras, STC 184/1988, de 13 de octubre) que resalte tal diferencia de trato; los recurrentes, por el contrario, se han limitado a aludir genéricamente a “la incidencia negativa que la interpretación judicial cuestionada tiene en el principio de protección social, económica y jurídica de la familia que preconiza el artículo 39 de la Constitución”. El Ministerio Fiscal, por su parte, apuntó que el órgano judicial “ha introducido una diferencia de trato entre quienes ostentaban la condición de familia numerosa mediante la introducción de una exigencia (el reconocimiento administrativo de tal </w:t>
      </w:r>
      <w:r>
        <w:lastRenderedPageBreak/>
        <w:t>condición) que carece de una base razonable y conduce a resultados claramente desproporcionados”; argumento cuya pertinencia habría de enjuiciarse de haber invocado los recurrentes una vulneración del art. 24.1 CE, lo que no sucede en el caso que nos ocupa.</w:t>
      </w:r>
    </w:p>
    <w:p w:rsidR="0085709A" w:rsidRDefault="0085709A" w:rsidP="0085709A">
      <w:pPr>
        <w:pStyle w:val="TextoNormal"/>
      </w:pPr>
    </w:p>
    <w:p w:rsidR="0085709A" w:rsidRDefault="0085709A" w:rsidP="0085709A">
      <w:pPr>
        <w:pStyle w:val="TextoNormal"/>
      </w:pPr>
      <w:r>
        <w:t>Lejos de constatar la existencia de los requisitos exigidos para considerar vulnerado el principio de igualdad “en la aplicación de la ley”, se insiste —fundamento jurídico 4 de la Sentencia— en que el problema surge no por un cambio de criterio del órgano judicial, en comparación al sentado en otros casos idénticos, sino a que “caben, al menos, dos interpretaciones de la norma: la ‘antiformalista’, que permitiría gozar del beneficio tributario discutido sin tener reconocida por la Administración su condición de familia numerosa en atención al número de miembros que componen la familia; y la ‘formalista’, apegada a la letra de la Ley, que impediría disfrutar el beneficio”. Esto podría, si acaso, haber llevado a enjuiciar si se había producido una vulneración del art. 24.1 CE, ya que “las resoluciones judiciales impugnadas han optado, entre esas dos interpretaciones posibles de la norma, por aquella que, por su formalismo, no sólo resulta irrazonable, sino que no es conforme con la igualdad de todos”; resulta irrelevante sin embargo en relación con el art. 14 CE, en lo relativo a la igualdad “en la aplicación de la ley”.</w:t>
      </w:r>
    </w:p>
    <w:p w:rsidR="0085709A" w:rsidRDefault="0085709A" w:rsidP="0085709A">
      <w:pPr>
        <w:pStyle w:val="TextoNormal"/>
      </w:pPr>
    </w:p>
    <w:p w:rsidR="0085709A" w:rsidRDefault="0085709A" w:rsidP="0085709A">
      <w:pPr>
        <w:pStyle w:val="TextoNormal"/>
      </w:pPr>
      <w:r>
        <w:t xml:space="preserve">Por si fuera poco, falta en el caso examinado un requisito adicional exigible para apreciar vulneración de la igualdad “en la aplicación de la ley”: la alteridad; la vulneración del derecho a la igualdad, en su vertiente de igualdad “en la aplicación de la ley”, requiere en efecto que el órgano judicial haya dispensado al demandante de amparo un trato desigual en relación con el recibido por otra u otras personas (SSTC 1/1997, de 13 de enero, FJ 2; 150/1997, de 29 de septiembre, FJ 2; 64/2000, de 13 de marzo, FJ 5; 111/2001, de 7 de mayo, FJ4; 162/2001, de 5 de julio, FJ 2; 46/2003, de 3 de marzo, FJ 2;326/2006, de20 de noviembre, FJ 1 y 38/2011, de 28 de marzo, FJ 6, entre otras muchas). El </w:t>
      </w:r>
      <w:r w:rsidRPr="0085709A">
        <w:rPr>
          <w:i/>
        </w:rPr>
        <w:t>tertium comparationis</w:t>
      </w:r>
      <w:r>
        <w:t xml:space="preserve"> (aquí inexistente) debería resaltar la diversidad de trato entre el recurrente y otro ciudadano más beneficiado, mientras que en el caso presente el trato recibido por los recurrentes sería diverso al recibido por ellos mismos de haber el órgano judicial asumido criterio distinto del aplicado. No se cumple pues el requisito de la alteridad.</w:t>
      </w:r>
    </w:p>
    <w:p w:rsidR="0085709A" w:rsidRDefault="0085709A" w:rsidP="0085709A">
      <w:pPr>
        <w:pStyle w:val="TextoNormal"/>
      </w:pPr>
    </w:p>
    <w:p w:rsidR="0085709A" w:rsidRDefault="0085709A" w:rsidP="0085709A">
      <w:pPr>
        <w:pStyle w:val="TextoNormal"/>
      </w:pPr>
      <w:r>
        <w:t>En consecuencia, se mire por donde se mire, no cabe apreciar vulneración del principio de igualdad ni “en la ley” ni “en la aplicación de la ley”, sin que este Tribunal deba abordar, por no invocada, una posible vulneración del derecho a la tutela judicial efectiva (art. 24.1 CE).</w:t>
      </w:r>
    </w:p>
    <w:p w:rsidR="0085709A" w:rsidRDefault="0085709A" w:rsidP="0085709A">
      <w:pPr>
        <w:pStyle w:val="TextoNormal"/>
      </w:pPr>
    </w:p>
    <w:p w:rsidR="0085709A" w:rsidRDefault="0085709A" w:rsidP="0085709A">
      <w:pPr>
        <w:pStyle w:val="TextoNormal"/>
      </w:pPr>
      <w:r>
        <w:t>Por todo ello me veo obligado a suscribir este Voto particular.</w:t>
      </w:r>
    </w:p>
    <w:p w:rsidR="0085709A" w:rsidRDefault="0085709A" w:rsidP="0085709A">
      <w:pPr>
        <w:pStyle w:val="TextoNormal"/>
      </w:pPr>
    </w:p>
    <w:p w:rsidR="0085709A" w:rsidRDefault="0085709A" w:rsidP="0085709A">
      <w:pPr>
        <w:pStyle w:val="TextoNormal"/>
      </w:pPr>
      <w:r>
        <w:t>Madrid, a veintisiete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1" w:name="SENTENCIA_2015_78"/>
      <w:r>
        <w:lastRenderedPageBreak/>
        <w:t>SENTENCIA 78/2015, de 30 de abril de 2015</w:t>
      </w:r>
    </w:p>
    <w:bookmarkEnd w:id="81"/>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ECLI:ES:TC:2015:78</w:t>
      </w:r>
    </w:p>
    <w:p w:rsidR="0085709A" w:rsidRDefault="0085709A" w:rsidP="0085709A">
      <w:pPr>
        <w:pStyle w:val="TextoNormalCentrado"/>
      </w:pPr>
    </w:p>
    <w:p w:rsidR="0085709A" w:rsidRDefault="0085709A" w:rsidP="0085709A">
      <w:pPr>
        <w:pStyle w:val="SntesisDescriptiva"/>
      </w:pPr>
      <w:r>
        <w:t>Recurso de amparo 3814-2012. Promovido por la mercantil Josel, S.L., en relación con el Auto de la Sección Primera de la Sala de lo Contencioso-Administrativo del Tribunal Supremo que inadmitió su recurso de casación frente a Sentencia de la Audiencia Nacional sobre impuesto de sociedades.</w:t>
      </w:r>
    </w:p>
    <w:p w:rsidR="0085709A" w:rsidRDefault="0085709A" w:rsidP="0085709A">
      <w:pPr>
        <w:pStyle w:val="SntesisDescriptiva"/>
      </w:pPr>
    </w:p>
    <w:p w:rsidR="0085709A" w:rsidRDefault="0085709A" w:rsidP="0085709A">
      <w:pPr>
        <w:pStyle w:val="SntesisAnaltica"/>
      </w:pPr>
      <w:r>
        <w:t>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 Voto particular.</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3814-2012, promovido por la mercantil Josel, S.L., representada por el Procurador de los Tribunales don Antonio Sorribes Calle y asistida por el Abogado don Miguel Andrés Riera, contra el Auto de la Sección Primera de la Sala de lo </w:t>
      </w:r>
      <w:r>
        <w:lastRenderedPageBreak/>
        <w:t>Contencioso-Administrativo del Tribunal Supremo, de fecha 12 de enero de 2012, que resolvió la inadmisión del recurso de casación núm. 316-2011, interpuesto por la sociedad demandante de amparo, y contra la providencia de fecha 22 de mayo de 2012, que inadmitió el incidente de nulidad de actuaciones interpuesto contra la resolución precedente. Ha comparecido el Abogado del Estado, en la representación que ostenta, y ha intervenido el Ministerio Fiscal. Ha sido Ponente el Magistrado don Pedro González Trevijano-Sánchez,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22 de junio del 2012 tuvo entrada en el Registro General de este Tribunal el escrito presentado por el Procurador de los Tribunales don Antonio Sorribes Calle, actuando en nombre y representación de la mercantil Josel, S.L., y bajo la dirección letrada del Abogado don Miguel Andrés Riera, mediante el cual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Josel, S.L., entidad que absorbió y sucedió a título universal a Donca, S.A., interpuso recurso contencioso-administrativo contra la resolución del Tribunal Económico-Administrativo Central, de fecha 14 de septiembre de 2007, desestimatoria del recurso de alzada interpuesto contra la resolución del Tribunal Económico-Administrativo Regional de Cataluña, de fecha 6 de octubre de 2005, dictada en la reclamaciones económico-administrativas relativas a las liquidaciones practicadas y sanciones impuestas a Donca, S.A., por los ejercicios 1996 y 1997 del impuesto de sociedades.</w:t>
      </w:r>
    </w:p>
    <w:p w:rsidR="0085709A" w:rsidRDefault="0085709A" w:rsidP="0085709A">
      <w:pPr>
        <w:pStyle w:val="TextoNormal"/>
      </w:pPr>
    </w:p>
    <w:p w:rsidR="0085709A" w:rsidRDefault="0085709A" w:rsidP="0085709A">
      <w:pPr>
        <w:pStyle w:val="TextoNormal"/>
      </w:pPr>
      <w:r>
        <w:t>b) Seguido el procedimiento por sus trámites, con el núm. 453-2007, la Sala de lo Contencioso-Administrativo de la Audiencia Nacional (Sección Segunda) dictó, en fecha 16 de diciembre de 2010, Sentencia que estimó parcialmente las pretensiones de la demandante, pues anuló la sanción que le había sido impuesta por ambos ejercicios, pero desestimó las restantes pretensiones ejercitadas en el proceso.</w:t>
      </w:r>
    </w:p>
    <w:p w:rsidR="0085709A" w:rsidRDefault="0085709A" w:rsidP="0085709A">
      <w:pPr>
        <w:pStyle w:val="TextoNormal"/>
      </w:pPr>
    </w:p>
    <w:p w:rsidR="0085709A" w:rsidRDefault="0085709A" w:rsidP="0085709A">
      <w:pPr>
        <w:pStyle w:val="TextoNormal"/>
      </w:pPr>
      <w:r>
        <w:t>c) Mediante escrito presentado el día 4 de enero de 2011, el Abogado del Estado formuló escrito de preparación del recurso de casación contra la Sentencia recaída en la instancia. No obstante, por escrito de fecha 28 de febrero, que fue presentado ante la Sala Tercera del Tribunal Supremo (Sección Primera), la Abogacía del Estado manifestó que no sostenía el recurso de casación. Por Decreto de la Secretaría del referido órgano, de fecha 23 de marzo de 2011, se declaró desierto el recurso de casación a que se ha hecho mención.</w:t>
      </w:r>
    </w:p>
    <w:p w:rsidR="0085709A" w:rsidRDefault="0085709A" w:rsidP="0085709A">
      <w:pPr>
        <w:pStyle w:val="TextoNormal"/>
      </w:pPr>
    </w:p>
    <w:p w:rsidR="0085709A" w:rsidRDefault="0085709A" w:rsidP="0085709A">
      <w:pPr>
        <w:pStyle w:val="TextoNormal"/>
      </w:pPr>
      <w:r>
        <w:t>d) Mediante escrito presentado, en fecha 10 de enero de 2011, la sociedad demandante de amparo interesó que se tuviera por preparado recurso de casación contra la Sentencia antes indicada. En dicho escrito puso de manifiesto la intención de interponer recurso de casación y, a su vez, indicó que el recurso iba a fundarse en los motivos previstos en los arts. 88.1 c) y 88.1 d) de la Ley reguladora de la jurisdicción contencioso-administrativa (LJCA).</w:t>
      </w:r>
    </w:p>
    <w:p w:rsidR="0085709A" w:rsidRDefault="0085709A" w:rsidP="0085709A">
      <w:pPr>
        <w:pStyle w:val="TextoNormal"/>
      </w:pPr>
    </w:p>
    <w:p w:rsidR="0085709A" w:rsidRDefault="0085709A" w:rsidP="0085709A">
      <w:pPr>
        <w:pStyle w:val="TextoNormal"/>
      </w:pPr>
      <w:r>
        <w:lastRenderedPageBreak/>
        <w:t xml:space="preserve">e) Por diligencia de ordenación de fecha 12 de enero de 2011, la Sala de lo Contencioso-Administrativo de la Audiencia Nacional tuvo por preparado los recursos de casación. Asimismo, dicho órgano acordó emplazar a los recurrentes para que comparecieran ante la Sala Tercera del Tribunal Supremo. Una vez recibidas las actuaciones por el órgano </w:t>
      </w:r>
      <w:r w:rsidRPr="0085709A">
        <w:rPr>
          <w:i/>
        </w:rPr>
        <w:t>ad quem</w:t>
      </w:r>
      <w:r>
        <w:t>, el día 16 de febrero del 2011 la actora interpuso el recurso de casación ante la Sala Tercera del Tribunal Supremo. El recurso de casación fue registrado con el número 316-2011.</w:t>
      </w:r>
    </w:p>
    <w:p w:rsidR="0085709A" w:rsidRDefault="0085709A" w:rsidP="0085709A">
      <w:pPr>
        <w:pStyle w:val="TextoNormal"/>
      </w:pPr>
    </w:p>
    <w:p w:rsidR="0085709A" w:rsidRDefault="0085709A" w:rsidP="0085709A">
      <w:pPr>
        <w:pStyle w:val="TextoNormal"/>
      </w:pPr>
      <w:r>
        <w:t>f) Por providencia de 25 de abril de 2011, la Sala Tercera del Tribunal Supremo confirió traslado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89.1 y 93.2 a) LJCA], conforme a lo establecido en el ATS de 10 de febrero de 2011, dictado en el recurso de casación 2927-2010.</w:t>
      </w:r>
    </w:p>
    <w:p w:rsidR="0085709A" w:rsidRDefault="0085709A" w:rsidP="0085709A">
      <w:pPr>
        <w:pStyle w:val="TextoNormal"/>
      </w:pPr>
    </w:p>
    <w:p w:rsidR="0085709A" w:rsidRDefault="0085709A" w:rsidP="0085709A">
      <w:pPr>
        <w:pStyle w:val="TextoNormal"/>
      </w:pPr>
      <w:r>
        <w:t>g) El 16 de mayo de 2011 la sociedad demandante evacuó el traslado conferido. En síntesis, la referida entidad manifestó haber preparado el recurso de casación conforme al criterio jurisprudencial establecido con anterioridad al ATS de 10 de febrero de 2011; que no cabe aplicar retroactivamente y de manera sorpresiva el cambio de criterio jurisprudencial relativo a los requisitos del recurso de preparación del recurso de casación, principalmente porque en el momento de la preparación del recurso la recurrente no pudo tener conocimiento de la referida modificación de criterio; que la aplicación retroactiva de las nuevas pautas jurisprudenciales, que no están previstas legalmente, vulneran el principio de seguridad jurídica; y que es manifiestamente desproporcionado exigir el cumplimiento de un requisito formal, en el escrito de preparación del recurso de casación, cuando dicho recurso ya se ha formalizado.</w:t>
      </w:r>
    </w:p>
    <w:p w:rsidR="0085709A" w:rsidRDefault="0085709A" w:rsidP="0085709A">
      <w:pPr>
        <w:pStyle w:val="TextoNormal"/>
      </w:pPr>
    </w:p>
    <w:p w:rsidR="0085709A" w:rsidRDefault="0085709A" w:rsidP="0085709A">
      <w:pPr>
        <w:pStyle w:val="TextoNormal"/>
      </w:pPr>
      <w:r>
        <w:t>h) Por Auto de 12 de enero de 2012, la Sala Tercera del Tribunal Supremo (Sección Primera) acordó la inadmisión del recurso de casación. La Sala se remitió a la doctrina establecida en ATS de 10 de febrero de 2011, del que transcribió varios de sus fundamentos, y concluyó que no habiéndose citado, en el escrito de preparación del recurso formalizado por la sociedad recurrente, las infracciones normativas o jurisprudenciales que iban a desarrollarse en el escrito de interposición, procedía la inadmisión del recurso de casación. Por otro lado, la Sala consideró de aplicación lo que la doctrina constitucional ha calificado como “mínimo efecto retroactivo”, de manera que el nuevo criterio jurisprudencial resulta extensible a todo supuesto o situación jurídica que tenga ante sí para resolver, con independencia del momento temporal en que se interpuso el recurso.</w:t>
      </w:r>
    </w:p>
    <w:p w:rsidR="0085709A" w:rsidRDefault="0085709A" w:rsidP="0085709A">
      <w:pPr>
        <w:pStyle w:val="TextoNormal"/>
      </w:pPr>
    </w:p>
    <w:p w:rsidR="0085709A" w:rsidRDefault="0085709A" w:rsidP="0085709A">
      <w:pPr>
        <w:pStyle w:val="TextoNormal"/>
      </w:pPr>
      <w:r>
        <w:t>i) En fecha 21 de febrero de 2012, la sociedad demandante de amparo promovió incidente de nulidad de actuaciones en el que, con una extensa argumentación, alegó la vulneración del derecho a la igualdad en la aplicación judicial de la ley (art. 14 CE) y del derecho a la tutela judicial efectiva en su vertiente de acceso a los recursos (art. 24.1 CE).</w:t>
      </w:r>
    </w:p>
    <w:p w:rsidR="0085709A" w:rsidRDefault="0085709A" w:rsidP="0085709A">
      <w:pPr>
        <w:pStyle w:val="TextoNormal"/>
      </w:pPr>
    </w:p>
    <w:p w:rsidR="0085709A" w:rsidRDefault="0085709A" w:rsidP="0085709A">
      <w:pPr>
        <w:pStyle w:val="TextoNormal"/>
      </w:pPr>
      <w:r>
        <w:t>j) Por providencia de 22 de mayo de 2012 fue inadmitido el incidente de nulidad de actuaciones promovido contra el Auto de inadmisión del recurso de casación. En esencia, el órgano judicial considera que la demandante se limita a discrepar de las razones tenidas en consideración para inadmitir el recurso de casación, asimilando el incidente de nulidad a un recurso de súplica.</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las siguientes circunstancias:</w:t>
      </w:r>
    </w:p>
    <w:p w:rsidR="0085709A" w:rsidRDefault="0085709A" w:rsidP="0085709A">
      <w:pPr>
        <w:pStyle w:val="TextoNormal"/>
      </w:pPr>
    </w:p>
    <w:p w:rsidR="0085709A" w:rsidRDefault="0085709A" w:rsidP="0085709A">
      <w:pPr>
        <w:pStyle w:val="TextoNormal"/>
      </w:pPr>
      <w:r>
        <w:t>a) Resulta arbitrario e irracional aplicar retroactivamente un cambio de criterio jurisprudencial, en relación con los requisitos formales para la admisibilidad del recurso de casación, sobre todo cuando se exige la observancia de las nuevas pautas jurisprudenciales una vez formalizado el recurso.</w:t>
      </w:r>
    </w:p>
    <w:p w:rsidR="0085709A" w:rsidRDefault="0085709A" w:rsidP="0085709A">
      <w:pPr>
        <w:pStyle w:val="TextoNormal"/>
      </w:pPr>
    </w:p>
    <w:p w:rsidR="0085709A" w:rsidRDefault="0085709A" w:rsidP="0085709A">
      <w:pPr>
        <w:pStyle w:val="TextoNormal"/>
      </w:pPr>
      <w:r>
        <w:t xml:space="preserve">b) La aplicación retroactiva de un nuevo requisito de forma, no previsto legalmente e introducido </w:t>
      </w:r>
      <w:r w:rsidRPr="0085709A">
        <w:rPr>
          <w:i/>
        </w:rPr>
        <w:t>ex novo</w:t>
      </w:r>
      <w:r>
        <w:t xml:space="preserve"> en virtud de un cambo jurisprudencial, es irracional por vulnerar el principio de seguridad jurídica (art. 9.3 CE).</w:t>
      </w:r>
    </w:p>
    <w:p w:rsidR="0085709A" w:rsidRDefault="0085709A" w:rsidP="0085709A">
      <w:pPr>
        <w:pStyle w:val="TextoNormal"/>
      </w:pPr>
    </w:p>
    <w:p w:rsidR="0085709A" w:rsidRDefault="0085709A" w:rsidP="0085709A">
      <w:pPr>
        <w:pStyle w:val="TextoNormal"/>
      </w:pPr>
      <w:r>
        <w:t>c) El nuevo criterio jurisprudencial violenta el tenor de la norma legal, pues exige cumplimentar, en el escrito de preparación del recurso de casación, un requisito que solamente tiene sentido cuando se recurren en casación sentencias dictadas por los Tribunales Superiores de Justicia, con fundamento en la infracción de una norma estatal o europea.</w:t>
      </w:r>
    </w:p>
    <w:p w:rsidR="0085709A" w:rsidRDefault="0085709A" w:rsidP="0085709A">
      <w:pPr>
        <w:pStyle w:val="TextoNormal"/>
      </w:pPr>
    </w:p>
    <w:p w:rsidR="0085709A" w:rsidRDefault="0085709A" w:rsidP="0085709A">
      <w:pPr>
        <w:pStyle w:val="TextoNormal"/>
      </w:pPr>
      <w:r>
        <w:t>d) En el presente caso ha tenido lugar una modificación irreflexiva y arbitraria de un criterio jurisprudencial consolidado, que es contraria al principio de igualdad (art. 14 CE), máxime porque no ha existido modificación de la normativa que justifique tal cambio de criterio.</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12 de enero del 2012,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316-2011 y al recurso núm. 453-2007,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de fecha 28 de octubre de 2013, el Abogado del Estado, en la representación que le es propia,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fecha 15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de fecha 9 de diciembre del 2013, la sociedad demandante formuló sus alegaciones. En esencia, dicha entidad se remite a lo ya manifestado en el escrito de demanda, reiterando las pretensiones interesadas en dicho escrito.</w:t>
      </w:r>
    </w:p>
    <w:p w:rsidR="0085709A" w:rsidRDefault="0085709A" w:rsidP="0085709A">
      <w:pPr>
        <w:pStyle w:val="TextoNormal"/>
      </w:pPr>
    </w:p>
    <w:p w:rsidR="0085709A" w:rsidRDefault="0085709A" w:rsidP="0085709A">
      <w:pPr>
        <w:pStyle w:val="TextoNormal"/>
      </w:pPr>
      <w:r w:rsidRPr="0085709A">
        <w:rPr>
          <w:rStyle w:val="NumeroAFNegritaCaracter"/>
        </w:rPr>
        <w:t>9</w:t>
      </w:r>
      <w:r>
        <w:t>. . El Abogado del Estado presentó sus alegaciones mediante escrito registrado el día 18 de diciembre de 2013. En síntesis, considera que, a la luz de la doctrina constitucional, el Auto de inadmisión combatido en amparo vulnera el derecho al acceso a los recursos que garantiza el art. 24.1 CE. Para el Abogado del Estado el auténtico problema constitucional que la demanda suscita radica en la aplicación retrospectiva de las nuevas máximas jurisprudenciales plasmadas en el ATS de 10 de febrero de 2011, que la demandante no podía conocer cuando preparó el recurso de casación. En el presente caso, la inadmisión del recurso de casación se sustenta, precisamente, en que no se preparó conforme a las referidas máximas, lo que comporta imponer retroactivamente un novedoso régimen procesal desfavorable a la realización de un acto procesal totalmente concluido. Por tanto, la cuestión principal radica en la irrazonabilidad de una decisión que impone unos requisitos de forma que la parte no tenía posibilidad de conocer ni, por tanto, de cumplir.</w:t>
      </w:r>
    </w:p>
    <w:p w:rsidR="0085709A" w:rsidRDefault="0085709A" w:rsidP="0085709A">
      <w:pPr>
        <w:pStyle w:val="TextoNormal"/>
      </w:pPr>
    </w:p>
    <w:p w:rsidR="0085709A" w:rsidRDefault="0085709A" w:rsidP="0085709A">
      <w:pPr>
        <w:pStyle w:val="TextoNormal"/>
      </w:pPr>
      <w:r>
        <w:t>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10</w:t>
      </w:r>
      <w:r>
        <w:t>. El Ministerio Fiscal presentó sus alegaciones mediante escrito registrado el 13 de enero de 2014. Descarta la vulneración del art. 14 CE, dado que la sociedad demandante no ha ofrecido un desarrollo argumental adecuado para justificar la vulneración de la igualdad en la aplicación de la ley. Tal deficiencia aboca al fracaso del motivo, toda vez que no le corresponde al Tribunal Constitucional reconstruir las demandas de amparo.</w:t>
      </w:r>
    </w:p>
    <w:p w:rsidR="0085709A" w:rsidRDefault="0085709A" w:rsidP="0085709A">
      <w:pPr>
        <w:pStyle w:val="TextoNormal"/>
      </w:pPr>
    </w:p>
    <w:p w:rsidR="0085709A" w:rsidRDefault="0085709A" w:rsidP="0085709A">
      <w:pPr>
        <w:pStyle w:val="TextoNormal"/>
      </w:pPr>
      <w:r>
        <w:t>También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de casación, esto es, la obligación de indicar las concretas infracciones normativas o jurisprudenciales, se desprende del propio tenor de los apartados c) y d) del art. 88 LJCA. Por ello, concluye que el requisito cuyo incumplimiento ha determinado la inadmisión del referido recurso no viene impuesto por la jurisprudencia, sino por la propia normativa legal.</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11</w:t>
      </w:r>
      <w:r>
        <w:t>.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12 de enero de 2012,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12</w:t>
      </w:r>
      <w:r>
        <w:t>. Mediante providencia de fecha 17 de marzo de 2015, el Pleno, en su reunión de esa fecha y conforme establece el artículo 10.1 n) de la Ley Orgánica del Tribunal, a propuesta de la Sala Segunda, acuerda recabar para sí el conocimiento del recurso de amparo.</w:t>
      </w:r>
    </w:p>
    <w:p w:rsidR="0085709A" w:rsidRDefault="0085709A" w:rsidP="0085709A">
      <w:pPr>
        <w:pStyle w:val="TextoNormal"/>
      </w:pPr>
    </w:p>
    <w:p w:rsidR="0085709A" w:rsidRDefault="0085709A" w:rsidP="0085709A">
      <w:pPr>
        <w:pStyle w:val="TextoNormal"/>
      </w:pPr>
      <w:r w:rsidRPr="0085709A">
        <w:rPr>
          <w:rStyle w:val="NumeroAFNegritaCaracter"/>
        </w:rPr>
        <w:t>13</w:t>
      </w:r>
      <w:r>
        <w:t>. Por providencia de fecha 28 de abril de 2015 se señaló para deliberación y fallo de la Sentencia el día 30 del citado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12 de enero de 2012, que acordó no admitir a trámite el recurso de casación interpuesto contra la Sentencia de la Sala de lo Contencioso-Administrativo de la Audiencia Nacional (Sección Segunda) de 16 de diciembre de 2010, recaída en el procedimiento ordinario núm. 453-2007. También impugna la providencia mediante la que se inadmitió a trámite el incidente de nulidad de actuaciones, de fecha 22 de mayo de 2012, promovido contra el Auto citado.</w:t>
      </w:r>
    </w:p>
    <w:p w:rsidR="0085709A" w:rsidRDefault="0085709A" w:rsidP="0085709A">
      <w:pPr>
        <w:pStyle w:val="TextoNormal"/>
      </w:pPr>
    </w:p>
    <w:p w:rsidR="0085709A" w:rsidRDefault="0085709A" w:rsidP="0085709A">
      <w:pPr>
        <w:pStyle w:val="TextoNormal"/>
      </w:pPr>
      <w:r>
        <w:t>La recurrente,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a un supuesto en el que aquella exigencia no era conocida ni predecible a tenor de la jurisprudencia precedente; (iii) la vulneración de su derecho a la igualdad en la aplicación judicial de la ley (art.14 CE), pues entiende que se ha producido una modificación irreflexiva y arbitraria de un criterio jurisprudencial consolidado, sin que se haya producido un cambio de las norma que regula la preparación del recurso de casación.</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lastRenderedPageBreak/>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noviembre 2003, e </w:t>
      </w:r>
      <w:r w:rsidRPr="0085709A">
        <w:rPr>
          <w:i/>
        </w:rPr>
        <w:t>Ipamark c. España</w:t>
      </w:r>
      <w:r>
        <w:t>,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w:t>
      </w:r>
      <w:r>
        <w:lastRenderedPageBreak/>
        <w:t>las normas y la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la excepción que, por disposición legal, establezca el efecto exclusivamente prospectivo de la sentencia, como así se prevé en el art. 100.7 LJCA en el recurso de casación en interés de ley).</w:t>
      </w:r>
    </w:p>
    <w:p w:rsidR="0085709A" w:rsidRDefault="0085709A" w:rsidP="0085709A">
      <w:pPr>
        <w:pStyle w:val="TextoNormal"/>
      </w:pPr>
    </w:p>
    <w:p w:rsidR="0085709A" w:rsidRDefault="0085709A" w:rsidP="0085709A">
      <w:pPr>
        <w:pStyle w:val="TextoNormal"/>
      </w:pPr>
      <w:r>
        <w:lastRenderedPageBreak/>
        <w:t>Así tuvimos ocasión de señalarlo ya en nuestra STC 95/1993, de 22 de marzo, en la que subrayamos que la Sentencia que introduce un cambio jurisprudencia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se continúe con posterioridad (por todas, SSTC 105/2009, de 4 de mayo, FJ 4, y 178/2014, de 3 de noviembre, FJ 4).</w:t>
      </w:r>
    </w:p>
    <w:p w:rsidR="0085709A" w:rsidRDefault="0085709A" w:rsidP="0085709A">
      <w:pPr>
        <w:pStyle w:val="TextoNormal"/>
      </w:pPr>
    </w:p>
    <w:p w:rsidR="0085709A" w:rsidRDefault="0085709A" w:rsidP="0085709A">
      <w:pPr>
        <w:pStyle w:val="TextoNormal"/>
      </w:pPr>
      <w:r>
        <w:t xml:space="preserve">De acuerdo con ello, el Auto del Tribunal Supremo impugnado —lejos de ser una decisión particularizada y adoptada </w:t>
      </w:r>
      <w:r w:rsidRPr="0085709A">
        <w:rPr>
          <w:i/>
        </w:rPr>
        <w:t>ad hoc</w:t>
      </w:r>
      <w:r>
        <w:t xml:space="preserve">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la mercantil Josel, S.L.</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rsidP="0085709A">
      <w:pPr>
        <w:pStyle w:val="ParrafoNormal"/>
      </w:pPr>
    </w:p>
    <w:p w:rsidR="0085709A" w:rsidRDefault="0085709A" w:rsidP="0085709A">
      <w:pPr>
        <w:pStyle w:val="TextoNormalNegritaCentrado"/>
        <w:keepNext/>
      </w:pPr>
      <w:r>
        <w:t>Voto particular que formulan los Magistrados don Fernando Valdés Dal-Ré y don Juan Antonio Xiol Ríos a la Sentencia dictada en el recurso de amparo avocado núm. 3814-2012.</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los votos particulares formulados a las SSTC 7/2015, de 22 de enero, y 16/2015, de 16 de febrero, a los que para evitar reiteraciones innecesarias nos remitimos.</w:t>
      </w:r>
    </w:p>
    <w:p w:rsidR="0085709A" w:rsidRDefault="0085709A" w:rsidP="0085709A">
      <w:pPr>
        <w:pStyle w:val="TextoNormal"/>
      </w:pPr>
    </w:p>
    <w:p w:rsidR="0085709A" w:rsidRDefault="0085709A" w:rsidP="0085709A">
      <w:pPr>
        <w:pStyle w:val="TextoNormal"/>
      </w:pPr>
      <w:r>
        <w:t>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2" w:name="SENTENCIA_2015_79"/>
      <w:r>
        <w:lastRenderedPageBreak/>
        <w:t>SENTENCIA 79/2015, de 30 de abril de 2015</w:t>
      </w:r>
    </w:p>
    <w:bookmarkEnd w:id="82"/>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ECLI:ES:TC:2015:79</w:t>
      </w:r>
    </w:p>
    <w:p w:rsidR="0085709A" w:rsidRDefault="0085709A" w:rsidP="0085709A">
      <w:pPr>
        <w:pStyle w:val="TextoNormalCentrado"/>
      </w:pPr>
    </w:p>
    <w:p w:rsidR="0085709A" w:rsidRDefault="0085709A" w:rsidP="0085709A">
      <w:pPr>
        <w:pStyle w:val="SntesisDescriptiva"/>
      </w:pPr>
      <w:r>
        <w:t>Cuestión de inconstitucionalidad 4921-2012. Planteada por la Sala de lo Social del Tribunal Superior de Justicia de Madrid respecto del segundo inciso del párrafo primero del artículo 174.2 del texto refundido de la Ley general de la Seguridad Social, aprobado por el Real Decreto Legislativo 1/1994, de 20 de junio, en la redacción dada por la Ley 40/2007, de 4 de diciembre, de medidas en materia de Seguridad Social.</w:t>
      </w:r>
    </w:p>
    <w:p w:rsidR="0085709A" w:rsidRDefault="0085709A" w:rsidP="0085709A">
      <w:pPr>
        <w:pStyle w:val="SntesisDescriptiva"/>
      </w:pPr>
    </w:p>
    <w:p w:rsidR="0085709A" w:rsidRDefault="0085709A" w:rsidP="0085709A">
      <w:pPr>
        <w:pStyle w:val="SntesisAnaltica"/>
      </w:pPr>
      <w:r>
        <w:t>Derechos a la igualdad y a la tutela judicial efectiva, principio de mantenimiento de un régimen público de Seguridad Social que garantice prestaciones sociales suficientes ante situaciones de necesidad: inadmisión de la cuestión de inconstitucionalidad por inadecuada formulación del juicio de relevancia.</w:t>
      </w:r>
    </w:p>
    <w:p w:rsidR="0085709A" w:rsidRDefault="0085709A" w:rsidP="0085709A">
      <w:pPr>
        <w:pStyle w:val="SntesisAnaltica"/>
      </w:pPr>
    </w:p>
    <w:p w:rsidR="0085709A" w:rsidRDefault="0085709A" w:rsidP="0085709A">
      <w:pPr>
        <w:pStyle w:val="Extracto"/>
      </w:pPr>
      <w:r>
        <w:t>1.</w:t>
      </w:r>
      <w:r>
        <w:tab/>
        <w:t>Es al órgano judicial promotor de la cuestión a quien compete resolver, ante la nueva doctrina, sobre la naturaleza de la pensión reconocida en el convenio regulador, sin que este Tribunal deba realizar juicio alguno al respecto, por tratarse de un problema de interpretación de la legalidad que sólo incumbe a los Tribunales ordinarios [FJ 4].</w:t>
      </w:r>
    </w:p>
    <w:p w:rsidR="0085709A" w:rsidRDefault="0085709A" w:rsidP="0085709A">
      <w:pPr>
        <w:pStyle w:val="Extracto"/>
      </w:pPr>
    </w:p>
    <w:p w:rsidR="0085709A" w:rsidRDefault="0085709A" w:rsidP="0085709A">
      <w:pPr>
        <w:pStyle w:val="Extracto"/>
      </w:pPr>
      <w:r>
        <w:t>2.</w:t>
      </w:r>
      <w:r>
        <w:tab/>
        <w:t>Si bien el órgano judicial proponente de la cuestión de inconstitucionalidad ha exteriorizado el juicio de aplicabilidad y relevancia sobre el precepto legal cuestionado, no se puede afirmar que de la validez del precepto cuestionado dependa el fallo del proceso</w:t>
      </w:r>
      <w:r w:rsidRPr="0085709A">
        <w:rPr>
          <w:i/>
        </w:rPr>
        <w:t xml:space="preserve"> a quo </w:t>
      </w:r>
      <w:r>
        <w:t>[FJ 5].</w:t>
      </w:r>
    </w:p>
    <w:p w:rsidR="0085709A" w:rsidRDefault="0085709A" w:rsidP="0085709A">
      <w:pPr>
        <w:pStyle w:val="Extracto"/>
      </w:pPr>
    </w:p>
    <w:p w:rsidR="0085709A" w:rsidRDefault="0085709A" w:rsidP="0085709A">
      <w:pPr>
        <w:pStyle w:val="Extracto"/>
      </w:pPr>
      <w:r>
        <w:t>3.</w:t>
      </w:r>
      <w:r>
        <w:tab/>
        <w:t>Es exigible que la norma cuestionada supere el llamado ‘juicio de relevancia’, que se erige en uno de los requisitos esenciales que impide que la cuestión de inconstitucionalidad pueda resultar desvirtuada por un uso no acomodado a su naturaleza y finalidad; lo que sucedería si se utilizase para obtener pronunciamientos innecesarios o indiferentes para la decisión del proceso en que la cuestión se suscita (STC 42/2013) [FJ 3].</w:t>
      </w:r>
    </w:p>
    <w:p w:rsidR="0085709A" w:rsidRDefault="0085709A" w:rsidP="0085709A">
      <w:pPr>
        <w:pStyle w:val="Extracto"/>
      </w:pPr>
    </w:p>
    <w:p w:rsidR="0085709A" w:rsidRDefault="0085709A" w:rsidP="0085709A">
      <w:pPr>
        <w:pStyle w:val="Extracto"/>
      </w:pPr>
      <w:r>
        <w:t>4.</w:t>
      </w:r>
      <w:r>
        <w:tab/>
        <w:t>Es a los Jueces y Tribunales ordinarios que plantean las cuestiones de inconstitucionalidad a los que corresponde comprobar y exteriorizar,</w:t>
      </w:r>
      <w:r w:rsidRPr="0085709A">
        <w:rPr>
          <w:i/>
        </w:rPr>
        <w:t xml:space="preserve"> prima facie</w:t>
      </w:r>
      <w:r>
        <w:t xml:space="preserve">, dicho juicio de relevancia, sin que este Tribunal pueda sustituir, rectificar o integrar el criterio de los órganos judiciales proponentes, salvo en los supuestos en los que de manera notoria, sin necesidad de examinar el fondo debatido y en aplicación de principios jurídicos básicos se desprenda que no media nexo causal alguno entre la validez de la norma cuestionada y la resolución del proceso </w:t>
      </w:r>
      <w:r w:rsidRPr="0085709A">
        <w:rPr>
          <w:i/>
        </w:rPr>
        <w:t xml:space="preserve">a quo </w:t>
      </w:r>
      <w:r>
        <w:t>(SSTC  179/2009, 166/2012) [FJ 3].</w:t>
      </w:r>
    </w:p>
    <w:p w:rsidR="0085709A" w:rsidRDefault="0085709A" w:rsidP="0085709A">
      <w:pPr>
        <w:pStyle w:val="Extracto"/>
      </w:pPr>
    </w:p>
    <w:p w:rsidR="0085709A" w:rsidRDefault="0085709A" w:rsidP="0085709A">
      <w:pPr>
        <w:pStyle w:val="Extracto"/>
      </w:pPr>
      <w:r>
        <w:t>5.</w:t>
      </w:r>
      <w:r>
        <w:tab/>
        <w:t xml:space="preserve">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w:t>
      </w:r>
      <w:r>
        <w:lastRenderedPageBreak/>
        <w:t>tanto procesales como de fundamentación, requeridos para el válido planteamiento de la cuestión de inconstitucionalidad (STC 42/2003)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4921-2012, planteada por la Sala de lo Social del Tribunal Superior de Justicia de Madrid respecto del segundo inciso del párrafo primero del art. 174.2 del texto refundido de la Ley general de la Seguridad Social, aprobado por el Real Decreto Legislativo 1/1994, de 20 de junio en la redacción dada por la Ley 40/2007, de 4 de diciembre, de medidas en materia de Seguridad Social. Ha intervenido el Fiscal General del Estado. Han comparecido y presentado alegaciones, en la representación que ostentan, el Abogado del Estado y la Letrada de la Administración de la Seguridad Social. Ha sido Ponente la Magistrada doña Encarnación Roca Trias,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31 de agosto de 2012 tuvo entrada en el Registro General de este Tribunal un escrito de la Sala de lo Social del Tribunal Superior de Justicia de Madrid. Junto con el testimonio de las actuaciones del procedimiento núm. 1601-09 del Juzgado de lo Social núm. 16 de Madrid y del rollo de suplicación núm. 100-12 que se tramita ante dicha Sala, se acompaña el Auto de 11 de julio de 2012 por el que se acuerda plantear cuestión de inconstitucionalidad respecto del segundo inciso del párrafo primero del art. 174.2 de la Ley general de la Seguridad Social (LGSS), en la redacción dada por la Ley 40/2007, de medidas en materia de Seguridad Social, por posible vulneración de los arts. 14, 24.1 y 41 CE.</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cuestión de inconstitucionalidad planteada son, en síntesis, los siguientes:</w:t>
      </w:r>
    </w:p>
    <w:p w:rsidR="0085709A" w:rsidRDefault="0085709A" w:rsidP="0085709A">
      <w:pPr>
        <w:pStyle w:val="TextoNormal"/>
      </w:pPr>
    </w:p>
    <w:p w:rsidR="0085709A" w:rsidRDefault="0085709A" w:rsidP="0085709A">
      <w:pPr>
        <w:pStyle w:val="TextoNormal"/>
      </w:pPr>
      <w:r>
        <w:t>a) Doña A.S.M. solicitó el 1 de junio de 2009 al Instituto Nacional de la Seguridad Social (INSS) el reconocimiento de la pensión de viudedad como consecuencia del fallecimiento de don A.A.V., ocurrido el 26 de marzo de 2009 y de quien se había divorciado por Sentencia de 7 de febrero de 1983, que aprobó el convenio regulador propuesto por las partes.</w:t>
      </w:r>
    </w:p>
    <w:p w:rsidR="0085709A" w:rsidRDefault="0085709A" w:rsidP="0085709A">
      <w:pPr>
        <w:pStyle w:val="TextoNormal"/>
      </w:pPr>
    </w:p>
    <w:p w:rsidR="0085709A" w:rsidRDefault="0085709A" w:rsidP="0085709A">
      <w:pPr>
        <w:pStyle w:val="TextoNormal"/>
      </w:pPr>
      <w:r>
        <w:t>La resolución de la Dirección Provincial del Instituto Nacional de la Seguridad Social de 3 de junio de 2009, denegó la solicitud de reconocimiento de la pensión de viudedad por no tener doña A.S.M., en el momento del fallecimiento, derecho a la pensión compensatoria a que se refiere el art. 97 del Código civil (CC), conforme a lo dispuesto en el párrafo primero del art. 174.2 LGSS, en la redacción dada por la Ley 40/2007, de 4 de diciembre. Interpuesta reclamación previa contra esta resolución, fue también desestimada por la entidad gestora, mediante resolución de 2 de septiembre de 2009, en la que, tras recordar lo establecido en el art. 174.2 LGSS, expone que en el convenio regulador aportado al expediente se indica que el causante deberá abonar a la esposa una “pensión alimenticia”, sin mencionarse el concepto de “pensión compensatoria”.</w:t>
      </w:r>
    </w:p>
    <w:p w:rsidR="0085709A" w:rsidRDefault="0085709A" w:rsidP="0085709A">
      <w:pPr>
        <w:pStyle w:val="TextoNormal"/>
      </w:pPr>
    </w:p>
    <w:p w:rsidR="0085709A" w:rsidRDefault="0085709A" w:rsidP="0085709A">
      <w:pPr>
        <w:pStyle w:val="TextoNormal"/>
      </w:pPr>
      <w:r>
        <w:t>b) Formulada demanda por la interesada contra la anterior resolución administrativa, correspondió conocer de la misma al Juzgado de lo Social núm. 16 de Madrid (autos núm. 1601-2009), que dictó Sentencia el 23 de septiembre de 2011.</w:t>
      </w:r>
    </w:p>
    <w:p w:rsidR="0085709A" w:rsidRDefault="0085709A" w:rsidP="0085709A">
      <w:pPr>
        <w:pStyle w:val="TextoNormal"/>
      </w:pPr>
    </w:p>
    <w:p w:rsidR="0085709A" w:rsidRDefault="0085709A" w:rsidP="0085709A">
      <w:pPr>
        <w:pStyle w:val="TextoNormal"/>
      </w:pPr>
      <w:r>
        <w:t>Entre otros hechos, en dicha resolución se declara probado que, por Sentencia del Juzgado de Primera Instancia e Instrucción núm. 24 de Madrid de 7 de febrero de 1983, se dispone la separación de los cónyuges y se aprueba el convenio regulador suscrito por ambos, en el que se fija una determinada cantidad para la esposa en concepto de pensión alimenticia. Respecto de dicho hecho probado se solicita revisión por la demandante en el recurso de suplicación, a efectos, entre otros, de que, conforme se refleja en la citada Sentencia de la jurisdicción civil, se indique que este pronunciamiento judicial declaró la disolución del matrimonio y aprobó el convenio regulador del divorcio. Este error fue solventado por el Juzgado de lo Social.</w:t>
      </w:r>
    </w:p>
    <w:p w:rsidR="0085709A" w:rsidRDefault="0085709A" w:rsidP="0085709A">
      <w:pPr>
        <w:pStyle w:val="TextoNormal"/>
      </w:pPr>
    </w:p>
    <w:p w:rsidR="0085709A" w:rsidRDefault="0085709A" w:rsidP="0085709A">
      <w:pPr>
        <w:pStyle w:val="TextoNormal"/>
      </w:pPr>
      <w:r>
        <w:t>Tras exponer su fundamentación, la Sentencia del Juzgado de lo Social desestima la demanda, por entender que la pensión establecida en favor de la esposa en el convenio regulador lo fue en concepto de alimentos.</w:t>
      </w:r>
    </w:p>
    <w:p w:rsidR="0085709A" w:rsidRDefault="0085709A" w:rsidP="0085709A">
      <w:pPr>
        <w:pStyle w:val="TextoNormal"/>
      </w:pPr>
    </w:p>
    <w:p w:rsidR="0085709A" w:rsidRDefault="0085709A" w:rsidP="0085709A">
      <w:pPr>
        <w:pStyle w:val="TextoNormal"/>
      </w:pPr>
      <w:r>
        <w:t>c) Contra dicha Sentencia interpuso la interesada recurso de suplicación, sustanciado bajo el núm. 100-2012, ante la Sala de lo Social del Tribunal Superior de Justicia de Madrid. Tras haberse fijado como fecha de votación y fallo el día 24 de mayo de 2012, la Sala dictó providencia el mismo 24 de mayo de 2012, por la que acordó oír a las partes y al Ministerio Fiscal por término de diez días, de conformidad con lo previsto en el art. 35.2 de la ley Orgánica del Tribunal Constitucional (LOTC), para que alegaran lo que estimaran conveniente sobre el planteamiento de cuestión de inconstitucionalidad respecto al “art. 174.2 párrafo segundo de la vigente Ley General de la Seguridad Social”. En concreto, la providencia indica que las dudas de constitucionalidad se plantean respecto a la compatibilidad de dicha previsión con el art. 14 CE, en relación con los arts. 24.1 y 41 CE, en cuanto que excluye a las personas separadas judicialmente a las que, en vez de pensión compensatoria se les fijó, a su favor y a cargo de su cónyuge, pensión de alimentos.</w:t>
      </w:r>
    </w:p>
    <w:p w:rsidR="0085709A" w:rsidRDefault="0085709A" w:rsidP="0085709A">
      <w:pPr>
        <w:pStyle w:val="TextoNormal"/>
      </w:pPr>
    </w:p>
    <w:p w:rsidR="0085709A" w:rsidRDefault="0085709A" w:rsidP="0085709A">
      <w:pPr>
        <w:pStyle w:val="TextoNormal"/>
      </w:pPr>
      <w:r>
        <w:t>d) Mediante escrito registrado el 5 de junio de 2012, el Letrado de la Administración de la Seguridad Social, en nombre y representación del INSS y de la Tesorería General de la Seguridad Social, formuló sus alegaciones, en las que señala que la Sentencia del Tribunal Supremo, Sala de lo Social, de 14 de febrero de 2012, se ha pronunciado ya sobre este asunto, remitiéndose en su totalidad a sus argumentos.</w:t>
      </w:r>
    </w:p>
    <w:p w:rsidR="0085709A" w:rsidRDefault="0085709A" w:rsidP="0085709A">
      <w:pPr>
        <w:pStyle w:val="TextoNormal"/>
      </w:pPr>
    </w:p>
    <w:p w:rsidR="0085709A" w:rsidRDefault="0085709A" w:rsidP="0085709A">
      <w:pPr>
        <w:pStyle w:val="TextoNormal"/>
      </w:pPr>
      <w:r>
        <w:t>e) También la interesada presentó su escrito de alegaciones, en el que muestra su opinión favorable a la tramitación de la cuestión de inconstitucionalidad. En tal sentido expone que la interpretación literal del art. 174.2 LGSS da lugar a una evidente inconstitucionalidad, por cuanto la referencia a la pensión compensatoria del art. 97 CC excluye la consideración a los efectos, allí previstos, de otras pensiones cuyo derecho nace del matrimonio y que se hubieren pactado entre las partes o establecido judicialmente tras la disolución del matrimonio, con la misma finalidad de compensar la dependencia económica del cónyuge beneficiario respecto al obligado a darla.</w:t>
      </w:r>
    </w:p>
    <w:p w:rsidR="0085709A" w:rsidRDefault="0085709A" w:rsidP="0085709A">
      <w:pPr>
        <w:pStyle w:val="TextoNormal"/>
      </w:pPr>
    </w:p>
    <w:p w:rsidR="0085709A" w:rsidRDefault="0085709A" w:rsidP="0085709A">
      <w:pPr>
        <w:pStyle w:val="TextoNormal"/>
      </w:pPr>
      <w:r>
        <w:t>Tras poner de relieve el origen del precepto cuestionado, empieza destacando que los Tribunales han venido reconociendo que la finalidad de esta norma es atender a la realidad de una cierta dependencia económica del beneficiario respecto del causante y que, por tal razón, han huido de una interpretación literal del tenor legal, admitiendo como aptas para la percepción de la pensión de viudedad las pensiones establecidas en acuerdos privados y no en sentencia, con nomenclaturas distintas a la de pensión compensatoria —como, por ejemplo, “auxilio económico”—, por entender que, independientemente de que fueran reconocidas en Sentencia o en convenio privado o tuvieran un nombre u otro, se trataba de rentas periódicas establecidas en favor de uno de los cónyuges tras la separación para paliar el desequilibrio económico sufrido. El escrito pone, no obstante, de relieve que la cuestión ha sido finalmente resuelta por el Tribunal Supremo en favor de una interpretación restrictiva y literal del precepto, al considerar que, conforme a la ley, la situación de dependencia a efectos de la pensión de viudedad se da, exclusivamente, cuando se acredita la pensión compensatoria del art. 97 CC, por lo que no cabe otorgar esta prestación cuando se percibe pensión de alimentos (SSTS de 14 y 21 de febrero de 2012; y de 21 de marzo de 2012).</w:t>
      </w:r>
    </w:p>
    <w:p w:rsidR="0085709A" w:rsidRDefault="0085709A" w:rsidP="0085709A">
      <w:pPr>
        <w:pStyle w:val="TextoNormal"/>
      </w:pPr>
    </w:p>
    <w:p w:rsidR="0085709A" w:rsidRDefault="0085709A" w:rsidP="0085709A">
      <w:pPr>
        <w:pStyle w:val="TextoNormal"/>
      </w:pPr>
      <w:r>
        <w:t>A juicio de la interesada, si la pensión de viudedad se concibe como una verdadera renta de sustitución destinada a situaciones en que existiese dependencia económica del sobreviviente respecto del causante de la pensión, resulta claramente discriminatorio que se limite exclusivamente la protección a supuestos en que se hubiere reconocido una pensión compensatoria y no una alimenticia, dado que, siendo ambas en beneficio del cónyuge perjudicado por la separación o divorcio, la alimenticia implica no sólo indemnización o compensación por desequilibrio económico, sino financiación de necesidades básicas, cumpliéndose si cabe, con mayor eficacia que en la compensatoria, el requisito de dependencia económica entre cónyuges, que determinaría el derecho a la pensión de viudedad tras el fallecimiento del que prestaba la ayuda. Tras alegar la doctrina constitucional sentada en las SSTC 184/1990 y 15/1991 respecto a la finalidad de la pensión de viudedad, el escrito alude a la vulneración del mandato constitucional contenido en el art. 41 CC por parte del art. 174.2 LGSS, por cuanto la norma cuestionada excluye de protección a un colectivo, sin justificación. Todo ello, considera, ha de entenderse en relación al art. 24.1 CE.</w:t>
      </w:r>
    </w:p>
    <w:p w:rsidR="0085709A" w:rsidRDefault="0085709A" w:rsidP="0085709A">
      <w:pPr>
        <w:pStyle w:val="TextoNormal"/>
      </w:pPr>
    </w:p>
    <w:p w:rsidR="0085709A" w:rsidRDefault="0085709A" w:rsidP="0085709A">
      <w:pPr>
        <w:pStyle w:val="TextoNormal"/>
      </w:pPr>
      <w:r>
        <w:t xml:space="preserve">Por último, añade que cuando, como en este caso, las Sentencias de separación o divorcio y sus convenios fueron dictados muchos años antes de que se reformara la pensión de viudedad y cuando todavía la jurisprudencia matrimonial estaba en fase de consolidación, la decisión terminológica de calificar la pensión a recibir de un modo u otro por la esposa, manteniendo su carácter de ayuda por haber sido perjudicada por la disolución matrimonial, no puede configurarse como elemento en perjuicio de la misma. Al respecto indica que no </w:t>
      </w:r>
      <w:r>
        <w:lastRenderedPageBreak/>
        <w:t>puede castigarse a la demandante de la pensión de viudedad con una redacción legal excluyente y sobrevenida porque ello implica, no sólo discriminación, sino también una evidente indefensión.</w:t>
      </w:r>
    </w:p>
    <w:p w:rsidR="0085709A" w:rsidRDefault="0085709A" w:rsidP="0085709A">
      <w:pPr>
        <w:pStyle w:val="TextoNormal"/>
      </w:pPr>
    </w:p>
    <w:p w:rsidR="0085709A" w:rsidRDefault="0085709A" w:rsidP="0085709A">
      <w:pPr>
        <w:pStyle w:val="TextoNormal"/>
      </w:pPr>
      <w:r>
        <w:t>Por todas las razones expuestas, la interesada considera que el art. 174.2 LGSS resulta inconstitucional.</w:t>
      </w:r>
    </w:p>
    <w:p w:rsidR="0085709A" w:rsidRDefault="0085709A" w:rsidP="0085709A">
      <w:pPr>
        <w:pStyle w:val="TextoNormal"/>
      </w:pPr>
    </w:p>
    <w:p w:rsidR="0085709A" w:rsidRDefault="0085709A" w:rsidP="0085709A">
      <w:pPr>
        <w:pStyle w:val="TextoNormal"/>
      </w:pPr>
      <w:r>
        <w:t>f) El Fiscal, en escrito registrado el 21 de junio de 2012, presentó asimismo alegaciones, a efectos de informar que resulta procedente el planteamiento de la cuestión de inconstitucionalidad, en atención a las siguientes razones: en primer lugar, por considerar que se cumplen los requisitos formales exigidos por la STC 26/1984, dado que nos encontramos ante una ley que resulta aplicable al caso, dependiendo finalmente el fallo de su validez; y en segundo lugar, por entender que, en la medida en que el art. 174.2 LGSS establece el requisito de que se perciba pensión compensatoria conforme al art. 97 CC —a salvo del supuesto excepcional que contempla— y, en consecuencia, excluye de la prestación a quienes no disponían o no cobraban dicha pensión compensatoria, ha de concluirse que el precepto conlleva una vulneración del principio de igualdad ante la ley que implica la no discriminación por razón de “condición o situación personal”. Por tales motivos, el Ministerio Fiscal no se opone al planteamiento de la cuestión de inconstitucionalidad propuesta.</w:t>
      </w:r>
    </w:p>
    <w:p w:rsidR="0085709A" w:rsidRDefault="0085709A" w:rsidP="0085709A">
      <w:pPr>
        <w:pStyle w:val="TextoNormal"/>
      </w:pPr>
    </w:p>
    <w:p w:rsidR="0085709A" w:rsidRDefault="0085709A" w:rsidP="0085709A">
      <w:pPr>
        <w:pStyle w:val="TextoNormal"/>
      </w:pPr>
      <w:r w:rsidRPr="0085709A">
        <w:rPr>
          <w:rStyle w:val="NumeroAFNegritaCaracter"/>
        </w:rPr>
        <w:t>3</w:t>
      </w:r>
      <w:r>
        <w:t>. La Sala de lo Social del Tribunal Superior de Justicia de Madrid dictó el Auto de 11 de julio de 2012, por el que acuerda suspender las actuaciones y plantear cuestión de inconstitucionalidad respecto al referido inciso del art. 174.2 LGSS, por posible vulneración de los arts. 14, 24.1 y 41 CE, en tanto que la norma cuestionada excluye de la pensión de viudedad a las personas divorciadas o separadas que sean acreedoras de pensión alimenticia. Fundamenta el planteamiento de la cuestión de inconstitucionalidad en las consideraciones que seguidamente, y de forma resumida, se indican.</w:t>
      </w:r>
    </w:p>
    <w:p w:rsidR="0085709A" w:rsidRDefault="0085709A" w:rsidP="0085709A">
      <w:pPr>
        <w:pStyle w:val="TextoNormal"/>
      </w:pPr>
    </w:p>
    <w:p w:rsidR="0085709A" w:rsidRDefault="0085709A" w:rsidP="0085709A">
      <w:pPr>
        <w:pStyle w:val="TextoNormal"/>
      </w:pPr>
      <w:r>
        <w:t xml:space="preserve">a) De entrada, y tras recordar los antecedentes del litigio, el Tribunal que formula la cuestión empieza delimitando el objeto del proceso </w:t>
      </w:r>
      <w:r w:rsidRPr="0085709A">
        <w:rPr>
          <w:i/>
        </w:rPr>
        <w:t>a quo</w:t>
      </w:r>
      <w:r>
        <w:t xml:space="preserve">. Señala que nos encontramos ante un supuesto en que, por convenio regulador de divorcio aprobado por Sentencia judicial, se reconoció a la demandante “pensión de alimentos” para el tiempo posterior a la disolución del vínculo matrimonial, a partir del cual ya no hay obligación alimenticia. Asimismo, indica que “si bien una primera aproximación a la cuestión sería entender que tal pensión de alimentos es en realidad una pensión compensatoria”, ello no resulta posible en atención a la jurisprudencia del Tribunal Supremo “fijada en unificación de doctrina y a la que debe estarse a efectos de fijar el alcance del art. 174-2 de la Ley 4/2007 que condiciona la pensión de viudedad de las personas divorciadas judicialmente —como la actora— a que ‘en todo caso’ sean ‘acreedoras de la pensión compensatoria a que se refiere el art. 97 del Código Civil’.” A tal fin, el Auto reproduce algunos párrafos de la Sentencia de la Sala de lo Social del Tribunal Supremo de 21 de febrero de 2012, en la que, tras remarcar que la doctrina de la Sala Primera del Tribunal Supremo ha establecido claramente las diferencias existentes respecto al concepto y finalidad de la pensión compensatoria </w:t>
      </w:r>
      <w:r w:rsidRPr="0085709A">
        <w:rPr>
          <w:i/>
        </w:rPr>
        <w:t>ex</w:t>
      </w:r>
      <w:r>
        <w:t xml:space="preserve"> art. 97 CC y la pensión alimenticia arts. 142 y ss. CC, concluye que el tenor del art. 174.2 LGSS es contundente al condicionar la percepción de la pensión de viudedad para las personas divorciadas o separadas judicialmente a que sean acreedoras de la pensión compensatoria referida en el art. 97 CC cuando se extinga por el fallecimiento del causante. Es, pues, claro, dice el órgano promotor, que la referencia legal a la pensión compensatoria excluye la pensión de alimentos </w:t>
      </w:r>
      <w:r>
        <w:lastRenderedPageBreak/>
        <w:t>del cónyuge divorciado, aunque tal pensión se fije en el convenio regulador que puso fin al vínculo matrimonial, considerando que tal exclusión carece de justificación objetiva y racional, pudiendo, por tal razón, ser inconstitucional al suponer una desigualdad injustificada. En la medida, por tanto, en que de la aplicación o no del precepto depende, exclusivamente, la estimación o no de la demanda, es por lo que el Tribunal Superior de Justicia plantea la presente cuestión de inconstitucionalidad.</w:t>
      </w:r>
    </w:p>
    <w:p w:rsidR="0085709A" w:rsidRDefault="0085709A" w:rsidP="0085709A">
      <w:pPr>
        <w:pStyle w:val="TextoNormal"/>
      </w:pPr>
    </w:p>
    <w:p w:rsidR="0085709A" w:rsidRDefault="0085709A" w:rsidP="0085709A">
      <w:pPr>
        <w:pStyle w:val="TextoNormal"/>
      </w:pPr>
      <w:r>
        <w:t xml:space="preserve">b) En su argumentación, el Auto recuerda la jurisprudencia de la Sala de lo Civil del Tribunal Supremo sobre la pensión compensatoria del art. 97 CC, transcribiendo </w:t>
      </w:r>
      <w:r w:rsidRPr="0085709A">
        <w:rPr>
          <w:i/>
        </w:rPr>
        <w:t>ad exemplum</w:t>
      </w:r>
      <w:r>
        <w:t xml:space="preserve"> algunos fragmentos de la Sentencia del Tribunal Supremo núm. 839/2008, dictada por la Sala Cuarta, en los que se pone de relieve que la finalidad de esta pensión no es subvenir las necesidades del cónyuge, sino compensar razonablemente el desequilibrio que la separación o el divorcio produzcan en uno de ellos, tratándose de un derecho al que el beneficiario puede renunciar; por el contrario, el derecho de alimentos constituye una protección de las necesidades vitales de una persona, que no puede ser renunciado previamente. Conforme a esta jurisprudencia civil, el carácter familiar de la prestación alimenticia hace que se extinga cuando los cónyuges han obtenido el divorcio, aunque se mantiene mientras subsiste el vínculo matrimonial, a pesar de haberse producido la separación.</w:t>
      </w:r>
    </w:p>
    <w:p w:rsidR="0085709A" w:rsidRDefault="0085709A" w:rsidP="0085709A">
      <w:pPr>
        <w:pStyle w:val="TextoNormal"/>
      </w:pPr>
    </w:p>
    <w:p w:rsidR="0085709A" w:rsidRDefault="0085709A" w:rsidP="0085709A">
      <w:pPr>
        <w:pStyle w:val="TextoNormal"/>
      </w:pPr>
      <w:r>
        <w:t xml:space="preserve">No obstante, según indica el Auto, esta jurisprudencia no cubre la totalidad de la práctica jurisdiccional, que es la que permite explicar las pensiones alimenticias fijadas por Sentencia para el tiempo posterior a la disolución del vínculo. En tal sentido, hace alusión a la indiferenciación terminológica que existía en los años ochenta en que empezaban los primeros pasos de la jurisdicción sobre la legislación del divorcio, y que respondían a la propia dinámica del proceso judicial, fijándose en las medidas provisionales o provisionalísimas una ayuda alimenticia a la mujer —como pensión de alimentos y no como pensión compensatoria—, sucediendo en muchos casos que tal pensión alimenticia se ratificaba en la Sentencia “sin transformarla </w:t>
      </w:r>
      <w:r w:rsidRPr="0085709A">
        <w:rPr>
          <w:i/>
        </w:rPr>
        <w:t>nominatem [sic</w:t>
      </w:r>
      <w:r>
        <w:t xml:space="preserve">] en compensatoria”. Por tanto, dice el Tribunal Superior de Justicia, en la práctica no eran infrecuentes casos, como el presente, en que la viuda divorciada tiene reconocida una pensión alimenticia “para el tiempo posterior a la disolución del vínculo”, o sea con la misma </w:t>
      </w:r>
      <w:r w:rsidRPr="0085709A">
        <w:rPr>
          <w:i/>
        </w:rPr>
        <w:t>ratio legis</w:t>
      </w:r>
      <w:r>
        <w:t xml:space="preserve"> de la pensión compensatoria, pese a lo cual, el legislador, “con exceso rituario”, convierte en distinto lo que sólo lo es en teoría, y por tanto construye una irrealidad formal para negar una realidad material.</w:t>
      </w:r>
    </w:p>
    <w:p w:rsidR="0085709A" w:rsidRDefault="0085709A" w:rsidP="0085709A">
      <w:pPr>
        <w:pStyle w:val="TextoNormal"/>
      </w:pPr>
    </w:p>
    <w:p w:rsidR="0085709A" w:rsidRDefault="0085709A" w:rsidP="0085709A">
      <w:pPr>
        <w:pStyle w:val="TextoNormal"/>
      </w:pPr>
      <w:r>
        <w:t>c) En el Auto se hace asimismo referencia a que, conforme ha señalado el Tribunal Constitucional, la pensión de viudedad no tiene como finalidad estricta atender a una situación de necesidad o dependencia económica, sino más bien compensar el daño sufrido por la falta o minoración de ingresos y afrontar las repercusiones económicas causadas por la actualización de una contingencia, siendo irrelevante que el fallecimiento cree o no un estado de necesidad (STC 184/1990 y ATC 393/2004). Por ello, dice el órgano promotor, desde esta perspectiva es evidente la indiferencia del nominalismo “compensatoria” o “alimenticia” de la pensión que la demandante percibía del causante, pues lo trascendente es que el óbito le priva de unos ingresos económicos.</w:t>
      </w:r>
    </w:p>
    <w:p w:rsidR="0085709A" w:rsidRDefault="0085709A" w:rsidP="0085709A">
      <w:pPr>
        <w:pStyle w:val="TextoNormal"/>
      </w:pPr>
    </w:p>
    <w:p w:rsidR="0085709A" w:rsidRDefault="0085709A" w:rsidP="0085709A">
      <w:pPr>
        <w:pStyle w:val="TextoNormal"/>
      </w:pPr>
      <w:r>
        <w:t xml:space="preserve">Si bien el Auto recuerda la doctrina constitucional sobre el amplio margen de libertad del legislador para configurar el sistema de Seguridad Social, también precisa que ello deberá hacerse con respeto a la Constitución y, especialmente, al principio de igualdad (art. </w:t>
      </w:r>
      <w:r>
        <w:lastRenderedPageBreak/>
        <w:t>14 CE). Al respecto indica que, sin perjuicio de que en atención a las disponibilidades económicas de cada momento, se puedan diferenciar los posibles beneficiarios de la prestación en atención a criterios de necesidad relativa o a otros igualmente racionales (STC 222/1992), no parece razonable distinguir entre viudas acreedoras de pensión compensatoria y viudas acreedoras de pensión alimenticia a cargo del causante.</w:t>
      </w:r>
    </w:p>
    <w:p w:rsidR="0085709A" w:rsidRDefault="0085709A" w:rsidP="0085709A">
      <w:pPr>
        <w:pStyle w:val="TextoNormal"/>
      </w:pPr>
    </w:p>
    <w:p w:rsidR="0085709A" w:rsidRDefault="0085709A" w:rsidP="0085709A">
      <w:pPr>
        <w:pStyle w:val="TextoNormal"/>
      </w:pPr>
      <w:r>
        <w:t xml:space="preserve">Abundando en esta idea, y tras recordar la jurisprudencia constitucional sobre el juicio de igualdad, el Tribunal proponente concluye que la diferencia entre “los cónyuges acreedores de pensión compensatoria y los cónyuges acreedores de pensión de alimentos” es puramente nominalista y caprichosa, dando lugar a un tratamiento diferente que es artificioso y arbitrario, al existir identidad social, económica y jurídica entre los dos grupos de pensionistas, lo que constituye un trato discriminatorio injustificado. De hecho, desde la </w:t>
      </w:r>
      <w:r w:rsidRPr="0085709A">
        <w:rPr>
          <w:i/>
        </w:rPr>
        <w:t>ratio legis</w:t>
      </w:r>
      <w:r>
        <w:t xml:space="preserve"> de la norma de avanzar en la configuración de la pensión de viudedad como una “renta de sustitución”, considera que tiene mayor justificación su reconocimiento en los supuestos de pensión alimenticia que en los de pensión compensatoria, pues la dependencia económica del causante que evidencia la primera es mayor, en tanto que atiende al mero sustento vital y, en cambio, la compensatoria supone un plus jurídico sobre el mero derecho de manutención dirigido a conservar en cierta manera el estatus económico de que se disfrutaba. A juicio del órgano promotor, la exclusión de la pensión alimenticia y la inclusión de la pensión compensatoria supone en realidad una discriminación sociológica, contraria a la finalidad constitucional de nuestro sistema de Seguridad Social </w:t>
      </w:r>
      <w:r w:rsidRPr="0085709A">
        <w:rPr>
          <w:i/>
        </w:rPr>
        <w:t>ex</w:t>
      </w:r>
      <w:r>
        <w:t xml:space="preserve"> art. 41 CE, en cuanto que protege a los menos necesitados en perjuicio de los más necesitados.</w:t>
      </w:r>
    </w:p>
    <w:p w:rsidR="0085709A" w:rsidRDefault="0085709A" w:rsidP="0085709A">
      <w:pPr>
        <w:pStyle w:val="TextoNormal"/>
      </w:pPr>
    </w:p>
    <w:p w:rsidR="0085709A" w:rsidRDefault="0085709A" w:rsidP="0085709A">
      <w:pPr>
        <w:pStyle w:val="TextoNormal"/>
      </w:pPr>
      <w:r>
        <w:t>También remarca el Auto que las pensiones alimenticias a los cónyuges separados o divorciados se reconocieron como consecuencia de una práctica que proporcionó un medio económico vital que luego ratificó la resolución judicial. La exclusión de estas pensiones supone penalizar la tutela judicial proporcionada y, por tanto, resulta contraria al art. 24.1 CE, pues constituye una aberración jurídica que la tutela judicial de una situación económica de necesidad se convierta en instrumento legal de pérdida del derecho prestacional o que el reconocimiento en sede judicial de una pensión con nombre diverso al que específicamente emplea la ley, pueda utilizarse por el legislador como hecho negador de tal reconocimiento.</w:t>
      </w:r>
    </w:p>
    <w:p w:rsidR="0085709A" w:rsidRDefault="0085709A" w:rsidP="0085709A">
      <w:pPr>
        <w:pStyle w:val="TextoNormal"/>
      </w:pPr>
    </w:p>
    <w:p w:rsidR="0085709A" w:rsidRDefault="0085709A" w:rsidP="0085709A">
      <w:pPr>
        <w:pStyle w:val="TextoNormal"/>
      </w:pPr>
      <w:r>
        <w:t>d) Tras las anteriores consideraciones, el órgano judicial indica que la forma de superar la discriminación exige “entender incluidos entre los/las acreedores de la pensión compensatoria a los cónyuges divorciados a los que se le hubiera reconocido, con ocasión del divorcio, pensión alimenticia”. Completado así el precepto, señala, la Sentencia en este litigio sería estimatoria para la actora, pues su pensión alimenticia sólo se extinguió por fallecimiento del causante; en cambio, de ser constitucional el art. 174.2 LGSS, la Sentencia sería desestimatoria, pues una pensión alimenticia no es una pensión compensatoria</w:t>
      </w:r>
      <w:r w:rsidRPr="0085709A">
        <w:rPr>
          <w:i/>
        </w:rPr>
        <w:t xml:space="preserve"> e</w:t>
      </w:r>
      <w:r>
        <w:t>x art. 97 CC.</w:t>
      </w:r>
    </w:p>
    <w:p w:rsidR="0085709A" w:rsidRDefault="0085709A" w:rsidP="0085709A">
      <w:pPr>
        <w:pStyle w:val="TextoNormal"/>
      </w:pPr>
    </w:p>
    <w:p w:rsidR="0085709A" w:rsidRDefault="0085709A" w:rsidP="0085709A">
      <w:pPr>
        <w:pStyle w:val="TextoNormal"/>
      </w:pPr>
      <w:r>
        <w:t>e) En su parte dispositiva, el Auto acuerda “plantear la cuestión de constitucionalidad sobre el art. 174-2-2 de la Ley General de la Seguridad Social en la redacción dada por la Ley 40/07 en cuanto establece: ‘El derecho a pensión de viudedad de las personas divorciadas o separadas judicialmente quedará condicionado, en todo caso, a que, siendo acreedoras de la pensión compensatoria a que se refiere el art. 97 del Código Civil...’”</w:t>
      </w:r>
    </w:p>
    <w:p w:rsidR="0085709A" w:rsidRDefault="0085709A" w:rsidP="0085709A">
      <w:pPr>
        <w:pStyle w:val="TextoNormal"/>
      </w:pPr>
    </w:p>
    <w:p w:rsidR="0085709A" w:rsidRDefault="0085709A" w:rsidP="0085709A">
      <w:pPr>
        <w:pStyle w:val="TextoNormal"/>
      </w:pPr>
      <w:r>
        <w:lastRenderedPageBreak/>
        <w:t>Tal cuestión se eleva en la medida en que, al excluir a las personas divorciadas o separadas que sean acreedoras de pensión alimenticia, la norma infringe los arts. 14, 24.1 y 41 CE, dependiendo de tal decisión de constitucionalidad el signo del fallo de este litigio que sería desestimatorio para la actora en caso de constitucionalidad —por no haber sido acreedora de pensión compensatoria— y estimatorio en caso contrario —por haber sido acreedora de pensión alimenticia—. Por tal razón, se acuerda la suspensión de las actuaciones hasta que el Tribunal Constitucional se pronuncie sobre la cuestión planteada.</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la Sección Tercera de este Tribunal, de 13 de noviembre de 2012,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0085709A" w:rsidRDefault="0085709A" w:rsidP="0085709A">
      <w:pPr>
        <w:pStyle w:val="TextoNormal"/>
      </w:pPr>
    </w:p>
    <w:p w:rsidR="0085709A" w:rsidRDefault="0085709A" w:rsidP="0085709A">
      <w:pPr>
        <w:pStyle w:val="TextoNormal"/>
      </w:pPr>
      <w:r w:rsidRPr="0085709A">
        <w:rPr>
          <w:rStyle w:val="NumeroAFNegritaCaracter"/>
        </w:rPr>
        <w:t>5</w:t>
      </w:r>
      <w:r>
        <w:t>. El 10 de diciembre de 2012, el Fiscal General del Estado, evacuando el citado trámite del art. 37.1 LOTC, concluye que la cuestión de inconstitucionalidad además de no cumplir con los requisitos procesales previstos en el art. 35 LOTC, resulta notoriamente infundada.</w:t>
      </w:r>
    </w:p>
    <w:p w:rsidR="0085709A" w:rsidRDefault="0085709A" w:rsidP="0085709A">
      <w:pPr>
        <w:pStyle w:val="TextoNormal"/>
      </w:pPr>
    </w:p>
    <w:p w:rsidR="0085709A" w:rsidRDefault="0085709A" w:rsidP="0085709A">
      <w:pPr>
        <w:pStyle w:val="TextoNormal"/>
      </w:pPr>
      <w:r>
        <w:t>Tras referirse a los antecedentes de la cuestión y dar por correctamente cumplido el trámite de audiencia a las partes y al Ministerio Fiscal previsto en el art. 35.2 LOTC, el Fiscal General del Estado señala que si bien la norma es aplicable al caso, en tanto presupuesto que permite llegar a una de las dos conclusiones alternativas, cuestionándose la Sala como contraria a la Constitución, solo aquella que se expresa en la denegación de la prestación de Seguridad Social cuando no consta la previa percepción de una pensión compensatoria, la regularidad del planteamiento de la cuestión ya no es tal cuando se analiza la formulación de denominado juicio de relevancia.</w:t>
      </w:r>
    </w:p>
    <w:p w:rsidR="0085709A" w:rsidRDefault="0085709A" w:rsidP="0085709A">
      <w:pPr>
        <w:pStyle w:val="TextoNormal"/>
      </w:pPr>
    </w:p>
    <w:p w:rsidR="0085709A" w:rsidRDefault="0085709A" w:rsidP="0085709A">
      <w:pPr>
        <w:pStyle w:val="TextoNormal"/>
      </w:pPr>
      <w:r>
        <w:t>Una vez advertido por el Fiscal que el examen del juicio de relevancia que debe realizar el Tribunal Constitucional es un control meramente externo, salvo que el criterio judicial resulte con toda evidencia errado (STC 141/2008), afirma que el planteamiento de la presente cuestión de inconstitucionalidad parte “tanto en un error de hecho como de un error jurídico”. Es evidente, a su juicio, que la pensión de alimentos que recibe la ex esposa no puede sino de calificarse como una “verdadera pensión compensatoria” a la vista del convenio regulador, aunque ésta se denominara de alimentos.</w:t>
      </w:r>
    </w:p>
    <w:p w:rsidR="0085709A" w:rsidRDefault="0085709A" w:rsidP="0085709A">
      <w:pPr>
        <w:pStyle w:val="TextoNormal"/>
      </w:pPr>
    </w:p>
    <w:p w:rsidR="0085709A" w:rsidRDefault="0085709A" w:rsidP="0085709A">
      <w:pPr>
        <w:pStyle w:val="TextoNormal"/>
      </w:pPr>
      <w:r>
        <w:t xml:space="preserve">Con respecto al referido error de hecho, pone de manifiesto que el mismo se produce al limitarse el órgano judicial proponente a una identificación meramente nominal de la naturaleza de la pensión percibida por la demandante en el proceso subyacente, “considerando que al fijarse ‘…una pensión alimenticia para la esposa…’ en la cláusula quinta del convenio del convenio regulador suscrito en su día por los cónyuges y aprobado judicialmente, la misma correspondería al supuesto contemplado en el artículo 90 c) del Código Civil (cargas del matrimonio y necesidades alimenticia de los hijos) y no al previsto en el artículo 90 e) del mismo Cuerpo Legal y que se relaciona con el artículo 97 (pensión compensatoria para aquel de los cónyuges al que se le ocasiones desequilibrio económico)”. Añade que “[u]n examen del referido convenio regulador revela con total claridad que ambos conceptos son recogidos de forma separada, estableciéndose en la cláusula cuarta la aportación del esposo a las cargas del matrimonio y a las necesidades alimenticias de los hijos, y en la cláusula quinta, la ya referida pensión denominada como ‘alimenticia’, pero que no puede calificarse </w:t>
      </w:r>
      <w:r>
        <w:lastRenderedPageBreak/>
        <w:t>más que como verdadera pensión compensatoria, ya que de lo contrario, su especificación sería innecesaria y la cuantía de la misma se habría acumulado, y por ello incluido, en la previsión de la citada cláusula cuarta”. Equívoco entendimiento del que, a juicio del Fiscal, es consciente la Sala de lo Social cuando se refiere en su Auto “a la‘…propia indiferenciación terminológica que in illo tempore existía —nos referimos a los primeros pasos jurisdiccionales de la novedosa entonces en los ochenta— legislación de divorcio…’”, o cuando afirma que “se establecían —impropiamente— pensiones ‘alimenticias’ en casos de divorcio, no obstante ser ello imposible al no existir ya tras la ruptura del vínculo obligación alguna de alimento entre parientes”.</w:t>
      </w:r>
    </w:p>
    <w:p w:rsidR="0085709A" w:rsidRDefault="0085709A" w:rsidP="0085709A">
      <w:pPr>
        <w:pStyle w:val="TextoNormal"/>
      </w:pPr>
    </w:p>
    <w:p w:rsidR="0085709A" w:rsidRDefault="0085709A" w:rsidP="0085709A">
      <w:pPr>
        <w:pStyle w:val="TextoNormal"/>
      </w:pPr>
      <w:r>
        <w:t>Por dicha circunstancia, es por la que el Fiscal considera que la jurisprudencia del Tribunal Supremo, tanto de la Sala de lo Civil como de la Sala de lo Social, no puede servir de apoyo al planteamiento de la presente cuestión de inconstitucionalidad, como pretende el órgano judicial. Considera que es aquí donde se produce el error jurídico al que se ha hecho referencia, ya que si bien es cierto que la pensión entre parientes del art. 142 CC y la compensatoria entre cónyuges del art. 97 CC, son distintas por responder a finalidades diversas, no lo es menos que tal distinción se ha empleado por la Sala Cuarta del Tribunal Supremo, para negar el derecho a la pensión de viudedad a aquellos cónyuges supérstites separados, que no divorciados, perceptores de una pensión alimenticia (SSTS de 21 de febrero y 14 de febrero de 2012).</w:t>
      </w:r>
    </w:p>
    <w:p w:rsidR="0085709A" w:rsidRDefault="0085709A" w:rsidP="0085709A">
      <w:pPr>
        <w:pStyle w:val="TextoNormal"/>
      </w:pPr>
    </w:p>
    <w:p w:rsidR="0085709A" w:rsidRDefault="0085709A" w:rsidP="0085709A">
      <w:pPr>
        <w:pStyle w:val="TextoNormal"/>
      </w:pPr>
      <w:r>
        <w:t>Afirma, además, que la ex esposa solicitante de la pensión de viudedad, nunca pudo percibir mensualmente las cantidades correspondientes desde la fecha de la Sentencia de divorcio y hasta la de fallecimiento de su ex esposo, en concepto de pensión alimenticia, pues ello no sería legalmente posible al no tratarse ya de parientes. Es obvio, que las percibía como pensión compensatoria aunque nominalmente no se hubiera designado así tal prestación periódica y vitalicia. Es, precisamente, “desde esta perspectiva del error jurídico”, desde la que el Fiscal concluye que el juicio de relevancia se encontraría incorrectamente formulado, ya que el fallo del litigio no depende de la validez de una norma que solo es aplicable a las pensiones alimenticias entre cónyuges separados. A su juicio, dicha norma no puede ser aplicada a pensiones que, aunque denominadas formalmente “alimenticias”, no pueden ser sino compensatorias, por razón de la desaparición del vínculo matrimonial.</w:t>
      </w:r>
    </w:p>
    <w:p w:rsidR="0085709A" w:rsidRDefault="0085709A" w:rsidP="0085709A">
      <w:pPr>
        <w:pStyle w:val="TextoNormal"/>
      </w:pPr>
    </w:p>
    <w:p w:rsidR="0085709A" w:rsidRDefault="0085709A" w:rsidP="0085709A">
      <w:pPr>
        <w:pStyle w:val="TextoNormal"/>
      </w:pPr>
      <w:r>
        <w:t>Por último, y dado que la providencia de 13 de noviembre de 2012 también plantea la hipótesis del carácter notoriamente infundado de la presente cuestión de inconstitucionalidad, el Fiscal General del Estado procede a su examen.</w:t>
      </w:r>
    </w:p>
    <w:p w:rsidR="0085709A" w:rsidRDefault="0085709A" w:rsidP="0085709A">
      <w:pPr>
        <w:pStyle w:val="TextoNormal"/>
      </w:pPr>
    </w:p>
    <w:p w:rsidR="0085709A" w:rsidRDefault="0085709A" w:rsidP="0085709A">
      <w:pPr>
        <w:pStyle w:val="TextoNormal"/>
      </w:pPr>
      <w:r>
        <w:t xml:space="preserve">A su juicio, procede tomar como punto de partida la comparación —abstractamente considerada— entre cónyuges separados o divorciados perceptores de pensiones alimenticias (suponiendo con respecto a los divorciados que fuera legalmente posible percibir alimentos de su ex cónyuge) y aquellos otros cónyuges separados o divorciados perceptores de pensiones compensatorias. Considera, tras recordar el concreto alcance de la doctrina del Tribunal Constitucional sobre el derecho a la igualdad (con cita de la STC 50/2005), que como quiera que el derecho a la igualdad del art. 14 CE no prohíbe al legislador cualquier desigualdad de trato, sino solo aquellas desigualdades que resulten artificiosas o injustificadas por no venir fundadas en criterios objetivos suficientes razonables, el criterio adoptado por el precepto ahora cuestionado, sería absolutamente arbitrario en cuánto a su resultado, tal y </w:t>
      </w:r>
      <w:r>
        <w:lastRenderedPageBreak/>
        <w:t>como argumenta la Sala de lo Social. Dicho lo cual, considera que para alcanzar dicha conclusión hay que tener en cuenta cual es la finalidad de ambos tipos de prestaciones, que, con apoyo en la jurisprudencia del Tribunal Supremo, manifiesta que son distintas. Al respecto señala que en este caso el legislador ha tenido en cuenta el diverso régimen jurídico de una y otra medida (alimentos o pensión compensatoria), al estimar que la razón que ampara la obtención de la pensión de viudedad es la de continuar en el tiempo paliando la situación de desequilibrio económico producido por la ruptura matrimonial, y, por lo tanto, una situación con un cierto carácter de permanencia en el tiempo; mientras que la pensión alimenticia solo trata de solventar las necesidades, que con un carácter meramente puntual, pueda necesitar el alimentista. Por ello, termina su argumentación afirmando que el precepto cuestionado se ajusta al derecho a la igualdad en la ley previsto en el art. 14 CE, “dado que las consecuencias jurídicas que resultan de la distinción de ambos supuestos, pensión de alimentos y pensión compensatoria, son adecuadas y proporcionadas al fin social al que aspira la norma; de manera que la relación entre la medida adoptada, el resultado que se produce y el fin pretendido por el legislador supera en este caso un juicio de proporcionalidad en sede constitucional, no acarreando resultados especialmente gravosos y desmedidos”. Por todo ello, el Fiscal General del Estado entiende que la presente cuestión de inconstitucionalidad resulta notoriamente infundada.</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10 de septiembre de 2013, el Pleno del Tribunal Constitucional, a propuesta de la Sección Primera, acuerda tener por formuladas por el Ministerio Fiscal las alegaciones que se interesaron por providencia de 13 de noviembre de 2012 y admitir a trámite la cuestión de inconstitucionalidad planteada por la Sala de lo Social del Tribunal Superior de Justicia de Madrid; reservar para sí, de conformidad con lo dispuesto en el art. 10.1 c) LOTC, el conocimiento de la presente cuestión de inconstitucionalidad; dar traslado de las actuaciones recibidas, conforme al art. 37.3 LOTC, al Congreso de los Diputados y al Senado, por conducto de sus Presidentes, al Gobierno, por conducto del Ministro de Justicia, y al Fiscal General del Estado, al objeto de que, en un plazo improrrogable de quince días, puedan personarse en el proceso y formular las alegaciones que estimen convenientes; comunicar la presente resolución a la Sala del Tribunal Superior de Justicia de Madrid a fin de que, de conformidad con lo dispuesto en el art. 35.3 LOTC, permanezca suspendido el proceso hasta que este Tribunal resuelva definitivamente la presente cuestión; y publicar la incoación de la cuestión en el “Boletín Oficial del Estado” (publicación que tuvo lugar en el “BOE” núm. 226, de 20 de septiembre de 2013).</w:t>
      </w:r>
    </w:p>
    <w:p w:rsidR="0085709A" w:rsidRDefault="0085709A" w:rsidP="0085709A">
      <w:pPr>
        <w:pStyle w:val="TextoNormal"/>
      </w:pPr>
    </w:p>
    <w:p w:rsidR="0085709A" w:rsidRDefault="0085709A" w:rsidP="0085709A">
      <w:pPr>
        <w:pStyle w:val="TextoNormal"/>
      </w:pPr>
      <w:r w:rsidRPr="0085709A">
        <w:rPr>
          <w:rStyle w:val="NumeroAFNegritaCaracter"/>
        </w:rPr>
        <w:t>7</w:t>
      </w:r>
      <w:r>
        <w:t>. El 23 de septiembre de 2013, el Tribunal Superior de Justicia de Madrid acusó recibo de la comunicación efectuada el 10 de septiembre de 2013 por el Pleno del Tribunal Constitucional en relación con la admisión a trámite de la cuestión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escrito presentado en el Registro de este Tribunal el día 25 de septiembre de 2013, el Vicepresidente del Senado, Presidente en funciones, comunicó a este Tribunal el acuerdo de la Mesa de personarse en el proceso,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9</w:t>
      </w:r>
      <w:r>
        <w:t>. Por escrito registrado en este Tribunal el día 26 de septiembre de 2013, el Presidente del Congreso de los Diputados comunicó a este Tribunal la decisión de la Mesa de personarse en el proceso,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10</w:t>
      </w:r>
      <w:r>
        <w:t>. Por escrito presentado el día 1 de octubre de 2013 en el Registro del Tribunal Constitucional, la Letrada de la Administración de la Seguridad Social, actuando en nombre del INSS y de la Tesorería General de la Seguridad Social, se personó en el presente proceso constitucional, rogando se entiendan con ella las sucesivas actuaciones. Por diligencia de ordenación de 2 de octubre de 2013 se acordó unir a las presentes actuaciones el escrito presentado, tenerle por personado y parte en la cuestión de inconstitucionalidad, así como entender con ella las sucesivas actuaciones. Asimismo se le concede, conforme establece el art. 37.2 LOTC, un plazo de quince días para que formule las alegaciones que estime convenientes.</w:t>
      </w:r>
    </w:p>
    <w:p w:rsidR="0085709A" w:rsidRDefault="0085709A" w:rsidP="0085709A">
      <w:pPr>
        <w:pStyle w:val="TextoNormal"/>
      </w:pPr>
    </w:p>
    <w:p w:rsidR="0085709A" w:rsidRDefault="0085709A" w:rsidP="0085709A">
      <w:pPr>
        <w:pStyle w:val="TextoNormal"/>
      </w:pPr>
      <w:r w:rsidRPr="0085709A">
        <w:rPr>
          <w:rStyle w:val="NumeroAFNegritaCaracter"/>
        </w:rPr>
        <w:t>11</w:t>
      </w:r>
      <w:r>
        <w:t>. Con fecha de 1 de octubre de 2013, en el Registro General de este Tribunal el Fiscal General del Estado presentó escrito evacuando el traslado conferido conforme al trámite del art. 37.3 LOTC. En él dice que “ratifica en su integridad el contenido de su anterior escrito de alegaciones de 3 de diciembre de 2012 —evacuado en trámite del art. 37.1 LOTC—, reiterando específicamente en este momento las consideraciones realizadas en el apartado IV de su dictamen, en las que se sostiene el notorio defectuoso planteamiento del juicio de relevancia que realiza el órgano jurisdiccional promotor de la presente Cuestión de Inconstitucionalidad, ya que la confusión meramente nominal entre ‘pensión alimenticia’ y ‘pensión compensatoria’ no constituiría obstáculo alguno para reconocer en el proceso subyacente a la demandante, su derecho a lucrar la pensión de viudedad solicitada”.</w:t>
      </w:r>
    </w:p>
    <w:p w:rsidR="0085709A" w:rsidRDefault="0085709A" w:rsidP="0085709A">
      <w:pPr>
        <w:pStyle w:val="TextoNormal"/>
      </w:pPr>
    </w:p>
    <w:p w:rsidR="0085709A" w:rsidRDefault="0085709A" w:rsidP="0085709A">
      <w:pPr>
        <w:pStyle w:val="TextoNormal"/>
      </w:pPr>
      <w:r w:rsidRPr="0085709A">
        <w:rPr>
          <w:rStyle w:val="NumeroAFNegritaCaracter"/>
        </w:rPr>
        <w:t>12</w:t>
      </w:r>
      <w:r>
        <w:t>. Con fecha de 7 de octubre de 2013, se presentó en el Registro General de este Tribunal escrito de alegaciones por el Abogado del Estado, solicitando se dicte sentencia totalmente desestimatoria de la cuestión planteada.</w:t>
      </w:r>
    </w:p>
    <w:p w:rsidR="0085709A" w:rsidRDefault="0085709A" w:rsidP="0085709A">
      <w:pPr>
        <w:pStyle w:val="TextoNormal"/>
      </w:pPr>
    </w:p>
    <w:p w:rsidR="0085709A" w:rsidRDefault="0085709A" w:rsidP="0085709A">
      <w:pPr>
        <w:pStyle w:val="TextoNormal"/>
      </w:pPr>
      <w:r>
        <w:t xml:space="preserve">Comienza su escrito poniendo de manifiesto su divergencia respecto del cumplimiento del requisito procesal del juicio de relevancia. El Abogado del Estado advierte, en apoyo de la dicción literal de los arts. 163 CE y 35.1 LOTC, así como de la jurisprudencia constitucional que cita, que es claro que aplicabilidad de la norma y relevancia de la cuestión constituyen dos requisitos diferentes que cuentan con sustantividad propia. A su juicio, no resulta acertado el juicio de relevancia de fondo que efectúa el órgano jurisdiccional en el Auto de planteamiento, aunque el precepto cuestionado sea sin duda aplicable al caso y de él dependa el fallo a adoptar por el Tribunal </w:t>
      </w:r>
      <w:r w:rsidRPr="0085709A">
        <w:rPr>
          <w:i/>
        </w:rPr>
        <w:t>a quo</w:t>
      </w:r>
      <w:r>
        <w:t>, pues lo fue en la instancia y lo es en la suplicación. Al respecto advierte que en esta cuestión y en la interpretación del tenor literal del precepto cuestionado, se ha tener en cuenta que se entrecruzan inevitablemente dos aspectos o planos normativos: el propio del Derecho público de la Seguridad Social y el orden civil.</w:t>
      </w:r>
    </w:p>
    <w:p w:rsidR="0085709A" w:rsidRDefault="0085709A" w:rsidP="0085709A">
      <w:pPr>
        <w:pStyle w:val="TextoNormal"/>
      </w:pPr>
    </w:p>
    <w:p w:rsidR="0085709A" w:rsidRDefault="0085709A" w:rsidP="0085709A">
      <w:pPr>
        <w:pStyle w:val="TextoNormal"/>
      </w:pPr>
      <w:r>
        <w:t xml:space="preserve">El Abogado del Estado defiende que en la medida en que la relación conyugal había dejado de existir en el plano del Derecho civil, no cabe decidir con posterioridad y a favor de aquellas personas respecto de las que se anula o se disuelve el matrimonio, a falta de otra especificación en la ley, una pensión alimenticia de acuerdo con los arts. 143 y 144 CC, pudiéndolo ser únicamente a la pensión compensatoria propiamente dicha. Un aspecto “decisivo” a tener también en cuenta es que la pensión compensatoria prevista en el art. 97 del citado Código, a diferencia de la pensión alimenticia, no necesariamente se extingue con la muerte del obligado a satisfacerla. Considera, por ello, que el órgano judicial se debería </w:t>
      </w:r>
      <w:r>
        <w:lastRenderedPageBreak/>
        <w:t>haber ajustado a una interpretación finalista del precepto positivo y que fue un “error determinante” de la Sala de lo Social que se atuviera a la denominación de pensión alimenticia fijada por el órgano jurisdiccional civil que conoció del proceso matrimonial de divorcio, aplicándole, en consecuencia, el art. 174.2 LGSS en su estricto tenor literal, cuando era, realmente, una pensión compensatoria.</w:t>
      </w:r>
    </w:p>
    <w:p w:rsidR="0085709A" w:rsidRDefault="0085709A" w:rsidP="0085709A">
      <w:pPr>
        <w:pStyle w:val="TextoNormal"/>
      </w:pPr>
    </w:p>
    <w:p w:rsidR="0085709A" w:rsidRDefault="0085709A" w:rsidP="0085709A">
      <w:pPr>
        <w:pStyle w:val="TextoNormal"/>
      </w:pPr>
      <w:r>
        <w:t xml:space="preserve">Respecto a la posible vulneración del principio de la igualdad ante la ley del precepto cuestionado, aprecia que el precepto no adolece de inconstitucionalidad alguna por el hecho de no prever el supuesto hipotético del reconocimiento explícito de una “pensión alimenticia a favor de personas divorciadas”. Afirma que algo que no se halla contemplado en la legislación sustantiva civil, no puede tener tampoco un reflejo en lo que a las consecuencias en el campo de la Seguridad Social se refiere. Estima que de preverse un supuesto de hecho concreto de concesión de pensión de viudedad al cónyuge divorciado que supuestamente hubiera disfrutado de una pensión alimenticia, se estarían otorgando efectos legales a una situación que jurídicamente carecería de título en el ámbito civil, y que, por tanto, no puede realmente producirse en el estado actual de la normativa, dado que los cónyuges después de divorciados no se hallan legitimados </w:t>
      </w:r>
      <w:r w:rsidRPr="0085709A">
        <w:rPr>
          <w:i/>
        </w:rPr>
        <w:t>ad causam</w:t>
      </w:r>
      <w:r>
        <w:t xml:space="preserve"> para reclamarse alimentos.</w:t>
      </w:r>
    </w:p>
    <w:p w:rsidR="0085709A" w:rsidRDefault="0085709A" w:rsidP="0085709A">
      <w:pPr>
        <w:pStyle w:val="TextoNormal"/>
      </w:pPr>
    </w:p>
    <w:p w:rsidR="0085709A" w:rsidRDefault="0085709A" w:rsidP="0085709A">
      <w:pPr>
        <w:pStyle w:val="TextoNormal"/>
      </w:pPr>
      <w:r>
        <w:t xml:space="preserve">El precepto cuestionado tampoco contraviene el citado principio por el hecho de que “haga mención y tome como base de su propia regulación abstracta una clase concreta de pensión de entre las que el juez civil puede decidir en la sentencia que ponga fin al respectivo proceso especial, o apruebe en su caso el convenio regulador de las medidas a regir entre los cónyuges o ex cónyuges para decidir los efectos de la separación o divorcio”. Tomando como base la doctrina constitucional consolidada sobre el derecho fundamental a la igualdad, que expone brevemente (STC 75/2011, de 19 de mayo), entiende que el precepto no vulnera el art. 14 CE, pues “la medida cuestionada no ha podido introducir ni directa ni indirectamente una diferencia de trato entre grupos o categorías de personas, ni las situaciones subjetivas que se traen a comparación son homogéneas ni equiparables, no ya en el plano de una comparación puramente conceptual entre pensión alimenticia y pensión compensatoria y de la finalidad para las que el ordenamiento las haya establecido en orden a prevenir otra clase de necesidad en el ámbito familiar o ex conyugal, sino porque … al no admitir el ordenamiento civil la concesión de una pensión alimenticia propiamente dicha a favor de las personas divorciadas a cargo de sus respectivos anteriores cónyuges (sino, en su caso, la compensatoria con el alcance que se fije), no llega a poder plantearse la duda o la licitud constitucional del precepto cuestionado por no prever hipotéticamente, en el ámbito específico del derecho de la Seguridad Social, la situación de disfrute previo de una pensión alimenticia conforme al derecho civil por parte de la persona divorciada, a cargo de su anterior cónyuge, como resultado del proceso judicial de divorcio”. No cabe argumentar, añade, “que el art. 174.2 </w:t>
      </w:r>
      <w:r w:rsidRPr="0085709A">
        <w:rPr>
          <w:i/>
        </w:rPr>
        <w:t>in fine</w:t>
      </w:r>
      <w:r>
        <w:t xml:space="preserve"> de la LGSS, como norma integrante del régimen jurídico de la Seguridad Social, esté discriminando entre clases de títulos judiciales que hubieran reconocido eventualmente a su vez una y otra clase de pensión, cuando en realidad esa alternativa no se puede dar en relación con ningún supuesto teórico de divorcio vincular entre los cónyuges, con arreglo a las normas sustantivas civiles reguladoras de los efectos de la nulidad, separación o divorcio”.</w:t>
      </w:r>
    </w:p>
    <w:p w:rsidR="0085709A" w:rsidRDefault="0085709A" w:rsidP="0085709A">
      <w:pPr>
        <w:pStyle w:val="TextoNormal"/>
      </w:pPr>
    </w:p>
    <w:p w:rsidR="0085709A" w:rsidRDefault="0085709A" w:rsidP="0085709A">
      <w:pPr>
        <w:pStyle w:val="TextoNormal"/>
      </w:pPr>
      <w:r>
        <w:t xml:space="preserve">También descarta que exista “arbitrariedad en una norma objetiva o que en abstracto viene a regular un sector de la realidad como es el de la previsión social, por el hecho de </w:t>
      </w:r>
      <w:r>
        <w:lastRenderedPageBreak/>
        <w:t xml:space="preserve">tomar como presupuestos jurídicos habilitantes, a modo de norma de remisión, para su propia configuración sectorial de los derechos objeto de regulación, los conceptos jurídicos y la regulación sustantiva facilitada por otro ordenamiento sectorial como el civil que a su vez regula, sin reproche de discriminación </w:t>
      </w:r>
      <w:r w:rsidRPr="0085709A">
        <w:rPr>
          <w:i/>
        </w:rPr>
        <w:t>a priori</w:t>
      </w:r>
      <w:r>
        <w:t>, el régimen jurídico del derecho de alimentos entre parientes o los efectos de los procesos matrimoniales para caso de nulidad, separación o divorcio legalmente establecidos”. A su juicio, “el tomar o remitirse implícitamente, de modo instrumental, a esos conceptos legales establecidos en el derecho civil objetivo y sus efectos (</w:t>
      </w:r>
      <w:r w:rsidRPr="0085709A">
        <w:rPr>
          <w:i/>
        </w:rPr>
        <w:t>norma agendi</w:t>
      </w:r>
      <w:r>
        <w:t xml:space="preserve"> aplicable por razón de la materia) para determinar qué tipo de pensión permite el ordenamiento de Seguridad Social reconocer según sean los distintos supuestos de ruptura matrimonial, no constituye en modo alguno una ‘utilización de elementos de diferenciación que quepa calificar de arbitrarios o carentes de justificación’ sino, al contrario, un recurso legítimo de técnica legislativa”.</w:t>
      </w:r>
    </w:p>
    <w:p w:rsidR="0085709A" w:rsidRDefault="0085709A" w:rsidP="0085709A">
      <w:pPr>
        <w:pStyle w:val="TextoNormal"/>
      </w:pPr>
    </w:p>
    <w:p w:rsidR="0085709A" w:rsidRDefault="0085709A" w:rsidP="0085709A">
      <w:pPr>
        <w:pStyle w:val="TextoNormal"/>
      </w:pPr>
      <w:r>
        <w:t>Por último, estima que se no se han infringido los arts. 24.1 y 41 CE. Y ello porque, en relación con el derecho a la tutela judicial efectiva, la demandante no ha encontrado vedados, en el seno del proceso judicial substanciado ante el órgano jurisdiccional social, los cauces procesales para tratar de obtener lo que considera su derecho. Y, en relación con el art. 41 CE, porque al no concurrir infracción del art. 14 CE, no cabe entender tampoco que, entonces o como consecuencia de ello, la hubiese respecto del citado precepto en este aspecto.</w:t>
      </w:r>
    </w:p>
    <w:p w:rsidR="0085709A" w:rsidRDefault="0085709A" w:rsidP="0085709A">
      <w:pPr>
        <w:pStyle w:val="TextoNormal"/>
      </w:pPr>
    </w:p>
    <w:p w:rsidR="0085709A" w:rsidRDefault="0085709A" w:rsidP="0085709A">
      <w:pPr>
        <w:pStyle w:val="TextoNormal"/>
      </w:pPr>
      <w:r w:rsidRPr="0085709A">
        <w:rPr>
          <w:rStyle w:val="NumeroAFNegritaCaracter"/>
        </w:rPr>
        <w:t>13</w:t>
      </w:r>
      <w:r>
        <w:t>. Mediante escrito presentado en este Tribunal con fecha 25 de octubre de 2013, la Letrada de la Administración de la Seguridad Social formuló alegaciones interesando la desestimación de la cuestión de inconstitucionalidad.</w:t>
      </w:r>
    </w:p>
    <w:p w:rsidR="0085709A" w:rsidRDefault="0085709A" w:rsidP="0085709A">
      <w:pPr>
        <w:pStyle w:val="TextoNormal"/>
      </w:pPr>
    </w:p>
    <w:p w:rsidR="0085709A" w:rsidRDefault="0085709A" w:rsidP="0085709A">
      <w:pPr>
        <w:pStyle w:val="TextoNormal"/>
      </w:pPr>
      <w:r>
        <w:t>La Letrada comienza su argumentación destacando que el planteamiento de la presente cuestión de inconstitucionalidad se realiza desde la base de una interpretación de la legalidad ordinaria que, en principio, es contraria a la interpretación realizada al respecto por el Tribunal Supremo. Es más, entiende que la Sala ha configurado artificiosamente el planteamiento de la cuestión de inconstitucionalidad, partiendo de una interpretación propia de la legalidad ordinaria. Tras ello, expone que ha de tenerse en cuenta que el derecho que los ciudadanos puedan ostentar en materia de Seguridad Social es de estricta configuración legal y que en el caso concreto contemplado en el art. 174.2 LGSS, el legislador ha fijado los contornos legales que han de regir para aplicar el derecho a la pensión de viudedad en supuestos que vengan precedidos de una separación o divorcio, resultando claro y terminante que se precisa como premisa principal para el nacimiento del derecho, que el solicitante de la prestación sea beneficiario de la pensión compensatoria al tiempo del fallecimiento del causante, sin que quepa margen de duda al respecto. Interpretación a la que, a su juicio, coadyuva la propia exposición de motivos de la Ley 40/2007 al referir que “[e]l acceso a la pensión de viudedad de las personas separadas judicialmente o divorciadas queda condicionado a la extinción por el fallecimiento del causante de la pensión compensatoria a que se refiere el artículo 97 del Código Civil”, y a la que igualmente se alcanza acudiendo a una interpretación finalista, “toda vez que la intención del legislador, contrariamente a lo postulado por la parte actora, no es otra que hacer depender el derecho prestacional de la situación económica de dependencia que pudiera tener la beneficiaria, evitando el perjuicio que por la pérdida de la pensión de la que hasta el momento del fallecimiento se encontrase disfrutando la solicitante de la prestación se le pudieses irrogar”.</w:t>
      </w:r>
    </w:p>
    <w:p w:rsidR="0085709A" w:rsidRDefault="0085709A" w:rsidP="0085709A">
      <w:pPr>
        <w:pStyle w:val="TextoNormal"/>
      </w:pPr>
    </w:p>
    <w:p w:rsidR="0085709A" w:rsidRDefault="0085709A" w:rsidP="0085709A">
      <w:pPr>
        <w:pStyle w:val="TextoNormal"/>
      </w:pPr>
      <w:r>
        <w:lastRenderedPageBreak/>
        <w:t>Para la Letrada de la Administración de la Seguridad Social, las circunstancias requeridas legalmente para poder lucrar la pensión de viudedad no se dan en este caso, ya que la demandante no tenía asignada pensión compensatoria alguna en la fecha del fallecimiento del causante, por ello, declara que difícilmente se puede superar el juicio de relevancia en la presente cuestión de inconstitucionalidad, y afirma que sólo desde una interpretación particular realizada por la Sala del Tribunal Superior de Justicia de Madrid sería necesario el pronunciamiento para la resolución del caso.</w:t>
      </w:r>
    </w:p>
    <w:p w:rsidR="0085709A" w:rsidRDefault="0085709A" w:rsidP="0085709A">
      <w:pPr>
        <w:pStyle w:val="TextoNormal"/>
      </w:pPr>
    </w:p>
    <w:p w:rsidR="0085709A" w:rsidRDefault="0085709A" w:rsidP="0085709A">
      <w:pPr>
        <w:pStyle w:val="TextoNormal"/>
      </w:pPr>
      <w:r>
        <w:t>En cuanto al fondo, y como segunda alegación, la Letrada vuelve a advertir sobre la ausencia de dudas respecto del sentido del precepto que establece el principio general de que la persona separada o divorciada legalmente no tiene derecho a la pensión de viudedad de su anterior cónyuge, al haber perdido todo tipo de relación y dependencia económica común justificativa de una prestación de esta naturaleza, con excepción de que la persona separada o divorciada legalmente, tenga reconocida, a cargo del causante, una pensión compensatoria y además ésta quede extinguida por el fallecimiento del obligado al pago. En este sentido, advierte que precisamente la reforma legislativa del precepto impugnado y su actual redacción, pretendían modificar la regulación hasta entonces vigente, reconociendo la pensión de viudedad únicamente a favor de quienes tenían una relación de dependencia económica con el causante. De ahí que la interpretación propuesta por la actora, postulando el tratamiento del tema exactamente igual al que existía antes de la reforma, carecería de sentido. Añade, además, que cuando no existe un núcleo familiar común y, sobre todo, no existe ningún tipo de dependencia económica entre el fallecido y su anterior cónyuge, “carece de ninguna justificación e incluso resulta intrínsecamente injusto” que el anterior cónyuge pueda lucrarse de una prestación en perjuicio del cónyuge actual”. Advierte que así lo habría entendido la Sala a la hora de abordar la cuestión objeto del litigio en otras Sentencias, que cita en su escrito, en el sentido de desestimar la pretensión esgrimida por la recurrente.</w:t>
      </w:r>
    </w:p>
    <w:p w:rsidR="0085709A" w:rsidRDefault="0085709A" w:rsidP="0085709A">
      <w:pPr>
        <w:pStyle w:val="TextoNormal"/>
      </w:pPr>
    </w:p>
    <w:p w:rsidR="0085709A" w:rsidRDefault="0085709A" w:rsidP="0085709A">
      <w:pPr>
        <w:pStyle w:val="TextoNormal"/>
      </w:pPr>
      <w:r>
        <w:t>A juicio de la representante del Instituto Nacional de la Seguridad Social, la expresión “en todo caso” utilizada en el precepto impugnado, sólo tiene sentido en el contexto interpretativo descrito puesto que de ser de otra forma quedaría vacía de contenido, equivaliendo a las proposiciones ‘cuando’ o ‘si’; términos esos no utilizados por el legislador en los casos de viudedad de separados o divorciados. La exégesis propuesta se ve ratificada igualmente desde una interpretación finalista del precepto en cuestión, la cual se refuerza tras la modificación operada por la Ley de presupuestos generales del Estado para el año 2010, en cuya disposición adicional final tercera se modifica el primer párrafo del apartado 2 del artículo 174 de la Ley general de la Seguridad Social, que permite causar derecho a la pensión de viudedad a la mujer que, a pesar de que no exista pensión compensatoria, pueda acreditar ser víctima de violencia de género.</w:t>
      </w:r>
    </w:p>
    <w:p w:rsidR="0085709A" w:rsidRDefault="0085709A" w:rsidP="0085709A">
      <w:pPr>
        <w:pStyle w:val="TextoNormal"/>
      </w:pPr>
    </w:p>
    <w:p w:rsidR="0085709A" w:rsidRDefault="0085709A" w:rsidP="0085709A">
      <w:pPr>
        <w:pStyle w:val="TextoNormal"/>
      </w:pPr>
      <w:r>
        <w:t xml:space="preserve">Para la Letrada, los términos del precepto, desde la perspectiva de su literalidad, son nítidos, precisos y categóricos, y no dejan lugar a duda sobre su contenido, alcance y significado. Considera, además, que dicho precepto no quiebra el principio de igualdad del art. 14 CE al ser atendidas circunstancias también distintas. A su juicio, es posible, conforme a los criterios reiterados del Tribunal Constitucional (SSTC 253/2004, de 22 de diciembre, y 213/2005, de 21 de julio), la diferenciación entre distintos supuestos dentro de la situación protegida para generar pensiones. A su juicio, “las situaciones y circunstancias coyunturales generadas son distintas respecto a quien es cónyuge o pareja de hecho del causante, de quien extinguió su vinculación, y ya no mantiene dependencia económica”. Tampoco considera </w:t>
      </w:r>
      <w:r>
        <w:lastRenderedPageBreak/>
        <w:t>que se quiebre con dicha regulación el principio de seguridad jurídica (art. 9.3 CE) por razón de la entrada en vigor de la norma, “pues será a partir de nuevos hechos causantes que se generen desde donde deba percibirse la concurrencia de los requisitos”.</w:t>
      </w:r>
    </w:p>
    <w:p w:rsidR="0085709A" w:rsidRDefault="0085709A" w:rsidP="0085709A">
      <w:pPr>
        <w:pStyle w:val="TextoNormal"/>
      </w:pPr>
    </w:p>
    <w:p w:rsidR="0085709A" w:rsidRDefault="0085709A" w:rsidP="0085709A">
      <w:pPr>
        <w:pStyle w:val="TextoNormal"/>
      </w:pPr>
      <w:r>
        <w:t>Finalmente y tras hacer referencia a la jurisprudencia del Tribunal Supremo sobre el diferente fundamento y naturaleza de las pensiones compensatoria y de alimentos, así como a la jurisprudencia del Tribunal Constitucional en referencia a los arts. 14 y 41 CE, la Letrada de la Administración de la Seguridad Social afirma, (i) que no ha existido vulneración del art. 24.1 CE, por cuanto el derecho a la tutela judicial efectiva no es derecho a obtener resolución favorable a los intereses de quien la pretende, sino el derecho a obtener resolución fundada y sin dilaciones indebidas, ni indefensión; no incluye tampoco el hipotético derecho al acierto del Juez; y, en caso de desacuerdo con la resolución judicial, podrán utilizarse las vías judiciales procedentes, y (ii) por otro, que el legislador cuenta con un “amplio margen para configurar el sistema de previsión social y regular los requisitos de concesión de determinadas prestaciones en atención a las circunstancias, prioridades, disponibilidades materiales y necesidades de los diversos grupos sociales”; por ello, entiende, que no puede excluirse que “el legislador realice ciertas opciones selectivas, determinando el nivel y condiciones de las prestaciones, de tal manera que no pueden considerarse, sin más, discriminatorias o atentatorias contra el art. 14 CE … estas disposiciones selectivas, a menos que las mismas no se amparen en causas y fundamentos razonables”.</w:t>
      </w:r>
    </w:p>
    <w:p w:rsidR="0085709A" w:rsidRDefault="0085709A" w:rsidP="0085709A">
      <w:pPr>
        <w:pStyle w:val="TextoNormal"/>
      </w:pPr>
    </w:p>
    <w:p w:rsidR="0085709A" w:rsidRDefault="0085709A" w:rsidP="0085709A">
      <w:pPr>
        <w:pStyle w:val="TextoNormal"/>
      </w:pPr>
      <w:r w:rsidRPr="0085709A">
        <w:rPr>
          <w:rStyle w:val="NumeroAFNegritaCaracter"/>
        </w:rPr>
        <w:t>14</w:t>
      </w:r>
      <w:r>
        <w:t>. Por providencia de 28 de abril de 2015 se señaló para deliberación y votación de la presente Sentencia el día 30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 la presente cuestión de inconstitucionalidad planteada por la Sala de lo Social del Tribunal Superior de Justicia de Madrid, es determinar si el segundo inciso del párrafo primero del art. 174.2 de la Ley general de la Seguridad Social (LGSS), en la redacción dada por la Ley 40/2007, de medidas en materia de Seguridad Social, vulnera los arts. 14, 24.1 y 41 CE. Dicho inciso establece lo siguiente: “El derecho a pensión de viudedad de las personas divorciadas o separadas judicialmente quedará condicionado, en todo caso, a que, siendo acreedoras de la pensión compensatoria a que se refiere el artículo 97 del Código Civil, ésta quedara extinguida por el fallecimiento del causante”.</w:t>
      </w:r>
    </w:p>
    <w:p w:rsidR="0085709A" w:rsidRDefault="0085709A" w:rsidP="0085709A">
      <w:pPr>
        <w:pStyle w:val="TextoNormal"/>
      </w:pPr>
    </w:p>
    <w:p w:rsidR="0085709A" w:rsidRDefault="0085709A" w:rsidP="0085709A">
      <w:pPr>
        <w:pStyle w:val="TextoNormal"/>
      </w:pPr>
      <w:r>
        <w:t>Debe advertirse que aunque en la parte dispositiva del Auto se indica que la norma sometida a la cuestión de inconstitucionalidad es el “art. 174.2.2 de la Ley General de la Seguridad Social en la redacción dada por la Ley 40/07”, de la transcripción que en esta misma parte se efectúa de la norma cuestionada y de la propia fundamentación del Auto se deduce que, en realidad, las dudas de constitucionalidad se refieren al inciso expuesto. De hecho, las partes comparecidas procedieron a hacer sus alegaciones desde dicho entendimiento.</w:t>
      </w:r>
    </w:p>
    <w:p w:rsidR="0085709A" w:rsidRDefault="0085709A" w:rsidP="0085709A">
      <w:pPr>
        <w:pStyle w:val="TextoNormal"/>
      </w:pPr>
    </w:p>
    <w:p w:rsidR="0085709A" w:rsidRDefault="0085709A" w:rsidP="0085709A">
      <w:pPr>
        <w:pStyle w:val="TextoNormal"/>
      </w:pPr>
      <w:r>
        <w:t xml:space="preserve">El Fiscal General del Estado considera que la cuestión de inconstitucionalidad no reúne los requisitos establecidos en el art. 35 de la Ley Orgánica del Tribunal Constitucional (LOTC) en lo relativo al juicio de relevancia. El Abogado del Estado y la Letrada de la </w:t>
      </w:r>
      <w:r>
        <w:lastRenderedPageBreak/>
        <w:t>Administración de la Seguridad Social, en la representación que ostentan, muestran igualmente sus dudas al respecto. En cuanto al fondo, todos ellos se oponen a la estimación de la controversia en los términos expuestos en los antecedentes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abordar el examen del problema de fondo planteado en la presente cuestión, hemos de dar respuesta a la objeción procesal planteada relativa a la posible ausencia del requisito del juicio de relevancia (arts. 163 CE y 35 LOTC), pues, de ser apreciada, procedería su inadmisión por incumplimiento de las condiciones procesales. A tal efecto, hemos de recordar que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42/2013, de 14 de febrero, FJ 2, y 125/2014, de 21 de julio, FJ 2).</w:t>
      </w:r>
    </w:p>
    <w:p w:rsidR="0085709A" w:rsidRDefault="0085709A" w:rsidP="0085709A">
      <w:pPr>
        <w:pStyle w:val="TextoNormal"/>
      </w:pPr>
    </w:p>
    <w:p w:rsidR="0085709A" w:rsidRDefault="0085709A" w:rsidP="0085709A">
      <w:pPr>
        <w:pStyle w:val="TextoNormal"/>
      </w:pPr>
      <w:r>
        <w:t>La Sala de lo Social del Tribunal Superior de Justicia de Madrid considera que, dado que a la recurrente se le denegó la pensión de viudedad por no ser acreedora de la pensión compensatoria en el momento del fallecimiento de su ex esposo, conforme a lo dispuesto en el segundo inciso del párrafo primero del art. 174.2 LGSS, el fallo de la Sentencia depende de la validez de la citada norma. A su entender, la exclusión por la norma de la pensión de alimentos a favor del cónyuge divorciado a los efectos de obtener la pensión de viudedad, aunque tal pensión se fije en el convenio regulador que puso fin al vínculo matrimonial, carece de justificación objetiva y racional, pudiendo, por tal razón, ser inconstitucional al suponer una desigualdad injustificada. Para la citada Sala el precepto es relevante, puesto que de declarar su inconstitucionalidad, el ex cónyuge alimentista podría lucrar la pensión de viudedad, aun no disfrutando de la pensión compensatoria a la que se refiere la norma cuestionada.</w:t>
      </w:r>
    </w:p>
    <w:p w:rsidR="0085709A" w:rsidRDefault="0085709A" w:rsidP="0085709A">
      <w:pPr>
        <w:pStyle w:val="TextoNormal"/>
      </w:pPr>
    </w:p>
    <w:p w:rsidR="0085709A" w:rsidRDefault="0085709A" w:rsidP="0085709A">
      <w:pPr>
        <w:pStyle w:val="TextoNormal"/>
      </w:pPr>
      <w:r w:rsidRPr="0085709A">
        <w:rPr>
          <w:rStyle w:val="NumeroAFNegritaCaracter"/>
        </w:rPr>
        <w:t>3</w:t>
      </w:r>
      <w:r>
        <w:t>. Es preciso comenzar recordando que los apartados 1 y 2 del art. 35 LOTC exigen, respectivamente, que la norma con rango de ley de la que tenga dudas un Juez o Tribunal debe ser “aplicable al caso y de cuya validez dependa el fallo” y que el órgano judicial deberá especificar o justificar, en el Auto de planteamiento de la cuestión, en qué medida la decisión del proceso depende de la validez de la norma en cuestión. En atención a lo dispuesto, es exigible que la norma cuestionada supere el llamado “juicio de relevancia”, que se erige en uno de los requisitos esenciales que impide que la cuestión de inconstitucionalidad pueda resultar desvirtuada por un uso no acomodado a su naturaleza y finalidad; lo que sucedería si se utilizase para obtener pronunciamientos innecesarios o indiferentes para la decisión del proceso en que la cuestión se suscita (por todas, SSTC 42/2013, de 14 de febrero, FJ 2; y 156/2014, de 25 de septiembre, FJ 2). De ahí que este Tribunal haya estimado que deba darse “una verdadera ‘dependencia’ (STC 189/1991, de 3 de octubre, FJ 2), o un ‘nexo de subordinación’ entre el fallo del proceso y la validez de la norma cuestionada (STC 157/1990, de 18 de octubre, FJ 1)” (STC 156/2014, FJ 2). No basta con que el Tribunal ordinario considere que la norma es aplicable al caso, sino que también ha de satisfacerse el requisito de la relevancia de la cuestión, pues si bien la aplicabilidad de la norma es condición necesaria para que el fallo dependa de su validez, no es, en modo alguno, condición suficiente (STC 156/2014, FJ 2).</w:t>
      </w:r>
    </w:p>
    <w:p w:rsidR="0085709A" w:rsidRDefault="0085709A" w:rsidP="0085709A">
      <w:pPr>
        <w:pStyle w:val="TextoNormal"/>
      </w:pPr>
    </w:p>
    <w:p w:rsidR="0085709A" w:rsidRDefault="0085709A" w:rsidP="0085709A">
      <w:pPr>
        <w:pStyle w:val="TextoNormal"/>
      </w:pPr>
      <w:r>
        <w:lastRenderedPageBreak/>
        <w:t xml:space="preserve">También ha considerado este Tribunal que es a los Jueces y Tribunales ordinarios que plantean las cuestiones de inconstitucionalidad a los que corresponde comprobar y exteriorizar, </w:t>
      </w:r>
      <w:r w:rsidRPr="0085709A">
        <w:rPr>
          <w:i/>
        </w:rPr>
        <w:t>prima facie</w:t>
      </w:r>
      <w:r>
        <w:t>, dicho juicio de relevancia, sin que este Tribunal pueda “sustituir, rectificar o integrar el criterio de los órganos judiciales proponentes” (STC 166/2012, de 1 de octubre, FJ 2), salvo “en los supuestos en los que de manera notoria, sin necesidad de examinar el fondo debatido y en aplicación de principios jurídicos básicos se desprenda que no media nexo causal alguno entre la validez de la norma cuestionada y la resolución del proceso a quo” (SSTC 179/2009, de 21 de julio, FJ 2, y 121/2011, de 7 de julio, FJ, 2), ya que en tales casos sólo mediante su revisión “es posible garantizar el control concreto de constitucionalidad que corresponde a la cuestión de inconstitucionalidad en los términos en que ésta es definida por el art. 163 CE” (STC 84/2012, de 18 de abril, FJ 2; y las allí citadas). Así, si bien el juicio de relevancia puede encontrarse suficientemente “exteriorizado” y ello bastará para que la cuestión no incurra en una carencia de las condiciones procesales, basada en este extremo, puede ocurrir también que, aunque exteriorizado y argumentado por el órgano judicial, resulte erróneo porque la argumentación judicial sobre la aplicabilidad al caso de la norma cuestionada sea notoriamente inconsistente o equivocada (por todas, SSTC 38/2014, de 11 de marzo, FJ 3; y 43/2015, de 2 de marzo, FJ 3).</w:t>
      </w:r>
    </w:p>
    <w:p w:rsidR="0085709A" w:rsidRDefault="0085709A" w:rsidP="0085709A">
      <w:pPr>
        <w:pStyle w:val="TextoNormal"/>
      </w:pPr>
    </w:p>
    <w:p w:rsidR="0085709A" w:rsidRDefault="0085709A" w:rsidP="0085709A">
      <w:pPr>
        <w:pStyle w:val="TextoNormal"/>
      </w:pPr>
      <w:r w:rsidRPr="0085709A">
        <w:rPr>
          <w:rStyle w:val="NumeroAFNegritaCaracter"/>
        </w:rPr>
        <w:t>4</w:t>
      </w:r>
      <w:r>
        <w:t>. En el presente caso nos encontramos ante un supuesto en el que, en virtud de convenio regulador de divorcio homologado judicialmente, se pactó “pensión de alimentos” a favor de la ex cónyuge.</w:t>
      </w:r>
    </w:p>
    <w:p w:rsidR="0085709A" w:rsidRDefault="0085709A" w:rsidP="0085709A">
      <w:pPr>
        <w:pStyle w:val="TextoNormal"/>
      </w:pPr>
    </w:p>
    <w:p w:rsidR="0085709A" w:rsidRDefault="0085709A" w:rsidP="0085709A">
      <w:pPr>
        <w:pStyle w:val="TextoNormal"/>
      </w:pPr>
      <w:r>
        <w:t xml:space="preserve">Afirma la Sala proponente de la cuestión de inconstitucionalidad, que, de conformidad con la normativa civil, en supuestos de disolución de vínculo matrimonial, no pueden surgir pensiones alimenticias por cuanto no existe obligación legal para ello, y que, por dicha razón, fuera oportuno considerar la pensión de alimentos pactada por los cónyuges como una pensión compensatoria con independencia del </w:t>
      </w:r>
      <w:r w:rsidRPr="0085709A">
        <w:rPr>
          <w:i/>
        </w:rPr>
        <w:t>nomen iuris</w:t>
      </w:r>
      <w:r>
        <w:t xml:space="preserve"> con el que rubricaron tal obligación en su convenio regulador. En apoyo de este argumento, el órgano judicial cita la jurisprudencia que ha venido reiterando la Sala de lo Civil del Tribunal Supremo, según la cual, mientras subsiste el vínculo matrimonial, a pesar de que se haya producido la separación, perdura la obligación familiar de socorro mutuo (art. 68 CC), que desaparece al disolverse el matrimonio por divorcio. Sin embargo, la Sala proponente se ve abocada a descartar dicha interpretación normativa por estimar que la doctrina sentada por la Sala de lo Social del Tribunal Supremo, fijada en unificación de doctrina en la Sentencia 21 de febrero de 2012 (recurso núm. 2095-2011), que se remite, a su vez, a la Sentencia de 14 febrero de 2012 (recurso núm. 1114-2011), reconoce como único criterio de interpretación el de la literalidad de la denominación de la pensión pactada por los cónyuges. Sobre este particular advierte el Fiscal, que no es subsumible dicha jurisprudencia al supuesto controvertido, pues en los casos analizados por aquellas Sentencias, los cónyuges se hallaban separados y en el caso ahora planteado existe resolución judicial de divorcio que pone fin al vínculo matrimonial.</w:t>
      </w:r>
    </w:p>
    <w:p w:rsidR="0085709A" w:rsidRDefault="0085709A" w:rsidP="0085709A">
      <w:pPr>
        <w:pStyle w:val="TextoNormal"/>
      </w:pPr>
    </w:p>
    <w:p w:rsidR="0085709A" w:rsidRDefault="0085709A" w:rsidP="0085709A">
      <w:pPr>
        <w:pStyle w:val="TextoNormal"/>
      </w:pPr>
      <w:r>
        <w:t xml:space="preserve">Se hace preciso subrayar que la doctrina citada ha sido posteriormente revisada por la Sentencia de la Sala de lo Social del Tribunal Supremo, de fecha de 29 de enero de 2014 (recurso núm. 743-2013), dictada en Sala General —reiterada posteriormente por Sentencia de 30 de enero de 2014 (recurso núm. 991-2012)—, la cual se ha decantado por tener en cuenta la naturaleza real de la prestación, con independencia de la denominación que se le haya dado. En el fundamento jurídico segundo de la Sentencia de 29 de enero de 2014, se afirma que “no cabe una interpretación literal que exija que la pensión compensatoria haya </w:t>
      </w:r>
      <w:r>
        <w:lastRenderedPageBreak/>
        <w:t>sido fijada con esa denominación para poder admitir que se cumple con el requisito para el acceso a la prestación de viudedad”, sino que, por el contrario, se debe “acudir a la verdadera naturaleza de la pensión fijada a cargo del causante”, extraída de las circunstancias del caso.</w:t>
      </w:r>
    </w:p>
    <w:p w:rsidR="0085709A" w:rsidRDefault="0085709A" w:rsidP="0085709A">
      <w:pPr>
        <w:pStyle w:val="TextoNormal"/>
      </w:pPr>
    </w:p>
    <w:p w:rsidR="0085709A" w:rsidRDefault="0085709A" w:rsidP="0085709A">
      <w:pPr>
        <w:pStyle w:val="TextoNormal"/>
      </w:pPr>
      <w:r>
        <w:t xml:space="preserve">No es inocua tal circunstancia a los efectos de comprobar la relevancia de la norma en la resolución del recurso de suplicación subyacente. En efecto, tras el cambio jurisprudencial referido, el juicio de constitucionalidad que se nos solicita sobre el precepto cuestionado podría quedar desconectado de su aplicación al proceso </w:t>
      </w:r>
      <w:r w:rsidRPr="0085709A">
        <w:rPr>
          <w:i/>
        </w:rPr>
        <w:t>a quo</w:t>
      </w:r>
      <w:r>
        <w:t>; máxime cuando la propia Sala proponía, como posibilidad inicial, considerar la pensión de alimentos como una pensión compensatoria, de no haber sido por la doctrina jurisprudencial posteriormente revisada. Es al órgano judicial promotor de la cuestión a quien compete resolver, ante la nueva doctrina, sobre la naturaleza de la pensión reconocida en el convenio regulador, sin que este Tribunal deba realizar juicio alguno al respecto, por tratarse de un problema de interpretación de la legalidad que sólo incumbe a los Tribunales ordinarios (art. 117.3 CE).</w:t>
      </w:r>
    </w:p>
    <w:p w:rsidR="0085709A" w:rsidRDefault="0085709A" w:rsidP="0085709A">
      <w:pPr>
        <w:pStyle w:val="TextoNormal"/>
      </w:pPr>
    </w:p>
    <w:p w:rsidR="0085709A" w:rsidRDefault="0085709A" w:rsidP="0085709A">
      <w:pPr>
        <w:pStyle w:val="TextoNormal"/>
      </w:pPr>
      <w:r>
        <w:t xml:space="preserve">Sin perjuicio de lo expuesto, y a mayor abundamiento, se debe advertir que el juicio de relevancia realizado por la Sala proponente carece de consistencia. En efecto, es difícil sostener que el fallo del proceso </w:t>
      </w:r>
      <w:r w:rsidRPr="0085709A">
        <w:rPr>
          <w:i/>
        </w:rPr>
        <w:t>a quo</w:t>
      </w:r>
      <w:r>
        <w:t xml:space="preserve"> vaya a depender de la declaración de invalidez de la norma cuestionada con base en el diferente tratamiento legislativo que se otorga al ex cónyuge que recibe pensión de alimentos respecto del que percibe pensión compensatoria (art. 14 CE, en relación con los arts. 24.1 y 41 CE), cuando se reconoce, al mismo tiempo, que, desaparecida la condición de cónyuge por efecto del divorcio, ya no existe más obligación legal por parte del ex cónyuge que a la pensión compensatoria (arts. 97 y 142 y ss., todos del Código civil). Por ello, resulta igualmente incoherente que la Sala ofrezca como forma de superar la alegada discriminación, entender incluidos, entre los acreedores de la pensión compensatoria, a los cónyuges divorciados a los que se hubiera reconocido pensión alimenticia con ocasión del divorcio. Admitir tal interpretación supondría reconocer —en la línea defendida por la Abogacía del Estado— efectos legales a una situación que, como el propio órgano judicial parece admitir, carece de cobertura legal en el ordenamiento jurídico civil. Cuestión distinta es que Jueces y Tribunales, en el ejercicio de su función jurisdiccional, determinen si pensiones reconocidas tras la desaparición del vínculo matrimonial y que han sido calificadas formalmente como alimenticias, deban ser consideradas o no como pensiones compensatorias de acuerdo con las circunstancias concretas del caso que estén conociendo.</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En conclusión, si bien el órgano judicial proponente de la cuestión de inconstitucionalidad ha exteriorizado el juicio de aplicabilidad y relevancia sobre el precepto legal cuestionado (segundo inciso del párrafo primero del art. 174.2 LGSS), lo cierto es que, por los motivos expuestos, no se puede afirmar que de la validez del precepto cuestionado dependa el fallo del proceso </w:t>
      </w:r>
      <w:r w:rsidRPr="0085709A">
        <w:rPr>
          <w:i/>
        </w:rPr>
        <w:t>a quo</w:t>
      </w:r>
      <w:r>
        <w:t>. Por ello, procede declarar la inadmisión a trámite de la presente cuestión de inconstitucionalidad en aplicación de lo dispuesto en el art. 37.1 LOTC.</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Inadmitir la cuestión de inconstitucionalidad núm. 4921-2012, planteada por la Sala de lo Social del Tribunal Superior de Justicia de Madrid.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3" w:name="SENTENCIA_2015_80"/>
      <w:r>
        <w:lastRenderedPageBreak/>
        <w:t>SENTENCIA 80/2015, de 30 de abril de 2015</w:t>
      </w:r>
    </w:p>
    <w:bookmarkEnd w:id="83"/>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ECLI:ES:TC:2015:80</w:t>
      </w:r>
    </w:p>
    <w:p w:rsidR="0085709A" w:rsidRDefault="0085709A" w:rsidP="0085709A">
      <w:pPr>
        <w:pStyle w:val="TextoNormalCentrado"/>
      </w:pPr>
    </w:p>
    <w:p w:rsidR="0085709A" w:rsidRDefault="0085709A" w:rsidP="0085709A">
      <w:pPr>
        <w:pStyle w:val="SntesisDescriptiva"/>
      </w:pPr>
      <w:r>
        <w:t>Recurso de amparo 5157-2012. Promovido por doña María de los Ángeles Jordá Escola en relación con el Auto de la Sala de lo Contencioso-Administrativo del Tribunal Supremo que inadmitió su recurso de casación frente a la Sentencia de la Audiencia Nacional sobre impuesto sobre la renta de las personas físicas.</w:t>
      </w:r>
    </w:p>
    <w:p w:rsidR="0085709A" w:rsidRDefault="0085709A" w:rsidP="0085709A">
      <w:pPr>
        <w:pStyle w:val="SntesisDescriptiva"/>
      </w:pPr>
    </w:p>
    <w:p w:rsidR="0085709A" w:rsidRDefault="0085709A" w:rsidP="0085709A">
      <w:pPr>
        <w:pStyle w:val="SntesisAnaltica"/>
      </w:pPr>
      <w:r>
        <w:t>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José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avocado número 5157-2012, promovido por doña María de los Ángeles Jordá Escola, representada por el Procurador de los Tribunales don Jorge Deleito García y asistida por la Abogada doña Laura Bujons Sampere, contra el Auto de la Sección </w:t>
      </w:r>
      <w:r>
        <w:lastRenderedPageBreak/>
        <w:t>Primera de la Sala de lo Contencioso-Administrativo del Tribunal Supremo de 10 de noviembre de 2011, que declaró la inadmisión del recurso de casación núm. 2933-2010. Ha comparecido el Abogado del Estado, en la representación que ostenta, y ha intervenido el Ministerio Fiscal.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13 de septiembre de 2012, don Jorge Deleito García, Procurador de los Tribunales, actuando en nombre y representación de doña María de los Ángeles Jordá Escola, interpuso recurso de amparo contra la resolución judicial que se menciona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en síntesis, los siguientes:</w:t>
      </w:r>
    </w:p>
    <w:p w:rsidR="0085709A" w:rsidRDefault="0085709A" w:rsidP="0085709A">
      <w:pPr>
        <w:pStyle w:val="TextoNormal"/>
      </w:pPr>
    </w:p>
    <w:p w:rsidR="0085709A" w:rsidRDefault="0085709A" w:rsidP="0085709A">
      <w:pPr>
        <w:pStyle w:val="TextoNormal"/>
      </w:pPr>
      <w:r>
        <w:t>a) La demandante de amparo interpuso recurso contencioso-administrativo contra la resolución del Tribunal Económico-Administrativo Central de 21 de diciembre de 2006, por la que se desestima la reclamación económico-administrativa formulada frente a la resolución del Tribunal Económico-Administrativo Regional de Cataluña de fecha 9 de octubre de 2003, recaída en el expediente núm. 08-10593-2000, 10594-2000 y 10595-2000 (acumulados), relativa al impuesto sobre la renta de las personas físicas correspondiente al ejercicio 1991.</w:t>
      </w:r>
    </w:p>
    <w:p w:rsidR="0085709A" w:rsidRDefault="0085709A" w:rsidP="0085709A">
      <w:pPr>
        <w:pStyle w:val="TextoNormal"/>
      </w:pPr>
    </w:p>
    <w:p w:rsidR="0085709A" w:rsidRDefault="0085709A" w:rsidP="0085709A">
      <w:pPr>
        <w:pStyle w:val="TextoNormal"/>
      </w:pPr>
      <w:r>
        <w:t>b) En el seno del procedimiento ordinario núm. 439-2007, dictó Sentencia de 15 de abril de 2010 la Sección Segunda de la Sala de lo Contencioso-Administrativo de la Audiencia Nacional, confirmatoria de la resolución del Tribunal Económico-Administrativo Central.</w:t>
      </w:r>
    </w:p>
    <w:p w:rsidR="0085709A" w:rsidRDefault="0085709A" w:rsidP="0085709A">
      <w:pPr>
        <w:pStyle w:val="TextoNormal"/>
      </w:pPr>
    </w:p>
    <w:p w:rsidR="0085709A" w:rsidRDefault="0085709A" w:rsidP="0085709A">
      <w:pPr>
        <w:pStyle w:val="TextoNormal"/>
      </w:pPr>
      <w:r>
        <w:t>c) En fecha 30 de abril de 2010, la representación procesal de la demandante de amparo registró escrito de preparación de recurso de casación contra la Sentencia referida, anunciándolo al amparo del art. 88.1 de la Ley reguladora de la jurisdicción contencioso-administrativa (LJCA).</w:t>
      </w:r>
    </w:p>
    <w:p w:rsidR="0085709A" w:rsidRDefault="0085709A" w:rsidP="0085709A">
      <w:pPr>
        <w:pStyle w:val="TextoNormal"/>
      </w:pPr>
    </w:p>
    <w:p w:rsidR="0085709A" w:rsidRDefault="0085709A" w:rsidP="0085709A">
      <w:pPr>
        <w:pStyle w:val="TextoNormal"/>
      </w:pPr>
      <w:r>
        <w:t>Por providencia de 3 de mayo de 2011, la Sala de lo Contencioso-Administrativo del Tribunal Supremo acordó conceder a las partes del recurso de casación núm. 2933-2010 un plazo de diez días para que formularan alegaciones acerca de la posible concurrencia de la siguiente causa de inadmisión del recurso:</w:t>
      </w:r>
    </w:p>
    <w:p w:rsidR="0085709A" w:rsidRDefault="0085709A" w:rsidP="0085709A">
      <w:pPr>
        <w:pStyle w:val="TextoNormal"/>
      </w:pPr>
    </w:p>
    <w:p w:rsidR="0085709A" w:rsidRDefault="0085709A" w:rsidP="0085709A">
      <w:pPr>
        <w:pStyle w:val="TextoNormal"/>
      </w:pPr>
      <w:r>
        <w:t>“No haber citado en el escrito de preparación del recurso de casación las infracciones normativas o jurisprudenciales que la recurrente desarrollará en el escrito de interposición [artículos 88.1; 89.1 y 93.2 a) LRJCA y auto de la Sala de 10 de febrero de 2011, recurso de casación 2927-2010].”</w:t>
      </w:r>
    </w:p>
    <w:p w:rsidR="0085709A" w:rsidRDefault="0085709A" w:rsidP="0085709A">
      <w:pPr>
        <w:pStyle w:val="TextoNormal"/>
      </w:pPr>
    </w:p>
    <w:p w:rsidR="0085709A" w:rsidRDefault="0085709A" w:rsidP="0085709A">
      <w:pPr>
        <w:pStyle w:val="TextoNormal"/>
      </w:pPr>
      <w:r>
        <w:t>La parte recurrente presentó alegaciones en dicho trámite mediante escrito de fecha 31 de mayo de 2011, en el que solicitaba la admisión del recurso por haber cumplido los requisitos exigidos por la Sala de forma estable y consolidada para los escritos de preparación de la casación.</w:t>
      </w:r>
    </w:p>
    <w:p w:rsidR="0085709A" w:rsidRDefault="0085709A" w:rsidP="0085709A">
      <w:pPr>
        <w:pStyle w:val="TextoNormal"/>
      </w:pPr>
    </w:p>
    <w:p w:rsidR="0085709A" w:rsidRDefault="0085709A" w:rsidP="0085709A">
      <w:pPr>
        <w:pStyle w:val="TextoNormal"/>
      </w:pPr>
      <w:r>
        <w:lastRenderedPageBreak/>
        <w:t xml:space="preserve">d) Por Auto de 10 de noviembre de 2011, la Sala Tercera del Tribunal Supremo (Sección Primera) declaró la inadmisión del recurso de casación. La resolución se remite al ATS de 10 de febrero de 2011, dictado en el recurso de casación núm. 2927-2010, a la vista de cuya doctrina concluye que, al no contener el escrito de preparación del recurso la cita de las infracciones normativas o jurisprudenciales denunciadas, procedía la inadmisión del mismo por su defectuosa preparación. En la referida resolución se argumenta que: (i) la exigencia de cita de las infracciones normativas o jurisprudenciales que se estiman infringidas responde a una concepción de la fase de preparación como trámite con sustantividad propia, que no constituye un mero formalismo carente de trascendencia y que persigue garantizar que la parte recurrida cuente desde un principio con la información necesaria para adoptar la posición procesal que estime pertinente; (ii) el cambio de criterio interpretativo operado por el Auto de 10 de febrero de 2011, dictado en el recurso de casación antes citado, culmina una evolución jurisprudencial dirigida a hacer efectiva esa concepción del trámite de preparación del recurso, lo que es perfectamente compatible con el carácter dinámico y adaptativo de la jurisprudencia, que ha de ajustarse a las nuevas realidades en las que se desenvuelven las relaciones jurídicas; iii) lo que prohíbe el principio de igualdad en la aplicación de la Ley es el cambio irreflexivo o arbitrario, no así el cambio razonado, razonable y con vocación de futuro, esto es, destinado a ser mantenido con cierta continuidad con fundamento en razones jurídicas objetivas que excluyan todo significado de resolución </w:t>
      </w:r>
      <w:r w:rsidRPr="0085709A">
        <w:rPr>
          <w:i/>
        </w:rPr>
        <w:t>ad personam</w:t>
      </w:r>
      <w:r>
        <w:t>; (iv) la aplicación del nuevo criterio a todas las situaciones jurídicas pendientes de resolver, con independencia de la fecha de presentación del escrito de preparación, obedece al “mínimo efecto retroactivo” al que se ha referido el Tribunal Constitucional en el examen de los cambios jurisprudenciales; v) las posibles restricciones a la recurribilidad de determinadas resoluciones no son incompatibles con el derecho a la tutela judicial efectiva del art. 24.1 CE, ni con el principio de seguridad jurídica, siempre que se articulen por ley, siendo doctrina reiterada de la Sala Tercera que no se quebranta dicho derecho porque un proceso contencioso-administrativo quede resuelto en única instancia.</w:t>
      </w:r>
    </w:p>
    <w:p w:rsidR="0085709A" w:rsidRDefault="0085709A" w:rsidP="0085709A">
      <w:pPr>
        <w:pStyle w:val="TextoNormal"/>
      </w:pPr>
    </w:p>
    <w:p w:rsidR="0085709A" w:rsidRDefault="0085709A" w:rsidP="0085709A">
      <w:pPr>
        <w:pStyle w:val="TextoNormal"/>
      </w:pPr>
      <w:r>
        <w:t>e) Contra el Auto de inadmisión de 10 de noviembre de 2011 fue promovido incidente de nulidad de actuaciones, invocándose el derecho a la tutela judicial efectiva en su vertiente de acceso a los recursos (art. 24.1 CE) y el principio de igualdad ante la ley (art. 14 CE), siendo inadmitido dicho remedio procesal por providencia de 25 de junio de 2012.</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los siguientes argumentos que: i) del examen comparativo del escrito de preparación y el de formalización del recurso podía concluirse el cumplimiento de las exigencias impuestas tanto por la Ley jurisdiccional y por la jurisprudencia entonces existente; ii) se proporcionaba a la parte recurrida información acerca de los motivos en que se fundamentaría el recurso de casación, puesto que se hizo una referencia sucinta a los mismos, como venía entonces exigiéndose; iii) con anterioridad a la primera fecha de publicación de la nueva doctrina del Tribunal Supremo ya había sido preparado y formalizado el recurso de casación en este caso; iv) en el momento de preparar e interponer el recurso de casación la jurisprudencia sobre la cuestión analizada no era unánime ni clara, por lo que la inadmisión repercutía en la seguridad jurídica y en la tutela judicial efectiva de quien obraba con la certeza de que sus actuaciones cumplían con la legislación y doctrina jurisprudencial vigentes; v) la aplicación de la doctrina emanada del ATS de 10 de febrero de 2011 requería algún tipo de </w:t>
      </w:r>
      <w:r>
        <w:lastRenderedPageBreak/>
        <w:t>periodo transitorio, pues lo contrario implicaba la exigencia de requisitos sobrevenidos e inesperados, con centenares de inadmisiones como la que se impugna, contraviniéndose la exigencia de que los cambios jurisprudenciales tengan vocación de futuro.</w:t>
      </w:r>
    </w:p>
    <w:p w:rsidR="0085709A" w:rsidRDefault="0085709A" w:rsidP="0085709A">
      <w:pPr>
        <w:pStyle w:val="TextoNormal"/>
      </w:pPr>
    </w:p>
    <w:p w:rsidR="0085709A" w:rsidRDefault="0085709A" w:rsidP="0085709A">
      <w:pPr>
        <w:pStyle w:val="TextoNormal"/>
      </w:pPr>
      <w:r>
        <w:t>Por su parte, desde la perspectiva del art. 14 CE se alega que: i) la aplicación lógica del nuevo criterio establecido por el Tribunal Supremo debería limitarse a los recursos de casación preparados con posterioridad al mismo o, como mínimo, a los interpuestos con posterioridad a esa fecha, y no, como ocurre en el presente caso, a los que tanto en la preparación como en la interposición se produjeron con anterioridad; ii) de otro modo, se da una situación menos favorable en aplicación de una misma norma ante supuestos idénticos, como serían los casos anteriores a la existencia de aquella nueva doctrina en los que se admitieron los escritos de preparación que contenían sucintas referencias a los motivos que iban a desarrollarse en el escrito de interposición.</w:t>
      </w:r>
    </w:p>
    <w:p w:rsidR="0085709A" w:rsidRDefault="0085709A" w:rsidP="0085709A">
      <w:pPr>
        <w:pStyle w:val="TextoNormal"/>
      </w:pPr>
    </w:p>
    <w:p w:rsidR="0085709A" w:rsidRDefault="0085709A" w:rsidP="0085709A">
      <w:pPr>
        <w:pStyle w:val="TextoNormal"/>
      </w:pPr>
      <w:r w:rsidRPr="0085709A">
        <w:rPr>
          <w:rStyle w:val="NumeroAFNegritaCaracter"/>
        </w:rPr>
        <w:t>4</w:t>
      </w:r>
      <w:r>
        <w:t>. Presentada la demanda de amparo, la Sala Segunda de este Tribunal, por Auto de 7 de noviembre de 2013, acordó declarar justificada la abstención para el conocimiento del presente recurso de amparo formulada por el Magistrado don Juan José González Rivas,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7 de noviembre de 2013, la Sala Segunda acordó admitir a trámite la demanda de amparo. Asimismo, en aplicación de lo dispuesto en el art. 51 de la Ley Orgánica del Tribunal Constitucional (LOTC), acordó dirigir atenta comunicación al Tribunal Supremo y a la Audiencia Nacional a fin de que, en el plazo de diez días, remitieran, respectivamente, certificación o fotocopia adverada de las actuaciones correspondientes al recurso de casación núm. 2933-2010 y al procedimiento ordinario núm. 439-2007, debiendo previamente emplazarse para que pudieran comparecer en el recurso de amparo, en el término de diez días, a quienes hubieran sido parte en el procedimiento, excepto a la parte recurrente.</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Segunda de este Tribunal, de fecha 16 de diciembre de 2013, se tuvieron por recibidos los testimonios de las actuaciones, remitidos por el Tribunal Supremo y por la Audiencia Nacional, así como por personado y parte al Abogado del Estado, en la representación que ostenta, como solicitó éste en escrito registrado el día 21 de noviembre de 2013. A tenor de lo dispuesto en el art. 52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presentó sus alegaciones mediante escrito registrado el 20 de enero de 2014, en el que interesa que se dicte sentencia estimatoria por vulneración del art. 24.1 CE. Entiende incumplidas “las exigencias mínimas de confianza legítima de los justiciables”. A su juicio, las nuevas máximas jurisprudenciales contenidas en el ATS de 10 de febrero de 2011 se han aplicado en perjuicio de la recurrente, que había preparado la casación antes de que se pudiera conocer aquella innovadora resolución, de manera que su recurso de casación fue inadmitido en virtud de nuevas “exigencias” jurisprudenciales que razonablemente no se conocían al tiempo de su preparación.</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8</w:t>
      </w:r>
      <w:r>
        <w:t>. En fecha 22 de enero de 2014 se registró en este Tribunal el escrito de alegaciones de la recurrente de amparo, en el que reitera las alegaciones ya contenidas en su demanda de amparo.</w:t>
      </w:r>
    </w:p>
    <w:p w:rsidR="0085709A" w:rsidRDefault="0085709A" w:rsidP="0085709A">
      <w:pPr>
        <w:pStyle w:val="TextoNormal"/>
      </w:pPr>
    </w:p>
    <w:p w:rsidR="0085709A" w:rsidRDefault="0085709A" w:rsidP="0085709A">
      <w:pPr>
        <w:pStyle w:val="TextoNormal"/>
      </w:pPr>
      <w:r w:rsidRPr="0085709A">
        <w:rPr>
          <w:rStyle w:val="NumeroAFNegritaCaracter"/>
        </w:rPr>
        <w:t>9</w:t>
      </w:r>
      <w:r>
        <w:t>. El Ministerio Fiscal evacuó el trámite el 6 de febrero de 2014, interesando la desestimación del recurso. A su parecer, el Auto dictado por la Sección Primera de la Sala de lo Contencioso-Administrativo del Tribunal Supremo constituye una resolución debidamente motivada, que no está incursa ni en error patente, ni en irrazonabilidad, ni en arbitrariedad. En cuanto al art. 14 CE, razona que la parte recurrente no ha aportado un válido término de comparación.</w:t>
      </w:r>
    </w:p>
    <w:p w:rsidR="0085709A" w:rsidRDefault="0085709A" w:rsidP="0085709A">
      <w:pPr>
        <w:pStyle w:val="TextoNormal"/>
      </w:pPr>
    </w:p>
    <w:p w:rsidR="0085709A" w:rsidRDefault="0085709A" w:rsidP="0085709A">
      <w:pPr>
        <w:pStyle w:val="TextoNormal"/>
      </w:pPr>
      <w:r w:rsidRPr="0085709A">
        <w:rPr>
          <w:rStyle w:val="NumeroAFNegritaCaracter"/>
        </w:rPr>
        <w:t>10</w:t>
      </w:r>
      <w:r>
        <w:t>. La Sala Segunda de este Tribunal, por Auto de 6 de noviembre de 2014, acordó declarar justificada la abstención para el conocimiento del presente recurso de amparo formulada por el Magistrado don Ricardo Enríquez Sancho, quedando definitivamente apartado del referido recurso y de todas sus incidencias.</w:t>
      </w:r>
    </w:p>
    <w:p w:rsidR="0085709A" w:rsidRDefault="0085709A" w:rsidP="0085709A">
      <w:pPr>
        <w:pStyle w:val="TextoNormal"/>
      </w:pPr>
    </w:p>
    <w:p w:rsidR="0085709A" w:rsidRDefault="0085709A" w:rsidP="0085709A">
      <w:pPr>
        <w:pStyle w:val="TextoNormal"/>
      </w:pPr>
      <w:r w:rsidRPr="0085709A">
        <w:rPr>
          <w:rStyle w:val="NumeroAFNegritaCaracter"/>
        </w:rPr>
        <w:t>11</w:t>
      </w:r>
      <w:r>
        <w:t>. . El Pleno de este Tribunal, mediante providencia de 15 de abril de 2015, acordó, de conformidad con el art. 10.1 n) LOTC, a propuesta de la Sala Segunda, recabar para sí el conocimiento de este recurso de amparo.</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28 de abril de 2015, se señaló para deliberación y votación de la presente Sentencia el día 30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porque se cumplían los requisitos y las exigencias impuestas en aquel momento por la ley y la jurisprudencia, y b) porque la aplicación de la doctrina emanada del ATS de 10 de febrero de 2011 requería algún tipo de periodo transitorio, pues lo contrario implicaba la exigencia de requisitos sobrevenidos e inesperados, y (ii) el derecho a la igualdad en la aplicación de la ley (art. 14 CE), porque la aplicación lógica del nuevo criterio establecido por el Tribunal Supremo debería limitarse a los recursos de casación preparados con posterioridad al mismo o, como mínimo, a los interpuestos con posterioridad a esa fecha, y no, como ocurre en el presente caso, a los anteriores, ya que de otro modo se da una situación menos favorable en aplicación de una misma norma ante supuestos idénticos —como serían los casos anteriores a la existencia de aquella nueva doctrina en los que se admitieron los escritos de preparación que contenían sucintas referencias a los motivos que iban a desarrollarse en el escrito de interposición—.</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noviembre 2003, e </w:t>
      </w:r>
      <w:r w:rsidRPr="0085709A">
        <w:rPr>
          <w:i/>
        </w:rPr>
        <w:t>Ipamark c. España</w:t>
      </w:r>
      <w:r>
        <w:t>, de 17 de febrero de 2004, que presentan en común el haber enjuiciado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lastRenderedPageBreak/>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anteriormente indicada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0085709A" w:rsidRDefault="0085709A" w:rsidP="0085709A">
      <w:pPr>
        <w:pStyle w:val="TextoNormal"/>
      </w:pPr>
    </w:p>
    <w:p w:rsidR="0085709A" w:rsidRDefault="0085709A" w:rsidP="0085709A">
      <w:pPr>
        <w:pStyle w:val="TextoNormal"/>
      </w:pPr>
      <w:r>
        <w:t>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w:t>
      </w:r>
      <w:r>
        <w:lastRenderedPageBreak/>
        <w:t xml:space="preserve">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la excepción que, por disposición legal, establezca el efecto exclusivamente prospectivo de la sentencia, como así se prevé en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y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se continúe con posterioridad (por todas, SSTC 105/2009, de 4 de mayo, FJ 4, y 178/2014, de 3 de noviembre, FJ 4).</w:t>
      </w:r>
    </w:p>
    <w:p w:rsidR="0085709A" w:rsidRDefault="0085709A" w:rsidP="0085709A">
      <w:pPr>
        <w:pStyle w:val="TextoNormal"/>
      </w:pPr>
    </w:p>
    <w:p w:rsidR="0085709A" w:rsidRDefault="0085709A" w:rsidP="0085709A">
      <w:pPr>
        <w:pStyle w:val="TextoNormal"/>
      </w:pPr>
      <w:r>
        <w:t xml:space="preserve">De acuerdo con ello, el Auto del Tribunal Supremo impugnado, lejos de ser una decisión particularizada y adoptada </w:t>
      </w:r>
      <w:r w:rsidRPr="0085709A">
        <w:rPr>
          <w:i/>
        </w:rPr>
        <w:t>ad hoc</w:t>
      </w:r>
      <w:r>
        <w:t xml:space="preserve">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el recurso de amparo interpuesto por doña María de los Ángeles Jordá Escola.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4" w:name="SENTENCIA_2015_81"/>
      <w:r>
        <w:lastRenderedPageBreak/>
        <w:t>SENTENCIA 81/2015, de 30 de abril de 2015</w:t>
      </w:r>
    </w:p>
    <w:bookmarkEnd w:id="84"/>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ECLI:ES:TC:2015:81</w:t>
      </w:r>
    </w:p>
    <w:p w:rsidR="0085709A" w:rsidRDefault="0085709A" w:rsidP="0085709A">
      <w:pPr>
        <w:pStyle w:val="TextoNormalCentrado"/>
      </w:pPr>
    </w:p>
    <w:p w:rsidR="0085709A" w:rsidRDefault="0085709A" w:rsidP="0085709A">
      <w:pPr>
        <w:pStyle w:val="SntesisDescriptiva"/>
      </w:pPr>
      <w:r>
        <w:t>Recurso de inconstitucionalidad 5736-2012. Interpuesto por el Parlamento de Navarra frente al artículo 2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Límites a los decretos-leyes, competencias en materia de ordenación general de la economía y función pública y principio de seguridad jurídica: acreditación de la concurrencia del presupuesto habilitante y de la conexión de sentido en la supresión de la paga extraordinaria y de la paga adicional de complemento específico, correspondientes al mes de diciembre de 2012; observancia de los límites materiales de los decretos-leyes.</w:t>
      </w:r>
    </w:p>
    <w:p w:rsidR="0085709A" w:rsidRDefault="0085709A" w:rsidP="0085709A">
      <w:pPr>
        <w:pStyle w:val="SntesisAnaltica"/>
      </w:pPr>
    </w:p>
    <w:p w:rsidR="0085709A" w:rsidRDefault="0085709A" w:rsidP="0085709A">
      <w:pPr>
        <w:pStyle w:val="Extracto"/>
      </w:pPr>
      <w:r>
        <w:t>1.</w:t>
      </w:r>
      <w:r>
        <w:tab/>
        <w:t>El Gobierno ha justificado de manera expresa, concreta, detallada y razonada, la necesidad de emplear la potestad legislativa provisional y de urgencia que le reconoce el art. 86.1CE, respecto al Real Decreto-ley por el que se suprime la paga extraordinaria y la paga adicional de complemento específico de los empleados del sector público [FJ 4].</w:t>
      </w:r>
    </w:p>
    <w:p w:rsidR="0085709A" w:rsidRDefault="0085709A" w:rsidP="0085709A">
      <w:pPr>
        <w:pStyle w:val="Extracto"/>
      </w:pPr>
    </w:p>
    <w:p w:rsidR="0085709A" w:rsidRDefault="0085709A" w:rsidP="0085709A">
      <w:pPr>
        <w:pStyle w:val="Extracto"/>
      </w:pPr>
      <w:r>
        <w:t>2.</w:t>
      </w:r>
      <w:r>
        <w:tab/>
        <w:t>Las explicaciones dadas por el Gobierno para emplear el Real Decreto-ley impugnado, parten de una situación real, conocida y notoria como la crisis económico-financiera y de unos compromisos internacionales conocidos,  y no son imprecisas, rituales, estereotipadas, retóricas, apodícticas o generales, ni sirven a cualquier propósito o finalidad (SSTC 68/2007, 137/2011, 215/2014) [FJ 4].</w:t>
      </w:r>
    </w:p>
    <w:p w:rsidR="0085709A" w:rsidRDefault="0085709A" w:rsidP="0085709A">
      <w:pPr>
        <w:pStyle w:val="Extracto"/>
      </w:pPr>
    </w:p>
    <w:p w:rsidR="0085709A" w:rsidRDefault="0085709A" w:rsidP="0085709A">
      <w:pPr>
        <w:pStyle w:val="Extracto"/>
      </w:pPr>
      <w:r>
        <w:t>3.</w:t>
      </w:r>
      <w:r>
        <w:tab/>
        <w:t>El control del Tribunal Constitucional incluye la eventual disconformidad con la definición que los órganos políticos hagan de una situación determinada como caso de extraordinaria y urgente necesidad de tal naturaleza que no pueda ser atendida por la vía del procedimiento legislativo de urgencia, sin embargo, no puede traspasar las fronteras de su función y a la vez de su responsabilidad e inmiscuirse en la decisión de gobierno, alterando los supuestos del orden constitucional democrático (SSTC 111/1983, 60/1986) [FJ 5].</w:t>
      </w:r>
    </w:p>
    <w:p w:rsidR="0085709A" w:rsidRDefault="0085709A" w:rsidP="0085709A">
      <w:pPr>
        <w:pStyle w:val="Extracto"/>
      </w:pPr>
    </w:p>
    <w:p w:rsidR="0085709A" w:rsidRDefault="0085709A" w:rsidP="0085709A">
      <w:pPr>
        <w:pStyle w:val="Extracto"/>
      </w:pPr>
      <w:r>
        <w:t>4.</w:t>
      </w:r>
      <w:r>
        <w:tab/>
        <w:t>Lo que está vedado al Decreto-ley de acuerdo con el precepto constitucional transcrito no es la regulación del estatuto de los funcionarios públicos, sino la afectación a los derechos, deberes y libertades regulados en el Título I de la constitución; la interpretación que debe darse al verbo “afectar” empleado por el art. 86.1 CE en relación al art. 23.2 CE, permite concluir que lo que el Real Decreto-ley no puede afectar es el derecho de los ciudadanos a acceder en condiciones de igualdad a las funciones y cargos públicos [FJ 6].</w:t>
      </w:r>
    </w:p>
    <w:p w:rsidR="0085709A" w:rsidRDefault="0085709A" w:rsidP="0085709A">
      <w:pPr>
        <w:pStyle w:val="Extracto"/>
      </w:pPr>
    </w:p>
    <w:p w:rsidR="0085709A" w:rsidRDefault="0085709A" w:rsidP="0085709A">
      <w:pPr>
        <w:pStyle w:val="Extracto"/>
      </w:pPr>
      <w:r>
        <w:t>5.</w:t>
      </w:r>
      <w:r>
        <w:tab/>
        <w:t xml:space="preserve">Nuestra doctrina no encuadra las medidas de contención de gastos de personal en el marco de las competencias en materia de funcionarios públicos, sino que las sitúa bajo el de las bases y coordinación de la planificación general de la actividad económica, por dos motivos: en primer lugar, porque dichas retribuciones, no sólo alcanzan a los funcionarios públicos, sino también a todo el personal al servicio </w:t>
      </w:r>
      <w:r>
        <w:lastRenderedPageBreak/>
        <w:t>del sector público; y en segundo lugar, porque su carácter coyuntural y su eficacia limitada en el tiempo impiden integrarlas en la relación de servicio que delimita dicho régimen estatutario [FJ 7].</w:t>
      </w:r>
    </w:p>
    <w:p w:rsidR="0085709A" w:rsidRDefault="0085709A" w:rsidP="0085709A">
      <w:pPr>
        <w:pStyle w:val="Extracto"/>
      </w:pPr>
    </w:p>
    <w:p w:rsidR="0085709A" w:rsidRDefault="0085709A" w:rsidP="0085709A">
      <w:pPr>
        <w:pStyle w:val="Extracto"/>
      </w:pPr>
      <w:r>
        <w:t>6.</w:t>
      </w:r>
      <w:r>
        <w:tab/>
        <w:t>Puede afirmarse con carácter general que la Ley de presupuestos solamente contiene la autorización de gastos del Estado, pero la simple previsión del gasto, no genera ningún derecho adicional al previamente reconocido por el ordenamiento y que es precisamente el que motiva la previsión de ese gasto en la ley de presupuestos; de modo que la previsión de gasto no añade nada al derecho a la paga extraordinaria de los empleados públicos, y esta previsión normativa, no generaba por sí sola un pretendido derecho a su mantenimiento frente al legislador, ni frente al legislador de urgencia [FJ 8].</w:t>
      </w:r>
    </w:p>
    <w:p w:rsidR="0085709A" w:rsidRDefault="0085709A" w:rsidP="0085709A">
      <w:pPr>
        <w:pStyle w:val="Extracto"/>
      </w:pPr>
    </w:p>
    <w:p w:rsidR="0085709A" w:rsidRDefault="0085709A" w:rsidP="0085709A">
      <w:pPr>
        <w:pStyle w:val="Extracto"/>
      </w:pPr>
      <w:r>
        <w:t>7.</w:t>
      </w:r>
      <w:r>
        <w:tab/>
        <w:t>No existe obstáculo constitucional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[FJ 6].</w:t>
      </w:r>
    </w:p>
    <w:p w:rsidR="0085709A" w:rsidRDefault="0085709A" w:rsidP="0085709A">
      <w:pPr>
        <w:pStyle w:val="Extracto"/>
      </w:pPr>
    </w:p>
    <w:p w:rsidR="0085709A" w:rsidRDefault="0085709A" w:rsidP="0085709A">
      <w:pPr>
        <w:pStyle w:val="Extracto"/>
      </w:pPr>
      <w:r>
        <w:t>8.</w:t>
      </w:r>
      <w:r>
        <w:tab/>
        <w:t>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[FJ 6].</w:t>
      </w:r>
    </w:p>
    <w:p w:rsidR="0085709A" w:rsidRDefault="0085709A" w:rsidP="0085709A">
      <w:pPr>
        <w:pStyle w:val="Extracto"/>
      </w:pPr>
    </w:p>
    <w:p w:rsidR="0085709A" w:rsidRDefault="0085709A" w:rsidP="0085709A">
      <w:pPr>
        <w:pStyle w:val="Extracto"/>
      </w:pPr>
      <w:r>
        <w:t>9.</w:t>
      </w:r>
      <w:r>
        <w:tab/>
        <w:t>Los principios de seguridad jurídica y confianza legítima no permiten consagrar un pretendido derecho a la “congelación del ordenamiento jurídico existente”, ni pueden impedir la introducción de modificaciones legislativas repentinas, máxime cuando lo hace el legislador de urgencia [FJ 8].</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inconstitucionalidad núm. 5736-2012, interpuesto por el Parlamento de Navarra contra el art. 2 del Real Decreto-ley 20/2012, de 13 de julio, de medidas para garantizar la estabilidad presupuestaria y de fomento de la competitividad. Ha comparecido y formulado alegaciones el Gobierno de la Nación, y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11 de octubre de 2012, el Letrado del Parlamento de Navarra interpuso recurso de inconstitucionalidad contra el art. 2 del Real Decreto-ley 20/2012, de 13 de julio, de medidas para garantizar la estabilidad presupuestaria y de fomento de la competitividad.</w:t>
      </w:r>
    </w:p>
    <w:p w:rsidR="0085709A" w:rsidRDefault="0085709A" w:rsidP="0085709A">
      <w:pPr>
        <w:pStyle w:val="TextoNormal"/>
      </w:pPr>
    </w:p>
    <w:p w:rsidR="0085709A" w:rsidRDefault="0085709A" w:rsidP="0085709A">
      <w:pPr>
        <w:pStyle w:val="TextoNormal"/>
      </w:pPr>
      <w:r>
        <w:t>El citado precepto establece:</w:t>
      </w:r>
    </w:p>
    <w:p w:rsidR="0085709A" w:rsidRDefault="0085709A" w:rsidP="0085709A">
      <w:pPr>
        <w:pStyle w:val="TextoNormal"/>
      </w:pPr>
    </w:p>
    <w:p w:rsidR="0085709A" w:rsidRDefault="0085709A" w:rsidP="0085709A">
      <w:pPr>
        <w:pStyle w:val="TextoNormal"/>
      </w:pPr>
      <w:r>
        <w:t>“Artículo 2. Paga extraordinaria del mes de diciembre de 2012 del personal del sector público.</w:t>
      </w:r>
    </w:p>
    <w:p w:rsidR="0085709A" w:rsidRDefault="0085709A" w:rsidP="0085709A">
      <w:pPr>
        <w:pStyle w:val="TextoNormal"/>
      </w:pPr>
    </w:p>
    <w:p w:rsidR="0085709A" w:rsidRDefault="0085709A" w:rsidP="0085709A">
      <w:pPr>
        <w:pStyle w:val="TextoNormal"/>
      </w:pPr>
      <w:r>
        <w:t>1. En el año 2012 el personal del sector público definido en el artículo 22.Uno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85709A" w:rsidRDefault="0085709A" w:rsidP="0085709A">
      <w:pPr>
        <w:pStyle w:val="TextoNormal"/>
      </w:pPr>
    </w:p>
    <w:p w:rsidR="0085709A" w:rsidRDefault="0085709A" w:rsidP="0085709A">
      <w:pPr>
        <w:pStyle w:val="TextoNormal"/>
      </w:pPr>
      <w:r>
        <w:t>2. Para hacer efectivo lo dispuesto en el apartado anterior, se adoptarán las siguientes medidas:</w:t>
      </w:r>
    </w:p>
    <w:p w:rsidR="0085709A" w:rsidRDefault="0085709A" w:rsidP="0085709A">
      <w:pPr>
        <w:pStyle w:val="TextoNormal"/>
      </w:pPr>
    </w:p>
    <w:p w:rsidR="0085709A" w:rsidRDefault="0085709A" w:rsidP="0085709A">
      <w:pPr>
        <w:pStyle w:val="TextoNormal"/>
      </w:pPr>
      <w:r>
        <w:t>2.1 El personal funcionario no percibirá en el mes de diciembre las cantidades a que se refiere el artículo 22.Cinco.2 de la Ley 2/2012, de 29 de junio, de Presupuestos Generales del Estado para el año 2012 en concepto de sueldo y trienios.</w:t>
      </w:r>
    </w:p>
    <w:p w:rsidR="0085709A" w:rsidRDefault="0085709A" w:rsidP="0085709A">
      <w:pPr>
        <w:pStyle w:val="TextoNormal"/>
      </w:pPr>
    </w:p>
    <w:p w:rsidR="0085709A" w:rsidRDefault="0085709A" w:rsidP="0085709A">
      <w:pPr>
        <w:pStyle w:val="TextoNormal"/>
      </w:pPr>
      <w:r>
        <w:t>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0085709A" w:rsidRDefault="0085709A" w:rsidP="0085709A">
      <w:pPr>
        <w:pStyle w:val="TextoNormal"/>
      </w:pPr>
    </w:p>
    <w:p w:rsidR="0085709A" w:rsidRDefault="0085709A" w:rsidP="0085709A">
      <w:pPr>
        <w:pStyle w:val="TextoNormal"/>
      </w:pPr>
      <w:r>
        <w:t>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0085709A" w:rsidRDefault="0085709A" w:rsidP="0085709A">
      <w:pPr>
        <w:pStyle w:val="TextoNormal"/>
      </w:pPr>
    </w:p>
    <w:p w:rsidR="0085709A" w:rsidRDefault="0085709A" w:rsidP="0085709A">
      <w:pPr>
        <w:pStyle w:val="TextoNormal"/>
      </w:pPr>
      <w:r>
        <w:lastRenderedPageBreak/>
        <w:t>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0085709A" w:rsidRDefault="0085709A" w:rsidP="0085709A">
      <w:pPr>
        <w:pStyle w:val="TextoNormal"/>
      </w:pPr>
    </w:p>
    <w:p w:rsidR="0085709A" w:rsidRDefault="0085709A" w:rsidP="0085709A">
      <w:pPr>
        <w:pStyle w:val="TextoNormal"/>
      </w:pPr>
      <w:r>
        <w:t>La reducción retributiva establecida en el apartado 1 de este artículo será también de aplicación al personal laboral de alta dirección, al personal con contrato mercantil y al no acogido a convenio colectivo que no tenga la consideración de alto cargo.</w:t>
      </w:r>
    </w:p>
    <w:p w:rsidR="0085709A" w:rsidRDefault="0085709A" w:rsidP="0085709A">
      <w:pPr>
        <w:pStyle w:val="TextoNormal"/>
      </w:pPr>
    </w:p>
    <w:p w:rsidR="0085709A" w:rsidRDefault="0085709A" w:rsidP="0085709A">
      <w:pPr>
        <w:pStyle w:val="TextoNormal"/>
      </w:pPr>
      <w:r>
        <w:t>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0085709A" w:rsidRDefault="0085709A" w:rsidP="0085709A">
      <w:pPr>
        <w:pStyle w:val="TextoNormal"/>
      </w:pPr>
    </w:p>
    <w:p w:rsidR="0085709A" w:rsidRDefault="0085709A" w:rsidP="0085709A">
      <w:pPr>
        <w:pStyle w:val="TextoNormal"/>
      </w:pPr>
      <w:r>
        <w:t>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0085709A" w:rsidRDefault="0085709A" w:rsidP="0085709A">
      <w:pPr>
        <w:pStyle w:val="TextoNormal"/>
      </w:pPr>
    </w:p>
    <w:p w:rsidR="0085709A" w:rsidRDefault="0085709A" w:rsidP="0085709A">
      <w:pPr>
        <w:pStyle w:val="TextoNormal"/>
      </w:pPr>
      <w:r>
        <w:t>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0085709A" w:rsidRDefault="0085709A" w:rsidP="0085709A">
      <w:pPr>
        <w:pStyle w:val="TextoNormal"/>
      </w:pPr>
    </w:p>
    <w:p w:rsidR="0085709A" w:rsidRDefault="0085709A" w:rsidP="0085709A">
      <w:pPr>
        <w:pStyle w:val="TextoNormal"/>
      </w:pPr>
      <w:r>
        <w:t>6. Lo dispuesto en los apartados anteriores no será de aplicación a aquellos empleados públicos cuyas retribuciones por jornada completa, excluidos incentivos al rendimiento, no alcancen en cómputo anual 1,5 veces el salario mínimo interprofesional establecido en el Real Decreto 1888/2011, de 30 de diciembre.</w:t>
      </w:r>
    </w:p>
    <w:p w:rsidR="0085709A" w:rsidRDefault="0085709A" w:rsidP="0085709A">
      <w:pPr>
        <w:pStyle w:val="TextoNormal"/>
      </w:pPr>
    </w:p>
    <w:p w:rsidR="0085709A" w:rsidRDefault="0085709A" w:rsidP="0085709A">
      <w:pPr>
        <w:pStyle w:val="TextoNormal"/>
      </w:pPr>
      <w:r>
        <w:t>7. El presente artículo tiene carácter básico dictándose al amparo de lo dispuesto en los artículos 149.1.13 y 156.1 de la Constitución.”</w:t>
      </w:r>
    </w:p>
    <w:p w:rsidR="0085709A" w:rsidRDefault="0085709A" w:rsidP="0085709A">
      <w:pPr>
        <w:pStyle w:val="TextoNormal"/>
      </w:pPr>
    </w:p>
    <w:p w:rsidR="0085709A" w:rsidRDefault="0085709A" w:rsidP="0085709A">
      <w:pPr>
        <w:pStyle w:val="TextoNormal"/>
      </w:pPr>
      <w:r>
        <w:t>El Letrado del Parlamento de Navarra considera que este precepto es contrario a la Constitución por los cuatro siguientes motivos: en primer lugar, por falta del presupuesto habilitante para que el Gobierno pueda dictar un decreto-ley conforme al art. 86.1 CE; en segundo término, por trasgresión de los límites materiales establecidos en ese mismo precepto para los decretos-leyes; tercero, por vulneración del principio de seguridad jurídica (art. 9.3 CE); y en cuarto y último lugar, por invasión del ámbito competencial garantizado en materia de funcionarios públicos por el art. 49.1 b) de la Ley Orgánica 13/1982, de 10 de agosto, de reintegración y amejoramiento del régimen foral de Navarra (LORAFNA).</w:t>
      </w:r>
    </w:p>
    <w:p w:rsidR="0085709A" w:rsidRDefault="0085709A" w:rsidP="0085709A">
      <w:pPr>
        <w:pStyle w:val="TextoNormal"/>
      </w:pPr>
    </w:p>
    <w:p w:rsidR="0085709A" w:rsidRDefault="0085709A" w:rsidP="0085709A">
      <w:pPr>
        <w:pStyle w:val="TextoNormal"/>
      </w:pPr>
      <w:r>
        <w:lastRenderedPageBreak/>
        <w:t>i) Como queda dicho, la primera denuncia de inconstitucionalidad consiste en que, para el Parlamento de Navarra, el Real Decreto-ley 20/2012 se habría dictado al margen o sin concurrir el presupuesto habilitante que permite al Gobierno, solamente bajo esas condiciones, hacer uso de su potestad legislativa de urgencia: la “extraordinaria y urgente necesidad” (art. 86.1 CE). Aunque el recurso reconoce que en las llamadas coyunturas económicas problemáticas es lícito recurrir al instrumento del decreto-ley, ello no enerva —según se matiza inmediatamente— el deber de justificar la concurrencia de esas circunstancias que habilitan su uso, bien en la exposición de motivos del propio Decreto-ley, bien en el debate parlamentario, o bien en el expediente de elaboración del mismo. Sin embargo, prosigue el recurrente, en este caso no existe esa motivación acerca de dicho presupuesto, ya que la exposición de motivos del Real Decreto-ley 20/2012 se limita a afirmar de manera tautológica que “se suprime durante el año 2012 la paga extraordinaria del mes de diciembre y la paga adicional de complemento específico o pagas adicionales equivalentes del mes de diciembre”. Además, en el tiempo en que se aprobó el Real Decreto-ley recurrido podría el Gobierno haber tramitado un proyecto de Ley de forma abreviada o acelerada a través del procedimiento legislativo de lectura única (art. 150 del Reglamento del Congreso de los Diputados, RCD) o del procedimiento de urgencia (arts. 93 y 94 RCD). Recuerda la parte recurrente que la reforma del art. 135 CE se llevó a cabo en dos semanas, y ello permite presumir que en una situación como la actual de mayoría absoluta del partido del Gobierno en el Congreso de los Diputados en menos de un mes sería posible tramitar un proyecto de ley por alguno de esos cauces acelerados previstos en el Reglamento del Congreso. En definitiva, concluye, el Gobierno tenía a su alcance otros instrumentos que hubiesen hecho posible la aprobación de cualquier norma con rango de Ley sin necesidad de acudir a un real decreto-ley de los previstos en el art. 86 CE, y ello debe invalidar la norma concretamente aprobada.</w:t>
      </w:r>
    </w:p>
    <w:p w:rsidR="0085709A" w:rsidRDefault="0085709A" w:rsidP="0085709A">
      <w:pPr>
        <w:pStyle w:val="TextoNormal"/>
      </w:pPr>
    </w:p>
    <w:p w:rsidR="0085709A" w:rsidRDefault="0085709A" w:rsidP="0085709A">
      <w:pPr>
        <w:pStyle w:val="TextoNormal"/>
      </w:pPr>
      <w:r>
        <w:t>Añade a todo lo anterior el hecho de que solamente catorce días antes de la fecha del Real Decreto-ley recurrido, de 13 de julio de 2012, se había aprobado la Ley 2/2012, de 29 de junio, de presupuestos generales del Estado para el año 2012, que se modifica en el art. 2 del citado Real Decreto-ley 20/2012. Y sin embargo del examen de ese Decreto-ley no se desprende informe o previsión económica alguna sobre el carácter imperioso de la medida que justifique la necesidad de aprobar dicha supresión de la paga extra de diciembre cuando hacía pocos días se habían aprobado ya los presupuestos generales del Estado para el año 2012 en los que se había decretado ya la congelación salarial.</w:t>
      </w:r>
    </w:p>
    <w:p w:rsidR="0085709A" w:rsidRDefault="0085709A" w:rsidP="0085709A">
      <w:pPr>
        <w:pStyle w:val="TextoNormal"/>
      </w:pPr>
    </w:p>
    <w:p w:rsidR="0085709A" w:rsidRDefault="0085709A" w:rsidP="0085709A">
      <w:pPr>
        <w:pStyle w:val="TextoNormal"/>
      </w:pPr>
      <w:r>
        <w:t>Por todo ello, considera el Parlamento de Navarra que el Real Decreto-ley 20/2012 se ha dictado sin concurrir o sin justificar el Gobierno el presupuesto necesario para que conforme a la Constitución pudiera éste dictar una norma de esa naturaleza y que, por consiguiente, el precepto recurrido debe ser anulado.</w:t>
      </w:r>
    </w:p>
    <w:p w:rsidR="0085709A" w:rsidRDefault="0085709A" w:rsidP="0085709A">
      <w:pPr>
        <w:pStyle w:val="TextoNormal"/>
      </w:pPr>
    </w:p>
    <w:p w:rsidR="0085709A" w:rsidRDefault="0085709A" w:rsidP="0085709A">
      <w:pPr>
        <w:pStyle w:val="TextoNormal"/>
      </w:pPr>
      <w:r>
        <w:t>ii) En relación con la trasgresión de los límites materiales previstos en ese mismo art. 86.1 CE para los reales decretos-leyes, considera el Parlamento de Navarra que el art. 2 del Real Decreto-ley 20/2012 “afecta” (art. 86.1 CE) o penetra en la reserva de ley contenida en el artículo 103.3 del texto constitucional (estatuto de los funcionarios públicos) y, por ende, en la retribución de los funcionarios públicos tal y como la regula la Ley 7/2007, de 12 abril, del estatuto básico del empleado público (LEEP), pues el artículo 2 del Real Decreto-ley, al suprimir la paga extra de los funcionarios, ha supuesto la derogación tácita del art. 22.4 LEEP, que reconoce como derecho básico de tales servidores públicos la percep</w:t>
      </w:r>
      <w:r>
        <w:lastRenderedPageBreak/>
        <w:t>ción de dos pagas extraordinarias. Es más, el precepto recurrido no deja sin contenido solamente el citado art. 22.4 LEEP, hace también lo propio con la miríada de disposiciones de las Comunidades Autónomas sobre su propio personal, en concreto, en el caso de Navarra, con el art. 39.3 del estatuto de personal de las Administraciones públicas de Navarra, aprobado por Decreto Foral Legislativo 251/1993, de 30 de agosto. Este estatus funcionarial, protegido por el art. 103.3 CE en conexión con el art. 23.2 CE, exige, en todo caso, que su reforma se verifique por ley formal, precisamente por estar en juego el estatus del funcionario durante toda su vida funcionarial.</w:t>
      </w:r>
    </w:p>
    <w:p w:rsidR="0085709A" w:rsidRDefault="0085709A" w:rsidP="0085709A">
      <w:pPr>
        <w:pStyle w:val="TextoNormal"/>
      </w:pPr>
    </w:p>
    <w:p w:rsidR="0085709A" w:rsidRDefault="0085709A" w:rsidP="0085709A">
      <w:pPr>
        <w:pStyle w:val="TextoNormal"/>
      </w:pPr>
      <w:r>
        <w:t>En relación con otro de los límites materiales del art. 86.1 CE (“régimen de las Comunidades Autónomas”), apunta también la representación del Parlamento de Navarra la inviabilidad de que por medio de un real decreto-ley se pueda armonizar, como aquí ha sucedido, la normativa sobre función pública de las diecisiete Comunidades Autónomas. Entiende que en realidad el art. 2 del Real Decreto-ley 20/2012 ha funcionado a modo de una ley armonizadora de las previstas en el art. 150.3 CE, y que una medida de naturaleza económica como la adoptada, que afecta a más de diecisiete leyes autonómicas, incluida la foral de Navarra, no puede adoptarse por medio de un instrumento normativo como ese. El real decreto-ley no está habilitado para suplantar el contenido del art. 150.3 CE, esto es, para armonizar la legislación de las Comunidades Autónomas, y hace esta afirmación desde el nuevo entendimiento de las “bases” o “legislación básica” derivado de la Ley 7/2007. Para él, esta Ley ha supuesto un nuevo entendimiento de la legislación básica del Estado en materia de función pública, tal como señala su exposición de motivos, sobre la base de la idea de que el régimen de la función pública no puede configurarse ya como un sistema homogéneo, sino que cada Administración autonómica debe poder configurar su propia política de personal. Es decir, que la legislación estatal debe entenderse como un mínimo de regulación —muy mínimo— que las Comunidades Autónomas deben ajustar a su territorio y a su particular sistema de función pública. El artículo recurrido, sin embargo, es tan detallado que impide ese desarrollo normativo por las Comunidades Autónomas, y por tanto, concluye, el art. 2 del Real Decreto-ley 20/2012 no solo altera derechos garantizados por el artículo 103.3 en conexión con el artículo 23.2 CE, sino que además “afecta” de forma global al sistema de las Comunidades Autónomas en materia de función pública, contraviniendo así, también, el citado art. 86.1 CE.</w:t>
      </w:r>
    </w:p>
    <w:p w:rsidR="0085709A" w:rsidRDefault="0085709A" w:rsidP="0085709A">
      <w:pPr>
        <w:pStyle w:val="TextoNormal"/>
      </w:pPr>
    </w:p>
    <w:p w:rsidR="0085709A" w:rsidRDefault="0085709A" w:rsidP="0085709A">
      <w:pPr>
        <w:pStyle w:val="TextoNormal"/>
      </w:pPr>
      <w:r>
        <w:t xml:space="preserve">iii) Entrando ya en la vulneración del principio de seguridad jurídica reconocido en el artículo 9.3 CE, tercer motivo de inconstitucionalidad aducido en el recurso, la actora alude a ese principio en su significación de protección de la confianza legítima de los servidores públicos en el Estado. Reitera que solamente catorce días antes de aprobarse el Real Decreto-ley 20/2012, de 13 de julio, esos servidores públicos habían visto aprobada la Ley 2/2012, de 29 de junio, de presupuestos generales del Estado para 2012. Pues bien, si, como se ha declarado, la “seguridad jurídica” se proyecta y concreta en la certeza y previsibilidad de la forma de legislar (cita en este sentido la STC 104/2000), no puede considerarse entonces admisible, desde una perspectiva constitucional, que el Estado legislador tras aprobar los presupuestos con más de seis meses de retraso sobre las previsiones constitucionales (art. 134.3 CE), modifique de forma sorpresiva y </w:t>
      </w:r>
      <w:r w:rsidRPr="0085709A">
        <w:rPr>
          <w:i/>
        </w:rPr>
        <w:t>ad nutum</w:t>
      </w:r>
      <w:r>
        <w:t xml:space="preserve">, por medio del instrumento del Real Decreto-ley, las previsiones legales en materia de retributiva. Se vulnera con ello la seguridad jurídica entendida aquí como suma de certeza y legalidad, jerarquía y publicidad normativa, e irretroactividad de lo no favorable, como señaló la STC 27/1981, de 20 julio. Entender lo contrario significaría desnaturalizar la Ley de presupuestos y permitir al Estado </w:t>
      </w:r>
      <w:r>
        <w:lastRenderedPageBreak/>
        <w:t>deshacer el presupuesto por partes, vulnerándose con ello, asimismo, el art. 134.5 CE y toda la construcción del presupuesto moderno en torno a la Ley de dicho nombre.</w:t>
      </w:r>
    </w:p>
    <w:p w:rsidR="0085709A" w:rsidRDefault="0085709A" w:rsidP="0085709A">
      <w:pPr>
        <w:pStyle w:val="TextoNormal"/>
      </w:pPr>
    </w:p>
    <w:p w:rsidR="0085709A" w:rsidRDefault="0085709A" w:rsidP="0085709A">
      <w:pPr>
        <w:pStyle w:val="TextoNormal"/>
      </w:pPr>
      <w:r>
        <w:t>iv) En último lugar, el Parlamento navarro cuestiona la competencia misma del Estado para dictar la norma recurrida, con independencia del vehículo formal empleado para su introducción en el ordenamiento jurídico, en este caso un Real Decreto-ley. El Estado, señala, se habría amparado en los arts. 149.1.13 y 156.1 CE, citados en el apartado 7 del artículo recurrido, obviando o desconociendo con ello el art. 149.1.18 CE (bases del régimen estatutario de los funcionarios) y su desarrollo por el citado art. 22.4 LEEP, así como la competencia autonómica asumida en el art. 49.1 b) LORAFNA. El Estado habría querido configurar así la supresión de la paga extraordinaria de diciembre como una simple reforma del art. 22.5.2 de la Ley 2/2012, de 29 de junio, de presupuestos generales del Estado para 2012, cuando en realidad el art. 2 del Real Decreto-ley 20/2012 vulnera o contradice el alcance y significado básico de la Ley 7/2007 como ya se ha expuesto y, sobre todo, afecta al art. 49.1 b) LORAFNA, tal y como el Parlamento de Navarra lo entiende, esto es, como un precepto que recoge una competencia histórica y plena sobre el régimen estatutario de los funcionarios públicos siempre que se respeten “los derechos y obligaciones esenciales que la legislación básica del Estado reconozca a los funcionarios públicos”. Por esta razón, aunque se quiera configurar la supresión de la paga extra como una medida económica anclada en las mencionadas bases de los arts. 149.1.1 y 13 y 156.1 CE, no puede obviarse que en realidad con esa medida se lamina la tradicional competencia de Navarra sobre el régimen funcionarial y retributivo de sus funcionarios, reconocida por legislación Navarra y por los estudiosos en la materia.</w:t>
      </w:r>
    </w:p>
    <w:p w:rsidR="0085709A" w:rsidRDefault="0085709A" w:rsidP="0085709A">
      <w:pPr>
        <w:pStyle w:val="TextoNormal"/>
      </w:pPr>
    </w:p>
    <w:p w:rsidR="0085709A" w:rsidRDefault="0085709A" w:rsidP="0085709A">
      <w:pPr>
        <w:pStyle w:val="TextoNormal"/>
      </w:pPr>
      <w:r>
        <w:t>Recuerda que la Ley Orgánica de reintegración y amejoramiento del régimen foral de Navarra se ancla en la disposición adicional primera de la Constitución, lo que significa desde un punto de vista competencial que Navarra conserva sus tradicionales competencias en algunas materias históricas, como es la función pública, en los términos reconocidos en el actual art. 49.1 b) LORAFNA. Esa es su singularidad histórica en el actual Estado de las autonomías, que una legislación estatal de rango menor no puede desvirtuar tal como en una primera y acertada jurisprudencia estableció la STC 140/1990, de 20 septiembre. Reconoce el Letrado del Parlamento navarro que desde entonces la jurisprudencia constitucional ha bifurcado los aspectos funcionariales y retributivos con el fin de asimilar a Navarra a otras Comunidades Autónomas. Pero niega que dicha jurisprudencia pueda ser aquí reiterada. Para él, el cumplimiento de las magnitudes económicas que el Estado define en virtud de sus competencias de dirección de la política económica al amparo de los artículos 149.1.13 y 156.1 CE no pueden ser trasladadas al ordenamiento de Navarra de la misma manera que a otras Comunidades Autónomas. Esto es así por la sencilla razón de que la actividad económica de Navarra se articula a través del convenio económico. Sin que ello signifique tampoco que las instituciones navarras no sean solidarias y recepcionen las medidas económicas adoptadas por el Gobierno de la Nación, pero este respeto de la Comunidad foral a las decisiones adoptadas por el Gobierno deben encontrar reciprocidad en el principio de lealtad del Estado con Navarra, l</w:t>
      </w:r>
      <w:r w:rsidRPr="0085709A">
        <w:rPr>
          <w:i/>
        </w:rPr>
        <w:t>a Bundestre</w:t>
      </w:r>
      <w:r>
        <w:t>ue de los Estados federales.</w:t>
      </w:r>
    </w:p>
    <w:p w:rsidR="0085709A" w:rsidRDefault="0085709A" w:rsidP="0085709A">
      <w:pPr>
        <w:pStyle w:val="TextoNormal"/>
      </w:pPr>
    </w:p>
    <w:p w:rsidR="0085709A" w:rsidRDefault="0085709A" w:rsidP="0085709A">
      <w:pPr>
        <w:pStyle w:val="TextoNormal"/>
      </w:pPr>
      <w:r>
        <w:t xml:space="preserve">Todo ello le lleva a concluir que, por un lado, la materia examinada no puede ubicarse tal como se pretende en un solo título competencial (económico), sino que la supresión de la paga extraordinaria tiene una vertiente funcionarial y otra económica debiendo el Estado respetar desde la primera perspectiva la normativa propia de la Comunidad foral de Navarra; </w:t>
      </w:r>
      <w:r>
        <w:lastRenderedPageBreak/>
        <w:t>y, por otro, que el contenido del art. 2 del Real Decreto-ley impugnado es tan detallista y agotador que impide cualquier desarrollo del mismo, invadiéndose con ello el ámbito competencial de la comunidad recurrente.</w:t>
      </w:r>
    </w:p>
    <w:p w:rsidR="0085709A" w:rsidRDefault="0085709A" w:rsidP="0085709A">
      <w:pPr>
        <w:pStyle w:val="TextoNormal"/>
      </w:pPr>
    </w:p>
    <w:p w:rsidR="0085709A" w:rsidRDefault="0085709A" w:rsidP="0085709A">
      <w:pPr>
        <w:pStyle w:val="TextoNormal"/>
      </w:pPr>
      <w:r>
        <w:t>Por último, señala que, si de lo que se trata es de lograr la estabilidad presupuestaria y el control del déficit, el Estado podía haber acudido a los instrumentos que le asigna la Ley Orgánica 2/2012, de 27 abril, de estabilidad presupuestaria y sostenibilidad financiera. Pero a estas alturas de nuestro desarrollo constitucional, fiar al decreto-ley la habilitación competencial para enervar el contenido del art. 49.1 b) LORAFNA y de la legislación en materia de función pública de Navarra es una medida desproporcionada e inconstitucional que el Tribunal Constitucional debe reparar mediante la declaración de inconstitucionalidad de una norma transgresora del orden de distribución de competencia y de los presupuestos y límites del decreto-ley contemplados en la Constitución.</w:t>
      </w:r>
    </w:p>
    <w:p w:rsidR="0085709A" w:rsidRDefault="0085709A" w:rsidP="0085709A">
      <w:pPr>
        <w:pStyle w:val="TextoNormal"/>
      </w:pPr>
    </w:p>
    <w:p w:rsidR="0085709A" w:rsidRDefault="0085709A" w:rsidP="0085709A">
      <w:pPr>
        <w:pStyle w:val="TextoNormal"/>
      </w:pPr>
      <w:r w:rsidRPr="0085709A">
        <w:rPr>
          <w:rStyle w:val="NumeroAFNegritaCaracter"/>
        </w:rPr>
        <w:t>2</w:t>
      </w:r>
      <w:r>
        <w:t>. El Pleno del Tribunal, mediante providencia de 30 de octubre de 2012, admitió a trámite el presente recurso de inconstitucionalidad y acordó dar traslado de las actuaciones,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pertinentes; acordándose asimismo en la citada providencia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El día 7 de noviembre de 2012, el Abogado del Estado presentó en el Registro General de este Tribunal un escrito en el que solicitaba que se le tuviera por comparecido en este proceso en nombre del Gobierno de la Nación, interesando además la prórroga del plazo concedido para formular alegaciones por el máximo legal, solicitudes que fueron atendidas mediante providencia del Pleno de 12 de noviembre de 2012.</w:t>
      </w:r>
    </w:p>
    <w:p w:rsidR="0085709A" w:rsidRDefault="0085709A" w:rsidP="0085709A">
      <w:pPr>
        <w:pStyle w:val="TextoNormal"/>
      </w:pPr>
    </w:p>
    <w:p w:rsidR="0085709A" w:rsidRDefault="0085709A" w:rsidP="0085709A">
      <w:pPr>
        <w:pStyle w:val="TextoNormal"/>
      </w:pPr>
      <w:r w:rsidRPr="0085709A">
        <w:rPr>
          <w:rStyle w:val="NumeroAFNegritaCaracter"/>
        </w:rPr>
        <w:t>4</w:t>
      </w:r>
      <w:r>
        <w:t>. La Mesa del Congreso, por escrito de su Presidente registrado el 14 de noviembre de 2012, acordó dar por personada a esa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5</w:t>
      </w:r>
      <w:r>
        <w:t>. El día 10 de diciembre de 2012 tuvo entrada en este Tribunal el escrito de alegaciones del Abogado del Estado, en el que se interesa la íntegra desestimación del recurso interpuesto.</w:t>
      </w:r>
    </w:p>
    <w:p w:rsidR="0085709A" w:rsidRDefault="0085709A" w:rsidP="0085709A">
      <w:pPr>
        <w:pStyle w:val="TextoNormal"/>
      </w:pPr>
    </w:p>
    <w:p w:rsidR="0085709A" w:rsidRDefault="0085709A" w:rsidP="0085709A">
      <w:pPr>
        <w:pStyle w:val="TextoNormal"/>
      </w:pPr>
      <w:r>
        <w:t xml:space="preserve">i) Con relación al primer motivo de impugnación —la falta de presupuesto habilitante— el Abogado del Estado recuerda que, de acuerdo con la reiterada doctrina de este Tribunal, la apreciación de esa circunstancia (“extraordinaria y urgente necesidad”) es un juicio político que corresponde hacer al Gobierno, mientras que al Tribunal Constitucional compete tan solo controlar que ese juicio político no desborde los límites de lo manifiestamente razonable o entrañe un abuso o arbitrariedad en el ejercicio de esa potestad por parte de su titular, que es el Gobierno. Pero en todo caso “el control jurídico de este requisito (que lleva a cabo el Tribunal) no debe suplantar a los órganos constitucionales que intervienen en la aprobación y convalidación de los reales decretos leyes” (STC 332/2005, FJ 5). Recuerda </w:t>
      </w:r>
      <w:r>
        <w:lastRenderedPageBreak/>
        <w:t>además que el control del Tribunal se despliega en dos direcciones. Por un lado, en la verificación de que los motivos que han sido tenidos en cuenta por el Gobierno hayan sido explicitados de una forma razonada, bien en el preámbulo del propio decreto ley impugnado, bien en el debate parlamentario de convalidación, o en el propio expediente de elaboración. Y por otro, en la comprobación de que exista una conexión de sentido entre la situación de urgencia definida y la medida concreta adoptada para subvenir a la misma. Y considera que uno y otro se han respetado en este caso.</w:t>
      </w:r>
    </w:p>
    <w:p w:rsidR="0085709A" w:rsidRDefault="0085709A" w:rsidP="0085709A">
      <w:pPr>
        <w:pStyle w:val="TextoNormal"/>
      </w:pPr>
    </w:p>
    <w:p w:rsidR="0085709A" w:rsidRDefault="0085709A" w:rsidP="0085709A">
      <w:pPr>
        <w:pStyle w:val="TextoNormal"/>
      </w:pPr>
      <w:r>
        <w:t>Por lo que respecta a la primera de las condiciones apuntadas, el Abogado del Estado extracta partes de la exposición de motivos del Real Decreto-ley 20/2012 para demostrar que en dicho preámbulo el Gobierno sí ha cumplido con la exigencia de exteriorizar las razones de urgencia que le llevaron a utilizar esta figura normativa. Alude en particular a los apartados I y II de esa exposición de motivos, en los que se hace referencia a la “actual coyuntura económica y la inexcusable necesidad de reducir el déficit público para alcanzar la estabilidad presupuestaria”; a la necesidad de que “las medidas expuestas se aprueben con la máxima urgencia con pleno respeto al marco constitucional y al establecido por la Unión Europea”; a la “recesión que comenzó a experimentar la economía española en el año 2008” y al nuevo período recesivo que se inició “a lo largo de 2011, cuando, tras varios trimestres del leve recuperación, la economía española se mostró intensamente vulnerable al deterioro de la zona euro y volvió a sumergirse en un periodo recesivo”; así como, en fin, a la previsión de que es “[f]undamental en la superación de esta situación… no solamente el diseño de una estrategia de política económica que contenga los elementos adecuados en el presente contexto, sino también su articulación a medio plazo de un modo verosímil y capaz de concertar la credibilidad de los mercados financieros. Estos dos requisitos implican que dicha estrategia deberá comprender una variedad de políticas con objetivos claros en términos de fechas de puesta en marcha y consecuencias sobre el crecimiento cifradas dentro del marco macroeconómico coherente y plurianual. La mencionada estrategia pivota principalmente sobre dos ejes: la consolidación fiscal y el impulso de nuevas reformas estructurales”. También recoge la mención a la necesidad de “mejorar la eficiencia de las Administraciones públicas en el uso de los recursos públicos, con objeto de contribuir a la consecución del inexcusable objetivo de estabilidad presupuestaria, derivado del marco constitucional y de la Unión Europea”, y a la necesidad de “continuar adaptando una serie de medidas extraordinarias y cuya adopción debe ser urgente dirigidas a racionalizar y reducir el gasto de personal de las Administraciones Públicas y a incrementar la eficiencia de su gestión”, con la cita especial de “medidas que ahorren gastos de personal e incrementen la calidad y productividad del empleo público”, así como al “carácter temporal” de estas medidas.</w:t>
      </w:r>
    </w:p>
    <w:p w:rsidR="0085709A" w:rsidRDefault="0085709A" w:rsidP="0085709A">
      <w:pPr>
        <w:pStyle w:val="TextoNormal"/>
      </w:pPr>
    </w:p>
    <w:p w:rsidR="0085709A" w:rsidRDefault="0085709A" w:rsidP="0085709A">
      <w:pPr>
        <w:pStyle w:val="TextoNormal"/>
      </w:pPr>
      <w:r>
        <w:t xml:space="preserve">También se refiere el Abogado del Estado al debate de convalidación del Real Decreto-ley 20/2012, en el que el Sr. Ministro de Hacienda y Administraciones Públicas manifestó la necesidad de esas medidas para “garantizar la estabilidad presupuestaria y al mismo tiempo fomentar la capacidad de competir de la economía española, la capacidad de nuestra economía para salir de la crisis”. Añadiendo el Sr. Ministro que “necesitamos financiar el crecimiento económico, necesitamos financiar la recuperación, y no tendremos esa financiación y ese mayor crecimiento sino reducimos cuanto antes el déficit público. Y lo tenemos que hacer por la doble vía: promover ahorros en los servicios públicos y promoverlos por la vía del incremento de los ingresos públicos, el incremento de los impuestos. Insisto en el argumento de… la reducción del déficit público no sólo en la Administración General </w:t>
      </w:r>
      <w:r>
        <w:lastRenderedPageBreak/>
        <w:t>del Estado, sino en su traslación a comunidades autónomas y a corporaciones locales, puesto que estas medidas... se trasladan a través de la regulación básica que incorpora también el funcionamiento del conjunto de nuestras administraciones públicas y pretenden, por tanto, el ahorro en esos planos... y la consecución sobre todo del objetivo de déficit público para este año 2012”. Se recoge además la específica referencia que hizo el Ministro a la medida aquí recurrida, explicando que “en términos de retribución... no baja la masa salarial. Hay un retraimiento de la paga de diciembre que queda postergada a lo que sería la asimilación, la inclusión en el fondo de pensiones que tienen las administraciones públicas... a partir del año 2015... Estamos hablando de la congelación de esa paga de diciembre y su devolución en un tiempo nada lejano como es ese horizonte de 2015, eso sí, en función de las necesidades presupuestarias y de equilibrio presupuestario”.</w:t>
      </w:r>
    </w:p>
    <w:p w:rsidR="0085709A" w:rsidRDefault="0085709A" w:rsidP="0085709A">
      <w:pPr>
        <w:pStyle w:val="TextoNormal"/>
      </w:pPr>
    </w:p>
    <w:p w:rsidR="0085709A" w:rsidRDefault="0085709A" w:rsidP="0085709A">
      <w:pPr>
        <w:pStyle w:val="TextoNormal"/>
      </w:pPr>
      <w:r>
        <w:t>Entiende, finalmente, que todas estas apelaciones a la crisis económica y a las medidas de control del déficit público que hacen tanto la Exposición de Motivos como el Ministro en el debate de convalidación no pueden considerarse retóricas. En el libro amarillo de presentación del proyecto de presupuestos generales del Estado para el año 2012 ya se aludía a que, frente al objetivo del 6 por 100 del PIB en el déficit para el conjunto de las Administraciones públicas acordado por el gobierno con la Unión Europea para el ejercicio 2011, las estimaciones en aquel momento situaban el cierre del citado ejercicio en el 8,5 por 100 del PIB, esto es, 2,5 puntos por encima de aquel objetivo. También en el preámbulo de la propia Ley de presupuestos de 29 junio 2012 se señalaba que “se ha fijado el... objetivo de déficit para el conjunto de las Administraciones públicas en el 5,8 por 100 del PIB... la Comisión europea ha reconocido el esfuerzo de consolidación fiscal y las reformas económicas que España está realizando... por ello, recomienda un déficit público del 5,3 por 100 del PIB para dicho ejercicio... para alcanzar este objetivo de déficit del 5,3 por 100 del PIB… [debe hacerse un] esfuerzo adicional en 2012”. Y recuerda asimismo que este Tribunal no se ha mostrado ajeno a la trascendencia de la crisis económica que atraviesa la zona euro, citando al respecto los AATC 95/2011, de 21 de junio, FJ 5; 96/2011, de 21 de junio, FJ 5; 147/2012, de 16 de julio, FJ 6, y 161/2012, de 13 de septiembre, FJ 4. Ni tampoco a la aptitud del Real Decreto-ley para atender a coyunturas económicas problemáticas, con cita en este sentido de las SSTC 6/1983, de 4 de febrero; 111/1983, de 2 de diciembre; 29/1986, de 20 de febrero; 60/1986, de 20 de mayo; 23/1993, de 21 de enero; 182/1997, de 28 de octubre, y 137/2003, de 3 de julio. Hace especial mención, a este respecto, de la STC 182/1997, que permitió en particular el uso de la potestad normativa excepcional del art. 86 CE ante la necesidad de sanear las cuentas de la hacienda pública para ajustar la economía española a una situación de crisis calificada como tal por los órganos a quienes incumbe la dirección de política económica del Estado. Y subraya también, para terminar con este apartado, que la medida impugnada es solo una de las medidas contenidas en el Real Decreto-ley 20/2012 para atender a la situación de urgencia ya comentada, y que esas medidas deben examinarse en su conjunto, sin que una sola pueda condicionar el enjuiciamiento del presupuesto habilitante. Por todo ello, considera que debe considerarse debidamente cumplido el requisito de que concurra una situación de extraordinaria y urgente necesidad, desde la perspectiva que corresponde a este Tribunal.</w:t>
      </w:r>
    </w:p>
    <w:p w:rsidR="0085709A" w:rsidRDefault="0085709A" w:rsidP="0085709A">
      <w:pPr>
        <w:pStyle w:val="TextoNormal"/>
      </w:pPr>
    </w:p>
    <w:p w:rsidR="0085709A" w:rsidRDefault="0085709A" w:rsidP="0085709A">
      <w:pPr>
        <w:pStyle w:val="TextoNormal"/>
      </w:pPr>
      <w:r>
        <w:t xml:space="preserve">Por lo que se refiere al segundo elemento a analizar conforme a la jurisprudencia antes reseñada —la conexión de la medida adoptada con el presupuesto habilitante apreciado— sostiene que la medida impugnada presenta una perfecta conexión con la necesidad de poner inmediato fin al desequilibrio presupuestario existente. Sin perjuicio de recordar además </w:t>
      </w:r>
      <w:r>
        <w:lastRenderedPageBreak/>
        <w:t>que a este Tribunal “no le corresponde discutir acerca de la bondad técnica, la oportunidad o la eficacia de las medidas impugnadas, sino que debe limitarse a examinar la correspondencia entre las mismas y la situación que se trata de afrontar” (STC 182/1997, FJ 4).</w:t>
      </w:r>
    </w:p>
    <w:p w:rsidR="0085709A" w:rsidRDefault="0085709A" w:rsidP="0085709A">
      <w:pPr>
        <w:pStyle w:val="TextoNormal"/>
      </w:pPr>
    </w:p>
    <w:p w:rsidR="0085709A" w:rsidRDefault="0085709A" w:rsidP="0085709A">
      <w:pPr>
        <w:pStyle w:val="TextoNormal"/>
      </w:pPr>
      <w:r>
        <w:t>Niega, por último, que pueda atenderse al argumento, empleado por el recurrente, de que el Gobierno podía haber utilizado otros instrumentos para incluir en una norma con rango de Ley la medida aquí cuestionada. Niega en general que este sea un criterio que pueda manejar este Tribunal, y en todo caso apunta que la decisión definitiva sobre la adopción del trámite de urgencia en el Congreso de los Diputados no le correspondía al Gobierno, sino a la mesa de la Cámara. De cualquier modo, si se hubiera acudido a algunos de esos procedimientos que señala el recurrente, es en realidad muy dudoso que hubiera podido atenderse adecuadamente y en tiempo oportuno a la situación de necesidad financiera que dio lugar al Decreto-ley impugnado, dadas las fechas en que se adoptó. Muy al contrario, considerando los plazos del procedimiento legislativo ordinario de urgencia la adopción de la medida se habría demorado posiblemente a los últimos meses del año, sin que por otra parte se diera tiempo suficiente a los ciudadanos para acomodar su comportamiento económico a la reducción retributiva que conlleva la medida excepcional adoptada y reaccionar así frente a un cambio normativo imprevisto producido al final del ejercicio económico.</w:t>
      </w:r>
    </w:p>
    <w:p w:rsidR="0085709A" w:rsidRDefault="0085709A" w:rsidP="0085709A">
      <w:pPr>
        <w:pStyle w:val="TextoNormal"/>
      </w:pPr>
    </w:p>
    <w:p w:rsidR="0085709A" w:rsidRDefault="0085709A" w:rsidP="0085709A">
      <w:pPr>
        <w:pStyle w:val="TextoNormal"/>
      </w:pPr>
      <w:r>
        <w:t xml:space="preserve">ii) En relación con el segundo motivo de inconstitucionalidad que alega el Parlamento recurrente -la vulneración de los límites materiales que impone el art. 86.1 CE- niega que la reserva de Ley derivada del artículo 103.3 CE sea una reserva de Ley absoluta y formal que excluya todas las demás normas de rango y fuerza de Ley previstas en la Constitución. Con cita de las SSTC 99/1987, de 11 de junio, FJ 3 a) y c), y 182/1997, de 28 de octubre, FJ 8, concluye que el concreto régimen retributivo de los funcionarios no está vedado al Decreto- ley. Como dice esta última Sentencia constitucional citada, invocando a su vez la STC 60/1986, “el hecho de que una materia esté reservada a la ley ordinaria, con carácter absoluto o relativo, no excluye </w:t>
      </w:r>
      <w:r w:rsidRPr="0085709A">
        <w:rPr>
          <w:i/>
        </w:rPr>
        <w:t>eo ipso</w:t>
      </w:r>
      <w:r>
        <w:t xml:space="preserve"> la regulación extraordinaria y provisional de la misma mediante Decreto-Ley, porque, como ya hemos dicho en la que STC 111/1983 la mención a la Ley no es identificable en exclusividad con el de Ley en sentido formal. Para comprobar si tal disposición legislativa provisional se ajusta a la Norma fundamental, habrá que ver si reúne los requisitos establecidos en el art. 86 CE y si no invade ninguno de los límites en el enumerados por los que en su caso, se deduzcan racionalmente de otros preceptos del Texto constitucional”. Por tanto, prosigue el Abogado del Estado, este Tribunal al interpretar el límite material del art. 86.1 CE no debe atender al modo como se manifiesta el principio de reserva de Ley en una determinada materia, la función pública en este caso, sino que debe examinar si ha existido “afectación” por el Decreto-ley a un derecho, deber o libertad regulado en el Título I de la Constitución. A partir de ahí, señala que la mera referencia que en el escrito de interposición del recurso se hace a la conexión del estatus funcionarial protegido por el art. 103.3 CE con el artículo 23.2 CE carece de entidad para considerar que la medida extraordinaria que contiene el precepto impugnado pueda afectar de algún modo el derecho de acceso a las funciones públicas “en condiciones de igualdad”, que es lo que garantiza el citado art. 23.2. De lo contrario, esto es, si como parece pretender el recurrente la sola relación recíproca entre ambos preceptos llegara a justificar la afectación del derecho del art. 23.2 CE, ello conduciría a la inaceptable consecuencia, expresamente rechazada por la doctrina de este Tribunal (cita la STC 111/1983, de 2 de diciembre, FJ 8), de que el Decreto-ley ha quedado reducido a la nada.</w:t>
      </w:r>
    </w:p>
    <w:p w:rsidR="0085709A" w:rsidRDefault="0085709A" w:rsidP="0085709A">
      <w:pPr>
        <w:pStyle w:val="TextoNormal"/>
      </w:pPr>
    </w:p>
    <w:p w:rsidR="0085709A" w:rsidRDefault="0085709A" w:rsidP="0085709A">
      <w:pPr>
        <w:pStyle w:val="TextoNormal"/>
      </w:pPr>
      <w:r>
        <w:lastRenderedPageBreak/>
        <w:t>Por lo que respecta a la invocación que hace la parte recurrente del art. 150.3 CE y de las leyes de armonización en él reguladas, niega que ese precepto pueda justificar la declaración de nulidad de la norma impugnada. El art. 150.3 CE, aclara, constituye una norma de cierre del sistema aplicable solamente a aquellos supuestos en que el legislador estatal no disponga de otros cauces constitucionales para el ejercicio de su potestad legislativa, o éstos no sean suficientes para garantizar la armonía exigida por el interés general (así, STC 76/1983, FJ 3). Por consiguiente, resulta improcedente invocar su aplicación en este supuesto en el que el objetivo de reducción del déficit público se ampara en la competencia estatal prevista en el art. 149.1.13 CE.</w:t>
      </w:r>
    </w:p>
    <w:p w:rsidR="0085709A" w:rsidRDefault="0085709A" w:rsidP="0085709A">
      <w:pPr>
        <w:pStyle w:val="TextoNormal"/>
      </w:pPr>
    </w:p>
    <w:p w:rsidR="0085709A" w:rsidRDefault="0085709A" w:rsidP="0085709A">
      <w:pPr>
        <w:pStyle w:val="TextoNormal"/>
      </w:pPr>
      <w:r>
        <w:t>iii) Razona acto seguido el Abogado del Estado sobre la denuncia de vulneración del principio de seguridad jurídica consagrado en el art. 9.3 CE en relación con el art. 134.5 CE. Puntualiza que ese principio de seguridad jurídica, según la STC 104/2000, FJ7, viene a ser la suma de certeza y legalidad, jerarquía y publicidad normativa, irretroactividad de lo no favorable e interdicción de la arbitrariedad, equilibrada de tal suerte que permita promover, en el orden jurídico, la justicia y la igualdad en libertad. Es decir, la seguridad jurídica se entiende como la certeza sobre el ordenamiento jurídico aplicable y los intereses jurídicamente tutelados, o lo que es lo mismo, como la expectativa razonablemente fundada del ciudadano en cuál ha de ser la actuación del poder público en la aplicación del Derecho; como la claridad del legislador y no la confusión normativa. En suma, solo si en el ordenamiento jurídico en que se insertan y teniendo en cuenta las reglas de interpretación admisibles en derecho, el contenido o las omisiones de un texto normativo produjera confusión o dudas que generarán en sus destinatarios una incertidumbre razonablemente insuperable acerca de la conducta exigible para su cumplimiento o sobre la previsibilidad de sus efectos, podría concluirse que la norma infringe el citado principio de seguridad jurídica.</w:t>
      </w:r>
    </w:p>
    <w:p w:rsidR="0085709A" w:rsidRDefault="0085709A" w:rsidP="0085709A">
      <w:pPr>
        <w:pStyle w:val="TextoNormal"/>
      </w:pPr>
    </w:p>
    <w:p w:rsidR="0085709A" w:rsidRDefault="0085709A" w:rsidP="0085709A">
      <w:pPr>
        <w:pStyle w:val="TextoNormal"/>
      </w:pPr>
      <w:r>
        <w:t>Partiendo de esta jurisprudencia, afirma el Abogado del Estado que el precepto impugnado no incurre en ninguno de los vicios que le harían vulnerar ese principio de seguridad jurídica, pues es patente que no es una norma incierta o falta de la indispensable claridad, ya que cuenta con un contenido preciso y unos efectos perfectamente determinados, ha sido además formalmente publicada, y no incurre tampoco en arbitrariedad ni carece de razonabilidad atendiendo a los lícitos propósitos manifestados por el legislador de urgencia. Añade además que los ciudadanos eran sin duda conscientes desde el año 2009 de la situación crítica de las finanzas del Estado, y de las medidas que se proponían para afrontarla con urgencia. Y, con ello, de “la posibilidad de que se efectuasen cambios en la legislación” (STC 197/1992, FJ 6). Porque lo que no se incluye en modo alguno entre las exigencias de la seguridad jurídica es el derecho a la congelación del ordenamiento jurídico existente. Las exigencias de seguridad jurídica no pueden llegar nunca hasta el punto de impedir al poder legislativo, ordinario o de urgencia, tomar conciencia de las situaciones de crisis financiera o de cualquier otra especie y hacer frente a las mismas adoptando las medidas que estimen precisas u oportunas para ello, entre las cuales se cuentan incluso las necesarias para poner remedio a anteriores y eventuales imprevisiones o -como sin duda ha sucedido en este caso- falsas o erróneas expectativas económicas, volviendo, si fuera necesario, sobre anteriores decisiones del propio legislador [STC 182/1997, FJ 13 a)].</w:t>
      </w:r>
    </w:p>
    <w:p w:rsidR="0085709A" w:rsidRDefault="0085709A" w:rsidP="0085709A">
      <w:pPr>
        <w:pStyle w:val="TextoNormal"/>
      </w:pPr>
    </w:p>
    <w:p w:rsidR="0085709A" w:rsidRDefault="0085709A" w:rsidP="0085709A">
      <w:pPr>
        <w:pStyle w:val="TextoNormal"/>
      </w:pPr>
      <w:r>
        <w:t>A mayor abundamiento, quiere dejar constancia del alcance limitado y temporal de la medida adoptada, puesto que la reducción de las retribuciones que establece la norma impugnada limita su aplicación a diciembre de 2012.</w:t>
      </w:r>
    </w:p>
    <w:p w:rsidR="0085709A" w:rsidRDefault="0085709A" w:rsidP="0085709A">
      <w:pPr>
        <w:pStyle w:val="TextoNormal"/>
      </w:pPr>
    </w:p>
    <w:p w:rsidR="0085709A" w:rsidRDefault="0085709A" w:rsidP="0085709A">
      <w:pPr>
        <w:pStyle w:val="TextoNormal"/>
      </w:pPr>
      <w:r>
        <w:t>iv) Finalmente, y en lo que respecta a la cuestionada competencia del Estado para adoptar la decisión contenida en el precepto impugnado, señala que hay reiterada doctrina constitucional sobre la competencia exclusiva del Estado para dictar normas básicas en materia de gastos de personal del sector público al amparo de los artículos 149.1.13 y 156.1 CE. Cita al respecto las SSTC 13/2007, de 18 enero, FJ 9; 31/2010, de 28 junio, FJ 135; y 204/2011, de 15 diciembre, FJ 7. De acuerdo con esta doctrina constitucional “la política presupuestaria forma parte esencial de la política económica general, cuya ordenación, a su vez, está atribuida al estado por la constitución (art. 149.1.13 CE)”, y esta competencia estatal “es susceptible de proyectarse sobre todos los presupuestos del sector público estatal, autonómico y local”, sin que por ello se quebrante ni la autonomía política ni la autonomía financiera pues las medidas básicas estatales se limitan a fijar “el marco presupuestario en que deben ejercerse” las “políticas locales de los diversos entes” (SSTC 134/2011, de 20 julio, FJ 14; 157/2011, 18 octubre, FJ 4; 188/2011, de 23 noviembre, FJ 4 y 12; 195/2011, de 13 diciembre, FJ 7, y 196/2011, de 13 diciembre, FJ 7).</w:t>
      </w:r>
    </w:p>
    <w:p w:rsidR="0085709A" w:rsidRDefault="0085709A" w:rsidP="0085709A">
      <w:pPr>
        <w:pStyle w:val="TextoNormal"/>
      </w:pPr>
    </w:p>
    <w:p w:rsidR="0085709A" w:rsidRDefault="0085709A" w:rsidP="0085709A">
      <w:pPr>
        <w:pStyle w:val="TextoNormal"/>
      </w:pPr>
      <w:r>
        <w:t>La estabilidad presupuestaria es además actualmente un principio constitucional que vincula a todos los poderes públicos y que queda afuera de la disponibilidad de la competencia del Estado y de las Comunidades Autónomas, de acuerdo con el vigente art. 135.1 CE y las Sentencias constitucionales antes citadas.</w:t>
      </w:r>
    </w:p>
    <w:p w:rsidR="0085709A" w:rsidRDefault="0085709A" w:rsidP="0085709A">
      <w:pPr>
        <w:pStyle w:val="TextoNormal"/>
      </w:pPr>
    </w:p>
    <w:p w:rsidR="0085709A" w:rsidRDefault="0085709A" w:rsidP="0085709A">
      <w:pPr>
        <w:pStyle w:val="TextoNormal"/>
      </w:pPr>
      <w:r>
        <w:t>Por otra parte, no le cabe duda del carácter básico del art. 2 del Real Decreto-ley 20/2012. Formalmente, por cuanto está establecido en una norma con rango de ley e invocando una precisa competencia estatal, en su apartado 7. Y materialmente, porque todas las Sentencias antes citadas así lo afirman, en particular las SSTC 178/2006, FJ 3, y 222/2006, FJ 3, según las cuales son medidas materialmente básicas de ordenación de la economía las dirigidas a “contener la expansión relativa de uno de los componentes esenciales del gasto público como lo es el capítulo de personal”, y estas medidas por su carácter coyuntural y excepcional pueden llegar a ocupar “prácticamente toda la función normativa”, pues es bien sabido que las bases estatales pueden entrañar “fórmulas de intensidad y extensión variables en función de las características del ámbito concretamente afectado”.</w:t>
      </w:r>
    </w:p>
    <w:p w:rsidR="0085709A" w:rsidRDefault="0085709A" w:rsidP="0085709A">
      <w:pPr>
        <w:pStyle w:val="TextoNormal"/>
      </w:pPr>
    </w:p>
    <w:p w:rsidR="0085709A" w:rsidRDefault="0085709A" w:rsidP="0085709A">
      <w:pPr>
        <w:pStyle w:val="TextoNormal"/>
      </w:pPr>
      <w:r>
        <w:t>Finalmente, hace alusión y considera dignas de especial consideración las SSTC 148/2006, 195/2006 y 297/2006, que aplican los límites en materia de gastos de personal a la Comunidad Foral de Navarra. Se dice en ellas que “no es posible invocar un derecho histórico por parte de la Comunidad Foral de Navarra para reclamar una vinculación de menor intensidad a los límites retributivos establecidos por el legislador estatal en el ejercicio de los artículos 149.1.13 y 156.1 CE... ni el texto del convenio ni una investigación histórica sobre las competencias ejercidas de forma continuada por las instituciones forales con el reconocimiento del Estado... permiten reconocer a la Comunidad Foral de Navarra mayores ámbitos de autonomía de gasto que a las restantes Comunidades Autónomas”.</w:t>
      </w:r>
    </w:p>
    <w:p w:rsidR="0085709A" w:rsidRDefault="0085709A" w:rsidP="0085709A">
      <w:pPr>
        <w:pStyle w:val="TextoNormal"/>
      </w:pPr>
    </w:p>
    <w:p w:rsidR="0085709A" w:rsidRDefault="0085709A" w:rsidP="0085709A">
      <w:pPr>
        <w:pStyle w:val="TextoNormal"/>
      </w:pPr>
      <w:r>
        <w:t xml:space="preserve">Alega también que en el escrito de demanda el Parlamento de Navarra pretende ampararse en el art. 49.1.b) LORAFNA, relativo a la competencia exclusiva de la comunidad sobre el régimen estatutario de sus funcionarios. Pero esta competencia foral, entiende el Abogado del Estado, no es pertinente, ya que la medida contenida en el artículo impugnado no descansa en el artículo 149.1.18 CE, sino en la dirección y ordenación general de la economía aludida en el artículo en el número 13 del mismo precepto. Muestra de ello es que </w:t>
      </w:r>
      <w:r>
        <w:lastRenderedPageBreak/>
        <w:t>no alcanza solamente a los funcionarios autonómicos, sino a todo el personal al servicio de las Administraciones públicas. Consecuentemente el precepto de la LORAFNA de oportuna invocación sería el artículo 56.1.g), del que resulta que la ordenación general de la economía es el límite de las competencias navarras, especialmente en lo que concierne al sector público, incluyéndose ahí sus costes de personal.</w:t>
      </w:r>
    </w:p>
    <w:p w:rsidR="0085709A" w:rsidRDefault="0085709A" w:rsidP="0085709A">
      <w:pPr>
        <w:pStyle w:val="TextoNormal"/>
      </w:pPr>
    </w:p>
    <w:p w:rsidR="0085709A" w:rsidRDefault="0085709A" w:rsidP="0085709A">
      <w:pPr>
        <w:pStyle w:val="TextoNormal"/>
      </w:pPr>
      <w:r>
        <w:t>En todo caso, si se estimara que la competencia constitucional pertinente fuera la del art. 149.1.18 CE, también el artículo 49.1.b) LORAFNA limita esta competencia foral a lo que dispongan la legislación básica del Estado.</w:t>
      </w:r>
    </w:p>
    <w:p w:rsidR="0085709A" w:rsidRDefault="0085709A" w:rsidP="0085709A">
      <w:pPr>
        <w:pStyle w:val="TextoNormal"/>
      </w:pPr>
    </w:p>
    <w:p w:rsidR="0085709A" w:rsidRDefault="0085709A" w:rsidP="0085709A">
      <w:pPr>
        <w:pStyle w:val="TextoNormal"/>
      </w:pPr>
      <w:r>
        <w:t>Por lo demás, resulta evidente que una medida para contener el gasto público como la que aquí examinamos nada tiene que ver con el peculiar sistema de convenio económico, que solamente afecta a los gastos en cuanto que de él resulta una obligación de efectuar una aportación anual al Estado; nada más.</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providencia de 28 de abril de 2015, se señaló para deliberación y votación de la presente Sentencia el día 30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Parlamento de Navarra cuestiona que el art. 2 del Real Decreto-ley 20/2012, de 13 de julio, de medidas para garantizar la estabilidad presupuestaria y de fomento de la competitividad, se ajuste a la Constitución. Según ese precepto se procede a la “supresión tanto de la paga extraordinaria como de la paga adicional de complemento específico o pagas adicionales” correspondientes al mes de diciembre de 2012 para todo “el personal del sector público definido en el artículo 22. Uno de la Ley 2/2012, de 29 de junio, de Presupuestos Generales del Estado”, precepto este último que establece:</w:t>
      </w:r>
    </w:p>
    <w:p w:rsidR="0085709A" w:rsidRDefault="0085709A" w:rsidP="0085709A">
      <w:pPr>
        <w:pStyle w:val="TextoNormal"/>
      </w:pPr>
    </w:p>
    <w:p w:rsidR="0085709A" w:rsidRDefault="0085709A" w:rsidP="0085709A">
      <w:pPr>
        <w:pStyle w:val="TextoNormal"/>
      </w:pPr>
      <w:r>
        <w:t>“A efectos de lo establecido en el presente artículo, constituyen el sector público:</w:t>
      </w:r>
    </w:p>
    <w:p w:rsidR="0085709A" w:rsidRDefault="0085709A" w:rsidP="0085709A">
      <w:pPr>
        <w:pStyle w:val="TextoNormal"/>
      </w:pPr>
    </w:p>
    <w:p w:rsidR="0085709A" w:rsidRDefault="0085709A" w:rsidP="0085709A">
      <w:pPr>
        <w:pStyle w:val="TextoNormal"/>
      </w:pPr>
      <w:r>
        <w:t>a) La Administración General del Estado, sus Organismos autónomos y Agencias estatales y las Universidades de su competencia.</w:t>
      </w:r>
    </w:p>
    <w:p w:rsidR="0085709A" w:rsidRDefault="0085709A" w:rsidP="0085709A">
      <w:pPr>
        <w:pStyle w:val="TextoNormal"/>
      </w:pPr>
    </w:p>
    <w:p w:rsidR="0085709A" w:rsidRDefault="0085709A" w:rsidP="0085709A">
      <w:pPr>
        <w:pStyle w:val="TextoNormal"/>
      </w:pPr>
      <w:r>
        <w:t>b) Las Administraciones de las Comunidades Autónomas, los Organismos de ellas dependientes y las Universidades de su competencia.</w:t>
      </w:r>
    </w:p>
    <w:p w:rsidR="0085709A" w:rsidRDefault="0085709A" w:rsidP="0085709A">
      <w:pPr>
        <w:pStyle w:val="TextoNormal"/>
      </w:pPr>
    </w:p>
    <w:p w:rsidR="0085709A" w:rsidRDefault="0085709A" w:rsidP="0085709A">
      <w:pPr>
        <w:pStyle w:val="TextoNormal"/>
      </w:pPr>
      <w:r>
        <w:t>c) Las Corporaciones locales y Organismos de ellas dependientes.</w:t>
      </w:r>
    </w:p>
    <w:p w:rsidR="0085709A" w:rsidRDefault="0085709A" w:rsidP="0085709A">
      <w:pPr>
        <w:pStyle w:val="TextoNormal"/>
      </w:pPr>
    </w:p>
    <w:p w:rsidR="0085709A" w:rsidRDefault="0085709A" w:rsidP="0085709A">
      <w:pPr>
        <w:pStyle w:val="TextoNormal"/>
      </w:pPr>
      <w:r>
        <w:t>d) Las Entidades gestoras y Servicios comunes de la Seguridad Social.</w:t>
      </w:r>
    </w:p>
    <w:p w:rsidR="0085709A" w:rsidRDefault="0085709A" w:rsidP="0085709A">
      <w:pPr>
        <w:pStyle w:val="TextoNormal"/>
      </w:pPr>
    </w:p>
    <w:p w:rsidR="0085709A" w:rsidRDefault="0085709A" w:rsidP="0085709A">
      <w:pPr>
        <w:pStyle w:val="TextoNormal"/>
      </w:pPr>
      <w:r>
        <w:t>e) Los órganos constitucionales del Estado, sin perjuicio de lo establecido en el artículo 72.1 de la Constitución.</w:t>
      </w:r>
    </w:p>
    <w:p w:rsidR="0085709A" w:rsidRDefault="0085709A" w:rsidP="0085709A">
      <w:pPr>
        <w:pStyle w:val="TextoNormal"/>
      </w:pPr>
    </w:p>
    <w:p w:rsidR="0085709A" w:rsidRDefault="0085709A" w:rsidP="0085709A">
      <w:pPr>
        <w:pStyle w:val="TextoNormal"/>
      </w:pPr>
      <w:r>
        <w:t>f) Las sociedades mercantiles públicas.</w:t>
      </w:r>
    </w:p>
    <w:p w:rsidR="0085709A" w:rsidRDefault="0085709A" w:rsidP="0085709A">
      <w:pPr>
        <w:pStyle w:val="TextoNormal"/>
      </w:pPr>
    </w:p>
    <w:p w:rsidR="0085709A" w:rsidRDefault="0085709A" w:rsidP="0085709A">
      <w:pPr>
        <w:pStyle w:val="TextoNormal"/>
      </w:pPr>
      <w:r>
        <w:t>g) Las entidades públicas empresariales y el resto de los organismos públicos y entes del sector público estatal, autonómico y local.”</w:t>
      </w:r>
    </w:p>
    <w:p w:rsidR="0085709A" w:rsidRDefault="0085709A" w:rsidP="0085709A">
      <w:pPr>
        <w:pStyle w:val="TextoNormal"/>
      </w:pPr>
    </w:p>
    <w:p w:rsidR="0085709A" w:rsidRDefault="0085709A" w:rsidP="0085709A">
      <w:pPr>
        <w:pStyle w:val="TextoNormal"/>
      </w:pPr>
      <w:r>
        <w:t>Los motivos por los que el Letrado del Parlamento de Navarra entiende que el precepto impugnado vulnera la Constitución han sido recogidos con detalle en los antecedentes de esta resolución, así como también los alegatos vertidos por el Abogado del Estrado en representación del Gobierno de la Nación en defensa del mismo. Procede ahora entrar a resolver sobre ellos sin más dilación.</w:t>
      </w:r>
    </w:p>
    <w:p w:rsidR="0085709A" w:rsidRDefault="0085709A" w:rsidP="0085709A">
      <w:pPr>
        <w:pStyle w:val="TextoNormal"/>
      </w:pPr>
    </w:p>
    <w:p w:rsidR="0085709A" w:rsidRDefault="0085709A" w:rsidP="0085709A">
      <w:pPr>
        <w:pStyle w:val="TextoNormal"/>
      </w:pPr>
      <w:r w:rsidRPr="0085709A">
        <w:rPr>
          <w:rStyle w:val="NumeroAFNegritaCaracter"/>
        </w:rPr>
        <w:t>2</w:t>
      </w:r>
      <w:r>
        <w:t>. Razones de sistemática procesal obligan a estudiar en primer lugar si se cumplen los presupuestos exigidos por el art. 86.1 CE para que el Gobierno pueda dictar un decreto-ley.</w:t>
      </w:r>
    </w:p>
    <w:p w:rsidR="0085709A" w:rsidRDefault="0085709A" w:rsidP="0085709A">
      <w:pPr>
        <w:pStyle w:val="TextoNormal"/>
      </w:pPr>
    </w:p>
    <w:p w:rsidR="0085709A" w:rsidRDefault="0085709A" w:rsidP="0085709A">
      <w:pPr>
        <w:pStyle w:val="TextoNormal"/>
      </w:pPr>
      <w:r>
        <w:t>Según el citado precepto, solamente en caso de “extraordinaria y urgente necesidad” puede el Gobierno dictar una norma con rango de Ley y carácter provisional como es el real decreto-ley. Una vigencia provisional que aquí se ha superado puesto que la “convalidación” del citado Real Decreto-ley (art. 86.2 CE) se produjo por acuerdo del Congreso de los Diputados de 19 de julio de 2012, publicado en el “Boletín Oficial del Estado” de 1 de agosto de ese mismo año.</w:t>
      </w:r>
    </w:p>
    <w:p w:rsidR="0085709A" w:rsidRDefault="0085709A" w:rsidP="0085709A">
      <w:pPr>
        <w:pStyle w:val="TextoNormal"/>
      </w:pPr>
    </w:p>
    <w:p w:rsidR="0085709A" w:rsidRDefault="0085709A" w:rsidP="0085709A">
      <w:pPr>
        <w:pStyle w:val="TextoNormal"/>
      </w:pPr>
      <w:r>
        <w:t>La doctrina de este Tribunal sobre el control del ejercicio por parte del Gobierno de esta potestad legislativa excepcional puede resumirse en los siguientes postulados:</w:t>
      </w:r>
    </w:p>
    <w:p w:rsidR="0085709A" w:rsidRDefault="0085709A" w:rsidP="0085709A">
      <w:pPr>
        <w:pStyle w:val="TextoNormal"/>
      </w:pPr>
    </w:p>
    <w:p w:rsidR="0085709A" w:rsidRDefault="0085709A" w:rsidP="0085709A">
      <w:pPr>
        <w:pStyle w:val="TextoNormal"/>
      </w:pPr>
      <w:r>
        <w:t>a) Nuestra doctrina parte de la premisa de que este Tribunal es un órgano jurisdiccional (arts. 161.1 CE y 1 y 27 LOTC) de modo que no es, claramente, el órgano llamado por la Constitución a valorar o ponderar la realidad concurrente para decidir si esa situación hace precisa una rápida reacción legislativa como la prevista en el art. 86.1 CE. El órgano llamado a hacer esa valoración es el Gobierno de la Nación, de acuerdo con ese mismo precepto y con el concordante artículo 97, también de la Constitución, que atribuye al Gobierno la función de dirigir la política interior, siendo una de sus manifestaciones, palmariamente, la económica. Siendo esa apreciación, por lo dicho, un “juicio político o de oportunidad” que corresponde hacer al Gobierno según el propio texto constitucional (por todas, SSTC 182/1997, de 28 de octubre, FJ 3, y 142/2014, de 11 de septiembre, FJ 3).</w:t>
      </w:r>
    </w:p>
    <w:p w:rsidR="0085709A" w:rsidRDefault="0085709A" w:rsidP="0085709A">
      <w:pPr>
        <w:pStyle w:val="TextoNormal"/>
      </w:pPr>
    </w:p>
    <w:p w:rsidR="0085709A" w:rsidRDefault="0085709A" w:rsidP="0085709A">
      <w:pPr>
        <w:pStyle w:val="TextoNormal"/>
      </w:pPr>
      <w:r>
        <w:t>b) Ello no puede significar, naturalmente, que ese juicio o apreciación sea un acto exento de control jurisdiccional, solamente significa que, en esa labor de “control jurídico” que tiene encomendada este Tribunal, el mismo “no debe suplantar a los órganos constitucionales que intervienen en la aprobación y convalidación de los Reales Decretos-leyes” (SSTC 332/2005, de 15 de diciembre, FJ 5; 31/2011, de 17 de marzo, FJ 3, y 39/2013, de 14 de febrero, FJ 5), pues de hacerlo “quedarían alterados los supuestos del orden constitucional democrático” (SSTC 111/1983, de 2 de diciembre, FJ 5, y 60/1986, de 20 de mayo, FJ 3).</w:t>
      </w:r>
    </w:p>
    <w:p w:rsidR="0085709A" w:rsidRDefault="0085709A" w:rsidP="0085709A">
      <w:pPr>
        <w:pStyle w:val="TextoNormal"/>
      </w:pPr>
    </w:p>
    <w:p w:rsidR="0085709A" w:rsidRDefault="0085709A" w:rsidP="0085709A">
      <w:pPr>
        <w:pStyle w:val="TextoNormal"/>
      </w:pPr>
      <w:r>
        <w:t xml:space="preserve">c) El control de este Tribunal es, pues, un control jurisdiccional </w:t>
      </w:r>
      <w:r w:rsidRPr="0085709A">
        <w:rPr>
          <w:i/>
        </w:rPr>
        <w:t>ex post</w:t>
      </w:r>
      <w:r>
        <w:t>, y tiene por misión velar por 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w:t>
      </w:r>
    </w:p>
    <w:p w:rsidR="0085709A" w:rsidRDefault="0085709A" w:rsidP="0085709A">
      <w:pPr>
        <w:pStyle w:val="TextoNormal"/>
      </w:pPr>
    </w:p>
    <w:p w:rsidR="0085709A" w:rsidRDefault="0085709A" w:rsidP="0085709A">
      <w:pPr>
        <w:pStyle w:val="TextoNormal"/>
      </w:pPr>
      <w:r>
        <w:lastRenderedPageBreak/>
        <w:t>d) En aplicación de todo ello, hemos reiterado, entre otras en las SSTC 83/2014, de 29 de mayo, FJ 4, y 96/2014, de 12 de junio, FJ 5, que “[e]l concepto de extraordinaria y urgente necesidad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De ahí que sea “función propia de este Tribunal el aseguramiento de estos límites, la garantía de que en el ejercicio de esta facultad, como de cualquier otra, los poderes públicos se mueven dentro del marco trazado por la Constitución, de forma que este Tribunal podrá, en supuestos de uso abusivo o arbitrario, rechazar la definición que los órganos políticos hagan de una situación determinada como de ‘extraordinaria y urgente necesidad’ y, en consecuencia, declarar la inconstitucionalidad de un real decreto-ley por inexistencia del presupuesto habilitante por invasión de las facultades reservadas a las Cortes Generales por la Constitución” (STC 137/2011, de 14 de diciembre, FJ 4, y las allí citadas).</w:t>
      </w:r>
    </w:p>
    <w:p w:rsidR="0085709A" w:rsidRDefault="0085709A" w:rsidP="0085709A">
      <w:pPr>
        <w:pStyle w:val="TextoNormal"/>
      </w:pPr>
    </w:p>
    <w:p w:rsidR="0085709A" w:rsidRDefault="0085709A" w:rsidP="0085709A">
      <w:pPr>
        <w:pStyle w:val="TextoNormal"/>
      </w:pPr>
      <w:r>
        <w:t>e)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(así, desde un principio, STC 29/1982, de 31 de mayo, FJ 3, hasta las más recientes SSTC 96/2014, de 12 de junio, FJ 5, y 183/2014, de 6 de noviembre, FJ 4).</w:t>
      </w:r>
    </w:p>
    <w:p w:rsidR="0085709A" w:rsidRDefault="0085709A" w:rsidP="0085709A">
      <w:pPr>
        <w:pStyle w:val="TextoNormal"/>
      </w:pPr>
    </w:p>
    <w:p w:rsidR="0085709A" w:rsidRDefault="0085709A" w:rsidP="0085709A">
      <w:pPr>
        <w:pStyle w:val="TextoNormal"/>
      </w:pPr>
      <w:r w:rsidRPr="0085709A">
        <w:rPr>
          <w:rStyle w:val="NumeroAFNegritaCaracter"/>
        </w:rPr>
        <w:t>3</w:t>
      </w:r>
      <w:r>
        <w:t>. En el recurso del Parlamento de Navarra, asumiendo la anterior doctrina, se defiende que el Gobierno ha incumplido ese primer deber expuesto de justificar de forma razonada la concurrencia de la situación de extraordinaria y urgente necesidad que le habilitaba para dictar el concreto Real Decreto-ley aquí impugnado. Y se justifica esta afirmación con la reproducción del párrafo de la exposición de motivos del Real Decreto-ley 20/2012 en el que se anuncia simplemente la medida aquí cuestionada, en los siguientes términos (apartado II):</w:t>
      </w:r>
    </w:p>
    <w:p w:rsidR="0085709A" w:rsidRDefault="0085709A" w:rsidP="0085709A">
      <w:pPr>
        <w:pStyle w:val="TextoNormal"/>
      </w:pPr>
    </w:p>
    <w:p w:rsidR="0085709A" w:rsidRDefault="0085709A" w:rsidP="0085709A">
      <w:pPr>
        <w:pStyle w:val="TextoNormal"/>
      </w:pPr>
      <w:r>
        <w:t>“Se suprime durante el año 2012 la paga extraordinaria del mes de diciembre y la paga adicional de complemento específico o pagas adicionales equivalentes del mes de diciembre. Las cantidades derivadas de esa supresión podrán destinarse en ejercicios futuros a realizar aportaciones a planes de pensiones o contratos de seguro colectivo que incluyan la contingencia de jubilación, siempre que se prevea el cumplimiento de los objetivos de estabilidad presupuestaria establecidos en la Ley Orgánica 2/2012, de Estabilidad Presupuestaria y Sostenibilidad Financiera y en los términos y con el alcance que se determine en las correspondientes leyes de presupuestos.”</w:t>
      </w:r>
    </w:p>
    <w:p w:rsidR="0085709A" w:rsidRDefault="0085709A" w:rsidP="0085709A">
      <w:pPr>
        <w:pStyle w:val="TextoNormal"/>
      </w:pPr>
    </w:p>
    <w:p w:rsidR="0085709A" w:rsidRDefault="0085709A" w:rsidP="0085709A">
      <w:pPr>
        <w:pStyle w:val="TextoNormal"/>
      </w:pPr>
      <w:r>
        <w:t>Se afirma, en vista de ello, que la explicitación de la situación de extraordinaria y urgente necesidad exigida por nuestra doctrina es simplemente “inexistente” o, si acaso, “tautológica”.</w:t>
      </w:r>
    </w:p>
    <w:p w:rsidR="0085709A" w:rsidRDefault="0085709A" w:rsidP="0085709A">
      <w:pPr>
        <w:pStyle w:val="TextoNormal"/>
      </w:pPr>
    </w:p>
    <w:p w:rsidR="0085709A" w:rsidRDefault="0085709A" w:rsidP="0085709A">
      <w:pPr>
        <w:pStyle w:val="TextoNormal"/>
      </w:pPr>
      <w:r>
        <w:t xml:space="preserve">Sin embargo, el párrafo trascrito por el Letrado del Parlamento de Navarra describe una de las medidas adoptadas en el Real Decreto-ley impugnado, pero en él no se encuentra su explicación. Su explicación se encuentra en otros apartados de la propia exposición de motivos de dicha norma y en el debate de convalidación que son, junto con la propia memoria </w:t>
      </w:r>
      <w:r>
        <w:lastRenderedPageBreak/>
        <w:t>incluida en el expediente de elaboración, los elementos a los que este Tribunal acude regularmente para comprobar la existencia del presupuesto habilitante de la legislación de urgencia exigido por el art. 86.1 CE (STC 142/2014, de 11 de septiembre, FJ 3, y las allí citadas).</w:t>
      </w:r>
    </w:p>
    <w:p w:rsidR="0085709A" w:rsidRDefault="0085709A" w:rsidP="0085709A">
      <w:pPr>
        <w:pStyle w:val="TextoNormal"/>
      </w:pPr>
    </w:p>
    <w:p w:rsidR="0085709A" w:rsidRDefault="0085709A" w:rsidP="0085709A">
      <w:pPr>
        <w:pStyle w:val="TextoNormal"/>
      </w:pPr>
      <w:r>
        <w:t>En línea con lo anterior, en el escrito de alegaciones del Abogado del Estado se reproducen con amplitud los apartados I y II de la citada exposición de motivos en donde se contiene la referencia a la situación de “recesión” de la “economía española” y de la “zona euro” que justificó la aprobación del Real Decreto-ley 20/2012, según el Gobierno (apartado I), así como también a la “estrategia de política económica” que, de acuerdo con la concepción y juicio del mismo Gobierno, es “fundamental en la superación de esa situación” (</w:t>
      </w:r>
      <w:r w:rsidRPr="0085709A">
        <w:rPr>
          <w:i/>
        </w:rPr>
        <w:t>loc. cit</w:t>
      </w:r>
      <w:r>
        <w:t>.). Un juicio que solo a éste correspondía realizar por entrañar un indudable juicio de oportunidad política inaccesible para este Tribunal, según hemos explicado ya, y que a este Tribunal solamente le corresponde verificar.</w:t>
      </w:r>
    </w:p>
    <w:p w:rsidR="0085709A" w:rsidRDefault="0085709A" w:rsidP="0085709A">
      <w:pPr>
        <w:pStyle w:val="TextoNormal"/>
      </w:pPr>
    </w:p>
    <w:p w:rsidR="0085709A" w:rsidRDefault="0085709A" w:rsidP="0085709A">
      <w:pPr>
        <w:pStyle w:val="TextoNormal"/>
      </w:pPr>
      <w:r>
        <w:t>Esa estrategia, según continúa explicando ese preámbulo, “pivota principalmente sobre dos ejes” siendo uno de ellos “la consolidación fiscal”. Haciéndose igualmente referencia en ese apartado I de la exposición de motivos a los compromisos asumidos por España en el contexto del proceso de integración europea para reducir su “déficit excesivo” hasta situarlo “por debajo del 3 por 100 del PIB” en 2013, según la Recomendación de Déficit Excesivo emitida por el Consejo Europeo, así como también a la flexibilización de esa senda de consolidación fiscal acordada por las mismas instituciones comunitarias “especificando que los objetivos de cumplimiento pasan a ser de un 6,3 por 100 del PIB en 2012, un 4,5 por 100 en 2013 y un 2,8 por 100 en 2014”. A pesar de esta flexibilización, se constata, “el esfuerzo fiscal estructural a realizar por España es muy significativo”, pues el “déficit de partida [es] mucho mayor en 2011 (8,9 por 100 del PIB frente a un 6 por 100 previsto) y [existe] un entorno económico más complejo. Es dentro de estas coordenadas” —prosigue la exposición de motivos— “donde deben situarse las diferentes medidas de índole fiscal que incluye este real decreto-ley”. Y acto seguido se hace una explicación general de las medidas aprobadas: unas dirigidas al “aumento de la imposición”, que aquí no interesan visto el objeto de este recurso; y otras “por el lado del gasto”.</w:t>
      </w:r>
    </w:p>
    <w:p w:rsidR="0085709A" w:rsidRDefault="0085709A" w:rsidP="0085709A">
      <w:pPr>
        <w:pStyle w:val="TextoNormal"/>
      </w:pPr>
    </w:p>
    <w:p w:rsidR="0085709A" w:rsidRDefault="0085709A" w:rsidP="0085709A">
      <w:pPr>
        <w:pStyle w:val="TextoNormal"/>
      </w:pPr>
      <w:r>
        <w:t xml:space="preserve">En el apartado II de la exposición de motivos de la norma es donde se especifican todas esas medidas anunciadas en el apartado anterior y dirigidas a “reducir el déficit público sin menoscabar la prestación de los servicios públicos esenciales” (primer párrafo del apartado II de la exposición de motivos). Se reconoce que “[e]l Gobierno ya ha adoptado medidas de contención de gastos de personal”, que se detallan. Pero acto seguido se señala que “[e]n la actualidad, el proceso de consolidación fiscal y de sostenibilidad de las cuentas públicas exige de las Administraciones Públicas continuar adaptando una serie de medidas extraordinarias y cuya adopción debe ser urgente, dirigidas a racionalizar y reducir el gasto de personal de las Administraciones Públicas y a incrementar la eficiencia de su gestión”. Una de las cuales es la anunciada supresión durante el año 2012 de la paga extraordinaria del mes de diciembre de 2012 y de la paga adicional de complemento específico o pagas adicionales equivalentes, establecida en el art. 2 recurrido. Cabe señalar, en cualquier caso, que no es la única medida tomada “con la… finalidad de racionalizar el gasto de personal”. Ese mismo apartado II de la exposición de motivos alude a otras tomadas con ese mismo propósito como son la reducción de los días de libre disposición y la supresión de los días adicionales por antigüedad tanto en el caso de vacaciones como en el de los días por asuntos </w:t>
      </w:r>
      <w:r>
        <w:lastRenderedPageBreak/>
        <w:t>particulares, la limitación del número de días adicionales que puedan haber establecido otras Administraciones públicas en el ejercicio de las competencias hasta entonces reconocidas en la Ley 7/2007, de 12 de abril, por la que se aprueba el estatuto básico del empleado público, la limitación del tiempo retribuido para realizar funciones sindicales y de representación en el ámbito del empleo público, la modificación del régimen retributivo del personal incluido en el régimen general de la Seguridad Social durante la situación de incapacidad temporal, la modulación de la plenitud retributiva de la prestación económica del personal integrado en el régimen de funcionarios civiles del Estado y en el régimen especial de la Seguridad Social de las Fuerzas Armadas, o, en fin, la supresión del coeficiente reductor por razón de la edad para la jubilación forzosa de los funcionarios incluidos en el régimen general de la Seguridad Social.</w:t>
      </w:r>
    </w:p>
    <w:p w:rsidR="0085709A" w:rsidRDefault="0085709A" w:rsidP="0085709A">
      <w:pPr>
        <w:pStyle w:val="TextoNormal"/>
      </w:pPr>
    </w:p>
    <w:p w:rsidR="0085709A" w:rsidRDefault="0085709A" w:rsidP="0085709A">
      <w:pPr>
        <w:pStyle w:val="TextoNormal"/>
      </w:pPr>
      <w:r>
        <w:t>Por último, tras explicar estas y otras medidas, termina este apartado II con la siguiente proclamación:</w:t>
      </w:r>
    </w:p>
    <w:p w:rsidR="0085709A" w:rsidRDefault="0085709A" w:rsidP="0085709A">
      <w:pPr>
        <w:pStyle w:val="TextoNormal"/>
      </w:pPr>
    </w:p>
    <w:p w:rsidR="0085709A" w:rsidRDefault="0085709A" w:rsidP="0085709A">
      <w:pPr>
        <w:pStyle w:val="TextoNormal"/>
      </w:pPr>
      <w:r>
        <w:t>“El cambio estructural que introduce en las Administraciones Públicas este abanico de medidas, que deben operar de manera conjunta, constituye un instrumento fundamental de política económica, que permitirá mejorar su funcionamiento, adecuarlo más eficazmente a la actual coyuntura y mantener la calidad del servicio que se presta al ciudadano.</w:t>
      </w:r>
    </w:p>
    <w:p w:rsidR="0085709A" w:rsidRDefault="0085709A" w:rsidP="0085709A">
      <w:pPr>
        <w:pStyle w:val="TextoNormal"/>
      </w:pPr>
    </w:p>
    <w:p w:rsidR="0085709A" w:rsidRDefault="0085709A" w:rsidP="0085709A">
      <w:pPr>
        <w:pStyle w:val="TextoNormal"/>
      </w:pPr>
      <w:r>
        <w:t>Las medidas recogidas en este Título suponen un sacrificio de especial intensidad para todos aquellos que perciben retribuciones con cargo a recursos públicos. Razones de Justicia justifican que estas medidas se extiendan a todos los servidores públicos con independencia de la naturaleza de la entidad de la que dependen y de su estatuto. La universalidad que fundamenta esta reforma evita la discriminación entre grupos y sectores.</w:t>
      </w:r>
    </w:p>
    <w:p w:rsidR="0085709A" w:rsidRDefault="0085709A" w:rsidP="0085709A">
      <w:pPr>
        <w:pStyle w:val="TextoNormal"/>
      </w:pPr>
    </w:p>
    <w:p w:rsidR="0085709A" w:rsidRDefault="0085709A" w:rsidP="0085709A">
      <w:pPr>
        <w:pStyle w:val="TextoNormal"/>
      </w:pPr>
      <w:r>
        <w:t>Por ello, en base al principio de necesaria solidaridad que debe imperar en estos momentos en todos los ámbitos sociales y políticos y a fin de compartir el esfuerzo que suponen las medidas que se establecen en este Real Decreto-ley respecto al colectivo de empleados públicos de todas las Administraciones en su sentido más amplio, es voluntad del legislador que se impulsen todos los mecanismos legales existentes para permitir la extensión de las citada medidas tanto a diputados y senadores, como al personal de otros órganos constitucionales, aplicando, en su caso, y cuando sea necesario, la normativa reguladora de los mismos en materia de retribuciones.”</w:t>
      </w:r>
    </w:p>
    <w:p w:rsidR="0085709A" w:rsidRDefault="0085709A" w:rsidP="0085709A">
      <w:pPr>
        <w:pStyle w:val="TextoNormal"/>
      </w:pPr>
    </w:p>
    <w:p w:rsidR="0085709A" w:rsidRDefault="0085709A" w:rsidP="0085709A">
      <w:pPr>
        <w:pStyle w:val="TextoNormal"/>
      </w:pPr>
      <w:r>
        <w:t xml:space="preserve">Pero el escrito de alegaciones del Abogado del Estado no hace referencia solamente al preámbulo del Real Decreto-ley. Hace también alusión a la justificación de ese Real Decreto-ley sostenida por el Sr. Ministro de Hacienda y Administraciones Públicas en el debate de convalidación del Real Decreto-ley 20/2012, de 13 de julio. Se afirmó entonces por el Sr. Ministro, en defensa de la convalidación (“Diario de Sesiones del Congreso de los Diputados”, núm. 51, de 19 de julio de 2012, págs. 3 y ss.), lo siguiente: “Estamos atravesando la segunda recesión derivada de la crisis financiera mundial del año 2007 y estamos atravesando esa crisis, señorías, cuando la economía española tiene un punto, un extremo de debilidad manifiesta, que es su deuda externa, la misma deuda externa que teníamos en el 2008, la misma en términos netos frente al resto del mundo seguimos teniendo hoy. Por eso, España tiene que cerrar la brecha de sus necesidades de financiación frente al resto del mundo para poder crecer sin pedir nuevos recursos al resto del mundo, para poder crecer y </w:t>
      </w:r>
      <w:r>
        <w:lastRenderedPageBreak/>
        <w:t>devolver y hacer frente a esa deuda externa. Por eso, en este decreto-ley presentamos reformas estructurales, reformas que nos permitan crecer, que nos permitan financiarnos mejor, hacer frente a esa deuda externa, formidable deuda externa, que nos aplasta, nos condiciona, nos relega, nos hace ser un riesgo dentro de la propia economía europea, dentro del euro y dentro del mundo, como advertía el Fondo Monetario Internacional esta misma semana, a comienzos de esta semana, cuando advertía que hay riesgos de que España e Italia no accedan en condiciones normales a los mercados financieros y eso colapsaría la economía mundial”. Insistía igualmente el representante del Gobierno, más adelante, en que “España está viviendo esa segunda recesión económica, continuidad, prolongación de lo que fue la primera recesión del año 2009, no tan severa en términos de caída de actividad económica, ciertamente, pero destructora de empleo, y queremos salir de ahí… Este conjunto de medidas que trae el Gobierno a la Cámara, señorías, tienen como causa un nuevo escenario en Europa y en el euro”. Un “nuevo escenario” derivado “de la activación de la ayuda financiera que necesita nuestra banca… y tiene como causa las recomendaciones de nuestros socios europeos, de la Comisión Europea; recomendaciones que son obligaciones que se derivan del procedimiento de déficit excesivo al que está sujeto nuestro país, nuestra economía desde el año 2009…” y que no han dado más relajo a nuestro país “sino, al contrario, significa que al marcarnos unos objetivos de déficit para este año —el año 2012— y años sucesivos —2013 y 2014—, se derivan unas recomendaciones que son obligaciones del propio Consejo Europeo, del Ecofin celebrado la semana pasada, que son las que traen causa de este conjunto de medidas que traemos a la Cámara”.</w:t>
      </w:r>
    </w:p>
    <w:p w:rsidR="0085709A" w:rsidRDefault="0085709A" w:rsidP="0085709A">
      <w:pPr>
        <w:pStyle w:val="TextoNormal"/>
      </w:pPr>
    </w:p>
    <w:p w:rsidR="0085709A" w:rsidRDefault="0085709A" w:rsidP="0085709A">
      <w:pPr>
        <w:pStyle w:val="TextoNormal"/>
      </w:pPr>
      <w:r>
        <w:t>Y concluía, en lo que aquí interesa: “Necesitamos financiar el crecimiento económico, necesitamos financiar la recuperación, y no tendremos esa financiación y ese mayor crecimiento si no reducimos cuanto antes el déficit público. Y lo tenemos que hacer por la doble vía: promover ahorros en los servicios públicos y promoverlos por la vía del incremento de los ingresos públicos… Insisto en el argumento de la reducción del déficit público, insisto en el argumento del sentido de las medidas que presentamos a la Cámara comprometidas con la reducción del déficit público no solo en la Administración General del Estado, sino en su traslación a comunidades autónomas y a corporaciones locales, puesto que estas medidas… pretenden… el ahorro en esos planos, en ese funcionamiento que debe ser comprometido en la corrección y en la consecución sobre todo del objetivo de déficit público para este año 2012”.</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La lectura de los pasajes transcritos, tanto de la exposición de motivos del Real Decreto-ley 20/2012 como de la defensa de su convalidación efectuada por el Gobierno ante el Congreso de los Diputados, evidencia que el Gobierno ha justificado de manera expresa, concreta, detallada y razonada la necesidad de emplear en este caso la potestad legislativa provisional y de urgencia que le reconoce el art. 86.1 CE. Las anteriores explicaciones, todas ellas omitidas en el recurso del Parlamento de Navarra, ya no permiten afirmar, como ahí se hace, que la justificación de este instrumento legislativo fue “inexistente” o “tautológica”. Esas explicaciones, antes transcritas, no son imprecisas, rituales, estereotipadas, retóricas, apodícticas o generales, ni sirven a cualquier propósito o finalidad, como apreciamos en los casos de las SSTC 68/2007, de 28 de marzo (FJ 10) y 137/2011, de 14 de septiembre (FJ 7). Al contrario, parten de una situación de recesión y crisis económica y financiera que es real y conocida; notoria, incluso, según ya advertimos en la STC 182/2013, de 23 de octubre, FJ 6 d); y también de unos compromisos internacionales que son igualmente conocidos [por todas, STC 215/2014, de 18 de diciembre, sobre la Ley Orgánica 2/2012, de 27 de abril, de </w:t>
      </w:r>
      <w:r>
        <w:lastRenderedPageBreak/>
        <w:t>estabilidad presupuestaria y sostenibilidad financiera, FFJJ 2 y 3 a)]. Y con ese punto de partida justifican —desde la legítima perspectiva del Gobierno, único órgano al que la Constitución atribuye la potestad de dirigir la política económica, art. 97 CE— una serie de medidas dirigidas a reducir el déficit público, objetivo inmediato de acuerdo con las recomendaciones del Consejo de la Unión Europea (arts. 93 CE y 126 del Tratado de funcionamiento de la Unión Europea) e instrumento además para alcanzar el fin (político) de la recuperación, por la doble vía del incremento de los ingresos públicos y reducción del gasto público.</w:t>
      </w:r>
    </w:p>
    <w:p w:rsidR="0085709A" w:rsidRDefault="0085709A" w:rsidP="0085709A">
      <w:pPr>
        <w:pStyle w:val="TextoNormal"/>
      </w:pPr>
    </w:p>
    <w:p w:rsidR="0085709A" w:rsidRDefault="0085709A" w:rsidP="0085709A">
      <w:pPr>
        <w:pStyle w:val="TextoNormal"/>
      </w:pPr>
      <w:r>
        <w:t>Por otra parte, la urgencia de la reacción legislativa se justifica por el Gobierno, además de en los pasajes ya transcritos, en los apartados II y IX de la exposición de motivos del Real Decreto-ley. En el apartado II explica la necesidad de una reacción inminente en los siguientes términos: “[s]e trata por tanto de acometer una serie de reformas cuya necesidad es extraordinaria, dada la propia naturaleza de esta crisis y efectos sobre la economía, el mercado de trabajo y las finanzas españolas, y urgente por la celeridad con que se deben acometer las reformas estructurales en nuestro sistema de empleo público que contribuya a reforzar tanto la garantía de cumplimiento de los compromisos adquiridos por España en materia de gasto público y déficit como la mejora de la eficiencia, productividad y competitividad de nuestra economía”. Y en el apartado IX continúa incidiendo en la misma idea afirmando que “[e]n las medidas que se adoptan en el presente real decreto-ley concurren las circunstancias de extraordinaria y urgente necesidad que exige el artículo 86 de la Constitución Española como premisa para recurrir a esta figura del real decreto-ley. Como se ha expuesto, la actual coyuntura económica y la inexcusable necesidad de reducir el déficit público para alcanzar la estabilidad presupuestaria, hacen necesario que las medidas expuestas se aprueben con la máxima urgencia, con pleno respeto al marco constitucional y al establecido por la Unión Europea”.</w:t>
      </w:r>
    </w:p>
    <w:p w:rsidR="0085709A" w:rsidRDefault="0085709A" w:rsidP="0085709A">
      <w:pPr>
        <w:pStyle w:val="TextoNormal"/>
      </w:pPr>
    </w:p>
    <w:p w:rsidR="0085709A" w:rsidRDefault="0085709A" w:rsidP="0085709A">
      <w:pPr>
        <w:pStyle w:val="TextoNormal"/>
      </w:pPr>
      <w:r>
        <w:t>Pues bien, desde el limitado punto de vista de este Tribunal, que es jurídico y no político, no puede decirse que esa explicación sea irracional, arbitraria, apodíctica ni estereotipada, ni que el Gobierno haya incumplido u omitido las exigencias que le impone el art. 86.1 CE para hacer uso de su potestad legislativa. Además, sobre la urgencia de las reformas para reducir el déficit público excesivo apreciado por las instituciones comunitarias en el actual contexto de crisis económicas nos hemos pronunciado ya, reconociendo su existencia, en los AATC 179/2011, FJ 6, y 180/2011, FJ 6.</w:t>
      </w:r>
    </w:p>
    <w:p w:rsidR="0085709A" w:rsidRDefault="0085709A" w:rsidP="0085709A">
      <w:pPr>
        <w:pStyle w:val="TextoNormal"/>
      </w:pPr>
    </w:p>
    <w:p w:rsidR="0085709A" w:rsidRDefault="0085709A" w:rsidP="0085709A">
      <w:pPr>
        <w:pStyle w:val="TextoNormal"/>
      </w:pPr>
      <w:r>
        <w:t xml:space="preserve">Finalmente, y en lo que hace al segundo requisito ínsito en el presupuesto habilitante del art. 86.1 CE, que es la conexión de sentido de las medidas aprobadas con la situación de “extraordinaria y urgente necesidad” que se trata de atender o corregir a través del Real Decreto-ley, la exposición de motivos se hace igualmente eco de que las medidas incluidas en el mismo tienen por objeto “garantizar que España cumple rigurosamente sus compromisos fiscales dentro del marco de Déficit Excesivo establecido por la Unión Europea” (apartado I), que es, según hemos indicado, uno de los componentes de la situación de extraordinaria y urgente necesidad invocada por el Gobierno para amparar su actuación normativa, así como también “mejora[r] la eficiencia, productividad y competitividad de nuestra economía” (apartado II, refiriéndose específicamente a la concreta medida aquí recurrida, la supresión de la paga extraordinaria de diciembre de 2012 a los empleados públicos), siendo difícilmente cuestionable que la reducción de gastos de personal tiende, precisamente, a cumplir esos objetivos, pues, por un lado, incrementa la “eficiencia” y “productividad” de la economía al reducir el coste del trabajo realizado por los empleados públicos </w:t>
      </w:r>
      <w:r>
        <w:lastRenderedPageBreak/>
        <w:t>que, por su parte, se mantiene y no se reduce, y por otro, tiende a reducir al mismo tiempo el déficit excesivo apreciado por la Unión Europea. Tanto es así que en los AATC 179/2011 y 180/2011, ya citados, calificamos de “evidente” esta relación, al ser los gastos de personal una de las dos principales partidas de gasto público corriente de los presupuestos de las Administraciones públicas. Según se afirmaba expresamente en esos Autos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 (FJ 6). Y en el mismo sentido se han pronunciado los AATC 35/2012, de 14 de febrero, FJ 3, y 246/2012, de 18 de diciembre, FJ 4.</w:t>
      </w:r>
    </w:p>
    <w:p w:rsidR="0085709A" w:rsidRDefault="0085709A" w:rsidP="0085709A">
      <w:pPr>
        <w:pStyle w:val="TextoNormal"/>
      </w:pPr>
    </w:p>
    <w:p w:rsidR="0085709A" w:rsidRDefault="0085709A" w:rsidP="0085709A">
      <w:pPr>
        <w:pStyle w:val="TextoNormal"/>
      </w:pPr>
      <w:r w:rsidRPr="0085709A">
        <w:rPr>
          <w:rStyle w:val="NumeroAFNegritaCaracter"/>
        </w:rPr>
        <w:t>5</w:t>
      </w:r>
      <w:r>
        <w:t>. Todavía en el marco del presupuesto habilitante, el Parlamento de Navarra discute también la “urgencia” de esa situación, alegando que el Gobierno podría haber reaccionado a ese escenario de premura sin necesidad de acudir al empleo de la potestad legislativa de urgencia. En concreto presentando un proyecto de ley (arts. 87.1 y 88 CE) para su tramitación por el procedimiento de urgencia (art. 93 del Reglamento del Congreso de los Diputados, RCD en adelante) o incluso de lectura única (art. 150 RCD). Llamando además la atención sobre la situación actual de “mayoría absoluta” en las cámaras, lo que hace que “en menos de un mes, a lo sumo, [sea] posible tramitar un proyecto de ley”.</w:t>
      </w:r>
    </w:p>
    <w:p w:rsidR="0085709A" w:rsidRDefault="0085709A" w:rsidP="0085709A">
      <w:pPr>
        <w:pStyle w:val="TextoNormal"/>
      </w:pPr>
    </w:p>
    <w:p w:rsidR="0085709A" w:rsidRDefault="0085709A" w:rsidP="0085709A">
      <w:pPr>
        <w:pStyle w:val="TextoNormal"/>
      </w:pPr>
      <w:r>
        <w:t>Según acabamos de ver, es cierta la premisa de que dentro de las posibilidades de control de este Tribunal está la de rechazar la definición que los órganos políticos hagan de una situación determinada como caso de extraordinaria y urgente necesidad “de tal naturaleza que no pueda ser atendida por la vía del procedimiento legislativo de urgencia” (por todas, SSTC 111/1983, de 2 de diciembre, FJ 5, y 60/1986, de 20 de mayo, FJ 3). Sin embargo, también lo es que según se matiza inmediatamente en esas mismas y otras Sentencias, en esa labor de control este Tribunal no puede “traspasar las fronteras de su función y a la vez de su responsabilidad [e] inmiscuirse en la decisión de gobierno, pues si así se hiciera quedarían alterados los supuestos del orden constitucional democrático” (</w:t>
      </w:r>
      <w:r w:rsidRPr="0085709A">
        <w:rPr>
          <w:i/>
        </w:rPr>
        <w:t>loc. cit</w:t>
      </w:r>
      <w:r>
        <w:t>.), doctrina que es predicable no solo respecto al carácter extraordinario de la situación, sino también de su condición de “urgente”. Ya hemos tenido ocasión de recordar además (fundamento jurídico 2) que “el control que compete al Tribunal Constitucional en este punto es un control externo, en el sentido de que debe verificar, pero no sustituir, el juicio político o de oportunidad que corresponde al Gobierno” (STC 182/1997, de 28 de octubre, FJ 3). Por consiguiente, basta con que la actuación del Gobierno (su opción por el ejercicio de esta potestad que la Constitución le confiere) no sea arbitraria ni abusiva para que este Tribunal deba respetar el ejercicio de esa potestad, pues no es misión de este órgano jurisdiccional seleccionar la alternativa más correcta o idónea de entre las varias que pueden ofrecerse al Gobierno para subvenir a una concreta situación, sino que la labor de este Tribunal es más limitada y se ciñe a efectuar un “control negativo” de esas alternativas (así, para los diferentes procedimientos legislativos, STC 129/2013, de 4 de junio, FJ 10).</w:t>
      </w:r>
    </w:p>
    <w:p w:rsidR="0085709A" w:rsidRDefault="0085709A" w:rsidP="0085709A">
      <w:pPr>
        <w:pStyle w:val="TextoNormal"/>
      </w:pPr>
    </w:p>
    <w:p w:rsidR="0085709A" w:rsidRDefault="0085709A" w:rsidP="0085709A">
      <w:pPr>
        <w:pStyle w:val="TextoNormal"/>
      </w:pPr>
      <w:r>
        <w:t xml:space="preserve">Asumiendo estas incuestionables premisas como punto de partida, una vez que hemos constatado que el Gobierno ha explicitado y justificado la necesidad de una urgente reacción legislativa, y una vez que hemos verificado también la validez externa o razonabilidad de esa justificación, no es propio de un control jurisdiccional y no político como el que es </w:t>
      </w:r>
      <w:r>
        <w:lastRenderedPageBreak/>
        <w:t>propio de este Tribunal efectuar un juicio hipotético sobre la viabilidad de esas otras alternativas propuestas. Con ello se estaría invadiendo la esfera de actuación del Gobierno y el juicio político y de oportunidad que tiene reservado.</w:t>
      </w:r>
    </w:p>
    <w:p w:rsidR="0085709A" w:rsidRDefault="0085709A" w:rsidP="0085709A">
      <w:pPr>
        <w:pStyle w:val="TextoNormal"/>
      </w:pPr>
    </w:p>
    <w:p w:rsidR="0085709A" w:rsidRDefault="0085709A" w:rsidP="0085709A">
      <w:pPr>
        <w:pStyle w:val="TextoNormal"/>
      </w:pPr>
      <w:r>
        <w:t>En consecuencia, este concreto alegato del Parlamento de Navarra ha de ser igualmente desestimado.</w:t>
      </w:r>
    </w:p>
    <w:p w:rsidR="0085709A" w:rsidRDefault="0085709A" w:rsidP="0085709A">
      <w:pPr>
        <w:pStyle w:val="TextoNormal"/>
      </w:pPr>
    </w:p>
    <w:p w:rsidR="0085709A" w:rsidRDefault="0085709A" w:rsidP="0085709A">
      <w:pPr>
        <w:pStyle w:val="TextoNormal"/>
      </w:pPr>
      <w:r w:rsidRPr="0085709A">
        <w:rPr>
          <w:rStyle w:val="NumeroAFNegritaCaracter"/>
        </w:rPr>
        <w:t>6</w:t>
      </w:r>
      <w:r>
        <w:t>. A la denuncia de inexistencia del presupuesto habilitante que para la aprobación de un real decreto-ley por el Gobierno de la Nación establece el art. 86.1 CE, que hemos descartado en su totalidad, la asamblea recurrente suma la de incumplimiento de sus límites materiales. En concreto, alega que no puede un real decreto-ley “penetrar” en la reserva de ley establecida en el art. 103.3 CE al conectarse la reserva allí contenida con el “estatuto retributivo” del cargo público que garantiza, siempre según la parte actora, el art. 23.2 CE. Vinculando además ese estatuto retributivo con las diferentes normas de todas las Comunidades Autónomas que regulan su respectiva función pública. Por esta vía relacionada denuncia que el art. 2 del Real Decreto-ley 20/2012 ha “afectado de forma global” al sistema de las Comunidades Autónomas y que ha “suplantado” así las competencias de las Cortes Generales que son las únicas que pueden conseguir ese efecto, dice, por la vía de las leyes armonizadoras previstas en el art. 150.3 CE.</w:t>
      </w:r>
    </w:p>
    <w:p w:rsidR="0085709A" w:rsidRDefault="0085709A" w:rsidP="0085709A">
      <w:pPr>
        <w:pStyle w:val="TextoNormal"/>
      </w:pPr>
    </w:p>
    <w:p w:rsidR="0085709A" w:rsidRDefault="0085709A" w:rsidP="0085709A">
      <w:pPr>
        <w:pStyle w:val="TextoNormal"/>
      </w:pPr>
      <w:r>
        <w:t>Una ordenada resolución de este alegato, que se expone en el escrito de interposición bajo la rúbrica general de “trasgresión de los límites materiales del art. 86.1 CE” exige, sin embargo, diferenciar dos denuncias distintas partiendo del propio tenor del precepto constitucional de referencia.</w:t>
      </w:r>
    </w:p>
    <w:p w:rsidR="0085709A" w:rsidRDefault="0085709A" w:rsidP="0085709A">
      <w:pPr>
        <w:pStyle w:val="TextoNormal"/>
      </w:pPr>
    </w:p>
    <w:p w:rsidR="0085709A" w:rsidRDefault="0085709A" w:rsidP="0085709A">
      <w:pPr>
        <w:pStyle w:val="TextoNormal"/>
      </w:pPr>
      <w:r>
        <w:t>En efecto, dispone literalmente el art. 86.1 CE que “[e]n caso de extraordinaria y urgente necesidad, el Gobierno podrá dictar disposiciones legislativas provisionales que tomarán la forma de Decretos-leyes y que no podrán afectar al ordenamiento de las instituciones básicas del Estado, a los derechos, deberes y libertades de los ciudadanos regulados en el Título I, al régimen de las Comunidades Autónomas ni al Derecho electoral general”. De esas cuatro materias que el constituyente quiso vedar al Real Decreto-ley, solo dos interesan a este recurso, que son “los derechos, deberes y libertades de los ciudadanos regulados en el Título I” y el “régimen de las Comunidades Autónomas”, siguiendo el mismo orden establecido en la Norma fundamental. El real decreto-ley no puede “afectar” a estas materias.</w:t>
      </w:r>
    </w:p>
    <w:p w:rsidR="0085709A" w:rsidRDefault="0085709A" w:rsidP="0085709A">
      <w:pPr>
        <w:pStyle w:val="TextoNormal"/>
      </w:pPr>
    </w:p>
    <w:p w:rsidR="0085709A" w:rsidRDefault="0085709A" w:rsidP="0085709A">
      <w:pPr>
        <w:pStyle w:val="TextoNormal"/>
      </w:pPr>
      <w:r>
        <w:t>A partir de aquí, y partiendo del propio tenor del texto constitucional, la desestimación de una y otra queja resulta obligada.</w:t>
      </w:r>
    </w:p>
    <w:p w:rsidR="0085709A" w:rsidRDefault="0085709A" w:rsidP="0085709A">
      <w:pPr>
        <w:pStyle w:val="TextoNormal"/>
      </w:pPr>
    </w:p>
    <w:p w:rsidR="0085709A" w:rsidRDefault="0085709A" w:rsidP="0085709A">
      <w:pPr>
        <w:pStyle w:val="TextoNormal"/>
      </w:pPr>
      <w:r>
        <w:t>a) Por lo que respecta a la primera porque, lo que está vedado al decreto-ley de acuerdo con el precepto constitucional transcrito no es la “regula[ción] del estatuto de los funcionarios públicos”, que es la reserva de ley contenida en el art. 103.3 CE, sino la “afectación” a los “derechos, deberes y libertades regulados en el Título I” de la Constitución.</w:t>
      </w:r>
    </w:p>
    <w:p w:rsidR="0085709A" w:rsidRDefault="0085709A" w:rsidP="0085709A">
      <w:pPr>
        <w:pStyle w:val="TextoNormal"/>
      </w:pPr>
    </w:p>
    <w:p w:rsidR="0085709A" w:rsidRDefault="0085709A" w:rsidP="0085709A">
      <w:pPr>
        <w:pStyle w:val="TextoNormal"/>
      </w:pPr>
      <w:r>
        <w:t xml:space="preserve">En relación con la interpretación que debe darse a ese verbo “afectar” empleado por el art. 86.1 CE, ya nos hemos pronunciado acerca de que “la tesis partidaria de una expansión de la limitación contenida en el art. 86.1 de la C. E. se sustenta en una idea tan restrictiva del Decreto-ley que lleva en su seno el vaciamiento de la figura y la hace inservible para </w:t>
      </w:r>
      <w:r>
        <w:lastRenderedPageBreak/>
        <w:t xml:space="preserve">regular con mayor o menor incidencia cualquier aspecto concerniente a las materias incluidas en el Título I de la Constitución sin más base interpretativa que el otorgamiento al verbo ‘afectar’ de un contenido literal amplísimo; como con tan exigua base se conduce a la inutilidad absoluta del Decreto-ley, pues es difícil imaginar alguno cuyo contenido no afectase a algún derecho comprendido en el Título I, es claro que tal interpretación, fácilmente reducible </w:t>
      </w:r>
      <w:r w:rsidRPr="0085709A">
        <w:rPr>
          <w:i/>
        </w:rPr>
        <w:t>ad absurdum</w:t>
      </w:r>
      <w:r>
        <w:t>, tampoco puede ser aceptada, ni la aceptó el Tribunal en su Sentencia de 4 de febrero de 1983 (fundamento jurídico 6)” (STC 111/1983, FJ 8).</w:t>
      </w:r>
    </w:p>
    <w:p w:rsidR="0085709A" w:rsidRDefault="0085709A" w:rsidP="0085709A">
      <w:pPr>
        <w:pStyle w:val="TextoNormal"/>
      </w:pPr>
    </w:p>
    <w:p w:rsidR="0085709A" w:rsidRDefault="0085709A" w:rsidP="0085709A">
      <w:pPr>
        <w:pStyle w:val="TextoNormal"/>
      </w:pPr>
      <w:r>
        <w:t>Pero además, aunque prescindiéramos de lo anterior y pudiéramos otorgar un significado más amplio al verbo “afectar”, empleado por el art. 86.1 CE para indicar el grado de incidencia prohibida al real decreto-ley, ello tampoco nos permitiría perder de vista que esa materia vedada (el objeto que el decreto-ley no puede “afectar”) en modo alguno se halla concernida por la norma impugnada.</w:t>
      </w:r>
    </w:p>
    <w:p w:rsidR="0085709A" w:rsidRDefault="0085709A" w:rsidP="0085709A">
      <w:pPr>
        <w:pStyle w:val="TextoNormal"/>
      </w:pPr>
    </w:p>
    <w:p w:rsidR="0085709A" w:rsidRDefault="0085709A" w:rsidP="0085709A">
      <w:pPr>
        <w:pStyle w:val="TextoNormal"/>
      </w:pPr>
      <w:r>
        <w:t>El art. 23.2 CE al que termina refiriéndose, por lógica, la argumentación del parlamento recurrente, dispone, también literalmente, que “[a]simismo, [los ciudadanos] tienen derecho a acceder en condiciones de igualdad a las funciones y cargos públicos, con los requisitos que señalen las leyes”. Una interpretación conjunta de ambos preceptos constitucionales —el art. 86.1 y, por la referencia que éste hace al título I, el art. 23.2— no permite sino concluir que lo que el real decreto-ley no puede “afectar” es el derecho de los ciudadanos “a acceder en condiciones de igualdad a las funciones y cargos públicos” (art. 23.2 CE). Acceso que en modo alguno es regulado por el art. 2 del Real Decreto-ley 20/2012, ni tampoco se ve “afectado” por él. Expresamente hemos rechazado, por otro lado, que pueda identificarse cualquier reserva de ley contenida en la Constitución, como esta del art. 103.3, con el ámbito vedado a los decretos-leyes (en particular, para la reducción de las retribuciones de los funcionarios públicos: AATC 179/2011, FJ 7, y 180/2011, FJ 7).</w:t>
      </w:r>
    </w:p>
    <w:p w:rsidR="0085709A" w:rsidRDefault="0085709A" w:rsidP="0085709A">
      <w:pPr>
        <w:pStyle w:val="TextoNormal"/>
      </w:pPr>
    </w:p>
    <w:p w:rsidR="0085709A" w:rsidRDefault="0085709A" w:rsidP="0085709A">
      <w:pPr>
        <w:pStyle w:val="TextoNormal"/>
      </w:pPr>
      <w:r>
        <w:t>Ciñéndonos pues al único artículo al que remite el art. 86.1 CE, según lo expuesto, que es el art. 23.2, este Tribunal ha admitido que el derecho que el mismo consagra —en particular, la referencia a la igualdad que en él se contiene— se proyecta no solo en el momento del acceso a la función pública sino también a lo largo de toda la duración de la relación funcionarial, y que por consiguiente sea igualmente aplicable, aunque con matices, a los actos posteriores al acceso y en particular a la provisión de puestos de trabajo (así, entre otras, SSTC 156/1998, de 13 de julio, FJ 3, y 192/1991, de 14 de octubre, FJ 4). Pero sin llegar nunca a incluir en el mismo el derecho al mantenimiento del régimen retributivo de los empleados públicos.</w:t>
      </w:r>
    </w:p>
    <w:p w:rsidR="0085709A" w:rsidRDefault="0085709A" w:rsidP="0085709A">
      <w:pPr>
        <w:pStyle w:val="TextoNormal"/>
      </w:pPr>
    </w:p>
    <w:p w:rsidR="0085709A" w:rsidRDefault="0085709A" w:rsidP="0085709A">
      <w:pPr>
        <w:pStyle w:val="TextoNormal"/>
      </w:pPr>
      <w:r>
        <w:t>En consecuencia, esa pretendida afectación a los derechos del título I debe ser rechazada.</w:t>
      </w:r>
    </w:p>
    <w:p w:rsidR="0085709A" w:rsidRDefault="0085709A" w:rsidP="0085709A">
      <w:pPr>
        <w:pStyle w:val="TextoNormal"/>
      </w:pPr>
    </w:p>
    <w:p w:rsidR="0085709A" w:rsidRDefault="0085709A" w:rsidP="0085709A">
      <w:pPr>
        <w:pStyle w:val="TextoNormal"/>
      </w:pPr>
      <w:r>
        <w:t xml:space="preserve">b) Entrando ahora en el segundo submotivo de “trasgresión de los límites materiales del art. 86.1 CE” que desarrolla el recurrente, apelando a una supuesta afectación al “régimen de las Comunidades Autónomas” (art. 86.1 CE), es igualmente obvio que, por muy extensiva que pudiera ser la interpretación que quisiera hacerse de esta última expresión, la misma no podría nunca llegar a comprender cualquier medida que de algún modo pudiese afectar a las Comunidades Autónomas, o a una Comunidad Autónoma (y no al “régimen de las Comunidades Autónomas” diseñado en general en la Constitución), pues de ser así, y teniendo en cuenta el desarrollo que ha alcanzado la distribución de competencias entre el Estado y las Comunidades Autónomas esbozada en el título VIII de la Constitución, se haría </w:t>
      </w:r>
      <w:r>
        <w:lastRenderedPageBreak/>
        <w:t>imposible la utilización de ese instrumento normativo por parte del Gobierno de la Nación, comprometiendo incluso el ejercicio de las funciones que también le asigna esa misma Constitución.</w:t>
      </w:r>
    </w:p>
    <w:p w:rsidR="0085709A" w:rsidRDefault="0085709A" w:rsidP="0085709A">
      <w:pPr>
        <w:pStyle w:val="TextoNormal"/>
      </w:pPr>
    </w:p>
    <w:p w:rsidR="0085709A" w:rsidRDefault="0085709A" w:rsidP="0085709A">
      <w:pPr>
        <w:pStyle w:val="TextoNormal"/>
      </w:pPr>
      <w:r>
        <w:t>En este sentido, hemos tenido ocasión de reiterar recientemente que “la expresión ‘régimen de las Comunidades Autónomas’ utilizada en el art. 86.1 CE ha de ser interpretada en el sentido de que el Decreto-ley no puede afectar al régimen constitucional de las Comunidades Autónomas, del que forman parte los Estatutos de Autonomía y otras leyes estatales atributivas de competencias que integran el bloque de la constitucionalidad. Pero, ‘[m]ás allá de ese régimen constitucional el campo normativo de los Decretos-leyes se corresponde con la competencia legislativa del Estado, de modo que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Ciertamente, el ejercicio de las competencias de un ente puede afectar en alguna medida a las del otro. Pero 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 (STC 23/1993, de 21 de enero, FJ 2; en el mismo sentido, STC 332/2005, de 15 de diciembre, FJ 8). Específicamente, en diversas ocasiones hemos admitido que el Decreto-ley puede ser un instrumento idóneo para dictar normativa básica (SSTC 23/1993, de 21 de enero; 225/1993, de 8 de julio, y 11/2002, de 17 de enero), siempre que se cumplan las restantes exigencias de orden formal y material predicables de las disposiciones de tal carácter” (STC 182/2013, de 23 de octubre, FJ 3).</w:t>
      </w:r>
    </w:p>
    <w:p w:rsidR="0085709A" w:rsidRDefault="0085709A" w:rsidP="0085709A">
      <w:pPr>
        <w:pStyle w:val="TextoNormal"/>
      </w:pPr>
    </w:p>
    <w:p w:rsidR="0085709A" w:rsidRDefault="0085709A" w:rsidP="0085709A">
      <w:pPr>
        <w:pStyle w:val="TextoNormal"/>
      </w:pPr>
      <w:r>
        <w:t>Por consiguiente, el simple hecho de que el art. 2 del Real Decreto-ley 20/2012 haya supuesto una disminución de los ingresos de los empleados públicos del Estado y también de los de las Comunidades Autónomas, que es a lo que se reduce esta concreta denuncia del Parlamento de Navarra —la invasión de sus concretas competencias y no del régimen general de las Comunidades Autónomas es objeto de un motivo de impugnación separado y será, en consonancia con ello, más adelante analizada—, carece de trascendencia anulatoria. Ya hemos admitido que el Estado puede establecer medidas de contención de gastos de personal con amparo en los arts. 149.1.13 CE y en el principio de coordinación con la hacienda estatal del art. 156.1 CE, puesto que la incidencia en la autonomía financiera y presupuestaria de las Comunidades Autónomas está directamente relacionada con la responsabilidad del Estado de garantizar el equilibrio económico general (entre otras, SSTC 222/2006, de 6 de julio, FJ 3, y 219/2013, de 19 de diciembre, FJ 4, con cita de varias). Por consiguiente, hecha momentánea abstracción del instrumento normativo en que esa medida se incluyó, si partimos de que la medida encuentra acomodo en los citados títulos competenciales reconocidos al Estado, su aprobación por real decreto-ley no puede suponer “afectación” al “régimen de las Comunidades Autónomas”, que es lo que veda el art. 86.1 CE. Así pues, esta segunda parte de la queja debe igualmente ser rechazada.</w:t>
      </w:r>
    </w:p>
    <w:p w:rsidR="0085709A" w:rsidRDefault="0085709A" w:rsidP="0085709A">
      <w:pPr>
        <w:pStyle w:val="TextoNormal"/>
      </w:pPr>
    </w:p>
    <w:p w:rsidR="0085709A" w:rsidRDefault="0085709A" w:rsidP="0085709A">
      <w:pPr>
        <w:pStyle w:val="TextoNormal"/>
      </w:pPr>
      <w:r>
        <w:lastRenderedPageBreak/>
        <w:t>La cobertura competencial comentada nos permite igualmente descartar la imputación que se hace al Gobierno de “suplantación” de las Cortes Generales al haber articulado a través de un real decreto-ley una medida armonizadora, solo al alcance de aquellas conforme al art. 150.3 CE. Presupuesto indispensable para que una ley pueda calificarse de armonizadora es que el Estado “no disponga de otros cauces constitucionales para el ejercicio de su potestad legislativa o éstos no sean suficientes para garantizar la armonía exigida por el interés general”, incluidas en su caso las competencias básicas que la propia Constitución le atribuya [STC 76/1983, de 5 de agosto, FJ 3 b)]. Por consiguiente, ejerciéndose aquí una competencia reconocida al Estado en otros puntos de la Constitución, como ya se ha señalado (arts. 149.1.13 y 156.1 CE), ello hace caer por su propio peso esa pretendida subrogación o suplantación.</w:t>
      </w:r>
    </w:p>
    <w:p w:rsidR="0085709A" w:rsidRDefault="0085709A" w:rsidP="0085709A">
      <w:pPr>
        <w:pStyle w:val="TextoNormal"/>
      </w:pPr>
    </w:p>
    <w:p w:rsidR="0085709A" w:rsidRDefault="0085709A" w:rsidP="0085709A">
      <w:pPr>
        <w:pStyle w:val="TextoNormal"/>
      </w:pPr>
      <w:r w:rsidRPr="0085709A">
        <w:rPr>
          <w:rStyle w:val="NumeroAFNegritaCaracter"/>
        </w:rPr>
        <w:t>7</w:t>
      </w:r>
      <w:r>
        <w:t>. Una vez que hemos entrado en el examen de las competencias concernidas, conviene abordar directamente el examen del motivo cuarto del recurso (según el orden del recurrente), posponiendo momentáneamente el del tercero. Se trata del motivo que antes hemos dejado simplemente apuntado, en el que se denuncia la invasión de las competencias propias de la comunidad foral en materia de función pública, reconocidas en el art. 49.1 b) LORAFNA. Establece el indicado precepto: “[e]n virtud de su régimen foral, corresponde a Navarra la competencia exclusiva sobre las siguientes materias: … Régimen estatutario de los funcionarios públicos de la Comunidad Foral, respetando los derechos y obligaciones esenciales que la legislación básica del Estado reconozca a los funcionarios públicos”.</w:t>
      </w:r>
    </w:p>
    <w:p w:rsidR="0085709A" w:rsidRDefault="0085709A" w:rsidP="0085709A">
      <w:pPr>
        <w:pStyle w:val="TextoNormal"/>
      </w:pPr>
    </w:p>
    <w:p w:rsidR="0085709A" w:rsidRDefault="0085709A" w:rsidP="0085709A">
      <w:pPr>
        <w:pStyle w:val="TextoNormal"/>
      </w:pPr>
      <w:r>
        <w:t>Sin embargo, como acabamos de ver, nuestra doctrina no encuadra las medidas de contención de gastos de personal en el marco de las competencias en materia de “funcionarios públicos” [arts. 149.1.18 CE y 49.1 b) LORAFNA], sino que las sitúa bajo el de las bases y coordinación de la planificación general de la actividad económica del art. 149.1.13 CE. Y ello por dos motivos principales, ya indicados en la temprana STC 63/1986, de 21 de mayo, FJ 11, y reiterados luego en múltiples ocasiones (en particular, para el caso concreto de Navarra, en las SSTC 148/2006, de 11 de mayo, FJ 6, 195/2006, de 22 de junio, FJ 6, y 297/2006, de 11 de octubre, FJ 5, todas ellas bien traídas por el Abogado del Estado).</w:t>
      </w:r>
    </w:p>
    <w:p w:rsidR="0085709A" w:rsidRDefault="0085709A" w:rsidP="0085709A">
      <w:pPr>
        <w:pStyle w:val="TextoNormal"/>
      </w:pPr>
    </w:p>
    <w:p w:rsidR="0085709A" w:rsidRDefault="0085709A" w:rsidP="0085709A">
      <w:pPr>
        <w:pStyle w:val="TextoNormal"/>
      </w:pPr>
      <w:r>
        <w:t>Decíamos en la primera de esas Sentencias referidas al caso concreto de Navarra que “la cuantificación y la limitación de las retribuciones del personal al servicio de las Administraciones públicas no se integran, desde un punto de vista material, en el régimen estatutario de los funcionarios públicos …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retributivos de los funcionarios públicos” (STC 148/2006, FJ 6).</w:t>
      </w:r>
    </w:p>
    <w:p w:rsidR="0085709A" w:rsidRDefault="0085709A" w:rsidP="0085709A">
      <w:pPr>
        <w:pStyle w:val="TextoNormal"/>
      </w:pPr>
    </w:p>
    <w:p w:rsidR="0085709A" w:rsidRDefault="0085709A" w:rsidP="0085709A">
      <w:pPr>
        <w:pStyle w:val="TextoNormal"/>
      </w:pPr>
      <w:r>
        <w:t xml:space="preserve">A su vez, en la última de las Sentencias citadas recapitulamos lo dicho en las demás para concluir, resumidamente, lo siguiente: “[b]asta remitirse, asimismo, a los fundamentos jurídicos 5, 6, 7 y 8 de la STC 148/2006, de 11 de mayo (a los que también se remite expresamente la STC 195/2006, de 22 de junio, en su FJ 6), para rechazar las alegaciones de los representantes forales en relación con una vinculación menos intensa de la Comunidad de Navarra a los límites retributivos establecidos por el legislador estatal. Aunque es esta una </w:t>
      </w:r>
      <w:r>
        <w:lastRenderedPageBreak/>
        <w:t>cuestión que ha centrado en gran medida el debate entre las partes, en dichos fundamentos jurídicos concluimos que ni los derechos históricos invocados por los representantes forales, ni los arts. 49.1 b), 45 y 64 LORAFNA, ni el hecho de haber suscrito con la Administración central un escenario de consolidación presupuestaria permiten flexibilizar la vinculación de la Comunidad Foral de Navarra a dichos límites básicos” (STC 297/2006, FJ 5).</w:t>
      </w:r>
    </w:p>
    <w:p w:rsidR="0085709A" w:rsidRDefault="0085709A" w:rsidP="0085709A">
      <w:pPr>
        <w:pStyle w:val="TextoNormal"/>
      </w:pPr>
    </w:p>
    <w:p w:rsidR="0085709A" w:rsidRDefault="0085709A" w:rsidP="0085709A">
      <w:pPr>
        <w:pStyle w:val="TextoNormal"/>
      </w:pPr>
      <w:r>
        <w:t>Por consiguiente, y de conformidad con nuestra doctrina, la medida recurrida responde, por su naturaleza y contenido, al legítimo ejercicio de las competencias que al Estado atribuye el art. 149.1.13 CE, y no el núm. 18 del mismo precepto. En consecuencia, la queja del Parlamento de Navarra amparada en este último número del precepto (el art. 149.1.18) debe ser rechazada.</w:t>
      </w:r>
    </w:p>
    <w:p w:rsidR="0085709A" w:rsidRDefault="0085709A" w:rsidP="0085709A">
      <w:pPr>
        <w:pStyle w:val="TextoNormal"/>
      </w:pPr>
    </w:p>
    <w:p w:rsidR="0085709A" w:rsidRDefault="0085709A" w:rsidP="0085709A">
      <w:pPr>
        <w:pStyle w:val="TextoNormal"/>
      </w:pPr>
      <w:r w:rsidRPr="0085709A">
        <w:rPr>
          <w:rStyle w:val="NumeroAFNegritaCaracter"/>
        </w:rPr>
        <w:t>8</w:t>
      </w:r>
      <w:r>
        <w:t>. Llegados a este punto, no queda más que examinar el tercero de los motivos deducidos por el Parlamento de Navarra. Se alega en él una supuesta vulneración del principio de seguridad jurídica del art. 9.3 CE, entendido en su vertiente de confianza legítima, al haberse aprobado el Real Decreto-ley recurrido, de 13 de julio de 2012, solamente catorce días después de la aprobación de los presupuestos generales del Estado para ese mismo año (Ley 2/2012, de 29 de junio), presupuestos que son justamente afectados por la medida aquí recurrida. Se conecta también ese artículo 9.3 con el art. 134.5 CE, que dice: “[a]probados los Presupuestos Generales del Estado, el Gobierno podrá presentar proyectos de ley que impliquen aumento del gasto público o disminución de los ingresos correspondientes al mismo ejercicio presupuestario”. Para la Cámara navarra, si no se anula esta modificación tan temprana de la ley de presupuestos, se estará permitiendo en realidad al Estado “deshacer el presupuesto por partes”.</w:t>
      </w:r>
    </w:p>
    <w:p w:rsidR="0085709A" w:rsidRDefault="0085709A" w:rsidP="0085709A">
      <w:pPr>
        <w:pStyle w:val="TextoNormal"/>
      </w:pPr>
    </w:p>
    <w:p w:rsidR="0085709A" w:rsidRDefault="0085709A" w:rsidP="0085709A">
      <w:pPr>
        <w:pStyle w:val="TextoNormal"/>
      </w:pPr>
      <w:r>
        <w:t>Por lo que respecta a la aplicación de este último precepto, en los AATC 179/2011 y 180/2011 ya se analizó ampliamente esa posibilidad. Se explicó allí que “en el presente caso no estamos ante una modificación de la ley de presupuestos que suponga incremento de gastos o disminución de ingresos, sino ante medidas excepcionales de restricción del gasto público, entre ellas la reducción de la cuantía de las retribuciones de los funcionarios, para hacer frente a una situación económica de extraordinaria y urgente necesidad, por lo que la utilización del decreto-ley para adoptar esas medidas, modificando la Ley de presupuestos generales del Estado vigente para el ejercicio en curso, resulta constitucionalmente válida” (FJ 8).</w:t>
      </w:r>
    </w:p>
    <w:p w:rsidR="0085709A" w:rsidRDefault="0085709A" w:rsidP="0085709A">
      <w:pPr>
        <w:pStyle w:val="TextoNormal"/>
      </w:pPr>
    </w:p>
    <w:p w:rsidR="0085709A" w:rsidRDefault="0085709A" w:rsidP="0085709A">
      <w:pPr>
        <w:pStyle w:val="TextoNormal"/>
      </w:pPr>
      <w:r>
        <w:t>La perspectiva de los principios de seguridad jurídica y confianza legítima no permite modificar esta conclusión. Conviene partir de que ni esos principios permiten consagrar un pretendido derecho a la “congelación del ordenamiento jurídico existente” (SSTC 182/1997, de 28 de octubre, FJ 13, y 183/2014, de 6 de noviembre, FJ 3) ni, evidentemente, pueden impedir la introducción de modificaciones legislativa repentinas, máxime cuando lo hace el legislador de urgencia (STC 237/2012, de 13 de diciembre, FJ 6). En estos casos, es precisamente la perentoriedad de la reacción legislativa —cuya concurrencia en este caso ha sido ya examinada— la que abre la puerta a la injerencia del Gobierno en la legislación vigente, al amparo del art. 86.1 CE. De modo que solamente en casos de modificaciones “absolutamente imprevisibles” hemos dejado la puerta abierta a una posible vulneración de esos principios. [STC 173/1996, de 13 de octubre, FJ 5 B)].</w:t>
      </w:r>
    </w:p>
    <w:p w:rsidR="0085709A" w:rsidRDefault="0085709A" w:rsidP="0085709A">
      <w:pPr>
        <w:pStyle w:val="TextoNormal"/>
      </w:pPr>
    </w:p>
    <w:p w:rsidR="0085709A" w:rsidRDefault="0085709A" w:rsidP="0085709A">
      <w:pPr>
        <w:pStyle w:val="TextoNormal"/>
      </w:pPr>
      <w:r>
        <w:lastRenderedPageBreak/>
        <w:t>Pues bien, es palmario que esa circunstancia de absoluta imprevisibilidad no se da en este caso. Existían en aquel momento datos que permitían a los afectados esperar una medida como la adoptada, en particular (i) la existencia de otras medidas previas de contención de gasto como la ya citada reducción de retribuciones a los empleados públicos aprobada por Real Decreto-ley 8/2010, de 20 de mayo (objeto de los tantas veces citados AATC 179/2011 y 180/2011), (ii) la evidencia de que una de las partidas presupuestarias más elevadas y más asequibles para el Estado es, justamente, la de los salarios de su personal. Desde esta perspectiva, la medida aprobada no puede calificarse de “absolutamente imprevisible” para sus destinatarios (iii) y, en fin, el alcance general de la medida, que se proyectó sobre todas las Administraciones y sobre el conjunto de su personal, diferencia aún más este caso del “aumento significativo” que los singulares afectados por una tasa tuvieron que padecer en el caso de la citada STC 173/1996.</w:t>
      </w:r>
    </w:p>
    <w:p w:rsidR="0085709A" w:rsidRDefault="0085709A" w:rsidP="0085709A">
      <w:pPr>
        <w:pStyle w:val="TextoNormal"/>
      </w:pPr>
    </w:p>
    <w:p w:rsidR="0085709A" w:rsidRDefault="0085709A" w:rsidP="0085709A">
      <w:pPr>
        <w:pStyle w:val="TextoNormal"/>
      </w:pPr>
      <w:r>
        <w:t>Que solamente catorce días antes del Real Decreto-ley impugnado se hubiese aprobado por las Cortes la Ley de presupuestos no contradice lo anterior. Sin perjuicio de lo decidido en circunstancias particulares, puede afirmarse con carácter general que la Ley de presupuestos solamente contiene la autorización de gastos del Estado, pero la simple previsión del gasto, cuya supresión o ahorro es la falta que aquí se denuncia, no genera ningún derecho adicional al previamente reconocido por el ordenamiento, y que es precisamente el que motiva la previsión de ese gasto en la Ley de presupuestos. Quiere con ello decirse que la previsión del gasto en la ley de presupuestos no añadía nada al derecho a la paga extraordinaria de los empleados públicos reconocido en el art. 22.4 de la Ley del estatuto del empleado público. Y esta previsión normativa, como ya hemos dicho, no generaba por sí sola un pretendido derecho a su mantenimiento frente al legislador, ni frente al legislador de urgencia. Por consiguiente, y siendo esta la única perspectiva de vulneración del art. 9.3 CE que ha aportado el recurrente, la de la seguridad jurídica, este último motivo del recurso debe ser igualmente rechazado.</w:t>
      </w:r>
    </w:p>
    <w:p w:rsidR="0085709A" w:rsidRDefault="0085709A" w:rsidP="0085709A">
      <w:pPr>
        <w:pStyle w:val="TextoNormal"/>
      </w:pPr>
    </w:p>
    <w:p w:rsidR="0085709A" w:rsidRDefault="0085709A" w:rsidP="0085709A">
      <w:pPr>
        <w:pStyle w:val="TextoNormal"/>
      </w:pPr>
      <w:r>
        <w:t>Procede, en definitiva, y por todo lo hasta aquí expuesto, desestimar el recurso interpuesto por el Parlamento de Navarra contra el art. 2 del Real Decreto-ley 20/2012, de 13 de julio.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recurso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5" w:name="SENTENCIA_2015_82"/>
      <w:r>
        <w:lastRenderedPageBreak/>
        <w:t>SENTENCIA 82/2015, de 30 de abril de 2015</w:t>
      </w:r>
    </w:p>
    <w:bookmarkEnd w:id="85"/>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ECLI:ES:TC:2015:82</w:t>
      </w:r>
    </w:p>
    <w:p w:rsidR="0085709A" w:rsidRDefault="0085709A" w:rsidP="0085709A">
      <w:pPr>
        <w:pStyle w:val="TextoNormalCentrado"/>
      </w:pPr>
    </w:p>
    <w:p w:rsidR="0085709A" w:rsidRDefault="0085709A" w:rsidP="0085709A">
      <w:pPr>
        <w:pStyle w:val="SntesisDescriptiva"/>
      </w:pPr>
      <w:r>
        <w:t>Recurso de amparo 5985-2012. Promovido por el Ayuntamiento de Málaga en relación con el Auto de la Sala de lo Contencioso-Administrativo del Tribunal Supremo que inadmitió su recurso de casación frente a la Sentencia de la Audiencia Nacional sobre sanción impuesta por la Comisión del Mercado de las Telecomunicaciones.</w:t>
      </w:r>
    </w:p>
    <w:p w:rsidR="0085709A" w:rsidRDefault="0085709A" w:rsidP="0085709A">
      <w:pPr>
        <w:pStyle w:val="SntesisDescriptiva"/>
      </w:pPr>
    </w:p>
    <w:p w:rsidR="0085709A" w:rsidRDefault="0085709A" w:rsidP="0085709A">
      <w:pPr>
        <w:pStyle w:val="SntesisAnaltica"/>
      </w:pPr>
      <w:r>
        <w:t>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w:t>
      </w:r>
    </w:p>
    <w:p w:rsidR="0085709A" w:rsidRDefault="0085709A" w:rsidP="0085709A">
      <w:pPr>
        <w:pStyle w:val="SntesisAnaltica"/>
      </w:pPr>
    </w:p>
    <w:p w:rsidR="0085709A" w:rsidRDefault="0085709A" w:rsidP="0085709A">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85709A" w:rsidRDefault="0085709A" w:rsidP="0085709A">
      <w:pPr>
        <w:pStyle w:val="Extracto"/>
      </w:pPr>
    </w:p>
    <w:p w:rsidR="0085709A" w:rsidRDefault="0085709A" w:rsidP="0085709A">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85709A" w:rsidRDefault="0085709A" w:rsidP="0085709A">
      <w:pPr>
        <w:pStyle w:val="Extracto"/>
      </w:pPr>
    </w:p>
    <w:p w:rsidR="0085709A" w:rsidRDefault="0085709A" w:rsidP="0085709A">
      <w:pPr>
        <w:pStyle w:val="Extracto"/>
      </w:pPr>
      <w:r>
        <w:t>3.</w:t>
      </w:r>
      <w:r>
        <w:tab/>
        <w:t>No concurren las excepcionales circunstancias apreciadas en el caso resuelto en la STC 7/2015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González-Trevijano Sánchez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5985-2012, promovido por el Ayuntamiento de Málaga, representada por el Procurador de los Tribunales don Vicente Ruigómez Muriedas y asistida por el Abogado don Sergio Verdier Hernández, contra el Auto de la Sección Primera de la Sala de lo Contencioso-Administrativo del Tribunal Supremo, de fecha 10 de mayo de 2012, </w:t>
      </w:r>
      <w:r>
        <w:lastRenderedPageBreak/>
        <w:t>que resolvió la inadmisión del recurso de casación núm. 6176-2011, interpuesto por la entidad demandante, y contra la providencia, de fecha 10 de septiembre del 2012, que inadmitió el incidente de nulidad de actuaciones interpuesto contra la resolución precedente. Ha comparecido el Abogado del Estado, en la representación que ostenta, y ha intervenido el Ministerio Fiscal.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24 de octubre del 2012 tuvo entrada en el Registro General de este Tribunal el escrito presentado por el Procurador de los Tribunales don Vicente Ruigómez Muriedas, actuando en nombre y representación del Ayuntamiento de Málaga y bajo la dirección letrada del Abogado don Sergio Verdier Hernández, mediante el cual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El Ayuntamiento de Málaga interpuso recurso contencioso-administrativo contra el acuerdo del Consejo de la Comisión del Mercado de las Telecomunicaciones, de fecha 18 de febrero de 2010, en cuya virtud le fue impuesta una sanción de 300.000 €, se le intimó a realizar la notificación fehaciente prevista en el art. 6.2 de la Ley general de telecomunicaciones, y a que abonase el importe de la tasa general de operadores prevista en el art. 56.2 de la referida Ley, y contra el acuerdo del indicado Consejo, de fecha 13 de mayo de 2011, que resolvió la inscribir de oficio al mencionado Ayuntamiento en el registro de operadores de redes y servicios de comunicaciones electrónicas.</w:t>
      </w:r>
    </w:p>
    <w:p w:rsidR="0085709A" w:rsidRDefault="0085709A" w:rsidP="0085709A">
      <w:pPr>
        <w:pStyle w:val="TextoNormal"/>
      </w:pPr>
    </w:p>
    <w:p w:rsidR="0085709A" w:rsidRDefault="0085709A" w:rsidP="0085709A">
      <w:pPr>
        <w:pStyle w:val="TextoNormal"/>
      </w:pPr>
      <w:r>
        <w:t>b) Seguido el procedimiento por sus trámites, con el núm. 180-2010, la Sala de lo Contencioso-Administrativo de la Audiencia Nacional (Sección Octava) dictó, en fecha 1 de septiembre de 2011, Sentencia desestimatoria de las pretensiones del demandante de amparo.</w:t>
      </w:r>
    </w:p>
    <w:p w:rsidR="0085709A" w:rsidRDefault="0085709A" w:rsidP="0085709A">
      <w:pPr>
        <w:pStyle w:val="TextoNormal"/>
      </w:pPr>
    </w:p>
    <w:p w:rsidR="0085709A" w:rsidRDefault="0085709A" w:rsidP="0085709A">
      <w:pPr>
        <w:pStyle w:val="TextoNormal"/>
      </w:pPr>
      <w:r>
        <w:t>c) Mediante escrito presentado el día 23 de septiembre de 2011, el Ayuntamiento de Málaga formuló escrito de preparación del recurso de casación contra la Sentencia recaída en la instancia. En dicho escrito puso de manifiesto la intención de interponer recurso de casación y, a su vez, indicó que el recurso iba a fundarse en los motivos previstos en los arts. 88.1 c) y 88.1 d) de la Ley reguladora de la jurisdicción contencioso-administrativa (LJCA).</w:t>
      </w:r>
    </w:p>
    <w:p w:rsidR="0085709A" w:rsidRDefault="0085709A" w:rsidP="0085709A">
      <w:pPr>
        <w:pStyle w:val="TextoNormal"/>
      </w:pPr>
    </w:p>
    <w:p w:rsidR="0085709A" w:rsidRDefault="0085709A" w:rsidP="0085709A">
      <w:pPr>
        <w:pStyle w:val="TextoNormal"/>
      </w:pPr>
      <w:r>
        <w:t xml:space="preserve">d) Por diligencia de ordenación de fecha 29 de noviembre de 2011, la Sala de lo Contencioso-Administrativo de la Audiencia Nacional tuvo por preparado el recurso de casación. Asimismo, dicho órgano acordó emplazar al recurrente para que compareciera ante la Sala Tercera del Tribunal Supremo. Una vez recibidas las actuaciones por el órgano </w:t>
      </w:r>
      <w:r w:rsidRPr="0085709A">
        <w:rPr>
          <w:i/>
        </w:rPr>
        <w:t>ad quem</w:t>
      </w:r>
      <w:r>
        <w:t>, el día 16 de enero del 2012 la actora interpuso el recurso de casación ante la Sala Tercera del Tribunal Supremo. El recurso de casación fue registrado con el núm. 6176-2011.</w:t>
      </w:r>
    </w:p>
    <w:p w:rsidR="0085709A" w:rsidRDefault="0085709A" w:rsidP="0085709A">
      <w:pPr>
        <w:pStyle w:val="TextoNormal"/>
      </w:pPr>
    </w:p>
    <w:p w:rsidR="0085709A" w:rsidRDefault="0085709A" w:rsidP="0085709A">
      <w:pPr>
        <w:pStyle w:val="TextoNormal"/>
      </w:pPr>
      <w:r>
        <w:t xml:space="preserve">e) Por providencia de 23 de febrero de 2012, la Sala Tercera del Tribunal Supremo confirió traslado a las partes, a fin que formularan alegaciones sobre la posible concurrencia de </w:t>
      </w:r>
      <w:r>
        <w:lastRenderedPageBreak/>
        <w:t>la causa de inadmisión, consistente en no haber citado en el escrito de preparación las infracciones normativas o jurisprudenciales que iban a desarrollarse en el escrito de interposición (arts. 88.1 y 89.1 LJCA).</w:t>
      </w:r>
    </w:p>
    <w:p w:rsidR="0085709A" w:rsidRDefault="0085709A" w:rsidP="0085709A">
      <w:pPr>
        <w:pStyle w:val="TextoNormal"/>
      </w:pPr>
    </w:p>
    <w:p w:rsidR="0085709A" w:rsidRDefault="0085709A" w:rsidP="0085709A">
      <w:pPr>
        <w:pStyle w:val="TextoNormal"/>
      </w:pPr>
      <w:r>
        <w:t xml:space="preserve">f) El 14 de marzo de 2012 la entidad demandante evacuó el traslado conferido, interesando la admisión a trámite del recurso de casación. En síntesis, consideró que el Tribunal Supremo no había resuelto definitivamente sobre sí es preceptivo indicar, en el escrito de preparación del recurso de casación, las concretas infracciones normativas o jurisprudenciales en que se pretenda sustentar el recurso; que, en cualquier caso, el Tribunal </w:t>
      </w:r>
      <w:r w:rsidRPr="0085709A">
        <w:rPr>
          <w:i/>
        </w:rPr>
        <w:t>a quo</w:t>
      </w:r>
      <w:r>
        <w:t xml:space="preserve"> ha sanado esa eventual deficiencia, al considerar debidamente preparado el recurso; que el recurso de casación se interpuso con anterioridad a que el Tribunal Supremo advirtiera el posible defecto habido en el escrito de preparación, de manera que igualmente habría quedado subsanada la omisión inicial; y, por último, que en la fecha en que se preparó el recurso de casación aún no se habían publicado, en las bases de datos de uso habitual, aquellas resoluciones que recogían el cambio de criterio jurisprudencial.</w:t>
      </w:r>
    </w:p>
    <w:p w:rsidR="0085709A" w:rsidRDefault="0085709A" w:rsidP="0085709A">
      <w:pPr>
        <w:pStyle w:val="TextoNormal"/>
      </w:pPr>
    </w:p>
    <w:p w:rsidR="0085709A" w:rsidRDefault="0085709A" w:rsidP="0085709A">
      <w:pPr>
        <w:pStyle w:val="TextoNormal"/>
      </w:pPr>
      <w:r>
        <w:t>g) Por Auto de 10 de mayo de 2012, la Sala Tercera del Tribunal Supremo (Sección Primera) acordó la inadmisión del recurso de casación. La Sala se remitió a la doctrina establecida en ATS de 10 de febrero de 2011 y concluyó que no habiéndose citado, en el escrito de preparación del recurso formalizado por la sociedad recurrente, las infracciones normativas o jurisprudenciales que iban a desarrollarse en el escrito de interposición, procedía la inadmisión del recurso de casación. Por otro lado, la Sala consideró de aplicación lo que la doctrina constitucional ha calificado como “mínimo efecto retroactivo”, de manera que el nuevo criterio jurisprudencial resulta extensible a todo supuesto o situación jurídica que tenga ante sí para resolver, con independencia del momento temporal en que se interpuso el recurso. Finalmente, el órgano judicial citado entendió que el defecto advertido en el escrito de preparación no puede ser sanado por actuaciones procesales posteriores, habida cuenta de que, conforme establece el art. 93. 2 a) LJCA, la inadmisión del recurso deviene imperativa cuando no se han cumplimentado los requisitos del escrito de preparación.</w:t>
      </w:r>
    </w:p>
    <w:p w:rsidR="0085709A" w:rsidRDefault="0085709A" w:rsidP="0085709A">
      <w:pPr>
        <w:pStyle w:val="TextoNormal"/>
      </w:pPr>
    </w:p>
    <w:p w:rsidR="0085709A" w:rsidRDefault="0085709A" w:rsidP="0085709A">
      <w:pPr>
        <w:pStyle w:val="TextoNormal"/>
      </w:pPr>
      <w:r>
        <w:t>h) En fecha 19 de junio de 2012, el Ayuntamiento de Málaga promovió incidente de nulidad de actuaciones en el que, con una extensa argumentación, alegó la vulneración del derecho a la igualdad en la aplicación judicial de la ley (art. 14 CE) y del derecho a la tutela judicial efectiva en su vertiente de acceso a los recursos (art. 24.1 CE).</w:t>
      </w:r>
    </w:p>
    <w:p w:rsidR="0085709A" w:rsidRDefault="0085709A" w:rsidP="0085709A">
      <w:pPr>
        <w:pStyle w:val="TextoNormal"/>
      </w:pPr>
    </w:p>
    <w:p w:rsidR="0085709A" w:rsidRDefault="0085709A" w:rsidP="0085709A">
      <w:pPr>
        <w:pStyle w:val="TextoNormal"/>
      </w:pPr>
      <w:r>
        <w:t>i) Por providencia de 10 de septiembre de 2012 fue inadmitido el incidente de nulidad de actuaciones promovido contra el Auto de inadmisión del recurso de casación. En esencia, el órgano judicial considera que la demandante se limita a discrepar de las razones tenidas en consideración para inadmitir el recurso de casación, asimilando el incidente de nulidad a un recurso de reposición.</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aduce la vulneración del derecho a la igualdad en la aplicación judicial de la ley (art 14 CE) y del derecho a la tutela judicial efectiva sin indefensión, en su vertiente del acceso a los recursos (art. 24.1 CE). En síntesis, tales vulneraciones tienen el siguiente fundamento:</w:t>
      </w:r>
    </w:p>
    <w:p w:rsidR="0085709A" w:rsidRDefault="0085709A" w:rsidP="0085709A">
      <w:pPr>
        <w:pStyle w:val="TextoNormal"/>
      </w:pPr>
    </w:p>
    <w:p w:rsidR="0085709A" w:rsidRDefault="0085709A" w:rsidP="0085709A">
      <w:pPr>
        <w:pStyle w:val="TextoNormal"/>
      </w:pPr>
      <w:r>
        <w:lastRenderedPageBreak/>
        <w:t>a) El nuevo criterio jurisprudencial violenta el tenor de la norma legal, concretamente el art. 89.1 LJCA, pues exige cumplimentar, en el escrito de preparación del recurso de casación, un requisito que solamente está previsto para la interposición del recurso citado. Por tanto, la interpretación efectuada por el Tribunal Supremo, acerca de los requisitos de forma que deben cumplimentarse en el escrito de preparación, es irrazonable y atenta contra el principio de seguridad jurídica (art. 9.3 CE)</w:t>
      </w:r>
    </w:p>
    <w:p w:rsidR="0085709A" w:rsidRDefault="0085709A" w:rsidP="0085709A">
      <w:pPr>
        <w:pStyle w:val="TextoNormal"/>
      </w:pPr>
    </w:p>
    <w:p w:rsidR="0085709A" w:rsidRDefault="0085709A" w:rsidP="0085709A">
      <w:pPr>
        <w:pStyle w:val="TextoNormal"/>
      </w:pPr>
      <w:r>
        <w:t>b) El cambio de criterio jurisprudencial no está debidamente motivado, pues en las resoluciones combatidas no se explican las razones que han llevado al Tribunal Supremo a cambiar su doctrina. Además, dicho órgano no ha reflejado el cambio de criterio a través de un acuerdo no jurisdiccional, figura regulada en el art. 246 de la Ley Orgánica del Poder Judicial (LOPJ), lo cual ha dificultado seriamente las posibilidades de conocer las nuevas pautas jurisprudenciales, en el momento de preparar el recurso de casación.</w:t>
      </w:r>
    </w:p>
    <w:p w:rsidR="0085709A" w:rsidRDefault="0085709A" w:rsidP="0085709A">
      <w:pPr>
        <w:pStyle w:val="TextoNormal"/>
      </w:pPr>
    </w:p>
    <w:p w:rsidR="0085709A" w:rsidRDefault="0085709A" w:rsidP="0085709A">
      <w:pPr>
        <w:pStyle w:val="TextoNormal"/>
      </w:pPr>
      <w:r>
        <w:t>c) El Tribunal Supremo no ha tenido en cuenta que, tanto la admisión del escrito de preparación por la Sala de lo Contencioso-Administrativo de la Audiencia Nacional, como la subsiguiente interposición del recurso de casación, han sanado las eventuales deficiencias del referido escrito.</w:t>
      </w:r>
    </w:p>
    <w:p w:rsidR="0085709A" w:rsidRDefault="0085709A" w:rsidP="0085709A">
      <w:pPr>
        <w:pStyle w:val="TextoNormal"/>
      </w:pPr>
    </w:p>
    <w:p w:rsidR="0085709A" w:rsidRDefault="0085709A" w:rsidP="0085709A">
      <w:pPr>
        <w:pStyle w:val="TextoNormal"/>
      </w:pPr>
      <w:r>
        <w:t>d) En el presente caso se ha producido una modificación irreflexiva y arbitraria de un criterio jurisprudencial consolidado, que es contraria al principio de igualdad (art. 14 CE). Además, el criterio asentado por el ATS de 10 de febrero de 2011 no ha sido aplicado de manera unánime por el Tribunal Supremo; y así en el AATS de 10 de febrero de 2011 (recurso 2706-2010) y 17 de marzo de 2011 (recurso 3163-2010) y en las SSTS de 7 de julio de 2011 (recurso 6230-2006) y 27 de septiembre de 2011(recurso 6059-2009) se continuó aplicando la doctrina precedente.</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de fecha 18 de septiembre de 2013, el Magistrado de este Tribunal don Juan José González Rivas solicitó se le tuviera por abstenido en el presente recurso, dada la concurrencia de la causa de abstención prevista en el art. 219.11 LOPJ, de aplicación supletoria conforme a lo establecido en el art. 80 de la Ley Orgánica del Tribunal Constitucional (LOTC), habida cuenta de que formó parte de la Sección Primera de la Sala Tercera del Tribunal Supremo, órgano este que dictó el Auto de inadmisión de 10 de mayo de 2012,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6176-2011 y al recurso núm. 180-2010, respectivamente, debiendo previamente emplazarse para que pudieran comparecer en el recurso de amparo, en el término de diez días, a quienes hubieran sido parte en el procedimiento, excepto a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Mediante escrito de fecha 28 de octubre de 2013, el Abogado del Estado, en la representación que le es propia, solicitó que se le tuviera por personado y parte en el presente recurso.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fecha 21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presentó sus alegaciones mediante escrito registrado el día 18 de diciembre de 2013. En síntesis, considera que, a la luz de la doctrina constitucional, el Auto de inadmisión combatido en amparo vulnera el derecho al acceso a los recursos que garantiza el art. 24.1 CE. Para el Abogado del Estado el auténtico problema constitucional que la demanda suscita radica en la aplicación retrospectiva de las nuevas máximas jurisprudenciales plasmadas en el ATS de 10 de febrero de 2011, que la demandante razonablemente no podía conocer cuando preparó el recurso de casación. En el presente caso, la inadmisión del recurso de casación se sustenta, precisamente, en que no se preparó conforme a las referidas máximas, lo que comporta imponer retroactivamente un novedoso régimen procesal desfavorable a la realización de un acto procesal totalmente concluido.</w:t>
      </w:r>
    </w:p>
    <w:p w:rsidR="0085709A" w:rsidRDefault="0085709A" w:rsidP="0085709A">
      <w:pPr>
        <w:pStyle w:val="TextoNormal"/>
      </w:pPr>
    </w:p>
    <w:p w:rsidR="0085709A" w:rsidRDefault="0085709A" w:rsidP="0085709A">
      <w:pPr>
        <w:pStyle w:val="TextoNormal"/>
      </w:pPr>
      <w:r>
        <w:t>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0085709A" w:rsidRDefault="0085709A" w:rsidP="0085709A">
      <w:pPr>
        <w:pStyle w:val="TextoNormal"/>
      </w:pPr>
    </w:p>
    <w:p w:rsidR="0085709A" w:rsidRDefault="0085709A" w:rsidP="0085709A">
      <w:pPr>
        <w:pStyle w:val="TextoNormal"/>
      </w:pPr>
      <w:r w:rsidRPr="0085709A">
        <w:rPr>
          <w:rStyle w:val="NumeroAFNegritaCaracter"/>
        </w:rPr>
        <w:t>9</w:t>
      </w:r>
      <w:r>
        <w:t>. Por escrito de fecha 26 de diciembre del 2013, el Ayuntamiento de Málaga formuló sus alegaciones. En esencia, dicha entidad se remite a lo ya manifestado en el escrito de demanda, reiterando las pretensiones interesadas en dicho escrito.</w:t>
      </w:r>
    </w:p>
    <w:p w:rsidR="0085709A" w:rsidRDefault="0085709A" w:rsidP="0085709A">
      <w:pPr>
        <w:pStyle w:val="TextoNormal"/>
      </w:pPr>
    </w:p>
    <w:p w:rsidR="0085709A" w:rsidRDefault="0085709A" w:rsidP="0085709A">
      <w:pPr>
        <w:pStyle w:val="TextoNormal"/>
      </w:pPr>
      <w:r w:rsidRPr="0085709A">
        <w:rPr>
          <w:rStyle w:val="NumeroAFNegritaCaracter"/>
        </w:rPr>
        <w:t>10</w:t>
      </w:r>
      <w:r>
        <w:t xml:space="preserve">. El Ministerio Fiscal presentó sus alegaciones mediante escrito registrado el 15 de enero del 2014. Descarta la vulneración del art. 14 CE., ya que el Ayuntamiento demandante no ha aportado un término valido de comparación, dado que ninguna de las resoluciones que cita ha sido dictada en recursos de casación interpuestos contra Sentencias de la Sala de lo Contencioso-Administrativo de la Audiencia Nacional, sino contra Sentencias dictadas por los Tribunales Superiores de Justicia. Por otro lado, las dos Sentencias que el demandante aporta como </w:t>
      </w:r>
      <w:r w:rsidRPr="0085709A">
        <w:rPr>
          <w:i/>
        </w:rPr>
        <w:t>tertium comparationis</w:t>
      </w:r>
      <w:r>
        <w:t xml:space="preserve"> no han sido dictadas por la Sección Primera de la Sala Tercera del Tribunal Supremo, sino por las Secciones Segunda y Cuarta.</w:t>
      </w:r>
    </w:p>
    <w:p w:rsidR="0085709A" w:rsidRDefault="0085709A" w:rsidP="0085709A">
      <w:pPr>
        <w:pStyle w:val="TextoNormal"/>
      </w:pPr>
    </w:p>
    <w:p w:rsidR="0085709A" w:rsidRDefault="0085709A" w:rsidP="0085709A">
      <w:pPr>
        <w:pStyle w:val="TextoNormal"/>
      </w:pPr>
      <w:r>
        <w:t xml:space="preserve">También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w:t>
      </w:r>
      <w:r>
        <w:lastRenderedPageBreak/>
        <w:t>de casación, esto es, la obligación de indicar las concretas infracciones normativas o jurisprudenciales, se desprende del propio tenor de los apartados c) y d) del art. 88 LJCA. Por ello, concluye que el requisito cuyo incumplimiento ha determinado la inadmisión del referido recurso no viene impuesto por la jurisprudencia, sino por la propia normativa legal.</w:t>
      </w:r>
    </w:p>
    <w:p w:rsidR="0085709A" w:rsidRDefault="0085709A" w:rsidP="0085709A">
      <w:pPr>
        <w:pStyle w:val="TextoNormal"/>
      </w:pPr>
    </w:p>
    <w:p w:rsidR="0085709A" w:rsidRDefault="0085709A" w:rsidP="0085709A">
      <w:pPr>
        <w:pStyle w:val="TextoNormal"/>
      </w:pPr>
      <w:r>
        <w:t>Finalmente, el Ministerio Fiscal afirma que cuando la parte demandante formuló el escrito de preparación del recurso de casación —el día 23 de septiembre de 2011— ya estaba vigente la nueva doctrina jurisprudencial iniciada con el ATS 2371/2011, de 10 de febrero; por tanto, nada de extraño tiene que el recurso de casación se inadmitiera en aplicación del criterio establecido en el auto objeto de cita.</w:t>
      </w:r>
    </w:p>
    <w:p w:rsidR="0085709A" w:rsidRDefault="0085709A" w:rsidP="0085709A">
      <w:pPr>
        <w:pStyle w:val="TextoNormal"/>
      </w:pPr>
    </w:p>
    <w:p w:rsidR="0085709A" w:rsidRDefault="0085709A" w:rsidP="0085709A">
      <w:pPr>
        <w:pStyle w:val="TextoNormal"/>
      </w:pPr>
      <w:r w:rsidRPr="0085709A">
        <w:rPr>
          <w:rStyle w:val="NumeroAFNegritaCaracter"/>
        </w:rPr>
        <w:t>11</w:t>
      </w:r>
      <w:r>
        <w:t>.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12 de mayo del 2012,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0085709A" w:rsidRDefault="0085709A" w:rsidP="0085709A">
      <w:pPr>
        <w:pStyle w:val="TextoNormal"/>
      </w:pPr>
    </w:p>
    <w:p w:rsidR="0085709A" w:rsidRDefault="0085709A" w:rsidP="0085709A">
      <w:pPr>
        <w:pStyle w:val="TextoNormal"/>
      </w:pPr>
      <w:r w:rsidRPr="0085709A">
        <w:rPr>
          <w:rStyle w:val="NumeroAFNegritaCaracter"/>
        </w:rPr>
        <w:t>12</w:t>
      </w:r>
      <w:r>
        <w:t>. Mediante providencia de fecha 17 de marzo de 2015, el Pleno, en su reunión de esa fecha y conforme establece el artículo 10.1 n) de la Ley Orgánica del Tribunal Constitucional, a propuesta de la Sala Segunda, acuerda recabar para sí el conocimiento del recurso de amparo.</w:t>
      </w:r>
    </w:p>
    <w:p w:rsidR="0085709A" w:rsidRDefault="0085709A" w:rsidP="0085709A">
      <w:pPr>
        <w:pStyle w:val="TextoNormal"/>
      </w:pPr>
    </w:p>
    <w:p w:rsidR="0085709A" w:rsidRDefault="0085709A" w:rsidP="0085709A">
      <w:pPr>
        <w:pStyle w:val="TextoNormal"/>
      </w:pPr>
      <w:r w:rsidRPr="0085709A">
        <w:rPr>
          <w:rStyle w:val="NumeroAFNegritaCaracter"/>
        </w:rPr>
        <w:t>13</w:t>
      </w:r>
      <w:r>
        <w:t>. Por providencia de fecha 28 de abril de 2015 se señaló para deliberación y fallo de la Sentencia el día 30 del citado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parte demandante de amparo impugna el Auto de la Sección Primera de la Sala de lo Contencioso-Administrativo del Tribunal Supremo de 10 de mayo del 2012, que acordó no admitir a trámite el recurso de casación interpuesto contra la Sentencia de la Sala de lo Contencioso-Administrativo de la Audiencia Nacional (Sección Octava) de 1 de septiembre de 2011, recaída en el procedimiento ordinario núm. 180-2010. También impugna la providencia mediante la que se inadmitió a trámite el incidente de nulidad de actuaciones, de fecha 10 de septiembre de 2012, promovido contra el Auto citado.</w:t>
      </w:r>
    </w:p>
    <w:p w:rsidR="0085709A" w:rsidRDefault="0085709A" w:rsidP="0085709A">
      <w:pPr>
        <w:pStyle w:val="TextoNormal"/>
      </w:pPr>
    </w:p>
    <w:p w:rsidR="0085709A" w:rsidRDefault="0085709A" w:rsidP="0085709A">
      <w:pPr>
        <w:pStyle w:val="TextoNormal"/>
      </w:pPr>
      <w:r>
        <w:t xml:space="preserve">El recurrente, según se expresa con más detalle en los antecedentes de hecho de esta resolución, imputa a las resoluciones recurridas: (i) la vulneración de su derecho a la tutela judicial efectiva (art. 24.1 CE), en su vertiente de acceso a los recursos, porque la inadmisión acordada por el Auto impugnado se funda en un requisito de admisibilidad no exigido por la ley; (ii) la vulneración de su derecho a la tutela judicial efectiva (art. 24.1 CE), en su vertiente de acceso al recurso, dada la falta de explicación, por parte del Tribunal Supremo, </w:t>
      </w:r>
      <w:r>
        <w:lastRenderedPageBreak/>
        <w:t>sobre las razones determinantes del cambio de criterio jurisprudencial; la dificultad de conocer, en el momento de la preparación del recurso de casación, las nuevas pautas estatuidas por el Tribunal Supremo; y porque este órgano judicial no tuvo en cuenta que los eventuales defectos de forma del escrito de preparación quedaron sanados tras la admisión del escrito de preparación y la ulterior interposición del recurso de casación; (iii) la vulneración de su derecho a la igualdad en la aplicación judicial de la ley (art.14 CE), pues entiende que se ha producido una modificación irreflexiva y arbitraria de un criterio jurisprudencial consolidado, que además no se ha mantenido invariablemente en resoluciones posteriores del Tribunal Supremo.</w:t>
      </w:r>
    </w:p>
    <w:p w:rsidR="0085709A" w:rsidRDefault="0085709A" w:rsidP="0085709A">
      <w:pPr>
        <w:pStyle w:val="TextoNormal"/>
      </w:pPr>
    </w:p>
    <w:p w:rsidR="0085709A" w:rsidRDefault="0085709A" w:rsidP="0085709A">
      <w:pPr>
        <w:pStyle w:val="TextoNormal"/>
      </w:pPr>
      <w:r w:rsidRPr="0085709A">
        <w:rPr>
          <w:rStyle w:val="NumeroAFNegritaCaracter"/>
        </w:rPr>
        <w:t>2</w:t>
      </w:r>
      <w:r>
        <w:t>. Los problemas planteados en la demanda de amparo han sido, en esencia,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0085709A" w:rsidRDefault="0085709A" w:rsidP="0085709A">
      <w:pPr>
        <w:pStyle w:val="TextoNormal"/>
      </w:pPr>
    </w:p>
    <w:p w:rsidR="0085709A" w:rsidRDefault="0085709A" w:rsidP="0085709A">
      <w:pPr>
        <w:pStyle w:val="TextoNormal"/>
      </w:pPr>
      <w:r>
        <w:t>De acuerdo con la doctrina establecida en la referida Sentencia, debe descartarse, en primer lugar, que se haya vulnerado el derecho a la tutela judicial efectiva (art. 24.1 CE) por carecer la decisión judicial de la necesaria cobertura legal.</w:t>
      </w:r>
    </w:p>
    <w:p w:rsidR="0085709A" w:rsidRDefault="0085709A" w:rsidP="0085709A">
      <w:pPr>
        <w:pStyle w:val="TextoNormal"/>
      </w:pPr>
    </w:p>
    <w:p w:rsidR="0085709A" w:rsidRDefault="0085709A" w:rsidP="0085709A">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0085709A" w:rsidRDefault="0085709A" w:rsidP="0085709A">
      <w:pPr>
        <w:pStyle w:val="TextoNormal"/>
      </w:pPr>
    </w:p>
    <w:p w:rsidR="0085709A" w:rsidRDefault="0085709A" w:rsidP="0085709A">
      <w:pPr>
        <w:pStyle w:val="TextoNormal"/>
      </w:pPr>
      <w: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w:t>
      </w:r>
      <w:r w:rsidRPr="0085709A">
        <w:rPr>
          <w:i/>
        </w:rPr>
        <w:t>Brualla Gómez de la Torre c. España</w:t>
      </w:r>
      <w:r>
        <w:t xml:space="preserve">, y de 25 de enero de 2005, caso </w:t>
      </w:r>
      <w:r w:rsidRPr="0085709A">
        <w:rPr>
          <w:i/>
        </w:rPr>
        <w:t>Puchol Oliver c. España</w:t>
      </w:r>
      <w:r>
        <w:t>).</w:t>
      </w:r>
    </w:p>
    <w:p w:rsidR="0085709A" w:rsidRDefault="0085709A" w:rsidP="0085709A">
      <w:pPr>
        <w:pStyle w:val="TextoNormal"/>
      </w:pPr>
    </w:p>
    <w:p w:rsidR="0085709A" w:rsidRDefault="0085709A" w:rsidP="0085709A">
      <w:pPr>
        <w:pStyle w:val="TextoNormal"/>
      </w:pPr>
      <w:r>
        <w:t xml:space="preserve">Igualmente relevantes son las Sentencias del Tribunal de Estrasburgo recaídas en los casos </w:t>
      </w:r>
      <w:r w:rsidRPr="0085709A">
        <w:rPr>
          <w:i/>
        </w:rPr>
        <w:t>Sociedad General de Aguas de Barcelona c. España</w:t>
      </w:r>
      <w:r>
        <w:t xml:space="preserve">, de 25 de mayo de 2000; </w:t>
      </w:r>
      <w:r w:rsidRPr="0085709A">
        <w:rPr>
          <w:i/>
        </w:rPr>
        <w:t>Llopis Ruiz c. España</w:t>
      </w:r>
      <w:r>
        <w:t xml:space="preserve">, de 7 noviembre 2003, e </w:t>
      </w:r>
      <w:r w:rsidRPr="0085709A">
        <w:rPr>
          <w:i/>
        </w:rPr>
        <w:t>Ipamark c. España</w:t>
      </w:r>
      <w:r>
        <w:t xml:space="preserve">,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w:t>
      </w:r>
      <w:r>
        <w:lastRenderedPageBreak/>
        <w:t>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85709A" w:rsidRDefault="0085709A" w:rsidP="0085709A">
      <w:pPr>
        <w:pStyle w:val="TextoNormal"/>
      </w:pPr>
    </w:p>
    <w:p w:rsidR="0085709A" w:rsidRDefault="0085709A" w:rsidP="0085709A">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85709A" w:rsidRDefault="0085709A" w:rsidP="0085709A">
      <w:pPr>
        <w:pStyle w:val="TextoNormal"/>
      </w:pPr>
    </w:p>
    <w:p w:rsidR="0085709A" w:rsidRDefault="0085709A" w:rsidP="0085709A">
      <w:pPr>
        <w:pStyle w:val="TextoNormal"/>
      </w:pPr>
      <w:r>
        <w:t>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breve exposición de la concurrencia de los requisitos de forma exigidos”), alcanzando la conclusión de que uno de esos requisitos ha de ser la cita, siquiera sucinta, de las normas y la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0085709A" w:rsidRDefault="0085709A" w:rsidP="0085709A">
      <w:pPr>
        <w:pStyle w:val="TextoNormal"/>
      </w:pPr>
    </w:p>
    <w:p w:rsidR="0085709A" w:rsidRDefault="0085709A" w:rsidP="0085709A">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Debe rechazarse, asimismo, que la exigencia del mencionado requisito viole el derecho a la tutela judicial efectiva (art. 24.1 CE), en su vertiente de acceso a los recursos. 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0085709A" w:rsidRDefault="0085709A" w:rsidP="0085709A">
      <w:pPr>
        <w:pStyle w:val="TextoNormal"/>
      </w:pPr>
    </w:p>
    <w:p w:rsidR="0085709A" w:rsidRDefault="0085709A" w:rsidP="0085709A">
      <w:pPr>
        <w:pStyle w:val="TextoNormal"/>
      </w:pPr>
      <w: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w:t>
      </w:r>
      <w:r w:rsidRPr="0085709A">
        <w:rPr>
          <w:i/>
        </w:rPr>
        <w:t>Unédic contra Francia</w:t>
      </w:r>
      <w:r>
        <w:t xml:space="preserve">, § 74), pues la evolución de la jurisprudencia no es en sí contraria a la correcta administración de justicia, ya que lo contrario impediría cualquier cambio o mejora en la interpretación de las leyes (STEDH de 14 de enero de 2010, caso </w:t>
      </w:r>
      <w:r w:rsidRPr="0085709A">
        <w:rPr>
          <w:i/>
        </w:rPr>
        <w:t>Atanasovski contra la ex República Yugoslava de Macedonia</w:t>
      </w:r>
      <w:r>
        <w:t>, § 38).</w:t>
      </w:r>
    </w:p>
    <w:p w:rsidR="0085709A" w:rsidRDefault="0085709A" w:rsidP="0085709A">
      <w:pPr>
        <w:pStyle w:val="TextoNormal"/>
      </w:pPr>
    </w:p>
    <w:p w:rsidR="0085709A" w:rsidRDefault="0085709A" w:rsidP="0085709A">
      <w:pPr>
        <w:pStyle w:val="TextoNormal"/>
      </w:pPr>
      <w:r>
        <w:lastRenderedPageBreak/>
        <w:t xml:space="preserve">A lo anterior debemos añadir que en el sistema de </w:t>
      </w:r>
      <w:r w:rsidRPr="0085709A">
        <w:rPr>
          <w:i/>
        </w:rPr>
        <w:t>civil law</w:t>
      </w:r>
      <w:r>
        <w:t xml:space="preserve">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w:t>
      </w:r>
      <w:r w:rsidRPr="0085709A">
        <w:rPr>
          <w:i/>
        </w:rPr>
        <w:t>common law</w:t>
      </w:r>
      <w:r>
        <w:t xml:space="preserve">, en el que el precedente actúa como una norma y el </w:t>
      </w:r>
      <w:r w:rsidRPr="0085709A">
        <w:rPr>
          <w:i/>
        </w:rPr>
        <w:t>overruling</w:t>
      </w:r>
      <w:r>
        <w:t xml:space="preserve">, o cambio de precedente, innova el ordenamiento jurídico, con lo que es posible limitar la retroactividad de la decisión judicial, en el Derecho continental los tribunales no están vinculados por la regla del </w:t>
      </w:r>
      <w:r w:rsidRPr="0085709A">
        <w:rPr>
          <w:i/>
        </w:rPr>
        <w:t>prospective overruling</w:t>
      </w:r>
      <w:r>
        <w:t xml:space="preserve">, rigiendo, por el contrario, el </w:t>
      </w:r>
      <w:r w:rsidRPr="0085709A">
        <w:rPr>
          <w:i/>
        </w:rPr>
        <w:t>retrospective overruling</w:t>
      </w:r>
      <w:r>
        <w:t xml:space="preserve"> (sin perjuicio de la excepción que, por disposición legal, establezca el efecto exclusivamente prospectivo de la Sentencia, como así se prevé en el art. 100.7 LJCA en el recurso de casación en interés de ley).</w:t>
      </w:r>
    </w:p>
    <w:p w:rsidR="0085709A" w:rsidRDefault="0085709A" w:rsidP="0085709A">
      <w:pPr>
        <w:pStyle w:val="TextoNormal"/>
      </w:pPr>
    </w:p>
    <w:p w:rsidR="0085709A" w:rsidRDefault="0085709A" w:rsidP="0085709A">
      <w:pPr>
        <w:pStyle w:val="TextoNormal"/>
      </w:pPr>
      <w:r>
        <w:t>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85709A" w:rsidRDefault="0085709A" w:rsidP="0085709A">
      <w:pPr>
        <w:pStyle w:val="TextoNormal"/>
      </w:pPr>
    </w:p>
    <w:p w:rsidR="0085709A" w:rsidRDefault="0085709A" w:rsidP="0085709A">
      <w:pPr>
        <w:pStyle w:val="TextoNormal"/>
      </w:pPr>
      <w:r>
        <w:t>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Finalmente,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w:t>
      </w:r>
      <w:r w:rsidRPr="0085709A">
        <w:rPr>
          <w:i/>
        </w:rPr>
        <w:t>ad personam</w:t>
      </w:r>
      <w:r>
        <w:t xml:space="preserve"> o de ruptura ocasional en una línea que se venga manteniendo con normal uniformidad antes de la decisión divergente o se continúe con posterioridad (por todas, SSTC 105/2009, de 4 de mayo, FJ 4; y 178/2014, de 3 de noviembre, FJ 4).</w:t>
      </w:r>
    </w:p>
    <w:p w:rsidR="0085709A" w:rsidRDefault="0085709A" w:rsidP="0085709A">
      <w:pPr>
        <w:pStyle w:val="TextoNormal"/>
      </w:pPr>
    </w:p>
    <w:p w:rsidR="0085709A" w:rsidRDefault="0085709A" w:rsidP="0085709A">
      <w:pPr>
        <w:pStyle w:val="TextoNormal"/>
      </w:pPr>
      <w:r>
        <w:t xml:space="preserve">De acuerdo con ello, el Auto del Tribunal Supremo impugnado —lejos de ser una decisión particularizada y adoptada </w:t>
      </w:r>
      <w:r w:rsidRPr="0085709A">
        <w:rPr>
          <w:i/>
        </w:rPr>
        <w:t>ad hoc</w:t>
      </w:r>
      <w:r>
        <w:t xml:space="preserve">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0085709A" w:rsidRDefault="0085709A" w:rsidP="0085709A">
      <w:pPr>
        <w:pStyle w:val="TextoNormal"/>
      </w:pPr>
    </w:p>
    <w:p w:rsidR="0085709A" w:rsidRDefault="0085709A" w:rsidP="0085709A">
      <w:pPr>
        <w:pStyle w:val="TextoNormal"/>
      </w:pPr>
      <w:r>
        <w:t xml:space="preserve">Por otro lado, de acuerdo con el criterio mantenido por el Ministerio Fiscal, la parte demandante tampoco ha aportado un </w:t>
      </w:r>
      <w:r w:rsidRPr="0085709A">
        <w:rPr>
          <w:i/>
        </w:rPr>
        <w:t>tertium comparationis</w:t>
      </w:r>
      <w:r>
        <w:t xml:space="preserve"> adecuado para sustentar la vulneración del principio de igualdad en la aplicación de la ley, pues ni las resoluciones que se </w:t>
      </w:r>
      <w:r>
        <w:lastRenderedPageBreak/>
        <w:t>citan en la demanda de amparo vienen referidas a supuestos de hecho equiparables al presente caso, ni tampoco han sido dictadas por la Sección Primera de la Sala Tercera del Tribunal Supremo.</w:t>
      </w:r>
    </w:p>
    <w:p w:rsidR="0085709A" w:rsidRDefault="0085709A" w:rsidP="0085709A">
      <w:pPr>
        <w:pStyle w:val="TextoNormal"/>
      </w:pPr>
    </w:p>
    <w:p w:rsidR="0085709A" w:rsidRDefault="0085709A" w:rsidP="0085709A">
      <w:pPr>
        <w:pStyle w:val="TextoNormal"/>
      </w:pPr>
      <w:r w:rsidRPr="0085709A">
        <w:rPr>
          <w:rStyle w:val="NumeroAFNegritaCaracter"/>
        </w:rPr>
        <w:t>5</w:t>
      </w:r>
      <w:r>
        <w:t>. En consideración a lo argumentado en los anteriores fundamentos jurídicos, procede la desestimación del recurso de amparo interpuesto.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el Ayuntamiento de Málaga.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6" w:name="SENTENCIA_2015_83"/>
      <w:r>
        <w:lastRenderedPageBreak/>
        <w:t>SENTENCIA 83/2015, de 30 de abril de 2015</w:t>
      </w:r>
    </w:p>
    <w:bookmarkEnd w:id="86"/>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ECLI:ES:TC:2015:83</w:t>
      </w:r>
    </w:p>
    <w:p w:rsidR="0085709A" w:rsidRDefault="0085709A" w:rsidP="0085709A">
      <w:pPr>
        <w:pStyle w:val="TextoNormalCentrado"/>
      </w:pPr>
    </w:p>
    <w:p w:rsidR="0085709A" w:rsidRDefault="0085709A" w:rsidP="0085709A">
      <w:pPr>
        <w:pStyle w:val="SntesisDescriptiva"/>
      </w:pPr>
      <w:r>
        <w:t>Cuestión de inconstitucionalidad 1697-2013. Planteada por la Sala de lo Social de la Audiencia Nacional, en relación con el artículo 2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extinción, por pérdida de objeto, de la cuestión de inconstitucionalidad.</w:t>
      </w:r>
    </w:p>
    <w:p w:rsidR="0085709A" w:rsidRDefault="0085709A" w:rsidP="0085709A">
      <w:pPr>
        <w:pStyle w:val="SntesisAnaltica"/>
      </w:pPr>
    </w:p>
    <w:p w:rsidR="0085709A" w:rsidRDefault="0085709A" w:rsidP="0085709A">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[FJ 3].</w:t>
      </w:r>
    </w:p>
    <w:p w:rsidR="0085709A" w:rsidRDefault="0085709A" w:rsidP="0085709A">
      <w:pPr>
        <w:pStyle w:val="Extracto"/>
      </w:pPr>
    </w:p>
    <w:p w:rsidR="0085709A" w:rsidRDefault="0085709A" w:rsidP="0085709A">
      <w:pPr>
        <w:pStyle w:val="Extracto"/>
      </w:pPr>
      <w:r>
        <w:t>2.</w:t>
      </w:r>
      <w:r>
        <w:tab/>
        <w:t>Doctrina sobre las posibles causas de terminación extraordinaria de las cuestiones de inconstitucionalidad por pérdida sobrevenida de objeto [FJ 3].</w:t>
      </w:r>
    </w:p>
    <w:p w:rsidR="0085709A" w:rsidRDefault="0085709A" w:rsidP="0085709A">
      <w:pPr>
        <w:pStyle w:val="Extracto"/>
      </w:pPr>
    </w:p>
    <w:p w:rsidR="0085709A" w:rsidRDefault="0085709A" w:rsidP="0085709A">
      <w:pPr>
        <w:pStyle w:val="Extracto"/>
      </w:pPr>
      <w:r>
        <w:t>3.</w:t>
      </w:r>
      <w:r>
        <w:tab/>
        <w:t>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(STC 22/2010) [FJ 3].</w:t>
      </w:r>
    </w:p>
    <w:p w:rsidR="0085709A" w:rsidRDefault="0085709A" w:rsidP="0085709A">
      <w:pPr>
        <w:pStyle w:val="Extracto"/>
      </w:pPr>
    </w:p>
    <w:p w:rsidR="0085709A" w:rsidRDefault="0085709A" w:rsidP="0085709A">
      <w:pPr>
        <w:pStyle w:val="Extracto"/>
      </w:pPr>
      <w:r>
        <w:t>4.</w:t>
      </w:r>
      <w:r>
        <w:tab/>
        <w:t xml:space="preserve">Como regla general, ni la derogación ni la modificación  de la norma cuestionada provocan la desaparición sobrevenida del objeto de la cuestión, ya que la aplicabilidad de la norma en el proceso </w:t>
      </w:r>
      <w:r w:rsidRPr="0085709A">
        <w:rPr>
          <w:i/>
        </w:rPr>
        <w:t>a quo</w:t>
      </w:r>
      <w:r>
        <w:t>, con el enunciado vigente en el momento de plantearse la cuestión, puede seguir requiriendo el juicio de constitucionalidad (SSTC 11/1983, 101/2009) [FJ 3].</w:t>
      </w:r>
    </w:p>
    <w:p w:rsidR="0085709A" w:rsidRDefault="0085709A" w:rsidP="0085709A">
      <w:pPr>
        <w:pStyle w:val="Extracto"/>
      </w:pPr>
    </w:p>
    <w:p w:rsidR="0085709A" w:rsidRDefault="0085709A" w:rsidP="0085709A">
      <w:pPr>
        <w:pStyle w:val="Extracto"/>
      </w:pPr>
      <w:r>
        <w:t>5.</w:t>
      </w:r>
      <w:r>
        <w:tab/>
        <w:t xml:space="preserve">Cuando la derogación o modificación de una norma determinan que ya no resulte aplicable al proceso </w:t>
      </w:r>
      <w:r w:rsidRPr="0085709A">
        <w:rPr>
          <w:i/>
        </w:rPr>
        <w:t xml:space="preserve">a quo </w:t>
      </w:r>
      <w:r>
        <w:t>la norma cuestionada, o que no dependa de su validez la decisión a adoptar en el mismo, se produce la extinción de la cuestión de inconstitucionalidad, por desaparición sobrevenida de su objeto (STC 101/2012) [FJ 3].</w:t>
      </w:r>
    </w:p>
    <w:p w:rsidR="0085709A" w:rsidRDefault="0085709A" w:rsidP="0085709A">
      <w:pPr>
        <w:pStyle w:val="Extracto"/>
      </w:pPr>
    </w:p>
    <w:p w:rsidR="0085709A" w:rsidRDefault="0085709A" w:rsidP="0085709A">
      <w:pPr>
        <w:pStyle w:val="Extracto"/>
      </w:pPr>
      <w:r>
        <w:t>6.</w:t>
      </w:r>
      <w:r>
        <w:tab/>
        <w:t>Las modificaciones sobrevenidas en la relevancia de la norma cuestionada han de influir necesariamente en la suerte del proceso constitucional abierto, pues el constituyente ha configurado la cuestión de inconstitucionalidad en estrecha relación con el proceso judicial en el que la aplicación de la norma cuestionada sea necesaria, hasta el punto de que de su validez dependa el fallo que ha de recaer (STC 6/2010)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1697-2013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21 de marzo de 2013 se registró en este Tribunal Constitucional un oficio de la Sala de lo Social de la Audiencia Nacional, fechado el 20 de marzo de 2013, al que se acompañaba, junto al testimonio del correspondiente procedimiento, el Auto de ese mismo órgano judicial de 1 de marzo de 2013, por el que se acordaba plantear cuestión de inconstitucionalidad en relación con el art. 2 del Real Decreto-ley 20/2012, de 13 de julio, de medidas para garantizar la estabilidad presupuestaria y de fomento de la competitividad (convalidado por el Congreso de los Diputados </w:t>
      </w:r>
      <w:r w:rsidRPr="0085709A">
        <w:rPr>
          <w:i/>
        </w:rPr>
        <w:t>ex</w:t>
      </w:r>
      <w:r>
        <w:t xml:space="preserve"> art. 86.2 CE en su sesión de 19 de julio de 2012), por posible vulneración del art. 9.3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t xml:space="preserve">a) Ante la Sala de lo Social de la Audiencia Nacional se formuló por la Unión Sindical Obrera (USO), la Federación de Industrias y Trabajadores Agrarios de la Unión General de Trabajadores (FITAG-UGT) y la Federación Agroalimentaria de Comisiones Obreras, demanda de conflicto colectivo que dio lugar a los Autos núm. 322-2012. Las citadas organizaciones sindicales pretendían en su demanda que se declarase que en la Compañía Española de Tabaco en Rama, S.A. (CETARSA), no procedía aplicar lo dispuesto en los arts. 2 y 3 del Real Decreto-ley 20/2012 respecto de la supresión de la paga extraordinaria del mes de diciembre de 2012 al personal del sector público, por encontrarse fuera del ámbito subjetivo de aplicación de esta norma; subsidiariamente, pretendían que no se descontase o detrajese de la paga extra de diciembre (de devengo semestral a partir del 1 de julio, y con fecha de pago el 15 de diciembre, según dispone el art. 37 del convenio colectivo de aplicación) la parte proporcional de la misma ya devengada al momento de la entrada en vigor de dicho Real Decreto-ley (15 de julio de 2012), porque de acuerdo con el art. 9.3 CE no cabe que la supresión opere de modo retroactivo sino únicamente a partir del 15 de julio de 2012. </w:t>
      </w:r>
      <w:r>
        <w:lastRenderedPageBreak/>
        <w:t>Asimismo solicitaban con carácter subsidiario que no se descontase por tal concepto cantidad alguna a los trabajadores fijos discontinuos de la empresa, por no alcanzar sus retribuciones en cómputo anual el límite señalado en el art. 2.2.6 del Real Decreto-ley 20/2012; y que para todos los trabajadores de la empresa no se tuviese en cuenta, de resultar aplicable la medida de supresión de la paga extra de diciembre de 2012, una serie de partidas salariales previstas en el convenio colectivo (plus de asistencia y puntualidad, plus de actividad y plus de nocturnidad).</w:t>
      </w:r>
    </w:p>
    <w:p w:rsidR="0085709A" w:rsidRDefault="0085709A" w:rsidP="0085709A">
      <w:pPr>
        <w:pStyle w:val="TextoNormal"/>
      </w:pPr>
    </w:p>
    <w:p w:rsidR="0085709A" w:rsidRDefault="0085709A" w:rsidP="0085709A">
      <w:pPr>
        <w:pStyle w:val="TextoNormal"/>
      </w:pPr>
      <w:r>
        <w:t>b) Concluso el procedimiento y dentro del plazo para dictar sentencia, por providencia de 29 de enero de 2013 de la Sala se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 (15 de julio de 2012).</w:t>
      </w:r>
    </w:p>
    <w:p w:rsidR="0085709A" w:rsidRDefault="0085709A" w:rsidP="0085709A">
      <w:pPr>
        <w:pStyle w:val="TextoNormal"/>
      </w:pPr>
    </w:p>
    <w:p w:rsidR="0085709A" w:rsidRDefault="0085709A" w:rsidP="0085709A">
      <w:pPr>
        <w:pStyle w:val="TextoNormal"/>
      </w:pPr>
      <w:r>
        <w:t>c) Por escrito de 5 de febrero de 2013, la Unión Sindical Obrera estimó pertinente el planteamiento de la cuestión de inconstitucionalidad. En el mismo sentido se manifestaron la Federación de Industrias y Trabajadores Agrarios de la Unión General de Trabajadores mediante escrito fechado el 8 de febrero de 2013 y la Federación Agroalimentaria de Comisiones Obreras por medio de escrito de 12 de febrero siguiente. Por su parte, el Abogado del Estado, en representación de CETARSA, se opuso al planteamiento de la cuestión mediante escrito de 14 de febrero de 2013. Y con la misma fecha se presentó escrito del Ministerio Fiscal en el que se afirmaba que el juicio de relevancia estaba correctamente planteado, sin que ello supusiese compartirlo.</w:t>
      </w:r>
    </w:p>
    <w:p w:rsidR="0085709A" w:rsidRDefault="0085709A" w:rsidP="0085709A">
      <w:pPr>
        <w:pStyle w:val="TextoNormal"/>
      </w:pPr>
    </w:p>
    <w:p w:rsidR="0085709A" w:rsidRDefault="0085709A" w:rsidP="0085709A">
      <w:pPr>
        <w:pStyle w:val="TextoNormal"/>
      </w:pPr>
      <w:r>
        <w:t>d) Por Auto de 1 de marzo de 2013, la Sala de lo Social de la Audiencia Nacional acordó plantear cuestión de inconstitucionalidad en relación con el art. 2 del Real Decreto-ley 20/2012, de 13 de julio, de medidas para garantizar la estabilidad presupuestaria y de fomento de la competitividad (en adelante, Real Decreto-ley 20/2012).</w:t>
      </w:r>
    </w:p>
    <w:p w:rsidR="0085709A" w:rsidRDefault="0085709A" w:rsidP="0085709A">
      <w:pPr>
        <w:pStyle w:val="TextoNormal"/>
      </w:pPr>
    </w:p>
    <w:p w:rsidR="0085709A" w:rsidRDefault="0085709A" w:rsidP="0085709A">
      <w:pPr>
        <w:pStyle w:val="TextoNormal"/>
      </w:pPr>
      <w:r w:rsidRPr="0085709A">
        <w:rPr>
          <w:rStyle w:val="NumeroAFNegritaCaracter"/>
        </w:rPr>
        <w:t>3</w:t>
      </w:r>
      <w:r>
        <w:t>. En el Auto de 1 de marzo de 2013, la Sala de lo Social de la Audiencia Nacional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0085709A" w:rsidRDefault="0085709A" w:rsidP="0085709A">
      <w:pPr>
        <w:pStyle w:val="TextoNormal"/>
      </w:pPr>
    </w:p>
    <w:p w:rsidR="0085709A" w:rsidRDefault="0085709A" w:rsidP="0085709A">
      <w:pPr>
        <w:pStyle w:val="TextoNormal"/>
      </w:pPr>
      <w:r>
        <w:t>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y que lo hace a partir de su entrada en vigor (15 de julio de 2012), sin precisar excepciones por derechos ya devengados. Estima la Sala que el Gobierno es plenamente consciente de la posibilidad de que haya comenzado a devengarse la paga extraordinaria cuya percepción se suprime, en tanto que en el apartado 1 del art. 2  del Real Decreto-ley 20/2012 se indica que la medida afecta a las cuantías “que corresponda percibir”, en tiempo verbal no condicional, admitiendo que el derecho ya se ha generado, no obstante lo cual cierra la puerta a su abono.</w:t>
      </w:r>
    </w:p>
    <w:p w:rsidR="0085709A" w:rsidRDefault="0085709A" w:rsidP="0085709A">
      <w:pPr>
        <w:pStyle w:val="TextoNormal"/>
      </w:pPr>
    </w:p>
    <w:p w:rsidR="0085709A" w:rsidRDefault="0085709A" w:rsidP="0085709A">
      <w:pPr>
        <w:pStyle w:val="TextoNormal"/>
      </w:pPr>
      <w:r>
        <w:t>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paga extraordinaria correspondiente a catorce días (del 1 al 14 de julio), la aplicación del citado art. 2 impediría su abono.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 Siendo ese el enunciado del precepto cuestionado, la Sala no comparte el criterio mantenido por el sindicato Comisiones Obreras en sus alegaciones (que postula la posibilidad de interpretar la norma en el sentido de que la supresión de la paga solo se aplicaría respecto de la cuantía devengada a partir del 15 de julio de 2012).</w:t>
      </w:r>
    </w:p>
    <w:p w:rsidR="0085709A" w:rsidRDefault="0085709A" w:rsidP="0085709A">
      <w:pPr>
        <w:pStyle w:val="TextoNormal"/>
      </w:pPr>
    </w:p>
    <w:p w:rsidR="0085709A" w:rsidRDefault="0085709A" w:rsidP="0085709A">
      <w:pPr>
        <w:pStyle w:val="TextoNormal"/>
      </w:pPr>
      <w:r>
        <w:t>Expuesto lo que precede, indica la Sala que la norma cuestionada es determinante para el resultado del litigio y no admite una interpretación que lo acomode a la Constitución, dado que una de las pretensiones formuladas por los demandantes es, justamente, que se mantenga incólume la percepción de la parte ya devengada de la paga extra de diciembre de 2012, a pesar de lo dispuesto en el art. 2 del Real Decreto-ley 20/2012. Posteriormente se hace referencia a las alegaciones realizadas por las partes y el Ministerio Fiscal en el trámite de audiencia, y se señala que tras ellas subsiste la duda de inconstitucionalidad.</w:t>
      </w:r>
    </w:p>
    <w:p w:rsidR="0085709A" w:rsidRDefault="0085709A" w:rsidP="0085709A">
      <w:pPr>
        <w:pStyle w:val="TextoNormal"/>
      </w:pPr>
    </w:p>
    <w:p w:rsidR="0085709A" w:rsidRDefault="0085709A" w:rsidP="0085709A">
      <w:pPr>
        <w:pStyle w:val="TextoNormal"/>
      </w:pPr>
      <w:r>
        <w:t xml:space="preserve">b) Seguidamente se refiere la Sala a la doctrina constitucional sobre la prohibición de retroactividad de las disposiciones sancionadoras no favorables o restrictivas de derechos individuales (art. 9.3 CE) y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La Ley del estatuto de los trabajadores, aprobada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w:t>
      </w:r>
      <w:r>
        <w:lastRenderedPageBreak/>
        <w:t>21 del presente Estatuto”, precepto este último —concluye la Sala— que vincula las retribuciones de los funcionarios y del personal laboral del sector público a los límites fijados en las leyes de presupuestos del Estado.</w:t>
      </w:r>
    </w:p>
    <w:p w:rsidR="0085709A" w:rsidRDefault="0085709A" w:rsidP="0085709A">
      <w:pPr>
        <w:pStyle w:val="TextoNormal"/>
      </w:pPr>
    </w:p>
    <w:p w:rsidR="0085709A" w:rsidRDefault="0085709A" w:rsidP="0085709A">
      <w:pPr>
        <w:pStyle w:val="TextoNormal"/>
      </w:pPr>
      <w: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w:t>
      </w:r>
      <w:r w:rsidRPr="0085709A">
        <w:rPr>
          <w:i/>
        </w:rPr>
        <w:t>pro futuro</w:t>
      </w:r>
      <w:r>
        <w:t>). A la vista de todo ello, se considera que en el presente caso nos encontramos ante derechos individuales amparables por el principio de interdicción de retroactividad (art. 9.3 CE).</w:t>
      </w:r>
    </w:p>
    <w:p w:rsidR="0085709A" w:rsidRDefault="0085709A" w:rsidP="0085709A">
      <w:pPr>
        <w:pStyle w:val="TextoNormal"/>
      </w:pPr>
    </w:p>
    <w:p w:rsidR="0085709A" w:rsidRDefault="0085709A" w:rsidP="0085709A">
      <w:pPr>
        <w:pStyle w:val="TextoNormal"/>
      </w:pPr>
      <w:r>
        <w:t>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w:t>
      </w:r>
    </w:p>
    <w:p w:rsidR="0085709A" w:rsidRDefault="0085709A" w:rsidP="0085709A">
      <w:pPr>
        <w:pStyle w:val="TextoNormal"/>
      </w:pPr>
    </w:p>
    <w:p w:rsidR="0085709A" w:rsidRDefault="0085709A" w:rsidP="0085709A">
      <w:pPr>
        <w:pStyle w:val="TextoNormal"/>
      </w:pPr>
      <w:r>
        <w:t>Pues bien, 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85709A" w:rsidRDefault="0085709A" w:rsidP="0085709A">
      <w:pPr>
        <w:pStyle w:val="TextoNormal"/>
      </w:pPr>
    </w:p>
    <w:p w:rsidR="0085709A" w:rsidRDefault="0085709A" w:rsidP="0085709A">
      <w:pPr>
        <w:pStyle w:val="TextoNormal"/>
      </w:pPr>
      <w:r>
        <w:t xml:space="preserve">Teniendo en cuenta todo lo anterior, concluye la Sala que “estamos ante un derecho que se genera día a día, incorporándose como tal al acervo patrimonial de los trabajadores”, y que, “en el caso examinado, al ser la paga extra de diciembre de 2012 de devengo semestral a partir del 1 de julio de 2012, por disponerlo así el convenio colectivo de aplicación”, a la fecha de entrada en vigor del Real Decreto-ley 20/2012 ya se había devengado y generado el derecho a la parte proporcional a catorce días de trabajo que, sin embargo, el art. 2 del </w:t>
      </w:r>
      <w:r>
        <w:lastRenderedPageBreak/>
        <w:t>Real Decreto-ley 20/2012 suprime, operando, con ello, “una retroactividad auténtica o de grado máximo”.</w:t>
      </w:r>
    </w:p>
    <w:p w:rsidR="0085709A" w:rsidRDefault="0085709A" w:rsidP="0085709A">
      <w:pPr>
        <w:pStyle w:val="TextoNormal"/>
      </w:pPr>
    </w:p>
    <w:p w:rsidR="0085709A" w:rsidRDefault="0085709A" w:rsidP="0085709A">
      <w:pPr>
        <w:pStyle w:val="TextoNormal"/>
      </w:pPr>
      <w:r>
        <w:t>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y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 cuanto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pero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0085709A" w:rsidRDefault="0085709A" w:rsidP="0085709A">
      <w:pPr>
        <w:pStyle w:val="TextoNormal"/>
      </w:pPr>
    </w:p>
    <w:p w:rsidR="0085709A" w:rsidRDefault="0085709A" w:rsidP="0085709A">
      <w:pPr>
        <w:pStyle w:val="TextoNormal"/>
      </w:pPr>
      <w:r>
        <w:t>e) Finalmente, la Sala se plantea la posibilidad de que estemos ante una expropiación legislativa de derechos, pero rechaza tal posibilidad en tanto que la previsión en este caso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85709A" w:rsidRDefault="0085709A" w:rsidP="0085709A">
      <w:pPr>
        <w:pStyle w:val="TextoNormal"/>
      </w:pPr>
    </w:p>
    <w:p w:rsidR="0085709A" w:rsidRDefault="0085709A" w:rsidP="0085709A">
      <w:pPr>
        <w:pStyle w:val="TextoNormal"/>
      </w:pPr>
      <w:r>
        <w:t>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Por providencia de 21 de mayo de 2013, el Pleno de este Tribunal acordó admitir a trámite la cuestión de inconstitucionalidad, reservar para sí el conocimiento de la misma conforme al art. 10.1 c)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132, de 3 de junio de 2013. Asimismo, por diligencia de ordenación de la Secretaría de Justicia del Pleno de 21 de mayo de 2013 se concedió un plazo de quince días a partir de la publicación del referido edicto para que, de conformidad con lo establecido en el art. 37.2 LOTC, quienes fuesen parte en el procedimiento núm. 322-2012 seguido ante la Sala de lo Social de la Audiencia Nacional pudieran personarse ante este Tribunal.</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General de este Tribunal el 6 de junio de 2013, el Presidente del Senado comunicó el acuerdo de la Mesa de la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General de este Tribunal el 7 de junio de 2013, el Presidente del Congreso de los Diputados comunicó la decisión de la Mesa de esa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en este Tribunal el 19 de junio de 2013, el Abogado del Estado se personó en el presente proceso constitucional y formuló las alegaciones que a continuación se sintetizan. 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14 de julio, fecha esta última de entrada en vigor del Real Decreto-ley 20/2012. En definitiva, entiende que lo que se plantea es una inconstitucionalidad por omisión y que la consecuencia que podría derivarse de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14 de julio de 2012).</w:t>
      </w:r>
    </w:p>
    <w:p w:rsidR="0085709A" w:rsidRDefault="0085709A" w:rsidP="0085709A">
      <w:pPr>
        <w:pStyle w:val="TextoNormal"/>
      </w:pPr>
    </w:p>
    <w:p w:rsidR="0085709A" w:rsidRDefault="0085709A" w:rsidP="0085709A">
      <w:pPr>
        <w:pStyle w:val="TextoNormal"/>
      </w:pPr>
      <w: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w:t>
      </w:r>
      <w:r>
        <w:lastRenderedPageBreak/>
        <w:t>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85709A" w:rsidRDefault="0085709A" w:rsidP="0085709A">
      <w:pPr>
        <w:pStyle w:val="TextoNormal"/>
      </w:pPr>
    </w:p>
    <w:p w:rsidR="0085709A" w:rsidRDefault="0085709A" w:rsidP="0085709A">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14 de julio, “estaba ya consolidado, asumido e integrado en el patrimonio de los trabajadores cuando entró en vigor” el Real Decreto-ley 20/2012, o si, por el contrario, se trataba de una expectativa de derecho o de un derecho futuro o condicionado.</w:t>
      </w:r>
    </w:p>
    <w:p w:rsidR="0085709A" w:rsidRDefault="0085709A" w:rsidP="0085709A">
      <w:pPr>
        <w:pStyle w:val="TextoNormal"/>
      </w:pPr>
    </w:p>
    <w:p w:rsidR="0085709A" w:rsidRDefault="0085709A" w:rsidP="0085709A">
      <w:pPr>
        <w:pStyle w:val="TextoNormal"/>
      </w:pPr>
      <w:r>
        <w:t>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85709A" w:rsidRDefault="0085709A" w:rsidP="0085709A">
      <w:pPr>
        <w:pStyle w:val="TextoNormal"/>
      </w:pPr>
    </w:p>
    <w:p w:rsidR="0085709A" w:rsidRDefault="0085709A" w:rsidP="0085709A">
      <w:pPr>
        <w:pStyle w:val="TextoNormal"/>
      </w:pPr>
      <w:r>
        <w:lastRenderedPageBreak/>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85709A" w:rsidRDefault="0085709A" w:rsidP="0085709A">
      <w:pPr>
        <w:pStyle w:val="TextoNormal"/>
      </w:pPr>
    </w:p>
    <w:p w:rsidR="0085709A" w:rsidRDefault="0085709A" w:rsidP="0085709A">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85709A" w:rsidRDefault="0085709A" w:rsidP="0085709A">
      <w:pPr>
        <w:pStyle w:val="TextoNormal"/>
      </w:pPr>
    </w:p>
    <w:p w:rsidR="0085709A" w:rsidRDefault="0085709A" w:rsidP="0085709A">
      <w:pPr>
        <w:pStyle w:val="TextoNormal"/>
      </w:pPr>
      <w:r>
        <w:t>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Así las cosas, afirma el Abogado del Estado que no existe razón para negar la concurrencia de un “interés general” dada la situación descrita de grave crisis económica (al borde, incluso, del rescate financiero de España cuando se adoptó la medida cuestionada).</w:t>
      </w:r>
    </w:p>
    <w:p w:rsidR="0085709A" w:rsidRDefault="0085709A" w:rsidP="0085709A">
      <w:pPr>
        <w:pStyle w:val="TextoNormal"/>
      </w:pPr>
    </w:p>
    <w:p w:rsidR="0085709A" w:rsidRDefault="0085709A" w:rsidP="0085709A">
      <w:pPr>
        <w:pStyle w:val="TextoNormal"/>
      </w:pPr>
      <w:r>
        <w:t xml:space="preserve">Finalmente, niega el Abogado del Estado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la justificaban desde la perspectiva de la proporcionalidad. Se recuerda que, por el contrario, en el presente caso no existen motivos “difusos”, sino concretos de interés </w:t>
      </w:r>
      <w:r>
        <w:lastRenderedPageBreak/>
        <w:t>general, y que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se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14 de julio, que es lo único que se discute en la presente cuestión de inconstitucionalidad. Por todo ello, se interesa la desestimación de la cuestión.</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en este Tribunal el 21 de junio de 2013, el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w:t>
      </w:r>
    </w:p>
    <w:p w:rsidR="0085709A" w:rsidRDefault="0085709A" w:rsidP="0085709A">
      <w:pPr>
        <w:pStyle w:val="TextoNormal"/>
      </w:pPr>
    </w:p>
    <w:p w:rsidR="0085709A" w:rsidRDefault="0085709A" w:rsidP="0085709A">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85709A" w:rsidRDefault="0085709A" w:rsidP="0085709A">
      <w:pPr>
        <w:pStyle w:val="TextoNormal"/>
      </w:pPr>
    </w:p>
    <w:p w:rsidR="0085709A" w:rsidRDefault="0085709A" w:rsidP="0085709A">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85709A">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85709A" w:rsidRDefault="0085709A" w:rsidP="0085709A">
      <w:pPr>
        <w:pStyle w:val="TextoNormal"/>
      </w:pPr>
    </w:p>
    <w:p w:rsidR="0085709A" w:rsidRDefault="0085709A" w:rsidP="0085709A">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85709A" w:rsidRDefault="0085709A" w:rsidP="0085709A">
      <w:pPr>
        <w:pStyle w:val="TextoNormal"/>
      </w:pPr>
    </w:p>
    <w:p w:rsidR="0085709A" w:rsidRDefault="0085709A" w:rsidP="0085709A">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 2012.</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28 de abril de 2015 se señaló para deliberación y votación de la presente Sentencia el día 30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de la Audiencia Nacional plantea cuestión de inconstitucionalidad respecto del art. 2 del Real Decreto-ley 20/2012, de 13 de julio, de medidas para garantizar la estabilidad presupuestaria y de fomento de la competitividad (en adelante, Real Decreto-ley 20/2012),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2012).</w:t>
      </w:r>
    </w:p>
    <w:p w:rsidR="0085709A" w:rsidRDefault="0085709A" w:rsidP="0085709A">
      <w:pPr>
        <w:pStyle w:val="TextoNormal"/>
      </w:pPr>
    </w:p>
    <w:p w:rsidR="0085709A" w:rsidRDefault="0085709A" w:rsidP="0085709A">
      <w:pPr>
        <w:pStyle w:val="TextoNormal"/>
      </w:pPr>
      <w:r>
        <w:lastRenderedPageBreak/>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al análisis de la cuestión planteada conviene realizar una serie de precisiones para acotar debidamente el objeto de la misma y el alcance de nuestro enjuiciamiento.</w:t>
      </w:r>
    </w:p>
    <w:p w:rsidR="0085709A" w:rsidRDefault="0085709A" w:rsidP="0085709A">
      <w:pPr>
        <w:pStyle w:val="TextoNormal"/>
      </w:pPr>
    </w:p>
    <w:p w:rsidR="0085709A" w:rsidRDefault="0085709A" w:rsidP="0085709A">
      <w:pPr>
        <w:pStyle w:val="TextoNormal"/>
      </w:pPr>
      <w:r>
        <w:t>a) Así,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varios sindicatos con motivo de la supresión, por aplicación de las previsiones contenidas en el Real Decreto-ley 20/2012, de la paga o gratificación extraordinaria de diciembre de 2012 al personal laboral de una sociedad mercantil estatal, la Compañía Española de Tabaco en Rama, S.A. (CETARSA), proceso en el que lo pretendido por los demandantes con carácter subsidiario a la pretensión principal (referida a que no se aplique en esta empresa la medida de supresión de la paga extra de diciembre de 2012) es justamente que se declare el derecho de los trabajadores de esta empresa a percibir la parte proporcional de la paga extra de diciembre de 2012 que consideran ya devengada al momento de la entrada en vigor del Real Decreto-ley 20/2012, porque, de acuerdo con el art. 9.3 CE, no cabe que la supresión de esa paga extra por el Real Decreto-ley  20/2012 tenga efectos retroactivos.</w:t>
      </w:r>
    </w:p>
    <w:p w:rsidR="0085709A" w:rsidRDefault="0085709A" w:rsidP="0085709A">
      <w:pPr>
        <w:pStyle w:val="TextoNormal"/>
      </w:pPr>
    </w:p>
    <w:p w:rsidR="0085709A" w:rsidRDefault="0085709A" w:rsidP="0085709A">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85709A" w:rsidRDefault="0085709A" w:rsidP="0085709A">
      <w:pPr>
        <w:pStyle w:val="TextoNormal"/>
      </w:pPr>
    </w:p>
    <w:p w:rsidR="0085709A" w:rsidRDefault="0085709A" w:rsidP="0085709A">
      <w:pPr>
        <w:pStyle w:val="TextoNormal"/>
      </w:pPr>
      <w: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demandantes en el proceso </w:t>
      </w:r>
      <w:r w:rsidRPr="0085709A">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(en concreto, catorce días del mes de julio de 2012) a la fecha de entrada en vigor del Real Decreto-ley 20/2012 (que tuvo lugar el 15 de julio de 2012, conforme a su disposición final decimoquinta). A esta concreta duda de constitucionalidad (planteada a partir </w:t>
      </w:r>
      <w:r>
        <w:lastRenderedPageBreak/>
        <w:t xml:space="preserve">de la pretensión subsidiaria en el proceso </w:t>
      </w:r>
      <w:r w:rsidRPr="0085709A">
        <w:rPr>
          <w:i/>
        </w:rPr>
        <w:t>a quo</w:t>
      </w:r>
      <w:r>
        <w:t>) deberá, pues, ceñirse nuestro enjuiciamiento.</w:t>
      </w:r>
    </w:p>
    <w:p w:rsidR="0085709A" w:rsidRDefault="0085709A" w:rsidP="0085709A">
      <w:pPr>
        <w:pStyle w:val="TextoNormal"/>
      </w:pPr>
    </w:p>
    <w:p w:rsidR="0085709A" w:rsidRDefault="0085709A" w:rsidP="0085709A">
      <w:pPr>
        <w:pStyle w:val="TextoNormal"/>
      </w:pPr>
      <w:r>
        <w:t>c) Conviene asimismo advertir que la Sala de lo Social de la Audiencia Nacional no cuestiona el art. 3.2 del Real Decreto-ley 20/2012, que reitera, para el personal laboral del sector público estatal incluido en el art. 27 de la Ley 2/2012, de presupuestos generales del Estado para 2012 (personal en el que se cuentan los trabajadores de la sociedad mercantil estatal CETARSA, creada por Real Decreto 573/1987, de 10 de abril), la regla de la supresión de la paga extraordinaria de diciembre de 2012 establecida en el art. 2 del Real Decreto-ley 20/2012. Tampoco cuestiona la Sala el art. 6 del Real Decreto-ley 20/2012, que, en consonancia con esa misma regla, suprime durante el año 2012 para el personal laboral del sector público “la percepción de la gratificación extraordinaria con ocasión de las fiestas de Navidad contenida en el art. 31 del Estatuto de los Trabajadores”.</w:t>
      </w:r>
    </w:p>
    <w:p w:rsidR="0085709A" w:rsidRDefault="0085709A" w:rsidP="0085709A">
      <w:pPr>
        <w:pStyle w:val="TextoNormal"/>
      </w:pPr>
    </w:p>
    <w:p w:rsidR="0085709A" w:rsidRDefault="0085709A" w:rsidP="0085709A">
      <w:pPr>
        <w:pStyle w:val="TextoNormal"/>
      </w:pPr>
      <w:r>
        <w:t>En efecto, el órgano judicial se limita a cuestionar, en los términos antes señalados, el art. 2 del Real Decreto-ley 20/2012 (y aun este precepto no debe entenderse cuestionado en su integridad, como ya ha quedado expuesto), por lo que, en principio, las previsiones contenidas en los arts. 3.2 y 6 del Real Decreto-ley 20/2012 quedarían fuera de nuestro pronunciamiento, sin perjuicio de que, en su caso, si se declarase la inconstitucionalidad del precepto cuestionado, este Tribunal pudiera extender esa declaración de inconstitucionalidad a los arts. 3.2 y 6 del Real Decreto-ley 20/2012 por conexión o consecuencia, conforme a lo previsto en el art. 39.1 LOTC (por todas, STC 126/2008, de 27 de octubre, FJ 1).</w:t>
      </w:r>
    </w:p>
    <w:p w:rsidR="0085709A" w:rsidRDefault="0085709A" w:rsidP="0085709A">
      <w:pPr>
        <w:pStyle w:val="TextoNormal"/>
      </w:pPr>
    </w:p>
    <w:p w:rsidR="0085709A" w:rsidRDefault="0085709A" w:rsidP="0085709A">
      <w:pPr>
        <w:pStyle w:val="TextoNormal"/>
      </w:pPr>
      <w:r w:rsidRPr="0085709A">
        <w:rPr>
          <w:rStyle w:val="NumeroAFNegritaCaracter"/>
        </w:rPr>
        <w:t>3</w:t>
      </w:r>
      <w:r>
        <w:t>. Efectuadas las precisiones que anteceden debemos referirnos seguidamente a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y en su apartado 2 dispone las reglas para el abono de dichas cantidades al personal del sector público estatal (entre el que se encuentran los trabajadores de las sociedades mercantiles públicas),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85709A" w:rsidRDefault="0085709A" w:rsidP="0085709A">
      <w:pPr>
        <w:pStyle w:val="TextoNormal"/>
      </w:pPr>
    </w:p>
    <w:p w:rsidR="0085709A" w:rsidRDefault="0085709A" w:rsidP="0085709A">
      <w:pPr>
        <w:pStyle w:val="TextoNormal"/>
      </w:pPr>
      <w:r>
        <w:t xml:space="preserve">Concretamente, el apartado 2.1 de la disposición adicional duodécima de la Ley 36/2014, de 26 de diciembre, de presupuestos generales del Estado para 2015, establece que “[d]urante el año 2015, el personal del sector público estatal definido en las letras a), d) y </w:t>
      </w:r>
      <w:r>
        <w:lastRenderedPageBreak/>
        <w:t>e) del apartado Uno del artículo 22 de la Ley 2/2012, de 29 de junio, de Presupuestos Generales del Estado para el año 2012, así como el personal de las sociedades, entidades y resto de organismos de los apartados f) y g) de dicho precepto que pertenezcan al sector público estatal, percibirá las cantidades previstas en el apartado Uno.2 de esta disposición”, refiriéndose el apartado f) del art. 22.1 de la Ley de presupuestos generales del Estado para el año 2012 a las sociedades mercantiles públicas y el apartado g) de la misma Ley a las entidades públicas empresariales y al resto de los organismos públicos y entes del sector público estatal, autonómico y local.</w:t>
      </w:r>
    </w:p>
    <w:p w:rsidR="0085709A" w:rsidRDefault="0085709A" w:rsidP="0085709A">
      <w:pPr>
        <w:pStyle w:val="TextoNormal"/>
      </w:pPr>
    </w:p>
    <w:p w:rsidR="0085709A" w:rsidRDefault="0085709A" w:rsidP="0085709A">
      <w:pPr>
        <w:pStyle w:val="TextoNormal"/>
      </w:pPr>
      <w:r>
        <w:t>Por su parte la citada resolución conjunta de las Secretarías de Estado de Presupuestos y Gastos y de Administraciones Públicas de 29 de diciembre de 2014, por la que se dictan “Instrucciones para la aplicación efectiva, en el ámbito del sector público estatal, de las previsiones de la disposición adicional décima segunda de la Ley 36/2014, de 26 de diciembre, de Presupuestos Generales del Estado para 2015”, determina en su apartado III, bajo el epígrafe “Instrucciones relativas al personal laboral del ámbito de aplicación de esta Instrucción al que no le resulta de aplicación el III Convenio Único del personal laboral al servicio de la Administración General del Estado”, que “[c]onforme a lo dispuesto en el apartado Uno.2 de la disposición adicional décima segunda, el cómputo de las cantidades correspondientes a los primeros 44 días se efectuará con arreglo a las normas laborales y convencionales vigentes en el momento en que se dejaron de percibir dichas pagas. De dichas cantidades se descontarán las cuantías correspondientes a dichas pagas que hubieran sido abonadas en el año 2012 o con posterioridad”.</w:t>
      </w:r>
    </w:p>
    <w:p w:rsidR="0085709A" w:rsidRDefault="0085709A" w:rsidP="0085709A">
      <w:pPr>
        <w:pStyle w:val="TextoNormal"/>
      </w:pPr>
    </w:p>
    <w:p w:rsidR="0085709A" w:rsidRDefault="0085709A" w:rsidP="0085709A">
      <w:pPr>
        <w:pStyle w:val="TextoNormal"/>
      </w:pPr>
      <w:r>
        <w:t xml:space="preserve">Conforme a reiterada doctrina constitucional, en las cuestiones de inconstitucionalidad los efectos extintivos sobre el objeto del proceso constitucional como consecuencia de la derogación o modificación de la norma legal cuestionada vienen determinados por el hecho de que esa norma, tras su derogación o modificación, siga resultando aplicable en el proceso </w:t>
      </w:r>
      <w:r w:rsidRPr="0085709A">
        <w:rPr>
          <w:i/>
        </w:rPr>
        <w:t>a quo</w:t>
      </w:r>
      <w:r>
        <w:t xml:space="preserve"> y que de su validez dependa la decisión a adoptar en el mismo (entre otras, SSTC 255/2004, de 23 de diciembre, FJ 2; 22/2010, de 27 de abril, FJ 2, y 73/2014, de 8 de mayo, FJ 2). Por eso, como regla general, ni la derogación ni la modificación de la norma cuestionada provocan la desaparición sobrevenida del objeto de la cuestión, ya que la aplicabilidad de la norma en el proceso </w:t>
      </w:r>
      <w:r w:rsidRPr="0085709A">
        <w:rPr>
          <w:i/>
        </w:rPr>
        <w:t>a quo</w:t>
      </w:r>
      <w:r>
        <w:t xml:space="preserve">, con el enunciado vigente en el momento de plantearse la cuestión, puede seguir requiriendo el juicio de constitucionalidad (por todas, SSTC 111/1983, de 2 de diciembre, FJ 2; 45/1989, de 20 de febrero, FJ 3; 63/2003, de 27 de marzo, FJ 3, y 101/2009, de 27 de abril, FJ 2). Por ello mismo, cuando esa derogación o modificación normativa determinan que ya no resulte aplicable al proceso </w:t>
      </w:r>
      <w:r w:rsidRPr="0085709A">
        <w:rPr>
          <w:i/>
        </w:rPr>
        <w:t>a quo</w:t>
      </w:r>
      <w:r>
        <w:t xml:space="preserve"> la norma cuestionada, o que no dependa de su validez la decisión a adoptar en el mismo, se produce la extinción de la cuestión de inconstitucionalidad, por desaparición sobrevenida de su objeto (STC 101/2012, de 8 de mayo, FJ 2, por todas).</w:t>
      </w:r>
    </w:p>
    <w:p w:rsidR="0085709A" w:rsidRDefault="0085709A" w:rsidP="0085709A">
      <w:pPr>
        <w:pStyle w:val="TextoNormal"/>
      </w:pPr>
    </w:p>
    <w:p w:rsidR="0085709A" w:rsidRDefault="0085709A" w:rsidP="0085709A">
      <w:pPr>
        <w:pStyle w:val="TextoNormal"/>
      </w:pPr>
      <w:r>
        <w:t xml:space="preserve">En el mismo sentido señala la STC 6/2010, de 14 de abril, FJ 2, que “resulta notorio que las alteraciones sobrevenidas en la relevancia de la norma cuestionada para la resolución del proceso </w:t>
      </w:r>
      <w:r w:rsidRPr="0085709A">
        <w:rPr>
          <w:i/>
        </w:rPr>
        <w:t>a quo</w:t>
      </w:r>
      <w:r>
        <w:t xml:space="preserve"> han de incidir necesariamente en el proceso constitucional. Conforme establece el art. 163 CE, y recuerda el art. 35.1 LOTC, el planteamiento de la cuestión de inconstitucionalidad por los Jueces y Tribunales exige que la norma cuestionada sea ‘aplicable al caso’ ventilado en el proceso en el que la cuestión se suscita y, además, que de su validez dependa el fallo que el Juez o Tribunal haya de dictar. Si bien es cierto que ese denominado ‘juicio de relevancia’ sobre la relación entre la norma cuya constitucionalidad </w:t>
      </w:r>
      <w:r>
        <w:lastRenderedPageBreak/>
        <w:t>se cuestiona y el fallo a dictar ha de establecerse en el momento en el que la cuestión se plantea, no lo es menos, también, que las modificaciones sobrevenidas en la relevancia han de influir necesariamente en la suerte del proceso constitucional abierto,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(AATC 945/1985, de 19 de diciembre, FJ único; 57/1999, de 9 de marzo, FJ 2; y 75/2004, de 9 de marzo, FJ único).”</w:t>
      </w:r>
    </w:p>
    <w:p w:rsidR="0085709A" w:rsidRDefault="0085709A" w:rsidP="0085709A">
      <w:pPr>
        <w:pStyle w:val="TextoNormal"/>
      </w:pPr>
    </w:p>
    <w:p w:rsidR="0085709A" w:rsidRDefault="0085709A" w:rsidP="0085709A">
      <w:pPr>
        <w:pStyle w:val="TextoNormal"/>
      </w:pPr>
      <w:r>
        <w:t xml:space="preserve">Es innegable la incidencia que tiene la medida contenida en la disposición adicional duodécima de dicha Ley de presupuestos sobre la pretensión deducida en el pleito </w:t>
      </w:r>
      <w:r w:rsidRPr="0085709A">
        <w:rPr>
          <w:i/>
        </w:rPr>
        <w:t>a quo</w:t>
      </w:r>
      <w:r>
        <w:t>, que afecta de modo determinante a la subsistencia del presente proceso constitucional, dada la estrecha vinculación existente entre toda cuestión de inconstitucionalidad y el procedimiento judicial de que dimana.</w:t>
      </w:r>
    </w:p>
    <w:p w:rsidR="0085709A" w:rsidRDefault="0085709A" w:rsidP="0085709A">
      <w:pPr>
        <w:pStyle w:val="TextoNormal"/>
      </w:pPr>
    </w:p>
    <w:p w:rsidR="0085709A" w:rsidRDefault="0085709A" w:rsidP="0085709A">
      <w:pPr>
        <w:pStyle w:val="TextoNormal"/>
      </w:pPr>
      <w:r>
        <w:t xml:space="preserve">En el conflicto colectivo del que trae causa la presente cuestión de inconstitucionalidad se discute el derecho de los trabajadores de una empresa del sector público estatal (CETARSA) a percibir la parte proporcional (en concreto, 14 días) de la paga extra de diciembre de 2012. Esta se entiende ya devengada al momento de la entrada en vigor del Real Decreto-ley 20/2012, que suprimió el derecho a su percepción, al estimar los demandantes en el proceso </w:t>
      </w:r>
      <w:r w:rsidRPr="0085709A">
        <w:rPr>
          <w:i/>
        </w:rPr>
        <w:t>a quo</w:t>
      </w:r>
      <w:r>
        <w:t xml:space="preserve"> que la supresión de esa paga extra por la citada norma no puede tener efectos retroactivos por imperativo de lo dispuesto en el art. 9.3 CE. Al suscitarse sobre este extremo la duda de constitucionalidad que plantea el órgano judicial, es obligado concluir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cuya aplicación efectiva se ha llevado a cabo en el ámbito del sector público estatal siguiendo las instrucciones contenidas en la también citada resolución conjunta de las Secretarías de Estado de Presupuestos y Gastos y de Administraciones Públicas de 29 de diciembre de 2014 (conforme a lo indicado en el apartado III de estas instrucciones para el caso de la empresa estatal CETARSA),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85709A" w:rsidRDefault="0085709A" w:rsidP="0085709A">
      <w:pPr>
        <w:pStyle w:val="TextoNormal"/>
      </w:pPr>
    </w:p>
    <w:p w:rsidR="0085709A" w:rsidRDefault="0085709A" w:rsidP="0085709A">
      <w:pPr>
        <w:pStyle w:val="TextoNormal"/>
      </w:pPr>
      <w:r>
        <w:t>En suma,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la extinción de la presente cuestión de inconstitucionalidad por desaparición sobrevenida de su objeto.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7" w:name="SENTENCIA_2015_84"/>
      <w:r>
        <w:lastRenderedPageBreak/>
        <w:t>SENTENCIA 84/2015, de 30 de abril de 2015</w:t>
      </w:r>
    </w:p>
    <w:bookmarkEnd w:id="87"/>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ECLI:ES:TC:2015:84</w:t>
      </w:r>
    </w:p>
    <w:p w:rsidR="0085709A" w:rsidRDefault="0085709A" w:rsidP="0085709A">
      <w:pPr>
        <w:pStyle w:val="TextoNormalCentrado"/>
      </w:pPr>
    </w:p>
    <w:p w:rsidR="0085709A" w:rsidRDefault="0085709A" w:rsidP="0085709A">
      <w:pPr>
        <w:pStyle w:val="SntesisDescriptiva"/>
      </w:pPr>
      <w:r>
        <w:t>Recurso de inconstitucionalidad 1884-2013. Interpuesto por más de cincuenta Senadores del Grupo Parlamentario Socialista del Senado, en relación con los artículos 62 y 63 de la Ley 8/2012, de 28 de diciembre, de medidas fiscales y administrativas de la Comunidad de Madrid.</w:t>
      </w:r>
    </w:p>
    <w:p w:rsidR="0085709A" w:rsidRDefault="0085709A" w:rsidP="0085709A">
      <w:pPr>
        <w:pStyle w:val="SntesisDescriptiva"/>
      </w:pPr>
    </w:p>
    <w:p w:rsidR="0085709A" w:rsidRDefault="0085709A" w:rsidP="0085709A">
      <w:pPr>
        <w:pStyle w:val="SntesisAnaltica"/>
      </w:pPr>
      <w:r>
        <w:t>Principios de legalidad y seguridad jurídica, procedimiento legislativo, principio de mantenimiento de un régimen público de Seguridad Social que garantice prestaciones sociales suficientes ante situaciones de necesidad, competencias sobre contratos y concesiones administrativas, sanidad y Seguridad Social: nulidad del precepto legal que otorgaba preferencia, en la adjudicación de los centros de atención primaria, a las sociedades de profesionales compuestas íntegra o mayoritariamente por profesionales del Servicio Madrileño de Salud.</w:t>
      </w:r>
    </w:p>
    <w:p w:rsidR="0085709A" w:rsidRDefault="0085709A" w:rsidP="0085709A">
      <w:pPr>
        <w:pStyle w:val="SntesisAnaltica"/>
      </w:pPr>
    </w:p>
    <w:p w:rsidR="0085709A" w:rsidRDefault="0085709A" w:rsidP="0085709A">
      <w:pPr>
        <w:pStyle w:val="Extracto"/>
      </w:pPr>
      <w:r>
        <w:t>1.</w:t>
      </w:r>
      <w:r>
        <w:tab/>
        <w:t>La preferencia que otorga el precepto autonómico impugnado a las sociedades de profesionales, compuestas íntegra o mayoritariamente por profesionales del Servicio Madrileño de Salud, es contraria a la legislación básica del Estado en materia de contratos y concesiones administrativas que garantiza la igualdad de los licitadores en el acceso a los contratos públicos, debiéndose declarar la inconstitucionalidad y nulidad del art. 88.2 de la Ley de ordenación sanitaria de la Comunidad de Madrid, en la redacción dada por el art. 63 de la Ley 8/2012 [FJ 6].</w:t>
      </w:r>
    </w:p>
    <w:p w:rsidR="0085709A" w:rsidRDefault="0085709A" w:rsidP="0085709A">
      <w:pPr>
        <w:pStyle w:val="Extracto"/>
      </w:pPr>
    </w:p>
    <w:p w:rsidR="0085709A" w:rsidRDefault="0085709A" w:rsidP="0085709A">
      <w:pPr>
        <w:pStyle w:val="Extracto"/>
      </w:pPr>
      <w:r>
        <w:t>2.</w:t>
      </w:r>
      <w:r>
        <w:tab/>
        <w:t>No se produce infracción del art. 43 CE ni vulneración de la competencia exclusiva del Estado sobre legislación básica en materia de sanidad (art. 149.1.16 CE), pues el legislador autonómico madrileño se ha movido dentro de los límites definidos por el propio legislador básico estatal y la opción por un sistema de gestión indirecta de los hospitales a los que es aplicable el art. 62 de la Ley 8/2012, no representa una auténtica novedad [FJ 8].</w:t>
      </w:r>
    </w:p>
    <w:p w:rsidR="0085709A" w:rsidRDefault="0085709A" w:rsidP="0085709A">
      <w:pPr>
        <w:pStyle w:val="Extracto"/>
      </w:pPr>
    </w:p>
    <w:p w:rsidR="0085709A" w:rsidRDefault="0085709A" w:rsidP="0085709A">
      <w:pPr>
        <w:pStyle w:val="Extracto"/>
      </w:pPr>
      <w:r>
        <w:t>3.</w:t>
      </w:r>
      <w:r>
        <w:tab/>
        <w:t>No se aprecia vulneración de la competencia atribuida en exclusiva al Estado en materia de legislación básica y régimen económico de la Seguridad Social (art. 149.1.17 CE), pues aun aceptando el encuadramiento competencial y prescindiendo de su eventual reconducción al ámbito de las competencias sobre sanidad, no se altera el régimen público de aseguramiento sanitario del Sistema Nacional de Salud ni se establece uno propio que se encuentre vedado por la legislación estatal ya que el legislador autonómico madrileño se ha movido dentro de los límites definidos por la normativa estatal [FJ 7].</w:t>
      </w:r>
    </w:p>
    <w:p w:rsidR="0085709A" w:rsidRDefault="0085709A" w:rsidP="0085709A">
      <w:pPr>
        <w:pStyle w:val="Extracto"/>
      </w:pPr>
    </w:p>
    <w:p w:rsidR="0085709A" w:rsidRDefault="0085709A" w:rsidP="0085709A">
      <w:pPr>
        <w:pStyle w:val="Extracto"/>
      </w:pPr>
      <w:r>
        <w:t>4.</w:t>
      </w:r>
      <w:r>
        <w:tab/>
        <w:t>El juicio de constitucionalidad al art. 62 de la Ley 8/2012, no incluye valoraciones sobre eventuales diferencias de trato entre ciudadanos que su desarrollo o práctica aplicativa pudieran generar y que, en caso de producirse, quedarían sujetas a los mecanismos de tutela y control dispuestos por el ordenamiento, por lo que el precepto impugnado no establece una desigualdad o tratamiento peyorativo entre personas o grupos, quedando rechazada la lesión del art. 14 CE [FJ 7].</w:t>
      </w:r>
    </w:p>
    <w:p w:rsidR="0085709A" w:rsidRDefault="0085709A" w:rsidP="0085709A">
      <w:pPr>
        <w:pStyle w:val="Extracto"/>
      </w:pPr>
    </w:p>
    <w:p w:rsidR="0085709A" w:rsidRDefault="0085709A" w:rsidP="0085709A">
      <w:pPr>
        <w:pStyle w:val="Extracto"/>
      </w:pPr>
      <w:r>
        <w:t>5.</w:t>
      </w:r>
      <w:r>
        <w:tab/>
        <w:t>Se rechaza la lesión del principio de seguridad jurídica, pues los artículos impugnados resultan claros y precisos en cuanto a sus destinatarios y el contenido a ellos dirigido; ninguna incertidumbre genera que algunos de los mandatos normativos se expresen mediante fórmulas verbales en futuro; y lo mismo cabe decir respecto al uso de términos potestativos —“podrá” o “podrán”—, dado que precisan el sentido imperativo o facultativo que la norma tiene para los destinatarios o, en su caso, el margen de disposición que se les concede, lo que contribuye a determinar el significado y alcance  de la norma [FFJJ 3,6].</w:t>
      </w:r>
    </w:p>
    <w:p w:rsidR="0085709A" w:rsidRDefault="0085709A" w:rsidP="0085709A">
      <w:pPr>
        <w:pStyle w:val="Extracto"/>
      </w:pPr>
    </w:p>
    <w:p w:rsidR="0085709A" w:rsidRDefault="0085709A" w:rsidP="0085709A">
      <w:pPr>
        <w:pStyle w:val="Extracto"/>
      </w:pPr>
      <w:r>
        <w:t>6.</w:t>
      </w:r>
      <w:r>
        <w:tab/>
        <w:t>Doctrina acerca de la constitucionalidad de las leyes de contenido heterogéneo (SSTC 136/2011, 176/2011) [FJ 3].</w:t>
      </w:r>
    </w:p>
    <w:p w:rsidR="0085709A" w:rsidRDefault="0085709A" w:rsidP="0085709A">
      <w:pPr>
        <w:pStyle w:val="Extracto"/>
      </w:pPr>
    </w:p>
    <w:p w:rsidR="0085709A" w:rsidRDefault="0085709A" w:rsidP="0085709A">
      <w:pPr>
        <w:pStyle w:val="Extracto"/>
      </w:pPr>
      <w:r>
        <w:t>7.</w:t>
      </w:r>
      <w:r>
        <w:tab/>
        <w:t>No cabe apreciar que la heterogeneidad de la Ley 8/2012 de la Comunidad de Madrid determine la denunciada vulneración de la vertiente objetiva del principio de seguridad jurídica, pues nos encontramos ante un texto legal resultante de la tramitación parlamentaria de un proyecto de ley que fue presentado por el Gobierno de la Comunidad de Madrid y publicado en el “Boletín Oficial de la Asamblea de Madrid”, para conocimiento de todos sus eventuales destinatarios y de los integrantes de la Asamblea Legislativa autonómica [FJ 3].</w:t>
      </w:r>
    </w:p>
    <w:p w:rsidR="0085709A" w:rsidRDefault="0085709A" w:rsidP="0085709A">
      <w:pPr>
        <w:pStyle w:val="Extracto"/>
      </w:pPr>
    </w:p>
    <w:p w:rsidR="0085709A" w:rsidRDefault="0085709A" w:rsidP="0085709A">
      <w:pPr>
        <w:pStyle w:val="Extracto"/>
      </w:pPr>
      <w:r>
        <w:t>8.</w:t>
      </w:r>
      <w:r>
        <w:tab/>
        <w:t>El art. 149.1.18 CE no establece una reserva material de ley para la regulación de los contratos y concesiones administrativas sino que se limita a atribuir al Estado la competencia para dictar la legislación básica en esta materia y, por tanto, descartada la existencia de una reserva material de ley de la que parece hacerse depender la vulneración del art. 9.3 CE, no procede entrar en la vulneración del principio de legalidad (STC 111/2014) [FJ 5].</w:t>
      </w:r>
    </w:p>
    <w:p w:rsidR="0085709A" w:rsidRDefault="0085709A" w:rsidP="0085709A">
      <w:pPr>
        <w:pStyle w:val="Extracto"/>
      </w:pPr>
    </w:p>
    <w:p w:rsidR="0085709A" w:rsidRDefault="0085709A" w:rsidP="0085709A">
      <w:pPr>
        <w:pStyle w:val="Extracto"/>
      </w:pPr>
      <w:r>
        <w:t>9.</w:t>
      </w:r>
      <w:r>
        <w:tab/>
        <w:t>El Servicio Madrileño de Salud es titular de la competencia para la actividad de provisión de servicios asistenciales de sus centros sanitarios, sea cual sea la forma jurídica que éstos hayan asumido, por lo que se descarta la vulneración del art. 8 del Real Decreto Legislativo 3/2011, y en consecuencia, la competencia estatal para dictar la legislación básica en materia de contratos y concesiones administrativas [FJ 5].</w:t>
      </w:r>
    </w:p>
    <w:p w:rsidR="0085709A" w:rsidRDefault="0085709A" w:rsidP="0085709A">
      <w:pPr>
        <w:pStyle w:val="Extracto"/>
      </w:pPr>
    </w:p>
    <w:p w:rsidR="0085709A" w:rsidRDefault="0085709A" w:rsidP="0085709A">
      <w:pPr>
        <w:pStyle w:val="Extracto"/>
      </w:pPr>
      <w:r>
        <w:t>10.</w:t>
      </w:r>
      <w:r>
        <w:tab/>
        <w:t>El proyecto de ley fue elaborado por un Gobierno autonómico para ser tramitado en la Asamblea Legislativa autonómica por lo que su valoración desde la perspectiva constitucional requerirá atender al bloque de constitucionalidad aplicable a la Comunidad de Madrid, de modo que no es propiamente el art. 88 CE, sino el art. 140.1 del Reglamento de la Asamblea de Madrid el que sirve de canon de constitucionalidad en este caso [FJ 4].</w:t>
      </w:r>
    </w:p>
    <w:p w:rsidR="0085709A" w:rsidRDefault="0085709A" w:rsidP="0085709A">
      <w:pPr>
        <w:pStyle w:val="Extracto"/>
      </w:pPr>
    </w:p>
    <w:p w:rsidR="0085709A" w:rsidRDefault="0085709A" w:rsidP="0085709A">
      <w:pPr>
        <w:pStyle w:val="Extracto"/>
      </w:pPr>
      <w:r>
        <w:t>11.</w:t>
      </w:r>
      <w:r>
        <w:tab/>
        <w:t xml:space="preserve">Respecto a la vulneración del procedimiento legislativo, la doctrina de este Tribunal establece la necesidad de examinar si se ha producido vulneración de la normativa sobre la elaboración de las leyes para, en su caso, valorar si aquella vulneración pudo tener relevancia para la formación de la voluntad legisladora, de ahí que, la ausencia de un determinado antecedente, sólo tendrá trascendencia si se </w:t>
      </w:r>
      <w:r>
        <w:lastRenderedPageBreak/>
        <w:t>hubiere privado a las Cámaras de un elemento de juicio necesario para su decisión (SSTC 238/2012, 68/2013) [FJ 4].</w:t>
      </w:r>
    </w:p>
    <w:p w:rsidR="0085709A" w:rsidRDefault="0085709A" w:rsidP="0085709A">
      <w:pPr>
        <w:pStyle w:val="Extracto"/>
      </w:pPr>
    </w:p>
    <w:p w:rsidR="0085709A" w:rsidRDefault="0085709A" w:rsidP="0085709A">
      <w:pPr>
        <w:pStyle w:val="Extracto"/>
      </w:pPr>
      <w:r>
        <w:t>12.</w:t>
      </w:r>
      <w:r>
        <w:tab/>
        <w:t>El Servicio Madrileño de Salud reúne las condiciones del Real Decreto Legislativo 3/2011, en tanto que entidad de derecho público adscrita a la Consejería de Sanidad de la Comunidad de Madrid cuya actividad principal no es la producción de bienes y servicios en régimen de mercado; no es entidad equiparable a las entidades públicas empresariales estatales (art 3.2 e) del Real Decreto Legislativo 3/2011); y, sin embargo, los contratos que licita y adjudica sí son contratos administrativos de conformidad con el texto refundido de la Ley de contratos del sector público [FJ 5].</w:t>
      </w:r>
    </w:p>
    <w:p w:rsidR="0085709A" w:rsidRDefault="0085709A" w:rsidP="0085709A">
      <w:pPr>
        <w:pStyle w:val="Extracto"/>
      </w:pPr>
    </w:p>
    <w:p w:rsidR="0085709A" w:rsidRDefault="0085709A" w:rsidP="0085709A">
      <w:pPr>
        <w:pStyle w:val="Extracto"/>
      </w:pPr>
      <w:r>
        <w:t>13.</w:t>
      </w:r>
      <w:r>
        <w:tab/>
        <w:t>Doctrina sobre el alcance de las obligaciones impuestas a los poderes públicos en relación al art.41 CE y la garantía institucional del Sistema de Seguridad Social (SSTS 37/1994, 213/2005) [FJ 7].</w:t>
      </w:r>
    </w:p>
    <w:p w:rsidR="0085709A" w:rsidRDefault="0085709A" w:rsidP="0085709A">
      <w:pPr>
        <w:pStyle w:val="Extracto"/>
      </w:pPr>
    </w:p>
    <w:p w:rsidR="0085709A" w:rsidRDefault="0085709A" w:rsidP="0085709A">
      <w:pPr>
        <w:pStyle w:val="Extracto"/>
      </w:pPr>
      <w:r>
        <w:t>14.</w:t>
      </w:r>
      <w:r>
        <w:tab/>
        <w:t>El art. 62 de la Ley 8/2012, no transgrede los límites definidos por la doctrina constitucional, pues sólo hace referencia a la posibilidad de adjudicar contratos para la gestión del servicio público de asistencia sanitaria especializada en seis hospitales, opción que por sí sola, no entra en contradicción con el art. 41 CE, sin que, además, aun cuando esta previsión legal se materialice en la gestión indirecta del servicio por personas privadas, tal hecho afecte al conjunto de mecanismos de cobertura propios de un sistema de Seguridad Social [FJ 7].</w:t>
      </w:r>
    </w:p>
    <w:p w:rsidR="0085709A" w:rsidRDefault="0085709A" w:rsidP="0085709A">
      <w:pPr>
        <w:pStyle w:val="Extracto"/>
      </w:pPr>
    </w:p>
    <w:p w:rsidR="0085709A" w:rsidRDefault="0085709A" w:rsidP="0085709A">
      <w:pPr>
        <w:pStyle w:val="Extracto"/>
      </w:pPr>
      <w:r>
        <w:t>15.</w:t>
      </w:r>
      <w:r>
        <w:tab/>
        <w:t>La posible apertura a formas de gestión y responsabilidad privada se lleva a cabo preservando la titularidad pública del servicio, refiriéndose la norma únicamente a un supuesto de externalización de la gestión del servicio público en determinados hospitales dependientes del Servicio Madrileño de Salud por lo que no puede decirse, que, por sí sola y con el alcance definido, la Ley autonómica recurrida ponga en riesgo la recognoscibilidad del régimen público de Seguridad Social [FJ 7].</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inconstitucionalidad núm. 1884-2013, interpuesto por más de cincuenta Senadores del Grupo Parlamentario Socialista del Senado, representados por la Procuradora de los Tribunales doña Virginia Aragón Segura y actuando bajo la dirección letrada del Abogado don Wilfredo Jurado Rodríguez, en relación con los arts. 62 y 63 de la Ley 8/2012, de 28 de diciembre, de medidas fiscales y administrativas de la Comunidad de Madrid. Han comparecido y formulado alegaciones el Gobierno y la Asamblea de Madrid.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27 de marzo de 2013, doña Virginia Aragón Segura, Procuradora de los Tribunales y de 57 Senadores del Grupo Parlamentario Socialista del Senado, interpuso recurso de inconstitucionalidad en relación con los arts. 62 y 63 de la Ley 8/2012, de 28 de diciembre, de medidas fiscales y administrativas de la Comunidad de Madrid.</w:t>
      </w:r>
    </w:p>
    <w:p w:rsidR="0085709A" w:rsidRDefault="0085709A" w:rsidP="0085709A">
      <w:pPr>
        <w:pStyle w:val="TextoNormal"/>
      </w:pPr>
    </w:p>
    <w:p w:rsidR="0085709A" w:rsidRDefault="0085709A" w:rsidP="0085709A">
      <w:pPr>
        <w:pStyle w:val="TextoNormal"/>
      </w:pPr>
      <w:r>
        <w:t>El presente recurso de inconstitucionalidad se sustenta sobre los siguientes argumentos:</w:t>
      </w:r>
    </w:p>
    <w:p w:rsidR="0085709A" w:rsidRDefault="0085709A" w:rsidP="0085709A">
      <w:pPr>
        <w:pStyle w:val="TextoNormal"/>
      </w:pPr>
    </w:p>
    <w:p w:rsidR="0085709A" w:rsidRDefault="0085709A" w:rsidP="0085709A">
      <w:pPr>
        <w:pStyle w:val="TextoNormal"/>
      </w:pPr>
      <w:r>
        <w:t>a) Tras reproducir los preceptos legales impugnados, los recurrentes recuerdan que los mismos forman parte de la Ley de medidas fiscales y administrativas de la Comunidad de Madrid del año 2012 en la que, “como ya es habitual en el ámbito de la Comunidad de Madrid se incluyen un conjunto de normas sobre diversas medidas fiscales y administrativas pretendidamente vinculadas a la consecución de la Ley de Presupuestos Generales de la Comunidad de Madrid para el año 2013”. Y añaden que la técnica legislativa empleada para un cambio tan profundo en el sistema de prestación sanitaria en la Comunidad de Madrid como el operado por estos preceptos legales “es manifiestamente irregular”, tratándose de una Ley mediante la que se modifican numerosos textos legales de la Comunidad de Madrid en materias dispares. A su juicio, estamos ante una técnica legislativa insuficiente, que hace muy difícil la comprensión del alcance de la Ley, máxime si se atiende a las continuas referencias a posiciones y soluciones de futuro, con la utilización de expresiones voluntaristas de los órganos ejecutivos de la Comunidad de Madrid —“podrá realizar”, “podrá hacer”, “podrá llevar a cabo”—, en un claro intento de sembrar la confusión, con cita al respecto de la STC 46/1990, en la que se señaló que el principio de seguridad jurídica (art. 9.3 CE) implica que el legislador debe perseguir la claridad.</w:t>
      </w:r>
    </w:p>
    <w:p w:rsidR="0085709A" w:rsidRDefault="0085709A" w:rsidP="0085709A">
      <w:pPr>
        <w:pStyle w:val="TextoNormal"/>
      </w:pPr>
    </w:p>
    <w:p w:rsidR="0085709A" w:rsidRDefault="0085709A" w:rsidP="0085709A">
      <w:pPr>
        <w:pStyle w:val="TextoNormal"/>
      </w:pPr>
      <w:r>
        <w:t xml:space="preserve">Asimismo, los recurrentes reproducen el tenor del art. 88 CE y, señalando el carácter casi idéntico de su redacción, transcriben el art. 140.1 del Reglamento de la Asamblea de Madrid. También hacen mención al Dictamen 128/2012, de 7 de marzo, del Consejo Consultivo de la Comunidad de Madrid, transcribiendo un fragmento del mismo en que, entre otros aspectos, se hace alusión a que, conforme al art. 33 del Estatuto de Autonomía, el derecho estatal tiene carácter supletorio del derecho propio de Madrid, y de igual modo, se cita la disposición final segunda de la Ley 1/1983, de Gobierno y Administración de la Comunidad de Madrid, según la cual, para lo no previsto en esta Ley serán de aplicación las disposiciones legales del Estado en la materia. Igualmente, reproducen el texto del art. 22.2 de la Ley </w:t>
      </w:r>
      <w:r>
        <w:lastRenderedPageBreak/>
        <w:t>50/1997, de 27 de noviembre, del Gobierno, relativo al procedimiento de elaboración de proyectos de ley. Tras exponer estas citas normativas, el escrito de recurso indica que el art. 88 CE impone obligaciones de hacer tanto al Consejo de Gobierno como a la Asamblea de Madrid y que, en virtud del art. 9.1 (sujeción de los poderes públicos a la Constitución) y art. 9.3 (principios de publicidad de las normas e interdicción de la arbitrariedad de los poderes públicos) deben cumplirlas, pues tanto los parlamentarios como los ciudadanos tienen derecho a conocer las razones por las que sus representantes han entendido necesario imponer esa Ley. Pues bien, con relación a los impugnados arts. 62 y 63 de la Ley 8/2012, los recurrentes ponen de relieve que “tanto las brevísimas y apodícticas manifestaciones del Plan de Sostenibilidad como el contenido de los Informes remitidos a la Asamblea junto con el proyecto de ley no cumplen bajo ningún concepto la función de aportar los antecedentes necesarios para comprender el contenido de estas normas”. Según indican, estas disposiciones normativas han sido remitidas a la Asamblea de Madrid y han sido aprobadas, sin ir acompañadas de los antecedentes necesarios para pronunciarse sobre las mismas y para que puedan aplicarse con una mínima seguridad jurídica. Afirman que la Constitución ha reconocido que el debate parlamentario sobre el proyecto de ley ha de ser, en primer lugar, un debate sobre los presupuestos de la ley —entre otros, la justificación de su necesidad, la valoración de las alternativas existentes y de la fórmula elegida, el análisis sobre la viabilidad de la norma, etc.—. Así, indican, lo ha reconocido el Real Decreto 1083/2009.</w:t>
      </w:r>
    </w:p>
    <w:p w:rsidR="0085709A" w:rsidRDefault="0085709A" w:rsidP="0085709A">
      <w:pPr>
        <w:pStyle w:val="TextoNormal"/>
      </w:pPr>
    </w:p>
    <w:p w:rsidR="0085709A" w:rsidRDefault="0085709A" w:rsidP="0085709A">
      <w:pPr>
        <w:pStyle w:val="TextoNormal"/>
      </w:pPr>
      <w:r>
        <w:t>Defienden igualmente los recurrentes que “hora es ya” de que el Tribunal Constitucional se pronuncie “directa y primordialmente sobre la constitucionalidad de una ley por vulneración del art. 88 de la Constitución”: “[d]ecimos todo esto porque no queremos dejar de poner de manifiesto la intención perversa que subyace en todo el procedimiento seguido por el legislador, impulsado por el Gobierno de la Comunidad de Madrid, mediante el cual se pretende ocultar las verdaderas intenciones con un texto legal parco con referencias continuas a términos futuros, habilitando posibilidades futuras pero sin concretar cuáles han de ser éstas o refiriéndolas en otros textos complementarios extramuros de la norma y todo ello además sin que ésta tenga todos los elementos para entender la voluntad del legislador”.</w:t>
      </w:r>
    </w:p>
    <w:p w:rsidR="0085709A" w:rsidRDefault="0085709A" w:rsidP="0085709A">
      <w:pPr>
        <w:pStyle w:val="TextoNormal"/>
      </w:pPr>
    </w:p>
    <w:p w:rsidR="0085709A" w:rsidRDefault="0085709A" w:rsidP="0085709A">
      <w:pPr>
        <w:pStyle w:val="TextoNormal"/>
      </w:pPr>
      <w:r>
        <w:t>Hablan los recurrentes del “nuevo-viejo” modelo de gestión, señalando que el antecedente directo de los arts. 62 y 63 de la Ley 8/2012 es el “Plan de Medidas de garantía de la sostenibilidad del sistema sanitario público de la Comunidad de Madrid”, de cuyo contenido transcriben algunos fragmentos. Este plan pondría de manifiesto, al decir de los Senadores promotores del recurso de inconstitucionalidad, cuál es el tipo de gestión indirecta elegido por el legislador —la concesión administrativa tanto en hospitales como en centros de atención primaria—, así como el sistema de retribución al concesionario en los hospitales —la capitación—.</w:t>
      </w:r>
    </w:p>
    <w:p w:rsidR="0085709A" w:rsidRDefault="0085709A" w:rsidP="0085709A">
      <w:pPr>
        <w:pStyle w:val="TextoNormal"/>
      </w:pPr>
    </w:p>
    <w:p w:rsidR="0085709A" w:rsidRDefault="0085709A" w:rsidP="0085709A">
      <w:pPr>
        <w:pStyle w:val="TextoNormal"/>
      </w:pPr>
      <w:r>
        <w:t>b) Hechas las reflexiones que preceden, los recurrentes exponen el primer motivo de inconstitucionalidad, dirigido contra el art. 62 de la Ley 8/2012 “por violación del artículo 9.3 de la Constitución en relación con el principio de legalidad, así como por infringir el artículo 149.1.18 [CE] sobre bases del régimen jurídico de las Administraciones públicas así como por reserva de ley estatal sobre contratos y concesiones administrativas”.</w:t>
      </w:r>
    </w:p>
    <w:p w:rsidR="0085709A" w:rsidRDefault="0085709A" w:rsidP="0085709A">
      <w:pPr>
        <w:pStyle w:val="TextoNormal"/>
      </w:pPr>
    </w:p>
    <w:p w:rsidR="0085709A" w:rsidRDefault="0085709A" w:rsidP="0085709A">
      <w:pPr>
        <w:pStyle w:val="TextoNormal"/>
      </w:pPr>
      <w:r>
        <w:t xml:space="preserve">Al respecto, apuntan que el objetivo principal del artículo 62 es habilitar al Servicio Madrileño de Salud para que pueda adjudicar contratos para la gestión del servicio público de asistencia sanitaria especializada en los seis hospitales que se citan en el precepto legal. A </w:t>
      </w:r>
      <w:r>
        <w:lastRenderedPageBreak/>
        <w:t>su entender, tal habilitación para la citada función se produce porque dicho Servicio no tiene competencias para hacerlo. Citan los recurrentes los arts. 8 del texto refundido de la Ley de contratos del sector público, 58 y 59 de la Ley de ordenación sanitaria de la Comunidad de Madrid, 6 de la Ley reguladora de la hacienda de la Comunidad de Madrid y el Decreto del Consejo de Gobierno de la Comunidad de Madrid 22/2008, de 3 de abril, por el que se establece la estructura orgánica de la Consejería de Sanidad que define al Servicio Madrileño de Salud como “ente público”, de donde infieren los parlamentarios recurrentes que “no es ni un Organismo autónomo administrativo (de aquellos que prestan servicios públicos sujetos al régimen administrativo) ni Empresa pública de la Comunidad de Madrid”, sino una entidad instrumental de la Administración de la Comunidad de Madrid que “en modo alguno puede entenderse que forma parte de la Administración pública en los términos del art. 6 del texto refundido de la Ley de contratos del sector público (</w:t>
      </w:r>
      <w:r w:rsidRPr="0085709A">
        <w:rPr>
          <w:i/>
        </w:rPr>
        <w:t>sic</w:t>
      </w:r>
      <w:r>
        <w:t>) como sujeto susceptible de adjudicar contratos de gestión de servicio público”.</w:t>
      </w:r>
    </w:p>
    <w:p w:rsidR="0085709A" w:rsidRDefault="0085709A" w:rsidP="0085709A">
      <w:pPr>
        <w:pStyle w:val="TextoNormal"/>
      </w:pPr>
    </w:p>
    <w:p w:rsidR="0085709A" w:rsidRDefault="0085709A" w:rsidP="0085709A">
      <w:pPr>
        <w:pStyle w:val="TextoNormal"/>
      </w:pPr>
      <w:r>
        <w:t>Según indican, el Servicio no puede adjudicar este tipo de contratos porque no ostenta la condición de Administración pública y porque la titular del servicio —la Comunidad de Madrid de acuerdo con el art. 3.3 de la Ley de ordenación sanitaria de la Comunidad de Madrid— lo tiene encomendado en régimen de gestión directa precisamente al Servicio Madrileño de Salud, que se constituye, así, en entidad instrumental y que por ello no puede por ningún título ceder su gestión a terceros, ni siquiera parcialmente.</w:t>
      </w:r>
    </w:p>
    <w:p w:rsidR="0085709A" w:rsidRDefault="0085709A" w:rsidP="0085709A">
      <w:pPr>
        <w:pStyle w:val="TextoNormal"/>
      </w:pPr>
    </w:p>
    <w:p w:rsidR="0085709A" w:rsidRDefault="0085709A" w:rsidP="0085709A">
      <w:pPr>
        <w:pStyle w:val="TextoNormal"/>
      </w:pPr>
      <w:r>
        <w:t>El escrito de recurso añade que el artículo 62 no solo habilita al Servicio sin concretar en qué condiciones y con qué título jurídico se lleva a cabo esa habilitación, sino que también otorga la vigilancia y seguimiento de la ejecución de los contratos a una entidad dependiente de la Administración pública (unidad de control), cuando lo normal sería que esas funciones las desempeñase el propio órgano de contratación; finalmente, se habilita al órgano de contratación para que dicte instrucciones de funcionamiento para garantizar la correcta prestación del servicio, cuando eso debía ser uno de los aspectos a establecer en el pliego de condiciones. En opinión de los recurrentes, “lo que el legislador autonómico pretende llevar a cabo … es una extensión, para la que carece obviamente de competencia, del concepto de Administración pública contenida en la norma básica (artículo 8 del texto refundido de la Ley de contratos del sector público) para que en dicho concepto se entiendan también todo tipo de entes instrumentales sean o no entes de derecho público sujetos incluso al derecho privado y que todos ellos puedan ‘adjudicar contratos de gestión de servicios públicos’ ”.</w:t>
      </w:r>
    </w:p>
    <w:p w:rsidR="0085709A" w:rsidRDefault="0085709A" w:rsidP="0085709A">
      <w:pPr>
        <w:pStyle w:val="TextoNormal"/>
      </w:pPr>
    </w:p>
    <w:p w:rsidR="0085709A" w:rsidRDefault="0085709A" w:rsidP="0085709A">
      <w:pPr>
        <w:pStyle w:val="TextoNormal"/>
      </w:pPr>
      <w:r>
        <w:t>Por las razones indicadas concluyen que el art. 62 de la Ley 8/2012 es contrario al art. 149.1.18 CE.</w:t>
      </w:r>
    </w:p>
    <w:p w:rsidR="0085709A" w:rsidRDefault="0085709A" w:rsidP="0085709A">
      <w:pPr>
        <w:pStyle w:val="TextoNormal"/>
      </w:pPr>
    </w:p>
    <w:p w:rsidR="0085709A" w:rsidRDefault="0085709A" w:rsidP="0085709A">
      <w:pPr>
        <w:pStyle w:val="TextoNormal"/>
      </w:pPr>
      <w:r>
        <w:t xml:space="preserve">c) Como segundo motivo de inconstitucionalidad se esgrime que el art. 63 de la Ley 8/2012 —y más en concreto, el punto segundo del modificado art. 88 de la Ley 12/2001— infringe la normativa básica estatal y del art. 149.1.18 CE en materia de reserva de ley estatal sobre contratos y concesiones administrativas, así como también el principio de seguridad jurídica </w:t>
      </w:r>
      <w:r w:rsidRPr="0085709A">
        <w:rPr>
          <w:i/>
        </w:rPr>
        <w:t>ex</w:t>
      </w:r>
      <w:r>
        <w:t xml:space="preserve"> art. 9.3 CE. Según indican, los argumentos que exponen ya fueron puestos de manifiesto por el informe de la Asesoría Jurídica de la Comunidad de Madrid, siendo obviados por el legislador.</w:t>
      </w:r>
    </w:p>
    <w:p w:rsidR="0085709A" w:rsidRDefault="0085709A" w:rsidP="0085709A">
      <w:pPr>
        <w:pStyle w:val="TextoNormal"/>
      </w:pPr>
    </w:p>
    <w:p w:rsidR="0085709A" w:rsidRDefault="0085709A" w:rsidP="0085709A">
      <w:pPr>
        <w:pStyle w:val="TextoNormal"/>
      </w:pPr>
      <w:r>
        <w:t xml:space="preserve">En concreto, afirman que la posibilidad de introducir preferencias en la adjudicación de ciertos contratos, que figura en el artículo 63, ha sido objeto de estudio por el Tribunal de </w:t>
      </w:r>
      <w:r>
        <w:lastRenderedPageBreak/>
        <w:t xml:space="preserve">Justicia de la Unión Europea. Los recurrentes reproducen varios pasajes de la Sentencia asunto </w:t>
      </w:r>
      <w:r w:rsidRPr="0085709A">
        <w:rPr>
          <w:i/>
        </w:rPr>
        <w:t>Parking Brixen GMBH</w:t>
      </w:r>
      <w:r>
        <w:t>, de 13 de octubre de 2005, poniendo de relieve que de la doctrina de este Tribunal se infiere un principio general de libertad de acceso a la licitación que ha tenido reflejo en la normativa interna: en concreto, remarcando su carácter básico reproducen el tenor del art. 1 del texto refundido de la Ley de contratos del sector público y señalan que la única excepción a la libertad de acceso a la licitación que este texto legal establece es la prevista en su disposición adicional quinta, destacando también que un supuesto de preferencia en la adjudicación se contempla asimismo en su disposición adicional cuarta. Al respecto afirman que cualquier otra limitación o preferencia no prevista en el texto refundido de la Ley de contratos del sector público vulneraría la normativa básica estatal, de ahí que consideren que el precepto impugnado resulta inconstitucional en tanto altera el sistema competencial en materia de contratación pública y concesiones en relación con la libre competencia. Asimismo, aluden a que las Directivas 2004/18/CE y 2004/17/CE establecen la obligación de concurrir en régimen de libre competencia a la licitación de servicios públicos.</w:t>
      </w:r>
    </w:p>
    <w:p w:rsidR="0085709A" w:rsidRDefault="0085709A" w:rsidP="0085709A">
      <w:pPr>
        <w:pStyle w:val="TextoNormal"/>
      </w:pPr>
    </w:p>
    <w:p w:rsidR="0085709A" w:rsidRDefault="0085709A" w:rsidP="0085709A">
      <w:pPr>
        <w:pStyle w:val="TextoNormal"/>
      </w:pPr>
      <w:r>
        <w:t>Entienden además que la norma recurrida conculca el principio de seguridad jurídica previsto en el art. 9.3 CE (SSTC 46/1990, FJ 4, y 150/1990, FJ 8), pues siembra la duda a los posibles licitadores sobre si actuar de acuerdo con la normativa estatal o la autonómica, pudiendo también generar una duda suficiente en los entes locales sobre la vigencia de sus anteriores convenios.</w:t>
      </w:r>
    </w:p>
    <w:p w:rsidR="0085709A" w:rsidRDefault="0085709A" w:rsidP="0085709A">
      <w:pPr>
        <w:pStyle w:val="TextoNormal"/>
      </w:pPr>
    </w:p>
    <w:p w:rsidR="0085709A" w:rsidRDefault="0085709A" w:rsidP="0085709A">
      <w:pPr>
        <w:pStyle w:val="TextoNormal"/>
      </w:pPr>
      <w:r>
        <w:t>d) Como tercer motivo del recurso se aduce la “vulneración de la garantía institucional contenida en el art. 41 CE, de los derechos que se derivan de la misma para los ciudadanos, del art. 149.1.17 CE y del art. 14 CE”.</w:t>
      </w:r>
    </w:p>
    <w:p w:rsidR="0085709A" w:rsidRDefault="0085709A" w:rsidP="0085709A">
      <w:pPr>
        <w:pStyle w:val="TextoNormal"/>
      </w:pPr>
    </w:p>
    <w:p w:rsidR="0085709A" w:rsidRDefault="0085709A" w:rsidP="0085709A">
      <w:pPr>
        <w:pStyle w:val="TextoNormal"/>
      </w:pPr>
      <w:r>
        <w:t>Al respecto señalan que la función esencial del Estado en materia de seguridad social es mantener un régimen público para todos los ciudadanos que les asegure la asistencia y prestaciones sociales suficientes ante situaciones de necesidad (art. 41 CE), poniendo de relieve que el régimen económico de este sistema es competencia exclusiva del Estado (art. 149.1.17 CE). Indican también que la Ley general de la Seguridad Social define los elementos subjetivos y objetivos imprescindibles del aseguramiento: quién ostenta la titularidad del derecho a las prestaciones y cuál es el alcance de estas. A su vez añaden que, en el caso de la asistencia sanitaria de la Seguridad Social, es su prestación lo que se articula mediante el Sistema Nacional de Salud, tal y como resulta de la regulación contenida en las leyes básicas estatales y autonómicas de desarrollo. Recuerdan asimismo que la doctrina constitucional ha identificado dos características esenciales del régimen de Seguridad Social: su garantía institucional (STC 37/1994) y la definición legal, que no contractual de su régimen y que sus prestaciones no tienen carácter contributivo (STC 65/1987).</w:t>
      </w:r>
    </w:p>
    <w:p w:rsidR="0085709A" w:rsidRDefault="0085709A" w:rsidP="0085709A">
      <w:pPr>
        <w:pStyle w:val="TextoNormal"/>
      </w:pPr>
    </w:p>
    <w:p w:rsidR="0085709A" w:rsidRDefault="0085709A" w:rsidP="0085709A">
      <w:pPr>
        <w:pStyle w:val="TextoNormal"/>
      </w:pPr>
      <w:r>
        <w:t xml:space="preserve">Exponen en su argumentación que el denominado “Plan de Medidas de garantía de la sostenibilidad del sistema sanitario público de la Comunidad de Madrid” permite conocer cuál es el objetivo perseguido por el legislador así como la modalidad de entre los medios de gestión indirecta que adoptará, que no es otra que la concesión administrativa en la que la retribución del concesionario se va a establecer de forma capitativa (es decir, una cuantía por habitante/año). A su juicio, esos contratos de concesión del servicio de la asistencia sanitaria de la Seguridad Social introducirán en la Comunidad de Madrid un doble régimen </w:t>
      </w:r>
      <w:r>
        <w:lastRenderedPageBreak/>
        <w:t>económico en el aseguramiento de la prestación: en las zonas con concesión regirá un régimen económico contractual con pagos capitativos al concesionario prestador de los servicios, acordado contractualmente, que la Administración debe respetar; en las zonas de gestión directa, el régimen económico será presupuestario, sin recursos económicos prefijados para prestar los servicios porque el Gobierno es libre de fijar las correspondientes partidas presupuestarias.</w:t>
      </w:r>
    </w:p>
    <w:p w:rsidR="0085709A" w:rsidRDefault="0085709A" w:rsidP="0085709A">
      <w:pPr>
        <w:pStyle w:val="TextoNormal"/>
      </w:pPr>
    </w:p>
    <w:p w:rsidR="0085709A" w:rsidRDefault="0085709A" w:rsidP="0085709A">
      <w:pPr>
        <w:pStyle w:val="TextoNormal"/>
      </w:pPr>
      <w:r>
        <w:t>En cuanto a la organización territorial del servicio, señalan que la Ley 6/2009, de 16 de noviembre, de libertad de elección en la sanidad de la Comunidad de Madrid, organiza el sistema sanitario público de Madrid en un área de salud única; a su vez, el Decreto 52/2010, de 29 de julio, incorpora en anexo la relación de zonas básicas de salud según municipios y zonas censales. Por ello, indican, el sistema sanitario se organiza por zonas básicas de salud, a cada una de las cuales le corresponde un centro de salud y un hospital de referencia, de modo que todos los hospitales de la red pública tienen asignada una población de referencia que, en el caso de los territorios con atención especializada vía concesión con financiación capitativa, determina la cuantía de la financiación de la concesión.</w:t>
      </w:r>
    </w:p>
    <w:p w:rsidR="0085709A" w:rsidRDefault="0085709A" w:rsidP="0085709A">
      <w:pPr>
        <w:pStyle w:val="TextoNormal"/>
      </w:pPr>
    </w:p>
    <w:p w:rsidR="0085709A" w:rsidRDefault="0085709A" w:rsidP="0085709A">
      <w:pPr>
        <w:pStyle w:val="TextoNormal"/>
      </w:pPr>
      <w:r>
        <w:t>No obstante, añaden, el Decreto del Consejo de Gobierno de la Comunidad de Madrid 51/2010, de 29 de julio, permite a los ciudadanos elegir profesionales de atención primaria fuera de su zona básica de salud y recibir atención especializada en un hospital distinto al de referencia que les corresponda, si bien, esta libertad de elección de hospital está limitada a procesos médicos concretos pues no es posible cambiar el hospital de referencia que les corresponde a los ciudadanos en función de su domicilio, lo que implica que a los ciudadanos residentes en territorios cuya atención especializada haya pasado al régimen de concesión se les fuerza, sin posibilidad alguna de elección, a que una parte muy importante de su aseguramiento sanitario público sea gestionada por una compañía concesionaria, sin darle la opción de llevarse “su cápita” al hospital de referencia de su elección.</w:t>
      </w:r>
    </w:p>
    <w:p w:rsidR="0085709A" w:rsidRDefault="0085709A" w:rsidP="0085709A">
      <w:pPr>
        <w:pStyle w:val="TextoNormal"/>
      </w:pPr>
    </w:p>
    <w:p w:rsidR="0085709A" w:rsidRDefault="0085709A" w:rsidP="0085709A">
      <w:pPr>
        <w:pStyle w:val="TextoNormal"/>
      </w:pPr>
      <w:r>
        <w:t>Afirman los recurrentes que, en los territorios de gestión sanitaria directa por el Servicio Madrileño de Salud con régimen económico presupuestario, si un hospital carece de los medios o de las especialidades necesarias para tratar a un paciente, existe una jerarquía de hospitales de segundo nivel, con más especialidades o recursos, a los que el paciente es remitido. La financiación de los hospitales con gestión directa se realiza por el sistema de “presupuesto global” y se determina en los presupuestos como un programa, vinculado con un contrato de gestión suscrito entre la dirección del hospital y la del Servicio en el que se detallan los objetivos de actividad y calidad para el año. El sistema de referencia de pacientes en este ámbito es básicamente “cooperativo” pues exige la colaboración entre hospitales de menor complejidad y otros de mayor nivel, así como con los hospitales de agudos y crónicos, sin que existan impedimentos ni incentivos para tratar pacientes de otras áreas de referencia hospitalaria. Por el contrario, en los hospitales de los territorios de gestión indirecta se genera un sistema “competitivo”: si un paciente de su zona es atendido en otro hospital, deberá abonar a la Administración sanitaria el pago establecido y si el hospital concesionado atiende a un paciente ubicado fuera de su zona, percibirá el pago correspondiente, de modo que en este sistema se generan incentivos para tratar o no a los pacientes en función del coste del tratamiento y de “que sean ajenos o propios (se gana más o se gana lo mismo)”. A su entender, se crea así un sistema de “apartheid sanitario”, en el que se ven atrapados los ciudadanos de territorios con atención especializada concesionada, negando en la práctica la noción de área sanitaria única proclamada en la Ley 6/2009.</w:t>
      </w:r>
    </w:p>
    <w:p w:rsidR="0085709A" w:rsidRDefault="0085709A" w:rsidP="0085709A">
      <w:pPr>
        <w:pStyle w:val="TextoNormal"/>
      </w:pPr>
    </w:p>
    <w:p w:rsidR="0085709A" w:rsidRDefault="0085709A" w:rsidP="0085709A">
      <w:pPr>
        <w:pStyle w:val="TextoNormal"/>
      </w:pPr>
      <w:r>
        <w:t>Por otro lado, con apoyo en la experiencia de los contratos de gestión privada de los hospitales de Valdemoro y Torrejón, afirman que está prevista la actualización del importe total de su retribución según el IPC y un factor de corrección, lo que implica que “indefectible e independientemente de cuál sea la situación económica de las arcas públicas, el contrato obliga a la Comunidad a aumentar la asignación de recursos de forma anual. Por el contrario, en los hospitales de gestión directa pública, su presupuesto anual dependerá de lo que decida el Presupuesto anual de la Comunidad de Madrid”. De privatizarse la gestión de los seis hospitales y los 27 centros de salud, una población de 1.150.000 habitantes pasaría a encontrarse con su aseguramiento de atención especializada gestionado por empresas privadas comerciales, con el consiguiente riesgo de descapitalización de los hospitales de gestión pública.</w:t>
      </w:r>
    </w:p>
    <w:p w:rsidR="0085709A" w:rsidRDefault="0085709A" w:rsidP="0085709A">
      <w:pPr>
        <w:pStyle w:val="TextoNormal"/>
      </w:pPr>
    </w:p>
    <w:p w:rsidR="0085709A" w:rsidRDefault="0085709A" w:rsidP="0085709A">
      <w:pPr>
        <w:pStyle w:val="TextoNormal"/>
      </w:pPr>
      <w:r>
        <w:t>Tras razonar sobre las consecuencias del modelo de financiación contractual capitativa, los recurrentes indican que este sistema conduce a prácticas de dudosa racionalidad pues los hospitales de gestión privada tienen un alto interés en atraer procedimientos sencillos y de costes variables bajos, susceptibles de hacer marketing por variables hoteleras o paraclínicas. El hospital público que deja de prestar servicio al paciente pasa a subsidiar al hospital privado pues solo se ahorra el coste variable, dado que los costes fijos están presupuestados. Los recurrentes también denuncian la existencia de un riesgo cierto de desplazamiento injusto de los costes de los hospitales privados a los públicos sin que existan mecanismos claros y eficaces de control de esta desviación. La suma de ambos procesos puede dar lugar a un panorama en el que “los hospitales privados se especializan en retener y atraer procesos y pacientes sencillos, y a derivar otros complejos, costosos y con alta ocupación de camas”, de modo que sustituyen “pacientes caros que bloquearían las camas y recursos, por otros más ligeros a los cuales se les puede facturar a precios medios, a la vez que se amplía la capacidad asistencial para pacientes que sólo gastan los costes variables asociados a su atención”.</w:t>
      </w:r>
    </w:p>
    <w:p w:rsidR="0085709A" w:rsidRDefault="0085709A" w:rsidP="0085709A">
      <w:pPr>
        <w:pStyle w:val="TextoNormal"/>
      </w:pPr>
    </w:p>
    <w:p w:rsidR="0085709A" w:rsidRDefault="0085709A" w:rsidP="0085709A">
      <w:pPr>
        <w:pStyle w:val="TextoNormal"/>
      </w:pPr>
      <w:r>
        <w:t>A juicio de los recurrentes, el establecimiento de este tipo de concesiones administrativas comporta desigualdades injustas entre los ciudadanos de una misma Comunidad, vulnerando el principio de igualdad (art. 14 CE). Asimismo consideran que la vulneración del art. 41 CE, en cuanto a la garantía institucional, resulta evidente, “porque el aseguramiento de una parte de la población deja de ser público, al concederse capitativamente a un particular; que ya ajustará los riesgos en función de su propia estrategia empresarial”. La infracción del art. 149.1.17 CE “tampoco parece discutible porque la Comunidad de Madrid carece de competencia para alterar el régimen público de aseguramiento sanitario del Sistema Nacional de Salud estableciendo uno propio”. Consideran probado que se está incidiendo sobre el régimen económico del aseguramiento, e insisten en que esta forma de concesión administrativa genera una situación en la que la Administración sanitaria contrata externamente una de sus funciones irrenunciables por formar parte del régimen público de Seguridad Social: “su gestión económica para poblaciones sanitariamente cautivas en los territorios concesionados”.</w:t>
      </w:r>
    </w:p>
    <w:p w:rsidR="0085709A" w:rsidRDefault="0085709A" w:rsidP="0085709A">
      <w:pPr>
        <w:pStyle w:val="TextoNormal"/>
      </w:pPr>
    </w:p>
    <w:p w:rsidR="0085709A" w:rsidRDefault="0085709A" w:rsidP="0085709A">
      <w:pPr>
        <w:pStyle w:val="TextoNormal"/>
      </w:pPr>
      <w:r>
        <w:t xml:space="preserve">Los Senadores recurrentes denuncian la ausencia de mecanismos eficaces para contrarrestar los incentivos económicos empresariales en conflicto de interés potencial con las obligaciones sanitarias asumidas por el concesionario, y la ausencia, tanto normativa como </w:t>
      </w:r>
      <w:r>
        <w:lastRenderedPageBreak/>
        <w:t>práctica, de mecanismos de tutela pública de los derechos sanitarios de ciudadanos y pacientes del territorio concesionado ya que los hospitales concesionados no disponen de un contrato programa o contrato de gestión, como tienen los de gestión directa, en los que se especifiquen los servicios a prestar y los estándares de calidad y la Administración sanitaria no cuenta en estos hospitales con representantes ante los cuales los ciudadanos y pacientes puedan presentar reclamaciones.</w:t>
      </w:r>
    </w:p>
    <w:p w:rsidR="0085709A" w:rsidRDefault="0085709A" w:rsidP="0085709A">
      <w:pPr>
        <w:pStyle w:val="TextoNormal"/>
      </w:pPr>
    </w:p>
    <w:p w:rsidR="0085709A" w:rsidRDefault="0085709A" w:rsidP="0085709A">
      <w:pPr>
        <w:pStyle w:val="TextoNormal"/>
      </w:pPr>
      <w:r>
        <w:t>e) Como cuarto y último motivo del recurso se aduce la infracción del derecho a la protección de la salud (art. 43 CE) y de la regulación básica estatal sobre sanidad pública (art. 149.1.16 CE). Al respecto señalan que las concesiones para la gestión de la atención especializada conllevan la prolongación del “apartheid” a la provisión y prestación de la asistencia sanitaria, vulnerando las características esenciales del Sistema Nacional de Salud, tanto las relativas al derecho a la salud (universalidad, igualdad efectiva o equidad, accesibilidad y libertad de elección), como el carácter integral del Sistema (financiación pública común, reglas básicas comunes, organización de los servicios bajo una concepción integral del sistema sanitario): estas características, indican, están definidas por disposiciones de las Leyes general de sanidad y de cohesión y calidad del Sistema Nacional de Salud, que constituyen normas básicas estatales en materia de sanidad, que la Comunidad de Madrid no puede vulnerar. La STC 98/2004 incide en que la regulación básica es garantía de una uniformidad mínima en las condiciones de acceso a las prestaciones sanitarias con independencia del lugar en el que se resida; por su parte, la STC 136/2012 insiste en que las normas básicas constituyen un común denominador normativo dirigido a asegurar, de manera unitaria y en condiciones de igualdad, el acceso de todos los ciudadanos a la sanidad.</w:t>
      </w:r>
    </w:p>
    <w:p w:rsidR="0085709A" w:rsidRDefault="0085709A" w:rsidP="0085709A">
      <w:pPr>
        <w:pStyle w:val="TextoNormal"/>
      </w:pPr>
    </w:p>
    <w:p w:rsidR="0085709A" w:rsidRDefault="0085709A" w:rsidP="0085709A">
      <w:pPr>
        <w:pStyle w:val="TextoNormal"/>
      </w:pPr>
      <w:r>
        <w:t>Las consideraciones expuestas en el epígrafe anterior acerca de las restricciones de acceso “en condiciones de igualdad” a los servicios de salud a los ciudadanos que residen en zonas concesionadas son igualmente idóneas para fundamentar las vulneraciones de las normas constitucionales aquí invocadas por los recurrentes. De igual modo, “la diferencia operativa entre los hospitales que funcionan en el ‘modelo competitivo’ y los que funcionan en el ‘modelo cooperativo’ también rompe la concepción básica integral del sistema público de salud”.</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23 de abril de 2013, el Pleno de este Tribunal acordó admitir a trámite el presente recurso de inconstitucionalidad, así como dar traslado, conforme establece el art. 34 de la Ley Orgánica del Tribunal Constitucional (LOTC), al Congreso de los Diputados y al Senado por conducto de sus Presidentes, al Gobierno de la Nación a través del Ministro de Justicia y al Gobierno y a la Asamblea de Madrid por conducto de sus respectivos Presidentes, al objeto de que en el plazo de quince días pudiesen personarse en el proceso y formular las alegaciones que estimaran convenientes; y publicar la incoación del recurso en el “Boletín Oficial del Estado”, lo que se llevó a efecto en el núm. 114, de 13 de mayo de 2013, y en el “Boletín Oficial de la Comunidad de Madrid”.</w:t>
      </w:r>
    </w:p>
    <w:p w:rsidR="0085709A" w:rsidRDefault="0085709A" w:rsidP="0085709A">
      <w:pPr>
        <w:pStyle w:val="TextoNormal"/>
      </w:pPr>
    </w:p>
    <w:p w:rsidR="0085709A" w:rsidRDefault="0085709A" w:rsidP="0085709A">
      <w:pPr>
        <w:pStyle w:val="TextoNormal"/>
      </w:pPr>
      <w:r w:rsidRPr="0085709A">
        <w:rPr>
          <w:rStyle w:val="NumeroAFNegritaCaracter"/>
        </w:rPr>
        <w:t>3</w:t>
      </w:r>
      <w:r>
        <w:t>. El 14 de mayo de 2013, el Abogado del Estado, actuando en la representación que ostenta, comunicó que no iba a formular alegaciones y que se personaba en este proceso a los efectos de que en su día se le notifiquen las resoluciones que en él se dicten.</w:t>
      </w:r>
    </w:p>
    <w:p w:rsidR="0085709A" w:rsidRDefault="0085709A" w:rsidP="0085709A">
      <w:pPr>
        <w:pStyle w:val="TextoNormal"/>
      </w:pPr>
    </w:p>
    <w:p w:rsidR="0085709A" w:rsidRDefault="0085709A" w:rsidP="0085709A">
      <w:pPr>
        <w:pStyle w:val="TextoNormal"/>
      </w:pPr>
      <w:r>
        <w:lastRenderedPageBreak/>
        <w:t>El siguiente día 16 se registraron sendos escritos de los Presidentes del Congreso y del Senado dando por personadas a ambas Cámaras en este proceso constitucional y por ofrecida su colaboración a los efectos del art. 88.1 de la Ley Orgánica del Tribunal Constitucional (LOTC).</w:t>
      </w:r>
    </w:p>
    <w:p w:rsidR="0085709A" w:rsidRDefault="0085709A" w:rsidP="0085709A">
      <w:pPr>
        <w:pStyle w:val="TextoNormal"/>
      </w:pPr>
    </w:p>
    <w:p w:rsidR="0085709A" w:rsidRDefault="0085709A" w:rsidP="0085709A">
      <w:pPr>
        <w:pStyle w:val="TextoNormal"/>
      </w:pPr>
      <w:r w:rsidRPr="0085709A">
        <w:rPr>
          <w:rStyle w:val="NumeroAFNegritaCaracter"/>
        </w:rPr>
        <w:t>4</w:t>
      </w:r>
      <w:r>
        <w:t>. El 28 de mayo de 2013 formuló alegaciones la Letrada de la Comunidad de Madrid, quien interesa la desestimación del recurso de inconstitucionalidad con base en las alegaciones que seguidamente se sintetizan.</w:t>
      </w:r>
    </w:p>
    <w:p w:rsidR="0085709A" w:rsidRDefault="0085709A" w:rsidP="0085709A">
      <w:pPr>
        <w:pStyle w:val="TextoNormal"/>
      </w:pPr>
    </w:p>
    <w:p w:rsidR="0085709A" w:rsidRDefault="0085709A" w:rsidP="0085709A">
      <w:pPr>
        <w:pStyle w:val="TextoNormal"/>
      </w:pPr>
      <w:r>
        <w:t>a) Se refiere en primer lugar la Letrada autonómica al objeto y alcance de este recurso. A este respecto, pone de manifiesto que si bien se dirige contra los arts. 62 y 63 de la Ley 8/2012, de 28 de diciembre, de medidas fiscales y administrativas de la Comunidad de Madrid —el primero de los cuales aborda la reordenación sanitaria en los hospitales Infanta Cristina, Infanta Sofía, Infanta Leonor, Sureste, Henares y Tajo, y el segundo reforma el art. 88 de la Ley 12/2001, de 21 de diciembre, de ordenación sanitaria de la Comunidad de Madrid— una lectura atenta del recurso pone de manifiesto que se cuestiona abiertamente el modelo de gestión indirecta del servicio público sanitario, tanto en el caso de los hospitales como en el de los centros de atención primaria. Pretenden, por tanto, los recurrentes, que se debata en esta sede una medida estrictamente política y que se haga a partir de argumentos de estricta oportunidad, ajenos a la jurisdicción del Tribunal (SSTC 86/1982 y 28/1991).</w:t>
      </w:r>
    </w:p>
    <w:p w:rsidR="0085709A" w:rsidRDefault="0085709A" w:rsidP="0085709A">
      <w:pPr>
        <w:pStyle w:val="TextoNormal"/>
      </w:pPr>
    </w:p>
    <w:p w:rsidR="0085709A" w:rsidRDefault="0085709A" w:rsidP="0085709A">
      <w:pPr>
        <w:pStyle w:val="TextoNormal"/>
      </w:pPr>
      <w:r>
        <w:t>Por otro lado, la Letrada autonómica hace referencia al “carácter abstracto de muchas de las alegaciones realizadas por la parte recurrente, con cita genérica de preceptos constitucionales supuestamente vulnerados, pero sin la concreción y confrontación con el bloque de constitucionalidad exigible en esta sede y con la consiguiente indefensión que genera dicho proceder procesal para esta parte”. Los recurrentes no habrían levantado la carga que sobre ellos pesa de exponer las razones por las que consideran inconstitucionales los preceptos legales impugnados (STC 112/2006). Es más, incurren en cierta incoherencia al solicitar, en el suplico, la anulación de los arts. 62 y 63 de la Ley impugnada pese a que sus alegaciones se limitan al apartado primero del art. 62 y a la reforma del art. 88.2 de la Ley territorial 12/2001 por el segundo. Los recurrentes no argumentan la aducida contradicción de los distintos apartados del art. 62 con la Constitución, razón por la cual el análisis ha de limitarse al art. 62.2 y al art. 88.2 de la Ley 12/2001, en la redacción dada por el art. 63.</w:t>
      </w:r>
    </w:p>
    <w:p w:rsidR="0085709A" w:rsidRDefault="0085709A" w:rsidP="0085709A">
      <w:pPr>
        <w:pStyle w:val="TextoNormal"/>
      </w:pPr>
    </w:p>
    <w:p w:rsidR="0085709A" w:rsidRDefault="0085709A" w:rsidP="0085709A">
      <w:pPr>
        <w:pStyle w:val="TextoNormal"/>
      </w:pPr>
      <w:r>
        <w:t>b) Alude seguidamente la Letrada autonómica a “las cuestiones de técnica legislativa y la constitucionalidad de la tramitación de la norma”. Con respecto a la técnica legislativa, y sin perjuicio de recordar que el juicio de constitucionalidad no lo es de calidad, defiende la constitucionalidad de las leyes de contenido heterogéneo a partir de la doctrina contenida en la STC 136/2011, descartando, en particular, que exista riesgo para la seguridad jurídica proclamada por el art. 9.3 CE. En cuanto a los vicios procedimentales, los Senadores promotores del recurso no han ofrecido justificación alguna ni consta que se denunciaran ante la Asamblea de Madrid, por lo que estas alegaciones no pueden prosperar conforme a la doctrina de la STC 176/2011. Si durante la tramitación de la Ley los parlamentarios hubieran considerado que los antecedentes no eran suficientes, habrían hecho uso del derecho que les asiste de solicitar información al Consejo de Gobierno. Se aporta además certificación del Secretario General Técnico de la Consejería de Economía y Hacienda de que el antepro</w:t>
      </w:r>
      <w:r>
        <w:lastRenderedPageBreak/>
        <w:t>yecto de Ley de medidas fiscales y administrativas se elaboró de conformidad con lo dispuesto en el art. 22 de la Ley 50/1997, del Gobierno. Finalmente, los recurrentes no explican la utilidad del “Plan de Medidas de garantía de la sostenibilidad del sistema sanitario público de la Comunidad de Madrid”, cuyo contenido reproducen parcialmente, para el presente juicio de constitucionalidad de la Ley impugnada.</w:t>
      </w:r>
    </w:p>
    <w:p w:rsidR="0085709A" w:rsidRDefault="0085709A" w:rsidP="0085709A">
      <w:pPr>
        <w:pStyle w:val="TextoNormal"/>
      </w:pPr>
    </w:p>
    <w:p w:rsidR="0085709A" w:rsidRDefault="0085709A" w:rsidP="0085709A">
      <w:pPr>
        <w:pStyle w:val="TextoNormal"/>
      </w:pPr>
      <w:r>
        <w:t>c) Aborda a continuación la Letrada autonómica la constitucionalidad del art. 62 de la Ley recurrida.</w:t>
      </w:r>
    </w:p>
    <w:p w:rsidR="0085709A" w:rsidRDefault="0085709A" w:rsidP="0085709A">
      <w:pPr>
        <w:pStyle w:val="TextoNormal"/>
      </w:pPr>
    </w:p>
    <w:p w:rsidR="0085709A" w:rsidRDefault="0085709A" w:rsidP="0085709A">
      <w:pPr>
        <w:pStyle w:val="TextoNormal"/>
      </w:pPr>
      <w:r>
        <w:t>Defiende la representante procesal del Gobierno autonómico que el Servicio Madrileño de Salud tiene la consideración de Administración pública a los efectos de la legislación básica en materia de contratación pública. Al efecto señala la relevancia del art. 3.2 del texto refundido de la Ley de contratos del sector público, conforme al cual tienen la consideración de Administraciones públicas, a los efectos de dicha Ley, las “entidades de Derecho público vinculadas a una o varias Administraciones Públicas o dependientes de las mismas” cuya actividad principal “no consista en la producción en régimen de mercado de bienes y servicios destinados al consumo individual o colectivo, o que efectúen operaciones de redistribución de la renta y de la riqueza nacional, en todo caso sin ánimo de lucro” o “que no se financien mayoritariamente con ingresos, cualquiera que sea su naturaleza, obtenidos como contrapartida a la entrega de bienes o a la prestación de servicios”. El Servicio Madrileño de Salud es un ente público creado por la Ley 12/2001 y adscrito a la Consejería de Sanidad, en cumplimiento de lo dispuesto en el art. 50 de la Ley general de sanidad, que se configura como la Administración gestora de la prestación sanitaria pública en su ámbito territorial que, conjuntamente con las entidades y organismos de las demás Comunidades Autónomas y el Instituto Nacional de Gestión Sanitaria integran el Sistema Nacional de Salud.</w:t>
      </w:r>
    </w:p>
    <w:p w:rsidR="0085709A" w:rsidRDefault="0085709A" w:rsidP="0085709A">
      <w:pPr>
        <w:pStyle w:val="TextoNormal"/>
      </w:pPr>
    </w:p>
    <w:p w:rsidR="0085709A" w:rsidRDefault="0085709A" w:rsidP="0085709A">
      <w:pPr>
        <w:pStyle w:val="TextoNormal"/>
      </w:pPr>
      <w:r>
        <w:t>Del análisis del régimen jurídico del Servicio se deduce la concurrencia de las siguientes notas, caracterizadoras del concepto de Administración pública en los términos del art. 3.2 del texto refundido de la Ley de contratos del servicio público: es un ente de Derecho público de los previstos en el art. 6 de la Ley 9/1990, de 8 de noviembre, reguladora de la hacienda de la Comunidad de Madrid, lo que excluye su caracterización como organismo autónomo o empresa pública; su vinculación a la Administración autonómica queda patente con su adscripción a la Consejería competente en materia de sanidad; su función principal consiste en la prestación de servicios sanitarios (art. 4 del Decreto del Consejo de Gobierno de la Comunidad de Madrid 24/2008, de 3 de abril, por el que se establece el régimen jurídico y de funcionamiento del Servicio Madrileño de Salud), lo que nada tiene que ver con la producción en régimen de mercado de bienes y servicios destinados al consumo ni con operaciones de redistribución de renta y riqueza nacional; finalmente, su financiación proviene básicamente de la participación de la Comunidad de Madrid en los presupuestos generales del Estado y no de ingresos obtenidos como contrapartida de la prestación de servicios.</w:t>
      </w:r>
    </w:p>
    <w:p w:rsidR="0085709A" w:rsidRDefault="0085709A" w:rsidP="0085709A">
      <w:pPr>
        <w:pStyle w:val="TextoNormal"/>
      </w:pPr>
    </w:p>
    <w:p w:rsidR="0085709A" w:rsidRDefault="0085709A" w:rsidP="0085709A">
      <w:pPr>
        <w:pStyle w:val="TextoNormal"/>
      </w:pPr>
      <w:r>
        <w:t>Bastaría con que el Servicio cumpliese con una sola de estas condiciones para que pudiera ser calificado como Administración pública a los efectos de la normativa de contratación pública, pero es que, además, el art. 6.1 del Decreto 24/2008 dispone que “la contratación del Servicio Madrileño de Salud se regirá por lo establecido en la legislación de contratos de las Administraciones públicas”.</w:t>
      </w:r>
    </w:p>
    <w:p w:rsidR="0085709A" w:rsidRDefault="0085709A" w:rsidP="0085709A">
      <w:pPr>
        <w:pStyle w:val="TextoNormal"/>
      </w:pPr>
    </w:p>
    <w:p w:rsidR="0085709A" w:rsidRDefault="0085709A" w:rsidP="0085709A">
      <w:pPr>
        <w:pStyle w:val="TextoNormal"/>
      </w:pPr>
      <w:r>
        <w:lastRenderedPageBreak/>
        <w:t>A mayor abundamiento, el apartado segundo del artículo único de la Ley 15/1997, de 25 de abril, sobre habilitación de nuevas formas de gestión del Sistema Nacional de Salud, prevé que la prestación de los servicios sanitarios que tienen encomendados los servicios autonómicos de salud puede llevarse a cabo mediante gestión directa o a través de las distintas formas de gestión indirecta legalmente previstas, entre las que figura el contrato de gestión de servicios públicos (art. 277 del texto refundido de la Ley de contratos del sector público). En consecuencia, el art. 62 de la Ley 8/2012 no hace sino recoger expresamente, para el ámbito de la Comunidad de Madrid y para determinados centros adscritos al Servicio, las previsiones establecidas en la legislación básica estatal para el conjunto de las entidades públicas sanitarias, en cualquiera de las formas que integran el Sistema Nacional de Salud.</w:t>
      </w:r>
    </w:p>
    <w:p w:rsidR="0085709A" w:rsidRDefault="0085709A" w:rsidP="0085709A">
      <w:pPr>
        <w:pStyle w:val="TextoNormal"/>
      </w:pPr>
    </w:p>
    <w:p w:rsidR="0085709A" w:rsidRDefault="0085709A" w:rsidP="0085709A">
      <w:pPr>
        <w:pStyle w:val="TextoNormal"/>
      </w:pPr>
      <w:r>
        <w:t>d) Defiende la Letrada autonómica la constitucionalidad del art. 63 de la Ley 8/2012 porque no vulnera la normativa básica estatal ni el art. 149.1.18 CE.</w:t>
      </w:r>
    </w:p>
    <w:p w:rsidR="0085709A" w:rsidRDefault="0085709A" w:rsidP="0085709A">
      <w:pPr>
        <w:pStyle w:val="TextoNormal"/>
      </w:pPr>
    </w:p>
    <w:p w:rsidR="0085709A" w:rsidRDefault="0085709A" w:rsidP="0085709A">
      <w:pPr>
        <w:pStyle w:val="TextoNormal"/>
      </w:pPr>
      <w:r>
        <w:t>A este respecto, recuerda algunas características del contrato de gestión de servicios públicos, por el cual una Administración “encomienda a una persona, natural o jurídica, la gestión de un servicio cuya prestación ha sido asumida como propia de su competencia” y que está regulado en los arts. 132, 133 y 275 a 289 del texto refundido de la Ley de contratos del sector público. Con carácter previo a la contratación de la gestión de cualquier servicio público debe determinarse su régimen jurídico, se tiene que haber establecido la asunción del servicio como propio de la Administración y las prestaciones que recibirán los ciudadanos, de modo que no dependan de los términos contractuales sino de la definición del servicio previa a la contratación.</w:t>
      </w:r>
    </w:p>
    <w:p w:rsidR="0085709A" w:rsidRDefault="0085709A" w:rsidP="0085709A">
      <w:pPr>
        <w:pStyle w:val="TextoNormal"/>
      </w:pPr>
    </w:p>
    <w:p w:rsidR="0085709A" w:rsidRDefault="0085709A" w:rsidP="0085709A">
      <w:pPr>
        <w:pStyle w:val="TextoNormal"/>
      </w:pPr>
      <w:r>
        <w:t>En este caso hay que partir de la Ley general de sanidad, norma básica estatal, y de las Leyes 15/1997, de 25 de abril, de habilitación de nuevas formas de gestión en el Servicio Nacional de Salud, y 16/2003, de 28 de mayo, de cohesión y calidad del Sistema Nacional de Salud. Por lo que se refiere a las normas autonómicas, se cita la Ley 12/2001, de 21 de diciembre, de ordenación sanitaria de la Comunidad de Madrid, cuyo artículo 88 se dedica a la organización y gestión del Servicio Madrileño de Salud, que otorga una cierta preferencia a las sociedades profesionales total o mayoritariamente integradas por profesionales sanitarios del Servicio Madrileño de Salud cuando se trate de contratar la gestión indirecta de centros de atención primaria; preferencia que responde al deseo de promover una mayor implicación de los profesionales en el proceso de desarrollo, racionalización y optimización del sistema sanitario público madrileño. Una preferencia que debe materializarse, por mandato expreso de la Ley autonómica, en el marco de las formas de gestión indirecta previstas en el texto refundido de la Ley de contratos del sector público. Lo que pondría de relieve, al decir de la Letrada autonómica, que al modificar el art. 88 de la Ley 12/2001, la Asamblea de Madrid no ha infringido la normativa básica estatal sino que se ha limitado a ejercer sus competencias de desarrollo.</w:t>
      </w:r>
    </w:p>
    <w:p w:rsidR="0085709A" w:rsidRDefault="0085709A" w:rsidP="0085709A">
      <w:pPr>
        <w:pStyle w:val="TextoNormal"/>
      </w:pPr>
    </w:p>
    <w:p w:rsidR="0085709A" w:rsidRDefault="0085709A" w:rsidP="0085709A">
      <w:pPr>
        <w:pStyle w:val="TextoNormal"/>
      </w:pPr>
      <w:r>
        <w:t xml:space="preserve">Cierto es que el art. 88 de la Ley 12/2001 no concreta las formas mediante las cuales se promoverá esa implicación o preferencia de las sociedades profesionales, remitiéndose a la aplicación del texto refundido de la Ley de contratos del sector público y a un futuro desarrollo reglamentario de la Ley autonómica. Pero ello no permite concluir que ese desarrollo posterior será en todo caso contrario a la normativa básica estatal, pues “el precepto recurrido no hace sino establecer un mandato al poder ejecutivo para que desarrolle fórmulas </w:t>
      </w:r>
      <w:r>
        <w:lastRenderedPageBreak/>
        <w:t>que aúnen la gestión indirecta de los centros de salud con los criterios y principios que, a tenor de la legislación básica sanitaria, deben configurarlos”. No existe ningún vicio de inconstitucionalidad sino, a lo sumo, posibles motivos de impugnación en vía contencioso-administrativo si el actuar futuro de la Administración autonómica no se acomoda a las exigencias legales.</w:t>
      </w:r>
    </w:p>
    <w:p w:rsidR="0085709A" w:rsidRDefault="0085709A" w:rsidP="0085709A">
      <w:pPr>
        <w:pStyle w:val="TextoNormal"/>
      </w:pPr>
    </w:p>
    <w:p w:rsidR="0085709A" w:rsidRDefault="0085709A" w:rsidP="0085709A">
      <w:pPr>
        <w:pStyle w:val="TextoNormal"/>
      </w:pPr>
      <w:r>
        <w:t>e) Sostiene la Letrada autonómica que el art. 63 de la Ley 8/2012 no vulnera los arts. 14, 41 y 149.1.17 CE. Apunta la Letrada que el motivo está plagado de consideraciones de carácter político y sobre cuestiones de oportunidad, lo que pone de relieve que los preceptos constitucionales son traídos de forma un tanto artificiosa.</w:t>
      </w:r>
    </w:p>
    <w:p w:rsidR="0085709A" w:rsidRDefault="0085709A" w:rsidP="0085709A">
      <w:pPr>
        <w:pStyle w:val="TextoNormal"/>
      </w:pPr>
    </w:p>
    <w:p w:rsidR="0085709A" w:rsidRDefault="0085709A" w:rsidP="0085709A">
      <w:pPr>
        <w:pStyle w:val="TextoNormal"/>
      </w:pPr>
      <w:r>
        <w:t>En cuanto al art. 41 CE, defiende que “la obligación estatal de mantener un sistema público de Seguridad Social no predetermina el contenido del sistema, sino que la ley ordinaria puede incrementar o reducir los niveles de cobertura vigentes en el momento de promulgación de la Constitución (SSTC 65/1987, 134/1987, 37/1994, 126/1994 y 38/1995, entre otras). Desde la perspectiva competencial, la Ley recurrida no afecta al régimen de la Seguridad Social pues se enmarca dentro de las competencias autonómicas en materia de sanidad. Como se indica en las SSTC 98/2004 y 136/2012, las normas impugnadas relativas a las prestaciones del Sistema Nacional de Salud no afectan al régimen económico de la Seguridad Social ni a sus recursos financieros, ni al principio de caja única por el que se rige.</w:t>
      </w:r>
    </w:p>
    <w:p w:rsidR="0085709A" w:rsidRDefault="0085709A" w:rsidP="0085709A">
      <w:pPr>
        <w:pStyle w:val="TextoNormal"/>
      </w:pPr>
    </w:p>
    <w:p w:rsidR="0085709A" w:rsidRDefault="0085709A" w:rsidP="0085709A">
      <w:pPr>
        <w:pStyle w:val="TextoNormal"/>
      </w:pPr>
      <w:r>
        <w:t xml:space="preserve">El escrito de demanda hace referencia a unos pliegos de cláusulas administrativas particulares que rigieron los contratos de concesión de hospitales adjudicados cinco años atrás, que no guardan ninguna relación con la previsión de gestión indirecta de los centros sanitarios de atención primaria, que es la única novedad que introduce el art. 63 de la Ley 8/2012, al que se refiere el motivo tercero del recurso. Esta forma </w:t>
      </w:r>
      <w:r w:rsidRPr="0085709A">
        <w:rPr>
          <w:i/>
        </w:rPr>
        <w:t>sui generis</w:t>
      </w:r>
      <w:r>
        <w:t xml:space="preserve"> de fundamentar la inconstitucionalidad de un precepto legal no puede tener otra razón que la de eludir el análisis de la legislación básica, que prevé expresamente la posibilidad de gestión indirecta de las prestaciones de la cartera común de los servicios del Sistema Nacional de Salud.</w:t>
      </w:r>
    </w:p>
    <w:p w:rsidR="0085709A" w:rsidRDefault="0085709A" w:rsidP="0085709A">
      <w:pPr>
        <w:pStyle w:val="TextoNormal"/>
      </w:pPr>
    </w:p>
    <w:p w:rsidR="0085709A" w:rsidRDefault="0085709A" w:rsidP="0085709A">
      <w:pPr>
        <w:pStyle w:val="TextoNormal"/>
      </w:pPr>
      <w:r>
        <w:t>Los tribunales de justicia ya han tenido ocasión de pronunciarse acerca de la gestión indirecta de la asistencia sanitaria, admitiendo que es una opción permitida por nuestro ordenamiento jurídico. Al respecto se reproduce extensamente una Sentencia de la Sala de lo Contencioso-Administrativo del Tribunal Supremo de 20 de diciembre de 2005, que confirmó el criterio seguido por el Tribunal Superior de Justicia de la Comunidad Valenciana en impugnación de los pliegos de un contrato de concesión de servicios sanitarios. Concluye la Letrada autonómica que las Administraciones tienen la opción de “gestionar indirectamente, mediante contrato, los servicios de su competencia, siempre que sean susceptibles de explotación por particulares, excluyendo tan solo aquellos servicios que impliquen ejercicio de autoridad inherente a los poderes públicos (art. 275.1 del texto refundido de la Ley de contratos del sector público)”. Los arts. 62 y 63 de la Ley 8/2012 representan, sencillamente, la puesta en práctica de una opción no prohibida por el texto fundamental y expresamente prevista en la legislación básica sobre sanidad, sin que se haya producido alteración alguna en el régimen público del aseguramiento por el hecho de permitir su gestión indirecta mediante concesión.</w:t>
      </w:r>
    </w:p>
    <w:p w:rsidR="0085709A" w:rsidRDefault="0085709A" w:rsidP="0085709A">
      <w:pPr>
        <w:pStyle w:val="TextoNormal"/>
      </w:pPr>
    </w:p>
    <w:p w:rsidR="0085709A" w:rsidRDefault="0085709A" w:rsidP="0085709A">
      <w:pPr>
        <w:pStyle w:val="TextoNormal"/>
      </w:pPr>
      <w:r>
        <w:t xml:space="preserve">f) Finalmente, defiende que el art. 63 de la Ley 8/2012 no vulnera los arts. 43 y 149.1.16 CE. El precepto legal impugnado no afecta a las formas de gestión de los hospitales sino a </w:t>
      </w:r>
      <w:r>
        <w:lastRenderedPageBreak/>
        <w:t>las correspondientes a los centros de atención primaria y los argumentos sobre la ineficacia económica de la gestión indirecta no pueden ser objeto de un recurso de inconstitucionalidad.</w:t>
      </w:r>
    </w:p>
    <w:p w:rsidR="0085709A" w:rsidRDefault="0085709A" w:rsidP="0085709A">
      <w:pPr>
        <w:pStyle w:val="TextoNormal"/>
      </w:pPr>
    </w:p>
    <w:p w:rsidR="0085709A" w:rsidRDefault="0085709A" w:rsidP="0085709A">
      <w:pPr>
        <w:pStyle w:val="TextoNormal"/>
      </w:pPr>
      <w:r>
        <w:t>En cuanto al derecho a la protección de la salud, corresponde a los poderes públicos garantizarla, pero los arts. 41 y 43 CE no imponen un determinado modelo de gestión de las prestaciones públicas concernidas. Como declaró la STC 37/1994, de 10 de febrero, el carácter público del sistema de Seguridad Social no queda cuestionado por la incidencia en él de fórmulas de gestión o responsabilidad privadas, de importancia relativa en el conjunto de la acción protectora de aquel. El hecho de que determinados centros sanitarios no sean gestionados directamente por la Administración no hace de peor condición a los ciudadanos en ellos atendidos, en particular porque la norma cuestionada no establece ninguna limitación o diferencia en el acceso a la cartera común de servicios del Sistema Nacional de Salud, que viene recogida en el art. 8 de la Ley de cohesión y calidad del Sistema Nacional de Salud. Por ello insiste en que la norma recurrida no innova la legislación básica estatal en materia sanitaria sino que se limita a recoger para la atención primaria y el ámbito territorial de la Comunidad de Madrid las previsiones generales que aquella ya contenía para el conjunto del Sistema Nacional de Salud.</w:t>
      </w:r>
    </w:p>
    <w:p w:rsidR="0085709A" w:rsidRDefault="0085709A" w:rsidP="0085709A">
      <w:pPr>
        <w:pStyle w:val="TextoNormal"/>
      </w:pPr>
    </w:p>
    <w:p w:rsidR="0085709A" w:rsidRDefault="0085709A" w:rsidP="0085709A">
      <w:pPr>
        <w:pStyle w:val="TextoNormal"/>
      </w:pPr>
      <w:r w:rsidRPr="0085709A">
        <w:rPr>
          <w:rStyle w:val="NumeroAFNegritaCaracter"/>
        </w:rPr>
        <w:t>5</w:t>
      </w:r>
      <w:r>
        <w:t>. La Letrada de la Asamblea de Madrid presentó sus alegaciones el 28 de mayo de 2013.</w:t>
      </w:r>
    </w:p>
    <w:p w:rsidR="0085709A" w:rsidRDefault="0085709A" w:rsidP="0085709A">
      <w:pPr>
        <w:pStyle w:val="TextoNormal"/>
      </w:pPr>
    </w:p>
    <w:p w:rsidR="0085709A" w:rsidRDefault="0085709A" w:rsidP="0085709A">
      <w:pPr>
        <w:pStyle w:val="TextoNormal"/>
      </w:pPr>
      <w:r>
        <w:t>Tras reseñar sucintamente el proceso de elaboración de la Ley recurrida, la Letrada de la Asamblea de Madrid llama la atención sobre el lenguaje utilizado en el escrito rector de este proceso constitucional, “mucho más propio de la tribuna y el debate políticos que del análisis de la constitucionalidad de los preceptos”, hasta el punto de que los recurrentes se dedican sobre todo a exponer la consideración, opiniones y miedos que les genera el modelo de gestión elegido para una parte de los hospitales y centros de salud que integran el Servicio Madrileño de Salud, “ocupando el análisis y la crítica sobre su adecuación a la Norma Fundamental un espacio que casi podríamos calificar de residual”. También critica la estructura del escrito, donde los reparos de carácter formal se presentan “como si de antecedentes de hecho se tratara” y los motivos de impugnación apuntan un desarrollo ulterior que luego no existe.</w:t>
      </w:r>
    </w:p>
    <w:p w:rsidR="0085709A" w:rsidRDefault="0085709A" w:rsidP="0085709A">
      <w:pPr>
        <w:pStyle w:val="TextoNormal"/>
      </w:pPr>
    </w:p>
    <w:p w:rsidR="0085709A" w:rsidRDefault="0085709A" w:rsidP="0085709A">
      <w:pPr>
        <w:pStyle w:val="TextoNormal"/>
      </w:pPr>
      <w:r>
        <w:t>La Letrada de la Asamblea de Madrid identifica hasta siete motivos del recurso: dos de carácter formal (vulneración del principio de seguridad jurídica, relacionada con la consideración de la Ley recurrida como una ley de contenido heterogéneo o ley de acompañamiento, y la inexistencia de antecedentes necesarios), dos de índole sustantiva relativos a la vulneración de los arts. 41 y 43 CE y tres de carácter competencial, por infracción de los arts. 149.1.16, 17 y 18 CE.</w:t>
      </w:r>
    </w:p>
    <w:p w:rsidR="0085709A" w:rsidRDefault="0085709A" w:rsidP="0085709A">
      <w:pPr>
        <w:pStyle w:val="TextoNormal"/>
      </w:pPr>
    </w:p>
    <w:p w:rsidR="0085709A" w:rsidRDefault="0085709A" w:rsidP="0085709A">
      <w:pPr>
        <w:pStyle w:val="TextoNormal"/>
      </w:pPr>
      <w:r>
        <w:t>Rechaza a continuación que los preceptos impugnados vulneren el principio de seguridad jurídica. Al respecto, invoca la doctrina de las SSTC 136/2011 y 176/2011, de las que reproduce varios pasajes. Afirma la Letrada parlamentaria que “ni nosotros ni, a la vista de la demanda, los recurrentes podemos explicar cómo puede deducirse la inconstitucionalidad de una norma por contener habilitaciones y estar redactada en tiempo verbal futuro”, pues se trata de problemas de técnica legislativa, cuya valoración no procede en un proceso de inconstitucionalidad (STC 195/1996, FJ 4).</w:t>
      </w:r>
    </w:p>
    <w:p w:rsidR="0085709A" w:rsidRDefault="0085709A" w:rsidP="0085709A">
      <w:pPr>
        <w:pStyle w:val="TextoNormal"/>
      </w:pPr>
    </w:p>
    <w:p w:rsidR="0085709A" w:rsidRDefault="0085709A" w:rsidP="0085709A">
      <w:pPr>
        <w:pStyle w:val="TextoNormal"/>
      </w:pPr>
      <w:r>
        <w:lastRenderedPageBreak/>
        <w:t>En cuanto a la ausencia de los antecedentes necesarios, invoca la doctrina de la STC 68/2013, cuyo fundamento jurídico 2 reproduce parcialmente y señala que el proyecto de ley fue presentado ante la Asamblea de Madrid acompañado de los informes y antecedentes necesarios para su debate y eventual aprobación por la Cámara —al respecto aporta certificación en que se indica que el proyecto de ley fue acompañado de la siguiente documentación: memorias de análisis de impacto normativo, informe 5/2012 del Consejo Económico y Social, informe de la Dirección General de los Servicios Jurídicos, e informe de la Secretaría General Técnica de Economía y Hacienda—. Añade que la admisión a trámite fue aprobada por unanimidad de los miembros de la Mesa de la Asamblea y que el Grupo Parlamentario Socialista —ni siquiera aquellos de sus miembros que son asimismo Senadores y, en tal calidad, firmantes del presente recurso— no puso ningún reparo al respecto en toda la tramitación del proyecto, extremo relevante a la luz de la doctrina contenida en la STC 136/2011, FJ 10. Además, no se ha justificado que esa insuficiencia suponga una vulneración de la normativa reguladora del proceso de elaboración de las leyes; “en el escrito de demanda no se identifica la ausencia de informe alguno hablándose únicamente de la insuficiencia del contenido de los mismos y la normativa reguladora de la producción de leyes en la Comunidad de Madrid no otorga pauta alguna para establecer si el contenido de los informes a los que se refiere es o no suficiente”. Tampoco han acreditado los recurrentes que tal insuficiencia haya alterado el proceso de formación de la voluntad de la Cámara autonómica (SSTC 136/2011, FJ 10; y 176/2011, FJ 2).</w:t>
      </w:r>
    </w:p>
    <w:p w:rsidR="0085709A" w:rsidRDefault="0085709A" w:rsidP="0085709A">
      <w:pPr>
        <w:pStyle w:val="TextoNormal"/>
      </w:pPr>
    </w:p>
    <w:p w:rsidR="0085709A" w:rsidRDefault="0085709A" w:rsidP="0085709A">
      <w:pPr>
        <w:pStyle w:val="TextoNormal"/>
      </w:pPr>
      <w:r>
        <w:t>Defiende la Letrada parlamentaria que los preceptos legales recurridos no vulneran los arts. 41 y 43 CE. Según la STC 103/1983, el sistema de Seguridad Social garantizado por estos artículos de la Constitución ha de caracterizarse por: ser un sistema público, lo que no significa que el servicio deba ser prestado directamente por los poderes públicos pero sí que impone a estos la obligación de garantizar esa misma prestación. De hecho, la posibilidad de gestión indirecta de los servicios sanitarios por las Comunidades Autónomas viene avalada por la Ley 15/1997, de 25 de abril, sobre habilitación de nuevas formas de gestión del Sistema Nacional de Salud, al prever en el apartado segundo de su artículo único que los servicios autonómicos de salud puedan prestar los servicios sanitarios que tienen encomendados directamente o a través de cualquiera de las formas de gestión indirecta de los servicios públicos legalmente previstas, entre las que debe entenderse comprendida la concesión y demás modalidades previstas en el art. 277 del texto refundido de la Ley de contratos del sector público. Además, ha de ser un sistema no contributivo, extremo que tampoco se ve afectado por los preceptos recurridos, referidos al sistema de gestión del servicio y no a su régimen de financiación. En tercer lugar, el sistema ha de regularse por ley, lo que no excluye el recurso a la concesión como medio de gestión indirecta del servicio de asistencia facultativa especializada en algunos hospitales y centros de salud a la vista de lo declarado en la STC 65/1987.</w:t>
      </w:r>
    </w:p>
    <w:p w:rsidR="0085709A" w:rsidRDefault="0085709A" w:rsidP="0085709A">
      <w:pPr>
        <w:pStyle w:val="TextoNormal"/>
      </w:pPr>
    </w:p>
    <w:p w:rsidR="0085709A" w:rsidRDefault="0085709A" w:rsidP="0085709A">
      <w:pPr>
        <w:pStyle w:val="TextoNormal"/>
      </w:pPr>
      <w:r>
        <w:t>En cuanto a la denuncia de vulneración de las competencias reservadas al Estado por el art. 149.1.16 y 17 CE (legislación básica en materia de sanidad y de régimen económico de la Seguridad Social). Estas bases deben constituir un común denominador normativo “dirigido a asegurar, de manera unitaria y en condiciones de igualdad, el acceso a la sanidad por parte de todos los ciudadanos incluidos en el ámbito subjetivo de la norma, con independencia de su lugar de residencia” (STC 98/2004, FJ 5), aspecto aquí no afectado porque los preceptos legales recurridos no imponen a los madrileños requisitos u obligaciones adicio</w:t>
      </w:r>
      <w:r>
        <w:lastRenderedPageBreak/>
        <w:t>nales a los previstos en la legislación estatal para acceder a estos servicios, ni fijan condiciones distintas de acceso; todos los madrileños seguirán recibiendo idénticas prestaciones sanitarias en idénticas condiciones, independientemente del hospital o centro de salud al que acudan en ejercicio de su libertad de elección. Las bases comprenden igualmente la fijación del régimen económico de financiación de las prestaciones que, como se deduce de la STC 136/2012, FJ 5, se refiere al carácter público, privado o de copago de la financiación y no, como pretenden los recurrentes, al criterio por el que se fija la cuantía a otorgar a cada centro hospitalario. Sobre este sistema de capitación señala la Letrada parlamentaria que “no está establecida en los preceptos recurridos, por lo que difícilmente puede determinar la inconstitucionalidad de los mismos” y que “no afecta al régimen económico de financiación, en tanto en cuanto y también como los propios recurrentes admiten en su escrito, la misma va a seguir siendo íntegramente pública”.</w:t>
      </w:r>
    </w:p>
    <w:p w:rsidR="0085709A" w:rsidRDefault="0085709A" w:rsidP="0085709A">
      <w:pPr>
        <w:pStyle w:val="TextoNormal"/>
      </w:pPr>
    </w:p>
    <w:p w:rsidR="0085709A" w:rsidRDefault="0085709A" w:rsidP="0085709A">
      <w:pPr>
        <w:pStyle w:val="TextoNormal"/>
      </w:pPr>
      <w:r>
        <w:t>Rechaza asimismo la vulneración del art. 149.1.18 CE. De lo dispuesto en el art. 3.2 del texto refundido de la Ley de contratos del sector público y el Decreto 24/2008, por el que se establece el régimen jurídico y de funcionamiento del Servicio Madrileño de Salud, se deduce que este ente tiene la condición de Administración pública a efectos de la aplicación de la legislación sobre contratos del sector público. En cuanto a la preferencia por determinadas sociedades de profesionales sanitarios como sujetos a los que se podrá ofrecer preferentemente la gestión indirecta de determinados centros de salud integrados en el Servicio Madrileño de Salud, indica que se trata de una previsión adoptada por la Comunidad de Madrid en ejercicio de las competencias en materia de sanidad asumidas conforme a los arts. 27 y 28 del Estatuto de Autonomía y que sólo cuando se concrete podrá decidirse si vulnera o no la legislación básica del Estado en materia de contratos de las Administraciones públicas.</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28 de abril de 2015 se señaló para deliberación y votación de la presente Sentencia el día 30 de dicho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Como ya se ha expuesto con mayor detalle en los antecedentes de esta resolución, en el presente recurso de inconstitucionalidad cincuenta y siete Senadores del Grupo Parlamentario Socialista postulan la anulación de los arts. 62 y 63 de la Ley 8/2012, de 28 de diciembre, de medidas fiscales y administrativas de la Comunidad de Madrid. Las representaciones letradas del Gobierno y de la Asamblea de Madrid se oponen de consuno a esta pretensión, solicitando la íntegra desestimación del recurso.</w:t>
      </w:r>
    </w:p>
    <w:p w:rsidR="0085709A" w:rsidRDefault="0085709A" w:rsidP="0085709A">
      <w:pPr>
        <w:pStyle w:val="TextoNormal"/>
      </w:pPr>
    </w:p>
    <w:p w:rsidR="0085709A" w:rsidRDefault="0085709A" w:rsidP="0085709A">
      <w:pPr>
        <w:pStyle w:val="TextoNormal"/>
      </w:pPr>
      <w:r>
        <w:t>Para facilitar el análisis de los preceptos legales controvertidos parece conveniente tener presente su literalidad:</w:t>
      </w:r>
    </w:p>
    <w:p w:rsidR="0085709A" w:rsidRDefault="0085709A" w:rsidP="0085709A">
      <w:pPr>
        <w:pStyle w:val="TextoNormal"/>
      </w:pPr>
    </w:p>
    <w:p w:rsidR="0085709A" w:rsidRDefault="0085709A" w:rsidP="0085709A">
      <w:pPr>
        <w:pStyle w:val="TextoNormal"/>
      </w:pPr>
      <w:r>
        <w:t>“Artículo 62. Reordenación de la asistencia sanitaria en los Hospitales Infanta Cristina, Infanta Sofía, Infanta Leonor, Sureste, Henares y Tajo.</w:t>
      </w:r>
    </w:p>
    <w:p w:rsidR="0085709A" w:rsidRDefault="0085709A" w:rsidP="0085709A">
      <w:pPr>
        <w:pStyle w:val="TextoNormal"/>
      </w:pPr>
    </w:p>
    <w:p w:rsidR="0085709A" w:rsidRDefault="0085709A" w:rsidP="0085709A">
      <w:pPr>
        <w:pStyle w:val="TextoNormal"/>
      </w:pPr>
      <w:r>
        <w:t xml:space="preserve">1. De acuerdo con lo que establece el artículo único de la Ley 15/1997, de 25 de abril, sobre habilitación de nuevas formas de gestión del Sistema Nacional de Salud, se habilita al Servicio Madrileño de Salud para adjudicar contratos para la gestión del servicio público </w:t>
      </w:r>
      <w:r>
        <w:lastRenderedPageBreak/>
        <w:t>de asistencia sanitaria especializada en los Hospitales Infanta Cristina, Infanta Sofía, Infanta Leonor, Sureste, Henares y Tajo, que garantizarán los adecuados niveles de calidad, atención y derechos de los usuarios.</w:t>
      </w:r>
    </w:p>
    <w:p w:rsidR="0085709A" w:rsidRDefault="0085709A" w:rsidP="0085709A">
      <w:pPr>
        <w:pStyle w:val="TextoNormal"/>
      </w:pPr>
    </w:p>
    <w:p w:rsidR="0085709A" w:rsidRDefault="0085709A" w:rsidP="0085709A">
      <w:pPr>
        <w:pStyle w:val="TextoNormal"/>
      </w:pPr>
      <w:r>
        <w:t>2. La Unidad Técnica de Control de los servicios de explotación de las obras públicas de los Hospitales de la Comunidad de Madrid indicados, creada por Orden 2073/2007, del Consejero de Sanidad, de 12 de septiembre, realizará las funciones de vigilancia, seguimiento y control de la ejecución de los nuevos contratos.</w:t>
      </w:r>
    </w:p>
    <w:p w:rsidR="0085709A" w:rsidRDefault="0085709A" w:rsidP="0085709A">
      <w:pPr>
        <w:pStyle w:val="TextoNormal"/>
      </w:pPr>
    </w:p>
    <w:p w:rsidR="0085709A" w:rsidRDefault="0085709A" w:rsidP="0085709A">
      <w:pPr>
        <w:pStyle w:val="TextoNormal"/>
      </w:pPr>
      <w:r>
        <w:t>3. Se habilita al Servicio Madrileño de Salud para dictar las instrucciones de funcionamiento que sean necesarias para garantizar la correcta prestación y niveles de calidad de los servicios, a cuyos efectos podrá establecer los órganos y procedimientos de coordinación oportunos o asignar a cada sociedad las funciones que a estos efectos resulten adecuadas.”</w:t>
      </w:r>
    </w:p>
    <w:p w:rsidR="0085709A" w:rsidRDefault="0085709A" w:rsidP="0085709A">
      <w:pPr>
        <w:pStyle w:val="TextoNormal"/>
      </w:pPr>
    </w:p>
    <w:p w:rsidR="0085709A" w:rsidRDefault="0085709A" w:rsidP="0085709A">
      <w:pPr>
        <w:pStyle w:val="TextoNormal"/>
      </w:pPr>
      <w:r>
        <w:t>“Artículo 63. Modificación parcial de la Ley 12/2001, de 21 de diciembre, de Ordenación Sanitaria de la Comunidad de Madrid.</w:t>
      </w:r>
    </w:p>
    <w:p w:rsidR="0085709A" w:rsidRDefault="0085709A" w:rsidP="0085709A">
      <w:pPr>
        <w:pStyle w:val="TextoNormal"/>
      </w:pPr>
    </w:p>
    <w:p w:rsidR="0085709A" w:rsidRDefault="0085709A" w:rsidP="0085709A">
      <w:pPr>
        <w:pStyle w:val="TextoNormal"/>
      </w:pPr>
      <w:r>
        <w:t>Se modifica el artículo 88 de la Ley 12/2001, de 21 de diciembre, de Ordenación Sanitaria de la Comunidad de Madrid, que queda redactado de la siguiente forma:</w:t>
      </w:r>
    </w:p>
    <w:p w:rsidR="0085709A" w:rsidRDefault="0085709A" w:rsidP="0085709A">
      <w:pPr>
        <w:pStyle w:val="TextoNormal"/>
      </w:pPr>
    </w:p>
    <w:p w:rsidR="0085709A" w:rsidRDefault="0085709A" w:rsidP="0085709A">
      <w:pPr>
        <w:pStyle w:val="TextoNormal"/>
      </w:pPr>
      <w:r>
        <w:t>‘Artículo 88. Organización y gestión.</w:t>
      </w:r>
    </w:p>
    <w:p w:rsidR="0085709A" w:rsidRDefault="0085709A" w:rsidP="0085709A">
      <w:pPr>
        <w:pStyle w:val="TextoNormal"/>
      </w:pPr>
    </w:p>
    <w:p w:rsidR="0085709A" w:rsidRDefault="0085709A" w:rsidP="0085709A">
      <w:pPr>
        <w:pStyle w:val="TextoNormal"/>
      </w:pPr>
      <w:r>
        <w:t>1. Los centros y establecimientos que integran el Servicio Madrileño de Salud se podrán configurar como instituciones sanitarias del citado ente sin personalidad jurídica propia, o bien como entidades sanitarias dependientes del mismo, de titularidad pública y con personalidad jurídica propia. En este caso, las mismas podrán adoptar cualquiera de las figuras organizativas previstas en el ordenamiento jurídico y su creación se realizará mediante Decreto del Consejo de Gobierno.</w:t>
      </w:r>
    </w:p>
    <w:p w:rsidR="0085709A" w:rsidRDefault="0085709A" w:rsidP="0085709A">
      <w:pPr>
        <w:pStyle w:val="TextoNormal"/>
      </w:pPr>
    </w:p>
    <w:p w:rsidR="0085709A" w:rsidRDefault="0085709A" w:rsidP="0085709A">
      <w:pPr>
        <w:pStyle w:val="TextoNormal"/>
      </w:pPr>
      <w:r>
        <w:t>2. Cuando la gestión de los centros de atención primaria se realice por cualquiera de las formas de gestión indirecta previstas en el Texto Refundido de la Ley de Contratos del Sector Público, aprobado por Real Decreto Legislativo 3/2011, de 14 de noviembre, podrá ofrecerse la gestión de los centros preferentemente a las sociedades de profesionales con personalidad jurídica propia, que estén constituidas total o mayoritariamente por los profesionales sanitarios que presten sus servicios en el Servicio Madrileño de Salud, con la finalidad de promover un mayor grado de implicación de los profesionales en el proceso de desarrollo, racionalización y optimización del sistema sanitario público madrileño.</w:t>
      </w:r>
    </w:p>
    <w:p w:rsidR="0085709A" w:rsidRDefault="0085709A" w:rsidP="0085709A">
      <w:pPr>
        <w:pStyle w:val="TextoNormal"/>
      </w:pPr>
    </w:p>
    <w:p w:rsidR="0085709A" w:rsidRDefault="0085709A" w:rsidP="0085709A">
      <w:pPr>
        <w:pStyle w:val="TextoNormal"/>
      </w:pPr>
      <w:r>
        <w:t>Establecida la preferencia, en caso de que la gestión de los centros no se asigne a cualquiera de las sociedades de profesionales creadas al efecto, podrán concurrir para su gestión el resto de personas físicas o jurídicas legalmente constituidas.</w:t>
      </w:r>
    </w:p>
    <w:p w:rsidR="0085709A" w:rsidRDefault="0085709A" w:rsidP="0085709A">
      <w:pPr>
        <w:pStyle w:val="TextoNormal"/>
      </w:pPr>
    </w:p>
    <w:p w:rsidR="0085709A" w:rsidRDefault="0085709A" w:rsidP="0085709A">
      <w:pPr>
        <w:pStyle w:val="TextoNormal"/>
      </w:pPr>
      <w:r>
        <w:t>3. El Consejo de Gobierno mediante decreto, determinará los requisitos necesarios para acreditar las sociedades profesionales a que se refiere el apartado anterior.</w:t>
      </w:r>
    </w:p>
    <w:p w:rsidR="0085709A" w:rsidRDefault="0085709A" w:rsidP="0085709A">
      <w:pPr>
        <w:pStyle w:val="TextoNormal"/>
      </w:pPr>
    </w:p>
    <w:p w:rsidR="0085709A" w:rsidRDefault="0085709A" w:rsidP="0085709A">
      <w:pPr>
        <w:pStyle w:val="TextoNormal"/>
      </w:pPr>
      <w:r>
        <w:t>4. El Consejo de Gobierno mediante decreto podrá definir el estatuto jurídico que dé cobertura a la autonomía económica, financiera y de gestión de los centros dependientes del Servicio Madrileño de Salud.</w:t>
      </w:r>
    </w:p>
    <w:p w:rsidR="0085709A" w:rsidRDefault="0085709A" w:rsidP="0085709A">
      <w:pPr>
        <w:pStyle w:val="TextoNormal"/>
      </w:pPr>
    </w:p>
    <w:p w:rsidR="0085709A" w:rsidRDefault="0085709A" w:rsidP="0085709A">
      <w:pPr>
        <w:pStyle w:val="TextoNormal"/>
      </w:pPr>
      <w:r>
        <w:t>5. Los centros y establecimientos que integran el Servicio Madrileño de Salud deberán contar con un sistema integral de gestión que permita de acuerdo con su planificación estratégica, implantar técnicas de dirección por objetivos, sistemas de control de gestión orientados a los resultados y sistemas de estándares de servicios, delimitar claramente las responsabilidades de dirección y gestión, y establecer un adecuado control en la evaluación de los diferentes parámetros que influyen en los costes y la calidad de la asistencia.</w:t>
      </w:r>
    </w:p>
    <w:p w:rsidR="0085709A" w:rsidRDefault="0085709A" w:rsidP="0085709A">
      <w:pPr>
        <w:pStyle w:val="TextoNormal"/>
      </w:pPr>
    </w:p>
    <w:p w:rsidR="0085709A" w:rsidRDefault="0085709A" w:rsidP="0085709A">
      <w:pPr>
        <w:pStyle w:val="TextoNormal"/>
      </w:pPr>
      <w:r>
        <w:t>6. De acuerdo con lo que se establezca reglamentariamente, los centros y establecimientos deberán confeccionar y remitir al Servicio Madrileño de Salud periódicamente, cuanta información sanitaria y económica le sea requerida.’ ”</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abordar el fondo del presente recurso de inconstitucionalidad debemos recordar que, según doctrina constante de este Tribunal, integran el canon de enjuiciamiento aquellos preceptos del bloque de constitucionalidad de cuya lesión se ofrece en la demanda una argumentación suficiente,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(entre otras, SSTC 13/2007, de 18 de enero, FJ 1; 217/2013, de 19 de diciembre, FJ 1; y 152/2014, de 25 de septiembre, FJ 4). En el presente caso es esencial recordar esta doctrina a un doble efecto.</w:t>
      </w:r>
    </w:p>
    <w:p w:rsidR="0085709A" w:rsidRDefault="0085709A" w:rsidP="0085709A">
      <w:pPr>
        <w:pStyle w:val="TextoNormal"/>
      </w:pPr>
    </w:p>
    <w:p w:rsidR="0085709A" w:rsidRDefault="0085709A" w:rsidP="0085709A">
      <w:pPr>
        <w:pStyle w:val="TextoNormal"/>
      </w:pPr>
      <w:r>
        <w:t>a) Por un lado, la observación resulta importante en el análisis que posteriormente se efectuará de los motivos de inconstitucionalidad expresamente identificados como tales en el escrito del recurso: i) “inconstitucionalidad del artículo 62 de la Ley 8/2012 de Medidas Fiscales y Administrativas de Madrid, por violación del artículo 9.3 de la Constitución en relación con el principio de legalidad, así como por infringir el artículo 149.1.18 sobre bases del régimen jurídico de las Administraciones públicas así como por reserva de Ley estatal sobre contratos y concesiones administrativas”; ii) “inconstitucionalidad del artículo 63 de la Ley 8/2012 de Medidas Fiscales y Administrativas de Madrid, por haber infringido normativa básica estatal así como por infringir el artículo 149.1.18 CE en materia de reserva de Ley estatal sobre contratos y concesiones administrativas”; iii) “vulneración de la garantía institucional contenida en el art. 41 CE, de los derechos que se derivan de la misma para los ciudadanos, del art. 149.1.17 CE y del art. 14 CE”; y iv) “vulneración del derecho a la protección de la salud (art. 43 CE) y de la regulación básica estatal sobre sanidad pública (art. 149.1.16 CE)”. Conforme en su momento se irá viendo, el alcance de nuestro enjuiciamiento respecto a estas quejas quedará determinado por la propia argumentación de los recurrentes, que no siempre recae sobre todo el contenido de los arts. 62 y 63 de la Ley 8/2012, y que en algún caso no acompaña la denuncia formulada de la correspondiente fundamentación autónoma.</w:t>
      </w:r>
    </w:p>
    <w:p w:rsidR="0085709A" w:rsidRDefault="0085709A" w:rsidP="0085709A">
      <w:pPr>
        <w:pStyle w:val="TextoNormal"/>
      </w:pPr>
    </w:p>
    <w:p w:rsidR="0085709A" w:rsidRDefault="0085709A" w:rsidP="0085709A">
      <w:pPr>
        <w:pStyle w:val="TextoNormal"/>
      </w:pPr>
      <w:r>
        <w:t>b) Por otro lado, el interés por recordar la doctrina constitucional expuesta viene también dado por cuanto que la sistemática seguida en el escrito rector de este proceso puede inducir a cierta confusión respecto de la totalidad de motivos en los que se sustenta la controversia constitucional que nos ocupa.</w:t>
      </w:r>
    </w:p>
    <w:p w:rsidR="0085709A" w:rsidRDefault="0085709A" w:rsidP="0085709A">
      <w:pPr>
        <w:pStyle w:val="TextoNormal"/>
      </w:pPr>
    </w:p>
    <w:p w:rsidR="0085709A" w:rsidRDefault="0085709A" w:rsidP="0085709A">
      <w:pPr>
        <w:pStyle w:val="TextoNormal"/>
      </w:pPr>
      <w:r>
        <w:lastRenderedPageBreak/>
        <w:t xml:space="preserve">En efecto, tal y como apuntan las representaciones procesales del Gobierno y de la Asamblea de Madrid, junto a los indicados motivos de inconstitucionalidad expresamente identificados como tales, en los denominados “antecedentes de hecho” del escrito de recurso hallamos otras dos denuncias de infracción: i) la primera de ellas en relación con el principio de seguridad jurídica </w:t>
      </w:r>
      <w:r w:rsidRPr="0085709A">
        <w:rPr>
          <w:i/>
        </w:rPr>
        <w:t>ex</w:t>
      </w:r>
      <w:r>
        <w:t xml:space="preserve"> art. 9.3 CE; y ii) la segunda, fundada en el incumplimiento de que el proyecto de ley vaya acompañado de los antecedentes necesarios. Con independencia de la adecuación de ese lugar para exponer en él los motivos impugnatorios sobre los que se sustenta —al menos parcialmente— el recurso, lo cierto es que la demanda contiene un desarrollo de los mismos que justifica su toma en consideración y la consiguiente necesidad de proceder a su examen singularizado en esta resolución.</w:t>
      </w:r>
    </w:p>
    <w:p w:rsidR="0085709A" w:rsidRDefault="0085709A" w:rsidP="0085709A">
      <w:pPr>
        <w:pStyle w:val="TextoNormal"/>
      </w:pPr>
    </w:p>
    <w:p w:rsidR="0085709A" w:rsidRDefault="0085709A" w:rsidP="0085709A">
      <w:pPr>
        <w:pStyle w:val="TextoNormal"/>
      </w:pPr>
      <w:r w:rsidRPr="0085709A">
        <w:rPr>
          <w:rStyle w:val="NumeroAFNegritaCaracter"/>
        </w:rPr>
        <w:t>3</w:t>
      </w:r>
      <w:r>
        <w:t>. Comenzando por estas últimas quejas, analizaremos en primer lugar la relativa a la lesión del principio de seguridad jurídica reconocido en el art. 9.3 CE y que, a juicio de los recurrentes, queda mermado por dos razones.</w:t>
      </w:r>
    </w:p>
    <w:p w:rsidR="0085709A" w:rsidRDefault="0085709A" w:rsidP="0085709A">
      <w:pPr>
        <w:pStyle w:val="TextoNormal"/>
      </w:pPr>
    </w:p>
    <w:p w:rsidR="0085709A" w:rsidRDefault="0085709A" w:rsidP="0085709A">
      <w:pPr>
        <w:pStyle w:val="TextoNormal"/>
      </w:pPr>
      <w:r>
        <w:t>a) De una parte, el escrito de recurso fundamenta la queja en el argumento de que los preceptos impugnados forman parte de una ley —la Ley 8/2012, de medidas fiscales y administrativas de la Comunidad de Madrid—, en la que se incluyen normas que modifican numerosos textos legales en materias dispares, dando lugar a una técnica legislativa irregular e insuficiente, que dificulta la comprensión del alcance de la Ley.</w:t>
      </w:r>
    </w:p>
    <w:p w:rsidR="0085709A" w:rsidRDefault="0085709A" w:rsidP="0085709A">
      <w:pPr>
        <w:pStyle w:val="TextoNormal"/>
      </w:pPr>
    </w:p>
    <w:p w:rsidR="0085709A" w:rsidRDefault="0085709A" w:rsidP="0085709A">
      <w:pPr>
        <w:pStyle w:val="TextoNormal"/>
      </w:pPr>
      <w:r>
        <w:t>Para responder a este reproche hemos de partir de la doctrina sentada en la STC 136/2011, de 13 de septiembre, y reiterada en la STC 176/2011, de 8 de noviembre, acerca de la constitucionalidad de las leyes de contenido heterogéneo. Una doctrina que, interesa recordar, se asienta sobre la premisa de que no existe ningún óbice “desde el punto de vista constitucional que impida o limite la incorporación a un solo texto legislativo, para su tramitación conjunta en un solo procedimiento, de multitud de medidas normativas de carácter heterogéneo” [SSTC 136/2011, FJ 3, y 176/2011, FJ 2 a)].</w:t>
      </w:r>
    </w:p>
    <w:p w:rsidR="0085709A" w:rsidRDefault="0085709A" w:rsidP="0085709A">
      <w:pPr>
        <w:pStyle w:val="TextoNormal"/>
      </w:pPr>
    </w:p>
    <w:p w:rsidR="0085709A" w:rsidRDefault="0085709A" w:rsidP="0085709A">
      <w:pPr>
        <w:pStyle w:val="TextoNormal"/>
      </w:pPr>
      <w:r>
        <w:t>Como se recuerda en la STC 176/2011, en la primera de estas resoluciones el Tribunal tuvo ocasión de señalar, respecto de la eventual infracción del principio de seguridad jurídica por este tipo de leyes, en tanto que normas de contenido indefinido y sin objeto indeterminado, que “la norma impugnada tenía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(STC 136/2011, de 13 de septiembre, FJ 9)” [FJ 2 e), comillas interiores suprimidas].</w:t>
      </w:r>
    </w:p>
    <w:p w:rsidR="0085709A" w:rsidRDefault="0085709A" w:rsidP="0085709A">
      <w:pPr>
        <w:pStyle w:val="TextoNormal"/>
      </w:pPr>
    </w:p>
    <w:p w:rsidR="0085709A" w:rsidRDefault="0085709A" w:rsidP="0085709A">
      <w:pPr>
        <w:pStyle w:val="TextoNormal"/>
      </w:pPr>
      <w:r>
        <w:t xml:space="preserve">Esta doctrina sentada respecto a las leyes estatales resulta trasladable a las leyes autonómicas como la que ahora nos ocupa (STC 132/2013, de 5 de junio, FJ 1). Pues bien, en este caso, no cabe apreciar que la heterogeneidad de la Ley 8/2012 de la Comunidad de Madrid determine la denunciada vulneración del principio de seguridad jurídica. Nos encontramos ante un texto legal resultante de la tramitación parlamentaria de un proyecto de ley que fue presentado por el Gobierno de la Comunidad de Madrid y publicado en el “Boletín Oficial de la Asamblea de Madrid” núm. 92, de 27 de noviembre de 2012, para conocimiento de </w:t>
      </w:r>
      <w:r>
        <w:lastRenderedPageBreak/>
        <w:t>todos sus eventuales destinatarios y de los integrantes de la Asamblea Legislativa autonómica, y que tras su aprobación definitiva por la Cámara, se insertó, dando cumplimiento a lo dispuesto en el art. 40 del Estatuto de Autonomía de la Comunidad de Madrid, en el “Boletín Oficial de la Comunidad de Madrid” núm. 310, de 29 de diciembre de 2012 y en el “Boletín Oficial del Estado” núm. 61, de 12 de marzo de 2013. Consecuentemente, no puede hablarse de quiebra de la vertiente objetiva del principio de seguridad jurídica —identificada con la certeza del contenido de la norma en la STC 273/2000, de 15 de noviembre, FJ 10, en unos términos luego reiterados, entre otras, en las SSTC 96/2002, de 25 de abril, FJ 5, y 37/2012, de 19 de marzo, FJ 8—, que es la aquí concernida.</w:t>
      </w:r>
    </w:p>
    <w:p w:rsidR="0085709A" w:rsidRDefault="0085709A" w:rsidP="0085709A">
      <w:pPr>
        <w:pStyle w:val="TextoNormal"/>
      </w:pPr>
    </w:p>
    <w:p w:rsidR="0085709A" w:rsidRDefault="0085709A" w:rsidP="0085709A">
      <w:pPr>
        <w:pStyle w:val="TextoNormal"/>
      </w:pPr>
      <w:r>
        <w:t>b) De otra parte, los recurrentes cuestionan asimismo el respeto al principio de seguridad jurídica como consecuencia de la redacción de los preceptos impugnados, poniendo de relieve el carácter parco del texto legal y sus continuas referencias a términos y posibilidades futuras, sin contener todos los elementos para entender la voluntad del legislador.</w:t>
      </w:r>
    </w:p>
    <w:p w:rsidR="0085709A" w:rsidRDefault="0085709A" w:rsidP="0085709A">
      <w:pPr>
        <w:pStyle w:val="TextoNormal"/>
      </w:pPr>
    </w:p>
    <w:p w:rsidR="0085709A" w:rsidRDefault="0085709A" w:rsidP="0085709A">
      <w:pPr>
        <w:pStyle w:val="TextoNormal"/>
      </w:pPr>
      <w:r>
        <w:t>En la resolución de esta queja ha de tomarse en consideración que, conforme a la doctrina de este Tribunal, “la seguridad jurídica ha de entenderse como la certeza sobre el ordenamiento jurídico aplicable y los intereses jurídicamente tutelados, procurando ‘la claridad y no la confusión normativa’ (STC 46/1990, de 15 de marzo, FJ 4), y como ‘la expectativa razonablemente fundada del ciudadano en cuál ha de ser la actuación del poder en la aplicación del Derecho’ (STC 36/1991, de 14 de febrero, FJ 5). En definitiva,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(STC 96/2002, de 25 de abril, FJ 5; o STC 93/2013, de 23 de abril, FJ 10).</w:t>
      </w:r>
    </w:p>
    <w:p w:rsidR="0085709A" w:rsidRDefault="0085709A" w:rsidP="0085709A">
      <w:pPr>
        <w:pStyle w:val="TextoNormal"/>
      </w:pPr>
    </w:p>
    <w:p w:rsidR="0085709A" w:rsidRDefault="0085709A" w:rsidP="0085709A">
      <w:pPr>
        <w:pStyle w:val="TextoNormal"/>
      </w:pPr>
      <w:r>
        <w:t>Proyectando esta doctrina sobre los preceptos impugnados, a partir de su lectura cabe concluir que su texto no es contrario al principio de seguridad jurídica. El tenor de los arts. 62 y 63 de la Ley 8/2012 de la Comunidad de Madrid resulta claro y preciso en cuanto a sus destinatarios y el contenido a ellos dirigido. Además, frente a lo aducido por los recurrentes, ninguna confusión o incertidumbre genera la práctica —no infrecuente— de que algunos de los mandatos normativos incluidos en estos artículos se expresen mediante fórmulas verbales en futuro; y lo mismo cabe decir respecto al uso de términos potestativos —“podrá” o “podrán”—. Tales fórmulas o términos no hacen sino precisar el sentido imperativo o facultativo que la correspondiente norma tiene para los respectivos destinatarios o, en su caso, el margen de disposición que se les concede, lo que en definitiva contribuye a determinar el significado y alcance que el legislador ha querido otorgar a cada una de las previsiones.</w:t>
      </w:r>
    </w:p>
    <w:p w:rsidR="0085709A" w:rsidRDefault="0085709A" w:rsidP="0085709A">
      <w:pPr>
        <w:pStyle w:val="TextoNormal"/>
      </w:pPr>
    </w:p>
    <w:p w:rsidR="0085709A" w:rsidRDefault="0085709A" w:rsidP="0085709A">
      <w:pPr>
        <w:pStyle w:val="TextoNormal"/>
      </w:pPr>
      <w:r>
        <w:t>Por todo lo dicho, debemos en consecuencia rechazar la existencia de lesión del principio de seguridad jurídica.</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Por lo que hace al vicio referido a la insuficiencia de los antecedentes que acompañaron al proyecto de ley, tanto la Letrada de la Comunidad de Madrid como la de la Asamblea de Madrid se oponen a esta denuncia, aportando certificación respecto a la documentación que se adjuntó junto al proyecto de ley que ahora nos ocupa —memorias de análisis de </w:t>
      </w:r>
      <w:r>
        <w:lastRenderedPageBreak/>
        <w:t>impacto normativo, informe 5/2012 del Consejo Económico y Social, informe de la Dirección General de los servicios jurídicos, e informe de la Secretaría General Técnica de Economía y Hacienda—.</w:t>
      </w:r>
    </w:p>
    <w:p w:rsidR="0085709A" w:rsidRDefault="0085709A" w:rsidP="0085709A">
      <w:pPr>
        <w:pStyle w:val="TextoNormal"/>
      </w:pPr>
    </w:p>
    <w:p w:rsidR="0085709A" w:rsidRDefault="0085709A" w:rsidP="0085709A">
      <w:pPr>
        <w:pStyle w:val="TextoNormal"/>
      </w:pPr>
      <w:r>
        <w:t>a) Con relación a esta impugnación interesa efectuar previamente algunas aclaraciones respecto a los preceptos en que los recurrentes fundamentan esta queja. De manera principal, el escrito de recurso invoca en su argumentación la falta de adecuación a las exigencias del art. 88 CE. Recordemos, no obstante, que este precepto constitucional se refiere a los proyectos de ley que “serán aprobados en Consejo de Ministros, que los someterá al Congreso”. Nos encontramos, por tanto, ante un mandato constitucional referido a proyectos de leyes estatales, aprobados por un órgano del Gobierno de la Nación, previa elaboración conforme a lo dispuesto en el también invocado art. 22.2 de la Ley 50/1997, de 27 de noviembre, del Gobierno. En el caso ahora analizado estamos, en cambio, ante un proyecto de ley autonómica remitido por el Consejo de Gobierno de la Comunidad de Madrid a la Asamblea de Madrid.</w:t>
      </w:r>
    </w:p>
    <w:p w:rsidR="0085709A" w:rsidRDefault="0085709A" w:rsidP="0085709A">
      <w:pPr>
        <w:pStyle w:val="TextoNormal"/>
      </w:pPr>
    </w:p>
    <w:p w:rsidR="0085709A" w:rsidRDefault="0085709A" w:rsidP="0085709A">
      <w:pPr>
        <w:pStyle w:val="TextoNormal"/>
      </w:pPr>
      <w:r>
        <w:t>En este punto ha de tenerse en cuenta que, según ha advertido este Tribunal, “de los preceptos constitucionales que regulan instituciones del Estado no pueden inferirse, sin más, reglas y principios de aplicación, por vía analógica, a las instituciones autonómicas homólogas. Esta doctrina ha sido aplicada en varias ocasiones por el Tribunal en relación, precisamente, a preceptos constitucionales que establecen requisitos relativos a la elaboración y aprobación de fuentes normativas del Estado. Así, por ejemplo, en el ATC 428/1989 se precisó que los artículos de la Constitución que regulan la iniciativa legislativa popular en el ámbito de la legislación estatal no son de aplicación a las Comunidades Autónomas. Igualmente, en la STC 179/1989, en un supuesto, … , en el que se debatía la exigencia de mayorías parlamentarias cualificadas para la aprobación de determinados tipos de leyes de la Comunidad Foral de Navarra, se declaró, que ‘no es en modo alguno exigible, en virtud de los mandatos constitucionales, que las instituciones legislativas de las Comunidades Autónomas deban adecuar su estructura, funcionamiento y organización a las correspondientes de las Cortes Generales, ni que deban aplicarse a las Cámaras legislativas de las Comunidades Autónomas, en forma directa o supletoria, las normas constitucionales que regulen la organización y funcionamiento de las Cortes Generales’ (fundamento jurídico 7)” (STC 116/1994, de 18 de abril, FJ 5). Por ello, se concluye que “[l]a regulación aplicable a las instituciones autonómicas, en este caso, a sus fuentes normativas, desde la perspectiva constitucional propia del presente proceso, es la contenida únicamente en sus respectivos Estatutos de Autonomía, en las leyes estatales que, dentro del marco constitucional, se hubiesen dictado para delimitar las competencias del Estado y las Comunidades Autónomas y, por supuesto, en las reglas y principios constitucionales aplicables a todos los poderes públicos que conforman el Estado entendido en sentido amplio y, evidentemente, en las reglas y principios constitucionales específicamente dirigidos a las Comunidades Autónomas” (STC 116/1994, FJ 5).</w:t>
      </w:r>
    </w:p>
    <w:p w:rsidR="0085709A" w:rsidRDefault="0085709A" w:rsidP="0085709A">
      <w:pPr>
        <w:pStyle w:val="TextoNormal"/>
      </w:pPr>
    </w:p>
    <w:p w:rsidR="0085709A" w:rsidRDefault="0085709A" w:rsidP="0085709A">
      <w:pPr>
        <w:pStyle w:val="TextoNormal"/>
      </w:pPr>
      <w:r>
        <w:t xml:space="preserve">Esta doctrina conduce a afirmar que, </w:t>
      </w:r>
      <w:r w:rsidRPr="0085709A">
        <w:rPr>
          <w:i/>
        </w:rPr>
        <w:t>per se</w:t>
      </w:r>
      <w:r>
        <w:t>, el art. 88 CE no puede actuar como parámetro de constitucionalidad de un proyecto de ley como el ahora examinado, que fue elaborado por un Gobierno autonómico para ser tramitado en la Asamblea Legislativa de la correspondiente Comunidad Autónoma. Por el contrario, dado su ámbito autonómico, la valoración desde la perspectiva constitucional de la denuncia aquí formulada requerirá atender al blo</w:t>
      </w:r>
      <w:r>
        <w:lastRenderedPageBreak/>
        <w:t>que de constitucionalidad aplicable a la Comunidad de Madrid, cuyo examen permite constatar que los proyectos de ley elaborados por el Consejo de Gobierno de esta Comunidad Autónoma cuentan con una regulación propia de aplicación directa.</w:t>
      </w:r>
    </w:p>
    <w:p w:rsidR="0085709A" w:rsidRDefault="0085709A" w:rsidP="0085709A">
      <w:pPr>
        <w:pStyle w:val="TextoNormal"/>
      </w:pPr>
    </w:p>
    <w:p w:rsidR="0085709A" w:rsidRDefault="0085709A" w:rsidP="0085709A">
      <w:pPr>
        <w:pStyle w:val="TextoNormal"/>
      </w:pPr>
      <w:r>
        <w:t>En efecto, el Estatuto de Autonomía de la Comunidad de Madrid dispone que la Asamblea se dotará de su propio Reglamento en el que, entre otros extremos, especificará las relaciones entre la Asamblea y el Gobierno, así como el procedimiento legislativo común y los que en su caso se establezcan (artículo 12); igualmente, también prevé que la iniciativa legislativa corresponde, entre otros, al Gobierno, en los términos que se establezcan en el Reglamento de la Asamblea (artículo 15.2). Pues bien, el artículo 140.1 del Reglamento de la Asamblea de Madrid establece que “[l]os proyectos de ley remitidos por el Consejo de Gobierno se presentarán de forma articulada e irán acompañados de los antecedentes necesarios para pronunciarse sobre ellos y precedidos de una exposición de motivos”. Este último precepto, al que también los recurrentes aluden en su argumentación y que cabe entender integrado en el bloque de constitucionalidad (SSTC 238/2012, de 13 de diciembre, FJ 2; 132/2013, de 5 de junio, FJ 3), es por tanto la norma que directamente sustenta el enjuiciamiento por este Tribunal del denunciado vicio relativo a la insuficiencia de los antecedentes que acompañaron el proyecto de ley que dio lugar a los preceptos legales ahora impugnados.</w:t>
      </w:r>
    </w:p>
    <w:p w:rsidR="0085709A" w:rsidRDefault="0085709A" w:rsidP="0085709A">
      <w:pPr>
        <w:pStyle w:val="TextoNormal"/>
      </w:pPr>
    </w:p>
    <w:p w:rsidR="0085709A" w:rsidRDefault="0085709A" w:rsidP="0085709A">
      <w:pPr>
        <w:pStyle w:val="TextoNormal"/>
      </w:pPr>
      <w:r>
        <w:t>b) Como acaba de indicarse, no es propiamente el art. 88 CE, sino el referido art. 140.1 del Reglamento de la Asamblea de Madrid el que sirve de canon de constitucionalidad en la queja expuesta. Con todo, la similitud de sus respectivos contenidos en el punto ahora controvertido determina que la doctrina aplicada respecto al citado precepto constitucional resulte trasladable al presente examen de adecuación a la norma reglamentaria de la Asamblea autonómica.</w:t>
      </w:r>
    </w:p>
    <w:p w:rsidR="0085709A" w:rsidRDefault="0085709A" w:rsidP="0085709A">
      <w:pPr>
        <w:pStyle w:val="TextoNormal"/>
      </w:pPr>
    </w:p>
    <w:p w:rsidR="0085709A" w:rsidRDefault="0085709A" w:rsidP="0085709A">
      <w:pPr>
        <w:pStyle w:val="TextoNormal"/>
      </w:pPr>
      <w:r>
        <w:t xml:space="preserve">Entre otros pronunciamientos, dicha doctrina puede encontrarse en las SSTC 136/2011 y 176/2011, en las que se dio respuesta a un reproche similar al aquí formulado. En concreto, ante la denuncia de infracción de determinadas reglas del procedimiento parlamentario —entre ellas, la relativa al deber de acompañar el proyecto de ley de los antecedentes necesarios—, este Tribunal procedió a rechazar la existencia de tales vicios “no sólo por no haberse denunciado algunos de ellos ante la correspondiente Cámara sino, lo que es más importante, por no haberse acreditado que su alcance era de tal magnitud que hubiese alterado, ‘no de cualquier manera, sino de forma sustancial, el proceso de formación de la voluntad de una Cámara, habiendo afectado, en consecuencia, al ejercicio de la función representativa inherente al estatuto del parlamentario’ (STC 136/2011, de 13 de septiembre, FJ 10)” [STC 176/2011, FJ 2 f)]. Asimismo, como complemento de esta doctrina, hemos de citar la STC 68/2013, de 14 de marzo, en la cual dijimos que “[e]n relación con las alegaciones de vulneración del procedimiento legislativo, la doctrina de este Tribunal establece la necesidad de ‘examinar, ante todo, si se ha producido o no vulneración de la normativa reguladora de la elaboración de las leyes para, sólo después, y en su caso, valorar si aquella vulneración pudo tener relevancia para la formación de la voluntad legisladora’ [STC 238/2012, de 13 de diciembre, FJ 2 a)]”, de ahí que, como se recordó en relación con el art. 88 CE —e igualmente cabe hacerlo extensivo respecto al proyecto de ley autonómica ahora enjuiciado—, “‘la ausencia de un determinado antecedente sólo tendrá trascendencia si se hubiere privado a las Cámaras de un elemento de juicio necesario para su decisión’ (STC </w:t>
      </w:r>
      <w:r>
        <w:lastRenderedPageBreak/>
        <w:t>108/1986, de 28 de julio, FJ 3). Para determinar si esto último se ha producido, será relevante tener en cuenta aspectos tales como el relativo a sí un determinado informe tiene carácter facultativo o preceptivo, aspecto que fue subrayado en la STC 108/1986, de 28 de julio, FJ 3, o el rango de la norma que lo prevea, extremo que fue determinante para considerar inconstitucional en la STC 35/1984, de 13 de marzo, FJ 6, la adopción de un Decreto-ley que omitió un trámite de informe previsto en la disposición adicional tercera de la Constitución” (FJ 2).</w:t>
      </w:r>
    </w:p>
    <w:p w:rsidR="0085709A" w:rsidRDefault="0085709A" w:rsidP="0085709A">
      <w:pPr>
        <w:pStyle w:val="TextoNormal"/>
      </w:pPr>
    </w:p>
    <w:p w:rsidR="0085709A" w:rsidRDefault="0085709A" w:rsidP="0085709A">
      <w:pPr>
        <w:pStyle w:val="TextoNormal"/>
      </w:pPr>
      <w:r>
        <w:t>En el presente caso, además de razonar sobre los presupuestos de una ley que deben ser objeto del debate parlamentario, el escrito de recurso subraya la importancia que, por su finalidad, tiene el deber de adjuntar los antecedentes necesarios junto al proyecto de ley, de tal modo que respecto a los preceptos impugnados afirma que “[t]anto las brevísimas y apodícticas manifestaciones del Plan de Sostenibilidad como el contenido de los Informes remitidos a la Asamblea junto con el proyecto de ley no cumplen bajo ningún concepto la función de aportar los antecedentes necesarios para comprender el contenido de estas normas”. Sin embargo, más allá de esas afirmaciones genéricas, los Senadores recurrentes no identifican en su escrito ningún “antecedente necesario”, cuyo conocimiento se hurtara a la Asamblea de Madrid durante el debate del proyecto de ley que daría lugar a la Ley ahora recurrida. De hecho, aun cuando reproducen el texto del art. 22.2 de la Ley estatal del Gobierno —a cuya aplicación supletoria parece que pudieran querer apuntar—, lo cierto es que, sin necesidad de valorar la viabilidad de ese eventual planteamiento, baste señalar que los recurrentes se limitan a la mera transcripción del precepto, sin proyectar los detalles de su contenido en el caso y sin que, como se ha dicho, especifiquen omisiones concretas en las que basar su alegación de que el proyecto de ley no fue acompañado de los “antecedentes necesarios”. Consecuentemente, no es posible examinar si efectivamente se ha producido una vulneración de la normativa reguladora de la elaboración de las leyes, presupuesto inexcusable para que, como ya dijéramos en las SSTC 238/2012 y 68/2013 (FJ 2), podamos entrar a valorar si dicha vulneración pudo tener relevancia para la formación de la voluntad legisladora. De donde resulta la inevitable desestimación de este motivo del recurso.</w:t>
      </w:r>
    </w:p>
    <w:p w:rsidR="0085709A" w:rsidRDefault="0085709A" w:rsidP="0085709A">
      <w:pPr>
        <w:pStyle w:val="TextoNormal"/>
      </w:pPr>
    </w:p>
    <w:p w:rsidR="0085709A" w:rsidRDefault="0085709A" w:rsidP="0085709A">
      <w:pPr>
        <w:pStyle w:val="TextoNormal"/>
      </w:pPr>
      <w:r w:rsidRPr="0085709A">
        <w:rPr>
          <w:rStyle w:val="NumeroAFNegritaCaracter"/>
        </w:rPr>
        <w:t>5</w:t>
      </w:r>
      <w:r>
        <w:t>. Alega la demanda la infracción de la reserva de ley estatal para la regulación de las bases de los contratos y concesiones administrativas (art. 149.1.18 CE), en cuanto que el art. 62.1 de la ley recurrida contradice el art. 8 del texto refundido de la Ley de contratos del sector público (Real Decreto Legislativo 3/2011, de 14 de noviembre). De esta infracción parece deducir, sin argumentación alguna, la vulneración del principio de legalidad del art. 9.3 CE.</w:t>
      </w:r>
    </w:p>
    <w:p w:rsidR="0085709A" w:rsidRDefault="0085709A" w:rsidP="0085709A">
      <w:pPr>
        <w:pStyle w:val="TextoNormal"/>
      </w:pPr>
    </w:p>
    <w:p w:rsidR="0085709A" w:rsidRDefault="0085709A" w:rsidP="0085709A">
      <w:pPr>
        <w:pStyle w:val="TextoNormal"/>
      </w:pPr>
      <w:r>
        <w:t xml:space="preserve">Cabe precisar, en primer lugar, que el art. 149.1.18 CE no establece una reserva material de ley para la regulación de los contratos y concesiones administrativas. Se limita a atribuir al Estado la competencia para dictar la legislación básica en esta materia. Cuestión distinta es que, conforme a una reiterada doctrina constitucional, para garantizar la generalidad y estabilidad consustanciales a las reglas básicas, éstas deben establecerse mediante ley formal votada en Cortes, aunque, como excepción, quepa admitir que, en ciertas circunstancias, el Gobierno pueda regular por Real Decreto aspectos básicos de una determinada materia, esto es, cuando el reglamento resulta complemento indispensable para asegurar el mínimo común denominador establecido en las normas legales básicas (por todas STC 161/2014, de 7 de octubre, FJ 7). Así pues, una vez descartada la existencia de una reserva material de </w:t>
      </w:r>
      <w:r>
        <w:lastRenderedPageBreak/>
        <w:t>ley de la que parece hacerse depender la vulneración del art. 9.3 CE, y a falta de una argumentación en la demanda dirigida a enervar la presunción de validez de la disposición legal por este motivo, no procede entrar en la vulneración del principio de legalidad del art. 9.3 CE [STC 111/2014, de 26 de junio, FJ 1 c)].</w:t>
      </w:r>
    </w:p>
    <w:p w:rsidR="0085709A" w:rsidRDefault="0085709A" w:rsidP="0085709A">
      <w:pPr>
        <w:pStyle w:val="TextoNormal"/>
      </w:pPr>
    </w:p>
    <w:p w:rsidR="0085709A" w:rsidRDefault="0085709A" w:rsidP="0085709A">
      <w:pPr>
        <w:pStyle w:val="TextoNormal"/>
      </w:pPr>
      <w:r>
        <w:t>Lo que los recurrentes achacan al precepto impugnado es una inconstitucionalidad mediata por vulneración de la normativa básica del Estado. Entienden que el art. 8 del  Real Decreto Legislativo 3/2011 configura el contrato de gestión de servicios públicos como un contrato a celebrar entre la Administración titular de la competencia y una persona natural o jurídica. Al no tener el Servicio Madrileño de Salud la consideración de Administración, ni ser el titular de la competencia sobre los servicios sanitarios, que corresponde a la Comunidad de Madrid (art. 3.3 de la Ley 12/2001, de ordenación sanitaria de la Comunidad de Madrid), no puede adjudicar a terceros la gestión de los servicios de asistencia especializada que se prestan en los hospitales públicos integrados en esta entidad de derecho público. Y para llegar a esta conclusión, parten de la consideración de que, cuando el precepto impugnado “habilita al Servicio Madrileño de Salud para adjudicar contratos para la gestión del servicio público de asistencia sanitaria especializada en los Hospitales Infanta Cristina, Infanta Sofía, Infanta Leonor, Sureste, Henares y Tajo”, le está habilitando para la adjudicación de contratos de gestión de servicios públicos, en cualquiera de las modalidades contempladas en el art. 277 del Real Decreto Legislativo 3/2011 (gestión interesada, concierto, concesión, o empresa mixta).</w:t>
      </w:r>
    </w:p>
    <w:p w:rsidR="0085709A" w:rsidRDefault="0085709A" w:rsidP="0085709A">
      <w:pPr>
        <w:pStyle w:val="TextoNormal"/>
      </w:pPr>
    </w:p>
    <w:p w:rsidR="0085709A" w:rsidRDefault="0085709A" w:rsidP="0085709A">
      <w:pPr>
        <w:pStyle w:val="TextoNormal"/>
      </w:pPr>
      <w:r>
        <w:t>En efecto, debe tenerse en cuenta que, conforme a la exposición de motivos de la Ley impugnada, con esta reordenación de la asistencia sanitaria prestada, tanto en su red de hospitales como en los centros de atención primaria, se pretende fijar un nuevo marco jurídico que permita el establecimiento de cualquier sistema de gestión que persiga la eficiencia en la asignación de los recursos públicos y garantice la asistencia sanitaria. No en vano, el precepto impugnado se refiere a la Ley 15/1997, de 25 de abril, sobre habilitación de nuevas formas de gestión del Sistema Nacional de Salud, que contempla la posibilidad de que la prestación y gestión de los servicios sanitarios y sociosanitarios se lleve a cabo, además de con medios propios, mediante contratos con personas públicas o privadas (artículo único). Es por ello que la referencia contenida en el precepto impugnado a la “adjudicación de contratos de gestión” hace alusión a la adjudicación de contratos de gestión de servicios públicos, y no, sin embargo, al contrato de servicios en el que, a diferencia del anterior, el contratista no se subroga en el lugar del contratante en la explotación del servicio, por lo que no asume ni la organización ni el riesgo de la prestación del mismo. Tampoco se refiere a la encomienda del servicio a otras entidades de derecho público o sociedades mercantiles de capital íntegramente público que, por considerarse medios propios en lo que se refiere a este tipo de contrato, carece de naturaleza contractual (art. 8.2 del Real Decreto Legislativo 3/2011).</w:t>
      </w:r>
    </w:p>
    <w:p w:rsidR="0085709A" w:rsidRDefault="0085709A" w:rsidP="0085709A">
      <w:pPr>
        <w:pStyle w:val="TextoNormal"/>
      </w:pPr>
    </w:p>
    <w:p w:rsidR="0085709A" w:rsidRDefault="0085709A" w:rsidP="0085709A">
      <w:pPr>
        <w:pStyle w:val="TextoNormal"/>
      </w:pPr>
      <w:r>
        <w:t xml:space="preserve">a) El art. 8 del Real Decreto Legislativo 3/2011 define el contrato de gestión de servicios públicos en función de la entidad contratante, la Administración pública, y el objeto del contrato, la gestión de un servicio público de su competencia. La modificación introducida por la disposición final quincuagésima quinta de la Ley 2/2011, de economía sostenible, en el art. 8.1 del Real Decreto Legislativo 3/2011, no afecta al primero de estos elementos, ya que sólo permite suscribir este contrato calificado a un tipo de entidades del sector público que no son Administración pública, las mutuas de accidentes de trabajo y enfermedades </w:t>
      </w:r>
      <w:r>
        <w:lastRenderedPageBreak/>
        <w:t>profesionales, cuando lo hagan para la gestión de la prestación sanitaria. En consecuencia, el resto de contratos de gestión de servicio público, incluso en el ámbito sanitario, tienen como requisito necesario que sea una Administración la contratante. A su vez, es el art. 3.2 del Real Decreto Legislativo 3/2011 el que establece qué es Administración pública a los efectos de esta Ley.</w:t>
      </w:r>
    </w:p>
    <w:p w:rsidR="0085709A" w:rsidRDefault="0085709A" w:rsidP="0085709A">
      <w:pPr>
        <w:pStyle w:val="TextoNormal"/>
      </w:pPr>
    </w:p>
    <w:p w:rsidR="0085709A" w:rsidRDefault="0085709A" w:rsidP="0085709A">
      <w:pPr>
        <w:pStyle w:val="TextoNormal"/>
      </w:pPr>
      <w:r>
        <w:t>Estos dos elementos, subjetivo —quién contrata— y objetivo —lo que se contrata—, sirven para determinar qué reglas del texto refundido de la Ley de contratos del sector público resultan de aplicación al contrato de gestión de servicio público, es decir, tanto las que regulan los actos de preparación y adjudicación, como las que disciplinan los derechos y deberes de las partes en el mismo. Las primeras garantizan, tal y como señala el art. 1 del Real Decreto Legislativo 3/2011, que la contratación se ajusta a los principios de libertad de acceso a las licitaciones, publicidad y transparencia de los procedimientos, y no discriminación e igualdad de trato entre los candidatos, y aseguran, en conexión con el objetivo de estabilidad presupuestaria y control del gasto,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En definitiva, estas reglas pueden considerarse materialmente básicas, pues constituyen el mínimo común uniforme que permite garantizar, de un lado, la igualdad de los licitadores y su tratamiento común ante las Administraciones [SSTC 141/1993, de 22 de abril, FFJJ 5 y 6 b); 56/2014, de 10 de abril, FJ 3] y, de otro, la eficiente utilización de los fondos públicos.</w:t>
      </w:r>
    </w:p>
    <w:p w:rsidR="0085709A" w:rsidRDefault="0085709A" w:rsidP="0085709A">
      <w:pPr>
        <w:pStyle w:val="TextoNormal"/>
      </w:pPr>
    </w:p>
    <w:p w:rsidR="0085709A" w:rsidRDefault="0085709A" w:rsidP="0085709A">
      <w:pPr>
        <w:pStyle w:val="TextoNormal"/>
      </w:pPr>
      <w:r>
        <w:t>Las segundas, en cuanto que regulan el régimen jurídico de los efectos, cumplimiento y extinción de los contratos administrativos, y el contrato de gestión de servicios públicos lo es cuando una Administración lo contrata [art. 19.1 a) del Real Decreto Legislativo 3/2011], determinan el alcance de las prerrogativas de que goza la Administración en este tipo de contratos, en los que no existe igualdad entre las partes, a la vez que establecen límites a la libertad de pactos, es decir, a la discrecionalidad de los gestores públicos a la hora de diseñar los contratos, todo ello en aras de garantizar los fines institucionales de carácter público que con ellos se trata de realizar. Esto es, precisamente, lo que caracteriza los contratos administrativos y los distingue de los contratos privados. De ahí que las reglas sobre los efectos, cumplimiento y extinción de los contratos administrativos, en cuanto que permiten salvaguardar los fines públicos a que sirven los contratos administrativos, forman parte de ese mínimo común denominador que caracteriza las bases en materia de contratación pública.</w:t>
      </w:r>
    </w:p>
    <w:p w:rsidR="0085709A" w:rsidRDefault="0085709A" w:rsidP="0085709A">
      <w:pPr>
        <w:pStyle w:val="TextoNormal"/>
      </w:pPr>
    </w:p>
    <w:p w:rsidR="0085709A" w:rsidRDefault="0085709A" w:rsidP="0085709A">
      <w:pPr>
        <w:pStyle w:val="TextoNormal"/>
      </w:pPr>
      <w:r>
        <w:t xml:space="preserve">Siendo, pues, los elementos objetivo y subjetivo esenciales para la determinación de las reglas aplicables a los contratos públicos que establece el texto refundido en ejercicio de la competencia que asiste al Estado </w:t>
      </w:r>
      <w:r w:rsidRPr="0085709A">
        <w:rPr>
          <w:i/>
        </w:rPr>
        <w:t>ex</w:t>
      </w:r>
      <w:r>
        <w:t xml:space="preserve"> art. 149.1.18 CE, no cabe duda de que los arts. 3 y 8 del Real Decreto Legislativo 3/2011 son materialmente básicos. También lo son formalmente porque así lo establece la disposición final segunda apartado tercero del Real Decreto Legislativo 3/2011.</w:t>
      </w:r>
    </w:p>
    <w:p w:rsidR="0085709A" w:rsidRDefault="0085709A" w:rsidP="0085709A">
      <w:pPr>
        <w:pStyle w:val="TextoNormal"/>
      </w:pPr>
    </w:p>
    <w:p w:rsidR="0085709A" w:rsidRDefault="0085709A" w:rsidP="0085709A">
      <w:pPr>
        <w:pStyle w:val="TextoNormal"/>
      </w:pPr>
      <w:r>
        <w:t xml:space="preserve">b) Afirmado el carácter formal y materialmente básico de los arts. 8 y 3 del Real Decreto Legislativo 3/2011, sólo resta determinar si el precepto impugnado los contradice. Esto es, si el Servicio Madrileño de Salud tiene la condición de Administración pública a los efectos del texto refundido y si tiene la competencia para la prestación de los servicios sanitarios de </w:t>
      </w:r>
      <w:r>
        <w:lastRenderedPageBreak/>
        <w:t>los hospitales públicos a los que la norma se refiere. De cumplirse ambos requisitos, deberá descartarse la vulneración competencial denunciada.</w:t>
      </w:r>
    </w:p>
    <w:p w:rsidR="0085709A" w:rsidRDefault="0085709A" w:rsidP="0085709A">
      <w:pPr>
        <w:pStyle w:val="TextoNormal"/>
      </w:pPr>
    </w:p>
    <w:p w:rsidR="0085709A" w:rsidRDefault="0085709A" w:rsidP="0085709A">
      <w:pPr>
        <w:pStyle w:val="TextoNormal"/>
      </w:pPr>
      <w:r>
        <w:t>Los recurrentes entienden que el Servicio Madrileño de Salud no puede considerarse Administración pública, lo que deducen, por una parte, del hecho de que, por tratarse de una entidad del art. 6 de la Ley 9/1990, de 8 de noviembre, reguladora de la hacienda de la Comunidad Autónoma, no es ni un organismo autónomo ni una empresa pública. De otra, de que se rige parcialmente por el Derecho privado.</w:t>
      </w:r>
    </w:p>
    <w:p w:rsidR="0085709A" w:rsidRDefault="0085709A" w:rsidP="0085709A">
      <w:pPr>
        <w:pStyle w:val="TextoNormal"/>
      </w:pPr>
    </w:p>
    <w:p w:rsidR="0085709A" w:rsidRDefault="0085709A" w:rsidP="0085709A">
      <w:pPr>
        <w:pStyle w:val="TextoNormal"/>
      </w:pPr>
      <w:r>
        <w:t>Descartado que la sujeción en más o en menos al Derecho privado sea un factor determinante para la consideración de Administración pública, pues son Administraciones públicas las que se encuentran en la relación de entidades públicas que establece el art. 3.2 del Real Decreto Legislativo 3/2011, el análisis de esta objeción sólo puede resolverse comprobando si esta entidad, tal y como aparece configurada por la Ley 12/2001, encaja en alguna de las categoría en él contempladas. Y lo cierto es que el Servicio Madrileño de Salud reúne las condiciones de la letra e) del art. 3.2 del Real Decreto Legislativo 3/2011, pues se trata de una entidad de derecho público adscrita a la Consejería de Sanidad de la Comunidad de Madrid (art. 59 de la Ley 12/2001, de ordenación sanitaria de dicha Comunidad), cuya actividad principal, precisamente por actuar en el ámbito del servicio público sanitario, no es la producción de bienes y servicios en régimen de mercado, esto es, en régimen de libre competencia. No se trata, tampoco, de una entidad similar o equiparable a las entidades públicas empresariales estatales, excluidas expresamente por el art 3.2 e) del Real Decreto Legislativo 3/2011 de la categoría de Administraciones públicas, que vienen en principio a corresponderse con las empresas públicas reguladas en el art. 5.2 de la Ley 9/1990, a las que el Servicio Madrileño de Salud no pertenece. A mayor abundamiento, conforme a la información que obra en el perfil del contratante, los contratos que licita y adjudica el Servicio Madrileño de Salud son contratos administrativos, lo que no viene sino a confirmar su carácter de Administración pública a los efectos del texto refundido de la Ley de contratos del sector público.</w:t>
      </w:r>
    </w:p>
    <w:p w:rsidR="0085709A" w:rsidRDefault="0085709A" w:rsidP="0085709A">
      <w:pPr>
        <w:pStyle w:val="TextoNormal"/>
      </w:pPr>
    </w:p>
    <w:p w:rsidR="0085709A" w:rsidRDefault="0085709A" w:rsidP="0085709A">
      <w:pPr>
        <w:pStyle w:val="TextoNormal"/>
      </w:pPr>
      <w:r>
        <w:t>En cuanto al segundo de los requisitos, que se trate de un servicio público de competencia de la Administración contratante, cabe afirmar que el art. 8 del Real Decreto Legislativo 3/2011 se limita a exigir que el servicio público sea de su competencia, por lo que resulta indiferente que esta competencia sea originaria o derivada.</w:t>
      </w:r>
    </w:p>
    <w:p w:rsidR="0085709A" w:rsidRDefault="0085709A" w:rsidP="0085709A">
      <w:pPr>
        <w:pStyle w:val="TextoNormal"/>
      </w:pPr>
    </w:p>
    <w:p w:rsidR="0085709A" w:rsidRDefault="0085709A" w:rsidP="0085709A">
      <w:pPr>
        <w:pStyle w:val="TextoNormal"/>
      </w:pPr>
      <w:r>
        <w:t xml:space="preserve">Tal y como establece el art. 3 de la Ley 12/2001, de 21 de diciembre, de ordenación sanitaria de la Comunidad de Madrid, el sistema sanitario de la Comunidad de Madrid es el conjunto de recursos, normas, medios organizativos y acciones orientados a satisfacer el derecho a la protección de la salud. Para su gestión, el artículo 58 de esta disposición legal crea el Servicio Madrileño de Salud a quien se encomiendan dos funciones diferenciadas. De un lado, la compra de servicios sanitarios a terceros para cubrir la atención sanitaria, a la vista de las necesidades de la población, lo que se llevará a efecto mediante el contrato sanitario, que es el instrumento que establece la relación entre proveedor y comprador, con un régimen jurídico de contrato especial (arts. 68 y ss. de la Ley 12/2001). De otro, y esto es lo relevante a los efectos que aquí interesan, mediante la actividad de provisión de servicios asistenciales de sus centros sanitarios (art. 70 de la Ley 12/2001). Los centros y establecimientos sanitarios que integran el Servicio Madrileño de Salud se configuran, bien como instituciones sanitarias sin personalidad jurídica diferenciada del Servicio Madrileño </w:t>
      </w:r>
      <w:r>
        <w:lastRenderedPageBreak/>
        <w:t>de Salud, bien como entidades sanitarias con personalidad jurídica propia, que podrán constituirse bajo cualquier fórmula contemplada en el ordenamiento (pública o privada), pero siempre de titularidad pública y siempre como entidades instrumentales dependientes del Servicio Madrileño de Salud (art. 88 de la Ley 12/2001). En definitiva, el Servicio Madrileño de Salud, entidad pública adscrita a la Consejería de Salud, es titular de la competencia para la actividad de provisión de servicios asistenciales de sus centros sanitarios, sea cual sea la forma jurídica que estos hayan asumido, entre los que se encuentran los hospitales a los que se refiere el precepto impugnado (disposición adicional primera del Decreto 23/2014, de 3 de marzo, de la Comunidad de Madrid; y previamente, disposición adicional segunda del Decreto 23/2008, de 3 de abril). En conclusión, se cumple también el segundo de los requisitos exigidos por el art. 8 del Real Decreto Legislativo 3/2011, esto es, que se encomiende la gestión de un servicio público competencia de la Administración contratante, en este caso, del Servicio Madrileño de Salud.</w:t>
      </w:r>
    </w:p>
    <w:p w:rsidR="0085709A" w:rsidRDefault="0085709A" w:rsidP="0085709A">
      <w:pPr>
        <w:pStyle w:val="TextoNormal"/>
      </w:pPr>
    </w:p>
    <w:p w:rsidR="0085709A" w:rsidRDefault="0085709A" w:rsidP="0085709A">
      <w:pPr>
        <w:pStyle w:val="TextoNormal"/>
      </w:pPr>
      <w:r>
        <w:t>En virtud de lo expuesto, debemos descartar que el precepto impugnado, al habilitar al Servicio Madrileño de Salud para la adjudicación de la gestión de los servicios de atención especializada de determinados hospitales públicos, vulnere el art. 8 del Real Decreto Legislativo 3/2011 y, en consecuencia, la competencia estatal para dictar la legislación básica en materia de contratos y concesiones administrativas.</w:t>
      </w:r>
    </w:p>
    <w:p w:rsidR="0085709A" w:rsidRDefault="0085709A" w:rsidP="0085709A">
      <w:pPr>
        <w:pStyle w:val="TextoNormal"/>
      </w:pPr>
    </w:p>
    <w:p w:rsidR="0085709A" w:rsidRDefault="0085709A" w:rsidP="0085709A">
      <w:pPr>
        <w:pStyle w:val="TextoNormal"/>
      </w:pPr>
      <w:r w:rsidRPr="0085709A">
        <w:rPr>
          <w:rStyle w:val="NumeroAFNegritaCaracter"/>
        </w:rPr>
        <w:t>6</w:t>
      </w:r>
      <w:r>
        <w:t>. Se impugna el art. 63 de la Ley 8/2012, que modifica el art. 88 de la Ley 12/2001, de 21 de diciembre, en cuanto su apartado 2 permite que, cuando la gestión de los centros de atención primaria se realice por cualquiera de las formas de gestión indirecta previstas en el Real Decreto Legislativo 3/2011, podrá ofrecerse preferentemente a las sociedades de profesionales con personalidad jurídica propia, que estén constituidas total o mayoritariamente por los profesionales sanitarios que presten sus servicios en el Servicio Madrileño de Salud. Establecida la preferencia, cuando la gestión de los centros no se asigne a cualquiera de las sociedades de profesionales creadas al afecto, podrán concurrir para su gestión el resto de personas físicas o jurídicas legalmente constituidas. Alegan los recurrentes que este precepto contradice el art. 1 del Real Decreto Legislativo 3/2011 y el derecho europeo, de manera que habría infringido la reserva de ley estatal para la regulación de los contratos y concesiones administrativas (art. 149.1.18 CE). Aducen también, en directa conexión con ello, la vulneración del principio de seguridad jurídica (art. 9.3 CE) dada la duda que la norma autonómica siembra en los posibles licitadores sobre si actuar en base a la normativa estatal o la autonómica.</w:t>
      </w:r>
    </w:p>
    <w:p w:rsidR="0085709A" w:rsidRDefault="0085709A" w:rsidP="0085709A">
      <w:pPr>
        <w:pStyle w:val="TextoNormal"/>
      </w:pPr>
    </w:p>
    <w:p w:rsidR="0085709A" w:rsidRDefault="0085709A" w:rsidP="0085709A">
      <w:pPr>
        <w:pStyle w:val="TextoNormal"/>
      </w:pPr>
      <w:r>
        <w:t>En lo que atañe a la segunda de las vulneraciones denunciadas, y con independencia de lo que esta resolución concluya sobre la vulneración de la normativa estatal básica, cabe descartar la lesión del principio de seguridad jurídica. No sólo porque el precepto impugnado es claro, no induce a confusión alguna sobre la conducta exigible para su cumplimiento ni sobre la previsibilidad de sus efectos —precisamente lo que garantiza este principio de acuerdo con la doctrina constitucional—, sino también porque las leyes autonómicas gozan de presunción de validez hasta que no son declaradas inconstitucionales por este Tribunal. La tesis que sostiene la demanda conduce derechamente a la negación de las bases del sistema constitucional de distribución de competencias, pues la sola atribución de competencias legislativas a las Comunidades Autónomas vulneraría, de acuerdo con su planteamiento, el principio de seguridad jurídica. Debe, por tanto, rechazarse de plano esta objeción.</w:t>
      </w:r>
    </w:p>
    <w:p w:rsidR="0085709A" w:rsidRDefault="0085709A" w:rsidP="0085709A">
      <w:pPr>
        <w:pStyle w:val="TextoNormal"/>
      </w:pPr>
    </w:p>
    <w:p w:rsidR="0085709A" w:rsidRDefault="0085709A" w:rsidP="0085709A">
      <w:pPr>
        <w:pStyle w:val="TextoNormal"/>
      </w:pPr>
      <w:r>
        <w:t>a) Por lo que se refiere a la otra razón invocada, y como se ha avanzado, se alega que la nueva redacción dada al art. 88.2 de la Ley 12/2001 vulnera la reserva de ley estatal para dictar las bases en materia de contratos y concesiones administrativas (art. 149.1.18 CE), en concreto respecto al art. 1 del Real Decreto Legislativo 3/2011, que la demanda relaciona con la vulneración de la normativa europea, en concreto con la Directiva 2004/18/CE y la jurisprudencia del Tribunal de Justicia de la Unión Europea, que impide la discriminación o tratamiento desigual de los licitadores.</w:t>
      </w:r>
    </w:p>
    <w:p w:rsidR="0085709A" w:rsidRDefault="0085709A" w:rsidP="0085709A">
      <w:pPr>
        <w:pStyle w:val="TextoNormal"/>
      </w:pPr>
    </w:p>
    <w:p w:rsidR="0085709A" w:rsidRDefault="0085709A" w:rsidP="0085709A">
      <w:pPr>
        <w:pStyle w:val="TextoNormal"/>
      </w:pPr>
      <w:r>
        <w:t>Cabe señalar, en primer lugar, por las razones expuestas en el fundamento jurídico 5 de esta Sentencia, que no existe reserva material de ley para la regulación de los contratos y concesiones administrativas, de manera que la vulneración alegada debe reconducirse a una mera cuestión de inconstitucionalidad mediata.</w:t>
      </w:r>
    </w:p>
    <w:p w:rsidR="0085709A" w:rsidRDefault="0085709A" w:rsidP="0085709A">
      <w:pPr>
        <w:pStyle w:val="TextoNormal"/>
      </w:pPr>
    </w:p>
    <w:p w:rsidR="0085709A" w:rsidRDefault="0085709A" w:rsidP="0085709A">
      <w:pPr>
        <w:pStyle w:val="TextoNormal"/>
      </w:pPr>
      <w:r>
        <w:t>En segundo lugar, que el Derecho europeo no es canon de constitucionalidad de las leyes estatales o autonómicas. Este Tribunal ya ha afirmado en reiteradas ocasiones que el Derecho europeo no integra, en virtud del art. 96.1 CE, el canon de constitucionalidad bajo el que han de examinarse las leyes, de manera que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 (STC 28/1991, de 14 de febrero, FJ 5). Ello no es óbice, sin embargo, para que nuestro pronunciamiento sobre la contradicción alegada entre la legislación estatal y la norma autonómica deba partir de una interpretación de las disposiciones legales acorde con las exigencias del Derecho europeo.</w:t>
      </w:r>
    </w:p>
    <w:p w:rsidR="0085709A" w:rsidRDefault="0085709A" w:rsidP="0085709A">
      <w:pPr>
        <w:pStyle w:val="TextoNormal"/>
      </w:pPr>
    </w:p>
    <w:p w:rsidR="0085709A" w:rsidRDefault="0085709A" w:rsidP="0085709A">
      <w:pPr>
        <w:pStyle w:val="TextoNormal"/>
      </w:pPr>
      <w:r>
        <w:t xml:space="preserve">A este respecto, aun cuando el contrato de gestión de servicios públicos no es un contrato armonizado (art. 13 del Real Decreto Legislativo 3/2011), esto es, no está sujeto ni a la Directiva 2004/18/CE ni a la Directiva 2014/24/UE, que deroga la anterior y está aún pendiente de transposición, la encomienda por una autoridad pública a un tercero de la prestación de actividades de servicios, debe respetar el principio de igualdad de trato y sus expresiones específicas, que son la prohibición de discriminar en razón de la nacionalidad, y los arts. 43 y 49 del Tratado CE sobre la libertad de establecimiento y la libre prestación de servicios, respectivamente. Así lo ha afirmado la Comisión europea [Comunicación interpretativa relativa a la aplicación del derecho comunitario en materia de contratación pública y concesiones a la colaboración público-privada institucionalizada (DOUE 12-4-2008) y el Tribunal de Justicia de la Unión europea [por todas, Sentencia 14 de noviembre de 2013, asunto </w:t>
      </w:r>
      <w:r w:rsidRPr="0085709A">
        <w:rPr>
          <w:i/>
        </w:rPr>
        <w:t>Belgacom NV contra Interkommunale voor Teledistributie van het Gewest Antwerpen (Integan) y otros</w:t>
      </w:r>
      <w:r>
        <w:t>]. En cualquier caso, el legislador estatal no ha establecido diferencia alguna entre este contrato y los armonizados, sometiéndolo a las mismas reglas de preparación y adjudicación que el resto de contratos armonizados que celebran las Administraciones públicas.</w:t>
      </w:r>
    </w:p>
    <w:p w:rsidR="0085709A" w:rsidRDefault="0085709A" w:rsidP="0085709A">
      <w:pPr>
        <w:pStyle w:val="TextoNormal"/>
      </w:pPr>
    </w:p>
    <w:p w:rsidR="0085709A" w:rsidRDefault="0085709A" w:rsidP="0085709A">
      <w:pPr>
        <w:pStyle w:val="TextoNormal"/>
      </w:pPr>
      <w:r>
        <w:t xml:space="preserve">Finalmente resulta necesario precisar aún, antes de abordar la inconstitucionalidad mediata denunciada, que el precepto impugnado no determina el procedimiento a seguir para hacer efectiva la preferencia que otorga a las sociedades profesionales constituidas total o mayoritariamente por profesionales del Servicio Madrileño de Salud, de manera que lo que debe abordarse en esta resolución es si el reconocimiento de esta preferencia, sea cual sea </w:t>
      </w:r>
      <w:r>
        <w:lastRenderedPageBreak/>
        <w:t>la vía por la que se instrumente —convenio de colaboración con las sociedades profesionales, procedimiento de licitación limitado a este tipo de sociedades, procedimiento de licitación abierto a todo tipo de licitadores estableciendo la preferencia en la adjudicación a estas sociedades etc.—, es contraria a la legislación estatal básica. Esto es lo que explica que los recurrentes opongan como precepto básico de contraste el art. 1 del Real Decreto Legislativo 3/2011, que inspira la completa regulación legal de los procedimientos de selección de contratistas, tanto en lo relativo a la capacidad y solvencia de los licitadores, como a las reglas de adjudicación de los contratos en función de la oferta económicamente más ventajosa, e impregna su interpretación.</w:t>
      </w:r>
    </w:p>
    <w:p w:rsidR="0085709A" w:rsidRDefault="0085709A" w:rsidP="0085709A">
      <w:pPr>
        <w:pStyle w:val="TextoNormal"/>
      </w:pPr>
    </w:p>
    <w:p w:rsidR="0085709A" w:rsidRDefault="0085709A" w:rsidP="0085709A">
      <w:pPr>
        <w:pStyle w:val="TextoNormal"/>
      </w:pPr>
      <w:r>
        <w:t>El art. 1 del Real Decreto Legislativo 3/2011 se refiere expresamente al principio de no discriminación e igualdad de trato entre los candidatos, y a la selección de la oferta económicamente más ventajosa. Estos principios son materialmente básicos pues, tal y como se afirmó en el anterior fundamento jurídico, tienden a garantizar un tratamiento igual de todos los licitadores y la eficiencia del gasto en las compras públicas. También lo son formalmente pues así lo establece la disposición final segunda apartado tercero del Real Decreto Legislativo 3/2011. A ellos deben obedecer todas y cada una de las reglas del texto refundido de la Ley de contratos del sector público. En concreto, las que disciplinan la capacidad de contratar y la solvencia de los empresarios, así como las que rigen la elección de la oferta económicamente más ventajosa. Y conforme a ellos deben ser interpretadas.</w:t>
      </w:r>
    </w:p>
    <w:p w:rsidR="0085709A" w:rsidRDefault="0085709A" w:rsidP="0085709A">
      <w:pPr>
        <w:pStyle w:val="TextoNormal"/>
      </w:pPr>
    </w:p>
    <w:p w:rsidR="0085709A" w:rsidRDefault="0085709A" w:rsidP="0085709A">
      <w:pPr>
        <w:pStyle w:val="TextoNormal"/>
      </w:pPr>
      <w:r>
        <w:t>Las reglas que rigen la capacidad y solvencia del empresario (arts. 54 y ss. del Real Decreto Legislativo 3/2011) parten de la no discriminación de las personas físicas o jurídicas en razón de su nacionalidad. Así, conforme al art. 54 del Real Decreto Legislativo 3/2011, podrán contratar con el sector público las personas naturales o jurídicas, españolas o extranjeras con plena capacidad de obrar, que no estén incursas en prohibición de contratar, y acrediten la solvencia técnica, financiera y técnica o profesional. Precisamente por ello, la Ley se ha preocupado de establecer los medios para acreditar las condiciones exigidas a los licitadores, nacionales y extranjeros, de manera que se permita concurrir en igualdad de condiciones a quienes reúnen los mismos requisitos de capacidad y solvencia. Pero no acaba aquí la virtualidad del principio de no discriminación que impide, también, que se establezcan requisitos de solvencia que, lejos de garantizar la aptitud para desempeñar la tarea que resulta encomendada, y por mucho que pretendan servir a otros fines públicos, no tengan que ver con la capacidad del empresario para realizar el objeto del contrato público, tal y como se deduce de la lectura de los medios de acreditar la solvencia del empresario que regulan los arts. 74 y ss. del Real Decreto Legislativo 3/2011.</w:t>
      </w:r>
    </w:p>
    <w:p w:rsidR="0085709A" w:rsidRDefault="0085709A" w:rsidP="0085709A">
      <w:pPr>
        <w:pStyle w:val="TextoNormal"/>
      </w:pPr>
    </w:p>
    <w:p w:rsidR="0085709A" w:rsidRDefault="0085709A" w:rsidP="0085709A">
      <w:pPr>
        <w:pStyle w:val="TextoNormal"/>
      </w:pPr>
      <w:r>
        <w:t>Como reconoce el precepto impugnado, la preferencia que se otorga a las sociedades profesionales compuestas íntegra o mayoritariamente por profesionales del Servicio Madrileño de Salud, no tiene que ver con la solvencia económica y financiera, profesional y técnica de las citadas sociedades, sino con “su implicación en el proceso de desarrollo, racionalización y optimización del sistema sanitario público madrileño”. Antes al contrario, produce un efecto claro e insalvable de exclusión de los licitadores, nacionales o extranjeros, que, a pesar de contar con la misma solvencia económica y técnica, no pueden reunir unas condiciones sólo asequibles para un tipo de personas jurídicas, las constituidas por profesionales del Servicio Madrileño de Salud. Esta preferencia no tiene, pues, cabida, como regla de capacidad y solvencia, en el texto refundido de la Ley de contratos del sector pú</w:t>
      </w:r>
      <w:r>
        <w:lastRenderedPageBreak/>
        <w:t>blico, cuyas prescripciones a este respecto deben considerarse, por otra parte, formal (disposición final segunda apartado tercero del Real Decreto Legislativo 3/2011) y materialmente básicas, pues garantizan la igualdad de los licitadores en el acceso a los contratos públicos y aseguran su viabilidad y, por tanto, la eficiencia en el gasto que se persigue con las compras públicas.</w:t>
      </w:r>
    </w:p>
    <w:p w:rsidR="0085709A" w:rsidRDefault="0085709A" w:rsidP="0085709A">
      <w:pPr>
        <w:pStyle w:val="TextoNormal"/>
      </w:pPr>
    </w:p>
    <w:p w:rsidR="0085709A" w:rsidRDefault="0085709A" w:rsidP="0085709A">
      <w:pPr>
        <w:pStyle w:val="TextoNormal"/>
      </w:pPr>
      <w:r>
        <w:t>A la misma conclusión debe llegarse en lo que atañe a los criterios de adjudicación o selección del adjudicatario. Aunque el art. 150 del Real Decreto Legislativo 3/2011 no establece un elenco cerrado de criterios a tener en cuenta para seleccionar la oferta que responda al criterio de la oferta económicamente más ventajosa, y aun cuando se permite tener en cuenta las características de la oferta relativas a las exigencias definidas en el pliego de condiciones, ya sea de carácter medioambiental o vinculadas con la satisfacción de las exigencias sociales propias de la población desfavorecida a la que van dirigidas las prestaciones a contratar, su interpretación sistemática permite concluir que los criterios de valoración que establezcan deben estar relacionados con las condiciones de la oferta realizada, condiciones que deben ser susceptibles de ofrecer en su oferta todos los licitadores admitidos al procedimiento de licitación, sea éste cual sea. Una vez más, debemos señalar que este precepto es formal (disposición final segunda 3 del Real Decreto Legislativo 3/2011) y materialmente básico, en cuanto que al establecer las reglas que permiten seleccionar la oferta económicamente más ventajosa y que garantizan la igualdad de los licitadores, forma parte del mínimo común uniforme que garantiza la eficacia del gasto en las compras públicas, tal y como por otra parte contempla el art. 1 del Real Decreto Legislativo 3/2011, también básico.</w:t>
      </w:r>
    </w:p>
    <w:p w:rsidR="0085709A" w:rsidRDefault="0085709A" w:rsidP="0085709A">
      <w:pPr>
        <w:pStyle w:val="TextoNormal"/>
      </w:pPr>
    </w:p>
    <w:p w:rsidR="0085709A" w:rsidRDefault="0085709A" w:rsidP="0085709A">
      <w:pPr>
        <w:pStyle w:val="TextoNormal"/>
      </w:pPr>
      <w:r>
        <w:t>En conclusión de lo expuesto, la preferencia que otorga el precepto autonómico impugnado a las sociedades de profesionales, compuestas íntegra o mayoritariamente por profesionales del Servicio Madrileño de Salud, es contraria a la legislación básica del Estado en materia de contratos y concesiones administrativas. Debemos, pues, estimar este motivo del recurso y declarar la inconstitucionalidad y consiguiente nulidad del art. 88.2 de la Ley de ordenación sanitaria de la Comunidad de Madrid, en la redacción dada por el art. 63 de la Ley 8/2012, de 28 de diciembre, de medidas fiscales y administrativas de la Comunidad de Madrid.</w:t>
      </w:r>
    </w:p>
    <w:p w:rsidR="0085709A" w:rsidRDefault="0085709A" w:rsidP="0085709A">
      <w:pPr>
        <w:pStyle w:val="TextoNormal"/>
      </w:pPr>
    </w:p>
    <w:p w:rsidR="0085709A" w:rsidRDefault="0085709A" w:rsidP="0085709A">
      <w:pPr>
        <w:pStyle w:val="TextoNormal"/>
      </w:pPr>
      <w:r>
        <w:t>b) Por lo que a este precepto se refiere, la anterior declaración hace que devenga innecesario examinar los otros dos motivos de inconstitucionalidad aducidos en el recurso y que restan por analizar, dado que, con relación al citado artículo 63, la queja planteada se limita a la previsión de gestión indirecta regulada en el art. 88.2 de la Ley 12/2001, cuya inconstitucionalidad y nulidad acabamos de declarar.</w:t>
      </w:r>
    </w:p>
    <w:p w:rsidR="0085709A" w:rsidRDefault="0085709A" w:rsidP="0085709A">
      <w:pPr>
        <w:pStyle w:val="TextoNormal"/>
      </w:pPr>
    </w:p>
    <w:p w:rsidR="0085709A" w:rsidRDefault="0085709A" w:rsidP="0085709A">
      <w:pPr>
        <w:pStyle w:val="TextoNormal"/>
      </w:pPr>
      <w:r>
        <w:t>Por tanto, el examen de esos dos últimos motivos de inconstitucionalidad que a continuación se realiza no alcanzará al referido artículo 63, sino que se efectuará únicamente en relación con el art. 62 de la Ley 8/2012, a cuyo contenido se refieren también las alegaciones del recurso.</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Uno de esos motivos planteados por los Senadores recurrentes y que debemos examinar respecto al citado art. 62 de la Ley 8/2012 es la denuncia de “vulneración de la garantía institucional contenida en el art. 41 CE, de los derechos que se derivan de la misma para los ciudadanos, del art. 149.1.17 CE y del art. 14 CE”. Como fundamento de estas quejas, los promotores del recurso aducen que la previsión impugnada habilita el establecimiento de </w:t>
      </w:r>
      <w:r>
        <w:lastRenderedPageBreak/>
        <w:t>un sistema de gestión indirecta del servicio de asistencia sanitaria de la Seguridad Social por vía de concesión administrativa a empresas privadas, en que la retribución del concesionario se establecerá de forma capitativa, dando así lugar a que en la Comunidad de Madrid exista un doble régimen económico en el aseguramiento de la prestación sanitaria —régimen económico contractual en las zonas con concesión y régimen económico presupuestario en las zonas de gestión directa—. A su entender, tal regulación conculca el art. 41 CE por cuanto que el aseguramiento de una parte de la población deja de ser público. Desde el punto de vista competencial, los Senadores recurrentes sostienen que la infracción del art. 149.1.17 CE trae causa del hecho de que “la Comunidad de Madrid carece de competencia para alterar el régimen público de aseguramiento sanitario del Sistema Nacional de Salud estableciendo uno propio”. Finalmente, con relación a la alegada lesión del principio de igualdad, argumentan que la norma recurrida comporta desigualdades injustas entre los ciudadanos de una misma Comunidad. Por su parte, las representaciones procesales del Gobierno y de la Asamblea de Madrid no comparten esta valoración del alcance y consecuencias del precepto legal recurrido.</w:t>
      </w:r>
    </w:p>
    <w:p w:rsidR="0085709A" w:rsidRDefault="0085709A" w:rsidP="0085709A">
      <w:pPr>
        <w:pStyle w:val="TextoNormal"/>
      </w:pPr>
    </w:p>
    <w:p w:rsidR="0085709A" w:rsidRDefault="0085709A" w:rsidP="0085709A">
      <w:pPr>
        <w:pStyle w:val="TextoNormal"/>
      </w:pPr>
      <w:r>
        <w:t>Antes de examinar las denuncias formuladas resulta necesario advertir que buena parte de la argumentación de los recurrentes se basa en las conclusiones por ellos extraídas a partir de los siguientes elementos: de un lado, el “Plan de Medidas de garantía de la sostenibilidad del sistema sanitario público de la Comunidad de Madrid”, elaborado antes de la aprobación de la Ley 8/2012 y en el que, con relación a los Hospitales Infanta Leonor (Vallecas), Infanta Sofía, Infanta Cristina, Hospital del Henares, Hospital del Sureste y Hospital del Tajo, se preveía la medida de externalizar la actividad sanitaria mediante el modelo de concesión, haciendo alusión al menor coste de la asistencia sanitaria especializada en los hospitales con modelo capitativo que en los hospitales de gestión mixta; de otro lado, la experiencia práctica constatada en otros hospitales de la Comunidad de Madrid distintos a los citados, en los que rige un sistema de concesión del servicio de asistencia sanitaria. Debemos, no obstante, recordar que el objeto del presente recurso es el art. 62 de la Ley 8/2012, que, por lo que se refiere a los seis hospitales indicados, se limita a habilitar al Servicio Madrileño de Salud “para adjudicar contratos para la gestión del servicio público de asistencia sanitaria especializada”, añadiendo algunas previsiones sobre el control de la ejecución de los contratos, pero sin concretar ni la modalidad de contratación de la gestión del servicio público, ni la naturaleza de las posibles entidades adjudicatarias, ni tampoco el contenido obligacional de la relación contractual. Por tanto, el régimen sobre el que los recurrentes construyen su argumentación —el establecimiento de un sistema de concesión administrativa a empresas privadas, con financiación contractual capitativa— constituye una posibilidad, pero no un imperativo que necesariamente derive del texto normativo sujeto a nuestro control de constitucionalidad. Hecha esta aclaración, y partiendo de ese carácter abierto del precepto recurrido, procederemos seguidamente a dar respuesta a las quejas formuladas.</w:t>
      </w:r>
    </w:p>
    <w:p w:rsidR="0085709A" w:rsidRDefault="0085709A" w:rsidP="0085709A">
      <w:pPr>
        <w:pStyle w:val="TextoNormal"/>
      </w:pPr>
    </w:p>
    <w:p w:rsidR="0085709A" w:rsidRDefault="0085709A" w:rsidP="0085709A">
      <w:pPr>
        <w:pStyle w:val="TextoNormal"/>
      </w:pPr>
      <w:r>
        <w:t>a) El núcleo del presente motivo impugnatorio se sitúa en el art. 41 CE y la garantía institucional del sistema de Seguridad Social que este precepto constitucional incorpora. Al respecto, este Tribunal ha tenido ocasión de señalar, en la STC 37/1994, de 10 de febrero, FJ 4, lo siguiente:</w:t>
      </w:r>
    </w:p>
    <w:p w:rsidR="0085709A" w:rsidRDefault="0085709A" w:rsidP="0085709A">
      <w:pPr>
        <w:pStyle w:val="TextoNormal"/>
      </w:pPr>
    </w:p>
    <w:p w:rsidR="0085709A" w:rsidRDefault="0085709A" w:rsidP="0085709A">
      <w:pPr>
        <w:pStyle w:val="TextoNormal"/>
      </w:pPr>
      <w:r>
        <w:t xml:space="preserve">“La flexible fórmula empleada por la Constitución impide hablar de un modelo único de Seguridad Social … En este sentido, puede reproducirse aquí la afirmación hecha por este </w:t>
      </w:r>
      <w:r>
        <w:lastRenderedPageBreak/>
        <w:t>Tribunal en otro contexto (STC 11/1981) sobre lo inadecuado de una interpretación constitucional basada en modelos teóricos excluyentes de otros posibles.</w:t>
      </w:r>
    </w:p>
    <w:p w:rsidR="0085709A" w:rsidRDefault="0085709A" w:rsidP="0085709A">
      <w:pPr>
        <w:pStyle w:val="TextoNormal"/>
      </w:pPr>
    </w:p>
    <w:p w:rsidR="0085709A" w:rsidRDefault="0085709A" w:rsidP="0085709A">
      <w:pPr>
        <w:pStyle w:val="TextoNormal"/>
      </w:pPr>
      <w:r>
        <w:t>La garantía institucional del sistema de Seguridad Social, en cuanto impone el obligado respeto a los rasgos que la hacen recognoscible en el estado actual de la conciencia social lleva aparejado el carácter público del mencionado sistema. Ahora bien este rasgo debe apreciarse en relación con la estructura y el régimen del sistema en su conjunto, sin distorsionar la evaluación, centrándola en aspectos concretos de éste desvinculados del conjunto al que pertenecen; sin cerrar la interpretación de ciertos conceptos de relevancia constitucional, ni tampoco haciéndoles encajar indebidamente en los moldes que en un determinado momento proporciona la ley ordinaria, tratando de descartar que pueda haber otros posibles. Lo que verdaderamente ha de ser tutelado por imperativo constitucional es que no se pongan en cuestión los rasgos estructurales de la institución Seguridad Social a la que pertenecen.</w:t>
      </w:r>
    </w:p>
    <w:p w:rsidR="0085709A" w:rsidRDefault="0085709A" w:rsidP="0085709A">
      <w:pPr>
        <w:pStyle w:val="TextoNormal"/>
      </w:pPr>
    </w:p>
    <w:p w:rsidR="0085709A" w:rsidRDefault="0085709A" w:rsidP="0085709A">
      <w:pPr>
        <w:pStyle w:val="TextoNormal"/>
      </w:pPr>
      <w:r>
        <w:t>Desde esta perspectiva, el carácter público del sistema de Seguridad Social no queda cuestionado por la incidencia en él de fórmulas de gestión o responsabilidad privadas, de importancia relativa en el conjunto de la acción protectora de aquél. La experiencia comparada y la de nuestro país así lo ponen de manifiesto. Y habrá que concluir, en consonancia con lo dicho, que no es incompatible con la garantía institucional del sistema de Seguridad Social consagrada en el art. 41 C.E., la reforma experimentada por el art. 129.1 L.G.S.S., en cuanto afecta a un aspecto parcial de la protección de la incapacidad temporal para el trabajo, y no altera el papel predominante y el compromiso de los poderes públicos en su labor articuladora de la tutela frente a esta contingencia, descartándose toda prevalencia de la autonomía privada en el diseño de la acción protectora dispensada.”</w:t>
      </w:r>
    </w:p>
    <w:p w:rsidR="0085709A" w:rsidRDefault="0085709A" w:rsidP="0085709A">
      <w:pPr>
        <w:pStyle w:val="TextoNormal"/>
      </w:pPr>
    </w:p>
    <w:p w:rsidR="0085709A" w:rsidRDefault="0085709A" w:rsidP="0085709A">
      <w:pPr>
        <w:pStyle w:val="TextoNormal"/>
      </w:pPr>
      <w:r>
        <w:t>Más recientemente, en la STC 213/2005, de 21 de julio, FJ 3, tuvimos oportunidad de sintetizar la doctrina constitucional en estos términos:</w:t>
      </w:r>
    </w:p>
    <w:p w:rsidR="0085709A" w:rsidRDefault="0085709A" w:rsidP="0085709A">
      <w:pPr>
        <w:pStyle w:val="TextoNormal"/>
      </w:pPr>
    </w:p>
    <w:p w:rsidR="0085709A" w:rsidRDefault="0085709A" w:rsidP="0085709A">
      <w:pPr>
        <w:pStyle w:val="TextoNormal"/>
      </w:pPr>
      <w:r>
        <w:t>“Son ya numerosas las ocasiones en que este Tribunal ha tenido ocasión de pronunciarse sobre el alcance de las obligaciones impuestas a los poderes públicos por el art. 41 CE. Desde el punto de vista que ahora interesa, importa destacar lo siguiente:</w:t>
      </w:r>
    </w:p>
    <w:p w:rsidR="0085709A" w:rsidRDefault="0085709A" w:rsidP="0085709A">
      <w:pPr>
        <w:pStyle w:val="TextoNormal"/>
      </w:pPr>
    </w:p>
    <w:p w:rsidR="0085709A" w:rsidRDefault="0085709A" w:rsidP="0085709A">
      <w:pPr>
        <w:pStyle w:val="TextoNormal"/>
      </w:pPr>
      <w:r>
        <w:t>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65/1987, de 21 de mayo, FJ 17, entre otras).</w:t>
      </w:r>
    </w:p>
    <w:p w:rsidR="0085709A" w:rsidRDefault="0085709A" w:rsidP="0085709A">
      <w:pPr>
        <w:pStyle w:val="TextoNormal"/>
      </w:pPr>
    </w:p>
    <w:p w:rsidR="0085709A" w:rsidRDefault="0085709A" w:rsidP="0085709A">
      <w:pPr>
        <w:pStyle w:val="TextoNormal"/>
      </w:pPr>
      <w:r>
        <w:t>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(SSTC 26/1987, de 27 de febrero, FJ 4; y 76/1988, de 26 de abril, FJ 4).</w:t>
      </w:r>
    </w:p>
    <w:p w:rsidR="0085709A" w:rsidRDefault="0085709A" w:rsidP="0085709A">
      <w:pPr>
        <w:pStyle w:val="TextoNormal"/>
      </w:pPr>
    </w:p>
    <w:p w:rsidR="0085709A" w:rsidRDefault="0085709A" w:rsidP="0085709A">
      <w:pPr>
        <w:pStyle w:val="TextoNormal"/>
      </w:pPr>
      <w:r>
        <w:t>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63/1987, de 21 de mayo, FJ 17, entre otras).”</w:t>
      </w:r>
    </w:p>
    <w:p w:rsidR="0085709A" w:rsidRDefault="0085709A" w:rsidP="0085709A">
      <w:pPr>
        <w:pStyle w:val="TextoNormal"/>
      </w:pPr>
    </w:p>
    <w:p w:rsidR="0085709A" w:rsidRDefault="0085709A" w:rsidP="0085709A">
      <w:pPr>
        <w:pStyle w:val="TextoNormal"/>
      </w:pPr>
      <w:r>
        <w:t>Esta doctrina constitucional pone de manifiesto que el art. 41 CE no exige que el mantenimiento de un régimen público de Seguridad Social requiera necesariamente y en todo caso un sistema de gestión pública directa. De los pasajes reproducidos importa destacar el hecho de que el rasgo principal de la garantía institucional del sistema de Seguridad Social, “el carácter público del mencionado sistema” —correlato de la consideración de la protección de los ciudadanos ante situaciones de necesidad como “una función del Estado”—, ha de apreciarse “en relación con la estructura y el régimen del sistema en su conjunto, sin distorsionar la evaluación, centrándola en aspectos concretos de éste desvinculados del conjunto al que pertenecen; sin cerrar la interpretación de ciertos conceptos de relevancia constitucional, ni tampoco haciéndoles encajar indebidamente en los moldes que en un determinado momento proporciona la ley ordinaria, tratando de descartar que pueda haber otros posibles”. Lo que significa que ese “carácter público del sistema de Seguridad Social no queda cuestionado por la incidencia en él de fórmulas de gestión o responsabilidad privadas, de importancia relativa en el conjunto de la acción protectora de aquél”. De suerte que la apertura a fórmulas de gestión o responsabilidad privadas queda en todo caso condicionada a la preponderancia de los elementos definitorios del carácter público del sistema de Seguridad Social.</w:t>
      </w:r>
    </w:p>
    <w:p w:rsidR="0085709A" w:rsidRDefault="0085709A" w:rsidP="0085709A">
      <w:pPr>
        <w:pStyle w:val="TextoNormal"/>
      </w:pPr>
    </w:p>
    <w:p w:rsidR="0085709A" w:rsidRDefault="0085709A" w:rsidP="0085709A">
      <w:pPr>
        <w:pStyle w:val="TextoNormal"/>
      </w:pPr>
      <w:r>
        <w:t>A partir de estas premisas, en este caso no puede concluirse que la solución organizativa plasmada en el art. 62 de la Ley 8/2012, de medidas fiscales y administrativas de la Comunidad de Madrid, transgreda los límites relativos definidos por nuestra doctrina. Como ya se ha dicho, este precepto únicamente hace referencia a la posibilidad de adjudicar contratos para la gestión del servicio público de asistencia sanitaria especializada en los seis hospitales indicados, opción esta que, por sí sola, no entra en contradicción con el art. 41 CE. Además, aun cuando esta previsión legal se materialice en la gestión indirecta del servicio por personas privadas, tal hecho no afecta al conjunto de mecanismos de cobertura propios de un sistema de Seguridad Social sino exclusivamente a los relativos a la acción protectora en materia de sanidad. Y aun dentro de esta a la asistencia sanitaria especializada que se presta en seis hospitales de la Comunidad de Madrid (Hospitales Infanta Cristina, Infanta Sofía, Infanta Leonor, Sureste, Henares y Tajo).</w:t>
      </w:r>
    </w:p>
    <w:p w:rsidR="0085709A" w:rsidRDefault="0085709A" w:rsidP="0085709A">
      <w:pPr>
        <w:pStyle w:val="TextoNormal"/>
      </w:pPr>
    </w:p>
    <w:p w:rsidR="0085709A" w:rsidRDefault="0085709A" w:rsidP="0085709A">
      <w:pPr>
        <w:pStyle w:val="TextoNormal"/>
      </w:pPr>
      <w:r>
        <w:t xml:space="preserve">La posible apertura a formas de gestión y responsabilidad privada se lleva a cabo preservando en todo caso la titularidad pública del servicio, refiriéndose la norma únicamente a un supuesto de externalización de la gestión del servicio público en determinados hospitales dependientes del Servicio Madrileño de Salud. En este precepto, el legislador autonómico no ha optado siquiera por la vinculación de centros privados a la red pública en virtud de los correspondientes convenios o conciertos (arts. 67 y 90 de la Ley 14/1986, de 25 de abril, general de sanidad), y se ha limitado a hacer uso de las posibilidades abiertas por la legislación estatal. La norma recurrida, de hecho, apoya la previsión en lo dispuesto en el ya mencionado artículo único de la Ley 15/1997, de 25 de abril, sobre habilitación de nuevas formas de gestión del Sistema Nacional de Salud, que, entre otras posibilidades, dispone que </w:t>
      </w:r>
      <w:r>
        <w:lastRenderedPageBreak/>
        <w:t>la prestación y gestión de los servicios sanitarios podrá llevarse a cabo mediante acuerdos, convenios o contratos con personas o entidades públicas o privadas. Tal regulación, además, resulta concordante, en lo que ahora interesa, con la normativa sobre contratación pública (conforme al art. 275.1 del texto refundido de la Ley de contratos del sector público, “la Administración podrá gestionar indirectamente, mediante contrato, los servicios de su competencia, siempre que sean susceptibles de explotación por particulares. En ningún caso podrán prestarse por gestión indirecta los servicios que impliquen ejercicio de la autoridad inherente a los poderes públicos”).</w:t>
      </w:r>
    </w:p>
    <w:p w:rsidR="0085709A" w:rsidRDefault="0085709A" w:rsidP="0085709A">
      <w:pPr>
        <w:pStyle w:val="TextoNormal"/>
      </w:pPr>
    </w:p>
    <w:p w:rsidR="0085709A" w:rsidRDefault="0085709A" w:rsidP="0085709A">
      <w:pPr>
        <w:pStyle w:val="TextoNormal"/>
      </w:pPr>
      <w:r>
        <w:t xml:space="preserve">De modo que, con independencia de la valoración que contemplada desde la perspectiva del juicio de eficacia pueda merecer la fórmula organizativa de prestación de los servicios sanitarios controvertida, no puede decirse que, por sí sola y con el alcance definido por la Ley autonómica recurrida, ponga en riesgo la recognoscibilidad de la institución, aquí el régimen público de Seguridad Social. La definición de las prestaciones a las que tienen derecho los ciudadanos queda en manos, en todo caso, de los poderes públicos, no habiéndose producido un traslado de esta potestad a quienes asuman la gestión —y solo la gestión— del servicio público de la sanidad; la financiación se lleva a cabo asimismo mediante fondos públicos, sin que las singularidades a las que pueda dar lugar aquí la preservación del equilibrio financiero del adjudicatario alcancen tal grado de intensidad que hagan inconstitucional el modelo de gestión establecido; y, finalmente, el art. 62.1 </w:t>
      </w:r>
      <w:r w:rsidRPr="0085709A">
        <w:rPr>
          <w:i/>
        </w:rPr>
        <w:t>in fine</w:t>
      </w:r>
      <w:r>
        <w:t xml:space="preserve"> alude expresamente a la garantía de “los adecuados niveles de calidad, atención y derechos de los usuarios”. No se aprecia, por tanto, que la previsión recurrida ponga en cuestión los rasgos estructurales de la institución Seguridad Social ni que se desnaturalice su esencia.</w:t>
      </w:r>
    </w:p>
    <w:p w:rsidR="0085709A" w:rsidRDefault="0085709A" w:rsidP="0085709A">
      <w:pPr>
        <w:pStyle w:val="TextoNormal"/>
      </w:pPr>
    </w:p>
    <w:p w:rsidR="0085709A" w:rsidRDefault="0085709A" w:rsidP="0085709A">
      <w:pPr>
        <w:pStyle w:val="TextoNormal"/>
      </w:pPr>
      <w:r>
        <w:t>b) Tampoco se puede apreciar vulneración de la competencia atribuida en exclusiva al Estado en materia de legislación básica y régimen económico de la Seguridad Social (art. 149.1.17 CE). Aun aceptando el encuadramiento competencial ofrecido por los recurrentes, y prescindiendo por tanto de su eventual reconducción al ámbito de las competencias sobre sanidad (art. 149.1.16 CE; a favor de esta alternativa podrían aducirse las SSTC 98/2004, de 25 de mayo, FJ 5, que ubicó dentro de la competencia sobre sanidad la financiación pública de una prestación sanitaria proporcionada por el Sistema Nacional de Salud, como es la prestación farmacéutica; 136/2012, de 19 de junio, en relación con la creación de una tasa autonómica por la prestación de asistencia sanitaria pública, y 137/2013, de 6 de junio, dispensación de medicamentos por las oficinas de farmacia), es lo cierto que, frente a lo aducido por los recurrentes para sustentar esta queja, el art. 62 de la Ley 8/2012 de la Comunidad de Madrid no altera el régimen público de aseguramiento sanitario del Sistema Nacional de Salud ni establece uno propio que se encuentre vedado por la legislación estatal. Por el contrario, como hemos indicado, el legislador autonómico madrileño se ha movido dentro de los límites definidos por la normativa estatal, en particular por el ya referido artículo único de la Ley 15/1997, de 25 de abril, sobre habilitación de nuevas formas de gestión del Sistema Nacional de Salud, que más allá de la pregonada novedad de dichas formas de gestión, vino a disipar cualquier duda acerca de la posibilidad de acudir a técnicas de gestión indirecta del servicio público de la sanidad.</w:t>
      </w:r>
    </w:p>
    <w:p w:rsidR="0085709A" w:rsidRDefault="0085709A" w:rsidP="0085709A">
      <w:pPr>
        <w:pStyle w:val="TextoNormal"/>
      </w:pPr>
    </w:p>
    <w:p w:rsidR="0085709A" w:rsidRDefault="0085709A" w:rsidP="0085709A">
      <w:pPr>
        <w:pStyle w:val="TextoNormal"/>
      </w:pPr>
      <w:r>
        <w:t xml:space="preserve">c) Culminan este motivo impugnatorio los senadores promotores de este recurso de inconstitucionalidad sosteniendo que el sistema de gestión de la sanidad establecido en el precepto legal controvertido es contrario al principio de igualdad proclamado por el art. 14 CE, en la medida en que comporta desigualdades injustas entre los ciudadanos de una misma </w:t>
      </w:r>
      <w:r>
        <w:lastRenderedPageBreak/>
        <w:t>Comunidad, según pertenezcan a una zona sanitaria de gestión directa o según estén asignados a alguno de los seis hospitales relacionados en la norma, respecto a los que se parte del presupuesto de que en ellos regirá un sistema de gestión indirecta mediante concesión administrativa a empresas privadas y con un régimen de capitación, deduciendo a partir de esta premisa una posible dinámica respecto a las preferencias de estos hospitales por atender aquellos pacientes y procesos que les pueden ser más ventajosos económicamente, con consecuencias financieras derivadas.</w:t>
      </w:r>
    </w:p>
    <w:p w:rsidR="0085709A" w:rsidRDefault="0085709A" w:rsidP="0085709A">
      <w:pPr>
        <w:pStyle w:val="TextoNormal"/>
      </w:pPr>
    </w:p>
    <w:p w:rsidR="0085709A" w:rsidRDefault="0085709A" w:rsidP="0085709A">
      <w:pPr>
        <w:pStyle w:val="TextoNormal"/>
      </w:pPr>
      <w:r>
        <w:t>Respecto a esta argumentación, de nuevo hay que insistir en que el art. 62 de la Ley 8/2012 no predetermina ni la modalidad ni el contenido obligacional del contrato para la gestión del servicio público de asistencia sanitaria especializada en los seis hospitales que indica. Además, la fundamentación ofrecida por los recurrentes se sustenta en presunciones, conjeturas o deducciones propias sobre la eventual dinámica que puedan seguir las adjudicatarias de la gestión, pero no se construye sobre datos normativos que establezcan las desigualdades denunciadas. Como se ha reiterado, el tenor del precepto se limita a habilitar la posible adjudicación de contratos para la gestión de la asistencia sanitaria especializada. Sin embargo, por sí solo, no establece ninguna diferencia de trato en cuanto al contenido, alcance o calidad de la prestación sanitaria que hayan de recibir los ciudadanos asignados a esos seis hospitales. Por el contrario, la propia norma recurrida se encarga de precisar que en la contratación adjudicada se garantizarán “los adecuados niveles de calidad, atención y derechos de los usuarios”, derechos entre los que se encuentra la garantía de accesibilidad de todos los usuarios del Sistema Nacional de Salud a las prestaciones sanitarias “en condiciones de igualdad efectiva” (art. 23 de la Ley 16/2003, de 28 de mayo, de cohesión y calidad del Sistema Nacional de Salud; y arts. 2 y 6 de la Ley 12/2001, de 21 de diciembre, de ordenación sanitaria de la Comunidad de Madrid).</w:t>
      </w:r>
    </w:p>
    <w:p w:rsidR="0085709A" w:rsidRDefault="0085709A" w:rsidP="0085709A">
      <w:pPr>
        <w:pStyle w:val="TextoNormal"/>
      </w:pPr>
    </w:p>
    <w:p w:rsidR="0085709A" w:rsidRDefault="0085709A" w:rsidP="0085709A">
      <w:pPr>
        <w:pStyle w:val="TextoNormal"/>
      </w:pPr>
      <w:r>
        <w:t>En este pronunciamiento, nuestro juicio de constitucionalidad debe quedar ceñido al texto del impugnado art. 62 de la Ley 8/2012, sin que podamos entrar a valorar eventuales diferencias de trato entre ciudadanos que su desarrollo o práctica aplicativa pudieran generar y que, en caso de producirse, obviamente quedarían sujetas a los mecanismos de tutela y control dispuestos por el ordenamiento. Por ello, comoquiera que, según lo indicado, el precepto objeto de análisis no establece de suyo una desigualdad o tratamiento peyorativo entre personas o grupos de personas, hemos de rechazar la existencia de lesión del art. 14 CE, lo que en definitiva supone que el presente motivo del recurso no puede prosperar.</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Finalmente, también con relación al art. 62 de la Ley 8/2012 de la Comunidad de Madrid hemos de examinar el último de los motivos de inconstitucionalidad planteados, en el que, con remisión expresa a los argumentos manejados en defensa del anterior motivo impugnatorio, los senadores recurrentes sostienen la “vulneración del derecho a la protección de la salud (art. 43 CE) y de la regulación básica estatal sobre sanidad pública (art. 149.1.16 CE)”. En el escrito de recurso se denuncia que las concesiones para la gestión de la atención especializada provocan un “apartheid” en la provisión y prestación de la asistencia sanitaria, vulnerando características esenciales del Sistema Nacional de Salud, tanto del derecho a la salud (universalidad, igualdad efectiva, accesibilidad y libertad de elección), como del carácter integral del Sistema (financiación pública común, reglas básicas comunes…), características estas que, según indican —y aun sin concretar los preceptos—, se reconocen en normas básicas estatales contenidas en la Ley general de sanidad y la Ley de </w:t>
      </w:r>
      <w:r>
        <w:lastRenderedPageBreak/>
        <w:t>cohesión y calidad del Sistema Nacional de Salud. En apoyo de sus tesis invocan los recurrentes la doctrina contenida en las SSTC 98/2004 y 136/2012, FJ 5, en donde este Tribunal tuvo ocasión de afirmar que “la definición de quiénes pueden considerarse asegurados y en consecuencia tener acceso al Sistema Nacional de Salud, así como las concretas prestaciones sanitarias que deben ser garantizadas a todos ellos, por integrarse en la ‘cartera común’, permite establecer un común denominador normativo dirigido a asegurar, de manera unitaria y en condiciones de igualdad, el acceso a la sanidad por parte de todos los ciudadanos incluidos en el ámbito subjetivo de la norma, con independencia de su lugar de residencia. Vinculado con ello, forma lógicamente también parte del ámbito de lo básico la concreta definición de las diferentes modalidades de prestaciones sanitarias comunes (básicas, suplementarias o de servicios accesorios)”. También en este punto las representaciones procesales del Gobierno y de la Asamblea de Madrid coinciden en su defensa de la constitucionalidad de la Ley recurrida.</w:t>
      </w:r>
    </w:p>
    <w:p w:rsidR="0085709A" w:rsidRDefault="0085709A" w:rsidP="0085709A">
      <w:pPr>
        <w:pStyle w:val="TextoNormal"/>
      </w:pPr>
    </w:p>
    <w:p w:rsidR="0085709A" w:rsidRDefault="0085709A" w:rsidP="0085709A">
      <w:pPr>
        <w:pStyle w:val="TextoNormal"/>
      </w:pPr>
      <w:r>
        <w:t>El reenvío que los recurrentes efectúan a las consideraciones realizadas respecto al anterior motivo de impugnación hace que también nuestra respuesta pueda remitirse al contenido del fundamento jurídico precedente, a efectos de sustentar la desestimación de este motivo del recurso. Sin perjuicio de ello, con relación a la alegada vulneración de características esenciales del Sistema Nacional de Salud, nuevamente hemos de reiterar que la norma impugnada se limita a habilitar la adjudicación de contratos para la gestión de asistencia sanitaria especializada en determinados hospitales, pero ni en ningún momento incide en el régimen de acceso y en el contenido de la prestación sanitaria para los ciudadanos, ni tampoco altera la financiación con fondos públicos del servicio. De manera específica, debemos hacer ahora hincapié en que el precepto legal controvertido no vulnera por sí solo la igualdad de acceso de los ciudadanos al Sistema Nacional de Salud. A decir verdad, los recurrentes no llegan a alcanzar una conclusión tan extrema, sino que apuntan los riesgos que para la coherencia financiera del sistema puede entrañar el recurso a la gestión indirecta del servicio de salud en los hospitales a los que resulta de aplicación el art. 62 de la Ley 8/2012, de medidas fiscales y administrativas de la Comunidad de Madrid. A este respecto apuntan que “la diferencia operativa entre los hospitales que funcionan en el ‘modelo competitivo’ y los que funcionan en el ‘modelo cooperativo’ … rompe la concepción básica integral del sistema público de salud”.</w:t>
      </w:r>
    </w:p>
    <w:p w:rsidR="0085709A" w:rsidRDefault="0085709A" w:rsidP="0085709A">
      <w:pPr>
        <w:pStyle w:val="TextoNormal"/>
      </w:pPr>
    </w:p>
    <w:p w:rsidR="0085709A" w:rsidRDefault="0085709A" w:rsidP="0085709A">
      <w:pPr>
        <w:pStyle w:val="TextoNormal"/>
      </w:pPr>
      <w:r>
        <w:t>La tesis defendida por los recurrentes se sustenta sobre una serie de consideraciones, perfectamente legítimas, que traducen un juicio crítico global sobre la solución organizativa plasmada en la norma impugnada pero que no es susceptible de un juicio de validez constitucional pues no se sustenta sobre una argumentación de carácter jurídico que permita a este Tribunal profundizar en todas sus vertientes. Como ya se ha indicado, las normas que garantizan la igualdad en el acceso a las prestaciones del Sistema Nacional de Salud forman parte inescindible del contenido de lo básico y remiten, por ello mismo, a la competencia reservada al Estado por el art. 149.1.16 CE. Ahora bien, los recurrentes no han acreditado que el precepto legal impugnado contravenga esa garantía de igualdad en el acceso al servicio público de la sanidad; dicho de otro modo, no es posible alcanzar la conclusión de que el artículo impugnado contravenga la garantía de acceso de todos los usuarios del Sistema Nacional de Salud a las prestaciones sanitarias “en condiciones de igualdad efectiva” plasmada, como ya hemos tenido oportunidad de recordar, en el art. 23 de la Ley 16/2003, de 28 de mayo, de cohesión y calidad del Sistema Nacional de Salud.</w:t>
      </w:r>
    </w:p>
    <w:p w:rsidR="0085709A" w:rsidRDefault="0085709A" w:rsidP="0085709A">
      <w:pPr>
        <w:pStyle w:val="TextoNormal"/>
      </w:pPr>
    </w:p>
    <w:p w:rsidR="0085709A" w:rsidRDefault="0085709A" w:rsidP="0085709A">
      <w:pPr>
        <w:pStyle w:val="TextoNormal"/>
      </w:pPr>
      <w:r>
        <w:lastRenderedPageBreak/>
        <w:t>Por consiguiente, no podemos compartir la tesis defendida por los Senadores recurrentes en punto a la infracción del art. 43 CE. Tampoco podemos hacer nuestra la denuncia de vulneración de la competencia exclusiva del Estado sobre legislación básica en materia de sanidad (art. 149.1.16 CE), máxime si tenemos en cuenta que, como ya hemos indicado, el legislador autonómico madrileño se ha movido dentro de los límites definidos por el propio legislador básico estatal en la Ley 15/1997, de 25 de abril, sobre habilitación de nuevas formas de gestión del Sistema Nacional de Salud. La opción por un sistema de gestión indirecta de los hospitales a los que es aplicable el art. 62 de la Ley 8/2012, no representa, por ello mismo, una auténtica novedad sino la utilización de una posibilidad que, más allá de su mayor o menor novedad, abrió el legislador básico estatal en la Ley de 25 de abril de 1997.</w:t>
      </w:r>
    </w:p>
    <w:p w:rsidR="0085709A" w:rsidRDefault="0085709A" w:rsidP="0085709A">
      <w:pPr>
        <w:pStyle w:val="TextoNormal"/>
      </w:pPr>
    </w:p>
    <w:p w:rsidR="0085709A" w:rsidRDefault="0085709A" w:rsidP="0085709A">
      <w:pPr>
        <w:pStyle w:val="TextoNormal"/>
      </w:pPr>
      <w:r>
        <w:t>Lo expuesto conduce, inexorablemente, a la desestimación de este motivo del presente recurso de inconstitucionalidad.</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Estimar parcialmente el presente recurso de inconstitucionalidad y, en su consecuencia, declarar inconstitucional y nulo el art. 88.2 de la Ley 12/2001, de 21 de diciembre, de ordenación sanitaria de la Comunidad de Madrid, en la redacción dada por el art. 63 de la Ley 8/2012, de 28 de diciembre, de medidas fiscales y administrativas de la Comunidad de Madrid.</w:t>
      </w:r>
    </w:p>
    <w:p w:rsidR="0085709A" w:rsidRDefault="0085709A" w:rsidP="0085709A">
      <w:pPr>
        <w:pStyle w:val="TextoNormal"/>
      </w:pPr>
    </w:p>
    <w:p w:rsidR="0085709A" w:rsidRDefault="0085709A" w:rsidP="0085709A">
      <w:pPr>
        <w:pStyle w:val="TextoNormal"/>
      </w:pPr>
      <w:r>
        <w:t>2º Desestimar el recurso de inconstitucionalidad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8" w:name="SENTENCIA_2015_85"/>
      <w:r>
        <w:lastRenderedPageBreak/>
        <w:t>SENTENCIA 85/2015, de 30 de abril de 2015</w:t>
      </w:r>
    </w:p>
    <w:bookmarkEnd w:id="88"/>
    <w:p w:rsidR="0085709A" w:rsidRDefault="0085709A" w:rsidP="0085709A">
      <w:pPr>
        <w:pStyle w:val="TtuloResolucin"/>
      </w:pPr>
      <w:r>
        <w:t>Pleno</w:t>
      </w:r>
    </w:p>
    <w:p w:rsidR="0085709A" w:rsidRDefault="0085709A" w:rsidP="0085709A">
      <w:pPr>
        <w:pStyle w:val="TtuloBOE"/>
      </w:pPr>
      <w:r>
        <w:t>(BOE núm. 136, de 8 de junio de 2015)</w:t>
      </w:r>
    </w:p>
    <w:p w:rsidR="0085709A" w:rsidRDefault="0085709A" w:rsidP="0085709A">
      <w:pPr>
        <w:pStyle w:val="TextoNormalCentrado"/>
      </w:pPr>
      <w:r>
        <w:t>ECLI:ES:TC:2015:85</w:t>
      </w:r>
    </w:p>
    <w:p w:rsidR="0085709A" w:rsidRDefault="0085709A" w:rsidP="0085709A">
      <w:pPr>
        <w:pStyle w:val="TextoNormalCentrado"/>
      </w:pPr>
    </w:p>
    <w:p w:rsidR="0085709A" w:rsidRDefault="0085709A" w:rsidP="0085709A">
      <w:pPr>
        <w:pStyle w:val="SntesisDescriptiva"/>
      </w:pPr>
      <w:r>
        <w:t>Recurso de inconstitucionalidad 6228-2013. Interpuesto por la Generalitat de Cataluña en relación con diversos preceptos de la Ley 13/2013, de 2 de agosto, de fomento de la integración de cooperativas y de otras entidades asociativas de carácter agroalimentario.</w:t>
      </w:r>
    </w:p>
    <w:p w:rsidR="0085709A" w:rsidRDefault="0085709A" w:rsidP="0085709A">
      <w:pPr>
        <w:pStyle w:val="SntesisDescriptiva"/>
      </w:pPr>
    </w:p>
    <w:p w:rsidR="0085709A" w:rsidRDefault="0085709A" w:rsidP="0085709A">
      <w:pPr>
        <w:pStyle w:val="SntesisAnaltica"/>
      </w:pPr>
      <w:r>
        <w:t>Competencias sobre ordenación general de la economía y agricultura: nulidad de los preceptos legales que atribuyen a la Administración del Estado el ejercicio de funciones ejecutivas.</w:t>
      </w:r>
    </w:p>
    <w:p w:rsidR="0085709A" w:rsidRDefault="0085709A" w:rsidP="0085709A">
      <w:pPr>
        <w:pStyle w:val="SntesisAnaltica"/>
      </w:pPr>
    </w:p>
    <w:p w:rsidR="0085709A" w:rsidRDefault="0085709A" w:rsidP="0085709A">
      <w:pPr>
        <w:pStyle w:val="Extracto"/>
      </w:pPr>
      <w:r>
        <w:t>1.</w:t>
      </w:r>
      <w:r>
        <w:tab/>
        <w:t>El art. 149.1.13 CE no excluye la posibilidad de las Comunidades Autónomas de aplicar la norma estatal mediante la tramitación y adopción de un procedimiento de reconocimiento; función esencialmente instrumental y, por tanto, ejecutiva, en virtud de la cual la administración competente verifica y acredita que la entidad asociativa reúne los requisitos fijados para disfrutar de preferencia en la obtención de la financiación pública [FJ 4].</w:t>
      </w:r>
    </w:p>
    <w:p w:rsidR="0085709A" w:rsidRDefault="0085709A" w:rsidP="0085709A">
      <w:pPr>
        <w:pStyle w:val="Extracto"/>
      </w:pPr>
    </w:p>
    <w:p w:rsidR="0085709A" w:rsidRDefault="0085709A" w:rsidP="0085709A">
      <w:pPr>
        <w:pStyle w:val="Extracto"/>
      </w:pPr>
      <w:r>
        <w:t>2.</w:t>
      </w:r>
      <w:r>
        <w:tab/>
        <w:t>El legislador estatal ha conectado el carácter supraautonómico de las potenciales entidades demandantes de ayudas y subvenciones al amparo del régimen jurídico de la norma, con la preceptiva necesidad de que sea la Administración estatal quien las reconozca como entidades prioritarias; equivalencia que es contraria a la doctrina que determina la necesaria existencia de razones que justifiquen la excepcionalidad de esta decisión unitaria de carácter centralizado [FJ 4].</w:t>
      </w:r>
    </w:p>
    <w:p w:rsidR="0085709A" w:rsidRDefault="0085709A" w:rsidP="0085709A">
      <w:pPr>
        <w:pStyle w:val="Extracto"/>
      </w:pPr>
    </w:p>
    <w:p w:rsidR="0085709A" w:rsidRDefault="0085709A" w:rsidP="0085709A">
      <w:pPr>
        <w:pStyle w:val="Extracto"/>
      </w:pPr>
      <w:r>
        <w:t>3.</w:t>
      </w:r>
      <w:r>
        <w:tab/>
        <w:t>La centralización estatal de determinadas funciones ejecutivas tan solo, y de forma excepcional, sería válida cuando se acreditara que se convierte en la única vía posible para alcanzar la finalidad de una ley dictada al amparo de un título competencial legítimo, circunstancia que no concurre, y que en ningún caso deriva del posible carácter supraautonómico o supraterritorial de las entidades que pueden concurrir a las ayudas a convocar [FJ 4].</w:t>
      </w:r>
    </w:p>
    <w:p w:rsidR="0085709A" w:rsidRDefault="0085709A" w:rsidP="0085709A">
      <w:pPr>
        <w:pStyle w:val="Extracto"/>
      </w:pPr>
    </w:p>
    <w:p w:rsidR="0085709A" w:rsidRDefault="0085709A" w:rsidP="0085709A">
      <w:pPr>
        <w:pStyle w:val="Extracto"/>
      </w:pPr>
      <w:r>
        <w:t>4.</w:t>
      </w:r>
      <w:r>
        <w:tab/>
        <w:t>El precepto fija una cláusula general que prescribe el mantenimiento a lo largo del tiempo del carácter prioritario de las entidades, como requisito indispensable para poder acceder al régimen de los beneficios y ayudas que se determinen en las correspondientes convocatorias; pero no hace mención al órgano administrativo a quien corresponde el ejercicio de las funciones de verificación de los requisitos para el mantenimiento de esa consideración como entidad asociativa prioritaria, lo que no impide que esa función sea asumida por las Comunidades Autónomas [FJ 4].</w:t>
      </w:r>
    </w:p>
    <w:p w:rsidR="0085709A" w:rsidRDefault="0085709A" w:rsidP="0085709A">
      <w:pPr>
        <w:pStyle w:val="Extracto"/>
      </w:pPr>
    </w:p>
    <w:p w:rsidR="0085709A" w:rsidRDefault="0085709A" w:rsidP="0085709A">
      <w:pPr>
        <w:pStyle w:val="Extracto"/>
      </w:pPr>
      <w:r>
        <w:t>5.</w:t>
      </w:r>
      <w:r>
        <w:tab/>
        <w:t xml:space="preserve">El Estado está competencialmente habilitado para la creación de Registros pero, al tratarse de un ámbito en el que no ostenta competencias ejecutivas, ha de aceptar las propuestas de inscripción que le formulen las Comunidades Autónomas, sin que los órganos de la Administración general del Estado puedan asumir otras </w:t>
      </w:r>
      <w:r>
        <w:lastRenderedPageBreak/>
        <w:t>funciones ejecutivas que la mencionada inscripción, a partir de la información suministrada por aquéllas (STC 223/2000) [FJ 5].</w:t>
      </w:r>
    </w:p>
    <w:p w:rsidR="0085709A" w:rsidRDefault="0085709A" w:rsidP="0085709A">
      <w:pPr>
        <w:pStyle w:val="Extracto"/>
      </w:pPr>
    </w:p>
    <w:p w:rsidR="0085709A" w:rsidRDefault="0085709A" w:rsidP="0085709A">
      <w:pPr>
        <w:pStyle w:val="Extracto"/>
      </w:pPr>
      <w:r>
        <w:t>6.</w:t>
      </w:r>
      <w:r>
        <w:tab/>
        <w:t>La competencia estatal ex art. 149.1.13 CE tiene ‘carácter transversal’, ya que aun existiendo una competencia sobre un subsector económico que una Comunidad Autónoma ha asumido como ‘exclusiva’ en su Estatuto, tal atribución competencial no excluye la competencia estatal para establecer las bases y la coordinación de ese subsector, y que el ejercicio autonómico de esta competencia exclusiva puede estar condicionado por medidas estatales, que en ejercicio de una competencia propia pueden desplegarse autónomamente sobre diversas materias, siempre que el fin perseguido responda efectivamente a un objetivo de planificación económica (STC 11/2015) [FJ 2].</w:t>
      </w:r>
    </w:p>
    <w:p w:rsidR="0085709A" w:rsidRDefault="0085709A" w:rsidP="0085709A">
      <w:pPr>
        <w:pStyle w:val="Extracto"/>
      </w:pPr>
    </w:p>
    <w:p w:rsidR="0085709A" w:rsidRDefault="0085709A" w:rsidP="0085709A">
      <w:pPr>
        <w:pStyle w:val="Extracto"/>
      </w:pPr>
      <w:r>
        <w:t>7.</w:t>
      </w:r>
      <w:r>
        <w:tab/>
        <w:t>El sector de la agricultura y la ganadería, por su importancia, tolera la fijación de líneas directrices y criterios globales de ordenación así como previsiones de acciones o medidas singulares que sean necesarias para alcanzar los fines propuestos dentro de la ordenación de cada sector, destacándose que en materia de agricultura y ganadería, aun siendo la competencia específica de las Comunidades Autónomas, el Estado puede intervenir en virtud de sus competencias generales sobre la ordenación general de la economía (STC 11/2015) [FJ 2].</w:t>
      </w:r>
    </w:p>
    <w:p w:rsidR="0085709A" w:rsidRDefault="0085709A" w:rsidP="0085709A">
      <w:pPr>
        <w:pStyle w:val="Extracto"/>
      </w:pPr>
    </w:p>
    <w:p w:rsidR="0085709A" w:rsidRDefault="0085709A" w:rsidP="0085709A">
      <w:pPr>
        <w:pStyle w:val="Extracto"/>
      </w:pPr>
      <w:r>
        <w:t>8.</w:t>
      </w:r>
      <w:r>
        <w:tab/>
        <w:t>La competencia estatal del art. 149.1.13 CE ampara todas las normas y actuaciones, sea cual sea su naturaleza, orientadas al logro de los fines de ordenación de un concreto sector económico, pero el posible riesgo de que por este cauce se produzca un vaciamiento de las concretas competencias autonómicas en materia económica obliga a enjuiciar en cada caso la constitucionalidad de la medida estatal que limita la competencia asumida estatutariamente por una Comunidad Autónoma como exclusiva (SSTC 225/1993, 34/2013) [FJ 2].</w:t>
      </w:r>
    </w:p>
    <w:p w:rsidR="0085709A" w:rsidRDefault="0085709A" w:rsidP="0085709A">
      <w:pPr>
        <w:pStyle w:val="Extracto"/>
      </w:pPr>
    </w:p>
    <w:p w:rsidR="0085709A" w:rsidRDefault="0085709A" w:rsidP="0085709A">
      <w:pPr>
        <w:pStyle w:val="Extracto"/>
      </w:pPr>
      <w:r>
        <w:t>9.</w:t>
      </w:r>
      <w:r>
        <w:tab/>
        <w:t>La ordenación general de la economía hace posible la intervención del Estado a través de medidas económicas en sectores materialmente atribuidos a la competencia de las Comunidades Autónomas,  a fin de que no queden vacías de contenido (STC 104/2013) [FJ 2].</w:t>
      </w:r>
    </w:p>
    <w:p w:rsidR="0085709A" w:rsidRDefault="0085709A" w:rsidP="0085709A">
      <w:pPr>
        <w:pStyle w:val="Extracto"/>
      </w:pPr>
    </w:p>
    <w:p w:rsidR="0085709A" w:rsidRDefault="0085709A" w:rsidP="0085709A">
      <w:pPr>
        <w:pStyle w:val="Extracto"/>
      </w:pPr>
      <w:r>
        <w:t>10.</w:t>
      </w:r>
      <w:r>
        <w:tab/>
        <w:t>Las actuaciones ejecutivas autonómicas, por el hecho de que generen consecuencias más allá del territorio de las Comunidades Autónomas que hubieren de adoptarlas,  no revierten necesariamente al Estado (STC 35/2012) [FJ 3].</w:t>
      </w:r>
    </w:p>
    <w:p w:rsidR="0085709A" w:rsidRDefault="0085709A" w:rsidP="0085709A">
      <w:pPr>
        <w:pStyle w:val="Extracto"/>
      </w:pPr>
    </w:p>
    <w:p w:rsidR="0085709A" w:rsidRDefault="0085709A" w:rsidP="0085709A">
      <w:pPr>
        <w:pStyle w:val="Extracto"/>
      </w:pPr>
      <w:r>
        <w:t>11.</w:t>
      </w:r>
      <w:r>
        <w:tab/>
        <w:t>Tiene carácter excepcional la utilización de la supraterritorialidad como criterio para el traslado de la titularidad de competencias autonómicas al Estado, teniendo lugar tal traslado cuando la concreta competencia no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(STC 35/2012) [FJ 3].</w:t>
      </w:r>
    </w:p>
    <w:p w:rsidR="0085709A" w:rsidRDefault="0085709A" w:rsidP="0085709A">
      <w:pPr>
        <w:pStyle w:val="Extracto"/>
      </w:pPr>
    </w:p>
    <w:p w:rsidR="0085709A" w:rsidRDefault="0085709A" w:rsidP="0085709A">
      <w:pPr>
        <w:pStyle w:val="Extracto"/>
      </w:pPr>
      <w:r>
        <w:lastRenderedPageBreak/>
        <w:t>12.</w:t>
      </w:r>
      <w:r>
        <w:tab/>
        <w:t>El art. 149.1.13 CE puede justificar la reserva de funciones ejecutivas al Estado y también permitir el uso de la supraterritorialidad como título atributivo de competencias al Estado, si se cumplen dos condiciones: que resulte preciso que la competencia quede reservada al Estado para garantizar así el cumplimento de la finalidad de ordenación económica que se persigue y, de otro lado, que el uso del criterio supraterritorial resulte justificado en los términos de nuestra doctrina, esto es, atendiendo tanto a las razones aportadas como a la congruencia de la reserva de la función con el régimen de la norma [FJ 4].</w:t>
      </w:r>
    </w:p>
    <w:p w:rsidR="0085709A" w:rsidRDefault="0085709A" w:rsidP="0085709A">
      <w:pPr>
        <w:pStyle w:val="Extracto"/>
      </w:pPr>
    </w:p>
    <w:p w:rsidR="0085709A" w:rsidRDefault="0085709A" w:rsidP="0085709A">
      <w:pPr>
        <w:pStyle w:val="Extracto"/>
      </w:pPr>
      <w:r>
        <w:t>13.</w:t>
      </w:r>
      <w:r>
        <w:tab/>
        <w:t>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(STC 243/1994) [FJ 5].</w:t>
      </w:r>
    </w:p>
    <w:p w:rsidR="0085709A" w:rsidRDefault="0085709A" w:rsidP="0085709A">
      <w:pPr>
        <w:pStyle w:val="Extracto"/>
      </w:pPr>
    </w:p>
    <w:p w:rsidR="0085709A" w:rsidRDefault="0085709A" w:rsidP="0085709A">
      <w:pPr>
        <w:pStyle w:val="Extracto"/>
      </w:pPr>
      <w:r>
        <w:t>14.</w:t>
      </w:r>
      <w:r>
        <w:tab/>
        <w:t>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(STC 243/1994)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6228-2013 interpuesto por la Generalitat de Cataluña contra los artículos 3, apartados 2 y 3, y 5 de la Ley 13/2013, de 2 de agosto, de fomento de la integración de cooperativas y de otras entidades asociativas de carácter agroalimentario. Ha comparecido y formulado alegaciones el Abogado del Estado.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presentado en el Registro General de este Tribunal Constitucional el día 25 de octubre de 2013 el Abogado de la Generalitat de Cataluña, en la representación que ostenta, interpuso recurso de inconstitucionalidad contra los artículos 3.2 y 3, y 5 de la </w:t>
      </w:r>
      <w:r>
        <w:lastRenderedPageBreak/>
        <w:t>Ley 13/2013, de 2 de agosto, de fomento de la integración de cooperativas y de otras entidades asociativas de carácter agroalimentario.</w:t>
      </w:r>
    </w:p>
    <w:p w:rsidR="0085709A" w:rsidRDefault="0085709A" w:rsidP="0085709A">
      <w:pPr>
        <w:pStyle w:val="TextoNormal"/>
      </w:pPr>
    </w:p>
    <w:p w:rsidR="0085709A" w:rsidRDefault="0085709A" w:rsidP="0085709A">
      <w:pPr>
        <w:pStyle w:val="TextoNormal"/>
      </w:pPr>
      <w:r>
        <w:t>Los motivos del recurso son, resumidamente expuestos, los siguientes:</w:t>
      </w:r>
    </w:p>
    <w:p w:rsidR="0085709A" w:rsidRDefault="0085709A" w:rsidP="0085709A">
      <w:pPr>
        <w:pStyle w:val="TextoNormal"/>
      </w:pPr>
    </w:p>
    <w:p w:rsidR="0085709A" w:rsidRDefault="0085709A" w:rsidP="0085709A">
      <w:pPr>
        <w:pStyle w:val="TextoNormal"/>
      </w:pPr>
      <w:r>
        <w:t>El Abogado de la Generalitat de Cataluña comienza aludiendo a la finalidad y contenido de la Ley 13/2013 señalando que la finalidad de la citada Ley es “poner en marcha medidas que fomenten la integración y la potenciación de grupos comercializadores de base cooperativa y asociativa, con implantación y ámbito de actuación superior al de una comunidad autónoma, que resulten capaces de operar en toda la cadena agroalimentaria, tanto en los mercados nacionales como en los internacionales y que contribuyan a mejorar la renta de los agricultores y consolidar un tejido industrial agroalimentario en nuestras zonas rurales”. Para ello uno de los aspectos clave es la figura denominada “entidad asociativa agroalimentaria prioritaria”, a las que futuras convocatorias de ayudas y subvenciones estatales podrán otorgar una posición de preferencia. Indica también que la aplicación de la norma va a significar, presumiblemente, una alteración notable del actual mapa del asociacionismo agrario, de manera que van a desaparecer algunas entidades actuales en beneficio de la aparición de otras nuevas que ostenten el carácter de prioritarias. Señala además que las medidas de la Ley 13/2013 se enmarcan en indicaciones que derivan de la normativa comunitaria, en la que se contienen diversas medidas de este tipo. Menciona asimismo la existencia de previas medidas, tanto estatales como autonómicas dirigidas al fomento de las sociedades cooperativas. En ese sentido, la Ley 13/2013 se viene a insertar en el contexto normativo genérico sobre el asociacionismo agrario y, como su propio título indica, afecta a las cooperativas en particular, respondiendo al mandato constitucional relativo a la promoción de dichas sociedades y, por equivalencia, de otras entidades asociativas. Tras lo anterior, analiza el contenido de la norma señalando que la vulneración del orden competencial denunciada se concreta en los apartados 2 y 3 del art. 3 “condiciones para el reconocimiento de las entidades asociativas prioritarias” y en el art. 5 “creación y funcionamiento del Registro Nacional de Entidades Asociativas Prioritarias”.</w:t>
      </w:r>
    </w:p>
    <w:p w:rsidR="0085709A" w:rsidRDefault="0085709A" w:rsidP="0085709A">
      <w:pPr>
        <w:pStyle w:val="TextoNormal"/>
      </w:pPr>
    </w:p>
    <w:p w:rsidR="0085709A" w:rsidRDefault="0085709A" w:rsidP="0085709A">
      <w:pPr>
        <w:pStyle w:val="TextoNormal"/>
      </w:pPr>
      <w:r>
        <w:t xml:space="preserve">El segundo apartado del escrito de interposición del recurso alude al marco competencial aplicable. La Ley 13/2013 se afirma dictada al amparo del art. 149.1.13 CE, encuadramiento que se comparte por la representación procesal de la Generalitat de Cataluña, que entiende que la materia concernida es la agricultura, en su consideración como sector de la actividad económica en el que se persigue realizar una actividad de fomento estatal. Recuerda el Abogado de la Generalitat la competencia exclusiva autonómica en agricultura y ganadería en los términos del art. 116.1 del Estatuto de Autonomía de Cataluña (EAC). En este sentido la demanda alega, con cita de la doctrina de la STC 104/2013, que las normas estatales impugnadas no respetan los límites que derivan de la citada doctrina constitucional. Indica que cabe aceptar que la Ley 13/2013 responde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en palabras de la STC 135/2012, FJ 2. En este caso se trataría de unas medidas de fomento que priorizarían la integración de cooperativas y otras entidades asociativas de carácter agroalimentario con el objeto de favorecer su eficiencia en el actual sistema productivo. No le merece la misma consideración lo que respecta a los límites a los que ha de ceñirse la citada competencia estatal ya que no resulta justificada la atribución en exclusiva a las instancias administrativas </w:t>
      </w:r>
      <w:r>
        <w:lastRenderedPageBreak/>
        <w:t>estatales de la realización de las funciones de carácter ejecutivo previstas en la Ley, pues el sector agroalimentario (agrario y ganadero) está materialmente atribuido a la competencia exclusiva autonómica.</w:t>
      </w:r>
    </w:p>
    <w:p w:rsidR="0085709A" w:rsidRDefault="0085709A" w:rsidP="0085709A">
      <w:pPr>
        <w:pStyle w:val="TextoNormal"/>
      </w:pPr>
    </w:p>
    <w:p w:rsidR="0085709A" w:rsidRDefault="0085709A" w:rsidP="0085709A">
      <w:pPr>
        <w:pStyle w:val="TextoNormal"/>
      </w:pPr>
      <w:r>
        <w:t>De acuerdo con ello las cuestiones impugnadas se concretan en la centralización de las funciones ejecutivas en el Ministerio de Agricultura, Alimentación y Medio Ambiente que prevén los arts. 3.2 y 3, y 5 por no ajustarse a los límites que para el art. 149.1.13 CE que derivan tanto del bloque de la constitucionalidad como de la propia jurisprudencia, siendo uno de dichos límites el ejercicio de las funciones ejecutivas de gestión por las Comunidades Autónomas que resultan competentes en razón de la materia afectada, cuando su traslado a instancias estatales no resulte indispensable para la obtención de los objetivos perseguidos, sin que dicho traslado pueda justificarse tampoco en la finalidad de fomento de la norma, pues la potestad de gasto del Estado no es un título atributivo de competencias, ni tampoco lo es la supraterritorialidad que se prevé en los arts. 1 y 3.1 b) de la Ley 13/2013, al exigir que las entidades asociativas prioritarias deban “tener implantación y un ámbito de actuación económico que sean de carácter supraautonómico”. Con cita de la doctrina de la STC 38/2012 recuerda que el alcance territorial que desborda o es superior al ámbito de la Comunidad Autónoma no equivale necesariamente a un título competencial en favor del Estado, que permita la centralización de las facultades gestoras a favor de la Administración central. Así, el Abogado de la Generalitat de Cataluña entiende que “la condición del carácter supraautonómico no puede operar como regla general favorable al traslado de las funciones gestoras a los órganos estatales, en detrimento de la administración a quien corresponde el ejercicio de las competencias ejecutivas en la materia afectada. La centralización estatal de determinadas funciones ejecutivas tan solo, y de forma excepcional, sería válida cuando se acreditara que se convierte en la única vía posible para alcanzar la finalidad de la Ley, circunstancia que en ningún caso deriva inmediata ni automáticamente de que las entidades asociativas prioritarias deban tener implantación y un ámbito de actuación económico de carácter supraautonómico, que es el requisito establecido en el presente caso”.</w:t>
      </w:r>
    </w:p>
    <w:p w:rsidR="0085709A" w:rsidRDefault="0085709A" w:rsidP="0085709A">
      <w:pPr>
        <w:pStyle w:val="TextoNormal"/>
      </w:pPr>
    </w:p>
    <w:p w:rsidR="0085709A" w:rsidRDefault="0085709A" w:rsidP="0085709A">
      <w:pPr>
        <w:pStyle w:val="TextoNormal"/>
      </w:pPr>
      <w:r>
        <w:t>Igualmente, con cita de la STC 194/2011, señala que la doctrina del Tribunal declara que el principio de territorialidad de las competencias autonómicas no implica necesariamente que cuando el fenómeno objeto de las competencias autonómicas se extiende a lo largo del territorio de más de una Comunidad Autónoma, éstas pierdan en todo caso y de forma automática la competencia y la titularidad de la misma deba trasladarse necesariamente al Estado. Eso es lo que va a ocurrir en el presente caso obviando que el Estado debe actuar respetando que las funciones ejecutivas se realicen por las instancias autonómicas competentes, pues desde sus competencias normativas está habilitado para establecer la disciplina normativa de una materia incluyendo en la misma la fijación de los puntos de conexión que resulten procedentes a tal efecto. En conclusión, el Abogado de la Generalitat estima que “el Estado, de acuerdo con la habilitación competencial del artículo 149.1.13 CE, puede desarrollar una actividad de fomento en la materia de agricultura y, más concretamente en beneficio de las cooperativas y entidades agroalimentarias que decidan integrarse, su regulación debe respetar los límites que le imponen las competencias exclusivas autonómicas en dicha materia, que incluyen, en todo caso, el ejercicio de las funciones ejecutivas respecto de las entidades de su territorio”.</w:t>
      </w:r>
    </w:p>
    <w:p w:rsidR="0085709A" w:rsidRDefault="0085709A" w:rsidP="0085709A">
      <w:pPr>
        <w:pStyle w:val="TextoNormal"/>
      </w:pPr>
    </w:p>
    <w:p w:rsidR="0085709A" w:rsidRDefault="0085709A" w:rsidP="0085709A">
      <w:pPr>
        <w:pStyle w:val="TextoNormal"/>
      </w:pPr>
      <w:r>
        <w:lastRenderedPageBreak/>
        <w:t>Conforme a lo anterior, estima inconstitucional la atribución a la Administración del Estado de la realización de las funciones ejecutivas relativas al reconocimiento, control y registro de las entidades asociativas prioritarias que se deriva de los apartados 2 y 3 del art. 3 y del art. 5 de la Ley 13/2013. El artículo 3.2 atribuye al Ministerio de Agricultura, Alimentación y Medio Ambiente la facultad para realizar el reconocimiento de la condición de entidad asociativa prioritaria, a solicitud de la interesada y de acuerdo con el procedimiento que se establezca reglamentariamente. Por tanto, se trata de una función ejecutiva que tiene como objeto permitir que la entidad afectada pueda participar en todos los procesos de convocatoria de las ayudas públicas a los que se refiere la Ley, disfrutando de una situación de preferencia. A continuación, el art. 3.3 establece que las entidades asociativas agroalimentarias reconocidas como prioritarias, las entidades que las integren, así como los productores que formen parte de las mismas, no podrán beneficiarse de las ayudas si no cumplen los requisitos exigidos para mantener su condición y acreditan su mantenimiento De ello deduce que el art. 3.3 atribuye tácitamente al Ministerio la función ejecutiva relativa al seguimiento y control de las entidades por él reconocidas como entidades prioritarias en orden a que acrediten que mantienen los requisitos para serlo.</w:t>
      </w:r>
    </w:p>
    <w:p w:rsidR="0085709A" w:rsidRDefault="0085709A" w:rsidP="0085709A">
      <w:pPr>
        <w:pStyle w:val="TextoNormal"/>
      </w:pPr>
    </w:p>
    <w:p w:rsidR="0085709A" w:rsidRDefault="0085709A" w:rsidP="0085709A">
      <w:pPr>
        <w:pStyle w:val="TextoNormal"/>
      </w:pPr>
      <w:r>
        <w:t>Con la citada regulación se produce el inconstitucional resultado de que las cooperativas y entidades agrarias que se integren en entidades de ámbito supraautonómico pasen a depender de la Administración del Estado, lo que va en contra del bloque de la constitucionalidad, que atribuye a las Comunidades Autónomas las competencias de carácter ejecutivo en esta materia, en relación con las cooperativas y entidades agrarias del respectivo territorio. Esta centralización no cumple, a juicio del Abogado de la Generalitat, los requisitos exigidos para el desapoderamiento autonómico de la función ejecutiva, de manera que la Comunidad Autónoma debe poder ejercer las facultades de gestión y ejecución con respecto a las entidades que operan en el sector agroalimentario, lo que incluye “la aplicación de la legislación estatal con la finalidad de llevar a cabo el reconocimiento de las entidades asociativas prioritarias”. Dicha tarea se califica como instrumental y, por tanto, ejecutiva, en virtud de la que la Administración competente verifica y acredita que la entidad asociativa reúne y mantiene los requisitos fijados para disfrutar de preferencia en la obtención de la financiación pública. Debe inscribirse, por tanto, en la esfera competencial de la Generalitat, porque no se acredita ni se deduce de manera razonable motivo alguno que convierta en indispensable la centralización estatal del acto de reconocimiento a efectos de conseguir la finalidad de la norma. Además la remisión reglamentaria del artículo 3 hace que el procedimiento vaya a tener un carácter notablemente reglado, con lo que, desde ese punto de vista, “no existe elemento alguno que justifique excluir a las Administraciones autonómicas de la tramitación y resolución del citado procedimiento de reconocimiento”. Y si fuera necesario fijar algún punto de conexión correspondería al legislador estatal establecerlo, pero la omisión de esta previsión, en ningún caso puede desplazar la competencia al Estado. Por todo ello el Abogado de la Generalitat concluye que el art. 3.2 y 3 de la Ley 13/2013, en la medida en que centraliza a favor del Ministerio de Agricultura, Alimentación y Medio Ambiente las funciones ejecutivas de reconocimiento y posterior acreditación del mantenimiento, de la condición de entidad asociativa prioritaria, vulnera las competencias de la Generalitat que establece el art. 116.1 EAC.</w:t>
      </w:r>
    </w:p>
    <w:p w:rsidR="0085709A" w:rsidRDefault="0085709A" w:rsidP="0085709A">
      <w:pPr>
        <w:pStyle w:val="TextoNormal"/>
      </w:pPr>
    </w:p>
    <w:p w:rsidR="0085709A" w:rsidRDefault="0085709A" w:rsidP="0085709A">
      <w:pPr>
        <w:pStyle w:val="TextoNormal"/>
      </w:pPr>
      <w:r>
        <w:t xml:space="preserve">En cuanto al artículo 5, la demanda considera que crea un nuevo registro en el que deberán inscribirse las entidades que sean reconocidas como prioritarias, en aplicación de lo dispuesto en la misma Ley y en el futuro reglamento que la desarrolle. El sistema registral </w:t>
      </w:r>
      <w:r>
        <w:lastRenderedPageBreak/>
        <w:t>de naturaleza administrativa que establece el precepto se configura en torno a la relación entre el Ministerio y las entidades del sector reconocidas como prioritarias, pero no distingue en su ámbito de aplicación sino que comprende todas las entidades asociativas que reúnan esta condición, con independencia del hecho de que desarrollen principalmente su actividad en una Comunidad Autónoma concreta. De la misma manera que en el artículo 3 se determina que el reconocimiento corresponderá a la Administración estatal, en el artículo 5 el conjunto de funciones de inscripción, comunicación, mantenimiento y actualización de los datos registrales se atribuye a esa misma Administración, que operará como único enlace con las entidades del sector que obtengan el carácter prioritario. Esta configuración omite cualquier tipo de intervención autonómica sin aportar ningún elemento del que se deduzca la necesidad de centralizar las funciones ejecutivas de carácter registral. La demanda cita la doctrina constitucional en materia de registros administrativos y concluye que el art. 5 de la Ley 13/2013 “puesto que centraliza las funciones registrales de naturaleza ejecutiva en la Administración estatal, sin motivo que justifique la necesidad imprescindible de hacerlo para la consecución de la finalidad de la Ley, vulnera las competencias de la Generalitat según dispone el artículo 116.1 EAC. Todo ello, sin perjuicio del lógico deber de comunicación de la información a efectos de la debida colaboración interadministrativa”.</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19 de noviembre de 2013 el Pleno, a propuesta de la Sección Tercera, acordó admitir a trámite el recurso de inconstitucionalidad promovido por el Gobierno de Cataluña y, en su representación y defensa, por el Abogado del mismo, contra los arts. 3, apartados 2 y 3, y 5 de la Ley 13/2013, de 2 de agosto, de fomento de la integración de cooperativas y de otras entidades asociativas de carácter agroalimentario;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el 3 de diciembre de 2013 el Abogado del Estado se personó en nombre del Gobierno solicitando una prórroga en el plazo para la formulación de alegaciones, prórroga que le fue concedida por providencia del Pleno de 4 de diciembre de 2013.</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registrado con fecha 4 de diciembre de 2013, el Presidente del Senado comunicó el acuerdo de la Mesa de la Cámara de personarse en el procedimiento y ofrecer su colaboración a los efectos del art. 88.1 LOTC. Lo mismo hizo el Presidente del Congreso de los Diputados por escrito que tuvo entrada en este Tribunal el día 12 de diciembre de 2013.</w:t>
      </w:r>
    </w:p>
    <w:p w:rsidR="0085709A" w:rsidRDefault="0085709A" w:rsidP="0085709A">
      <w:pPr>
        <w:pStyle w:val="TextoNormal"/>
      </w:pPr>
    </w:p>
    <w:p w:rsidR="0085709A" w:rsidRDefault="0085709A" w:rsidP="0085709A">
      <w:pPr>
        <w:pStyle w:val="TextoNormal"/>
      </w:pPr>
      <w:r w:rsidRPr="0085709A">
        <w:rPr>
          <w:rStyle w:val="NumeroAFNegritaCaracter"/>
        </w:rPr>
        <w:t>5</w:t>
      </w:r>
      <w:r>
        <w:t>. Las alegaciones presentadas por el Abogado del Estado interesando la desestimación del recurso fueron registradas en este Tribunal el día 30 de diciembre de 2013.</w:t>
      </w:r>
    </w:p>
    <w:p w:rsidR="0085709A" w:rsidRDefault="0085709A" w:rsidP="0085709A">
      <w:pPr>
        <w:pStyle w:val="TextoNormal"/>
      </w:pPr>
    </w:p>
    <w:p w:rsidR="0085709A" w:rsidRDefault="0085709A" w:rsidP="0085709A">
      <w:pPr>
        <w:pStyle w:val="TextoNormal"/>
      </w:pPr>
      <w:r>
        <w:t>Comienza señalando que los preceptos objeto de impugnación constituyen legislación básica al amparo del art. 149.1.13 y 14 CE. El artículo 3 fija las directrices y criterios globales, precisamente, de ordenación de la actividad económica que se trata de poner en prác</w:t>
      </w:r>
      <w:r>
        <w:lastRenderedPageBreak/>
        <w:t>tica en aras de los fines propuestos para la mejora del sector. Fines de fomento de la integración de las sociedades cooperativas y de otras entidades asociativas que operan en el sector agroalimentario para su constitución o ampliación en un ámbito supraautonómico. Ante la elevada atomización del sector la norma persigue la integración de los operadores fomentando el fenómeno asociativo mediante el otorgamiento de las ayudas y beneficios que la Ley establece, buscando el redimensionamiento de las estructuras productivas, mediante la integración de las cooperativas y demás formas jurídicas del asociacionismo agrario. Para ello, las entidades interesadas habrán de ser calificadas como entidades prioritarias, obteniéndose esta condición legal si se reúnen los requisitos que el apartado 1 del art. 3 establece de forma unificada para todo el territorio nacional. Entiende que la demanda coincide en el planteamiento general de la norma en el sentido de que la misma persigue un objetivo de promoción general para toda la economía del país en el sector correspondiente.</w:t>
      </w:r>
    </w:p>
    <w:p w:rsidR="0085709A" w:rsidRDefault="0085709A" w:rsidP="0085709A">
      <w:pPr>
        <w:pStyle w:val="TextoNormal"/>
      </w:pPr>
    </w:p>
    <w:p w:rsidR="0085709A" w:rsidRDefault="0085709A" w:rsidP="0085709A">
      <w:pPr>
        <w:pStyle w:val="TextoNormal"/>
      </w:pPr>
      <w:r>
        <w:t>Sentado lo anterior, argumenta que la consecución de los objetivos prioritarios de ordenación económica perseguidos por la norma básica presupone su ejecución por el órgano estatal competente a fin de que éste asuma las facultades de comprobación de los requisitos exigidos y asignar la calificación prevista. Señala que no se trata de la simple eventualidad de la adopción de medidas de control a adoptarse legítimamente por las Comunidades Autónomas, con efectos indirectos fuera de su respectivo territorio. De admitirse la tesis de la Comunidad Autónoma, que sostiene que los supuestos previstos en el artículo 3.1 son meros puntos de conexión, para el ejercicio luego de la competencia autonómica de ejecución de la legislación estatal, se les estaría atribuyendo una competencia para efectuar el reconocimiento y acreditación de las entidades asociativas como entidades prioritarias a los efectos de ese art. 3 de la Ley 13/2013, es decir una competencia “de verdadero efecto directo en la ordenación económica general del país, con impacto configurador de la situación económica del sector. No consistiría en una competencia que ejercida por la Comunidad Autónoma dentro de su respectivo ámbito material de competencias asumidas y dentro de su territorio, tuviera no obstante un mero efecto jurídico derivado supra autonómico, o que indirectamente afectase a la economía nacional o a todo el ámbito estatal en el sector respectivo, sino que incidiría y modularía de manera directa ese ámbito supraterritorial de relaciones”, suponiendo una decisión de ordenación general de la economía a nivel estatal.</w:t>
      </w:r>
    </w:p>
    <w:p w:rsidR="0085709A" w:rsidRDefault="0085709A" w:rsidP="0085709A">
      <w:pPr>
        <w:pStyle w:val="TextoNormal"/>
      </w:pPr>
    </w:p>
    <w:p w:rsidR="0085709A" w:rsidRDefault="0085709A" w:rsidP="0085709A">
      <w:pPr>
        <w:pStyle w:val="TextoNormal"/>
      </w:pPr>
      <w:r>
        <w:t xml:space="preserve">A juicio del Abogado del Estado, “se generaría un fraccionamiento en cuanto a la labor de apreciación de algunos de los requisitos. Cierto es que la mayoría de esos requisitos que los interesados han de reunir inexcusablemente para obtener la condición de entidad prioritaria, según están descritos en la ley, poseen un carácter ajustado en gran parte, y que tratan de evitar en lo posible el margen de discrecionalidad, lo que, pese a todo, no elude la necesidad de apreciación fáctica o valoración específica de cada requisito, que no es tan clara como puede parecer del tenor literal de los apartados del art. 3.1, ya que se trata de elementos (carácter supraautonómico, implantación en un territorio, disposiciones reguladoras o posición de dominio) que no pueden por su propia naturaleza ejecutarse prevalentemente en el territorio de una Comunidad Autónoma, por tener naturaleza necesariamente difusa y de cómputo nacional”. Esa fragmentación también surgiría si se pretendiese retener aquí la potestad reglamentaria de la legislación estatal. Junto a esa valoración que corresponde a un órgano estatal, le ha de ser también reconocida la posibilidad de aprobar el procedimiento para ejercer esa competencia de reconocimiento. Afirma al respecto que “entiende esta representación procesal que sólo el Estado puede en virtud de la especial naturaleza del programa enjuiciado y del sistema productivo en que se inscribe, establecer los mecanismos </w:t>
      </w:r>
      <w:r>
        <w:lastRenderedPageBreak/>
        <w:t>necesarios para garantizar la igualdad en la obtención, sin superar los topes de cada supuesto, y de acuerdo con un sistema que salvaguarde la plena efectividad de las medidas que pone en marcha”.</w:t>
      </w:r>
    </w:p>
    <w:p w:rsidR="0085709A" w:rsidRDefault="0085709A" w:rsidP="0085709A">
      <w:pPr>
        <w:pStyle w:val="TextoNormal"/>
      </w:pPr>
    </w:p>
    <w:p w:rsidR="0085709A" w:rsidRDefault="0085709A" w:rsidP="0085709A">
      <w:pPr>
        <w:pStyle w:val="TextoNormal"/>
      </w:pPr>
      <w:r>
        <w:t>Igualmente sostiene que el funcionamiento y gestión del registro administrativo creado por el art. 5 de la Ley 13/2013 constituye una actividad que, en el marco de los objetivos de ordenación general perseguidos por la norma, demanda una gestión única. Se trata de un “registro administrativo cuya competencia adicional de adscripción orgánica y funcionamiento debe ir ligada a la competencia material para dictar las normas y la regulación de las bases o directrices de ordenación de que se trata”. Indica al respecto que si se parte de la “necesaria competencia del Estado, como veíamos en las alegaciones anteriores, para ejecutar en este ámbito su propia legislación valorando los requisitos exigidos por el art. 3.1 y en su caso otorgar el reconocimiento a las entidades solicitantes, es preciso a la vez, como consecuencia derivada, concluir que el registro público que tiene por fin u objetivo el control de aquellas decisiones tomadas por el órgano estatal, decisiones que atañen tanto al reconocimiento inicial como también a la actividad de comprobación ulterior del mantenimiento de la condición, debe en coherencia atribuirse al órgano estatal de decisión”. Destaca que tal inscripción es a petición de la cooperativa y sin violentar la capacidad de regirse por la norma autonómica. Por ello entiende que “será la Administración del Estado la que resulte competente para aprobar la normativa reglamentaria prevista en el apartado 5 de ese mismo art. 5 de la Ley, que habrá de prever y regular el procedimiento y condiciones de la inscripción y de la baja o cancelación en su caso de las entidades, así como el proceso a configurar normativamente para la gestión, publicidad y actualización del mismo Registro. Máxime además cuando se trata, creemos, de un registro administrativo pero no de simple recopilación o almacenaje de información, sino que a juzgar por el tenor de los apartados 3, 4 y el mismo 5 relativo a la previsión de aprobación del reglamento de procedimiento, resulta que nos hallamos más bien ante la creación de un registro con una finalidad de control en el sentido más estricto del término”. Se trata, en suma, de un registro administrativo creado como instrumento en sí de control ejecutivo, y cuyas inscripciones tienen un carácter obligatorio para la obtención de la ayuda. Según el Abogado del Estado, el carácter centralizado de la competencia de llevanza y gestión del registro creado es imprescindible para su efectividad y por tanto para evitar la frustración de los objetivos de la Ley 13/2013.</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28 de abril de 2015 se señaló para deliberación y votación de la presente Sentencia el día 30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proceso constitucional debemos resolver el recurso de inconstitucionalidad interpuesto por la Generalitat de Cataluña contra los arts. 3, apartados 2 y 3, y 5 de la Ley 13/2013, de 2 de agosto, de fomento de la integración de cooperativas y de otras entidades asociativas de carácter agroalimentario.</w:t>
      </w:r>
    </w:p>
    <w:p w:rsidR="0085709A" w:rsidRDefault="0085709A" w:rsidP="0085709A">
      <w:pPr>
        <w:pStyle w:val="TextoNormal"/>
      </w:pPr>
    </w:p>
    <w:p w:rsidR="0085709A" w:rsidRDefault="0085709A" w:rsidP="0085709A">
      <w:pPr>
        <w:pStyle w:val="TextoNormal"/>
      </w:pPr>
      <w:r>
        <w:t>El artículo 3 impugnado establece las condiciones para el reconocimiento de las entidades asociativas prioritarias y el artículo 5 regula el denominado registro nacional de entidades asociativas prioritarias, creado en el Ministerio de Agricultura, Alimentación y Medio Ambiente y, adscrito a la Dirección General de la Industria Alimentaria.</w:t>
      </w:r>
    </w:p>
    <w:p w:rsidR="0085709A" w:rsidRDefault="0085709A" w:rsidP="0085709A">
      <w:pPr>
        <w:pStyle w:val="TextoNormal"/>
      </w:pPr>
    </w:p>
    <w:p w:rsidR="0085709A" w:rsidRDefault="0085709A" w:rsidP="0085709A">
      <w:pPr>
        <w:pStyle w:val="TextoNormal"/>
      </w:pPr>
      <w:r>
        <w:t>La Generalitat de Cataluña no discute que el Estado, al amparo del art. 149.1.13 CE, puede optar por favorecer, mediante lo previsto en la Ley 13/2013, la integración de las cooperativas y otras entidades asociativas del sector agroalimentario sino que únicamente cuestiona los apartados 2 y 3 del artículo 3 y el artículo 5, por considerar que atribuyen funciones ejecutivas al Estado de modo contrario al orden constitucional de distribución de competencias. En lo que a los primeros respecta, controvierte la atribución al Estado de la competencia ejecutiva de reconocimiento de la condición de entidad asociativa prioritaria (art. 3.2), así como la de verificación de los requisitos para el mantenimiento de la consideración de entidad asociativa prioritaria (art. 3.3). El artículo 5 determina que el Registro en el que deberán inscribirse las entidades que sean reconocidas como entidades asociativas prioritarias es estatal y se gestiona en el seno del Ministerio de Agricultura, Alimentación y Medio Ambiente. Para la Generalitat todas estas actividades deberían corresponder a las Comunidades Autónomas en el ejercicio de sus competencias en materia de agricultura, pues no existe ningún elemento del que se deduzca la necesidad de centralizar estas funciones, sin que pueda ser calificada como tal la exigencia de que las entidades tengan una implantación y un ámbito de actuación supraautonómico, como dispone el artículo 3.1 b), que no ha sido impugnado.</w:t>
      </w:r>
    </w:p>
    <w:p w:rsidR="0085709A" w:rsidRDefault="0085709A" w:rsidP="0085709A">
      <w:pPr>
        <w:pStyle w:val="TextoNormal"/>
      </w:pPr>
    </w:p>
    <w:p w:rsidR="0085709A" w:rsidRDefault="0085709A" w:rsidP="0085709A">
      <w:pPr>
        <w:pStyle w:val="TextoNormal"/>
      </w:pPr>
      <w:r>
        <w:t>El Abogado del Estado ha negado las vulneraciones denunciadas sosteniendo que la asunción por la Administración General del Estado de las funciones ejecutivas reguladas en los preceptos impugnados es indispensable para la consecución de los objetivos prioritarios de ordenación económica perseguidos por la norma básica estatal, pues sólo así se garantizará la aplicación uniforme de la norma.</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enfrentadas en el recurso y el contenido de la norma debemos comenzar por encuadrar competencialmente la cuestión debatida en el ámbito material que le sea propio.</w:t>
      </w:r>
    </w:p>
    <w:p w:rsidR="0085709A" w:rsidRDefault="0085709A" w:rsidP="0085709A">
      <w:pPr>
        <w:pStyle w:val="TextoNormal"/>
      </w:pPr>
    </w:p>
    <w:p w:rsidR="0085709A" w:rsidRDefault="0085709A" w:rsidP="0085709A">
      <w:pPr>
        <w:pStyle w:val="TextoNormal"/>
      </w:pPr>
      <w:r>
        <w:t>En ese sentido ambas partes han coincidido en que, dada la finalidad de la Ley 13/2013, esta materia no es otra que la agricultura y ganadería entendida como sector económico, criterio que no cabe sino confirmar ahora.</w:t>
      </w:r>
    </w:p>
    <w:p w:rsidR="0085709A" w:rsidRDefault="0085709A" w:rsidP="0085709A">
      <w:pPr>
        <w:pStyle w:val="TextoNormal"/>
      </w:pPr>
    </w:p>
    <w:p w:rsidR="0085709A" w:rsidRDefault="0085709A" w:rsidP="0085709A">
      <w:pPr>
        <w:pStyle w:val="TextoNormal"/>
      </w:pPr>
      <w:r>
        <w:t xml:space="preserve">En la materia agricultura, Cataluña ostenta competencias exclusivas según el art. 116.1 del Estatuto de Autonomía de Cataluña (EAC), exclusividad que ha de ser entendida en los términos de nuestra doctrina (STC 31/2010, de 28 de junio, FFJJ 59 y 64) y “respetando lo establecido por el Estado en el ejercicio de las competencias que le atribuye el artículo 149.1.13 y 16 de la Constitución”, como dispone el citado precepto estatutario. En este sentido, la STC 11/2015, de 5 de febrero, FJ 4, recuerda, con cita de la STC 74/2014, de 8 de mayo, FJ 3, que “la competencia estatal </w:t>
      </w:r>
      <w:r w:rsidRPr="0085709A">
        <w:rPr>
          <w:i/>
        </w:rPr>
        <w:t>ex</w:t>
      </w:r>
      <w:r>
        <w:t xml:space="preserve"> art. 149.1.13 CE tiene un ‘carácter transversal’, ya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w:t>
      </w:r>
    </w:p>
    <w:p w:rsidR="0085709A" w:rsidRDefault="0085709A" w:rsidP="0085709A">
      <w:pPr>
        <w:pStyle w:val="TextoNormal"/>
      </w:pPr>
    </w:p>
    <w:p w:rsidR="0085709A" w:rsidRDefault="0085709A" w:rsidP="0085709A">
      <w:pPr>
        <w:pStyle w:val="TextoNormal"/>
      </w:pPr>
      <w:r>
        <w:lastRenderedPageBreak/>
        <w:t>Ya hemos señalado que la Generalitat de Cataluña no ha discutido, salvo en los aspectos controvertidos, el encuadramiento competencial de la Ley 13/2013, en el art. 149.1.13 CE, tal como afirma su disposición final primera, por lo que procede ahora que recordemos nuestra doctrina sobre este título competencial estatal en relación específicamente con la agricultura. La ya citada STC 11/2015, FJ 4, por remisión a la STC 79/1992, de 28 de mayo, FJ 2, ha recordado que “el sector de la agricultura y la ganadería es de aquellos que por su importancia toleran la fijación de líneas directrices y criterios globales de ordenación así como previsiones de acciones o medidas singulares que sean necesarias para alcanzar los fines propuestos dentro de la ordenación de cada sector, destacando que ‘…en materia de agricultura y ganadería, siendo la competencia específica de las Comunidades Autónomas ... el Estado puede intervenir en virtud de sus competencias generales sobre la ordenación general de la economía’.”</w:t>
      </w:r>
    </w:p>
    <w:p w:rsidR="0085709A" w:rsidRDefault="0085709A" w:rsidP="0085709A">
      <w:pPr>
        <w:pStyle w:val="TextoNormal"/>
      </w:pPr>
    </w:p>
    <w:p w:rsidR="0085709A" w:rsidRDefault="0085709A" w:rsidP="0085709A">
      <w:pPr>
        <w:pStyle w:val="TextoNormal"/>
      </w:pPr>
      <w:r>
        <w:t>Admitido entonces que la competencia estatal del art. 149.1.13 CE ampara todas las normas y actuaciones, sea cual sea su naturaleza, orientadas al logro de los fines de ordenación del sector al que se refiera [STC 34/2013, de 14 de febrero, FJ 4 b)], también tenemos declarado que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w:t>
      </w:r>
    </w:p>
    <w:p w:rsidR="0085709A" w:rsidRDefault="0085709A" w:rsidP="0085709A">
      <w:pPr>
        <w:pStyle w:val="TextoNormal"/>
      </w:pPr>
    </w:p>
    <w:p w:rsidR="0085709A" w:rsidRDefault="0085709A" w:rsidP="0085709A">
      <w:pPr>
        <w:pStyle w:val="TextoNormal"/>
      </w:pPr>
      <w:r>
        <w:t xml:space="preserve">En parecidos términos, la STC 104/2013, FJ 5, recogiendo la doctrina de la STC 34/2013, ha señalado lo siguiente a propósito de los límites a los que ha de ajustarse la competencia estatal </w:t>
      </w:r>
      <w:r w:rsidRPr="0085709A">
        <w:rPr>
          <w:i/>
        </w:rPr>
        <w:t>ex</w:t>
      </w:r>
      <w:r>
        <w:t xml:space="preserve"> art. 149.1.13 CE: “la ordenación general de la economía hace posible la intervención del Estado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Así, el primer límite asegura que el ejercicio de la competencia estatal no elimina por completo la competencia autonómica colindante y la segunda de las condiciones, al requerir que haya un principio al que se encamine la intervención estatal y que ésta llegue solo hasta donde lo exija aquél, refleja el carácter directivo como nota que identifica las bases de la planificación general de la actividad económica y las distingue de la noción general de bases”.</w:t>
      </w:r>
    </w:p>
    <w:p w:rsidR="0085709A" w:rsidRDefault="0085709A" w:rsidP="0085709A">
      <w:pPr>
        <w:pStyle w:val="TextoNormal"/>
      </w:pPr>
    </w:p>
    <w:p w:rsidR="0085709A" w:rsidRDefault="0085709A" w:rsidP="0085709A">
      <w:pPr>
        <w:pStyle w:val="TextoNormal"/>
      </w:pPr>
      <w:r w:rsidRPr="0085709A">
        <w:rPr>
          <w:rStyle w:val="NumeroAFNegritaCaracter"/>
        </w:rPr>
        <w:t>3</w:t>
      </w:r>
      <w:r>
        <w:t>. Asimismo, dado que en el presente conflicto se plantean cuestiones relacionadas con la utilización de la supraterritorialidad como criterio de atribución de competencias al Estado, será útil aludir a nuestra doctrina al respecto, recordada en la STC 27/2014, de 13 de febrero, FJ 4, en los términos siguientes:</w:t>
      </w:r>
    </w:p>
    <w:p w:rsidR="0085709A" w:rsidRDefault="0085709A" w:rsidP="0085709A">
      <w:pPr>
        <w:pStyle w:val="TextoNormal"/>
      </w:pPr>
    </w:p>
    <w:p w:rsidR="0085709A" w:rsidRDefault="0085709A" w:rsidP="0085709A">
      <w:pPr>
        <w:pStyle w:val="TextoNormal"/>
      </w:pPr>
      <w:r>
        <w:t xml:space="preserve">“En suma, las actuaciones ejecutivas autonómicas, por el hecho de que generen consecuencias más allá del territorio de las Comunidades Autónomas que hubieren de adoptarlas por estar así previsto en sus Estatutos de Autonomía, no revierten, en principio, al Estado como consecuencia de tal efecto supraterritorial, pues semejante traslado de la titularidad </w:t>
      </w:r>
      <w:r>
        <w:lastRenderedPageBreak/>
        <w:t>no puede ser considerado la regla general. Por el contrario, la utilización de la supraterritorialidad como criterio determinante para la atribución o el traslado de la titularidad de competencias al Estado en ámbitos, en principio, reservados a las competencias autonómicas tiene, según nuestra doctrina, carácter excepcional, de manera que sólo podrá tener lugar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(STC 35/2012, FJ 5, con cita de la STC 194/2011, FJ 5).</w:t>
      </w:r>
    </w:p>
    <w:p w:rsidR="0085709A" w:rsidRDefault="0085709A" w:rsidP="0085709A">
      <w:pPr>
        <w:pStyle w:val="TextoNormal"/>
      </w:pPr>
    </w:p>
    <w:p w:rsidR="0085709A" w:rsidRDefault="0085709A" w:rsidP="0085709A">
      <w:pPr>
        <w:pStyle w:val="TextoNormal"/>
      </w:pPr>
      <w:r>
        <w:t>Así pues, de la doctrina que se ha expuesto resulta que, si bien el desplazamiento de las competencias autonómicas y su asunción por el Estado en supuestos de supraterritorialidad no está constitucionalmente impedida, sí que reviste un carácter excepcional, pues la regla general, en el caso de competencias ejecutivas como las que en el presente proceso se ponen en cuestión, será su asunción por las Comunidades Autónomas en los casos en los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194/2011, FJ 6), como a que se establezca un criterio de delimitación competencial congruente con el régimen jurídico de la materia de que se trate (en los mismos términos, STC 95/2013, FJ 9).”</w:t>
      </w:r>
    </w:p>
    <w:p w:rsidR="0085709A" w:rsidRDefault="0085709A" w:rsidP="0085709A">
      <w:pPr>
        <w:pStyle w:val="TextoNormal"/>
      </w:pPr>
    </w:p>
    <w:p w:rsidR="0085709A" w:rsidRDefault="0085709A" w:rsidP="0085709A">
      <w:pPr>
        <w:pStyle w:val="TextoNormal"/>
      </w:pPr>
      <w:r w:rsidRPr="0085709A">
        <w:rPr>
          <w:rStyle w:val="NumeroAFNegritaCaracter"/>
        </w:rPr>
        <w:t>4</w:t>
      </w:r>
      <w:r>
        <w:t>. Conforme a dicha delimitación competencial podemos ya resolver el recurso comenzado por el artículo 3, apartados 2 y 3, que disponen lo siguiente:</w:t>
      </w:r>
    </w:p>
    <w:p w:rsidR="0085709A" w:rsidRDefault="0085709A" w:rsidP="0085709A">
      <w:pPr>
        <w:pStyle w:val="TextoNormal"/>
      </w:pPr>
    </w:p>
    <w:p w:rsidR="0085709A" w:rsidRDefault="0085709A" w:rsidP="0085709A">
      <w:pPr>
        <w:pStyle w:val="TextoNormal"/>
      </w:pPr>
      <w:r>
        <w:t>“Artículo 3. Condiciones para el reconocimiento de las entidades asociativas prioritarias…</w:t>
      </w:r>
    </w:p>
    <w:p w:rsidR="0085709A" w:rsidRDefault="0085709A" w:rsidP="0085709A">
      <w:pPr>
        <w:pStyle w:val="TextoNormal"/>
      </w:pPr>
    </w:p>
    <w:p w:rsidR="0085709A" w:rsidRDefault="0085709A" w:rsidP="0085709A">
      <w:pPr>
        <w:pStyle w:val="TextoNormal"/>
      </w:pPr>
      <w:r>
        <w:t>2. A solicitud de la entidad interesada, el Ministerio de Agricultura, Alimentación y Medio Ambiente procederá al reconocimiento de la entidad asociativa prioritaria, conforme al procedimiento que se establezca reglamentariamente.</w:t>
      </w:r>
    </w:p>
    <w:p w:rsidR="0085709A" w:rsidRDefault="0085709A" w:rsidP="0085709A">
      <w:pPr>
        <w:pStyle w:val="TextoNormal"/>
      </w:pPr>
    </w:p>
    <w:p w:rsidR="0085709A" w:rsidRDefault="0085709A" w:rsidP="0085709A">
      <w:pPr>
        <w:pStyle w:val="TextoNormal"/>
      </w:pPr>
      <w:r>
        <w:t>3. Las entidades asociativas agroalimentarias reconocidas como prioritarias, las entidades que las integren y los productores que formen parte de las mismas, que no cumplan con los requisitos exigidos para mantener su condición, no podrán beneficiarse de las ayudas y beneficios previstos en las normas reguladoras de su concesión. Reglamentariamente se determinará la forma y condiciones en que se deba acreditar el mantenimiento de los requisitos y las consecuencias de su pérdida.”</w:t>
      </w:r>
    </w:p>
    <w:p w:rsidR="0085709A" w:rsidRDefault="0085709A" w:rsidP="0085709A">
      <w:pPr>
        <w:pStyle w:val="TextoNormal"/>
      </w:pPr>
    </w:p>
    <w:p w:rsidR="0085709A" w:rsidRDefault="0085709A" w:rsidP="0085709A">
      <w:pPr>
        <w:pStyle w:val="TextoNormal"/>
      </w:pPr>
      <w:r>
        <w:t xml:space="preserve">A la luz de la doctrina constitucional expuesta y, al objeto de resolver la controversia competencial planteada sobre estos dos preceptos, debemos examinar si es posible encuadrarlos en el título competencial sobre las bases y coordinación de la planificación general </w:t>
      </w:r>
      <w:r>
        <w:lastRenderedPageBreak/>
        <w:t>de la actividad económica (art. 149.1.13 CE), para lo cual hay que determinar, en primer lugar, la finalidad de la norma estatal en la que se insertan para posteriormente examinar si existen razones que justifiquen la atribución al Estado de las funciones ejecutivas controvertidas, atendiendo “tanto al contenido de los preceptos impugnados, dentro del marco jurídico en el que se insertan, como a los argumentos aportados por el Abogado del Estado para fundamentar tal excepcionalidad” (STC 61/2015, de 18 de marzo, FJ 4).</w:t>
      </w:r>
    </w:p>
    <w:p w:rsidR="0085709A" w:rsidRDefault="0085709A" w:rsidP="0085709A">
      <w:pPr>
        <w:pStyle w:val="TextoNormal"/>
      </w:pPr>
    </w:p>
    <w:p w:rsidR="0085709A" w:rsidRDefault="0085709A" w:rsidP="0085709A">
      <w:pPr>
        <w:pStyle w:val="TextoNormal"/>
      </w:pPr>
      <w:r>
        <w:t>Ya hemos señalado que, según su exposición de motivos, la finalidad de la Ley 13/2013 es fomentar “la integración y la potenciación de grupos comercializadores de base cooperativa y asociativa, con implantación y ámbito de actuación superior al de una comunidad autónoma, que resulten capaces de operar en toda la cadena agroalimentaria, tanto en los mercados nacionales como en los internacionales y que contribuyan a mejorar la renta de los agricultores y consolidar un tejido industrial agroalimentario en nuestras zonas rurales”. Para la consecución de dicha finalidad de fomento de la integración cooperativa y asociativa para así incrementar la capacidad comercializadora y económica del sector productor se utiliza la figura de la denominada entidad asociativa agroalimentaria prioritaria, a través de la que se promueve el impulso y fomento de la fusión o integración cooperativa para favorecer su competitividad, modernización e internacionalización. En concreto, la condición de entidad asociativa agroalimentaria prioritaria supone el reconocimiento de preferencia, que no puede tener carácter absoluto, en el otorgamiento de las ayudas o subvenciones previstas en el art. 4 de la Ley 13/2013 y que podrán ser financiadas por la Administración general del Estado y por las Comunidades Autónomas en los términos del artículo 6.</w:t>
      </w:r>
    </w:p>
    <w:p w:rsidR="0085709A" w:rsidRDefault="0085709A" w:rsidP="0085709A">
      <w:pPr>
        <w:pStyle w:val="TextoNormal"/>
      </w:pPr>
    </w:p>
    <w:p w:rsidR="0085709A" w:rsidRDefault="0085709A" w:rsidP="0085709A">
      <w:pPr>
        <w:pStyle w:val="TextoNormal"/>
      </w:pPr>
      <w:r>
        <w:t>A estos efectos pueden gozar de la condición de entidad asociativa prioritaria, conforme al art. 1.3 de la Ley 13/2013, “las sociedades cooperativas, las cooperativas de segundo grado, los grupos cooperativos, las sociedades agrarias de transformación, las organizaciones de productores con personalidad jurídica propia, reconocidas de acuerdo con la normativa comunitaria en el ámbito de la Política Agraria Común y las entidades civiles o mercantiles, siempre que más del 50 por 100 de su capital social pertenezca a sociedades cooperativas, a organizaciones de productores o a sociedades agrarias de transformación”. Para gozar de dicha condición han de cumplir, además, los siguientes requisitos: tener implantación y un ámbito de actuación económico que sean de carácter supraautonómico; llevar a cabo la comercialización conjunta de la totalidad de la producción; tener el volumen de facturación determinado en el Real Decreto 550/2014 y establecer previsiones relativas al funcionamiento democrático de la entidad, evitando la posición de dominio de uno o varios de sus miembros.</w:t>
      </w:r>
    </w:p>
    <w:p w:rsidR="0085709A" w:rsidRDefault="0085709A" w:rsidP="0085709A">
      <w:pPr>
        <w:pStyle w:val="TextoNormal"/>
      </w:pPr>
    </w:p>
    <w:p w:rsidR="0085709A" w:rsidRDefault="0085709A" w:rsidP="0085709A">
      <w:pPr>
        <w:pStyle w:val="TextoNormal"/>
      </w:pPr>
      <w:r>
        <w:t>Es claro que el fomento en el sector de las entidades asociativas agroalimentarias así definidas para incrementar su tamaño e, indirectamente, su competitividad es una finalidad que puede legítimamente perseguirse con fundamento en el art. 149.1.13 CE, sin que haya sido discutida por la Generalitat de Cataluña. La cuestión a dilucidar es si para ello es ineludible la centralización de las funciones ejecutivas que se derivan de los artículos 3.2 y 3.3.</w:t>
      </w:r>
    </w:p>
    <w:p w:rsidR="0085709A" w:rsidRDefault="0085709A" w:rsidP="0085709A">
      <w:pPr>
        <w:pStyle w:val="TextoNormal"/>
      </w:pPr>
    </w:p>
    <w:p w:rsidR="0085709A" w:rsidRDefault="0085709A" w:rsidP="0085709A">
      <w:pPr>
        <w:pStyle w:val="TextoNormal"/>
      </w:pPr>
      <w:r>
        <w:t xml:space="preserve">El art. 149.1.13 CE puede en determinados casos justificar la reserva de funciones ejecutivas al Estado y también permitir el uso de la supraterritorialidad como título atributivo de competencias al Estado, pero para que dicho supuesto pueda ser considerado conforme </w:t>
      </w:r>
      <w:r>
        <w:lastRenderedPageBreak/>
        <w:t>al orden competencial han de cumplirse dos condiciones: que resulte preciso que la actuación de que se trate quede reservada al Estado para garantizar así el cumplimento de la finalidad de ordenación económica que se persigue, la cual no podría conseguirse sin dicha reserva, y, por otro lado, que el uso del criterio supraterritorial resulte justificado en los términos de nuestra doctrina, esto es, atendiendo tanto a las razones aportadas como a la congruencia de la reserva de la función con el régimen de la norma.</w:t>
      </w:r>
    </w:p>
    <w:p w:rsidR="0085709A" w:rsidRDefault="0085709A" w:rsidP="0085709A">
      <w:pPr>
        <w:pStyle w:val="TextoNormal"/>
      </w:pPr>
    </w:p>
    <w:p w:rsidR="0085709A" w:rsidRDefault="0085709A" w:rsidP="0085709A">
      <w:pPr>
        <w:pStyle w:val="TextoNormal"/>
      </w:pPr>
      <w:r>
        <w:t>Ninguna de las dos condiciones se cumple en el caso del artículo 3.2.</w:t>
      </w:r>
    </w:p>
    <w:p w:rsidR="0085709A" w:rsidRDefault="0085709A" w:rsidP="0085709A">
      <w:pPr>
        <w:pStyle w:val="TextoNormal"/>
      </w:pPr>
    </w:p>
    <w:p w:rsidR="0085709A" w:rsidRDefault="0085709A" w:rsidP="0085709A">
      <w:pPr>
        <w:pStyle w:val="TextoNormal"/>
      </w:pPr>
      <w:r>
        <w:t>En esencia el Abogado del Estado ha sostenido que cada decisión individual reconociendo a una determinada entidad la condición de prioritaria afecta a la ordenación general del sector agrario, por lo que, dado el objetivo que la Ley 13/2013 persigue, es necesario que este tipo de actuaciones permanezca en manos estatales, pero no ha justificado las razones por las que es imprescindible llevar la uniformidad a tal extremo en un ámbito de fomento del asociacionismo agrario en el que las potestades normativas permanecen indiscutidamente en manos del Estado.</w:t>
      </w:r>
    </w:p>
    <w:p w:rsidR="0085709A" w:rsidRDefault="0085709A" w:rsidP="0085709A">
      <w:pPr>
        <w:pStyle w:val="TextoNormal"/>
      </w:pPr>
    </w:p>
    <w:p w:rsidR="0085709A" w:rsidRDefault="0085709A" w:rsidP="0085709A">
      <w:pPr>
        <w:pStyle w:val="TextoNormal"/>
      </w:pPr>
      <w:r>
        <w:t>Como se desprende de la propia Ley 13/2013, el reconocimiento de la condición de entidad prioritaria se traduce en permitir que la entidad así calificada pueda participar en procesos de convocatoria de las ayudas públicas a los que se refiere la Ley, disfrutando de una situación de preferencia. En ese sentido, no ha resultado controvertido que la Ley 13/2013 asigne al Estado la fijación de la totalidad de los aspectos relativos a los requisitos para disfrutar de la condición de prioritarias así como el desarrollo del procedimiento correspondiente para su reconocimiento. De hecho, tanto la Ley 13/2013 (art. 3.1) como su desarrollo reglamentario en el Real Decreto 550/2014 establecen reglas precisas respecto a las condiciones que han de cumplir las entidades que aspiren a dicha calificación. De modo que, desde la perspectiva del art. 149.1.13 CE, no existe elemento alguno que justifique excluir a las Comunidades Autónomas de las decisiones de aplicación de la norma estatal mediante la tramitación y resolución del citado procedimiento de reconocimiento. No se acredita motivo alguno que convierta en indispensable la centralización estatal del acto de reconocimiento a efectos de la consecución de la finalidad de la norma. Se trata de una tarea esencialmente instrumental y, por tanto, ejecutiva, en virtud de la cual la administración competente verifica y acredita que la entidad asociativa reúne los requisitos fijados para disfrutar de preferencia en la obtención de la financiación pública. Dicho en otros términos, dado que la finalidad que se persigue es el fomento del asociacionismo agrario para incrementar la dimensión de las entidades, estableciendo para ello futuras condiciones de preferencia en determinadas ayudas y subvenciones públicas, esa medida de ordenación económica no exige la reserva de funciones ejecutivas al Estado pues la finalidad de fomento no se ve impedida por la atribución a las Comunidades Autónomas de la potestad ejecutiva de reconocimiento, que, en todo caso, se traducirá, en última instancia, en un régimen de gestión de ayudas y subvenciones que deberá ajustarse a los términos establecidos por la doctrina de este Tribunal (por todas, STC 13/1992, de 6 de febrero, FJ 8).</w:t>
      </w:r>
    </w:p>
    <w:p w:rsidR="0085709A" w:rsidRDefault="0085709A" w:rsidP="0085709A">
      <w:pPr>
        <w:pStyle w:val="TextoNormal"/>
      </w:pPr>
    </w:p>
    <w:p w:rsidR="0085709A" w:rsidRDefault="0085709A" w:rsidP="0085709A">
      <w:pPr>
        <w:pStyle w:val="TextoNormal"/>
      </w:pPr>
      <w:r>
        <w:t>No resultan evidentes tampoco las razones que justificarían la utilización de la supraterritorialidad como criterio determinante para la atribución de competencias al Estado, sin que el Abogado del Estado haya hecho alusión alguna al respecto. El legislador estatal ha conectado inmediatamente el carácter supraautonómico de las potenciales entidades deman</w:t>
      </w:r>
      <w:r>
        <w:lastRenderedPageBreak/>
        <w:t>dantes de ayudas y subvenciones al amparo del régimen jurídico de la norma con la preceptiva necesidad de que su reconocimiento como entidades prioritarias sea realizado por la Administración estatal. Una equivalencia que es contraria a la doctrina que determina la necesaria existencia de razones que justificarían la excepcionalidad de esta decisión unitaria de carácter centralizado. En otras palabras, y como afirmamos en las STC 194/2011, de 13 de diciembre, FJ 6, y 53/2012, de 15 de marzo, FJ 5, bien que en relación a materias distintas a la ahora examinada, “el recurso a la técnica del desplazamiento de competencias al Estado, en el caso de efectos extraterritoriales del ejercicio de la competencia ejecutiva autonómica, no puede ser asumido como solución sin más”.</w:t>
      </w:r>
    </w:p>
    <w:p w:rsidR="0085709A" w:rsidRDefault="0085709A" w:rsidP="0085709A">
      <w:pPr>
        <w:pStyle w:val="TextoNormal"/>
      </w:pPr>
    </w:p>
    <w:p w:rsidR="0085709A" w:rsidRDefault="0085709A" w:rsidP="0085709A">
      <w:pPr>
        <w:pStyle w:val="TextoNormal"/>
      </w:pPr>
      <w:r>
        <w:t>Ya hemos establecido que la centralización estatal de determinadas funciones ejecutivas tan solo, y de forma excepcional, sería válida cuando se acreditara que se convierte en la única vía posible para alcanzar la finalidad de una ley dictada al amparo de un título competencial legítimo, circunstancia que ya hemos comprobado que no concurre, y que en ningún caso deriva del posible carácter supraautonómico o supraterritorial de las entidades que pueden concurrir a las ayudas a convocar. Se trata, entonces, de una materia que, en la medida en que ha de limitarse a una labor aplicativa de los requisitos establecidos por el Estado con la precisión que estime conveniente, admite su ejercicio por las Comunidades Autónomas (en un sentido similar, STC 25/2015, de 19 de febrero, FJ 5, en relación con las becas de movilidad, y la ya citada STC 61/2015, FJ 4, respecto a los certificados de profesionalidad en soporte telemático), sin que, por tanto, sea preciso atribuirla a un único titular. Como señala la STC 27/2014, de 13 de febrero, FJ 5, con cita de la STC 111/2012, de 24 de mayo, FJ 11: “Precisamente el dato de que la competencia normativa del Estado en esta materia sea completa, sin que quede ningún espacio de regulación externa a las Comunidades Autónomas, que sólo disponen de una competencia de ejecución, quedando por ello garantizada en tan alto grado la unidad de acción, determina que deba apreciarse de forma mucho más restrictiva la excepcionalidad justificadora de la permanencia en el acervo estatal de facultades ejecutivas, que este Tribunal admite sólo para supuestos tasados (STC 195/1996, de 28 de noviembre, FJ 11)”. La reserva de funciones ejecutivas tampoco es congruente con el resto de la regulación pues, como ya hemos apreciado, únicamente se traduce en la concesión de un régimen de preferencia a concretar por las bases de convocatoria de determinadas ayudas y subvenciones, sometidas en todo caso a su regulación específica.</w:t>
      </w:r>
    </w:p>
    <w:p w:rsidR="0085709A" w:rsidRDefault="0085709A" w:rsidP="0085709A">
      <w:pPr>
        <w:pStyle w:val="TextoNormal"/>
      </w:pPr>
    </w:p>
    <w:p w:rsidR="0085709A" w:rsidRDefault="0085709A" w:rsidP="0085709A">
      <w:pPr>
        <w:pStyle w:val="TextoNormal"/>
      </w:pPr>
      <w:r>
        <w:t>Por último, y aunque no ha sido alegado por el Abogado del Estado, ha de advertirse que el riesgo de fraccionamiento de la actividad pública no existe, pues, en todo caso, siempre sería posible que el Estado, en uso de sus competencias, determine el punto de conexión en función del cual se fije la instancia territorial competente.</w:t>
      </w:r>
    </w:p>
    <w:p w:rsidR="0085709A" w:rsidRDefault="0085709A" w:rsidP="0085709A">
      <w:pPr>
        <w:pStyle w:val="TextoNormal"/>
      </w:pPr>
    </w:p>
    <w:p w:rsidR="0085709A" w:rsidRDefault="0085709A" w:rsidP="0085709A">
      <w:pPr>
        <w:pStyle w:val="TextoNormal"/>
      </w:pPr>
      <w:r>
        <w:t xml:space="preserve">Lo anteriormente expuesto nos lleva a considerar que, en este caso, no ha quedado acreditado que las actuaciones controvertidas deban ser necesariamente realizadas por el Estado, con lo que el artículo 3.2 excede de las competencias estatales </w:t>
      </w:r>
      <w:r w:rsidRPr="0085709A">
        <w:rPr>
          <w:i/>
        </w:rPr>
        <w:t>ex</w:t>
      </w:r>
      <w:r>
        <w:t xml:space="preserve"> art. 149.1.13 CE, siendo inconstitucional y nulo.</w:t>
      </w:r>
    </w:p>
    <w:p w:rsidR="0085709A" w:rsidRDefault="0085709A" w:rsidP="0085709A">
      <w:pPr>
        <w:pStyle w:val="TextoNormal"/>
      </w:pPr>
    </w:p>
    <w:p w:rsidR="0085709A" w:rsidRDefault="0085709A" w:rsidP="0085709A">
      <w:pPr>
        <w:pStyle w:val="TextoNormal"/>
      </w:pPr>
      <w:r>
        <w:t xml:space="preserve">Distinta ha de ser nuestra conclusión, sin embargo, por lo que respecta al artículo 3.3. Este precepto fija una cláusula general que prescribe el mantenimiento a lo largo del tiempo del carácter prioritario de las entidades, como requisito indispensable para poder acceder al régimen de los beneficios y ayudas que se determinen en las correspondientes convocatorias. Sin embargo no hace mención alguna al órgano administrativo a quien corresponde el </w:t>
      </w:r>
      <w:r>
        <w:lastRenderedPageBreak/>
        <w:t>ejercicio de las funciones de verificación de los requisitos para el mantenimiento de esa consideración como entidad asociativa prioritaria y, por tanto, no impide que esa función sea asumida por las Comunidades Autónomas, lo que, en esos términos, permite excluir la vulneración denunciada.</w:t>
      </w:r>
    </w:p>
    <w:p w:rsidR="0085709A" w:rsidRDefault="0085709A" w:rsidP="0085709A">
      <w:pPr>
        <w:pStyle w:val="TextoNormal"/>
      </w:pPr>
    </w:p>
    <w:p w:rsidR="0085709A" w:rsidRDefault="0085709A" w:rsidP="0085709A">
      <w:pPr>
        <w:pStyle w:val="TextoNormal"/>
      </w:pPr>
      <w:r w:rsidRPr="0085709A">
        <w:rPr>
          <w:rStyle w:val="NumeroAFNegritaCaracter"/>
        </w:rPr>
        <w:t>5</w:t>
      </w:r>
      <w:r>
        <w:t>. Debemos examinar ahora el artículo 5 relativo al registro nacional de entidades asociativas prioritarias, precepto que dispone lo siguiente:</w:t>
      </w:r>
    </w:p>
    <w:p w:rsidR="0085709A" w:rsidRDefault="0085709A" w:rsidP="0085709A">
      <w:pPr>
        <w:pStyle w:val="TextoNormal"/>
      </w:pPr>
    </w:p>
    <w:p w:rsidR="0085709A" w:rsidRDefault="0085709A" w:rsidP="0085709A">
      <w:pPr>
        <w:pStyle w:val="TextoNormal"/>
      </w:pPr>
      <w:r>
        <w:t>“Artículo 5. Creación y funcionamiento.</w:t>
      </w:r>
    </w:p>
    <w:p w:rsidR="0085709A" w:rsidRDefault="0085709A" w:rsidP="0085709A">
      <w:pPr>
        <w:pStyle w:val="TextoNormal"/>
      </w:pPr>
    </w:p>
    <w:p w:rsidR="0085709A" w:rsidRDefault="0085709A" w:rsidP="0085709A">
      <w:pPr>
        <w:pStyle w:val="TextoNormal"/>
      </w:pPr>
      <w:r>
        <w:t>1. Se crea en el Ministerio de Agricultura, Alimentación y Medio Ambiente, adscrito a la Dirección General de la Industria Alimentaria, un Registro Nacional de Entidades Asociativas Prioritarias, en el que se inscribirán las entidades de esta naturaleza reconocidas de acuerdo con lo establecido en la presente ley y en su reglamento de desarrollo.</w:t>
      </w:r>
    </w:p>
    <w:p w:rsidR="0085709A" w:rsidRDefault="0085709A" w:rsidP="0085709A">
      <w:pPr>
        <w:pStyle w:val="TextoNormal"/>
      </w:pPr>
    </w:p>
    <w:p w:rsidR="0085709A" w:rsidRDefault="0085709A" w:rsidP="0085709A">
      <w:pPr>
        <w:pStyle w:val="TextoNormal"/>
      </w:pPr>
      <w:r>
        <w:t>2. La inscripción en el registro supondrá la incorporación al mismo tanto de los datos correspondientes a la entidad asociativa prioritaria, como de los relativos a las entidades asociativas que la integran y la relación de productores que forman parte de las mismas, con sujeción a lo dispuesto en la Ley Orgánica 15/1999, de 13 de diciembre, de Protección de Datos de Carácter Personal.</w:t>
      </w:r>
    </w:p>
    <w:p w:rsidR="0085709A" w:rsidRDefault="0085709A" w:rsidP="0085709A">
      <w:pPr>
        <w:pStyle w:val="TextoNormal"/>
      </w:pPr>
    </w:p>
    <w:p w:rsidR="0085709A" w:rsidRDefault="0085709A" w:rsidP="0085709A">
      <w:pPr>
        <w:pStyle w:val="TextoNormal"/>
      </w:pPr>
      <w:r>
        <w:t>3. Las anteriores inscripciones en el Registro se realizarán a petición de la entidad asociativa prioritaria y una vez comprobado por el Ministerio el cumplimiento de los requisitos establecidos.</w:t>
      </w:r>
    </w:p>
    <w:p w:rsidR="0085709A" w:rsidRDefault="0085709A" w:rsidP="0085709A">
      <w:pPr>
        <w:pStyle w:val="TextoNormal"/>
      </w:pPr>
    </w:p>
    <w:p w:rsidR="0085709A" w:rsidRDefault="0085709A" w:rsidP="0085709A">
      <w:pPr>
        <w:pStyle w:val="TextoNormal"/>
      </w:pPr>
      <w:r>
        <w:t>4. Los responsables de las entidades asociativas prioritarias vendrán obligados a comunicar al Ministerio los cambios que pudieran afectar a su condición de prioritarias cuando se produzcan. Adicionalmente, con carácter anual, procederán a actualizar la relación de productores que forman parte de las mismas.</w:t>
      </w:r>
    </w:p>
    <w:p w:rsidR="0085709A" w:rsidRDefault="0085709A" w:rsidP="0085709A">
      <w:pPr>
        <w:pStyle w:val="TextoNormal"/>
      </w:pPr>
    </w:p>
    <w:p w:rsidR="0085709A" w:rsidRDefault="0085709A" w:rsidP="0085709A">
      <w:pPr>
        <w:pStyle w:val="TextoNormal"/>
      </w:pPr>
      <w:r>
        <w:t>5. Se regulará reglamentariamente el procedimiento y condiciones para la inscripción y baja de las entidades, en el Registro así como el proceso a desarrollar para su control, mantenimiento y actualización.”</w:t>
      </w:r>
    </w:p>
    <w:p w:rsidR="0085709A" w:rsidRDefault="0085709A" w:rsidP="0085709A">
      <w:pPr>
        <w:pStyle w:val="TextoNormal"/>
      </w:pPr>
    </w:p>
    <w:p w:rsidR="0085709A" w:rsidRDefault="0085709A" w:rsidP="0085709A">
      <w:pPr>
        <w:pStyle w:val="TextoNormal"/>
      </w:pPr>
      <w:r>
        <w:t>La Generalitat de Cataluña no cuestiona la existencia del registro estatal pero alega que su regulación omite cualquier tipo de intervención de las Administraciones autonómicas con competencias en la materia, sin aportar ningún elemento del que se deduzca la necesidad de centralizar las funciones ejecutivas de carácter registral y que se configura en torno a la relación entre el Ministerio y las entidades del sector acreditadas como prioritarias. Por el contrario, el Abogado del Estado ha sostenido que el funcionamiento y gestión del registro administrativo constituye una actividad que, en el marco de los objetivos de ordenación general perseguidos por la norma, demanda una gestión única.</w:t>
      </w:r>
    </w:p>
    <w:p w:rsidR="0085709A" w:rsidRDefault="0085709A" w:rsidP="0085709A">
      <w:pPr>
        <w:pStyle w:val="TextoNormal"/>
      </w:pPr>
    </w:p>
    <w:p w:rsidR="0085709A" w:rsidRDefault="0085709A" w:rsidP="0085709A">
      <w:pPr>
        <w:pStyle w:val="TextoNormal"/>
      </w:pPr>
      <w:r>
        <w:t xml:space="preserve">Esta queja se presenta vinculada a la que se formula respecto a la actividad ejecutiva de reconocimiento, de manera que debemos tener en cuenta las conclusiones allí alcanzadas, en el sentido de que el reconocimiento de la condición prioritaria de la entidad asociativa no es una actuación imprescindible para asegurar el cumplimiento de las bases, habida cuenta del carácter marcadamente reglado de tales actuaciones. A lo anterior ha de añadirse </w:t>
      </w:r>
      <w:r>
        <w:lastRenderedPageBreak/>
        <w:t>la consolidada doctrina constitucional en materia de registros administrativos a la que hace mención la STC 11/2015, FJ 6, de la que “se desprende, de un lado que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Aunque también hemos dicho, de otro,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(STC 243/1994, fundamento jurídico 6) [STC 197/1996, de 28 de noviembre, FJ 12]”.</w:t>
      </w:r>
    </w:p>
    <w:p w:rsidR="0085709A" w:rsidRDefault="0085709A" w:rsidP="0085709A">
      <w:pPr>
        <w:pStyle w:val="TextoNormal"/>
      </w:pPr>
    </w:p>
    <w:p w:rsidR="0085709A" w:rsidRDefault="0085709A" w:rsidP="0085709A">
      <w:pPr>
        <w:pStyle w:val="TextoNormal"/>
      </w:pPr>
      <w:r>
        <w:t>Conforme a la doctrina constitucional que se acaba de citar es indudable que el Estado está competencialmente habilitado para la creación de este Registro pero, al tratarse de un ámbito en el que ya hemos determinado que no ostenta competencias ejecutivas, ha de aceptar las propuestas de inscripción que le formulen las Comunidades Autónomas, sin que los órganos de la Administración general del Estado puedan asumir otras funciones ejecutivas que la mencionada inscripción, a partir de la información suministrada por las Comunidades Autónomas (en el mismo sentido, STC 223/2000, de 21 de septiembre, FJ 12). De lo anterior resulta que incurrirán en infracción del orden competencial aquellos aspectos del artículo 5 de los que se desprenda la centralización de las funciones ejecutivas en el Estado en términos opuestos a la doctrina que se acaba de recoger. Eso es lo que sucede con las referencias al “Ministerio” recogidas en el segundo inciso del apartado 3 “y una vez comprobado por el Ministerio el cumplimiento de los requisitos establecidos”, y con el inciso “vendrán obligados a comunicar al Ministerio”, del apartado 4, por lo que a tales referencias han de ser declaradas contrarias al orden constitucional de distribución de competencias y, por tanto, inconstitucionales y nulos.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Estimar parcialmente el presente recurso de inconstitucionalidad y, en consecuencia, declarar que son contrarios al orden constitucional de distribución de competencias y, por tanto, inconstitucionales y nulos el art. 3.2, y las menciones “por el Ministerio” del art. 5.3 y “al Ministerio” del art. 5.4 de la Ley 13/2013, de 2 de agosto, de fomento de la integración de cooperativas y de otras entidades asociativas de carácter agroalimentario.</w:t>
      </w:r>
    </w:p>
    <w:p w:rsidR="0085709A" w:rsidRDefault="0085709A" w:rsidP="0085709A">
      <w:pPr>
        <w:pStyle w:val="TextoNormal"/>
      </w:pPr>
    </w:p>
    <w:p w:rsidR="0085709A" w:rsidRDefault="0085709A" w:rsidP="0085709A">
      <w:pPr>
        <w:pStyle w:val="TextoNormal"/>
      </w:pPr>
      <w:r>
        <w:t>2º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treinta de abril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89" w:name="SENTENCIA_2015_86"/>
      <w:r>
        <w:lastRenderedPageBreak/>
        <w:t>SENTENCIA 86/2015, de 7 de mayo de 2015</w:t>
      </w:r>
    </w:p>
    <w:bookmarkEnd w:id="89"/>
    <w:p w:rsidR="0085709A" w:rsidRDefault="0085709A" w:rsidP="0085709A">
      <w:pPr>
        <w:pStyle w:val="TtuloResolucin"/>
      </w:pPr>
      <w:r>
        <w:t>Sala Primera</w:t>
      </w:r>
    </w:p>
    <w:p w:rsidR="0085709A" w:rsidRDefault="0085709A" w:rsidP="0085709A">
      <w:pPr>
        <w:pStyle w:val="TtuloBOE"/>
      </w:pPr>
      <w:r>
        <w:t>(BOE núm. 136, de 8 de junio de 2015)</w:t>
      </w:r>
    </w:p>
    <w:p w:rsidR="0085709A" w:rsidRDefault="0085709A" w:rsidP="0085709A">
      <w:pPr>
        <w:pStyle w:val="TextoNormalCentrado"/>
      </w:pPr>
      <w:r>
        <w:t>ECLI:ES:TC:2015:86</w:t>
      </w:r>
    </w:p>
    <w:p w:rsidR="0085709A" w:rsidRDefault="0085709A" w:rsidP="0085709A">
      <w:pPr>
        <w:pStyle w:val="TextoNormalCentrado"/>
      </w:pPr>
    </w:p>
    <w:p w:rsidR="0085709A" w:rsidRDefault="0085709A" w:rsidP="0085709A">
      <w:pPr>
        <w:pStyle w:val="SntesisDescriptiva"/>
      </w:pPr>
      <w:r>
        <w:t>Recurso de amparo electoral 2606-2015. Promovido por Ciudadanos-Partido de la Ciudadanía, en relación con la Sentencia del Juzgado de lo Contencioso-Administrativo núm. 1 de Guadalajara que dejó sin efecto la proclamación de su candidatura en la circunscripción electoral de Cantalojas.</w:t>
      </w:r>
    </w:p>
    <w:p w:rsidR="0085709A" w:rsidRDefault="0085709A" w:rsidP="0085709A">
      <w:pPr>
        <w:pStyle w:val="SntesisDescriptiva"/>
      </w:pPr>
    </w:p>
    <w:p w:rsidR="0085709A" w:rsidRDefault="0085709A" w:rsidP="0085709A">
      <w:pPr>
        <w:pStyle w:val="SntesisAnaltica"/>
      </w:pPr>
      <w:r>
        <w:t>Vulneración del derecho a acceder a los cargos públicos en condiciones de igualdad: anulación de una candidatura sin brindar la oportunidad de subsanar los defectos padecidos en su composición.</w:t>
      </w:r>
    </w:p>
    <w:p w:rsidR="0085709A" w:rsidRDefault="0085709A" w:rsidP="0085709A">
      <w:pPr>
        <w:pStyle w:val="SntesisAnaltica"/>
      </w:pPr>
    </w:p>
    <w:p w:rsidR="0085709A" w:rsidRDefault="0085709A" w:rsidP="0085709A">
      <w:pPr>
        <w:pStyle w:val="Extracto"/>
      </w:pPr>
      <w:r>
        <w:t>1.</w:t>
      </w:r>
      <w:r>
        <w:tab/>
        <w:t>Se estima el recurso de amparo, aunque no corresponde al Tribunal Constitucional proclamar candidaturas sino, sólo y exclusivamente, pronunciarse sobre la existencia o no de lesiones de derechos fundamentales en las decisiones adoptadas al respecto por los órganos legalmente competentes y de acuerdo con lo planteado ante los mismos (SSTC 103/1991, 100/2007) [FJ 6].</w:t>
      </w:r>
    </w:p>
    <w:p w:rsidR="0085709A" w:rsidRDefault="0085709A" w:rsidP="0085709A">
      <w:pPr>
        <w:pStyle w:val="Extracto"/>
      </w:pPr>
    </w:p>
    <w:p w:rsidR="0085709A" w:rsidRDefault="0085709A" w:rsidP="0085709A">
      <w:pPr>
        <w:pStyle w:val="Extracto"/>
      </w:pPr>
      <w:r>
        <w:t>2.</w:t>
      </w:r>
      <w:r>
        <w:tab/>
        <w:t>La cuestión principal en este recurso es analizar la falta de emplazamiento por el órgano judicial a la demandante en el proceso contencioso-electoral, en el que se anuló la proclamación de su candidatura, sin valorar, las posibles argumentaciones que podría haber realizado en el escrito de oposición al recurso contencioso-electoral interpuesto de contrario, le provocó una situación de indefensión material, con real y efectivo perjuicio para sus intereses (SSTC 71/1995, 115/2005, 109/2007) [FJ 2].</w:t>
      </w:r>
    </w:p>
    <w:p w:rsidR="0085709A" w:rsidRDefault="0085709A" w:rsidP="0085709A">
      <w:pPr>
        <w:pStyle w:val="Extracto"/>
      </w:pPr>
    </w:p>
    <w:p w:rsidR="0085709A" w:rsidRDefault="0085709A" w:rsidP="0085709A">
      <w:pPr>
        <w:pStyle w:val="Extracto"/>
      </w:pPr>
      <w:r>
        <w:t>3.</w:t>
      </w:r>
      <w:r>
        <w:tab/>
        <w:t>La ineficacia jurídica del acto de presentación de la candidatura procederá, de un defecto en el que incurrieron quienes la presentaron, mas no quiere la Ley que tal irregularidad depare en una sanción sin que antes se haga posible, mediante su identificación y advertencia de oficio, la oportuna reparación (SSTC 59/1987, 86/1987, 24/1989, 95/1991, 175/1991, 114/2007, 115/2007) [FJ 4].</w:t>
      </w:r>
    </w:p>
    <w:p w:rsidR="0085709A" w:rsidRDefault="0085709A" w:rsidP="0085709A">
      <w:pPr>
        <w:pStyle w:val="Extracto"/>
      </w:pPr>
    </w:p>
    <w:p w:rsidR="0085709A" w:rsidRDefault="0085709A" w:rsidP="0085709A">
      <w:pPr>
        <w:pStyle w:val="Extracto"/>
      </w:pPr>
      <w:r>
        <w:t>4.</w:t>
      </w:r>
      <w:r>
        <w:tab/>
        <w:t>Los defectos, en su día subsanables, que devengan definitivos e irreparables por el irregular funcionamiento de la Administración electoral, que debió advertirlo y no lo hizo, puede devenir en resultados gravosos para los partícipes del procedimiento electoral (STC 73/1986) [FJ 5].</w:t>
      </w:r>
    </w:p>
    <w:p w:rsidR="0085709A" w:rsidRDefault="0085709A" w:rsidP="0085709A">
      <w:pPr>
        <w:pStyle w:val="Extracto"/>
      </w:pPr>
    </w:p>
    <w:p w:rsidR="0085709A" w:rsidRDefault="0085709A" w:rsidP="0085709A">
      <w:pPr>
        <w:pStyle w:val="Extracto"/>
      </w:pPr>
      <w:r>
        <w:t>5.</w:t>
      </w:r>
      <w:r>
        <w:tab/>
        <w:t>La especial trascendencia constitucional es dada por el incumplimiento manifiesto a la doctrina constitucional sobre subsanación de errores en recursos electorales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electoral núm. 2606-2015, promovido por la representante de la candidatura de Ciudadanos-Partido de la Ciudadanía, representado por el Procurador de los Tribunales, don Andrés Beneytez Agudo y asistido por el Abogado don Alejandro Ruiz de Pedro, contra la Sentencia núm. 179/2015 de fecha de 4 de mayo de 2015 del Juzgado de lo Contencioso-Administrativo núm. 1 de Guadalajara, estimatoria del recurso contencioso-electoral interpuesto por el Partido Socialista Obrero Español (P.S.O.E) contra el acuerdo de la junta electoral de zona de Sigüenza de proclamación de la candidatura núm. 2 de Ciudadanos-Partido de la Ciudadanía en la circunscripción electoral de Cantalojas. Ha intervenido el Ministerio Fiscal. Ha sido Ponente la Magistrada doña Encarnación Roca Trías, quien expresa el parecer de la Sala.</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Juzgado de lo Contencioso-Administrativo núm. 1 de Guadalajara, el 6 de mayo de 2015, que tuvo entrada el mismo día en el Registro General del Tribunal Constitucional, se presentó por la representante de la candidatura Ciudadanos-Partido de la Ciudadanía, recurso de amparo contra la Sentencia dictada por el Juzgado de lo Contencioso-Administrativo núm. 1 de Guadalajara de 4 de mayo de 2015 que, estimando el recurso núm. 8-2015, interpuesto por el Partido Socialista Obrero Español (PSOE), declaró la nulidad de la resolución de 28 de abril de 2015 de la Junta Electoral de Zona de Sigüenza y dejó sin efecto la proclamación de la candidatura de éste para las elecciones municipales de 2015, en la circunscripción de Cantalojas (Guadalajara).</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del presente recurso son los siguientes:</w:t>
      </w:r>
    </w:p>
    <w:p w:rsidR="0085709A" w:rsidRDefault="0085709A" w:rsidP="0085709A">
      <w:pPr>
        <w:pStyle w:val="TextoNormal"/>
      </w:pPr>
    </w:p>
    <w:p w:rsidR="0085709A" w:rsidRDefault="0085709A" w:rsidP="0085709A">
      <w:pPr>
        <w:pStyle w:val="TextoNormal"/>
      </w:pPr>
      <w:r>
        <w:t>a) Ciudadanos-Partido de la Ciudadanía presenta una candidatura integrada por cinco candidatos y un suplente en la circunscripción electoral de Cantalojas para las elecciones municipales convocadas por Real Decreto 233/2015, de 30 de marzo. Dicha candidatura fue proclamada por acuerdo de la referida Junta Electoral publicado en el “Boletín Oficial de la Provincia de Guadalajara” núm. 51, de 28 de abril de 2015.</w:t>
      </w:r>
    </w:p>
    <w:p w:rsidR="0085709A" w:rsidRDefault="0085709A" w:rsidP="0085709A">
      <w:pPr>
        <w:pStyle w:val="TextoNormal"/>
      </w:pPr>
    </w:p>
    <w:p w:rsidR="0085709A" w:rsidRDefault="0085709A" w:rsidP="0085709A">
      <w:pPr>
        <w:pStyle w:val="TextoNormal"/>
      </w:pPr>
      <w:r>
        <w:t xml:space="preserve">b) El 30 de abril de 2015, el PSOE interpuso recurso contencioso-electoral contra dicho acuerdo de la Junta Electoral de Zona de Sigüenza por la que se proclama la candidatura Ciudadanos-Partido de la Ciudadanía, interesando que se deje sin efecto dicha proclamación por incumplir dicha candidatura lo dispuesto en el art. 184 a) de la Ley Orgánica del régimen electoral general (LOREG) que establece que cada partido, coalición, federación o agrupación podrá presentar una lista como máximo de cinco nombres si el municipio tiene entre 101 y 250 residentes. Se alega que dicha candidatura no debió ser proclamada por la Junta </w:t>
      </w:r>
      <w:r>
        <w:lastRenderedPageBreak/>
        <w:t>Electoral de Zona de Sigüenza que debió requerir en el período de subsanación al representante de la candidatura y al no hacerlo ha permitido que se proclamase una candidatura con más candidatos de los permitidos en la Ley.</w:t>
      </w:r>
    </w:p>
    <w:p w:rsidR="0085709A" w:rsidRDefault="0085709A" w:rsidP="0085709A">
      <w:pPr>
        <w:pStyle w:val="TextoNormal"/>
      </w:pPr>
    </w:p>
    <w:p w:rsidR="0085709A" w:rsidRDefault="0085709A" w:rsidP="0085709A">
      <w:pPr>
        <w:pStyle w:val="TextoNormal"/>
      </w:pPr>
      <w:r>
        <w:t>c) Por diligencia de ordenación de 4 de mayo de 2015 se da traslado de dicho escrito al Ministerio Fiscal. A pesar de que en la citada diligencia consta que se da traslado a la candidatura impugnada para que en el plazo de dos horas desde la notificación de dicha resolución, presenten las alegaciones oportunas, no figura en las actuaciones remitidas al Tribunal Constitucional por el Juzgado de lo Contencioso-Administrativo núm. 1 de Guadalajara, ningún documento donde figure la notificación de la impugnación.</w:t>
      </w:r>
    </w:p>
    <w:p w:rsidR="0085709A" w:rsidRDefault="0085709A" w:rsidP="0085709A">
      <w:pPr>
        <w:pStyle w:val="TextoNormal"/>
      </w:pPr>
    </w:p>
    <w:p w:rsidR="0085709A" w:rsidRDefault="0085709A" w:rsidP="0085709A">
      <w:pPr>
        <w:pStyle w:val="TextoNormal"/>
      </w:pPr>
      <w:r>
        <w:t>d) El Juzgado de lo Contencioso-Administrativo núm. 1 de Guadalajara estimó el referido recurso contencioso-electoral núm. 8-2015 contra el acuerdo de la Junta Electoral de Zona de Sigüenza, declarando la nulidad de la resolución y dejando sin efecto la proclamación de la candidatura Ciudadanos-Partido de la Ciudadanía para las elecciones municipales en la circunscripción electoral de Cantalojas, al apreciar que la misma incumple el art. 184 a) LOREG al aportar cinco candidatos más uno suplente, cuando el citado precepto establece que la lista puede tener como máximo cinco nombres.</w:t>
      </w:r>
    </w:p>
    <w:p w:rsidR="0085709A" w:rsidRDefault="0085709A" w:rsidP="0085709A">
      <w:pPr>
        <w:pStyle w:val="TextoNormal"/>
      </w:pPr>
    </w:p>
    <w:p w:rsidR="0085709A" w:rsidRDefault="0085709A" w:rsidP="0085709A">
      <w:pPr>
        <w:pStyle w:val="TextoNormal"/>
      </w:pPr>
      <w:r w:rsidRPr="0085709A">
        <w:rPr>
          <w:rStyle w:val="NumeroAFNegritaCaracter"/>
        </w:rPr>
        <w:t>3</w:t>
      </w:r>
      <w:r>
        <w:t>. En la demanda de amparo electoral se alega indefensión, por no haberse comunicado la interposición del recurso contra la proclamación de su candidatura. Asimismo, se aduce la vulneración del art. 23 CE, por no haberse dado plazo para subsanar la correspondiente irregularidad de la candidatura por la Junta Electoral de Zona, conforme al art. 47.2 LOREG, y por no haberse tenido en cuenta dicha circunstancia por la Sentencia recurrida, lo que comporta que no ha efectuado la interpretación de la legalidad más favorable a la eficacia del derecho de sufragio pasivo.</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diligencia de ordenación de 6 de mayo de 2015, el Secretario de Justicia de la Sala Primera de este Tribunal acordó, en conformidad con lo dispuesto en el acuerdo del Pleno de 20 de enero de 2000, recabar del Juzgado de lo Contencioso-Administrativo núm. 1 de Guadalajara el envío de las actuaciones correspondientes, incluidas las seguidas ante la Junta Electoral. Igualmente se acordó, con traslado de la demanda presentada, el emplazamiento del Ministerio Fiscal y del legal representante del Partido Socialista Obrero Español, para que comparezca y efectúe las alegaciones pertinentes.</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de 7 de mayo de 2015, la representación del PSOE formuló sus alegaciones solicitando la desestimación del recurso de amparo.</w:t>
      </w:r>
    </w:p>
    <w:p w:rsidR="0085709A" w:rsidRDefault="0085709A" w:rsidP="0085709A">
      <w:pPr>
        <w:pStyle w:val="TextoNormal"/>
      </w:pPr>
    </w:p>
    <w:p w:rsidR="0085709A" w:rsidRDefault="0085709A" w:rsidP="0085709A">
      <w:pPr>
        <w:pStyle w:val="TextoNormal"/>
      </w:pPr>
      <w:r>
        <w:t>Tras recordar que la parte recurrente en amparo ha aducido la jurisprudencia constitucional sobre la interpretación más favorable para la protección del derecho fundamental en juego y la posibilidad protegida en el art. 23.2 CE de subsanar las irregularidades que detecte la Administración electoral en la configuración de las candidaturas, considera que dicha jurisprudencia no es aplicable al supuesto de hecho ahora analizado.</w:t>
      </w:r>
    </w:p>
    <w:p w:rsidR="0085709A" w:rsidRDefault="0085709A" w:rsidP="0085709A">
      <w:pPr>
        <w:pStyle w:val="TextoNormal"/>
      </w:pPr>
    </w:p>
    <w:p w:rsidR="0085709A" w:rsidRDefault="0085709A" w:rsidP="0085709A">
      <w:pPr>
        <w:pStyle w:val="TextoNormal"/>
      </w:pPr>
      <w:r>
        <w:t xml:space="preserve">Explica que en el presente caso, el plazo de subsanación de las posibles irregularidades que impedían el ejercicio del derecho constitucional previsto en el art. 23.2 CE lo era, según establece en el art. 47.2 LOREG, durante los dos días siguientes a la publicación de las </w:t>
      </w:r>
      <w:r>
        <w:lastRenderedPageBreak/>
        <w:t>candidaturas en el “Boletín Oficial de la Provincial de Guadalajara”, es decir los días 23 y 24 de abril y durante estos días la Junta Electoral de Zona no advirtió la irregularidad, ni tampoco lo hizo de oficio la candidatura ahora recurrente, por lo que no se llevó a cabo la subsanación que habría consistido en la eliminación de uno de los candidatos para ajustar la candidatura a la Ley. Entiende que hay que interpretar la doctrina del Tribunal Constitucional en el sentido de que durante ese plazo de dos días, se podría haber modificado la candidatura haciendo desaparecer a unos de los candidatos pero no después, porque el art. 48.1 LOREG, establece que una vez presentadas las candidaturas no pueden ser objeto de modificación salvo en el plazo habilitado para la subsanación de irregularidades.</w:t>
      </w:r>
    </w:p>
    <w:p w:rsidR="0085709A" w:rsidRDefault="0085709A" w:rsidP="0085709A">
      <w:pPr>
        <w:pStyle w:val="TextoNormal"/>
      </w:pPr>
    </w:p>
    <w:p w:rsidR="0085709A" w:rsidRDefault="0085709A" w:rsidP="0085709A">
      <w:pPr>
        <w:pStyle w:val="TextoNormal"/>
      </w:pPr>
      <w:r>
        <w:t>Recuerda que el derecho afectado en un derecho de configuración legal por lo que debe ejercitarse siempre por los cauces que las leyes electorales establezcan, y en el caso presente el derecho fundamental que se invoca por el recurrente no se ha ejercitado siguiendo el proceso establecido en la LOREG, puesto que el propio recurrente presentó una candidatura contraria a la Ley y no subsanó los defectos en el plazo que la propia Ley le concede, pretendiendo que sea ahora el Tribunal Constitucional quién enmiende estos errores y subsane lo que el propio recurrente ha hecho mal y no ha subsanado en plazo.</w:t>
      </w:r>
    </w:p>
    <w:p w:rsidR="0085709A" w:rsidRDefault="0085709A" w:rsidP="0085709A">
      <w:pPr>
        <w:pStyle w:val="TextoNormal"/>
      </w:pPr>
    </w:p>
    <w:p w:rsidR="0085709A" w:rsidRDefault="0085709A" w:rsidP="0085709A">
      <w:pPr>
        <w:pStyle w:val="TextoNormal"/>
      </w:pPr>
      <w:r>
        <w:t>Por último, considera que puesto que lo que se solicita es que se declare contraria a Derecho la Sentencia dictada por el Juzgado de lo Contencioso-Administrativo de Guadalajara, esto daría lugar a que de hecho se declarase valida una candidatura de seis nombres en el municipio de Cantalojas, por parte de Ciudadanos-Partido de la Ciudadanía, lo que provocaría que la concurrencia electoral se hiciera con distintas armas que el resto de las candidaturas que solo han podido presentar cinco candidatos como máximo en cumplimiento de la ley.</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de 7 de mayo de 2015, el Ministerio Fiscal cumplimentó sus alegaciones solicitando el otorgamiento del amparo.</w:t>
      </w:r>
    </w:p>
    <w:p w:rsidR="0085709A" w:rsidRDefault="0085709A" w:rsidP="0085709A">
      <w:pPr>
        <w:pStyle w:val="TextoNormal"/>
      </w:pPr>
    </w:p>
    <w:p w:rsidR="0085709A" w:rsidRDefault="0085709A" w:rsidP="0085709A">
      <w:pPr>
        <w:pStyle w:val="TextoNormal"/>
      </w:pPr>
      <w:r>
        <w:t xml:space="preserve">Entiende procedente el amparo pues, a su juicio, de la documentación obrante se desprende la vulneración del derecho a la tutela judicial efectiva (art. 24.1 CE), como consecuencia de que el proceso contencioso-electoral ante el Juzgado de lo Contencioso-administrativo núm. 1 de Guadalajara, se ha seguido </w:t>
      </w:r>
      <w:r w:rsidRPr="0085709A">
        <w:rPr>
          <w:i/>
        </w:rPr>
        <w:t>inaudita parte</w:t>
      </w:r>
      <w:r>
        <w:t>, sin que la ahora parte demandante de amparo haya tenido conocimiento de su existencia; asimismo, considera que existió la vulneración del derecho de sufragio pasivo (art. 23.2 CE), a causa de que la junta electoral de zona no abrió el plazo de subsanación a que se refiere el art. 47.2 LOREG, ni tampoco lo ha llevado a cabo el órgano judicial.</w:t>
      </w:r>
    </w:p>
    <w:p w:rsidR="0085709A" w:rsidRDefault="0085709A" w:rsidP="0085709A">
      <w:pPr>
        <w:pStyle w:val="TextoNormal"/>
      </w:pPr>
    </w:p>
    <w:p w:rsidR="0085709A" w:rsidRDefault="0085709A" w:rsidP="0085709A">
      <w:pPr>
        <w:pStyle w:val="TextoNormal"/>
      </w:pPr>
      <w:r>
        <w:t xml:space="preserve">Recordando en primer lugar la doctrina constitucional sobre el derecho a la tutela judicial efectiva (art. 24 CE), dentro del cual se encuentra el derecho de todos de tener conocimiento de los procesos que afecten a sus intereses para personarse y poder realizar las alegaciones oportunas, explica que en el presente caso no se hizo emplazamiento alguno a la representante de la candidatura cuya proclamación se cuestionaba, ni consta que le hubiera sido conocida la interposición y pendencia del recurso contencioso-electoral en tiempo hábil para personarse en el procedimiento. De este modo el órgano judicial impidió la defensa de sus derechos, vulnerando el derecho fundamental reconocido en el art. 24.1 CE, con indefensión. Argumenta que debido a la perentoriedad de los plazos del proceso electoral no es </w:t>
      </w:r>
      <w:r>
        <w:lastRenderedPageBreak/>
        <w:t xml:space="preserve">posible la retroacción de actuaciones al momento procesal oportuno para que la representación del partido político solicitante de amparo sea citada al proceso y el Juzgado pueda dictar nueva Sentencia sin ocasionar indefensión. Recuerda que no compete al Tribunal pronunciarse acerca de si en este concreto caso la candidatura presentada cumple las exigencias impuestas en el art. 44 </w:t>
      </w:r>
      <w:r w:rsidRPr="0085709A">
        <w:rPr>
          <w:i/>
        </w:rPr>
        <w:t>bis</w:t>
      </w:r>
      <w:r>
        <w:t xml:space="preserve"> LOREG, al no ser ese el objeto del presente recurso de amparo;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0085709A" w:rsidRDefault="0085709A" w:rsidP="0085709A">
      <w:pPr>
        <w:pStyle w:val="TextoNormal"/>
      </w:pPr>
    </w:p>
    <w:p w:rsidR="0085709A" w:rsidRDefault="0085709A" w:rsidP="0085709A">
      <w:pPr>
        <w:pStyle w:val="TextoNormal"/>
      </w:pPr>
      <w:r>
        <w:t>Trae a colación la doctrina constitucional según la cual los errores e irregularidades cometidos en la presentación de candidaturas son subsanables y que, en consecuencia, las juntas electorales han de ofrecer la oportunidad de que las candidaturas en las que se han detectado lo hagan. Por ello, si por la Administración electoral se incumple este deber legal no dando ocasión a los interesados para la reparación de unos defectos que después llevan al rechazo de sus candidaturas, se habrá ignorado con ello una garantía dispuesta por la Ley Orgánica del régimen electoral general para la efectividad del derecho de sufragio pasivo que resultará así afectado negativamente.</w:t>
      </w:r>
    </w:p>
    <w:p w:rsidR="0085709A" w:rsidRDefault="0085709A" w:rsidP="0085709A">
      <w:pPr>
        <w:pStyle w:val="TextoNormal"/>
      </w:pPr>
    </w:p>
    <w:p w:rsidR="0085709A" w:rsidRDefault="0085709A" w:rsidP="0085709A">
      <w:pPr>
        <w:pStyle w:val="TextoNormal"/>
      </w:pPr>
      <w:r>
        <w:t>Concluye el Ministerio Fiscal afirmando que si el órgano judicial apreció, como lo hizo, la irregularidad en la que la Junta Electoral incurrió al proclamar la candidatura sin reparos, la apreciación de dicha irregularidad administrativa no debió llevar a la anulación de la proclamación misma, pues esta decisión, entrañó, pese a lo que tuvo de formal restablecimiento de la legalidad quebrada, un desconocimiento de las garantías subjetivas previstas por el legislador en el art. 47.2 LOREG, en cuya virtud las irregularidades que puedan mostrar las candidaturas presentadas, apreciadas por la Administración electoral, habrán de dar siempre lugar a su posible subsanación.</w:t>
      </w:r>
    </w:p>
    <w:p w:rsidR="0085709A" w:rsidRDefault="0085709A" w:rsidP="0085709A">
      <w:pPr>
        <w:pStyle w:val="TextoNormal"/>
      </w:pPr>
    </w:p>
    <w:p w:rsidR="0085709A" w:rsidRDefault="0085709A" w:rsidP="0085709A">
      <w:pPr>
        <w:pStyle w:val="TextoNormal"/>
      </w:pPr>
      <w:r>
        <w:t>A su juicio, resulta procedente declarar la nulidad de la Sentencia impugnada, así como proclamar el derecho de la entidad política demandante de amparo a que la junta electoral de zona competente posibilite la subsanación del defecto en su día no advertido de conformidad con lo dispuesto en el último inciso del art. 47.2 de la Ley Orgánica 5/1985.</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Como se ha indicado en los antecedentes, la formación política demandante de amparo, Ciudadanos-Partido de la Ciudadanía, solicita la anulación de la Sentencia de 4 de mayo de 2015 dictada por el Juzgado de lo Contencioso-Administrativo núm. 1 de Guadalajara, recaída en el procedimiento núm. 8-2015, por la que se estima el recurso contencioso-electoral interpuesto por el Partido Socialista Obrero Español y se anula la candidatura presentada por aquella formación en el municipio de Cantalojas, que fue proclamada por acuerdo de la Junta Electoral de Zona de Sigüenza, publicado en el “Boletín Oficial de la Provincia” de 28 de abril de 2015.</w:t>
      </w:r>
    </w:p>
    <w:p w:rsidR="0085709A" w:rsidRDefault="0085709A" w:rsidP="0085709A">
      <w:pPr>
        <w:pStyle w:val="TextoNormal"/>
      </w:pPr>
    </w:p>
    <w:p w:rsidR="0085709A" w:rsidRDefault="0085709A" w:rsidP="0085709A">
      <w:pPr>
        <w:pStyle w:val="TextoNormal"/>
      </w:pPr>
      <w:r>
        <w:t xml:space="preserve">En la demanda de amparo se invoca la vulneración del art. 23.1 y 2 CE que deriva de la falta de diligencia en su actuación por parte de la Junta Electoral de Zona que debió velar </w:t>
      </w:r>
      <w:r>
        <w:lastRenderedPageBreak/>
        <w:t>por la adecuación a Derecho de todas las candidaturas y advertir del defecto consistente en haber incluido un candidato de más antes de la publicación de la proclamación de candidatos para su subsanación. Esta situación no fue corregida por la Sentencia en aplicación de una interpretación rígida de la legislación y la jurisprudencia constitucional que le lleva a anular la candidatura. También se denuncia la indefensión sufrida por la formación política ahora recurrente al no haber conocido del recurso hasta el dictado de la Sentencia.</w:t>
      </w:r>
    </w:p>
    <w:p w:rsidR="0085709A" w:rsidRDefault="0085709A" w:rsidP="0085709A">
      <w:pPr>
        <w:pStyle w:val="TextoNormal"/>
      </w:pPr>
    </w:p>
    <w:p w:rsidR="0085709A" w:rsidRDefault="0085709A" w:rsidP="0085709A">
      <w:pPr>
        <w:pStyle w:val="TextoNormal"/>
      </w:pPr>
      <w:r>
        <w:t>El Ministerio Fiscal entiende procedente otorgar el amparo al por considerar vulnerados tanto el derecho a la tutela judicial efectiva (art. 24.1 CE), como del derecho de sufragio pasivo (art. 23.2 CE). Por el contario, el Partido Socialista Obrero Español solicita la denegación del mismo.</w:t>
      </w:r>
    </w:p>
    <w:p w:rsidR="0085709A" w:rsidRDefault="0085709A" w:rsidP="0085709A">
      <w:pPr>
        <w:pStyle w:val="TextoNormal"/>
      </w:pPr>
    </w:p>
    <w:p w:rsidR="0085709A" w:rsidRDefault="0085709A" w:rsidP="0085709A">
      <w:pPr>
        <w:pStyle w:val="TextoNormal"/>
      </w:pPr>
      <w:r w:rsidRPr="0085709A">
        <w:rPr>
          <w:rStyle w:val="NumeroAFNegritaCaracter"/>
        </w:rPr>
        <w:t>2</w:t>
      </w:r>
      <w:r>
        <w:t>. No le cabe duda a este Tribunal de que la falta de emplazamiento por el órgano judicial a la demandante en el proceso contencioso-electoral, en el que se anuló la proclamación de su candidatura, como así resulta de las actuaciones, sin valorar, por consiguiente, las posibles argumentaciones que podría haber realizado en el escrito de oposición al recurso contencioso-electoral interpuesto de contrario, le provocó una situación de indefensión material, con real y efectivo perjuicio para sus intereses, no permitida por el art. 24.1 CE (por todas, SSTC 115/2005, de 9 de mayo, FJ 3, y 109/2007, de 10 de mayo, FJ 2).</w:t>
      </w:r>
    </w:p>
    <w:p w:rsidR="0085709A" w:rsidRDefault="0085709A" w:rsidP="0085709A">
      <w:pPr>
        <w:pStyle w:val="TextoNormal"/>
      </w:pPr>
    </w:p>
    <w:p w:rsidR="0085709A" w:rsidRDefault="0085709A" w:rsidP="0085709A">
      <w:pPr>
        <w:pStyle w:val="TextoNormal"/>
      </w:pPr>
      <w:r>
        <w:t>La apreciación de dicha vulneración nos conduciría a la que sería la solución normal y ortodoxa en un amparo ordinario, es decir, la declaración de la nulidad de la Sentencia con retroacción de las actuaciones para que el Tribunal ordinario dicte otra nueva. No obstante, al encontrarnos ante la decisión de un recurso de amparo electoral, no es a esta conclusión a la que ni se puede ni se debe llegar por no permitirlo la perentoriedad de los plazos del proceso electoral (SSTC 71/1995, de 11 de mayo, FJ 3; 155/2003, de 21 de julio, FJ 6, y 109/2007, de 10 de mayo, 2), siendo la cuestión principal en este recurso analizar si la Sentencia impugnada, al anular la candidatura de la formación política recurrente sin haber tenido en cuenta que la irregularidad era subsanable, ha vulnerado lo dispuesto en el art. 23.2 CE.</w:t>
      </w:r>
    </w:p>
    <w:p w:rsidR="0085709A" w:rsidRDefault="0085709A" w:rsidP="0085709A">
      <w:pPr>
        <w:pStyle w:val="TextoNormal"/>
      </w:pPr>
    </w:p>
    <w:p w:rsidR="0085709A" w:rsidRDefault="0085709A" w:rsidP="0085709A">
      <w:pPr>
        <w:pStyle w:val="TextoNormal"/>
      </w:pPr>
      <w:r w:rsidRPr="0085709A">
        <w:rPr>
          <w:rStyle w:val="NumeroAFNegritaCaracter"/>
        </w:rPr>
        <w:t>3</w:t>
      </w:r>
      <w:r>
        <w:t>. Antes de proceder al análisis de la alegada vulneración del art. 23.2 CE, se ha de manifestar que el incumplimiento manifiesto a la doctrina constitucional sobre subsanación de errores en recursos electorales, dota al presente recurso de amparo de la especial trascendencia constitucional exigida por el art. 50.1 b) de la Ley Orgánica del Tribunal Constitucional (LOTC) para ser admitido.</w:t>
      </w:r>
    </w:p>
    <w:p w:rsidR="0085709A" w:rsidRDefault="0085709A" w:rsidP="0085709A">
      <w:pPr>
        <w:pStyle w:val="TextoNormal"/>
      </w:pPr>
    </w:p>
    <w:p w:rsidR="0085709A" w:rsidRDefault="0085709A" w:rsidP="0085709A">
      <w:pPr>
        <w:pStyle w:val="TextoNormal"/>
      </w:pPr>
      <w:r>
        <w:t xml:space="preserve">Este Tribunal debe tener en consideración que la perentoriedad de los plazos no permite al recurrente el planteamiento de recurso ordinario alguno ni la formulación, en su caso, del incidente de nulidad de actuaciones, lo que daría a la parte ocasión de denunciar y al órgano judicial subsanar la alegada vulneración del art. 24.1 CE y, por ende, la del art. 23.2 CE. Dicha deficiencia, que se hubiera visto satisfecha con la intervención de la demandante en el proceso contencioso-electoral, al haber podido alegar lo que a su Derecho conviniera, no puede ser obviada por este Tribunal so riesgo de incurrir con su actuación en una vulneración del derecho a la tutela judicial efectiva (art. 24. 1 CE). Precisamente porque en este caso no se ha cumplido con el principio de subsidiariedad que hace del recurso de amparo un recurso extraordinario, el Tribunal se ve compelido a sustituir la función que la LOTC encomienda a los jueces y tribunales ordinarios como “primeros garantes de los derechos </w:t>
      </w:r>
      <w:r>
        <w:lastRenderedPageBreak/>
        <w:t>fundamentales en nuestro ordenamiento jurídico” (exposición de motivos de la Ley Orgánica 6/2007, de 24 de mayo, por la que se modifica la Ley Orgánica 2/1979, de 3 de octubre, del Tribunal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Sentando cuanto antecede, la cuestión nuclear que suscita el presente recurso de amparo electoral estriba en determinar si ha resultado vulnerado el derecho de sufragio pasivo (art. 23.2 CE) de Ciudadanos-Partido de la Ciudadanía, al haber anulado el órgano judicial la proclamación de la candidatura presentada por esta formación política a las elecciones al municipio de Cantalojas (Guadalajara), sin que se le hubiera advertido de la irregularidad apreciada en la composición de dicha candidatura y otorgado el correspondiente trámite de subsanación.</w:t>
      </w:r>
    </w:p>
    <w:p w:rsidR="0085709A" w:rsidRDefault="0085709A" w:rsidP="0085709A">
      <w:pPr>
        <w:pStyle w:val="TextoNormal"/>
      </w:pPr>
    </w:p>
    <w:p w:rsidR="0085709A" w:rsidRDefault="0085709A" w:rsidP="0085709A">
      <w:pPr>
        <w:pStyle w:val="TextoNormal"/>
      </w:pPr>
      <w:r>
        <w:t>De acuerdo con una reiterada doctrina constitucional, en los escritos de presentación de candidaturas se han de cumplir las condiciones y requisitos previstos en el art. 46 de la Ley Orgánica del régimen electoral general (LOREG), determinando su incumplimiento la no proclamación de las candidaturas defectuosamente presentadas (art. 47.4 LOREG). No es menos cierto, sin embargo, que entre el eventual incumplimiento de las condiciones legalmente impuestas al formular el escrito de presentación de candidaturas y el acto mismo de proclamación por las juntas electorales de quienes merezcan legalmente la condición de candidatos ha de mediar el examen de oficio, por parte de las juntas electorales, de los escritos en los que las candidaturas se incorporan, examen exigido por el legislador a fin de que, de advertirse irregularidades en estos escritos, sean las mismas puestas de manifiesto a los representantes de las candidaturas para su posible subsanación en el plazo de cuarenta y ocho horas (art. 47.2 LOREG). Así pues, del sistema de la LOREG deriva tanto el que no pueden proclamarse candidaturas que hayan incurrido en irregularidades al ser presentadas, como el que estas irregularidades, si fueran subsanables, han de ser puestas en conocimiento de los representantes de las candidaturas afectadas para que por éstos se proceda a su reparación. Busca con ello la LOREG, como hemos tenido ocasión de poner de manifiesto en no pocas resoluciones,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fueran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0085709A" w:rsidRDefault="0085709A" w:rsidP="0085709A">
      <w:pPr>
        <w:pStyle w:val="TextoNormal"/>
      </w:pPr>
    </w:p>
    <w:p w:rsidR="0085709A" w:rsidRDefault="0085709A" w:rsidP="0085709A">
      <w:pPr>
        <w:pStyle w:val="TextoNormal"/>
      </w:pPr>
      <w:r>
        <w:t xml:space="preserve">Deriva de lo expuesto que si por la Administración electoral se incumple este deber legal en orden al examen de los requisitos de presentación de candidaturas, no dándose ocasión a los interesados para la reparación de unos defectos que después llevan al rechazo de aquéllas, se habrá ignorado, con ello, una garantía dispuesta por la Ley para la efectividad, como queda dicho, del derecho de sufragio pasivo, que resultará así afectado negativamente en la medida en que se desconozca por una Junta electoral o se atienda sólo imperfectamente la referida exigencia legal. No empaña esta conclusión, ni la consideración general que se acaba de hacer sobre la afectación del derecho reconocido en el art. 23.2 CE, el hecho de que, en estos casos, el resultado finalmente gravoso para candidaturas y candidatos —la </w:t>
      </w:r>
      <w:r>
        <w:lastRenderedPageBreak/>
        <w:t>denegación de su proclamación— se llegue a producir por no haberse reparado un defecto fruto de la ignorancia o de la negligencia de quienes presentaron la candidatura sin cumplir, en todos sus extremos, las prevenciones legales. En este especifico procedimiento, no ha querido la Ley dejar la suerte de las candidaturas a la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más no quiere la Ley que tal irregularidad depare aquella sanción sin que antes se haga posible, mediante su identificación y advertencia de oficio, la oportuna reparación (STC 59/1987, de 19 de mayo, FJ 3; doctrina reiterada, entre otras muchas, en las SSTC 86/1987, de 25 de junio, FJ 4; 24/1989, de 28 de febrero, FJ 6; 95/1991, de 29 de mayo, FJ 2; 175/1991, de 10 de octubre, FJ 2; 114/2007, de 8 de junio, FJ 3, y 115/2007, de 8 de junio, FJ 4).</w:t>
      </w:r>
    </w:p>
    <w:p w:rsidR="0085709A" w:rsidRDefault="0085709A" w:rsidP="0085709A">
      <w:pPr>
        <w:pStyle w:val="TextoNormal"/>
      </w:pPr>
    </w:p>
    <w:p w:rsidR="0085709A" w:rsidRDefault="0085709A" w:rsidP="0085709A">
      <w:pPr>
        <w:pStyle w:val="TextoNormal"/>
      </w:pPr>
      <w:r w:rsidRPr="0085709A">
        <w:rPr>
          <w:rStyle w:val="NumeroAFNegritaCaracter"/>
        </w:rPr>
        <w:t>5</w:t>
      </w:r>
      <w:r>
        <w:t>. La aplicación de la doctrina constitucional expuesta al caso ahora considerado ha de conducir, como a continuación se razonará, a la estimación del presente recurso de amparo.</w:t>
      </w:r>
    </w:p>
    <w:p w:rsidR="0085709A" w:rsidRDefault="0085709A" w:rsidP="0085709A">
      <w:pPr>
        <w:pStyle w:val="TextoNormal"/>
      </w:pPr>
    </w:p>
    <w:p w:rsidR="0085709A" w:rsidRDefault="0085709A" w:rsidP="0085709A">
      <w:pPr>
        <w:pStyle w:val="TextoNormal"/>
      </w:pPr>
      <w:r>
        <w:t>En efecto, según resulta del examen de las actuaciones, la formación política demandante de amparo —Ciudadanos-Partido de la Ciudadanía — presentó una candidatura a las elecciones al municipio de Cantalojas (Guadalajara) a celebrar el próximo día 24 de mayo de 2015, integrada por cinco candidatos más un suplente. Sin embargo, al tratarse de un municipio con población superior a 100 pero inferior a 250 habitantes y no estar sometido al régimen de concejo abierto, la candidatura no podía contener más de cinco candidatos [art. 184 a) LOREG]. Por lo tanto, la candidatura de la recurrente en amparo incurría en la irregularidad de estar integrada por un candidato más del número legalmente previsto para el municipio en la que se presentaba. Irregularidad que no fue identificada, ni, en consecuencia, advertida de oficio para su posible subsanación, por la Junta Electoral, que procedió a la proclamación de dicha candidatura. Impugnada su proclamación, fue anulada por el Juzgado de lo Contencioso-Administrativo núm. 1 de Guadalajara al vulnerar el art. 184 a) LOREG, por incluir más de cinco candidatos.</w:t>
      </w:r>
    </w:p>
    <w:p w:rsidR="0085709A" w:rsidRDefault="0085709A" w:rsidP="0085709A">
      <w:pPr>
        <w:pStyle w:val="TextoNormal"/>
      </w:pPr>
    </w:p>
    <w:p w:rsidR="0085709A" w:rsidRDefault="0085709A" w:rsidP="0085709A">
      <w:pPr>
        <w:pStyle w:val="TextoNormal"/>
      </w:pPr>
      <w:r>
        <w:t>Es cierto que el órgano judicial debió apreciar, como así lo hizo, la irregularidad en la que la Junta Electoral había incurrido al proclamar, sin reparos, una candidatura que en cuanto al número de componentes infringía el art. 184 a) LOREG, pero la apreciación de dicha irregularidad administrativa no debió llevar a anular su proclamación, pues tal decisión, a la vista de la doctrina constitucional expuesta en torno al sistema diseñado por la LOREG y la omisión en la que incurrió la propia Junta Electoral al no advertir de oficio el defecto en el que incurría la candidatura y permitir su subsanación, ha entrañado, pese a lo que tuvo de formal restablecimiento de la legalidad quebrada, un desconocimiento de las garantías previstas por el legislador en el art. 47.2 LOREG, en cuya virtud las irregularidades en las que puedan incurrir las candidaturas presentadas deben ser apreciadas por la Administración y advertidas de oficio para su oportuna subsanación, con la consiguiente afectación del derecho de sufragio pasivo de la demandante de amparo.</w:t>
      </w:r>
    </w:p>
    <w:p w:rsidR="0085709A" w:rsidRDefault="0085709A" w:rsidP="0085709A">
      <w:pPr>
        <w:pStyle w:val="TextoNormal"/>
      </w:pPr>
    </w:p>
    <w:p w:rsidR="0085709A" w:rsidRDefault="0085709A" w:rsidP="0085709A">
      <w:pPr>
        <w:pStyle w:val="TextoNormal"/>
      </w:pPr>
      <w:r>
        <w:t xml:space="preserve">El hecho notorio de que la LOREG no prevea dicho trámite de subsanación, sino con carácter previo a la proclamación de candidaturas, no puede en modo alguno llevar a la conclusión de que los defectos, en su día subsanables, como en el que ha incurrido en este </w:t>
      </w:r>
      <w:r>
        <w:lastRenderedPageBreak/>
        <w:t>caso la candidatura de la recurrente en amparo, devengan definitivos e irreparables tan sólo por el irregular funcionamiento de la Administración electoral, que debió advertirlo y no lo hizo, en el momento en el que la Ley prevé para ello, ya que no puede pesar sobre los partícipes en el procedimiento electoral un resultado tan gravoso para sus derechos fundamentales, que se originó en la falta de diligencia debida por los poderes públicos en la garantía de su plena efectividad (STC 73/1986, de 17 de junio, FJ 2, por todas).</w:t>
      </w:r>
    </w:p>
    <w:p w:rsidR="0085709A" w:rsidRDefault="0085709A" w:rsidP="0085709A">
      <w:pPr>
        <w:pStyle w:val="TextoNormal"/>
      </w:pPr>
    </w:p>
    <w:p w:rsidR="0085709A" w:rsidRDefault="0085709A" w:rsidP="0085709A">
      <w:pPr>
        <w:pStyle w:val="TextoNormal"/>
      </w:pPr>
      <w:r w:rsidRPr="0085709A">
        <w:rPr>
          <w:rStyle w:val="NumeroAFNegritaCaracter"/>
        </w:rPr>
        <w:t>6</w:t>
      </w:r>
      <w:r>
        <w:t>. En atención a cuanto antecede, debe estimarse el presente recurso de amparo, aunque no corresponde a este Tribunal proclamar candidaturas sino, sólo y exclusivamente, pronunciarnos sobre la existencia o no de lesiones de derechos fundamentales en las decisiones adoptadas al respecto por los órganos legalmente competentes y de acuerdo con lo planteado ante los mismos (SSTC 103/1991, de 13 de mayo, FJ 3, y 100/2007, de 9 de mayo, FJ 4, por todas).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por Ciudadanos-Partido de la Ciudadanía (C’s) y, en consecuencia:</w:t>
      </w:r>
    </w:p>
    <w:p w:rsidR="0085709A" w:rsidRDefault="0085709A" w:rsidP="0085709A">
      <w:pPr>
        <w:pStyle w:val="TextoNormal"/>
      </w:pPr>
    </w:p>
    <w:p w:rsidR="0085709A" w:rsidRDefault="0085709A" w:rsidP="0085709A">
      <w:pPr>
        <w:pStyle w:val="TextoNormal"/>
      </w:pPr>
      <w:r>
        <w:t>1º Reconocer su derecho a acceder en condiciones de igualdad a las funciones y cargos públicos (art. 23.2 CE).</w:t>
      </w:r>
    </w:p>
    <w:p w:rsidR="0085709A" w:rsidRDefault="0085709A" w:rsidP="0085709A">
      <w:pPr>
        <w:pStyle w:val="TextoNormal"/>
      </w:pPr>
    </w:p>
    <w:p w:rsidR="0085709A" w:rsidRDefault="0085709A" w:rsidP="0085709A">
      <w:pPr>
        <w:pStyle w:val="TextoNormal"/>
      </w:pPr>
      <w:r>
        <w:t>2º Declarar la nulidad de la Sentencia del Juzgado de lo Contencioso-Administrativo núm. 1 de Guadalajara dictada en el recurso contencioso-electoral núm. 8-2015 y la del acuerdo de la Junta Electoral de Zona de Sigüenza, de 28 de abril de 2015, de proclamación de la candidatura de Ciudadanos-Partido de la Ciudadanía (C’s) a las elecciones al municipio de Cantalojas.</w:t>
      </w:r>
    </w:p>
    <w:p w:rsidR="0085709A" w:rsidRDefault="0085709A" w:rsidP="0085709A">
      <w:pPr>
        <w:pStyle w:val="TextoNormal"/>
      </w:pPr>
    </w:p>
    <w:p w:rsidR="0085709A" w:rsidRDefault="0085709A" w:rsidP="0085709A">
      <w:pPr>
        <w:pStyle w:val="TextoNormal"/>
      </w:pPr>
      <w:r>
        <w:t>3º Retrotraer las actuaciones al momento anterior al citado acuerdo de la Junta Electoral para que por la misma se permita la subsanación de la irregularidad apreciada en la candidatura presentada por la demandante de amparo a las elecciones a dicho municipio.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siete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0" w:name="SENTENCIA_2015_87"/>
      <w:r>
        <w:lastRenderedPageBreak/>
        <w:t>SENTENCIA 87/2015, de 11 de mayo de 2015</w:t>
      </w:r>
    </w:p>
    <w:bookmarkEnd w:id="90"/>
    <w:p w:rsidR="0085709A" w:rsidRDefault="0085709A" w:rsidP="0085709A">
      <w:pPr>
        <w:pStyle w:val="TtuloResolucin"/>
      </w:pPr>
      <w:r>
        <w:t>Sala Segunda</w:t>
      </w:r>
    </w:p>
    <w:p w:rsidR="0085709A" w:rsidRDefault="0085709A" w:rsidP="0085709A">
      <w:pPr>
        <w:pStyle w:val="TtuloBOE"/>
      </w:pPr>
      <w:r>
        <w:t>(BOE núm. 146, de 19 de junio de 2015)</w:t>
      </w:r>
    </w:p>
    <w:p w:rsidR="0085709A" w:rsidRDefault="0085709A" w:rsidP="0085709A">
      <w:pPr>
        <w:pStyle w:val="TextoNormalCentrado"/>
      </w:pPr>
      <w:r>
        <w:t>ECLI:ES:TC:2015:87</w:t>
      </w:r>
    </w:p>
    <w:p w:rsidR="0085709A" w:rsidRDefault="0085709A" w:rsidP="0085709A">
      <w:pPr>
        <w:pStyle w:val="TextoNormalCentrado"/>
      </w:pPr>
    </w:p>
    <w:p w:rsidR="0085709A" w:rsidRDefault="0085709A" w:rsidP="0085709A">
      <w:pPr>
        <w:pStyle w:val="SntesisDescriptiva"/>
      </w:pPr>
      <w:r>
        <w:t>Recurso de amparo 4521-2009. Promovido por don Hermenegildo Abaga Maye Obomo respecto del Auto dictado por el Juzgado de lo Contencioso-Administrativo número 2 de Madrid en proceso sobre orden de expulsión del territorio nacional.</w:t>
      </w:r>
    </w:p>
    <w:p w:rsidR="0085709A" w:rsidRDefault="0085709A" w:rsidP="0085709A">
      <w:pPr>
        <w:pStyle w:val="SntesisDescriptiva"/>
      </w:pPr>
    </w:p>
    <w:p w:rsidR="0085709A" w:rsidRDefault="0085709A" w:rsidP="0085709A">
      <w:pPr>
        <w:pStyle w:val="SntesisAnaltica"/>
      </w:pPr>
      <w:r>
        <w:t>Vulneración del derecho a un proceso sin dilaciones indebidas: demora superior a tres años en la celebración de la vista del juicio en un procedimiento abreviado contencioso-administrativo (STC 142/2010).</w:t>
      </w:r>
    </w:p>
    <w:p w:rsidR="0085709A" w:rsidRDefault="0085709A" w:rsidP="0085709A">
      <w:pPr>
        <w:pStyle w:val="SntesisAnaltica"/>
      </w:pPr>
    </w:p>
    <w:p w:rsidR="0085709A" w:rsidRDefault="0085709A" w:rsidP="0085709A">
      <w:pPr>
        <w:pStyle w:val="Extracto"/>
      </w:pPr>
      <w:r>
        <w:t>1.</w:t>
      </w:r>
      <w:r>
        <w:tab/>
        <w:t>Se ha vulnerado el derecho a un proceso sin dilaciones indebidas del recurrente y el otorgamiento del amparo debe limitarse a la declaración de la violación del derecho fundamental, toda vez que se deduce de las actuaciones recibidas en este Tribunal que el procedimiento en cuestión ya ha concluido, habiéndose celebrado la vista acordada por el Juzgado y habiendo recaído, incluso, Sentencia tanto en instancia como en apelación [FJ 5].</w:t>
      </w:r>
    </w:p>
    <w:p w:rsidR="0085709A" w:rsidRDefault="0085709A" w:rsidP="0085709A">
      <w:pPr>
        <w:pStyle w:val="Extracto"/>
      </w:pPr>
    </w:p>
    <w:p w:rsidR="0085709A" w:rsidRDefault="0085709A" w:rsidP="0085709A">
      <w:pPr>
        <w:pStyle w:val="Extracto"/>
      </w:pPr>
      <w:r>
        <w:t>2.</w:t>
      </w:r>
      <w:r>
        <w:tab/>
        <w:t>Aunque al tiempo de dictarse la Sentencia resolutoria del recurso de amparo la dilación indebida denunciada ya haya cesado, no por ello debe apreciarse que haya quedado privado de objeto el proceso constitucional de amparo, pues no puede considerarse reparada aquélla mediante una actuación judicial tardía o demorada (SSTC 99/2014, 54/2014) [FJ 2].</w:t>
      </w:r>
    </w:p>
    <w:p w:rsidR="0085709A" w:rsidRDefault="0085709A" w:rsidP="0085709A">
      <w:pPr>
        <w:pStyle w:val="Extracto"/>
      </w:pPr>
    </w:p>
    <w:p w:rsidR="0085709A" w:rsidRDefault="0085709A" w:rsidP="0085709A">
      <w:pPr>
        <w:pStyle w:val="Extracto"/>
      </w:pPr>
      <w:r>
        <w:t>3.</w:t>
      </w:r>
      <w:r>
        <w:tab/>
        <w:t>El juicio sobre el contenido concreto de las dilaciones, y sobre si son o no indebidas, debe ser el resultado de la aplicación, a las circunstancias específicas de cada caso,  de los criterios objetivos que a lo largo de la jurisprudencia constitucional se han ido precisando, siendo tales criterios: la complejidad del litigio, los márgenes ordinarios de duración de los litigios del mismo tipo, el interés que arriesga el demandante de amparo, su conducta procesal y la conducta de las autoridades (STC 54/2014) [FJ 4].</w:t>
      </w:r>
    </w:p>
    <w:p w:rsidR="0085709A" w:rsidRDefault="0085709A" w:rsidP="0085709A">
      <w:pPr>
        <w:pStyle w:val="Extracto"/>
      </w:pPr>
    </w:p>
    <w:p w:rsidR="0085709A" w:rsidRDefault="0085709A" w:rsidP="0085709A">
      <w:pPr>
        <w:pStyle w:val="Extracto"/>
      </w:pPr>
      <w:r>
        <w:t>4.</w:t>
      </w:r>
      <w:r>
        <w:tab/>
        <w:t>El hecho de que la demora denunciada se deba a motivos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 en tanto que el ciudadano es ajeno a esas circunstancias [FJ 4].</w:t>
      </w:r>
    </w:p>
    <w:p w:rsidR="0085709A" w:rsidRDefault="0085709A" w:rsidP="0085709A">
      <w:pPr>
        <w:pStyle w:val="Extracto"/>
      </w:pPr>
    </w:p>
    <w:p w:rsidR="0085709A" w:rsidRDefault="0085709A" w:rsidP="0085709A">
      <w:pPr>
        <w:pStyle w:val="Extracto"/>
      </w:pPr>
      <w:r>
        <w:t>5.</w:t>
      </w:r>
      <w:r>
        <w:tab/>
        <w:t>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(STC 142/2010) [FJ 4].</w:t>
      </w:r>
    </w:p>
    <w:p w:rsidR="0085709A" w:rsidRDefault="0085709A" w:rsidP="0085709A">
      <w:pPr>
        <w:pStyle w:val="Extracto"/>
      </w:pPr>
    </w:p>
    <w:p w:rsidR="0085709A" w:rsidRDefault="0085709A" w:rsidP="0085709A">
      <w:pPr>
        <w:pStyle w:val="Extracto"/>
      </w:pPr>
      <w:r>
        <w:lastRenderedPageBreak/>
        <w:t>6.</w:t>
      </w:r>
      <w:r>
        <w:tab/>
        <w:t>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142/2010) [FJ 4].</w:t>
      </w:r>
    </w:p>
    <w:p w:rsidR="0085709A" w:rsidRDefault="0085709A" w:rsidP="0085709A">
      <w:pPr>
        <w:pStyle w:val="Extracto"/>
      </w:pPr>
    </w:p>
    <w:p w:rsidR="0085709A" w:rsidRDefault="0085709A" w:rsidP="0085709A">
      <w:pPr>
        <w:pStyle w:val="Extracto"/>
      </w:pPr>
      <w:r>
        <w:t>7.</w:t>
      </w:r>
      <w:r>
        <w:tab/>
        <w:t>La especial trascendencia constitucional se deduce en la demanda de amparo del contraste entre la resolución judicial impugnada y la doctrina que el Tribunal ha elaborado en relación con la incidencia de las deficiencias estructurales en relación con las dilaciones indebidas, dirigido a un posible cambio doctrinal (STC 155/2009)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4521-2009, promovido por don Hermenegildo Abaga Maye Obomo, representado por la Procuradora de los Tribunales doña María Elvira Encinas Lorente y asistido por la Letrada doña Carmen Touza Vázquez, contra el Auto de 13 de abril de 2009 del Juzgado de lo Contencioso-Administrativo núm. 2 de Madrid, dictado en el procedimiento abreviado núm. 1276-2008. Ha comparecido el Abogado del Estado. Ha intervenido el Ministerio Fiscal.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día 13 de mayo de 2009, por la Letrada doña Carmen Touza Vázquez, en nombre de don Hermenegildo Abaga Maye Obomo, se interpuso recurso de amparo contra la resolución antes citada, solicitando en el mismo escrito se le designara procurador del turno de oficio que asumiera su representación. Esta designación se efectuó en la persona de la Procuradora de los Tribunales doña María Elvira Encinas Lorente, que ratificó dicho recurso de amparo en fecha 22 de julio de 2009.</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lastRenderedPageBreak/>
        <w:t>a) El 25 de noviembre de 2008 el demandante de amparo interpuso recurso contencioso-administrativo contra la resolución de 16 de septiembre de 2008 de la Delegación del Gobierno en Madrid por la que se decretaba su expulsión del territorio nacional, con prohibición de entrada en España por un período de tres años.</w:t>
      </w:r>
    </w:p>
    <w:p w:rsidR="0085709A" w:rsidRDefault="0085709A" w:rsidP="0085709A">
      <w:pPr>
        <w:pStyle w:val="TextoNormal"/>
      </w:pPr>
    </w:p>
    <w:p w:rsidR="0085709A" w:rsidRDefault="0085709A" w:rsidP="0085709A">
      <w:pPr>
        <w:pStyle w:val="TextoNormal"/>
      </w:pPr>
      <w:r>
        <w:t>b) En fecha 7 de enero de 2009, el Juzgado Contencioso-Administrativo núm. 2 de Madrid dictó providencia en la que tuvo por formulado el recurso y ordenó la citación de las partes para la celebración de vista el día 20 de noviembre de 2012, a las 10:40 horas.</w:t>
      </w:r>
    </w:p>
    <w:p w:rsidR="0085709A" w:rsidRDefault="0085709A" w:rsidP="0085709A">
      <w:pPr>
        <w:pStyle w:val="TextoNormal"/>
      </w:pPr>
    </w:p>
    <w:p w:rsidR="0085709A" w:rsidRDefault="0085709A" w:rsidP="0085709A">
      <w:pPr>
        <w:pStyle w:val="TextoNormal"/>
      </w:pPr>
      <w:r>
        <w:t>c) El demandante presentó, en fecha 27 de marzo de 2009, un escrito en el que puso de manifiesto que el señalamiento efectuado suponía la vulneración de su derecho a un proceso público y sin dilaciones indebidas (art. 24.2 CE). En dicho escrito, el actor interesó que se anticipara la celebración de la vista aprovechando “una de las vacantes que … como consecuencia de los desistimientos, allanamientos, transacciones extrajudiciales, suspensiones de vistas, … se producen en los procedimientos tramitados ante el Juzgado”.</w:t>
      </w:r>
    </w:p>
    <w:p w:rsidR="0085709A" w:rsidRDefault="0085709A" w:rsidP="0085709A">
      <w:pPr>
        <w:pStyle w:val="TextoNormal"/>
      </w:pPr>
    </w:p>
    <w:p w:rsidR="0085709A" w:rsidRDefault="0085709A" w:rsidP="0085709A">
      <w:pPr>
        <w:pStyle w:val="TextoNormal"/>
      </w:pPr>
      <w:r>
        <w:t>d) Al referido escrito se le dio trámite como recurso de súplica, procediendo el Juzgado mediante auto de 13 de abril de 2009 a su desestimación. En el fundamento jurídico único de la resolución, el órgano judicial argumentó que la fecha fijada para la celebración de la vista se ajustaba rigurosamente “al calendario de señalamientos de este Juzgado, correspondiéndole dicha fecha por el orden de presentación de la demanda”.</w:t>
      </w:r>
    </w:p>
    <w:p w:rsidR="0085709A" w:rsidRDefault="0085709A" w:rsidP="0085709A">
      <w:pPr>
        <w:pStyle w:val="TextoNormal"/>
      </w:pPr>
    </w:p>
    <w:p w:rsidR="0085709A" w:rsidRDefault="0085709A" w:rsidP="0085709A">
      <w:pPr>
        <w:pStyle w:val="TextoNormal"/>
      </w:pPr>
      <w:r>
        <w:t>e) Mediante providencia de 22 de julio de 2010 el órgano judicial acordó la suspensión del señalamiento inicialmente efectuado, anticipándose la celebración de la vista para el 14 de junio de 2011, a las 10:15 horas de la mañana.</w:t>
      </w:r>
    </w:p>
    <w:p w:rsidR="0085709A" w:rsidRDefault="0085709A" w:rsidP="0085709A">
      <w:pPr>
        <w:pStyle w:val="TextoNormal"/>
      </w:pPr>
    </w:p>
    <w:p w:rsidR="0085709A" w:rsidRDefault="0085709A" w:rsidP="0085709A">
      <w:pPr>
        <w:pStyle w:val="TextoNormal"/>
      </w:pPr>
      <w:r>
        <w:t>f) El 14 de junio de 2011 se celebró la vista, dictándose Sentencia desestimatoria en fecha 22 de junio de 2011. Esta resolución fue confirmada en apelación por la Sentencia de 12 de julio de 2012 de la Sala de lo Contencioso-Administrativo del Tribunal Superior de Justicia de Madrid, recaída en el recurso núm. 277-2011.</w:t>
      </w:r>
    </w:p>
    <w:p w:rsidR="0085709A" w:rsidRDefault="0085709A" w:rsidP="0085709A">
      <w:pPr>
        <w:pStyle w:val="TextoNormal"/>
      </w:pPr>
    </w:p>
    <w:p w:rsidR="0085709A" w:rsidRDefault="0085709A" w:rsidP="0085709A">
      <w:pPr>
        <w:pStyle w:val="TextoNormal"/>
      </w:pPr>
      <w:r w:rsidRPr="0085709A">
        <w:rPr>
          <w:rStyle w:val="NumeroAFNegritaCaracter"/>
        </w:rPr>
        <w:t>3</w:t>
      </w:r>
      <w:r>
        <w:t>. En su demanda de amparo, el recurrente considera que el señalamiento de vista con más de tres años de demora desde la fecha de presentación de la demanda vulnera su derecho a un proceso público sin dilaciones indebidas (art. 24.2 CE). A juicio del actor: (i) el recurso entablado carecía de especial complejidad, ya que se trataba de un recurso contencioso-administrativo interpuesto frente a una decisión de expulsión; (ii) el señalamiento efectuado superaba los márgenes ordinarios de duración de los litigios de ese tipo, ya que se trataba de un procedimiento abreviado en el que no debía practicarse más prueba que la estrictamente documental; (iii) la demora en la celebración de la vista le generaba un grave perjuicio, pues la pendencia del recurso contencioso-administrativo entrañaba la posibilidad de que la resolución de expulsión fuera ejecutada, no pudiendo el demandante, en todo caso, obtener autorización de trabajo ni regularizar su situación en España hasta que el recurso fuera resuelto, y (iv) su conducta procesal fue correcta, sin que las dilaciones producidas le fueran en modo alguno imputables.</w:t>
      </w:r>
    </w:p>
    <w:p w:rsidR="0085709A" w:rsidRDefault="0085709A" w:rsidP="0085709A">
      <w:pPr>
        <w:pStyle w:val="TextoNormal"/>
      </w:pPr>
    </w:p>
    <w:p w:rsidR="0085709A" w:rsidRDefault="0085709A" w:rsidP="0085709A">
      <w:pPr>
        <w:pStyle w:val="TextoNormal"/>
      </w:pPr>
      <w:r>
        <w:t xml:space="preserve">Con cita de varias Sentencias de este Tribunal, el actor señala, asimismo, que el elevado número de asuntos que ha resolver el órgano judicial no legitima el retraso en la tramitación </w:t>
      </w:r>
      <w:r>
        <w:lastRenderedPageBreak/>
        <w:t>del proceso. Por ello, aun cuando la causa del retraso pudiera considerarse estructural, la vulneración del derecho fundamental seguiría existiendo.</w:t>
      </w:r>
    </w:p>
    <w:p w:rsidR="0085709A" w:rsidRDefault="0085709A" w:rsidP="0085709A">
      <w:pPr>
        <w:pStyle w:val="TextoNormal"/>
      </w:pPr>
    </w:p>
    <w:p w:rsidR="0085709A" w:rsidRDefault="0085709A" w:rsidP="0085709A">
      <w:pPr>
        <w:pStyle w:val="TextoNormal"/>
      </w:pPr>
      <w:r w:rsidRPr="0085709A">
        <w:rPr>
          <w:rStyle w:val="NumeroAFNegritaCaracter"/>
        </w:rPr>
        <w:t>4</w:t>
      </w:r>
      <w:r>
        <w:t>. La Sala Segunda del Tribunal Constitucional admitió a trámite la demanda por providencia de 22 de enero de 2015, resolviendo al mismo tiempo requerir al Juzgado de lo Contencioso-Administrativo núm. 2 de Madrid para que remitiera testimonio de las actuaciones del procedimiento abreviado núm. 1276-2008, con la orden de que se emplazara a quienes hubieran sido parte en el procedimiento, excepto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diligencia de ordenación de la Secretaría de Justicia de la Sala Segunda de 3 de marzo de 2015, a tenor de lo dispuesto en el art. 52.1 de la Ley Orgánica del Tribunal Constitucional, se tuvo por personado y parte en el procedimiento al Abogado del Estado, en la representación que ostenta y, asimismo, se acordó dar vista de las actuaciones recibidas a la parte recurrente, al Abogado del Estado y al Ministerio Fiscal por un plazo común de veinte días para que, dentro de dicho término, presentaran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6</w:t>
      </w:r>
      <w:r>
        <w:t>. En fecha 27 de marzo de 2015 tuvo entrada en este Tribunal el escrito de alegaciones del Abogado del Estado, en el que solicita que se declare que el recurso de amparo ha perdido sobrevenidamente su objeto o que se acuerde, en su defecto, su inadmisión por falta de justificación de la especial trascendencia constitucional. Subsidiariamente, el Abogado del Estado interesa la desestimación del recurso al entender que el derecho fundamental a un proceso sin dilaciones indebidas no ha sido vulnerado.</w:t>
      </w:r>
    </w:p>
    <w:p w:rsidR="0085709A" w:rsidRDefault="0085709A" w:rsidP="0085709A">
      <w:pPr>
        <w:pStyle w:val="TextoNormal"/>
      </w:pPr>
    </w:p>
    <w:p w:rsidR="0085709A" w:rsidRDefault="0085709A" w:rsidP="0085709A">
      <w:pPr>
        <w:pStyle w:val="TextoNormal"/>
      </w:pPr>
      <w:r>
        <w:t>Considera, en primer lugar, el Abogado del Estado que el recurso de amparo ha perdido objeto, “ya que el contenido del auto cuya nulidad se pide sobre la base de la lesión producida por el señalamiento de vista el 20 de noviembre de 2012 fue dejado sin efecto, por lo que ya no existe el supuesto de hecho sobre el que se basa la lesión”. Debe por ello apreciarse, en su opinión, que el recurso carece sobrevenidamente de objeto.</w:t>
      </w:r>
    </w:p>
    <w:p w:rsidR="0085709A" w:rsidRDefault="0085709A" w:rsidP="0085709A">
      <w:pPr>
        <w:pStyle w:val="TextoNormal"/>
      </w:pPr>
    </w:p>
    <w:p w:rsidR="0085709A" w:rsidRDefault="0085709A" w:rsidP="0085709A">
      <w:pPr>
        <w:pStyle w:val="TextoNormal"/>
      </w:pPr>
      <w:r>
        <w:t>Asimismo, el representante del Estado estima que el recurrente no ha justificado suficientemente la especial trascendencia constitucional del recurso. En su opinión, procede la inadmisión del amparo “al no estar debidamente alegada y probada la razón de la especial trascendencia constitucional que se invoca, al existir una doctrina consolidada del Tribunal sobre esta materia, sobre la que el presente caso no añade ninguna circunstancia novedosa”.</w:t>
      </w:r>
    </w:p>
    <w:p w:rsidR="0085709A" w:rsidRDefault="0085709A" w:rsidP="0085709A">
      <w:pPr>
        <w:pStyle w:val="TextoNormal"/>
      </w:pPr>
    </w:p>
    <w:p w:rsidR="0085709A" w:rsidRDefault="0085709A" w:rsidP="0085709A">
      <w:pPr>
        <w:pStyle w:val="TextoNormal"/>
      </w:pPr>
      <w:r>
        <w:t xml:space="preserve">Subsidiariamente, el Abogado del Estado interesa la desestimación del amparo, ya que, en su opinión, las demoras producidas en el caso planteado obedecen a “deficiencias estructurales”, concepto en el que el Tribunal debería, a su juicio, profundizar. Así, el Abogado del Estado entiende que la estimación del amparo debería reservarse exclusivamente para aquellos casos en los que las deficiencias estructurales pueden ser “corregidas o eliminadas a corto plazo mediante un uso demostrablemente más racional y eficiente de los recursos materiales y humanos ya disponibles”. En cambio, deberían desestimarse los amparos solicitados cuando las deficiencias estructurales resultan de la mera comparación de la “realidad empírica de un sistema judicial con una especie de ideal de funcionamiento”, difícilmente alcanzable en un contexto de “aguda y profunda crisis financiera”. A juicio del Abogado </w:t>
      </w:r>
      <w:r>
        <w:lastRenderedPageBreak/>
        <w:t>del Estado este último sería el caso del recurso de amparo deducido en el presente proceso constitucional.</w:t>
      </w:r>
    </w:p>
    <w:p w:rsidR="0085709A" w:rsidRDefault="0085709A" w:rsidP="0085709A">
      <w:pPr>
        <w:pStyle w:val="TextoNormal"/>
      </w:pPr>
    </w:p>
    <w:p w:rsidR="0085709A" w:rsidRDefault="0085709A" w:rsidP="0085709A">
      <w:pPr>
        <w:pStyle w:val="TextoNormal"/>
      </w:pPr>
      <w:r w:rsidRPr="0085709A">
        <w:rPr>
          <w:rStyle w:val="NumeroAFNegritaCaracter"/>
        </w:rPr>
        <w:t>7</w:t>
      </w:r>
      <w:r>
        <w:t>. En fecha 28 de abril de 2015 tuvo entrada el escrito de alegaciones del Ministerio Fiscal, en el que interesa que se otorgue el amparo solicitado por el demandante.</w:t>
      </w:r>
    </w:p>
    <w:p w:rsidR="0085709A" w:rsidRDefault="0085709A" w:rsidP="0085709A">
      <w:pPr>
        <w:pStyle w:val="TextoNormal"/>
      </w:pPr>
    </w:p>
    <w:p w:rsidR="0085709A" w:rsidRDefault="0085709A" w:rsidP="0085709A">
      <w:pPr>
        <w:pStyle w:val="TextoNormal"/>
      </w:pPr>
      <w:r>
        <w:t>Comienza por advertir el Fiscal que el recurso planteado no ha perdido su objeto. Con cita de la STC 99/2014, de 23 de junio, FJ 2, pone de relieve que el hecho de que la vista en cuestión se haya celebrado e incluso se haya dictado también Sentencia sobre el fondo del asunto no implica la desaparición de la posible lesión del derecho y, en consecuencia, no puede ser óbice para apreciar la eventual vulneración existente, que debe relacionarse con el momento de la presentación de la demanda de amparo.</w:t>
      </w:r>
    </w:p>
    <w:p w:rsidR="0085709A" w:rsidRDefault="0085709A" w:rsidP="0085709A">
      <w:pPr>
        <w:pStyle w:val="TextoNormal"/>
      </w:pPr>
    </w:p>
    <w:p w:rsidR="0085709A" w:rsidRDefault="0085709A" w:rsidP="0085709A">
      <w:pPr>
        <w:pStyle w:val="TextoNormal"/>
      </w:pPr>
      <w:r>
        <w:t>Tampoco habría privado de objeto al recurso la anticipación de la celebración de la vista al 14 de junio de 2011, ya que el nuevo señalamiento efectuado por el órgano judicial en la providencia de 22 de julio de 2010 no remediaba del todo, a juicio del Fiscal, la indebida demora en la resolución del litigio. Recuerda, en este punto, el Ministerio Fiscal que la STC 54/2014, de 10 de abril, FJ 3, ya aclaró que la anticipación del señalamiento de la vista por el órgano judicial no produce la pérdida sobrevenida de objeto si “el período transcurrido desde la interposición del recurso contencioso-administrativo hasta la celebración de la vista sigue siendo motivo suficiente para fundamentar la queja planteada”. En la medida en que la celebración de la vista seguía dilatándose casi dos años y medio desde la fecha de admisión de la demanda, la decisión adoptada por el órgano judicial en la providencia de 22 de julio de 2010 no privó de objeto al recurso de amparo previamente presentado ante este Tribunal.</w:t>
      </w:r>
    </w:p>
    <w:p w:rsidR="0085709A" w:rsidRDefault="0085709A" w:rsidP="0085709A">
      <w:pPr>
        <w:pStyle w:val="TextoNormal"/>
      </w:pPr>
    </w:p>
    <w:p w:rsidR="0085709A" w:rsidRDefault="0085709A" w:rsidP="0085709A">
      <w:pPr>
        <w:pStyle w:val="TextoNormal"/>
      </w:pPr>
      <w:r>
        <w:t>Entrando en el núcleo de la cuestión constitucional planteada, entiende el Fiscal, luego de resumir la doctrina contenida en las SSTC 99/2014, de 23 de junio; 89/2014, de 9 de junio, y 54/2014, de 10 de abril, que el señalamiento finalmente efectuado por el Juzgado para el 14 de junio de 2011 representa una demora de casi dos años y medio desde la fecha de interposición del recurso, análoga a los plazos para la celebración de una vista considerados excesivos por las Sentencias antes citadas de este Tribunal.</w:t>
      </w:r>
    </w:p>
    <w:p w:rsidR="0085709A" w:rsidRDefault="0085709A" w:rsidP="0085709A">
      <w:pPr>
        <w:pStyle w:val="TextoNormal"/>
      </w:pPr>
    </w:p>
    <w:p w:rsidR="0085709A" w:rsidRDefault="0085709A" w:rsidP="0085709A">
      <w:pPr>
        <w:pStyle w:val="TextoNormal"/>
      </w:pPr>
      <w:r>
        <w:t>Sostiene con base en ello, conforme ha dispuesto este Tribunal en la reciente STC 54/2014, de 10 de abril, que no altera el carácter no justificado del retraso y tampoco impide a los ciudadanos reaccionar frente al mismo que la dilación se deba a un problema de carácter estructural y no a la pasividad del órgano judicial, ni a su silencio ante peticiones del recurrente o a una ausencia de actividad procesal durante largos periodos de tiempo. Más aún, prosigue, si se tiene en cuenta que el asunto planteado no revestía una especial complejidad, que el retraso no era imputable a la conducta del demandante, que éste denunció las dilaciones mediante escrito de 27 de marzo de 2009, y que el fondo del asunto afectaba a un importante interés, pues de la resolución del litigio “dependía su continuidad o no en España”, ya que era una decisión de expulsión la que había sido recurrida.</w:t>
      </w:r>
    </w:p>
    <w:p w:rsidR="0085709A" w:rsidRDefault="0085709A" w:rsidP="0085709A">
      <w:pPr>
        <w:pStyle w:val="TextoNormal"/>
      </w:pPr>
    </w:p>
    <w:p w:rsidR="0085709A" w:rsidRDefault="0085709A" w:rsidP="0085709A">
      <w:pPr>
        <w:pStyle w:val="TextoNormal"/>
      </w:pPr>
      <w:r>
        <w:t>Por lo expuesto, el Fiscal considera que, dadas las circunstancias del presente supuesto, se ha producido la vulneración del derecho del demandante a un proceso sin dilaciones indebidas, interesando que el otorgamiento de un amparo tenga un alcance meramente declarativo, en la medida en que el procedimiento judicial ya ha concluido.</w:t>
      </w:r>
    </w:p>
    <w:p w:rsidR="0085709A" w:rsidRDefault="0085709A" w:rsidP="0085709A">
      <w:pPr>
        <w:pStyle w:val="TextoNormal"/>
      </w:pPr>
    </w:p>
    <w:p w:rsidR="0085709A" w:rsidRDefault="0085709A" w:rsidP="0085709A">
      <w:pPr>
        <w:pStyle w:val="TextoNormal"/>
      </w:pPr>
      <w:r w:rsidRPr="0085709A">
        <w:rPr>
          <w:rStyle w:val="NumeroAFNegritaCaracter"/>
        </w:rPr>
        <w:t>8</w:t>
      </w:r>
      <w:r>
        <w:t>. La parte recurrente dejó transcurrir el plazo conferido sin formular alegaciones, de lo que dejó constancia la Secretaría de Justicia de la Sala Segunda mediante diligencia de 4 de mayo de 2015.</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7 de mayo de 2015 se acordó para deliberación y fallo el día 11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De acuerdo con lo expuesto en los antecedentes, la demanda de amparo se dirige contra el Auto del Juzgado de lo Contencioso-Administrativo núm. 2 de Madrid, de fecha 13 de abril de 2009, resolución que, a juicio del demandante, vulnera su derecho fundamental a un proceso sin dilaciones indebidas (art. 24.2 CE). En síntesis, el demandante afirma que el señalamiento de la vista del procedimiento abreviado núm. 1276-2008, efectuado inicialmente para el 20 de noviembre de 2012 ha sido excesivamente tardío teniendo en cuenta que el recurso fue presentado el 25 de noviembre de 2008. No habiendo acordado el Auto impugnado la celebración de la vista en un plazo razonable, entiende que resultó vulnerado el derecho fundamental anteriormente indicado.</w:t>
      </w:r>
    </w:p>
    <w:p w:rsidR="0085709A" w:rsidRDefault="0085709A" w:rsidP="0085709A">
      <w:pPr>
        <w:pStyle w:val="TextoNormal"/>
      </w:pPr>
    </w:p>
    <w:p w:rsidR="0085709A" w:rsidRDefault="0085709A" w:rsidP="0085709A">
      <w:pPr>
        <w:pStyle w:val="TextoNormal"/>
      </w:pPr>
      <w:r>
        <w:t>El Abogado del Estado interesa que se declare la pérdida sobrevenida de objeto o, en su defecto, que se acuerde la inadmisión del presente recurso de amparo, dada la falta de justificación de la especial trascendencia constitucional. Con carácter subsidiario postula la desestimación del recurso, al no apreciar lesión del derecho fundamental invocado.</w:t>
      </w:r>
    </w:p>
    <w:p w:rsidR="0085709A" w:rsidRDefault="0085709A" w:rsidP="0085709A">
      <w:pPr>
        <w:pStyle w:val="TextoNormal"/>
      </w:pPr>
    </w:p>
    <w:p w:rsidR="0085709A" w:rsidRDefault="0085709A" w:rsidP="0085709A">
      <w:pPr>
        <w:pStyle w:val="TextoNormal"/>
      </w:pPr>
      <w:r>
        <w:t>El Ministerio Fiscal interesa, por su parte, la estimación del recurso y el consiguiente reconocimiento de la lesión del derecho a no sufrir dilaciones indebidas (art. 24.2 CE), sin que proceda emitir otros pronunciamientos adicionales.</w:t>
      </w:r>
    </w:p>
    <w:p w:rsidR="0085709A" w:rsidRDefault="0085709A" w:rsidP="0085709A">
      <w:pPr>
        <w:pStyle w:val="TextoNormal"/>
      </w:pPr>
    </w:p>
    <w:p w:rsidR="0085709A" w:rsidRDefault="0085709A" w:rsidP="0085709A">
      <w:pPr>
        <w:pStyle w:val="TextoNormal"/>
      </w:pPr>
      <w:r w:rsidRPr="0085709A">
        <w:rPr>
          <w:rStyle w:val="NumeroAFNegritaCaracter"/>
        </w:rPr>
        <w:t>2</w:t>
      </w:r>
      <w:r>
        <w:t>. Comenzando por la alegación del Abogado del Estado relativa a la pérdida sobrevenida de objeto, debe recordarse que tanto esta Sala, en la STC 99/2014, de 23 de junio, FJ 2, como antes aún el Pleno de este Tribunal, en la STC 54/2014, de 10 de abril, FJ 3, han señalado que aunque al tiempo de dictarse la Sentencia resolutoria del recurso de amparo la dilación indebida denunciada ya haya cesado, “no por ello debe apreciarse que haya quedado privado de objeto el proceso constitucional de amparo, pues no puede considerarse reparada aquélla mediante una actuación judicial tardía o demorada”. De lo contrario, añadía el Pleno del Tribunal, con cita de la STC 141/2010, de 21 de diciembre, FJ 2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(SSTC 54/2014, de 10 de abril, FJ 3, y 58/2014, de 5 de mayo, FJ 3).</w:t>
      </w:r>
    </w:p>
    <w:p w:rsidR="0085709A" w:rsidRDefault="0085709A" w:rsidP="0085709A">
      <w:pPr>
        <w:pStyle w:val="TextoNormal"/>
      </w:pPr>
    </w:p>
    <w:p w:rsidR="0085709A" w:rsidRDefault="0085709A" w:rsidP="0085709A">
      <w:pPr>
        <w:pStyle w:val="TextoNormal"/>
      </w:pPr>
      <w:r>
        <w:lastRenderedPageBreak/>
        <w:t>En particular, tal y como pone de manifiesto el Ministerio Fiscal, la STC 54/2014, de 10 de abril, FJ 3, precisó que la anticipación del señalamiento de la vista no produce la pérdida sobrevenida de objeto cuando “el período transcurrido desde la interposición del recurso contencioso-administrativo hasta la celebración de la vista sigue siendo motivo suficiente para fundamentar la queja planteada”. Por esta razón, en la medida en que la vista señalada por la providencia de 22 de julio de 2010 para el 14 de junio de 2011 seguía suponiendo una importante demora de casi dos años y medio desde la fecha de admisión de la demanda, no puede considerarse que concurra un supuesto de pérdida sobrevenida de objeto postulada por el Abogado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En segundo lugar, y antes de entrar en la cuestión sustantiva, es necesario analizar el óbice procesal formulado por la representación del Estado, que considera que el demandante no ha justificado correctamente la especial trascendencia constitucional del recurso.</w:t>
      </w:r>
    </w:p>
    <w:p w:rsidR="0085709A" w:rsidRDefault="0085709A" w:rsidP="0085709A">
      <w:pPr>
        <w:pStyle w:val="TextoNormal"/>
      </w:pPr>
    </w:p>
    <w:p w:rsidR="0085709A" w:rsidRDefault="0085709A" w:rsidP="0085709A">
      <w:pPr>
        <w:pStyle w:val="TextoNormal"/>
      </w:pPr>
      <w:r>
        <w:t>La demanda contiene un apartado específico en el que el recurrente realiza un amplio esfuerzo argumental tendente a justificar la especial trascendencia del asunto. Dicha argumentación no se centra exclusivamente en la lesión del derecho fundamental y sus consecuencias, sino que tiende, como ocurriera en el caso de la STC 99/2014, de 23 de junio, a “poner de relieve la dimensión social de la problemática que suscita la tardía celebración de la vista en supuestos, como en el presente caso ocurre, en que ha sido acordada la expulsión del territorio nacional” (FJ 3).</w:t>
      </w:r>
    </w:p>
    <w:p w:rsidR="0085709A" w:rsidRDefault="0085709A" w:rsidP="0085709A">
      <w:pPr>
        <w:pStyle w:val="TextoNormal"/>
      </w:pPr>
    </w:p>
    <w:p w:rsidR="0085709A" w:rsidRDefault="0085709A" w:rsidP="0085709A">
      <w:pPr>
        <w:pStyle w:val="TextoNormal"/>
      </w:pPr>
      <w:r>
        <w:t>Como también ocurría en el caso resuelto en la citada Sentencia, la especial trascendencia constitucional se deduce igualmente en la demanda de amparo del “contraste entre la resolución judicial impugnada y la doctrina que este Tribunal ha elaborado en relación con la incidencia de las deficiencias estructurales en relación con las dilaciones indebidas, la cual aparece reflejada en algunas de las Sentencias que el demandante expresamente cita en la demanda” (FJ 3). Este contraste con la referida doctrina, puesto de manifiesto por el recurrente, podría llevar a este Tribunal a un proceso de reflexión interno dirigido a un posible cambio doctrinal (supuesto previsto en la letra b, fundamento jurídico 2, de la STC 155/2009, de 25 de junio). En consecuencia, con estos antecedentes, cabe concluir que se ha cumplimentado por la parte recurrente el razonable esfuerzo argumental que le compete en orden a enlazar las infracciones constitucionales denunciadas con alguno de los criterios establecidos en el art. 50.1 b) de la Ley Orgánica del Tribunal Constitucional,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w:t>
      </w:r>
    </w:p>
    <w:p w:rsidR="0085709A" w:rsidRDefault="0085709A" w:rsidP="0085709A">
      <w:pPr>
        <w:pStyle w:val="TextoNormal"/>
      </w:pPr>
    </w:p>
    <w:p w:rsidR="0085709A" w:rsidRDefault="0085709A" w:rsidP="0085709A">
      <w:pPr>
        <w:pStyle w:val="TextoNormal"/>
      </w:pPr>
      <w:r w:rsidRPr="0085709A">
        <w:rPr>
          <w:rStyle w:val="NumeroAFNegritaCaracter"/>
        </w:rPr>
        <w:t>4</w:t>
      </w:r>
      <w:r>
        <w:t>. Descartada la concurrencia del óbice, procede abordar el fondo de la queja planteada, siguiendo para ello las pautas establecidas en la aludida STC 54/2014, de 10 de abril, FJ 4. Como recordamos en dicha resolución, el juicio sobre el contenido concreto de las dilaciones, y sobre si son o no indebidas, debe ser el resultado de la aplicación a las circunstancias específicas de cada caso de los criterios objetivos que a lo largo de nuestra jurisprudencia se han ido precisando. Dichos criterios son: (i) la complejidad del litigio, (ii) los márgenes ordinarios de duración de los litigios del mismo tipo, (iii) el interés que arriesga el demandante de amparo, (iv) su conducta procesal, y (v) la conducta de las autoridades.</w:t>
      </w:r>
    </w:p>
    <w:p w:rsidR="0085709A" w:rsidRDefault="0085709A" w:rsidP="0085709A">
      <w:pPr>
        <w:pStyle w:val="TextoNormal"/>
      </w:pPr>
    </w:p>
    <w:p w:rsidR="0085709A" w:rsidRDefault="0085709A" w:rsidP="0085709A">
      <w:pPr>
        <w:pStyle w:val="TextoNormal"/>
      </w:pPr>
      <w:r>
        <w:lastRenderedPageBreak/>
        <w:t>Aplicando la anterior doctrina al caso, podemos afirmar que las dilaciones han sido indebidas, pues:</w:t>
      </w:r>
    </w:p>
    <w:p w:rsidR="0085709A" w:rsidRDefault="0085709A" w:rsidP="0085709A">
      <w:pPr>
        <w:pStyle w:val="TextoNormal"/>
      </w:pPr>
    </w:p>
    <w:p w:rsidR="0085709A" w:rsidRDefault="0085709A" w:rsidP="0085709A">
      <w:pPr>
        <w:pStyle w:val="TextoNormal"/>
      </w:pPr>
      <w:r>
        <w:t>(i) El asunto planteado, como se dice en la demanda, no revestía una especial complejidad, al tratarse de un recurso interpuesto contra una decisión administrativa de expulsión. Teniendo en cuenta la pretensión deducida ante el órgano judicial —que ni siquiera éste califica como particularmente compleja— no parece razonable que su señalamiento y resolución se haya diferido, con evidente perjuicio del recurrente, a una fecha tan lejana, casi dos años y medio después de la interposición del recurso contencioso-administrativo. Ello ha supuesto para el demandante una larga espera antes de poder saber si podría permanecer lícitamente en España.</w:t>
      </w:r>
    </w:p>
    <w:p w:rsidR="0085709A" w:rsidRDefault="0085709A" w:rsidP="0085709A">
      <w:pPr>
        <w:pStyle w:val="TextoNormal"/>
      </w:pPr>
    </w:p>
    <w:p w:rsidR="0085709A" w:rsidRDefault="0085709A" w:rsidP="0085709A">
      <w:pPr>
        <w:pStyle w:val="TextoNormal"/>
      </w:pPr>
      <w:r>
        <w:t>(ii) En cuanto a los márgenes ordinarios de duración de los litigios, este Tribunal ha tenido ocasión de pronunciarse, en diferentes ocasiones, sobre la vulneración del derecho a un proceso sin dilaciones indebidas, con motivo del señalamiento de la vista. Concretamente, la STC 93/2008 contempló un supuesto en que dicho señalamiento se fijó para el 23 de octubre de 2008, mientras que el recurso en sede judicial, contra una denegación de permiso de residencia y trabajo, había sido presentado el 6 de abril de 2006; en el caso enjuiciado en la STC 141/2010, de 21 de diciembre, la vista fue establecida para el 9 de marzo de 2010 y el recurso, contra un decreto de expulsión del territorio nacional, se interpuso el 30 de julio de 2008; en el supuesto analizado en la STC 142/2010, de 21 de diciembre, las fechas de la vista y de interposición del recurso, frente a una denegación de asilo, fueron el 15 de febrero de 2011 y 28 de julio de 2009; y, por último, para terminar con los ejemplos, en la STC 54/2014, de 10 de abril, la fecha del señalamiento y celebración de la vista fueron, respectivamente, el 27 de febrero de 2009 y 17 de mayo de 2011. Cabe advertir, por tanto, que el presente caso se inscribe también en lo que nuestra doctrina ha calificado como demora constitutiva de una dilación indebida.</w:t>
      </w:r>
    </w:p>
    <w:p w:rsidR="0085709A" w:rsidRDefault="0085709A" w:rsidP="0085709A">
      <w:pPr>
        <w:pStyle w:val="TextoNormal"/>
      </w:pPr>
    </w:p>
    <w:p w:rsidR="0085709A" w:rsidRDefault="0085709A" w:rsidP="0085709A">
      <w:pPr>
        <w:pStyle w:val="TextoNormal"/>
      </w:pPr>
      <w:r>
        <w:t>(iii) El interés que arriesga el recurrente en el pleito es el de obtener una resolución judicial que determine si era o no ajustada a Derecho una resolución de la Delegación del Gobierno en Madrid que afectaba necesariamente a un ámbito preferente de sus derechos e intereses legítimos, relacionado con la organización de su vida familiar y social, pues del sentido de la misma dependía su permanencia en España.</w:t>
      </w:r>
    </w:p>
    <w:p w:rsidR="0085709A" w:rsidRDefault="0085709A" w:rsidP="0085709A">
      <w:pPr>
        <w:pStyle w:val="TextoNormal"/>
      </w:pPr>
    </w:p>
    <w:p w:rsidR="0085709A" w:rsidRDefault="0085709A" w:rsidP="0085709A">
      <w:pPr>
        <w:pStyle w:val="TextoNormal"/>
      </w:pPr>
      <w:r>
        <w:t>(iv) Ha de excluirse que la conducta del demandante merezca reproche alguno, dado que, además de no haber propiciado el retraso en cuestión, ha venido denunciando ante el órgano judicial la concurrencia de las supuestas dilaciones, como pone de relieve singularmente el escrito de 27 de marzo de 2009 en el que el actor puso de manifiesto la vulneración del derecho fundamental y en el que solicitó expresamente que se anticipara la fecha de celebración de la vista.</w:t>
      </w:r>
    </w:p>
    <w:p w:rsidR="0085709A" w:rsidRDefault="0085709A" w:rsidP="0085709A">
      <w:pPr>
        <w:pStyle w:val="TextoNormal"/>
      </w:pPr>
    </w:p>
    <w:p w:rsidR="0085709A" w:rsidRDefault="0085709A" w:rsidP="0085709A">
      <w:pPr>
        <w:pStyle w:val="TextoNormal"/>
      </w:pPr>
      <w:r>
        <w:t>Finalmente, debe reseñarse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 en tanto que el ciudadano es ajeno a esas circunstancias.</w:t>
      </w:r>
    </w:p>
    <w:p w:rsidR="0085709A" w:rsidRDefault="0085709A" w:rsidP="0085709A">
      <w:pPr>
        <w:pStyle w:val="TextoNormal"/>
      </w:pPr>
    </w:p>
    <w:p w:rsidR="0085709A" w:rsidRDefault="0085709A" w:rsidP="0085709A">
      <w:pPr>
        <w:pStyle w:val="TextoNormal"/>
      </w:pPr>
      <w:r>
        <w:lastRenderedPageBreak/>
        <w:t xml:space="preserve">Como afirmamos en la ya citada STC 54/2014, por referencia a la doctrina contenida en la STC 142/2010, de 21 de diciembre,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 Este es también el criterio del Tribunal Europeo de Derechos Humanos cuando en su Sentencia caso </w:t>
      </w:r>
      <w:r w:rsidRPr="0085709A">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85709A">
        <w:rPr>
          <w:i/>
        </w:rPr>
        <w:t>Lenaerts contra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 (FJ 6).</w:t>
      </w:r>
    </w:p>
    <w:p w:rsidR="0085709A" w:rsidRDefault="0085709A" w:rsidP="0085709A">
      <w:pPr>
        <w:pStyle w:val="TextoNormal"/>
      </w:pPr>
    </w:p>
    <w:p w:rsidR="0085709A" w:rsidRDefault="0085709A" w:rsidP="0085709A">
      <w:pPr>
        <w:pStyle w:val="TextoNormal"/>
      </w:pPr>
      <w:r w:rsidRPr="0085709A">
        <w:rPr>
          <w:rStyle w:val="NumeroAFNegritaCaracter"/>
        </w:rPr>
        <w:t>5</w:t>
      </w:r>
      <w:r>
        <w:t>. Por todo ello, se ha vulnerado el derecho a un proceso sin dilaciones indebidas del recurrente (art. 24.2 CE). No obstante, el otorgamiento del amparo debe limitarse a la declaración de la violación del derecho fundamental, toda vez que se deduce de las actuaciones recibidas en este Tribunal que el procedimiento en cuestión ya ha concluido, habiéndose celebrado la vista acordada por el Juzgado y habiendo recaído, incluso, Sentencia tanto en instancia como en apelación.</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a don Hermenegildo Abaga Maye Obomo y, en su virtud, declarar que se ha vulnerado su derecho a un proceso sin dilaciones indebidas (art. 24.2 CE).</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once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1" w:name="SENTENCIA_2015_88"/>
      <w:r>
        <w:lastRenderedPageBreak/>
        <w:t>SENTENCIA 88/2015, de 11 de mayo de 2015</w:t>
      </w:r>
    </w:p>
    <w:bookmarkEnd w:id="91"/>
    <w:p w:rsidR="0085709A" w:rsidRDefault="0085709A" w:rsidP="0085709A">
      <w:pPr>
        <w:pStyle w:val="TtuloResolucin"/>
      </w:pPr>
      <w:r>
        <w:t>Sala Segunda</w:t>
      </w:r>
    </w:p>
    <w:p w:rsidR="0085709A" w:rsidRDefault="0085709A" w:rsidP="0085709A">
      <w:pPr>
        <w:pStyle w:val="TtuloBOE"/>
      </w:pPr>
      <w:r>
        <w:t>(BOE núm. 146, de 19 de junio de 2015)</w:t>
      </w:r>
    </w:p>
    <w:p w:rsidR="0085709A" w:rsidRDefault="0085709A" w:rsidP="0085709A">
      <w:pPr>
        <w:pStyle w:val="TextoNormalCentrado"/>
      </w:pPr>
      <w:r>
        <w:t>ECLI:ES:TC:2015:88</w:t>
      </w:r>
    </w:p>
    <w:p w:rsidR="0085709A" w:rsidRDefault="0085709A" w:rsidP="0085709A">
      <w:pPr>
        <w:pStyle w:val="TextoNormalCentrado"/>
      </w:pPr>
    </w:p>
    <w:p w:rsidR="0085709A" w:rsidRDefault="0085709A" w:rsidP="0085709A">
      <w:pPr>
        <w:pStyle w:val="SntesisDescriptiva"/>
      </w:pPr>
      <w:r>
        <w:t>Recurso de amparo 2151-2010. Promovido por don Edgar Antonio Reyes Gutiérrez respecto del Auto dictado por el Juzgado de lo Contencioso-Administrativo núm. 20 de Madrid en proceso sobre orden de expulsión del territorio nacional.</w:t>
      </w:r>
    </w:p>
    <w:p w:rsidR="0085709A" w:rsidRDefault="0085709A" w:rsidP="0085709A">
      <w:pPr>
        <w:pStyle w:val="SntesisDescriptiva"/>
      </w:pPr>
    </w:p>
    <w:p w:rsidR="0085709A" w:rsidRDefault="0085709A" w:rsidP="0085709A">
      <w:pPr>
        <w:pStyle w:val="SntesisAnaltica"/>
      </w:pPr>
      <w:r>
        <w:t>Vulneración del derecho a un proceso sin dilaciones indebidas: demora superior a dos años en la celebración de la vista del juicio en un procedimiento abreviado contencioso-administrativo (STC 142/2010).</w:t>
      </w:r>
    </w:p>
    <w:p w:rsidR="0085709A" w:rsidRDefault="0085709A" w:rsidP="0085709A">
      <w:pPr>
        <w:pStyle w:val="SntesisAnaltica"/>
      </w:pPr>
    </w:p>
    <w:p w:rsidR="0085709A" w:rsidRDefault="0085709A" w:rsidP="0085709A">
      <w:pPr>
        <w:pStyle w:val="Extracto"/>
      </w:pPr>
      <w:r>
        <w:t>1.</w:t>
      </w:r>
      <w:r>
        <w:tab/>
        <w:t>Se ha vulnerado el derecho a un proceso sin dilaciones indebidas del recurrente y el otorgamiento del amparo debe limitarse a la declaración de la violación del derecho fundamental, toda vez que se deduce de las actuaciones recibidas en este Tribunal que el procedimiento en cuestión ya ha concluido, habiéndose celebrado la vista acordada por el Juzgado y habiendo recaído, incluso, Sentencia tanto en instancia como en apelación [FJ 5].</w:t>
      </w:r>
    </w:p>
    <w:p w:rsidR="0085709A" w:rsidRDefault="0085709A" w:rsidP="0085709A">
      <w:pPr>
        <w:pStyle w:val="Extracto"/>
      </w:pPr>
    </w:p>
    <w:p w:rsidR="0085709A" w:rsidRDefault="0085709A" w:rsidP="0085709A">
      <w:pPr>
        <w:pStyle w:val="Extracto"/>
      </w:pPr>
      <w:r>
        <w:t>2.</w:t>
      </w:r>
      <w:r>
        <w:tab/>
        <w:t>Aunque al tiempo de dictarse la Sentencia resolutoria del recurso de amparo la dilación indebida denunciada ya haya cesado, no por ello debe apreciarse que haya quedado privado de objeto el proceso constitucional de amparo, pues no puede considerarse reparada aquélla mediante una actuación judicial tardía o demorada (SSTC 99/2014, 54/2014) [FJ 2].</w:t>
      </w:r>
    </w:p>
    <w:p w:rsidR="0085709A" w:rsidRDefault="0085709A" w:rsidP="0085709A">
      <w:pPr>
        <w:pStyle w:val="Extracto"/>
      </w:pPr>
    </w:p>
    <w:p w:rsidR="0085709A" w:rsidRDefault="0085709A" w:rsidP="0085709A">
      <w:pPr>
        <w:pStyle w:val="Extracto"/>
      </w:pPr>
      <w:r>
        <w:t>3.</w:t>
      </w:r>
      <w:r>
        <w:tab/>
        <w:t>El juicio sobre el contenido concreto de las dilaciones, y sobre si son o no indebidas, debe ser el resultado de la aplicación, a las circunstancias específicas de cada caso,  de los criterios objetivos que a lo largo de la jurisprudencia constitucional se han ido precisando, siendo tales criterios: la complejidad del litigio, los márgenes ordinarios de duración de los litigios del mismo tipo, el interés que arriesga el demandante de amparo, su conducta procesal y la conducta de las autoridades (STC 54/2014) [FJ 4].</w:t>
      </w:r>
    </w:p>
    <w:p w:rsidR="0085709A" w:rsidRDefault="0085709A" w:rsidP="0085709A">
      <w:pPr>
        <w:pStyle w:val="Extracto"/>
      </w:pPr>
    </w:p>
    <w:p w:rsidR="0085709A" w:rsidRDefault="0085709A" w:rsidP="0085709A">
      <w:pPr>
        <w:pStyle w:val="Extracto"/>
      </w:pPr>
      <w:r>
        <w:t>4.</w:t>
      </w:r>
      <w:r>
        <w:tab/>
        <w:t>El hecho de que la demora denunciada se deba a motivos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 en tanto que el ciudadano es ajeno a esas circunstancias [FJ 4].</w:t>
      </w:r>
    </w:p>
    <w:p w:rsidR="0085709A" w:rsidRDefault="0085709A" w:rsidP="0085709A">
      <w:pPr>
        <w:pStyle w:val="Extracto"/>
      </w:pPr>
    </w:p>
    <w:p w:rsidR="0085709A" w:rsidRDefault="0085709A" w:rsidP="0085709A">
      <w:pPr>
        <w:pStyle w:val="Extracto"/>
      </w:pPr>
      <w:r>
        <w:t>5.</w:t>
      </w:r>
      <w:r>
        <w:tab/>
        <w:t>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(STC 142/2010) [FJ 4].</w:t>
      </w:r>
    </w:p>
    <w:p w:rsidR="0085709A" w:rsidRDefault="0085709A" w:rsidP="0085709A">
      <w:pPr>
        <w:pStyle w:val="Extracto"/>
      </w:pPr>
    </w:p>
    <w:p w:rsidR="0085709A" w:rsidRDefault="0085709A" w:rsidP="0085709A">
      <w:pPr>
        <w:pStyle w:val="Extracto"/>
      </w:pPr>
      <w:r>
        <w:lastRenderedPageBreak/>
        <w:t>6.</w:t>
      </w:r>
      <w:r>
        <w:tab/>
        <w:t>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142/2010) [FJ 4].</w:t>
      </w:r>
    </w:p>
    <w:p w:rsidR="0085709A" w:rsidRDefault="0085709A" w:rsidP="0085709A">
      <w:pPr>
        <w:pStyle w:val="Extracto"/>
      </w:pPr>
    </w:p>
    <w:p w:rsidR="0085709A" w:rsidRDefault="0085709A" w:rsidP="0085709A">
      <w:pPr>
        <w:pStyle w:val="Extracto"/>
      </w:pPr>
      <w:r>
        <w:t>7.</w:t>
      </w:r>
      <w:r>
        <w:tab/>
        <w:t>La especial trascendencia constitucional se deduce en la demanda de amparo del contraste entre la resolución judicial impugnada y la doctrina que el Tribunal ha elaborado en relación con la incidencia de las deficiencias estructurales en relación con las dilaciones indebidas, dirigido a un posible cambio doctrinal (STC 155/2009)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2151-2010, promovido por don Edgar Antonio Reyes Gutiérrez, representado por la Procuradora de los Tribunales doña María del Mar Serrano Moreno y asistido por el Letrado don Julio García Latorre, contra el Auto de 12 de febrero de 2010 del Juzgado de lo Contencioso-Administrativo núm. 20 de Madrid, dictado en el procedimiento abreviado núm. 1079-2009. Ha comparecido el Abogado del Estado. Ha intervenido el Ministerio Fiscal.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día 15 de marzo de 2010, por el Letrado don Julio García Latorre, en nombre de don Edgar Antonio Reyes Gutiérrez, se interpuso recurso de amparo contra la resolución antes citada, solicitando en el mismo escrito se le designara procurador del turno de oficio que asumiera su representación. Esta designación se efectuó en la persona de la Procuradora de los Tribunales doña María Eugenia de Francisco Ferreras, que ratificó dicho recurso de amparo en fecha 24 de mayo de 2010.</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lastRenderedPageBreak/>
        <w:t>a) El 19 de noviembre de 2009 el demandante de amparo interpuso recurso contencioso-administrativo contra la resolución de 30 de octubre de 2009 de la Delegación del Gobierno en Madrid por la que se decretaba su expulsión del territorio nacional, con prohibición de entrada en España por un período de tres años.</w:t>
      </w:r>
    </w:p>
    <w:p w:rsidR="0085709A" w:rsidRDefault="0085709A" w:rsidP="0085709A">
      <w:pPr>
        <w:pStyle w:val="TextoNormal"/>
      </w:pPr>
    </w:p>
    <w:p w:rsidR="0085709A" w:rsidRDefault="0085709A" w:rsidP="0085709A">
      <w:pPr>
        <w:pStyle w:val="TextoNormal"/>
      </w:pPr>
      <w:r>
        <w:t>b) En fecha 10 de diciembre de 2009, el Juzgado Contencioso-Administrativo núm. 20 de Madrid dictó providencia en la que tuvo por formulado el recurso. Mediante providencia de 22 de diciembre de 2009, el órgano judicial ordenó la citación de las partes para la celebración de vista el día 20 de febrero de 2012, a las 9:55 horas.</w:t>
      </w:r>
    </w:p>
    <w:p w:rsidR="0085709A" w:rsidRDefault="0085709A" w:rsidP="0085709A">
      <w:pPr>
        <w:pStyle w:val="TextoNormal"/>
      </w:pPr>
    </w:p>
    <w:p w:rsidR="0085709A" w:rsidRDefault="0085709A" w:rsidP="0085709A">
      <w:pPr>
        <w:pStyle w:val="TextoNormal"/>
      </w:pPr>
      <w:r>
        <w:t>c) Frente a la referida resolución el demandante interpuso, en fecha de 18 de enero de 2010, recurso de súplica alegando que el señalamiento efectuado suponía una “importante demora” que entrañaba la vulneración de su derecho a un proceso público y con todas las garantías (art. 24.2 CE).</w:t>
      </w:r>
    </w:p>
    <w:p w:rsidR="0085709A" w:rsidRDefault="0085709A" w:rsidP="0085709A">
      <w:pPr>
        <w:pStyle w:val="TextoNormal"/>
      </w:pPr>
    </w:p>
    <w:p w:rsidR="0085709A" w:rsidRDefault="0085709A" w:rsidP="0085709A">
      <w:pPr>
        <w:pStyle w:val="TextoNormal"/>
      </w:pPr>
      <w:r>
        <w:t>d) Mediante Auto de 12 de febrero de 2010, el Juzgado desestimó el recurso de súplica. En el fundamento jurídico único de la resolución, el órgano judicial argumentó que las fechas de las vistas se fijaban “según los procedimientos lleguen y por orden en que lleguen, no existiendo ninguna de las causas para realizar un nuevo señalamiento”.</w:t>
      </w:r>
    </w:p>
    <w:p w:rsidR="0085709A" w:rsidRDefault="0085709A" w:rsidP="0085709A">
      <w:pPr>
        <w:pStyle w:val="TextoNormal"/>
      </w:pPr>
    </w:p>
    <w:p w:rsidR="0085709A" w:rsidRDefault="0085709A" w:rsidP="0085709A">
      <w:pPr>
        <w:pStyle w:val="TextoNormal"/>
      </w:pPr>
      <w:r>
        <w:t>e) El 20 de febrero de 2012 se celebró la vista, dictándose Sentencia desestimatoria el día siguiente. Esta resolución fue confirmada en apelación por la Sentencia de 28 de septiembre de 2012 de la Sala de lo Contencioso-Administrativo del Tribunal Superior de Justicia de Madrid, recaída en el recurso núm. 706-2012.</w:t>
      </w:r>
    </w:p>
    <w:p w:rsidR="0085709A" w:rsidRDefault="0085709A" w:rsidP="0085709A">
      <w:pPr>
        <w:pStyle w:val="TextoNormal"/>
      </w:pPr>
    </w:p>
    <w:p w:rsidR="0085709A" w:rsidRDefault="0085709A" w:rsidP="0085709A">
      <w:pPr>
        <w:pStyle w:val="TextoNormal"/>
      </w:pPr>
      <w:r w:rsidRPr="0085709A">
        <w:rPr>
          <w:rStyle w:val="NumeroAFNegritaCaracter"/>
        </w:rPr>
        <w:t>3</w:t>
      </w:r>
      <w:r>
        <w:t>. En su demanda de amparo, el recurrente considera que el señalamiento de vista para el 20 de febrero de 2012 vulnera su derecho a un proceso público sin dilaciones indebidas (art. 24.2 CE). A juicio del actor: (i) el recurso entablado carecía de especial complejidad, (ii) el retraso no era imputable a su conducta y (iii) la demora en la celebración de la vista le generaba un grave perjuicio, ya que la pendencia del recurso contencioso-administrativo le impedía regularizar su situación en España. Con cita de varias Sentencias de este Tribunal, el actor señala que “el elevado número de asuntos no legitima el retraso en resolver, ya que el hecho de que las situaciones de atascos se conviertan en habituales no justifica la excesiva duración de un proceso”. Por ello, aun cuando la causa del retraso pudiera considerarse estructural, la vulneración del derecho fundamental seguiría existiendo.</w:t>
      </w:r>
    </w:p>
    <w:p w:rsidR="0085709A" w:rsidRDefault="0085709A" w:rsidP="0085709A">
      <w:pPr>
        <w:pStyle w:val="TextoNormal"/>
      </w:pPr>
    </w:p>
    <w:p w:rsidR="0085709A" w:rsidRDefault="0085709A" w:rsidP="0085709A">
      <w:pPr>
        <w:pStyle w:val="TextoNormal"/>
      </w:pPr>
      <w:r w:rsidRPr="0085709A">
        <w:rPr>
          <w:rStyle w:val="NumeroAFNegritaCaracter"/>
        </w:rPr>
        <w:t>4</w:t>
      </w:r>
      <w:r>
        <w:t>. . La Sala Segunda de este Tribunal Constitucional admitió a trámite la demanda por providencia de 22 de enero de 2015, resolviendo al mismo tiempo requerir al Juzgado de lo Contencioso-Administrativo núm. 20 de Madrid para que remitiera testimonio de las actuaciones del procedimiento abreviado núm. 1079-2009, con la orden de que se emplazara a quienes hubieran sido parte en el procedimiento, excepto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Mediante diligencia de ordenación de la Secretaria de Justicia de la Sala Segunda de 24 de febrero de 2015, a tenor de lo dispuesto en el art. 52.1 de la Ley Orgánica del Tribunal Constitucional, se tuvo por personado y parte en el procedimiento al Abogado del Estado, en la representación que ostenta, y, asimismo, se acordó dar vista de las actuaciones recibidas a la parte recurrente, al Abogado del Estado y al Ministerio Fiscal por un plazo común </w:t>
      </w:r>
      <w:r>
        <w:lastRenderedPageBreak/>
        <w:t>de veinte días para que, dentro de dicho término, presentaran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diligencia de ordenación de 17 de marzo de 2015, la Secretaria de Justicia de la Sala Segunda tuvo por designada en la representación del recurrente a la Procuradora doña María del Mar Serrano Moreno en sustitución de doña María Eugenia de Francisco Ferreras.</w:t>
      </w:r>
    </w:p>
    <w:p w:rsidR="0085709A" w:rsidRDefault="0085709A" w:rsidP="0085709A">
      <w:pPr>
        <w:pStyle w:val="TextoNormal"/>
      </w:pPr>
    </w:p>
    <w:p w:rsidR="0085709A" w:rsidRDefault="0085709A" w:rsidP="0085709A">
      <w:pPr>
        <w:pStyle w:val="TextoNormal"/>
      </w:pPr>
      <w:r w:rsidRPr="0085709A">
        <w:rPr>
          <w:rStyle w:val="NumeroAFNegritaCaracter"/>
        </w:rPr>
        <w:t>7</w:t>
      </w:r>
      <w:r>
        <w:t>. En fecha 24 de marzo de 2015 tuvo entrada en este Tribunal el escrito de alegaciones del Abogado del Estado, en el que solicita la inadmisión del recurso o, en su defecto, la desestimación del mismo.</w:t>
      </w:r>
    </w:p>
    <w:p w:rsidR="0085709A" w:rsidRDefault="0085709A" w:rsidP="0085709A">
      <w:pPr>
        <w:pStyle w:val="TextoNormal"/>
      </w:pPr>
    </w:p>
    <w:p w:rsidR="0085709A" w:rsidRDefault="0085709A" w:rsidP="0085709A">
      <w:pPr>
        <w:pStyle w:val="TextoNormal"/>
      </w:pPr>
      <w:r>
        <w:t>Considera, en primer lugar, el Abogado del Estado que el asunto planteado carece de especial trascendencia constitucional, ya que el Tribunal Constitucional se ha pronunciado en varias ocasiones (SSTC 93/2008, de 21 de julio; 94/2008, de 21 de julio, 141/2010, de 21 de diciembre; 142/2010, de 21 de diciembre, y 99/2014, de 23 de junio, y 89/2014, de 9 de junio) sobre el supuesto de hecho planteado —vulneración del derecho a un proceso sin dilaciones indebidas derivada de retrasos en la celebración de vista pública en procedimientos abreviados contra resoluciones de expulsión—. Procede, pues, al entender del Abogado del Estado, la inadmisión del amparo por falta de especial trascendencia constitucional “al existir una doctrina consolidada del Tribunal sobre esta materia, sobre la que el presente caso no añade ninguna circunstancia novedosa”.</w:t>
      </w:r>
    </w:p>
    <w:p w:rsidR="0085709A" w:rsidRDefault="0085709A" w:rsidP="0085709A">
      <w:pPr>
        <w:pStyle w:val="TextoNormal"/>
      </w:pPr>
    </w:p>
    <w:p w:rsidR="0085709A" w:rsidRDefault="0085709A" w:rsidP="0085709A">
      <w:pPr>
        <w:pStyle w:val="TextoNormal"/>
      </w:pPr>
      <w:r>
        <w:t>Subsidiariamente, el Abogado del Estado interesa la desestimación del amparo, ya que, en su opinión, las demoras producidas en el caso planteado obedecen a “deficiencias estructurales”, concepto en el que entiende que este Tribunal debería profundizar. A su juicio, el otorgamiento de amparo debería reservarse exclusivamente para aquellos casos en los que las deficiencias estructurales pueden ser “corregidas o eliminadas a corto plazo mediante un uso demostrablemente más racional y eficiente de los recursos materiales y humanos ya disponibles”. En cambio, deberían desestimarse los amparos solicitados cuando las deficiencias estructurales resultan de la mera comparación de la “realidad empírica de un sistema judicial con una especie de ideal de funcionamiento”, difícilmente alcanzable en un contexto de “aguda y profunda crisis financiera”. Este último sería el caso del recurso de amparo deducido en el presente proceso constitucional.</w:t>
      </w:r>
    </w:p>
    <w:p w:rsidR="0085709A" w:rsidRDefault="0085709A" w:rsidP="0085709A">
      <w:pPr>
        <w:pStyle w:val="TextoNormal"/>
      </w:pPr>
    </w:p>
    <w:p w:rsidR="0085709A" w:rsidRDefault="0085709A" w:rsidP="0085709A">
      <w:pPr>
        <w:pStyle w:val="TextoNormal"/>
      </w:pPr>
      <w:r w:rsidRPr="0085709A">
        <w:rPr>
          <w:rStyle w:val="NumeroAFNegritaCaracter"/>
        </w:rPr>
        <w:t>8</w:t>
      </w:r>
      <w:r>
        <w:t>. En fecha 15 de abril de 2015 tuvo entrada el escrito de alegaciones del Ministerio Fiscal, en el que interesa que se otorgue el amparo solicitado por el demandante.</w:t>
      </w:r>
    </w:p>
    <w:p w:rsidR="0085709A" w:rsidRDefault="0085709A" w:rsidP="0085709A">
      <w:pPr>
        <w:pStyle w:val="TextoNormal"/>
      </w:pPr>
    </w:p>
    <w:p w:rsidR="0085709A" w:rsidRDefault="0085709A" w:rsidP="0085709A">
      <w:pPr>
        <w:pStyle w:val="TextoNormal"/>
      </w:pPr>
      <w:r>
        <w:t>Comienza por advertir el Fiscal que el recurso planteado no ha perdido su objeto. Con cita de la STC 99/2014, de 23 de junio, FJ 2, pone de relieve que el hecho de que la vista en cuestión se haya celebrado e incluso se haya dictado también Sentencia sobre el fondo del asunto no implica la desaparición de la posible lesión del derecho y, en consecuencia, no puede ser óbice para apreciar la eventual vulneración existente, que debe relacionarse con el momento de la presentación de la demanda de amparo.</w:t>
      </w:r>
    </w:p>
    <w:p w:rsidR="0085709A" w:rsidRDefault="0085709A" w:rsidP="0085709A">
      <w:pPr>
        <w:pStyle w:val="TextoNormal"/>
      </w:pPr>
    </w:p>
    <w:p w:rsidR="0085709A" w:rsidRDefault="0085709A" w:rsidP="0085709A">
      <w:pPr>
        <w:pStyle w:val="TextoNormal"/>
      </w:pPr>
      <w:r>
        <w:lastRenderedPageBreak/>
        <w:t>También considera el Fiscal que la demanda, aun no conteniendo un apartado específico relativo a la especial trascendencia constitucional, sí contiene un razonable esfuerzo argumental tendente a poner de relieve dicha trascendencia, esfuerzo especialmente visible tanto en los fragmentos en los que se consigna la doctrina del Tribunal Constitucional sobre las dilaciones de carácter estructural como en aquellos otros en los que se pone de manifiesto la trascendencia social que adquieren las dilaciones en los procesos contencioso-administrativos relativos a decisiones administrativas de expulsión del territorio nacional.</w:t>
      </w:r>
    </w:p>
    <w:p w:rsidR="0085709A" w:rsidRDefault="0085709A" w:rsidP="0085709A">
      <w:pPr>
        <w:pStyle w:val="TextoNormal"/>
      </w:pPr>
    </w:p>
    <w:p w:rsidR="0085709A" w:rsidRDefault="0085709A" w:rsidP="0085709A">
      <w:pPr>
        <w:pStyle w:val="TextoNormal"/>
      </w:pPr>
      <w:r>
        <w:t>Entrando en el núcleo de la cuestión constitucional planteada, entiende el Fiscal, luego de resumir la doctrina contenida en las SSTC 54/2014, de 10 de abril; 89/2014, de 9 de junio, y 99/2014, de 23 de junio, que el señalamiento efectuado por el Juzgado para el 20 de febrero de 2012 representa una demora de más de dos años desde la fecha de interposición del recurso, análoga a los plazos para la celebración de una vista considerados excesivos por las Sentencias antes citadas de este Tribunal.</w:t>
      </w:r>
    </w:p>
    <w:p w:rsidR="0085709A" w:rsidRDefault="0085709A" w:rsidP="0085709A">
      <w:pPr>
        <w:pStyle w:val="TextoNormal"/>
      </w:pPr>
    </w:p>
    <w:p w:rsidR="0085709A" w:rsidRDefault="0085709A" w:rsidP="0085709A">
      <w:pPr>
        <w:pStyle w:val="TextoNormal"/>
      </w:pPr>
      <w:r>
        <w:t>Sostiene con base en ello, conforme ha dispuesto este Tribunal en la reciente STC 54/2014, de 10 de abril, que no altera el carácter no justificado del retraso y tampoco impide a los ciudadanos reaccionar frente al mismo que la dilación se deba a un problema de carácter estructural y no a la pasividad del órgano judicial, ni a su silencio ante peticiones del recurrente o a una ausencia de actividad procesal durante largos periodos de tiempo. Más aún si se tiene en cuenta que el asunto planteado no revestía una especial complejidad, que el retraso no es imputable a la conducta del demandante, que éste denunció las dilaciones recurriendo la providencia de señalamiento, y que el fondo del asunto afectaba a un importante interés, pues de la resolución del litigio “dependía su continuidad o no en España”.</w:t>
      </w:r>
    </w:p>
    <w:p w:rsidR="0085709A" w:rsidRDefault="0085709A" w:rsidP="0085709A">
      <w:pPr>
        <w:pStyle w:val="TextoNormal"/>
      </w:pPr>
    </w:p>
    <w:p w:rsidR="0085709A" w:rsidRDefault="0085709A" w:rsidP="0085709A">
      <w:pPr>
        <w:pStyle w:val="TextoNormal"/>
      </w:pPr>
      <w:r>
        <w:t>Por lo expuesto, el Fiscal considera que, dadas las circunstancias del presente supuesto, se ha producido la vulneración del derecho del demandante a un proceso sin dilaciones indebidas. Interesa, no obstante, que el otorgamiento de amparo tenga un alcance meramente declarativo, en la medida en que el procedimiento judicial ya ha concluido.</w:t>
      </w:r>
    </w:p>
    <w:p w:rsidR="0085709A" w:rsidRDefault="0085709A" w:rsidP="0085709A">
      <w:pPr>
        <w:pStyle w:val="TextoNormal"/>
      </w:pPr>
    </w:p>
    <w:p w:rsidR="0085709A" w:rsidRDefault="0085709A" w:rsidP="0085709A">
      <w:pPr>
        <w:pStyle w:val="TextoNormal"/>
      </w:pPr>
      <w:r w:rsidRPr="0085709A">
        <w:rPr>
          <w:rStyle w:val="NumeroAFNegritaCaracter"/>
        </w:rPr>
        <w:t>9</w:t>
      </w:r>
      <w:r>
        <w:t>. La parte recurrente formuló sus alegaciones mediante escrito que tuvo entrada en el Registro General del Tribunal el 20 de abril de 2015, ratificando los argumentos esgrimidos en su demanda de amparo.</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7 de mayo de 2015 se señaló para deliberación y votación de la presente Sentencia el día 11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De acuerdo con lo expuesto en los antecedentes, la demanda de amparo se dirige contra el Auto del Juzgado de lo Contencioso-Administrativo núm. 20 de Madrid, de fecha 12 de febrero de 2010, resolución que, a juicio del demandante, vulnera su derecho fundamental a un proceso sin dilaciones indebidas (art. 24.2 CE). En síntesis, el demandante afirma que el señalamiento de vista para el 20 de febrero de 2012 ha sido excesivamente tardío teniendo en cuenta que el recurso contencioso-administrativo fue presentado el 19 de noviembre de 2009. No habiendo acordado el Auto impugnado la celebración de la vista en </w:t>
      </w:r>
      <w:r>
        <w:lastRenderedPageBreak/>
        <w:t>un plazo razonable, el actor entiende que resultó vulnerado el derecho fundamental anteriormente indicado.</w:t>
      </w:r>
    </w:p>
    <w:p w:rsidR="0085709A" w:rsidRDefault="0085709A" w:rsidP="0085709A">
      <w:pPr>
        <w:pStyle w:val="TextoNormal"/>
      </w:pPr>
    </w:p>
    <w:p w:rsidR="0085709A" w:rsidRDefault="0085709A" w:rsidP="0085709A">
      <w:pPr>
        <w:pStyle w:val="TextoNormal"/>
      </w:pPr>
      <w:r>
        <w:t>El Abogado del Estado interesa la inadmisión del presente recurso de amparo, dada la falta de justificación de la especial trascendencia constitucional. Con carácter subsidiario postula la desestimación del recurso, al no apreciar lesión del derecho fundamental invocado.</w:t>
      </w:r>
    </w:p>
    <w:p w:rsidR="0085709A" w:rsidRDefault="0085709A" w:rsidP="0085709A">
      <w:pPr>
        <w:pStyle w:val="TextoNormal"/>
      </w:pPr>
    </w:p>
    <w:p w:rsidR="0085709A" w:rsidRDefault="0085709A" w:rsidP="0085709A">
      <w:pPr>
        <w:pStyle w:val="TextoNormal"/>
      </w:pPr>
      <w:r>
        <w:t>El Ministerio Fiscal interesa, por su parte, la estimación del recurso y el consiguiente reconocimiento de la lesión del derecho a no sufrir dilaciones indebidas (art. 24.2 CE), sin que proceda emitir otros pronunciamientos adicionales.</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en la cuestión sustantiva, es necesario analizar el óbice procesal formulado por la representación del Estado, que considera que el demandante no ha justificado correctamente la especial trascendencia constitucional del recurso.</w:t>
      </w:r>
    </w:p>
    <w:p w:rsidR="0085709A" w:rsidRDefault="0085709A" w:rsidP="0085709A">
      <w:pPr>
        <w:pStyle w:val="TextoNormal"/>
      </w:pPr>
    </w:p>
    <w:p w:rsidR="0085709A" w:rsidRDefault="0085709A" w:rsidP="0085709A">
      <w:pPr>
        <w:pStyle w:val="TextoNormal"/>
      </w:pPr>
      <w:r>
        <w:t>Como bien señala el Ministerio Fiscal en sus alegaciones, aunque la demanda de amparo no contiene un apartado específico relativo a la especial trascendencia constitucional, sí se observa en ella el esfuerzo argumental exigible para justificar dicha trascendencia, pues contiene una argumentación que no se centra exclusivamente en la lesión del derecho fundamental y sus consecuencias, sino que intenta, como en el caso de la STC 99/2014, de 23 de junio, “poner de relieve la dimensión social de la problemática que suscita la tardía celebración de la vista en supuestos, como en el presente caso ocurre, en que ha sido acordada la expulsión del territorio nacional” (FJ 3).</w:t>
      </w:r>
    </w:p>
    <w:p w:rsidR="0085709A" w:rsidRDefault="0085709A" w:rsidP="0085709A">
      <w:pPr>
        <w:pStyle w:val="TextoNormal"/>
      </w:pPr>
    </w:p>
    <w:p w:rsidR="0085709A" w:rsidRDefault="0085709A" w:rsidP="0085709A">
      <w:pPr>
        <w:pStyle w:val="TextoNormal"/>
      </w:pPr>
      <w:r>
        <w:t>Como también ocurría en el caso resuelto en la citada sentencia, la especial trascendencia constitucional se fundamenta en la demanda de amparo “al menos implícitamente, en el contraste entre la resolución judicial impugnada y la doctrina que este Tribunal ha elaborado en relación con la incidencia de las deficiencias estructurales en las dilaciones indebidas, la cual aparece reflejada en algunas de las Sentencias que el demandante expresamente cita en la demanda” (STC 99/2014, de 23 de junio, FJ 3). El contraste con la referida doctrina, puesto de manifiesto por el recurrente, podría llevar a este Tribunal a un proceso de reflexión interno dirigido a un posible cambio doctrinal (supuesto previsto en la letra b, fundamento jurídico 2, de la STC 155/2009, de 25 de junio).</w:t>
      </w:r>
    </w:p>
    <w:p w:rsidR="0085709A" w:rsidRDefault="0085709A" w:rsidP="0085709A">
      <w:pPr>
        <w:pStyle w:val="TextoNormal"/>
      </w:pPr>
    </w:p>
    <w:p w:rsidR="0085709A" w:rsidRDefault="0085709A" w:rsidP="0085709A">
      <w:pPr>
        <w:pStyle w:val="TextoNormal"/>
      </w:pPr>
      <w:r>
        <w:t>En consecuencia, con estos antecedentes, cabe concluir que se ha cumplimentado por el recurrente el razonable esfuerzo argumental que le compete en orden a enlazar las infracciones constitucionales denunciadas con alguno de los criterios establecidos en el art. 50.1 b) de la Ley Orgánica del Tribunal Constitucional,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Descartada la concurrencia del óbice, procede abordar el fondo de la queja planteada, siguiendo para ello las pautas establecidas en la STC 54/2014, de 10 de abril (FJ 4). Como recordamos en dicha resolución, el juicio sobre el contenido concreto de las dilaciones, y sobre si son o no indebidas, debe ser el resultado de la aplicación a las circunstancias específicas de cada caso de los criterios objetivos que a lo largo de nuestra jurisprudencia se han </w:t>
      </w:r>
      <w:r>
        <w:lastRenderedPageBreak/>
        <w:t>ido precisando. Dichos criterios son: (i) la complejidad del litigio, (ii) los márgenes ordinarios de duración de los litigios del mismo tipo, (iii) el interés que arriesga el demandante de amparo, (iv) su conducta procesal y (v) la conducta de las autoridades.</w:t>
      </w:r>
    </w:p>
    <w:p w:rsidR="0085709A" w:rsidRDefault="0085709A" w:rsidP="0085709A">
      <w:pPr>
        <w:pStyle w:val="TextoNormal"/>
      </w:pPr>
    </w:p>
    <w:p w:rsidR="0085709A" w:rsidRDefault="0085709A" w:rsidP="0085709A">
      <w:pPr>
        <w:pStyle w:val="TextoNormal"/>
      </w:pPr>
      <w:r>
        <w:t>Atendiendo a los referidos criterios, podemos afirmar que las dilaciones han sido indebidas, pues:</w:t>
      </w:r>
    </w:p>
    <w:p w:rsidR="0085709A" w:rsidRDefault="0085709A" w:rsidP="0085709A">
      <w:pPr>
        <w:pStyle w:val="TextoNormal"/>
      </w:pPr>
    </w:p>
    <w:p w:rsidR="0085709A" w:rsidRDefault="0085709A" w:rsidP="0085709A">
      <w:pPr>
        <w:pStyle w:val="TextoNormal"/>
      </w:pPr>
      <w:r>
        <w:t>(i) El asunto planteado, como se dice en la demanda, no revestía una especial complejidad, al tratarse de un recurso interpuesto contra una decisión administrativa de expulsión. Teniendo en cuenta la pretensión deducida ante el órgano judicial —que ni siquiera éste califica como particularmente compleja— no parece razonable que su señalamiento y resolución se haya diferido, con evidente perjuicio del recurrente, a una fecha tan lejana, más de dos años después de la interposición del recurso contencioso-administrativo. Ello ha supuesto para el demandante una larga espera antes de poder saber si podría permanecer lícitamente en España.</w:t>
      </w:r>
    </w:p>
    <w:p w:rsidR="0085709A" w:rsidRDefault="0085709A" w:rsidP="0085709A">
      <w:pPr>
        <w:pStyle w:val="TextoNormal"/>
      </w:pPr>
    </w:p>
    <w:p w:rsidR="0085709A" w:rsidRDefault="0085709A" w:rsidP="0085709A">
      <w:pPr>
        <w:pStyle w:val="TextoNormal"/>
      </w:pPr>
      <w:r>
        <w:t>(ii) En cuanto a los márgenes ordinarios de duración de los litigios, este Tribunal ha tenido ocasión de pronunciarse, en diferentes ocasiones, sobre la vulneración del derecho a un proceso sin dilaciones indebidas, con motivo del señalamiento de la vista. Concretamente, la STC 93/2008 contempló un supuesto en que dicho señalamiento se fijó para el 23 de octubre de 2008, mientras que el recurso en sede judicial, contra una denegación de permiso de residencia y trabajo, había sido presentado el 6 de abril de 2006; en el caso enjuiciado en la STC 141/2010, de 21 de diciembre, la vista fue establecida para el 9 de marzo de 2010 y el recurso, contra un decreto de expulsión del territorio nacional, se interpuso el 30 de julio de 2008; en el supuesto analizado en la STC 142/2010, de 21 de diciembre, las fechas de la vista y de interposición del recurso, frente a una denegación de asilo, fueron el 15 de febrero de 2011 y 28 de julio de 2009; y, por último, para terminar con los ejemplos, en la STC 54/2014, de 10 de abril, la fecha del señalamiento y celebración de la vista fueron, respectivamente, el 27 de febrero de 2009 y 17 de mayo de 2011. Cabe advertir, por tanto, que el presente caso se inscribe también en lo que nuestra doctrina ha calificado como demora constitutiva de una dilación indebida.</w:t>
      </w:r>
    </w:p>
    <w:p w:rsidR="0085709A" w:rsidRDefault="0085709A" w:rsidP="0085709A">
      <w:pPr>
        <w:pStyle w:val="TextoNormal"/>
      </w:pPr>
    </w:p>
    <w:p w:rsidR="0085709A" w:rsidRDefault="0085709A" w:rsidP="0085709A">
      <w:pPr>
        <w:pStyle w:val="TextoNormal"/>
      </w:pPr>
      <w:r>
        <w:t>(iii) El interés que arriesga el recurrente en el pleito es el de obtener una resolución judicial que determine si era o no ajustada a Derecho una resolución de la Delegación del Gobierno en Madrid que acordaba su expulsión y que, por ello, afectaba necesariamente a un ámbito preferente de sus derechos e intereses legítimos, relacionado con la organización de su vida familiar y social, pues del resultado del litigio dependía su permanencia en España.</w:t>
      </w:r>
    </w:p>
    <w:p w:rsidR="0085709A" w:rsidRDefault="0085709A" w:rsidP="0085709A">
      <w:pPr>
        <w:pStyle w:val="TextoNormal"/>
      </w:pPr>
    </w:p>
    <w:p w:rsidR="0085709A" w:rsidRDefault="0085709A" w:rsidP="0085709A">
      <w:pPr>
        <w:pStyle w:val="TextoNormal"/>
      </w:pPr>
      <w:r>
        <w:t>(iv) Ha de excluirse que la conducta del demandante merezca reproche alguno, dado que, además de no haber propiciado el retraso en cuestión, ha venido denunciando ante el órgano judicial la concurrencia de las supuestas dilaciones, recurriendo de manera particular la providencia 22 de diciembre de 2009 en la que se determinaba la fecha de la vista.</w:t>
      </w:r>
    </w:p>
    <w:p w:rsidR="0085709A" w:rsidRDefault="0085709A" w:rsidP="0085709A">
      <w:pPr>
        <w:pStyle w:val="TextoNormal"/>
      </w:pPr>
    </w:p>
    <w:p w:rsidR="0085709A" w:rsidRDefault="0085709A" w:rsidP="0085709A">
      <w:pPr>
        <w:pStyle w:val="TextoNormal"/>
      </w:pPr>
      <w:r>
        <w:t xml:space="preserve">(v) Finalmente, debe reseñarse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según reiterada jurisprudencia de este Tribunal </w:t>
      </w:r>
      <w:r>
        <w:lastRenderedPageBreak/>
        <w:t>y del Tribunal Europeo de Derechos Humanos, en tanto que el ciudadano es ajeno a esas circunstancias.</w:t>
      </w:r>
    </w:p>
    <w:p w:rsidR="0085709A" w:rsidRDefault="0085709A" w:rsidP="0085709A">
      <w:pPr>
        <w:pStyle w:val="TextoNormal"/>
      </w:pPr>
    </w:p>
    <w:p w:rsidR="0085709A" w:rsidRDefault="0085709A" w:rsidP="0085709A">
      <w:pPr>
        <w:pStyle w:val="TextoNormal"/>
      </w:pPr>
      <w:r>
        <w:t xml:space="preserve">Como afirmamos en la ya citada STC 54/2014, por referencia a la doctrina contenida en la STC 142/2010, de 21 de diciembre,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encomienda”…Este es también el criterio del Tribunal Europeo de Derechos Humanos cuando en su Sentencia caso </w:t>
      </w:r>
      <w:r w:rsidRPr="0085709A">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85709A">
        <w:rPr>
          <w:i/>
        </w:rPr>
        <w:t>Lenaerts contra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 (FJ 6).</w:t>
      </w:r>
    </w:p>
    <w:p w:rsidR="0085709A" w:rsidRDefault="0085709A" w:rsidP="0085709A">
      <w:pPr>
        <w:pStyle w:val="TextoNormal"/>
      </w:pPr>
    </w:p>
    <w:p w:rsidR="0085709A" w:rsidRDefault="0085709A" w:rsidP="0085709A">
      <w:pPr>
        <w:pStyle w:val="TextoNormal"/>
      </w:pPr>
      <w:r w:rsidRPr="0085709A">
        <w:rPr>
          <w:rStyle w:val="NumeroAFNegritaCaracter"/>
        </w:rPr>
        <w:t>4</w:t>
      </w:r>
      <w:r>
        <w:t>. . Por todo ello, se ha vulnerado el derecho a un proceso sin dilaciones indebidas del recurrente (art. 24.2 CE). No obstante, el otorgamiento del amparo debe limitarse a la declaración de la violación del derecho fundamental, toda vez que se deduce de las actuaciones recibidas en este Tribunal que el procedimiento en cuestión ya ha concluido, habiéndose celebrado la vista acordada por el Juzgado y habiendo recaído Sentencia tanto en instancia como en apelación.</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a don Edgar Antonio Reyes Gutiérrez y, en su virtud, declarar que se ha vulnerado su derecho a un proceso sin dilaciones indebidas (art. 24.2 CE).</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lastRenderedPageBreak/>
        <w:t>Dada en Madrid, a once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2" w:name="SENTENCIA_2015_89"/>
      <w:r>
        <w:lastRenderedPageBreak/>
        <w:t>SENTENCIA 89/2015, de 11 de mayo de 2015</w:t>
      </w:r>
    </w:p>
    <w:bookmarkEnd w:id="92"/>
    <w:p w:rsidR="0085709A" w:rsidRDefault="0085709A" w:rsidP="0085709A">
      <w:pPr>
        <w:pStyle w:val="TtuloResolucin"/>
      </w:pPr>
      <w:r>
        <w:t>Sala Segunda</w:t>
      </w:r>
    </w:p>
    <w:p w:rsidR="0085709A" w:rsidRDefault="0085709A" w:rsidP="0085709A">
      <w:pPr>
        <w:pStyle w:val="TtuloBOE"/>
      </w:pPr>
      <w:r>
        <w:t>(BOE núm. 146, de 19 de junio de 2015)</w:t>
      </w:r>
    </w:p>
    <w:p w:rsidR="0085709A" w:rsidRDefault="0085709A" w:rsidP="0085709A">
      <w:pPr>
        <w:pStyle w:val="TextoNormalCentrado"/>
      </w:pPr>
      <w:r>
        <w:t>ECLI:ES:TC:2015:89</w:t>
      </w:r>
    </w:p>
    <w:p w:rsidR="0085709A" w:rsidRDefault="0085709A" w:rsidP="0085709A">
      <w:pPr>
        <w:pStyle w:val="TextoNormalCentrado"/>
      </w:pPr>
    </w:p>
    <w:p w:rsidR="0085709A" w:rsidRDefault="0085709A" w:rsidP="0085709A">
      <w:pPr>
        <w:pStyle w:val="SntesisDescriptiva"/>
      </w:pPr>
      <w:r>
        <w:t>Recurso de amparo 7556-2013. Promovido por doña Nuria Corona Segura en relación con el Auto del Juzgado de Primera Instancia e Instrucción número 2 de Écija que denegó su solicitud de nulidad de actuaciones en un procedimiento de ejecución hipotecaria.</w:t>
      </w:r>
    </w:p>
    <w:p w:rsidR="0085709A" w:rsidRDefault="0085709A" w:rsidP="0085709A">
      <w:pPr>
        <w:pStyle w:val="SntesisDescriptiva"/>
      </w:pPr>
    </w:p>
    <w:p w:rsidR="0085709A" w:rsidRDefault="0085709A" w:rsidP="0085709A">
      <w:pPr>
        <w:pStyle w:val="SntesisAnaltica"/>
      </w:pPr>
      <w:r>
        <w:t>Vulneración del derecho a la tutela judicial sin indefensión: emplazamiento mediante edictos de la demandada sin agotar los medios de conocimiento de su domicilio real (STC 122/2013).</w:t>
      </w:r>
    </w:p>
    <w:p w:rsidR="0085709A" w:rsidRDefault="0085709A" w:rsidP="0085709A">
      <w:pPr>
        <w:pStyle w:val="SntesisAnaltica"/>
      </w:pPr>
    </w:p>
    <w:p w:rsidR="0085709A" w:rsidRDefault="0085709A" w:rsidP="0085709A">
      <w:pPr>
        <w:pStyle w:val="Extracto"/>
      </w:pPr>
      <w:r>
        <w:t>1.</w:t>
      </w:r>
      <w:r>
        <w:tab/>
        <w:t>Se ha producido la vulneración del derecho a la tutela judicial efectiva sin indefensión (art. 24.1 CE) que se denuncia en la demanda de amparo, habida cuenta que el órgano judicial que conocía del proceso de ejecución hipotecaria no agotó los medios de averiguación del domicilio real de la deudora demandada antes de proceder a la comunicación por edictos [FJ 6].</w:t>
      </w:r>
    </w:p>
    <w:p w:rsidR="0085709A" w:rsidRDefault="0085709A" w:rsidP="0085709A">
      <w:pPr>
        <w:pStyle w:val="Extracto"/>
      </w:pPr>
    </w:p>
    <w:p w:rsidR="0085709A" w:rsidRDefault="0085709A" w:rsidP="0085709A">
      <w:pPr>
        <w:pStyle w:val="Extracto"/>
      </w:pPr>
      <w:r>
        <w:t>2.</w:t>
      </w:r>
      <w:r>
        <w:tab/>
        <w:t>La trascendencia constitucional reside en que se aplica el nuevo marco legislativo existente,  pues la decisión de acordar el emplazamiento edictal se hizo al momento del despacho de ejecución en el procedimiento de ejecución hipotecaria, cuando este Tribunal no se había pronunciado sobre la reforma procesal operada al respecto [FJ 2].</w:t>
      </w:r>
    </w:p>
    <w:p w:rsidR="0085709A" w:rsidRDefault="0085709A" w:rsidP="0085709A">
      <w:pPr>
        <w:pStyle w:val="Extracto"/>
      </w:pPr>
    </w:p>
    <w:p w:rsidR="0085709A" w:rsidRDefault="0085709A" w:rsidP="0085709A">
      <w:pPr>
        <w:pStyle w:val="Extracto"/>
      </w:pPr>
      <w:r>
        <w:t>3.</w:t>
      </w:r>
      <w:r>
        <w:tab/>
        <w:t xml:space="preserve">En la STC 122/2013, se realizó una interpretación </w:t>
      </w:r>
      <w:r w:rsidRPr="0085709A">
        <w:rPr>
          <w:i/>
        </w:rPr>
        <w:t xml:space="preserve">secundum constitutionem </w:t>
      </w:r>
      <w:r>
        <w:t>del art. 686.3 LEC, que integró su contenido con el art. 553 LEC, precepto rector de la llamada al proceso de ejecución hipotecaria, de manera que se fijó como doctrina constitucional que la comunicación edictal en el procedimiento de ejecución hipotecaria sólo puede utilizarse cuando se hayan agotado los medios de averiguación del domicilio del deudor o ejecutado (SSTC 122/2013, 137/2014) [FJ 3].</w:t>
      </w:r>
    </w:p>
    <w:p w:rsidR="0085709A" w:rsidRDefault="0085709A" w:rsidP="0085709A">
      <w:pPr>
        <w:pStyle w:val="Extracto"/>
      </w:pPr>
    </w:p>
    <w:p w:rsidR="0085709A" w:rsidRDefault="0085709A" w:rsidP="0085709A">
      <w:pPr>
        <w:pStyle w:val="Extracto"/>
      </w:pPr>
      <w:r>
        <w:t>4.</w:t>
      </w:r>
      <w:r>
        <w:tab/>
        <w:t>Se ha reiterado que la falta o deficiente realización del acto de comunicación tiene relevancia constitucional siempre que se frustre la finalidad con ellos perseguida, lo que excluye las situaciones de incomunicación que sean imputables a la propia conducta del afectado por haberse situado voluntaria o negligentemente al margen del proceso, pese a tener conocimiento por otros medios distintos de su existencia (STC 268/2000) [FJ 4].</w:t>
      </w:r>
    </w:p>
    <w:p w:rsidR="0085709A" w:rsidRDefault="0085709A" w:rsidP="0085709A">
      <w:pPr>
        <w:pStyle w:val="Extracto"/>
      </w:pPr>
    </w:p>
    <w:p w:rsidR="0085709A" w:rsidRDefault="0085709A" w:rsidP="0085709A">
      <w:pPr>
        <w:pStyle w:val="Extracto"/>
      </w:pPr>
      <w:r>
        <w:t>5.</w:t>
      </w:r>
      <w:r>
        <w:tab/>
        <w:t>De la alegación de conocimiento extraprocesal conforme a los hechos determinados en el proceso</w:t>
      </w:r>
      <w:r w:rsidRPr="0085709A">
        <w:rPr>
          <w:i/>
        </w:rPr>
        <w:t xml:space="preserve"> a quo</w:t>
      </w:r>
      <w:r>
        <w:t>, se desprende que no existe ningún elemento que permita afirmar que la recurrente en amparo tuviera noticia del proceso en momento anterior a su comparecencia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 xml:space="preserve">La Sala Segunda del Tribunal Constitucional, compuesta por doña Adela Asua Batarrita, Presidenta, don Fernando Valdés Dal-Ré, don Juan José González Rivas, don Pedro José </w:t>
      </w:r>
      <w:r>
        <w:lastRenderedPageBreak/>
        <w:t>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7556-2013, promovido por doña Nuria Corona Segura, representada por la Procuradora de los Tribunales doña María Luisa Noya Otero y asistida por el Abogado don Antonio Rengel Burgos, contra el Auto de 18 de noviembre de 2013 del Juzgado de Primera Instancia e Instrucción número 2 de Écija, dictado en procedimiento de ejecución hipotecaria 1030/2012. Ha intervenido el Ministerio Fiscal. Ha comparecido el Banco de Santander, S.A., representado por el Procurador de los Tribunales don Esteban Jabardo Margareto y asistido por el Abogado don Ricardo Orive López-Altuna.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que tuvo entrada en el Registro General de este Tribunal el día 26 de diciembre de 2013, la Procuradora de los Tribunales doña María Luisa Noya Otero, en nombre y representación de doña Nuria Corona Segura, interpuso recurso de amparo contra la resolución judicial que se cita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relevantes para la resolución del recurso, son, en síntesis, los siguientes:</w:t>
      </w:r>
    </w:p>
    <w:p w:rsidR="0085709A" w:rsidRDefault="0085709A" w:rsidP="0085709A">
      <w:pPr>
        <w:pStyle w:val="TextoNormal"/>
      </w:pPr>
    </w:p>
    <w:p w:rsidR="0085709A" w:rsidRDefault="0085709A" w:rsidP="0085709A">
      <w:pPr>
        <w:pStyle w:val="TextoNormal"/>
      </w:pPr>
      <w:r>
        <w:t>a) La entidad Banco de Santander, S.A., promovió ante el Juzgado de Primera Instancia e Instrucción núm. 2 de Écija un procedimiento de ejecución hipotecaria núm. 1030-2012, en fecha 12 de diciembre de 2012, contra doña Nuria Corona Segura, por importe de 2.787.649,53 €, de principal del préstamo garantizado con hipoteca, 92.406,58 €, en concepto de intereses, y 836.294,86 €, en concepto de intereses, gastos y costas.</w:t>
      </w:r>
    </w:p>
    <w:p w:rsidR="0085709A" w:rsidRDefault="0085709A" w:rsidP="0085709A">
      <w:pPr>
        <w:pStyle w:val="TextoNormal"/>
      </w:pPr>
    </w:p>
    <w:p w:rsidR="0085709A" w:rsidRDefault="0085709A" w:rsidP="0085709A">
      <w:pPr>
        <w:pStyle w:val="TextoNormal"/>
      </w:pPr>
      <w:r>
        <w:t>b) El banco acompañaba a su demanda la primera copia de la escritura del préstamo inscrita en el Registro de la Propiedad de Écija, un acta de intervención del saldo deudor efectuada a instancias de la propia entidad bancaria y copia de burofax, remitido el 17 de agosto de 2012, a la ahora demandante de amparo, en el domicilio que constaba en la escritura de préstamo hipotecario, notificándole el vencimiento anticipado del préstamo, el saldo resultante a la fecha de la liquidación y requiriéndole de pago por dicho importe. Este burofax, según consta, no fue entregado, dejándose aviso.</w:t>
      </w:r>
    </w:p>
    <w:p w:rsidR="0085709A" w:rsidRDefault="0085709A" w:rsidP="0085709A">
      <w:pPr>
        <w:pStyle w:val="TextoNormal"/>
      </w:pPr>
    </w:p>
    <w:p w:rsidR="0085709A" w:rsidRDefault="0085709A" w:rsidP="0085709A">
      <w:pPr>
        <w:pStyle w:val="TextoNormal"/>
      </w:pPr>
      <w:r>
        <w:t xml:space="preserve">c) El Auto de admisión de demanda y despacho de ejecución se intentó notificar en el domicilio en la calle Alameda de Andalucía, núm. 26, Bloque A, 3-D, de la localidad de </w:t>
      </w:r>
      <w:r>
        <w:lastRenderedPageBreak/>
        <w:t>Antequera, que era el que se había fijado en la cláusula décima de la escritura pública de préstamo hipotecario para la práctica de requerimientos y notificaciones.</w:t>
      </w:r>
    </w:p>
    <w:p w:rsidR="0085709A" w:rsidRDefault="0085709A" w:rsidP="0085709A">
      <w:pPr>
        <w:pStyle w:val="TextoNormal"/>
      </w:pPr>
    </w:p>
    <w:p w:rsidR="0085709A" w:rsidRDefault="0085709A" w:rsidP="0085709A">
      <w:pPr>
        <w:pStyle w:val="TextoNormal"/>
      </w:pPr>
      <w:r>
        <w:t>Dicho exhorto fue devuelto, resultando negativa la diligencia de notificación practicada.</w:t>
      </w:r>
    </w:p>
    <w:p w:rsidR="0085709A" w:rsidRDefault="0085709A" w:rsidP="0085709A">
      <w:pPr>
        <w:pStyle w:val="TextoNormal"/>
      </w:pPr>
    </w:p>
    <w:p w:rsidR="0085709A" w:rsidRDefault="0085709A" w:rsidP="0085709A">
      <w:pPr>
        <w:pStyle w:val="TextoNormal"/>
      </w:pPr>
      <w:r>
        <w:t>En fecha 2 de enero de 2013, haciéndose constar que en el referido domicilio no se había localizado a la ejecutada ni a persona alguna con quien practicar la diligencia. También se hizo constar que, según manifestaciones de un vecino, la demandada hacía tiempo que se había marchado y no vivía en dicho domicilio, trasladándose a otra localidad.</w:t>
      </w:r>
    </w:p>
    <w:p w:rsidR="0085709A" w:rsidRDefault="0085709A" w:rsidP="0085709A">
      <w:pPr>
        <w:pStyle w:val="TextoNormal"/>
      </w:pPr>
    </w:p>
    <w:p w:rsidR="0085709A" w:rsidRDefault="0085709A" w:rsidP="0085709A">
      <w:pPr>
        <w:pStyle w:val="TextoNormal"/>
      </w:pPr>
      <w:r>
        <w:t>d) En el proceso judicial y por diligencia de ordenación de 21 de enero de 2013, se acordó dar traslado del intento de comunicación negativa a la parte ejecutante, a los efectos de que instara lo que a su derecho fuera conveniente. Por escrito presentado en fecha 24 de enero de 2013, la entidad ejecutante solicitó, al amparo del art. 686 de la Ley de enjuiciamiento civil (LEC), que se practicase el requerimiento de pago a la ejecutada mediante edictos.</w:t>
      </w:r>
    </w:p>
    <w:p w:rsidR="0085709A" w:rsidRDefault="0085709A" w:rsidP="0085709A">
      <w:pPr>
        <w:pStyle w:val="TextoNormal"/>
      </w:pPr>
    </w:p>
    <w:p w:rsidR="0085709A" w:rsidRDefault="0085709A" w:rsidP="0085709A">
      <w:pPr>
        <w:pStyle w:val="TextoNormal"/>
      </w:pPr>
      <w:r>
        <w:t>e) El Juzgado, mediante providencia de 1 de febrero de 2013, acordó practicar el requerimiento por medio de edictos, en aplicación de lo previsto en los arts. 156.4 y 164 LEC, continuándose la tramitación del procedimiento con la celebración de subasta en fecha 4 de junio de 2013, sin que concurrieran postores. El banco ejecutante, por escrito presentado el día 5 de junio de 2013, solicitó la adjudicación.</w:t>
      </w:r>
    </w:p>
    <w:p w:rsidR="0085709A" w:rsidRDefault="0085709A" w:rsidP="0085709A">
      <w:pPr>
        <w:pStyle w:val="TextoNormal"/>
      </w:pPr>
    </w:p>
    <w:p w:rsidR="0085709A" w:rsidRDefault="0085709A" w:rsidP="0085709A">
      <w:pPr>
        <w:pStyle w:val="TextoNormal"/>
      </w:pPr>
      <w:r>
        <w:t>f) En fecha 5 de julio de 2013 compareció ante el Juzgado de Primera Instancia e Instrucción núm. 2 de Écija, don Antonio Páez Fernández, manifestando ser el esposo de doña Nuria Corona Segura y haciendo constar que su domicilio actual estaba en la calle Andalucía, núm. 1, de la localidad de Pedrera (Sevilla). En ese momento se le hizo entrega de una copia del Auto despachando ejecución y del requerimiento de pago.</w:t>
      </w:r>
    </w:p>
    <w:p w:rsidR="0085709A" w:rsidRDefault="0085709A" w:rsidP="0085709A">
      <w:pPr>
        <w:pStyle w:val="TextoNormal"/>
      </w:pPr>
    </w:p>
    <w:p w:rsidR="0085709A" w:rsidRDefault="0085709A" w:rsidP="0085709A">
      <w:pPr>
        <w:pStyle w:val="TextoNormal"/>
      </w:pPr>
      <w:r>
        <w:t>g) Por escrito presentado el 9 de julio de 2013, la entidad ejecutante solicitó que se dejara en suspenso el dictado del decreto de adjudicación a su favor de las fincas subastadas, poniendo en conocimiento del órgano judicial que se encontraba en negociaciones con la parte ejecutada para llegar a un acuerdo extrajudicial.</w:t>
      </w:r>
    </w:p>
    <w:p w:rsidR="0085709A" w:rsidRDefault="0085709A" w:rsidP="0085709A">
      <w:pPr>
        <w:pStyle w:val="TextoNormal"/>
      </w:pPr>
    </w:p>
    <w:p w:rsidR="0085709A" w:rsidRDefault="0085709A" w:rsidP="0085709A">
      <w:pPr>
        <w:pStyle w:val="TextoNormal"/>
      </w:pPr>
      <w:r>
        <w:t>h) Por escrito presentado en fecha 11 de julio de 2013, la representación procesal de doña Nuria Corona Segura, formuló incidente de nulidad de actuaciones por no haber tenido conocimiento del procedimiento de ejecución hipotecaria. El incidente fue desestimado por Auto de fecha 18 de noviembre de 2013, al haberse intentado el requerimiento de pago en el domicilio que constaba en la escritura inscrita en el Registro y haberse procedido de conformidad con el art. 686.3 LEC.</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En su demanda, la parte recurrente en amparo aduce que se ha vulnerado el derecho fundamental a la tutela judicial efectiva sin indefensión (art. 24.1 CE). Sostiene que se incumple la doctrina constitucional que exige que el órgano judicial debería intentar por todos los medios a su alcance agotar las posibilidades de comunicación en cuantos domicilios le consten, aun cuando haya necesidad de recurrir a algún registro público. Denuncia que la entidad ejecutante, Banco de Santander, S.A., actuó de mala fe, pues tenía plena constancia de su domicilio actual, a donde venía remitiendo todas sus comunicaciones, desde el día 31 de julio de 2011. La parte recurrente subraya que la demanda de ejecución se presentó con </w:t>
      </w:r>
      <w:r>
        <w:lastRenderedPageBreak/>
        <w:t>posterioridad, en fecha 31 de octubre de 2012, haciendo constar en la misma el domicilio anterior que obraba en la escritura pública de préstamo hipotecario, sin mención alguna a su nuevo domicilio, ocultándolo al juzgado y solicitando la notificación por edictos.</w:t>
      </w:r>
    </w:p>
    <w:p w:rsidR="0085709A" w:rsidRDefault="0085709A" w:rsidP="0085709A">
      <w:pPr>
        <w:pStyle w:val="TextoNormal"/>
      </w:pPr>
    </w:p>
    <w:p w:rsidR="0085709A" w:rsidRDefault="0085709A" w:rsidP="0085709A">
      <w:pPr>
        <w:pStyle w:val="TextoNormal"/>
      </w:pPr>
      <w:r>
        <w:t>Mediante otrosí en la propia demanda de amparo se solicitó que se dejara en suspenso la ejecución del procedimiento hipotecario núm. 1030-2012.</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23 de octubre de 2014, la Sección Tercera de la Sala Segunda de este Tribunal acordó admitir a trámite la demanda de amparo y, a tenor de lo dispuesto en el art. 51 de la Ley Orgánica del Tribunal Constitucional (LOTC), requerir al Juzgado de Primera Instancia e Instrucción núm. 2 de Écija para que el plazo de diez días remitiera testimonio del procedimiento hipotecario 1030-2012, interesándose al tiempo que se emplazara a quienes fueron parte en el procedimiento, a excepción de la recurrente en amparo, para que en el plazo de diez días pudieran comparecer en este proceso constitucional.</w:t>
      </w:r>
    </w:p>
    <w:p w:rsidR="0085709A" w:rsidRDefault="0085709A" w:rsidP="0085709A">
      <w:pPr>
        <w:pStyle w:val="TextoNormal"/>
      </w:pPr>
    </w:p>
    <w:p w:rsidR="0085709A" w:rsidRDefault="0085709A" w:rsidP="0085709A">
      <w:pPr>
        <w:pStyle w:val="TextoNormal"/>
      </w:pPr>
      <w:r w:rsidRPr="0085709A">
        <w:rPr>
          <w:rStyle w:val="NumeroAFNegritaCaracter"/>
        </w:rPr>
        <w:t>5</w:t>
      </w:r>
      <w:r>
        <w:t>. En la misma providencia de 23 de octubre de 2014 se acordó la apertura de la correspondiente pieza separada para la tramitación del incidente de suspensión, concediéndose un plazo común de tres días a la recurrente y al Ministerio Fiscal para que formularan alegaciones sobre el particular, conforme a lo previsto en el art. 56 LOTC. Evacuado dicho trámite, mediante Auto de 17 de noviembre de 2014, la Sala Segunda acordó acceder a la suspensión solicitada y ordenar la anotación preventiva de la demanda de amparo en el Registro de la Propiedad.</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del Secretario de Justicia de la Sala Segunda, de 13 de enero de 2015, se tuvo por personado y parte al Procurador don Esteban Jabardo Margareto, en nombre y representación del Banco de Santander, S.A., y se acordó,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85709A" w:rsidRDefault="0085709A" w:rsidP="0085709A">
      <w:pPr>
        <w:pStyle w:val="TextoNormal"/>
      </w:pPr>
    </w:p>
    <w:p w:rsidR="0085709A" w:rsidRDefault="0085709A" w:rsidP="0085709A">
      <w:pPr>
        <w:pStyle w:val="TextoNormal"/>
      </w:pPr>
      <w:r w:rsidRPr="0085709A">
        <w:rPr>
          <w:rStyle w:val="NumeroAFNegritaCaracter"/>
        </w:rPr>
        <w:t>7</w:t>
      </w:r>
      <w:r>
        <w:t>. La representación procesal de la entidad demandante de amparo no presentó alegaciones.</w:t>
      </w:r>
    </w:p>
    <w:p w:rsidR="0085709A" w:rsidRDefault="0085709A" w:rsidP="0085709A">
      <w:pPr>
        <w:pStyle w:val="TextoNormal"/>
      </w:pPr>
    </w:p>
    <w:p w:rsidR="0085709A" w:rsidRDefault="0085709A" w:rsidP="0085709A">
      <w:pPr>
        <w:pStyle w:val="TextoNormal"/>
      </w:pPr>
      <w:r w:rsidRPr="0085709A">
        <w:rPr>
          <w:rStyle w:val="NumeroAFNegritaCaracter"/>
        </w:rPr>
        <w:t>8</w:t>
      </w:r>
      <w:r>
        <w:t>. La representación procesal de Banco de Santander, S.A., presentó su escrito de alegaciones en fecha 12 de febrero de 2015, acompañando documentos y con petición de recibimiento a prueba, en el que solicita que se deniegue el amparo.</w:t>
      </w:r>
    </w:p>
    <w:p w:rsidR="0085709A" w:rsidRDefault="0085709A" w:rsidP="0085709A">
      <w:pPr>
        <w:pStyle w:val="TextoNormal"/>
      </w:pPr>
    </w:p>
    <w:p w:rsidR="0085709A" w:rsidRDefault="0085709A" w:rsidP="0085709A">
      <w:pPr>
        <w:pStyle w:val="TextoNormal"/>
      </w:pPr>
      <w:r>
        <w:t>Alega que la demandante de amparo tuvo conocimiento de la existencia del procedimiento hipotecario desde su inicio y que mantuvo negociaciones con el banco para extinguir su deuda y evitar la ejecución hipotecaria.</w:t>
      </w:r>
    </w:p>
    <w:p w:rsidR="0085709A" w:rsidRDefault="0085709A" w:rsidP="0085709A">
      <w:pPr>
        <w:pStyle w:val="TextoNormal"/>
      </w:pPr>
    </w:p>
    <w:p w:rsidR="0085709A" w:rsidRDefault="0085709A" w:rsidP="0085709A">
      <w:pPr>
        <w:pStyle w:val="TextoNormal"/>
      </w:pPr>
      <w:r>
        <w:t>Asimismo, aduce que la demandante de amparo no ha alegado ni el motivo ni el fundamento por el que pudiera haberse opuesto a la ejecución hipotecaria, de manera que no ha sufrido indefensión efectiva.</w:t>
      </w:r>
    </w:p>
    <w:p w:rsidR="0085709A" w:rsidRDefault="0085709A" w:rsidP="0085709A">
      <w:pPr>
        <w:pStyle w:val="TextoNormal"/>
      </w:pPr>
    </w:p>
    <w:p w:rsidR="0085709A" w:rsidRDefault="0085709A" w:rsidP="0085709A">
      <w:pPr>
        <w:pStyle w:val="TextoNormal"/>
      </w:pPr>
      <w:r>
        <w:lastRenderedPageBreak/>
        <w:t>Finalmente, alega que la doctrina constitucional sobre el emplazamiento en los procedimientos de ejecución hipotecaria no es aplicable en este caso, puesto que la demandante de amparo conoció la existencia del proceso de ejecución hipotecaria y, además, hubo una ocultación o, como mínimo, negligencia de la Sra. Corona impeditivas del conocimiento del proceso, pues se le reclamaron por burofax otras deudas en domicilios designados por la demandante sin que atendiera a los avisos de correos, al igual que en el caso del proceso de ejecución hipotecaria.</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ante el Tribunal Constitucional presentó sus alegaciones mediante escrito registrado el día 16 de febrero de 2015, interesando el otorgamiento del amparo, con declaración de nulidad del Auto impugnado de fecha 18 de noviembre de 2013, y retroacción de actuaciones al momento inmediatamente anterior al requerimiento de pago a la demandante de amparo, con el fin de que se le comunique el despacho de ejecución en legal forma.</w:t>
      </w:r>
    </w:p>
    <w:p w:rsidR="0085709A" w:rsidRDefault="0085709A" w:rsidP="0085709A">
      <w:pPr>
        <w:pStyle w:val="TextoNormal"/>
      </w:pPr>
    </w:p>
    <w:p w:rsidR="0085709A" w:rsidRDefault="0085709A" w:rsidP="0085709A">
      <w:pPr>
        <w:pStyle w:val="TextoNormal"/>
      </w:pPr>
      <w:r>
        <w:t>El Fiscal alega que se plantea nuevamente en esta sede de amparo la cuestión de la validez constitucional del emplazamiento edictal y en el presente caso, en un juicio de ejecución hipotecaria, al resultar negativa la notificación y emplazamiento llevado a cabo en el domicilio que constaba en la escritura pública de préstamo hipotecario y en el Registro de la Propiedad. A juicio del Fiscal, los criterios que deben presidir la actuación judicial para garantizar el derecho a la tutela judicial efectiva sin indefensión (art. 24.1 CE) son, en primer lugar, la opción, con carácter preferente, por aquellas clases de comunicación, citación o emplazamiento personal previstas en los textos procesales, acompañadas del correcto cumplimiento de los requisitos legalmente previstos para cada actuación procesal, y , en segundo lugar, y ante el fracaso de esta modalidad, la valoración judicial, conforme a criterios de razonabilidad, de su inutilidad para alcanzar el fin comunicativo-procesal.</w:t>
      </w:r>
    </w:p>
    <w:p w:rsidR="0085709A" w:rsidRDefault="0085709A" w:rsidP="0085709A">
      <w:pPr>
        <w:pStyle w:val="TextoNormal"/>
      </w:pPr>
    </w:p>
    <w:p w:rsidR="0085709A" w:rsidRDefault="0085709A" w:rsidP="0085709A">
      <w:pPr>
        <w:pStyle w:val="TextoNormal"/>
      </w:pPr>
      <w:r>
        <w:t xml:space="preserve">Aduce que la singularidad del presente caso, que le dota de trascendencia constitucional, reside en el nuevo marco legislativo existente como consecuencia de la reforma procesal de la Ley 13/2009, con cita de la doctrina de la STC 122/2013, FJ 5, que señaló que ha de realizarse una interpretación </w:t>
      </w:r>
      <w:r w:rsidRPr="0085709A">
        <w:rPr>
          <w:i/>
        </w:rPr>
        <w:t>secundum constitutionem</w:t>
      </w:r>
      <w:r>
        <w:t xml:space="preserve"> del art. 686.3 LEC, introducido por la citada Ley 13/2009,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ejecutado.</w:t>
      </w:r>
    </w:p>
    <w:p w:rsidR="0085709A" w:rsidRDefault="0085709A" w:rsidP="0085709A">
      <w:pPr>
        <w:pStyle w:val="TextoNormal"/>
      </w:pPr>
    </w:p>
    <w:p w:rsidR="0085709A" w:rsidRDefault="0085709A" w:rsidP="0085709A">
      <w:pPr>
        <w:pStyle w:val="TextoNormal"/>
      </w:pPr>
      <w:r>
        <w:t>Concluye el Fiscal señalando que la aplicación a este caso de dicha doctrina constitucional debe llevar a la estimación de la demanda de amparo, pues el órgano judicial no acudió al emplazamiento edictal como último remedio y no llevó a cabo una mínima y diligente labor encaminada a la localización del domicilio real de la demandante de amparo a los efectos de garantizar su derecho a la tutela judicial efectiva sin indefensión (art. 24.1 CE).</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7 de mayo de 2015 se señaló para la deliberación y votación de la presente Sentencia el día 11 del mismo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amparo se dirige contra el Auto de fecha 18 de noviembre de 2013, dictado por el Juzgado de Primera Instancia e Instrucción núm. 2 de Écija, por el que se desestimó el incidente de nulidad de actuaciones planteado por la propia recurrente en el procedimiento de ejecución hipotecaria núm. 1030-2012.</w:t>
      </w:r>
    </w:p>
    <w:p w:rsidR="0085709A" w:rsidRDefault="0085709A" w:rsidP="0085709A">
      <w:pPr>
        <w:pStyle w:val="TextoNormal"/>
      </w:pPr>
    </w:p>
    <w:p w:rsidR="0085709A" w:rsidRDefault="0085709A" w:rsidP="0085709A">
      <w:pPr>
        <w:pStyle w:val="TextoNormal"/>
      </w:pPr>
      <w:r>
        <w:t>En la demanda de amparo se imputa a la resolución recurrida la vulneración del derecho fundamental a la tutela judicial efectiva sin indefensión (art. 24.1 CE), al haberse practicado el emplazamiento edictal sin haber agotado las posibilidades de comunicación.</w:t>
      </w:r>
    </w:p>
    <w:p w:rsidR="0085709A" w:rsidRDefault="0085709A" w:rsidP="0085709A">
      <w:pPr>
        <w:pStyle w:val="TextoNormal"/>
      </w:pPr>
    </w:p>
    <w:p w:rsidR="0085709A" w:rsidRDefault="0085709A" w:rsidP="0085709A">
      <w:pPr>
        <w:pStyle w:val="TextoNormal"/>
      </w:pPr>
      <w:r>
        <w:t>El Ministerio Fiscal interesa la estimación del recurso por entender que concurre la vulneración denunciada, en tanto que la representación del Banco de Santander, S.A., se opone al recurso.</w:t>
      </w:r>
    </w:p>
    <w:p w:rsidR="0085709A" w:rsidRDefault="0085709A" w:rsidP="0085709A">
      <w:pPr>
        <w:pStyle w:val="TextoNormal"/>
      </w:pPr>
    </w:p>
    <w:p w:rsidR="0085709A" w:rsidRDefault="0085709A" w:rsidP="0085709A">
      <w:pPr>
        <w:pStyle w:val="TextoNormal"/>
      </w:pPr>
      <w:r w:rsidRPr="0085709A">
        <w:rPr>
          <w:rStyle w:val="NumeroAFNegritaCaracter"/>
        </w:rPr>
        <w:t>2</w:t>
      </w:r>
      <w:r>
        <w:t>. El análisis de la cuestión planteada, desde la estricta perspectiva constitucional, consiste en determinar la validez del emplazamiento edictal en un juicio de ejecución hipotecaria, al resultar negativa la notificación y emplazamiento llevado a cabo en el domicilio que constaba en la escritura pública de préstamo hipotecario y en el Registro de la Propiedad.</w:t>
      </w:r>
    </w:p>
    <w:p w:rsidR="0085709A" w:rsidRDefault="0085709A" w:rsidP="0085709A">
      <w:pPr>
        <w:pStyle w:val="TextoNormal"/>
      </w:pPr>
    </w:p>
    <w:p w:rsidR="0085709A" w:rsidRDefault="0085709A" w:rsidP="0085709A">
      <w:pPr>
        <w:pStyle w:val="TextoNormal"/>
      </w:pPr>
      <w:r>
        <w:t>La singularidad del presente caso, que le dota de trascendencia constitucional conforme al apartado c) del fundamento jurídico 2 de la STC 155/2009, de 25 de junio, reside en que se aplica el nuevo marco legislativo existente como consecuencia de la reforma operada por la Ley 13/2009, de 3 de noviembre, pues la decisión de acordar el emplazamiento edictal se hizo según de lo dispuesto en el art. 686.3 de la Ley de enjuiciamiento civil (LEC).</w:t>
      </w:r>
    </w:p>
    <w:p w:rsidR="0085709A" w:rsidRDefault="0085709A" w:rsidP="0085709A">
      <w:pPr>
        <w:pStyle w:val="TextoNormal"/>
      </w:pPr>
    </w:p>
    <w:p w:rsidR="0085709A" w:rsidRDefault="0085709A" w:rsidP="0085709A">
      <w:pPr>
        <w:pStyle w:val="TextoNormal"/>
      </w:pPr>
      <w:r>
        <w:t>Ello dota de especial trascendencia constitucional a este recurso, pues la vulneración del derecho fundamental pudiera provenir de la aplicación del citado art. 686.3 LEC al momento del despacho de ejecución en el procedimiento de ejecución hipotecaria, cuando este Tribunal no se había pronunciado sobre la referida reforma procesal de 2009.</w:t>
      </w:r>
    </w:p>
    <w:p w:rsidR="0085709A" w:rsidRDefault="0085709A" w:rsidP="0085709A">
      <w:pPr>
        <w:pStyle w:val="TextoNormal"/>
      </w:pPr>
    </w:p>
    <w:p w:rsidR="0085709A" w:rsidRDefault="0085709A" w:rsidP="0085709A">
      <w:pPr>
        <w:pStyle w:val="TextoNormal"/>
      </w:pPr>
      <w:r w:rsidRPr="0085709A">
        <w:rPr>
          <w:rStyle w:val="NumeroAFNegritaCaracter"/>
        </w:rPr>
        <w:t>3</w:t>
      </w:r>
      <w:r>
        <w:t>. Este Tribunal ha declarado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y en este sentido es reiterada la doctrina constitucional sobre la importancia de los actos de comunicación para la efectividad del derecho a la tutela judicial efectiva sin indefensión (art. 24.1 CE).</w:t>
      </w:r>
    </w:p>
    <w:p w:rsidR="0085709A" w:rsidRDefault="0085709A" w:rsidP="0085709A">
      <w:pPr>
        <w:pStyle w:val="TextoNormal"/>
      </w:pPr>
    </w:p>
    <w:p w:rsidR="0085709A" w:rsidRDefault="0085709A" w:rsidP="0085709A">
      <w:pPr>
        <w:pStyle w:val="TextoNormal"/>
      </w:pPr>
      <w:r>
        <w:t xml:space="preserve">Conforme dijimos en la STC 122/2013, de 20 de mayo, FJ 3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w:t>
      </w:r>
      <w:r>
        <w:lastRenderedPageBreak/>
        <w:t>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 293/2005, de 21 de noviembre, FJ 2; y 245/2006, de 24 de julio, FJ 2)”.</w:t>
      </w:r>
    </w:p>
    <w:p w:rsidR="0085709A" w:rsidRDefault="0085709A" w:rsidP="0085709A">
      <w:pPr>
        <w:pStyle w:val="TextoNormal"/>
      </w:pPr>
    </w:p>
    <w:p w:rsidR="0085709A" w:rsidRDefault="0085709A" w:rsidP="0085709A">
      <w:pPr>
        <w:pStyle w:val="TextoNormal"/>
      </w:pPr>
      <w:r>
        <w:t xml:space="preserve">En la misma STC 122/2013, FJ 5, se realizó una interpretación </w:t>
      </w:r>
      <w:r w:rsidRPr="0085709A">
        <w:rPr>
          <w:i/>
        </w:rPr>
        <w:t>secundum constitutionem</w:t>
      </w:r>
      <w:r>
        <w:t xml:space="preserve"> del art. 686.3 LEC, que integró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se fijó como doctrina constitucional que la comunicación edictal en el procedimiento de ejecución hipotecaria sólo puede utilizarse cuando se hayan agotado los medios de averiguación del domicilio del deudor o ejecutado, la cual ha sido reiterada en las SSTC 30/2014, de 24 de febrero, FJ 5; 126/2014, de 21 de julio, FJ 5, y 137/2014, de 8 de septiembre, FJ 3.</w:t>
      </w:r>
    </w:p>
    <w:p w:rsidR="0085709A" w:rsidRDefault="0085709A" w:rsidP="0085709A">
      <w:pPr>
        <w:pStyle w:val="TextoNormal"/>
      </w:pPr>
    </w:p>
    <w:p w:rsidR="0085709A" w:rsidRDefault="0085709A" w:rsidP="0085709A">
      <w:pPr>
        <w:pStyle w:val="TextoNormal"/>
      </w:pPr>
      <w:r w:rsidRPr="0085709A">
        <w:rPr>
          <w:rStyle w:val="NumeroAFNegritaCaracter"/>
        </w:rPr>
        <w:t>4</w:t>
      </w:r>
      <w:r>
        <w:t>. A la luz de la doctrina constitucional expuesta, han de ser examinadas las quejas denunciadas. Es evidente, como alega el Fiscal, que el órgano judicial no desplegó la actividad que le era exigible al objeto de notificar debidamente a la recurrente la existencia del procedimiento de ejecución hipotecaria, pues acudió directamente al emplazamiento edictal tras el resultado negativo del intento de comunicación.</w:t>
      </w:r>
    </w:p>
    <w:p w:rsidR="0085709A" w:rsidRDefault="0085709A" w:rsidP="0085709A">
      <w:pPr>
        <w:pStyle w:val="TextoNormal"/>
      </w:pPr>
    </w:p>
    <w:p w:rsidR="0085709A" w:rsidRDefault="0085709A" w:rsidP="0085709A">
      <w:pPr>
        <w:pStyle w:val="TextoNormal"/>
      </w:pPr>
      <w:r>
        <w:t>Frente a esta conclusión fáctica se opone por la entidad bancaria que la demandante de amparo tuvo conocimiento de la existencia del procedimiento hipotecario desde su inicio y que mantuvo negociaciones con el banco para extinguir la deuda y evitar la ejecución hipotecaria, aportando diferentes documentos en prueba de sus alegaciones.</w:t>
      </w:r>
    </w:p>
    <w:p w:rsidR="0085709A" w:rsidRDefault="0085709A" w:rsidP="0085709A">
      <w:pPr>
        <w:pStyle w:val="TextoNormal"/>
      </w:pPr>
    </w:p>
    <w:p w:rsidR="0085709A" w:rsidRDefault="0085709A" w:rsidP="0085709A">
      <w:pPr>
        <w:pStyle w:val="TextoNormal"/>
      </w:pPr>
      <w:r>
        <w:t xml:space="preserve">Sobre ese particular, procede traer a colación nuestra consolidada doctrina en relación con los actos de comunicación sobre la indefensión originada por la propia conducta de quien la invoca. Al respecto, hemos reiterado que la falta o deficiente realización del acto de comunicación tiene relevancia constitucional siempre que se frustre la finalidad con ellos perseguida, lo que excluye las situaciones de incomunicación que sean imputables a la propia conducta del afectado por haberse situado voluntaria o negligentemente al margen del proceso, pese a tener conocimiento por otros medios distintos de su existencia (STC 268/2000, de 13 de noviembre, FJ 4, y las allí citadas), si bien es necesario recordar que la </w:t>
      </w:r>
      <w:r>
        <w:lastRenderedPageBreak/>
        <w:t>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(SSTC 219/1999, de 29 de noviembre, FJ 2; 128/2000, de 16 de mayo, FJ 5, y 268/2000, de 13 de noviembre, FJ 4).</w:t>
      </w:r>
    </w:p>
    <w:p w:rsidR="0085709A" w:rsidRDefault="0085709A" w:rsidP="0085709A">
      <w:pPr>
        <w:pStyle w:val="TextoNormal"/>
      </w:pPr>
    </w:p>
    <w:p w:rsidR="0085709A" w:rsidRDefault="0085709A" w:rsidP="0085709A">
      <w:pPr>
        <w:pStyle w:val="TextoNormal"/>
      </w:pPr>
      <w:r w:rsidRPr="0085709A">
        <w:rPr>
          <w:rStyle w:val="NumeroAFNegritaCaracter"/>
        </w:rPr>
        <w:t>5</w:t>
      </w:r>
      <w:r>
        <w:t>. En el presente caso, tanto en el incidente de nulidad como en la demanda de amparo se afirma el desconocimiento de la existencia del proceso y que la recurrente tuvo noticias posteriores de la celebración de la subasta sobre las fincas hipotecadas de su titularidad. Ello motivó que en fecha 5 de julio de 2013 se personara en el Juzgado el marido de la recurrente, don Antonio Páez, a quien se le entregó el auto despachando ejecución y se le comunicó el resultado de la subasta.</w:t>
      </w:r>
    </w:p>
    <w:p w:rsidR="0085709A" w:rsidRDefault="0085709A" w:rsidP="0085709A">
      <w:pPr>
        <w:pStyle w:val="TextoNormal"/>
      </w:pPr>
    </w:p>
    <w:p w:rsidR="0085709A" w:rsidRDefault="0085709A" w:rsidP="0085709A">
      <w:pPr>
        <w:pStyle w:val="TextoNormal"/>
      </w:pPr>
      <w:r>
        <w:t>Frente a esta alegación, la entidad bancaria sostiene que la recurrente tuvo conocimiento de la ejecución hipotecaria desde el inicio, aportando diversos documentos con el escrito de alegaciones presentado en este proceso de amparo, en el cual solicitó recibimiento a prueba tal como queda expresado en los antecedentes.</w:t>
      </w:r>
    </w:p>
    <w:p w:rsidR="0085709A" w:rsidRDefault="0085709A" w:rsidP="0085709A">
      <w:pPr>
        <w:pStyle w:val="TextoNormal"/>
      </w:pPr>
    </w:p>
    <w:p w:rsidR="0085709A" w:rsidRDefault="0085709A" w:rsidP="0085709A">
      <w:pPr>
        <w:pStyle w:val="TextoNormal"/>
      </w:pPr>
      <w:r>
        <w:t xml:space="preserve">En relación a esta pretensión, debe subrayarse en primer lugar que el amparo es un recurso subsidiario, de manera que deben agotarse los cauces procesales que se ofrecen en la vía judicial para la reparación del derecho fundamental que se estima lesionado. Ello determina que la controversia sobre los hechos debe dirimirse en el proceso </w:t>
      </w:r>
      <w:r w:rsidRPr="0085709A">
        <w:rPr>
          <w:i/>
        </w:rPr>
        <w:t>a quo</w:t>
      </w:r>
      <w:r>
        <w:t xml:space="preserve"> puesto que, conforme a lo dispuesto en el art. 44.1 b) de la Ley Orgánica del Tribunal Constitucional (LOTC), el Tribunal Constitucional no debe entrar a conocer sobre cuestiones fácticas planteadas en el proceso ante el órgano judicial. En consecuencia, el incidente probatorio previsto en el art. 89 LOTC ha de articularse desde sus propios principios, vedando así cualquier tentación de trasladar automáticamente los que rigen en los ordinarios (AATC 155/1996, de 11 de junio, FJ 1, y 496/2004, de 30 de noviembre), de manera que no tienen cabida en el mismo los hechos que pudieron y debieron ser objeto de prueba en el proceso </w:t>
      </w:r>
      <w:r w:rsidRPr="0085709A">
        <w:rPr>
          <w:i/>
        </w:rPr>
        <w:t>a quo</w:t>
      </w:r>
      <w:r>
        <w:t>.</w:t>
      </w:r>
    </w:p>
    <w:p w:rsidR="0085709A" w:rsidRDefault="0085709A" w:rsidP="0085709A">
      <w:pPr>
        <w:pStyle w:val="TextoNormal"/>
      </w:pPr>
    </w:p>
    <w:p w:rsidR="0085709A" w:rsidRDefault="0085709A" w:rsidP="0085709A">
      <w:pPr>
        <w:pStyle w:val="TextoNormal"/>
      </w:pPr>
      <w:r>
        <w:t xml:space="preserve">Pues bien, en este caso, la entidad bancaria demandada no aportó los documentos en el proceso </w:t>
      </w:r>
      <w:r w:rsidRPr="0085709A">
        <w:rPr>
          <w:i/>
        </w:rPr>
        <w:t>a quo</w:t>
      </w:r>
      <w:r>
        <w:t>, de los cuales ya disponía cuando contestó al incidente de nulidad de actuaciones, ni intentó la práctica de los medios probatorios que ahora solicita, por lo que debe denegarse la prueba propuesta por la parte en este proceso de amparo.</w:t>
      </w:r>
    </w:p>
    <w:p w:rsidR="0085709A" w:rsidRDefault="0085709A" w:rsidP="0085709A">
      <w:pPr>
        <w:pStyle w:val="TextoNormal"/>
      </w:pPr>
    </w:p>
    <w:p w:rsidR="0085709A" w:rsidRDefault="0085709A" w:rsidP="0085709A">
      <w:pPr>
        <w:pStyle w:val="TextoNormal"/>
      </w:pPr>
      <w:r>
        <w:t xml:space="preserve">Por tanto, debemos analizar la alegación de conocimiento extraprocesal conforme a los hechos determinados en el proceso </w:t>
      </w:r>
      <w:r w:rsidRPr="0085709A">
        <w:rPr>
          <w:i/>
        </w:rPr>
        <w:t>a quo</w:t>
      </w:r>
      <w:r>
        <w:t>, de donde se desprende que no existe ningún elemento que permita afirmar que la recurrente en amparo tuviera noticia del proceso en momento anterior a su comparecencia, de manera que ha de concluirse que no ha quedado desvirtuada la afirmación que realiza en su demanda sobre el desconocimiento de la existencia del proceso de ejecución hipotecaria núm. 1030-2012.</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Las consideraciones precedentes permiten concluir que se ha producido la vulneración del derecho a la tutela judicial efectiva sin indefensión (art. 24.1 CE) que se denuncia en la demanda de amparo, al no haber agotado el órgano judicial que conocía del proceso de </w:t>
      </w:r>
      <w:r>
        <w:lastRenderedPageBreak/>
        <w:t>ejecución hipotecaria los medios de averiguación del domicilio real de la deudora demandada antes de proceder a la comunicación por edictos, por lo que, de conformidad con lo dispuesto en el art. 55.1 LOTC, procede otorgar el amparo que se solicita, declarando la nulidad del Auto impugnado y retrotrayendo las actuaciones al momento anterior al requerimiento de pago a la recurrente, para que se le comunique en legal forma el despacho de ejecución.</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doña Nuria Corona Segura, y, en su virtud:</w:t>
      </w:r>
    </w:p>
    <w:p w:rsidR="0085709A" w:rsidRDefault="0085709A" w:rsidP="0085709A">
      <w:pPr>
        <w:pStyle w:val="TextoNormal"/>
      </w:pPr>
    </w:p>
    <w:p w:rsidR="0085709A" w:rsidRDefault="0085709A" w:rsidP="0085709A">
      <w:pPr>
        <w:pStyle w:val="TextoNormal"/>
      </w:pPr>
      <w:r>
        <w:t>1º Declarar que ha sido vulnerado el derecho fundamental de la demandante de amparo a la tutela judicial efectiva sin indefensión (art. 24.1 CE).</w:t>
      </w:r>
    </w:p>
    <w:p w:rsidR="0085709A" w:rsidRDefault="0085709A" w:rsidP="0085709A">
      <w:pPr>
        <w:pStyle w:val="TextoNormal"/>
      </w:pPr>
    </w:p>
    <w:p w:rsidR="0085709A" w:rsidRDefault="0085709A" w:rsidP="0085709A">
      <w:pPr>
        <w:pStyle w:val="TextoNormal"/>
      </w:pPr>
      <w:r>
        <w:t>2º Restablecerle en su derecho y, en consecuencia, declarar la nulidad del Auto de 18 de noviembre de 2013 dictado por el Juzgado de Primera Instancia e Instrucción núm. 2 de Écija, que desestimó la solicitud de nulidad de actuaciones promovida en el procedimiento de ejecución hipotecaria núm. 1030-2012.</w:t>
      </w:r>
    </w:p>
    <w:p w:rsidR="0085709A" w:rsidRDefault="0085709A" w:rsidP="0085709A">
      <w:pPr>
        <w:pStyle w:val="TextoNormal"/>
      </w:pPr>
    </w:p>
    <w:p w:rsidR="0085709A" w:rsidRDefault="0085709A" w:rsidP="0085709A">
      <w:pPr>
        <w:pStyle w:val="TextoNormal"/>
      </w:pPr>
      <w:r>
        <w:t>3º Retrotraer las actuaciones al momento inmediatamente anterior al requerimiento de pago a la demandada para que se le comunique el despacho de ejecución en legal forma.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once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3" w:name="SENTENCIA_2015_90"/>
      <w:r>
        <w:lastRenderedPageBreak/>
        <w:t>SENTENCIA 90/2015, de 11 de mayo de 2015</w:t>
      </w:r>
    </w:p>
    <w:bookmarkEnd w:id="93"/>
    <w:p w:rsidR="0085709A" w:rsidRDefault="0085709A" w:rsidP="0085709A">
      <w:pPr>
        <w:pStyle w:val="TtuloResolucin"/>
      </w:pPr>
      <w:r>
        <w:t>Sala Segunda</w:t>
      </w:r>
    </w:p>
    <w:p w:rsidR="0085709A" w:rsidRDefault="0085709A" w:rsidP="0085709A">
      <w:pPr>
        <w:pStyle w:val="TtuloBOE"/>
      </w:pPr>
      <w:r>
        <w:t>(BOE núm. 146, de 19 de junio de 2015)</w:t>
      </w:r>
    </w:p>
    <w:p w:rsidR="0085709A" w:rsidRDefault="0085709A" w:rsidP="0085709A">
      <w:pPr>
        <w:pStyle w:val="TextoNormalCentrado"/>
      </w:pPr>
      <w:r>
        <w:t>ECLI:ES:TC:2015:90</w:t>
      </w:r>
    </w:p>
    <w:p w:rsidR="0085709A" w:rsidRDefault="0085709A" w:rsidP="0085709A">
      <w:pPr>
        <w:pStyle w:val="TextoNormalCentrado"/>
      </w:pPr>
    </w:p>
    <w:p w:rsidR="0085709A" w:rsidRDefault="0085709A" w:rsidP="0085709A">
      <w:pPr>
        <w:pStyle w:val="SntesisDescriptiva"/>
      </w:pPr>
      <w:r>
        <w:t>Recurso de amparo 393-2014. Promovido por doña María del Carmen Pérez Aguilar en relación con el Auto del Juzgado de Primera Instancia e Instrucción núm. 2 de Quart de Poblet que desestimó su impugnación de la resolución de la Comisión de Asistencia Jurídica Gratuita de Valencia sobre reconocimiento del derecho a la asistencia jurídica gratuita.</w:t>
      </w:r>
    </w:p>
    <w:p w:rsidR="0085709A" w:rsidRDefault="0085709A" w:rsidP="0085709A">
      <w:pPr>
        <w:pStyle w:val="SntesisDescriptiva"/>
      </w:pPr>
    </w:p>
    <w:p w:rsidR="0085709A" w:rsidRDefault="0085709A" w:rsidP="0085709A">
      <w:pPr>
        <w:pStyle w:val="SntesisAnaltica"/>
      </w:pPr>
      <w:r>
        <w:t>Vulneración del derecho a la tutela judicial efectiva (acceso al recurso legal): denegación del derecho a la asistencia jurídica gratuita al no haberse solicitado en primera instancia ni acreditado que las circunstancias económicas y condiciones necesarias para su obtención sobrevinieran posteriormente.</w:t>
      </w:r>
    </w:p>
    <w:p w:rsidR="0085709A" w:rsidRDefault="0085709A" w:rsidP="0085709A">
      <w:pPr>
        <w:pStyle w:val="SntesisAnaltica"/>
      </w:pPr>
    </w:p>
    <w:p w:rsidR="0085709A" w:rsidRDefault="0085709A" w:rsidP="0085709A">
      <w:pPr>
        <w:pStyle w:val="Extracto"/>
      </w:pPr>
      <w:r>
        <w:t>1.</w:t>
      </w:r>
      <w:r>
        <w:tab/>
        <w:t>En la impugnación de las resoluciones denegatorias del beneficio de justicia gratuita se encuentra ínsita la pretensión del actor sobre el derecho a la tutela judicial efectiva del art. 24 CE, en este caso, la de acceder al recurso de apelación (STC 128/2014) [FJ 2].</w:t>
      </w:r>
    </w:p>
    <w:p w:rsidR="0085709A" w:rsidRDefault="0085709A" w:rsidP="0085709A">
      <w:pPr>
        <w:pStyle w:val="Extracto"/>
      </w:pPr>
    </w:p>
    <w:p w:rsidR="0085709A" w:rsidRDefault="0085709A" w:rsidP="0085709A">
      <w:pPr>
        <w:pStyle w:val="Extracto"/>
      </w:pPr>
      <w:r>
        <w:t>2.</w:t>
      </w:r>
      <w:r>
        <w:tab/>
        <w:t>La finalidad inmediata del derecho de acceso a la jurisdicción reconocido en el art. 24.1 CE, radica en permitir el acceso a la justicia, para interponer pretensiones u oponerse a ellas, a quienes no tienen medios económicos suficientes para ello y, más ampliamente, trata de asegurar que ninguna persona quede procesalmente indefensa por carecer de recursos para litigar; corresponde al legislador delimitar su contenido y concretas condiciones de ejercicio, atendiendo a los intereses públicos y privados implicados y a las concretas disponibilidades presupuestarias (STC 128/2014) [FJ 3].</w:t>
      </w:r>
    </w:p>
    <w:p w:rsidR="0085709A" w:rsidRDefault="0085709A" w:rsidP="0085709A">
      <w:pPr>
        <w:pStyle w:val="Extracto"/>
      </w:pPr>
    </w:p>
    <w:p w:rsidR="0085709A" w:rsidRDefault="0085709A" w:rsidP="0085709A">
      <w:pPr>
        <w:pStyle w:val="Extracto"/>
      </w:pPr>
      <w:r>
        <w:t>3.</w:t>
      </w:r>
      <w:r>
        <w:tab/>
        <w:t>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(STC 95/2003) [FJ 4].</w:t>
      </w:r>
    </w:p>
    <w:p w:rsidR="0085709A" w:rsidRDefault="0085709A" w:rsidP="0085709A">
      <w:pPr>
        <w:pStyle w:val="Extracto"/>
      </w:pPr>
    </w:p>
    <w:p w:rsidR="0085709A" w:rsidRDefault="0085709A" w:rsidP="0085709A">
      <w:pPr>
        <w:pStyle w:val="Extracto"/>
      </w:pPr>
      <w:r>
        <w:t>4.</w:t>
      </w:r>
      <w:r>
        <w:tab/>
        <w:t>El contenido constitucional indisponible para el legislador obliga a reconocer el derecho a la justicia gratuita necesariamente a quienes acrediten insuficiencia de recursos económicos para litigar y tal contenido esencial debe ser respetado por el legislador en todo el ámbito del derecho a la tutela judicial efectiva: tanto en la vertiente del derecho de acceso a la justicia, como en la vertiente del derecho de acceso a los recursos legalmente previstos, sin perjuicio, de que el control constitucional en uno u otro ámbito deba ser de diferente intensidad (SSTC 16/1994, 117/1998) [FJ 4].</w:t>
      </w:r>
    </w:p>
    <w:p w:rsidR="0085709A" w:rsidRDefault="0085709A" w:rsidP="0085709A">
      <w:pPr>
        <w:pStyle w:val="Extracto"/>
      </w:pPr>
    </w:p>
    <w:p w:rsidR="0085709A" w:rsidRDefault="0085709A" w:rsidP="0085709A">
      <w:pPr>
        <w:pStyle w:val="Extracto"/>
      </w:pPr>
      <w:r>
        <w:t>5.</w:t>
      </w:r>
      <w:r>
        <w:tab/>
        <w:t xml:space="preserve">Las interpretaciones de la comisión de asistencia jurídica gratuita y del órgano judicial a quo son contrarias al sentido de la finalidad de la norma por cuanto no se examinó la situación económica de la recurrente, invocando sólo que el beneficio </w:t>
      </w:r>
      <w:r>
        <w:lastRenderedPageBreak/>
        <w:t>no fue solicitado en primera instancia pero sin considerar que tuvo la ayuda de amigos que la asistieron jurídicamente sin cobrarle ni el dato sobrevenido de la necesidad de pago de tasas en apelación, cuya exigencia no era previsible cuando inició el proceso; interpretación restrictiva del derecho fundamental a los recursos legalmente previstos, que impidió a la parte recurrente acceder al recurso de apelación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393-2014, promovido por doña María del Carmen Pérez Aguilar, representada por la Procuradora de los Tribunales doña Sonia López Caballero y asistida por el Letrado don Antonio Minaya Cerezo, contra el Auto de 19 de diciembre de 2013 del Juzgado de Primera Instancia e Instrucción núm. 2 de Quart de Poblet, desestimatorio de la impugnación de la resolución de la comisión de asistencia jurídica gratuita de Valencia, de 25 de julio de 2013. Ha comparecido el Letrado de la Generalitat Valenciana. Ha intervenido el Ministerio Fiscal.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el día 7 de mayo de 2014, tras la oportuna designación de Abogado y Procurador del turno de oficio, doña Sonia López Caballero, Procuradora de los Tribunales y de doña María del Carmen Pérez Aguilar, interpuso recurso de amparo frente a la resolución a la que se ha hecho mención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La demanda de amparo tiene su origen en los siguientes antecedentes:</w:t>
      </w:r>
    </w:p>
    <w:p w:rsidR="0085709A" w:rsidRDefault="0085709A" w:rsidP="0085709A">
      <w:pPr>
        <w:pStyle w:val="TextoNormal"/>
      </w:pPr>
    </w:p>
    <w:p w:rsidR="0085709A" w:rsidRDefault="0085709A" w:rsidP="0085709A">
      <w:pPr>
        <w:pStyle w:val="TextoNormal"/>
      </w:pPr>
      <w:r>
        <w:t xml:space="preserve">En fecha 11 de febrero de 2013, la demandante de amparo presentó solicitud de beneficio de justicia gratuita ante la Comisión de Asistencia Jurídica Gratuita de Valencia, a fin de interponer recurso de apelación contra la Sentencia de fecha 15 de enero de 2013, dictada en los autos de procedimiento ordinario núm. 117-2012, tramitados por el Juzgado de Primera Instancia e Instrucción núm. 2 de Quart de Poblet. La Sentencia había estimado parcialmente la demanda sobre reclamación de cantidad presentada por la entidad Financia Banco de Crédito, S.A., condenando a la demandada al pago del principal adeudado en noviembre de 2009 y acordando la nulidad del pacto de interés moratoria del 29 por 100. </w:t>
      </w:r>
      <w:r>
        <w:lastRenderedPageBreak/>
        <w:t>Junto con su solicitud la demandante de amparo aportó escrito, fechado el 8 de febrero de 2013, firmado por don Antonio Minaya Cerezo, Letrado del Ilustre Colegio de Abogados de Valencia, por el que renunciaba al cobro de honorarios por razón de amistad con la solicitante.</w:t>
      </w:r>
    </w:p>
    <w:p w:rsidR="0085709A" w:rsidRDefault="0085709A" w:rsidP="0085709A">
      <w:pPr>
        <w:pStyle w:val="TextoNormal"/>
      </w:pPr>
    </w:p>
    <w:p w:rsidR="0085709A" w:rsidRDefault="0085709A" w:rsidP="0085709A">
      <w:pPr>
        <w:pStyle w:val="TextoNormal"/>
      </w:pPr>
      <w:r>
        <w:t>La Comisión de Justicia Gratuita de Valencia acordó la incoación de expediente núm. 34136-2013; el servicio de orientación jurídica emitió informe, de fecha 26 de febrero de 2013, considerando que la solicitud de beneficio de justicia gratuita reunía los requisitos establecidos en la ley y remitió informe a la secretaría de la Comisión de Asistencia Jurídica Gratuita de Valencia indicando que la solicitud estaba incursa dentro del ámbito del art. 27 de la Ley 1/1996, de 10 de enero.</w:t>
      </w:r>
    </w:p>
    <w:p w:rsidR="0085709A" w:rsidRDefault="0085709A" w:rsidP="0085709A">
      <w:pPr>
        <w:pStyle w:val="TextoNormal"/>
      </w:pPr>
    </w:p>
    <w:p w:rsidR="0085709A" w:rsidRDefault="0085709A" w:rsidP="0085709A">
      <w:pPr>
        <w:pStyle w:val="TextoNormal"/>
      </w:pPr>
      <w:r>
        <w:t>La Comisión de Asistencia Jurídica Gratuita de Valencia, en su reunión de 25 de julio de 2013, acordó denegar la solicitud de reconocimiento del beneficio de la justicia gratuita, de conformidad con lo establecido en el art. 8 de la Ley 1/1996, de 10 de enero, al no haberse solicitado el beneficio en primera instancia y no haber acreditado la solicitante que las circunstancias económicas y condiciones necesarias para su obtención sobrevinieran con posterioridad al inicio de dicha instancia.</w:t>
      </w:r>
    </w:p>
    <w:p w:rsidR="0085709A" w:rsidRDefault="0085709A" w:rsidP="0085709A">
      <w:pPr>
        <w:pStyle w:val="TextoNormal"/>
      </w:pPr>
    </w:p>
    <w:p w:rsidR="0085709A" w:rsidRDefault="0085709A" w:rsidP="0085709A">
      <w:pPr>
        <w:pStyle w:val="TextoNormal"/>
      </w:pPr>
      <w:r>
        <w:t>En fecha 9 de agosto de 2013 la demandante de amparo presentó escrito por el que impugnó el acuerdo adoptado por la Comisión de Asistencia Jurídica Gratuita de Valencia, denunciando la errónea interpretación del art. 8, en su inciso segundo, de la Ley 1/1996, de 10 de enero, argumentando que la denegación no se había fundado en la ausencia de recursos económicos para litigar, sino solo en el hecho de que no había solicitado el beneficio de justicia gratuita al contestar la demanda en primera instancia, interpretación que, a su juicio, vulneraba el art. 119 CE, en relación con el derecho a la tutela judicial efectiva del art. 24.1 CE. En el suplico de su escrito solicitaba la revocación del acuerdo y, en consecuencia, que se le reconociera el beneficio de asistencia jurídica gratuita para interponer recurso de apelación contra la Sentencia dictada en primera instancia.</w:t>
      </w:r>
    </w:p>
    <w:p w:rsidR="0085709A" w:rsidRDefault="0085709A" w:rsidP="0085709A">
      <w:pPr>
        <w:pStyle w:val="TextoNormal"/>
      </w:pPr>
    </w:p>
    <w:p w:rsidR="0085709A" w:rsidRDefault="0085709A" w:rsidP="0085709A">
      <w:pPr>
        <w:pStyle w:val="TextoNormal"/>
      </w:pPr>
      <w:r>
        <w:t>El Juzgado de Primera Instancia e Instrucción núm. 2 de Quart de Poblet, en fecha 19 de diciembre de 2013, dictó Auto núm. 289/2013, por el que desestimó la impugnación y confirmó el acuerdo de fecha 25 de julio de 2013 adoptado por la Comisión de Asistencia Jurídica Gratuita de Valencia; consideraba que “deben tenerse en cuenta que, en el presente caso, la impugnación carece de fundamento ya que el art. 8 de la LAJG dice que no se reconocerá el derecho a la gratuidad en segunda instancia si no se ha solicitado en la primera y la recurrente no ha acreditado que las circunstancias económicas y condiciones necesarias para la obtención del beneficio de justicia gratuita hayan sobrevenido con posterioridad a la primera instancia en la que no pidió dicho beneficio. Por ello, de conformidad con lo establecido en el art. 8 de la Ley 1/1996, procede desestimar la impugnación efectuada por Carmen Pérez Aguilera”.</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El recurso de amparo se fundamenta en la alegación de vulneración del derecho a la tutela judicial efectiva, art. 24.1 CE, en su manifestación de derecho de acceso al recurso, en relación con el art. 119 CE, al denegarle el reconocimiento del derecho a la asistencia jurídica gratuita para interponer recurso de apelación, a pesar de encontrarse en una situación de insuficiencia de recursos económicos para litigar, con el argumento, a su juicio inconstitucional, de que debió solicitar el beneficio al inicio del proceso, en primera instancia. </w:t>
      </w:r>
      <w:r>
        <w:lastRenderedPageBreak/>
        <w:t xml:space="preserve">Denuncia que el Juez </w:t>
      </w:r>
      <w:r w:rsidRPr="0085709A">
        <w:rPr>
          <w:i/>
        </w:rPr>
        <w:t>a quo</w:t>
      </w:r>
      <w:r>
        <w:t xml:space="preserve"> no llevó a cabo una interpretación del art. 8.2 de la Ley de asistencia jurídica gratuita (LAJG) de acuerdo a los mencionados arts. 24.1 y 119 CE. Según argumenta en la demanda, solo hay una forma de interpretar el mencionado art. 8 LAJG, que cuando no se tenga derecho en primera instancia, si se solicita de nuevo en la segunda o posteriores, habrá que justificar que se ha venido a peor fortuna, pero que, si el derecho se tenía en primera instancia, aunque no se haya solicitado, si se pide en segunda instancia, </w:t>
      </w:r>
      <w:r w:rsidRPr="0085709A">
        <w:rPr>
          <w:i/>
        </w:rPr>
        <w:t>ex</w:t>
      </w:r>
      <w:r>
        <w:t xml:space="preserve"> art. 119 CE, en su segundo inciso, se deberá otorgar dicho beneficio. Interpretación esta última que resulta respetuosa con el derecho constitucional invocado. Por otra parte, concluye afirmando que sería absurdo que se obligue a solicitar la justicia gratuita desde el inicio, con el gasto que ello comporta para la Administración, a quien tiene derecho a ello pero que, sin que le cause una merma económica, puede litigar, a lo que aboca la resolución impugnada.</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9 de octubre de 2014, la Sección Tercera de este Tribunal acordó admitir a trámite la demanda y, puesto que constaban en autos copia adverada de las actuaciones del procedimiento de la resolución de la Comisión de Asistencia Jurídica Gratuita núm. 595-2013, se acordó, a tenor de lo dispuesto en el art. 51 de la Ley Orgánica del Tribunal Constitucional (LOTC), interesar al Juzgado de Primera Instancia e Instrucción núm. 2 de Quart de Poblet que emplazara a quien hubiera sido parte en el procedimiento. Asimismo, se acordó formar la correspondiente pieza separada de suspensión, que finalizó mediante Auto denegatorio de la suspensión solicitada de fecha de 15 de diciembre de 2014.</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de 12 de noviembre de 2014, el Letrado de la Generalitat Valenciana, se personó en el presente proceso.</w:t>
      </w:r>
    </w:p>
    <w:p w:rsidR="0085709A" w:rsidRDefault="0085709A" w:rsidP="0085709A">
      <w:pPr>
        <w:pStyle w:val="TextoNormal"/>
      </w:pPr>
    </w:p>
    <w:p w:rsidR="0085709A" w:rsidRDefault="0085709A" w:rsidP="0085709A">
      <w:pPr>
        <w:pStyle w:val="TextoNormal"/>
      </w:pPr>
      <w:r>
        <w:t>Por diligencia de ordenación de la Secretaría de Justicia de la Sala Segunda de 18 de diciembre de 2014, se tuvo por personado al Letrado de la Generalitat Valenciana; se tuvieron por recibidos los testimonios solicitados y, a tenor de lo dispuesto en el art. 52 LOTC, se dio vista de las actuaciones por un plazo común de veinte días, al Ministerio Fiscal y a las partes personadas para que pudieran presentar las alegaciones que a su derecho convengan.</w:t>
      </w:r>
    </w:p>
    <w:p w:rsidR="0085709A" w:rsidRDefault="0085709A" w:rsidP="0085709A">
      <w:pPr>
        <w:pStyle w:val="TextoNormal"/>
      </w:pPr>
    </w:p>
    <w:p w:rsidR="0085709A" w:rsidRDefault="0085709A" w:rsidP="0085709A">
      <w:pPr>
        <w:pStyle w:val="TextoNormal"/>
      </w:pPr>
      <w:r w:rsidRPr="0085709A">
        <w:rPr>
          <w:rStyle w:val="NumeroAFNegritaCaracter"/>
        </w:rPr>
        <w:t>6</w:t>
      </w:r>
      <w:r>
        <w:t>. El Letrado de la Generalitat Valenciana cumplimentó el trámite conferido mediante escrito registrado en este Tribunal el 20 de enero de 2015, interesando la denegación del amparo solicitado.</w:t>
      </w:r>
    </w:p>
    <w:p w:rsidR="0085709A" w:rsidRDefault="0085709A" w:rsidP="0085709A">
      <w:pPr>
        <w:pStyle w:val="TextoNormal"/>
      </w:pPr>
    </w:p>
    <w:p w:rsidR="0085709A" w:rsidRDefault="0085709A" w:rsidP="0085709A">
      <w:pPr>
        <w:pStyle w:val="TextoNormal"/>
      </w:pPr>
      <w:r>
        <w:t>Considera que la interpretación que tanto la Comisión de Asistencia Jurídica Gratuita como el órgano judicial han realizado, no vulnera derecho fundamental alguno, puesto que el art. 8 de la Ley de asistencia jurídica gratuita es claro y no permite que tal beneficio se pueda adquirir en segunda instancia si no se cumplen —como era el caso– los requisitos en él establecidos. No obstante, critica la contundencia del precepto aplicado.</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La parte recurrente formuló sus alegaciones mediante escrito de 22 de enero de 2015, reiterando los argumentos expuestos en la demanda de amparo. Aporta copia de una resolución de fecha posterior a la interposición del recurso de amparo, mediante la que se le otorga el beneficio de justicia gratuita a otra persona para interponer recurso de apelación </w:t>
      </w:r>
      <w:r>
        <w:lastRenderedPageBreak/>
        <w:t>en otro procedimiento diferente, lo que, a su juicio, pone de manifiesto la discriminación sufrida en el proceso del que trae causa 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cumplimentó el trámite con fecha 22 de enero de 2015, interesando la estimación de la demanda. Recuerda en primer lugar la consolidada doctrina constitucional sobre la gratuidad de la asistencia jurídica consagrada en el art. 119 CE. Considera que el caso sometido a enjuiciamiento constitucional resulta novedoso, al no haber sido abordado directamente con anterioridad por este Tribunal.</w:t>
      </w:r>
    </w:p>
    <w:p w:rsidR="0085709A" w:rsidRDefault="0085709A" w:rsidP="0085709A">
      <w:pPr>
        <w:pStyle w:val="TextoNormal"/>
      </w:pPr>
    </w:p>
    <w:p w:rsidR="0085709A" w:rsidRDefault="0085709A" w:rsidP="0085709A">
      <w:pPr>
        <w:pStyle w:val="TextoNormal"/>
      </w:pPr>
      <w:r>
        <w:t xml:space="preserve">Resulta de obligada mención, afirma, la STC 180/2003, que examinó un supuesto de solicitud del derecho de justicia gratuita para interponer recurso de apelación, sin que la recurrente lo hubiera solicitado en primera instancia por encontrarse en situación de rebeldía procesal. Dicha solicitud fue denegada por el órgano judicial en aplicación de lo dispuesto en el inciso segundo del art. 8 LAJG, al no haber sido solicitado en primera instancia. Tal argumento fue censurado por el Tribunal, calificando tal interpretación de la ley de desproporcionada, desde la óptica del principio </w:t>
      </w:r>
      <w:r w:rsidRPr="0085709A">
        <w:rPr>
          <w:i/>
        </w:rPr>
        <w:t>pro actione</w:t>
      </w:r>
      <w:r>
        <w:t>. En el presente caso, aclara el Ministerio Fiscal, la decisión de no conceder a la recurrente el derecho a la asistencia jurídica gratuita para interponer recurso de apelación se basó, también, en la aplicación de lo dispuesto en el inciso segundo del art. 8 LAJG, que dispone: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El precepto regula, por tanto, los casos de quienes personados en la primera instancia sin haber solicitado la justicia gratuita por no tener derecho a ello, pretenden que se les reconozca en la segunda o instancias superiores, en cuyo caso se les exige, como requisito básico, que acrediten “haber venido a peor fortuna”, según la fórmula clásica utilizada en la Ley de enjuiciamiento civil, o, según la fórmula actual, que acrediten que las circunstancias o condiciones precisas para su reconocimiento “sobrevinieron en el curso de la primera instancia o con posterioridad a ella”.</w:t>
      </w:r>
    </w:p>
    <w:p w:rsidR="0085709A" w:rsidRDefault="0085709A" w:rsidP="0085709A">
      <w:pPr>
        <w:pStyle w:val="TextoNormal"/>
      </w:pPr>
    </w:p>
    <w:p w:rsidR="0085709A" w:rsidRDefault="0085709A" w:rsidP="0085709A">
      <w:pPr>
        <w:pStyle w:val="TextoNormal"/>
      </w:pPr>
      <w:r>
        <w:t xml:space="preserve">No obstante, matiza que, a diferencia del supuesto analizado en la mencionada STC 180/2003, el presente caso debe ser abordado desde la perspectiva del derecho de acceso al recurso, pues como resulta de las actuaciones, la recurrente intervino —en calidad de demandada— en la primera instancia, aunque solo solicitó el reconocimiento del derecho de justicia gratuita una vez dictada Sentencia y con el fin de interponer recurso de apelación contra la misma. Por ello, conforme a este canon de enjuiciamiento constitucional es obligado examinar la razonabilidad de la interpretación sostenida por el órgano judicial, como proyección del derecho fundamental a la tutela judicial efectiva sin indefensión. Como expone la recurrente, en la primera instancia no llegó a solicitar el reconocimiento del derecho de asistencia jurídica gratuita, no porque no tuviera derecho a ello, ante la situación de insuficiencia de recursos económicos que atravesaba, sino porque precisamente el Letrado y el Procurador que actuaron, respectivamente en su defensa y representación, renunciaron a percibir honorarios por razón de amistad. Por ello, no fue hasta el momento de interponer recurso de apelación contra la Sentencia dictada en primera instancia cuando formalizó la solicitud de reconocimiento del derecho a la asistencia jurídica gratuita. Solicitud que fundamentó en su situación de insuficiencia de recursos económicos, acompañando a la misma la documentación que estimó procedente para su acreditación. El órgano judicial, al igual </w:t>
      </w:r>
      <w:r>
        <w:lastRenderedPageBreak/>
        <w:t>que había hecho la Comisión de Asistencia Jurídica Gratuita de Valencia, sin entrar a examinar las circunstancias o condiciones económicas de la solicitante, denegó el reconocimiento del derecho de asistencia jurídica gratuita, en aplicación del inciso segundo del art. 8 LAJG, con el simple argumento de que no había sido solicitado en primera instancia. El argumento resulta excesivamente formalista y en su decisión el órgano judicial prescinde totalmente del examen de los requisitos básicos que establecen los arts. 3 y 4 de la Ley 1/1996, de 10 de enero, para reconocer el derecho de asistencia jurídica gratuita, esto es, el examen de la existencia o no de una situación de insuficiencia de recursos económicos para litigar.</w:t>
      </w:r>
    </w:p>
    <w:p w:rsidR="0085709A" w:rsidRDefault="0085709A" w:rsidP="0085709A">
      <w:pPr>
        <w:pStyle w:val="TextoNormal"/>
      </w:pPr>
    </w:p>
    <w:p w:rsidR="0085709A" w:rsidRDefault="0085709A" w:rsidP="0085709A">
      <w:pPr>
        <w:pStyle w:val="TextoNormal"/>
      </w:pPr>
      <w:r>
        <w:t>Considera el Ministerio Fiscal que la interpretación que sostiene el órgano judicial no puede compartirse al resultar irrazonable y arbitraria, lesionando con ello el derecho a la tutela judicial efectiva de la recurrente, en relación con el derecho a la gratuidad de la asistencia jurídica gratuita, ya que no guarda correspondencia con la finalidad de la norma, cuyo fin último es evitar los abusos en el reconocimiento del derecho de asistencia jurídica gratuita. Además, señala, no debe obviarse que el propio Servicio de Orientación Jurídica, durante la tramitación del expediente administrativo y a tenor de la documentación presentada por la recurrente, había informado favorablemente a la solicitud de reconocimiento del derecho de asistencia jurídica gratuita, al concluir que la solicitante reunía los requisitos legalmente establecidos, añadiendo que su solicitud estaba incursa dentro del ámbito del art. 27 LAJG. La denegación del reconocimiento del derecho de asistencia jurídica gratuita se hizo, por tanto, sin examinar la verdadera situación económica de la recurrente y sin comprobar la concurrencia de los requisitos legales que condicionan su otorgamiento, conforme a lo previsto en el art. 3 LAJG, invocando como única razón para fundamentar tal denegación el hecho de que no había sido solicitado su reconocimiento en primera instancia. Con esta interpretación se afectó al derecho a la tutela judicial efectiva, al impedir a la recurrente el acceso a los recursos, en el presente caso, la apelación contra la Sentencia dictada en primera instancia.</w:t>
      </w:r>
    </w:p>
    <w:p w:rsidR="0085709A" w:rsidRDefault="0085709A" w:rsidP="0085709A">
      <w:pPr>
        <w:pStyle w:val="TextoNormal"/>
      </w:pPr>
    </w:p>
    <w:p w:rsidR="0085709A" w:rsidRDefault="0085709A" w:rsidP="0085709A">
      <w:pPr>
        <w:pStyle w:val="TextoNormal"/>
      </w:pPr>
      <w:r>
        <w:t>Por otro lado, como sostiene la demandante de amparo, con apoyo en la doctrina establecida por algunas Audiencias Provinciales, el inciso segundo del art. 8 LAJG resulta de aplicación únicamente en aquellos casos en los que el solicitante no tenía inicialmente derecho al reconocimiento de la asistencia jurídica gratuita, al no cumplir los requisitos legalmente establecidos en ese momento, pero que, con posterioridad, por razón de venir a “peor fortuna”, se encuentra en una situación de insuficiencia sobrevenida de recursos económicos que le imposibilitan continuar litigando con Abogado y Procurador de designación propia en las instancias superiores. Este es el verdadero motivo por el que el precepto legal exige que, en estos casos, se acredite que este cambio de circunstancias o condiciones sobrevino durante la primera instancia o con posterioridad a ella. El simple hecho de la no solicitud en primera instancia no puede interpretarse como una manifestación de renuncia por parte de quien tiene derecho al reconocimiento de asistencia jurídica gratuita por encontrarse en una situación de insuficiencia de recursos económicos.</w:t>
      </w:r>
    </w:p>
    <w:p w:rsidR="0085709A" w:rsidRDefault="0085709A" w:rsidP="0085709A">
      <w:pPr>
        <w:pStyle w:val="TextoNormal"/>
      </w:pPr>
    </w:p>
    <w:p w:rsidR="0085709A" w:rsidRDefault="0085709A" w:rsidP="0085709A">
      <w:pPr>
        <w:pStyle w:val="TextoNormal"/>
      </w:pPr>
      <w:r>
        <w:t>En definitiva, considera que el precepto legal no resulta de aplicación a supuestos en que, si bien el solicitante tenía derecho a obtener el reconocimiento de la asistencia jurídica gratuita en primera instancia, sin embargo, no llegó a formalizar tal petición presentándola con posterioridad para las instancias superiores, como sucedió en el presente caso.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Por providencia de 7 de mayo de 2015 se señaló para la deliberación y votación de la presente Sentencia el día 11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Es objeto del presente recurso de amparo la resolución de la Comisión de Asistencia Jurídica Gratuita de Valencia de 25 de julio de 2013, denegatoria del beneficio de justicia gratuita solicitada por la recurrente, así como el Auto de 19 de diciembre de 2013, del Juzgado de Primera Instancia e Instrucción núm. 2 de Quart de Poblet, desestimatorio del recurso planteado contra la resolución señalada.</w:t>
      </w:r>
    </w:p>
    <w:p w:rsidR="0085709A" w:rsidRDefault="0085709A" w:rsidP="0085709A">
      <w:pPr>
        <w:pStyle w:val="TextoNormal"/>
      </w:pPr>
    </w:p>
    <w:p w:rsidR="0085709A" w:rsidRDefault="0085709A" w:rsidP="0085709A">
      <w:pPr>
        <w:pStyle w:val="TextoNormal"/>
      </w:pPr>
      <w:r>
        <w:t>Como ha quedado expuesto con más detalle en los antecedentes, la recurrente solicitó el beneficio de justicia gratuita para recurrir en apelación la Sentencia de fecha 15 de enero de 2013, del Juzgado de Primera Instancia e Instrucción núm. 2 de Quart de Poblet. La Sentencia había estimado parcialmente la demanda sobre reclamación de cantidad presentada por la entidad Financia Banco de Crédito, S.A., condenando a la demandada al pago del principal adeudado en noviembre de 2009 y acordando la nulidad del pacto de interés moratoria del 29 por 100. La Comisión de Asistencia Jurídica Gratuita de la provincia de Valencia, mediante la resolución impugnada, denegó tal petición bajo el argumento de que se solicitaba tal beneficio para recurrir en apelación la Sentencia de primera instancia sin haber acreditado que la insuficiencia económica alegada fuera sobrevenida. El órgano judicial que conoció de la impugnación de dicha resolución desestimó la petición con similares argumentos. En la tramitación de la primera instancia la demandante de amparo no solicitó el beneficio de justicia gratuita porque actúo con la ayuda desinteresada de profesionales amigos que renunciaron a cobrar sus honorarios.</w:t>
      </w:r>
    </w:p>
    <w:p w:rsidR="0085709A" w:rsidRDefault="0085709A" w:rsidP="0085709A">
      <w:pPr>
        <w:pStyle w:val="TextoNormal"/>
      </w:pPr>
    </w:p>
    <w:p w:rsidR="0085709A" w:rsidRDefault="0085709A" w:rsidP="0085709A">
      <w:pPr>
        <w:pStyle w:val="TextoNormal"/>
      </w:pPr>
      <w:r>
        <w:t>Mientras el Letrado de la Generalitat Valenciana ha solicitado la desestimación de la demanda, el Ministerio Fiscal considera que se ha vulnerado el derecho a la tutela judicial efectiva, art. 24 CE, en su vertiente de acceso a los recursos legalmente previstos, ya que la interpretación, tanto de la Comisión de Asistencia Jurídica Gratuita como el Juzgado de Primera Instancia e Instrucción núm. 2 de Quart de Poblet, no respeta la doctrina constitucional sobre tal derecho.</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Antes de entrar a analizar el fondo del problema planteado, debemos concretar cuál es el acto que, en su caso, habría ocasionado la lesión aducida. Como acertadamente ha manifestado el Ministerio Fiscal, la lesión solamente ha podido ser ocasionada por el acto o resolución que denegó el beneficio de justicia gratuita solicitado, es decir, la resolución dictada por la Comisión de Asistencia Jurídica Gratuita de la provincia de Valencia; la resolución judicial, solo de manera indirecta al no reparar la vulneración denunciada puede considerarse objeto del presente recurso de amparo. Así lo hemos recordado recientemente en la STC 118/2014, de 8 de julio, FJ 2, al afirmar que “la LAJG (1996) en su propósito de ‘desjudicialización’ del procedimiento de reconocimiento del derecho a la asistencia jurídica gratuita ha atribuido esta función a un órgano administrativo, dependiente de la Administración del Estado o, en su caso, de las Comunidades Autónomas y regido en su funcionamiento por las normas que regulan el procedimiento administrativo. Se trata, según esa ‘exposición de motivos’, de un servicio público, dispensado fundamentalmente por los Colegios de Abogados y de Procuradores, en el que los jueces tan solo intervienen en la fase </w:t>
      </w:r>
      <w:r>
        <w:lastRenderedPageBreak/>
        <w:t>de recurso judicial contra las decisiones adoptadas por las Comisiones de Asistencia Jurídica Gratuita respecto del reconocimiento o no del derecho a la asistencia gratuita. Esta competencia administrativa de reconocimiento del derecho…no consiste propiamente en una función de auxilio y colaboración con la función jurisdiccional llevada a cabo por los Jueces y Tribunales, sino que su objeto inmediato y directo es la garantía de un interés particular de los ciudadanos y sólo mediata e indirectamente coadyuva a la realización de la función jurisdiccional en sí misma considerada.”</w:t>
      </w:r>
    </w:p>
    <w:p w:rsidR="0085709A" w:rsidRDefault="0085709A" w:rsidP="0085709A">
      <w:pPr>
        <w:pStyle w:val="TextoNormal"/>
      </w:pPr>
    </w:p>
    <w:p w:rsidR="0085709A" w:rsidRDefault="0085709A" w:rsidP="0085709A">
      <w:pPr>
        <w:pStyle w:val="TextoNormal"/>
      </w:pPr>
      <w:r>
        <w:t>Por tanto, la resolución de la Comisión de Asistencia Jurídica Gratuita de la provincia de Valencia impugnada, aun siendo un acto que no proviene de un órgano judicial, es susceptible de lesionar el derecho a la tutela judicial efectiva —en este caso como se verá, en su vertiente del derecho de acceso a los recursos legalmente previstos— puesto que como hemos afirmado, por todas, STC 128/2014, de 21 de julio, FJ 2, en la impugnación de las resoluciones denegatorias del beneficio de justicia gratuita se encuentra ínsita la pretensión del actor sobre el derecho a la tutela judicial efectiva del art. 24 CE, en este caso, la de acceder al recurso de apelación.</w:t>
      </w:r>
    </w:p>
    <w:p w:rsidR="0085709A" w:rsidRDefault="0085709A" w:rsidP="0085709A">
      <w:pPr>
        <w:pStyle w:val="TextoNormal"/>
      </w:pPr>
    </w:p>
    <w:p w:rsidR="0085709A" w:rsidRDefault="0085709A" w:rsidP="0085709A">
      <w:pPr>
        <w:pStyle w:val="TextoNormal"/>
      </w:pPr>
      <w:r w:rsidRPr="0085709A">
        <w:rPr>
          <w:rStyle w:val="NumeroAFNegritaCaracter"/>
        </w:rPr>
        <w:t>3</w:t>
      </w:r>
      <w:r>
        <w:t>. Una vez delimitado el acto o resolución objeto del presente recurso de amparo, es necesario delimitar los derechos fundamentales en juego. A la vista de las alegaciones efectuadas, nos encontramos ante un problema constitucional que se encuadra en el derecho a derecho a la tutela judicial efectiva, art. 24 CE, en su vertiente de acceso a los recursos legalmente previstos, en íntima relación con el derecho a la asistencia jurídica gratuita reconocida en el art. 119 CE.</w:t>
      </w:r>
    </w:p>
    <w:p w:rsidR="0085709A" w:rsidRDefault="0085709A" w:rsidP="0085709A">
      <w:pPr>
        <w:pStyle w:val="TextoNormal"/>
      </w:pPr>
    </w:p>
    <w:p w:rsidR="0085709A" w:rsidRDefault="0085709A" w:rsidP="0085709A">
      <w:pPr>
        <w:pStyle w:val="TextoNormal"/>
      </w:pPr>
      <w:r>
        <w:t>Es oportuno recordar, como antes se apuntó, que la relación que existe entre el derecho a la asistencia jurídica gratuita de quienes carecen de recursos económicos para litigar, art. 119 CE, y el derecho a la tutela judicial efectiva, art. 24.1 CE, ha sido resaltada por nuestra jurisprudencia. En la STC 128/2014, de 21 de julio, FJ 3 (recordando doctrina anterior), hemos ratificado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Al punto que aunque hayamos calificado a este derecho como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sido rotundos al afirmar que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w:t>
      </w:r>
    </w:p>
    <w:p w:rsidR="0085709A" w:rsidRDefault="0085709A" w:rsidP="0085709A">
      <w:pPr>
        <w:pStyle w:val="TextoNormal"/>
      </w:pPr>
    </w:p>
    <w:p w:rsidR="0085709A" w:rsidRDefault="0085709A" w:rsidP="0085709A">
      <w:pPr>
        <w:pStyle w:val="TextoNormal"/>
      </w:pPr>
      <w:r>
        <w:t xml:space="preserve">Como afirmamos en la STC 95/2003, de 22 de mayo, FJ 4,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w:t>
      </w:r>
      <w:r>
        <w:lastRenderedPageBreak/>
        <w:t>privado del acceso a la justicia por falta de recursos económicos. Dicho en otras palabras, deben sufragarse los gastos procesales a quienes, de exigirse ese pago, se verían en la alternativa de dejar de litigar o poner en peligro el nivel mínimo de subsistencia personal o familiar”; en la misma Sentencia llegamos a la conclusión de que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Similares argumentos se plasmaron en la STC 180/2003, de 13 de octubre, en un caso muy similar al presente en el que el derecho afectado era el derecho a la tutela judicial efectiva, en su vertiente de acceso a la jurisdicción.</w:t>
      </w:r>
    </w:p>
    <w:p w:rsidR="0085709A" w:rsidRDefault="0085709A" w:rsidP="0085709A">
      <w:pPr>
        <w:pStyle w:val="TextoNormal"/>
      </w:pPr>
    </w:p>
    <w:p w:rsidR="0085709A" w:rsidRDefault="0085709A" w:rsidP="0085709A">
      <w:pPr>
        <w:pStyle w:val="TextoNormal"/>
      </w:pPr>
      <w:r>
        <w:t>Existe, por consiguiente, un “contenido constitucional indisponible” para el legislador que obliga a reconocer el derecho a la justicia gratuita necesariamente a quienes acrediten insuficiencia de recursos económicos para litigar (SSTC 16/1994, de 20 de enero, FJ 3, y 117/1998, de 2 de junio, FJ 3, entre otras). Por ello, ese contenido esencial debe ser respetado por el legislador en todo el ámbito del derecho a la tutela judicial efectiva, es decir, tanto en la vertiente del derecho de acceso a la justicia, como en la vertiente del derecho de acceso a los recursos legalmente previstos, sin perjuicio, de que el control constitucional en uno u otro ámbito deba ser de diferente intensidad.</w:t>
      </w:r>
    </w:p>
    <w:p w:rsidR="0085709A" w:rsidRDefault="0085709A" w:rsidP="0085709A">
      <w:pPr>
        <w:pStyle w:val="TextoNormal"/>
      </w:pPr>
    </w:p>
    <w:p w:rsidR="0085709A" w:rsidRDefault="0085709A" w:rsidP="0085709A">
      <w:pPr>
        <w:pStyle w:val="TextoNormal"/>
      </w:pPr>
      <w:r>
        <w:t>En cuanto a la doctrina constitucional en relación con el derecho de acceso al recurso, es doctrina consolidada que tal derecho se integra en el derecho a la tutela judicial efectiva, si bien es cierto que, a diferencia del acceso a la jurisdicción, que se alza como elemento esencial del mismo, el acceso a los recursos es un derecho de configuración legal que, con la excepción de los recursos contra Sentencias penales de condena, se incorpora a aquel derecho en las condiciones fijadas por cada una de las leyes procesales (SSTC 71/2002, de 8 de abril, FJ 3, y 191/2005, de 18 de julio, FJ 3). Y ello, como venimos declarando desde la STC 37/1995, de 7 de febrero, FJ 5, se refleja forzosamente en la función de control atribuida a este Tribunal respecto de las resoluciones judiciales que vedan el paso a dicha fase, pues siendo la decisión sobre la admisión o no del recurso y la comprobación del cumplimento de los requisitos establecidos para ello una cuestión de legalidad ordinaria que compete, según dispone el art. 117.3 CE, exclusivamente a los Jueces y Tribunales, aquel control se limita a verificar si la interpretación o aplicación de la norma que se adopte es o no arbitraria, notoriamente irrazonable o incurra en un error patente (por todas, STC 7/2015, de 22 de enero) o, dicho de otro modo, las decisiones judiciales que no admiten un recurso por no cumplir con los requisitos materiales y procesales legalmente previstos no son revisables a través del proceso de amparo, excepto en el caso de que se quebrante el derecho a la tutela judicial efectiva por haberse basado en una interpretación de la legalidad que haya que tachar, como se acaba de referir, de arbitraria, irrazonable o producto de un error patente.</w:t>
      </w:r>
    </w:p>
    <w:p w:rsidR="0085709A" w:rsidRDefault="0085709A" w:rsidP="0085709A">
      <w:pPr>
        <w:pStyle w:val="TextoNormal"/>
      </w:pPr>
    </w:p>
    <w:p w:rsidR="0085709A" w:rsidRDefault="0085709A" w:rsidP="0085709A">
      <w:pPr>
        <w:pStyle w:val="TextoNormal"/>
      </w:pPr>
      <w:r w:rsidRPr="0085709A">
        <w:rPr>
          <w:rStyle w:val="NumeroAFNegritaCaracter"/>
        </w:rPr>
        <w:t>4</w:t>
      </w:r>
      <w:r>
        <w:t>. Llegados a este punto, debe anticiparse que el examen que nos compete se limita a fiscalizar la interpretación realizada por la Comisión de Asistencia Jurídica Gratuita de la provincia de Valencia del art. 8.2 de la Ley de asistencia jurídica gratuita (LAJG), en base al cual denegó la solicitud del beneficio de asistencia jurídica gratuita, y no si la demandante reunía o no las condiciones para obtener el beneficio solicitado.</w:t>
      </w:r>
    </w:p>
    <w:p w:rsidR="0085709A" w:rsidRDefault="0085709A" w:rsidP="0085709A">
      <w:pPr>
        <w:pStyle w:val="TextoNormal"/>
      </w:pPr>
    </w:p>
    <w:p w:rsidR="0085709A" w:rsidRDefault="0085709A" w:rsidP="0085709A">
      <w:pPr>
        <w:pStyle w:val="TextoNormal"/>
      </w:pPr>
      <w:r>
        <w:lastRenderedPageBreak/>
        <w:t>Dicho precepto dispone que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La Comisión de Asistencia Jurídica Gratuita de la provincia de Valencia mediante la resolución ahora impugnada denegó su solicitud con el siguiente tenor “por la persona interesada se ha solicitado la asistencia jurídica gratuita en un momento posterior a la demanda o a la contestación de la misma, en la segunda instancia no habiéndola solicitado en la primera o en casación no habiéndola solicitado en segunda instancia, lo cual es una posibilidad excepcional de la que únicamente se puede hacer uso siempre y cuando se acredite que las circunstancias económicas y condiciones necesarias para la obtención del beneficio de justicia gratuita hayan sobrevenido con posterioridad al momento de iniciar cada una de estas instancias citadas, según lo establecido en el artículo 8 de la Ley 1/1996, hecho que no queda acreditado en este supuesto.” Similar argumento fue utilizado por el órgano judicial en su Auto.</w:t>
      </w:r>
    </w:p>
    <w:p w:rsidR="0085709A" w:rsidRDefault="0085709A" w:rsidP="0085709A">
      <w:pPr>
        <w:pStyle w:val="TextoNormal"/>
      </w:pPr>
    </w:p>
    <w:p w:rsidR="0085709A" w:rsidRDefault="0085709A" w:rsidP="0085709A">
      <w:pPr>
        <w:pStyle w:val="TextoNormal"/>
      </w:pPr>
      <w:r>
        <w:t>Para una mayor claridad en el análisis del caso, es oportuno recordar que la recurrente no acreditó que las circunstancias económicas que le obligaron a solicitar tal beneficio para la segunda instancia fueran sobrevenidas porque, efectivamente, no lo fueron, precisamente porque durante la tramitación de la primera instancia, siendo las mismas sus circunstancias económicas, actuó con la asistencia profesional de amigos que renunciaron al cobro de sus honorarios, razón por la que no solicitó la ayuda; sin embargo, los elevados costes económicos —tasas incluidas— de la segunda instancia no pudieron ser sufragados debido a la precaria situación económica de la recurrente. En este contexto, se deduce claramente que la interpretación realizada por la comisión de asistencia jurídica gratuita del art. 8 LAJG, se ha limitado a un estrecho entendimiento de su tenor literal, sin tener en cuenta las circunstancias concretas del caso. Dicho artículo se limita a señalar que, para poder obtener el beneficio en segunda instancia, debe acreditarse que la insuficiencia de medios es sobrevenida, en el sobre entendido de que si no se solicitó en primera instancia es porque no se reunían los requisitos exigidos en la ley y, en consecuencia, se abre la oportunidad de acreditar “hechos nuevos”; sin embargo, esta no es la única interpretación posible del precepto. En aras a la protección del derecho a la tutela judicial efectiva, a la vista de las circunstancias concretas del caso, cabía otra interpretación más acorde con el derecho fundamental en juego.</w:t>
      </w:r>
    </w:p>
    <w:p w:rsidR="0085709A" w:rsidRDefault="0085709A" w:rsidP="0085709A">
      <w:pPr>
        <w:pStyle w:val="TextoNormal"/>
      </w:pPr>
    </w:p>
    <w:p w:rsidR="0085709A" w:rsidRDefault="0085709A" w:rsidP="0085709A">
      <w:pPr>
        <w:pStyle w:val="TextoNormal"/>
      </w:pPr>
      <w:r>
        <w:t xml:space="preserve">La regla establecida en el art. 8 regula un supuesto especial, como es el que un ciudadano se vea obligado a solicitar el beneficio de justicia gratuita para actuar en segunda instancia de un proceso no habiéndolo necesitado en primera. La razón por la que no se haya necesitado para la primera instancia puede deberse a diversas causas; la disminución sobrevenida de medios económicos será, normalmente, la causa más común pero ello no impide —como tampoco lo hace el precepto aplicado— que el solicitante pueda esgrimir otros motivos para justificar que necesita el beneficio de justicia gratuita para actuar en una segunda instancia. Dentro de estos “otros” motivos, las circunstancias alegadas por la ahora demandante —haber gozado de la ayuda desinteresada de amigos que la asistieron técnicamente en la primera instancia, así como el dato sobrevenido de la necesidad de pago de tasas en apelación, cuya exigencia no era previsible cuando inició el proceso— debieron ser ponderadas por la comisión de asistencia jurídica gratuita a la hora de adoptar su decisión; al no hacerlo así e ignorar completamente tales argumentos, se vulneró el derecho a la tutela judicial efectiva de la recurrente ya que la decisión carece de una motivación suficiente y es consecuencia </w:t>
      </w:r>
      <w:r>
        <w:lastRenderedPageBreak/>
        <w:t>de una interpretación restrictiva del derecho fundamental en juego, que no era otro que el derecho a los recursos legalmente previstos, puesto que la decisión de denegar tal beneficio impidió a la parte recurrente acceder al recurso de apelación en el pleito principal.</w:t>
      </w:r>
    </w:p>
    <w:p w:rsidR="0085709A" w:rsidRDefault="0085709A" w:rsidP="0085709A">
      <w:pPr>
        <w:pStyle w:val="TextoNormal"/>
      </w:pPr>
    </w:p>
    <w:p w:rsidR="0085709A" w:rsidRDefault="0085709A" w:rsidP="0085709A">
      <w:pPr>
        <w:pStyle w:val="TextoNormal"/>
      </w:pPr>
      <w:r>
        <w:t>En definitiva, como ha señalado el Ministerio Fiscal, la interpretación tanto de la comisión como la del órgano judicial no puede compartirse al resultar irrazonable y contraria al sentido de la finalidad de la norma, lesionando con ello el derecho a la tutela judicial efectiva de la recurrente, en relación con el derecho a la gratuidad de la asistencia jurídica gratuita. La comisión denegó la petición sin examinar la situación económica de la recurrente y sin comprobar la concurrencia de los requisitos legales que condicionan su otorgamiento, conforme a lo previsto en el art. 3 LAJG; simplemente se limitó a invocar como única razón para fundamentar tal denegación el hecho de que no había sido solicitado su reconocimiento en primera instancia, sin ponderar el argumento esgrimido por la recurrente ni sus circunstancias. Con esta interpretación se afectó al derecho a la tutela judicial efectiva, al impedir a la recurrente el acceso a los recursos, en el presente caso, la apelación contra la Sentencia dictada en primera instancia.</w:t>
      </w:r>
    </w:p>
    <w:p w:rsidR="0085709A" w:rsidRDefault="0085709A" w:rsidP="0085709A">
      <w:pPr>
        <w:pStyle w:val="TextoNormal"/>
      </w:pPr>
    </w:p>
    <w:p w:rsidR="0085709A" w:rsidRDefault="0085709A" w:rsidP="0085709A">
      <w:pPr>
        <w:pStyle w:val="TextoNormal"/>
      </w:pPr>
      <w:r>
        <w:t>Por todo ello, debe otorgarse el amparo solicitado por la recurrente y reconocer su derecho a la justicia gratuita (art. 119 CE) y a la tutela judicial efectiva (art. 24 CE), en su vertiente del derecho de acceso a los recursos legalmente previstos. Y, en consecuencia, debemos anular las resoluciones impugnadas en el presente amparo, así como retrotraer las actuaciones a fin de que la recurrente obtenga una respuesta acorde con los derechos fundamentales referidos.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doña María del Carmen Pérez Aguilar, y, en su virtud:</w:t>
      </w:r>
    </w:p>
    <w:p w:rsidR="0085709A" w:rsidRDefault="0085709A" w:rsidP="0085709A">
      <w:pPr>
        <w:pStyle w:val="TextoNormal"/>
      </w:pPr>
    </w:p>
    <w:p w:rsidR="0085709A" w:rsidRDefault="0085709A" w:rsidP="0085709A">
      <w:pPr>
        <w:pStyle w:val="TextoNormal"/>
      </w:pPr>
      <w:r>
        <w:t>1º Reconocer el derecho de la recurrente a la tutela judicial efectiva, art. 24 CE, en su vertiente del derecho a los recursos legalmente previstos, en relación con el derecho a la gratuidad de la justicia, art. 119 CE.</w:t>
      </w:r>
    </w:p>
    <w:p w:rsidR="0085709A" w:rsidRDefault="0085709A" w:rsidP="0085709A">
      <w:pPr>
        <w:pStyle w:val="TextoNormal"/>
      </w:pPr>
    </w:p>
    <w:p w:rsidR="0085709A" w:rsidRDefault="0085709A" w:rsidP="0085709A">
      <w:pPr>
        <w:pStyle w:val="TextoNormal"/>
      </w:pPr>
      <w:r>
        <w:t>2º Restablecer su derecho y, a tal fin, anular la resolución de la Comisión de Asistencia Jurídica Gratuita de la provincia de Valencia de 25 de julio de 2013, núm. 595-2013, denegatoria del beneficio de justicia gratuita solicitada por la recurrente, así como el Auto de 19 de diciembre de 2013 del Juzgado de Primera Instancia e Instrucción núm. 2 de Quart de Poblet, desestimatorio del recurso planteado contra la resolución señalada.</w:t>
      </w:r>
    </w:p>
    <w:p w:rsidR="0085709A" w:rsidRDefault="0085709A" w:rsidP="0085709A">
      <w:pPr>
        <w:pStyle w:val="TextoNormal"/>
      </w:pPr>
    </w:p>
    <w:p w:rsidR="0085709A" w:rsidRDefault="0085709A" w:rsidP="0085709A">
      <w:pPr>
        <w:pStyle w:val="TextoNormal"/>
      </w:pPr>
      <w:r>
        <w:t>3º Retrotraer las actuaciones al momento anterior al de dictarse la primera de las mencionadas resoluciones para que se dicte otra respetuosa con los derechos fundamentales reconocidos.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once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4" w:name="SENTENCIA_2015_91"/>
      <w:r>
        <w:lastRenderedPageBreak/>
        <w:t>SENTENCIA 91/2015, de 11 de mayo de 2015</w:t>
      </w:r>
    </w:p>
    <w:bookmarkEnd w:id="94"/>
    <w:p w:rsidR="0085709A" w:rsidRDefault="0085709A" w:rsidP="0085709A">
      <w:pPr>
        <w:pStyle w:val="TtuloResolucin"/>
      </w:pPr>
      <w:r>
        <w:t>Sala Segunda</w:t>
      </w:r>
    </w:p>
    <w:p w:rsidR="0085709A" w:rsidRDefault="0085709A" w:rsidP="0085709A">
      <w:pPr>
        <w:pStyle w:val="TtuloBOE"/>
      </w:pPr>
      <w:r>
        <w:t>(BOE núm. 146, de 19 de junio de 2015)</w:t>
      </w:r>
    </w:p>
    <w:p w:rsidR="0085709A" w:rsidRDefault="0085709A" w:rsidP="0085709A">
      <w:pPr>
        <w:pStyle w:val="TextoNormalCentrado"/>
      </w:pPr>
      <w:r>
        <w:t>ECLI:ES:TC:2015:91</w:t>
      </w:r>
    </w:p>
    <w:p w:rsidR="0085709A" w:rsidRDefault="0085709A" w:rsidP="0085709A">
      <w:pPr>
        <w:pStyle w:val="TextoNormalCentrado"/>
      </w:pPr>
    </w:p>
    <w:p w:rsidR="0085709A" w:rsidRDefault="0085709A" w:rsidP="0085709A">
      <w:pPr>
        <w:pStyle w:val="SntesisDescriptiva"/>
      </w:pPr>
      <w:r>
        <w:t>Recurso de amparo 4102-2014. Promovido por don José Luis Zaldua Azurmendi en relación con la inadmisión del incidente de nulidad de actuaciones que formuló respecto de la Sentencia de la Audiencia Provincial de Palma de Mallorca que confirmó, en apelación, su condena por un delito contra la ordenación del territorio.</w:t>
      </w:r>
    </w:p>
    <w:p w:rsidR="0085709A" w:rsidRDefault="0085709A" w:rsidP="0085709A">
      <w:pPr>
        <w:pStyle w:val="SntesisDescriptiva"/>
      </w:pPr>
    </w:p>
    <w:p w:rsidR="0085709A" w:rsidRDefault="0085709A" w:rsidP="0085709A">
      <w:pPr>
        <w:pStyle w:val="SntesisAnaltica"/>
      </w:pPr>
      <w:r>
        <w:t>Vulneración del derecho a la tutela judicial efectiva (acceso al recurso): inadmisión sin motivación de un incidente de nulidad de actuaciones (STC 204/2014).</w:t>
      </w:r>
    </w:p>
    <w:p w:rsidR="0085709A" w:rsidRDefault="0085709A" w:rsidP="0085709A">
      <w:pPr>
        <w:pStyle w:val="SntesisAnaltica"/>
      </w:pPr>
    </w:p>
    <w:p w:rsidR="0085709A" w:rsidRDefault="0085709A" w:rsidP="0085709A">
      <w:pPr>
        <w:pStyle w:val="Extracto"/>
      </w:pPr>
      <w:r>
        <w:t>1.</w:t>
      </w:r>
      <w:r>
        <w:tab/>
        <w:t>El control de las resoluciones judiciales de inadmisión por parte de la jurisdicción constitucional es meramente externo y debe limitarse a comprobar si contienen motivación, si han incurrido o no en error material patente, en arbitrariedad o en manifiesta irrazonabilidad lógica, evitando toda ponderación acerca de su corrección jurídica (STC 204/2014) [FJ 2].</w:t>
      </w:r>
    </w:p>
    <w:p w:rsidR="0085709A" w:rsidRDefault="0085709A" w:rsidP="0085709A">
      <w:pPr>
        <w:pStyle w:val="Extracto"/>
      </w:pPr>
    </w:p>
    <w:p w:rsidR="0085709A" w:rsidRDefault="0085709A" w:rsidP="0085709A">
      <w:pPr>
        <w:pStyle w:val="Extracto"/>
      </w:pPr>
      <w:r>
        <w:t>2.</w:t>
      </w:r>
      <w:r>
        <w:tab/>
        <w:t>Aunque el derecho de acceso a la jurisdicción y el de acceso a los recursos legalmente establecidos se encuentran ínsitos en el art. 24.1 CE, el derecho a acceder a la justicia es un componente medular del derecho fundamental a la tutela judicial efectiva proclamado que nace de la Constitución misma, mientras que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 (STC 20/2012, 37/1995) [FJ 2].</w:t>
      </w:r>
    </w:p>
    <w:p w:rsidR="0085709A" w:rsidRDefault="0085709A" w:rsidP="0085709A">
      <w:pPr>
        <w:pStyle w:val="Extracto"/>
      </w:pPr>
    </w:p>
    <w:p w:rsidR="0085709A" w:rsidRDefault="0085709A" w:rsidP="0085709A">
      <w:pPr>
        <w:pStyle w:val="Extracto"/>
      </w:pPr>
      <w:r>
        <w:t>3.</w:t>
      </w:r>
      <w:r>
        <w:tab/>
        <w:t>La inadmisión del incidente de nulidad de actuaciones por parte de los órganos judiciales debe ofrecer una motivación suficiente que la justifique; en el caso concreto, particularmente la precisión del tipo de recurso que podía interponerse frente a la sentencia de la Audiencia Provincial, habida cuenta que en este caso no procedía recurso extraordinario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 4102-2014, promovido por don José Luis Zaldua Azurmendi, representado por el Procurador de los Tribunales don Manuel Lanchares Perlado y asistido por el Abogado don Edmundo Angulo Rodríguez, contra la providencia de 26 de mayo de 2014 de la Sección Primera de la Audiencia Provincial de Palma de Mallorca, que inadmitió a trámite el incidente de nulidad de actuaciones interpuesto contra la Sentencia de 15 de abril de 2014 de dicho órgano judicial, desestimatoria del recurso de apelación núm. 185-2013 promovido contra la Sentencia de 12 de abril de 2013 del Juzgado de lo Penal núm. 3 de Palma de Mallorca, dictada en el procedimiento abreviado núm. 22-2013, que condenó al recurrente en amparo como autor de un delito contra la ordenación del territorio (art. 319.1 y 3 del Código Penal). Ha intervenido el Ministerio Fiscal.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día 23 de junio de 2014, el Procurador de los Tribunales don Manuel Lanchares Perlado, actuando en nombre y representación de don José Luis Zaldua Azurmendi, presentó recurso de amparo constitucional contra la providencia de 26 de mayo de 2014 de la Sección Primera de la Audiencia Provincial de Palma de Mallorca citada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son, en síntesis, los siguientes:</w:t>
      </w:r>
    </w:p>
    <w:p w:rsidR="0085709A" w:rsidRDefault="0085709A" w:rsidP="0085709A">
      <w:pPr>
        <w:pStyle w:val="TextoNormal"/>
      </w:pPr>
    </w:p>
    <w:p w:rsidR="0085709A" w:rsidRDefault="0085709A" w:rsidP="0085709A">
      <w:pPr>
        <w:pStyle w:val="TextoNormal"/>
      </w:pPr>
      <w:r>
        <w:t>a) El Juzgado de lo Penal núm. 3 de Palma de Mallorca dictó Sentencia en el procedimiento abreviado núm. 22-2013 que condenaba al recurrente en amparo por un delito contra la ordenación del territorio (art. 319.1 y 3 del Código penal) a las penas de nueve meses de prisión, con la accesoria de inhabilitación especial para el ejercicio del derecho de sufragio pasivo durante el tiempo de la condena, un año de inhabilitación especial para el ejercicio de cualquier profesión relacionada con la construcción y multa. Se le condenaba asimismo a demoler a su costa las edificaciones realizadas objeto de la controversia.</w:t>
      </w:r>
    </w:p>
    <w:p w:rsidR="0085709A" w:rsidRDefault="0085709A" w:rsidP="0085709A">
      <w:pPr>
        <w:pStyle w:val="TextoNormal"/>
      </w:pPr>
    </w:p>
    <w:p w:rsidR="0085709A" w:rsidRDefault="0085709A" w:rsidP="0085709A">
      <w:pPr>
        <w:pStyle w:val="TextoNormal"/>
      </w:pPr>
      <w:r>
        <w:t>b) El condenado interpuso recurso de apelación, que se registró con el núm. 185-2013, y que dio lugar a la Sentencia de la Sección Primera de la Audiencia Provincial de Palma de Mallorca, de 15 de abril de 2014, que mantuvo los pronunciamientos condenatorios de la Sentencia de instancia.</w:t>
      </w:r>
    </w:p>
    <w:p w:rsidR="0085709A" w:rsidRDefault="0085709A" w:rsidP="0085709A">
      <w:pPr>
        <w:pStyle w:val="TextoNormal"/>
      </w:pPr>
    </w:p>
    <w:p w:rsidR="0085709A" w:rsidRDefault="0085709A" w:rsidP="0085709A">
      <w:pPr>
        <w:pStyle w:val="TextoNormal"/>
      </w:pPr>
      <w:r>
        <w:t>c) Una vez conocida la Sentencia, el recurrente en amparo formalizó incidente de nulidad de actuaciones alegando, de un lado, la vulneración del art. 24.1 CE, en sus manifestaciones de derecho a una resolución fundada en derecho y del derecho de defensa, que vinculaba a la restricción de su derecho a la utilización de los medios de prueba, y, de otra, la violación del derecho a la igualdad del art. 14 CE, que no motivaba en su escrito. En el desarrollo de su alegato sobre el art. 24.1 CE, resaltaba que la Sentencia resultaba absolutamente infundada e incurría en errores patentes, por indebida aplicación de la normativa urbanística, errónea calificación de la naturaleza jurídica del catastro o desatención de la acreditación catastral de la antigüedad de ciertas construcciones, que la parte decía preexistentes y que condicionaban la aplicación del tipo penal.</w:t>
      </w:r>
    </w:p>
    <w:p w:rsidR="0085709A" w:rsidRDefault="0085709A" w:rsidP="0085709A">
      <w:pPr>
        <w:pStyle w:val="TextoNormal"/>
      </w:pPr>
    </w:p>
    <w:p w:rsidR="0085709A" w:rsidRDefault="0085709A" w:rsidP="0085709A">
      <w:pPr>
        <w:pStyle w:val="TextoNormal"/>
      </w:pPr>
      <w:r>
        <w:t>El incidente fue inadmitido por la providencia de 26 de mayo de 2014, recurrida en amparo. Razona la Sala lo siguiente:</w:t>
      </w:r>
    </w:p>
    <w:p w:rsidR="0085709A" w:rsidRDefault="0085709A" w:rsidP="0085709A">
      <w:pPr>
        <w:pStyle w:val="TextoNormal"/>
      </w:pPr>
    </w:p>
    <w:p w:rsidR="0085709A" w:rsidRDefault="0085709A" w:rsidP="0085709A">
      <w:pPr>
        <w:pStyle w:val="TextoNormal"/>
      </w:pPr>
      <w:r>
        <w:t>“El art. 241.1 LOPJ establece: ‘No se admitirán con carácter general incidentes de nulidad de actuaciones. Sin embargo,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w:t>
      </w:r>
    </w:p>
    <w:p w:rsidR="0085709A" w:rsidRDefault="0085709A" w:rsidP="0085709A">
      <w:pPr>
        <w:pStyle w:val="TextoNormal"/>
      </w:pPr>
    </w:p>
    <w:p w:rsidR="0085709A" w:rsidRDefault="0085709A" w:rsidP="0085709A">
      <w:pPr>
        <w:pStyle w:val="TextoNormal"/>
      </w:pPr>
      <w:r>
        <w:t>Será competente para conocer de este incidente el mismo juzgado o tribunal que dictó la resolución que hubiere adquirido firmeza. El plazo para pedir la nulidad será de 20 días, desde la notificación de la (sic) resolución o, en todo caso, desde que se tuvo conocimiento del defecto causante de indefensión, sin que, en este último caso, pueda solicitarse la nulidad de actuaciones después de transcurridos cinco años desde la notificación de la resolución.</w:t>
      </w:r>
    </w:p>
    <w:p w:rsidR="0085709A" w:rsidRDefault="0085709A" w:rsidP="0085709A">
      <w:pPr>
        <w:pStyle w:val="TextoNormal"/>
      </w:pPr>
    </w:p>
    <w:p w:rsidR="0085709A" w:rsidRDefault="0085709A" w:rsidP="0085709A">
      <w:pPr>
        <w:pStyle w:val="TextoNormal"/>
      </w:pPr>
      <w:r>
        <w:t>El juzgado o tribunal inadmitirá a trámite, mediante providencia sucintamente motivada, cualquier incidente en el que se pretenda suscitar otras cuestiones. Contra la resolución por la que se inadmita a trámite el incidente no cabrá recurso alguno...</w:t>
      </w:r>
    </w:p>
    <w:p w:rsidR="0085709A" w:rsidRDefault="0085709A" w:rsidP="0085709A">
      <w:pPr>
        <w:pStyle w:val="TextoNormal"/>
      </w:pPr>
    </w:p>
    <w:p w:rsidR="0085709A" w:rsidRDefault="0085709A" w:rsidP="0085709A">
      <w:pPr>
        <w:pStyle w:val="TextoNormal"/>
      </w:pPr>
      <w:r>
        <w:t>Examinado el contenido del escrito presentado NO HA LUGAR A ADMITIR A TRAMITE el incidente de nulidad, pues si bien concurre el primero de los requisitos señalados en el art. 241.1 de la LOPJ, no concurre el segundo de ellos, concretamente el ser la resolución dictada susceptible de recurso extraordinario…”</w:t>
      </w:r>
    </w:p>
    <w:p w:rsidR="0085709A" w:rsidRDefault="0085709A" w:rsidP="0085709A">
      <w:pPr>
        <w:pStyle w:val="TextoNormal"/>
      </w:pPr>
    </w:p>
    <w:p w:rsidR="0085709A" w:rsidRDefault="0085709A" w:rsidP="0085709A">
      <w:pPr>
        <w:pStyle w:val="TextoNormal"/>
      </w:pPr>
      <w:r w:rsidRPr="0085709A">
        <w:rPr>
          <w:rStyle w:val="NumeroAFNegritaCaracter"/>
        </w:rPr>
        <w:t>3</w:t>
      </w:r>
      <w:r>
        <w:t>. El demandante de amparo aduce la vulneración del derecho a la tutela judicial efectiva (art. 24.1 CE), en la vertiente de derecho de acceso a los recursos, cometida por la providencia resolutoria del incidente de nulidad de actuaciones. A su juicio, la resolución referida desdeña la función protectora de los derechos fundamentales que ejerce la nulidad de actuaciones, puesto que aunque admite que, en efecto, se habían fundamentado violaciones de derechos fundamentales, prescinde de examinar la pretensión anulatoria.</w:t>
      </w:r>
    </w:p>
    <w:p w:rsidR="0085709A" w:rsidRDefault="0085709A" w:rsidP="0085709A">
      <w:pPr>
        <w:pStyle w:val="TextoNormal"/>
      </w:pPr>
    </w:p>
    <w:p w:rsidR="0085709A" w:rsidRDefault="0085709A" w:rsidP="0085709A">
      <w:pPr>
        <w:pStyle w:val="TextoNormal"/>
      </w:pPr>
      <w:r>
        <w:t xml:space="preserve">La motivación judicial ofrecida al interpretar el inciso legal “no sea susceptible de recurso ordinario ni extraordinario”, contenido en el primer párrafo del art. 241.1 de la Ley Orgánica del Poder Judicial (LOPJ), olvida que contra la sentencia dictada en apelación no cabía recurso alguno, pues así resulta con total claridad de los arts. 792.3 y 847 de la Ley de enjuiciamiento criminal (LECrim). Según el primero de ellos, contra la Sentencia dictada en apelación (de procedimiento abreviado) no es posible recurrir, sin perjuicio de lo establecido respecto de la revisión de Sentencias firmes dictadas en ausencia del acusado. Según el segundo de los preceptos citados, procede el recurso de casación por infracción de ley y quebrantamiento de forma exclusivamente contra: a) las sentencias dictadas por la Sala de lo Civil y Penal de los Tribunales Superiores de Justicia en única o en segunda instancia; y b) las sentencias dictadas por las Audiencias en juicio oral y única instancia. No era posible, por tanto, seguir ese último cauce, al no tratarse de una Sentencia de la Audiencia dictada en única instancia, como tampoco el de la revisión de sentencias firmes, ya que no concurría </w:t>
      </w:r>
      <w:r>
        <w:lastRenderedPageBreak/>
        <w:t>ninguno de los motivos de revisión prescritos en el art. 954 LECrim, lo que hacía de él un recurso manifiestamente improcedente.</w:t>
      </w:r>
    </w:p>
    <w:p w:rsidR="0085709A" w:rsidRDefault="0085709A" w:rsidP="0085709A">
      <w:pPr>
        <w:pStyle w:val="TextoNormal"/>
      </w:pPr>
    </w:p>
    <w:p w:rsidR="0085709A" w:rsidRDefault="0085709A" w:rsidP="0085709A">
      <w:pPr>
        <w:pStyle w:val="TextoNormal"/>
      </w:pPr>
      <w:r>
        <w:t>A la vista de todo ello, concluye la demanda, la motivación de la providencia de 26 de mayo de 2014 resulta manifiestamente insuficiente e irrazonable, contraria al derecho de acceso a los recursos que integra el art. 24.1 CE. Así resulta de que se haya considerado que la Sentencia de apelación era susceptible de un recurso que la providencia no identifica —como tampoco lo hiciera el pie de recursos la propia Sentencia impugnada— y de que el único recurso en el que podría estar pensando la Sala fuera el de casación que, por lo expuesto, no resultaba sin embargo apto en el caso de autos.</w:t>
      </w:r>
    </w:p>
    <w:p w:rsidR="0085709A" w:rsidRDefault="0085709A" w:rsidP="0085709A">
      <w:pPr>
        <w:pStyle w:val="TextoNormal"/>
      </w:pPr>
    </w:p>
    <w:p w:rsidR="0085709A" w:rsidRDefault="0085709A" w:rsidP="0085709A">
      <w:pPr>
        <w:pStyle w:val="TextoNormal"/>
      </w:pPr>
      <w:r w:rsidRPr="0085709A">
        <w:rPr>
          <w:rStyle w:val="NumeroAFNegritaCaracter"/>
        </w:rPr>
        <w:t>4</w:t>
      </w:r>
      <w:r>
        <w:t>. En virtud de providencia de la Sala Segunda, de 27 de octubre de 2014, se acordó la admisión a trámite de la demanda de amparo y se solicitó la certificación o fotocopia adverada de las actuaciones a los órganos judiciales que intervinieron en los diferentes grados jurisdiccionales, antes citados, así como la práctica de los emplazamientos correspondientes.</w:t>
      </w:r>
    </w:p>
    <w:p w:rsidR="0085709A" w:rsidRDefault="0085709A" w:rsidP="0085709A">
      <w:pPr>
        <w:pStyle w:val="TextoNormal"/>
      </w:pPr>
    </w:p>
    <w:p w:rsidR="0085709A" w:rsidRDefault="0085709A" w:rsidP="0085709A">
      <w:pPr>
        <w:pStyle w:val="TextoNormal"/>
      </w:pPr>
      <w:r>
        <w:t>Por ATC 291/2014, de 1 de diciembre, se acordó otorgar la suspensión solicitada con arreglo a lo dispuesto en el art. 56 de la Ley Orgánica del Tribunal Constitucional (LOTC).</w:t>
      </w:r>
    </w:p>
    <w:p w:rsidR="0085709A" w:rsidRDefault="0085709A" w:rsidP="0085709A">
      <w:pPr>
        <w:pStyle w:val="TextoNormal"/>
      </w:pPr>
    </w:p>
    <w:p w:rsidR="0085709A" w:rsidRDefault="0085709A" w:rsidP="0085709A">
      <w:pPr>
        <w:pStyle w:val="TextoNormal"/>
      </w:pPr>
      <w:r w:rsidRPr="0085709A">
        <w:rPr>
          <w:rStyle w:val="NumeroAFNegritaCaracter"/>
        </w:rPr>
        <w:t>5</w:t>
      </w:r>
      <w:r>
        <w:t>. . Por diligencia de ordenación de la Secretaría de Justicia de la Sala Segunda de este Tribunal, de 19 de diciembre de 2014, se tuvieron por recibidos los testimonios de las actuaciones y se acordó abrir el plazo común de veinte días al Ministerio Fiscal y a la representación procesal del solicitante de amparo, de conformidad con el art. 52.1 LOTC, para que pudieran presentar las alegaciones que a su derecho conviniere.</w:t>
      </w:r>
    </w:p>
    <w:p w:rsidR="0085709A" w:rsidRDefault="0085709A" w:rsidP="0085709A">
      <w:pPr>
        <w:pStyle w:val="TextoNormal"/>
      </w:pPr>
    </w:p>
    <w:p w:rsidR="0085709A" w:rsidRDefault="0085709A" w:rsidP="0085709A">
      <w:pPr>
        <w:pStyle w:val="TextoNormal"/>
      </w:pPr>
      <w:r w:rsidRPr="0085709A">
        <w:rPr>
          <w:rStyle w:val="NumeroAFNegritaCaracter"/>
        </w:rPr>
        <w:t>6</w:t>
      </w:r>
      <w:r>
        <w:t>. El recurrente en amparo evacuó el trámite de alegaciones el día 9 de enero de 2015, reiterando en esencia los contenidos de su demanda de amparo.</w:t>
      </w:r>
    </w:p>
    <w:p w:rsidR="0085709A" w:rsidRDefault="0085709A" w:rsidP="0085709A">
      <w:pPr>
        <w:pStyle w:val="TextoNormal"/>
      </w:pPr>
    </w:p>
    <w:p w:rsidR="0085709A" w:rsidRDefault="0085709A" w:rsidP="0085709A">
      <w:pPr>
        <w:pStyle w:val="TextoNormal"/>
      </w:pPr>
      <w:r w:rsidRPr="0085709A">
        <w:rPr>
          <w:rStyle w:val="NumeroAFNegritaCaracter"/>
        </w:rPr>
        <w:t>7</w:t>
      </w:r>
      <w:r>
        <w:t>. El Fiscal ante el Tribunal Constitucional registró su escrito el día 28 de enero de 2015. A su criterio, la providencia objeto de este amparo entiende que no se da uno de los requisitos exigibles para interponer un incidente de nulidad de actuaciones del art. 241 LOPJ —que la resolución no sea susceptible de recurso alguno, ni ordinario ni extraordinario—, pero no contiene la necesaria motivación que lo razone, tal como exige el propio texto legal. De haberse ofrecido una motivación sucinta podríamos distinguir qué supuesto recurso era posible frente a la Sentencia firme de la Audiencia Provincial, de 15 de abril de 2014, y el recurrente en amparo conocer a qué cauce legal le remitía el Tribunal para obtener la reparación que solicitaba, al margen del propio incidente de nulidad de actuaciones.</w:t>
      </w:r>
    </w:p>
    <w:p w:rsidR="0085709A" w:rsidRDefault="0085709A" w:rsidP="0085709A">
      <w:pPr>
        <w:pStyle w:val="TextoNormal"/>
      </w:pPr>
    </w:p>
    <w:p w:rsidR="0085709A" w:rsidRDefault="0085709A" w:rsidP="0085709A">
      <w:pPr>
        <w:pStyle w:val="TextoNormal"/>
      </w:pPr>
      <w:r>
        <w:t>Sin embargo, atendida la regulación prevista en los arts. 847 y 954 y ss. LECrim —que conducen a excluir en el caso de autos tanto el recurso de casación como el de revisión— no se alcanza a identificar el recurso posible. De suerte que la muy limitada motivación de la providencia no solo es insuficiente sino, además, manifiestamente errónea, ya que remite al recurrente a una vía de recurso inexistente, lesionándose con ello el art. 24.1 CE.</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7 de mayo de 2015 se señaló para la deliberación y votación de la presente Sentencia el día 11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demandante de amparo dirige su queja contra la providencia de la Sección Primera de la Audiencia Provincial de Palma de Mallorca, de 26 de mayo de 2014, que inadmitió a trámite el incidente de nulidad de actuaciones interpuesto contra la Sentencia de 15 de abril de 2014 de dicho órgano judicial, que había desestimado el recurso de apelación promovido frente a la Sentencia del Juzgado de lo Penal núm. 3 de Palma de Mallorca, de 12 de abril de 2013, dictada en el procedimiento abreviado núm. 22-2013.</w:t>
      </w:r>
    </w:p>
    <w:p w:rsidR="0085709A" w:rsidRDefault="0085709A" w:rsidP="0085709A">
      <w:pPr>
        <w:pStyle w:val="TextoNormal"/>
      </w:pPr>
    </w:p>
    <w:p w:rsidR="0085709A" w:rsidRDefault="0085709A" w:rsidP="0085709A">
      <w:pPr>
        <w:pStyle w:val="TextoNormal"/>
      </w:pPr>
      <w:r>
        <w:t>Denuncia que la citada providencia ha vulnerado su derecho a la tutela judicial efectiva sin indefensión (art. 24.1 CE), en la vertiente de derecho de acceso a los recursos, toda vez que la interpretación efectuada del inciso legal “no sea susceptible de recurso ordinario ni extraordinario”, contenido en el primer párrafo del art. 241.1 de la Ley Orgánica del Poder Judicial (LOPJ), resulta manifiestamente insuficiente e irrazonable. Vista la regulación contenida en los arts. 792.3, 847 y 954 y siguientes de la Ley de enjuiciamiento criminal, no es de recibo afirmar que la Sentencia de apelación de 15 de abril de 2014 pudiera ser susceptible de recurso sin identificar a qué recurso concreto estaría refiriéndose la Audiencia Provincial.</w:t>
      </w:r>
    </w:p>
    <w:p w:rsidR="0085709A" w:rsidRDefault="0085709A" w:rsidP="0085709A">
      <w:pPr>
        <w:pStyle w:val="TextoNormal"/>
      </w:pPr>
    </w:p>
    <w:p w:rsidR="0085709A" w:rsidRDefault="0085709A" w:rsidP="0085709A">
      <w:pPr>
        <w:pStyle w:val="TextoNormal"/>
      </w:pPr>
      <w:r>
        <w:t>El Ministerio Fiscal ha solicitado el otorgamiento del amparo, de acuerdo con la tesis del demandante de amparo.</w:t>
      </w:r>
    </w:p>
    <w:p w:rsidR="0085709A" w:rsidRDefault="0085709A" w:rsidP="0085709A">
      <w:pPr>
        <w:pStyle w:val="TextoNormal"/>
      </w:pPr>
    </w:p>
    <w:p w:rsidR="0085709A" w:rsidRDefault="0085709A" w:rsidP="0085709A">
      <w:pPr>
        <w:pStyle w:val="TextoNormal"/>
      </w:pPr>
      <w:r w:rsidRPr="0085709A">
        <w:rPr>
          <w:rStyle w:val="NumeroAFNegritaCaracter"/>
        </w:rPr>
        <w:t>2</w:t>
      </w:r>
      <w:r>
        <w:t>. Al no articularse queja alguna frente a la Sentencia dictada en apelación, que no es objeto del presente recurso de amparo, al igual que ocurriera en el enjuiciado en la STC 153/2012, de 16 de julio, o en el de la STC 204/2014, de 15 de diciembre, debemos contraer nuestro examen al control de la pretendida vulneración del derecho de acceso al recurso que se imputa a la providencia de 26 de mayo de 2014, tal y como se solicita expresamente por el recurrente.</w:t>
      </w:r>
    </w:p>
    <w:p w:rsidR="0085709A" w:rsidRDefault="0085709A" w:rsidP="0085709A">
      <w:pPr>
        <w:pStyle w:val="TextoNormal"/>
      </w:pPr>
    </w:p>
    <w:p w:rsidR="0085709A" w:rsidRDefault="0085709A" w:rsidP="0085709A">
      <w:pPr>
        <w:pStyle w:val="TextoNormal"/>
      </w:pPr>
      <w:r>
        <w:t>El concreto objeto del recurso nos obliga a recordar, una vez más, con carácter previo al análisis del fondo del asunto, la función que cumple el incidente excepcional de nulidad de actuaciones del art. 241 LOPJ como instrumento de tutela de los derechos fundamentales ante la jurisdicción ordinaria tras la reforma introducida por la Ley Orgánica 6/2007, de 24 de mayo.</w:t>
      </w:r>
    </w:p>
    <w:p w:rsidR="0085709A" w:rsidRDefault="0085709A" w:rsidP="0085709A">
      <w:pPr>
        <w:pStyle w:val="TextoNormal"/>
      </w:pPr>
    </w:p>
    <w:p w:rsidR="0085709A" w:rsidRDefault="0085709A" w:rsidP="0085709A">
      <w:pPr>
        <w:pStyle w:val="TextoNormal"/>
      </w:pPr>
      <w:r>
        <w:t xml:space="preserve">El protagonismo otorgado en la reforma a los Tribunales ordinarios a través de ese remedio procesal, acentuando su función como primeros garantes de los derechos fundamentales en el ordenamiento jurídico y con el fin de lograr que la tutela y defensa de esos derechos por parte del Tribunal Constitucional sea realmente subsidiaria, es puesta en conexión en nuestra doctrina con el requisito de la especial trascendencia constitucional [art. 50.1 b) de la Ley Orgánica del Tribunal Constitucional (LOTC)], pues debe tenerse en cuenta en el proceso judicial que —de no tener el caso especial trascendencia constitucional— se trataría de la última vía que permitiría la reparación de la vulneración denunciada. Por ello hemos señalado que, cuando el planteamiento del incidente de nulidad de actuaciones resulte procedente, su inadmisión supone una preterición del mecanismo de tutela pertinente ante la jurisdicción ordinaria; que no puede considerarse el incidente como un mero trámite formal </w:t>
      </w:r>
      <w:r>
        <w:lastRenderedPageBreak/>
        <w:t>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o, en fin, que el órgano judicial debe realizar, salvo que se den las causas de inadmisión de plano, en cuyo caso podrá realizarse una motivación sucinta (art. 241.1 LOPJ), una interpretación no restrictiva de las causas de admisión, tramitar el incidente y razonar suficientemente, en todo caso, la decisión adoptada.</w:t>
      </w:r>
    </w:p>
    <w:p w:rsidR="0085709A" w:rsidRDefault="0085709A" w:rsidP="0085709A">
      <w:pPr>
        <w:pStyle w:val="TextoNormal"/>
      </w:pPr>
    </w:p>
    <w:p w:rsidR="0085709A" w:rsidRDefault="0085709A" w:rsidP="0085709A">
      <w:pPr>
        <w:pStyle w:val="TextoNormal"/>
      </w:pPr>
      <w:r w:rsidRPr="0085709A">
        <w:rPr>
          <w:rStyle w:val="NumeroAFNegritaCaracter"/>
        </w:rPr>
        <w:t>3</w:t>
      </w:r>
      <w:r>
        <w:t>. En el recurso de amparo a examen, la Sección Primera de la Audiencia Provincial de Palma de Mallorca inadmitió el incidente de nulidad de actuaciones ya referido, limitándose a afirmar, en lo que al caso concreto atañe, que “(e)xaminado el contenido del escrito presentado no ha lugar a admitir a trámite el incidente de nulidad, pues si bien concurre el primero de los requisitos señalados en el art. 241.1 de la LOPJ, no concurre el segundo de ellos, concretamente el ser la resolución dictada susceptible de recurso extraordinario”.</w:t>
      </w:r>
    </w:p>
    <w:p w:rsidR="0085709A" w:rsidRDefault="0085709A" w:rsidP="0085709A">
      <w:pPr>
        <w:pStyle w:val="TextoNormal"/>
      </w:pPr>
    </w:p>
    <w:p w:rsidR="0085709A" w:rsidRDefault="0085709A" w:rsidP="0085709A">
      <w:pPr>
        <w:pStyle w:val="TextoNormal"/>
      </w:pPr>
      <w:r>
        <w:t>El juicio sobre dicha respuesta debe realizarse, como el recurrente solicita, a partir del canon propio del derecho de acceso al recurso, pues, aunque el incidente de nulidad de actuaciones no constituye un recurso en sentido estricto, es un remedio procesal que, al tener por objeto la revisión de resoluciones o actuaciones procesales, queda encuadrado en aquella vertiente del art. 24.1 CE. Desde esta perspectiva, como es sabido, el control de las resoluciones judiciales de inadmisión por parte de la jurisdicción constitucional es meramente externo y debe limitarse a comprobar si contienen motivación, si han incurrido o no en error material patente, en arbitrariedad o en manifiesta irrazonabilidad lógica, evitando toda ponderación acerca de su corrección jurídica (STC 204/2014, FJ 4, por todas).</w:t>
      </w:r>
    </w:p>
    <w:p w:rsidR="0085709A" w:rsidRDefault="0085709A" w:rsidP="0085709A">
      <w:pPr>
        <w:pStyle w:val="TextoNormal"/>
      </w:pPr>
    </w:p>
    <w:p w:rsidR="0085709A" w:rsidRDefault="0085709A" w:rsidP="0085709A">
      <w:pPr>
        <w:pStyle w:val="TextoNormal"/>
      </w:pPr>
      <w:r>
        <w:t>Como recordara la STC 20/2012, de 16 de febrero, FJ 5, desde la Sentencia de Pleno 37/1995, de 7 de febrero, este Tribunal ha subrayado el diferente relieve constitucional que posee el derecho de acceso a la jurisdicción y el de acceso a los recursos legalmente establecidos. Aunque ambos derechos se encuentran ínsitos en el art. 24.1 CE, 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w:t>
      </w:r>
    </w:p>
    <w:p w:rsidR="0085709A" w:rsidRDefault="0085709A" w:rsidP="0085709A">
      <w:pPr>
        <w:pStyle w:val="TextoNormal"/>
      </w:pPr>
    </w:p>
    <w:p w:rsidR="0085709A" w:rsidRDefault="0085709A" w:rsidP="0085709A">
      <w:pPr>
        <w:pStyle w:val="TextoNormal"/>
      </w:pPr>
      <w:r>
        <w:t>Garantizada que ha sido en el presente caso dicha revisión de la condena en el grado jurisdiccional de apelación y no habiendo cuestionado la providencia recurrida la inviabilidad del incidente por reiterar indebidamente lo ya planteado y resuelto en instancias previas (por ejemplo STC 205/2007, de 24 de septiembre, FJ 2), el fundamento de la inadmisión del remedio procesal ha quedado ceñido a la existencia de otros cauces de reacción procesal que serían preferentes, como se sigue del tenor literal de la providencia impugnada.</w:t>
      </w:r>
    </w:p>
    <w:p w:rsidR="0085709A" w:rsidRDefault="0085709A" w:rsidP="0085709A">
      <w:pPr>
        <w:pStyle w:val="TextoNormal"/>
      </w:pPr>
    </w:p>
    <w:p w:rsidR="0085709A" w:rsidRDefault="0085709A" w:rsidP="0085709A">
      <w:pPr>
        <w:pStyle w:val="TextoNormal"/>
      </w:pPr>
      <w:r>
        <w:t xml:space="preserve">Desde ese prisma concluimos que el órgano judicial vulneró el derecho a la tutela judicial efectiva del demandante de amparo (art. 24.1 CE), privándole de la tutela de los derechos fundamentales que proclama el art. 53.2 CE. En efecto, el órgano judicial tendría que haber ofrecido una motivación suficiente, aunque fuera sucinta, que justificase la no admisión a </w:t>
      </w:r>
      <w:r>
        <w:lastRenderedPageBreak/>
        <w:t>trámite del incidente de nulidad de actuaciones por esa causa, precisando en particular el tipo de recurso que creía posible interponer frente a la Sentencia de la Audiencia Provincial. Esta exigencia adquiere mayor consistencia si se considera que: i) la posibilidad de la articulación de un recurso de casación, a tenor del art. 847 de la Ley de enjuiciamiento criminal, queda limitado, en lo que ahora nos concierne, a Sentencias dictadas por las Audiencias Provinciales cuando lo sean en única instancia; ii) no estamos, a todas luces, en el caso contemplado en el art. 793.2 de la misma Ley, iii) y tampoco parece posible situar el supuesto en el marco del recurso de revisión de los arts. 954 y siguientes de esa norma, como señalan el recurrente y el Ministerio Fiscal, ya que el recurso de revisión tiene para su admisión unos motivos tasados, basados en circunstancias excepcionales que el promotor del incidente de nulidad no alegaba.</w:t>
      </w:r>
    </w:p>
    <w:p w:rsidR="0085709A" w:rsidRDefault="0085709A" w:rsidP="0085709A">
      <w:pPr>
        <w:pStyle w:val="TextoNormal"/>
      </w:pPr>
    </w:p>
    <w:p w:rsidR="0085709A" w:rsidRDefault="0085709A" w:rsidP="0085709A">
      <w:pPr>
        <w:pStyle w:val="TextoNormal"/>
      </w:pPr>
      <w:r>
        <w:t xml:space="preserve">Bajo esas circunstancias, como dijéramos en la STC 204/2014, FJ 4, el órgano judicial debió, cuando menos, haber motivado suficientemente su decisión de inadmisión, haciendo ver la auténtica </w:t>
      </w:r>
      <w:r w:rsidRPr="0085709A">
        <w:rPr>
          <w:i/>
        </w:rPr>
        <w:t>ratio decidendi</w:t>
      </w:r>
      <w:r>
        <w:t>. Y no lo hizo, por lo que, en atención a lo expuesto, resulta procedente la estimación del recurso de amparo, con anulación de la providencia de 26 de mayo de 2014 y la retroacción de actuaciones al momento inmediatamente anterior a su dictado, para que se dicte una nueva resolución judicial que resulte respetuosa con el derecho fundamental reconocido (derecho de acceso al recurso, art. 24.1 CE).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por don José Luis Zaldua Azurmendi y, en consecuencia:</w:t>
      </w:r>
    </w:p>
    <w:p w:rsidR="0085709A" w:rsidRDefault="0085709A" w:rsidP="0085709A">
      <w:pPr>
        <w:pStyle w:val="TextoNormal"/>
      </w:pPr>
    </w:p>
    <w:p w:rsidR="0085709A" w:rsidRDefault="0085709A" w:rsidP="0085709A">
      <w:pPr>
        <w:pStyle w:val="TextoNormal"/>
      </w:pPr>
      <w:r>
        <w:t>1º Declarar que ha sido vulnerado su derecho fundamental a la tutela judicial efectiva (art. 24.1 CE).</w:t>
      </w:r>
    </w:p>
    <w:p w:rsidR="0085709A" w:rsidRDefault="0085709A" w:rsidP="0085709A">
      <w:pPr>
        <w:pStyle w:val="TextoNormal"/>
      </w:pPr>
    </w:p>
    <w:p w:rsidR="0085709A" w:rsidRDefault="0085709A" w:rsidP="0085709A">
      <w:pPr>
        <w:pStyle w:val="TextoNormal"/>
      </w:pPr>
      <w:r>
        <w:t>2º Restablecerle en su derecho y, a tal fin, declarar la nulidad de la providencia de la Sección Primera de la Audiencia Provincial de Palma de Mallorca de 26 de mayo de 2014, dictada en el rollo de apelación núm. 185-2013.</w:t>
      </w:r>
    </w:p>
    <w:p w:rsidR="0085709A" w:rsidRDefault="0085709A" w:rsidP="0085709A">
      <w:pPr>
        <w:pStyle w:val="TextoNormal"/>
      </w:pPr>
    </w:p>
    <w:p w:rsidR="0085709A" w:rsidRDefault="0085709A" w:rsidP="0085709A">
      <w:pPr>
        <w:pStyle w:val="TextoNormal"/>
      </w:pPr>
      <w:r>
        <w:t>3º Retrotraer las actuaciones al momento inmediatamente anterior al de dictarse la providencia anulada, para que se dicte nueva resolución judicial respetuosa con el derecho fundamental reconocido.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once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5" w:name="SENTENCIA_2015_92"/>
      <w:r>
        <w:lastRenderedPageBreak/>
        <w:t>SENTENCIA 92/2015, de 14 de mayo de 2015</w:t>
      </w:r>
    </w:p>
    <w:bookmarkEnd w:id="95"/>
    <w:p w:rsidR="0085709A" w:rsidRDefault="0085709A" w:rsidP="0085709A">
      <w:pPr>
        <w:pStyle w:val="TtuloResolucin"/>
      </w:pPr>
      <w:r>
        <w:t>Pleno</w:t>
      </w:r>
    </w:p>
    <w:p w:rsidR="0085709A" w:rsidRDefault="0085709A" w:rsidP="0085709A">
      <w:pPr>
        <w:pStyle w:val="TtuloBOE"/>
      </w:pPr>
      <w:r>
        <w:t>(BOE núm. 146, de 19 de junio de 2015)</w:t>
      </w:r>
    </w:p>
    <w:p w:rsidR="0085709A" w:rsidRDefault="0085709A" w:rsidP="0085709A">
      <w:pPr>
        <w:pStyle w:val="TextoNormalCentrado"/>
      </w:pPr>
      <w:r>
        <w:t>ECLI:ES:TC:2015:92</w:t>
      </w:r>
    </w:p>
    <w:p w:rsidR="0085709A" w:rsidRDefault="0085709A" w:rsidP="0085709A">
      <w:pPr>
        <w:pStyle w:val="TextoNormalCentrado"/>
      </w:pPr>
    </w:p>
    <w:p w:rsidR="0085709A" w:rsidRDefault="0085709A" w:rsidP="0085709A">
      <w:pPr>
        <w:pStyle w:val="SntesisDescriptiva"/>
      </w:pPr>
      <w:r>
        <w:t>Conflicto en defensa de la autonomía local 1501-2005. Planteado por el Ayuntamiento de Santander y otros dieciséis municipios en relación con la Ley del Parlamento de Cantabria 2/2004, de 27 de septiembre, del plan de ordenación del litoral.</w:t>
      </w:r>
    </w:p>
    <w:p w:rsidR="0085709A" w:rsidRDefault="0085709A" w:rsidP="0085709A">
      <w:pPr>
        <w:pStyle w:val="SntesisDescriptiva"/>
      </w:pPr>
    </w:p>
    <w:p w:rsidR="0085709A" w:rsidRDefault="0085709A" w:rsidP="0085709A">
      <w:pPr>
        <w:pStyle w:val="SntesisAnaltica"/>
      </w:pPr>
      <w:r>
        <w:t>Autonomía local, ordenación del territorio, urbanismo y medio ambiente: extinción parcial del conflicto en defensa de la autonomía local, constitucionalidad de los preceptos legales cuyas determinaciones urbanísticas y de ordenación territorial se imponen a los instrumentos de planeamiento local (STC 57/2015).</w:t>
      </w:r>
    </w:p>
    <w:p w:rsidR="0085709A" w:rsidRDefault="0085709A" w:rsidP="0085709A">
      <w:pPr>
        <w:pStyle w:val="SntesisAnaltica"/>
      </w:pPr>
    </w:p>
    <w:p w:rsidR="0085709A" w:rsidRDefault="0085709A" w:rsidP="0085709A">
      <w:pPr>
        <w:pStyle w:val="Extracto"/>
      </w:pPr>
      <w:r>
        <w:t>1.</w:t>
      </w:r>
      <w:r>
        <w:tab/>
        <w:t>Reitera la doctrina de la STC 57/2015 sobre diversas impugnaciones dirigidas contra la Ley del Parlamento de Cantabria 2/2004 [FFJJ 4, 5, 7, 10 a 12].</w:t>
      </w:r>
    </w:p>
    <w:p w:rsidR="0085709A" w:rsidRDefault="0085709A" w:rsidP="0085709A">
      <w:pPr>
        <w:pStyle w:val="Extracto"/>
      </w:pPr>
    </w:p>
    <w:p w:rsidR="0085709A" w:rsidRDefault="0085709A" w:rsidP="0085709A">
      <w:pPr>
        <w:pStyle w:val="Extracto"/>
      </w:pPr>
      <w:r>
        <w:t>2.</w:t>
      </w:r>
      <w:r>
        <w:tab/>
        <w:t>El mandato de ordenación integral de los desarrollos urbanísticos, concretado en la doble función de definición de la estructura general y localización de los espacios libres, equipamientos e infraestructuras necesarias, se incardina dentro de las competencias ejercidas por el Parlamento de Cantabria con la aprobación de la Ley del plan de ordenación del litoral pues sirve a la fijación de los usos del suelo y al equilibrio entre las distintas partes del territorio −lo que nos sitúa en el ámbito de la ordenación del territorio−, al tiempo que proporciona al planificador urbanístico municipal, técnicas e instrumentos idóneos para ese desarrollo [FJ 8].</w:t>
      </w:r>
    </w:p>
    <w:p w:rsidR="0085709A" w:rsidRDefault="0085709A" w:rsidP="0085709A">
      <w:pPr>
        <w:pStyle w:val="Extracto"/>
      </w:pPr>
    </w:p>
    <w:p w:rsidR="0085709A" w:rsidRDefault="0085709A" w:rsidP="0085709A">
      <w:pPr>
        <w:pStyle w:val="Extracto"/>
      </w:pPr>
      <w:r>
        <w:t>3.</w:t>
      </w:r>
      <w:r>
        <w:tab/>
        <w:t>El criterio de ordenación consistente en la prohibición de urbanizaciones aisladas responde negativamente al dónde de los asentamientos humanos, respuesta que sólo puede darse legítimamente desde la competencia autonómica sobre urbanismo pues la creación de nuevos núcleos de población es una decisión que rebasa el estricto interés municipal y se incardina en el ámbito de los intereses autonómicos [FJ 9].</w:t>
      </w:r>
    </w:p>
    <w:p w:rsidR="0085709A" w:rsidRDefault="0085709A" w:rsidP="0085709A">
      <w:pPr>
        <w:pStyle w:val="Extracto"/>
      </w:pPr>
    </w:p>
    <w:p w:rsidR="0085709A" w:rsidRDefault="0085709A" w:rsidP="0085709A">
      <w:pPr>
        <w:pStyle w:val="Extracto"/>
      </w:pPr>
      <w:r>
        <w:t>4.</w:t>
      </w:r>
      <w:r>
        <w:tab/>
        <w:t>Doctrina constitucional sobre el conflicto en defensa de la autonomía local como nuevo proceso constitucional (STC 240/2006) [FJ 2.a)].</w:t>
      </w:r>
    </w:p>
    <w:p w:rsidR="0085709A" w:rsidRDefault="0085709A" w:rsidP="0085709A">
      <w:pPr>
        <w:pStyle w:val="Extracto"/>
      </w:pPr>
    </w:p>
    <w:p w:rsidR="0085709A" w:rsidRDefault="0085709A" w:rsidP="0085709A">
      <w:pPr>
        <w:pStyle w:val="Extracto"/>
      </w:pPr>
      <w:r>
        <w:t>5.</w:t>
      </w:r>
      <w:r>
        <w:tab/>
        <w:t>El art. 75 ter LOTC únicamente exige la adopción de un acuerdo plenario de las corporaciones locales —que, además, habrá de ser aprobado por la mayoría absoluta del número legal de sus miembros— “para iniciar la tramitación de los conflictos en defensa de la autonomía local”, actividad distinta a la formalización o planteamiento del conflicto, a la que se hace referencia en los arts. 75 ter.3 y 75 quater.2 LOTC, sin exigir respecto de esta la adopción previa de un acuerdo por el órgano colegiado de gobierno de las correspondientes entidades locales [FJ 2.b)].</w:t>
      </w:r>
    </w:p>
    <w:p w:rsidR="0085709A" w:rsidRDefault="0085709A" w:rsidP="0085709A">
      <w:pPr>
        <w:pStyle w:val="Extracto"/>
      </w:pPr>
    </w:p>
    <w:p w:rsidR="0085709A" w:rsidRDefault="0085709A" w:rsidP="0085709A">
      <w:pPr>
        <w:pStyle w:val="Extracto"/>
      </w:pPr>
      <w:r>
        <w:t>6.</w:t>
      </w:r>
      <w:r>
        <w:tab/>
        <w:t xml:space="preserve">El planteamiento del conflicto en defensa de la autonomía local se integra de dos actuaciones: solicitud de dictamen al órgano consultivo correspondiente, requisito previo a la formalización del conflicto y deberá efectuarse en el plazo de tres meses desde el día de la publicación, y la posterior formalización del conflicto, que se </w:t>
      </w:r>
      <w:r>
        <w:lastRenderedPageBreak/>
        <w:t>efectuará en el plazo de un mes desde la recepción del citado dictamen (STC 95/2014, en conflicto en defensa de autonomía local planteado por el Ayuntamiento de Covaleda –Soria- en relación a una Ley de las Cortes de Castilla y León), actuaciones que no precisan de acuerdo del pleno de la corporación o corporaciones locales promotoras del conflicto [FJ 2.b)].</w:t>
      </w:r>
    </w:p>
    <w:p w:rsidR="0085709A" w:rsidRDefault="0085709A" w:rsidP="0085709A">
      <w:pPr>
        <w:pStyle w:val="Extracto"/>
      </w:pPr>
    </w:p>
    <w:p w:rsidR="0085709A" w:rsidRDefault="0085709A" w:rsidP="0085709A">
      <w:pPr>
        <w:pStyle w:val="Extracto"/>
      </w:pPr>
      <w:r>
        <w:t>7.</w:t>
      </w:r>
      <w:r>
        <w:tab/>
        <w:t>Con la derogación de los apartados 2 y 3 de su art. 48 por la Ley 8/2013, de 2 de diciembre, aquellos criterios concretos de ordenación recogidos en el apartado impugnado y que los promotores del conflicto entendían que no se justificaban por la concurrencia de intereses supramunicipales han desaparecido de la norma, por lo que ya no subsiste la controversia que dio lugar al planteamiento del presente conflicto en defensa de la autonomía local y que ha de constituir en todo caso el presupuesto del mismo [FJ 5].</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conflicto en defensa de la autonomía local núm. 1501-2005, interpuesto por el Ayuntamiento de Santander y otros 16 municipios, representados por el Procurador de los Tribunales don Argimiro Vázquez Guillén y actuando bajo la dirección letrada del Abogado don Eduardo García de Enterría Martínez-Carande, en relación con la Ley del Parlamento de Cantabria 2/2004, de 27 de septiembre, del plan de ordenación del litoral. Han comparecido y formulado alegaciones el Gobierno y el Parlamento de Cantabria.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presentado en el Registro General de este Tribunal Constitucional el 3 de marzo de 2005, don Argimiro Vázquez Guillén, Procurador de los Tribunales y de los Ayuntamientos de Santander, Arnuero, El Astillero, Bareyo, Limpias, Meruelo, Piélagos, Ribamontán al Monte, Valdáliga, Cabezón de la Sal, Entrambasaguas, Hermandad de Campoo de Suso, Liérganes, Rasines, Santa María de Cayón, Marina de Cudeyo y Ribamontán al Mar, promovió conflicto en defensa de la autonomía local respecto de la totalidad de la Ley del Parlamento de Cantabria 2/2004, de 27 de septiembre, del plan de ordenación del </w:t>
      </w:r>
      <w:r>
        <w:lastRenderedPageBreak/>
        <w:t>litoral y, subsidiariamente, frente a los arts. 45.2; 45.5; 47.2 y 3; 48.1 a), b), c) y 3 a); 50; 51.3; 54; 55; 56 y 57 y la disposición adicional cuarta de dicha Ley.</w:t>
      </w:r>
    </w:p>
    <w:p w:rsidR="0085709A" w:rsidRDefault="0085709A" w:rsidP="0085709A">
      <w:pPr>
        <w:pStyle w:val="TextoNormal"/>
      </w:pPr>
    </w:p>
    <w:p w:rsidR="0085709A" w:rsidRDefault="0085709A" w:rsidP="0085709A">
      <w:pPr>
        <w:pStyle w:val="TextoNormal"/>
      </w:pPr>
      <w:r>
        <w:t>El presente conflicto en defensa de la autonomía local se sustenta sobre los siguientes fundamentos jurídicos:</w:t>
      </w:r>
    </w:p>
    <w:p w:rsidR="0085709A" w:rsidRDefault="0085709A" w:rsidP="0085709A">
      <w:pPr>
        <w:pStyle w:val="TextoNormal"/>
      </w:pPr>
    </w:p>
    <w:p w:rsidR="0085709A" w:rsidRDefault="0085709A" w:rsidP="0085709A">
      <w:pPr>
        <w:pStyle w:val="TextoNormal"/>
      </w:pPr>
      <w:r>
        <w:t>a) Se da cuenta, en primer lugar, del cumplimiento de los requisitos procesales. En punto a legitimación, reseñan los actores que el conflicto se plantea por once municipios costeros de Cantabria —Arnuero, Astillero, Bareyo, Limpias, Marina de Cudeyo, Meruelo, Piélagos, Ribamontán al Monte, Ribamontán al Mar, Valdáliga y Santander—, que de manera conjunta representan más de un séptimo de los 37 incluidos en el ámbito territorial del plan de ordenación del litoral y suman más de un sexto de la población oficial de dicho ámbito territorial. Promueven además el conflicto otros seis no costeros —Cabezón de la Sal, Entrambasaguas, Hermandad del Campoo de Suso, Liérganes, Rasines y Santa María de Cayón— pero a los que afecta la disposición adicional cuarta, que modifica el art. 26 de la Ley 2/2001, de 25 de junio, de ordenación territorial y régimen urbanístico del suelo de Cantabria. Suman así 17 municipios (más de la séptima parte del número de municipios de Cantabria, que son 102 según certifica el Instituto Nacional de Estadística) y cuentan con una población superior a un sexto del total de la Comunidad Autónoma (255.587 habitantes, para un total de 554.784 habitantes).</w:t>
      </w:r>
    </w:p>
    <w:p w:rsidR="0085709A" w:rsidRDefault="0085709A" w:rsidP="0085709A">
      <w:pPr>
        <w:pStyle w:val="TextoNormal"/>
      </w:pPr>
    </w:p>
    <w:p w:rsidR="0085709A" w:rsidRDefault="0085709A" w:rsidP="0085709A">
      <w:pPr>
        <w:pStyle w:val="TextoNormal"/>
      </w:pPr>
      <w:r>
        <w:t>Los promotores del conflicto dan cuenta de la adopción de los correspondientes acuerdos plenarios por las corporaciones locales, así como de la solicitud y emisión del preceptivo dictamen del Consejo de Estado, y de la formalización del conflicto en el mes siguiente a la recepción de este dictamen.</w:t>
      </w:r>
    </w:p>
    <w:p w:rsidR="0085709A" w:rsidRDefault="0085709A" w:rsidP="0085709A">
      <w:pPr>
        <w:pStyle w:val="TextoNormal"/>
      </w:pPr>
    </w:p>
    <w:p w:rsidR="0085709A" w:rsidRDefault="0085709A" w:rsidP="0085709A">
      <w:pPr>
        <w:pStyle w:val="TextoNormal"/>
      </w:pPr>
      <w:r>
        <w:t>b) Sentado esto, hacen algunas consideraciones sobre la autonomía municipal constitucionalmente garantizada. Estas consideraciones arrancan del concepto y contenido de la autonomía local resultante de la doctrina sentada en las SSTC 4/1981, de 2 de febrero; 32/1981, de 28 de julio; 213/1988, de 11 de noviembre, y 214/1989, de 21 de diciembre. Posteriormente se tratan los controles de legalidad y el contenido mínimo de la autonomía municipal (en particular, según se consigna en el fundamento jurídico 39 de la STC 40/1998, de 19 de febrero) y su relación con el urbanismo, con extensa cita de las SSTC 159/2001, de 5 de julio, y 51/2004, de 13 de abril. Tras todo ello, los municipios promotores del conflicto concluyen que “los límites que a la intervención del legislador supramunicipal establece la explícita doctrina del Tribunal al que nos dirigimos han resultado gravemente transgredidos por la Ley cántabra que es el objeto de nuestra impugnación”.</w:t>
      </w:r>
    </w:p>
    <w:p w:rsidR="0085709A" w:rsidRDefault="0085709A" w:rsidP="0085709A">
      <w:pPr>
        <w:pStyle w:val="TextoNormal"/>
      </w:pPr>
    </w:p>
    <w:p w:rsidR="0085709A" w:rsidRDefault="0085709A" w:rsidP="0085709A">
      <w:pPr>
        <w:pStyle w:val="TextoNormal"/>
      </w:pPr>
      <w:r>
        <w:t>c) Sostienen a continuación los promotores del conflicto que la Ley de aprobación del plan de ordenación del litoral habría vulnerado la autonomía constitucionalmente reconocida a los municipios afectados, a los que no se dio audiencia después de introducir sustanciales modificaciones respecto de aquello que inicialmente se había sometido a su consideración.</w:t>
      </w:r>
    </w:p>
    <w:p w:rsidR="0085709A" w:rsidRDefault="0085709A" w:rsidP="0085709A">
      <w:pPr>
        <w:pStyle w:val="TextoNormal"/>
      </w:pPr>
    </w:p>
    <w:p w:rsidR="0085709A" w:rsidRDefault="0085709A" w:rsidP="0085709A">
      <w:pPr>
        <w:pStyle w:val="TextoNormal"/>
      </w:pPr>
      <w:r>
        <w:t xml:space="preserve">Para los promotores del conflicto, que el plan haya sido aprobado por ley no le dispensa ni exime del cumplimiento de trámites y requisitos esenciales establecidos por el ordenamiento jurídico precisamente para preservar la autonomía municipal. Así figura en el art. 16 c) de la Ley de ordenación territorial y régimen urbanístico del suelo de Cantabria respecto </w:t>
      </w:r>
      <w:r>
        <w:lastRenderedPageBreak/>
        <w:t>del procedimiento de elaboración y aprobación de los planes regionales de ordenación territorial. La intervención de los municipios ha de realizarse antes de la aprobación provisional de dichos planes, es decir, antes de que se aprueben como proyectos de ley por el Gobierno y sean remitidos al Parlamento de Cantabria para su aprobación [art. 16 c) y d) de la misma Ley]. “Si se omite el referido trámite de audiencia o si, en la aprobación provisional, se aprueba por el órgano competente de la Comunidad Autónoma (la Comisión Territorial de Urbanismo) un texto en el que se han introducido sustanciales modificaciones respecto del inicialmente sometido a audiencia de todos los Ayuntamientos afectados, se habrá conculcado un requisito esencial —como es la participación municipal— y se habrá atentado directamente con ello a la autonomía local”. Es lo que, siempre en opinión de los promotores del conflicto, ha sucedido en este caso.</w:t>
      </w:r>
    </w:p>
    <w:p w:rsidR="0085709A" w:rsidRDefault="0085709A" w:rsidP="0085709A">
      <w:pPr>
        <w:pStyle w:val="TextoNormal"/>
      </w:pPr>
    </w:p>
    <w:p w:rsidR="0085709A" w:rsidRDefault="0085709A" w:rsidP="0085709A">
      <w:pPr>
        <w:pStyle w:val="TextoNormal"/>
      </w:pPr>
      <w:r>
        <w:t>Para modificar el anteproyecto de ley era preciso dar nueva audiencia a los ayuntamientos interesados pues “así se ha declarado reiteradamente por el Tribunal Supremo en relación con los planes de ordenación urbana, en numerosas sentencias”. Para los promotores del conflicto, el cuerpo de doctrina que forman estas sentencias es capital para entender la relación existente, en materia de ordenación urbanística, entre las Comunidades Autónomas y los municipios, tipo de relación aplicable al presente caso.</w:t>
      </w:r>
    </w:p>
    <w:p w:rsidR="0085709A" w:rsidRDefault="0085709A" w:rsidP="0085709A">
      <w:pPr>
        <w:pStyle w:val="TextoNormal"/>
      </w:pPr>
    </w:p>
    <w:p w:rsidR="0085709A" w:rsidRDefault="0085709A" w:rsidP="0085709A">
      <w:pPr>
        <w:pStyle w:val="TextoNormal"/>
      </w:pPr>
      <w:r>
        <w:t>Defienden los municipios promotores del conflicto que la naturaleza representativa y democrática del Parlamento de Cantabria no sustituye en modo alguno la específica intervención de los ayuntamientos en la tramitación de los planes de ordenación territorial, pues estos no están representados como tales en la Cámara autonómica, por lo que sus específicos intereses no tienen por qué hallar eco en los debates parlamentarios de un auténtico instrumento de planeamiento, como es el plan de ordenación del litoral, en cuya tramitación han de intervenir los ayuntamientos justamente en defensa de la autonomía municipal, para salvaguardar los intereses de los propios municipios y los de sus vecinos. En el caso, se han llevado a cabo variaciones sustanciales sin dar ocasión a los municipios a expresar su parecer, “si la aprobación del Plan se hubiera realizado por un órgano administrativo, se produciría un vicio de nulidad susceptible de impugnación ante la jurisdicción contenciosa”, al haber sido aprobado por ley, se ha vulnerado la autonomía municipal constitucionalmente garantizada. En defensa de esta tesis se aducen diversos pronunciamientos de la Sala de lo Contencioso-Administrativo del Tribunal Supremo relativos al principio de participación ciudadana en la elaboración de los instrumentos de planeamiento en los que se consigna que la introducción de modificaciones sustanciales solo es posible previa reiteración del trámite de información pública.</w:t>
      </w:r>
    </w:p>
    <w:p w:rsidR="0085709A" w:rsidRDefault="0085709A" w:rsidP="0085709A">
      <w:pPr>
        <w:pStyle w:val="TextoNormal"/>
      </w:pPr>
    </w:p>
    <w:p w:rsidR="0085709A" w:rsidRDefault="0085709A" w:rsidP="0085709A">
      <w:pPr>
        <w:pStyle w:val="TextoNormal"/>
      </w:pPr>
      <w:r>
        <w:t xml:space="preserve">A continuación, identifican las modificaciones sustanciales que presenta el texto del proyecto objeto de aprobación provisional por contraste con el sometido a información pública y audiencia a los ayuntamientos: en algunos casos cambios en apariencia sólo terminológicos representan alteraciones del texto, casi siempre para ampliar las potestades del Gobierno autonómico y restringir las reconocidas a los municipios; se altera la sistemática y ordenación del texto, modificando el contenido de numerosos preceptos; se introducen nuevos e importantes contenidos, como la definición, en el art. 10 de la Ley, de la denominada “capacidad de carga”, definición que no figuraba en el texto inicial, o de la “capacidad de acogida” (art. 11), respecto de la cual se introduce una fórmula de cálculo que utiliza parámetros distintos de los previstos en el texto sometido a información pública y que condicionan en mayor medida la libertad de los planificadores urbanísticos municipales; el título IV del </w:t>
      </w:r>
      <w:r>
        <w:lastRenderedPageBreak/>
        <w:t>texto aprobado inicialmente, en el que se contenía el régimen de diversas infraestructuras, queda reducido a apenas dos artículos, que se limitan a relacionar dichas infraestructuras, remitiéndose en lo demás a su legislación específica; desaparece todo el título V, comprensivo de tres capítulos (concentración parcelaria, recursos geológicos y viviendas protegidas) y se incluye un régimen jurídico del área no litoral, que no figuraba en el texto aprobado inicialmente. Además, se amplía el abanico de actividades para las que pueden utilizarse las actuaciones integrales estratégicas, al permitir que el suelo afectado por las mismas se utilice para finalidades deportivas y residenciales y para “viviendas sometidas a algún régimen de protección pública”. También denuncian los promotores del conflicto la reforma del art. 26 de la Ley de ordenación territorial y régimen urbanístico del suelo de Cantabria llevada a cabo por la disposición adicional cuarta, cuyo ámbito de aplicación comprende a todos los municipios autonómicos y no solo a los costeros.</w:t>
      </w:r>
    </w:p>
    <w:p w:rsidR="0085709A" w:rsidRDefault="0085709A" w:rsidP="0085709A">
      <w:pPr>
        <w:pStyle w:val="TextoNormal"/>
      </w:pPr>
    </w:p>
    <w:p w:rsidR="0085709A" w:rsidRDefault="0085709A" w:rsidP="0085709A">
      <w:pPr>
        <w:pStyle w:val="TextoNormal"/>
      </w:pPr>
      <w:r>
        <w:t>d) Abordan seguidamente los actores el examen del contenido de los artículos de la Ley impugnada “que significan una vulneración de la autonomía municipal”.</w:t>
      </w:r>
    </w:p>
    <w:p w:rsidR="0085709A" w:rsidRDefault="0085709A" w:rsidP="0085709A">
      <w:pPr>
        <w:pStyle w:val="TextoNormal"/>
      </w:pPr>
    </w:p>
    <w:p w:rsidR="0085709A" w:rsidRDefault="0085709A" w:rsidP="0085709A">
      <w:pPr>
        <w:pStyle w:val="TextoNormal"/>
      </w:pPr>
      <w:r>
        <w:t>Este examen arranca con la afirmación de que el plan de ordenación del litoral “más que un plan de ‘protección’ del litoral, es un plan de ‘ordenación’ de una amplia zona de Cantabria, a veces distante, y hasta muy distante, de la costa; no solo establece limitaciones o prohibiciones en una zona de protección —lo cual sería adecuado a lo que debería ser su finalidad—, sino que establece criterios concretos para la ordenación de las distintas zonas que incluye y delimita en sus planos: son las llamadas con explicitud inequívoca, que define su verdadero contenido, ‘Áreas de ordenación’. Más aún, el propio P.O.L. apodera a los diversos órganos de la Comunidad para elaborar y formular directamente los instrumentos de planeamiento de las llamadas ‘Actuaciones integrales estratégicas’; llevando a cabo la totalidad de su tramitación y acordando su aprobación inicial, provisional y definitiva con una mínima participación de los ayuntamientos, reducida a evacuar un trámite de audiencia. De este modo, los municipios se ven despojados de toda iniciativa y decisión en el planeamiento municipal”.</w:t>
      </w:r>
    </w:p>
    <w:p w:rsidR="0085709A" w:rsidRDefault="0085709A" w:rsidP="0085709A">
      <w:pPr>
        <w:pStyle w:val="TextoNormal"/>
      </w:pPr>
    </w:p>
    <w:p w:rsidR="0085709A" w:rsidRDefault="0085709A" w:rsidP="0085709A">
      <w:pPr>
        <w:pStyle w:val="TextoNormal"/>
      </w:pPr>
      <w:r>
        <w:t>Aunque en el dictamen emitido por el Consejo de Estado a solicitud de los municipios promotores de este conflicto en defensa de la autonomía local se justifiquen las funciones ordenadoras de la Ley controvertida a partir de la equiparación del plan de ordenación del litoral con el plan regional de ordenación, equiparación fundada en la disposición adicional cuarta de la Ley de ordenación territorial y régimen urbanístico del suelo de Cantabria, los actores hacen hincapié en que esa misma disposición adicional acota el contenido posible del plan, como demostraría, por ejemplo, el hecho de que la zonificación a la que alude se circunscribiera al ámbito litoral, esto es, solamente se justifica esa zonificación como una medida necesaria para la protección del litoral. La ordenación que puede legítimamente abordar la Ley impugnada es la necesaria para la protección del litoral, un límite que habría sido ignorado en los siguientes extremos:</w:t>
      </w:r>
    </w:p>
    <w:p w:rsidR="0085709A" w:rsidRDefault="0085709A" w:rsidP="0085709A">
      <w:pPr>
        <w:pStyle w:val="TextoNormal"/>
      </w:pPr>
    </w:p>
    <w:p w:rsidR="0085709A" w:rsidRDefault="0085709A" w:rsidP="0085709A">
      <w:pPr>
        <w:pStyle w:val="TextoNormal"/>
      </w:pPr>
      <w:r>
        <w:t>i) El art. 45, especialmente su apartado segundo, establece un determinado modelo territorial al que habrá de ajustarse el planeamiento territorial, disponiendo cómo han de desarrollarse los crecimientos urbanísticos e imponiendo, en el caso de núcleos preexistentes, que en dicho crecimiento se promoverá la continuidad de la trama, sin que existan intereses supramunicipales que lo justifiquen.</w:t>
      </w:r>
    </w:p>
    <w:p w:rsidR="0085709A" w:rsidRDefault="0085709A" w:rsidP="0085709A">
      <w:pPr>
        <w:pStyle w:val="TextoNormal"/>
      </w:pPr>
    </w:p>
    <w:p w:rsidR="0085709A" w:rsidRDefault="0085709A" w:rsidP="0085709A">
      <w:pPr>
        <w:pStyle w:val="TextoNormal"/>
      </w:pPr>
      <w:r>
        <w:lastRenderedPageBreak/>
        <w:t>El art. 47.2 ordena, respecto de las denominadas “áreas periurbanas”, que los planes municipales establezcan una ordenación “integral” para los desarrollos urbanísticos. Con ello, y frente a lo sostenido de contrario en el dictamen del Consejo de Estado, se está predefiniendo ya la solución material que deban adoptar los planificadores municipales.</w:t>
      </w:r>
    </w:p>
    <w:p w:rsidR="0085709A" w:rsidRDefault="0085709A" w:rsidP="0085709A">
      <w:pPr>
        <w:pStyle w:val="TextoNormal"/>
      </w:pPr>
    </w:p>
    <w:p w:rsidR="0085709A" w:rsidRDefault="0085709A" w:rsidP="0085709A">
      <w:pPr>
        <w:pStyle w:val="TextoNormal"/>
      </w:pPr>
      <w:r>
        <w:t>El art. 48, que regula los crecimientos en el “área de modelo tradicional” señala criterios concretos de ordenación, como la prohibición de urbanizaciones aisladas, desarrollos urbanísticos que habrán de apoyarse en núcleos preexistentes, evitar la conexión de los núcleos en sus respectivos desarrollos, y fijación del número de viviendas admisible, que no podrá superar el número de viviendas preexistentes en el momento de aprobación del planeamiento. Al igual que señalara el Consejo de Estado en su dictamen, los promotores del conflicto entienden que estas concretas restricciones no se justifican por la concurrencia de intereses supramunicipales, de modo que no podrán prevalecer sobre las potestades del planificador municipal.</w:t>
      </w:r>
    </w:p>
    <w:p w:rsidR="0085709A" w:rsidRDefault="0085709A" w:rsidP="0085709A">
      <w:pPr>
        <w:pStyle w:val="TextoNormal"/>
      </w:pPr>
    </w:p>
    <w:p w:rsidR="0085709A" w:rsidRDefault="0085709A" w:rsidP="0085709A">
      <w:pPr>
        <w:pStyle w:val="TextoNormal"/>
      </w:pPr>
      <w:r>
        <w:t>Para los municipios promotores de este conflicto, más importante si cabe son las determinaciones relativas a la obligación de delimitar sectores de suelo con destino a la construcción de viviendas sujetas a algún régimen de protección en un porcentaje no inferior al 30 por 100 del total de viviendas previstas para el suelo urbanizable en el plan general (art. 45.5), porcentaje que en el caso de las áreas periurbanas se eleva al mínimo de “un 35 por 100 de la superficie construida destinada a uso residencial”, debiendo destinarse un mínimo del 10 por 100 a la construcción de viviendas de protección oficial de régimen especial (art. 47.3). En defensa de la constitucionalidad de estas previsiones, sostiene el Consejo de Estado en su dictamen que la Ley autonómica no obliga a clasificar el suelo como residencial, sino que los porcentajes operan a partir del libre ejercicio de la potestad de clasificación del suelo. Es lo cierto, sin embargo, que no cabe imaginar una planificación que desatienda por completo el uso residencial del suelo; no existen planes generales en los que todos o, al menos, algunos sectores no se clasifiquen como residenciales. No concurren, además y siempre en opinión de los actores, intereses supramunicipales que justifiquen la obligación de imponer determinados porcentajes de viviendas protegidas: una cosa es la competencia autonómica para regular, en términos generales, el sector de la vivienda y otra bien distinta la imposición a los ayuntamientos de las determinaciones concretas que sobre esa materia hayan de incluir en sus respectivos planes de ordenación urbana.</w:t>
      </w:r>
    </w:p>
    <w:p w:rsidR="0085709A" w:rsidRDefault="0085709A" w:rsidP="0085709A">
      <w:pPr>
        <w:pStyle w:val="TextoNormal"/>
      </w:pPr>
    </w:p>
    <w:p w:rsidR="0085709A" w:rsidRDefault="0085709A" w:rsidP="0085709A">
      <w:pPr>
        <w:pStyle w:val="TextoNormal"/>
      </w:pPr>
      <w:r>
        <w:t>Observan, a mayor abundamiento, que “la llamada ‘Área No Litoral’, que podría parecer que queda fuera de la aplicación de los criterios generales de ordenación, está, sin embargo, sometida —según resulta del artículo 50— a los mismos criterios de ordenación previstos en la propia Ley: los Planes Generales —dice— determinarán las distintas áreas en que se subdividan en función de los parámetros establecidos con carácter general que se relacionan en dicho artículo 50”.</w:t>
      </w:r>
    </w:p>
    <w:p w:rsidR="0085709A" w:rsidRDefault="0085709A" w:rsidP="0085709A">
      <w:pPr>
        <w:pStyle w:val="TextoNormal"/>
      </w:pPr>
    </w:p>
    <w:p w:rsidR="0085709A" w:rsidRDefault="0085709A" w:rsidP="0085709A">
      <w:pPr>
        <w:pStyle w:val="TextoNormal"/>
      </w:pPr>
      <w:r>
        <w:t>En conclusión, defienden los actores que el plan de ordenación del litoral “vacía de todo contenido a la iniciativa municipal en el planeamiento general, sin que puedan decidir los ayuntamientos su modelo territorial, al tener que ajustarse a unos criterios de ordenación rígidamente establecidos en el P.O.L., y por las autoridades autonómicas en aplicación del mismo, al margen ya de la protección estricta del litoral y con exclusión de la intervención de la población municipal”.</w:t>
      </w:r>
    </w:p>
    <w:p w:rsidR="0085709A" w:rsidRDefault="0085709A" w:rsidP="0085709A">
      <w:pPr>
        <w:pStyle w:val="TextoNormal"/>
      </w:pPr>
    </w:p>
    <w:p w:rsidR="0085709A" w:rsidRDefault="0085709A" w:rsidP="0085709A">
      <w:pPr>
        <w:pStyle w:val="TextoNormal"/>
      </w:pPr>
      <w:r>
        <w:lastRenderedPageBreak/>
        <w:t>ii) Ahora bien, para los municipios promotores del conflicto, “mayor trascendencia en cuanto a privación de competencias municipales, tiene la regulación de las denominadas ‘actuaciones integrales estratégicas’ en el P.O.L.” La Ley de ordenación territorial y régimen urbanístico del suelo de Cantabria reguló la figura de los proyectos singulares de interés regional como instrumento de planeamiento cuyo objeto se definía en el art. 26.3 de dicho texto legal. En la Ley impugnada los proyectos singulares de interés regionales aparecen incluidos entre las actuaciones integrales estratégicas, entre las que se diferencian las productivas, de ordenación y ambientales.</w:t>
      </w:r>
    </w:p>
    <w:p w:rsidR="0085709A" w:rsidRDefault="0085709A" w:rsidP="0085709A">
      <w:pPr>
        <w:pStyle w:val="TextoNormal"/>
      </w:pPr>
    </w:p>
    <w:p w:rsidR="0085709A" w:rsidRDefault="0085709A" w:rsidP="0085709A">
      <w:pPr>
        <w:pStyle w:val="TextoNormal"/>
      </w:pPr>
      <w:r>
        <w:t>Respecto de dichos proyectos singulares indican los actores que su contenido se amplía notablemente en la Ley recurrida por contraste con la Ley autonómica 2/2001. Esta ampliación, concretada en el art. 51.3, ha sido cuestionada por el Consejo de Estado en su dictamen. Si se trata de actuaciones productivas (concepto más amplio que el de “actividades industriales” empleado por la Ley 2/2001), deberán desarrollarse mediante proyectos singulares de interés regional, lo que significa que podrán llevarse a cabo en cualquier terreno, con independencia de su clasificación urbanística [art. 54 a)], en su tramitación se excluye la iniciativa municipal (art. 29 de la Ley 2/2001, en la redacción dada por la disposición adicional cuarta de la Ley aquí controvertida), y no deja margen alguno para la aplicación de las determinaciones del planeamiento general municipal. El régimen de estas actividades permite prácticamente cualquier derogación singular de los planes generales o parciales municipales por iniciativas autonómicas.</w:t>
      </w:r>
    </w:p>
    <w:p w:rsidR="0085709A" w:rsidRDefault="0085709A" w:rsidP="0085709A">
      <w:pPr>
        <w:pStyle w:val="TextoNormal"/>
      </w:pPr>
    </w:p>
    <w:p w:rsidR="0085709A" w:rsidRDefault="0085709A" w:rsidP="0085709A">
      <w:pPr>
        <w:pStyle w:val="TextoNormal"/>
      </w:pPr>
      <w:r>
        <w:t>Si se trata de actuaciones integrales estratégicas de reordenación o ambientales, el art. 56 de la Ley viene a excluir la aplicación de las determinaciones del planeamiento general municipal; además, su aprobación inicial, provisional y definitiva corresponde a la Comisión Regional de Ordenación del Territorio y Urbanismo, limitándose la intervención municipal a un “simple y formulario trámite de audiencia”.</w:t>
      </w:r>
    </w:p>
    <w:p w:rsidR="0085709A" w:rsidRDefault="0085709A" w:rsidP="0085709A">
      <w:pPr>
        <w:pStyle w:val="TextoNormal"/>
      </w:pPr>
    </w:p>
    <w:p w:rsidR="0085709A" w:rsidRDefault="0085709A" w:rsidP="0085709A">
      <w:pPr>
        <w:pStyle w:val="TextoNormal"/>
      </w:pPr>
      <w:r>
        <w:t>Se excluye así la participación municipal respecto del contenido, elaboración y aprobación de las actuaciones integrales estratégicas y, dentro de ellas, de los proyectos singulares de interés regional, vulnerando así la autonomía municipal. Y ello pese a que “no existen, particularmente, cuando se trata de ordenaciones de suelo destinado a viviendas (sea o no de protección pública) un interés supramunicipal que pudiera justificar la existencia de este tipo de instrumentos de ordenación”. Para los actores, esto supone una conculcación del principio general de participación democrática en la elaboración de los proyectos singulares de interés regional. En defensa de su alegato, reseñan diversos pronunciamientos de la Sala de lo Contencioso-Administrativo del Tribunal Supremo acerca de la imposibilidad, derivada del principio mismo de autonomía local, de que los órganos autonómicos puedan introducir criterios materiales propios distintos de puras cuestiones de legalidad al momento de aprobar definitivamente los planes generales municipales.</w:t>
      </w:r>
    </w:p>
    <w:p w:rsidR="0085709A" w:rsidRDefault="0085709A" w:rsidP="0085709A">
      <w:pPr>
        <w:pStyle w:val="TextoNormal"/>
      </w:pPr>
    </w:p>
    <w:p w:rsidR="0085709A" w:rsidRDefault="0085709A" w:rsidP="0085709A">
      <w:pPr>
        <w:pStyle w:val="TextoNormal"/>
      </w:pPr>
      <w:r>
        <w:t>e) Para los municipios promotores de este conflicto, “la disposición adicional cuarta significa asimismo una manifiesta vulneración del principio de autonomía local”. La reforma del art. 26 de la Ley de ordenación territorial y régimen urbanístico del suelo de Cantabria amplia notoriamente el objeto de los proyectos singulares de interés regional al permitir su uso para la implantación de viviendas sometidas a algún régimen de protección pública, con independencia de la clasificación urbanística del suelo, y poder hacerlo en todos los muni</w:t>
      </w:r>
      <w:r>
        <w:lastRenderedPageBreak/>
        <w:t>cipios de la Comunidad Autónoma, sean o no costeros. El precepto no contempla la intervención municipal en la formulación, tramitación y aprobación de estos proyectos singulares, “salvo el poco trascendente” trámite de audiencia, con lo que “la vulneración de la autonomía local es, pues, absoluta y por sí sola manifiesta, de acuerdo con la jurisprudencia del Tribunal Supremo” antes invocada por los actores. Insisten en que la posibilidad de implantar viviendas sometidas a algún régimen de protección pública, incluso en suelo urbano, es una finalidad ajena por completo a lo que debe constituir el objetivo de un plan de ordenación del litoral y supone prescindir de los instrumentos de planeamiento municipal. Denuncian, en especial, que “no se ha producido en la aprobación de dicha Disposición Adicional Cuarta ninguna intervención de los Ayuntamientos afectados; se ha hurtado su participación”, lo que afectaría a la autonomía que tienen constitucionalmente reconocida.</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Mediante providencia de 10 de mayo de 2005, la Sección Cuarta de este Tribunal acordó, previamente a la admisión del presente conflicto en defensa de la autonomía local, requerir al Procurador de los municipios actores para que, de acuerdo con lo dispuesto en el art. 75 </w:t>
      </w:r>
      <w:r w:rsidRPr="0085709A">
        <w:rPr>
          <w:i/>
        </w:rPr>
        <w:t>quater</w:t>
      </w:r>
      <w:r>
        <w:t>.2 de la Ley Orgánica del Tribunal Constitucional (LOTC), aportase en el plazo de diez días, en relación con los municipios de Astillero, Bareyo, Limpias, Cabezón de la Sal, Entrambasaguas, Hermandad de Campoo de Suso, Rasines y Santamaría de Cayòn, certificación expedida por el Secretario de las respectivas corporaciones sobre los acuerdos de promoción de conflicto en defensa de la autonomía local respecto de la Ley del Parlamento de Cantabria 2/2004, de 27 de septiembre, del plan de ordenación del litoral, con indicación expresa de la fecha de adopción de esos acuerdos y si fueron aprobados o no con el voto favorable de la mayoría absoluta del número legal de miembros que componen la corporación y que aportase certificación del Secretario del Ayuntamiento de Limpias donde conste la ley que se decidió impugnar pues en el acuerdo de 10 de diciembre de 2004 no figura dicho extremo.</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Cumplimentado el trámite conferido, mediante providencia de 21 de junio de 2005 la Sección Segunda acordó admitir a trámite el presente conflicto en defensa de la autonomía local, así como dar traslado de la demanda y documentos presentados, de conformidad con el art. 75 </w:t>
      </w:r>
      <w:r w:rsidRPr="0085709A">
        <w:rPr>
          <w:i/>
        </w:rPr>
        <w:t>quinque</w:t>
      </w:r>
      <w:r>
        <w:t>.2 LOTC al Congreso de los Diputados y al Senado por conducto de sus Presidentes, al Gobierno de la Nación a través del Ministro de Justicia y al Gobierno y al Parlamento de Cantabria por conducto de sus respectivos Presidentes, al objeto de que en el plazo de veinte días pudiesen personarse en el proceso y formular las alegaciones que estimaran convenientes; y publicar la incoación del recurso en el “Boletín Oficial del Estado”, lo que se llevó a efecto en el núm. 159, de 5 de julio de 2005, y en el “Boletín Oficial de Cantabria”.</w:t>
      </w:r>
    </w:p>
    <w:p w:rsidR="0085709A" w:rsidRDefault="0085709A" w:rsidP="0085709A">
      <w:pPr>
        <w:pStyle w:val="TextoNormal"/>
      </w:pPr>
    </w:p>
    <w:p w:rsidR="0085709A" w:rsidRDefault="0085709A" w:rsidP="0085709A">
      <w:pPr>
        <w:pStyle w:val="TextoNormal"/>
      </w:pPr>
      <w:r w:rsidRPr="0085709A">
        <w:rPr>
          <w:rStyle w:val="NumeroAFNegritaCaracter"/>
        </w:rPr>
        <w:t>4</w:t>
      </w:r>
      <w:r>
        <w:t>. El 29 de junio de 2005, el Abogado del Estado, actuando en la representación que ostenta, comunicó que no iba a formular alegaciones y que se personaba en este proceso a los efectos de que en su día se le notifiquen las resoluciones que en él se dicten. El siguiente día 30 se registró un escrito del Presidente del Senado en el que se trasladaba el acuerdo adoptado por la Mesa de la Cámara en reunión celebrada el 28 de junio de 2005 dando por personada a la Cámara en el presente proceso constitucional y por ofrecida su colaboración a los efectos del art. 88.1 LOTC. El 4 de julio de 2005 el Presidente del Congreso de los Diputados comunicó asimismo el acuerdo adoptado por la Mesa de la Cámara en el sentido de no personarse en el procedimiento ni formular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El 18 de julio de 2005 se recibió, vía fax, escrito del Letrado Secretario General del Parlamento de Cantabria quien, actuando en representación de la Cámara autonómica, se personaba en este proceso constitucional y solicitaba una prórroga del plazo conferido para formular alegaciones. Por providencia de la misma fecha, de 18 de julio de 2005, la Sección Segunda accedió a lo interesado y prorrogó, por diez días más, el plazo concedido por providencia de 21 de junio de 2005.</w:t>
      </w:r>
    </w:p>
    <w:p w:rsidR="0085709A" w:rsidRDefault="0085709A" w:rsidP="0085709A">
      <w:pPr>
        <w:pStyle w:val="TextoNormal"/>
      </w:pPr>
    </w:p>
    <w:p w:rsidR="0085709A" w:rsidRDefault="0085709A" w:rsidP="0085709A">
      <w:pPr>
        <w:pStyle w:val="TextoNormal"/>
      </w:pPr>
      <w:r w:rsidRPr="0085709A">
        <w:rPr>
          <w:rStyle w:val="NumeroAFNegritaCaracter"/>
        </w:rPr>
        <w:t>6</w:t>
      </w:r>
      <w:r>
        <w:t>. El 28 de julio de 2005 la representación procesal del Gobierno de Cantabria presentó en el Registro General de este Tribunal su escrito de alegaciones, que se abre con un epígrafe titulado “Hechos” en el que se da cuenta del contenido y finalidades de la Ley impugnada, así como su tramitación, y de los antecedentes de este proceso constitucional.</w:t>
      </w:r>
    </w:p>
    <w:p w:rsidR="0085709A" w:rsidRDefault="0085709A" w:rsidP="0085709A">
      <w:pPr>
        <w:pStyle w:val="TextoNormal"/>
      </w:pPr>
    </w:p>
    <w:p w:rsidR="0085709A" w:rsidRDefault="0085709A" w:rsidP="0085709A">
      <w:pPr>
        <w:pStyle w:val="TextoNormal"/>
      </w:pPr>
      <w:r>
        <w:t xml:space="preserve">a) Como cuestión procesal previa, defiende la representación letrada del Gobierno de Cantabria “la inconstitucionalidad del conflicto en defensa de la autonomía local”, cuestión sobre la que este Tribunal está llamado a pronunciarse </w:t>
      </w:r>
      <w:r w:rsidRPr="0085709A">
        <w:rPr>
          <w:i/>
        </w:rPr>
        <w:t>ex</w:t>
      </w:r>
      <w:r>
        <w:t xml:space="preserve"> art. 1.2 LOTC, cauce de control de las normas que atribuyan competencias al Tribunal Constitucional que complementa el que representa el recurso de inconstitucionalidad. El punto de partida de este argumento es el de que “el artículo 161.1 d) no permite la creación de un nuevo proceso como el que nos ocupa, un verdadero recurso de inconstitucionalidad contra leyes y normas con rango de ley. Que, además, el art. 162.1 a) de la Constitución contiene, con el carácter de </w:t>
      </w:r>
      <w:r w:rsidRPr="0085709A">
        <w:rPr>
          <w:i/>
        </w:rPr>
        <w:t>numerus clausus</w:t>
      </w:r>
      <w:r>
        <w:t>, la relación de los únicos sujetos legitimados para impugnar directamente ante el Tribunal Constitucional normas con rango de ley”.</w:t>
      </w:r>
    </w:p>
    <w:p w:rsidR="0085709A" w:rsidRDefault="0085709A" w:rsidP="0085709A">
      <w:pPr>
        <w:pStyle w:val="TextoNormal"/>
      </w:pPr>
    </w:p>
    <w:p w:rsidR="0085709A" w:rsidRDefault="0085709A" w:rsidP="0085709A">
      <w:pPr>
        <w:pStyle w:val="TextoNormal"/>
      </w:pPr>
      <w:r>
        <w:t>El art. 161.1 d) CE remite, de un lado, al legislador para que configure nuevos procesos, añadidos a los de las letras a), b) y c) del art. 161.1 CE y necesariamente distintos de estos. Pero impide que el legislador pueda, haciendo uso de esta habilitación, alterar esos mismos procesos constitucionales pues ello “supondría, no ya la atribución de nuevas ‘materias’ (procesos), sino la modificación de las reglas que la Constitución contiene sobre los procesos constitucionales que ella misma contempla”. En defensa de esta tesis, la representación letrada del Gobierno de Cantabria invoca diversas opiniones doctrinales que cuestionan la constitucionalidad de la regulación legal del conflicto en defensa de la autonomía local por alterar el régimen constitucional del recurso de inconstitucionalidad contra leyes y disposiciones con fuerza de ley y, en concreto, el elenco de sujetos legitimados por el art. 162.1 a) CE para su interposición.</w:t>
      </w:r>
    </w:p>
    <w:p w:rsidR="0085709A" w:rsidRDefault="0085709A" w:rsidP="0085709A">
      <w:pPr>
        <w:pStyle w:val="TextoNormal"/>
      </w:pPr>
    </w:p>
    <w:p w:rsidR="0085709A" w:rsidRDefault="0085709A" w:rsidP="0085709A">
      <w:pPr>
        <w:pStyle w:val="TextoNormal"/>
      </w:pPr>
      <w:r>
        <w:t xml:space="preserve">Al respecto, se señala que lo relevante para diferenciar los procesos constitucionales no son los motivos que puedan aducirse —únicamente la vulneración de la autonomía local en este conflicto o cualquier causa de inconstitucionalidad en el recurso de inconstitucionalidad— sino la previsión de un cauce que permita confrontar directamente la adecuación de la ley a la Constitución. En cuanto a la necesidad de una segunda sentencia para declarar la nulidad de la ley que vulnera la autonomía local constitucionalmente garantizada, entiende la representación del Gobierno de Cantabria que se trata de un “artificio jurídico [que] se muestra así claramente como una maniobra dirigida únicamente a ocultar la verdadera naturaleza del proceso constitucional que se crea y que, reiteramos, es la de un verdadero recurso de inconstitucionalidad contra leyes”. En particular, destaca que son dos pronunciamientos del mismo órgano (el Pleno del Tribunal) sobre el mismo objeto pues la ley que es controvertida en el conflicto en defensa de la autonomía local resuelto por la “primera” </w:t>
      </w:r>
      <w:r>
        <w:lastRenderedPageBreak/>
        <w:t>sentencia es la misma luego anulada en la “segunda” subsiguiente al planteamiento de la cuestión interna.</w:t>
      </w:r>
    </w:p>
    <w:p w:rsidR="0085709A" w:rsidRDefault="0085709A" w:rsidP="0085709A">
      <w:pPr>
        <w:pStyle w:val="TextoNormal"/>
      </w:pPr>
    </w:p>
    <w:p w:rsidR="0085709A" w:rsidRDefault="0085709A" w:rsidP="0085709A">
      <w:pPr>
        <w:pStyle w:val="TextoNormal"/>
      </w:pPr>
      <w:r>
        <w:t xml:space="preserve">b) Se aduce, seguidamente, el incumplimiento de los requisitos establecidos en los arts. 75 </w:t>
      </w:r>
      <w:r w:rsidRPr="0085709A">
        <w:rPr>
          <w:i/>
        </w:rPr>
        <w:t>ter</w:t>
      </w:r>
      <w:r>
        <w:t xml:space="preserve">.2 y 75 </w:t>
      </w:r>
      <w:r w:rsidRPr="0085709A">
        <w:rPr>
          <w:i/>
        </w:rPr>
        <w:t>quater</w:t>
      </w:r>
      <w:r>
        <w:t xml:space="preserve">.2 LOTC. Concretamente, la representación del Gobierno de Cantabria hace hincapié en la necesidad de que las corporaciones locales afectadas adopten dos acuerdos plenarios: el de iniciar la tramitación del conflicto en defensa de la autonomía local (art. 75 </w:t>
      </w:r>
      <w:r w:rsidRPr="0085709A">
        <w:rPr>
          <w:i/>
        </w:rPr>
        <w:t>ter</w:t>
      </w:r>
      <w:r>
        <w:t xml:space="preserve">.2) y el del planteamiento del conflicto ante el Tribunal Constitucional (art. 75 </w:t>
      </w:r>
      <w:r w:rsidRPr="0085709A">
        <w:rPr>
          <w:i/>
        </w:rPr>
        <w:t>quater</w:t>
      </w:r>
      <w:r>
        <w:t xml:space="preserve">.2) y, sin embargo, en el presente caso se habría omitido este último requisito puesto que los ayuntamientos promotores del conflicto no se habrían pronunciado tras recibir el dictamen del Consejo de Estado. En consecuencia, procedería dictar Auto de inadmisión del conflicto conforme con lo dispuesto en los arts. 75 </w:t>
      </w:r>
      <w:r w:rsidRPr="0085709A">
        <w:rPr>
          <w:i/>
        </w:rPr>
        <w:t>ter</w:t>
      </w:r>
      <w:r>
        <w:t xml:space="preserve"> y </w:t>
      </w:r>
      <w:r w:rsidRPr="0085709A">
        <w:rPr>
          <w:i/>
        </w:rPr>
        <w:t>quater</w:t>
      </w:r>
      <w:r>
        <w:t xml:space="preserve"> y 75 </w:t>
      </w:r>
      <w:r w:rsidRPr="0085709A">
        <w:rPr>
          <w:i/>
        </w:rPr>
        <w:t>quinquies</w:t>
      </w:r>
      <w:r>
        <w:t>.1 LOTC.</w:t>
      </w:r>
    </w:p>
    <w:p w:rsidR="0085709A" w:rsidRDefault="0085709A" w:rsidP="0085709A">
      <w:pPr>
        <w:pStyle w:val="TextoNormal"/>
      </w:pPr>
    </w:p>
    <w:p w:rsidR="0085709A" w:rsidRDefault="0085709A" w:rsidP="0085709A">
      <w:pPr>
        <w:pStyle w:val="TextoNormal"/>
      </w:pPr>
      <w:r>
        <w:t>c) Se reflexiona seguidamente sobre la “indeterminación de los preceptos impugnados por los ayuntamientos”. Al respecto se indica que “dejando aparte a los Ayuntamientos que recurren exclusivamente la disposición adicional cuarta … el resto de corporaciones se limita a impugnar genéricamente la Ley de Cantabria 2/2004, de 27 de septiembre, del plan de ordenación del litoral, sin precisar qué extremos de la misma reputan contrarios a la autonomía local”, de modo que los plenarios han delegado en el letrado municipal el ejercicio de una función capital como es la identificación de las normas con rango de ley que reputan vulneradoras de la autonomía local constitucionalmente garantizada (se citan en apoyo de esta tesis las SSTC 42/1985 y 61/1997). No obstante, ha sido la representación letrada de las corporaciones la que ha decidido qué preceptos específicos habían de impugnarse con carácter subsidiario, para la eventualidad de que se desestimase la pretensión principal de anulación de la Ley 2/2004.</w:t>
      </w:r>
    </w:p>
    <w:p w:rsidR="0085709A" w:rsidRDefault="0085709A" w:rsidP="0085709A">
      <w:pPr>
        <w:pStyle w:val="TextoNormal"/>
      </w:pPr>
    </w:p>
    <w:p w:rsidR="0085709A" w:rsidRDefault="0085709A" w:rsidP="0085709A">
      <w:pPr>
        <w:pStyle w:val="TextoNormal"/>
      </w:pPr>
      <w:r>
        <w:t>Los Ayuntamientos de Santander, Arnuero y El Astillero sí argumentan sucintamente la impugnación de algunos aspectos controvertidos del plan de ordenación del litoral, pero “basta una simple lectura de los acuerdos para comprobar que no se hace ninguna alusión en los mismos a aspectos que luego sí se han impugnado por su representación letrada”. Concretamente, ninguna de las corporaciones locales cuestiona la regulación contenida en el art. 56 respecto de los planes especiales para el desarrollo de las actuaciones ambientales estratégicas de reordenación, ni efectúa alusión a los planes previstos en el art. 57 para las actuaciones estratégicas ambientales o a la modificación de la Ley de ordenación territorial y régimen urbanístico del suelo de Cantabria llevada a cabo por la disposición adicional cuarta. Dicho de otro modo, ninguno de los municipios costeros controvierte esta disposición adicional por considerarla contraria a la autonomía local. Por el contrario, ciertos extremos mencionados en los acuerdos plenarios de estos ayuntamientos (v.gr., adquisición de terrenos litorales con cargo al erario municipal) no son objeto de posterior impugnación por el letrado municipal.</w:t>
      </w:r>
    </w:p>
    <w:p w:rsidR="0085709A" w:rsidRDefault="0085709A" w:rsidP="0085709A">
      <w:pPr>
        <w:pStyle w:val="TextoNormal"/>
      </w:pPr>
    </w:p>
    <w:p w:rsidR="0085709A" w:rsidRDefault="0085709A" w:rsidP="0085709A">
      <w:pPr>
        <w:pStyle w:val="TextoNormal"/>
      </w:pPr>
      <w:r>
        <w:t xml:space="preserve">A ello se añaden discordancias evidentes entre los informes emitidos por los letrados municipales y los acuerdos adoptados por las corporaciones locales en pleno. De donde se colige “que por la representación letrada de los citados ayuntamientos (Santander, Meruelo, Piélagos, Valdáliga, Ribamontán al Monte y Marina de Cudeyo) se ha producido una inadmisible asunción de las atribuciones que la Ley Orgánica del Tribunal Constitucional les reconoce a las corporaciones locales, que han hecho dejación de las mismas en favor de aquél. Tal vicio repercute en la admisibilidad del conflicto planteado, lo que debe conducir, </w:t>
      </w:r>
      <w:r>
        <w:lastRenderedPageBreak/>
        <w:t>derechamente, a la inadmisión o, cuando menos, la desestimación del mismo en lo que a la impugnación promovida por tales ayuntamientos se refiere”. A lo que se añade que si se inadmite el conflicto planteado por los municipios antes citados, dejaría de satisfacerse el quórum requerido por el art. 75</w:t>
      </w:r>
      <w:r w:rsidRPr="0085709A">
        <w:rPr>
          <w:i/>
        </w:rPr>
        <w:t xml:space="preserve"> te</w:t>
      </w:r>
      <w:r>
        <w:t>r.b) LOTC.</w:t>
      </w:r>
    </w:p>
    <w:p w:rsidR="0085709A" w:rsidRDefault="0085709A" w:rsidP="0085709A">
      <w:pPr>
        <w:pStyle w:val="TextoNormal"/>
      </w:pPr>
    </w:p>
    <w:p w:rsidR="0085709A" w:rsidRDefault="0085709A" w:rsidP="0085709A">
      <w:pPr>
        <w:pStyle w:val="TextoNormal"/>
      </w:pPr>
      <w:r>
        <w:t xml:space="preserve">En cuanto a los municipios que solo recurren la disposición adicional cuarta de la Ley, toda vez que los ayuntamientos de Santander, Meruelo, Piélagos, Valdáliga, Ribamontán al Monte y Marina de Cudeyo no han adoptado válidamente sus acuerdos sobre la impugnación de esta disposición adicional, tampoco se cumplen los requisitos de legitimación del art. 75 </w:t>
      </w:r>
      <w:r w:rsidRPr="0085709A">
        <w:rPr>
          <w:i/>
        </w:rPr>
        <w:t>ter</w:t>
      </w:r>
      <w:r>
        <w:t>.b) LOTC, por lo que procedería, siempre en opinión de la representación letrada del Gobierno de Cantabria, la inadmisión del conflicto en este punto. Se defiende, por todo ello, la inadmisión del conflicto en defensa de la autonomía local en lo que se refiere a la impugnación de los arts. 45.2; 45.5 en relación con el art. 47.3; 48.1 a), b) y c) y 48.3 a); 50; 51.3; 54; 55; 56 y 57 y la disposición adicional cuarta de la Ley del Parlamento de Cantabria 2/2004.</w:t>
      </w:r>
    </w:p>
    <w:p w:rsidR="0085709A" w:rsidRDefault="0085709A" w:rsidP="0085709A">
      <w:pPr>
        <w:pStyle w:val="TextoNormal"/>
      </w:pPr>
    </w:p>
    <w:p w:rsidR="0085709A" w:rsidRDefault="0085709A" w:rsidP="0085709A">
      <w:pPr>
        <w:pStyle w:val="TextoNormal"/>
      </w:pPr>
      <w:r>
        <w:t>d) Concluida la exposición de los “fundamentos jurídico procesales”, se aborda la de los “fundamentos jurídico materiales”, que arranca con la relativa al examen de los títulos competenciales que amparan la Ley del Parlamento de Cantabria 2/2004: ordenación del territorio —con apoyo en la Carta europea de la ordenación del territorio y en las SSTC 36/1994 y 14/2004—, urbanismo —con especial atención a las SSTC 61/1997 y 159/2001—, medio ambiente —con cita extensa de la STC 306/2000—, vivienda y otros títulos sectoriales.</w:t>
      </w:r>
    </w:p>
    <w:p w:rsidR="0085709A" w:rsidRDefault="0085709A" w:rsidP="0085709A">
      <w:pPr>
        <w:pStyle w:val="TextoNormal"/>
      </w:pPr>
    </w:p>
    <w:p w:rsidR="0085709A" w:rsidRDefault="0085709A" w:rsidP="0085709A">
      <w:pPr>
        <w:pStyle w:val="TextoNormal"/>
      </w:pPr>
      <w:r>
        <w:t>Seguidamente, y tras analizar el “contenido y alcance de la garantía institucional de la autonomía local”, la representación procesal del Gobierno de Cantabria se detiene a considerar “el respeto a la autonomía local en la elaboración de la Ley 2/2004”, que es una verdadera ley, por lo que debe partirse de la premisa de la imposibilidad de trasladar al ámbito legislativo el modo de argumentar frente a decisiones administrativas. De modo que aun cuando en la tramitación de la ley no se hubieran satisfecho las previsiones de la Ley de ordenación territorial y régimen urbanístico del suelo de Cantabria (arts. 16 y 17) o de la Ley de bases de régimen local (art. 58.2), ello no merecería reproche de inconstitucionalidad. Por más defectos que concurran en la redacción de los anteproyectos o proyectos de ley, el texto normativo resultante tras la tramitación parlamentaria será una auténtica ley, dotada de la legitimidad democrática derivada de la representatividad de que gozan los miembros de las Cámaras legislativas.</w:t>
      </w:r>
    </w:p>
    <w:p w:rsidR="0085709A" w:rsidRDefault="0085709A" w:rsidP="0085709A">
      <w:pPr>
        <w:pStyle w:val="TextoNormal"/>
      </w:pPr>
    </w:p>
    <w:p w:rsidR="0085709A" w:rsidRDefault="0085709A" w:rsidP="0085709A">
      <w:pPr>
        <w:pStyle w:val="TextoNormal"/>
      </w:pPr>
      <w:r>
        <w:t xml:space="preserve">Dicho esto, la representación procesal del Gobierno de Cantabria defiende que en la elaboración de la ley se ha seguido el procedimiento por el propio legislador autonómico en la Ley de ordenación territorial y régimen urbanístico del suelo: la Consejería competente recabó los informes previstos en el art. 16 b) de esta ley; una vez aprobado el texto por la Comisión Regional de Ordenación del Territorio y Urbanismo, se sometió a información pública y audiencia singularizada de los municipios por un plazo de dos meses; aprobado el texto nuevamente por la Comisión, se remitió a la Consejería, que lo elevó al Gobierno para su aprobación como proyecto de ley y posterior envío al Parlamento. Lo que no exige la Ley de ordenación territorial y régimen urbanístico del suelo de Cantabria ni ninguna otra norma, empezando por la propia Constitución, es la realización de una nueva fase de audiencia tras la aprobación inicial, previsión que, además, carecería, según destaca el dictamen emitido por el Consejo de Estado el 3 de febrero de 2005, de fundamento cabal por ser </w:t>
      </w:r>
      <w:r>
        <w:lastRenderedPageBreak/>
        <w:t>contraria a la esencia misma del procedimiento legislativo democrático. La representación procesal del Gobierno de Cantabria expone seguidamente y con cierto pormenor las modificaciones introducidas en el texto del anteproyecto entre la aprobación inicial y la provisional. Tras lo cual niega tajantemente la aplicación analógica del procedimiento de los planes generales de ordenación urbana a la elaboración y aprobación de proyectos y anteproyectos de leyes y su posterior tramitación parlamentaria “y, en concreto, la necesidad de duplicar el trámite de información pública y audiencia a los municipios afectados cuando se hubieran producido modificaciones sustanciales en su texto tras la aprobación inicial”. Y ello porque “a diferencia de lo que ocurre en la tramitación de disposiciones administrativas [art. 105 a) CE], ni existe una exigencia constitucional al respecto ni existe fundamento para su requerimiento dada la legitimidad democrática del producto normativo resultante y la garantía de debate suficiente a través del procedimiento legislativo parlamentario.”</w:t>
      </w:r>
    </w:p>
    <w:p w:rsidR="0085709A" w:rsidRDefault="0085709A" w:rsidP="0085709A">
      <w:pPr>
        <w:pStyle w:val="TextoNormal"/>
      </w:pPr>
    </w:p>
    <w:p w:rsidR="0085709A" w:rsidRDefault="0085709A" w:rsidP="0085709A">
      <w:pPr>
        <w:pStyle w:val="TextoNormal"/>
      </w:pPr>
      <w:r>
        <w:t>e) La representación letrada del Gobierno de Cantabria califica al plan de ordenación del litoral “como norma de ordenación territorial y no solo de protección del litoral” y destaca que es incorrecto oponer los términos ordenación y protección toda vez que la protección del litoral y del territorio requiere la adopción de normas que ordenen el crecimiento urbanístico y no solo normas que prohíban determinados usos. Esa función ordenadora está contemplada en la propia Ley de ordenación territorial y régimen urbanístico del suelo de Cantabria (disposición adicional cuarta). A este propósito, la Ley de aprobación del plan de ordenación del litoral realiza una primera gran zonificación territorial distinguiendo entre el área de protección y el área de ordenación. Si entre la ordenación del territorio, entendida, como lo hace la Ley de ordenación territorial y régimen urbanístico del suelo de Cantabria, como la “expresión espacial de la política económica, social y ambiental” de una sociedad y el urbanismo “ordenación de la ciudad” en los términos de la STC 61/1997, discurre una línea de continuidad, no se pueden establecer soluciones de continuidad artificiosas. Consecuentemente, “es de todo punto evidente que el POL ha de incluir entre sus determinaciones las relativas al grado de expansión o crecimiento urbanístico de las áreas en que se ordena o clasifica el territorio”. Por ello, el Gobierno de Cantabria niega que el plan vulnere la autonomía municipal por el solo hecho de contener criterios de ordenación de las zonas que delimita y no limitarse, como proponen los promotores del conflicto, a fijar criterios de protección.</w:t>
      </w:r>
    </w:p>
    <w:p w:rsidR="0085709A" w:rsidRDefault="0085709A" w:rsidP="0085709A">
      <w:pPr>
        <w:pStyle w:val="TextoNormal"/>
      </w:pPr>
    </w:p>
    <w:p w:rsidR="0085709A" w:rsidRDefault="0085709A" w:rsidP="0085709A">
      <w:pPr>
        <w:pStyle w:val="TextoNormal"/>
      </w:pPr>
      <w:r>
        <w:t xml:space="preserve">En cuanto al ámbito territorial afectado por el plan, se recuerda que en la Ley de ordenación territorial y régimen urbanístico del suelo de Cantabria se identifica como tal el “correspondiente a los 37 municipios costeros” (apartado quinto de la disposición adicional cuarta), no solo lo que pueda considerarse la zona costera de estos municipios. Aun en la hipótesis de que se hubiera excedido el ámbito territorial previsto por la Ley 2/2001, este solo hecho no convertiría a la ley impugnada (Ley 2/2004) en inconstitucional. Las discrepancias entre estas dos leyes autonómicas habrán de resolverse conforme a los principios generales de prelación de normas, en particular mediante la aplicación del aforismo </w:t>
      </w:r>
      <w:r w:rsidRPr="0085709A">
        <w:rPr>
          <w:i/>
        </w:rPr>
        <w:t>lex posterior derogat anterior</w:t>
      </w:r>
      <w:r>
        <w:t>.</w:t>
      </w:r>
    </w:p>
    <w:p w:rsidR="0085709A" w:rsidRDefault="0085709A" w:rsidP="0085709A">
      <w:pPr>
        <w:pStyle w:val="TextoNormal"/>
      </w:pPr>
    </w:p>
    <w:p w:rsidR="0085709A" w:rsidRDefault="0085709A" w:rsidP="0085709A">
      <w:pPr>
        <w:pStyle w:val="TextoNormal"/>
      </w:pPr>
      <w:r>
        <w:t xml:space="preserve">f) Se defiende a continuación la constitucionalidad de los arts. 45.2, 47.2, 48, 45.5, 47.3 y 50 de la Ley aprobatoria del plan de ordenación del litoral. Como punto de partida, subraya la representación procesal del Gobierno de Cantabria que la decisión sobre por dónde y cómo crecen las ciudades está en manos de los correspondientes ayuntamientos, siempre dentro del respeto a las exigencias que marcan las leyes estatales y autonómicas, entre ellas </w:t>
      </w:r>
      <w:r>
        <w:lastRenderedPageBreak/>
        <w:t>la impugnada. Al respecto destaca que “no sólo es lógico, sino inevitable, que una Ley de ordenación territorial como es la Ley 2/2004 que nos ocupa incluya entre sus determinaciones cuestiones que inciden en aspectos urbanísticos (crecimiento de los municipios, capacidad de acogida, pautas de conservación, criterios de integración social con los mínimos de viviendas protegidas, etc.). Todo ello forma parte de la lógica misma de la ordenación territorial pues sin la proyección de los criterios genéricos al plano más concreto del municipio, aquella dejaría de ser una política para convertirse en una serie de principios informadores sin virtualidad jurídica destacada.”</w:t>
      </w:r>
    </w:p>
    <w:p w:rsidR="0085709A" w:rsidRDefault="0085709A" w:rsidP="0085709A">
      <w:pPr>
        <w:pStyle w:val="TextoNormal"/>
      </w:pPr>
    </w:p>
    <w:p w:rsidR="0085709A" w:rsidRDefault="0085709A" w:rsidP="0085709A">
      <w:pPr>
        <w:pStyle w:val="TextoNormal"/>
      </w:pPr>
      <w:r>
        <w:t>El art. 45 no coarta absolutamente la libertad municipal cuando fija criterios generales a seguir en el desarrollo urbanístico, en particular la previsión contenida en su apartado segundo, de que dicho desarrollo promueva la continuidad de la trama preexistente. Esta exigencia, coincidente con la establecida en el art. 33.2 de la Ley de ordenación territorial y régimen urbanístico del suelo de Cantabria, no impone un modelo urbano predeterminado y cerrado, sino que se limita a fijar un criterio de ordenación del crecimiento urbanístico adecuado para la protección del litoral. Lo mismo se dice del art. 47.2, que prevé que los municipios establezcan una “ordenación integral” para los desarrollos urbanísticos, sin perjuicio de su eventual aplicación inadecuada en casos concretos.</w:t>
      </w:r>
    </w:p>
    <w:p w:rsidR="0085709A" w:rsidRDefault="0085709A" w:rsidP="0085709A">
      <w:pPr>
        <w:pStyle w:val="TextoNormal"/>
      </w:pPr>
    </w:p>
    <w:p w:rsidR="0085709A" w:rsidRDefault="0085709A" w:rsidP="0085709A">
      <w:pPr>
        <w:pStyle w:val="TextoNormal"/>
      </w:pPr>
      <w:r>
        <w:t>En el art. 48 se establecen los criterios orientadores del crecimiento urbanístico en las área denominadas “modelo tradicional” en las que la protección del entorno reclama unas reglas generales dentro de las que ha de moverse el planificador municipal. Frente a lo sostenido en el dictamen emitido por el Consejo de Estado a petición de los municipios promotores de este conflicto, el acento no debe ponerse en el carácter más o menos concreto de las restricciones, pues ello evoca la existencia de intereses locales, autonómicos y estatales como parcelas separadas, algo que contradice frontalmente la existencia misma de los estándares urbanísticos que fijan las leyes del suelo. La prohibición de urbanizaciones aisladas en determinadas zonas y la apuesta por el crecimiento hacia las zonas más alteradas, peor conservadas, representan instrumentos para la protección del medio ambiente, dirigidos a orientar el desarrollo urbanístico ordenando el territorio.</w:t>
      </w:r>
    </w:p>
    <w:p w:rsidR="0085709A" w:rsidRDefault="0085709A" w:rsidP="0085709A">
      <w:pPr>
        <w:pStyle w:val="TextoNormal"/>
      </w:pPr>
    </w:p>
    <w:p w:rsidR="0085709A" w:rsidRDefault="0085709A" w:rsidP="0085709A">
      <w:pPr>
        <w:pStyle w:val="TextoNormal"/>
      </w:pPr>
      <w:r>
        <w:t>Los arts. 45.5 y 47.3 incorporan determinaciones relativas a las viviendas sujetas a regímenes de protección pública. El primero de ellos no impone la existencia de viviendas sujetas a un régimen de protección pública si los municipios optan por no clasificar nuevo suelo residencial, sino que establece su existencia necesaria, en un 35 por 100, solo para el caso de que amplíen el suelo residencial. La Ley plasma así territorialmente una política de vivienda de la Comunidad Autónoma, identificando el valor estratégico de ciertas áreas con indudable incidencia en la distribución de la población.</w:t>
      </w:r>
    </w:p>
    <w:p w:rsidR="0085709A" w:rsidRDefault="0085709A" w:rsidP="0085709A">
      <w:pPr>
        <w:pStyle w:val="TextoNormal"/>
      </w:pPr>
    </w:p>
    <w:p w:rsidR="0085709A" w:rsidRDefault="0085709A" w:rsidP="0085709A">
      <w:pPr>
        <w:pStyle w:val="TextoNormal"/>
      </w:pPr>
      <w:r>
        <w:t>El art. 50, en fin, deja un amplio margen de libertad al planificador urbanístico en la zonificación del área no litoral, pues no le exige que aplique las figuras introducidas para el área litoral sino que únicamente le impone la necesidad de tener en cuenta los criterios fijados en el plan de ordenación del litoral para identificar las áreas que urbanísticamente defina el planeamiento urbanístico general.</w:t>
      </w:r>
    </w:p>
    <w:p w:rsidR="0085709A" w:rsidRDefault="0085709A" w:rsidP="0085709A">
      <w:pPr>
        <w:pStyle w:val="TextoNormal"/>
      </w:pPr>
    </w:p>
    <w:p w:rsidR="0085709A" w:rsidRDefault="0085709A" w:rsidP="0085709A">
      <w:pPr>
        <w:pStyle w:val="TextoNormal"/>
      </w:pPr>
      <w:r>
        <w:t xml:space="preserve">g) La representación procesal del Gobierno de Cantabria defiende seguidamente la constitucionalidad de la regulación de las actuaciones integrales estratégicas y los proyectos singulares de interés regional (arts. 51.3, 54, 55, 56 y 57). En primer lugar señala que en el </w:t>
      </w:r>
      <w:r>
        <w:lastRenderedPageBreak/>
        <w:t>escrito rector de este proceso solo se aportan argumentos para defender la pretensión de nulidad de los arts. 51.3, 54 a) y 56, pero nada se dice sobre los arts. 55 y 57, que, por tanto, habrán de quedar fuera del enjuiciamiento del Tribunal. Además, subraya que la ley impugnada se limita a introducir escasas novedades en la regulación de estos instrumentos de planteamiento que figura en la Ley de ordenación territorial y de régimen urbanístico del suelo de Cantabria, cuya constitucionalidad no ha sido discutida. Así sucede, destacadamente, con los planes especiales. En tercer lugar, hace hincapié en que los planes sectoriales de interés regional son instrumentos de ordenación territorial con los que se desarrollan actividades que exceden de las posibilidades ordinarias de los entes locales, siendo perfectamente posible que la iniciativa para su formulación provenga de un particular o de los mismos municipios.</w:t>
      </w:r>
    </w:p>
    <w:p w:rsidR="0085709A" w:rsidRDefault="0085709A" w:rsidP="0085709A">
      <w:pPr>
        <w:pStyle w:val="TextoNormal"/>
      </w:pPr>
    </w:p>
    <w:p w:rsidR="0085709A" w:rsidRDefault="0085709A" w:rsidP="0085709A">
      <w:pPr>
        <w:pStyle w:val="TextoNormal"/>
      </w:pPr>
      <w:r>
        <w:t>Tras recordar la regulación de los proyectos sectoriales de interés regional y de los planes especiales contenida en la Ley de ordenación territorial y de régimen urbanístico del suelo de Cantabria, que no se habría visto afectada por la aprobación de la Ley del plan de ordenación del litoral, destaca el Gobierno de Cantabria que la ley recurrida permite la elaboración de proyectos sectoriales para desarrollar actuaciones estratégicas productivas y ambientales. Se trata de una nueva regulación amparada en materiales competenciales de titularidad autonómica que permiten a la Comunidad Autónoma “no solo planificar y ordenar los distintos usos del suelo, sino también … afrontar determinadas actuaciones en los ámbitos materiales comprendidos en las competencias enunciadas”. A lo que se añade que “no puede merecer reproche alguno de inconstitucionalidad por vulneración de la autonomía local la regulación de un plan de ordenación territorial que no es sino un instrumento al servicio de otras políticas sectoriales respecto de las que los municipios carecen de potestad normativa alguna.” No es inconstitucional la decisión adoptada por el legislador de ampliar los fines de los proyectos sectoriales, con independencia de que las actuaciones concretas incurran en alguna causa de ilegalidad. En particular, porque los proyectos sectoriales deberán cumplir, en todo caso, el requisito de ser de interés regional.</w:t>
      </w:r>
    </w:p>
    <w:p w:rsidR="0085709A" w:rsidRDefault="0085709A" w:rsidP="0085709A">
      <w:pPr>
        <w:pStyle w:val="TextoNormal"/>
      </w:pPr>
    </w:p>
    <w:p w:rsidR="0085709A" w:rsidRDefault="0085709A" w:rsidP="0085709A">
      <w:pPr>
        <w:pStyle w:val="TextoNormal"/>
      </w:pPr>
      <w:r>
        <w:t>La posibilidad de emplazar las actuaciones previstas en los proyectos sectoriales en cualquier suelo “con independencia de su clasificación urbanística” [arts. 54 a) y 56] es otro supuesto de sucesión de normas en el tiempo que se ha concretado en la reforma del art 26 de la Ley de ordenación territorial y régimen urbanístico del suelo de Cantabria llevada cabo por la disposición adicional cuarta de la Ley del plan de ordenación del litoral. Esta reforma legal sitúa el problema en el plano de la relación jerárquica entre planes, que ha de resolverse dando preferencia al plan supramunicipal por ser prevalente el interés que trasciende el local. Tampoco aprecia el Gobierno de Cantabria vulneración alguna de la legislación básica estatal en la materia: la Ley 6/1998, de 13 de abril, sobre régimen del suelo y valoraciones.</w:t>
      </w:r>
    </w:p>
    <w:p w:rsidR="0085709A" w:rsidRDefault="0085709A" w:rsidP="0085709A">
      <w:pPr>
        <w:pStyle w:val="TextoNormal"/>
      </w:pPr>
    </w:p>
    <w:p w:rsidR="0085709A" w:rsidRDefault="0085709A" w:rsidP="0085709A">
      <w:pPr>
        <w:pStyle w:val="TextoNormal"/>
      </w:pPr>
      <w:r>
        <w:t xml:space="preserve">h) Con respecto a la disposición adicional cuarta, se rechaza su pretendida nulidad por no haberse dado audiencia a los municipios en el procedimiento de aprobación de esta disposición adicional, fruto de una enmienda parlamentaria, pues se trata de una manifestación del derecho de enmienda de los parlamentarios autonómicos. Por lo que hace a la inclusión de la implantación de viviendas sometidas a algún régimen de protección público como objeto de los proyectos singulares de interés regional, se trata de un ejercicio de la competencia exclusiva autonómica sobre vivienda, no representa ninguna novedad destacable en el panorama del Derecho regional comparado y no supone prescindir por completo de la participación municipal en el procedimiento de elaboración de los proyectos singulares de </w:t>
      </w:r>
      <w:r>
        <w:lastRenderedPageBreak/>
        <w:t>interés regional que tenga este objeto. Sobre la posibilidad de que los proyectos singulares se desarrollen en suelo urbano, la impugnación parece partir de la premisa de que hay ámbitos vedados a la intervención del planificador autonómico, lo que representa una alteración del orden lógico de las cosas, pues al planificador municipal le corresponderá la ordenación de aquellos ámbitos que le atribuya el legislador autonómico: es este quien habilita a aquel y no al contrario. Acerca de la necesidad de que los proyectos singulares incluyan las infraestructuras de conexión con los sistemas generales exteriores a la actuación que resulten necesarias, se mencionan una serie de antecedentes legislativos tanto estatales como autonómicos.</w:t>
      </w:r>
    </w:p>
    <w:p w:rsidR="0085709A" w:rsidRDefault="0085709A" w:rsidP="0085709A">
      <w:pPr>
        <w:pStyle w:val="TextoNormal"/>
      </w:pPr>
    </w:p>
    <w:p w:rsidR="0085709A" w:rsidRDefault="0085709A" w:rsidP="0085709A">
      <w:pPr>
        <w:pStyle w:val="TextoNormal"/>
      </w:pPr>
      <w:r w:rsidRPr="0085709A">
        <w:rPr>
          <w:rStyle w:val="NumeroAFNegritaCaracter"/>
        </w:rPr>
        <w:t>7</w:t>
      </w:r>
      <w:r>
        <w:t>. El 12 de septiembre de 2005 se recibió en el Registro General de este Tribunal el escrito de alegaciones formuladas por los Letrados del Parlamento de Cantabria, actuando en representación de esta Cámara Legislativa autonómica.</w:t>
      </w:r>
    </w:p>
    <w:p w:rsidR="0085709A" w:rsidRDefault="0085709A" w:rsidP="0085709A">
      <w:pPr>
        <w:pStyle w:val="TextoNormal"/>
      </w:pPr>
    </w:p>
    <w:p w:rsidR="0085709A" w:rsidRDefault="0085709A" w:rsidP="0085709A">
      <w:pPr>
        <w:pStyle w:val="TextoNormal"/>
      </w:pPr>
      <w:r>
        <w:t>a) Tras relatar los antecedentes y tramitación parlamentaria de la ley objeto de este proceso constitucional y exponer brevemente las tesis de los promotores del conflicto, los Letrados parlamentarios efectúan una serie de consideraciones sobre “la autonomía municipal y la Ley de Cantabria 2/2004”. Estas consideraciones arrancan con el análisis del “concepto constitucional de autonomía” en el que se hace hincapié en la diferencia cualitativa de la autonomía de que gozan las Comunidades Autónomas y los entes locales. En torno al “significado y alcance de la garantía constitucional de la autonomía local”, se citan algunas resoluciones de este Tribunal, en particular algunos pasajes de la STC 40/1998, de 19 de febrero, así como la Carta europea de la autonomía local, de 15 de octubre de 1985. Seguidamente, la representación letrada del Parlamento de Cantabria se refiere a “la determinación de las competencias de los entes locales por la legislación sectorial”, punto en el que se hace hincapié en la necesidad de tener presente que “la garantía institucional de la autonomía local garantiza a los entes locales un haz de competencias propias, pero la Constitución no establece ni un contenido concreto, ni cuál es el mínimo competencial que debe corresponderles”, existiendo un amplio margen de configuración por el legislador que, no obstante, encuentra su límite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del asunto o materia de que se trate”. La Ley del plan de ordenación del litoral respeta la autonomía local constitucionalmente garantizada en la identificación de los intereses locales y supralocales. A este respecto, los Letrados parlamentarios recuerdan diferentes pasajes de los preámbulos de las leyes de ordenación territorial y régimen urbanístico del suelo de Cantabria y del plan de ordenación del litoral en los que se pondría de relieve la voluntad del legislador cántabro de conciliar el ejercicio de las competencias autonómicas con el respeto a la autonomía local constitucionalmente garantizada.</w:t>
      </w:r>
    </w:p>
    <w:p w:rsidR="0085709A" w:rsidRDefault="0085709A" w:rsidP="0085709A">
      <w:pPr>
        <w:pStyle w:val="TextoNormal"/>
      </w:pPr>
    </w:p>
    <w:p w:rsidR="0085709A" w:rsidRDefault="0085709A" w:rsidP="0085709A">
      <w:pPr>
        <w:pStyle w:val="TextoNormal"/>
      </w:pPr>
      <w:r>
        <w:t xml:space="preserve">El Parlamento de Cantabria apunta que la discrepancia con los promotores del conflicto no versa tanto sobre el contenido y alcance de la autonomía local constitucionalmente garantizada cuanto acerca de la efectividad del derecho de participación de las entidades locales en la fase pre-parlamentaria de aprobación de la Ley 2/2004. Pero no debe olvidarse que estamos ante una verdadera ley, “expresión de la voluntad del Parlamento de Cantabria en su calidad de institución de autogobierno que expresa la voluntad política del pueblo cántabro en ejercicio de la potestad legislativa que le atribuye el art. 8 del Estatuto de Autonomía para Cantabria.” La autonomía local no es una garantía absoluta ni se concreta en un haz de </w:t>
      </w:r>
      <w:r>
        <w:lastRenderedPageBreak/>
        <w:t>facultades predeterminado ni ilimitado sino que convive y está delimitada por una entidad supramunicipal, en este caso la Comunidad Autónoma de Cantabria, y por el propio Estado, que asegura el cumplimiento de los intereses generales. La Ley del plan de ordenación del litoral, en su conjunto y en las concretas regulaciones que se impugnan, viene a responder a una finalidad exclusiva e inequívocamente municipal, como es la protección del litoral, sin que quepa duda de que fijar los usos del suelo del todo el litoral entra de lleno dentro de la materia ordenación del territorio, cuyo fin es la plena cohesión e integración de la Comunidad Autónoma, su desarrollo equilibrado y la mejora de la calidad de vida de los ciudadanos, objetivos que no podrían conseguirse “si cada municipio determinase de forma individual, independiente y libérrima sus propias condiciones de uso del suelo”.</w:t>
      </w:r>
    </w:p>
    <w:p w:rsidR="0085709A" w:rsidRDefault="0085709A" w:rsidP="0085709A">
      <w:pPr>
        <w:pStyle w:val="TextoNormal"/>
      </w:pPr>
    </w:p>
    <w:p w:rsidR="0085709A" w:rsidRDefault="0085709A" w:rsidP="0085709A">
      <w:pPr>
        <w:pStyle w:val="TextoNormal"/>
      </w:pPr>
      <w:r>
        <w:t>b) Rechazan los Letrados parlamentarios la inconstitucionalidad de toda la Ley del plan de ordenación del litoral por la pretendida omisión del trámite de información pública. En su opinión, la posición de los municipios promotores de este conflicto tiene en su origen una cierta confusión sobre la naturaleza de lo recurrido, que no es un acto administrativo sino una norma con rango de ley, lo que “viene a sustraer a la disposición legal de los errores o defectos que eventualmente puedan producirse en la tramitación administrativa del anteproyecto de ley”. La insistencia de los actores en la necesidad de un nuevo trámite de audiencia previo a la introducción de algunas modificaciones sustanciales en el anteproyecto carece de apoyo en las normas integrantes del bloque de constitucionalidad; la introducción de modificaciones y alteraciones durante el trámite administrativo de redacción del anteproyecto, una vez concluida la fase de audiencia e información pública, es propia de la lógica del procedimiento administrativo, también del de redacción de un anteproyecto de ley y vendría a demostrar la eficacia del propio trámite de participación, que ha servido para modificar el texto inicial. Por lo demás, no se especifica cuántas veces sería necesario, en su caso, reiterar el trámite de audiencia, ni qué precepto de la Ley de ordenación territorial y régimen urbanístico del suelo de Cantabria se habría infringido al omitir este trámite.</w:t>
      </w:r>
    </w:p>
    <w:p w:rsidR="0085709A" w:rsidRDefault="0085709A" w:rsidP="0085709A">
      <w:pPr>
        <w:pStyle w:val="TextoNormal"/>
      </w:pPr>
    </w:p>
    <w:p w:rsidR="0085709A" w:rsidRDefault="0085709A" w:rsidP="0085709A">
      <w:pPr>
        <w:pStyle w:val="TextoNormal"/>
      </w:pPr>
      <w:r>
        <w:t>En cuanto a las modificaciones habidas durante la tramitación parlamentaria, se destaca que “los parlamentarios no hicieron más que ejercer el derecho de enmienda consustancial al procedimiento legislativo, conforme a lo dispuesto en el Reglamento del Parlamento de Cantabria”. Rechazan igualmente los Letrados parlamentarios los alegatos relativos a la falta de presencia —representación— de los municipios en la Asamblea Legislativa por considerarlos un “llamamiento a la vuelta de la democracia orgánica”. Asimismo, recuerdan que durante la tramitación parlamentaria ningún grupo o parlamentario a título individual, denunció deficiencias en el trámite administrativo de elaboración del plan de ordenación del litoral. Más aún, ninguno de los municipios que presuntamente no fueron oídos expresó queja, protesta o reclamación alguna al respecto, ni comunicó a la Cámara los defectos formales que les afectaban.</w:t>
      </w:r>
    </w:p>
    <w:p w:rsidR="0085709A" w:rsidRDefault="0085709A" w:rsidP="0085709A">
      <w:pPr>
        <w:pStyle w:val="TextoNormal"/>
      </w:pPr>
    </w:p>
    <w:p w:rsidR="0085709A" w:rsidRDefault="0085709A" w:rsidP="0085709A">
      <w:pPr>
        <w:pStyle w:val="TextoNormal"/>
      </w:pPr>
      <w:r>
        <w:t xml:space="preserve">Los promotores del conflicto controvierten, en particular, la modificación de la Ley de ordenación territorial y régimen urbanístico del suelo en la disposición adicional cuarta de la Ley del plan de ordenación del litoral, siendo así que “la facultad de aprobar un proyecto tal cual lo presente el Gobierno o la de enmienda de un proyecto o proposición de ley entraría de lleno en su </w:t>
      </w:r>
      <w:r w:rsidRPr="0085709A">
        <w:rPr>
          <w:i/>
        </w:rPr>
        <w:t>interna corporis</w:t>
      </w:r>
      <w:r>
        <w:t xml:space="preserve">, sin que se pueda controlar formalmente por parte de ningún órgano ni ente; y materialmente sólo en cuanto pudiese contrariar lo dispuesto en el bloque de la constitucionalidad”. Podría incluso el Parlamento de Cantabria haber tomado en consideración una proposición de ley de aprobación del plan de ordenación del litoral y </w:t>
      </w:r>
      <w:r>
        <w:lastRenderedPageBreak/>
        <w:t>haberla tramitado como tal, en cuyo caso ninguna de las disposiciones que disciplinan la redacción del proyecto de ley del plan de ordenación del litoral sería aplicable.</w:t>
      </w:r>
    </w:p>
    <w:p w:rsidR="0085709A" w:rsidRDefault="0085709A" w:rsidP="0085709A">
      <w:pPr>
        <w:pStyle w:val="TextoNormal"/>
      </w:pPr>
    </w:p>
    <w:p w:rsidR="0085709A" w:rsidRDefault="0085709A" w:rsidP="0085709A">
      <w:pPr>
        <w:pStyle w:val="TextoNormal"/>
      </w:pPr>
      <w:r>
        <w:t>Los Letrados parlamentarios señalan que “la audiencia pública de los municipios en la fase de redacción del anteproyecto no significa coelaboración de la Ley, entre la institución que representa al pueblo cántabro y los propios municipios”. El plan de ordenación del litoral no es un plan urbanístico más, es una ley y tiene todas las características y la misma naturaleza que cualquier otra ley y la naturaleza de ley tiene ciertas consecuencias a efectos de este proceso: relativiza los posibles defectos que hayan podido darse en la tramitación del expediente administrativo de elaboración del anteproyecto, su fuerza activa sana los incumplimientos por el Gobierno de las disposiciones legales que regulan la redacción de un anteproyecto, y el nuevo régimen jurídico sustituye al anterior.</w:t>
      </w:r>
    </w:p>
    <w:p w:rsidR="0085709A" w:rsidRDefault="0085709A" w:rsidP="0085709A">
      <w:pPr>
        <w:pStyle w:val="TextoNormal"/>
      </w:pPr>
    </w:p>
    <w:p w:rsidR="0085709A" w:rsidRDefault="0085709A" w:rsidP="0085709A">
      <w:pPr>
        <w:pStyle w:val="TextoNormal"/>
      </w:pPr>
      <w:r>
        <w:t>c) Seguidamente se refieren los Letrados parlamentarios a “las competencias de la Comunidad Autónoma de Cantabria y la Ley de Cantabria 2/2004”. A este respecto examinan los títulos relativos a ordenación del territorio y urbanismo, competencia que, al decir de la representación del Parlamento de Cantabria, ampararía la totalidad de preceptos de la ley recurridos en este proceso constitucional, según se infiere tanto del articulado de la ley como de lo consignado en su preámbulo; vivienda, título respecto del cual se destaca la importancia de la doctrina sentada en la STC 152/1988, de 20 de julio; medio ambiente, en la que encontraría su sentido toda la Ley y, en concreto, muchos de los preceptos impugnados “pues a través suyo no se pretende sino proteger espacios cuya defensa corresponde a intereses supramunicipales, cuya protección sería imposible con la actuación aislada de los municipios afectados; por eso mismo se prevé la actividad planificadora y el mismo plan de ordenación del litoral es planificador”.</w:t>
      </w:r>
    </w:p>
    <w:p w:rsidR="0085709A" w:rsidRDefault="0085709A" w:rsidP="0085709A">
      <w:pPr>
        <w:pStyle w:val="TextoNormal"/>
      </w:pPr>
    </w:p>
    <w:p w:rsidR="0085709A" w:rsidRDefault="0085709A" w:rsidP="0085709A">
      <w:pPr>
        <w:pStyle w:val="TextoNormal"/>
      </w:pPr>
      <w:r>
        <w:t>Con respecto a las competencias ejercidas para la aprobación de las actuaciones integrales estratégicas (título IV de la Ley), se invocan los relativos a la “planificación de la actividad económica y fomento del desarrollo de Cantabria” (art. 24.14 del Estatuto de Autonomía; con cita de la STC 134/1992, de 5 de octubre), “industria” (art. 24.30 y STC 203/1992), “cultura” (art. 24.18 y SSTC 49/1984, de 5 de abril, y 106/1987, de 25 de junio), al tiempo que se apunta a otros títulos enunciados en distintos epígrafes del art. 24 del Estatuto de Autonomía como obras públicas, investigación científica, deporte, turismo, agricultura y ganadería, o montes.</w:t>
      </w:r>
    </w:p>
    <w:p w:rsidR="0085709A" w:rsidRDefault="0085709A" w:rsidP="0085709A">
      <w:pPr>
        <w:pStyle w:val="TextoNormal"/>
      </w:pPr>
    </w:p>
    <w:p w:rsidR="0085709A" w:rsidRDefault="0085709A" w:rsidP="0085709A">
      <w:pPr>
        <w:pStyle w:val="TextoNormal"/>
      </w:pPr>
      <w:r>
        <w:t>d) La parte argumentativa del escrito de alegaciones del Parlamento de Cantabria se cierra con un epígrafe rubricado “Los preceptos cuya inconstitucionalidad se reclama por el escrito de interposición del conflicto”.</w:t>
      </w:r>
    </w:p>
    <w:p w:rsidR="0085709A" w:rsidRDefault="0085709A" w:rsidP="0085709A">
      <w:pPr>
        <w:pStyle w:val="TextoNormal"/>
      </w:pPr>
    </w:p>
    <w:p w:rsidR="0085709A" w:rsidRDefault="0085709A" w:rsidP="0085709A">
      <w:pPr>
        <w:pStyle w:val="TextoNormal"/>
      </w:pPr>
      <w:r>
        <w:t xml:space="preserve">El art. 45.2 y 5 no impone un modelo único de desarrollo urbanístico a los municipios sino solo que estos cuiden de “velar” por la continuidad de la trama, criterio razonable para la protección del litoral y que conecta con el mandato constitucional (art. 45.2 CE) dirigido a los poderes públicos para que preserven el medio ambiente. Respecto de la delimitación de sectores para la construcción de vivienda sujeta a algún régimen de protección pública, los Letrados parlamentarios apuntan que “no se entiende muy bien cómo puede lesionar la autonomía municipal esta disposición cuando no se elimina la participación de los municipios, ni se exige que sea la calificación determinada del suelo en un sentido único. Y es que la imposición de límites a las facultades urbanísticas de los municipios no es algo prohibido </w:t>
      </w:r>
      <w:r>
        <w:lastRenderedPageBreak/>
        <w:t>constitucionalmente … menos cuando existen intereses claramente supramunicipales en esta regulación, que se expresan mediante competencias autonómicas.”</w:t>
      </w:r>
    </w:p>
    <w:p w:rsidR="0085709A" w:rsidRDefault="0085709A" w:rsidP="0085709A">
      <w:pPr>
        <w:pStyle w:val="TextoNormal"/>
      </w:pPr>
    </w:p>
    <w:p w:rsidR="0085709A" w:rsidRDefault="0085709A" w:rsidP="0085709A">
      <w:pPr>
        <w:pStyle w:val="TextoNormal"/>
      </w:pPr>
      <w:r>
        <w:t>Respecto del art. 47.2, sostiene la representación del Parlamento de Cantabria que no impone una única solución urbanística al planificador municipal, si bien garantiza la existencia de un estándar mínimo de calidad de las áreas afectadas. El art. 47.3 se cita en el suplico de la demanda como impugnado, pero no se hace ninguna mención al mismo en la parte argumentativa; en todo caso, no priva a los municipios de su potestad de clasificación urbanística del suelo y se incardina en la competencia autonómica en materia de vivienda, cuyo ejercicio precisará el establecimiento de porcentajes mínimos de edificación que habrán de cumplir los municipios.</w:t>
      </w:r>
    </w:p>
    <w:p w:rsidR="0085709A" w:rsidRDefault="0085709A" w:rsidP="0085709A">
      <w:pPr>
        <w:pStyle w:val="TextoNormal"/>
      </w:pPr>
    </w:p>
    <w:p w:rsidR="0085709A" w:rsidRDefault="0085709A" w:rsidP="0085709A">
      <w:pPr>
        <w:pStyle w:val="TextoNormal"/>
      </w:pPr>
      <w:r>
        <w:t>Idéntica argumentación se extiende al art. 48 de la Ley del plan de ordenación del litoral, que introduce una regulación ordenadora de los crecimientos urbanísticos en el área de modelo tradicional. Se trata de un tipo de espacio muy común en Cantabria y que posee un especial valor por su interés ambiental, ecológico y etnográfico. Tras exponer el contenido del precepto, señalan los Letrados parlamentarios que “en toda esta regulación se puede observar que hay un claro, perceptible y sensible interés supramunicipal, que se manifiesta en el ejercicio de varias competencias autonómicas, reconocidas por el propio Dictamen del Consejo de Estado”.</w:t>
      </w:r>
    </w:p>
    <w:p w:rsidR="0085709A" w:rsidRDefault="0085709A" w:rsidP="0085709A">
      <w:pPr>
        <w:pStyle w:val="TextoNormal"/>
      </w:pPr>
    </w:p>
    <w:p w:rsidR="0085709A" w:rsidRDefault="0085709A" w:rsidP="0085709A">
      <w:pPr>
        <w:pStyle w:val="TextoNormal"/>
      </w:pPr>
      <w:r>
        <w:t>Otro tanto podría afirmarse del art. 50, que establece el régimen jurídico del área no litoral, en la cual los planeamientos determinarán las distintas áreas en función de su capacidad de carga, sin imponer un modelo urbano predeterminado.</w:t>
      </w:r>
    </w:p>
    <w:p w:rsidR="0085709A" w:rsidRDefault="0085709A" w:rsidP="0085709A">
      <w:pPr>
        <w:pStyle w:val="TextoNormal"/>
      </w:pPr>
    </w:p>
    <w:p w:rsidR="0085709A" w:rsidRDefault="0085709A" w:rsidP="0085709A">
      <w:pPr>
        <w:pStyle w:val="TextoNormal"/>
      </w:pPr>
      <w:r>
        <w:t>Defiende el Parlamento de Cantabria la constitucionalidad de la regulación de las actuaciones integrales estratégicas. El art. 51.3 contempla la aprobación de actuaciones integrales en el ámbito competencial de la Comunidad Autónoma. El art. 54 introduce algunas particulares, como la inclusión de infraestructuras de conexión con los sistemas generales exteriores a la actuación que resulten necesarias y la declaración implícita de interés regional de su aprobación, ambos extremos basados en la concurrencia de intereses supramunicipales y en cuanto a la suficiencia de la audiencia a los municipios en el trámite de elaboración, se remite el Parlamento de Cantabria a las SSTC 159/2001 y 51/2004. El art. 56 no impone ningún modelo urbanístico a los municipios afectados. Además de dejar constancia de la ausencia de argumentación específica relativa al art. 55, cuya anulación se postula en el suplico de la demanda, se hace hincapié en que la Ley recurrida ha priorizado determinados sectores por considerarlos indispensables para el ordenado crecimiento de Cantabria, lo que constituye un interés supramunicipal legitimador de la acción autonómica.</w:t>
      </w:r>
    </w:p>
    <w:p w:rsidR="0085709A" w:rsidRDefault="0085709A" w:rsidP="0085709A">
      <w:pPr>
        <w:pStyle w:val="TextoNormal"/>
      </w:pPr>
    </w:p>
    <w:p w:rsidR="0085709A" w:rsidRDefault="0085709A" w:rsidP="0085709A">
      <w:pPr>
        <w:pStyle w:val="TextoNormal"/>
      </w:pPr>
      <w:r>
        <w:t>Con respecto a la disposición adicional cuarta, insisten los Letrados parlamentarios en la idoneidad del cauce seguido para la reforma de la Ley de ordenación territorial y régimen urbanístico del suelo de Cantabria a la vista del rango único de las leyes autonómicas y en atención a la observancia de todos los trámites esenciales del procedimiento parlamentario. Además, destacan que la disposición adicional cuarta de la Ley es una norma cierta, precisa y publicada, lo que destierra cualquier duda sobre su idoneidad de acuerdo con la doctrina sentada en la STC 99/1987.</w:t>
      </w:r>
    </w:p>
    <w:p w:rsidR="0085709A" w:rsidRDefault="0085709A" w:rsidP="0085709A">
      <w:pPr>
        <w:pStyle w:val="TextoNormal"/>
      </w:pPr>
    </w:p>
    <w:p w:rsidR="0085709A" w:rsidRDefault="0085709A" w:rsidP="0085709A">
      <w:pPr>
        <w:pStyle w:val="TextoNormal"/>
      </w:pPr>
      <w:r>
        <w:lastRenderedPageBreak/>
        <w:t>La representación letrada del Parlamento de Cantabria concluye su escrito de alegaciones interesando la desestimación íntegra del presente conflicto en defensa de la autonomía local.</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12 de mayo de 2015, se señaló para deliberación y votación de la presente Sentencia el día 14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conflicto en defensa de la autonomía local coincide en su objeto con el recurso de inconstitucionalidad núm. 7826-2004, interpuesto por más de cincuenta senadores del Grupo Parlamentario Popular, ya que en ambos se interesa la anulación total de la Ley del Parlamento de Cantabria 2/2004, de 27 de septiembre, del plan de ordenación del litoral, y, subsidiariamente, de algunos de sus preceptos. Tanto en aquel como en este proceso, las representaciones procesales del Gobierno y del Parlamento de Cantabria se han opuesto a las pretensiones anulatorias deducidas por los actores.</w:t>
      </w:r>
    </w:p>
    <w:p w:rsidR="0085709A" w:rsidRDefault="0085709A" w:rsidP="0085709A">
      <w:pPr>
        <w:pStyle w:val="TextoNormal"/>
      </w:pPr>
    </w:p>
    <w:p w:rsidR="0085709A" w:rsidRDefault="0085709A" w:rsidP="0085709A">
      <w:pPr>
        <w:pStyle w:val="TextoNormal"/>
      </w:pPr>
      <w:r>
        <w:t>Como no podía ser de otro modo, atendiendo a esa coincidencia y en la medida en que la misma afecte a los aspectos sustantivos que plantea el proceso constitucional que ahora nos ocupa, para su resolución habremos de tener presente, y reiterar su doctrina en lo que proceda, la STC 57/2015, de 18 de marzo, dictada en el recurso de inconstitucionalidad 7826-2004.</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examinar el fondo de las pretensiones deducidas en este proceso constitucional debemos superar los obstáculos procesales alzados por la representación procesal del Gobierno de Cantabria en su escrito de alegaciones. Al respecto, conviene recordar que, según se ha expuesto con mayor detalle en los antecedentes de esta Sentencia, el Ejecutivo autonómico ha opuesto tres excepciones a la admisión del presente conflicto en defensa de la autonomía local.</w:t>
      </w:r>
    </w:p>
    <w:p w:rsidR="0085709A" w:rsidRDefault="0085709A" w:rsidP="0085709A">
      <w:pPr>
        <w:pStyle w:val="TextoNormal"/>
      </w:pPr>
    </w:p>
    <w:p w:rsidR="0085709A" w:rsidRDefault="0085709A" w:rsidP="0085709A">
      <w:pPr>
        <w:pStyle w:val="TextoNormal"/>
      </w:pPr>
      <w:r>
        <w:t xml:space="preserve">a) La primera de ellas trasciende al caso concreto y alcanza a la regulación misma del proceso constitucional a cuyo través se han deducido las pretensiones anulatorias de la totalidad o parte de la Ley del plan de ordenación del litoral pues la representación letrada del Gobierno de Cantabria invoca la inconstitucionalidad del conflicto en defensa de la autonomía local en la regulación que del mismo se contiene en el capítulo IV del título IV de la Ley Orgánica de este Tribunal Constitucional (LOTC), integrado por los arts. 75 </w:t>
      </w:r>
      <w:r w:rsidRPr="0085709A">
        <w:rPr>
          <w:i/>
        </w:rPr>
        <w:t>bis</w:t>
      </w:r>
      <w:r>
        <w:t xml:space="preserve"> a 75 </w:t>
      </w:r>
      <w:r w:rsidRPr="0085709A">
        <w:rPr>
          <w:i/>
        </w:rPr>
        <w:t>quinquies</w:t>
      </w:r>
      <w:r>
        <w:t>, que fueron introducidos en la LOTC por la Ley Orgánica 7/1999, de 21 de abril.</w:t>
      </w:r>
    </w:p>
    <w:p w:rsidR="0085709A" w:rsidRDefault="0085709A" w:rsidP="0085709A">
      <w:pPr>
        <w:pStyle w:val="TextoNormal"/>
      </w:pPr>
    </w:p>
    <w:p w:rsidR="0085709A" w:rsidRDefault="0085709A" w:rsidP="0085709A">
      <w:pPr>
        <w:pStyle w:val="TextoNormal"/>
      </w:pPr>
      <w:r>
        <w:t>La línea argumental de este “fundamento jurídico procesal”, tal y como los denomina la propia representación letrada del Gobierno de Cantabria, se asienta sobre el presupuesto de que la Constitución, si bien habilita en su art. 161.1 d) al legislador para que pueda configurar nuevos procesos que hayan de sustanciarse ante este Tribunal Constitucional, no le autoriza a ese mismo legislador para que, al albur de dicha habilitación, altere los procesos constitucionales ya diseñados en las letras a), b) y c) del art. 161.1 CE. En palabras de esa misma representación procesal, ello “supondría, no ya la atribución de nuevas ‘materias’ (procesos), sino la modificación de las reglas que la Constitución contiene sobre los procesos constitucionales que ella misma contempla”.</w:t>
      </w:r>
    </w:p>
    <w:p w:rsidR="0085709A" w:rsidRDefault="0085709A" w:rsidP="0085709A">
      <w:pPr>
        <w:pStyle w:val="TextoNormal"/>
      </w:pPr>
    </w:p>
    <w:p w:rsidR="0085709A" w:rsidRDefault="0085709A" w:rsidP="0085709A">
      <w:pPr>
        <w:pStyle w:val="TextoNormal"/>
      </w:pPr>
      <w:r>
        <w:lastRenderedPageBreak/>
        <w:t>Pues bien, planteada la cuestión en estos términos, debemos recordar que tal cuestión ya fue resuelta en la primera de las Sentencias dictadas por este Tribunal Constitucional en un conflicto en defensa de la autonomía local: La STC 240/2006, de 20 de julio, FJ 1, en la que constatamos que “estamos efectivamente ante un nuevo proceso constitucional, pues, dada su configuración, no puede entenderse como una nueva modalidad, ni de alguno de los procesos a los que se hace referencia en los epígrafes a), b) y c) del art. 161.1 CE, ni del contemplado en el art. 161.2 CE. Tampoco puede considerarse una variante de ninguno de los procedimientos que, al amparo del epígrafe d) del art. 161.1 CE, han sido creados por las ‘leyes orgánicas’ y hoy forman parte de la jurisdicción constitucional en nuestro Ordenamiento. La Ley Orgánica 7/1999 ha procedido a su creación y regulación amparándose precisamente en la cláusula del art. 161.1 d) CE, que habilita al legislador orgánico para atribuir a la jurisdicción del Tribunal Constitucional la competencia para conocer ‘de las demás materias’ no contempladas en los preceptos constitucionales siempre que dicha atribución no se haga contra la Constitución”. La doctrina allí fijada, luego reiterada en la STC 47/2008, de 11 de marzo, FJ 1, conduce a la desestimación de este primer y capital óbice procesal opuesto por la representación letrada del Gobierno de Cantabria a la admisión y resolución del presente conflicto en defensa de la autonomía local.</w:t>
      </w:r>
    </w:p>
    <w:p w:rsidR="0085709A" w:rsidRDefault="0085709A" w:rsidP="0085709A">
      <w:pPr>
        <w:pStyle w:val="TextoNormal"/>
      </w:pPr>
    </w:p>
    <w:p w:rsidR="0085709A" w:rsidRDefault="0085709A" w:rsidP="0085709A">
      <w:pPr>
        <w:pStyle w:val="TextoNormal"/>
      </w:pPr>
      <w:r>
        <w:t xml:space="preserve">b) Como segunda causa de inadmisión se denuncia la falta de un acuerdo plenario por las corporaciones locales promotoras del conflicto adoptado con posterioridad a la emisión del dictamen, en este caso por el Consejo de Estado, y en el que se ratifique la voluntad impugnatoria plasmada en el único acuerdo consistorial que ha aportado la representación letrada de los municipios actores en este proceso constitucional. El Gobierno de Cantabria sostiene la necesidad de que las corporaciones locales afectadas adopten dos acuerdos plenarios: el de iniciar la tramitación del conflicto en defensa de la autonomía local (art. 75 </w:t>
      </w:r>
      <w:r w:rsidRPr="0085709A">
        <w:rPr>
          <w:i/>
        </w:rPr>
        <w:t>ter</w:t>
      </w:r>
      <w:r>
        <w:t xml:space="preserve">.2) y el del planteamiento del conflicto ante el Tribunal Constitucional (art. 75 </w:t>
      </w:r>
      <w:r w:rsidRPr="0085709A">
        <w:rPr>
          <w:i/>
        </w:rPr>
        <w:t>quater</w:t>
      </w:r>
      <w:r>
        <w:t xml:space="preserve">.2). Comoquiera que ese segundo acuerdo no se ha adoptado por ninguno de los municipios promotores del conflicto, habría de acordarse, siempre en opinión del Ejecutivo autonómico, la inadmisión del conflicto de conformidad con lo dispuesto en los arts. 75 </w:t>
      </w:r>
      <w:r w:rsidRPr="0085709A">
        <w:rPr>
          <w:i/>
        </w:rPr>
        <w:t>ter, 75 quater</w:t>
      </w:r>
      <w:r>
        <w:t xml:space="preserve"> y 75 </w:t>
      </w:r>
      <w:r w:rsidRPr="0085709A">
        <w:rPr>
          <w:i/>
        </w:rPr>
        <w:t>quinquies</w:t>
      </w:r>
      <w:r>
        <w:t>.1 LOTC.</w:t>
      </w:r>
    </w:p>
    <w:p w:rsidR="0085709A" w:rsidRDefault="0085709A" w:rsidP="0085709A">
      <w:pPr>
        <w:pStyle w:val="TextoNormal"/>
      </w:pPr>
    </w:p>
    <w:p w:rsidR="0085709A" w:rsidRDefault="0085709A" w:rsidP="0085709A">
      <w:pPr>
        <w:pStyle w:val="TextoNormal"/>
      </w:pPr>
      <w:r>
        <w:t xml:space="preserve">Tampoco esta causa de inadmisión puede prosperar pues ha de negarse la premisa mayor sobre la que asienta el silogismo jurídico construido por la representación letrada del Gobierno de Cantabria para sostener el motivo de inadmisión que examinamos. En efecto, el art. 75 </w:t>
      </w:r>
      <w:r w:rsidRPr="0085709A">
        <w:rPr>
          <w:i/>
        </w:rPr>
        <w:t>ter</w:t>
      </w:r>
      <w:r>
        <w:t xml:space="preserve"> LOTC únicamente exige la adopción de un acuerdo plenario de las corporaciones locales —que, además, habrá de ser aprobado por la mayoría absoluta del número legal de sus miembros— “para iniciar la </w:t>
      </w:r>
      <w:r w:rsidRPr="0085709A">
        <w:rPr>
          <w:i/>
        </w:rPr>
        <w:t>tramitación</w:t>
      </w:r>
      <w:r>
        <w:t xml:space="preserve"> de los conflictos en defensa de la autonomía local” (apartado segundo del citado precepto), actividad distinta a la </w:t>
      </w:r>
      <w:r w:rsidRPr="0085709A">
        <w:rPr>
          <w:i/>
        </w:rPr>
        <w:t>formalización</w:t>
      </w:r>
      <w:r>
        <w:t xml:space="preserve"> o </w:t>
      </w:r>
      <w:r w:rsidRPr="0085709A">
        <w:rPr>
          <w:i/>
        </w:rPr>
        <w:t>planteamiento</w:t>
      </w:r>
      <w:r>
        <w:t xml:space="preserve"> del conflicto, a la que se hace referencia en los arts. 75 </w:t>
      </w:r>
      <w:r w:rsidRPr="0085709A">
        <w:rPr>
          <w:i/>
        </w:rPr>
        <w:t>ter</w:t>
      </w:r>
      <w:r>
        <w:t xml:space="preserve">.3 y 75 </w:t>
      </w:r>
      <w:r w:rsidRPr="0085709A">
        <w:rPr>
          <w:i/>
        </w:rPr>
        <w:t>quater</w:t>
      </w:r>
      <w:r>
        <w:t xml:space="preserve">.2 LOTC, sin exigir respecto de esta la adopción previa de un acuerdo por el órgano colegiado de gobierno de las correspondientes entidades locales. Es por ello que este Tribunal ha podido rechazar en la reciente STC 95/2014, de 12 de junio, las causas de inadmisión que se opusieron a un conflicto en defensa de la autonomía local planteado por el Ayuntamiento de Covaleda (Soria) en relación con la Ley de las Cortes de Castilla y León 1/2010, de 2 de marzo, de declaración del parque natural de Laguna Negra y circos glaciares de Urbión, que, tras la recepción en el citado municipio del dictamen del Consejo Consultivo de Castilla y León solicitado en cumplimiento de lo dispuesto en el art. 75 </w:t>
      </w:r>
      <w:r w:rsidRPr="0085709A">
        <w:rPr>
          <w:i/>
        </w:rPr>
        <w:t>ter</w:t>
      </w:r>
      <w:r>
        <w:t xml:space="preserve">.3 LOTC, se acordó, por decreto de Alcaldía, “continuar la tramitación iniciada y plantear el conflicto en defensa de </w:t>
      </w:r>
      <w:r>
        <w:lastRenderedPageBreak/>
        <w:t xml:space="preserve">la autonomía local” (FJ 4). Según se disciplina en los arts. 75 </w:t>
      </w:r>
      <w:r w:rsidRPr="0085709A">
        <w:rPr>
          <w:i/>
        </w:rPr>
        <w:t>ter</w:t>
      </w:r>
      <w:r>
        <w:t xml:space="preserve"> y 75 </w:t>
      </w:r>
      <w:r w:rsidRPr="0085709A">
        <w:rPr>
          <w:i/>
        </w:rPr>
        <w:t>quater</w:t>
      </w:r>
      <w:r>
        <w:t xml:space="preserve"> LOTC, la formalización o planteamiento del conflicto en defensa de la autonomía local “se integra de dos actuaciones: solicitud de dictamen al órgano consultivo correspondiente, que se configura como requisito previo a la formalización del conflicto y deberá efectuarse en el plazo de tres meses desde el día de la publicación, y la posterior formalización del conflicto, que habrá de efectuarse en el plazo de un mes desde la recepción del citado dictamen” (STC 95/2014, de 12 de junio, FJ 4), actuaciones que no comprenden ni precisan del acuerdo del pleno de la corporación o corporaciones locales promotoras del conflicto.</w:t>
      </w:r>
    </w:p>
    <w:p w:rsidR="0085709A" w:rsidRDefault="0085709A" w:rsidP="0085709A">
      <w:pPr>
        <w:pStyle w:val="TextoNormal"/>
      </w:pPr>
    </w:p>
    <w:p w:rsidR="0085709A" w:rsidRDefault="0085709A" w:rsidP="0085709A">
      <w:pPr>
        <w:pStyle w:val="TextoNormal"/>
      </w:pPr>
      <w:r>
        <w:t>c) El tercer óbice de procedibilidad, siquiera sea sólo parcial, como seguidamente se verá, hace referencia a lo que la representación procesal del Gobierno de Cantabria denomina “indeterminación de los preceptos impugnados por los ayuntamientos” pues, dejando al margen aquellas entidades locales que controvierten exclusivamente la disposición adicional cuarta de la Ley del plan de ordenación del litoral, el resto de corporaciones se habría limitado, al decir del Ejecutivo autonómico, “a impugnar genéricamente la Ley de Cantabria 2/2004, de 27 de septiembre, del Plan de Ordenación del Litoral, sin precisar qué extremos de la misma reputan contrarios a la autonomía local”. De este modo, los plenos de los municipios actores habrían delegado en los letrados consistoriales el ejercicio de una función capital, cual es la identificación de las normas con rango de ley que reputan vulneradoras de la autonomía local constitucionalmente garantizada, o al menos de aquellas cuya nulidad se postula con carácter subsidiario, para el supuesto de que no prospere la impugnación global y conjunta de la Ley autonómica interesada como pretensión principal.</w:t>
      </w:r>
    </w:p>
    <w:p w:rsidR="0085709A" w:rsidRDefault="0085709A" w:rsidP="0085709A">
      <w:pPr>
        <w:pStyle w:val="TextoNormal"/>
      </w:pPr>
    </w:p>
    <w:p w:rsidR="0085709A" w:rsidRDefault="0085709A" w:rsidP="0085709A">
      <w:pPr>
        <w:pStyle w:val="TextoNormal"/>
      </w:pPr>
      <w:r>
        <w:t xml:space="preserve">A este respecto, el Ejecutivo autonómico señala que de la lectura de las certificaciones de los acuerdos plenarios de inicio de este conflicto en defensa de la autonomía local expedidas por los correspondientes Secretarios de Ayuntamiento puede inferirse la clara voluntad de impugnar el conjunto de la Ley del plan de ordenación del litoral por vulneración de la autonomía local constitucionalmente garantizada. Pero lo que no puede hacerse es extender esa voluntad a la impugnación de los concretos preceptos controvertidos subsidiariamente en este proceso constitucional, en particular los arts. 56 y 57 de la Ley, o, de manera más notoria, la disposición adicional cuarta. Siempre según la tesis defendida por la representación letrada del Gobierno de Cantabria, seis de los once municipios costeros que controvierten la totalidad de la Ley (Santander, Meruelo, Piélagos, Valdáliga, Ribamontán al Monte y Marina de Cudeyo) no habrían manifestado voluntad alguna de impugnar su disposición adicional cuarta. La constatación de este hecho determinaría la inadmisión del conflicto promovido por estos municipios en cuanto atañe específicamente a la meritada disposición adicional y conduciría, al dejarse de satisfacerse el requisito de quórum contenido en el art. 75 </w:t>
      </w:r>
      <w:r w:rsidRPr="0085709A">
        <w:rPr>
          <w:i/>
        </w:rPr>
        <w:t>ter</w:t>
      </w:r>
      <w:r>
        <w:t>.b) LOTC, a la inadmisión del conflicto frente a la reseñada disposición adicional.</w:t>
      </w:r>
    </w:p>
    <w:p w:rsidR="0085709A" w:rsidRDefault="0085709A" w:rsidP="0085709A">
      <w:pPr>
        <w:pStyle w:val="TextoNormal"/>
      </w:pPr>
    </w:p>
    <w:p w:rsidR="0085709A" w:rsidRDefault="0085709A" w:rsidP="0085709A">
      <w:pPr>
        <w:pStyle w:val="TextoNormal"/>
      </w:pPr>
      <w:r>
        <w:t xml:space="preserve">Tampoco este óbice ha de ser acogido. Por lo que se refiere a los once municipios que han promovido conflicto en defensa de la autonomía local en relación con la totalidad de la Ley del plan de ordenación del litoral y, subsidiariamente, respecto de algunos de sus preceptos, nos encontramos con certificaciones de contenido muy diverso. Así, las certificaciones provenientes de los Ayuntamientos de Arnuero y Meruelo incluyen la totalidad del acuerdo adoptado, mientras que las procedentes de los Ayuntamientos de Limpias, Marina de Astillero, Cudeyo, Ribamontán al Mar, Piélagos, Santander y Valdáliga únicamente contienen su parte dispositiva; las certificaciones aportadas por los Ayuntamientos de Bareyo </w:t>
      </w:r>
      <w:r>
        <w:lastRenderedPageBreak/>
        <w:t>y Ribamontán al Monte se refiere específicamente al debate habido entre los concejales integrantes del pleno de la corporación. Por su parte, si bien las certificaciones remitidas por los seis municipios que únicamente controvierten la disposición adicional cuarta de la Ley del Parlamento de Cantabria 2/2004 suelen hacer mención de este precepto legal, no debemos dejar de señalar que en la procedente del Ayuntamiento de Entrambasaguas únicamente se reseña que en la sesión celebrada el 1 de diciembre de 2004 se presentó una moción sobre interposición del conflicto en defensa de la autonomía local, que fue aprobada “en su integridad, por siete votos a favor del ‘P.P. y AA.VV.- Cantabria’ y cuatro votos en contra del ‘P.S.O.’, dicho quórum representa la mayoría absoluta de sus miembros”.</w:t>
      </w:r>
    </w:p>
    <w:p w:rsidR="0085709A" w:rsidRDefault="0085709A" w:rsidP="0085709A">
      <w:pPr>
        <w:pStyle w:val="TextoNormal"/>
      </w:pPr>
    </w:p>
    <w:p w:rsidR="0085709A" w:rsidRDefault="0085709A" w:rsidP="0085709A">
      <w:pPr>
        <w:pStyle w:val="TextoNormal"/>
      </w:pPr>
      <w:r>
        <w:t>Pero, por encima de las diferencias apreciables en las certificaciones correspondientes a los acuerdos adoptados por el primer grupo de municipios, esto es, aquel al que se contrae el motivo de inadmisión que nos ocupa, cabe subrayar la existencia de dos elementos comunes especialmente relevantes: En primer lugar, podemos observar que todos los municipios adoptaron acuerdos idénticos en su contenido, con independencia de que los comunicaran a este Tribunal en su contenido íntegro o solo por referencia a la parte dispositiva. Esta es la conclusión que se induce de la absoluta identidad de esa parte dispositiva de todos los acuerdos, identidad que parece legítimo extender a la parte argumentativa o expositiva de los acuerdos municipales. En segundo lugar, que en esa parte argumentativa se exponen, acaso sin demasiada precisión conceptual y terminológica, las razones en virtud de las cuales los diferentes municipios consideran contraria a la autonomía municipal constitucionalmente protegida tanto la Ley del Parlamento de Cantabria 2/2004, de aprobación del plan de ordenación del litoral, como algunos de sus contenidos normativos, en particular las referencias a las actuaciones integrales estratégicas y a los proyectos singulares de interés regional, referencias que incluyen, lógicamente, el tratamiento dispensado a estos instrumentos de planeamiento supramunicipal por la disposición adicional cuarta de la Ley recurrida. Siendo ello así y en aras de la salvaguarda del principio de proporcionalidad en la interpretación de los requisitos legales que disciplinan el acceso de los entes locales al conflicto en defensa de la autonomía local, no procede acoger esta causa de inadmisión.</w:t>
      </w:r>
    </w:p>
    <w:p w:rsidR="0085709A" w:rsidRDefault="0085709A" w:rsidP="0085709A">
      <w:pPr>
        <w:pStyle w:val="TextoNormal"/>
      </w:pPr>
    </w:p>
    <w:p w:rsidR="0085709A" w:rsidRDefault="0085709A" w:rsidP="0085709A">
      <w:pPr>
        <w:pStyle w:val="TextoNormal"/>
      </w:pPr>
      <w:r w:rsidRPr="0085709A">
        <w:rPr>
          <w:rStyle w:val="NumeroAFNegritaCaracter"/>
        </w:rPr>
        <w:t>3</w:t>
      </w:r>
      <w:r>
        <w:t>. Al igual que sucediera en el conflicto en defensa de la autonomía local resuelto por la STC 121/2012, de 5 de junio, se da en este la circunstancia de que los municipios actores han procedido a la acumulación de dos motivos: el primero de ellos se dirige de manera principal contra la totalidad de la Ley del Parlamento de Cantabria 2/2004, de 27 de septiembre, del plan de ordenación del litoral, y subsidiariamente frente a algunos de sus preceptos, en tanto que el segundo tiene por objeto exclusivo la disposición adicional cuarta de este texto legal, que reforma el art. 26 de la Ley 2/2001, de 25 de junio, de ordenación territorial y régimen urbanístico del suelo de Cantabria. Obviamente, debemos enjuiciar en primer lugar la pretensión impugnatoria dirigida contra la totalidad de la Ley autonómica recurrida pues su eventual estimación tornaría innecesario el examen de las impugnaciones dirigidas de manera singularizada frente a distintos preceptos de la misma Ley.</w:t>
      </w:r>
    </w:p>
    <w:p w:rsidR="0085709A" w:rsidRDefault="0085709A" w:rsidP="0085709A">
      <w:pPr>
        <w:pStyle w:val="TextoNormal"/>
      </w:pPr>
    </w:p>
    <w:p w:rsidR="0085709A" w:rsidRDefault="0085709A" w:rsidP="0085709A">
      <w:pPr>
        <w:pStyle w:val="TextoNormal"/>
      </w:pPr>
      <w:r>
        <w:t>Sostienen a este respecto los once municipios que controvierten la totalidad de la Ley del plan de ordenación del litoral que esta habría vulnerado la autonomía que tienen constitucionalmente reconocida porque en la fase pre-parlamentaria de elaboración del texto legal únicamente medió un trámite de audiencia a los municipios afectados, siendo así que ese trámite debiera haberse repetido tras la introducción en el texto del anteproyecto de ley de algunas modificaciones sustanciales.</w:t>
      </w:r>
    </w:p>
    <w:p w:rsidR="0085709A" w:rsidRDefault="0085709A" w:rsidP="0085709A">
      <w:pPr>
        <w:pStyle w:val="TextoNormal"/>
      </w:pPr>
    </w:p>
    <w:p w:rsidR="0085709A" w:rsidRDefault="0085709A" w:rsidP="0085709A">
      <w:pPr>
        <w:pStyle w:val="TextoNormal"/>
      </w:pPr>
      <w:r>
        <w:t>Las representaciones procesales del Gobierno y del Parlamento de Cantabria rechazan los planteamientos defendidos por los once municipios que impugnan la totalidad de la Ley del plan de ordenación del litoral. En particular, subrayan que esta norma es una ley lo que hace imposible aplicarle categorías y métodos de análisis habituales en el ámbito de las disposiciones administrativas. Ambas instituciones autonómicas hacen hincapié en que la elaboración del texto legal, en particular del proyecto remitido en su día por el Gobierno al Parlamento, se atuvo estrictamente a las previsiones en su día establecidas por el propio legislador autonómico en la Ley de ordenación territorial y régimen urbanístico del suelo de Cantabria.</w:t>
      </w:r>
    </w:p>
    <w:p w:rsidR="0085709A" w:rsidRDefault="0085709A" w:rsidP="0085709A">
      <w:pPr>
        <w:pStyle w:val="TextoNormal"/>
      </w:pPr>
    </w:p>
    <w:p w:rsidR="0085709A" w:rsidRDefault="0085709A" w:rsidP="0085709A">
      <w:pPr>
        <w:pStyle w:val="TextoNormal"/>
      </w:pPr>
      <w:r w:rsidRPr="0085709A">
        <w:rPr>
          <w:rStyle w:val="NumeroAFNegritaCaracter"/>
        </w:rPr>
        <w:t>4</w:t>
      </w:r>
      <w:r>
        <w:t>. Este motivo impugnatorio de la Ley del Parlamento de Cantabria 2/2004, de 27 de septiembre, del plan de ordenación del litoral, ya fue esgrimido por los senadores que interpusieron el recurso de inconstitucionalidad 7826-2004 y desestimado por nuestra STC 57/2015, cuyo pronunciamiento en este punto debemos reiterar ahora.</w:t>
      </w:r>
    </w:p>
    <w:p w:rsidR="0085709A" w:rsidRDefault="0085709A" w:rsidP="0085709A">
      <w:pPr>
        <w:pStyle w:val="TextoNormal"/>
      </w:pPr>
    </w:p>
    <w:p w:rsidR="0085709A" w:rsidRDefault="0085709A" w:rsidP="0085709A">
      <w:pPr>
        <w:pStyle w:val="TextoNormal"/>
      </w:pPr>
      <w:r>
        <w:t>Hemos dicho en el fundamento jurídico 6 de la STC 57/2015 que para dar respuesta a este motivo impugnatorio es preciso recordar, como ya hiciéramos en la reciente STC 132/2014, de 22 de julio, con cita expresa, entre otras y destacadamente, de la ya citada STC 240/2006, que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FJ 4)’, (STC 40/1998, de 19 de febrero, FJ 39). Tal como declaramos en la STC 159/2001, de 5 de julio, FJ 5, se trata de una noción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 … 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(FJ 5).</w:t>
      </w:r>
    </w:p>
    <w:p w:rsidR="0085709A" w:rsidRDefault="0085709A" w:rsidP="0085709A">
      <w:pPr>
        <w:pStyle w:val="TextoNormal"/>
      </w:pPr>
    </w:p>
    <w:p w:rsidR="0085709A" w:rsidRDefault="0085709A" w:rsidP="0085709A">
      <w:pPr>
        <w:pStyle w:val="TextoNormal"/>
      </w:pPr>
      <w:r>
        <w:t xml:space="preserve">Añadíamos entonces, y reiteramos ahora, que en esta misma línea, la STC 40/1998, de 19 de febrero, FJ 39, puso de relieve que ese “derecho de intervención en los asuntos de su competencia forma, por tanto, el núcleo primigenio de la autonomía local. No obstante, este Tribunal ha señalado igualmente que la Constitución no asegura un contenido concreto o un ámbito competencial determinado y que no cabe hablar de ‘intereses naturales de los entes locales’ (STC 32/1981),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170/1989, fundamento jurídico 9), de manera que corresponde al </w:t>
      </w:r>
      <w:r>
        <w:lastRenderedPageBreak/>
        <w:t>legislador la determinación concreta del contenido de la autonomía local, respetando el núcleo esencial de la garantía institucional de dicha autonomía (SSTC 259/1988, 214/1989 y 46/1992) y sin romper con la ‘imagen comúnmente aceptada de la institución que, en cuanto formación jurídica, viene determinada en buena parte por las normas que en cada momento la regulan y la aplicación que de las mismas se hace’ (STC 32/1981, fundamento jurídico 3).”</w:t>
      </w:r>
    </w:p>
    <w:p w:rsidR="0085709A" w:rsidRDefault="0085709A" w:rsidP="0085709A">
      <w:pPr>
        <w:pStyle w:val="TextoNormal"/>
      </w:pPr>
    </w:p>
    <w:p w:rsidR="0085709A" w:rsidRDefault="0085709A" w:rsidP="0085709A">
      <w:pPr>
        <w:pStyle w:val="TextoNormal"/>
      </w:pPr>
      <w:r>
        <w:t>A renglón seguido y tras recordar que el art. 2.1 de la Ley 7/1985, de 2 de abril, de bases del régimen local (LBRL) establece que “para la efectividad de la autonomía garantizada constitucionalmente a las Entidades Locales, la legislación del Estado y la de las Comunidades Autónomas, reguladora de los distintos sectores de acción pública, según la distribución constitucional de competencias, deberá asegurar a los Municipios, las Provincias y las Islas su derecho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proximidad, eficacia y eficiencia, y con estricta sujeción a la normativa de estabilidad presupuestaria y sostenibilidad financiera.”, señalamos en la STC 57/2015, FJ 6, que, indudablemente, “entre los asuntos de interés de los municipios y a los que por tanto se extienden sus competencias, figuran, de acuerdo por lo dispuesto en la normativa básica estatal, tanto el urbanismo [art. 25.2 a) LBRL, en la redacción dada al mismo por la Ley 27/2013, de 27 de diciembre, de racionalización y sostenibilidad de la Administración local] como el medio ambiente [art. 25.2 b) LBRL]. Ambas materias competenciales han sido específicamente invocadas por los recurrentes en defensa del alegato impugnatorio que ahora nos ocupa.”</w:t>
      </w:r>
    </w:p>
    <w:p w:rsidR="0085709A" w:rsidRDefault="0085709A" w:rsidP="0085709A">
      <w:pPr>
        <w:pStyle w:val="TextoNormal"/>
      </w:pPr>
    </w:p>
    <w:p w:rsidR="0085709A" w:rsidRDefault="0085709A" w:rsidP="0085709A">
      <w:pPr>
        <w:pStyle w:val="TextoNormal"/>
      </w:pPr>
      <w:r>
        <w:t>Sentadas estas premisas, en esa misma STC 57/2015 hemos dicho:</w:t>
      </w:r>
    </w:p>
    <w:p w:rsidR="0085709A" w:rsidRDefault="0085709A" w:rsidP="0085709A">
      <w:pPr>
        <w:pStyle w:val="TextoNormal"/>
      </w:pPr>
    </w:p>
    <w:p w:rsidR="0085709A" w:rsidRDefault="0085709A" w:rsidP="0085709A">
      <w:pPr>
        <w:pStyle w:val="TextoNormal"/>
      </w:pPr>
      <w:r>
        <w:t>“En este caso importa reseñar que, en virtud de lo dispuesto en el art. 24.3 de su Estatuto de Autonomía, la Comunidad Autónoma de Cantabria ha asumido competencia exclusiva —exclusividad que ha de interpretarse a la luz de la doctrina sintetizada, entre otras, en las SSTC 40/1998, FJ 29, y 46/2007, de 1 de marzo, FJ 3— en materia de ‘ordenación del territorio y del litoral, urbanismo y vivienda’ y de desarrollo legislativo y ejecución sobre ‘protección del medio ambiente y de los ecosistemas’ (art. 25.7 de ese mismo texto estatutario). Ambas competencias tienen un marcado carácter transversal u horizontal, como puso de relieve este Tribunal en la STC 8/2012, de 18 de enero, FJ 3.</w:t>
      </w:r>
    </w:p>
    <w:p w:rsidR="0085709A" w:rsidRDefault="0085709A" w:rsidP="0085709A">
      <w:pPr>
        <w:pStyle w:val="TextoNormal"/>
      </w:pPr>
    </w:p>
    <w:p w:rsidR="0085709A" w:rsidRDefault="0085709A" w:rsidP="0085709A">
      <w:pPr>
        <w:pStyle w:val="TextoNormal"/>
      </w:pPr>
      <w:r>
        <w:t xml:space="preserve">Como quiera que la competencia sobre ordenación territorial ‘tiene por objeto la actividad consistente en la delimitación de los diversos usos a que puede destinarse el suelo o espacio físico territorial’ (STC 77/1984, de 3 de julio, FJ 2), definición objetiva que podemos extender a la competencia autonómica sobre ordenación del litoral, y toda vez que ese mismo es el objeto de la Ley de ordenación del litoral aquí controvertida, puede resultar pertinente comprobar qué mecanismos ha dispuesto el propio legislador autonómico cántabro para garantizar el derecho de los municipios —aquí, los ubicados en la franja del litoral— a intervenir en los asuntos de su interés. Al respecto, los senadores recurrentes invocan de manera específica los arts. 16 y 17 de la Ley 2/2001, de 25 de junio, de ordenación territorial y régimen urbanístico del suelo de Cantabria, aplicables al plan de ordenación del litoral por mor de lo establecido en la disposición adicional cuarta, rubricada ‘Plan de Ordenación del Litoral’, de la propia Ley autonómica, que equipara ‘a todos los efectos’ el </w:t>
      </w:r>
      <w:r>
        <w:lastRenderedPageBreak/>
        <w:t>plan de ordenación del litoral con el plan regional de ordenación territorial y prevé su elaboración ‘de acuerdo con el procedimiento del artículo 16’.” (FJ 6)</w:t>
      </w:r>
    </w:p>
    <w:p w:rsidR="0085709A" w:rsidRDefault="0085709A" w:rsidP="0085709A">
      <w:pPr>
        <w:pStyle w:val="TextoNormal"/>
      </w:pPr>
    </w:p>
    <w:p w:rsidR="0085709A" w:rsidRDefault="0085709A" w:rsidP="0085709A">
      <w:pPr>
        <w:pStyle w:val="TextoNormal"/>
      </w:pPr>
      <w:r>
        <w:t>Siguiendo con la reiteración de la doctrina contenida en la STC 57/2015, convendrá insistir ahora en que “de acuerdo con lo previsto en ese art. 16 de la Ley de ordenación territorial y régimen urbanístico del suelo de Cantabria, entre las reglas a las que se somete la formulación y aprobación del plan de ordenación del litoral figura el traslado del proyecto de plan a la Comisión Regional de Ordenación del Territorio para su aprobación inicial y su sometimiento a un trámite de información pública por plazo no inferior a dos meses, durante los cuales la Comisión ‘dará audiencia singularizada a … todos los Ayuntamientos afectados’ [letra c)].” Dichos ayuntamientos son los correspondientes a los 37 municipios costeros a los que se alude en el apartado quinto de la ya citada disposición adicional cuarta, entre los que figuran, innecesario parece recordarlo, los 11 que impugnan la Ley en este proceso constitucional. Transcurrido ese plazo de consulta e información pública, “la Comisión solicitará informe a la Consejería autora del Plan acerca de lo alegado en el citado trámite. Evacuado dicho informe la Comisión aprobará provisionalmente el Plan y lo trasladará al Consejero competente en materia de ordenación territorial para su aprobación como Proyecto de Ley por el Gobierno.” [Letra d)].</w:t>
      </w:r>
    </w:p>
    <w:p w:rsidR="0085709A" w:rsidRDefault="0085709A" w:rsidP="0085709A">
      <w:pPr>
        <w:pStyle w:val="TextoNormal"/>
      </w:pPr>
    </w:p>
    <w:p w:rsidR="0085709A" w:rsidRDefault="0085709A" w:rsidP="0085709A">
      <w:pPr>
        <w:pStyle w:val="TextoNormal"/>
      </w:pPr>
      <w:r>
        <w:t>Añadíamos entonces a título de corolario de nuestra argumentación, y reiteramos también ahora habida cuenta de que la reiteración resulta especialmente necesaria porque las consideraciones del Consejo de Estado a las que se hace referencia en la cita se formularon en la fase pre-procesal de formalización de este conflicto en defensa de la autonomía local:</w:t>
      </w:r>
    </w:p>
    <w:p w:rsidR="0085709A" w:rsidRDefault="0085709A" w:rsidP="0085709A">
      <w:pPr>
        <w:pStyle w:val="TextoNormal"/>
      </w:pPr>
    </w:p>
    <w:p w:rsidR="0085709A" w:rsidRDefault="0085709A" w:rsidP="0085709A">
      <w:pPr>
        <w:pStyle w:val="TextoNormal"/>
      </w:pPr>
      <w:r>
        <w:t>“Así se hizo, según consigna la Comisión Permanente del Consejo de Estado en su dictamen de 3 de febrero de 2005, emitido en el expediente 16/2005, relativo con carácter previo a la formalización de conflicto en defensa de la autonomía local tramitado con el núm. 1501-2005. En dicho dictamen se recuerda que el proyecto de ley fue ‘aprobado inicialmente el 31 de marzo de 2004 por la Comisión Regional de Ordenación del Territorio y Urbanismo de Cantabria y sometido a información pública y audiencia de los Municipios costeros afectados por el Plan de Ordenación del Litoral. Algunos de ellos presentaron escritos de alegaciones oponiéndose a su aprobación y proponiendo numerosas modificaciones a su articulado. Asimismo, presentó sus alegaciones la Federación de Municipios de Cantabria. El proyecto de Ley fue aprobado provisionalmente el 19 de julio de 2004 por la Comisión Regional de Ordenación del Territorio y Urbanismo de Cantabria, introduciendo en el texto inicial numerosas e importantes modificaciones.’</w:t>
      </w:r>
    </w:p>
    <w:p w:rsidR="0085709A" w:rsidRDefault="0085709A" w:rsidP="0085709A">
      <w:pPr>
        <w:pStyle w:val="TextoNormal"/>
      </w:pPr>
    </w:p>
    <w:p w:rsidR="0085709A" w:rsidRDefault="0085709A" w:rsidP="0085709A">
      <w:pPr>
        <w:pStyle w:val="TextoNormal"/>
      </w:pPr>
      <w:r>
        <w:t>A la vista de lo dispuesto en el art. 28 de la Ley Orgánica de este Tribunal Constitucional, no es preciso desplegar esfuerzo argumental alguno para concluir que la Ley 2/2001, de 25 de junio, de ordenación territorial y régimen urbanístico del suelo de Cantabria no puede erigirse en canon de constitucionalidad de la Ley de Cantabria 2/2004, de 27 de septiembre, del plan de ordenación del litoral. De modo que el recordatorio del pasaje del dictamen del Consejo de Estado reproducido en el párrafo anterior no tiene como fin dar respuesta al planteamiento sostenido de contrario por los parlamentarios recurrentes sino poner de manifiesto que no se advierte siquiera un inadecuado cumplimiento del trámite de audiencia pública y consulta a los municipios costeros afectados por la elaboración y posterior aprobación del plan de ordenación del litoral.</w:t>
      </w:r>
    </w:p>
    <w:p w:rsidR="0085709A" w:rsidRDefault="0085709A" w:rsidP="0085709A">
      <w:pPr>
        <w:pStyle w:val="TextoNormal"/>
      </w:pPr>
    </w:p>
    <w:p w:rsidR="0085709A" w:rsidRDefault="0085709A" w:rsidP="0085709A">
      <w:pPr>
        <w:pStyle w:val="TextoNormal"/>
      </w:pPr>
      <w:r>
        <w:lastRenderedPageBreak/>
        <w:t>Sentado esto, debemos hacer nuestras las palabras del Consejo de Estado, cuando, en ese mismo dictamen de 3 de febrero de 20005(</w:t>
      </w:r>
      <w:r w:rsidRPr="0085709A">
        <w:rPr>
          <w:i/>
        </w:rPr>
        <w:t>sic</w:t>
      </w:r>
      <w:r>
        <w:t>), declara que ‘en relación con la pretendida inconstitucionalidad de la Ley 2/2004 derivada de la tramitación administrativa del correspondiente proyecto de Ley, en concreto por la falta de reiteración de la audiencia a los Municipios, se advierte que tal pretensión se fundamenta en la traslación mutatis mutandis del principio de participación ciudadana en el planeamiento administrativo a la tramitación y aprobación de leyes autonómicas. Tal traslación es errónea ya que la necesidad de reiterar el trámite de información pública deriva del principio de la participación ciudadana en la elaboración del planeamiento para dotar a éste de la necesaria legitimación democrática y ésta no puede considerarse ausente cuando, como aquí ocurre, el producto normativo es fruto de la voluntad del Parlamento autonómico.’ [comillas internas suprimidas]” (STC 57/2015, de 18 de marzo FJ 6).</w:t>
      </w:r>
    </w:p>
    <w:p w:rsidR="0085709A" w:rsidRDefault="0085709A" w:rsidP="0085709A">
      <w:pPr>
        <w:pStyle w:val="TextoNormal"/>
      </w:pPr>
    </w:p>
    <w:p w:rsidR="0085709A" w:rsidRDefault="0085709A" w:rsidP="0085709A">
      <w:pPr>
        <w:pStyle w:val="TextoNormal"/>
      </w:pPr>
      <w:r>
        <w:t>Las razones ahora reiteradas determinan por sí solas la desestimación del presente motivo impugnatorio.</w:t>
      </w:r>
    </w:p>
    <w:p w:rsidR="0085709A" w:rsidRDefault="0085709A" w:rsidP="0085709A">
      <w:pPr>
        <w:pStyle w:val="TextoNormal"/>
      </w:pPr>
    </w:p>
    <w:p w:rsidR="0085709A" w:rsidRDefault="0085709A" w:rsidP="0085709A">
      <w:pPr>
        <w:pStyle w:val="TextoNormal"/>
      </w:pPr>
      <w:r w:rsidRPr="0085709A">
        <w:rPr>
          <w:rStyle w:val="NumeroAFNegritaCaracter"/>
        </w:rPr>
        <w:t>5</w:t>
      </w:r>
      <w:r>
        <w:t>. Desestimada la pretensión principal deducida por 11 de los municipios promotores de este conflicto en defensa de la autonomía, y antes todavía de dar respuesta a la impugnación subsidiaria de los siguientes preceptos de la Ley del Parlamento de Cantabria 2/2004, de 27 de septiembre, del plan de ordenación del litoral: arts. 45.2; 45.5; 47.2; 47.3; 48.1 a), b), c) y 3 a); 50; 51.3; 54; 55; 56 y 57 y la disposición adicional cuarta, interesa dejar constancia de dos acontecimientos acaecidos durante la tramitación de este proceso constitucional y de incontrovertible trascendencia para el resultado final de esta resolución.</w:t>
      </w:r>
    </w:p>
    <w:p w:rsidR="0085709A" w:rsidRDefault="0085709A" w:rsidP="0085709A">
      <w:pPr>
        <w:pStyle w:val="TextoNormal"/>
      </w:pPr>
    </w:p>
    <w:p w:rsidR="0085709A" w:rsidRDefault="0085709A" w:rsidP="0085709A">
      <w:pPr>
        <w:pStyle w:val="TextoNormal"/>
      </w:pPr>
      <w:r>
        <w:t>Hemos de comenzar señalando que durante la tramitación de este proceso constitucional el Parlamento de Cantabria aprobó la Ley 8/2013, de 2 de diciembre, por la que se modifica la Ley 2/2004, de 27 de septiembre, del plan de ordenación del litoral. Esta Ley da nueva redacción a sus arts. 27.2 y 46, así como a sus disposiciones transitorias primera, apartado segundo, y tercera, que no se controvierten en este proceso, en tanto que deroga los apartados 2 y 3 de su art. 48.</w:t>
      </w:r>
    </w:p>
    <w:p w:rsidR="0085709A" w:rsidRDefault="0085709A" w:rsidP="0085709A">
      <w:pPr>
        <w:pStyle w:val="TextoNormal"/>
      </w:pPr>
    </w:p>
    <w:p w:rsidR="0085709A" w:rsidRDefault="0085709A" w:rsidP="0085709A">
      <w:pPr>
        <w:pStyle w:val="TextoNormal"/>
      </w:pPr>
      <w:r>
        <w:t>De acuerdo con la doctrina del Tribunal “en los procesos en los que se resuelven divergencias competenciales, naturaleza que en lo aquí procedente comparten los conflictos en defensa de la autonomía local, hemos afirmado que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3/2012, de 13 de enero FJ 2).</w:t>
      </w:r>
    </w:p>
    <w:p w:rsidR="0085709A" w:rsidRDefault="0085709A" w:rsidP="0085709A">
      <w:pPr>
        <w:pStyle w:val="TextoNormal"/>
      </w:pPr>
    </w:p>
    <w:p w:rsidR="0085709A" w:rsidRDefault="0085709A" w:rsidP="0085709A">
      <w:pPr>
        <w:pStyle w:val="TextoNormal"/>
      </w:pPr>
      <w:r>
        <w:t>Consecuentemente, la aplicación a este caso de la doctrina expuesta permite apreciar la pérdida sobrevenida de objeto del proceso en lo que se refiere a la impugnación del art. 48.3 a) de la Ley del Parlamento Cantabria 2/2004, del plan de ordenación del litoral. En efecto, con la derogación de los apartados 2 y 3 de su art. 48 por la Ley 8/2013, de 2 de diciembre, aquellos criterios concretos de ordenación recogidos en el apartado impugnado y que los promotores del conflicto entendían que no se justificaban por la concurrencia de intereses supramunicipales han desaparecido de la norma, por lo que ya no subsiste la controversia que dio lugar al planteamiento del presente conflicto en defensa de la autonomía local y que ha de constituir en todo caso el presupuesto del mismo.</w:t>
      </w:r>
    </w:p>
    <w:p w:rsidR="0085709A" w:rsidRDefault="0085709A" w:rsidP="0085709A">
      <w:pPr>
        <w:pStyle w:val="TextoNormal"/>
      </w:pPr>
    </w:p>
    <w:p w:rsidR="0085709A" w:rsidRDefault="0085709A" w:rsidP="0085709A">
      <w:pPr>
        <w:pStyle w:val="TextoNormal"/>
      </w:pPr>
      <w:r w:rsidRPr="0085709A">
        <w:rPr>
          <w:rStyle w:val="NumeroAFNegritaCaracter"/>
        </w:rPr>
        <w:t>6</w:t>
      </w:r>
      <w:r>
        <w:t>. . Del título III de la Ley recurrida, rubricado “Criterios de ordenación” subsiste la impugnación de los arts. 45.2 y 5; 47.2 y 3; 48.1 a), b), c) y 50. Y del título IV, encabezado con la rúbrica “Actuaciones integrales estratégicas”, persiste la impugnación de sus arts. 51.3, 54, 55 y 56.2. Se ha impugnado igualmente la disposición adicional cuarta de la Ley.</w:t>
      </w:r>
    </w:p>
    <w:p w:rsidR="0085709A" w:rsidRDefault="0085709A" w:rsidP="0085709A">
      <w:pPr>
        <w:pStyle w:val="TextoNormal"/>
      </w:pPr>
    </w:p>
    <w:p w:rsidR="0085709A" w:rsidRDefault="0085709A" w:rsidP="0085709A">
      <w:pPr>
        <w:pStyle w:val="TextoNormal"/>
      </w:pPr>
      <w:r>
        <w:t>Comenzaremos pues nuestro enjuiciamiento por el análisis de los preceptos que se acaban de relacionar.</w:t>
      </w:r>
    </w:p>
    <w:p w:rsidR="0085709A" w:rsidRDefault="0085709A" w:rsidP="0085709A">
      <w:pPr>
        <w:pStyle w:val="TextoNormal"/>
      </w:pPr>
    </w:p>
    <w:p w:rsidR="0085709A" w:rsidRDefault="0085709A" w:rsidP="0085709A">
      <w:pPr>
        <w:pStyle w:val="TextoNormal"/>
      </w:pPr>
      <w:r w:rsidRPr="0085709A">
        <w:rPr>
          <w:rStyle w:val="NumeroAFNegritaCaracter"/>
        </w:rPr>
        <w:t>7</w:t>
      </w:r>
      <w:r>
        <w:t>. Del art. 45 de la Ley del plan de ordenación del litoral, rubricado “Criterios generales de desarrollo urbanístico en el Área de Ordenación”, se impugnan sus apartados segundo, conforme al cual “el planeamiento general velará por que los nuevos crecimientos urbanísticos se planteen de forma integral, con especial atención a la morfología y escala de la intervención y con modelos tipológicos que se adapten, en lo básico, al entorno. En el caso de núcleos preexistentes se promoverá la continuidad de la trama”, y quinto.</w:t>
      </w:r>
    </w:p>
    <w:p w:rsidR="0085709A" w:rsidRDefault="0085709A" w:rsidP="0085709A">
      <w:pPr>
        <w:pStyle w:val="TextoNormal"/>
      </w:pPr>
    </w:p>
    <w:p w:rsidR="0085709A" w:rsidRDefault="0085709A" w:rsidP="0085709A">
      <w:pPr>
        <w:pStyle w:val="TextoNormal"/>
      </w:pPr>
      <w:r>
        <w:t>a) Por lo que hace al art. 45.2, los 11 municipios que discuten su constitucionalidad sostienen que el precepto establece un determinado modelo territorial al que habrá de ajustarse el planeamiento territorial pues dispone cómo deberán llevarse a cabo los crecimientos urbanísticos y, para el caso de que ese crecimiento parta de núcleos preexistentes, impone la promoción de la continuidad de la trama, pese a que no existan intereses supramunicipales que lo justifiquen. Las representaciones del Gobierno y del Parlamento de Cantabria se oponen de consuno a esta pretensión anulatoria aduciendo que el precepto legal no impone ningún modelo único de desarrollo urbanístico sino que se limita a fijar un criterio de ordenación del crecimiento urbanístico adecuado para la protección del litoral.</w:t>
      </w:r>
    </w:p>
    <w:p w:rsidR="0085709A" w:rsidRDefault="0085709A" w:rsidP="0085709A">
      <w:pPr>
        <w:pStyle w:val="TextoNormal"/>
      </w:pPr>
    </w:p>
    <w:p w:rsidR="0085709A" w:rsidRDefault="0085709A" w:rsidP="0085709A">
      <w:pPr>
        <w:pStyle w:val="TextoNormal"/>
      </w:pPr>
      <w:r>
        <w:t>A fin de dar respuesta a la impugnación del art. 45.2 de la Ley del plan de ordenación del litoral habremos de tener muy presente que en el mismo se yuxtaponen dos disposiciones normativas: de una parte, el precepto establece que el planeamiento general ha de velar por el carácter “integral” de los nuevos crecimientos urbanísticos, “con especial atención a la morfología y escala de la intervención y con modelos tipológicos que se adapten, en lo básico, al entorno”; por otra, en el caso de los núcleos preexistentes, “se promoverá la continuidad de la trama”.</w:t>
      </w:r>
    </w:p>
    <w:p w:rsidR="0085709A" w:rsidRDefault="0085709A" w:rsidP="0085709A">
      <w:pPr>
        <w:pStyle w:val="TextoNormal"/>
      </w:pPr>
    </w:p>
    <w:p w:rsidR="0085709A" w:rsidRDefault="0085709A" w:rsidP="0085709A">
      <w:pPr>
        <w:pStyle w:val="TextoNormal"/>
      </w:pPr>
      <w:r>
        <w:t>La constitucionalidad de esta segunda previsión, plasmada en el inciso final del art. 45.2, ya fue examinada en la STC 57/2015, FJ 17 a), donde comenzamos “recordando que en el ámbito urbanístico municipal se proyecta una auténtica ‘imbricación de intereses diversos’ (STC 51/2004, de 13 de abril, FJ 12), que se articula tanto mediante la intervención de Administraciones territoriales distintas del municipio, al que corresponde el protagonismo habida cuenta de que ‘la decisión sobre la configuración del asentamiento urbano municipal en que consiste el plan urbanístico −marco regulador del espacio físico de la convivencia de los vecinos− es una tarea comprendida prioritariamente en el ámbito de los intereses del municipio; y sobre aquella decisión se proyectan, por tanto, de forma especialmente intensa las exigencias de la autonomía municipal’ (</w:t>
      </w:r>
      <w:r w:rsidRPr="0085709A">
        <w:rPr>
          <w:i/>
        </w:rPr>
        <w:t>loc. cit</w:t>
      </w:r>
      <w:r>
        <w:t xml:space="preserve">.), como a través del establecimiento de determinaciones básicas de carácter territorial vinculantes para ese mismo planificador urbanístico municipal.” Tras lo cual concluíamos entonces y reiteramos ahora: “Sentado esto, hemos de afirmar, en primer lugar, que la opción legislativa contenida en los apartados primero y segundo </w:t>
      </w:r>
      <w:r w:rsidRPr="0085709A">
        <w:rPr>
          <w:i/>
        </w:rPr>
        <w:t>in fine</w:t>
      </w:r>
      <w:r>
        <w:t xml:space="preserve"> del art. 45 de la Ley del plan de ordenación del litoral se corresponde </w:t>
      </w:r>
      <w:r>
        <w:lastRenderedPageBreak/>
        <w:t>con un modelo territorial cuya fijación trasciende los intereses municipales. El legislador autonómico se decanta por un modelo de desarrollo urbanístico que prima el gradualismo en el proceso de transformación del suelo, evitando así la creación de núcleos desperdigados de población que precisen posteriormente de la creación de infraestructuras de comunicación e integración, con lo que ello supone de incremento de la ocupación y uso del suelo. Además, el legislador no impide absolutamente que el planificador urbanístico municipal se decante por otras alternativas pues el uso de verbos como ‘fomentar’ y ‘promover’ deja un margen de decisión al planificador, que, obviamente, deberá motivar el modo como haya ejercido su libertad de configuración, su discrecionalidad.”</w:t>
      </w:r>
    </w:p>
    <w:p w:rsidR="0085709A" w:rsidRDefault="0085709A" w:rsidP="0085709A">
      <w:pPr>
        <w:pStyle w:val="TextoNormal"/>
      </w:pPr>
    </w:p>
    <w:p w:rsidR="0085709A" w:rsidRDefault="0085709A" w:rsidP="0085709A">
      <w:pPr>
        <w:pStyle w:val="TextoNormal"/>
      </w:pPr>
      <w:r>
        <w:t>Tampoco puede reputarse desproporcionadamente intensa la incidencia del primer inciso del art. 45.2 de la Ley del plan de ordenación del litoral en la libertad de los planificadores urbanísticos municipales. Recordemos que este inciso prevé que “el planeamiento general velará por que los nuevos crecimientos urbanísticos se planteen de forma integral, con especial atención a la morfología y escala de la intervención y con modelos tipológicos que se adapten, en lo básico, al entorno”. Pues bien, más allá del carácter genérico e indeterminado con el que está formulada esta previsión, lo cierto es que se incardina de manera pacífica con el mandato constitucional de utilización racional de los recursos naturales (art. 45.2 CE) que puedan verse afectados por la acción urbanística. De modo que la integralidad de los crecimientos o desarrollos urbanísticos, debe ponerse en conexión con la protección del entorno, sobre el que han de incidir de la manera menos agresiva posible los planificadores urbanísticos. A la vista de lo cual, debemos rechazar ahora la impugnación del art. 45.2 de la Ley del plan de ordenación del litoral.</w:t>
      </w:r>
    </w:p>
    <w:p w:rsidR="0085709A" w:rsidRDefault="0085709A" w:rsidP="0085709A">
      <w:pPr>
        <w:pStyle w:val="TextoNormal"/>
      </w:pPr>
    </w:p>
    <w:p w:rsidR="0085709A" w:rsidRDefault="0085709A" w:rsidP="0085709A">
      <w:pPr>
        <w:pStyle w:val="TextoNormal"/>
      </w:pPr>
      <w:r>
        <w:t>b) Conforme al art. 45.5, “sin perjuicio de lo dispuesto en el artículo 47.3 de esta Ley, el planeamiento municipal delimitará sectores de suelo para la construcción de vivienda sujeta a algún régimen de protección en un porcentaje no inferior al 30 por 100 del total de viviendas en suelo urbanizable previstas en el Plan General, salvo que en la Memoria se justifique la satisfacción de demanda de vivienda protegida con un porcentaje inferior”. A su vez, el art. 47.3, al que remite expresamente este precepto legal, señala que, para las áreas periurbanas “cada sector de suelo urbanizable que se desarrolle en estas áreas y en el que se prevea uso residencial deberá destinar, al menos, un 35 por 100 de la superficie construida destinada a uso residencial para vivienda sujeta a algún régimen de protección, destinando un mínimo del 10 por 100 para la construcción de viviendas de protección oficial de régimen especial”.</w:t>
      </w:r>
    </w:p>
    <w:p w:rsidR="0085709A" w:rsidRDefault="0085709A" w:rsidP="0085709A">
      <w:pPr>
        <w:pStyle w:val="TextoNormal"/>
      </w:pPr>
    </w:p>
    <w:p w:rsidR="0085709A" w:rsidRDefault="0085709A" w:rsidP="0085709A">
      <w:pPr>
        <w:pStyle w:val="TextoNormal"/>
      </w:pPr>
      <w:r>
        <w:t>Para los municipios promotores del conflicto, estas disposiciones legales representan sendas determinaciones desproporcionadamente limitativas de la libertad de los planificadores urbanísticos municipales en la medida en que imponen un destino concreto del suelo. En su opinión, esta decisión no puede ampararse en las competencias autonómicas sobre ordenación del territorio y urbanismo (art. 24.3 del Estatuto de Autonomía) pues dicha competencia habilita a la Comunidad Autónoma para la regulación general del sector de la vivienda, pero no le permite imponer a los ayuntamientos las determinaciones concretas que sobre esa materia hayan de incluir en sus respectivos planes de ordenación urbana.</w:t>
      </w:r>
    </w:p>
    <w:p w:rsidR="0085709A" w:rsidRDefault="0085709A" w:rsidP="0085709A">
      <w:pPr>
        <w:pStyle w:val="TextoNormal"/>
      </w:pPr>
    </w:p>
    <w:p w:rsidR="0085709A" w:rsidRDefault="0085709A" w:rsidP="0085709A">
      <w:pPr>
        <w:pStyle w:val="TextoNormal"/>
      </w:pPr>
      <w:r>
        <w:t xml:space="preserve">Sobre este particular nos hemos pronunciado en la STC 57/2015, en la que hemos desestimado la impugnación del art. 47.3 de la Ley del plan de ordenación del litoral. Hemos recordado en esta resolución cómo “en relación entonces con la configuración legal de los </w:t>
      </w:r>
      <w:r>
        <w:lastRenderedPageBreak/>
        <w:t>derechos de tanteo y retracto como instrumentos al servicio de la política de viviendas, este Tribunal tuvo ocasión de señalar en la STC 207/1999, de 11 de noviembre, que aquellos ‘se instrumentan al servicio de finalidades constitucionales que son ínsitas a la normativa sobre urbanismo y vivienda, competencia exclusiva de la Comunidad Foral de Navarra (art. 44.1 LORAFNA), pues se configuran, en puridad, como un mecanismo o técnica jurídica establecido con la plausible finalidad de combatir el fenómeno de la especulación del suelo, haciendo, asimismo, viable la construcción de viviendas que, por su régimen de protección pública, sean asequibles al sector más desfavorecido de la población, en acomodación a los mandatos constitucionales contenidos en los arts. 33.2 y 47 C.E.’ (FJ 5). Nuevamente es evidente la imbricación de los intereses municipales —concretados en la potestad de planeamiento urbanístico del territorio— y supramunicipales —aquí, los relativos a la política de vivienda—, que justifica y aun exige la instrumentación de técnicas que aseguren la satisfacción de las necesidades de vivienda de los sectores sociales más desfavorecidos.” [FJ 17 b)]. Sentada esta premisa, concluíamos luego que, en el caso que nos ocupa, “el legislador autonómico diseña una técnica para la ejecución de la política pública de vivienda: la reserva de un porcentaje de suelo para vivienda de promoción pública. No es el legislador, ni aun siquiera la Comunidad Autónoma, quien impone una determinada clasificación o destino del suelo al que afecta el precepto que nos ocupa —suelo urbanizable destinado a uso residencial ubicado en el área periurbana que, de acuerdo con el art. 9.1 a) ‘se corresponde con los sectores o áreas periféricas de los núcleos ubicados en el entorno de las autovías y de la Bahía de Santander, sometidos a procesos de transformación territorial por la implantación de nuevos usos que han podido modificar su estructura territorial’— sino que se limita a incidir sobre esas decisiones municipales estableciendo una reserva de suelo para vivienda de promoción pública en aras de la satisfacción de las necesidades de los grupos más desfavorecidos de población y en atención a las necesidades e intereses supramunicipales, como son los aquí afectados.” [STC 57/2015, FJ 17 b)].</w:t>
      </w:r>
    </w:p>
    <w:p w:rsidR="0085709A" w:rsidRDefault="0085709A" w:rsidP="0085709A">
      <w:pPr>
        <w:pStyle w:val="TextoNormal"/>
      </w:pPr>
    </w:p>
    <w:p w:rsidR="0085709A" w:rsidRDefault="0085709A" w:rsidP="0085709A">
      <w:pPr>
        <w:pStyle w:val="TextoNormal"/>
      </w:pPr>
      <w:r>
        <w:t>Estas mismas razones han de conducir a la desestimación del conflicto en cuanto se dirige frente al art. 45.5 de la Ley puesto que, amén de que la determinación en él plasmada halla justificación en la concurrencia del mismo interés supramunicipal —referido a la política de vivienda—, su regulación permite que los planificadores urbanísticos municipales puedan reducir el porcentaje de suelo destinado a la edificación de vivienda sujeta a algún régimen de protección, siempre que justifiquen que con ello queda adecuadamente satisfecha la demanda de esta clase de vivienda. El precepto reconoce con ello a los municipios del área periurbana a los que resulta de aplicación un más amplio margen de libertad para apreciar la necesidad de reservar un determinado porcentaje de suelo a la satisfacción de una necesidad social evidente que conecta con la proclamación constitucional del derecho a una vivienda digna y adecuada (art. 47 CE), combinando así la preservación del interés supramunicipal con la libertad municipal de configuración del urbanismo local en unos términos que, examinados exclusivamente desde la óptica constitucional a la que debemos ceñirnos, no merecen reproche alguno.</w:t>
      </w:r>
    </w:p>
    <w:p w:rsidR="0085709A" w:rsidRDefault="0085709A" w:rsidP="0085709A">
      <w:pPr>
        <w:pStyle w:val="TextoNormal"/>
      </w:pPr>
    </w:p>
    <w:p w:rsidR="0085709A" w:rsidRDefault="0085709A" w:rsidP="0085709A">
      <w:pPr>
        <w:pStyle w:val="TextoNormal"/>
      </w:pPr>
      <w:r w:rsidRPr="0085709A">
        <w:rPr>
          <w:rStyle w:val="NumeroAFNegritaCaracter"/>
        </w:rPr>
        <w:t>8</w:t>
      </w:r>
      <w:r>
        <w:t>. Del art. 47, que regula el régimen de los crecimientos urbanísticos en las denominadas “áreas periurbanas”, que, de acuerdo con el art. 9.1 a), se corresponden “con los sectores o áreas periféricas de los núcleos ubicados en el entorno de las autovías y de la Bahía de Santander, sometidos a procesos de transformación territorial por la implantación de nuevos usos que han podido modificar su estructura territorial”, se impugna asimismo su apartado segundo.</w:t>
      </w:r>
    </w:p>
    <w:p w:rsidR="0085709A" w:rsidRDefault="0085709A" w:rsidP="0085709A">
      <w:pPr>
        <w:pStyle w:val="TextoNormal"/>
      </w:pPr>
    </w:p>
    <w:p w:rsidR="0085709A" w:rsidRDefault="0085709A" w:rsidP="0085709A">
      <w:pPr>
        <w:pStyle w:val="TextoNormal"/>
      </w:pPr>
      <w:r>
        <w:t>El art. 47.2 dispone que “los planeamientos municipales establecerán una ordenación integral para los desarrollos urbanísticos propuestos en estas áreas, donde definirán su estructura general y concretarán la localización de los espacios libres, los equipamientos e infraestructuras necesarias”, previsión que para los municipios promotores del conflicto vulneraría la autonomía local constitucionalmente garantizada pues prefiguraría la planificación urbanística municipal, opinión de la que discrepan las representaciones tanto del Gobierno como del Parlamento de Cantabria. Planteada en estos términos, la impugnación no puede prosperar pues el contenido normativo del precepto no incluye determinaciones limitativas de la libertad de decisión sobre el proceso de desarrollo urbanístico del territorio que corresponde a los planificadores urbanísticos municipales.</w:t>
      </w:r>
    </w:p>
    <w:p w:rsidR="0085709A" w:rsidRDefault="0085709A" w:rsidP="0085709A">
      <w:pPr>
        <w:pStyle w:val="TextoNormal"/>
      </w:pPr>
    </w:p>
    <w:p w:rsidR="0085709A" w:rsidRDefault="0085709A" w:rsidP="0085709A">
      <w:pPr>
        <w:pStyle w:val="TextoNormal"/>
      </w:pPr>
      <w:r>
        <w:t xml:space="preserve">En efecto, el art. 47.2 de la Ley del plan de ordenación del litoral plasma una apuesta por la “ordenación integral” de los desarrollos urbanísticos en las áreas periurbanas, integralidad que supone, entre otros extremos, la definición de la estructura general y la localización concreta de los espacios libres, equipamientos e infraestructuras necesarias. De acuerdo con lo expresamente señalado en el preámbulo de la Ley del plan de ordenación del litoral, su aprobación ha supuesto el ejercicio, principalmente y sin perjuicio de la incidencia de otros títulos competenciales, de las competencias exclusivas que ostenta la Comunidad Autónoma de Cantabria en materia de ordenación del territorio y del litoral y urbanismo (art. 24.3 del Estatuto de Autonomía de Cantabria). Respecto de la competencia sobre ordenación territorial, este Tribunal ha tenido ocasión de indicar que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(STC 149/1998, de 2 de julio, FJ 3) y en la STC 61/1997, de 20 de marzo, se afirma que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 Sin propósito definitorio,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 añadiéndose a renglón seguido: “El contenido que acaba de enunciarse se traduce en la fijación de lo que pudiéramos llamar políticas de ordenación de la ciudad, en tanto en cuanto mediante ellas se viene a determinar el cómo, cuándo y dónde deben surgir o desarrollarse los asentamientos humanos, y a cuyo servicio se disponen las técnicas e instrumentos urbanísticos precisos para lograr tal objetivo.” [FJ 6 a)]. Pues bien, podemos convenir en que el mandato de ordenación integral de los desarrollos urbanísticos, concretado en la doble función de definición de la estructura general y localización de los espacios libres, equipamientos e infraestructuras necesarias, se incardina con naturalidad dentro de las competencias ejercidas por el Parlamento de Cantabria con la aprobación de la Ley del plan de ordenación del litoral pues sirve a la fijación de los usos del suelo y al equilibrio entre las distintas partes del territorio −lo que nos sitúa en el ámbito de la ordenación del territorio−, al tiempo que </w:t>
      </w:r>
      <w:r>
        <w:lastRenderedPageBreak/>
        <w:t>proporciona al planificador urbanístico municipal, sin limitar desproporcionadamente su libertad de configuración del desarrollo urbanístico, técnicas e instrumentos que reputa idóneos para ese desarrollo —vertiente que nos conduce a la competencia sobre urbanismo—. Por lo expuesto, debemos desestimar el conflicto en este punto.</w:t>
      </w:r>
    </w:p>
    <w:p w:rsidR="0085709A" w:rsidRDefault="0085709A" w:rsidP="0085709A">
      <w:pPr>
        <w:pStyle w:val="TextoNormal"/>
      </w:pPr>
    </w:p>
    <w:p w:rsidR="0085709A" w:rsidRDefault="0085709A" w:rsidP="0085709A">
      <w:pPr>
        <w:pStyle w:val="TextoNormal"/>
      </w:pPr>
      <w:r w:rsidRPr="0085709A">
        <w:rPr>
          <w:rStyle w:val="NumeroAFNegritaCaracter"/>
        </w:rPr>
        <w:t>9</w:t>
      </w:r>
      <w:r>
        <w:t>. Del art. 48 pervive la impugnación de las letras a), b) y c) de su apartado primero. Dispone este precepto:</w:t>
      </w:r>
    </w:p>
    <w:p w:rsidR="0085709A" w:rsidRDefault="0085709A" w:rsidP="0085709A">
      <w:pPr>
        <w:pStyle w:val="TextoNormal"/>
      </w:pPr>
    </w:p>
    <w:p w:rsidR="0085709A" w:rsidRDefault="0085709A" w:rsidP="0085709A">
      <w:pPr>
        <w:pStyle w:val="TextoNormal"/>
      </w:pPr>
      <w:r>
        <w:t>“En el Área de Modelo Tradicional los crecimientos urbanísticos deberán ajustarse a los siguientes parámetros:</w:t>
      </w:r>
    </w:p>
    <w:p w:rsidR="0085709A" w:rsidRDefault="0085709A" w:rsidP="0085709A">
      <w:pPr>
        <w:pStyle w:val="TextoNormal"/>
      </w:pPr>
    </w:p>
    <w:p w:rsidR="0085709A" w:rsidRDefault="0085709A" w:rsidP="0085709A">
      <w:pPr>
        <w:pStyle w:val="TextoNormal"/>
      </w:pPr>
      <w:r>
        <w:t>a) Se prohíben las urbanizaciones aisladas.</w:t>
      </w:r>
    </w:p>
    <w:p w:rsidR="0085709A" w:rsidRDefault="0085709A" w:rsidP="0085709A">
      <w:pPr>
        <w:pStyle w:val="TextoNormal"/>
      </w:pPr>
    </w:p>
    <w:p w:rsidR="0085709A" w:rsidRDefault="0085709A" w:rsidP="0085709A">
      <w:pPr>
        <w:pStyle w:val="TextoNormal"/>
      </w:pPr>
      <w:r>
        <w:t>b) Sólo se permitirán desarrollos urbanísticos apoyados en los núcleos preexistentes, que se dirigirán, principalmente, en sentido contrario a la costa y a las áreas afectadas por las categorías de protección, salvo que el planeamiento justifique otra solución más racional atendiendo a la distancia de los mismos a la costa o al Área de Protección, a los valores ambientales y las características físicas de los terrenos colindantes.</w:t>
      </w:r>
    </w:p>
    <w:p w:rsidR="0085709A" w:rsidRDefault="0085709A" w:rsidP="0085709A">
      <w:pPr>
        <w:pStyle w:val="TextoNormal"/>
      </w:pPr>
    </w:p>
    <w:p w:rsidR="0085709A" w:rsidRDefault="0085709A" w:rsidP="0085709A">
      <w:pPr>
        <w:pStyle w:val="TextoNormal"/>
      </w:pPr>
      <w:r>
        <w:t>c) Con carácter general se evitará la conexión de los núcleos mediante el desarrollo de sus respectivos crecimientos, a fin de impedir la formación de un continuo urbano, salvo que se trate de la absorción de barrios o núcleos por el crecimiento planificado de una ciudad. Excepcionalmente y de manera motivada, sin modificar el carácter de su morfología, se podrá prever la unión de entidades menores o barrios cuya estructura permita un relleno de los vacíos entre espacios ya edificados, así como la regularización de los límites de los mismos.”</w:t>
      </w:r>
    </w:p>
    <w:p w:rsidR="0085709A" w:rsidRDefault="0085709A" w:rsidP="0085709A">
      <w:pPr>
        <w:pStyle w:val="TextoNormal"/>
      </w:pPr>
    </w:p>
    <w:p w:rsidR="0085709A" w:rsidRDefault="0085709A" w:rsidP="0085709A">
      <w:pPr>
        <w:pStyle w:val="TextoNormal"/>
      </w:pPr>
      <w:r>
        <w:t>Los municipios promotores del conflicto sostienen que estos criterios concretos de ordenación no hallan amparo en la existencia de intereses supramunicipales suficientes, por lo que no podrán prevalecer sobre las potestades municipales de ordenación urbanística. Por el contrario, las representaciones del Gobierno y del Parlamento de Cantabria defienden que en este precepto se establecen los criterios orientadores del crecimiento urbanístico en las áreas denominadas “modelo tradicional” en las que la protección del entorno reclama unas reglas generales dentro de las que ha de moverse el planificador municipal, apreciándose la existencia de un claro interés supramunicipal pues las determinaciones controvertidas representan instrumentos para la protección del medio ambiente y tratan de orientar el desarrollo urbanístico ordenando el territorio.</w:t>
      </w:r>
    </w:p>
    <w:p w:rsidR="0085709A" w:rsidRDefault="0085709A" w:rsidP="0085709A">
      <w:pPr>
        <w:pStyle w:val="TextoNormal"/>
      </w:pPr>
    </w:p>
    <w:p w:rsidR="0085709A" w:rsidRDefault="0085709A" w:rsidP="0085709A">
      <w:pPr>
        <w:pStyle w:val="TextoNormal"/>
      </w:pPr>
      <w:r>
        <w:t>Debemos comenzar nuestro análisis del precepto legal señalando que sus determinaciones resultan de aplicación a la denominada área de modelo tradicional que, según el art. 9.1 b) de la Ley, “se corresponde con los espacios de organización tradicional, normalmente libres de edificación, constituidos por las mieses inmediatas a los núcleos, generalmente ocupados por cultivos y diversos elementos delimitadores de las mismas, vegetales o inertes, y los terrazgos de monte, dedicados a pradería y labrantío, de significado valor agrario y ambiental.” Para los municipios de esta área, el art. 48.1 contiene una prohibición absoluta de urbanizaciones aisladas [letra a)] y dos relativas: de desarrollos urbanísticos hacia la costa y terrenos afectados por las categorías de protección [letra b)] y de formación de continuos urbanos [letra c)].</w:t>
      </w:r>
    </w:p>
    <w:p w:rsidR="0085709A" w:rsidRDefault="0085709A" w:rsidP="0085709A">
      <w:pPr>
        <w:pStyle w:val="TextoNormal"/>
      </w:pPr>
    </w:p>
    <w:p w:rsidR="0085709A" w:rsidRDefault="0085709A" w:rsidP="0085709A">
      <w:pPr>
        <w:pStyle w:val="TextoNormal"/>
      </w:pPr>
      <w:r>
        <w:t>A fin de dar adecuada respuesta a las alegaciones deducidas por las partes personadas en este proceso en relación con la constitucionalidad del art. 48.1 de la Ley del plan de ordenación del litoral, debemos partir de que, en rigor, la validez de las determinaciones que contiene este precepto legal no depende de su mayor o menor grado de concreción sino de la posibilidad de considerarlas ejercicio legítimo de una competencia de titularidad autonómica. Dicho lo cual, habremos de convenir en la existencia de títulos competenciales autonómicos suficientes para proporcionar cobertura a las determinaciones que nos ocupan.</w:t>
      </w:r>
    </w:p>
    <w:p w:rsidR="0085709A" w:rsidRDefault="0085709A" w:rsidP="0085709A">
      <w:pPr>
        <w:pStyle w:val="TextoNormal"/>
      </w:pPr>
    </w:p>
    <w:p w:rsidR="0085709A" w:rsidRDefault="0085709A" w:rsidP="0085709A">
      <w:pPr>
        <w:pStyle w:val="TextoNormal"/>
      </w:pPr>
      <w:r>
        <w:t>En tal sentido, interesa recordar con la STC 61/1997, FJ 6 a), que el contenido nuclear del urbanismo como título competencial consiste en decidir “cómo, cuándo y dónde deben surgir o desarrollarse los asentamientos humanos”. Pues bien, no otra cosa representa la prohibición de urbanizaciones aisladas en el área de modelo tradicional, decisión que si desde el punto de vista teleológico sirve a la protección de terrenos de relevante —“significado” es el término que utiliza la Ley en su art. 9.1 a)— valor agrario y ambiental, desde el material, se incardina sin mayor esfuerzo argumental en el ámbito urbanístico, pues esta prohibición absoluta lo es de constitución de nuevos asentamientos humanos desligados de los ya existentes en este territorio. Dicho de otro modo, la prohibición responde negativamente al dónde de los asentamientos humanos, respuesta que sólo puede darse legítimamente desde la competencia autonómica sobre urbanismo pues es indudable que la creación de nuevos núcleos de población es una decisión que rebasa con creces el estricto interés municipal y se incardina en el ámbito de los intereses autonómicos. A su vez, las prohibiciones relativas que contienen las letras b) y c) del art. 48.1 de la Ley del Parlamento de Cantabria 2/2004, de 27 de septiembre, del plan de ordenación del litoral vienen a dar respuesta a las preguntas “¿dónde?” —en rigor, “¿hacia dónde?”— y “¿cómo?” pueden desarrollarse urbanísticamente los asentamientos humanos preexistentes. Se trata, como ya se ha indicado, de sendas respuestas dadas desde la materia competencial urbanismo y en las que se ponderan tanto la protección territorial y ambiental de esta área, como la libertad de ordenación de los planificadores urbanísticos municipales, quienes pueden apartarse motivadamente de los criterios definidos por el legislador autonómico.</w:t>
      </w:r>
    </w:p>
    <w:p w:rsidR="0085709A" w:rsidRDefault="0085709A" w:rsidP="0085709A">
      <w:pPr>
        <w:pStyle w:val="TextoNormal"/>
      </w:pPr>
    </w:p>
    <w:p w:rsidR="0085709A" w:rsidRDefault="0085709A" w:rsidP="0085709A">
      <w:pPr>
        <w:pStyle w:val="TextoNormal"/>
      </w:pPr>
      <w:r>
        <w:t>Por las razones expuestas, procede la desestimación de este motivo del presente conflicto en defensa de la autonomía local.</w:t>
      </w:r>
    </w:p>
    <w:p w:rsidR="0085709A" w:rsidRDefault="0085709A" w:rsidP="0085709A">
      <w:pPr>
        <w:pStyle w:val="TextoNormal"/>
      </w:pPr>
    </w:p>
    <w:p w:rsidR="0085709A" w:rsidRDefault="0085709A" w:rsidP="0085709A">
      <w:pPr>
        <w:pStyle w:val="TextoNormal"/>
      </w:pPr>
      <w:r w:rsidRPr="0085709A">
        <w:rPr>
          <w:rStyle w:val="NumeroAFNegritaCaracter"/>
        </w:rPr>
        <w:t>10</w:t>
      </w:r>
      <w:r>
        <w:t>. Se cuestiona también la constitucionalidad del art. 50, que bajo el título “Régimen jurídico del Área No Litoral” establece que “en el Área no litoral, los Planes Generales de Ordenación Urbana determinarán, conforme a los criterios establecidos en la presente Ley, las distintas áreas en función de su capacidad de carga, así como de sus valores naturales, culturales, paisajísticos y la existencia de riesgos acreditados”. Los municipios promotores del conflicto en defensa de la autonomía local controvierten este precepto porque extiende la efectividad del plan de ordenación del litoral más allá de su ámbito de aplicación —los territorios costeros—, sin que exista ningún interés supramunicipal que lo justifique. Las representaciones del Gobierno y el Parlamento de Cantabria sostienen que el precepto deja un amplio margen de libertad al planificador urbanístico municipal en la zonificación del área no litoral, destacando en particular el Ejecutivo autonómico que impone a esos mismos planificadores la obligación de aplicar las figuras introducidas para el área litoral pues tan solo han de tener en cuenta los criterios fijados en el plan de ordenación del litoral para identificar las áreas que urbanísticamente defina el planeamiento urbanístico general.</w:t>
      </w:r>
    </w:p>
    <w:p w:rsidR="0085709A" w:rsidRDefault="0085709A" w:rsidP="0085709A">
      <w:pPr>
        <w:pStyle w:val="TextoNormal"/>
      </w:pPr>
    </w:p>
    <w:p w:rsidR="0085709A" w:rsidRDefault="0085709A" w:rsidP="0085709A">
      <w:pPr>
        <w:pStyle w:val="TextoNormal"/>
      </w:pPr>
      <w:r>
        <w:t xml:space="preserve">En la reciente STC 57/2015, varias veces citada en esta resolución, hemos reseñado que “el art. 50 de la Ley del Parlamento de Cantabria 2/2004 tiene como principal virtualidad comprender en el ámbito de aplicación del concepto ‘capacidad de carga’ a la totalidad de los territorios pertenecientes a los 37 municipios a los que afecta el plan de ordenación del litoral. Ahora bien, como ya advirtiéramos con anterioridad, este concepto opera de manera diferente según se proyecte sobre el área litoral —en cuyo caso resulta de directa aplicación la zonificación contenida en el art. 9.1 de la Ley—, o sobre el área no litoral, en la que el art. 50 de la Ley reconoce el protagonismo regulador de los planes generales de ordenación urbana.” [FJ 17 c)]. Marginalmente, cabe recordar también que en esta misma Sentencia hemos tenido oportunidad de señalar que “convencionalmente … el concepto ‘capacidad de carga’ —traducción literal del término inglés </w:t>
      </w:r>
      <w:r w:rsidRPr="0085709A">
        <w:rPr>
          <w:i/>
        </w:rPr>
        <w:t>carrying capacity</w:t>
      </w:r>
      <w:r>
        <w:t>— hace referencia a la tolerancia del territorio para acoger usos del suelo sin que se produzcan deterioros en el medio que superen los límites aceptables” [FJ 13 b)].</w:t>
      </w:r>
    </w:p>
    <w:p w:rsidR="0085709A" w:rsidRDefault="0085709A" w:rsidP="0085709A">
      <w:pPr>
        <w:pStyle w:val="TextoNormal"/>
      </w:pPr>
    </w:p>
    <w:p w:rsidR="0085709A" w:rsidRDefault="0085709A" w:rsidP="0085709A">
      <w:pPr>
        <w:pStyle w:val="TextoNormal"/>
      </w:pPr>
      <w:r>
        <w:t>Dicho esto, hemos añadido en esa misma Sentencia que “la extensión de la utilidad del concepto ‘capacidad de carga’ más allá del área litoral, en los términos en que se lleva a cabo en el art. 50 de la Ley autonómica impugnada, no puede reputarse contraria a la autonomía municipal. Por una parte, el concepto que nos ocupa se nos presenta como un instrumento idóneo para la realización del objeto propio de la competencia autonómica sobre ordenación del territorio: la fijación de los usos del suelo y el equilibrio entre las distintas partes del territorio, en los términos de la doctrina constitucional sintetizada en la STC 149/1998, FJ 3, antes recordada. Por otra, la incorporación de este concepto a una ley en la que conviven aspectos propios de la ordenación del territorio y del urbanismo stricto sensu —que, conforme señalamos en la STC 141/2014, FJ 5 A), como título competencial alude a la ‘disciplina jurídica del hecho social o colectivo de los asentamientos de población en el espacio físico, lo que, en el plano jurídico, se traduce en la ordenación urbanística, como objeto normativo de las leyes urbanísticas’— se corresponde con la íntima trabazón existente entre ambos títulos competenciales. Finalmente, porque el precepto atribuye el protagonismo principal en la definición operativa de la capacidad de carga de un territorio a los planificadores urbanísticos municipales, a quienes corresponde la zonificación del territorio en función de la capacidad de carga y la acreditación de riesgos de deterioro ambiental, social y cultural (art. 50, en relación con el art. 10, ambos de la Ley del plan de ordenación del litoral). La concurrencia de esos riesgos reviste un indudable interés supramunicipal pues incidirá y condicionará el desarrollo urbanístico del territorio circundante; los supuestos de deterioro identificados en el art. 10 no se agotan en el área territorial que los padece directamente sino que se expanden más allá de los límites del término municipal.” [FJ 17 c)].</w:t>
      </w:r>
    </w:p>
    <w:p w:rsidR="0085709A" w:rsidRDefault="0085709A" w:rsidP="0085709A">
      <w:pPr>
        <w:pStyle w:val="TextoNormal"/>
      </w:pPr>
    </w:p>
    <w:p w:rsidR="0085709A" w:rsidRDefault="0085709A" w:rsidP="0085709A">
      <w:pPr>
        <w:pStyle w:val="TextoNormal"/>
      </w:pPr>
      <w:r>
        <w:t>Como ya sucediera en la STC 57/2015, la aplicación de estos criterios al enjuiciamiento del art. 50 de la Ley del plan de ordenación del litoral conduce inexorablemente a la desestimación de su impugnación.</w:t>
      </w:r>
    </w:p>
    <w:p w:rsidR="0085709A" w:rsidRDefault="0085709A" w:rsidP="0085709A">
      <w:pPr>
        <w:pStyle w:val="TextoNormal"/>
      </w:pPr>
    </w:p>
    <w:p w:rsidR="0085709A" w:rsidRDefault="0085709A" w:rsidP="0085709A">
      <w:pPr>
        <w:pStyle w:val="TextoNormal"/>
      </w:pPr>
      <w:r w:rsidRPr="0085709A">
        <w:rPr>
          <w:rStyle w:val="NumeroAFNegritaCaracter"/>
        </w:rPr>
        <w:t>11</w:t>
      </w:r>
      <w:r>
        <w:t>. Del título IV, “Actuaciones integrales estratégicas” se impugnan los arts. 51.3, 54, 55, 56 y 57.</w:t>
      </w:r>
    </w:p>
    <w:p w:rsidR="0085709A" w:rsidRDefault="0085709A" w:rsidP="0085709A">
      <w:pPr>
        <w:pStyle w:val="TextoNormal"/>
      </w:pPr>
    </w:p>
    <w:p w:rsidR="0085709A" w:rsidRDefault="0085709A" w:rsidP="0085709A">
      <w:pPr>
        <w:pStyle w:val="TextoNormal"/>
      </w:pPr>
      <w:r>
        <w:t xml:space="preserve">a) La constitucionalidad del art. 51.3 —conforme al cual “excepto en las categorías de protección ambiental, y con independencia de la clasificación urbanística, el Gobierno podrá </w:t>
      </w:r>
      <w:r>
        <w:lastRenderedPageBreak/>
        <w:t>aprobar Proyectos Singulares de Interés Regional para llevar a cabo otras Actuaciones Integrales Estratégicas de carácter turístico, deportivo, cultural o residencial para viviendas sometidas a algún régimen de protección pública, en cuyo caso, sus determinaciones prevalecerán sobre las de este Plan, respetando en todo caso las limitaciones de uso del Área de Protección”— se cuestiona porque autoriza a prescindir de la clasificación urbanística del suelo para el asentamiento de actuaciones integrales estratégicas productivas, se prescinde de la iniciativa municipal en su tramitación y no se deja margen alguno para las determinaciones del planeamiento general.</w:t>
      </w:r>
    </w:p>
    <w:p w:rsidR="0085709A" w:rsidRDefault="0085709A" w:rsidP="0085709A">
      <w:pPr>
        <w:pStyle w:val="TextoNormal"/>
      </w:pPr>
    </w:p>
    <w:p w:rsidR="0085709A" w:rsidRDefault="0085709A" w:rsidP="0085709A">
      <w:pPr>
        <w:pStyle w:val="TextoNormal"/>
      </w:pPr>
      <w:r>
        <w:t>En la STC 57/2015 este Tribunal ha tenido ya ocasión de pronunciarse sobre este precepto, habiendo declarado la inconstitucionalidad y nulidad de los incisos “en cuyo caso sus determinaciones prevalecerán sobre las de este Plan” y “con independencia de la clasificación urbanística”. Con tal pronunciamiento se ha dado la razón a los recurrentes en el proceso de inconstitucionalidad tantas veces citado y se ha afirmado que el mencionado art. 51.3, al prescindir de la clasificación urbanística del suelo en el diseño y ejecución de sus políticas sectoriales con incidencia territorial, así como de las determinaciones aparentemente vinculantes de la ley habilitante, supone, en cuanto al primer aspecto “un debilitamiento del principio de autonomía municipal carente de razón suficiente” y en lo atinente al segundo “trastoca el sistema de fuentes y, muy particularmente, el principio de primacía de la ley, postulado básico de un Estado de Derecho (art. 1.1 CE)” [STC 57/2015, FJ 18 a)]. Además, se indica en el mismo fundamento jurídico 18 a) de la sentencia de referencia que “el precepto legal permite que el Ejecutivo autonómico haga uso de esta posibilidad ‘para llevar a cabo otras Actuaciones Integrales Estratégicas de carácter turístico, deportivo, cultural o residencial para viviendas sometidas a algún régimen de protección pública’, lo que abre la puerta a una amplia panoplia de excepciones a las determinaciones establecidas por el propio legislador”. Así pues, una vez declarados inconstitucionales y nulos los incisos referidos, ha de entenderse que la concreta impugnación de este precepto ha perdido objeto.</w:t>
      </w:r>
    </w:p>
    <w:p w:rsidR="0085709A" w:rsidRDefault="0085709A" w:rsidP="0085709A">
      <w:pPr>
        <w:pStyle w:val="TextoNormal"/>
      </w:pPr>
    </w:p>
    <w:p w:rsidR="0085709A" w:rsidRDefault="0085709A" w:rsidP="0085709A">
      <w:pPr>
        <w:pStyle w:val="TextoNormal"/>
      </w:pPr>
      <w:r>
        <w:t>b) Del art. 54 se controvierte asimismo la posibilidad que abre de que las actividades productivas puedan emplazarse sobre cualquier terreno, con abstracción de su clasificación urbanística.</w:t>
      </w:r>
    </w:p>
    <w:p w:rsidR="0085709A" w:rsidRDefault="0085709A" w:rsidP="0085709A">
      <w:pPr>
        <w:pStyle w:val="TextoNormal"/>
      </w:pPr>
    </w:p>
    <w:p w:rsidR="0085709A" w:rsidRDefault="0085709A" w:rsidP="0085709A">
      <w:pPr>
        <w:pStyle w:val="TextoNormal"/>
      </w:pPr>
      <w:r>
        <w:t>Pues bien, en la varias veces mencionada STC 57/2015, FJ 18 d), hemos dicho que no “se aprecia vulneración del principio de autonomía local desde el momento en que el ámbito territorial de aplicación del precepto se contrae a las cinco actuaciones integrales estratégicas productivas identificadas en el anexo III de la Ley. Por consiguiente, ha sido el propio legislador quien —actuando como instancia legítimamente competente para la identificación del interés supramunicipal— ha concretado el territorio y las actuaciones a los que se aplicará esta regulación excepcional. Es por ello que no puede prosperar en este caso la impugnación del inciso ‘y con independencia de su clasificación urbanística’, pues la delimitación de las actuaciones integrales estratégicas productivas conlleva, en coherencia con la virtualidad del principio de jerarquía normativa, que esa clasificación urbanística, contenida por definición en instrumentos de planeamiento urbanístico municipal, haya de ceder ante la decisión adoptada por el Parlamento de Cantabria. Otro tanto sucede con la atribución de interés regional a la delimitación pues es consecuencia lógica del hecho de que esa delimitación la haya llevado a cabo el propio legislador regional.” Consecuentemente, debemos desestimar ahora este motivo impugnatorio.</w:t>
      </w:r>
    </w:p>
    <w:p w:rsidR="0085709A" w:rsidRDefault="0085709A" w:rsidP="0085709A">
      <w:pPr>
        <w:pStyle w:val="TextoNormal"/>
      </w:pPr>
    </w:p>
    <w:p w:rsidR="0085709A" w:rsidRDefault="0085709A" w:rsidP="0085709A">
      <w:pPr>
        <w:pStyle w:val="TextoNormal"/>
      </w:pPr>
      <w:r>
        <w:lastRenderedPageBreak/>
        <w:t>c) En relación con el art. 55 de la Ley, debemos coincidir con la representación letrada del Parlamento de Cantabria cuando pone de manifiesto la ausencia de una argumentación específica que sustente la pretensión de anulación dirigida contra dicho precepto, lo que debe llevarnos inexorablemente a la desestimación de dicha pretensión como consecuencia del incumplimiento por los municipios promotores del conflicto de la carga que sobre ellos pesa de fundamentar los motivos de su impugnación toda vez que “es doctrina reiterada de este Tribunal que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(SSTC 248/2007, de 13 de diciembre, FJ 1, y 17/2013, de 13 de enero, FJ 12).</w:t>
      </w:r>
    </w:p>
    <w:p w:rsidR="0085709A" w:rsidRDefault="0085709A" w:rsidP="0085709A">
      <w:pPr>
        <w:pStyle w:val="TextoNormal"/>
      </w:pPr>
    </w:p>
    <w:p w:rsidR="0085709A" w:rsidRDefault="0085709A" w:rsidP="0085709A">
      <w:pPr>
        <w:pStyle w:val="TextoNormal"/>
      </w:pPr>
      <w:r>
        <w:t>d) Por lo que hace al art. 56, las razones en las que se funda su impugnación se ciñen al contenido de su apartado primero pues nada se dice en el escrito rector de este proceso constitucional acerca del análisis de incidencia de los planes especiales a los que se refiere el art. 60 de la Ley de ordenación territorial y régimen urbanístico del suelo de Cantabria en los instrumentos de planeamiento municipal, ni en torno a la imposición de un específico deber de adaptación de dichos instrumentos a las determinaciones contenidas en dichos planes especiales. A la vista de ello, debemos descartar todo pronunciamiento anulatorio del art. 56.2 de la Ley del plan de ordenación del litoral [precepto respecto del cual ya indicamos en la STC 57/2015, FJ 18 f) que no “se aprecia tacha alguna de inconstitucionalidad … habida cuenta del protagonismo que en [él] se reconoce a los planificadores urbanísticos municipales en la determinación de la incidencia que los planes especiales puedan tener sobre los instrumentos de planeamiento urbano”].</w:t>
      </w:r>
    </w:p>
    <w:p w:rsidR="0085709A" w:rsidRDefault="0085709A" w:rsidP="0085709A">
      <w:pPr>
        <w:pStyle w:val="TextoNormal"/>
      </w:pPr>
    </w:p>
    <w:p w:rsidR="0085709A" w:rsidRDefault="0085709A" w:rsidP="0085709A">
      <w:pPr>
        <w:pStyle w:val="TextoNormal"/>
      </w:pPr>
      <w:r>
        <w:t>Por lo que específicamente se refiere a los arts. 56.1 y 57 de la Ley del plan de ordenación del litoral, sirva reseñar que en el fundamento jurídico 18 f) de la STC 57/2015, hemos declarado lo siguiente:</w:t>
      </w:r>
    </w:p>
    <w:p w:rsidR="0085709A" w:rsidRDefault="0085709A" w:rsidP="0085709A">
      <w:pPr>
        <w:pStyle w:val="TextoNormal"/>
      </w:pPr>
    </w:p>
    <w:p w:rsidR="0085709A" w:rsidRDefault="0085709A" w:rsidP="0085709A">
      <w:pPr>
        <w:pStyle w:val="TextoNormal"/>
      </w:pPr>
      <w:r>
        <w:t>“El art. 56 de la Ley se refiere a los planes especiales que se aprueben en los ámbitos delimitados como actuaciones integrales estratégicas de reordenación; por su parte, el art. 57 contiene el régimen jurídico de las actuaciones integrales estratégicas ambientales. A ambos imputan los recurrentes la infracción de la autonomía municipal porque no contemplan la intervención de los municipios en la elaboración de unos instrumentos de planeamiento cuya fuerza exorbitante llega al punto de desplazar a los planes generales municipales.</w:t>
      </w:r>
    </w:p>
    <w:p w:rsidR="0085709A" w:rsidRDefault="0085709A" w:rsidP="0085709A">
      <w:pPr>
        <w:pStyle w:val="TextoNormal"/>
      </w:pPr>
    </w:p>
    <w:p w:rsidR="0085709A" w:rsidRDefault="0085709A" w:rsidP="0085709A">
      <w:pPr>
        <w:pStyle w:val="TextoNormal"/>
      </w:pPr>
      <w:r>
        <w:t>Tienen razón los recurrentes al señalar que ni el art. 56.1 ni el art. 57 de la Ley del plan de ordenación del litoral prevén intervención alguna de los municipios en la tramitación de los planes especiales que puedan aprobarse en los ámbitos delimitados como actuaciones integrales estratégicas de reordenación o en las actuaciones integrales estratégicas ambientales. Ahora bien, esta ausencia no puede sorprender en exceso habida cuenta de que el art. 56.1 se refiere al contenido necesario de los planes especiales y el art. 57 al régimen jurídico de las actuaciones integrales estratégicas ambientales.</w:t>
      </w:r>
    </w:p>
    <w:p w:rsidR="0085709A" w:rsidRDefault="0085709A" w:rsidP="0085709A">
      <w:pPr>
        <w:pStyle w:val="TextoNormal"/>
      </w:pPr>
    </w:p>
    <w:p w:rsidR="0085709A" w:rsidRDefault="0085709A" w:rsidP="0085709A">
      <w:pPr>
        <w:pStyle w:val="TextoNormal"/>
      </w:pPr>
      <w:r>
        <w:t xml:space="preserve">Estamos ante planes especiales de los regulados en los arts. 59.1 y 76.1 de la Ley de ordenación territorial y de régimen urbanístico del suelo de Cantabria. El segundo de dichos </w:t>
      </w:r>
      <w:r>
        <w:lastRenderedPageBreak/>
        <w:t>preceptos señala que la aprobación de estos planes especiales corresponde al Gobierno autonómico, ‘siguiendo el procedimiento previsto para la aprobación de las Normas Urbanísticas Regionales en el artículo 23 de esta Ley’. Pues bien, en el apartado b) de ese art. 23, rubricado ‘Elaboración y aprobación’, se establece que, una vez redactadas las normas urbanísticas regionales por la Consejería competente, ‘serán trasladadas a la Comisión Regional de Urbanismo que las aprobará inicialmente y las someterá a información pública por un plazo no inferior a dos meses. Al mismo tiempo, la Comisión comunicará expresamente y dará audiencia singularizada a … los Ayuntamientos interesados’. De modo que la lectura integrada de todas las disposiciones legales que disciplinan el procedimiento de elaboración de los planes especiales a los que se refiere el art. 56.1 de la Ley del plan de ordenación del litoral pone de relieve que el legislador autonómico no ha prescindido de la participación municipal en un asunto de su competencia, como es la elaboración de instrumentos de planeamiento cuya incidencia sobre el planeamiento urbanístico municipal es obvia. Consecuentemente, no puede apreciarse infracción de la autonomía local constitucionalmente reconocida al ignorar por entero la competencia que en la materia ostentan estos entes locales, lo que determina la desestimación de este motivo del recurso.”</w:t>
      </w:r>
    </w:p>
    <w:p w:rsidR="0085709A" w:rsidRDefault="0085709A" w:rsidP="0085709A">
      <w:pPr>
        <w:pStyle w:val="TextoNormal"/>
      </w:pPr>
    </w:p>
    <w:p w:rsidR="0085709A" w:rsidRDefault="0085709A" w:rsidP="0085709A">
      <w:pPr>
        <w:pStyle w:val="TextoNormal"/>
      </w:pPr>
      <w:r>
        <w:t>Lo expuesto determina, inexorablemente, la desestimación de este motivo del presente conflicto en defensa de la autonomía local.</w:t>
      </w:r>
    </w:p>
    <w:p w:rsidR="0085709A" w:rsidRDefault="0085709A" w:rsidP="0085709A">
      <w:pPr>
        <w:pStyle w:val="TextoNormal"/>
      </w:pPr>
    </w:p>
    <w:p w:rsidR="0085709A" w:rsidRDefault="0085709A" w:rsidP="0085709A">
      <w:pPr>
        <w:pStyle w:val="TextoNormal"/>
      </w:pPr>
      <w:r w:rsidRPr="0085709A">
        <w:rPr>
          <w:rStyle w:val="NumeroAFNegritaCaracter"/>
        </w:rPr>
        <w:t>12</w:t>
      </w:r>
      <w:r>
        <w:t>. A la disposición adicional cuarta, que modifica el art. 26 de la Ley de ordenación territorial y de régimen urbanístico del suelo de Cantabria, relativo a los proyectos singulares de interés regional, le reprochan los 17 municipios promotores de este conflicto vulneración de la autonomía municipal. En lo sustancial, dichos municipios vienen a coincidir con los parlamentarios que interpusieron el recurso de inconstitucionalidad 7826-2004, resuelto por la STC 57/2015, al fundamentar su pretensión anulatoria en el hecho de que los proyectos singulares de interés regional se imponga a los municipios, sin que estos intervengan en su elaboración más allá de un irrelevante trámite de audiencia y que, además, se amplíe su objeto incluye la determinación de “viviendas sometidas a algún régimen de protección pública”; por lo demás, los municipios actores denuncian no haber podido intervenir en la elaboración de esta disposición adicional. Las representaciones procesales del Gobierno y del Parlamento de Cantabria se oponen a la impugnación de esta disposición adicional e interesan que se desestime el conflicto también en este punto.</w:t>
      </w:r>
    </w:p>
    <w:p w:rsidR="0085709A" w:rsidRDefault="0085709A" w:rsidP="0085709A">
      <w:pPr>
        <w:pStyle w:val="TextoNormal"/>
      </w:pPr>
    </w:p>
    <w:p w:rsidR="0085709A" w:rsidRDefault="0085709A" w:rsidP="0085709A">
      <w:pPr>
        <w:pStyle w:val="TextoNormal"/>
      </w:pPr>
      <w:r>
        <w:t>Estas alegaciones coinciden en lo sustancial con las formuladas por los parlamentarios actores en el recurso de inconstitucionalidad 7826-2004 y han sido rechazadas en la STC 57/2015. Conviene recordar lo que en el fundamento jurídico 21 de esta resolución hemos dicho y ahora hemos de reiterar:</w:t>
      </w:r>
    </w:p>
    <w:p w:rsidR="0085709A" w:rsidRDefault="0085709A" w:rsidP="0085709A">
      <w:pPr>
        <w:pStyle w:val="TextoNormal"/>
      </w:pPr>
    </w:p>
    <w:p w:rsidR="0085709A" w:rsidRDefault="0085709A" w:rsidP="0085709A">
      <w:pPr>
        <w:pStyle w:val="TextoNormal"/>
      </w:pPr>
      <w:r>
        <w:t>“Antes de dar respuesta a la impugnación de la modificación del art. 26 de la Ley de ordenación territorial y régimen urbanístico del suelo de Cantabria llevada a cabo por la disposición adicional cuarta de la Ley del plan de ordenación del litoral, debemos señalar que este artículo de la Ley territorial 2/2001 ha sido objeto de posteriores reformas que, en todo caso, no han incidido significativamente en los extremos controvertidos en este proceso constitucional.</w:t>
      </w:r>
    </w:p>
    <w:p w:rsidR="0085709A" w:rsidRDefault="0085709A" w:rsidP="0085709A">
      <w:pPr>
        <w:pStyle w:val="TextoNormal"/>
      </w:pPr>
    </w:p>
    <w:p w:rsidR="0085709A" w:rsidRDefault="0085709A" w:rsidP="0085709A">
      <w:pPr>
        <w:pStyle w:val="TextoNormal"/>
      </w:pPr>
      <w:r>
        <w:t xml:space="preserve">Al respecto, debemos descartar, en primer lugar, que del hecho de que la Ley del Parlamento de Cantabria 2/2004 tenga por objeto específico la aprobación del plan de ordenación </w:t>
      </w:r>
      <w:r>
        <w:lastRenderedPageBreak/>
        <w:t>del litoral no se sigue que no pueda regular ninguna otra materia sobre la que ostente competencias el legislador autonómico. Estamos ante una norma legal que ha sido aprobada tras seguirse la pertinente tramitación parlamentaria y que, como bien ha puesto de relieve la representación letrada del Gobierno de Cantabria, no se encuentra jerárquicamente subordinada a la Ley 2/2001, cuyo contenido puede ser modificado por la Ley del plan de ordenación del litoral ahora controvertida.</w:t>
      </w:r>
    </w:p>
    <w:p w:rsidR="0085709A" w:rsidRDefault="0085709A" w:rsidP="0085709A">
      <w:pPr>
        <w:pStyle w:val="TextoNormal"/>
      </w:pPr>
    </w:p>
    <w:p w:rsidR="0085709A" w:rsidRDefault="0085709A" w:rsidP="0085709A">
      <w:pPr>
        <w:pStyle w:val="TextoNormal"/>
      </w:pPr>
      <w:r>
        <w:t>Tampoco puede reprocharse a la reforma en cuestión que incorpore los proyectos singulares de interés regional a la panoplia de instrumentos de ordenación territorial disponibles en toda la Comunidad Autónoma de Cantabria. En particular, porque ni la figura es de suyo contraria al bloque de constitucionalidad, ni −supuesto que ello fuera de suyo causa de nulidad− su regulación legal −ahora contenida en el art. 26 de la Ley de ordenación territorial y régimen urbanístico del suelo de Cantabria− queda insoslayablemente ceñida al territorio de los 37 municipios costeros afectados por el plan de ordenación del litoral.</w:t>
      </w:r>
    </w:p>
    <w:p w:rsidR="0085709A" w:rsidRDefault="0085709A" w:rsidP="0085709A">
      <w:pPr>
        <w:pStyle w:val="TextoNormal"/>
      </w:pPr>
    </w:p>
    <w:p w:rsidR="0085709A" w:rsidRDefault="0085709A" w:rsidP="0085709A">
      <w:pPr>
        <w:pStyle w:val="TextoNormal"/>
      </w:pPr>
      <w:r>
        <w:t>En cuanto al procedimiento de elaboración y aprobación de los proyectos singulares de interés regional, debemos llamar la atención sobre el hecho de que el precepto que se recurre se limita a indicar en el inciso final de su apartado segundo que ‘podrán promoverse y desarrollarse por la iniciativa pública o privada’, sin que de esta afirmación pueda inferirse la exclusión de toda participación municipal en el proceso de aprobación de los concretos proyectos singulares de interés regional. Ante este silencio de la Ley, no podemos compartir el reproche que dirigen los recurrentes.</w:t>
      </w:r>
    </w:p>
    <w:p w:rsidR="0085709A" w:rsidRDefault="0085709A" w:rsidP="0085709A">
      <w:pPr>
        <w:pStyle w:val="TextoNormal"/>
      </w:pPr>
    </w:p>
    <w:p w:rsidR="0085709A" w:rsidRDefault="0085709A" w:rsidP="0085709A">
      <w:pPr>
        <w:pStyle w:val="TextoNormal"/>
      </w:pPr>
      <w:r>
        <w:t>Finalmente, la utilización de este instrumento de ordenación territorial para la ‘implantación de viviendas sometidas a algún régimen de protección pública’ responde a un legítimo interés supramunicipal. Debemos remitirnos en este punto a lo señalado en el fundamento jurídico 16 b), con cita de la STC 207/1999, respecto del contenido de la competencia autonómica en materia de vivienda. Interés que también concurre en la posibilidad de ubicar esas viviendas en suelo urbano pues, como bien ha apuntado la representación letrada del Gobierno de Cantabria, esta categoría de suelo no puede constituir un límite al ejercicio de las competencias autonómicas, en especial cuando por la propia naturaleza y contenido de estas deban incidir sobre el mismo.”</w:t>
      </w:r>
    </w:p>
    <w:p w:rsidR="0085709A" w:rsidRDefault="0085709A" w:rsidP="0085709A">
      <w:pPr>
        <w:pStyle w:val="TextoNormal"/>
      </w:pPr>
    </w:p>
    <w:p w:rsidR="0085709A" w:rsidRDefault="0085709A" w:rsidP="0085709A">
      <w:pPr>
        <w:pStyle w:val="TextoNormal"/>
      </w:pPr>
      <w:r>
        <w:t>Decíamos a modo de conclusión en la STC 57/2015 que “todo lo expuesto conduce a la desestimación del recurso en este punto”, conclusión que ahora debemos proyectar sobre el conflicto en defensa de la autonomía local que nos ocupa.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Declarar extinto el presente conflicto en defensa de la autonomía local, por desaparición sobrevenida de su objeto, respecto de los artículos 48.3 y 51.3 de la Ley del Parlamento de Cantabria 2/2004.</w:t>
      </w:r>
    </w:p>
    <w:p w:rsidR="0085709A" w:rsidRDefault="0085709A" w:rsidP="0085709A">
      <w:pPr>
        <w:pStyle w:val="TextoNormal"/>
      </w:pPr>
    </w:p>
    <w:p w:rsidR="0085709A" w:rsidRDefault="0085709A" w:rsidP="0085709A">
      <w:pPr>
        <w:pStyle w:val="TextoNormal"/>
      </w:pPr>
      <w:r>
        <w:t>2º Desestimar el conflicto en defensa de la autonomía local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6" w:name="SENTENCIA_2015_93"/>
      <w:r>
        <w:lastRenderedPageBreak/>
        <w:t>SENTENCIA 93/2015, de 14 de mayo de 2015</w:t>
      </w:r>
    </w:p>
    <w:bookmarkEnd w:id="96"/>
    <w:p w:rsidR="0085709A" w:rsidRDefault="0085709A" w:rsidP="0085709A">
      <w:pPr>
        <w:pStyle w:val="TtuloResolucin"/>
      </w:pPr>
      <w:r>
        <w:t>Pleno</w:t>
      </w:r>
    </w:p>
    <w:p w:rsidR="0085709A" w:rsidRDefault="0085709A" w:rsidP="0085709A">
      <w:pPr>
        <w:pStyle w:val="TtuloBOE"/>
      </w:pPr>
      <w:r>
        <w:t>(BOE núm. 146, de 19 de junio de 2015)</w:t>
      </w:r>
    </w:p>
    <w:p w:rsidR="0085709A" w:rsidRDefault="0085709A" w:rsidP="0085709A">
      <w:pPr>
        <w:pStyle w:val="TextoNormalCentrado"/>
      </w:pPr>
      <w:r>
        <w:t>ECLI:ES:TC:2015:93</w:t>
      </w:r>
    </w:p>
    <w:p w:rsidR="0085709A" w:rsidRDefault="0085709A" w:rsidP="0085709A">
      <w:pPr>
        <w:pStyle w:val="TextoNormalCentrado"/>
      </w:pPr>
    </w:p>
    <w:p w:rsidR="0085709A" w:rsidRDefault="0085709A" w:rsidP="0085709A">
      <w:pPr>
        <w:pStyle w:val="SntesisDescriptiva"/>
      </w:pPr>
      <w:r>
        <w:t>Recurso de inconstitucionalidad 4286-2013. Interpuesto por el Presidente del Gobierno en relación con diversos preceptos del Decreto-ley de Andalucía 6/2013, de 9 de abril, de medidas para asegurar el cumplimiento de la función social de la vivienda.</w:t>
      </w:r>
    </w:p>
    <w:p w:rsidR="0085709A" w:rsidRDefault="0085709A" w:rsidP="0085709A">
      <w:pPr>
        <w:pStyle w:val="SntesisDescriptiva"/>
      </w:pPr>
    </w:p>
    <w:p w:rsidR="0085709A" w:rsidRDefault="0085709A" w:rsidP="0085709A">
      <w:pPr>
        <w:pStyle w:val="SntesisAnaltica"/>
      </w:pPr>
      <w:r>
        <w:t>Límites a los decretos-leyes, derecho de propiedad y competencias sobre condiciones básicas de igualdad, legislación civil y ordenación general de la economía: Nulidad de los preceptos legales que definen el contenido esencial del derecho de propiedad y regulan la expropiación de viviendas deshabitadas, interpretación conforme del precepto que establece la definición de viviendas deshabitadas. Votos particulares.</w:t>
      </w:r>
    </w:p>
    <w:p w:rsidR="0085709A" w:rsidRDefault="0085709A" w:rsidP="0085709A">
      <w:pPr>
        <w:pStyle w:val="SntesisAnaltica"/>
      </w:pPr>
    </w:p>
    <w:p w:rsidR="0085709A" w:rsidRDefault="0085709A" w:rsidP="0085709A">
      <w:pPr>
        <w:pStyle w:val="Extracto"/>
      </w:pPr>
      <w:r>
        <w:t>1.</w:t>
      </w:r>
      <w:r>
        <w:tab/>
        <w:t>Procede desestimar la alegación de que el ejecutivo andaluz identifica la situación de necesidad a que responde el Decreto-ley recurrido únicamente con expresiones genéricas y rituales, pues, ajustándonos al control externo que nos corresponde, su exposición de motivos explicita que tal situación es la actual emergencia social y económica [FJ 9].</w:t>
      </w:r>
    </w:p>
    <w:p w:rsidR="0085709A" w:rsidRDefault="0085709A" w:rsidP="0085709A">
      <w:pPr>
        <w:pStyle w:val="Extracto"/>
      </w:pPr>
    </w:p>
    <w:p w:rsidR="0085709A" w:rsidRDefault="0085709A" w:rsidP="0085709A">
      <w:pPr>
        <w:pStyle w:val="Extracto"/>
      </w:pPr>
      <w:r>
        <w:t>2.</w:t>
      </w:r>
      <w:r>
        <w:tab/>
        <w:t>El derecho a disfrutar de una vivienda digna y adecuada (art. 47 CE), por su íntima conexión con la esfera individual de la persona y el libre desarrollo de la personalidad, es de la máxima relevancia, según se deriva implícitamente de la exposición de motivos cuando expresa la exigencia de una acción normativa inmediata, sin que la actuación pública orientada al logro de esos objetivos gubernamentales admita siquiera la corta demora que conllevaría la tramitación legislativa particularmente ágil que caracteriza la aprobación de las leyes autonómicas [FJ 9].</w:t>
      </w:r>
    </w:p>
    <w:p w:rsidR="0085709A" w:rsidRDefault="0085709A" w:rsidP="0085709A">
      <w:pPr>
        <w:pStyle w:val="Extracto"/>
      </w:pPr>
    </w:p>
    <w:p w:rsidR="0085709A" w:rsidRDefault="0085709A" w:rsidP="0085709A">
      <w:pPr>
        <w:pStyle w:val="Extracto"/>
      </w:pPr>
      <w:r>
        <w:t>3.</w:t>
      </w:r>
      <w:r>
        <w:tab/>
        <w:t>Los preceptos recurridos responden a la necesidad de regular con urgencia el marco jurídico necesario para poner en marcha el programa de acción orientado a movilizar el parque de viviendas deshabitadas susceptibles de arrendamiento,  de marco jurídico entonces inexistente y sin el que no se podría ejecutar dicho programa [FJ 10].</w:t>
      </w:r>
    </w:p>
    <w:p w:rsidR="0085709A" w:rsidRDefault="0085709A" w:rsidP="0085709A">
      <w:pPr>
        <w:pStyle w:val="Extracto"/>
      </w:pPr>
    </w:p>
    <w:p w:rsidR="0085709A" w:rsidRDefault="0085709A" w:rsidP="0085709A">
      <w:pPr>
        <w:pStyle w:val="Extracto"/>
      </w:pPr>
      <w:r>
        <w:t>4.</w:t>
      </w:r>
      <w:r>
        <w:tab/>
        <w:t>Cuando concurre, como en este caso, una situación de extraordinaria y urgente necesidad todos los poderes públicos que tengan asignadas facultades de legislación provisional y competencias sustantivas en el ámbito material en que incide tal situación de necesidad pueden reaccionar normativamente para atender dicha situación, siempre claro está que lo hagan dentro de su espectro competencial (STC 142/2014) [FJ 11].</w:t>
      </w:r>
    </w:p>
    <w:p w:rsidR="0085709A" w:rsidRDefault="0085709A" w:rsidP="0085709A">
      <w:pPr>
        <w:pStyle w:val="Extracto"/>
      </w:pPr>
    </w:p>
    <w:p w:rsidR="0085709A" w:rsidRDefault="0085709A" w:rsidP="0085709A">
      <w:pPr>
        <w:pStyle w:val="Extracto"/>
      </w:pPr>
      <w:r>
        <w:t>5.</w:t>
      </w:r>
      <w:r>
        <w:tab/>
        <w:t xml:space="preserve">El precepto impugnado disciplina un espacio normativo vedado al decreto-ley y reservado a la ley formal, por lo que es inconstitucional y nulo al contravenir uno de los límites materiales del decreto-ley, que deriva del principio democrático que el apartados 1 del art. 1 CE impone a todas las instituciones del Estado en su conjunto y se refleja en el art. 86.1 CE como requerimiento mínimo, por lo que el </w:t>
      </w:r>
      <w:r>
        <w:lastRenderedPageBreak/>
        <w:t>precepto autonómico establece un contenido del derecho de propiedad de la vivienda que lo afecta, en el sentido del art. 86.1 CE, y por tanto entra a regular un ámbito excluido del decreto-ley y pretende delimitar un contenido esencial para lo que ningún legislador es competente [FJ 13].</w:t>
      </w:r>
    </w:p>
    <w:p w:rsidR="0085709A" w:rsidRDefault="0085709A" w:rsidP="0085709A">
      <w:pPr>
        <w:pStyle w:val="Extracto"/>
      </w:pPr>
    </w:p>
    <w:p w:rsidR="0085709A" w:rsidRDefault="0085709A" w:rsidP="0085709A">
      <w:pPr>
        <w:pStyle w:val="Extracto"/>
      </w:pPr>
      <w:r>
        <w:t>6.</w:t>
      </w:r>
      <w:r>
        <w:tab/>
        <w:t>El derecho a una vivienda digna recogido en el art. 25 Estatuto de Autonomía de Andalucía, que más que un derecho subjetivo es un mandato a los poderes públicos autonómicos, garantiza la posición jurídica del ciudadano que necesita un lugar donde vivir y no la del propietario de la vivienda, interés este último que no está amparado por el contenido citado precepto autonómico, sino por el derecho de propiedad recogido en el art. 33 CE [FJ 14].</w:t>
      </w:r>
    </w:p>
    <w:p w:rsidR="0085709A" w:rsidRDefault="0085709A" w:rsidP="0085709A">
      <w:pPr>
        <w:pStyle w:val="Extracto"/>
      </w:pPr>
    </w:p>
    <w:p w:rsidR="0085709A" w:rsidRDefault="0085709A" w:rsidP="0085709A">
      <w:pPr>
        <w:pStyle w:val="Extracto"/>
      </w:pPr>
      <w:r>
        <w:t>7.</w:t>
      </w:r>
      <w:r>
        <w:tab/>
        <w:t>La norma impugnada define el concepto de vivienda deshabitada por referencia al dato fáctico de que no haya estado dedicada efectivamente a uso habitacional durante un cierto plazo, al tiempo que esta categoría no tiene más transcendencia que convertir a tales viviendas en destinatarias de políticas de fomento; y así interpretado, los preceptos a los que se ciñe el presente enjuiciamiento no regulan el derecho de propiedad de la vivienda sino la actividad de fomento orientada al objetivo [FJ 15].</w:t>
      </w:r>
    </w:p>
    <w:p w:rsidR="0085709A" w:rsidRDefault="0085709A" w:rsidP="0085709A">
      <w:pPr>
        <w:pStyle w:val="Extracto"/>
      </w:pPr>
    </w:p>
    <w:p w:rsidR="0085709A" w:rsidRDefault="0085709A" w:rsidP="0085709A">
      <w:pPr>
        <w:pStyle w:val="Extracto"/>
      </w:pPr>
      <w:r>
        <w:t>8.</w:t>
      </w:r>
      <w:r>
        <w:tab/>
        <w:t>El Estado ha definido la extensión de la intervención pública de protección de personas en situación de vulnerabilidad que considera compatible con el adecuado funcionamiento del mercado hipotecario y, a la vez, para evitar que el equilibrio que juzga oportuno se quiebre, se impide que las Comunidades Autónomas en ejercicio de sus competencias propias adopten disposiciones que, con este mismo propósito de tutela, afecten de un modo más intenso a dicho mercado [FJ 17].</w:t>
      </w:r>
    </w:p>
    <w:p w:rsidR="0085709A" w:rsidRDefault="0085709A" w:rsidP="0085709A">
      <w:pPr>
        <w:pStyle w:val="Extracto"/>
      </w:pPr>
    </w:p>
    <w:p w:rsidR="0085709A" w:rsidRDefault="0085709A" w:rsidP="0085709A">
      <w:pPr>
        <w:pStyle w:val="Extracto"/>
      </w:pPr>
      <w:r>
        <w:t>9.</w:t>
      </w:r>
      <w:r>
        <w:tab/>
        <w:t>Las medidas estatales, en tanto que determinan de un modo homogéneo para todo el Estado los sacrificios que se imponen a los acreedores hipotecarios para aliviar la situación de sus deudores, concurren de un modo principal a regular el mercado hipotecario en su conjunto y, al tratarse este de un subsector decisivo dentro del sector financiero, inciden directa y significativamente sobre la actividad económica general [FJ 17].</w:t>
      </w:r>
    </w:p>
    <w:p w:rsidR="0085709A" w:rsidRDefault="0085709A" w:rsidP="0085709A">
      <w:pPr>
        <w:pStyle w:val="Extracto"/>
      </w:pPr>
    </w:p>
    <w:p w:rsidR="0085709A" w:rsidRDefault="0085709A" w:rsidP="0085709A">
      <w:pPr>
        <w:pStyle w:val="Extracto"/>
      </w:pPr>
      <w:r>
        <w:t>10.</w:t>
      </w:r>
      <w:r>
        <w:tab/>
        <w:t>Las acciones estatales no agotan la competencia autonómica en materia de vivienda, que sigue intacta en gran medida porque puede ser ejercida a través de todo tipo de regulaciones que estén desligadas del mercado hipotecario [FJ 17].</w:t>
      </w:r>
    </w:p>
    <w:p w:rsidR="0085709A" w:rsidRDefault="0085709A" w:rsidP="0085709A">
      <w:pPr>
        <w:pStyle w:val="Extracto"/>
      </w:pPr>
    </w:p>
    <w:p w:rsidR="0085709A" w:rsidRDefault="0085709A" w:rsidP="0085709A">
      <w:pPr>
        <w:pStyle w:val="Extracto"/>
      </w:pPr>
      <w:r>
        <w:t>11.</w:t>
      </w:r>
      <w:r>
        <w:tab/>
        <w:t>La norma autonómica impugnada constituye un obstáculo significativo para la eficacia de la medida de política económica que el Estado disciplina en la Ley 1/2013 y, por tanto, procede declarar que el legislador andaluz ha ejercitado la competencia que le incumbe en materia de vivienda de un modo que menoscaba la competencia estatal ex art. 149.1.13 CE [FJ 18].</w:t>
      </w:r>
    </w:p>
    <w:p w:rsidR="0085709A" w:rsidRDefault="0085709A" w:rsidP="0085709A">
      <w:pPr>
        <w:pStyle w:val="Extracto"/>
      </w:pPr>
    </w:p>
    <w:p w:rsidR="0085709A" w:rsidRDefault="0085709A" w:rsidP="0085709A">
      <w:pPr>
        <w:pStyle w:val="Extracto"/>
      </w:pPr>
      <w:r>
        <w:t>12.</w:t>
      </w:r>
      <w:r>
        <w:tab/>
        <w:t>Aunque las exigencias mínimas del principio democrático son en esencia idénticas para todos los decretos-leyes, pues siempre tutelan la participación del pueblo en su conjunto mediante sus representantes electos en la adopción de normas prima</w:t>
      </w:r>
      <w:r>
        <w:lastRenderedPageBreak/>
        <w:t>rias, la distinta realidad de referencia puede causar que uno u otro de esos requerimientos presenten matices o que, al ser precisados por este Tribunal, se le otorgue un mayor o menor alcance [FJ 6].</w:t>
      </w:r>
    </w:p>
    <w:p w:rsidR="0085709A" w:rsidRDefault="0085709A" w:rsidP="0085709A">
      <w:pPr>
        <w:pStyle w:val="Extracto"/>
      </w:pPr>
    </w:p>
    <w:p w:rsidR="0085709A" w:rsidRDefault="0085709A" w:rsidP="0085709A">
      <w:pPr>
        <w:pStyle w:val="Extracto"/>
      </w:pPr>
      <w:r>
        <w:t>13.</w:t>
      </w:r>
      <w:r>
        <w:tab/>
        <w:t>El menor tiempo que requiere tramitar un proyecto de ley en una cámara autonómica es, dentro de la valoración conjunta de factores que implica el control externo del presupuesto que habilita a acudir al decreto-ley, un elemento de la mayor importancia porque puede hacer posible que las situaciones de necesidad sean atendidas tempestivamente mediante la aprobación de leyes, decayendo así la necesidad de intervención extraordinaria del ejecutivo, con lo que dejaría de concurrir el presupuesto habilitante [FJ 6].</w:t>
      </w:r>
    </w:p>
    <w:p w:rsidR="0085709A" w:rsidRDefault="0085709A" w:rsidP="0085709A">
      <w:pPr>
        <w:pStyle w:val="Extracto"/>
      </w:pPr>
    </w:p>
    <w:p w:rsidR="0085709A" w:rsidRDefault="0085709A" w:rsidP="0085709A">
      <w:pPr>
        <w:pStyle w:val="Extracto"/>
      </w:pPr>
      <w:r>
        <w:t>14.</w:t>
      </w:r>
      <w:r>
        <w:tab/>
        <w:t>No procede exigir al gobierno autonómico, para entender realizada la motivación de la situación de necesidad que le incumbe, una justificación expresa e individualizada de la inadecuación del procedimiento legislativo para atender a tiempo los objetivos gubernamentales (STC 142/2014) [FJ 6].</w:t>
      </w:r>
    </w:p>
    <w:p w:rsidR="0085709A" w:rsidRDefault="0085709A" w:rsidP="0085709A">
      <w:pPr>
        <w:pStyle w:val="Extracto"/>
      </w:pPr>
    </w:p>
    <w:p w:rsidR="0085709A" w:rsidRDefault="0085709A" w:rsidP="0085709A">
      <w:pPr>
        <w:pStyle w:val="Extracto"/>
      </w:pPr>
      <w:r>
        <w:t>15.</w:t>
      </w:r>
      <w:r>
        <w:tab/>
        <w:t>La definición expresa de la extraordinaria y urgente necesidad no ha de contenerse siempre en el propio Real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(STC 68/2007, FJ 6) [FJ 7].</w:t>
      </w:r>
    </w:p>
    <w:p w:rsidR="0085709A" w:rsidRDefault="0085709A" w:rsidP="0085709A">
      <w:pPr>
        <w:pStyle w:val="Extracto"/>
      </w:pPr>
    </w:p>
    <w:p w:rsidR="0085709A" w:rsidRDefault="0085709A" w:rsidP="0085709A">
      <w:pPr>
        <w:pStyle w:val="Extracto"/>
      </w:pPr>
      <w:r>
        <w:t>16.</w:t>
      </w:r>
      <w:r>
        <w:tab/>
        <w:t>La cláusula restrictiva del art. 86.1 C. E. (‘no podrán afectar...’) debe ser entendida de modo tal que ni reduzca a la nada el Decreto-ley, ni permita que por Decreto-ley se regule el régimen general de los derechos, deberes y libertades del Título I, ni dé pie para que mediante Decreto-ley se vulnere el contenido o elementos esenciales de alguno de tales derechos (STC 111/1983) [FJ 12].</w:t>
      </w:r>
    </w:p>
    <w:p w:rsidR="0085709A" w:rsidRDefault="0085709A" w:rsidP="0085709A">
      <w:pPr>
        <w:pStyle w:val="Extracto"/>
      </w:pPr>
    </w:p>
    <w:p w:rsidR="0085709A" w:rsidRDefault="0085709A" w:rsidP="0085709A">
      <w:pPr>
        <w:pStyle w:val="Extracto"/>
      </w:pPr>
      <w:r>
        <w:t>17.</w:t>
      </w:r>
      <w:r>
        <w:tab/>
        <w:t>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235/1999) [FJ 17].</w:t>
      </w:r>
    </w:p>
    <w:p w:rsidR="0085709A" w:rsidRDefault="0085709A" w:rsidP="0085709A">
      <w:pPr>
        <w:pStyle w:val="Extracto"/>
      </w:pPr>
    </w:p>
    <w:p w:rsidR="0085709A" w:rsidRDefault="0085709A" w:rsidP="0085709A">
      <w:pPr>
        <w:pStyle w:val="Extracto"/>
      </w:pPr>
      <w:r>
        <w:t>18.</w:t>
      </w:r>
      <w:r>
        <w:tab/>
        <w:t>Al amparo del art. 149.1.13 CE, el Estado puede aprobar normas de naturaleza económica sobre diversos sectores en los que las Comunidades Autónomas hayan asumido competencias a condición de que el referido título competencial no alcance a incluir cualquier acción de naturaleza económica, si no posee una incidencia directa y significativa sobre la actividad económica general (STC 34/2013) [FJ. 17].</w:t>
      </w:r>
    </w:p>
    <w:p w:rsidR="0085709A" w:rsidRDefault="0085709A" w:rsidP="0085709A">
      <w:pPr>
        <w:pStyle w:val="Extracto"/>
      </w:pPr>
    </w:p>
    <w:p w:rsidR="0085709A" w:rsidRDefault="0085709A" w:rsidP="0085709A">
      <w:pPr>
        <w:pStyle w:val="Extracto"/>
      </w:pPr>
      <w:r>
        <w:t>19.</w:t>
      </w:r>
      <w:r>
        <w:tab/>
        <w:t xml:space="preserve">El decreto-ley autonómico es una fuente normativa con rango legal no prevista por la Constitución cuando define la organización territorial del Estado en su título VIII y son las modificaciones de los Estatutos de Autonomía posteriores a 2006 las </w:t>
      </w:r>
      <w:r>
        <w:lastRenderedPageBreak/>
        <w:t>que, en general, han atribuido la facultad de legislación de urgencia a los respectivos Consejos de Gobierno [FJ 3].</w:t>
      </w:r>
    </w:p>
    <w:p w:rsidR="0085709A" w:rsidRDefault="0085709A" w:rsidP="0085709A">
      <w:pPr>
        <w:pStyle w:val="Extracto"/>
      </w:pPr>
    </w:p>
    <w:p w:rsidR="0085709A" w:rsidRDefault="0085709A" w:rsidP="0085709A">
      <w:pPr>
        <w:pStyle w:val="Extracto"/>
      </w:pPr>
      <w:r>
        <w:t>20.</w:t>
      </w:r>
      <w:r>
        <w:tab/>
        <w:t>Dada esta caracterización abierta del régimen autonómico y la función constitucional de los Estatutos de Autonomía, la imprevisión en el título VIII de la categoría del decreto-ley no puede verse como una prohibición sino como un espacio entregado a la libre configuración del legislador estatutario, a quien, al ordenar las instituciones de la Comunidad Autónoma, le cabrá optar por una separación más o menos rígida entre legislativo y ejecutivo, atribuyendo en su caso a este último la facultad de, en concretos supuestos, aprobar normas provisionales con rango de ley que adopten la forma de decreto-ley autonómico [FJ 3].</w:t>
      </w:r>
    </w:p>
    <w:p w:rsidR="0085709A" w:rsidRDefault="0085709A" w:rsidP="0085709A">
      <w:pPr>
        <w:pStyle w:val="Extracto"/>
      </w:pPr>
    </w:p>
    <w:p w:rsidR="0085709A" w:rsidRDefault="0085709A" w:rsidP="0085709A">
      <w:pPr>
        <w:pStyle w:val="Extracto"/>
      </w:pPr>
      <w:r>
        <w:t>21.</w:t>
      </w:r>
      <w:r>
        <w:tab/>
        <w:t>La Constitución ha adoptado una solución flexible y matizada respecto del fenómeno del decreto-ley que no lleva a su completa proscripción en aras del mantenimiento de una rígida separación de los poderes, ni se limita a permitirlo de una forma totalmente excepcional en situaciones de necesidad absoluta, de modo que su utilización se estima legítima en todos aquellos casos en que hay que alcanzar objetivos marcados para la gobernación del país, que, por circunstancias difíciles o imposibles de prever, requieren una acción normativa inmediata o en que las coyunturas económicas exigen una rápida respuesta (STC 96/2014) [FJ 4].</w:t>
      </w:r>
    </w:p>
    <w:p w:rsidR="0085709A" w:rsidRDefault="0085709A" w:rsidP="0085709A">
      <w:pPr>
        <w:pStyle w:val="Extracto"/>
      </w:pPr>
    </w:p>
    <w:p w:rsidR="0085709A" w:rsidRDefault="0085709A" w:rsidP="0085709A">
      <w:pPr>
        <w:pStyle w:val="Extracto"/>
      </w:pPr>
      <w:r>
        <w:t>22.</w:t>
      </w:r>
      <w:r>
        <w:tab/>
        <w:t>Dado que el decreto-ley en nuestro orden constitucional no está restringido a casos de excepción y que el régimen autonómico del título VIII es deliberadamente abierto, cabe esta modulación del principio democrático en el supuesto que prevé el 86.1 CE a favor del Gobierno y se admite que el Consejo de Gobierno tenga tales poderes de legislación urgente si el Estatuto de Autonomía expresamente se los atribuye, en el bien entendido que la potestad atribuida al Gobierno del Estado por el art. 86 CE es más amplia [FJ 4].</w:t>
      </w:r>
    </w:p>
    <w:p w:rsidR="0085709A" w:rsidRDefault="0085709A" w:rsidP="0085709A">
      <w:pPr>
        <w:pStyle w:val="Extracto"/>
      </w:pPr>
    </w:p>
    <w:p w:rsidR="0085709A" w:rsidRDefault="0085709A" w:rsidP="0085709A">
      <w:pPr>
        <w:pStyle w:val="Extracto"/>
      </w:pPr>
      <w:r>
        <w:t>23.</w:t>
      </w:r>
      <w:r>
        <w:tab/>
        <w:t>El fundamento del principio democrático, que es la participación de los ciudadanos a través de sus representantes electos en la elaboración de las normas primarias, aunque no exige que el decreto-ley se conciba como una excepción, sí sufriría, en cambio, si la intervención de los órganos de gobierno en la función legislativa no se sujetase a estrictos límites [FJ 5].</w:t>
      </w:r>
    </w:p>
    <w:p w:rsidR="0085709A" w:rsidRDefault="0085709A" w:rsidP="0085709A">
      <w:pPr>
        <w:pStyle w:val="Extracto"/>
      </w:pPr>
    </w:p>
    <w:p w:rsidR="0085709A" w:rsidRDefault="0085709A" w:rsidP="0085709A">
      <w:pPr>
        <w:pStyle w:val="Extracto"/>
      </w:pPr>
      <w:r>
        <w:t>24.</w:t>
      </w:r>
      <w:r>
        <w:tab/>
        <w:t>Los severos límites impuestos al decreto-ley por razón del principio democrático se reflejan en el art. 86.1 CE y son: que su uso se justifique por “un caso de extraordinaria y urgente necesidad” relativo “a los objetivos marcados para la gobernación del país” (STC 96/2014); que no afecte a las materias más definidoras de nuestro sistema constitucional mencionados en el referido artículo; y que se disponga un control parlamentario posterior a fin de que el órgano legislativo conserve una influencia decisiva sobre los contenidos normativos que se integran definitivamente en el ordenamiento jurídico [FJ 5].</w:t>
      </w:r>
    </w:p>
    <w:p w:rsidR="0085709A" w:rsidRDefault="0085709A" w:rsidP="0085709A">
      <w:pPr>
        <w:pStyle w:val="Extracto"/>
      </w:pPr>
    </w:p>
    <w:p w:rsidR="0085709A" w:rsidRDefault="0085709A" w:rsidP="0085709A">
      <w:pPr>
        <w:pStyle w:val="Extracto"/>
      </w:pPr>
      <w:r>
        <w:t>25.</w:t>
      </w:r>
      <w:r>
        <w:tab/>
        <w:t>Un Estatuto de Autonomía no puede atribuir al Consejo de Gobierno autonómico poderes de legislación de urgencia que no estén sujetos, en lo que corresponda, a los límites consignados en el art. 86.1 CE como garantía del principio democrático [FJ 5].</w:t>
      </w:r>
    </w:p>
    <w:p w:rsidR="0085709A" w:rsidRDefault="0085709A" w:rsidP="0085709A">
      <w:pPr>
        <w:pStyle w:val="Extracto"/>
      </w:pPr>
    </w:p>
    <w:p w:rsidR="0085709A" w:rsidRDefault="0085709A" w:rsidP="0085709A">
      <w:pPr>
        <w:pStyle w:val="Extracto"/>
      </w:pPr>
      <w:r>
        <w:t>26.</w:t>
      </w:r>
      <w:r>
        <w:tab/>
        <w:t>El Estatuto de Autonomía, como norma llamada por el art. 147 CE a conformar la organización institucional de cada ente autonómico, definiendo los poderes del Consejo de Gobierno y de la Asamblea Legislativa así como su amplitud, podrá añadir otros o endurecer los existentes, con el propósito de preservar más intensamente la posición del parlamento autonómico [FJ 5].</w:t>
      </w:r>
    </w:p>
    <w:p w:rsidR="0085709A" w:rsidRDefault="0085709A" w:rsidP="0085709A">
      <w:pPr>
        <w:pStyle w:val="Extracto"/>
      </w:pPr>
    </w:p>
    <w:p w:rsidR="0085709A" w:rsidRDefault="0085709A" w:rsidP="0085709A">
      <w:pPr>
        <w:pStyle w:val="Extracto"/>
      </w:pPr>
      <w:r>
        <w:t>27.</w:t>
      </w:r>
      <w:r>
        <w:tab/>
        <w:t>El derecho de propiedad privada (art. 33 CE)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(STC 37/1987) [FJ 13].</w:t>
      </w:r>
    </w:p>
    <w:p w:rsidR="0085709A" w:rsidRDefault="0085709A" w:rsidP="0085709A">
      <w:pPr>
        <w:pStyle w:val="Extracto"/>
      </w:pPr>
    </w:p>
    <w:p w:rsidR="0085709A" w:rsidRDefault="0085709A" w:rsidP="0085709A">
      <w:pPr>
        <w:pStyle w:val="Extracto"/>
      </w:pPr>
      <w:r>
        <w:t>28.</w:t>
      </w:r>
      <w:r>
        <w:tab/>
        <w:t>En los recursos de inconstitucionalidad, por su carácter abstracto y finalidad de depuración del ordenamiento jurídico, la derogación de los preceptos legales recurridos hace que su objeto decaiga, salvo que el motivo en que se funde la inconstitucionalidad sea de carácter competencial, caso en que, para decidir si el objeto subsiste, debe examinarse si la derogación de tales normas conlleva la eliminación de la controversia o, por contra, al sustituirse por otros preceptos de contenido equivalente, aquélla continúa viva (STC 149/2012)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4286-2013 interpuesto por el Presidente del Gobierno contra el art. 1, por el que se da nueva redacción a los arts. 1.3, 25 y 53.1.a) de la Ley 1/2010, de 8 de marzo, reguladora del derecho a la vivienda en Andalucía, y la disposición adicional segunda del Decreto-ley 6/2013, de 9 de abril, de medidas para asegurar el cumplimiento de la Función Social de la Vivienda. Han comparecido y formulado alegaciones la Junta de Andalucía y el Parlamento de Andalucía, representados por sus respectivos Letrados.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el 9 de julio de 2013 el Abogado del Estado, en nombre del Presidente del Gobierno, interpone recurso de inconstitucionalidad contra el art. 1, por el que se da nueva redacción a los arts. 1.3, 25 y 53.1 a) de la Ley 1/2010, de 8 de marzo, reguladora del derecho a la vivienda en Andalucía, y la disposición adicional segunda del Decreto-ley 6/2013, de 9 de abril, de medidas para asegurar el cumplimiento de la función social de la vivienda. El Abogado del Estado invocó los arts. 161.2 CE y 30 de la Ley Orgánica del Tribunal Constitucional (LOTC), a fin de que se acordase la suspensión de los preceptos impugnados.</w:t>
      </w:r>
    </w:p>
    <w:p w:rsidR="0085709A" w:rsidRDefault="0085709A" w:rsidP="0085709A">
      <w:pPr>
        <w:pStyle w:val="TextoNormal"/>
      </w:pPr>
    </w:p>
    <w:p w:rsidR="0085709A" w:rsidRDefault="0085709A" w:rsidP="0085709A">
      <w:pPr>
        <w:pStyle w:val="TextoNormal"/>
      </w:pPr>
      <w:r>
        <w:t>De modo extractado, los argumentos esenciales pueden concretarse del siguiente modo:</w:t>
      </w:r>
    </w:p>
    <w:p w:rsidR="0085709A" w:rsidRDefault="0085709A" w:rsidP="0085709A">
      <w:pPr>
        <w:pStyle w:val="TextoNormal"/>
      </w:pPr>
    </w:p>
    <w:p w:rsidR="0085709A" w:rsidRDefault="0085709A" w:rsidP="0085709A">
      <w:pPr>
        <w:pStyle w:val="TextoNormal"/>
      </w:pPr>
      <w:r>
        <w:t>a) El Abogado del Estado esgrime varios motivos de inconstitucionalidad exclusivamente referidos a la redacción dada por el Decreto-ley 6/2013 a los arts. 1.3, 25 y 53.1 a) de la Ley 1/2010. El primero es la falta de presupuesto habilitante para la aprobación del decreto-ley. La demanda alude a la doctrina constitucional sobre la aplicación a las instituciones autonómicas de las normas constitucionales relativas a la actuación de poderes públicos estatales (STC 3/2003, de 16 de enero, FJ 6) y afirma que, no siendo automática la traslación de la regulación del art. 86.1 CE a aquéllas, habrá que determinar qué “reglas y principios constitucionales” son aplicables a las normas de urgencia de los gobiernos autonómicos. Para ello, según alega, debe tenerse presente que este tipo normativo está constitucionalmente previsto únicamente para el Estado y no para las Comunidades Autónomas, por lo que los límites de esta facultad del ejecutivo autonómico deben interpretarse en un sentido estricto.</w:t>
      </w:r>
    </w:p>
    <w:p w:rsidR="0085709A" w:rsidRDefault="0085709A" w:rsidP="0085709A">
      <w:pPr>
        <w:pStyle w:val="TextoNormal"/>
      </w:pPr>
    </w:p>
    <w:p w:rsidR="0085709A" w:rsidRDefault="0085709A" w:rsidP="0085709A">
      <w:pPr>
        <w:pStyle w:val="TextoNormal"/>
      </w:pPr>
      <w:r>
        <w:t>b) La demanda parte del art. 110 de la Ley Orgánica 2/2007, de 19 de marzo, de reforma del Estatuto de Autonomía para Andalucía (“en caso de extraordinaria y urgente necesidad el Consejo de Gobierno podrá dictar medidas legislativas provisionales en forma de decretos-leyes, que no podrán afectar a los derechos establecidos en este Estatuto, al régimen electoral, ni a las instituciones de la Junta de Andalucía”), y destaca que en lo que nos ocupa —la concurrencia del presupuesto habilitante— la redacción es prácticamente idéntica a la del art. 86.1 CE, por lo que, a su juicio, se aplica al decreto-ley autonómico la doctrina constitucional referida en este punto a la norma de urgencia estatal (SSTC 68/2007, de 28 de marzo, FJ 6, y 137/2011, de 14 de septiembre, FJ 4), si bien, puntualiza el Abogado del Estado, se ha de ser más riguroso a la hora de apreciar este requisito respecto del decreto-ley autonómico en tanto que la potestad legislativa autonómica puede ejercitarse de forma más ágil que la estatal porque el legislador autonómico es unicameral y los Parlamentos autonómicos más reducidos que cada una de las Cámaras estatales.</w:t>
      </w:r>
    </w:p>
    <w:p w:rsidR="0085709A" w:rsidRDefault="0085709A" w:rsidP="0085709A">
      <w:pPr>
        <w:pStyle w:val="TextoNormal"/>
      </w:pPr>
    </w:p>
    <w:p w:rsidR="0085709A" w:rsidRDefault="0085709A" w:rsidP="0085709A">
      <w:pPr>
        <w:pStyle w:val="TextoNormal"/>
      </w:pPr>
      <w:r>
        <w:t xml:space="preserve">c) A partir de este encuadre, el primer motivo de impugnación se sustenta en varias razones: 1. Que no se justifica la situación de urgencia a la que trata de atender la norma provisional, ya que el legislador solo usa expresiones genéricas y frases rituales, sin realizar ningún esfuerzo para justificar por qué no puede abordarse a través del procedimiento legislativo ágil existente en el Parlamento de Andalucía, ya sea a través del procedimiento de urgencia, de lectura única o de delegación de la competencia legislativa en comisión; 2. No existe conexión de sentido entre el contenido de los preceptos recurridos y la situación de necesidad, ya que las medidas discutidas no son de ejecución inmediata y podían haberse </w:t>
      </w:r>
      <w:r>
        <w:lastRenderedPageBreak/>
        <w:t>adoptado mediante el procedimiento legislativo parlamentario; 3. Que la finalidad propuesta en el decreto-ley se puede atender con los mecanismos previstos en la legislación vigente para el fomento del alquiler.</w:t>
      </w:r>
    </w:p>
    <w:p w:rsidR="0085709A" w:rsidRDefault="0085709A" w:rsidP="0085709A">
      <w:pPr>
        <w:pStyle w:val="TextoNormal"/>
      </w:pPr>
    </w:p>
    <w:p w:rsidR="0085709A" w:rsidRDefault="0085709A" w:rsidP="0085709A">
      <w:pPr>
        <w:pStyle w:val="TextoNormal"/>
      </w:pPr>
      <w:r>
        <w:t xml:space="preserve">d) El segundo motivo es la quiebra de los límites materiales del decreto-ley. Según la demanda, la prohibición de que el decreto-ley afecte al derecho de propiedad deriva del art. 110 del Estatuto de Autonomía para Andalucía (EAAnd), a pesar de que solo prevea que el decreto-ley “no podrá afectar a los derechos establecidos en este Estatuto”, entre los que no se halla el de propiedad. La omisión de la cita de los derechos reconocidos en el título I de la Constitución debe ser entendida, no como habilitación para que el decreto-ley autonómico regule con entera libertad el régimen de aquéllos, sino como prohibición de incidir en modo alguno sobre ellos, ni siquiera regulando sus aspectos accesorios o secundarios. Esta afirmación se basa en que el ámbito de actuación del decreto-ley autonómico es más restringido que el del estatal, ya que si aquél no puede afectar a los derechos estatutarios, que son meros mandatos de actuación dirigidos a los poderes públicos o “derechos de categoría inferior” a los recogidos en el citado título I (STC 31/2010, de 28 de junio, FFJJ 16 a 18), “resulta palmario que sus posibilidades de incidir en los derechos y deberes de nivel constitucional ha de ser muy inferior”. Aunque no se acepte dicha lectura del art. 110 EAAnd, sostiene la demanda que es evidente al menos que el decreto-ley autonómico habrá de ajustarse a los límites materiales que para la norma de urgencia consagra el art. 86.1 CE, pues, con arreglo a la citada doctrina constitucional, los Estatutos de Autonomía no pueden alterar ni los derechos constitucionales, ni su régimen jurídico. En este último, como garantía frente al legislador, destacan las restricciones a las leyes de urgencia </w:t>
      </w:r>
      <w:r w:rsidRPr="0085709A">
        <w:rPr>
          <w:i/>
        </w:rPr>
        <w:t>ex</w:t>
      </w:r>
      <w:r>
        <w:t xml:space="preserve"> art. 86.1 CE.</w:t>
      </w:r>
    </w:p>
    <w:p w:rsidR="0085709A" w:rsidRDefault="0085709A" w:rsidP="0085709A">
      <w:pPr>
        <w:pStyle w:val="TextoNormal"/>
      </w:pPr>
    </w:p>
    <w:p w:rsidR="0085709A" w:rsidRDefault="0085709A" w:rsidP="0085709A">
      <w:pPr>
        <w:pStyle w:val="TextoNormal"/>
      </w:pPr>
      <w:r>
        <w:t>Por tanto, ya sea por aquella razón o por ésta, el decreto-ley autonómico no podrá afectar a los derechos y deberes del título I CE, entre ellos el de propiedad (art. 33 CE), que a su juicio resultaría afectado en el sentido que el Tribunal ha dado a este concepto (STC 189/2005, de 7 de julio, FJ 7) porque “el nuevo art. 1.3 Ley 1/2010 aspira literalmente a delimitar el ‘contenido esencial del derecho de propiedad de la vivienda’… Precisamente el contenido esencial de los derechos constitucionales opera como límite/garantía frente a los poderes constituidos y, singularmente, frente al poder legislativo. Es, por tanto, manifiestamente inconstitucional el art. 1.3 Ley 1/2010. De la misma inconstitucionalidad adolecen los arts. 25 y 53.1 a) que concretan y hacen aplicación del contenido esencial definido en el art. 1.3”.</w:t>
      </w:r>
    </w:p>
    <w:p w:rsidR="0085709A" w:rsidRDefault="0085709A" w:rsidP="0085709A">
      <w:pPr>
        <w:pStyle w:val="TextoNormal"/>
      </w:pPr>
    </w:p>
    <w:p w:rsidR="0085709A" w:rsidRDefault="0085709A" w:rsidP="0085709A">
      <w:pPr>
        <w:pStyle w:val="TextoNormal"/>
      </w:pPr>
      <w:r>
        <w:t xml:space="preserve">Otra alegación relativa a los límites materiales es que el Decreto-ley 6/2013 rebasaría los fijados en el art. 110 EAAnd —el decreto-ley “no podrá afectar a los derechos establecidos en este Estatuto”— porque las previsiones de los arts. 1.3, 25 y 53.1 a) de la Ley 1/2010 afectan al derecho a la vivienda </w:t>
      </w:r>
      <w:r w:rsidRPr="0085709A">
        <w:rPr>
          <w:i/>
        </w:rPr>
        <w:t>ex</w:t>
      </w:r>
      <w:r>
        <w:t xml:space="preserve"> art. 25 EAAnd. Según la demanda, “el Decreto-ley 6/2013 da nueva configuración legal al derecho de propiedad inmobiliaria regulando de modo frontal el derecho a la vivienda. Como señala el dictamen del Consejo de Estado ‘el nuevo art. 1.3 de la Ley andaluza 1/2010, que impone a los propietarios de las viviendas radicadas en el territorio de Andalucía un deber de dar a su propiedad, siempre y en todo caso, un determinado uso, configurando tal deber como parte del contenido esencial del derecho de propiedad, es una norma que de manera evidente altera el que hasta ahora ha sido el contenido propio de tal derecho, en el que se entendía incluida la facultad de dar a una vivienda otros destinos distintos del que por Decreto-ley se prevé ahora’, Lo mismo </w:t>
      </w:r>
      <w:r>
        <w:lastRenderedPageBreak/>
        <w:t>cabría decir de los arts. 25 y 53.1 a), que prevén la imposición de sanciones por el incumplimiento del deber esencial introducido en una norma excepcional de urgencia”.</w:t>
      </w:r>
    </w:p>
    <w:p w:rsidR="0085709A" w:rsidRDefault="0085709A" w:rsidP="0085709A">
      <w:pPr>
        <w:pStyle w:val="TextoNormal"/>
      </w:pPr>
    </w:p>
    <w:p w:rsidR="0085709A" w:rsidRDefault="0085709A" w:rsidP="0085709A">
      <w:pPr>
        <w:pStyle w:val="TextoNormal"/>
      </w:pPr>
      <w:r>
        <w:t>e) La demanda razona en tercer lugar que el art. 1.3 de la Ley 1/2010, y por conexión los arts. 25 y 53.1 a), vulnera el contenido esencial del derecho de propiedad (art. 33 CE). Primero, porque el contenido esencial del derecho de propiedad emana directamente de la Constitución, sin que el legislador ordinario pueda abordar directamente su definición, lo que sí hace este precepto al integrar en él un deber hasta ahora inexistente consistente en destinarlas a un determinado uso. Segundo, porque las medidas restrictivas de la propiedad privada que recoge este artículo contrastan con el principio de proporcionalidad, por existir otras más moderadas y por derivarse de las mismas más perjuicios que beneficios para el interés general.</w:t>
      </w:r>
    </w:p>
    <w:p w:rsidR="0085709A" w:rsidRDefault="0085709A" w:rsidP="0085709A">
      <w:pPr>
        <w:pStyle w:val="TextoNormal"/>
      </w:pPr>
    </w:p>
    <w:p w:rsidR="0085709A" w:rsidRDefault="0085709A" w:rsidP="0085709A">
      <w:pPr>
        <w:pStyle w:val="TextoNormal"/>
      </w:pPr>
      <w:r>
        <w:t>f) Este bloque de impugnaciones se cierra con motivos competenciales. El deber de ocupar la vivienda (art. 1.3) invadiría las atribuciones hechas en los números 1 y 8 del art. 149.1 CE, lesión extendida por conexión a los arts. 25 y 53.1 a). La demanda dice, sobre el art. 149.1.1 CE, que “la regulación de la función social de la propiedad, en cuanto supone imposición de límites al ejercicio de este derecho y de obligaciones específicas para el titular, ha de ser competencia estatal exclusiva, pues forma parte de las condiciones básicas que garantizan la igualdad de todos los españoles en el ejercicio de sus derechos y en el cumplimiento de sus deberes constitucionales. No puede haber funciones sociales diversas en distintas áreas del territorio nacional, sino que el Estado ha de fijar, con carácter exclusivo, por lo menos los límites infranqueables del ámbito de libertad del propietario”. Y que “la exigencia de efectividad del uso habitacional que impone el art. 1.3 Ley 1/2010 a los propietarios de vivienda en Andalucía constituye un deber básico para el ejercicio del derecho de propiedad cuyo establecimiento correspondería, en su caso, al Estado”. Apunta, sobre el art. 149.1.8 CE, que “este Tribunal ya negó que la regulación de la función social de la propiedad y, en consecuencia, del derecho mismo de propiedad constituya el núcleo de la legislación civil” (STC 37/1987), pero que, como sostiene el Consejo de Estado en el expediente previo a interponer este recurso, “no cabe admitir que una Comunidad Autónoma pueda definir en abstracto y por sí sola el alcance de un derecho de naturaleza civil, invocando para ello una competencia meramente sectorial. Esta puede, sin duda, dar cobertura a una regulación que se proyecte sobre instituciones civiles, pero no regular directamente por sí sola tales instituciones”.</w:t>
      </w:r>
    </w:p>
    <w:p w:rsidR="0085709A" w:rsidRDefault="0085709A" w:rsidP="0085709A">
      <w:pPr>
        <w:pStyle w:val="TextoNormal"/>
      </w:pPr>
    </w:p>
    <w:p w:rsidR="0085709A" w:rsidRDefault="0085709A" w:rsidP="0085709A">
      <w:pPr>
        <w:pStyle w:val="TextoNormal"/>
      </w:pPr>
      <w:r>
        <w:t>g) La demanda se dirige, en segundo lugar, contra la disposición adicional segunda del Decreto-ley 6/2013 y sostiene que discrimina sin base constitucional legítima a las entidades financieras o sus filiales inmobiliarias o entidades de gestión de activos frente a otras personas jurídicas que pueden actuar en el mercado, como inmobiliarias, promotores, fondos de inversión, etc. Alega que cualquier diferencia de trato debe tener una justificación objetiva y razonable y que no se comprende por qué solo las entidades citadas deben soportar la potestad expropiatoria que se prevé en el precepto recurrido, aparte de destacar que esta desigualdad es contraria a los principios del proceso de reestructuración bancaria, pues la Sociedad de gestión de activos procedentes de la reestructuración bancaria (SAREB), institución afectada por la discriminación, tiene un objeto social de desinversión estrechamente vinculado al buen fin de los procesos de resolución y reestructuración bancaria en fase de implementación.</w:t>
      </w:r>
    </w:p>
    <w:p w:rsidR="0085709A" w:rsidRDefault="0085709A" w:rsidP="0085709A">
      <w:pPr>
        <w:pStyle w:val="TextoNormal"/>
      </w:pPr>
    </w:p>
    <w:p w:rsidR="0085709A" w:rsidRDefault="0085709A" w:rsidP="0085709A">
      <w:pPr>
        <w:pStyle w:val="TextoNormal"/>
      </w:pPr>
      <w:r>
        <w:lastRenderedPageBreak/>
        <w:t xml:space="preserve">h) Por último, la demanda razona que tanto el primer grupo de normas recurridas [arts. 1.3, 25 y 53.1 a) de la Ley 1/2010] como la disposición adicional segunda del Decreto-ley 6/2013 inciden en la competencia estatal </w:t>
      </w:r>
      <w:r w:rsidRPr="0085709A">
        <w:rPr>
          <w:i/>
        </w:rPr>
        <w:t>ex</w:t>
      </w:r>
      <w:r>
        <w:t xml:space="preserve"> art. 149.1.13 CE. Reconoce que la STC 37/1987, sobre la Ley 8/1984, de 2 de julio, de reforma agraria de Andalucía (que imponía “deberes positivos a los propietarios de tierras rústicas” y “la expropiación de las facultades de uso” en caso de incumplimiento), concluyó que “ninguna de estas normas … alcanza a desplegar una eficacia incisiva en la política económica general del Estado”. Pero matiza que, a diferencia de aquéllas, “las medidas autonómicas aquí impugnadas tienen la virtualidad de poner en verdadero peligro una de las líneas más esenciales de actuación en materia de política económica abordadas por el Estado, a saber: la reestructuración del sistema financiero y la consecución de la estabilidad de las entidades de crédito como herramienta fundamental para conseguir una reducción de la prima de riesgo de nuestro país y de comenzar una senda de crecimiento económico”.</w:t>
      </w:r>
    </w:p>
    <w:p w:rsidR="0085709A" w:rsidRDefault="0085709A" w:rsidP="0085709A">
      <w:pPr>
        <w:pStyle w:val="TextoNormal"/>
      </w:pPr>
    </w:p>
    <w:p w:rsidR="0085709A" w:rsidRDefault="0085709A" w:rsidP="0085709A">
      <w:pPr>
        <w:pStyle w:val="TextoNormal"/>
      </w:pPr>
      <w:r>
        <w:t>Articula este argumento en dos epígrafes.</w:t>
      </w:r>
    </w:p>
    <w:p w:rsidR="0085709A" w:rsidRDefault="0085709A" w:rsidP="0085709A">
      <w:pPr>
        <w:pStyle w:val="TextoNormal"/>
      </w:pPr>
    </w:p>
    <w:p w:rsidR="0085709A" w:rsidRDefault="0085709A" w:rsidP="0085709A">
      <w:pPr>
        <w:pStyle w:val="TextoNormal"/>
      </w:pPr>
      <w:r>
        <w:t>— Dice, de un lado, que “habida cuenta de la relevancia que presenta el sistema financiero para el funcionamiento de la economía en su conjunto, la presencia de una regla competencial específica, como es, en lo que ahora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235/1999, FJ 2).</w:t>
      </w:r>
    </w:p>
    <w:p w:rsidR="0085709A" w:rsidRDefault="0085709A" w:rsidP="0085709A">
      <w:pPr>
        <w:pStyle w:val="TextoNormal"/>
      </w:pPr>
    </w:p>
    <w:p w:rsidR="0085709A" w:rsidRDefault="0085709A" w:rsidP="0085709A">
      <w:pPr>
        <w:pStyle w:val="TextoNormal"/>
      </w:pPr>
      <w:r>
        <w:t>— Dedica un segundo epígrafe a exponer las acciones estatales dirigidas a reorganizar el sistema financiero para que fluya el crédito y se reanude el crecimiento económico. Alude al informe de estabilidad del Banco de España de noviembre de 2012, según el que “la aprobación de la Ley 9/2012 ‘se enmarca en el programa de asistencia a España para la recapitalización del sector financiero, que nuestro país ha acordado en el seno del Eurogrupo y que se ha traducido, entre otros documentos, en la aprobación de un Memorando de Entendimiento’. Así, ‘se prevé la posibilidad de constituir una sociedad de gestión de activos procedentes de la reestructuración bancaria, que se encargue de la gestión de aquellos activos problemáticos que deban serle transferidos por las entidades de crédito’ y ‘la posibilidad de que el FROB ordene a la entidad de crédito correspondiente el traspaso de los activos problemáticos a una sociedad de gestión de activos’ ”.</w:t>
      </w:r>
    </w:p>
    <w:p w:rsidR="0085709A" w:rsidRDefault="0085709A" w:rsidP="0085709A">
      <w:pPr>
        <w:pStyle w:val="TextoNormal"/>
      </w:pPr>
    </w:p>
    <w:p w:rsidR="0085709A" w:rsidRDefault="0085709A" w:rsidP="0085709A">
      <w:pPr>
        <w:pStyle w:val="TextoNormal"/>
      </w:pPr>
      <w:r>
        <w:t>— La demanda concluye de todo ello que “una parte esencial del imprescindible proceso de reestructuración bancaria que se está llevando a cabo se basa en la transferencia por las entidades de crédito en problemas de sus activos tóxicos a la SAREB, para que ésta los gestione y liquide. Esos activos se adjudican a la SAREB a precio razonable. El coste que para Estado y contribuyente tenga finalmente el proceso de reestructuración bancaria depende esencialmente de que la SAREB sea capaz en los próximos años de vender los inmuebles adjudicados a un precio próximo al razonable de adquisición”.</w:t>
      </w:r>
    </w:p>
    <w:p w:rsidR="0085709A" w:rsidRDefault="0085709A" w:rsidP="0085709A">
      <w:pPr>
        <w:pStyle w:val="TextoNormal"/>
      </w:pPr>
    </w:p>
    <w:p w:rsidR="0085709A" w:rsidRDefault="0085709A" w:rsidP="0085709A">
      <w:pPr>
        <w:pStyle w:val="TextoNormal"/>
      </w:pPr>
      <w:r>
        <w:lastRenderedPageBreak/>
        <w:t>En fin, según la demanda, no hay duda que las medidas adoptadas por Andalucía inciden gravemente en el proceso de reestructuración del sector financiero. La Dirección General de Asuntos Económicos y Financieros de la Comisión Europea remitió al Ministerio de Economía y Competitividad carta —adjunta a la demanda— que muestra inquietud por la “inseguridad” que generan dichas medidas en el sector hipotecario español, con “un consiguiente incremento en la prima de riesgo y en la demanda de activos inmobiliarios españoles”, lo cual producirá “una reducción en el valor de los activos inmobiliarios con las subsiguientes repercusiones en el balance y en las necesidades de provisión de las entidades de crédito”, afectará al “flujo de crédito a la economía” y presentará “específicos retos para la SAREB, la compañía española de gestión de activos, que tendrá graves dificultades para llevar a cabo su mandato”. La carta concluye solicitando el cumplimiento del “programa” y su objetivo de “recuperar la estabilidad financiera, evitando cualquier medida que pueda comprometer seriamente este fin”.</w:t>
      </w:r>
    </w:p>
    <w:p w:rsidR="0085709A" w:rsidRDefault="0085709A" w:rsidP="0085709A">
      <w:pPr>
        <w:pStyle w:val="TextoNormal"/>
      </w:pPr>
    </w:p>
    <w:p w:rsidR="0085709A" w:rsidRDefault="0085709A" w:rsidP="0085709A">
      <w:pPr>
        <w:pStyle w:val="TextoNormal"/>
      </w:pPr>
      <w:r>
        <w:t>Acompaña también la demanda un informe de la SAREB sobre el impacto que tales medidas tendría en sus activos inmobiliarios en Andalucía. De él la demanda subraya que la aplicación de los arts. 1.3, 25 y 53.1 a) podría resultar en “eventuales sanciones por infracciones graves o leves derivadas de posibles incumplimientos de requerimientos de información o deber de comunicación de datos” y en “la imposición de sanciones por infracción muy grave consistente en no dar habitación a las viviendas durante seis meses consecutivos”, no pudiendo obviarse “que una parte importante de la cartera de la SAREB está constituida por préstamos cuyo colateral está constituido asimismo por viviendas, sin que sea descartable que en un futuro próximo el derecho de crédito se transforme en su garantía como consecuencia de un procedimiento de ejecución, lo que incrementaría el número de viviendas de titularidad de la SAREB susceptibles de ser objeto de sanciones de la Junta”. Además, precisa que “la sola previsión de este régimen sancionador va a … dificulta[r] enormemente la conclusión de transacciones, muy especialmente en el caso de venta de carteras o bloques de activos”.</w:t>
      </w:r>
    </w:p>
    <w:p w:rsidR="0085709A" w:rsidRDefault="0085709A" w:rsidP="0085709A">
      <w:pPr>
        <w:pStyle w:val="TextoNormal"/>
      </w:pPr>
    </w:p>
    <w:p w:rsidR="0085709A" w:rsidRDefault="0085709A" w:rsidP="0085709A">
      <w:pPr>
        <w:pStyle w:val="TextoNormal"/>
      </w:pPr>
      <w:r>
        <w:t>El Abogado del Estado afirma que tampoco cabe duda, conforme al informe de la SAREB, que “la posibilidad de expropiación de uso introducida en el Decreto-ley andaluz redunda asimismo en una absoluta pérdida de valor de la cartera traspasada a la SAREB; ningún inversor comprará carteras de vivienda en Andalucía cuando una norma con rango de Ley permite al ulterior adquirente permanecer en ella por un plazo de hasta tres años sin satisfacer renta alguna al propietario, lo que convierte en inviable la venta del inmueble. Pero es que, además, difícilmente el eventual adquirente podrá obtener financiación cuando bajo esta normativa la entidad de crédito se ve expuesta no sólo al impago, sino también al riesgo de no poder liberar su balance del activo durante un plazo de tres años”.</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Mediante providencia de 11 de julio de 2013 el Pleno, a propuesta de la Sección Tercera, acordó admitir a trámite el recurso de inconstitucionalidad promovido por el Presidente del Gobierno y, en su representación y defensa, por el Abogado del Estado, contra el art. 1, por el que se da nueva redacción a los arts. 1.3, 25 y 53.1 a) de la Ley 1/2010, de 8 de marzo, reguladora del derecho a la vivienda en Andalucía, y la disposición adicional segunda del Decreto-ley 6/2013, de 9 de abril, de medidas para asegurar el cumplimiento de la función social de la vivienda; dar traslado de la demanda y documentos presentados, conforme establece el art. 34 LOTC, al Congreso de los Diputados y al Senado, por conducto de sus Presidentes, así como al Gobierno y al Parlamento de Andalucía, por conducto </w:t>
      </w:r>
      <w:r>
        <w:lastRenderedPageBreak/>
        <w:t>de sus Presidentes, al objeto de que, en el plazo de quince días, puedan personarse en el proceso y formular las alegaciones que estimaren convenientes; tener por invocado por el Presidente del Gobierno el artículo 161.2 de la Constitución, lo que, conforme dispone el art. 30 LOTC, produce la suspensión de la vigencia y aplicación de los preceptos impugnados, desde la fecha de interposición del recurso —9 de julio de 2013— para las partes del proceso y desde el día en que aparezca publicada la suspensión en el “Boletín Oficial del Estado” para los terceros, lo que se comunicará a los Presidentes del Gobierno y del Parlamento de Andalucía; y publicar la incoación del recurso en el “Boletín Oficial del Estado” y en el “Boletín Oficial de la Junta de Andalucía”.</w:t>
      </w:r>
    </w:p>
    <w:p w:rsidR="0085709A" w:rsidRDefault="0085709A" w:rsidP="0085709A">
      <w:pPr>
        <w:pStyle w:val="TextoNormal"/>
      </w:pPr>
    </w:p>
    <w:p w:rsidR="0085709A" w:rsidRDefault="0085709A" w:rsidP="0085709A">
      <w:pPr>
        <w:pStyle w:val="TextoNormal"/>
      </w:pPr>
      <w:r w:rsidRPr="0085709A">
        <w:rPr>
          <w:rStyle w:val="NumeroAFNegritaCaracter"/>
        </w:rPr>
        <w:t>3</w:t>
      </w:r>
      <w:r>
        <w:t>. Mediante escrito registrado el día 6 de septiembre de 2013, el Presidente del Senado comunicó a este Tribunal el acuerdo de la Mesa de la Cámara en el sentido de darse por personada en el proceso, ofreciendo su colaboración a los efectos del art. 88.1 LOTC. Idéntica comunicación efectuó el Presidente del Congreso de los Diputados el 25 de julio de 2013.</w:t>
      </w:r>
    </w:p>
    <w:p w:rsidR="0085709A" w:rsidRDefault="0085709A" w:rsidP="0085709A">
      <w:pPr>
        <w:pStyle w:val="TextoNormal"/>
      </w:pPr>
    </w:p>
    <w:p w:rsidR="0085709A" w:rsidRDefault="0085709A" w:rsidP="0085709A">
      <w:pPr>
        <w:pStyle w:val="TextoNormal"/>
      </w:pPr>
      <w:r w:rsidRPr="0085709A">
        <w:rPr>
          <w:rStyle w:val="NumeroAFNegritaCaracter"/>
        </w:rPr>
        <w:t>4</w:t>
      </w:r>
      <w:r>
        <w:t>. Las Letradas de la Junta de Andalucía y del Parlamento de Andalucía se personaron en el procedimiento en su respectiva representación y solicitaron prórroga para formular sus alegaciones, concedida por sendas providencias del Pleno de 22 y 30 de julio de 2013.</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día 31 de julio de 2013 la Letrada de la Junta de Andalucía, en la representación que le es propia, solicitó el levantamiento de la suspensión de la disposición impugnada antes del transcurso del plazo de cinco meses previsto en el art. 161.2 CE.</w:t>
      </w:r>
    </w:p>
    <w:p w:rsidR="0085709A" w:rsidRDefault="0085709A" w:rsidP="0085709A">
      <w:pPr>
        <w:pStyle w:val="TextoNormal"/>
      </w:pPr>
    </w:p>
    <w:p w:rsidR="0085709A" w:rsidRDefault="0085709A" w:rsidP="0085709A">
      <w:pPr>
        <w:pStyle w:val="TextoNormal"/>
      </w:pPr>
      <w:r w:rsidRPr="0085709A">
        <w:rPr>
          <w:rStyle w:val="NumeroAFNegritaCaracter"/>
        </w:rPr>
        <w:t>6</w:t>
      </w:r>
      <w:r>
        <w:t>. La Junta de Andalucía instó en escrito registrado el día 13 de septiembre de 2013 la íntegra desestimación del recurso y basa sus razonamientos en los siguientes criterios:</w:t>
      </w:r>
    </w:p>
    <w:p w:rsidR="0085709A" w:rsidRDefault="0085709A" w:rsidP="0085709A">
      <w:pPr>
        <w:pStyle w:val="TextoNormal"/>
      </w:pPr>
    </w:p>
    <w:p w:rsidR="0085709A" w:rsidRDefault="0085709A" w:rsidP="0085709A">
      <w:pPr>
        <w:pStyle w:val="TextoNormal"/>
      </w:pPr>
      <w:r>
        <w:t>a) Sobre la falta del presupuesto habilitante del decreto-ley, la Letrada autonómica rechaza “la conclusión absolutamente gratuita [del Abogado del Estado]” de que esta facultad del ejecutivo autonómico deba interpretarse en sentido estricto porque el decreto-ley está constitucionalmente previsto únicamente para el Estado. Se basa en que “carece de sustento jurídico que el hecho de que una institución no esté expresamente contemplada por la Constitución para un determinado poder del Estado, pero que posteriormente se regule para éste por las normas que integran el bloque de la constitucionalidad, imponga que la interpretación de dicha institución haya de realizarse de modo estricto, sino que la interpretación ha de ajustarse necesariamente a los criterios de interpretación hermenéutica de las normas, entre los que no se encuentra precisamente el que deduce la parte actora”. De este modo, “partiendo ... de que el Estatuto de Autonomía para Andalucía ha optado por tomar el presupuesto habilitante que la Constitución exige al decreto-ley estatal, se hace preciso señalar las líneas que le ha dado el Tribunal Constitucional a la institución” (por todas, STC 68/2007, FJ 4).</w:t>
      </w:r>
    </w:p>
    <w:p w:rsidR="0085709A" w:rsidRDefault="0085709A" w:rsidP="0085709A">
      <w:pPr>
        <w:pStyle w:val="TextoNormal"/>
      </w:pPr>
    </w:p>
    <w:p w:rsidR="0085709A" w:rsidRDefault="0085709A" w:rsidP="0085709A">
      <w:pPr>
        <w:pStyle w:val="TextoNormal"/>
      </w:pPr>
      <w:r>
        <w:t xml:space="preserve">Sobre el primer requisito destaca ciertos pasajes de la exposición de motivos y enfatiza que es claro “que la apreciación de la extraordinaria y urgente necesidad ha sido suficientemente explicitada y razonada” y que “no se trata de fórmulas rituales, sino que se ha justificado suficientemente la existencia de dicho presupuesto habilitante”, que es “la contemplación de una sociedad que padece un grave problema social, al tiempo de la existencia de </w:t>
      </w:r>
      <w:r>
        <w:lastRenderedPageBreak/>
        <w:t>un desorbitado parque de viviendas sin uso o infrautilizado, con una oferta insuficiente y a precios no adecuados, en un contexto de crisis económica como el que se viene padeciendo”. Dice también que “concluir, como hace el Abogado del Estado, con la presunción de que los procedimientos legislativos de urgencia, en lectura única o en comisión podrían haber atendido la necesidad al tratarse de una tramitación parlamentaria ágil supondría ignorar la existencia de la norma estatutaria relativa al Decreto-ley por el mero hecho de la existencia de procedimientos legislativos más ágiles que el ordinario para la tramitación de una norma legal”. Además, “la tramitación de estos procedimientos no tiene la suficiente celeridad para la atención de unas necesidades tan apremiantes como las expuestas y que en el fondo atentan a la dignidad de la persona”. Así, durante la tramitación del Decreto-ley como Ley por el procedimiento de urgencia, ya se había puesto en ejecución aquél y, aparte de otras medidas, se tramitaron 121 expedientes de expropiación temporal del uso de las viviendas.</w:t>
      </w:r>
    </w:p>
    <w:p w:rsidR="0085709A" w:rsidRDefault="0085709A" w:rsidP="0085709A">
      <w:pPr>
        <w:pStyle w:val="TextoNormal"/>
      </w:pPr>
    </w:p>
    <w:p w:rsidR="0085709A" w:rsidRDefault="0085709A" w:rsidP="0085709A">
      <w:pPr>
        <w:pStyle w:val="TextoNormal"/>
      </w:pPr>
      <w:r>
        <w:t>Acerca del segundo requisito, sostiene que “toda la estructura del Decreto-ley goza de conexión de sentido entre la situación existente y la medida adoptada. Más aun, carece de sentido la argumentación de la parte actora de que hay que esperar un año para su aplicación, pues la Orden de 10 de mayo de 2013 aprobó el Plan extraordinario de Inspección 2013-2014, donde no sólo se establecen objetivos genéricos, sino que se adoptan líneas concretas de actuación”. Y, en cuanto a la otra objeción de la demanda, señala que “tanto los Planes Estatales como los autonómicos son insuficientes para atender las necesidades extraordinarias y urgentes que han dado lugar a la aprobación del Decreto-ley”.</w:t>
      </w:r>
    </w:p>
    <w:p w:rsidR="0085709A" w:rsidRDefault="0085709A" w:rsidP="0085709A">
      <w:pPr>
        <w:pStyle w:val="TextoNormal"/>
      </w:pPr>
    </w:p>
    <w:p w:rsidR="0085709A" w:rsidRDefault="0085709A" w:rsidP="0085709A">
      <w:pPr>
        <w:pStyle w:val="TextoNormal"/>
      </w:pPr>
      <w:r>
        <w:t>b) En cuanto a los límites materiales del decreto-ley, sostiene que la lectura de la demanda del art. 110 EAAnd “es absolutamente ilógica y contraria a los criterios de interpretación hermenéutica de las normas por cuanto impide la utilización del Decreto-ley autonómico para incidir aunque sea indirectamente en un derecho constitucional, en este caso el derecho de propiedad, olvidando que sobre dicho derecho se incide no sólo desde normas estatales y autonómicas con rango de ley, sino también con normas de rango reglamentario e incluso a través de decisiones municipales cuales son los planes urbanísticos”. Considera, eso sí, que “el Decreto-ley autonómico habrá de ajustarse a los límites materiales que para el legislador estatal exige el art. 86 CE, es decir, no podrá afectar a los derechos y deberes del Título I de la Constitución en el sentido de que a la legislación de urgencia le está vedada la regulación del régimen general de los derechos, deberes y libertades del Título I y de los elementos esenciales de dichos derechos fundamentales. Ahora bien … ha de negarse rotundamente que el Decreto-ley 6/2013 contenga una regulación del contenido esencial del derecho de propiedad …, no regula más allá de lo que lo hacen las legislaciones urbanísticas de las 17 Comunidades Autónomas cuando … declaran que forma parte del estatuto jurídico de la propiedad del suelo el deber de destinarlas al uso urbanístico previsto por el planeamiento”. De otro lado, sobre la alegación de la demanda que conecta los arts. 25 y 110 EAAnd, arguye que “en ningún caso el Decreto-ley impugnado vulnera el art. 110 EAAnd, por cuanto no se afecta el derecho contenido en el art. 25 EAAnd, que no es el derecho a la vivienda tal y como defiende la representación del Estado, sino algo distinto: la obligación de los Poderes Públicos a la promoción pública de la vivienda”.</w:t>
      </w:r>
    </w:p>
    <w:p w:rsidR="0085709A" w:rsidRDefault="0085709A" w:rsidP="0085709A">
      <w:pPr>
        <w:pStyle w:val="TextoNormal"/>
      </w:pPr>
    </w:p>
    <w:p w:rsidR="0085709A" w:rsidRDefault="0085709A" w:rsidP="0085709A">
      <w:pPr>
        <w:pStyle w:val="TextoNormal"/>
      </w:pPr>
      <w:r>
        <w:t xml:space="preserve">c) Respecto a la alegada lesión del art. 33 CE por el art. 1.3, razona que “no resulta aceptable que desde el Estado se mantenga que la determinación de uno de los deberes que configuran la función social del derecho de propiedad de la vivienda, sea una limitación </w:t>
      </w:r>
      <w:r>
        <w:lastRenderedPageBreak/>
        <w:t>‘que se imponga’ sobre el derecho de propiedad o que sea una ‘medida restrictiva’ del señalado derecho, cuando precisamente no es una limitación externa, sino parte integrante de su propio contenido”, como señaló la STC 37/1987, de 26 de marzo, FJ 2. Niega también que sea desproporcionado pues el art. 47 CE reconoce el derecho a disfrutar de una vivienda digna.</w:t>
      </w:r>
    </w:p>
    <w:p w:rsidR="0085709A" w:rsidRDefault="0085709A" w:rsidP="0085709A">
      <w:pPr>
        <w:pStyle w:val="TextoNormal"/>
      </w:pPr>
    </w:p>
    <w:p w:rsidR="0085709A" w:rsidRDefault="0085709A" w:rsidP="0085709A">
      <w:pPr>
        <w:pStyle w:val="TextoNormal"/>
      </w:pPr>
      <w:r>
        <w:t>d) A su juicio, dicho art. 1.3 tampoco desconoce el art. 149.1.1 CE por los siguientes razonamientos:</w:t>
      </w:r>
    </w:p>
    <w:p w:rsidR="0085709A" w:rsidRDefault="0085709A" w:rsidP="0085709A">
      <w:pPr>
        <w:pStyle w:val="TextoNormal"/>
      </w:pPr>
    </w:p>
    <w:p w:rsidR="0085709A" w:rsidRDefault="0085709A" w:rsidP="0085709A">
      <w:pPr>
        <w:pStyle w:val="TextoNormal"/>
      </w:pPr>
      <w:r>
        <w:t>1º El Estado confunde los conceptos de “condiciones básicas” (art. 149.1.1 CE) y “contenido esencial” (art. 53 CE) cuando son distintos (STC 61/1997, FJ 7).</w:t>
      </w:r>
    </w:p>
    <w:p w:rsidR="0085709A" w:rsidRDefault="0085709A" w:rsidP="0085709A">
      <w:pPr>
        <w:pStyle w:val="TextoNormal"/>
      </w:pPr>
    </w:p>
    <w:p w:rsidR="0085709A" w:rsidRDefault="0085709A" w:rsidP="0085709A">
      <w:pPr>
        <w:pStyle w:val="TextoNormal"/>
      </w:pPr>
      <w:r>
        <w:t xml:space="preserve">2º Las “condiciones básicas” aluden al contenido primario del derecho de propiedad y no habilitan para disponer una regulación uniforme del mismo y de su función social (STC 61/1997, FFJJ 8 y 9), por lo que “dentro del respeto a las condiciones básicas de la propiedad urbana establecidas por el legislador estatal </w:t>
      </w:r>
      <w:r w:rsidRPr="0085709A">
        <w:rPr>
          <w:i/>
        </w:rPr>
        <w:t>ex</w:t>
      </w:r>
      <w:r>
        <w:t xml:space="preserve"> art. 149.1.1 CE, la Comunidad Autónoma tiene competencia para regular aquellos sectores materiales de su competencia propia en que se inserta o entra en juego el derecho de propiedad, tal y como ocurre en el caso presente con el derecho a la propiedad de la vivienda”.</w:t>
      </w:r>
    </w:p>
    <w:p w:rsidR="0085709A" w:rsidRDefault="0085709A" w:rsidP="0085709A">
      <w:pPr>
        <w:pStyle w:val="TextoNormal"/>
      </w:pPr>
    </w:p>
    <w:p w:rsidR="0085709A" w:rsidRDefault="0085709A" w:rsidP="0085709A">
      <w:pPr>
        <w:pStyle w:val="TextoNormal"/>
      </w:pPr>
      <w:r>
        <w:t>3º “El Estado ha procedido ya a regular dichas condiciones básicas en el ejercicio del derecho a la propiedad urbana con la Ley del Suelo, aprobada por Decreto Legislativo 2/2008, de 20 de junio” sin incluir previsión alguna impeditiva del precepto impugnado. Esgrime asimismo que el art. 1.3 respeta el art. 149.1.8 CE, pues el derecho de propiedad no es enteramente legislación civil, “tiene una vertiente institucional, precisamente derivada de la función social que cada categoría o tipo de bienes sobre los que se ejerce el señorío dominical está llamado a cumplir; lo que supone, como ya sabemos, la definitiva incorporación del interés general o colectivo junto al puro interés individual del titular en la propia definición de cada derecho de propiedad” (STC 37/1987, FJ 8). Admite que la demanda, al intentar separar este caso del examinado en la STC 37/1987, razona que entonces, a diferencia de ahora, ya el Estado había señalado los deberes que implicaba la función social de la propiedad agraria, pero enfatiza que este enfoque obvia que también en este caso el Estado ha previsto un régimen equivalente de la propiedad urbana, como es el citado “Decreto Legislativo 2/2008”.</w:t>
      </w:r>
    </w:p>
    <w:p w:rsidR="0085709A" w:rsidRDefault="0085709A" w:rsidP="0085709A">
      <w:pPr>
        <w:pStyle w:val="TextoNormal"/>
      </w:pPr>
    </w:p>
    <w:p w:rsidR="0085709A" w:rsidRDefault="0085709A" w:rsidP="0085709A">
      <w:pPr>
        <w:pStyle w:val="TextoNormal"/>
      </w:pPr>
      <w:r>
        <w:t>e) Respecto a extender a los arts. 25 y 53.1 a) la alegada lesión de los arts. 33, 149.1.1 y 149.1.8 CE opone que “no se alcanza a determinar cuál es la concreta vulneración constitucional que se imputa a los preceptos. El motivo no contiene ni una sola cita de precepto constitucional vulnerado; ni una sola argumentación al efecto”.</w:t>
      </w:r>
    </w:p>
    <w:p w:rsidR="0085709A" w:rsidRDefault="0085709A" w:rsidP="0085709A">
      <w:pPr>
        <w:pStyle w:val="TextoNormal"/>
      </w:pPr>
    </w:p>
    <w:p w:rsidR="0085709A" w:rsidRDefault="0085709A" w:rsidP="0085709A">
      <w:pPr>
        <w:pStyle w:val="TextoNormal"/>
      </w:pPr>
      <w:r>
        <w:t>f) La Letrada autonómica no aprecia que la disposición adicional segunda incurra en discriminación (art. 14 CE) y sobre la alegada lesión por las normas recurridas del art. 149.1.13 CE, aduce que la demanda no discute la competencia constitucional y estatutaria que los ampara, se limita “a tratar de acreditar la pretendida ‘incidencia’ de la norma autonómica sobre las actuaciones estatales”, enfoque expansivo que no cree constitucionalmente aceptable.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7</w:t>
      </w:r>
      <w:r>
        <w:t>. Las alegaciones del Parlamento de Andalucía en las que solicita la desestimación del recurso se registraron el día 23 de septiembre de 2013 y de modo extractado, se formulan así:</w:t>
      </w:r>
    </w:p>
    <w:p w:rsidR="0085709A" w:rsidRDefault="0085709A" w:rsidP="0085709A">
      <w:pPr>
        <w:pStyle w:val="TextoNormal"/>
      </w:pPr>
    </w:p>
    <w:p w:rsidR="0085709A" w:rsidRDefault="0085709A" w:rsidP="0085709A">
      <w:pPr>
        <w:pStyle w:val="TextoNormal"/>
      </w:pPr>
      <w:r>
        <w:t>a) Respecto al presupuesto habilitante del decreto-ley, sostiene que, dada la similitud de términos en los arts. 110 EAAnd y 86 CE, la voluntad de los autores del Estatuto de Autonomía ha sido consagrar en este punto un sistema idéntico al previsto en el art. 86.1 CE, cuyos contornos han sido delimitados por la doctrina constitucional (por todas, STC 51/2013, FJ 3). Examinando los elementos de la misma, dice que “basta una simple lectura de la Exposición de Motivos … para comprobar que … junto a las declaraciones transcritas en el escrito de interposición del recurso, se recogen otras que justifican sobradamente la concurrencia del presupuesto habilitante de las medidas contempladas en los arts. 1.3, 25 y 53.1 a) de la Ley 1/2010”. Transcribe al efecto, del apartado I, los párrafos 12 y 14 y parcialmente los párrafos 15 a 20; y del apartado II los párrafos 5 y 6. Señala también “que en el debate de convalidación del Decreto-ley, … la Consejera de Fomento y Vivienda habló de la situación de emergencia habitacional que sufre Andalucía, exponiendo que la finalidad del Decreto-ley es hacer frente a la misma, haciendo que las viviendas deshabitadas se alquilen y que bajen las rentas del alquiler”. Existe, pues, a su juicio, “una presentación explícita y razonada de los motivos que han sido tenidos en cuenta …. Con el Decreto-ley se trata de dar una respuesta normativa inmediata a una situación coyuntural producida por la crisis económica, estableciendo las bases normativas inmediatas que permitan dar solución al problema social planteado, sin necesidad de esperar a que se tramite el procedimiento legislativo”.</w:t>
      </w:r>
    </w:p>
    <w:p w:rsidR="0085709A" w:rsidRDefault="0085709A" w:rsidP="0085709A">
      <w:pPr>
        <w:pStyle w:val="TextoNormal"/>
      </w:pPr>
    </w:p>
    <w:p w:rsidR="0085709A" w:rsidRDefault="0085709A" w:rsidP="0085709A">
      <w:pPr>
        <w:pStyle w:val="TextoNormal"/>
      </w:pPr>
      <w:r>
        <w:t>Resalta que la cámara andaluza sea unicameral, y que por ello necesite menos tiempo que las Cortes Generales para tramitar un proyecto de ley, podrá ser un factor más a valorar por el Tribunal para apreciar el presupuesto habilitante, pero no un factor que conlleve un requisito adicional de motivación que obligue a exponer de forma expresa por qué no se ha podido atender la situación de necesidad mediante el procedimiento legislativo. Además, que la unicameralidad del legislador no significa que el procedimiento legislativo no sea complejo y requiera un largo periodo de tiempo para su tramitación. Es más, este procedimiento consta de una comparecencia de los agentes sociales (art. 112 del Reglamento) que no existe en las Cortes Generales y que lo alarga notablemente. De hecho, su duración media, trámite de urgencia incluido, es de unos cuatro meses. No hay que olvidar tampoco, añade, que la posibilidad de seguir el procedimiento legislativo de urgencia o el de lectura única, o incluso de delegar la competencia legislativa plena en las Comisiones, vías calificadas en el recurso como “'procedimientos legislativos extraordinariamente ágiles”, dependen del Parlamento y no del Gobierno (STC 182/1997).</w:t>
      </w:r>
    </w:p>
    <w:p w:rsidR="0085709A" w:rsidRDefault="0085709A" w:rsidP="0085709A">
      <w:pPr>
        <w:pStyle w:val="TextoNormal"/>
      </w:pPr>
    </w:p>
    <w:p w:rsidR="0085709A" w:rsidRDefault="0085709A" w:rsidP="0085709A">
      <w:pPr>
        <w:pStyle w:val="TextoNormal"/>
      </w:pPr>
      <w:r>
        <w:t>La situación de necesidad definida, a su juicio, se afronta con “un conjunto sistemático y heterogéneo de medidas que van desde las que buscan evitar desahucios por impago de hipotecas hasta todas las que, partiendo del concepto mismo de vivienda deshabitada del art. 25, pretenden movilizar el parque de viviendas deshabitadas susceptibles de arrendamiento”. Añade que “tanto el art. 53.1 a) como los arts. 1.3 y 25 forman parte de ese conjunto sistemático de medidas y sólo adquieren sentido desde la perspectiva global de la finalidad del nuevo marco jurídico fijado por el Decreto-ley del que los mismos forman parte. Por ello, la misma situación de urgencia y necesidad que justifica las restantes normas del Decreto-ley es aplicable a estos tres preceptos”, citando en su apoyo la STC 23/1993.</w:t>
      </w:r>
    </w:p>
    <w:p w:rsidR="0085709A" w:rsidRDefault="0085709A" w:rsidP="0085709A">
      <w:pPr>
        <w:pStyle w:val="TextoNormal"/>
      </w:pPr>
    </w:p>
    <w:p w:rsidR="0085709A" w:rsidRDefault="0085709A" w:rsidP="0085709A">
      <w:pPr>
        <w:pStyle w:val="TextoNormal"/>
      </w:pPr>
      <w:r>
        <w:t>b) La Letrada del Parlamento alega, sobre los límites materiales, que la finalidad del art. 110 EAAnd “no es delimitar positivamente el ámbito material de actuación del Decreto-ley autonómico, mediante la enumeración de las materias que podrán ser reguladas o afectadas por él, sino que su finalidad es justamente la contraria. Es decir, delimitar negativamente el ámbito material del Decreto-ley”. Así, las materias no citadas en este precepto podrán ser reguladas o afectadas por la legislación de urgencia; siempre claro está, y como no podía ser de otra manera, que estas materias estén incluidas en el ámbito material de las competencias legislativas de la Comunidad Autónoma. Es decir, “tiene un doble límite material: uno, general, que deriva del propio ámbito competencial de la Comunidad Autónoma y otro, específico, establecido en el art. 110 EAAnd”. La lectura de la demanda, en cambio, “implicaría la negación misma del Decreto-ley autonómico, ya que éste solo podría atender las situaciones de extraordinaria y urgente necesidad que se produjeran en el reducido ámbito de las materias enumeradas en el art. 110.1 EAAnd y, dentro del mismo, con el limitado margen de actuación que implica el término ‘afectar’ utilizado por este precepto…”</w:t>
      </w:r>
    </w:p>
    <w:p w:rsidR="0085709A" w:rsidRDefault="0085709A" w:rsidP="0085709A">
      <w:pPr>
        <w:pStyle w:val="TextoNormal"/>
      </w:pPr>
    </w:p>
    <w:p w:rsidR="0085709A" w:rsidRDefault="0085709A" w:rsidP="0085709A">
      <w:pPr>
        <w:pStyle w:val="TextoNormal"/>
      </w:pPr>
      <w:r>
        <w:t xml:space="preserve">Rechaza también que el Decreto-ley autonómico deba ajustarse a los límites materiales </w:t>
      </w:r>
      <w:r w:rsidRPr="0085709A">
        <w:rPr>
          <w:i/>
        </w:rPr>
        <w:t>ex</w:t>
      </w:r>
      <w:r>
        <w:t xml:space="preserve"> 86.1 CE porque el Estatuto de Autonomía no pueda alterar el régimen de garantías de los derechos fundamentales, pues, a su juicio, las garantías del derecho de propiedad como derecho del título I de la Constitución se recogen en los arts. 33 y 53.1 CE y no en el art. 86 CE. A la vista de este régimen de protección, la única duda que cabe es si el Decreto-ley es una norma apta para cubrir la reserva de ley prevista en los arts. 33 y 53.1 CE, a lo que debe contestarse afirmativamente dado que ninguno de ellos hace mención expresa a la ley parlamentaria y que en nuestro sistema constitucional el hecho de que una materia esté reservada a la ley no excluye la intervención del Decreto-ley (SSTC 111/1983, FJ 11; y 182/1997, FJ 8). Esta prohibición deriva, pues, del art. 86.1 CE, cuya finalidad no es prever el régimen de garantías de los derechos fundamentales del título I de la Constitución, sino, por su contenido y ubicación en el capítulo segundo del título III, fijar los contornos jurídicos en los que se desenvuelve la potestad propia del Gobierno del Estado de dictar normas con rango de ley, razón por la cual su régimen no es trasladable a los decretos-leyes autonómicos. Subsidiariamente, aunque se estimase que el art. 86.1 CE es aplicable a la norma impugnada, esta parte sostiene que en este caso tampoco habría resultado afectado el derecho en cuestión, pues para ello sería necesario que aquélla “regule el régimen general” del mismo o “vaya en contra del contenido o elementos esenciales de alguno de estos derechos”.</w:t>
      </w:r>
    </w:p>
    <w:p w:rsidR="0085709A" w:rsidRDefault="0085709A" w:rsidP="0085709A">
      <w:pPr>
        <w:pStyle w:val="TextoNormal"/>
      </w:pPr>
    </w:p>
    <w:p w:rsidR="0085709A" w:rsidRDefault="0085709A" w:rsidP="0085709A">
      <w:pPr>
        <w:pStyle w:val="TextoNormal"/>
      </w:pPr>
      <w:r>
        <w:t xml:space="preserve">c) Sobre la alegada afectación del derecho a la vivienda </w:t>
      </w:r>
      <w:r w:rsidRPr="0085709A">
        <w:rPr>
          <w:i/>
        </w:rPr>
        <w:t>ex</w:t>
      </w:r>
      <w:r>
        <w:t xml:space="preserve"> art. 25 EAAnd por los arts. 1.3, 25 y 53.1 a) de la Ley 1/2010, la Letrada del Parlamento destaca que la argumentación se refiere al derecho de propiedad del art. 33 CE, no al derecho a disfrutar de una vivienda digna a que alude el art. 25 EAAnd, por lo que no guarda relación alguna con esta precisa impugnación.</w:t>
      </w:r>
    </w:p>
    <w:p w:rsidR="0085709A" w:rsidRDefault="0085709A" w:rsidP="0085709A">
      <w:pPr>
        <w:pStyle w:val="TextoNormal"/>
      </w:pPr>
    </w:p>
    <w:p w:rsidR="0085709A" w:rsidRDefault="0085709A" w:rsidP="0085709A">
      <w:pPr>
        <w:pStyle w:val="TextoNormal"/>
      </w:pPr>
      <w:r>
        <w:t xml:space="preserve">Rechaza también la alegada lesión del art. 33 CE. Aduce que la expresión “contenido esencial” en el art. 1.3 alude, no a la previsión del art. 53.1 CE, sino al contenido del derecho de propiedad de la vivienda definido por el legislador según su función social (art. 33.2 CE). Deber destinar la vivienda a un uso habitacional (art. 1.3) y sus corolarios [arts. 25 y 53.1 a)], aparte de apoyarse en específicos mandatos constitucionales (arts. 39 y 47 CE), no hacen sino definir el contenido del derecho de propiedad según su función social, y ello no supone </w:t>
      </w:r>
      <w:r>
        <w:lastRenderedPageBreak/>
        <w:t>mutilar ningún derecho preexistente, ni privar a nadie de ningún derecho que tenga (STC 37/1987, FJ 2).</w:t>
      </w:r>
    </w:p>
    <w:p w:rsidR="0085709A" w:rsidRDefault="0085709A" w:rsidP="0085709A">
      <w:pPr>
        <w:pStyle w:val="TextoNormal"/>
      </w:pPr>
    </w:p>
    <w:p w:rsidR="0085709A" w:rsidRDefault="0085709A" w:rsidP="0085709A">
      <w:pPr>
        <w:pStyle w:val="TextoNormal"/>
      </w:pPr>
      <w:r>
        <w:t>Razona igualmente que la idea de proporcionalidad no exige un juicio de idoneidad de las medidas, pues en rigor tal test procede desde dentro del derecho, contrastando las normas recurridas con el contenido esencial del derecho de propiedad. Niega, en ese sentido, que las normas impugnadas interfieran en el poder de disponer del propietario y eliminen sus facultades de disfrute, imponiendo el uso habitacional con exclusión de cualquier otro, pues tal deber no se impone en toda circunstancia sino solo si ese es el destino previsto en el ordenamiento jurídico, aparte de que el art. 25.4 prevé ciertas excepciones.</w:t>
      </w:r>
    </w:p>
    <w:p w:rsidR="0085709A" w:rsidRDefault="0085709A" w:rsidP="0085709A">
      <w:pPr>
        <w:pStyle w:val="TextoNormal"/>
      </w:pPr>
    </w:p>
    <w:p w:rsidR="0085709A" w:rsidRDefault="0085709A" w:rsidP="0085709A">
      <w:pPr>
        <w:pStyle w:val="TextoNormal"/>
      </w:pPr>
      <w:r>
        <w:t xml:space="preserve">d) Esta parte estima que las normas recurridas no invaden la competencia estatal </w:t>
      </w:r>
      <w:r w:rsidRPr="0085709A">
        <w:rPr>
          <w:i/>
        </w:rPr>
        <w:t>ex</w:t>
      </w:r>
      <w:r>
        <w:t xml:space="preserve"> art. 149.1.8 CE, pues la definición del contenido de la propiedad privada conforme a su función social no es el núcleo de la legislación civil, sino que se fija por la ley sectorial que cuida del interés público a que se vincula cada propiedad (STC 37/1987, FFJJ 8 y 9). Compete a quien tenga atribuida la tutela de tal interés señalar las limitaciones y deberes inherentes a cada tipo de propiedad y en este caso los límites que imponen las normas recurridas al derecho de propiedad “tienen como finalidad preservar la efectividad del derecho a la vivienda regulado en esta ley … Por ello, la competencia de la Comunidad Autónoma para dictarlos se encuentra amparada en el art. 56 EAAnd, que le atribuye competencia exclusiva en materia de vivienda”.</w:t>
      </w:r>
    </w:p>
    <w:p w:rsidR="0085709A" w:rsidRDefault="0085709A" w:rsidP="0085709A">
      <w:pPr>
        <w:pStyle w:val="TextoNormal"/>
      </w:pPr>
    </w:p>
    <w:p w:rsidR="0085709A" w:rsidRDefault="0085709A" w:rsidP="0085709A">
      <w:pPr>
        <w:pStyle w:val="TextoNormal"/>
      </w:pPr>
      <w:r>
        <w:t xml:space="preserve">e) La Letrada del Parlamento considera asimismo que, aunque las normas impugnadas puedan tener repercusión económica, no por ello dejan de enmarcarse en la materia vivienda y pasan a hacerlo en el espacio reservado al Estado </w:t>
      </w:r>
      <w:r w:rsidRPr="0085709A">
        <w:rPr>
          <w:i/>
        </w:rPr>
        <w:t>ex</w:t>
      </w:r>
      <w:r>
        <w:t xml:space="preserve"> art. 149.1.13 CE, pues si bien el Tribunal ha reconocido que, al amparo de este título, el Estado puede aprobar normas de naturaleza económica sobre sectores en los que las Comunidades Autónomas hayan asumido competencias, “ello es ‘a condición de que el referido título competencial no alcance a incluir cualquier acción de naturaleza económica, si no posee una incidencia directa y significativa sobre la actividad económica general (SSTC 186/1988 y 133/1997), pues, de no ser así, se vaciaría de contenido una materia y un título competencial más específico (STC 21/1999, de 25 de febrero, FJ 5)’ ”. Para justificar que las normas recurridas, aun con cierta repercusión económica, recaen en la competencia autonómica de vivienda expone varios argumentos:</w:t>
      </w:r>
    </w:p>
    <w:p w:rsidR="0085709A" w:rsidRDefault="0085709A" w:rsidP="0085709A">
      <w:pPr>
        <w:pStyle w:val="TextoNormal"/>
      </w:pPr>
    </w:p>
    <w:p w:rsidR="0085709A" w:rsidRDefault="0085709A" w:rsidP="0085709A">
      <w:pPr>
        <w:pStyle w:val="TextoNormal"/>
      </w:pPr>
      <w:r>
        <w:t>1º Invoca la STC 36/2012, que, a su juicio, “considera como criterios a tener en cuenta para que una norma pueda ser encuadrada en la materia de vivienda ‘el establecimiento de medidas que incidan directamente sobre la oferta inmobiliaria en régimen de alquiler o sobre los titulares de las viviendas ofertadas en arrendamiento, o sobre el nivel de los precios de las viviendas en régimen de alquiler’ (FJ 5), los cuales aluden a cuestiones que indudablemente pueden tener repercusiones económicas en el mercado inmobiliario”.</w:t>
      </w:r>
    </w:p>
    <w:p w:rsidR="0085709A" w:rsidRDefault="0085709A" w:rsidP="0085709A">
      <w:pPr>
        <w:pStyle w:val="TextoNormal"/>
      </w:pPr>
    </w:p>
    <w:p w:rsidR="0085709A" w:rsidRDefault="0085709A" w:rsidP="0085709A">
      <w:pPr>
        <w:pStyle w:val="TextoNormal"/>
      </w:pPr>
      <w:r>
        <w:t>2º Niega que las normas recurridas tengan eficacia incisiva en la política económica general del Estado o en la reestructuración de la banca, pues “este Decreto-ley ha estado en vigor durante varios meses y ni se ha hundido el valor de los activos de la SAREB, ni ha tenido repercusiones en la reestructuración del sector bancario, ni en la economía española”.</w:t>
      </w:r>
    </w:p>
    <w:p w:rsidR="0085709A" w:rsidRDefault="0085709A" w:rsidP="0085709A">
      <w:pPr>
        <w:pStyle w:val="TextoNormal"/>
      </w:pPr>
    </w:p>
    <w:p w:rsidR="0085709A" w:rsidRDefault="0085709A" w:rsidP="0085709A">
      <w:pPr>
        <w:pStyle w:val="TextoNormal"/>
      </w:pPr>
      <w:r>
        <w:lastRenderedPageBreak/>
        <w:t>3º Afirma que aquellas “no contrarían ninguna directriz o acción emprendida por el Estado para la ordenación económica del sector de la vivienda. Y desde luego tampoco vulneran las Leyes 8 y 9/2012, de 30 de octubre y 14 de noviembre de 2012”, y resalta que “el escrito de interposición del recurso no cita ningún precepto de las mismas que resulte infringido o cuyos objetivos se hayan visto frustrados o impedidos por las normas impugnadas”.</w:t>
      </w:r>
    </w:p>
    <w:p w:rsidR="0085709A" w:rsidRDefault="0085709A" w:rsidP="0085709A">
      <w:pPr>
        <w:pStyle w:val="TextoNormal"/>
      </w:pPr>
    </w:p>
    <w:p w:rsidR="0085709A" w:rsidRDefault="0085709A" w:rsidP="0085709A">
      <w:pPr>
        <w:pStyle w:val="TextoNormal"/>
      </w:pPr>
      <w:r w:rsidRPr="0085709A">
        <w:rPr>
          <w:rStyle w:val="NumeroAFNegritaCaracter"/>
        </w:rPr>
        <w:t>8</w:t>
      </w:r>
      <w:r>
        <w:t>. El Pleno acordó, en providencia de 24 de septiembre de 2013, dar traslado al Abogado del Estado y a la Letrada del Parlamento de Andalucía del escrito de la Letrada de la Junta de Andalucía en que interesa el levantamiento de la suspensión de los preceptos objeto del recurso, concediéndoles un plazo de cinco días para exponer lo que considerasen conveniente.</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y la Letrada del Parlamento, en escritos de 3 y 7 de octubre de 2013, instaron respectivamente el levantamiento y el mantenimiento de la suspensión.</w:t>
      </w:r>
    </w:p>
    <w:p w:rsidR="0085709A" w:rsidRDefault="0085709A" w:rsidP="0085709A">
      <w:pPr>
        <w:pStyle w:val="TextoNormal"/>
      </w:pPr>
    </w:p>
    <w:p w:rsidR="0085709A" w:rsidRDefault="0085709A" w:rsidP="0085709A">
      <w:pPr>
        <w:pStyle w:val="TextoNormal"/>
      </w:pPr>
      <w:r w:rsidRPr="0085709A">
        <w:rPr>
          <w:rStyle w:val="NumeroAFNegritaCaracter"/>
        </w:rPr>
        <w:t>10</w:t>
      </w:r>
      <w:r>
        <w:t>. El Pleno, en el ATC 244/2013, de 22 de octubre, declaró la desaparición sobrevenida del objeto del incidente sobre levantar o mantener la suspensión del Decreto-ley 6/2013, de 9 de abril, de medidas para asegurar el cumplimiento de la función social de la vivienda.</w:t>
      </w:r>
    </w:p>
    <w:p w:rsidR="0085709A" w:rsidRDefault="0085709A" w:rsidP="0085709A">
      <w:pPr>
        <w:pStyle w:val="TextoNormal"/>
      </w:pPr>
    </w:p>
    <w:p w:rsidR="0085709A" w:rsidRDefault="0085709A" w:rsidP="0085709A">
      <w:pPr>
        <w:pStyle w:val="TextoNormal"/>
      </w:pPr>
      <w:r w:rsidRPr="0085709A">
        <w:rPr>
          <w:rStyle w:val="NumeroAFNegritaCaracter"/>
        </w:rPr>
        <w:t>11</w:t>
      </w:r>
      <w:r>
        <w:t>. Mediante providencia de 12 de mayo de 2015 se señaló para deliberación y votación de la presente Sentencia el día 14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proceso constitucional tiene por objeto resolver el recurso de inconstitucionalidad interpuesto contra el art. 1, por el que se da nueva redacción a los arts. 1.3, 25 y 53.1 a) de la Ley 1/2010, de 8 de marzo, reguladora del derecho a la vivienda en Andalucía, y la disposición adicional segunda del Decreto-ley 6/2013, de 9 de abril, de medidas para asegurar el cumplimiento de la función social de la vivienda.</w:t>
      </w:r>
    </w:p>
    <w:p w:rsidR="0085709A" w:rsidRDefault="0085709A" w:rsidP="0085709A">
      <w:pPr>
        <w:pStyle w:val="TextoNormal"/>
      </w:pPr>
    </w:p>
    <w:p w:rsidR="0085709A" w:rsidRDefault="0085709A" w:rsidP="0085709A">
      <w:pPr>
        <w:pStyle w:val="TextoNormal"/>
      </w:pPr>
      <w:r>
        <w:t xml:space="preserve">El Abogado del Estado, por las razones expuestas en los antecedentes, impugna los arts. 1.3, 25 y 53.1 a) por falta del presupuesto habilitante del Decreto-ley autonómico, por no respetar los límites materiales del Decreto-ley autonómico, por lesionar el contenido esencial del derecho de propiedad </w:t>
      </w:r>
      <w:r w:rsidRPr="0085709A">
        <w:rPr>
          <w:i/>
        </w:rPr>
        <w:t>ex</w:t>
      </w:r>
      <w:r>
        <w:t xml:space="preserve"> art. 33 CE y por invadir las competencias atribuidas al Estado por las cláusulas 1, 8 y 13 del art. 149.1 CE. Por otro lado, alega, con el pormenor descrito en los antecedentes, que la disposición adicional segunda es inconstitucional por discriminatoria y por desconocer la competencia atribuida al Estado por el art. 149.1.13 CE. Las Letradas de la Junta y del Parlamento de Andalucía, del modo que consta en los antecedentes, se oponen a los motivos impugnatorios que sustentan este recurso de inconstitucionalidad y, en consecuencia, solicitan su desestimación íntegra.</w:t>
      </w:r>
    </w:p>
    <w:p w:rsidR="0085709A" w:rsidRDefault="0085709A" w:rsidP="0085709A">
      <w:pPr>
        <w:pStyle w:val="TextoNormal"/>
      </w:pPr>
    </w:p>
    <w:p w:rsidR="0085709A" w:rsidRDefault="0085709A" w:rsidP="0085709A">
      <w:pPr>
        <w:pStyle w:val="TextoNormal"/>
      </w:pPr>
      <w:r w:rsidRPr="0085709A">
        <w:rPr>
          <w:rStyle w:val="NumeroAFNegritaCaracter"/>
        </w:rPr>
        <w:t>2</w:t>
      </w:r>
      <w:r>
        <w:t>. Es necesario examinar, como preliminar, la incidencia que sobre el objeto del proceso produce la derogación del Decreto-ley 6/2013 por la Ley 4/2013, de 1 de octubre, derogación que priva de todo efecto a los preceptos recurridos, como declaramos en el ATC 244/2013, de 22 de octubre.</w:t>
      </w:r>
    </w:p>
    <w:p w:rsidR="0085709A" w:rsidRDefault="0085709A" w:rsidP="0085709A">
      <w:pPr>
        <w:pStyle w:val="TextoNormal"/>
      </w:pPr>
    </w:p>
    <w:p w:rsidR="0085709A" w:rsidRDefault="0085709A" w:rsidP="0085709A">
      <w:pPr>
        <w:pStyle w:val="TextoNormal"/>
      </w:pPr>
      <w:r>
        <w:t>Es constante doctrina de este Tribunal que en los recursos de inconstitucionalidad, por su carácter abstracto y finalidad de depuración del ordenamiento jurídico, la derogación de los preceptos legales recurridos hace que su objeto decaiga, salvo que el motivo en que se funde la inconstitucionalidad sea de carácter competencial, caso en que, para decidir si el objeto subsiste, debe examinarse si la derogación de tales normas conlleva la eliminación de la controversia o, por contra, al sustituirse por otros preceptos de contenido equivalente, aquélla continúa viva [por todas, STC 149/2012, de 5 de julio, FJ 2 b)].</w:t>
      </w:r>
    </w:p>
    <w:p w:rsidR="0085709A" w:rsidRDefault="0085709A" w:rsidP="0085709A">
      <w:pPr>
        <w:pStyle w:val="TextoNormal"/>
      </w:pPr>
    </w:p>
    <w:p w:rsidR="0085709A" w:rsidRDefault="0085709A" w:rsidP="0085709A">
      <w:pPr>
        <w:pStyle w:val="TextoNormal"/>
      </w:pPr>
      <w:r>
        <w:t xml:space="preserve">El indicado criterio supone en este caso que desaparecen sobrevenidamente del objeto procesal el motivo impugnatorio que sostiene que los arts. 1.3, 25 y 53.1 a) no respetan el contenido esencial del derecho de propiedad </w:t>
      </w:r>
      <w:r w:rsidRPr="0085709A">
        <w:rPr>
          <w:i/>
        </w:rPr>
        <w:t>ex</w:t>
      </w:r>
      <w:r>
        <w:t xml:space="preserve"> art. 33 CE y el que afirma que la disposición adicional segunda es inconstitucional por discriminatoria, pues al no tener signo competencial no pueden acogerse a la excepción admitida por nuestra doctrina.</w:t>
      </w:r>
    </w:p>
    <w:p w:rsidR="0085709A" w:rsidRDefault="0085709A" w:rsidP="0085709A">
      <w:pPr>
        <w:pStyle w:val="TextoNormal"/>
      </w:pPr>
    </w:p>
    <w:p w:rsidR="0085709A" w:rsidRDefault="0085709A" w:rsidP="0085709A">
      <w:pPr>
        <w:pStyle w:val="TextoNormal"/>
      </w:pPr>
      <w:r>
        <w:t>No ocurre lo mismo con el resto de motivos de inconstitucionalidad. De un lado, la Ley 4/2013, al tiempo que derogaba los preceptos impugnados, los sustituía por otros que o bien son idénticos en su redacción y en su numeración [arts. 1.3, 25 y 53.1 a)] o bien han cambiado de un modo intranscendente al efecto de la controversia competencial suscitada en el recurso. Así, la disposición adicional segunda pasa a ser en la Ley 4/2013 la disposición adicional primera, pero solo cambia para definir de un modo más amplio el interés social que justifica la expropiación del uso de la vivienda objeto del proceso de ejecución. En tales circunstancias cabe afirmar que la derogación de los preceptos impugnados no ha llevado consigo la desaparición sobrevenida de la controversia competencial que la demanda plantea en relación a las cláusulas 1, 8 y 13 del art. 149.1 CE. De otro, la derogación de normas legislativas de urgencia durante la pendencia del recurso de inconstitucionalidad dirigido contra ellas no excluye el control de este Tribunal sobre si al dictarlas se rebasó el marco constitucional impuesto a esta facultad del Gobierno (por todas, STC 68/2007, de 28 de marzo, FJ 4).</w:t>
      </w:r>
    </w:p>
    <w:p w:rsidR="0085709A" w:rsidRDefault="0085709A" w:rsidP="0085709A">
      <w:pPr>
        <w:pStyle w:val="TextoNormal"/>
      </w:pPr>
    </w:p>
    <w:p w:rsidR="0085709A" w:rsidRDefault="0085709A" w:rsidP="0085709A">
      <w:pPr>
        <w:pStyle w:val="TextoNormal"/>
      </w:pPr>
      <w:r>
        <w:t xml:space="preserve">Por otro lado, en tanto que la Ley 1/2013, de 14 de mayo, de medidas para reforzar la protección a los deudores hipotecarios, reestructuración de deuda y alquiler social, es el parámetro para examinar si los preceptos impugnados han invadido el ámbito competencial atribuido al Estado por el art. 149.1.13 CE, se tendrá presente, de acuerdo con la doctrina constitucional acerca del </w:t>
      </w:r>
      <w:r w:rsidRPr="0085709A">
        <w:rPr>
          <w:i/>
        </w:rPr>
        <w:t>ius superveniens</w:t>
      </w:r>
      <w:r>
        <w:t xml:space="preserve"> en recursos de inconstitucionalidad (por todas, STC 5/2015, de 22 de enero), la redacción actualmente vigente, que resulta de la modificación parcial operada por el art. 3 del Real Decreto-ley 1/2015, de 27 de febrero, de mecanismo de segunda oportunidad, reducción de carga financiera y otras medidas de orden social.</w:t>
      </w:r>
    </w:p>
    <w:p w:rsidR="0085709A" w:rsidRDefault="0085709A" w:rsidP="0085709A">
      <w:pPr>
        <w:pStyle w:val="TextoNormal"/>
      </w:pPr>
    </w:p>
    <w:p w:rsidR="0085709A" w:rsidRDefault="0085709A" w:rsidP="0085709A">
      <w:pPr>
        <w:pStyle w:val="TextoNormal"/>
      </w:pPr>
      <w:r w:rsidRPr="0085709A">
        <w:rPr>
          <w:rStyle w:val="NumeroAFNegritaCaracter"/>
        </w:rPr>
        <w:t>3</w:t>
      </w:r>
      <w:r>
        <w:t>. El decreto-ley autonómico es una fuente normativa con rango legal no prevista por la Constitución cuando define la organización territorial del Estado en su título VIII. Son las modificaciones de los Estatutos de Autonomía posteriores a 2006 las que, en general, han atribuido la facultad de legislación de urgencia a los respectivos Consejos de Gobierno.</w:t>
      </w:r>
    </w:p>
    <w:p w:rsidR="0085709A" w:rsidRDefault="0085709A" w:rsidP="0085709A">
      <w:pPr>
        <w:pStyle w:val="TextoNormal"/>
      </w:pPr>
    </w:p>
    <w:p w:rsidR="0085709A" w:rsidRDefault="0085709A" w:rsidP="0085709A">
      <w:pPr>
        <w:pStyle w:val="TextoNormal"/>
      </w:pPr>
      <w:r>
        <w:t xml:space="preserve">El Estatuto de Autonomía, en tanto que norma institucional básica de la Comunidad Autónoma (art. 147.1 CE), regula, como contenido necesario y reservado, su organización institucional [art. 147.2 c) CE; y, por todas, STC 31/2010, de 28 de junio, FJ 4], que comprende </w:t>
      </w:r>
      <w:r>
        <w:lastRenderedPageBreak/>
        <w:t>entre otros aspectos las relaciones entre las distintas instituciones autonómicas y la atribución a cada una de ellas de los que sean sus poderes. El Estatuto de Autonomía, dentro de estos ámbitos, puede asignar al Consejo de Gobierno potestades normativas de mayor o menor alcance y, en caso de que lo haga, precisar las fuentes del Derecho a su disposición. Dada esta caracterización abierta del régimen autonómico y la función constitucional de los Estatutos de Autonomía, la imprevisión en el título VIII de la categoría del decreto-ley no puede verse como una prohibición sino como un espacio entregado a la libre configuración del legislador estatutario, a quien, al ordenar las instituciones de la Comunidad Autónoma, le cabrá optar por una separación más o menos rígida entre legislativo y ejecutivo, atribuyendo en su caso a este último la facultad de, en concretos supuestos, aprobar normas provisionales con rango de ley que adopten la forma de decreto-ley autonómico.</w:t>
      </w:r>
    </w:p>
    <w:p w:rsidR="0085709A" w:rsidRDefault="0085709A" w:rsidP="0085709A">
      <w:pPr>
        <w:pStyle w:val="TextoNormal"/>
      </w:pPr>
    </w:p>
    <w:p w:rsidR="0085709A" w:rsidRDefault="0085709A" w:rsidP="0085709A">
      <w:pPr>
        <w:pStyle w:val="TextoNormal"/>
      </w:pPr>
      <w:r>
        <w:t>En el título VIII no hay ningún elemento que vede al Estatuto esta concreta capacidad de conformar el sistema institucional autonómico. Por contra, el art. 153 a) CE, al disponer que el control de la actuación de los órganos autonómicos “se ejercerá por el Tribunal Constitucional [respecto] a la constitucionalidad de sus disposiciones normativas con fuerza de ley”, admite que entre las fuentes primarias autonómicas se cuenten categorías distintas a la ley formal emanada del órgano legislativo.</w:t>
      </w:r>
    </w:p>
    <w:p w:rsidR="0085709A" w:rsidRDefault="0085709A" w:rsidP="0085709A">
      <w:pPr>
        <w:pStyle w:val="TextoNormal"/>
      </w:pPr>
    </w:p>
    <w:p w:rsidR="0085709A" w:rsidRDefault="0085709A" w:rsidP="0085709A">
      <w:pPr>
        <w:pStyle w:val="TextoNormal"/>
      </w:pPr>
      <w:r w:rsidRPr="0085709A">
        <w:rPr>
          <w:rStyle w:val="NumeroAFNegritaCaracter"/>
        </w:rPr>
        <w:t>4</w:t>
      </w:r>
      <w:r>
        <w:t>. Los Estatutos de Autonomía, dado que “son normas subordinadas a la Constitución” (STC 31/2010, FJ 3), están sujetos, no solo a su título VIII, sino a aquélla en su integridad. El principio democrático es una de las reglas fundamentales que informan el Estado diseñado por la Constitución y, por tanto, es uno de los principios constitucionales aplicables a todos los poderes públicos que conforman el Estado en sentido amplio. Recogido expresamente en el art. 1.1 CE, supone que la función legislativa sea ejercida por las Cortes Generales o las Asambleas Legislativas, por ser sede de la representación del pueblo en su conjunto.</w:t>
      </w:r>
    </w:p>
    <w:p w:rsidR="0085709A" w:rsidRDefault="0085709A" w:rsidP="0085709A">
      <w:pPr>
        <w:pStyle w:val="TextoNormal"/>
      </w:pPr>
    </w:p>
    <w:p w:rsidR="0085709A" w:rsidRDefault="0085709A" w:rsidP="0085709A">
      <w:pPr>
        <w:pStyle w:val="TextoNormal"/>
      </w:pPr>
      <w:r>
        <w:t>Este principio no ha impedido que este Tribunal, acerca del decreto-ley estatal, declare (por todas, 96/2014, de 12 de junio, FJ 5) que la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w:t>
      </w:r>
    </w:p>
    <w:p w:rsidR="0085709A" w:rsidRDefault="0085709A" w:rsidP="0085709A">
      <w:pPr>
        <w:pStyle w:val="TextoNormal"/>
      </w:pPr>
    </w:p>
    <w:p w:rsidR="0085709A" w:rsidRDefault="0085709A" w:rsidP="0085709A">
      <w:pPr>
        <w:pStyle w:val="TextoNormal"/>
      </w:pPr>
      <w:r>
        <w:t>Tampoco ha sido óbice para que la STC 111/1983, de 2 de diciembre, afirme que reducir el decreto-ley a la excepción “lleva en su seno el vaciamiento de la figura y la hace inservible para regular con mayor o menor incidencia cualquier aspecto concerniente a las materias incluidas en el Título I”; ni para que la STC 100/2012, de 8 de mayo, entre otras, señale que “la cláusula restrictiva del art. 86.1 CE (‘no podrán afectar...’) debe ser entendida de modo tal que ni reduzca a la nada el Decreto-ley, que es un instrumento normativo previsto por la Constitución ‘del que es posible hacer uso para dar respuesta a las perspectivas cambiantes de la vida actual’ …, ni permita que por Decreto-ley se regule el régimen general de los derechos, deberes y libertades del Título I, ni dé pie para que por Decreto-ley se vaya en contra del contenido o elementos esenciales de alguno de tales derechos”.</w:t>
      </w:r>
    </w:p>
    <w:p w:rsidR="0085709A" w:rsidRDefault="0085709A" w:rsidP="0085709A">
      <w:pPr>
        <w:pStyle w:val="TextoNormal"/>
      </w:pPr>
    </w:p>
    <w:p w:rsidR="0085709A" w:rsidRDefault="0085709A" w:rsidP="0085709A">
      <w:pPr>
        <w:pStyle w:val="TextoNormal"/>
      </w:pPr>
      <w:r>
        <w:t>Dado que el decreto-ley en nuestro orden constitucional no está restringido a casos de excepción y que el régimen autonómico del título VIII es deliberadamente abierto, confiando un amplio margen de configuración al texto estatutario, este Tribunal debe desechar que solo quepa esta modulación del principio democrático en el supuesto que prevé el 86.1 CE a favor del Gobierno y admitir que también tenga tales poderes de legislación urgente el Consejo de Gobierno si el Estatuto de Autonomía expresamente se los atribuye, bien entendido que la potestad atribuida al Gobierno del Estado por el art. 86 CE es más amplia. No es inconstitucional, por ello, la introducción general de esta categoría en las modificaciones de los Estatutos de Autonomía posteriores a 2006, máxime cuando en la actualidad, por contraste con el tiempo en que originariamente se adoptaron, han crecido notablemente las materias descentralizadas y, al cabo, son muchos más los objetivos gubernamentales y coyunturas económicas que, pudiendo exigir respuestas urgentes, se insertan en el espacio competencial autonómico.</w:t>
      </w:r>
    </w:p>
    <w:p w:rsidR="0085709A" w:rsidRDefault="0085709A" w:rsidP="0085709A">
      <w:pPr>
        <w:pStyle w:val="TextoNormal"/>
      </w:pPr>
    </w:p>
    <w:p w:rsidR="0085709A" w:rsidRDefault="0085709A" w:rsidP="0085709A">
      <w:pPr>
        <w:pStyle w:val="TextoNormal"/>
      </w:pPr>
      <w:r w:rsidRPr="0085709A">
        <w:rPr>
          <w:rStyle w:val="NumeroAFNegritaCaracter"/>
        </w:rPr>
        <w:t>5</w:t>
      </w:r>
      <w:r>
        <w:t>. El fundamento del principio democrático, que es la participación de los ciudadanos a través de sus representantes electos en la elaboración de las normas primarias, aunque no exige que el decreto-ley se conciba como una excepción, sí sufriría, en cambio, si la intervención de los órganos de gobierno en la función legislativa no se sujetase a estrictos límites. Así, la doctrina constitucional reseñada, a la vez que descarta confinar el fenómeno del decreto-ley en hipótesis excepcionales, lo somete a condicionantes importantes.</w:t>
      </w:r>
    </w:p>
    <w:p w:rsidR="0085709A" w:rsidRDefault="0085709A" w:rsidP="0085709A">
      <w:pPr>
        <w:pStyle w:val="TextoNormal"/>
      </w:pPr>
    </w:p>
    <w:p w:rsidR="0085709A" w:rsidRDefault="0085709A" w:rsidP="0085709A">
      <w:pPr>
        <w:pStyle w:val="TextoNormal"/>
      </w:pPr>
      <w:r>
        <w:t>Los severos límites impuestos al decreto-ley por razón del principio democrático (arts. 1.1 CE), y por tanto exigibles también a las instituciones autonómicas, se reflejan en el art. 86.1 CE y son (a) que su uso se justifique por “un caso de extraordinaria y urgente necesidad” (art. 86.1 CE) relativo “a los objetivos marcados para la gobernación del país” (por todas, 96/2014, de 12 de junio), (b) que no afecte a las materias más definidoras de nuestro sistema constitucional (ordenamiento de las instituciones básicas del Estado; derechos, deberes y libertades de los ciudadanos regulados en el título I; régimen de las Comunidades Autónomas; Derecho electoral general; y otras materias reservadas a una ley formal específica) y (c) que se disponga un control parlamentario posterior a fin de que el órgano legislativo conserve una influencia decisiva sobre los contenidos normativos que se integran definitivamente en el ordenamiento jurídico. En este sentido, el ATC 104/2011, de 5 de julio, precisó que “el parámetro de control inmediato del decreto-ley andaluz ha de encontrarse en el art. 110 del EAAnd y no en el art. 86.1 CE, sin perjuicio de que el ejercicio de la competencia autonómica se encuentre también sometido a los límites materiales que impone dicho precepto constitucional, y, entre ellos, el de no poder afectar a los derechos, deberes y libertades de los ciudadanos regulados en el título I de la Constitución”.</w:t>
      </w:r>
    </w:p>
    <w:p w:rsidR="0085709A" w:rsidRDefault="0085709A" w:rsidP="0085709A">
      <w:pPr>
        <w:pStyle w:val="TextoNormal"/>
      </w:pPr>
    </w:p>
    <w:p w:rsidR="0085709A" w:rsidRDefault="0085709A" w:rsidP="0085709A">
      <w:pPr>
        <w:pStyle w:val="TextoNormal"/>
      </w:pPr>
      <w:r>
        <w:t>De acuerdo con lo razonado, un Estatuto de Autonomía no puede atribuir al Consejo de Gobierno autonómico poderes de legislación de urgencia que no estén sujetos, en lo que corresponda, a los límites consignados en el art. 86.1 CE como garantía del principio democrático. Y en todo caso el Tribunal Constitucional podrá, aplicando directamente el parámetro constitucional ínsito en dicho principio, controlar la constitucionalidad de la legislación de urgencia que pueda adoptar el citado Consejo de Gobierno.</w:t>
      </w:r>
    </w:p>
    <w:p w:rsidR="0085709A" w:rsidRDefault="0085709A" w:rsidP="0085709A">
      <w:pPr>
        <w:pStyle w:val="TextoNormal"/>
      </w:pPr>
    </w:p>
    <w:p w:rsidR="0085709A" w:rsidRDefault="0085709A" w:rsidP="0085709A">
      <w:pPr>
        <w:pStyle w:val="TextoNormal"/>
      </w:pPr>
      <w:r>
        <w:t xml:space="preserve">Estos condicionantes son requerimientos mínimos que aseguran la intangibilidad del principio democrático (arts. 1.1 CE). Esta nota conlleva que el Estatuto de Autonomía, como </w:t>
      </w:r>
      <w:r>
        <w:lastRenderedPageBreak/>
        <w:t xml:space="preserve">norma llamada por el art. 147 CE a conformar la organización institucional de cada ente autonómico, definiendo los poderes del Consejo de Gobierno y de la Asamblea Legislativa así como su amplitud, podrá añadir otros o endurecer los existentes, con el propósito de preservar más intensamente la posición del parlamento autonómico. Cautelas y exclusiones adicionales, por tanto, que no derivan necesaria e ineludiblemente de aquel principio, sino que tienen apoyo inmediato en el poder de configuración del legislador estatutario. De este modo, el art. 110 del Estatuto de Autonomía para Andalucía (EAAnd) excluye del ámbito del decreto-ley “los derechos establecidos en este Estatuto”, límite que no está contenido en la prohibición de afectar derechos constitucionales </w:t>
      </w:r>
      <w:r w:rsidRPr="0085709A">
        <w:rPr>
          <w:i/>
        </w:rPr>
        <w:t>ex</w:t>
      </w:r>
      <w:r>
        <w:t xml:space="preserve"> art. 86.1 CE dado que, según nuestra doctrina, los derechos estatutarios tienen una naturaleza jurídica distinta, la de meras “directrices, objetivos o mandatos a los poderes públicos autonómicos” [SSTC 247/2007, de 12 de diciembre, FJ 15 c), y 31/2010, de 28 de julio, FFJJ 16 a 18].</w:t>
      </w:r>
    </w:p>
    <w:p w:rsidR="0085709A" w:rsidRDefault="0085709A" w:rsidP="0085709A">
      <w:pPr>
        <w:pStyle w:val="TextoNormal"/>
      </w:pPr>
    </w:p>
    <w:p w:rsidR="0085709A" w:rsidRDefault="0085709A" w:rsidP="0085709A">
      <w:pPr>
        <w:pStyle w:val="TextoNormal"/>
      </w:pPr>
      <w:r>
        <w:t>De otra parte, a la hora de enjuiciar la concurrencia del presupuesto habilitante del art. 86.1 CE, esto es, la extraordinaria y urgente necesidad del decreto-ley autonómico, este Tribunal deberá ponderar la competencia autonómica ejercida al efecto, pues la naturaleza y alcance de las competencias autonómicas hacen, en principio, menos necesario el recurso a la aprobación de normas legales de urgencia.</w:t>
      </w:r>
    </w:p>
    <w:p w:rsidR="0085709A" w:rsidRDefault="0085709A" w:rsidP="0085709A">
      <w:pPr>
        <w:pStyle w:val="TextoNormal"/>
      </w:pPr>
    </w:p>
    <w:p w:rsidR="0085709A" w:rsidRDefault="0085709A" w:rsidP="0085709A">
      <w:pPr>
        <w:pStyle w:val="TextoNormal"/>
      </w:pPr>
      <w:r w:rsidRPr="0085709A">
        <w:rPr>
          <w:rStyle w:val="NumeroAFNegritaCaracter"/>
        </w:rPr>
        <w:t>6</w:t>
      </w:r>
      <w:r>
        <w:t>. Aunque las exigencias mínimas del principio democrático son en esencia idénticas para todos los decretos-leyes, pues siempre tutelan la participación del pueblo en su conjunto mediante sus representantes electos en la adopción de normas primarias, la distinta realidad de referencia puede causar que uno u otro de esos requerimientos presenten matices o que, al ser precisados por este Tribunal, se le otorgue un mayor o menor alcance. Así, el carácter unicameral de las Asambleas Legislativas, así como su más reducido tamaño y menor actividad parlamentaria en comparación con la que se lleva a cabo en las Cortes Generales, determina que, incluso aun cuando cuente dicho procedimiento con trámites que no existen en las Cortes Generales, como la comparecencia de los agentes sociales (art. 112 del Reglamento del Parlamento de Andalucía), las medidas legislativas requeridas para solventar situaciones de necesidad podrán ser acordadas a través de leyes de un modo más rápido en las cámaras autonómicas.</w:t>
      </w:r>
    </w:p>
    <w:p w:rsidR="0085709A" w:rsidRDefault="0085709A" w:rsidP="0085709A">
      <w:pPr>
        <w:pStyle w:val="TextoNormal"/>
      </w:pPr>
    </w:p>
    <w:p w:rsidR="0085709A" w:rsidRDefault="0085709A" w:rsidP="0085709A">
      <w:pPr>
        <w:pStyle w:val="TextoNormal"/>
      </w:pPr>
      <w:r>
        <w:t>El menor tiempo que requiere tramitar un proyecto de ley en una cámara autonómica es, dentro de la valoración conjunta de factores que implica el control externo del presupuesto que habilita a acudir al decreto-ley, un elemento de la mayor importancia porque puede hacer posible que las situaciones de necesidad sean atendidas tempestivamente mediante la aprobación de leyes, decayendo así la necesidad de intervención extraordinaria del ejecutivo, con lo que dejaría de concurrir el presupuesto habilitante. Dicho factor temporal, por la virtualidad que afirmamos que tiene, habrá de ser ponderado por este Tribunal caso por caso con la vista puesta principalmente en la previsible duración efectiva del procedimiento legislativo y en el grado de inmediatez en la reacción normativa que, por razón de la materia afectada, requiere la situación de necesidad apreciada por el gobierno autonómico.</w:t>
      </w:r>
    </w:p>
    <w:p w:rsidR="0085709A" w:rsidRDefault="0085709A" w:rsidP="0085709A">
      <w:pPr>
        <w:pStyle w:val="TextoNormal"/>
      </w:pPr>
    </w:p>
    <w:p w:rsidR="0085709A" w:rsidRDefault="0085709A" w:rsidP="0085709A">
      <w:pPr>
        <w:pStyle w:val="TextoNormal"/>
      </w:pPr>
      <w:r>
        <w:t xml:space="preserve">No procede, sin embargo, exigir al gobierno autonómico, para entender realizada la motivación de la situación de necesidad que le incumbe (por todas, STC 142/2014, de 11 de septiembre), una justificación expresa e individualizada de la inadecuación del procedimiento legislativo para atender a tiempo los objetivos gubernamentales. Lo que es necesario para que la legislación provisional del Gobierno se ajuste al presupuesto que la habilita es </w:t>
      </w:r>
      <w:r>
        <w:lastRenderedPageBreak/>
        <w:t>que describa la situación de necesidad de modo explícito y razonado, pero no que se refiera expresamente a todos y cada uno de los elementos determinantes de la misma, lo que no sería coherente con que la citada doctrina constitucional califique la decisión gubernativa de dictar un decreto-ley de “juicio político o de oportunidad” y defina la verificación de esta decisión que atañe al Tribunal como “control externo” a realizar mediante una “valoración conjunta de todos aquellos factores que determinaron al Gobierno a dictar la disposición legal excepcional”.</w:t>
      </w:r>
    </w:p>
    <w:p w:rsidR="0085709A" w:rsidRDefault="0085709A" w:rsidP="0085709A">
      <w:pPr>
        <w:pStyle w:val="TextoNormal"/>
      </w:pPr>
    </w:p>
    <w:p w:rsidR="0085709A" w:rsidRDefault="0085709A" w:rsidP="0085709A">
      <w:pPr>
        <w:pStyle w:val="TextoNormal"/>
      </w:pPr>
      <w:r>
        <w:t>Este enfoque no resta virtualidad a la exigencia de que el decreto-ley responda a una situación de necesidad porque será en última instancia el Tribunal Constitucional quien valore, de acuerdo a tal control externo, si bien que en los términos más exigentes con que se ha matizado para los supuestos en que son los gobiernos autonómicos quienes acuden a la legislación de urgencia, si en el caso concreto los objetivos gubernamentales reclaman una acción legislativa que se materialice “en un plazo más breve que el requerido para la tramitación de las Leyes” (por todas, STC 111/1983, de 2 de diciembre, FJ 6).</w:t>
      </w:r>
    </w:p>
    <w:p w:rsidR="0085709A" w:rsidRDefault="0085709A" w:rsidP="0085709A">
      <w:pPr>
        <w:pStyle w:val="TextoNormal"/>
      </w:pPr>
    </w:p>
    <w:p w:rsidR="0085709A" w:rsidRDefault="0085709A" w:rsidP="0085709A">
      <w:pPr>
        <w:pStyle w:val="TextoNormal"/>
      </w:pPr>
      <w:r w:rsidRPr="0085709A">
        <w:rPr>
          <w:rStyle w:val="NumeroAFNegritaCaracter"/>
        </w:rPr>
        <w:t>7</w:t>
      </w:r>
      <w:r>
        <w:t>. Delimitado el objeto procesal subsistente, y definidas las líneas generales del canon de enjuiciamiento y entre ellas la posibilidad de reconocimiento estatutario del decreto-ley autonómico, cabe resolver ya sobre las cuestiones de fondo. La representación del Gobierno alega como primer motivo de impugnación que el art. 1 del Decreto-ley impugnado, en la medida que da nueva redacción a los arts. 1.3, 25 y 53.1 a) de la ley autonómica 1/2010, se dictó sin que concurriera un “caso de extraordinaria y urgente necesidad”, que es el presupuesto que, conforme a lo dispuesto en el art. 110 de la Ley Orgánica 2/2007, de 19 de marzo, de reforma del Estatuto de Autonomía para Andalucía (en adelante, EAAnd), habilita a la Junta de Andalucía para que pueda dictar este tipo de normas con rango de ley.</w:t>
      </w:r>
    </w:p>
    <w:p w:rsidR="0085709A" w:rsidRDefault="0085709A" w:rsidP="0085709A">
      <w:pPr>
        <w:pStyle w:val="TextoNormal"/>
      </w:pPr>
    </w:p>
    <w:p w:rsidR="0085709A" w:rsidRDefault="0085709A" w:rsidP="0085709A">
      <w:pPr>
        <w:pStyle w:val="TextoNormal"/>
      </w:pPr>
      <w:r>
        <w:t>La interpretación de este presupuesto habilitante, dado que el art. 86.1 CE y el art. 110.1 EAAnd lo recogen como concreción necesaria del principio democrático (arts. 1.1 CE), puede y debe hacerse, aun con los matices ya indicados, conforme a la doctrina constitucional fijada en relación al art. 86.1 CE (</w:t>
      </w:r>
      <w:r w:rsidRPr="0085709A">
        <w:rPr>
          <w:i/>
        </w:rPr>
        <w:t>inter alia</w:t>
      </w:r>
      <w:r>
        <w:t>, SSTC 182/1997, de 28 de octubre, FJ 3; 68/2007, de 28 de marzo, FJ 6; 137/2011, de 14 de febrero, FJ 4, y 51/2013, de 28 de febrero, FJ 3). En tales decisiones, “tras reconocer el peso que en la apreciación de la extraordinaria y urgente necesidad ha de concederse ‘al juicio puramente político de los órganos a los que incumbe la dirección del Estado’, declaramos que … el concepto de extraordinaria y urgente necesidad que se contiene en la Constitución [es] ‘… la constatación de un límite jurídico a la actuación mediante decretos-leyes’. Por ello mismo dijimos que es función propia de este Tribunal ‘el aseguramiento de estos límites ...’ ” (STC 68/2007, FJ 6). Dicha sentencia señaló también que la función que compete al Tribunal “es un control externo, en el sentido de que debe verificar, pero no sustituir, el juicio político o de oportunidad que corresponde al Gobierno (STC 182/1997, de 30 de octubre, FJ 3)” y que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w:t>
      </w:r>
    </w:p>
    <w:p w:rsidR="0085709A" w:rsidRDefault="0085709A" w:rsidP="0085709A">
      <w:pPr>
        <w:pStyle w:val="TextoNormal"/>
      </w:pPr>
    </w:p>
    <w:p w:rsidR="0085709A" w:rsidRDefault="0085709A" w:rsidP="0085709A">
      <w:pPr>
        <w:pStyle w:val="TextoNormal"/>
      </w:pPr>
      <w:r>
        <w:t xml:space="preserve">a) Sobre el primer aspecto de ese control el Tribunal precisó que no se exige “que tal definición expresa de la extraordinaria y urgente necesidad haya de contenerse siempre en </w:t>
      </w:r>
      <w:r>
        <w:lastRenderedPageBreak/>
        <w:t>el propio Real Decreto-ley, sino que tal presupuesto cabe deducirlo igualmente de una pluralidad de elementos …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 (STC 68/2007, FJ 6).</w:t>
      </w:r>
    </w:p>
    <w:p w:rsidR="0085709A" w:rsidRDefault="0085709A" w:rsidP="0085709A">
      <w:pPr>
        <w:pStyle w:val="TextoNormal"/>
      </w:pPr>
    </w:p>
    <w:p w:rsidR="0085709A" w:rsidRDefault="0085709A" w:rsidP="0085709A">
      <w:pPr>
        <w:pStyle w:val="TextoNormal"/>
      </w:pPr>
      <w:r>
        <w:t>Aplicando esta doctrina la citada STC 68/2007 afirmó que “hablar de la ‘cambiante situación de la economía internacional’ o de ‘nuevas oportunidades más variadas que … en etapas anteriores’ supone la utilización de fórmulas rituales de una marcada abstracción y, por ello, de prácticamente imposible control constitucional”, por lo que apreció que la definición explícita y razonada del presupuesto habilitante faltaba. En cambio, el Tribunal (STC 6/1983, de 4 de febrero, FJ 5) ha estimado legítimo el uso de esta categoría normativa “en todos aquellos casos en que hay que alcanzar los objetivos marcados para la gobernación del país, que, por circunstancias difíciles o imposibles de prever, requieren una acción normativa inmediata o en que las coyunturas económicas exigen una rápida respuesta” y ha matizado (STC 137/2011, de 14 de septiembre, FJ 7) que “la valoración de la extraordinaria y urgente necesidad de una medida puede ser independiente de su imprevisibilidad e, incluso, de que tenga su origen en la previa inactividad del propio Gobierno siempre que concurra efectivamente la excepcionalidad de la situación”.</w:t>
      </w:r>
    </w:p>
    <w:p w:rsidR="0085709A" w:rsidRDefault="0085709A" w:rsidP="0085709A">
      <w:pPr>
        <w:pStyle w:val="TextoNormal"/>
      </w:pPr>
    </w:p>
    <w:p w:rsidR="0085709A" w:rsidRDefault="0085709A" w:rsidP="0085709A">
      <w:pPr>
        <w:pStyle w:val="TextoNormal"/>
      </w:pPr>
      <w:r>
        <w:t>b) La otra vertiente de ese control —la conexión de sentido entre la situación de necesidad definida y las medidas para afrontarla— requiere detener la atención en dos aspectos de nuestra doctrina. De un lado, la STC 23/1993, de 21 de enero, FJ 5, apuntó que “en un conjunto sistemático de medidas tan variadas y heterogéneas como las del Decreto-ley objeto de la impugnación, no es fácil aislar uno u otro precepto que, en cuanto forman parte de un conjunto sistemático de medidas, adquieren sentido en su visión global, y no desde una perspectiva meramente aislada, desde la cual podría ser más cuestionable su justificación”, concluyendo que “en cuanto incluidas en un conjunto de medidas, de cuya urgencia y necesidad no se ha dudado, no cabe negar la existencia de presupuesto habilitante también para los concretos preceptos impugnados”.</w:t>
      </w:r>
    </w:p>
    <w:p w:rsidR="0085709A" w:rsidRDefault="0085709A" w:rsidP="0085709A">
      <w:pPr>
        <w:pStyle w:val="TextoNormal"/>
      </w:pPr>
    </w:p>
    <w:p w:rsidR="0085709A" w:rsidRDefault="0085709A" w:rsidP="0085709A">
      <w:pPr>
        <w:pStyle w:val="TextoNormal"/>
      </w:pPr>
      <w:r>
        <w:t>De otro, la STC 237/2012, de 13 de diciembre, FJ 6, razonó que “no debe confundirse eficacia inmediata de la norma provisional con la ejecución instantánea de la misma. Sólo aquélla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 En esta misma línea, el Tribunal ya declaró en la STC 29/1986, de 20 de febrero, FJ 2 c), que “[no] pued[e] afirmarse que, al no regular ella misma dichos planes y remitir a un futuro su elaboración, careciese su contenido de consecuencia por relación a las razones de extraordinaria y urgente necesidad que justificaron la adopción del Decreto-ley. De hecho, el Real Decreto-ley 8/1983, responde a la necesidad de regular con urgencia el marco jurídico para la elaboración inmediata de tales planes, marco jurídico entonces inexistente, sin el que no hubiesen podido aprobarse aquéllos...”.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8</w:t>
      </w:r>
      <w:r>
        <w:t>. Acerca de la primera dimensión de este control, en la exposición de motivos del Decreto-ley se afirma que “siendo, en este caso, finalidad propia de la vivienda la de propiciar la posibilidad de dar cumplimiento al derecho a disponer de un techo, bajo el que las personas puedan desarrollarse con normalidad dentro de la sociedad, su desocupación representa el mayor exponente del incumplimiento de la finalidad del bien y por tanto de su función social” y, más adelante, que “la defensa de la función social de la vivienda adquiere mayor relevancia en los actuales momentos que pueden ser calificados como de emergencia social y económica”, puntualizando que “Andalucía es una de las Comunidades Autónomas en la que mayor número de desahucios se han producido. Es un hecho acreditado el que la ausencia de residencia conlleva en la práctica la imposibilidad de ejercer otros derechos e impide a las personas afectadas realizarse tanto profesional como familiarmente y, en muchos casos, las condena a la exclusión y marginación social y económica. Al mismo tiempo, se incrementa el número de viviendas deshabitadas en Andalucía, así como el parque de viviendas no vendidas que quedan en poder de las entidades financieras”.</w:t>
      </w:r>
    </w:p>
    <w:p w:rsidR="0085709A" w:rsidRDefault="0085709A" w:rsidP="0085709A">
      <w:pPr>
        <w:pStyle w:val="TextoNormal"/>
      </w:pPr>
    </w:p>
    <w:p w:rsidR="0085709A" w:rsidRDefault="0085709A" w:rsidP="0085709A">
      <w:pPr>
        <w:pStyle w:val="TextoNormal"/>
      </w:pPr>
      <w:r>
        <w:t>A continuación, luego de hacer una relación detallada de los datos oficiales de viviendas vacías (548.669), viviendas arrendadas (16,9 por 100) y demanda de vivienda en arrendamiento en Andalucía (más de cincuenta mil unidades familiares), concluye que “de todos los factores expuestos, se deduce, de un lado, un desorbitado parque de viviendas sin uso o infrautilizado y de otro, una demanda insatisfecha, con una oferta insuficiente y a precios no adecuados, por lo que se hace urgente potenciar su uso, mediante las distintas medidas contempladas en este decreto ley, en un contexto de crisis económica como el que venimos padeciendo”.</w:t>
      </w:r>
    </w:p>
    <w:p w:rsidR="0085709A" w:rsidRDefault="0085709A" w:rsidP="0085709A">
      <w:pPr>
        <w:pStyle w:val="TextoNormal"/>
      </w:pPr>
    </w:p>
    <w:p w:rsidR="0085709A" w:rsidRDefault="0085709A" w:rsidP="0085709A">
      <w:pPr>
        <w:pStyle w:val="TextoNormal"/>
      </w:pPr>
      <w:r>
        <w:t>Sigue la exposición de motivos del Decreto-ley reconociendo que “la intervención de las administraciones públicas competentes mediante el incremento del parque público de viviendas no puede satisfacer, por sí misma, las necesidades habitacionales de toda la población, máxime en un estado de crisis presupuestaria y financiera como la que nos envuelve. Es por ello que, una vez adoptadas las medidas que logren la mayor eficiencia y eficacia en la gestión del parque público de vivienda, deben dirigirse los esfuerzos hacia el efectivo cumplimiento de la función social de la propiedad promovida por particulares”. Y en este sentido razona que “los poderes públicos con competencia en materia de vivienda deben ocuparse urgentemente de la adversa situación descrita. … Para ello, es imprescindible desarrollar políticas que prioricen la adopción de medidas que tiendan a la puesta en el mercado de viviendas vacías y la rehabilitación sobre la construcción, en una clara apuesta por la sostenibilidad. Este decreto ley supone un compendio de iniciativas de actuación sobre la vivienda deshabitada … para que … se potencie el acceso a la vivienda desde el arrendamiento, dirigidas, fundamentalmente, a quienes no pueden mantener su vivienda por una situación de mayor endeudamiento sobrevenido”.</w:t>
      </w:r>
    </w:p>
    <w:p w:rsidR="0085709A" w:rsidRDefault="0085709A" w:rsidP="0085709A">
      <w:pPr>
        <w:pStyle w:val="TextoNormal"/>
      </w:pPr>
    </w:p>
    <w:p w:rsidR="0085709A" w:rsidRDefault="0085709A" w:rsidP="0085709A">
      <w:pPr>
        <w:pStyle w:val="TextoNormal"/>
      </w:pPr>
      <w:r>
        <w:t xml:space="preserve">Por último, aunque referido a la disposición adicional segunda de este Decreto-ley, que declara de interés social la cobertura de necesidad de vivienda de las personas en especiales circunstancias de emergencia social incursas en procedimientos de desahucio, la exposición de motivos indica que “la razón de su inclusión en este decreto-ley … atiende a la situación de emergencia social provocada por dramas humanos que han llegado a que sea el propio derecho a la vida el que se haya truncado como consecuencia de los desahucios decretados sobre la vivienda habitual. Ello, por sí mismo, compele a la más urgente reacción de los </w:t>
      </w:r>
      <w:r>
        <w:lastRenderedPageBreak/>
        <w:t>poderes públicos, en defensa del derecho a la vida y justifica la inclusión de la disposición adicional segunda en este decreto ley”.</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Llegados a este punto procede analizar las razones en que la demanda basa la falta de presupuesto habilitante de la norma recurrida y, en primer lugar, la de que no se acredita la situación extraordinaria que justifique el uso del decreto-ley por el gobierno andaluz, pues éste se limita a señalar una coyuntura económica descrita con expresiones rituales y genéricas en el preámbulo de la norma y, en todo caso, aunque concurriese tal situación podría haberse atendido a tiempo mediante el </w:t>
      </w:r>
      <w:r w:rsidRPr="0085709A">
        <w:rPr>
          <w:i/>
        </w:rPr>
        <w:t>iter</w:t>
      </w:r>
      <w:r>
        <w:t xml:space="preserve"> legislativo, ya que cabe ejercitar la función legislativa autonómica más ágilmente que la estatal, pues los parlamentos territoriales son unicamerales y más reducidos que cada una de las Cámaras estatales, previendo incluso el reglamento parlamentario la tramitación legislativa a través de procedimientos reducidos como el de urgencia (art. 98), el de aprobación en comisión (art. 134) o el de lectura única (art. 136).</w:t>
      </w:r>
    </w:p>
    <w:p w:rsidR="0085709A" w:rsidRDefault="0085709A" w:rsidP="0085709A">
      <w:pPr>
        <w:pStyle w:val="TextoNormal"/>
      </w:pPr>
    </w:p>
    <w:p w:rsidR="0085709A" w:rsidRDefault="0085709A" w:rsidP="0085709A">
      <w:pPr>
        <w:pStyle w:val="TextoNormal"/>
      </w:pPr>
      <w:r>
        <w:t>A la vista de tales alegaciones y con un afán de síntesis:</w:t>
      </w:r>
    </w:p>
    <w:p w:rsidR="0085709A" w:rsidRDefault="0085709A" w:rsidP="0085709A">
      <w:pPr>
        <w:pStyle w:val="TextoNormal"/>
      </w:pPr>
    </w:p>
    <w:p w:rsidR="0085709A" w:rsidRDefault="0085709A" w:rsidP="0085709A">
      <w:pPr>
        <w:pStyle w:val="TextoNormal"/>
      </w:pPr>
      <w:r>
        <w:t xml:space="preserve">a) Procede desestimar la alegación de que el ejecutivo andaluz identifica la situación de necesidad a que responde el Decreto-ley recurrido únicamente con expresiones genéricas y rituales, pues, ajustándonos al control externo que nos corresponde, constatamos que su exposición de motivos explicita que tal situación es la actual emergencia social y económica. No alude a la conveniencia de atajar una coyuntura económica indeterminada, sino que, como se detalló </w:t>
      </w:r>
      <w:r w:rsidRPr="0085709A">
        <w:rPr>
          <w:i/>
        </w:rPr>
        <w:t>ut supra</w:t>
      </w:r>
      <w:r>
        <w:t>, afirma que la defensa de la función social de la vivienda que el Decreto-ley opera “adquiere mayor relevancia en los actuales momentos que pueden ser calificados como de emergencia social y económica”, esto es, “en un contexto de crisis económica como el que venimos padeciendo”. Además, la exposición de motivos concreta cuáles son sus efectos en el ámbito de la vivienda. Apunta que han aumentado los desahucios y que “la ausencia de residencia conlleva en la práctica la imposibilidad de ejercer otros derechos e impide a las personas afectadas realizarse tanto profesional como familiarmente y, en muchos casos, las condena a la exclusión y marginación social y económica”. Y, precisando más esta necesidad a la que atiende, razona que, dado el estado de crisis presupuestaria y financiera vigente, los poderes públicos no pueden extender el parque público de viviendas, haciéndose “imprescindible desarrollar políticas que prioricen la adopción de medidas que tiendan a la puesta en el mercado de viviendas vacías … para que … se potencie el acceso a la vivienda desde el arrendamiento”, necesidad sentida en particular por los más afectados por la “situación de mayor endeudamiento sobrevenido”.</w:t>
      </w:r>
    </w:p>
    <w:p w:rsidR="0085709A" w:rsidRDefault="0085709A" w:rsidP="0085709A">
      <w:pPr>
        <w:pStyle w:val="TextoNormal"/>
      </w:pPr>
    </w:p>
    <w:p w:rsidR="0085709A" w:rsidRDefault="0085709A" w:rsidP="0085709A">
      <w:pPr>
        <w:pStyle w:val="TextoNormal"/>
      </w:pPr>
      <w:r>
        <w:t xml:space="preserve">Merece mención separada que la exposición de motivos apoye la inclusión de la disposición adicional segunda en “la situación de emergencia social provocada por dramas humanos que han llegado a que sea el propio derecho a la vida el que se haya truncado como consecuencia de los desahucios decretados sobre la vivienda habitual”. En esencia, se trata de la misma situación de necesidad aducida por el gobierno andaluz para justificar el resto de medidas adoptadas en el decreto-ley. Sin embargo, el Abogado del Estado no invoca la falta de presupuesto habilitante en relación a esta disposición, lo que implica reconocer que concurre una situación de necesidad que motiva la legislación de urgencia en relación a ese precepto, situación extraordinaria que es la misma en que el Consejo de Gobierno de la Junta de Andalucía funda el resto de iniciativas aprobadas mediante el Decreto-ley impugnado, también las que su art.1 inserta en los arts. 1.3, 25 y 53.1 a) de la Ley autonómica </w:t>
      </w:r>
      <w:r>
        <w:lastRenderedPageBreak/>
        <w:t>1/2010, que son a las que el Abogado del Estado imputa la ausencia de presupuesto habilitante.</w:t>
      </w:r>
    </w:p>
    <w:p w:rsidR="0085709A" w:rsidRDefault="0085709A" w:rsidP="0085709A">
      <w:pPr>
        <w:pStyle w:val="TextoNormal"/>
      </w:pPr>
    </w:p>
    <w:p w:rsidR="0085709A" w:rsidRDefault="0085709A" w:rsidP="0085709A">
      <w:pPr>
        <w:pStyle w:val="TextoNormal"/>
      </w:pPr>
      <w:r>
        <w:t>En conclusión, apreciamos, según el control externo que nos compete, que el gobierno andaluz ha cumplido con la exigencia de presentar explícita y razonadamente la situación extraordinaria que le habilita, conforme al art. 110 EAAnd, a usar los poderes de legislación de urgencia atribuidos estatutariamente.</w:t>
      </w:r>
    </w:p>
    <w:p w:rsidR="0085709A" w:rsidRDefault="0085709A" w:rsidP="0085709A">
      <w:pPr>
        <w:pStyle w:val="TextoNormal"/>
      </w:pPr>
    </w:p>
    <w:p w:rsidR="0085709A" w:rsidRDefault="0085709A" w:rsidP="0085709A">
      <w:pPr>
        <w:pStyle w:val="TextoNormal"/>
      </w:pPr>
      <w:r>
        <w:t>b) La siguiente verificación que debe realizarse en el contexto de la primera objeción es si dicha situación podría haber sido atendida tempestivamente mediante la aprobación de una ley por el Parlamento andaluz. Si así fuera faltaría el presupuesto habilitante, pues el decreto-ley es un instrumento del que es posible hacer uso para ordenar situaciones que “reclaman una acción legislativa inmediata, en un plazo más breve que el requerido para la tramitación de las Leyes” (por todas, STC 111/1983, de 2 de diciembre, FJ 6).</w:t>
      </w:r>
    </w:p>
    <w:p w:rsidR="0085709A" w:rsidRDefault="0085709A" w:rsidP="0085709A">
      <w:pPr>
        <w:pStyle w:val="TextoNormal"/>
      </w:pPr>
    </w:p>
    <w:p w:rsidR="0085709A" w:rsidRDefault="0085709A" w:rsidP="0085709A">
      <w:pPr>
        <w:pStyle w:val="TextoNormal"/>
      </w:pPr>
      <w:r>
        <w:t>Trasladando al caso que enjuiciamos los criterios establecidos con carácter general en el fundamento jurídico 6, hay que partir de la materia en que el Decreto-ley recurrido incide y resolver en consecuencia qué grado de inmediatez en la reacción normativa era la requerida. Como destaca la exposición de motivos del Decreto-ley impugnado, la materia afectada por la situación de necesidad a que se pretende dar respuesta es el derecho a disfrutar de una vivienda digna y adecuada (art. 47 CE). Se trata, por tanto, de una materia que, por su íntima conexión con la esfera individual de la persona y el libre desarrollo de la personalidad, es de la máxima relevancia, por lo que, aunque no lo diga expresamente, se deriva implícitamente de la exposición de motivos que dicha situación exige una acción normativa absolutamente inmediata, sin que la actuación pública orientada al logro de esos objetivos gubernamentales admita ningún retraso, ni siquiera la corta demora que conllevaría la tramitación legislativa particularmente ágil que caracteriza la aprobación de las leyes en las cámaras autonómicas.</w:t>
      </w:r>
    </w:p>
    <w:p w:rsidR="0085709A" w:rsidRDefault="0085709A" w:rsidP="0085709A">
      <w:pPr>
        <w:pStyle w:val="TextoNormal"/>
      </w:pPr>
    </w:p>
    <w:p w:rsidR="0085709A" w:rsidRDefault="0085709A" w:rsidP="0085709A">
      <w:pPr>
        <w:pStyle w:val="TextoNormal"/>
      </w:pPr>
      <w:r>
        <w:t>El razonamiento anterior es suficiente para resolver, conforme al control externo que nos incumbe, que no cabe rechazar como abusiva o arbitraria la situación de extraordinaria y urgente necesidad que el gobierno autonómico, al efecto de dictar la legislación de urgencia cuya constitucionalidad se cuestiona en este proceso, ha apreciado en la actual crisis económica y en sus consecuencias sobre la vivienda.</w:t>
      </w:r>
    </w:p>
    <w:p w:rsidR="0085709A" w:rsidRDefault="0085709A" w:rsidP="0085709A">
      <w:pPr>
        <w:pStyle w:val="TextoNormal"/>
      </w:pPr>
    </w:p>
    <w:p w:rsidR="0085709A" w:rsidRDefault="0085709A" w:rsidP="0085709A">
      <w:pPr>
        <w:pStyle w:val="TextoNormal"/>
      </w:pPr>
      <w:r>
        <w:t>Las precedentes consideraciones conducen al rechazo de la objeción inicial de la primera pretensión formulada por la parte recurrente.</w:t>
      </w:r>
    </w:p>
    <w:p w:rsidR="0085709A" w:rsidRDefault="0085709A" w:rsidP="0085709A">
      <w:pPr>
        <w:pStyle w:val="TextoNormal"/>
      </w:pPr>
    </w:p>
    <w:p w:rsidR="0085709A" w:rsidRDefault="0085709A" w:rsidP="0085709A">
      <w:pPr>
        <w:pStyle w:val="TextoNormal"/>
      </w:pPr>
      <w:r w:rsidRPr="0085709A">
        <w:rPr>
          <w:rStyle w:val="NumeroAFNegritaCaracter"/>
        </w:rPr>
        <w:t>10</w:t>
      </w:r>
      <w:r>
        <w:t>. La demanda también niega que concurra el presupuesto habilitante porque, a su juicio, las medidas legislativas contenidas en los arts. 1.3, 25 y 53.1 a) de la Ley andaluza 1/2010, en la redacción dada por la norma recurrida, no guardan un nexo adecuado con la situación de necesidad definida, pues la efectiva aplicación del sistema de sanciones a que se encamina todo el modelo diseñado en el Decreto-ley necesitaría más de un año, ya que con carácter previo se han de tramitar el largo y complejo procedimiento de declaración de vivienda deshabitada (arts. 33 y ss. de la Ley andaluza 1/2010), que no se puede iniciar hasta que una vivienda se repute deshabitada por haber transcurrido más de seis meses.</w:t>
      </w:r>
    </w:p>
    <w:p w:rsidR="0085709A" w:rsidRDefault="0085709A" w:rsidP="0085709A">
      <w:pPr>
        <w:pStyle w:val="TextoNormal"/>
      </w:pPr>
    </w:p>
    <w:p w:rsidR="0085709A" w:rsidRDefault="0085709A" w:rsidP="0085709A">
      <w:pPr>
        <w:pStyle w:val="TextoNormal"/>
      </w:pPr>
      <w:r>
        <w:lastRenderedPageBreak/>
        <w:t>En este punto, ha de partir nuestro análisis de que el deber de destinar de forma efectiva el bien al uso habitacional previsto por el ordenamiento (art. 1.3) y el concepto de vivienda deshabitada (art. 25) son medidas que no solo sirven de base al sistema sancionador que gira en torno a tipificar como infracción muy grave “no dar efectiva habitación a la vivienda en los términos establecidos en el art. 25, siempre que el titular de la misma sea una persona jurídica” [art. 53.1 a)], sino también a toda la serie de actuaciones de fomento del capítulo III del título VI (“de las actuaciones de fomento para evitar la existencia de viviendas deshabitadas”), concretamente a las medidas de intermediación en el mercado del arrendamiento de viviendas del art. 44, al aseguramiento de riesgos del art. 45, a las medidas fiscales del art. 46 y a las subvenciones para las personas propietarias y arrendatarias y para entidades intermediarias del art. 47, medidas de cuya relación con la situación de urgencia y necesidad no se duda.</w:t>
      </w:r>
    </w:p>
    <w:p w:rsidR="0085709A" w:rsidRDefault="0085709A" w:rsidP="0085709A">
      <w:pPr>
        <w:pStyle w:val="TextoNormal"/>
      </w:pPr>
    </w:p>
    <w:p w:rsidR="0085709A" w:rsidRDefault="0085709A" w:rsidP="0085709A">
      <w:pPr>
        <w:pStyle w:val="TextoNormal"/>
      </w:pPr>
      <w:r>
        <w:t>En fin, los arts. 1.3, 25 y 53.1 a) de la Ley andaluza 1/2010, en la redacción dada por la norma recurrida, son elementos que junto con otros integran un programa de acción dirigido a movilizar el parque de viviendas deshabitadas susceptibles de arrendamiento, como un medio para afrontar la situación de emergencia habitacional definida por el legislador como presupuesto habilitante del ejercicio de sus facultades de legislación provisional. Por ello, cabe concluir que “en cuanto incluidas en un conjunto de medidas, de cuya urgencia y necesidad no se ha dudado, no cabe negar la existencia de presupuesto habilitante también para los concretos preceptos impugnados” (STC 23/1993, de 21 de enero, FJ 5).</w:t>
      </w:r>
    </w:p>
    <w:p w:rsidR="0085709A" w:rsidRDefault="0085709A" w:rsidP="0085709A">
      <w:pPr>
        <w:pStyle w:val="TextoNormal"/>
      </w:pPr>
    </w:p>
    <w:p w:rsidR="0085709A" w:rsidRDefault="0085709A" w:rsidP="0085709A">
      <w:pPr>
        <w:pStyle w:val="TextoNormal"/>
      </w:pPr>
      <w:r>
        <w:t>Lo anterior es suficiente para rechazar la segunda objeción de la demanda, pero aun cuando procediera analizar por separado la conexión de sentido entre las medidas adoptadas y la situación de necesidad descrita no cabría excluirla en virtud del argumento ofrecido por el Abogado del Estado. Se opone a ello que, como sucedía en las SSTC 29/1986, de 20 de febrero, y 237/2012, de 13 de diciembre, el Decreto-ley impugnado tiene eficacia inmediata aunque su completa ejecución se demore en función de la naturaleza y complejidad de las acciones en él previstas. En efecto, los preceptos recurridos responden a la necesidad de regular con urgencia el marco jurídico necesario para poner en marcha el programa de acción orientado a movilizar el parque de viviendas deshabitadas susceptibles de arrendamiento, marco jurídico entonces inexistente y sin el que no se podría ejecutar dicho programa.</w:t>
      </w:r>
    </w:p>
    <w:p w:rsidR="0085709A" w:rsidRDefault="0085709A" w:rsidP="0085709A">
      <w:pPr>
        <w:pStyle w:val="TextoNormal"/>
      </w:pPr>
    </w:p>
    <w:p w:rsidR="0085709A" w:rsidRDefault="0085709A" w:rsidP="0085709A">
      <w:pPr>
        <w:pStyle w:val="TextoNormal"/>
      </w:pPr>
      <w:r w:rsidRPr="0085709A">
        <w:rPr>
          <w:rStyle w:val="NumeroAFNegritaCaracter"/>
        </w:rPr>
        <w:t>11</w:t>
      </w:r>
      <w:r>
        <w:t xml:space="preserve">. El tercer argumento esgrimido en el escrito de recurso para afirmar la falta del presupuesto habilitante del Decreto-ley recurrido es la posibilidad de conseguir el fin que con él se persigue mediante mecanismos previstos ya en la legislación vigente (Real Decreto-ley 27/2012, de 15 de noviembre, derogado, tras ser tramitado como proyecto de ley, por la Ley 1/2013, de 14 de mayo, de medidas para reforzar la protección a los deudores hipotecarios, reestructuración de deuda y alquiler social). Procede rechazar esta alegación porque, como puso de relieve la STC 142/2014, de 11 de septiembre, cuando concurre, como en este caso, una situación de extraordinaria y urgente necesidad todos los poderes públicos que tengan asignadas facultades de legislación provisional y competencias sustantivas en el ámbito material en que incide tal situación de necesidad pueden reaccionar normativamente para atender dicha situación, siempre claro está que lo hagan dentro de su espectro competencial. El hecho que el legislador estatal haya aprobado, invocando al efecto sus competencias, medidas legislativas para satisfacer tal necesidad no es razón para impedir que otro </w:t>
      </w:r>
      <w:r>
        <w:lastRenderedPageBreak/>
        <w:t>legislador haga lo propio dentro de las suyas. Por ello, esta última objeción relativa al presupuesto habilitante se reconduce a si la Junta de Andalucía tiene competencia en la materia sobre la que recaen las medidas discutidas.</w:t>
      </w:r>
    </w:p>
    <w:p w:rsidR="0085709A" w:rsidRDefault="0085709A" w:rsidP="0085709A">
      <w:pPr>
        <w:pStyle w:val="TextoNormal"/>
      </w:pPr>
    </w:p>
    <w:p w:rsidR="0085709A" w:rsidRDefault="0085709A" w:rsidP="0085709A">
      <w:pPr>
        <w:pStyle w:val="TextoNormal"/>
      </w:pPr>
      <w:r w:rsidRPr="0085709A">
        <w:rPr>
          <w:rStyle w:val="NumeroAFNegritaCaracter"/>
        </w:rPr>
        <w:t>12</w:t>
      </w:r>
      <w:r>
        <w:t>. El segundo motivo de impugnación consiste en que los arts. 1.3, 25 y 53.1 a) de la Ley andaluza 1/2010, en la redacción dada por el Decreto-ley recurrido, al afectar, a su juicio, a contenidos esenciales del derecho de propiedad (art. 33 CE), rebasan los límites materiales que derivan para los decretos-leyes del gobierno andaluz de los arts. 110 EAAnd y 86 CE.</w:t>
      </w:r>
    </w:p>
    <w:p w:rsidR="0085709A" w:rsidRDefault="0085709A" w:rsidP="0085709A">
      <w:pPr>
        <w:pStyle w:val="TextoNormal"/>
      </w:pPr>
    </w:p>
    <w:p w:rsidR="0085709A" w:rsidRDefault="0085709A" w:rsidP="0085709A">
      <w:pPr>
        <w:pStyle w:val="TextoNormal"/>
      </w:pPr>
      <w:r>
        <w:t>El art. 110 EAAnd dispone que el Consejo de Gobierno, en caso de extraordinaria y urgente necesidad, podrá dictar normas legislativas provisionales en forma de decreto-ley, pero las mismas “no podrán afectar a los derechos establecidos en este Estatuto, al régimen electoral, ni a las instituciones de la Junta de Andalucía”. Resulta patente, por tanto, que no contiene prohibición expresa, a diferencia de lo que hace el art. 86 CE en relación con la legislación provisional del Gobierno, de afectar a los derechos constitucionales, entre los que se cuenta el derecho de propiedad. Ahora bien, según hemos adelantado, el principio democrático (arts. 1.1 CE), que es una de las “reglas y principios constitucionales aplicables a todos los poderes públicos que conforman el Estado entendido en sentido amplio” (</w:t>
      </w:r>
      <w:r w:rsidRPr="0085709A">
        <w:rPr>
          <w:i/>
        </w:rPr>
        <w:t>inter alia</w:t>
      </w:r>
      <w:r>
        <w:t>, STC 116/1994, de 18 de abril), aun no siendo obstáculo para que el ejecutivo autonómico disponga, si así ha sido apoderado expresamente por el texto estatutario, de facultades legislativas en situaciones de necesidad, reclama, eso sí, que tales poderes y su ejercicio estén sujetos a los estrictos límites que, como concreción de ese principio, impone el art. 86.1 CE al decreto-ley.</w:t>
      </w:r>
    </w:p>
    <w:p w:rsidR="0085709A" w:rsidRDefault="0085709A" w:rsidP="0085709A">
      <w:pPr>
        <w:pStyle w:val="TextoNormal"/>
      </w:pPr>
    </w:p>
    <w:p w:rsidR="0085709A" w:rsidRDefault="0085709A" w:rsidP="0085709A">
      <w:pPr>
        <w:pStyle w:val="TextoNormal"/>
      </w:pPr>
      <w:r>
        <w:t>En definitiva, por el motivo expuesto, la condición establecida en el art. 86.1 CE de que los decretos-leyes “no podrán afectar … a los derechos, deberes y libertades de los ciudadanos regulados en el título I” se proyecta sobre la facultad del ejecutivo andaluz de aprobar decretos-leyes y por ello es parámetro de constitucionalidad de los que dicte. Dicha condición, en tanto que esta es su naturaleza, alcanza como un requerimiento mínimo a todas las instituciones del Estado en su conjunto, entre ellas las Comunidades Autónomas.</w:t>
      </w:r>
    </w:p>
    <w:p w:rsidR="0085709A" w:rsidRDefault="0085709A" w:rsidP="0085709A">
      <w:pPr>
        <w:pStyle w:val="TextoNormal"/>
      </w:pPr>
    </w:p>
    <w:p w:rsidR="0085709A" w:rsidRDefault="0085709A" w:rsidP="0085709A">
      <w:pPr>
        <w:pStyle w:val="TextoNormal"/>
      </w:pPr>
      <w:r>
        <w:t>Nuestro enjuiciamiento relativo a este parámetro de constitucionalidad debe partir de que “afectar” derechos constitucionales es, según nuestra doctrina, una noción restringida, pues la STC 111/1983, de 2 de diciembre, FJ 8, sostuvo que “la cláusula restrictiva del art. 86.1 C. E. (‘no podrán afectar...’)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 La misma concepción estricta de la afectación de derechos constitucionales la hemos reiterado, entre otras, en las SSTC 60/1986, de 20 de mayo, FJ 4; 182/1997, de 18 de octubre, FJ 6; 137/2003, de 3 de julio, FJ 6; 108/2004, de 30 de junio, FJ 7; y 329/2005, de 15 de diciembre, FJ 8. En todas ellas, de uno u otro modo, se añade que el “examen de si ha existido ‘afectación’ por el Decreto-ley de un derecho o libertad regulado en el título I de la Constitución … exigirá tener en cuenta la configuración constitucional del derecho o deber afectado en cada caso y la naturaleza y alcance de la concreta regulación de que se trate” (SSTC 329/2005, de 15 de diciembre, FJ 8).</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13</w:t>
      </w:r>
      <w:r>
        <w:t>. Partiendo del acervo doctrinal reseñado podemos abordar esta segunda impugnación, que se dirige principalmente contra el art. 1.3 de la Ley autonómica 1/2010, en la redacción que le da el art. 1 del Decreto-ley impugnado, que es la siguiente:</w:t>
      </w:r>
    </w:p>
    <w:p w:rsidR="0085709A" w:rsidRDefault="0085709A" w:rsidP="0085709A">
      <w:pPr>
        <w:pStyle w:val="TextoNormal"/>
      </w:pPr>
    </w:p>
    <w:p w:rsidR="0085709A" w:rsidRDefault="0085709A" w:rsidP="0085709A">
      <w:pPr>
        <w:pStyle w:val="TextoNormal"/>
      </w:pPr>
      <w:r>
        <w:t>“3. Forma parte del contenido esencial del derecho de propiedad de la vivienda el deber de destinar de forma efectiva el bien al uso habitacional previsto por el ordenamiento jurídico, así como mantener, conservar y rehabilitar la vivienda con los límites y condiciones que así establezca el planeamiento y la legislación urbanística.”</w:t>
      </w:r>
    </w:p>
    <w:p w:rsidR="0085709A" w:rsidRDefault="0085709A" w:rsidP="0085709A">
      <w:pPr>
        <w:pStyle w:val="TextoNormal"/>
      </w:pPr>
    </w:p>
    <w:p w:rsidR="0085709A" w:rsidRDefault="0085709A" w:rsidP="0085709A">
      <w:pPr>
        <w:pStyle w:val="TextoNormal"/>
      </w:pPr>
      <w:r>
        <w:t>Procede excluir de nuestro enjuiciamiento el último inciso del precepto: “así como mantener, conservar y rehabilitar la vivienda con los límites y condiciones que así establezca el planeamiento y la legislación urbanística”, pues el Abogado del Estado, a pesar de dirigir la impugnación contra todo el precepto, ningún razonamiento destina a sostener la inconstitucionalidad de esta parte [por todas, STC 22/2012, de 16 de febrero, FJ 2 b)].</w:t>
      </w:r>
    </w:p>
    <w:p w:rsidR="0085709A" w:rsidRDefault="0085709A" w:rsidP="0085709A">
      <w:pPr>
        <w:pStyle w:val="TextoNormal"/>
      </w:pPr>
    </w:p>
    <w:p w:rsidR="0085709A" w:rsidRDefault="0085709A" w:rsidP="0085709A">
      <w:pPr>
        <w:pStyle w:val="TextoNormal"/>
      </w:pPr>
      <w:r>
        <w:t>Este precepto legal, en la parte a la que debe ceñirse nuestro enjuiciamiento, impone al propietario de una vivienda “el deber de destinar de forma efectiva el bien al uso habitacional previsto por el ordenamiento jurídico”. El derecho constitucional afectado es, por tanto, el de propiedad privada (art. 33 CE),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(STC 37/1987, de 26 de marzo, FJ 2).</w:t>
      </w:r>
    </w:p>
    <w:p w:rsidR="0085709A" w:rsidRDefault="0085709A" w:rsidP="0085709A">
      <w:pPr>
        <w:pStyle w:val="TextoNormal"/>
      </w:pPr>
    </w:p>
    <w:p w:rsidR="0085709A" w:rsidRDefault="0085709A" w:rsidP="0085709A">
      <w:pPr>
        <w:pStyle w:val="TextoNormal"/>
      </w:pPr>
      <w:r>
        <w:t>La previsión contenida en el precepto impugnado, más que delimitar un concreto sistema urbanístico o una determinada política de vivienda, se dirige a precisar el haz de facultades que integra este tipo de derecho de propiedad privada y, al mismo tiempo, a definir la función social del mismo, que son, como hemos visto, los dos elementos básicos que conforman el derecho de propiedad. En cuanto a lo primero, el artículo 1.3, en lugar de ceñirse a precisar los usos posibles de las edificaciones según el lugar en que se ubiquen dentro de la ciudad o a disciplinar el sector de la vivienda, se endereza a establecer que el único uso posible de un determinado tipo de bienes debe realizarse de un modo efectivo, con la influencia consecutiva que esa imposición tiene también sobre el poder de disposición, dado que se reducirá notablemente el mercado de compradores y cambiarán las condiciones en que éstos estarán dispuestos a adquirir el bien. Respecto a lo segundo, al deber impuesto en el artículo 1.3 subyace una cierta definición de la función social de la propiedad de esta clase de bienes, como se desprende de la exposición de motivos donde se lee que “siendo … finalidad propia de la vivienda la de propiciar la posibilidad de dar cumplimiento al derecho a disponer de un techo … su desocupación representa el mayor exponente del incumplimiento de la finalidad del bien y por tanto de su función social”.</w:t>
      </w:r>
    </w:p>
    <w:p w:rsidR="0085709A" w:rsidRDefault="0085709A" w:rsidP="0085709A">
      <w:pPr>
        <w:pStyle w:val="TextoNormal"/>
      </w:pPr>
    </w:p>
    <w:p w:rsidR="0085709A" w:rsidRDefault="0085709A" w:rsidP="0085709A">
      <w:pPr>
        <w:pStyle w:val="TextoNormal"/>
      </w:pPr>
      <w:r>
        <w:t xml:space="preserve">Se trata, en conclusión, y a diferencia de las SSTC 111/1983 y 329/2005, de una regulación directa y con vocación de generalidad de las vertientes individual e institucional del derecho de propiedad sobre la vivienda, y no de la disciplina de un sector material en el que dicho derecho constitucional pueda incidir, como por otra parte se deriva de la propia dicción de la norma andaluza al señalar que el deber de uso efectivo del bien “forma parte del contenido esencial del derecho de propiedad de la vivienda”, expresión que no alude al concepto homónimo del art. 53.1 CE, pues es obvio que esa noción no puede ser precisada por </w:t>
      </w:r>
      <w:r>
        <w:lastRenderedPageBreak/>
        <w:t>el legislador sino que le vincula, así como que “no determina la Constitución cuál sea este contenido esencial de los distintos derechos y libertades, [de modo que] las controversias que al respecto puedan suscitarse han de ser resueltas por este Tribunal” (STC 37/1981, de 16 de noviembre, FJ 2) conforme a los criterios enunciados en su jurisprudencia (por todas, SSTC 11/1981, de 8 de abril, FJ 8; y 112/2006, de 5 de abril, FJ 10). Debe entenderse, por el contrario, que viene a reconocer que el deber que impone es una regulación directa del derecho de propiedad de un tipo de bienes y que tiene por objeto aspectos esenciales del mismo.</w:t>
      </w:r>
    </w:p>
    <w:p w:rsidR="0085709A" w:rsidRDefault="0085709A" w:rsidP="0085709A">
      <w:pPr>
        <w:pStyle w:val="TextoNormal"/>
      </w:pPr>
    </w:p>
    <w:p w:rsidR="0085709A" w:rsidRDefault="0085709A" w:rsidP="0085709A">
      <w:pPr>
        <w:pStyle w:val="TextoNormal"/>
      </w:pPr>
      <w:r>
        <w:t>Por todo lo razonado, debemos concluir que el artículo 1.3 concurre a establecer el régimen general del derecho de propiedad de la vivienda y dentro de él uno de sus elementos esenciales, lo que, por implicar “afectación” del mismo en el sentido que a este concepto le atribuye la doctrina constitucional, está vedado a esta modalidad de disposición con fuerza de ley. Esta conclusión no significa que la configuración constitucional del derecho de propiedad impida al legislador restringir de ese modo la amplitud de las facultades de uso y disposición del propietario de vivienda, análisis que no procede desarrollar en este momento, sino que el precepto impugnado disciplina un espacio normativo vedado al decreto-ley y reservado a la ley formal, por lo que es inconstitucional y nulo por contravenir uno de los límites materiales del decreto-ley, que deriva del principio democrático que el apartados 1 del art. 1 CE impone a todas las instituciones del Estado en su conjunto y se refleja en el art. 86.1 CE como requerimiento mínimo, por lo que el precepto autonómico establece un contenido del derecho de propiedad de la vivienda que lo afecta, en el sentido del art. 86.1 CE, y por tanto entra a regular un ámbito excluido del decreto-ley y pretende delimitar un contenido esencial para lo que ningún legislador es competente.</w:t>
      </w:r>
    </w:p>
    <w:p w:rsidR="0085709A" w:rsidRDefault="0085709A" w:rsidP="0085709A">
      <w:pPr>
        <w:pStyle w:val="TextoNormal"/>
      </w:pPr>
    </w:p>
    <w:p w:rsidR="0085709A" w:rsidRDefault="0085709A" w:rsidP="0085709A">
      <w:pPr>
        <w:pStyle w:val="TextoNormal"/>
      </w:pPr>
      <w:r>
        <w:t>El Abogado del Estado solicita que, por conexión, sean declarados inconstitucionales por este mismo motivo los arts. 25 y 53.1 a) de la Ley autonómica 1/2010, en la redacción que le da el art. 1 del Decreto-ley impugnado. Resulta claro que el art. 53.1 a), al tipificar como infracción muy grave el “no dar efectiva habitación a la vivienda” en los casos que prevé, solo adquiere sentido a partir del deber del propietario de la vivienda de destinarla de un modo efectivo a habitación regulado en el artículo 1.3, de modo que la vulneración de los límites materiales del Decreto-ley que hemos apreciado en relación a éste es igualmente predicable de dicho art. 53.1 a), por lo que también debe ser declarado inconstitucional y nulo.</w:t>
      </w:r>
    </w:p>
    <w:p w:rsidR="0085709A" w:rsidRDefault="0085709A" w:rsidP="0085709A">
      <w:pPr>
        <w:pStyle w:val="TextoNormal"/>
      </w:pPr>
    </w:p>
    <w:p w:rsidR="0085709A" w:rsidRDefault="0085709A" w:rsidP="0085709A">
      <w:pPr>
        <w:pStyle w:val="TextoNormal"/>
      </w:pPr>
      <w:r>
        <w:t xml:space="preserve">Una conclusión distinta debemos alcanzar respecto al artículo 25, en tanto que la vivienda deshabitada, cuyo concepto este precepto define, es una categoría que, en la configuración normativa que el art. 1 del Decreto-ley impugnado hace de la Ley autonómica 1/2010, es la pieza central de las actuaciones de fomento reguladas en el capítulo III del título VI, que según su artículo 42 están orientadas a “asegurar el cumplimiento efectivo del destino de la vivienda al uso legalmente establecido de dar habitación”, debiendo entenderse, una vez anulados por inconstitucionales los artículos 1.3 y 53.1 a), que el cumplimiento efectivo del uso habitacional de la vivienda no es un deber del propietario sino un objetivo que persigue el poder público mediante su política de vivienda. En este contexto la definición que el artículo 25 contiene de vivienda deshabitada es instrumental de esa actividad de fomento en materia de vivienda y, por tanto, en lugar de contener una regulación directa y con vocación de generalidad del derecho de propiedad proyectado sobre viviendas, se incardina claramente en la conformación de una política de vivienda al señalar: “se considera vivienda toda </w:t>
      </w:r>
      <w:r>
        <w:lastRenderedPageBreak/>
        <w:t>edificación que, por su estado de ejecución, cuente con las autorizaciones legales para su efectiva ocupación o que se encuentre en situación de que se soliciten las mismas y que, conforme al planeamiento urbanístico de aplicación, tenga como uso pormenorizado el residencial o tenga autorizado el uso residencial mediante la correspondiente licencia urbanística de cambio de uso, en suelo clasificado como urbano o urbanizable. Lo anterior se entenderá sin perjuicio del deber de solicitar dichas autorizaciones”.</w:t>
      </w:r>
    </w:p>
    <w:p w:rsidR="0085709A" w:rsidRDefault="0085709A" w:rsidP="0085709A">
      <w:pPr>
        <w:pStyle w:val="TextoNormal"/>
      </w:pPr>
    </w:p>
    <w:p w:rsidR="0085709A" w:rsidRDefault="0085709A" w:rsidP="0085709A">
      <w:pPr>
        <w:pStyle w:val="TextoNormal"/>
      </w:pPr>
      <w:r>
        <w:t>Es cierto que el apartado 2 del artículo 25 presume “que la vivienda no está habitada cuando no se destine efectivamente al uso residencial previsto por el ordenamiento jurídico”, pero esta referencia, una vez anulado el art. 1.3 y el art. 53.1 a), y atendiendo a que su única virtualidad será en relación a las actuaciones de fomento indicadas, no puede entenderse como el corolario de un deber de destinar efectivamente la vivienda a un uso habitacional, sino como la mera constatación fáctica de que la vivienda no está habitada efectivamente.</w:t>
      </w:r>
    </w:p>
    <w:p w:rsidR="0085709A" w:rsidRDefault="0085709A" w:rsidP="0085709A">
      <w:pPr>
        <w:pStyle w:val="TextoNormal"/>
      </w:pPr>
    </w:p>
    <w:p w:rsidR="0085709A" w:rsidRDefault="0085709A" w:rsidP="0085709A">
      <w:pPr>
        <w:pStyle w:val="TextoNormal"/>
      </w:pPr>
      <w:r>
        <w:t>No obstante, dado que los apartados 5 y 6 del artículo 25 contienen normas referidas directamente a complementar lo dispuesto en el artículo 53.1 a), dichos apartados han de seguir la misma suerte que este último precepto y, por ello, ser declarados inconstitucionales y nulos al señalar: “5. Las viviendas deshabitadas de titularidad de personas físicas no serán objeto del ejercicio de la potestad sancionadora, en los términos establecidos en el artículo 53.1 a)” y “6. En orden al ejercicio de la potestad sancionadora, sólo se considerará vivienda deshabitada, a los efectos previstos en el artículo 53.1 a) de esta Ley, aquélla cuya titularidad corresponda a una persona jurídica, constituida regular o irregularmente. Por titularidad se entenderá aquella que recaiga, tanto sobre el pleno dominio de la vivienda como sobre una participación mayoritaria en un condominio sobre la misma. A estos efectos, no será aplicable la exclusión prevista en la letra b) del apartado 4”, concerniente a viviendas de personas físicas cuyo uso sea de esparcimiento o recreo.</w:t>
      </w:r>
    </w:p>
    <w:p w:rsidR="0085709A" w:rsidRDefault="0085709A" w:rsidP="0085709A">
      <w:pPr>
        <w:pStyle w:val="TextoNormal"/>
      </w:pPr>
    </w:p>
    <w:p w:rsidR="0085709A" w:rsidRDefault="0085709A" w:rsidP="0085709A">
      <w:pPr>
        <w:pStyle w:val="TextoNormal"/>
      </w:pPr>
      <w:r w:rsidRPr="0085709A">
        <w:rPr>
          <w:rStyle w:val="NumeroAFNegritaCaracter"/>
        </w:rPr>
        <w:t>14</w:t>
      </w:r>
      <w:r>
        <w:t>. . Este motivo de impugnación referido a los límites materiales del Decreto-ley autonómico tiene otra parte completamente independiente de la considerada en los dos fundamentos jurídicos anteriores, en la que los recurrentes sostienen que los preceptos impugnados, al afectar a su juicio al derecho a la vivienda contenido en el art. 25 EAAnd, rebasan los límites materiales que derivan para los decretos-leyes del gobierno andaluz del art. 110 EAAnd, en la medida que éste prevé que el decreto-ley autonómico “no podrá afectar a los derechos establecidos en este Estatuto”. Para fundamentar esta vulneración se afirma que los preceptos impugnados, dado que imponen a los propietarios de las viviendas radicadas en Andalucía el deber de destinarlas a un determinado uso, alteran de manera evidente lo que es el contenido propio del derecho de propiedad.</w:t>
      </w:r>
    </w:p>
    <w:p w:rsidR="0085709A" w:rsidRDefault="0085709A" w:rsidP="0085709A">
      <w:pPr>
        <w:pStyle w:val="TextoNormal"/>
      </w:pPr>
    </w:p>
    <w:p w:rsidR="0085709A" w:rsidRDefault="0085709A" w:rsidP="0085709A">
      <w:pPr>
        <w:pStyle w:val="TextoNormal"/>
      </w:pPr>
      <w:r>
        <w:t>Basta para rechazar esta alegación con destacar que el derecho a una vivienda digna recogido en el art. 25 EAAnd, que más que un derecho subjetivo es un mandato a los poderes públicos autonómicos [SSTC 247/2007, de 12 de diciembre, FJ 15 c); 31/2010, FJ 16, y 110/2011, de 22 de junio, FJ 5], garantiza la posición jurídica del ciudadano que necesita un lugar donde vivir y no la del propietario de la vivienda, interés este último que no está amparado por el contenido del art. 25 EAAnd sino por el derecho de propiedad recogido en el art. 33 CE. Es claro, por tanto, que la afectación que arguyen los recurrentes podría incidir en el derecho de propiedad (art. 33 CE), cuestión que como hemos razonado queda sobre</w:t>
      </w:r>
      <w:r>
        <w:lastRenderedPageBreak/>
        <w:t>venidamente fuera del objeto de este proceso constitucional, pero en ningún caso en la situación jurídica tutelada por el art. 25 EAAnd, de modo que no existe vulneración del referido límite material que impone el art. 110 EAAnd en relación al art. 25 EAAnd.</w:t>
      </w:r>
    </w:p>
    <w:p w:rsidR="0085709A" w:rsidRDefault="0085709A" w:rsidP="0085709A">
      <w:pPr>
        <w:pStyle w:val="TextoNormal"/>
      </w:pPr>
    </w:p>
    <w:p w:rsidR="0085709A" w:rsidRDefault="0085709A" w:rsidP="0085709A">
      <w:pPr>
        <w:pStyle w:val="TextoNormal"/>
      </w:pPr>
      <w:r w:rsidRPr="0085709A">
        <w:rPr>
          <w:rStyle w:val="NumeroAFNegritaCaracter"/>
        </w:rPr>
        <w:t>15</w:t>
      </w:r>
      <w:r>
        <w:t>. Resta aún resolver sobre si los preceptos recurridos, por disponer que forma parte del contenido del derecho de propiedad que recae sobre viviendas el deber de destinarlas de forma efectiva al uso habitacional previsto en el ordenamiento, desconocen las competencias del Estado en materia de condiciones básicas que garanticen la igualdad de todos los españoles en el ejercicio de los derechos constitucionales (art. 149.1.1 CE) y de legislación civil (art. 149.1.8 CE), pero solo haremos este análisis en relación a parte del artículo 25, pues sus apartados 5 y 6 y los arts. 1.3 y 53.1 a), según ya hemos declarado, son inconstitucionales y nulos por rebasar los límites materiales del decreto-ley.</w:t>
      </w:r>
    </w:p>
    <w:p w:rsidR="0085709A" w:rsidRDefault="0085709A" w:rsidP="0085709A">
      <w:pPr>
        <w:pStyle w:val="TextoNormal"/>
      </w:pPr>
    </w:p>
    <w:p w:rsidR="0085709A" w:rsidRDefault="0085709A" w:rsidP="0085709A">
      <w:pPr>
        <w:pStyle w:val="TextoNormal"/>
      </w:pPr>
      <w:r>
        <w:t>El artículo 25 no hace otra cosa que definir el concepto de vivienda deshabitada por referencia al dato fáctico de que no haya estado dedicada efectivamente a uso habitacional durante un cierto plazo, al tiempo que esta categoría no tiene más transcendencia que convertir a tales viviendas en destinatarias de las políticas de fomento que se regulan en los artículos 42 y ss de la misma norma autonómica. Así interpretado, los apartados del artículo 25 a los que ceñimos nuestro enjuiciamiento no regulan el derecho de propiedad de la vivienda sino la actividad de fomento orientada al objetivo, establecido por el legislador autonómico en virtud de su competencia en materia de vivienda (art. 56 EAAnd), consistente en que las viviendas ubicadas en Andalucía se destinen efectivamente al uso habitacional previsto por el ordenamiento jurídico.</w:t>
      </w:r>
    </w:p>
    <w:p w:rsidR="0085709A" w:rsidRDefault="0085709A" w:rsidP="0085709A">
      <w:pPr>
        <w:pStyle w:val="TextoNormal"/>
      </w:pPr>
    </w:p>
    <w:p w:rsidR="0085709A" w:rsidRDefault="0085709A" w:rsidP="0085709A">
      <w:pPr>
        <w:pStyle w:val="TextoNormal"/>
      </w:pPr>
      <w:r>
        <w:t>De este modo, las alegaciones de los recurrentes, centradas en que dichos apartados del artículo 25 lesionan el ámbito normativo reservado al Estado porque, al disciplinar el derecho de propiedad de la vivienda, invaden las competencias que le atribuyen los números 1 y 8 del art. 149.1 CE, deben ser desechadas en tanto que, como se ha expuesto, ese precepto no hace tal cosa, sin necesidad, por tanto, de entrar a considerar cuál es el contenido y alcance de estas competencias estatales en relación al derecho de propiedad.</w:t>
      </w:r>
    </w:p>
    <w:p w:rsidR="0085709A" w:rsidRDefault="0085709A" w:rsidP="0085709A">
      <w:pPr>
        <w:pStyle w:val="TextoNormal"/>
      </w:pPr>
    </w:p>
    <w:p w:rsidR="0085709A" w:rsidRDefault="0085709A" w:rsidP="0085709A">
      <w:pPr>
        <w:pStyle w:val="TextoNormal"/>
      </w:pPr>
      <w:r w:rsidRPr="0085709A">
        <w:rPr>
          <w:rStyle w:val="NumeroAFNegritaCaracter"/>
        </w:rPr>
        <w:t>16</w:t>
      </w:r>
      <w:r>
        <w:t xml:space="preserve">. Por último, el Abogado del Estado sostiene que los arts. 1.3, 25 y 53.1 a) de la Ley 1/2010, de 8 de marzo, reguladora del derecho a la vivienda en Andalucía, en la redacción dada en virtud del Decreto-ley 6/2013, y la disposición adicional segunda de este Decreto-ley son inconstitucionales por invadir la competencia estatal </w:t>
      </w:r>
      <w:r w:rsidRPr="0085709A">
        <w:rPr>
          <w:i/>
        </w:rPr>
        <w:t>ex</w:t>
      </w:r>
      <w:r>
        <w:t xml:space="preserve"> art. 149.1.13 CE.</w:t>
      </w:r>
    </w:p>
    <w:p w:rsidR="0085709A" w:rsidRDefault="0085709A" w:rsidP="0085709A">
      <w:pPr>
        <w:pStyle w:val="TextoNormal"/>
      </w:pPr>
    </w:p>
    <w:p w:rsidR="0085709A" w:rsidRDefault="0085709A" w:rsidP="0085709A">
      <w:pPr>
        <w:pStyle w:val="TextoNormal"/>
      </w:pPr>
      <w:r>
        <w:t>En la demanda se alega, de un lado, que una línea esencial de la política económica del Estado es reorganizar el sistema financiero y recapitalizar las entidades de crédito como medio para que fluya el crédito y se retome la senda de crecimiento económico y, de otro, que la Sociedad de gestión de activos procedentes de la reestructuración bancaria (SAREB) es pieza esencial en ese complejo proceso, tal y como resulta de la Ley 8/2012, de 30 de octubre, sobre saneamiento y venta de los activos inmobiliarios del sector financiero, y de la Ley 9/2012, de 14 de noviembre, de reestructuración y resolución de entidades de crédito. A ello se añade que, según los documentos adjuntos a la demanda, las medidas adoptadas en los preceptos impugnados restan valor a la cartera de inmuebles que gestiona la SAREB y dificultan el objetivo de desinversión en las mejores condiciones posibles que tiene asignado, con lo cual comprometen gravemente la reestructuración del sector financiero español.</w:t>
      </w:r>
    </w:p>
    <w:p w:rsidR="0085709A" w:rsidRDefault="0085709A" w:rsidP="0085709A">
      <w:pPr>
        <w:pStyle w:val="TextoNormal"/>
      </w:pPr>
    </w:p>
    <w:p w:rsidR="0085709A" w:rsidRDefault="0085709A" w:rsidP="0085709A">
      <w:pPr>
        <w:pStyle w:val="TextoNormal"/>
      </w:pPr>
      <w:r>
        <w:t>Las Letradas de la Junta de Andalucía niegan que las normas recurridas tengan incidencia en la eficacia de la referida actuación estatal en materia de política económica, como exige a su juicio la STC 37/1987 (FJ 7) para que se repute vulnerado el art. 149.1.13 CE. La Letrada del Parlamento de Andalucía sostiene, además de lo anterior, que los preceptos recurridos no regulan aspectos del sistema financiero sino instrumentos de la política andaluza de vivienda. Añade, específicamente en relación a la disposición adicional segunda, que no puede entenderse contraria a las directrices estatales relativas al sistema financiero porque, de un lado, el propio Estado regula un mecanismo similar en el Real Decreto-ley 27/2012 y, de otro, el alcance de la norma autonómica, al prever de un modo acotado los beneficiarios de la misma, es muy limitado, lo que impide que pueda poner en riesgo la eficacia de tales directrices.</w:t>
      </w:r>
    </w:p>
    <w:p w:rsidR="0085709A" w:rsidRDefault="0085709A" w:rsidP="0085709A">
      <w:pPr>
        <w:pStyle w:val="TextoNormal"/>
      </w:pPr>
    </w:p>
    <w:p w:rsidR="0085709A" w:rsidRDefault="0085709A" w:rsidP="0085709A">
      <w:pPr>
        <w:pStyle w:val="TextoNormal"/>
      </w:pPr>
      <w:r>
        <w:t>Dejando a un lado los arts. 1.3 y 53.1 a) y los apartados 5 y 6 del art. 25, que ya han sido declarados inconstitucionales por rebasar los límites materiales del decreto-ley autonómico, examinaremos este motivo de impugnación en relación al resto del artículo 25 y a la disposición adicional segunda.</w:t>
      </w:r>
    </w:p>
    <w:p w:rsidR="0085709A" w:rsidRDefault="0085709A" w:rsidP="0085709A">
      <w:pPr>
        <w:pStyle w:val="TextoNormal"/>
      </w:pPr>
    </w:p>
    <w:p w:rsidR="0085709A" w:rsidRDefault="0085709A" w:rsidP="0085709A">
      <w:pPr>
        <w:pStyle w:val="TextoNormal"/>
      </w:pPr>
      <w:r>
        <w:t>En cuanto al primero de ellos podemos desestimar desde un principio el motivo impugnatorio, pues el artículo 25, interpretado en el sentido ya indicado, se limita a definir el concepto de vivienda deshabitada a partir del dato fáctico de su no ocupación efectiva y este concepto no es más que un instrumento de la política autonómica de fomento de la vivienda en alquiler que no puede producir el resultado de disminuir el valor de la cartera de inmuebles de la SAREB en que se basa la alegación del Abogado del Estado, pues, al ser la participación en tales actuaciones de fomento del alquiler meramente voluntaria, la declaración de vivienda deshabitada regulada en el artículo 25 no conlleva, ni directa ni indirectamente, imposición de multa alguna o sujeción a obligaciones de otro tipo, ni puede sostenerse tampoco que dificulte la venta de estos inmuebles que exige el objetivo de desinversión en las mejores condiciones posibles que tiene señalado la SAREB.</w:t>
      </w:r>
    </w:p>
    <w:p w:rsidR="0085709A" w:rsidRDefault="0085709A" w:rsidP="0085709A">
      <w:pPr>
        <w:pStyle w:val="TextoNormal"/>
      </w:pPr>
    </w:p>
    <w:p w:rsidR="0085709A" w:rsidRDefault="0085709A" w:rsidP="0085709A">
      <w:pPr>
        <w:pStyle w:val="TextoNormal"/>
      </w:pPr>
      <w:r>
        <w:t xml:space="preserve">La disposición adicional segunda del Decreto-ley 6/2013, por el contrario, sí contiene una regulación obligatoria al declarar el interés social a efectos expropiatorios de la cobertura de necesidad de vivienda de personas en especiales circunstancias de emergencia social, por lo que debemos analizar si es inconstitucional por desconocer la competencia exclusiva estatal </w:t>
      </w:r>
      <w:r w:rsidRPr="0085709A">
        <w:rPr>
          <w:i/>
        </w:rPr>
        <w:t>ex</w:t>
      </w:r>
      <w:r>
        <w:t xml:space="preserve"> art. 149.1.13 CE. En realidad, lo que el Abogado del Estado alega, y este Tribunal ha de examinar, es que la disposición recurrida, dictada en ejercicio de la competencia autonómica en materia de vivienda (art. 56 EAAnd), interfiere en el modo en que el Estado ha ejercido su competencia en materia de bases de la planificación general de la economía, lo que en última instancia supondría un menoscabo del ámbito competencial reservado al Estado.</w:t>
      </w:r>
    </w:p>
    <w:p w:rsidR="0085709A" w:rsidRDefault="0085709A" w:rsidP="0085709A">
      <w:pPr>
        <w:pStyle w:val="TextoNormal"/>
      </w:pPr>
    </w:p>
    <w:p w:rsidR="0085709A" w:rsidRDefault="0085709A" w:rsidP="0085709A">
      <w:pPr>
        <w:pStyle w:val="TextoNormal"/>
      </w:pPr>
      <w:r>
        <w:t xml:space="preserve">La resolución de esta cuestión, tal como ha quedado delimitada, requiere que nuestro enjuiciamiento atraviese dos fases. De un lado, debemos verificar que las medidas que se consideran obstaculizadas por la norma autonómica sean correcto ejercicio de la competencia exclusiva estatal </w:t>
      </w:r>
      <w:r w:rsidRPr="0085709A">
        <w:rPr>
          <w:i/>
        </w:rPr>
        <w:t>ex</w:t>
      </w:r>
      <w:r>
        <w:t xml:space="preserve"> art. 149.1.13 CE. De ser así, será necesario abordar, de otro lado, que la disposición impugnada signifique una dificultad para la realización efectiva de aquéllas.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17</w:t>
      </w:r>
      <w:r>
        <w:t xml:space="preserve">. Sobre el alcance de la competencia exclusiva estatal </w:t>
      </w:r>
      <w:r w:rsidRPr="0085709A">
        <w:rPr>
          <w:i/>
        </w:rPr>
        <w:t>ex</w:t>
      </w:r>
      <w:r>
        <w:t xml:space="preserve"> art. 149.1.13 CE cuando se trata del sector financiero la STC 235/1999, de 20 de diciembre, afirma que “habida cuenta de la relevancia que presenta el sistema financiero para el funcionamiento de la economía en su conjunto, la presencia de una regla competencial específica, como es, en lo que ahora exclusivamente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(FJ 2).</w:t>
      </w:r>
    </w:p>
    <w:p w:rsidR="0085709A" w:rsidRDefault="0085709A" w:rsidP="0085709A">
      <w:pPr>
        <w:pStyle w:val="TextoNormal"/>
      </w:pPr>
    </w:p>
    <w:p w:rsidR="0085709A" w:rsidRDefault="0085709A" w:rsidP="0085709A">
      <w:pPr>
        <w:pStyle w:val="TextoNormal"/>
      </w:pPr>
      <w:r>
        <w:t>También es reiterada doctrina constitucional que el Estado al amparo del art. 149.1.13 CE puede aprobar normas de naturaleza económica sobre diversos sectores en los que las Comunidades Autónomas hayan asumido competencias “a condición de que el referido título competencial no alcance a incluir cualquier acción de naturaleza económica, si no posee una incidencia directa y significativa sobre la actividad económica general (SSTC 186/1988 y 133/1997)”(STC 21/1999, de 25 de febrero, FJ 5), y a reserva de que el uso que haga el Estado de esta atribución transversal no agote el título competencial más específico que incumbe a la Comunidad Autónoma (por todas, STC 34/2013, de 14 de febrero, FJ 12).</w:t>
      </w:r>
    </w:p>
    <w:p w:rsidR="0085709A" w:rsidRDefault="0085709A" w:rsidP="0085709A">
      <w:pPr>
        <w:pStyle w:val="TextoNormal"/>
      </w:pPr>
    </w:p>
    <w:p w:rsidR="0085709A" w:rsidRDefault="0085709A" w:rsidP="0085709A">
      <w:pPr>
        <w:pStyle w:val="TextoNormal"/>
      </w:pPr>
      <w:r>
        <w:t>A la luz de esta doctrina, constatamos, por un lado, que la situación de los balances de los bancos y la dificultad de acceso al crédito por empresas y consumidores han determinado que el Gobierno, en los últimos años, haya priorizado la reorganización y recapitalización del sector financiero como línea esencial de su política económica. Este objetivo general ha sido perseguido por el Gobierno mediante varias acciones singulares relacionadas directamente con las entidades de crédito, como, en lo que hace a los mercados hipotecarios, aumentar muy notablemente las exigencias de cobertura para las exposiciones bancarias al segmento de negocio que gira en torno a los préstamos a la compra de vivienda garantizados con hipoteca sobre la misma (Reales Decretos-leyes 2/2012 y 18/2012) o firmar con la Unión Europea un memorando de entendimiento el 20 de julio de 2012 por el que el sistema financiero español recibía asistencia financiera externa para reforzar la solvencia de las entidades con déficit de capital, debilitada por la generalizada pérdida de valor de las garantías hipotecarias obrantes en sus activos.</w:t>
      </w:r>
    </w:p>
    <w:p w:rsidR="0085709A" w:rsidRDefault="0085709A" w:rsidP="0085709A">
      <w:pPr>
        <w:pStyle w:val="TextoNormal"/>
      </w:pPr>
    </w:p>
    <w:p w:rsidR="0085709A" w:rsidRDefault="0085709A" w:rsidP="0085709A">
      <w:pPr>
        <w:pStyle w:val="TextoNormal"/>
      </w:pPr>
      <w:r>
        <w:t xml:space="preserve">Por otra parte, el Estado ha dictado una normativa en la que, incidiendo de un modo limitado en el sistema de ejecución hipotecaria, atiende a la situación de quienes, por habitar viviendas constituidas como colateral de un préstamo que ha quedado impagado, están en riesgo de perder su vivienda. Adoptó al efecto el Real Decreto-ley 27/2012, de 15 de noviembre, que luego se ha convertido, en virtud de la tramitación parlamentaria como proyecto de ley, en Ley 1/2013, de 14 de mayo, de medidas para reforzar la protección a los deudores hipotecarios, reestructuración de deuda y alquiler social, modificada parcialmente por el art. 3 del Real Decreto-ley 1/2015, de 27 de febrero, de mecanismo de segunda oportunidad, reducción de carga financiera y otras medidas de orden social. Su disposición final tercera invoca como amparo competencial, entre otras, la regla del art. 149.1.13 CE y su preámbulo se inicia exponiendo que “la atención a las circunstancias excepcionales que atraviesa nuestro país, motivadas por la crisis económica y financiera, en las que numerosas </w:t>
      </w:r>
      <w:r>
        <w:lastRenderedPageBreak/>
        <w:t>personas que contrataron un préstamo hipotecario para la adquisición de su vivienda habitual se encuentran en dificultades para hacer frente a sus obligaciones, exige la adopción de medidas que, en diferentes formas, contribuyan a aliviar la situación de los deudores hipotecarios”.</w:t>
      </w:r>
    </w:p>
    <w:p w:rsidR="0085709A" w:rsidRDefault="0085709A" w:rsidP="0085709A">
      <w:pPr>
        <w:pStyle w:val="TextoNormal"/>
      </w:pPr>
    </w:p>
    <w:p w:rsidR="0085709A" w:rsidRDefault="0085709A" w:rsidP="0085709A">
      <w:pPr>
        <w:pStyle w:val="TextoNormal"/>
      </w:pPr>
      <w:r>
        <w:t>Como una de estas medidas, el art. 1, en la redacción que le da el Real Decreto-ley 1/2015, prevé que “hasta transcurridos cuatro años desde la entrada en vigor de esta Ley, no procederá el lanzamiento cuando en un proceso judicial o extrajudicial de ejecución hipotecaria se hubiera adjudicado al acreedor, o a persona que actúe por su cuenta, la vivienda habitual de personas que se encuentren en los supuestos de especial vulnerabilidad y en las circunstancias económicas previstas en este artículo”.</w:t>
      </w:r>
    </w:p>
    <w:p w:rsidR="0085709A" w:rsidRDefault="0085709A" w:rsidP="0085709A">
      <w:pPr>
        <w:pStyle w:val="TextoNormal"/>
      </w:pPr>
    </w:p>
    <w:p w:rsidR="0085709A" w:rsidRDefault="0085709A" w:rsidP="0085709A">
      <w:pPr>
        <w:pStyle w:val="TextoNormal"/>
      </w:pPr>
      <w:r>
        <w:t>Una segunda acción orientada a este objetivo se halla en la disposición adicional primera, que encomienda al Gobierno “que promueva con el sector financiero la constitución de un fondo social de viviendas propiedad de las entidades de crédito, destinadas a ofrecer cobertura a aquellas personas que hayan sido desalojadas de su vivienda habitual por el impago de un préstamo hipotecario cuando concurran las circunstancias previstas en el art. 1 de esta Ley. Este fondo social de viviendas tendrá por objetivo facilitar el acceso a estas personas a contratos de arrendamiento con rentas asumibles en función de los ingresos que perciban. En el plazo de seis meses desde la entrada en vigor de esta Ley se podrá valorar la ampliación del ámbito de cobertura del fondo social de viviendas a personas que se encuentren en circunstancias de vulnerabilidad social distintas a las previstas en el art. 1 de esta Ley”. Este fondo se creó mediante convenio firmado el 17 de enero de 2013 y la comisión de seguimiento y coordinación del mismo, en reunión celebrada el día 9 de mayo de 2014, amplió las circunstancias que determinan los beneficiarios al objeto de facilitar el acceso al fondo a otras personas o grupos que puedan resultar socialmente vulnerables.</w:t>
      </w:r>
    </w:p>
    <w:p w:rsidR="0085709A" w:rsidRDefault="0085709A" w:rsidP="0085709A">
      <w:pPr>
        <w:pStyle w:val="TextoNormal"/>
      </w:pPr>
    </w:p>
    <w:p w:rsidR="0085709A" w:rsidRDefault="0085709A" w:rsidP="0085709A">
      <w:pPr>
        <w:pStyle w:val="TextoNormal"/>
      </w:pPr>
      <w:r>
        <w:t>Estas previsiones tienen una conexión relevante con el objetivo de normalizar los mercados hipotecarios y con ello asentar el funcionamiento el sistema financiero. La primera de ellas porque, aunque prevé una cierta ineficacia del procedimiento de ejecución hipotecaria, lo hace a través de un mecanismo ordenado, que se caracteriza por su limitación en el orden temporal y en la delimitación de sus ámbitos objetivo y subjetivo. En efecto, no podemos sino reconocer que, abstractamente considerada, la suspensión por un plazo de varios años del lanzamiento cuando en un proceso judicial o extrajudicial de ejecución hipotecaria se hubiera adjudicado al acreedor la vivienda habitual de una persona es una medida que tiene entidad suficiente para influir en el funcionamiento de los mercados hipotecarios, especialmente en un tiempo como el presente en que se han visto desestabilizados por la pérdida generalizada del valor del colateral que opera como garantía del préstamo. Entendemos, en consecuencia, sin que ello suponga prejuzgar nada sobre el mayor o menor acierto de la decisión estatal, que delimitar los supuestos objetivo, subjetivo y temporal de esa suspensión del lanzamiento es una medida que presenta una estrecha conexión con el objetivo de normalizar los mercados hipotecarios.</w:t>
      </w:r>
    </w:p>
    <w:p w:rsidR="0085709A" w:rsidRDefault="0085709A" w:rsidP="0085709A">
      <w:pPr>
        <w:pStyle w:val="TextoNormal"/>
      </w:pPr>
    </w:p>
    <w:p w:rsidR="0085709A" w:rsidRDefault="0085709A" w:rsidP="0085709A">
      <w:pPr>
        <w:pStyle w:val="TextoNormal"/>
      </w:pPr>
      <w:r>
        <w:t>La segunda de las previsiones indicadas también presenta una conexión estrecha con ese objetivo porque, complementando la anterior, se ocupa de las situaciones de vulnerabilidad a que ésta no alcanza y lo hace mediante una acción que, por ser de impulso o estímulo, es mucho menos incisiva en la operatividad de los mercados hipotecarios.</w:t>
      </w:r>
    </w:p>
    <w:p w:rsidR="0085709A" w:rsidRDefault="0085709A" w:rsidP="0085709A">
      <w:pPr>
        <w:pStyle w:val="TextoNormal"/>
      </w:pPr>
    </w:p>
    <w:p w:rsidR="0085709A" w:rsidRDefault="0085709A" w:rsidP="0085709A">
      <w:pPr>
        <w:pStyle w:val="TextoNormal"/>
      </w:pPr>
      <w:r>
        <w:lastRenderedPageBreak/>
        <w:t>En conclusión, el Estado define con esta doble medida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En conclusión, las medidas estatales reseñadas, en tanto que determinan de un modo homogéneo para todo el Estado los sacrificios que se imponen a los acreedores hipotecarios para aliviar la situación de sus deudores, concurren de un modo principal a regular el mercado hipotecario en su conjunto y, al tratarse este de un subsector decisivo dentro del sector financiero, inciden directa y significativamente sobre la actividad económica general.</w:t>
      </w:r>
    </w:p>
    <w:p w:rsidR="0085709A" w:rsidRDefault="0085709A" w:rsidP="0085709A">
      <w:pPr>
        <w:pStyle w:val="TextoNormal"/>
      </w:pPr>
    </w:p>
    <w:p w:rsidR="0085709A" w:rsidRDefault="0085709A" w:rsidP="0085709A">
      <w:pPr>
        <w:pStyle w:val="TextoNormal"/>
      </w:pPr>
      <w:r>
        <w:t>Adicionalmente, dado que su finalidad es garantizar a un mismo tiempo la efectividad del derecho a una vivienda y la regularidad sustancial en el funcionamiento del sistema financiero, cabe reputar, en lo que resulte concerniente a este proceso constitucional, las acciones públicas disciplinadas en el art. 1 y en la disposición adicional primera de la Ley 1/2013 como elementos básicos de la regulación del sector de la vivienda, que, como el Tribunal ha declarado reiteradamente (SSTC 152/1988, de 17 de marzo, FJ 2 y 4; 251/2006, de 5 de julio, FJ 11; y 112/2013, de 9 de mayo, FJ 3), es un subsector importante de la economía, admitiéndose como constitucionalmente legítimo que, aun cuando la competencia en materia de vivienda corresponda a las Comunidades Autónomas, el Estado señale, si lo considera necesario, ciertas líneas directrices de la ordenación de este segmento de la economía.</w:t>
      </w:r>
    </w:p>
    <w:p w:rsidR="0085709A" w:rsidRDefault="0085709A" w:rsidP="0085709A">
      <w:pPr>
        <w:pStyle w:val="TextoNormal"/>
      </w:pPr>
    </w:p>
    <w:p w:rsidR="0085709A" w:rsidRDefault="0085709A" w:rsidP="0085709A">
      <w:pPr>
        <w:pStyle w:val="TextoNormal"/>
      </w:pPr>
      <w:r>
        <w:t>Por último, las indicadas acciones estatales no agotan la competencia autonómica en materia de vivienda, que sigue intacta en gran medida porque puede ser ejercida a través de todo tipo de regulaciones que estén desligadas del mercado hipotecario, como ocurre, dentro del mismo Decreto-ley recurrido, con los instrumentos de fomento previstos en el capítulo III del título VI. Cabe afirmar, en fin, que las medidas estatales mencionadas, al cumplir todas las exigencias de la doctrina constitucional relevante, constituyen un correcto ejercicio de la competencia estatal en materia de bases de la planificación económica (art. 149.1.13 CE).</w:t>
      </w:r>
    </w:p>
    <w:p w:rsidR="0085709A" w:rsidRDefault="0085709A" w:rsidP="0085709A">
      <w:pPr>
        <w:pStyle w:val="TextoNormal"/>
      </w:pPr>
    </w:p>
    <w:p w:rsidR="0085709A" w:rsidRDefault="0085709A" w:rsidP="0085709A">
      <w:pPr>
        <w:pStyle w:val="TextoNormal"/>
      </w:pPr>
      <w:r w:rsidRPr="0085709A">
        <w:rPr>
          <w:rStyle w:val="NumeroAFNegritaCaracter"/>
        </w:rPr>
        <w:t>18</w:t>
      </w:r>
      <w:r>
        <w:t>. Afirmado lo anterior procede analizar si el supuesto de expropiación del uso de la vivienda que regula la disposición adicional segunda impugnada obstaculiza tales medidas estatales de política económica. Las Letradas de la Junta y del Parlamento de Andalucía niegan tal interferencia con apoyo en la STC 37/1987, FJ 7, en la que el Tribunal, juzgando que la legislación estatal de reforma y desarrollo agrario constituía ordenación básica de la actuación económica (art. 149.1.13 CE), resolvió que “ninguna de estas normas [autonómicas], que en parte introducen modificaciones de índole social y en parte sólo correcciones de mera técnica jurídica a lo ya dispuesto por las citadas leyes estatales, alcanza a desplegar una eficacia incisiva en la política económica general del Estado o en los elementos básicos de la misma”.</w:t>
      </w:r>
    </w:p>
    <w:p w:rsidR="0085709A" w:rsidRDefault="0085709A" w:rsidP="0085709A">
      <w:pPr>
        <w:pStyle w:val="TextoNormal"/>
      </w:pPr>
    </w:p>
    <w:p w:rsidR="0085709A" w:rsidRDefault="0085709A" w:rsidP="0085709A">
      <w:pPr>
        <w:pStyle w:val="TextoNormal"/>
      </w:pPr>
      <w:r>
        <w:t xml:space="preserve">Este no es el caso de la norma autonómica impugnada en este proceso constitucional. La disposición adicional segunda del Decreto-ley andaluz 6/2013 aborda la misma situación de necesidad que la normativa estatal reseñada, pero lo hace mediante una regulación que, lejos </w:t>
      </w:r>
      <w:r>
        <w:lastRenderedPageBreak/>
        <w:t>de consistir en una mera modificación o corrección de técnica jurídica respecto de la solución arbitrada por ésta, responde a un principio incompatible.</w:t>
      </w:r>
    </w:p>
    <w:p w:rsidR="0085709A" w:rsidRDefault="0085709A" w:rsidP="0085709A">
      <w:pPr>
        <w:pStyle w:val="TextoNormal"/>
      </w:pPr>
    </w:p>
    <w:p w:rsidR="0085709A" w:rsidRDefault="0085709A" w:rsidP="0085709A">
      <w:pPr>
        <w:pStyle w:val="TextoNormal"/>
      </w:pPr>
      <w:r>
        <w:t>La norma autonómica (disposición adicional segunda), como se dijo que hace la estatal, atiende a la situación de ejecución hipotecaria (a) que “sea consecuencia del impago de un préstamo concedido para poder hacer efectivo el derecho a la vivienda por la persona”, (b) que afecte a “personas en especiales circunstancias de emergencia social” y (c) que se caracterice por ciertos “requisitos de carácter económico”, definiéndose en ambas disposiciones, estatal y autonómica, de forma similar las circunstancias de emergencia social (supuestos de especial vulnerabilidad en la ley estatal) y los requisitos económicos que operan como presupuestos. Ahora bien, la respuesta normativa autonómica no se reduce a adaptar la solución estatal de suspensión del lanzamiento “hasta transcurridos cuatro años desde la entrada en vigor de esta Ley” (art. 1 de la Ley estatal 1/2013, en la redacción que le da el Real Decreto-ley 1/2015), introduciendo simples modificaciones o correcciones en función del título competencial autonómico en materia de vivienda, sino que arbitra un mecanismo por completo incompatible, como es la expropiación del uso de la vivienda objeto del procedimiento de ejecución por un plazo máximo de tres años a contar desde la fecha del lanzamiento acordado por el órgano jurisdiccional competente. Este instrumento expropiatorio también difiere radicalmente del fondo social de viviendas que, para facilitar el acceso de personas desalojadas a contratos de arrendamiento con rentas asumibles, regula la disposición adicional primera de la Ley estatal 1/2013.</w:t>
      </w:r>
    </w:p>
    <w:p w:rsidR="0085709A" w:rsidRDefault="0085709A" w:rsidP="0085709A">
      <w:pPr>
        <w:pStyle w:val="TextoNormal"/>
      </w:pPr>
    </w:p>
    <w:p w:rsidR="0085709A" w:rsidRDefault="0085709A" w:rsidP="0085709A">
      <w:pPr>
        <w:pStyle w:val="TextoNormal"/>
      </w:pPr>
      <w:r>
        <w:t xml:space="preserve">Esta diferencia en el supuesto de hecho con el enjuiciado en la STC 37/1987 determina que la doctrina allí establecida no puede ser utilizada en este caso para desestimar el motivo de impugnación fundado en el art. 149.1.13 CE. No puede decirse, a diferencia de lo que se hizo en aquella Sentencia, que la norma autonómica recurrida en este caso carezca de eficacia incisiva en la medida estatal de política económica que hemos identificado </w:t>
      </w:r>
      <w:r w:rsidRPr="0085709A">
        <w:rPr>
          <w:i/>
        </w:rPr>
        <w:t>ut supra</w:t>
      </w:r>
      <w:r>
        <w:t xml:space="preserve"> porque se limite a introducir en esta última modificaciones o correcciones técnicas, pues, como se ha expuesto con detalle en este fundamento jurídico, la norma autonómica considerada en este proceso no se ciñe a hacer tal cosa sino que contiene una regulación que es en esencia incompatible con la estatal.</w:t>
      </w:r>
    </w:p>
    <w:p w:rsidR="0085709A" w:rsidRDefault="0085709A" w:rsidP="0085709A">
      <w:pPr>
        <w:pStyle w:val="TextoNormal"/>
      </w:pPr>
    </w:p>
    <w:p w:rsidR="0085709A" w:rsidRDefault="0085709A" w:rsidP="0085709A">
      <w:pPr>
        <w:pStyle w:val="TextoNormal"/>
      </w:pPr>
      <w:r>
        <w:t>El criterio expuesto solo significa que la doctrina constitucional acogida en la STC 37/1987, dado que el supuesto de hecho de aquella Sentencia es notablemente distinto del que ahora enjuiciamos, no avala por sí misma la desestimación de este motivo de inconstitucionalidad. No conlleva nada más, por lo que no nos exime de analizar si en este caso la norma autonómica impugnada tiene o no virtualidad para menoscabar la medida de política económica que, según indicamos en el fundamento jurídico anterior, el Estado ha previsto en ejercicio legítimo de su competencia sobre las bases de la planificación económica (art. 149.1.13 CE).</w:t>
      </w:r>
    </w:p>
    <w:p w:rsidR="0085709A" w:rsidRDefault="0085709A" w:rsidP="0085709A">
      <w:pPr>
        <w:pStyle w:val="TextoNormal"/>
      </w:pPr>
    </w:p>
    <w:p w:rsidR="0085709A" w:rsidRDefault="0085709A" w:rsidP="0085709A">
      <w:pPr>
        <w:pStyle w:val="TextoNormal"/>
      </w:pPr>
      <w:r>
        <w:t xml:space="preserve">En esta tarea hemos de partir de que el Estado, con las medidas que disciplina en la Ley 1/2013 conforma un régimen jurídico con el que se propone actuar sobre el sistema de ejecución hipotecaria para dar cobertura a las necesidades sociales de vivienda y, al mismo tiempo, que con ello no se perturbe significativamente el funcionamiento de los mercados hipotecarios. El Estado, de este modo, en aras de compatibilizar la realización de estas dos líneas directrices de su política económica, adopta como expresión de las bases de la planificación económica que le competen una solución normativa determinada en la Ley 1/2013. </w:t>
      </w:r>
      <w:r>
        <w:lastRenderedPageBreak/>
        <w:t>Con este trasfondo, y sin prejuzgar si es acertado o no sea el equilibrio definido así por el Estado, pues tal apreciación de oportunidad queda fuera de los márgenes de enjuiciamiento de este Tribunal, la adición por la norma autonómica de un nuevo mecanismo orientado a satisfacer esa misma situación de necesidad rompe el carácter coherente de la acción pública en esta materia, acción pública que el Estado articula con ese carácter como medio de obtener simultáneamente los dos objetivos de política económica indicados.</w:t>
      </w:r>
    </w:p>
    <w:p w:rsidR="0085709A" w:rsidRDefault="0085709A" w:rsidP="0085709A">
      <w:pPr>
        <w:pStyle w:val="TextoNormal"/>
      </w:pPr>
    </w:p>
    <w:p w:rsidR="0085709A" w:rsidRDefault="0085709A" w:rsidP="0085709A">
      <w:pPr>
        <w:pStyle w:val="TextoNormal"/>
      </w:pPr>
      <w:r>
        <w:t>Aparte de lo anterior, también resulta relevante que la concurrencia de figuras jurídicas dispares sobre una misma realidad —la suspensión del lanzamiento en la norma estatal y la expropiación de uso en la autonómica— hace difícil la aplicación conjunta de ambas disposiciones, principalmente a la hora de decidir si su eficacia es simultánea o sucesiva. Entender lo primero, a pesar que a ello induce la dicción del precepto al señalar que el plazo máximo de tres años que puede alcanzar la expropiación del uso se cuenta “desde la fecha del lanzamiento acordado por el órgano jurisdiccional competente”, no parece posible porque no se trata de medidas compatibles en el sentido de que puedan operar a un mismo tiempo. Entender lo segundo, aparte de hacer necesario definir qué norma es la prioritaria, anula en la práctica la virtualidad de una de ellas, que queda postergada en su eficacia.</w:t>
      </w:r>
    </w:p>
    <w:p w:rsidR="0085709A" w:rsidRDefault="0085709A" w:rsidP="0085709A">
      <w:pPr>
        <w:pStyle w:val="TextoNormal"/>
      </w:pPr>
    </w:p>
    <w:p w:rsidR="0085709A" w:rsidRDefault="0085709A" w:rsidP="0085709A">
      <w:pPr>
        <w:pStyle w:val="TextoNormal"/>
      </w:pPr>
      <w:r>
        <w:t xml:space="preserve">Este Tribunal entiende que la norma autonómica impugnada, por las dos razones que acabamos de exponer, cada una de ellas suficiente por sí misma, constituye un obstáculo significativo para la eficacia de la medida de política económica que el Estado disciplina en la Ley 1/2013 y, por tanto, procede declarar que el legislador andaluz ha ejercitado la competencia que le incumbe en materia de vivienda de un modo que menoscaba la competencia estatal </w:t>
      </w:r>
      <w:r w:rsidRPr="0085709A">
        <w:rPr>
          <w:i/>
        </w:rPr>
        <w:t>ex</w:t>
      </w:r>
      <w:r>
        <w:t xml:space="preserve"> art. 149.1.13 CE.</w:t>
      </w:r>
    </w:p>
    <w:p w:rsidR="0085709A" w:rsidRDefault="0085709A" w:rsidP="0085709A">
      <w:pPr>
        <w:pStyle w:val="TextoNormal"/>
      </w:pPr>
    </w:p>
    <w:p w:rsidR="0085709A" w:rsidRDefault="0085709A" w:rsidP="0085709A">
      <w:pPr>
        <w:pStyle w:val="TextoNormal"/>
      </w:pPr>
      <w:r>
        <w:t xml:space="preserve">Este razonamiento que nos ha conducido a declarar que la norma autonómica impugnada menoscaba el ejercicio legítimo que el Estado hace de su competencia exclusiva </w:t>
      </w:r>
      <w:r w:rsidRPr="0085709A">
        <w:rPr>
          <w:i/>
        </w:rPr>
        <w:t>ex</w:t>
      </w:r>
      <w:r>
        <w:t xml:space="preserve"> art. 149.1.13 CE no reduce la competencia autonómica exclusiva en materia de vivienda al mero desarrollo de las bases estatales. Nada hay en nuestro razonamiento que avale esta conclusión. En primer lugar, del hecho que las medidas previstas en la norma autonómica no sean simple modificación o corrección de las adoptadas por el Estado solo se extrae que la doctrina de la STC 37/1987 no es aplicable a este caso y que, por tanto, debe acudirse a otros criterios para resolver el fondo de la impugnación. En segundo lugar, lo que determina que la regulación autonómica menoscabe la competencia estatal no es que la medida de expropiación de uso contenida en aquélla sea de distinta naturaleza que la suspensión del lanzamiento prevista en la ley estatal, sino que supone una intervención pública adicional que quiebra la respuesta coherente que, en los términos ya indicados, ha diseñado el Estado. En tercer lugar, no puede obviarse que el legislador andaluz puede ejercer su competencia exclusiva en materia de vivienda (art. 56 EAAnd) de modos distintos al simple desarrollo de las bases estatales, como ocurre, dentro del mismo Decreto-ley recurrido, con los instrumentos de fomento previstos en el capítulo III del título VI, que es una regulación que, utilizando técnicas distintas a las que utiliza el Estado y que en nada interfieren con el mercado hipotecario, se orienta a satisfacer el derecho de todos los ciudadanos a disfrutar de un vivienda digna.</w:t>
      </w:r>
    </w:p>
    <w:p w:rsidR="0085709A" w:rsidRDefault="0085709A" w:rsidP="0085709A">
      <w:pPr>
        <w:pStyle w:val="TextoNormal"/>
      </w:pPr>
    </w:p>
    <w:p w:rsidR="0085709A" w:rsidRDefault="0085709A" w:rsidP="0085709A">
      <w:pPr>
        <w:pStyle w:val="TextoNormal"/>
      </w:pPr>
      <w:r>
        <w:t>En efecto, el análisis comparativo del Real Decreto-ley estatal 27/2012, de 15 de noviembre, y de la Ley estatal 1/2013, de 14 de mayo, de un lado, con el Decreto-ley impugnado de la Junta de Andalucía 6/2013, de 9 de abril, permite constatar:</w:t>
      </w:r>
    </w:p>
    <w:p w:rsidR="0085709A" w:rsidRDefault="0085709A" w:rsidP="0085709A">
      <w:pPr>
        <w:pStyle w:val="TextoNormal"/>
      </w:pPr>
    </w:p>
    <w:p w:rsidR="0085709A" w:rsidRDefault="0085709A" w:rsidP="0085709A">
      <w:pPr>
        <w:pStyle w:val="TextoNormal"/>
      </w:pPr>
      <w:r>
        <w:t xml:space="preserve">a) El Estado optó por dar una solución completa a los supuestos de especial vulnerabilidad en las ejecuciones hipotecarias y arbitró la medida de suspensión por dos años de los lanzamientos, con invocación de los títulos competenciales de los números 6, 8, 11, 13 y 14 del artículo 149.1 CE. La medida inicial de dos años de suspensión se amplió </w:t>
      </w:r>
      <w:r w:rsidRPr="0085709A">
        <w:rPr>
          <w:i/>
        </w:rPr>
        <w:t>de facto</w:t>
      </w:r>
      <w:r>
        <w:t xml:space="preserve"> al aprobarse la Ley 1/2013, de 14 de mayo, puesto que mantuvo la misma medida de suspensión de dos años del Real Decreto-ley 27/2012, pero desde su entrada en vigor, por lo que la medida pasó a finalizar el día 15 de mayo de 2015. Posteriormente, con la aprobación del Real Decreto-ley 1/2015, la medida de suspensión estará vigente “hasta transcurridos cuatro años desde la entrada en vigor de esta Ley”.</w:t>
      </w:r>
    </w:p>
    <w:p w:rsidR="0085709A" w:rsidRDefault="0085709A" w:rsidP="0085709A">
      <w:pPr>
        <w:pStyle w:val="TextoNormal"/>
      </w:pPr>
    </w:p>
    <w:p w:rsidR="0085709A" w:rsidRDefault="0085709A" w:rsidP="0085709A">
      <w:pPr>
        <w:pStyle w:val="TextoNormal"/>
      </w:pPr>
      <w:r>
        <w:t>b) El legislador estatal, además, ordenaba al Gobierno la constitución de un fondo social de viviendas propiedad de las entidades de crédito, destinadas a ofrecer cobertura a aquellas personas que hayan sido desalojadas de su vivienda habitual por el impago de un préstamo hipotecario (disposición adicional primera de la Ley 1/2013).</w:t>
      </w:r>
    </w:p>
    <w:p w:rsidR="0085709A" w:rsidRDefault="0085709A" w:rsidP="0085709A">
      <w:pPr>
        <w:pStyle w:val="TextoNormal"/>
      </w:pPr>
    </w:p>
    <w:p w:rsidR="0085709A" w:rsidRDefault="0085709A" w:rsidP="0085709A">
      <w:pPr>
        <w:pStyle w:val="TextoNormal"/>
      </w:pPr>
      <w:r>
        <w:t>c) La disposición adicional segunda del Decreto Legislativo 6/2013 de la Comunidad Autónoma de Andalucía interfiere, al menos el ejercicio la competencia estatal en materia de ordenación económica (art. 149.1.13), al realizar una regulación que se proyecta sobre un ámbito material que ya había sido reglado por el Estado y según reiterada jurisprudencia de este Tribunal, la competencia estatal en materia de “ordenación general de la economía” (art. 149.1.13 CE) puede abarcar “tanto las normas estatales que fijen las líneas directrices y los criterios globales de ordenación de un sector concreto como las previsiones de acciones o medidas singulares que sean necesarias para alcanzar los fines propuestos dentro de la ordenación de cada sector” (SSTC 21/1999, de 25 de febrero, FJ 5; y 95/2001, de 5 de abril, FJ 3), y en este sentido es indudable que el legislador estatal introdujo unas medidas y acciones para dar respuesta al problema de los denominados desahucios hipotecarios.</w:t>
      </w:r>
    </w:p>
    <w:p w:rsidR="0085709A" w:rsidRDefault="0085709A" w:rsidP="0085709A">
      <w:pPr>
        <w:pStyle w:val="TextoNormal"/>
      </w:pPr>
    </w:p>
    <w:p w:rsidR="0085709A" w:rsidRDefault="0085709A" w:rsidP="0085709A">
      <w:pPr>
        <w:pStyle w:val="TextoNormal"/>
      </w:pPr>
      <w:r>
        <w:t>Hemos de concluir, por las razones expuestas, que la disposición adicional segunda del Decreto-ley 6/2013 supone un uso de la competencia autonómica en materia de vivienda que menoscaba la plena efectividad de la competencia estatal prevenida en el art. 149.1.13 CE, determinando, en consecuencia, su inconstitucionalidad y nulidad.</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 xml:space="preserve">1º Estimar parcialmente el recurso de inconstitucionalidad núm. 4286-2013 y, en consecuencia, declarar la inconstitucionalidad y nulidad del primer inciso del art. 1.3 “forma parte del contenido esencial del derecho de propiedad de la vivienda el deber de destinar de forma efectiva el bien al uso habitacional previsto por el ordenamiento jurídico”, de los apartados 5 y 6 del art. 25 y del art. 53.1 a) de la Ley 1/2010, de 8 de marzo, reguladora del derecho a la vivienda en Andalucía, en la redacción aprobada por el art. 1 del Decreto-ley 6/2013, de 9 de abril, de medidas para asegurar el cumplimiento de la función social de la vivienda; así </w:t>
      </w:r>
      <w:r>
        <w:lastRenderedPageBreak/>
        <w:t>como la inconstitucionalidad y nulidad de la disposición adicional segunda de dicho Decreto-ley 6/2013.</w:t>
      </w:r>
    </w:p>
    <w:p w:rsidR="0085709A" w:rsidRDefault="0085709A" w:rsidP="0085709A">
      <w:pPr>
        <w:pStyle w:val="TextoNormal"/>
      </w:pPr>
    </w:p>
    <w:p w:rsidR="0085709A" w:rsidRDefault="0085709A" w:rsidP="0085709A">
      <w:pPr>
        <w:pStyle w:val="TextoNormal"/>
      </w:pPr>
      <w:r>
        <w:t>2º Declarar que el resto del art. 25 de la Ley 1/2010, de 8 de marzo, reguladora del derecho a la vivienda en Andalucía, en la redacción dada por el art. 1 del Decreto-ley 6/2013, de 9 de abril, de medidas para asegurar el cumplimiento de la función social de la vivienda, es conforme con la Constitución, siempre que se interprete como instrumento de la política autonómica de fomento de la vivienda en alquiler en los términos establecidos en los fundamentos jurídicos 13, 14 y 15 de esta resolución.</w:t>
      </w:r>
    </w:p>
    <w:p w:rsidR="0085709A" w:rsidRDefault="0085709A" w:rsidP="0085709A">
      <w:pPr>
        <w:pStyle w:val="TextoNormal"/>
      </w:pPr>
    </w:p>
    <w:p w:rsidR="0085709A" w:rsidRDefault="0085709A" w:rsidP="0085709A">
      <w:pPr>
        <w:pStyle w:val="TextoNormal"/>
      </w:pPr>
      <w:r>
        <w:t>3º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mayo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a la Sentencia dictada en el recurso de inconstitucionalidad núm. 4286-2013.</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pleno respeto a la opinión de la mayoría del Pleno, expreso mi discrepancia con parte de la fundamentación jurídica de la Sentencia y, en consecuencia, con el fallo.</w:t>
      </w:r>
    </w:p>
    <w:p w:rsidR="0085709A" w:rsidRDefault="0085709A" w:rsidP="0085709A">
      <w:pPr>
        <w:pStyle w:val="TextoNormal"/>
      </w:pPr>
    </w:p>
    <w:p w:rsidR="0085709A" w:rsidRDefault="0085709A" w:rsidP="0085709A">
      <w:pPr>
        <w:pStyle w:val="TextoNormal"/>
      </w:pPr>
      <w:r>
        <w:t>Mi discrepancia se ciñe a la argumentación y conclusión sentada en los fundamentos jurídicos 17 y 18 sobre la inconstitucionalidad de la disposición adicional segunda del Decreto-ley 6/2013, de 9 de abril, de medidas para asegurar el cumplimiento de la función social de la vivienda.</w:t>
      </w:r>
    </w:p>
    <w:p w:rsidR="0085709A" w:rsidRDefault="0085709A" w:rsidP="0085709A">
      <w:pPr>
        <w:pStyle w:val="TextoNormal"/>
      </w:pPr>
    </w:p>
    <w:p w:rsidR="0085709A" w:rsidRDefault="0085709A" w:rsidP="0085709A">
      <w:pPr>
        <w:pStyle w:val="TextoNormal"/>
      </w:pPr>
      <w:r>
        <w:t>La disposición adicional segunda declara de interés social la cobertura de necesidad de vivienda de las personas en especiales circunstancias de emergencia social incursas en procedimientos de desahucio por ejecución hipotecaria, a efectos de expropiación forzosa del uso de la vivienda objeto de un procedimiento de esa naturaleza, por un plazo máximo de tres años a contar desde la fecha del lanzamiento acordado por el órgano jurisdiccional competente. Esta previsión se aplica a las viviendas incursas en procedimientos de desahucio instado por entidades financieras, o sus filiales inmobiliarias o entidades de gestión de activos, en los cuales también sea una entidad financiera o sus filiales inmobiliarias o entidades de gestión de activos quien resulte adjudicatario del remate.</w:t>
      </w:r>
    </w:p>
    <w:p w:rsidR="0085709A" w:rsidRDefault="0085709A" w:rsidP="0085709A">
      <w:pPr>
        <w:pStyle w:val="TextoNormal"/>
      </w:pPr>
    </w:p>
    <w:p w:rsidR="0085709A" w:rsidRDefault="0085709A" w:rsidP="0085709A">
      <w:pPr>
        <w:pStyle w:val="TextoNormal"/>
      </w:pPr>
      <w:r>
        <w:t xml:space="preserve">Para declarar la inconstitucionalidad de la disposición adicional segunda, la Sentencia de la que discrepo construye un canon </w:t>
      </w:r>
      <w:r w:rsidRPr="0085709A">
        <w:rPr>
          <w:i/>
        </w:rPr>
        <w:t>sui generis</w:t>
      </w:r>
      <w:r>
        <w:t xml:space="preserve"> que no tiene precedente alguno en nuestra doctrina constitucional. El eje de la argumentación que ofrece la Sentencia se basa en la contraposición de las políticas públicas adoptadas por el Estado y las adoptadas por Andalucía ante el mismo problema social derivado del desahucio de viviendas, y la consideración de que la norma autonómica “interfiere” en las medidas estatales de política económica. En concreto se afirma que tal norma “interfiere, al menos el ejercicio de la competencia estatal en materia de ordenación económica (art. 149.1.13 CE), al realizar una regulación que se </w:t>
      </w:r>
      <w:r>
        <w:lastRenderedPageBreak/>
        <w:t xml:space="preserve">proyecta sobre un ámbito material que ya había sido regulado por el Estado” y que “el legislador andaluz ha ejercitado la competencia que le incumbe en materia de vivienda de un modo que menoscaba la competencia estatal </w:t>
      </w:r>
      <w:r w:rsidRPr="0085709A">
        <w:rPr>
          <w:i/>
        </w:rPr>
        <w:t>ex</w:t>
      </w:r>
      <w:r>
        <w:t xml:space="preserve"> art. 149.1.13 CE”.</w:t>
      </w:r>
    </w:p>
    <w:p w:rsidR="0085709A" w:rsidRDefault="0085709A" w:rsidP="0085709A">
      <w:pPr>
        <w:pStyle w:val="TextoNormal"/>
      </w:pPr>
    </w:p>
    <w:p w:rsidR="0085709A" w:rsidRDefault="0085709A" w:rsidP="0085709A">
      <w:pPr>
        <w:pStyle w:val="TextoNormal"/>
      </w:pPr>
      <w:r>
        <w:t xml:space="preserve">Argumentación que presenta dos serios problemas. Ante todo, si se pretende utilizar como canon de enjuiciamiento la Ley estatal 1/2013, de 14 de mayo, de medidas para reforzar la protección a los deudores hipotecarios, reestructuración de deuda y alquiler social, no basta con afirmar de pasada, como hace la Sentencia, que “cabe reputar las acciones públicas disciplinadas en el art. 1 y en la disposición adicional primera de la Ley 1/2013 como elementos básicos de la regulación del sector de la vivienda” o que las medidas estatales “constituyen un correcto ejercicio de la competencia estatal en materia de bases de la planificación económica”. El carácter básico de cada uno de los concretos preceptos que se pretenden utilizar como norma de contraste debe ser fundamentado con precisión desde la doble perspectiva formal y material, lo que en ningún momento se lleva a cabo. En segundo lugar, el control de constitucionalidad de normas en el ámbito de las competencias compartidas o de las competencias exclusivas autonómicas sobre las que pueden incidir las competencias transversales estatales (como el art. 149.1.13 CE) no tiene como cometido enjuiciar la mayor o menor compatibilidad o coherencia entre políticas, medidas u objetivos estatales y autonómicos, sino solo la posible contradicción normativa; es decir, el control de constitucionalidad de una norma autonómica no se dirige a detectar eventuales interferencias con normas estatales en el plano aplicativo. En el presente caso la Sentencia no afirma en ningún momento que la norma autonómica contradiga una norma estatal dictada </w:t>
      </w:r>
      <w:r w:rsidRPr="0085709A">
        <w:rPr>
          <w:i/>
        </w:rPr>
        <w:t>ex</w:t>
      </w:r>
      <w:r>
        <w:t xml:space="preserve"> art. 149.1.13 CE en el sentido de contradicción insalvable incluso mediante la interpretación conforme, sino que se limita a decir que interfiere con una medida o con un objetivo de política económica del Gobierno.</w:t>
      </w:r>
    </w:p>
    <w:p w:rsidR="0085709A" w:rsidRDefault="0085709A" w:rsidP="0085709A">
      <w:pPr>
        <w:pStyle w:val="TextoNormal"/>
      </w:pPr>
    </w:p>
    <w:p w:rsidR="0085709A" w:rsidRDefault="0085709A" w:rsidP="0085709A">
      <w:pPr>
        <w:pStyle w:val="TextoNormal"/>
      </w:pPr>
      <w:r>
        <w:t>Además, tampoco se acredita en ningún momento la realidad de esa supuesta interferencia, esto es, que la norma autonómica impida o dificulte la aplicación de las normas estatales o la consecución de los dos objetivos de política económica estatal. No se argumenta por qué la medida andaluza puede poner en riesgo el correcto funcionamiento del mercado hipotecario, ni en qué grado conlleva una desprotección o una reducción de la protección dispensada por el Estado a los colectivos desfavorecidos; por el contrario, se pone de relieve cómo la norma andaluza identifica tales colectivos de forma muy similar a los de la norma estatal y que ambas normas abordan “la misma situación de necesidad”. La Sentencia alcanza la conclusión de que la norma autonómica impugnada “constituye un obstáculo significativo para la eficacia de la medida de política económica que el Estado disciplina en la Ley 1/2013” sobre la base de dos argumentos: por un lado, que la norma impugnada, al abordar la misma situación de necesidad, “rompe el carácter coherente de la acción pública en esta materia, acción pública que el Estado articula con ese carácter como medio de obtener simultáneamente los dos objetivos de política económica indicados”; por otro lado, que “la concurrencia de figuras jurídicas dispares sobre una misma realidad —la suspensión del lanzamiento en la norma estatal y la expropiación de uso en la autonómica— hace difícil la aplicación conjunta de ambas disposiciones, principalmente a la hora de decidir si su eficacia es simultánea o sucesiva”. No puedo compartir ninguno de esos dos razonamientos.</w:t>
      </w:r>
    </w:p>
    <w:p w:rsidR="0085709A" w:rsidRDefault="0085709A" w:rsidP="0085709A">
      <w:pPr>
        <w:pStyle w:val="TextoNormal"/>
      </w:pPr>
    </w:p>
    <w:p w:rsidR="0085709A" w:rsidRDefault="0085709A" w:rsidP="0085709A">
      <w:pPr>
        <w:pStyle w:val="TextoNormal"/>
      </w:pPr>
      <w:r>
        <w:t xml:space="preserve">El hecho de que una Comunidad Autónoma, en el ámbito de sus competencias, haya optado por su propia solución normativa frente a un determinado problema es expresión del principio constitucional de autonomía (art. 2 CE). El legítimo ejercicio de las competencias </w:t>
      </w:r>
      <w:r>
        <w:lastRenderedPageBreak/>
        <w:t xml:space="preserve">asumidas estatutariamente no puede quedar subordinado a una pretendida coherencia (eufemismo que apela a “uniformidad”) de la acción pública en todo el territorio del Estado. En cualquier caso, la Sentencia no explica tampoco por qué la norma andaluza “rompe el carácter coherente de la acción pública en esta materia”. Que la medida autonómica sea distinta a la estatal no basta para apreciar una pretendida ruptura de la coherencia de la acción pública. La Sentencia ni siquiera lo afirma categóricamente, pues se limita a apuntar meros problemas de aplicabilidad, los cuales en ningún caso pueden conformar motivos de inconstitucionalidad. De lo expuesto por la propia Sentencia se desprende más bien que ante un mismo problema —la protección de determinados colectivos vulnerables en materia de vivienda— se ha adoptado dos tipos de medidas. La estatal, introducida inicialmente mediante el Real Decreto-ley 27/2012, de 15 de noviembre, opera de forma automática para los supuestos que define de especial vulnerabilidad: suspensión de las ejecuciones por dos años, plazo aumentado a cuatro por el Real Decreto-ley 1/2015, de 27 de febrero, esto es, con posterioridad a la aprobación de la norma andaluza. Pues bien, esta medida dejará de ser aplicable el día 16 de mayo de 2017. En cambio, la medida prevista en la norma andaluza se limita a declarar el interés social a efectos expropiatorios, de la cobertura de necesidad de vivienda de personas en especiales circunstancias de emergencia social, a fin de proceder a la expropiación forzosa del uso de la vivienda por un plazo máximo de tres años, plazo este que se contará desde la fecha del lanzamiento acordado por el órgano jurisdiccional competente. No parece haber problema aplicativo alguno —cuya resolución compete en todo caso a los órganos judiciales y no a este Tribunal—, sino sucesión de normas en el tiempo. La regulación de la norma andaluza solo podría ser aplicable cuando finalizara el periodo de suspensión de los procedimientos de ejecución establecido por el Estado, pues solo a partir de entonces podría producirse el supuesto de hecho previsto por la norma andaluza: el lanzamiento acordado por un órgano judicial, que opera además como </w:t>
      </w:r>
      <w:r w:rsidRPr="0085709A">
        <w:rPr>
          <w:i/>
        </w:rPr>
        <w:t>dies a quo</w:t>
      </w:r>
      <w:r>
        <w:t xml:space="preserve"> del plazo de expropiación de tres años.</w:t>
      </w:r>
    </w:p>
    <w:p w:rsidR="0085709A" w:rsidRDefault="0085709A" w:rsidP="0085709A">
      <w:pPr>
        <w:pStyle w:val="TextoNormal"/>
      </w:pPr>
    </w:p>
    <w:p w:rsidR="0085709A" w:rsidRDefault="0085709A" w:rsidP="0085709A">
      <w:pPr>
        <w:pStyle w:val="TextoNormal"/>
      </w:pPr>
      <w:r>
        <w:t>En consecuencia, a falta de una justificación suficiente de la supuesta interferencia, debería haberse aplicado la doctrina de la STC 37/1987, de 26 de marzo, FJ 7, y, por consiguiente, haber rechazado la existencia de la vulneración denunciada. En la STC 37/1987, tras establecer que la legislación estatal de reforma y desarrollo agrario constituía ordenación básica de la actuación económica (art. 149.1.13 CE), resolvió que “ninguna de estas normas [autonómicas], que en parte introducen modificaciones de índole social y en parte sólo correcciones de mera técnica jurídica a lo ya dispuesto por las citadas leyes estatales, alcanza a desplegar una eficacia incisiva en la política económica general del Estado o en los elementos básicos de la misma”.</w:t>
      </w:r>
    </w:p>
    <w:p w:rsidR="0085709A" w:rsidRDefault="0085709A" w:rsidP="0085709A">
      <w:pPr>
        <w:pStyle w:val="TextoNormal"/>
      </w:pPr>
    </w:p>
    <w:p w:rsidR="0085709A" w:rsidRDefault="0085709A" w:rsidP="0085709A">
      <w:pPr>
        <w:pStyle w:val="TextoNormal"/>
      </w:pPr>
      <w:r>
        <w:t xml:space="preserve">Las posibles implicaciones de la fundamentación de la presente Sentencia para nuestra futura jurisprudencia son preocupantes. Se da por bueno que el Estado, en virtud del título competencial contemplado en el art. 149.1.13 CE, pueda asumir e imponer de modo excluyente la solución de un problema social o económico como expresión de las bases de la planificación económica, cerrando el paso a que las Comunidades Autónomas puedan establecer sus propias medidas al respecto, incluso en el ámbito de las materias de su competencia exclusiva, como es la vivienda. En palabras de la propia Sentencia, el Estado podrá decidir “la extensión de la intervención pública” y “una solución normativa determinada” frente a un concreto problema, esto es, podrá decidir la única forma en que se podrá abordar ese problema. De tal manera que se impedirá a las Comunidades Autónomas que, en ejercicio de sus competencias, adopten disposiciones distintas con el mismo propósito de tutela </w:t>
      </w:r>
      <w:r>
        <w:lastRenderedPageBreak/>
        <w:t>y, que por su contenido o intensidad puedan alterar el equilibrio de intereses establecido por el Estado. Contra toda evidencia, la Sentencia de la que discrepo afirma que “las indicadas acciones estatales no agotan la competencia autonómica en materia de vivienda, que sigue intacta en gran medida porque puede ser ejercida a través de todo tipo de regulaciones que estén desligadas del mercado hipotecario”, y ofrece como ejemplo los instrumentos de fomento.</w:t>
      </w:r>
    </w:p>
    <w:p w:rsidR="0085709A" w:rsidRDefault="0085709A" w:rsidP="0085709A">
      <w:pPr>
        <w:pStyle w:val="TextoNormal"/>
      </w:pPr>
    </w:p>
    <w:p w:rsidR="0085709A" w:rsidRDefault="0085709A" w:rsidP="0085709A">
      <w:pPr>
        <w:pStyle w:val="TextoNormal"/>
      </w:pPr>
      <w:r>
        <w:t>En definitiva, la Sentencia aporta un nuevo constreñimiento de las competencias autonómicas, que se añade a una serie —ya excesiva— de pronunciamientos recientes, que, como he señalado en votos anteriores, si no se corrigen, terminarán redundando en una grave erosión y distorsión del sistema de distribución competencial consagrado por la Constitución.</w:t>
      </w:r>
    </w:p>
    <w:p w:rsidR="0085709A" w:rsidRDefault="0085709A" w:rsidP="0085709A">
      <w:pPr>
        <w:pStyle w:val="TextoNormal"/>
      </w:pPr>
    </w:p>
    <w:p w:rsidR="0085709A" w:rsidRDefault="0085709A" w:rsidP="0085709A">
      <w:pPr>
        <w:pStyle w:val="TextoNormal"/>
      </w:pPr>
      <w:r>
        <w:t>Madrid, a catorce de mayo de dos mil quince.</w:t>
      </w:r>
    </w:p>
    <w:p w:rsidR="0085709A" w:rsidRDefault="0085709A" w:rsidP="0085709A">
      <w:pPr>
        <w:pStyle w:val="TextoNormal"/>
      </w:pPr>
    </w:p>
    <w:p w:rsidR="0085709A" w:rsidRDefault="0085709A" w:rsidP="0085709A">
      <w:pPr>
        <w:pStyle w:val="TextoNormalNegritaCentrado"/>
        <w:keepNext/>
      </w:pPr>
      <w:r>
        <w:t>Voto particular parcialmente discrepante que formula la Magistrada doña Encarnación Roca Trías a la Sentencia dictada en el recurso de inconstitucionalidad 4286-2013, al que se adhiere el Magistrado don Fernando Valdés Dal-Ré.</w:t>
      </w:r>
    </w:p>
    <w:p w:rsidR="0085709A" w:rsidRDefault="0085709A" w:rsidP="0085709A">
      <w:pPr>
        <w:pStyle w:val="TextoNormalNegritaCentrado"/>
        <w:keepNext/>
      </w:pPr>
    </w:p>
    <w:p w:rsidR="0085709A" w:rsidRDefault="0085709A" w:rsidP="0085709A">
      <w:pPr>
        <w:pStyle w:val="TextoNormal"/>
      </w:pPr>
      <w:r>
        <w:t>En el ejercicio de la facultad que me reconoce el art. 90.2 de la Ley Orgánica del Tribunal Constitucional, y con el mayor respeto a la opinión de la mayoría, debo manifestar mi total y absoluto desacuerdo con esta Sentencia, en lo que atañe a la disposición adicional segunda del Decreto-ley andaluz 6/2013, de 9 de abril, de medidas para asegurar el cumplimiento de la función social de la vivienda. Discrepo de la argumentación vertida en sus fundamentos jurídicos 17 y 18. Pero, también, de la declaración de inconstitucionalidad y nulidad de la disposición citada, que no distingue entre los distintos supuestos que contempla.</w:t>
      </w:r>
    </w:p>
    <w:p w:rsidR="0085709A" w:rsidRDefault="0085709A" w:rsidP="0085709A">
      <w:pPr>
        <w:pStyle w:val="TextoNormal"/>
      </w:pPr>
    </w:p>
    <w:p w:rsidR="0085709A" w:rsidRDefault="0085709A" w:rsidP="0085709A">
      <w:pPr>
        <w:pStyle w:val="TextoNormal"/>
      </w:pPr>
      <w:r>
        <w:t>Se centran en la determinación del título competencial vulnerado por la Comunidad Autónoma de Andalucía al regular la expropiación del derecho de uso en favor del deudor hipotecario ejecutado después del remate en el procedimiento de ejecución hipotecaria. A mi modo de ver, la Comunidad Autónoma ha vulnerado la competencia exclusiva del Estado en materia procesal, contenida en el art. 149.1.6 CE.</w:t>
      </w:r>
    </w:p>
    <w:p w:rsidR="0085709A" w:rsidRDefault="0085709A" w:rsidP="0085709A">
      <w:pPr>
        <w:pStyle w:val="TextoNormal"/>
      </w:pPr>
    </w:p>
    <w:p w:rsidR="0085709A" w:rsidRDefault="0085709A" w:rsidP="0085709A">
      <w:pPr>
        <w:pStyle w:val="TextoNormal"/>
      </w:pPr>
      <w:r>
        <w:t>Las razones de mi desacuerdo, que ya expuse en la deliberación, son las que referiré a continuación.</w:t>
      </w:r>
    </w:p>
    <w:p w:rsidR="0085709A" w:rsidRDefault="0085709A" w:rsidP="0085709A">
      <w:pPr>
        <w:pStyle w:val="TextoNormal"/>
      </w:pPr>
    </w:p>
    <w:p w:rsidR="0085709A" w:rsidRDefault="0085709A" w:rsidP="0085709A">
      <w:pPr>
        <w:pStyle w:val="TextoNormal"/>
      </w:pPr>
      <w:r>
        <w:t xml:space="preserve">1. Se plantea en esta Sentencia un problema de inconstitucionalidad mediata, esto es, si la disposición adicional segunda del Decreto-ley 6/2013 ha vulnerado la competencia que asiste al Estado </w:t>
      </w:r>
      <w:r w:rsidRPr="0085709A">
        <w:rPr>
          <w:i/>
        </w:rPr>
        <w:t>ex</w:t>
      </w:r>
      <w:r>
        <w:t xml:space="preserve"> art. 149.1.13 CE para la reorganización y recapitalización del sector financiero, y para proveer a las necesidades de deudores hipotecarios propietarios de viviendas, que son objeto de ejecución hipotecaria que finaliza con la pérdida de su vivienda habitual.</w:t>
      </w:r>
    </w:p>
    <w:p w:rsidR="0085709A" w:rsidRDefault="0085709A" w:rsidP="0085709A">
      <w:pPr>
        <w:pStyle w:val="TextoNormal"/>
      </w:pPr>
    </w:p>
    <w:p w:rsidR="0085709A" w:rsidRDefault="0085709A" w:rsidP="0085709A">
      <w:pPr>
        <w:pStyle w:val="TextoNormal"/>
      </w:pPr>
      <w:r>
        <w:t xml:space="preserve">Según doctrina constitucional consolidada de este Tribunal, lo cual excusa de su cita pormenorizada, el método a seguir en estos casos debe partir de la identificación de las normas y preceptos estatales de contraste y de la determinación del título competencial que </w:t>
      </w:r>
      <w:r>
        <w:lastRenderedPageBreak/>
        <w:t>asiste para dictarlas, paso imprescindible para resolver sobre la existencia o no de la extralimitación competencial denunciada. Expuesto de forma simplificada, la Comunidad Autónoma, en ejercicio de su competencia exclusiva para regular un sector económico, no puede dictar normas que, por su contenido, corresponden a una competencia material exclusiva del Estado. Si así lo hiciera, sin entrar en la contradicción o no con la norma estatal, aún en el caso de que éste no lo hubiera regulado, la norma autonómica sería inconstitucional. Por el contrario, cuando se trata de títulos competenciales transversales, como es el caso del art. 149.1.13 CE, el ejercicio por la Comunidad Autónoma de sus competencias sólo tiene el límite de no contradecir o no menoscabar la competencia ejercida por el Estado.</w:t>
      </w:r>
    </w:p>
    <w:p w:rsidR="0085709A" w:rsidRDefault="0085709A" w:rsidP="0085709A">
      <w:pPr>
        <w:pStyle w:val="TextoNormal"/>
      </w:pPr>
    </w:p>
    <w:p w:rsidR="0085709A" w:rsidRDefault="0085709A" w:rsidP="0085709A">
      <w:pPr>
        <w:pStyle w:val="TextoNormal"/>
      </w:pPr>
      <w:r>
        <w:t>A la hora de realizar el encuadramiento competencial de las normas estatales que sirven de contraste, la doctrina constitucional ha venido a seleccionar el más específico frente a los más genéricos. Aunque no faltan ocasiones en que ha utilizado de forma conjunta la competencia estatal más específica con el título del art. 149.1.13 CE, como es caso de la STC 235/1999, de 20 de diciembre, que cita la Sentencia de la mayoría, no por ello el Tribunal ha dejado de lado la competencia específica que asiste al Estado, sobre todo porque le permite dictar una regulación completa de una determinada materia que responderá, claro está, a los principios ordenadores con especial incidencia en la economía general o en un sector económico determinado.</w:t>
      </w:r>
    </w:p>
    <w:p w:rsidR="0085709A" w:rsidRDefault="0085709A" w:rsidP="0085709A">
      <w:pPr>
        <w:pStyle w:val="TextoNormal"/>
      </w:pPr>
    </w:p>
    <w:p w:rsidR="0085709A" w:rsidRDefault="0085709A" w:rsidP="0085709A">
      <w:pPr>
        <w:pStyle w:val="TextoNormal"/>
      </w:pPr>
      <w:r>
        <w:t>2. La Sentencia de la mayoría comienza analizando las normas estatales que se entienden vulneradas para determinar el título competencial que asiste al Estado para dictarlas, dando por bueno el que alega el Abogado del Estado y sin analizar los títulos competenciales que cita la disposición final tercera de la Ley 1/2013.</w:t>
      </w:r>
    </w:p>
    <w:p w:rsidR="0085709A" w:rsidRDefault="0085709A" w:rsidP="0085709A">
      <w:pPr>
        <w:pStyle w:val="TextoNormal"/>
      </w:pPr>
    </w:p>
    <w:p w:rsidR="0085709A" w:rsidRDefault="0085709A" w:rsidP="0085709A">
      <w:pPr>
        <w:pStyle w:val="TextoNormal"/>
      </w:pPr>
      <w:r>
        <w:t>Sin hacer mención alguna a su contenido, aunque sí a la finalidad de reorganización del sistema financiero, concluye la argumentación de la Sentencia de la que aquí se discrepa que las disposiciones legales aprobadas por el Gobierno, entre las que incluye no sólo los Reales Decretos-leyes 2/2012 y 18/2012, sino también el memorando de entendimiento de 20 de julio de 2012 firmado con la Unión Europea, que inexplicablemente incorpora al bloque de la constitucionalidad, se han dictado al amparo del art. 149.1.13 CE, por responder a la necesidad de recapitalización del sector financiero, siendo esta una línea esencial de la política económica del Gobierno.</w:t>
      </w:r>
    </w:p>
    <w:p w:rsidR="0085709A" w:rsidRDefault="0085709A" w:rsidP="0085709A">
      <w:pPr>
        <w:pStyle w:val="TextoNormal"/>
      </w:pPr>
    </w:p>
    <w:p w:rsidR="0085709A" w:rsidRDefault="0085709A" w:rsidP="0085709A">
      <w:pPr>
        <w:pStyle w:val="TextoNormal"/>
      </w:pPr>
      <w:r>
        <w:t>De igual forma reconduce a este título competencial las medidas que incorpora el Real Decreto-ley 27/2012, de 15 de noviembre, reconvertido en Ley 1/2013, de 14 de mayo, modificado finalmente por el Real Decreto-ley 1/2015, de 27 de febrero. Todos ellos prevén la suspensión temporal de los lanzamientos cuando en un proceso de ejecución hipotecaria, se hubiera adjudicado al acreedor la vivienda habitual de personas deudoras que se encuentren en los supuestos de especial vulnerabilidad y encarga al Gobierno promover con el sector financiero un fondo social de viviendas destinadas a dar cobertura a las personas desalojadas de su vivienda habitual por el impago de un préstamo hipotecario. Considera que estas medidas tienen por objetivo “normalizar los mercados hipotecarios”.</w:t>
      </w:r>
    </w:p>
    <w:p w:rsidR="0085709A" w:rsidRDefault="0085709A" w:rsidP="0085709A">
      <w:pPr>
        <w:pStyle w:val="TextoNormal"/>
      </w:pPr>
    </w:p>
    <w:p w:rsidR="0085709A" w:rsidRDefault="0085709A" w:rsidP="0085709A">
      <w:pPr>
        <w:pStyle w:val="TextoNormal"/>
      </w:pPr>
      <w:r>
        <w:t>La primera medida presenta, según la Sentencia, una estrecha conexión con el mercado hipotecario, pues la delimitación de los supuestos en que procede la suspensión del lanzamiento del deudor hipotecario, una vez finalizado el procedimiento de ejecución, sirve para no alterarlo.</w:t>
      </w:r>
    </w:p>
    <w:p w:rsidR="0085709A" w:rsidRDefault="0085709A" w:rsidP="0085709A">
      <w:pPr>
        <w:pStyle w:val="TextoNormal"/>
      </w:pPr>
    </w:p>
    <w:p w:rsidR="0085709A" w:rsidRDefault="0085709A" w:rsidP="0085709A">
      <w:pPr>
        <w:pStyle w:val="TextoNormal"/>
      </w:pPr>
      <w:r>
        <w:t>La segunda medida también, ya que se ocupa de las situaciones de vulnerabilidad que considera compatibles con el adecuado funcionamiento de dicho mercado. En definitiva, según la Sentencia, con estas dos medidas “el Estado define la extensión de la intervención pública de protección de las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w:t>
      </w:r>
    </w:p>
    <w:p w:rsidR="0085709A" w:rsidRDefault="0085709A" w:rsidP="0085709A">
      <w:pPr>
        <w:pStyle w:val="TextoNormal"/>
      </w:pPr>
    </w:p>
    <w:p w:rsidR="0085709A" w:rsidRDefault="0085709A" w:rsidP="0085709A">
      <w:pPr>
        <w:pStyle w:val="TextoNormal"/>
      </w:pPr>
      <w:r>
        <w:t>3. Pues bien, discrepo del encuadramiento competencial que ha realizado la Sentencia de las medidas contempladas en la Ley 1/2013, en base a la incidencia económica que tienen en el mercado hipotecario, cuyo correcto funcionamiento es un principio general de ordenación de la economía, y con desprecio de su contenido material. El capítulo I de la Ley 1/2013 prevé, en su redacción vigente, la suspensión por el plazo de cuatro años de los lanzamientos de familias que se encuentran en la situación de especial riesgo de exclusión, que define. La exposición de motivos señala que esta medida, excepcional y temporal, pretende perfeccionar y reforzar el marco de protección de los deudores que, a causa de las condiciones excepcionales derivadas de la crisis económica, han visto modificada su situación económica y patrimonial y se han encontrado en una situación merecedora de protección. Por ello, afecta a procesos judiciales de ejecución hipotecaria y de venta extrajudicial por las cuales se adjudique al acreedor la vivienda habitual de personas pertenecientes a determinados colectivos. En estos casos, la Ley impide que se proceda al lanzamiento, debiendo los deudores ejecutados acreditar dichas condiciones ante el Notario o el Juez responsables del procedimiento de ejecución.</w:t>
      </w:r>
    </w:p>
    <w:p w:rsidR="0085709A" w:rsidRDefault="0085709A" w:rsidP="0085709A">
      <w:pPr>
        <w:pStyle w:val="TextoNormal"/>
      </w:pPr>
    </w:p>
    <w:p w:rsidR="0085709A" w:rsidRDefault="0085709A" w:rsidP="0085709A">
      <w:pPr>
        <w:pStyle w:val="TextoNormal"/>
      </w:pPr>
      <w:r>
        <w:t>En mi opinión, resulta claro que este precepto de la Ley estatal incide, modificándolo parcial y temporalmente, en el sistema general de ejecución hipotecaria, que finaliza con la puesta a disposición, si así lo solicita el adquirente en el remate, en las condiciones establecidas en la Ley de enjuiciamiento civil (LEC). Caso que no cumpla estas condiciones, el adquirente en el proceso de ejecución hipotecaria no pierde, desde luego, la facultad de uso o posesión inherente a la propiedad, pero debe instar su recuperación en el juicio que corresponda (art. 675 LEC).</w:t>
      </w:r>
    </w:p>
    <w:p w:rsidR="0085709A" w:rsidRDefault="0085709A" w:rsidP="0085709A">
      <w:pPr>
        <w:pStyle w:val="TextoNormal"/>
      </w:pPr>
    </w:p>
    <w:p w:rsidR="0085709A" w:rsidRDefault="0085709A" w:rsidP="0085709A">
      <w:pPr>
        <w:pStyle w:val="TextoNormal"/>
      </w:pPr>
      <w:r>
        <w:t>Como quiera que la suspensión afecta a los procesos judiciales o extrajudiciales de ejecución hipotecaria iniciados antes de la entrada en vigor de la Ley en los que no se hubiese ejecutado el lanzamiento (disposición transitoria primera) y a los que se inicien con posterioridad a la misma, la suspensión del lanzamiento ordenada por la Ley puede operar de dos formas:</w:t>
      </w:r>
    </w:p>
    <w:p w:rsidR="0085709A" w:rsidRDefault="0085709A" w:rsidP="0085709A">
      <w:pPr>
        <w:pStyle w:val="TextoNormal"/>
      </w:pPr>
    </w:p>
    <w:p w:rsidR="0085709A" w:rsidRDefault="0085709A" w:rsidP="0085709A">
      <w:pPr>
        <w:pStyle w:val="TextoNormal"/>
      </w:pPr>
      <w:r>
        <w:t>A) Si la suspensión afecta a los procesos de ejecución hipotecaria impidiendo al Juez dictar el Auto ordenando el lanzamiento, resulta que la Ley 1/2013 habrá añadido una nueva excepción a las previstas en el art. 661.2 LEC, cuando existan terceros ocupantes distintos del ejecutado, las únicas que permiten y a la vez obligan al Juez a denegar el desalojo instado por el adquirente que reúne las condiciones establecidas en el art. 675 LEC. Esta posibilidad es i) carácter temporal; ii) solo para determinados adquirentes (los acreedores); iii) para determinados ejecutados (los que se encuentran en la situación de necesidad por ella des</w:t>
      </w:r>
      <w:r>
        <w:lastRenderedPageBreak/>
        <w:t>crita); y iv) solo para concretos inmuebles hipotecados (los que constituyen vivienda habitual del deudor ejecutado). Con ello, la Ley 1/2013 ha venido a modificar, aunque sea de forma temporal, la regulación contenida en el la Ley de enjuiciamiento civil.</w:t>
      </w:r>
    </w:p>
    <w:p w:rsidR="0085709A" w:rsidRDefault="0085709A" w:rsidP="0085709A">
      <w:pPr>
        <w:pStyle w:val="TextoNormal"/>
      </w:pPr>
    </w:p>
    <w:p w:rsidR="0085709A" w:rsidRDefault="0085709A" w:rsidP="0085709A">
      <w:pPr>
        <w:pStyle w:val="TextoNormal"/>
      </w:pPr>
      <w:r>
        <w:t>Mientras que la regulación de la ejecución hipotecaria judicial y extrajudicial forma parte de la competencia que asiste al Estado para la regulación de esta institución civil (art. 149.1.8 CE), tanto el procedimiento judicial de ejecución como la de la posesión judicial y el lanzamiento de los ocupantes del inmueble que afecta a los dos procedimientos anteriormente señalados, constituye el complemento procesal necesario para que la ejecución de hipoteca cumpla la finalidad establecida, como bien demuestra el hecho de que haya recibido en la Ley de enjuiciamiento civil un tratamiento específico distinto del resto de procesos ejecutivos. Es por ello que la regulación estatal (art. 1, párrafo 2 de la Ley 1/2013) que establece las condiciones en las que el ejecutado puede permanecer en la vivienda habitual adjudicada al adquirente acreedor, impidiendo al Juez que dicte auto de lanzamiento, se ha dictado en ejercicio de la competencia más específica que asiste al Estad</w:t>
      </w:r>
      <w:r w:rsidRPr="0085709A">
        <w:rPr>
          <w:i/>
        </w:rPr>
        <w:t xml:space="preserve">o </w:t>
      </w:r>
      <w:r>
        <w:t>ex art. 149.1.6.CE.</w:t>
      </w:r>
    </w:p>
    <w:p w:rsidR="0085709A" w:rsidRDefault="0085709A" w:rsidP="0085709A">
      <w:pPr>
        <w:pStyle w:val="TextoNormal"/>
      </w:pPr>
    </w:p>
    <w:p w:rsidR="0085709A" w:rsidRDefault="0085709A" w:rsidP="0085709A">
      <w:pPr>
        <w:pStyle w:val="TextoNormal"/>
      </w:pPr>
      <w:r>
        <w:t xml:space="preserve">B) Si, por el contrario, la suspensión ordenada por la Ley estatal se produce con posterioridad al Auto firme que resuelve el lanzamiento con el correspondiente desalojo, pero antes de que éste se haya llevado a efecto en los términos ordenados, la norma habrá arbitrado una suerte de suspensión de un derecho reconocido en una resolución judicial firme (contra el Auto judicial que ordena el lanzamiento no cabe recurso alguno), pues tiene la virtualidad de impedir la completa ejecución de lo ordenado por el órgano judicial, que no es otra cosa que el reconocimiento del derecho a la posesión que ostenta el adquirente frente al ejecutado, y su inmediata efectividad con el lanzamiento, un derecho al que el adquirente puede voluntariamente renunciar, pero que no puede ser impedido sin que quede privada de efectos la resolución judicial que se lo ha reconocido. Al impedir la ejecución del Auto firme, posponiéndola, la disposición estatal establece un supuesto específico de inejecución temporal de la resolución judicial firme, que forma parte de la competencia que asiste al Estado para regular, </w:t>
      </w:r>
      <w:r w:rsidRPr="0085709A">
        <w:rPr>
          <w:i/>
        </w:rPr>
        <w:t>ex</w:t>
      </w:r>
      <w:r>
        <w:t xml:space="preserve"> art. 149.1.6 CE, las formas de ejecución de las resoluciones judiciales.</w:t>
      </w:r>
    </w:p>
    <w:p w:rsidR="0085709A" w:rsidRDefault="0085709A" w:rsidP="0085709A">
      <w:pPr>
        <w:pStyle w:val="TextoNormal"/>
      </w:pPr>
    </w:p>
    <w:p w:rsidR="0085709A" w:rsidRDefault="0085709A" w:rsidP="0085709A">
      <w:pPr>
        <w:pStyle w:val="TextoNormal"/>
      </w:pPr>
      <w:r>
        <w:t>Es el art. 18 de la Ley Orgánica del Poder Judicial (LOPJ), norma de contenido inequívocamente procesal, el que establece que las resoluciones judiciales solo podrán dejarse sin efecto en virtud de los recursos establecidos; que las sentencias se ejecutarán en sus propios términos, salvo que exista una imposibilidad, en cuyo caso podrá sustituirse por la indemnización correspondiente, y que “los derechos reconocidos frente a la Administración por una sentencia firme” pueden ser expropiados siguiendo el procedimiento establecido y siempre mediando la correspondiente indemnización.</w:t>
      </w:r>
    </w:p>
    <w:p w:rsidR="0085709A" w:rsidRDefault="0085709A" w:rsidP="0085709A">
      <w:pPr>
        <w:pStyle w:val="TextoNormal"/>
      </w:pPr>
    </w:p>
    <w:p w:rsidR="0085709A" w:rsidRDefault="0085709A" w:rsidP="0085709A">
      <w:pPr>
        <w:pStyle w:val="TextoNormal"/>
      </w:pPr>
      <w:r>
        <w:t>4. Así pues, sea cual sea la forma en que la suspensión del lanzamiento se instrumente, antes o después de que se dicte el Auto judicial por el que se ordena la ejecución, la Ley 1/2013 establece una regulación de carácter materialmente procesal, sobre la que el Estado tiene competencia exclusiva. Este título competencial se recoge, junto con otros, en la disposición final tercera de la ley 1/2013, sin especificar cuál de ellos resulta de aplicación para el dictado de cada uno de los preceptos.</w:t>
      </w:r>
    </w:p>
    <w:p w:rsidR="0085709A" w:rsidRDefault="0085709A" w:rsidP="0085709A">
      <w:pPr>
        <w:pStyle w:val="TextoNormal"/>
      </w:pPr>
    </w:p>
    <w:p w:rsidR="0085709A" w:rsidRDefault="0085709A" w:rsidP="0085709A">
      <w:pPr>
        <w:pStyle w:val="TextoNormal"/>
      </w:pPr>
      <w:r>
        <w:lastRenderedPageBreak/>
        <w:t>Cierto es que la Ley 1/2013 ha tenido en cuenta para adoptar la medida con la que pretende proteger a quienes han perdido o perderían la posesión de su vivienda habitual por la ejecución de la hipoteca, los intereses económicos en presencia, incluidos los de las entidades financieras, principales afectadas por ella. Pero el impacto económico que una medida de este alcance puede producir al impedir, sin contemplar la correspondiente indemnización, que el adquirente no obtenga la posesión hasta transcurridos cuatro años, no la convierte automáticamente en una medida dictada en ejercicio de la competencia del art. 149.1. 13 CE, prescindiendo de su contenido material. Si así fuera, cualquier modificación de cierta entidad de la Ley hipotecaria y de la Ley de enjuiciamiento civil, por tener incidencia económica en el mercado hipotecario, que, a su vez, la tiene en la economía general, debería ser reconducida a este mismo título competencial sobrando, en consecuencia, cualesquiera otros, incluso los que cita la disposición final tercera de la Ley 1/2013.</w:t>
      </w:r>
    </w:p>
    <w:p w:rsidR="0085709A" w:rsidRDefault="0085709A" w:rsidP="0085709A">
      <w:pPr>
        <w:pStyle w:val="TextoNormal"/>
      </w:pPr>
    </w:p>
    <w:p w:rsidR="0085709A" w:rsidRDefault="0085709A" w:rsidP="0085709A">
      <w:pPr>
        <w:pStyle w:val="TextoNormal"/>
      </w:pPr>
      <w:r>
        <w:t>En cualquier caso, no deja de causar perplejidad que la Sentencia de la que discrepo, lejos de analizar cuál de todos los títulos competenciales podrían verse afectados para seleccionar entre ellos el más específico, haya optado por el contemplado en el art. 149.1.13 CE a partir de “estrecha conexión” con el “objetivo de normalizar los mercados hipotecarios”, cuando, precisamente, viene a modificar parcial y temporalmente las reglas procesales esenciales de la ejecución hipotecaria, ignorando el del art. 149.1.6 CE que ni siquiera menciona. Menos aún se me alcanza cuál puede ser esa “estrecha conexión” que la Sentencia dice existir entre la normalización de los mercados hipotecarios y el asentamiento del sistema financiero, con el mandato al Gobierno para que promueva con el sector financiero un fondo social de viviendas, pues el hecho de que este fondo pretenda cubrir las necesidades de quienes han sido desalojados por el impago de un préstamo hipotecario, nada añade, es más, produce un nulo impacto en el sistema hipotecario y no afecta a la solvencia de las entidades de crédito.</w:t>
      </w:r>
    </w:p>
    <w:p w:rsidR="0085709A" w:rsidRDefault="0085709A" w:rsidP="0085709A">
      <w:pPr>
        <w:pStyle w:val="TextoNormal"/>
      </w:pPr>
    </w:p>
    <w:p w:rsidR="0085709A" w:rsidRDefault="0085709A" w:rsidP="0085709A">
      <w:pPr>
        <w:pStyle w:val="TextoNormal"/>
      </w:pPr>
      <w:r>
        <w:t>5. Enmarcado el capítulo I de la Ley 1/2013 en la competencia del art. 149.1.6 CE, la extralimitación competencial que se achaca a la disposición adicional segunda del Decreto-ley autonómico exige determinar si, a la vista de su contenido, estamos o no ante una norma materialmente procesal. Si así fuera, sería inconstitucional por carecer la Comunidad Autónoma de competencia para dictarla.</w:t>
      </w:r>
    </w:p>
    <w:p w:rsidR="0085709A" w:rsidRDefault="0085709A" w:rsidP="0085709A">
      <w:pPr>
        <w:pStyle w:val="TextoNormal"/>
      </w:pPr>
    </w:p>
    <w:p w:rsidR="0085709A" w:rsidRDefault="0085709A" w:rsidP="0085709A">
      <w:pPr>
        <w:pStyle w:val="TextoNormal"/>
      </w:pPr>
      <w:r>
        <w:t>La expropiación regulada en la disposición adicional segunda del Decreto-ley andaluz se refiere al derecho de uso o posesión de las viviendas incursas en un procedimiento de ejecución hipotecaria, cuando ya se ha producido la adjudicación del remate a favor del acreedor que sea una entidad financiera, o filial inmobiliaria —momento en el cual se adquiere la propiedad—, y una vez reconocido por el órgano judicial que el adquirente tiene, frente al ejecutado, derecho a la posesión, y por tanto se ha decretado el lanzamiento.</w:t>
      </w:r>
    </w:p>
    <w:p w:rsidR="0085709A" w:rsidRDefault="0085709A" w:rsidP="0085709A">
      <w:pPr>
        <w:pStyle w:val="TextoNormal"/>
      </w:pPr>
    </w:p>
    <w:p w:rsidR="0085709A" w:rsidRDefault="0085709A" w:rsidP="0085709A">
      <w:pPr>
        <w:pStyle w:val="TextoNormal"/>
      </w:pPr>
      <w:r>
        <w:t xml:space="preserve">Como señala el apartado 1 de la citada disposición, la expropiación temporal del uso de las viviendas se extiende a los tres años a contar desde la fecha del lanzamiento acordado por el órgano jurisdiccional competente luego, debe existir un Auto firme que ordene el lanzamiento. Es claro, por tanto, que a diferencia de la norma estatal de contraste, la disposición impugnada no ha podido introducir una nueva causa que obligue al Juez a no ordenar el lanzamiento, sino que opera, una vez decretado, pero antes de que sea ejecutado en los términos ordenados. Así se infiere de la interpretación sistemática de la norma, pues, una vez desalojado el ejecutado, no tendría sentido que la expropiación estuviera ligada a la </w:t>
      </w:r>
      <w:r>
        <w:lastRenderedPageBreak/>
        <w:t>existencia de una ejecución hipotecaria, sino al hecho de que la vivienda esté vacante, y que los protegidos sean los ejecutados y no cualesquiera otras personas en las que concurran las mismas condiciones merecedoras de protección que concurren en los deudores ejecutados para ser beneficiarios de la expropiación. Es más, ello se desprende del tenor literal del apartado 15 de la disposición impugnada, que sólo contempla el supuesto de expropiación del uso de la vivienda cuando ya se ha ejecutado el desalojo; en concreto, cuando se trate de procesos de ejecución iniciados antes de su entrada en vigor en los que se haya ejecutado el lanzamiento, pero la vivienda permanezca vacía después de ésta. A ello me referiré más adelante.</w:t>
      </w:r>
    </w:p>
    <w:p w:rsidR="0085709A" w:rsidRDefault="0085709A" w:rsidP="0085709A">
      <w:pPr>
        <w:pStyle w:val="TextoNormal"/>
      </w:pPr>
    </w:p>
    <w:p w:rsidR="0085709A" w:rsidRDefault="0085709A" w:rsidP="0085709A">
      <w:pPr>
        <w:pStyle w:val="TextoNormal"/>
      </w:pPr>
      <w:r>
        <w:t xml:space="preserve">Ciertamente, tal y como ha señalado este Tribunal, la determinación de las causas de utilidad pública o interés social para la expropiación de bienes y derechos corresponde a la Administración titular de la competencia material sustantiva. Como señala la STC 37/1987, de 26 de marzo, FJ 6, cuando la legislación sectorial corresponda a las Comunidades Autónomas son éstas y no el Estado, las que ostentan la potestad de definir legalmente los supuestos en que cabe hacer uso del instrumento expropiatorio mediante la declaración de la </w:t>
      </w:r>
      <w:r w:rsidRPr="0085709A">
        <w:rPr>
          <w:i/>
        </w:rPr>
        <w:t>causa expropiandi</w:t>
      </w:r>
      <w:r>
        <w:t xml:space="preserve"> necesaria en cada caso, sin perjuicio de atenerse a la legislación general del Estado, que garantiza por igual los derechos patrimoniales de todos los sujetos privados. Entiendo, sin embargo, que cuando la expropiación incide, impidiéndola, en la ejecución de una resolución judicial firme, no estamos ya ante la expropiación forzosa de una facultad del derecho de propiedad a la que se refieren los arts. 33.3 y 149.1.18 CE, sino ante la regulación de la forma en que deben ejecutarse las resoluciones firmes, o mejor dicho, su inejecución, pues no cabe duda, en mi opinión, que la regulación que contiene el art. 18 LOPJ, aunque utilice el término expropiación para referirse a la privación del derecho reconocido por la resolución judicial, no puede reconducirse a la institución de la expropiación forzosa sino a la materia procesal. Y esto es lo que ocurre en este caso, ya que la disposición impugnada expropia el derecho del adquirente a obtener la posesión frente al ejecutado, derecho ya declarado por una resolución judicial firme. Y ello corresponde a la materia procesal, motivo por el cual, al ser ésta una competencia exclusiva del Estado, la disposición impugnada es inconstitucional.</w:t>
      </w:r>
    </w:p>
    <w:p w:rsidR="0085709A" w:rsidRDefault="0085709A" w:rsidP="0085709A">
      <w:pPr>
        <w:pStyle w:val="TextoNormal"/>
      </w:pPr>
    </w:p>
    <w:p w:rsidR="0085709A" w:rsidRDefault="0085709A" w:rsidP="0085709A">
      <w:pPr>
        <w:pStyle w:val="TextoNormal"/>
      </w:pPr>
      <w:r>
        <w:t>6. No obstante lo hasta aquí expuesto, el apartado quince de la disposición adicional segunda del Decreto-ley andaluz 6/2013 contempla, también, la expropiación del derecho de uso de la vivienda cuando afecta a los procesos de ejecución hipotecaria iniciados antes de su entrada en vigor, pero ya finalizados con el lanzamiento del deudor ejecutado tras su vigencia, siempre y cuando las viviendas continúen desocupadas y no hayan sido enajenados a terceros pues, de haber ocurrido esto último, ya no sería la entidad financiera o su filial hipotecaria que ha resultado adjudicataria en el remate y que se define por la norma como sujeto expropiado, sino ante un tercero, excluido del supuesto contemplado como causa expropiatoria del uso.</w:t>
      </w:r>
    </w:p>
    <w:p w:rsidR="0085709A" w:rsidRDefault="0085709A" w:rsidP="0085709A">
      <w:pPr>
        <w:pStyle w:val="TextoNormal"/>
      </w:pPr>
    </w:p>
    <w:p w:rsidR="0085709A" w:rsidRDefault="0085709A" w:rsidP="0085709A">
      <w:pPr>
        <w:pStyle w:val="TextoNormal"/>
      </w:pPr>
      <w:r>
        <w:t xml:space="preserve">En este caso, se trata de la regulación de una </w:t>
      </w:r>
      <w:r w:rsidRPr="0085709A">
        <w:rPr>
          <w:i/>
        </w:rPr>
        <w:t>causa expropiandi</w:t>
      </w:r>
      <w:r>
        <w:t xml:space="preserve"> establecida por la Comunidad Autónoma en ejercicio de su competencia en materia de vivienda. Esta regulación no es, sin duda, materialmente procesal pues el proceso ha finalizado con la ejecución de la resolución judicial firme. La Ley autonómica regula una causa expropiatoria que entiende necesaria para el ejercicio de su competencia en materia de vivienda. Dicha causa afecta a un número determinado y limitado de viviendas, las que son objeto de procesos de ejecución </w:t>
      </w:r>
      <w:r>
        <w:lastRenderedPageBreak/>
        <w:t xml:space="preserve">ya iniciados, en que la adjudicación i) se realizó a la entidad financiera o su filial inmobiliaria que sigue siendo titular de la misma; ii) se llevó a efecto el lanzamiento tras la entrada en vigor de la disposición autonómica; iii) la vivienda está desocupada, y iv) el ejecutado reúne las condiciones establecidas en la disposición autonómica impugnada. Una medida de alcance muy limitado y perfectamente cuantificable, ya que no resulta de aplicación a los procesos de ejecución hipotecaria que se inicien con posterioridad a su entrada en vigor, que permite descartar, </w:t>
      </w:r>
      <w:r w:rsidRPr="0085709A">
        <w:rPr>
          <w:i/>
        </w:rPr>
        <w:t>ab initio</w:t>
      </w:r>
      <w:r>
        <w:t>, el desfavorable y extendido impacto, argumentado por el Abogado del Estado, pero nunca acreditado, sobre los activos inmobiliarios de la Sociedad de gestión de activos procedentes de la reestructuración bancaria en Andalucía y sobre las medidas de reestructuración bancaria aprobadas por el Estado en el ejercicio de su competenci</w:t>
      </w:r>
      <w:r w:rsidRPr="0085709A">
        <w:rPr>
          <w:i/>
        </w:rPr>
        <w:t xml:space="preserve">a </w:t>
      </w:r>
      <w:r>
        <w:t>ex art. 149.1.13 CE.</w:t>
      </w:r>
    </w:p>
    <w:p w:rsidR="0085709A" w:rsidRDefault="0085709A" w:rsidP="0085709A">
      <w:pPr>
        <w:pStyle w:val="TextoNormal"/>
      </w:pPr>
    </w:p>
    <w:p w:rsidR="0085709A" w:rsidRDefault="0085709A" w:rsidP="0085709A">
      <w:pPr>
        <w:pStyle w:val="TextoNormal"/>
      </w:pPr>
      <w:r>
        <w:t>Es por ello que, en mi opinión, la inconstitucionalidad debía haberse limitado a los supuestos en los que se impide la ejecución del Auto firme dictado por el Juez, pero no así a aquellos procesos iniciados antes de la entrada en vigor del Decreto-ley autonómico, pero finalizados con el desalojo cuando se realiza la expropiación del derecho de uso.</w:t>
      </w:r>
    </w:p>
    <w:p w:rsidR="0085709A" w:rsidRDefault="0085709A" w:rsidP="0085709A">
      <w:pPr>
        <w:pStyle w:val="TextoNormal"/>
      </w:pPr>
    </w:p>
    <w:p w:rsidR="0085709A" w:rsidRDefault="0085709A" w:rsidP="0085709A">
      <w:pPr>
        <w:pStyle w:val="TextoNormal"/>
      </w:pPr>
      <w:r>
        <w:t>7. Mi discrepancia no se limita, únicamente, al encuadramiento competencial realizado por la Sentencia de la que discrepo y que, como acabo de exponer, debería haber arrojado un resultado bien distinto. Se extiende a la argumentación seguida para determinar si ha existido o no la extralimitación competencial denunciada, es decir, la forma en que se ha aplicado el título competencial del art. 149.1.13 CE.</w:t>
      </w:r>
    </w:p>
    <w:p w:rsidR="0085709A" w:rsidRDefault="0085709A" w:rsidP="0085709A">
      <w:pPr>
        <w:pStyle w:val="TextoNormal"/>
      </w:pPr>
    </w:p>
    <w:p w:rsidR="0085709A" w:rsidRDefault="0085709A" w:rsidP="0085709A">
      <w:pPr>
        <w:pStyle w:val="TextoNormal"/>
      </w:pPr>
      <w:r>
        <w:t>No cabe afirmar, en mi opinión, que la Sentencia haya errado al determinar el canon aplicable, reiterado en el fundamento jurídico 17, que recuerda que el Estado no puede incluir, con base en este título, una acción económica si no posee incidencia directa y significativa sobre la actividad económica general y a reserva de que el uso que haga el Estado de esta atribución transversal, no agote el título competencial más específico que incumbe a la Comunidad Autónoma. Creo que la Sentencia de la mayoría, lisa y llanamente, ha ignorado este canon al aplicarlo a la disposición adicional segunda del Decreto-ley autonómico construyendo uno nuevo y a medida. Exactamente lo mismo que ocurrió en las SSTC 34/2013, de 14 de febrero, y 74/2014, de 8 de mayo, que tras identificar el canon que la doctrina constitucional había establecido para el art. 149.1.13 CE, y pretendiendo no modificarlo, llegaron, precisamente, a resultados que su correcta aplicación habría impedido. Así, desde la STC 34/2013, de 14 de febrero, las bases de la planificación económica no son ya meros criterios o directrices de ordenación general con especial incidencia en la economía en general o en un sector económico concreto, sino que permiten regulaciones de materias concretas, dentro de cada sector, cuando éste y no la medida, tenga incidencia sobre la economía general, regulaciones tan pormenorizadas como sea necesario para cumplir el objetivo económico identificado por el Estado, vaciando con ello las competencias exclusivas de las Comunidades Autónomas sobre el sector. Así lo pusieron de manifiesto los Votos particulares formulados a las Sentencias anteriormente citadas, a cuya argumentación ahora me remito.</w:t>
      </w:r>
    </w:p>
    <w:p w:rsidR="0085709A" w:rsidRDefault="0085709A" w:rsidP="0085709A">
      <w:pPr>
        <w:pStyle w:val="TextoNormal"/>
      </w:pPr>
    </w:p>
    <w:p w:rsidR="0085709A" w:rsidRDefault="0085709A" w:rsidP="0085709A">
      <w:pPr>
        <w:pStyle w:val="TextoNormal"/>
      </w:pPr>
      <w:r>
        <w:t xml:space="preserve">Pero esta Sentencia da un paso más. No se trata ya de que las normas autonómicas deban respetar, en el ejercicio de sus competencias exclusivas de regulación de sectores concretos, las normas estatales dictadas en ejercicio de este título competencial, lo que impediría su contradicción o menoscabo, sino de que, una vez ejercida la competencia del art. 149.1.13 </w:t>
      </w:r>
      <w:r>
        <w:lastRenderedPageBreak/>
        <w:t>CE, las Comunidades Autónomas no podrían ejercer las suyas sobre el concreto sector económico afectado, aun cuando no exista contradicción o menoscabo de la competencia estatal.</w:t>
      </w:r>
    </w:p>
    <w:p w:rsidR="0085709A" w:rsidRDefault="0085709A" w:rsidP="0085709A">
      <w:pPr>
        <w:pStyle w:val="TextoNormal"/>
      </w:pPr>
    </w:p>
    <w:p w:rsidR="0085709A" w:rsidRDefault="0085709A" w:rsidP="0085709A">
      <w:pPr>
        <w:pStyle w:val="TextoNormal"/>
      </w:pPr>
      <w:r>
        <w:t>Como señalé anteriormente, resulta que la Sentencia de la mayoría entiende que el Estado ha dictado una normativa que, incidiendo en el sistema de ejecución hipotecaria, atiende a la situación de los deudores que se encuentran en circunstancias merecedoras de especial protección, y que, como consecuencia de la crisis económica, están en riesgo de perder su vivienda, a la vez que contempla la promoción de un fondo social de viviendas. Pero estas medidas son las únicas que procede adoptar. Con ellas, añade, el Estado define la extensión de la intervención pública de protección de personas en situación de especial vulnerabilidad que considera compatible con el adecuado funcionamiento del mercado hipotecario, a la vez que impide a las Comunidades Autónomas que “en ejercicio de sus competencias propias adopten disposiciones que, con este mismo propósito de tutela afecten de modo más intenso a dicho mercado”. La Sentencia cierra, así, la primera parte del círculo, pues sólo al Estado corresponde establecer la regulación de la protección de los deudores hipotecarios o de cualquier otra medida en materia de vivienda cuando la medida adoptada pueda incidir, de forma más o menos amplia, en el mercado hipotecario, lo que equivale a atribuirle competencia para la regulación de un sector, la vivienda, en todo aquello que pueda afectar al mercado hipotecario. Ello implica que se ha privado a la Comunidad Autónoma de una buena parte de su competencia regulatoria, que es precisamente lo que pretendía evitar la doctrina constitucional cuando estableció un límite, derivado precisamente, de la naturaleza de directrices o principios ordenadores de las medidas adoptadas a partir de este título competencial: es decir, que permitieran que las Comunidades Autónomas puedan ejercer en plenitud su competencia regulatoria exclusiva sobre el sector, respetando, claro está, estos principios generales o medidas. Es verdad, que aún le queda la posibilidad de adoptar medidas de fomento, tal y como señala la sentencia de la mayoría, pero no es este, precisamente, el resultado perseguido con la utilización del canon al que me estoy refiriendo.</w:t>
      </w:r>
    </w:p>
    <w:p w:rsidR="0085709A" w:rsidRDefault="0085709A" w:rsidP="0085709A">
      <w:pPr>
        <w:pStyle w:val="TextoNormal"/>
      </w:pPr>
    </w:p>
    <w:p w:rsidR="0085709A" w:rsidRDefault="0085709A" w:rsidP="0085709A">
      <w:pPr>
        <w:pStyle w:val="TextoNormal"/>
      </w:pPr>
      <w:r>
        <w:t>El círculo se completa en el fundamento jurídico 18, cuando la Sentencia analiza si la disposición adicional segunda obstaculiza las medidas adoptadas por el Estado. Señala que esta disposición no introduce meras modificaciones o correcciones de técnica jurídica a las disposiciones adoptadas por el Estado, sino que responde a principios diversos, arbitrando un mecanismo distinto, razón por la cual no es aplicable lo afirmado en la STC 37/1987 en que la Ley autonómica impugnada introducía modificaciones o correcciones que no incidían en la medida estatal. Afirma, enlazando con lo anteriormente dicho, que el nuevo mecanismo orientado a satisfacer la misma situación de necesidad rompe el carácter uniforme de la acción pública que el Estado ha articulado como medio para no perturbar el mercado hipotecario y proteger a los deudores. Por ello, aunque no es posible conocer a ciencia cierta si la medida expropiatoria impide las previstas por el Estado, ya que la Sentencia de la que discrepo se limita a afirmar que “la concurrencia de figuras jurídicas dispares sobre una misma realidad hace difícil la aplicación conjunta de ambas medidas” de manera que las del Estado no podrían verse impedidas por las autonómicas , y mucho menos aún, cuál es la incidencia que éstas pueden tener en el funcionamiento general del mercado hipotecario o en la reestructuración bancaria, la Sentencia concluye que en cuanto supone una intervención pública adicional a la diseñada por el Estado, “interfiere, al menos el ejercicio la competencia estatal en materia de ordenación económica (art. 149.1.13) al realizar una regulación que se proyecta sobre un ámbito material ya regulado por el Estado”.</w:t>
      </w:r>
    </w:p>
    <w:p w:rsidR="0085709A" w:rsidRDefault="0085709A" w:rsidP="0085709A">
      <w:pPr>
        <w:pStyle w:val="TextoNormal"/>
      </w:pPr>
    </w:p>
    <w:p w:rsidR="0085709A" w:rsidRDefault="0085709A" w:rsidP="0085709A">
      <w:pPr>
        <w:pStyle w:val="TextoNormal"/>
      </w:pPr>
      <w:r>
        <w:t xml:space="preserve">Como señalé al principio de este Voto, las competencias exclusivas de la Comunidad Autónoma están limitadas por el ejercicio por el Estado de las suyas. Cuando se trata de una competencia transversal, como es la del art. 149.1.13 CE, el ejercicio de la competencia autonómica no puede contradecir ni menoscabar la competencia del Estado, para lo cual hay que determinar si ha existido una contradicción, lo que descartó la STC 37/1987 en el caso entonces planteado, o si se ha producido un menoscabo de las normas estatales dictadas en ejercicio de la competencia que le asiste, como es el supuesto que nos ocupa ahora. Sólo en estos casos la regulación autonómica dictada en ejercicio de sus competencias exclusivas sobre el sector regulado sería inconstitucional. Pero en modo alguno la competencia que asiste al Estado </w:t>
      </w:r>
      <w:r w:rsidRPr="0085709A">
        <w:rPr>
          <w:i/>
        </w:rPr>
        <w:t>ex</w:t>
      </w:r>
      <w:r>
        <w:t xml:space="preserve"> art. 149.1.13 CE puede servir, (desde luego nunca lo había hecho hasta la Sentencia de la que discrepo), para atribuir al Estado una competencia exclusiva para regular de “modo uniforme”, dicho sea con las palabras que utiliza la sentencia de la mayoría, la materia sobre la que incide la medida de ordenación económica, de manera que quede excluida cualquier posibilidad de regulación por parte de la Comunidad Autónoma, aunque no se oponga a la normativa del Estado ni la menoscabe. Creo que el título VIII de la Constitución no contiene una cláusula de cierre, según la cual, en época de crisis económica, el objetivo de paliar sus efectos justifique la modificación del alcance de los títulos competenciales estatales, en detrimento de los asumidos estatutariamente.</w:t>
      </w:r>
    </w:p>
    <w:p w:rsidR="0085709A" w:rsidRDefault="0085709A" w:rsidP="0085709A">
      <w:pPr>
        <w:pStyle w:val="TextoNormal"/>
      </w:pPr>
    </w:p>
    <w:p w:rsidR="0085709A" w:rsidRDefault="0085709A" w:rsidP="0085709A">
      <w:pPr>
        <w:pStyle w:val="TextoNormal"/>
      </w:pPr>
      <w:r>
        <w:t>Estas son, sucintamente expuestas, las razones que me han llevado a formular este Voto particular.</w:t>
      </w:r>
    </w:p>
    <w:p w:rsidR="0085709A" w:rsidRDefault="0085709A" w:rsidP="0085709A">
      <w:pPr>
        <w:pStyle w:val="TextoNormal"/>
      </w:pPr>
    </w:p>
    <w:p w:rsidR="0085709A" w:rsidRDefault="0085709A" w:rsidP="0085709A">
      <w:pPr>
        <w:pStyle w:val="TextoNormal"/>
      </w:pPr>
      <w:r>
        <w:t>Madrid, a catorce de mayo de dos mil quince.</w:t>
      </w:r>
    </w:p>
    <w:p w:rsidR="0085709A" w:rsidRDefault="0085709A" w:rsidP="0085709A">
      <w:pPr>
        <w:pStyle w:val="TextoNormal"/>
      </w:pPr>
    </w:p>
    <w:p w:rsidR="0085709A" w:rsidRDefault="0085709A" w:rsidP="0085709A">
      <w:pPr>
        <w:pStyle w:val="TextoNormalNegritaCentrado"/>
        <w:keepNext/>
      </w:pPr>
      <w:r>
        <w:t>Voto particular que formula el Magistrado don Juan Antonio Xiol Ríos a la Sentencia dictada en el recurso de inconstitucionalidad núm. 4286-2013.</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del Tribunal en la que se sustenta la Sentencia, discrepo de la fundamentación jurídica y del fallo sobre la impugnación de la disposición adicional segunda del Decreto-ley de Andalucía 6/2013, de 9 de abril. Considero que la Sentencia hubiera debido ser desestimatoria en ese particular al no haberse producido extralimitación competencial alguna.</w:t>
      </w:r>
    </w:p>
    <w:p w:rsidR="0085709A" w:rsidRDefault="0085709A" w:rsidP="0085709A">
      <w:pPr>
        <w:pStyle w:val="TextoNormal"/>
      </w:pPr>
    </w:p>
    <w:p w:rsidR="0085709A" w:rsidRDefault="0085709A" w:rsidP="0085709A">
      <w:pPr>
        <w:pStyle w:val="TextoNormal"/>
      </w:pPr>
      <w:r>
        <w:t>1. La opinión mayoritaria de mis compañeros en la que se sustenta la Sentencia se cifra en que la disposición adicional segunda del Decreto-ley 6/2013, que regula la declaración del interés social a efectos de expropiación forzosa de la cobertura de necesidad de vivienda de personas en especiales circunstancias de emergencia social, es inconstitucional porque el legislador andaluz ha ejercitado la competencia que le incumbe en materia de vivienda de un modo que menoscaba la competencia estatal establecida en el art. 149.1.13 CE. A esos efectos, dicha opinión sostiene que esta concreta regulación autonómica resulta contraria a las bases y coordinación de la planificación general de la actividad económica que había sido establecida por el Estado en el Real Decreto-ley 27/2012, de 15 de noviembre, y en la Ley 1/2013, de 14 de mayo, al arbitrar una solución completa para los supuestos de especial vulnerabilidad en las ejecuciones hipotecarias, consistente en la suspensión temporal de los lanzamientos.</w:t>
      </w:r>
    </w:p>
    <w:p w:rsidR="0085709A" w:rsidRDefault="0085709A" w:rsidP="0085709A">
      <w:pPr>
        <w:pStyle w:val="TextoNormal"/>
      </w:pPr>
    </w:p>
    <w:p w:rsidR="0085709A" w:rsidRDefault="0085709A" w:rsidP="0085709A">
      <w:pPr>
        <w:pStyle w:val="TextoNormal"/>
      </w:pPr>
      <w:r>
        <w:lastRenderedPageBreak/>
        <w:t>Coincido con la opinión de otros Magistrados que también han sustentado una posición discrepante en que la regulación establecida en la citada disposición adicional segunda supone un legítimo ejercicio de las competencias autonómicas en materia de vivienda previstas en el artículo 56 del Estatuto de Autonomía para Andalucía y en que no cabe convertir el art. 149.1.13 CE en una fórmula para vaciar de competencias a las comunidades autónomas. En ese sentido suscribo los argumentos en que se fundamenta dicha opinión y en este Voto particular me limitaré a incidir en alguna de las ideas ya expuestas en esa posición disidente y que me parecen de especial relieve. Sin embargo, he preferido no adherirme a dicho voto para evitar confusiones innecesarias, pues no comparto la opinión defendida por los Magistrados disidentes a que me refiero en el sentido de que la regulación del decreto-ley resulta contraria al art. 149.1.6 CE —materia de legislación procesal—. No merece la pena que me extienda en la argumentación sobre este punto, pues se trata de una alegación que ni siquiera se ha formulado en el recurso, en el que no aparece invocado el expresado título competencial.</w:t>
      </w:r>
    </w:p>
    <w:p w:rsidR="0085709A" w:rsidRDefault="0085709A" w:rsidP="0085709A">
      <w:pPr>
        <w:pStyle w:val="TextoNormal"/>
      </w:pPr>
    </w:p>
    <w:p w:rsidR="0085709A" w:rsidRDefault="0085709A" w:rsidP="0085709A">
      <w:pPr>
        <w:pStyle w:val="TextoNormal"/>
      </w:pPr>
      <w:r>
        <w:t>2. Nuevamente, como ya sucedió en la STC 74/2014, de 8 de mayo, se está, a mi juicio, ante un supuesto en que, en un contexto justificativo fundado en la aplicación de la jurisprudencia constitucional sobre el art. 149.1.13 CE, se está en realidad mutando su contenido en el sentido no expreso, pero perceptible en las últimas resoluciones de este Tribunal, si se apela al llamado contexto de descubrimiento, y sobre el que ya he advertido en otros Votos particulares (así, STC 170/2014), de avanzar en un proceso de recentralización que amenaza con tener severas consecuencias en nuestro sistema constitucional, en este caso, además, a costa de la efectividad de medidas tendentes a paliar situaciones de exclusión social.</w:t>
      </w:r>
    </w:p>
    <w:p w:rsidR="0085709A" w:rsidRDefault="0085709A" w:rsidP="0085709A">
      <w:pPr>
        <w:pStyle w:val="TextoNormal"/>
      </w:pPr>
    </w:p>
    <w:p w:rsidR="0085709A" w:rsidRDefault="0085709A" w:rsidP="0085709A">
      <w:pPr>
        <w:pStyle w:val="TextoNormal"/>
      </w:pPr>
      <w:r>
        <w:t>El art. 149.1.13 CE establece que el Estado tiene competencia exclusiva sobre las bases y coordinación de la planificación general de la actividad económica. La STC 34/2013, de 14 de febrero, en una primera inflexión recentralizadora, que ya fue puesta de manifiesto en el Voto particular de que fue objeto, estableció una comprensión del concepto de “bases” que superaba, a mi juicio, el sentido natural en el lenguaje de esta expresión, deducido de su uso literal, semántico y pragmático, posibilitando que el Estado estableciera no solo criterios de ordenación general de un sector de la economía de exclusiva competencia autonómica, sino pormenorizadas regulaciones de aspectos materiales concretos que agotaran la consecución del objetivo perseguido por el Estado, en cuyo marco debería desenvolverse, ya de manera imposible, la hipotética normativa sectorial autonómica.</w:t>
      </w:r>
    </w:p>
    <w:p w:rsidR="0085709A" w:rsidRDefault="0085709A" w:rsidP="0085709A">
      <w:pPr>
        <w:pStyle w:val="TextoNormal"/>
      </w:pPr>
    </w:p>
    <w:p w:rsidR="0085709A" w:rsidRDefault="0085709A" w:rsidP="0085709A">
      <w:pPr>
        <w:pStyle w:val="TextoNormal"/>
      </w:pPr>
      <w:r>
        <w:t>Con esta nueva Sentencia se opera una segunda inflexión conforme a la cual, una vez “ejercitada” la competencia estatal de regulación de las bases o planificación de un sector económico de competencia de la comunidad autónoma, la comunidad autónoma queda “expropiada” de esa competencia. Esto es, la aplicación del art. 149.1.13 CE por el Estado produce, en opinión de la mayoría, un efecto de bloqueo de la competencia sectorial autonómica exclusiva, el cual, a mi juicio, no era el pretendido por el constituyente cuando se diseñó el Estado autonómico y se redactó el art. 149.1.13 CE utilizando las expresiones “bases” y “coordinación”.</w:t>
      </w:r>
    </w:p>
    <w:p w:rsidR="0085709A" w:rsidRDefault="0085709A" w:rsidP="0085709A">
      <w:pPr>
        <w:pStyle w:val="TextoNormal"/>
      </w:pPr>
    </w:p>
    <w:p w:rsidR="0085709A" w:rsidRDefault="0085709A" w:rsidP="0085709A">
      <w:pPr>
        <w:pStyle w:val="TextoNormal"/>
      </w:pPr>
      <w:r>
        <w:t xml:space="preserve">3. Por otro lado, tampoco puedo mostrar mi conformidad con la opinión de la mayoría en que se sustenta la Sentencia de que la normativa autonómica controvertida interfiere la regulación estatal. La normativa estatal actualmente vigente (art. 1 de la Ley 1/2013, en la redacción dada por el Real Decreto-ley 1/2015) establece una suspensión de determinados </w:t>
      </w:r>
      <w:r>
        <w:lastRenderedPageBreak/>
        <w:t>lanzamientos por cuatro años, por lo que la ejecución de la normativa autonómica, tomando como presupuesto la existencia de una resolución de lanzamiento, quedará simplemente aplazada (no necesariamente en todos los casos) hasta que haya transcurrido el plazo de cuatro años desde la entrada en vigor de la ley.</w:t>
      </w:r>
    </w:p>
    <w:p w:rsidR="0085709A" w:rsidRDefault="0085709A" w:rsidP="0085709A">
      <w:pPr>
        <w:pStyle w:val="TextoNormal"/>
      </w:pPr>
    </w:p>
    <w:p w:rsidR="0085709A" w:rsidRDefault="0085709A" w:rsidP="0085709A">
      <w:pPr>
        <w:pStyle w:val="TextoNormal"/>
      </w:pPr>
      <w:r>
        <w:t>En este contexto normativo la regulación autonómica no es susceptible de interferir en la estatal, como se defiende en la opinión mayoritaria. Aquella establece un presupuesto fáctico —existencia de un efectivo lanzamiento— que la normativa estatal puede impedir temporalmente que se produzca al disponer su aplazamiento. La simple inexistencia temporal (eventual) del presupuesto fáctico necesario para que pueda aplicarse la disposición adicional segunda del Decreto-ley 6/2013, puede determinar, en el peor de los casos, que la normativa autonómica sobrevenga a la estatal, es decir, que su aplicación dependa de ella, pero no puede implicar contradicción, interferencia ni “eficacia incisiva” alguna sobre la regulación estatal, entendiendo estos términos en un sentido lógico. A pesar de ello, la opinión mayoritaria da entrada a la aplicación del art. 149.1.13 CE, junto a otra, por esta razón a la que me opongo.</w:t>
      </w:r>
    </w:p>
    <w:p w:rsidR="0085709A" w:rsidRDefault="0085709A" w:rsidP="0085709A">
      <w:pPr>
        <w:pStyle w:val="TextoNormal"/>
      </w:pPr>
    </w:p>
    <w:p w:rsidR="0085709A" w:rsidRDefault="0085709A" w:rsidP="0085709A">
      <w:pPr>
        <w:pStyle w:val="TextoNormal"/>
      </w:pPr>
      <w:r>
        <w:t>En conclusión, considero que la disposición adicional segunda del Decreto-ley 6/2013 no debería haberse declarado inconstitucional ya que, en los términos expuestos, ni ha supuesto una invasión de competencias estatales ni, en su caso, supone ninguna interferencia en la regulación estatal.</w:t>
      </w:r>
    </w:p>
    <w:p w:rsidR="0085709A" w:rsidRDefault="0085709A" w:rsidP="0085709A">
      <w:pPr>
        <w:pStyle w:val="TextoNormal"/>
      </w:pPr>
    </w:p>
    <w:p w:rsidR="0085709A" w:rsidRDefault="0085709A" w:rsidP="0085709A">
      <w:pPr>
        <w:pStyle w:val="TextoNormal"/>
      </w:pPr>
      <w:r>
        <w:t>Madrid, a catorce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7" w:name="SENTENCIA_2015_94"/>
      <w:r>
        <w:lastRenderedPageBreak/>
        <w:t>SENTENCIA 94/2015, de 14 de mayo de 2015</w:t>
      </w:r>
    </w:p>
    <w:bookmarkEnd w:id="97"/>
    <w:p w:rsidR="0085709A" w:rsidRDefault="0085709A" w:rsidP="0085709A">
      <w:pPr>
        <w:pStyle w:val="TtuloResolucin"/>
      </w:pPr>
      <w:r>
        <w:t>Pleno</w:t>
      </w:r>
    </w:p>
    <w:p w:rsidR="0085709A" w:rsidRDefault="0085709A" w:rsidP="0085709A">
      <w:pPr>
        <w:pStyle w:val="TtuloBOE"/>
      </w:pPr>
      <w:r>
        <w:t>(BOE núm. 146, de 19 de junio de 2015)</w:t>
      </w:r>
    </w:p>
    <w:p w:rsidR="0085709A" w:rsidRDefault="0085709A" w:rsidP="0085709A">
      <w:pPr>
        <w:pStyle w:val="TextoNormalCentrado"/>
      </w:pPr>
      <w:r>
        <w:t>ECLI:ES:TC:2015:94</w:t>
      </w:r>
    </w:p>
    <w:p w:rsidR="0085709A" w:rsidRDefault="0085709A" w:rsidP="0085709A">
      <w:pPr>
        <w:pStyle w:val="TextoNormalCentrado"/>
      </w:pPr>
    </w:p>
    <w:p w:rsidR="0085709A" w:rsidRDefault="0085709A" w:rsidP="0085709A">
      <w:pPr>
        <w:pStyle w:val="SntesisDescriptiva"/>
      </w:pPr>
      <w:r>
        <w:t>Recurso de inconstitucionalidad 4834-2013. Interpuesto por el Presidente del Gobierno respecto del artículo único de la Ley Foral 25/2013, de 2 de julio, por la que se modifica la Ley Foral 28/2012, de 28 de diciembre, por la que se crea, con efectos para el año 2012, un complemento personal transitorio por pérdida de poder adquisitivo.</w:t>
      </w:r>
    </w:p>
    <w:p w:rsidR="0085709A" w:rsidRDefault="0085709A" w:rsidP="0085709A">
      <w:pPr>
        <w:pStyle w:val="SntesisDescriptiva"/>
      </w:pPr>
    </w:p>
    <w:p w:rsidR="0085709A" w:rsidRDefault="0085709A" w:rsidP="0085709A">
      <w:pPr>
        <w:pStyle w:val="SntesisAnaltica"/>
      </w:pPr>
      <w:r>
        <w:t>Competencias sobre ordenación general de la economía y principios de coordinación entre haciendas públicas y de estabilidad presupuestaria: nulidad de la Ley Foral, que establece el término para el abono del complemento personal transitorio por pérdida de poder adquisitivo.</w:t>
      </w:r>
    </w:p>
    <w:p w:rsidR="0085709A" w:rsidRDefault="0085709A" w:rsidP="0085709A">
      <w:pPr>
        <w:pStyle w:val="SntesisAnaltica"/>
      </w:pPr>
    </w:p>
    <w:p w:rsidR="0085709A" w:rsidRDefault="0085709A" w:rsidP="0085709A">
      <w:pPr>
        <w:pStyle w:val="Extracto"/>
      </w:pPr>
      <w:r>
        <w:t>1.</w:t>
      </w:r>
      <w:r>
        <w:tab/>
        <w:t>La previsión del pago del importe contemplada en la norma impugnada habría vulnerado el límite básico retributivo establecido en el art. 22.2 de la Ley 17/2012, conforme a la competencia del Estado ex art. 149.1.13 CE, que se concreta en la prohibición de incremento de las retribuciones, lo que comporta que el artículo único de la Ley Foral 25/2013 es inconstitucional y nulo [FJ 5].</w:t>
      </w:r>
    </w:p>
    <w:p w:rsidR="0085709A" w:rsidRDefault="0085709A" w:rsidP="0085709A">
      <w:pPr>
        <w:pStyle w:val="Extracto"/>
      </w:pPr>
    </w:p>
    <w:p w:rsidR="0085709A" w:rsidRDefault="0085709A" w:rsidP="0085709A">
      <w:pPr>
        <w:pStyle w:val="Extracto"/>
      </w:pPr>
      <w:r>
        <w:t>2.</w:t>
      </w:r>
      <w:r>
        <w:tab/>
        <w:t>El abono durante el ejercicio presupuestario de 2013 de un complemento personal por pérdida de poder adquisitivo de cuantía equivalente al importe de la paga extraordinaria cobrada el mes de junio de 2012, implicaría un incremento retributivo en el ámbito de la Comunidad Foral de Navarra, que vulneraría la prohibición de incremento retributivo prevista en la norma estatal [FJ 5].</w:t>
      </w:r>
    </w:p>
    <w:p w:rsidR="0085709A" w:rsidRDefault="0085709A" w:rsidP="0085709A">
      <w:pPr>
        <w:pStyle w:val="Extracto"/>
      </w:pPr>
    </w:p>
    <w:p w:rsidR="0085709A" w:rsidRDefault="0085709A" w:rsidP="0085709A">
      <w:pPr>
        <w:pStyle w:val="Extracto"/>
      </w:pPr>
      <w:r>
        <w:t>3.</w:t>
      </w:r>
      <w:r>
        <w:tab/>
        <w:t>Las medidas de contención de gastos de personal no se encuadran en el marco de las competencias en materia de “funcionarios públicos” [arts. 149.1.18 CE y 49.1 b) de la Ley Orgánica de reintegración y amejoramiento del régimen foral de Navarra], sino en el de las bases y coordinación de la planificación general de la actividad económica del art. 149.1.13 CE, pues las retribuciones del personal al servicio de las Administraciones Públicas no sólo alcanzan a los funcionarios públicos, sino también al personal al servicio del sector público (SSTC 63/1986, 297/2006) [FJ 3].</w:t>
      </w:r>
    </w:p>
    <w:p w:rsidR="0085709A" w:rsidRDefault="0085709A" w:rsidP="0085709A">
      <w:pPr>
        <w:pStyle w:val="Extracto"/>
      </w:pPr>
    </w:p>
    <w:p w:rsidR="0085709A" w:rsidRDefault="0085709A" w:rsidP="0085709A">
      <w:pPr>
        <w:pStyle w:val="Extracto"/>
      </w:pPr>
      <w:r>
        <w:t>4.</w:t>
      </w:r>
      <w:r>
        <w:tab/>
        <w:t>La Ley 17/2012, de 27 de diciembre, de presupuestos generales del Estado para el año 2013 actúa como límite a las competencias de las Comunidades Autónomas en la determinación de las retribuciones del personal al servicio de sus Administraciones durante el  ejercicio presupuestario del año 2013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4834-2013, interpuesto por el Presidente del Gobierno contra el artículo único de la Ley Foral 25/2013, de 2 de julio, por la que se modifica la Ley Foral 28/2012, de 28 de diciembre, por la que se crea, con efectos para el año 2012, un complemento personal transitorio por pérdida de poder adquisitivo. Ha comparecido y formulado alegaciones el Parlamento de Navarra.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30 de julio de 2013, el Abogado del Estado, en nombre del Presidente del Gobierno, interpuso recurso de inconstitucionalidad contra el artículo único de la Ley Foral 25/2013, de 2 de julio, por la que se modifica la Ley Foral 28/2012, de 28 de diciembre, por la que se crea, con efectos para el año 2012, un complemento personal transitorio por pérdida de poder adquisitivo. El Abogado del Estado invocó el art. 161.2 CE en relación con el art. 30 de la Ley Orgánica del Tribunal Constitucional (LOTC) a fin de que se produjera la suspensión de la aplicación del precepto impugnado.</w:t>
      </w:r>
    </w:p>
    <w:p w:rsidR="0085709A" w:rsidRDefault="0085709A" w:rsidP="0085709A">
      <w:pPr>
        <w:pStyle w:val="TextoNormal"/>
      </w:pPr>
    </w:p>
    <w:p w:rsidR="0085709A" w:rsidRDefault="0085709A" w:rsidP="0085709A">
      <w:pPr>
        <w:pStyle w:val="TextoNormal"/>
      </w:pPr>
      <w:r>
        <w:t>El recurso se fundamenta en los motivos que, resumidamente, se exponen a continuación:</w:t>
      </w:r>
    </w:p>
    <w:p w:rsidR="0085709A" w:rsidRDefault="0085709A" w:rsidP="0085709A">
      <w:pPr>
        <w:pStyle w:val="TextoNormal"/>
      </w:pPr>
    </w:p>
    <w:p w:rsidR="0085709A" w:rsidRDefault="0085709A" w:rsidP="0085709A">
      <w:pPr>
        <w:pStyle w:val="TextoNormal"/>
      </w:pPr>
      <w:r>
        <w:t>El Abogado del Estado parte de la consideración de que el artículo único de la Ley Foral 25/2013, trae su causa del artículo único de la Ley Foral 28/2012, al que modifica su apartado dos. Dicho precepto estableció en su primer apartado, que “durante el año 2012 se abonará al personal al servicio de las Administraciones Públicas de Navarra un complemento personal por pérdida de poder adquisitivo de cuantía equivalente al importe de la paga extraordinaria cobrada el mes de junio”. A su vez, el segundo apartado de dicho artículo establecía que “el pago se realizará antes de finalizar el año 2012 mediante un solo abono por el importe que, de acuerdo con lo establecido en el apartado anterior, corresponda a cada funcionario/a”.</w:t>
      </w:r>
    </w:p>
    <w:p w:rsidR="0085709A" w:rsidRDefault="0085709A" w:rsidP="0085709A">
      <w:pPr>
        <w:pStyle w:val="TextoNormal"/>
      </w:pPr>
    </w:p>
    <w:p w:rsidR="0085709A" w:rsidRDefault="0085709A" w:rsidP="0085709A">
      <w:pPr>
        <w:pStyle w:val="TextoNormal"/>
      </w:pPr>
      <w:r>
        <w:t>El artículo único de la Ley Foral 25/2013, objeto del presente recurso de inconstitucionalidad, modifica el apartado 2 del artículo único de la citada Ley Foral 28/2012, que queda redactado de la siguiente manera: “el pago se realizará antes del 31 de agosto de 2013 mediante un solo abono por el importe que, de acuerdo con lo establecido en el apartado anterior, corresponda a cada funcionario”.</w:t>
      </w:r>
    </w:p>
    <w:p w:rsidR="0085709A" w:rsidRDefault="0085709A" w:rsidP="0085709A">
      <w:pPr>
        <w:pStyle w:val="TextoNormal"/>
      </w:pPr>
    </w:p>
    <w:p w:rsidR="0085709A" w:rsidRDefault="0085709A" w:rsidP="0085709A">
      <w:pPr>
        <w:pStyle w:val="TextoNormal"/>
      </w:pPr>
      <w:r>
        <w:t xml:space="preserve">Expone el Abogado del Estado que dada la fecha de la publicación de la Ley Foral 28/2012, en el “Boletín Oficial de Navarra” de 2 de enero de 2013; y en el “BOE” el 19 de </w:t>
      </w:r>
      <w:r>
        <w:lastRenderedPageBreak/>
        <w:t>enero, no pudo ejecutarse de hecho la Ley y abonarse el complemento antes del 31 de diciembre de 2012, como preveía la misma. Para paliar ese efecto de retraso y, por tanto, de imposibilidad material de aplicar la norma, se promulgó la Ley Foral 25/2013, de 2 de julio, ahora impugnada, mediante cuyo artículo único viene a modificarse el apartado 2 del artículo único de la Ley Foral 28/2012, en los términos anteriormente expuestos. Se trataba, por tanto, de poder hacer efectivo el complemento previsto por la Ley Foral 28/2012 dentro del año 2013 con independencia del presupuesto del ejercicio a cargo del cual se hubiese debido abonar dicho complemento retributivo.</w:t>
      </w:r>
    </w:p>
    <w:p w:rsidR="0085709A" w:rsidRDefault="0085709A" w:rsidP="0085709A">
      <w:pPr>
        <w:pStyle w:val="TextoNormal"/>
      </w:pPr>
    </w:p>
    <w:p w:rsidR="0085709A" w:rsidRDefault="0085709A" w:rsidP="0085709A">
      <w:pPr>
        <w:pStyle w:val="TextoNormal"/>
      </w:pPr>
      <w:r>
        <w:t>A juicio del Abogado del Estado la norma impugnada resulta ahora contraria al art. 22.2 de la Ley 17/2012, de 27 de diciembre, de presupuestos generales del Estado para 2013 (en adelante, Ley 17/2012), que establece con carácter básico y vinculante para todas las Comunidades Autónomas el crecimiento cero respecto de las retribuciones del personal al servicio del sector público vigentes a 31 de diciembre de 2012.</w:t>
      </w:r>
    </w:p>
    <w:p w:rsidR="0085709A" w:rsidRDefault="0085709A" w:rsidP="0085709A">
      <w:pPr>
        <w:pStyle w:val="TextoNormal"/>
      </w:pPr>
    </w:p>
    <w:p w:rsidR="0085709A" w:rsidRDefault="0085709A" w:rsidP="0085709A">
      <w:pPr>
        <w:pStyle w:val="TextoNormal"/>
      </w:pPr>
      <w:r>
        <w:t>El citado precepto determina para fijar el límite al incremento que se computarán como premisa de comparación las retribuciones vigentes a 31 de diciembre de 2012, “sin tenerse en cuenta la reducción aprobada por el Real Decreto-Ley 20/2012, de 13 de julio ... sin tenerse en cuenta la supresión de la paga extraordinaria y de la paga adicional o equivalente del mes de diciembre aprobada por el Real Decreto-Ley 20/2012, de 13 de julio...”.</w:t>
      </w:r>
    </w:p>
    <w:p w:rsidR="0085709A" w:rsidRDefault="0085709A" w:rsidP="0085709A">
      <w:pPr>
        <w:pStyle w:val="TextoNormal"/>
      </w:pPr>
    </w:p>
    <w:p w:rsidR="0085709A" w:rsidRDefault="0085709A" w:rsidP="0085709A">
      <w:pPr>
        <w:pStyle w:val="TextoNormal"/>
      </w:pPr>
      <w:r>
        <w:t>El Abogado del Estado alega el carácter básico del art. 22.2 de la Ley de presupuestos generales del Estado para 2013, formalmente en cuanto establecido en una norma con rango de ley e “invocando una precisa competencia constitucional”, y materialmente conforme a lo afirmado en la doctrina constitucional. El art. 22 de la Ley 17/2012 se titula “Bases y coordinación de la planificación general de la actividad económica en materia de gastos de personal al servicio del sector público”, e incluye dentro del sector público a “las Administraciones de las Comunidades Autónomas, los organismos de ellas dependientes y las Universidades de su competencia” [apartado 1 b)]. Además, de acuerdo con la doctrina del Tribunal Constitucional, todas las medidas de contención de gastos de personal que hayan de aplicarse en todo el sector público, incluido el autonómico sin ninguna excepción, competen al Estado en virtud del art. 149.1.13 en relación con el art. 156 CE (cita, por todas, las SSTC 63/1986, de 21 de mayo, FJ 11; 96/1990, de 24 de mayo, FJ 3; 171/1996, de 30 de octubre, FJ 4; 62/2001, de 1 de marzo, FJ 6; 24/2002, de 31 de enero, FJ 5; 139/2005, de 26 de mayo, FJ 7; 148/2006, de 11 de mayo, FFJJ 4 y ss.; 178/2006, de 6 de junio, FJ 3; 195/2006, de 22 de junio, FJ 6; 222/2006, de 6 de julio, y 297/2006, de 11 de octubre, FJ 5), al que hoy ha de añadirse el art. 135.1 y 6 CE, que establece el principio de estabilidad presupuestaria (que se concreta en el art. 3.1 de la Ley Orgánica 2/2012, de 27 de abril, de estabilidad presupuestaria y sostenibilidad financiera).</w:t>
      </w:r>
    </w:p>
    <w:p w:rsidR="0085709A" w:rsidRDefault="0085709A" w:rsidP="0085709A">
      <w:pPr>
        <w:pStyle w:val="TextoNormal"/>
      </w:pPr>
    </w:p>
    <w:p w:rsidR="0085709A" w:rsidRDefault="0085709A" w:rsidP="0085709A">
      <w:pPr>
        <w:pStyle w:val="TextoNormal"/>
      </w:pPr>
      <w:r>
        <w:t xml:space="preserve">A ello añade el Abogado del Estado que expresamente aplican los límites en materia de gastos de personal a la Comunidad Foral de Navarra las SSTC 148/2006, 195/2006 y 297/2006, FJ 5. Asimismo, aduce que la doctrina constitucional en las Sentencias aludidas al caso de la Comunidad Foral de Navarra desechó la supuesta excepción para Navarra en la aplicación de la doctrina general sobre límites retributivos, rechazando la alegación de excepción con pretendida base tanto en su norma institucional básica, como es la Ley 13/1982, de 10 de agosto, de reintegración y amejoramiento del régimen foral de Navarra </w:t>
      </w:r>
      <w:r>
        <w:lastRenderedPageBreak/>
        <w:t>(en adelante, LORAFNA), que en su art. 49.1 b) atribuye competencia exclusiva a la Comunidad para regular “el régimen estatutario de los funcionarios públicos de la Comunidad Foral...”, si bien, y esto es lo esencial “respetando los derechos y obligaciones esenciales que la legislación básica del Estado reconozca a los funcionarios públicos”, como en la competencia que sobre la materia o ámbito financiero dispone la Comunidad Foral por disfrutar de un régimen de convenio con el Estado conforme al art. 45 LORAFNA.</w:t>
      </w:r>
    </w:p>
    <w:p w:rsidR="0085709A" w:rsidRDefault="0085709A" w:rsidP="0085709A">
      <w:pPr>
        <w:pStyle w:val="TextoNormal"/>
      </w:pPr>
    </w:p>
    <w:p w:rsidR="0085709A" w:rsidRDefault="0085709A" w:rsidP="0085709A">
      <w:pPr>
        <w:pStyle w:val="TextoNormal"/>
      </w:pPr>
      <w:r>
        <w:t>Conforme a la argumentación expuesta, el Abogado del Estado considera que una medida legislativa autonómica como la establecida por la Ley Foral 25/2013 inevitablemente trae como consecuencia la vulneración de la limitación básica del incremento de las retribuciones prevista en el art. 22.2 de la Ley 17/2012, ya que el reconocimiento por la Ley Foral del incremento a abonarse en el 2013 implica que las retribuciones en Navarra en este año vienen constituidas, de un lado por las que existían a 31 de diciembre de 2012 (partiendo de la base o contabilizando, como exige el art. 22.2 de la Ley 17/2012, los niveles retributivos sin tener en cuenta las restricciones cuantitativas conforme a las medidas básicas de restricción del Real Decreto-ley 20/2012), pero a las que se añadiría, conforme a lo previsto en la Ley Foral objeto de impugnación, el importe del nuevo complemento lo que supone superar el límite legal básico y, por tanto, una efectiva extralimitación competencial.</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10 de septiembre de 2013, el Pleno del Tribunal Constitucional, a propuesta de la Sección Segunda, acordó admitir a trámite el recurso de inconstitucionalidad y dar traslado de la demanda y documentos presentados, conforme establece el art. 34 LOTC, al Congreso de los Diputados y al Senado así como al Gobierno y al Parlamento de Navarra,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del precepto impugnado desde la fecha de interposición del recurso —30 de julio de 2013— para las partes del proceso y desde el día en que aparezca publicada la suspensión en el “Boletín Oficial del Estado” para los terceros, lo que se comunicó a los Presidentes del Gobierno y del Parlamento de Navarra. Por último, también se ordenó publicar la incoación del recurso en el “Boletín Oficial del Estado” y en el “Boletín Oficial de Navarra”.</w:t>
      </w:r>
    </w:p>
    <w:p w:rsidR="0085709A" w:rsidRDefault="0085709A" w:rsidP="0085709A">
      <w:pPr>
        <w:pStyle w:val="TextoNormal"/>
      </w:pPr>
    </w:p>
    <w:p w:rsidR="0085709A" w:rsidRDefault="0085709A" w:rsidP="0085709A">
      <w:pPr>
        <w:pStyle w:val="TextoNormal"/>
      </w:pPr>
      <w:r w:rsidRPr="0085709A">
        <w:rPr>
          <w:rStyle w:val="NumeroAFNegritaCaracter"/>
        </w:rPr>
        <w:t>3</w:t>
      </w:r>
      <w:r>
        <w:t>. El Vicepresidente primero y Presidente en funciones del Senado, mediante escrito registrado en este Tribunal el 18 de septiembre de 2013, comunicó que la Cámara se personaba en el procedimiento,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4</w:t>
      </w:r>
      <w:r>
        <w:t>. La Vicepresidenta Primera y Presidenta en funciones del Congreso de los Diputados, mediante escrito registrado en este Tribunal el día 19 de septiembre, comunicó que la Mesa de la Cámara había acordado darse por personada en este procedimiento y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5</w:t>
      </w:r>
      <w:r>
        <w:t>. El Gobierno de Navarra, por escrito registrado en este Tribunal el día 2 de octubre de 2013, comunicó el acuerdo adoptado en sesión celebrada el día 25 de septiembre de 2013 en el que se daba por enterado de la interposición y admisión a trámite del presente recurso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El Letrado del Parlamento de Navarra, en representación de dicho Parlamento, cumplimentó el trámite de alegaciones mediante escrito registrado en este Tribunal el 11 de octubre, en el que solicita la inadmisión del recurso de inconstitucionalidad por prematuro y, subsidiariamente, que se dicte Sentencia desestimatoria del presente recurso de inconstitucionalidad declarando la constitucionalidad de la Ley Foral impugnada. Mediante otrosí solicita, al amparo del art. 83 LOTC, la acumulación del presente recurso de inconstitucionalidad núm. 4834-2013 con el recurso de inconstitucionalidad núm. 5376-2012 interpuesto por el Parlamento de Navarra contra el art. 2 del Real Decreto-ley 20/2012, de 13 de julio, dada la existente conexión entre uno y otro recurso, que justifica la unidad de tramitación y decisión y, subsidiariamente, se suplica su resolución preferente una vez que el Tribunal Constitucional resuelva el recurso de inconstitucionalidad contra el Real Decreto-ley 20/2012, de 13 de julio.</w:t>
      </w:r>
    </w:p>
    <w:p w:rsidR="0085709A" w:rsidRDefault="0085709A" w:rsidP="0085709A">
      <w:pPr>
        <w:pStyle w:val="TextoNormal"/>
      </w:pPr>
    </w:p>
    <w:p w:rsidR="0085709A" w:rsidRDefault="0085709A" w:rsidP="0085709A">
      <w:pPr>
        <w:pStyle w:val="TextoNormal"/>
      </w:pPr>
      <w:r>
        <w:t>Las alegaciones del Parlamento de Navarra son resumidamente, las siguientes:</w:t>
      </w:r>
    </w:p>
    <w:p w:rsidR="0085709A" w:rsidRDefault="0085709A" w:rsidP="0085709A">
      <w:pPr>
        <w:pStyle w:val="TextoNormal"/>
      </w:pPr>
    </w:p>
    <w:p w:rsidR="0085709A" w:rsidRDefault="0085709A" w:rsidP="0085709A">
      <w:pPr>
        <w:pStyle w:val="TextoNormal"/>
      </w:pPr>
      <w:r>
        <w:t>En primer lugar, se expone que el Parlamento de Navarra interpuso recurso de inconstitucionalidad contra el art. 2 del Real Decreto-ley 20/2012, por vulnerar los arts. 9.3, 86.1 y 103.3 en conexión con el art. 23.2 CE y por afectar al ámbito de autonomía de la Comunidad Foral de Navarra en materia de función pública. Con posterioridad, se aprobó la Ley Foral 25/2013 contra la cual se ha planteado el presente recurso de inconstitucionalidad por el Presidente del Gobierno, que constituye, a juicio del Parlamento de Navarra, “la otra cara de la moneda” del citado recurso de inconstitucionalidad. Se entiende que el presente recurso constituye el “envés estatal” del recurso de inconstitucionalidad formulado por la Cámara navarra contra el Real Decreto-ley 20/2012, por lo que si el Alto Tribunal estima el recurso de inconstitucionalidad en su día presentado en el sentido solicitado por el Parlamento de Navarra, el recurso de inconstitucionalidad 4834-2013 correría la misma suerte que aquél, es decir, la estimación en un caso y la desestimación en el otro. Por dicha razón se solicita la acumulación o, en su defecto, su resolución preferente una vez que el Tribunal Constitucional resuelva el recurso de inconstitucionalidad contra el Real Decreto-ley 20/2012, de 13 de julio.</w:t>
      </w:r>
    </w:p>
    <w:p w:rsidR="0085709A" w:rsidRDefault="0085709A" w:rsidP="0085709A">
      <w:pPr>
        <w:pStyle w:val="TextoNormal"/>
      </w:pPr>
    </w:p>
    <w:p w:rsidR="0085709A" w:rsidRDefault="0085709A" w:rsidP="0085709A">
      <w:pPr>
        <w:pStyle w:val="TextoNormal"/>
      </w:pPr>
      <w:r>
        <w:t>En segundo lugar, se solicita la inadmisión del presente recurso de inconstitucionalidad por prematuro. Alega el representante del Parlamento de Navarra que la Ley 25/2013 es un supuesto de ley no aplicada por el Gobierno de Navarra. Para fundamentar dicha afirmación hace referencia al criterio del Gobierno comunicado a la Cámara en el que se pone de manifiesto la imposibilidad de cumplir el tenor literal de la Ley 25/2013, salvo grave incumplimiento del objetivo de déficit fijado para el ejercicio de 2013 para la Comunidad Foral de Navarra en aplicación de la Ley Orgánica 2/2012, de 27 de abril, de estabilidad presupuestaria y sostenibilidad financiera y que se requiere la previa aprobación de una Ley Foral de suplemento de crédito o de utilización del fondo de prórroga, de acuerdo con las previsiones recogidas tanto en la Ley Foral 13/2007, de 4 de abril, de la Hacienda pública de Navarra, como en la citada Ley Orgánica 2/2012. Ello determina, a juicio del Parlamento de Navarra que “estamos ante una impugnación contra un ley con objeto inexistente, puesto que no contraria ningún precepto de la ley de presupuestos del Estado … puesto que duerme un cierto sueño hasta tanto se apruebe su complemento necesario, que es la Ley Foral que suplemente un crédito inexistente. Estamos en presencia de una Ley imperfecta, razón que justifica su inadmisión, al tratarse de un recurso de inconstitucionalidad prematuro”.</w:t>
      </w:r>
    </w:p>
    <w:p w:rsidR="0085709A" w:rsidRDefault="0085709A" w:rsidP="0085709A">
      <w:pPr>
        <w:pStyle w:val="TextoNormal"/>
      </w:pPr>
    </w:p>
    <w:p w:rsidR="0085709A" w:rsidRDefault="0085709A" w:rsidP="0085709A">
      <w:pPr>
        <w:pStyle w:val="TextoNormal"/>
      </w:pPr>
      <w:r>
        <w:lastRenderedPageBreak/>
        <w:t>En tercer lugar, se desarrolla la conexión entre el presente recurso de inconstitucionalidad y el planteado en relación con el recurso de inconstitucionalidad interpuesto por el Parlamento de Navarra en relación con el art. 2 del Real Decreto-ley 20/2012. El Letrado del Parlamento de Navarra entiende que la norma estatal es inconstitucional fundamentalmente porque vulnera el art. 49.1 b) LORAFNA, como un precepto que recoge una competencia histórica y plena sobre el régimen estatutario de los funcionarios públicos siempre que se respeten “los derechos y obligaciones esenciales que la legislación básica del Estado reconozca a los funcionarios públicos”. Por esta razón, aunque se quiera configurar la supresión de la paga extra como una medida económica anclada en los arts. 149.1.1 y 13 y 156.1 CE, no puede obviarse que en realidad con esa medida se lamina la tradicional competencia de Navarra sobre el régimen funcionarial y retributivo de sus funcionarios. Recuerda que la Ley Orgánica de reintegración y amejoramiento del régimen foral de Navarra se ancla en la disposición adicional primera de la Constitución, lo que significa desde un punto de vista competencial que Navarra conserva sus tradicionales competencias en algunas materias históricas, como es la función pública. Reconoce el Letrado del Parlamento navarro que la jurisprudencia constitucional ha bifurcado los aspectos funcionariales y retributivos con el fin de asimilar a Navarra a otras Comunidades Autónomas, pero niega que dicha jurisprudencia pueda ser aquí reiterada. Para él, el cumplimiento de las magnitudes económicas que el Estado define en virtud de sus competencias de dirección de la política económica al amparo de los artículos 149.1.13 y 156.1 CE no pueden ser trasladadas al ordenamiento de Navarra de la misma manera que a otras Comunidades Autónomas, ya que la actividad económica de Navarra se articula a través del convenio económico. Asimismo, se aduce que el contenido del art. 2 del Real Decreto-ley impugnado es tan detallista y agotador que impide cualquier desarrollo del mismo.</w:t>
      </w:r>
    </w:p>
    <w:p w:rsidR="0085709A" w:rsidRDefault="0085709A" w:rsidP="0085709A">
      <w:pPr>
        <w:pStyle w:val="TextoNormal"/>
      </w:pPr>
    </w:p>
    <w:p w:rsidR="0085709A" w:rsidRDefault="0085709A" w:rsidP="0085709A">
      <w:pPr>
        <w:pStyle w:val="TextoNormal"/>
      </w:pPr>
      <w:r>
        <w:t>Finalmente, el Parlamento de Navarra expone los argumentos para refutar las alegaciones del Abogado del Estado que, partiendo de la consideración de que el presente recurso de inconstitucionalidad sería la otra cara del recurso de inconstitucionalidad planteado contra el Real Decreto-ley 20/2012, coincidirían con los argumentos en los que se sustenta el recurso de inconstitucionalidad planteado por el Parlamento de Navarra contra el referido Real Decreto-ley 20/2012. Concretamente, se incide en que la materia examinada tiene una doble vertiente funcionarial y económica; que el Estado tiene medios coercitivos para lograr la estabilidad presupuestaria (Ley Orgánica 2/2012, de 27 de abril, de estabilidad presupuestaria y sostenibilidad financiera y fondo de liquidez autonómico, que desarrolla el art. 135 CE) y que todo ello ha de ser informado por el principio de unidad de la Constitución a los efectos de que los títulos económicos invocados por el Gobierno no vulneren el sistema de distribución de competencias entre el Estado y la Comunidad Foral de Navarra.</w:t>
      </w:r>
    </w:p>
    <w:p w:rsidR="0085709A" w:rsidRDefault="0085709A" w:rsidP="0085709A">
      <w:pPr>
        <w:pStyle w:val="TextoNormal"/>
      </w:pPr>
    </w:p>
    <w:p w:rsidR="0085709A" w:rsidRDefault="0085709A" w:rsidP="0085709A">
      <w:pPr>
        <w:pStyle w:val="TextoNormal"/>
      </w:pPr>
      <w:r w:rsidRPr="0085709A">
        <w:rPr>
          <w:rStyle w:val="NumeroAFNegritaCaracter"/>
        </w:rPr>
        <w:t>7</w:t>
      </w:r>
      <w:r>
        <w:t>. Próximo a finalizar el plazo de cinco meses que señala el art. 161.2 CE desde que se produjo la suspensión de la Ley Foral 25/2013, el Pleno, por providencia de 22 de octubre de 2013, acordó oír a las partes personadas —Abogado del Estado y Parlamento de Navarra— para que, en el plazo de cinco días, expusieran lo que consideraran conveniente acerca del mantenimiento o levantamiento de la suspensión. Evacuado por las partes el trámite de alegaciones conferido, el Pleno del Tribunal, mediante ATC 298/2013, de 17 de diciembre, acordó mantener la suspensión del artículo único de la Ley Foral 25/2013.</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12 de mayo de 2015 se señaló para deliberación y votación de la presente Sentencia el día 14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proceso constitucional debemos resolver el recurso de inconstitucionalidad interpuesto por la Abogacía del Estado, en nombre del Presidente del Gobierno, contra el artículo único de la Ley Foral 25/2013, de 2 de julio, por la que se modifica la Ley Foral 28/2012, de 28 de diciembre, por la que se crea, con efectos para el año 2012, un complemento personal transitorio por pérdida de poder adquisitivo.</w:t>
      </w:r>
    </w:p>
    <w:p w:rsidR="0085709A" w:rsidRDefault="0085709A" w:rsidP="0085709A">
      <w:pPr>
        <w:pStyle w:val="TextoNormal"/>
      </w:pPr>
    </w:p>
    <w:p w:rsidR="0085709A" w:rsidRDefault="0085709A" w:rsidP="0085709A">
      <w:pPr>
        <w:pStyle w:val="TextoNormal"/>
      </w:pPr>
      <w:r>
        <w:t>Para precisar el objeto de este recurso de inconstitucionalidad hemos de tener en cuenta la regulación prevista en la Ley Foral 28/2012, que la Ley Foral 25/2013, ahora impugnada, modifica. La citada Ley Foral estableció en su artículo único, primer apartado, que “durante el año 2012 se abonará al personal al servicio de las Administraciones Públicas de Navarra un complemento personal por pérdida de poder adquisitivo de cuantía equivalente al importe de la paga extraordinaria cobrada el mes de junio”. A su vez, el segundo apartado de dicho artículo disponía que “el pago se realizará antes de finalizar el año 2012 mediante un solo abono por el importe que, de acuerdo con lo establecido en el apartado anterior, corresponda a cada funcionario/a”, y ello a pesar de que la Ley Foral fue publicada en el “Boletín Oficial de Navarra” el 2 de enero de 2013, entrando en vigor el 3 de enero de dicho año.</w:t>
      </w:r>
    </w:p>
    <w:p w:rsidR="0085709A" w:rsidRDefault="0085709A" w:rsidP="0085709A">
      <w:pPr>
        <w:pStyle w:val="TextoNormal"/>
      </w:pPr>
    </w:p>
    <w:p w:rsidR="0085709A" w:rsidRDefault="0085709A" w:rsidP="0085709A">
      <w:pPr>
        <w:pStyle w:val="TextoNormal"/>
      </w:pPr>
      <w:r>
        <w:t>Como se ha señalado, la Ley Foral 28/2012 fue objeto de modificación por la Ley Foral 25/2013, ya que, según se afirma en su exposición de motivos, “la voluntad del Parlamento de Navarra ha sido en todo momento que se percibiera el complemento transitorio, al margen de retrasos administrativos, por lo que no puede ser obstáculo para su percibo el hecho de que las administraciones acordaran su pago con posterioridad” al 31 de diciembre de 2012, por lo que se procede a “la modificación del punto segundo de su artículo único, en el que se mencionan los plazos de cumplimiento”. En consecuencia, señala la citada exposición de motivos, la modificación que introduce esta Ley Foral permite el abono del complemento personal transitorio por la Administración de la Comunidad Foral y por cualquier otra Administración pública de Navarra que no lo hubiera hecho en su momento.</w:t>
      </w:r>
    </w:p>
    <w:p w:rsidR="0085709A" w:rsidRDefault="0085709A" w:rsidP="0085709A">
      <w:pPr>
        <w:pStyle w:val="TextoNormal"/>
      </w:pPr>
    </w:p>
    <w:p w:rsidR="0085709A" w:rsidRDefault="0085709A" w:rsidP="0085709A">
      <w:pPr>
        <w:pStyle w:val="TextoNormal"/>
      </w:pPr>
      <w:r>
        <w:t>Concretamente, el artículo único de la Ley Foral 25/2013, objeto del presente recurso de inconstitucionalidad, modifica el apartado segundo del artículo único de la citada Ley Foral 28/2012 que queda redactado de la siguiente manera: “el pago se realizará antes del 31 de agosto de 2013 mediante un solo abono por el importe que, de acuerdo con lo establecido en el apartado anterior, corresponda a cada funcionario”.</w:t>
      </w:r>
    </w:p>
    <w:p w:rsidR="0085709A" w:rsidRDefault="0085709A" w:rsidP="0085709A">
      <w:pPr>
        <w:pStyle w:val="TextoNormal"/>
      </w:pPr>
    </w:p>
    <w:p w:rsidR="0085709A" w:rsidRDefault="0085709A" w:rsidP="0085709A">
      <w:pPr>
        <w:pStyle w:val="TextoNormal"/>
      </w:pPr>
      <w:r>
        <w:t>La medida establecida por la Ley Foral recurrida vulnera, a juicio del Abogado del Estado, la limitación básica de incremento de las retribuciones prevista en el art. 22.2 de la Ley 17/2012, de 27 de diciembre, de presupuestos generales del Estado para el año 2013 (en adelante, Ley 17/2012), lo que comportaría, atendiendo a la argumentación expuesta en el escrito de interposición, la vulneración del artículo 149.1.13 CE, del artículo 156 de la misma y del principio de estabilidad presupuestaria previsto en el artículo 135 CE.</w:t>
      </w:r>
    </w:p>
    <w:p w:rsidR="0085709A" w:rsidRDefault="0085709A" w:rsidP="0085709A">
      <w:pPr>
        <w:pStyle w:val="TextoNormal"/>
      </w:pPr>
    </w:p>
    <w:p w:rsidR="0085709A" w:rsidRDefault="0085709A" w:rsidP="0085709A">
      <w:pPr>
        <w:pStyle w:val="TextoNormal"/>
      </w:pPr>
      <w:r>
        <w:t xml:space="preserve">Por su parte, el Letrado del Parlamento de Navarra, tal y como ha quedado recogido en los antecedentes, y en cuanto al fondo de la controversia suscitada, considera que la solución </w:t>
      </w:r>
      <w:r>
        <w:lastRenderedPageBreak/>
        <w:t>a la misma depende de la decisión que este Tribunal adopte en relación con el recurso planteado por el Parlamento de Navarra en relación con la supresión de la paga extraordinaria contenida en el art. 2 del Real Decreto-ley 20/2012, de 13 de julio, de medidas para garantizar la estabilidad presupuestaria y de fomento de la competitividad.</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enfrentadas en el recurso y el contenido de la norma impugnada, es necesario examinar, en primer lugar, la solicitud de inadmisión del presente recurso de inconstitucionalidad por prematuro, que efectúa el Parlamento de Navarra. Las razones en las que se fundamenta dicha solicitud, tal y como se han expuesto en los antecedentes, se concretan en que la Ley Foral 25/2013 es un supuesto de ley no aplicada por el Gobierno de Navarra, lo que se fundamenta en el criterio del Gobierno comunicado a la Cámara en el que se pone de manifiesto la imposibilidad de cumplir el tenor literal de la Ley 25/2013, salvo grave incumplimiento del objetivo de déficit fijado para el ejercicio de 2013 para la Comunidad Foral de Navarra en aplicación de la Ley Orgánica 2/2012, de 27 de abril, de estabilidad presupuestaria y sostenibilidad financiera y que se requiere la previa aprobación de una Ley Foral de suplemento de crédito o de utilización del fondo de prórroga.</w:t>
      </w:r>
    </w:p>
    <w:p w:rsidR="0085709A" w:rsidRDefault="0085709A" w:rsidP="0085709A">
      <w:pPr>
        <w:pStyle w:val="TextoNormal"/>
      </w:pPr>
    </w:p>
    <w:p w:rsidR="0085709A" w:rsidRDefault="0085709A" w:rsidP="0085709A">
      <w:pPr>
        <w:pStyle w:val="TextoNormal"/>
      </w:pPr>
      <w:r>
        <w:t>En la sustanciación del incidente cautelar de suspensión en el presente proceso constitucional, el Letrado del Parlamento de Navarra alegó, asimismo, el carácter de la Ley Foral 25/2013 como ley no aplicada por el Gobierno de Navarra, alegación a la que dimos cumplida respuesta en el ATC 298/2013, de 17 de diciembre, FJ 4. Debemos, en consecuencia, remitirnos al criterio que al respecto expresamos en dicha resolución para resolver la solicitud de inadmisión formulada.</w:t>
      </w:r>
    </w:p>
    <w:p w:rsidR="0085709A" w:rsidRDefault="0085709A" w:rsidP="0085709A">
      <w:pPr>
        <w:pStyle w:val="TextoNormal"/>
      </w:pPr>
    </w:p>
    <w:p w:rsidR="0085709A" w:rsidRDefault="0085709A" w:rsidP="0085709A">
      <w:pPr>
        <w:pStyle w:val="TextoNormal"/>
      </w:pPr>
      <w:r>
        <w:t>Partiendo de la premisa de que los requisitos de admisibilidad de un recurso de inconstitucionalidad están previstos en los arts. 31 y ss. de la Ley Orgánica del Tribunal Constitucional que, en relación con su objeto, se limitan a que han de ser leyes, disposiciones normativas o actos con fuerza de ley, hemos de afirmar que las relaciones entre el Gobierno de Navarra y el Parlamento de dicha Comunidad Autónoma, que han sido puestas de manifiesto en las alegaciones realizadas por el representante del Parlamento de Navarra, no es una cuestión que competa a este Tribunal a los efectos de acordar la inadmisión del presente recurso de inconstitucionalidad. En este sentido resulta del todo evidente que la admisión del presente recurso de inconstitucionalidad no puede quedar al albur de las decisiones del Gobierno y del Parlamento de Navarra sobre la correcta aplicación de la norma impugnada, por lo que debemos rechazar la solicitud de inadmisión del recurso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3</w:t>
      </w:r>
      <w:r>
        <w:t>. Una vez resuelto el óbice procesal planteado por el Letrado del Parlamento de Navarra, hemos de encuadrar la cuestión debatida en el presente recurso en el ámbito material que le sea propio.</w:t>
      </w:r>
    </w:p>
    <w:p w:rsidR="0085709A" w:rsidRDefault="0085709A" w:rsidP="0085709A">
      <w:pPr>
        <w:pStyle w:val="TextoNormal"/>
      </w:pPr>
    </w:p>
    <w:p w:rsidR="0085709A" w:rsidRDefault="0085709A" w:rsidP="0085709A">
      <w:pPr>
        <w:pStyle w:val="TextoNormal"/>
      </w:pPr>
      <w:r>
        <w:t>En ese sentido, el Abogado del Estado encuadra esta Ley en materia de gastos de personal del sector público, en la que el Estado tiene competencia al amparo de los arts. 149.1.13 y 156 CE, a los que, a su juicio, ha de añadirse el art. 135 CE. Sin embargo, el Letrado del Parlamento de Navarra pone de manifiesto que esta norma se incardina no sólo en materia económica sino también en materia funcionarial.</w:t>
      </w:r>
    </w:p>
    <w:p w:rsidR="0085709A" w:rsidRDefault="0085709A" w:rsidP="0085709A">
      <w:pPr>
        <w:pStyle w:val="TextoNormal"/>
      </w:pPr>
    </w:p>
    <w:p w:rsidR="0085709A" w:rsidRDefault="0085709A" w:rsidP="0085709A">
      <w:pPr>
        <w:pStyle w:val="TextoNormal"/>
      </w:pPr>
      <w:r>
        <w:lastRenderedPageBreak/>
        <w:t>Tal y como se infiere de lo dispuesto en el artículo único de la Ley Foral 25/2013, el objeto de la disposición impugnada es la previsión del momento en que se va a hacer el pago de un complemento personal por pérdida de poder adquisitivo de cuantía equivalente al importe de la paga extraordinaria cobrada el mes de junio.</w:t>
      </w:r>
    </w:p>
    <w:p w:rsidR="0085709A" w:rsidRDefault="0085709A" w:rsidP="0085709A">
      <w:pPr>
        <w:pStyle w:val="TextoNormal"/>
      </w:pPr>
    </w:p>
    <w:p w:rsidR="0085709A" w:rsidRDefault="0085709A" w:rsidP="0085709A">
      <w:pPr>
        <w:pStyle w:val="TextoNormal"/>
      </w:pPr>
      <w:r>
        <w:t>Atendiendo a que el motivo del recurso planteado se concreta en la eventual contravención por la Ley Foral 25/2013 de la limitación básica de incremento de las retribuciones prevista en el art. 22.2 de la Ley 17/2012 y por tanto, de una medida de contención de gastos de personal, hemos de reiterar que nuestra doctrina encuadra las medidas de contención de gastos de personal en el marco de las competencias de las bases y coordinación de la planificación general de la actividad económica del art. 149.1.13 CE.</w:t>
      </w:r>
    </w:p>
    <w:p w:rsidR="0085709A" w:rsidRDefault="0085709A" w:rsidP="0085709A">
      <w:pPr>
        <w:pStyle w:val="TextoNormal"/>
      </w:pPr>
    </w:p>
    <w:p w:rsidR="0085709A" w:rsidRDefault="0085709A" w:rsidP="0085709A">
      <w:pPr>
        <w:pStyle w:val="TextoNormal"/>
      </w:pPr>
      <w:r>
        <w:t xml:space="preserve">En efecto, este Tribunal ha entendido que las medidas de limitación de las retribuciones adoptadas por el Estado deben analizarse desde la perspectiva de los arts. 149.1.13 y 156.1 CE. Siguiendo lo afirmado en STC 222/2006, FJ 3, debemos ahora reiterar que, aunque no cabe duda de que la decisión del legislador estatal de establecer un crecimiento cero en las retribuciones del personal al servicio de las Administraciones Públicas incide en la autonomía presupuestaria de las Comunidades Autónomas, su legitimidad constitucional debe ser admitida a la luz de la doctrina que este Tribunal ha empleado reiteradamente para defender la facultad del Estado de limitar las retribuciones del personal al servicio de las Administraciones públicas. En efecto, hemos señalado la vinculación directa de estos límites con la fijación de la política económica general por parte del Estado </w:t>
      </w:r>
      <w:r w:rsidRPr="0085709A">
        <w:rPr>
          <w:i/>
        </w:rPr>
        <w:t>ex</w:t>
      </w:r>
      <w:r>
        <w:t xml:space="preserve"> art. 149.1.13 CE (STC 96/1990, de 24 de mayo, FJ 3) por cuanto se trata de una medida dirigida a contener la expansión relativa de uno de los componentes esenciales del gasto público (STC 63/1986,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octubre, FJ 2; y 103/1997, de 22 de mayo, FJ 1). De ello se deriva la idoneidad de que tales límites se contengan en la Ley de presupuestos generales del Estado en cuanto vehículo de dirección y orientación de la política general que corresponde al Gobierno de la Nación (STC 171/1996, de 30 de octubre, FJ 2). Lo cual, en fin, no sólo justifica que el Estado pueda establecer topes máximos a los incrementos retributivos de los funcionarios autonómicos, sino que pueda decantarse por la congelación salarial en un ejercicio concreto.</w:t>
      </w:r>
    </w:p>
    <w:p w:rsidR="0085709A" w:rsidRDefault="0085709A" w:rsidP="0085709A">
      <w:pPr>
        <w:pStyle w:val="TextoNormal"/>
      </w:pPr>
    </w:p>
    <w:p w:rsidR="0085709A" w:rsidRDefault="0085709A" w:rsidP="0085709A">
      <w:pPr>
        <w:pStyle w:val="TextoNormal"/>
      </w:pPr>
      <w:r>
        <w:t xml:space="preserve">Asimismo, y en respuesta a las alegaciones realizadas por el Parlamento de Navarra, hemos de afirmar que esta regulación no se incardina en materia de función pública y que la regulación estatal se aplica a la Comunidad Foral Navarra en los mismos términos que al resto de las Comunidades Autónomas. Así, nuestra doctrina no encuadra las medidas de contención de gastos de personal en el marco de las competencias en materia de “funcionarios públicos” [arts. 149.1.18 CE y 49.1 b) de la Ley Orgánica de reintegración y amejoramiento del régimen foral de Navarra (LORAFNA)], sino que las sitúa bajo el de las bases y coordinación de la planificación general de la actividad económica del art. 149.1.13 CE, como ya hemos señalado. Y ello por dos motivos principales, ya indicados en la temprana STC 63/1986, de 21 de mayo, FJ 11, y reiterados luego en múltiples ocasiones (en particular, </w:t>
      </w:r>
      <w:r>
        <w:lastRenderedPageBreak/>
        <w:t>para el caso concreto de Navarra, en las SSTC 148/2006, de 11 de mayo, FJ 6, 195/2006, de 22 de junio, FJ 6, y 297/2006, de 11 de octubre, FJ 5).</w:t>
      </w:r>
    </w:p>
    <w:p w:rsidR="0085709A" w:rsidRDefault="0085709A" w:rsidP="0085709A">
      <w:pPr>
        <w:pStyle w:val="TextoNormal"/>
      </w:pPr>
    </w:p>
    <w:p w:rsidR="0085709A" w:rsidRDefault="0085709A" w:rsidP="0085709A">
      <w:pPr>
        <w:pStyle w:val="TextoNormal"/>
      </w:pPr>
      <w:r>
        <w:t>Decíamos en la primera de esas Sentencias referidas al caso concreto de Navarra que “la cuantificación y la limitación de las retribuciones del personal al servicio de las Administraciones públicas no se integran, desde un punto de vista material, en el régimen estatutario de los funcionarios públicos …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retributivos de los funcionarios públicos” (STC 148/2006, FJ 6).</w:t>
      </w:r>
    </w:p>
    <w:p w:rsidR="0085709A" w:rsidRDefault="0085709A" w:rsidP="0085709A">
      <w:pPr>
        <w:pStyle w:val="TextoNormal"/>
      </w:pPr>
    </w:p>
    <w:p w:rsidR="0085709A" w:rsidRDefault="0085709A" w:rsidP="0085709A">
      <w:pPr>
        <w:pStyle w:val="TextoNormal"/>
      </w:pPr>
      <w:r>
        <w:t>A su vez, en la última de las Sentencias citadas recopilábamos lo dicho en las demás para concluir, resumidamente, lo siguiente: “[b]asta remitirse, asimismo, a los fundamentos jurídicos 5, 6, 7 y 8 de la STC 148/2006, de 11 de mayo (a los que también se remite expresamente la STC 195/2006, de 22 de junio, en su FJ 6), para rechazar las alegaciones de los representantes forales en relación con una vinculación menos intensa de la Comunidad de Navarra a los límites retributivos establecidos por el legislador estatal. Aunque es esta una cuestión que ha centrado en gran medida el debate entre las partes, en dichos fundamentos jurídicos concluimos que ni los derechos históricos invocados por los representantes forales, ni los arts. 49.1b), 45 y 64 LORAFNA, ni el hecho de haber suscrito con la Administración central un escenario de consolidación presupuestaria permiten flexibilizar la vinculación de la Comunidad Foral de Navarra a dichos límites básicos” (STC 297/2006, FJ 5).</w:t>
      </w:r>
    </w:p>
    <w:p w:rsidR="0085709A" w:rsidRDefault="0085709A" w:rsidP="0085709A">
      <w:pPr>
        <w:pStyle w:val="TextoNormal"/>
      </w:pPr>
    </w:p>
    <w:p w:rsidR="0085709A" w:rsidRDefault="0085709A" w:rsidP="0085709A">
      <w:pPr>
        <w:pStyle w:val="TextoNormal"/>
      </w:pPr>
      <w:r w:rsidRPr="0085709A">
        <w:rPr>
          <w:rStyle w:val="NumeroAFNegritaCaracter"/>
        </w:rPr>
        <w:t>4</w:t>
      </w:r>
      <w:r>
        <w:t>. Conforme a dicha delimitación podemos ya resolver el presente recurso de inconstitucionalidad, a partir de la comparación entre el artículo único de la Ley Foral 25/2013 y el art. 22.2 de la Ley 17/2012, en cuya vulneración sustenta el Abogado del Estado el recurso, y que establece lo siguiente:</w:t>
      </w:r>
    </w:p>
    <w:p w:rsidR="0085709A" w:rsidRDefault="0085709A" w:rsidP="0085709A">
      <w:pPr>
        <w:pStyle w:val="TextoNormal"/>
      </w:pPr>
    </w:p>
    <w:p w:rsidR="0085709A" w:rsidRDefault="0085709A" w:rsidP="0085709A">
      <w:pPr>
        <w:pStyle w:val="TextoNormal"/>
      </w:pPr>
      <w:r>
        <w:t>“En el año 2013, las retribuciones del personal al servicio del sector público no podrán experimentar ningún incremento respecto a las vigentes a 31 de diciembre de 2012, en términos de homogeneidad para los dos períodos de la comparación, tanto por lo que respecta a efectivos de personal como a la antigüedad del mismo, y sin tenerse en cuenta la reducción aprobada por el Real Decreto-Ley 20/2012, de 13 de julio. Todas las menciones de esta Ley a retribuciones vigentes a 31 de diciembre de 2012 o devengadas en 2012 deben entenderse hechas a las que resultan de la Ley 2/2012, de 29 de junio, de Presupuestos Generales del Estado para el año 2012, sin tenerse en cuenta la supresión de la paga extraordinaria y de la paga adicional o equivalente del mes de diciembre aprobada por el Real Decreto-Ley 20/2012, de 13 de julio, de medidas para garantizar la estabilidad presupuestaria y de fomento de la competitividad.”</w:t>
      </w:r>
    </w:p>
    <w:p w:rsidR="0085709A" w:rsidRDefault="0085709A" w:rsidP="0085709A">
      <w:pPr>
        <w:pStyle w:val="TextoNormal"/>
      </w:pPr>
    </w:p>
    <w:p w:rsidR="0085709A" w:rsidRDefault="0085709A" w:rsidP="0085709A">
      <w:pPr>
        <w:pStyle w:val="TextoNormal"/>
      </w:pPr>
      <w:r>
        <w:t xml:space="preserve">Es esta la norma estatal susceptible de operar como parámetro de contraste que hemos de utilizar, ya que nos encontramos ante dos normas de vigencia temporal limitadas a un concreto ejercicio presupuestario, el del año 2013. La norma autonómica porque así lo prevé el precepto recurrido, que dispone que el pago se realice antes del 31 de agosto de 2013, y la norma estatal por la propia naturaleza de toda Ley de presupuestos. En definitiva, nos </w:t>
      </w:r>
      <w:r>
        <w:lastRenderedPageBreak/>
        <w:t>encontramos ante una controversia que se refiere al límite de las competencias de las Comunidades Autónomas en la determinación de las retribuciones del personal al servicio de sus Administraciones durante un ejercicio presupuestario determinado, el del año 2013, ejercicio presupuestario al que es aplicable, en todo su devenir, la Ley 17/2012, de 27 de diciembre, de presupuestos generales del Estado para el año 2013.</w:t>
      </w:r>
    </w:p>
    <w:p w:rsidR="0085709A" w:rsidRDefault="0085709A" w:rsidP="0085709A">
      <w:pPr>
        <w:pStyle w:val="TextoNormal"/>
      </w:pPr>
    </w:p>
    <w:p w:rsidR="0085709A" w:rsidRDefault="0085709A" w:rsidP="0085709A">
      <w:pPr>
        <w:pStyle w:val="TextoNormal"/>
      </w:pPr>
      <w:r>
        <w:t>El artículo 22.2 de la Ley 17/2012 establece la prohibición de incremento de las retribuciones del personal al servicio del sector público, vigentes a 31 de diciembre de 2012 que, según afirmamos en el ATC 298/2013, de 17 de diciembre, FJ 4, “es una medida de política general tendente a la limitación del gasto público” que, como hemos señalado, puede ser adoptada por el Estado al amparo del art. 149.1.13 CE.</w:t>
      </w:r>
    </w:p>
    <w:p w:rsidR="0085709A" w:rsidRDefault="0085709A" w:rsidP="0085709A">
      <w:pPr>
        <w:pStyle w:val="TextoNormal"/>
      </w:pPr>
    </w:p>
    <w:p w:rsidR="0085709A" w:rsidRDefault="0085709A" w:rsidP="0085709A">
      <w:pPr>
        <w:pStyle w:val="TextoNormal"/>
      </w:pPr>
      <w:r>
        <w:t>En el preámbulo de la citada Ley 17/2012 se señala que “La repercusión que el mandato constitucional de estabilidad presupuestaria y la actual situación de nuestra economía tienen sobre el personal al servicio del sector público se refleja en el Capítulo I, relativo a los ‘Gastos del personal al servicio del sector público’, que tras definir lo que constituye ‘sector público’ a estos efectos, establece, con carácter general, que no habrá incremento de las retribuciones de este personal en 2013 respecto a las retribuciones vigentes a 31 de diciembre de 2012 sin tener en cuenta la reducción aprobada por el Real Decreto-Ley 20/2012, de 13 de julio”.</w:t>
      </w:r>
    </w:p>
    <w:p w:rsidR="0085709A" w:rsidRDefault="0085709A" w:rsidP="0085709A">
      <w:pPr>
        <w:pStyle w:val="TextoNormal"/>
      </w:pPr>
    </w:p>
    <w:p w:rsidR="0085709A" w:rsidRDefault="0085709A" w:rsidP="0085709A">
      <w:pPr>
        <w:pStyle w:val="TextoNormal"/>
      </w:pPr>
      <w:r>
        <w:t>Una vez reconocida la directa relación entre la decisión de congelar las retribuciones del personal al servicio de las Administraciones públicas y la fijación de la política económica general por parte del Estado, cabe aceptar la posibilidad de adoptar una decisión de crecimiento cero, por cuanto se trata de una medida coyuntural que el legislador estatal considera necesaria para conseguir los objetivos de política económica general que se explicitan en el preámbulo de la Ley de presupuestos generales del Estado para 2013.</w:t>
      </w:r>
    </w:p>
    <w:p w:rsidR="0085709A" w:rsidRDefault="0085709A" w:rsidP="0085709A">
      <w:pPr>
        <w:pStyle w:val="TextoNormal"/>
      </w:pPr>
    </w:p>
    <w:p w:rsidR="0085709A" w:rsidRDefault="0085709A" w:rsidP="0085709A">
      <w:pPr>
        <w:pStyle w:val="TextoNormal"/>
      </w:pPr>
      <w:r w:rsidRPr="0085709A">
        <w:rPr>
          <w:rStyle w:val="NumeroAFNegritaCaracter"/>
        </w:rPr>
        <w:t>5</w:t>
      </w:r>
      <w:r>
        <w:t>. Afirmada la competencia del Estado para establecer la regulación contenida en el art. 22.2 de la Ley 17/2012, ha de analizarse si, efectivamente como alega el Abogado del Estado, la norma autonómica cuestionada contradice la norma estatal.</w:t>
      </w:r>
    </w:p>
    <w:p w:rsidR="0085709A" w:rsidRDefault="0085709A" w:rsidP="0085709A">
      <w:pPr>
        <w:pStyle w:val="TextoNormal"/>
      </w:pPr>
    </w:p>
    <w:p w:rsidR="0085709A" w:rsidRDefault="0085709A" w:rsidP="0085709A">
      <w:pPr>
        <w:pStyle w:val="TextoNormal"/>
      </w:pPr>
      <w:r>
        <w:t>Al respecto cabe señalar que, según se infiere del art. único de la Ley Foral 25/2013, las retribuciones que correspondían al personal al servicio de las Administraciones Públicas de Navarra durante el ejercicio presupuestario 2013 habrían tenido un incremento equivalente al de la paga extraordinaria de junio de 2012, que conforme a la disposición impugnada, habría sido efectivo antes del 31 de agosto de 2013. En efecto, comparando las retribuciones vigentes a 31 de diciembre de 2012 (sin tenerse en cuenta la supresión de la paga extraordinaria y de la paga adicional o equivalente del mes de diciembre aprobada por el Real Decreto-ley 20/2012, de 13 de julio, de medidas para garantizar la estabilidad presupuestaria y de fomento de la competitividad, tal y como señala el art. 22.2 de la Ley 17/2012) el abono durante el ejercicio presupuestario de 2013 de un complemento personal por pérdida de poder adquisitivo de cuantía equivalente al importe de la paga extraordinaria cobrada el mes de junio de 2012, implicaría un incremento retributivo en el ámbito de la Comunidad Foral de Navarra, que vulneraría la prohibición de incremento retributivo prevista en la norma estatal.</w:t>
      </w:r>
    </w:p>
    <w:p w:rsidR="0085709A" w:rsidRDefault="0085709A" w:rsidP="0085709A">
      <w:pPr>
        <w:pStyle w:val="TextoNormal"/>
      </w:pPr>
    </w:p>
    <w:p w:rsidR="0085709A" w:rsidRDefault="0085709A" w:rsidP="0085709A">
      <w:pPr>
        <w:pStyle w:val="TextoNormal"/>
      </w:pPr>
      <w:r>
        <w:lastRenderedPageBreak/>
        <w:t xml:space="preserve">En consecuencia, la previsión del pago del importe contemplada en la norma ahora impugnada habría vulnerado el límite básico retributivo establecido en el art. 22.2 de la citada Ley 17/2012, conforme a la competencia del Estado </w:t>
      </w:r>
      <w:r w:rsidRPr="0085709A">
        <w:rPr>
          <w:i/>
        </w:rPr>
        <w:t>ex</w:t>
      </w:r>
      <w:r>
        <w:t xml:space="preserve"> art. 149.1.13 CE, que se concreta en la prohibición de incremento de las retribuciones, lo que comporta que el artículo único de la Ley Foral 25/2013 es inconstitucional y nulo.</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Sentado todo lo anterior, debe declararse la inconstitucionalidad de la Ley Foral 25/2013. Aunque no se ha interpuesto el recurso de inconstitucionalidad contra toda la Ley Foral 25/2013, ésta sólo consta de un artículo único, objeto del presente recurso de inconstitucionalidad y de una disposición final que se limita a prever los efectos de la misma desde el 1 de enero de 2013, por lo que una vez se ha declarado inconstitucional y nulo el artículo único de la citada norma, queda despojado de toda finalidad práctica, razón que conduce a apreciar su inconstitucionalidad por conexión </w:t>
      </w:r>
      <w:r w:rsidRPr="0085709A">
        <w:rPr>
          <w:i/>
        </w:rPr>
        <w:t>ex</w:t>
      </w:r>
      <w:r>
        <w:t xml:space="preserve"> art. 39.1 de la Ley Orgánica del Tribunal Constitucional (SSTC 46/1990, de 15 de marzo, FJ 5; 73/1996, de 30 de abril, FJ 3, y 195/2006, de 22 de junio, FJ 8).</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presente recurso de inconstitucionalidad y, en consecuencia:</w:t>
      </w:r>
    </w:p>
    <w:p w:rsidR="0085709A" w:rsidRDefault="0085709A" w:rsidP="0085709A">
      <w:pPr>
        <w:pStyle w:val="TextoNormal"/>
      </w:pPr>
    </w:p>
    <w:p w:rsidR="0085709A" w:rsidRDefault="0085709A" w:rsidP="0085709A">
      <w:pPr>
        <w:pStyle w:val="TextoNormal"/>
      </w:pPr>
      <w:r>
        <w:t>Declarar la inconstitucionalidad y consiguiente nulidad de la Ley Foral 25/2013, de 2 de julio, por la que se modifica la Ley Foral 28/2012, de 28 de diciembre, por la que se crea, con efectos para el año 2012, un complemento personal transitorio por pérdida de poder adquisitivo.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8" w:name="SENTENCIA_2015_95"/>
      <w:r>
        <w:lastRenderedPageBreak/>
        <w:t>SENTENCIA 95/2015, de 14 de mayo de 2015</w:t>
      </w:r>
    </w:p>
    <w:bookmarkEnd w:id="98"/>
    <w:p w:rsidR="0085709A" w:rsidRDefault="0085709A" w:rsidP="0085709A">
      <w:pPr>
        <w:pStyle w:val="TtuloResolucin"/>
      </w:pPr>
      <w:r>
        <w:t>Pleno</w:t>
      </w:r>
    </w:p>
    <w:p w:rsidR="0085709A" w:rsidRDefault="0085709A" w:rsidP="0085709A">
      <w:pPr>
        <w:pStyle w:val="TtuloBOE"/>
      </w:pPr>
      <w:r>
        <w:t>(BOE núm. 146, de 19 de junio de 2015)</w:t>
      </w:r>
    </w:p>
    <w:p w:rsidR="0085709A" w:rsidRDefault="0085709A" w:rsidP="0085709A">
      <w:pPr>
        <w:pStyle w:val="TextoNormalCentrado"/>
      </w:pPr>
      <w:r>
        <w:t>ECLI:ES:TC:2015:95</w:t>
      </w:r>
    </w:p>
    <w:p w:rsidR="0085709A" w:rsidRDefault="0085709A" w:rsidP="0085709A">
      <w:pPr>
        <w:pStyle w:val="TextoNormalCentrado"/>
      </w:pPr>
    </w:p>
    <w:p w:rsidR="0085709A" w:rsidRDefault="0085709A" w:rsidP="0085709A">
      <w:pPr>
        <w:pStyle w:val="SntesisDescriptiva"/>
      </w:pPr>
      <w:r>
        <w:t>Cuestión de inconstitucionalidad 7434-2013. Planteada por la Sala de lo Social del Tribunal Superior de Justicia del País Vasco en relación con 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y límites a los decretos-leyes: acreditación de la concurrencia del presupuesto habilitante; constitucionalidad de la suspensión de la paga única compensatoria prevista para el caso de que el índice de precios al consumo real sea superior al previsto (STC 49/2015). Voto particular.</w:t>
      </w:r>
    </w:p>
    <w:p w:rsidR="0085709A" w:rsidRDefault="0085709A" w:rsidP="0085709A">
      <w:pPr>
        <w:pStyle w:val="SntesisAnaltica"/>
      </w:pPr>
    </w:p>
    <w:p w:rsidR="0085709A" w:rsidRDefault="0085709A" w:rsidP="0085709A">
      <w:pPr>
        <w:pStyle w:val="Extracto"/>
      </w:pPr>
      <w:r>
        <w:t>1.</w:t>
      </w:r>
      <w:r>
        <w:tab/>
        <w:t>El art. 2.1 del Real Decreto-ley 28/2012, relativo a la suspensión de la paga única compensatoria para el ejercicio de 2012, el Gobierno ha aportado justificación suficiente, que permite apreciar la existencia de la situación habilitante exigida por el art. 86.1 CE, y que la medida adoptada guarda conexión de sentido en relación a la situación de extraordinaria y urgente necesidad, por lo que procede desestimar, en este punto, la cuestión de inconstitucionalidad planteada [FJ 5].</w:t>
      </w:r>
    </w:p>
    <w:p w:rsidR="0085709A" w:rsidRDefault="0085709A" w:rsidP="0085709A">
      <w:pPr>
        <w:pStyle w:val="Extracto"/>
      </w:pPr>
    </w:p>
    <w:p w:rsidR="0085709A" w:rsidRDefault="0085709A" w:rsidP="0085709A">
      <w:pPr>
        <w:pStyle w:val="Extracto"/>
      </w:pPr>
      <w:r>
        <w:t>2.</w:t>
      </w:r>
      <w:r>
        <w:tab/>
        <w:t>La definición de la extraordinaria y urgente necesidad es explícita, razonada y concreta, no se realiza mediante fórmulas rituales o genéricas, aplicables de modo intercambiable a todo tipo de realidades, sino por referencia concreta a una situación de recesión y de crisis económica y financiera, real y conocida, y a la exigencia de cumplimiento de unos compromisos internacionales de déficit igualmente notorios, que tienen por objeto atender a lo que cabe calificar como una “coyuntura económica problemática” [FJ 4].</w:t>
      </w:r>
    </w:p>
    <w:p w:rsidR="0085709A" w:rsidRDefault="0085709A" w:rsidP="0085709A">
      <w:pPr>
        <w:pStyle w:val="Extracto"/>
      </w:pPr>
    </w:p>
    <w:p w:rsidR="0085709A" w:rsidRDefault="0085709A" w:rsidP="0085709A">
      <w:pPr>
        <w:pStyle w:val="Extracto"/>
      </w:pPr>
      <w:r>
        <w:t>3.</w:t>
      </w:r>
      <w:r>
        <w:tab/>
        <w:t>La valoración de la extraordinaria y urgente necesidad de una medida puede ser independiente de su imprevisibilidad e, incluso, de que tenga su origen en la previa inactividad del propio Gobierno siempre que concurra efectivamente la excepcionalidad de la situación, dado que lo que importa no es tanto la causa de las circunstancias que justifican la legislación de urgencia como el hecho de que tales circunstancias efectivamente concurran (SSTC 11/2002, 39/2013) [FJ 5].</w:t>
      </w:r>
    </w:p>
    <w:p w:rsidR="0085709A" w:rsidRDefault="0085709A" w:rsidP="0085709A">
      <w:pPr>
        <w:pStyle w:val="Extracto"/>
      </w:pPr>
    </w:p>
    <w:p w:rsidR="0085709A" w:rsidRDefault="0085709A" w:rsidP="0085709A">
      <w:pPr>
        <w:pStyle w:val="Extracto"/>
      </w:pPr>
      <w:r>
        <w:t>4.</w:t>
      </w:r>
      <w:r>
        <w:tab/>
        <w:t>Doctrina constitucional sobre el presupuesto habilitante de la extraordinaria y urgente necesidad, para la adopción de Decretos-leyes, (SSTC 111/1983, 48/2015) [FJ 3].</w:t>
      </w:r>
    </w:p>
    <w:p w:rsidR="0085709A" w:rsidRDefault="0085709A" w:rsidP="0085709A">
      <w:pPr>
        <w:pStyle w:val="Extracto"/>
      </w:pPr>
    </w:p>
    <w:p w:rsidR="0085709A" w:rsidRDefault="0085709A" w:rsidP="0085709A">
      <w:pPr>
        <w:pStyle w:val="Extracto"/>
      </w:pPr>
      <w:r>
        <w:t>5.</w:t>
      </w:r>
      <w:r>
        <w:tab/>
        <w:t>Dado que cuando se aprobó el Real Decreto-ley 28/2012 por el que se deja en suspenso el efecto de actualización de las pensiones para el ejercicio de 2012, no existía una relación consagrada o agotada incorporada al patrimonio del pensionista, sino una mera expectativa, la norma cuestionada no incurre en un supuesto de retroactividad auténtica o de grado máximo prohibido por el art. 9.3 CE  (STC 49/2015)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y don Ricardo Enríquez Sancho,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7434-2013, planteada por la Sala de lo Social del Tribunal Superior de Justicia del País Vasco, en relación con el art. 2.1 del Real Decreto-ley 28/2012, de 30 de noviembre, de medidas de consolidación y garantía del sistema de la Seguridad Social. Han comparecido y formulado alegaciones el Abogado del Estado, el Fiscal General del Estado y la Letrada de la Administración de la Seguridad Social.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17 de diciembre de 2013 tuvo entrada en el Registro General de este Tribunal oficio de la Sala de lo Social del Tribunal Superior de Justicia del País Vasco, complementado por otro presentado el día 21 de enero de 2014, a los que se acompaña, junto con el testimonio de las actuaciones del procedimiento 248-2013, seguido ante el Juzgado de lo Social núm. 4 de Donostia-San Sebastián, el Auto de 3 de diciembre de 2013, en el que se acuerda plantear cuestión de inconstitucionalidad en relación con el art. 2.1 del Real Decreto-ley 28/2012, de 30 de noviembre, de medidas de consolidación y garantía del sistema del sistema de Seguridad Social, por posible vulneración de los arts. 9.3 y 86.1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presente cuestión de inconstitucionalidad son, sucintamente expuestos, los siguientes:</w:t>
      </w:r>
    </w:p>
    <w:p w:rsidR="0085709A" w:rsidRDefault="0085709A" w:rsidP="0085709A">
      <w:pPr>
        <w:pStyle w:val="TextoNormal"/>
      </w:pPr>
    </w:p>
    <w:p w:rsidR="0085709A" w:rsidRDefault="0085709A" w:rsidP="0085709A">
      <w:pPr>
        <w:pStyle w:val="TextoNormal"/>
      </w:pPr>
      <w:r>
        <w:t>a) El Juzgado de lo Social núm. 4 de San Sebastián dictó Sentencia, estimando la demanda interpuesta por D.R.F.P., reconociendo su derecho a percibir una paga única compensatoria por el desvío del índice de precios al consumo correspondiente al año 2012, calculada sobre un 2,9 por 100, así como que el abono de su pensión de jubilación para el año 2013 se incremente en un 2,9 por 100 sobre la pensión que venía percibiendo en el año 2012.</w:t>
      </w:r>
    </w:p>
    <w:p w:rsidR="0085709A" w:rsidRDefault="0085709A" w:rsidP="0085709A">
      <w:pPr>
        <w:pStyle w:val="TextoNormal"/>
      </w:pPr>
    </w:p>
    <w:p w:rsidR="0085709A" w:rsidRDefault="0085709A" w:rsidP="0085709A">
      <w:pPr>
        <w:pStyle w:val="TextoNormal"/>
      </w:pPr>
      <w:r>
        <w:t xml:space="preserve">b) Interpuesto recurso de suplicación contra la mencionada Sentencia, por el Instituto Nacional de la Seguridad Social y la Tesorería General de la Seguridad Social, la Sala de lo </w:t>
      </w:r>
      <w:r>
        <w:lastRenderedPageBreak/>
        <w:t>Social del Tribunal Superior de Justicia del País Vasco señaló para su deliberación y fallo el día 15 de octubre de 2013.</w:t>
      </w:r>
    </w:p>
    <w:p w:rsidR="0085709A" w:rsidRDefault="0085709A" w:rsidP="0085709A">
      <w:pPr>
        <w:pStyle w:val="TextoNormal"/>
      </w:pPr>
    </w:p>
    <w:p w:rsidR="0085709A" w:rsidRDefault="0085709A" w:rsidP="0085709A">
      <w:pPr>
        <w:pStyle w:val="TextoNormal"/>
      </w:pPr>
      <w:r>
        <w:t>c) Concluso el procedimiento y dentro del plazo para dictar Sentencia, el órgano judicial dictó una primera providencia de 16 de octubre de 2013, por la que acordó oír a las partes y al Ministerio Fiscal para que alegasen sobre la pertinencia de plantear cuestión de inconstitucionalidad en relación con el art. 2.1 del Real Decreto-ley 28/2012, por posible vulneración del art. 9.3 CE.</w:t>
      </w:r>
    </w:p>
    <w:p w:rsidR="0085709A" w:rsidRDefault="0085709A" w:rsidP="0085709A">
      <w:pPr>
        <w:pStyle w:val="TextoNormal"/>
      </w:pPr>
    </w:p>
    <w:p w:rsidR="0085709A" w:rsidRDefault="0085709A" w:rsidP="0085709A">
      <w:pPr>
        <w:pStyle w:val="TextoNormal"/>
      </w:pPr>
      <w:r>
        <w:t>Las dudas del órgano judicial se centran en que la norma citada ha dejado sin efecto la actualización de la pensión del actor prevista en el art. 48.1.2 del texto refundido de la Ley general de la Seguridad Social así como su pago en el año 2013. Esta duda se concreta en que el Real Decreto-ley entró en vigor el día 1 de diciembre de 2012, es decir, al día siguiente de que hubiera finalizado el período de devengo del pago único establecido en la norma. Tratándose, afirma la providencia, “de una percepción diferida en cuanto a su efectivo cobro, su supresión, cuando menos coyuntural, podría suponer una vulneración del art. 9.3 de la Constitución, que prevé la garantía de irretroactividad de las disposiciones restrictivas de derechos individuales”.</w:t>
      </w:r>
    </w:p>
    <w:p w:rsidR="0085709A" w:rsidRDefault="0085709A" w:rsidP="0085709A">
      <w:pPr>
        <w:pStyle w:val="TextoNormal"/>
      </w:pPr>
    </w:p>
    <w:p w:rsidR="0085709A" w:rsidRDefault="0085709A" w:rsidP="0085709A">
      <w:pPr>
        <w:pStyle w:val="TextoNormal"/>
      </w:pPr>
      <w:r>
        <w:t>El Ministerio Fiscal manifestó, en escrito de 29 de octubre de 2013, que no se oponía al planteamiento de la cuestión, sin perjuicio del informe que en su momento pudiera emitirse por el Fiscal General del Estado. La Letrada de la Administración de la Seguridad Social se opuso al planteamiento de la cuestión, señalando la existencia de un recurso de inconstitucionalidad interpuesto contra el precepto legal cuestionado e indicando la conveniencia de suspender la tramitación de los autos hasta el pronunciamiento del Tribunal Constitucional. La representación procesal de D.R.F.P. no formuló alegaciones.</w:t>
      </w:r>
    </w:p>
    <w:p w:rsidR="0085709A" w:rsidRDefault="0085709A" w:rsidP="0085709A">
      <w:pPr>
        <w:pStyle w:val="TextoNormal"/>
      </w:pPr>
    </w:p>
    <w:p w:rsidR="0085709A" w:rsidRDefault="0085709A" w:rsidP="0085709A">
      <w:pPr>
        <w:pStyle w:val="TextoNormal"/>
      </w:pPr>
      <w:r>
        <w:t>d) El 31 de octubre de 2013, el órgano judicial dictó una segunda providencia, concediendo un nuevo plazo de diez días a las partes y al Ministerio Fiscal, sobre la pertinencia de plantear cuestión de inconstitucionalidad también respecto de la eventual vulneración del art. 86.1 CE. Considera la providencia que el núcleo del debate consiste en dirimir si concurría el requisito de la extraordinaria y urgente necesidad exigido por el art. 86.1 CE, como presupuesto habilitante para el dictado del art. 2.1 del Real Decreto-ley 28/2012.</w:t>
      </w:r>
    </w:p>
    <w:p w:rsidR="0085709A" w:rsidRDefault="0085709A" w:rsidP="0085709A">
      <w:pPr>
        <w:pStyle w:val="TextoNormal"/>
      </w:pPr>
    </w:p>
    <w:p w:rsidR="0085709A" w:rsidRDefault="0085709A" w:rsidP="0085709A">
      <w:pPr>
        <w:pStyle w:val="TextoNormal"/>
      </w:pPr>
      <w:r>
        <w:t>Nuevamente, las representaciones del Ministerio Fiscal y de la Administración de la Seguridad Social presentaron alegaciones, en fechas 8 y 18 de noviembre, respectivamente, en el mismo sentido en que lo habían hecho con anterioridad.</w:t>
      </w:r>
    </w:p>
    <w:p w:rsidR="0085709A" w:rsidRDefault="0085709A" w:rsidP="0085709A">
      <w:pPr>
        <w:pStyle w:val="TextoNormal"/>
      </w:pPr>
    </w:p>
    <w:p w:rsidR="0085709A" w:rsidRDefault="0085709A" w:rsidP="0085709A">
      <w:pPr>
        <w:pStyle w:val="TextoNormal"/>
      </w:pPr>
      <w:r>
        <w:t>e) Por Auto de 3 de diciembre de 2013, la Sala de lo Social del Tribunal Superior de Justicia del País Vasco acordó plantear cuestión de inconstitucionalidad a fin de que el Tribunal Constitucional resuelva: a) “si la decisión de suspensión del pago único en el año 2012 para los pensionistas, que se contiene en el art. 2.1, vulnera lo dispuesto en el art. 86.1 de la Constitución, respecto de los presupuestos habilitantes para la regulación de la cuestión por el cauce del Decreto-Ley”; b) “si la decisión de suspensión del pago único en el año 2012, para los pensionistas, que se contiene en el art. 2.1, vulnera lo previsto en el art. 9.3 de la Constitución, respecto a la interdicción de retroactividad de las normas restrictivas de derechos individuales”.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Del contenido del Auto de 3 de diciembre de 2013, por el que se promueve la presente cuestión de inconstitucionalidad, interesa destacar lo siguiente.</w:t>
      </w:r>
    </w:p>
    <w:p w:rsidR="0085709A" w:rsidRDefault="0085709A" w:rsidP="0085709A">
      <w:pPr>
        <w:pStyle w:val="TextoNormal"/>
      </w:pPr>
    </w:p>
    <w:p w:rsidR="0085709A" w:rsidRDefault="0085709A" w:rsidP="0085709A">
      <w:pPr>
        <w:pStyle w:val="TextoNormal"/>
      </w:pPr>
      <w:r>
        <w:t>Tras recoger los antecedentes del caso y reproducir la norma cuestionada, la fundamentación del Auto se sustenta en la duda de si el actor tiene o no derecho a percibir lo que denomina “paga única compensatoria” por el desvío sufrido en el Índice de precios al consumo (IPC) durante el año 2012, por lo que la cuestión se plantea en relación con el núm. 1 del art. 2 del Real Decreto-ley 28/2012. Recuerda a continuación el régimen aplicable a las cuestiones de inconstitucionalidad y la necesidad de que la norma cuestionada sea la decisora de la cuestión a debate en el pleito.</w:t>
      </w:r>
    </w:p>
    <w:p w:rsidR="0085709A" w:rsidRDefault="0085709A" w:rsidP="0085709A">
      <w:pPr>
        <w:pStyle w:val="TextoNormal"/>
      </w:pPr>
    </w:p>
    <w:p w:rsidR="0085709A" w:rsidRDefault="0085709A" w:rsidP="0085709A">
      <w:pPr>
        <w:pStyle w:val="TextoNormal"/>
      </w:pPr>
      <w:r>
        <w:t>Hechas las anteriores precisiones, la Sala expone su primera duda de constitucionalidad, centrada en la vulneración del art. 86.1 CE, duda que se articula sobre la base de la doctrina sentada en la STC 68/2007, de 28 de marzo. Considera la Sala que ha de acreditarse la concurrencia de la situación de extraordinaria y urgente necesidad y la denominada conexión de sentido, esto es, la relación entre la necesidad y la medida adoptada para subvenir a la misma. Indica al respecto que los argumentos que justifican la urgencia, extraídos de la exposición de motivos de la norma, tienen un carácter genérico y previsible, en cuanto que la existencia de una crisis económica persistente y grave no puede convertirse en el presupuesto habilitador de cualquier actuación. Concluye su razonamiento el órgano judicial afirmando la inexistencia de una situación de urgencia y, por lo tanto, la ausencia de la necesidad de acudir a esta medida legislativa de carácter excepcional, dado que las necesidades de financiación de la Seguridad Social ya eran conocidas con antelación y lo mismo sucedía con las previsiones respecto del déficit público.</w:t>
      </w:r>
    </w:p>
    <w:p w:rsidR="0085709A" w:rsidRDefault="0085709A" w:rsidP="0085709A">
      <w:pPr>
        <w:pStyle w:val="TextoNormal"/>
      </w:pPr>
    </w:p>
    <w:p w:rsidR="0085709A" w:rsidRDefault="0085709A" w:rsidP="0085709A">
      <w:pPr>
        <w:pStyle w:val="TextoNormal"/>
      </w:pPr>
      <w:r>
        <w:t>En lo que a este motivo de inconstitucionalidad respecta, señala también la Sala la posible vulneración del art. 12.3 de la Carta Social Europea, como se desprende de la resolución del Comité Europeo de Derechos Sociales de 7 de diciembre de 2012 en la que, solventando una reclamación formulada por un sindicato griego sobre la supresión de pagas a los pensionistas, rechaza las razones de urgencia invocadas por el Gobierno griego, estimando necesario que se efectuaran estudios respecto de la necesidad de la medida para su posterior debate con los afectados a través de sus organizaciones.</w:t>
      </w:r>
    </w:p>
    <w:p w:rsidR="0085709A" w:rsidRDefault="0085709A" w:rsidP="0085709A">
      <w:pPr>
        <w:pStyle w:val="TextoNormal"/>
      </w:pPr>
    </w:p>
    <w:p w:rsidR="0085709A" w:rsidRDefault="0085709A" w:rsidP="0085709A">
      <w:pPr>
        <w:pStyle w:val="TextoNormal"/>
      </w:pPr>
      <w:r>
        <w:t>El segundo motivo de inconstitucionalidad que plantea el Auto se fundamenta en la vulneración del artículo 9.3 en su vertiente de irretroactividad de las disposiciones sancionadoras no favorables o restrictivas de derechos fundamentales; vulneración que se pone asimismo en relación con los señalado en los arts. 1.1, 41 y 50 CE. En este sentido, señala el órgano judicial que, conforme a la doctrina constitucional, una norma solamente es retroactiva cuando afecta a situaciones agotadas, de manera que debe distinguirse este supuesto de los efectos que la nueva norma pudiera tener sobre derechos pendientes, futuros o condicionados o meras expectativas de derecho. Entiende la Sala que nos encontramos, en el supuesto controvertido, ante una situación consolidada y agotada previamente, cuya supresión no pudo ser prevista por el destinatario, lo que implicaría la afectación de los principios de seguridad jurídica e interdicción de arbitrariedad. Reproduciendo el tenor literal del art. 48.1.2 del texto refundido de la Ley general de Seguridad Social, señala el órgano judicial que la paga allí regulada, aunque se configure como un pago único, se va generando día a día, por mor de su íntima conexión con el índice de precios al consumo, “o como mucho mes a mes, y coincidiendo su cálculo por el INE”.</w:t>
      </w:r>
    </w:p>
    <w:p w:rsidR="0085709A" w:rsidRDefault="0085709A" w:rsidP="0085709A">
      <w:pPr>
        <w:pStyle w:val="TextoNormal"/>
      </w:pPr>
    </w:p>
    <w:p w:rsidR="0085709A" w:rsidRDefault="0085709A" w:rsidP="0085709A">
      <w:pPr>
        <w:pStyle w:val="TextoNormal"/>
      </w:pPr>
      <w:r>
        <w:t>Según el Auto, dicha paga tiene la naturaleza “de una prestación diferida y parangonable de alguna manera a las gratificaciones extraordinarias a las que se refiere el art. 31 ET”, sin que sea un pago graciable o discrecional para el Instituto Nacional del Seguridad Social. Argumenta al respecto que su período de generación y devengo finalizó el 30 de noviembre de 2012 y, a su vez, que el Real Decreto-ley 28/2012 entró en vigor el 1 de diciembre. Por tanto, entiende el órgano judicial que se aplicó un criterio retroactivo máximo para suspender la percepción de una paga que ya se tenía derecho a percibir en su totalidad, y que se había integrado en el patrimonio del recurrente. Finalmente, alude al recurso de inconstitucionalidad 1114-2013 interpuesto contra el mismo precepto, indicando que se remite a lo argumentado en el mismo, cuyas tesis afirma compartir.</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y por providencia de 25 de febrero de 2014, acordó admitir a trámite la presente cuestión de inconstitucionalidad; reservar para sí el conocimiento de la misma, de conformidad con lo dispuesto en el art. 10.1 c) de la Ley Orgánica del Tribunal Constitucional (LOTC); así como dar traslado de las actuaciones al Congreso de los Diputados y al Senado por conducto de sus Presidentes, al Gobierno por conducto del Ministerio de Justicia, y al Fiscal General del Estado,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El Presidente del Congreso de los Diputados, mediante escrito que tuvo entrada el 7 de marzo de 2014 en el Registro General del Tribunal, solicitó dar por personada a esa Cámara y por ofrecida su colaboración a los efectos del art. 88.1 LOTC.</w:t>
      </w:r>
    </w:p>
    <w:p w:rsidR="0085709A" w:rsidRDefault="0085709A" w:rsidP="0085709A">
      <w:pPr>
        <w:pStyle w:val="TextoNormal"/>
      </w:pPr>
    </w:p>
    <w:p w:rsidR="0085709A" w:rsidRDefault="0085709A" w:rsidP="0085709A">
      <w:pPr>
        <w:pStyle w:val="TextoNormal"/>
      </w:pPr>
      <w:r>
        <w:t>El Presidente del Senado, en escrito registrado el 12 de marzo de 2014, solicitó asimismo que se tuviera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t>El Letrado de la Administración de la Seguridad Social, actuando en nombre y representación del Instituto Nacional de la Seguridad Social y de la Tesorería General de la Seguridad Social, se personó en el presente procedimiento mediante escrito registrado el 13 de marzo de 2014.</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presentó su escrito de alegaciones el 20 de marzo de 2014, solicitando que se desestime íntegramente la presente cuestión.</w:t>
      </w:r>
    </w:p>
    <w:p w:rsidR="0085709A" w:rsidRDefault="0085709A" w:rsidP="0085709A">
      <w:pPr>
        <w:pStyle w:val="TextoNormal"/>
      </w:pPr>
    </w:p>
    <w:p w:rsidR="0085709A" w:rsidRDefault="0085709A" w:rsidP="0085709A">
      <w:pPr>
        <w:pStyle w:val="TextoNormal"/>
      </w:pPr>
      <w:r>
        <w:t xml:space="preserve">En primer término, y en lo que respecta a la alegada vulneración del art. 86.1 CE, tras una exposición de la doctrina constitucional en la materia, considera el Abogado del Estado que el canon de enjuiciamiento del presupuesto habilitante prescrito en el citado precepto constitucional, se ciñe a corregir una eventual valoración abusiva o arbitraria por parte de los poderes públicos de la necesidad concurrente; y, frente a lo alegado en el Auto de planteamiento, estima que los órganos políticos han cumplido con la exigencia de exteriorizar las razones de urgencia que legitiman la utilización de esta figura normativa y, además, esos </w:t>
      </w:r>
      <w:r>
        <w:lastRenderedPageBreak/>
        <w:t>motivos justifican la decisión de acudir al Real Decreto-ley. Según se deduce de su exposición de motivos, la norma controvertida se integra dentro de un conjunto de medidas adoptadas en atención a las circunstancias económicas y sociales del momento en que se dicta y con el objeto de salvaguardar la suficiencia y viabilidad del propio sistema de Seguridad Social. La primera medida adoptada consiste en acudir a las reservas del sistema para asegurar su sostenibilidad y la segunda, aquí discutida, es la suspensión de la aplicación del art. 48.1.1 y la de dejar sin efecto el art. 48.1.2 del texto refundido de la Ley general de Seguridad Social y correlativos del texto refundido de la Ley de clases pasivas del Estado. Pero esta medida de suspensión no impide la actualización de las pensiones con carácter general en un 1 por 100 y aquellas que no superen determinados límites económicos en un 2 por 100 para el año 2013.</w:t>
      </w:r>
    </w:p>
    <w:p w:rsidR="0085709A" w:rsidRDefault="0085709A" w:rsidP="0085709A">
      <w:pPr>
        <w:pStyle w:val="TextoNormal"/>
      </w:pPr>
    </w:p>
    <w:p w:rsidR="0085709A" w:rsidRDefault="0085709A" w:rsidP="0085709A">
      <w:pPr>
        <w:pStyle w:val="TextoNormal"/>
      </w:pPr>
      <w:r>
        <w:t>Recuerda el Abogado del Estado que no es la primera vez que se adopta la medida de suspensión de la actualización de las pensiones, cuyo antecedente se encuentra en el art. 4 del Real Decreto-ley 8/2010, que se basó en las mismas circunstancias económicas que hacían necesaria la adopción de tal medida para asegurar la sostenibilidad del sistema en aquel momento. Tras reproducir lo dispuesto en la memoria que acompaña a la norma, y lo señalado en el debate de convalidación de la misma en el Congreso de los Diputados, concluye que el Gobierno justificó ampliamente la situación de urgencia por la que se dicta el Real Decreto-ley, y considera que la medida de suspensión de la aplicación del art. 48.1.2 del texto refundido de la Ley general de Seguridad Social está directamente vinculada a la situación descrita por los órganos políticos, y encaminada a solventarla.</w:t>
      </w:r>
    </w:p>
    <w:p w:rsidR="0085709A" w:rsidRDefault="0085709A" w:rsidP="0085709A">
      <w:pPr>
        <w:pStyle w:val="TextoNormal"/>
      </w:pPr>
    </w:p>
    <w:p w:rsidR="0085709A" w:rsidRDefault="0085709A" w:rsidP="0085709A">
      <w:pPr>
        <w:pStyle w:val="TextoNormal"/>
      </w:pPr>
      <w:r>
        <w:t>En segundo lugar, y en lo que se refiere a la alegada vulneración del art. 9.3 CE, afirma el representante estatal que nuestro sistema de Seguridad Social está caracterizado constitucionalmente por consistir en una garantía institucional, que deja al legislador su configuración concreta, en atención a las circunstancias económicas y sociales imperativas para la propia viabilidad y eficacia de aquél (STC 37/1994, FJ 3). En este marco, la doctrina constitucional ha venido a interpretar en qué se refleja el contenido del art. 50 CE, relativo a la garantía asumida por los poderes públicos de suficiencia económica de los ciudadanos mediante pensiones adecuadas y periódicamente actualizadas, declarando que el derecho subjetivo y consolidado por el pago de cotizaciones no existe, y que la configuración de la pensión en cada momento deberá someterse a las circunstancias económicas y sociales en que se perciba.</w:t>
      </w:r>
    </w:p>
    <w:p w:rsidR="0085709A" w:rsidRDefault="0085709A" w:rsidP="0085709A">
      <w:pPr>
        <w:pStyle w:val="TextoNormal"/>
      </w:pPr>
    </w:p>
    <w:p w:rsidR="0085709A" w:rsidRDefault="0085709A" w:rsidP="0085709A">
      <w:pPr>
        <w:pStyle w:val="TextoNormal"/>
      </w:pPr>
      <w:r>
        <w:t xml:space="preserve">En tercer lugar, afirma el Abogado del Estado que, vista la definición de “derechos individuales”, que, a efectos de lo señalado en el art. 9.3 CE, ha efectuado la doctrina de este Tribunal (SSTC 43/1986, 112/2006, 99/1987, 100/1989 y 108/1986), es evidente que la actualización de las pensiones conforme al IPC del año en curso no constituye un derecho consolidado, integrado en el patrimonio del pensionista, sino una mera expectativa de derecho y, como mucho, un derecho condicionado a la fijación de su contenido por la Ley de presupuestos generales del año siguiente, si existe diferencia entre el IPC previsto y el acumulado a noviembre del ejercicio económico correspondiente. A su juicio, el art. 48.1.2 del texto refundido de la Ley general de Seguridad Social no establece una actualización automática de las pensiones, sino que la somete a un presupuesto: que exista una diferencia entre el IPC previsto en la actualización del año correspondiente recogida en la Ley general presupuestaria de dicho año, y el IPC acumulado a un mes concreto, noviembre del ejercicio en curso. Si se cumple ese presupuesto, podrán actualizarse las pensiones “de acuerdo con </w:t>
      </w:r>
      <w:r>
        <w:lastRenderedPageBreak/>
        <w:t>lo que establezca la respectiva Ley de Presupuestos Generales del Estado”; esto es, la actualización no es automática, sino que sólo podrá realizarse en los términos que fije la Ley general presupuestaria, por lo que se condiciona la existencia del derecho a que tal derecho se regule en la Ley general presupuestaria.</w:t>
      </w:r>
    </w:p>
    <w:p w:rsidR="0085709A" w:rsidRDefault="0085709A" w:rsidP="0085709A">
      <w:pPr>
        <w:pStyle w:val="TextoNormal"/>
      </w:pPr>
    </w:p>
    <w:p w:rsidR="0085709A" w:rsidRDefault="0085709A" w:rsidP="0085709A">
      <w:pPr>
        <w:pStyle w:val="TextoNormal"/>
      </w:pPr>
      <w:r>
        <w:t>Continúa señalando que así ha ocurrido cuando se han adoptado medidas presupuestarias destinadas a asegurar el mantenimiento del poder adquisitivo de las pensiones, y que ha sido en la Ley de presupuestos generales del Estado del año siguiente en la que se ha regulado en todos sus elementos esta revalorización, fijando el colectivo beneficiado, la cuantía y el momento de pago; cita como ejemplo la Ley de presupuestos generales para 2009 (Ley 2/2008).</w:t>
      </w:r>
    </w:p>
    <w:p w:rsidR="0085709A" w:rsidRDefault="0085709A" w:rsidP="0085709A">
      <w:pPr>
        <w:pStyle w:val="TextoNormal"/>
      </w:pPr>
    </w:p>
    <w:p w:rsidR="0085709A" w:rsidRDefault="0085709A" w:rsidP="0085709A">
      <w:pPr>
        <w:pStyle w:val="TextoNormal"/>
      </w:pPr>
      <w:r>
        <w:t>Rechaza asimismo el representante estatal que el derecho a la actualización se encuentre plenamente incorporado al patrimonio del pensionista en el momento de entrada en vigor del Real Decreto-ley 28/2012 (el 1 de diciembre), en cuanto la realidad del IPC a noviembre de 2012 no se conocía a 30 de noviembre, pues el mismo se hizo público a mediados del mes de diciembre. Por otro lado, reitera que la existencia de un diferencial entre el IPC previsto y el acumulado a noviembre del año en curso sólo es presupuesto necesario para que la Ley general presupuestaria pueda fijar una actualización, pero no determina el nacimiento de dicha actualización como derecho consolidado, que solo se producirá en la forma que fije la Ley general presupuestaria, cuando se determine en qué se concreta esa expectativa de actualización.</w:t>
      </w:r>
    </w:p>
    <w:p w:rsidR="0085709A" w:rsidRDefault="0085709A" w:rsidP="0085709A">
      <w:pPr>
        <w:pStyle w:val="TextoNormal"/>
      </w:pPr>
    </w:p>
    <w:p w:rsidR="0085709A" w:rsidRDefault="0085709A" w:rsidP="0085709A">
      <w:pPr>
        <w:pStyle w:val="TextoNormal"/>
      </w:pPr>
      <w:r>
        <w:t>Recuerda asimismo el Abogado del Estado, en relación con lo dispuesto en el art. 9.3 CE, que la medida eventualmente restrictiva de los derechos individuales, ha de tener, además, un “matiz sancionador”, circunstancia que no concurre en el supuesto que se examina, cuya única finalidad es garantizar la viabilidad y suficiencia del sistema de Seguridad Social, por lo que la medida estaría en todo caso amparada, en palabras del Tribunal Constitucional, en la existencia de “exigencias cualificadas de interés público de índole esencialmente económica”.</w:t>
      </w:r>
    </w:p>
    <w:p w:rsidR="0085709A" w:rsidRDefault="0085709A" w:rsidP="0085709A">
      <w:pPr>
        <w:pStyle w:val="TextoNormal"/>
      </w:pPr>
    </w:p>
    <w:p w:rsidR="0085709A" w:rsidRDefault="0085709A" w:rsidP="0085709A">
      <w:pPr>
        <w:pStyle w:val="TextoNormal"/>
      </w:pPr>
      <w:r w:rsidRPr="0085709A">
        <w:rPr>
          <w:rStyle w:val="NumeroAFNegritaCaracter"/>
        </w:rPr>
        <w:t>7</w:t>
      </w:r>
      <w:r>
        <w:t>. En fecha 26 de marzo de 2014 se registró en este Tribunal el escrito de alegaciones del Fiscal General del Estado, en el que interesa que se declare que el art. 2.1 del Real Decreto-ley 28/2012 es contrario al art. 9.3 CE.</w:t>
      </w:r>
    </w:p>
    <w:p w:rsidR="0085709A" w:rsidRDefault="0085709A" w:rsidP="0085709A">
      <w:pPr>
        <w:pStyle w:val="TextoNormal"/>
      </w:pPr>
    </w:p>
    <w:p w:rsidR="0085709A" w:rsidRDefault="0085709A" w:rsidP="0085709A">
      <w:pPr>
        <w:pStyle w:val="TextoNormal"/>
      </w:pPr>
      <w:r>
        <w:t xml:space="preserve">En primer término, y por lo que respecta a la posible vulneración de lo dispuesto en el art. 86.1 CE, recuerda el Fiscal que la regla general de la que parte la doctrina constitucional es la de que la urgencia y necesidad son conceptos cuya apreciación o concurrencia en el caso concreto, es consecuencia de un juicio valorativo puramente político y que por tanto compete a los órganos de gobierno; El control que corresponde al Tribunal Constitucional lo será sólo de los aspectos externos de la decisión, concretamente, que el Gobierno, al hacer uso de esa vía excepcional, haya justificado de forma explícita y razonada el porqué de su utilización, y la existencia de una conexión de sentido, es decir, la adecuación de las medidas adoptadas en la norma para solventar la situación que se pretende resolver. Dentro de este marco, afirma, el examen de la exposición de motivos de la norma permite constatar que el legislador explicita como causa justificativa de la misma la necesidad de salvaguardar el sistema de Seguridad Social que nació en el llamado “Pacto de Toledo”, con la creación de un fondo de reserva que actuara a modo de salvavidas de los fondos que garantizaran el </w:t>
      </w:r>
      <w:r>
        <w:lastRenderedPageBreak/>
        <w:t>pago de las pensiones, y que la necesidad de garantizar ese fondo justifica la adopción de unas medidas cuya adecuación no se cuestiona, y que son las de recurrir a dicho fondo, con la consiguiente merma del mismo que le hace peligrar para el futuro. Se añade, además, otra razón de peso: el necesario cumplimiento de los compromisos adquiridos por nuestra pertenencia a la Unión Europea, entre los que se encuentra el de cumplir con los objetivos de déficit público. Que esta situación fuera previsible —como señala el Auto de planteamiento— no quiere decir que pudiera tenerse en cuenta en todas sus circunstancias, pues, al contrario, lo ocurrido en los últimos años demuestra una actitud tendente a acudir a la reducción del gasto en pensiones, tras haber limitado ya los derechos económicos de otros colectivos menos vulnerables (congelación de sueldos de los funcionarios, suspensión de paga extraordinaria, etc.), lo que aporta razones suficientes para justificar una intervención sobre las pensiones.</w:t>
      </w:r>
    </w:p>
    <w:p w:rsidR="0085709A" w:rsidRDefault="0085709A" w:rsidP="0085709A">
      <w:pPr>
        <w:pStyle w:val="TextoNormal"/>
      </w:pPr>
    </w:p>
    <w:p w:rsidR="0085709A" w:rsidRDefault="0085709A" w:rsidP="0085709A">
      <w:pPr>
        <w:pStyle w:val="TextoNormal"/>
      </w:pPr>
      <w:r>
        <w:t>En cuanto al segundo requisito, la conexión de sentido entre la necesidad y la medida adoptada, tras afirmar que la misma no se desarrolla en absoluto en el Auto de planteamiento de la cuestión, considera que, aparte del genérico aseguramiento de la contención del déficit público, ésta se concreta en evitar la merma del fondo de reserva de la Seguridad Social por la vía de limitar el gasto en pensiones. Señala a este respecto que afectar a derechos económicos tan esenciales como la pensión, tanto las contributivas como las del régimen de clases pasivas, es especialmente doloroso, pero eso forma parte del fondo de la decisión que, como afirma la doctrina constitucional, queda al margen del control de constitucionalidad, perteneciendo al juicio político o de oportunidad.</w:t>
      </w:r>
    </w:p>
    <w:p w:rsidR="0085709A" w:rsidRDefault="0085709A" w:rsidP="0085709A">
      <w:pPr>
        <w:pStyle w:val="TextoNormal"/>
      </w:pPr>
    </w:p>
    <w:p w:rsidR="0085709A" w:rsidRDefault="0085709A" w:rsidP="0085709A">
      <w:pPr>
        <w:pStyle w:val="TextoNormal"/>
      </w:pPr>
      <w:r>
        <w:t>Analiza en segundo lugar el Fiscal General del Estado la duda planteada en relación con el art. 9.3 CE. Acudiendo a la doctrina constitucional fijada en relación con el art. 9.3 CE, lo primero que resalta es que no existe una imposibilidad de revisar las normas fiscales o económicas, de forma que no puede hablarse de un derecho a la congelación de esas normas, pues ello supondría impedir a los órganos de gobierno ejecutar una verdadera política económica. No obstante, considera que en el supuesto examinado se produce una vulneración de la retroactividad y lo hace respecto de dos reglas. La primera la de la fijación del incremento, para el año 2013, con arreglo al índice de precios al consumo, y del pago único compensatorio de la pérdida de poder adquisitivo durante el año 2012. A su juicio, en relación con la primera de estas reglas se produce una retroactividad impropia, ya que la suspensión busca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En este supuesto, el Gobierno se ha limitado a tomar una decisión que se inserta en la posibilidad de dictar normas que modifiquen la política fiscal o económica, en orden a solventar la grave crisis económica, y es por ello que el Tribunal Superior del País Vasco no cuestiona esta suspensión como infractora de la Constitución.</w:t>
      </w:r>
    </w:p>
    <w:p w:rsidR="0085709A" w:rsidRDefault="0085709A" w:rsidP="0085709A">
      <w:pPr>
        <w:pStyle w:val="TextoNormal"/>
      </w:pPr>
    </w:p>
    <w:p w:rsidR="0085709A" w:rsidRDefault="0085709A" w:rsidP="0085709A">
      <w:pPr>
        <w:pStyle w:val="TextoNormal"/>
      </w:pPr>
      <w:r>
        <w:t xml:space="preserve">Considera, sin embargo el Fiscal que la decisión de suspender la aplicación de la paga única que debería realizarse antes del 1 de abril de 2013, pero que se determina con arreglo al IPC comprendido en el 1 de diciembre de 2011 y el 30 de noviembre de 2012, teniendo en cuenta que el decreto entra en vigor el 1 de diciembre de 2012, sí podría estar incurriendo en un supuesto de retroactividad auténtica, ya que vincula efectos a un hecho ya consumado </w:t>
      </w:r>
      <w:r>
        <w:lastRenderedPageBreak/>
        <w:t>y consolidado. No puede considerarse un efecto de futuro por el hecho de que se haya diferido el pago hasta una fecha que no puede exceder el 1 de abril. Se trataría, por tanto, de un derecho económico consolidado, ya incorporado al patrimonio del perceptor de la pensión, y su privación se encuadraría en un supuesto de expropiación prohibida en el art. 33.3 CE. Concluye pues afirmando que la remisión que el art. 48  de la Ley general de la Seguridad Social (LGSS) hace a la Ley de presupuestos no puede considerarse una postergación del derecho a lo que determine esa Ley, ya que la actualización se produce de forma automática, cuando el Instituto Nacional de Estadística fija ese índice, limitándose la Ley presupuestaria a fijar el apunte contable.</w:t>
      </w:r>
    </w:p>
    <w:p w:rsidR="0085709A" w:rsidRDefault="0085709A" w:rsidP="0085709A">
      <w:pPr>
        <w:pStyle w:val="TextoNormal"/>
      </w:pPr>
    </w:p>
    <w:p w:rsidR="0085709A" w:rsidRDefault="0085709A" w:rsidP="0085709A">
      <w:pPr>
        <w:pStyle w:val="TextoNormal"/>
      </w:pPr>
      <w:r w:rsidRPr="0085709A">
        <w:rPr>
          <w:rStyle w:val="NumeroAFNegritaCaracter"/>
        </w:rPr>
        <w:t>8</w:t>
      </w:r>
      <w:r>
        <w:t>. El Letrado de la Administración de la Seguridad Social presentó escrito de alegaciones en fecha 11 de abril, en el que solicita la íntegra desestimación de la presente cuestión de inconstitucionalidad.</w:t>
      </w:r>
    </w:p>
    <w:p w:rsidR="0085709A" w:rsidRDefault="0085709A" w:rsidP="0085709A">
      <w:pPr>
        <w:pStyle w:val="TextoNormal"/>
      </w:pPr>
    </w:p>
    <w:p w:rsidR="0085709A" w:rsidRDefault="0085709A" w:rsidP="0085709A">
      <w:pPr>
        <w:pStyle w:val="TextoNormal"/>
      </w:pPr>
      <w:r>
        <w:t>Tras recordar la doctrina constitucional relativa lo dispuesto en el art. 86.1 CE, y proceder al examen pormenorizado de lo señalado en el preámbulo de la norma, en la memoria justificativa y en el debate de convalidación, afirma el Letrado que los poderes públicos, ante los problemas financieros del sistema público de pensiones y en general del sistema de Seguridad Social, han procedido a adoptar dos medidas urgentes: por un lado, ampliar las facultades de disposición del numerario del fondo de reserva de la Seguridad Social, modificando la ley a este respecto, y por otro, limitar la revalorización de las pensiones, suspendiendo la aplicación del art. 48.1.1 LGSS y dejando sin efecto el art. 48.1.2 de la misma norma. Ambas medidas vienen a redundar en el cumplimiento de los objetivos políticos de asegurar el equilibrio financiero del sistema, el mantenimiento del fondo de reserva en una cuantía razonable para hacer frente a necesidades y desequilibrios futuros, la observancia de los objetivos de déficit y el mantenimiento de un nivel de protección razonable. Una medida similar a ésta, consistente en la congelación de la revalorización de las pensiones, fue adoptada ya por el art. 4 del Real Decreto-ley 8/2010, siendo aceptada entonces la concurrencia de las razones de extraordinaria y urgente necesidad (ATC 179/2011, de 13 de diciembre).</w:t>
      </w:r>
    </w:p>
    <w:p w:rsidR="0085709A" w:rsidRDefault="0085709A" w:rsidP="0085709A">
      <w:pPr>
        <w:pStyle w:val="TextoNormal"/>
      </w:pPr>
    </w:p>
    <w:p w:rsidR="0085709A" w:rsidRDefault="0085709A" w:rsidP="0085709A">
      <w:pPr>
        <w:pStyle w:val="TextoNormal"/>
      </w:pPr>
      <w:r>
        <w:t>Considera el Letrado que el Gobierno ha explicitado suficientemente las razones de urgencia, que serían las derivadas del desequilibrio financiero del sistema de Seguridad Social, el agotamiento de otros instrumentos, tales como la utilización del fondo de prevención y rehabilitación y del fondo de reserva hasta el límite legal, la necesidad de esperar a conocer los datos adelantados del IPC que se deben tener en cuenta para la revalorización de las pensiones y, por último, la necesidad de equilibrar financieramente el sistema a fin de cumplir los objetivos del déficit.</w:t>
      </w:r>
    </w:p>
    <w:p w:rsidR="0085709A" w:rsidRDefault="0085709A" w:rsidP="0085709A">
      <w:pPr>
        <w:pStyle w:val="TextoNormal"/>
      </w:pPr>
    </w:p>
    <w:p w:rsidR="0085709A" w:rsidRDefault="0085709A" w:rsidP="0085709A">
      <w:pPr>
        <w:pStyle w:val="TextoNormal"/>
      </w:pPr>
      <w:r>
        <w:t xml:space="preserve">En relación con la llamada conexión de sentido, pone de relieve que el Auto de planteamiento circunscribe sus dudas al hecho de que las circunstancias económicas mencionadas podían haber sido previstas por el Gobierno y, en consecuencia haber adoptado las correspondientes medidas a través del procedimiento legislativo ordinario. En relación con ello, afirma que la doctrina constitucional (STC 11/2002) ya ha puesto de manifiesto que la imprevisibilidad de la situación no resulta imprescindible para que pueda apreciarse la existencia de una conexión de sentido; la apreciación del momento en que concurre la extraordinaria y urgente necesidad corresponde al Gobierno como sujeto político, lo que ha realizado en el momento en que, a su juicio, se han agotado los recursos disponibles, y conocidas </w:t>
      </w:r>
      <w:r>
        <w:lastRenderedPageBreak/>
        <w:t>determinadas claves macroeconómicas. El Gobierno construye su argumentación sobre datos constatables relativos a la situación de crisis económica y desempleo, mediante los que acredita la existencia de una situación de excepcional gravedad que legitima la utilización de este instrumento legislativo, como vía para incorporar con inmediatez las medidas cuestionadas, a través de un instrumento constitucionalmente legítimo para el tratamiento de coyunturas económicas problemáticas.</w:t>
      </w:r>
    </w:p>
    <w:p w:rsidR="0085709A" w:rsidRDefault="0085709A" w:rsidP="0085709A">
      <w:pPr>
        <w:pStyle w:val="TextoNormal"/>
      </w:pPr>
    </w:p>
    <w:p w:rsidR="0085709A" w:rsidRDefault="0085709A" w:rsidP="0085709A">
      <w:pPr>
        <w:pStyle w:val="TextoNormal"/>
      </w:pPr>
      <w:r>
        <w:t>En relación con la Decisión de 7 de diciembre de 2012, del Comité Europeo de Derechos Sociales, recuerda que la misma se dicta en un procedimiento de reclamación colectiva que no es de aplicación al Reino de España, al no haber suscrito la reforma del Tratado relativo al ejercicio de reclamaciones colectivas ante el Comité Europeo de Derechos Sociales; que la decisión se adopta en relación con unas reformas efectuadas por Grecia, que son radicalmente distintas de las adoptadas en España; y que las afirmaciones efectuadas por el Comité son retóricas, no sustantivas, realizadas en el contexto particular de Grecia y de la concreta acción del gobierno griego. Frente a ello, el Real Decreto-ley 28/2013 tiene como finalidad mantener y conservar el sistema de Seguridad Social y elevar progresivamente su nivel, siendo necesarias dichas medidas para el cumplimiento de la garantía institucional de la protección de las necesidades sociales, establecida en el art. 41 CE; garantía que se encuentra condicionada, como ha afirmado este Tribunal en su Sentencia 37/1994, a “las circunstancias económicas y sociales que son imperativas para la propia viabilidad y eficacia del sistema de la Seguridad Social”.</w:t>
      </w:r>
    </w:p>
    <w:p w:rsidR="0085709A" w:rsidRDefault="0085709A" w:rsidP="0085709A">
      <w:pPr>
        <w:pStyle w:val="TextoNormal"/>
      </w:pPr>
    </w:p>
    <w:p w:rsidR="0085709A" w:rsidRDefault="0085709A" w:rsidP="0085709A">
      <w:pPr>
        <w:pStyle w:val="TextoNormal"/>
      </w:pPr>
      <w:r>
        <w:t>Finalmente, y en lo que respecta a la alegada vulneración del art. 9.3 CE, afirma el Letrado que la regla establecida en el art. 48.1.2 LGSS se configura como una norma programática, cuya efectividad e imperatividad depende de la disposición normativa que se efectúe en la correspondiente Ley de presupuestos generales del Estado de cada ejercicio. El derecho a la revalorización de las pensiones de una determinada manera no constituye un derecho subjetivo consolidado, ni la aplicación de las reglas programáticas contenidas en el citado precepto de la Ley general de la Seguridad Social determinan el nacimiento de un derecho subjetivo perfecto, hasta que no se incorpore al ordenamiento jurídico a través de la Ley de presupuestos anual. Aún en el supuesto de que se reconociese por la Ley de presupuestos generales del Estado el devengo de la paga única controvertida, ésta se reconoce, se devenga y se perfecciona a partir del 1 de enero del ejercicio presupuestario al que se refiere la Ley de presupuestos que incorpora la paga, constituyendo la consideración de los meses de noviembre a noviembre, determinada en el art. 48.1.2 LGSS, un mero parámetro de cálculo de la desviación y que, en su caso se tendrá en cuenta.</w:t>
      </w:r>
    </w:p>
    <w:p w:rsidR="0085709A" w:rsidRDefault="0085709A" w:rsidP="0085709A">
      <w:pPr>
        <w:pStyle w:val="TextoNormal"/>
      </w:pPr>
    </w:p>
    <w:p w:rsidR="0085709A" w:rsidRDefault="0085709A" w:rsidP="0085709A">
      <w:pPr>
        <w:pStyle w:val="TextoNormal"/>
      </w:pPr>
      <w:r w:rsidRPr="0085709A">
        <w:rPr>
          <w:rStyle w:val="NumeroAFNegritaCaracter"/>
        </w:rPr>
        <w:t>9</w:t>
      </w:r>
      <w:r>
        <w:t>. Mediante providencia de 12 de mayo de 2015 se señaló para deliberación y votación de la presente Sentencia el día 14 de mayo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del Tribunal Superior de Justicia del País Vasco plantea cuestión de inconstitucionalidad, en relación con el art. 2.1 del Real Decreto-ley 28/2012, de 30 de noviembre, de medidas de consolidación y garantía del sistema de la Seguridad Social, precepto en el que se dispone:</w:t>
      </w:r>
    </w:p>
    <w:p w:rsidR="0085709A" w:rsidRDefault="0085709A" w:rsidP="0085709A">
      <w:pPr>
        <w:pStyle w:val="TextoNormal"/>
      </w:pPr>
    </w:p>
    <w:p w:rsidR="0085709A" w:rsidRDefault="0085709A" w:rsidP="0085709A">
      <w:pPr>
        <w:pStyle w:val="TextoNormal"/>
      </w:pPr>
      <w:r>
        <w:lastRenderedPageBreak/>
        <w:t>“Se deja sin efecto para el ejercicio 2012 la actualización de las pensiones en los términos previstos en el apartado 1.2 del art. 48 del texto refundido de la Ley General de la Seguridad Social, aprobado por Real Decreto Legislativo 1/1994, de 20 de junio, y en el párrafo segundo del apartado 1 del art. 27 del texto refundido de la Ley de Clases Pasivas del Estado, aprobado por Real Decreto legislativo 670/1987, de 30 de abril.”</w:t>
      </w:r>
    </w:p>
    <w:p w:rsidR="0085709A" w:rsidRDefault="0085709A" w:rsidP="0085709A">
      <w:pPr>
        <w:pStyle w:val="TextoNormal"/>
      </w:pPr>
    </w:p>
    <w:p w:rsidR="0085709A" w:rsidRDefault="0085709A" w:rsidP="0085709A">
      <w:pPr>
        <w:pStyle w:val="TextoNormal"/>
      </w:pPr>
      <w:r>
        <w:t>La cuestión de inconstitucionalidad se concreta, según se señala en el Auto de planteamiento, en la “decisión de suspensión del pago único en el año 2012 para los pensionistas, que se contiene en el art. 2.1 del Real Decreto-ley 28/2012”; esto es, en la suspensión de la denominada “paga única compensatoria”, prevista para el caso de que el Índice de precios al consumo (IPC) correspondiente al período comprendido entre noviembre del ejercicio anterior y noviembre del ejercicio económico en curso sea superior al IPC previsto. En síntesis, entiende la Sala que el art. 2.1 del Real Decreto-ley 28/2012 puede vulnerar, en primer término, el art. 9.3 CE, en su vertiente de interdicción de retroactividad de las disposiciones sancionadoras no favorables o restrictivas de derechos individuales, en cuanto la suspensión de actualización de las pensiones afectaría a un derecho subjetivo ya consolidado e integrado en el patrimonio de los pensionistas; y, en segundo lugar, el art. 86.1 CE, por falta de concurrencia del presupuesto de la “extraordinaria y urgente necesidad”, que habilita la utilización del instrumento normativo del decreto-ley.</w:t>
      </w:r>
    </w:p>
    <w:p w:rsidR="0085709A" w:rsidRDefault="0085709A" w:rsidP="0085709A">
      <w:pPr>
        <w:pStyle w:val="TextoNormal"/>
      </w:pPr>
    </w:p>
    <w:p w:rsidR="0085709A" w:rsidRDefault="0085709A" w:rsidP="0085709A">
      <w:pPr>
        <w:pStyle w:val="TextoNormal"/>
      </w:pPr>
      <w:r>
        <w:t>El Fiscal General del Estado interesa la estimación de la cuestión de inconstitucionalidad, conforme ha quedado expuesto en los antecedentes de la presente resolución. El Abogado del Estado y la Letrada de la Administración de la Seguridad Social solicitan su desestimación, por entender que el derecho a la actualización de las pensiones no estaba consolidado cuando se dictó el precepto cuestionado, y que la norma cumple los requisitos exigidos en el art. 86.1 CE.</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abordar los aspectos materiales planteados en la presente cuestión de inconstitucionalidad, debemos realizar algunas precisiones de carácter procesal.</w:t>
      </w:r>
    </w:p>
    <w:p w:rsidR="0085709A" w:rsidRDefault="0085709A" w:rsidP="0085709A">
      <w:pPr>
        <w:pStyle w:val="TextoNormal"/>
      </w:pPr>
    </w:p>
    <w:p w:rsidR="0085709A" w:rsidRDefault="0085709A" w:rsidP="0085709A">
      <w:pPr>
        <w:pStyle w:val="TextoNormal"/>
      </w:pPr>
      <w:r>
        <w:t>a) Como se ha expuesto en los antecedentes de la presente resolución, el trámite de audiencia a las partes, previo al planteamiento de la impugnación, y contemplado en el art. 35.2 de la Ley Orgánica del Tribunal Constitucional (LOTC), no se sustanció en una única providencia. Así, una vez concluso el procedimiento y dentro del plazo para dictar Sentencia, el órgano judicial dictó una primera providencia de 16 de octubre de 2013, por la que acordó oír a las partes y al Ministerio Fiscal, para que alegasen sobre la pertinencia de plantear la cuestión de inconstitucionalidad, por posible vulneración del art. 9.3 CE. Concluido dicho trámite, el órgano judicial dictó una segunda providencia, de 31 de octubre de 2013, concediendo un nuevo plazo de diez días a las partes y al Ministerio Fiscal, para que se pronunciasen sobre el planteamiento de la cuestión, en este caso, por la posible vulneración del art. 86.1 CE.</w:t>
      </w:r>
    </w:p>
    <w:p w:rsidR="0085709A" w:rsidRDefault="0085709A" w:rsidP="0085709A">
      <w:pPr>
        <w:pStyle w:val="TextoNormal"/>
      </w:pPr>
    </w:p>
    <w:p w:rsidR="0085709A" w:rsidRDefault="0085709A" w:rsidP="0085709A">
      <w:pPr>
        <w:pStyle w:val="TextoNormal"/>
      </w:pPr>
      <w:r>
        <w:t xml:space="preserve">La exigencia de un correcto desarrollo del trámite de alegaciones previo al planteamiento de la cuestión de inconstitucionalidad, ha sido reiteradamente puesto de manifiesto por este Tribunal, subrayando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w:t>
      </w:r>
      <w:r>
        <w:lastRenderedPageBreak/>
        <w:t>dicho proceso. En este sentido, hemos destacado también que el mismo no puede minimizarse, reduciéndolo a un simple trámite, carente de más transcendencia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w:t>
      </w:r>
    </w:p>
    <w:p w:rsidR="0085709A" w:rsidRDefault="0085709A" w:rsidP="0085709A">
      <w:pPr>
        <w:pStyle w:val="TextoNormal"/>
      </w:pPr>
    </w:p>
    <w:p w:rsidR="0085709A" w:rsidRDefault="0085709A" w:rsidP="0085709A">
      <w:pPr>
        <w:pStyle w:val="TextoNormal"/>
      </w:pPr>
      <w:r>
        <w:t>En el supuesto que se examina, la lectura del Auto de planteamiento y de la documentación que lo acompaña, permiten sostener que se ha dado cumplimiento a las exigencias derivadas del art. 35.2 de la Ley Orgánica. El hecho de que dicho trámite se haya llevado a cabo en dos providencias sucesivas, constituye una cuestión de índole formal que no ha venido a enervar el cumplimiento de lo señalado en el citado precepto de la Ley Orgánica, pues dicho trámite se concedió simultáneamente a las partes y al Ministerio Fiscal, los cuales tuvieron oportunidad de conocer, si bien de forma sucesiva, los términos de las dudas de constitucionalidad planteadas por el órgano judicial, así como exponer su criterio respecto a las eventuales vulneraciones de los arts. 9.3 y 86.1 CE. En consecuencia, en ambas providencias se ha venido a satisfacer el requisito inexcusable de especificar tanto los preceptos legales cuestionados como los preceptos constitucionales supuestamente vulnerados, permitiendo a las partes y al Ministerio Fiscal conocer con precisión, y simultáneamente, el planteamiento de inconstitucionalidad realizado por el órgano judicial, situarlo en sus exactos términos constitucionales y pronunciarse sobre él, por lo que la deficiencia formal señalada no impidió el correcto desarrollo de dicho trámite.</w:t>
      </w:r>
    </w:p>
    <w:p w:rsidR="0085709A" w:rsidRDefault="0085709A" w:rsidP="0085709A">
      <w:pPr>
        <w:pStyle w:val="TextoNormal"/>
      </w:pPr>
    </w:p>
    <w:p w:rsidR="0085709A" w:rsidRDefault="0085709A" w:rsidP="0085709A">
      <w:pPr>
        <w:pStyle w:val="TextoNormal"/>
      </w:pPr>
      <w:r>
        <w:t>b) Con carácter previo al examen de fondo, resulta necesario asimismo delimitar con precisión la duda de constitucionalidad planteada. En este sentido, han de excluirse las dudas relativas a la presunta vulneración de los arts. 1.1, 41 y 50 CE, dado que las mismas únicamente se mencionan en el Auto de planteamiento de la cuestión de inconstitucionalidad y no fueron sometidas a consideración de las partes, por lo que éstas no tuvieron ocasión de pronunciarse sobre las mismas. Y como hemos tenido ocasión de señalar,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 su reflexión sobre los mismos, pues ello es susceptible de desvirtuar el trámite de audiencia del art. 35.2” [por todas, STC 50/2015, de 5 de marzo, FJ 2 b)].</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En lo que respecta al fondo del asunto procede examinar, en primer término, la tacha de inconstitucionalidad relativa a la vulneración del art. 86.1 CE, que se imputa al art. 2.1 del Real Decreto-ley 28/2012, y que se fundamenta en la no concurrencia del presupuesto habilitante de la “extraordinaria y urgente necesidad” contemplada en el citado precepto constitucional, dado que resulta trasladable a este supuesto la doctrina establecida en el contexto del recurso de inconstitucionalidad, la cual ha venido entendiendo que la observancia de los requisitos exigidos en el art. 86.1 CE constituye un </w:t>
      </w:r>
      <w:r w:rsidRPr="0085709A">
        <w:rPr>
          <w:i/>
        </w:rPr>
        <w:t>prius</w:t>
      </w:r>
      <w:r>
        <w:t xml:space="preserve"> respecto de los aspectos sustantivos o materiales, y, en consecuencia, la inobservancia de los requisitos exigidos para la legislación de urgencia se alza como una infracción que sólo puede repararse, en su caso, con una declaración de inconstitucionalidad. Se trata de controlar si el ejercicio de la potestad reconocida al Gobierno por el art. 86.1 CE se realizó siguiendo los requisitos establecidos en dicho precepto constitucional y, por lo tanto, de velar por el recto ejercicio de la </w:t>
      </w:r>
      <w:r>
        <w:lastRenderedPageBreak/>
        <w:t>potestad de dictar decretos-leyes dentro del marco constitucional (por todas, STC 49/2015, de 5 de marzo, FJ 2).</w:t>
      </w:r>
    </w:p>
    <w:p w:rsidR="0085709A" w:rsidRDefault="0085709A" w:rsidP="0085709A">
      <w:pPr>
        <w:pStyle w:val="TextoNormal"/>
      </w:pPr>
    </w:p>
    <w:p w:rsidR="0085709A" w:rsidRDefault="0085709A" w:rsidP="0085709A">
      <w:pPr>
        <w:pStyle w:val="TextoNormal"/>
      </w:pPr>
      <w:r>
        <w:t>Así pues, debemos analizar si el ejercicio de este poder legislativo excepcional por parte del Gobierno está justificado en razones de extraordinaria y urgente necesidad, en los términos señalados por el mencionado precepto constitucional. Este Tribunal tiene al respecto una doctrina consolidada sobre el presupuesto que, según el art. 86.1 CE, habilita al Gobierno para dictar la legislación de urgencia que se manifiesta a través de la figura del decreto-ley, que puede resumirse en los siguientes postulados:</w:t>
      </w:r>
    </w:p>
    <w:p w:rsidR="0085709A" w:rsidRDefault="0085709A" w:rsidP="0085709A">
      <w:pPr>
        <w:pStyle w:val="TextoNormal"/>
      </w:pPr>
    </w:p>
    <w:p w:rsidR="0085709A" w:rsidRDefault="0085709A" w:rsidP="0085709A">
      <w:pPr>
        <w:pStyle w:val="TextoNormal"/>
      </w:pPr>
      <w:r>
        <w:t>El concepto de extraordinaria y urgente necesidad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(SSTC 96/2014, de 12 de junio, FJ 5, y 83/2014, de 29 de mayo, FJ 4, entre otras). Y, en este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cualquier otra, los poderes públicos se mueven dentro del marco trazado por la Constitución, de forma que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por invasión de las facultades reservadas a las Cortes Generales por la Constitución” (SSTC 100/2012, de 8 de mayo, FJ 8; 237/2012, de 13 de diciembre, FJ 4; 39/2013, de 14 de febrero, FJ 5, y 49/2015, de 5 de marzo, FJ 3, entre otras).</w:t>
      </w:r>
    </w:p>
    <w:p w:rsidR="0085709A" w:rsidRDefault="0085709A" w:rsidP="0085709A">
      <w:pPr>
        <w:pStyle w:val="TextoNormal"/>
      </w:pPr>
    </w:p>
    <w:p w:rsidR="0085709A" w:rsidRDefault="0085709A" w:rsidP="0085709A">
      <w:pPr>
        <w:pStyle w:val="TextoNormal"/>
      </w:pPr>
      <w:r>
        <w:t>En desarrollo de su competencia para controlar el uso abusivo o arbitrario del decreto-ley, este Tribunal ha venido así estableciendo que su función se limita a un “control externo”, que viene a verificar, pero no a sustituir el juicio político o de oportunidad que corresponde efectuar, en primer término, al Gobierno (titular constitucional de la potestad legislativa de urgencia) y, en segundo lugar, al Congreso (titular de la potestad de convalidar, derogar o tramitar el texto como proyecto de ley). El Tribunal controla de este modo que ese juicio político no desborde los límites de lo razonable, pero “el control jurídico de este requisito no debe suplantar a los órganos constitucionales que intervienen en la aprobación y convalidación de los Reales Decretos-Leyes” (SSTC 332/2005, de 15 de diciembre, FJ 5; 31/2011, de 17 de marzo, FJ 3; 39/2013, de 14 de febrero, FJ 5, y 12/2015, de 5 de febrero, FJ 3), pues, de hacerlo, “quedarían alterados los supuestos del orden constitucional democrático” (SSTC 111/1983, de 2 de diciembre, FJ 5, y 60/1986, de 20 de mayo, FJ 3).</w:t>
      </w:r>
    </w:p>
    <w:p w:rsidR="0085709A" w:rsidRDefault="0085709A" w:rsidP="0085709A">
      <w:pPr>
        <w:pStyle w:val="TextoNormal"/>
      </w:pPr>
    </w:p>
    <w:p w:rsidR="0085709A" w:rsidRDefault="0085709A" w:rsidP="0085709A">
      <w:pPr>
        <w:pStyle w:val="TextoNormal"/>
      </w:pPr>
      <w:r>
        <w:t xml:space="preserve">El control que corresponde al Tribunal es, pues, un control jurisdiccional </w:t>
      </w:r>
      <w:r w:rsidRPr="0085709A">
        <w:rPr>
          <w:i/>
        </w:rPr>
        <w:t>ex post</w:t>
      </w:r>
      <w:r>
        <w:t xml:space="preserve"> y tiene la naturaleza, además, de control externo, jurídico, y no de oportunidad política ni de excelencia técnica, para no invalidar de forma innecesaria, ni sustituir el juicio político que sobre la concurrencia de dicho presupuesto habilitante corresponde efectuar al Gobierno y al Congreso de los Diputados “en ejercicio de la función de control parlamentario (art. 86.2 CE)” (STC 137/2011, de 14 de septiembre, FJ 4).</w:t>
      </w:r>
    </w:p>
    <w:p w:rsidR="0085709A" w:rsidRDefault="0085709A" w:rsidP="0085709A">
      <w:pPr>
        <w:pStyle w:val="TextoNormal"/>
      </w:pPr>
    </w:p>
    <w:p w:rsidR="0085709A" w:rsidRDefault="0085709A" w:rsidP="0085709A">
      <w:pPr>
        <w:pStyle w:val="TextoNormal"/>
      </w:pPr>
      <w:r>
        <w:lastRenderedPageBreak/>
        <w:t>Nuestra doctrina ha señalado también que la Constitución ha adoptado “una solución flexible y matizada respecto del fenómeno del real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(SSTC 6/1983, de 4 de febrero, FJ 5; 237/2012, de 13 de diciembre, FJ 3, y 48/2015, FJ 3). Y en este contexto, nuestra jurisprudencia ha venido admitiendo reiteradamente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(STC 183/2014, FJ 4).</w:t>
      </w:r>
    </w:p>
    <w:p w:rsidR="0085709A" w:rsidRDefault="0085709A" w:rsidP="0085709A">
      <w:pPr>
        <w:pStyle w:val="TextoNormal"/>
      </w:pPr>
    </w:p>
    <w:p w:rsidR="0085709A" w:rsidRDefault="0085709A" w:rsidP="0085709A">
      <w:pPr>
        <w:pStyle w:val="TextoNormal"/>
      </w:pPr>
      <w:r>
        <w:t>El juicio sobre la regularidad constitucional de la cláusula de la “extraordinaria y urgente necesidad” ha de superar, en todo caso, un doble canon (por todas STC 39/2013, de 14 de diciembre, FJ 5, y jurisprudencia allí citada). El primero, tal y como recordamos en la STC 237/2012, de 13 de diciembre, consiste en la identificación por el Gobierno de manera explícita y razonada de la concurrencia de esa singular situación, la extraordinaria y urgente necesidad, determinante de la aparición del presupuesto que le habilita para dictar con carácter excepcional una normas dotadas de los atributos, del rango y la fuerza propios de las leyes formales. El segundo canon se concreta en la existencia de una conexión de sentido o relación de adecuación entre ese presupuesto habilitante y las medidas contenidas en la norma de urgencia, de modo que éstas han de guardar una relación directa o de congruencia con la situación que se trata de afrontar.</w:t>
      </w:r>
    </w:p>
    <w:p w:rsidR="0085709A" w:rsidRDefault="0085709A" w:rsidP="0085709A">
      <w:pPr>
        <w:pStyle w:val="TextoNormal"/>
      </w:pPr>
    </w:p>
    <w:p w:rsidR="0085709A" w:rsidRDefault="0085709A" w:rsidP="0085709A">
      <w:pPr>
        <w:pStyle w:val="TextoNormal"/>
      </w:pPr>
      <w:r>
        <w:t xml:space="preserve">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la valoración conjunta de todos aquellos factores que determinaron al Gobierno a dictar la disposición legal excepcional, y que son, básicamente, los que quedan reflejados en la exposición de motivos de la norma, a lo largo del debate parlamentario de su convalidación, y en el propio expediente de elaboración de la misma (SSTC 29/1982, de 31 de mayo, FJ 4; 182/1997, de 28 de octubre, FJ 4; 11/2002, de 17 de enero, FJ 4, y 137/2003, de 3 de julio, FJ 3). Sin perjuicio de lo anterior, este Tribunal también ha exigido que, cuando se denuncia la vulneración del presupuesto habilitante, no de la totalidad de la norma, sino únicamente en relación con uno o alguno de sus preceptos, ha de analizarse preceptivamente la concurrencia de la necesaria justificación </w:t>
      </w:r>
      <w:r w:rsidRPr="0085709A">
        <w:rPr>
          <w:i/>
        </w:rPr>
        <w:t>ad casum</w:t>
      </w:r>
      <w:r>
        <w:t xml:space="preserve"> de la extraordinaria y urgente necesidad, en relación con los preceptos concretamente impugnados (SSTC 31/2011, de 17 de marzo, FJ 4; 137/2011, de 14 de septiembre, FJ 6; 170/2012, de 4 de octubre, FJ 5, y 29/2015, de 19 de febrero, FJ 3).</w:t>
      </w:r>
    </w:p>
    <w:p w:rsidR="0085709A" w:rsidRDefault="0085709A" w:rsidP="0085709A">
      <w:pPr>
        <w:pStyle w:val="TextoNormal"/>
      </w:pPr>
    </w:p>
    <w:p w:rsidR="0085709A" w:rsidRDefault="0085709A" w:rsidP="0085709A">
      <w:pPr>
        <w:pStyle w:val="TextoNormal"/>
      </w:pPr>
      <w:r>
        <w:t xml:space="preserve">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w:t>
      </w:r>
      <w:r>
        <w:lastRenderedPageBreak/>
        <w:t>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85709A" w:rsidRDefault="0085709A" w:rsidP="0085709A">
      <w:pPr>
        <w:pStyle w:val="TextoNormal"/>
      </w:pPr>
    </w:p>
    <w:p w:rsidR="0085709A" w:rsidRDefault="0085709A" w:rsidP="0085709A">
      <w:pPr>
        <w:pStyle w:val="TextoNormal"/>
      </w:pPr>
      <w:r w:rsidRPr="0085709A">
        <w:rPr>
          <w:rStyle w:val="NumeroAFNegritaCaracter"/>
        </w:rPr>
        <w:t>4</w:t>
      </w:r>
      <w:r>
        <w:t>. De acuerdo con la doctrina constitucional expuesta, hemos de examinar seguidamente si en el art. 2.1 del Real Decreto-ley 28/2012 concurre el presupuesto habilitante exigido por el art. 86.1 CE, procediendo a efectuar el análisis en los términos descritos en el fundamento precedente.</w:t>
      </w:r>
    </w:p>
    <w:p w:rsidR="0085709A" w:rsidRDefault="0085709A" w:rsidP="0085709A">
      <w:pPr>
        <w:pStyle w:val="TextoNormal"/>
      </w:pPr>
    </w:p>
    <w:p w:rsidR="0085709A" w:rsidRDefault="0085709A" w:rsidP="0085709A">
      <w:pPr>
        <w:pStyle w:val="TextoNormal"/>
      </w:pPr>
      <w:r>
        <w:t>En este sentido, y por lo que hace a la definición de la concurrencia del presupuesto habilitante, la exposición de motivos de la norma incluye una justificación explícita de las razones o motivos determinantes de la medida adoptada, afirmando:</w:t>
      </w:r>
    </w:p>
    <w:p w:rsidR="0085709A" w:rsidRDefault="0085709A" w:rsidP="0085709A">
      <w:pPr>
        <w:pStyle w:val="TextoNormal"/>
      </w:pPr>
    </w:p>
    <w:p w:rsidR="0085709A" w:rsidRDefault="0085709A" w:rsidP="0085709A">
      <w:pPr>
        <w:pStyle w:val="TextoNormal"/>
      </w:pPr>
      <w:r>
        <w:t>“Ante la incidencia de la crisis sobre el conjunto de las cuentas públicas, y en particular sobre el sistema de Seguridad Social, se han venido adoptando desde hace años un conjunto de medidas destinadas a asegurar la viabilidad económica de dicho sistema. Como continuación a las reformas ya aprobadas, el Gobierno ha comprometido un conjunto de medidas adicionales que profundizan en las reformas y se orientan al cumplimiento de las recomendaciones adoptadas para España en el Consejo Europeo celebrado los días 28 y 29 de junio de 2012.</w:t>
      </w:r>
    </w:p>
    <w:p w:rsidR="0085709A" w:rsidRDefault="0085709A" w:rsidP="0085709A">
      <w:pPr>
        <w:pStyle w:val="TextoNormal"/>
      </w:pPr>
    </w:p>
    <w:p w:rsidR="0085709A" w:rsidRDefault="0085709A" w:rsidP="0085709A">
      <w:pPr>
        <w:pStyle w:val="TextoNormal"/>
      </w:pPr>
      <w:r>
        <w:t>La crisis está suponiendo un elevado déficit del sistema de la Seguridad Social durante el ejercicio 2012, con las consiguientes tensiones de liquidez que se verán acentuadas en el próximo mes de diciembre de 2012, en el que han de abonarse dos mensualidades, ordinaria y extraordinaria, de pensiones en la Seguridad Social.</w:t>
      </w:r>
    </w:p>
    <w:p w:rsidR="0085709A" w:rsidRDefault="0085709A" w:rsidP="0085709A">
      <w:pPr>
        <w:pStyle w:val="TextoNormal"/>
      </w:pPr>
    </w:p>
    <w:p w:rsidR="0085709A" w:rsidRDefault="0085709A" w:rsidP="0085709A">
      <w:pPr>
        <w:pStyle w:val="TextoNormal"/>
      </w:pPr>
      <w:r>
        <w:t>… El actual Gobierno ha demostrado desde el comienzo su compromiso con la revalorización de las pensiones. De hecho, la primera medida que se adoptó en materia de pensiones fue la de actualizarlas en un uno por ciento …</w:t>
      </w:r>
    </w:p>
    <w:p w:rsidR="0085709A" w:rsidRDefault="0085709A" w:rsidP="0085709A">
      <w:pPr>
        <w:pStyle w:val="TextoNormal"/>
      </w:pPr>
    </w:p>
    <w:p w:rsidR="0085709A" w:rsidRDefault="0085709A" w:rsidP="0085709A">
      <w:pPr>
        <w:pStyle w:val="TextoNormal"/>
      </w:pPr>
      <w:r>
        <w:t>Ello ha supuesto un esfuerzo importante para nuestro sistema público de protección en un contexto en el cual la Seguridad Social ha tenido que acudir a sus reservas …. Esta circunstancia, unida a otras como la necesidad de cumplir con el objetivo del déficit público, obliga con carácter de extraordinaria y urgente necesidad a dejar sin efecto la actualización de las pensiones en el ejercicio 2012 y a suspender la revalorización de las pensiones para el ejercicio de 2013, en los términos previstos en el art. 48 del texto refundido de la Ley General de Seguridad Social, aprobado por Real Decreto Legislativo 1/1994, de 20 de junio y en el artículo 27 del texto refundido de la Ley de Clases Pasivas del Estado, aprobado por Real Decreto Legislativo 670/1987, de 30 de abril.”</w:t>
      </w:r>
    </w:p>
    <w:p w:rsidR="0085709A" w:rsidRDefault="0085709A" w:rsidP="0085709A">
      <w:pPr>
        <w:pStyle w:val="TextoNormal"/>
      </w:pPr>
    </w:p>
    <w:p w:rsidR="0085709A" w:rsidRDefault="0085709A" w:rsidP="0085709A">
      <w:pPr>
        <w:pStyle w:val="TextoNormal"/>
      </w:pPr>
      <w:r>
        <w:t>Asimismo, en el debate parlamentario de convalidación del Real Decreto-ley que nos ocupa, y cuyo contenido queda reflejado en el Diario de sesiones de la sesión plenaria núm. 77, de 13 de diciembre de 2012, la Ministra de Empleo y Seguridad Social vino a señalar que:</w:t>
      </w:r>
    </w:p>
    <w:p w:rsidR="0085709A" w:rsidRDefault="0085709A" w:rsidP="0085709A">
      <w:pPr>
        <w:pStyle w:val="TextoNormal"/>
      </w:pPr>
    </w:p>
    <w:p w:rsidR="0085709A" w:rsidRDefault="0085709A" w:rsidP="0085709A">
      <w:pPr>
        <w:pStyle w:val="TextoNormal"/>
      </w:pPr>
      <w:r>
        <w:lastRenderedPageBreak/>
        <w:t>“El real decreto que hoy debatimos debe enmarcarse, señorías, en el difícil contexto económico actual y a la vez en la inexcusable necesidad de que las administraciones públicas cumplan los objetivos de estabilidad presupuestaria. Este real decreto-ley atiende a las específicas circunstancias por las que atraviesan las cuentas de la Seguridad Social y a la indudable incidencia que la crisis económica tiene en nuestro modelo de pensiones. Es imprescindible, en primer lugar, considerar la caída de ingresos del sistema de Seguridad Social. La importante pérdida de ingresos provocada por la brusca caída de la afiliación en más de 2,5 millones de personas entre 2007 y 2011 y el encadenamiento de tres trimestres consecutivos con crecimiento económico negativo, ha provocado una disminución del 3,1 por 100 de la recaudación prevista para 2012 respecto de la realizada en 2011. Esta reducción de ingresos coincide a su vez con un fuerte incremento de los gastos, un incremento del número de jubilaciones en 2012 que afecta tanto a las jubilaciones realizadas en la edad en vigor, a los 65 años, con un incremento del 5,5 interanual, como —y muy especialmente— a las que se solicitan antes de la edad legal a través de jubilaciones anticipadas, que se están incrementando a un ritmo del 12,5 por 100 interanual.</w:t>
      </w:r>
    </w:p>
    <w:p w:rsidR="0085709A" w:rsidRDefault="0085709A" w:rsidP="0085709A">
      <w:pPr>
        <w:pStyle w:val="TextoNormal"/>
      </w:pPr>
    </w:p>
    <w:p w:rsidR="0085709A" w:rsidRDefault="0085709A" w:rsidP="0085709A">
      <w:pPr>
        <w:pStyle w:val="TextoNormal"/>
      </w:pPr>
      <w:r>
        <w:t>… la evolución del mercado de trabajo desde el comienzo de la crisis y el proceso paulatino de envejecimiento de la población están generando unas tensiones financieras al sistema que el Gobierno tiene la obligación de abordar. Estas circunstancias han provocado que el sistema arrojara ya en 2011 un déficit contable de 7.900 millones de euros.”</w:t>
      </w:r>
    </w:p>
    <w:p w:rsidR="0085709A" w:rsidRDefault="0085709A" w:rsidP="0085709A">
      <w:pPr>
        <w:pStyle w:val="TextoNormal"/>
      </w:pPr>
    </w:p>
    <w:p w:rsidR="0085709A" w:rsidRDefault="0085709A" w:rsidP="0085709A">
      <w:pPr>
        <w:pStyle w:val="TextoNormal"/>
      </w:pPr>
      <w:r>
        <w:t>Por lo que hace al tercer documento que este Tribunal puede tomar en consideración para realizar el examen de la concurrencia del presupuesto habilitante y valorar los motivos que llevaron al Gobierno a la aprobación de la norma, esto es, el expediente de elaboración del decreto-ley y, en concreto, la memoria de impacto normativo del proyecto de Real Decreto-ley, la misma viene a incidir y reiterar los argumentos expuestos por la Ministra en el debate de convalidación para justificar la necesidad y urgencia de la presente regulación:</w:t>
      </w:r>
    </w:p>
    <w:p w:rsidR="0085709A" w:rsidRDefault="0085709A" w:rsidP="0085709A">
      <w:pPr>
        <w:pStyle w:val="TextoNormal"/>
      </w:pPr>
    </w:p>
    <w:p w:rsidR="0085709A" w:rsidRDefault="0085709A" w:rsidP="0085709A">
      <w:pPr>
        <w:pStyle w:val="TextoNormal"/>
      </w:pPr>
      <w:r>
        <w:t>“[L]a incidencia de la crisis sobre el conjunto de las cuentas públicas … ha supuesto para el sistema de Seguridad Social una continua disminución del número de cotizantes, que se ha reflejado de modo directo en una disminución de las cuotas recaudadas, las cuales constituyen el principal recurso económico del sistema, desembocando en que en el ejercicio 2012 sea preciso acudir al aludido Fondo de Reserva para el pago de las pensiones de la Seguridad Social, por primera vez desde su creación en el año 2003.</w:t>
      </w:r>
    </w:p>
    <w:p w:rsidR="0085709A" w:rsidRDefault="0085709A" w:rsidP="0085709A">
      <w:pPr>
        <w:pStyle w:val="TextoNormal"/>
      </w:pPr>
    </w:p>
    <w:p w:rsidR="0085709A" w:rsidRDefault="0085709A" w:rsidP="0085709A">
      <w:pPr>
        <w:pStyle w:val="TextoNormal"/>
      </w:pPr>
      <w:r>
        <w:t>Igualmente, por lo que se refiere al sistema de Clases Pasivas del Estado, la incidencia de la crisis se ha hecho notar en un aumento de los gastos del Estado para hacer frente al pago de las pensiones a su cargo, y una correlativa disminución de los ingresos públicos, pudiendo afectar todo ello el cumplimiento del objetivo de déficit para el ejercicio 2012 comprometido con la Comisión Europea.</w:t>
      </w:r>
    </w:p>
    <w:p w:rsidR="0085709A" w:rsidRDefault="0085709A" w:rsidP="0085709A">
      <w:pPr>
        <w:pStyle w:val="TextoNormal"/>
      </w:pPr>
    </w:p>
    <w:p w:rsidR="0085709A" w:rsidRDefault="0085709A" w:rsidP="0085709A">
      <w:pPr>
        <w:pStyle w:val="TextoNormal"/>
      </w:pPr>
      <w:r>
        <w:t>Los antecedentes expuestos son explicativos de la imposibilidad actual de cumplir en sus propios términos lo dispuesto en el artículo 48.1 de la Ley General de Seguridad Social, como en el art. 27 de la Ley de Clases Pasivas del Estado, por lo que es necesario dejar sin efecto para el ejercicio 2012 la actualización de las pensiones en los términos previstos en los apartados 48.1.2 de la Ley General de Seguridad Social y 21.1, párrafo segundo de la Ley de Clases Pasivas del Estado.”</w:t>
      </w:r>
    </w:p>
    <w:p w:rsidR="0085709A" w:rsidRDefault="0085709A" w:rsidP="0085709A">
      <w:pPr>
        <w:pStyle w:val="TextoNormal"/>
      </w:pPr>
    </w:p>
    <w:p w:rsidR="0085709A" w:rsidRDefault="0085709A" w:rsidP="0085709A">
      <w:pPr>
        <w:pStyle w:val="TextoNormal"/>
      </w:pPr>
      <w:r>
        <w:lastRenderedPageBreak/>
        <w:t>La motivación ofrecida en la exposición de motivos de la norma, desarrollada por la Ministra en el debate parlamentario de convalidación y contenida en la memoria de impacto normativo que acompaña al proyecto, permite afirmar que el Gobierno ha justificado de manera suficiente, explícita y razonada, que son los desequilibrios financieros del sistema público de pensiones, y, en general del sistema de Seguridad Social, los que han determinado la adopción de dos medidas urgentes vinculadas entre sí: en primer lugar, ampliar las facultades de disposición sobre el fondo de reserva de la Seguridad Social; y, en segundo término, dejar sin efecto la actualización de la pensión para el año 2012, y suspender la revalorización para el año 2013, en los términos previstos en el art. 48.1.1 de la Ley general de Seguridad Social. Ambas medidas tendrían pues una naturaleza complementaria, en cuanto pretenden cumplir el objetivo político de asegurar el reequilibrio financiero del sistema, y hacer frente al cumplimiento de los objetivos de déficit. Así, por un lado, se garantiza el pago de las pensiones a todos los pensionistas mediante la flexibilización de los límites establecidos para disponer del fondo de reserva, con el fin de hacer frente a los déficits de las prestaciones; y, por otro lado, se adoptan medidas de limitación del gasto, tras conocer el IPC adelantado a noviembre de 2012, esto es, en el momento en que es posible determinar la incidencia del mismo en la evolución del déficit público, con la finalidad de hacer posible el cumplimiento del objetivo político de asegurar el equilibrio económico del sistema de Seguridad Social, que permita hacer frente a las necesidades futuras, al cumplimiento de los compromisos de déficit y a la garantía de un nivel de protección razonable.</w:t>
      </w:r>
    </w:p>
    <w:p w:rsidR="0085709A" w:rsidRDefault="0085709A" w:rsidP="0085709A">
      <w:pPr>
        <w:pStyle w:val="TextoNormal"/>
      </w:pPr>
    </w:p>
    <w:p w:rsidR="0085709A" w:rsidRDefault="0085709A" w:rsidP="0085709A">
      <w:pPr>
        <w:pStyle w:val="TextoNormal"/>
      </w:pPr>
      <w:r>
        <w:t>Podemos concluir pues, que la definición de la extraordinaria y urgente necesidad, que justifica la aprobación de la norma controvertida, es explícita, razonada y concreta, no se realiza mediante fórmulas rituales o genéricas, aplicables de modo intercambiable a todo tipo de realidades, sino por referencia concreta a una situación de recesión y de crisis económica y financiera, real y conocida, y a la exigencia de cumplimiento de unos compromisos internacionales de déficit igualmente notorios, que tienen por objeto atender a lo que cabe calificar como una “coyuntura económica problemática”, —en los términos expresamente aceptados por la doctrina constitucional—, concretada, en lo que hace a la presente impugnación, en las consecuencias económicas derivadas de un aumento del número de pensionistas que ha ido en paralelo a una disminución de las cotizaciones, y que hace preciso, para evitar el crecimiento del déficit, la adopción de medidas de disminución del gasto público, entre las que se insertan las previstas en el precepto objeto de la presente impugnación. A la vista de lo expuesto, cabe dar por satisfecho el requisito de justificación de las razones de extraordinaria y urgente necesidad que han motivado la aprobación del art. 2.1 del Real Decreto-ley 28/2012 y, en consecuencia, el cumplimiento de lo dispuesto en el art. 86.1 CE.</w:t>
      </w:r>
    </w:p>
    <w:p w:rsidR="0085709A" w:rsidRDefault="0085709A" w:rsidP="0085709A">
      <w:pPr>
        <w:pStyle w:val="TextoNormal"/>
      </w:pPr>
    </w:p>
    <w:p w:rsidR="0085709A" w:rsidRDefault="0085709A" w:rsidP="0085709A">
      <w:pPr>
        <w:pStyle w:val="TextoNormal"/>
      </w:pPr>
      <w:r w:rsidRPr="0085709A">
        <w:rPr>
          <w:rStyle w:val="NumeroAFNegritaCaracter"/>
        </w:rPr>
        <w:t>5</w:t>
      </w:r>
      <w:r>
        <w:t>. Por lo que hace al requisito de la conexión de sentido entre la medida concretamente impugnada y la situación de urgencia que se pretende atender con su aprobación, este Tribunal entiende que la misma concurre en el supuesto sometido a examen.</w:t>
      </w:r>
    </w:p>
    <w:p w:rsidR="0085709A" w:rsidRDefault="0085709A" w:rsidP="0085709A">
      <w:pPr>
        <w:pStyle w:val="TextoNormal"/>
      </w:pPr>
    </w:p>
    <w:p w:rsidR="0085709A" w:rsidRDefault="0085709A" w:rsidP="0085709A">
      <w:pPr>
        <w:pStyle w:val="TextoNormal"/>
      </w:pPr>
      <w:r>
        <w:t xml:space="preserve">En efecto, la Sala se limita a alegar, a este respecto, que no concurren en el supuesto examinado, circunstancias de imprevisibilidad que hubieran justificado la legislación de urgencia, dado que el Gobierno era perfectamente conocedor de las exigencias sobre déficit público y de la evolución del mismo, así como de la situación de déficit del sistema, lo que implica la previsibilidad, y por tanto, la posibilidad de haber acudido a la aprobación de esta medida a través de los instrumentos legislativos ordinarios. Frente a esta alegación debe </w:t>
      </w:r>
      <w:r>
        <w:lastRenderedPageBreak/>
        <w:t>prevalecer, no obstante, nuestra doctrina, según la cual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concurran” (SSTC 11/2002, de 17 de enero, FJ 6; 137/2011, de 14 de septiembre, FJ 7; 1/2012, de 13 de enero, FJ 5; 39/2013, de 14 de febrero, FJ 5, y 142/2014, de 11 de septiembre, FJ 5), “no siendo necesario tampoco que la instrumentalización del Real Decreto-Ley se limite a las situaciones de fuerza mayor o de emergencia” (STC 68/2007, de 28 de marzo).</w:t>
      </w:r>
    </w:p>
    <w:p w:rsidR="0085709A" w:rsidRDefault="0085709A" w:rsidP="0085709A">
      <w:pPr>
        <w:pStyle w:val="TextoNormal"/>
      </w:pPr>
    </w:p>
    <w:p w:rsidR="0085709A" w:rsidRDefault="0085709A" w:rsidP="0085709A">
      <w:pPr>
        <w:pStyle w:val="TextoNormal"/>
      </w:pPr>
      <w:r>
        <w:t>En relación con la alegación relativa al contenido de la decisión de 7 de diciembre de 2012, del Comité Europeo de Derechos Sociales, baste decir que la cuestión aquí controvertida, esto es, el cumplimiento de los requisitos exigidos por nuestra Carta fundamental para el ejercicio por el Gobierno de la potestad de dictar decretos-leyes, debe ser exclusivamente resuelta conforme a lo dispuesto en el art. 86.1 CE.</w:t>
      </w:r>
    </w:p>
    <w:p w:rsidR="0085709A" w:rsidRDefault="0085709A" w:rsidP="0085709A">
      <w:pPr>
        <w:pStyle w:val="TextoNormal"/>
      </w:pPr>
    </w:p>
    <w:p w:rsidR="0085709A" w:rsidRDefault="0085709A" w:rsidP="0085709A">
      <w:pPr>
        <w:pStyle w:val="TextoNormal"/>
      </w:pPr>
      <w:r>
        <w:t>Más allá de las concretas objeciones expresamente formuladas por el órgano judicial, procede declarar, atendiendo a su contenido, que “la relación directa o de congruencia con la situación de necesidad que se trata de afrontar” (STC 182/1987, de 28 de octubre, FJ 3) concurre en el caso de la medida contemplada en el art. 2.1 del Real Decreto-ley 28/2012, pues resulta evidente que las pensiones públicas son una de las principales partidas de gasto público y, más específicamente, el mecanismo de actualización anual mediante el abono de la denominada paga única, constituye una partida sustancial en el importe de los gastos derivados del pago de las pensiones, cuya suspensión permite subvenir a la reducción de tales gastos con el objetivo último de contribuir al reequilibrio financiero del sistema, que justifica su adopción. No debemos olvidar en este sentido, que razones similares a las aquí expuestas, determinaron en el pasado la adopción de una medida análoga a la presente (Real Decreto-ley 8/2010), y este Tribunal apreció la concurrencia de la extraordinaria y urgente necesidad así como de la necesaria conexión de sentido, considerando que “siendo el objetivo principal de la norma introducir determinadas medidas urgentes y extraordinarias para la contención y reducción del déficit público,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 (ATC 179/2011, de 13 de diciembre, FJ 6).</w:t>
      </w:r>
    </w:p>
    <w:p w:rsidR="0085709A" w:rsidRDefault="0085709A" w:rsidP="0085709A">
      <w:pPr>
        <w:pStyle w:val="TextoNormal"/>
      </w:pPr>
    </w:p>
    <w:p w:rsidR="0085709A" w:rsidRDefault="0085709A" w:rsidP="0085709A">
      <w:pPr>
        <w:pStyle w:val="TextoNormal"/>
      </w:pPr>
      <w:r>
        <w:t xml:space="preserve">Por lo demás, la apreciación del momento en que concurre la extraordinaria y urgente necesidad corresponde al Gobierno como sujeto político, y se ha realizado, en el presente caso, una vez conocida la clave macroeconómica sustantiva, la evolución del IPC entre el 30 de noviembre de 2011 y el 30 de noviembre de 2012, y antes, por tanto, de la fecha en que se produce el devengo de la prestación, pues, de acuerdo con lo señalado en la STC 49/2015,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Estas razones avalan la inmediatez exigida para la utilización del procedimiento legislativo de urgencia, y el hecho de que el Real Decreto-ley se dicte, una vez conocida la </w:t>
      </w:r>
      <w:r>
        <w:lastRenderedPageBreak/>
        <w:t>diferencia entre el IPC real y el IPC previsto y con anterioridad a la perentoria fecha en que habría de producirse su consolidación en el patrimonio de los sujetos afectados.</w:t>
      </w:r>
    </w:p>
    <w:p w:rsidR="0085709A" w:rsidRDefault="0085709A" w:rsidP="0085709A">
      <w:pPr>
        <w:pStyle w:val="TextoNormal"/>
      </w:pPr>
    </w:p>
    <w:p w:rsidR="0085709A" w:rsidRDefault="0085709A" w:rsidP="0085709A">
      <w:pPr>
        <w:pStyle w:val="TextoNormal"/>
      </w:pPr>
      <w:r>
        <w:t>Hemos de concluir, por todo lo señalado, que en el caso del art. 2.1 del Real Decreto-ley 28/2012, objeto de la presente cuestión de inconstitucionalidad, el Gobierno ha aportado justificación suficiente, que permite apreciar la existencia de la situación habilitante exigida por el art. 86.1 CE, y que la medida adoptada guarda conexión de sentido en relación a la situación de extraordinaria y urgente necesidad, por lo que procede desestimar, en este punto, la cuestión de inconstitucionalidad planteada.</w:t>
      </w:r>
    </w:p>
    <w:p w:rsidR="0085709A" w:rsidRDefault="0085709A" w:rsidP="0085709A">
      <w:pPr>
        <w:pStyle w:val="TextoNormal"/>
      </w:pPr>
    </w:p>
    <w:p w:rsidR="0085709A" w:rsidRDefault="0085709A" w:rsidP="0085709A">
      <w:pPr>
        <w:pStyle w:val="TextoNormal"/>
      </w:pPr>
      <w:r w:rsidRPr="0085709A">
        <w:rPr>
          <w:rStyle w:val="NumeroAFNegritaCaracter"/>
        </w:rPr>
        <w:t>6</w:t>
      </w:r>
      <w:r>
        <w:t>. En relación a la segunda de las dudas de constitucionalidad planteadas por el órgano judicial, que versa sobre la supuesta vulneración del art. 9.3 CE por el art. 2.1 del Real Decreto-ley 28/2012, baste señalar que dicha duda ha sido ya resuelta por este Tribunal en la reciente STC 49/2015, de 5 de marzo, a cuya doctrina hemos de remitirnos, en la que hemos declarado que el art. 2.1 del Real Decreto-ley 28/2012 no vulnera el art. 9.3 CE.</w:t>
      </w:r>
    </w:p>
    <w:p w:rsidR="0085709A" w:rsidRDefault="0085709A" w:rsidP="0085709A">
      <w:pPr>
        <w:pStyle w:val="TextoNormal"/>
      </w:pPr>
    </w:p>
    <w:p w:rsidR="0085709A" w:rsidRDefault="0085709A" w:rsidP="0085709A">
      <w:pPr>
        <w:pStyle w:val="TextoNormal"/>
      </w:pPr>
      <w:r>
        <w:t>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de la Ley general de la Seguridad Social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0085709A" w:rsidRDefault="0085709A" w:rsidP="0085709A">
      <w:pPr>
        <w:pStyle w:val="TextoNormal"/>
      </w:pPr>
    </w:p>
    <w:p w:rsidR="0085709A" w:rsidRDefault="0085709A" w:rsidP="0085709A">
      <w:pPr>
        <w:pStyle w:val="TextoNormal"/>
      </w:pPr>
      <w:r>
        <w:t xml:space="preserve">Sobre la base de esta doctrina constitucional, la STC 49/2015, de 4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w:t>
      </w:r>
      <w:r>
        <w:lastRenderedPageBreak/>
        <w:t>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La aplicación al presente supuesto de la citada doctrina constitucional determina que haya de desestimarse la cuestión de inconstitucionalidad planteada, en lo que respecta a la supuesta vulneración del art. 9.3 CE.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catorce de mayo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Fernando Valdés Dal-Ré a la Sentencia dictada en la cuestión de inconstitucionalidad núm. 7434-2013, y al que se adhieren la Magistrada doña Adela Asua Batarrita y el Magistrado don Juan Antonio Xiol Ríos.</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Pleno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catorce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99" w:name="SENTENCIA_2015_96"/>
      <w:r>
        <w:lastRenderedPageBreak/>
        <w:t>SENTENCIA 96/2015, de 25 de mayo de 2015</w:t>
      </w:r>
    </w:p>
    <w:bookmarkEnd w:id="99"/>
    <w:p w:rsidR="0085709A" w:rsidRDefault="0085709A" w:rsidP="0085709A">
      <w:pPr>
        <w:pStyle w:val="TtuloResolucin"/>
      </w:pPr>
      <w:r>
        <w:t>Sala Segunda</w:t>
      </w:r>
    </w:p>
    <w:p w:rsidR="0085709A" w:rsidRDefault="0085709A" w:rsidP="0085709A">
      <w:pPr>
        <w:pStyle w:val="TtuloBOE"/>
      </w:pPr>
      <w:r>
        <w:t>(BOE núm. 159, de 4 de julio de 2015)</w:t>
      </w:r>
    </w:p>
    <w:p w:rsidR="0085709A" w:rsidRDefault="0085709A" w:rsidP="0085709A">
      <w:pPr>
        <w:pStyle w:val="TextoNormalCentrado"/>
      </w:pPr>
      <w:r>
        <w:t>ECLI:ES:TC:2015:96</w:t>
      </w:r>
    </w:p>
    <w:p w:rsidR="0085709A" w:rsidRDefault="0085709A" w:rsidP="0085709A">
      <w:pPr>
        <w:pStyle w:val="TextoNormalCentrado"/>
      </w:pPr>
    </w:p>
    <w:p w:rsidR="0085709A" w:rsidRDefault="0085709A" w:rsidP="0085709A">
      <w:pPr>
        <w:pStyle w:val="SntesisDescriptiva"/>
      </w:pPr>
      <w:r>
        <w:t>Recurso de amparo 5619-2012. Promovido por General Yagüe 8, S.L., en relación con la inadmisión del incidente de nulidad de actuaciones que formuló frente a la Sentencia dictada por el Juzgado de lo Contencioso-Administrativo núm. 2 de Burgos desestimatoria del recurso interpuesto frente a resolución sancionadora dictada por la Junta de Castilla y León.</w:t>
      </w:r>
    </w:p>
    <w:p w:rsidR="0085709A" w:rsidRDefault="0085709A" w:rsidP="0085709A">
      <w:pPr>
        <w:pStyle w:val="SntesisDescriptiva"/>
      </w:pPr>
    </w:p>
    <w:p w:rsidR="0085709A" w:rsidRDefault="0085709A" w:rsidP="0085709A">
      <w:pPr>
        <w:pStyle w:val="SntesisAnaltica"/>
      </w:pPr>
      <w:r>
        <w:t>Vulneración del derecho a la tutela judicial efectiva (acceso al recurso): inadmisión sin motivación de un incidente de nulidad de actuaciones (STC 204/2014).</w:t>
      </w:r>
    </w:p>
    <w:p w:rsidR="0085709A" w:rsidRDefault="0085709A" w:rsidP="0085709A">
      <w:pPr>
        <w:pStyle w:val="SntesisAnaltica"/>
      </w:pPr>
    </w:p>
    <w:p w:rsidR="0085709A" w:rsidRDefault="0085709A" w:rsidP="0085709A">
      <w:pPr>
        <w:pStyle w:val="Extracto"/>
      </w:pPr>
      <w:r>
        <w:t>1.</w:t>
      </w:r>
      <w:r>
        <w:tab/>
        <w:t>En su resolución, el órgano judicial tendría que haber ofrecido una argumentación suficiente sobre los motivos de la no admisión a trámite del incidente de nulidad de actuaciones, por tanto la inadmisión de plano sin más explicación que la de no encontrarse la Sentencia incursa en el art. 241.1 de la Ley Orgánica del Poder Judicial, ofrece una</w:t>
      </w:r>
      <w:r w:rsidRPr="0085709A">
        <w:rPr>
          <w:i/>
        </w:rPr>
        <w:t xml:space="preserve"> ratio decidendi </w:t>
      </w:r>
      <w:r>
        <w:t>claramente errónea respecto a la resolución impugnada [FJ 3].</w:t>
      </w:r>
    </w:p>
    <w:p w:rsidR="0085709A" w:rsidRDefault="0085709A" w:rsidP="0085709A">
      <w:pPr>
        <w:pStyle w:val="Extracto"/>
      </w:pPr>
    </w:p>
    <w:p w:rsidR="0085709A" w:rsidRDefault="0085709A" w:rsidP="0085709A">
      <w:pPr>
        <w:pStyle w:val="Extracto"/>
      </w:pPr>
      <w:r>
        <w:t>2.</w:t>
      </w:r>
      <w:r>
        <w:tab/>
        <w:t>Una deficiente tutela de los derechos denunciados por parte del órgano judicial puede dejar al recurrente sin protección en aquellos casos en los que las vulneraciones en las que supuestamente incurriera la resolución impugnada a través del incidente de nulidad de actuaciones, carecieran de trascendencia constitucional [FJ 2].</w:t>
      </w:r>
    </w:p>
    <w:p w:rsidR="0085709A" w:rsidRDefault="0085709A" w:rsidP="0085709A">
      <w:pPr>
        <w:pStyle w:val="Extracto"/>
      </w:pPr>
    </w:p>
    <w:p w:rsidR="0085709A" w:rsidRDefault="0085709A" w:rsidP="0085709A">
      <w:pPr>
        <w:pStyle w:val="Extracto"/>
      </w:pPr>
      <w:r>
        <w:t>3.</w:t>
      </w:r>
      <w:r>
        <w:tab/>
        <w:t>Doctrina sobre la función del incidente de nulidad de actuaciones como instrumento de tutela de los derechos fundamentales ante la jurisdicción ordinaria (SSTC 153/2012, 140/2014, 204/2014)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5619-2012, promovido por la entidad mercantil “General Yagüe 8, S.L.”, representada por el Procurador de los Tribunales don Fernando Ruíz de Velasco Martínez de Ercilla y asistida por el Letrado don Juan Antonio Gallego Cantero, contra la providencia del Juzgado de lo Contencioso-Administrativo núm. 2 de Burgos, de </w:t>
      </w:r>
      <w:r>
        <w:lastRenderedPageBreak/>
        <w:t>17 de julio de 2012, por la que se inadmitió el incidente de nulidad planteado frente a la Sentencia de dicho Juzgado de fecha 1 de septiembre de 2011, por la que se desestimaba recurso contencioso-administrativo interpuesto por la recurrente. Ha comparecido la Letrada de la Junta de Castilla y León. Ha intervenido el Ministerio Fiscal.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el día 27 de septiembre de 2012, don Fernando Ruíz de Velasco Martínez de Ercilla, Procurador de los Tribunales y de la entidad mercantil General Yagüe 8, S.L., interpuso recurso de amparo frente a la resolución a la que se ha hecho mención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 La demanda de amparo tiene su origen en los siguientes antecedentes:</w:t>
      </w:r>
    </w:p>
    <w:p w:rsidR="0085709A" w:rsidRDefault="0085709A" w:rsidP="0085709A">
      <w:pPr>
        <w:pStyle w:val="TextoNormal"/>
      </w:pPr>
    </w:p>
    <w:p w:rsidR="0085709A" w:rsidRDefault="0085709A" w:rsidP="0085709A">
      <w:pPr>
        <w:pStyle w:val="TextoNormal"/>
      </w:pPr>
      <w:r>
        <w:t>a) La entidad demandante interpuso recurso de apelación contra la Sentencia del Juzgado de lo Contencioso-Administrativo núm. 2 de Burgos, de 1 de septiembre de 2011, que desestimó el recurso contencioso-administrativo planteado contra una resolución de la Junta de Castilla y León que le había impuesto una multa de 800 € y la clausura de un establecimiento, del que es titular, por plazo de diez días. La Sala de lo Contencioso-Administrativo del Tribunal Superior de Justicia de Castilla y León declaró inadmisible el recurso de apelación en Sentencia de 4 de mayo de 2012, al considerar que la dictada por el Juzgado no era apelable por razón de la cuantía del asunto en el que había recaído.</w:t>
      </w:r>
    </w:p>
    <w:p w:rsidR="0085709A" w:rsidRDefault="0085709A" w:rsidP="0085709A">
      <w:pPr>
        <w:pStyle w:val="TextoNormal"/>
      </w:pPr>
    </w:p>
    <w:p w:rsidR="0085709A" w:rsidRDefault="0085709A" w:rsidP="0085709A">
      <w:pPr>
        <w:pStyle w:val="TextoNormal"/>
      </w:pPr>
      <w:r>
        <w:t xml:space="preserve">b) La entidad demandante promovió entonces incidente de nulidad de actuaciones frente a la Sentencia del Juzgado de lo Contencioso-Administrativo núm. 2 de Burgos; aducía la lesión de su derecho a la defensa causante de indefensión (art. 24 CE), del principio de igualdad (art. 14 CE), y del principio de seguridad jurídica (art. 9 CE); subsidiariamente alegaba también la incongruencia en la que, a su juicio, incurría la Sentencia. El órgano judicial, en providencia de 17 de julio de 2012, declaró que “a la vista del recurso de nulidad presentado y resultando que en el mismo no se pone de manifiesto defectos de forma que hayan causado indefensión ni violación de derechos fundamentales sino simplemente disconformidad con la interpretación que realiza el juzgador sobre determinados preceptos, procede </w:t>
      </w:r>
      <w:r w:rsidRPr="0085709A">
        <w:rPr>
          <w:i/>
        </w:rPr>
        <w:t>ex</w:t>
      </w:r>
      <w:r>
        <w:t xml:space="preserve"> artículo 228.1 LEC la inadmisión a trámite del mismo”.</w:t>
      </w:r>
    </w:p>
    <w:p w:rsidR="0085709A" w:rsidRDefault="0085709A" w:rsidP="0085709A">
      <w:pPr>
        <w:pStyle w:val="TextoNormal"/>
      </w:pPr>
    </w:p>
    <w:p w:rsidR="0085709A" w:rsidRDefault="0085709A" w:rsidP="0085709A">
      <w:pPr>
        <w:pStyle w:val="TextoNormal"/>
      </w:pPr>
      <w:r>
        <w:t>c) El recurso de amparo se dirige, exclusivamente, contra la citada providencia de 17 de julio de 2012 y pide que se revoque la misma, con reposición de las actuaciones al momento anterior al que fue dictada, a fin de obtener una resolución sobre las pretensiones instadas en el incidente formulado.</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La entidad demandante aduce que el incidente de nulidad de actuaciones que promovió fue inadmitido inmotivadamente por el Juzgado y que ello ha vulnerado su derecho a la tutela judicial efectiva. Explica que, dado que el incidente tiene como finalidad exclusiva la reparación de vulneraciones de derechos fundamentales susceptibles de amparo, su inadmisión indebida abre la vía a que la jurisdicción constitucional se pronuncie sobre aquéllas, que es sobre lo único que podría haberse pronunciado el órgano judicial ordinario de no haber inadmitido indebidamente el incidente. Se refiere en su demanda a la STC 153/2012, </w:t>
      </w:r>
      <w:r>
        <w:lastRenderedPageBreak/>
        <w:t>de 16 de julio, estimatoria de un recurso de amparo muy similar al presente, que fue interpuesto por el mismo Letrado y que se refiere a la misma supuesta lesión referida al mismo órgano judicial. Entiende que la providencia impugnada ha utilizado una resolución tipo, absolutamente inmotivada, pues vale para cualquier resolución, y sin que se haya hecho la menor reflexión ni referencia a ninguno de los motivos que debidamente argumentados se contenían en el incidente de nulidad de actuaciones. Por todo ello, vulnera los derechos y garantías recogidos en el art 24 CE.</w:t>
      </w:r>
    </w:p>
    <w:p w:rsidR="0085709A" w:rsidRDefault="0085709A" w:rsidP="0085709A">
      <w:pPr>
        <w:pStyle w:val="TextoNormal"/>
      </w:pPr>
    </w:p>
    <w:p w:rsidR="0085709A" w:rsidRDefault="0085709A" w:rsidP="0085709A">
      <w:pPr>
        <w:pStyle w:val="TextoNormal"/>
      </w:pPr>
      <w:r>
        <w:t>Finalmente, mediante otrosí, solicita que para el caso de otorgarse el amparo, se insta a que se resuelva sobre las vulneraciones que se denuncian en el incidente de nulidad, estimándose, en su caso, las pretensiones que en el mismo se contienen.</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9 de octubre de 2014, la Sección Tercera de este Tribunal acordó admitir a trámite la demanda y, a tenor de lo dispuesto en el art. 51 de la Ley Orgánica del Tribunal Constitucional (LOTC), interesar al Tribunal Superior de Justicia de Castilla y León para que, en el plazo de diez días, remitiera certificación o copia adverada de las actuaciones correspondientes al rollo de apelación núm. 21-2012. Asimismo, se interesó al Juzgado Contencioso-Administrativo núm. 2 de Burgos para que en el mismo plazo remitiera testimonio del procedimiento ordinario núm. 14-2010 y emplazara a quien hubiera sido parte en el procedimiento; se instó, además, a la Delegación territorial de la Junta de Castilla y León para que enviara testimonio del expediente sancionador núm. 120-2008. Por último, se requirió al Procurador don Fernando Ruíz de Velasco, para que aportara escritura original del poder, lo que cumplimentó el 20 de octubre de 2014.</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de 20 de noviembre de 2014, la Letrada de la Junta de Castilla y León, se personó en el presente proceso.</w:t>
      </w:r>
    </w:p>
    <w:p w:rsidR="0085709A" w:rsidRDefault="0085709A" w:rsidP="0085709A">
      <w:pPr>
        <w:pStyle w:val="TextoNormal"/>
      </w:pPr>
    </w:p>
    <w:p w:rsidR="0085709A" w:rsidRDefault="0085709A" w:rsidP="0085709A">
      <w:pPr>
        <w:pStyle w:val="TextoNormal"/>
      </w:pPr>
      <w:r>
        <w:t>Por diligencia de ordenación de la Secretaría de Justicia de la Sala Segunda de este Tribunal, de 21 de noviembre de 2014, se tuvo por personada a la Letrada de la Junta de Castilla y León; se tuvieron por recibidos los testimonios solicitados y, a tenor de lo dispuesto en el art. 52 LOTC, se dio vista de las actuaciones por un plazo común de veinte días al Ministerio Fiscal y a las partes personadas para que pudieran presentar las alegaciones que a su derecho convengan.</w:t>
      </w:r>
    </w:p>
    <w:p w:rsidR="0085709A" w:rsidRDefault="0085709A" w:rsidP="0085709A">
      <w:pPr>
        <w:pStyle w:val="TextoNormal"/>
      </w:pPr>
    </w:p>
    <w:p w:rsidR="0085709A" w:rsidRDefault="0085709A" w:rsidP="0085709A">
      <w:pPr>
        <w:pStyle w:val="TextoNormal"/>
      </w:pPr>
      <w:r w:rsidRPr="0085709A">
        <w:rPr>
          <w:rStyle w:val="NumeroAFNegritaCaracter"/>
        </w:rPr>
        <w:t>6</w:t>
      </w:r>
      <w:r>
        <w:t>. La Letrada de la Junta de Castilla y León cumplimentó el trámite conferido mediante escrito registrado en este Tribunal el 29 de diciembre de 2014, interesando la denegación del amparo solicitado.</w:t>
      </w:r>
    </w:p>
    <w:p w:rsidR="0085709A" w:rsidRDefault="0085709A" w:rsidP="0085709A">
      <w:pPr>
        <w:pStyle w:val="TextoNormal"/>
      </w:pPr>
    </w:p>
    <w:p w:rsidR="0085709A" w:rsidRDefault="0085709A" w:rsidP="0085709A">
      <w:pPr>
        <w:pStyle w:val="TextoNormal"/>
      </w:pPr>
      <w:r>
        <w:t>Entiende que el incidente de nulidad que la empresa recurrente interpuso no estaba suficientemente argumentado en cuanto a las supuestas lesiones de derechos fundamentales que imputaba a la Sentencia desestimatoria de su inicial recurso. Se limitaba a mencionar, sin más, la vulneración de los arts. 14, 24.1 y 120.3 CE pero no se concretaba en el incidente de nulidad por qué la Sentencia habría vulnerado todos esos derechos. Tampoco se especificaba qué conducta o en qué momento procesal se conculcaron los mismos; es por ello por lo que se rechazó el incidente, argumentando el órgano judicial que no se alegaban las vulneraciones concretas de derechos fundamentales sino, simplemente, meras discrepancias con la sentencia dictada.</w:t>
      </w:r>
    </w:p>
    <w:p w:rsidR="0085709A" w:rsidRDefault="0085709A" w:rsidP="0085709A">
      <w:pPr>
        <w:pStyle w:val="TextoNormal"/>
      </w:pPr>
    </w:p>
    <w:p w:rsidR="0085709A" w:rsidRDefault="0085709A" w:rsidP="0085709A">
      <w:pPr>
        <w:pStyle w:val="TextoNormal"/>
      </w:pPr>
      <w:r>
        <w:t>Por último, se opone a lo solicitado mediante otrosí en la demanda de amparo relativo a las supuestas quejas de fondo planteadas a través del incidente de nulidad, puesto que la única resolución judicial recurrida en amparo es la providencia que inadmite el incidente de nulidad.</w:t>
      </w:r>
    </w:p>
    <w:p w:rsidR="0085709A" w:rsidRDefault="0085709A" w:rsidP="0085709A">
      <w:pPr>
        <w:pStyle w:val="TextoNormal"/>
      </w:pPr>
    </w:p>
    <w:p w:rsidR="0085709A" w:rsidRDefault="0085709A" w:rsidP="0085709A">
      <w:pPr>
        <w:pStyle w:val="TextoNormal"/>
      </w:pPr>
      <w:r w:rsidRPr="0085709A">
        <w:rPr>
          <w:rStyle w:val="NumeroAFNegritaCaracter"/>
        </w:rPr>
        <w:t>7</w:t>
      </w:r>
      <w:r>
        <w:t>. El Ministerio Fiscal cumplimentó el trámite con fecha 22 de enero de 2015, interesando la estimación de la demanda.</w:t>
      </w:r>
    </w:p>
    <w:p w:rsidR="0085709A" w:rsidRDefault="0085709A" w:rsidP="0085709A">
      <w:pPr>
        <w:pStyle w:val="TextoNormal"/>
      </w:pPr>
    </w:p>
    <w:p w:rsidR="0085709A" w:rsidRDefault="0085709A" w:rsidP="0085709A">
      <w:pPr>
        <w:pStyle w:val="TextoNormal"/>
      </w:pPr>
      <w:r>
        <w:t>Como punto de partida, considera el Ministerio público que es preciso delimitar el objeto del recurso de amparo, que no puede ser otro, a su juicio, que la providencia impugnada que inadmite el incidente de nulidad intentado por la parte recurrente. Descarta de este modo que el Tribunal pueda pronunciarse sobre las quejas que a través de tal incidente pretendían denunciarse, y ello, por no haber sido impugnada la Sentencia que, en su caso, las habría ocasionado, ni haberse argumentado sobre tales lesiones en la demanda de amparo.</w:t>
      </w:r>
    </w:p>
    <w:p w:rsidR="0085709A" w:rsidRDefault="0085709A" w:rsidP="0085709A">
      <w:pPr>
        <w:pStyle w:val="TextoNormal"/>
      </w:pPr>
    </w:p>
    <w:p w:rsidR="0085709A" w:rsidRDefault="0085709A" w:rsidP="0085709A">
      <w:pPr>
        <w:pStyle w:val="TextoNormal"/>
      </w:pPr>
      <w:r>
        <w:t>En cuanto al fondo, considera que el amparo debe ser otorgado porque se ha producido una lesión en el derecho a la tutela judicial efectiva de la parte demandante al haberse inadmitido sin motivación el incidente de nulidad que planteó. Entiende que la providencia cuestionada en su contenido nada aporta sobre cuál sea la razón de rechazar el incidente, limitándose a decir que no se aprecian defectos de forma y sólo se concibe una simple disconformidad con la interpretación que realiza el juzgador, pero omite cualquier referencia a las dos denuncias de violación de la tutela judicial que refiere el demandante, por un lado la incorrecta aplicación de la doctrina sobre reincidencia y, de otro, la no respuesta a su petición de aplicación retroactiva de determinadas normas que le son más favorables. Es decir, rechaza el incidente pero sin ofrecer realmente razón alguna de tal improcedencia.</w:t>
      </w:r>
    </w:p>
    <w:p w:rsidR="0085709A" w:rsidRDefault="0085709A" w:rsidP="0085709A">
      <w:pPr>
        <w:pStyle w:val="TextoNormal"/>
      </w:pPr>
    </w:p>
    <w:p w:rsidR="0085709A" w:rsidRDefault="0085709A" w:rsidP="0085709A">
      <w:pPr>
        <w:pStyle w:val="TextoNormal"/>
      </w:pPr>
      <w:r>
        <w:t>Con cita constante de la STC 153/2012, en la que se otorgó el amparo solicitado en un supuesto similar, sitúa, con el recurrente, la lesión en el derecho a la tutela judicial efectiva en su vertiente de acceso a los recursos legalmente previstos y concluye sus alegaciones afirmando que, en el presente caso, la providencia de inadmisión carece absolutamente de motivación y aunque la doctrina constitucional reduce el campo de control del derecho de acceder a los recursos, dada su configuración legal, esta reducción no puede ser tan grande que no permita la constatación de la existencia de motivación, que en este supuesto no se da. La decisión del Juez de Burgos de rechazar la pretensión carece de toda motivación, o es tan insuficiente que prácticamente es inexistente, y con ese silencio privó a la entidad recurrente del acceso al incidente de nulidad y con ello vulneró el derecho a la tutela judicial efectiva sin indefensión del art. 24.1 CE. En definitiva, entiende que es procedente que el Tribunal otorgue el amparo solicitado.</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21 de mayo de 2015 se señaló para la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Es objeto del presente recurso de amparo la providencia del Juzgado de lo Contencioso-Administrativo núm. 2 de Burgos, de 17 de julio de 2012, por la que se inadmitió el </w:t>
      </w:r>
      <w:r>
        <w:lastRenderedPageBreak/>
        <w:t>incidente de nulidad planteado frente a la Sentencia de dicho Juzgado de fecha 1 de septiembre de 2011, por la que se desestimaba recurso contencioso-administrativo interpuesto por la recurrente.</w:t>
      </w:r>
    </w:p>
    <w:p w:rsidR="0085709A" w:rsidRDefault="0085709A" w:rsidP="0085709A">
      <w:pPr>
        <w:pStyle w:val="TextoNormal"/>
      </w:pPr>
    </w:p>
    <w:p w:rsidR="0085709A" w:rsidRDefault="0085709A" w:rsidP="0085709A">
      <w:pPr>
        <w:pStyle w:val="TextoNormal"/>
      </w:pPr>
      <w:r>
        <w:t>El Ministerio Fiscal, a través de las alegaciones realizadas, ha solicitado la estimación de la demanda, puesto que, a su juicio, se ha vulnerado el derecho a la tutela judicial efectiva, art. 24 CE, de la mercantil recurrente, al haber sido rechazado sin motivación alguna el incidente de nulidad que planteó frente a la Sentencia desestimatoria de su recurso contencioso-administrativo. Por su parte, la representación procesal de la Junta de Castilla y León se ha opuesto al otorgamiento del amparo, negando la lesión de derecho fundamental alguno, con base en los argumentos expuestos en los antecedentes.</w:t>
      </w:r>
    </w:p>
    <w:p w:rsidR="0085709A" w:rsidRDefault="0085709A" w:rsidP="0085709A">
      <w:pPr>
        <w:pStyle w:val="TextoNormal"/>
      </w:pPr>
    </w:p>
    <w:p w:rsidR="0085709A" w:rsidRDefault="0085709A" w:rsidP="0085709A">
      <w:pPr>
        <w:pStyle w:val="TextoNormal"/>
      </w:pPr>
      <w:r>
        <w:t>La entidad demandante de amparo reiteró sus argumentos alegando que la resolución recurrida es inmotivada y responde a un modelo estereotipado sin reflexión ni referencia a los motivos que se argumentaron en el escrito de presentación del incidente de nulidad.</w:t>
      </w:r>
    </w:p>
    <w:p w:rsidR="0085709A" w:rsidRDefault="0085709A" w:rsidP="0085709A">
      <w:pPr>
        <w:pStyle w:val="TextoNormal"/>
      </w:pPr>
    </w:p>
    <w:p w:rsidR="0085709A" w:rsidRDefault="0085709A" w:rsidP="0085709A">
      <w:pPr>
        <w:pStyle w:val="TextoNormal"/>
      </w:pPr>
      <w:r>
        <w:t xml:space="preserve">Aunque ninguna de las partes comparecidas ha puesto en duda la especial trascendencia constitucional de este recurso, que es requisito para su admisión de conformidad con los arts. 49.1 y 50.1 b) de nuestra Ley Orgánica, esta condición de requisito de admisión y por consiguiente de orden público procesal (entre otras, STC 113/2012, de 24 de mayo, FJ 2, y las allí citadas) así como exigencias de certeza y buena administración de justicia (STEDH de 20 de enero de 2015, caso </w:t>
      </w:r>
      <w:r w:rsidRPr="0085709A">
        <w:rPr>
          <w:i/>
        </w:rPr>
        <w:t>Arribas Antón contra España</w:t>
      </w:r>
      <w:r>
        <w:t>, apartado 46) obligan a explicitar el cumplimiento de ese requisito para hacer así recognoscibles los criterios empleados al efecto por este Tribunal.</w:t>
      </w:r>
    </w:p>
    <w:p w:rsidR="0085709A" w:rsidRDefault="0085709A" w:rsidP="0085709A">
      <w:pPr>
        <w:pStyle w:val="TextoNormal"/>
      </w:pPr>
    </w:p>
    <w:p w:rsidR="0085709A" w:rsidRDefault="0085709A" w:rsidP="0085709A">
      <w:pPr>
        <w:pStyle w:val="TextoNormal"/>
      </w:pPr>
      <w:r>
        <w:t>En el presente caso, a la luz de las sentencias de este Tribunal que se mencionará en los fundamentos siguientes, debe señalarse que la resolución judicial impugnada debió inspirarse en la doctrina constitucional contenida en ellas, en contra de lo que hizo el juzgador, de suerte que el asunto da ocasión al Tribunal Constitucional de garantizar el cumplimiento de su jurisprudencia en la materia, que en este conjunto de resoluciones queda aclarada en sus exactos términos y extremos [STC 155/2009, de 25 de junio, FJ 2 b)], evitando dudas ulteriores sobre su alcance que puedan dar lugar a nuevas inaplicaciones objetivas de la misma, y atendiendo así a uno de los criterios legales que dotan de especial trascendencia constitucional al recurso de amparo, citado en el art. 50.1 b) de la Ley Orgánica del Tribunal Constitucional, a saber: aquél que se dirige a velar por la aplicación y general eficacia de la Constitución (por todas, STC 21/2015, de 16 de febrero, FJ 2).</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Nos encontramos ante el problema de la falta de motivación de las resoluciones judiciales que rechazan los incidentes de nulidad planteados frente a otras previas. De entrada debe ser matizado, compartiendo el criterio del Ministerio Fiscal, que el objeto del presente recurso de amparo lo constituye, exclusivamente, la providencia de 17 de julio de 2012, del Juzgado de lo Contencioso-Administrativo núm. 2 de Burgos, por la que se inadmitía el incidente de nulidad planteado frente a la Sentencia, sin que puedan ser analizadas por este Tribunal las quejas que frente a ésta se plasmaron en el incidente rechazado. Y ello porque la demanda de amparo se dirige exclusivamente contra la providencia señalada y, además, porque nada se argumenta en esta sede sobre las hipotéticas lesiones ocasionadas por la Sentencia dictada. Conforme a reiterada doctrina constitucional, por todas, STC 140/2014, de 11 de septiembre, FJ 3, no corresponde al Tribunal “reconstruir de oficio las demandas, </w:t>
      </w:r>
      <w:r>
        <w:lastRenderedPageBreak/>
        <w:t>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w:t>
      </w:r>
    </w:p>
    <w:p w:rsidR="0085709A" w:rsidRDefault="0085709A" w:rsidP="0085709A">
      <w:pPr>
        <w:pStyle w:val="TextoNormal"/>
      </w:pPr>
    </w:p>
    <w:p w:rsidR="0085709A" w:rsidRDefault="0085709A" w:rsidP="0085709A">
      <w:pPr>
        <w:pStyle w:val="TextoNormal"/>
      </w:pPr>
      <w:r>
        <w:t>Por tanto, al igual que hemos hecho en casos similares anteriores, por todas, SSTC 153/2012, de 16 de julio; 9/2014, de 27 de enero; 204/2014, de 15 de diciembre, y 91/2015, de 11 de mayo, debemos contraer nuestro examen al control de la vulneración del derecho de acceso al recurso que se imputa a la referida providencia, tal y como se solicita expresamente por la recurrente.</w:t>
      </w:r>
    </w:p>
    <w:p w:rsidR="0085709A" w:rsidRDefault="0085709A" w:rsidP="0085709A">
      <w:pPr>
        <w:pStyle w:val="TextoNormal"/>
      </w:pPr>
    </w:p>
    <w:p w:rsidR="0085709A" w:rsidRDefault="0085709A" w:rsidP="0085709A">
      <w:pPr>
        <w:pStyle w:val="TextoNormal"/>
      </w:pPr>
      <w:r>
        <w:t>Debemos recordar con carácter previo al análisis del fondo del asunto, la función que cumple el incidente excepcional de nulidad de actuaciones como instrumento de tutela de los derechos fundamentales ante la jurisdicción ordinaria, tras la reforma introducida por la Ley Orgánica 6/2007, de 24 de mayo. Como dijimos en la STC 153/2012, de 16 de julio,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Una deficiente tutela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w:t>
      </w:r>
    </w:p>
    <w:p w:rsidR="0085709A" w:rsidRDefault="0085709A" w:rsidP="0085709A">
      <w:pPr>
        <w:pStyle w:val="TextoNormal"/>
      </w:pPr>
    </w:p>
    <w:p w:rsidR="0085709A" w:rsidRDefault="0085709A" w:rsidP="0085709A">
      <w:pPr>
        <w:pStyle w:val="TextoNormal"/>
      </w:pPr>
      <w:r w:rsidRPr="0085709A">
        <w:rPr>
          <w:rStyle w:val="NumeroAFNegritaCaracter"/>
        </w:rPr>
        <w:t>3</w:t>
      </w:r>
      <w:r>
        <w:t>. En el supuesto que nos ocupa, el Juzgado de lo Contencioso-Administrativo núm. 2 de Burgos, frente a un exhaustivo escrito de interposición de un incidente de nulidad contra una previa Sentencia de dicho órgano judicial, se limitó a acordar su inadmisión a trámite mediante la providencia ahora impugnada, con la afirmación de que “no se pone de manifiesto defectos de forma que hayan causado indefensión ni violación de derechos fundamentales sino simplemente disconformidad con la interpretación” llevada a cabo.</w:t>
      </w:r>
    </w:p>
    <w:p w:rsidR="0085709A" w:rsidRDefault="0085709A" w:rsidP="0085709A">
      <w:pPr>
        <w:pStyle w:val="TextoNormal"/>
      </w:pPr>
    </w:p>
    <w:p w:rsidR="0085709A" w:rsidRDefault="0085709A" w:rsidP="0085709A">
      <w:pPr>
        <w:pStyle w:val="TextoNormal"/>
      </w:pPr>
      <w:r>
        <w:t xml:space="preserve">El juicio sobre dicha respuesta debe realizarse a partir del canon relativo al derecho de acceso al recurso (art. 24.1 CE), pues, aunque el incidente de nulidad de actuaciones no constituye un recurso en sentido estricto, es un cauce procesal que, al tener por objeto la revisión de resoluciones o actuaciones procesales, debe ser enjuiciado por este Tribunal desde el canon propio del derecho de acceso al recurso legalmente establecido (SSTC 57/2006, de 27 de febrero, FJ 3; y 157/2009, de 25 de junio, FJ 2). Desde esta perspectiva, </w:t>
      </w:r>
      <w:r>
        <w:lastRenderedPageBreak/>
        <w:t>es preciso recordar que el control de las resoluciones judiciales de inadmisión de recursos por la jurisdicción constitucional es meramente externo y debe limitarse a comprobar si contienen motivación y si han incurrido o no en error material patente, en arbitrariedad o en manifiesta irrazonabilidad lógica, evitando toda ponderación acerca de su corrección jurídica (por todas, STC 7/2015, de 22 de enero).</w:t>
      </w:r>
    </w:p>
    <w:p w:rsidR="0085709A" w:rsidRDefault="0085709A" w:rsidP="0085709A">
      <w:pPr>
        <w:pStyle w:val="TextoNormal"/>
      </w:pPr>
    </w:p>
    <w:p w:rsidR="0085709A" w:rsidRDefault="0085709A" w:rsidP="0085709A">
      <w:pPr>
        <w:pStyle w:val="TextoNormal"/>
      </w:pPr>
      <w:r>
        <w:t xml:space="preserve">Aplicando el indicado canon a la resolución impugnada podemos concluir que el órgano judicial vulneró el derecho a la tutela judicial efectiva, art. 24.1 CE, de la demandante de amparo, privándole de la tutela de los derechos fundamentales que proclama el art. 53.2 CE. En su respuesta, el órgano judicial, cuanto menos, tendría que haber ofrecido una argumentación suficiente sobre los motivos de la no admisión a trámite del incidente de nulidad de actuaciones. La inadmisión de plano sin más explicación que la de no encontrarse la Sentencia incursa en el art. 241.1 de la Ley Orgánica del Poder Judicial (LOPJ), ofrece una </w:t>
      </w:r>
      <w:r w:rsidRPr="0085709A">
        <w:rPr>
          <w:i/>
        </w:rPr>
        <w:t>ratio decidendi</w:t>
      </w:r>
      <w:r>
        <w:t xml:space="preserve"> claramente errónea respecto a la resolución aquí impugnada. Debe concluirse por ello que el órgano judicial realizó una interpretación constitucionalmente contraria a lo dispuesto sobre el contenido susceptible de control a través del incidente de nulidad de actuaciones del art. 241.1 LOPJ que, tras la nueva regulación, resulta procedente ante cualquier vulneración de derechos fundamentales impugnables en amparo (art. 53.2 CE).</w:t>
      </w:r>
    </w:p>
    <w:p w:rsidR="0085709A" w:rsidRDefault="0085709A" w:rsidP="0085709A">
      <w:pPr>
        <w:pStyle w:val="TextoNormal"/>
      </w:pPr>
    </w:p>
    <w:p w:rsidR="0085709A" w:rsidRDefault="0085709A" w:rsidP="0085709A">
      <w:pPr>
        <w:pStyle w:val="TextoNormal"/>
      </w:pPr>
      <w:r>
        <w:t>En atención a lo expuesto, resulta procedente la estimación del recurso de amparo, con nulidad de la providencia de 17 de julio de 2012 y la retroacción de actuaciones al momento inmediatamente anterior a su dictado, para que se dicte una nueva resolución judicial que resulte respetuosa con el derecho fundamental reconocido, resolviéndose, si procede, la admisión para que se tramite y resuelva en forma legal el incidente de nulidad de actuaciones promovido por la recurrente.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presente recurso de amparo interpuesto por la mercantil General Yagüe 8, S.L., y, en consecuencia:</w:t>
      </w:r>
    </w:p>
    <w:p w:rsidR="0085709A" w:rsidRDefault="0085709A" w:rsidP="0085709A">
      <w:pPr>
        <w:pStyle w:val="TextoNormal"/>
      </w:pPr>
    </w:p>
    <w:p w:rsidR="0085709A" w:rsidRDefault="0085709A" w:rsidP="0085709A">
      <w:pPr>
        <w:pStyle w:val="TextoNormal"/>
      </w:pPr>
      <w:r>
        <w:t>1º Declarar que ha sido vulnerado su derecho fundamental a la tutela judicial efectiva (art. 24.1 CE).</w:t>
      </w:r>
    </w:p>
    <w:p w:rsidR="0085709A" w:rsidRDefault="0085709A" w:rsidP="0085709A">
      <w:pPr>
        <w:pStyle w:val="TextoNormal"/>
      </w:pPr>
    </w:p>
    <w:p w:rsidR="0085709A" w:rsidRDefault="0085709A" w:rsidP="0085709A">
      <w:pPr>
        <w:pStyle w:val="TextoNormal"/>
      </w:pPr>
      <w:r>
        <w:t>2º Restablecerla en su derecho y, a tal fin, declarar la nulidad de la providencia del Juzgado de lo Contencioso-Administrativo núm. 2 de Burgos, de 17 de julio de 2012, dictada en el procedimiento ordinario núm. 14-2010.</w:t>
      </w:r>
    </w:p>
    <w:p w:rsidR="0085709A" w:rsidRDefault="0085709A" w:rsidP="0085709A">
      <w:pPr>
        <w:pStyle w:val="TextoNormal"/>
      </w:pPr>
    </w:p>
    <w:p w:rsidR="0085709A" w:rsidRDefault="0085709A" w:rsidP="0085709A">
      <w:pPr>
        <w:pStyle w:val="TextoNormal"/>
      </w:pPr>
      <w:r>
        <w:t>3º Retrotraer las actuaciones al momento inmediatamente anterior al de dictarse la providencia anulada, para que se dicte nueva resolución judicial respetuosa con el derecho fundamental reconocido.</w:t>
      </w:r>
    </w:p>
    <w:p w:rsidR="0085709A" w:rsidRDefault="0085709A" w:rsidP="0085709A">
      <w:pPr>
        <w:pStyle w:val="TextoNormal"/>
      </w:pPr>
    </w:p>
    <w:p w:rsidR="0085709A" w:rsidRDefault="0085709A" w:rsidP="0085709A">
      <w:pPr>
        <w:pStyle w:val="TextoNormal"/>
      </w:pPr>
      <w:r>
        <w:lastRenderedPageBreak/>
        <w:t>Publíquese esta Sentencia en el “Boletín Oficial del Estado”.</w:t>
      </w:r>
    </w:p>
    <w:p w:rsidR="0085709A" w:rsidRDefault="0085709A" w:rsidP="0085709A">
      <w:pPr>
        <w:pStyle w:val="TextoNormal"/>
      </w:pPr>
      <w:r>
        <w:t>Dada en Madrid, a veinticinco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0" w:name="SENTENCIA_2015_97"/>
      <w:r>
        <w:lastRenderedPageBreak/>
        <w:t>SENTENCIA 97/2015, de 25 de mayo de 2015</w:t>
      </w:r>
    </w:p>
    <w:bookmarkEnd w:id="100"/>
    <w:p w:rsidR="0085709A" w:rsidRDefault="0085709A" w:rsidP="0085709A">
      <w:pPr>
        <w:pStyle w:val="TtuloResolucin"/>
      </w:pPr>
      <w:r>
        <w:t>Sala Primera</w:t>
      </w:r>
    </w:p>
    <w:p w:rsidR="0085709A" w:rsidRDefault="0085709A" w:rsidP="0085709A">
      <w:pPr>
        <w:pStyle w:val="TtuloBOE"/>
      </w:pPr>
      <w:r>
        <w:t>(BOE núm. 159, de 4 de julio de 2015)</w:t>
      </w:r>
    </w:p>
    <w:p w:rsidR="0085709A" w:rsidRDefault="0085709A" w:rsidP="0085709A">
      <w:pPr>
        <w:pStyle w:val="TextoNormalCentrado"/>
      </w:pPr>
      <w:r>
        <w:t>ECLI:ES:TC:2015:97</w:t>
      </w:r>
    </w:p>
    <w:p w:rsidR="0085709A" w:rsidRDefault="0085709A" w:rsidP="0085709A">
      <w:pPr>
        <w:pStyle w:val="TextoNormalCentrado"/>
      </w:pPr>
    </w:p>
    <w:p w:rsidR="0085709A" w:rsidRDefault="0085709A" w:rsidP="0085709A">
      <w:pPr>
        <w:pStyle w:val="SntesisDescriptiva"/>
      </w:pPr>
      <w:r>
        <w:t>Cuestión de inconstitucionalidad 5391-2013. Planteada por la Sala de lo Social de la Audiencia Nacional en relación con el artículo 2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extinción, por pérdida de objeto, de la cuestión de inconstitucionalidad (STC 83/2015).</w:t>
      </w:r>
    </w:p>
    <w:p w:rsidR="0085709A" w:rsidRDefault="0085709A" w:rsidP="0085709A">
      <w:pPr>
        <w:pStyle w:val="SntesisAnaltica"/>
      </w:pPr>
    </w:p>
    <w:p w:rsidR="0085709A" w:rsidRDefault="0085709A" w:rsidP="0085709A">
      <w:pPr>
        <w:pStyle w:val="Extracto"/>
      </w:pPr>
      <w:r>
        <w:t>1.</w:t>
      </w:r>
      <w:r>
        <w:tab/>
        <w:t>La satisfacción extraprocesal de la pretensión deducida en el proceso laboral sobre la que se articula la cuestión de inconstitucionalidad le hace perder su objeto al ser dicha satisfacción uno de los supuestos de extinción de la cuestión de inconstitucionalidad (STC 83/2015) [FJ 3].</w:t>
      </w:r>
    </w:p>
    <w:p w:rsidR="0085709A" w:rsidRDefault="0085709A" w:rsidP="0085709A">
      <w:pPr>
        <w:pStyle w:val="Extracto"/>
      </w:pPr>
    </w:p>
    <w:p w:rsidR="0085709A" w:rsidRDefault="0085709A" w:rsidP="0085709A">
      <w:pPr>
        <w:pStyle w:val="Extracto"/>
      </w:pPr>
      <w:r>
        <w:t>2.</w:t>
      </w:r>
      <w:r>
        <w:tab/>
        <w:t>Doctrina sobre las posibles causas de terminación extraordinaria de las cuestiones de inconstitucionalidad por pérdida sobrevenida de objeto (STC 83/2015) [FJ 3].</w:t>
      </w:r>
    </w:p>
    <w:p w:rsidR="0085709A" w:rsidRDefault="0085709A" w:rsidP="0085709A">
      <w:pPr>
        <w:pStyle w:val="Extracto"/>
      </w:pPr>
    </w:p>
    <w:p w:rsidR="0085709A" w:rsidRDefault="0085709A" w:rsidP="0085709A">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5391-2013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23 de septiembre de 2013 se registró en este Tribunal Constitucional un oficio de la Sala de lo Social de la Audiencia Nacional, fechado el 19 de septiembre de 2013, al que se acompañaba, junto al testimonio del correspondiente procedimiento, el Auto de ese mismo órgano judicial de 11 de julio de 2013, por el que se acordaba plantear cuestión de inconstitucionalidad en relación con el art. 2 del Real Decreto-ley 20/2012, de 13 de julio, de medidas para garantizar la estabilidad presupuestaria y de fomento de la competitividad, por posible vulneración del art. 9.3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t>a) Ante la Sala de lo Social de la Audiencia Nacional, el 4 de abril de 2013, se formuló por la sección estatal del sindicato Confederación General de Trabajadores en la Agencia Estatal de la Administración Tributaria (en adelante AEAT), demanda de conflicto colectivo, contra la Agencia, la sección estatal de la AEAT del sindicato de Comisiones Obreras (CC OO), el consejo sindical nacional del Sindicato Independiente Agencia Tributaria (SIAT-USO), el sector de la Agencia Estatal de Administración Tributaria del sindicato Unión General de Trabajadores (UGT) y el sector nacional de la AEAT del sindicato Central Sindical Independiente y de Funcionarios (CSIF), que dio lugar a los autos núm. 149-2013. La citada organización sindical pretendía en su demanda que se condenara a la AEAT, previo el planteamiento de cuestión de inconstitucionalidad a reconocer el derecho del personal laboral de la AEAT: i) a percibir íntegra la paga extraordinaria del mes de diciembre de 2012; ii) subsidiariamente, el reconocimiento del derecho a percibir la parte proporcional de la paga extraordinaria del mes de diciembre de 2012, correspondiente a los servicios prestados en el periodo comprendido entre el 1 de junio y el 14 de julio de 2012.</w:t>
      </w:r>
    </w:p>
    <w:p w:rsidR="0085709A" w:rsidRDefault="0085709A" w:rsidP="0085709A">
      <w:pPr>
        <w:pStyle w:val="TextoNormal"/>
      </w:pPr>
    </w:p>
    <w:p w:rsidR="0085709A" w:rsidRDefault="0085709A" w:rsidP="0085709A">
      <w:pPr>
        <w:pStyle w:val="TextoNormal"/>
      </w:pPr>
      <w:r>
        <w:t>b) En fecha 29 de abril de 2013, se interpuso demanda por la federación de servicios a la ciudadanía de Comisiones Obreras (FSC-CCOO), SIAT-USO, la Federación de Servicios Públicos de la Unión General de Trabajadores (FSP-UGT) y CSIF, contra la AEAT, que dio lugar a los autos núm. 199-2013. Las referidas organizaciones solicitaban: i) que se declare contraria a Derecho la aplicación de los arts. 2 y 6 del Real Decreto-ley 20/2012, y en consecuencia se reponga a la situación anterior a la medida adoptada por la AEAT que se ha hecho efectiva en la nómina de diciembre de 2012; ii) subsidiariamente se declare el derecho de los trabajadores a percibir la parte proporcional de la paga extraordinaria de diciembre de 2012 correspondiente a los días devengados con anterioridad a la entrada en vigor del Real Decreto-ley 20/2012, de 1 de junio al 14 de julio de 2012.</w:t>
      </w:r>
    </w:p>
    <w:p w:rsidR="0085709A" w:rsidRDefault="0085709A" w:rsidP="0085709A">
      <w:pPr>
        <w:pStyle w:val="TextoNormal"/>
      </w:pPr>
    </w:p>
    <w:p w:rsidR="0085709A" w:rsidRDefault="0085709A" w:rsidP="0085709A">
      <w:pPr>
        <w:pStyle w:val="TextoNormal"/>
      </w:pPr>
      <w:r>
        <w:t>c) El día del juicio, las partes solicitaron y la Sala acordó, acumular ambas demandas. Concluso el procedimiento y dentro del plazo para dictar sentencia, por providencia de la Sala de 31 de mayo de 2013, se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w:t>
      </w:r>
      <w:r>
        <w:lastRenderedPageBreak/>
        <w:t>dida en que suprime el derecho de los trabajadores a percibir cuantías de la paga extraordinaria del mes de diciembre de 2012 ya devengadas a la fecha de entrada en vigor de dicho Real Decreto-ley (15 de julio de 2012).</w:t>
      </w:r>
    </w:p>
    <w:p w:rsidR="0085709A" w:rsidRDefault="0085709A" w:rsidP="0085709A">
      <w:pPr>
        <w:pStyle w:val="TextoNormal"/>
      </w:pPr>
    </w:p>
    <w:p w:rsidR="0085709A" w:rsidRDefault="0085709A" w:rsidP="0085709A">
      <w:pPr>
        <w:pStyle w:val="TextoNormal"/>
      </w:pPr>
      <w:r>
        <w:t>d) Por escrito de 13 de junio de 2013, FSC-CCOO, FSP-UGT y CSIF, estimaron pertinente el planteamiento de la cuestión de inconstitucionalidad. En el mismo sentido se manifestaron SIAT y la sección estatal de CGT en la AEAT mediante escritos presentados el 24 de junio de 2013. Por su parte, el Abogado del Estado, en representación de AEAT, se opuso al planteamiento de la cuestión mediante escrito de 18 de junio de 2013. Y finalmente el 26 de junio de 2013, se presentó escrito por el Ministerio Fiscal en el que se afirmaba que el juicio de relevancia estaba correctamente planteado, sin que ello supusiese compartirlo.</w:t>
      </w:r>
    </w:p>
    <w:p w:rsidR="0085709A" w:rsidRDefault="0085709A" w:rsidP="0085709A">
      <w:pPr>
        <w:pStyle w:val="TextoNormal"/>
      </w:pPr>
    </w:p>
    <w:p w:rsidR="0085709A" w:rsidRDefault="0085709A" w:rsidP="0085709A">
      <w:pPr>
        <w:pStyle w:val="TextoNormal"/>
      </w:pPr>
      <w:r>
        <w:t>e) Por Auto de 11 de julio de 2013, la Sala de lo Social de la Audiencia Nacional acordó plantear cuestión de inconstitucionalidad en relación con el art. 2 del Real Decreto-ley 20/2012.</w:t>
      </w:r>
    </w:p>
    <w:p w:rsidR="0085709A" w:rsidRDefault="0085709A" w:rsidP="0085709A">
      <w:pPr>
        <w:pStyle w:val="TextoNormal"/>
      </w:pPr>
    </w:p>
    <w:p w:rsidR="0085709A" w:rsidRDefault="0085709A" w:rsidP="0085709A">
      <w:pPr>
        <w:pStyle w:val="TextoNormal"/>
      </w:pPr>
      <w:r w:rsidRPr="0085709A">
        <w:rPr>
          <w:rStyle w:val="NumeroAFNegritaCaracter"/>
        </w:rPr>
        <w:t>3</w:t>
      </w:r>
      <w:r>
        <w:t>. En el Auto de 11 de julio de 2013, la Sala de lo Social de la Audiencia Nacional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0085709A" w:rsidRDefault="0085709A" w:rsidP="0085709A">
      <w:pPr>
        <w:pStyle w:val="TextoNormal"/>
      </w:pPr>
    </w:p>
    <w:p w:rsidR="0085709A" w:rsidRDefault="0085709A" w:rsidP="0085709A">
      <w:pPr>
        <w:pStyle w:val="TextoNormal"/>
      </w:pPr>
      <w:r>
        <w:t>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y que lo hace a partir de su entrada en vigor (15 de julio de 2012), sin precisar excepciones por derechos ya devengados. Estima la Sala que el Gobierno es plenamente consciente de la posibilidad de que haya comenzado a devengarse la paga extraordinaria cuya percepción se suprime, en tanto que en el apartado 1 del art. 2 del Real Decreto-ley 20/2012 se indica que la medida afecta a las cuantías “que corresponda percibir”, en tiempo verbal no condicional, admitiendo que el derecho ya se ha generado, no obstante lo cual cierra la puerta a su abono.</w:t>
      </w:r>
    </w:p>
    <w:p w:rsidR="0085709A" w:rsidRDefault="0085709A" w:rsidP="0085709A">
      <w:pPr>
        <w:pStyle w:val="TextoNormal"/>
      </w:pPr>
    </w:p>
    <w:p w:rsidR="0085709A" w:rsidRDefault="0085709A" w:rsidP="0085709A">
      <w:pPr>
        <w:pStyle w:val="TextoNormal"/>
      </w:pPr>
      <w:r>
        <w:t>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paga extraordinaria correspondiente a catorce días (del 1 al 14 de julio), la aplicación del citado art. 2 impediría su abono.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 Siendo ese el enunciado del precepto cuestionado, la Sala no comparte el criterio mantenido por el sindicato CC OO en sus alegaciones (que postula la posibilidad de interpretar la norma en el sentido de que la supresión de la paga solo se aplicaría respecto de la cuantía devengada a partir del 15 de julio de 2012).</w:t>
      </w:r>
    </w:p>
    <w:p w:rsidR="0085709A" w:rsidRDefault="0085709A" w:rsidP="0085709A">
      <w:pPr>
        <w:pStyle w:val="TextoNormal"/>
      </w:pPr>
    </w:p>
    <w:p w:rsidR="0085709A" w:rsidRDefault="0085709A" w:rsidP="0085709A">
      <w:pPr>
        <w:pStyle w:val="TextoNormal"/>
      </w:pPr>
      <w:r>
        <w:t>Expuesto lo que precede, indica la Sala que la norma cuestionada es determinante para el resultado del litigio y no admite una interpretación que lo acomode a la Constitución, dado que una de las pretensiones formuladas por los demandantes es, justamente, que se mantenga incólume la percepción de la parte ya devengada de la paga extraordinaria de diciembre de 2012, a pesar de lo dispuesto en el art. 2 del Real Decreto-ley 20/2012. Posteriormente se hace referencia a las alegaciones realizadas por las partes y el Ministerio Fiscal en el trámite de audiencia, y se señala que tras ellas subsiste la duda de inconstitucionalidad.</w:t>
      </w:r>
    </w:p>
    <w:p w:rsidR="0085709A" w:rsidRDefault="0085709A" w:rsidP="0085709A">
      <w:pPr>
        <w:pStyle w:val="TextoNormal"/>
      </w:pPr>
    </w:p>
    <w:p w:rsidR="0085709A" w:rsidRDefault="0085709A" w:rsidP="0085709A">
      <w:pPr>
        <w:pStyle w:val="TextoNormal"/>
      </w:pPr>
      <w:r>
        <w:t>b) Seguidamente se refiere la Sala a la doctrina constitucional sobre la prohibición de retroactividad de las disposiciones sancionadoras no favorables o restrictivas de derechos individuales (art. 9.3 CE) y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la Ley del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0085709A" w:rsidRDefault="0085709A" w:rsidP="0085709A">
      <w:pPr>
        <w:pStyle w:val="TextoNormal"/>
      </w:pPr>
    </w:p>
    <w:p w:rsidR="0085709A" w:rsidRDefault="0085709A" w:rsidP="0085709A">
      <w:pPr>
        <w:pStyle w:val="TextoNormal"/>
      </w:pPr>
      <w:r>
        <w:t>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pro futuro). A la vista de todo ello, se considera que en el presente caso nos encontramos ante derechos individuales amparables por el principio de interdicción de retroactividad (art. 9.3 CE).</w:t>
      </w:r>
    </w:p>
    <w:p w:rsidR="0085709A" w:rsidRDefault="0085709A" w:rsidP="0085709A">
      <w:pPr>
        <w:pStyle w:val="TextoNormal"/>
      </w:pPr>
    </w:p>
    <w:p w:rsidR="0085709A" w:rsidRDefault="0085709A" w:rsidP="0085709A">
      <w:pPr>
        <w:pStyle w:val="TextoNormal"/>
      </w:pPr>
      <w:r>
        <w:t>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w:t>
      </w:r>
    </w:p>
    <w:p w:rsidR="0085709A" w:rsidRDefault="0085709A" w:rsidP="0085709A">
      <w:pPr>
        <w:pStyle w:val="TextoNormal"/>
      </w:pPr>
    </w:p>
    <w:p w:rsidR="0085709A" w:rsidRDefault="0085709A" w:rsidP="0085709A">
      <w:pPr>
        <w:pStyle w:val="TextoNormal"/>
      </w:pPr>
      <w:r>
        <w:t>Pues bien, 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85709A" w:rsidRDefault="0085709A" w:rsidP="0085709A">
      <w:pPr>
        <w:pStyle w:val="TextoNormal"/>
      </w:pPr>
    </w:p>
    <w:p w:rsidR="0085709A" w:rsidRDefault="0085709A" w:rsidP="0085709A">
      <w:pPr>
        <w:pStyle w:val="TextoNormal"/>
      </w:pPr>
      <w:r>
        <w:t>Teniendo en cuenta todo lo anterior, concluye la Sala que “estamos ante un derecho que se genera día a día, incorporándose como tal al acervo patrimonial de los trabajadores”, y que, “en el caso examinado, al ser la paga extra de diciembre de 2012 de devengo semestral a partir del 1 de julio de 2012,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0085709A" w:rsidRDefault="0085709A" w:rsidP="0085709A">
      <w:pPr>
        <w:pStyle w:val="TextoNormal"/>
      </w:pPr>
    </w:p>
    <w:p w:rsidR="0085709A" w:rsidRDefault="0085709A" w:rsidP="0085709A">
      <w:pPr>
        <w:pStyle w:val="TextoNormal"/>
      </w:pPr>
      <w: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y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 cuanto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pero no reúne la nota </w:t>
      </w:r>
      <w:r>
        <w:lastRenderedPageBreak/>
        <w:t>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0085709A" w:rsidRDefault="0085709A" w:rsidP="0085709A">
      <w:pPr>
        <w:pStyle w:val="TextoNormal"/>
      </w:pPr>
    </w:p>
    <w:p w:rsidR="0085709A" w:rsidRDefault="0085709A" w:rsidP="0085709A">
      <w:pPr>
        <w:pStyle w:val="TextoNormal"/>
      </w:pPr>
      <w:r>
        <w:t>e) Finalmente, la Sala se plantea la posibilidad de que estemos ante una expropiación legislativa de derechos, pero rechaza tal posibilidad en tanto que la previsión en este caso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85709A" w:rsidRDefault="0085709A" w:rsidP="0085709A">
      <w:pPr>
        <w:pStyle w:val="TextoNormal"/>
      </w:pPr>
    </w:p>
    <w:p w:rsidR="0085709A" w:rsidRDefault="0085709A" w:rsidP="0085709A">
      <w:pPr>
        <w:pStyle w:val="TextoNormal"/>
      </w:pPr>
      <w:r>
        <w:t>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22 de octubre de 2013, el Pleno de este Tribunal acordó admitir a trámite la cuestión de inconstitucionalidad, deferir el conocimiento de la misma conforme al art. 10.1 c) de la Ley Orgánica del Tribunal Constitucional (LOTC) a la Sala Primera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y de otro lado, publicar la incoación de la cuestión en el “Boletín Oficial del Estado”, para que en lo quince días siguientes, quienes fuera parte en el procedimiento de conflicto colectivo pudieran personarse, llevándose a efecto la publicación en el núm. 262, de 1 de noviembre de 2013.</w:t>
      </w:r>
    </w:p>
    <w:p w:rsidR="0085709A" w:rsidRDefault="0085709A" w:rsidP="0085709A">
      <w:pPr>
        <w:pStyle w:val="TextoNormal"/>
      </w:pPr>
    </w:p>
    <w:p w:rsidR="0085709A" w:rsidRDefault="0085709A" w:rsidP="0085709A">
      <w:pPr>
        <w:pStyle w:val="TextoNormal"/>
      </w:pPr>
      <w:r w:rsidRPr="0085709A">
        <w:rPr>
          <w:rStyle w:val="NumeroAFNegritaCaracter"/>
        </w:rPr>
        <w:t>5</w:t>
      </w:r>
      <w:r>
        <w:t xml:space="preserve">. Mediante escrito presentado en el Registro General de este Tribunal el 31 de octubre de 2013, el Presidente del Congreso de los Diputados comunicó la decisión de la Mesa de </w:t>
      </w:r>
      <w:r>
        <w:lastRenderedPageBreak/>
        <w:t>esa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General de este Tribunal el 6 de noviembre de 2013, el Presidente del Senado comunicó el acuerdo de la Mesa de la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en este Tribunal el 14 de noviembre de 2013, el Abogado del Estado se personó en el presente proceso constitucional y formuló las alegaciones que a continuación se sintetizan. 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85709A" w:rsidRDefault="0085709A" w:rsidP="0085709A">
      <w:pPr>
        <w:pStyle w:val="TextoNormal"/>
      </w:pPr>
    </w:p>
    <w:p w:rsidR="0085709A" w:rsidRDefault="0085709A" w:rsidP="0085709A">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85709A" w:rsidRDefault="0085709A" w:rsidP="0085709A">
      <w:pPr>
        <w:pStyle w:val="TextoNormal"/>
      </w:pPr>
    </w:p>
    <w:p w:rsidR="0085709A" w:rsidRDefault="0085709A" w:rsidP="0085709A">
      <w:pPr>
        <w:pStyle w:val="TextoNormal"/>
      </w:pPr>
      <w: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w:t>
      </w:r>
      <w:r>
        <w:lastRenderedPageBreak/>
        <w:t>Decreto-ley 20/2012, o si, por el contrario, se trataba de una expectativa de derecho o de un derecho futuro o condicionado.</w:t>
      </w:r>
    </w:p>
    <w:p w:rsidR="0085709A" w:rsidRDefault="0085709A" w:rsidP="0085709A">
      <w:pPr>
        <w:pStyle w:val="TextoNormal"/>
      </w:pPr>
    </w:p>
    <w:p w:rsidR="0085709A" w:rsidRDefault="0085709A" w:rsidP="0085709A">
      <w:pPr>
        <w:pStyle w:val="TextoNormal"/>
      </w:pPr>
      <w:r>
        <w:t>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85709A" w:rsidRDefault="0085709A" w:rsidP="0085709A">
      <w:pPr>
        <w:pStyle w:val="TextoNormal"/>
      </w:pPr>
    </w:p>
    <w:p w:rsidR="0085709A" w:rsidRDefault="0085709A" w:rsidP="0085709A">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85709A" w:rsidRDefault="0085709A" w:rsidP="0085709A">
      <w:pPr>
        <w:pStyle w:val="TextoNormal"/>
      </w:pPr>
    </w:p>
    <w:p w:rsidR="0085709A" w:rsidRDefault="0085709A" w:rsidP="0085709A">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w:t>
      </w:r>
      <w:r>
        <w:lastRenderedPageBreak/>
        <w:t>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85709A" w:rsidRDefault="0085709A" w:rsidP="0085709A">
      <w:pPr>
        <w:pStyle w:val="TextoNormal"/>
      </w:pPr>
    </w:p>
    <w:p w:rsidR="0085709A" w:rsidRDefault="0085709A" w:rsidP="0085709A">
      <w:pPr>
        <w:pStyle w:val="TextoNormal"/>
      </w:pPr>
      <w:r>
        <w:t>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 (por ejemplo, para evitar operaciones de elusión fiscal). Así las cosas, afirma el Abogado del Estado que no existe razón para negar la concurrencia de un “interés general” dada la situación descrita de grave crisis económica (al borde, incluso, del rescate financiero de España cuando se adoptó la medida cuestionada).</w:t>
      </w:r>
    </w:p>
    <w:p w:rsidR="0085709A" w:rsidRDefault="0085709A" w:rsidP="0085709A">
      <w:pPr>
        <w:pStyle w:val="TextoNormal"/>
      </w:pPr>
    </w:p>
    <w:p w:rsidR="0085709A" w:rsidRDefault="0085709A" w:rsidP="0085709A">
      <w:pPr>
        <w:pStyle w:val="TextoNormal"/>
      </w:pPr>
      <w:r>
        <w:t>Finalmente, niega el Abogado del Estado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la justificaban desde la perspectiva de la proporcionalidad. Se recuerda que, por el contrario, en el presente caso no existen motivos “difusos”, sino concretos de interés general, y que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se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14 de julio, que es lo único que se discute en la presente cuestión de inconstitucionalidad. Por todo ello, se interesa la desestimación de la cuestión.</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en este Tribunal el 18 de noviembre de 2013, el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w:t>
      </w:r>
    </w:p>
    <w:p w:rsidR="0085709A" w:rsidRDefault="0085709A" w:rsidP="0085709A">
      <w:pPr>
        <w:pStyle w:val="TextoNormal"/>
      </w:pPr>
    </w:p>
    <w:p w:rsidR="0085709A" w:rsidRDefault="0085709A" w:rsidP="0085709A">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w:t>
      </w:r>
      <w:r>
        <w:lastRenderedPageBreak/>
        <w:t>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85709A" w:rsidRDefault="0085709A" w:rsidP="0085709A">
      <w:pPr>
        <w:pStyle w:val="TextoNormal"/>
      </w:pPr>
    </w:p>
    <w:p w:rsidR="0085709A" w:rsidRDefault="0085709A" w:rsidP="0085709A">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85709A">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85709A" w:rsidRDefault="0085709A" w:rsidP="0085709A">
      <w:pPr>
        <w:pStyle w:val="TextoNormal"/>
      </w:pPr>
    </w:p>
    <w:p w:rsidR="0085709A" w:rsidRDefault="0085709A" w:rsidP="0085709A">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85709A" w:rsidRDefault="0085709A" w:rsidP="0085709A">
      <w:pPr>
        <w:pStyle w:val="TextoNormal"/>
      </w:pPr>
    </w:p>
    <w:p w:rsidR="0085709A" w:rsidRDefault="0085709A" w:rsidP="0085709A">
      <w:pPr>
        <w:pStyle w:val="TextoNormal"/>
      </w:pPr>
      <w:r>
        <w:lastRenderedPageBreak/>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veintiuno de mayo de 2015 se señaló para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de la Audiencia Nacional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 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2002).</w:t>
      </w:r>
    </w:p>
    <w:p w:rsidR="0085709A" w:rsidRDefault="0085709A" w:rsidP="0085709A">
      <w:pPr>
        <w:pStyle w:val="TextoNormal"/>
      </w:pPr>
    </w:p>
    <w:p w:rsidR="0085709A" w:rsidRDefault="0085709A" w:rsidP="0085709A">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al análisis de la cuestión planteada conviene realizar una serie de precisiones para acotar debidamente el objeto de la misma y el alcance de nuestro enjuiciamiento.</w:t>
      </w:r>
    </w:p>
    <w:p w:rsidR="0085709A" w:rsidRDefault="0085709A" w:rsidP="0085709A">
      <w:pPr>
        <w:pStyle w:val="TextoNormal"/>
      </w:pPr>
    </w:p>
    <w:p w:rsidR="0085709A" w:rsidRDefault="0085709A" w:rsidP="0085709A">
      <w:pPr>
        <w:pStyle w:val="TextoNormal"/>
      </w:pPr>
      <w:r>
        <w:t xml:space="preserve">a) Así,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varios sindicatos con motivo de la supresión, por aplicación de las previsiones </w:t>
      </w:r>
      <w:r>
        <w:lastRenderedPageBreak/>
        <w:t>contenidas en el Real Decreto-ley 20/2012, de la paga o gratificación extraordinaria de diciembre de 2012 al personal laboral de la Agencia Estatal de la Administración Tributaria (AEAT), proceso en el que lo pretendido por los demandantes con carácter subsidiario a la pretensión principal (referida a que no se aplique en este organismo público la medida de supresión de la paga extra de diciembre de 2012) es justamente que se declare el derecho de los trabajadores de la AEAT a percibir la parte proporcional de la paga extra de diciembre de 2012 que consideran ya devengada al momento de la entrada en vigor del Real Decreto-ley 20/2012, porque, de acuerdo con el art. 9.3 CE en relación con el art. 33.3 CE, no cabe que la supresión de esa paga extra por el Real Decreto-ley 20/2012 tenga efectos retroactivos.</w:t>
      </w:r>
    </w:p>
    <w:p w:rsidR="0085709A" w:rsidRDefault="0085709A" w:rsidP="0085709A">
      <w:pPr>
        <w:pStyle w:val="TextoNormal"/>
      </w:pPr>
    </w:p>
    <w:p w:rsidR="0085709A" w:rsidRDefault="0085709A" w:rsidP="0085709A">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85709A" w:rsidRDefault="0085709A" w:rsidP="0085709A">
      <w:pPr>
        <w:pStyle w:val="TextoNormal"/>
      </w:pPr>
    </w:p>
    <w:p w:rsidR="0085709A" w:rsidRDefault="0085709A" w:rsidP="0085709A">
      <w:pPr>
        <w:pStyle w:val="TextoNormal"/>
      </w:pPr>
      <w: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demandantes en el proceso </w:t>
      </w:r>
      <w:r w:rsidRPr="0085709A">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(en concreto, catorce días del mes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85709A">
        <w:rPr>
          <w:i/>
        </w:rPr>
        <w:t>a quo</w:t>
      </w:r>
      <w:r>
        <w:t>) deberá, pues, ceñirse nuestro enjuiciamiento.</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y en su apartado segundo dispone las reglas para el abono de dichas cantidades al personal del sector público estatal (entre el que se encuentran los trabajadores de la AEAT),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w:t>
      </w:r>
      <w:r>
        <w:lastRenderedPageBreak/>
        <w:t>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85709A" w:rsidRDefault="0085709A" w:rsidP="0085709A">
      <w:pPr>
        <w:pStyle w:val="TextoNormal"/>
      </w:pPr>
    </w:p>
    <w:p w:rsidR="0085709A" w:rsidRDefault="0085709A" w:rsidP="0085709A">
      <w:pPr>
        <w:pStyle w:val="TextoNormal"/>
      </w:pPr>
      <w:r>
        <w:t>En el presente caso, ha de estarse a lo dispuesto en el apartado III de la referida instrucción, que contiene las reglas aplicables al personal laboral del sector público estatal al que no le resulte de aplicación el III convenio colectivo único del personal laboral al servicio de la Administración general del Estado, pues en esta situación se encuentra el personal incluido en el ámbito de aplicación del convenio de la Agencia Estatal de Administración Tributaria, según resulta del párrafo segundo del apartado segundo del art. 1 del III convenio colectivo único para el personal laboral de la Administración general Del Estado, publicado por resolución de 3 de noviembre de 2009 (“BOE” núm. 273, de 12 de noviembre de 2009), al que le es de aplicación el IV convenio colectivo del personal laboral de la AEAT, publicado por resolución de 23 de junio de 2006 (“BOE” núm. 164, de 11 julio 2006).</w:t>
      </w:r>
    </w:p>
    <w:p w:rsidR="0085709A" w:rsidRDefault="0085709A" w:rsidP="0085709A">
      <w:pPr>
        <w:pStyle w:val="TextoNormal"/>
      </w:pPr>
    </w:p>
    <w:p w:rsidR="0085709A" w:rsidRDefault="0085709A" w:rsidP="0085709A">
      <w:pPr>
        <w:pStyle w:val="TextoNormal"/>
      </w:pPr>
      <w: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el pleito </w:t>
      </w:r>
      <w:r w:rsidRPr="0085709A">
        <w:rPr>
          <w:i/>
        </w:rPr>
        <w:t>a quo</w:t>
      </w:r>
      <w:r>
        <w:t>, “que afecta de modo determinante a la subsistencia del presente proceso constitucional, dada la estrecha vinculación existente entre toda cuestión de inconstitucionalidad y el procedimiento judicial de que dimana.”</w:t>
      </w:r>
    </w:p>
    <w:p w:rsidR="0085709A" w:rsidRDefault="0085709A" w:rsidP="0085709A">
      <w:pPr>
        <w:pStyle w:val="TextoNormal"/>
      </w:pPr>
    </w:p>
    <w:p w:rsidR="0085709A" w:rsidRDefault="0085709A" w:rsidP="0085709A">
      <w:pPr>
        <w:pStyle w:val="TextoNormal"/>
      </w:pPr>
      <w:r>
        <w:t>En la presente cuestión de inconstitucionalidad se plantea si la supresión del derecho de los trabajadores de la entidad de derecho público —AEAT— a percibir la parte proporcional (en concreto, catorce días) de la paga extra de diciembre de 2012, por entenderse ya devengada al momento de la entrada en vigor del Real Decreto-ley 20/2012, contraviene el art. 9.3 CE, en relación con el art. 33.3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85709A" w:rsidRDefault="0085709A" w:rsidP="0085709A">
      <w:pPr>
        <w:pStyle w:val="TextoNormal"/>
      </w:pPr>
    </w:p>
    <w:p w:rsidR="0085709A" w:rsidRDefault="0085709A" w:rsidP="0085709A">
      <w:pPr>
        <w:pStyle w:val="TextoNormal"/>
      </w:pPr>
      <w:r>
        <w:t>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w:t>
      </w:r>
      <w:r>
        <w:lastRenderedPageBreak/>
        <w:t>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la extinción de la presente cuestión de inconstitucionalidad por desaparición sobrevenida de su objeto.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1" w:name="SENTENCIA_2015_98"/>
      <w:r>
        <w:lastRenderedPageBreak/>
        <w:t>SENTENCIA 98/2015, de 25 de mayo de 2015</w:t>
      </w:r>
    </w:p>
    <w:bookmarkEnd w:id="101"/>
    <w:p w:rsidR="0085709A" w:rsidRDefault="0085709A" w:rsidP="0085709A">
      <w:pPr>
        <w:pStyle w:val="TtuloResolucin"/>
      </w:pPr>
      <w:r>
        <w:t>Sala Segunda</w:t>
      </w:r>
    </w:p>
    <w:p w:rsidR="0085709A" w:rsidRDefault="0085709A" w:rsidP="0085709A">
      <w:pPr>
        <w:pStyle w:val="TtuloBOE"/>
      </w:pPr>
      <w:r>
        <w:t>(BOE núm. 159, de 4 de julio de 2015)</w:t>
      </w:r>
    </w:p>
    <w:p w:rsidR="0085709A" w:rsidRDefault="0085709A" w:rsidP="0085709A">
      <w:pPr>
        <w:pStyle w:val="TextoNormalCentrado"/>
      </w:pPr>
      <w:r>
        <w:t>ECLI:ES:TC:2015:98</w:t>
      </w:r>
    </w:p>
    <w:p w:rsidR="0085709A" w:rsidRDefault="0085709A" w:rsidP="0085709A">
      <w:pPr>
        <w:pStyle w:val="TextoNormalCentrado"/>
      </w:pPr>
    </w:p>
    <w:p w:rsidR="0085709A" w:rsidRDefault="0085709A" w:rsidP="0085709A">
      <w:pPr>
        <w:pStyle w:val="SntesisDescriptiva"/>
      </w:pPr>
      <w:r>
        <w:t>Recurso de amparo 6628-2013. Promovido por don Carlos Quintana Peña en relación con la inadmisión del incidente de nulidad de actuaciones que formuló frente a la Sentencia dictada por el Juzgado de Primera Instancia núm. 24 de Sevilla, en proceso de propiedad horizontal.</w:t>
      </w:r>
    </w:p>
    <w:p w:rsidR="0085709A" w:rsidRDefault="0085709A" w:rsidP="0085709A">
      <w:pPr>
        <w:pStyle w:val="SntesisDescriptiva"/>
      </w:pPr>
    </w:p>
    <w:p w:rsidR="0085709A" w:rsidRDefault="0085709A" w:rsidP="0085709A">
      <w:pPr>
        <w:pStyle w:val="SntesisAnaltica"/>
      </w:pPr>
      <w:r>
        <w:t>Vulneración del derecho a la tutela judicial efectiva (acceso al recurso): inadmisión sin motivación de un incidente de nulidad de actuaciones (STC 204/2014).</w:t>
      </w:r>
    </w:p>
    <w:p w:rsidR="0085709A" w:rsidRDefault="0085709A" w:rsidP="0085709A">
      <w:pPr>
        <w:pStyle w:val="SntesisAnaltica"/>
      </w:pPr>
    </w:p>
    <w:p w:rsidR="0085709A" w:rsidRDefault="0085709A" w:rsidP="0085709A">
      <w:pPr>
        <w:pStyle w:val="Extracto"/>
      </w:pPr>
      <w:r>
        <w:t>1.</w:t>
      </w:r>
      <w:r>
        <w:tab/>
        <w:t>En su resolución, el órgano judicial tendría que haber ofrecido una motivación suficiente, aunque fuera sucinta, que justificase la no admisión a trámite del incidente de nulidad de actuaciones por dicha causa, motivación que sin embargo no se ha explicitado por referencia a ningún elemento que hiciera al incidente inequívocamente improcedente [FJ 4].</w:t>
      </w:r>
    </w:p>
    <w:p w:rsidR="0085709A" w:rsidRDefault="0085709A" w:rsidP="0085709A">
      <w:pPr>
        <w:pStyle w:val="Extracto"/>
      </w:pPr>
    </w:p>
    <w:p w:rsidR="0085709A" w:rsidRDefault="0085709A" w:rsidP="0085709A">
      <w:pPr>
        <w:pStyle w:val="Extracto"/>
      </w:pPr>
      <w:r>
        <w:t>2.</w:t>
      </w:r>
      <w:r>
        <w:tab/>
        <w:t>Aunque el derecho de acceso a la jurisdicción y el de acceso a los recursos legalmente establecidos se encuentren ínsitos en el art. 24.1 CE, el primero es un componente medular del derecho fundamental a la tutela judicial efectiva y que no viene otorgado por la ley, sino que nace de la Constitución misma; mientras que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 (SSTC 20/2012, 37/1995) [FJ 4].</w:t>
      </w:r>
    </w:p>
    <w:p w:rsidR="0085709A" w:rsidRDefault="0085709A" w:rsidP="0085709A">
      <w:pPr>
        <w:pStyle w:val="Extracto"/>
      </w:pPr>
    </w:p>
    <w:p w:rsidR="0085709A" w:rsidRDefault="0085709A" w:rsidP="0085709A">
      <w:pPr>
        <w:pStyle w:val="Extracto"/>
      </w:pPr>
      <w:r>
        <w:t>3.</w:t>
      </w:r>
      <w:r>
        <w:tab/>
        <w:t>Doctrina sobre la función del incidente de nulidad de actuaciones como instrumento de tutela de los derechos fundamentales ante la jurisdicción ordinaria (STC 204/2014)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 6628-2013, promovido por don Carlos Quintana Peña, representado por la Procuradora de los Tribunales doña Mar Martínez Bueno y asistido por el Abogado don José María Sánchez Torres, contra la providencia de 26 de septiembre de 2013 del Juzgado de Primera Instancia núm. 24 de Sevilla, dictada en el procedimiento de juicio ordinario de propiedad horizontal núm. 963-2008, que inadmitió a trámite el incidente de nulidad de actuaciones formalizado contra la Sentencia núm. 48/2010, de 3 de marzo de 2010. Ha comparecido el Procurador don Luciano Rosch Nadal, en nombre y representación de la comunidad de propietarios del edificio sito en la calle Felipe II, núm. 20, de Sevilla. Ha intervenido el Ministerio Fiscal.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día 13 de noviembre de 2013, la Procuradora de los Tribunales doña Mar Martínez Bueno, actuando en nombre y representación de don Carlos Quintana Peña, presentó recurso de amparo constitucional contra la providencia de 26 de septiembre de 2013 citada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son, en síntesis, los siguientes:</w:t>
      </w:r>
    </w:p>
    <w:p w:rsidR="0085709A" w:rsidRDefault="0085709A" w:rsidP="0085709A">
      <w:pPr>
        <w:pStyle w:val="TextoNormal"/>
      </w:pPr>
    </w:p>
    <w:p w:rsidR="0085709A" w:rsidRDefault="0085709A" w:rsidP="0085709A">
      <w:pPr>
        <w:pStyle w:val="TextoNormal"/>
      </w:pPr>
      <w:r>
        <w:t>a) En el Juzgado de Primera Instancia núm. 24 de Sevilla se siguió procedimiento de juicio ordinario a iniciativa de la comunidad de propietarios del edificio de la calle Felipe II núm. 20 de esa ciudad, entablado contra el hoy recurrente en amparo y un hermano de éste en tanto que nudos propietarios de dos locales sitos en el mismo y en razón de alteraciones en su estructura realizadas sin contar con el acuerdo unánime de la junta de propietarios. Se solicitaba la declaración de ilegalidad de la obra ejecutada, mediante la que habían puesto en comunicación, a través de una escalera interior y rompiendo el forjado, los dos locales, así como que se les obligase a derruir lo construido y volver las cosas a su primitivo estado.</w:t>
      </w:r>
    </w:p>
    <w:p w:rsidR="0085709A" w:rsidRDefault="0085709A" w:rsidP="0085709A">
      <w:pPr>
        <w:pStyle w:val="TextoNormal"/>
      </w:pPr>
    </w:p>
    <w:p w:rsidR="0085709A" w:rsidRDefault="0085709A" w:rsidP="0085709A">
      <w:pPr>
        <w:pStyle w:val="TextoNormal"/>
      </w:pPr>
      <w:r>
        <w:t>b) Tras diversos intentos de emplazamiento personal a los demandados, practicados con resultado siempre negativo en diferentes domicilios (obtenidos algunos de ellos de la Agencia Tributaria y del Instituto Nacional de Estadística), el juzgador acordó la práctica de la diligencia por edictos. Posteriormente, no habiendo comparecido dentro del plazo para contestar a la demanda, de conformidad con lo dispuesto en el art. 496.1 de la Ley de enjuiciamiento civil (LEC), fueron declarados en situación de rebeldía procesal por providencia de 18 de septiembre de 2009.</w:t>
      </w:r>
    </w:p>
    <w:p w:rsidR="0085709A" w:rsidRDefault="0085709A" w:rsidP="0085709A">
      <w:pPr>
        <w:pStyle w:val="TextoNormal"/>
      </w:pPr>
    </w:p>
    <w:p w:rsidR="0085709A" w:rsidRDefault="0085709A" w:rsidP="0085709A">
      <w:pPr>
        <w:pStyle w:val="TextoNormal"/>
      </w:pPr>
      <w:r>
        <w:t>c) Celebrada la audiencia previa con la sola presencia de la parte actora, dictó Sentencia el Juzgado, el día 3 de marzo de 2010, con estimación en su integridad de las pretensiones de la parte demandante. La Sentencia fue notificada por edictos en el “Boletín Oficial de la Junta de Andalucía” de 21 de enero de 2011.</w:t>
      </w:r>
    </w:p>
    <w:p w:rsidR="0085709A" w:rsidRDefault="0085709A" w:rsidP="0085709A">
      <w:pPr>
        <w:pStyle w:val="TextoNormal"/>
      </w:pPr>
    </w:p>
    <w:p w:rsidR="0085709A" w:rsidRDefault="0085709A" w:rsidP="0085709A">
      <w:pPr>
        <w:pStyle w:val="TextoNormal"/>
      </w:pPr>
      <w:r>
        <w:t xml:space="preserve">d) El día 23 de septiembre de 2013, el recurrente en amparo formalizó incidente de nulidad de actuaciones contra la Sentencia de 3 de marzo de 2010, solicitando la nulidad de todo lo actuado desde la resolución de admisión a trámite de la demanda. Alegaba la violación </w:t>
      </w:r>
      <w:r>
        <w:lastRenderedPageBreak/>
        <w:t>del derecho a la tutela judicial sin indefensión (art. 24.1 CE), denunciando una actuación torticera de la parte actora, que según decía y trataba de acreditar conocía su verdadero domicilio, y asimismo la infracción de lo dispuesto en el art. 156 LEC, al no haberse intentado la citación personal en todos los domicilios obtenidos tras la averiguación judicial acordada en su momento y llevada a efecto con la Agencia Tributaria y el Instituto Nacional de Estadística.</w:t>
      </w:r>
    </w:p>
    <w:p w:rsidR="0085709A" w:rsidRDefault="0085709A" w:rsidP="0085709A">
      <w:pPr>
        <w:pStyle w:val="TextoNormal"/>
      </w:pPr>
    </w:p>
    <w:p w:rsidR="0085709A" w:rsidRDefault="0085709A" w:rsidP="0085709A">
      <w:pPr>
        <w:pStyle w:val="TextoNormal"/>
      </w:pPr>
      <w:r>
        <w:t>e) El remedio procesal fue inadmitido por la providencia recurrida en amparo, de 26 de septiembre de 2013, cuyo tenor literal es el siguiente: “Planteado incidente excepcional de nulidad de actuaciones por el Procurador Jesús Tortajada Sánchez en nombre y representación de Carlos Quintana Peña, en el que se solicita la nulidad de actuaciones, y no estando esta cuestión legalmente prevista en el artículo 228.1 de la L.E.C., acuerdo la inadmisión a trámite del incidente de nulidad”.</w:t>
      </w:r>
    </w:p>
    <w:p w:rsidR="0085709A" w:rsidRDefault="0085709A" w:rsidP="0085709A">
      <w:pPr>
        <w:pStyle w:val="TextoNormal"/>
      </w:pPr>
    </w:p>
    <w:p w:rsidR="0085709A" w:rsidRDefault="0085709A" w:rsidP="0085709A">
      <w:pPr>
        <w:pStyle w:val="TextoNormal"/>
      </w:pPr>
      <w:r w:rsidRPr="0085709A">
        <w:rPr>
          <w:rStyle w:val="NumeroAFNegritaCaracter"/>
        </w:rPr>
        <w:t>3</w:t>
      </w:r>
      <w:r>
        <w:t>. La parte demandante de amparo denuncia la vulneración del art. 24.1 CE por la providencia de 26 de septiembre de 2013, recién transcrita, por su manifiesta falta de motivación, al no dar la más mínima explicación de la conclusión que alcanza, así como por lo erróneo de dicha motivación, toda vez que la inadmisión acordada revelaría una interpretación rigorista de los requisitos legales de acceso al incidente de nulidad de actuaciones, no entendiéndose la razón por la que el juzgador considera que el supuesto enjuiciado no está legalmente previsto en el art. 228.1 LEC.</w:t>
      </w:r>
    </w:p>
    <w:p w:rsidR="0085709A" w:rsidRDefault="0085709A" w:rsidP="0085709A">
      <w:pPr>
        <w:pStyle w:val="TextoNormal"/>
      </w:pPr>
    </w:p>
    <w:p w:rsidR="0085709A" w:rsidRDefault="0085709A" w:rsidP="0085709A">
      <w:pPr>
        <w:pStyle w:val="TextoNormal"/>
      </w:pPr>
      <w:r>
        <w:t>Por todo ello, solicita que se declare la nulidad de la providencia de referencia, se reconozca su derecho a la tutela judicial efectiva sin indefensión y se le restablezca en la integridad del mismo con la retroacción de las actuaciones al momento anterior al del dictado de aquélla, para que se pronuncie de nuevo el órgano judicial de manera respetuosa con el derecho fundamental vulnerado.</w:t>
      </w:r>
    </w:p>
    <w:p w:rsidR="0085709A" w:rsidRDefault="0085709A" w:rsidP="0085709A">
      <w:pPr>
        <w:pStyle w:val="TextoNormal"/>
      </w:pPr>
    </w:p>
    <w:p w:rsidR="0085709A" w:rsidRDefault="0085709A" w:rsidP="0085709A">
      <w:pPr>
        <w:pStyle w:val="TextoNormal"/>
      </w:pPr>
      <w:r w:rsidRPr="0085709A">
        <w:rPr>
          <w:rStyle w:val="NumeroAFNegritaCaracter"/>
        </w:rPr>
        <w:t>4</w:t>
      </w:r>
      <w:r>
        <w:t>. En virtud de providencia de la Sala Segunda de este Tribunal, de 21 de julio de 2014, se acordó la admisión a trámite de la demanda de amparo y, habiéndose previamente interesado la remisión de certificación de las actuaciones jurisdiccionales, se requirió al Juzgado de Primera Instancia núm. 24 de Sevilla para que efectuara los emplazamientos correspondientes.</w:t>
      </w:r>
    </w:p>
    <w:p w:rsidR="0085709A" w:rsidRDefault="0085709A" w:rsidP="0085709A">
      <w:pPr>
        <w:pStyle w:val="TextoNormal"/>
      </w:pPr>
    </w:p>
    <w:p w:rsidR="0085709A" w:rsidRDefault="0085709A" w:rsidP="0085709A">
      <w:pPr>
        <w:pStyle w:val="TextoNormal"/>
      </w:pPr>
      <w:r w:rsidRPr="0085709A">
        <w:rPr>
          <w:rStyle w:val="NumeroAFNegritaCaracter"/>
        </w:rPr>
        <w:t>5</w:t>
      </w:r>
      <w:r>
        <w:t>. En escrito registrado en este Tribunal el día 15 de septiembre de 2014, don Luciano Rosch Nadal, Procurador de los Tribunales, solicitó que se le tuviera por personado y parte en nombre de la comunidad de propietarios del edificio sito en el núm. 20 de la calle Felipe II de Sevilla.</w:t>
      </w:r>
    </w:p>
    <w:p w:rsidR="0085709A" w:rsidRDefault="0085709A" w:rsidP="0085709A">
      <w:pPr>
        <w:pStyle w:val="TextoNormal"/>
      </w:pPr>
    </w:p>
    <w:p w:rsidR="0085709A" w:rsidRDefault="0085709A" w:rsidP="0085709A">
      <w:pPr>
        <w:pStyle w:val="TextoNormal"/>
      </w:pPr>
      <w:r w:rsidRPr="0085709A">
        <w:rPr>
          <w:rStyle w:val="NumeroAFNegritaCaracter"/>
        </w:rPr>
        <w:t>6</w:t>
      </w:r>
      <w:r>
        <w:t>. Por ATC 225/2014, de 22 de septiembre, se denegó la suspensión solicitada en la demanda, con arreglo a lo dispuesto en el art. 56 de la Ley Orgánica del Tribunal Constitucional (LOTC).</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la Secretaría de Justicia de la Sala Segunda de este Tribunal, de 1 de octubre de 2014, se tuvo por personado y parte al Procurador de la comu</w:t>
      </w:r>
      <w:r>
        <w:lastRenderedPageBreak/>
        <w:t>nidad de propietarios mencionada y se acordó abrir un plazo común de veinte días al Ministerio Fiscal y a las partes personadas, de conformidad con el art. 52.1 LOTC, para que pudieran presentar las alegaciones que a su derecho conviniere.</w:t>
      </w:r>
    </w:p>
    <w:p w:rsidR="0085709A" w:rsidRDefault="0085709A" w:rsidP="0085709A">
      <w:pPr>
        <w:pStyle w:val="TextoNormal"/>
      </w:pPr>
    </w:p>
    <w:p w:rsidR="0085709A" w:rsidRDefault="0085709A" w:rsidP="0085709A">
      <w:pPr>
        <w:pStyle w:val="TextoNormal"/>
      </w:pPr>
      <w:r w:rsidRPr="0085709A">
        <w:rPr>
          <w:rStyle w:val="NumeroAFNegritaCaracter"/>
        </w:rPr>
        <w:t>8</w:t>
      </w:r>
      <w:r>
        <w:t>. La representación procesal de la Comunidad de propietarios del edificio sito en el núm. 20 de la calle Felipe II de Sevilla evacuó el trámite de alegaciones el día 31 de octubre de 2014, interesando la denegación del amparo interesado.</w:t>
      </w:r>
    </w:p>
    <w:p w:rsidR="0085709A" w:rsidRDefault="0085709A" w:rsidP="0085709A">
      <w:pPr>
        <w:pStyle w:val="TextoNormal"/>
      </w:pPr>
    </w:p>
    <w:p w:rsidR="0085709A" w:rsidRDefault="0085709A" w:rsidP="0085709A">
      <w:pPr>
        <w:pStyle w:val="TextoNormal"/>
      </w:pPr>
      <w:r>
        <w:t>Rechaza en su escrito que existiera fraudulenta maquinación procesal para impedir la notificación al ahora recurrente; denuncia que el demandante hace una relación interesada sobre la forma en que fue practicado el emplazamiento; afirma que no es cierto que la comunidad de propietarios conociera el domicilio donde podría haberse llevado a efecto la notificación personal; cita resoluciones judiciales que a su juicio revelan que no hubo tampoco infracción del art. 156 LEC y, finalmente, en cuanto a la verdadera alegación de la demanda de amparo (quiebra del derecho a la motivación del art. 24.1 CE por parte de la providencia recurrida), sostiene que el juzgador no tenía obligación de hacer mayores consideraciones, ya que, en virtud de lo dispuesto en el artículo 228.1 LEC, puede acordarse la inadmisión mediante providencia sucintamente motivada, lo que resultó satisfecho, más aún a la vista de la actuación maliciosa de los demandados, feha-cientemente acreditada.</w:t>
      </w:r>
    </w:p>
    <w:p w:rsidR="0085709A" w:rsidRDefault="0085709A" w:rsidP="0085709A">
      <w:pPr>
        <w:pStyle w:val="TextoNormal"/>
      </w:pPr>
    </w:p>
    <w:p w:rsidR="0085709A" w:rsidRDefault="0085709A" w:rsidP="0085709A">
      <w:pPr>
        <w:pStyle w:val="TextoNormal"/>
      </w:pPr>
      <w:r>
        <w:t>Por lo demás, resalta que el deber de motivación aducido ha sido abordado en la STC 184/1998, de 28 de septiembre, y entre otras adicionales en las que se citan en la misma, por lo que el recurso que nos ocupa carecería de especial trascendencia constitucional.</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ante el Tribunal Constitucional registró su escrito el día 4 de noviembre de 2014. A su criterio, la providencia recurrida carece absolutamente de motivación. Con su silencio argumental privó al recurrente del acceso al incidente de nulidad y de una respuesta sobre sus alegaciones en garantía del derecho a la tutela judicial efectiva sin indefensión (art. 24. 1 CE). En razón de ello, compartiendo lo pedido por el recurrente, solicita la nulidad de la providencia de 26 de septiembre de 2013 y la retroacción de las actuaciones al momento inmediatamente anterior a que fuera dictada, para que por el Juez de Primera Instancia núm. 24 de Sevilla se dicte otra nueva respetuosa con el derecho fundamental vulnerado.</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21 de mayo de 2015, se señaló para la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demandante de amparo dirige su queja contra la providencia de 26 de septiembre de 2013 del Juzgado de Primera Instancia núm. 24 de Sevilla, dictada en el procedimiento de juicio ordinario de propiedad horizontal núm. 963-2008, que inadmitió a trámite el incidente de nulidad de actuaciones formalizado contra la Sentencia núm. 48/2010, de 3 de marzo.</w:t>
      </w:r>
    </w:p>
    <w:p w:rsidR="0085709A" w:rsidRDefault="0085709A" w:rsidP="0085709A">
      <w:pPr>
        <w:pStyle w:val="TextoNormal"/>
      </w:pPr>
    </w:p>
    <w:p w:rsidR="0085709A" w:rsidRDefault="0085709A" w:rsidP="0085709A">
      <w:pPr>
        <w:pStyle w:val="TextoNormal"/>
      </w:pPr>
      <w:r>
        <w:t xml:space="preserve">Denuncia la demanda que la citada providencia ha vulnerado el derecho a la tutela judicial efectiva sin indefensión (art. 24.1 CE), como consecuencia de la falta de motivación </w:t>
      </w:r>
      <w:r>
        <w:lastRenderedPageBreak/>
        <w:t>con la que se declaró la inadmisión del incidente de nulidad de actuaciones, en los términos que recogimos en los antecedentes de este pronunciamiento constitucional. El Ministerio Fiscal ha solicitado el otorgamiento del amparo, de acuerdo con la tesis del demandante, oponiéndose en cambio la representación procesal de la Comunidad de Propietarios que intervino como parte actora en el proceso judicial y se ha personado en este procedimiento, que considera adicionalmente que el recurso carece de especial trascendencia constitucional [art. 50.1 b) de la Ley Orgánica del Tribunal Constitucional (LOTC)].</w:t>
      </w:r>
    </w:p>
    <w:p w:rsidR="0085709A" w:rsidRDefault="0085709A" w:rsidP="0085709A">
      <w:pPr>
        <w:pStyle w:val="TextoNormal"/>
      </w:pPr>
    </w:p>
    <w:p w:rsidR="0085709A" w:rsidRDefault="0085709A" w:rsidP="0085709A">
      <w:pPr>
        <w:pStyle w:val="TextoNormal"/>
      </w:pPr>
      <w:r w:rsidRPr="0085709A">
        <w:rPr>
          <w:rStyle w:val="NumeroAFNegritaCaracter"/>
        </w:rPr>
        <w:t>2</w:t>
      </w:r>
      <w:r>
        <w:t>. Al no articularse queja alguna frente a la Sentencia de 3 de marzo de 2010, que no es objeto del presente recurso de amparo, al igual que ocurriera en el enjuiciado en la STC 153/2012, de 16 de julio, o en el de la STC 204/2014, de 15 de diciembre, debemos contraer nuestro examen al control de la pretendida vulneración del art. 24.1 CE que se imputa a la providencia de 26 de septiembre de 2013, tal y como se solicita expresamente por el recurrente.</w:t>
      </w:r>
    </w:p>
    <w:p w:rsidR="0085709A" w:rsidRDefault="0085709A" w:rsidP="0085709A">
      <w:pPr>
        <w:pStyle w:val="TextoNormal"/>
      </w:pPr>
    </w:p>
    <w:p w:rsidR="0085709A" w:rsidRDefault="0085709A" w:rsidP="0085709A">
      <w:pPr>
        <w:pStyle w:val="TextoNormal"/>
      </w:pPr>
      <w:r>
        <w:t>Frente a ello, no puede prosperar la objeción de carencia de especial trascendencia constitucional del recurso [art. 50.1 b) LOTC] aducida por la comunidad de propietarios personada, toda vez que, como prueban precisamente las Sentencias que cita, u otras dictadas recientemente por este Tribunal y que serán objeto de referencia en los próximos fundamentos jurídicos, la resolución judicial impugnada debió inspirarse en la doctrina constitucional contenida en ellas, en contra de lo que hizo el juzgador, de suerte que el asunto da ocasión al Tribunal Constitucional de garantizar el cumplimiento de su jurisprudencia en la materia, que en este conjunto de resoluciones queda aclarada en sus exactos términos y extremos [STC 155/2009, de 25 de junio, FJ 2 b)], evitando dudas ulteriores sobre su alcance que puedan dar lugar a nuevas inaplicaciones objetivas de la misma, y atendiendo así a uno de los criterios legales que dotan de especial trascendencia constitucional al recurso de amparo, citado en el art. 50.1 b) LOTC, a saber: aquél que se dirige a velar por la aplicación y general eficacia de la Constitución (por todas, STC 21/2015, de 16 de febrero, FJ 2).</w:t>
      </w:r>
    </w:p>
    <w:p w:rsidR="0085709A" w:rsidRDefault="0085709A" w:rsidP="0085709A">
      <w:pPr>
        <w:pStyle w:val="TextoNormal"/>
      </w:pPr>
    </w:p>
    <w:p w:rsidR="0085709A" w:rsidRDefault="0085709A" w:rsidP="0085709A">
      <w:pPr>
        <w:pStyle w:val="TextoNormal"/>
      </w:pPr>
      <w:r>
        <w:t>Bastará añadir, por lo demás, que es a este Tribunal a quien corresponde apreciar si el contenido del recurso justifica una decisión sobre el fondo en razón de su especial trascendencia constitucional, que “encuentra su momento procesal idóneo en el trámite de admisión contemplado en el art. 50.1 LOTC” (STC192/2012, de 29 de octubre, FJ 2). Así lo hizo esta Sala, que no encuentra razones para alterar la decisión entonces adoptada.</w:t>
      </w:r>
    </w:p>
    <w:p w:rsidR="0085709A" w:rsidRDefault="0085709A" w:rsidP="0085709A">
      <w:pPr>
        <w:pStyle w:val="TextoNormal"/>
      </w:pPr>
    </w:p>
    <w:p w:rsidR="0085709A" w:rsidRDefault="0085709A" w:rsidP="0085709A">
      <w:pPr>
        <w:pStyle w:val="TextoNormal"/>
      </w:pPr>
      <w:r w:rsidRPr="0085709A">
        <w:rPr>
          <w:rStyle w:val="NumeroAFNegritaCaracter"/>
        </w:rPr>
        <w:t>3</w:t>
      </w:r>
      <w:r>
        <w:t>. El concreto objeto del recurso nos obliga a recordar, una vez más, con carácter previo al análisis del fondo del asunto, la función que cumple el incidente excepcional de nulidad de actuaciones como instrumento de tutela de los derechos fundamentales ante la jurisdicción ordinaria tras la reforma introducida por la Ley Orgánica 6/2007, de 24 de mayo.</w:t>
      </w:r>
    </w:p>
    <w:p w:rsidR="0085709A" w:rsidRDefault="0085709A" w:rsidP="0085709A">
      <w:pPr>
        <w:pStyle w:val="TextoNormal"/>
      </w:pPr>
    </w:p>
    <w:p w:rsidR="0085709A" w:rsidRDefault="0085709A" w:rsidP="0085709A">
      <w:pPr>
        <w:pStyle w:val="TextoNormal"/>
      </w:pPr>
      <w:r>
        <w:t xml:space="preserve">El protagonismo otorgado en la reforma a los Tribunales ordinarios a través de ese remedio procesal, acentuando su función como primeros garantes de los derechos fundamentales en el ordenamiento jurídico y con el fin de lograr que la tutela y defensa de esos derechos por parte del Tribunal Constitucional sea realmente subsidiaria, es puesta en conexión en nuestra doctrina con el requisito de la especial trascendencia constitucional [art. 50.1 b) LOTC], pues debe tenerse en cuenta en el proceso judicial que —de no tener el caso especial trascendencia constitucional— se trataría de la última vía que permitiría la reparación de la </w:t>
      </w:r>
      <w:r>
        <w:lastRenderedPageBreak/>
        <w:t>vulneración denunciada. Por ello hemos señalado que: i) cuando el planteamiento del incidente de nulidad de actuaciones resulte procedente, su inadmisión supone una preterición del mecanismo de tutela pertinente ante la jurisdicción ordinaria; ii) no puede considerarse el incidente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(STC 9/2014, de 27 de enero, FJ 3) [arts. 241.1 de la Ley Orgánica del Poder Judicial y 228 de la Ley de enjuiciamiento civil (LEC), en la redacción dada por el art. 15.128 de Ley 13/2009, de 3 noviembre, que es la norma que cita la providencia recurrida en este recurso de amparo]; o, en fin, iii) el órgano judicial debe, salvo que se den las causas de inadmisión de plano, en cuyo caso podrá realizarse una motivación sucinta, tramitar el incidente y razonar suficientemente, en todo caso, la decisión adoptada.</w:t>
      </w:r>
    </w:p>
    <w:p w:rsidR="0085709A" w:rsidRDefault="0085709A" w:rsidP="0085709A">
      <w:pPr>
        <w:pStyle w:val="TextoNormal"/>
      </w:pPr>
    </w:p>
    <w:p w:rsidR="0085709A" w:rsidRDefault="0085709A" w:rsidP="0085709A">
      <w:pPr>
        <w:pStyle w:val="TextoNormal"/>
      </w:pPr>
      <w:r w:rsidRPr="0085709A">
        <w:rPr>
          <w:rStyle w:val="NumeroAFNegritaCaracter"/>
        </w:rPr>
        <w:t>4</w:t>
      </w:r>
      <w:r>
        <w:t>. . En el asunto planteado en el recurso de amparo a examen, el Juzgado de Primera Instancia núm. 24 de Sevilla inadmitió el incidente de nulidad de actuaciones ya referido, limitándose a afirmar que “planteado incidente excepcional de nulidad de actuaciones por el Procurador Jesús Tortajada Sánchez en nombre y representación de Carlos Quintana Peña, en el que se solicita la nulidad de actuaciones, y no estando esta cuestión legalmente prevista en el artículo 228.1 de la L.E.C., acuerdo la inadmisión a trámite del incidente de nulidad”.</w:t>
      </w:r>
    </w:p>
    <w:p w:rsidR="0085709A" w:rsidRDefault="0085709A" w:rsidP="0085709A">
      <w:pPr>
        <w:pStyle w:val="TextoNormal"/>
      </w:pPr>
    </w:p>
    <w:p w:rsidR="0085709A" w:rsidRDefault="0085709A" w:rsidP="0085709A">
      <w:pPr>
        <w:pStyle w:val="TextoNormal"/>
      </w:pPr>
      <w:r>
        <w:t>El juicio sobre dicha respuesta debe realizarse a partir del canon propio del derecho de acceso al recurso, pues, aunque el incidente de nulidad de actuaciones no constituye un recurso en sentido estricto, es un remedio procesal que, al tener por objeto la revisión de resoluciones o actuaciones procesales, queda encuadrado en aquella vertiente del art. 24.1 CE. Desde esta perspectiva, como es sabido, el control de las resoluciones judiciales de inadmisión por parte de la jurisdicción constitucional es meramente externo y debe limitarse a comprobar si contienen motivación, si han incurrido o no en error material patente, en arbitrariedad o en manifiesta irrazonabilidad lógica, evitando toda ponderación acerca de su corrección jurídica (STC 204/2014, FJ 4, por todas).</w:t>
      </w:r>
    </w:p>
    <w:p w:rsidR="0085709A" w:rsidRDefault="0085709A" w:rsidP="0085709A">
      <w:pPr>
        <w:pStyle w:val="TextoNormal"/>
      </w:pPr>
    </w:p>
    <w:p w:rsidR="0085709A" w:rsidRDefault="0085709A" w:rsidP="0085709A">
      <w:pPr>
        <w:pStyle w:val="TextoNormal"/>
      </w:pPr>
      <w:r>
        <w:t>Como recordara la STC 20/2012, de 16 de febrero, FJ 5, desde la Sentencia de Pleno 37/1995, de 7 de febrero, este Tribunal ha subrayado el diferente relieve constitucional que posee el derecho de acceso a la jurisdicción y el de acceso a los recursos legalmente establecidos. Aunque ambos derechos se encuentran ínsitos en el art. 24.1 CE, 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w:t>
      </w:r>
    </w:p>
    <w:p w:rsidR="0085709A" w:rsidRDefault="0085709A" w:rsidP="0085709A">
      <w:pPr>
        <w:pStyle w:val="TextoNormal"/>
      </w:pPr>
    </w:p>
    <w:p w:rsidR="0085709A" w:rsidRDefault="0085709A" w:rsidP="0085709A">
      <w:pPr>
        <w:pStyle w:val="TextoNormal"/>
      </w:pPr>
      <w:r>
        <w:t xml:space="preserve">No habiendo razonado la providencia recurrida la inviabilidad del incidente por reiterar indebidamente lo ya planteado y resuelto en instancias previas (STC 205/2007, de 24 de septiembre, FJ 2) o por motivos de otro carácter, el fundamento de la inadmisión del remedio procesal ha quedado ceñido a la retórica declaración contenida en el pronunciamiento </w:t>
      </w:r>
      <w:r>
        <w:lastRenderedPageBreak/>
        <w:t>impugnado, a saber: no estar la cuestión planteada legalmente prevista en el artículo 228.1 LEC.</w:t>
      </w:r>
    </w:p>
    <w:p w:rsidR="0085709A" w:rsidRDefault="0085709A" w:rsidP="0085709A">
      <w:pPr>
        <w:pStyle w:val="TextoNormal"/>
      </w:pPr>
    </w:p>
    <w:p w:rsidR="0085709A" w:rsidRDefault="0085709A" w:rsidP="0085709A">
      <w:pPr>
        <w:pStyle w:val="TextoNormal"/>
      </w:pPr>
      <w:r>
        <w:t>Desde ese prisma concluimos que el órgano judicial vulneró el derecho a la tutela judicial efectiva del demandante de amparo (art. 24.1 CE), privándole de la tutela de los derechos fundamentales que proclama el art. 53.2 CE. En efecto, el órgano judicial tendría que haber ofrecido una motivación suficiente, aunque fuera sucinta, que justificase la no admisión a trámite del incidente de nulidad de actuaciones por dicha causa, motivación que sin embargo no se ha explicitado por referencia a ningún elemento que hiciera al incidente inequívocamente improcedente.</w:t>
      </w:r>
    </w:p>
    <w:p w:rsidR="0085709A" w:rsidRDefault="0085709A" w:rsidP="0085709A">
      <w:pPr>
        <w:pStyle w:val="TextoNormal"/>
      </w:pPr>
    </w:p>
    <w:p w:rsidR="0085709A" w:rsidRDefault="0085709A" w:rsidP="0085709A">
      <w:pPr>
        <w:pStyle w:val="TextoNormal"/>
      </w:pPr>
      <w:r>
        <w:t xml:space="preserve">Bajo esas circunstancias, como dijéramos en la citada STC 204/2014, FJ 4, el órgano judicial debió, cuando menos, haber motivado suficientemente su decisión de inadmisión, haciendo ver la auténtica </w:t>
      </w:r>
      <w:r w:rsidRPr="0085709A">
        <w:rPr>
          <w:i/>
        </w:rPr>
        <w:t>ratio decidendi</w:t>
      </w:r>
      <w:r>
        <w:t>. Y no lo hizo, por lo que, en atención a lo expuesto, resulta procedente la estimación del recurso de amparo, con nulidad de la providencia de 26 de septiembre de 2013 y la retroacción de actuaciones al momento inmediatamente anterior a su aprobación, para que se dicte una nueva resolución judicial que resulte respetuosa con el derecho fundamental reconocido (derecho de acceso al recurso, art. 24.1 CE).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por don Carlos Quintana Peña y, en consecuencia:</w:t>
      </w:r>
    </w:p>
    <w:p w:rsidR="0085709A" w:rsidRDefault="0085709A" w:rsidP="0085709A">
      <w:pPr>
        <w:pStyle w:val="TextoNormal"/>
      </w:pPr>
    </w:p>
    <w:p w:rsidR="0085709A" w:rsidRDefault="0085709A" w:rsidP="0085709A">
      <w:pPr>
        <w:pStyle w:val="TextoNormal"/>
      </w:pPr>
      <w:r>
        <w:t>1º Declarar que ha sido vulnerado su derecho fundamental a la tutela judicial efectiva (art. 24.1 CE).</w:t>
      </w:r>
    </w:p>
    <w:p w:rsidR="0085709A" w:rsidRDefault="0085709A" w:rsidP="0085709A">
      <w:pPr>
        <w:pStyle w:val="TextoNormal"/>
      </w:pPr>
    </w:p>
    <w:p w:rsidR="0085709A" w:rsidRDefault="0085709A" w:rsidP="0085709A">
      <w:pPr>
        <w:pStyle w:val="TextoNormal"/>
      </w:pPr>
      <w:r>
        <w:t>2º Restablecerle en su derecho y, a tal fin, declarar la nulidad de la providencia del Juzgado de Primera Instancia núm. 24 de Sevilla de 26 de septiembre de 2013, dictada en el procedimiento de juicio ordinario de propiedad horizontal núm. 963-2008, que inadmitió a trámite el incidente de nulidad de actuaciones formalizado contra la Sentencia núm. 48/2010, de 3 de marzo.</w:t>
      </w:r>
    </w:p>
    <w:p w:rsidR="0085709A" w:rsidRDefault="0085709A" w:rsidP="0085709A">
      <w:pPr>
        <w:pStyle w:val="TextoNormal"/>
      </w:pPr>
    </w:p>
    <w:p w:rsidR="0085709A" w:rsidRDefault="0085709A" w:rsidP="0085709A">
      <w:pPr>
        <w:pStyle w:val="TextoNormal"/>
      </w:pPr>
      <w:r>
        <w:t>3º Retrotraer las actuaciones al momento inmediatamente anterior al de dictarse la providencia anulada, para que se dicte nueva resolución judicial respetuosa con el derecho fundamental reconocido.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2" w:name="SENTENCIA_2015_99"/>
      <w:r>
        <w:lastRenderedPageBreak/>
        <w:t>SENTENCIA 99/2015, de 25 de mayo de 2015</w:t>
      </w:r>
    </w:p>
    <w:bookmarkEnd w:id="102"/>
    <w:p w:rsidR="0085709A" w:rsidRDefault="0085709A" w:rsidP="0085709A">
      <w:pPr>
        <w:pStyle w:val="TtuloResolucin"/>
      </w:pPr>
      <w:r>
        <w:t>Sala Primera</w:t>
      </w:r>
    </w:p>
    <w:p w:rsidR="0085709A" w:rsidRDefault="0085709A" w:rsidP="0085709A">
      <w:pPr>
        <w:pStyle w:val="TtuloBOE"/>
      </w:pPr>
      <w:r>
        <w:t>(BOE núm. 159, de 4 de julio de 2015)</w:t>
      </w:r>
    </w:p>
    <w:p w:rsidR="0085709A" w:rsidRDefault="0085709A" w:rsidP="0085709A">
      <w:pPr>
        <w:pStyle w:val="TextoNormalCentrado"/>
      </w:pPr>
      <w:r>
        <w:t>ECLI:ES:TC:2015:99</w:t>
      </w:r>
    </w:p>
    <w:p w:rsidR="0085709A" w:rsidRDefault="0085709A" w:rsidP="0085709A">
      <w:pPr>
        <w:pStyle w:val="TextoNormalCentrado"/>
      </w:pPr>
    </w:p>
    <w:p w:rsidR="0085709A" w:rsidRDefault="0085709A" w:rsidP="0085709A">
      <w:pPr>
        <w:pStyle w:val="SntesisDescriptiva"/>
      </w:pPr>
      <w:r>
        <w:t>Recurso de amparo 1082-2014. Promovido por doña María Elena Mariscal del Castillo en relación con la Sentencia dictada por la Sala de lo Contencioso-Administrativo del Tribunal Superior de Justicia de Andalucía sobre convocatoria de pruebas selectivas, por promoción interna, en la Administración general de la Junta de Andalucía.</w:t>
      </w:r>
    </w:p>
    <w:p w:rsidR="0085709A" w:rsidRDefault="0085709A" w:rsidP="0085709A">
      <w:pPr>
        <w:pStyle w:val="SntesisDescriptiva"/>
      </w:pPr>
    </w:p>
    <w:p w:rsidR="0085709A" w:rsidRDefault="0085709A" w:rsidP="0085709A">
      <w:pPr>
        <w:pStyle w:val="SntesisAnaltica"/>
      </w:pPr>
      <w:r>
        <w:t>Supuesta vulneración de los derechos a la tutela judicial efectiva, al juez ordinario predeterminado por la ley y a un proceso con todas las garantías: negativa no arbitraria ni irrazonable a plantear cuestión prejudicial ante el Tribunal de Justicia de la Unión Europea (STC 27/2013).</w:t>
      </w:r>
    </w:p>
    <w:p w:rsidR="0085709A" w:rsidRDefault="0085709A" w:rsidP="0085709A">
      <w:pPr>
        <w:pStyle w:val="SntesisAnaltica"/>
      </w:pPr>
    </w:p>
    <w:p w:rsidR="0085709A" w:rsidRDefault="0085709A" w:rsidP="0085709A">
      <w:pPr>
        <w:pStyle w:val="Extracto"/>
      </w:pPr>
      <w:r>
        <w:t>1.</w:t>
      </w:r>
      <w:r>
        <w:tab/>
        <w:t>La fundamentación ofrecida por el Tribunal de apelación no vulnera el derecho a la tutela judicial efectiva sin indefensión reconocido en el art. 24.1 CE dado que la Sentencia dictada por el Tribunal de apelación exterioriza adecuadamente cuáles han sido los criterios jurídicos que fundamentan la decisión adoptada, de manera que las partes han podido conocer la posición del órgano de enjuiciamiento sobre la cuestión que ahora nos ocupa [FJ 4].</w:t>
      </w:r>
    </w:p>
    <w:p w:rsidR="0085709A" w:rsidRDefault="0085709A" w:rsidP="0085709A">
      <w:pPr>
        <w:pStyle w:val="Extracto"/>
      </w:pPr>
    </w:p>
    <w:p w:rsidR="0085709A" w:rsidRDefault="0085709A" w:rsidP="0085709A">
      <w:pPr>
        <w:pStyle w:val="Extracto"/>
      </w:pPr>
      <w:r>
        <w:t>2.</w:t>
      </w:r>
      <w:r>
        <w:tab/>
        <w:t>La fundamentación ofrecida por el Tribunal de apelación no vulnera el derecho a la tutela judicial efectiva sin indefensión en tanto que, siguiendo la doctrina recogida en la STJUE de 8 de septiembre del 2011, los argumentos expuestos no incurren en arbitrariedad ni adolecen de falta de razonabilidad, pues la referida argumentación explicita de manera suficiente las consideraciones de índole jurídica que sustentan la decisión finalmente adoptada por el órgano judicial, para quien la desestimación de lo pretendido por la demandante no contraviene la Directiva 1999/70 ni la doctrina enunciada en la referida Sentencia del Tribunal de Justicia de la Unión Europea [FJ 4].</w:t>
      </w:r>
    </w:p>
    <w:p w:rsidR="0085709A" w:rsidRDefault="0085709A" w:rsidP="0085709A">
      <w:pPr>
        <w:pStyle w:val="Extracto"/>
      </w:pPr>
    </w:p>
    <w:p w:rsidR="0085709A" w:rsidRDefault="0085709A" w:rsidP="0085709A">
      <w:pPr>
        <w:pStyle w:val="Extracto"/>
      </w:pPr>
      <w:r>
        <w:t>3.</w:t>
      </w:r>
      <w:r>
        <w:tab/>
        <w:t>No se vulnera el derecho a un proceso público con todas las garantías (art. 24.2 CE), dado que el órgano judicial es competente para valorar la eventual aplicación de la normativa de la Unión Europea al caso concreto, de manera que si a dicho órgano no le asaltan dudas sobre ese particular, en esta sede constitucional no cabe formular censura alguna por no plantear cuestión prejudicial ante el Tribunal de Justicia de la Unión Europea, salvo por deficiencias de motivación [FJ 5].</w:t>
      </w:r>
    </w:p>
    <w:p w:rsidR="0085709A" w:rsidRDefault="0085709A" w:rsidP="0085709A">
      <w:pPr>
        <w:pStyle w:val="Extracto"/>
      </w:pPr>
    </w:p>
    <w:p w:rsidR="0085709A" w:rsidRDefault="0085709A" w:rsidP="0085709A">
      <w:pPr>
        <w:pStyle w:val="Extracto"/>
      </w:pPr>
      <w:r>
        <w:t>4.</w:t>
      </w:r>
      <w:r>
        <w:tab/>
        <w:t>El derecho al juez ordinario predeterminado por la ley (art. 24.2 CE)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191/2011) [FJ 5].</w:t>
      </w:r>
    </w:p>
    <w:p w:rsidR="0085709A" w:rsidRDefault="0085709A" w:rsidP="0085709A">
      <w:pPr>
        <w:pStyle w:val="Extracto"/>
      </w:pPr>
    </w:p>
    <w:p w:rsidR="0085709A" w:rsidRDefault="0085709A" w:rsidP="0085709A">
      <w:pPr>
        <w:pStyle w:val="Extracto"/>
      </w:pPr>
      <w:r>
        <w:t>5.</w:t>
      </w:r>
      <w:r>
        <w:tab/>
        <w:t>El derecho a la tutela judicial efectiva sin indefensión, en su faceta relativa a la obtención de una resolución motivada y fundada en Derecho (art. 24.1 CE) signi</w:t>
      </w:r>
      <w:r>
        <w:lastRenderedPageBreak/>
        <w:t>fica: que la resolución judicial ha de estar motivada, es decir, contener los elementos y razones de juicio que permitan conocer cuáles han sido los criterios jurídicos que fundamentan la decisión; y  que la motivación ha de estar fundada en Derecho o, lo que es lo mismo, que sea consecuencia de una exégesis racional del Ordenamiento y no fruto de un error patente o de la arbitrariedad (STC 27/2013) [FJ 3].</w:t>
      </w:r>
    </w:p>
    <w:p w:rsidR="0085709A" w:rsidRDefault="0085709A" w:rsidP="0085709A">
      <w:pPr>
        <w:pStyle w:val="Extracto"/>
      </w:pPr>
    </w:p>
    <w:p w:rsidR="0085709A" w:rsidRDefault="0085709A" w:rsidP="0085709A">
      <w:pPr>
        <w:pStyle w:val="Extracto"/>
      </w:pPr>
      <w:r>
        <w:t>6.</w:t>
      </w:r>
      <w:r>
        <w:tab/>
        <w:t>El derecho a la tutela judicial efectiva no incluye un pretendido derecho al acierto judicial en la selección, interpretación y aplicación de las disposiciones legales, salvo que afecte al contenido de otros derechos constitucionales distintos al de tutela judicial efectiva, de ahí que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(STC 27/2013) [FJ 3].</w:t>
      </w:r>
    </w:p>
    <w:p w:rsidR="0085709A" w:rsidRDefault="0085709A" w:rsidP="0085709A">
      <w:pPr>
        <w:pStyle w:val="Extracto"/>
      </w:pPr>
    </w:p>
    <w:p w:rsidR="0085709A" w:rsidRDefault="0085709A" w:rsidP="0085709A">
      <w:pPr>
        <w:pStyle w:val="Extracto"/>
      </w:pPr>
      <w:r>
        <w:t>7.</w:t>
      </w:r>
      <w:r>
        <w:tab/>
        <w:t>El planteamiento de una cuestión prejudicial ante el Tribunal de Justicia de la Unión Europea corresponde, de forma exclusiva e irrevisable, al órgano judicial que resuelve el litigio, no existiendo vulneración alguna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(STC 58/2004) [FJ 3].</w:t>
      </w:r>
    </w:p>
    <w:p w:rsidR="0085709A" w:rsidRDefault="0085709A" w:rsidP="0085709A">
      <w:pPr>
        <w:pStyle w:val="Extracto"/>
      </w:pPr>
    </w:p>
    <w:p w:rsidR="0085709A" w:rsidRDefault="0085709A" w:rsidP="0085709A">
      <w:pPr>
        <w:pStyle w:val="Extracto"/>
      </w:pPr>
      <w:r>
        <w:t>8.</w:t>
      </w:r>
      <w:r>
        <w:tab/>
        <w:t>Desde la perspectiva del art. 24.1 CE, el canon de control establecido respecto del planteamiento de cuestiones prejudiciales ante el Tribunal de Justicia de la Unión Europea no difiere del que este Tribunal ha fijado, con carácter general, para las decisiones judiciales que son fruto de la interpretación y aplicación del Derecho al caso concreto (STC 212/2014)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1082-2014, promovido por doña María Elena Mariscal del Castillo, representada por la Procuradora de los Tribunales doña Gema Sainz de la Torre Vilalta y bajo la dirección del Letrado don José María Campos Daroca, contra la Sentencia de 24 de octubre de 2013, dictada por la Sección Primera de la Sala de lo Contencioso-</w:t>
      </w:r>
      <w:r>
        <w:lastRenderedPageBreak/>
        <w:t>Administrativo del Tribunal Superior de Justicia de Andalucía, sede de Sevilla, en el recurso de apelación núm. 369-2013 interpuesto contra la Sentencia de 26 de febrero de 2013, del Juzgado de lo Contencioso-Administrativo núm. 11 de Sevilla, dimanante del procedimiento abreviado núm. 417-2011. El recurso de amparo también se interpone contra el Auto de fecha 14 de enero de 2014, que desestima el incidente de nulidad de actuaciones promovido contra la Sentencia de 24 de octubre de 2013 antes citada. Ha sido parte la Letrada de la Junta de Andalucía, en la representación que ostenta. Ha intervenido el Ministerio Fiscal.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Procuradora de los Tribunales doña Gema Sainz de la Torre Vilalta, en nombre y representación de doña María Elena Mariscal del Castillo y bajo la dirección letrada de don José María Campos Daroca, interpuso demanda de amparo contra las resoluciones que se mencionan en el encabezamiento de esta Sentencia, mediante escrito registrado en este Tribunal el 24 de febrero de 2014.</w:t>
      </w:r>
    </w:p>
    <w:p w:rsidR="0085709A" w:rsidRDefault="0085709A" w:rsidP="0085709A">
      <w:pPr>
        <w:pStyle w:val="TextoNormal"/>
      </w:pPr>
    </w:p>
    <w:p w:rsidR="0085709A" w:rsidRDefault="0085709A" w:rsidP="0085709A">
      <w:pPr>
        <w:pStyle w:val="TextoNormal"/>
      </w:pPr>
      <w:r w:rsidRPr="0085709A">
        <w:rPr>
          <w:rStyle w:val="NumeroAFNegritaCaracter"/>
        </w:rPr>
        <w:t>2</w:t>
      </w:r>
      <w:r>
        <w:t>. . El recurso de amparo trae causa de los siguientes antecedentes:</w:t>
      </w:r>
    </w:p>
    <w:p w:rsidR="0085709A" w:rsidRDefault="0085709A" w:rsidP="0085709A">
      <w:pPr>
        <w:pStyle w:val="TextoNormal"/>
      </w:pPr>
    </w:p>
    <w:p w:rsidR="0085709A" w:rsidRDefault="0085709A" w:rsidP="0085709A">
      <w:pPr>
        <w:pStyle w:val="TextoNormal"/>
      </w:pPr>
      <w:r>
        <w:t>a) En virtud de la Orden de 16 de marzo de 2009 de la Consejería de Justicia y Administración Pública se convocaron pruebas selectivas, por el sistema de promoción interna, para ingreso en diferentes cuerpos de funcionarios de la Administración General de la Junta de Andalucía.</w:t>
      </w:r>
    </w:p>
    <w:p w:rsidR="0085709A" w:rsidRDefault="0085709A" w:rsidP="0085709A">
      <w:pPr>
        <w:pStyle w:val="TextoNormal"/>
      </w:pPr>
    </w:p>
    <w:p w:rsidR="0085709A" w:rsidRDefault="0085709A" w:rsidP="0085709A">
      <w:pPr>
        <w:pStyle w:val="TextoNormal"/>
      </w:pPr>
      <w:r>
        <w:t>b) La demandante de amparo participó en el procedimiento de promoción interna convocado por dicha Orden para el ingreso en el Cuerpo de Gestión Administrativa de la Junta de Andalucía, especialidad Administración General. Superada la fase de oposición, y tras presentar sus méritos, la ahora recurrente no fue incluida en la lista provisional de aprobados, discrepando de la valoración efectuada de su antigüedad y presentando alegaciones al respecto. Dichas alegaciones no fueron tenidas en cuenta en ese punto y, con fecha 6 de agosto de 2010, se publicó resolución con la relación definitiva de aprobados, sin inclusión de la demandante. Por parte de ésta se presentó recurso de alzada frente a la citada resolución, que fue desestimado por resolución de 20 de diciembre de 2010 de la Consejería de Hacienda y Administración Pública (Secretaría General para la Administración Pública), si bien, interpuesto recurso contencioso-administrativo, éste fue posteriormente estimado por Sentencia del Juzgado de lo Contencioso-Administrativo núm. 14 de Sevilla, de 20 de junio de 2012.</w:t>
      </w:r>
    </w:p>
    <w:p w:rsidR="0085709A" w:rsidRDefault="0085709A" w:rsidP="0085709A">
      <w:pPr>
        <w:pStyle w:val="TextoNormal"/>
      </w:pPr>
    </w:p>
    <w:p w:rsidR="0085709A" w:rsidRDefault="0085709A" w:rsidP="0085709A">
      <w:pPr>
        <w:pStyle w:val="TextoNormal"/>
      </w:pPr>
      <w:r>
        <w:t xml:space="preserve">Tras hacerse pública la resolución de 3 de noviembre de 2010 de oferta de vacantes a los aspirantes seleccionados, ésta fue recurrida en reposición por la demandante, desestimándose por resolución de 17 de febrero de 2011. La ahora recurrente también recurrió en reposición la Resolución de 15 de diciembre de 2010 de la Secretaría General para la Administración Pública, por la que se nombran funcionarios de carrera a los aspirantes que habían superado el proceso selectivo de referencia, procediéndose también a su desestimación por resolución de 1 de marzo de 2011. Con posterioridad, asimismo se recurrió en alzada la </w:t>
      </w:r>
      <w:r>
        <w:lastRenderedPageBreak/>
        <w:t>relación complementaria a la definitiva de los aprobados en el referido proceso de promoción interna, de fecha 3 de febrero de 2011, que nuevamente fue desestimada por resolución de 14 de marzo de 2011 de la Consejería de Hacienda y Administración Pública (Secretaría General para la Administración Pública), de la Junta de Andalucía.</w:t>
      </w:r>
    </w:p>
    <w:p w:rsidR="0085709A" w:rsidRDefault="0085709A" w:rsidP="0085709A">
      <w:pPr>
        <w:pStyle w:val="TextoNormal"/>
      </w:pPr>
    </w:p>
    <w:p w:rsidR="0085709A" w:rsidRDefault="0085709A" w:rsidP="0085709A">
      <w:pPr>
        <w:pStyle w:val="TextoNormal"/>
      </w:pPr>
      <w:r>
        <w:t>c) Frente a esta última resolución, la demandante de amparo interpuso recurso contencioso-administrativo. En síntesis, su discrepancia se concretaba en que, en el indicado proceso de promoción interna, no se había valorado como mérito el período de tiempo prestado como laboral o funcionaria interina de la Administración con anterioridad a adquirir la condición de funcionaria de carrera. Según adujo, el baremo aplicable de la orden de convocatoria indicaba literalmente que “la antigüedad se computará por años completos de servicio o fracción superior a seis meses, valorándose hasta un máximo de 2 puntos”, sin hacer distinción alguna respecto a la condición de personal funcionarial o no. Remarca al respecto el diferente criterio seguido por la misma Administración en otros procedimientos, por lo que denuncia el carácter arbitrario de la decisión recurrida, con infracción del deber de sometimiento de la Administración a la ley (art. 103 CE). Asimismo, rechaza que la actuación administrativa pueda justificarse en la ejecución de la Sentencia núm. 370/2006, de 10 de julio, dictada por la Sala de lo Contencioso-Administrativo del Tribunal Superior de Justicia de Andalucía (sede de Granada): de un lado, porque dicha Sentencia no era aún firme, dado que estaba pendiente de resolución el recurso de casación; y de otro lado, porque la citada Sentencia se refería a un proceso relativo a un concurso de méritos (art. 54 del Decreto 2/2002, de 9 de enero) y no a un proceso de promoción interna como el cuestionado [art. 31 b) del Decreto 2/2002]. Igualmente, entre otros argumentos, adujo que resultaba de aplicación directa la Directiva 99/70/CE, que consagra la plena equiparación entre el personal temporal y el fijo, y en cuyo apartado cuarto de la cláusula cuarta se indica que “los criterios de antigüedad relativos a determinadas condiciones de trabajo serán los mismos para los trabajadores con contrato de duración determinada que para los trabajadores fijos, salvo que criterios de antigüedad diferentes vengan justificados por razones objetivas”: en concreto, señaló que la actuación seguida por la Junta de Andalucía resultaba contraria a esta Directiva, no estando permitida una valoración diferenciada en el desempeño del puesto de trabajo por parte de quien es funcionario de carrera con respecto al funcionario interino —en apoyo de esta idea se citan las SSTJUE de 22 de diciembre de 2010 y de 8 de septiembre de 2011—.</w:t>
      </w:r>
    </w:p>
    <w:p w:rsidR="0085709A" w:rsidRDefault="0085709A" w:rsidP="0085709A">
      <w:pPr>
        <w:pStyle w:val="TextoNormal"/>
      </w:pPr>
    </w:p>
    <w:p w:rsidR="0085709A" w:rsidRDefault="0085709A" w:rsidP="0085709A">
      <w:pPr>
        <w:pStyle w:val="TextoNormal"/>
      </w:pPr>
      <w:r>
        <w:t>d) Por Sentencia de 26 de febrero de 2013, el Juzgado de lo Contencioso-Administrativo núm. 11 de Sevilla desestimó el referido recurso contencioso-administrativo. Por apreciar identidad con lo resuelto, entre otras, en la Sentencia del Tribunal Superior de Justicia de Andalucía de 27 de noviembre de 2012, el Juzgado reprodujo algunos de sus fundamentos, cuyo contenido venía a descartar la existencia de discriminación y de vulneración de la Directiva 99/77 (</w:t>
      </w:r>
      <w:r w:rsidRPr="0085709A">
        <w:rPr>
          <w:i/>
        </w:rPr>
        <w:t>sic</w:t>
      </w:r>
      <w:r>
        <w:t>), con cita de la STS de 3 de septiembre de 2010 y señalando la inexistencia de vulneración de la sentencia de 11 (</w:t>
      </w:r>
      <w:r w:rsidRPr="0085709A">
        <w:rPr>
          <w:i/>
        </w:rPr>
        <w:t>sic</w:t>
      </w:r>
      <w:r>
        <w:t>) de septiembre de 2011.</w:t>
      </w:r>
    </w:p>
    <w:p w:rsidR="0085709A" w:rsidRDefault="0085709A" w:rsidP="0085709A">
      <w:pPr>
        <w:pStyle w:val="TextoNormal"/>
      </w:pPr>
    </w:p>
    <w:p w:rsidR="0085709A" w:rsidRDefault="0085709A" w:rsidP="0085709A">
      <w:pPr>
        <w:pStyle w:val="TextoNormal"/>
      </w:pPr>
      <w:r>
        <w:t xml:space="preserve">e) Frente a la Sentencia anterior, la demandante interpuso recurso de apelación, con fundamento esencialmente en las siguientes alegaciones. De una parte, se adujo la errónea valoración de la prueba y la falta de valoración de los documentos aportados por la actora: entre otros, la ya citada Sentencia del Juzgado de lo Contencioso-Administrativo núm. 14 de Sevilla, de 20 de junio de 2012 —que estimaba la demanda presentada por la recurrente </w:t>
      </w:r>
      <w:r>
        <w:lastRenderedPageBreak/>
        <w:t>en relación con la relación definitiva de aprobados—, así como la documentación acreditativa de que la demandante accedió al cuerpo de funcionarios por oposición libre, en la que no se computó su antigüedad, por lo que no había duplicidad en la valoración de sus servicios. De otra parte, se alegaba vulneración de la normativa de aplicación: la Orden de convocatoria [anexo I, apartado c), el art. 31 b) del Decreto 2/2002], la cláusula cuarta de la Directiva 99/70/CE, el art. 24 CE, así como numerosas sentencias al respecto —entre otras, la STJUE de 11 (</w:t>
      </w:r>
      <w:r w:rsidRPr="0085709A">
        <w:rPr>
          <w:i/>
        </w:rPr>
        <w:t>sic</w:t>
      </w:r>
      <w:r>
        <w:t>) de septiembre de 2011—.</w:t>
      </w:r>
    </w:p>
    <w:p w:rsidR="0085709A" w:rsidRDefault="0085709A" w:rsidP="0085709A">
      <w:pPr>
        <w:pStyle w:val="TextoNormal"/>
      </w:pPr>
    </w:p>
    <w:p w:rsidR="0085709A" w:rsidRDefault="0085709A" w:rsidP="0085709A">
      <w:pPr>
        <w:pStyle w:val="TextoNormal"/>
      </w:pPr>
      <w:r>
        <w:t>f) Mediante Sentencia de 24 de octubre de 2013, la Sección Primera de la Sala de lo Contencioso-Administrativo del Tribunal Superior de Justicia de Andalucía, sede de Sevilla, procedió a desestimar el referido recurso de apelación. En esta Sentencia, el Tribunal rechaza que exista error de valoración de prueba o infracción del ordenamiento jurídico, remarcando que el criterio reiterado es el contenido en la sentencia de instancia, en atención a las siguientes consideraciones.</w:t>
      </w:r>
    </w:p>
    <w:p w:rsidR="0085709A" w:rsidRDefault="0085709A" w:rsidP="0085709A">
      <w:pPr>
        <w:pStyle w:val="TextoNormal"/>
      </w:pPr>
    </w:p>
    <w:p w:rsidR="0085709A" w:rsidRDefault="0085709A" w:rsidP="0085709A">
      <w:pPr>
        <w:pStyle w:val="TextoNormal"/>
      </w:pPr>
      <w:r>
        <w:t>Por un lado, indica que, dado que la redacción dada al art. 54 del Decreto 2/2002 por el Decreto 528/2004 había sido expulsada del ordenamiento, la convocatoria del concurso se ajustó al texto original del citado Decreto 2/2002, en cuyo art. 54 —relativo al baremo general en los concursos de méritos— se indica que no podrá valorarse la antigüedad de los servicios prestados y reconocidos con anterioridad a la adquisición de la condición de funcionario, por lo que la antigüedad a la que se refiere el art. 31 b) en los concursos de promoción interna es la poseída sólo y exclusivamente desde que se adquiere la condición de funcionario de carrera. Por ello, indica, la base de la convocatoria se ajusta al Decreto y ha sido estrictamente respetada por la comisión, que sólo valoró la antigüedad de la actora como funcionaria de carrera. Además, añade que de la Sentencia del Tribunal Supremo de 26 de abril de 2010 no cabe deducir que en ella se reconoce la antigüedad de los servicios previos reconocidos como interino, reiterando que, por remisión al baremo general, sólo es valorable la antigüedad en la condición de funcionario de carrera, no como interino.</w:t>
      </w:r>
    </w:p>
    <w:p w:rsidR="0085709A" w:rsidRDefault="0085709A" w:rsidP="0085709A">
      <w:pPr>
        <w:pStyle w:val="TextoNormal"/>
      </w:pPr>
    </w:p>
    <w:p w:rsidR="0085709A" w:rsidRDefault="0085709A" w:rsidP="0085709A">
      <w:pPr>
        <w:pStyle w:val="TextoNormal"/>
      </w:pPr>
      <w:r>
        <w:t>Por otro lado, razona que la decisión de la Administración no es contraria a la doctrina del Tribunal Supremo, ni a la Directiva comunitaria 99/70, ni por tanto a la STJUE de 11 (</w:t>
      </w:r>
      <w:r w:rsidRPr="0085709A">
        <w:rPr>
          <w:i/>
        </w:rPr>
        <w:t>sic</w:t>
      </w:r>
      <w:r>
        <w:t xml:space="preserve">) de septiembre de 2011. Al respecto reproduce un extracto de la STS de 3 de septiembre de 2010, señalando que, aunque cualquier actuación administrativa de nombramiento funcionarial debe seguir los principios constitucionales de mérito y capacidad, “ello no significa que los procesos de designación sean iguales y tengan el mismo nivel de exigencia en lo relativo a la publicidad y los méritos valorables, pues es una obviedad que existen diferencias entre, de un lado, los procesos selectivos que son seguidos para el acceso como funcionarios de carrera y para la provisión de puestos de carácter definitivo y de otro, los que son aplicables para nombramientos provisionales o funcionarios interinos”; además, “[a] lo anterior debe sumarse que no puede ser invalidada como legítima política de personal, la que se quiere incentivar a los funcionarios de carrera valorando de manera significativa la experiencia desarrollada con esa condición y en puestos obtenidos y desempeñados con carácter definitivo”; por último, concluye que lo que se deriva de lo dicho “es que existiendo datos objetivos para esa diferente valoración de la experiencia y de la antigüedad que aquí se discuten, no es de acoger la vulneración del principio de igualdad y consiguiente infracción de los arts. 14 y 23 de la C.E. que se demanda por la Asociación, como tampoco la infracción de la Directiva 99/70 y del art 20 1 A) de la Ley 30/1984”. De ello deduce la </w:t>
      </w:r>
      <w:r>
        <w:lastRenderedPageBreak/>
        <w:t>sentencia de apelación que el Tribunal Supremo considera que existen razones objetivas para la diferencia de trato, lo que entiende se acentúa en el supuesto de la promoción interna.</w:t>
      </w:r>
    </w:p>
    <w:p w:rsidR="0085709A" w:rsidRDefault="0085709A" w:rsidP="0085709A">
      <w:pPr>
        <w:pStyle w:val="TextoNormal"/>
      </w:pPr>
    </w:p>
    <w:p w:rsidR="0085709A" w:rsidRDefault="0085709A" w:rsidP="0085709A">
      <w:pPr>
        <w:pStyle w:val="TextoNormal"/>
      </w:pPr>
      <w:r>
        <w:t>Por último, reitera su afirmación de que el criterio aplicado no es contrario a la Directiva comunitaria 99/70 —como declaró el Tribunal Supremo— ni a la STJUE de 11 (</w:t>
      </w:r>
      <w:r w:rsidRPr="0085709A">
        <w:rPr>
          <w:i/>
        </w:rPr>
        <w:t>sic</w:t>
      </w:r>
      <w:r>
        <w:t>) de septiembre de 2011: “en primer lugar porque el supuesto de hecho enjuiciado difiere notablemente del actual, ya que aquél se refería a la antigüedad de diez años como funcionario de carrera como requisito de acceso para suplir la falta de titulación, no como mérito y porque la propia sentencia afirma con rotundidad en su parte dispositiva, que debe excluirse toda diferencia de trato entre los funcionarios de carrera y los interinos basada en el mero hecho de que éstos tienen una relación de servicio de duración determinada, salvo que razones objetivas en el sentido de la cláusula 4 apartado 1, justifiquen el trato diferente. Esas razones y datos objetivos ya se exponen en la STS de 3 de septiembre de 2010, por el distinto nivel de exigencia en lo relativo a la publicidad y méritos valorables en uno y otro nombramiento, aunque finalmente se accediera a la función pública por oposición libre”. A lo anterior añade que “la promoción interna está regulada en el Estatuto Básico, como un derecho de progresión de la carrera de los funcionarios, por lo que los requisitos y los méritos exigen que se posean en esa condición de funcionario de carrera”.</w:t>
      </w:r>
    </w:p>
    <w:p w:rsidR="0085709A" w:rsidRDefault="0085709A" w:rsidP="0085709A">
      <w:pPr>
        <w:pStyle w:val="TextoNormal"/>
      </w:pPr>
    </w:p>
    <w:p w:rsidR="0085709A" w:rsidRDefault="0085709A" w:rsidP="0085709A">
      <w:pPr>
        <w:pStyle w:val="TextoNormal"/>
      </w:pPr>
      <w:r>
        <w:t>g) La demandante interpuso incidente de nulidad de actuaciones contra dicha Sentencia. En él puso de relieve que la indicada Sentencia hacía una interpretación de la Directiva 1999/70/CE que resultaba antitética a la STJUE de 8 de septiembre de 2011 (asunto C-177/2010), dado que ésta sólo permite un distinto trato de la valoración de los servicios prestados como funcionario de carrera o interino con la condición de que dichos servicios hayan sido de distinta calidad: tal condición, considera, es sin embargo obviada por la Sentencia del Tribunal Superior de Justicia de Andalucía, que justifica el distinto trato por la mera forma de acceso a la función pública. Añadía también que, conforme al art. 267 del Tratado de funcionamiento de la Unión Europea, el planteamiento de una cuestión prejudicial ante el Tribunal de Justicia de la Unión Europea en el caso enjuiciado, en que existían dudas interpretativas, no era facultativo, sino obligatorio. Recordaba asimismo que dentro del derecho a la tutela judicial efectiva se incluye el derecho al juez predeterminado por la ley, al juez natural y la aplicación del derecho con arreglo al sistema de fuentes vigentes, señalando que el juez interno está obligado a aplicar la doctrina sentada por el Tribunal de Justicia de la Unión Europea en sus resoluciones prejudiciales. Tras estas consideraciones, concluía que la Sentencia del Tribunal Superior de Justicia había lesionado su derecho a la tutela judicial (art. 24 CE), que incluye el que los órganos judiciales se atengan al sistema de fuentes, en el que se integra el Derecho de la Unión Europea; y por extensión, añadía, se lesionaba el derecho a la igualdad de los funcionarios de carrera con servicios prestados como funcionarios interinos, pues, sin razones objetivas, ven que esos servicios previos como interinos no les son computados a los efectos de concursos de traslados o de promoción interna, en contra de lo indicado por el Tribunal de Justicia de la Unión Europea. Finalmente, solicitaba se declarara la nulidad de las actuaciones, con retroacción del recurso de apelación al momento correspondiente para que se procediera a plantear cuestión prejudicial, todo ello en atención al art. 24 CE, que establece el derecho a obtener la tutela judicial efectiva sin indefensión.</w:t>
      </w:r>
    </w:p>
    <w:p w:rsidR="0085709A" w:rsidRDefault="0085709A" w:rsidP="0085709A">
      <w:pPr>
        <w:pStyle w:val="TextoNormal"/>
      </w:pPr>
    </w:p>
    <w:p w:rsidR="0085709A" w:rsidRDefault="0085709A" w:rsidP="0085709A">
      <w:pPr>
        <w:pStyle w:val="TextoNormal"/>
      </w:pPr>
      <w:r>
        <w:t xml:space="preserve">h) Por Auto de fecha 14 de enero de 2014, el Tribunal de apelación desestimó el incidente de nulidad planteado, en atención a que: i) se había respetado el derecho de tutela judicial, </w:t>
      </w:r>
      <w:r>
        <w:lastRenderedPageBreak/>
        <w:t>aunque la parte discrepara del pronunciamiento y razonamientos jurídicos de la sentencia; ii) no se había causado indefensión porque dichos razonamientos jurídicos analizan las cuestiones planteadas por las partes, incluida la STJUE citada y la aplicación de su doctrina al caso de autos; y iii) el planteamiento de la cuestión prejudicial corresponde al órgano jurisdiccional que no ha advertido las dudas interpretativas suscitadas por las partes.</w:t>
      </w:r>
    </w:p>
    <w:p w:rsidR="0085709A" w:rsidRDefault="0085709A" w:rsidP="0085709A">
      <w:pPr>
        <w:pStyle w:val="TextoNormal"/>
      </w:pPr>
    </w:p>
    <w:p w:rsidR="0085709A" w:rsidRDefault="0085709A" w:rsidP="0085709A">
      <w:pPr>
        <w:pStyle w:val="TextoNormal"/>
      </w:pPr>
      <w:r w:rsidRPr="0085709A">
        <w:rPr>
          <w:rStyle w:val="NumeroAFNegritaCaracter"/>
        </w:rPr>
        <w:t>3</w:t>
      </w:r>
      <w:r>
        <w:t>. La demanda de amparo atribuye a las resoluciones impugnadas la lesión de los arts. 24.1 y 24.2 CE, concretamente por vulnerar el derecho a la tutela judicial efectiva, en su manifestación de derecho al proceso debido, al juez predeterminado por la ley y a la motivación de las resoluciones.</w:t>
      </w:r>
    </w:p>
    <w:p w:rsidR="0085709A" w:rsidRDefault="0085709A" w:rsidP="0085709A">
      <w:pPr>
        <w:pStyle w:val="TextoNormal"/>
      </w:pPr>
    </w:p>
    <w:p w:rsidR="0085709A" w:rsidRDefault="0085709A" w:rsidP="0085709A">
      <w:pPr>
        <w:pStyle w:val="TextoNormal"/>
      </w:pPr>
      <w:r>
        <w:t>Dando cuenta de las sucesivas reclamaciones interpuestas, la demandante señala que la cuestión de la discrepancia se concreta en la no valoración por la Administración, como mérito en el proceso de promoción interna, del período de tiempo en que estuvo ocupando puestos de trabajo en virtud de nombramiento en interinidad, es decir, por un nombramiento provisional. Asimismo, transcribiendo algunos de sus apartados (63 a 84), alude a la STJUE de 8 de septiembre de 2011 (asunto C-177/2010), en la que, según indica, se concluyó que, en una promoción interna y salvo que concurran razones objetivas —no bastando la mera alusión a la temporalidad de la relación—, valorar de forma distinta el tiempo de servicios prestado como funcionario interino y como funcionario de carrera es contrario a la Directiva 1999/70/CE —en concreto, a la cláusula 4 del Acuerdo Marco sobre trabajo de duración determinada—, que resulta de aplicabilidad directa al personal funcionario de la Junta de Andalucía. Al respecto considera que, en virtud de la eficacia directa y primacía que tiene el Derecho comunitario en nuestro ordenamiento jurídico, la referida argumentación de la Sentencia del Tribunal de Justicia de la Unión Europea es aplicable al supuesto de la ahora recurrente, siendo indiferente que ese período de servicios se tenga en cuenta como condición de acceso o como mérito a valorar. También remarca que la Sentencia del Tribunal Superior de Justicia alude a una Sentencia del Tribunal Supremo de 3 de septiembre de 2010, que no pudo tener a la vista la STJUE de 8 de septiembre de 2011; e igualmente reprocha a la Sentencia de apelación su afirmación de que la doctrina de dicha Sentencia del Tribunal de Justicia de la Unión Europea no es aplicable al supuesto enjuiciado por el hecho de que una cosa es que los servicios previos a adquirir la condición de funcionario se computen como requisito para participar en un proceso de promoción interna —caso de la Sentencia del Tribunal de Justicia de la Unión Europea— y otra que se valoren como mérito —caso examinado—, señalando que el Tribunal Superior de Justicia no explica la justificación de esa diferencia de trato.</w:t>
      </w:r>
    </w:p>
    <w:p w:rsidR="0085709A" w:rsidRDefault="0085709A" w:rsidP="0085709A">
      <w:pPr>
        <w:pStyle w:val="TextoNormal"/>
      </w:pPr>
    </w:p>
    <w:p w:rsidR="0085709A" w:rsidRDefault="0085709A" w:rsidP="0085709A">
      <w:pPr>
        <w:pStyle w:val="TextoNormal"/>
      </w:pPr>
      <w:r>
        <w:t xml:space="preserve">En concreto, la recurrente aduce que la interpretación de las resoluciones recurridas vulnera el derecho a la tutela judicial efectiva, en su manifestación de acceso al proceso debido, por cuanto que, al negarse a aplicar la doctrina sentada en la STJUE de 8 de septiembre de 2011, el juez nacional incurre en arbitrariedad o error manifiesto en la elección de la norma aplicable, dejando sin efecto el sistema de fuentes, lo que coloca en evidente indefensión a la demandante. Asimismo, y con cita de las SSTC 90/1990 y 126/1994, expone que, desde la perspectiva del art. 24.1 CE, deben rechazarse las resoluciones que carezcan de motivación o que la ofrecida sea insuficiente, así como también aquellas que incorporen una fundamentación caprichosa, en que resulte imposible encontrar un nexo lógico entre la decisión y la argumentación: esa desconexión autoriza a hablar de ausencia de motivación, como ocurre en los casos en que se produce una selección arbitraria o manifiestamente irracional </w:t>
      </w:r>
      <w:r>
        <w:lastRenderedPageBreak/>
        <w:t>de la norma aplicable, aquellos en que se incurre en error patente, y también, cuando el juez se desvincula del sistema de fuentes establecido. Además, de manera específica reprocha al Auto resolutorio del incidente de nulidad que carece de motivación por manifiesta insuficiencia en contraste con el escrito de planteamiento, sin que pueda solventarse “con cuatro renglones de fundamentación”.</w:t>
      </w:r>
    </w:p>
    <w:p w:rsidR="0085709A" w:rsidRDefault="0085709A" w:rsidP="0085709A">
      <w:pPr>
        <w:pStyle w:val="TextoNormal"/>
      </w:pPr>
    </w:p>
    <w:p w:rsidR="0085709A" w:rsidRDefault="0085709A" w:rsidP="0085709A">
      <w:pPr>
        <w:pStyle w:val="TextoNormal"/>
      </w:pPr>
      <w:r>
        <w:t xml:space="preserve">También, con apoyo en la jurisprudencia comunitaria y en el texto del art. 267 del Tratado de funcionamiento de la Unión Europea [entre otras, SSTJCCEE de 27 de marzo de 1963, asunto </w:t>
      </w:r>
      <w:r w:rsidRPr="0085709A">
        <w:rPr>
          <w:i/>
        </w:rPr>
        <w:t>Da Costa</w:t>
      </w:r>
      <w:r>
        <w:t xml:space="preserve"> y acumulados; y de 6 de octubre de 1982, asunto </w:t>
      </w:r>
      <w:r w:rsidRPr="0085709A">
        <w:rPr>
          <w:i/>
        </w:rPr>
        <w:t>Cilfit</w:t>
      </w:r>
      <w:r>
        <w:t>)], razona sobre la obligatoriedad de los pronunciamientos prejudiciales del Tribunal de Justicia de la Unión Europea sobre todos los órganos judiciales nacionales que conozcan del mismo asunto, sin perjuicio de que éstos puedan o deban formular nuevas cuestiones prejudiciales. Con fundamento en la citada normativa y jurisprudencia, afirma que, en el caso enjuiciado, el Tribunal Superior de Justicia de Andalucía debía o bien seguir la doctrina sentada en la Sentencia del Tribunal de Justicia de la Unión Europea o bien, si existían dudas interpretativas —“como afirma el Auto de 23 de abril de 2012” (</w:t>
      </w:r>
      <w:r w:rsidRPr="0085709A">
        <w:rPr>
          <w:i/>
        </w:rPr>
        <w:t>sic</w:t>
      </w:r>
      <w:r>
        <w:t>)—, plantear una cuestión prejudicial ante el Tribunal de Justicia de la Unión Europea en atención a esa comentada diferencia entre los supuestos de uno y otro caso. Lo que no cabe, entiende, es erigirse en Juez comunitario en vía de interpretación del Derecho de la Unión Europea, cuando el Tribunal de Justicia de la Unión Europea ya se ha pronunciado sobre un caso análogo, cuya diferencia con el presente no justifica la inaplicación de la Directiva. En consecuencia, considera que la indicada cuestión prejudicial resultaba obligada (SSTC 58/2004 y 194/2006), pues el Juez nacional carece de competencia objetiva al respecto y no tiene la condición de Juez predeterminado por la ley. Consiguientemente, explica, la omisión de la cuestión prejudicial en este caso implica una vulneración del derecho al Juez predeterminado por la ley reconocido en el art. 24.2 CE.</w:t>
      </w:r>
    </w:p>
    <w:p w:rsidR="0085709A" w:rsidRDefault="0085709A" w:rsidP="0085709A">
      <w:pPr>
        <w:pStyle w:val="TextoNormal"/>
      </w:pPr>
    </w:p>
    <w:p w:rsidR="0085709A" w:rsidRDefault="0085709A" w:rsidP="0085709A">
      <w:pPr>
        <w:pStyle w:val="TextoNormal"/>
      </w:pPr>
      <w:r>
        <w:t>Por todo lo expuesto, la recurrente termina interesando la estimación del recurso de amparo por haberse vulnerado su derecho a la tutela judicial efectiva, así como la nulidad de las resoluciones impugnadas, con retroacción de las actuaciones al momento procesal oportuno para que la Sala de lo Contencioso-Administrativo del Tribunal Superior de Justicia de Andalucía (Sevilla) dicte nueva Sentencia en la que aplique la doctrina sentada por el Tribunal de Justicia de la Unión Europea o, subsidiariamente, plantee cuestión prejudicial ante este último Tribunal si es que tuviera dudas sobre su aplicabilidad o sobre el contenido de la Directiva 99/70/CE.</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Tras ser aportados diversos documentos requeridos a la demandante por diligencia de ordenación de la Secretaría de Justicia de la Sala Primera de este Tribunal, de fecha 27 de febrero de 2014, y una vez acreditada fehacientemente la representación de la Procuradora doña Gema Sainz de la Torre Vilalta, por providencia de 3 de noviembre de 2014, la Sala Primera del Tribunal Constitucional acordó admitir a trámite la demanda de amparo. Asimismo, en aplicación de lo dispuesto en el artículo 51 de la Ley Orgánica del Tribunal Constitucional (LOTC), acordó dirigir atenta comunicación al Tribunal Superior de Justicia de Andalucía, a fin de que, en el plazo de diez días, remitiera certificación o fotocopia adverada de las actuaciones correspondientes al rollo de apelación núm. 369-2013. Asimismo, acordó dirigir atenta comunicación al Juzgado de lo Contencioso-Administrativo núm. 11 de Sevilla, para que en plazo que no exceda de diez días, remitiera certificación o fotocopia adverada de las actuaciones correspondientes al procedimiento abreviado núm. 417-2011, </w:t>
      </w:r>
      <w:r>
        <w:lastRenderedPageBreak/>
        <w:t>debiendo previamente emplazarse, para que pudieran comparecer en el recurso de amparo en el término de diez días, a quienes hubieran sido parte en el procedimiento, excepto la parte recurrente en amparo.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el 26 de noviembre de 2014, la Letrada de la Junta de Andalucía solicitó se le tuviera por comparecida y parte en el presente procedimiento constitucional.</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la Sala Primera de este Tribunal de 27 de noviembre de 2014 se tuvieron por recibidos los testimonios de las actuaciones remitidos por el Tribunal Superior de Justicia de Andalucía y el Juzgado de lo Contencioso-Administrativo núm. 11 de Sevilla, así como el escrito de la Letrada de la Junta de Andalucía, a quien se tiene por personada y parte en nombre y representación de dicha Junta de Andalucía. Asimismo, a tenor de lo dispuesto en el art. 52 LOTC, se dio vista de todas las actuaciones, por un plazo común de veinte días, al Ministerio Fiscal y a las partes personadas para que, dentro de dicho término, pudieran presentar las alegaciones que a su derecho conviniera.</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escrito registrado el 26 de diciembre de 2014, la Letrada de la Junta de Andalucía formuló sus alegaciones, solicitando la desestimación del recurso de amparo. Tras compendiar el objeto del recurso de amparo, los antecedentes del proceso, el contenido de las resoluciones jurisdiccionales recaídas en el mismo y la normativa que estima de aplicación al presente caso, colige que no ha existido vulneración de los derechos fundamentales invocados en la demanda.</w:t>
      </w:r>
    </w:p>
    <w:p w:rsidR="0085709A" w:rsidRDefault="0085709A" w:rsidP="0085709A">
      <w:pPr>
        <w:pStyle w:val="TextoNormal"/>
      </w:pPr>
    </w:p>
    <w:p w:rsidR="0085709A" w:rsidRDefault="0085709A" w:rsidP="0085709A">
      <w:pPr>
        <w:pStyle w:val="TextoNormal"/>
      </w:pPr>
      <w:r>
        <w:t xml:space="preserve">En relación con el derecho a una resolución fundada en Derecho y debidamente motivada, considera que la Sentencia del Tribunal Superior de Justicia de Andalucía analiza debidamente la adecuación del acto impugnado a la normativa autonómica, a la Constitución, al Derecho de la Unión Europea e, incluso, acude a la STJUE de 8 de septiembre de 2011, aplicando su doctrina y concluyendo que la no valoración como mérito de la antigüedad adquirida como funcionario interino es conforme al Derecho comunitario, por apreciar razones objetivas que justifican el diferente trato. Por ello, indica, no se trata de una resolución inmotivada, debiendo rechazarse que se haya inaplicado la doctrina de la STJUE de 8 de septiembre de 2011 y afirmando, por el contrario, que se ha respetado el sistema de fuentes establecido. Conforme a una consolidada doctrina constitucional recogida, entre otras en las SSTC 13/2012, de 30 de enero, FJ 3; 3/2011, de 14 de febrero, FFJJ 3 y 5, y 183/2011, de 21 de noviembre, FFJJ 5 y 7, el derecho a obtener una resolución motivada y fundada en Derecho (art. 24.1 CE) exige que las resoluciones judiciales contengan los elementos y razones de juicio que exterioricen los criterios jurídicos que fundamentan la decisión y, además, que la motivación sea consecuencia de una exégesis racional del ordenamiento y, por tanto, no sea fruto de un error patente o de la arbitrariedad. Sin embargo, añade, el art. 24.1 CE no garantiza el derecho al acierto judicial en la selección, interpretación y aplicación de las disposiciones legales, salvo que se vean afectados otros derechos constitucionales distintos al de la tutela judicial efectiva. En el presente caso, a juicio de la representación procesal de la Junta de Andalucía, la Sentencia combatida en amparo lleva a cabo una interpretación debidamente razonada de la normativa y jurisprudencia aplicables al caso, sin incurrir en manifiesta arbitrariedad o irrazonabilidad, con independencia de su acierto o desacierto </w:t>
      </w:r>
      <w:r>
        <w:lastRenderedPageBreak/>
        <w:t>últimos. Por ello, indica que debe rechazarse la vulneración del derecho a obtener una resolución motivada y fundada en Derecho.</w:t>
      </w:r>
    </w:p>
    <w:p w:rsidR="0085709A" w:rsidRDefault="0085709A" w:rsidP="0085709A">
      <w:pPr>
        <w:pStyle w:val="TextoNormal"/>
      </w:pPr>
    </w:p>
    <w:p w:rsidR="0085709A" w:rsidRDefault="0085709A" w:rsidP="0085709A">
      <w:pPr>
        <w:pStyle w:val="TextoNormal"/>
      </w:pPr>
      <w:r>
        <w:t>En cuanto a la lesión del derecho al Juez predeterminado por la ley (art. 24.2 CE) por no haberse planteado cuestión prejudicial comunitaria, la Letrada de la Junta de Andalucía razona sobre el art. 267 del Tratado de funcionamiento de la Unión Europea y sistematiza la doctrina constitucional sobre esta materia, con abundante cita de resoluciones de este Tribunal (SSTC 21/1991, 58/2004, 78/2010, 27/2012, etc.). En relación con el presente caso, considera que el Tribunal Superior de Justicia no albergó duda sobre la interpretación y aplicación del Derecho comunitario para la resolución del asunto, sino que, por el contrario, procedió a su aplicación, partiendo incluso de los pronunciamientos del Tribunal de Justicia de la Unión Europea. Añade que, además, “ninguna de las partes, en ningún momento procesal, plantea la existencia de esas dudas interpretativas del derecho comunitario que hubieren hecho preciso el planteamiento de la cuestión prejudicial comunitaria”, señalando que “[N]o es sino hasta después de haberse dictado la sentencia firme cuando la parte recurrente, de forma claramente indebida, plantea, a través de la vía del incidente de nulidad de actuaciones, su discrepancia con la interpretación y aplicación de la Directiva 1999/70 CE a la luz de la doctrina de la sentencia 8 de septiembre de 2011, pero no antes”: tal incidente de nulidad, recuerda, fue rechazado, al no advertir el Tribunal dudas interpretativas. Finalmente, descarta que resulte de aplicación al caso la doctrina recogida en las SSTC 58/2004 y 78/2010, pues el Tribunal no ha omitido la aplicación de la norma de Derecho interno ni tampoco la norma de la Unión Europea. En fin, por las razones expuestas concluye que el hecho de no haber planteado cuestión prejudicial comunitaria no ha infringido el derecho al Juez ordinario predeterminado por la ley (art. 24.2 CE).</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el 7 de enero de 2015 la demandante evacuó el trámite de alegaciones, en el cual ratificó íntegramente el contenido del escrito de demanda. Además, aportó documentación relativa a una denuncia formulada por el sindicato Unión Sindical de trabajadores y trabajadoras de Andalucía (USTEA) ante la Comisión Europea, por el incumplimiento, por parte del Estado español, del principio de no discriminación recogido en la cláusula cuatro, apartado cuarto de la Directiva 1999/70/CE, poniendo de relieve que, en su tramitación, las alegaciones del Estado español no habían satisfecho a la Comisión Europea.</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Por escrito registrado el día 23 de enero de 2015, el Ministerio Fiscal formuló sus alegaciones. Tras exponer los antecedentes del caso, señala que, en un supuesto similar, el Tribunal Constitucional ha dictado Sentencia de fecha 18 de diciembre de 2014, en la que ha procedido a desestimar el recurso de amparo núm. 4007-2012, al considerar que la Sentencia entonces recurrida había exteriorizado los criterios jurídicos que fundamentaban su decisión, sin incurrir en arbitrariedad o irrazonabilidad. En el caso ahora enjuiciado, y aunque dice echar de menos que las Sentencias de instancia y apelación hubieran incluido un discurso argumentativo en la línea recomendada en los apartados 72 a 74 STJUE de 8 de septiembre de 2011 respecto a la naturaleza de la función desempeñada como funcionario interino y la del puesto a que aspiraba, el Fiscal considera que, de conformidad con la citada Sentencia del Tribunal Constitucional, cabe constatar que la sentencia de apelación ofrece una motivación suficiente desde la perspectiva del derecho a la tutela judicial efectiva, en relación con el diferente trato que merece la antigüedad devengada como funcionario interino y la consolidada como funcionario de carrera: se explican suficientemente las razones </w:t>
      </w:r>
      <w:r>
        <w:lastRenderedPageBreak/>
        <w:t>de la solución ofrecida y se considera que ésta no es contraria a la Directiva 1999/70/CE y a la STJUE de 8 de septiembre de 2011. En cuanto al no planteamiento de la cuestión prejudicial por el órgano judicial, el Fiscal se apoya también en la indicada STC de 18 de diciembre de 2014, así como en el contenido de la STC 58/2004 (FFJJ 9 y 10), y finalmente pone de relieve que, tanto en su sentencia como en el Auto resolutorio del incidente de nulidad, el Tribunal Superior de Justicia descarta la existencia de dudas interpretativas y explica la solución a la que llega por las razones que señala, que no cabe tachar de arbitrarias o incursas en error patente, respetando así el derecho a la tutela judicial efectiva sin indefensión de la demandante de amparo.</w:t>
      </w:r>
    </w:p>
    <w:p w:rsidR="0085709A" w:rsidRDefault="0085709A" w:rsidP="0085709A">
      <w:pPr>
        <w:pStyle w:val="TextoNormal"/>
      </w:pPr>
    </w:p>
    <w:p w:rsidR="0085709A" w:rsidRDefault="0085709A" w:rsidP="0085709A">
      <w:pPr>
        <w:pStyle w:val="TextoNormal"/>
      </w:pPr>
      <w:r>
        <w:t>Asimismo recuerda que la referida Sentencia constitucional descarta también la vulneración del derecho a un proceso público con todas las garantías del art. 24.2 CE, en la medida en que si al órgano judicial no le asaltaban dudas, no cabía formularle censura alguna en sede constitucional por no haber planteado cuestión prejudicial ante el Tribunal de Justicia de la Unión Europea. En línea también con lo dicho en la STC de 18 de diciembre de 2014, considera que, en relación con el Auto de 14 de enero de 2014, debe decaer la queja de la demandante sobre “lo críptico de la fundamentación”. Finalmente, en cuanto a la denuncia de la vulneración al Juez ordinario predeterminado por la ley (art. 24.2 CE), recuerda que la Sentencia constitucional procede a su desestimación, una vez afirmada la motivación de la resolución por la Sala de apelación y la inexistencia de dudas sobre el planteamiento de la cuestión prejudicial.</w:t>
      </w:r>
    </w:p>
    <w:p w:rsidR="0085709A" w:rsidRDefault="0085709A" w:rsidP="0085709A">
      <w:pPr>
        <w:pStyle w:val="TextoNormal"/>
      </w:pPr>
    </w:p>
    <w:p w:rsidR="0085709A" w:rsidRDefault="0085709A" w:rsidP="0085709A">
      <w:pPr>
        <w:pStyle w:val="TextoNormal"/>
      </w:pPr>
      <w:r>
        <w:t>Por todo lo dicho, el Fiscal concluye que procede desestimar el presente recurso de amparo por no haberse producido la vulneración de los derechos a la tutela judicial efectiva sin indefensión y al juez ordinario predeterminado por la ley (arts. 24.1 y 24.2 CE).</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21 de mayo de 2015 se señaló para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demanda de amparo se dirige contra la Sentencia de 24 de octubre de 2013, dictada por la Sección Primera de la Sala de lo Contencioso-Administrativo del Tribunal Superior de Justicia de Andalucía (sede de Sevilla), en cuya virtud se resolvió el recurso de apelación interpuesto contra la Sentencia dictada por el Juzgado de lo Contencioso-Administrativo núm. 11 de Sevilla, en el procedimiento abreviado núm. 417-2011. Asimismo, la demanda también se interpone contra el Auto de 14 de enero de 2014, que desestima el incidente de nulidad de actuaciones promovido contra la citada Sentencia.</w:t>
      </w:r>
    </w:p>
    <w:p w:rsidR="0085709A" w:rsidRDefault="0085709A" w:rsidP="0085709A">
      <w:pPr>
        <w:pStyle w:val="TextoNormal"/>
      </w:pPr>
    </w:p>
    <w:p w:rsidR="0085709A" w:rsidRDefault="0085709A" w:rsidP="0085709A">
      <w:pPr>
        <w:pStyle w:val="TextoNormal"/>
      </w:pPr>
      <w:r>
        <w:t>Para la demandante, las decisiones judiciales combatidas lesionan el derecho a la tutela judicial efectiva sin indefensión reconocido en el art. 24.1 CE, así como su derecho al proceso debido. En síntesis, sostiene que las resoluciones dictadas han inaplicado la doctrina recogida en la STJUE de 8 de septiembre de 2011, en relación con el alcance y contenido de la cláusula cuatro, apartado cuarto, de la Directiva 1999/70. Por ello, entiende que el órgano judicial ha incurrido en error manifiesto o arbitrariedad al seleccionar la norma aplicable, lo que se traduce en una motivación insuficiente y en un apartamiento del sistema de fuentes preestablecido.</w:t>
      </w:r>
    </w:p>
    <w:p w:rsidR="0085709A" w:rsidRDefault="0085709A" w:rsidP="0085709A">
      <w:pPr>
        <w:pStyle w:val="TextoNormal"/>
      </w:pPr>
    </w:p>
    <w:p w:rsidR="0085709A" w:rsidRDefault="0085709A" w:rsidP="0085709A">
      <w:pPr>
        <w:pStyle w:val="TextoNormal"/>
      </w:pPr>
      <w:r>
        <w:t>La recurrente también afirma que el órgano judicial lesionó su derecho al juez ordinario predeterminado por ley (art. 24.2 CE). Sustenta este alegato en el hecho de que el Tribunal de apelación no aplicó al caso la doctrina asentada por el Tribunal de Justicia de la Unión Europea en la Sentencia anteriormente referenciada, ni tampoco planteó cuestión prejudicial ante este organismo, a lo cual estaba obligado de conformidad con lo previsto en el art. 267 del Tratado de funcionamiento de la Unión Europea.</w:t>
      </w:r>
    </w:p>
    <w:p w:rsidR="0085709A" w:rsidRDefault="0085709A" w:rsidP="0085709A">
      <w:pPr>
        <w:pStyle w:val="TextoNormal"/>
      </w:pPr>
    </w:p>
    <w:p w:rsidR="0085709A" w:rsidRDefault="0085709A" w:rsidP="0085709A">
      <w:pPr>
        <w:pStyle w:val="TextoNormal"/>
      </w:pPr>
      <w:r>
        <w:t>Para la representación procesal de la Junta de Andalucía el recurso de amparo debe ser desestimado, pues no aprecia vulneración alguna de los derechos fundamentales que se invocan en la demanda. Por un lado, considera que la sentencia resolutoria del recurso de apelación ofrece una motivación suficiente y aplica la doctrina emanada de la STJUE de 8 de septiembre de 2011, sin incurrir en manifiesta arbitrariedad o irrazonabilidad. Por otro lado, considera que el órgano judicial no albergó dudas acerca de la interpretación y aplicación de la normativa de la Unión Europea y, en consecuencia, el hecho de no plantear la cuestión prejudicial ante el Tribunal de Justicia de la Unión Europea no conculca el derecho de la demandante al juez ordinario predeterminado por la ley. También señala que esta temática relativa a las dudas interpretativas del derecho comunitario que hubieren hecho preciso el planteamiento de la referida cuestión fue ajena al debate procesal, pues hasta la interposición del incidente de nulidad de actuaciones no manifestó la demandante su discrepancia con la interpretación y aplicación de la Directiva 1999/70/CE, a la luz de la STJUE de 8 de septiembre de 2011.</w:t>
      </w:r>
    </w:p>
    <w:p w:rsidR="0085709A" w:rsidRDefault="0085709A" w:rsidP="0085709A">
      <w:pPr>
        <w:pStyle w:val="TextoNormal"/>
      </w:pPr>
    </w:p>
    <w:p w:rsidR="0085709A" w:rsidRDefault="0085709A" w:rsidP="0085709A">
      <w:pPr>
        <w:pStyle w:val="TextoNormal"/>
      </w:pPr>
      <w:r>
        <w:t>Por su parte, el Ministerio Fiscal interesa también la desestimación del recurso de amparo, apoyando su conclusión en la Sentencia del Tribunal Constitucional de 18 de diciembre de 2014, dictada en un caso similar.</w:t>
      </w:r>
    </w:p>
    <w:p w:rsidR="0085709A" w:rsidRDefault="0085709A" w:rsidP="0085709A">
      <w:pPr>
        <w:pStyle w:val="TextoNormal"/>
      </w:pPr>
    </w:p>
    <w:p w:rsidR="0085709A" w:rsidRDefault="0085709A" w:rsidP="0085709A">
      <w:pPr>
        <w:pStyle w:val="TextoNormal"/>
      </w:pPr>
      <w:r w:rsidRPr="0085709A">
        <w:rPr>
          <w:rStyle w:val="NumeroAFNegritaCaracter"/>
        </w:rPr>
        <w:t>2</w:t>
      </w:r>
      <w:r>
        <w:t>. Ciertamente, como apunta el Ministerio Fiscal, el asunto planteado en este recurso de amparo coincide sustancialmente con el resuelto por el Pleno de este Tribunal en la STC 212/2014, de 18 de diciembre. Por ello, sin perjuicio de las adaptaciones necesarias, en el enjuiciamiento de las quejas aquí formuladas habremos de atender a la argumentación y conclusiones establecidas en la citada Sentencia constitucional.</w:t>
      </w:r>
    </w:p>
    <w:p w:rsidR="0085709A" w:rsidRDefault="0085709A" w:rsidP="0085709A">
      <w:pPr>
        <w:pStyle w:val="TextoNormal"/>
      </w:pPr>
    </w:p>
    <w:p w:rsidR="0085709A" w:rsidRDefault="0085709A" w:rsidP="0085709A">
      <w:pPr>
        <w:pStyle w:val="TextoNormal"/>
      </w:pPr>
      <w:r>
        <w:t>De entrada, antes de abordar lo que propiamente constituye el fondo del presente recurso, conviene detenerse a analizar la alegación formulada por la Letrada de la Junta de Andalucía, que considera que la censura vinculada a la interpretación y aplicación del Derecho comunitario y el no planteamiento de la cuestión ante el Tribunal de Justicia de la Unión Europea sólo fue suscitada en el incidente de nulidad de actuaciones.</w:t>
      </w:r>
    </w:p>
    <w:p w:rsidR="0085709A" w:rsidRDefault="0085709A" w:rsidP="0085709A">
      <w:pPr>
        <w:pStyle w:val="TextoNormal"/>
      </w:pPr>
    </w:p>
    <w:p w:rsidR="0085709A" w:rsidRDefault="0085709A" w:rsidP="0085709A">
      <w:pPr>
        <w:pStyle w:val="TextoNormal"/>
      </w:pPr>
      <w:r>
        <w:t xml:space="preserve">Al respecto, ha de señalarse que, en el caso ahora enjuiciado, el examen de las actuaciones pone de relieve que la hoy recurrente en amparo ya en la demanda de recurso contencioso-administrativo —y después en el escrito de formulación del recurso de apelación— procedió a alegar la aplicación directa de la cláusula cuarta, apartado cuarto, de la Directiva 99/70/CE, haciendo alusión al contenido de las SSTJUE de 22 de diciembre de 2010 y de 8 de septiembre de 2011 (C-177/2010), y considerando que el criterio aplicado por la Administración de la Junta de Andalucía resultaba contrario al Derecho comunitario y su interpretación, apreciación esta que, por el contrario, no fue compartida por las respectivas sentencias de instancia y apelación. Ciertamente, es en el escrito de interposición del incidente </w:t>
      </w:r>
      <w:r>
        <w:lastRenderedPageBreak/>
        <w:t>de nulidad de actuaciones cuando, vista la interpretación y aplicación de la normativa comunitaria realizada por la sentencia de apelación, la demandante reprocha al Tribunal Superior de Justicia no haber formulado cuestión prejudicial ante el Tribunal de Justicia de la Unión Europea, solicitándole su planteamiento. Ahora bien, como ya hicimos en la referida STC 212/2014, de 18 de diciembre, con apoyo en la STJUE de 18 de julio de 2013, C-136/2012 (apartados 28 a 31), debemos recordar que el sistema instaurado por el art. 267 del Tratado de funcionamiento de la Unión Europea establece una cooperación directa entre el Tribunal de Justicia y los órganos judiciales nacionales, conforme a un procedimiento ajeno a toda iniciativa de las partes, de ahí que corresponde exclusivamente al órgano jurisdiccional remitente determinar y formular las cuestiones prejudiciales relativas a la interpretación del Derecho de la Unión, que sean necesarias para resolver el litigio principal (FJ 2). Por ello, igual que concluimos en la indicada STC 212/2014, FJ 2, también aquí ha de reiterarse que el hecho de que ninguna de las partes —en especial, la demandante— hubiera instado expresamente el planteamiento de la cuestión prejudicial hasta el incidente de nulidad de actuaciones, en nada empece la admisibilidad del presente recurso de amparo, teniendo en cuenta además que, en este caso y como se ha dicho, la denuncia relativa a la contradicción entre el criterio de la Administración y la interpretación y aplicación del Derecho comunitario ya fue introducida en fase de instancia por la ahora recurrente.</w:t>
      </w:r>
    </w:p>
    <w:p w:rsidR="0085709A" w:rsidRDefault="0085709A" w:rsidP="0085709A">
      <w:pPr>
        <w:pStyle w:val="TextoNormal"/>
      </w:pPr>
    </w:p>
    <w:p w:rsidR="0085709A" w:rsidRDefault="0085709A" w:rsidP="0085709A">
      <w:pPr>
        <w:pStyle w:val="TextoNormal"/>
      </w:pPr>
      <w:r w:rsidRPr="0085709A">
        <w:rPr>
          <w:rStyle w:val="NumeroAFNegritaCaracter"/>
        </w:rPr>
        <w:t>3</w:t>
      </w:r>
      <w:r>
        <w:t>. Entrando ya en el fondo, y a la vista de los términos en que ha sido planteado el presente recurso de amparo, en primer lugar procede resolver si la decisión adoptada por el Tribunal de apelación contraviene el derecho a la tutela judicial efectiva sin indefensión, en su faceta relativa a la obtención de una resolución motivada y fundada en Derecho (art. 24.1 CE). De acuerdo con una consolidada doctrina constitucional, este derecho significa: i) que la resolución judicial ha de estar motivada, es decir, contener los elementos y razones de juicio que permitan conocer cuáles han sido los criterios jurídicos que fundamentan la decisión; y ii) que la motivación ha de estar fundada en Derecho o, lo que es lo mismo, que sea consecuencia de una exégesis racional del Ordenamiento y no fruto de un error patente o de la arbitrariedad; ahora bien, como también hemos reiterado, el derecho a la tutela judicial efectiva no incluye un pretendido derecho al acierto judicial en la selección, interpretación y aplicación de las disposiciones legales, salvo que afecte al contenido de otros derechos constitucionales distintos al de tutela judicial efectiva, de ahí que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(por todas, STC 27/2013, de 11 de febrero, FJ 5).</w:t>
      </w:r>
    </w:p>
    <w:p w:rsidR="0085709A" w:rsidRDefault="0085709A" w:rsidP="0085709A">
      <w:pPr>
        <w:pStyle w:val="TextoNormal"/>
      </w:pPr>
    </w:p>
    <w:p w:rsidR="0085709A" w:rsidRDefault="0085709A" w:rsidP="0085709A">
      <w:pPr>
        <w:pStyle w:val="TextoNormal"/>
      </w:pPr>
      <w:r>
        <w:t xml:space="preserve">De manera específica, con relación a la decisión del órgano judicial sobre el planteamiento de una cuestión prejudicial ante el Tribunal de Justicia de la Unión Europea, la jurisprudencia constitucional ha señalado que tal decisión corresponde, de forma exclusiva e irrevisable, al órgano judicial que resuelve el litigio, no existiendo vulneración alguna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(STC 58/2004, de 19 de abril, FJ 10). Por ello, en la STC 27/2013, de 11 de febrero, FJ 6, descartamos que, en el caso allí enjuiciado, la falta de planteamiento de la cuestión prejudicial por el órgano judicial pudiera lesionar el art. 24.1 CE, dado que la </w:t>
      </w:r>
      <w:r>
        <w:lastRenderedPageBreak/>
        <w:t>Sentencia recurrida se justificaba en una interpretación de la legalidad ordinaria y de la jurisprudencia aplicables en relación con la ejecución interna del Derecho de la Unión Europea, que estaba razonada y que no resultaba manifiestamente irrazonable o arbitraria, tratándose de una resolución judicial que no podía calificarse a primera vista como no fundada en Derecho, con independencia de su acierto o desacierto últimos, sin que correspondiera a este Tribunal entrar a examinar si otras interpretaciones también posibles debían prevalecer sobre aquella.</w:t>
      </w:r>
    </w:p>
    <w:p w:rsidR="0085709A" w:rsidRDefault="0085709A" w:rsidP="0085709A">
      <w:pPr>
        <w:pStyle w:val="TextoNormal"/>
      </w:pPr>
    </w:p>
    <w:p w:rsidR="0085709A" w:rsidRDefault="0085709A" w:rsidP="0085709A">
      <w:pPr>
        <w:pStyle w:val="TextoNormal"/>
      </w:pPr>
      <w:r>
        <w:t>En resumen, y según dijimos en la STC 212/2014, “desde la perspectiva del art. 24.1 CE, el canon de control establecido respecto del planteamiento de cuestiones prejudiciales ante el Tribunal de Justicia de la Unión Europea no difiere del que este Tribunal ha fijado, con carácter general, para las decisiones judiciales que son fruto de la interpretación y aplicación del Derecho al caso concreto” (FJ 3). Consiguientemente, en relación con la temática sobre la que versa el presente recurso, en esta instancia constitucional lo único que nos corresponde ponderar es si las resoluciones judiciales impugnadas están fundadas en Derecho y son fruto de una exégesis racional de la legalidad ordinaria.</w:t>
      </w:r>
    </w:p>
    <w:p w:rsidR="0085709A" w:rsidRDefault="0085709A" w:rsidP="0085709A">
      <w:pPr>
        <w:pStyle w:val="TextoNormal"/>
      </w:pPr>
    </w:p>
    <w:p w:rsidR="0085709A" w:rsidRDefault="0085709A" w:rsidP="0085709A">
      <w:pPr>
        <w:pStyle w:val="TextoNormal"/>
      </w:pPr>
      <w:r w:rsidRPr="0085709A">
        <w:rPr>
          <w:rStyle w:val="NumeroAFNegritaCaracter"/>
        </w:rPr>
        <w:t>4</w:t>
      </w:r>
      <w:r>
        <w:t>. En este juicio cabe empezar por señalar que, en su fundamentación, la Sentencia recurrida en amparo expuso los razonamientos jurídicos que le llevan a declarar que la decisión de la Administración de valorar entre los méritos la antigüedad adquirida únicamente como funcionaria de carrera —y no como interina— no contraviene la Directiva 1999/70 ni la doctrina reflejada en la STJUE de fecha 8 de septiembre de 2011. Asimismo, implícitamente consideró innecesario plantear cuestión prejudicial ante el Tribunal de Justicia de la Unión Europea. Este criterio fue corroborado en el Auto resolutorio del incidente de nulidad de actuaciones, en el que de forma explícita se afirma que el planteamiento de la cuestión prejudicial corresponde al órgano jurisdiccional, que no ha advertido dudas interpretativas.</w:t>
      </w:r>
    </w:p>
    <w:p w:rsidR="0085709A" w:rsidRDefault="0085709A" w:rsidP="0085709A">
      <w:pPr>
        <w:pStyle w:val="TextoNormal"/>
      </w:pPr>
    </w:p>
    <w:p w:rsidR="0085709A" w:rsidRDefault="0085709A" w:rsidP="0085709A">
      <w:pPr>
        <w:pStyle w:val="TextoNormal"/>
      </w:pPr>
      <w:r>
        <w:t>En concreto, los motivos que el Tribunal de apelación aduce en su Sentencia para declarar esa adecuación a la referida Directiva y a la Sentencia del Tribunal de Justicia de la Unión Europea citada son, en esencia, los siguientes: a) el supuesto de hecho analizado por el Tribunal de Justicia de la Unión Europea difiere del actual, pues aquél versaba sobre un proceso de promoción interna en el que la antigüedad como funcionario de carrera no se valoraba como mérito, sino como requisito de acceso para suplir la falta de titulación; b) la existencia de razones objetivas que justifican un tratamiento diferenciado de la antigüedad, tales como el distinto nivel de exigencia en cuanto a la publicidad y méritos valorables en los procesos selectivos para el acceso como funcionarios de carrera y para la provisión de puestos definitivos, frente al exigido para nombramientos provisionales o funcionarios interinos; y c) no puede ser invalidada, como legítima política de personal, aquella que pretende incentivar a los funcionarios de carrera, valorando de manera significativa la experiencia desarrollada en esa condición y en puestos obtenidos y desempeñados con carácter definitivo.</w:t>
      </w:r>
    </w:p>
    <w:p w:rsidR="0085709A" w:rsidRDefault="0085709A" w:rsidP="0085709A">
      <w:pPr>
        <w:pStyle w:val="TextoNormal"/>
      </w:pPr>
    </w:p>
    <w:p w:rsidR="0085709A" w:rsidRDefault="0085709A" w:rsidP="0085709A">
      <w:pPr>
        <w:pStyle w:val="TextoNormal"/>
      </w:pPr>
      <w:r>
        <w:t xml:space="preserve">Esta argumentación expuesta por el órgano judicial coincide en gran medida con la ofrecida en la Sentencia que fue objeto del recurso de amparo resuelto en la ya mencionada STC 212/2014, por lo que, igual que allí (FJ 4), también en el presente procedimiento cabe extraer las siguientes conclusiones en cuanto al carácter motivado y fundado de la resolución recurrida. De un lado, cabe afirmar que la Sentencia dictada por el Tribunal de apelación exterioriza adecuadamente cuáles han sido los criterios jurídicos que fundamentan la decisión </w:t>
      </w:r>
      <w:r>
        <w:lastRenderedPageBreak/>
        <w:t xml:space="preserve">adoptada, de manera que las partes han podido conocer la posición del órgano de enjuiciamiento sobre la cuestión que ahora nos ocupa. De otro lado, abstracción hecha del juicio que merezcan las conclusiones alcanzadas por el Tribunal de apelación sobre la incidencia, en el presente caso, de la doctrina recogida en la STJUE de 8 de septiembre del 2011, lo cierto es que los argumentos expuestos sobre tal cuestión no incurren en arbitrariedad ni adolecen de falta de razonabilidad, pues, al fin y al cabo, la referida argumentación explicita de manera suficiente las consideraciones de índole jurídica que sustentan la decisión finalmente adoptada por el órgano judicial, para quien la desestimación de lo pretendido por la demandante no contraviene lo estatuido por la Directiva 1999/70 ni la doctrina enunciada en la reiterada Sentencia del Tribunal de Justicia de la Unión Europea. Debemos insistir en que a este Tribunal no le corresponde pronunciarse sobre el eventual acierto de la decisión finalmente adoptada, ni tampoco alumbrar otras interpretaciones que pudieran resultar más plausibles. Los órganos judiciales son los únicos competentes, </w:t>
      </w:r>
      <w:r w:rsidRPr="0085709A">
        <w:rPr>
          <w:i/>
        </w:rPr>
        <w:t>ex</w:t>
      </w:r>
      <w:r>
        <w:t xml:space="preserve"> art. 117.3 CE, para resolver sobre las materias de estricta legalidad ordinaria.</w:t>
      </w:r>
    </w:p>
    <w:p w:rsidR="0085709A" w:rsidRDefault="0085709A" w:rsidP="0085709A">
      <w:pPr>
        <w:pStyle w:val="TextoNormal"/>
      </w:pPr>
    </w:p>
    <w:p w:rsidR="0085709A" w:rsidRDefault="0085709A" w:rsidP="0085709A">
      <w:pPr>
        <w:pStyle w:val="TextoNormal"/>
      </w:pPr>
      <w:r>
        <w:t>De manera específica, tampoco cabe admitir la queja de la demandante relativa a la insuficiencia de motivación del Auto de 14 de enero de 2014, por el que se resuelve el incidente de nulidad de actuaciones, dado que en él, de forma sucinta, pero suficiente, se explican las razones de la decisión judicial de desestimar el citado incidente.</w:t>
      </w:r>
    </w:p>
    <w:p w:rsidR="0085709A" w:rsidRDefault="0085709A" w:rsidP="0085709A">
      <w:pPr>
        <w:pStyle w:val="TextoNormal"/>
      </w:pPr>
    </w:p>
    <w:p w:rsidR="0085709A" w:rsidRDefault="0085709A" w:rsidP="0085709A">
      <w:pPr>
        <w:pStyle w:val="TextoNormal"/>
      </w:pPr>
      <w:r>
        <w:t>En consecuencia, hemos de concluir que la fundamentación ofrecida por el Tribunal de apelación no vulnera el derecho a la tutela judicial efectiva sin indefensión reconocido en el art. 24.1 CE.</w:t>
      </w:r>
    </w:p>
    <w:p w:rsidR="0085709A" w:rsidRDefault="0085709A" w:rsidP="0085709A">
      <w:pPr>
        <w:pStyle w:val="TextoNormal"/>
      </w:pPr>
    </w:p>
    <w:p w:rsidR="0085709A" w:rsidRDefault="0085709A" w:rsidP="0085709A">
      <w:pPr>
        <w:pStyle w:val="TextoNormal"/>
      </w:pPr>
      <w:r w:rsidRPr="0085709A">
        <w:rPr>
          <w:rStyle w:val="NumeroAFNegritaCaracter"/>
        </w:rPr>
        <w:t>5</w:t>
      </w:r>
      <w:r>
        <w:t>. En conexión con la anterior conclusión, y atendiendo de nuevo a lo dicho en la reiterada STC 212/2014 (FJ 5), también hemos de rechazar que exista vulneración del derecho a un proceso público con todas las garantías (art. 24.2 CE). De acuerdo con la doctrina constitucional antes expuesta, el órgano judicial es competente para valorar la eventual aplicación de la normativa de la Unión Europea al caso concreto, de manera que si a dicho órgano no le asaltan dudas sobre ese particular, en esta sede constitucional no cabe formular censura alguna por no plantear cuestión prejudicial ante el Tribunal de Justicia de la Unión Europea, salvo por deficiencias de motivación. Pues bien, en el presente caso, ya se ha dicho que el Tribunal de apelación argumentó motivadamente que el hecho de no valorar en el procedimiento de promoción interna la antigüedad que la demandante consolidó como funcionaria interina no contraviene la doctrina enunciada en la STJUE de 8 de septiembre de 2011, sin que conste que dicho órgano hubiera tenido dudas sobre la necesidad de plantear cuestión prejudicial sobre ese aspecto; muy al contrario, en el Auto resolutorio del incidente de nulidad de actuaciones se afirma de manera explícita que el órgano jurisdiccional no ha advertido dudas interpretativas al respecto. Por ello, no es dable apreciar la vulneración de ninguna garantía esencial del proceso debido.</w:t>
      </w:r>
    </w:p>
    <w:p w:rsidR="0085709A" w:rsidRDefault="0085709A" w:rsidP="0085709A">
      <w:pPr>
        <w:pStyle w:val="TextoNormal"/>
      </w:pPr>
    </w:p>
    <w:p w:rsidR="0085709A" w:rsidRDefault="0085709A" w:rsidP="0085709A">
      <w:pPr>
        <w:pStyle w:val="TextoNormal"/>
      </w:pPr>
      <w:r>
        <w:t xml:space="preserve">Otro tanto cumple decir respecto del derecho al juez ordinario predeterminado por la ley (art. 24.2 CE), cuya vulneración denuncia la demandante. Los argumentos hasta ahora expuestos sirven ya para desechar esa queja. Además, a mayor abundamiento y como también indicamos en la STC 212/2014 (FJ 5), no resulta ocioso traer a colación nuestra doctrina sobre el contenido y alcance del derecho fundamental enunciado, que según hemos afirmado “exige, fundamentalmente, que el órgano judicial haya sido creado por una norma legal </w:t>
      </w:r>
      <w:r>
        <w:lastRenderedPageBreak/>
        <w:t>invistiéndolo de jurisdicción y competencia con anterioridad al hecho motivador de la actuación o proceso judicial y que su régimen orgánico y procesal no permita calificarlo de órgano especial o excepcional” (por todas, STC 191/2011, de 12 de diciembre, FJ 5). En atención a la doctrina expuesta, es patente que el hecho de no haber planteado cuestión prejudicial queda extramuros de la garantía cuya lesión invoca la demandante.</w:t>
      </w:r>
    </w:p>
    <w:p w:rsidR="0085709A" w:rsidRDefault="0085709A" w:rsidP="0085709A">
      <w:pPr>
        <w:pStyle w:val="TextoNormal"/>
      </w:pPr>
    </w:p>
    <w:p w:rsidR="0085709A" w:rsidRDefault="0085709A" w:rsidP="0085709A">
      <w:pPr>
        <w:pStyle w:val="TextoNormal"/>
      </w:pPr>
      <w:r>
        <w:t>Descartadas, pues, las diferentes lesiones de los derechos fundamentales denunciadas en esta sede constitucional, procede desestimar el amparo solicitado.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interpuesto por doña María Elena Mariscal del Castillo.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3" w:name="SENTENCIA_2015_100"/>
      <w:r>
        <w:lastRenderedPageBreak/>
        <w:t>SENTENCIA 100/2015, de 25 de mayo de 2015</w:t>
      </w:r>
    </w:p>
    <w:bookmarkEnd w:id="103"/>
    <w:p w:rsidR="0085709A" w:rsidRDefault="0085709A" w:rsidP="0085709A">
      <w:pPr>
        <w:pStyle w:val="TtuloResolucin"/>
      </w:pPr>
      <w:r>
        <w:t>Sala Primera</w:t>
      </w:r>
    </w:p>
    <w:p w:rsidR="0085709A" w:rsidRDefault="0085709A" w:rsidP="0085709A">
      <w:pPr>
        <w:pStyle w:val="TtuloBOE"/>
      </w:pPr>
      <w:r>
        <w:t>(BOE núm. 159, de 4 de julio de 2015)</w:t>
      </w:r>
    </w:p>
    <w:p w:rsidR="0085709A" w:rsidRDefault="0085709A" w:rsidP="0085709A">
      <w:pPr>
        <w:pStyle w:val="TextoNormalCentrado"/>
      </w:pPr>
      <w:r>
        <w:t>ECLI:ES:TC:2015:100</w:t>
      </w:r>
    </w:p>
    <w:p w:rsidR="0085709A" w:rsidRDefault="0085709A" w:rsidP="0085709A">
      <w:pPr>
        <w:pStyle w:val="TextoNormalCentrado"/>
      </w:pPr>
    </w:p>
    <w:p w:rsidR="0085709A" w:rsidRDefault="0085709A" w:rsidP="0085709A">
      <w:pPr>
        <w:pStyle w:val="SntesisDescriptiva"/>
      </w:pPr>
      <w:r>
        <w:t>Cuestión de inconstitucionalidad 1629-2014. Planteada por el Juzgado de lo Social núm. 5 de Santa Cruz de Tenerife, en relación con el artículo 2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extinción, por pérdida de objeto, de la cuestión de inconstitucionalidad (STC 83/2015).</w:t>
      </w:r>
    </w:p>
    <w:p w:rsidR="0085709A" w:rsidRDefault="0085709A" w:rsidP="0085709A">
      <w:pPr>
        <w:pStyle w:val="SntesisAnaltica"/>
      </w:pPr>
    </w:p>
    <w:p w:rsidR="0085709A" w:rsidRDefault="0085709A" w:rsidP="0085709A">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85709A" w:rsidRDefault="0085709A" w:rsidP="0085709A">
      <w:pPr>
        <w:pStyle w:val="Extracto"/>
      </w:pPr>
    </w:p>
    <w:p w:rsidR="0085709A" w:rsidRDefault="0085709A" w:rsidP="0085709A">
      <w:pPr>
        <w:pStyle w:val="Extracto"/>
      </w:pPr>
      <w:r>
        <w:t>2.</w:t>
      </w:r>
      <w:r>
        <w:tab/>
        <w:t>Doctrina sobre las posibles causas de terminación extraordinaria de las cuestiones de inconstitucionalidad por pérdida sobrevenida de objeto (STC 83/2015) [FJ 3].</w:t>
      </w:r>
    </w:p>
    <w:p w:rsidR="0085709A" w:rsidRDefault="0085709A" w:rsidP="0085709A">
      <w:pPr>
        <w:pStyle w:val="Extracto"/>
      </w:pPr>
    </w:p>
    <w:p w:rsidR="0085709A" w:rsidRDefault="0085709A" w:rsidP="0085709A">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1629-2014 promovida por el Juzgado de lo Social núm. 5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18 de marzo de 2014 se registró en este Tribunal Constitucional un oficio del Juzgado de lo Social núm. 5 de Santa Cruz de Tenerife, fechado el 11 de marzo de 2014, al que se acompañaba, junto al testimonio del correspondiente procedimiento, el Auto de ese mismo órgano judicial de 10 de marzo de 2014, por el que se acordaba plantear cuestión de inconstitucionalidad en relación con el art. 2 del Real Decreto-ley 20/2012, de 13 de julio, de medidas para garantizar la estabilidad presupuestaria y de fomento de la competitividad (convalidado por el Congreso de los Diputados </w:t>
      </w:r>
      <w:r w:rsidRPr="0085709A">
        <w:rPr>
          <w:i/>
        </w:rPr>
        <w:t>ex</w:t>
      </w:r>
      <w:r>
        <w:t xml:space="preserve"> art. 86.2 CE en su sesión de 19 de julio de 2012), por posible vulneración de los arts. 9.3 y 33.3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t>a) Al Juzgado de lo Social núm. 5 de Santa Cruz de Tenerife le fue turnada demanda de conflicto colectivo interpuesta por la Federación de Servicios Públicos de la Unión General de Trabajadores de Canarias (FSP-UGT), que dio lugar a los autos núm. 25-2014. La citada organización sindical pretendía en su demanda que se declarase el derecho de los trabajadores del Instituto de Astrofísica de Canarias a percibir la cuantía integra de la paga extraordinaria de diciembre de 2012, condenando a la demandada al abono íntegro de la misma; subsidiariamente, pretendían que no se descontase de la paga extra de diciembre la parte ya devengada cuando entró en vigor el Real Decreto-ley 20/2012. Asimismo solicitaban con carácter subsidiario que se reconociera y declarara que la privación de la paga extraordinaria de diciembre o equivalente, da derecho a los trabajadores afectados a ser indemnizados conforme a los arts. 33.3 y 106.2 CE.</w:t>
      </w:r>
    </w:p>
    <w:p w:rsidR="0085709A" w:rsidRDefault="0085709A" w:rsidP="0085709A">
      <w:pPr>
        <w:pStyle w:val="TextoNormal"/>
      </w:pPr>
    </w:p>
    <w:p w:rsidR="0085709A" w:rsidRDefault="0085709A" w:rsidP="0085709A">
      <w:pPr>
        <w:pStyle w:val="TextoNormal"/>
      </w:pPr>
      <w:r>
        <w:t>b) Concluso el procedimiento y dentro del plazo para dictar sentencia, por providencia de 7 de febrero de 2014 del Juzgado, se acordó oír a las partes y al Ministerio Fiscal para que alegasen sobre la pertinencia de plantear cuestión de inconstitucionalidad en relación con el art. 2 del citado Real Decreto-ley 20/2012, por posible vulneración de los arts. 9.3 y 33.3 CE, en la medida en que la supresión de la totalidad de la paga extraordinaria de diciembre de 2012, “sin excepcionar la parte proporcional de la misma devengada hasta el momento de entrada en vigor del Real Decreto- Ley 20/2012, podría considerarse una norma retroactiva restrictiva de derechos individuales y una expropiación forzosa de un derecho patrimonial sin verse acompañada de la correspondiente indemnización”.</w:t>
      </w:r>
    </w:p>
    <w:p w:rsidR="0085709A" w:rsidRDefault="0085709A" w:rsidP="0085709A">
      <w:pPr>
        <w:pStyle w:val="TextoNormal"/>
      </w:pPr>
    </w:p>
    <w:p w:rsidR="0085709A" w:rsidRDefault="0085709A" w:rsidP="0085709A">
      <w:pPr>
        <w:pStyle w:val="TextoNormal"/>
      </w:pPr>
      <w:r>
        <w:t>c) Por escrito registrado el 13 de febrero de 2014, la Federación de Servicios Públicos de la Unión General de Trabajadores de Canarias (FSP-UGT), estimó pertinente el planteamiento de la cuestión. Con fecha 20 de febrero de 2014, se presentó escrito del Ministerio Fiscal en el que se afirmaba que se daban los requisitos procesales suficientes para plantear la cuestión, sin entrar en el fondo de la misma. Finalmente el Abogado del Estado, en representación del Instituto de Astrofísica de Canarias, se opuso al planteamiento de la cuestión por escrito registrado el 5 de marzo de 2014.</w:t>
      </w:r>
    </w:p>
    <w:p w:rsidR="0085709A" w:rsidRDefault="0085709A" w:rsidP="0085709A">
      <w:pPr>
        <w:pStyle w:val="TextoNormal"/>
      </w:pPr>
    </w:p>
    <w:p w:rsidR="0085709A" w:rsidRDefault="0085709A" w:rsidP="0085709A">
      <w:pPr>
        <w:pStyle w:val="TextoNormal"/>
      </w:pPr>
      <w:r>
        <w:t xml:space="preserve">d) Por Auto de 10 de marzo de 2014, el Juzgado de lo Social núm. 5 de Santa Cruz de Tenerife acordó plantear cuestión de inconstitucionalidad en relación con el art. 2 del Real </w:t>
      </w:r>
      <w:r>
        <w:lastRenderedPageBreak/>
        <w:t>Decreto-ley 20/2012, de 13 de julio, de medidas para garantizar la estabilidad presupuestaria y de fomento de la competitividad.</w:t>
      </w:r>
    </w:p>
    <w:p w:rsidR="0085709A" w:rsidRDefault="0085709A" w:rsidP="0085709A">
      <w:pPr>
        <w:pStyle w:val="TextoNormal"/>
      </w:pPr>
    </w:p>
    <w:p w:rsidR="0085709A" w:rsidRDefault="0085709A" w:rsidP="0085709A">
      <w:pPr>
        <w:pStyle w:val="TextoNormal"/>
      </w:pPr>
      <w:r w:rsidRPr="0085709A">
        <w:rPr>
          <w:rStyle w:val="NumeroAFNegritaCaracter"/>
        </w:rPr>
        <w:t>3</w:t>
      </w:r>
      <w:r>
        <w:t>. En el Auto de 10 de marzo de 2014, el Juzgado de lo Social núm. 5 de Santa Cruz de Tenerife considera que el art. 2 del Real Decreto-ley 20/2012 podría vulnerar el principio de irretroactividad de las disposiciones sancionadoras no favorables o restrictivas de derechos individuales que garantiza el art. 9.3 CE, en relación con el art. 33.3 CE, con fundamento en los razonamientos que a continuación se resumen:</w:t>
      </w:r>
    </w:p>
    <w:p w:rsidR="0085709A" w:rsidRDefault="0085709A" w:rsidP="0085709A">
      <w:pPr>
        <w:pStyle w:val="TextoNormal"/>
      </w:pPr>
    </w:p>
    <w:p w:rsidR="0085709A" w:rsidRDefault="0085709A" w:rsidP="0085709A">
      <w:pPr>
        <w:pStyle w:val="TextoNormal"/>
      </w:pPr>
      <w:r>
        <w:t>a) Tras una síntesis de los antecedentes de hecho y la transcripción del art. 2 del Real Decreto-ley 20/2012, se señala que está claro que tal disposición cuando establece la supresión del pago de la totalidad de la paga extraordinaria del mes de diciembre del año 2012 para el personal laboral del sector público, no hace excepción alguna de la parte proporcional que en su caso ya pudiera haberse devengado. Afirma que una reiterada jurisprudencia, que no puede ser desconocida por el legislador sin motivos justificados de interés general, configura la paga extraordinaria como de devengo diario y cobro aplazado, de modo que no puede dejarse retroactivamente sin efecto tal jurisprudencia, sin mediar la indemnización adecuada conforme al art. 33.3 CE, al afectar la retroactividad a derechos de contenido patrimonial concreto.</w:t>
      </w:r>
    </w:p>
    <w:p w:rsidR="0085709A" w:rsidRDefault="0085709A" w:rsidP="0085709A">
      <w:pPr>
        <w:pStyle w:val="TextoNormal"/>
      </w:pPr>
    </w:p>
    <w:p w:rsidR="0085709A" w:rsidRDefault="0085709A" w:rsidP="0085709A">
      <w:pPr>
        <w:pStyle w:val="TextoNormal"/>
      </w:pPr>
      <w:r>
        <w:t>Considera que cabría entender que el precepto cuestionado reduce las percepciones del personal del sector público pendientes de devengo y abono, pero no fijando (para el personal que cobra dos pagas extraordinarias al año) un determinado porcentaje de reducción (porcentaje que, en cambio, si se fija para el personal sin pagas extraordinarias, con pagas extras prorrateadas por meses, o con más de dos pagas extras anuales), sino remitiéndose en cuanto al importe (de la reducción) al equivalente a la paga extraordinaria de diciembre de 2012. Sostiene que así entendido, no se produciría una supresión de una paga extraordinaria incluyendo las partes proporcionales ya devengadas, sino una reducción de las retribuciones de 2012 pendientes de devengarse con posterioridad a la entrada en vigor del Real Decreto-ley 20/2012, y el no abono de la paga extraordinaria en el mes correspondiente de pago sería simplemente, una forma de ejecutar esa reducción. Esa interpretación, que a juicio del Magistrado proponente haría el precepto conforme con los arts. 9.3 y 33.3 CE, sin embargo, no se aviene con la regulación positiva que se refiere a la supresión durante el año 2012 de la “paga extraordinaria del mes de diciembre y la paga adicional de complemento específico o pagas adicionales equivalentes del mes de diciembre”.</w:t>
      </w:r>
    </w:p>
    <w:p w:rsidR="0085709A" w:rsidRDefault="0085709A" w:rsidP="0085709A">
      <w:pPr>
        <w:pStyle w:val="TextoNormal"/>
      </w:pPr>
    </w:p>
    <w:p w:rsidR="0085709A" w:rsidRDefault="0085709A" w:rsidP="0085709A">
      <w:pPr>
        <w:pStyle w:val="TextoNormal"/>
      </w:pPr>
      <w:r>
        <w:t>Por todo lo expuesto, el Juzgado de lo Social núm. 5 de Santa Cruz de Tenerife concluye que el art. 2 del Real Decreto-ley 20/2012, en su aplicación al personal laboral del sector público, ha podido vulnerar el principio de irretroactividad de las disposiciones restrictivas de derechos individuales previsto en el art. 9.3 CE, en relación con el art. 33.3 de la Constitución respecto a la supresión de un derecho patrimonial sin compensación adecuada.</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Por providencia de 6 de mayo de 2014,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w:t>
      </w:r>
      <w:r>
        <w:lastRenderedPageBreak/>
        <w:t>Fiscal General del Estado, para que en el improrrogable plazo de quince días pudieran personarse en el procedimiento y formular las alegaciones que estimasen convenientes (art. 37.3 LOTC). Asimismo se ordenó, de un lado, comunicar esa resolución al Juzgado de lo Social núm. 5 de Santa Cruz de Tenerife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116, de 13 de mayo de 2014, concediendo un plazo de quince días a partir de la publicación del referido edicto para que, de conformidad con lo establecido en el art. 37.2 LOTC, quienes fuesen parte en el conflicto colectivo núm. 25-2012, seguido ante el Juzgado de lo Social núm. 5 de Santa Cruz de Tenerife, pudieran personarse ante este Tribunal.</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general de este Tribunal el 19 mayo de 2014, el Presidente del Congreso de los Diputados comunicó la decisión de la Mesa de esa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general de este Tribunal el 11 de mayo de 2014, el Presidente del Senado comunicó la decisión de la Mesa de esa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en este Tribunal el 20 de mayo de 2014, el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w:t>
      </w:r>
    </w:p>
    <w:p w:rsidR="0085709A" w:rsidRDefault="0085709A" w:rsidP="0085709A">
      <w:pPr>
        <w:pStyle w:val="TextoNormal"/>
      </w:pPr>
    </w:p>
    <w:p w:rsidR="0085709A" w:rsidRDefault="0085709A" w:rsidP="0085709A">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85709A" w:rsidRDefault="0085709A" w:rsidP="0085709A">
      <w:pPr>
        <w:pStyle w:val="TextoNormal"/>
      </w:pPr>
    </w:p>
    <w:p w:rsidR="0085709A" w:rsidRDefault="0085709A" w:rsidP="0085709A">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w:t>
      </w:r>
      <w:r>
        <w:lastRenderedPageBreak/>
        <w:t xml:space="preserve">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85709A">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85709A" w:rsidRDefault="0085709A" w:rsidP="0085709A">
      <w:pPr>
        <w:pStyle w:val="TextoNormal"/>
      </w:pPr>
    </w:p>
    <w:p w:rsidR="0085709A" w:rsidRDefault="0085709A" w:rsidP="0085709A">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85709A" w:rsidRDefault="0085709A" w:rsidP="0085709A">
      <w:pPr>
        <w:pStyle w:val="TextoNormal"/>
      </w:pPr>
    </w:p>
    <w:p w:rsidR="0085709A" w:rsidRDefault="0085709A" w:rsidP="0085709A">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del Juzgado de lo Social núm. 5 de Santa Cruz de Tenerife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en este Tribunal el 30 de mayo de 2014, el Abogado del Estado se personó en el presente proceso constitucional y formuló las alegaciones que a continuación se sintetizan. Comienza señalando que aunque el Auto de planteamiento cuestiona la totalidad del extenso art. 2 del Real Decreto-ley 20/2012, sin embargo se refiere en realidad solo al apartado 2.2 del art. 2, es decir, a la aplicación de la supresión de la paga extraordi</w:t>
      </w:r>
      <w:r>
        <w:lastRenderedPageBreak/>
        <w:t>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85709A" w:rsidRDefault="0085709A" w:rsidP="0085709A">
      <w:pPr>
        <w:pStyle w:val="TextoNormal"/>
      </w:pPr>
    </w:p>
    <w:p w:rsidR="0085709A" w:rsidRDefault="0085709A" w:rsidP="0085709A">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Indica,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85709A" w:rsidRDefault="0085709A" w:rsidP="0085709A">
      <w:pPr>
        <w:pStyle w:val="TextoNormal"/>
      </w:pPr>
    </w:p>
    <w:p w:rsidR="0085709A" w:rsidRDefault="0085709A" w:rsidP="0085709A">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85709A" w:rsidRDefault="0085709A" w:rsidP="0085709A">
      <w:pPr>
        <w:pStyle w:val="TextoNormal"/>
      </w:pPr>
    </w:p>
    <w:p w:rsidR="0085709A" w:rsidRDefault="0085709A" w:rsidP="0085709A">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w:t>
      </w:r>
      <w:r>
        <w:lastRenderedPageBreak/>
        <w:t>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85709A" w:rsidRDefault="0085709A" w:rsidP="0085709A">
      <w:pPr>
        <w:pStyle w:val="TextoNormal"/>
      </w:pPr>
    </w:p>
    <w:p w:rsidR="0085709A" w:rsidRDefault="0085709A" w:rsidP="0085709A">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85709A" w:rsidRDefault="0085709A" w:rsidP="0085709A">
      <w:pPr>
        <w:pStyle w:val="TextoNormal"/>
      </w:pPr>
    </w:p>
    <w:p w:rsidR="0085709A" w:rsidRDefault="0085709A" w:rsidP="0085709A">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85709A" w:rsidRDefault="0085709A" w:rsidP="0085709A">
      <w:pPr>
        <w:pStyle w:val="TextoNormal"/>
      </w:pPr>
    </w:p>
    <w:p w:rsidR="0085709A" w:rsidRDefault="0085709A" w:rsidP="0085709A">
      <w:pPr>
        <w:pStyle w:val="TextoNormal"/>
      </w:pPr>
      <w:r>
        <w:t>No comparte el Abogado del Estado que el precepto infrinja el art. 33.3 CE. Con cita de la STC 227/1988, de 29 de noviembre, sostiene que no existe una privación singular de un derecho adquirido, sino un aplazamiento en el pago y una regulación general para todos los empleados públicos que precisa la configuración legal de las gratificaciones extraordinarias, que no está sujeta a garantía de indemnización prevista en el art. 33.3 CE. Insistiendo en que incluso en el supuesto que se entendiera lo contrario, el art. 2 del Real Decreto-ley 20/2012 establece la compensación fijada en su apartado cuarto, sobre el que ninguna consideración realiza el Auto de planteamiento. Por todo ello, se interesa la desestimación de la cuestión.</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21 de mayo de 2015 se señaló para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Juez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2012).</w:t>
      </w:r>
    </w:p>
    <w:p w:rsidR="0085709A" w:rsidRDefault="0085709A" w:rsidP="0085709A">
      <w:pPr>
        <w:pStyle w:val="TextoNormal"/>
      </w:pPr>
    </w:p>
    <w:p w:rsidR="0085709A" w:rsidRDefault="0085709A" w:rsidP="0085709A">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al análisis de la cuestión planteada conviene realizar una serie de precisiones para acotar debidamente el objeto de la misma y el alcance de nuestro enjuiciamiento.</w:t>
      </w:r>
    </w:p>
    <w:p w:rsidR="0085709A" w:rsidRDefault="0085709A" w:rsidP="0085709A">
      <w:pPr>
        <w:pStyle w:val="TextoNormal"/>
      </w:pPr>
    </w:p>
    <w:p w:rsidR="0085709A" w:rsidRDefault="0085709A" w:rsidP="0085709A">
      <w:pPr>
        <w:pStyle w:val="TextoNormal"/>
      </w:pPr>
      <w:r>
        <w:t xml:space="preserve">a) Así,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la Federación de Servicios Públicos de la Unión General de Trabajadores de Canarias con motivo de la supresión, por aplicación de las previsiones contenidas en el Real Decreto-ley 20/2012, de la paga o gratificación extraordinaria de diciembre de 2012 al personal laboral del Instituto de Astrofísica de Canarias, proceso en el que lo pretendido por los demandantes con carácter subsidiario a la pretensión principal (referida a que no se aplique en esta empresa la medida de supresión de la paga extra de diciembre de 2012) es justamente que se declare el derecho de los trabajadores de dicho organismo público a percibir la parte proporcional de la paga extra de diciembre de 2012 que consideran ya devengada al momento de la entrada en vigor del Real Decreto-ley 20/2012, porque, </w:t>
      </w:r>
      <w:r>
        <w:lastRenderedPageBreak/>
        <w:t>de acuerdo con el art. 9.3 CE en relación con el art. 33.3 CE, no cabe que la supresión de esa paga extra por el Real Decreto-ley 20/2012 tenga efectos retroactivos.</w:t>
      </w:r>
    </w:p>
    <w:p w:rsidR="0085709A" w:rsidRDefault="0085709A" w:rsidP="0085709A">
      <w:pPr>
        <w:pStyle w:val="TextoNormal"/>
      </w:pPr>
    </w:p>
    <w:p w:rsidR="0085709A" w:rsidRDefault="0085709A" w:rsidP="0085709A">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85709A" w:rsidRDefault="0085709A" w:rsidP="0085709A">
      <w:pPr>
        <w:pStyle w:val="TextoNormal"/>
      </w:pPr>
    </w:p>
    <w:p w:rsidR="0085709A" w:rsidRDefault="0085709A" w:rsidP="0085709A">
      <w:pPr>
        <w:pStyle w:val="TextoNormal"/>
      </w:pPr>
      <w:r>
        <w:t xml:space="preserve">b) Por otra parte debe tenerse en cuenta que no se cuestiona por el Juzgado de lo Social núm. 5 de Santa Cruz de Tenerife la medida de supresión de la paga extraordinaria de diciembre de 2012 en sí misma considerada (que es la pretensión principal que se deduce por los demandantes en el proceso </w:t>
      </w:r>
      <w:r w:rsidRPr="0085709A">
        <w:rPr>
          <w:i/>
        </w:rPr>
        <w:t>a quo</w:t>
      </w:r>
      <w:r>
        <w:t xml:space="preserve">, como se ha dicho), sino sólo en cuanto su aplicación haya podido suponer la infracción del principio de irretroactividad establecido en el 9.3 CE en relación con el art. 33.3 CE, al no contemplar excepción alguna respecto de las cuantías que se entienden ya devengadas de dicha paga extra (en concreto, catorce días del mes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85709A">
        <w:rPr>
          <w:i/>
        </w:rPr>
        <w:t>a quo</w:t>
      </w:r>
      <w:r>
        <w:t>) deberá, pues, ceñirse nuestro enjuiciamiento.</w:t>
      </w:r>
    </w:p>
    <w:p w:rsidR="0085709A" w:rsidRDefault="0085709A" w:rsidP="0085709A">
      <w:pPr>
        <w:pStyle w:val="TextoNormal"/>
      </w:pPr>
    </w:p>
    <w:p w:rsidR="0085709A" w:rsidRDefault="0085709A" w:rsidP="0085709A">
      <w:pPr>
        <w:pStyle w:val="TextoNormal"/>
      </w:pPr>
      <w:r w:rsidRPr="0085709A">
        <w:rPr>
          <w:rStyle w:val="NumeroAFNegritaCaracter"/>
        </w:rPr>
        <w:t>3</w:t>
      </w:r>
      <w:r>
        <w:t>.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y en su apartado 2 dispone las reglas para el abono de dichas cantidades al personal del sector público estatal (entre el que se encuentran los trabajadores del Instituto de Astrofísica de Canarias),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85709A" w:rsidRDefault="0085709A" w:rsidP="0085709A">
      <w:pPr>
        <w:pStyle w:val="TextoNormal"/>
      </w:pPr>
    </w:p>
    <w:p w:rsidR="0085709A" w:rsidRDefault="0085709A" w:rsidP="0085709A">
      <w:pPr>
        <w:pStyle w:val="TextoNormal"/>
      </w:pPr>
      <w:r>
        <w:lastRenderedPageBreak/>
        <w:t>En el presente caso, ha de estarse a lo dispuesto en el apartado III de la referida instrucción, que contiene las reglas aplicables al personal laboral del sector público estatal al que no le resulte de aplicación el III convenio colectivo único del personal laboral al servicio de la Administración general del Estado, pues en esta situación se encuentra el personal incluido en el ámbito de aplicación del convenio del Instituto Astrofísico de Canarias, según resulta del párrafo segundo del apartado segundo del art. 1 del III convenio colectivo único para el personal laboral de la Administración general del Estado, publicado por resolución de 3 de noviembre de 2009 (“BOE” núm. 273, de 12 de noviembre de 2009), al que le es de aplicación el I convenio colectivo de la empresa Instituto Astrofísico de Canarias, publicado por resolución de 19 de abril de 2004 (“Boletín Oficial de la Provincia de Santa Cruz de Tenerife”, núm. 66, de 21 de mayo de 2004).</w:t>
      </w:r>
    </w:p>
    <w:p w:rsidR="0085709A" w:rsidRDefault="0085709A" w:rsidP="0085709A">
      <w:pPr>
        <w:pStyle w:val="TextoNormal"/>
      </w:pPr>
    </w:p>
    <w:p w:rsidR="0085709A" w:rsidRDefault="0085709A" w:rsidP="0085709A">
      <w:pPr>
        <w:pStyle w:val="TextoNormal"/>
      </w:pPr>
      <w:r>
        <w:t>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0085709A" w:rsidRDefault="0085709A" w:rsidP="0085709A">
      <w:pPr>
        <w:pStyle w:val="TextoNormal"/>
      </w:pPr>
    </w:p>
    <w:p w:rsidR="0085709A" w:rsidRDefault="0085709A" w:rsidP="0085709A">
      <w:pPr>
        <w:pStyle w:val="TextoNormal"/>
      </w:pPr>
      <w:r>
        <w:t>En la presente cuestión de inconstitucionalidad se plantea si la supresión del derecho de los trabajadores del Consorcio Público de Gestión —Instituto de Astrofísica de Canarias— a percibir la parte proporcional (en concreto, catorce días) de la paga extra de diciembre de 2012, por entenderse ya devengada al momento de la entrada en vigor del Real Decreto-ley 20/2012, contraviene el art. 9.3 CE, en relación con el art. 33.3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(FJ 3).</w:t>
      </w:r>
    </w:p>
    <w:p w:rsidR="0085709A" w:rsidRDefault="0085709A" w:rsidP="0085709A">
      <w:pPr>
        <w:pStyle w:val="TextoNormal"/>
      </w:pPr>
    </w:p>
    <w:p w:rsidR="0085709A" w:rsidRDefault="0085709A" w:rsidP="0085709A">
      <w:pPr>
        <w:pStyle w:val="TextoNormal"/>
      </w:pPr>
      <w:r>
        <w:t>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la extinción de la presente cuestión de inconstitucionalidad número 1629-2014, por desaparición sobrevenida de su objeto.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4" w:name="SENTENCIA_2015_101"/>
      <w:r>
        <w:lastRenderedPageBreak/>
        <w:t>SENTENCIA 101/2015, de 25 de mayo de 2015</w:t>
      </w:r>
    </w:p>
    <w:bookmarkEnd w:id="104"/>
    <w:p w:rsidR="0085709A" w:rsidRDefault="0085709A" w:rsidP="0085709A">
      <w:pPr>
        <w:pStyle w:val="TtuloResolucin"/>
      </w:pPr>
      <w:r>
        <w:t>Sala Segunda</w:t>
      </w:r>
    </w:p>
    <w:p w:rsidR="0085709A" w:rsidRDefault="0085709A" w:rsidP="0085709A">
      <w:pPr>
        <w:pStyle w:val="TtuloBOE"/>
      </w:pPr>
      <w:r>
        <w:t>(BOE núm. 159, de 4 de julio de 2015)</w:t>
      </w:r>
    </w:p>
    <w:p w:rsidR="0085709A" w:rsidRDefault="0085709A" w:rsidP="0085709A">
      <w:pPr>
        <w:pStyle w:val="TextoNormalCentrado"/>
      </w:pPr>
      <w:r>
        <w:t>ECLI:ES:TC:2015:101</w:t>
      </w:r>
    </w:p>
    <w:p w:rsidR="0085709A" w:rsidRDefault="0085709A" w:rsidP="0085709A">
      <w:pPr>
        <w:pStyle w:val="TextoNormalCentrado"/>
      </w:pPr>
    </w:p>
    <w:p w:rsidR="0085709A" w:rsidRDefault="0085709A" w:rsidP="0085709A">
      <w:pPr>
        <w:pStyle w:val="SntesisDescriptiva"/>
      </w:pPr>
      <w:r>
        <w:t>Recurso de amparo 3874-2014. Recurso de amparo 3874-2014. Promovido por don Jean Basile Catris, sucedido procesalmente por doña Sofía Rossomolinos Ep Catris, respecto de las resoluciones dictadas por la Audiencia Provincial de Madrid, en proceso de liquidación de sociedad de gananciales.</w:t>
      </w:r>
    </w:p>
    <w:p w:rsidR="0085709A" w:rsidRDefault="0085709A" w:rsidP="0085709A">
      <w:pPr>
        <w:pStyle w:val="SntesisDescriptiva"/>
      </w:pPr>
    </w:p>
    <w:p w:rsidR="0085709A" w:rsidRDefault="0085709A" w:rsidP="0085709A">
      <w:pPr>
        <w:pStyle w:val="SntesisAnaltica"/>
      </w:pPr>
      <w:r>
        <w:t>Vulneración del derecho a la tutela judicial efectiva (resolución fundada en Derecho): Sentencia que establece una presunción de ganancialidad del bien controvertido (STC 102/2014).</w:t>
      </w:r>
    </w:p>
    <w:p w:rsidR="0085709A" w:rsidRDefault="0085709A" w:rsidP="0085709A">
      <w:pPr>
        <w:pStyle w:val="SntesisAnaltica"/>
      </w:pPr>
    </w:p>
    <w:p w:rsidR="0085709A" w:rsidRDefault="0085709A" w:rsidP="0085709A">
      <w:pPr>
        <w:pStyle w:val="Extracto"/>
      </w:pPr>
      <w:r>
        <w:t>1.</w:t>
      </w:r>
      <w:r>
        <w:tab/>
        <w:t>Doctrina sobre la arbitrariedad e irrazonabilidad de las resoluciones en relación con el derecho a la tutela judicial efectiva en su vertiente de derecho a obtener una resolución motivada y fundada en derecho (STC 102/2014) [FJ 4].</w:t>
      </w:r>
    </w:p>
    <w:p w:rsidR="0085709A" w:rsidRDefault="0085709A" w:rsidP="0085709A">
      <w:pPr>
        <w:pStyle w:val="Extracto"/>
      </w:pPr>
    </w:p>
    <w:p w:rsidR="0085709A" w:rsidRDefault="0085709A" w:rsidP="0085709A">
      <w:pPr>
        <w:pStyle w:val="Extracto"/>
      </w:pPr>
      <w:r>
        <w:t>2.</w:t>
      </w:r>
      <w:r>
        <w:tab/>
        <w:t xml:space="preserve">Existe una insuficiencia en la motivación de la Sentencia de apelación en tanto que ésta no permita identificar la </w:t>
      </w:r>
      <w:r w:rsidRPr="0085709A">
        <w:rPr>
          <w:i/>
        </w:rPr>
        <w:t>ratio decidendi</w:t>
      </w:r>
      <w:r>
        <w:t>, esto es, los criterios esenciales sobre los que se funda la calificación del bien como ganancial, debiendo anularse este pronunciamiento [FJ 5].</w:t>
      </w:r>
    </w:p>
    <w:p w:rsidR="0085709A" w:rsidRDefault="0085709A" w:rsidP="0085709A">
      <w:pPr>
        <w:pStyle w:val="Extracto"/>
      </w:pPr>
    </w:p>
    <w:p w:rsidR="0085709A" w:rsidRDefault="0085709A" w:rsidP="0085709A">
      <w:pPr>
        <w:pStyle w:val="Extracto"/>
      </w:pPr>
      <w:r>
        <w:t>3.</w:t>
      </w:r>
      <w:r>
        <w:tab/>
        <w:t>La Audiencia Provincial concluye que el negocio fue una donación encubierta y que se trató de burlar la situación real existente y de engañar a la esposa; conclusión que, a la postre, determina la aplicación de la presunción de ganancialidad [FJ 5].</w:t>
      </w:r>
    </w:p>
    <w:p w:rsidR="0085709A" w:rsidRDefault="0085709A" w:rsidP="0085709A">
      <w:pPr>
        <w:pStyle w:val="Extracto"/>
      </w:pPr>
    </w:p>
    <w:p w:rsidR="0085709A" w:rsidRDefault="0085709A" w:rsidP="0085709A">
      <w:pPr>
        <w:pStyle w:val="Extracto"/>
      </w:pPr>
      <w:r>
        <w:t>4.</w:t>
      </w:r>
      <w:r>
        <w:tab/>
        <w:t>El tribunal rechazó de plano el incidente con la única mención de que “no ha lugar a su admisión a trámite”, lo que pone de manifiesto que no se realizó un control sobre la lesión constitucional invocada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 3874-2014, promovido por don Jean Basile Catris, sucedido procesalmente por doña Sofía Rossomolinos Ep Catris en su condición de administradora de la herencia del demandante, representado por la Procuradora de los Tribunales doña Paloma Manglano Thovar y asistida por la Abogada doña Isabel Winkels Arce, contra la providencia de 12 de mayo de 2014 dictada por la Sección Vigesimosegunda de la Audiencia Provincial de Madrid, recaída en recurso de apelación núm. 813/2013, por la que se inadmite a trámite el incidente excepcional de nulidad de actuaciones, y contra la Sentencia de la misma Sección de fecha 31 de marzo de 2014, que estimaba en parte el recurso de apelación interpuesto contra la Sentencia dictada por el Juzgado de Primera Instancia núm. 4 de Alcobendas en fecha 14 de febrero de 2013. Ha intervenido el Ministerio Fiscal. Ha sido Ponente el Magistrado don Juan José González Rivas, quien expresa el parecer de la Sala.</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que tuvo entrada en el Registro General de este Tribunal el día 18 de junio de 2014, la Procuradora de los Tribunales doña Paloma Manglano Thovar, en nombre y representación de Jean Basile Catris, interpuso recurso de amparo contra las resoluciones judiciales que se citan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relevantes para la resolución del recurso, son, en síntesis, los siguientes:</w:t>
      </w:r>
    </w:p>
    <w:p w:rsidR="0085709A" w:rsidRDefault="0085709A" w:rsidP="0085709A">
      <w:pPr>
        <w:pStyle w:val="TextoNormal"/>
      </w:pPr>
    </w:p>
    <w:p w:rsidR="0085709A" w:rsidRDefault="0085709A" w:rsidP="0085709A">
      <w:pPr>
        <w:pStyle w:val="TextoNormal"/>
      </w:pPr>
      <w:r>
        <w:t>a) El Juzgado de Primera Instancia núm. 4 de Alcobendas, en el juicio verbal núm. 780-2012, dictó Sentencia en fecha 14 de febrero de 2013, estimando en lo sustancial la demanda promovida por el hoy recurrente contra su esposa, doña Carla Amar Villar, y declaró que procedía la liquidación de la sociedad de gananciales de ambos litigantes, sin incluir en el activo de la misma, por considerarlo un bien privativo del marido, una finca rústica en Lozoyuela.</w:t>
      </w:r>
    </w:p>
    <w:p w:rsidR="0085709A" w:rsidRDefault="0085709A" w:rsidP="0085709A">
      <w:pPr>
        <w:pStyle w:val="TextoNormal"/>
      </w:pPr>
    </w:p>
    <w:p w:rsidR="0085709A" w:rsidRDefault="0085709A" w:rsidP="0085709A">
      <w:pPr>
        <w:pStyle w:val="TextoNormal"/>
      </w:pPr>
      <w:r>
        <w:t>b) Frente a dicha Sentencia, se interpuso recurso de apelación por doña Carla Amar Villar, tramitado con el núm. 813-2013 en la Sección Vigesimosegunda de la Audiencia Provincial de Madrid, que dictó Sentencia en fecha 31 de marzo de 2014, en la que estimaba el recurso e incluía la referida finca de Loyozuela en el activo de la sociedad de bienes gananciales.</w:t>
      </w:r>
    </w:p>
    <w:p w:rsidR="0085709A" w:rsidRDefault="0085709A" w:rsidP="0085709A">
      <w:pPr>
        <w:pStyle w:val="TextoNormal"/>
      </w:pPr>
    </w:p>
    <w:p w:rsidR="0085709A" w:rsidRDefault="0085709A" w:rsidP="0085709A">
      <w:pPr>
        <w:pStyle w:val="TextoNormal"/>
      </w:pPr>
      <w:r>
        <w:t>c) Por escrito, presentado en fecha 6 de mayo de 2014, la representación procesal de don Jean Basile Catris planteó incidente de nulidad de actuaciones contra la citada Sentencia. En su escrito denunciaba la infracción del derecho a la tutela judicial efectiva (art. 24.1 CE), en su manifestación del derecho a una resolución fundada en derecho, al entender manifiestamente irrazonable la decisión, puesto que se afirmaba un engaño a la esposa en la adquisición de la finca controvertida a partir de una donación del dinero con el que se pagó el precio de la compraventa que hicieron los padres a su hijo (el demandante), lo que es absolutamente legal, sin que se explique en qué consiste el engaño.</w:t>
      </w:r>
    </w:p>
    <w:p w:rsidR="0085709A" w:rsidRDefault="0085709A" w:rsidP="0085709A">
      <w:pPr>
        <w:pStyle w:val="TextoNormal"/>
      </w:pPr>
    </w:p>
    <w:p w:rsidR="0085709A" w:rsidRDefault="0085709A" w:rsidP="0085709A">
      <w:pPr>
        <w:pStyle w:val="TextoNormal"/>
      </w:pPr>
      <w:r>
        <w:lastRenderedPageBreak/>
        <w:t>d) Este incidente fue inadmitido por providencia de 12 de mayo de 2014, cuyo tenor literal, es:</w:t>
      </w:r>
    </w:p>
    <w:p w:rsidR="0085709A" w:rsidRDefault="0085709A" w:rsidP="0085709A">
      <w:pPr>
        <w:pStyle w:val="TextoNormal"/>
      </w:pPr>
    </w:p>
    <w:p w:rsidR="0085709A" w:rsidRDefault="0085709A" w:rsidP="0085709A">
      <w:pPr>
        <w:pStyle w:val="TextoNormal"/>
      </w:pPr>
      <w:r>
        <w:t>“Dada cuenta del escrito presentado por la Procuradora doña Paloma Manglano Thovar, en nombre y representación de Don Jean Basile Catris promoviendo Incidente de nulidad de actuaciones contra la Sentencia dictada el 31 de marzo de 2014, y no ha lugar a su admisión a trámite.</w:t>
      </w:r>
    </w:p>
    <w:p w:rsidR="0085709A" w:rsidRDefault="0085709A" w:rsidP="0085709A">
      <w:pPr>
        <w:pStyle w:val="TextoNormal"/>
      </w:pPr>
    </w:p>
    <w:p w:rsidR="0085709A" w:rsidRDefault="0085709A" w:rsidP="0085709A">
      <w:pPr>
        <w:pStyle w:val="TextoNormal"/>
      </w:pPr>
      <w:r>
        <w:t>Contra la presente resolución no cabe recurso alguno, de conformidad con lo establecido en el artículo 228 de la Ley de Enjuiciamiento Civil.”</w:t>
      </w:r>
    </w:p>
    <w:p w:rsidR="0085709A" w:rsidRDefault="0085709A" w:rsidP="0085709A">
      <w:pPr>
        <w:pStyle w:val="TextoNormal"/>
      </w:pPr>
    </w:p>
    <w:p w:rsidR="0085709A" w:rsidRDefault="0085709A" w:rsidP="0085709A">
      <w:pPr>
        <w:pStyle w:val="TextoNormal"/>
      </w:pPr>
      <w:r w:rsidRPr="0085709A">
        <w:rPr>
          <w:rStyle w:val="NumeroAFNegritaCaracter"/>
        </w:rPr>
        <w:t>3</w:t>
      </w:r>
      <w:r>
        <w:t>. En su demanda de amparo, el recurrente aduce que se ha vulnerado el derecho fundamental a la tutela judicial efectiva sin indefensión (art. 24.1 CE), lesión que imputa a la providencia de fecha 12 de mayo de 2014, en su manifestación del derecho a la motivación de las resoluciones judiciales, así como a la Sentencia de fecha 31 de marzo de 2014, en este caso por ser manifiestamente irrazonable la motivación de la decisión.</w:t>
      </w:r>
    </w:p>
    <w:p w:rsidR="0085709A" w:rsidRDefault="0085709A" w:rsidP="0085709A">
      <w:pPr>
        <w:pStyle w:val="TextoNormal"/>
      </w:pPr>
    </w:p>
    <w:p w:rsidR="0085709A" w:rsidRDefault="0085709A" w:rsidP="0085709A">
      <w:pPr>
        <w:pStyle w:val="TextoNormal"/>
      </w:pPr>
      <w:r>
        <w:t>En la primera alegación, la que se dirige contra la providencia que resolvió el incidente de nulidad, el recurrente, tras invocar la doctrina del Tribunal Constitucional en materia de admisibilidad del incidente de nulidad, afirma que aquella ha fluctuado de un primer momento histórico en que no concebía el Tribunal la providencia de inadmisión como posible portadora de una lesión autónoma, sino anclada en la propia vulneración del derecho que se alegara en el incidente de nulidad, y una segunda fase que comenzaría con la STC 107/2011, de 20 de junio, en el que parece acogerse el criterio de la autonomía de la propia motivación del rechazo del incidente como capaz por sí solo de generar la violación del derecho a la tutela judicial efectiva.</w:t>
      </w:r>
    </w:p>
    <w:p w:rsidR="0085709A" w:rsidRDefault="0085709A" w:rsidP="0085709A">
      <w:pPr>
        <w:pStyle w:val="TextoNormal"/>
      </w:pPr>
    </w:p>
    <w:p w:rsidR="0085709A" w:rsidRDefault="0085709A" w:rsidP="0085709A">
      <w:pPr>
        <w:pStyle w:val="TextoNormal"/>
      </w:pPr>
      <w:r>
        <w:t>Como consecuencia de estas afirmaciones, el recurrente alega la doble vulneración de la tutela judicial en las dos resoluciones: la providencia que inadmite el incidente, por absoluta falta de motivación, y la Sentencia que, a su juicio, contiene una motivación manifiestamente errónea. Por ello solicita, primero que se declare la nulidad de la providencia y después que se entre por el Tribunal en el fondo del asunto, se declare el error en que incurre la Sentencia y se dicte otra en su lugar.</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23 de octubre de 2014 la Sala Segunda acordó conocer del presente recurso de amparo, admitir a trámite la demanda y, a tenor de lo dispuesto en el art. 51 de la Ley Orgánica del Tribunal Constitucional (LOTC), requerir a la Audiencia Provincial de Madrid, Sección Vigesimosegunda, así como al Juzgado de Primera Instancia núm. 4 de Alcobendas, para que el plazo de diez días remitieran testimonio, respectivamente, del recurso de apelación núm. 813-2013 y del juicio verbal núm. 780-2012, interesándose al tiempo que se emplazara a quienes fueron parte en el procedimiento, a excepción del recurrente en amparo, para que en el plazo de diez días pudieran comparecer en este proceso constitucional.</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presentado en fecha 19 de diciembre de 2014, por la Procuradora doña Paloma Sánchez Oliva, en representación de doña Carla Amar Villar, se puso en conocimiento de la Sala el fallecimiento del demandante don Jean Basile Catris.</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la Secretaría de Justicia de fecha 22 de diciembre de 2014 se requirió a la representación de la actora para que, en el plazo de diez días, alegara a su derecho, compareciendo doña Sofía Rossomolinos Ep Catris, representada por la Procuradora doña Paloma Manglano Thovar, en su condición de administradora de la herencia del demandante y solicitó que se acordara la sucesión procesal y el mantenimiento de las pretensiones sustentadas en el presente recurso de amparo por don Jean Basile Catris.</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del Secretario de Justicia de la Sala Segunda de 21 de enero de 2015, se tuvo por personada y parte a la Procuradora doña Paloma Manglano Thovar, en nombre y representación de doña Sofía Rossomolinos Ep Catris, como sucesora procesal del recurrente, y se acordó, a tenor de lo dispuesto en el art. 52.1 LOTC, dar vista de todas las actuaciones del presente recurso de amparo por un plazo común de veinte días, al Ministerio Fiscal y a las partes personadas, para que dentro de dicho término pudieran presentar las alegaciones que a su derecho convinieran.</w:t>
      </w:r>
    </w:p>
    <w:p w:rsidR="0085709A" w:rsidRDefault="0085709A" w:rsidP="0085709A">
      <w:pPr>
        <w:pStyle w:val="TextoNormal"/>
      </w:pPr>
    </w:p>
    <w:p w:rsidR="0085709A" w:rsidRDefault="0085709A" w:rsidP="0085709A">
      <w:pPr>
        <w:pStyle w:val="TextoNormal"/>
      </w:pPr>
      <w:r w:rsidRPr="0085709A">
        <w:rPr>
          <w:rStyle w:val="NumeroAFNegritaCaracter"/>
        </w:rPr>
        <w:t>8</w:t>
      </w:r>
      <w:r>
        <w:t>. La representación procesal de la entidad demandante de amparo, formuló sus alegaciones mediante escrito que tuvo su entrada en el Registro General de este Tribunal el día 23 de febrero de 2015, en el que reprodujo sustancialmente las alegaciones realizadas en su escrito de la demanda y recordó, en apoyo de sus pretensiones, la doctrina establecida en la STC 204/2014, de 15 de diciembre.</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ante este Tribunal Constitucional presentó sus alegaciones mediante escrito registrado el día 6 de marzo de 2015, interesando el otorgamiento del amparo por vulneración del derecho a la tutela judicial efectiva sin indefensión (art. 24.1 CE), en su modalidad de acceso al recurso, por falta de motivación de la providencia recurrida, declarando su nulidad y con retroacción de actuaciones al momento procesal anterior al dictado de la misma, para que se dicte una nueva resolución respetuosa con el derecho fundamental vulnerado.</w:t>
      </w:r>
    </w:p>
    <w:p w:rsidR="0085709A" w:rsidRDefault="0085709A" w:rsidP="0085709A">
      <w:pPr>
        <w:pStyle w:val="TextoNormal"/>
      </w:pPr>
    </w:p>
    <w:p w:rsidR="0085709A" w:rsidRDefault="0085709A" w:rsidP="0085709A">
      <w:pPr>
        <w:pStyle w:val="TextoNormal"/>
      </w:pPr>
      <w:r>
        <w:t>El Fiscal precisa, en primer lugar, que en la demanda se pretende no solo la nulidad de la providencia de inadmisión del incidente, sino también la de la Sentencia de apelación, por lo que, siguiendo la doctrina de este Tribunal, si se entiende que la providencia no ha dado ni siquiera mínimamente una respuesta en derecho a la solicitud de nulidad, procede declarar dicha providencia nula y retrotraer las actuaciones al momento anterior a su dictado, pues la procedencia o no del incidente de nulidad es cuestión que compete al órgano judicial que dictó la resolución, debiendo quedar la cuestión relativa a la suficiente motivación de la Sentencia supeditada a la valoración del propio órgano jurisdiccional.</w:t>
      </w:r>
    </w:p>
    <w:p w:rsidR="0085709A" w:rsidRDefault="0085709A" w:rsidP="0085709A">
      <w:pPr>
        <w:pStyle w:val="TextoNormal"/>
      </w:pPr>
    </w:p>
    <w:p w:rsidR="0085709A" w:rsidRDefault="0085709A" w:rsidP="0085709A">
      <w:pPr>
        <w:pStyle w:val="TextoNormal"/>
      </w:pPr>
      <w:r>
        <w:t xml:space="preserve">Alega, con cita de las SSTC 43/2010, de 26 de julio, y 153/2012, de 16 de julio, que una respuesta incorrecta o incompleta dada en el incidente de nulidad puede producir el efecto de dejar huérfano de protección al ciudadano, pues no toda violación procesal de un derecho fundamental podrá ser sometida al escrutinio del más alto intérprete de la doctrina constitucional, ya que puede existir la quiebra del derecho fundamental pero no cumplirse el requisito de la especial trascendencia constitucional. Los únicos requisitos legales que pueden dar lugar a un rechazo de plano del incidente son: que la alegación no lo sea de uno de los derechos fundamentales del art. 53.2 de la Constitución y que éste haya podido alegarse </w:t>
      </w:r>
      <w:r>
        <w:lastRenderedPageBreak/>
        <w:t>antes de que se ponga fin al proceso o que la resolución no fuera firme porque frente a ella cupiera cualquier recurso, ordinario o extraordinario.</w:t>
      </w:r>
    </w:p>
    <w:p w:rsidR="0085709A" w:rsidRDefault="0085709A" w:rsidP="0085709A">
      <w:pPr>
        <w:pStyle w:val="TextoNormal"/>
      </w:pPr>
    </w:p>
    <w:p w:rsidR="0085709A" w:rsidRDefault="0085709A" w:rsidP="0085709A">
      <w:pPr>
        <w:pStyle w:val="TextoNormal"/>
      </w:pPr>
      <w:r>
        <w:t>La providencia objeto de este amparo es tan parca que no niega ni afirma la existencia de derecho fundamental, aunque consta que se invocó el derecho del art. 24 CE, y nada dice sobre los otros requisitos que deben cumplirse y cuya ausencia podría dar lugar a la inadmisión. Ello lleva inevitablemente a apoyar el amparo interesado, por entender que la falta total de motivación de la providencia es suficiente para devolver la cuestión a la Audiencia para que proceda a restaurar ese derecho cuya violación se denuncia.</w:t>
      </w:r>
    </w:p>
    <w:p w:rsidR="0085709A" w:rsidRDefault="0085709A" w:rsidP="0085709A">
      <w:pPr>
        <w:pStyle w:val="TextoNormal"/>
      </w:pPr>
    </w:p>
    <w:p w:rsidR="0085709A" w:rsidRDefault="0085709A" w:rsidP="0085709A">
      <w:pPr>
        <w:pStyle w:val="TextoNormal"/>
      </w:pPr>
      <w:r>
        <w:t>Finalmente, aduce el Fiscal que si bien el recurrente no alega, expresamente, en su escrito de amparo el derecho a la tutela judicial efectiva, en su modalidad de acceso a los recursos, obviamente hay que decir que la providencia de 12 de mayo de 2014, al inadmitir el incidente de nulidad de actuaciones, sin motivación, ha vulnerado ese derecho de acceso al recurso, pues aunque este incidente de nulidad no se conciba en puridad como un recurso en el sentido estricto, al tratarse de un expediente para permitir la revisión de actuaciones o resoluciones judiciales, debe examinarse desde el canon propio de acceso al recurso legalmente establecido.</w:t>
      </w:r>
    </w:p>
    <w:p w:rsidR="0085709A" w:rsidRDefault="0085709A" w:rsidP="0085709A">
      <w:pPr>
        <w:pStyle w:val="TextoNormal"/>
      </w:pPr>
    </w:p>
    <w:p w:rsidR="0085709A" w:rsidRDefault="0085709A" w:rsidP="0085709A">
      <w:pPr>
        <w:pStyle w:val="TextoNormal"/>
      </w:pPr>
      <w:r>
        <w:t>Por todo ello solicita que por este Tribunal se acuerde la nulidad de la providencia de 12 de mayo de 2014 y la retroacción de actuaciones al momento inmediatamente anterior a su dictado, sin que deba entrarse en el contenido de la Sentencia de apelación de fecha 31 de marzo de 2014, pues ello supondría desnaturalizar el incidente de nulidad tal como lo concibe la doctrina actual de este alto Tribunal.</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21 de mayo de 2015 se señaló para la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amparo se dirige contra la Sentencia de 31 de marzo de 2014 dictada por la Sección Vigesimosegunda de la Audiencia Provincial de Madrid, recaída en recurso de apelación núm. 813-2013, y contra la providencia por la que se inadmite a trámite el incidente excepcional de nulidad de actuaciones dictada por la misma Sección, de fecha 12 de mayo de 2014.</w:t>
      </w:r>
    </w:p>
    <w:p w:rsidR="0085709A" w:rsidRDefault="0085709A" w:rsidP="0085709A">
      <w:pPr>
        <w:pStyle w:val="TextoNormal"/>
      </w:pPr>
    </w:p>
    <w:p w:rsidR="0085709A" w:rsidRDefault="0085709A" w:rsidP="0085709A">
      <w:pPr>
        <w:pStyle w:val="TextoNormal"/>
      </w:pPr>
      <w:r>
        <w:t>En la demanda de amparo se alega la vulneración del derecho a la tutela judicial efectiva (art. 24.1 CE), en su vertiente de derecho a obtener una resolución fundada en derecho no incursa en incongruencia, irrazonabilidad y arbitrariedad, que el demandante de amparo imputa tanto a la providencia de inadmisión del incidente excepcional de nulidad de actuaciones, de fecha 12 de mayo de 2014, por haberlo rechazado sin motivación, como a la Sentencia de 31 de marzo de 2014, en relación con el pronunciamiento sobre la naturaleza ganancial de una de las fincas controvertidas en el proceso de liquidación de la sociedad conyugal.</w:t>
      </w:r>
    </w:p>
    <w:p w:rsidR="0085709A" w:rsidRDefault="0085709A" w:rsidP="0085709A">
      <w:pPr>
        <w:pStyle w:val="TextoNormal"/>
      </w:pPr>
    </w:p>
    <w:p w:rsidR="0085709A" w:rsidRDefault="0085709A" w:rsidP="0085709A">
      <w:pPr>
        <w:pStyle w:val="TextoNormal"/>
      </w:pPr>
      <w:r>
        <w:lastRenderedPageBreak/>
        <w:t>El Ministerio Fiscal interesa la estimación del recurso por entender que concurre la vulneración del art. 24.1 CE, si bien en su vertiente de acceso al recurso, por falta de motivación del incidente.</w:t>
      </w:r>
    </w:p>
    <w:p w:rsidR="0085709A" w:rsidRDefault="0085709A" w:rsidP="0085709A">
      <w:pPr>
        <w:pStyle w:val="TextoNormal"/>
      </w:pPr>
    </w:p>
    <w:p w:rsidR="0085709A" w:rsidRDefault="0085709A" w:rsidP="0085709A">
      <w:pPr>
        <w:pStyle w:val="TextoNormal"/>
      </w:pPr>
      <w:r w:rsidRPr="0085709A">
        <w:rPr>
          <w:rStyle w:val="NumeroAFNegritaCaracter"/>
        </w:rPr>
        <w:t>2</w:t>
      </w:r>
      <w:r>
        <w:t>. Se plantea, una vez más, el análisis desde la estricta perspectiva constitucional de la cuestión relativa a las decisiones de inadmisión a trámite del incidente excepcional de nulidad de actuaciones del art. 241 de la Ley Orgánica del Poder Judicial tras la reforma operada por Ley Orgánica 6/2007, de 24 de mayo, el cual fue promovido por la recurrente por vulneración del derecho a la tutela judicial efectiva del art. 24.1 CE, en su vertiente de derecho a obtener una resolución fundada en derecho.</w:t>
      </w:r>
    </w:p>
    <w:p w:rsidR="0085709A" w:rsidRDefault="0085709A" w:rsidP="0085709A">
      <w:pPr>
        <w:pStyle w:val="TextoNormal"/>
      </w:pPr>
    </w:p>
    <w:p w:rsidR="0085709A" w:rsidRDefault="0085709A" w:rsidP="0085709A">
      <w:pPr>
        <w:pStyle w:val="TextoNormal"/>
      </w:pPr>
      <w:r>
        <w:t>Según la doctrina de este Tribunal, los órganos judiciales, a la vista de la ordenación del recurso de amparo tras la reforma operada por Ley Orgánica 6/2007, deben realizar una interpretación no restrictiva de las causas de inadmisión del incidente de nulidad de actuaciones, motivando suficientemente su decisión, puesto que la reforma ha acentuado la función de los Tribunales ordinarios como primeros garantes de los derechos fundamentales en el ordenamiento jurídico, con el fin de lograr que la tutela y defensa de esos derechos por parte del Tribunal Constitucional sea realmente subsidiaria.</w:t>
      </w:r>
    </w:p>
    <w:p w:rsidR="0085709A" w:rsidRDefault="0085709A" w:rsidP="0085709A">
      <w:pPr>
        <w:pStyle w:val="TextoNormal"/>
      </w:pPr>
    </w:p>
    <w:p w:rsidR="0085709A" w:rsidRDefault="0085709A" w:rsidP="0085709A">
      <w:pPr>
        <w:pStyle w:val="TextoNormal"/>
      </w:pPr>
      <w:r>
        <w:t>El incumplimiento de esta jurisprudencia constitucional que este Tribunal puede observar es grave, carece de justificación y dota de especial trascendencia constitucional a este recurso y, así, en relación a esta misma cuestión, entre otras, se ha pronunciado recientemente en las SSTC 153/2012, de 16 de julio; 9/2014, de 27 de enero, y 204/2014, de 15 de diciembre.</w:t>
      </w:r>
    </w:p>
    <w:p w:rsidR="0085709A" w:rsidRDefault="0085709A" w:rsidP="0085709A">
      <w:pPr>
        <w:pStyle w:val="TextoNormal"/>
      </w:pPr>
    </w:p>
    <w:p w:rsidR="0085709A" w:rsidRDefault="0085709A" w:rsidP="0085709A">
      <w:pPr>
        <w:pStyle w:val="TextoNormal"/>
      </w:pPr>
      <w:r>
        <w:t>De ese modo, concurre el motivo de especial trascendencia constitucional recogido en el apartado e) del fundamento jurídico 2 de la STC 155/2009, de 25 de junio, esto es, que la doctrina de este Tribunal sobre el derecho fundamental que se alega podría estar siendo incumplida de modo reiterado por la jurisdicción ordinaria.</w:t>
      </w:r>
    </w:p>
    <w:p w:rsidR="0085709A" w:rsidRDefault="0085709A" w:rsidP="0085709A">
      <w:pPr>
        <w:pStyle w:val="TextoNormal"/>
      </w:pPr>
    </w:p>
    <w:p w:rsidR="0085709A" w:rsidRDefault="0085709A" w:rsidP="0085709A">
      <w:pPr>
        <w:pStyle w:val="TextoNormal"/>
      </w:pPr>
      <w:r w:rsidRPr="0085709A">
        <w:rPr>
          <w:rStyle w:val="NumeroAFNegritaCaracter"/>
        </w:rPr>
        <w:t>3</w:t>
      </w:r>
      <w:r>
        <w:t>. A la vista del planteamiento que se realiza en la demanda, en que se dirige la impugnación contra la Sentencia de fecha 31 de marzo de 2014, y contra la providencia dictada por la Audiencia Provincial, de fecha 12 de mayo de 2014, de inadmisión del incidente excepcional de nulidad de actuaciones, invocándose en ambos casos la vulneración del art. 24.1 CE, en su vertiente de resolución no fundada en derecho, es preciso acotar el objeto del presente recurso de amparo.</w:t>
      </w:r>
    </w:p>
    <w:p w:rsidR="0085709A" w:rsidRDefault="0085709A" w:rsidP="0085709A">
      <w:pPr>
        <w:pStyle w:val="TextoNormal"/>
      </w:pPr>
    </w:p>
    <w:p w:rsidR="0085709A" w:rsidRDefault="0085709A" w:rsidP="0085709A">
      <w:pPr>
        <w:pStyle w:val="TextoNormal"/>
      </w:pPr>
      <w:r>
        <w:t>Hemos reiterado que corresponde a este Tribunal, en función de las circunstancias concurrentes en cada supuesto concreto sometido a su consideración, determinar el orden del examen de las quejas, debiendo analizarse en primer lugar la dirigida contra la Sentencia, la cual no fue reparada al inadmitirse el incidente planteado por la recurrente y resolver si la decisión adoptada por el Tribunal de apelación contraviene el derecho a la tutela judicial efectiva sin indefensión que reconoce el art. 24.1 CE, en su vertiente de derecho a obtener una resolución motivada y fundada en derecho.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Este Tribunal ha tenido ocasión de delimitar el contenido y alcance del derecho anteriormente enunciado, en la faceta relativa a la obtención de una resolución motivada y fundada en Derecho.</w:t>
      </w:r>
    </w:p>
    <w:p w:rsidR="0085709A" w:rsidRDefault="0085709A" w:rsidP="0085709A">
      <w:pPr>
        <w:pStyle w:val="TextoNormal"/>
      </w:pPr>
    </w:p>
    <w:p w:rsidR="0085709A" w:rsidRDefault="0085709A" w:rsidP="0085709A">
      <w:pPr>
        <w:pStyle w:val="TextoNormal"/>
      </w:pPr>
      <w:r>
        <w:t xml:space="preserve">Así, en la STC 102/2014, de 23 de junio, FJ 3, afirmamos lo siguiente: </w:t>
      </w:r>
    </w:p>
    <w:p w:rsidR="0085709A" w:rsidRDefault="0085709A" w:rsidP="0085709A">
      <w:pPr>
        <w:pStyle w:val="TextoNormal"/>
      </w:pPr>
    </w:p>
    <w:p w:rsidR="0085709A" w:rsidRDefault="0085709A" w:rsidP="0085709A">
      <w:pPr>
        <w:pStyle w:val="TextoNormal"/>
      </w:pPr>
      <w:r>
        <w:t xml:space="preserve">“Este Tribunal viene expresando reiteradamente que la motivación se integra en el derecho a la tutela judicial efectiva del art. 24.1 CE y consiste en la expresión de los criterios esenciales de la decisión o, lo que es lo mismo, su </w:t>
      </w:r>
      <w:r w:rsidRPr="0085709A">
        <w:rPr>
          <w:i/>
        </w:rPr>
        <w:t>ratio decidendi</w:t>
      </w:r>
      <w:r>
        <w:t xml:space="preserve"> (SSTC 119/2003, de 16 junio; 75/2005, de 4 abril, y 60/2008, de 26 mayo), por lo que se produce infracción constitucional cuando no hay motivación —por carencia total—, o es insuficiente, pues está desprovista de razonabilidad, desconectada con la realidad de lo actuado. Del mismo modo, hemos afirmado que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(STC 215/2006, de 3 de julio), o, cuando, aún constatada la existencia formal de la argumentación, el resultado resulte fruto del mero voluntarismo judicial, o exponente de un proceso deductivo irracional o absurdo (STC 248/2006, de 24 de julio)’.</w:t>
      </w:r>
    </w:p>
    <w:p w:rsidR="0085709A" w:rsidRDefault="0085709A" w:rsidP="0085709A">
      <w:pPr>
        <w:pStyle w:val="TextoNormal"/>
      </w:pPr>
    </w:p>
    <w:p w:rsidR="0085709A" w:rsidRDefault="0085709A" w:rsidP="0085709A">
      <w:pPr>
        <w:pStyle w:val="TextoNormal"/>
      </w:pPr>
      <w:r>
        <w:t xml:space="preserve">Corresponde por tanto a este Tribunal, como garante último del derecho fundamental a obtener la tutela judicial efectiva de los Jueces y Tribunales, examinar desde el plano de la motivación los razonamientos en que se funda la decisión judicial; motivación que ha de ser suficiente —en el sentido de expresiva </w:t>
      </w:r>
      <w:r w:rsidRPr="0085709A">
        <w:rPr>
          <w:i/>
        </w:rPr>
        <w:t>ad casum</w:t>
      </w:r>
      <w:r>
        <w:t xml:space="preserve"> de la </w:t>
      </w:r>
      <w:r w:rsidRPr="0085709A">
        <w:rPr>
          <w:i/>
        </w:rPr>
        <w:t>ratio decidendi</w:t>
      </w:r>
      <w:r>
        <w:t>— y ajustada a aquellos límites de su fundamentación en Derecho —esto es, no arbitrariedad—, manifiesta irrazonabilidad o error patente en la interpretación de la causa legal aplicada.”</w:t>
      </w:r>
    </w:p>
    <w:p w:rsidR="0085709A" w:rsidRDefault="0085709A" w:rsidP="0085709A">
      <w:pPr>
        <w:pStyle w:val="TextoNormal"/>
      </w:pPr>
    </w:p>
    <w:p w:rsidR="0085709A" w:rsidRDefault="0085709A" w:rsidP="0085709A">
      <w:pPr>
        <w:pStyle w:val="TextoNormal"/>
      </w:pPr>
      <w:r w:rsidRPr="0085709A">
        <w:rPr>
          <w:rStyle w:val="NumeroAFNegritaCaracter"/>
        </w:rPr>
        <w:t>5</w:t>
      </w:r>
      <w:r>
        <w:t>. En este caso, los vicios de motivación que se imputan a la Sentencia de la Audiencia Provincial de Madrid se refieren al pronunciamiento sobre la naturaleza ganancial de una finca en la localidad de Lozoyuela, que se contiene en el punto 1 del fallo con base en el razonamiento que se realiza en el fundamento jurídico 5.</w:t>
      </w:r>
    </w:p>
    <w:p w:rsidR="0085709A" w:rsidRDefault="0085709A" w:rsidP="0085709A">
      <w:pPr>
        <w:pStyle w:val="TextoNormal"/>
      </w:pPr>
    </w:p>
    <w:p w:rsidR="0085709A" w:rsidRDefault="0085709A" w:rsidP="0085709A">
      <w:pPr>
        <w:pStyle w:val="TextoNormal"/>
      </w:pPr>
      <w:r>
        <w:t>Para analizar la lesión alegada debemos examinar, desde el canon de constitucionalidad expresado, la relación entre los presupuestos de hecho de los que se parte y las conclusiones alcanzadas que permiten al Tribunal fundar la calificación del bien como ganancial.</w:t>
      </w:r>
    </w:p>
    <w:p w:rsidR="0085709A" w:rsidRDefault="0085709A" w:rsidP="0085709A">
      <w:pPr>
        <w:pStyle w:val="TextoNormal"/>
      </w:pPr>
    </w:p>
    <w:p w:rsidR="0085709A" w:rsidRDefault="0085709A" w:rsidP="0085709A">
      <w:pPr>
        <w:pStyle w:val="TextoNormal"/>
      </w:pPr>
      <w:r>
        <w:t>Los presupuestos fácticos son, en síntesis, los siguientes:</w:t>
      </w:r>
    </w:p>
    <w:p w:rsidR="0085709A" w:rsidRDefault="0085709A" w:rsidP="0085709A">
      <w:pPr>
        <w:pStyle w:val="TextoNormal"/>
      </w:pPr>
    </w:p>
    <w:p w:rsidR="0085709A" w:rsidRDefault="0085709A" w:rsidP="0085709A">
      <w:pPr>
        <w:pStyle w:val="TextoNormal"/>
      </w:pPr>
      <w:r>
        <w:t>(i) La finca en cuestión fue adquirida por escritura de compraventa de 21 de junio de 2005 por la madre del recurrente, actuando como apoderada de su hijo en condición de comprador. El precio se abonó en dos cheques bancarios con cargo a una cuenta titularidad del padre del recurrente, constando la madre como autorizada.</w:t>
      </w:r>
    </w:p>
    <w:p w:rsidR="0085709A" w:rsidRDefault="0085709A" w:rsidP="0085709A">
      <w:pPr>
        <w:pStyle w:val="TextoNormal"/>
      </w:pPr>
    </w:p>
    <w:p w:rsidR="0085709A" w:rsidRDefault="0085709A" w:rsidP="0085709A">
      <w:pPr>
        <w:pStyle w:val="TextoNormal"/>
      </w:pPr>
      <w:r>
        <w:t>(ii) En la escritura de apoderamiento a favor de la madre constaba que el recurrente estaba soltero y residía en Nueva York, cuando está acreditado que en la fecha de otorgamiento del poder el recurrente estaba casado y su domicilio estaba en Alcobendas.</w:t>
      </w:r>
    </w:p>
    <w:p w:rsidR="0085709A" w:rsidRDefault="0085709A" w:rsidP="0085709A">
      <w:pPr>
        <w:pStyle w:val="TextoNormal"/>
      </w:pPr>
    </w:p>
    <w:p w:rsidR="0085709A" w:rsidRDefault="0085709A" w:rsidP="0085709A">
      <w:pPr>
        <w:pStyle w:val="TextoNormal"/>
      </w:pPr>
      <w:r>
        <w:lastRenderedPageBreak/>
        <w:t>(iii) Con fecha 20 de abril de 2012 los padres del recurrente otorgaron acta de manifestaciones ratificando la donación del dinero a su hijo para la compra de la finca y expresando que el precio de la compra era privativo.</w:t>
      </w:r>
    </w:p>
    <w:p w:rsidR="0085709A" w:rsidRDefault="0085709A" w:rsidP="0085709A">
      <w:pPr>
        <w:pStyle w:val="TextoNormal"/>
      </w:pPr>
    </w:p>
    <w:p w:rsidR="0085709A" w:rsidRDefault="0085709A" w:rsidP="0085709A">
      <w:pPr>
        <w:pStyle w:val="TextoNormal"/>
      </w:pPr>
      <w:r>
        <w:t>A partir de estos presupuestos fácticos el tribunal, con fundamento en las infracciones que se derivan de los hechos, concluye que el negocio fue una donación encubierta; y que se trató de burlar la situación real existente y de engañar a la esposa.</w:t>
      </w:r>
    </w:p>
    <w:p w:rsidR="0085709A" w:rsidRDefault="0085709A" w:rsidP="0085709A">
      <w:pPr>
        <w:pStyle w:val="TextoNormal"/>
      </w:pPr>
    </w:p>
    <w:p w:rsidR="0085709A" w:rsidRDefault="0085709A" w:rsidP="0085709A">
      <w:pPr>
        <w:pStyle w:val="TextoNormal"/>
      </w:pPr>
      <w:r>
        <w:t>Esta conclusión es la que a la postre determina la aplicación en la Sentencia recurrida de la presunción de ganancialidad, lo que implica la falta de razonabilidad apreciada.</w:t>
      </w:r>
    </w:p>
    <w:p w:rsidR="0085709A" w:rsidRDefault="0085709A" w:rsidP="0085709A">
      <w:pPr>
        <w:pStyle w:val="TextoNormal"/>
      </w:pPr>
    </w:p>
    <w:p w:rsidR="0085709A" w:rsidRDefault="0085709A" w:rsidP="0085709A">
      <w:pPr>
        <w:pStyle w:val="TextoNormal"/>
      </w:pPr>
      <w:r>
        <w:t xml:space="preserve">De acuerdo con la doctrina de este Tribunal, hemos de concluir que existe una insuficiencia en la motivación de la Sentencia de apelación en tanto que no permite identificar la </w:t>
      </w:r>
      <w:r w:rsidRPr="0085709A">
        <w:rPr>
          <w:i/>
        </w:rPr>
        <w:t>ratio decidendi</w:t>
      </w:r>
      <w:r>
        <w:t>, esto es, los criterios esenciales sobre los que se funda la calificación del bien como ganancial, debiendo anularse este pronunciamiento recogido en el punto 1 del fallo. Ello nos lleva a afirmar la vulneración del derecho a la tutela judicial efectiva invocado (art. 24.1 CE), debiendo dictarse nueva Sentencia respetuosa con el derecho vulnerado y quedando extramuros de este recurso el debate fáctico y de legalidad que deberá resolverse por el órgano jurisdiccional en ejecución del pronunciamiento estimatorio del amparo.</w:t>
      </w:r>
    </w:p>
    <w:p w:rsidR="0085709A" w:rsidRDefault="0085709A" w:rsidP="0085709A">
      <w:pPr>
        <w:pStyle w:val="TextoNormal"/>
      </w:pPr>
    </w:p>
    <w:p w:rsidR="0085709A" w:rsidRDefault="0085709A" w:rsidP="0085709A">
      <w:pPr>
        <w:pStyle w:val="TextoNormal"/>
      </w:pPr>
      <w:r w:rsidRPr="0085709A">
        <w:rPr>
          <w:rStyle w:val="NumeroAFNegritaCaracter"/>
        </w:rPr>
        <w:t>6</w:t>
      </w:r>
      <w:r>
        <w:t>. En relación a la providencia de fecha 12 de mayo de 2014, debe indicarse que la estimación del anterior motivo y consecuente anulación de la Sentencia con retroacción de actuaciones al momento anterior al de su dictado, implica necesariamente la nulidad de esta resolución procesal posterior de inadmisión del incidente excepcional de nulidad de actuaciones planteado por el recurrente, pues el Tribunal rechazó de plano el incidente con la única mención de que “no ha lugar a su admisión a trámite”, lo que pone de manifiesto que no se realizó un control sobre la lesión constitucional invocada por la parte promotora del incidente.</w:t>
      </w:r>
    </w:p>
    <w:p w:rsidR="0085709A" w:rsidRDefault="0085709A" w:rsidP="0085709A">
      <w:pPr>
        <w:pStyle w:val="TextoNormal"/>
      </w:pPr>
    </w:p>
    <w:p w:rsidR="0085709A" w:rsidRDefault="0085709A" w:rsidP="0085709A">
      <w:pPr>
        <w:pStyle w:val="TextoNormal"/>
      </w:pPr>
      <w:r>
        <w:t>En consecuencia, y de acuerdo a la doctrina expuesta sobre la trascendencia constitucional del recurso, podemos afirmar que el incidente de nulidad no cumplió en este caso su función de tutela y defensa de los derechos fundamentales en base a una decisión de inadmisión del órgano jurisdiccional carente de motivación, que dejó imprejuzgada la lesión constitucional denunciada en el incidente, de lo que resulta que se ha vulnerado también, en este punto, el derecho de la parte demandante de amparo (art. 24.1 CE), pues el órgano judicial debió motivar suficientemente su decisión, con lo que la petición de nulidad de actuaciones no surtió el efecto que estaba llamada a producir.</w:t>
      </w:r>
    </w:p>
    <w:p w:rsidR="0085709A" w:rsidRDefault="0085709A" w:rsidP="0085709A">
      <w:pPr>
        <w:pStyle w:val="TextoNormal"/>
      </w:pPr>
    </w:p>
    <w:p w:rsidR="0085709A" w:rsidRDefault="0085709A" w:rsidP="0085709A">
      <w:pPr>
        <w:pStyle w:val="TextoNormal"/>
      </w:pPr>
      <w:r w:rsidRPr="0085709A">
        <w:rPr>
          <w:rStyle w:val="NumeroAFNegritaCaracter"/>
        </w:rPr>
        <w:t>7</w:t>
      </w:r>
      <w:r>
        <w:t>. Por todo lo expuesto, debe otorgarse el amparo, con nulidad de ambas resoluciones, retrotrayendo las actuaciones al momento anterior al dictado de la Sentencia de fecha 31 de marzo de 2014 por la Sección Vigesimosegunda de la Audiencia Provincial de Madrid, en el recurso de apelación 813-2013, para que sea dictada otra con respeto del derecho fundamental a la tutela judicial efectiva.</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presente recurso de amparo interpuesto por don Jean Basile Catris, sucedido procesalmente por doña Sofía Rossomolinos Ep Catris en su condición de administradora de la herencia y, en consecuencia:</w:t>
      </w:r>
    </w:p>
    <w:p w:rsidR="0085709A" w:rsidRDefault="0085709A" w:rsidP="0085709A">
      <w:pPr>
        <w:pStyle w:val="TextoNormal"/>
      </w:pPr>
    </w:p>
    <w:p w:rsidR="0085709A" w:rsidRDefault="0085709A" w:rsidP="0085709A">
      <w:pPr>
        <w:pStyle w:val="TextoNormal"/>
      </w:pPr>
      <w:r>
        <w:t>1º Declarar que ha sido vulnerado su derecho fundamental a la tutela judicial efectiva sin indefensión (art. 24.1 CE).</w:t>
      </w:r>
    </w:p>
    <w:p w:rsidR="0085709A" w:rsidRDefault="0085709A" w:rsidP="0085709A">
      <w:pPr>
        <w:pStyle w:val="TextoNormal"/>
      </w:pPr>
    </w:p>
    <w:p w:rsidR="0085709A" w:rsidRDefault="0085709A" w:rsidP="0085709A">
      <w:pPr>
        <w:pStyle w:val="TextoNormal"/>
      </w:pPr>
      <w:r>
        <w:t>2º Restablecerle en su derecho y, en consecuencia, declarar la nulidad de la Sentencia de 31 de marzo de 2014 dictada por la Sección Vigesimosegunda de la Audiencia Provincial de Madrid, recaída en recurso de apelación núm. 813-2013, así como de la providencia de 12 de mayo de 2014 que inadmite el incidente de nulidad de actuaciones formulado por el demandante de amparo.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en relación al pronunciamiento anulado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5" w:name="SENTENCIA_2015_102"/>
      <w:r>
        <w:lastRenderedPageBreak/>
        <w:t>SENTENCIA 102/2015, de 26 de mayo de 2015</w:t>
      </w:r>
    </w:p>
    <w:bookmarkEnd w:id="105"/>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ECLI:ES:TC:2015:102</w:t>
      </w:r>
    </w:p>
    <w:p w:rsidR="0085709A" w:rsidRDefault="0085709A" w:rsidP="0085709A">
      <w:pPr>
        <w:pStyle w:val="TextoNormalCentrado"/>
      </w:pPr>
    </w:p>
    <w:p w:rsidR="0085709A" w:rsidRDefault="0085709A" w:rsidP="0085709A">
      <w:pPr>
        <w:pStyle w:val="SntesisDescriptiva"/>
      </w:pPr>
      <w:r>
        <w:t>Recurso de inconstitucionalidad 275-2015. Interpuesto por el Gobierno del Principado de Asturias respecto del artículo 124 de la Ley 18/2014, de 15 de octubre, de aprobación de medidas urgentes para el crecimiento, la competitividad y la eficiencia.</w:t>
      </w:r>
    </w:p>
    <w:p w:rsidR="0085709A" w:rsidRDefault="0085709A" w:rsidP="0085709A">
      <w:pPr>
        <w:pStyle w:val="SntesisDescriptiva"/>
      </w:pPr>
    </w:p>
    <w:p w:rsidR="0085709A" w:rsidRDefault="0085709A" w:rsidP="0085709A">
      <w:pPr>
        <w:pStyle w:val="SntesisAnaltica"/>
      </w:pPr>
      <w:r>
        <w:t>Competencias financieras, finalidad recaudatoria de los tributos, compensación por ocupación del hecho imponible: constitucionalidad del precepto legal estatal que regula el impuesto sobre los depósitos en las entidades de crédito (STC 73/2015).</w:t>
      </w:r>
    </w:p>
    <w:p w:rsidR="0085709A" w:rsidRDefault="0085709A" w:rsidP="0085709A">
      <w:pPr>
        <w:pStyle w:val="SntesisAnaltica"/>
      </w:pPr>
    </w:p>
    <w:p w:rsidR="0085709A" w:rsidRDefault="0085709A" w:rsidP="0085709A">
      <w:pPr>
        <w:pStyle w:val="Extracto"/>
      </w:pPr>
      <w:r>
        <w:t>1.</w:t>
      </w:r>
      <w:r>
        <w:tab/>
        <w:t>El impuesto asturiano sobre depósitos en entidades de crédito se estableció con posterioridad al 1 de diciembre de 2012, por lo que no cumplía la condición establecida por el art. 19.13 de la Ley 16/2012 para obtener compensación por el previsible desplazamiento del impuesto autonómico y, en consecuencia, la hacienda autonómica quedó legítimamente excluida de toda medida de compensación por el establecimiento del impuesto estatal, lo que conduce a rechazar la inconstitucionalidad del art. 124 de la Ley 18/2014 (SSTC 26/2015, 73/2015) [FJ 3].</w:t>
      </w:r>
    </w:p>
    <w:p w:rsidR="0085709A" w:rsidRDefault="0085709A" w:rsidP="0085709A">
      <w:pPr>
        <w:pStyle w:val="Extracto"/>
      </w:pPr>
    </w:p>
    <w:p w:rsidR="0085709A" w:rsidRDefault="0085709A" w:rsidP="0085709A">
      <w:pPr>
        <w:pStyle w:val="Extracto"/>
      </w:pPr>
      <w:r>
        <w:t>2.</w:t>
      </w:r>
      <w:r>
        <w:tab/>
        <w:t>La sucesiva regulación del impuesto autonómico, recogida hasta en tres disposiciones con rango de ley dictadas en un período de tiempo próximo a los dos años, permitió conocer de la existencia, alcance y contenido de esta modalidad de tributo, habiendo tenido la oportunidad de ajustar su propio comportamiento económico a las previsiones legislativas del referido impuesto y, en consecuencia, el art. 124 de la Ley impugnada no ha vulnerado el principio de seguridad jurídica consagrado en el art. 9.3 CE [FJ 5].</w:t>
      </w:r>
    </w:p>
    <w:p w:rsidR="0085709A" w:rsidRDefault="0085709A" w:rsidP="0085709A">
      <w:pPr>
        <w:pStyle w:val="Extracto"/>
      </w:pPr>
    </w:p>
    <w:p w:rsidR="0085709A" w:rsidRDefault="0085709A" w:rsidP="0085709A">
      <w:pPr>
        <w:pStyle w:val="Extracto"/>
      </w:pPr>
      <w:r>
        <w:t>3.</w:t>
      </w:r>
      <w:r>
        <w:tab/>
        <w:t>No toda variación en la previsión de ingresos implica una vulneración del principio de estabilidad presupuestaria (art. 135 CE): primero, porque los estados de ingresos en el presupuesto tienen la función de mera previsión; segundo, porque lo relevante es que la norma impugnada incide sobre una previsión de ingresos presupuestarios que se realiza a pesar de que esta Comunidad Autónoma había establecido su impuesto con posterioridad al 1 de diciembre de 2012, cuando era esperable que quedara excluida de la compensación, en virtud del art. 19.13 de la Ley 16/2012, razones por lo que no puede atenderse la queja relativa a la lealtad institucional (SSTC 3/2003, 217/2013) [FJ 6].</w:t>
      </w:r>
    </w:p>
    <w:p w:rsidR="0085709A" w:rsidRDefault="0085709A" w:rsidP="0085709A">
      <w:pPr>
        <w:pStyle w:val="Extracto"/>
      </w:pPr>
    </w:p>
    <w:p w:rsidR="0085709A" w:rsidRDefault="0085709A" w:rsidP="0085709A">
      <w:pPr>
        <w:pStyle w:val="Extracto"/>
      </w:pPr>
      <w:r>
        <w:t>4.</w:t>
      </w:r>
      <w:r>
        <w:tab/>
        <w:t>No vulnera el art. 6.2 LOFCA el hecho de que las medidas de compensación se circunscribieran a los impuestos autonómicos que habían sido establecidos con anterioridad al 1 de diciembre de 2012, tal y como prevé el art. 19.13 de la Ley 16/2012 y, en todo caso, se deja un amplio margen de discrecionalidad al legislador estatal para adoptar, bien medidas de coordinación, bien medidas de compensación adecuadas, sin que ni siquiera se incorpore la exigencia de que la compensación coincida exactamente con la cuantía eventualmente dejada de percibir (SSTC 26/2015, 73/2015)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275-2015, interpuesto por el Gobierno del Principado de Asturias contra el art. 124 de la Ley 18/2014, de 15 de octubre, de aprobación de medidas urgentes para el crecimiento, la competitividad y la eficiencia. Ha intervenido y formulado alegaciones el Abogado del Estado. Ha sido Ponente el Magistrado don Antonio Narváez Rodríguez, que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16 de enero de 2015 tuvo entrada en el Registro de este Tribunal Constitucional un escrito del Letrado del servicio jurídico del Principado de Asturias, en nombre y representación legal del Gobierno de dicha Comunidad Autónoma, por el que interpone recurso de inconstitucionalidad contra el art. 124 de la Ley 18/2014, de 15 de octubre, de aprobación de medidas urgentes para el crecimiento, la competitividad y la eficiencia (en adelante, Ley 18/2014).</w:t>
      </w:r>
    </w:p>
    <w:p w:rsidR="0085709A" w:rsidRDefault="0085709A" w:rsidP="0085709A">
      <w:pPr>
        <w:pStyle w:val="TextoNormal"/>
      </w:pPr>
    </w:p>
    <w:p w:rsidR="0085709A" w:rsidRDefault="0085709A" w:rsidP="0085709A">
      <w:pPr>
        <w:pStyle w:val="TextoNormal"/>
      </w:pPr>
      <w:r>
        <w:t>El precepto impugnado modifica el art. 19 de la Ley 16/2012, de 27 de diciembre, por la que se adoptan diversas medidas tributarias dirigidas a la consolidación de las finanzas públicas y al impulso de la actividad económica; en el mencionado precepto se estableció el impuesto sobre depósitos en las entidades de crédito.</w:t>
      </w:r>
    </w:p>
    <w:p w:rsidR="0085709A" w:rsidRDefault="0085709A" w:rsidP="0085709A">
      <w:pPr>
        <w:pStyle w:val="TextoNormal"/>
      </w:pPr>
    </w:p>
    <w:p w:rsidR="0085709A" w:rsidRDefault="0085709A" w:rsidP="0085709A">
      <w:pPr>
        <w:pStyle w:val="TextoNormal"/>
      </w:pPr>
      <w:r>
        <w:t xml:space="preserve">Comienza el escrito recordando que el art. 41 de la Ley 3/2012, de 28 de diciembre, de presupuestos generales del Principado de Asturias para 2013, creó un impuesto autonómico sobre depósitos en entidades de crédito, estableciendo un tipo de gravamen entre el 0,3 y el 0,5 por 100, en función de la base imponible. El Estado, por su parte, a través del art. 19 de la Ley 16/2012, de 27 de diciembre, por la que se adoptan diversas medidas tributarias dirigidas a la consolidación de las finanzas públicas y al impulso de la actividad económica, estableció un impuesto sobre depósitos en entidades de crédito con un tipo de gravamen del 0 por 100. Posteriormente, el art. 124 del Real Decreto-ley 8/2014, de 4 de julio, de aprobación de medidas urgentes para el crecimiento, la competitividad y la eficiencia, modificó el tipo de gravamen estableciendo el del 0,03 por 100. El referido Real Decreto-ley fue posteriormente tramitado como proyecto de ley dando lugar a la Ley 18/2014, de 15 de octubre, </w:t>
      </w:r>
      <w:r>
        <w:lastRenderedPageBreak/>
        <w:t>de aprobación de medidas urgentes para el crecimiento, la competitividad y la eficiencia, cuyo art. 124 es ahora objeto de este recurso.</w:t>
      </w:r>
    </w:p>
    <w:p w:rsidR="0085709A" w:rsidRDefault="0085709A" w:rsidP="0085709A">
      <w:pPr>
        <w:pStyle w:val="TextoNormal"/>
      </w:pPr>
    </w:p>
    <w:p w:rsidR="0085709A" w:rsidRDefault="0085709A" w:rsidP="0085709A">
      <w:pPr>
        <w:pStyle w:val="TextoNormal"/>
      </w:pPr>
      <w:r>
        <w:t>a) A partir de lo anterior, considera, en primer lugar, el escrito del Letrado del Gobierno del Principado de Asturias que el art. 124 de la Ley impugnada vulnera el art. 6.2 de la Ley Orgánica de financiación de las Comunidades Autonómas (LOFCA), al no contemplar medida de compensación alguna para la Comunidad Autónoma del Principado de Asturias, pese a establecer un tributo que recae sobre un hecho imponible previamente gravado por la Comunidad Autónoma, implicando una disminución de ingresos para ésta, dada además la diferencia de tipos de gravamen.</w:t>
      </w:r>
    </w:p>
    <w:p w:rsidR="0085709A" w:rsidRDefault="0085709A" w:rsidP="0085709A">
      <w:pPr>
        <w:pStyle w:val="TextoNormal"/>
      </w:pPr>
    </w:p>
    <w:p w:rsidR="0085709A" w:rsidRDefault="0085709A" w:rsidP="0085709A">
      <w:pPr>
        <w:pStyle w:val="TextoNormal"/>
      </w:pPr>
      <w:r>
        <w:t>b) En segundo término, el precepto impugnado habría vulnerado los principios de irretroactividad de las normas restrictivas de derechos individuales, seguridad jurídica e interdicción de la arbitrariedad recogidos en el art. 9.3 CE, pues otorga efectos retroactivos a las modificaciones introducidas al art. 19 de la Ley 16/2012.</w:t>
      </w:r>
    </w:p>
    <w:p w:rsidR="0085709A" w:rsidRDefault="0085709A" w:rsidP="0085709A">
      <w:pPr>
        <w:pStyle w:val="TextoNormal"/>
      </w:pPr>
    </w:p>
    <w:p w:rsidR="0085709A" w:rsidRDefault="0085709A" w:rsidP="0085709A">
      <w:pPr>
        <w:pStyle w:val="TextoNormal"/>
      </w:pPr>
      <w:r>
        <w:t>c) Por último, el precepto estatal vulnera los principios de estabilidad presupuestaria (art. 135 CE) y de lealtad institucional [art. 2.1 g) LOFCA], pues la aprobación a mitad del ejercicio presupuestario del Real Decreto-ley 8/2014 y de la Ley 18/2014, con una importante reducción de los tipos de gravamen respecto a los establecidos por el impuesto autonómico, habida cuenta de que el Estado lo ha fijado en el 0,03 por 100 frente a la escala comprendida entre el 0,3 y el 0,5 por 100 que establecía el autonómico, sin que además se prevea compensación alguna, tal modificación ha supuesto una importante disminución de ingresos para la Comunidad Autónoma, que realizó sus previsiones presupuestarias en la confianza de la normativa vigente.</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16 de febrero de 2015, el Pleno de este Tribunal acordó admitir a trámite el recurso de inconstitucionalidad promovido por el Gobierno del Principado de Asturias y, en su representación y defensa, por el Letrado del servicio jurídico del mismo, contra el art. 124 de la Ley 18/2014, de 15 de octubre, de aprobación de medidas urgentes para el crecimiento, la competitividad y la eficiencia. Asimismo,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estimaran convenientes. Por último, se acordó publicar la incoación del proceso en el “Boletín Oficial del Estado”, lo que tuvo efecto en el núm. 45, de 21 de febrero de 2015.</w:t>
      </w:r>
    </w:p>
    <w:p w:rsidR="0085709A" w:rsidRDefault="0085709A" w:rsidP="0085709A">
      <w:pPr>
        <w:pStyle w:val="TextoNormal"/>
      </w:pPr>
    </w:p>
    <w:p w:rsidR="0085709A" w:rsidRDefault="0085709A" w:rsidP="0085709A">
      <w:pPr>
        <w:pStyle w:val="TextoNormal"/>
      </w:pPr>
      <w:r w:rsidRPr="0085709A">
        <w:rPr>
          <w:rStyle w:val="NumeroAFNegritaCaracter"/>
        </w:rPr>
        <w:t>3</w:t>
      </w:r>
      <w:r>
        <w:t>. El día 24 de febrero de 2015 tuvo entrada en el Registro de este Tribunal el escrito del Abogado del Estado, en la representación que legalmente ostenta, por el que se solicita se le tenga por personado en el proceso y concedida una prórroga de ocho días más en el plazo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t>4</w:t>
      </w:r>
      <w:r>
        <w:t>. El día 25 de febrero de 2015 el Pleno del Tribunal acordó incorporar a las actuaciones el escrito presentado por el Abogado del Estado, al que se le tuvo por personado en el proceso, al tiempo que le fue concedida la prórroga de ocho días del plazo para presentar alegaciones, a contar desde el siguiente al de expiración del ordinario.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de este Tribunal de fecha de 27 de febrero de 2015, el Presidente del Congreso de los Diputados comunicó a este Tribunal el acuerdo de la Mesa de la Cámara de personarse en el procedimiento, ofreciendo su colaboración a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el día 3 de marzo de 2015 en este Tribunal el Presidente del Senado comunicó el acuerdo de la Mesa de la Cámara por el que se persona en el procedimiento y ofrece su colaboración a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El día 24 de marzo de 2015 tuvo entrada en el Registro de este Tribunal el escrito de alegaciones presentado por el Abogado del Estado, que concluye solicitando la desestimación íntegra del recurso a partir de las siguientes consideraciones:</w:t>
      </w:r>
    </w:p>
    <w:p w:rsidR="0085709A" w:rsidRDefault="0085709A" w:rsidP="0085709A">
      <w:pPr>
        <w:pStyle w:val="TextoNormal"/>
      </w:pPr>
    </w:p>
    <w:p w:rsidR="0085709A" w:rsidRDefault="0085709A" w:rsidP="0085709A">
      <w:pPr>
        <w:pStyle w:val="TextoNormal"/>
      </w:pPr>
      <w:r>
        <w:t>a) Tras recordar los elementos esenciales del impuesto estatal sobre los depósitos en las entidades de crédito, así como las principales modificaciones introducidas por el precepto que ahora se impugna, afirma, en primer lugar, que “no se aprecia infracción de los arts. 31.3, ni 133.1 y 2 de la Constitución”, de suerte que “el art. 124 de la Ley 18/2014, de 15 de octubre, es exponente del ejercicio de esa potestad originaria y exclusiva del Estado en materia tributaria”. A continuación, se refiere a las razones que motivaron el establecimiento del tipo de gravamen cero en la Ley 16/2012 en el contexto de la crisis financiera y concluye, con cita de la STC 26/2015, de 19 de febrero, que “no existe, por consiguiente, tampoco ausencia de armonización o auténtico equilibrio en cuanto al deseable desarrollo regional y sectorial, que el art. 131.1 CE presenta como un objetivo constitucional programático; falta de equilibrio que el recurso parece reprochar a la reforma fiscal adoptada por el art. 124 de la Ley 18/2014”.</w:t>
      </w:r>
    </w:p>
    <w:p w:rsidR="0085709A" w:rsidRDefault="0085709A" w:rsidP="0085709A">
      <w:pPr>
        <w:pStyle w:val="TextoNormal"/>
      </w:pPr>
    </w:p>
    <w:p w:rsidR="0085709A" w:rsidRDefault="0085709A" w:rsidP="0085709A">
      <w:pPr>
        <w:pStyle w:val="TextoNormal"/>
      </w:pPr>
      <w:r>
        <w:t>b) En segundo lugar, alega que no se infringe el art. 6.2 LOFCA toda vez que “la reforma introducida por el art. 124 en su modificación del art. 19 de la Ley 16/2012, es decir, de un impuesto ya existente, no altera la previsión legal y la posición doctrinal consolidada por el Tribunal Constitucional acerca del funcionamiento y eficacia jurídica ordenadora de lo dispuesto en el art. 6.2 LOFCA”, de suerte que, en este caso, el impuesto estatal existía ya con anterioridad a la reforma, no tratándose de la creación legal de una nueva figura impositiva por parte del Estado en ejercicio de su potestad legislativa, sino que lo que se lleva a cabo por ésta es sólo una reforma del tributo existente, citando al respecto nuevamente la doctrina contenida en la STC 26/2015 [FJ 5 b)].</w:t>
      </w:r>
    </w:p>
    <w:p w:rsidR="0085709A" w:rsidRDefault="0085709A" w:rsidP="0085709A">
      <w:pPr>
        <w:pStyle w:val="TextoNormal"/>
      </w:pPr>
    </w:p>
    <w:p w:rsidR="0085709A" w:rsidRDefault="0085709A" w:rsidP="0085709A">
      <w:pPr>
        <w:pStyle w:val="TextoNormal"/>
      </w:pPr>
      <w:r>
        <w:t xml:space="preserve">La subida del tipo de gravamen (del 0 al 0,03 por 100), unida a la introducción de otras adaptaciones normativas precisas, derivadas de esa subida de tipo, tiene lugar para adecuar la existencia de ingreso efectuada por la ley estatal respecto del tributo ya vigente. En ese sentido, aparte de la previsibilidad en sentido abstracto que supone la preexistencia de un impuesto cuyo tipo, como el de todos, puede variar por obra del legislador constitucionalmente competente para ello, que en su día lo creó, es que, además, dicha elevación de tipo no equivale a la creación de un impuesto estatal con el consiguiente desplazamiento (en este momento) de otro impuesto autonómico coincidente con el hecho imponible, pues precisamente y por prescripción legal del mismo art. 6 LOFCA no podían ya, desde antes, es decir desde que entró en vigor la Ley 16/2012, que creó el impuesto estatal sobre los depósitos </w:t>
      </w:r>
      <w:r>
        <w:lastRenderedPageBreak/>
        <w:t>bancarios, aprobarse legalmente por las Comunidades Autónomas otros hipotéticos impuestos autonómicos que coincidiesen en su hecho imponible con el impuesto estatal vigente.</w:t>
      </w:r>
    </w:p>
    <w:p w:rsidR="0085709A" w:rsidRDefault="0085709A" w:rsidP="0085709A">
      <w:pPr>
        <w:pStyle w:val="TextoNormal"/>
      </w:pPr>
    </w:p>
    <w:p w:rsidR="0085709A" w:rsidRDefault="0085709A" w:rsidP="0085709A">
      <w:pPr>
        <w:pStyle w:val="TextoNormal"/>
      </w:pPr>
      <w:r>
        <w:t>Por otro lado, añade que no ha lugar a la invocación del art. 6.2 LOFCA por parte de la Comunidad Autónoma de Asturias, pues no se da el supuesto de hecho preciso y previo que ese artículo configura. Como indicaba el tenor de la parte expositiva del Real Decreto-ley 8/2014, confirmado por la Ley 18/2014 (art. 124, apartado primero), y, en su parte dispositiva, la reforma en los apartados ocho y catorce del art. 19 de la Ley 16/2012, “se establece con efectos desde el 1 de enero de 2014 un tipo de gravamen del 0,03 por 100 cuya recaudación será destinada a las Comunidades Autónomas donde radiquen la sede central o las sucursales de los contribuyentes en las que se mantengan los fondos de terceros gravados”. Es decir, la modificación del tipo cero, al 0,03 por 100, consecuencia de la reforma operada, aparte de no agravar la posición de partida de la hacienda autonómica, es que supone además una asignación formal (nuevo apartado catorce del art. 19 de la Ley 16/2012) de la recaudación por el incremento del tipo impositivo. La compensación que ha previsto la reforma del art. 19 de la Ley 16/2012, efectuada por el Real Decreto-ley 8/2014, en lo que a esta figura impositiva se refiere, no resulta algo “arbitrario”, como pretende la demanda. No puede decirse, en definitiva, que la norma impugnada no cumpla las previsiones del art. 6.2 LOFCA en cuanto a este extremo relativo a las medidas compensatorias.</w:t>
      </w:r>
    </w:p>
    <w:p w:rsidR="0085709A" w:rsidRDefault="0085709A" w:rsidP="0085709A">
      <w:pPr>
        <w:pStyle w:val="TextoNormal"/>
      </w:pPr>
    </w:p>
    <w:p w:rsidR="0085709A" w:rsidRDefault="0085709A" w:rsidP="0085709A">
      <w:pPr>
        <w:pStyle w:val="TextoNormal"/>
      </w:pPr>
      <w:r>
        <w:t>c) Sigue argumentando el Abogado del Estado que el art. 135 CE no resulta infringido. Precisamente, lo que una unificación normativa impositiva favorece —no contradice— es el principio de estabilidad financiera. La sola existencia y posibilidad de cambios normativos no es una eventualidad o en su caso una circunstancia de hecho que se halle en contradicción con el principio de estabilidad, precisamente cuando además esa variación legislativa, como es el caso, tiene una proyección o vigencia general sobre todo el territorio nacional. La eventual insuficiencia de recursos financieros y déficits por parte de las Comunidades Autónomas puede tener su origen en unos excesos de gastos, en deficiencias estructurales o coyunturales, o en defectos de gestión, pero no puede tenerlo en una reforma tributaria de ámbito general en cuanto a su proyección territorial, que lo que hace es tratar de lograr un objetivo unificador y, por eso mismo, favorecer una situación más previsible y jurídicamente segura en el ámbito tributario. Pues bien, según añade, difícilmente se logrará ese objetivo de sostenibilidad y estabilidad combatiendo medidas de unificación fiscal, que lo que tratan es de introducir seguridad jurídica y fiscal, necesaria para dotar de confianza a las inversiones y en general a la actividad económica.</w:t>
      </w:r>
    </w:p>
    <w:p w:rsidR="0085709A" w:rsidRDefault="0085709A" w:rsidP="0085709A">
      <w:pPr>
        <w:pStyle w:val="TextoNormal"/>
      </w:pPr>
    </w:p>
    <w:p w:rsidR="0085709A" w:rsidRDefault="0085709A" w:rsidP="0085709A">
      <w:pPr>
        <w:pStyle w:val="TextoNormal"/>
      </w:pPr>
      <w:r>
        <w:t xml:space="preserve">d) La reforma respeta los principios declarados por el art. 9.3 de la Constitución. Según el Abogado del Estado, es notorio que el artículo aquí impugnado no confiere al nuevo régimen jurídico del tributo una retroactividad contraria al art. 9.3 CE, pues no prevé la aplicación de sus efectos a situaciones ya consumadas en el pasado o a ejercicios fiscales anteriores, relativos a impuestos ya devengados, siendo así una norma jurídica que entra en vigor en el mismo ejercicio fiscal en que se promulga. En modo alguno puede tacharse de arbitraria o de atentatoria a la seguridad jurídica —valor éste garantizado por el art. 9.3 CE— una reforma impositiva que se produce a través del ejercicio de la potestad legislativa del órgano legislativo competente, y que la ostenta de modo originario (art. 133.1 CE), reforma que contiene una regulación lógica y que lleva a cabo la elevación del tipo impositivo en un porcentaje del 0,03 por 100, incremento que como tal en sí mismo, con independencia de su cuantía, era previsible al haber partido en su redacción originaria de un 0 por 100 de </w:t>
      </w:r>
      <w:r>
        <w:lastRenderedPageBreak/>
        <w:t>tipo, en virtud de las especiales razones de política fiscal y económica que llevaron al Estado a introducir esta clase de tributo como factor o elemento unificador fiscal.</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26 de mayo de 2015 se señaló ese mismo día para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se interpone por el Gobierno del Principado de Asturias contra el art. 124 de la Ley 18/2014, de 15 de octubre, de aprobación de medidas urgentes para el crecimiento, la competitividad y la eficiencia.</w:t>
      </w:r>
    </w:p>
    <w:p w:rsidR="0085709A" w:rsidRDefault="0085709A" w:rsidP="0085709A">
      <w:pPr>
        <w:pStyle w:val="TextoNormal"/>
      </w:pPr>
    </w:p>
    <w:p w:rsidR="0085709A" w:rsidRDefault="0085709A" w:rsidP="0085709A">
      <w:pPr>
        <w:pStyle w:val="TextoNormal"/>
      </w:pPr>
      <w:r>
        <w:t>El art. 124 de la Ley 18/2014, de 15 de octubre que aquí se impugna, ha modificado el art. 19 de la Ley 16/2012, de 27 de diciembre, por la que se adoptaron diversas medidas tributarias dirigidas a la consolidación de las finanzas públicas y al impulso de la actividad económica; el mencionado precepto había establecido el impuesto sobre depósitos en las entidades de crédito.</w:t>
      </w:r>
    </w:p>
    <w:p w:rsidR="0085709A" w:rsidRDefault="0085709A" w:rsidP="0085709A">
      <w:pPr>
        <w:pStyle w:val="TextoNormal"/>
      </w:pPr>
    </w:p>
    <w:p w:rsidR="0085709A" w:rsidRDefault="0085709A" w:rsidP="0085709A">
      <w:pPr>
        <w:pStyle w:val="TextoNormal"/>
      </w:pPr>
      <w:r>
        <w:t>Previamente, el citado art. 19 había sido reformado mediante el art. 124 del Real Decreto-ley 8/2014, de 4 de julio, de aprobación de medidas urgentes para el crecimiento, la competitividad y la eficiencia, regulación sustituida por la aquí impugnada, tras la tramitación como ley del citado Real Decreto-ley.</w:t>
      </w:r>
    </w:p>
    <w:p w:rsidR="0085709A" w:rsidRDefault="0085709A" w:rsidP="0085709A">
      <w:pPr>
        <w:pStyle w:val="TextoNormal"/>
      </w:pPr>
    </w:p>
    <w:p w:rsidR="0085709A" w:rsidRDefault="0085709A" w:rsidP="0085709A">
      <w:pPr>
        <w:pStyle w:val="TextoNormal"/>
      </w:pPr>
      <w:r>
        <w:t>Con los argumentos recogidos en el antecedente primero, la demanda considera vulnerados el art. 6.2 de la Ley Orgánica 8/1980, de 22 de septiembre, de financiación de las Comunidades Autónomas (LOFCA, en lo que sigue); el art 9.3 CE; el art. 135 CE, en conexión con el art. 2.1 g) LOFCA; y el art. 9 de la Ley Orgánica 2/2012, de 27 de abril, de estabilidad presupuestaria y sostenibilidad financiera. El Abogado del Estado interesa la desestimación del recurso con los argumentos recogidos en el antecedente séptimo.</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examinar el fondo de las distintas impugnaciones, debemos situar la presente controversia en el contexto jurídico que le corresponde:</w:t>
      </w:r>
    </w:p>
    <w:p w:rsidR="0085709A" w:rsidRDefault="0085709A" w:rsidP="0085709A">
      <w:pPr>
        <w:pStyle w:val="TextoNormal"/>
      </w:pPr>
    </w:p>
    <w:p w:rsidR="0085709A" w:rsidRDefault="0085709A" w:rsidP="0085709A">
      <w:pPr>
        <w:pStyle w:val="TextoNormal"/>
      </w:pPr>
      <w:r>
        <w:t>a) El impuesto estatal sobre depósitos en las entidades de crédito fue creado, como ha quedado expuesto, por el art. 19 de la Ley 16/2012, de 27 de diciembre, de adopción de diversas medidas tributarias dirigidas a la consolidación de las finanzas públicas y al impulso de la actividad económica. En su redacción originaria, el impuesto no tenía finalidad recaudatoria, sino de armonización de esta concreta materia imponible, tal y como rezaba el preámbulo de la norma, teniendo así la pretensión de “asegurar un tratamiento fiscal armonizado que garantice una mayor eficiencia en el funcionamiento del sistema financiero”. Asimismo, la Ley 16/2012 se refería a los impuestos similares que habían sido ya creados por las Comunidades Autónomas, previendo que se aplicarían medidas de coordinación o compensación siempre que dichos impuestos propios hubieran sido establecidos “con anterioridad a 1 de diciembre de 2012”.</w:t>
      </w:r>
    </w:p>
    <w:p w:rsidR="0085709A" w:rsidRDefault="0085709A" w:rsidP="0085709A">
      <w:pPr>
        <w:pStyle w:val="TextoNormal"/>
      </w:pPr>
    </w:p>
    <w:p w:rsidR="0085709A" w:rsidRDefault="0085709A" w:rsidP="0085709A">
      <w:pPr>
        <w:pStyle w:val="TextoNormal"/>
      </w:pPr>
      <w:r>
        <w:t xml:space="preserve">La Ley 16/2012 fue objeto de los recursos de inconstitucionalidad 1808-2013, interpuesto por el Parlamento de Cataluña; 1873-2013, interpuesto por el Gobierno de la misma </w:t>
      </w:r>
      <w:r>
        <w:lastRenderedPageBreak/>
        <w:t>Comunidad; y 1881-2013, interpuesto por el Gobierno del Principado de Asturias. Todos ellos han sido desestimados en su integridad, respectivamente, por las SSTC 26/2015, de 19 de febrero; 59/2015, de 18 de marzo y 73/2015, de 14 de abril.</w:t>
      </w:r>
    </w:p>
    <w:p w:rsidR="0085709A" w:rsidRDefault="0085709A" w:rsidP="0085709A">
      <w:pPr>
        <w:pStyle w:val="TextoNormal"/>
      </w:pPr>
    </w:p>
    <w:p w:rsidR="0085709A" w:rsidRDefault="0085709A" w:rsidP="0085709A">
      <w:pPr>
        <w:pStyle w:val="TextoNormal"/>
      </w:pPr>
      <w:r>
        <w:t>b) El art. 19 de la Ley 16/2012 fue posteriormente modificado por el art. 124 del Real Decreto-ley 8/2014, de 4 de julio, de aprobación de medidas urgentes para el crecimiento, la competitividad y la eficiencia. Esta norma fue impugnada en los recursos de inconstitucionalidad, 5952-2014, interpuesto por el Gobierno del Principado de Asturias y 5970-2014, interpuesto por el Consell de la Generalitat Valenciana.</w:t>
      </w:r>
    </w:p>
    <w:p w:rsidR="0085709A" w:rsidRDefault="0085709A" w:rsidP="0085709A">
      <w:pPr>
        <w:pStyle w:val="TextoNormal"/>
      </w:pPr>
    </w:p>
    <w:p w:rsidR="0085709A" w:rsidRDefault="0085709A" w:rsidP="0085709A">
      <w:pPr>
        <w:pStyle w:val="TextoNormal"/>
      </w:pPr>
      <w:r>
        <w:t>c) Por otro lado, el Presidente del Gobierno ha impugnado la creación de tributos sobre depósitos en entidades de crédito establecidos por las Comunidades Autónomas mediante los recursos de inconstitucionalidad: 7279-2012 (en relación con el impuesto establecido en el Decreto-ley de Cataluña 5/2012, de 18 de diciembre, del impuesto sobre los depósitos en las entidades de crédito); 631-2013 (en relación con el impuesto establecido en el art. 41 de la Ley de la Junta General del Principado de Asturias 3/2012, de 28 de diciembre, de presupuestos generales para 2013); 5832-2014 (en relación con el impuesto regulado en el art. 161 de la Ley de la Generalitat Valenciana 5/2013, de 23 de diciembre, de medidas fiscales, de gestión administrativa y financiera, y de organización de la Generalitat), 7870-2014 (en relación con el impuesto regulado en la Ley del Parlamento de Cataluña 4/2014, de 4 de abril, del impuesto sobre depósitos de las entidades de crédito) y 2464-2015 (respecto de determinados artículos que se integran en el capítulo V del Decreto Legislativo 1/2014, de 23 de julio, que aprobó el texto refundido de las disposiciones legales del Principado de Asturias en materia de tributos propios, dedicados a la regulación del impuesto sobre los depósitos en las entidades de crédito).</w:t>
      </w:r>
    </w:p>
    <w:p w:rsidR="0085709A" w:rsidRDefault="0085709A" w:rsidP="0085709A">
      <w:pPr>
        <w:pStyle w:val="TextoNormal"/>
      </w:pPr>
    </w:p>
    <w:p w:rsidR="0085709A" w:rsidRDefault="0085709A" w:rsidP="0085709A">
      <w:pPr>
        <w:pStyle w:val="TextoNormal"/>
      </w:pPr>
      <w:r>
        <w:t>El recurso 5832-2014 ha sido resuelto por STC 30/2015, de 19 de febrero, en la que hemos declarado la inconstitucionalidad y consiguiente nulidad del art. 161 de la Ley de la Generalitat Valenciana 5/2013, por vulneración de los arts. 133.2 y 157.3 CE, así como del art. 6.2 LOFCA, al tratarse de un impuesto equivalente al estatal (FJ 4).</w:t>
      </w:r>
    </w:p>
    <w:p w:rsidR="0085709A" w:rsidRDefault="0085709A" w:rsidP="0085709A">
      <w:pPr>
        <w:pStyle w:val="TextoNormal"/>
      </w:pPr>
    </w:p>
    <w:p w:rsidR="0085709A" w:rsidRDefault="0085709A" w:rsidP="0085709A">
      <w:pPr>
        <w:pStyle w:val="TextoNormal"/>
      </w:pPr>
      <w:r w:rsidRPr="0085709A">
        <w:rPr>
          <w:rStyle w:val="NumeroAFNegritaCaracter"/>
        </w:rPr>
        <w:t>3</w:t>
      </w:r>
      <w:r>
        <w:t>. Así descrito el contexto en el que se enmarca la presente controversia, debemos comenzar por el primero de los motivos de inconstitucionalidad expuestos por el Gobierno autonómico recurrente.</w:t>
      </w:r>
    </w:p>
    <w:p w:rsidR="0085709A" w:rsidRDefault="0085709A" w:rsidP="0085709A">
      <w:pPr>
        <w:pStyle w:val="TextoNormal"/>
      </w:pPr>
    </w:p>
    <w:p w:rsidR="0085709A" w:rsidRDefault="0085709A" w:rsidP="0085709A">
      <w:pPr>
        <w:pStyle w:val="TextoNormal"/>
      </w:pPr>
      <w:r>
        <w:t>Considera el escrito del Letrado del Principado de Asturias que el art. 124 de la Ley impugnada vulnera el art. 6.2 LOFCA porque no establece medida de compensación alguna para la Comunidad Autónoma del Principado de Asturias, pese a establecer un tributo que recae sobre un hecho imponible previamente gravado por la Comunidad Autónoma. Añade que el correspondiente reparto de la recaudación del impuesto estatal implica, en todo caso, una importante disminución de ingresos para la hacienda de esta Comunidad Autónoma, toda vez que la diferencia de tipos de gravamen entre el impuesto estatal (0,03 por 100) y el establecido por el Principado de Asturias en el art. 41 de la citada Ley de la Junta General del Principado de Asturias 3/2012, cuyos tipos oscilan entre el 0,3 y el 0,5 por 100, es muy significativa.</w:t>
      </w:r>
    </w:p>
    <w:p w:rsidR="0085709A" w:rsidRDefault="0085709A" w:rsidP="0085709A">
      <w:pPr>
        <w:pStyle w:val="TextoNormal"/>
      </w:pPr>
    </w:p>
    <w:p w:rsidR="0085709A" w:rsidRDefault="0085709A" w:rsidP="0085709A">
      <w:pPr>
        <w:pStyle w:val="TextoNormal"/>
      </w:pPr>
      <w:r>
        <w:t xml:space="preserve">a) Sin perjuicio de lo anterior, la primera de las tachas ha sido ya resuelta en nuestra STC 73/2015, de 14 de abril, FJ 3 b), en la que, reiterando lo anteriormente afirmado en las SSTC </w:t>
      </w:r>
      <w:r>
        <w:lastRenderedPageBreak/>
        <w:t>26/2015, de 19 de febrero, FJ 6 y 59/2015, de 18 de marzo, FJ 3, hemos declarado, en relación con el art. 6.2 LOFCA, que dicho precepto “contiene una norma de mandato directo al legislador estatal para que instrumente, bien medidas de compensación, bien de coordinación, siempre y cuando el tributo estatal haya supuesto una merma de ingresos para las Comunidades Autónomas.” (STC 26/2015, FJ 6).</w:t>
      </w:r>
    </w:p>
    <w:p w:rsidR="0085709A" w:rsidRDefault="0085709A" w:rsidP="0085709A">
      <w:pPr>
        <w:pStyle w:val="TextoNormal"/>
      </w:pPr>
    </w:p>
    <w:p w:rsidR="0085709A" w:rsidRDefault="0085709A" w:rsidP="0085709A">
      <w:pPr>
        <w:pStyle w:val="TextoNormal"/>
      </w:pPr>
      <w:r>
        <w:t>A partir de ahí, consideramos que no vulneraba el art. 6.2 LOFCA el hecho de que las medidas de compensación se circunscribieran a los impuestos autonómicos que habían sido establecidos con anterioridad al 1 de diciembre de 2012, tal y como prevé el art. 19.13 de la Ley 16/2012, y ello por dos razones:</w:t>
      </w:r>
    </w:p>
    <w:p w:rsidR="0085709A" w:rsidRDefault="0085709A" w:rsidP="0085709A">
      <w:pPr>
        <w:pStyle w:val="TextoNormal"/>
      </w:pPr>
    </w:p>
    <w:p w:rsidR="0085709A" w:rsidRDefault="0085709A" w:rsidP="0085709A">
      <w:pPr>
        <w:pStyle w:val="TextoNormal"/>
      </w:pPr>
      <w:r>
        <w:t>- La primera, que “[l]a exclusión de esas medidas de coordinación o compensación a aquellos tributos establecidos por las Comunidades Autónomas a partir del 1 de diciembre de 2012, no es más que una concreción de lo establecido en el art. 6.2 LOFCA para su aplicación al tributo creado por el art. 19 de la Ley 16/2012, y se hace, no con la finalidad de interpretar el referido precepto de la LOFCA, sino para aplicarlo en atención al procedimiento legislativo seguido para su aprobación, lo que implica, como es propio de todo proceso aplicativo de una norma, una previa labor de interpretación de su sentido y alcance” [SSTC 26/2015, FJ 6) y 73/2015, FJ 3 b)].</w:t>
      </w:r>
    </w:p>
    <w:p w:rsidR="0085709A" w:rsidRDefault="0085709A" w:rsidP="0085709A">
      <w:pPr>
        <w:pStyle w:val="TextoNormal"/>
      </w:pPr>
    </w:p>
    <w:p w:rsidR="0085709A" w:rsidRDefault="0085709A" w:rsidP="0085709A">
      <w:pPr>
        <w:pStyle w:val="TextoNormal"/>
      </w:pPr>
      <w:r>
        <w:t>- Y, la segunda, que tal restricción “obedece a la finalidad, que no puede considerarse irrazonable, de evitar que durante el proceso de elaboración de la Ley 16/2012 pudieran algunas Comunidades Autónoma crear tributos equivalentes al impuesto sobre depósitos en las entidades de crédito estatal, en procedimientos legislativos más rápidos, anticipándose así a la aprobación de aquel tributo, y más que con la finalidad de aprobar una nueva fuente de ingresos tributarios, que es la previsión contemplada en el art. 6.2 LOFCA, con la de situarse en la posición de posibles acreedoras de las medidas de compensación o coordinación que dicho precepto considera” [SSTC 26/2015, FJ 6 y 73/2015, FJ 3 b)].</w:t>
      </w:r>
    </w:p>
    <w:p w:rsidR="0085709A" w:rsidRDefault="0085709A" w:rsidP="0085709A">
      <w:pPr>
        <w:pStyle w:val="TextoNormal"/>
      </w:pPr>
    </w:p>
    <w:p w:rsidR="0085709A" w:rsidRDefault="0085709A" w:rsidP="0085709A">
      <w:pPr>
        <w:pStyle w:val="TextoNormal"/>
      </w:pPr>
      <w:r>
        <w:t>Resulta así que el Principado de Asturias estableció su homónimo impuesto sobre los depósitos en las entidades de crédito mediante la Ley de la Junta General del Principado de Asturias 3/2012, de 28 de diciembre, de presupuestos generales para 2013. Esta norma, publicada en el “Boletín Oficial del Principado de Asturias” núm. 300, del sábado 29 de diciembre de 2012, entró en vigor con carácter general el día 1 de enero de 2013, excepción hecha de su art. 41, que en virtud de la disposición final séptima “entrará en vigor el día siguiente al de su publicación en el ‘Boletín Oficial del Principado de Asturias’”, esto es, el 30 de diciembre de 2012.</w:t>
      </w:r>
    </w:p>
    <w:p w:rsidR="0085709A" w:rsidRDefault="0085709A" w:rsidP="0085709A">
      <w:pPr>
        <w:pStyle w:val="TextoNormal"/>
      </w:pPr>
    </w:p>
    <w:p w:rsidR="0085709A" w:rsidRDefault="0085709A" w:rsidP="0085709A">
      <w:pPr>
        <w:pStyle w:val="TextoNormal"/>
      </w:pPr>
      <w:r>
        <w:t>Es así evidente que el impuesto asturiano sobre depósitos en entidades de crédito se estableció con posterioridad al 1 de diciembre de 2012, por lo que no cumplía la condición establecida por el art. 19.13 de la Ley 16/2012 para obtener compensación por el previsible desplazamiento del impuesto autonómico.</w:t>
      </w:r>
    </w:p>
    <w:p w:rsidR="0085709A" w:rsidRDefault="0085709A" w:rsidP="0085709A">
      <w:pPr>
        <w:pStyle w:val="TextoNormal"/>
      </w:pPr>
    </w:p>
    <w:p w:rsidR="0085709A" w:rsidRDefault="0085709A" w:rsidP="0085709A">
      <w:pPr>
        <w:pStyle w:val="TextoNormal"/>
      </w:pPr>
      <w:r>
        <w:t>En consecuencia, la hacienda autonómica quedó legítimamente excluida de toda medida de compensación por el establecimiento del impuesto estatal, lo que conduce a rechazar la inconstitucionalidad del art. 124 de la Ley 18/2014.</w:t>
      </w:r>
    </w:p>
    <w:p w:rsidR="0085709A" w:rsidRDefault="0085709A" w:rsidP="0085709A">
      <w:pPr>
        <w:pStyle w:val="TextoNormal"/>
      </w:pPr>
    </w:p>
    <w:p w:rsidR="0085709A" w:rsidRDefault="0085709A" w:rsidP="0085709A">
      <w:pPr>
        <w:pStyle w:val="TextoNormal"/>
      </w:pPr>
      <w:r>
        <w:lastRenderedPageBreak/>
        <w:t>b) Alcanzada la anterior conclusión, debemos descartar también que se vulnere el art. 6.2 LOFCA por el hecho de que esta Comunidad Autónoma perciba, como todas las demás del sistema de financiación de régimen común, la recaudación obtenida por el impuesto estatal en su territorio.</w:t>
      </w:r>
    </w:p>
    <w:p w:rsidR="0085709A" w:rsidRDefault="0085709A" w:rsidP="0085709A">
      <w:pPr>
        <w:pStyle w:val="TextoNormal"/>
      </w:pPr>
    </w:p>
    <w:p w:rsidR="0085709A" w:rsidRDefault="0085709A" w:rsidP="0085709A">
      <w:pPr>
        <w:pStyle w:val="TextoNormal"/>
      </w:pPr>
      <w:r>
        <w:t>Como ha quedado expuesto, la cuantía a obtener por el Principado de Asturias equivale a la aplicación del tipo de gravamen del impuesto estatal, que como se ha constatado es más de diez veces inferior al autonómico (0,03 por 100 , frente a los tipos de entre 0,3 y 0,5 por 100 del impuesto asturiano), sin que tampoco se establezcan deducciones para las sucursales cuya sede radique en el territorio de una Comunidad Autónoma.</w:t>
      </w:r>
    </w:p>
    <w:p w:rsidR="0085709A" w:rsidRDefault="0085709A" w:rsidP="0085709A">
      <w:pPr>
        <w:pStyle w:val="TextoNormal"/>
      </w:pPr>
    </w:p>
    <w:p w:rsidR="0085709A" w:rsidRDefault="0085709A" w:rsidP="0085709A">
      <w:pPr>
        <w:pStyle w:val="TextoNormal"/>
      </w:pPr>
      <w:r>
        <w:t>Lo relevante, conviene insistir en ello, es que el Principado de Asturias deja de percibir la recaudación del impuesto autonómico que había proyectado indebidamente, haciéndolo ya como consecuencia del legítimo ejercicio, por parte del Estado, de sus competencias en materia tributaria, tal y como constatamos en la citada STC 73/2015, FJ 3 b), con cita de la STC 26/2015, [FJ 4 b)]. Tanto la decisión de establecer un impuesto nuevo sobre esta materia, como la posterior de atribuir su recaudación a las Comunidades Autónomas, forman parte del margen de discrecionalidad del legislador estatal, sin que se vulnere con ello precepto constitucional alguno. A mayor abundamiento, incluso si se tratara de una medida de compensación vinculada con el previsible desplazamiento del impuesto autonómico (que no lo es), como ya hemos afirmado en las citadas SSTC 26/2015 (FJ 6) y 73/2015 [FJ 3 b)], en todo caso el art. 6.2 LOFCA deja un amplio margen de discrecionalidad al legislador estatal para adoptar, bien medidas de coordinación, bien medidas de compensación adecuadas, sin que ni siquiera se incorpore la exigencia de que la compensación coincida exactamente con la cuantía eventualmente dejada de percibir.</w:t>
      </w:r>
    </w:p>
    <w:p w:rsidR="0085709A" w:rsidRDefault="0085709A" w:rsidP="0085709A">
      <w:pPr>
        <w:pStyle w:val="TextoNormal"/>
      </w:pPr>
    </w:p>
    <w:p w:rsidR="0085709A" w:rsidRDefault="0085709A" w:rsidP="0085709A">
      <w:pPr>
        <w:pStyle w:val="TextoNormal"/>
      </w:pPr>
      <w:r w:rsidRPr="0085709A">
        <w:rPr>
          <w:rStyle w:val="NumeroAFNegritaCaracter"/>
        </w:rPr>
        <w:t>4</w:t>
      </w:r>
      <w:r>
        <w:t>. Como segundo motivo de inconstitucionalidad, alega la Comunidad Autónoma recurrente que el precepto impugnado ha vulnerado los principios de irretroactividad de las normas restrictivas de derechos individuales, seguridad jurídica e interdicción de la arbitrariedad recogidos en el art. 9.3 CE, al otorgar efectos retroactivos a las modificaciones introducidas en el art. 19 de la Ley 16/2012.</w:t>
      </w:r>
    </w:p>
    <w:p w:rsidR="0085709A" w:rsidRDefault="0085709A" w:rsidP="0085709A">
      <w:pPr>
        <w:pStyle w:val="TextoNormal"/>
      </w:pPr>
    </w:p>
    <w:p w:rsidR="0085709A" w:rsidRDefault="0085709A" w:rsidP="0085709A">
      <w:pPr>
        <w:pStyle w:val="TextoNormal"/>
      </w:pPr>
      <w:r>
        <w:t>Se reprocha al art. 124 de la Ley 18/2014 que retrotraiga sus efectos a 1 de enero de 2014, incrementando la carga tributaria de los contribuyentes de forma sorpresiva e inesperada y afectando así a la seguridad jurídica de los sujetos pasivos del tributo; para resolver esta impugnación debemos partir de la doctrina general acerca de la retroactividad, recordada recientemente en la STC 49/2015, de 5 de marzo, FJ 4, así como la específica en materia tributaria, resumida en las SSTC 182/1997, de 28 de octubre, [FJ 11 a)]; y 176/2011, de 8 de noviembre (FJ 5), con cita de muchas anteriores, de la que cabe extraer las siguientes ideas centrales:</w:t>
      </w:r>
    </w:p>
    <w:p w:rsidR="0085709A" w:rsidRDefault="0085709A" w:rsidP="0085709A">
      <w:pPr>
        <w:pStyle w:val="TextoNormal"/>
      </w:pPr>
    </w:p>
    <w:p w:rsidR="0085709A" w:rsidRDefault="0085709A" w:rsidP="0085709A">
      <w:pPr>
        <w:pStyle w:val="TextoNormal"/>
      </w:pPr>
      <w:r>
        <w:t>i) No hay un principio general que prohíba las normas retroactivas en nuestro ordenamiento (STC 49/2015, de 5 de marzo, FJ 4).</w:t>
      </w:r>
    </w:p>
    <w:p w:rsidR="0085709A" w:rsidRDefault="0085709A" w:rsidP="0085709A">
      <w:pPr>
        <w:pStyle w:val="TextoNormal"/>
      </w:pPr>
    </w:p>
    <w:p w:rsidR="0085709A" w:rsidRDefault="0085709A" w:rsidP="0085709A">
      <w:pPr>
        <w:pStyle w:val="TextoNormal"/>
      </w:pPr>
      <w:r>
        <w:t xml:space="preserve">ii) No existe tampoco una prohibición constitucional de legislación tributaria retroactiva. El límite expreso de la retroactividad in peius de las leyes que el art. 9.3 CE garantiza se circunscribe a las leyes ex post facto sancionadoras o restrictivas de derechos individuales, entre las que no se incluyen las normas fiscales tributarias, ya que éstas “no tienen por objeto </w:t>
      </w:r>
      <w:r>
        <w:lastRenderedPageBreak/>
        <w:t>una restricción de derechos individuales, sino que responden y tienen un fundamento propio en la medida en que son directa y obligada consecuencia del deber de contribuir al sostenimiento de los gastos públicos de acuerdo con la capacidad económica impuesto a todos los ciudadanos por el art. 31.1 de la Norma fundamental” [STC 182/1997, FJ 11 a), con cita, entre otras, de las SSTC 126/1987, de 16 de julio FJ 9 y 150/1990, de 4 de octubre, FJ 8].</w:t>
      </w:r>
    </w:p>
    <w:p w:rsidR="0085709A" w:rsidRDefault="0085709A" w:rsidP="0085709A">
      <w:pPr>
        <w:pStyle w:val="TextoNormal"/>
      </w:pPr>
    </w:p>
    <w:p w:rsidR="0085709A" w:rsidRDefault="0085709A" w:rsidP="0085709A">
      <w:pPr>
        <w:pStyle w:val="TextoNormal"/>
      </w:pPr>
      <w:r>
        <w:t>iii) El legislador dispone así de un amplio margen de discrecionalidad política para establecer normas tributarias retroactivas (STC 150/1990, FJ 8), entre otras consideraciones por la idea de que mantener la imposibilidad de toda retroactividad para las leyes fiscales podría hacer totalmente inviable una verdadera reforma fiscal (por todas, STC 173/1996, de 31 de octubre, FJ 3).</w:t>
      </w:r>
    </w:p>
    <w:p w:rsidR="0085709A" w:rsidRDefault="0085709A" w:rsidP="0085709A">
      <w:pPr>
        <w:pStyle w:val="TextoNormal"/>
      </w:pPr>
    </w:p>
    <w:p w:rsidR="0085709A" w:rsidRDefault="0085709A" w:rsidP="0085709A">
      <w:pPr>
        <w:pStyle w:val="TextoNormal"/>
      </w:pPr>
      <w:r>
        <w:t>iv) No obstante, aunque las normas tributarias no se hallen limitadas en cuanto tales por la prohibición de retroactividad establecida en el art. 9.3 CE, cuando tal efecto retroactivo se produce puede entrar en colisión con otros principios consagrados en la Constitución (STC 126/1987, FJ 9). Entre estos principios está el de seguridad jurídica, recogido en el mismo precepto constitucional y que, si bien no implica un derecho de los ciudadanos al mantenimiento de un determinado régimen fiscal,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182/1997, FJ 11 c); 150/1990, FJ 8].</w:t>
      </w:r>
    </w:p>
    <w:p w:rsidR="0085709A" w:rsidRDefault="0085709A" w:rsidP="0085709A">
      <w:pPr>
        <w:pStyle w:val="TextoNormal"/>
      </w:pPr>
    </w:p>
    <w:p w:rsidR="0085709A" w:rsidRDefault="0085709A" w:rsidP="0085709A">
      <w:pPr>
        <w:pStyle w:val="TextoNormal"/>
      </w:pPr>
      <w:r>
        <w:t>v) Para determinar cuándo una norma tributaria de carácter retroactivo vulnera la seguridad jurídica de los ciudadanos deben examinarse, por un lado, el grado de retroactividad de la norma cuestionada y, de otro, las circunstancias específicas que concurren en cada supuesto. A estos efectos, debe distinguirse entre la retroactividad auténtica o de grado máximo, y la retroactividad impropia o de grado medio:</w:t>
      </w:r>
    </w:p>
    <w:p w:rsidR="0085709A" w:rsidRDefault="0085709A" w:rsidP="0085709A">
      <w:pPr>
        <w:pStyle w:val="TextoNormal"/>
      </w:pPr>
    </w:p>
    <w:p w:rsidR="0085709A" w:rsidRDefault="0085709A" w:rsidP="0085709A">
      <w:pPr>
        <w:pStyle w:val="TextoNormal"/>
      </w:pPr>
      <w:r>
        <w:t>- La primera tiene lugar cuando la norma pretende anudar sus efectos a situaciones de hecho producidas con anterioridad a la propia ley y ya consumadas. En este caso “sólo exigencias cualificadas de interés general podrían imponer el sacrificio del principio de seguridad jurídica” [STC 182/1997, FJ 11 d)].</w:t>
      </w:r>
    </w:p>
    <w:p w:rsidR="0085709A" w:rsidRDefault="0085709A" w:rsidP="0085709A">
      <w:pPr>
        <w:pStyle w:val="TextoNormal"/>
      </w:pPr>
    </w:p>
    <w:p w:rsidR="0085709A" w:rsidRDefault="0085709A" w:rsidP="0085709A">
      <w:pPr>
        <w:pStyle w:val="TextoNormal"/>
      </w:pPr>
      <w:r>
        <w:t>- La segunda, denominada retroactividad de grado medio o impropia, tiene lugar cuando la norma incide sobre situaciones jurídicas actuales aún no concluidas. Cuando así suceda, “la licitud o ilicitud de la disposición dependerá de una ponderación de bienes llevada a cabo caso por caso que tenga en cuenta, de una parte, la seguridad jurídica y, de otra, los diversos imperativos que pueden conducir a una modificación del ordenamiento jurídico tributario, así como las circunstancias concretas que concurren en el caso, es decir, la finalidad de la medida y las circunstancias relativas a su grado de previsibilidad, su importancia cuantitativa, y otros factores similares” [STC 182/1997, FJ 11 d); con cita de las SSTC 126/1987, FFJJ 11 a 13; 197/1992, FJ 4, y 173/1996, FJ 3].</w:t>
      </w:r>
    </w:p>
    <w:p w:rsidR="0085709A" w:rsidRDefault="0085709A" w:rsidP="0085709A">
      <w:pPr>
        <w:pStyle w:val="TextoNormal"/>
      </w:pPr>
    </w:p>
    <w:p w:rsidR="0085709A" w:rsidRDefault="0085709A" w:rsidP="0085709A">
      <w:pPr>
        <w:pStyle w:val="TextoNormal"/>
      </w:pPr>
      <w:r w:rsidRPr="0085709A">
        <w:rPr>
          <w:rStyle w:val="NumeroAFNegritaCaracter"/>
        </w:rPr>
        <w:t>5</w:t>
      </w:r>
      <w:r>
        <w:t>. De acuerdo con la doctrina anterior, para determinar cuándo una norma tributaria de carácter retroactivo ha vulnerado el principio de seguridad jurídica, hay que analizar, de un lado, el grado de retroactividad de la norma cuestionada y, de otro, las circunstancias específicas que concurren en cada supuesto:</w:t>
      </w:r>
    </w:p>
    <w:p w:rsidR="0085709A" w:rsidRDefault="0085709A" w:rsidP="0085709A">
      <w:pPr>
        <w:pStyle w:val="TextoNormal"/>
      </w:pPr>
    </w:p>
    <w:p w:rsidR="0085709A" w:rsidRDefault="0085709A" w:rsidP="0085709A">
      <w:pPr>
        <w:pStyle w:val="TextoNormal"/>
      </w:pPr>
      <w:r>
        <w:t>a) El art. 124 de la Ley 18/2014, entró en vigor el mismo día de su publicación en el “Boletín Oficial del Estado”, en virtud de la disposición final quinta, publicación que tuvo lugar en el núm. 252, de 17 de octubre de 2014, si bien se indicaba en la norma que la misma habría de tener “efectos desde el 1 de enero de 2014”.</w:t>
      </w:r>
    </w:p>
    <w:p w:rsidR="0085709A" w:rsidRDefault="0085709A" w:rsidP="0085709A">
      <w:pPr>
        <w:pStyle w:val="TextoNormal"/>
      </w:pPr>
    </w:p>
    <w:p w:rsidR="0085709A" w:rsidRDefault="0085709A" w:rsidP="0085709A">
      <w:pPr>
        <w:pStyle w:val="TextoNormal"/>
      </w:pPr>
      <w:r>
        <w:t>Para determinar en este caso el grado de retroactividad debe recordarse que el impuesto sobre los depósitos en las entidades de crédito es directo, grava el mantenimiento de fondos de terceros por parte de las entidades de crédito (art. 19.1 y 3 Ley 16/2012) y tiene carácter periódico, abarcando el período impositivo el año natural, si bien se prevén períodos impositivos más cortos cuando se inicie la actividad en otro momento del año distinto del día 1 de enero o bien la entidad o sucursal se extinga o cese en su actividad en territorio español en un día distinto al 31 de diciembre (art. 19.5 Ley 16/2012).</w:t>
      </w:r>
    </w:p>
    <w:p w:rsidR="0085709A" w:rsidRDefault="0085709A" w:rsidP="0085709A">
      <w:pPr>
        <w:pStyle w:val="TextoNormal"/>
      </w:pPr>
    </w:p>
    <w:p w:rsidR="0085709A" w:rsidRDefault="0085709A" w:rsidP="0085709A">
      <w:pPr>
        <w:pStyle w:val="TextoNormal"/>
      </w:pPr>
      <w:r>
        <w:t>De acuerdo con las normas de autoliquidación del impuesto (art. 19.9 de la Ley 16/2012), “[l]os contribuyentes deberán presentar la autoliquidación del impuesto en el mes de julio del año siguiente al del periodo impositivo”, esto es, la primera liquidación del impuesto tendrá lugar en el mes de julio de 2015, y corresponderá al ejercicio de 2014.</w:t>
      </w:r>
    </w:p>
    <w:p w:rsidR="0085709A" w:rsidRDefault="0085709A" w:rsidP="0085709A">
      <w:pPr>
        <w:pStyle w:val="TextoNormal"/>
      </w:pPr>
    </w:p>
    <w:p w:rsidR="0085709A" w:rsidRDefault="0085709A" w:rsidP="0085709A">
      <w:pPr>
        <w:pStyle w:val="TextoNormal"/>
      </w:pPr>
      <w:r>
        <w:t>Los contribuyentes del impuesto deben, además, realizar un pago a cuenta con carácter previo, por importe del 50 por 100 de la cuota. La regla general es que tal pago a cuenta se efectúe en el mes de julio del ejercicio en curso, si bien para el ejercicio de 2014 se establece, como excepción, que tal pago a cuenta se presente en el mes de diciembre de 2014 (art. 19.10 de la Ley 16/2012).</w:t>
      </w:r>
    </w:p>
    <w:p w:rsidR="0085709A" w:rsidRDefault="0085709A" w:rsidP="0085709A">
      <w:pPr>
        <w:pStyle w:val="TextoNormal"/>
      </w:pPr>
    </w:p>
    <w:p w:rsidR="0085709A" w:rsidRDefault="0085709A" w:rsidP="0085709A">
      <w:pPr>
        <w:pStyle w:val="TextoNormal"/>
      </w:pPr>
      <w:r>
        <w:t>Con estos datos, podemos ya rechazar que estemos ante un supuesto de retroactividad plena o auténtica, a diferencia, entre otros, del caso enjuiciado en la STC 176/2011, ya que el nuevo tipo de gravamen será de aplicación a deudas impositivas que aún no se hayan devengado y que, además, hayan de satisfacerse por los sujetos pasivos junto con la presentación de la autoliquidación del tributo que deberá tener lugar en el mes de julio del año siguiente, sin perjuicio del ingreso a cuenta.</w:t>
      </w:r>
    </w:p>
    <w:p w:rsidR="0085709A" w:rsidRDefault="0085709A" w:rsidP="0085709A">
      <w:pPr>
        <w:pStyle w:val="TextoNormal"/>
      </w:pPr>
    </w:p>
    <w:p w:rsidR="0085709A" w:rsidRDefault="0085709A" w:rsidP="0085709A">
      <w:pPr>
        <w:pStyle w:val="TextoNormal"/>
      </w:pPr>
      <w:r>
        <w:t>b) Pues bien, no siendo un caso de retroactividad plena, sí es cierto que la seguridad jurídica de los sujetos pasivos del impuesto sobre depósitos ha quedado afectada, lo que no implica automáticamente, como hemos reiterado, que deba ser declarada inconstitucional (SSTC 182/1997, FJ 13; 126/1987, FJ 13, STC 197/1992, FFJJ 4 y 5; y STC 173/1996, FJ 5), ya que, como concluimos en la citada STC 182/1997 en relación con el impuesto sobre la renta de las personas físicas, también tributo periódico como el impuesto sobre los depósitos, “la naturaleza periódica del tributo afectado y la configuración de su hecho imponible no impiden, en principio, que el legislador pueda modificar algunos aspectos del mismo por medio de disposiciones legales dictadas precisamente durante el período impositivo en el que deben surtir efectos. Insistimos una vez más en que la seguridad jurídica no es un valor absoluto, pues ello daría lugar a la petrificación del ordenamiento jurídico, ni puede entenderse tampoco como un derecho de los ciudadanos … al mantenimiento de un determinado régimen fiscal” (STC 182/1997, FJ 13).</w:t>
      </w:r>
    </w:p>
    <w:p w:rsidR="0085709A" w:rsidRDefault="0085709A" w:rsidP="0085709A">
      <w:pPr>
        <w:pStyle w:val="TextoNormal"/>
      </w:pPr>
    </w:p>
    <w:p w:rsidR="0085709A" w:rsidRDefault="0085709A" w:rsidP="0085709A">
      <w:pPr>
        <w:pStyle w:val="TextoNormal"/>
      </w:pPr>
      <w:r>
        <w:lastRenderedPageBreak/>
        <w:t>Para valorar la afectación a la seguridad jurídica deben analizarse, entre otras circunstancias, la previsibilidad de la medida, así como las razones de orden público que aconsejaron su carácter retroactivo.</w:t>
      </w:r>
    </w:p>
    <w:p w:rsidR="0085709A" w:rsidRDefault="0085709A" w:rsidP="0085709A">
      <w:pPr>
        <w:pStyle w:val="TextoNormal"/>
      </w:pPr>
    </w:p>
    <w:p w:rsidR="0085709A" w:rsidRDefault="0085709A" w:rsidP="0085709A">
      <w:pPr>
        <w:pStyle w:val="TextoNormal"/>
      </w:pPr>
      <w:r>
        <w:t>En cuanto a la previsibilidad de la medida debemos, antes que nada, recordar que el establecimiento del impuesto tuvo lugar mediante el citado art. 19 de la Ley 16/2012, que si bien estableció un tipo de gravamen del 0 por 100, sentaba sin embargo la estructura del impuesto, estableciendo además una habilitación, en el art. 19.11, a que mediante ley de presupuestos, se pudiera modificar el tipo de gravamen y el pago a cuenta. Por tanto, no era totalmente imprevisible, en principio, un eventual establecimiento de tipos de gravamen, máxime cuando ya existían tributos de esta naturaleza en algunas Comunidades Autónomas, por lo que el gravamen de esta fuente de renta no podía ser ya enteramente sorpresivo.</w:t>
      </w:r>
    </w:p>
    <w:p w:rsidR="0085709A" w:rsidRDefault="0085709A" w:rsidP="0085709A">
      <w:pPr>
        <w:pStyle w:val="TextoNormal"/>
      </w:pPr>
    </w:p>
    <w:p w:rsidR="0085709A" w:rsidRDefault="0085709A" w:rsidP="0085709A">
      <w:pPr>
        <w:pStyle w:val="TextoNormal"/>
      </w:pPr>
      <w:r>
        <w:t>A ello hay que añadir, tal y como concluimos en la citada STC 182/1997 [FJ 13 A)], que, en todo caso, la entrada en vigor el día 5 de julio de 2014 del Real Decreto-ley 8/2014, de 4 de julio anterior (“BOE” núm. 163, de 5 de julio de 2014), que ha dado continuidad a la regulación de este impuesto, incluyendo el tipo de gravamen del 0’03 por 100 en su art. 124, ha venido, a los efectos que ahora interesan, a corroborar de forma clara la intención del legislador estatal de gravar los depósitos bancarios, de tal manera que, desde, al menos, tres meses antes de la entrada en vigor del nuevo art. 124 de la Ley 18/2014, de 15 de octubre, que incluye una regulación semejante a la de la anterior norma legal, tanto las Comunidades Autónomas, como los contribuyentes destinatarios de aquélla, las entidades bancarias, han tenido conocimiento, no tanto ya de la existencia del impuesto estatal, cuya regulación inicial se remonta al año 2012, cuanto más del tipo de gravamen fijado por el legislador estatal, por lo que han tenido tiempo para adecuar sus previsiones a la precitada normativa.</w:t>
      </w:r>
    </w:p>
    <w:p w:rsidR="0085709A" w:rsidRDefault="0085709A" w:rsidP="0085709A">
      <w:pPr>
        <w:pStyle w:val="TextoNormal"/>
      </w:pPr>
    </w:p>
    <w:p w:rsidR="0085709A" w:rsidRDefault="0085709A" w:rsidP="0085709A">
      <w:pPr>
        <w:pStyle w:val="TextoNormal"/>
      </w:pPr>
      <w:r>
        <w:t>En definitiva, la sucesiva regulación de este impuesto, recogida hasta en tres disposiciones con rango de ley dictadas en un período de tiempo próximo a los dos años, ha permitido conocer con antelación a la Comunidad Autónoma recurrente, el Principado de Asturias, y también a las entidades financieras, sujetos pasivos del impuesto sobre los depósitos, de la existencia, alcance y contenido de esta modalidad de tributo, habiendo tenido aquéllas la oportunidad de ajustar su propio comportamiento económico a las previsiones legislativas del referido impuesto.</w:t>
      </w:r>
    </w:p>
    <w:p w:rsidR="0085709A" w:rsidRDefault="0085709A" w:rsidP="0085709A">
      <w:pPr>
        <w:pStyle w:val="TextoNormal"/>
      </w:pPr>
    </w:p>
    <w:p w:rsidR="0085709A" w:rsidRDefault="0085709A" w:rsidP="0085709A">
      <w:pPr>
        <w:pStyle w:val="TextoNormal"/>
      </w:pPr>
      <w:r>
        <w:t>A lo expuesto habría que añadir que, en nada afecta a esta conclusión, la circunstancia de que el Real Decreto-ley 8/2014 haya sido impugnado por medio de dos recursos de inconstitucionalidad que aún penden de su resolución en este Tribunal, pues, como se ha indicado anteriormente, esta disposición legal ha adquirido vigencia desde el mismo día de su publicación en el “BOE” (5 de julio de 2014, aunque su aplicación y eficacia se retrotrajera al 1 de enero de 2014). Además, ha de añadirse a lo expuesto que la propia entrada en vigor de una norma con rango de ley, con independencia de que sea cuestionada en su constitucionalidad, suscita ya un efecto-anuncio entre los destinatarios de aquella, que, a partir del conocimiento de su existencia y regulación, podrán ir adecuando sus previsiones económicas a las nuevas obligaciones tributarias, lo que en el caso de autos, aún adquiere mayor intensidad en tal previsión, habida cuenta de que algunas Comunidades Autónomas, entre ellas la ahora recurrente, habían regulado también esta modalidad tributaria, que en el caso del Principado de Asturias lo ha sido desde el mes de diciembre de 2012.</w:t>
      </w:r>
    </w:p>
    <w:p w:rsidR="0085709A" w:rsidRDefault="0085709A" w:rsidP="0085709A">
      <w:pPr>
        <w:pStyle w:val="TextoNormal"/>
      </w:pPr>
    </w:p>
    <w:p w:rsidR="0085709A" w:rsidRDefault="0085709A" w:rsidP="0085709A">
      <w:pPr>
        <w:pStyle w:val="TextoNormal"/>
      </w:pPr>
      <w:r>
        <w:lastRenderedPageBreak/>
        <w:t>Por último, y a mayor abundamiento de lo anterior, es constatable en este caso una exigencia de interés público consistente en dotar a las Comunidades Autónomas de una fuente adicional de ingresos, no sólo para compensar la previsible pérdida de recaudación cuando se eliminen efectivamente impuestos similares, sino también para evitar diferencias entre las diferentes haciendas territoriales.</w:t>
      </w:r>
    </w:p>
    <w:p w:rsidR="0085709A" w:rsidRDefault="0085709A" w:rsidP="0085709A">
      <w:pPr>
        <w:pStyle w:val="TextoNormal"/>
      </w:pPr>
    </w:p>
    <w:p w:rsidR="0085709A" w:rsidRDefault="0085709A" w:rsidP="0085709A">
      <w:pPr>
        <w:pStyle w:val="TextoNormal"/>
      </w:pPr>
      <w:r>
        <w:t>En consecuencia, de cuanto antecede debe concluirse que, atendidas las circunstancias concretas del presente caso —a saber, el grado de retroactividad de la norma impugnada, su carácter previsible atendidas las circunstancias y la finalidad de la misma— el art. 124 de la Ley 18/2014 no ha vulnerado el principio de seguridad jurídica consagrado en el art. 9.3 CE, con lo que queda desestimado este motivo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6</w:t>
      </w:r>
      <w:r>
        <w:t>. El último motivo de inconstitucionalidad se refiere a la vulneración de los principios de estabilidad presupuestaria (art. 135 CE) y de lealtad institucional [art. 2.1 g) LOFCA]. Se alega que la aprobación a mitad del ejercicio presupuestario del Real Decreto-ley 8/2014 y de la Ley 18/2014, que disponen para el impuesto estatal tipos de gravamen del 0,03 por 100 (frente a los tipos de entre el 0,3 y el 0,5 por 100 del impuesto autonómico) y sin establecer mecanismo de compensación alguno, además de los efectos retroactivos otorgados al tributo desde el 1 de enero del mismo ejercicio, suponen una importante disminución de ingresos para la hacienda autonómica, que había realizado sus previsiones presupuestarias en la confianza de la normativa autonómica vigente, esto es, teniendo en cuenta la recaudación que se habría de obtener con su impuesto autonómico sobre los depósitos, establecido en el art. 41 de la Ley de la Junta General del Principado de Asturias 3/2012, de 28 de diciembre.</w:t>
      </w:r>
    </w:p>
    <w:p w:rsidR="0085709A" w:rsidRDefault="0085709A" w:rsidP="0085709A">
      <w:pPr>
        <w:pStyle w:val="TextoNormal"/>
      </w:pPr>
    </w:p>
    <w:p w:rsidR="0085709A" w:rsidRDefault="0085709A" w:rsidP="0085709A">
      <w:pPr>
        <w:pStyle w:val="TextoNormal"/>
      </w:pPr>
      <w:r>
        <w:t>Para responder a este motivo, debemos recordar que el art. 135 CE consagra el principio de estabilidad presupuestaria, “mandato constitucional que, como tal, vincula a todos los poderes públicos” [SSTC 157/2011, de 18 de octubre, FJ 3; 215/2014, de 18 de diciembre, FJ 6 a)], y que “obliga, con carácter general, a todas las Administraciones públicas, a que adecúen sus actuaciones al principio de estabilidad (art. 135.1 CE), exigiéndoles que no incurran en déficit estructural fuera de los márgenes autorizados por la Unión Europea (art. 135.2 CE) y a que no superen los límites de déficit y de endeudamiento fijados en cada momento (art. 135.4 CE)” [STC 215/2014, FJ 7 a)].</w:t>
      </w:r>
    </w:p>
    <w:p w:rsidR="0085709A" w:rsidRDefault="0085709A" w:rsidP="0085709A">
      <w:pPr>
        <w:pStyle w:val="TextoNormal"/>
      </w:pPr>
    </w:p>
    <w:p w:rsidR="0085709A" w:rsidRDefault="0085709A" w:rsidP="0085709A">
      <w:pPr>
        <w:pStyle w:val="TextoNormal"/>
      </w:pPr>
      <w:r>
        <w:t xml:space="preserve">Obviamente, este principio guarda directa conexión con el propio sistema de ingresos y gastos públicos, y en concreto, con la propia elaboración de los presupuestos, de suerte que tanto la previsión de ingresos como la autorización de gasto previstos en la correspondiente ley deben responder a criterios objetivos. No es así enteramente imposible que contribuya a un incumplimiento del principio de estabilidad una norma de presupuestos que estime los ingresos previsibles sin atender a criterios racionales, como lo haría la misma norma si no incluyera todos los gastos del ejercicio al que se refiere el presupuesto. Asimismo, no es descartable que una eventual disminución de los ingresos previstos en el presupuesto de un ente público pueda alterar su resultado, coadyuvando, caso de no incrementar otros ingresos o no reducir los gastos del ejercicio en la misma proporción, a que se incremente el déficit, tal y como sucederá por otro lado con cualquier disminución de ingresos o incremento de gasto durante la ejecución del mismo. Ahora bien, lo anterior no significa que toda eventual </w:t>
      </w:r>
      <w:r>
        <w:lastRenderedPageBreak/>
        <w:t>variación en la previsión de los ingresos implique, directamente y sin solución de continuidad, una vulneración del principio de estabilidad presupuestaria consagrado en el art. 135 CE.</w:t>
      </w:r>
    </w:p>
    <w:p w:rsidR="0085709A" w:rsidRDefault="0085709A" w:rsidP="0085709A">
      <w:pPr>
        <w:pStyle w:val="TextoNormal"/>
      </w:pPr>
    </w:p>
    <w:p w:rsidR="0085709A" w:rsidRDefault="0085709A" w:rsidP="0085709A">
      <w:pPr>
        <w:pStyle w:val="TextoNormal"/>
      </w:pPr>
      <w:r>
        <w:t>Primero, porque los estados de ingresos en el presupuesto tienen la función de mera previsión (SSTC 3/2003, de 16 de enero, FJ 4; y 217/2013, de 19 de diciembre, FJ 2).</w:t>
      </w:r>
    </w:p>
    <w:p w:rsidR="0085709A" w:rsidRDefault="0085709A" w:rsidP="0085709A">
      <w:pPr>
        <w:pStyle w:val="TextoNormal"/>
      </w:pPr>
    </w:p>
    <w:p w:rsidR="0085709A" w:rsidRDefault="0085709A" w:rsidP="0085709A">
      <w:pPr>
        <w:pStyle w:val="TextoNormal"/>
      </w:pPr>
      <w:r>
        <w:t>Pero sobre todo, en segundo lugar, porque lo relevante en este caso es que la norma estatal impugnada incide, en su caso, sobre una previsión de ingresos presupuestarios que se realiza a pesar de que esta Comunidad Autónoma había establecido su impuesto con posterioridad al 1 de diciembre de 2012, cuando era esperable que quedara excluida de la compensación, en virtud del art. 19.13 de la Ley 16/2012.</w:t>
      </w:r>
    </w:p>
    <w:p w:rsidR="0085709A" w:rsidRDefault="0085709A" w:rsidP="0085709A">
      <w:pPr>
        <w:pStyle w:val="TextoNormal"/>
      </w:pPr>
    </w:p>
    <w:p w:rsidR="0085709A" w:rsidRDefault="0085709A" w:rsidP="0085709A">
      <w:pPr>
        <w:pStyle w:val="TextoNormal"/>
      </w:pPr>
      <w:r>
        <w:t>Por las mismas razones, tampoco puede ser atendida la queja relativa a la lealtad institucional, que la demanda vincula a la infracción del art. 135 CE así como a la del art. 6.2 LOFCA, que también hemos descartado.</w:t>
      </w:r>
    </w:p>
    <w:p w:rsidR="0085709A" w:rsidRDefault="0085709A" w:rsidP="0085709A">
      <w:pPr>
        <w:pStyle w:val="TextoNormal"/>
      </w:pPr>
    </w:p>
    <w:p w:rsidR="0085709A" w:rsidRDefault="0085709A" w:rsidP="0085709A">
      <w:pPr>
        <w:pStyle w:val="TextoNormal"/>
      </w:pPr>
      <w:r>
        <w:t>A mayor abundamiento, la norma estatal ha optado por atribuir la totalidad de la recaudación del impuesto estatal a las Comunidades Autónomas, si bien reservándose éste la gestión de dicho impuesto, lo que implicará la asunción del coste de dicha gestión. Además, la percepción de esta recaudación no implicará la correspondiente disminución de las cuantías a percibir por el fondo de suficiencia, como derivaría de la aplicación del vigente sistema de financiación autonómica, regulado en la Ley 22/2009, tal y como expusimos en nuestra STC 76/2014, de 8 de mayo, cuyo FJ 5 debe darse aquí por reproducido. En efecto, a diferencia de lo que sucede cuando se establecen nuevas fuentes de ingresos para las Comunidades Autónomas, en este caso, tal disminución del fondo no se producirá, en virtud de la disposición transitoria única de la norma impugnada, que arbitra el denominado “Régimen transitorio del impuesto sobre los depósitos en las entidades de crédito en relación con las Comunidades Autónomas”, disponiendo que “[e]n tanto no se produzcan las modificaciones del sistema de financiación necesarias para su configuración como tributo cedido a las Comunidades Autónomas, el Estado hará llegar a estas, previos los acuerdos en los marcos institucionales competentes, el importe del impuesto sobre los depósitos en las entidades de crédito acordado con las Comunidades Autónomas, según lo establecido en el apartado catorce del art. 19 de esta Ley, sin que resulte de aplicación lo dispuesto en el art. 21 de la Ley 22/2009, de 18 de diciembre, por la que se regula el sistema de financiación de las Comunidades Autónomas de régimen común y ciudades con Estatuto de Autonomía y se modifican determinadas normas tributarias, sobre revisión del fondo de suficiencia global”.</w:t>
      </w:r>
    </w:p>
    <w:p w:rsidR="0085709A" w:rsidRDefault="0085709A" w:rsidP="0085709A">
      <w:pPr>
        <w:pStyle w:val="TextoNormal"/>
      </w:pPr>
    </w:p>
    <w:p w:rsidR="0085709A" w:rsidRDefault="0085709A" w:rsidP="0085709A">
      <w:pPr>
        <w:pStyle w:val="TextoNormal"/>
      </w:pPr>
      <w:r>
        <w:t xml:space="preserve">No es tarea de este Tribunal determinar cuál habría sido la forma más adecuada de coordinar los hechos imponibles gravados por el impuesto sobre depósitos, ni mucho menos cuál debería haber sido el método más idóneo para compensar las eventuales pérdidas de recaudación, del mismo modo que hemos afirmado, con carácter general, que tampoco es tarea de esta jurisdicción pronunciarse acerca de “cuál sea el sistema de financiación de las Comunidades Autónomas más acertado (ya desde la STC 179/1985, de 19 de diciembre, FJ 3; doctrina reiterada en las SSTC 68/1996, de 4 de abril, FJ 2; 13/2007, FJ 3; o 204/2011, FJ 6, entre muchas otras), pues nuestra función debe ceñirse, como es lógico, a decidir si las normas impugnadas en cada proceso exceden de lo constitucionalmente admisible, pero sin </w:t>
      </w:r>
      <w:r>
        <w:lastRenderedPageBreak/>
        <w:t>que ello pueda extenderse a determinar cuál haya de ser el sistema más adecuado para la financiación de las Comunidades Autónomas o de coordinación de las actividades financieras entre los distintos entes territoriales.” [STC 76/2014, de 8 de mayo, FJ 4 c)].</w:t>
      </w:r>
    </w:p>
    <w:p w:rsidR="0085709A" w:rsidRDefault="0085709A" w:rsidP="0085709A">
      <w:pPr>
        <w:pStyle w:val="TextoNormal"/>
      </w:pPr>
    </w:p>
    <w:p w:rsidR="0085709A" w:rsidRDefault="0085709A" w:rsidP="0085709A">
      <w:pPr>
        <w:pStyle w:val="TextoNormal"/>
      </w:pPr>
      <w:r>
        <w:t>En este caso, y con los argumentos expuestos, debe descartarse la vulneración del principio de lealtad institucional que propugna el recurrente, lo que conduce a desestimar este último motivo de inconstitucionalidad.</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inconstitucionalidad interpuesto por el Principado de Asturias contra el art. 124 de la Ley 18/2014, de 15 de octubre, de aprobación de medidas urgentes para el crecimiento, la competitividad y la eficiencia.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veintiséis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6" w:name="SENTENCIA_2015_103"/>
      <w:r>
        <w:lastRenderedPageBreak/>
        <w:t>SENTENCIA 103/2015, de 28 de mayo de 2015</w:t>
      </w:r>
    </w:p>
    <w:bookmarkEnd w:id="106"/>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ECLI:ES:TC:2015:103</w:t>
      </w:r>
    </w:p>
    <w:p w:rsidR="0085709A" w:rsidRDefault="0085709A" w:rsidP="0085709A">
      <w:pPr>
        <w:pStyle w:val="TextoNormalCentrado"/>
      </w:pPr>
    </w:p>
    <w:p w:rsidR="0085709A" w:rsidRDefault="0085709A" w:rsidP="0085709A">
      <w:pPr>
        <w:pStyle w:val="SntesisDescriptiva"/>
      </w:pPr>
      <w:r>
        <w:t>Recurso de inconstitucionalidad 1895-2012. Interpuesto por más de cincuenta Senadores del Grupo Parlamentario Socialista en relación con el artículo 5 de la Ley de la Asamblea de Madrid 6/2011, de 28 de diciembre, de medidas fiscales y administrativas.</w:t>
      </w:r>
    </w:p>
    <w:p w:rsidR="0085709A" w:rsidRDefault="0085709A" w:rsidP="0085709A">
      <w:pPr>
        <w:pStyle w:val="SntesisDescriptiva"/>
      </w:pPr>
    </w:p>
    <w:p w:rsidR="0085709A" w:rsidRDefault="0085709A" w:rsidP="0085709A">
      <w:pPr>
        <w:pStyle w:val="SntesisAnaltica"/>
      </w:pPr>
      <w:r>
        <w:t>Principios de irretroactividad de las normas restrictivas de derechos individuales y de seguridad jurídica, competencias sobre contratación pública y concesiones y en materia de procedimiento administrativo: constitucionalidad del precepto legal autonómico que modifica el régimen jurídico del Canal de Isabel II.</w:t>
      </w:r>
    </w:p>
    <w:p w:rsidR="0085709A" w:rsidRDefault="0085709A" w:rsidP="0085709A">
      <w:pPr>
        <w:pStyle w:val="SntesisAnaltica"/>
      </w:pPr>
    </w:p>
    <w:p w:rsidR="0085709A" w:rsidRDefault="0085709A" w:rsidP="0085709A">
      <w:pPr>
        <w:pStyle w:val="Extracto"/>
      </w:pPr>
      <w:r>
        <w:t>1.</w:t>
      </w:r>
      <w:r>
        <w:tab/>
        <w:t>Se rechaza que el precepto impugnado haya vulnerado la autonomía local, dado que cuando los municipios ejercitan su capacidad de decisión en aras a satisfacer los intereses que tienen encomendados y optan por un sistema de gestión de sus servicios públicos que requiere el uso por un tercero de las infraestructuras municipales, no se produce una lesión de la autonomía local sino, antes al contrario, ello es el resultado necesario de su ejercicio [FJ 10].</w:t>
      </w:r>
    </w:p>
    <w:p w:rsidR="0085709A" w:rsidRDefault="0085709A" w:rsidP="0085709A">
      <w:pPr>
        <w:pStyle w:val="Extracto"/>
      </w:pPr>
    </w:p>
    <w:p w:rsidR="0085709A" w:rsidRDefault="0085709A" w:rsidP="0085709A">
      <w:pPr>
        <w:pStyle w:val="Extracto"/>
      </w:pPr>
      <w:r>
        <w:t>2.</w:t>
      </w:r>
      <w:r>
        <w:tab/>
        <w:t>La autonomía de los entes locales va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en definitiva, el ejercicio de la autonomía constitucionalmente reconocido en los arts. 137, 140 y 141 CE (STC 104/2000) [FJ 10].</w:t>
      </w:r>
    </w:p>
    <w:p w:rsidR="0085709A" w:rsidRDefault="0085709A" w:rsidP="0085709A">
      <w:pPr>
        <w:pStyle w:val="Extracto"/>
      </w:pPr>
    </w:p>
    <w:p w:rsidR="0085709A" w:rsidRDefault="0085709A" w:rsidP="0085709A">
      <w:pPr>
        <w:pStyle w:val="Extracto"/>
      </w:pPr>
      <w:r>
        <w:t>3.</w:t>
      </w:r>
      <w:r>
        <w:tab/>
        <w:t>El examen de las impugnaciones debe partir de los argumentos contenidos en la demanda, pues la presunción de constitucionalidad de las normas con rango de ley no puede desvirtuarse sin más, prescindiendo de una razón suficientemente (STC 111/2014) [FJ 2].</w:t>
      </w:r>
    </w:p>
    <w:p w:rsidR="0085709A" w:rsidRDefault="0085709A" w:rsidP="0085709A">
      <w:pPr>
        <w:pStyle w:val="Extracto"/>
      </w:pPr>
    </w:p>
    <w:p w:rsidR="0085709A" w:rsidRDefault="0085709A" w:rsidP="0085709A">
      <w:pPr>
        <w:pStyle w:val="Extracto"/>
      </w:pPr>
      <w:r>
        <w:t>4.</w:t>
      </w:r>
      <w:r>
        <w:tab/>
        <w:t>No basta, la mera invocación formal en la demanda de los preceptos de cuya constitucionalidad se duda o incluso la existencia en la misma de una solicitud expresa de su declaración de inconstitucionalidad, para que este Tribunal deba pronunciarse sobre todos y cada uno de ellos; además, es preciso que en el cuerpo del recurso se contenga la argumentación específica o razonamientos que fundamenten la presunta contradicción de éstos con la Norma fundamental (STC 24/2013) [FJ 2].</w:t>
      </w:r>
    </w:p>
    <w:p w:rsidR="0085709A" w:rsidRDefault="0085709A" w:rsidP="0085709A">
      <w:pPr>
        <w:pStyle w:val="Extracto"/>
      </w:pPr>
    </w:p>
    <w:p w:rsidR="0085709A" w:rsidRDefault="0085709A" w:rsidP="0085709A">
      <w:pPr>
        <w:pStyle w:val="Extracto"/>
      </w:pPr>
      <w:r>
        <w:t>5.</w:t>
      </w:r>
      <w:r>
        <w:tab/>
        <w:t>Una vez constituida la sociedad y previa autorización por Acuerdo del Consejo de Gobierno, el Canal de Isabel II, en el marco de las previsiones contenidas en la legislación básica del Estado en materia de contratos públicos, llevará a cabo la capitalización de la sociedad que mantendrá, en los términos establecidos en el contrato-programa, la prestación de los servicios de abastecimiento, saneamiento y reutilización de agua que, por cualquier título, corresponden al Canal de Isabel II [FJ 3].</w:t>
      </w:r>
    </w:p>
    <w:p w:rsidR="0085709A" w:rsidRDefault="0085709A" w:rsidP="0085709A">
      <w:pPr>
        <w:pStyle w:val="Extracto"/>
      </w:pPr>
    </w:p>
    <w:p w:rsidR="0085709A" w:rsidRDefault="0085709A" w:rsidP="0085709A">
      <w:pPr>
        <w:pStyle w:val="Extracto"/>
      </w:pPr>
      <w:r>
        <w:t>6.</w:t>
      </w:r>
      <w:r>
        <w:tab/>
        <w:t>El proceso de capitalización del Canal de Isabel II, que se desarrollará en las fases que se determinen en el Acuerdo del Consejo de Gobierno que lo autorice, podrá implicar la enajenación de hasta un máximo del 49 por 100 del capital de la sociedad a operadores económicos y ciudadanos y se ajustará a los principios de igualdad de trato, publicidad, transparencia, objetividad y concurrencia [FJ 3].</w:t>
      </w:r>
    </w:p>
    <w:p w:rsidR="0085709A" w:rsidRDefault="0085709A" w:rsidP="0085709A">
      <w:pPr>
        <w:pStyle w:val="Extracto"/>
      </w:pPr>
    </w:p>
    <w:p w:rsidR="0085709A" w:rsidRDefault="0085709A" w:rsidP="0085709A">
      <w:pPr>
        <w:pStyle w:val="Extracto"/>
      </w:pPr>
      <w:r>
        <w:t>7.</w:t>
      </w:r>
      <w:r>
        <w:tab/>
        <w:t>Para garantizar la generalidad y estabilidad consustanciales a los aspectos básicos de una determinada materia, éstos deben establecerse mediante ley formal votada en Cortes, aunque, como excepción, quepa admitir que, en ciertas circunstancias, el Gobierno pueda regularlos por Real Decreto, esto es, cuando el reglamento resulta complemento indispensable para asegurar el mínimo común denominador establecido en dichas normas legales básicas (STC 161/2014) [FJ 3].</w:t>
      </w:r>
    </w:p>
    <w:p w:rsidR="0085709A" w:rsidRDefault="0085709A" w:rsidP="0085709A">
      <w:pPr>
        <w:pStyle w:val="Extracto"/>
      </w:pPr>
    </w:p>
    <w:p w:rsidR="0085709A" w:rsidRDefault="0085709A" w:rsidP="0085709A">
      <w:pPr>
        <w:pStyle w:val="Extracto"/>
      </w:pPr>
      <w:r>
        <w:t>8.</w:t>
      </w:r>
      <w:r>
        <w:tab/>
        <w:t>El art. 9.3 CE no contiene una prohibición absoluta de retroactividad que conduciría a situaciones congeladoras del ordenamiento contrarias al art. 9.2 CE, ni impide que las leyes puedan afectar a derechos e intereses derivados de situaciones jurídicas que siguen produciendo efectos, pues no hay retroactividad cuando una norma regula pro futuro situaciones jurídicas creadas con anterioridad a su entrada en vigor o cuyos efectos no se han consumado, ya que el legislador puede variar ex nunc el régimen jurídico preexistente de los derechos individuales, siempre que se ajuste a las restantes exigencias de la Constitución (STC 126/1987, 227/1988) [FJ 9].</w:t>
      </w:r>
    </w:p>
    <w:p w:rsidR="0085709A" w:rsidRDefault="0085709A" w:rsidP="0085709A">
      <w:pPr>
        <w:pStyle w:val="Extracto"/>
      </w:pPr>
    </w:p>
    <w:p w:rsidR="0085709A" w:rsidRDefault="0085709A" w:rsidP="0085709A">
      <w:pPr>
        <w:pStyle w:val="Extracto"/>
      </w:pPr>
      <w:r>
        <w:t>9.</w:t>
      </w:r>
      <w:r>
        <w:tab/>
        <w:t>En relación con la vulneración del principio de seguridad jurídica, que implica que el legislador debe procurar que los operadores jurídicos y ciudadanos sepan a qué atenerse, se hace preciso huir de provocar situaciones confusas y perplejidades difícilmente salvables respecto de la previsibilidad de cuál sea el Derecho aplicable y las consecuencias derivadas del mismo (STC 46/1990) [FJ 9].</w:t>
      </w:r>
    </w:p>
    <w:p w:rsidR="0085709A" w:rsidRDefault="0085709A" w:rsidP="0085709A">
      <w:pPr>
        <w:pStyle w:val="Extracto"/>
      </w:pPr>
    </w:p>
    <w:p w:rsidR="0085709A" w:rsidRDefault="0085709A" w:rsidP="0085709A">
      <w:pPr>
        <w:pStyle w:val="Extracto"/>
      </w:pPr>
      <w:r>
        <w:t>10.</w:t>
      </w:r>
      <w:r>
        <w:tab/>
        <w:t>Se descarta lesión del principio de seguridad jurídica, derivada de que la infracción de la normativa estatal induce a confusión sobre la norma a aplicar, la estatal o la autonómica, no sólo porque no existe esta contradicción, sino, además, porque la tesis que sostiene la demanda conduce a la negación de las bases del sistema constitucional de distribución de competencias, pues la sola atribución de competencias legislativas a las Comunidades Autónomas vulneraría, de acuerdo con su planteamiento, el principio de seguridad jurídica (STC 84/2015) [FJ 9].</w:t>
      </w:r>
    </w:p>
    <w:p w:rsidR="0085709A" w:rsidRDefault="0085709A" w:rsidP="0085709A">
      <w:pPr>
        <w:pStyle w:val="Extracto"/>
      </w:pPr>
    </w:p>
    <w:p w:rsidR="0085709A" w:rsidRDefault="0085709A" w:rsidP="0085709A">
      <w:pPr>
        <w:pStyle w:val="Extracto"/>
      </w:pPr>
      <w:r>
        <w:t>11.</w:t>
      </w:r>
      <w:r>
        <w:tab/>
        <w:t>El Derecho europeo no integra, en virtud del art. 96.1 CE, el canon de constitucionalidad bajo el que han de examinarse las leyes, de manera que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 (STC 28/1991)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 xml:space="preserve">El Pleno del Tribunal Constitucional, compuesto por don Francisco Pérez de los Cobos Orihuel, Presidente, doña Adela Asua Batarrita, doña Encarnación Roca Trías, don Andrés </w:t>
      </w:r>
      <w:r>
        <w:lastRenderedPageBreak/>
        <w:t>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1895-2012, promovido por más de cincuenta Senadores del Grupo Parlamentario Socialista contra el art. 5 de la Ley de la Comunidad de Madrid 6/2011, de 28 de diciembre, de medidas fiscales y administrativas. Han comparecido y formulado alegaciones el Abogado del Estado y los Letrados de la Comunidad Autónoma y la Asamblea de Madrid.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30 de marzo de 2012 tuvo entrada, en el registro del Tribunal Constitucional, un escrito de la Senadora doña Carmen Menéndez González-Palenzuela, actuando en representación de más de cincuenta Senadores del Grupo Socialista, interponiendo recurso de inconstitucionalidad contra el art. 5 de la Ley de la Comunidad de Madrid 6/2011, de 28 de diciembre, de medidas fiscales y administrativas.</w:t>
      </w:r>
    </w:p>
    <w:p w:rsidR="0085709A" w:rsidRDefault="0085709A" w:rsidP="0085709A">
      <w:pPr>
        <w:pStyle w:val="TextoNormal"/>
      </w:pPr>
    </w:p>
    <w:p w:rsidR="0085709A" w:rsidRDefault="0085709A" w:rsidP="0085709A">
      <w:pPr>
        <w:pStyle w:val="TextoNormal"/>
      </w:pPr>
      <w:r>
        <w:t>La demanda comienza con la exposición de los fundamentos de Derecho relativos a la competencia del Tribunal Constitucional; legitimación; representación y postulación; objeto del recurso, que identifica como el art. 5.2 de la Ley 3/2008, de medidas fiscales y administrativas, de 28 de diciembre de 2011 de Madrid; plazo de interposición y reclamación del expediente. Y continúa con la exposición de los antecedentes de hecho.</w:t>
      </w:r>
    </w:p>
    <w:p w:rsidR="0085709A" w:rsidRDefault="0085709A" w:rsidP="0085709A">
      <w:pPr>
        <w:pStyle w:val="TextoNormal"/>
      </w:pPr>
    </w:p>
    <w:p w:rsidR="0085709A" w:rsidRDefault="0085709A" w:rsidP="0085709A">
      <w:pPr>
        <w:pStyle w:val="TextoNormal"/>
      </w:pPr>
      <w:r>
        <w:t>Tras reproducir literalmente el apartado 2 del art. 5 de la Ley 6/2011, que modifica parcialmente la Ley 3/2008, de 29 de diciembre, de medidas fiscales y administrativas, que, a su vez, modificaba parcialmente la Ley 17/1984, de 20 de diciembre, reguladora del abastecimiento y saneamiento de agua en la Comunidad de Madrid, pasa a exponer las modificaciones del régimen establecido para la privatización de parte de la empresa pública Canal de Isabel II, en adelante el Canal.</w:t>
      </w:r>
    </w:p>
    <w:p w:rsidR="0085709A" w:rsidRDefault="0085709A" w:rsidP="0085709A">
      <w:pPr>
        <w:pStyle w:val="TextoNormal"/>
      </w:pPr>
    </w:p>
    <w:p w:rsidR="0085709A" w:rsidRDefault="0085709A" w:rsidP="0085709A">
      <w:pPr>
        <w:pStyle w:val="TextoNormal"/>
      </w:pPr>
      <w:r>
        <w:t xml:space="preserve">La primera afecta al procedimiento de enajenación que ya no se abrirá a los ciudadanos e interesados mediante un procedimiento público de venta, pues la capitalización se llevará a cabo por el propio Canal, de acuerdo con las fases que se determinen por el Consejo de Gobierno cuando lo autorice, en los términos establecidos en el contrato-programa. El nuevo sistema permite a los Ayuntamientos que lo soliciten suscribir un convenio de adhesión a la nueva empresa, que implica su participación en la sociedad a crear, con un porcentaje cuya </w:t>
      </w:r>
      <w:r>
        <w:lastRenderedPageBreak/>
        <w:t>determinación no se concreta. Aquellos que, manteniendo un convenio en vigor para el suministro de agua potable con el Canal, decidan no adherirse al nuevo sistema recibirán una cantidad anual por habitante hasta la resolución o liquidación del mismo. Cantidad a determinar por el Consejo de Gobierno de la Comunidad de Madrid, sin que la ley concrete quién debe pagarla ni en qué concepto —transferencia o subvención—. A tal efecto la Ley reconoce al Ayuntamiento afectado y al Canal, antes de la creación de la nueva sociedad, el desistimiento libre de los convenios, lo que implicará su liquidación con la entrega de la red y el traspaso de la gestión del servicio al Ayuntamiento y abono de las cantidades adeudadas, incluidas las inversiones pendientes de amortización.</w:t>
      </w:r>
    </w:p>
    <w:p w:rsidR="0085709A" w:rsidRDefault="0085709A" w:rsidP="0085709A">
      <w:pPr>
        <w:pStyle w:val="TextoNormal"/>
      </w:pPr>
    </w:p>
    <w:p w:rsidR="0085709A" w:rsidRDefault="0085709A" w:rsidP="0085709A">
      <w:pPr>
        <w:pStyle w:val="TextoNormal"/>
      </w:pPr>
      <w:r>
        <w:t xml:space="preserve">La Ley reguladora de las bases de régimen local incluye entre las competencias municipales (art. 25.1 y 2) el suministro de agua, el alcantarillado y el tratamiento de las recicladas. Los municipios deben prestar en todo caso el abastecimiento de agua potable y alcantarillado, mediante cualquiera de las formas de gestión, directa o indirecta, previstas en el art. 85 de la Ley citada. Hasta el momento, la mayoría de los Ayuntamientos madrileños habían realizado una encomienda de gestión al Canal, una empresa pública homóloga a las entidades públicas empresariales reguladas en la Ley de organización y funcionamiento de la Administración General del Estado, que tenía encomendado, por la Ley de la Asamblea de Madrid 6/1997, la explotación de los servicios de aducción y depuración de aguas y las funciones relacionadas con los servicios hidráulicos que le fueran encomendados. El soporte legal de la encomienda está constituido por el art. 137 Ley 2/2003, de 11 de marzo, de Administración local de la Comunidad de Madrid; el art. 6 de la Ley 17/1984; el Decreto 170/1998, de 1 de octubre, sobre gestión de las infraestructuras de saneamiento de aguas residuales en la Comunidad de Madrid; el art. 14 del Decreto 137/1985, por el que se aprueba el régimen económico y financiero del abastecimiento y saneamiento de agua en Madrid, y, subsidiariamente, por los arts. 6 y 14 de la Ley 30/1992. Tanto la decisión sobre los precios públicos del agua como cualquier otra decisión financiera atinente al servicio queda establecida a partir de los convenios que recogían los elementos básicos de la relación entre el Canal y los municipios competentes para la prestación del servicio. Tras la Ley 3/2008, y la aquí impugnada, se modifican las garantías convencionales establecidas tanto en la Ley 30/1992, como en el texto refundido de la Ley de contratos del sector público. Por tratarse la ley impugnada de una ley especial, que contiene una regulación </w:t>
      </w:r>
      <w:r w:rsidRPr="0085709A">
        <w:rPr>
          <w:i/>
        </w:rPr>
        <w:t>ad nominem</w:t>
      </w:r>
      <w:r>
        <w:t xml:space="preserve"> que concede al Canal facultades extraordinarias de control sobre la autonomía local —le permite resolver y liquidar unilateralmente los convenios de encomienda— contiene preceptos sancionatorios y atenta a la capacidad de autogobierno municipal, y al principio de legalidad y seguridad jurídica del art. 9 CE.</w:t>
      </w:r>
    </w:p>
    <w:p w:rsidR="0085709A" w:rsidRDefault="0085709A" w:rsidP="0085709A">
      <w:pPr>
        <w:pStyle w:val="TextoNormal"/>
      </w:pPr>
    </w:p>
    <w:p w:rsidR="0085709A" w:rsidRDefault="0085709A" w:rsidP="0085709A">
      <w:pPr>
        <w:pStyle w:val="TextoNormal"/>
      </w:pPr>
      <w:r>
        <w:t>Continúa la demanda señalando que la privatización del Canal ha sido objeto de recursos contencioso administrativos por parte de Ayuntamientos, y pone énfasis en la defectuosa técnica legislativa seguida, con utilización de leyes ómnibus que afectan a la seguridad jurídica (con cita de las SSTC 14/1987 y 6/1989).</w:t>
      </w:r>
    </w:p>
    <w:p w:rsidR="0085709A" w:rsidRDefault="0085709A" w:rsidP="0085709A">
      <w:pPr>
        <w:pStyle w:val="TextoNormal"/>
      </w:pPr>
    </w:p>
    <w:p w:rsidR="0085709A" w:rsidRDefault="0085709A" w:rsidP="0085709A">
      <w:pPr>
        <w:pStyle w:val="TextoNormal"/>
      </w:pPr>
      <w:r>
        <w:t xml:space="preserve">Añade que no es posible conocer la naturaleza jurídica de la sociedad a crear, pues la autorización concedida por la Ley impugnada al Canal lo es, inicialmente, para crear una sociedad de capital íntegramente público a la que se transferirá la titularidad de los bienes patrimoniales, se adscribirán los demaniales y gestionará los servicios que ahora ejerce el Canal por encomienda de los Ayuntamientos. Posteriormente, según el art. 5.1 se enajenará a inversores privados el 49 por 100 del capital por los procedimientos previstos por la Ley. </w:t>
      </w:r>
      <w:r>
        <w:lastRenderedPageBreak/>
        <w:t xml:space="preserve">El nuevo sistema de gestión se ha revelado con posterioridad a la ley impugnada mediante un sistema de convenio a tres bandas —Ayuntamiento, Canal y Comunidad de Madrid— mediante el cual el Ayuntamiento participa en la nueva sociedad con un porcentaje mínimo de su accionariado, en función del número de habitantes. Con esa participación municipal se intenta justificar que el servicio encomendado se presta de forma directa (modelo del </w:t>
      </w:r>
      <w:r w:rsidRPr="0085709A">
        <w:rPr>
          <w:i/>
        </w:rPr>
        <w:t>in house providing</w:t>
      </w:r>
      <w:r>
        <w:t>) en un intento de vulnerar la licitación pública. Los convenios que siguen vigentes deberían desplegar sus efectos hasta su expiración si cualquier Ayuntamiento decidiera no adscribirse al nuevo modelo de gestión, lo que se evita con una medida coercitiva destinada a doblegar su voluntad, al conceder a una de las partes la potestad de resolverlos libremente. En definitiva, se trata de arrastrar a los Ayuntamientos a que incumplan la legislación básica en materia de contratos así como las directivas europeas en la materia.</w:t>
      </w:r>
    </w:p>
    <w:p w:rsidR="0085709A" w:rsidRDefault="0085709A" w:rsidP="0085709A">
      <w:pPr>
        <w:pStyle w:val="TextoNormal"/>
      </w:pPr>
    </w:p>
    <w:p w:rsidR="0085709A" w:rsidRDefault="0085709A" w:rsidP="0085709A">
      <w:pPr>
        <w:pStyle w:val="TextoNormal"/>
      </w:pPr>
      <w:r>
        <w:t>El primer motivo de inconstitucionalidad denunciado es la vulneración del art. 9.3 CE por el art. 5 de la Ley 6/2011, en relación con el principio de legalidad, así como por infringir la reserva de ley estatal sobre contratos y concesiones administrativas (art. 149.1.18 CE), ello en relación con los arts. 3 y 24.6 del texto refundido de la Ley de contratos del sector público. De acuerdo con lo establecido en el citado precepto del Real Decreto legislativo 3/2011, están excluidos de la ley los negocios jurídicos en cuya virtud se encomiende a una entidad, que reúna la condición de medio propio con los requisitos establecidos en el art. 24.6 del texto refundido de la Ley de contratos del sector público, la realización de una determinada prestación. En la medida en que la ley impugnada prevé la participación privada en el 49 por 100 del capital de la nueva sociedad, ésta no tiene la consideración de medio propio y, por tanto, no podría recibir la encomienda del servicio sin licitación. Así lo ha puesto inequívocamente de manifiesto la jurisprudencia del Tribunal de Justicia de la Unión Europea al exigir que (i) estos contratos se formalicen entre una entidad adjudicadora y una entidad formalmente diferente de ésta, sobre la que ejercita un control análogo al que ejerce sobre sus propios servicios, (ii) que el ente instrumental lleve a cabo la parte esencial de su actividad con la entidad o entidades públicas que la controlan y (iii) que el capital del ente instrumental sea de titularidad pública. Por tanto, el art. 4.1 n) del texto refundido de la Ley de contratos del sector público incorpora los requisitos de la jurisprudencia comunitaria, y es vulnerado por la disposición legal impugnada.</w:t>
      </w:r>
    </w:p>
    <w:p w:rsidR="0085709A" w:rsidRDefault="0085709A" w:rsidP="0085709A">
      <w:pPr>
        <w:pStyle w:val="TextoNormal"/>
      </w:pPr>
    </w:p>
    <w:p w:rsidR="0085709A" w:rsidRDefault="0085709A" w:rsidP="0085709A">
      <w:pPr>
        <w:pStyle w:val="TextoNormal"/>
      </w:pPr>
      <w:r>
        <w:t xml:space="preserve">De ahí que el art. 5.1 de la Ley 6/2011 vulnere el principio de reserva de ley del Estado, pues la nueva empresa no es íntegramente pública y los Ayuntamientos no ejercen un control análogo sobre la sociedad como si se tratara de sus propios servicios. De ahí que no sea posible formalizar contrato, encargo o encomienda para adjudicar a la nueva sociedad la prestación de los servicios públicos sin acudir previamente a la concurrencia pública. Se opone, además, al texto constitucional en tanto altera el sistema competencial en materia de contratación pública, todo ello relacionado con la defensa del libre mercado y la libre competencia cuando se trata de garantizar la libre concurrencia de las empresas privadas en la economía de mercado. Estas competencias son compartidas con la Unión (arts. 56 a 62, 106 y 114 del Tratado de funcionamiento de la Unión europea) y existen dos directivas comunitarias, 2004/18/CE y 2004/17/CE, que establecen la obligación de los Estados miembros de garantizar la concurrencia, en régimen de libre competencia, a la licitación de servicios, contratos y obras públicas, fundado todo ello en la libre circulación de los servicios y su apertura a la competencia no falseada. Pues bien, la transferencia a la mercantil mayoritariamente pública se realizará por los títulos de que dispone la Ley 3/2008, esto es, mediante los convenios de gestión de los entes locales que se adhieran al nuevo sistema. Sin embargo, </w:t>
      </w:r>
      <w:r>
        <w:lastRenderedPageBreak/>
        <w:t>los municipios, a pesar de la participación pública del 51 por 100, no ejercen sobre la nueva sociedad un control análogo al que ostentan sobre sus propios medios, de manera que la Ley impugnada contempla una excepción a la normativa comunitaria para la que no tiene competencia. Al haber ejercido la Unión europea potestades de armonización a través de la Directiva, las implicaciones para el principio de seguridad jurídica adquieren relevancia constitucional, pues la vigencia de una norma contraria al derecho europeo, en cuanto se erige en el derecho con primacía, constituye una violación del art. 9.3 CE. El Tribunal Constitucional italiano en su sentencia 384/1994, de 10 de noviembre, se declaró competente para conocer la constitucionalidad de las normas contrarias al derecho europeo, en tanto que la no declaración de inconstitucionalidad habría entrañado una lesión evidente del principio de seguridad jurídica así como una elusión de las obligaciones del Estado italiano. Por su parte, el Consejo de Estado francés, en el caso Nicolo, determinó la posibilidad de controlar una ley estatal atendiendo a un Tratado internacional, y posteriormente, también determinará la competencia para juzgar la legislación interna sobre la concordancia con reglamentos y directivas en sentido abstracto (ârrets de 24 de septiembre de 1990, Bosidet, p. 251, y de 28 de febrero de 1992, SA Rothmans International France et SA Philip Morris France, p. 81). Por su parte, la Cámara de los Lores en el Reino Unido determinó en la Sentencia, de 1994, su competencia en el enjuiciamiento en abstracto de una norma interna en su concordancia con el derecho europeo. En el caso español, la STC 236/1991, de 12 de diciembre, establece que la trasposición y regulación de la normativa comunitaria puede constituir una cuestión interna a resolver aplicando el reparto de competencias, siendo esta la cuestión a solventar y no la competencia comunitaria, pero en este caso la norma impugnada sería igualmente inconstitucional por ejercer una competencia ajena en virtud del art. 149.1.18 CE, pues corresponde al legislador estatal la regulación de la contratación administrativa y las concesiones de servicio público. A pesar de lo expuesto, la demanda concluye esta primera lesión señalando que no se pide a este Tribunal que se pronuncie sobre la constitucionalidad de la norma impugnada a partir de la adecuación al derecho europeo sino de la vulneración competencial por infringir la regulación estatal que traspone el Derecho europeo y que generará responsabilidad del Estado español ante las autoridades europeas.</w:t>
      </w:r>
    </w:p>
    <w:p w:rsidR="0085709A" w:rsidRDefault="0085709A" w:rsidP="0085709A">
      <w:pPr>
        <w:pStyle w:val="TextoNormal"/>
      </w:pPr>
    </w:p>
    <w:p w:rsidR="0085709A" w:rsidRDefault="0085709A" w:rsidP="0085709A">
      <w:pPr>
        <w:pStyle w:val="TextoNormal"/>
      </w:pPr>
      <w:r>
        <w:t xml:space="preserve">Alegan los demandantes como segundo motivo de inconstitucionalidad, la infracción de la competencia estatal en materia de procedimiento administrativo común, en concreto, con la Ley 30/1992, de 27 de noviembre, de régimen jurídico de las Administraciones públicas y del procedimiento administrativo común (LPC). El art. 5.2 de la Ley 6/2011, viene a instaurar una nueva causa de resolución de los convenios administrativos de encomienda vigentes, regulados en el art. 15.4 y 6 LPC, cual es la no suscripción del nuevo modelo de gestión. La Ley permite que cualquiera de las partes pueda desistir libremente de los convenios vigentes por esta razón. Por otra parte, esta norma tiene efectos retroactivos pues afecta a las situaciones jurídicas nacidas con anterioridad, y aunque la norma se refiere a la entrega de las cantidades adeudadas, éstas siempre resultarán a favor del Canal, de manera que la extinción se erige en sanción por la no adhesión al nuevo sistema. La regulación de una nueva causa para la extinción, cuando los convenios ya contaban con las suyas, conculca los derechos de los municipios siendo así que estaríamos ante un ataque retroactivo a un acto jurídico realizado al amparo de las normas vigentes en el momento de su suscripción (STC 112/2006, de 5 de abril). Aunque no se tratase de un derecho adquirido susceptible de protección constitucional, estaríamos, de facto, ante una norma sancionadora que vulneraría en todo caso el art. 9.3 CE. Ello debe ser puesto en conexión con el principio de seguridad jurídica dado que las normas recurridas son inciertas y faltas de la necesaria claridad, ya que </w:t>
      </w:r>
      <w:r>
        <w:lastRenderedPageBreak/>
        <w:t>no se establecen los elementos indispensables para el conocimiento del sistema que se establece y de las consecuencias de optar por una u otra fórmula. Esta inseguridad jurídica siembra la duda entre los entes locales sobre si actuar en base a la normativa estatal violando la autonómica, o en sentido inverso, con contravención del principio de seguridad jurídica (SSTC 150/1990, FJ 8 y 84/2008, FJ 8).</w:t>
      </w:r>
    </w:p>
    <w:p w:rsidR="0085709A" w:rsidRDefault="0085709A" w:rsidP="0085709A">
      <w:pPr>
        <w:pStyle w:val="TextoNormal"/>
      </w:pPr>
    </w:p>
    <w:p w:rsidR="0085709A" w:rsidRDefault="0085709A" w:rsidP="0085709A">
      <w:pPr>
        <w:pStyle w:val="TextoNormal"/>
      </w:pPr>
      <w:r>
        <w:t>La tercera y última vulneración es la referida a la autonomía local. Aunque aparentemente la norma deja optar a los municipios por adherirse o no al nuevo sistema de gestión, la capacidad de decisión no es tal. Con la desaparición del anterior sistema, se esfuman los mecanismos de coordinación autonómicos imprescindibles para que los Ayuntamientos que opten por no integrase en el nuevo sistema puedan prestar el servicio en el que concurren competencias de distintas Administraciones públicas de las que son titulares las tres Administraciones territoriales. El suministro de agua de competencia municipal depende de la depuración y aducción de aguas que son servicios de interés de la Comunidad de Madrid por su carácter supramunicipal, que son los que van a ser suministrados por la nueva empresa. El nuevo sistema obligaría a los municipios a que, para realizar el suministro en baja, tuvieran que asumir el resto de servicios cuando son de cumplimiento imposible por el municipio en solitario. Desde otro punto de vista, no es posible que los municipios presten estos otros servicios que no son de su competencia, porque existen obligaciones internacionales sobre la calidad del agua que exigen cuantiosas inversiones para las que los municipios no tienen capacidad. De esta forma, es obligada la adhesión al nuevo sistema. Lo más relevante es que la norma impugnada solo permite o bien no adherirse al sistema, previo desistimiento del convenio y liquidación de las obligaciones pendientes, o adherirse al mismo, pero no permite mantener los convenios vigentes. La norma es defectuosa, pues el municipio no puede conocer a priori el coste de la decisión a adoptar. Así pues, aunque el cambio de sistema no es de por sí inconstitucional, sí lo es la regulación legal del desistimiento obligatorio de los convenios de encomienda de gestión, obligándose tácitamente a los Ayuntamientos a adherirse al nuevo sistema con unas condiciones irracionales, porque se desconoce su coste, y arbitrarias, porque se desconoce su alcance y condicionan la capacidad de autogobierno municipal a la hora de decidir cómo prestar su competencia. De esta forma la ley impugnada impide el ejercicio sin condicionamientos indebidos y en toda su extensión, de las funciones que legalmente les han sido encomendadas a los Ayuntamientos (STC 104/2000).</w:t>
      </w:r>
    </w:p>
    <w:p w:rsidR="0085709A" w:rsidRDefault="0085709A" w:rsidP="0085709A">
      <w:pPr>
        <w:pStyle w:val="TextoNormal"/>
      </w:pPr>
    </w:p>
    <w:p w:rsidR="0085709A" w:rsidRDefault="0085709A" w:rsidP="0085709A">
      <w:pPr>
        <w:pStyle w:val="TextoNormal"/>
      </w:pPr>
      <w:r>
        <w:t xml:space="preserve">En cuanto a los Ayuntamientos que decidan incorporarse al nuevo sistema, la violación de la autonomía local se produce porque el nuevo sistema produce una detracción de los recursos y bienes locales (derechos reales de uso de las redes municipales de abastecimiento conferidos al Canal por los antiguos convenios), que van a ser capitalizados y transmitidos como parte del capital social a la nueva empresa en creación. Ello limita directamente la plena disponibilidad de los recursos municipales de los Ayuntamientos, y la merma de su capacidad económica financiera. Los precios de los servicios se fijarán por la nueva empresa, siendo así que los municipios no participan en los órganos de dirección que habrá de aprobarlos, lo que afecta en el derecho a intervenir en los asuntos que atañen a los municipios (STC 214/1989, FJ 1). El art. 137 CE, en su manifestación de libre disponibilidad, supone que forma parte de la autonomía local la capacidad que tienen las entidades locales para disponer sobre sus propios recursos. En consecuencia, el art. 20.4 del texto refundido de la Ley de haciendas locales permite el establecimiento de precios públicos en la forma </w:t>
      </w:r>
      <w:r>
        <w:lastRenderedPageBreak/>
        <w:t>de tasa. La Ley impugnada obliga a los Ayuntamientos a ceder su competencia para el establecimiento de los precios públicos que antes venían ejerciendo mediante el instrumento de la encomienda y la presencia representativa en el consejo del Canal. Con el sistema actual, los municipios no controlan las condiciones en las que se establecerá el precio público del servicio de agua, lo que impedirá el establecimiento de tasas por servicio y la garantía y suficiencia de medios. Con ello se vulnera la autonomía local en su vertiente económica. En la STC 109/1988, de 21 de mayo, el Tribunal señaló que las limitaciones o condicionamientos a la disponibilidad de los ingresos o a la libre decisión sobre el destino de los gastos de los ayuntamientos no vulneran la autonomía local, en su vertiente económica siempre y cuando estas limitaciones estén autorizadas por el bloque de la constitucionalidad, y es claro que la obligación impuesta a los Ayuntamientos por la Ley impugnada no forma parte del bloque de la constitucionalidad, toda vez que el art. 124 CE vincula la suficiencia de ingresos de las haciendas locales al ejercicio, por los correspondientes entes locales, de las competencias atribuidas, y por otra parte porque los preceptos del bloque de constitucionalidad reguladores de los recursos de las Comunidades Autónomas, no les permiten el establecimiento como recurso propio ordinario de una participación en una empresa privada de su creación.</w:t>
      </w:r>
    </w:p>
    <w:p w:rsidR="0085709A" w:rsidRDefault="0085709A" w:rsidP="0085709A">
      <w:pPr>
        <w:pStyle w:val="TextoNormal"/>
      </w:pPr>
    </w:p>
    <w:p w:rsidR="0085709A" w:rsidRDefault="0085709A" w:rsidP="0085709A">
      <w:pPr>
        <w:pStyle w:val="TextoNormal"/>
      </w:pPr>
      <w:r>
        <w:t>En razón de lo expuesto, concluye la demanda suplicando la declaración de inconstitucionalidad y nulidad del art. 5 de la Ley 6/2011, de 28 de diciembre, de medidas fiscales y administrativas de la Comunidad de Madrid.</w:t>
      </w:r>
    </w:p>
    <w:p w:rsidR="0085709A" w:rsidRDefault="0085709A" w:rsidP="0085709A">
      <w:pPr>
        <w:pStyle w:val="TextoNormal"/>
      </w:pPr>
    </w:p>
    <w:p w:rsidR="0085709A" w:rsidRDefault="0085709A" w:rsidP="0085709A">
      <w:pPr>
        <w:pStyle w:val="TextoNormal"/>
      </w:pPr>
      <w:r w:rsidRPr="0085709A">
        <w:rPr>
          <w:rStyle w:val="NumeroAFNegritaCaracter"/>
        </w:rPr>
        <w:t>2</w:t>
      </w:r>
      <w:r>
        <w:t>. Mediante providencia de 8 de mayo de 2012, el Pleno del Tribunal Constitucional acordó admitir a trámite el recurso de inconstitucionalidad; dar traslado de la demanda para alegaciones al Congreso de los Diputados y Senado, al Gobierno del Estado, a la Comunidad y Asamblea, ambas de Madrid, y ordenar su publicación en los “Boletines oficiales del Estado” y en el “Boletín Oficial de la Comunidad de Madrid”.</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en este Tribunal el 22 de mayo de 2012, el Abogado del Estado se personó en el recurso y solicitó la ampliación del plazo de alegaciones. Mediante providencia de 23 de mayo de 2012, el Pleno de este Tribunal lo tuvo por personado y autorizó la prórroga solicitada.</w:t>
      </w:r>
    </w:p>
    <w:p w:rsidR="0085709A" w:rsidRDefault="0085709A" w:rsidP="0085709A">
      <w:pPr>
        <w:pStyle w:val="TextoNormal"/>
      </w:pPr>
    </w:p>
    <w:p w:rsidR="0085709A" w:rsidRDefault="0085709A" w:rsidP="0085709A">
      <w:pPr>
        <w:pStyle w:val="TextoNormal"/>
      </w:pPr>
      <w:r w:rsidRPr="0085709A">
        <w:rPr>
          <w:rStyle w:val="NumeroAFNegritaCaracter"/>
        </w:rPr>
        <w:t>4</w:t>
      </w:r>
      <w:r>
        <w:t>. Por sendos escritos, con entrada en el Tribunal Constitucional el día 23 de mayo de 2012, el Congreso de los Diputados y el Senado se personaron en el proceso y ofrecieron su colaboración, pero no realizaron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del Presidente de la Asamblea de Madrid, registrado el 29 de mayo de 2012 en el Tribunal Constitucional, se dio traslado de la resolución del Pleno del mencionado órgano acordando la personación en el proceso y la formulación de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El 5 de junio de 2012 tuvo entrada en el Tribunal Constitucional el escrito de alegaciones de la Letrada de la Comunidad Autónoma, actuando en la representación que legalmente ostenta. Comienza realizando una precisión sobre el objeto del recurso. Aunque inicialmente la demanda dice impugnar el art. 5.2 de la Ley de la Asamblea de Madrid 3/2008, de 28 de diciembre, de medidas fiscales y administrativas, lo que debe entenderse como la impugnación del art. 5.2 de la Ley 6/2011, en realidad la demanda se dirige a combatir la </w:t>
      </w:r>
      <w:r>
        <w:lastRenderedPageBreak/>
        <w:t>totalidad del art. 5 de dicha ley e, incluso, el art. 16 de la Ley 3/2008, de la que éste trae causa, esto es, del proceso de capitalización del Canal que no fue impugnado en su momento. No puede aprovecharse, por tanto, una modificación para impugnar una norma que no lo fue en plazo. Considera, además, que el recurso tiene carácter preventivo. Tras recordar que el juicio de este Tribunal no puede ser de la oportunidad o acierto de la norma impugnada, sino de su contradicción con el bloque de la constitucionalidad (SSTC 28/1991, de 14 de febrero; 341/1993, de 18 de noviembre, y 49/2008, de 9 de abril), recuerda la doctrina constitucional relativa a que no puede hacerse uso de este recurso con carácter preventivo (SSTC 49/1984, de 5 de abril, y 110/2011, de 22 de junio) y afirma que los recurrentes pretenden declarar la inconstitucionalidad de un precepto legal sobre la base de juicios valorativos y de la presunción de inconstitucionalidad de actuaciones futuras aplicativas de la norma aquí discutida: la encomienda de gestión del Canal a favor de la sociedad de próxima creación a lo que no se refiere el precepto cuestionado; la resolución operada de los convenios cuando la norma se limita a reconocer el derecho a desistir de tales convenios a todas las partes intervinientes ; y, en cuanto a la autonomía local, se aplica la idea de la calamitosa situación en que quedarán los municipios que no se adhieran al nuevo modelo de gestión, extremos que no resultan de la lectura de la norma cuestionada. Insiste también en la falta de argumentos jurídicos materiales para sustentar la demanda.</w:t>
      </w:r>
    </w:p>
    <w:p w:rsidR="0085709A" w:rsidRDefault="0085709A" w:rsidP="0085709A">
      <w:pPr>
        <w:pStyle w:val="TextoNormal"/>
      </w:pPr>
    </w:p>
    <w:p w:rsidR="0085709A" w:rsidRDefault="0085709A" w:rsidP="0085709A">
      <w:pPr>
        <w:pStyle w:val="TextoNormal"/>
      </w:pPr>
      <w:r>
        <w:t>En cuanto a la vulneración de la normativa básica en materia de contratos públicos, considera la Letrada de la Comunidad que los demandantes parten de la idea de que la ley combatida estaría realizando una encomienda de gestión del Canal a la nueva sociedad, lo que debe rechazarse de antemano pues lo que la Ley contempla es la gestión mediante una sociedad de economía mixta que respeta íntegramente la normativa comunitaria que no es parámetro de constitucionalidad. La ley 3/1998, indica que la capitalización del Canal debe realizarse en el marco de las previsiones contenidas en la legislación básica del Estado. Además, el preámbulo de la Ley 6/2011 explica que la finalidad del legislador ha sido la de adaptar la normativa autonómica a la disposición adicional vigésimo novena del texto refundido de la Ley de contratos del sector público. Esta disposición adicional establece que los contratos puedan adjudicarse directamente a una sociedad de economía mixta, siempre que la elección del socio privado se realice de conformidad con las normas establecidas en esa ley para la adjudicación del contrato cuya ejecución constituya su objeto y, en su caso, las relativas al contrato de colaboración público privada, y siempre que no se introduzcan modificaciones en el objeto y las condiciones del contrato que se tuvieron en cuenta en la selección del socio privado; esta disposición recoge los criterios establecidos en la Comunicación interpretativa de la Comisión, relativa a la aplicación del derecho comunitario en materia de contratación pública y colaboración público-privada institucionalizada, de 12 de abril de 2008, criterio que ha sido refrendado por la STJUE de 15 de octubre de 2009, asunto C-196/08, Acoset SPA contra Conferenza Sindaci e Presidenza della Prov. Reg. Di Ragusa y otros. El procedimiento diseñado por la norma impugnada es, por tanto, compatible con la disposición estatal citada y con el derecho europeo.</w:t>
      </w:r>
    </w:p>
    <w:p w:rsidR="0085709A" w:rsidRDefault="0085709A" w:rsidP="0085709A">
      <w:pPr>
        <w:pStyle w:val="TextoNormal"/>
      </w:pPr>
    </w:p>
    <w:p w:rsidR="0085709A" w:rsidRDefault="0085709A" w:rsidP="0085709A">
      <w:pPr>
        <w:pStyle w:val="TextoNormal"/>
      </w:pPr>
      <w:r>
        <w:t xml:space="preserve">Con respecto a la vulneración de la competencia estatal en materia de procedimiento administrativo, los demandantes afirman que el precepto impugnado viene a crear una nueva causa de resolución de los convenios regulados en el art. 6 en relación con el art. 15.4 LPC. Señala la Letrada de la Comunidad que, en el año 2008, el legislador autonómico, en el ejercicio de su competencia de autorganización, modificó el modelo de gestión del servicio atribuido al Canal, modificación que no fue recurrida. El art. 5.2 de la Ley 6/2011 se limita </w:t>
      </w:r>
      <w:r>
        <w:lastRenderedPageBreak/>
        <w:t>a concretar lo entonces establecido con la finalidad de preservar la autonomía local. El primer inciso del precepto impugnado prevé que los municipios perciban temporalmente una cantidad anual por habitante desde la entrada efectiva de capital privado en la sociedad hasta que se proceda a la resolución del convenio vigente; en el segundo se confiere a los Ayuntamientos y al Canal la posibilidad de desistir libremente de cualquiera de tales convenios, en previsión de las consecuencias económicas derivadas de la citada liquidación. Se pone de manifiesto, así, el carácter preventivo del recurso, pues si ninguna de las partes vinculadas por el convenio o encomienda de servicios desiste, este habrá de subsistir. Por otra parte, el reconocimiento del desistimiento libre de las partes no atenta contra la Ley 30/1992. Esta previsión se inserta en una norma sectorial para un supuesto de hecho concreto, sin que sea una previsión general que pudiera entrar en colisión con una norma del procedimiento administrativo común. Por otra parte el art. 6.2 LPC se limita establecer el contenido mínimo de los convenios que deberán especificar el plazo de vigencia, la posibilidad de prórroga y la extinción por causa distinta a las mencionadas en él. La ley bien puede introducir nuevas causas de resolución dada su prevalencia jerárquica sobre los convenios (STC 210/1990, de 20 de diciembre). Existen, por otra parte, ejemplos claros de la primacía de la ley sobre los contratos preexistentes, como ocurrió, por ejemplo, con la Ley 7/2010, de 31 de marzo, general de la comunicación audiovisual, que estableció modificaciones en el modelo aplicable a este sector, debido al paso del servicio público esencial al servicio de interés general en régimen de libre competencia, que exigió la transformación de las concesiones de gestión del servicio entonces público en licencias. No hay, tampoco, lesión alguna del principio de irretroactividad, pues el cambio de modelo se produce hacia el futuro y no estamos ante una norma sancionadora o restrictiva de derechos, entendiendo por tales los derechos fundamentales, libertades públicas y la esfera general de protección de la persona (STC 42/1986, de 10 de abril).</w:t>
      </w:r>
    </w:p>
    <w:p w:rsidR="0085709A" w:rsidRDefault="0085709A" w:rsidP="0085709A">
      <w:pPr>
        <w:pStyle w:val="TextoNormal"/>
      </w:pPr>
    </w:p>
    <w:p w:rsidR="0085709A" w:rsidRDefault="0085709A" w:rsidP="0085709A">
      <w:pPr>
        <w:pStyle w:val="TextoNormal"/>
      </w:pPr>
      <w:r>
        <w:t>La Ley impugnada no establece una sanción, pues no es tal la vinculación de la liquidación del convenio con la entrega de las cantidades adeudadas. Tampoco se trata de una norma restrictiva de derechos que ni siquiera han sido identificados por la demandante; antes el contrario, se amplían las posibilidades de opción en la gestión, pues cabe adherirse al nuevo sistema o mantener los convenios suscritos con el Canal, si no media desistimiento o asunción por el municipio de los servicios. Pero incluso aunque pudiera hablarse de una norma retroactiva, estaríamos ante un supuesto de retroactividad impropia no prohibida por la Constitución. Tampoco hay afectación alguna al principio de seguridad jurídica y buena prueba de ello es que la propia demanda revela la plena comprensión por los recurrentes de los extremos del precepto impugnado.</w:t>
      </w:r>
    </w:p>
    <w:p w:rsidR="0085709A" w:rsidRDefault="0085709A" w:rsidP="0085709A">
      <w:pPr>
        <w:pStyle w:val="TextoNormal"/>
      </w:pPr>
    </w:p>
    <w:p w:rsidR="0085709A" w:rsidRDefault="0085709A" w:rsidP="0085709A">
      <w:pPr>
        <w:pStyle w:val="TextoNormal"/>
      </w:pPr>
      <w:r>
        <w:t xml:space="preserve">En cuanto a la vulneración de la autonomía local, tanto de los municipios que opten por adherirse como de aquellos que no lo hagan, comienza exponiendo el reparto competencial en la materia. La Ley de bases de régimen local ha configurado como servicio público de competencia municipal el suministro de agua y el tratamiento de aguas residuales [art. 25.1 l)] que tiene carácter obligatorio en todos los municipios [art. 26.1 a)], sin perjuicio del régimen de dispensa del art. 26.2. Sobre este servicio se ha declarado reserva a favor de los municipios (art. 86.3). En consecuencia se trata de una competencia municipal de obligado ejercicio por las entidades locales. El sistema promovido por la Ley 3/2008 y concretado en la Ley 6/2011 concilia la competencia organizativa autonómica con el máximo respeto a las competencias municipales, de manera que los Ayuntamientos que no deseen adherirse al nuevo modelo, previo desistimiento del convenio que tienen con el Canal, prestarán los </w:t>
      </w:r>
      <w:r>
        <w:lastRenderedPageBreak/>
        <w:t>servicios de su competencia. El sistema permite, por tanto, a los municipios adherirse o no al nuevo modelo de gestión, y los que no se adhieren, son libres de prestar el servicio en la forma que consideren conveniente, sin que la Comunidad de Madrid haga dejación de las competencias que le son propias en relación con los citados Ayuntamientos. En este sentido, resulta que los servicios de aducción, depuración y reutilización son de interés autonómico y están encomendados al Canal, sin perjuicio de las competencias del Estado y de las entidades locales. La literalidad del precepto conduce a la existencia de tres opciones: adherirse al nuevo modelo, mantener los convenios de encomienda de servicios al Canal o, previo desistimiento del convenio, proveer la prestación de los servicios. Frente al argumento de que no es posible en la práctica no adherirse al nuevo sistema porque desaparecerían los mecanismos de coordinación autonómicos necesarios para que los municipios puedan prestar el servicio, considera que el art. 5 de la Ley 17/1984, que es el que recoge los mecanismos de información mutua, colaboración y coordinación no se ha visto modificado. La alegación de que los municipios tendrían que obtener las correspondientes concesiones de la confederación, queda rebatida por el art. 2.1 de la Ley 17/1984, que señala que los servicios de aducción, depuración y reutilización son de interés de la Comunidad de Madrid, mientras que el art. 2.4 de la misma ley establece que los Ayuntamientos, en el ejercicio de sus competencias y en relación con los servicios de aducción, depuración y reutilización, podrán ejercer, entre otras iniciativas, la prestación de servicios, mediante cualquiera de las fórmulas previstas por la legislación vigente. De admitirse la vulneración denunciada, habría que hacerlo tanto en relación con los municipios que han suscrito un convenio de encomienda, como para aquellos que desde tiempo inmemorial han prestado los servicios de su competencia al margen del Canal. En suma, se trata de una elección libre que no merma las competencias municipales que en esta materia atribuye la Ley 17/1984.</w:t>
      </w:r>
    </w:p>
    <w:p w:rsidR="0085709A" w:rsidRDefault="0085709A" w:rsidP="0085709A">
      <w:pPr>
        <w:pStyle w:val="TextoNormal"/>
      </w:pPr>
    </w:p>
    <w:p w:rsidR="0085709A" w:rsidRDefault="0085709A" w:rsidP="0085709A">
      <w:pPr>
        <w:pStyle w:val="TextoNormal"/>
      </w:pPr>
      <w:r>
        <w:t>En relación con los municipios que decidan adherirse, no cabe hablar tampoco de lesión de la autonomía, pues si se ejerce esta opción, será porque el Ayuntamiento considera que es la forma más eficiente para la prestación del servicio, lo que se compadece mal con la supuesta detracción de recursos y bienes locales, que, además, se verá compensado con una participación en el accionariado en la nueva empresa, existiendo una nueva aportación económica para las arcas municipales derivada de la venta de acciones en el momento de la capitalización o por el reparto de dividendos por las acciones que no vendan. Concluye, finalmente, descartando que quepa deducir del precepto impugnado la modificación del régimen tarifario que regula el capítulo III de la Ley 17/1984 que, bajo la rúbrica “régimen económico financiero”, regula el establecimiento de tarifas en esta materia y que desarrolla el Real Decreto 137/1985. Es al Gobierno de la Comunidad de Madrid al que corresponde la determinación de las tarifas máximas, mientras que los municipios tienen la iniciativa para la modificación y la aprobación de las tarifas y o tasas de los servicios de distribución y alcantarillado, dentro los límites anteriormente fijados.</w:t>
      </w:r>
    </w:p>
    <w:p w:rsidR="0085709A" w:rsidRDefault="0085709A" w:rsidP="0085709A">
      <w:pPr>
        <w:pStyle w:val="TextoNormal"/>
      </w:pPr>
    </w:p>
    <w:p w:rsidR="0085709A" w:rsidRDefault="0085709A" w:rsidP="0085709A">
      <w:pPr>
        <w:pStyle w:val="TextoNormal"/>
      </w:pPr>
      <w:r>
        <w:t>Concluye, en consecuencia, suplicando la desestimación íntegra del recurso.</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El 15 de junio de 2014, el Abogado del Estado presentó sus alegaciones en el Tribunal Constitucional. Estas versan, única y exclusivamente, sobre las cuestiones competenciales. Esto es, aquellas vulneraciones en las que se invoca una contradicción con la legislación básica estatal, ya sea en materia de contratos o de procedimiento administrativo común. Pasa en primer lugar a analizar la contradicción con los arts. 3 y 24.6 del texto refundido de la Ley de contratos del sector público y por tanto la vulneración de la competencia que asiste </w:t>
      </w:r>
      <w:r>
        <w:lastRenderedPageBreak/>
        <w:t>al Estado en materia de contratos públicos. A tal efecto dice que no estamos ante un medio propio de los regulados en el art. 24.6 del texto refundido de la Ley de contratos del sector público, sino ante una concreta forma de gestión de los servicios públicos mediante sociedad mixta, a la que se refiere el art. 277 d) del texto refundido de la Ley de contratos del sector público. En esta modalidad, lo relevante es la forma de elección de las personas que integran junto a la administración la sociedad prestataria del servicio, a lo que se refiere la disposición final vigésimo novena del texto refundido de la Ley de contratos del sector público. En este caso, el recurso es prematuro pues, al tratar de cómo seleccionar al socio privado, la ley 6/2011 se limita a remitirse al acuerdo del Consejo de Gobierno que lo autorice, exigiendo en todo caso un procedimiento que se sujete a los principios de igualdad de trato, publicidad, transparencia, objetividad y concurrencia. Debe tenerse en cuenta, además, que el contrato de gestión de servicios no se encuentra sometido a regulación armonizada (art. 13 del texto refundido de la Ley de contratos del sector público), por lo que el Canal sólo queda sujeto a los requisitos de adjudicación del art. 191 del texto refundido de la Ley de contratos del sector público, es decir sometido a estos principios. Por otra parte, el legislador ha declarado su voluntad de cumplir la legislación básica estatal.</w:t>
      </w:r>
    </w:p>
    <w:p w:rsidR="0085709A" w:rsidRDefault="0085709A" w:rsidP="0085709A">
      <w:pPr>
        <w:pStyle w:val="TextoNormal"/>
      </w:pPr>
    </w:p>
    <w:p w:rsidR="0085709A" w:rsidRDefault="0085709A" w:rsidP="0085709A">
      <w:pPr>
        <w:pStyle w:val="TextoNormal"/>
      </w:pPr>
      <w:r>
        <w:t>En cuanto a la vulneración de los preceptos de la Ley 30/1992, señala el Abogado del Estado que el art. 6 LPC no resulta de aplicación a los convenios de encomienda de gestión, porque viene referido exclusivamente a los convenios suscritos por el Estado y las Comunidades Autónomas. Por su parte, el art. 15.4 LPC no establece un listado de causas tasadas de extinción, de manera que no existe obstáculo alguno en la legislación básica para que una ley autonómica establezca nuevas causas de extinción.</w:t>
      </w:r>
    </w:p>
    <w:p w:rsidR="0085709A" w:rsidRDefault="0085709A" w:rsidP="0085709A">
      <w:pPr>
        <w:pStyle w:val="TextoNormal"/>
      </w:pPr>
    </w:p>
    <w:p w:rsidR="0085709A" w:rsidRDefault="0085709A" w:rsidP="0085709A">
      <w:pPr>
        <w:pStyle w:val="TextoNormal"/>
      </w:pPr>
      <w:r>
        <w:t>Concluye, en consecuencia, que no existe en el art. 5 de la Ley impugnada ninguna infracción de la legislación básica estatal.</w:t>
      </w:r>
    </w:p>
    <w:p w:rsidR="0085709A" w:rsidRDefault="0085709A" w:rsidP="0085709A">
      <w:pPr>
        <w:pStyle w:val="TextoNormal"/>
      </w:pPr>
    </w:p>
    <w:p w:rsidR="0085709A" w:rsidRDefault="0085709A" w:rsidP="0085709A">
      <w:pPr>
        <w:pStyle w:val="TextoNormal"/>
      </w:pPr>
      <w:r w:rsidRPr="0085709A">
        <w:rPr>
          <w:rStyle w:val="NumeroAFNegritaCaracter"/>
        </w:rPr>
        <w:t>8</w:t>
      </w:r>
      <w:r>
        <w:t>. El día 5 de junio de 2012, tuvo entrada en el Tribunal Constitucional el escrito de alegaciones del Letrado de la Asamblea de Madrid actuando en representación de ésta. Comienza exponiendo un primer óbice procesal relativo a la extemporaneidad del recurso. La Ley impugnada fue publicada en el “BOCM” en día 29 de diciembre de 2011, pero el recurso tuvo entrada en el Tribunal Constitucional el 30 de marzo. Dado que el art. 80 de la Ley Orgánica del Tribunal Constitucional (LOTC) se remite con carácter supletorio a la Ley Orgánica del Poder Judicial y a la Ley de enjuiciamiento civil, conviene traer a colación la jurisprudencia recaída en el ámbito de la jurisdicción ordinaria que entiende que, cuando se trata de plazos de meses, el cómputo ha de hacerse según el art. 5 del Código civil, de fecha a fecha, para lo que aunque se inicie al día siguiente de la notificación, el plazo concluye en el correlativo a la publicación en el mes de que se trate. No es de aplicación tampoco el art. 85.2 LOTC que se contempla como una extensión del periodo de gracia del art. 135 de la Ley de enjuiciamiento civil, circunscrita a los recursos de amparo.</w:t>
      </w:r>
    </w:p>
    <w:p w:rsidR="0085709A" w:rsidRDefault="0085709A" w:rsidP="0085709A">
      <w:pPr>
        <w:pStyle w:val="TextoNormal"/>
      </w:pPr>
    </w:p>
    <w:p w:rsidR="0085709A" w:rsidRDefault="0085709A" w:rsidP="0085709A">
      <w:pPr>
        <w:pStyle w:val="TextoNormal"/>
      </w:pPr>
      <w:r>
        <w:t xml:space="preserve">En cuanto al motivo de inconstitucionalidad consistente en la vulneración de la legislación estatal en materia de contratos y concesiones administrativas, nada en la norma permite entender lo que el recurso afirma, esto es, que el contrato-programa constituye una encomienda de gestión del Canal a la nueva sociedad, que no tendría cabida en el art. 24.6 del texto refundido de la Ley de contratos del sector público. Debe tenerse en cuenta que la vulneración que se achaca no se deriva de la ley impugnada, sino del futuro proceso de capitalización, cuando la propia ley prevé que se lleve a cabo en el marco de las previsiones </w:t>
      </w:r>
      <w:r>
        <w:lastRenderedPageBreak/>
        <w:t>contenidas en la legislación básica del Estado y cuando su exposición de motivos afirma que se trata de adaptar la normativa autonómica a lo dispuesto en la disposición adicional vigésimo novena y no al art. 24.6 del texto refundido de la Ley de contratos del sector público. De esta forma, la norma impugnada salva cualquier posible desajuste con la norma básica estatal; a mayor abundamiento, los contratos-programa cuentan con soporte expreso en la normativa sectorial, pues la Ley autonómica 17/1984, define al Canal como empresa pública de las previstas en el art. 2 de la Ley 1/1984, de 19 de enero, reguladora de la Administración institucional de la Comunidad de Madrid, y añade que se rige por lo en ella dispuesto en la Ley general presupuestaria, que contiene una disciplina mínima de los contratos-programa. Pero incluso en el caso de que se llegara a considerar que el contrato-programa tiene la naturaleza de una encomienda de gestión, la violación invocada no se desprende de la norma impugnada, por cuanto la pérdida del carácter íntegramente público de esta sociedad solo es una mera posibilidad, pero no existe certeza de que se lleve a cabo. Tampoco la regulación de la prestación del servicio por los Ayuntamientos, al prever que suscriban el correspondiente convenio de incorporación al nuevo modelo de gestión, vulnera la norma del Estado en materia de contratación. Esta suscripción se produciría con anterioridad a la autorización del proceso de capitalización, momento en que esta sociedad no estará constituida, de manera que el convenio se suscribiría con el Canal, sin que pueda hablarse de una relación triangular sino de una relación entre el Canal y la nueva sociedad,—a través del contrato-programa—. No cabe tampoco hablar de vulneración del art. 9.3 CE, que no está recogido en las bases del 149.1.18 CE, ni regulado en la Ley de régimen jurídico de las Administraciones públicas y del procedimiento administrativo común.</w:t>
      </w:r>
    </w:p>
    <w:p w:rsidR="0085709A" w:rsidRDefault="0085709A" w:rsidP="0085709A">
      <w:pPr>
        <w:pStyle w:val="TextoNormal"/>
      </w:pPr>
    </w:p>
    <w:p w:rsidR="0085709A" w:rsidRDefault="0085709A" w:rsidP="0085709A">
      <w:pPr>
        <w:pStyle w:val="TextoNormal"/>
      </w:pPr>
      <w:r>
        <w:t>Continúa recordando que el Derecho europeo no es canon de constitucionalidad (SSTC 28/1991, de 14 de febrero, FJ 4; 64/1991, de 22 de marzo, FJ 4; 147/1996, de 19 de septiembre, FJ 3; 197/1996, de 28 de noviembre, FJ 8; 41/2002, de 25 de febrero, FJ 2, y 86/2011, de 9 de junio), y menos aún, que la regulación contraria a los preceptos del Tratado de funcionamiento de la Unión Europea suponga una infracción del art. 96 CE, pues ni el Tratado de adhesión ni el Derecho de la Unión integra, en virtud del art. 96 CE, el canon de constitucionalidad bajo el que deben examinarse las leyes españolas. Tampoco se entiende la infracción alegada de la reserva de ley del Estado, sin que sea óbice a esta conclusión la inseguridad jurídica, invocada por los recurrentes, de mantener la vigencia de una norma contraria al ordenamiento comunitario, en tanto este se erige con primacía. Realmente, lo que se alega en la demanda es la vulneración de la distribución competencial Estado-Comunidad Autónoma en materia de contratación pública, que habría regulado esta última en contra de lo establecido en la ley estatal, lo que debe rechazarse por las razones anteriormente expuestas.</w:t>
      </w:r>
    </w:p>
    <w:p w:rsidR="0085709A" w:rsidRDefault="0085709A" w:rsidP="0085709A">
      <w:pPr>
        <w:pStyle w:val="TextoNormal"/>
      </w:pPr>
    </w:p>
    <w:p w:rsidR="0085709A" w:rsidRDefault="0085709A" w:rsidP="0085709A">
      <w:pPr>
        <w:pStyle w:val="TextoNormal"/>
      </w:pPr>
      <w:r>
        <w:t>Asimismo, la remisión a los principios de igualdad de trato, publicidad, transparencia, objetividad y concurrencia en la forma en que los recoge el art. 1 del texto refundido de la Ley de contratos del sector público así como la legislación material y formalmente básica permite descartar la vulneración de la libre empresa que no estaría afectado por el proceso de capitalización en el que se crea una sociedad mixta: se ha respetado la reserva de ley y el contenido esencial de ese derecho.</w:t>
      </w:r>
    </w:p>
    <w:p w:rsidR="0085709A" w:rsidRDefault="0085709A" w:rsidP="0085709A">
      <w:pPr>
        <w:pStyle w:val="TextoNormal"/>
      </w:pPr>
    </w:p>
    <w:p w:rsidR="0085709A" w:rsidRDefault="0085709A" w:rsidP="0085709A">
      <w:pPr>
        <w:pStyle w:val="TextoNormal"/>
      </w:pPr>
      <w:r>
        <w:t xml:space="preserve">En cuanto al incumplimiento de la legislación estatal de procedimiento administrativo común, que se centra en la vulneración de los arts. 6 en relación con el 15.4 LPC, el Letrado de la Asamblea rechaza que se regule una nueva causa de resolución y liquidación, sino que </w:t>
      </w:r>
      <w:r>
        <w:lastRenderedPageBreak/>
        <w:t>se limita a mencionar la resolución como una circunstancia temporal hasta la cual se mantiene la obligación de pago de la cantidad anual. La Ley 30/1992 no impide que el desistimiento o cualquier otra causa admitida en derecho puedan poner fin a la vigencia del convenio, por lo que tampoco podrá impedirlo la ley autonómica. Lo contrario sería hacer prevalecer los convenios de encomienda sobre la ley. Los recurrentes consideran que la nueva causa de resolución sería la no suscripción del nuevo modelo de gestión, cuando de la lectura del precepto impugnado se deduce que la no suscripción lleva al pago al municipio en función del número de habitantes, sin que exista relación lógica entre esta circunstancia y la resolución de los convenios vigentes, que podrá suceder o no. Por otra parte, los preceptos estatales que se dicen vulnerados se dictan por el Estado en el ejercicio de su competencia en materia de bases del régimen jurídico que, a diferencia del procedimiento administrativo común, admite el desarrollo autonómico. Aún en el caso de que se recondujera a esta última materia competencial, la inclusión del desistimiento libre de las partes en nada afecta a la actividad externa de las administraciones públicas. En cuanto a su regulación retroactiva y la posible vulneración del art. 9.3 CE, alega el Letrado de la Asamblea: (i) que no estamos en presencia de derechos constitucionales o derechos individuales, que son los referidos a los ciudadanos, pero no a las Entidades locales; (ii) que la norma no produce efectos jurídicos sobre situaciones anteriores, sino que se limita a regular los eventuales efectos de su extinción, cuando esta se produzca, y (iii) que no estamos ante una norma sancionadora, pues la consecuencia que se produciría sería la recuperación por el municipio de su competencia al ponerse fin al régimen de encomienda de gestión, volviendo los servicios al régimen de gestión ordinaria de la ley de bases de régimen local. Tampoco existe una quiebra del principio de seguridad jurídica derivada de que la liquidación no se contemple como la consecuencia necesaria de la no adhesión al nuevo modelo, pues no puede pedirse a una regulación general que prevea todas y cada una de las situaciones que puedan generarse como consecuencia de su aplicación, de manera que tampoco puede imputarse falta de claridad a la norma cuestionada, cuando ésta regula las distintas posibilidades permitidas a los municipios, estableciendo las consecuencias de cada una de ellas, sin que exista una incertidumbre razonablemente insuperable acerca de la conducta exigible para su cumplimiento o la previsibilidad de sus efectos, que no se puede deducir del recurso por el legislador a otros instrumentos ajenos a la norma impugnada como el contrato-programa o el convenio de incorporación al nuevo modelo, máxime cuando estos se enraízan en la voluntad de las partes afectadas. Finalmente, no puede calificarse la ley de arbitraria o irrazonable, alegación de la demanda que no se sustenta en razonamiento alguno más allá de su afirmación.</w:t>
      </w:r>
    </w:p>
    <w:p w:rsidR="0085709A" w:rsidRDefault="0085709A" w:rsidP="0085709A">
      <w:pPr>
        <w:pStyle w:val="TextoNormal"/>
      </w:pPr>
    </w:p>
    <w:p w:rsidR="0085709A" w:rsidRDefault="0085709A" w:rsidP="0085709A">
      <w:pPr>
        <w:pStyle w:val="TextoNormal"/>
      </w:pPr>
      <w:r>
        <w:t xml:space="preserve">Por último, el Letrado de la Asamblea aborda la vulneración denunciada de la autonomía local, subrayando que se trata en todo caso de opciones voluntarias para el municipio y distinguiendo entre las diferentes posibilidades. La opción del desistimiento del convenio previamente suscrito conlleva la consecuencia de la recuperación de la competencia para la prestación del servicio, sin que de ello quepa concluir que se pierden los instrumentos de coordinación que se encuentran en la Ley 17/1984, que no ha sido modificada en su regulación en lo que se refiere a este aspecto, de manera que la coordinación queda garantizada. Insiste en el carácter libre del desistimiento, pues tanto el Canal, como los municipios pueden desistir libremente, sin que la liquidación sea la consecuencia necesaria de la no adhesión: se trata de un desistimiento potestativo para ambas partes y bilateral. Precisamente por ello, el propio recurso explica que el Canal sigue existiendo y mantiene la titularidad y ejercicio de las potestades y cuantos derechos y obligaciones se deriven de las funciones que se enumera. Siendo libre el ejercicio de esta opción no puede considerarse que la adhesión sea </w:t>
      </w:r>
      <w:r>
        <w:lastRenderedPageBreak/>
        <w:t>obligatoria, de manera que se respeta la autonomía local, tal y como ésta ha sido configurada en la doctrina constitucional.</w:t>
      </w:r>
    </w:p>
    <w:p w:rsidR="0085709A" w:rsidRDefault="0085709A" w:rsidP="0085709A">
      <w:pPr>
        <w:pStyle w:val="TextoNormal"/>
      </w:pPr>
    </w:p>
    <w:p w:rsidR="0085709A" w:rsidRDefault="0085709A" w:rsidP="0085709A">
      <w:pPr>
        <w:pStyle w:val="TextoNormal"/>
      </w:pPr>
      <w:r>
        <w:t>En cuanto a la segunda opción que cabe a los Ayuntamientos, la suscripción de los convenios de incorporación al nuevo modelo de gestión, considera que una interpretación sistemática del apartado dos del art. 16 de la Ley 17/1984 conduce a pensar que los bienes que se adscribirán o cuya titularidad se traspasará a la nueva sociedad son los que integran el patrimonio propio de la Comunidad de Madrid, y en particular la red general, tal y como lo define la disposición adicional quinta de la Ley 17/1984. El acuerdo de constitución de la sociedad ha de comprender el inventario de bienes y derechos en la manera en que lo integra el art. 16.2.4 b) de la Ley 3/2008, que ha sido objeto de modificación por la ley impugnada, pero no se ha verificado ninguna reforma del régimen jurídico patrimonial de los bienes de las entidades locales, ni tampoco de la regulación autonómica sobre los citados bienes. En definitiva, la ley impugnada solo ha pretendido regular el inventario de la nueva sociedad, sin disponer nada sobre el patrimonio de los municipios afectados, decisión ésta que queda deferida bien al convenio de incorporación al nuevo modelo, bien al contrato-programa que suscriba el Canal con la nueva sociedad, como ocurre, asimismo, con la participación de los municipios en la nueva sociedad a la que, en su caso, se encargará la nueva forma de gestión del agua. La disposición impugnada nada dice sobre el contenido del convenio, pues se limita a establecer que el Consejo de Gobierno establecerá las condiciones en las que la sociedad podrá prestar los servicios incluidos en su objeto social, y en todo caso, la explotación, operación y mantenimiento y conservación de la red general de la Comunidad de Madrid. En la medida en que todas las relaciones que deben entablarse son bilaterales (Canal-nueva sociedad, Ayuntamientos-Canal), la nueva empresa no podrá disponer libremente de los recursos afectados a la prestación del servicio.</w:t>
      </w:r>
    </w:p>
    <w:p w:rsidR="0085709A" w:rsidRDefault="0085709A" w:rsidP="0085709A">
      <w:pPr>
        <w:pStyle w:val="TextoNormal"/>
      </w:pPr>
    </w:p>
    <w:p w:rsidR="0085709A" w:rsidRDefault="0085709A" w:rsidP="0085709A">
      <w:pPr>
        <w:pStyle w:val="TextoNormal"/>
      </w:pPr>
      <w:r>
        <w:t>Tampoco es posible admitir, a partir de una interpretación sistemática de la normativa autonómica, que se haya vulnerado la autonomía local en su vertiente financiera, eliminándose la intervención municipal en el establecimiento de los precios públicos. El art. 8.1 de la Ley 17/1984 garantiza la representación de los municipios en el consejo de administración del Canal, mientras que el apartado 3 del mismo precepto garantiza una serie de principios de las tarifas, entre ellos el de suficiencia directamente relacionado con el art. 142 CE. A falta de incidencia de la norma impugnada sobre los bienes locales y sobre la plena disponibilidad de los recursos de los mismos, no se ha producido vulneración de la autonomía financiera local. La ley autonómica no ha tenido repercusión alguna sobre los ingresos, pero tampoco sobre los gastos, de manera que nada contiene que pueda afectar a la operación legislativa prohibida por la jurisprudencia constitucional sobre la que se pronuncia la STC 109/1998, FJ 11. En razón de lo expuesto, suplica la desestimación íntegra del recurso.</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26 de mayo de 2015 se señaló para deliberación y votación de la presente Sentencia el día 28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Se impugna en este proceso, por más de cincuenta Senadores del Grupo Parlamentario Socialista, el art. 5 de la Ley de la Comunidad de Madrid 6/2011, de 28 de diciembre, de medidas fiscales y administrativas. En esencia, se achaca a la regulación en él contenida la </w:t>
      </w:r>
      <w:r>
        <w:lastRenderedPageBreak/>
        <w:t>vulneración de la reserva de ley estatal para la regulación de los contratos públicos y concesiones (art. 149.1.18 CE), la legislación estatal dictada en ejercicio de su competencia sobre el procedimiento administrativo común (art. 149.1.18 CE), así como, en relación con esta última, de los principios de irretroactividad de las normas sancionadoras y seguridad jurídica (art. 9.3 CE). Asimismo, se alega la infracción de la autonomía local constitucionalmente garantizada. El Abogado del Estado rechaza que haya existido vulneración de las competencias del Estado por ser la disposición impugnada conforme con la normativa estatal, sin que se pronuncie sobre el resto de las infracciones constitucionales denunciadas. Los Letrados de la Comunidad Autónoma y de la Asamblea de Madrid, coinciden en afirmar que el recurso es preventivo, que la regulación autonómica es respetuosa con la normativa estatal en materia de contratos y procedimiento administrativo, que no se han vulnerado los principios de irretroactividad de las normas sancionadoras o restrictivas de derechos y de seguridad jurídica, y que no se ha afectado en modo alguno a la autonomía local.</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entrar en el fondo de las vulneraciones constitucionales denunciadas, resulta necesario realizar algunas precisiones previas.</w:t>
      </w:r>
    </w:p>
    <w:p w:rsidR="0085709A" w:rsidRDefault="0085709A" w:rsidP="0085709A">
      <w:pPr>
        <w:pStyle w:val="TextoNormal"/>
      </w:pPr>
    </w:p>
    <w:p w:rsidR="0085709A" w:rsidRDefault="0085709A" w:rsidP="0085709A">
      <w:pPr>
        <w:pStyle w:val="TextoNormal"/>
      </w:pPr>
      <w:r>
        <w:t>a) En primer lugar, debemos dar respuesta al óbice procesal que opone el Letrado de la Asamblea de Madrid, que entiende que el recurso es extemporáneo. Señala que la ley impugnada fue publicada en el “BOCM” el día 29 de diciembre de 2011, y el recurso tuvo entrada en el Tribunal Constitucional el 30 de marzo de 2012. Considera que, dado que el art. 80 de la Ley Orgánica del Tribunal Constitucional (LOTC) se remite con carácter supletorio a la Ley Orgánica del Poder Judicial y a la Ley de enjuiciamiento civil (LEC), el cómputo ha de hacerse de fecha a fecha, por lo que el plazo habría concluido el día correlativo a la publicación, sin que resulte de aplicación el art. 85.2 LOTC que se contempla como una extensión del periodo de gracia del art. 135 LEC, circunscrito a los recursos de amparo.</w:t>
      </w:r>
    </w:p>
    <w:p w:rsidR="0085709A" w:rsidRDefault="0085709A" w:rsidP="0085709A">
      <w:pPr>
        <w:pStyle w:val="TextoNormal"/>
      </w:pPr>
    </w:p>
    <w:p w:rsidR="0085709A" w:rsidRDefault="0085709A" w:rsidP="0085709A">
      <w:pPr>
        <w:pStyle w:val="TextoNormal"/>
      </w:pPr>
      <w:r>
        <w:t xml:space="preserve">Procede de antemano descartar esta objeción. Este Tribunal tiene afirmado en relación al cómputo del plazo para la interposición de los recursos de inconstitucionalidad que, al igual que ocurre en el recurso de amparo, aunque la literalidad del art. 33.1 LOTC deja abierta la posibilidad de situar el </w:t>
      </w:r>
      <w:r w:rsidRPr="0085709A">
        <w:rPr>
          <w:i/>
        </w:rPr>
        <w:t>dies a quo</w:t>
      </w:r>
      <w:r>
        <w:t xml:space="preserve"> para el cómputo del plazo tanto en el día de publicación oficial de la norma legal impugnada como en el día siguiente a la misma, es este último el que ha de tenerse en cuenta a estos efectos, por aplicación del principio </w:t>
      </w:r>
      <w:r w:rsidRPr="0085709A">
        <w:rPr>
          <w:i/>
        </w:rPr>
        <w:t>pro actione</w:t>
      </w:r>
      <w:r>
        <w:t xml:space="preserve"> (STC 39/2014, de 11 de marzo, FJ 2 y Sentencias en ella citadas). Habiéndose publicado la norma impugnada el 29 de diciembre de 2011, la fecha a tener en cuenta como </w:t>
      </w:r>
      <w:r w:rsidRPr="0085709A">
        <w:rPr>
          <w:i/>
        </w:rPr>
        <w:t>dies a quo</w:t>
      </w:r>
      <w:r>
        <w:t xml:space="preserve"> es el 30 de diciembre de 2011, por lo que el vencimiento se habría producido el 30 de marzo de 2012. El día en que este recurso fue presentado en el Tribunal Constitucional.</w:t>
      </w:r>
    </w:p>
    <w:p w:rsidR="0085709A" w:rsidRDefault="0085709A" w:rsidP="0085709A">
      <w:pPr>
        <w:pStyle w:val="TextoNormal"/>
      </w:pPr>
    </w:p>
    <w:p w:rsidR="0085709A" w:rsidRDefault="0085709A" w:rsidP="0085709A">
      <w:pPr>
        <w:pStyle w:val="TextoNormal"/>
      </w:pPr>
      <w:r>
        <w:t>b) En segundo lugar, es preciso concretar su objeto. A pesar de que, en el fundamento de derecho dedicado al objeto del recurso de inconstitucionalidad, la demanda se refiere al “art. 5 de la Ley 3/2008, de 28 de diciembre de 2011”, en el suplico se solicita la declaración de inconstitucionalidad del art. 5 de la Ley 6/2011, de 28 de diciembre, de medidas fiscales y administrativas, el mismo que se identifica en su encabezamiento. No existe, en consecuencia, confusión alguna sobre el precepto y disposición legal impugnada.</w:t>
      </w:r>
    </w:p>
    <w:p w:rsidR="0085709A" w:rsidRDefault="0085709A" w:rsidP="0085709A">
      <w:pPr>
        <w:pStyle w:val="TextoNormal"/>
      </w:pPr>
    </w:p>
    <w:p w:rsidR="0085709A" w:rsidRDefault="0085709A" w:rsidP="0085709A">
      <w:pPr>
        <w:pStyle w:val="TextoNormal"/>
      </w:pPr>
      <w:r>
        <w:t xml:space="preserve">Sin embargo, toda la argumentación del recurso versa sobre el apartado 2 del art. 5 de la ley impugnada. De hecho, la demanda comienza reproduciendo literalmente el apartado 2 citado, y explica cómo ha incidido la modificación operada en el modelo diseñado por el </w:t>
      </w:r>
      <w:r>
        <w:lastRenderedPageBreak/>
        <w:t>art. 16 de la Ley 3/2008, en concreto en su apartado 3. A esta modificación se imputan todas las vulneraciones denunciadas. Los restantes apartados del art. 5 de la Ley 6/2011, no han sido objeto de reproche ni alegación expresa alguna.</w:t>
      </w:r>
    </w:p>
    <w:p w:rsidR="0085709A" w:rsidRDefault="0085709A" w:rsidP="0085709A">
      <w:pPr>
        <w:pStyle w:val="TextoNormal"/>
      </w:pPr>
    </w:p>
    <w:p w:rsidR="0085709A" w:rsidRDefault="0085709A" w:rsidP="0085709A">
      <w:pPr>
        <w:pStyle w:val="TextoNormal"/>
      </w:pPr>
      <w:r>
        <w:t>No lo ha sido, sin duda, el apartado 1 del art. 5 Ley 6/2011, que modifica el art. 16.2.4 b) de la Ley 3/2008. Este precepto, lejos de regular los bienes y derechos que componen el patrimonio de la nueva sociedad, sustituye la anterior mención al “inventario de los bienes y derechos que sean objeto de aportación”, por la exigencia complementaria —así lo explica la exposición motivos de la ley impugnada y lo corrobora la literalidad del apartado 1— de que el conjunto de bienes y derechos aportados se configure como una unidad económica autónoma, capaz de funcionar de forma aislada y por sus propios medios, en sintonía con lo establecido por la legislación del Estado en procesos similares. En definitiva, una cuestión relativa a la organización de una entidad del sector público autonómico, que nada tiene que ver con la vulneración de la autonomía local, que se achaca por los recurrentes a la detracción del derecho real de uso de las redes municipales de suministro y alcantarillado conferidos al Canal por los antiguos convenios, que se llevaría a efecto, en el caso de los municipios que se adhirieran al nuevo sistema, mediante su aportación a la nueva empresa como parte de su capital social. Resulta, pues, manifiesto, que el reconocimiento de la autosuficiencia del patrimonio que introduce el apartado 1 del art. 5 de la disposición impugnada, es una cuestión por completo ajena a las alegaciones de la demanda y a los reproches de inconstitucionalidad que se achacan al art. 5 de la Ley 6/2011.</w:t>
      </w:r>
    </w:p>
    <w:p w:rsidR="0085709A" w:rsidRDefault="0085709A" w:rsidP="0085709A">
      <w:pPr>
        <w:pStyle w:val="TextoNormal"/>
      </w:pPr>
    </w:p>
    <w:p w:rsidR="0085709A" w:rsidRDefault="0085709A" w:rsidP="0085709A">
      <w:pPr>
        <w:pStyle w:val="TextoNormal"/>
      </w:pPr>
      <w:r>
        <w:t>Lo mismo cabe decir del apartado 3 del art. 5 de la Ley 6/2011, que añade un apartado 4 al art. 16 de la Ley 3/2008, que permite a la nueva sociedad crear o disolver sociedades de responsabilidad limitada o realizar actos que impliquen la adquisición o pérdida de su posición mayoritaria, directa o indirecta, en el capital de estas sociedades, sin necesidad de autorización por el Consejo de Gobierno, siempre que ello sea necesario para el desarrollo de sus actividades, aunque deba darle cuenta de las operaciones ya realizadas.</w:t>
      </w:r>
    </w:p>
    <w:p w:rsidR="0085709A" w:rsidRDefault="0085709A" w:rsidP="0085709A">
      <w:pPr>
        <w:pStyle w:val="TextoNormal"/>
      </w:pPr>
    </w:p>
    <w:p w:rsidR="0085709A" w:rsidRDefault="0085709A" w:rsidP="0085709A">
      <w:pPr>
        <w:pStyle w:val="TextoNormal"/>
      </w:pPr>
      <w:r>
        <w:t>Según este Tribunal tiene afirmado, el examen de las impugnaciones debe partir de los argumentos contenidos en la demanda, pues la presunción de constitucionalidad de normas con rango de ley no puede desvirtuarse sin más, prescindiendo de una razón suficientemente fundada [STC 111/2014, de 26 de junio, FJ 1 c), y Sentencias en ella citadas]. El deber de colaboración con la justicia del Tribunal, que tiene que poder conocer las razones del recurso y, de igual manera, la efectividad del derecho de defensa, exige que la impugnación esté adecuadamente argumentada. No basta, en consecuencia, la mera invocación formal en la demanda de los preceptos de cuya constitucionalidad se duda o incluso la existencia en la misma de una solicitud expresa de su declaración de inconstitucionalidad, para que este Tribunal deba pronunciarse sobre todos y cada uno de ellos. Es preciso, además, que en el cuerpo del recurso se contenga la argumentación específica o razonamientos que fundamenten la presunta contradicción de éstos con la Norma fundamental (STC 24/2013, de 31 de enero, FJ 6).</w:t>
      </w:r>
    </w:p>
    <w:p w:rsidR="0085709A" w:rsidRDefault="0085709A" w:rsidP="0085709A">
      <w:pPr>
        <w:pStyle w:val="TextoNormal"/>
      </w:pPr>
    </w:p>
    <w:p w:rsidR="0085709A" w:rsidRDefault="0085709A" w:rsidP="0085709A">
      <w:pPr>
        <w:pStyle w:val="TextoNormal"/>
      </w:pPr>
      <w:r>
        <w:t>En aplicación de esta doctrina, y a falta de argumentación relativa a los apartados 1 y 3 del precepto impugnado, nuestro enjuiciamiento debe limitarse, necesariamente, a su apartado 2.</w:t>
      </w:r>
    </w:p>
    <w:p w:rsidR="0085709A" w:rsidRDefault="0085709A" w:rsidP="0085709A">
      <w:pPr>
        <w:pStyle w:val="TextoNormal"/>
      </w:pPr>
    </w:p>
    <w:p w:rsidR="0085709A" w:rsidRDefault="0085709A" w:rsidP="0085709A">
      <w:pPr>
        <w:pStyle w:val="TextoNormal"/>
      </w:pPr>
      <w:r>
        <w:lastRenderedPageBreak/>
        <w:t>c) Finalmente procede recordar que este Tribunal no puede entrar a valorar, so pretexto de la impugnación del apartado 2 del art. 5 de la Ley 6/2011, las cuestiones relativas a la creación de una sociedad mercantil y su posterior transformación en una sociedad mixta, que ya establecía la Ley 3/2008, y que no han sido afectadas por ésta, pero tampoco las que puedan haberse suscitado por disposiciones o convenios posteriores a ésta. No son objeto de este proceso constitucional. Deben, en consecuencia, quedar al margen de este pronunciamiento.</w:t>
      </w:r>
    </w:p>
    <w:p w:rsidR="0085709A" w:rsidRDefault="0085709A" w:rsidP="0085709A">
      <w:pPr>
        <w:pStyle w:val="TextoNormal"/>
      </w:pPr>
    </w:p>
    <w:p w:rsidR="0085709A" w:rsidRDefault="0085709A" w:rsidP="0085709A">
      <w:pPr>
        <w:pStyle w:val="TextoNormal"/>
      </w:pPr>
      <w:r w:rsidRPr="0085709A">
        <w:rPr>
          <w:rStyle w:val="NumeroAFNegritaCaracter"/>
        </w:rPr>
        <w:t>3</w:t>
      </w:r>
      <w:r>
        <w:t>. Se achaca, en primer lugar, al apartado 2 del art. 5 de la Ley 6/2011, la vulneración de la reserva de ley estatal que, sobre contratos y concesiones administrativas, establece el art. 149.1.18 CE. En concreto, la vulneración de lo establecido en los arts. 4 y 26.4 del Real Decreto Legislativo 3/2011, de 14 de noviembre, que aprueba el texto refundido de la Ley de contratos del sector público, con los que, en desarrollo de la normativa europea de contratación pública, se garantiza la libre concurrencia de las empresas privadas en una economía de mercado. Consideran que como la nueva empresa no es íntegramente pública y los Ayuntamientos no ejercen sobre ella un control análogo al que ejercen sobre sus propios medios (art. 4 en relación con el 24.6 del texto refundido de la Ley de contratos del sector público), los Ayuntamientos no pueden formalizar contrato o encomienda con ella, porque sería contrario a la normativa europea.</w:t>
      </w:r>
    </w:p>
    <w:p w:rsidR="0085709A" w:rsidRDefault="0085709A" w:rsidP="0085709A">
      <w:pPr>
        <w:pStyle w:val="TextoNormal"/>
      </w:pPr>
    </w:p>
    <w:p w:rsidR="0085709A" w:rsidRDefault="0085709A" w:rsidP="0085709A">
      <w:pPr>
        <w:pStyle w:val="TextoNormal"/>
      </w:pPr>
      <w:r>
        <w:t xml:space="preserve">Esta estrecha relación entre normativa europea y preceptos estatales que se reputan infringidos, lleva a los recurrentes a realizar una muy extensa argumentación sobre las dos Directivas sobre contratación pública y sobre sectores excluidos (18/2004/CE y 17/2004/CE) y la interpretación del Tribunal de Justicia de la Unión Europea sobre los límites de la denominada contratación </w:t>
      </w:r>
      <w:r w:rsidRPr="0085709A">
        <w:rPr>
          <w:i/>
        </w:rPr>
        <w:t>in house providing</w:t>
      </w:r>
      <w:r>
        <w:t xml:space="preserve"> o medios propios, así como de los procesos constitucionales en los Tribunales de otros Estados miembros, donde el derecho europeo, según su parecer, habría sido parámetro de constitucionalidad. Añaden que, al haber ejercido la Unión Europea sus potestades de armonización a través de las citadas Directivas, las implicaciones para el principio de seguridad jurídica adquieren relevancia constitucional, pues la vigencia de una norma contraria al Derecho europeo constituye una vulneración del art. 9.3 CE. Tras esta extensa digresión en la que fundamentan la vulneración denunciada, la demanda insiste, sin embargo, en que no se pide al Tribunal que se pronuncie sobre la constitucionalidad de la norma impugnada a partir de la adecuación al derecho europeo, sino de la infracción competencial por vulneración del derecho estatal que traspone el derecho europeo y genera responsabilidad del Estado español ante las autoridades europeas.</w:t>
      </w:r>
    </w:p>
    <w:p w:rsidR="0085709A" w:rsidRDefault="0085709A" w:rsidP="0085709A">
      <w:pPr>
        <w:pStyle w:val="TextoNormal"/>
      </w:pPr>
    </w:p>
    <w:p w:rsidR="0085709A" w:rsidRDefault="0085709A" w:rsidP="0085709A">
      <w:pPr>
        <w:pStyle w:val="TextoNormal"/>
      </w:pPr>
      <w:r>
        <w:t xml:space="preserve">La Ley autonómica 17/1984, de 20 de diciembre, reguladora del abastecimiento y saneamiento del agua de Madrid, describe los diferentes servicios que forman parte del abastecimiento, saneamiento y reutilización (art. 1). De acuerdo con ella, los servicios de (i) aducción, o sea, captación y alumbramiento, embalse, conducciones por tuberías primarias y tratamiento y depósito; (ii) depuración, es decir, devolución de las aguas a sus cauces naturales convenientemente depuradas, y (iii) reutilización, o sea, tratamiento, transporte, almacenamiento de agua depurada y su distribución hasta los usuarios finales, son servicios de interés autonómico y, por ello, de competencia autonómica (art 2.1). Los municipios son competentes para la distribución del agua desde los depósitos hasta las acometidas particulares, y el alcantarillado o recogida de aguas pluviales y residuales y su evacuación por los puntos de vertido, servicios éstos que pueden ser gestionados de forma directa o indirecta </w:t>
      </w:r>
      <w:r>
        <w:lastRenderedPageBreak/>
        <w:t>(art. 3.1). En todo caso, los municipios pueden prestar también los servicios de aducción, depuración y reutilización de aguas por cualquier forma de gestión directa o indirecta prevista en la legislación (art. 2.4).</w:t>
      </w:r>
    </w:p>
    <w:p w:rsidR="0085709A" w:rsidRDefault="0085709A" w:rsidP="0085709A">
      <w:pPr>
        <w:pStyle w:val="TextoNormal"/>
      </w:pPr>
    </w:p>
    <w:p w:rsidR="0085709A" w:rsidRDefault="0085709A" w:rsidP="0085709A">
      <w:pPr>
        <w:pStyle w:val="TextoNormal"/>
      </w:pPr>
      <w:r>
        <w:t>Se compatibiliza, de esta forma, la competencia que asiste a los municipios para el abastecimiento de agua potable a domicilio, evacuación y tratamiento de aguas residuales [art. 25.2 c) de la Ley reguladora de las bases de régimen local (LBRL)], (el abastecimiento domiciliario de agua potable y alcantarillado es un servicio de prestación municipal obligatorio en todos los municipios con independencia de su población (art. 26 LBRL), con la necesidad de gestionar de forma integrada los servicios de aducción, depuración y reutilización del agua. La gestión integrada era, por otra parte, una realidad preexistente a la creación de la Comunidad Autónoma de Madrid, directamente propiciada por el esfuerzo inversor que, desde el siglo XIX, exigió el abastecimiento de agua a la ciudad y condicionó, en la práctica, el sistema de suministro de agua y depuración de Madrid y de los municipios de su entorno.</w:t>
      </w:r>
    </w:p>
    <w:p w:rsidR="0085709A" w:rsidRDefault="0085709A" w:rsidP="0085709A">
      <w:pPr>
        <w:pStyle w:val="TextoNormal"/>
      </w:pPr>
    </w:p>
    <w:p w:rsidR="0085709A" w:rsidRDefault="0085709A" w:rsidP="0085709A">
      <w:pPr>
        <w:pStyle w:val="TextoNormal"/>
      </w:pPr>
      <w:r>
        <w:t>Esta primera vulneración se centra, en definitiva, en la nueva redacción del art. 16. 3.1 de la Ley 3/2008, que tras la entrada en vigor del precepto impugnado dice lo siguiente:</w:t>
      </w:r>
    </w:p>
    <w:p w:rsidR="0085709A" w:rsidRDefault="0085709A" w:rsidP="0085709A">
      <w:pPr>
        <w:pStyle w:val="TextoNormal"/>
      </w:pPr>
    </w:p>
    <w:p w:rsidR="0085709A" w:rsidRDefault="0085709A" w:rsidP="0085709A">
      <w:pPr>
        <w:pStyle w:val="TextoNormal"/>
      </w:pPr>
      <w:r>
        <w:t>“1. Una vez constituida la sociedad a que se refieren los apartados anteriores y previa autorización por Acuerdo del Consejo de Gobierno, el Canal de Isabel II, en el marco de las previsiones contenidas en la legislación básica del Estado en materia de contratos públicos, llevará a cabo la capitalización de la sociedad que mantendrá, en los términos establecidos en el contrato-programa, la prestación de los servicios de abastecimiento, saneamiento y reutilización de agua que, por cualquier título, corresponden al Canal de Isabel II. El proceso de capitalización, que se desarrollará en las fases que se determinen en el Acuerdo del Consejo de Gobierno que lo autorice, podrá implicar la enajenación de hasta un máximo del 49 por 100 del capital de la sociedad a operadores económicos y ciudadanos y se ajustará a los principios de igualdad de trato, publicidad, transparencia, objetividad y concurrencia.”</w:t>
      </w:r>
    </w:p>
    <w:p w:rsidR="0085709A" w:rsidRDefault="0085709A" w:rsidP="0085709A">
      <w:pPr>
        <w:pStyle w:val="TextoNormal"/>
      </w:pPr>
    </w:p>
    <w:p w:rsidR="0085709A" w:rsidRDefault="0085709A" w:rsidP="0085709A">
      <w:pPr>
        <w:pStyle w:val="TextoNormal"/>
      </w:pPr>
      <w:r>
        <w:t>No es posible analizar la constitucionalidad del párrafo que venimos de reproducir, a partir de la contradicción en que puede haber incurrido con la normativa comunitaria. Además de que no lo han solicitado así los recurrentes, este Tribunal ya ha afirmado en reiteradas ocasiones que el Derecho europeo no integra, en virtud del art. 96.1 CE, el canon de constitucionalidad bajo el que han de examinarse las leyes, de manera que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 (STC 28/1991, de 14 de febrero, FJ 5). Ello no es óbice, sin embargo, para que nuestro pronunciamiento sobre la contradicción alegada entre la legislación estatal y la norma autonómica deba partir de una interpretación de las disposiciones legales, estatal y autonómica, acorde con las exigencias del Derecho europeo.</w:t>
      </w:r>
    </w:p>
    <w:p w:rsidR="0085709A" w:rsidRDefault="0085709A" w:rsidP="0085709A">
      <w:pPr>
        <w:pStyle w:val="TextoNormal"/>
      </w:pPr>
    </w:p>
    <w:p w:rsidR="0085709A" w:rsidRDefault="0085709A" w:rsidP="0085709A">
      <w:pPr>
        <w:pStyle w:val="TextoNormal"/>
      </w:pPr>
      <w:r>
        <w:t xml:space="preserve">Conviene asimismo precisar que el art. 149.1.18 CE no establece una reserva material de ley. Se limita a atribuir al Estado la competencia para dictar la legislación básica en materia de contratos y concesiones. Cuestión distinta es que, conforme a una reiterada doctrina constitucional, para garantizar la generalidad y estabilidad consustanciales a las reglas básicas, éstas deben establecerse mediante ley formal votada en Cortes, aunque, como excepción, </w:t>
      </w:r>
      <w:r>
        <w:lastRenderedPageBreak/>
        <w:t>quepa admitir que, en ciertas circunstancias, el Gobierno pueda regular por Real Decreto aspectos básicos de una determinada materia, esto es, cuando el reglamento resulta complemento indispensable para asegurar el mínimo común denominador establecido en las normas legales básicas (por todas, STC 161/2014, de 7 de octubre, FJ 7).</w:t>
      </w:r>
    </w:p>
    <w:p w:rsidR="0085709A" w:rsidRDefault="0085709A" w:rsidP="0085709A">
      <w:pPr>
        <w:pStyle w:val="TextoNormal"/>
      </w:pPr>
    </w:p>
    <w:p w:rsidR="0085709A" w:rsidRDefault="0085709A" w:rsidP="0085709A">
      <w:pPr>
        <w:pStyle w:val="TextoNormal"/>
      </w:pPr>
      <w:r>
        <w:t>En definitiva, la vulneración alegada sólo puede reconducirse a un problema de inconstitucionalidad mediata o contradicción del precepto autonómico impugnado con la legislación estatal básica.</w:t>
      </w:r>
    </w:p>
    <w:p w:rsidR="0085709A" w:rsidRDefault="0085709A" w:rsidP="0085709A">
      <w:pPr>
        <w:pStyle w:val="TextoNormal"/>
      </w:pPr>
    </w:p>
    <w:p w:rsidR="0085709A" w:rsidRDefault="0085709A" w:rsidP="0085709A">
      <w:pPr>
        <w:pStyle w:val="TextoNormal"/>
      </w:pPr>
      <w:r>
        <w:t>Para ello, una vez determinada la materia y los títulos competenciales más específicos que asisten a las partes, e identificados los preceptos de la norma estatal básica que deben servir de contraste, habrá que comprobar si son formal y materialmente básicos, pues sólo en ese caso, la contradicción de la norma autonómica con la estatal conllevaría la consecuencia de su inconstitucionalidad.</w:t>
      </w:r>
    </w:p>
    <w:p w:rsidR="0085709A" w:rsidRDefault="0085709A" w:rsidP="0085709A">
      <w:pPr>
        <w:pStyle w:val="TextoNormal"/>
      </w:pPr>
    </w:p>
    <w:p w:rsidR="0085709A" w:rsidRDefault="0085709A" w:rsidP="0085709A">
      <w:pPr>
        <w:pStyle w:val="TextoNormal"/>
      </w:pPr>
      <w:r w:rsidRPr="0085709A">
        <w:rPr>
          <w:rStyle w:val="NumeroAFNegritaCaracter"/>
        </w:rPr>
        <w:t>4</w:t>
      </w:r>
      <w:r>
        <w:t>. El precepto impugnado está contenido en una Ley de medidas fiscales y administrativas que, a su vez, viene a modificar otro precepto, el art. 16 de la Ley de medidas fiscales y administrativas aprobada tres años antes, la cual aunque no, modificó formalmente la Ley autonómica 17/1984, reguladora del abastecimiento y saneamiento del agua en Madrid, sí incidió de forma sustancial en la forma de prestación del servicio público, atribuido al Canal que esta regulaba.</w:t>
      </w:r>
    </w:p>
    <w:p w:rsidR="0085709A" w:rsidRDefault="0085709A" w:rsidP="0085709A">
      <w:pPr>
        <w:pStyle w:val="TextoNormal"/>
      </w:pPr>
    </w:p>
    <w:p w:rsidR="0085709A" w:rsidRDefault="0085709A" w:rsidP="0085709A">
      <w:pPr>
        <w:pStyle w:val="TextoNormal"/>
      </w:pPr>
      <w:r>
        <w:t>La Ley madrileña 17/1984 encomienda al Canal de Isabel II la prestación de los servicios integrados de aducción, depuración y reciclado, así como los servicios de distribución y alcantarillado, cuando así lo soliciten los municipios y siempre que las instalaciones cumplan una serie de requisitos. Esta entidad se configura como empresa pública, según la terminología de la Ley de Madrid 1/1984, de 19 de enero, esto es, una entidad con personificación jurídico-pública, carente, por tanto, de forma societaria, cuya actividad está sometida al Derecho público cuando ejerce las potestades administrativas que tiene encomendadas, mientras que sus contratos son privados y sus relaciones con los usuarios se someten al Derecho privado (arts. 6 y ss.).</w:t>
      </w:r>
    </w:p>
    <w:p w:rsidR="0085709A" w:rsidRDefault="0085709A" w:rsidP="0085709A">
      <w:pPr>
        <w:pStyle w:val="TextoNormal"/>
      </w:pPr>
    </w:p>
    <w:p w:rsidR="0085709A" w:rsidRDefault="0085709A" w:rsidP="0085709A">
      <w:pPr>
        <w:pStyle w:val="TextoNormal"/>
      </w:pPr>
      <w:r>
        <w:t>En este contexto normativo, el art. 16 de la Ley 3/2008 autorizó al Canal la creación de una sociedad mercantil, en un principio de capital íntegramente público, participada minoritariamente por operadores económicos y ciudadanos en una segunda fase, para realizar actividades relacionadas con el abastecimiento de agua, saneamiento, servicios hidráulicos y obras hidráulicas, y, en todo caso, la explotación, mantenimiento y conservación de la red general de la Comunidad de Madrid, integrada por los bienes de titularidad autonómica que conforman los sistemas integrales o infraestructuras de abastecimiento, saneamiento y reutilización del agua. El Canal mantiene la titularidad y ejercicio de las potestades públicas.</w:t>
      </w:r>
    </w:p>
    <w:p w:rsidR="0085709A" w:rsidRDefault="0085709A" w:rsidP="0085709A">
      <w:pPr>
        <w:pStyle w:val="TextoNormal"/>
      </w:pPr>
    </w:p>
    <w:p w:rsidR="0085709A" w:rsidRDefault="0085709A" w:rsidP="0085709A">
      <w:pPr>
        <w:pStyle w:val="TextoNormal"/>
      </w:pPr>
      <w:r>
        <w:t xml:space="preserve">El precepto impugnado ha venido a introducir, en lo que ahora interesa señalar, las siguientes modificaciones: (i) En primer lugar, frente a la anterior previsión de que la enajenación del capital se realizase mediante un procedimiento público de venta que garantizase los principios de igualdad de trato, publicidad, transparencia objetividad y concurrencia, ahora se realiza una remisión a la legislación básica de contratos públicos y a la garantía de los mismos principios que antes se mencionaban; (ii) En segundo lugar, en la Ley 3/2008 </w:t>
      </w:r>
      <w:r>
        <w:lastRenderedPageBreak/>
        <w:t>se establecía que la enajenación del capital se realizaría a los ciudadanos e inversores interesados, mientras que ahora se producirá a operadores económicos y ciudadanos; (iii) Finalmente, se hace mención a que la sociedad participada mantendrá, en los términos establecidos en el contrato-programa, la prestación de los servicios de abastecimiento, saneamiento y reutilización de agua que por cualquier título correspondan al Canal. A este contrato-programa ya se refería el art. 16.2.4 a) de la Ley 3/2008, que no ha sido modificado; dicha disposición definía el mencionado contrato-programa como el instrumento de relación entre la entidad matriz y la empresa pública mediante el que se permite fijar objetivos de política de personal, rentabilidad, productividad o reestructuración técnica de la explotación económica, aportaciones de la entidad matriz, etc.</w:t>
      </w:r>
    </w:p>
    <w:p w:rsidR="0085709A" w:rsidRDefault="0085709A" w:rsidP="0085709A">
      <w:pPr>
        <w:pStyle w:val="TextoNormal"/>
      </w:pPr>
    </w:p>
    <w:p w:rsidR="0085709A" w:rsidRDefault="0085709A" w:rsidP="0085709A">
      <w:pPr>
        <w:pStyle w:val="TextoNormal"/>
      </w:pPr>
      <w:r>
        <w:t>Esto expuesto, estamos en condiciones de afirmar que la materia más directamente afectada es la organización de la Administración autonómica (art. 26.1.1.1 EAM), en un ámbito en el que ésta ostenta las competencias en materia de obras públicas de interés autonómico (art. 26.1.5 EAM) y de los proyectos de construcción y explotación de los aprovechamientos hidráulicos de interés de la Comunidad (art. 26.1.8 EAM), sobre la que ha venido a incidir el título competencial con que cuenta el Estado para dictar la legislación básica en materia de contratos públicos y concesiones.</w:t>
      </w:r>
    </w:p>
    <w:p w:rsidR="0085709A" w:rsidRDefault="0085709A" w:rsidP="0085709A">
      <w:pPr>
        <w:pStyle w:val="TextoNormal"/>
      </w:pPr>
    </w:p>
    <w:p w:rsidR="0085709A" w:rsidRDefault="0085709A" w:rsidP="0085709A">
      <w:pPr>
        <w:pStyle w:val="TextoNormal"/>
      </w:pPr>
      <w:r w:rsidRPr="0085709A">
        <w:rPr>
          <w:rStyle w:val="NumeroAFNegritaCaracter"/>
        </w:rPr>
        <w:t>5</w:t>
      </w:r>
      <w:r>
        <w:t>. Todas las partes coinciden en señalar que la norma estatal de contraste es el texto refundido de la Ley de contratos del sector público. Al ser esta la norma aplicable, basta con señalar que, de acuerdo con esta disposición legal, la actividad de contratación de las Administraciones públicas queda en todo caso sujeta al texto refundido, mientras que las entidades públicas empresariales que llevan a cabo actividades encuadradas dentro del ámbito de aplicación de esta última son naturales destinatarias, en función de los contratos que adjudiquen, de ambas disposiciones legales. Por ello, la sujeción al texto refundido, en cuanto que resulta la normativa común más exigente, no puede tacharse de arbitraria, como sostienen las partes recurrente.</w:t>
      </w:r>
    </w:p>
    <w:p w:rsidR="0085709A" w:rsidRDefault="0085709A" w:rsidP="0085709A">
      <w:pPr>
        <w:pStyle w:val="TextoNormal"/>
      </w:pPr>
    </w:p>
    <w:p w:rsidR="0085709A" w:rsidRDefault="0085709A" w:rsidP="0085709A">
      <w:pPr>
        <w:pStyle w:val="TextoNormal"/>
      </w:pPr>
      <w:r>
        <w:t>Discrepan las partes, sin embargo, sobre los preceptos de la ley estatal que deben servir de contraste. Mientras que los recurrentes invocan los arts. 4 y 24.6 del texto refundido de la Ley de contratos del sector público, las defensas del Estado, de la Comunidad y de la Asamblea, ambas de Madrid, se remiten a la disposición adicional vigésimo novena de esta misma disposición legal. A ello dedicaremos las siguientes líneas.</w:t>
      </w:r>
    </w:p>
    <w:p w:rsidR="0085709A" w:rsidRDefault="0085709A" w:rsidP="0085709A">
      <w:pPr>
        <w:pStyle w:val="TextoNormal"/>
      </w:pPr>
    </w:p>
    <w:p w:rsidR="0085709A" w:rsidRDefault="0085709A" w:rsidP="0085709A">
      <w:pPr>
        <w:pStyle w:val="TextoNormal"/>
      </w:pPr>
      <w:r>
        <w:t xml:space="preserve">Conforme al art. 85 LBRL, los servicios públicos de competencia de las entidades locales pueden ser prestados de forma directa —gestión por la propia entidad local, organismo autónomo local, entidad pública local, sociedad mercantil local de capital íntegramente pública— o indirecta, mediante las formas previstas para el contrato de gestión de servicios públicos, que viene definido como aquél por el cual una Administración encomienda a otra persona, natural o jurídica, la gestión de un servicio público de su competencia (art. 8.1 del texto refundido de la Ley de contratos del sector público) y que supone la prestación material del servicio por el contratista en lugar de la Administración titular del mismo, asumiendo el riesgo de la explotación y la potestad de organización. Esta regulación es coherente con lo establecido en el art. 8.2 del texto refundido de la Ley de contratos del sector público, que excluye de la aplicación de esta disposición legal, por no considerarla una verdadera </w:t>
      </w:r>
      <w:r>
        <w:lastRenderedPageBreak/>
        <w:t>relación contractual, aquella por la que una Administración encomienda la gestión del servicio público y, por tanto, el riesgo y ventura de su prestación, a otra entidad de Derecho público destinada a este fin, o a una mercantil de capital íntegramente público.</w:t>
      </w:r>
    </w:p>
    <w:p w:rsidR="0085709A" w:rsidRDefault="0085709A" w:rsidP="0085709A">
      <w:pPr>
        <w:pStyle w:val="TextoNormal"/>
      </w:pPr>
    </w:p>
    <w:p w:rsidR="0085709A" w:rsidRDefault="0085709A" w:rsidP="0085709A">
      <w:pPr>
        <w:pStyle w:val="TextoNormal"/>
      </w:pPr>
      <w:r>
        <w:t>También es posible encomendar a entidades de otras Administraciones la realización de la actividad de carácter material, técnico o de servicios necesaria para el ejercicio de la competencia por razones de eficacia, o cuando no se posean los medios técnicos para su desempeño (art. 15 LPC). En este caso no hay transferencia de la competencia, de forma que es responsabilidad del municipio dictar los actos o resoluciones de carácter jurídico necesarias para su ejercicio.</w:t>
      </w:r>
    </w:p>
    <w:p w:rsidR="0085709A" w:rsidRDefault="0085709A" w:rsidP="0085709A">
      <w:pPr>
        <w:pStyle w:val="TextoNormal"/>
      </w:pPr>
    </w:p>
    <w:p w:rsidR="0085709A" w:rsidRDefault="0085709A" w:rsidP="0085709A">
      <w:pPr>
        <w:pStyle w:val="TextoNormal"/>
      </w:pPr>
      <w:r>
        <w:t>No obstante lo afirmado, cuando la encomienda por el municipio a órganos o entidades públicas de otras Administraciones tenga por objeto prestaciones propias de los contratos calificados que regula el art. 5 del texto refundido de la Ley de contratos del sector público —obras, servicios y suministros— está sujeta a los procedimientos de adjudicación que resultan de aplicación a los contratos de las Administraciones públicas (arts. 175 y ss. del texto refundido de la Ley de contratos del sector público), salvo que se encuentren en uno de los supuestos contemplados en el art. 4 del texto refundido de la Ley de contratos del sector público, en cuyo caso están excluidos del texto refundido de la Ley de contratos del sector público y, por tanto, de la obligación de licitación.</w:t>
      </w:r>
    </w:p>
    <w:p w:rsidR="0085709A" w:rsidRDefault="0085709A" w:rsidP="0085709A">
      <w:pPr>
        <w:pStyle w:val="TextoNormal"/>
      </w:pPr>
    </w:p>
    <w:p w:rsidR="0085709A" w:rsidRDefault="0085709A" w:rsidP="0085709A">
      <w:pPr>
        <w:pStyle w:val="TextoNormal"/>
      </w:pPr>
      <w:r>
        <w:t>Pues bien, no les falta razón a los recurrentes cuando afirman que la excepción contemplada en el art. 4 n) del texto refundido de la Ley de contratos del sector público no permite excluir las encomiendas de los Ayuntamientos a la sociedad mixta creada por la Ley 3/2008. Ese precepto solo excluye las que se realicen a medios propios y el art. 24.6 del texto refundido de la Ley de contratos del sector público, al regular los medios propios, exige, entre otros requisitos, que cuando se trate de una sociedad mercantil, sea de capital íntegramente público. Omiten señalar, sin embargo, que dentro de los procedimientos establecidos para la adjudicación de los contratos públicos, sin distinción alguna entre los distintos tipos de contratos calificados, la adjudicación a una empresa mixta, tiene una regulación específica. Es la contemplada en la disposición adicional vigésimo novena del texto refundido de la Ley de contratos del sector público. Según ésta, los contratos públicos podrán adjudicarse directamente a una sociedad de economía mixta en la que concurra capital público y privado, siempre que la elección del socio privado se haya efectuado de conformidad con las normas establecidas en esta Ley para la adjudicación del contrato cuya ejecución constituya su objeto. Esta regla trae causa del Derecho europeo.</w:t>
      </w:r>
    </w:p>
    <w:p w:rsidR="0085709A" w:rsidRDefault="0085709A" w:rsidP="0085709A">
      <w:pPr>
        <w:pStyle w:val="TextoNormal"/>
      </w:pPr>
    </w:p>
    <w:p w:rsidR="0085709A" w:rsidRDefault="0085709A" w:rsidP="0085709A">
      <w:pPr>
        <w:pStyle w:val="TextoNormal"/>
      </w:pPr>
      <w:r>
        <w:t xml:space="preserve">En efecto, la Comisión Europea, en su Comunicación interpretativa relativa a la aplicación del derecho comunitario en materia de contratación pública y concesiones o la colaboración pública y privada institucionalizada (2008/C 91/02), explica que la creación de una empresa mixta se traduce o bien en la creación de una nueva empresa cuyo capital pertenece conjuntamente a la entidad adjudicadora —administraciones y poderes adjudicadores que no son administración pública— y la adjudicación de un contrato público a esa entidad de nueva creación de capital mixto, o bien en la participación de un socio privado en una empresa pública ya existente que ejecuta contratos públicos o concesiones obtenidos anteriormente en el marco de una relación interna. La Comisión considera que una doble licitación, la primera para la selección del socio privado de la empresa mixta, y la segunda para la adjudicación del contrato, no resulta muy práctica, por lo que una de las formas de actuar </w:t>
      </w:r>
      <w:r>
        <w:lastRenderedPageBreak/>
        <w:t>conforme al Derecho europeo es seleccionar al socio privado mediante un procedimiento de licitación transparente y competitivo, cuyo objeto es el contrato público que se ha de adjudicar a la empresa mixta, de manera que no resulte necesario licitar también la adjudicación del contrato. A mayor abundamiento, las dos nuevas Directivas en materia de contratación pública, ambas de 26 de febrero de 2014 (2014/24/UE, sobre contratación pública, y 2014/25/UE, relativa a la contratación por entidades que operan en los sectores del agua, la energía, los transportes y los servicios postales), cuyo plazo de transposición no ha vencido en el momento de dictarse esta sentencia, han venido a despejar la inseguridad jurídica existente sobre cuándo los contratos celebrados entre entidades del sector público están o no sujetos a las normas de contratación pública, especificando que aun cuando, con carácter general la encomienda de un poder adjudicador a una entidad del sector público controlada por éste, pero participada por los particulares, no puede ser objeto de encomienda directa, ya que ello otorgaría al operador económico una ventaja competitiva, ello no es predicable de los supuestos en los que una norma legal o administrativa de derecho interno, acorde con los Tratados, es la que encarga la prestación del servicio público a una organización en cuyo capital participan obligatoriamente operadores privados, siempre que esta participación no permita bloquear ni controlar la persona jurídica controlada —empresa mixta— ni les otorgue una influencia decisiva en las decisiones [considerando 32 de la Directiva 2014/24/UE y art. 12 c)].</w:t>
      </w:r>
    </w:p>
    <w:p w:rsidR="0085709A" w:rsidRDefault="0085709A" w:rsidP="0085709A">
      <w:pPr>
        <w:pStyle w:val="TextoNormal"/>
      </w:pPr>
    </w:p>
    <w:p w:rsidR="0085709A" w:rsidRDefault="0085709A" w:rsidP="0085709A">
      <w:pPr>
        <w:pStyle w:val="TextoNormal"/>
      </w:pPr>
      <w:r w:rsidRPr="0085709A">
        <w:rPr>
          <w:rStyle w:val="NumeroAFNegritaCaracter"/>
        </w:rPr>
        <w:t>6</w:t>
      </w:r>
      <w:r>
        <w:t>. Seleccionada la norma estatal de contraste, procede determinar si es formal y materialmente básica. La disposición adicional vigésimo novena es formalmente básica porque así lo establece el apartado tercero de la disposición final segunda del texto refundido de la Ley de contratos del sector público. Materialmente porque establece una regla específica para la licitación de los contratos públicos cuando se adjudican a una empresa mixta, con la que se pretende, de un lado, determinar el procedimiento reglado en el que se concreta la igualdad de condiciones de todos los operadores, a fin de que ninguno de ellos parta de una situación de ventaja competitiva [STC 141/1993, FJ 6 b)], mientras que sirve, de otro, a la gestión más eficaz de las compras públicas, al evitar un doble procedimiento que nada aportaría a los principios que inspiran la contratación pública y, a cambio, podría perjudicar, dada su inutilidad, a los intereses públicos para cuyo satisfacción se suscriben estos contratos. En definitiva, forma parte del mínimo común denominador que caracteriza la legislación básica, cuya naturaleza y extensión, a mayor abundamiento, no han puesto las partes en cuestión, en este proceso constitucional.</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Sólo resta analizar si la regulación contenida en el precepto impugnado vulnera el precepto básico. El apartado 2 del art. 5 de la Ley 6/2011 prevé que, una vez constituida la sociedad de capital íntegramente público dependiente del Canal, se llevará a cabo la capitalización, esto es, la entrada de capital privado procedente de operadores y ciudadanos, mediante la enajenación del 49 por 100 del capital como máximo, siendo esta sociedad la que, por mandato de la ley, mantendrá la prestación de los servicios de abastecimiento, saneamiento y reutilización de agua que, por cualquier título, corresponden al Canal en los términos que se establezcan en el contrato-programa. A diferencia de lo establecido en art. 16 de la Ley 3/2008, este precepto no señala ya que la capitalización se realizará mediante un procedimiento público de enajenación, pues lo remite a un momento posterior, si bien establece expresamente que se llevará a cabo en el marco de las previsiones contenidas en la legislación básica del Estado en materia de contratos públicos y mediante un procedimiento </w:t>
      </w:r>
      <w:r>
        <w:lastRenderedPageBreak/>
        <w:t>que, en todo caso, se ajustará a los principios de igualdad de trato, publicidad y transparencia.</w:t>
      </w:r>
    </w:p>
    <w:p w:rsidR="0085709A" w:rsidRDefault="0085709A" w:rsidP="0085709A">
      <w:pPr>
        <w:pStyle w:val="TextoNormal"/>
      </w:pPr>
    </w:p>
    <w:p w:rsidR="0085709A" w:rsidRDefault="0085709A" w:rsidP="0085709A">
      <w:pPr>
        <w:pStyle w:val="TextoNormal"/>
      </w:pPr>
      <w:r>
        <w:t>En los términos en que este precepto está formulado, la denuncia de la vulneración de la legislación básica del Estado en materia de contratos y concesiones administrativas sólo puede tacharse de preventiva, pues nada hay en el precepto que permita afirmar que la ley impone una encomienda directa, sin seguir procedimiento alguno de licitación, y al margen de los principios generales que establece el art. 1 del texto refundido de la Ley de contratos del sector público, situando a los operadores privados en una situación de ventaja competitiva proscrita por la norma estatal y el derecho europeo. Tanto más cuanto el propio legislador señala, en la exposición de motivos de la norma impugnada, que la modificación de este precepto trae causa, precisamente, de la necesidad de adaptar el proceso de capitalización a la disposición adicional vigésimo novena del texto refundido de la Ley de contratos del sector público.</w:t>
      </w:r>
    </w:p>
    <w:p w:rsidR="0085709A" w:rsidRDefault="0085709A" w:rsidP="0085709A">
      <w:pPr>
        <w:pStyle w:val="TextoNormal"/>
      </w:pPr>
    </w:p>
    <w:p w:rsidR="0085709A" w:rsidRDefault="0085709A" w:rsidP="0085709A">
      <w:pPr>
        <w:pStyle w:val="TextoNormal"/>
      </w:pPr>
      <w:r>
        <w:t>Como quiera que la disposición impugnada obliga a que la selección de los socios privados de la empresa mixta a la que la ley atribuye la gestión de los servicios de abastecimiento, saneamiento y reciclado de agua, cuando se lleve a cabo, se realice de acuerdo con los procedimientos establecidos en la legislación básica del Estado, y de acuerdo con los principios que establece el art. 1 del texto refundido de la Ley de contratos del sector público, no cabe concluir vulneración alguna de los preceptos básicos estatales pues, en su caso, la infracción se produciría si el procedimiento de capitalización que se lleve a efecto no se adecuara a las exigencias de la normativa básica estatal que esté vigente en el momento de la transformación de la mercantil en una sociedad mixta, que tiene por asignada por ley la prestación de los servicios de abastecimiento, depuración y reutilización que corresponden a la Comunidad Autónoma, ya sea por ser de su competencia —servicios integrados—, ya sea porque se los encomienden los Ayuntamientos.</w:t>
      </w:r>
    </w:p>
    <w:p w:rsidR="0085709A" w:rsidRDefault="0085709A" w:rsidP="0085709A">
      <w:pPr>
        <w:pStyle w:val="TextoNormal"/>
      </w:pPr>
    </w:p>
    <w:p w:rsidR="0085709A" w:rsidRDefault="0085709A" w:rsidP="0085709A">
      <w:pPr>
        <w:pStyle w:val="TextoNormal"/>
      </w:pPr>
      <w:r>
        <w:t>Por los argumentos expuestos, debemos rechazar la vulneración de la competencia que asiste al Estado ex art. 149.1.18 CE para regular las bases de los contratos y concesiones administrativas.</w:t>
      </w:r>
    </w:p>
    <w:p w:rsidR="0085709A" w:rsidRDefault="0085709A" w:rsidP="0085709A">
      <w:pPr>
        <w:pStyle w:val="TextoNormal"/>
      </w:pPr>
    </w:p>
    <w:p w:rsidR="0085709A" w:rsidRDefault="0085709A" w:rsidP="0085709A">
      <w:pPr>
        <w:pStyle w:val="TextoNormal"/>
      </w:pPr>
      <w:r w:rsidRPr="0085709A">
        <w:rPr>
          <w:rStyle w:val="NumeroAFNegritaCaracter"/>
        </w:rPr>
        <w:t>8</w:t>
      </w:r>
      <w:r>
        <w:t>. La segunda infracción constitucional denunciada consiste en la vulneración de la competencia que asiste al Estado para regular el procedimiento administrativo común, dada la contradicción en que habría incurrido la norma impugnada con los arts. 6 y 15.4 LPC, al regular una nueva causa de resolución de los convenios de encomienda, aún vigentes, suscritos entre los Ayuntamientos y el Canal. La nueva causa de resolución a la que se refiere la demanda es el libre desistimiento de las partes.</w:t>
      </w:r>
    </w:p>
    <w:p w:rsidR="0085709A" w:rsidRDefault="0085709A" w:rsidP="0085709A">
      <w:pPr>
        <w:pStyle w:val="TextoNormal"/>
      </w:pPr>
    </w:p>
    <w:p w:rsidR="0085709A" w:rsidRDefault="0085709A" w:rsidP="0085709A">
      <w:pPr>
        <w:pStyle w:val="TextoNormal"/>
      </w:pPr>
      <w:r>
        <w:t>Esta infracción constitucional es, sin duda, distinta de la vulneración de la prohibición de retroactividad de las normas sancionadoras o restrictivas de derechos y de seguridad jurídica. Aunque la demanda realiza una exposición conjunta de ambas, los principios generales del Derecho consagrados en el art. 9.3 CE constituyen mandatos dirigidos a los poderes públicos y, en especial, al legislador (STC 237/1993, de 12 de julio, FJ 12) al margen y con independencia de la distribución constitucional de competencias, razón por la cual se abordarán separadamente.</w:t>
      </w:r>
    </w:p>
    <w:p w:rsidR="0085709A" w:rsidRDefault="0085709A" w:rsidP="0085709A">
      <w:pPr>
        <w:pStyle w:val="TextoNormal"/>
      </w:pPr>
    </w:p>
    <w:p w:rsidR="0085709A" w:rsidRDefault="0085709A" w:rsidP="0085709A">
      <w:pPr>
        <w:pStyle w:val="TextoNormal"/>
      </w:pPr>
      <w:r>
        <w:lastRenderedPageBreak/>
        <w:t>El apartado 2 del art. 5 de la Ley 6/2011 da nueva redacción al art. 16.3.2 de la Ley 3/2008, que establece ahora lo siguiente:</w:t>
      </w:r>
    </w:p>
    <w:p w:rsidR="0085709A" w:rsidRDefault="0085709A" w:rsidP="0085709A">
      <w:pPr>
        <w:pStyle w:val="TextoNormal"/>
      </w:pPr>
    </w:p>
    <w:p w:rsidR="0085709A" w:rsidRDefault="0085709A" w:rsidP="0085709A">
      <w:pPr>
        <w:pStyle w:val="TextoNormal"/>
      </w:pPr>
      <w:r>
        <w:t>“2. Los Municipios que, manteniendo en vigor algún convenio por el que encomienden al Canal de Isabel II el servicio de distribución a su población, no hayan suscrito, con anterioridad a la autorización del proceso de capitalización, el correspondiente convenio de incorporación al nuevo modelo de gestión percibirán temporalmente una cantidad anual por habitante, que se fijará por el Consejo de Gobierno una vez aprobada la valoración del contrato-programa, desde la entrada efectiva de capital privado en la sociedad hasta que se proceda a la resolución y liquidación del convenio o los convenios de encomienda de servicios vigentes. A tal efecto, el Ayuntamiento y el Canal de Isabel II podrán desistir libremente de cualquiera de tales convenios, procediéndose a su liquidación que implicará, en su caso, la entrega de la red y el traspaso de la gestión a favor del Ayuntamiento y el pago de las cantidades respectivamente adeudadas, incluidas las inversiones pendientes de amortización.”</w:t>
      </w:r>
    </w:p>
    <w:p w:rsidR="0085709A" w:rsidRDefault="0085709A" w:rsidP="0085709A">
      <w:pPr>
        <w:pStyle w:val="TextoNormal"/>
      </w:pPr>
    </w:p>
    <w:p w:rsidR="0085709A" w:rsidRDefault="0085709A" w:rsidP="0085709A">
      <w:pPr>
        <w:pStyle w:val="TextoNormal"/>
      </w:pPr>
      <w:r>
        <w:t>Para resolver la infracción de la competencia que el Estado ostenta en materia de procedimiento administrativo común ex art. 149.18 CE, debemos seguir el mismo método de análisis anteriormente utilizado, por tratarse, nuevamente, de un supuesto de inconstitucionalidad mediata.</w:t>
      </w:r>
    </w:p>
    <w:p w:rsidR="0085709A" w:rsidRDefault="0085709A" w:rsidP="0085709A">
      <w:pPr>
        <w:pStyle w:val="TextoNormal"/>
      </w:pPr>
    </w:p>
    <w:p w:rsidR="0085709A" w:rsidRDefault="0085709A" w:rsidP="0085709A">
      <w:pPr>
        <w:pStyle w:val="TextoNormal"/>
      </w:pPr>
      <w:r>
        <w:t>Los preceptos que se reputan vulnerados son los arts. 6 y 15.4 LPC. El art. 1 de esta disposición legal determina que la misma “establece y regula las bases del régimen jurídico, el procedimiento administrativo común y la responsabilidad de las Administraciones públicas”. Aunque no sea ya una técnica al uso en la legislación estatal, este precepto cumple con las exigencias que la doctrina constitucional ha predicado del carácter formal de lo básico, que no pretende sino evitar elementos de confusión e incertidumbre (STC 158/2011, de 19 de octubre, FJ 7). Tanto más cuanto, tal y como ha señalado este Tribunal, no es exigible al legislador estatal que identifique para cada precepto el título competencial que ha utilizado. En definitiva, ya sea en el ejercicio de sus competencias exclusivas, ya lo sea como bases del régimen jurídico de las Administraciones públicas, de acuerdo con el art. 1 LPC, no cabe duda de que esta Ley vincula al legislador autonómico.</w:t>
      </w:r>
    </w:p>
    <w:p w:rsidR="0085709A" w:rsidRDefault="0085709A" w:rsidP="0085709A">
      <w:pPr>
        <w:pStyle w:val="TextoNormal"/>
      </w:pPr>
    </w:p>
    <w:p w:rsidR="0085709A" w:rsidRDefault="0085709A" w:rsidP="0085709A">
      <w:pPr>
        <w:pStyle w:val="TextoNormal"/>
      </w:pPr>
      <w:r>
        <w:t>El art. 6 regula los convenios de colaboración entre la Administración del Estado y organismos públicos vinculados y dependientes de la misma, con los órganos correspondientes de las Comunidades Autónomas, por lo que no resulta de aplicación a los convenios de colaboración suscritos entre las entidades locales y las Comunidades Autónomas y organismos públicos de estas dependientes, como es el caso de los convenios suscritos entre los Ayuntamientos madrileños y el Canal. Así pues, la regulación de la citada causa de resolución no puede vulnerar, por no resultar de aplicación, lo establecido en este precepto. Ello hace innecesario que nos pronunciemos sobre su carácter materialmente básico.</w:t>
      </w:r>
    </w:p>
    <w:p w:rsidR="0085709A" w:rsidRDefault="0085709A" w:rsidP="0085709A">
      <w:pPr>
        <w:pStyle w:val="TextoNormal"/>
      </w:pPr>
    </w:p>
    <w:p w:rsidR="0085709A" w:rsidRDefault="0085709A" w:rsidP="0085709A">
      <w:pPr>
        <w:pStyle w:val="TextoNormal"/>
      </w:pPr>
      <w:r>
        <w:t xml:space="preserve">El art. 15 LPC regula la encomienda de gestión. Su apartado 4 establece que cuando la encomienda de gestión se realice entre órganos o entidades de distintas Administraciones públicas se formalice mediante la firma del correspondiente convenio o acuerdo. Se trata de una manifestación del principio general de colaboración y cooperación que inspira la relación entre Administraciones dotadas de autonomía, plasmado en el art. 3.2 LPC, principio que ordena las relaciones interadministrativas no vinculadas por el principio de jerarquía sino en razón de los intereses que cada una de ellas representa, y al que el art. 57 LBRL se </w:t>
      </w:r>
      <w:r>
        <w:lastRenderedPageBreak/>
        <w:t>refiere expresamente al establecer que la cooperación económica, técnica y administrativa entre la Administración local y las Administraciones del Estado y de las Comunidades Autónomas, tanto en servicios locales, como en asuntos de interés común, se desarrollará con carácter voluntario. Así pues, la exigencia de un convenio o acuerdo de voluntades puede reconducirse, con total naturalidad, al mínimo común denominador que caracteriza las bases del régimen jurídico de las Administraciones públicas.</w:t>
      </w:r>
    </w:p>
    <w:p w:rsidR="0085709A" w:rsidRDefault="0085709A" w:rsidP="0085709A">
      <w:pPr>
        <w:pStyle w:val="TextoNormal"/>
      </w:pPr>
    </w:p>
    <w:p w:rsidR="0085709A" w:rsidRDefault="0085709A" w:rsidP="0085709A">
      <w:pPr>
        <w:pStyle w:val="TextoNormal"/>
      </w:pPr>
      <w:r>
        <w:t>Esto señalado, conviene precisar que el art. 15.4 LPC no contiene regulación material alguna sobre las causas de resolución de estos convenios de encomienda, por lo que difícilmente puede contradecirlo la previsión según la cual las dos partes pueden desistir libremente del convenio. Antes al contrario, en abstracto considerada, resulta coherente con el principio de voluntariedad que preside la colaboración entre Administraciones públicas.</w:t>
      </w:r>
    </w:p>
    <w:p w:rsidR="0085709A" w:rsidRDefault="0085709A" w:rsidP="0085709A">
      <w:pPr>
        <w:pStyle w:val="TextoNormal"/>
      </w:pPr>
    </w:p>
    <w:p w:rsidR="0085709A" w:rsidRDefault="0085709A" w:rsidP="0085709A">
      <w:pPr>
        <w:pStyle w:val="TextoNormal"/>
      </w:pPr>
      <w:r>
        <w:t>No es posible, en consecuencia, concluir con la vulneración de las competencias estatales en materia de procedimiento administrativo común y bases del régimen jurídico de las Administraciones públicas.</w:t>
      </w:r>
    </w:p>
    <w:p w:rsidR="0085709A" w:rsidRDefault="0085709A" w:rsidP="0085709A">
      <w:pPr>
        <w:pStyle w:val="TextoNormal"/>
      </w:pPr>
    </w:p>
    <w:p w:rsidR="0085709A" w:rsidRDefault="0085709A" w:rsidP="0085709A">
      <w:pPr>
        <w:pStyle w:val="TextoNormal"/>
      </w:pPr>
      <w:r w:rsidRPr="0085709A">
        <w:rPr>
          <w:rStyle w:val="NumeroAFNegritaCaracter"/>
        </w:rPr>
        <w:t>9</w:t>
      </w:r>
      <w:r>
        <w:t>. Se alega la vulneración, por el apartado transcrito en el anterior Fundamento Jurídico, de la prohibición de retroactividad de las normas sancionadoras y de las restrictivas de derechos individuales, así como del principio de seguridad jurídica, ambos consagrados en el art. 9.3 CE.</w:t>
      </w:r>
    </w:p>
    <w:p w:rsidR="0085709A" w:rsidRDefault="0085709A" w:rsidP="0085709A">
      <w:pPr>
        <w:pStyle w:val="TextoNormal"/>
      </w:pPr>
    </w:p>
    <w:p w:rsidR="0085709A" w:rsidRDefault="0085709A" w:rsidP="0085709A">
      <w:pPr>
        <w:pStyle w:val="TextoNormal"/>
      </w:pPr>
      <w:r>
        <w:t xml:space="preserve">Argumenta la demanda, que como la regulación del libre desistimiento por las partes conlleva la obligación de devolver al Canal las inversiones no amortizadas, constituye una medida que opera con carácter retroactivo sobre relaciones jurídicas previas y aún vigentes. Una medida equivalente a una sanción que se impone a los Ayuntamientos que no desean incorporarse al nuevo sistema de gestión, o, en otro caso, una medida restrictiva de los derechos individuales nacidos del convenio suscrito y todavía vigente. Debe observarse, en primer lugar, que la ley se refiere a los convenios de encomienda de gestión del servicio de distribución que, a diferencia de los servicios integrados de interés autonómico y, por tanto, de competencia de la Comunidad, es de competencia municipal, pudiendo ser prestado por la Comunidad Autónoma, aunque para ello debe mediar el acuerdo de ambas voluntades. En segundo lugar, que el libre desistimiento está directamente condicionado a la negativa del municipio afectado a renovar la encomienda de gestión previamente realizada, una vez modificada la estructura organizativa de la administración encomendada. En otras palabras, la ley ha desechado un sistema de resolución ope legis de los convenios, dado el riesgo que ello podría ocasionar para la continuidad de la prestación del servicio de competencia municipal, y ha optado por exigir una actuación positiva de cualquiera de las partes afectadas por el convenio o de las dos conjuntamente. Y en tercer lugar, que el precepto impugnado no se refiere única y exclusivamente a la obligación de devolver al Canal las inversiones aún no amortizadas, sino que establece la forma de liquidación del convenio, esto es, la devolución de la red de distribución que estaba gestionando la entidad autonómica por encomienda del Ayuntamiento, así como la devolución de las cantidades adeudadas hasta el momento por cualquiera de las partes, entre las cuales se incluyen expresamente, aunque ello no hubiera sido necesario, las adeudadas al Canal por el concepto anteriormente señalado. Ello permite descartar, desde este momento, el carácter punitivo o represivo de esta medida para una de las partes afectadas, pues afecta por igual a la entidad autonómica y a los Ayuntamientos. En definitiva, la regulación del desistimiento de cualquiera de las partes </w:t>
      </w:r>
      <w:r>
        <w:lastRenderedPageBreak/>
        <w:t>es la consecuencia necesaria de la voluntad del Ayuntamiento de no mantener la encomienda de gestión, una vez modificada una de las características esenciales del encargo, por causas derivadas de la voluntad legislativa y ajena a la de las partes.</w:t>
      </w:r>
    </w:p>
    <w:p w:rsidR="0085709A" w:rsidRDefault="0085709A" w:rsidP="0085709A">
      <w:pPr>
        <w:pStyle w:val="TextoNormal"/>
      </w:pPr>
    </w:p>
    <w:p w:rsidR="0085709A" w:rsidRDefault="0085709A" w:rsidP="0085709A">
      <w:pPr>
        <w:pStyle w:val="TextoNormal"/>
      </w:pPr>
      <w:r>
        <w:t>La aplicación del principio de irretroactividad del art. 9.3 CE en los términos postulados en la demanda llevaría a una situación de parálisis del ordenamiento jurídico. El legislador no podría modificar, no ya sólo la estructura organizativa del Canal, sino cualquier otra condición material que afectara a los términos de la encomienda hasta la finalización del plazo de vigencia de los convenios de distribución ya suscritos. Sin embargo, de acuerdo con la doctrina de este Tribunal, el art. 9.3 CE no contiene una prohibición absoluta de retroactividad que conduciría a situaciones congeladoras del ordenamiento contrarias al art. 9.2 CE (STC 126/1987, de 16 de julio, FJ 11), ni impide que las leyes puedan afectar a derechos e intereses derivados de situaciones jurídicas que siguen produciendo efectos, pues no hay retroactividad cuando una norma regula pro futuro situaciones jurídicas creadas con anterioridad a su entrada en vigor o cuyos efectos no se han consumado, ya que el legislador puede variar ex nunc el régimen jurídico preexistente de los derechos individuales, siempre que se ajuste a las restantes exigencias de la Constitución (STC 227/1988, de 29 de noviembre, FJ 9). Debemos por ello rechazar la vulneración por el precepto impugnado del principio de irretroactividad de las normas sancionadoras o restrictivas de derechos.</w:t>
      </w:r>
    </w:p>
    <w:p w:rsidR="0085709A" w:rsidRDefault="0085709A" w:rsidP="0085709A">
      <w:pPr>
        <w:pStyle w:val="TextoNormal"/>
      </w:pPr>
    </w:p>
    <w:p w:rsidR="0085709A" w:rsidRDefault="0085709A" w:rsidP="0085709A">
      <w:pPr>
        <w:pStyle w:val="TextoNormal"/>
      </w:pPr>
      <w:r>
        <w:t>A la misma conclusión debemos llegar en relación con la vulneración del principio de seguridad jurídica que, conforme a la doctrina de este Tribunal, implica que el legislador debe procurar que los operadores jurídicos y ciudadanos sepan a qué atenerse, huir de provocar situaciones confusas y perplejidades difícilmente salvables respecto de la previsibilidad de cuál sea el Derecho aplicable y las consecuencias derivadas del mismo (STC 46/1990, de 15 de marzo, FJ 4). No existe en este caso duda alguna sobre el derecho aplicable. No la hay en cuanto a las consecuencias de la falta de renovación de la encomienda preexistente a la nueva entidad mercantil instrumental ya que la ley prevé la asignación de una cantidad hasta que se proceda a la resolución y liquidación del convenio o los convenios de encomienda de servicios vigentes, lo cual se producirá por el desistimiento de cualquiera de las partes o de ambas. Tampoco la hay, en contra de lo que alega el recurso, porque los Ayuntamientos no puedan saber, a partir de la lectura del precepto impugnado los términos concretos en que se realizarán las nuevas encomiendas que dependen, como cualesquiera otras, y entre otros factores, de la voluntad de quien encomienda y del encomendado. De hecho, la regulación legal de la incorporación al nuevo sistema o nueva encomienda es muy similar a la contenida en la Ley de Madrid 17/1984, de 20 de diciembre, reguladora del abastecimiento y saneamiento del agua de Madrid, que, lejos de regular las condiciones en que podía llevarse a efecto la citada encomienda, se limita a contener una mención a la posibilidad de que la Comunidad de Madrid pudiera asumir, a instancia de las entidades locales, las funciones que les corresponde en la materia (art. 5.3) así como una referencia a la competencia del Canal para explotar los servicios promovidos directamente o “encomendados” a la Comunidad de Madrid (art. 6.1). Finalmente, cabe descartar lesión alguna de este principio, derivada de que la infracción de la normativa estatal induce a confusión sobre la norma a aplicar, la estatal o la autonómica, no sólo porque no existe esta contradicción, sino, además, porque como afirmó este Tribunal ante un idéntico razonamiento “[l]a tesis que sostiene la demanda conduce derechamente a la negación de las bases del sistema constitucional de distribución de competencias, pues la sola atribución de competencias legisla</w:t>
      </w:r>
      <w:r>
        <w:lastRenderedPageBreak/>
        <w:t>tivas a las Comunidades Autónomas vulneraría, de acuerdo con su planteamiento, el principio de seguridad jurídica. Debe, por tanto, rechazarse de plano esta objeción” (STC 84/2015, de 30 de abril, FJ 6).</w:t>
      </w:r>
    </w:p>
    <w:p w:rsidR="0085709A" w:rsidRDefault="0085709A" w:rsidP="0085709A">
      <w:pPr>
        <w:pStyle w:val="TextoNormal"/>
      </w:pPr>
    </w:p>
    <w:p w:rsidR="0085709A" w:rsidRDefault="0085709A" w:rsidP="0085709A">
      <w:pPr>
        <w:pStyle w:val="TextoNormal"/>
      </w:pPr>
      <w:r w:rsidRPr="0085709A">
        <w:rPr>
          <w:rStyle w:val="NumeroAFNegritaCaracter"/>
        </w:rPr>
        <w:t>10</w:t>
      </w:r>
      <w:r>
        <w:t>. Queda finalmente por abordar la vulneración del principio de autonomía local. En esencia, entienden los recurrentes que, resueltos los convenios de encomienda anteriores, los municipios no pueden prestar el servicio de distribución por no disponer de los medios suficientes para realizar la aducción y depuración. En otras palabras, la resolución del anterior convenio de encomienda de la distribución de agua, les aboca o bien a suscribir el nuevo sistema de gestión, o bien a no poder prestar los servicios obligatorios que la ley les atribuye. Por otra parte, incluso en el caso de que los municipios decidieran incorporarse al nuevo sistema, se estarían detrayendo bienes e ingresos locales, porque el derecho real de uso de las redes municipales de abastecimiento se transmitiría a la empresa como parte del capital social y ello limita la plena disponibilidad de los recursos municipales. Finalmente, los precios de los servicios se fijan por la nueva empresa, eliminándose así la participación de los municipios en los asuntos que les atañen.</w:t>
      </w:r>
    </w:p>
    <w:p w:rsidR="0085709A" w:rsidRDefault="0085709A" w:rsidP="0085709A">
      <w:pPr>
        <w:pStyle w:val="TextoNormal"/>
      </w:pPr>
    </w:p>
    <w:p w:rsidR="0085709A" w:rsidRDefault="0085709A" w:rsidP="0085709A">
      <w:pPr>
        <w:pStyle w:val="TextoNormal"/>
      </w:pPr>
      <w:r>
        <w:t>La solución de esta queja sólo puede partir de lo que dice la ley, al margen del contenido del acuerdo del Consejo de Gobierno que autorice la constitución de la sociedad anónima y de los términos de los convenios de incorporación de los municipios al nuevo sistema de gestión, que no son objeto de este proceso constitucional. La Ley 3/2008 establece que la empresa mixta gestionará, tanto los servicios supramunicipales —aducción depuración y reutilización—, como los que encomienden los municipios a la Comunidad Autónoma —distribución y saneamiento— por razones de eficacia o por carecer de los medios técnicos y materiales para ello. Los municipios que, teniendo vigente un convenio de encomienda de distribución, no hayan suscrito con anterioridad a la autorización de la conversión de la empresa mixta el convenio de incorporación al nuevo modelo de gestión, esto es, decidan no encomendarle la gestión de las actividades necesarias para la prestación de este servicio de su competencia, percibirán una cantidad anual por habitante hasta la resolución del convenio. Así pues, de acuerdo con la Ley 17/1984, los servicios de interés supramunicipal —aducción, depuración y reutilización—, siguen siendo de competencia autonómica y prestados por la Comunidad, y nada tienen que ver con la encomienda del servicio de distribución de competencia municipal. Los municipios pueden elegir, exactamente en los mismos términos que antes, si desean prestar directamente los servicios de su competencia —distribución y saneamiento— o prefieren encomendar las labores técnicas, materiales o de servicios a una entidad instrumental de otra administración pública, con la diferencia de que ahora la encargada de gestionarlos no será una entidad de Derecho público. De la misma forma, pueden elegir prestar por sí mismos los servicios que les corresponden o, por el contrario, recurrir a la utilización de los servicios integrados de la Comunidad Autónoma. En conclusión, la resolución de los convenios provocada por el cambio de sistema de gestión no vulnera la autonomía local, haciendo inviable la prestación por los municipios de los servicios municipales. Es más, aun cuando sea ésta la conclusión a la que finalmente llega la demanda, la autonomía local no se ve afectada por la modificación del sistema de gestión, pues aquella no ampara el mantenimiento de los convenios de encomienda en los términos previamente suscritos y, menos aún la imposición a otra Administración de las condiciones de la encomienda de gestión, que se rige por el principio de voluntariedad.</w:t>
      </w:r>
    </w:p>
    <w:p w:rsidR="0085709A" w:rsidRDefault="0085709A" w:rsidP="0085709A">
      <w:pPr>
        <w:pStyle w:val="TextoNormal"/>
      </w:pPr>
    </w:p>
    <w:p w:rsidR="0085709A" w:rsidRDefault="0085709A" w:rsidP="0085709A">
      <w:pPr>
        <w:pStyle w:val="TextoNormal"/>
      </w:pPr>
      <w:r>
        <w:lastRenderedPageBreak/>
        <w:t>En este mismo sentido, aunque se interprete de forma sistemática en el contexto del art. 16 de la Ley 3/2008, no existe base alguna en el precepto impugnado para afirmar que la empresa mixta determinará los precios públicos de los servicios que correspondería determinar a los municipios ex art. 20.4 del texto refundido de la Ley de haciendas locales. El régimen tarifario vigente es el regulado en el capítulo III de la Ley 17/1984 y desarrollado por el Decreto 137/1985, y no ha sido objeto de modificación por el precepto impugnado, por lo que difícilmente podrá haber afectado el precepto impugnado a la autonomía local.</w:t>
      </w:r>
    </w:p>
    <w:p w:rsidR="0085709A" w:rsidRDefault="0085709A" w:rsidP="0085709A">
      <w:pPr>
        <w:pStyle w:val="TextoNormal"/>
      </w:pPr>
    </w:p>
    <w:p w:rsidR="0085709A" w:rsidRDefault="0085709A" w:rsidP="0085709A">
      <w:pPr>
        <w:pStyle w:val="TextoNormal"/>
      </w:pPr>
      <w:r>
        <w:t>Finalmente, debemos descartar también la vulneración de la autonomía local en su vertiente económica por el hecho de que los Ayuntamientos que hayan decidido incorporarse al nuevo sistema se habrían visto despojados del derecho real de uso de las redes municipales de abastecimiento. La autonomía de los entes locales va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en definitiva, el ejercicio de la autonomía constitucionalmente reconocido en los arts. 137, 140 y 141 CE (STC 104/2000, de 13 de abril, FJ 4). Cuando los municipios ejercitan su capacidad de decisión en aras a satisfacer los intereses que tienen encomendados y optan por un sistema de gestión de sus servicios públicos que requiere el uso por un tercero de las infraestructuras municipales, no se produce una lesión de la autonomía local sino, antes al contrario, ello es el resultado necesario de su ejercicio.</w:t>
      </w:r>
    </w:p>
    <w:p w:rsidR="0085709A" w:rsidRDefault="0085709A" w:rsidP="0085709A">
      <w:pPr>
        <w:pStyle w:val="TextoNormal"/>
      </w:pPr>
    </w:p>
    <w:p w:rsidR="0085709A" w:rsidRDefault="0085709A" w:rsidP="0085709A">
      <w:pPr>
        <w:pStyle w:val="TextoNormal"/>
      </w:pPr>
      <w:r>
        <w:t>Por las razones que venimos de exponer debemos rechazar que el art. 5.2 de la Ley 6/2011, haya vulnerado la autonomía local.</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recurso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7" w:name="SENTENCIA_2015_104"/>
      <w:r>
        <w:lastRenderedPageBreak/>
        <w:t>SENTENCIA 104/2015, de 28 de mayo de 2015</w:t>
      </w:r>
    </w:p>
    <w:bookmarkEnd w:id="107"/>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ECLI:ES:TC:2015:104</w:t>
      </w:r>
    </w:p>
    <w:p w:rsidR="0085709A" w:rsidRDefault="0085709A" w:rsidP="0085709A">
      <w:pPr>
        <w:pStyle w:val="TextoNormalCentrado"/>
      </w:pPr>
    </w:p>
    <w:p w:rsidR="0085709A" w:rsidRDefault="0085709A" w:rsidP="0085709A">
      <w:pPr>
        <w:pStyle w:val="SntesisDescriptiva"/>
      </w:pPr>
      <w:r>
        <w:t>Recurso de inconstitucionalidad 2063-2012. Interpuesto por cincuenta Senadores del Grupo Parlamentario Socialista del Senado en relación con diversos preceptos del Decreto-ley del Consell 1/2012, de 5 de enero, de medidas urgentes para la reducción del déficit en la Comunidad Valenciana.</w:t>
      </w:r>
    </w:p>
    <w:p w:rsidR="0085709A" w:rsidRDefault="0085709A" w:rsidP="0085709A">
      <w:pPr>
        <w:pStyle w:val="SntesisDescriptiva"/>
      </w:pPr>
    </w:p>
    <w:p w:rsidR="0085709A" w:rsidRDefault="0085709A" w:rsidP="0085709A">
      <w:pPr>
        <w:pStyle w:val="SntesisAnaltica"/>
      </w:pPr>
      <w:r>
        <w:t>Límites de los decretos-leyes autonómicos: constitucionalidad de las disposiciones sobre personal laboral del sector público de la Comunidad Valenciana contenidas en el Decreto-ley impugnado. Voto particular.</w:t>
      </w:r>
    </w:p>
    <w:p w:rsidR="0085709A" w:rsidRDefault="0085709A" w:rsidP="0085709A">
      <w:pPr>
        <w:pStyle w:val="SntesisAnaltica"/>
      </w:pPr>
    </w:p>
    <w:p w:rsidR="0085709A" w:rsidRDefault="0085709A" w:rsidP="0085709A">
      <w:pPr>
        <w:pStyle w:val="Extracto"/>
      </w:pPr>
      <w:r>
        <w:t>1.</w:t>
      </w:r>
      <w:r>
        <w:tab/>
        <w:t>En los casos de recurso de inconstitucionalidad con controversia competencial,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sino determinar si con esa expulsión ha cesado o no la controversia competencial, toda vez que poner fin a la misma a la luz del orden constitucional de reparto de competencias es el fin último al que sirven tales procesos (STC 149/2012) [FJ 3].</w:t>
      </w:r>
    </w:p>
    <w:p w:rsidR="0085709A" w:rsidRDefault="0085709A" w:rsidP="0085709A">
      <w:pPr>
        <w:pStyle w:val="Extracto"/>
      </w:pPr>
    </w:p>
    <w:p w:rsidR="0085709A" w:rsidRDefault="0085709A" w:rsidP="0085709A">
      <w:pPr>
        <w:pStyle w:val="Extracto"/>
      </w:pPr>
      <w:r>
        <w:t>2.</w:t>
      </w:r>
      <w:r>
        <w:tab/>
        <w:t>La extraordinaria y urgente necesidad del Decreto-ley del Consell 1/2012 vendría determinada por la necesidad de reducir el nivel de déficit público y, por ende, de corregir el desequilibrio presupuestario de la Generalitat, derivado de la crisis económica que afectaba a la Comunitat Valenciana, como al conjunto del Estado [FJ 7].</w:t>
      </w:r>
    </w:p>
    <w:p w:rsidR="0085709A" w:rsidRDefault="0085709A" w:rsidP="0085709A">
      <w:pPr>
        <w:pStyle w:val="Extracto"/>
      </w:pPr>
    </w:p>
    <w:p w:rsidR="0085709A" w:rsidRDefault="0085709A" w:rsidP="0085709A">
      <w:pPr>
        <w:pStyle w:val="Extracto"/>
      </w:pPr>
      <w:r>
        <w:t>3.</w:t>
      </w:r>
      <w:r>
        <w:tab/>
        <w:t>Las medidas incluidas en el Decreto-ley 1/2012 no carecen de conexión de sentido con la situación de extraordinaria y urgente necesidad definida por el Gobierno, pues, por un lado, eran idóneas para las consecución del objetivo marcado de reducción del déficit público y, por otro lado, tenían incidencia directa en la reducción del gasto en personal en el sector público de la Comunitat Valenciana [FJ 7].</w:t>
      </w:r>
    </w:p>
    <w:p w:rsidR="0085709A" w:rsidRDefault="0085709A" w:rsidP="0085709A">
      <w:pPr>
        <w:pStyle w:val="Extracto"/>
      </w:pPr>
    </w:p>
    <w:p w:rsidR="0085709A" w:rsidRDefault="0085709A" w:rsidP="0085709A">
      <w:pPr>
        <w:pStyle w:val="Extracto"/>
      </w:pPr>
      <w:r>
        <w:t>4.</w:t>
      </w:r>
      <w:r>
        <w:tab/>
        <w:t>La norma controvertida no regula el régimen general del derecho a la negociación colectiva, ni nada dispone sobre la fuerza vinculante de los convenios colectivos en general, ni, en particular, sobre los directamente por aquellos concernidos, que mantienen la fuerza vinculante propia de este tipo de fuente, derivada de su posición en el sistema de fuentes [FJ 8].</w:t>
      </w:r>
    </w:p>
    <w:p w:rsidR="0085709A" w:rsidRDefault="0085709A" w:rsidP="0085709A">
      <w:pPr>
        <w:pStyle w:val="Extracto"/>
      </w:pPr>
    </w:p>
    <w:p w:rsidR="0085709A" w:rsidRDefault="0085709A" w:rsidP="0085709A">
      <w:pPr>
        <w:pStyle w:val="Extracto"/>
      </w:pPr>
      <w:r>
        <w:t>5.</w:t>
      </w:r>
      <w:r>
        <w:tab/>
        <w:t xml:space="preserve">La medida adoptada por el Gobierno valenciano en la norma impugnada  no supone la limitación del derecho al trabajo, pues los trabajadores afectados por las medidas adoptadas seguirán prestando servicios para la Administración valenciana pero con modificaciones en las condiciones horarias y retributivas de su trabajo, justificándose  tales medidas a fin de evitar la amortización de puestos de trabajo a la que puede llevar el elevado nivel de déficit público de la Generalitat, </w:t>
      </w:r>
      <w:r>
        <w:lastRenderedPageBreak/>
        <w:t>esto es,  garantizando el mantenimiento del puesto de trabajo en lugar de su destrucción [FJ 10].</w:t>
      </w:r>
    </w:p>
    <w:p w:rsidR="0085709A" w:rsidRDefault="0085709A" w:rsidP="0085709A">
      <w:pPr>
        <w:pStyle w:val="Extracto"/>
      </w:pPr>
    </w:p>
    <w:p w:rsidR="0085709A" w:rsidRDefault="0085709A" w:rsidP="0085709A">
      <w:pPr>
        <w:pStyle w:val="Extracto"/>
      </w:pPr>
      <w:r>
        <w:t>6.</w:t>
      </w:r>
      <w:r>
        <w:tab/>
        <w:t>El Decreto-ley impugnado, partiendo del régimen establecido en la normativa estatal en relación con la prestación de incapacidad temporal, efectúa una mejora en la Administración de la Generalitat valenciana que no vulnera las competencias estatales en materia de Seguridad Social [FJ 11].</w:t>
      </w:r>
    </w:p>
    <w:p w:rsidR="0085709A" w:rsidRDefault="0085709A" w:rsidP="0085709A">
      <w:pPr>
        <w:pStyle w:val="Extracto"/>
      </w:pPr>
    </w:p>
    <w:p w:rsidR="0085709A" w:rsidRDefault="0085709A" w:rsidP="0085709A">
      <w:pPr>
        <w:pStyle w:val="Extracto"/>
      </w:pPr>
      <w:r>
        <w:t>7.</w:t>
      </w:r>
      <w:r>
        <w:tab/>
        <w:t>Existen diferentes tipos de vínculos entre los diferentes empleados públicos y la Administración y el diferente trato se establece en función del distinto vínculo entre los empleados públicos y la Administración (funcionarios y personal laboral) o en función de las distintas categorías en que se clasifican los funcionarios (funcionarios de carrera y funcionarios interinos), por lo que no concurre un término de comparación adecuado  desde el que establecer un juicio de igualdad entre todos los empleados públicos [FJ 13].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2063-2012, interpuesto por cincuenta Senadores del Grupo Parlamentario Socialista del Senado, contra la exposición de motivos y los arts. 1 a 15 del Decreto-ley 1/2012, de 5 de enero, del Consell, de medidas urgentes para la reducción del déficit en la Comunitat Valenciana. Han comparecido y formulado alegaciones la Generalitat Valenciana y las Cortes Valencianas. Se ha personado pero no ha formulado alegaciones el Abogado del Estado.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20 de abril de 2012, cincuenta Senadores del Grupo Parlamentario Socialista del Senado, interponen recurso de inconstitucionalidad contra la exposición de motivos y los arts. 1 a 15 del Decreto-ley 1/2012, de 5 de enero, del Consell, de medidas urgentes para la reducción del déficit en la Comunitat Valenciana.</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Los motivos del recurso de inconstitucionalidad son los que, sucintamente, se recogen a continuación:</w:t>
      </w:r>
    </w:p>
    <w:p w:rsidR="0085709A" w:rsidRDefault="0085709A" w:rsidP="0085709A">
      <w:pPr>
        <w:pStyle w:val="TextoNormal"/>
      </w:pPr>
    </w:p>
    <w:p w:rsidR="0085709A" w:rsidRDefault="0085709A" w:rsidP="0085709A">
      <w:pPr>
        <w:pStyle w:val="TextoNormal"/>
      </w:pPr>
      <w:r>
        <w:t>a) Consideran los Senadores recurrentes que los preceptos impugnados vulneran el derecho de libertad sindical y el derecho a la negociación colectiva, pues suponen la quiebra de la eficacia vinculante de los acuerdos y convenios en vigor dentro del sector público y la extralimitación de la Comunidad Autónoma en sus competencias.</w:t>
      </w:r>
    </w:p>
    <w:p w:rsidR="0085709A" w:rsidRDefault="0085709A" w:rsidP="0085709A">
      <w:pPr>
        <w:pStyle w:val="TextoNormal"/>
      </w:pPr>
    </w:p>
    <w:p w:rsidR="0085709A" w:rsidRDefault="0085709A" w:rsidP="0085709A">
      <w:pPr>
        <w:pStyle w:val="TextoNormal"/>
      </w:pPr>
      <w:r>
        <w:t>Afirman que el Decreto-ley valenciano 1/2012 no sólo afecta al derecho a la negociación colectiva, incardinado éste en el núcleo esencial del derecho fundamental a la libertad sindical del art. 28.1 CE, sino que vacía de contenido el mismo, vulnerándose así los límites fijados en el art. 86.1 CE.</w:t>
      </w:r>
    </w:p>
    <w:p w:rsidR="0085709A" w:rsidRDefault="0085709A" w:rsidP="0085709A">
      <w:pPr>
        <w:pStyle w:val="TextoNormal"/>
      </w:pPr>
    </w:p>
    <w:p w:rsidR="0085709A" w:rsidRDefault="0085709A" w:rsidP="0085709A">
      <w:pPr>
        <w:pStyle w:val="TextoNormal"/>
      </w:pPr>
      <w:r>
        <w:t>Añaden que el Decreto-ley valenciano 1/2012 incumple la prohibición contenida en el art. 86.1 CE de afectar a determinadas materias, entre ellas, los derechos y libertades de los ciudadanos regulados en el título I CE, vulnerándose el derecho fundamental a la negociación colectiva, que forma parte del contenido esencial reconocido en el art. 28.1 CE, y teniendo en cuenta el reconocimiento constitucional a las organizaciones sindicales que efectúa el art. 7 CE. La vulneración del derecho a la libertad sindical y a la negociación colectiva supone la quiebra de la eficacia vinculante de los acuerdos y convenios en vigor en el sector público que sólo pueden suspenderse o modificarse por causa grave para el interés público derivada de una alteración sustancial de las circunstancias económicas y todo ello con una debida información a las organizaciones sindicales.</w:t>
      </w:r>
    </w:p>
    <w:p w:rsidR="0085709A" w:rsidRDefault="0085709A" w:rsidP="0085709A">
      <w:pPr>
        <w:pStyle w:val="TextoNormal"/>
      </w:pPr>
    </w:p>
    <w:p w:rsidR="0085709A" w:rsidRDefault="0085709A" w:rsidP="0085709A">
      <w:pPr>
        <w:pStyle w:val="TextoNormal"/>
      </w:pPr>
      <w:r>
        <w:t>Señalan que durante el año 2011 en las diferentes mesas generales de negociación de la función pública valenciana no se manifestó a las organizaciones sindicales la aplicación de las medidas que finalmente se han integrado en el Decreto-ley 1/2012. En la mesa general de 6 de septiembre de 2011 se presentó lo que el Consell de la Generalitat presentó como “Plan de Ajuste”, que comprendió la amortización de cerca de 900 plazas en la Administración del Consell entre vacantes y puestos de estructura, así como otros ajustes que afectaron a los permisos sindicales. Es más, en la mesa general de 26 de octubre de 2011 se mantuvo para 2012 la postura de la congelación salarial respecto a la anualidad de 2011, lo que finalmente tuvo su reflejo en la Ley de presupuestos de la Generalitat Valenciana 10/2011, de 27 de diciembre. A su juicio, cualquier modificación a las mismas, en coherencia, debe ser negociada con la parte sindical a través del mismo procedimiento que se llevó a cabo para la publicación de la norma presupuestaria, lo que en ningún momento se cumple en cuanto al Decreto-ley 1/2012, que es aprobado únicamente seis días después de la entrada en vigor de la Ley de presupuestos.</w:t>
      </w:r>
    </w:p>
    <w:p w:rsidR="0085709A" w:rsidRDefault="0085709A" w:rsidP="0085709A">
      <w:pPr>
        <w:pStyle w:val="TextoNormal"/>
      </w:pPr>
    </w:p>
    <w:p w:rsidR="0085709A" w:rsidRDefault="0085709A" w:rsidP="0085709A">
      <w:pPr>
        <w:pStyle w:val="TextoNormal"/>
      </w:pPr>
      <w:r>
        <w:t xml:space="preserve">Asimismo, indican que el art. 38.7 del Estatuto básico del empleado público establece que, en aquellas materias de obligada negociación, entre las que se encuentran las retribuciones de los funcionarios, únicamente cabe decisión unilateral de la Administración si previamente no existe acuerdo, lo que este caso no pudo tener lugar dado que la posibilidad de alcanzar cualquier tipo de acuerdo quedó absolutamente vedada, sin que pueda entenderse como tal el trámite informativo previo llevado a cabo en la mesa general de 4 de enero de 2012 en el que se les presentaron a las organizaciones sindicales unas medidas definitivas </w:t>
      </w:r>
      <w:r>
        <w:lastRenderedPageBreak/>
        <w:t>sin posibilidad de diálogo al respecto. En la mesa no se aportó por parte de la Administración documentación alguna, ni hubo posibilidad de negociación ya que la decisión de aprobar dichas medidas estaba tomada con anterioridad.</w:t>
      </w:r>
    </w:p>
    <w:p w:rsidR="0085709A" w:rsidRDefault="0085709A" w:rsidP="0085709A">
      <w:pPr>
        <w:pStyle w:val="TextoNormal"/>
      </w:pPr>
    </w:p>
    <w:p w:rsidR="0085709A" w:rsidRDefault="0085709A" w:rsidP="0085709A">
      <w:pPr>
        <w:pStyle w:val="TextoNormal"/>
      </w:pPr>
      <w:r>
        <w:t>Afirman, por otro lado, y sin perjuicio de lo anterior, que lo referido por la Administración en la mesa general no se corresponde con el texto del acuerdo aprobado posteriormente, existiendo múltiples divergencias entre ambos conjuntos de medidas. Así, en la mesa general se dijo que habría reducción de jornada para el personal temporal de la Generalitat, cuando posteriormente en el acuerdo impugnado ésta se circunscribe a dos sectores, y no a los docentes o estatutarios; en la mesa se dijo que se anularían los días adicionales de cualquier tipo de asuntos propios y vacaciones, cuando posteriormente no ha sido así; o, por citar otro ejemplo, aunque no se nombró en la mesa, el acuerdo impugnado recoge previsiones de amortización de un 25 por 100 de las plazas ocupadas por personal temporal.</w:t>
      </w:r>
    </w:p>
    <w:p w:rsidR="0085709A" w:rsidRDefault="0085709A" w:rsidP="0085709A">
      <w:pPr>
        <w:pStyle w:val="TextoNormal"/>
      </w:pPr>
    </w:p>
    <w:p w:rsidR="0085709A" w:rsidRDefault="0085709A" w:rsidP="0085709A">
      <w:pPr>
        <w:pStyle w:val="TextoNormal"/>
      </w:pPr>
      <w:r>
        <w:t>En cuanto a las circunstancias en las que se aprueba y publica el Decreto-ley valenciano 1/2012 señalan que el mismo nace solo seis días después de la publicación de la Ley de presupuestos de la Generalitat para el ejercicio 2012, Ley que se elabora tras un profundo estudio de la situación económica de la Comunidad Autónoma y en la que se adoptan todas las medidas necesarias dirigidas a “apuntalar en nuestra Comunitat el camino de salida de la crisis, sobre la base de austeridad, la contención de la presión fiscal, y su contenido social”, por lo que no tiene ningún sentido que seis días después la situación económica de la Comunidad haya empeorado tanto que dé lugar a la necesidad de adoptar unas medidas retributivas tan drásticas como las que contiene el Decreto en el capítulo de gastos de personal.</w:t>
      </w:r>
    </w:p>
    <w:p w:rsidR="0085709A" w:rsidRDefault="0085709A" w:rsidP="0085709A">
      <w:pPr>
        <w:pStyle w:val="TextoNormal"/>
      </w:pPr>
    </w:p>
    <w:p w:rsidR="0085709A" w:rsidRDefault="0085709A" w:rsidP="0085709A">
      <w:pPr>
        <w:pStyle w:val="TextoNormal"/>
      </w:pPr>
      <w:r>
        <w:t>Señalan que es cierto que la Ley del estatuto básico del empleado público (LEEP) prevé que en situaciones excepcionales y por causa grave de interés público derivada de una alteración sustancial de las circunstancias económicas, el órgano de gobierno puede suspender o modificar el cumplimiento de acuerdos alcanzados en materia retributiva, en la medida necesaria para salvaguardar el interés público (art. 38.10), y ello sin necesidad de negociación, informando sólo a las organizaciones sindicales, pero en las circunstancias en las que se dicta el Decreto-ley 1/2012, no existen alteración sustancial económica extrema que lo justifique, y ello es evidente cuando dichas medidas se adoptan seis días después de la publicación de una norma presupuestaria que no las contiene, y que si el ejecutivo valenciano hubiera sido diligente, de ser necesarias, habrían sido incluidas en dicha Ley de presupuestos.</w:t>
      </w:r>
    </w:p>
    <w:p w:rsidR="0085709A" w:rsidRDefault="0085709A" w:rsidP="0085709A">
      <w:pPr>
        <w:pStyle w:val="TextoNormal"/>
      </w:pPr>
    </w:p>
    <w:p w:rsidR="0085709A" w:rsidRDefault="0085709A" w:rsidP="0085709A">
      <w:pPr>
        <w:pStyle w:val="TextoNormal"/>
      </w:pPr>
      <w:r>
        <w:t>Todo ello supone, a su juicio, una vulneración del art. 28.1 CE y del art. 15 b) LEEP, sobre el derecho a la negociación colectiva de los funcionarios públicos, junto a la vulneración en este punto del art. 38.10 del mismo texto legal, por no concurrir las circunstancias de extraordinaria y urgente necesidad en el mismo previstas. Así, insisten en que resulta vulnerada la libertad sindical, en su vertiente de derecho a la negociación colectiva, al dictarse, estando vigente una norma presupuestaria reciente, una modificación sustancial de las retribuciones de los empleados públicos sin cumplimiento de la necesaria negociación colectiva con los representantes de los funcionarios públicos.</w:t>
      </w:r>
    </w:p>
    <w:p w:rsidR="0085709A" w:rsidRDefault="0085709A" w:rsidP="0085709A">
      <w:pPr>
        <w:pStyle w:val="TextoNormal"/>
      </w:pPr>
    </w:p>
    <w:p w:rsidR="0085709A" w:rsidRDefault="0085709A" w:rsidP="0085709A">
      <w:pPr>
        <w:pStyle w:val="TextoNormal"/>
      </w:pPr>
      <w:r>
        <w:t xml:space="preserve">b) Alegan, en segundo lugar, los recurrentes vulneración del art. 44.4 del Estatuto de Autonomía de la Comunitat Valenciana (EAV), en relación con el art. 86.1 CE, por no estar </w:t>
      </w:r>
      <w:r>
        <w:lastRenderedPageBreak/>
        <w:t>justificado en el caso del Decreto-ley 1/2012 el presupuesto habilitante de extraordinaria y urgente necesidad.</w:t>
      </w:r>
    </w:p>
    <w:p w:rsidR="0085709A" w:rsidRDefault="0085709A" w:rsidP="0085709A">
      <w:pPr>
        <w:pStyle w:val="TextoNormal"/>
      </w:pPr>
    </w:p>
    <w:p w:rsidR="0085709A" w:rsidRDefault="0085709A" w:rsidP="0085709A">
      <w:pPr>
        <w:pStyle w:val="TextoNormal"/>
      </w:pPr>
      <w:r>
        <w:t>Indican que aunque el Gobierno valenciano consideró necesaria la adopción de una serie de medidas urgentes que afectan a los ingresos y gastos públicos, en sesión del Consell de 5 de enero de 2011, en fecha 28 de diciembre de 2011, apenas ocho días antes del 5 de enero, se publicaba en el “DOCV” la Ley 9/2011, de 26 de diciembre, de medidas fiscales, de gestión administrativa y financiera, y de organización de la Generalitat, y el día 30 de diciembre de 2011, apenas cinco días antes, se publicaba asimismo la Ley 10/2011, de 27 de diciembre, de presupuestos de la Generalitat Valenciana para el ejercicio 2012, normas que el gobierno valenciano propone a las Cortes como el “principal instrumento de la política económica del Consell, en el marco de sus competencias” y que recogen un “conjunto de medidas dirigidas a apuntalar a nuestra Comunitat en el camino de salida de la crisis”.</w:t>
      </w:r>
    </w:p>
    <w:p w:rsidR="0085709A" w:rsidRDefault="0085709A" w:rsidP="0085709A">
      <w:pPr>
        <w:pStyle w:val="TextoNormal"/>
      </w:pPr>
    </w:p>
    <w:p w:rsidR="0085709A" w:rsidRDefault="0085709A" w:rsidP="0085709A">
      <w:pPr>
        <w:pStyle w:val="TextoNormal"/>
      </w:pPr>
      <w:r>
        <w:t>De la exposición de motivos del Decreto-ley impugnado no se obtiene una justificación contundente de una situación de extraordinaria y urgente necesidad, pues en la misma se utilizan expresiones vagas e inconcretas que no justifican en ningún caso la urgencia de las medidas adoptadas, su eficacia y suficiencia, cuando ya previamente se ha elaborado y aprobado un texto presupuestario en idéntico escenario económico. No se puede alegar que dichas medidas se adoptaron por circunstancias sobrevenidas e imprevisibles puesto que el contexto en el que se enmarca y sus circunstancias económicas eran sobradamente conocidas por el ejecutivo valenciano.</w:t>
      </w:r>
    </w:p>
    <w:p w:rsidR="0085709A" w:rsidRDefault="0085709A" w:rsidP="0085709A">
      <w:pPr>
        <w:pStyle w:val="TextoNormal"/>
      </w:pPr>
    </w:p>
    <w:p w:rsidR="0085709A" w:rsidRDefault="0085709A" w:rsidP="0085709A">
      <w:pPr>
        <w:pStyle w:val="TextoNormal"/>
      </w:pPr>
      <w:r>
        <w:t>Asimismo, señalan que de los debates en las Cortes Valencianas que llevaron a la convalidación de dicho Decreto-ley, no se puede concluir que concurrían circunstancias objetivas extraordinarias y urgentes, referidas a la evolución de la crisis económica de los “mercados financieros”, crisis que por otra parte en seis días poco podía haberse agravado, y tampoco, en dichos debates, pudo observarse la relación existente entre las medidas adoptadas y la adecuación de las mismas y su idoneidad para abordar las circunstancias necesarias y lograr el objetivo de reducción del déficit público necesario.</w:t>
      </w:r>
    </w:p>
    <w:p w:rsidR="0085709A" w:rsidRDefault="0085709A" w:rsidP="0085709A">
      <w:pPr>
        <w:pStyle w:val="TextoNormal"/>
      </w:pPr>
    </w:p>
    <w:p w:rsidR="0085709A" w:rsidRDefault="0085709A" w:rsidP="0085709A">
      <w:pPr>
        <w:pStyle w:val="TextoNormal"/>
      </w:pPr>
      <w:r>
        <w:t>En suma, entienden que el Decreto-ley 1/2012 resulta inconstitucional, en cuanto a las materias referidas, por las siguientes razones: si se hubiera presentado como proyecto de ley, el lapso de tiempo que media hasta su promulgación como ley no habría producido perjuicio alguno, sino que la necesidad que aquél pretendió satisfacer habría podido verse cumplida de igual modo; la causa desencadenante era suficientemente conocida en el momento de elaboración de la Ley de presupuestos para 2012 y podía preverse con antelación suficiente, de modo que pudo perfectamente haberse incorporado en esta Ley de presupuestos o haberse presentado un proyecto de ley tramitado en las Cortes Valencianas, por vía ordinaria o de urgencia; y ejemplo de la ausencia material de extraordinaria urgencia es que varios aspectos del Decreto-ley entraron en vigor dos meses después de su promulgación.</w:t>
      </w:r>
    </w:p>
    <w:p w:rsidR="0085709A" w:rsidRDefault="0085709A" w:rsidP="0085709A">
      <w:pPr>
        <w:pStyle w:val="TextoNormal"/>
      </w:pPr>
    </w:p>
    <w:p w:rsidR="0085709A" w:rsidRDefault="0085709A" w:rsidP="0085709A">
      <w:pPr>
        <w:pStyle w:val="TextoNormal"/>
      </w:pPr>
      <w:r>
        <w:t xml:space="preserve">c) Alegan, en tercer lugar, infracción del límite material del Decreto-ley. Esta infracción hace referencia a la imposibilidad de modificar las tarifas impositivas mediante un decreto-ley si, una vez convalidado, éste no se tramita como proyecto de ley al objeto de proceder al oportuno debate parlamentario, en base al art. 86 CE en relación con el art. 31 CE. Señalan </w:t>
      </w:r>
      <w:r>
        <w:lastRenderedPageBreak/>
        <w:t>que la Constitución prohíbe la regulación o instauración de nuevos tributos, o su modificación, por la vía del decreto-ley, mucho más si este no se tramita posteriormente en forma de proyecto de ley ante el parlamento correspondiente.</w:t>
      </w:r>
    </w:p>
    <w:p w:rsidR="0085709A" w:rsidRDefault="0085709A" w:rsidP="0085709A">
      <w:pPr>
        <w:pStyle w:val="TextoNormal"/>
      </w:pPr>
    </w:p>
    <w:p w:rsidR="0085709A" w:rsidRDefault="0085709A" w:rsidP="0085709A">
      <w:pPr>
        <w:pStyle w:val="TextoNormal"/>
      </w:pPr>
      <w:r>
        <w:t>d) En cuarto lugar, alegan vulneración del art. 33.3 CE. Consideran que el Decreto-ley valenciano 1/2012, en los arts. 9, 11 y 12, recorta derechos económicos adquiridos de los funcionarios públicos y reconocidos para dicha anualidad presupuestaria por la Ley 10/2011, de 27 de diciembre, de presupuestos de la Generalitat para el ejercicio 2012, lo que quiebra el principio de protección de la confianza legítima en su manifestación del principio de seguridad jurídica consagrado en el art. 9.3 CE. Se lesionan directamente, sin compensación indemnizatoria, derechos adquiridos de los empleados públicos y no meras expectativas, se trata de una privación patrimonial singular e individualizada, procediendo, por tanto, a una auténtica confiscación patrimonial.</w:t>
      </w:r>
    </w:p>
    <w:p w:rsidR="0085709A" w:rsidRDefault="0085709A" w:rsidP="0085709A">
      <w:pPr>
        <w:pStyle w:val="TextoNormal"/>
      </w:pPr>
    </w:p>
    <w:p w:rsidR="0085709A" w:rsidRDefault="0085709A" w:rsidP="0085709A">
      <w:pPr>
        <w:pStyle w:val="TextoNormal"/>
      </w:pPr>
      <w:r>
        <w:t>Señalan que los poderes públicos pueden cambiar la estructura de las retribuciones, pero deben mantener el montante consolidado de las citadas retribuciones mediante la técnica de los complementos absorbibles por futuros aumentos. Es decir, que pueden “congelar el salario”, como ya ha ocurrido en otras ocasiones, pero no disminuir el montante consolidado de las retribuciones, pues ahí sí que opera el concepto de derechos adquiridos.</w:t>
      </w:r>
    </w:p>
    <w:p w:rsidR="0085709A" w:rsidRDefault="0085709A" w:rsidP="0085709A">
      <w:pPr>
        <w:pStyle w:val="TextoNormal"/>
      </w:pPr>
    </w:p>
    <w:p w:rsidR="0085709A" w:rsidRDefault="0085709A" w:rsidP="0085709A">
      <w:pPr>
        <w:pStyle w:val="TextoNormal"/>
      </w:pPr>
      <w:r>
        <w:t>e) En quinto lugar, consideran vulnerado el art. 35 CE, derecho al trabajo y a una remuneración suficiente, al establecer en algunos casos reducciones abusivas en su jornada laboral y retribuciones. Siendo la motivación económica, y los supuestos objetivos a perseguir económicos, no tiene sentido que parte del acuerdo que aprueba el Consell afecte a la jornada de trabajo de sus empleados públicos.</w:t>
      </w:r>
    </w:p>
    <w:p w:rsidR="0085709A" w:rsidRDefault="0085709A" w:rsidP="0085709A">
      <w:pPr>
        <w:pStyle w:val="TextoNormal"/>
      </w:pPr>
    </w:p>
    <w:p w:rsidR="0085709A" w:rsidRDefault="0085709A" w:rsidP="0085709A">
      <w:pPr>
        <w:pStyle w:val="TextoNormal"/>
      </w:pPr>
      <w:r>
        <w:t>También se ve vulnerado el derecho al trabajo de los empleados que superen los 65 años de edad y soliciten una prolongación de su servicio activo (disposición final segunda). Establecer más límites que los derivados de la Ley general de la Seguridad Social vulnera las competencias delegadas en la Comunidad Autónoma.</w:t>
      </w:r>
    </w:p>
    <w:p w:rsidR="0085709A" w:rsidRDefault="0085709A" w:rsidP="0085709A">
      <w:pPr>
        <w:pStyle w:val="TextoNormal"/>
      </w:pPr>
    </w:p>
    <w:p w:rsidR="0085709A" w:rsidRDefault="0085709A" w:rsidP="0085709A">
      <w:pPr>
        <w:pStyle w:val="TextoNormal"/>
      </w:pPr>
      <w:r>
        <w:t>f) En sexto lugar, alegan vulneración del derecho a la igualdad y no discriminación (art. 14 CE). Este derecho sería vulnerado en los arts. 3, 4, 5, 6, 7, 8, 13, 14 y 15 del Decreto-ley valenciano 1/2012. Señalan que las medidas adoptadas sobre las empleadas y los empleados públicos en dicha norma no se aplican de igual forma a todo el personal de la Generalitat Valenciana, ya que dependiendo del sector tienen un impacto u otro, sin motivar de forma expresa el porqué de dichas desigualdades, algo en lo que debería haber sido la norma especialmente escrupulosa, dado que de lo contrario se vulnera el derecho a la igualdad y no discriminación entre el personal empleado público, y que son especialmente gravosos en el caso del personal interino y temporal.</w:t>
      </w:r>
    </w:p>
    <w:p w:rsidR="0085709A" w:rsidRDefault="0085709A" w:rsidP="0085709A">
      <w:pPr>
        <w:pStyle w:val="TextoNormal"/>
      </w:pPr>
    </w:p>
    <w:p w:rsidR="0085709A" w:rsidRDefault="0085709A" w:rsidP="0085709A">
      <w:pPr>
        <w:pStyle w:val="TextoNormal"/>
      </w:pPr>
      <w:r>
        <w:t xml:space="preserve">Indican que la imposición que se realiza en el Decreto-ley de reducir con carácter general la jornada a 25 horas semanales y proporcionalmente las retribuciones del personal funcionario interino no tiene más justificación que el hecho de ser precisamente eso: funcionario interino. Es especialmente gravoso el agravio existente entre el personal temporal de los sectores de Administración general, justicia, docente y sanitario, ya que la reducción de jornada y salario afecta a unos y no a otros, excluyendo expresamente a parte del personal </w:t>
      </w:r>
      <w:r>
        <w:lastRenderedPageBreak/>
        <w:t>entre las medidas adoptadas, sin que dicha exclusión, en la mayoría de los casos, obedezca a justificación objetiva y razonable, ni siquiera proporcionada al fin perseguido.</w:t>
      </w:r>
    </w:p>
    <w:p w:rsidR="0085709A" w:rsidRDefault="0085709A" w:rsidP="0085709A">
      <w:pPr>
        <w:pStyle w:val="TextoNormal"/>
      </w:pPr>
    </w:p>
    <w:p w:rsidR="0085709A" w:rsidRDefault="0085709A" w:rsidP="0085709A">
      <w:pPr>
        <w:pStyle w:val="TextoNormal"/>
      </w:pPr>
      <w:r>
        <w:t>La norma recurrida no contempla ni explica en modo alguno las razones objetivas que pudieran justificar el trato discriminatorio que se impone a los afectados, ni qué motivos o justificación pudieran existir para dejar fuera de la aplicación de la medidas a otros funcionarios interinos, o incluso a los funcionarios de carrera que venían desempeñando puestos de trabajo idénticos a los afectados y con sus mismas funciones y condiciones de trabajo, por el mero hecho y única razón de estar ocupados por funcionarios interinos. De ello se desprende de forma indudable que tal actuación constituye un claro supuesto de trato diferenciado y discriminatorio totalmente injustificado, vulnerando así el principio de igualdad y no discriminación del art. 14 CE.</w:t>
      </w:r>
    </w:p>
    <w:p w:rsidR="0085709A" w:rsidRDefault="0085709A" w:rsidP="0085709A">
      <w:pPr>
        <w:pStyle w:val="TextoNormal"/>
      </w:pPr>
    </w:p>
    <w:p w:rsidR="0085709A" w:rsidRDefault="0085709A" w:rsidP="0085709A">
      <w:pPr>
        <w:pStyle w:val="TextoNormal"/>
      </w:pPr>
      <w:r>
        <w:t>Añaden que otras medidas que suponen el quebranto del principio de igualdad son las que afectan a derechos de conciliación laboral, reducciones de jornada, etc.; derechos que eran de aplicación a todo el personal empleado público y que ahora se excluyen del personal temporal que vea reducida su jornada (arts. 7, 8 y 14). Es decir, el personal temporal con jornada reducida no sólo es tratado discriminatoriamente respecto a ésta, sino también respecto a otros derechos de los que disponía con anterioridad a la norma.</w:t>
      </w:r>
    </w:p>
    <w:p w:rsidR="0085709A" w:rsidRDefault="0085709A" w:rsidP="0085709A">
      <w:pPr>
        <w:pStyle w:val="TextoNormal"/>
      </w:pPr>
    </w:p>
    <w:p w:rsidR="0085709A" w:rsidRDefault="0085709A" w:rsidP="0085709A">
      <w:pPr>
        <w:pStyle w:val="TextoNormal"/>
      </w:pPr>
      <w:r>
        <w:t>También consideran discriminatorio el tratamiento arbitrario que se da a la cobertura adicional de las prestaciones por incapacidad laboral temporal (art. 15). Tras la aprobación de las medidas, existe un agravio comparativo entre las bajas médicas de corta duración (protegidas al 100 por 100) y las de mayor duración, con desprotección a partir del decimosexto día.</w:t>
      </w:r>
    </w:p>
    <w:p w:rsidR="0085709A" w:rsidRDefault="0085709A" w:rsidP="0085709A">
      <w:pPr>
        <w:pStyle w:val="TextoNormal"/>
      </w:pPr>
    </w:p>
    <w:p w:rsidR="0085709A" w:rsidRDefault="0085709A" w:rsidP="0085709A">
      <w:pPr>
        <w:pStyle w:val="TextoNormal"/>
      </w:pPr>
      <w:r>
        <w:t>g) En séptimo lugar, consideran que la Generalitat se ha excedido del ámbito de sus competencias al legislar sobre materias que son competencia exclusiva del Estado como es el período de complementación de salarios en los supuestos de incapacidad temporal por contingencias comunes, siendo ésta materia propia del Estado.</w:t>
      </w:r>
    </w:p>
    <w:p w:rsidR="0085709A" w:rsidRDefault="0085709A" w:rsidP="0085709A">
      <w:pPr>
        <w:pStyle w:val="TextoNormal"/>
      </w:pPr>
    </w:p>
    <w:p w:rsidR="0085709A" w:rsidRDefault="0085709A" w:rsidP="0085709A">
      <w:pPr>
        <w:pStyle w:val="TextoNormal"/>
      </w:pPr>
      <w:r>
        <w:t>Añaden que el Decreto-ley incluye a personal sobre el que claramente no tiene competencias legislativas, entre ellos, al personal funcionario de las Cortes Valencianas y sus instituciones dependientes y al personal funcionario de la Administración de Justicia. Así, el poder ejecutivo, utilizando las competencias legislativas atribuidas por el art. 86.1 CE no puede modificar las condiciones de trabajo contenidas en el Estatuto funcionarial del personal al servicio de las Cortes Valencianas.</w:t>
      </w:r>
    </w:p>
    <w:p w:rsidR="0085709A" w:rsidRDefault="0085709A" w:rsidP="0085709A">
      <w:pPr>
        <w:pStyle w:val="TextoNormal"/>
      </w:pPr>
    </w:p>
    <w:p w:rsidR="0085709A" w:rsidRDefault="0085709A" w:rsidP="0085709A">
      <w:pPr>
        <w:pStyle w:val="TextoNormal"/>
      </w:pPr>
      <w:r>
        <w:t xml:space="preserve">Señalan que esta misma voluntad de aplicación por encima de sus competencias se deja clara respecto al personal laboral de diferentes ámbitos cuyas condiciones de trabajo están determinadas por la legislación laboral general y sus convenios colectivos de aplicación. Esto sucede, a su juicio, con la disposición final tercera del Decreto-ley sobre suspensión de pactos y acuerdos. De esta forma, y a modo de ejemplo, indican que pretende modificar y regular las condiciones laborales del personal docente en la enseñanza concertada a los que se les aplica el V convenio colectivo de empresas de enseñanza privada sostenidas total o parcialmente con fondos públicos, modificando vía Decreto-ley lo establecido en el artículo 68 respecto a la percepción retributiva vinculada a antigüedad. Y lo mismo ocurre con las modificaciones y suspensiones de lo dispuesto en convenios colectivos de aplicación </w:t>
      </w:r>
      <w:r>
        <w:lastRenderedPageBreak/>
        <w:t>a personal laboral de fundaciones, entidades, empresas públicas, etc., en las siguientes cuestiones: suspensión de dos años de ayudas sociales, suspensión de dos años de los complementos salariales a percibir en situaciones de incapacidad temporal por enfermedad común; días de vacaciones adicionales y de asuntos propios compensatorios: límite de duración temporal de los contratos obligando a su finalización en determinados sectores el 30 de junio; modificación de la jornada semanal pactada en convenios de aplicación y contratos de trabajo.</w:t>
      </w:r>
    </w:p>
    <w:p w:rsidR="0085709A" w:rsidRDefault="0085709A" w:rsidP="0085709A">
      <w:pPr>
        <w:pStyle w:val="TextoNormal"/>
      </w:pPr>
    </w:p>
    <w:p w:rsidR="0085709A" w:rsidRDefault="0085709A" w:rsidP="0085709A">
      <w:pPr>
        <w:pStyle w:val="TextoNormal"/>
      </w:pPr>
      <w:r>
        <w:t>Con todo ello, afirman, se demuestra que pese a la absoluta carencia de habilitación para disponer en materia laboral, son muchas las medidas establecidas en el Decreto-ley 1/2012 que usurpan competencias que constitucionalmente no se encuentran comprendidas dentro de su ámbito competencial.</w:t>
      </w:r>
    </w:p>
    <w:p w:rsidR="0085709A" w:rsidRDefault="0085709A" w:rsidP="0085709A">
      <w:pPr>
        <w:pStyle w:val="TextoNormal"/>
      </w:pPr>
    </w:p>
    <w:p w:rsidR="0085709A" w:rsidRDefault="0085709A" w:rsidP="0085709A">
      <w:pPr>
        <w:pStyle w:val="TextoNormal"/>
      </w:pPr>
      <w:r>
        <w:t>Señalan que la Comunidad Autónoma no puede dictar una ley que deje sin efectos un convenio colectivo. Por este lado, está ejerciendo una competencia que no le es atribuible, pues el grado de eficacia de los mismos y los supuestos para dejar de cumplirlos se encuentran regulados en la normativa laboral estatal y la Comunidad Autónoma no tiene competencia para dictar una regulación diferente sobre la eficacia de tales instrumentos de la negociación colectiva, máxime encontrándonos ante convenios colectivos estatutarios y, por tanto, normativos. La medida usurpa la competencia estatal, violando las disposiciones de nuestra Constitución y de la competencia atribuida al Estado para regular en materia de legislación laboral.</w:t>
      </w:r>
    </w:p>
    <w:p w:rsidR="0085709A" w:rsidRDefault="0085709A" w:rsidP="0085709A">
      <w:pPr>
        <w:pStyle w:val="TextoNormal"/>
      </w:pPr>
    </w:p>
    <w:p w:rsidR="0085709A" w:rsidRDefault="0085709A" w:rsidP="0085709A">
      <w:pPr>
        <w:pStyle w:val="TextoNormal"/>
      </w:pPr>
      <w:r>
        <w:t>Por todo ello, termina suplicando que se tenga por interpuesto recurso de inconstitucionalidad contra los artículos 1, 2, 3, 4, 5, 6, 7, 8, 9, 10, 11, 12, 13, 14 y 15 y los siguientes párrafos de la exposición de motivos:</w:t>
      </w:r>
    </w:p>
    <w:p w:rsidR="0085709A" w:rsidRDefault="0085709A" w:rsidP="0085709A">
      <w:pPr>
        <w:pStyle w:val="TextoNormal"/>
      </w:pPr>
    </w:p>
    <w:p w:rsidR="0085709A" w:rsidRDefault="0085709A" w:rsidP="0085709A">
      <w:pPr>
        <w:pStyle w:val="TextoNormal"/>
      </w:pPr>
      <w:r>
        <w:t>“La necesidad de reducir el actual nivel de déficit público de la Generalitat, derivado de la evolución de la crisis económica que afecta al conjunto del Estado, exige adoptar medidas extraordinarias y urgentes en la Comunitat Valenciana.</w:t>
      </w:r>
    </w:p>
    <w:p w:rsidR="0085709A" w:rsidRDefault="0085709A" w:rsidP="0085709A">
      <w:pPr>
        <w:pStyle w:val="TextoNormal"/>
      </w:pPr>
    </w:p>
    <w:p w:rsidR="0085709A" w:rsidRDefault="0085709A" w:rsidP="0085709A">
      <w:pPr>
        <w:pStyle w:val="TextoNormal"/>
      </w:pPr>
      <w:r>
        <w:t>El presente Decreto-ley recoge una serie de medidas urgentes que el Consell adopta, en el presente ejercicio, dentro del citado marco, y las mismas afectan tanto a los ingresos públicos como a los gastos, con el fin de facilitar la reducción del desequilibrio presupuestario de la Generalitat, asegurar el cumplimiento de sus compromisos en la materia durante los próximos dos ejercicios, así como garantizar que el sector público autonómico se afiance en una senda de reequilibrio que aporte credibilidad a la evolución futura de la deuda y del déficit público autonómico.</w:t>
      </w:r>
    </w:p>
    <w:p w:rsidR="0085709A" w:rsidRDefault="0085709A" w:rsidP="0085709A">
      <w:pPr>
        <w:pStyle w:val="TextoNormal"/>
      </w:pPr>
    </w:p>
    <w:p w:rsidR="0085709A" w:rsidRDefault="0085709A" w:rsidP="0085709A">
      <w:pPr>
        <w:pStyle w:val="TextoNormal"/>
      </w:pPr>
      <w:r>
        <w:t>Estas medidas se adoptan en un contexto excepcional, sin precedentes, de falta de liquidez del conjunto de las administraciones públicas, derivado de la dificultad de obtener fondos en los mercados financieros, y en tal sentido exige un esfuerzo adicional de austeridad sobre la senda iniciada en los últimos ejercicios.</w:t>
      </w:r>
    </w:p>
    <w:p w:rsidR="0085709A" w:rsidRDefault="0085709A" w:rsidP="0085709A">
      <w:pPr>
        <w:pStyle w:val="TextoNormal"/>
      </w:pPr>
    </w:p>
    <w:p w:rsidR="0085709A" w:rsidRDefault="0085709A" w:rsidP="0085709A">
      <w:pPr>
        <w:pStyle w:val="TextoNormal"/>
      </w:pPr>
      <w:r>
        <w:t>Las medidas incluidas en el presente Decreto-ley tienen carácter complementario o adicional, dentro del marco competencial de la Comunitat, a las adoptadas por el Gobierno de la Nación en el Real Decreto Ley 20/2011, de 20 de diciembre, de medidas urgentes en materia presupuestaria, tributaria y financiera para la corrección del déficit público.”</w:t>
      </w:r>
    </w:p>
    <w:p w:rsidR="0085709A" w:rsidRDefault="0085709A" w:rsidP="0085709A">
      <w:pPr>
        <w:pStyle w:val="TextoNormal"/>
      </w:pPr>
    </w:p>
    <w:p w:rsidR="0085709A" w:rsidRDefault="0085709A" w:rsidP="0085709A">
      <w:pPr>
        <w:pStyle w:val="TextoNormal"/>
      </w:pPr>
      <w:r w:rsidRPr="0085709A">
        <w:rPr>
          <w:rStyle w:val="NumeroAFNegritaCaracter"/>
        </w:rPr>
        <w:t>3</w:t>
      </w:r>
      <w:r>
        <w:t>. Por providencia de 6 de junio de 2012 el Pleno acordó, con carácter previo a pronunciarse sobre la admisión a trámite del presente recurso, conceder un plazo de diez días a la Procuradora doña Pilar Azorín-Albiñana López para que acreditara documentalmente que los Senadores promotores del recurso han dado cumplimiento de lo previsto en el art. 82 de la Ley Orgánica del Tribunal Constitucional (LOTC), relativo a la designación del comisionado y aportara escritura del poder notarial que acredite la representación de la mencionada Procuradora.</w:t>
      </w:r>
    </w:p>
    <w:p w:rsidR="0085709A" w:rsidRDefault="0085709A" w:rsidP="0085709A">
      <w:pPr>
        <w:pStyle w:val="TextoNormal"/>
      </w:pPr>
    </w:p>
    <w:p w:rsidR="0085709A" w:rsidRDefault="0085709A" w:rsidP="0085709A">
      <w:pPr>
        <w:pStyle w:val="TextoNormal"/>
      </w:pPr>
      <w:r w:rsidRPr="0085709A">
        <w:rPr>
          <w:rStyle w:val="NumeroAFNegritaCaracter"/>
        </w:rPr>
        <w:t>4</w:t>
      </w:r>
      <w:r>
        <w:t>. Por escrito presentado en el Registro General de este Tribunal el 26 de junio de 2012 doña Pilar Azorín-Albiñana López acreditó su representación como Procuradora y a los meros efectos de cumplimiento de lo dispuesto en el art. 82 LOTC señaló al senador firmante del recurso don José María Ángel Batalla como Comisionado.</w:t>
      </w:r>
    </w:p>
    <w:p w:rsidR="0085709A" w:rsidRDefault="0085709A" w:rsidP="0085709A">
      <w:pPr>
        <w:pStyle w:val="TextoNormal"/>
      </w:pPr>
    </w:p>
    <w:p w:rsidR="0085709A" w:rsidRDefault="0085709A" w:rsidP="0085709A">
      <w:pPr>
        <w:pStyle w:val="TextoNormal"/>
      </w:pPr>
      <w:r w:rsidRPr="0085709A">
        <w:rPr>
          <w:rStyle w:val="NumeroAFNegritaCaracter"/>
        </w:rPr>
        <w:t>5</w:t>
      </w:r>
      <w:r>
        <w:t>. El Pleno, a propuesta de la Sección Primera, acordó, por providencia de 13 de septiembre de 2012, admitir a trámite el recurso y dar traslado de la demanda y documentos presentados, conforme establece el art. 34 de la Ley Orgánica del Tribunal Constitucional, al Congreso de los Diputados y al Senado, por conducto de sus Presidentes, y al Gobierno, a través del Ministro de Justicia, así como a la Generalitat Valenciana y las Cortes Valencianas, por conducto de sus Presidentes, al objeto de que en el plazo de quince días pudieran personarse en el proceso y formular las alegaciones que estimaran convenientes. También se ordenó publicar la incoación del recurso en el “Boletín Oficial del Estado” y en el “Diari Oficial de la Comunitat Valenciana”.</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registrado en este Tribunal el 19 de septiembre de 2012, el Abogado del Estado se persona en el presente procedimiento a los exclusivos efectos de que en su día se le notifiquen las resoluciones que en él se dicten.</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en el Tribunal el 25 de septiembre de 2012, se personó el Director General de la Abogacía General de la Generalitat Valenciana y solicitó prórroga del plazo concedido para la presentación del escrito de alegaciones.</w:t>
      </w:r>
    </w:p>
    <w:p w:rsidR="0085709A" w:rsidRDefault="0085709A" w:rsidP="0085709A">
      <w:pPr>
        <w:pStyle w:val="TextoNormal"/>
      </w:pPr>
    </w:p>
    <w:p w:rsidR="0085709A" w:rsidRDefault="0085709A" w:rsidP="0085709A">
      <w:pPr>
        <w:pStyle w:val="TextoNormal"/>
      </w:pPr>
      <w:r>
        <w:t>El Pleno del Tribunal acordó, por providencia de 26 de septiembre de 2012, tener por personado al Director General de la Abogacía General de la Generalitat Valenciana y concederle una prórroga en ocho días más del plazo concedido para realizar alegaciones.</w:t>
      </w:r>
    </w:p>
    <w:p w:rsidR="0085709A" w:rsidRDefault="0085709A" w:rsidP="0085709A">
      <w:pPr>
        <w:pStyle w:val="TextoNormal"/>
      </w:pPr>
    </w:p>
    <w:p w:rsidR="0085709A" w:rsidRDefault="0085709A" w:rsidP="0085709A">
      <w:pPr>
        <w:pStyle w:val="TextoNormal"/>
      </w:pPr>
      <w:r w:rsidRPr="0085709A">
        <w:rPr>
          <w:rStyle w:val="NumeroAFNegritaCaracter"/>
        </w:rPr>
        <w:t>8</w:t>
      </w:r>
      <w:r>
        <w:t>. El Presidente del Senado, mediante escrito registrado el día 26 de septiembre de 2012, comunicó que la Cámara se personaba en el procedimiento ofreciendo su colaboración a los efectos del art. 88.1 LOTC. Lo mismo hizo el Presidente del Congreso de los Diputados por escrito registrado el 27 de septiembre de 2012.</w:t>
      </w:r>
    </w:p>
    <w:p w:rsidR="0085709A" w:rsidRDefault="0085709A" w:rsidP="0085709A">
      <w:pPr>
        <w:pStyle w:val="TextoNormal"/>
      </w:pPr>
    </w:p>
    <w:p w:rsidR="0085709A" w:rsidRDefault="0085709A" w:rsidP="0085709A">
      <w:pPr>
        <w:pStyle w:val="TextoNormal"/>
      </w:pPr>
      <w:r w:rsidRPr="0085709A">
        <w:rPr>
          <w:rStyle w:val="NumeroAFNegritaCaracter"/>
        </w:rPr>
        <w:t>9</w:t>
      </w:r>
      <w:r>
        <w:t>. El Letrado de las Cortes Valencianas, en la representación que ostenta de esta Cámara, por escrito presentado el 18 de octubre de 2012 solicitó la desestimación del recurso interpuesto por las razones que, resumidamente, se exponen a continuación.</w:t>
      </w:r>
    </w:p>
    <w:p w:rsidR="0085709A" w:rsidRDefault="0085709A" w:rsidP="0085709A">
      <w:pPr>
        <w:pStyle w:val="TextoNormal"/>
      </w:pPr>
    </w:p>
    <w:p w:rsidR="0085709A" w:rsidRDefault="0085709A" w:rsidP="0085709A">
      <w:pPr>
        <w:pStyle w:val="TextoNormal"/>
      </w:pPr>
      <w:r>
        <w:lastRenderedPageBreak/>
        <w:t>a) Comienza el escrito señalando que, en relación con la vulneración del derecho a la libertad sindical y a la negociación colectiva, en el ATC 85/2011, de 7 de junio, se da respuesta a la alegación de los recurrentes relativa a la vulneración del art. 86.1 CE por regularse por decreto-ley un derecho de los ciudadanos contenido en el título I CE. Señala que en el Decreto-ley 1/2012, de 5 de enero, del Consell nos encontramos con una situación análoga al Real Decreto-ley 8/2010, de 20 de mayo, para la reducción del déficit público. En el Decreto-ley valenciano 1/2012 no se regula el derecho a la negociación colectiva. No hay en el texto normativo objeto del recurso ninguna referencia a la regulación de este derecho como tampoco se encuentran menciones a los convenios colectivos por lo que en los términos expresados en el citado ATC 85/2011 considera que no existe afectación a los derechos, deberes y libertades del título I CE en los términos que el art. 86.1 CE establece como límite infranqueable a los decretos-leyes.</w:t>
      </w:r>
    </w:p>
    <w:p w:rsidR="0085709A" w:rsidRDefault="0085709A" w:rsidP="0085709A">
      <w:pPr>
        <w:pStyle w:val="TextoNormal"/>
      </w:pPr>
    </w:p>
    <w:p w:rsidR="0085709A" w:rsidRDefault="0085709A" w:rsidP="0085709A">
      <w:pPr>
        <w:pStyle w:val="TextoNormal"/>
      </w:pPr>
      <w:r>
        <w:t>Por otro lado, señala que tanto en el preámbulo del texto normativo recurrido, como en el posterior debate parlamentario, se encuentran diferentes menciones a los motivos que fundaron la aprobación del decreto-ley. Entre las circunstancias que condujeron a su aprobación destaca la aprobación del Decreto-ley 20/2011, de 30 de diciembre, de medidas urgentes en materia presupuestaria, tributaria y financiera para la corrección del déficit público, que es posterior a la fecha de aprobación de la Ley de presupuestos de la Generalitat.</w:t>
      </w:r>
    </w:p>
    <w:p w:rsidR="0085709A" w:rsidRDefault="0085709A" w:rsidP="0085709A">
      <w:pPr>
        <w:pStyle w:val="TextoNormal"/>
      </w:pPr>
    </w:p>
    <w:p w:rsidR="0085709A" w:rsidRDefault="0085709A" w:rsidP="0085709A">
      <w:pPr>
        <w:pStyle w:val="TextoNormal"/>
      </w:pPr>
      <w:r>
        <w:t>b) Por lo que se refiere a la justificación de la extraordinaria y urgente necesidad señala el Letrado de la Cortes Valencianas que no comparte la opinión de los recurrentes acerca de la insuficiencia en la motivación de las razones de extraordinaria y urgente necesidad. En la documentación que se remitió al Parlamento valenciano, y a la que tuvieron acceso todos los grupos parlamentarios, para la convalidación del Decreto-ley valenciano 1/2012, junto con el texto del mismo, se encontraba: informe sobre el proyecto del citado Decreto-ley emitido por el Director General de la Abogacía General de la Generalitat, informe favorable del Interventor General, informe favorable del Subsecretario de la Consellería de Hacienda y Administración Pública, informe de necesidad y oportunidad de adoptar medidas urgentes y extraordinarias para paliar el déficit de la Comunitat Valenciana del Secretario Autonómico de Hacienda y Presupuestos, informe de la Directora General de Presupuestos y una memoria económica del proyecto de Decreto-ley de medidas urgentes para paliar el déficit de la Comunitat Valenciana. A la referida documentación hay que añadir el preámbulo de la norma y el debate parlamentario que se prolongó, con la intervención del Presidente del Consell, durante tres horas y media.</w:t>
      </w:r>
    </w:p>
    <w:p w:rsidR="0085709A" w:rsidRDefault="0085709A" w:rsidP="0085709A">
      <w:pPr>
        <w:pStyle w:val="TextoNormal"/>
      </w:pPr>
    </w:p>
    <w:p w:rsidR="0085709A" w:rsidRDefault="0085709A" w:rsidP="0085709A">
      <w:pPr>
        <w:pStyle w:val="TextoNormal"/>
      </w:pPr>
      <w:r>
        <w:t xml:space="preserve">Por lo que se refiere a la alegación de los recurrentes relativa a que se podría haber tramitado como ley, que la causa desencadenante ya era conocida y que la entrada en vigor de algunos aspectos se produce con posterioridad a la promulgación del Decreto-ley, señala que el que se hubiera podido tramitar como proyecto de ley no deja de ser una evaluación que se realiza por los recurrentes pero que casa mal con la urgencia en la adopción de medidas para atender a la situación de déficit público en la Generalitat. La entrada en vigor en un momento posterior de determinados aspectos de la norma recurrida en su conjunto, derivaba del hecho de que estas medidas, por sus propias características, no podían ser de aplicación sin la realización de actuaciones que permitieran su puesta en funcionamiento. Y en relación a que la causa desencadenante era conocida en el momento de elaboración de los presupuestos, recuerda que el Real Decreto-ley 20/2011, de 30 de diciembre, es posterior </w:t>
      </w:r>
      <w:r>
        <w:lastRenderedPageBreak/>
        <w:t>a la aprobación de los presupuestos de la Generalitat, por lo que no es posible mantener la afirmación indicada.</w:t>
      </w:r>
    </w:p>
    <w:p w:rsidR="0085709A" w:rsidRDefault="0085709A" w:rsidP="0085709A">
      <w:pPr>
        <w:pStyle w:val="TextoNormal"/>
      </w:pPr>
    </w:p>
    <w:p w:rsidR="0085709A" w:rsidRDefault="0085709A" w:rsidP="0085709A">
      <w:pPr>
        <w:pStyle w:val="TextoNormal"/>
      </w:pPr>
      <w:r>
        <w:t xml:space="preserve">c) A continuación señala que la presunta infracción del art. 86 CE en relación con el art. 31 CE no se acredita en el escrito de demanda. La demanda se limita exclusivamente a reproducir los preceptos constitucionales indicados sin mayores consideraciones. De otra parte, indica que en ninguno de los preceptos que son objeto de presunta inconstitucionalidad según </w:t>
      </w:r>
      <w:r w:rsidRPr="0085709A">
        <w:rPr>
          <w:i/>
        </w:rPr>
        <w:t>el petitum</w:t>
      </w:r>
      <w:r>
        <w:t xml:space="preserve"> (arts. 1 a 15), se contempla la imposición o modificación de tarifas, no precisando si cabe que a algunos de los preceptos indicados en el recurso le sea atribuible la presunta infracción.</w:t>
      </w:r>
    </w:p>
    <w:p w:rsidR="0085709A" w:rsidRDefault="0085709A" w:rsidP="0085709A">
      <w:pPr>
        <w:pStyle w:val="TextoNormal"/>
      </w:pPr>
    </w:p>
    <w:p w:rsidR="0085709A" w:rsidRDefault="0085709A" w:rsidP="0085709A">
      <w:pPr>
        <w:pStyle w:val="TextoNormal"/>
      </w:pPr>
      <w:r>
        <w:t>d) Por lo que se refiere al recorte de los derechos económicos adquiridos por los funcionarios públicos en los arts. 9, 11 y 12 del Decreto-ley valenciano 1/2012, recuerda, en primer lugar, que en el artículo 9 se contempla la suspensión de la convocatoria y concesión de cualquier ayuda en concepto de ayuda social, así como cualquier otra que tenga la misma naturaleza. Lo que establece, señala, es la suspensión de la convocatoria de unas ayudas cuya existencia está supeditada que se produzca una convocatoria anual y no se adquiere el derecho hasta que no se produce el hecho causante y se acredita el cumplimiento de los requisitos establecidos. Por ello, estas ayudas no pueden ser consideradas como algo diferente de una expectativa de derecho pero en ningún caso derechos consolidados. Los otros preceptos, continúa, regulan la modificación en la percepción de determinados componentes retributivos, no existiendo derechos adquiridos más que sobre las retribuciones efectivamente percibidas o devengadas.</w:t>
      </w:r>
    </w:p>
    <w:p w:rsidR="0085709A" w:rsidRDefault="0085709A" w:rsidP="0085709A">
      <w:pPr>
        <w:pStyle w:val="TextoNormal"/>
      </w:pPr>
    </w:p>
    <w:p w:rsidR="0085709A" w:rsidRDefault="0085709A" w:rsidP="0085709A">
      <w:pPr>
        <w:pStyle w:val="TextoNormal"/>
      </w:pPr>
      <w:r>
        <w:t>e) Señala el Letrado de las Cortes Valencianas que la pretendida vulneración del derecho al trabajo y a una remuneración suficiente se sostiene, para los recurrentes, en la existencia de una reducción de jornada y la consecuente reducción de las retribuciones para determinados colectivos. Y, en este sentido, recuerda que según ha señalado la STC 178/1989, de 2 de noviembre, “el campo de aplicación del derecho al trabajo en la función pública está regulado en el art. 103.3 de la norma fundamental y no en el art. 35”. No es por ello posible contemplar esta presunta infracción salvo dentro de la relación estatutaria a la que se encuentran ligados los funcionarios públicos.</w:t>
      </w:r>
    </w:p>
    <w:p w:rsidR="0085709A" w:rsidRDefault="0085709A" w:rsidP="0085709A">
      <w:pPr>
        <w:pStyle w:val="TextoNormal"/>
      </w:pPr>
    </w:p>
    <w:p w:rsidR="0085709A" w:rsidRDefault="0085709A" w:rsidP="0085709A">
      <w:pPr>
        <w:pStyle w:val="TextoNormal"/>
      </w:pPr>
      <w:r>
        <w:t>Afirma que los recurrentes señalan que no tiene sentido la reducción de la jornada de trabajo si lo que se persigue son objetivos económicos. Sin embargo, a su juicio, la medida permite que el personal afectado pueda mantener el puesto de trabajo si bien se produce una alteración del régimen, modificado por un instrumento normativo que cumple con el principio de reserva de ley, de conformidad con lo dispuesto en el art. 103 CE.</w:t>
      </w:r>
    </w:p>
    <w:p w:rsidR="0085709A" w:rsidRDefault="0085709A" w:rsidP="0085709A">
      <w:pPr>
        <w:pStyle w:val="TextoNormal"/>
      </w:pPr>
    </w:p>
    <w:p w:rsidR="0085709A" w:rsidRDefault="0085709A" w:rsidP="0085709A">
      <w:pPr>
        <w:pStyle w:val="TextoNormal"/>
      </w:pPr>
      <w:r>
        <w:t>Señala que el Decreto-ley 1/2012 lo que establece es el inicio de un expediente de reducción de jornada, de acuerdo con lo que preceptúa el art. 47 de la Ley del estatuto de los trabajadores y, en relación a la Administración de Justicia, habla de una reducción de jornada equivalente al artículo 3. Añade que el personal referido no es ajeno a la Generalitat Valenciana, como pretenden los recurrentes y por lo que se refiere a la imposibilidad de adoptar medidas que afecten al personal de empresas de enseñanza privada sostenidas por fondos públicos, según señala la disposición final séptima, afirma que dicha disposición no es objeto de la tacha de inconstitucionalidad en e</w:t>
      </w:r>
      <w:r w:rsidRPr="0085709A">
        <w:rPr>
          <w:i/>
        </w:rPr>
        <w:t>l petit</w:t>
      </w:r>
      <w:r>
        <w:t>um.</w:t>
      </w:r>
    </w:p>
    <w:p w:rsidR="0085709A" w:rsidRDefault="0085709A" w:rsidP="0085709A">
      <w:pPr>
        <w:pStyle w:val="TextoNormal"/>
      </w:pPr>
    </w:p>
    <w:p w:rsidR="0085709A" w:rsidRDefault="0085709A" w:rsidP="0085709A">
      <w:pPr>
        <w:pStyle w:val="TextoNormal"/>
      </w:pPr>
      <w:r>
        <w:lastRenderedPageBreak/>
        <w:t>f) En relación con la vulneración del derecho a la igualdad y no discriminación por los arts. 3, 4, 5, 6, 7, 8, 13, 14 y 15 del Decreto-ley valenciano 1/2012 por entender los recurrentes que no todas las medidas se aplican de igual forma a todo el personal de la Generalitat, señala el Letrado de las Cortes Valencianas que no todos los empleados públicos tienen las mismas situaciones y que, por lo tanto, no se puede aplicar las mismas medidas a todos con las mismas características. Las situaciones subjetivas que quieren traerse a comparación no son homogéneas ni equiparables al existir diferentes tipos de vínculos entre los empleados públicos y la Administración en función de las distintas categorías existentes dentro de la función pública. El estatuto de los funcionarios interinos se diferencia del de los funcionarios de carrera en la forma de acceso, en la temporalidad, pero especialmente en el contenido y finalidad del propio nombramiento, que es el de suplir ausencias, vacantes o circunstancias laborales temporales que autorizan el nombramiento a tiempo parcial. De esta forma, se trata de forma distinta a quienes tienen diferente vinculación con la Administración por lo que no es contrario al principio de no discriminación.</w:t>
      </w:r>
    </w:p>
    <w:p w:rsidR="0085709A" w:rsidRDefault="0085709A" w:rsidP="0085709A">
      <w:pPr>
        <w:pStyle w:val="TextoNormal"/>
      </w:pPr>
    </w:p>
    <w:p w:rsidR="0085709A" w:rsidRDefault="0085709A" w:rsidP="0085709A">
      <w:pPr>
        <w:pStyle w:val="TextoNormal"/>
      </w:pPr>
      <w:r>
        <w:t>En todo caso, añade, no es posible afirmar la existencia de un trato discriminatorio para determinados colectivos, por no ser este tratamiento diferenciado de carácter arbitrario e irrazonable. En este sentido se ha exceptuado de la aplicación de determinadas medidas a colectivos como el personal no docente en centros docentes, personal de emergencias, personal destinado en residencias de atención a personas mayores dependientes o con discapacidad, personal de centros de recepción y acogida de menores, personal de los comedores sociales. A su juicio, nos encontramos en este caso con personal que atiende necesidades perentorias e inaplazables lo que justifica un tratamiento distinto al resto del personal afectado por los preceptos referidos.</w:t>
      </w:r>
    </w:p>
    <w:p w:rsidR="0085709A" w:rsidRDefault="0085709A" w:rsidP="0085709A">
      <w:pPr>
        <w:pStyle w:val="TextoNormal"/>
      </w:pPr>
      <w:r>
        <w:t>g) Por último, por lo que se refiere a la extralimitación de las competencias que tiene atribuidas la Generalitat Valenciana al aprobar el Decreto-ley 1/2012, señala que las cuestiones que se plantean son el ámbito de aplicación del Decreto-ley, la regulación de la complementación de la Seguridad Social en proceso de incapacidad temporal y la modificación de las condiciones laborales del personal docente de la enseñanza concertada a los que se aplica el convenio colectivo de empresas de enseñanza privada.</w:t>
      </w:r>
    </w:p>
    <w:p w:rsidR="0085709A" w:rsidRDefault="0085709A" w:rsidP="0085709A">
      <w:pPr>
        <w:pStyle w:val="TextoNormal"/>
      </w:pPr>
    </w:p>
    <w:p w:rsidR="0085709A" w:rsidRDefault="0085709A" w:rsidP="0085709A">
      <w:pPr>
        <w:pStyle w:val="TextoNormal"/>
      </w:pPr>
      <w:r>
        <w:t>Para el Letrado de las Cortes Valencianas la interpretación adecuada sobre el alcance del ámbito subjetivo del Decreto-ley valenciano 1/2012 habrá que realizarla en los términos que dispone el art. 4 LEEP y el art. 3.6 de la Ley 10/2010, de 9 de julio, de la Generalitat, de ordenación y gestión de la función pública valenciana, para el personal con legislación específica propia, en cuyo caso no cabe tacha alguna de inconstitucionalidad.</w:t>
      </w:r>
    </w:p>
    <w:p w:rsidR="0085709A" w:rsidRDefault="0085709A" w:rsidP="0085709A">
      <w:pPr>
        <w:pStyle w:val="TextoNormal"/>
      </w:pPr>
    </w:p>
    <w:p w:rsidR="0085709A" w:rsidRDefault="0085709A" w:rsidP="0085709A">
      <w:pPr>
        <w:pStyle w:val="TextoNormal"/>
      </w:pPr>
      <w:r>
        <w:t>En relación con los períodos de complementación de salarios en los supuestos de incapacidad temporal, señala que del tenor del recurso no es posible extraer en qué se produce la extralimitación competencial sobre una cuestión en la que no cabe afirmar la existencia de regulación básica estatal en el momento de dictarse la norma recurrida.</w:t>
      </w:r>
    </w:p>
    <w:p w:rsidR="0085709A" w:rsidRDefault="0085709A" w:rsidP="0085709A">
      <w:pPr>
        <w:pStyle w:val="TextoNormal"/>
      </w:pPr>
    </w:p>
    <w:p w:rsidR="0085709A" w:rsidRDefault="0085709A" w:rsidP="0085709A">
      <w:pPr>
        <w:pStyle w:val="TextoNormal"/>
      </w:pPr>
      <w:r>
        <w:t>Finalmente, afirma que es posible la modificación de un convenio colectivo por una norma con fuerza de ley sin que ello suponga infracción de precepto constitucional alguno.</w:t>
      </w:r>
    </w:p>
    <w:p w:rsidR="0085709A" w:rsidRDefault="0085709A" w:rsidP="0085709A">
      <w:pPr>
        <w:pStyle w:val="TextoNormal"/>
      </w:pPr>
    </w:p>
    <w:p w:rsidR="0085709A" w:rsidRDefault="0085709A" w:rsidP="0085709A">
      <w:pPr>
        <w:pStyle w:val="TextoNormal"/>
      </w:pPr>
      <w:r w:rsidRPr="0085709A">
        <w:rPr>
          <w:rStyle w:val="NumeroAFNegritaCaracter"/>
        </w:rPr>
        <w:t>10</w:t>
      </w:r>
      <w:r>
        <w:t>. Por escrito registrado en el Tribunal el 25 de octubre de 2012 la Abogada de la Generalitat Valenciana solicitó la desestimación del recurso por las razones que se exponen a continuación.</w:t>
      </w:r>
    </w:p>
    <w:p w:rsidR="0085709A" w:rsidRDefault="0085709A" w:rsidP="0085709A">
      <w:pPr>
        <w:pStyle w:val="TextoNormal"/>
      </w:pPr>
    </w:p>
    <w:p w:rsidR="0085709A" w:rsidRDefault="0085709A" w:rsidP="0085709A">
      <w:pPr>
        <w:pStyle w:val="TextoNormal"/>
      </w:pPr>
      <w:r>
        <w:t>a) Comienza su escrito contestando al punto segundo de la demanda por cuanto, de esta forma, considera que se enmarca y justifican las circunstancias, no sólo extraordinarias, sino también urgentes que requieren de la promulgación del Decreto-ley valenciano 1/2012, y todo ello a pesar de la anterior publicación de la Ley de presupuestos para el ejercicio 2012.</w:t>
      </w:r>
    </w:p>
    <w:p w:rsidR="0085709A" w:rsidRDefault="0085709A" w:rsidP="0085709A">
      <w:pPr>
        <w:pStyle w:val="TextoNormal"/>
      </w:pPr>
    </w:p>
    <w:p w:rsidR="0085709A" w:rsidRDefault="0085709A" w:rsidP="0085709A">
      <w:pPr>
        <w:pStyle w:val="TextoNormal"/>
      </w:pPr>
      <w:r>
        <w:t>Afirma que desde la aprobación del plan de reequilibrio económico y financiero en julio de 2011, y en orden a asegurar la viabilidad presupuestaria de los compromisos asumidos por la Generalitat para la prestación de todas sus competencias, se hace imprescindible la aprobación del Decreto-ley 1/2012. Se trata de la norma eje sobre la que se articulan la mayoría de las medidas de carácter autonómico que se recogen en el nuevo plan económico y financiero, tanto a nivel de gastos, como de ingresos.</w:t>
      </w:r>
    </w:p>
    <w:p w:rsidR="0085709A" w:rsidRDefault="0085709A" w:rsidP="0085709A">
      <w:pPr>
        <w:pStyle w:val="TextoNormal"/>
      </w:pPr>
    </w:p>
    <w:p w:rsidR="0085709A" w:rsidRDefault="0085709A" w:rsidP="0085709A">
      <w:pPr>
        <w:pStyle w:val="TextoNormal"/>
      </w:pPr>
      <w:r>
        <w:t>Por lo que se refiere a la inmediatez en cuanto a las fechas de publicación de la Ley de presupuestos para 2012 y el Decreto-ley valenciano 1/2012, señala que las Leyes de presupuestos, en cuanto a su elaboración, están sometidas a una serie de plazos previstos desde el Estatuto de Autonomía y concretados en el Reglamento de las Cortes Valencianas. El anteproyecto, y posterior proyecto de presupuestos, en su tramitación debe superar unas fases rigurosamente previstas y un calendario determinado normativamente y en el presente caso se procedió a su aprobación sin estar aprobados los presupuestos generales del Estado (que fueron prorrogados tras las elecciones) y ciertamente condicionados por dicha aprobación.</w:t>
      </w:r>
    </w:p>
    <w:p w:rsidR="0085709A" w:rsidRDefault="0085709A" w:rsidP="0085709A">
      <w:pPr>
        <w:pStyle w:val="TextoNormal"/>
      </w:pPr>
    </w:p>
    <w:p w:rsidR="0085709A" w:rsidRDefault="0085709A" w:rsidP="0085709A">
      <w:pPr>
        <w:pStyle w:val="TextoNormal"/>
      </w:pPr>
      <w:r>
        <w:t>b) A continuación pone de manifiesto los efectos inmediatos conseguidos con la aprobación de las medidas reguladas en el Decreto-ley valenciano 1/2012, pues el ahorro estimado para el ejercicio 2012 es de 217,4 millones de euros y de 31,4 millones de euros en 2013.</w:t>
      </w:r>
    </w:p>
    <w:p w:rsidR="0085709A" w:rsidRDefault="0085709A" w:rsidP="0085709A">
      <w:pPr>
        <w:pStyle w:val="TextoNormal"/>
      </w:pPr>
    </w:p>
    <w:p w:rsidR="0085709A" w:rsidRDefault="0085709A" w:rsidP="0085709A">
      <w:pPr>
        <w:pStyle w:val="TextoNormal"/>
      </w:pPr>
      <w:r>
        <w:t>Por otra parte, señala, la evolución de la situación crítica del déficit presupuestario y el cumplimiento de los objetivos de política económica del Consell de la Generalitat exige la aprobación de otras diversas normas con efectos a partir del ejercicio de 2012, y a modo de ejemplo cita el acuerdo de 23 de marzo de 2012, del Consell, por el que se aprueban acciones de simplificación y reducción de cargas administrativas. En definitiva, añade la complicada situación económica aconseja la máxima celeridad para poner en marcha las medidas necesarias que favorezcan la contención del gasto público.</w:t>
      </w:r>
    </w:p>
    <w:p w:rsidR="0085709A" w:rsidRDefault="0085709A" w:rsidP="0085709A">
      <w:pPr>
        <w:pStyle w:val="TextoNormal"/>
      </w:pPr>
    </w:p>
    <w:p w:rsidR="0085709A" w:rsidRDefault="0085709A" w:rsidP="0085709A">
      <w:pPr>
        <w:pStyle w:val="TextoNormal"/>
      </w:pPr>
      <w:r>
        <w:t>c) Por lo que se refiere a la alegada vulneración del derecho de libertad sindical, señala la Abogada de la Generalitat Valenciana que la Administración no ha hecho sino aplicar estrictamente el art. 38.10 LEEP con carácter previo y también subsiguiente a la aprobación del Decreto-ley. Cosa distinta es que el contenido de dicha información sea aceptado o no por los representantes sindicales pero, en cualquier caso, tal información se produjo y aporta la transcripción de actas posteriores a la fecha de publicación de la norma en las que se procede a informar de su seguimiento.</w:t>
      </w:r>
    </w:p>
    <w:p w:rsidR="0085709A" w:rsidRDefault="0085709A" w:rsidP="0085709A">
      <w:pPr>
        <w:pStyle w:val="TextoNormal"/>
      </w:pPr>
    </w:p>
    <w:p w:rsidR="0085709A" w:rsidRDefault="0085709A" w:rsidP="0085709A">
      <w:pPr>
        <w:pStyle w:val="TextoNormal"/>
      </w:pPr>
      <w:r>
        <w:t>A continuación, recoge el contenido del Auto del Tribunal Constitucional de 7 de junio de 2011 para afirmar que en base a lo dispuesto en el mismo las argumentaciones de los recurrentes deben ser rechazadas.</w:t>
      </w:r>
    </w:p>
    <w:p w:rsidR="0085709A" w:rsidRDefault="0085709A" w:rsidP="0085709A">
      <w:pPr>
        <w:pStyle w:val="TextoNormal"/>
      </w:pPr>
    </w:p>
    <w:p w:rsidR="0085709A" w:rsidRDefault="0085709A" w:rsidP="0085709A">
      <w:pPr>
        <w:pStyle w:val="TextoNormal"/>
      </w:pPr>
      <w:r>
        <w:lastRenderedPageBreak/>
        <w:t>d) Por último, hace alusión a los motivos de impugnación referidos a la imposibilidad de modificar las tarifas impositivas y la vulneración del derecho al trabajo al limitarse la prolongación el servicio activo. Señala que deben ser rechazados por cuanto vienen referidos a materias que no han sido objeto de impugnación, dado que no se recogen entre los preceptos formalmente impugnados.</w:t>
      </w:r>
    </w:p>
    <w:p w:rsidR="0085709A" w:rsidRDefault="0085709A" w:rsidP="0085709A">
      <w:pPr>
        <w:pStyle w:val="TextoNormal"/>
      </w:pPr>
    </w:p>
    <w:p w:rsidR="0085709A" w:rsidRDefault="0085709A" w:rsidP="0085709A">
      <w:pPr>
        <w:pStyle w:val="TextoNormal"/>
      </w:pPr>
      <w:r>
        <w:t>Termina recordando la temporalidad de la norma impugnada, por cuanto su vigencia queda circunscrita al tiempo estrictamente necesario para superar las circunstancias económicas notorias y evidentes. Además cambios normativos introducidos por la legislación estatal, tales como el régimen de complementación de la incapacidad temporal tienen la regulación prevista por el Real Decreto-ley 20/2012 y pasa a ser una medida de carácter permanente a diferencia del carácter temporal que le había dado el Decreto-ley del Consell de la Generalitat. Las reducciones retributivas planteadas, y que afectan a los colectivos indicados del personal interino al servicio de la Administración del Consell lo son con carácter temporal, sin pretender merma alguna, ni definitiva, de ningún derecho, y sin ocasionar agravio alguno entre colectivos de diferente condición. El desempeño de tareas propias y burocráticas del sector de Administración general no es comparable con otras tareas del personal que presta una atención directa en servicios sanitarios, o con el personal de justicia, o bien con el personal docente. Y ello, aun cuando todos ellos puedan estar bajo un régimen temporal. Por consiguiente, concluye, las argumentaciones referidas a dichos agravios comparativos no pueden ser favorablemente acogidas.</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26 de mayo de 2015 se señaló para deliberación y votación de la presente Sentencia el día 28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presente recurso de inconstitucionalidad se interpone por cincuenta Senadores del Grupo Parlamentario Socialista del Senado contra determinados párrafos de la exposición de motivos y los arts. 1 a 15 del Decreto-ley 1/2012, de 5 de enero, del Consell, de medidas urgentes para la reducción del déficit en la Comunitat Valenciana. Los motivos de inconstitucionalidad, siguiendo el orden establecido por los recurrentes en este proceso, son los siguientes: la vulneración del derecho de libertad sindical y el derecho a la negociación colectiva, por quiebra de la eficacia vinculante de los acuerdos y convenios en vigor dentro del sector público y por incumplir el Decreto-ley la prohibición contenida en el art. 44.4 del Estatuto de Autonomía de la Comunitat Valenciana (EAV), que se remite al art. 86.1 CE, al afectar a un derecho fundamental, el derecho a la negociación colectiva, que forma parte del contenido esencial del derecho de libertad sindical; la vulneración del art. 44.4 EAV, que como acabamos de señalar se remite al art. 86.1 CE, por no estar justificado el presupuesto habilitante de la extraordinaria y urgente necesidad; la vulneración del límite material del Decreto-ley por modificar tarifas impositivas; la vulneración del art. 33.3 CE por afectar algunas de las medidas adoptadas a derechos adquiridos de los empleados públicos sin compensación indemnizatoria; la vulneración del art. 35 CE al establecer en algunos casos reducciones abusivas en la jornada laboral y en las retribuciones; la vulneración del art. 14 CE por no aplicarse las medidas adoptadas de igual forma a todo el personal de la Generalitat Valenciana; y la vulneración de las competencias que tiene atribuidas la Generalitat </w:t>
      </w:r>
      <w:r>
        <w:lastRenderedPageBreak/>
        <w:t>Valenciana en su Estatuto de Autonomía por haber legislado sobre materias que son competencia exclusiva del Estado.</w:t>
      </w:r>
    </w:p>
    <w:p w:rsidR="0085709A" w:rsidRDefault="0085709A" w:rsidP="0085709A">
      <w:pPr>
        <w:pStyle w:val="TextoNormal"/>
      </w:pPr>
    </w:p>
    <w:p w:rsidR="0085709A" w:rsidRDefault="0085709A" w:rsidP="0085709A">
      <w:pPr>
        <w:pStyle w:val="TextoNormal"/>
      </w:pPr>
      <w:r>
        <w:t>El Letrado de las Cortes Valencianas y la Abogada de la Generalitat Valenciana solicitan la desestimación de recurso en los términos recogidos en los antecedentes.</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 nuestro enjuiciamiento resulta conveniente sintetizar el contenido de los preceptos impugnados.</w:t>
      </w:r>
    </w:p>
    <w:p w:rsidR="0085709A" w:rsidRDefault="0085709A" w:rsidP="0085709A">
      <w:pPr>
        <w:pStyle w:val="TextoNormal"/>
      </w:pPr>
    </w:p>
    <w:p w:rsidR="0085709A" w:rsidRDefault="0085709A" w:rsidP="0085709A">
      <w:pPr>
        <w:pStyle w:val="TextoNormal"/>
      </w:pPr>
      <w:r>
        <w:t>El artículo 1 hace referencia a la finalidad y efectos de las medidas incluidas en el capítulo I (medidas en materia de personal), y señala que dichas medidas “se adoptan como necesarias para asegurar el cumplimiento de los compromisos adquiridos por la Generalitat, en el marco de las obligaciones asumidas por las distintas administraciones públicas territoriales del estado español, en materia de reducción del déficit público durante los ejercicios 2012 y 2013 al objeto de asegurar el cumplimiento del objetivo de estabilidad presupuestaria”.</w:t>
      </w:r>
    </w:p>
    <w:p w:rsidR="0085709A" w:rsidRDefault="0085709A" w:rsidP="0085709A">
      <w:pPr>
        <w:pStyle w:val="TextoNormal"/>
      </w:pPr>
    </w:p>
    <w:p w:rsidR="0085709A" w:rsidRDefault="0085709A" w:rsidP="0085709A">
      <w:pPr>
        <w:pStyle w:val="TextoNormal"/>
      </w:pPr>
      <w:r>
        <w:t>El artículo 2 regula el ámbito subjetivo de las medidas adoptadas en este capítulo, y así señala que serán de aplicación al personal al servicio de Les Corts, al personal al servicio de las instituciones de la Generalitat, al personal funcionario al servicio de la Administración de Justicia, al personal al servicio de la Administración de la Generalitat, adscrito a la Presidencia, las consellerías y entidades autónomas dependientes de las mismas, al personal docente al servicio de las administración educativa, al personal al servicio de las instituciones sanitarias, así como el resto de personal gestionado por la consellería con competencias en materia de sanidad y al personal al servicio del sector público valenciano.</w:t>
      </w:r>
    </w:p>
    <w:p w:rsidR="0085709A" w:rsidRDefault="0085709A" w:rsidP="0085709A">
      <w:pPr>
        <w:pStyle w:val="TextoNormal"/>
      </w:pPr>
    </w:p>
    <w:p w:rsidR="0085709A" w:rsidRDefault="0085709A" w:rsidP="0085709A">
      <w:pPr>
        <w:pStyle w:val="TextoNormal"/>
      </w:pPr>
      <w:r>
        <w:t>El artículo 3 regula la jornada de trabajo y prevé que, con efectos de 1 de marzo de 2012, la jornada semanal del personal funcionario interino al servicio de la Administración de la Generalitat será de 25 horas semanales con la reducción proporcional de las retribuciones. No obstante, mantendrá su jornada y retribuciones actuales el personal no docente en centros docentes, personal de centros servicio de empleo, centros de formación e inserción profesional, el personal de emergencias, los destinados en residencias de atención a personas mayores dependientes o con discapacidad, centros de recepción y acogida de menores, centros de reeducación, comedores sociales, centros especializados de atención a mayores, centros de evaluación y orientación de discapacitados.</w:t>
      </w:r>
    </w:p>
    <w:p w:rsidR="0085709A" w:rsidRDefault="0085709A" w:rsidP="0085709A">
      <w:pPr>
        <w:pStyle w:val="TextoNormal"/>
      </w:pPr>
    </w:p>
    <w:p w:rsidR="0085709A" w:rsidRDefault="0085709A" w:rsidP="0085709A">
      <w:pPr>
        <w:pStyle w:val="TextoNormal"/>
      </w:pPr>
      <w:r>
        <w:t>El artículo 4 regula la reducción de la jornada de trabajo del personal laboral temporal al servicio de la Administración de la Generalitat. Así, “de acuerdo con el art. 47 del texto refundido del Estatuto de los Trabajadores, la administración de la Generalitat iniciará de forma inmediata un expediente de reducción de jornada con la finalidad de establecer la jornada del personal contratado laboral temporal en 25 horas semanales, con la correspondiente reducción proporcional de retribuciones, en los mismo términos previstos en el artículo anterior”. Estará afectado por dicho expediente el personal laboral temporal exceptuado el que preste servicios en los centros relacionados en el artículo anterior. No obstante, el personal laboral temporal que pertenezca a las categorías profesionales incluidas en el anexo I de la norma, también estará afectado por el expediente de reducción de jornada, con independencia del centro en el que preste sus servicios.</w:t>
      </w:r>
    </w:p>
    <w:p w:rsidR="0085709A" w:rsidRDefault="0085709A" w:rsidP="0085709A">
      <w:pPr>
        <w:pStyle w:val="TextoNormal"/>
      </w:pPr>
    </w:p>
    <w:p w:rsidR="0085709A" w:rsidRDefault="0085709A" w:rsidP="0085709A">
      <w:pPr>
        <w:pStyle w:val="TextoNormal"/>
      </w:pPr>
      <w:r>
        <w:lastRenderedPageBreak/>
        <w:t>El artículo 5 prevé que en los supuestos de jornada reducida a 25 horas semanales previstos en los artículos 3 y 4, podrá solicitarse la declaración de compatibilidad para el desempeño de otras actividades.</w:t>
      </w:r>
    </w:p>
    <w:p w:rsidR="0085709A" w:rsidRDefault="0085709A" w:rsidP="0085709A">
      <w:pPr>
        <w:pStyle w:val="TextoNormal"/>
      </w:pPr>
    </w:p>
    <w:p w:rsidR="0085709A" w:rsidRDefault="0085709A" w:rsidP="0085709A">
      <w:pPr>
        <w:pStyle w:val="TextoNormal"/>
      </w:pPr>
      <w:r>
        <w:t>El artículo 6 regula la reducción de la jornada de trabajo en el sector público empresarial y fundacional. En este sentido, prevé que “las empresas y fundaciones que conforman el sector público valenciano adoptarán las medidas necesarias en orden a asegurar que el personal temporal al servicio de las mismas, se sujete a una reducción de la jornada de trabajo en los mismos términos y condiciones previstos en los artículos anteriores”.</w:t>
      </w:r>
    </w:p>
    <w:p w:rsidR="0085709A" w:rsidRDefault="0085709A" w:rsidP="0085709A">
      <w:pPr>
        <w:pStyle w:val="TextoNormal"/>
      </w:pPr>
    </w:p>
    <w:p w:rsidR="0085709A" w:rsidRDefault="0085709A" w:rsidP="0085709A">
      <w:pPr>
        <w:pStyle w:val="TextoNormal"/>
      </w:pPr>
      <w:r>
        <w:t>El artículo 7 señala que “el personal que realice la jornada reducida de 25 horas previstas en los artículos anteriores no podrá acogerse a la reducción de la jornada prevista en el apartado 2 del art. 7 del Decreto 175/2006, de 24 de noviembre, del Consell, por el que se regulan las condiciones de trabajo del personal al servicio de la administración del Consell”.</w:t>
      </w:r>
    </w:p>
    <w:p w:rsidR="0085709A" w:rsidRDefault="0085709A" w:rsidP="0085709A">
      <w:pPr>
        <w:pStyle w:val="TextoNormal"/>
      </w:pPr>
    </w:p>
    <w:p w:rsidR="0085709A" w:rsidRDefault="0085709A" w:rsidP="0085709A">
      <w:pPr>
        <w:pStyle w:val="TextoNormal"/>
      </w:pPr>
      <w:r>
        <w:t>El artículo 8 regula la reducción de la jornada de trabajo del personal funcionario interino que preste sus servicios en el ámbito de la administración de justicia. Así, “para el personal funcionario interino al servicio de la administración de justicia la reducción de la jornada de trabajo será equivalente a la prevista en el art. 3, y afectará necesariamente, al menos, a un 5 por ciento del personal temporal”.</w:t>
      </w:r>
    </w:p>
    <w:p w:rsidR="0085709A" w:rsidRDefault="0085709A" w:rsidP="0085709A">
      <w:pPr>
        <w:pStyle w:val="TextoNormal"/>
      </w:pPr>
    </w:p>
    <w:p w:rsidR="0085709A" w:rsidRDefault="0085709A" w:rsidP="0085709A">
      <w:pPr>
        <w:pStyle w:val="TextoNormal"/>
      </w:pPr>
      <w:r>
        <w:t>El artículo 9 suspende, hasta el 31 de diciembre de 2013, la convocatoria y concesión de cualquier ayuda en concepto de acción social, así como cualquier otra que tenga la misma naturaleza y finalidad, sin perjuicio de la contratación de pólizas de seguro para la cobertura de contingencias por accidentes de los empleados y empleadas.</w:t>
      </w:r>
    </w:p>
    <w:p w:rsidR="0085709A" w:rsidRDefault="0085709A" w:rsidP="0085709A">
      <w:pPr>
        <w:pStyle w:val="TextoNormal"/>
      </w:pPr>
    </w:p>
    <w:p w:rsidR="0085709A" w:rsidRDefault="0085709A" w:rsidP="0085709A">
      <w:pPr>
        <w:pStyle w:val="TextoNormal"/>
      </w:pPr>
      <w:r>
        <w:t>El artículo 10 señala que “durante el ejercicio 2012 las personas jurídicas, públicas o privadas, incluidas dentro del ámbito del presente Decreto-ley, y de acuerdo con lo previsto en el artículo 2.Tres del Real Decreto Ley 20/2011, de 30 de diciembre, de medidas urgentes en materia presupuestaria, tributaria y financiera, para la corrección del déficit público, no podrán realizar aportaciones a planes de pensiones de empleo o contratos de seguro colectivos que incluyan la cobertura de la contingencia de jubilación”.</w:t>
      </w:r>
    </w:p>
    <w:p w:rsidR="0085709A" w:rsidRDefault="0085709A" w:rsidP="0085709A">
      <w:pPr>
        <w:pStyle w:val="TextoNormal"/>
      </w:pPr>
    </w:p>
    <w:p w:rsidR="0085709A" w:rsidRDefault="0085709A" w:rsidP="0085709A">
      <w:pPr>
        <w:pStyle w:val="TextoNormal"/>
      </w:pPr>
      <w:r>
        <w:t>El artículo 11 regula, con efectos 1 de marzo de 2012, la cuantía de los complementos de carrera profesional y desarrollo profesional que percibe determinado personal que desarrolla su actividad en el marco de la estructura orgánica y funcional de la Consellería de Sanidad y de las personas jurídicas que conforman el sector público autonómico dependiente de la misma.</w:t>
      </w:r>
    </w:p>
    <w:p w:rsidR="0085709A" w:rsidRDefault="0085709A" w:rsidP="0085709A">
      <w:pPr>
        <w:pStyle w:val="TextoNormal"/>
      </w:pPr>
    </w:p>
    <w:p w:rsidR="0085709A" w:rsidRDefault="0085709A" w:rsidP="0085709A">
      <w:pPr>
        <w:pStyle w:val="TextoNormal"/>
      </w:pPr>
      <w:r>
        <w:t>El artículo 12 incluye medidas excepcionales en materia de perfeccionamiento, reconocimiento, devengo y percepción del componente retributivo relacionado con la formación permanente de los funcionarios de los diferentes cuerpos docentes. En este sentido, prevé que “desde el 1 de marzo de 2012, por razones de interés general derivadas de una alteración sustancial de las circunstancias económicas que permitieron el establecimiento del componente retributivo relacionado con la formación permanente de los funcionarios de carrera de los diferentes cuerpos docentes, devienen inaplicables los Decretos del Consell 157/1993, de 31 de agosto, y Decreto 74/1999, de 1 de junio, así como la normativa dictada en desa</w:t>
      </w:r>
      <w:r>
        <w:lastRenderedPageBreak/>
        <w:t>rrollo o ejecución de los mismos, en lo que se refiere al derecho al perfeccionamiento, reconocimiento, devengo y percepción de los funcionarios de los diferentes cuerpos docentes”. Sin perjuicio de lo anterior, el precepto recoge la cuantía correspondiente al componente retributivo relacionado con la formación permanente de los funcionarios de carrera de los diferentes cuerpos docentes que se percibirá a partir del 1 de marzo de 2012.</w:t>
      </w:r>
    </w:p>
    <w:p w:rsidR="0085709A" w:rsidRDefault="0085709A" w:rsidP="0085709A">
      <w:pPr>
        <w:pStyle w:val="TextoNormal"/>
      </w:pPr>
    </w:p>
    <w:p w:rsidR="0085709A" w:rsidRDefault="0085709A" w:rsidP="0085709A">
      <w:pPr>
        <w:pStyle w:val="TextoNormal"/>
      </w:pPr>
      <w:r>
        <w:t>El artículo 13 regula medidas excepcionales para el personal docente interino, profesorado especialista y de religión católica que no tenga carácter indefinido. Así, prevé que todos los nombramientos vigentes del personal señalado se extenderán desde la fecha del servicio y, como máximo, hasta el 30 de junio de cada año, devengándose las partes proporcionales de pagas extraordinarias y vacaciones.</w:t>
      </w:r>
    </w:p>
    <w:p w:rsidR="0085709A" w:rsidRDefault="0085709A" w:rsidP="0085709A">
      <w:pPr>
        <w:pStyle w:val="TextoNormal"/>
      </w:pPr>
    </w:p>
    <w:p w:rsidR="0085709A" w:rsidRDefault="0085709A" w:rsidP="0085709A">
      <w:pPr>
        <w:pStyle w:val="TextoNormal"/>
      </w:pPr>
      <w:r>
        <w:t>El artículo 14 prevé medidas excepcionales en materia de reducción de la jornada de trabajo del personal docente y así, señala que “durante los ejercicios 2012 y 2013 deviene inaplicable el apartado 4 del artículo 24 del Decreto 7/2008, de 25 de enero, del Consell, por el que se regulan los permisos y licencias de personal docente no universitario dependiente de la conselleria competente en materia de educación”.</w:t>
      </w:r>
    </w:p>
    <w:p w:rsidR="0085709A" w:rsidRDefault="0085709A" w:rsidP="0085709A">
      <w:pPr>
        <w:pStyle w:val="TextoNormal"/>
      </w:pPr>
    </w:p>
    <w:p w:rsidR="0085709A" w:rsidRDefault="0085709A" w:rsidP="0085709A">
      <w:pPr>
        <w:pStyle w:val="TextoNormal"/>
      </w:pPr>
      <w:r>
        <w:t>Por último, el artículo 15 señala que, con efectos 1 de marzo de 2012, en los procesos de incapacidad temporal consecuencia de accidente de trabajo o enfermedad profesional del personal incluido en el ámbito de aplicación del presente Decreto-ley que se encuentre acogido al régimen general de la Seguridad Social, se complementarán las prestaciones de la Seguridad Social hasta el 100 por 100 de sus retribuciones desde el inicio de dicha situación hasta la conclusión de la misma. En los demás supuestos, se complementará el 100 por 100 de sus retribuciones únicamente hasta el decimoquinto día en proceso de incapacidad temporal.</w:t>
      </w:r>
    </w:p>
    <w:p w:rsidR="0085709A" w:rsidRDefault="0085709A" w:rsidP="0085709A">
      <w:pPr>
        <w:pStyle w:val="TextoNormal"/>
      </w:pPr>
    </w:p>
    <w:p w:rsidR="0085709A" w:rsidRDefault="0085709A" w:rsidP="0085709A">
      <w:pPr>
        <w:pStyle w:val="TextoNormal"/>
      </w:pPr>
      <w:r w:rsidRPr="0085709A">
        <w:rPr>
          <w:rStyle w:val="NumeroAFNegritaCaracter"/>
        </w:rPr>
        <w:t>3</w:t>
      </w:r>
      <w:r>
        <w:t>. Antes de adentrarnos en el análisis de las vulneraciones alegadas, procede realizar las siguientes precisiones en relación con el objeto de este proceso y la incidencia que modificaciones normativas posteriores a la interposición del recurso hayan podido tener sobre su pervivencia.</w:t>
      </w:r>
    </w:p>
    <w:p w:rsidR="0085709A" w:rsidRDefault="0085709A" w:rsidP="0085709A">
      <w:pPr>
        <w:pStyle w:val="TextoNormal"/>
      </w:pPr>
    </w:p>
    <w:p w:rsidR="0085709A" w:rsidRDefault="0085709A" w:rsidP="0085709A">
      <w:pPr>
        <w:pStyle w:val="TextoNormal"/>
      </w:pPr>
      <w:r>
        <w:t>a) Los Senadores recurrentes impugnan determinados párrafos de la exposición de motivos así como los arts. 1 a 15, todos ellos incluidos en el capítulo I del Decreto-ley relativo a las medidas en materia de personal.</w:t>
      </w:r>
    </w:p>
    <w:p w:rsidR="0085709A" w:rsidRDefault="0085709A" w:rsidP="0085709A">
      <w:pPr>
        <w:pStyle w:val="TextoNormal"/>
      </w:pPr>
    </w:p>
    <w:p w:rsidR="0085709A" w:rsidRDefault="0085709A" w:rsidP="0085709A">
      <w:pPr>
        <w:pStyle w:val="TextoNormal"/>
      </w:pPr>
      <w:r>
        <w:t>Debemos descartar, desde un primer momento, la impugnación relativa a la exposición de motivos de la norma. Como hemos repetido desde la STC 36/1981, de 12 de noviembre, FJ 2, un “preámbulo no tiene valor normativo”, siendo por ello innecesario, y hasta incorrecto, hacerlo objeto de “una declaración de inconstitucionalidad expresa que se recogiera en la parte dispositiva” de una Sentencia de este Tribunal. Esa carencia de valor normativo tiene como consecuencia que, como afirmamos en la STC 116/1999, de 17 de junio, FJ 2, los preámbulos “no pueden ser objeto directo de un recurso de inconstitucionalidad (SSTC 36/1981, FJ 7; 150/1990, FJ 2; 212/1996, FJ 15; y 173/1998, FJ 4)”; imposibilidad de erigirse en objeto directo de un recurso de inconstitucionalidad que fue confirmada en la STC 31/2010, de 28 de junio, FJ 7.</w:t>
      </w:r>
    </w:p>
    <w:p w:rsidR="0085709A" w:rsidRDefault="0085709A" w:rsidP="0085709A">
      <w:pPr>
        <w:pStyle w:val="TextoNormal"/>
      </w:pPr>
    </w:p>
    <w:p w:rsidR="0085709A" w:rsidRDefault="0085709A" w:rsidP="0085709A">
      <w:pPr>
        <w:pStyle w:val="TextoNormal"/>
      </w:pPr>
      <w:r>
        <w:lastRenderedPageBreak/>
        <w:t>b) En cuanto a la incidencia que modificaciones normativas sobrevenidas hayan podido tener sobre la pervivencia del objeto del recurso o de alguno de sus motivos, hemos de señalar que el art. 15 del Decreto-ley valenciano 1/2012 ha sido derogado por el número 1 de la disposición derogatoria única del Decreto-ley 6/2012, de 28 septiembre, del Consell, de desarrollo y aplicación de las disposiciones incluidas en el título I y disposiciones concordantes del Real Decreto-ley 20/2012, de 13 de julio, de medidas para garantizar la estabilidad presupuestaria y de fomento de la competitividad. Esto nos obliga a precisar la repercusión que la derogación del precepto pueda tener sobre una eventual desaparición de su objeto.</w:t>
      </w:r>
    </w:p>
    <w:p w:rsidR="0085709A" w:rsidRDefault="0085709A" w:rsidP="0085709A">
      <w:pPr>
        <w:pStyle w:val="TextoNormal"/>
      </w:pPr>
    </w:p>
    <w:p w:rsidR="0085709A" w:rsidRDefault="0085709A" w:rsidP="0085709A">
      <w:pPr>
        <w:pStyle w:val="TextoNormal"/>
      </w:pPr>
      <w:r>
        <w:t>Pues bien, son dos las vulneraciones que los recurrentes imputan a este precepto. En primer lugar, consideran que vulnera las competencias estatales en materia de legislación laboral por regular dicho precepto el período de complementación de salarios en los supuestos de incapacidad temporal por contingencias comunes. Y, en segundo lugar, consideran discriminatorio el tratamiento que se da a la cobertura adicional de las prestaciones por incapacidad temporal en dicho precepto. Afirman que existe un agravio comparativo entre las bajas médicas de corta duración (protegidas al 100 por 100) y las de mayor duración, con desprotección a partir del decimosexto día, cuando en realidad, son las bajas de larga duración las que necesitarían de una mayor protección social.</w:t>
      </w:r>
    </w:p>
    <w:p w:rsidR="0085709A" w:rsidRDefault="0085709A" w:rsidP="0085709A">
      <w:pPr>
        <w:pStyle w:val="TextoNormal"/>
      </w:pPr>
    </w:p>
    <w:p w:rsidR="0085709A" w:rsidRDefault="0085709A" w:rsidP="0085709A">
      <w:pPr>
        <w:pStyle w:val="TextoNormal"/>
      </w:pPr>
      <w:r>
        <w:t>Según reiterada doctrina constitucional, no cabe dar una respuesta unívoca y general a la cuestión relativa a los efectos de la modificación, derogación o pérdida de vigencia de una disposición legal, ulterior a su impugnación, sobre la eventual desaparición del objeto de los diversos procesos constitucionales.</w:t>
      </w:r>
    </w:p>
    <w:p w:rsidR="0085709A" w:rsidRDefault="0085709A" w:rsidP="0085709A">
      <w:pPr>
        <w:pStyle w:val="TextoNormal"/>
      </w:pPr>
    </w:p>
    <w:p w:rsidR="0085709A" w:rsidRDefault="0085709A" w:rsidP="0085709A">
      <w:pPr>
        <w:pStyle w:val="TextoNormal"/>
      </w:pPr>
      <w:r>
        <w:t>En los recursos de inconstitucionalidad —abstractos y orientados a la depuración objetiva del ordenamiento—, la regla general será la pérdida sobrevenida de su objeto, puesto que carece de sentido pronunciarse sobre normas que el propio legislador ha expulsado ya del ordenamiento jurídico, salvo que éstas desplieguen ultraactividad (por todas, STC 39/2013, de 14 de febrero, FJ 3). No obstante, cuando se trata de recursos de inconstitucionalidad en los que se traba una controversia competencial, la regla es distinta, pues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w:t>
      </w:r>
    </w:p>
    <w:p w:rsidR="0085709A" w:rsidRDefault="0085709A" w:rsidP="0085709A">
      <w:pPr>
        <w:pStyle w:val="TextoNormal"/>
      </w:pPr>
    </w:p>
    <w:p w:rsidR="0085709A" w:rsidRDefault="0085709A" w:rsidP="0085709A">
      <w:pPr>
        <w:pStyle w:val="TextoNormal"/>
      </w:pPr>
      <w:r>
        <w:t>La doctrina expuesta nos permite concluir que la queja que se imputa al art. 15 Decreto-ley valenciano 1/2012 relativa a la vulneración del art. 14 CE ha desaparecido sobrevenidamente, en cuanto que, en los recursos de inconstitucionalidad, debido a la nota de abstracción que los rige y a que su finalidad es la depuración del ordenamiento jurídico, la derogación de los preceptos legales impugnados hace que, con carácter general, su objeto decaiga.</w:t>
      </w:r>
    </w:p>
    <w:p w:rsidR="0085709A" w:rsidRDefault="0085709A" w:rsidP="0085709A">
      <w:pPr>
        <w:pStyle w:val="TextoNormal"/>
      </w:pPr>
    </w:p>
    <w:p w:rsidR="0085709A" w:rsidRDefault="0085709A" w:rsidP="0085709A">
      <w:pPr>
        <w:pStyle w:val="TextoNormal"/>
      </w:pPr>
      <w:r>
        <w:t xml:space="preserve">Por su parte, para determinar la pervivencia de la queja competencial que se imputa al art. 15 del Decreto-ley valenciano 1/2012 hemos de contrastar la regulación de este precepto con el nuevo régimen establecido en el Decreto-ley valenciano 6/2012, de 28 de septiembre. </w:t>
      </w:r>
      <w:r>
        <w:lastRenderedPageBreak/>
        <w:t>El art. 15 del Decreto-ley valenciano 1/2012 establecía que “con efectos 1 de marzo de 2012, en los procesos de incapacidad temporal consecuencia de accidente de trabajo o enfermedad profesional del personal incluido en el ámbito de aplicación del presente decreto-ley que se encuentre acogido al régimen general de la Seguridad Social, se complementarán las prestaciones de la Seguridad Social hasta el 100% de sus retribuciones desde el inicio de dicha situación hasta la conclusión de la misma. En los demás supuestos, se complementará el 100 por 100 de sus retribuciones únicamente hasta el decimoquinto día en proceso de incapacidad temporal”. El Decreto-ley valenciano 6/2012, de 28 septiembre, deroga este precepto y prevé que en los supuestos de incapacidad temporal derivados de contingencias profesionales se complementarán las prestaciones de la Seguridad Social hasta el 100 por 100 mientras que en los supuestos de incapacidad temporal derivados de contingencias comunes hasta el tercer día se reconocerá un complemento retributivo del 50 por 100 de las retribuciones que se vinieran percibiendo y desde el día cuarto hasta el vigésimo se reconocerá un complemento que sumado a la prestación económica reconocida por la Seguridad Social sea equivalente al 75 por 100 de las retribuciones que vinieran correspondiendo a dicho personal.</w:t>
      </w:r>
    </w:p>
    <w:p w:rsidR="0085709A" w:rsidRDefault="0085709A" w:rsidP="0085709A">
      <w:pPr>
        <w:pStyle w:val="TextoNormal"/>
      </w:pPr>
    </w:p>
    <w:p w:rsidR="0085709A" w:rsidRDefault="0085709A" w:rsidP="0085709A">
      <w:pPr>
        <w:pStyle w:val="TextoNormal"/>
      </w:pPr>
      <w:r>
        <w:t>El contraste del precepto impugnado con el Decreto-ley valenciano 6/2012 permite concluir que la controversia competencial no ha cesado, ya que lo que los recurrentes sostienen es que el complementar los salarios en los supuestos de incapacidad temporal es una competencia exclusiva del Estado y no de las Comunidades Autónomas, y la nueva norma que ha sustituido al art. 15 del Decreto-ley valenciano 1/2012 continúa regulando esta materia pero de un modo diferente. En consecuencia, al no suponer la derogación del art. 15 del Decreto-ley valenciano 1/2012 la pérdida de objeto de la controversia competencial planteada, sobre esta cuestión nos pronunciaremos en el fundamento jurídico 11.</w:t>
      </w:r>
    </w:p>
    <w:p w:rsidR="0085709A" w:rsidRDefault="0085709A" w:rsidP="0085709A">
      <w:pPr>
        <w:pStyle w:val="TextoNormal"/>
      </w:pPr>
    </w:p>
    <w:p w:rsidR="0085709A" w:rsidRDefault="0085709A" w:rsidP="0085709A">
      <w:pPr>
        <w:pStyle w:val="TextoNormal"/>
      </w:pPr>
      <w:r w:rsidRPr="0085709A">
        <w:rPr>
          <w:rStyle w:val="NumeroAFNegritaCaracter"/>
        </w:rPr>
        <w:t>4</w:t>
      </w:r>
      <w:r>
        <w:t>. Es doctrina reiterada de este Tribunal que “el examen de las infracciones que se refieren al art. 86 CE ha de ser prioritario en el orden de nuestro enjuiciamiento, toda vez que en este caso las infracciones denunciadas inciden directamente sobre la validez de los preceptos impugnados y se cuestiona la legitimidad constitucional de su inclusión en una norma de urgencia … de modo que, si se estimaran las alegaciones relativas al art. 86 CE, resultaría innecesario el examen de las restantes alegaciones” (entre otras, STC 1/2012, de 13 de enero, FJ 3). De acuerdo con esa jurisprudencia, nuestro análisis comenzará por los motivos de inconstitucionalidad alegados por los Senadores recurrentes directamente relacionados con el art. 86 CE. Así, son dos las infracciones denunciadas que están relacionadas con la vulneración del art. 44.4 EAV, precepto que, en cuanto a los presupuestos de utilización del Decreto-ley en la Comunitat Valenciana, se remite a lo dispuesto en el art. 86 CE: en primer lugar, infracción del art. 86.1 CE por no concurrir el presupuesto de la extraordinaria y urgente necesidad y, en segundo lugar, infracción de los límites materiales de los decretos-leyes establecidos en el art. 86.1 CE por afectar a los derechos, deberes y libertades de los ciudadanos regulados en el título I, en concreto, a los arts. 28.1 y 31 CE.</w:t>
      </w:r>
    </w:p>
    <w:p w:rsidR="0085709A" w:rsidRDefault="0085709A" w:rsidP="0085709A">
      <w:pPr>
        <w:pStyle w:val="TextoNormal"/>
      </w:pPr>
    </w:p>
    <w:p w:rsidR="0085709A" w:rsidRDefault="0085709A" w:rsidP="0085709A">
      <w:pPr>
        <w:pStyle w:val="TextoNormal"/>
      </w:pPr>
      <w:r>
        <w:t>En relación a que los Estatutos de Autonomía puedan prever la figura del Decreto-ley autonómico, este Tribunal se ha pronunciado recientemente en la STC 93/2015, de 14 de mayo, FFJJ 3 a 6, estableciendo su legitimidad constitucional siempre que los límites formales y materiales a que se someta dicha institución sean, como mínimo, los mismos que la Constitución impone al decreto-ley estatal. La previsión del art. 44.4 EAV no presenta problema alguno a tales efectos.</w:t>
      </w:r>
    </w:p>
    <w:p w:rsidR="0085709A" w:rsidRDefault="0085709A" w:rsidP="0085709A">
      <w:pPr>
        <w:pStyle w:val="TextoNormal"/>
      </w:pPr>
    </w:p>
    <w:p w:rsidR="0085709A" w:rsidRDefault="0085709A" w:rsidP="0085709A">
      <w:pPr>
        <w:pStyle w:val="TextoNormal"/>
      </w:pPr>
      <w:r w:rsidRPr="0085709A">
        <w:rPr>
          <w:rStyle w:val="NumeroAFNegritaCaracter"/>
        </w:rPr>
        <w:t>5</w:t>
      </w:r>
      <w:r>
        <w:t>. Alegan los recurrentes que el Decreto-ley valenciano 1/2012 vulnera el art. 44.4 EAV en conexión con el art. 86.1 CE, por no estar justificado el presupuesto habilitante de la extraordinaria y urgente necesidad. A su juicio, de la exposición de motivos del Decreto-ley impugnado no se obtiene una justificación contundente de una situación de extraordinaria y urgente necesidad, pues en la misma se utilizan expresiones vagas e inconcretas que no justifican en ningún caso la urgencia de las medidas adoptadas, su eficacia y suficiencia, cuando ya previamente se ha elaborado y aprobado un texto presupuestario, seis días antes, en idéntico escenario económico.</w:t>
      </w:r>
    </w:p>
    <w:p w:rsidR="0085709A" w:rsidRDefault="0085709A" w:rsidP="0085709A">
      <w:pPr>
        <w:pStyle w:val="TextoNormal"/>
      </w:pPr>
    </w:p>
    <w:p w:rsidR="0085709A" w:rsidRDefault="0085709A" w:rsidP="0085709A">
      <w:pPr>
        <w:pStyle w:val="TextoNormal"/>
      </w:pPr>
      <w:r>
        <w:t>Por su parte, el Letrado de las Cortes Valencianas y la Abogada de la Generalitat Valenciana señalan que el Decreto-ley valenciano 1/2012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w:t>
      </w:r>
    </w:p>
    <w:p w:rsidR="0085709A" w:rsidRDefault="0085709A" w:rsidP="0085709A">
      <w:pPr>
        <w:pStyle w:val="TextoNormal"/>
      </w:pPr>
    </w:p>
    <w:p w:rsidR="0085709A" w:rsidRDefault="0085709A" w:rsidP="0085709A">
      <w:pPr>
        <w:pStyle w:val="TextoNormal"/>
      </w:pPr>
      <w:r w:rsidRPr="0085709A">
        <w:rPr>
          <w:rStyle w:val="NumeroAFNegritaCaracter"/>
        </w:rPr>
        <w:t>6</w:t>
      </w:r>
      <w:r>
        <w:t>. La doctrina elaborada por este Tribunal a partir del art. 86 CE con relación a los decretos-leyes resulta del todo punto aplicable al Decreto-ley impugnado en este proceso, pues el art. 44.4 EAV remite íntegramente a lo que dispone el art. 86 CE y, por tanto, también —en lo que interesa ahora— en lo que se refiere a los requisitos de validez de los decretos-leyes que dicte el Consell. A continuación comenzaremos recordando nuestra doctrina sobre el sentido y alcance del presupuesto legitimador de la extraordinaria y urgente necesidad.</w:t>
      </w:r>
    </w:p>
    <w:p w:rsidR="0085709A" w:rsidRDefault="0085709A" w:rsidP="0085709A">
      <w:pPr>
        <w:pStyle w:val="TextoNormal"/>
      </w:pPr>
    </w:p>
    <w:p w:rsidR="0085709A" w:rsidRDefault="0085709A" w:rsidP="0085709A">
      <w:pPr>
        <w:pStyle w:val="TextoNormal"/>
      </w:pPr>
      <w:r>
        <w:t>De acuerdo con una reiterada doctrina constitucional, sintetizada, entre otras, en las SSTC 68/2007, de 28 de marzo, FJ 6; 31/2011, de 17 de marzo, FJ 3; 137/2011, de 14 de septiembre, FJ 4, y 1/2012, de 13 de enero, FJ 6, el art. 86 CE habilita, desde luego, al Gobierno para dictar, mediante real decreto-ley, normas con fuerza de ley, pero en la medida en que ello supone una sustitución del Parlamento por el Gobierno, constituye una excepción al procedimiento legislativo ordinario y a la participación de las minorías que éste dispensa, y como tal sometida en cuanto a su ejercicio a la necesaria concurrencia de todos los presupuestos circunstanciales y materiales enunciados en dicho precepto que lo legitime. Entre los que se incluyen, en lo que aquí importa, la imprescindible conexión entre la facultad legislativa excepcional y la existencia del presupuesto habilitante, esto es, una situación “de extraordinaria y urgente necesidad”.</w:t>
      </w:r>
    </w:p>
    <w:p w:rsidR="0085709A" w:rsidRDefault="0085709A" w:rsidP="0085709A">
      <w:pPr>
        <w:pStyle w:val="TextoNormal"/>
      </w:pPr>
    </w:p>
    <w:p w:rsidR="0085709A" w:rsidRDefault="0085709A" w:rsidP="0085709A">
      <w:pPr>
        <w:pStyle w:val="TextoNormal"/>
      </w:pPr>
      <w:r>
        <w:t xml:space="preserve">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de cualquier otra, los poderes públicos se mueven dentro del marco trazado por la Constitución, de forma que este Tribunal podrá, en supuestos de uso abusivo o arbitrario, rechazar la definición que los órganos políticos hagan de una situación determinada como </w:t>
      </w:r>
      <w:r>
        <w:lastRenderedPageBreak/>
        <w:t>de “extraordinaria y urgente necesidad” y, en consecuencia, declarar la inconstitucionalidad de un real decreto-ley por inexistencia del presupuesto habilitante por invasión de las facultades reservadas a las Cortes Generales por la Constitución.</w:t>
      </w:r>
    </w:p>
    <w:p w:rsidR="0085709A" w:rsidRDefault="0085709A" w:rsidP="0085709A">
      <w:pPr>
        <w:pStyle w:val="TextoNormal"/>
      </w:pPr>
    </w:p>
    <w:p w:rsidR="0085709A" w:rsidRDefault="0085709A" w:rsidP="0085709A">
      <w:pPr>
        <w:pStyle w:val="TextoNormal"/>
      </w:pPr>
      <w:r>
        <w:t>Nuestra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 En otras palabras, el fin que justifica la legislación de urgencia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11/2002, de 17 de enero, FJ 4; y 137/2003, de 3 de julio, FJ 3). Ahora bien,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68/2007, de 28 de marzo, FJ 8, y 1/2012, de 13 de enero, FJ 6).</w:t>
      </w:r>
    </w:p>
    <w:p w:rsidR="0085709A" w:rsidRDefault="0085709A" w:rsidP="0085709A">
      <w:pPr>
        <w:pStyle w:val="TextoNormal"/>
      </w:pPr>
    </w:p>
    <w:p w:rsidR="0085709A" w:rsidRDefault="0085709A" w:rsidP="0085709A">
      <w:pPr>
        <w:pStyle w:val="TextoNormal"/>
      </w:pPr>
      <w:r>
        <w:t>Como se deriva de la jurisprudencia constitucional anteriormente citada relativa al supuesto de hecho habilitante de los Decretos-leyes, dos son los aspectos que tradicionalmente hemos analizado desde la perspectiva constitucional: por un lado, la presentación explícita y razonada de los motivos que han sido tenidos en cuenta por el Gobierno en su aprobación (SSTC 29/1982, de 31 de mayo, FJ 3; 111/1983, de 2 de diciembre, FJ 5; 182/1997, de 20 de octubre, FJ 3, y 137/2003, de 3 de julio, FJ 4); y, por otro lado, la existencia de una necesaria conexión entre la situación de urgencia definida y la medida concreta adoptada para subvenir a ella (SSTC 29/1982, de 31 de mayo, FJ 3; 182/1997, de 20 de octubre, FJ 3, y 137/2003, de 3 de julio, FJ 4). Como señalamos en la STC 332/2005, de 15 de diciembre, FJ 6, aunque ambos aspectos están íntimamente ligados, su análisis por separado facilita desde un punto de vista metodológico el análisis de las consideraciones de las partes y, en última instancia, el control que le corresponde efectuar a este Tribunal.</w:t>
      </w:r>
    </w:p>
    <w:p w:rsidR="0085709A" w:rsidRDefault="0085709A" w:rsidP="0085709A">
      <w:pPr>
        <w:pStyle w:val="TextoNormal"/>
      </w:pPr>
    </w:p>
    <w:p w:rsidR="0085709A" w:rsidRDefault="0085709A" w:rsidP="0085709A">
      <w:pPr>
        <w:pStyle w:val="TextoNormal"/>
      </w:pPr>
      <w:r>
        <w:t xml:space="preserve">En cuanto a la definición explícita y razonada de una situación de “extraordinaria y urgente necesidad” por los órganos políticos, este Tribunal ha precisado que ello no significa que la definición expresa de la extraordinaria y urgente necesidad haya siempre de contenerse en el propio decreto-ley, sino que tal presupuesto cabe deducirlo igualmente de una pluralidad de elementos. En efecto, el examen de la concurrencia del citado presupuesto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w:t>
      </w:r>
      <w:r>
        <w:lastRenderedPageBreak/>
        <w:t>misma, debiendo siempre tener presentes las situaciones concretas y los objetivos gubernamentales que han dado lugar a la aprobación del decreto-ley.</w:t>
      </w:r>
    </w:p>
    <w:p w:rsidR="0085709A" w:rsidRDefault="0085709A" w:rsidP="0085709A">
      <w:pPr>
        <w:pStyle w:val="TextoNormal"/>
      </w:pPr>
    </w:p>
    <w:p w:rsidR="0085709A" w:rsidRDefault="0085709A" w:rsidP="0085709A">
      <w:pPr>
        <w:pStyle w:val="TextoNormal"/>
      </w:pPr>
      <w:r>
        <w:t>De acuerdo con la doctrina expuesta, este Tribunal entendió, con relación a una reforma del sistema de protección por desempleo articulada mediante un real decreto-ley, que “hablar de la ‘cambiante situación de la economía internacional’ o de ‘nuevas oportunidades más variadas que… en etapas anteriores’ supone la utilización de fórmulas rituales de una marcada abstracción y, por ello, de prácticamente imposible control constitucional”, por lo que apreció la falta de una definición explícita y razonada de la situación de “extraordinaria y urgente necesidad” que habilitase el uso de la legislación de urgencia (STC 68/2007, FJ 10). En cambio, este Tribunal ha entendido que se satisfacen las exigencias constitucionales cuando la definición de la situación de extraordinaria y urgente necesidad se realiza mediante “una precisa referencia a una concreta coyuntura económica que exige una rápida respuesta” (STC 142/2014, de 11 de septiembre, FJ 5).</w:t>
      </w:r>
    </w:p>
    <w:p w:rsidR="0085709A" w:rsidRDefault="0085709A" w:rsidP="0085709A">
      <w:pPr>
        <w:pStyle w:val="TextoNormal"/>
      </w:pPr>
    </w:p>
    <w:p w:rsidR="0085709A" w:rsidRDefault="0085709A" w:rsidP="0085709A">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la existencia de la conexión de sentido: el contenido, por un lado, y la estructura, por otro, de las disposiciones incluidas en el Real Decreto-ley controvertido” (SSTC 29/1982, de 31 de mayo, FJ 3; 1/2012, de 13 de enero, FJ 11, y 39/2013, de 14 de febrero, FJ 9).</w:t>
      </w:r>
    </w:p>
    <w:p w:rsidR="0085709A" w:rsidRDefault="0085709A" w:rsidP="0085709A">
      <w:pPr>
        <w:pStyle w:val="TextoNormal"/>
      </w:pPr>
    </w:p>
    <w:p w:rsidR="0085709A" w:rsidRDefault="0085709A" w:rsidP="0085709A">
      <w:pPr>
        <w:pStyle w:val="TextoNormal"/>
      </w:pPr>
      <w:r>
        <w:t>Por último, cabe recordar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Desde el primer momento hemos afirmado que “el peso que en la apreciación de lo que haya de considerarse como caso de extraordinaria y urgente necesidad es forzoso reconocer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(STC 29/1982, de 31 de mayo, FJ 3). Pues la Constitución reconoce a las Cortes Generales como “las depositarias de la potestad legislativa en su ejercicio ordinario”, ya que son ellas las que representan al pueblo español (art. 66.1 CE). El Gobierno ejerce la iniciativa legislativa, de conformidad con el art. 87.1 CE, por lo que la potestad que ostenta para dictar reales decretos-leyes, en virtud del art. 86.1 CE, se configura “como una excepción al procedimiento ordinario de elaboración de las leyes y en consecuencia está sometida en cuanto a su ejercicio a la necesaria concurrencia de determinados requisitos que lo legitiman” (STC 29/1982, de 31 de mayo, FJ 1; doctrina que reitera la STC 182/1997, de 28 de octubre, FJ 3).</w:t>
      </w:r>
    </w:p>
    <w:p w:rsidR="0085709A" w:rsidRDefault="0085709A" w:rsidP="0085709A">
      <w:pPr>
        <w:pStyle w:val="TextoNormal"/>
      </w:pPr>
    </w:p>
    <w:p w:rsidR="0085709A" w:rsidRDefault="0085709A" w:rsidP="0085709A">
      <w:pPr>
        <w:pStyle w:val="TextoNormal"/>
      </w:pPr>
      <w:r w:rsidRPr="0085709A">
        <w:rPr>
          <w:rStyle w:val="NumeroAFNegritaCaracter"/>
        </w:rPr>
        <w:t>7</w:t>
      </w:r>
      <w:r>
        <w:t>. En el marco de la doctrina citada debemos comprobar ahora si en los concretos preceptos del Decreto-ley 1/2012 objeto del presente recurso concurre el presupuesto habilitante de la “extraordinaria y urgente necesidad” exigido por el art. 86.1 CE.</w:t>
      </w:r>
    </w:p>
    <w:p w:rsidR="0085709A" w:rsidRDefault="0085709A" w:rsidP="0085709A">
      <w:pPr>
        <w:pStyle w:val="TextoNormal"/>
      </w:pPr>
    </w:p>
    <w:p w:rsidR="0085709A" w:rsidRDefault="0085709A" w:rsidP="0085709A">
      <w:pPr>
        <w:pStyle w:val="TextoNormal"/>
      </w:pPr>
      <w:r>
        <w:t xml:space="preserve">En ese análisis deberemos tener presente que la vulneración del presupuesto de hecho habilitante únicamente se imputa a los preceptos contenidos en el capítulo I (“de las medidas </w:t>
      </w:r>
      <w:r>
        <w:lastRenderedPageBreak/>
        <w:t>en materia de personal”, arts. 1 a 15), pues los Senadores recurrentes no han impugnado el Decreto-ley en su totalidad, sino sólo los mencionados preceptos. El problema estaría, por tanto, únicamente en los preceptos recurridos y no en el más amplio y heterogéneo conjunto de medidas que se contienen en la citada norma, cuyo nexo de unión es el de su expresada finalidad de reducir el déficit público durante los ejercicios 2012 y 2013. Por tanto, deberemos analizar si, respecto a los arts. 1 a 15 del Decreto-ley del Consell 1/2012, concurre el presupuesto habilitante de la “extraordinaria y urgente necesidad” exigido por el art. 86.1 CE a efectos de determinar la validez constitucional de su regulación.</w:t>
      </w:r>
    </w:p>
    <w:p w:rsidR="0085709A" w:rsidRDefault="0085709A" w:rsidP="0085709A">
      <w:pPr>
        <w:pStyle w:val="TextoNormal"/>
      </w:pPr>
    </w:p>
    <w:p w:rsidR="0085709A" w:rsidRDefault="0085709A" w:rsidP="0085709A">
      <w:pPr>
        <w:pStyle w:val="TextoNormal"/>
      </w:pPr>
      <w:r>
        <w:t>Siguiendo la doctrina expuesta debemos por tanto analizar dos elementos: en primer lugar, la presentación explícita y razonada de los motivos que han sido tenidos en cuenta por el Gobierno en su aprobación (SSTC 29/1982, de 31 de mayo, FJ 3; 111/1983, de 2 de diciembre, FJ 5; 182/1997, de 20 de octubre, FJ 3, y 137/2003, de 3 de julio, FJ 4); en segundo lugar, la existencia de una necesaria conexión entre la situación de urgencia definida y la medida concreta adoptada para subvenir a ella (SSTC 29/1982, de 31 de mayo, FJ 3; 182/1997, de 20 de octubre, FJ 3, y 137/2003, de 3 de julio, FJ 4).</w:t>
      </w:r>
    </w:p>
    <w:p w:rsidR="0085709A" w:rsidRDefault="0085709A" w:rsidP="0085709A">
      <w:pPr>
        <w:pStyle w:val="TextoNormal"/>
      </w:pPr>
    </w:p>
    <w:p w:rsidR="0085709A" w:rsidRDefault="0085709A" w:rsidP="0085709A">
      <w:pPr>
        <w:pStyle w:val="TextoNormal"/>
      </w:pPr>
      <w:r>
        <w:t>a) Para analizar los motivos explicitados por el Consell para la aprobación del Decreto-ley objeto del presente recurso, debemos acudir a la exposición de motivos de la norma, así como al debate parlamentario de convalidación y, en su caso, al expediente de elaboración de la norma (por todas, STC 1/2012, de 13 de enero, FJ 7).</w:t>
      </w:r>
    </w:p>
    <w:p w:rsidR="0085709A" w:rsidRDefault="0085709A" w:rsidP="0085709A">
      <w:pPr>
        <w:pStyle w:val="TextoNormal"/>
      </w:pPr>
    </w:p>
    <w:p w:rsidR="0085709A" w:rsidRDefault="0085709A" w:rsidP="0085709A">
      <w:pPr>
        <w:pStyle w:val="TextoNormal"/>
      </w:pPr>
      <w:r>
        <w:t>Antes de desgranar las medidas más importantes que se establecen, la exposición de motivos efectúa las siguientes consideraciones generales, relacionadas con la plasmación del criterio del Gobierno sobre la concurrencia del presupuesto habilitante de la legislación de urgencia:</w:t>
      </w:r>
    </w:p>
    <w:p w:rsidR="0085709A" w:rsidRDefault="0085709A" w:rsidP="0085709A">
      <w:pPr>
        <w:pStyle w:val="TextoNormal"/>
      </w:pPr>
    </w:p>
    <w:p w:rsidR="0085709A" w:rsidRDefault="0085709A" w:rsidP="0085709A">
      <w:pPr>
        <w:pStyle w:val="TextoNormal"/>
      </w:pPr>
      <w:r>
        <w:t>“La necesidad de reducir el actual nivel de déficit público de la Generalitat, derivado de la evolución de la crisis económica que afecta al conjunto del Estado, exige adoptar medidas extraordinarias y urgentes en la Comunitat Valenciana.</w:t>
      </w:r>
    </w:p>
    <w:p w:rsidR="0085709A" w:rsidRDefault="0085709A" w:rsidP="0085709A">
      <w:pPr>
        <w:pStyle w:val="TextoNormal"/>
      </w:pPr>
    </w:p>
    <w:p w:rsidR="0085709A" w:rsidRDefault="0085709A" w:rsidP="0085709A">
      <w:pPr>
        <w:pStyle w:val="TextoNormal"/>
      </w:pPr>
      <w:r>
        <w:t>El presente decreto-ley recoge una serie de medidas urgentes que el Consell adopta, en el presente ejercicio, dentro del citado marco, y las mismas afectan tanto a los ingresos públicos como a los gastos, con el fin de facilitar la reducción del desequilibrio presupuestario de la Generalitat, asegurar el cumplimiento de sus compromisos en la materia durante los próximos dos ejercicios, así como garantizar que el sector público autonómico se afiance en una senda de reequilibrio que aporte credibilidad a la evolución futura de la deuda y del déficit público autonómico.</w:t>
      </w:r>
    </w:p>
    <w:p w:rsidR="0085709A" w:rsidRDefault="0085709A" w:rsidP="0085709A">
      <w:pPr>
        <w:pStyle w:val="TextoNormal"/>
      </w:pPr>
    </w:p>
    <w:p w:rsidR="0085709A" w:rsidRDefault="0085709A" w:rsidP="0085709A">
      <w:pPr>
        <w:pStyle w:val="TextoNormal"/>
      </w:pPr>
      <w:r>
        <w:t>Estas medidas se adoptan en un contexto excepcional, sin precedentes, de falta de liquidez del conjunto de las administraciones públicas, derivado de la dificultad de obtener fondos en los mercados financieros, y en tal sentido exige un esfuerzo adicional de austeridad sobre la senda iniciada en los últimos ejercicios.</w:t>
      </w:r>
    </w:p>
    <w:p w:rsidR="0085709A" w:rsidRDefault="0085709A" w:rsidP="0085709A">
      <w:pPr>
        <w:pStyle w:val="TextoNormal"/>
      </w:pPr>
    </w:p>
    <w:p w:rsidR="0085709A" w:rsidRDefault="0085709A" w:rsidP="0085709A">
      <w:pPr>
        <w:pStyle w:val="TextoNormal"/>
      </w:pPr>
      <w:r>
        <w:t>Las medidas incluidas en el presente decreto-ley tienen carácter complementario o adicional, dentro del marco competencial de la Comunitat, a las adoptadas por el Gobierno de la Nación en el Real Decreto-ley 20/2011, de 30 de diciembre, de medidas urgentes en materia presupuestaria, tributaria y financiera para la corrección del déficit público.</w:t>
      </w:r>
    </w:p>
    <w:p w:rsidR="0085709A" w:rsidRDefault="0085709A" w:rsidP="0085709A">
      <w:pPr>
        <w:pStyle w:val="TextoNormal"/>
      </w:pPr>
    </w:p>
    <w:p w:rsidR="0085709A" w:rsidRDefault="0085709A" w:rsidP="0085709A">
      <w:pPr>
        <w:pStyle w:val="TextoNormal"/>
      </w:pPr>
      <w:r>
        <w:t>…</w:t>
      </w:r>
    </w:p>
    <w:p w:rsidR="0085709A" w:rsidRDefault="0085709A" w:rsidP="0085709A">
      <w:pPr>
        <w:pStyle w:val="TextoNormal"/>
      </w:pPr>
    </w:p>
    <w:p w:rsidR="0085709A" w:rsidRDefault="0085709A" w:rsidP="0085709A">
      <w:pPr>
        <w:pStyle w:val="TextoNormal"/>
      </w:pPr>
      <w:r>
        <w:t>Las medidas expuestas exigen la adopción de una norma de rango legal. La necesidad de su inmediata aplicación en algunos casos, para garantizar su eficacia en la reducción del gasto, y de su concreción, conocimiento y seguridad en otros, de modo que se garantice su credibilidad y efecto inmediato en los movimientos financieros y en las actuaciones relevantes para la estabilidad presupuestaria, constituyen el hecho habilitante de extraordinaria y urgente necesidad que el Estatut exige en su artículo 44 para la adopción de un Decreto-ley.”</w:t>
      </w:r>
    </w:p>
    <w:p w:rsidR="0085709A" w:rsidRDefault="0085709A" w:rsidP="0085709A">
      <w:pPr>
        <w:pStyle w:val="TextoNormal"/>
      </w:pPr>
    </w:p>
    <w:p w:rsidR="0085709A" w:rsidRDefault="0085709A" w:rsidP="0085709A">
      <w:pPr>
        <w:pStyle w:val="TextoNormal"/>
      </w:pPr>
      <w:r>
        <w:t>También el art. 1 del Decreto-ley impugnado alude a la justificación de la adopción de las medidas adoptadas al referirse a la finalidad de la norma: “1. Las medidas incluidas en el presente Capítulo se adoptan como necesarias para asegurar el cumplimiento de los compromisos adquiridos por la Generalitat, en el marco de las obligaciones asumidas por las distintas administraciones públicas territoriales del estado español, en materia de reducción del déficit público durante los ejercicios 2012 y 2013 al objeto de asegurar el cumplimiento del objetivo de estabilidad presupuestaria.”</w:t>
      </w:r>
    </w:p>
    <w:p w:rsidR="0085709A" w:rsidRDefault="0085709A" w:rsidP="0085709A">
      <w:pPr>
        <w:pStyle w:val="TextoNormal"/>
      </w:pPr>
    </w:p>
    <w:p w:rsidR="0085709A" w:rsidRDefault="0085709A" w:rsidP="0085709A">
      <w:pPr>
        <w:pStyle w:val="TextoNormal"/>
      </w:pPr>
      <w:r>
        <w:t>Según se desprende de los párrafos transcritos, la extraordinaria y urgente necesidad requerida por el art. 86.1 CE, al que se remite el art. 44.4 EAV, para la adopción de decretos-leyes vendría en el caso analizado determinada por la necesidad de reducir el nivel de déficit público y, por ende, de corregir el desequilibrio presupuestario de la Generalitat, derivado de la crisis económica que afectaba a la Comunitat Valenciana, como al conjunto del Estado.</w:t>
      </w:r>
    </w:p>
    <w:p w:rsidR="0085709A" w:rsidRDefault="0085709A" w:rsidP="0085709A">
      <w:pPr>
        <w:pStyle w:val="TextoNormal"/>
      </w:pPr>
    </w:p>
    <w:p w:rsidR="0085709A" w:rsidRDefault="0085709A" w:rsidP="0085709A">
      <w:pPr>
        <w:pStyle w:val="TextoNormal"/>
      </w:pPr>
      <w:r>
        <w:t>Posteriormente, en el debate parlamentario correspondiente al trámite de convalidación del Decreto-ley (Cortes Valencianas. Diario de sesiones del Pleno. VIII legislatura. Año 2011, núm. 26, sesión plenaria celebrada el 18 de enero de 2012, págs. 868 a 875), el Consell, por medio de su Presidente, señala en su exposición inicial, entre otras cosas, lo siguiente:</w:t>
      </w:r>
    </w:p>
    <w:p w:rsidR="0085709A" w:rsidRDefault="0085709A" w:rsidP="0085709A">
      <w:pPr>
        <w:pStyle w:val="TextoNormal"/>
      </w:pPr>
    </w:p>
    <w:p w:rsidR="0085709A" w:rsidRDefault="0085709A" w:rsidP="0085709A">
      <w:pPr>
        <w:pStyle w:val="TextoNormal"/>
      </w:pPr>
      <w:r>
        <w:t>“España y la Comunidad Valenciana se encuentran en una situación difícil que tenemos que cambiar entre todos: estado, comunidades autónomas, entidades locales y sociedad civil. Nadie en esta cámara puede negar que la situación económica de España es muy mala, y todos debemos estar de acuerdo en que si no hacemos nada aun será todavía peor …</w:t>
      </w:r>
    </w:p>
    <w:p w:rsidR="0085709A" w:rsidRDefault="0085709A" w:rsidP="0085709A">
      <w:pPr>
        <w:pStyle w:val="TextoNormal"/>
      </w:pPr>
    </w:p>
    <w:p w:rsidR="0085709A" w:rsidRDefault="0085709A" w:rsidP="0085709A">
      <w:pPr>
        <w:pStyle w:val="TextoNormal"/>
      </w:pPr>
      <w:r>
        <w:t>Hoy quiero explicar a los valencianos que necesitamos adoptar medidas de ahorro, necesarias e imprescindibles para normalizar progresivamente la situación financiera de la administración autonómica y, con ello, garantizar el mantenimiento de la calidad en los diferentes servicios públicos que presta y atender el pago a nuestros proveedores, una de nuestras principales prioridades…</w:t>
      </w:r>
    </w:p>
    <w:p w:rsidR="0085709A" w:rsidRDefault="0085709A" w:rsidP="0085709A">
      <w:pPr>
        <w:pStyle w:val="TextoNormal"/>
      </w:pPr>
    </w:p>
    <w:p w:rsidR="0085709A" w:rsidRDefault="0085709A" w:rsidP="0085709A">
      <w:pPr>
        <w:pStyle w:val="TextoNormal"/>
      </w:pPr>
      <w:r>
        <w:t>En cuanto a los gastos, La Generalitat ha pedido a su personal un mayor esfuerzo y reducirá más de 258 millones de euros anuales durante los años 2012 y 2013. Hemos optado por la estabilidad de las plantillas en lugar del despido para poder mantener los puestos de trabajo del personal temporal…</w:t>
      </w:r>
    </w:p>
    <w:p w:rsidR="0085709A" w:rsidRDefault="0085709A" w:rsidP="0085709A">
      <w:pPr>
        <w:pStyle w:val="TextoNormal"/>
      </w:pPr>
    </w:p>
    <w:p w:rsidR="0085709A" w:rsidRDefault="0085709A" w:rsidP="0085709A">
      <w:pPr>
        <w:pStyle w:val="TextoNormal"/>
      </w:pPr>
      <w:r>
        <w:lastRenderedPageBreak/>
        <w:t>No obstante, estas reducciones de gasto son insuficientes para lograr el compromiso de equilibrar nuestro presupuesto…</w:t>
      </w:r>
    </w:p>
    <w:p w:rsidR="0085709A" w:rsidRDefault="0085709A" w:rsidP="0085709A">
      <w:pPr>
        <w:pStyle w:val="TextoNormal"/>
      </w:pPr>
    </w:p>
    <w:p w:rsidR="0085709A" w:rsidRDefault="0085709A" w:rsidP="0085709A">
      <w:pPr>
        <w:pStyle w:val="TextoNormal"/>
      </w:pPr>
      <w:r>
        <w:t>Sabemos que todas estas medidas son duras. Pero también sabemos que son absolutamente necesarias para salir cuanto antes de la crisis y garantizar la sanidad, la educación y la atención social hacia todas las personas.</w:t>
      </w:r>
    </w:p>
    <w:p w:rsidR="0085709A" w:rsidRDefault="0085709A" w:rsidP="0085709A">
      <w:pPr>
        <w:pStyle w:val="TextoNormal"/>
      </w:pPr>
    </w:p>
    <w:p w:rsidR="0085709A" w:rsidRDefault="0085709A" w:rsidP="0085709A">
      <w:pPr>
        <w:pStyle w:val="TextoNormal"/>
      </w:pPr>
      <w:r>
        <w:t>Unas medidas imprescindibles para poder mantener las prestaciones sociales a los cinco millones de ciudadanos de la Comunidad Valenciana y que hoy representa 30,2 millones de euros diarios…</w:t>
      </w:r>
    </w:p>
    <w:p w:rsidR="0085709A" w:rsidRDefault="0085709A" w:rsidP="0085709A">
      <w:pPr>
        <w:pStyle w:val="TextoNormal"/>
      </w:pPr>
    </w:p>
    <w:p w:rsidR="0085709A" w:rsidRDefault="0085709A" w:rsidP="0085709A">
      <w:pPr>
        <w:pStyle w:val="TextoNormal"/>
      </w:pPr>
      <w:r>
        <w:t>Son medidas que están en la línea de las que han optado ya otras comunidades autónomas, el Gobierno de España y otras regiones de Europa. Se trata de medidas extraordinarias y de carácter temporal, repito, temporal, ante una situación excepcional…”</w:t>
      </w:r>
    </w:p>
    <w:p w:rsidR="0085709A" w:rsidRDefault="0085709A" w:rsidP="0085709A">
      <w:pPr>
        <w:pStyle w:val="TextoNormal"/>
      </w:pPr>
    </w:p>
    <w:p w:rsidR="0085709A" w:rsidRDefault="0085709A" w:rsidP="0085709A">
      <w:pPr>
        <w:pStyle w:val="TextoNormal"/>
      </w:pPr>
      <w:r>
        <w:t>Como se colige de las manifestaciones transcritas, tanto en la exposición de motivos del Decreto-ley 1/2012 como en su presentación en el trámite parlamentario de convalidación, el órgano colegiado de gobierno de la Generalitat Valenciana ha ofrecido, de forma explícita y razonada, una justificación para la adopción de las medidas extraordinarias para la reducción del déficit en la Comunitat Valenciana contenidas en el Decreto-ley 1/2012, de 5 de enero, en general, así como de las medidas específicas en materia de personal contenidas en los preceptos impugnados (arts. 1 a 15), en particular. En síntesis, el Consell ha evocado y descrito la difícil “situación económica” que se está pasando, una “situación que pone en riesgo la sociedad del bienestar”, la “grave situación de falta de liquidez” y la “difícil coyuntura económica” para justificar la necesidad de adoptar medidas urgentes para equilibrar el presupuesto, actuando tanto sobre los gastos como sobre los ingresos, unas medidas que se consideran “imprescindibles” para poder mantener las prestaciones sociales de los ciudadanos y que se conciben como “medidas extraordinarias y de carácter temporal … ante una situación excepcional.”</w:t>
      </w:r>
    </w:p>
    <w:p w:rsidR="0085709A" w:rsidRDefault="0085709A" w:rsidP="0085709A">
      <w:pPr>
        <w:pStyle w:val="TextoNormal"/>
      </w:pPr>
    </w:p>
    <w:p w:rsidR="0085709A" w:rsidRDefault="0085709A" w:rsidP="0085709A">
      <w:pPr>
        <w:pStyle w:val="TextoNormal"/>
      </w:pPr>
      <w:r>
        <w:t>Por tanto, procede declarar que el Consell de la Generalitat Valenciana ha cumplido la exigencia de explicitar y razonar de forma suficiente la existencia de una situación de “extraordinaria y urgente necesidad” que —de acuerdo con el art. 44.4 EAV en conexión con el art. 86.1 CE— justifica la utilización del decreto-ley.</w:t>
      </w:r>
    </w:p>
    <w:p w:rsidR="0085709A" w:rsidRDefault="0085709A" w:rsidP="0085709A">
      <w:pPr>
        <w:pStyle w:val="TextoNormal"/>
      </w:pPr>
    </w:p>
    <w:p w:rsidR="0085709A" w:rsidRDefault="0085709A" w:rsidP="0085709A">
      <w:pPr>
        <w:pStyle w:val="TextoNormal"/>
      </w:pPr>
      <w:r>
        <w:t>b) El segundo elemento a analizar por este Tribunal en el control del presupuesto habilitante es, como ya se indicó, la conexión entre la situación de urgencia definida y la medida concreta adoptada para afrontar la misma. Nuestra doctrina ha afirmado “un doble criterio o perspectiva para valorar la existencia de la conexión de sentido: el contenido, por un lado, y la estructura, por otro, de las disposiciones incluidas en el Real Decreto Ley controvertido” (STC 39/2013, de 14 de febrero, FJ 9). Así, ya en la STC 29/1982, de 31 de mayo, FJ 3, excluimos a este respecto aquellas disposiciones “que,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w:t>
      </w:r>
    </w:p>
    <w:p w:rsidR="0085709A" w:rsidRDefault="0085709A" w:rsidP="0085709A">
      <w:pPr>
        <w:pStyle w:val="TextoNormal"/>
      </w:pPr>
    </w:p>
    <w:p w:rsidR="0085709A" w:rsidRDefault="0085709A" w:rsidP="0085709A">
      <w:pPr>
        <w:pStyle w:val="TextoNormal"/>
      </w:pPr>
      <w:r>
        <w:lastRenderedPageBreak/>
        <w:t>En cuanto al contenido de las medidas previstas en el capítulo I del Decreto-ley 1/2012, recordemos que consistían en varias medidas: reducción de la jornada del personal funcionario interino y del personal laboral temporal al servicio de la Generalitat, del personal del sector público empresarial y fundacional, y del personal funcionario interino al servicio de la Administración de justicia; suspensión del complemento de las prestaciones de seguridad social en procesos de incapacidad temporal; la suspensión igualmente de la convocatoria o concesión de ayudas en concepto de acción social; reducción de las cuantías de los conceptos correspondientes a la carrera profesional y el desarrollo profesional del personal al servicio de las instituciones sanitarias y del resto de personal gestionado por la Conselleria de Sanidad, así como del componente retributivo relacionado con la formación permanente de los funcionarios de los diferentes cuerpos docentes; supresión de días adicionales de vacaciones vinculados a los años de servicios prestados; y posibilidad de denegar la prolongación del servicio activo por necesidades organizativas de la Administración.</w:t>
      </w:r>
    </w:p>
    <w:p w:rsidR="0085709A" w:rsidRDefault="0085709A" w:rsidP="0085709A">
      <w:pPr>
        <w:pStyle w:val="TextoNormal"/>
      </w:pPr>
    </w:p>
    <w:p w:rsidR="0085709A" w:rsidRDefault="0085709A" w:rsidP="0085709A">
      <w:pPr>
        <w:pStyle w:val="TextoNormal"/>
      </w:pPr>
      <w:r>
        <w:t>En cuanto a la estructura de las disposiciones impugnadas del Decreto-ley, estaban dotadas de eficacia inmediata y modificaban por tanto de manera instantánea la situación jurídica existente, por cuanto que entraban en vigor el mismo día de su publicación en el “Diari Oficial de la Comunitat Valenciana”. Esta conclusión no resulta afectada por el hecho de que, tal y como señalan los recurrentes, algunos de los preceptos recurridos del Decreto-ley entrasen en vigor a los dos meses de su promulgación, pues como ha afirmado este Tribunal en la STC 237/2012, de 13 de diciembre, FJ 6, “no debe confundirse eficacia inmediata de la norma provisional con la ejecución instantánea de la misma. Sólo aquélla es un requisito ínsito en la definición constitucional del decreto-ley establecida en el art. 86.1 CE, habida cuenta de que con este instrumento se trata de alcanzar ‘los objetivos marcados para la gobernación del país’ en aquellas situaciones en las que, por concurrir ‘circunstancias difíciles o imposibles de prever, requieren una acción normativa inmediata’ (STC 182/1997, de 28 de octubre, FJ 3, reiterando una línea doctrinal iniciada en la STC 29/1982, de 31 de mayo, FJ 6), en tanto que la celeridad de la completa ejecución estará en función de la naturaleza y complejidad de las propias medidas adoptadas en cada decreto-ley para hacer frente a la situación de urgencia”.</w:t>
      </w:r>
    </w:p>
    <w:p w:rsidR="0085709A" w:rsidRDefault="0085709A" w:rsidP="0085709A">
      <w:pPr>
        <w:pStyle w:val="TextoNormal"/>
      </w:pPr>
    </w:p>
    <w:p w:rsidR="0085709A" w:rsidRDefault="0085709A" w:rsidP="0085709A">
      <w:pPr>
        <w:pStyle w:val="TextoNormal"/>
      </w:pPr>
      <w:r>
        <w:t>A la luz de los dos criterios señalados, el contenido y la estructura de las disposiciones controvertidas del Decreto-ley, debemos afirmar que las medidas incluidas en el Decreto-ley 1/2012 no carecen de conexión de sentido con la situación de extraordinaria y urgente necesidad definida por el Gobierno, pues, por un lado, eran idóneas para las consecución del objetivo marcado de reducción del déficit público y, por otro lado, tenían incidencia directa en la reducción del gasto en personal en el sector público de la Comunitat Valenciana.</w:t>
      </w:r>
    </w:p>
    <w:p w:rsidR="0085709A" w:rsidRDefault="0085709A" w:rsidP="0085709A">
      <w:pPr>
        <w:pStyle w:val="TextoNormal"/>
      </w:pPr>
    </w:p>
    <w:p w:rsidR="0085709A" w:rsidRDefault="0085709A" w:rsidP="0085709A">
      <w:pPr>
        <w:pStyle w:val="TextoNormal"/>
      </w:pPr>
      <w:r>
        <w:t xml:space="preserve">c) Por último, debe rechazarse la alegación de los recurrentes relativa a que la causa desencadenante era suficientemente conocida en el momento de elaboración de la Ley de presupuestos para 2012 y podía preverse con antelación suficiente, de modo que pudo perfectamente haberse incorporado en esa Ley de presupuestos. Como ha señalado este Tribunal en diversas ocasiones,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w:t>
      </w:r>
      <w:r>
        <w:lastRenderedPageBreak/>
        <w:t>efectivamente concurran” (SSTC 11/2002, de 17 de enero, FJ 6, y 68/2007, de 28 de marzo, FJ 8, por todas), que es justamente lo que resulta acreditado en el presente caso.</w:t>
      </w:r>
    </w:p>
    <w:p w:rsidR="0085709A" w:rsidRDefault="0085709A" w:rsidP="0085709A">
      <w:pPr>
        <w:pStyle w:val="TextoNormal"/>
      </w:pPr>
    </w:p>
    <w:p w:rsidR="0085709A" w:rsidRDefault="0085709A" w:rsidP="0085709A">
      <w:pPr>
        <w:pStyle w:val="TextoNormal"/>
      </w:pPr>
      <w:r>
        <w:t>En consecuencia, la alegación de los recurrentes relativa a que la causa desencadenante era suficientemente conocida en el momento de elaboración de la Ley de presupuestos para 2012 y podía preverse con antelación suficiente, de modo que pudo perfectamente haberse incorporado en esa Ley de presupuestos, constituye una hipótesis que, aun cuando fuera cierta, no tiene por qué afectar a la constatación de la existencia de una situación de extraordinaria y urgente necesidad que legitima la adopción de medidas urgentes para hacer frente a la misma, como las contenidas en los arts. 1 a 15 del Decreto-ley 1/2012.</w:t>
      </w:r>
    </w:p>
    <w:p w:rsidR="0085709A" w:rsidRDefault="0085709A" w:rsidP="0085709A">
      <w:pPr>
        <w:pStyle w:val="TextoNormal"/>
      </w:pPr>
    </w:p>
    <w:p w:rsidR="0085709A" w:rsidRDefault="0085709A" w:rsidP="0085709A">
      <w:pPr>
        <w:pStyle w:val="TextoNormal"/>
      </w:pPr>
      <w:r>
        <w:t>d) Por todo ello, procede descartar el motivo de impugnación referido a la falta de concurrencia del presupuesto habilitante para dictar el Decreto-ley 1/2012 que viene exigido por el art. 44.4 EAV en conexión con el art. 86.1 CE.</w:t>
      </w:r>
    </w:p>
    <w:p w:rsidR="0085709A" w:rsidRDefault="0085709A" w:rsidP="0085709A">
      <w:pPr>
        <w:pStyle w:val="TextoNormal"/>
      </w:pPr>
    </w:p>
    <w:p w:rsidR="0085709A" w:rsidRDefault="0085709A" w:rsidP="0085709A">
      <w:pPr>
        <w:pStyle w:val="TextoNormal"/>
      </w:pPr>
      <w:r w:rsidRPr="0085709A">
        <w:rPr>
          <w:rStyle w:val="NumeroAFNegritaCaracter"/>
        </w:rPr>
        <w:t>8</w:t>
      </w:r>
      <w:r>
        <w:t>. Consideran los Senadores recurrentes que el Decreto-ley 1/2012 incumple también la prohibición contenida en el art. 86.1 CE, al que se remite el art. 44.4 EAV, de afectar a determinadas materias, entre ellas, los derechos y libertades de los ciudadanos regulados en el título I CE, vulnerándose el derecho fundamental a la negociación colectiva que forma parte del contenido esencial reconocido en el art. 28.1 CE. A su juicio, la vulneración del derecho a la libertad sindical y a la negociación colectiva supone la quiebra de la eficacia vinculante de los acuerdos y convenios en vigor en el sector público que sólo pueden suspenderse o modificarse por causa grave para el interés público derivada de una alteración sustancial de las circunstancias económicas y todo ello con una debida información a las organización sindicales.</w:t>
      </w:r>
    </w:p>
    <w:p w:rsidR="0085709A" w:rsidRDefault="0085709A" w:rsidP="0085709A">
      <w:pPr>
        <w:pStyle w:val="TextoNormal"/>
      </w:pPr>
    </w:p>
    <w:p w:rsidR="0085709A" w:rsidRDefault="0085709A" w:rsidP="0085709A">
      <w:pPr>
        <w:pStyle w:val="TextoNormal"/>
      </w:pPr>
      <w:r>
        <w:t>Esta cuestión ha sido ya analizada por este Tribunal en la serie de Autos iniciada por el ATC 85/2011, de 7 de junio, en los que se inadmitieron varias cuestiones de inconstitucionalidad que versaban sobre la compatibilidad con los derechos de negociación colectiva y libertad sindical de la reducción de las retribuciones de los empleados públicos que fue introducida en la Ley de presupuestos generales del Estado por el Real Decreto-ley 8/2010, de 20 de mayo, y que posteriormente fue seguida por diversas leyes autonómicas de presupuestos.</w:t>
      </w:r>
    </w:p>
    <w:p w:rsidR="0085709A" w:rsidRDefault="0085709A" w:rsidP="0085709A">
      <w:pPr>
        <w:pStyle w:val="TextoNormal"/>
      </w:pPr>
    </w:p>
    <w:p w:rsidR="0085709A" w:rsidRDefault="0085709A" w:rsidP="0085709A">
      <w:pPr>
        <w:pStyle w:val="TextoNormal"/>
      </w:pPr>
      <w:r>
        <w:t>En el mencionado ATC 85/2011, FJ 7, este Tribunal señaló lo siguiente:</w:t>
      </w:r>
    </w:p>
    <w:p w:rsidR="0085709A" w:rsidRDefault="0085709A" w:rsidP="0085709A">
      <w:pPr>
        <w:pStyle w:val="TextoNormal"/>
      </w:pPr>
    </w:p>
    <w:p w:rsidR="0085709A" w:rsidRDefault="0085709A" w:rsidP="0085709A">
      <w:pPr>
        <w:pStyle w:val="TextoNormal"/>
      </w:pPr>
      <w:r>
        <w:t xml:space="preserve">“En relación con el límite material que para la figura del decreto-ley resulta de la prohibición de ‘afectar … a los derechos, deberes y libertades de los ciudadanos regulados en el título I’ CE, que es el concernido en este caso, este Tribunal ha rechazado una interpretación expansiva del mismo, pues se ‘sustenta en una idea tan restrictiva del Decreto-ley que lleva en su seno al vaciamiento de la figura y la hace inservible para regular con mayor o menor incidencia cualquiera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Frente a esa interpretación, una reiterada doctrina constitucional ha venido manteniendo en la interpretación de los límites materiales del decreto-ley una posición equilibrada que evite las concepciones extremas, de modo que la </w:t>
      </w:r>
      <w:r>
        <w:lastRenderedPageBreak/>
        <w:t>cláusula restrictiva del art. 86.1 CE (‘no podrán afectar’) debe ser entendida de modo que no reduzca a la nada el decreto-ley, que es un instrumento normativo previsto por la Constitución ‘del que es posible hacer uso para dar respuesta a las perspectivas cambiantes de la vida actual’ (STC 6/1983, de 4 de febrero, FJ 5). De conformidad con ese criterio hermenéutico, lo que le está vedado al decreto-ley, por el juego del límite material ahora examinado, es la regulación del ‘régimen general de los derechos, deberes y libertades del título I CE’ o que ‘se vaya en contra del contenido o elementos esenciales de alguno de tales derechos’ (STC 111/1983, de 2 de diciembre, FJ 8), de modo que, de aquel límite se infiere o concluye, que el decreto-ley ‘no puede alterar ni el régimen general ni los elementos esenciales’ de los derechos, deberes y libertades del título I CE (SSTC 182/1997, de 28 de octubre, FJ 7; 137/2003, de 3 de julio, FJ 6; 108/2004, de 30 de junio, FJ 7; 189/2005, de 7 de julio, FJ 7, por todas). Asimismo, hemos declarado también que al interpretar el límite del art. 86.1 CE este Tribunal no debe atender al modo cómo se manifiesta el principio de reserva de ley en una determinada materia, sino más bien al examen de si ha existido ‘afectación’ por el decreto-ley de un derecho, deber o libertad regulado en el título I CE. Lo que exigirá tener en cuenta la configuración constitucional del derecho, deber o libertad afectado en cada caso e incluso su colocación en el texto constitucional y la naturaleza y alcance de la concreta regulación de que se trate (SSTC 111/1983, de 2 de diciembre, FJ 2; 182/1997, de 28 de octubre, FJ 8; 137/2003, de 3 de julio, FJ 6; 108/2004, de 30 de junio, FJ 7; 189/2005, de 7 de julio, FJ 7; y 329/2005, de 15 de diciembre, FJ 8).”</w:t>
      </w:r>
    </w:p>
    <w:p w:rsidR="0085709A" w:rsidRDefault="0085709A" w:rsidP="0085709A">
      <w:pPr>
        <w:pStyle w:val="TextoNormal"/>
      </w:pPr>
    </w:p>
    <w:p w:rsidR="0085709A" w:rsidRDefault="0085709A" w:rsidP="0085709A">
      <w:pPr>
        <w:pStyle w:val="TextoNormal"/>
      </w:pPr>
      <w:r>
        <w:t>Esa doctrina ha sido aplicada, entre otros, por los AATC 101/2011, de 5 de julio, FJ 1; 104/2011, de 5 de julio, FJ 3; 105/2011, de 5 de julio, FJ 1; 115/2011, de 19 de julio, FJ 3; 39/2012, de 28 de febrero, FJ 6; 128/2012, de 19 de junio, FJ 3; 205/2012, de 30 de octubre, FJ 4; y 246/2012, de 18 de diciembre, FJ 4.</w:t>
      </w:r>
    </w:p>
    <w:p w:rsidR="0085709A" w:rsidRDefault="0085709A" w:rsidP="0085709A">
      <w:pPr>
        <w:pStyle w:val="TextoNormal"/>
      </w:pPr>
    </w:p>
    <w:p w:rsidR="0085709A" w:rsidRDefault="0085709A" w:rsidP="0085709A">
      <w:pPr>
        <w:pStyle w:val="TextoNormal"/>
      </w:pPr>
      <w:r>
        <w:t>Una vez expuesta la interpretación que de los límites materiales del Decreto-ley mantiene este Tribunal, los citados Autos precisaron que el derecho fundamental a tener en cuenta en una cuestión como la considerada, referida al alcance y valor normativo del convenio colectivo, es el derecho a la negociación colectiva (art. 37.1 CE), pues sólo si se considerara afectado este derecho podría llegar a plantearse si además ello supone una afectación del derecho a la libertad sindical, toda vez que la alegada afectación del primero es presupuesto para poder considerar la posible afectación del segundo (por todos, ATC 85/2011, FJ 7).</w:t>
      </w:r>
    </w:p>
    <w:p w:rsidR="0085709A" w:rsidRDefault="0085709A" w:rsidP="0085709A">
      <w:pPr>
        <w:pStyle w:val="TextoNormal"/>
      </w:pPr>
    </w:p>
    <w:p w:rsidR="0085709A" w:rsidRDefault="0085709A" w:rsidP="0085709A">
      <w:pPr>
        <w:pStyle w:val="TextoNormal"/>
      </w:pPr>
      <w:r>
        <w:t>Pues bien, al igual que en los citados Autos, los preceptos legales impugnados del Decreto-ley 1/2012 no regulan el régimen general del derecho a la negociación colectiva reconocido en el art. 37.1 CE, ni nada disponen sobre la fuerza vinculante de los convenios colectivos en general, ni, en particular, sobre los directamente por aquellos concernidos, que mantienen la fuerza vinculante propia de este tipo de fuente, derivada de su posición en el sistema de fuentes.</w:t>
      </w:r>
    </w:p>
    <w:p w:rsidR="0085709A" w:rsidRDefault="0085709A" w:rsidP="0085709A">
      <w:pPr>
        <w:pStyle w:val="TextoNormal"/>
      </w:pPr>
    </w:p>
    <w:p w:rsidR="0085709A" w:rsidRDefault="0085709A" w:rsidP="0085709A">
      <w:pPr>
        <w:pStyle w:val="TextoNormal"/>
      </w:pPr>
      <w:r>
        <w:t xml:space="preserve">Sin embargo, para los Senadores recurrentes los preceptos impugnados “afectan” al derecho a la negociación colectiva en la medida en que afectan a la fuerza vinculante del convenio colectivo. Ahora bien, en cuanto a este derecho a la negociación colectiva y a la fuerza vinculante de los convenios, hemos declarado también en el citado ATC 85/2011 (FJ 8) y en los que le siguen, que no puede confundirse ni identificarse ésta con una pretendida intangibilidad o inalterabilidad del convenio, toda vez que, como ya ha tenido ocasión de declarar este Tribunal “del art. 37.1 CE no emana ni deriva la supuesta intangibilidad o </w:t>
      </w:r>
      <w:r>
        <w:lastRenderedPageBreak/>
        <w:t>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(en el mismo sentido, SSTC 177/1988, de 10 de octubre, FJ 4; 171/1989, de 19 de octubre, FJ 2; 92/1994, de 21 de marzo, FJ 2; y 62/2001, de 1 de marzo, FJ 3; ATC 34/2005, de 31 de enero, FJ 5).”</w:t>
      </w:r>
    </w:p>
    <w:p w:rsidR="0085709A" w:rsidRDefault="0085709A" w:rsidP="0085709A">
      <w:pPr>
        <w:pStyle w:val="TextoNormal"/>
      </w:pPr>
    </w:p>
    <w:p w:rsidR="0085709A" w:rsidRDefault="0085709A" w:rsidP="0085709A">
      <w:pPr>
        <w:pStyle w:val="TextoNormal"/>
      </w:pPr>
      <w:r>
        <w:t>Por todo ello, debemos concluir que los preceptos legales impugnados no suponen una “afectación” en el sentido constitucional del término, del derecho a la negociación colectiva reconocido en el art. 37.1 CE, en cuanto que ni regulan el régimen general de dicho derecho, ni la intangibilidad del convenio colectivo frente a las normas legales se configura como uno de sus elementos esenciales, por lo que no han franqueado el límite material que al Decreto-ley impone el art. 86.1 CE, al que se remite el art. 44.4 EAV, de no afectar a los derechos, deberes y libertades del título I CE.</w:t>
      </w:r>
    </w:p>
    <w:p w:rsidR="0085709A" w:rsidRDefault="0085709A" w:rsidP="0085709A">
      <w:pPr>
        <w:pStyle w:val="TextoNormal"/>
      </w:pPr>
    </w:p>
    <w:p w:rsidR="0085709A" w:rsidRDefault="0085709A" w:rsidP="0085709A">
      <w:pPr>
        <w:pStyle w:val="TextoNormal"/>
      </w:pPr>
      <w:r w:rsidRPr="0085709A">
        <w:rPr>
          <w:rStyle w:val="NumeroAFNegritaCaracter"/>
        </w:rPr>
        <w:t>9</w:t>
      </w:r>
      <w:r>
        <w:t>. . La última infracción alegada en relación con el ejercicio de la potestad de dictar decretos-leyes hace referencia a la imposibilidad de modificar las tarifas impositivas mediante un decreto-ley si, una vez convalidado, éste no se tramita como proyecto de ley al objeto de proceder al oportuno debate parlamentario, sobre la base del art. 86 CE, al que se remite el art. 44.4 EAV, en relación con el art. 31 CE. Señalan los recurrentes que la Constitución prohíbe la regulación o instauración de nuevos tributos, o su modificación, por la vía del Decreto-ley, mucho más si este no se tramita posteriormente en forma de proyecto de ley ante el parlamento correspondiente.</w:t>
      </w:r>
    </w:p>
    <w:p w:rsidR="0085709A" w:rsidRDefault="0085709A" w:rsidP="0085709A">
      <w:pPr>
        <w:pStyle w:val="TextoNormal"/>
      </w:pPr>
    </w:p>
    <w:p w:rsidR="0085709A" w:rsidRDefault="0085709A" w:rsidP="0085709A">
      <w:pPr>
        <w:pStyle w:val="TextoNormal"/>
      </w:pPr>
      <w:r>
        <w:t xml:space="preserve">El Decreto-ley 1/2012 introduce ciertamente varias disposiciones para la modificación de diversos impuestos, pero esas disposiciones no se encuentran entre los preceptos impugnados, que son únicamente los arts. 1 a 15. Como es obvio, los preceptos del Decreto-ley a los que no se alude en el escrito de interposición quedan excluidos del objeto de este recurso de inconstitucionalidad, pues “la acción de inconstitucionalidad, como toda acción, se concreta a través de su </w:t>
      </w:r>
      <w:r w:rsidRPr="0085709A">
        <w:rPr>
          <w:i/>
        </w:rPr>
        <w:t>petitum</w:t>
      </w:r>
      <w:r>
        <w:t xml:space="preserve"> y de su </w:t>
      </w:r>
      <w:r w:rsidRPr="0085709A">
        <w:rPr>
          <w:i/>
        </w:rPr>
        <w:t>causa petendi</w:t>
      </w:r>
      <w:r>
        <w:t>”, esto es, “queda configurada por lo que se pide y por la causa en que la petición se fundamenta” (STC 11/1981, de 8 de abril, FJ 3). En consecuencia, el presente motivo de impugnación debe ser rechazado por cuanto ninguno de los preceptos impugnados del Decreto-ley valenciano 1/2012 hace referencia a las tarifas impositivas a las que aluden los recurrentes para considerar infringido el límite material del Decreto-ley.</w:t>
      </w:r>
    </w:p>
    <w:p w:rsidR="0085709A" w:rsidRDefault="0085709A" w:rsidP="0085709A">
      <w:pPr>
        <w:pStyle w:val="TextoNormal"/>
      </w:pPr>
    </w:p>
    <w:p w:rsidR="0085709A" w:rsidRDefault="0085709A" w:rsidP="0085709A">
      <w:pPr>
        <w:pStyle w:val="TextoNormal"/>
      </w:pPr>
      <w:r w:rsidRPr="0085709A">
        <w:rPr>
          <w:rStyle w:val="NumeroAFNegritaCaracter"/>
        </w:rPr>
        <w:t>10</w:t>
      </w:r>
      <w:r>
        <w:t>. Consideran los recurrentes que el Decreto-ley impugnado vulnera también el derecho al trabajo y a una remuneración suficiente (art. 35 CE), al establecer en algunos casos reducciones abusivas de la jornada laboral y las retribuciones. Siendo la motivación económica y los supuestos objetivos a perseguir económicos, no tiene sentido, a su juicio, que parte del acuerdo que aprueba el Consell afecte a la jornada de trabajo de sus empleados públicos. Asimismo, consideran vulnerado el derecho al trabajo de los empleados que superen los 65 años de edad y soliciten una prolongación de su servicio activo.</w:t>
      </w:r>
    </w:p>
    <w:p w:rsidR="0085709A" w:rsidRDefault="0085709A" w:rsidP="0085709A">
      <w:pPr>
        <w:pStyle w:val="TextoNormal"/>
      </w:pPr>
    </w:p>
    <w:p w:rsidR="0085709A" w:rsidRDefault="0085709A" w:rsidP="0085709A">
      <w:pPr>
        <w:pStyle w:val="TextoNormal"/>
      </w:pPr>
      <w:r>
        <w:t xml:space="preserve">En primer lugar, por lo que se refiere a la reducción abusiva de la jornada laboral y de las retribuciones, debemos recordar que el Decreto-ley valenciano 1/2012 reduce la jornada </w:t>
      </w:r>
      <w:r>
        <w:lastRenderedPageBreak/>
        <w:t>del personal temporal al servicio de la Generalitat con la correspondiente disminución proporcional de las retribuciones, así como reduce en un 50 por 100 las cuantías de los conceptos correspondientes a la carrera profesional y el desarrollo profesional del personal al servicio de las instituciones sanitarias y del resto de personal gestionado por la Conselleria de Sanidad, y del componente retributivo relacionado con la formación permanente de los funcionarios de los diferentes cuerpos docentes. Los recurrentes alegan genéricamente que dicha reducción vulnera el art. 35 CE pero sin ofrecer razón constitucional alguna por la que consideran vulnerado dicho precepto. Se limitan a describir la medida introducida por el Decreto-ley 1/2012 pero no alegan por qué la reducción de jornada y salario es abusiva ni en qué medida esto afecta al derecho al trabajo y el derecho a una remuneración suficiente reconocidos en el art. 35 CE. En efecto, en relación con el derecho a una remuneración suficiente los recurrentes deberían haber argumentado en qué medida la reducción de la remuneración convierte a ésta en insuficiente para satisfacer las necesidades del trabajador o de su familia. Y al no hacerlo no puede este Tribunal suplir la carga argumental en torno a la inconstitucionalidad del precepto que corresponde a la parte que lo impugna.</w:t>
      </w:r>
    </w:p>
    <w:p w:rsidR="0085709A" w:rsidRDefault="0085709A" w:rsidP="0085709A">
      <w:pPr>
        <w:pStyle w:val="TextoNormal"/>
      </w:pPr>
    </w:p>
    <w:p w:rsidR="0085709A" w:rsidRDefault="0085709A" w:rsidP="0085709A">
      <w:pPr>
        <w:pStyle w:val="TextoNormal"/>
      </w:pPr>
      <w:r>
        <w:t>Por lo que se refiere a la vulneración del derecho al trabajo por haberse reducido la jornada y el salario abusivamente, a pesar de que también aquí la argumentación de los recurrentes es mínima, hemos de recordar una vez más que no es nuestra función la de “enjuiciar la oportunidad o conveniencia de la elección hecha por el legislador para valorar si es la más adecuada o la mejor de las posibles” (STC 198/2012, de 6 de noviembre, FJ 11), sino únicamente determinar si la opción asumida sobrepasa o no el margen razonable de libertad que le reconoce el art. 35 CE. Y a este respecto hemos de señalar que la opción legislativa controvertida, en el marco en que se inserta, cuenta con una justificación que no puede tacharse de arbitraria o irrazonable.</w:t>
      </w:r>
    </w:p>
    <w:p w:rsidR="0085709A" w:rsidRDefault="0085709A" w:rsidP="0085709A">
      <w:pPr>
        <w:pStyle w:val="TextoNormal"/>
      </w:pPr>
    </w:p>
    <w:p w:rsidR="0085709A" w:rsidRDefault="0085709A" w:rsidP="0085709A">
      <w:pPr>
        <w:pStyle w:val="TextoNormal"/>
      </w:pPr>
      <w:r>
        <w:t>Como viene señalando este Tribunal desde su Sentencia 22/1981, de 3 de julio, FJ 8, “el derecho al trabajo no se agota en la libertad de trabajar; supone también el derecho a un puesto de trabajo y como tal presenta un doble aspecto: individual y colectivo, ambos reconocidos en los arts. 35.1 y 40.1 de nuestra Constitución, respectivamente. En su aspecto individual, se concreta en el igual derecho de todos a un determinado puesto de trabajo si se cumplen los requisitos necesarios de capacitación, y en el derecho a la continuidad o estabilidad en el empleo, es decir, a no ser despedidos si no existe una justa causa. En su dimensión colectiva el derecho al trabajo implica además un mandato a los poderes públicos para que lleven a cabo una política de pleno empleo, pues en otro caso el ejercicio del derecho al trabajo por una parte de la población lleva consigo la negación de ese mismo derecho para otra parte de la misma”.</w:t>
      </w:r>
    </w:p>
    <w:p w:rsidR="0085709A" w:rsidRDefault="0085709A" w:rsidP="0085709A">
      <w:pPr>
        <w:pStyle w:val="TextoNormal"/>
      </w:pPr>
    </w:p>
    <w:p w:rsidR="0085709A" w:rsidRDefault="0085709A" w:rsidP="0085709A">
      <w:pPr>
        <w:pStyle w:val="TextoNormal"/>
      </w:pPr>
      <w:r>
        <w:t>La medida adoptada por el Gobierno valenciano no supone la limitación del derecho al trabajo consagrado constitucionalmente en el art. 35 CE. Los trabajadores afectados por las medidas adoptadas seguirán prestando servicios para la Administración valenciana pero con unas condiciones de jornada y de retribución diferentes a las que venían disfrutando. Esta modificación en las condiciones de trabajo cuenta con una justificación que no puede tacharse de arbitraria o irrazonable pues con ella se trata de evitar la amortización de puestos de trabajo a la que puede llevar el elevado nivel de déficit público de la Generalitat. Se trata de garantizar el mantenimiento del puesto de trabajo en lugar de su destrucción, de manera que las medidas adoptadas no vulneran el derecho al trabajo; por el contrario, tratan de garantizar el derecho al trabajo de los empleados de la Administración valenciana.</w:t>
      </w:r>
    </w:p>
    <w:p w:rsidR="0085709A" w:rsidRDefault="0085709A" w:rsidP="0085709A">
      <w:pPr>
        <w:pStyle w:val="TextoNormal"/>
      </w:pPr>
    </w:p>
    <w:p w:rsidR="0085709A" w:rsidRDefault="0085709A" w:rsidP="0085709A">
      <w:pPr>
        <w:pStyle w:val="TextoNormal"/>
      </w:pPr>
      <w:r>
        <w:t>Por último, la alegada vulneración del derecho al trabajo de los empleados mayores de 65 años al poder la Administración resolver de forma motivada la aceptación o denegación de la prolongación de la prestación de servicios en función de las necesidades de recursos humanos de la organización, debe ser rechazada pues la medida a la que aluden los Senadores recurrentes aparece regulada en la disposición final segunda del Decreto-ley valenciano 1/2012 que no ha sido objeto de impugnación.</w:t>
      </w:r>
    </w:p>
    <w:p w:rsidR="0085709A" w:rsidRDefault="0085709A" w:rsidP="0085709A">
      <w:pPr>
        <w:pStyle w:val="TextoNormal"/>
      </w:pPr>
    </w:p>
    <w:p w:rsidR="0085709A" w:rsidRDefault="0085709A" w:rsidP="0085709A">
      <w:pPr>
        <w:pStyle w:val="TextoNormal"/>
      </w:pPr>
      <w:r w:rsidRPr="0085709A">
        <w:rPr>
          <w:rStyle w:val="NumeroAFNegritaCaracter"/>
        </w:rPr>
        <w:t>11</w:t>
      </w:r>
      <w:r>
        <w:t>. Alegan los Senadores recurrentes la extralimitación de las competencias que tiene atribuidas la Generalitat Valenciana en el Estatuto de Autonomía, por legislar sobre materias que son competencia exclusiva del Estado, como es el período de complementación de salarios en los supuestos de incapacidad temporal por contingencias comunes. Señalan que el Decreto-ley incluye a personal sobre el que la Comunitat Valenciana no tiene competencias legislativas, entre ellos, el personal funcionario de las Cortes Valencianas y sus instituciones dependientes y el personal funcionario de la Administración de Justicia. También consideran que se ha excedido de sus competencias en relación con el personal laboral de diferentes ámbitos cuyas condiciones de trabajo están determinadas por la legislación laboral general y sus convenios colectivos de aplicación, lo que sucede, a su juicio, con la disposición final tercera del Decreto-ley sobre suspensión de pactos y acuerdos. Con todo ello, afirman, se demuestra que, pese a la absoluta carencia de habilitación para disponer en materia laboral, son muchas las medidas establecidas en el Decreto-ley 1/2012 que usurpan competencias que constitucionalmente no se encuentran comprendidas dentro de su ámbito competencial.</w:t>
      </w:r>
    </w:p>
    <w:p w:rsidR="0085709A" w:rsidRDefault="0085709A" w:rsidP="0085709A">
      <w:pPr>
        <w:pStyle w:val="TextoNormal"/>
      </w:pPr>
    </w:p>
    <w:p w:rsidR="0085709A" w:rsidRDefault="0085709A" w:rsidP="0085709A">
      <w:pPr>
        <w:pStyle w:val="TextoNormal"/>
      </w:pPr>
      <w:r>
        <w:t>Los recurrentes alegan de forma genérica y abstracta, sin aportar ningún razonamiento que conduzca a la conclusión pretendida, que el Decreto-ley valenciano 1/2012 vulnera las competencias del Estado y a continuación concretan esta afirmación genérica en tres aspectos regulados por la norma: la complementación de la incapacidad temporal, la inclusión en su ámbito de aplicación del personal funcionario de las Cortes Valencianas y del personal funcionario de la Administración de Justicia y la suspensión de pactos y acuerdos sindicales firmados en el ámbito del personal funcionario y estatutario incluidos dentro del ámbito de aplicación del Decreto-ley.</w:t>
      </w:r>
    </w:p>
    <w:p w:rsidR="0085709A" w:rsidRDefault="0085709A" w:rsidP="0085709A">
      <w:pPr>
        <w:pStyle w:val="TextoNormal"/>
      </w:pPr>
    </w:p>
    <w:p w:rsidR="0085709A" w:rsidRDefault="0085709A" w:rsidP="0085709A">
      <w:pPr>
        <w:pStyle w:val="TextoNormal"/>
      </w:pPr>
      <w:r>
        <w:t>La alegación genérica e inconcreta relativa a la extralimitación en las competencias que tiene atribuidas la Generalitat Valenciana en el Estatuto de Autonomía, por legislar sobre materias que son competencia exclusiva del Estado, no puede ser examinada en esta sede pues no se encuentra fundamentada. La carga argumental en torno a la inconstitucionalidad del precepto corresponde a la parte que lo impugna. Al igual que afirmamos en las SSTC 195/2012, de 31 de octubre, FJ 4; y 84/2013 de 11 de abril, FJ 3, “resulta de aplicación la doctrina recopilada en la STC 158/2011, de 19 de octubre, según la cual ‘no basta la mera invocación formal de los preceptos en la demanda (STC 98/1989, de 1 de junio,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de 12 de mayo, FJ 7 B); 214/1994, de 14 de julio, FJ 3; 195/1998, de 1 de octubre, FJ 1]”. Efectivamente, hemos de recordar aquí una vez más que la impugnación de las normas debe ir acompañada de la preceptiva fundamentación y pre</w:t>
      </w:r>
      <w:r>
        <w:lastRenderedPageBreak/>
        <w:t>cisión que permitan conocer las razones por las que los recurrentes entienden que las disposiciones impugnadas transgreden el orden constitucional (SSTC 118/1996, de 27 de junio, FJ 2; y 118/1998, de 4 de junio,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85709A" w:rsidRDefault="0085709A" w:rsidP="0085709A">
      <w:pPr>
        <w:pStyle w:val="TextoNormal"/>
      </w:pPr>
    </w:p>
    <w:p w:rsidR="0085709A" w:rsidRDefault="0085709A" w:rsidP="0085709A">
      <w:pPr>
        <w:pStyle w:val="TextoNormal"/>
      </w:pPr>
      <w:r>
        <w:t>Por lo que se refiere a las tres materias reguladas en el Decreto-ley en las que trata de concretarse dicha alegación debemos rechazar, sin necesidad de argumentación al respecto, la relativa a la suspensión de pactos y acuerdos sindicales, por estar regulada en la disposición final tercera del Decreto-ley que no ha sido objeto de impugnación en este recurso.</w:t>
      </w:r>
    </w:p>
    <w:p w:rsidR="0085709A" w:rsidRDefault="0085709A" w:rsidP="0085709A">
      <w:pPr>
        <w:pStyle w:val="TextoNormal"/>
      </w:pPr>
    </w:p>
    <w:p w:rsidR="0085709A" w:rsidRDefault="0085709A" w:rsidP="0085709A">
      <w:pPr>
        <w:pStyle w:val="TextoNormal"/>
      </w:pPr>
      <w:r>
        <w:t>Igualmente, no puede prosperar la alegada vulneración de las competencias que tiene atribuidas la Comunitat Valenciana por incluir en el ámbito de aplicación de la norma al personal funcionario de las Cortes Valencianas y sus instituciones dependientes y al personal funcionario de la Administración de Justicia. Los recurrentes no concretan los preceptos a los que se imputa este exceso competencial, siendo, además, patente que la demanda incumple la necesaria carga alegatoria, al no contener argumentación específica que fundamente la presunta contradicción constitucional en la medida en que se limita a afirmar que “el Decreto-ley incluye a personal sobre el que claramente no tiene competencias legislativas, entre ellos, al personal funcionario de las Cortes Valencianas y sus instituciones dependientes, al personal funcionario de la Administración de Justicia”, sin especificar ni los preceptos del Decreto-ley que producirían ese efecto ni las razones por las que se vulneran las competencias estatales. Por eso, dado que la demanda no ha ofrecido argumentos que enerven la presunción de constitucionalidad de la que goza el Decreto-ley valenciano 1/2012, no podemos pronunciarnos sobre la queja enunciada pues este Tribunal no puede reconstruir de oficio la demanda ni suplir las razones de los recurrentes cuando éstas no se aportan en su recurso (entre otras muchas, STC 208/2014, de 15 de diciembre, FJ 4).</w:t>
      </w:r>
    </w:p>
    <w:p w:rsidR="0085709A" w:rsidRDefault="0085709A" w:rsidP="0085709A">
      <w:pPr>
        <w:pStyle w:val="TextoNormal"/>
      </w:pPr>
    </w:p>
    <w:p w:rsidR="0085709A" w:rsidRDefault="0085709A" w:rsidP="0085709A">
      <w:pPr>
        <w:pStyle w:val="TextoNormal"/>
      </w:pPr>
      <w:r>
        <w:t>En relación a la vulneración de las competencias estatales en materia de legislación de Seguridad Social por regular el Decreto-ley valenciano, en su artículo 15, el período de complementación de salarios en los supuestos de incapacidad temporal por contingencias comunes, debemos señalar que dicho precepto lo que está regulando es una mejora voluntaria de la Seguridad Social. En efecto, la Administración de la Generalitat, al igual que cualquier empresa, puede mejorar directamente las prestaciones de la Seguridad Social de sus empleados costeándolas a su exclusivo cargo. De este modo, el precepto impugnado, partiendo del régimen establecido en la normativa estatal en relación con la prestación de incapacidad temporal, lo que hace es mejorarlo para el personal incluido en el ámbito de aplicación del Decreto-ley. Por tanto, el que la cuantía de la mejora en la Administración de la Generalitat valenciana fuera superior antes de dictarse el Decreto-ley 1/2012 no significa que el legislador autonómico haya vulnerado las competencias estatales en materia de Seguridad Social, pues lo que está haciendo, en todo caso, es mejorar o complementar el régimen legal.</w:t>
      </w:r>
    </w:p>
    <w:p w:rsidR="0085709A" w:rsidRDefault="0085709A" w:rsidP="0085709A">
      <w:pPr>
        <w:pStyle w:val="TextoNormal"/>
      </w:pPr>
    </w:p>
    <w:p w:rsidR="0085709A" w:rsidRDefault="0085709A" w:rsidP="0085709A">
      <w:pPr>
        <w:pStyle w:val="TextoNormal"/>
      </w:pPr>
      <w:r w:rsidRPr="0085709A">
        <w:rPr>
          <w:rStyle w:val="NumeroAFNegritaCaracter"/>
        </w:rPr>
        <w:t>12</w:t>
      </w:r>
      <w:r>
        <w:t>. Consideran los Senadores recurrentes que el Decreto-ley 1/2012, en sus arts. 9, 11 y 12, recorta derechos adquiridos de los funcionarios públicos y reconocidos para dicha anua</w:t>
      </w:r>
      <w:r>
        <w:lastRenderedPageBreak/>
        <w:t>lidad presupuestaria por la Ley 10/2011, de 27 de diciembre, de presupuestos de la Generalitat para el ejercicio 2012, lo que vulnera el art. 33.3 CE y quiebra el principio de protección de la confianza legítima en su manifestación del principio de seguridad jurídica consagrado en el art. 9.3 CE.</w:t>
      </w:r>
    </w:p>
    <w:p w:rsidR="0085709A" w:rsidRDefault="0085709A" w:rsidP="0085709A">
      <w:pPr>
        <w:pStyle w:val="TextoNormal"/>
      </w:pPr>
    </w:p>
    <w:p w:rsidR="0085709A" w:rsidRDefault="0085709A" w:rsidP="0085709A">
      <w:pPr>
        <w:pStyle w:val="TextoNormal"/>
      </w:pPr>
      <w:r>
        <w:t>Como ya hemos señalado, el artículo 9 suspende la convocatoria y la concesión de cualquier ayuda en concepto de acción social, el artículo 11 establece la cuantía de los complementos de carrera profesional y desarrollo profesional a percibir a partir del 1 de marzo de 2012 por determinado personal de la Consellería de Sanidad, y el artículo 12 establece, con efectos de 1 de marzo de 2012, los importes correspondientes al componente retributivo relacionado con la formación permanente de los funcionarios de carrera de los diferentes cuerpos docentes.</w:t>
      </w:r>
    </w:p>
    <w:p w:rsidR="0085709A" w:rsidRDefault="0085709A" w:rsidP="0085709A">
      <w:pPr>
        <w:pStyle w:val="TextoNormal"/>
      </w:pPr>
    </w:p>
    <w:p w:rsidR="0085709A" w:rsidRDefault="0085709A" w:rsidP="0085709A">
      <w:pPr>
        <w:pStyle w:val="TextoNormal"/>
      </w:pPr>
      <w:r>
        <w:t>En relación con la cuantía de los complementos retributivos señalados, esta alegación carece de fundamento, por cuanto empezará a aplicarse a partir del 1 de marzo de 2012 y, en consecuencia,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Y lo mismo debemos decir de la suspensión de la convocatoria y concesión de cualquier ayuda en concepto de acción social, pues respecto de las mismas, en el momento de dictarse el Decreto-ley 1/2012, los funcionarios públicos sólo tenían una mera expectativa de derecho, pero no un derecho consolidado, asumido e integrado en el patrimonio del sujeto. Como señala el Letrado de las Cortes Valencianas, lo que establece el art. 9 del Decreto-ley 1/2012 es la suspensión de la convocatoria de unas ayudas que tienen supeditadas su existencia a que se produzca una convocatoria anual y no se adquiere tal derecho hasta que no se produce el hecho causante y se acredita el cumplimiento de los requisitos establecidos, por lo que estas ayudas no pueden considerarse derechos consolidados. Por las mismas razones señaladas ha de descartarse que estas medidas quiebren el principio de protección de la confianza legítima, en cuanto manifestación del principio de seguridad jurídica (art. 9.3 CE).</w:t>
      </w:r>
    </w:p>
    <w:p w:rsidR="0085709A" w:rsidRDefault="0085709A" w:rsidP="0085709A">
      <w:pPr>
        <w:pStyle w:val="TextoNormal"/>
      </w:pPr>
    </w:p>
    <w:p w:rsidR="0085709A" w:rsidRDefault="0085709A" w:rsidP="0085709A">
      <w:pPr>
        <w:pStyle w:val="TextoNormal"/>
      </w:pPr>
      <w:r>
        <w:t>Conviene recordar al respecto que, como advertimos en la STC 99/1987, de 11 de junio, FJ 6 a), resulta inapropiado el intento de aplicar la controvertida teoría de los derechos adquiridos en el ámbito estatutario, toda vez que “en el campo de la relación funcionarial, el funcionario adquiere y tiene derechos subjetivos que la ley ha de respetar …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 porque ello se integra en las determinaciones unilaterales lícitas del legislador, al margen de la voluntad de quien entra al servicio de la Administración, quien, al hacerlo, acepta el régimen que configura la relación estatutaria funcionarial (art. 103.3 CE)”.</w:t>
      </w:r>
    </w:p>
    <w:p w:rsidR="0085709A" w:rsidRDefault="0085709A" w:rsidP="0085709A">
      <w:pPr>
        <w:pStyle w:val="TextoNormal"/>
      </w:pPr>
    </w:p>
    <w:p w:rsidR="0085709A" w:rsidRDefault="0085709A" w:rsidP="0085709A">
      <w:pPr>
        <w:pStyle w:val="TextoNormal"/>
      </w:pPr>
      <w:r w:rsidRPr="0085709A">
        <w:rPr>
          <w:rStyle w:val="NumeroAFNegritaCaracter"/>
        </w:rPr>
        <w:t>13</w:t>
      </w:r>
      <w:r>
        <w:t xml:space="preserve">. El último motivo de inconstitucionalidad alegado sobre el que este Tribunal debe pronunciarse es la vulneración del derecho a la igualdad y no discriminación (art. 14 CE). </w:t>
      </w:r>
      <w:r>
        <w:lastRenderedPageBreak/>
        <w:t>Afirman los recurrentes que las medidas adoptadas sobre las empleadas y los empleados públicos por el Decreto-ley 1/2012 no se aplican de igual forma a todo el personal de la Generalitat Valenciana, ya que dependiendo del sector tienen un impacto u otro, sin motivar la norma de forma expresa la razón de dichas desigualdades. Consideran especialmente gravoso el agravio existente entre el personal temporal de los sectores de administración general, justicia, docente y sanitario, ya que la reducción de jornada y salario afecta a unos y no a otros, excluyendo expresamente a parte del personal entre las medidas adoptadas, sin que dicha exclusión, en la mayoría de los casos, obedezca a justificación objetiva y razonable, ni siquiera proporcionada al fin perseguido.</w:t>
      </w:r>
    </w:p>
    <w:p w:rsidR="0085709A" w:rsidRDefault="0085709A" w:rsidP="0085709A">
      <w:pPr>
        <w:pStyle w:val="TextoNormal"/>
      </w:pPr>
    </w:p>
    <w:p w:rsidR="0085709A" w:rsidRDefault="0085709A" w:rsidP="0085709A">
      <w:pPr>
        <w:pStyle w:val="TextoNormal"/>
      </w:pPr>
      <w:r>
        <w:t>Para apreciar una vulneración del derecho a la igualdad ante la ley debe partirse de la homogeneidad o identidad del término de comparación utilizado, identidad que no concurre en este caso, teniendo en cuenta los diversos colectivos a los que se dirigen las medidas adoptadas por el Decreto-ley 1/2012.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 Pues bien, en este caso, como señala el Letrado de las Cortes Valencianas, las situaciones subjetivas que quieren traerse a comparación no son efectivamente homogéneas o equiparables, toda vez que, como bien señala, existen diferentes tipos de vínculos entre los empleados públicos y la Administración en función de las distintas categorías existentes dentro de la función pública. El diferente trato se establece en función del distinto vínculo entre los empleados públicos y la Administración (funcionarios y personal laboral) o en función de las distintas categorías en que se clasifican los funcionarios (funcionarios de carrera y funcionarios interinos). Y en cuando a la exclusión de determinados colectivos de parte de las medidas adoptadas no existe tampoco un término de comparación adecuado que permita fundar el juicio de igualdad. Por ello, este motivo de inconstitucionalidad debe ser rechazado.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presente recurso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rsidP="0085709A">
      <w:pPr>
        <w:pStyle w:val="ParrafoNormal"/>
      </w:pPr>
    </w:p>
    <w:p w:rsidR="0085709A" w:rsidRDefault="0085709A" w:rsidP="0085709A">
      <w:pPr>
        <w:pStyle w:val="TextoNormalNegritaCentrado"/>
        <w:keepNext/>
      </w:pPr>
      <w:r>
        <w:lastRenderedPageBreak/>
        <w:t>Voto particular que formula el Magistrado don Fernando Valdés Dal-Ré a la Sentencia dictada en el recurso de inconstitucionalidad núm. 2063-2012</w:t>
      </w:r>
    </w:p>
    <w:p w:rsidR="0085709A" w:rsidRDefault="0085709A" w:rsidP="0085709A">
      <w:pPr>
        <w:pStyle w:val="TextoNormalNegritaCentrado"/>
        <w:keepNext/>
      </w:pPr>
    </w:p>
    <w:p w:rsidR="0085709A" w:rsidRDefault="0085709A" w:rsidP="0085709A">
      <w:pPr>
        <w:pStyle w:val="TextoNormal"/>
      </w:pPr>
      <w:r>
        <w:t>1. Como tuve oportunidad de manifestar durante la deliberación del presente proceso constitucional, disiento de la decisión finalmente adoptada que, a mi juicio, debió de declarar inconstitucionales y nulos, por vulneración del art. 86.1 CE, todos los preceptos impugnados del Decreto-Ley 1/2012, de 5 de enero, del Consell, de medidas urgentes para la reducción del déficit de la Comunitat Valenciana, que hubieren llevado aparejada una modificación de las condiciones de trabajo establecidas en los convenios colectivos que resultaren de aplicación tanto al personal laboral de la Administración valenciana como al personal laboral del sector público valenciano, tal y como el mismo se define en los apartados 2 y 3 del art. 5 del texto refundido de la Ley de hacienda pública de la Generalitat Valenciana.</w:t>
      </w:r>
    </w:p>
    <w:p w:rsidR="0085709A" w:rsidRDefault="0085709A" w:rsidP="0085709A">
      <w:pPr>
        <w:pStyle w:val="TextoNormal"/>
      </w:pPr>
    </w:p>
    <w:p w:rsidR="0085709A" w:rsidRDefault="0085709A" w:rsidP="0085709A">
      <w:pPr>
        <w:pStyle w:val="TextoNormal"/>
      </w:pPr>
      <w:r>
        <w:t>2. El art. 86.1 CE confiere al Gobierno la facultad de aprobar “disposiciones legislativas provisionales”, articuladas a través de la forma de real decreto-ley. No obstante, el dictado por el poder ejecutivo de una norma que, a pesar de no tener la naturaleza de ley, tiene su mismo rango, se encuentra sujeto constitucionalmente a “unos estrictos límites” (STC 6/1983, de 4 de febrero, FJ 5), que resultan igualmente aplicables, en calidad de exigencias mínimas, al ejercicio por los gobiernos de las Comunidades autónomas de un poder legislativo excepcional semejante, en aquellos supuestos en los que así lo prevea el respectivo Estatuto de Autonomía (STC 93/2015, de 14 de mayo). En todo caso, la observancia de estos límites por los diversos gobiernos, el central y, en su caso, los autonómicos, aseguran la preservación del Estado de derecho, erigiéndose en última instancia en uno de los índices más efectivos para enjuiciar, en cada momento histórico, la calidad de nuestra democracia.</w:t>
      </w:r>
    </w:p>
    <w:p w:rsidR="0085709A" w:rsidRDefault="0085709A" w:rsidP="0085709A">
      <w:pPr>
        <w:pStyle w:val="TextoNormal"/>
      </w:pPr>
    </w:p>
    <w:p w:rsidR="0085709A" w:rsidRDefault="0085709A" w:rsidP="0085709A">
      <w:pPr>
        <w:pStyle w:val="TextoNormal"/>
      </w:pPr>
      <w:r>
        <w:t>En concreto, tres son las exigencias para un uso constitucionalmente adecuado del decreto-ley. En primer lugar, el ejercicio de este poder legislativo excepcional ha de estar justificado por razones de “extraordinaria y urgente necesidad” (art. 86.1 CE); en segundo lugar, su contenido no puede afectar, además de al ordenamiento de las instituciones básicas del Estado, al régimen de las Comunidades Autónomas y al derecho electoral general, a los “derechos, deberes y libertades de los ciudadanos regulados en el Título I” (art. 86.1 CE) y, finalmente, ha de someterse al Congreso de los Diputados o a los respectivos parlamentos autonómicos para su debate y votación de totalidad. Buena parte de los preceptos cuestionados del Decreto-ley del Consell 1/2012 plantean serios y fundados reparos jurídicos en cuanto a la concurrencia del segundo de los mencionados requisitos.</w:t>
      </w:r>
    </w:p>
    <w:p w:rsidR="0085709A" w:rsidRDefault="0085709A" w:rsidP="0085709A">
      <w:pPr>
        <w:pStyle w:val="TextoNormal"/>
      </w:pPr>
    </w:p>
    <w:p w:rsidR="0085709A" w:rsidRDefault="0085709A" w:rsidP="0085709A">
      <w:pPr>
        <w:pStyle w:val="TextoNormal"/>
      </w:pPr>
      <w:r>
        <w:t>3. De una lectura de conjunto de los antecedentes de hecho y de los fundamentos jurídicos de la presente Sentencia se infiere que la parte recurrente reprocha a la norma impugnada la vulneración del art. 86.1 CE en atención a que la misma incumple la prohibición ahí enunciada de no afectación a los derechos y libertades consagrados en el título I del Texto constitucional, mencionándose en concreto como derecho concernido la fuerza vinculante del convenio colectivo. En el decir de los Senadores recurrentes, la suspensión o modificación de las condiciones de trabajo establecidas en los convenios colectivos, señaladamente la reducción de la jornada y consiguiente retribución salarial, lesiona la garantía de su fuerza vinculante prevista en el art. 37.1 CE y, por conexión, la libertad sindical (art. 28.1 CE).</w:t>
      </w:r>
    </w:p>
    <w:p w:rsidR="0085709A" w:rsidRDefault="0085709A" w:rsidP="0085709A">
      <w:pPr>
        <w:pStyle w:val="TextoNormal"/>
      </w:pPr>
    </w:p>
    <w:p w:rsidR="0085709A" w:rsidRDefault="0085709A" w:rsidP="0085709A">
      <w:pPr>
        <w:pStyle w:val="TextoNormal"/>
      </w:pPr>
      <w:r>
        <w:t xml:space="preserve">La Sentencia de mi disentimiento aborda esta queja de inconstitucionalidad en el fundamento jurídico 8 a través de un razonamiento que carece, en mi opinión, de la obligada </w:t>
      </w:r>
      <w:r>
        <w:lastRenderedPageBreak/>
        <w:t>consistencia argumentativa que hubiera demandado la indiscutible complejidad de la queja planteada. En concreto, la Sentencia, tras sintetizar los términos del debate, procede a resumir la doctrina constitucional en relación con los límites materiales del art. 86.1 CE, transcribiendo a tal efecto el apartado primero del fundamento jurídico 7 del ATC 85/2011, de 7 de junio. Expuesta esta doctrina, entra en el análisis del fondo de la presunta lesión, descartando su efectiva producción mediante la mera invocación de la tesis sostenida por el citado Auto, ahora en el apartado primero de su fundamento jurídico 8, rehuyendo sin embargo efectuar alguna observación o consideración de carácter aclaratorio.</w:t>
      </w:r>
    </w:p>
    <w:p w:rsidR="0085709A" w:rsidRDefault="0085709A" w:rsidP="0085709A">
      <w:pPr>
        <w:pStyle w:val="TextoNormal"/>
      </w:pPr>
    </w:p>
    <w:p w:rsidR="0085709A" w:rsidRDefault="0085709A" w:rsidP="0085709A">
      <w:pPr>
        <w:pStyle w:val="TextoNormal"/>
      </w:pPr>
      <w:r>
        <w:t>4. Ninguna objeción merece la compilación de la jurisprudencia elaborada por este Tribunal en lo que concierne a la prohibición de las normas dictadas por los Gobiernos, al amparo de ese poder normativo excepcional conferido en el art. 86.1 CE, de afectar a los derechos, deberes y libertades de los ciudadanos regulados en el título I del propio Texto constitucional. Mis objeciones se centran no ya en la aplicación al caso enjuiciado de la doctrina sentada en el ATC 85/2011 cuanto en la doctrina misma ahí enunciada, que considero privada de la menor fundamentación jurídica.</w:t>
      </w:r>
    </w:p>
    <w:p w:rsidR="0085709A" w:rsidRDefault="0085709A" w:rsidP="0085709A">
      <w:pPr>
        <w:pStyle w:val="TextoNormal"/>
      </w:pPr>
    </w:p>
    <w:p w:rsidR="0085709A" w:rsidRDefault="0085709A" w:rsidP="0085709A">
      <w:pPr>
        <w:pStyle w:val="TextoNormal"/>
      </w:pPr>
      <w:r>
        <w:t>El razonamiento de partida que utilizan tanto el tan citado ATC 85/2011 como de manera mimética la Sentencia de la que me aparto a fin de negar que las suspensiones o modificaciones de las condiciones de trabajo colectivamente pactadas afecten a la garantía de la fuerza vinculante constitucionalmente reconocida (art. 37.1 CE) se asienta en una premisa, sustentada a su vez en una serie de manifiestos equívocos o confusiones conceptuales que, en última instancia, sirven para eludir, desde el obligado canon de constitucionalidad, el reproche vertido.</w:t>
      </w:r>
    </w:p>
    <w:p w:rsidR="0085709A" w:rsidRDefault="0085709A" w:rsidP="0085709A">
      <w:pPr>
        <w:pStyle w:val="TextoNormal"/>
      </w:pPr>
    </w:p>
    <w:p w:rsidR="0085709A" w:rsidRDefault="0085709A" w:rsidP="0085709A">
      <w:pPr>
        <w:pStyle w:val="TextoNormal"/>
      </w:pPr>
      <w:r>
        <w:t>En efecto, dice el Auto y reitera la Sentencia “que no puede confundirse ni identificarse esta (la fuerza vinculante) con una pretendida intangibilidad o inalterabilidad del convenio”, de modo que “del art. 37.1 CE no emana ni deriva la supuesta intangibilidad o inalterabilidad del convenio colectivo frente a la norma legal, incluso aunque se trate de norma sobrevenida”, ya que, como ha reiterado la jurisprudencia constitucional, “en virtud del principio de jerarquía normativa, es el convenio colectivo el que debe respetar y someterse no solo a la ley formal, sino, más genéricamente, a las normas de mayor rango jerárquico y no al contrario”. El razonamiento transcrito se cierra, en fin, con la cita de hasta cinco resoluciones de este Tribunal, ninguna de las cuales, por cierto, afronta el tema de fondo.</w:t>
      </w:r>
    </w:p>
    <w:p w:rsidR="0085709A" w:rsidRDefault="0085709A" w:rsidP="0085709A">
      <w:pPr>
        <w:pStyle w:val="TextoNormal"/>
      </w:pPr>
    </w:p>
    <w:p w:rsidR="0085709A" w:rsidRDefault="0085709A" w:rsidP="0085709A">
      <w:pPr>
        <w:pStyle w:val="TextoNormal"/>
      </w:pPr>
      <w:r>
        <w:t xml:space="preserve">La primera de las confusiones conceptuales que es dable apreciar en el razonamiento transcrito, por tratarse de seguro de la más visible, es la subsunción del límite material establecido </w:t>
      </w:r>
      <w:r w:rsidRPr="0085709A">
        <w:rPr>
          <w:i/>
        </w:rPr>
        <w:t>ex</w:t>
      </w:r>
      <w:r>
        <w:t xml:space="preserve"> art. 86.1 CE al ejercicio del poder normativo excepcional por los poderes ejecutivos de nuestro Estado compuesto en un problema de selección de normas en conflicto. Desde luego, el convenio colectivo o, por formular la idea con mayor amplitud, cualquier producto nacido de la negociación colectiva se encuentra sujeto al principio de jerarquía normativa, que obliga al pacto colectivo a respetar las prescripciones de la ley. Pero al margen de que en nuestro sistema jurídico —bien que no solo en el nuestro— rara vez las relaciones entre norma legal y convenio colectivo se resuelven conforme a esta regla general de solución de conflictos entre normas; al margen de todo ello, digo, esta subsunción es de una notable extravagancia, ya que los criterios de composición de los citados conflictos nada tienen que ver y nada dicen acerca del ámbito de imputación normativa de la proscripción constitucional de afectación por el decreto-ley de los derechos y libertades enunciadas en el </w:t>
      </w:r>
      <w:r>
        <w:lastRenderedPageBreak/>
        <w:t>título I CE, entre los cuales se encuentra, precisamente, la garantía de la fuerza vinculante del convenio colectivo.</w:t>
      </w:r>
    </w:p>
    <w:p w:rsidR="0085709A" w:rsidRDefault="0085709A" w:rsidP="0085709A">
      <w:pPr>
        <w:pStyle w:val="TextoNormal"/>
      </w:pPr>
    </w:p>
    <w:p w:rsidR="0085709A" w:rsidRDefault="0085709A" w:rsidP="0085709A">
      <w:pPr>
        <w:pStyle w:val="TextoNormal"/>
      </w:pPr>
      <w:r>
        <w:t>En una confusión no menor incurre la tentativa de confirmación de la desvinculación entre fuerza vinculante e intangibilidad del convenio mediante el argumento de que tal ocurre “incluso aunque se trate de norma sobrevenida”. La pregunta que de inmediato surge puede ser formulada del modo siguiente: ¿es imaginable la modificación de un convenio colectivo por una norma legal previa, en lugar de sobrevenida? Basta con un superficial y rudimentario razonamiento no ya constitucional sino jurídico para afirmar, sin posible discusión, que la presunta intangibilidad que atribuiría a los convenios colectivos la garantía de la fuerza vinculante solo podría predicarse frente a las normas sobrevenidas, y nunca frente a las anteriores. En la hipótesis de que un convenio colectivo pretendiera introducir una condición contraria (o menos favorable) que la establecida en norma ya no legal sino, con mayor amplitud, en norma laboral, dicha regla habría de ser declarada nula en virtud, ahora sí, de los principios de jerarquía y de legalidad.</w:t>
      </w:r>
    </w:p>
    <w:p w:rsidR="0085709A" w:rsidRDefault="0085709A" w:rsidP="0085709A">
      <w:pPr>
        <w:pStyle w:val="TextoNormal"/>
      </w:pPr>
    </w:p>
    <w:p w:rsidR="0085709A" w:rsidRDefault="0085709A" w:rsidP="0085709A">
      <w:pPr>
        <w:pStyle w:val="TextoNormal"/>
      </w:pPr>
      <w:r>
        <w:t>Pero lo anterior razonado, mi mayor disentimiento con la presente Sentencia se sitúa respecto del argumento del que arranca el razonamiento y que puede ser resumido, sin merma alguna de su significación, del modo siguiente: en la medida en que no cabe ni identificar ni confundir intangibilidad de un convenio colectivo con garantía constitucional de la fuerza vinculante, tampoco cabe hacer derivar del art. 37.1 CE “la inalterabilidad del convenio colectivo frente a la norma legal”.</w:t>
      </w:r>
    </w:p>
    <w:p w:rsidR="0085709A" w:rsidRDefault="0085709A" w:rsidP="0085709A">
      <w:pPr>
        <w:pStyle w:val="TextoNormal"/>
      </w:pPr>
    </w:p>
    <w:p w:rsidR="0085709A" w:rsidRDefault="0085709A" w:rsidP="0085709A">
      <w:pPr>
        <w:pStyle w:val="TextoNormal"/>
      </w:pPr>
      <w:r>
        <w:t>Es este un argumento que responde a un silogismo frustrado, ya que se limita a enunciar las premisas mayor y menor, eludiendo, sin embargo, la conclusión. O por enunciar la idea desde otro ángulo, no hay conexión alguna entre la doble afirmación pretendidamente entrelazada y la desestimación de la vulneración por el Decreto-ley 1/2012 de los límites materiales impuestos por el art. 86.1 CE: que no deba identificarse —a juicio de la resolución de la que me separo— intangibilidad del convenio con su fuerza vinculante y que el art. 37.1 CE no asegure la inalterabilidad de los convenios frente a las normas legales son aseveraciones de las que por sí mismas no se infiere que la modificación de las condiciones de trabajo pactadas en convenio colectivo no afecta a un elemento esencial de la fuerza vinculante y, por consiguiente, consiente su articulación mediante la fórmula del decreto-ley. Una vez más, es apreciable el desplazamiento del razonamiento desde su escenario natural, el del art. 86.1 CE, a otro por completo artificial.</w:t>
      </w:r>
    </w:p>
    <w:p w:rsidR="0085709A" w:rsidRDefault="0085709A" w:rsidP="0085709A">
      <w:pPr>
        <w:pStyle w:val="TextoNormal"/>
      </w:pPr>
    </w:p>
    <w:p w:rsidR="0085709A" w:rsidRDefault="0085709A" w:rsidP="0085709A">
      <w:pPr>
        <w:pStyle w:val="TextoNormal"/>
      </w:pPr>
      <w:r>
        <w:t>5. No entra en mi propósito entrar a debatir sobre el concepto constitucional de fuerza vinculante, definiendo su contenido esencial, tarea ésta que intenté llevar a cabo en el Voto particular que elaboré a la STC 8/2015, de 22 de enero, que sustanció el recurso de inconstitucionalidad 5610-2012 (apartado 3, señaladamente puntos 3 a 5). Lo que me interesa ahora destacar es que la modificación de cualquier instrumento nacido de la autonomía colectiva o, si se prefiere, del ejercicio del derecho a la negociación colectiva (art. 37.1 CE) a través de un procedimiento diferente del pacto o acuerdo del que nació afecta a un elemento esencial de la fuerza vinculante y, por tanto, no puede ser objeto de regulación mediante ese poder normativo excepcional que el texto constitucional pone a disposición de los gobiernos.</w:t>
      </w:r>
    </w:p>
    <w:p w:rsidR="0085709A" w:rsidRDefault="0085709A" w:rsidP="0085709A">
      <w:pPr>
        <w:pStyle w:val="TextoNormal"/>
      </w:pPr>
    </w:p>
    <w:p w:rsidR="0085709A" w:rsidRDefault="0085709A" w:rsidP="0085709A">
      <w:pPr>
        <w:pStyle w:val="TextoNormal"/>
      </w:pPr>
      <w:r>
        <w:lastRenderedPageBreak/>
        <w:t>Defender la opinión contraria, máxime en unos términos deliberadamente confusos y apodícticos, tal y como hizo el ATC 85/2011 y ahora reitera la Sentencia, equivale a desconocer uno de los ejes básicos a partir de los cuales ha madurado históricamente y se ha desarrollado en los países de nuestra vecindad política y jurídica la negociación colectiva. Desde luego, la esencialidad de este elemento no juega con la misma intensidad en los sectores privado y público. En aquel primero, la alteración peyorativa de las estipulaciones de un convenio colectivo solo puede articularse a través del previo acuerdo de las partes firmantes, de modo que la intangibilidad de su clausulado forma parte del contenido esencial de la fuerza vinculante, actuando, como ya he expresado en el citado Voto particular, como límite infranqueable para el legislador. En este segundo, en cambio, dicha alteración ha de coordinarse con los principios que rigen la actividad económica, de modo que no cabría calificar como lesión al contenido esencial de la fuerza vinculante la decisión adoptada por el poder público competente de limitar, reducir o constreñir la negociación colectiva del personal laboral-empleado público o del que preste servicios en el sector público, siempre que la medida esté justificada y sea razonable y proporcionada. Pero en todo caso, en uno y otro sector, la alteración, por afectar a un elemento esencial, no puede articularse a través de la fórmula de los decretos-leyes.</w:t>
      </w:r>
    </w:p>
    <w:p w:rsidR="0085709A" w:rsidRDefault="0085709A" w:rsidP="0085709A">
      <w:pPr>
        <w:pStyle w:val="TextoNormal"/>
      </w:pPr>
    </w:p>
    <w:p w:rsidR="0085709A" w:rsidRDefault="0085709A" w:rsidP="0085709A">
      <w:pPr>
        <w:pStyle w:val="TextoNormal"/>
      </w:pPr>
      <w:r>
        <w:t>En este sentido emito mi Voto particular.</w:t>
      </w:r>
    </w:p>
    <w:p w:rsidR="0085709A" w:rsidRDefault="0085709A" w:rsidP="0085709A">
      <w:pPr>
        <w:pStyle w:val="TextoNormal"/>
      </w:pPr>
    </w:p>
    <w:p w:rsidR="0085709A" w:rsidRDefault="0085709A" w:rsidP="0085709A">
      <w:pPr>
        <w:pStyle w:val="TextoNormal"/>
      </w:pPr>
      <w:r>
        <w:t>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8" w:name="SENTENCIA_2015_105"/>
      <w:r>
        <w:lastRenderedPageBreak/>
        <w:t>SENTENCIA 105/2015, de 28 de mayo de 2015</w:t>
      </w:r>
    </w:p>
    <w:bookmarkEnd w:id="108"/>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ECLI:ES:TC:2015:105</w:t>
      </w:r>
    </w:p>
    <w:p w:rsidR="0085709A" w:rsidRDefault="0085709A" w:rsidP="0085709A">
      <w:pPr>
        <w:pStyle w:val="TextoNormalCentrado"/>
      </w:pPr>
    </w:p>
    <w:p w:rsidR="0085709A" w:rsidRDefault="0085709A" w:rsidP="0085709A">
      <w:pPr>
        <w:pStyle w:val="SntesisDescriptiva"/>
      </w:pPr>
      <w:r>
        <w:t>Recurso de inconstitucionalidad 6066-2012. Interpuesto por la Junta de Extremadura en relación con diversos preceptos del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SntesisDescriptiva"/>
      </w:pPr>
    </w:p>
    <w:p w:rsidR="0085709A" w:rsidRDefault="0085709A" w:rsidP="0085709A">
      <w:pPr>
        <w:pStyle w:val="SntesisAnaltica"/>
      </w:pPr>
      <w:r>
        <w:t>Límites de los decretos-leyes y principio de seguridad jurídica: pérdida sobrevenida parcial del objeto del recurso, constitucionalidad de las disposiciones subsistentes (STC 48/2015).</w:t>
      </w:r>
    </w:p>
    <w:p w:rsidR="0085709A" w:rsidRDefault="0085709A" w:rsidP="0085709A">
      <w:pPr>
        <w:pStyle w:val="SntesisAnaltica"/>
      </w:pPr>
    </w:p>
    <w:p w:rsidR="0085709A" w:rsidRDefault="0085709A" w:rsidP="0085709A">
      <w:pPr>
        <w:pStyle w:val="Extracto"/>
      </w:pPr>
      <w:r>
        <w:t>1.</w:t>
      </w:r>
      <w:r>
        <w:tab/>
        <w:t>Se declara la pérdida sobrevenida de objeto de los recurso de inconstitucionalidad porque la tacha vinculada a la infracción del principio de seguridad jurídica que no pervive, debido a que la norma impugnada no se encuentra materialmente en vigor al haber sido desplazada por la Ley 24/2013, de 6 de diciembre, que modificó el régimen económico del sector eléctrico [FJ 2].</w:t>
      </w:r>
    </w:p>
    <w:p w:rsidR="0085709A" w:rsidRDefault="0085709A" w:rsidP="0085709A">
      <w:pPr>
        <w:pStyle w:val="Extracto"/>
      </w:pPr>
    </w:p>
    <w:p w:rsidR="0085709A" w:rsidRDefault="0085709A" w:rsidP="0085709A">
      <w:pPr>
        <w:pStyle w:val="Extracto"/>
      </w:pPr>
      <w:r>
        <w:t>2.</w:t>
      </w:r>
      <w:r>
        <w:tab/>
        <w:t>Aplica doctrina sobre la pérdida sobrevenida de objeto en el ámbito del recurso de inconstitucionalidad como consecuencia de la pérdida de vigencia de los preceptos impugnados (SSTC 160/1987, 96/2014, 183/2014) [FJ 2].</w:t>
      </w:r>
    </w:p>
    <w:p w:rsidR="0085709A" w:rsidRDefault="0085709A" w:rsidP="0085709A">
      <w:pPr>
        <w:pStyle w:val="Extracto"/>
      </w:pPr>
    </w:p>
    <w:p w:rsidR="0085709A" w:rsidRDefault="0085709A" w:rsidP="0085709A">
      <w:pPr>
        <w:pStyle w:val="Extracto"/>
      </w:pPr>
      <w:r>
        <w:t>3.</w:t>
      </w:r>
      <w:r>
        <w:tab/>
        <w:t>Se desestima el recurso en cuanto a la falta de presupuesto habilitante que se le reprocha a la norma impugnada [FJ 3].</w:t>
      </w:r>
    </w:p>
    <w:p w:rsidR="0085709A" w:rsidRDefault="0085709A" w:rsidP="0085709A">
      <w:pPr>
        <w:pStyle w:val="Extracto"/>
      </w:pPr>
    </w:p>
    <w:p w:rsidR="0085709A" w:rsidRDefault="0085709A" w:rsidP="0085709A">
      <w:pPr>
        <w:pStyle w:val="Extracto"/>
      </w:pPr>
      <w:r>
        <w:t>4.</w:t>
      </w:r>
      <w:r>
        <w:tab/>
        <w:t>Aplica doctrina sobre el presupuesto habilitante de la situación de extraordinaria y urgente necesidad, ex art. 86 CE (STC 48/2015) [FJ 3].</w:t>
      </w:r>
    </w:p>
    <w:p w:rsidR="0085709A" w:rsidRDefault="0085709A" w:rsidP="0085709A">
      <w:pPr>
        <w:pStyle w:val="Extracto"/>
      </w:pPr>
    </w:p>
    <w:p w:rsidR="0085709A" w:rsidRDefault="0085709A" w:rsidP="0085709A">
      <w:pPr>
        <w:pStyle w:val="Extracto"/>
      </w:pPr>
      <w:r>
        <w:t>5.</w:t>
      </w:r>
      <w:r>
        <w:tab/>
        <w:t>Con la motivación en la exposición de motivos de la norma, en el debate de convalidación del Decreto-ley, y en la memoria de impacto normativo del Real Decreto-ley, debe darse por satisfecho el requisito de explicitar las razones de extraordinaria y urgente necesidad que han motivado la suspensión, mediante Real Decreto-ley, del sistema de asignación de incentivos económicos para las instalaciones de producción eléctrica de régimen especial, así como de inscripción de las mismas en el registro de pre-asignación de retribución (STC 48/2015) [FJ 3].</w:t>
      </w:r>
    </w:p>
    <w:p w:rsidR="0085709A" w:rsidRDefault="0085709A" w:rsidP="0085709A">
      <w:pPr>
        <w:pStyle w:val="Extracto"/>
      </w:pPr>
    </w:p>
    <w:p w:rsidR="0085709A" w:rsidRDefault="0085709A" w:rsidP="0085709A">
      <w:pPr>
        <w:pStyle w:val="Extracto"/>
      </w:pPr>
      <w:r>
        <w:t>6.</w:t>
      </w:r>
      <w:r>
        <w:tab/>
        <w:t>El Real Decreto-ley minimiza el riesgo de eventuales desviaciones al alza del déficit, lo que constituye una situación susceptible de ser abordada mediante la legislación de urgencia, constatándose una evidente conexión entre la situación de extraordinaria y urgente necesidad y las medidas adoptadas para hacerle frente (STC 183/2014)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6066-2012, interpuesto por la Junta de Extremadura contra los arts. 1 a 4 y la disposición derogatoria única del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 Ha comparecido y formulado alegaciones el Abogado del Estado.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el día 29 de octubre de 2012, la Letrada de la Junta de Extremadura, en nombre y representación de la Comunidad Autónoma de Extremadura, presentó escrito de interposición de recurso de inconstitucionalidad contra los arts. 1 a 4 y la disposición derogatoria única del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TextoNormal"/>
      </w:pPr>
    </w:p>
    <w:p w:rsidR="0085709A" w:rsidRDefault="0085709A" w:rsidP="0085709A">
      <w:pPr>
        <w:pStyle w:val="TextoNormal"/>
      </w:pPr>
      <w:r w:rsidRPr="0085709A">
        <w:rPr>
          <w:rStyle w:val="NumeroAFNegritaCaracter"/>
        </w:rPr>
        <w:t>2</w:t>
      </w:r>
      <w:r>
        <w:t>. El recurso se fundamenta en las consideraciones que a continuación se resumen.</w:t>
      </w:r>
    </w:p>
    <w:p w:rsidR="0085709A" w:rsidRDefault="0085709A" w:rsidP="0085709A">
      <w:pPr>
        <w:pStyle w:val="TextoNormal"/>
      </w:pPr>
    </w:p>
    <w:p w:rsidR="0085709A" w:rsidRDefault="0085709A" w:rsidP="0085709A">
      <w:pPr>
        <w:pStyle w:val="TextoNormal"/>
      </w:pPr>
      <w:r>
        <w:t>a) El recurso comienza exponiendo el marco regulador de la producción de energía eléctrica en régimen especial (renovables y cogeneración), sobre cuyo régimen retributivo incide el Real Decreto-ley 1/2012, de 27 de enero, con alusión a lo previsto en el art. 30 de la Ley 54/1997, de 27 de noviembre, del sector eléctrico, el Real Decreto 661/2007, de 25 de mayo, el Real Decreto 1578/2008, de 26 de septiembre, y el Real Decreto-ley 6/2009, de 30 de abril, así como la Directiva 2009/28/CE, del Parlamento Europeo y del Consejo, de 23 de abril de 2009, sobre fomento del uso de energía procedente de fuentes renovables, y el Plan de acción de energías renovables de España 2011-2020 (que sucede al Plan de fomento de energías renovables en España 2000-2010).</w:t>
      </w:r>
    </w:p>
    <w:p w:rsidR="0085709A" w:rsidRDefault="0085709A" w:rsidP="0085709A">
      <w:pPr>
        <w:pStyle w:val="TextoNormal"/>
      </w:pPr>
    </w:p>
    <w:p w:rsidR="0085709A" w:rsidRDefault="0085709A" w:rsidP="0085709A">
      <w:pPr>
        <w:pStyle w:val="TextoNormal"/>
      </w:pPr>
      <w:r>
        <w:t xml:space="preserve">b) Señala el recurso que el Real Decreto-ley 1/2012 establece, respecto de las instalaciones de producción de energía eléctrica en régimen especial que el 28 de enero de 2012 (fecha de entrada en vigor del Real Decreto-ley 1/2012) no estuvieran inscritas en el registro de </w:t>
      </w:r>
      <w:r>
        <w:lastRenderedPageBreak/>
        <w:t>preasignación de retribución, así como de las instalaciones en régimen ordinario con derecho a percibir los incentivos económicos del Real Decreto 661/2007 que a la misma fecha no dispusieran de autorización administrativa previa, las siguientes medidas: i) Supresión de los incentivos económicos (tarifas reguladas, primas y complementos) regulados en el Real Decreto 661/2007 y el Real Decreto 1578/2008; ii) Suspensión de la tramitación del procedimiento de inscripción en el registro de preasignación de retribución regulado en el Real Decreto-ley 6/2009 y en el Real Decreto 1578/2008, con algunas particularidades respecto de los expedientes iniciados y en relación con los cuales el plazo de la Administración para resolver estuviese vencido.</w:t>
      </w:r>
    </w:p>
    <w:p w:rsidR="0085709A" w:rsidRDefault="0085709A" w:rsidP="0085709A">
      <w:pPr>
        <w:pStyle w:val="TextoNormal"/>
      </w:pPr>
    </w:p>
    <w:p w:rsidR="0085709A" w:rsidRDefault="0085709A" w:rsidP="0085709A">
      <w:pPr>
        <w:pStyle w:val="TextoNormal"/>
      </w:pPr>
      <w:r>
        <w:t xml:space="preserve">Se añade que el Real Decreto-ley 1/2012 ofrece a los titulares inscritos en el registro de preasignación la posibilidad de renunciar a la misma, con devolución de los avales depositados en el plazo de dos meses desde la entrada en vigor del Real Decreto-ley (28 de enero de 2012), en caso de que no deseen ejecutar la instalación y siempre que el plazo de inscripción definitiva y venta de energía no hubiera vencido. Además, el Real Decreto-ley 1/2012 deroga el régimen establecido en el Real Decreto 661/2007 en relación con las modificaciones sustanciales de instalaciones (arts. 4.4 y 4 </w:t>
      </w:r>
      <w:r w:rsidRPr="0085709A">
        <w:rPr>
          <w:i/>
        </w:rPr>
        <w:t>bis</w:t>
      </w:r>
      <w:r>
        <w:t>), de manera que cualquier modificación de una instalación de régimen especial inscrita en el registro de preasignación podría hacerle perder su régimen económico primado, salvo que estuviera autorizada en una fecha anterior a la entrada en vigor del Real Decreto-ley 1/2012 en los términos regulados en el art. 4 del Real Decreto 661/2007.</w:t>
      </w:r>
    </w:p>
    <w:p w:rsidR="0085709A" w:rsidRDefault="0085709A" w:rsidP="0085709A">
      <w:pPr>
        <w:pStyle w:val="TextoNormal"/>
      </w:pPr>
    </w:p>
    <w:p w:rsidR="0085709A" w:rsidRDefault="0085709A" w:rsidP="0085709A">
      <w:pPr>
        <w:pStyle w:val="TextoNormal"/>
      </w:pPr>
      <w:r>
        <w:t xml:space="preserve">c) Razonado lo anterior, y como aspecto procesal de carácter previo, se hace constar que el recurso no se interpone por razones ligadas a la estricta materia competencial, lo que no es obstáculo a la legitimación de la Comunidad Autónoma, como se deduce de las SSTC 25/1981, 84/1982, 63/1986, 74/1987, 56/1990 y 194/2004, entre otras. En aplicación de la doctrina allí contenida, la Junta de Extremadura entiende que, sin perjuicio de que concurran los títulos competenciales estatales invocados en la disposición final primera del Real Decreto-ley 1/2012 (bases y coordinación de la planificación general de la actividad económica </w:t>
      </w:r>
      <w:r w:rsidRPr="0085709A">
        <w:rPr>
          <w:i/>
        </w:rPr>
        <w:t>ex</w:t>
      </w:r>
      <w:r>
        <w:t xml:space="preserve"> art. 149.1.13 CE, y bases del régimen energético </w:t>
      </w:r>
      <w:r w:rsidRPr="0085709A">
        <w:rPr>
          <w:i/>
        </w:rPr>
        <w:t>ex</w:t>
      </w:r>
      <w:r>
        <w:t xml:space="preserve"> art. 149.1.25 CE), el Real Decreto-ley impugnado afecta de manera significativa a las competencias de la Junta de Extremadura enunciadas en los apartados 7, 33 y 37 del Estatuto de Autonomía de Extremadura (“fomento del desarrollo económico y social de la Comunidad Autónoma dentro de los objetivos de la política económica nacional”, “políticas y normas adicionales y complementarias de las del Estado en materia de protección medioambiental y lucha contra el cambio climático”, e “instalaciones de producción, almacenamiento, distribución y transporte de energías de cualquier tipo en su territorio, incluida la eléctrica cuando el aprovechamiento de ésta no afecte a otras Comunidades Autónomas”, respectivamente), en relación con lo dispuesto en los arts. 7 (apartados 5, 7 y 9) y 12 del propio Estatuto. Según el recurso, al suprimir el Real Decreto-ley 1/2012 el régimen económico primado de las instalaciones de producción de energía eléctrica en régimen especial, se afecta de manera directa e inmediata a un importante sector económico y productivo —el de las energías renovables y de cogeneración— estratégico para el desarrollo de la Comunidad Autónoma extremeña. Se impediría así el avance del modelo energético previsto en el Acuerdo para el desarrollo energético sostenible de Extremadura 2010-2020, enmarcado dentro de las políticas europea y nacional en materia de planificación energética.</w:t>
      </w:r>
    </w:p>
    <w:p w:rsidR="0085709A" w:rsidRDefault="0085709A" w:rsidP="0085709A">
      <w:pPr>
        <w:pStyle w:val="TextoNormal"/>
      </w:pPr>
    </w:p>
    <w:p w:rsidR="0085709A" w:rsidRDefault="0085709A" w:rsidP="0085709A">
      <w:pPr>
        <w:pStyle w:val="TextoNormal"/>
      </w:pPr>
      <w:r>
        <w:lastRenderedPageBreak/>
        <w:t>d) Expuesto cuanto antecede, el recurso desarrolla los dos motivos de impugnación en los que fundamenta la inconstitucionalidad de los arts. 1 a 4 y la disposición derogatoria única del Real Decreto-ley 1/2012: la inexistencia del presupuesto habilitante que exige el art. 86.1 CE para la regulación de una materia mediante decreto-ley y la lesión del principio de confianza legítima como manifestación del principio de seguridad jurídica (art. 9.3 CE).</w:t>
      </w:r>
    </w:p>
    <w:p w:rsidR="0085709A" w:rsidRDefault="0085709A" w:rsidP="0085709A">
      <w:pPr>
        <w:pStyle w:val="TextoNormal"/>
      </w:pPr>
    </w:p>
    <w:p w:rsidR="0085709A" w:rsidRDefault="0085709A" w:rsidP="0085709A">
      <w:pPr>
        <w:pStyle w:val="TextoNormal"/>
      </w:pPr>
      <w:r>
        <w:t>e) Por lo que se refiere a la vulneración del art. 86.1 CE, tras exponer la doctrina constitucional al respecto (se citan específicamente las SSTC 29/1982, 182/1997, 11/2002, 31/2011 y 1/2012), la representación procesal de la Junta de Extremadura sostiene que el Real Decreto-ley 1/2012, al fijar disposiciones que no guardan relación directa con la situación que se trata de afrontar (déficit tarifario del sistema eléctrico), no satisface el presupuesto habilitante de la extraordinaria y urgente necesidad.</w:t>
      </w:r>
    </w:p>
    <w:p w:rsidR="0085709A" w:rsidRDefault="0085709A" w:rsidP="0085709A">
      <w:pPr>
        <w:pStyle w:val="TextoNormal"/>
      </w:pPr>
    </w:p>
    <w:p w:rsidR="0085709A" w:rsidRDefault="0085709A" w:rsidP="0085709A">
      <w:pPr>
        <w:pStyle w:val="TextoNormal"/>
      </w:pPr>
      <w:r>
        <w:t>Tras referirse a los argumentos que se contienen en la exposición de motivos del Real Decreto-ley 1/2012 para justificar la adopción de las medidas acordadas (supresión de los incentivos económicos a la producción de energía eléctrica en régimen especial y suspensión de la tramitación del procedimiento de inscripción en el registro de preasignación de retribución), así como a lo manifestado por el Ministro de Industria, Energía y Turismo en el trámite de convalidación del Real Decreto-ley, señala la Junta de Extremadura que no puede entenderse que exista una situación de extraordinaria y urgente necesidad; se refiere a un periodo ya finalizado y el déficit de tarifa no se configura como una circunstancia imprevista o sobrevenida, ni siquiera agravada, sino como un problema conocido desde hacía años, que había motivado la adopción de distintas medidas para corregirlo. Además, el Real Decreto-ley 1/2012 ni soluciona el problema del déficit tarifario, ni tiene una eficacia inmediata y directa en su eliminación, pues no afecta a las instalaciones ya inscritas en el registro de preasignación de retribución, por lo que los costes estimados del sistema eléctrico para el año 2012 no se ven afectados por las medidas que se adoptan en él. A ello se añade que no se trata de costes definitivos, sino hipotéticos o estimados, dado que es posible que, a pesar de la inscripción previa en el registro de preasignación, no tenga lugar la inscripción definitiva porque el solicitante desista voluntariamente de la tramitación de la instalación.</w:t>
      </w:r>
    </w:p>
    <w:p w:rsidR="0085709A" w:rsidRDefault="0085709A" w:rsidP="0085709A">
      <w:pPr>
        <w:pStyle w:val="TextoNormal"/>
      </w:pPr>
    </w:p>
    <w:p w:rsidR="0085709A" w:rsidRDefault="0085709A" w:rsidP="0085709A">
      <w:pPr>
        <w:pStyle w:val="TextoNormal"/>
      </w:pPr>
      <w:r>
        <w:t xml:space="preserve">f) El segundo de los motivos de inconstitucionalidad aducido es el relativo a la vulneración del principio de confianza legítima como manifestación del principio de seguridad jurídica que garantiza el art. 9.3 CE (en conexión con el valor superior de justicia proclamado por el art. 1.1 CE). En el recurso se expone, con cita de doctrina constitucional al respecto, que el principio de seguridad jurídica tiene una vertiente objetiva, relativa a la certeza del derecho, y otra vertiente subjetiva, relativa a la previsibilidad de los efectos de su aplicación por los poderes públicos, siendo un valor constitucional asegurar la protección de la confianza de los ciudadanos, que ajustan su conducta económica a la legislación vigente, frente a cambios normativos que no sean razonablemente previsibles. A juicio de la recurrente, el grado de incertidumbre que el Real Decreto-ley 1/2012 genera impide el ejercicio de cualquier actividad de planificación necesaria para una adecuada instrumentación de la ejecución de la política energética de la Junta de Extremadura y para los operadores privados que han apostado por las energías renovables. En la medida en que no era previsible la eliminación sorpresiva y </w:t>
      </w:r>
      <w:r w:rsidRPr="0085709A">
        <w:rPr>
          <w:i/>
        </w:rPr>
        <w:t>sine die</w:t>
      </w:r>
      <w:r>
        <w:t xml:space="preserve"> de todos los incentivos económicos a las energías renovables, no se respeta el principio de confianza legítima. El Real Decreto-ley 1/2012 no afecta únicamente a aquellos que han adecuado su actuación económica al régimen jurídico vigente </w:t>
      </w:r>
      <w:r>
        <w:lastRenderedPageBreak/>
        <w:t>hasta su entrada en vigor en aras a la solicitud de inscripción en el registro de preasignación de retribución; incide también sobre aquellos promotores que ya la han formulado, de modo que la suerte de sus solicitudes depende de un hecho ajeno a su actuación, como es la celeridad de la Administración a la hora de resolver esas solicitudes. En suma, la alteración por el Real Decreto-ley 1/2012 del marco regulatorio preexistente no solo ha dificultado a los agentes la necesaria planificación de su conducta a medio y largo plazo; el cambio se ha producido de forma brusca e imprevisible, frustrando repentinamente y sin apenas margen de reacción las expectativas generadas por la regulación anterior, a la que los promotores habían acomodado su conducta en la confianza legítima de que el esfuerzo económico realizado era necesario para tener acceso al régimen retributivo establecido en la normativa precedente.</w:t>
      </w:r>
    </w:p>
    <w:p w:rsidR="0085709A" w:rsidRDefault="0085709A" w:rsidP="0085709A">
      <w:pPr>
        <w:pStyle w:val="TextoNormal"/>
      </w:pPr>
    </w:p>
    <w:p w:rsidR="0085709A" w:rsidRDefault="0085709A" w:rsidP="0085709A">
      <w:pPr>
        <w:pStyle w:val="TextoNormal"/>
      </w:pPr>
      <w:r w:rsidRPr="0085709A">
        <w:rPr>
          <w:rStyle w:val="NumeroAFNegritaCaracter"/>
        </w:rPr>
        <w:t>3</w:t>
      </w:r>
      <w:r>
        <w:t>. Por providencia de 13 de noviembre de 2012, el Pleno, a propuesta de la Sección Segunda, acordó admitir a trámite el recurso de inconstitucionalidad y, conforme establece el art. 34 de la Ley Orgánica del Tribunal Constitucional (LOTC), dar traslado de la demanda para personación y alegaciones al Congreso de los Diputados, al Senado y al Gobierno. También se ordenó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4</w:t>
      </w:r>
      <w:r>
        <w:t>. Con fecha de 19 de noviembre de 2012, el Abogado del Estado comparece en el proceso en la representación que legalmente ostenta para que el Tribunal le tenga por personado en el recurso de inconstitucionalidad, al tiempo que solicita una prórroga del plazo concedido para formular sus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El Pleno, mediante diligencia de ordenación de 20 de noviembre de 2012, acordó tener por personado al Abogado del Estado y prorrogar en ocho días el plazo en su día concedido para presentar sus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registrado en este Tribunal el 23 de noviembre de 2012, el Presidente del Congreso de los Diputados comunicó el acuerdo de la Mesa de la Cámara de personarse en el procedimiento y ofrecer su colaboración a los efectos del art. 88.1 LOTC. Lo mismo hizo el Presidente del Senado, por escrito que tuvo entrada en este Tribunal el 28 de noviembre del mismo año.</w:t>
      </w:r>
    </w:p>
    <w:p w:rsidR="0085709A" w:rsidRDefault="0085709A" w:rsidP="0085709A">
      <w:pPr>
        <w:pStyle w:val="TextoNormal"/>
      </w:pPr>
    </w:p>
    <w:p w:rsidR="0085709A" w:rsidRDefault="0085709A" w:rsidP="0085709A">
      <w:pPr>
        <w:pStyle w:val="TextoNormal"/>
      </w:pPr>
      <w:r w:rsidRPr="0085709A">
        <w:rPr>
          <w:rStyle w:val="NumeroAFNegritaCaracter"/>
        </w:rPr>
        <w:t>7</w:t>
      </w:r>
      <w:r>
        <w:t>. El escrito de alegaciones del Abogado del Estado, interesando la desestimación del recurso de inconstitucionalidad planteado por la Junta de Extremadura, tuvo entrada en este Tribunal el día 20 de diciembre de 2012.</w:t>
      </w:r>
    </w:p>
    <w:p w:rsidR="0085709A" w:rsidRDefault="0085709A" w:rsidP="0085709A">
      <w:pPr>
        <w:pStyle w:val="TextoNormal"/>
      </w:pPr>
    </w:p>
    <w:p w:rsidR="0085709A" w:rsidRDefault="0085709A" w:rsidP="0085709A">
      <w:pPr>
        <w:pStyle w:val="TextoNormal"/>
      </w:pPr>
      <w:r>
        <w:t xml:space="preserve">La Abogacía del Estado da respuesta en primer lugar a la impugnación fundada en la infracción del art. 86.1 CE. En primer lugar, sostiene que los motivos que legitiman la utilización del Real Decreto-ley 1/2012 han sido adecuadamente expuestos por los órganos políticos y justifican la concurrencia del presupuesto habilitante de la extraordinaria y urgente necesidad que exige el art. 86.1 CE. Ante todo por cuanto, en el marco de la crisis económica, de la que dan fe distintos informes del Banco de España (años 2008 a 2011), que se citan, el déficit tarifario del sistema eléctrico al que se refiere la exposición de motivos del Real Decreto-ley 1/2012 se erige en un problema que afecta a la sostenibilidad económica del sistema eléctrico. Asimismo se afirma que las primas de régimen especial que </w:t>
      </w:r>
      <w:r>
        <w:lastRenderedPageBreak/>
        <w:t>pretende limitar el citado Real Decreto-ley no son ajenas a la gravedad del incremento del déficit tarifario o déficit estructural de ingresos de actividades reguladas, que aumenta exponencialmente desde el año 2004. En este contexto, el Abogado del Estado señala que la urgencia de la medida se justifica en la exposición de motivos del Real Decreto-ley al afirmarse la necesidad de supresión del déficit tarifario y señalar además que “en este momento se encuentran pendientes de resolución las cuatro convocatorias de preasignación fotovoltaica correspondientes al año 2012, por una potencia cercana a los 550 MW. En efecto, la inevitable dilación en el tiempo de la adopción de esta medida que supondría su tramitación por el cauce normativo ordinario determinaría, inevitablemente, la entrada en el sistema de 550 MW fotovoltaicos adicionales y el riesgo de un efecto llamada para aquellas tecnologías cuyos objetivos no han sido cubiertos: Cogeneración, biomasa, biogás, hidráulica y residuos”. Las anteriores afirmaciones se completan con las explicaciones ofrecidas por el Ministro de Industria, Energía y Turismo en el trámite de convalidación del Real Decreto-ley, que el Abogado del Estado transcribe; a ello se añade la alegación de la existencia de un fuerte desequilibrio entre oferta y demanda de energía, habiendo sido superados con creces los objetivos del Plan de energías renovables 2005-2010. Es apreciable un exceso de potencia instalada, lo que incide negativamente en el incremento del déficit, porque las previsiones de costes, en parte asociadas al sistema de primas, no quedan cubiertas con los ingresos previstos; esto frena el ritmo de crecimiento de la acumulación de ese déficit, contribuyendo a dar solución al déficit que ya se ha venido acopiando. El informe de la Comisión Nacional de Energía de 7 de marzo de 2012, que igualmente cita el Abogado del Estado y adjunta a su escrito de alegaciones, estima que, de no haberse adoptado medida alguna, hubiera sido necesario incrementar los peajes (precio de la electricidad) en torno a un 10 por 100 entre el año 2012 y el 2015; lo cual sería difícilmente sostenible para los consumidores y no financiaría la totalidad del déficit acumulado.</w:t>
      </w:r>
    </w:p>
    <w:p w:rsidR="0085709A" w:rsidRDefault="0085709A" w:rsidP="0085709A">
      <w:pPr>
        <w:pStyle w:val="TextoNormal"/>
      </w:pPr>
    </w:p>
    <w:p w:rsidR="0085709A" w:rsidRDefault="0085709A" w:rsidP="0085709A">
      <w:pPr>
        <w:pStyle w:val="TextoNormal"/>
      </w:pPr>
      <w:r>
        <w:t>A partir de las ideas expuestas, la Abogacía del Estado contesta a los argumentos de la demanda afirmando que la justificación que se ofrece por el Gobierno sobre la situación de urgencia apreciada es suficiente. El Real Decreto-ley 1/2012 no adopta medidas desreguladoras. Queda dentro de los márgenes descritos en la jurisprudencia constitucional, particularmente en la STC 1/2012; impone una innovación normativa de efectos inmediatos, al suspender los procedimientos de inscripción en el correspondiente régimen que estuvieran en curso a la entrada en vigor de la norma de urgencia y al suprimir las primas de forma tan inminente como permite el respeto a la confianza legítima de quienes ya hubieran obtenido la autorización para operar en el régimen especial correspondiente. La previsibilidad del déficit tarifario en nada obsta a la adopción de la medida porque concurría una evidente urgencia (cita los AATC 179/2011, de 13 de diciembre, FJ 6; y 35/2012, de 14 de febrero, FJ 3), siendo así que además no resultaba previsible el crecimiento de la deuda acumulada tras la adopción de las medidas de los años 2009 y 2010; además, la supresión del régimen primado, frente a lo que afirma la Junta de Extremadura, tiene una incidencia relevante en la progresiva eliminación del déficit tarifario, sin perjuicio de que otras medidas también hubieran podido coadyuvar a la reducción del mismo. En conclusión, los órganos políticos habrían exteriorizado y justificado la concurrencia del presupuesto habilitante de la extraordinaria y urgente necesidad que exige el art. 86.1 CE para acudir al instrumento del Decreto-ley, según la Abogacía del Estado.</w:t>
      </w:r>
    </w:p>
    <w:p w:rsidR="0085709A" w:rsidRDefault="0085709A" w:rsidP="0085709A">
      <w:pPr>
        <w:pStyle w:val="TextoNormal"/>
      </w:pPr>
    </w:p>
    <w:p w:rsidR="0085709A" w:rsidRDefault="0085709A" w:rsidP="0085709A">
      <w:pPr>
        <w:pStyle w:val="TextoNormal"/>
      </w:pPr>
      <w:r>
        <w:t xml:space="preserve">El Abogado del Estado responde, por último, a la impugnación fundada en la vulneración del principio de seguridad jurídica (art. 9.3 CE). Señala en primer lugar que en algunos </w:t>
      </w:r>
      <w:r>
        <w:lastRenderedPageBreak/>
        <w:t>pasajes de la demanda parece imputarse al Real Decreto-ley 1/2012 una retroactividad proscrita por el art. 9.3 CE. Se recuerda al respecto la doctrina constitucional, que precisa que esta prohibición se refiere a las limitaciones introducidas en el ámbito de los derechos fundamentales y de las libertades públicas, o en la esfera general de la protección de las personas (entre otras, SSTC 90/2009, de 20 de abril, FJ 4; y 100/2012, de 8 de mayo, FJ 10). Por ello no resultaría de aplicación a una norma que aspira simplemente a suprimir las ayudas a determinadas instalaciones de generación eléctrica y que, por tanto, no tiene carácter sancionador ni limita o restringe la esfera de libertades o derechos del título I CE.</w:t>
      </w:r>
    </w:p>
    <w:p w:rsidR="0085709A" w:rsidRDefault="0085709A" w:rsidP="0085709A">
      <w:pPr>
        <w:pStyle w:val="TextoNormal"/>
      </w:pPr>
    </w:p>
    <w:p w:rsidR="0085709A" w:rsidRDefault="0085709A" w:rsidP="0085709A">
      <w:pPr>
        <w:pStyle w:val="TextoNormal"/>
      </w:pPr>
      <w:r>
        <w:t>A ese argumento se añade que el Tribunal [con cita de las SSTC 227/1988, de 29 de noviembre; 182/1997, de 28 de octubre, FJ 11 d); 234/2001, de 13 diciembre, FJ 8; 112/2006, de 5 de abril, FJ 17, y 100/2012, de 8 mayo, FJ 10] también ha declarado repetidamente que la retroactividad que el art. 9.3 CE prohíbe es la “auténtica o de grado máximo”. Por el contrario la “retroactividad impropia o de grado medio”, definida como la incidencia en “situaciones jurídicas actuales aún no concluidas”, no estaría sujeta a la prohibición; aunque sí podría tener relevancia constitucional desde la perspectiva de la protección de la seguridad jurídica. En este sentido, en la medida en que el Real Decreto-ley 1/2012 sólo incide en los proyectos de instalación que todavía no han ingresado en el régimen especial primado por no haber sido inscritos en el registro de preasignación de retribución (art. 4.1 del Real Decreto-ley 6/2009 y art. 4.1 del Real Decreto 1578/2008) y a las de régimen ordinario que a la entrada en vigor del Real Decreto-ley 1/2012 no dispusieran de autorización administrativa, la disposición impugnada no produce ningún tipo de retroactividad, ni propia ni impropia. Solo rige respecto de relaciones jurídicas que todavía no han nacido, no afectando a ningún derecho consolidado, asumido e integrado en el patrimonio del destinatario de la norma, sino a derechos futuros o meras expectativas.</w:t>
      </w:r>
    </w:p>
    <w:p w:rsidR="0085709A" w:rsidRDefault="0085709A" w:rsidP="0085709A">
      <w:pPr>
        <w:pStyle w:val="TextoNormal"/>
      </w:pPr>
    </w:p>
    <w:p w:rsidR="0085709A" w:rsidRDefault="0085709A" w:rsidP="0085709A">
      <w:pPr>
        <w:pStyle w:val="TextoNormal"/>
      </w:pPr>
      <w:r>
        <w:t>Para dar respuesta a los argumentos de la Junta de Extremadura relativos a la seguridad jurídica en su proyección sobre la confianza legítima, el Abogado del Estado parte de que el Real Decreto-ley 1/2012 no establece ni siquiera una retroactividad impropia, por lo que tampoco puede plantear problema alguno de constitucionalidad desde la perspectiva de la seguridad jurídica o desde la confianza legítima. Respecto del reproche relativo a la infracción de la seguridad jurídica en su vertiente objetiva de certeza del derecho, se trae a colación la STC 37/2012, de 19 de marzo, FJ 8, que sintetiza la doctrina constitucional al respecto. En este sentido, la Abogacía del Estado afirma que la norma impugnada no lleva aparejada ninguna duda en sus destinatarios sobre su ámbito de aplicación, presupuesto de hecho al que es aplicable y consecuencias jurídicas; existe, por tanto, una perfecta predeterminación de todos los elementos nucleares de la norma. El Abogado del Estado reconoce que, efectivamente, el Real Decreto-ley 1/2012 estatuye una facultad discrecional conferida al Gobierno para restablecer la inscripción en el registro de preasignación de retribución, lo que supone que, si las circunstancias cambiaran en el sector energético, la autoridad competente podrá introducir nuevas primas; pero afirma también que esto sería así aunque nada dijera el art. 4.4 del Real Decreto-ley 1/2012. Este precepto no supone una remisión en blanco al reglamento, porque las exigencias de predeterminación legal sólo operan en aquellas materias respecto de las que existe una reserva material de ley, no existiendo tal reserva en este caso.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8</w:t>
      </w:r>
      <w:r>
        <w:t>. Por diligencia de ordenación de 26 de septiembre de 2013 se acordó facilitar copia del escrito de alegaciones del Abogado del Estado a la representación procesal de la Junta de Extremadura, conforme a lo solicitado por ésta y a los solos efectos de su conocimiento.</w:t>
      </w:r>
    </w:p>
    <w:p w:rsidR="0085709A" w:rsidRDefault="0085709A" w:rsidP="0085709A">
      <w:pPr>
        <w:pStyle w:val="TextoNormal"/>
      </w:pPr>
    </w:p>
    <w:p w:rsidR="0085709A" w:rsidRDefault="0085709A" w:rsidP="0085709A">
      <w:pPr>
        <w:pStyle w:val="TextoNormal"/>
      </w:pPr>
      <w:r w:rsidRPr="0085709A">
        <w:rPr>
          <w:rStyle w:val="NumeroAFNegritaCaracter"/>
        </w:rPr>
        <w:t>9</w:t>
      </w:r>
      <w:r>
        <w:t>. Mediante providencia de 26 de mayo de 2015, se señaló para deliberación y votación de la presente Sentencia el día 28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ha sido interpuesto por la Junta de Extremadura contra los arts. 1 a 4 y la disposición derogatoria única del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TextoNormal"/>
      </w:pPr>
    </w:p>
    <w:p w:rsidR="0085709A" w:rsidRDefault="0085709A" w:rsidP="0085709A">
      <w:pPr>
        <w:pStyle w:val="TextoNormal"/>
      </w:pPr>
      <w:r>
        <w:t>El Real Decreto-ley 1/2012 contiene precisamente cuatro artículos y una disposición derogatoria, que son los preceptos impugnados, más una disposición transitoria (que aplaza la aplicación de la disposición derogatoria), otra adicional (sobre devolución de avales depositados para las instalaciones de régimen especial) y tres finales (relativas a los títulos competenciales, a la habilitación al Gobierno para el desarrollo reglamentario y a la entrada en vigor). El Real Decreto-ley suprime los incentivos económicos para las nuevas instalaciones de producción de energía eléctrica en régimen especial y para las nuevas instalaciones en régimen ordinario de tecnologías asimilables a las incluidas en el régimen especial (art. 1.1); suspende los procedimientos de preasignación de retribución para el otorgamiento del régimen económico primado, estableciendo (art. 2.2) algunas particularidades en relación con los procedimientos de inscripción no conclusos, por silencio administrativo y en relación con las instalaciones no realizadas a la fecha de su entrada en vigor.</w:t>
      </w:r>
    </w:p>
    <w:p w:rsidR="0085709A" w:rsidRDefault="0085709A" w:rsidP="0085709A">
      <w:pPr>
        <w:pStyle w:val="TextoNormal"/>
      </w:pPr>
    </w:p>
    <w:p w:rsidR="0085709A" w:rsidRDefault="0085709A" w:rsidP="0085709A">
      <w:pPr>
        <w:pStyle w:val="TextoNormal"/>
      </w:pPr>
      <w:r>
        <w:t xml:space="preserve">Como se ha expuesto en los antecedentes, la Junta de Extremadura denuncia en primer lugar la infracción del art. 86.1 CE. Entiende que no concurre la situación de extraordinaria y urgente necesidad exigible para la regulación de una materia mediante decreto-ley, que ha de tener un carácter estructural y permanente; tampoco se alcanza en Extremadura la finalidad de reducción del déficit tarifario del sistema eléctrico que se dice perseguir en el Real Decreto-ley 1/2012. En segundo lugar alega la vulneración del principio de confianza legítima como manifestación del principio de seguridad jurídica que garantiza el art. 9.3 CE. Según el recurso, al suprimir el Real Decreto-ley 1/2012 el tratamiento económico primado de las instalaciones de producción de energía eléctrica en régimen especial (energías renovables y de cogeneración), se afecta de manera directa e inmediata a un importante sector económico y productivo, estratégico para el desarrollo de la Comunidad Autónoma extremeña; el grado de incertidumbre que el Real Decreto-ley 1/2012 genera impide el ejercicio de cualquier actividad de planificación necesaria para una adecuada instrumentación de la ejecución de la política energética de la Junta de Extremadura y para los operadores privados que han apostado por las energías renovables. En la medida en que no era previsible la eliminación sorpresiva y </w:t>
      </w:r>
      <w:r w:rsidRPr="0085709A">
        <w:rPr>
          <w:i/>
        </w:rPr>
        <w:t>sine die</w:t>
      </w:r>
      <w:r>
        <w:t xml:space="preserve"> de todos los incentivos económicos a las energías renovables, no se respeta el principio de confianza legítima.</w:t>
      </w:r>
    </w:p>
    <w:p w:rsidR="0085709A" w:rsidRDefault="0085709A" w:rsidP="0085709A">
      <w:pPr>
        <w:pStyle w:val="TextoNormal"/>
      </w:pPr>
    </w:p>
    <w:p w:rsidR="0085709A" w:rsidRDefault="0085709A" w:rsidP="0085709A">
      <w:pPr>
        <w:pStyle w:val="TextoNormal"/>
      </w:pPr>
      <w:r>
        <w:lastRenderedPageBreak/>
        <w:t>El Abogado del Estado solicita la desestimación del recurso de inconstitucionalidad. Conforme ha quedado expuesto con detalle en los antecedentes, descarta la pretendida vulneración del art. 86.1 CE, apreciando la concurrencia de una situación de extraordinaria y urgente necesidad, explicitada tanto en el preámbulo de la norma como en el debate de convalidación. También la del art. 9.3 CE, por entender que se trata de un supuesto de sucesión normativa en el que se introducen modificaciones en el régimen anteriormente vigente; el Real Decreto-ley 1/2012 sería una norma que aspira simplemente a suprimir las ayudas a determinadas instalaciones de generación eléctrica y que, por tanto, no tiene carácter sancionador ni limita o restringe la esfera de libertades o derechos del título I CE, ni tiene carácter retroactivo. No incurre tampoco en infracción alguna de las exigencias de seguridad jurídica que derivan del art. 9.3 CE, al no afectar la norma a ningún derecho consolidado al cobro de primas, sino a meras expectativas de derechos.</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 el presente proceso constitucional, hemos de examinar la incidencia que las modificaciones normativas acaecidas después de la interposición del recurso de la Junta de Extremadura hayan podido tener sobre su pervivencia.</w:t>
      </w:r>
    </w:p>
    <w:p w:rsidR="0085709A" w:rsidRDefault="0085709A" w:rsidP="0085709A">
      <w:pPr>
        <w:pStyle w:val="TextoNormal"/>
      </w:pPr>
    </w:p>
    <w:p w:rsidR="0085709A" w:rsidRDefault="0085709A" w:rsidP="0085709A">
      <w:pPr>
        <w:pStyle w:val="TextoNormal"/>
      </w:pPr>
      <w:r>
        <w:t>A este respecto la STC 48/2015, de 5 de marzo, FJ 2, da cuenta de las seis normas que, tras la entrada en vigor del Real Decreto-ley 1/2012, se han ocupado también del régimen primado de instalaciones de producción de energía eléctrica a partir de cogeneración, fuentes de energía renovables y residuos. Concluye, tras su examen, que, pese a que ninguna de ellas deroga expresamente el Real Decreto-ley 1/2012, este texto legal —en cuanto hace referencia a un régimen económico primado ya desaparecido— no se encuentra materialmente en vigor, conforme estableció la STC 183/2014, de 6 de noviembre, con fundamento en la anterior STC 96/2014, de 12 de junio, al considerar que había sido sustituido por la Ley 24/2013, de 26 de diciembre, del sector eléctrico, y sus disposiciones de desarrollo.</w:t>
      </w:r>
    </w:p>
    <w:p w:rsidR="0085709A" w:rsidRDefault="0085709A" w:rsidP="0085709A">
      <w:pPr>
        <w:pStyle w:val="TextoNormal"/>
      </w:pPr>
    </w:p>
    <w:p w:rsidR="0085709A" w:rsidRDefault="0085709A" w:rsidP="0085709A">
      <w:pPr>
        <w:pStyle w:val="TextoNormal"/>
      </w:pPr>
      <w:r>
        <w:t>Los criterios de nuestra doctrina respecto a la pérdida de objeto en los recursos de inconstitucionalidad los expone la STC 96/2014, de 2 de junio, FJ 2. Tras recordar que la regla general en el ámbito de los recursos de inconstitucionalidad es que la derogación de la norma impugnada extingue su objeto, indica que no cabe dar una respuesta unívoca a esta cuestión, ya que, como señala la STC 124/2003, de 19 de junio, FJ 3,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de 16 de diciembre,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w:t>
      </w:r>
    </w:p>
    <w:p w:rsidR="0085709A" w:rsidRDefault="0085709A" w:rsidP="0085709A">
      <w:pPr>
        <w:pStyle w:val="TextoNormal"/>
      </w:pPr>
    </w:p>
    <w:p w:rsidR="0085709A" w:rsidRDefault="0085709A" w:rsidP="0085709A">
      <w:pPr>
        <w:pStyle w:val="TextoNormal"/>
      </w:pPr>
      <w:r>
        <w:lastRenderedPageBreak/>
        <w:t>Esta regla general conoce, no obstante, excepciones. Así, por lo que interesa al presente supuesto, la denunciada vulneración del art. 86.1 CE no se ve afectada por el anterior criterio, ya que la derogación de la norma no impide controlar si el ejercicio de la potestad reconocida al Gobierno se realizó siguiendo los requisitos establecidos en dicho precepto constitucional;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183/2014, de 6 de noviembre, FJ 2 c)].</w:t>
      </w:r>
    </w:p>
    <w:p w:rsidR="0085709A" w:rsidRDefault="0085709A" w:rsidP="0085709A">
      <w:pPr>
        <w:pStyle w:val="TextoNormal"/>
      </w:pPr>
    </w:p>
    <w:p w:rsidR="0085709A" w:rsidRDefault="0085709A" w:rsidP="0085709A">
      <w:pPr>
        <w:pStyle w:val="TextoNormal"/>
      </w:pPr>
      <w:r>
        <w:t>En suma, recapitulando lo expuesto acerca del objeto del recurso y su pervivencia, resulta que no pervive la tacha vinculada a la infracción del art. 9.3 CE, conclusión, por lo demás, ya alcanzada en la STC 48/2015, FJ 2, por lo que debemos pronunciarnos únicamente acerca de la vulneración del art. 86.1 CE por falta de presupuesto habilitante que se reprocha al Real Decreto-ley 1/2012.</w:t>
      </w:r>
    </w:p>
    <w:p w:rsidR="0085709A" w:rsidRDefault="0085709A" w:rsidP="0085709A">
      <w:pPr>
        <w:pStyle w:val="TextoNormal"/>
      </w:pPr>
    </w:p>
    <w:p w:rsidR="0085709A" w:rsidRDefault="0085709A" w:rsidP="0085709A">
      <w:pPr>
        <w:pStyle w:val="TextoNormal"/>
      </w:pPr>
      <w:r w:rsidRPr="0085709A">
        <w:rPr>
          <w:rStyle w:val="NumeroAFNegritaCaracter"/>
        </w:rPr>
        <w:t>3</w:t>
      </w:r>
      <w:r>
        <w:t>. Esta tacha de inconstitucionalidad ha de reputarse resuelta aplicando la doctrina de la ya citada STC 48/2015, FJ 5, en la que este Tribunal consideró, por remisión a la STC 183/2014, FJ 6, que “con la motivación aportada en la exposición de motivos de la norma, en el debate de convalidación del Decreto-ley, y en la memoria de impacto normativo del Real Decreto-ley, debe darse por satisfecho el requisito de que se hayan explicado las razones de extraordinaria y urgente necesidad que han motivado la suspensión, mediante Real Decreto-ley, del sistema de asignación de incentivos económicos para las instalaciones de producción eléctrica de régimen especial, así como de inscripción de las mismas en el registro de preasignación de retribución”. Lo mismo sucedía con el requisito de la conexión de sentido entre las medidas adoptadas y la situación de urgencia a la que se pretende atender con su aprobación. En el FJ 6 de la referida STC 48/2015, concluimos que “el propósito de la norma es evitar el incremento del gasto dedicado a la financiación del sistema primado, derivado de la incorporación de nuevas instalaciones a dicho sistema, para, a partir de ahí, propiciar la reducción del déficit estructural del sector eléctrico. Esto es, el Real Decreto-ley minimiza el riesgo de eventuales desviaciones al alza del déficit, lo que, como dijimos en la STC 183/2014, constituye una situación susceptible de ser abordada mediante la legislación de urgencia, constatándose una evidente conexión entre la situación de extraordinaria y urgente necesidad y las medidas adoptadas para hacerle frente”.</w:t>
      </w:r>
    </w:p>
    <w:p w:rsidR="0085709A" w:rsidRDefault="0085709A" w:rsidP="0085709A">
      <w:pPr>
        <w:pStyle w:val="TextoNormal"/>
      </w:pPr>
    </w:p>
    <w:p w:rsidR="0085709A" w:rsidRDefault="0085709A" w:rsidP="0085709A">
      <w:pPr>
        <w:pStyle w:val="TextoNormal"/>
      </w:pPr>
      <w:r>
        <w:t>Procede, por tanto, desestimar el recurso en este punto.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Declarar la pérdida sobrevenida del objeto del recurso, en lo que se refiere a la vulneración del art. 9.3 CE por los arts. 1 a 4 y la disposición derogatoria única del Real Decreto-ley 1/2012, de 27 de enero.</w:t>
      </w:r>
    </w:p>
    <w:p w:rsidR="0085709A" w:rsidRDefault="0085709A" w:rsidP="0085709A">
      <w:pPr>
        <w:pStyle w:val="TextoNormal"/>
      </w:pPr>
    </w:p>
    <w:p w:rsidR="0085709A" w:rsidRDefault="0085709A" w:rsidP="0085709A">
      <w:pPr>
        <w:pStyle w:val="TextoNormal"/>
      </w:pPr>
      <w:r>
        <w:lastRenderedPageBreak/>
        <w:t>2º Desestimar el recurso en lo restante.</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09" w:name="SENTENCIA_2015_106"/>
      <w:r>
        <w:lastRenderedPageBreak/>
        <w:t>SENTENCIA 106/2015, de 28 de mayo de 2015</w:t>
      </w:r>
    </w:p>
    <w:bookmarkEnd w:id="109"/>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ECLI:ES:TC:2015:106</w:t>
      </w:r>
    </w:p>
    <w:p w:rsidR="0085709A" w:rsidRDefault="0085709A" w:rsidP="0085709A">
      <w:pPr>
        <w:pStyle w:val="TextoNormalCentrado"/>
      </w:pPr>
    </w:p>
    <w:p w:rsidR="0085709A" w:rsidRDefault="0085709A" w:rsidP="0085709A">
      <w:pPr>
        <w:pStyle w:val="SntesisDescriptiva"/>
      </w:pPr>
      <w:r>
        <w:t>Recurso de inconstitucionalidad 6084-2012. Interpuesto por el Gobierno de Canarias respecto del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SntesisDescriptiva"/>
      </w:pPr>
    </w:p>
    <w:p w:rsidR="0085709A" w:rsidRDefault="0085709A" w:rsidP="0085709A">
      <w:pPr>
        <w:pStyle w:val="SntesisAnaltica"/>
      </w:pPr>
      <w:r>
        <w:t>Límites de los decretos-leyes y principio de seguridad jurídica: pérdida sobrevenida parcial del objeto del recurso, constitucionalidad de las disposiciones subsistentes (STC 48/2015).</w:t>
      </w:r>
    </w:p>
    <w:p w:rsidR="0085709A" w:rsidRDefault="0085709A" w:rsidP="0085709A">
      <w:pPr>
        <w:pStyle w:val="SntesisAnaltica"/>
      </w:pPr>
    </w:p>
    <w:p w:rsidR="0085709A" w:rsidRDefault="0085709A" w:rsidP="0085709A">
      <w:pPr>
        <w:pStyle w:val="Extracto"/>
      </w:pPr>
      <w:r>
        <w:t>1.</w:t>
      </w:r>
      <w:r>
        <w:tab/>
        <w:t>Se declara la pérdida sobrevenida de objeto de los recurso de inconstitucionalidad porque la tacha vinculada a la infracción del principio de seguridad jurídica no pervive, ya que la norma impugnada no se encuentra materialmente en vigor al haber sido desplazada por la Ley 24/2013, de 6 de diciembre, que modificó el régimen económico del sector eléctrico [FJ 2].</w:t>
      </w:r>
    </w:p>
    <w:p w:rsidR="0085709A" w:rsidRDefault="0085709A" w:rsidP="0085709A">
      <w:pPr>
        <w:pStyle w:val="Extracto"/>
      </w:pPr>
    </w:p>
    <w:p w:rsidR="0085709A" w:rsidRDefault="0085709A" w:rsidP="0085709A">
      <w:pPr>
        <w:pStyle w:val="Extracto"/>
      </w:pPr>
      <w:r>
        <w:t>2.</w:t>
      </w:r>
      <w:r>
        <w:tab/>
        <w:t>Aplica doctrina sobre la pérdida sobrevenida de objeto en el ámbito del recurso de inconstitucionalidad como consecuencia de la pérdida de vigencia de los preceptos impugnados (SSTC 160(/1987, 96/2014, 183/2014) [FJ 2].</w:t>
      </w:r>
    </w:p>
    <w:p w:rsidR="0085709A" w:rsidRDefault="0085709A" w:rsidP="0085709A">
      <w:pPr>
        <w:pStyle w:val="Extracto"/>
      </w:pPr>
    </w:p>
    <w:p w:rsidR="0085709A" w:rsidRDefault="0085709A" w:rsidP="0085709A">
      <w:pPr>
        <w:pStyle w:val="Extracto"/>
      </w:pPr>
      <w:r>
        <w:t>3.</w:t>
      </w:r>
      <w:r>
        <w:tab/>
        <w:t>Se desestima el recurso en cuanto a la falta de presupuesto habilitante que se le reprocha a la norma impugnada [FJ 3].</w:t>
      </w:r>
    </w:p>
    <w:p w:rsidR="0085709A" w:rsidRDefault="0085709A" w:rsidP="0085709A">
      <w:pPr>
        <w:pStyle w:val="Extracto"/>
      </w:pPr>
    </w:p>
    <w:p w:rsidR="0085709A" w:rsidRDefault="0085709A" w:rsidP="0085709A">
      <w:pPr>
        <w:pStyle w:val="Extracto"/>
      </w:pPr>
      <w:r>
        <w:t>4.</w:t>
      </w:r>
      <w:r>
        <w:tab/>
        <w:t>Aplica doctrina sobre el presupuesto habilitante de la situación de extraordinaria y urgente necesidad, ex art. 86 CE (STC 48/2015) [FJ 3].</w:t>
      </w:r>
    </w:p>
    <w:p w:rsidR="0085709A" w:rsidRDefault="0085709A" w:rsidP="0085709A">
      <w:pPr>
        <w:pStyle w:val="Extracto"/>
      </w:pPr>
    </w:p>
    <w:p w:rsidR="0085709A" w:rsidRDefault="0085709A" w:rsidP="0085709A">
      <w:pPr>
        <w:pStyle w:val="Extracto"/>
      </w:pPr>
      <w:r>
        <w:t>5.</w:t>
      </w:r>
      <w:r>
        <w:tab/>
        <w:t>Con la motivación de la exposición de motivos de la norma, el debate de convalidación del Decreto-ley y la memoria de su impacto normativo se satisface el requisito de razonamiento de la extraordinaria y urgente necesidad que motivaron la suspensión, mediante Real Decreto-ley, del sistema de asignación de incentivos económicos para las instalaciones de producción eléctrica de régimen especial, así como de inscripción de las mismas en el registro de pre-asignación de retribución (STC 48/2015) [FJ 3].</w:t>
      </w:r>
    </w:p>
    <w:p w:rsidR="0085709A" w:rsidRDefault="0085709A" w:rsidP="0085709A">
      <w:pPr>
        <w:pStyle w:val="Extracto"/>
      </w:pPr>
    </w:p>
    <w:p w:rsidR="0085709A" w:rsidRDefault="0085709A" w:rsidP="0085709A">
      <w:pPr>
        <w:pStyle w:val="Extracto"/>
      </w:pPr>
      <w:r>
        <w:t>6.</w:t>
      </w:r>
      <w:r>
        <w:tab/>
        <w:t>El Real Decreto-ley minimiza el riesgo de eventuales desviaciones al alza del déficit, lo que constituye una situación susceptible de ser abordada mediante la legislación de urgencia, constatándose una evidente conexión entre la situación de extraordinaria y urgente necesidad y las medidas adoptadas para hacerle frente (STC 183/2014) [FJ 3].</w:t>
      </w:r>
    </w:p>
    <w:p w:rsidR="0085709A" w:rsidRDefault="0085709A" w:rsidP="0085709A">
      <w:pPr>
        <w:pStyle w:val="Extracto"/>
      </w:pPr>
    </w:p>
    <w:p w:rsidR="0085709A" w:rsidRDefault="0085709A" w:rsidP="0085709A">
      <w:pPr>
        <w:pStyle w:val="Extracto"/>
      </w:pPr>
      <w:r>
        <w:t>7.</w:t>
      </w:r>
      <w:r>
        <w:tab/>
        <w:t xml:space="preserve">Las normas actualmente vigentes en materia del régimen económico eléctrico ya no plantean el problema competencial suscitado, centrado en la falta de un régimen específico y diferenciado para Canarias respecto a la producción de energía eléctrica a partir de fuentes de energía renovables, cogeneración de alta eficiencia </w:t>
      </w:r>
      <w:r>
        <w:lastRenderedPageBreak/>
        <w:t>y residuos, en tanto que este nuevo escenario normativo sí contempla, de diversos modos, la diferente situación de los denominados sistemas eléctricos no peninsulares, por lo que han desaparecido sobrevenidamente las tachas competenciales que se planteaban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6084-2012 interpuesto por el Gobierno de Canarias contra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 Ha comparecido y formulado alegaciones el Abogado del Estado.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29 de octubre de 2012, la Directora General del Servicio Jurídico del Gobierno de Canarias, en la representación que ostenta, interpuso recurso de inconstitucionalidad contra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TextoNormal"/>
      </w:pPr>
    </w:p>
    <w:p w:rsidR="0085709A" w:rsidRDefault="0085709A" w:rsidP="0085709A">
      <w:pPr>
        <w:pStyle w:val="TextoNormal"/>
      </w:pPr>
      <w:r>
        <w:t>El recurso se fundamenta en los motivos que, resumidamente, se exponen a continuación:</w:t>
      </w:r>
    </w:p>
    <w:p w:rsidR="0085709A" w:rsidRDefault="0085709A" w:rsidP="0085709A">
      <w:pPr>
        <w:pStyle w:val="TextoNormal"/>
      </w:pPr>
    </w:p>
    <w:p w:rsidR="0085709A" w:rsidRDefault="0085709A" w:rsidP="0085709A">
      <w:pPr>
        <w:pStyle w:val="TextoNormal"/>
      </w:pPr>
      <w:r>
        <w:t xml:space="preserve">La representación procesal del Gobierno de Canarias señala que demanda una declaración de inconstitucionalidad por omisión en la medida que el Real Decreto-ley 1/2012 desconoce las circunstancias del hecho insular en la regulación del régimen energético, omitiendo todo reconocimiento normativo de las singularidades del archipiélago canario en relación con el mercado de la electricidad, reconocimiento que deriva del art. 138.1 CE y, de </w:t>
      </w:r>
      <w:r>
        <w:lastRenderedPageBreak/>
        <w:t>forma específica, de las competencias de esa Comunidad Autónoma establecidas en los artículos 30.26, 31.4 y 32.9 del Estatuto de Autonomía de Canarias. En el caso concreto de las energías renovables, esas singularidades se traducirían en una regulación específica para Canarias que ha sido dejada sin efecto por la norma impugnada, en la medida en que suprime los incentivos económicos para las nuevas instalaciones de producción de energía eléctrica a partir de cogeneración, fuentes de energías renovables y residuos. Con ello, a juicio de la demanda, el legislador de urgencia se aparta de la tradición legislativa de respeto con el reconocimiento de las singularidades derivadas del hecho insular. En relación con el objeto del recurso, reitera que reclama una inconstitucionalidad por omisión, “por no haber reconocido las singularidades del archipiélago canario en relación con el mercado de la electricidad, sin la pretensión añadida de su declaración de nulidad, sin perjuicio de que, no obstante, instemos la nulidad de su disposición derogatoria única, al no haber dejado a salvo la normativa anterior para ser aplicada en el territorio de la Comunidad Autónoma de Canarias”. A tales efectos, alude a la doctrina constitucional de las SSTC 45/1989, 96/1999 y 155/2005.</w:t>
      </w:r>
    </w:p>
    <w:p w:rsidR="0085709A" w:rsidRDefault="0085709A" w:rsidP="0085709A">
      <w:pPr>
        <w:pStyle w:val="TextoNormal"/>
      </w:pPr>
    </w:p>
    <w:p w:rsidR="0085709A" w:rsidRDefault="0085709A" w:rsidP="0085709A">
      <w:pPr>
        <w:pStyle w:val="TextoNormal"/>
      </w:pPr>
      <w:r>
        <w:t>Tras estas consideraciones previas, la demanda analiza los motivos de inconstitucionalidad en los que, a su juicio, incurre el Real Decreto-ley 1/2012. Comienza por la vulneración de las competencias autonómicas en relación con el régimen minero y energético (arts. 30.26 y 32.9 del Estatuto de Autonomía) y la planificación de la actividad económica regional (art. 31.4), la vulneración de las circunstancias derivadas del hecho insular y la infracción del principio de interdicción de la arbitrariedad de los poderes públicos.</w:t>
      </w:r>
    </w:p>
    <w:p w:rsidR="0085709A" w:rsidRDefault="0085709A" w:rsidP="0085709A">
      <w:pPr>
        <w:pStyle w:val="TextoNormal"/>
      </w:pPr>
    </w:p>
    <w:p w:rsidR="0085709A" w:rsidRDefault="0085709A" w:rsidP="0085709A">
      <w:pPr>
        <w:pStyle w:val="TextoNormal"/>
      </w:pPr>
      <w:r>
        <w:t>Indica al respecto que, en primer lugar, que el objetivo de reducción del déficit tarifario no se consigue en el ámbito territorial de la Comunidad Autónoma de Canarias, a la vista de que los datos objetivos evidencian que el coste de las energías renovables en Canarias es netamente inferior al de la convencional, de modo que en la Comunidad Autónoma podría presionarse al alza el déficit tarifario, ya que el coste de producción de energía eléctrica en régimen ordinario es superior en Canarias a la media nacional. Para reducir ese coste hubiera debido incentivarse la producción de energías renovables, lo que “posibilitaría la entrada de nuevos operadores en la actividad de producción de energía eléctrica en la Comunidad Autónoma Canaria que estimularía la competencia y reduciría el coste del suministro de energía eléctrica en su territorio con la consecuencia del impacto favorable en el conjunto del sistema eléctrico”. Por eso, a juicio de la demanda, la norma es arbitraria pues va a conseguir en Canarias el efecto contrario al perseguido y el Gobierno era plenamente consciente de que se iba a producir ese efecto. Concluye la demanda esta alegación señalando que “[S]e trata a Canarias igual que al resto de las comunidades autónomas, pero en este aspecto Canarias no es igual y, si hay que tratar igual a los iguales, contraviene el principio de igualdad tratar igual a los que no son iguales, a los desiguales, sin justificación alguna, en una actuación que vulnera los principios de interdicción de la arbitrariedad del artículo 9.3 CE y de igualdad del artículo 14 CE”.</w:t>
      </w:r>
    </w:p>
    <w:p w:rsidR="0085709A" w:rsidRDefault="0085709A" w:rsidP="0085709A">
      <w:pPr>
        <w:pStyle w:val="TextoNormal"/>
      </w:pPr>
    </w:p>
    <w:p w:rsidR="0085709A" w:rsidRDefault="0085709A" w:rsidP="0085709A">
      <w:pPr>
        <w:pStyle w:val="TextoNormal"/>
      </w:pPr>
      <w:r>
        <w:t xml:space="preserve">La Directora General del Servicio Jurídico del Gobierno de Canarias alega, a continuación, que la norma tiene una incidencia negativa en la actividad económica regional, desconociendo la competencia exclusiva de la Comunidad Autónoma para su ordenación y planificación. Argumenta que, según la documentación que acompaña a la demanda, la entrada </w:t>
      </w:r>
      <w:r>
        <w:lastRenderedPageBreak/>
        <w:t>en vigor del Real Decreto-ley 1/2012 implica pérdidas significativas de inversión en Canarias, así como un sobrecoste en el parque de generación en los sistemas eléctricos insulares, lo que también se traduce en pérdida de puestos de trabajo.</w:t>
      </w:r>
    </w:p>
    <w:p w:rsidR="0085709A" w:rsidRDefault="0085709A" w:rsidP="0085709A">
      <w:pPr>
        <w:pStyle w:val="TextoNormal"/>
      </w:pPr>
    </w:p>
    <w:p w:rsidR="0085709A" w:rsidRDefault="0085709A" w:rsidP="0085709A">
      <w:pPr>
        <w:pStyle w:val="TextoNormal"/>
      </w:pPr>
      <w:r>
        <w:t>En cuanto al desconocimiento de las singularidades del sector eléctrico canario, señala que, hasta la fecha, la propia legislación estatal ha reconocido estas peculiaridades, examinadas en la STC 18/2011, de manera que el Estado está competencialmente habilitado para establecer una “regulación singular que atiende a una finalidad estratégica, la de garantizar que, al igual que se establece para el sistema eléctrico peninsular, también en los territorios insulares y extrapeninsulares se realice el suministro de energía eléctrica a los consumidores en condiciones de calidad, fiabilidad y seguridad y al menor coste posible”, finalidad que supone un condicionante para la legislación básica. El hecho de que los costes de la energía renovable en Canarias sean menores que los de la energía convencional “priva de cualquier fundamento a una regulación básica que, desviándose de su objetivo constitucional y estatutario, dispense un tratamiento que imponga un suministro eléctrico en Canarias con mayores costes y que por tanto presionaría al alza la tarifa que han de afrontar todos los consumidores, con evidente perjuicio del potencial de desarrollo de la Comunidad Autónoma”. Por eso la demanda aprecia que “el Real Decreto-ley que se recurre, en cuanto a su vocación de aplicación uniforme a todo el territorio nacional, sin excepción, carece de justificación objetiva al extender aquella regulación básica a un supuesto particular, el que afecta al ámbito territorial de Canarias que por sus propias características no se asemeja al resto del territorio peninsular”.</w:t>
      </w:r>
    </w:p>
    <w:p w:rsidR="0085709A" w:rsidRDefault="0085709A" w:rsidP="0085709A">
      <w:pPr>
        <w:pStyle w:val="TextoNormal"/>
      </w:pPr>
    </w:p>
    <w:p w:rsidR="0085709A" w:rsidRDefault="0085709A" w:rsidP="0085709A">
      <w:pPr>
        <w:pStyle w:val="TextoNormal"/>
      </w:pPr>
      <w:r>
        <w:t>La demanda concluye su argumentación denunciando la vulneración del art. 86.1 CE en los términos siguientes: “el Real Decreto-ley incumple los requisitos exigidos por el artículo 86 CE, no ya sólo porque no sea posible encuadrar en la extraordinaria y urgente necesidad que impone el precepto, con vocación principalmente circunstancial o coyuntural, una normativa de carácter estructural y permanente como es la normativa básica, sino porque en este caso la necesidad está justificada por el objetivo de reducción del déficit tarifario, objetivo que en Canarias no se alcanza al discurrir el efecto de la disposición justamente en la dirección contraria, incrementando los costes de prestación del suministro eléctrico y, por tanto, incrementando el déficit tarifario”.</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13 de noviembre de 2012 el Pleno del Tribunal Constitucional, a propuesta de la Sección Tercera, acordó admitir a trámite el recurso de inconstitucionalidad y dar traslado de la demanda y documentos presentados, conforme establece el art. 34 de la Ley Orgánica del Tribunal Constitucional (LOTC), al Congreso de los Diputados y al Senado así como al Gobierno, al objeto de que en el plazo de quince días pudieran personarse en el proceso y formular las alegaciones que estimaren convenientes. También se ordenó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el 19 de noviembre de 2012, el Abogado del Estado se personó en nombre del Gobierno, solicitando una prórroga en el plazo para la formulación de alegaciones, prórroga que le fue concedida por providencia del Pleno de 20 de noviembre de 2012.</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El día 23 de noviembre de 2012 el Presidente del Congreso de los Diputados comunicó el acuerdo de la Mesa de la Cámara de personarse en el procedimiento y ofrecer su colaboración a los efectos del art. 88.1 LOTC. Lo mismo hizo el Presidente del Senado por escrito que tuvo entrada en este Tribunal el día 28 de noviembre de 2012.</w:t>
      </w:r>
    </w:p>
    <w:p w:rsidR="0085709A" w:rsidRDefault="0085709A" w:rsidP="0085709A">
      <w:pPr>
        <w:pStyle w:val="TextoNormal"/>
      </w:pPr>
    </w:p>
    <w:p w:rsidR="0085709A" w:rsidRDefault="0085709A" w:rsidP="0085709A">
      <w:pPr>
        <w:pStyle w:val="TextoNormal"/>
      </w:pPr>
      <w:r w:rsidRPr="0085709A">
        <w:rPr>
          <w:rStyle w:val="NumeroAFNegritaCaracter"/>
        </w:rPr>
        <w:t>5</w:t>
      </w:r>
      <w:r>
        <w:t>. Las alegaciones presentadas por el Abogado del Estado interesando la desestimación del recurso fueron registradas en este Tribunal el día 20 de diciembre de 2012.</w:t>
      </w:r>
    </w:p>
    <w:p w:rsidR="0085709A" w:rsidRDefault="0085709A" w:rsidP="0085709A">
      <w:pPr>
        <w:pStyle w:val="TextoNormal"/>
      </w:pPr>
    </w:p>
    <w:p w:rsidR="0085709A" w:rsidRDefault="0085709A" w:rsidP="0085709A">
      <w:pPr>
        <w:pStyle w:val="TextoNormal"/>
      </w:pPr>
      <w:r>
        <w:t>La Abogacía del Estado, presentado el objeto del recurso de inconstitucionalidad, alude en primer lugar a la singularidad del sector eléctrico canario y su reflejo en la legislación estatal y en la doctrina constitucional. Así, cita la Ley 54/1997, de 27 de noviembre, del sector eléctrico, de la que se deriva el establecimiento de un régimen económico único para todo el territorio nacional, que, sin embargo, no prescinde totalmente de las especialidades derivadas de la insularidad, lo que se traduce en el establecimiento, en los términos del art. 12 de la Ley 54/1997 (declarado básico en la STC 18/2011), de una reglamentación especial para los sistemas eléctricos extrapeninsulares, en el que los costes del mismo se financian con cargo a los del conjunto del sistema. Menciona a continuación la doctrina constitucional sobre los títulos competenciales estatales establecida en las SSTC 18/2011 y 148/2011. En el caso concreto de las energías renovables el ejercicio de las competencias estatales, se traduce en la obtención de una rentabilidad razonable con referencia al coste del dinero en el mercado de capitales, fijándose un límite mínimo para tal retribución. Señala además que la doctrina constitucional citada faculta al Estado para consignar las previsiones necesarias que permitan instaurar un régimen económico único en todo el territorio nacional, de forma que se garantice el suministro de energía eléctrica con seguridad y al menor precio posible. Las medidas contenidas en la norma impugnada se han adoptado para preservar ambas facultades en un contexto de crisis y deficiencia tarifaria. Sus previsiones no son, a juicio del Abogado del Estado, incompatibles con las peculiaridades derivadas del carácter aislado de los sistemas eléctricos insulares y extrapeninsulares, sin que dicha adaptación de la norma básica estatal resulte obligatoria. El aislamiento físico del sistema insular no procede que se traduzca en uno económico, pues no cabe olvidar que los consumidores peninsulares continúan compensando el extracoste de generación motivado por su condición extrapeninsular. La posibilidad de atender a las singularidades de los territorios insulares y extrapeninsulares que contempla la normativa estatal no impide al Estado, tras valorar la concurrencia de las exigencias de interés general para alcanzar el correcto funcionamiento del sistema económico, adoptar medidas de naturaleza económica que sean de aplicación en todo el territorio español, lo que se refleja en la disposición adicional decimocuarta de la Ley 2/2011, de 4 de marzo, de economía sostenible.</w:t>
      </w:r>
    </w:p>
    <w:p w:rsidR="0085709A" w:rsidRDefault="0085709A" w:rsidP="0085709A">
      <w:pPr>
        <w:pStyle w:val="TextoNormal"/>
      </w:pPr>
    </w:p>
    <w:p w:rsidR="0085709A" w:rsidRDefault="0085709A" w:rsidP="0085709A">
      <w:pPr>
        <w:pStyle w:val="TextoNormal"/>
      </w:pPr>
      <w:r>
        <w:t>En segundo lugar, niega la existencia de infracción del art. 86.1 CE, por falta de presupuesto habilitante. Sostiene que los motivos de urgencia que legitiman la utilización del real decreto-ley han sido adecuadamente expuestos y, además, justifican la decisión de acudir al decreto-ley. Ante todo por cuanto, en el marco de la crisis económica, de la que dan fe distintos informes del Banco de España (años 2008 a 2011), que se citan, el déficit tarifario del sistema eléctrico al que se refiere la exposición de motivos del Real Decreto-ley 1/2012 se constituye en un problema que afecta a la sostenibilidad económica del sistema. Asimismo se afirma que las primas de régimen especial que pretende limitar el Real Decreto-</w:t>
      </w:r>
      <w:r>
        <w:lastRenderedPageBreak/>
        <w:t>ley 1/2012 no son ajenas a la gravedad del incremento del déficit tarifario o déficit estructural de ingresos de actividades reguladas, que aumenta exponencialmente desde el año 2004.</w:t>
      </w:r>
    </w:p>
    <w:p w:rsidR="0085709A" w:rsidRDefault="0085709A" w:rsidP="0085709A">
      <w:pPr>
        <w:pStyle w:val="TextoNormal"/>
      </w:pPr>
    </w:p>
    <w:p w:rsidR="0085709A" w:rsidRDefault="0085709A" w:rsidP="0085709A">
      <w:pPr>
        <w:pStyle w:val="TextoNormal"/>
      </w:pPr>
      <w:r>
        <w:t>En este contexto, el Abogado del Estado asume que la urgencia de la medida se justifica en la exposición de motivos del Real Decreto-ley al afirmarse que “en este momento se encuentran pendientes de resolución las cuatro convocatorias de pre-asignación fotovoltaica correspondientes al año 2012, por una potencia cercana a los 550 MW. En efecto, la inevitable dilación en el tiempo de la adopción de esta medida que supondría su tramitación por el cauce normativo ordinario determinaría, inevitablemente, la entrada en el sistema de 550 MW fotovoltaicos adicionales y el riesgo de un efecto llamada para aquellas tecnologías cuyos objetivos no han sido cubiertos: Cogeneración, biomasa, biogás, hidráulica y residuos”. Las anteriores afirmaciones se completan con la alegación de la existencia de un fuerte desequilibrio entre oferta y demanda de energía, habiendo sido superados con creces los objetivos del Plan de energías renovables 2005-2010, de modo que es apreciable un exceso de potencia instalada, lo que incide negativamente en el incremento del déficit porque las previsiones de costes, en parte asociadas al sistema de primas, no quedan cubiertas con los ingresos previstos; ello frena el ritmo de crecimiento de la acumulación de ese déficit, contribuyendo a dar solución al déficit que ya se ha venido acopiando. El informe de la Comisión Nacional de Energía, que igualmente se cita, estima que, de no haberse adoptado medida alguna, hubiera sido necesario incrementar los peajes (precio de la electricidad) en torno a un 10 por 100 entre el año 2012 y el 2015, lo cual sería difícilmente sostenible para los consumidores y no financiaría la totalidad del déficit acumulado.</w:t>
      </w:r>
    </w:p>
    <w:p w:rsidR="0085709A" w:rsidRDefault="0085709A" w:rsidP="0085709A">
      <w:pPr>
        <w:pStyle w:val="TextoNormal"/>
      </w:pPr>
    </w:p>
    <w:p w:rsidR="0085709A" w:rsidRDefault="0085709A" w:rsidP="0085709A">
      <w:pPr>
        <w:pStyle w:val="TextoNormal"/>
      </w:pPr>
      <w:r>
        <w:t>A partir de lo anterior, el Abogado del Estado contesta a los argumentos de la demanda afirmando que nada impide que el Real Decreto-ley incorpore normativa de carácter estructural y permanente. Descarta también la alegación de que la norma, en su aplicación a Canarias, no contribuye al objetivo de reducción del déficit tarifario. A su juicio, la suspensión del régimen primado en todo el territorio nacional constituye una medida específica del régimen económico del sector eléctrico que el Estado ha adoptado, con suficiente motivación técnica, para conseguir una congelación del sobrecoste del régimen especial a partir de 2013 y así garantizar la sostenibilidad económica y financiera del sistema eléctrico nacional.</w:t>
      </w:r>
    </w:p>
    <w:p w:rsidR="0085709A" w:rsidRDefault="0085709A" w:rsidP="0085709A">
      <w:pPr>
        <w:pStyle w:val="TextoNormal"/>
      </w:pPr>
    </w:p>
    <w:p w:rsidR="0085709A" w:rsidRDefault="0085709A" w:rsidP="0085709A">
      <w:pPr>
        <w:pStyle w:val="TextoNormal"/>
      </w:pPr>
      <w:r>
        <w:t xml:space="preserve">El Abogado del Estado responde por último a las alegaciones relacionadas con la vulneración de las competencias autonómicas en relación con el régimen minero y energético y con la planificación de la actividad económica regional, así como sobre la violación del principio de interdicción de la arbitrariedad de los poderes públicos (art. 9.3 CE) y del principio de igualdad del art. 14 CE. En cuanto a la vulneración competencial recuerda que las competencias autonómicas se encuentran limitadas por las estatales en relación con el sector eléctrico </w:t>
      </w:r>
      <w:r w:rsidRPr="0085709A">
        <w:rPr>
          <w:i/>
        </w:rPr>
        <w:t>ex</w:t>
      </w:r>
      <w:r>
        <w:t xml:space="preserve"> arts. 149.1.13 y 25 CE, que, en el presente caso, se hallan plenamente justificadas por su trascendencia para el desarrollo del país. En este caso, la competencia estatal para la fijación del régimen retributivo de las instalaciones de producción de energía eléctrica en régimen especial se ha ejercitado correctamente, sin que se haya producido afectación a competencia autonómica alguna por desconocimiento de la singularidad canaria. Por otra parte, respecto a la denuncia de que la regulación no es adecuada para Canarias, señala que el hecho de que el recurrente discrepe del nuevo régimen, no lo transforma en arbitrario ni carente de motivación, pues se trata de un mero supuesto de sucesión normativa, en el que el desigual tratamiento derivado de uno u otro régimen es una consecuencia natural de la </w:t>
      </w:r>
      <w:r>
        <w:lastRenderedPageBreak/>
        <w:t>libertad del legislador de configurar la realidad y de la necesaria evolución del ordenamiento jurídico. Sostiene que la demanda no se refiere a la arbitrariedad constitucionalmente proscrita, sino a un juicio particular sobre la oportunidad de la norma en su aplicación a Canarias. Alega también que el derecho a la igualdad no puede ser invocado por unas Comunidades Autónomas frente a otras, añadiendo que carecería de justificación excepcionar a Canarias. En cuanto a la incidencia de la norma sobre el sector canario, el Abogado del Estado destaca que se trata de una actividad regulada en la que no existe un derecho a la intangibilidad de lo que eran meras expectativas de retribución, sin perjuicio de indicar que la norma no afecta a derechos consolidados, sino a derechos futuros o esperados, sin que tampoco genere dudas en sus destinatarios sobre su ámbito de aplicación, sobre el presupuesto de hecho al que se aplica, ni sobre sus consecuencias jurídicas.</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26 de mayo de 2015 se señaló para deliberación y votación de la presente Sentencia el día 28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proceso constitucional debe resolverse el recurso de inconstitucionalidad interpuesto por el Gobierno de Canarias contra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TextoNormal"/>
      </w:pPr>
    </w:p>
    <w:p w:rsidR="0085709A" w:rsidRDefault="0085709A" w:rsidP="0085709A">
      <w:pPr>
        <w:pStyle w:val="TextoNormal"/>
      </w:pPr>
      <w:r>
        <w:t>La norma impugnada suprime los incentivos económicos para las nuevas instalaciones de producción de energía eléctrica en régimen especial y para las nuevas instalaciones en régimen ordinario de tecnologías asimilables a las incluidas en el régimen especial (art. 1.1 del Real Decreto-ley 1/2012), y suspende los procedimientos de preasignación de retribución para el otorgamiento del régimen económico primado, estableciendo en el art. 2.2 algunas particularidades en relación con los procedimientos de inscripción no conclusos, por silencio administrativo y en relación con las instalaciones no realizadas a la fecha de entrada en vigor del Real Decreto-ley.</w:t>
      </w:r>
    </w:p>
    <w:p w:rsidR="0085709A" w:rsidRDefault="0085709A" w:rsidP="0085709A">
      <w:pPr>
        <w:pStyle w:val="TextoNormal"/>
      </w:pPr>
    </w:p>
    <w:p w:rsidR="0085709A" w:rsidRDefault="0085709A" w:rsidP="0085709A">
      <w:pPr>
        <w:pStyle w:val="TextoNormal"/>
      </w:pPr>
      <w:r>
        <w:t xml:space="preserve">Como se ha expuesto en los antecedentes, el Gobierno de Canarias reclama la declaración de lo que se califica de inconstitucionalidad por omisión, dado que la norma no habría tenido en cuenta las singularidades del archipiélago canario en relación con el mercado de la electricidad. La única excepción a este planteamiento procesal la constituye la disposición derogatoria, en cuanto que la misma deja sin efecto la reglamentación específica que había dado respuesta a las particularidades de Canarias y sería, por ello, inconstitucional y nula. En cuanto a los motivos sustantivos alegados, se centran: (i) en primer lugar, en lo que se considera arbitrariedad del legislador, vedada por el art. 9.3 CE, por cuanto se entiende que el objetivo de reducción del déficit tarifario que la norma dice perseguir no se va a conseguir en el ámbito territorial de la Comunidad Autónoma; (ii) por otra parte alega que las medidas contenidas en la norma impugnada van a tener una incidencia negativa en la actividad económica regional con la consiguiente afectación de la competencia autonómica de ordenación y planificación de la economía regional; (iii) en tercer lugar se reprocha a la norma impugnada que haya desconocido las singularidades del sector eléctrico canario, en cuanto </w:t>
      </w:r>
      <w:r>
        <w:lastRenderedPageBreak/>
        <w:t>que no ha introducido las modulaciones o adaptaciones que serían necesarias para atender las peculiaridades del sistema eléctrico insular, vulnerando con ello el reconocimiento del hecho insular que deriva del art. 138.1 CE y del art. 32.9 del Estatuto de Autonomía de Canarias, y (iv)por último, se denuncia la infracción del art. 86.1 CE, pues no concurría la situación de extraordinaria y urgente necesidad para modificar normativa básica, que ha de tener un carácter estructural y permanente, y tampoco se alcanzaría en Canarias la finalidad de reducción del déficit tarifario que se dice perseguir.</w:t>
      </w:r>
    </w:p>
    <w:p w:rsidR="0085709A" w:rsidRDefault="0085709A" w:rsidP="0085709A">
      <w:pPr>
        <w:pStyle w:val="TextoNormal"/>
      </w:pPr>
    </w:p>
    <w:p w:rsidR="0085709A" w:rsidRDefault="0085709A" w:rsidP="0085709A">
      <w:pPr>
        <w:pStyle w:val="TextoNormal"/>
      </w:pPr>
      <w:r>
        <w:t>El Abogado del Estado ha defendido que las competencias estatales sobre el sector eléctrico y, en particular, sobre su régimen económico, habilitan para dictar la regulación cuestionada. Igualmente ha descartado la vulneración del art. 86.1 CE, apreciando la concurrencia de una situación de extraordinaria y urgente necesidad, explicitada tanto en el preámbulo de la norma como en el debate de convalidación, así como la del art. 9.3 CE, por entender que se trata de un supuesto de sucesión normativa en el que se introducen modificaciones en el régimen anteriormente vigente.</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 el proceso, se debe atender a la cuestión de la incidencia que modificaciones normativas posteriores a la interposición del recurso hayan podido tener sobre su pervivencia.</w:t>
      </w:r>
    </w:p>
    <w:p w:rsidR="0085709A" w:rsidRDefault="0085709A" w:rsidP="0085709A">
      <w:pPr>
        <w:pStyle w:val="TextoNormal"/>
      </w:pPr>
    </w:p>
    <w:p w:rsidR="0085709A" w:rsidRDefault="0085709A" w:rsidP="0085709A">
      <w:pPr>
        <w:pStyle w:val="TextoNormal"/>
      </w:pPr>
      <w:r>
        <w:t>A este respecto, la STC 48/2015, de 5 de marzo (FJ 2), da cuenta de las seis normas que, tras la entrada en vigor del Real Decreto-ley 1/2012, se han referido también al régimen primado de instalaciones de producción de energía eléctrica a partir de cogeneración, fuentes de energía renovables y residuos, concluyendo, tras su examen, que, pese a que ninguna de ellas deroga expresamente el Real Decreto-ley 1/2012, la norma recurrida, en tanto en cuanto hace referencia a un régimen económico primado que ya no se encuentra vigente, no se encuentra materialmente en vigor, conforme estableció la STC 183/2014, de 6 de noviembre, con fundamento en la anterior STC 96/2014, de 12 de junio, al considerar que había sido sustituida por la Ley 24/2013, de 26 de diciembre, del sector eléctrico, y sus disposiciones de desarrollo.</w:t>
      </w:r>
    </w:p>
    <w:p w:rsidR="0085709A" w:rsidRDefault="0085709A" w:rsidP="0085709A">
      <w:pPr>
        <w:pStyle w:val="TextoNormal"/>
      </w:pPr>
    </w:p>
    <w:p w:rsidR="0085709A" w:rsidRDefault="0085709A" w:rsidP="0085709A">
      <w:pPr>
        <w:pStyle w:val="TextoNormal"/>
      </w:pPr>
      <w:r>
        <w:t xml:space="preserve">La STC 96/2014, de 2 de junio, FJ 2 expone los criterios de la doctrina de este Tribunal respecto a la pérdida de objeto en los recursos de inconstitucionalidad. Tras señalar que la regla general en el ámbito de los recursos de inconstitucionalidad es que la derogación de la norma impugnada extingue su objeto, indica que no cabe dar una respuesta unívoca a esta cuestión, ya que, citando la STC 124/2003, de 19 de junio, FJ 3, señala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w:t>
      </w:r>
      <w:r>
        <w:lastRenderedPageBreak/>
        <w:t>conservar’, puede resultar útil —conveniente— su enjuiciamiento, aun cuando haya sido derogada (SSTC 160/1987, FJ 6; 385/1993, FJ 2)”.</w:t>
      </w:r>
    </w:p>
    <w:p w:rsidR="0085709A" w:rsidRDefault="0085709A" w:rsidP="0085709A">
      <w:pPr>
        <w:pStyle w:val="TextoNormal"/>
      </w:pPr>
    </w:p>
    <w:p w:rsidR="0085709A" w:rsidRDefault="0085709A" w:rsidP="0085709A">
      <w:pPr>
        <w:pStyle w:val="TextoNormal"/>
      </w:pPr>
      <w:r>
        <w:t>Esta regla general conoce, no obstante, excepciones. Así, la denunciada vulneración del art. 86.1 CE no se ve afectada por el anterior criterio, ya que, en ese caso, la derogación de la norma no impide controlar si el ejercicio de la potestad reconocida al Gobierno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183/2014, de 6 de noviembre, FJ 2 c)]. En segundo lugar, cuando lo que se discute en realidad es una controversia competencial, el Tribunal habrá de pronunciarnos sobre su titularidad en la medida en que se trate de una competencia controvertida o de que la disputa esté todavía viva [por todas, STC 204/2011, de 15 de diciembre, FJ 2 a)]. Esta circunstancia exige analizar si pervive la controversia competencial trabada sobre alguno de los preceptos impugnados en el recurso de inconstitucionalidad, tomando en consideración a este efecto la normativa que sustituyó a la impugnada.</w:t>
      </w:r>
    </w:p>
    <w:p w:rsidR="0085709A" w:rsidRDefault="0085709A" w:rsidP="0085709A">
      <w:pPr>
        <w:pStyle w:val="TextoNormal"/>
      </w:pPr>
    </w:p>
    <w:p w:rsidR="0085709A" w:rsidRDefault="0085709A" w:rsidP="0085709A">
      <w:pPr>
        <w:pStyle w:val="TextoNormal"/>
      </w:pPr>
      <w:r>
        <w:t>De acuerdo con los anteriores criterios, se examinaran las modificaciones anteriores para ver en qué medida perviven las tachas de inconstitucionalidad que les formula la demanda. Es claro que no pervive la tacha vinculada a la infracción del art. 9.3 CE, conclusión, por lo demás, ya alcanzada en la STC 48/2015, FJ 2. En cuanto al conjunto de vulneraciones competenciales que se imputan a la norma, resulta que todas ellas se basan en que la regulación impugnada desconoce las circunstancias del hecho insular, omitiendo todo reconocimiento normativo de las singularidades del archipiélago canario en relación con el mercado de la electricidad, pues esa es la consecuencia que derivaría de la uniformidad dispuesta en el Real Decreto-ley 1/2012. Por ello, a los efectos de determinar la pervivencia de la controversia, debe comprobarse si las normas que han sustituido a la aquí impugnada incurren en esa misma omisión en la que se basan todos los reproches competenciales que se formulan en la demanda.</w:t>
      </w:r>
    </w:p>
    <w:p w:rsidR="0085709A" w:rsidRDefault="0085709A" w:rsidP="0085709A">
      <w:pPr>
        <w:pStyle w:val="TextoNormal"/>
      </w:pPr>
    </w:p>
    <w:p w:rsidR="0085709A" w:rsidRDefault="0085709A" w:rsidP="0085709A">
      <w:pPr>
        <w:pStyle w:val="TextoNormal"/>
      </w:pPr>
      <w:r>
        <w:t xml:space="preserve">Así hemos de acudir a la citada Ley 24/2013, que suprime el régimen especial primado de las tecnologías de producción a partir de fuentes de energía renovables, cogeneración y residuos, estableciendo para éstas una regulación análoga a la del resto de tecnologías que se integran en el mercado, sin perjuicio que se establezcan algunas consideraciones singulares. La citada Ley establece, en suma, que el sistema de primas se sustituye por uno de retribución regulada, también denominado de retribución específica complementaria o régimen retributivo específico. En relación con los denominados sistemas eléctricos de los territorios no peninsulares, el art. 10 prevé la posibilidad de que las actividades para el suministro de energía eléctrica que se desarrollen en dichos sistemas eléctricos sean objeto de una reglamentación singular, que atenderá a las especificidades derivadas de su ubicación territorial y de su carácter aislado, previo informe de las Comunidades Autónomas o ciudades de Ceuta y Melilla afectadas, reglamentación en la que incluye “el fomento de energías renovables cuando sean técnicamente asumibles y supongan una reducción de costes del sistema en los términos previstos en el artículo 14”. En ese marco, el art. 14.4 de la Ley 24/2013 prevé la fijación de parámetros de retribución de las actividades de transporte, distribución, producción a partir de fuentes de energía renovables, cogeneración de alta eficiencia y residuos con régimen retributivo específico y producción en los sistemas eléctricos </w:t>
      </w:r>
      <w:r>
        <w:lastRenderedPageBreak/>
        <w:t>no peninsulares con régimen retributivo adicional, teniendo en cuenta la situación cíclica de la economía, de la demanda eléctrica y la rentabilidad adecuada para estas actividades por períodos regulatorios que tendrán una vigencia de seis años. Igualmente los apartados 5 y 6 de ese mismo art. 14 hacen alusión a la posible retribución adicional para la actividad de producción de energía eléctrica desarrollada en los sistemas eléctricos de los territorios no peninsulares. Además, el art. 14.7 de esta misma norma legal prevé la posibilidad, con carácter excepcional, de establecer nuevos regímenes retributivos específicos para fomentar la producción a partir de fuentes de energía renovables, cogeneración de alta eficiencia y residuos, cuando exista una obligación de cumplimiento de objetivos energéticos derivados de directivas europeas u otras normas del Derecho de la Unión Europea, o cuando su introducción suponga una reducción del coste energético y de la dependencia energética exterior, régimen en el que se prevén distintas especificidades aplicables a los sistemas eléctricos de los territorios no peninsulares.</w:t>
      </w:r>
    </w:p>
    <w:p w:rsidR="0085709A" w:rsidRDefault="0085709A" w:rsidP="0085709A">
      <w:pPr>
        <w:pStyle w:val="TextoNormal"/>
      </w:pPr>
    </w:p>
    <w:p w:rsidR="0085709A" w:rsidRDefault="0085709A" w:rsidP="0085709A">
      <w:pPr>
        <w:pStyle w:val="TextoNormal"/>
      </w:pPr>
      <w:r>
        <w:t>En desarrollo de las previsiones de la Ley 24/2013, se ha dictado el Real Decreto 413/2014, de 6 de junio, por el que se regula la actividad de producción de energía eléctrica a partir de fuentes de energía renovables, cogeneración y residuos. El art. 11.8 de dicha norma dispone que “excepcionalmente el régimen retributivo podrá incorporar un incentivo a la inversión para aquellas instalaciones de determinadas tecnologías situadas en sistemas eléctricos aislados de los territorios no peninsulares cuando supongan una reducción global del coste de generación en dichos sistemas, según lo establecido en el artículo 18” este precepto, a su vez, regula el denominado incentivo a la inversión por reducción del coste de generación que podrán percibir instalaciones de aquellas tecnologías susceptibles de ser instaladas en los sistemas eléctricos aislados de los territorios no peninsulares. Asimismo, la disposición adicional quinta, en desarrollo del art. 14.7 de la Ley 24/2013, prevé el establecimiento de un régimen retributivo específico para nuevas instalaciones eólicas y fotovoltaicas y las modificaciones de las existentes en los sistemas eléctricos de los territorios no peninsulares. Dicha disposición adicional quinta ha sido desarrollada por la Orden IET/1459/2014, de 1 de agosto, que aprueba los parámetros retributivos y establece el mecanismo de asignación del régimen retributivo específico para nuevas instalaciones eólicas y fotovoltaicas en los sistemas eléctricos de los territorios no peninsulares, norma que incluye una disposición adicional sexta referida específicamente a las instalaciones eólicas en el sistema eléctrico canario.</w:t>
      </w:r>
    </w:p>
    <w:p w:rsidR="0085709A" w:rsidRDefault="0085709A" w:rsidP="0085709A">
      <w:pPr>
        <w:pStyle w:val="TextoNormal"/>
      </w:pPr>
    </w:p>
    <w:p w:rsidR="0085709A" w:rsidRDefault="0085709A" w:rsidP="0085709A">
      <w:pPr>
        <w:pStyle w:val="TextoNormal"/>
      </w:pPr>
      <w:r>
        <w:t>Del panorama normativo que sumariamente se ha expuesto puede llegarse la conclusión de que las normas actualmente vigentes ya no plantean el problema competencial suscitado, centrado en la falta de un régimen específico y diferenciado para Canarias respecto a la producción de energía eléctrica a partir de fuentes de energía renovables, cogeneración de alta eficiencia y residuos. Las normas citadas contemplan, de diversos modos, la diferente situación de los denominados sistemas eléctricos no peninsulares. La consecuencia de lo anterior es que han desaparecido sobrevenidamente las tachas competenciales que se planteaban en el presente recurso, centradas todas ellas en la falta de un tratamiento diferenciado que, en forma de diversas regulaciones singulares, es posible encontrar en la normativa actualmente vigente.</w:t>
      </w:r>
    </w:p>
    <w:p w:rsidR="0085709A" w:rsidRDefault="0085709A" w:rsidP="0085709A">
      <w:pPr>
        <w:pStyle w:val="TextoNormal"/>
      </w:pPr>
    </w:p>
    <w:p w:rsidR="0085709A" w:rsidRDefault="0085709A" w:rsidP="0085709A">
      <w:pPr>
        <w:pStyle w:val="TextoNormal"/>
      </w:pPr>
      <w:r>
        <w:t xml:space="preserve">En suma, recapitulando cuanto hemos expuesto acerca del objeto del recurso y su pervivencia, resulta que debemos pronunciarnos únicamente acerca de la vulneración del art. 86.1 </w:t>
      </w:r>
      <w:r>
        <w:lastRenderedPageBreak/>
        <w:t>CE por falta de presupuesto habilitante que se reprocha a la totalidad del Real Decreto-ley 1/2012.</w:t>
      </w:r>
    </w:p>
    <w:p w:rsidR="0085709A" w:rsidRDefault="0085709A" w:rsidP="0085709A">
      <w:pPr>
        <w:pStyle w:val="TextoNormal"/>
      </w:pPr>
    </w:p>
    <w:p w:rsidR="0085709A" w:rsidRDefault="0085709A" w:rsidP="0085709A">
      <w:pPr>
        <w:pStyle w:val="TextoNormal"/>
      </w:pPr>
      <w:r w:rsidRPr="0085709A">
        <w:rPr>
          <w:rStyle w:val="NumeroAFNegritaCaracter"/>
        </w:rPr>
        <w:t>3</w:t>
      </w:r>
      <w:r>
        <w:t>. Esta tacha de inconstitucionalidad ha de reputarse resuelta aplicando la doctrina de la ya citada STC 48/2015, FJ 5, en la que este Tribunal consideró, por remisión a la STC 183/2014, FJ 6, que “con la motivación aportada en la exposición de motivos de la norma, en el debate de convalidación del Decreto-ley, y en la memoria de impacto normativo del Real Decreto-ley, debe darse por satisfecho el requisito de que se hayan explicado las razones de extraordinaria y urgente necesidad que han motivado la suspensión, mediante Real Decreto-ley, del sistema de asignación de incentivos económicos para las instalaciones de producción eléctrica de régimen especial, así como de inscripción de las mismas en el registro de pre-asignación de retribución”. Lo mismo sucedía con el requisito de la conexión de sentido entre las medidas adoptadas y la situación de urgencia a la que se pretende atender con su aprobación. En el fundamento jurídico 6 de la referida STC 48/2015, concluimos que “el propósito de la norma es evitar el incremento del gasto dedicado a la financiación del sistema primado, derivado de la incorporación de nuevas instalaciones a dicho sistema, para, a partir de ahí, propiciar la reducción del déficit estructural del sector eléctrico. Esto es, el Real Decreto-ley minimiza el riesgo de eventuales desviaciones al alza del déficit, lo que, como dijimos en la STC 183/2014, constituye una situación susceptible de ser abordada mediante la legislación de urgencia, constatándose una evidente conexión entre la situación de extraordinaria y urgente necesidad y las medidas adoptadas para hacerle frente”.</w:t>
      </w:r>
    </w:p>
    <w:p w:rsidR="0085709A" w:rsidRDefault="0085709A" w:rsidP="0085709A">
      <w:pPr>
        <w:pStyle w:val="TextoNormal"/>
      </w:pPr>
    </w:p>
    <w:p w:rsidR="0085709A" w:rsidRDefault="0085709A" w:rsidP="0085709A">
      <w:pPr>
        <w:pStyle w:val="TextoNormal"/>
      </w:pPr>
      <w:r>
        <w:t>La conclusión ya alcanzada en la STC 48/2015 no puede verse desvirtuada por las alegaciones de la representación procesal del Gobierno de Canarias. Por un lado, ningún impedimento existe a la posibilidad de modificar las bases mediante la legislación de urgencia, dada la tradicional aceptación de que los decretos-leyes pueden contener normas básicas dictadas en ejercicio de las competencias estatales (por todas, STC 170/2012, de 4 de octubre, FJ 9 y doctrina allí citada). Por otro, la queja relacionada con el efecto que la norma iba a producir en Canarias expresa la legítima discrepancia con la medida adoptada por el Gobierno pero, en cuanto tal, no puede ser apreciada por este Tribunal pues, como recuerda la STC 47/2015, de 5 de marzo, FJ 3, con cita de doctrina anterior, “en cuanto a la configuración de nuestro cometido en relación con los decretos-leyes, hemos afirmado que el control que corresponde al Tribunal Constitucional en este punto es un control externo, en el sentido de que debe verificar, pero no sustituir, el juicio político o de oportunidad que corresponde al Gobierno”.</w:t>
      </w:r>
    </w:p>
    <w:p w:rsidR="0085709A" w:rsidRDefault="0085709A" w:rsidP="0085709A">
      <w:pPr>
        <w:pStyle w:val="TextoNormal"/>
      </w:pPr>
    </w:p>
    <w:p w:rsidR="0085709A" w:rsidRDefault="0085709A" w:rsidP="0085709A">
      <w:pPr>
        <w:pStyle w:val="TextoNormal"/>
      </w:pPr>
      <w:r>
        <w:t>Procede, por tanto, desestimar el recurso en este punto.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 xml:space="preserve">1º Declarar la pérdida sobrevenida del objeto del recurso, en lo que se refiere a la vulneración de los arts. 9.3 y 138.1 CE así como de los arts. 30.26, 31.4 y 32.9 del Estatuto de </w:t>
      </w:r>
      <w:r>
        <w:lastRenderedPageBreak/>
        <w:t>Autonomía de Canarias, por parte del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w:t>
      </w:r>
    </w:p>
    <w:p w:rsidR="0085709A" w:rsidRDefault="0085709A" w:rsidP="0085709A">
      <w:pPr>
        <w:pStyle w:val="TextoNormal"/>
      </w:pPr>
    </w:p>
    <w:p w:rsidR="0085709A" w:rsidRDefault="0085709A" w:rsidP="0085709A">
      <w:pPr>
        <w:pStyle w:val="TextoNormal"/>
      </w:pPr>
      <w:r>
        <w:t>2º Desestimar el recurso de inconstitucionalidad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0" w:name="SENTENCIA_2015_107"/>
      <w:r>
        <w:lastRenderedPageBreak/>
        <w:t>SENTENCIA 107/2015, de 28 de mayo de 2015</w:t>
      </w:r>
    </w:p>
    <w:bookmarkEnd w:id="110"/>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ECLI:ES:TC:2015:107</w:t>
      </w:r>
    </w:p>
    <w:p w:rsidR="0085709A" w:rsidRDefault="0085709A" w:rsidP="0085709A">
      <w:pPr>
        <w:pStyle w:val="TextoNormalCentrado"/>
      </w:pPr>
    </w:p>
    <w:p w:rsidR="0085709A" w:rsidRDefault="0085709A" w:rsidP="0085709A">
      <w:pPr>
        <w:pStyle w:val="SntesisDescriptiva"/>
      </w:pPr>
      <w:r>
        <w:t>Recurso de inconstitucionalidad 7279-2012. Interpuesto por el Presidente del Gobierno frente al Decreto-ley de Cataluña 5/2012, de 18 de diciembre, del impuesto sobre los depósitos en las entidades de crédito.</w:t>
      </w:r>
    </w:p>
    <w:p w:rsidR="0085709A" w:rsidRDefault="0085709A" w:rsidP="0085709A">
      <w:pPr>
        <w:pStyle w:val="SntesisDescriptiva"/>
      </w:pPr>
    </w:p>
    <w:p w:rsidR="0085709A" w:rsidRDefault="0085709A" w:rsidP="0085709A">
      <w:pPr>
        <w:pStyle w:val="SntesisAnaltica"/>
      </w:pPr>
      <w:r>
        <w:t>Límites a los decretos-leyes autonómicos: nulidad del decreto-ley que, vulnerando las limitaciones establecidas por el Estatuto de Autonomía, crea un tributo autonómico (STC 93/2015).</w:t>
      </w:r>
    </w:p>
    <w:p w:rsidR="0085709A" w:rsidRDefault="0085709A" w:rsidP="0085709A">
      <w:pPr>
        <w:pStyle w:val="SntesisAnaltica"/>
      </w:pPr>
    </w:p>
    <w:p w:rsidR="0085709A" w:rsidRDefault="0085709A" w:rsidP="0085709A">
      <w:pPr>
        <w:pStyle w:val="Extracto"/>
      </w:pPr>
      <w:r>
        <w:t>1.</w:t>
      </w:r>
      <w:r>
        <w:tab/>
        <w:t>El Decreto-ley impugnado crea, como impuesto propio de la Generalitat de Cataluña, el impuesto sobre los depósitos en las entidades de crédito, que grava los depósitos efectuados por los clientes en las entidades de crédito, por cualquier negocio y variedad jurídica, siempre que comporten la obligación de restitución; y, al establecer</w:t>
      </w:r>
      <w:r w:rsidRPr="0085709A">
        <w:rPr>
          <w:i/>
        </w:rPr>
        <w:t xml:space="preserve"> ex novo </w:t>
      </w:r>
      <w:r>
        <w:t>este impuesto propio, el Decreto-ley 5/2012 ha infringido la exigencia estatutaria de que la Generalitat cree tributos propios mediante ley del Parlamento, como garantía instrumental de la supremacía financiera de la Cámara y del principio democrático [FJ 3].</w:t>
      </w:r>
    </w:p>
    <w:p w:rsidR="0085709A" w:rsidRDefault="0085709A" w:rsidP="0085709A">
      <w:pPr>
        <w:pStyle w:val="Extracto"/>
      </w:pPr>
    </w:p>
    <w:p w:rsidR="0085709A" w:rsidRDefault="0085709A" w:rsidP="0085709A">
      <w:pPr>
        <w:pStyle w:val="Extracto"/>
      </w:pPr>
      <w:r>
        <w:t>2.</w:t>
      </w:r>
      <w:r>
        <w:tab/>
        <w:t>La Constitución y los Estatutos de Autonomía imponen límites materiales al Decreto-ley con el fin de preservar la posición central del Parlamento dentro del sistema constitucional y asegurar con ello que las regulaciones que afectan al ámbito vital de las personas dependan exclusivamente de la voluntad de sus representantes (STC 19/1987) [FJ 2].</w:t>
      </w:r>
    </w:p>
    <w:p w:rsidR="0085709A" w:rsidRDefault="0085709A" w:rsidP="0085709A">
      <w:pPr>
        <w:pStyle w:val="Extracto"/>
      </w:pPr>
    </w:p>
    <w:p w:rsidR="0085709A" w:rsidRDefault="0085709A" w:rsidP="0085709A">
      <w:pPr>
        <w:pStyle w:val="Extracto"/>
      </w:pPr>
      <w:r>
        <w:t>3.</w:t>
      </w:r>
      <w:r>
        <w:tab/>
        <w:t>La Constitución no impide que los Estatutos de Autonomía atribuyan a los Gobiernos autonómicos la potestad normativa excepcional de aprobar decretos-leyes; ahora bien, por virtud del principio democrático ex art. 1.1 CE, los límites formales y materiales que afectan al decreto-ley autonómico son como mínimo los que la Constitución impone al Decreto-ley estatal (art. 86.1 CE), de forma que el Estatuto puede sólo añadir cautelas o exclusiones adicionales a fin de preservar más intensamente la posición del parlamento autonómico (STC 93/2015) [FJ 2].</w:t>
      </w:r>
    </w:p>
    <w:p w:rsidR="0085709A" w:rsidRDefault="0085709A" w:rsidP="0085709A">
      <w:pPr>
        <w:pStyle w:val="Extracto"/>
      </w:pPr>
    </w:p>
    <w:p w:rsidR="0085709A" w:rsidRDefault="0085709A" w:rsidP="0085709A">
      <w:pPr>
        <w:pStyle w:val="Extracto"/>
      </w:pPr>
      <w:r>
        <w:t>4.</w:t>
      </w:r>
      <w:r>
        <w:tab/>
        <w:t xml:space="preserve">La exigencia en materia tributaria de ley formal aprobada en el Parlamento está en los orígenes mismos del parlamentarismo </w:t>
      </w:r>
      <w:r w:rsidRPr="0085709A">
        <w:rPr>
          <w:i/>
        </w:rPr>
        <w:t>(‘no taxation without representation’</w:t>
      </w:r>
      <w:r>
        <w:t>); y es a través de ella como se asegura el principio democrático y la supremacía financiera del Parlamento mediante la participación de los ciudadanos en el establecimiento del sistema tributario (STC 182/1997) [FJ 2].</w:t>
      </w:r>
    </w:p>
    <w:p w:rsidR="0085709A" w:rsidRDefault="0085709A" w:rsidP="0085709A">
      <w:pPr>
        <w:pStyle w:val="Extracto"/>
      </w:pPr>
    </w:p>
    <w:p w:rsidR="0085709A" w:rsidRDefault="0085709A" w:rsidP="0085709A">
      <w:pPr>
        <w:pStyle w:val="Extracto"/>
      </w:pPr>
      <w:r>
        <w:t>5.</w:t>
      </w:r>
      <w:r>
        <w:tab/>
        <w:t>La Constitución fija una reserva de ley tributaria frente a la potestad reglamentaria en su art. 31.3 y el decreto-ley, en tanto que norma con rango de ley, es un instrumento idóneo para cumplir esta reserva legal, sin que el art. 31.3 CE impida que la regulación fiscal se adopte mediante el procedimiento de urgencia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7279-2012, interpuesto por el Presidente del Gobierno, contra el Decreto-ley de Cataluña 5/2012, de 18 de diciembre, del impuesto sobre los depósitos en las entidades de crédito. Han intervenido y formulado alegaciones la Generalitat y el Parlamento de Cataluña. Ha sido Ponente el Magistrado don Andrés Ollero Tassara, que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28 de diciembre de 2012 tuvo entrada en el Registro General de este Tribunal un escrito del Abogado del Estado, en nombre del Presidente del Gobierno, por el que interpone un recurso de inconstitucionalidad contra el Decreto-ley de Cataluña 5/2012, de 18 de diciembre, del impuesto sobre los depósitos en las entidades de crédito (en adelante, Decreto-ley 5/2012), haciendo invocación del art. 161.2 CE a fin de que se produzca la suspensión de la norma impugnada en el presente recurso de inconstitucionalidad.</w:t>
      </w:r>
    </w:p>
    <w:p w:rsidR="0085709A" w:rsidRDefault="0085709A" w:rsidP="0085709A">
      <w:pPr>
        <w:pStyle w:val="TextoNormal"/>
      </w:pPr>
    </w:p>
    <w:p w:rsidR="0085709A" w:rsidRDefault="0085709A" w:rsidP="0085709A">
      <w:pPr>
        <w:pStyle w:val="TextoNormal"/>
      </w:pPr>
      <w:r>
        <w:t>Comienza el alegato describiendo el impuesto creado por la Generalitat de Cataluña, sobre los depósitos en las entidades de crédito, de naturaleza directa, y que “grava los depósitos efectuados por los clientes en las entidades de crédito, por cualquier negocio y variedad jurídica, siempre que comporten la obligación de restitución” (art. 1 Decreto-ley 5/2012).</w:t>
      </w:r>
    </w:p>
    <w:p w:rsidR="0085709A" w:rsidRDefault="0085709A" w:rsidP="0085709A">
      <w:pPr>
        <w:pStyle w:val="TextoNormal"/>
      </w:pPr>
    </w:p>
    <w:p w:rsidR="0085709A" w:rsidRDefault="0085709A" w:rsidP="0085709A">
      <w:pPr>
        <w:pStyle w:val="TextoNormal"/>
      </w:pPr>
      <w:r>
        <w:t>Tras exponer de forma sucinta los principales elementos del tributo, afirma que es un tributo análogo al establecido por la Ley de la Asamblea de Extremadura 14/2001, de 29 noviembre, reguladora del impuesto sobre depósitos de las entidades de crédito, en la actualidad recogido en el título IV del Decreto Legislativo 2/2006, de 12 diciembre, por el que se aprueba el texto refundido de las disposiciones legales de la Comunidad Autónoma de Extremadura en materia de tributos propios. Este tributo fue declarado compatible con la Ley Orgánica 8/1980, de 22 septiembre, de financiación de las Comunidades Autónomas (LOFCA) en la STC 210/2012, de 14 noviembre. Sin embargo, el Decreto-ley 5/2012 plantea cuestiones sobre las que no se pronunció dicha Sentencia y que determinan la inconstitucionalidad de la norma de urgencia que ahora se impugna, además de que el Estado ha aprobado la Ley 16/2012, de 27 diciembre, por la que se adoptan diversas medidas tributa</w:t>
      </w:r>
      <w:r>
        <w:lastRenderedPageBreak/>
        <w:t>rias dirigidas a la consolidación de las finanzas públicas y al impulso de la actividad económica, estableciendo un impuesto estatal absolutamente análogo al autonómico previsto en la norma que ahora se impugna.</w:t>
      </w:r>
    </w:p>
    <w:p w:rsidR="0085709A" w:rsidRDefault="0085709A" w:rsidP="0085709A">
      <w:pPr>
        <w:pStyle w:val="TextoNormal"/>
      </w:pPr>
    </w:p>
    <w:p w:rsidR="0085709A" w:rsidRDefault="0085709A" w:rsidP="0085709A">
      <w:pPr>
        <w:pStyle w:val="TextoNormal"/>
      </w:pPr>
      <w:r>
        <w:t>A partir de lo anterior, considera que la norma autonómica impugnada es inconstitucional por cuatro motivos; porque falta la concurrencia del presupuesto habilitante que justifique el dictado del citado Decreto-ley, porque la regulación del mismo aborda materias vedadas a este tipo de normas, por infracción del art. 6.2 LOFCA y, finalmente, por prever la norma una retroactividad que infringe el art. 9.3 CE.</w:t>
      </w:r>
    </w:p>
    <w:p w:rsidR="0085709A" w:rsidRDefault="0085709A" w:rsidP="0085709A">
      <w:pPr>
        <w:pStyle w:val="TextoNormal"/>
      </w:pPr>
    </w:p>
    <w:p w:rsidR="0085709A" w:rsidRDefault="0085709A" w:rsidP="0085709A">
      <w:pPr>
        <w:pStyle w:val="TextoNormal"/>
      </w:pPr>
      <w:r>
        <w:t>a) En relación con la ausencia del presupuesto habilitante, como cuestión previa se refiere el escrito a la aplicación del art. 86 CE a las Comunidades Autónomas, precepto que si bien se refiere a los decretos-leyes estatales, podría ser de aplicación a las normas autonómicas en virtud de la doctrina contenida en la STC 3/2003, de 16 enero, FJ 6, que se refiere a la aplicación de las normas constitucionales relativas a la elaboración, examen, enmienda y aprobación de los presupuestos generales del Estado contenidas en el art. 134 CE a los presupuestos autonómicos. Ahora bien, no siendo automática la traslación de la regulación constitucional del art. 86 CE a las Comunidades Autónomas, a partir de la doctrina anterior, es preciso determinar cuáles son las “reglas y principios constitucionales” aplicables al dictado de normas de urgencia por los gobiernos autonómicos.</w:t>
      </w:r>
    </w:p>
    <w:p w:rsidR="0085709A" w:rsidRDefault="0085709A" w:rsidP="0085709A">
      <w:pPr>
        <w:pStyle w:val="TextoNormal"/>
      </w:pPr>
    </w:p>
    <w:p w:rsidR="0085709A" w:rsidRDefault="0085709A" w:rsidP="0085709A">
      <w:pPr>
        <w:pStyle w:val="TextoNormal"/>
      </w:pPr>
      <w:r>
        <w:t>Se refiere, a continuación, al art. 64 del Estatuto de Autonomía de Cataluña (EAC, en lo que sigue), tras la reforma operada por Ley Orgánica 6/2006, de 19 julio, cuyo contraste con el art. 86 CE permite concluir que la redacción es prácticamente idéntica en lo que se refiere al presupuesto habilitante, por lo que es posible aplicar en este supuesto la extensa doctrina constitucional referida a las normas de urgencia.</w:t>
      </w:r>
    </w:p>
    <w:p w:rsidR="0085709A" w:rsidRDefault="0085709A" w:rsidP="0085709A">
      <w:pPr>
        <w:pStyle w:val="TextoNormal"/>
      </w:pPr>
    </w:p>
    <w:p w:rsidR="0085709A" w:rsidRDefault="0085709A" w:rsidP="0085709A">
      <w:pPr>
        <w:pStyle w:val="TextoNormal"/>
      </w:pPr>
      <w:r>
        <w:t xml:space="preserve">Dicha doctrina, que se sintetiza en el escrito con cita de, entre otras, las SSTC 137/2011, de 14 septiembre, FJ 4, y 1/2012, de 13 enero, FJ 6, permite concluir que no concurre en este caso el presupuesto habilitante, toda vez que el preámbulo del Decreto-ley 5/2012 sólo recoge expresiones genéricas para justificar la urgencia tales como que “el actual contexto económico financiero y la consecución de las medidas de reequilibrio adoptadas obligan al Gobierno de la Generalitat de Cataluña a tomar importantes decisiones en materia tributaria”. Siendo innegable la gravedad de la crisis, ello no significa que su simple apelación baste para justificar la concurrencia del presupuesto, pues “de no ser así habríamos de llegar a la inconstitucional conclusión de que, en épocas de grave crisis económica, los Parlamentos quedan reducidos, en el ejercicio de la potestad legislativa, a convalidar las normas de urgencia del Gobierno y a aprobar aquellas leyes constitucional y estatutariamente vedadas al legislador de urgencia”. Añade que no sólo la norma impugnada no hace ningún esfuerzo por justificar numéricamente cómo la crisis ha incidido en las cuentas públicas catalanas, sino que en realidad la verdadera urgencia en la aprobación del Decreto-ley 5/2012 parece radicar en la introducción, mediante la enmienda 169 en el Senado (“Boletín Oficial de las Cortes Generales” de 4 diciembre 2012) en el proyecto estatal de ley por la que se adoptan diversas medidas tributarias, de un capítulo XI en cuyo art. 19 se regula el impuesto sobre los depósitos en las entidades de crédito, que según se desprende de su tenor resulta, en todos sus elementos configuradores, análogo a los tributos autonómicos que habían gravado este mismo hecho imponible. Dado que desde el 4 diciembre 2012 era conocida dicha enmienda, cuyo contenido tuvo además repercusión mediática, es la misma la que pretendería </w:t>
      </w:r>
      <w:r>
        <w:lastRenderedPageBreak/>
        <w:t>justificar la urgencia. Añade en este punto, en las páginas 12 y 13 del escrito, referencias a las declaraciones del Gobierno de la Generalitat de Cataluña, cuyo portavoz afirmó que la aprobación del Decreto-ley 5/2012 buscaba “blindar” el espacio fiscal de la Generalitat.</w:t>
      </w:r>
    </w:p>
    <w:p w:rsidR="0085709A" w:rsidRDefault="0085709A" w:rsidP="0085709A">
      <w:pPr>
        <w:pStyle w:val="TextoNormal"/>
      </w:pPr>
    </w:p>
    <w:p w:rsidR="0085709A" w:rsidRDefault="0085709A" w:rsidP="0085709A">
      <w:pPr>
        <w:pStyle w:val="TextoNormal"/>
      </w:pPr>
      <w:r>
        <w:t>Faltando así el presupuesto habilitante, concluye que el Decreto-ley 5/2012 resulta inconstitucional por infracción de los arts. 86.1 CE y 64.1 EAC.</w:t>
      </w:r>
    </w:p>
    <w:p w:rsidR="0085709A" w:rsidRDefault="0085709A" w:rsidP="0085709A">
      <w:pPr>
        <w:pStyle w:val="TextoNormal"/>
      </w:pPr>
    </w:p>
    <w:p w:rsidR="0085709A" w:rsidRDefault="0085709A" w:rsidP="0085709A">
      <w:pPr>
        <w:pStyle w:val="TextoNormal"/>
      </w:pPr>
      <w:r>
        <w:t>b) En segundo lugar, considera el alegato que se vulneran con la norma impugnada los límites materiales del Decreto-ley.</w:t>
      </w:r>
    </w:p>
    <w:p w:rsidR="0085709A" w:rsidRDefault="0085709A" w:rsidP="0085709A">
      <w:pPr>
        <w:pStyle w:val="TextoNormal"/>
      </w:pPr>
    </w:p>
    <w:p w:rsidR="0085709A" w:rsidRDefault="0085709A" w:rsidP="0085709A">
      <w:pPr>
        <w:pStyle w:val="TextoNormal"/>
      </w:pPr>
      <w:r>
        <w:t>Comienza por referirse a la divergencia entre los arts. 86.1 CE y 64.1 EAC, de suerte que este último, a diferencia del precepto constitucional, no hace referencia, como límite a este tipo de normas, al ordenamiento de las instituciones básicas del Estado ni a los derechos, deberes y libertades de los ciudadanos regulados en el título I CE. Ahora bien, esto no significa que por decreto-ley autonómico se pueda hacer más de lo que se puede hacer por decreto ley estatal, pues el art. 64.1 EAC, al prohibir que el decreto-ley tenga por objeto las materias reservadas a “leyes de desarrollo básico”, impide que la norma de urgencia autonómica regule lo que el legislador estatutario ha identificado como las instituciones básicas autonómicas.</w:t>
      </w:r>
    </w:p>
    <w:p w:rsidR="0085709A" w:rsidRDefault="0085709A" w:rsidP="0085709A">
      <w:pPr>
        <w:pStyle w:val="TextoNormal"/>
      </w:pPr>
    </w:p>
    <w:p w:rsidR="0085709A" w:rsidRDefault="0085709A" w:rsidP="0085709A">
      <w:pPr>
        <w:pStyle w:val="TextoNormal"/>
      </w:pPr>
      <w:r>
        <w:t>Por lo que se refiere a la interdicción, contenida en el art. 86.1 CE, de que una norma de urgencia pueda afectar a los derechos, deberes y libertades del título I CE, la misma debe ser también aplicable a un decreto-ley autonómico, sin que obste a esta conclusión el hecho de que el título I del Estatuto de Autonomía de Cataluña no se refiera a los mismos derechos que la Constitución. En concreto, es notorio que el deber de contribuir, al que afecta de forma directa el Decreto-ley 5/2012, no se encuentra entre los derechos, deberes y principios rectores que no podrían ser objeto de desarrollo directo mediante un Decreto-ley según lo que dispone el art. 64.1 EAC. Sin embargo, la jurisprudencia precisamente sobre el Estatuto de Autonomía de Cataluña y en concreto la STC 31/2010, de 28 junio, declaró en sus FFJJ 16 a 18 que ni el Estatuto ha creado derechos fundamentales distintos de los proclamados en la Constitución o en contradicción con ellos, ni ha podido afectar al régimen de tales derechos en lo que hace a su titularidad, regulación y condiciones de ejercicio.</w:t>
      </w:r>
    </w:p>
    <w:p w:rsidR="0085709A" w:rsidRDefault="0085709A" w:rsidP="0085709A">
      <w:pPr>
        <w:pStyle w:val="TextoNormal"/>
      </w:pPr>
    </w:p>
    <w:p w:rsidR="0085709A" w:rsidRDefault="0085709A" w:rsidP="0085709A">
      <w:pPr>
        <w:pStyle w:val="TextoNormal"/>
      </w:pPr>
      <w:r>
        <w:t xml:space="preserve">Concluye a partir de lo anterior la inconstitucionalidad del Decreto-ley 5/2012, toda vez que al crear un nuevo impuesto autonómico se incide en el deber fundamental de contribuir consagrado en el art. 31 CE. Recoge a continuación la doctrina en relación con el deber de contribuir al sostenimiento de los gastos públicos y la aptitud del decreto-ley para incidir en el ámbito de ese deber, con cita, entre otras, de la STC 100/2012, de 8 de mayo. Tras exponer de forma pormenorizada las principales conclusiones de la doctrina constitucional sobre el empleo del decreto-ley en materia tributaria, concluye que en todos los casos se trataba de supuestos en que el legislador estatal de urgencia introducía modificaciones en tributos ya existentes, de manera que ésta es la primera vez que el Tribunal debe pronunciarse sobre el establecimiento </w:t>
      </w:r>
      <w:r w:rsidRPr="0085709A">
        <w:rPr>
          <w:i/>
        </w:rPr>
        <w:t>ex novo</w:t>
      </w:r>
      <w:r>
        <w:t xml:space="preserve"> de un impuesto y la regulación completa del mismo por un decreto-ley. Pues bien, la doctrina constitucional es unánime en que el decreto-ley no puede utilizarse para crear una figura tributaria nueva, toda vez que el establecimiento de un nuevo impuesto afecta siempre, por sí mismo, a la configuración del sistema o subsistema tributario en el que se inserta, comprometiendo además la capacidad económica de los sujetos </w:t>
      </w:r>
      <w:r>
        <w:lastRenderedPageBreak/>
        <w:t>obligados al pago. Añade que el art. 203.5 EAC dispone que la Generalitat ostenta la competencia para establecer “mediante una ley del Parlamento” sus tributos propios, de manera que el propio Estatuto impide expresamente el establecimiento por decreto-ley de un tributo propio de la Comunidad Autónoma, reforzando así la interpretación que se sostiene en este escrito en relación con el art. 64.1 EAC.</w:t>
      </w:r>
    </w:p>
    <w:p w:rsidR="0085709A" w:rsidRDefault="0085709A" w:rsidP="0085709A">
      <w:pPr>
        <w:pStyle w:val="TextoNormal"/>
      </w:pPr>
    </w:p>
    <w:p w:rsidR="0085709A" w:rsidRDefault="0085709A" w:rsidP="0085709A">
      <w:pPr>
        <w:pStyle w:val="TextoNormal"/>
      </w:pPr>
      <w:r>
        <w:t>En conclusión, el Decreto-ley 5/2012 resulta inconstitucional por infringir el art. 86.1 CE y los arts. 64.1 y 203.5 EAC.</w:t>
      </w:r>
    </w:p>
    <w:p w:rsidR="0085709A" w:rsidRDefault="0085709A" w:rsidP="0085709A">
      <w:pPr>
        <w:pStyle w:val="TextoNormal"/>
      </w:pPr>
    </w:p>
    <w:p w:rsidR="0085709A" w:rsidRDefault="0085709A" w:rsidP="0085709A">
      <w:pPr>
        <w:pStyle w:val="TextoNormal"/>
      </w:pPr>
      <w:r>
        <w:t xml:space="preserve">c) En tercer lugar, la demanda considera infringido el art. 6.2 LOFCA, partiendo de la doctrina contenida en las SSTC 122/2012, de 5 junio, y 210/2012, de 14 noviembre. Tras exponer detalladamente las principales conclusiones contenidas en estas Sentencias y otras citadas, se refiere el escrito a la Ley 16/2012, de 27 diciembre, por la que se adoptan diversas medidas tributarias dirigidas a la consolidación de las finanzas públicas y al impulso de la actividad económica, que en el momento de la redacción del escrito se encontraba aún en tramitación parlamentaria, si bien es de esperar, afirma el escrito, que en el momento en el que el Tribunal Constitucional deba abordar el presente proceso, dicha ley estatal ya estará en vigor. En consecuencia, y en aplicación de la doctrina del </w:t>
      </w:r>
      <w:r w:rsidRPr="0085709A">
        <w:rPr>
          <w:i/>
        </w:rPr>
        <w:t>ius superveniens</w:t>
      </w:r>
      <w:r>
        <w:t>, la norma estatal será parámetro de constitucionalidad.</w:t>
      </w:r>
    </w:p>
    <w:p w:rsidR="0085709A" w:rsidRDefault="0085709A" w:rsidP="0085709A">
      <w:pPr>
        <w:pStyle w:val="TextoNormal"/>
      </w:pPr>
    </w:p>
    <w:p w:rsidR="0085709A" w:rsidRDefault="0085709A" w:rsidP="0085709A">
      <w:pPr>
        <w:pStyle w:val="TextoNormal"/>
      </w:pPr>
      <w:r>
        <w:t>A continuación se refiere a la completa identidad entre el impuesto autonómico impugnado y el impuesto regulado en el art. 19 de la Ley estatal de pronta aprobación, lo que permite concluir la inconstitucionalidad de la norma autonómica impugnada por infracción de los arts. 133 y 157.3 CE y el art. 6.2 LOFCA.</w:t>
      </w:r>
    </w:p>
    <w:p w:rsidR="0085709A" w:rsidRDefault="0085709A" w:rsidP="0085709A">
      <w:pPr>
        <w:pStyle w:val="TextoNormal"/>
      </w:pPr>
    </w:p>
    <w:p w:rsidR="0085709A" w:rsidRDefault="0085709A" w:rsidP="0085709A">
      <w:pPr>
        <w:pStyle w:val="TextoNormal"/>
      </w:pPr>
      <w:r>
        <w:t>d) Finalmente, considera que se infringe el principio de seguridad jurídica del art. 9.3 CE al prever la norma impugnada un supuesto de retroactividad. Se refiere de forma sucinta a la doctrina constitucional, con cita, entre otras, de las SSTC 182/1997, de 28 octubre, FJ 11 d), y 100/2012, de 8 de mayo, FJ 10, y concluye que la disposición adicional segunda del Decreto-ley 5/2012, que establece que el impuesto será exigible desde el 1 de octubre de 2012, parece dar a entender, aunque su redacción es confusa, que los sujetos pasivos deben suministrar información a la Agencia Tributaria de Cataluña del trimestre iniciado el 1 de octubre de 2012 a efectos de poder presentar autoliquidación según el modelo que apruebe la misma Agencia antes del 20 febrero 2013, autoliquidación del último trimestre de 2012 que deberá efectuarse antes del 31 marzo 2013.</w:t>
      </w:r>
    </w:p>
    <w:p w:rsidR="0085709A" w:rsidRDefault="0085709A" w:rsidP="0085709A">
      <w:pPr>
        <w:pStyle w:val="TextoNormal"/>
      </w:pPr>
    </w:p>
    <w:p w:rsidR="0085709A" w:rsidRDefault="0085709A" w:rsidP="0085709A">
      <w:pPr>
        <w:pStyle w:val="TextoNormal"/>
      </w:pPr>
      <w:r>
        <w:t xml:space="preserve">Pues bien, si esto es así, se trata de un supuesto de retroactividad propia, ya que se crea sorpresivamente un nuevo impuesto y se exige desde un momento anterior a la entrada en vigor de la norma, lo que supone una diferencia sustancial del supuesto examinado en la STC 176/2011, en la que se declaró que una modificación del impuesto sobre la renta de las personas físicas realizada durante el período impositivo en curso, pero antes el devengo, constituía una retroactividad impropia. En este caso, se crea un impuesto de forma sorpresiva sin que hubiera ningún indicio previo que anunciara su imposición, de manera que incluso si se tratara de una retroactividad de grado medio o impropia, sólo podría ser conforme a la Constitución si existieran claras exigencias de interés general que justificaran que el principio de seguridad jurídica deba ceder ante otros bienes o derechos constitucionalmente protegidos, lo que no sucede aquí toda vez que la finalidad confesa de blindar el espacio fiscal autonómico frente a la regulación estatal no entraña ningún interés general </w:t>
      </w:r>
      <w:r>
        <w:lastRenderedPageBreak/>
        <w:t>que exija el sacrificio del principio constitucional de seguridad jurídica que protege a los destinatarios del Decreto-ley 5/2012, por lo que concluye que la disposición adicional segunda del mismo incurre en una inconstitucionalidad adicional por infracción del art. 9.3 CE.</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15 de enero de 2013 el Pleno del Tribunal Constitucional, a propuesta de la Sección Segunda, acordó admitir a trámite el recurso de inconstitucionalidad y dar traslado de la demanda y documentos presentados, conforme establece el art. 34 LOTC, al Congreso de los Diputados y al Senado así como a la Generalitat de Cataluña y al Parlamento de Cataluña, por conducto de sus Presidentes, al objeto de que en el plazo de quince días pudieran personarse en el proceso y formular las alegaciones que estimaren convenientes. Asimismo, se tuvo por invocado por el Presidente del Gobierno el art. 161.2 de la Ley Orgánica del Tribunal Constitucional (LOTC,) lo que, a su tenor y conforme dispone el art. 30 LOTC, produce la suspensión de la vigencia y aplicación de los preceptos impugnados desde la fecha de interposición del recurso —28 de diciembre de 2012— para las partes del proceso y desde el día en que aparezca publicada la suspensión en el “Boletín Oficial del Estado” para los terceros, lo que se comunicó a los Presidentes del Gobierno de la Generalitat de Cataluña y del Parlamento de Cataluña. Por último, también se ordenó publicar la incoación del recurso en el “Boletín Oficial del Estado” y en el “Diari Oficial de la Generalitat de Cataluña”.</w:t>
      </w:r>
    </w:p>
    <w:p w:rsidR="0085709A" w:rsidRDefault="0085709A" w:rsidP="0085709A">
      <w:pPr>
        <w:pStyle w:val="TextoNormal"/>
      </w:pPr>
    </w:p>
    <w:p w:rsidR="0085709A" w:rsidRDefault="0085709A" w:rsidP="0085709A">
      <w:pPr>
        <w:pStyle w:val="TextoNormal"/>
      </w:pPr>
      <w:r w:rsidRPr="0085709A">
        <w:rPr>
          <w:rStyle w:val="NumeroAFNegritaCaracter"/>
        </w:rPr>
        <w:t>3</w:t>
      </w:r>
      <w:r>
        <w:t>. El Presidente del Congreso de los Diputados, mediante escrito registrado el día 25 de enero de 2013, comunicó que la Mesa de la Cámara, en su reunión de ese mismo día, había acordado que la Cámara se personase en este procedimiento y ofrecer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4</w:t>
      </w:r>
      <w:r>
        <w:t>. El 25 de enero de 2013 se registró en el Tribunal Constitucional el escrito del Letrado del Parlamento de Cataluña, en la representación que legalmente ostenta, comunicando el acuerdo de la Mesa del Parlamento de 17 de enero de 2013 por el que el Parlamento ha decidido personarse en el presente proceso, y solicitando que, teniéndosele efectivamente por personado, se conceda a la representación letrada una prórroga del plazo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Por providencia de 29 de enero de 2013 el Pleno del Tribunal acuerda la incorporación a las actuaciones del escrito que presenta el Letrado del Parlamento de Cataluña a quien se tiene por personado, concediendo asimismo una prórroga en ocho días más del plazo concedido por providencia de 15 de enero.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registrado el 30 de enero de 2013, el Presidente del Senado comunicó que la Cámara se personaba en el proceso,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el 5 de febrero de 2013, los Abogados de la Generalitat de Cataluña presentaron sus alegaciones interesando la desestimación íntegra del recurso de inconstitucionalidad.</w:t>
      </w:r>
    </w:p>
    <w:p w:rsidR="0085709A" w:rsidRDefault="0085709A" w:rsidP="0085709A">
      <w:pPr>
        <w:pStyle w:val="TextoNormal"/>
      </w:pPr>
    </w:p>
    <w:p w:rsidR="0085709A" w:rsidRDefault="0085709A" w:rsidP="0085709A">
      <w:pPr>
        <w:pStyle w:val="TextoNormal"/>
      </w:pPr>
      <w:r>
        <w:lastRenderedPageBreak/>
        <w:t>Parten en sus alegaciones del relato de las circunstancias que determinaron la aprobación del Decreto-ley 5/2012, con extensa referencia a la actual coyuntura económica y en concreto a la necesidad que tenía esta Comunidad Autónoma de garantizar la prestación de los servicios públicos. Coinciden con el Abogado del Estado en que este tributo es análogo al establecido por la Ley de la Asamblea de Extremadura 14/2001, de 29 noviembre, siendo también equivalente al que establecieron el art. 6 de la Ley de Andalucía 11/2010, de 3 diciembre; el art. 41 de la Ley de Canarias 4/2012, de 25 junio, y el art. 41 de la Ley de Asturias, 3/2012, de 28 diciembre, de presupuestos para el año 2013. No se trata así de una figura tributaria novedosa, sino que cuenta con una valoración positiva en diversas Comunidades Autónomas, y ha sido avalado por la STC 210/2012, de 14 noviembre. Añaden a continuación que la aprobación del impuesto estatal sobre los depósitos en las entidades de crédito mediante la Ley 16/2012, de 27 diciembre, por la que se adoptan diversas medidas dirigidas a la consolidación de las finanzas públicas y al impulso de la actividad económica, publicada en el “Boletín Oficial del Estado” del 28 diciembre, ha supuesto el incumplimiento del deber de lealtad constitucional implícito en el carácter compuesto del Estado de las Autonomías, refiriéndose en este punto a la posible inconstitucionalidad del art. 19 de la citada Ley 16/2012.</w:t>
      </w:r>
    </w:p>
    <w:p w:rsidR="0085709A" w:rsidRDefault="0085709A" w:rsidP="0085709A">
      <w:pPr>
        <w:pStyle w:val="TextoNormal"/>
      </w:pPr>
    </w:p>
    <w:p w:rsidR="0085709A" w:rsidRDefault="0085709A" w:rsidP="0085709A">
      <w:pPr>
        <w:pStyle w:val="TextoNormal"/>
      </w:pPr>
      <w:r>
        <w:t>a) Sobre los concretos motivos de inconstitucionalidad contenidos en el escrito de demanda, se refiere en primer lugar el alegato de los Abogados de la Generalitat de Cataluña, a la existencia del presupuesto habilitante, esto es a la existencia de una extraordinaria y urgente necesidad.</w:t>
      </w:r>
    </w:p>
    <w:p w:rsidR="0085709A" w:rsidRDefault="0085709A" w:rsidP="0085709A">
      <w:pPr>
        <w:pStyle w:val="TextoNormal"/>
      </w:pPr>
    </w:p>
    <w:p w:rsidR="0085709A" w:rsidRDefault="0085709A" w:rsidP="0085709A">
      <w:pPr>
        <w:pStyle w:val="TextoNormal"/>
      </w:pPr>
      <w:r>
        <w:t>Admiten que la facultad legislativa excepcional del Gobierno de la Generalitat de Cataluña se halla condicionada, tanto por el art. 86.1 CE como por el art. 64.1 EAC, a que exista una situación de extraordinaria y urgente necesidad, conforme ha declarado reiteradamente la jurisprudencia del Tribunal Constitucional que se cita. Ahora bien, frente a lo que sostiene el Abogado del Estado, consideran que en este caso sí concurría una situación de extraordinaria y urgente necesidad y que así lo ha justificado, de forma parca y concisa pero suficiente, el preámbulo del Decreto-ley impugnado, toda vez que se trata de una medida necesaria para alcanzar nuevas fuentes de financiación que permitan cumplir los objetivos de déficit y de deuda pública. Se refieren en este punto a los concretos objetivos de estabilidad aprobados conforme a lo dispuesto en el art. 15 de la Ley Orgánica 2/2012, de 27 abril, de estabilidad presupuestaria y sostenibilidad financiera, así como los concretos datos presupuestarios de la Comunidad Autónoma de Cataluña. Añaden que el mismo contexto económico ha supuesto la aprobación por parte del Gobierno de la Nación de veintinueve reales decretos-leyes sólo en el año 2012, amparándose justamente la situación de crisis económica y financiera, por lo que no puede imputarse a la Comunidad Autónoma de Cataluña el abuso de esta normativa de urgencia. En fin, en todo caso, este Tribunal Constitucional ha apreciado que la existencia de un déficit estructural incontrolado constituye una situación de extraordinaria y urgente necesidad que legitima el ejercicio de la potestad del Gobierno para aprobar excepcionalmente disposiciones legislativas (STC 182/1997, de 28 octubre, FJ 5). Dado que, para alcanzar el objetivo de déficit público, sólo existen dos alternativas —reducir el gasto e incrementar los ingresos— la medida adoptada se incardina en esta segunda finalidad.</w:t>
      </w:r>
    </w:p>
    <w:p w:rsidR="0085709A" w:rsidRDefault="0085709A" w:rsidP="0085709A">
      <w:pPr>
        <w:pStyle w:val="TextoNormal"/>
      </w:pPr>
    </w:p>
    <w:p w:rsidR="0085709A" w:rsidRDefault="0085709A" w:rsidP="0085709A">
      <w:pPr>
        <w:pStyle w:val="TextoNormal"/>
      </w:pPr>
      <w:r>
        <w:t xml:space="preserve">Concluido así que la Generalitat de Cataluña ha hecho un uso correcto de la legislación de urgencia, se refieren a continuación a la sorpresiva y constitucionalmente ilegítima, a su </w:t>
      </w:r>
      <w:r>
        <w:lastRenderedPageBreak/>
        <w:t>juicio, aprobación del impuesto estatal sobre los depósitos bancarios, incorporándose a través de una enmienda formulada en el Senado. Dicha incorporación legislativa “generó una necesidad extraordinaria y urgente adicional de evitar una lesión, por menoscabo, de las competencias autonómicas en materia de financiación, que lógicamente, pudo coadyuvar a la decisión del Ejecutivo catalán de establecer el impuesto autonómico sobre depósitos bancarios a través de un Decreto-ley que permitiera recaudarlo durante el año 2013, pero que, además, y a efectos de garantizar la integridad de las competencias autonómicas, entrará en vigor de manera inmediata, antes de la aprobación y vigencia de la Ley 16/2012, en cuyo art. 19 se establecía el impuesto estatal sobre los depósitos bancarios con el exclusivo propósito de gravar el mismo hecho imponible e impedir, por aplicación de lo dispuesto en el art. 6.2 LOFCA, la existencia de los impuestos autonómicos sobre los depósitos bancarios que la STC 210/2012 acababa de declarar conforme a la Constitución”.</w:t>
      </w:r>
    </w:p>
    <w:p w:rsidR="0085709A" w:rsidRDefault="0085709A" w:rsidP="0085709A">
      <w:pPr>
        <w:pStyle w:val="TextoNormal"/>
      </w:pPr>
    </w:p>
    <w:p w:rsidR="0085709A" w:rsidRDefault="0085709A" w:rsidP="0085709A">
      <w:pPr>
        <w:pStyle w:val="TextoNormal"/>
      </w:pPr>
      <w:r>
        <w:t>Consideran por ello que el enjuiciamiento del Decreto-ley 5/2012 no puede hacerse sin tener en cuenta la ilegitimidad del art. 19 de la Ley 16/2012, de creación del impuesto estatal sobre los depósitos bancarios, lo que supone una lesión a la lealtad constitucional que abonaría la medida adoptada por el Gobierno de Cataluña de defender sus competencias mediante una norma de urgencia que, por lo demás, partía, como presupuesto habilitante, de la perentoria necesidad de cumplir los objetivos de déficit público.</w:t>
      </w:r>
    </w:p>
    <w:p w:rsidR="0085709A" w:rsidRDefault="0085709A" w:rsidP="0085709A">
      <w:pPr>
        <w:pStyle w:val="TextoNormal"/>
      </w:pPr>
    </w:p>
    <w:p w:rsidR="0085709A" w:rsidRDefault="0085709A" w:rsidP="0085709A">
      <w:pPr>
        <w:pStyle w:val="TextoNormal"/>
      </w:pPr>
      <w:r>
        <w:t xml:space="preserve">b) El Decreto-ley 5/2012 no excede los límites materiales establecidos en los arts. 86.1 CE y 64 EAC, ni tampoco vulnera el art. 203.5 EAC. Se refieren en este punto a la doctrina contenida, entre otras, en las SSTC 182/1997, de 28 octubre, y 189/2005, de 7 julio, que impide entender que toda materia sujeta a reserva de ley se halle excluida de la regulación mediante decreto-ley. En cuanto a la afectación de derechos, y en concreto al deber de contribuir a las cargas públicas establecido en el art. 31 CE, considera que es preciso examinar la naturaleza de los elementos del tributo concreto de que se trate para comprobar si las innovaciones normativas incorporadas mediante decreto-ley alteran o no el reparto de la carga tributaria entre los contribuyentes en el conjunto del sistema tributario. Tras citar diversas Sentencias del Tribunal Constitucional en las que se ha admitido la regulación de tributos a través de decretos-leyes (STC 137/2003, de 3 de julio, sobre la modificación del impuesto sobre determinados medios de transporte; STC 108/2004, de 30 junio, sobre el impuesto especial sobre el alcohol y bebidas derivadas; STC 189/2005, de 7 julio, sobre la modificación del impuesto sobre sucesiones y donaciones, así como del impuesto de sociedades y sobre renta de las personas físicas; y STC 100/2012, de 8 mayo, relativa a la prórroga mediante Real Decreto-ley de la tarifa especial del arbitrio insular a la entrada de mercancías), examinan los elementos del tributo creado por el Decreto-ley 5/2012 para concluir que no se configura como un gravamen global sobre la renta sobre el consumo, sino que se limita a gravar una manifestación concreta de la capacidad económica, de manera que sólo afecta a las entidades crediticias, excluyéndose expresamente su repercusión a terceros. Por tanto, aunque la jurisprudencia constitucional citada se refiera únicamente a modificaciones de tributos y no a creaciones </w:t>
      </w:r>
      <w:r w:rsidRPr="0085709A">
        <w:rPr>
          <w:i/>
        </w:rPr>
        <w:t>ex novo</w:t>
      </w:r>
      <w:r>
        <w:t>, no parece que deba existir ningún obstáculo para extender la doctrina constitucional invocada al supuesto de creación de un impuesto mediante decreto-ley.</w:t>
      </w:r>
    </w:p>
    <w:p w:rsidR="0085709A" w:rsidRDefault="0085709A" w:rsidP="0085709A">
      <w:pPr>
        <w:pStyle w:val="TextoNormal"/>
      </w:pPr>
    </w:p>
    <w:p w:rsidR="0085709A" w:rsidRDefault="0085709A" w:rsidP="0085709A">
      <w:pPr>
        <w:pStyle w:val="TextoNormal"/>
      </w:pPr>
      <w:r>
        <w:t>c) El Decreto-ley 5/2012 no vulnera el art. 6.2 LOFCA, siendo, por el contrario, el art. 19.13 de la Ley 16/2012 el que infringe lo dispuesto en el referido art. 6.2 LOFCA.</w:t>
      </w:r>
    </w:p>
    <w:p w:rsidR="0085709A" w:rsidRDefault="0085709A" w:rsidP="0085709A">
      <w:pPr>
        <w:pStyle w:val="TextoNormal"/>
      </w:pPr>
    </w:p>
    <w:p w:rsidR="0085709A" w:rsidRDefault="0085709A" w:rsidP="0085709A">
      <w:pPr>
        <w:pStyle w:val="TextoNormal"/>
      </w:pPr>
      <w:r>
        <w:lastRenderedPageBreak/>
        <w:t xml:space="preserve">El legislador estatal era consciente de que el impuesto estatal sobre depósitos bancarios, creado mediante la Ley 16/2012, era idéntico al que habían establecido ciertas Comunidades Autónomas, lo que (en las propias palabras del Abogado del Estado en su demanda) obedeció al legítimo interés de evitar que durante la tramitación parlamentaria de la ley estatal pudiera “adelantarse” una Comunidad Autónoma que hasta el momento no hubiera mostrado ningún interés en gravar el mismo hecho imponible y establecer un impuesto análogo al estatal. Pues bien, lo que esto demuestra es una interpretación interesada del </w:t>
      </w:r>
      <w:r w:rsidRPr="0085709A">
        <w:rPr>
          <w:i/>
        </w:rPr>
        <w:t>ius superveniens</w:t>
      </w:r>
      <w:r>
        <w:t>, que corresponde únicamente realizar al Tribunal Constitucional en cuanto técnica de enjuiciamiento, sin que pueda ser aplicado retroactivamente, como parece pretender el Abogado del Estado. Además en este caso no será un supuesto de inconstitucionalidad sobrevenida, puesto que la aprobación del impuesto estatal análogo al impuesto autonómico existente no determina la inconstitucionalidad del impuesto autonómico, sino la activación del mecanismo de coordinación para evitar la doble imposición consistente en la extinción del impuesto autonómico acompañada de medidas para compensar la disminución de los ingresos autonómicos que se produzca. De ahí que el Decreto-ley 5/2012 no incurra en inconstitucionalidad, sino que será el art. 19 de la Ley 16/2012 el que se halla en realidad viciado de inconstitucionalidad por vulneración del proceso legislativo. Para fundamentar lo anterior se hace una extensa referencia al marco competencial y la jurisprudencia en relación con la creación del impuesto sobre depósitos en las entidades de crédito, con extensa cita de la STC 210/2012, de 14 noviembre, entre otras.</w:t>
      </w:r>
    </w:p>
    <w:p w:rsidR="0085709A" w:rsidRDefault="0085709A" w:rsidP="0085709A">
      <w:pPr>
        <w:pStyle w:val="TextoNormal"/>
      </w:pPr>
    </w:p>
    <w:p w:rsidR="0085709A" w:rsidRDefault="0085709A" w:rsidP="0085709A">
      <w:pPr>
        <w:pStyle w:val="TextoNormal"/>
      </w:pPr>
      <w:r>
        <w:t>Del citado marco competencial se deduce que la Generalitat de Cataluña tiene competencia para la creación de impuestos y se infiere que antes de la aprobación y entrada en vigor de la Ley 16/2012, las Comunidades Autónomas eran competentes para implantar el impuesto sobre depósitos bancarios como impuesto propio, tal y como declaró la STC 210/2012. Por tanto, y habida cuenta de que cuando se aprobó el Real Decreto-ley 5/2012 aún no se había aprobado y entrado en vigor la Ley 16/2012, cuyo art. 19 implantó el impuesto estatal sobre depósitos bancarios, no existía un hecho imponible gravado por el Estado que impidiera la creación de tal impuesto autonómico, resulta obligado concluir que el Decreto-ley autonómico impugnado ha respetado el orden competencial establecido en el bloque de la constitucionalidad, sin que pueda imputársele tacha alguna de inconstitucionalidad.</w:t>
      </w:r>
    </w:p>
    <w:p w:rsidR="0085709A" w:rsidRDefault="0085709A" w:rsidP="0085709A">
      <w:pPr>
        <w:pStyle w:val="TextoNormal"/>
      </w:pPr>
    </w:p>
    <w:p w:rsidR="0085709A" w:rsidRDefault="0085709A" w:rsidP="0085709A">
      <w:pPr>
        <w:pStyle w:val="TextoNormal"/>
      </w:pPr>
      <w:r>
        <w:t xml:space="preserve">Se refieren a continuación a la inconstitucionalidad del art 19 de la Ley estatal 16/2012 por infracción del procedimiento legislativo, por menoscabo de las competencias financieras autonómicas, por infracción de los principios de lealtad constitucional y de interdicción de la arbitrariedad de los poderes públicos y, en fin, por vulneración del art. 6.2 LOFCA. Consideran que se infringe en concreto la doctrina contenida en las SSTC 119/2011, de 5 julio, y 136/2011, de 13 septiembre, que establecieron la exigencia general de conexión u homogeneidad entre las enmiendas y los textos a enmendar, sin que pueda alterarse el objeto de la iniciativa legislativa mediante las enmiendas al articulado. Se refieren </w:t>
      </w:r>
      <w:r w:rsidRPr="0085709A">
        <w:rPr>
          <w:i/>
        </w:rPr>
        <w:t>in extenso</w:t>
      </w:r>
      <w:r>
        <w:t xml:space="preserve"> al objeto del proyecto de ley luego aprobado como Ley 16/2012, que preveía una serie de medidas fiscales, destinadas todas ellas a incrementar los recursos públicos, dada la necesidad de atajar el déficit. En el proyecto no se hacía ninguna referencia a un posible impuesto sobre depósitos bancarios, sin que tampoco pueda entenderse que existe una conexión considerando que la introducción del impuesto era una medida tributaria semejante a las restantes establecidas en el proyecto de ley, toda vez que dicho impuesto no se hizo con el ánimo de recaudar nuevos ingresos, puesto que se impuso un gravamen del 0 por 100, sino </w:t>
      </w:r>
      <w:r>
        <w:lastRenderedPageBreak/>
        <w:t>con el muy censurable propósito de impedir la existencia del impuesto autonómico homónimo. A ello debe añadirse que se vulneran las competencias financieras de las Comunidades Autónomas, ya que se crea una medida tributaria que ni tiene finalidad extrafiscal ni tiene finalidad recaudatoria sino que es sólo una fórmula indirecta para impedir la existencia de impuestos autonómicos sobre los depósitos bancarios, lo que supone un exceso en el ejercicio de la competencia estatal y la correlativa lesión, por menoscabo, de la competencia autonómica para la creación de tributos. Se refieren en fin el alegato al ejercicio abusivo de las propias competencias en el que habría incurrido el Estado, de naturaleza pareja al abuso de derecho proscrito por el art. 7 del Código civil, y a la desviación de poder en el ejercicio de las competencias administrativas sancionado con la anulabilidad por el art. 63 de la Ley 30/1992 de 26 noviembre, del régimen jurídico de las Administraciones públicas y del procedimiento administrativo común. En fin, citan de forma exhaustiva la doctrina constitucional acerca del principio de lealtad constitucional.</w:t>
      </w:r>
    </w:p>
    <w:p w:rsidR="0085709A" w:rsidRDefault="0085709A" w:rsidP="0085709A">
      <w:pPr>
        <w:pStyle w:val="TextoNormal"/>
      </w:pPr>
    </w:p>
    <w:p w:rsidR="0085709A" w:rsidRDefault="0085709A" w:rsidP="0085709A">
      <w:pPr>
        <w:pStyle w:val="TextoNormal"/>
      </w:pPr>
      <w:r>
        <w:t>Añaden que el art. 19.13 de la Ley 16/2012 restringe en su párrafo segundo la aplicación de las medidas compensatorias o de coordinación cuando el Estado ocupe un hecho imponible gravado por una Comunidad Autónoma, limitándolo a los tributos propios de las Comunidades Autónomas establecidos en una ley aprobada con anterioridad a 1 de diciembre de 2012, lo que resulta contrario a lo dispuesto en el art. 6.2 LOFCA.</w:t>
      </w:r>
    </w:p>
    <w:p w:rsidR="0085709A" w:rsidRDefault="0085709A" w:rsidP="0085709A">
      <w:pPr>
        <w:pStyle w:val="TextoNormal"/>
      </w:pPr>
    </w:p>
    <w:p w:rsidR="0085709A" w:rsidRDefault="0085709A" w:rsidP="0085709A">
      <w:pPr>
        <w:pStyle w:val="TextoNormal"/>
      </w:pPr>
      <w:r>
        <w:t>d) Por último, consideran que la disposición adicional segunda de la norma autonómica impugnada no retrotrae, como sostiene el Abogado del Estado en su escrito, el impuesto al último trimestre de 2012. Esta interpretación constituye una lectura errónea de la norma autonómica, probablemente inducida por cierta oscuridad en su redacción, que sin embargo no impide constatar que la disposición adicional segunda del citado Decreto-ley 5/2012 tan sólo establece una obligación de información relativa a la situación de los depósitos bancarios durante el último trimestre del año 2012; junto a ello, debe tenerse en cuenta que la disposición final del Decreto-ley 5/2012 establece su entrada en vigor al día siguiente de su publicación, contemplando como periodo impositivo el año natural, lo que permite inferir también sin dificultad que el impuesto se empieza a devengar el 1 de enero de 2013.</w:t>
      </w:r>
    </w:p>
    <w:p w:rsidR="0085709A" w:rsidRDefault="0085709A" w:rsidP="0085709A">
      <w:pPr>
        <w:pStyle w:val="TextoNormal"/>
      </w:pPr>
    </w:p>
    <w:p w:rsidR="0085709A" w:rsidRDefault="0085709A" w:rsidP="0085709A">
      <w:pPr>
        <w:pStyle w:val="TextoNormal"/>
      </w:pPr>
      <w:r w:rsidRPr="0085709A">
        <w:rPr>
          <w:rStyle w:val="NumeroAFNegritaCaracter"/>
        </w:rPr>
        <w:t>8</w:t>
      </w:r>
      <w:r>
        <w:t>. El Letrado del Parlamento de Cataluña cumplimentó el trámite de alegaciones mediante escrito registrado el 18 de febrero de 2013 en el que solicita la desestimación del recurso de inconstitucionalidad, con referencia, por su mismo orden, a las alegaciones contenidas en el escrito del Abogado del Estado.</w:t>
      </w:r>
    </w:p>
    <w:p w:rsidR="0085709A" w:rsidRDefault="0085709A" w:rsidP="0085709A">
      <w:pPr>
        <w:pStyle w:val="TextoNormal"/>
      </w:pPr>
    </w:p>
    <w:p w:rsidR="0085709A" w:rsidRDefault="0085709A" w:rsidP="0085709A">
      <w:pPr>
        <w:pStyle w:val="TextoNormal"/>
      </w:pPr>
      <w:r>
        <w:t xml:space="preserve">a) Concurre el presupuesto habilitante del Decreto-ley precisamente con base en la misma doctrina citada por el Abogado del Estado, entre otras las SSTC 31/2011, 137/2011 y 1/2012. Se refiere además al debate sobre la convalidación que se tuvo en el Parlamento, que no es tenido en cuenta por el Abogado del Estado, toda vez que dicho debate se produjo con posterioridad a la interposición del recurso. En concreto se refiere al contexto económico financiero y a la necesidad de adoptar relevantes decisiones en materia tributaria con el fin de cumplir con los objetivos de déficit y el endeudamiento fijados, no pudiéndose negar la conexión de sentido entre la necesidad de obtener nueva financiación y la creación de un nuevo recurso tributario. En cuanto a la urgencia derivada de la inminente aprobación de un impuesto estatal idéntico, afirma que efectivamente dicha aprobación contribuyó a la </w:t>
      </w:r>
      <w:r>
        <w:lastRenderedPageBreak/>
        <w:t>urgencia de la tramitación del Decreto-ley que ahora se impugna, pero no por ello se desvirtúa la existencia del presupuesto habilitante en los términos expuestos, esto es, en conexión con la situación económica y la existencia de un déficit y deuda públicos excesivos.</w:t>
      </w:r>
    </w:p>
    <w:p w:rsidR="0085709A" w:rsidRDefault="0085709A" w:rsidP="0085709A">
      <w:pPr>
        <w:pStyle w:val="TextoNormal"/>
      </w:pPr>
    </w:p>
    <w:p w:rsidR="0085709A" w:rsidRDefault="0085709A" w:rsidP="0085709A">
      <w:pPr>
        <w:pStyle w:val="TextoNormal"/>
      </w:pPr>
      <w:r>
        <w:t>b) El Decreto-ley impugnado no desborda el ámbito material de los decretos-leyes, conclusión que alcanza proponiendo una interpretación del art. 64.1 EAC diferente a la interesada por el Abogado del Estado, de manera que la legislación tributaria no se incluiría entre los ámbitos expresamente excluidos de regulación del decreto-ley por dicho precepto, ni puede equipararse a la regulación esencial del desarrollo directo de los derechos reconocidos por el Estatuto y por la Carta de los derechos y deberes de los ciudadanos de Cataluña. Cuestión distinta es si los límites materiales que establece el art. 86.1 CE y en general la doctrina que sobre el mismo ha establecido el Tribunal Constitucional pueden trasladarse a los decretos-leyes autonómicos. Considera en este punto la representación procesal del Parlamento de Cataluña que es dudoso que el art. 86.1 CE sea directamente aplicable a los decretos-leyes del Gobierno de Cataluña, pues su marco de regulación es el art. 64 EAC, conclusión a la que llegan tras citar la STC 116/1994, FJ 5, que transcribe.</w:t>
      </w:r>
    </w:p>
    <w:p w:rsidR="0085709A" w:rsidRDefault="0085709A" w:rsidP="0085709A">
      <w:pPr>
        <w:pStyle w:val="TextoNormal"/>
      </w:pPr>
    </w:p>
    <w:p w:rsidR="0085709A" w:rsidRDefault="0085709A" w:rsidP="0085709A">
      <w:pPr>
        <w:pStyle w:val="TextoNormal"/>
      </w:pPr>
      <w:r>
        <w:t>Sostiene que no existe una prohibición general de la utilización del decreto-ley en el ámbito tributario, lo que deriva de la doctrina del Tribunal Constitucional que cita, añadiendo que en todo caso el tributo creado mediante el Decreto-ley 5/2012 es una figura tributaria de aplicación territorialmente limitada y, por tanto, una figura impositiva de escasísimo relieve en el conjunto del sistema tributario, que se aplica comparativamente a pocos sujetos pasivos, por lo que no puede considerarse que quede esencialmente afectado el deber constitucional de contribuir a que se refiere el art. 31 CE.</w:t>
      </w:r>
    </w:p>
    <w:p w:rsidR="0085709A" w:rsidRDefault="0085709A" w:rsidP="0085709A">
      <w:pPr>
        <w:pStyle w:val="TextoNormal"/>
      </w:pPr>
    </w:p>
    <w:p w:rsidR="0085709A" w:rsidRDefault="0085709A" w:rsidP="0085709A">
      <w:pPr>
        <w:pStyle w:val="TextoNormal"/>
      </w:pPr>
      <w:r>
        <w:t>También debe descartarse la vulneración del art. 203.5 EAC, que exige que la creación de un tributo se lleve a cabo mediante ley formal; este precepto no hace más que trasladar al ámbito autonómico lo que el art. 133.1 CE establece para el Estado, lo que debe tenerse en cuenta para entender aplicable en este caso la doctrina constitucional sobre el alcance de la reserva de ley tributaria, que impide derivar del citado precepto estatutario una exclusión de la materia tributaria para los decretos-leyes autonómicos más restrictiva que para los del Estado.</w:t>
      </w:r>
    </w:p>
    <w:p w:rsidR="0085709A" w:rsidRDefault="0085709A" w:rsidP="0085709A">
      <w:pPr>
        <w:pStyle w:val="TextoNormal"/>
      </w:pPr>
    </w:p>
    <w:p w:rsidR="0085709A" w:rsidRDefault="0085709A" w:rsidP="0085709A">
      <w:pPr>
        <w:pStyle w:val="TextoNormal"/>
      </w:pPr>
      <w:r>
        <w:t>c) El Decreto-ley 5/2012 no infringe tampoco el art. 6.2 LOFCA toda vez que el impuesto estatal con el que coincide fue aprobado ocho días después de haberse publicado el Decreto-ley, a lo que cabe añadir que la Ley del Estado 16/2012 no integra normativamente el bloque de la constitucionalidad, sino que es únicamente un elemento que permite contrastar si se produce el supuesto de hecho que contempla el citado art. 6.2 LOFCA.</w:t>
      </w:r>
    </w:p>
    <w:p w:rsidR="0085709A" w:rsidRDefault="0085709A" w:rsidP="0085709A">
      <w:pPr>
        <w:pStyle w:val="TextoNormal"/>
      </w:pPr>
    </w:p>
    <w:p w:rsidR="0085709A" w:rsidRDefault="0085709A" w:rsidP="0085709A">
      <w:pPr>
        <w:pStyle w:val="TextoNormal"/>
      </w:pPr>
      <w:r>
        <w:t>Así, en aplicación de este precepto, el impuesto autonómico no deviene inconstitucional sino que lo que sucede es que surge en ese momento la obligación del Estado de arbitrar las medidas de coordinación previstas en la propia LOFCA, art. 6.2. Añade en este punto una consideración sobre la posible inconstitucionalidad del art. 19.13, de la Ley estatal 16/2012, precepto que restringe la compensación prevista en la LOFCA para el caso que aquí importa de ocupación por parte del Estado de un hecho imponible autonómico.</w:t>
      </w:r>
    </w:p>
    <w:p w:rsidR="0085709A" w:rsidRDefault="0085709A" w:rsidP="0085709A">
      <w:pPr>
        <w:pStyle w:val="TextoNormal"/>
      </w:pPr>
    </w:p>
    <w:p w:rsidR="0085709A" w:rsidRDefault="0085709A" w:rsidP="0085709A">
      <w:pPr>
        <w:pStyle w:val="TextoNormal"/>
      </w:pPr>
      <w:r>
        <w:t xml:space="preserve">d) Finalmente, se razona que la disposición adicional segunda del Decreto-ley 5/2012 no implica retroactividad del tributo, pues lo único que establece es la obligación de los sujetos </w:t>
      </w:r>
      <w:r>
        <w:lastRenderedPageBreak/>
        <w:t>pasivos del impuesto de suministrar información sobre el último trimestre de 2012 a los efectos de presentar autoliquidación de dicho periodo antes del 31 marzo de 2013.</w:t>
      </w:r>
    </w:p>
    <w:p w:rsidR="0085709A" w:rsidRDefault="0085709A" w:rsidP="0085709A">
      <w:pPr>
        <w:pStyle w:val="TextoNormal"/>
      </w:pPr>
    </w:p>
    <w:p w:rsidR="0085709A" w:rsidRDefault="0085709A" w:rsidP="0085709A">
      <w:pPr>
        <w:pStyle w:val="TextoNormal"/>
      </w:pPr>
      <w:r w:rsidRPr="0085709A">
        <w:rPr>
          <w:rStyle w:val="NumeroAFNegritaCaracter"/>
        </w:rPr>
        <w:t>9</w:t>
      </w:r>
      <w:r>
        <w:t>. Próximo a finalizar el plazo de cinco meses que señala el art. 161.2 CE desde que se produjo la suspensión del Decreto-ley de Cataluña 5/2012, de 18 de diciembre, del impuesto sobre los depósitos en las entidades de crédito, el Pleno, mediante providencia de 19 de febrero de 2013, acordó oír a las partes personadas —Abogado del Estado y representaciones legales de la Generalitat y del Parlamento de Cataluña— para que, en el plazo de cinco días, expusieran lo que considerasen conveniente acerca del mantenimiento o levantamiento de dicha suspensión.</w:t>
      </w:r>
    </w:p>
    <w:p w:rsidR="0085709A" w:rsidRDefault="0085709A" w:rsidP="0085709A">
      <w:pPr>
        <w:pStyle w:val="TextoNormal"/>
      </w:pPr>
    </w:p>
    <w:p w:rsidR="0085709A" w:rsidRDefault="0085709A" w:rsidP="0085709A">
      <w:pPr>
        <w:pStyle w:val="TextoNormal"/>
      </w:pPr>
      <w:r w:rsidRPr="0085709A">
        <w:rPr>
          <w:rStyle w:val="NumeroAFNegritaCaracter"/>
        </w:rPr>
        <w:t>10</w:t>
      </w:r>
      <w:r>
        <w:t>. Evacuado el trámite conferido, el Pleno del Tribunal dictó el ATC 123/2013, de 21 de mayo acordando levantar la suspensión del Decreto-ley de Cataluña 5/2012, de 18 de diciembre, del impuesto sobre los depósitos en las entidades de crédito.</w:t>
      </w:r>
    </w:p>
    <w:p w:rsidR="0085709A" w:rsidRDefault="0085709A" w:rsidP="0085709A">
      <w:pPr>
        <w:pStyle w:val="TextoNormal"/>
      </w:pPr>
    </w:p>
    <w:p w:rsidR="0085709A" w:rsidRDefault="0085709A" w:rsidP="0085709A">
      <w:pPr>
        <w:pStyle w:val="TextoNormal"/>
      </w:pPr>
      <w:r w:rsidRPr="0085709A">
        <w:rPr>
          <w:rStyle w:val="NumeroAFNegritaCaracter"/>
        </w:rPr>
        <w:t>11</w:t>
      </w:r>
      <w:r>
        <w:t>. Mediante ATC 153/2013, de 9 de julio, el Pleno del Tribunal desestimó el recurso de súplica interpuesto por el Abogado del Estado frente al anterior ATC 123/2013.</w:t>
      </w:r>
    </w:p>
    <w:p w:rsidR="0085709A" w:rsidRDefault="0085709A" w:rsidP="0085709A">
      <w:pPr>
        <w:pStyle w:val="TextoNormal"/>
      </w:pPr>
    </w:p>
    <w:p w:rsidR="0085709A" w:rsidRDefault="0085709A" w:rsidP="0085709A">
      <w:pPr>
        <w:pStyle w:val="TextoNormal"/>
      </w:pPr>
      <w:r w:rsidRPr="0085709A">
        <w:rPr>
          <w:rStyle w:val="NumeroAFNegritaCaracter"/>
        </w:rPr>
        <w:t>12</w:t>
      </w:r>
      <w:r>
        <w:t>.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del art. 219 de la Ley Orgánica del Poder Judicial, en relación con el art. 80 LOTC. Por ATC 180/2013, de 17 de septiembre, se acuerda la inadmisión a trámite de las recusaciones promovidas y, formulado recurso de súplica contra el anterior Auto por el Parlamento y la Generalitat de Cataluña, el Pleno, en providencia de 2 de octubre de 2013 acordó su inadmisión a trámite.</w:t>
      </w:r>
    </w:p>
    <w:p w:rsidR="0085709A" w:rsidRDefault="0085709A" w:rsidP="0085709A">
      <w:pPr>
        <w:pStyle w:val="TextoNormal"/>
      </w:pPr>
    </w:p>
    <w:p w:rsidR="0085709A" w:rsidRDefault="0085709A" w:rsidP="0085709A">
      <w:pPr>
        <w:pStyle w:val="TextoNormal"/>
      </w:pPr>
      <w:r w:rsidRPr="0085709A">
        <w:rPr>
          <w:rStyle w:val="NumeroAFNegritaCaracter"/>
        </w:rPr>
        <w:t>13</w:t>
      </w:r>
      <w:r>
        <w:t>. Por providencia de 26 de mayo de 2015, se señaló el día 28 del mismo mes y año para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objeto de este proceso es resolver el recurso de inconstitucionalidad promovido por el Presidente del Gobierno, representado por el Abogado del Estado, contra el Decreto-ley de Cataluña 5/2012, de 18 de diciembre, del impuesto sobre los depósitos en las entidades de crédito (en adelante, Decreto-ley 5/2012).</w:t>
      </w:r>
    </w:p>
    <w:p w:rsidR="0085709A" w:rsidRDefault="0085709A" w:rsidP="0085709A">
      <w:pPr>
        <w:pStyle w:val="TextoNormal"/>
      </w:pPr>
    </w:p>
    <w:p w:rsidR="0085709A" w:rsidRDefault="0085709A" w:rsidP="0085709A">
      <w:pPr>
        <w:pStyle w:val="TextoNormal"/>
      </w:pPr>
      <w:r>
        <w:t>En los términos recogidos en el antecedente primero, la demanda interesa la declaración de inconstitucionalidad por los siguientes motivos:</w:t>
      </w:r>
    </w:p>
    <w:p w:rsidR="0085709A" w:rsidRDefault="0085709A" w:rsidP="0085709A">
      <w:pPr>
        <w:pStyle w:val="TextoNormal"/>
      </w:pPr>
    </w:p>
    <w:p w:rsidR="0085709A" w:rsidRDefault="0085709A" w:rsidP="0085709A">
      <w:pPr>
        <w:pStyle w:val="TextoNormal"/>
      </w:pPr>
      <w:r>
        <w:t xml:space="preserve">a) El Decreto-ley 5/2012 habría desbordado los límites (formales y materiales) que el art. 86 CE y los arts. 64 y 203.5 del Estatuto de Autonomía de Cataluña (EAC) imponen al ejercicio de esta potestad normativa excepcional. No habría quedado acreditada la extraordinaria y urgente necesidad y se habría creado </w:t>
      </w:r>
      <w:r w:rsidRPr="0085709A">
        <w:rPr>
          <w:i/>
        </w:rPr>
        <w:t>ex novo</w:t>
      </w:r>
      <w:r>
        <w:t xml:space="preserve"> un tributo sin respetar la doctrina constitucional en contradicción evidente con la exigencia estatutaria de ley parlamentaria.</w:t>
      </w:r>
    </w:p>
    <w:p w:rsidR="0085709A" w:rsidRDefault="0085709A" w:rsidP="0085709A">
      <w:pPr>
        <w:pStyle w:val="TextoNormal"/>
      </w:pPr>
    </w:p>
    <w:p w:rsidR="0085709A" w:rsidRDefault="0085709A" w:rsidP="0085709A">
      <w:pPr>
        <w:pStyle w:val="TextoNormal"/>
      </w:pPr>
      <w:r>
        <w:t xml:space="preserve">b) El impuesto catalán sobre los depósitos vulneraría el art. 6.2 de la Ley Orgánica de financiación de las Comunidades Autónomas (LOFCA), partiendo de la doctrina contenida en las SSTC 122/2012, de 5 junio, y 210/2012, de 14 noviembre, toda vez que mediante la Ley 16/2012, de 27 diciembre, por la que se adoptan diversas medidas tributarias dirigidas a la consolidación de las finanzas públicas y al impulso de la actividad económica, se habrá de crear un impuesto similar que, en aplicación de la doctrina del </w:t>
      </w:r>
      <w:r w:rsidRPr="0085709A">
        <w:rPr>
          <w:i/>
        </w:rPr>
        <w:t>ius superveniens</w:t>
      </w:r>
      <w:r>
        <w:t>, será parámetro de constitucionalidad y determinará la inconstitucionalidad de la norma autonómica impugnada por infracción de los arts. 133 y 157.3 CE y 6.2 LOFCA.</w:t>
      </w:r>
    </w:p>
    <w:p w:rsidR="0085709A" w:rsidRDefault="0085709A" w:rsidP="0085709A">
      <w:pPr>
        <w:pStyle w:val="TextoNormal"/>
      </w:pPr>
    </w:p>
    <w:p w:rsidR="0085709A" w:rsidRDefault="0085709A" w:rsidP="0085709A">
      <w:pPr>
        <w:pStyle w:val="TextoNormal"/>
      </w:pPr>
      <w:r>
        <w:t>c) Finalmente, se infringiría el principio de seguridad jurídica del art. 9.3 CE, al prever la norma impugnada un supuesto de retroactividad, toda vez que la disposición adicional segunda del Decreto-ley 5/2012 establece que el impuesto será exigible desde el 1 de octubre de 2012, lo que permite entender que los sujetos pasivos deben suministrar información a la Agencia Tributaria de Cataluña del trimestre iniciado el 1 de octubre de 2012 a efectos de poder presentar autoliquidación posterior. Este motivo de inconstitucionalidad afecta únicamente a la disposición adicional segunda.</w:t>
      </w:r>
    </w:p>
    <w:p w:rsidR="0085709A" w:rsidRDefault="0085709A" w:rsidP="0085709A">
      <w:pPr>
        <w:pStyle w:val="TextoNormal"/>
      </w:pPr>
    </w:p>
    <w:p w:rsidR="0085709A" w:rsidRDefault="0085709A" w:rsidP="0085709A">
      <w:pPr>
        <w:pStyle w:val="TextoNormal"/>
      </w:pPr>
      <w:r>
        <w:t>Como ha quedado recogido en los antecedentes, los Abogados de la Generalitat y del Parlamento de Cataluña interesan la íntegra desestimación del presente recurso.</w:t>
      </w:r>
    </w:p>
    <w:p w:rsidR="0085709A" w:rsidRDefault="0085709A" w:rsidP="0085709A">
      <w:pPr>
        <w:pStyle w:val="TextoNormal"/>
      </w:pPr>
    </w:p>
    <w:p w:rsidR="0085709A" w:rsidRDefault="0085709A" w:rsidP="0085709A">
      <w:pPr>
        <w:pStyle w:val="TextoNormal"/>
      </w:pPr>
      <w:r w:rsidRPr="0085709A">
        <w:rPr>
          <w:rStyle w:val="NumeroAFNegritaCaracter"/>
        </w:rPr>
        <w:t>2</w:t>
      </w:r>
      <w:r>
        <w:t>. El primero de los motivos se refiere a la infracción de los límites que la Constitución y el Estatuto de Autonomía de Cataluña imponen al Decreto-ley. El Abogado del Estado alega el incumplimiento tanto de los formales como de los materiales, invocando el art. 86 CE y los arts. 64.1 y 203.5 EAC.</w:t>
      </w:r>
    </w:p>
    <w:p w:rsidR="0085709A" w:rsidRDefault="0085709A" w:rsidP="0085709A">
      <w:pPr>
        <w:pStyle w:val="TextoNormal"/>
      </w:pPr>
    </w:p>
    <w:p w:rsidR="0085709A" w:rsidRDefault="0085709A" w:rsidP="0085709A">
      <w:pPr>
        <w:pStyle w:val="TextoNormal"/>
      </w:pPr>
      <w:r>
        <w:t>Esta impugnación obliga no sólo a valorar la concurrencia de una extraordinaria y urgente necesidad habilitante (arts. 86.1 CE y 64.1 EAC), sino también a determinar si un decreto-ley autonómico puede crear impuestos. Esto último plantea cuestiones que conciernen muy directamente al Estado democrático de Derecho (art. 1.1 CE): la Constitución y los Estatutos de Autonomía imponen límites materiales al Decreto-ley con el fin de preservar la posición central del Parlamento dentro del sistema constitucional y asegurar con ello que las regulaciones que afectan al “ámbito vital de las personas” dependan “exclusivamente de la voluntad de sus representantes” (STC 19/1987, de 17 de febrero, FJ 4).</w:t>
      </w:r>
    </w:p>
    <w:p w:rsidR="0085709A" w:rsidRDefault="0085709A" w:rsidP="0085709A">
      <w:pPr>
        <w:pStyle w:val="TextoNormal"/>
      </w:pPr>
    </w:p>
    <w:p w:rsidR="0085709A" w:rsidRDefault="0085709A" w:rsidP="0085709A">
      <w:pPr>
        <w:pStyle w:val="TextoNormal"/>
      </w:pPr>
      <w:r>
        <w:t>El Tribunal Constitucional ha tenido recientemente oportunidad de pronunciarse sobre los límites formales y materiales que afectan específicamente a los Decretos-leyes autonómicos (STC 93/2015, de 14 de mayo, FFJJ 3 a 6). Además, este recurso plantea por vez primera la cuestión de las exclusiones materiales de alcance tributario que condicionan el ejercicio autonómico de esta potestad normativa de excepción. Conviene, pues, empezar el enjuiciamiento del presente asunto partiendo de dicha doctrina, de suerte que solo si se apreciase que la norma enjuiciada cumple los límites materiales que le afectan procedería examinar la concurrencia del presupuesto habilitante de la extraordinaria y urgente necesidad (arts. 86.1 CE y 64.1 EAC), aplicando la consolidada doctrina constitucional al respecto.</w:t>
      </w:r>
    </w:p>
    <w:p w:rsidR="0085709A" w:rsidRDefault="0085709A" w:rsidP="0085709A">
      <w:pPr>
        <w:pStyle w:val="TextoNormal"/>
      </w:pPr>
    </w:p>
    <w:p w:rsidR="0085709A" w:rsidRDefault="0085709A" w:rsidP="0085709A">
      <w:pPr>
        <w:pStyle w:val="TextoNormal"/>
      </w:pPr>
      <w:r>
        <w:t xml:space="preserve">Conforme a la precitada STC 93/2015, FFJJ 3 a 6, la Constitución no impide que los Estatutos de Autonomía atribuyan a los Gobiernos autonómicos la potestad normativa excepcional de aprobar decretos-leyes. Ahora bien, por virtud del principio democrático (art. </w:t>
      </w:r>
      <w:r>
        <w:lastRenderedPageBreak/>
        <w:t>1.1 CE), debe entenderse que los límites formales y materiales que afectan al decreto-ley autonómico son como mínimo los que la Constitución impone al Decreto-ley estatal (art. 86.1 CE); el Estatuto puede sólo añadir “cautelas o exclusiones adicionales” con el fin de “preservar más intensamente la posición del parlamento autonómico”. Ello implica que, para resolver la impugnación planteada frente al Decreto-ley catalán 5/2012, debamos tomar en consideración tanto la doctrina constitucional relativa al art. 86.1 CE, como los límites que haya podido concretar o añadir el legislador estatutario para el decreto-ley autonómico.</w:t>
      </w:r>
    </w:p>
    <w:p w:rsidR="0085709A" w:rsidRDefault="0085709A" w:rsidP="0085709A">
      <w:pPr>
        <w:pStyle w:val="TextoNormal"/>
      </w:pPr>
    </w:p>
    <w:p w:rsidR="0085709A" w:rsidRDefault="0085709A" w:rsidP="0085709A">
      <w:pPr>
        <w:pStyle w:val="TextoNormal"/>
      </w:pPr>
      <w:r>
        <w:t>La exigencia en materia tributaria de ley formal aprobada en el Parlamento está en los orígenes mismos del parlamentarismo (“</w:t>
      </w:r>
      <w:r w:rsidRPr="0085709A">
        <w:rPr>
          <w:i/>
        </w:rPr>
        <w:t>no taxation without representation</w:t>
      </w:r>
      <w:r>
        <w:t>”). Es a través de ella como se asegura el principio democrático y la supremacía financiera del Parlamento mediante la participación de los ciudadanos en el establecimiento del sistema tributario (STC 182/1997, de 28 de octubre, FJ 7). Tanto el Estatuto de Autonomía de Cataluña como la Constitución desarrollan esta exigencia como límite material a las disposiciones gubernamentales de urgencia.</w:t>
      </w:r>
    </w:p>
    <w:p w:rsidR="0085709A" w:rsidRDefault="0085709A" w:rsidP="0085709A">
      <w:pPr>
        <w:pStyle w:val="TextoNormal"/>
      </w:pPr>
    </w:p>
    <w:p w:rsidR="0085709A" w:rsidRDefault="0085709A" w:rsidP="0085709A">
      <w:pPr>
        <w:pStyle w:val="TextoNormal"/>
      </w:pPr>
      <w:r>
        <w:t>El Estatuto de Autonomía de Cataluña contiene una previsión muy específica a este respecto: la Generalitat establece tributos propios “mediante ley del Parlamento” (art. 203.5). La creación de tributos propios queda así vedada, no sólo al reglamento, sino también al decreto-ley. De este modo, el legislador estatutario preserva y refuerza la posición del Parlamento catalán frente a diversas potestades normativas del Gobierno autonómico, tanto la ordinaria de carácter reglamentario (art. 68.1 EAC), como la extraordinaria de rango legal (art. 64.1 EAC). No interesa ahora detenerse a precisar qué regulaciones tributarias de carácter reglamentario son compatibles con la reserva de ley. Importa sólo concluir que el art. 203.5 EAC impone un inequívoco límite material al decreto-ley catalán, traducido en la imposibilidad de crear tributos propios mediante este instrumento normativo.</w:t>
      </w:r>
    </w:p>
    <w:p w:rsidR="0085709A" w:rsidRDefault="0085709A" w:rsidP="0085709A">
      <w:pPr>
        <w:pStyle w:val="TextoNormal"/>
      </w:pPr>
    </w:p>
    <w:p w:rsidR="0085709A" w:rsidRDefault="0085709A" w:rsidP="0085709A">
      <w:pPr>
        <w:pStyle w:val="TextoNormal"/>
      </w:pPr>
      <w:r>
        <w:t>Por su parte, la Constitución fija una reserva de ley tributaria frente a la potestad reglamentaria en su art. 31.3: “Sólo podrán establecerse prestaciones personales o patrimoniales de carácter público con arreglo a la ley”. El decreto-ley, en cuanto norma con rango de ley, es un instrumento idóneo para cumplir esta reserva legal. El art. 31.3 CE no impide en cuanto tal regulaciones fiscales adoptadas por este procedimiento de urgencia: “la mención a la Ley no es identificable en exclusividad con el de Ley en sentido formal” (SSTC 182/1997, FJ 8, y 245/2004, de 16 de diciembre, FJ 4, citando la STC 111/1983, de 2 de diciembre, FJ 10). No se está, pues, ante la exigencia de “ley del Parlamento” que establece el art. 203.5 EAC; exigencia que sí implica tanto una reserva a favor de normas de rango legal frente a la potestad reglamentaria como la proscripción del decreto-ley. Naturalmente, ello en modo alguno significa que la Constitución autorice al Gobierno a adoptar por decreto-ley toda suerte de regulación fiscal; significa sólo que los límites materiales que ella impone a este instrumento normativo derivan, no de la reserva de ley tributaria (art. 31.3 CE), sino de las exclusiones previstas en el art. 86.1 CE (STC 182/1997, FJ 8). Esta previsión constitucional prohíbe que el decreto-ley afecte a “los derechos, deberes y libertades de los ciudadanos regulados en el Título I” de la Constitución y, con ello, al deber y derecho correlativo previstos en el art. 31.1 CE: el “deber de los ciudadanos de contribuir, a través de impuestos, al sostenimiento de los gastos públicos de acuerdo con la capacidad económica” y el derecho correspondiente a que “esa contribución solidaria sea configurada en cada caso por el legislador según aquella capacidad” (STC 182/1997, FJ 6).</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xml:space="preserve">. El Decreto-ley impugnado “crea, como impuesto propio de la Generalitat de Cataluña, el impuesto sobre los depósitos en las entidades de crédito, de naturaleza directa, que grava los depósitos efectuados por los clientes en las entidades de crédito, por cualquier negocio y variedad jurídica, siempre que comporten la obligación de restitución” (art. 1). No cabe duda de que, al establecer </w:t>
      </w:r>
      <w:r w:rsidRPr="0085709A">
        <w:rPr>
          <w:i/>
        </w:rPr>
        <w:t>ex novo</w:t>
      </w:r>
      <w:r>
        <w:t xml:space="preserve"> este “impuesto propio”, el Decreto-ley 5/2012 ha infringido la exigencia estatutaria de que la Generalitat cree “tributos propios” “mediante ley del Parlamento” (art. 203.5 EAC) como garantía instrumental de la supremacía financiera de la Cámara y del principio democrático (arts. 1.1 y 66.1 CE y 4.3 y 55.1 EAC); una garantía destinada, no a impedir la incidencia sobre la esfera vital de las personas, sino a asegurar que la impongan quienes les representan (SSTC 19/1987, FJ 4, y 182/1997, FJ 7).</w:t>
      </w:r>
    </w:p>
    <w:p w:rsidR="0085709A" w:rsidRDefault="0085709A" w:rsidP="0085709A">
      <w:pPr>
        <w:pStyle w:val="TextoNormal"/>
      </w:pPr>
    </w:p>
    <w:p w:rsidR="0085709A" w:rsidRDefault="0085709A" w:rsidP="0085709A">
      <w:pPr>
        <w:pStyle w:val="TextoNormal"/>
      </w:pPr>
      <w:r>
        <w:t>A la vista del incumplimiento de lo establecido en el art. 203.5 EAC cabe concluir, sin necesidad de proyectar sobre este asunto nuestra doctrina relativa a los límites formales y materiales derivados del art. 86.1 CE, que el Decreto-ley 5/2012, de 18 de noviembre, es inconstitucional y nulo. Alcanzada esta conclusión, resulta innecesario el enjuiciamiento de los motivos impugnatorios restantes.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presente recurso de inconstitucionalidad y declarar la inconstitucionalidad y nulidad del Decreto-ley de Cataluña 5/2012, de 18 de diciembre, del impuesto sobre los depósitos en las entidades de crédito.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1" w:name="SENTENCIA_2015_108"/>
      <w:r>
        <w:lastRenderedPageBreak/>
        <w:t>SENTENCIA 108/2015, de 28 de mayo de 2015</w:t>
      </w:r>
    </w:p>
    <w:bookmarkEnd w:id="111"/>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ECLI:ES:TC:2015:108</w:t>
      </w:r>
    </w:p>
    <w:p w:rsidR="0085709A" w:rsidRDefault="0085709A" w:rsidP="0085709A">
      <w:pPr>
        <w:pStyle w:val="TextoNormalCentrado"/>
      </w:pPr>
    </w:p>
    <w:p w:rsidR="0085709A" w:rsidRDefault="0085709A" w:rsidP="0085709A">
      <w:pPr>
        <w:pStyle w:val="SntesisDescriptiva"/>
      </w:pPr>
      <w:r>
        <w:t>Recurso de inconstitucionalidad 631-2013. Interpuesto por el Presidente del Gobierno, en relación con diversos preceptos de la Ley de la Junta General del Principado de Asturias 3/2012, de 28 de diciembre, de presupuestos generales para 2013.</w:t>
      </w:r>
    </w:p>
    <w:p w:rsidR="0085709A" w:rsidRDefault="0085709A" w:rsidP="0085709A">
      <w:pPr>
        <w:pStyle w:val="SntesisDescriptiva"/>
      </w:pPr>
    </w:p>
    <w:p w:rsidR="0085709A" w:rsidRDefault="0085709A" w:rsidP="0085709A">
      <w:pPr>
        <w:pStyle w:val="SntesisAnaltica"/>
      </w:pPr>
      <w:r>
        <w:t>Límites materiales de las leyes de presupuestos: nulidad del precepto legal autonómico que establece un impuesto sobre los depósitos en las entidades de crédito (STC 30/2015).</w:t>
      </w:r>
    </w:p>
    <w:p w:rsidR="0085709A" w:rsidRDefault="0085709A" w:rsidP="0085709A">
      <w:pPr>
        <w:pStyle w:val="SntesisAnaltica"/>
      </w:pPr>
    </w:p>
    <w:p w:rsidR="0085709A" w:rsidRDefault="0085709A" w:rsidP="0085709A">
      <w:pPr>
        <w:pStyle w:val="Extracto"/>
      </w:pPr>
      <w:r>
        <w:t>1.</w:t>
      </w:r>
      <w:r>
        <w:tab/>
        <w:t>El art. 134 CE regula el presupuesto del Estado y como regla general no resulta aplicable a los presupuestos de las Comunidades Autónomas, a las que serán de aplicación las disposiciones de la Ley Orgánica 8/1980, de financiación de las Comunidades Autónomas (LOFCA) y de su respectivo Estatuto de Autonomía (STC 86/2013) [FJ 3].</w:t>
      </w:r>
    </w:p>
    <w:p w:rsidR="0085709A" w:rsidRDefault="0085709A" w:rsidP="0085709A">
      <w:pPr>
        <w:pStyle w:val="Extracto"/>
      </w:pPr>
    </w:p>
    <w:p w:rsidR="0085709A" w:rsidRDefault="0085709A" w:rsidP="0085709A">
      <w:pPr>
        <w:pStyle w:val="Extracto"/>
      </w:pPr>
      <w:r>
        <w:t>2.</w:t>
      </w:r>
      <w:r>
        <w:tab/>
        <w:t>El impuesto establecido por el Principado de Asturias coincide, en sus elementos esenciales, con el homónimo estatal, incurriendo en la incompatibilidad del art. 6.2 LOFCA y, además, las coincidencias sustanciales de ambos impuestos, suponen la vulneración de los arts. 133.2 y 157.3 CE, lo que conduce a declarar la inconstitucionalidad y nulidad del art. 41 de la Ley de la Junta General del Principado de Asturias 3/2012, de presupuestos generales para 2013 (STC 30/2015) [FJ 5].</w:t>
      </w:r>
    </w:p>
    <w:p w:rsidR="0085709A" w:rsidRDefault="0085709A" w:rsidP="0085709A">
      <w:pPr>
        <w:pStyle w:val="Extracto"/>
      </w:pPr>
    </w:p>
    <w:p w:rsidR="0085709A" w:rsidRDefault="0085709A" w:rsidP="0085709A">
      <w:pPr>
        <w:pStyle w:val="Extracto"/>
      </w:pPr>
      <w:r>
        <w:t>3.</w:t>
      </w:r>
      <w:r>
        <w:tab/>
        <w:t>El Estatuto del Principado de Asturias, regulado en la Ley Orgánica 7/1981, no contiene una limitación expresa de similar naturaleza a la establecida en el art. 134.7 CE; tampoco la Ley Orgánica de financiación de las Comunidades Autónomas ha incorporado una prohibición similar, lo que conduce a la desestimación tal motivo de inconstitucionalidad [FJ 3].</w:t>
      </w:r>
    </w:p>
    <w:p w:rsidR="0085709A" w:rsidRDefault="0085709A" w:rsidP="0085709A">
      <w:pPr>
        <w:pStyle w:val="Extracto"/>
      </w:pPr>
    </w:p>
    <w:p w:rsidR="0085709A" w:rsidRDefault="0085709A" w:rsidP="0085709A">
      <w:pPr>
        <w:pStyle w:val="Extracto"/>
      </w:pPr>
      <w:r>
        <w:t>4.</w:t>
      </w:r>
      <w:r>
        <w:tab/>
        <w:t>La prohibición del art. 134.7 CE contiene una limitación constitucional que no resulta de aplicación a las leyes de presupuestos de las Comunidades Autónomas, por lo que no puede inducirse un principio general, de prohibición de modificar tributos por medio de las leyes de presupuestos autonómicas o forales sin la previa habilitación de una ley tributaria sustantiva (STC 116/1994)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631-2013, interpuesto por el Presidente del Gobierno, contra el art. 41 y la disposición final séptima de la Ley de la Junta General del Principado de Asturias 3/2012, de 28 de diciembre, de presupuestos generales para 2013. Ha intervenido y formulado alegaciones el Gobierno del Principado de Asturias. Ha sido Ponente el Presidente, don Francisco Pérez de los Cobos Orihuel, que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 de febrero de 2013 tuvo entrada en el Registro General de este Tribunal Constitucional un escrito del Abogado del Estado, en nombre del Presidente del Gobierno, por el que interpone un recurso de inconstitucionalidad contra el art. 41 y la disposición final séptima de la Ley de la Junta General del Principado de Asturias 3/2012, de 28 de diciembre, de presupuestos generales para 2013 (Ley 3/2012, en adelante), haciendo invocación del art. 161.2 CE a fin de que se produzca la suspensión de la norma impugnada en el presente recurso de inconstitucionalidad.</w:t>
      </w:r>
    </w:p>
    <w:p w:rsidR="0085709A" w:rsidRDefault="0085709A" w:rsidP="0085709A">
      <w:pPr>
        <w:pStyle w:val="TextoNormal"/>
      </w:pPr>
    </w:p>
    <w:p w:rsidR="0085709A" w:rsidRDefault="0085709A" w:rsidP="0085709A">
      <w:pPr>
        <w:pStyle w:val="TextoNormal"/>
      </w:pPr>
      <w:r>
        <w:t>Comienza el alegato describiendo el impuesto creado por el Principado de Asturias sobre los depósitos en las entidades de crédito, de naturaleza directa, y que “grava el mantenimiento de fondos, cualquiera que sea su naturaleza jurídica, por parte de las entidades mencionadas en el punto cuatro del presente artículo, y que comporten la obligación de restitución” (art. 41.2 de la Ley 3/2012).</w:t>
      </w:r>
    </w:p>
    <w:p w:rsidR="0085709A" w:rsidRDefault="0085709A" w:rsidP="0085709A">
      <w:pPr>
        <w:pStyle w:val="TextoNormal"/>
      </w:pPr>
    </w:p>
    <w:p w:rsidR="0085709A" w:rsidRDefault="0085709A" w:rsidP="0085709A">
      <w:pPr>
        <w:pStyle w:val="TextoNormal"/>
      </w:pPr>
      <w:r>
        <w:t>Tras exponer de forma sucinta los principales elementos del tributo, afirma que es un tributo análogo al establecido por la Ley de la Asamblea de Extremadura 14/2001, de 29 noviembre, reguladora del impuesto sobre depósitos de las entidades de crédito, tributo en la actualidad recogido en el título IV del Decreto Legislativo 2/2006, de 12 de diciembre, por el que se aprueba el texto refundido de las disposiciones legales de la Comunidad Autónoma de Extremadura en materia de tributos propios. Este tributo fue declarado compatible con la Ley Orgánica 8/1980, de 22 de septiembre, de financiación de las Comunidades Autónomas (LOFCA) en la STC 210/2012, de 14 de noviembre.</w:t>
      </w:r>
    </w:p>
    <w:p w:rsidR="0085709A" w:rsidRDefault="0085709A" w:rsidP="0085709A">
      <w:pPr>
        <w:pStyle w:val="TextoNormal"/>
      </w:pPr>
    </w:p>
    <w:p w:rsidR="0085709A" w:rsidRDefault="0085709A" w:rsidP="0085709A">
      <w:pPr>
        <w:pStyle w:val="TextoNormal"/>
      </w:pPr>
      <w:r>
        <w:t xml:space="preserve">Sin embargo, la Ley 3/2012 plantea cuestiones sobre las que no se pronunció dicha Sentencia y que determinan la inconstitucionalidad de la norma que ahora se impugna. Añade que el Estado ha aprobado la Ley 16/2012, de 27 de diciembre, por la que se adoptan diversas medidas tributarias dirigidas a la consolidación de las finanzas públicas y al impulso de la actividad económica, estableciendo un impuesto estatal absolutamente análogo al autonómico previsto en la norma que ahora se impugna, destacando la vinculación del presente proceso con el recurso de inconstitucionalidad 7279-2012, interpuesto por el Presidente del </w:t>
      </w:r>
      <w:r>
        <w:lastRenderedPageBreak/>
        <w:t>Gobierno contra el Decreto-ley de Cataluña 5/2012, de 18 de diciembre, del impuesto sobre los depósitos en las entidades de crédito.</w:t>
      </w:r>
    </w:p>
    <w:p w:rsidR="0085709A" w:rsidRDefault="0085709A" w:rsidP="0085709A">
      <w:pPr>
        <w:pStyle w:val="TextoNormal"/>
      </w:pPr>
    </w:p>
    <w:p w:rsidR="0085709A" w:rsidRDefault="0085709A" w:rsidP="0085709A">
      <w:pPr>
        <w:pStyle w:val="TextoNormal"/>
      </w:pPr>
      <w:r>
        <w:t>Aclara en este punto, que la impugnación se dirige tanto contra el artículo 41 como contra la disposición final séptima de la Ley 3/2012, si bien en este escrito sólo se razona a acerca de la inconstitucionalidad del citado artículo 41, siendo la disposición una norma específica para la entrada en vigor del artículo 41 cuya impugnación es “sistemática” y está llamada, por tanto, a seguir la suerte del propio artículo 41 (STC 18/2011, de 3 de marzo, FJ 12).</w:t>
      </w:r>
    </w:p>
    <w:p w:rsidR="0085709A" w:rsidRDefault="0085709A" w:rsidP="0085709A">
      <w:pPr>
        <w:pStyle w:val="TextoNormal"/>
      </w:pPr>
    </w:p>
    <w:p w:rsidR="0085709A" w:rsidRDefault="0085709A" w:rsidP="0085709A">
      <w:pPr>
        <w:pStyle w:val="TextoNormal"/>
      </w:pPr>
      <w:r>
        <w:t>A partir de lo anterior, considera que la norma autonómica impugnada es inconstitucional por dos motivos; por infringir la prohibición constitucional de crear tributos mediante una ley de presupuestos contenida en el art. 134.7 CE; y por infracción del art. 6.2 LOFCA.</w:t>
      </w:r>
    </w:p>
    <w:p w:rsidR="0085709A" w:rsidRDefault="0085709A" w:rsidP="0085709A">
      <w:pPr>
        <w:pStyle w:val="TextoNormal"/>
      </w:pPr>
    </w:p>
    <w:p w:rsidR="0085709A" w:rsidRDefault="0085709A" w:rsidP="0085709A">
      <w:pPr>
        <w:pStyle w:val="TextoNormal"/>
      </w:pPr>
      <w:r>
        <w:t>a) Recuerda el escrito la doctrina contenida en la STC 3/2003, de 16 de enero, FJ 6, en relación con la traslación a los presupuestos autonómicos de las normas constitucionales relativas a la elaboración, examen, enmienda y aprobación de los presupuestos generales del Estado. A pesar de que la STC 116/1994, de 18 de abril, consideró que la prohibición de crear tributos mediante ley de presupuestos del art. 134.7 CE no sería aplicable a las leyes de presupuestos autonómicas mientras no existiera una previsión estatutaria, dicha Sentencia aclaró que en tal caso no se estaba ante un supuesto de establecimiento de un tributo sino de su modificación.</w:t>
      </w:r>
    </w:p>
    <w:p w:rsidR="0085709A" w:rsidRDefault="0085709A" w:rsidP="0085709A">
      <w:pPr>
        <w:pStyle w:val="TextoNormal"/>
      </w:pPr>
    </w:p>
    <w:p w:rsidR="0085709A" w:rsidRDefault="0085709A" w:rsidP="0085709A">
      <w:pPr>
        <w:pStyle w:val="TextoNormal"/>
      </w:pPr>
      <w:r>
        <w:t>Critica a continuación la demanda la doctrina contenida en la STC 116/1994, de la que discreparon cuatro magistrados, y que se apoyó en una interpretación formalista de la Constitución. Recoge en este punto los argumentos utilizados por el voto particular del Magistrado don Álvaro Rodríguez Bereijo. A partir de lo anterior, considera que esta doctrina debería modificarse en particular a la luz de la recogida en las posteriores SSTC 247/2007 y 31/2010, que han establecido que la estructura autonómica del Estado no puede alterar ni los derechos constitucionales, ni su régimen jurídico, doctrina que resulta aplicable a las denominadas garantías frente al propio legislador, entre las que se encuentra la restricción del art. 134.7 CE. Subsidiariamente, afirma que en todo caso la doctrina contenida en la STC 116/1994 no impide declarar inconstitucional el precepto que ahora se impugna toda vez que se trata ahora de la creación de un tributo nuevo.</w:t>
      </w:r>
    </w:p>
    <w:p w:rsidR="0085709A" w:rsidRDefault="0085709A" w:rsidP="0085709A">
      <w:pPr>
        <w:pStyle w:val="TextoNormal"/>
      </w:pPr>
    </w:p>
    <w:p w:rsidR="0085709A" w:rsidRDefault="0085709A" w:rsidP="0085709A">
      <w:pPr>
        <w:pStyle w:val="TextoNormal"/>
      </w:pPr>
      <w:r>
        <w:t>Añade, por último, que el artículo 46.1 de la Ley Orgánica 7/1981, de 30 de diciembre, por la que se aprueba el Estatuto de Autonomía del Principado de Asturias, consagra el principio de reserva de ley, que debe entenderse en los términos descritos en el texto constitucional, al que la norma estatutaria que la subordinada, y por lo tanto debe entenderse incluyendo las restricciones que a las leyes de presupuestos impone el citado art. 134.7 CE.</w:t>
      </w:r>
    </w:p>
    <w:p w:rsidR="0085709A" w:rsidRDefault="0085709A" w:rsidP="0085709A">
      <w:pPr>
        <w:pStyle w:val="TextoNormal"/>
      </w:pPr>
    </w:p>
    <w:p w:rsidR="0085709A" w:rsidRDefault="0085709A" w:rsidP="0085709A">
      <w:pPr>
        <w:pStyle w:val="TextoNormal"/>
      </w:pPr>
      <w:r>
        <w:t>b) En segundo lugar, se refiere el alegato a la infracción del art. 6.2 LOFCA, partiendo de la doctrina contenida en las SSTC 122/2012, de 5 de junio, y 210/2012, de 14 de noviembre.</w:t>
      </w:r>
    </w:p>
    <w:p w:rsidR="0085709A" w:rsidRDefault="0085709A" w:rsidP="0085709A">
      <w:pPr>
        <w:pStyle w:val="TextoNormal"/>
      </w:pPr>
    </w:p>
    <w:p w:rsidR="0085709A" w:rsidRDefault="0085709A" w:rsidP="0085709A">
      <w:pPr>
        <w:pStyle w:val="TextoNormal"/>
      </w:pPr>
      <w:r>
        <w:t xml:space="preserve">Tras exponer detalladamente las principales conclusiones contenidas en estas Sentencias y otras citadas, se refiere el escrito a la Ley 16/2012, de 27 de diciembre, por la que se adoptan diversas medidas tributarias dirigidas a la consolidación de las finanzas públicas y al impulso de la actividad económica, y que establece un impuesto sustancialmente similar </w:t>
      </w:r>
      <w:r>
        <w:lastRenderedPageBreak/>
        <w:t>al que ahora se impugna, siendo la única diferencia entre ambos el diverso ámbito de aplicación, que deriva de la distinta proyección territorial de las competencias estatal y autonómica.</w:t>
      </w:r>
    </w:p>
    <w:p w:rsidR="0085709A" w:rsidRDefault="0085709A" w:rsidP="0085709A">
      <w:pPr>
        <w:pStyle w:val="TextoNormal"/>
      </w:pPr>
    </w:p>
    <w:p w:rsidR="0085709A" w:rsidRDefault="0085709A" w:rsidP="0085709A">
      <w:pPr>
        <w:pStyle w:val="TextoNormal"/>
      </w:pPr>
      <w:r>
        <w:t xml:space="preserve">En consecuencia, y en aplicación de la doctrina del </w:t>
      </w:r>
      <w:r w:rsidRPr="0085709A">
        <w:rPr>
          <w:i/>
        </w:rPr>
        <w:t>ius superveniens</w:t>
      </w:r>
      <w:r>
        <w:t>, la norma estatal será parámetro de constitucionalidad. Cita en este sentido la doctrina contenida en la STC 1/2003, de 16 de enero, FJ 9, de acuerdo con la cual la disconformidad sobrevenida de las disposiciones autonómicas cuestionadas con las nuevas bases adoptadas por el legislador estatal determina la actual inconstitucionalidad de aquellas disposiciones originariamente respetuosas del orden constitucional de distribución de competencias, recordando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(STC 1/2003, FJ 9, con cita de las SSTC 28/1997, de 13 de febrero, FJ 2; y 170/1989, de 19 de octubre, FJ 3).</w:t>
      </w:r>
    </w:p>
    <w:p w:rsidR="0085709A" w:rsidRDefault="0085709A" w:rsidP="0085709A">
      <w:pPr>
        <w:pStyle w:val="TextoNormal"/>
      </w:pPr>
    </w:p>
    <w:p w:rsidR="0085709A" w:rsidRDefault="0085709A" w:rsidP="0085709A">
      <w:pPr>
        <w:pStyle w:val="TextoNormal"/>
      </w:pPr>
      <w:r>
        <w:t>Constatada por tanto la completa identidad entre el impuesto autonómico impugnado y el impuesto estatal regulado en el artículo 19 de la Ley estatal, solicita se declare la inconstitucionalidad de la norma autonómica impugnada por infracción de los arts. 133 y 157.3 CE; y 6.2 LOFCA.</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26 de febrero de 2013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al Gobierno del Principado de Asturias y a la Junta General del Principado de Asturias,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—1 de febrero de 2013— para las partes del proceso y desde el día en que aparezca publicada la suspensión en el “Boletín Oficial del Estado” para los terceros, lo que se comunicó a los Presidentes del Gobierno del Principado de Asturias y de la Junta General del Principado de Asturias. Por último, también se ordenó publicar la incoación del recurso en el “Boletín Oficial del Estado” y en el “Boletín Oficial del Principado de Asturias”.</w:t>
      </w:r>
    </w:p>
    <w:p w:rsidR="0085709A" w:rsidRDefault="0085709A" w:rsidP="0085709A">
      <w:pPr>
        <w:pStyle w:val="TextoNormal"/>
      </w:pPr>
    </w:p>
    <w:p w:rsidR="0085709A" w:rsidRDefault="0085709A" w:rsidP="0085709A">
      <w:pPr>
        <w:pStyle w:val="TextoNormal"/>
      </w:pPr>
      <w:r w:rsidRPr="0085709A">
        <w:rPr>
          <w:rStyle w:val="NumeroAFNegritaCaracter"/>
        </w:rPr>
        <w:t>3</w:t>
      </w:r>
      <w:r>
        <w:t>. Mediante escrito registrado el 6 de marzo, el Presidente del Senado comunicó que la Cámara se personaba en el proceso, ofreciendo su colaboración.</w:t>
      </w:r>
    </w:p>
    <w:p w:rsidR="0085709A" w:rsidRDefault="0085709A" w:rsidP="0085709A">
      <w:pPr>
        <w:pStyle w:val="TextoNormal"/>
      </w:pPr>
    </w:p>
    <w:p w:rsidR="0085709A" w:rsidRDefault="0085709A" w:rsidP="0085709A">
      <w:pPr>
        <w:pStyle w:val="TextoNormal"/>
      </w:pPr>
      <w:r w:rsidRPr="0085709A">
        <w:rPr>
          <w:rStyle w:val="NumeroAFNegritaCaracter"/>
        </w:rPr>
        <w:t>4</w:t>
      </w:r>
      <w:r>
        <w:t>. El Presidente del Congreso de los Diputados, mediante escrito registrado el día 8 de marzo, comunicó que la Mesa de la Cámara había acordado que la Cámara se personase en este procedimiento y ofrecer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19 de marzo de 2013, el Letrado de la Junta General del Principado de Asturias se persona en el proceso sin formular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La Letrada del Servicio Jurídico del Principado de Asturias, en representación del Gobierno de esa Comunidad Autónoma cumplimentó el trámite de alegaciones mediante escrito registrado el 27 de marzo en el que solicita la desestimación del recurso de inconstitucionalidad.</w:t>
      </w:r>
    </w:p>
    <w:p w:rsidR="0085709A" w:rsidRDefault="0085709A" w:rsidP="0085709A">
      <w:pPr>
        <w:pStyle w:val="TextoNormal"/>
      </w:pPr>
    </w:p>
    <w:p w:rsidR="0085709A" w:rsidRDefault="0085709A" w:rsidP="0085709A">
      <w:pPr>
        <w:pStyle w:val="TextoNormal"/>
      </w:pPr>
      <w:r>
        <w:t>Comienza el alegato recogiendo el tenor literal del art. 41 y de la disposición final séptima de la Ley de la Junta General del Principado de Asturias 3/2012, de 28 de diciembre, de presupuestos generales para 2013.</w:t>
      </w:r>
    </w:p>
    <w:p w:rsidR="0085709A" w:rsidRDefault="0085709A" w:rsidP="0085709A">
      <w:pPr>
        <w:pStyle w:val="TextoNormal"/>
      </w:pPr>
    </w:p>
    <w:p w:rsidR="0085709A" w:rsidRDefault="0085709A" w:rsidP="0085709A">
      <w:pPr>
        <w:pStyle w:val="TextoNormal"/>
      </w:pPr>
      <w:r>
        <w:t>Se refiere a continuación a la finalidad que cumple la competencia del Estado de delimitar el poder tributario de las Comunidades Autónomas, refiriéndose a la doctrina contenida en las SSTC 13/2007, de 18 de enero, y 210/2012, de 14 de noviembre, así como a la doctrina constitucional que se refiere al ejercicio coordinado de las competencias financieras. Conecta lo anterior con la íntima relación que para la consecución de la autonomía política tiene la plena disposición de medios financieros.</w:t>
      </w:r>
    </w:p>
    <w:p w:rsidR="0085709A" w:rsidRDefault="0085709A" w:rsidP="0085709A">
      <w:pPr>
        <w:pStyle w:val="TextoNormal"/>
      </w:pPr>
    </w:p>
    <w:p w:rsidR="0085709A" w:rsidRDefault="0085709A" w:rsidP="0085709A">
      <w:pPr>
        <w:pStyle w:val="TextoNormal"/>
      </w:pPr>
      <w:r>
        <w:t>A partir de la anterior, se refiere en primer lugar a la pretendida contradicción con el art. 134.7 CE. Tras citar in extenso la doctrina contenida en la STC 116/1994, FJ 5, niega que dicho límite pueda ser aplicable sin más a las Comunidades Autónomas. Insiste además en que se trata de una doctrina perfectamente asumida por el Tribunal Constitucional, que sigue manteniendo el mismo criterio, citando en ese sentido las SSTC 7/2010, y 136/2011.</w:t>
      </w:r>
    </w:p>
    <w:p w:rsidR="0085709A" w:rsidRDefault="0085709A" w:rsidP="0085709A">
      <w:pPr>
        <w:pStyle w:val="TextoNormal"/>
      </w:pPr>
    </w:p>
    <w:p w:rsidR="0085709A" w:rsidRDefault="0085709A" w:rsidP="0085709A">
      <w:pPr>
        <w:pStyle w:val="TextoNormal"/>
      </w:pPr>
      <w:r>
        <w:t>El hecho de que se trate de un tributo nuevo, y no de una mera modificación de un tributo ya existente, no enerva lo anterior, afirmando que la interpretación realizada por la demanda “resulta pueril” y no puede determinar la inconstitucionalidad de la norma. Añade, en fin, que la Ley de presupuestos cumple sobradamente el principio de reserva de ley puesto que se trata de una ley verdadera, refiriéndose a continuación al propio debate de la Ley de presupuestos que se impugna ahora, y en el que ninguna de las enmiendas propuestas hizo especial consideración a la creación de este impuesto. Por tanto, no se discutió en mayor medida porque no se quiso, habiendo habido plena oportunidad para ello.</w:t>
      </w:r>
    </w:p>
    <w:p w:rsidR="0085709A" w:rsidRDefault="0085709A" w:rsidP="0085709A">
      <w:pPr>
        <w:pStyle w:val="TextoNormal"/>
      </w:pPr>
    </w:p>
    <w:p w:rsidR="0085709A" w:rsidRDefault="0085709A" w:rsidP="0085709A">
      <w:pPr>
        <w:pStyle w:val="TextoNormal"/>
      </w:pPr>
      <w:r>
        <w:t>En segundo lugar, se refiere a la infracción del art. 6.2 LOFCA. Efectivamente el art. 19 de la Ley estatal 16/2012, de 27 de diciembre, crea un impuesto de depósito en las entidades de crédito con el mismo hecho imponible regulado por el impuesto autonómico, ocasionando por tanto, en principio, el supuesto de hecho regulado en el art. 6.2 LOFCA.</w:t>
      </w:r>
    </w:p>
    <w:p w:rsidR="0085709A" w:rsidRDefault="0085709A" w:rsidP="0085709A">
      <w:pPr>
        <w:pStyle w:val="TextoNormal"/>
      </w:pPr>
    </w:p>
    <w:p w:rsidR="0085709A" w:rsidRDefault="0085709A" w:rsidP="0085709A">
      <w:pPr>
        <w:pStyle w:val="TextoNormal"/>
      </w:pPr>
      <w:r>
        <w:t>Sin embargo, el impuesto autonómico es previo al estatal, sin que la Administración de esta Comunidad Autónoma iniciara en modo alguno una “carrera legislativa” contra el Estado, sino que, de la tramitación parlamentaria de la Ley estatal se deduce justamente lo contrario. Para probar esta afirmación, se describe en detalle el proceso legislativo que condujo a la aprobación de la Ley estatal, afirmando que en definitiva el establecimiento del impuesto del Estado fue consecuencia de la Sentencia del Tribunal Constitucional 210/2012, de 14 de noviembre, y tuvo por finalidad armonizar las disposiciones legislativas autonómicas en la materia, lo que habría requerido del instrumento del art. 150.3 CE.</w:t>
      </w:r>
    </w:p>
    <w:p w:rsidR="0085709A" w:rsidRDefault="0085709A" w:rsidP="0085709A">
      <w:pPr>
        <w:pStyle w:val="TextoNormal"/>
      </w:pPr>
    </w:p>
    <w:p w:rsidR="0085709A" w:rsidRDefault="0085709A" w:rsidP="0085709A">
      <w:pPr>
        <w:pStyle w:val="TextoNormal"/>
      </w:pPr>
      <w:r>
        <w:lastRenderedPageBreak/>
        <w:t>En todo caso, incluso si la regulación estatal hubiera sido previa, no se produce la denunciada coincidencia entre ambos tributos, dado el impuesto estatal no grava un hecho imponible sino que se limita a realizar una reserva del mismo, utilizando de manera desviada una potestad tributaria reconocida constitucionalmente con la finalidad de recaudar. No cabe, crear tributos íntegramente extrafiscales, carentes de toda finalidad contributiva, de acuerdo con la doctrina reiterada del Tribunal Constitucional, toda vez que el tributo es una prestación patrimonial coactiva que tiene como finalidad la contribución al sostenimiento de los gastos públicos, lo que ha reiterado este tribunal entre otras en la STC 233/1999.</w:t>
      </w:r>
    </w:p>
    <w:p w:rsidR="0085709A" w:rsidRDefault="0085709A" w:rsidP="0085709A">
      <w:pPr>
        <w:pStyle w:val="TextoNormal"/>
      </w:pPr>
    </w:p>
    <w:p w:rsidR="0085709A" w:rsidRDefault="0085709A" w:rsidP="0085709A">
      <w:pPr>
        <w:pStyle w:val="TextoNormal"/>
      </w:pPr>
      <w:r w:rsidRPr="0085709A">
        <w:rPr>
          <w:rStyle w:val="NumeroAFNegritaCaracter"/>
        </w:rPr>
        <w:t>7</w:t>
      </w:r>
      <w:r>
        <w:t>. Próximo a finalizar el plazo de cinco meses que señala el art. 161.2 CE desde que se produjo la suspensión del art. 41 y de la disposición final séptima de la Ley de la Junta General del Principado de Asturias 3/2012, de 28 de diciembre, de presupuestos generales para 2013, el Pleno, mediante providencia de 1 de abril de 2013, acordó oír a las partes personadas para que, en el plazo de cinco días, expusieran lo que considerasen conveniente acerca del mantenimiento o levantamiento de dicha suspensión.</w:t>
      </w:r>
    </w:p>
    <w:p w:rsidR="0085709A" w:rsidRDefault="0085709A" w:rsidP="0085709A">
      <w:pPr>
        <w:pStyle w:val="TextoNormal"/>
      </w:pPr>
    </w:p>
    <w:p w:rsidR="0085709A" w:rsidRDefault="0085709A" w:rsidP="0085709A">
      <w:pPr>
        <w:pStyle w:val="TextoNormal"/>
      </w:pPr>
      <w:r w:rsidRPr="0085709A">
        <w:rPr>
          <w:rStyle w:val="NumeroAFNegritaCaracter"/>
        </w:rPr>
        <w:t>8</w:t>
      </w:r>
      <w:r>
        <w:t>. Evacuado el trámite conferido, el Pleno del Tribunal dictó el ATC 154/2013, de 9 de julio, acordando levantar la suspensión del art. 41 y de la disposición final séptima de la Ley de la Junta General del Principado de Asturias 3/2012, de 28 de diciembre, de presupuestos generales para 2013.</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26 de mayo de 2015 se señaló el día 28 de dicho mes y año para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Este recurso de inconstitucionalidad se dirige contra el art. 41 y la disposición final séptima de la Ley de la Junta General del Principado de Asturias 3/2012, de 28 de diciembre, de presupuestos generales para 2013 (Ley 3/2012, en adelante), norma que establece un impuesto sobre depósitos en entidades de crédito.</w:t>
      </w:r>
    </w:p>
    <w:p w:rsidR="0085709A" w:rsidRDefault="0085709A" w:rsidP="0085709A">
      <w:pPr>
        <w:pStyle w:val="TextoNormal"/>
      </w:pPr>
    </w:p>
    <w:p w:rsidR="0085709A" w:rsidRDefault="0085709A" w:rsidP="0085709A">
      <w:pPr>
        <w:pStyle w:val="TextoNormal"/>
      </w:pPr>
      <w:r>
        <w:t>La demanda considera vulnerados los arts. 134.7 CE y 6.2 de la Ley Orgánica de financiación de las Comunidades Autónomas (LOFCA), en los términos expuestos en el antecedente primero, mientras que la representación procesal de la Junta General del Principado de Asturias interesa la desestimación íntegra en los términos también recogidos en los antecedentes.</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examinar el fondo de esta controversia, debemos determinar dos cuestiones previas:</w:t>
      </w:r>
    </w:p>
    <w:p w:rsidR="0085709A" w:rsidRDefault="0085709A" w:rsidP="0085709A">
      <w:pPr>
        <w:pStyle w:val="TextoNormal"/>
      </w:pPr>
    </w:p>
    <w:p w:rsidR="0085709A" w:rsidRDefault="0085709A" w:rsidP="0085709A">
      <w:pPr>
        <w:pStyle w:val="TextoNormal"/>
      </w:pPr>
      <w:r>
        <w:t>a) Debemos establecer si pervive su objeto en relación con el art. 41, expulsado del ordenamiento por la disposición derogatoria del Decreto Legislativo 1/2014, de 23 de julio, por el que se aprueba el texto refundido de las disposiciones legales del Principado de Asturias en materia de tributos propios, cuyos artículos 52 a 68 regulan ahora el mismo impuesto sobre depósitos en entidades de crédito en términos equivalentes, manteniéndose en esta regulación la misma estructura del impuesto.</w:t>
      </w:r>
    </w:p>
    <w:p w:rsidR="0085709A" w:rsidRDefault="0085709A" w:rsidP="0085709A">
      <w:pPr>
        <w:pStyle w:val="TextoNormal"/>
      </w:pPr>
    </w:p>
    <w:p w:rsidR="0085709A" w:rsidRDefault="0085709A" w:rsidP="0085709A">
      <w:pPr>
        <w:pStyle w:val="TextoNormal"/>
      </w:pPr>
      <w:r>
        <w:t>De acuerdo con nuestra doctrina, la regla general es que en los procesos de inconstitucionalidad la derogación de la norma que se recurre produce la extinción del proceso (por todas, SSTC 19/2012, de 15 de febrero, FJ 2; 216/2012, de 14 de noviembre, FJ 2, y 9/2013, de 28 de enero, FJ 2), ya que la finalidad de este proceso abstracto no es otro que la depuración del ordenamiento jurídico, algo innecesario cuando, como aquí sucede, el propio legislador ha expulsado la norma de dicho ordenamiento.</w:t>
      </w:r>
    </w:p>
    <w:p w:rsidR="0085709A" w:rsidRDefault="0085709A" w:rsidP="0085709A">
      <w:pPr>
        <w:pStyle w:val="TextoNormal"/>
      </w:pPr>
    </w:p>
    <w:p w:rsidR="0085709A" w:rsidRDefault="0085709A" w:rsidP="0085709A">
      <w:pPr>
        <w:pStyle w:val="TextoNormal"/>
      </w:pPr>
      <w:r>
        <w:t>Esta regla conoce excepciones, entre ellas, y por lo que aquí interesa, no pierden objeto aquellos procesos en los que se trata de realizar un control sobre los vicios de validez que pudieran haber incidido sobre la propia aprobación de una norma (por todas, SSTC 44/2015, de 5 de marzo, FJ 1; 86/2013, de 11 de abril, FJ 2; y 136/2011, de 13 de septiembre, FJ 2). Éste es el caso del primer motivo impugnatorio, referido al límite del art. 134.7 CE y su eventual aplicación a las leyes de presupuestos del Principado de Asturias.</w:t>
      </w:r>
    </w:p>
    <w:p w:rsidR="0085709A" w:rsidRDefault="0085709A" w:rsidP="0085709A">
      <w:pPr>
        <w:pStyle w:val="TextoNormal"/>
      </w:pPr>
    </w:p>
    <w:p w:rsidR="0085709A" w:rsidRDefault="0085709A" w:rsidP="0085709A">
      <w:pPr>
        <w:pStyle w:val="TextoNormal"/>
      </w:pPr>
      <w:r>
        <w:t>La excepción de la regla general que afecta a este proceso, es que el pleito tenga carácter competencial y que tal controversia no pueda entenderse resuelta con la derogación de la norma [por todas, SSTC 134/2011, de 20 de julio, FJ 2 b); 161/2012, de 20 de septiembre, FJ 2 b); 133/2012, de 19 de junio, FJ 2, y 26/2015, de 19 de febrero, FJ 3]. Así sucede en este caso, ya que el precepto derogado ha sido sustituido por otra norma que plantearía, en su caso, similares problemas de constitucionalidad.</w:t>
      </w:r>
    </w:p>
    <w:p w:rsidR="0085709A" w:rsidRDefault="0085709A" w:rsidP="0085709A">
      <w:pPr>
        <w:pStyle w:val="TextoNormal"/>
      </w:pPr>
    </w:p>
    <w:p w:rsidR="0085709A" w:rsidRDefault="0085709A" w:rsidP="0085709A">
      <w:pPr>
        <w:pStyle w:val="TextoNormal"/>
      </w:pPr>
      <w:r>
        <w:t>En consecuencia, el presente proceso no ha perdido objeto, subsistiendo ambos motivos impugnatorios.</w:t>
      </w:r>
    </w:p>
    <w:p w:rsidR="0085709A" w:rsidRDefault="0085709A" w:rsidP="0085709A">
      <w:pPr>
        <w:pStyle w:val="TextoNormal"/>
      </w:pPr>
    </w:p>
    <w:p w:rsidR="0085709A" w:rsidRDefault="0085709A" w:rsidP="0085709A">
      <w:pPr>
        <w:pStyle w:val="TextoNormal"/>
      </w:pPr>
      <w:r>
        <w:t xml:space="preserve">b) Por lo que hace al segundo motivo de inconstitucionalidad, la infracción del art. 6.2 LOFCA, debemos asimismo precisar el canon para su resolución, partiendo para ello de nuestra doctrina sobre el </w:t>
      </w:r>
      <w:r w:rsidRPr="0085709A">
        <w:rPr>
          <w:i/>
        </w:rPr>
        <w:t>ius superveniens</w:t>
      </w:r>
      <w:r>
        <w:t xml:space="preserve"> aplicable a procesos como el presente, de manera que las normas que incurren en un posible exceso competencial deben controlarse teniendo en cuenta las normas del bloque de la constitucionalidad vigentes en el momento de dictar sentencia [por todas, SSTC 30/2015, de 19 de febrero, FJ 2; 35/2012, de 15 de marzo, FJ 2 c), y 210/2012, de 14 de noviembre, FJ 2 c)].</w:t>
      </w:r>
    </w:p>
    <w:p w:rsidR="0085709A" w:rsidRDefault="0085709A" w:rsidP="0085709A">
      <w:pPr>
        <w:pStyle w:val="TextoNormal"/>
      </w:pPr>
    </w:p>
    <w:p w:rsidR="0085709A" w:rsidRDefault="0085709A" w:rsidP="0085709A">
      <w:pPr>
        <w:pStyle w:val="TextoNormal"/>
      </w:pPr>
      <w:r>
        <w:t>Será aquí por tanto preciso comparar el impuesto establecido por el Principado de Asturias con el previamente establecido por el Estado (impuesto sobre los depósitos en las entidades de crédito), teniendo en cuenta a estos efectos la redacción de este último tributo vigente en el momento de dictar sentencia. En concreto, deberá atenderse al impuesto sobre los depósitos en las entidades de crédito regulado en la Ley 16/2012 en su redacción actual, tras las dos modificaciones que han tenido lugar: en primer lugar, mediante el art. 124 del Real Decreto-ley 8/2014, de 4 de julio, de aprobación de medidas urgentes para el crecimiento, la competitividad y la eficiencia (Real Decreto-ley 8/2014, en adelante); y, en segundo lugar, por el art. 124 de la Ley 18/2014, de 15 de octubre, de aprobación de medidas urgentes para el crecimiento, la competitividad y la eficiencia (Ley 18/2014, en adelante), declarado constitucional en la Sentencia de fecha de 26 de mayo, dictada en el recurso de inconstitucionalidad núm. 275-2015.</w:t>
      </w:r>
    </w:p>
    <w:p w:rsidR="0085709A" w:rsidRDefault="0085709A" w:rsidP="0085709A">
      <w:pPr>
        <w:pStyle w:val="TextoNormal"/>
      </w:pPr>
    </w:p>
    <w:p w:rsidR="0085709A" w:rsidRDefault="0085709A" w:rsidP="0085709A">
      <w:pPr>
        <w:pStyle w:val="TextoNormal"/>
      </w:pPr>
      <w:r>
        <w:lastRenderedPageBreak/>
        <w:t>Si bien es cierto que el art. 124 del Real Decreto-ley 8/2014 es objeto de dos recursos de inconstitucionalidad pendientes (núms. 5952-2014 y 5970-2014), este dato carece de relevancia para la resolución del presente recurso de inconstitucionalidad, pues en el hipotético caso de que se considerara inconstitucional por cualquier razón, tendría vigencia la redacción actual del art. 19 de la Ley 16/2012 dada por el art. 124 de la Ley 18/2014, declarado constitucional, como se ha indicado previamente, en la Sentencia de fecha de 26 de mayo, dictada en el recurso de inconstitucionalidad núm. 275-2015. Y ello porque posee idéntica dicción y efectos retroactivos (a 1 de enero de 2014) que el art. 124 del Real Decreto-ley 8/2014 eventualmente declarado inconstitucional.</w:t>
      </w:r>
    </w:p>
    <w:p w:rsidR="0085709A" w:rsidRDefault="0085709A" w:rsidP="0085709A">
      <w:pPr>
        <w:pStyle w:val="TextoNormal"/>
      </w:pPr>
    </w:p>
    <w:p w:rsidR="0085709A" w:rsidRDefault="0085709A" w:rsidP="0085709A">
      <w:pPr>
        <w:pStyle w:val="TextoNormal"/>
      </w:pPr>
      <w:r w:rsidRPr="0085709A">
        <w:rPr>
          <w:rStyle w:val="NumeroAFNegritaCaracter"/>
        </w:rPr>
        <w:t>3</w:t>
      </w:r>
      <w:r>
        <w:t>. Debemos abordar, en primer lugar, la impugnación que se refiere al vehículo normativo empleado para la creación del tributo por el Principado de Asturias. Considera la demanda que se ha vulnerado el límite material a la ley de presupuestos contenido en el art. 134.7 CE.</w:t>
      </w:r>
    </w:p>
    <w:p w:rsidR="0085709A" w:rsidRDefault="0085709A" w:rsidP="0085709A">
      <w:pPr>
        <w:pStyle w:val="TextoNormal"/>
      </w:pPr>
    </w:p>
    <w:p w:rsidR="0085709A" w:rsidRDefault="0085709A" w:rsidP="0085709A">
      <w:pPr>
        <w:pStyle w:val="TextoNormal"/>
      </w:pPr>
      <w:r>
        <w:t>Existe en este momento una doctrina consolidada sobre los límites materiales a la Ley de presupuestos, así como su aplicación a las homónimas leyes presupuestarias autonómicas, que ha sido recordada recientemente, entre otras, en la STC 86/2013, de 11 de abril (recurso de inconstitucionalidad dirigido contra la disposición adicional undécima de la Ley de las Cortes Valencianas 15/2007, de 27 de diciembre, de presupuestos para el ejercicio 2008). En esta doctrina hemos reiterado que el art. 134 CE regula una institución estatal, el presupuesto del Estado, y que como regla general no resulta aplicable a los presupuestos de las Comunidades Autónomas, a las que serán de aplicación las disposiciones de la Ley Orgánica 8/1980, de 22 de septiembre, de financiación de las Comunidades Autónomas (LOFCA) y de su respectivo Estatuto de Autonomía.</w:t>
      </w:r>
    </w:p>
    <w:p w:rsidR="0085709A" w:rsidRDefault="0085709A" w:rsidP="0085709A">
      <w:pPr>
        <w:pStyle w:val="TextoNormal"/>
      </w:pPr>
    </w:p>
    <w:p w:rsidR="0085709A" w:rsidRDefault="0085709A" w:rsidP="0085709A">
      <w:pPr>
        <w:pStyle w:val="TextoNormal"/>
      </w:pPr>
      <w:r>
        <w:t>A partir de ahí hemos examinado, de un lado, la aplicación de los límites del art. 134.2 CE, que se refieren al contenido posible de una ley de presupuestos; y, de otro, el límite específico acerca de la aplicación de la prohibición de establecer tributos mediante ley de presupuestos que se contiene en el art. 134.7 CE.</w:t>
      </w:r>
    </w:p>
    <w:p w:rsidR="0085709A" w:rsidRDefault="0085709A" w:rsidP="0085709A">
      <w:pPr>
        <w:pStyle w:val="TextoNormal"/>
      </w:pPr>
    </w:p>
    <w:p w:rsidR="0085709A" w:rsidRDefault="0085709A" w:rsidP="0085709A">
      <w:pPr>
        <w:pStyle w:val="TextoNormal"/>
      </w:pPr>
      <w:r>
        <w:t xml:space="preserve">a) Por lo que se refiere a los límites que se derivan del art. 134.2 de la Constitución, en los procesos constitucionales en los que resultaba controvertido el contenido posible de una ley de presupuestos autonómica, hemos examinado las normas que integran el bloque de la constitucionalidad aplicable a la institución presupuestaria de la Comunidad Autónoma en cuestión. Así lo hemos hecho en el caso de la Comunidad Autónoma de Aragón (STC 174/1998, de 23 de julio, FJ 6); de Cantabria (STC 130/1999, de 1 de julio, FJ 5); de La Rioja (STC 180/2000, de 29 de junio, FJ 5); de las Islas Canarias (STC 274/2000, de 15 de noviembre, FJ 6); del País Vasco (STC 3/2003, de 16 de enero, FJ 6); de Madrid (STC 202/2003, de 17 de noviembre, FJ 10); de Castilla-La Mancha (STC 74/2011, de 19 de mayo, FJ 3); o, finalmente, de la Comunidad Valenciana (SSTC 7/2010, de 27 de abril, y 86/2013, de 11 de abril, FFJJ 3 y 4 ). En todos estos casos, al contener una cláusula similar al art. 134.2 CE tanto la Ley Orgánica 8/1980, de financiación de las Comunidades Autónomas (art. 21.1) como todos los Estatutos de Autonomía enjuiciados, llegamos a la conclusión de que del bloque de la constitucionalidad aplicable a la Comunidad Autónoma puede deducirse “un principio general de que el contenido de la Ley de Presupuestos autonómica se adecúe a la función institucional que le es propia, sin que puedan incluirse en ella normas que no guarden relación directa con el programa de ingresos y de gastos o con los </w:t>
      </w:r>
      <w:r>
        <w:lastRenderedPageBreak/>
        <w:t>criterios de la política económica en que se sustentan, o que no sean un complemento necesario para la mayor inteligencia y para la mejor y más eficaz ejecución del Presupuesto” (SSTC 174/1998, FJ 6, y 130/1999, FJ 5).</w:t>
      </w:r>
    </w:p>
    <w:p w:rsidR="0085709A" w:rsidRDefault="0085709A" w:rsidP="0085709A">
      <w:pPr>
        <w:pStyle w:val="TextoNormal"/>
      </w:pPr>
    </w:p>
    <w:p w:rsidR="0085709A" w:rsidRDefault="0085709A" w:rsidP="0085709A">
      <w:pPr>
        <w:pStyle w:val="TextoNormal"/>
      </w:pPr>
      <w:r>
        <w:t>La conclusión de la anterior doctrina es que hemos considerado que los límites al contenido posible o eventual de la Ley de presupuestos derivados del art. 134.2 CE son de aplicación a las leyes de presupuestos de las Comunidades Autónomas siempre que haya una identidad sustancial en las normas que integren el bloque de la constitucionalidad aplicable a la Comunidad Autónoma, conclusión que en todos los supuestos examinados ha arrojado un resultado positivo. Y en el caso concreto del Principado de Asturias, tal cláusula se recoge en el art. 47.3 de su Estatuto de Autonomía, regulado en la Ley Orgánica 7/1981, de 30 de diciembre: “El presupuesto tendrá carácter anual e incluirá la totalidad de los gastos e ingresos del Principado y de los organismos e instituciones de él dependientes”.</w:t>
      </w:r>
    </w:p>
    <w:p w:rsidR="0085709A" w:rsidRDefault="0085709A" w:rsidP="0085709A">
      <w:pPr>
        <w:pStyle w:val="TextoNormal"/>
      </w:pPr>
    </w:p>
    <w:p w:rsidR="0085709A" w:rsidRDefault="0085709A" w:rsidP="0085709A">
      <w:pPr>
        <w:pStyle w:val="TextoNormal"/>
      </w:pPr>
      <w:r>
        <w:t>b) En el caso de la prohibición contenida en el art. 134.7 CE, que es la que aquí importa, hemos procedido de igual modo, partiendo por tanto de que se contiene en él una limitación constitucional que no resulta de aplicación a las leyes de presupuestos de las Comunidades Autónomas (STC 116/1994, de 18 de abril, FJ 5), de manera que si bien “el sistema tributario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sin embargo, estos principios comunes, “son únicamente, para el intérprete y aplicador del Derecho, los consagrados en los preceptos constitucionales, estatutarios y legales aplicables en cada una de las Comunidades Autónomas o los que puedan inducirse de estos preceptos. Pero no cabe derivarlos, sin más, de preceptos que regulen exclusivamente instituciones del Estado ni aplicarlos por analogía a las Comunidades Autónomas”. En consecuencia, “del segundo inciso del art. 134.7 C.E. no puede inducirse un principio general, de prohibición de modificar tributos por medio de las leyes de presupuestos autonómicas o forales sin la previa habilitación de una ley tributaria sustantiva” (STC 116/1994, FJ 5).</w:t>
      </w:r>
    </w:p>
    <w:p w:rsidR="0085709A" w:rsidRDefault="0085709A" w:rsidP="0085709A">
      <w:pPr>
        <w:pStyle w:val="TextoNormal"/>
      </w:pPr>
    </w:p>
    <w:p w:rsidR="0085709A" w:rsidRDefault="0085709A" w:rsidP="0085709A">
      <w:pPr>
        <w:pStyle w:val="TextoNormal"/>
      </w:pPr>
      <w:r>
        <w:t>Esta doctrina ha sido reiterada, entre otras, en la STC 7/2010, de 27 de abril, FJ 3, en la que reiteramos que “la regulación de los elementos esenciales de un tributo por ley de presupuestos en ningún caso puede vulnerar el principio de reserva de ley del art. 31.3 CE. Cuestión distinta es que esa regulación pueda ser contraria, en el caso de las leyes de presupuestos generales del Estado, a lo dispuesto en el art. 134.7 CE, porque este precepto prohíbe crear tributos mediante ley de presupuestos y sólo permite modificarlos cuando una ley tributaria sustantiva lo prevea. Ahora bien, esta limitación constitucional no resulta de aplicación a las leyes de presupuestos de las Comunidades Autónomas, lo que conduce a rechazar —digámoslo desde ahora— que la norma impugnada en el presente proceso constitucional haya vulnerado el art. 134.7 CE, en contra de lo que sostienen los recurrentes” (FJ 3).</w:t>
      </w:r>
    </w:p>
    <w:p w:rsidR="0085709A" w:rsidRDefault="0085709A" w:rsidP="0085709A">
      <w:pPr>
        <w:pStyle w:val="TextoNormal"/>
      </w:pPr>
    </w:p>
    <w:p w:rsidR="0085709A" w:rsidRDefault="0085709A" w:rsidP="0085709A">
      <w:pPr>
        <w:pStyle w:val="TextoNormal"/>
      </w:pPr>
      <w:r>
        <w:t xml:space="preserve">Pues bien, a partir de lo anterior, al igual que sucedía con el Estatuto de Autonomía de la Comunidad Valenciana (STC 7/2010), y con la Ley 13/1982, de 10 de agosto, de reintegración y amejoramiento del régimen foral de Navarra (STC 116/1994), el Estatuto del Principado de Asturias, regulado en la Ley Orgánica 7/1981, de 30 de diciembre, no contiene una limitación expresa de similar naturaleza a la establecida en el art. 134.7 CE. Tampoco la </w:t>
      </w:r>
      <w:r>
        <w:lastRenderedPageBreak/>
        <w:t>Ley Orgánica de financiación de las Comunidades Autónomas ha incorporado una prohibición similar. Debe por tanto alcanzarse la misma conclusión que en las Sentencias citadas, lo que conduce a la desestimación de este primer motivo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4</w:t>
      </w:r>
      <w:r>
        <w:t>. Distinta debe ser la conclusión en relación con el segundo motivo de inconstitucionalidad, referido a la infracción del art. 6.2 LOFCA.</w:t>
      </w:r>
    </w:p>
    <w:p w:rsidR="0085709A" w:rsidRDefault="0085709A" w:rsidP="0085709A">
      <w:pPr>
        <w:pStyle w:val="TextoNormal"/>
      </w:pPr>
    </w:p>
    <w:p w:rsidR="0085709A" w:rsidRDefault="0085709A" w:rsidP="0085709A">
      <w:pPr>
        <w:pStyle w:val="TextoNormal"/>
      </w:pPr>
      <w:r>
        <w:t>En efecto, un examen de los elementos esenciales del impuesto asturiano permite concluir, al igual que hicimos en la citada STC 30/2015 con el homónimo impuesto valenciano, que es sustancialmente similar al impuesto estatal sobre los depósitos, regulado en el art. 19 de la Ley 16/2012, tras las modificaciones referidas en el fundamento segundo.</w:t>
      </w:r>
    </w:p>
    <w:p w:rsidR="0085709A" w:rsidRDefault="0085709A" w:rsidP="0085709A">
      <w:pPr>
        <w:pStyle w:val="TextoNormal"/>
      </w:pPr>
    </w:p>
    <w:p w:rsidR="0085709A" w:rsidRDefault="0085709A" w:rsidP="0085709A">
      <w:pPr>
        <w:pStyle w:val="TextoNormal"/>
      </w:pPr>
      <w:r>
        <w:t>A esta conclusión conduce el análisis de los elementos esenciales del tributo asturiano:</w:t>
      </w:r>
    </w:p>
    <w:p w:rsidR="0085709A" w:rsidRDefault="0085709A" w:rsidP="0085709A">
      <w:pPr>
        <w:pStyle w:val="TextoNormal"/>
      </w:pPr>
    </w:p>
    <w:p w:rsidR="0085709A" w:rsidRDefault="0085709A" w:rsidP="0085709A">
      <w:pPr>
        <w:pStyle w:val="TextoNormal"/>
      </w:pPr>
      <w:r>
        <w:t>— El hecho imponible lo constituye “el mantenimiento de fondos de terceros, cualquiera que sea su naturaleza jurídica, por parte de las entidades mencionadas en el punto cuatro del presente artículo, y que comporten la obligación de restitución” (art. 41.2 de la Ley 3/2012). El impuesto estatal define el hecho imponible de forma similar, como “el mantenimiento de fondos de terceros, cualquiera que sea su naturaleza jurídica, por los contribuyentes señalados en el apartado Seis de este artículo, y que comporten la obligación de restitución, a excepción de los fondos mantenidos en sucursales fuera del territorio español” (art. 19.3 de la Ley 16/2012).</w:t>
      </w:r>
    </w:p>
    <w:p w:rsidR="0085709A" w:rsidRDefault="0085709A" w:rsidP="0085709A">
      <w:pPr>
        <w:pStyle w:val="TextoNormal"/>
      </w:pPr>
    </w:p>
    <w:p w:rsidR="0085709A" w:rsidRDefault="0085709A" w:rsidP="0085709A">
      <w:pPr>
        <w:pStyle w:val="TextoNormal"/>
      </w:pPr>
      <w:r>
        <w:t>— La base imponible la constituye “la cuantía económica total, en términos de fondos, calculada promediando aritméticamente el saldo final de cada trimestre natural del período impositivo, de la partida del Pasivo del Balance reservado de las Entidades de Crédito 4. Depósitos de la clientela excluidos los importes de los epígrafes correspondientes a las partidas de Ajustes por valoración (4.1.5, 4.2.5, 4.3.2 y 4.4.5).” (Art. 41.5 de la Ley 3/2012). Por su parte, la base imponible del impuesto estatal es “el importe resultante de promediar aritméticamente el saldo final de cada trimestre natural del periodo impositivo, con independencia de la duración del periodo impositivo, correspondiente a la partida 4 ‘Depósitos de la clientela’ del Pasivo del Balance reservado de las entidades de crédito, incluidos en los estados financieros individuales” (art. 19.7 de la Ley 16/2012), con los ajustes a que se refiere el mismo precepto.</w:t>
      </w:r>
    </w:p>
    <w:p w:rsidR="0085709A" w:rsidRDefault="0085709A" w:rsidP="0085709A">
      <w:pPr>
        <w:pStyle w:val="TextoNormal"/>
      </w:pPr>
    </w:p>
    <w:p w:rsidR="0085709A" w:rsidRDefault="0085709A" w:rsidP="0085709A">
      <w:pPr>
        <w:pStyle w:val="TextoNormal"/>
      </w:pPr>
      <w:r>
        <w:t>— Coinciden también los sujetos pasivos, las entidades de crédito en ambos casos (art. 41.4 de la Ley 3/2012, art. 19.6 de la Ley 16/2012).</w:t>
      </w:r>
    </w:p>
    <w:p w:rsidR="0085709A" w:rsidRDefault="0085709A" w:rsidP="0085709A">
      <w:pPr>
        <w:pStyle w:val="TextoNormal"/>
      </w:pPr>
    </w:p>
    <w:p w:rsidR="0085709A" w:rsidRDefault="0085709A" w:rsidP="0085709A">
      <w:pPr>
        <w:pStyle w:val="TextoNormal"/>
      </w:pPr>
      <w:r>
        <w:t>— Al igual que en el caso del impuesto valenciano, difiere el autonómico del estatal únicamente en la cuota tributaria, que es una escala de gravamen en el caso del tributo asturiano (art. 41.6 de la Ley 3/2012):</w:t>
      </w:r>
    </w:p>
    <w:p w:rsidR="0085709A" w:rsidRDefault="0085709A" w:rsidP="0085709A">
      <w:pPr>
        <w:pStyle w:val="TextoNormal"/>
      </w:pPr>
    </w:p>
    <w:p w:rsidR="0085709A" w:rsidRDefault="0085709A" w:rsidP="0085709A">
      <w:pPr>
        <w:pStyle w:val="TextoNormal"/>
      </w:pPr>
    </w:p>
    <w:p w:rsidR="0085709A" w:rsidRDefault="0085709A" w:rsidP="0085709A">
      <w:pPr>
        <w:pStyle w:val="TextoNormal"/>
      </w:pPr>
      <w:r>
        <w:t>....Base imponible...........Cuota íntegra...........Resto base imponible...........Tipo aplicable</w:t>
      </w:r>
    </w:p>
    <w:p w:rsidR="0085709A" w:rsidRDefault="0085709A" w:rsidP="0085709A">
      <w:pPr>
        <w:pStyle w:val="TextoNormal"/>
      </w:pPr>
    </w:p>
    <w:p w:rsidR="0085709A" w:rsidRDefault="0085709A" w:rsidP="0085709A">
      <w:pPr>
        <w:pStyle w:val="TextoNormal"/>
      </w:pPr>
      <w:r>
        <w:t>......Hasta euros..................Euros.......................Hasta euros.....................Porcentaje...</w:t>
      </w:r>
    </w:p>
    <w:p w:rsidR="0085709A" w:rsidRDefault="0085709A" w:rsidP="0085709A">
      <w:pPr>
        <w:pStyle w:val="TextoNormal"/>
      </w:pPr>
    </w:p>
    <w:p w:rsidR="0085709A" w:rsidRDefault="0085709A" w:rsidP="0085709A">
      <w:pPr>
        <w:pStyle w:val="TextoNormal"/>
      </w:pPr>
      <w:r>
        <w:t>............-..............................-..........................150.000.000.........................0,3.........</w:t>
      </w:r>
    </w:p>
    <w:p w:rsidR="0085709A" w:rsidRDefault="0085709A" w:rsidP="0085709A">
      <w:pPr>
        <w:pStyle w:val="TextoNormal"/>
      </w:pPr>
    </w:p>
    <w:p w:rsidR="0085709A" w:rsidRDefault="0085709A" w:rsidP="0085709A">
      <w:pPr>
        <w:pStyle w:val="TextoNormal"/>
      </w:pPr>
      <w:r>
        <w:t>......150.000.000...............450.000....................450.000.000.........................0,4.........</w:t>
      </w:r>
    </w:p>
    <w:p w:rsidR="0085709A" w:rsidRDefault="0085709A" w:rsidP="0085709A">
      <w:pPr>
        <w:pStyle w:val="TextoNormal"/>
      </w:pPr>
    </w:p>
    <w:p w:rsidR="0085709A" w:rsidRDefault="0085709A" w:rsidP="0085709A">
      <w:pPr>
        <w:pStyle w:val="TextoNormal"/>
      </w:pPr>
      <w:r>
        <w:t>......600.000.000.............2.250.000....................En adelante..........................0,5.........</w:t>
      </w:r>
    </w:p>
    <w:p w:rsidR="0085709A" w:rsidRDefault="0085709A" w:rsidP="0085709A">
      <w:pPr>
        <w:pStyle w:val="TextoNormal"/>
      </w:pPr>
    </w:p>
    <w:p w:rsidR="0085709A" w:rsidRDefault="0085709A" w:rsidP="0085709A">
      <w:pPr>
        <w:pStyle w:val="TextoNormal"/>
      </w:pPr>
    </w:p>
    <w:p w:rsidR="0085709A" w:rsidRDefault="0085709A" w:rsidP="0085709A">
      <w:pPr>
        <w:pStyle w:val="TextoNormal"/>
      </w:pPr>
      <w:r>
        <w:t>Finalmente, también difieren en las deducciones que se establecen únicamente para las entidades de crédito efectivamente radicadas en el territorio del Principado de Asturias.</w:t>
      </w:r>
    </w:p>
    <w:p w:rsidR="0085709A" w:rsidRDefault="0085709A" w:rsidP="0085709A">
      <w:pPr>
        <w:pStyle w:val="TextoNormal"/>
      </w:pPr>
    </w:p>
    <w:p w:rsidR="0085709A" w:rsidRDefault="0085709A" w:rsidP="0085709A">
      <w:pPr>
        <w:pStyle w:val="TextoNormal"/>
      </w:pPr>
      <w:r w:rsidRPr="0085709A">
        <w:rPr>
          <w:rStyle w:val="NumeroAFNegritaCaracter"/>
        </w:rPr>
        <w:t>5</w:t>
      </w:r>
      <w:r>
        <w:t>. La exposición de los citados elementos esenciales permite concluir que el impuesto establecido por el Principado de Asturias coincide, en sus elementos esenciales, con el homónimo estatal, incurriendo por tanto en la incompatibilidad que establece el art. 6.2 LOFCA. Al igual que concluimos en la STC 30/2015, de 19 de febrero, en relación con el impuesto valenciano sobre los depósitos en las entidades de crédito, similar al aquí impugnado, las citadas coincidencias sustanciales, en los elementos esenciales de ambos impuestos, suponen la vulneración de los arts. 133.2 y 157.3 CE, así como del art. 6.2 LOFCA, lo que conduce a declarar la inconstitucionalidad y nulidad del art. 41 de la Ley de la Junta General del Principado de Asturias 3/2012, de 28 de diciembre, de presupuestos generales para 2013.</w:t>
      </w:r>
    </w:p>
    <w:p w:rsidR="0085709A" w:rsidRDefault="0085709A" w:rsidP="0085709A">
      <w:pPr>
        <w:pStyle w:val="TextoNormal"/>
      </w:pPr>
    </w:p>
    <w:p w:rsidR="0085709A" w:rsidRDefault="0085709A" w:rsidP="0085709A">
      <w:pPr>
        <w:pStyle w:val="TextoNormal"/>
      </w:pPr>
      <w:r>
        <w:t>Alcanzada la anterior conclusión, es innecesario declarar inconstitucional la disposición final séptima, impugnada en tanto que establecía la entrada en vigor del citado artículo 41 el día siguiente al de su publicación en el “Boletín Oficial del Principado de Asturias”.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inconstitucionalidad y declarar la inconstitucionalidad y nulidad del art. 41 de la Ley de la Junta General del Principado de Asturias 3/2012, de 28 de diciembre, de presupuestos generales para 2013.</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2" w:name="SENTENCIA_2015_109"/>
      <w:r>
        <w:lastRenderedPageBreak/>
        <w:t>SENTENCIA 109/2015, de 28 de mayo de 2015</w:t>
      </w:r>
    </w:p>
    <w:bookmarkEnd w:id="112"/>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ECLI:ES:TC:2015:109</w:t>
      </w:r>
    </w:p>
    <w:p w:rsidR="0085709A" w:rsidRDefault="0085709A" w:rsidP="0085709A">
      <w:pPr>
        <w:pStyle w:val="TextoNormalCentrado"/>
      </w:pPr>
    </w:p>
    <w:p w:rsidR="0085709A" w:rsidRDefault="0085709A" w:rsidP="0085709A">
      <w:pPr>
        <w:pStyle w:val="SntesisDescriptiva"/>
      </w:pPr>
      <w:r>
        <w:t>Cuestión de inconstitucionalidad 1457-2014. Planteada por la Sala de lo Social con sede en Burgos del Tribunal Superior de Justicia de la Comunidad Autónoma de Castilla y León en relación con el artículo 2.1 del Real Decreto-ley 28/2012, de 30 de noviembre, de medidas de consolidación y garantía del sistema de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constitucionalidad del precepto sobre actualización y revalorización de pensiones (STC 49/2015). Voto particular.</w:t>
      </w:r>
    </w:p>
    <w:p w:rsidR="0085709A" w:rsidRDefault="0085709A" w:rsidP="0085709A">
      <w:pPr>
        <w:pStyle w:val="SntesisAnaltica"/>
      </w:pPr>
    </w:p>
    <w:p w:rsidR="0085709A" w:rsidRDefault="0085709A" w:rsidP="0085709A">
      <w:pPr>
        <w:pStyle w:val="Extracto"/>
      </w:pPr>
      <w:r>
        <w:t>1.</w:t>
      </w:r>
      <w:r>
        <w:tab/>
        <w:t>La prohibición del art. 134.7 CE contiene una limitación constitucional que no resulta de aplicación a las leyes de presupuestos de las Comunidades Autónomas, por lo que no puede inducirse un principio general, de prohibición de modificar tributos por medio de las leyes de presupuestos autonómicas o forales sin la previa habilitación de una ley tributaria sustantiva (STC 116/1994) [FJ 3].</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carácter  expropiatorio [FJ 2].</w:t>
      </w:r>
    </w:p>
    <w:p w:rsidR="0085709A" w:rsidRDefault="0085709A" w:rsidP="0085709A">
      <w:pPr>
        <w:pStyle w:val="Extracto"/>
      </w:pPr>
    </w:p>
    <w:p w:rsidR="0085709A" w:rsidRDefault="0085709A" w:rsidP="0085709A">
      <w:pPr>
        <w:pStyle w:val="Extracto"/>
      </w:pPr>
      <w:r>
        <w:t>6.</w:t>
      </w:r>
      <w:r>
        <w:tab/>
        <w:t xml:space="preserve">Sólo son expropiables, y por tanto indemnizables, la privación de bienes y derechos o incluso intereses patrimoniales legítimos aun no garantizados como derechos subjetivos (por ejemplo, las situaciones en precario), pero en ningún caso lo son las expectativas; es más, la doctrina jurídica y la jurisprudencia consideran, casi unánimemente, que sólo son indemnizables las privaciones de derechos ciertos, </w:t>
      </w:r>
      <w:r>
        <w:lastRenderedPageBreak/>
        <w:t>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1457-2014,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marzo de 2014 tuvo entrada en el Registro General de este Tribunal un oficio de la Sala de lo Social con sede en Burgos del Tribunal Superior de Justicia de Castilla y León al que se acompaña, junto con el testimonio del procedimiento ordinario núm. 435-2013, Auto de 6 de febrero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Varios pensionistas interpusieron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w:t>
      </w:r>
      <w:r>
        <w:lastRenderedPageBreak/>
        <w:t>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1 de octubre de 2013 estimando en parte la demanda, declarando “el derecho de todos los demandantes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Instituto Nacional de la Seguridad Social (INSS) a abonar a los demandantes que se citan el pago de determinadas cantidades que se especifican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10 de diciembre de 2013.</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w:t>
      </w:r>
      <w:r>
        <w:lastRenderedPageBreak/>
        <w:t>“la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w:t>
      </w:r>
      <w:r>
        <w:lastRenderedPageBreak/>
        <w:t>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Si “[e]l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diligencia de ordenación de la Secretaría de Justicia del Tribunal Constitucional de 13 de marzo de 2014 se interesa que se certifique si además del Ministerio Fiscal el resto de las partes personadas evacuaron el traslado conferido en providencia de 10 de diciembre de 2013, remitiendo en su caso copia de los escritos presentados. La Sala proponente contestó que “en el presente procedimiento se dio el traslado acordado en la Providencia en la que se planteó la pertinencia de plantear la cuestión de inconstitucionalidad, pero sólo se presentó informe por el Ministerio Fiscal, cuyo testimonio se ha aportado en ese Tribunal”.</w:t>
      </w:r>
    </w:p>
    <w:p w:rsidR="0085709A" w:rsidRDefault="0085709A" w:rsidP="0085709A">
      <w:pPr>
        <w:pStyle w:val="TextoNormal"/>
      </w:pPr>
    </w:p>
    <w:p w:rsidR="0085709A" w:rsidRDefault="0085709A" w:rsidP="0085709A">
      <w:pPr>
        <w:pStyle w:val="TextoNormal"/>
      </w:pPr>
      <w:r w:rsidRPr="0085709A">
        <w:rPr>
          <w:rStyle w:val="NumeroAFNegritaCaracter"/>
        </w:rPr>
        <w:t>5</w:t>
      </w:r>
      <w:r>
        <w:t>. El Pleno de este Tribunal, a propuesta de la Sección Segunda, acordó admitir a trámite la cuestión mediante providencia de 8 de abril de 2014; reservar para sí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Mediante escrito registrado el 23 de abril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t>Por escrito registrado el 25 de abril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escrito presentado en el Registro General de este Tribunal el 23 de abril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8</w:t>
      </w:r>
      <w:r>
        <w:t>. Por diligencia de ordenación de 24 de abril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se personó, mediante escrito de alegaciones registrado en el Tribunal el 7 de mayo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 xml:space="preserve">Afirma que la actualización de las pensiones conforme al índice de precios al consumo (IPC) del año en curso, no constituye un derecho consolidado integrado en el patrimonio del pensionista, muy al contrario, constituye, a su juicio, una mera expectativa de derecho </w:t>
      </w:r>
      <w:r>
        <w:lastRenderedPageBreak/>
        <w:t>y, como mucho, un derecho condicionado a la fijación de su contenido por la Ley de presupuestos generales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lastRenderedPageBreak/>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10</w:t>
      </w:r>
      <w:r>
        <w:t>. El Fiscal General del Estado presentó su escrito de alegaciones ante este Tribunal con fecha 23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lastRenderedPageBreak/>
        <w:t>El Fiscal General del Estado señala que no puede compartir lo dicho por el Tribunal Superior de Justicia en el Auto de planteamiento de la cuestión de inconstitucionalidad de que en el caso que nos ocupa es obvia la vulneración por parte del Decreto-ley de la retroactividad, puesto que esta afirmación la hace respecto a las dos reglas que contiene el art. 2 de la norma: la primera, relativa a la suspensión para el ejercicio 2013 de la revalorización de las pensiones conforme al índice de precios al consumo y, la segunda, relativa a la actualización de las pensiones en los términos previstos en el art. 48.1.2 LGSS.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paga que se determina con arreglo al aumento del índice de precios comprendido entre los días 1 de diciembre de 2011 y 30 de noviembre de 2012, pues al entrar en vigor el Real Decreto-ley el 1 de diciembre de 2012, está incurriendo, a su juicio, en un supuesto de retroactividad auténtica, al vincular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11</w:t>
      </w:r>
      <w:r>
        <w:t>. El Letrado de la Administración de la Seguridad Social presentó su escrito de alegaciones el 26 de mayo de 2014.</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lastRenderedPageBreak/>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26 mayo de 2015 se señaló para deliberación y votación de la presente Sentencia el día 28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w:t>
      </w:r>
      <w:r>
        <w:lastRenderedPageBreak/>
        <w:t>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índice de precios al consumo (IPC) real y el IPC estimado para el año 2012 o, si por el contrario, tenían un derecho consolidado, asumido e integrado en su patrimonio. A este respecto, afirma la Sentencia que, los arts. 48.1.2 de la Ley general de la Seguridad Social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w:t>
      </w:r>
      <w:r>
        <w:lastRenderedPageBreak/>
        <w:t>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Fernando Valdés Dal-Ré a la Sentencia dictada en la cuestión de inconstitucionalidad núm. 1457-2014, y al que se adhieren la Magistrada doña Adela Asua Batarrita y el Magistrado don Juan Antonio Xiol Ríos.</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Pleno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5 de marzo, al que para evitar reiteraciones innecesarias me remito.</w:t>
      </w:r>
    </w:p>
    <w:p w:rsidR="0085709A" w:rsidRDefault="0085709A" w:rsidP="0085709A">
      <w:pPr>
        <w:pStyle w:val="TextoNormal"/>
      </w:pPr>
    </w:p>
    <w:p w:rsidR="0085709A" w:rsidRDefault="0085709A" w:rsidP="0085709A">
      <w:pPr>
        <w:pStyle w:val="TextoNormal"/>
      </w:pPr>
      <w:r>
        <w:t>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3" w:name="SENTENCIA_2015_110"/>
      <w:r>
        <w:lastRenderedPageBreak/>
        <w:t>SENTENCIA 110/2015, de 28 de mayo de 2015</w:t>
      </w:r>
    </w:p>
    <w:bookmarkEnd w:id="113"/>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ECLI:ES:TC:2015:110</w:t>
      </w:r>
    </w:p>
    <w:p w:rsidR="0085709A" w:rsidRDefault="0085709A" w:rsidP="0085709A">
      <w:pPr>
        <w:pStyle w:val="TextoNormalCentrado"/>
      </w:pPr>
    </w:p>
    <w:p w:rsidR="0085709A" w:rsidRDefault="0085709A" w:rsidP="0085709A">
      <w:pPr>
        <w:pStyle w:val="SntesisDescriptiva"/>
      </w:pPr>
      <w:r>
        <w:t>Cuestión de inconstitucionalidad 2502-2014. Planteada por el Juzgado de lo Social núm. 3 de A Coruña en relación con los apartados a) y b) de la regla tercera del número 1, de la disposición adicional séptima del texto refundido de la Ley general de la Seguridad Social, en la redacción dada, respectivamente, por la Ley Orgánica 3/2007, de 22 de marzo, para la igualdad efectiva de mujeres y hombres, y el Real Decreto-ley 15/1998, de 27 de noviembre, de medidas urgentes para la mejora del mercado de trabajo en relación con el trabajo a tiempo parcial y el fomento de la estabilidad.</w:t>
      </w:r>
    </w:p>
    <w:p w:rsidR="0085709A" w:rsidRDefault="0085709A" w:rsidP="0085709A">
      <w:pPr>
        <w:pStyle w:val="SntesisDescriptiva"/>
      </w:pPr>
    </w:p>
    <w:p w:rsidR="0085709A" w:rsidRDefault="0085709A" w:rsidP="0085709A">
      <w:pPr>
        <w:pStyle w:val="SntesisAnaltica"/>
      </w:pPr>
      <w:r>
        <w:t>Principios de igualdad e interdicción de la arbitrariedad de los poderes públicos: constitucionalidad del precepto legal que establece la regla para el cálculo de la base reguladora de las prestaciones de jubilación e incapacidad permanente de los trabajadores contratados a tiempo parcial (STC 156/2014). Voto particular.</w:t>
      </w:r>
    </w:p>
    <w:p w:rsidR="0085709A" w:rsidRDefault="0085709A" w:rsidP="0085709A">
      <w:pPr>
        <w:pStyle w:val="SntesisAnaltica"/>
      </w:pPr>
    </w:p>
    <w:p w:rsidR="0085709A" w:rsidRDefault="0085709A" w:rsidP="0085709A">
      <w:pPr>
        <w:pStyle w:val="Extracto"/>
      </w:pPr>
      <w:r>
        <w:t>1.</w:t>
      </w:r>
      <w:r>
        <w:tab/>
        <w:t>El primer motivo de inconstitucionalidad dirigido contra el apartado a) de la regla tercera del número 1 de la disposición adicional séptima LGSS, por supuesta vulneración de la cláusula de igualdad, debe ser desestimado, pues la categoría de personas que se ofrece como contraste no es un término de comparación válido para realizar un juicio de igualdad, lo que determina la falta del primer requisito que exige la doctrina constitucional para apreciar si una norma vulnera la cláusula de igualdad [FJ 4].</w:t>
      </w:r>
    </w:p>
    <w:p w:rsidR="0085709A" w:rsidRDefault="0085709A" w:rsidP="0085709A">
      <w:pPr>
        <w:pStyle w:val="Extracto"/>
      </w:pPr>
    </w:p>
    <w:p w:rsidR="0085709A" w:rsidRDefault="0085709A" w:rsidP="0085709A">
      <w:pPr>
        <w:pStyle w:val="Extracto"/>
      </w:pPr>
      <w:r>
        <w:t>2.</w:t>
      </w:r>
      <w:r>
        <w:tab/>
        <w:t>En la medida en que el contrato a tiempo parcial supone un esfuerzo contributivo menor que el contrato a jornada completa, es razonable y proporcionado que las bases reguladoras de las prestaciones de Seguridad Social se calculen en función de las cotizaciones efectivamente realizadas, lo cual determinará, en el caso del contrato a tiempo parcial una prestación más reducida que si el tiempo trabajado (y cotizado) se hubiera efectuado a tiempo completo, al resultar la cuantía de la prestación de la aplicación de un determinado porcentaje sobre la base reguladora [FJ 4].</w:t>
      </w:r>
    </w:p>
    <w:p w:rsidR="0085709A" w:rsidRDefault="0085709A" w:rsidP="0085709A">
      <w:pPr>
        <w:pStyle w:val="Extracto"/>
      </w:pPr>
    </w:p>
    <w:p w:rsidR="0085709A" w:rsidRDefault="0085709A" w:rsidP="0085709A">
      <w:pPr>
        <w:pStyle w:val="Extracto"/>
      </w:pPr>
      <w:r>
        <w:t>3.</w:t>
      </w:r>
      <w:r>
        <w:tab/>
        <w:t>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la Constitución, sino tan sólo las que introduzcan una diferencia entre situaciones que puedan considerarse exactamente idénticas (SSTC 200/2001, de 4 de octubre, FJ 4; y 88/2005, de 18 de abril, FJ 5) [FJ 4].</w:t>
      </w:r>
    </w:p>
    <w:p w:rsidR="0085709A" w:rsidRDefault="0085709A" w:rsidP="0085709A">
      <w:pPr>
        <w:pStyle w:val="Extracto"/>
      </w:pPr>
    </w:p>
    <w:p w:rsidR="0085709A" w:rsidRDefault="0085709A" w:rsidP="0085709A">
      <w:pPr>
        <w:pStyle w:val="Extracto"/>
      </w:pPr>
      <w:r>
        <w:t>4.</w:t>
      </w:r>
      <w:r>
        <w:tab/>
        <w:t>El segundo motivo de inconstitucionalidad, basado en la supuesta vulneración del principio de interdicción de la arbitrariedad de los poderes públicos, también debe ser desestimado, ya que dicho precepto, tanto considerado en sí mismo como en su contexto, obedece a fundamentos racionales [FJ 5].</w:t>
      </w:r>
    </w:p>
    <w:p w:rsidR="0085709A" w:rsidRDefault="0085709A" w:rsidP="0085709A">
      <w:pPr>
        <w:pStyle w:val="Extracto"/>
      </w:pPr>
    </w:p>
    <w:p w:rsidR="0085709A" w:rsidRDefault="0085709A" w:rsidP="0085709A">
      <w:pPr>
        <w:pStyle w:val="Extracto"/>
      </w:pPr>
      <w:r>
        <w:lastRenderedPageBreak/>
        <w:t>5.</w:t>
      </w:r>
      <w:r>
        <w:tab/>
        <w:t>El precepto legal impugnado en sí mismo considerado no está exento de justificación racional; la regla que el mismo establece, según la cual la base reguladora de los trabajadores contratados a tiempo parcial, y en consecuencia la cuantía de su pensión, se conecta directamente con las cotizaciones efectivamente realizadas y encuentra apoyo claro en el principio contributivo, que es uno de los que informan nuestro sistema de Seguridad Social (SSTC 253/2004, FJ 6, y 156/2014, FJ 5) [FJ 5].</w:t>
      </w:r>
    </w:p>
    <w:p w:rsidR="0085709A" w:rsidRDefault="0085709A" w:rsidP="0085709A">
      <w:pPr>
        <w:pStyle w:val="Extracto"/>
      </w:pPr>
    </w:p>
    <w:p w:rsidR="0085709A" w:rsidRDefault="0085709A" w:rsidP="0085709A">
      <w:pPr>
        <w:pStyle w:val="Extracto"/>
      </w:pPr>
      <w:r>
        <w:t>6.</w:t>
      </w:r>
      <w:r>
        <w:tab/>
        <w:t>Conforme a la configuración de nuestro sistema de Seguridad Social y su inherente carácter redistribuidor, es constitucional que, mediante la ficción legal en que consiste la integración de lagunas de cotización, se beneficie a aquellos que durante un período de tiempo, computable a efectos del cálculo de la pensión de jubilación, no han contribuido al sistema y se encontrarían de otro modo en una situación de cotización cero, que mermaría de forma considerable la cuantía de esta prestación (STC 156/2014, FJ 5) [FJ 5].</w:t>
      </w:r>
    </w:p>
    <w:p w:rsidR="0085709A" w:rsidRDefault="0085709A" w:rsidP="0085709A">
      <w:pPr>
        <w:pStyle w:val="Extracto"/>
      </w:pPr>
    </w:p>
    <w:p w:rsidR="0085709A" w:rsidRDefault="0085709A" w:rsidP="0085709A">
      <w:pPr>
        <w:pStyle w:val="Extracto"/>
      </w:pPr>
      <w:r>
        <w:t>7.</w:t>
      </w:r>
      <w:r>
        <w:tab/>
        <w:t>El tercer motivo de inconstitucionalidad relativo a una supuesta discriminación indirecta por razón de sexo, debe ser desestimado, pues el precepto se limita a considerar la parcialidad del trabajo realizado a los únicos efectos de determinar la cuantía de una prestación de Seguridad Social [FJ 8].</w:t>
      </w:r>
    </w:p>
    <w:p w:rsidR="0085709A" w:rsidRDefault="0085709A" w:rsidP="0085709A">
      <w:pPr>
        <w:pStyle w:val="Extracto"/>
      </w:pPr>
    </w:p>
    <w:p w:rsidR="0085709A" w:rsidRDefault="0085709A" w:rsidP="0085709A">
      <w:pPr>
        <w:pStyle w:val="Extracto"/>
      </w:pPr>
      <w:r>
        <w:t>8.</w:t>
      </w:r>
      <w:r>
        <w:tab/>
        <w:t>Un precepto legal que en aras del principio de contributividad articula el cálculo de las bases reguladoras de las prestaciones de Seguridad Social (y en consecuencia la fijación de su cuantía) en función de lo efectivamente cotizado, y por el que a los trabajadores que realizan jornadas a tiempo parcial les corresponde una prestación de cuantía inferior, no puede considerarse lesivo del principio de igualdad desde la perspectiva de discriminación indirecta por razón de sexo (STC 253/2004, de 22 de diciembre; y ATC 30/2009, de 27 de enero) [FJ 8].</w:t>
      </w:r>
    </w:p>
    <w:p w:rsidR="0085709A" w:rsidRDefault="0085709A" w:rsidP="0085709A">
      <w:pPr>
        <w:pStyle w:val="Extracto"/>
      </w:pPr>
    </w:p>
    <w:p w:rsidR="0085709A" w:rsidRDefault="0085709A" w:rsidP="0085709A">
      <w:pPr>
        <w:pStyle w:val="Extracto"/>
      </w:pPr>
      <w:r>
        <w:t>9.</w:t>
      </w:r>
      <w:r>
        <w:tab/>
        <w:t>En cuanto a la vulneración del derecho a la igualdad y de la prohibición de la arbitrariedad de los poderes públicos, hay que precisar que estas cuestiones han sido ya resueltas en sentido desestimatorio por este Tribunal en la STC 156/2014, de 25 de septiembre [FJ 9].</w:t>
      </w:r>
    </w:p>
    <w:p w:rsidR="0085709A" w:rsidRDefault="0085709A" w:rsidP="0085709A">
      <w:pPr>
        <w:pStyle w:val="Extracto"/>
      </w:pPr>
    </w:p>
    <w:p w:rsidR="0085709A" w:rsidRDefault="0085709A" w:rsidP="0085709A">
      <w:pPr>
        <w:pStyle w:val="Extracto"/>
      </w:pPr>
      <w:r>
        <w:t>10.</w:t>
      </w:r>
      <w:r>
        <w:tab/>
        <w:t>No se acredita que la aducida regla menos favorable que contiene la norma cuestionada produzca un efecto especialmente adverso para las mujeres y, por tanto, no cabe tener por cumplido el segundo presupuesto del canon de discriminación indirecta, y procede desestimar tal motivo de inconstitucionalidad [FJ 11].</w:t>
      </w:r>
    </w:p>
    <w:p w:rsidR="0085709A" w:rsidRDefault="0085709A" w:rsidP="0085709A">
      <w:pPr>
        <w:pStyle w:val="Extracto"/>
      </w:pPr>
    </w:p>
    <w:p w:rsidR="0085709A" w:rsidRDefault="0085709A" w:rsidP="0085709A">
      <w:pPr>
        <w:pStyle w:val="Extracto"/>
      </w:pPr>
      <w:r>
        <w:t>11.</w:t>
      </w:r>
      <w:r>
        <w:tab/>
        <w:t>El Tribunal de Justicia de la Unión Europea entiende que no puede estimarse que la norma controvertida perjudique principalmente a una determinada categoría de trabajadores, en concreto, a aquellos que trabajan a tiempo parcial y, más concretamente, a las mujeres, al considerar que esta disposición no se califica ni indirectamente como discriminatoria en el sentido de la Directiva 79/7, relativa a la aplicación progresiva del principio de igualdad de hombres y mujeres en materia de seguridad social [FJ 11].</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2502-2014 promovida por el Juzgado de lo Social núm. 3 de A Coruña, en relación con los apartados a) y b) de la regla tercera del número 1, de la disposición adicional séptima del texto refundido de la Ley general de la Seguridad Social, aprobado por el Real Decreto Legislativo 1/1994, de 20 de junio, en la redacción dada a los citados apartados, respectivamente, por la Ley Orgánica 3/2007, de 22 de marzo, para la igualdad efectiva de mujeres y hombres, y por el Decreto-ley 15/1998, de 27 de noviembre, de medidas urgentes para la mejora del mercado de trabajo en relación con el trabajo a tiempo parcial y el fomento de la estabilidad, por posible vulneración de los artículos 9.3 y 14 de la Constitución. Han comparecido y formulado alegaciones el Abogado del Estado, el Fiscal General del Estado y el Instituto Nacional de la Seguridad Social.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21 de abril de 2014 se registró en este Tribunal Constitucional un oficio del Juzgado de lo Social núm. 3 de A Coruña, fechado el 7 de abril de 2014, al que se acompañaba, junto al testimonio del correspondiente procedimiento, el Auto de ese mismo órgano judicial de 17 de enero de 2014, por el que se acordaba plantear una cuestión de inconstitucionalidad en relación con los apartados a) y b) de la regla tercera del número 1, de la disposición adicional séptima del texto refundido de la Ley general de la Seguridad Social, aprobado por el Real Decreto Legislativo 1/1994, de 20 de junio (en adelante, LGSS), en la redacción dada por las normas citadas en el encabezamiento, por posible vulneración de los arts. 9.3 y 14 de la Constitución.</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t xml:space="preserve">a) Doña Generosa Landeira Rey tenía reconocidos por el Instituto Nacional de la Seguridad Social un total de 7.437 días cotizados desde el 30 de noviembre de 1970. En concreto, sus últimos periodos cotizados lo fueron a tiempo parcial con contrato del 12,8 por 100, </w:t>
      </w:r>
      <w:r>
        <w:lastRenderedPageBreak/>
        <w:t>entre el 6 de junio de 2006 y el 17 de noviembre de 2006 (equivalentes a 32 días de cotización), siendo esos 32 días los únicos en que cotizó a tiempo parcial.</w:t>
      </w:r>
    </w:p>
    <w:p w:rsidR="0085709A" w:rsidRDefault="0085709A" w:rsidP="0085709A">
      <w:pPr>
        <w:pStyle w:val="TextoNormal"/>
      </w:pPr>
    </w:p>
    <w:p w:rsidR="0085709A" w:rsidRDefault="0085709A" w:rsidP="0085709A">
      <w:pPr>
        <w:pStyle w:val="TextoNormal"/>
      </w:pPr>
      <w:r>
        <w:t>b) Habiendo solicitado pensión de jubilación, por resolución del Instituto Nacional de la Seguridad Social (INSS), de 10 de febrero de 2011, le fue reconocida en cuantía mensual de 334,51 €, tomándose para su cálculo como base reguladora la cantidad de 491,93 €. El INSS, para realizar tal cálculo procedió a integrar las “lagunas” o vacíos de cotización tras la finalización de su último trabajo a tiempo parcial hasta el hecho causante, tomando la base mínima de cotización anual prorrateada con el coeficiente del 12,8 por 100, todo ello entre noviembre de 2006 y diciembre de 2010. Por otro lado, por el periodo correspondiente a los días cotizados a tiempo parcial en el periodo entre el 6 de junio y el 17 de noviembre de 2006, se tomaron las bases reales de cotización a tiempo parcial.</w:t>
      </w:r>
    </w:p>
    <w:p w:rsidR="0085709A" w:rsidRDefault="0085709A" w:rsidP="0085709A">
      <w:pPr>
        <w:pStyle w:val="TextoNormal"/>
      </w:pPr>
    </w:p>
    <w:p w:rsidR="0085709A" w:rsidRDefault="0085709A" w:rsidP="0085709A">
      <w:pPr>
        <w:pStyle w:val="TextoNormal"/>
      </w:pPr>
      <w:r>
        <w:t>c) Disconforme la beneficiaria de la pensión con la base reguladora utilizada para calcular su cuantía, y, concretamente, con la forma en la que el INSS había integrado las “lagunas” o vacíos de cotización en aplicación de lo dispuesto en la regla tercera de la disposición adicional séptima de la Ley general de la Seguridad Social, interpuso reclamación previa, y tras su desestimación, formuló demanda frente al Instituto Nacional de la Seguridad Socil en la que solicitaba que se reconociese como cuantía de la base reguladora para el cálculo de la pensión de jubilación la de 650,78 €. La demanda dio lugar a los autos núm. 504-2011 seguidos ante el Juzgado de lo Social núm. 3 de A Coruña.</w:t>
      </w:r>
    </w:p>
    <w:p w:rsidR="0085709A" w:rsidRDefault="0085709A" w:rsidP="0085709A">
      <w:pPr>
        <w:pStyle w:val="TextoNormal"/>
      </w:pPr>
    </w:p>
    <w:p w:rsidR="0085709A" w:rsidRDefault="0085709A" w:rsidP="0085709A">
      <w:pPr>
        <w:pStyle w:val="TextoNormal"/>
      </w:pPr>
      <w:r>
        <w:t>d) Concluso el procedimiento y dentro del plazo para dictar sentencia, por providencia de 28 de noviembre de 2013, el Juzgado concedió, de conformidad con el art. 35 de la Ley Orgánica del Tribunal Constitucional (LOTC), un plazo de diez días a las partes y al Ministerio Fiscal a los efectos de que formulasen alegaciones sobre la pertinencia de plantear cuestión de inconstitucionalidad respecto de los apartados a) y b) de la regla tercera del número 1, de la disposición adicional séptima LGSS, por posible vulneración del principio de igualdad y no discriminación (art. 14 CE) y del principio de interdicción de la arbitrariedad (art. 9.3 CE).</w:t>
      </w:r>
    </w:p>
    <w:p w:rsidR="0085709A" w:rsidRDefault="0085709A" w:rsidP="0085709A">
      <w:pPr>
        <w:pStyle w:val="TextoNormal"/>
      </w:pPr>
    </w:p>
    <w:p w:rsidR="0085709A" w:rsidRDefault="0085709A" w:rsidP="0085709A">
      <w:pPr>
        <w:pStyle w:val="TextoNormal"/>
      </w:pPr>
      <w:r>
        <w:t>e) El 20 de diciembre de 2013, la Letrada de la Administración de la Seguridad Social, actuando en nombre y representación del Instituto Nacional de la Seguridad Social, presentó sus alegaciones considerando improcedente el planteamiento de la cuestión de inconstitucionalidad. Con fecha de 8 de enero de 2014, lo hizo la representación procesal de la parte actora manifestando conformidad con su planteamiento. El Ministerio Fiscal no evacuó el trámite de alegaciones que le fue conferido.</w:t>
      </w:r>
    </w:p>
    <w:p w:rsidR="0085709A" w:rsidRDefault="0085709A" w:rsidP="0085709A">
      <w:pPr>
        <w:pStyle w:val="TextoNormal"/>
      </w:pPr>
    </w:p>
    <w:p w:rsidR="0085709A" w:rsidRDefault="0085709A" w:rsidP="0085709A">
      <w:pPr>
        <w:pStyle w:val="TextoNormal"/>
      </w:pPr>
      <w:r>
        <w:t>f) El Juzgado de lo Social núm. 3 de A Coruña, por Auto de 17 de enero de 2014, acordó plantear ante el Tribunal Constitucional cuestión de inconstitucionalidad en orden a determinar si los apartados a) y b) de la regla tercera del número 1 de la disposición adicional séptima de la LGSS eran inconstitucionales.</w:t>
      </w:r>
    </w:p>
    <w:p w:rsidR="0085709A" w:rsidRDefault="0085709A" w:rsidP="0085709A">
      <w:pPr>
        <w:pStyle w:val="TextoNormal"/>
      </w:pPr>
    </w:p>
    <w:p w:rsidR="0085709A" w:rsidRDefault="0085709A" w:rsidP="0085709A">
      <w:pPr>
        <w:pStyle w:val="TextoNormal"/>
      </w:pPr>
      <w:r w:rsidRPr="0085709A">
        <w:rPr>
          <w:rStyle w:val="NumeroAFNegritaCaracter"/>
        </w:rPr>
        <w:t>3</w:t>
      </w:r>
      <w:r>
        <w:t>. En el Auto de 17 de enero de 2014, el Juzgado de lo Social núm. 3 de A Coruña fundamenta la cuestión de inconstitucionalidad en las consideraciones que resumidamente se exponen a continuación.</w:t>
      </w:r>
    </w:p>
    <w:p w:rsidR="0085709A" w:rsidRDefault="0085709A" w:rsidP="0085709A">
      <w:pPr>
        <w:pStyle w:val="TextoNormal"/>
      </w:pPr>
    </w:p>
    <w:p w:rsidR="0085709A" w:rsidRDefault="0085709A" w:rsidP="0085709A">
      <w:pPr>
        <w:pStyle w:val="TextoNormal"/>
      </w:pPr>
      <w:r>
        <w:lastRenderedPageBreak/>
        <w:t>Tras la exposición de los antecedentes de hecho, el órgano judicial concreta el cumplimiento de los extremos exigidos en el art. 35.2 LOTC para el planteamiento de cuestión de inconstitucionalidad. Así, tras identificar los preceptos legales cuya constitucionalidad se cuestiona, se aduce con relación al juicio de relevancia que este último se cumple por cuanto la aplicación al caso del apartado b) de la regla tercera del número 1 de la disposición adicional séptima LGSS le supone a la actora que, por haber trabajado a tiempo parcial los 32 últimos días cotizados, la integración de lagunas hasta el hecho causante se realice acudiendo a bases mínimas reducidas en el mismo porcentaje en que estuvo contratada a tiempo parcial, en lugar de aplicársele bases mínimas sin reducción conforme al art. 162.1.1.2 LGSS. Por lo que se refiere al epígrafe a) de la misma norma cuestionada, se indica que su aplicación al caso le supone a la actora que se tomen por los treinta y dos días de trabajo a tiempo parcial las bases reales cotizadas durante ese periodo. Esto determina una base reguladora menor que si durante ese periodo de trabajo a tiempo parcial el mismo se integrara con bases mínimas conforme dispone el art. 162.1.2 LGSS para el caso de que el trabajador no hubiera trabajado a tiempo parcial. A mayor abundamiento, se indica que respecto de un supuesto en gran parte coincidente con el de autos ha sido admitida a trámite una cuestión de inconstitucionalidad planteada por la Sala Cuarta del Tribunal Supremo mediante Auto de 26 de abril de 2012, en autos núm. 1480-2011.</w:t>
      </w:r>
    </w:p>
    <w:p w:rsidR="0085709A" w:rsidRDefault="0085709A" w:rsidP="0085709A">
      <w:pPr>
        <w:pStyle w:val="TextoNormal"/>
      </w:pPr>
    </w:p>
    <w:p w:rsidR="0085709A" w:rsidRDefault="0085709A" w:rsidP="0085709A">
      <w:pPr>
        <w:pStyle w:val="TextoNormal"/>
      </w:pPr>
      <w:r>
        <w:t>En cuanto a los preceptos constitucionales que resultarían infringidos se señala en el Auto de planteamiento que se trataría del derecho de igualdad y no discriminación por razón de sexo (art. 14 CE), así como del principio de interdicción de la arbitrariedad de los poderes públicos (art. 9.3 CE). Se indica al respecto, en primer término, con relación al apartado a) de la regla tercera del número 1, de la disposición adicional séptima LGSS, que no estaría justificado —al menos en un caso como el de autos en el que los periodos trabajados a tiempo parcial son breves y al final de la vida laboral— que a un trabajador a tiempo completo se le integren las lagunas de cotización con bases mínimas y a quien trabajó a tiempo parcial se le computen las bases reales durante el trabajo a tiempo parcial, en especial cuando esas bases reales cotizadas a tiempo parcial son inferiores a las bases mínimas aplicables en el caso de que no se hubiera trabajado durante tal periodo. Existiría, pues, un trato peyorativo del trabajador a tiempo parcial con relación a aquél que en el mismo periodo no trabajó.</w:t>
      </w:r>
    </w:p>
    <w:p w:rsidR="0085709A" w:rsidRDefault="0085709A" w:rsidP="0085709A">
      <w:pPr>
        <w:pStyle w:val="TextoNormal"/>
      </w:pPr>
    </w:p>
    <w:p w:rsidR="0085709A" w:rsidRDefault="0085709A" w:rsidP="0085709A">
      <w:pPr>
        <w:pStyle w:val="TextoNormal"/>
      </w:pPr>
      <w:r>
        <w:t>En segundo término, con relación al apartado b) de la misma norma controvertida, se considera que vulneraría los mismos preceptos constitucionales por dispensar un trato desigual injustificado a los que trabajan a tiempo parcial durante un breve periodo de tiempo al final de su carrera de cotización habiendo cotizado el resto de esa carrera a tiempo completo, debido a que en estos casos la integración de las “lagunas” de cotización hasta la fecha del hecho causante no se realiza con las bases mínimas, como es la regla general, sino con bases mínimas reducidas en la misma proporción correspondiente al número de horas contratadas durante el último periodo cotizado a tiempo parcial.</w:t>
      </w:r>
    </w:p>
    <w:p w:rsidR="0085709A" w:rsidRDefault="0085709A" w:rsidP="0085709A">
      <w:pPr>
        <w:pStyle w:val="TextoNormal"/>
      </w:pPr>
    </w:p>
    <w:p w:rsidR="0085709A" w:rsidRDefault="0085709A" w:rsidP="0085709A">
      <w:pPr>
        <w:pStyle w:val="TextoNormal"/>
      </w:pPr>
      <w:r>
        <w:t>Después destaca el órgano judicial proponente que, a la vista del hecho de que por la realidad social actual la contratación a tiempo parcial es realizada de manera más habitual con mujeres, se vulneraría también por los preceptos indicados la prohibición de no discriminación por razón de sexo del art. 14 CE, en tanto que el trato peyorativo y desigual antes descrito recaería en especial en las mismas.</w:t>
      </w:r>
    </w:p>
    <w:p w:rsidR="0085709A" w:rsidRDefault="0085709A" w:rsidP="0085709A">
      <w:pPr>
        <w:pStyle w:val="TextoNormal"/>
      </w:pPr>
    </w:p>
    <w:p w:rsidR="0085709A" w:rsidRDefault="0085709A" w:rsidP="0085709A">
      <w:pPr>
        <w:pStyle w:val="TextoNormal"/>
      </w:pPr>
      <w:r>
        <w:lastRenderedPageBreak/>
        <w:t>Finalmente, reproduce, por considerarlos aplicables al caso de autos, los argumentos ofrecidos por la Sala Cuarta del Tribunal Supremo, en su Auto de 26 de abril de 2012, al plantear la cuestión de inconstitucionalidad núm. 3361-2012, frente a ese mismo apartado b) de la regla tercera del número 1, de la disposición adicional señalada.</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24 de junio de 2014, el Pleno de este Tribunal acordó admitir a trámite esta cuestión de inconstitucionalidad, reservar para sí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3 de A Coruña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162, de 4 de julio de 2014.</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de este Tribunal el día 2 de julio de 2014, el Presidente del Congreso de los Diputados comunicó la decisión de la Mesa de esa Cámara de personarse en el presente procedimiento,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General de este Tribunal el día 9 de julio de 2014, el Presidente del Senado comunicó el acuerdo de la Mesa de la Cámara de personarse en el presente procedimiento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registrado en este Tribunal con fecha de 15 de julio de 2014, se personó en el presente proceso constitucional el Letrado de la Administración de la Seguridad Social, en nombre y representación del Instituto Nacional de la Seguridad Social.</w:t>
      </w:r>
    </w:p>
    <w:p w:rsidR="0085709A" w:rsidRDefault="0085709A" w:rsidP="0085709A">
      <w:pPr>
        <w:pStyle w:val="TextoNormal"/>
      </w:pPr>
    </w:p>
    <w:p w:rsidR="0085709A" w:rsidRDefault="0085709A" w:rsidP="0085709A">
      <w:pPr>
        <w:pStyle w:val="TextoNormal"/>
      </w:pPr>
      <w:r w:rsidRPr="0085709A">
        <w:rPr>
          <w:rStyle w:val="NumeroAFNegritaCaracter"/>
        </w:rPr>
        <w:t>8</w:t>
      </w:r>
      <w:r>
        <w:t>. Por diligencia de ordenación de 16 de julio de 2014 de la secretaría de justicia del Pleno de este Tribunal, se tuvo por personado y parte al Letrado de la Administración de la Seguridad Social en nombre y representación del Instituto Nacional de la Seguridad Social, acordándose entender con él las sucesivas actuaciones, y conforme establece el art. 37.2 LOTC, concederle un plazo de quince días para que formulase alegaciones.</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Por escrito registrado en este Tribunal con fecha de 17 de julio de 2014, evacuó el trámite de alegaciones el Abogado del Estado. Comienza señalando que respecto del apartado a) de la regla tercera del número 1, de la disposición adicional cuestionada, el Auto de planteamiento carece de la mínima argumentación para acreditar la inconstitucionalidad de la norma, en tanto que si bien se remite fundamentalmente al Auto por el que el Tribunal Supremo plantea la cuestión de inconstitucionalidad núm. 3361-2012, en el mismo no se dudaba sobre la constitucionalidad de ese apartado a). Ciertamente, en tal Auto se señaló con relación a este último que la regla relativa a que el cálculo de la base reguladora durante </w:t>
      </w:r>
      <w:r>
        <w:lastRenderedPageBreak/>
        <w:t>los tiempos de trabajo a tiempo parcial se realizase sobre las bases por las que se hubiese efectivamente cotizado durante el periodo de cómputo constituía una regla de estricta proporcionalidad que conducía a bases reducidas en función de las horas efectivamente trabajadas. No obstante, en ese Auto sí se constató una anomalía, en tanto que si el trabajador en lugar de prestar servicios a tiempo parcial hubiera permanecido inactivo, se hubiera aplicado la integración de lagunas con las bases mínimas a tiempo completo, con lo que el trabajo a tiempo parcial se desincentivaría, al tener la inactividad a efectos de las pensiones de Seguridad Social un tratamiento más favorable que la actividad a tiempo parcial.</w:t>
      </w:r>
    </w:p>
    <w:p w:rsidR="0085709A" w:rsidRDefault="0085709A" w:rsidP="0085709A">
      <w:pPr>
        <w:pStyle w:val="TextoNormal"/>
      </w:pPr>
    </w:p>
    <w:p w:rsidR="0085709A" w:rsidRDefault="0085709A" w:rsidP="0085709A">
      <w:pPr>
        <w:pStyle w:val="TextoNormal"/>
      </w:pPr>
      <w:r>
        <w:t>Sin embargo, el Tribunal Supremo no consideró que tal “anomalía” fuese argumento suficiente para plantear la inconstitucionalidad del precepto, sino que era una consecuencia no arbitraria del trabajo a tiempo parcial. Además, añade el Abogado del Estado que esta norma no forma parte del imprescindible juicio de relevancia, puesto que el demandante centra su reclamación, como se deduce de la demanda, realmente contra el apartado b) a juzgar por la jurisprudencia que cita, que solo concierne a la aplicación de esta última norma. Posteriormente, hace referencia, con relación a la aplicación del principio de proporcionalidad en el cálculo de prestaciones, tanto a las SSTS de 23 de marzo de 2006, 31 de octubre de 2007 y 30 de enero de 2008, como a la STC 253/2004, de 22 de diciembre.</w:t>
      </w:r>
    </w:p>
    <w:p w:rsidR="0085709A" w:rsidRDefault="0085709A" w:rsidP="0085709A">
      <w:pPr>
        <w:pStyle w:val="TextoNormal"/>
      </w:pPr>
    </w:p>
    <w:p w:rsidR="0085709A" w:rsidRDefault="0085709A" w:rsidP="0085709A">
      <w:pPr>
        <w:pStyle w:val="TextoNormal"/>
      </w:pPr>
      <w:r>
        <w:t>Centrándose, seguidamente, en el cuestionado apartado b) de la regla tercera del número 1 de esa disposición adicional, indica el Abogado del Estado que la cuestión debatida no es otra que el determinar el modo en que deben llenarse las lagunas o vacíos de cotización correspondientes a periodos de inactividad laboral, cuando en la carrera de seguro del solicitante de una pensión de jubilación concurren cotizaciones por trabajo a tiempo completo y a tiempo parcial. En la resolución impugnada del Instituto Nacional de la Seguridad Social, aplicando aquél apartado, se parte de la ficción jurídica de que continua vigente la última modalidad contractual, utilizando para la integración de las “lagunas” la base mínima correspondiente a la modalidad de trabajo (ya sea a tiempo completo, ya a tiempo parcial) inmediatamente anterior a la inactividad generadora del vacío de cotización.</w:t>
      </w:r>
    </w:p>
    <w:p w:rsidR="0085709A" w:rsidRDefault="0085709A" w:rsidP="0085709A">
      <w:pPr>
        <w:pStyle w:val="TextoNormal"/>
      </w:pPr>
    </w:p>
    <w:p w:rsidR="0085709A" w:rsidRDefault="0085709A" w:rsidP="0085709A">
      <w:pPr>
        <w:pStyle w:val="TextoNormal"/>
      </w:pPr>
      <w:r>
        <w:t>Pues bien, señala el Abogado del Estado que ese apartado no viola ninguno de los preceptos constitucionales invocados, es acorde con los arts. 140.4 y 162.1.2 LGSS, así como con la doctrina mantenida en la citada STC 253/2004, que incidió en la aplicación del principio contributivo en la determinación de las bases reguladoras en los casos de contratos de trabajo a tiempo parcial. Con base a ello, se señala que la previsión legal no es arbitraria en cuanto a la forma de integrar las lagunas bajo la ficción de prórroga de la situación que se tenía hasta la extinción del contrato. Si se trata de trabajo a tiempo completo, el vacío se integra ficticiamente como si se hubiera prorrogado dicho contrato, con las bases mínimas que correspondan, y si el contrato que se extingue lo es a tiempo parcial, en la ficción de su prórroga para no computar los vacíos a cero se toma como referencia el contrato extinguido con la concreta reducción de jornada.</w:t>
      </w:r>
    </w:p>
    <w:p w:rsidR="0085709A" w:rsidRDefault="0085709A" w:rsidP="0085709A">
      <w:pPr>
        <w:pStyle w:val="TextoNormal"/>
      </w:pPr>
    </w:p>
    <w:p w:rsidR="0085709A" w:rsidRDefault="0085709A" w:rsidP="0085709A">
      <w:pPr>
        <w:pStyle w:val="TextoNormal"/>
      </w:pPr>
      <w:r>
        <w:t xml:space="preserve">Posteriormente, el Abogado del Estado descarta la vulneración del art. 14 CE, tanto en su vertiente de derecho a la igualdad ante la ley como en la de prohibición de discriminación por razón de sexo. En efecto, la primera, en tanto que no se puede justificar una eventual vulneración del principio de igualdad sobre la base de cómo pueda afectar a un supuesto concreto una norma objetiva. En este sentido, añade que ni pueden compararse los efectos que las distintas carreras de cotización puedan acarrear, ni puede calificarse el sistema como </w:t>
      </w:r>
      <w:r>
        <w:lastRenderedPageBreak/>
        <w:t>aleatorio únicamente con base a ello. En cuanto a la segunda, afirma que no basta con el dato de afectación mayoritaria a las mujeres para determinar la discriminación, ya que la diferenciación quedará justificada si la disposición atiende a una finalidad legítima y se acredita que los medios para alcanzarla son adecuados y necesarios, circunstancias que concurrirían en el caso cuestionado, al obedecer esa regla al principio de contributividad del sistema y al de proporcionalidad. En cualquier caso, la proporción entre contratos a tiempo parcial femenino y masculino ha evolucionado, no existiendo diferencias tan marcadas como en el pasado.</w:t>
      </w:r>
    </w:p>
    <w:p w:rsidR="0085709A" w:rsidRDefault="0085709A" w:rsidP="0085709A">
      <w:pPr>
        <w:pStyle w:val="TextoNormal"/>
      </w:pPr>
    </w:p>
    <w:p w:rsidR="0085709A" w:rsidRDefault="0085709A" w:rsidP="0085709A">
      <w:pPr>
        <w:pStyle w:val="TextoNormal"/>
      </w:pPr>
      <w:r>
        <w:t>Termina el Abogado del Estado su escrito señalando, con carácter subsidiario, que la interpretación del Juzgado que plantea la cuestión no es la única posible del precepto legal y que, además, el caso que se plantea es excepcional, pues se contempla un supuesto muy concreto y aislado, sin considerar la configuración general del sistema de Seguridad Social.</w:t>
      </w:r>
    </w:p>
    <w:p w:rsidR="0085709A" w:rsidRDefault="0085709A" w:rsidP="0085709A">
      <w:pPr>
        <w:pStyle w:val="TextoNormal"/>
      </w:pPr>
    </w:p>
    <w:p w:rsidR="0085709A" w:rsidRDefault="0085709A" w:rsidP="0085709A">
      <w:pPr>
        <w:pStyle w:val="TextoNormal"/>
      </w:pPr>
      <w:r w:rsidRPr="0085709A">
        <w:rPr>
          <w:rStyle w:val="NumeroAFNegritaCaracter"/>
        </w:rPr>
        <w:t>10</w:t>
      </w:r>
      <w:r>
        <w:t>. Por escrito registrado en este Tribunal con fecha de 8 de septiembre de 2014 formuló alegaciones el Letrado de la Administración de la Seguridad Social en la representación que ostenta. Refiriéndose, primero, al apartado a) de la regla tercera del número 1, de la disposición adicional séptima de la LGSS, comienza señalando que son principios que sustentan el actual sistema de integración de lagunas en la base reguladora de las pensiones los de suficiencia y proporcionalidad. Con cita de la STC 37/1994, recuerda los elementos esenciales que identifican la garantía institucional del Sistema de Seguridad Social, y añade que este último se caracteriza por las notas de flexibilidad y por estar condicionado a los concretos medios económicos disponibles en cada momento. Tras referirse a las limitaciones que configuran la garantía del principio de pensión adecuada con cita de la STC 134/1987, indica que los principios antes citados también condicionan el sistema de integración de lagunas en materia de cotización, tanto en los casos de trabajo a tiempo completo como parcial. En tal sentido, señala con relación a la integración de las lagunas, esto es, de los periodos en los que no existe obligación de cotizar porque se ha extinguido o suspendido el contrato de trabajo, que el legislador realiza una ficción legal que opera sobre dos ideas. En primer lugar, se presume que el contrato anterior sigue vigente a efectos de cómputo de su cotización en la base reguladora, de manera que el contrato que tenía el trabajador se proyecta sobre el futuro; en segundo lugar, se presume que la cotización se realiza sobre el peor salario que puede recibir un trabajador (salario mínimo interprofesional más el prorrateo de las pagas extraordinarias).</w:t>
      </w:r>
    </w:p>
    <w:p w:rsidR="0085709A" w:rsidRDefault="0085709A" w:rsidP="0085709A">
      <w:pPr>
        <w:pStyle w:val="TextoNormal"/>
      </w:pPr>
    </w:p>
    <w:p w:rsidR="0085709A" w:rsidRDefault="0085709A" w:rsidP="0085709A">
      <w:pPr>
        <w:pStyle w:val="TextoNormal"/>
      </w:pPr>
      <w:r>
        <w:t>Una vez realizadas las anteriores consideraciones, se pasa a analizar cómo actúa el mecanismo de la integración de lagunas durante la realización de un contrato a tiempo parcial de acuerdo con lo dispuesto en el cuestionado apartado a) de la regla tercera del número 1, de la disposición adicional séptima de la LGSS, para luego examinar cómo se integran las lagunas tras el cese en el trabajo en un contrato a tiempo parcial [apartado b) de la misma norma].</w:t>
      </w:r>
    </w:p>
    <w:p w:rsidR="0085709A" w:rsidRDefault="0085709A" w:rsidP="0085709A">
      <w:pPr>
        <w:pStyle w:val="TextoNormal"/>
      </w:pPr>
    </w:p>
    <w:p w:rsidR="0085709A" w:rsidRDefault="0085709A" w:rsidP="0085709A">
      <w:pPr>
        <w:pStyle w:val="TextoNormal"/>
      </w:pPr>
      <w:r>
        <w:t xml:space="preserve">Con relación al apartado a) se indica que en los contratos de trabajo a tiempo parcial puede suceder que el trabajador trabaje todos los días laborales pero con un porcentaje de jornada inferior a la ordinaria, o que trabaje con menor porcentaje a la jornada ordinaria pero concentrando su actividad durante varios periodos de tiempo al año, permaneciendo inactivo el resto. En ambos casos, se mantiene al trabajador en alta en la Seguridad Social durante todo el año. Dicho esto, se recuerda que para que exista laguna de cotización, la </w:t>
      </w:r>
      <w:r>
        <w:lastRenderedPageBreak/>
        <w:t>misma se tiene que producir fuera de la vigencia del contrato de manera que hay que distinguir entre las lagunas del contrato y las que se producen fuera del mismo. En las primeras existe verdadera cotización adecuada a la naturaleza del contrato en vigor, mientras que en las segundas no existe cotización ni obligación de cotizar. De este modo, vigente un contrato a tiempo parcial la diferencia entre la cotización a tiempo parcial y la base mínima de cotización no constituye una verdadera laguna de cotización. En tal sentido se ha pronunciado el Tribunal Supremo en su Sentencia de 23 de marzo de 2006 y 31 de octubre de 2007, que entiende que se aplican adecuadamente los principios de suficiencia protectora y de contributividad al calcular la base reguladora de los trabajadores a tiempo parcial en función de los salarios cotizados y de la contribución que se ha realizado al sistema de Seguridad Social.</w:t>
      </w:r>
    </w:p>
    <w:p w:rsidR="0085709A" w:rsidRDefault="0085709A" w:rsidP="0085709A">
      <w:pPr>
        <w:pStyle w:val="TextoNormal"/>
      </w:pPr>
    </w:p>
    <w:p w:rsidR="0085709A" w:rsidRDefault="0085709A" w:rsidP="0085709A">
      <w:pPr>
        <w:pStyle w:val="TextoNormal"/>
      </w:pPr>
      <w:r>
        <w:t xml:space="preserve">Señala el Juzgador </w:t>
      </w:r>
      <w:r w:rsidRPr="0085709A">
        <w:rPr>
          <w:i/>
        </w:rPr>
        <w:t>a quo</w:t>
      </w:r>
      <w:r>
        <w:t xml:space="preserve"> que en algunos casos la aplicación de tal regla desincentiva el trabajo a tiempo parcial cuando la retribución es inferior al salario mínimo interprofesional, pero tal efecto en realidad sería colateral porque la finalidad del Sistema de Seguridad Social es la de sustituir las rentas de trabajo dejadas de percibir a consecuencia de la suspensión o extinción de la relación laboral, pero no la de animar el mercado de trabajo. En suma, se niega que el epígrafe a) analizado infrinja el principio de igualdad y la prohibición de no discriminación (art. 14 CE) y la prohibición de arbitrariedad (art. 9.3 CE), en tanto que como ya tuvo ocasión de pronunciarse la STC 253/2004, en la medida en que el contrato a tiempo parcial supone un esfuerzo contributivo menor que en el caso del contrato a jornada completa, es razonable y proporcionado que las bases reguladoras de las prestaciones de Seguridad Social se calculen en función de las cotizaciones efectivamente realizadas.</w:t>
      </w:r>
    </w:p>
    <w:p w:rsidR="0085709A" w:rsidRDefault="0085709A" w:rsidP="0085709A">
      <w:pPr>
        <w:pStyle w:val="TextoNormal"/>
      </w:pPr>
    </w:p>
    <w:p w:rsidR="0085709A" w:rsidRDefault="0085709A" w:rsidP="0085709A">
      <w:pPr>
        <w:pStyle w:val="TextoNormal"/>
      </w:pPr>
      <w:r>
        <w:t>Una vez examinado el apartado a), se pasan a analizar las dudas de constitucionalidad planteadas con referencia al apartado b) de la misma norma, respecto al que el Juzgado utiliza los mismos argumentos que en la cuestión de inconstitucionalidad núm. 3361/2012 planteada por la Sala de lo Social del Tribunal Supremo, insistiendo en la falta de proporción de la regla de cálculo utilizada para la integración de lagunas de cotización en los casos de extinción de la relación laboral (esto es, la de la integración de las lagunas con las bases mínimas que correspondan al número de horas contratadas en último término, es decir, conforme al contrato a tiempo parcial vigente en el momento del cese). Se señala que, en ambos casos, la cuestión de inconstitucionalidad se basa en los efectos que la aplicación de la regla produce en un caso muy concreto y aislado, menospreciando la verdadera naturaleza de la integración de lagunas y su aplicación en la generalidad de los casos. Y se indica que el cómo afecte a un supuesto concreto una norma objetiva no justifica la defensa de la inconstitucionalidad de la misma. En cualquier caso, se afirma que la norma controvertida no ocasiona un agravio a los trabajadores a tiempo parcial respecto a los trabajadores a tiempo completo, antes bien, viene a consolidar la finalidad perseguida por el sistema de prestación social en cuanto a la sustitución de las rentas dejadas de percibir por prestaciones proporcionales a dichas rentas, objetivo que se cumple al calcular las prestaciones sobre el periodo elegido por el legislador, que no es caprichoso sino objetivo e igual para todos los ciudadanos, lo que permite descartar la vulneración del principio de igualdad, de la prohibición de discriminación por razón de género, y del principio de interdicción de la arbitrariedad de los poderes públicos.</w:t>
      </w:r>
    </w:p>
    <w:p w:rsidR="0085709A" w:rsidRDefault="0085709A" w:rsidP="0085709A">
      <w:pPr>
        <w:pStyle w:val="TextoNormal"/>
      </w:pPr>
    </w:p>
    <w:p w:rsidR="0085709A" w:rsidRDefault="0085709A" w:rsidP="0085709A">
      <w:pPr>
        <w:pStyle w:val="TextoNormal"/>
      </w:pPr>
      <w:r>
        <w:t xml:space="preserve">Finalmente, se niega que tanto el apartado a) como el apartado b) de la norma analizada puedan generar una discriminación indirecta, en tanto que lo esencial no es que trabajen más </w:t>
      </w:r>
      <w:r>
        <w:lastRenderedPageBreak/>
        <w:t>mujeres que hombres a tiempo parcial, sino si la regla de integración de lagunas cuestionada castiga más a las mujeres que a los hombres a la hora de calcular la base reguladora. Y a este respecto, tras indicarse que existe planteada una cuestión prejudicial ante el Tribunal de Justicia de la Unión Europea, se hacen tres alegaciones.</w:t>
      </w:r>
    </w:p>
    <w:p w:rsidR="0085709A" w:rsidRDefault="0085709A" w:rsidP="0085709A">
      <w:pPr>
        <w:pStyle w:val="TextoNormal"/>
      </w:pPr>
    </w:p>
    <w:p w:rsidR="0085709A" w:rsidRDefault="0085709A" w:rsidP="0085709A">
      <w:pPr>
        <w:pStyle w:val="TextoNormal"/>
      </w:pPr>
      <w:r>
        <w:t>La primera que “la discriminación indirecta no vendría determinada por el hecho de que existan más mujeres que hombres que trabajan a tiempo parcial, sino si estadísticamente la integración de lagunas tras el cese en un trabajo a tiempo parcial se produce y de una forma más significativa en mujeres que en hombres en supuestos en los que existe una larga vida laboral de trabajo a tiempo completo”.</w:t>
      </w:r>
    </w:p>
    <w:p w:rsidR="0085709A" w:rsidRDefault="0085709A" w:rsidP="0085709A">
      <w:pPr>
        <w:pStyle w:val="TextoNormal"/>
      </w:pPr>
    </w:p>
    <w:p w:rsidR="0085709A" w:rsidRDefault="0085709A" w:rsidP="0085709A">
      <w:pPr>
        <w:pStyle w:val="TextoNormal"/>
      </w:pPr>
      <w:r>
        <w:t>Se aduce, en segundo lugar, que “no se acredita que resulten afectados un número mucho más elevado de mujeres que de hombres”, o en otras palabras, que exista una presunción de discriminación indirecta porque la norma perjudique a “un porcentaje considerablemente inferior de hombres que de mujeres”, o que haya “un porcentaje o número considerablemente mayor de trabajadoras que de trabajadores”.</w:t>
      </w:r>
    </w:p>
    <w:p w:rsidR="0085709A" w:rsidRDefault="0085709A" w:rsidP="0085709A">
      <w:pPr>
        <w:pStyle w:val="TextoNormal"/>
      </w:pPr>
    </w:p>
    <w:p w:rsidR="0085709A" w:rsidRDefault="0085709A" w:rsidP="0085709A">
      <w:pPr>
        <w:pStyle w:val="TextoNormal"/>
      </w:pPr>
      <w:r>
        <w:t>Y, por último, se afirma que “de los datos que se certifican por esta parte [en el informe que se adjunta relativo a la integración de lagunas en los expedientes de pensión por incapacidad permanente], se desprende que el promedio del número de lagunas integradas a tiempo parcial por expediente fue: en mujeres de cinco lagunas en 2010; cinco en 2011; cuatro en 2012; y dos en 2013. En cambio, en hombres dicho promedio fue de dos lagunas en 2010; dos en 2011; tres en 2012; y dos en 2013. Esto significa que si bien en 2010 y 2011 en mujeres fue superior dicho promedio por expediente, a partir de 2012 se aprecia un cambio que concluye con la igualdad en el dato de hombres y mujeres en 2013. Asimismo, en el total de lagunas integradas en todos los expedientes en los que se efectuó la integración, se advierte que se integraron mayor número de lagunas en hombres (135.752 en 2010, 138.400 en 2011; 144.004 en 2012 y 170.803 en 2013) que en mujeres (131.056 en 2010, 124.737 en 2011, 117.458 en 2012 y 129.281 en 2013). En el detalle de las lagunas integradas a tiempo parcial, se ratifica que en las mujeres, desde 2010 a 2013, desciende el número total de lagunas integradas a tiempo parcial, pasando de 42.085 en 2010 a 17.753 en 2013, y en los hombres, se incrementa dicho número desde 20.925 en 2010 a 22.285 en 2013, de modo que en este último año se integraron mayor número de lagunas a tiempo parcial en hombres que en mujeres”.</w:t>
      </w:r>
    </w:p>
    <w:p w:rsidR="0085709A" w:rsidRDefault="0085709A" w:rsidP="0085709A">
      <w:pPr>
        <w:pStyle w:val="TextoNormal"/>
      </w:pPr>
    </w:p>
    <w:p w:rsidR="0085709A" w:rsidRDefault="0085709A" w:rsidP="0085709A">
      <w:pPr>
        <w:pStyle w:val="TextoNormal"/>
      </w:pPr>
      <w:r w:rsidRPr="0085709A">
        <w:rPr>
          <w:rStyle w:val="NumeroAFNegritaCaracter"/>
        </w:rPr>
        <w:t>11</w:t>
      </w:r>
      <w:r>
        <w:t xml:space="preserve">. Por escrito registrado en este Tribunal con fecha de 16 de septiembre de 2014 formuló alegaciones el Fiscal General del Estado. En primer término, propone que la cuestión de inconstitucionalidad sea inadmitida con respecto al apartado a) de la norma cuestionada, en tanto que entiende que resulta inaplicable e irrelevante para resolver la </w:t>
      </w:r>
      <w:r w:rsidRPr="0085709A">
        <w:rPr>
          <w:i/>
        </w:rPr>
        <w:t>litis</w:t>
      </w:r>
      <w:r>
        <w:t xml:space="preserve"> del proceso seguido ante el Juzgado. En efecto, la divergencia que plantea la actora con el cómputo que realiza el INSS no es otra que la del cálculo de las bases de cotización en el periodo comprendido entre el 17 de noviembre de 2006 y el 8 de febrero de 2011 (fecha esta última en la que alcanza la edad de jubilación) y durante el cual la actora se mantuvo en situación de incapacidad permanente, no existiendo obligación de cotizar. El cálculo de la base reguladora de la pensión lo realizó la entidad gestora integrando las lagunas de cotización con las bases aplicables correspondientes a las horas contratadas en último término, inmediatamente anteriores a la incapacidad permanente (esto es, las correspondientes al trabajo a tiempo parcial durante cinco meses, equivalente a treinta y dos días de cotización). Y es </w:t>
      </w:r>
      <w:r>
        <w:lastRenderedPageBreak/>
        <w:t>solo ese extremo el que plantea la actora ante el Juzgado, esto es, la influencia decisiva y desproporcionada de ese escaso periodo de trabajo a tiempo parcial frente a los años trabajados a tiempo completo y aquellos otros durante los que cotizó conjuntamente con el Instituto Nacional de Empleo (INEM) mientras percibía el subsidio para mayores de 52 años. En definitiva, siendo la cuestión controvertida el modo en el que llevó a cabo el INSS la integración de las “lagunas” de cotización, el apartado aplicable al caso no era el a) —que se refiere al genérico modo de calcular las bases reguladoras en aquellos supuesto en los que no exista la necesidad de integrar lagunas de cotización— sino el también impugnado apartado b) de esa misma norma.</w:t>
      </w:r>
    </w:p>
    <w:p w:rsidR="0085709A" w:rsidRDefault="0085709A" w:rsidP="0085709A">
      <w:pPr>
        <w:pStyle w:val="TextoNormal"/>
      </w:pPr>
    </w:p>
    <w:p w:rsidR="0085709A" w:rsidRDefault="0085709A" w:rsidP="0085709A">
      <w:pPr>
        <w:pStyle w:val="TextoNormal"/>
      </w:pPr>
      <w:r>
        <w:t>Centrándose después en el apartado b), sostiene el Fiscal General del Estado que lo que en realidad se plantea en el presente caso es una cuestión de inconstitucionalidad por insuficiencia normativa, en tanto que no es que el precepto cuestionado contenga claramente una previsión que incida de modo directo en el derecho a la igualdad estableciendo una disposición en todo caso discriminatoria en relación con un determinado colectivo, sino que la particular regulación supone la adopción de un criterio ocasionalmente y en relación con las específicas circunstancias de cada caso que puede llevar —como ocurre en el proceso subyacente— a resultados en los que se dé tratamiento distinto a supuestos idénticos. Y desde tal perspectiva, considera que el Juzgado postula el acogimiento de un criterio legal diferente al que ahora prevé la disposición adicional cuestionada, de manera que la incidencia del azar no acarree resultados desproporcionadamente gravosos que supongan diferencia de trato entre unos trabajadores y otros.</w:t>
      </w:r>
    </w:p>
    <w:p w:rsidR="0085709A" w:rsidRDefault="0085709A" w:rsidP="0085709A">
      <w:pPr>
        <w:pStyle w:val="TextoNormal"/>
      </w:pPr>
    </w:p>
    <w:p w:rsidR="0085709A" w:rsidRDefault="0085709A" w:rsidP="0085709A">
      <w:pPr>
        <w:pStyle w:val="TextoNormal"/>
      </w:pPr>
      <w:r>
        <w:t>Tras recordar la doctrina constitucional sobre el derecho a la igualdad, sostiene el Fiscal General del Estado que el criterio adoptado por el precepto cuestionado es absolutamente arbitrario en cuanto a su resultancia, en orden a fijar la base reguladora de la prestación por jubilación, al depender única y exclusivamente del azar, es decir, del tipo de contrato del que se disponía inmediatamente antes del inicio de un periodo en el que no hay obligación de cotizar. De tal modo que en un caso en que el contrato lo fuera a tiempo parcial y constituyera una mera anécdota en el conjunto de la vida laboral del trabajador, a éste se le privaría de la racional contraprestación a toda su “carrera de seguro”. Por el contrario, a quien hubiera trabajado la mayor parte de su vida a tiempo parcial y solo al final hubiera tenido una contratación a tiempo completo, vería incrementar la base reguladora de su pensión al tomarse en cuenta las bases mínimas de cotización del trabajo a tiempo completo como elemento con el que integrar las lagunas de cotización.</w:t>
      </w:r>
    </w:p>
    <w:p w:rsidR="0085709A" w:rsidRDefault="0085709A" w:rsidP="0085709A">
      <w:pPr>
        <w:pStyle w:val="TextoNormal"/>
      </w:pPr>
    </w:p>
    <w:p w:rsidR="0085709A" w:rsidRDefault="0085709A" w:rsidP="0085709A">
      <w:pPr>
        <w:pStyle w:val="TextoNormal"/>
      </w:pPr>
      <w:r>
        <w:t>Constatado, en suma, el perjuicio que produce la norma cuestionada sobre los trabajadores a tiempo parcial, y no apreciando justificación objetiva que permita descartar la existencia de discriminación indirecta por razón de sexo, el Fiscal General del Estado interesa que se dicte Sentencia declarando la inconstitucionalidad del apartado b) de la regla tercera, del número 1 de la disposición adicional séptima LGSS.</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26 de mayo de 2015 se señaló para deliberación y votación de la presente Sentencia el día 28 del mismo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Juzgado de lo Social núm. 3 de A Coruña promueve esta cuestión de inconstitucionalidad por posible vulneración de los arts. 9.3 y 14 CE, respecto de los apartados a) y b) de la regla tercera del número 1, de la disposición adicional séptima del texto refundido de la Ley General de la Seguridad Social (en adelante, LGSS), aprobado por el Real Decreto Legislativo 1/1994, de 20 de junio, en la redacción dada a los citados apartados, respectivamente, por la Ley Orgánica 3/2007, de 22 de marzo, para la igualdad efectiva de mujeres y hombres, y por el Real Decreto-ley 15/1998, de 27 de noviembre, de medidas urgentes para la mejora del mercado de trabajo en relación con el trabajo a tiempo parcial y el fomento de la estabilidad.</w:t>
      </w:r>
    </w:p>
    <w:p w:rsidR="0085709A" w:rsidRDefault="0085709A" w:rsidP="0085709A">
      <w:pPr>
        <w:pStyle w:val="TextoNormal"/>
      </w:pPr>
    </w:p>
    <w:p w:rsidR="0085709A" w:rsidRDefault="0085709A" w:rsidP="0085709A">
      <w:pPr>
        <w:pStyle w:val="TextoNormal"/>
      </w:pPr>
      <w:r>
        <w:t>La disposición adicional séptima de la LGSS establece normas aplicables a la acción protectora de la Seguridad Social de los trabajadores contratados a tiempo parcial, y en concreto, por lo que se refiere a la base reguladora de sus prestaciones, prevé lo siguiente en la regla tercera del número 1:</w:t>
      </w:r>
    </w:p>
    <w:p w:rsidR="0085709A" w:rsidRDefault="0085709A" w:rsidP="0085709A">
      <w:pPr>
        <w:pStyle w:val="TextoNormal"/>
      </w:pPr>
    </w:p>
    <w:p w:rsidR="0085709A" w:rsidRDefault="0085709A" w:rsidP="0085709A">
      <w:pPr>
        <w:pStyle w:val="TextoNormal"/>
      </w:pPr>
      <w:r>
        <w:t>“a) La base reguladora de las prestaciones de jubilación e incapacidad permanente se calculará conforme a la regla general.</w:t>
      </w:r>
    </w:p>
    <w:p w:rsidR="0085709A" w:rsidRDefault="0085709A" w:rsidP="0085709A">
      <w:pPr>
        <w:pStyle w:val="TextoNormal"/>
      </w:pPr>
    </w:p>
    <w:p w:rsidR="0085709A" w:rsidRDefault="0085709A" w:rsidP="0085709A">
      <w:pPr>
        <w:pStyle w:val="TextoNormal"/>
      </w:pPr>
      <w:r>
        <w:t>b) A efecto de las pensiones de jubilación y de la incapacidad permanente, derivada de enfermedad común, la integración de los periodos durante los que no haya habido obligación de cotizar se llevará a cabo con la base mínima de cotización de entre las aplicables en cada momento, correspondiente al número de horas contratadas en último término.”</w:t>
      </w:r>
    </w:p>
    <w:p w:rsidR="0085709A" w:rsidRDefault="0085709A" w:rsidP="0085709A">
      <w:pPr>
        <w:pStyle w:val="TextoNormal"/>
      </w:pPr>
    </w:p>
    <w:p w:rsidR="0085709A" w:rsidRDefault="0085709A" w:rsidP="0085709A">
      <w:pPr>
        <w:pStyle w:val="TextoNormal"/>
      </w:pPr>
      <w:r>
        <w:t>La regla general a la que remite el apartado a) transcrito es la contenida en el art. 162 LGSS, conforme al cual la base reguladora de la prestación de jubilación se calculará conforme a las bases reales cotizadas durante el periodo correspondiente, así como el art. 140 LGSS para el cálculo de la base reguladora de las pensiones de incapacidad permanente derivada de contingencias comunes del mismo tenor.</w:t>
      </w:r>
    </w:p>
    <w:p w:rsidR="0085709A" w:rsidRDefault="0085709A" w:rsidP="0085709A">
      <w:pPr>
        <w:pStyle w:val="TextoNormal"/>
      </w:pPr>
    </w:p>
    <w:p w:rsidR="0085709A" w:rsidRDefault="0085709A" w:rsidP="0085709A">
      <w:pPr>
        <w:pStyle w:val="TextoNormal"/>
      </w:pPr>
      <w:r w:rsidRPr="0085709A">
        <w:rPr>
          <w:rStyle w:val="NumeroAFNegritaCaracter"/>
        </w:rPr>
        <w:t>2</w:t>
      </w:r>
      <w:r>
        <w:t>. El Juzgado promotor de la cuestión considera que los anteriores apartados a) y b) podrían vulnerar el derecho a la igualdad y la prohibición de discriminación por razón de sexo (art. 14 CE), así como el principio de interdicción de la arbitrariedad de los poderes públicos (art. 9.3 CE).</w:t>
      </w:r>
    </w:p>
    <w:p w:rsidR="0085709A" w:rsidRDefault="0085709A" w:rsidP="0085709A">
      <w:pPr>
        <w:pStyle w:val="TextoNormal"/>
      </w:pPr>
    </w:p>
    <w:p w:rsidR="0085709A" w:rsidRDefault="0085709A" w:rsidP="0085709A">
      <w:pPr>
        <w:pStyle w:val="TextoNormal"/>
      </w:pPr>
      <w:r>
        <w:t>Como quedó expuesto en los antecedentes, y por lo que al apartado a) se refiere, el Auto de planteamiento sostiene que la vulneración del derecho a la igualdad (art. 14 CE) y del principio de interdicción de la arbitrariedad de los poderes públicos (art. 9.3 CE) procede de que “no estaría justificado … que a un trabajador a tiempo completo se le integren las ‘lagunas’ de cotización con bases mínimas, y a quien trabajó a tiempo parcial se le computen las bases reales durante el trabajo a tiempo parcial”.</w:t>
      </w:r>
    </w:p>
    <w:p w:rsidR="0085709A" w:rsidRDefault="0085709A" w:rsidP="0085709A">
      <w:pPr>
        <w:pStyle w:val="TextoNormal"/>
      </w:pPr>
    </w:p>
    <w:p w:rsidR="0085709A" w:rsidRDefault="0085709A" w:rsidP="0085709A">
      <w:pPr>
        <w:pStyle w:val="TextoNormal"/>
      </w:pPr>
      <w:r>
        <w:t xml:space="preserve">Por lo que atañe al apartado b), se considera que podrían verse vulnerados los mismos preceptos constitucionales (arts. 9.3 y 14 CE) al darse, en cuanto a la integración de lagunas de cotización, un trato desigual e injustificado a los que trabajan a tiempo parcial durante un breve periodo de tiempo al final de su carrera de cotización habiendo cotizado el resto </w:t>
      </w:r>
      <w:r>
        <w:lastRenderedPageBreak/>
        <w:t>de esa carrera a tiempo completo, debido a que en estos casos la integración de las “lagunas” de cotización hasta la fecha del hecho causante no se realiza con las bases mínimas, como es la regla general, sino con bases mínimas reducidas en la misma proporción correspondiente al número de horas contratadas durante el último periodo cotizado a tiempo parcial. De este modo, conforme a la argumentación del auto de planteamiento, el apartado b) recurrido determina que a dos trabajadores con un mismo número de días cotizados a lo largo de su carrera de seguro le correspondan distintas bases reguladoras meramente por el momento de esa carrera en que se realizó un trabajo a tiempo parcial, generando así una desigualdad que, en la medida que depende de un criterio aleatorio, es injustificada (art. 14 CE) y arbitraria (art. 9.3 CE).</w:t>
      </w:r>
    </w:p>
    <w:p w:rsidR="0085709A" w:rsidRDefault="0085709A" w:rsidP="0085709A">
      <w:pPr>
        <w:pStyle w:val="TextoNormal"/>
      </w:pPr>
    </w:p>
    <w:p w:rsidR="0085709A" w:rsidRDefault="0085709A" w:rsidP="0085709A">
      <w:pPr>
        <w:pStyle w:val="TextoNormal"/>
      </w:pPr>
      <w:r>
        <w:t>Finalmente, se aduce la vulneración en ambos casos del art. 14 CE en su vertiente de prohibición de discriminación por razón de sexo, en la medida en que el referido trato peyorativo recaería especialmente en las mujeres, al ser el colectivo que en mayor medida es contratado a tiempo parcial.</w:t>
      </w:r>
    </w:p>
    <w:p w:rsidR="0085709A" w:rsidRDefault="0085709A" w:rsidP="0085709A">
      <w:pPr>
        <w:pStyle w:val="TextoNormal"/>
      </w:pPr>
    </w:p>
    <w:p w:rsidR="0085709A" w:rsidRDefault="0085709A" w:rsidP="0085709A">
      <w:pPr>
        <w:pStyle w:val="TextoNormal"/>
      </w:pPr>
      <w:r>
        <w:t>El Abogado del Estado sostiene, respecto al apartado a), que “falta en el auto de planteamiento la mínima argumentación para acreditar la inconstitucionalidad de la norma”, pues “la argumentación principal del auto de planteamiento se remite fundamentalmente al auto del Tribunal Supremo planteando la mencionada cuestión de inconstitucionalidad 3361/2012 en la que no se duda sobre la constitucionalidad del apartado a)”. Además, “esta norma no forma parte del imprescindible juicio de relevancia, puesto que el demandante centra su reclamación contra el apartado b) a juzgar por la jurisprudencia que cita en la demanda, y que solo concierne la aplicación de esta última norma”. Por estos dos motivos insta la inadmisión de la cuestión en relación con el apartado a). Respecto del apartado b), el Abogado del Estado considera, con el detalle recogido en los antecedentes, que procede la desestimación íntegra de la cuestión de inconstitucionalidad planteada al no haberse vulnerado ninguno de los preceptos constitucionales alegados.</w:t>
      </w:r>
    </w:p>
    <w:p w:rsidR="0085709A" w:rsidRDefault="0085709A" w:rsidP="0085709A">
      <w:pPr>
        <w:pStyle w:val="TextoNormal"/>
      </w:pPr>
    </w:p>
    <w:p w:rsidR="0085709A" w:rsidRDefault="0085709A" w:rsidP="0085709A">
      <w:pPr>
        <w:pStyle w:val="TextoNormal"/>
      </w:pPr>
      <w:r>
        <w:t xml:space="preserve">El Fiscal General del Estado también insta la inadmisión de la cuestión planteada respecto al apartado a) por no ser norma relevante para el proceso </w:t>
      </w:r>
      <w:r w:rsidRPr="0085709A">
        <w:rPr>
          <w:i/>
        </w:rPr>
        <w:t>a quo</w:t>
      </w:r>
      <w:r>
        <w:t>. Afirma que “el tema de fondo planteado en el proceso subyacente no es otro que el del modo de establecer las bases de cotización para integrar aquellas ‘lagunas’ o períodos de la vida laboral en los que no ha existido obligación de cotizar…., ya que su divergencia con el cómputo que realiza el INSS no es otra que la del cálculo de las bases de cotización en el período comprendido entre el 17 de noviembre de 2006 y el 8 de febrero de 2011 (fecha esta última en la que se alcanza la edad de jubilación), y durante el cual, la actora se mantuvo en situación de incapacidad permanente, no existiendo por tanto obligación de cotizar”. Interesa, sin embargo, en los términos reseñados en los antecedentes, la declaración de inconstitucionalidad del apartado b) por cuanto la forma de integración de “lagunas” de cotización prevista para el trabajo a tiempo parcial vulneraría los arts. 9.3 y 14 CE.</w:t>
      </w:r>
    </w:p>
    <w:p w:rsidR="0085709A" w:rsidRDefault="0085709A" w:rsidP="0085709A">
      <w:pPr>
        <w:pStyle w:val="TextoNormal"/>
      </w:pPr>
    </w:p>
    <w:p w:rsidR="0085709A" w:rsidRDefault="0085709A" w:rsidP="0085709A">
      <w:pPr>
        <w:pStyle w:val="TextoNormal"/>
      </w:pPr>
      <w:r>
        <w:t>La representación procesal del Instituto Nacional de la Seguridad Social sostiene, de la manera consignada en los antecedentes, la desestimación de la cuestión planteada en relación a ambos preceptos.</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Al examinar la cuestión planteada es necesario, previamente, responder a las objeciones de admisibilidad formuladas, pues nada impide que se pueda apreciar la ausencia de los </w:t>
      </w:r>
      <w:r>
        <w:lastRenderedPageBreak/>
        <w:t>requisitos, tanto procesales como de fundamentación, exigidos para el válido planteamiento de la cuestión de inconstitucionalidad, además de en el trámite de admisión previsto en el art. 37.1 de la Ley Orgánica del Tribunal Constitucional (LOTC), mediante sentencia en coherencia con la doctrina constitucional contenida en las SSTC 183/2013, de 23 de octubre, FJ 2; 206/2014, de 15 de diciembre, FJ 2, y 10/2015, de 2 de febrero, FJ 2.</w:t>
      </w:r>
    </w:p>
    <w:p w:rsidR="0085709A" w:rsidRDefault="0085709A" w:rsidP="0085709A">
      <w:pPr>
        <w:pStyle w:val="TextoNormal"/>
      </w:pPr>
    </w:p>
    <w:p w:rsidR="0085709A" w:rsidRDefault="0085709A" w:rsidP="0085709A">
      <w:pPr>
        <w:pStyle w:val="TextoNormal"/>
      </w:pPr>
      <w:r>
        <w:t>Como ha quedado señalado, dos son los óbices que se alegan en cuanto al reproche de inconstitucionalidad dirigido por el Juzgado al apartado a) de la regla tercera del número 1, de la disposición adicional séptima de la LGSS: la falta de la necesaria fundamentación sobre su inconstitucionalidad y el incumplimiento de las exigencias derivadas del juicio de relevancia.</w:t>
      </w:r>
    </w:p>
    <w:p w:rsidR="0085709A" w:rsidRDefault="0085709A" w:rsidP="0085709A">
      <w:pPr>
        <w:pStyle w:val="TextoNormal"/>
      </w:pPr>
    </w:p>
    <w:p w:rsidR="0085709A" w:rsidRDefault="0085709A" w:rsidP="0085709A">
      <w:pPr>
        <w:pStyle w:val="TextoNormal"/>
      </w:pPr>
      <w:r>
        <w:t xml:space="preserve">a) En la sistemática de este tipo de procesos constitucionales la relevancia de la norma impugnada para el proceso </w:t>
      </w:r>
      <w:r w:rsidRPr="0085709A">
        <w:rPr>
          <w:i/>
        </w:rPr>
        <w:t>a quo</w:t>
      </w:r>
      <w:r>
        <w:t xml:space="preserve"> es condición anterior desde un punto de vista lógico al requisito de la argumentación suficiente de la duda de constitucionalidad, pues asegura el carácter concreto del control de constitucionalidad que informa este tipo de procesos constitucionales. Procede, por tanto, empezar por el segundo óbice de los indicados, que en el fondo plantea una divergencia sobre el objeto del proceso </w:t>
      </w:r>
      <w:r w:rsidRPr="0085709A">
        <w:rPr>
          <w:i/>
        </w:rPr>
        <w:t>a quo</w:t>
      </w:r>
      <w:r>
        <w:t>.</w:t>
      </w:r>
    </w:p>
    <w:p w:rsidR="0085709A" w:rsidRDefault="0085709A" w:rsidP="0085709A">
      <w:pPr>
        <w:pStyle w:val="TextoNormal"/>
      </w:pPr>
    </w:p>
    <w:p w:rsidR="0085709A" w:rsidRDefault="0085709A" w:rsidP="0085709A">
      <w:pPr>
        <w:pStyle w:val="TextoNormal"/>
      </w:pPr>
      <w:r>
        <w:t xml:space="preserve">El objeto del proceso </w:t>
      </w:r>
      <w:r w:rsidRPr="0085709A">
        <w:rPr>
          <w:i/>
        </w:rPr>
        <w:t>a quo</w:t>
      </w:r>
      <w:r>
        <w:t>, por estar íntimamente conectado con el juicio de aplicabilidad y relevancia de la norma recurrida, es una cuestión en la que, salvo que la ausencia de argumentación o su grave inconsistencia conlleve un riesgo para el carácter concreto del control de constitucionalidad verificado mediante este tipo de procesos, este Tribunal debe estar al planteamiento que realice el juez promotor de la cuestión (por todas, STC 18/2014, de 30 de enero, FJ 3).</w:t>
      </w:r>
    </w:p>
    <w:p w:rsidR="0085709A" w:rsidRDefault="0085709A" w:rsidP="0085709A">
      <w:pPr>
        <w:pStyle w:val="TextoNormal"/>
      </w:pPr>
    </w:p>
    <w:p w:rsidR="0085709A" w:rsidRDefault="0085709A" w:rsidP="0085709A">
      <w:pPr>
        <w:pStyle w:val="TextoNormal"/>
      </w:pPr>
      <w:r>
        <w:t xml:space="preserve">En este caso debe destacarse que de la lectura de la demanda del proceso </w:t>
      </w:r>
      <w:r w:rsidRPr="0085709A">
        <w:rPr>
          <w:i/>
        </w:rPr>
        <w:t>a quo</w:t>
      </w:r>
      <w:r>
        <w:t xml:space="preserve"> se desprende con claridad que, a diferencia de lo que sostienen el Abogado del Estado y el Fiscal General del Estado, la recurrente no solo pretende un distinto modo de integración de las lagunas de cotización acaecidas desde noviembre de 2006 a diciembre de 2010, sino que también insta un distinto modo de computar su base reguladora por lo que hace al periodo que media entre el 6 de junio de 2006 y el 17 de noviembre de 2006, durante el cual no incurrió en lagunas de cotización sino que trabajó a tiempo parcial.</w:t>
      </w:r>
    </w:p>
    <w:p w:rsidR="0085709A" w:rsidRDefault="0085709A" w:rsidP="0085709A">
      <w:pPr>
        <w:pStyle w:val="TextoNormal"/>
      </w:pPr>
    </w:p>
    <w:p w:rsidR="0085709A" w:rsidRDefault="0085709A" w:rsidP="0085709A">
      <w:pPr>
        <w:pStyle w:val="TextoNormal"/>
      </w:pPr>
      <w:r>
        <w:t xml:space="preserve">Así, frente a la base reguladora de 491,93 € que el INSS había calculado, la actora sostuvo en el hecho segundo de la demanda que “tomando las bases mínimas de cotización desde 6/06 a 12/10, mi base reguladora asciende a 650,78 €, que es la que debe reconocérseme”. En otras palabras, al extender su solicitud al lapso temporal que va del 6 de junio 2006 al 17 de noviembre de 2006, tiempo en el que no hay lagunas de cotización en su carrera de seguro sino cotizaciones a tiempo parcial, resulta aplicable a esta parte de la pretensión deducida en el proceso </w:t>
      </w:r>
      <w:r w:rsidRPr="0085709A">
        <w:rPr>
          <w:i/>
        </w:rPr>
        <w:t>a quo</w:t>
      </w:r>
      <w:r>
        <w:t xml:space="preserve"> el apartado a) impugnado, pues este precepto es el que establece la regla de cálculo de la base reguladora de la pensión de jubilación por lo que hace a los contratos a tiempo parcial y lo hace por remisión a la regla general de cálculo fijada en el art. 162.1.1 LGSS.</w:t>
      </w:r>
    </w:p>
    <w:p w:rsidR="0085709A" w:rsidRDefault="0085709A" w:rsidP="0085709A">
      <w:pPr>
        <w:pStyle w:val="TextoNormal"/>
      </w:pPr>
    </w:p>
    <w:p w:rsidR="0085709A" w:rsidRDefault="0085709A" w:rsidP="0085709A">
      <w:pPr>
        <w:pStyle w:val="TextoNormal"/>
      </w:pPr>
      <w:r>
        <w:t xml:space="preserve">El auto de planteamiento, después de reseñar estos hechos en el fundamento de derecho primero, razona sobre el juicio de relevancia de los preceptos legales cuestionados en el fundamento de derecho segundo. Expone, en relación al apartado a) cuestionado, que “la </w:t>
      </w:r>
      <w:r>
        <w:lastRenderedPageBreak/>
        <w:t>aplicación de tal precepto determina una base reguladora menor que si durante ese periodo trabajado a tiempo parcial el mismo se integrara con bases mínimas, como ocurriría con el art. 162.1.2 LGSS si el trabajador no hubiera trabajado a tiempo parcial”.</w:t>
      </w:r>
    </w:p>
    <w:p w:rsidR="0085709A" w:rsidRDefault="0085709A" w:rsidP="0085709A">
      <w:pPr>
        <w:pStyle w:val="TextoNormal"/>
      </w:pPr>
    </w:p>
    <w:p w:rsidR="0085709A" w:rsidRDefault="0085709A" w:rsidP="0085709A">
      <w:pPr>
        <w:pStyle w:val="TextoNormal"/>
      </w:pPr>
      <w:r>
        <w:t xml:space="preserve">Debemos concluir, por tanto, que la eventual declaración de inconstitucionalidad del apartado a) impugnado afectaría necesariamente a la resolución del proceso </w:t>
      </w:r>
      <w:r w:rsidRPr="0085709A">
        <w:rPr>
          <w:i/>
        </w:rPr>
        <w:t>a quo</w:t>
      </w:r>
      <w:r>
        <w:t>, como por otra parte el juez promotor razona expresamente en el auto de planteamiento, y en esta medida procede rechazar este óbice de procedibilidad suscitado por el Abogado del Estado y el Fiscal General del Estado.</w:t>
      </w:r>
    </w:p>
    <w:p w:rsidR="0085709A" w:rsidRDefault="0085709A" w:rsidP="0085709A">
      <w:pPr>
        <w:pStyle w:val="TextoNormal"/>
      </w:pPr>
    </w:p>
    <w:p w:rsidR="0085709A" w:rsidRDefault="0085709A" w:rsidP="0085709A">
      <w:pPr>
        <w:pStyle w:val="TextoNormal"/>
      </w:pPr>
      <w:r>
        <w:t>b) También procede rechazar la alegación del Abogado del Estado de que “falta en el Auto de planteamiento la mínima argumentación para acreditar la inconstitucionalidad de la norma”.</w:t>
      </w:r>
    </w:p>
    <w:p w:rsidR="0085709A" w:rsidRDefault="0085709A" w:rsidP="0085709A">
      <w:pPr>
        <w:pStyle w:val="TextoNormal"/>
      </w:pPr>
    </w:p>
    <w:p w:rsidR="0085709A" w:rsidRDefault="0085709A" w:rsidP="0085709A">
      <w:pPr>
        <w:pStyle w:val="TextoNormal"/>
      </w:pPr>
      <w:r>
        <w:t>Conviene recordar que para cumplir con las exigencias contenidas en el art. 35 LOTC no basta con que el Auto de planteamiento cite las normas cuya constitucionalidad se cuestiona y los preceptos constitucionales que se suponen infringidos, sino que es preciso también “que el órgano judicial exteriorice en él el razonamiento que le ha llevado a cuestionar la constitucionalidad de la norma aplicable”, sin que, por consiguiente pueda “limitarse a manifestar la existencia de su propia duda sin aducir las razones que la abonan”, pues la presunción de constitucionalidad de las normas con rango de ley “no puede desvirtuarse sin un mínimo de argumentación” o a través de “impugnaciones globales y carentes de una razón suficientemente desarrollada” (STC 245/2004, de 16 de diciembre, FJ 3).</w:t>
      </w:r>
    </w:p>
    <w:p w:rsidR="0085709A" w:rsidRDefault="0085709A" w:rsidP="0085709A">
      <w:pPr>
        <w:pStyle w:val="TextoNormal"/>
      </w:pPr>
    </w:p>
    <w:p w:rsidR="0085709A" w:rsidRDefault="0085709A" w:rsidP="0085709A">
      <w:pPr>
        <w:pStyle w:val="TextoNormal"/>
      </w:pPr>
      <w:r>
        <w:t>El auto de planteamiento exterioriza en dos tiempos el razonamiento que ha llevado al órgano judicial a dudar de la constitucionalidad del apartado a) cuestionado. Primero expone el contenido de ese precepto, esto es, el significado de la remisión a la “regla general” para calcular la base reguladora de las prestaciones de jubilación e incapacidad permanente de los trabajadores a tiempo parcial. Afirma literalmente que esta norma cuestionada “establece que la base reguladora de la prestación de jubilación se calculará ‘conforme a la regla general’. Lo que supone la aplicación del art. 162.1.1 LGSS y, en consecuencia, la toma de las bases reales cotizadas durante el periodo correspondiente... Resultando que la aplicación de tal precepto determina una base reguladora menor que si durante ese periodo trabajado a tiempo parcial el mismo se integrara con bases mínimas, como ocurriría con el art. 162.1.2 LGSS si el trabajador no hubiera trabajado a tiempo parcial”.</w:t>
      </w:r>
    </w:p>
    <w:p w:rsidR="0085709A" w:rsidRDefault="0085709A" w:rsidP="0085709A">
      <w:pPr>
        <w:pStyle w:val="TextoNormal"/>
      </w:pPr>
    </w:p>
    <w:p w:rsidR="0085709A" w:rsidRDefault="0085709A" w:rsidP="0085709A">
      <w:pPr>
        <w:pStyle w:val="TextoNormal"/>
      </w:pPr>
      <w:r>
        <w:t>En segundo lugar, razona por qué, a su juicio, un régimen como el descrito vulnera el derecho a la igualdad (art. 14 CE) y la interdicción de la arbitrariedad (art. 9.3 CE), afirmando que “este juzgador entiende que no estaría justificado … , por un lado, y respecto al apartado a) de la regla 3ª del nº 1 de la Disp. Adic. 7ª LGSS (</w:t>
      </w:r>
      <w:r w:rsidRPr="0085709A">
        <w:rPr>
          <w:i/>
        </w:rPr>
        <w:t>sic</w:t>
      </w:r>
      <w:r>
        <w:t>), que a un trabajador a tiempo completo se le integren las lagunas de cotización con bases mínimas, y a quien trabajó a tiempo parcial se le computen las bases reales durante el trabajo a tiempo parcial… Todo ello con la consecuencia del posible trato peyorativo no justificado, derivado de una menor base reguladora, para quien trabajó a tiempo parcial con respecto a quien no trabajó durante ese mismo periodo”. Y argumenta también que, a su entender, el precepto lesiona la prohibición de discriminación por razón de sexo (art. 14 CE), “a la vista del hecho de que la contratación a tiempo parcial es realizada de manera más habitual por mujeres, fruto de la realidad social actual”.</w:t>
      </w:r>
    </w:p>
    <w:p w:rsidR="0085709A" w:rsidRDefault="0085709A" w:rsidP="0085709A">
      <w:pPr>
        <w:pStyle w:val="TextoNormal"/>
      </w:pPr>
    </w:p>
    <w:p w:rsidR="0085709A" w:rsidRDefault="0085709A" w:rsidP="0085709A">
      <w:pPr>
        <w:pStyle w:val="TextoNormal"/>
      </w:pPr>
      <w:r>
        <w:t xml:space="preserve">No cabe reprochar a esta argumentación del juez promotor de la cuestión que se limite “a manifestar la existencia de su propia duda sin aducir las razones que la abonan”, ni que comparta la naturaleza de las “impugnaciones globales y carentes de una razón suficientemente desarrollada”, por lo que resulta bastante por sí misma, y sin necesidad de tomar en consideración la motivación complementaria realizada por remisión al auto del Tribunal Supremo que plantea la cuestión de inconstitucionalidad 3361-2012, al efecto de suscitar la posible inconstitucionalidad de una norma legal relevante para resolver el proceso </w:t>
      </w:r>
      <w:r w:rsidRPr="0085709A">
        <w:rPr>
          <w:i/>
        </w:rPr>
        <w:t>a quo</w:t>
      </w:r>
      <w:r>
        <w:t>.</w:t>
      </w:r>
    </w:p>
    <w:p w:rsidR="0085709A" w:rsidRDefault="0085709A" w:rsidP="0085709A">
      <w:pPr>
        <w:pStyle w:val="TextoNormal"/>
      </w:pPr>
    </w:p>
    <w:p w:rsidR="0085709A" w:rsidRDefault="0085709A" w:rsidP="0085709A">
      <w:pPr>
        <w:pStyle w:val="TextoNormal"/>
      </w:pPr>
      <w:r w:rsidRPr="0085709A">
        <w:rPr>
          <w:rStyle w:val="NumeroAFNegritaCaracter"/>
        </w:rPr>
        <w:t>4</w:t>
      </w:r>
      <w:r>
        <w:t>. Descartados estos dos óbices de procedibilidad, procede resolver en cuanto al fondo acerca de los motivos de inconstitucionalidad dirigidos contra el apartado a) de la regla tercera del número 1 de la disposición adicional séptima LGSS.</w:t>
      </w:r>
    </w:p>
    <w:p w:rsidR="0085709A" w:rsidRDefault="0085709A" w:rsidP="0085709A">
      <w:pPr>
        <w:pStyle w:val="TextoNormal"/>
      </w:pPr>
    </w:p>
    <w:p w:rsidR="0085709A" w:rsidRDefault="0085709A" w:rsidP="0085709A">
      <w:pPr>
        <w:pStyle w:val="TextoNormal"/>
      </w:pPr>
      <w:r>
        <w:t>Este precepto remite, en cuanto al cálculo de la base reguladora de las pensiones de incapacidad permanente y jubilación durante los períodos de empleo y cotización a tiempo parcial, a las normas generales de los arts. 140 y 162 LGSS, lo que implica que el cálculo se realiza sobre las bases por las que se haya efectivamente cotizado durante el período de cómputo.</w:t>
      </w:r>
    </w:p>
    <w:p w:rsidR="0085709A" w:rsidRDefault="0085709A" w:rsidP="0085709A">
      <w:pPr>
        <w:pStyle w:val="TextoNormal"/>
      </w:pPr>
    </w:p>
    <w:p w:rsidR="0085709A" w:rsidRDefault="0085709A" w:rsidP="0085709A">
      <w:pPr>
        <w:pStyle w:val="TextoNormal"/>
      </w:pPr>
      <w:r>
        <w:t>El primer motivo de inconstitucionalidad que se suscita por el Juzgado promotor de este proceso constitucional es la posible vulneración de la cláusula de igualdad (art. 14 CE), que el auto de planteamiento cifra en el distinto tratamiento legal que, en relación con el cálculo de la base reguladora de la pensión de jubilación, se dispensa a quienes trabajan (y cotizan) a tiempo parcial frente a los que, por no tener obligación de cotizar y haber trabajado en el periodo inmediatamente anterior a tiempo completo, ven integradas sus lagunas de cotización con bases mínimas completas.</w:t>
      </w:r>
    </w:p>
    <w:p w:rsidR="0085709A" w:rsidRDefault="0085709A" w:rsidP="0085709A">
      <w:pPr>
        <w:pStyle w:val="TextoNormal"/>
      </w:pPr>
    </w:p>
    <w:p w:rsidR="0085709A" w:rsidRDefault="0085709A" w:rsidP="0085709A">
      <w:pPr>
        <w:pStyle w:val="TextoNormal"/>
      </w:pPr>
      <w:r>
        <w:t>La STC 156/2014, de 25 de septiembre, que enjuiciaba también una norma de seguridad social relativa al trabajo a tiempo parcial, recapitula la doctrina constitucional sobre la cláusula de igualdad ex art. 14 CE. Afirma que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0085709A" w:rsidRDefault="0085709A" w:rsidP="0085709A">
      <w:pPr>
        <w:pStyle w:val="TextoNormal"/>
      </w:pPr>
    </w:p>
    <w:p w:rsidR="0085709A" w:rsidRDefault="0085709A" w:rsidP="0085709A">
      <w:pPr>
        <w:pStyle w:val="TextoNormal"/>
      </w:pPr>
      <w:r>
        <w:t xml:space="preserve">Dicha sentencia añade que “[l]o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w:t>
      </w:r>
      <w:r>
        <w:lastRenderedPageBreak/>
        <w:t>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85709A" w:rsidRDefault="0085709A" w:rsidP="0085709A">
      <w:pPr>
        <w:pStyle w:val="TextoNormal"/>
      </w:pPr>
    </w:p>
    <w:p w:rsidR="0085709A" w:rsidRDefault="0085709A" w:rsidP="0085709A">
      <w:pPr>
        <w:pStyle w:val="TextoNormal"/>
      </w:pPr>
      <w:r>
        <w:t>Para aplicar este canon al presente caso, y en particular en orden a determinar si se trata de situaciones subjetivas homogéneas, es necesario partir del régimen jurídico de las dos categorías de personas que, según el Auto de planteamiento, aparecen tratados de un modo desigual injustificadamente. La descripción de este régimen jurídico que contiene la citada STC 156/2014, aunque se hiciera en función de un planteamiento de desigualdad distinto, tiene plena virtualidad a los efectos de este proceso.</w:t>
      </w:r>
    </w:p>
    <w:p w:rsidR="0085709A" w:rsidRDefault="0085709A" w:rsidP="0085709A">
      <w:pPr>
        <w:pStyle w:val="TextoNormal"/>
      </w:pPr>
    </w:p>
    <w:p w:rsidR="0085709A" w:rsidRDefault="0085709A" w:rsidP="0085709A">
      <w:pPr>
        <w:pStyle w:val="TextoNormal"/>
      </w:pPr>
      <w:r>
        <w:t xml:space="preserve">Sobre el grupo de personas ofrecido como contraste, esto es, quienes presentan lagunas de cotización durante un cierto periodo, dicha sentencia observó que “[c]on la finalidad de evitar que la existencia de meses sin cotización durante el período que haya de tomarse en consideración para el cálculo de la base reguladora de la pensión redunde en una disminución drástica de la base reguladora de la pensión y, en consecuencia, de la cuantía final de la misma, la Ley general de la Seguridad Social ha previsto la regla de integración de lagunas. Mediante esta regla, sólo aplicable a las prestaciones de jubilación e incapacidad permanente, se establece la ficción legal de que en los meses sin cotización se ha cotizado. Así, la regla aplicable en nuestro sistema de Seguridad ha sido la de integrar las lagunas de cotización con el 100 por 100 de la base de cotización mínima vigente para mayores de 18 años sin ningún límite temporal (arts. 140.4 y 162.1.1.2 LGSS). Esta regla ha sido modificada por los arts. 3.1 y 4.3 de la Ley 27/2011, de 1 de agosto, sobre actualización, adecuación y modernización del sistema de Seguridad Social, preceptos que antes de su entrada en vigor han sido de nuevo modificados por la Ley 3/2012, de 6 de julio, de medidas urgentes para la reforma del mercado laboral. Esta reforma incorpora una nueva técnica donde se pondera parcialmente, esto es, con límite temporal, el esfuerzo contributivo al reducirse el tiempo durante el que la cobertura de lagunas se efectuará con el 100 por 100 de la base mínima … Ahora bien, cuando se trata de trabajadores a tiempo parcial, la disposición adicional séptima.1 regla tercera apartado b) LGSS contiene una regla específica, que no ha sido objeto de modificación por las normas señaladas, según la cual en estos casos la aplicación como ficción legal de la citada base mínima de cotización se realiza en proporción a la jornada a tiempo parcial previa al período cuyas lagunas se tratan de integrar”. Debemos añadir ahora que, dado que la </w:t>
      </w:r>
      <w:r w:rsidRPr="0085709A">
        <w:rPr>
          <w:i/>
        </w:rPr>
        <w:t>litis</w:t>
      </w:r>
      <w:r>
        <w:t xml:space="preserve"> sustanciada en el proceso </w:t>
      </w:r>
      <w:r w:rsidRPr="0085709A">
        <w:rPr>
          <w:i/>
        </w:rPr>
        <w:t>a quo</w:t>
      </w:r>
      <w:r>
        <w:t xml:space="preserve"> versa sobre la cuantía de una pensión de jubilación cuyo hecho causante se produjo en diciembre de 2010, la normativa a tener en cuenta para resolver aquí ha de ser la anterior a la modificación de 2011.</w:t>
      </w:r>
    </w:p>
    <w:p w:rsidR="0085709A" w:rsidRDefault="0085709A" w:rsidP="0085709A">
      <w:pPr>
        <w:pStyle w:val="TextoNormal"/>
      </w:pPr>
    </w:p>
    <w:p w:rsidR="0085709A" w:rsidRDefault="0085709A" w:rsidP="0085709A">
      <w:pPr>
        <w:pStyle w:val="TextoNormal"/>
      </w:pPr>
      <w:r>
        <w:t xml:space="preserve">Respecto al otro término de la comparación, que es el grupo de personas que por trabajar a tiempo parcial le es aplicable para el cálculo de la base reguladora relativa a ese periodo el apartado a) de la regla tercera del número 1 de la disposición cuestionada, la STC 156/2014 afirma que “[l]as reglas descritas [de relleno de lagunas] deben ser puestas en relación con las que regulan en situaciones normales de cotización la cuantía de la base mínima de cotización. Así, a efectos de cotización por contingencias comunes los trabajadores son encuadrados en grupos profesionales según su categoría. A cada grupo le corresponde una base máxima y una base mínima de cotización de forma que no se puede cotizar por encima de la base máxima ni por debajo de la base mínima del grupo. Estas bases máximas y mínimas son fijadas anualmente por la Ley de presupuestos generales del Estado. </w:t>
      </w:r>
      <w:r>
        <w:lastRenderedPageBreak/>
        <w:t>Pues bien, cuando se trata de trabajadores a tiempo parcial, en aplicación estricta del principio de proporcionalidad, se fija una base mínima por hora de trabajo obteniéndose la base mínima mensual multiplicando dicha base mínima por el número de horas realmente trabajadas en el mes (por ejemplo, para 2014, art. 37 de la Orden ESS/106/2014, de 31 de enero)”.</w:t>
      </w:r>
    </w:p>
    <w:p w:rsidR="0085709A" w:rsidRDefault="0085709A" w:rsidP="0085709A">
      <w:pPr>
        <w:pStyle w:val="TextoNormal"/>
      </w:pPr>
    </w:p>
    <w:p w:rsidR="0085709A" w:rsidRDefault="0085709A" w:rsidP="0085709A">
      <w:pPr>
        <w:pStyle w:val="TextoNormal"/>
      </w:pPr>
      <w:r>
        <w:t xml:space="preserve">El Tribunal constata, a partir del régimen jurídico expuesto, que las dos categorías de personas entre las que se propone el juicio de igualdad en el presente proceso constitucional no son “homogéneas o equiparables”. La situación de aquellas personas que, como ocurrió con la recurrente en el proceso </w:t>
      </w:r>
      <w:r w:rsidRPr="0085709A">
        <w:rPr>
          <w:i/>
        </w:rPr>
        <w:t>a quo</w:t>
      </w:r>
      <w:r>
        <w:t xml:space="preserve"> desde el 6 de junio de 2006 hasta el 17 de noviembre de 2006, desempeñan un empleo a tiempo parcial se caracteriza porque realizan un trabajo, obtienen un salario por el trabajo que realizan y tienen la obligación de cotizar en correspondencia a ese salario. Por el contrario, aquellas otras personas que carecen en un determinado momento de obligación de cotizar, habiendo trabajado a tiempo completo en el periodo inmediatamente anterior, se encuentran en una posición muy distinta, puesto que no desempeñan un trabajo, ni reciben un salario por él, ni realizan aportaciones por ese concepto al sistema de seguridad social durante ese periodo.</w:t>
      </w:r>
    </w:p>
    <w:p w:rsidR="0085709A" w:rsidRDefault="0085709A" w:rsidP="0085709A">
      <w:pPr>
        <w:pStyle w:val="TextoNormal"/>
      </w:pPr>
    </w:p>
    <w:p w:rsidR="0085709A" w:rsidRDefault="0085709A" w:rsidP="0085709A">
      <w:pPr>
        <w:pStyle w:val="TextoNormal"/>
      </w:pPr>
      <w:r>
        <w:t>Estas diferencias son relevantes en relación a la finalidad de la norma a la que se le imputa haber generado la situación de desigualdad. Respecto a la cuantía de la pensión de jubilación, que es sobre lo que incide la regla de cálculo de la base reguladora contenida en el precepto cuestionado, no es indiferente, en un sistema de Seguridad Social como el español en que junto al principio de solidaridad también juega un papel importante el principio contributivo, que una persona haya realizado o no aportaciones al sistema durante un cierto periodo. Así, la STC 253/2004, de 22 de diciembre, FJ 6, declaró expresamente que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w:t>
      </w:r>
    </w:p>
    <w:p w:rsidR="0085709A" w:rsidRDefault="0085709A" w:rsidP="0085709A">
      <w:pPr>
        <w:pStyle w:val="TextoNormal"/>
      </w:pPr>
    </w:p>
    <w:p w:rsidR="0085709A" w:rsidRDefault="0085709A" w:rsidP="0085709A">
      <w:pPr>
        <w:pStyle w:val="TextoNormal"/>
      </w:pPr>
      <w:r>
        <w:t>Este elemento distintivo entre quienes trabajan a tiempo parcial y aquellos que lo hacen a tiempo completo determinó que la STC 156/2014 considerase que el colectivo que se ofrecía de contraste no era un término de comparación válido y, sin necesidad de ir más allá en el examen del canon constitucional de igualdad, desestimase este motivo de inconstitucionalidad. Pues bien, la diferencia es aún más radical en el presente caso, pues los dos grupos que se pretende comparar no solo se distinguen por el dato cuantitativo de una mayor o menor cotización sino por la nota cualitativa de que uno cotiza y el otro no.</w:t>
      </w:r>
    </w:p>
    <w:p w:rsidR="0085709A" w:rsidRDefault="0085709A" w:rsidP="0085709A">
      <w:pPr>
        <w:pStyle w:val="TextoNormal"/>
      </w:pPr>
    </w:p>
    <w:p w:rsidR="0085709A" w:rsidRDefault="0085709A" w:rsidP="0085709A">
      <w:pPr>
        <w:pStyle w:val="TextoNormal"/>
      </w:pPr>
      <w:r>
        <w:t>Debemos concluir, por todo lo expuesto, que la categoría de personas que se ofrece de contraste no es un término de comparación válido para realizar un juicio de igualdad, lo que determina la falta del primer requisito de los exigidos por la doctrina constitucional para que se pueda apreciar que una ley vulnera la cláusula de igualdad del art. 14 CE y, en con</w:t>
      </w:r>
      <w:r>
        <w:lastRenderedPageBreak/>
        <w:t>secuencia, conlleva, sin necesidad de considerar el resto de elementos del canon constitucional de igualdad en la ley, la desestimación de este motivo de inconstitucionalidad dirigido contra el apartado a) de la regla tercera del número 1 de la disposición cuestionada.</w:t>
      </w:r>
    </w:p>
    <w:p w:rsidR="0085709A" w:rsidRDefault="0085709A" w:rsidP="0085709A">
      <w:pPr>
        <w:pStyle w:val="TextoNormal"/>
      </w:pPr>
    </w:p>
    <w:p w:rsidR="0085709A" w:rsidRDefault="0085709A" w:rsidP="0085709A">
      <w:pPr>
        <w:pStyle w:val="TextoNormal"/>
      </w:pPr>
      <w:r w:rsidRPr="0085709A">
        <w:rPr>
          <w:rStyle w:val="NumeroAFNegritaCaracter"/>
        </w:rPr>
        <w:t>5</w:t>
      </w:r>
      <w:r>
        <w:t>. El segundo motivo de inconstitucionalidad que plantea el Juzgado promotor de este proceso constitucional respecto al apartado a) de la regla tercera del número 1 de la disposición cuestionada es que vulnera el principio de interdicción de la arbitrariedad de los poderes públicos (art. 9.3 CE). La arbitrariedad consistiría, según el auto de planteamiento, en que quien trabajó a tiempo parcial un cierto periodo recibe un tratamiento legal peor en cuanto a la fijación de la cuantía de la pensión, derivado de una menor base reguladora, que quien no trabajó durante ese mismo periodo.</w:t>
      </w:r>
    </w:p>
    <w:p w:rsidR="0085709A" w:rsidRDefault="0085709A" w:rsidP="0085709A">
      <w:pPr>
        <w:pStyle w:val="TextoNormal"/>
      </w:pPr>
    </w:p>
    <w:p w:rsidR="0085709A" w:rsidRDefault="0085709A" w:rsidP="0085709A">
      <w:pPr>
        <w:pStyle w:val="TextoNormal"/>
      </w:pPr>
      <w:r>
        <w:t>Según doctrina constitucional asentada, “‘al examinar una norma legal desde este punto de vista, nuestro análisis ha de centrarse en verificar si el precepto establece una discriminación, pues la discriminación entraña siempre una arbitrariedad, o bien si, no estableciéndola, carece de toda explicación racional, lo que también evidentemente supondría una arbitrariedad (por todas, STC 102/2012, de 8 de mayo, FJ 2)’ (STC 111/2013, de 9 de mayo, FJ 5).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w:t>
      </w:r>
    </w:p>
    <w:p w:rsidR="0085709A" w:rsidRDefault="0085709A" w:rsidP="0085709A">
      <w:pPr>
        <w:pStyle w:val="TextoNormal"/>
      </w:pPr>
    </w:p>
    <w:p w:rsidR="0085709A" w:rsidRDefault="0085709A" w:rsidP="0085709A">
      <w:pPr>
        <w:pStyle w:val="TextoNormal"/>
      </w:pPr>
      <w:r>
        <w:t>El precepto legal impugnado en sí mismo considerado no está exento de justificación racional. La regla que el mismo establece, según la cual la base reguladora de los trabajadores contratados a tiempo parcial, y en consecuencia la cuantía de su pensión, se conecta directamente con las cotizaciones efectivamente realizadas y no se puede negar que encuentra apoyo claro en el principio contributivo, que es uno de los que informa nuestro sistema de Seguridad Social (SSTC 253/2004, FJ 6, y 156/2014, FJ 5).</w:t>
      </w:r>
    </w:p>
    <w:p w:rsidR="0085709A" w:rsidRDefault="0085709A" w:rsidP="0085709A">
      <w:pPr>
        <w:pStyle w:val="TextoNormal"/>
      </w:pPr>
    </w:p>
    <w:p w:rsidR="0085709A" w:rsidRDefault="0085709A" w:rsidP="0085709A">
      <w:pPr>
        <w:pStyle w:val="TextoNormal"/>
      </w:pPr>
      <w:r>
        <w:t>El apartado a) de la regla tercera del número 1 de la disposición cuestionada tampoco deviene “plenamente irrazonable o carente de toda justificación” cuando se pone en contexto con el apartado b) de la misma norma, en virtud del cual quien no cotizó durante un cierto periodo ve reconocida, en virtud de una ficción legal, una base reguladora que en determinadas circunstancias puede ser superior a la de quien sí cotizó, aunque fuese en una cuantía reducida en proporción a su contrato a tiempo parcial. La razón es que, como es doctrina constitucional reiterada (por todas, STC 156/2014, FJ 5), el carácter de régimen público de la Seguridad Social previsto en el art. 41 CE, así como la referencia que en dicho precepto se hace a la cobertura de situaciones de necesidad, permite que el legislador desplace en ocasiones el principio de proporcionalidad entre cotización y prestación. Esta combinación de principios determina que, como este Tribunal viene reconociendo desde sus primeras resoluciones (STC 65/1987, de 21 de mayo, FJ 17, entre otras), en materia de Seguridad Social el legislador dispone de un amplio margen de libertad para modular la acción protectora del sistema en atención a las circunstancias económicas y sociales, lo que supone que a él compete en un contexto de recursos escasos ponderar las situaciones de necesidad que han de ser protegidas.</w:t>
      </w:r>
    </w:p>
    <w:p w:rsidR="0085709A" w:rsidRDefault="0085709A" w:rsidP="0085709A">
      <w:pPr>
        <w:pStyle w:val="TextoNormal"/>
      </w:pPr>
    </w:p>
    <w:p w:rsidR="0085709A" w:rsidRDefault="0085709A" w:rsidP="0085709A">
      <w:pPr>
        <w:pStyle w:val="TextoNormal"/>
      </w:pPr>
      <w:r>
        <w:lastRenderedPageBreak/>
        <w:t>Conforme a esta configuración de nuestro sistema de Seguridad Social e invocando “el carácter redistribuidor inherente a la Seguridad Social”, la STC 156/2014, FJ 5, consideró constitucional que, mediante la ficción legal en que consiste la integración de lagunas de cotización, se beneficie a aquellos que durante un período de tiempo, computable a efectos del cálculo de la pensión de jubilación, no han contribuido al sistema y se encontrarían de otro modo en una situación de cotización cero que mermaría de forma considerable la cuantía de esta prestación. Es más, dicha sentencia STC 156/2014, FJ 6, rechazó precisamente que dicha ficción legal vulnerase el principio de interdicción de la arbitrariedad de los poderes públicos (art. 9.3 CE), en la medida que la ficción legal que contiene se apoya en un criterio razonable, como es entender que el trabajador habría continuado prestando servicios en los mismos términos que lo venía haciendo si no se hubiera producido la circunstancia que motivó el cese de su obligación de cotizar y la correspondiente laguna.</w:t>
      </w:r>
    </w:p>
    <w:p w:rsidR="0085709A" w:rsidRDefault="0085709A" w:rsidP="0085709A">
      <w:pPr>
        <w:pStyle w:val="TextoNormal"/>
      </w:pPr>
    </w:p>
    <w:p w:rsidR="0085709A" w:rsidRDefault="0085709A" w:rsidP="0085709A">
      <w:pPr>
        <w:pStyle w:val="TextoNormal"/>
      </w:pPr>
      <w:r>
        <w:t>En conclusión, el precepto cuestionado, tanto considerado en sí mismo como en su contexto, obedece, como hemos reseñado, a fundamentos racionales y plenamente admitidos en la materia que nos ocupa, por todo lo cual procede declarar que no ha sido desbordado este margen de apreciación y, en consecuencia, que no se ha vulnerado el principio de interdicción de la arbitrariedad de los poderes públicos (art. 9.3 CE).</w:t>
      </w:r>
    </w:p>
    <w:p w:rsidR="0085709A" w:rsidRDefault="0085709A" w:rsidP="0085709A">
      <w:pPr>
        <w:pStyle w:val="TextoNormal"/>
      </w:pPr>
    </w:p>
    <w:p w:rsidR="0085709A" w:rsidRDefault="0085709A" w:rsidP="0085709A">
      <w:pPr>
        <w:pStyle w:val="TextoNormal"/>
      </w:pPr>
      <w:r w:rsidRPr="0085709A">
        <w:rPr>
          <w:rStyle w:val="NumeroAFNegritaCaracter"/>
        </w:rPr>
        <w:t>6</w:t>
      </w:r>
      <w:r>
        <w:t>. El Juzgado promotor de la cuestión de inconstitucionalidad considera, en tercer lugar, que el apartado a) de la regla tercera del número 1 de la disposición adicional séptima LGSS conlleva una discriminación indirecta por razón de sexo prohibida por el art. 14 CE. Sostiene que las mujeres es el colectivo que en mayor medida realiza trabajos a tiempo parcial, por lo que el trato peyorativo que la norma cuestionada supone profundiza la situación estructural de desventaja en que se halla esa categoría de personas en el ámbito laboral.</w:t>
      </w:r>
    </w:p>
    <w:p w:rsidR="0085709A" w:rsidRDefault="0085709A" w:rsidP="0085709A">
      <w:pPr>
        <w:pStyle w:val="TextoNormal"/>
      </w:pPr>
    </w:p>
    <w:p w:rsidR="0085709A" w:rsidRDefault="0085709A" w:rsidP="0085709A">
      <w:pPr>
        <w:pStyle w:val="TextoNormal"/>
      </w:pPr>
      <w:r>
        <w:t>Conforme a doctrina constitucional reiterada, “cuando se denuncia una discriminación indirecta no se exige aportar como término de comparación la existencia de un trato más beneficioso atribuido única y exclusivamente a los varones; basta, como han dicho tanto este Tribunal como el Tribunal de Justicia de las Comunidades Europeas, que exista, en primer lugar, una norma o una interpretación o aplicación de la misma que produzca efectos desfavorables para un grupo formado mayoritariamente, aunque no necesariamente de forma exclusiva, por trabajadoras femeninas (trabajadores a tiempo parcial —STJCE de 27 de junio de 1990—, trabajadores con menos de dos años de permanencia en su puesto de trabajo —STJCE de 9 de febrero de 1999—, trabajadores con menos fuerza física —STC 149/1991—, etc.)” (STC 253/2004, FJ 7).</w:t>
      </w:r>
    </w:p>
    <w:p w:rsidR="0085709A" w:rsidRDefault="0085709A" w:rsidP="0085709A">
      <w:pPr>
        <w:pStyle w:val="TextoNormal"/>
      </w:pPr>
    </w:p>
    <w:p w:rsidR="0085709A" w:rsidRDefault="0085709A" w:rsidP="0085709A">
      <w:pPr>
        <w:pStyle w:val="TextoNormal"/>
      </w:pPr>
      <w:r>
        <w:t xml:space="preserve">Junto a este tratamiento legal neutro pero que especialmente afecta a un grupo social y a la exigencia de que se trate de una medida desfavorable, también se requiere “que los poderes públicos no puedan probar que la norma que dispensa una diferencia de trato responde a una medida de política social, justificada por razones objetivas y ajena a toda discriminación por razón de sexo (por todas, SSTJCE de 19 de octubre de 1995, asunto </w:t>
      </w:r>
      <w:r w:rsidRPr="0085709A">
        <w:rPr>
          <w:i/>
        </w:rPr>
        <w:t>The Queen v. Secretary of State for Health</w:t>
      </w:r>
      <w:r>
        <w:t xml:space="preserve">; de 6 de abril de 2000, asunto </w:t>
      </w:r>
      <w:r w:rsidRPr="0085709A">
        <w:rPr>
          <w:i/>
        </w:rPr>
        <w:t>Jorgensen</w:t>
      </w:r>
      <w:r>
        <w:t xml:space="preserve">, y de 11 de septiembre de 2003, asunto </w:t>
      </w:r>
      <w:r w:rsidRPr="0085709A">
        <w:rPr>
          <w:i/>
        </w:rPr>
        <w:t>Steinicke</w:t>
      </w:r>
      <w:r>
        <w:t>)” (STC 253/2004, FJ 7).</w:t>
      </w:r>
    </w:p>
    <w:p w:rsidR="0085709A" w:rsidRDefault="0085709A" w:rsidP="0085709A">
      <w:pPr>
        <w:pStyle w:val="TextoNormal"/>
      </w:pPr>
    </w:p>
    <w:p w:rsidR="0085709A" w:rsidRDefault="0085709A" w:rsidP="0085709A">
      <w:pPr>
        <w:pStyle w:val="TextoNormal"/>
      </w:pPr>
      <w:r>
        <w:t xml:space="preserve">Sobre la concurrencia de este tercer elemento, la STC 61/2013, de 14 de marzo, FJ 4 b), destacó que “bajo diferentes fórmulas se requiere ‘que los poderes públicos no puedan probar que la medida responde a una medida de política social’ que actúe como justificación </w:t>
      </w:r>
      <w:r>
        <w:lastRenderedPageBreak/>
        <w:t xml:space="preserve">suficiente (STC 240/1999, de 20 de diciembre, FJ 6 y STJUE de 20 de octubre de 2011, asunto </w:t>
      </w:r>
      <w:r w:rsidRPr="0085709A">
        <w:rPr>
          <w:i/>
        </w:rPr>
        <w:t>Brachner</w:t>
      </w:r>
      <w:r>
        <w:t xml:space="preserve">), o que se constate que ‘la medida que produce el efecto adverso carece de justificación al no fundarse en una exigencia objetiva e indispensable para la consecución de un objetivo legítimo o no resultar idónea para el logro de tal objetivo’ (STC 69/2007, de 16 de abril, FJ 3, o STC 198/1996, de 3 de diciembre, FJ 2); en otras palabras, dándose los presupuestos antes vistos, se ha apreciado que una norma puede dar lugar a discriminación indirecta ‘a menos que esté justificada objetivamente y sea proporcionada al objetivo perseguido’, considerando que ‘[a]demás, para estar justificada, la medida de que se trate tiene que ser adecuada para garantizar la realización del objetivo legítimo que persigue y no exceder de lo que es necesario para alcanzarlo’ (STJUE de 13 de abril de 2010, asunto </w:t>
      </w:r>
      <w:r w:rsidRPr="0085709A">
        <w:rPr>
          <w:i/>
        </w:rPr>
        <w:t>Bressol y otros</w:t>
      </w:r>
      <w:r>
        <w:t>)”.</w:t>
      </w:r>
    </w:p>
    <w:p w:rsidR="0085709A" w:rsidRDefault="0085709A" w:rsidP="0085709A">
      <w:pPr>
        <w:pStyle w:val="TextoNormal"/>
      </w:pPr>
    </w:p>
    <w:p w:rsidR="0085709A" w:rsidRDefault="0085709A" w:rsidP="0085709A">
      <w:pPr>
        <w:pStyle w:val="TextoNormal"/>
      </w:pPr>
      <w:r>
        <w:t xml:space="preserve">En conclusión, de acreditarse los dos primeros presupuestos, el Tribunal debe analizar si la medida controvertida responde (a) a una finalidad legítima de la política social del Estado miembro, (b) es adecuada para alcanzar el objetivo perseguido y (c) no se excede de lo que es necesario a tal fin, sin olvidar que el análisis de la jurisprudencia del Tribunal de Justicia de la Unión Europea reconoce la existencia de discriminación indirecta cuando la aplicación de una medida nacional, aunque formulada de manera neutra, perjudique de hecho a un número mucho mayor de mujeres que de hombres (SSTJUE, </w:t>
      </w:r>
      <w:r w:rsidRPr="0085709A">
        <w:rPr>
          <w:i/>
        </w:rPr>
        <w:t>Brachner</w:t>
      </w:r>
      <w:r>
        <w:t xml:space="preserve"> C-123/10 EU: C 2011: 675 ap. 56 y </w:t>
      </w:r>
      <w:r w:rsidRPr="0085709A">
        <w:rPr>
          <w:i/>
        </w:rPr>
        <w:t>Elbal Moreno</w:t>
      </w:r>
      <w:r>
        <w:t>, C-385/11, EU: C 2012: 746 ap. 29).</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En cuanto al primero de los presupuestos del canon de discriminación indirecta descrito en el fundamento jurídico anterior, procede destacar que el documento “Mujeres y hombres en España 2014”, elaborado por el Instituto de la Mujer en colaboración con el Instituto Nacional de Estadística, señala que la participación de trabajadores hombres a tiempo parcial en el empleo total masculino fue en 2010, que es el año en que se produjo el hecho causante de la pensión de jubilación cuya cuantía se dirime en el proceso </w:t>
      </w:r>
      <w:r w:rsidRPr="0085709A">
        <w:rPr>
          <w:i/>
        </w:rPr>
        <w:t>a quo</w:t>
      </w:r>
      <w:r>
        <w:t>, del 5,4 por 100 mientras que la participación de mujeres con este tipo de jornada en el empleo total femenino fue del 23,2 por 100. Por su parte, en el mismo año 2010 el porcentaje de hombres a tiempo parcial sobre el empleo total (hombres y mujeres) fue del 3 por 100 mientras el de mujeres fue el 10,3 por 100.</w:t>
      </w:r>
    </w:p>
    <w:p w:rsidR="0085709A" w:rsidRDefault="0085709A" w:rsidP="0085709A">
      <w:pPr>
        <w:pStyle w:val="TextoNormal"/>
      </w:pPr>
    </w:p>
    <w:p w:rsidR="0085709A" w:rsidRDefault="0085709A" w:rsidP="0085709A">
      <w:pPr>
        <w:pStyle w:val="TextoNormal"/>
      </w:pPr>
      <w:r>
        <w:t>Según ese mismo documento, en 2012, año al que se refieren los últimos datos disponibles, el porcentaje de hombres a tiempo parcial sobre el empleo total (hombres y mujeres) fue del 3,6 por 100 mientras el de mujeres asciende al 11,1 por 100 en el año 2012.</w:t>
      </w:r>
    </w:p>
    <w:p w:rsidR="0085709A" w:rsidRDefault="0085709A" w:rsidP="0085709A">
      <w:pPr>
        <w:pStyle w:val="TextoNormal"/>
      </w:pPr>
    </w:p>
    <w:p w:rsidR="0085709A" w:rsidRDefault="0085709A" w:rsidP="0085709A">
      <w:pPr>
        <w:pStyle w:val="TextoNormal"/>
      </w:pPr>
      <w:r>
        <w:t>Las estadísticas consultadas acreditan, por tanto, que el contrato a tiempo parcial sigue siendo una institución que afecta predominantemente al sexo femenino, de modo que la norma cuestionada, aunque su formulación sea neutra porque se aplica igual a hombres que a mujeres, produce un mayor impacto sobre las trabajadoras.</w:t>
      </w:r>
    </w:p>
    <w:p w:rsidR="0085709A" w:rsidRDefault="0085709A" w:rsidP="0085709A">
      <w:pPr>
        <w:pStyle w:val="TextoNormal"/>
      </w:pPr>
    </w:p>
    <w:p w:rsidR="0085709A" w:rsidRDefault="0085709A" w:rsidP="0085709A">
      <w:pPr>
        <w:pStyle w:val="TextoNormal"/>
      </w:pPr>
      <w:r>
        <w:t>También concurre el segundo de los presupuestos porque el precepto cuestionado, en la medida que disciplina el cálculo de la base reguladora de la pensión de jubilación durante los períodos de empleo a tiempo parcial conforme a un criterio de estricta proporcionalidad, entraña un efecto adverso consistente en una cuantía de la pensión correlativamente inferior a la que tienen derecho los trabajadores a tiempo completo, diferencia peyorativa que, por la razones ya indicadas, incide sustancialmente más en el colectivo de trabajadoras.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8</w:t>
      </w:r>
      <w:r>
        <w:t xml:space="preserve">. Constatadas las dos condiciones iniciales del canon de discriminación indirecta, procede que examinemos si la norma cuestionada, a pesar de suponer un trato peyorativo para los trabajadores a tiempo parcial en su mayoría mujeres, es constitucional por responder a un factor objetivo de política social y por completo ajeno a razones discriminatorias. En este análisis ha de partirse de la consideración de los pronunciamientos que han recaído, tanto en este Tribunal Constitucional (SSTC 253/2004, de 22 de diciembre; 61/2013, de 14 de marzo; y ATC 30/2009, de 27 de enero) como en el Tribunal de Justicia de la Unión Europea (STJUE de 22 de noviembre de 2012, asunto </w:t>
      </w:r>
      <w:r w:rsidRPr="0085709A">
        <w:rPr>
          <w:i/>
        </w:rPr>
        <w:t>Elbal Moreno</w:t>
      </w:r>
      <w:r>
        <w:t xml:space="preserve">), acerca de los efectos negativos en materia de Seguridad Social que sobre el colectivo de las mujeres tiene la regulación del trabajo a tiempo parcial y la más reciente STJUE de 14 de abril de 2015, asunto C-527/13 </w:t>
      </w:r>
      <w:r w:rsidRPr="0085709A">
        <w:rPr>
          <w:i/>
        </w:rPr>
        <w:t>Cachaldora Fernández</w:t>
      </w:r>
      <w:r>
        <w:t>, resolución que no tiene virtualidad en relación al apartado a) de la regla tercera del número 1 de la disposición cuestionada, aunque sí la tendrá respecto al apartado b) de la misma norma, por lo que será objeto de consideración en los fundamentos jurídicos en los que se resuelva sobre la constitucionalidad de ese apartado b) de la norma cuestionada.</w:t>
      </w:r>
    </w:p>
    <w:p w:rsidR="0085709A" w:rsidRDefault="0085709A" w:rsidP="0085709A">
      <w:pPr>
        <w:pStyle w:val="TextoNormal"/>
      </w:pPr>
    </w:p>
    <w:p w:rsidR="0085709A" w:rsidRDefault="0085709A" w:rsidP="0085709A">
      <w:pPr>
        <w:pStyle w:val="TextoNormal"/>
      </w:pPr>
      <w:r>
        <w:t xml:space="preserve">Las SSTC 253/2004, de 22 de diciembre, y 61/2013, de 14 de marzo, así como la STJUE de 22 de noviembre de 2012, asunto </w:t>
      </w:r>
      <w:r w:rsidRPr="0085709A">
        <w:rPr>
          <w:i/>
        </w:rPr>
        <w:t>Elbal Moreno</w:t>
      </w:r>
      <w:r>
        <w:t xml:space="preserve">, versan sobre normas que tienen en cuenta la parcialidad del trabajo en relación al cumplimiento del periodo de carencia necesario para causar derecho a una pensión. En los tres casos se entendió que es la aplicación del principio </w:t>
      </w:r>
      <w:r w:rsidRPr="0085709A">
        <w:rPr>
          <w:i/>
        </w:rPr>
        <w:t>pro rata temporis</w:t>
      </w:r>
      <w:r>
        <w:t xml:space="preserve"> al acceso a la prestación hasta el punto de hacerlo prácticamente imposible lo que determina que no constituya una medida efectivamente necesaria para alcanzar el objetivo de salvaguardar el sistema de seguridad social, en especial porque la pensión a la que de otro modo se accedería ya estaría reducida proporcionalmente a la parcialidad del trabajo (y cotización) realizado.</w:t>
      </w:r>
    </w:p>
    <w:p w:rsidR="0085709A" w:rsidRDefault="0085709A" w:rsidP="0085709A">
      <w:pPr>
        <w:pStyle w:val="TextoNormal"/>
      </w:pPr>
    </w:p>
    <w:p w:rsidR="0085709A" w:rsidRDefault="0085709A" w:rsidP="0085709A">
      <w:pPr>
        <w:pStyle w:val="TextoNormal"/>
      </w:pPr>
      <w:r>
        <w:t>El apartado a) de la regla tercera del número 1 de la disposición cuestionada, que es la norma enjuiciada, relaciona la parcialidad en el trabajo, no con el periodo de carencia para causar derecho a una pensión, sino con la determinación de la cuantía de la misma, por lo que la valoración que hicieron las sentencias antedichas no es en absoluto trasladable a este proceso constitucional.</w:t>
      </w:r>
    </w:p>
    <w:p w:rsidR="0085709A" w:rsidRDefault="0085709A" w:rsidP="0085709A">
      <w:pPr>
        <w:pStyle w:val="TextoNormal"/>
      </w:pPr>
    </w:p>
    <w:p w:rsidR="0085709A" w:rsidRDefault="0085709A" w:rsidP="0085709A">
      <w:pPr>
        <w:pStyle w:val="TextoNormal"/>
      </w:pPr>
      <w:r>
        <w:t>La distinta virtualidad de uno y otro supuesto normativo en relación a la discriminación por razón de sexo aparece reconocida expresamente en nuestra doctrina, pues la STC 253/2004, FJ 8, afirmó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Pero lo que no aparece justificado es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situación ésta que afecta predominantemente a las mujeres trabajadoras”.</w:t>
      </w:r>
    </w:p>
    <w:p w:rsidR="0085709A" w:rsidRDefault="0085709A" w:rsidP="0085709A">
      <w:pPr>
        <w:pStyle w:val="TextoNormal"/>
      </w:pPr>
    </w:p>
    <w:p w:rsidR="0085709A" w:rsidRDefault="0085709A" w:rsidP="0085709A">
      <w:pPr>
        <w:pStyle w:val="TextoNormal"/>
      </w:pPr>
      <w:r>
        <w:lastRenderedPageBreak/>
        <w:t xml:space="preserve">Esta apreciación, consistente en disponer que las bases reguladoras de las prestaciones de Seguridad Social se calculen en función de lo efectivamente cotizado se justifica en una circunstancia objetiva ajena a cualquier discriminación por razón de sexo y fue la </w:t>
      </w:r>
      <w:r w:rsidRPr="0085709A">
        <w:rPr>
          <w:i/>
        </w:rPr>
        <w:t>ratio decidendi</w:t>
      </w:r>
      <w:r>
        <w:t>, en el ATC 30/2009, de 27 de enero. En esta resolución se enjuiciaba, con el trasfondo de una mujer que trabajaba a tiempo parcial por haberse acogido al derecho de reducción de jornada por guarda legal de su hija menor de seis años, si una norma que conectaba la prestación por desempleo a lo efectivamente cotizado por dicha contingencia incurría en discriminación por razón de sexo.</w:t>
      </w:r>
    </w:p>
    <w:p w:rsidR="0085709A" w:rsidRDefault="0085709A" w:rsidP="0085709A">
      <w:pPr>
        <w:pStyle w:val="TextoNormal"/>
      </w:pPr>
    </w:p>
    <w:p w:rsidR="0085709A" w:rsidRDefault="0085709A" w:rsidP="0085709A">
      <w:pPr>
        <w:pStyle w:val="TextoNormal"/>
      </w:pPr>
      <w:r>
        <w:t>Este ATC 30/2009 declaró la conformidad a la Constitución de la norma cuestionada. Afirma en su fundamento jurídico 8 que “en suma, de la propia doctrina sentada en la STC 253/2004, invocada en el Auto de planteamiento, se desprende que las normas objeto de la presente cuestión de inconstitucionalidad son consecuencia del principio de contributividad que informa el sistema de Seguridad Social español, y no pueden considerarse lesivas del art. 14 CE, en relación con los arts. 9.2 y 39 CE, ni desde la perspectiva de la cláusula general de igualdad ante la ley, ni desde la perspectiva de discriminación indirecta por razón de sexo”. Y más en concreto precisa “que la regulación legal vigente en el momento del planteamiento de la presente cuestión no contemple una norma específica que permita considerar como cotizados a jornada completa, a efectos del cálculo de las bases reguladoras de las prestaciones de Seguridad Social, los periodos trabajados (y cotizados) a jornada reducida (por razones de guarda legal, por trabajo a tiempo parcial, etc.), no determina la inconstitucionalidad por omisión que pretende la Sala proponente, por las razones expuestas, siendo al legislador a quien, en atención a las circunstancias económicas y sociales que son imperativas para la viabilidad y eficacia del sistema de la Seguridad Social, le corresponde decidir (dentro del respeto a la garantía institucional consagrada por el art. 41 CE), acerca del grado de protección que han de merecer las distintas necesidades sociales (SSTC 65/1987, de 21 de mayo, FJ 17; 134/1987, de 21 de julio, FJ 5; 97/1990, de 24 de mayo, FJ 3; 184/1990, de 15 de noviembre, FJ 3; 361/1993, de 3 de diciembre, FJ 2; y 37/1994, de 10 de febrero, FJ 3, por todas, así como AATC  367/2003, de 13 de noviembre, FJ 3, y 200/2007, de 27 de marzo, FJ 7)”.</w:t>
      </w:r>
    </w:p>
    <w:p w:rsidR="0085709A" w:rsidRDefault="0085709A" w:rsidP="0085709A">
      <w:pPr>
        <w:pStyle w:val="TextoNormal"/>
      </w:pPr>
    </w:p>
    <w:p w:rsidR="0085709A" w:rsidRDefault="0085709A" w:rsidP="0085709A">
      <w:pPr>
        <w:pStyle w:val="TextoNormal"/>
      </w:pPr>
      <w:r>
        <w:t>En conclusión, es doctrina reiterada de este Tribunal (STC 253/2004, de 22 de diciembre; y ATC 30/2009, de 27 de enero) que un precepto legal que en aras del principio de contributividad articula el cálculo de las bases reguladoras de las prestaciones de Seguridad Social (y en consecuencia la fijación de su cuantía) en función de lo efectivamente cotizado, con lo que a los trabajadores que realizan jornadas a tiempo parcial les corresponde una prestación de cuantía inferior, no puede considerarse lesivo del art. 14 CE desde la perspectiva de discriminación indirecta por razón de sexo.</w:t>
      </w:r>
    </w:p>
    <w:p w:rsidR="0085709A" w:rsidRDefault="0085709A" w:rsidP="0085709A">
      <w:pPr>
        <w:pStyle w:val="TextoNormal"/>
      </w:pPr>
    </w:p>
    <w:p w:rsidR="0085709A" w:rsidRDefault="0085709A" w:rsidP="0085709A">
      <w:pPr>
        <w:pStyle w:val="TextoNormal"/>
      </w:pPr>
      <w:r>
        <w:t>Este criterio de interpretación constitucional conduce directamente a la desestimación de este tercer motivo de inconstitucionalidad dirigido contra el apartado a) de la regla tercera del número 1 de la disposición adicional séptima, pues este precepto, como ya hemos precisado con detalle anteriormente, se limita a considerar la parcialidad del trabajo realizado a los únicos efectos de determinar la cuantía de una prestación de Seguridad Social.</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En cuanto a las dudas de constitucionalidad planteadas por el Juzgado con relación al apartado b) de la regla tercera del número 1 de la disposición adicional séptima LGSS, relativas a la vulneración del derecho a la igualdad (art. 14 CE) y de la prohibición de la </w:t>
      </w:r>
      <w:r>
        <w:lastRenderedPageBreak/>
        <w:t>arbitrariedad de los poderes públicos (art. 9.3 CE), hay que precisar que estas cuestiones han sido ya resueltas en sentido desestimatorio por este Tribunal en la STC 156/2014, de 25 de septiembre, recaída en la cuestión de inconstitucionalidad núm. 3361-2012 elevada por la Sala Cuarta del Tribunal Supremo.</w:t>
      </w:r>
    </w:p>
    <w:p w:rsidR="0085709A" w:rsidRDefault="0085709A" w:rsidP="0085709A">
      <w:pPr>
        <w:pStyle w:val="TextoNormal"/>
      </w:pPr>
    </w:p>
    <w:p w:rsidR="0085709A" w:rsidRDefault="0085709A" w:rsidP="0085709A">
      <w:pPr>
        <w:pStyle w:val="TextoNormal"/>
      </w:pPr>
      <w:r>
        <w:t>En síntesis, en la citada STC 156/2014 hemos descartado, en primer lugar, que el apartado impugnado lesione el derecho a la igualdad (art. 14 CE) ya que “las situaciones sometidas a comparación por el órgano judicial proponente no guardan la identidad que todo juicio de igualdad requiere, pues en un caso se trata de trabajadores a tiempo completo y en otro de trabajadores a tiempo parcial, y esa diferencia en la duración de la jornada laboral se relaciona, por exigencias del carácter contributivo del sistema y en estricta aplicación del principio de proporcionalidad, con diferencias en los salarios de unos y otros, y consiguientemente en las bases de cotización, y derivadamente en las bases mínimas de cotización utilizadas para la integración de las lagunas” (FJ 5).</w:t>
      </w:r>
    </w:p>
    <w:p w:rsidR="0085709A" w:rsidRDefault="0085709A" w:rsidP="0085709A">
      <w:pPr>
        <w:pStyle w:val="TextoNormal"/>
      </w:pPr>
    </w:p>
    <w:p w:rsidR="0085709A" w:rsidRDefault="0085709A" w:rsidP="0085709A">
      <w:pPr>
        <w:pStyle w:val="TextoNormal"/>
      </w:pPr>
      <w:r>
        <w:t>En segundo lugar, hemos rechazado la infracción de la prohibición de arbitrariedad de los poderes públicos (art. 9.3 CE) porque “[l]a regla cuestionada, aunque pueda discreparse de ella, no carece de justificación pues de lo que se trata es de crear una ficción legal que consiste en entender que el trabajador habría continuado prestando servicios a tiempo parcial si no se hubiera producido la circunstancia que motivó el cese de su obligación de cotizar y la correspondiente laguna … Además, la regla responde a lo que viene siendo una constante en el sistema de Seguridad Social, y es la utilización de determinados períodos de referencia, más o menos amplios, para calcular la cuantía de la prestación, pero siempre inmediatamente anteriores al hecho causante a considerar y sin utilizar criterios relacionados con la totalidad de la vida laboral de un trabajador… Y, finalmente, la regla tampoco produce efectos aleatorios como sostiene el órgano proponente de la cuestión. La regla produce unos efectos ciertos y determinados lo que ocurre es que dichos efectos pueden beneficiar o perjudicar más a unos u otros trabajadores en función de cómo se sucedan los períodos de trabajo y de inactividad y dentro de los primeros, los trabajos a tiempo completo y parcial. Pero ni ello es aleatorio ni diferente a lo que ocurre en otros múltiples aspectos de la relación de Seguridad Social como ya hemos señalado” (FJ 6).</w:t>
      </w:r>
    </w:p>
    <w:p w:rsidR="0085709A" w:rsidRDefault="0085709A" w:rsidP="0085709A">
      <w:pPr>
        <w:pStyle w:val="TextoNormal"/>
      </w:pPr>
    </w:p>
    <w:p w:rsidR="0085709A" w:rsidRDefault="0085709A" w:rsidP="0085709A">
      <w:pPr>
        <w:pStyle w:val="TextoNormal"/>
      </w:pPr>
      <w:r w:rsidRPr="0085709A">
        <w:rPr>
          <w:rStyle w:val="NumeroAFNegritaCaracter"/>
        </w:rPr>
        <w:t>10</w:t>
      </w:r>
      <w:r>
        <w:t>. Finalmente, el Juzgado promotor de esta cuestión de inconstitucionalidad también suscita la eventual existencia de una discriminación por razón de sexo lesiva del art. 14 CE, y más concretamente afirma que a su juicio la norma cuestionada supone una discriminación indirecta, en tanto que el apartado b) de la regla tercera del número 1 de la disposición adicional séptima LGSS, aunque contiene una regla de cálculo del importe de las pensiones que se aplica por igual a ambos sexos, produce un efecto peyorativo para el sexo femenino, pues las mujeres son el colectivo que en mayor medida trabaja a tiempo parcial, citando al efecto la “Memoria sobre situación socioeconómica y laboral” del Consejo Económico y Social para 2009.</w:t>
      </w:r>
    </w:p>
    <w:p w:rsidR="0085709A" w:rsidRDefault="0085709A" w:rsidP="0085709A">
      <w:pPr>
        <w:pStyle w:val="TextoNormal"/>
      </w:pPr>
    </w:p>
    <w:p w:rsidR="0085709A" w:rsidRDefault="0085709A" w:rsidP="0085709A">
      <w:pPr>
        <w:pStyle w:val="TextoNormal"/>
      </w:pPr>
      <w:r>
        <w:t xml:space="preserve">Aunque esta duda fue también planteada por la Sala Cuarta del Tribunal Supremo, no fue resuelta por la citada STC 156/2014 por falta de cumplimiento de las exigencias del juicio de relevancia. Dicha sentencia consideró que, siendo varón el demandante en el proceso </w:t>
      </w:r>
      <w:r w:rsidRPr="0085709A">
        <w:rPr>
          <w:i/>
        </w:rPr>
        <w:t>a quo</w:t>
      </w:r>
      <w:r>
        <w:t xml:space="preserve">, la decisión del mismo no dependía de que la norma cuestionada fuese o no discriminatoria por producir efectos adversos para el sexo femenino, déficit en el juicio de </w:t>
      </w:r>
      <w:r>
        <w:lastRenderedPageBreak/>
        <w:t xml:space="preserve">relevancia que determinó la inadmisión de este motivo de inconstitucionalidad. Por el contrario, en la presente cuestión de inconstitucionalidad el proceso </w:t>
      </w:r>
      <w:r w:rsidRPr="0085709A">
        <w:rPr>
          <w:i/>
        </w:rPr>
        <w:t>a quo</w:t>
      </w:r>
      <w:r>
        <w:t xml:space="preserve"> fue promovido por una mujer, de modo que el requisito de procedibilidad constituido por el juicio de relevancia resulta acreditado, con lo que procede resolver sobre este motivo de inconstitucionalidad.</w:t>
      </w:r>
    </w:p>
    <w:p w:rsidR="0085709A" w:rsidRDefault="0085709A" w:rsidP="0085709A">
      <w:pPr>
        <w:pStyle w:val="TextoNormal"/>
      </w:pPr>
    </w:p>
    <w:p w:rsidR="0085709A" w:rsidRDefault="0085709A" w:rsidP="0085709A">
      <w:pPr>
        <w:pStyle w:val="TextoNormal"/>
      </w:pPr>
      <w:r w:rsidRPr="0085709A">
        <w:rPr>
          <w:rStyle w:val="NumeroAFNegritaCaracter"/>
        </w:rPr>
        <w:t>11</w:t>
      </w:r>
      <w:r>
        <w:t>. La doctrina de este Tribunal acerca de qué análisis debe abordarse cuando lo que se denuncia es que una norma legal constituye una discriminación indirecta por razón de sexo (art. 14 CE) ha quedado expuesta suficientemente en el fundamento jurídico 6 de esta resolución. Ahora basta con destacar que para que un precepto legal incurra en dicho vicio de inconstitucionalidad es necesario (a) que la medida que contenga consista en un tratamiento perjudicial y (b) que, aunque se formule de un modo neutro, incida en un grupo social integrado de forma claramente mayoritario por mujeres. Solo cuando concurran estas dos condiciones procede analizar un tercer elemento, que es si la medida está justificada por alguna circunstancia objetiva ajena por completo a criterios discriminatorios.</w:t>
      </w:r>
    </w:p>
    <w:p w:rsidR="0085709A" w:rsidRDefault="0085709A" w:rsidP="0085709A">
      <w:pPr>
        <w:pStyle w:val="TextoNormal"/>
      </w:pPr>
    </w:p>
    <w:p w:rsidR="0085709A" w:rsidRDefault="0085709A" w:rsidP="0085709A">
      <w:pPr>
        <w:pStyle w:val="TextoNormal"/>
      </w:pPr>
      <w:r>
        <w:t>El primer presupuesto está fuera de toda duda. El precepto cuestionado contiene una regla de integración de lagunas de cotización que, por ajustarse a un criterio estrictamente proporcional, es menos favorable para quienes presentan en su carrera de seguro periodos sin obligación de cotizar que siguen inmediatamente a la realización de contratos a tiempo parcial.</w:t>
      </w:r>
    </w:p>
    <w:p w:rsidR="0085709A" w:rsidRDefault="0085709A" w:rsidP="0085709A">
      <w:pPr>
        <w:pStyle w:val="TextoNormal"/>
      </w:pPr>
    </w:p>
    <w:p w:rsidR="0085709A" w:rsidRDefault="0085709A" w:rsidP="0085709A">
      <w:pPr>
        <w:pStyle w:val="TextoNormal"/>
      </w:pPr>
      <w:r>
        <w:t>El segundo presupuesto exige comprobar si, a pesar de que dicha regla sea neutra, pues se aplica con independencia del sexo de los trabajadores, su efecto desfavorable incide de un modo particularmente significativo en los trabajadores de un determinado sexo, concretamente en este caso en el colectivo femenino porque, según sostiene el auto de planteamiento, “el contrato a tiempo parcial es una institución que afecta de hecho predominantemente al sexo femenino”.</w:t>
      </w:r>
    </w:p>
    <w:p w:rsidR="0085709A" w:rsidRDefault="0085709A" w:rsidP="0085709A">
      <w:pPr>
        <w:pStyle w:val="TextoNormal"/>
      </w:pPr>
    </w:p>
    <w:p w:rsidR="0085709A" w:rsidRDefault="0085709A" w:rsidP="0085709A">
      <w:pPr>
        <w:pStyle w:val="TextoNormal"/>
      </w:pPr>
      <w:r>
        <w:t>Las SSTC 253/2004, de 22 de diciembre, y 61/2013, de 14 de marzo, consideraron que la regulación específica del trabajo a tiempo parcial como generador de prestaciones de la Seguridad Social, que por aplicar una idea pura de proporcionalidad resulta menos favorable que la regla general, afectaba de un modo especial a las mujeres, al ser en cada uno de esos momentos temporales muy mayoritarias las personas de este género que desarrollan su carrera laboral en este régimen de trabajo, con lo que, al no apreciar una razón suficiente de política social que justificase la medida, suponía una discriminación indirecta para las mujeres.</w:t>
      </w:r>
    </w:p>
    <w:p w:rsidR="0085709A" w:rsidRDefault="0085709A" w:rsidP="0085709A">
      <w:pPr>
        <w:pStyle w:val="TextoNormal"/>
      </w:pPr>
    </w:p>
    <w:p w:rsidR="0085709A" w:rsidRDefault="0085709A" w:rsidP="0085709A">
      <w:pPr>
        <w:pStyle w:val="TextoNormal"/>
      </w:pPr>
      <w:r>
        <w:t>En el presente caso, para valorar la concurrencia de este segundo presupuesto, no se trata de que el Tribunal aprecie si en este preciso momento temporal siguen siendo las mujeres quienes de un modo predominante desarrollan su carrera laboral en régimen de tiempo parcial. El motivo de que ese análisis no sea el relevante es que, en la sistemática del precepto impugnado, lo que da lugar a las consecuencias menos favorables que implica no es realizar la prestación laboral a tiempo parcial, cuestión ésta a la que alude el apartado a) de la norma cuestionada y no el apartado b) que ahora nos ocupa. En efecto, lo que produce los efectos menos favorables derivados del apartado b) no es realizar trabajos a tiempo parcial sino, por el contrario, atravesar periodos de ausencia de cotización que sean inmediatamente posteriores a contratos a tiempo parcial.</w:t>
      </w:r>
    </w:p>
    <w:p w:rsidR="0085709A" w:rsidRDefault="0085709A" w:rsidP="0085709A">
      <w:pPr>
        <w:pStyle w:val="TextoNormal"/>
      </w:pPr>
    </w:p>
    <w:p w:rsidR="0085709A" w:rsidRDefault="0085709A" w:rsidP="0085709A">
      <w:pPr>
        <w:pStyle w:val="TextoNormal"/>
      </w:pPr>
      <w:r>
        <w:lastRenderedPageBreak/>
        <w:t>No hay una conexión automática entre que el sexo femenino sea el que desarrolla más comúnmente su trabajo a tiempo parcial con que sea el que se halla con mayor habitualidad en situaciones en que, por haberse terminado su relación a tiempo parcial y no haber surgido ninguna otra, falta la obligación de cotizar, dando lugar entonces a lagunas de cotización que deban ser suplidas con la ficción de integración que regula el apartado b) de la norma cuestionada. Por tanto, solo podríamos reconocer que la regla menos favorable que estamos examinando produjese un efecto especialmente adverso para las mujeres si resultase acreditado que son ellas quienes se encuentran más a menudo en este segundo tipo de situación, que no es idéntica a la circunstancia de trabajar a tiempo parcial ni consecuencia inexorable de ésta. En fin, solo constatando que en la carrera laboral de las mujeres hay notablemente más supuestos de lagunas de cotización inmediatamente posteriores a contratos a tiempo parcial podríamos tener por cumplido este segundo presupuesto del canon de discriminación indirecta.</w:t>
      </w:r>
    </w:p>
    <w:p w:rsidR="0085709A" w:rsidRDefault="0085709A" w:rsidP="0085709A">
      <w:pPr>
        <w:pStyle w:val="TextoNormal"/>
      </w:pPr>
    </w:p>
    <w:p w:rsidR="0085709A" w:rsidRDefault="0085709A" w:rsidP="0085709A">
      <w:pPr>
        <w:pStyle w:val="TextoNormal"/>
      </w:pPr>
      <w:r>
        <w:t>El auto de planteamiento no contiene ninguna afirmación en este sentido, limitándose a razonar sobre este punto que “el contrato a tiempo parcial es una institución que afecta de hecho predominantemente al sexo femenino”. Toda su argumentación se refiere, por tanto, a una situación que, como acabamos de exponer, es distinta de la que sería la relevante para poder apreciar que la regla cuestionada repercute mayormente en las mujeres. Ante esta insuficiencia de razonamiento que afecta a la exposición de la duda de constitucionalidad, precisamente a un elemento central de ella como es uno de los presupuestos que la doctrina constitucional viene imponiendo para apreciar un supuesto de discriminación indirecta, debemos recordar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w:t>
      </w:r>
    </w:p>
    <w:p w:rsidR="0085709A" w:rsidRDefault="0085709A" w:rsidP="0085709A">
      <w:pPr>
        <w:pStyle w:val="TextoNormal"/>
      </w:pPr>
    </w:p>
    <w:p w:rsidR="0085709A" w:rsidRDefault="0085709A" w:rsidP="0085709A">
      <w:pPr>
        <w:pStyle w:val="TextoNormal"/>
      </w:pPr>
      <w:r>
        <w:t>Resulta, además, que obra en los autos de este proceso constitucional, aportado por el Letrado de la Administración de la Seguridad Social, un informe sobre lagunas de cotización inmediatamente posteriores a contratos a tiempo parcial en los expedientes relativos a pensiones por incapacidad permanente, que atiende a una contingencia distinta a la pensión de jubilación, pero que se asemeja a ella en lo que aquí interesa porque su periodo de carencia es muy largo y, por ello, es paralelo el nivel de lagunas de cotización que han de ser llenadas por la regla de integración recogida en el apartado b) de la norma cuestionada, que entre 2010 y 2013, tanto el número total de lagunas integradas a tiempo parcial como el promedio de lagunas integradas a tiempo parcial por cada expediente han decrecido en cuanto al sexo femenino y han aumentado respecto al masculino, siendo muy similares o algo superiores las que afectan a los hombres.</w:t>
      </w:r>
    </w:p>
    <w:p w:rsidR="0085709A" w:rsidRDefault="0085709A" w:rsidP="0085709A">
      <w:pPr>
        <w:pStyle w:val="TextoNormal"/>
      </w:pPr>
    </w:p>
    <w:p w:rsidR="0085709A" w:rsidRDefault="0085709A" w:rsidP="0085709A">
      <w:pPr>
        <w:pStyle w:val="TextoNormal"/>
      </w:pPr>
      <w:r>
        <w:t xml:space="preserve">El criterio expuesto en los párrafos anteriores ha sido también acogido por la STJUE de 14 de abril de 2015 en el asunto C-527/13 </w:t>
      </w:r>
      <w:r w:rsidRPr="0085709A">
        <w:rPr>
          <w:i/>
        </w:rPr>
        <w:t>Cachaldora Fernández</w:t>
      </w:r>
      <w:r>
        <w:t xml:space="preserve">. La decisión prejudicial resuelta por esa sentencia, al igual que sucede en este proceso constitucional, versaba sobre si el apartado b) de la regla tercera del número 1 de la disposición adicional séptima LGSS desconoce la prohibición de discriminación por razón de sexo (art. 4 de la Directiva 79/7/CEE del Consejo, de 19 de diciembre de 1978, relativa a la aplicación progresiva del principio de igualdad de trato entre hombres y mujeres en materia de seguridad social), con </w:t>
      </w:r>
      <w:r>
        <w:lastRenderedPageBreak/>
        <w:t>la única diferencia frente a este proceso constitucional ubicada en que lo que se dirimía en el proceso principal subyacente a la cuestión prejudicial de derecho comunitario era la cuantía de una pensión de incapacidad permanente y no de jubilación, especialidad insustancial en este contexto.</w:t>
      </w:r>
    </w:p>
    <w:p w:rsidR="0085709A" w:rsidRDefault="0085709A" w:rsidP="0085709A">
      <w:pPr>
        <w:pStyle w:val="TextoNormal"/>
      </w:pPr>
    </w:p>
    <w:p w:rsidR="0085709A" w:rsidRDefault="0085709A" w:rsidP="0085709A">
      <w:pPr>
        <w:pStyle w:val="TextoNormal"/>
      </w:pPr>
      <w:r>
        <w:t>En esta sentencia, el Tribunal de Justicia de la Unión Europea no aprecia discriminación directa basada en el sexo, dado que la norma se aplica indistintamente a trabajadores de ambos sexos y al analizar si existe una discriminación indirecta frente a la mujer por el hecho de que el colectivo de trabajadores a tiempo parcial está compuesto mayoritariamente por mujeres, el Tribunal utiliza dos razones para no apreciar la discriminación indirecta:</w:t>
      </w:r>
    </w:p>
    <w:p w:rsidR="0085709A" w:rsidRDefault="0085709A" w:rsidP="0085709A">
      <w:pPr>
        <w:pStyle w:val="TextoNormal"/>
      </w:pPr>
    </w:p>
    <w:p w:rsidR="0085709A" w:rsidRDefault="0085709A" w:rsidP="0085709A">
      <w:pPr>
        <w:pStyle w:val="TextoNormal"/>
      </w:pPr>
      <w:r>
        <w:t>a) La disposición adicional séptima, apartado primero, regla tercera, letra b) de la LGSS no se aplica a todos los trabajadores a tiempo parcial, sino únicamente a aquellos cuyas cotizaciones se han visto interrumpidas cuando la interrupción es posterior a un empleo a tiempo parcial.</w:t>
      </w:r>
    </w:p>
    <w:p w:rsidR="0085709A" w:rsidRDefault="0085709A" w:rsidP="0085709A">
      <w:pPr>
        <w:pStyle w:val="TextoNormal"/>
      </w:pPr>
    </w:p>
    <w:p w:rsidR="0085709A" w:rsidRDefault="0085709A" w:rsidP="0085709A">
      <w:pPr>
        <w:pStyle w:val="TextoNormal"/>
      </w:pPr>
      <w:r>
        <w:t>Por tanto, los datos estadísticos relativos al colectivo de los trabajadores a tiempo parcial en su totalidad no son pertinentes para demostrar que esa disposición afecta a un número mayor de mujeres que de hombres.</w:t>
      </w:r>
    </w:p>
    <w:p w:rsidR="0085709A" w:rsidRDefault="0085709A" w:rsidP="0085709A">
      <w:pPr>
        <w:pStyle w:val="TextoNormal"/>
      </w:pPr>
    </w:p>
    <w:p w:rsidR="0085709A" w:rsidRDefault="0085709A" w:rsidP="0085709A">
      <w:pPr>
        <w:pStyle w:val="TextoNormal"/>
      </w:pPr>
      <w:r>
        <w:t>b) La norma, tal como está prevista, puede favorecer o perjudicar al trabajador, dependiendo de si en el momento inmediatamente anterior a la interrupción de sus cotizaciones ha cotizado a tiempo parcial o a tiempo completo, dependiendo del tipo de contrato que viniera desempeñando el trabajador con anterioridad a la interrupción de sus cotizaciones y con independencia de cuál haya sido la modalidad de contratación predominante a lo largo de su vida laboral.</w:t>
      </w:r>
    </w:p>
    <w:p w:rsidR="0085709A" w:rsidRDefault="0085709A" w:rsidP="0085709A">
      <w:pPr>
        <w:pStyle w:val="TextoNormal"/>
      </w:pPr>
    </w:p>
    <w:p w:rsidR="0085709A" w:rsidRDefault="0085709A" w:rsidP="0085709A">
      <w:pPr>
        <w:pStyle w:val="TextoNormal"/>
      </w:pPr>
      <w:r>
        <w:t>De esta forma, el Tribunal de Justicia de la Unión Europea entiende que no puede estimarse que la disposición adicional séptima, apartado primero, regla tercera, letra b) de la LGSS perjudique principalmente a una determinada categoría de trabajadores, en concreto, a aquellos que trabajan a tiempo parcial y, más concretamente, a las mujeres, al considerar que esta disposición no pueda calificarse de medida indirectamente discriminatoria en el sentido del art. 4.1 de la Directiva 79/7, relativa a la aplicación progresiva del principio de igualdad de hombres y mujeres en materia de seguridad social.</w:t>
      </w:r>
    </w:p>
    <w:p w:rsidR="0085709A" w:rsidRDefault="0085709A" w:rsidP="0085709A">
      <w:pPr>
        <w:pStyle w:val="TextoNormal"/>
      </w:pPr>
    </w:p>
    <w:p w:rsidR="0085709A" w:rsidRDefault="0085709A" w:rsidP="0085709A">
      <w:pPr>
        <w:pStyle w:val="TextoNormal"/>
      </w:pPr>
      <w:r>
        <w:t>En estas circunstancias no podemos tener por acreditado que la regla menos favorable que contiene el apartado b) de la norma cuestionada produzca un efecto especialmente adverso para las mujeres y, por tanto, no cabe tener por cumplido el segundo presupuesto del canon de discriminación indirecta, lo que nos exime de tener que analizar si se da el tercer elemento consistente en la ausencia de una razón suficiente de política social que justifique la medida.</w:t>
      </w:r>
    </w:p>
    <w:p w:rsidR="0085709A" w:rsidRDefault="0085709A" w:rsidP="0085709A">
      <w:pPr>
        <w:pStyle w:val="TextoNormal"/>
      </w:pPr>
    </w:p>
    <w:p w:rsidR="0085709A" w:rsidRDefault="0085709A" w:rsidP="0085709A">
      <w:pPr>
        <w:pStyle w:val="TextoNormal"/>
      </w:pPr>
      <w:r>
        <w:t>También, en este punto, procede concluir desestimando este motivo de inconstitucionalidad.</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cuestión de inconstitucionalidad promovida por el Juzgado de lo Social núm. 3 de A Coruña, en relación con los apartados a) y b) de la regla tercera del número 1, de la disposición adicional séptima del texto refundido de la Ley General de la Seguridad Social, aprobado por el Real Decreto Legislativo 1/1994, de 20 de junio, en la redacción dada a los citados apartados, respectivamente, por la Ley Orgánica 3/2007, de 22 de marzo, para la igualdad efectiva de mujeres y hombres, y por el Real Decreto-ley 15/1998, de 27 de noviembre, de medidas urgentes para la mejora del mercado de trabajo en relación con el trabajo a tiempo parcial y el fomento de la estabilidad.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2502-2014.</w:t>
      </w:r>
    </w:p>
    <w:p w:rsidR="0085709A" w:rsidRDefault="0085709A" w:rsidP="0085709A">
      <w:pPr>
        <w:pStyle w:val="TextoNormalNegritaCentrado"/>
        <w:keepNext/>
      </w:pPr>
    </w:p>
    <w:p w:rsidR="0085709A" w:rsidRDefault="0085709A" w:rsidP="0085709A">
      <w:pPr>
        <w:pStyle w:val="TextoNormal"/>
      </w:pPr>
      <w:r>
        <w:t>Con respeto a la opinión mayoritaria de mis compañeros en la que se sustenta la Sentencia, manifiesto mi discrepancia con la argumentación y la decisión de desestimar la cuestión promovida por el Juzgado de lo Social núm. 3 de A Coruña sobre los apartados a) y b) de la regla tercera del número 1 de la disposición adicional séptima del texto refundido de la Ley General de la Seguridad Social, aprobado por Real Decreto Legislativo 1/1994, de 20 de junio, en la redacción dada a los citados apartados, respectivamente, por la Ley Orgánica 3/2007, de 22 de marzo, y el Real Decreto-ley 15/1998, de 27 de noviembre.</w:t>
      </w:r>
    </w:p>
    <w:p w:rsidR="0085709A" w:rsidRDefault="0085709A" w:rsidP="0085709A">
      <w:pPr>
        <w:pStyle w:val="TextoNormal"/>
      </w:pPr>
    </w:p>
    <w:p w:rsidR="0085709A" w:rsidRDefault="0085709A" w:rsidP="0085709A">
      <w:pPr>
        <w:pStyle w:val="TextoNormal"/>
      </w:pPr>
      <w:r>
        <w:t>1. Mi primera discrepancia con la opinión mayoritaria en que se sustenta la Sentencia se refiere al cuestionamiento de los apartados a) y b) de la norma controvertida desde la perspectiva del derecho a la igualdad (art. 14 CE) y la interdicción de la arbitrariedad (art. 9.3 CE), referido al diferente y arbitrario trato que se da a las situaciones de cómputo e integración de lagunas para acceder a determinadas prestaciones de la Seguridad Social cuando la situación de trabajo a tiempo parcial es la inmediatamente anterior al momento en que se ha de decidir sobre esa prestación.</w:t>
      </w:r>
    </w:p>
    <w:p w:rsidR="0085709A" w:rsidRDefault="0085709A" w:rsidP="0085709A">
      <w:pPr>
        <w:pStyle w:val="TextoNormal"/>
      </w:pPr>
    </w:p>
    <w:p w:rsidR="0085709A" w:rsidRDefault="0085709A" w:rsidP="0085709A">
      <w:pPr>
        <w:pStyle w:val="TextoNormal"/>
      </w:pPr>
      <w:r>
        <w:t>La opinión mayoritaria viene a defender, como ya se hizo en la STC 156/2014, de 25 de septiembre, profusamente citada, que tanto la regla del apartado a) como la del b) no establecen un trato discriminatorio, ya que el término de comparación aportado entre trabajadores a tiempo parcial y a tiempo completo no resulta adecuado si se toman en consideración los principios contributivo y de proporcionalidad del régimen de la Seguridad social. Esta posición fue rebatida de manera amplia en el voto particular que formulé a la citada STC 156/2014, al que me remito para evitar reiteraciones innecesarias, al objeto de justificar por qué considero que en este caso también debería haberse estimado la cuestión promovida por vulneración de los arts. 9.3 y 14 CE.</w:t>
      </w:r>
    </w:p>
    <w:p w:rsidR="0085709A" w:rsidRDefault="0085709A" w:rsidP="0085709A">
      <w:pPr>
        <w:pStyle w:val="TextoNormal"/>
      </w:pPr>
    </w:p>
    <w:p w:rsidR="0085709A" w:rsidRDefault="0085709A" w:rsidP="0085709A">
      <w:pPr>
        <w:pStyle w:val="TextoNormal"/>
      </w:pPr>
      <w:r>
        <w:t>2. Mi segunda discrepancia con la opinión mayoritaria en que se sustenta la Sentencia se refiere a la solución dada al cuestionamiento de estos mismos preceptos por vulneración del principio de no discriminación indirecta por razón de sexo (art. 14 CE).</w:t>
      </w:r>
    </w:p>
    <w:p w:rsidR="0085709A" w:rsidRDefault="0085709A" w:rsidP="0085709A">
      <w:pPr>
        <w:pStyle w:val="TextoNormal"/>
      </w:pPr>
    </w:p>
    <w:p w:rsidR="0085709A" w:rsidRDefault="0085709A" w:rsidP="0085709A">
      <w:pPr>
        <w:pStyle w:val="TextoNormal"/>
      </w:pPr>
      <w:r>
        <w:t>La opinión mayoritaria viene a defender que la regulación impugnada no es indirectamente discriminatoria respecto de las mujeres, poniendo de manifiesto que, si bien no puede resultar controvertido que (i) el trabajo a tiempo parcial afecta especialmente a las mujeres; y (ii) la normativa cuestionada establece un tratamiento adverso a este tipo de situaciones; sin embargo, (iii) las reglas establecidas para el cómputo e integración de lagunas tienen una justificación objetiva en el carácter contributivo y en la aplicación del principio de aportación proporcional del sistema de seguridad social que impide apreciar que son aspectos completamente ajenos a cualquier discriminación por razón de sexo.</w:t>
      </w:r>
    </w:p>
    <w:p w:rsidR="0085709A" w:rsidRDefault="0085709A" w:rsidP="0085709A">
      <w:pPr>
        <w:pStyle w:val="TextoNormal"/>
      </w:pPr>
    </w:p>
    <w:p w:rsidR="0085709A" w:rsidRDefault="0085709A" w:rsidP="0085709A">
      <w:pPr>
        <w:pStyle w:val="TextoNormal"/>
      </w:pPr>
      <w:r>
        <w:t>En el Voto particular que formulé a la citada STC 156/2014 mantuve que la regla controvertida en el apartado b) resultaba discriminatoria por razón de sexo. Ahora debo confirmar que, en mi opinión, tanto ese apartado b), como el a), con independencia de lo afirmado en su ámbito de competencia en la STJUE de 14 de abril de 2015, asunto C-527/13, vulneran también por este motivo el art. 14 CE.</w:t>
      </w:r>
    </w:p>
    <w:p w:rsidR="0085709A" w:rsidRDefault="0085709A" w:rsidP="0085709A">
      <w:pPr>
        <w:pStyle w:val="TextoNormal"/>
      </w:pPr>
    </w:p>
    <w:p w:rsidR="0085709A" w:rsidRDefault="0085709A" w:rsidP="0085709A">
      <w:pPr>
        <w:pStyle w:val="TextoNormal"/>
      </w:pPr>
      <w:r>
        <w:t>El razonamiento que me lleva a sustentar esta conclusión radica en que, frente a la alegada objetividad de las reglas impugnadas desde la perspectiva de los principios contributivo y de proporcionalidad, el hecho es que (i) hay una diferencia sustancial entre las reglas para calcular la base reguladora y la integración de las lagunas de cotización en los supuestos de contratación a tiempo parcial y a tiempo completo; (ii) que el resultado de la aplicación de esas diferentes reglas determina un efecto adverso de los trabajadores con contratos a tiempo parcial respecto a los que son beneficiarios de una contratación a tiempo completo; y (iii) que el único elemento determinante para aplicar una u otra regulación es el carácter a tiempo completo o parcial del contrato en el momento en que se debe valorar la contingencia y no el historial de contratación o cotización de trabajador.</w:t>
      </w:r>
    </w:p>
    <w:p w:rsidR="0085709A" w:rsidRDefault="0085709A" w:rsidP="0085709A">
      <w:pPr>
        <w:pStyle w:val="TextoNormal"/>
      </w:pPr>
    </w:p>
    <w:p w:rsidR="0085709A" w:rsidRDefault="0085709A" w:rsidP="0085709A">
      <w:pPr>
        <w:pStyle w:val="TextoNormal"/>
      </w:pPr>
      <w:r>
        <w:t>De todo ello cabe concluir que si bien, en abstracto, el régimen de división tiempo completo/tiempo parcial basado en la proporcionalidad de las contribuciones responde a bases objetivas; sin embargo, no lo hace la regulación jurídica para calcular la base reguladora y la integración de lagunas de cotización. En esta regulación se desprecia totalmente el historial contributivo y el principio de proporcionalidad, atendiendo exclusivamente a la naturaleza total o parcial del último contrato, que, al ser una modalidad que afecta especialmente a las mujeres, impone un sistema sesgado, sin anclaje objetivo en el carácter contributivo y proporcional del sistema, que le inflige un trato desfavorable y discriminatorio.</w:t>
      </w:r>
    </w:p>
    <w:p w:rsidR="0085709A" w:rsidRDefault="0085709A" w:rsidP="0085709A">
      <w:pPr>
        <w:pStyle w:val="TextoNormal"/>
      </w:pPr>
    </w:p>
    <w:p w:rsidR="0085709A" w:rsidRDefault="0085709A" w:rsidP="0085709A">
      <w:pPr>
        <w:pStyle w:val="TextoNormal"/>
      </w:pPr>
      <w:r>
        <w:t>Esta situación de discriminación para la mujer es más evidente si se toma en consideración que en un sistema como el que resulta de la norma cuestionada los mayores perjuicios se derivan para quienes habiendo desarrollado la mayor parte de su vida laboral en régimen de dedicación completa pasan a situaciones de dedicación a tiempo parcial, los cuales resultan especialmente perjudicados por la norma. En una situación de crisis y de negativa evolución de la empleabilidad, este tipo de evolución en el empleo tiene especial incidencia, circunstancia que se une a los abrumadores datos oficiales que ponen de manifiesto que son especialmente las mujeres las que optan por los contratos a tiempo parcial.</w:t>
      </w:r>
    </w:p>
    <w:p w:rsidR="0085709A" w:rsidRDefault="0085709A" w:rsidP="0085709A">
      <w:pPr>
        <w:pStyle w:val="TextoNormal"/>
      </w:pPr>
    </w:p>
    <w:p w:rsidR="0085709A" w:rsidRDefault="0085709A" w:rsidP="0085709A">
      <w:pPr>
        <w:pStyle w:val="TextoNormal"/>
      </w:pPr>
      <w:r>
        <w:t>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4" w:name="SENTENCIA_2015_111"/>
      <w:r>
        <w:lastRenderedPageBreak/>
        <w:t>SENTENCIA 111/2015, de 28 de mayo de 2015</w:t>
      </w:r>
    </w:p>
    <w:bookmarkEnd w:id="114"/>
    <w:p w:rsidR="0085709A" w:rsidRDefault="0085709A" w:rsidP="0085709A">
      <w:pPr>
        <w:pStyle w:val="TtuloResolucin"/>
      </w:pPr>
      <w:r>
        <w:t>Pleno</w:t>
      </w:r>
    </w:p>
    <w:p w:rsidR="0085709A" w:rsidRDefault="0085709A" w:rsidP="0085709A">
      <w:pPr>
        <w:pStyle w:val="TtuloBOE"/>
      </w:pPr>
      <w:r>
        <w:t>(BOE núm. 159, de 4 de julio de 2015)</w:t>
      </w:r>
    </w:p>
    <w:p w:rsidR="0085709A" w:rsidRDefault="0085709A" w:rsidP="0085709A">
      <w:pPr>
        <w:pStyle w:val="TextoNormalCentrado"/>
      </w:pPr>
      <w:r>
        <w:t>ECLI:ES:TC:2015:111</w:t>
      </w:r>
    </w:p>
    <w:p w:rsidR="0085709A" w:rsidRDefault="0085709A" w:rsidP="0085709A">
      <w:pPr>
        <w:pStyle w:val="TextoNormalCentrado"/>
      </w:pPr>
    </w:p>
    <w:p w:rsidR="0085709A" w:rsidRDefault="0085709A" w:rsidP="0085709A">
      <w:pPr>
        <w:pStyle w:val="SntesisDescriptiva"/>
      </w:pPr>
      <w:r>
        <w:t>Recurso de inconstitucionalidad 7870-2014. Interpuesto por la Presidente del Gobierno en funciones respecto de la Ley del Parlamento de Cataluña 4/2014, de 4 de abril, del impuesto sobre depósitos en las entidades de crédito.</w:t>
      </w:r>
    </w:p>
    <w:p w:rsidR="0085709A" w:rsidRDefault="0085709A" w:rsidP="0085709A">
      <w:pPr>
        <w:pStyle w:val="SntesisDescriptiva"/>
      </w:pPr>
    </w:p>
    <w:p w:rsidR="0085709A" w:rsidRDefault="0085709A" w:rsidP="0085709A">
      <w:pPr>
        <w:pStyle w:val="SntesisAnaltica"/>
      </w:pPr>
      <w:r>
        <w:t>Límites a la potestad tributaria de las Comunidades Autónomas: nulidad del precepto legal que regula el impuesto sobre los depósitos en las entidades de crédito (STC 30/2015).</w:t>
      </w:r>
    </w:p>
    <w:p w:rsidR="0085709A" w:rsidRDefault="0085709A" w:rsidP="0085709A">
      <w:pPr>
        <w:pStyle w:val="SntesisAnaltica"/>
      </w:pPr>
    </w:p>
    <w:p w:rsidR="0085709A" w:rsidRDefault="0085709A" w:rsidP="0085709A">
      <w:pPr>
        <w:pStyle w:val="Extracto"/>
      </w:pPr>
      <w:r>
        <w:t>1.</w:t>
      </w:r>
      <w:r>
        <w:tab/>
        <w:t>El impuesto autonómico impugnado coincide, en sus elementos esenciales, con el homónimo estatal, incurriendo en la incompatibilidad que establece el art. 6.2 LOFCA, dado que hay coincidencia en el hecho imponible, la base imponible y los contribuyentes, refiriéndose las únicas diferencias a la cuota tributaria y a las deducciones establecidas por la Comunidad Autónoma para sucursales radicadas en su territorio, por lo que tales coincidencias sustanciales suponen la vulneración de los arts. 133.2 y 157.3 CE, así como del art. 6.2 LOFCA [FJ 3].</w:t>
      </w:r>
    </w:p>
    <w:p w:rsidR="0085709A" w:rsidRDefault="0085709A" w:rsidP="0085709A">
      <w:pPr>
        <w:pStyle w:val="Extracto"/>
      </w:pPr>
    </w:p>
    <w:p w:rsidR="0085709A" w:rsidRDefault="0085709A" w:rsidP="0085709A">
      <w:pPr>
        <w:pStyle w:val="Extracto"/>
      </w:pPr>
      <w:r>
        <w:t>2.</w:t>
      </w:r>
      <w:r>
        <w:tab/>
        <w:t>Asunto sustancialmente idéntico al decidido por este Tribunal en la STC 30/2015 [FFJJ 2,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7870-2014, promovido por la Sra. Presidente del Gobierno, en funciones, contra la Ley del Parlamento de Cataluña 4/2014, de 4 de abril, del impuesto sobre depósitos en las entidades de crédito. Han intervenido y formulado alegaciones el Gobierno de la Generalitat y el Parlamento de Cataluña. Ha sido Ponente el Magistrado don Santiago Martínez-Vares García, que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presentado en el Registro General de este Tribunal Constitucional el día 30 de diciembre de 2014 el Abogado del Estado, en nombre de la Sra. Presidente del Gobierno, en funciones, interpone recurso de inconstitucionalidad contra la Ley del Parlamento de Cataluña 4/2014, de 4 de abril, del impuesto sobre depósitos en las entidades de crédito. Se invoca el art. 161.2 CE, a fin de que se acuerde la suspensión de la norma impugnada.</w:t>
      </w:r>
    </w:p>
    <w:p w:rsidR="0085709A" w:rsidRDefault="0085709A" w:rsidP="0085709A">
      <w:pPr>
        <w:pStyle w:val="TextoNormal"/>
      </w:pPr>
    </w:p>
    <w:p w:rsidR="0085709A" w:rsidRDefault="0085709A" w:rsidP="0085709A">
      <w:pPr>
        <w:pStyle w:val="TextoNormal"/>
      </w:pPr>
      <w:r>
        <w:t>La demanda considera infringidos los arts. 133, 149.1.13 y 14, y 157 de la Constitución, y el art. 6.2 de la Ley Orgánica de financiación de las Comunidades Autónomas (LOFCA), ya que el impuesto creado en la Ley 4/2014, de 4 de abril es sustancialmente coincidente con el estatal regulado en el art. 19 de la Ley 16/2012, de 27 de diciembre, por la que se adoptan diversas medidas tributarias dirigidas a la consolidación de las finanzas públicas, tras el art. 124 del Real Decreto-ley 8/2014, de 4 de julio, de aprobación de medidas urgentes para el crecimiento, la competitividad y la eficiencia. De acuerdo con lo establecido en la doctrina del Tribunal Constitucional (se citan, entre otras, las SSTC 122/2012, de 5 de junio; y la 210/2012, de 14 de noviembre), hay identidad sustancial entre ambos tributos, estatal y autonómico.</w:t>
      </w:r>
    </w:p>
    <w:p w:rsidR="0085709A" w:rsidRDefault="0085709A" w:rsidP="0085709A">
      <w:pPr>
        <w:pStyle w:val="TextoNormal"/>
      </w:pPr>
    </w:p>
    <w:p w:rsidR="0085709A" w:rsidRDefault="0085709A" w:rsidP="0085709A">
      <w:pPr>
        <w:pStyle w:val="TextoNormal"/>
      </w:pPr>
      <w:r>
        <w:t>Comienza el alegato describiendo sucintamente los elementos esenciales del impuesto sobre los depósitos en las entidades de crédito como tributo propio de la Comunidad Autónoma de Cataluña. Una vez descritos sus elementos esenciales se concluye que los mismos, y en particular los identificadores de la estructura del tributo —hecho y base imponibles, sujetos pasivos, exenciones o supuestos de no sujeción y devengo— coinciden sustancialmente con el impuesto, del mismo nombre, creado por el Estado mediante la Ley 16/2012, de 27 de diciembre, por la que se adoptan diversas medidas tributarias dirigidas a la consolidación de las finanzas públicas y al impulso de la actividad económica (Ley 16/2012, en adelante).</w:t>
      </w:r>
    </w:p>
    <w:p w:rsidR="0085709A" w:rsidRDefault="0085709A" w:rsidP="0085709A">
      <w:pPr>
        <w:pStyle w:val="TextoNormal"/>
      </w:pPr>
    </w:p>
    <w:p w:rsidR="0085709A" w:rsidRDefault="0085709A" w:rsidP="0085709A">
      <w:pPr>
        <w:pStyle w:val="TextoNormal"/>
      </w:pPr>
      <w:r>
        <w:t>A continuación, se cita la doctrina de este Tribunal acerca de la autonomía financiera de las Comunidades Autónomas y su vinculación con la autonomía política (entre otras, STC 13/1992, de 6 de febrero, FJ 7), cuyo ejercicio implica la capacidad de las Comunidades Autónomas para establecer y exigir sus propios tributos de acuerdo con lo establecido en los arts. 133.2 y 157.1 CE. Se trata así de un poder tributario que está sujeto a límites intrínsecos y extrínsecos, como se desprende de la Constitución, y del bloque de la constitucionalidad, citándose el art. 203.5 del Estatuto de Autonomía de Cataluña, que remite precisamente a la ley orgánica a que se refiere también el art. 157.3 CE, esto es, la Ley Orgánica 8/1980, de 22 de septiembre (LOFCA).</w:t>
      </w:r>
    </w:p>
    <w:p w:rsidR="0085709A" w:rsidRDefault="0085709A" w:rsidP="0085709A">
      <w:pPr>
        <w:pStyle w:val="TextoNormal"/>
      </w:pPr>
    </w:p>
    <w:p w:rsidR="0085709A" w:rsidRDefault="0085709A" w:rsidP="0085709A">
      <w:pPr>
        <w:pStyle w:val="TextoNormal"/>
      </w:pPr>
      <w:r>
        <w:t>A partir de lo anterior se cita la doctrina constitucional referida al art. 6 LOFCA, en su redacción otorgada por la Ley Orgánica 3/2009, con extensa cita de la STC 210/2012, de 14 de noviembre, sobre el impuesto sobre depósitos bancarios en Extremadura.</w:t>
      </w:r>
    </w:p>
    <w:p w:rsidR="0085709A" w:rsidRDefault="0085709A" w:rsidP="0085709A">
      <w:pPr>
        <w:pStyle w:val="TextoNormal"/>
      </w:pPr>
    </w:p>
    <w:p w:rsidR="0085709A" w:rsidRDefault="0085709A" w:rsidP="0085709A">
      <w:pPr>
        <w:pStyle w:val="TextoNormal"/>
      </w:pPr>
      <w:r>
        <w:t xml:space="preserve">Se concluye fundamentando la inconstitucionalidad del impuesto sobre los depósitos en entidades de crédito de la Comunidad Autónoma de Cataluña en su coincidencia, en todos los elementos sustanciales, con el impuesto sobre los depósitos en las entidades de crédito. </w:t>
      </w:r>
      <w:r>
        <w:lastRenderedPageBreak/>
        <w:t>A este respecto, resalta el escrito que ciertamente existe una diferencia en el ámbito de aplicación territorial, dado que el tributo autonómico se aplica sólo en esta Comunidad, si bien esto es inherente a la propia definición de tributo propio autonómico. El precepto impugnado infringe por lo tanto los arts. 133, 157.3 CE; y 6.2 LOFCA.</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20 de enero de 2015, el Pleno del Tribunal acordó admitir a trámite el recurso de inconstitucionalidad promovido por la Sra. Presidente del Gobierno, en funciones, y en su representación y defensa, por el Abogado del Estado, contra la Ley del Parlamento de Cataluña 4/2014, de 4 de abril, del impuesto sobre depósitos en las entidades de crédito. Asimismo, acordó dar traslado de la demanda y documentos presentados, conforme al art. 34 de la Ley Orgánica del Tribunal Constitucional (LOTC), al Congreso de los Diputados y al Senado, por conducto de sus Presidentes, y al Gobierno y al Parlamento de Cataluña, al objeto de que en el plazo de quince días pudieran personarse en el proceso y formular las alegaciones que estimen convenientes. Por último, se acordó publicar la incoación del proceso en el “BOE”, lo que se llevó a efecto en el número 21, de 24 de enero de 2015.</w:t>
      </w:r>
    </w:p>
    <w:p w:rsidR="0085709A" w:rsidRDefault="0085709A" w:rsidP="0085709A">
      <w:pPr>
        <w:pStyle w:val="TextoNormal"/>
      </w:pPr>
    </w:p>
    <w:p w:rsidR="0085709A" w:rsidRDefault="0085709A" w:rsidP="0085709A">
      <w:pPr>
        <w:pStyle w:val="TextoNormal"/>
      </w:pPr>
      <w:r w:rsidRPr="0085709A">
        <w:rPr>
          <w:rStyle w:val="NumeroAFNegritaCaracter"/>
        </w:rPr>
        <w:t>3</w:t>
      </w:r>
      <w:r>
        <w:t>. El 4 de febrero de 2015 tuvo entrada en el Registro General de este Tribunal el escrito del Letrado del Parlamento de Cataluña, en la representación que legalmente ostenta, comunicando el acuerdo de la Mesa del Parlamento de 3 de febrero de 2015 por el que el Parlamento ha decidido personarse en el presente proceso, y solicitando que, teniéndosele efectivamente por personado, se conceda a la representación letrada una prórroga del plazo para formular alegaciones.</w:t>
      </w:r>
    </w:p>
    <w:p w:rsidR="0085709A" w:rsidRDefault="0085709A" w:rsidP="0085709A">
      <w:pPr>
        <w:pStyle w:val="TextoNormal"/>
      </w:pPr>
    </w:p>
    <w:p w:rsidR="0085709A" w:rsidRDefault="0085709A" w:rsidP="0085709A">
      <w:pPr>
        <w:pStyle w:val="TextoNormal"/>
      </w:pPr>
      <w:r w:rsidRPr="0085709A">
        <w:rPr>
          <w:rStyle w:val="NumeroAFNegritaCaracter"/>
        </w:rPr>
        <w:t>4</w:t>
      </w:r>
      <w:r>
        <w:t>. El 4 de febrero de 2015 se registró en este Tribunal el escrito del Senado por el que se comunica el Acuerdo adoptado por la Mesa de la Cámara de personarse en el procedimiento y ofrecer su colaboración a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providencia de 5 de febrero de 2015 el Pleno del Tribunal acordó incorporar a las actuaciones el anterior escrito del Letrado del Parlamento de Cataluña y conceder una prórroga de ocho días del plazo concedido en la providencia de 20 de enero, a contar desde el siguiente al de expiración del ordinario.</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registrado en este Tribunal el día 13 de febrero de 2015, la representación letrada de la Generalitat de Cataluña interesa la desestimación íntegra del recurso a partir de las siguientes alegaciones:</w:t>
      </w:r>
    </w:p>
    <w:p w:rsidR="0085709A" w:rsidRDefault="0085709A" w:rsidP="0085709A">
      <w:pPr>
        <w:pStyle w:val="TextoNormal"/>
      </w:pPr>
    </w:p>
    <w:p w:rsidR="0085709A" w:rsidRDefault="0085709A" w:rsidP="0085709A">
      <w:pPr>
        <w:pStyle w:val="TextoNormal"/>
      </w:pPr>
      <w:r>
        <w:t>Tras describir la conexión de este asunto con los recursos de inconstitucionalidad 1808-2013, 1873-2013 y 1881-2013, en los que se cuestiona el art. 19 de la Ley 16/2012, que establece el impuesto estatal sobre los depósitos bancarios a tipo cero, considera que no se vulnera el orden competencial y, en concreto, el art. 6.2 LOFCA porque la Ley 4/2014 se limita a dar cobertura formal y continuidad a un impuesto ya existente, regulado en el Decreto-ley 5/2012, norma que entra en vigor cuando aún no se había aprobado y entrado en vigor la Ley 16/2012 cuyo artículo 19 implantó el impuesto estatal sobre depósitos bancarios, y por tanto no existía un hecho imponible gravado por el Estado que impidiera la creación de tal impuesto autonómico, resulta obligado concluir que el Decreto-ley autonómico impugnado en este proceso ha respetado el orden competencial establecido en el bloque de la constitucionalidad sin que pueda imputársele tacha alguna de inconstitucionalidad.</w:t>
      </w:r>
    </w:p>
    <w:p w:rsidR="0085709A" w:rsidRDefault="0085709A" w:rsidP="0085709A">
      <w:pPr>
        <w:pStyle w:val="TextoNormal"/>
      </w:pPr>
    </w:p>
    <w:p w:rsidR="0085709A" w:rsidRDefault="0085709A" w:rsidP="0085709A">
      <w:pPr>
        <w:pStyle w:val="TextoNormal"/>
      </w:pPr>
      <w:r>
        <w:t>Añade que además el impuesto estatal creado mediante la Ley 16/2012 era un impuesto ficticio, una simulación de tributo sin idoneidad por tanto para generar un supuesto de doble imposición que a tenor del art. 6.2 LOFCA impidiera la creación de un impuesto autonómico. De hecho, no sería hasta la aprobación del Real Decreto-ley 8/2014 cuando el tipo de gravamen pasó de ser el 0 al 0,03 por 100.</w:t>
      </w:r>
    </w:p>
    <w:p w:rsidR="0085709A" w:rsidRDefault="0085709A" w:rsidP="0085709A">
      <w:pPr>
        <w:pStyle w:val="TextoNormal"/>
      </w:pPr>
    </w:p>
    <w:p w:rsidR="0085709A" w:rsidRDefault="0085709A" w:rsidP="0085709A">
      <w:pPr>
        <w:pStyle w:val="TextoNormal"/>
      </w:pPr>
      <w:r>
        <w:t>A partir de lo anterior se refiere a los antecedentes legales de la aprobación de la Ley del Parlamento de Cataluña 4/2014, con referencia a la doctrina contenida en la STC 210/2012 que legitimaba a las Comunidades Autónomas para establecer este tipo de tributos, concluyendo que no se ha vulnerado el art. 6.2 LOFCA ni las competencias que los arts. 133.1, 149.1.13 y 14 CE atribuyen al Estado.</w:t>
      </w:r>
    </w:p>
    <w:p w:rsidR="0085709A" w:rsidRDefault="0085709A" w:rsidP="0085709A">
      <w:pPr>
        <w:pStyle w:val="TextoNormal"/>
      </w:pPr>
    </w:p>
    <w:p w:rsidR="0085709A" w:rsidRDefault="0085709A" w:rsidP="0085709A">
      <w:pPr>
        <w:pStyle w:val="TextoNormal"/>
      </w:pPr>
      <w:r>
        <w:t>Es cierto que hay coincidencia entre el tributo estatal y el autonómico, algo que considera que “no se discute”. La controversia se suscita únicamente en torno a la secuencia temporal, de forma que cuando, como en este caso, el impuesto estatal es posterior al autonómico, el Estado puede aprobar su propio impuesto sobre el mismo hecho imponible desplazando a los impuestos autonómicos preexistentes, pero está obligado a prever medidas compensatorias o de coordinación en favor de las Comunidades Autónomas que sufran el desplazamiento de su impuesto a fin de paliar la minoración de sus ingresos. Tal es el caso en este proceso, de manera que el impuesto autonómico sobre los depósitos en las entidades de crédito y su posterior modificación por la Ley 4/2014, anteceden al impuesto estatal equivalente, por lo que dicha Ley 4/2014 no ha incurrido en infracción del párrafo primero del artículo 6.2 LOFCA y es además aplicable el párrafo segundo de dicho artículo 6.2 de la misma norma, que obliga al Estado a instrumentar las medidas de compensación o coordinación adecuadas en favor de la Generalitat de Cataluña para resarcirla de la minoración de ingresos imputable al desplazamiento del impuesto autonómico que se ha producido como consecuencia de la posterior aprobación del impuesto estatal.</w:t>
      </w:r>
    </w:p>
    <w:p w:rsidR="0085709A" w:rsidRDefault="0085709A" w:rsidP="0085709A">
      <w:pPr>
        <w:pStyle w:val="TextoNormal"/>
      </w:pPr>
    </w:p>
    <w:p w:rsidR="0085709A" w:rsidRDefault="0085709A" w:rsidP="0085709A">
      <w:pPr>
        <w:pStyle w:val="TextoNormal"/>
      </w:pPr>
      <w:r>
        <w:t>Añade a lo anterior que el artículo 19 de la Ley 16/2012 fue aprobado con transgresión del procedimiento de tramitación parlamentaria, incurriendo en un uso fraudulento y abusivo de la potestad tributaria del Estado, lo que implica el incumplimiento del principio de lealtad constitucional. En conexión con ello, aduce que la Ley 4/2014 ha dado continuidad al impuesto autonómico creado por el Decreto-ley 5/2012 y ha sido válidamente aprobada bajo la vigencia de la versión originaria del artículo 19 de la ley 16/2012, que, al crear un impuesto estatal ficticio, no activó la prohibición de doble imposición impuesta por el artículo 6.2 LOFCA a la potestad tributaria autonómica. En fin, cuando se aprobó y entró en vigor, el 10 de abril de 2014, la Ley 4/2014, no existía ningún impuesto estatal sobre los depósitos en las entidades de crédito que conforme a lo dispuesto en el artículo 6.2 LOFCA fuera un obstáculo para que el legislador catalán mantuviera y diera continuidad al impuesto autonómico sobre los depósitos en las entidades de crédito, esta vez con la cobertura formal de ley, introduciendo las modificaciones menores que estimó oportunas.</w:t>
      </w:r>
    </w:p>
    <w:p w:rsidR="0085709A" w:rsidRDefault="0085709A" w:rsidP="0085709A">
      <w:pPr>
        <w:pStyle w:val="TextoNormal"/>
      </w:pPr>
    </w:p>
    <w:p w:rsidR="0085709A" w:rsidRDefault="0085709A" w:rsidP="0085709A">
      <w:pPr>
        <w:pStyle w:val="TextoNormal"/>
      </w:pPr>
      <w:r>
        <w:t>Se refiere, por último, al art. 19 de la Ley 16/2012, que de forma indebida limita la posibilidad de aplicar las medidas de compensación y coordinación del art. 6.2 LOFCA, lo que afecta únicamente al impuesto creado mediante el Decreto-ley 5/2012. Dicha limitación contradice, alega, el art. 6.2 LOFCA, insistiendo en este punto en el carácter ficticio del tributo creado mediante el art. 19 de la Ley 16/2012.</w:t>
      </w:r>
    </w:p>
    <w:p w:rsidR="0085709A" w:rsidRDefault="0085709A" w:rsidP="0085709A">
      <w:pPr>
        <w:pStyle w:val="TextoNormal"/>
      </w:pPr>
    </w:p>
    <w:p w:rsidR="0085709A" w:rsidRDefault="0085709A" w:rsidP="0085709A">
      <w:pPr>
        <w:pStyle w:val="TextoNormal"/>
      </w:pPr>
      <w:r>
        <w:t>Por último, se refiere expresamente a las disposiciones adicionales y final de la Ley 4/2014, que tienen como finalidad dar continuidad temporal a la regulación contenida en el Decreto-ley 5/2012 respecto de las obligaciones tributarias nacidas bajo su vigencia, cuya exigibilidad se sujeta a los términos establecidos en la Ley 4/2014, y que dispone la aplicación del Decreto-ley 5/2012 a dichas obligaciones cuando resulte más favorable para los contribuyentes. Pues bien, en este sentido, afirma que el establecimiento, por parte del Real Decreto-ley del Estado 8/2014, de un tipo de gravamen en el impuesto estatal sobre depósitos, ha determinado que desde el 5 de julio de 2014 exista un impuesto estatal sobre el mismo hecho imponible que el gravado por la Ley 4/2014, que en virtud de lo dispuesto por el artículo 6.2 LOFCA, ha desplazado al impuesto autonómico precedente, por lo que al margen de las medidas compensatorias y de coordinación que deba articular el Estado en favor de la Generalitat de Cataluña, “dicho impuesto autonómico ya no es directamente exigible a los sujetos pasivos por lo que las previsiones sobre la aplicación de las prescripciones del Decreto-ley 5/2012 establecidas en las disposiciones adicionales y final de dicha ley 4/2014 a las que alude el fundamento de derecho quinto de la demanda carecen actualmente de eficacia”.</w:t>
      </w:r>
    </w:p>
    <w:p w:rsidR="0085709A" w:rsidRDefault="0085709A" w:rsidP="0085709A">
      <w:pPr>
        <w:pStyle w:val="TextoNormal"/>
      </w:pPr>
    </w:p>
    <w:p w:rsidR="0085709A" w:rsidRDefault="0085709A" w:rsidP="0085709A">
      <w:pPr>
        <w:pStyle w:val="TextoNormal"/>
      </w:pPr>
      <w:r>
        <w:t>Finaliza solicitando el levantamiento de la suspensión de la norma, así como la acumulación del presente recurso al número 7279-2014.</w:t>
      </w:r>
    </w:p>
    <w:p w:rsidR="0085709A" w:rsidRDefault="0085709A" w:rsidP="0085709A">
      <w:pPr>
        <w:pStyle w:val="TextoNormal"/>
      </w:pPr>
    </w:p>
    <w:p w:rsidR="0085709A" w:rsidRDefault="0085709A" w:rsidP="0085709A">
      <w:pPr>
        <w:pStyle w:val="TextoNormal"/>
      </w:pPr>
      <w:r w:rsidRPr="0085709A">
        <w:rPr>
          <w:rStyle w:val="NumeroAFNegritaCaracter"/>
        </w:rPr>
        <w:t>7</w:t>
      </w:r>
      <w:r>
        <w:t>. El 27 de febrero de 2015 tiene entrada el escrito de alegaciones del Parlamento de Cataluña, a través de su representación letrada, en el que solicita la desestimación del recurso de inconstitucionalidad.</w:t>
      </w:r>
    </w:p>
    <w:p w:rsidR="0085709A" w:rsidRDefault="0085709A" w:rsidP="0085709A">
      <w:pPr>
        <w:pStyle w:val="TextoNormal"/>
      </w:pPr>
    </w:p>
    <w:p w:rsidR="0085709A" w:rsidRDefault="0085709A" w:rsidP="0085709A">
      <w:pPr>
        <w:pStyle w:val="TextoNormal"/>
      </w:pPr>
      <w:r>
        <w:t>En el escrito se alega que la Ley de Cataluña 4/2014 no crea el impuesto sobre depósitos en entidades de crédito, pues el mismo ya había sido establecido mediante el Decreto-ley 5/2012. De esta manera, y a pesar de que la Ley de Cataluña 4/2014 sea posterior a la Ley del Estado 16/2012, el impuesto catalán sobre los depósitos en las entidades de crédito es anterior, ya que se creó mediante el Decreto-ley 5/2012, de 18 de diciembre (“DOGC” 19/12/2012), y fue convalidado por el Parlamento de Cataluña en la sesión celebrada el 23 de enero de 2013, sin perjuicio de que en la misma sesión el Parlamento acordó su tramitación como proyecto de ley, de cuya tramitación trae causa la Ley de Cataluña 4/2014.</w:t>
      </w:r>
    </w:p>
    <w:p w:rsidR="0085709A" w:rsidRDefault="0085709A" w:rsidP="0085709A">
      <w:pPr>
        <w:pStyle w:val="TextoNormal"/>
      </w:pPr>
    </w:p>
    <w:p w:rsidR="0085709A" w:rsidRDefault="0085709A" w:rsidP="0085709A">
      <w:pPr>
        <w:pStyle w:val="TextoNormal"/>
      </w:pPr>
      <w:r>
        <w:t>Es, por tanto, el Estado el que a posteriori establece formalmente un tributo sobre un hecho imponible gravado por la Comunidad Autónoma de Cataluña.</w:t>
      </w:r>
    </w:p>
    <w:p w:rsidR="0085709A" w:rsidRDefault="0085709A" w:rsidP="0085709A">
      <w:pPr>
        <w:pStyle w:val="TextoNormal"/>
      </w:pPr>
    </w:p>
    <w:p w:rsidR="0085709A" w:rsidRDefault="0085709A" w:rsidP="0085709A">
      <w:pPr>
        <w:pStyle w:val="TextoNormal"/>
      </w:pPr>
      <w:r>
        <w:t>En consecuencia, la función de la Ley de Cataluña 4/2014 no es crear y establecer un tributo, sino dar continuidad a un tributo existente y cuyo establecimiento es cronológicamente anterior a la Ley del Estado 16/2012, por lo que el supuesto de hecho es el inverso del que describe el recurso del Presidente del Gobierno, y por tanto la Ley de Cataluña 4/2014 no infringe el artículo 6.2 LOFCA.</w:t>
      </w:r>
    </w:p>
    <w:p w:rsidR="0085709A" w:rsidRDefault="0085709A" w:rsidP="0085709A">
      <w:pPr>
        <w:pStyle w:val="TextoNormal"/>
      </w:pPr>
    </w:p>
    <w:p w:rsidR="0085709A" w:rsidRDefault="0085709A" w:rsidP="0085709A">
      <w:pPr>
        <w:pStyle w:val="TextoNormal"/>
      </w:pPr>
      <w:r>
        <w:t>Finaliza solicitando el levantamiento de la suspensión de la norma impugnada.</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26 de mayo de 2015, se señaló para deliberación y votación del presente recurso el día 28 del mismo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inconstitucionalidad tiene por objeto la Ley 4/2014, de 4 de abril, del Parlamento de Cataluña, del impuesto sobre los depósitos en las entidades de crédito. El Abogado del Estado, en representación de la Sra. Presidente del Gobierno, en funciones, considera vulnerados los arts. 133, 149.1.13 y 14, y 157 de la Constitución, y el art. 6.2 de la Ley Orgánica 8/1980, de 22 de septiembre, de financiación de las Comunidades Autónomas (LOFCA), ya que el impuesto autonómico guarda identidad con el homónimo impuesto del Estado regulado en el art. 19 de la Ley 16/2012, de 27 de diciembre, por la que se adoptan diversas medidas tributarias dirigidas a la consolidación de las finanzas públicas.</w:t>
      </w:r>
    </w:p>
    <w:p w:rsidR="0085709A" w:rsidRDefault="0085709A" w:rsidP="0085709A">
      <w:pPr>
        <w:pStyle w:val="TextoNormal"/>
      </w:pPr>
    </w:p>
    <w:p w:rsidR="0085709A" w:rsidRDefault="0085709A" w:rsidP="0085709A">
      <w:pPr>
        <w:pStyle w:val="TextoNormal"/>
      </w:pPr>
      <w:r>
        <w:t>El Parlamento y el Gobierno de Cataluña interesan la desestimación íntegra del recurso con los argumentos que han quedado recogidos en los antecedentes.</w:t>
      </w:r>
    </w:p>
    <w:p w:rsidR="0085709A" w:rsidRDefault="0085709A" w:rsidP="0085709A">
      <w:pPr>
        <w:pStyle w:val="TextoNormal"/>
      </w:pPr>
    </w:p>
    <w:p w:rsidR="0085709A" w:rsidRDefault="0085709A" w:rsidP="0085709A">
      <w:pPr>
        <w:pStyle w:val="TextoNormal"/>
      </w:pPr>
      <w:r w:rsidRPr="0085709A">
        <w:rPr>
          <w:rStyle w:val="NumeroAFNegritaCaracter"/>
        </w:rPr>
        <w:t>2</w:t>
      </w:r>
      <w:r>
        <w:t>. Debemos en este lugar dejar constancia de que, en su redacción originaria, el art. 19 de la citada Ley 16/2012 fue objeto de impugnación en los recursos 1808-2013, 1873-2013, y 1881-2013, desestimados, respectivamente, por las SSTC 26/2015, de 19 de febrero; 59/2015, de 18 de marzo, y 73/2015, de 14 de abril. Por último la Ley 18/2014 fue impugnada en el recurso de inconstitucionalidad 275-2015, desestimado mediante STC 102/2015, de 26 de mayo.</w:t>
      </w:r>
    </w:p>
    <w:p w:rsidR="0085709A" w:rsidRDefault="0085709A" w:rsidP="0085709A">
      <w:pPr>
        <w:pStyle w:val="TextoNormal"/>
      </w:pPr>
    </w:p>
    <w:p w:rsidR="0085709A" w:rsidRDefault="0085709A" w:rsidP="0085709A">
      <w:pPr>
        <w:pStyle w:val="TextoNormal"/>
      </w:pPr>
      <w:r>
        <w:t>Para determinar si el impuesto autonómico creado por la Ley del Parlamento de Cataluña 4/2012, es contrario al art. 6.2 LOFCA, el mismo debe compararse con el sistema tributario estatal vigente en el momento de resolver este pleito (en los términos expuestos en nuestra STC 30/2015, de 19 de febrero, FJ 2). En este caso, con el impuesto regulado en el art. 19 de la Ley 16/2012, en su dicción vigente, esto es, tras la última reforma, efectuada mediante el art. 124 de la Ley 18/2014, de 15 de octubre, de aprobación de medidas urgentes para el crecimiento, la competitividad y la eficiencia.</w:t>
      </w:r>
    </w:p>
    <w:p w:rsidR="0085709A" w:rsidRDefault="0085709A" w:rsidP="0085709A">
      <w:pPr>
        <w:pStyle w:val="TextoNormal"/>
      </w:pPr>
    </w:p>
    <w:p w:rsidR="0085709A" w:rsidRDefault="0085709A" w:rsidP="0085709A">
      <w:pPr>
        <w:pStyle w:val="TextoNormal"/>
      </w:pPr>
      <w:r>
        <w:t>Planteado el recurso de inconstitucionalidad en los términos expuestos con detalle en los antecedentes, debemos examinar el impuesto catalán regulado en la Ley 4/2014, que es la norma impugnada en el presente pleito.</w:t>
      </w:r>
    </w:p>
    <w:p w:rsidR="0085709A" w:rsidRDefault="0085709A" w:rsidP="0085709A">
      <w:pPr>
        <w:pStyle w:val="TextoNormal"/>
      </w:pPr>
    </w:p>
    <w:p w:rsidR="0085709A" w:rsidRDefault="0085709A" w:rsidP="0085709A">
      <w:pPr>
        <w:pStyle w:val="TextoNormal"/>
      </w:pPr>
      <w:r>
        <w:t>Debe en concreto precisarse, frente a lo alegado en las contestaciones a la demanda, que el hecho de que el impuesto fuera originariamente establecido mediante el Decreto-ley 5/2012 no determina en ningún caso que debamos pronunciarnos sobre dicha norma. Tampoco implica, como se aduce en las alegaciones de la Generalitat y el Parlamento de Cataluña, que no sea de aplicación el art. 6.2 LOFCA toda vez que el impuesto había sido creado con anterioridad.</w:t>
      </w:r>
    </w:p>
    <w:p w:rsidR="0085709A" w:rsidRDefault="0085709A" w:rsidP="0085709A">
      <w:pPr>
        <w:pStyle w:val="TextoNormal"/>
      </w:pPr>
    </w:p>
    <w:p w:rsidR="0085709A" w:rsidRDefault="0085709A" w:rsidP="0085709A">
      <w:pPr>
        <w:pStyle w:val="TextoNormal"/>
      </w:pPr>
      <w:r>
        <w:t>Para resolver la controversia planteada debe aplicarse nuestra doctrina sobre el art. 6.2 LOFCA, que recordamos en la STC 30/2015, de 19 de febrero, cuyo fundamento tercero debe darse en su integridad por reproducido.</w:t>
      </w:r>
    </w:p>
    <w:p w:rsidR="0085709A" w:rsidRDefault="0085709A" w:rsidP="0085709A">
      <w:pPr>
        <w:pStyle w:val="TextoNormal"/>
      </w:pPr>
    </w:p>
    <w:p w:rsidR="0085709A" w:rsidRDefault="0085709A" w:rsidP="0085709A">
      <w:pPr>
        <w:pStyle w:val="TextoNormal"/>
      </w:pPr>
      <w:r>
        <w:t xml:space="preserve">En consecuencia, procede a continuación, para apreciar la coincidencia o no entre hechos imponibles, que es lo prohibido en el art. 6.2 LOFCA, atender a los elementos esenciales de los tributos que se comparan, al objeto de determinar no sólo la riqueza gravada o materia </w:t>
      </w:r>
      <w:r>
        <w:lastRenderedPageBreak/>
        <w:t>imponible, punto de partida de toda norma tributaria, sino la manera en que dicha riqueza o fuente de capacidad económica es sometida a gravamen en la estructura del tributo.</w:t>
      </w:r>
    </w:p>
    <w:p w:rsidR="0085709A" w:rsidRDefault="0085709A" w:rsidP="0085709A">
      <w:pPr>
        <w:pStyle w:val="TextoNormal"/>
      </w:pPr>
    </w:p>
    <w:p w:rsidR="0085709A" w:rsidRDefault="0085709A" w:rsidP="0085709A">
      <w:pPr>
        <w:pStyle w:val="TextoNormal"/>
      </w:pPr>
      <w:r>
        <w:t>A partir de lo anterior, los elementos esenciales de uno y otro impuesto son los siguientes:</w:t>
      </w:r>
    </w:p>
    <w:p w:rsidR="0085709A" w:rsidRDefault="0085709A" w:rsidP="0085709A">
      <w:pPr>
        <w:pStyle w:val="TextoNormal"/>
      </w:pPr>
    </w:p>
    <w:p w:rsidR="0085709A" w:rsidRDefault="0085709A" w:rsidP="0085709A">
      <w:pPr>
        <w:pStyle w:val="TextoNormal"/>
      </w:pPr>
      <w:r>
        <w:t>- El impuesto autonómico objeto de impugnación establece, como hecho imponible “la captación y tenencia de fondos de terceros, sea cual sea su naturaleza jurídica, en forma de depósitos” (art. 3 de la Ley 4/2014); guardando así similitud con el impuesto estatal, cuyo hecho imponible es “el mantenimiento de fondos de terceros, cualquiera que sea su naturaleza jurídica, por los contribuyentes señalados en el apartado Seis de este artículo, y que comporten la obligación de restitución, a excepción de los fondos mantenidos en sucursales fuera del territorio español” (art. 19.3 de la Ley 16/2012).</w:t>
      </w:r>
    </w:p>
    <w:p w:rsidR="0085709A" w:rsidRDefault="0085709A" w:rsidP="0085709A">
      <w:pPr>
        <w:pStyle w:val="TextoNormal"/>
      </w:pPr>
    </w:p>
    <w:p w:rsidR="0085709A" w:rsidRDefault="0085709A" w:rsidP="0085709A">
      <w:pPr>
        <w:pStyle w:val="TextoNormal"/>
      </w:pPr>
      <w:r>
        <w:t>- La base imponible del impuesto autonómico es “la cuantía económica total equivalente al resultado del promedio aritmético de los datos del final de cada trimestre natural del período impositivo, de las partidas P4.2.1 —depósitos a la vista— y P4.2.2 —depósitos a plazo de otros sectores residentes— del pasivo del balance de las entidades de crédito que queden incluidas, en sus estados financieros individuales, en la parte que corresponda a los depósitos captados por las sedes, sucursales y oficinas operativas ubicadas en el ámbito territorial de Cataluña” (art. 6, Ley 4/2014); mientras que la del impuesto estatal es “el importe resultante de promediar aritméticamente el saldo final de cada trimestre natural del periodo impositivo, con independencia de la duración del periodo impositivo, correspondiente a la partida 4 ‘Depósitos de la clientela’ del Pasivo del Balance reservado de las entidades de crédito, incluidos en los estados financieros individuales” (art. 19.7, Ley 16/2012), con los ajustes a que se refiere el mismo precepto.</w:t>
      </w:r>
    </w:p>
    <w:p w:rsidR="0085709A" w:rsidRDefault="0085709A" w:rsidP="0085709A">
      <w:pPr>
        <w:pStyle w:val="TextoNormal"/>
      </w:pPr>
    </w:p>
    <w:p w:rsidR="0085709A" w:rsidRDefault="0085709A" w:rsidP="0085709A">
      <w:pPr>
        <w:pStyle w:val="TextoNormal"/>
      </w:pPr>
      <w:r>
        <w:t>- En ambos casos los sujetos pasivos son las entidades de crédito; en el caso del impuesto catalán “las personas jurídicas que, de acuerdo con la normativa aplicable, tienen la consideración de entidades de crédito y captan fondos de terceros con obligación de restituirlos, en el ámbito territorial de Cataluña, ya sea mediante su sede central, sucursales u oficinas operativas ubicadas en dicho ámbito territorial” (art. 5, Ley 4/2014); y, en el caso del estatal, “las entidades de crédito definidas en el artículo 1 del Real Decreto Legislativo 1298/1986, de 28 de junio, sobre adaptación del derecho vigente en materia de Entidades de crédito al de las Comunidades Europeas así como las sucursales en territorio español de entidades de crédito extranjeras (art. 19.6, Ley 16/2012).”</w:t>
      </w:r>
    </w:p>
    <w:p w:rsidR="0085709A" w:rsidRDefault="0085709A" w:rsidP="0085709A">
      <w:pPr>
        <w:pStyle w:val="TextoNormal"/>
      </w:pPr>
    </w:p>
    <w:p w:rsidR="0085709A" w:rsidRDefault="0085709A" w:rsidP="0085709A">
      <w:pPr>
        <w:pStyle w:val="TextoNormal"/>
      </w:pPr>
      <w:r>
        <w:t>- La cuota íntegra, en el caso del impuesto autonómico, es el resultado de aplicar la siguiente escala de gravamen a la base imponible (art. 7 de la Ley 4/2014):</w:t>
      </w:r>
    </w:p>
    <w:p w:rsidR="0085709A" w:rsidRDefault="0085709A" w:rsidP="0085709A">
      <w:pPr>
        <w:pStyle w:val="TextoNormal"/>
      </w:pPr>
    </w:p>
    <w:p w:rsidR="0085709A" w:rsidRDefault="0085709A" w:rsidP="0085709A">
      <w:pPr>
        <w:pStyle w:val="TextoNormal"/>
      </w:pPr>
      <w:r>
        <w:t>....Base imponible máxima...........Cuota íntegra...........Resto base imponible hasta...........Tipo aplicable</w:t>
      </w:r>
    </w:p>
    <w:p w:rsidR="0085709A" w:rsidRDefault="0085709A" w:rsidP="0085709A">
      <w:pPr>
        <w:pStyle w:val="TextoNormal"/>
      </w:pPr>
    </w:p>
    <w:p w:rsidR="0085709A" w:rsidRDefault="0085709A" w:rsidP="0085709A">
      <w:pPr>
        <w:pStyle w:val="TextoNormal"/>
      </w:pPr>
      <w:r>
        <w:t>............(en euros).......................(en euros)...........................euros.............................(porcentaje)</w:t>
      </w:r>
    </w:p>
    <w:p w:rsidR="0085709A" w:rsidRDefault="0085709A" w:rsidP="0085709A">
      <w:pPr>
        <w:pStyle w:val="TextoNormal"/>
      </w:pPr>
    </w:p>
    <w:p w:rsidR="0085709A" w:rsidRDefault="0085709A" w:rsidP="0085709A">
      <w:pPr>
        <w:pStyle w:val="TextoNormal"/>
      </w:pPr>
      <w:r>
        <w:t>..................-....................................-..............................150.000.000.............................0,3..........</w:t>
      </w:r>
    </w:p>
    <w:p w:rsidR="0085709A" w:rsidRDefault="0085709A" w:rsidP="0085709A">
      <w:pPr>
        <w:pStyle w:val="TextoNormal"/>
      </w:pPr>
    </w:p>
    <w:p w:rsidR="0085709A" w:rsidRDefault="0085709A" w:rsidP="0085709A">
      <w:pPr>
        <w:pStyle w:val="TextoNormal"/>
      </w:pPr>
      <w:r>
        <w:lastRenderedPageBreak/>
        <w:t>...........150.000.000......................450.000........................600.000.000.............................0,4...........</w:t>
      </w:r>
    </w:p>
    <w:p w:rsidR="0085709A" w:rsidRDefault="0085709A" w:rsidP="0085709A">
      <w:pPr>
        <w:pStyle w:val="TextoNormal"/>
      </w:pPr>
    </w:p>
    <w:p w:rsidR="0085709A" w:rsidRDefault="0085709A" w:rsidP="0085709A">
      <w:pPr>
        <w:pStyle w:val="TextoNormal"/>
      </w:pPr>
      <w:r>
        <w:t>...........600.000.000....................2.250.000........................en adelante..............................0,5..........</w:t>
      </w:r>
    </w:p>
    <w:p w:rsidR="0085709A" w:rsidRDefault="0085709A" w:rsidP="0085709A">
      <w:pPr>
        <w:pStyle w:val="TextoNormal"/>
      </w:pPr>
    </w:p>
    <w:p w:rsidR="0085709A" w:rsidRDefault="0085709A" w:rsidP="0085709A">
      <w:pPr>
        <w:pStyle w:val="TextoNormal"/>
      </w:pPr>
    </w:p>
    <w:p w:rsidR="0085709A" w:rsidRDefault="0085709A" w:rsidP="0085709A">
      <w:pPr>
        <w:pStyle w:val="TextoNormal"/>
      </w:pPr>
      <w:r>
        <w:t>En el caso del impuesto estatal el tipo de gravamen “será el resultado de aplicar a la base imponible el tipo de gravamen del 0,03 por 100” (art. 19.8 Ley 16/2012).</w:t>
      </w:r>
    </w:p>
    <w:p w:rsidR="0085709A" w:rsidRDefault="0085709A" w:rsidP="0085709A">
      <w:pPr>
        <w:pStyle w:val="TextoNormal"/>
      </w:pPr>
    </w:p>
    <w:p w:rsidR="0085709A" w:rsidRDefault="0085709A" w:rsidP="0085709A">
      <w:pPr>
        <w:pStyle w:val="TextoNormal"/>
      </w:pPr>
      <w:r>
        <w:t>-Por último, en el impuesto autonómico se establecen diversas deducciones para entidades de crédito cuyo domicilio social radique en esta Comunidad Autónoma (art. 8 Ley 4/2014).</w:t>
      </w:r>
    </w:p>
    <w:p w:rsidR="0085709A" w:rsidRDefault="0085709A" w:rsidP="0085709A">
      <w:pPr>
        <w:pStyle w:val="TextoNormal"/>
      </w:pPr>
    </w:p>
    <w:p w:rsidR="0085709A" w:rsidRDefault="0085709A" w:rsidP="0085709A">
      <w:pPr>
        <w:pStyle w:val="TextoNormal"/>
      </w:pPr>
      <w:r w:rsidRPr="0085709A">
        <w:rPr>
          <w:rStyle w:val="NumeroAFNegritaCaracter"/>
        </w:rPr>
        <w:t>3</w:t>
      </w:r>
      <w:r>
        <w:t>. La conclusión de lo anterior es que el impuesto autonómico impugnado coincide, en sus elementos esenciales, con el homónimo estatal, incurriendo por tanto en la incompatibilidad que establece el art. 6.2 LOFCA. Hay coincidencia en el hecho imponible, la base imponible y los contribuyentes, refiriéndose las únicas diferencias a la cuota tributaria y a las deducciones establecidas por la Comunidad Autónoma para sucursales radicadas en su territorio.</w:t>
      </w:r>
    </w:p>
    <w:p w:rsidR="0085709A" w:rsidRDefault="0085709A" w:rsidP="0085709A">
      <w:pPr>
        <w:pStyle w:val="TextoNormal"/>
      </w:pPr>
    </w:p>
    <w:p w:rsidR="0085709A" w:rsidRDefault="0085709A" w:rsidP="0085709A">
      <w:pPr>
        <w:pStyle w:val="TextoNormal"/>
      </w:pPr>
      <w:r>
        <w:t>Al igual que concluimos en la STC 30/2015, de 19 de febrero, en relación con el impuesto valenciano sobre los depósitos en las entidades de crédito, similar al aquí impugnado, las citadas coincidencias sustanciales, en los elementos esenciales de ambos impuestos, suponen la vulneración de los arts. 133.2 y 157.3 CE, así como del art. 6.2 LOFCA.</w:t>
      </w:r>
    </w:p>
    <w:p w:rsidR="0085709A" w:rsidRDefault="0085709A" w:rsidP="0085709A">
      <w:pPr>
        <w:pStyle w:val="TextoNormal"/>
      </w:pPr>
    </w:p>
    <w:p w:rsidR="0085709A" w:rsidRDefault="0085709A" w:rsidP="0085709A">
      <w:pPr>
        <w:pStyle w:val="TextoNormal"/>
      </w:pPr>
      <w:r>
        <w:t>Debemos en consecuencia declarar la inconstitucionalidad y nulidad de la Ley del Parlamento de Cataluña 4/2014, de 4 de abril, del impuesto sobre los depósitos en las entidades de crédito.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presente recurso de inconstitucionalidad y declarar la inconstitucionalidad y nulidad de la Ley del Parlamento de Cataluña 4/2014, de 4 de abril, del impuesto sobre depósitos en las entidades de crédito.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veintiocho de mayo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5" w:name="SENTENCIA_2015_112"/>
      <w:r>
        <w:lastRenderedPageBreak/>
        <w:t>SENTENCIA 112/2015, de 8 de junio de 2015</w:t>
      </w:r>
    </w:p>
    <w:bookmarkEnd w:id="115"/>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ECLI:ES:TC:2015:112</w:t>
      </w:r>
    </w:p>
    <w:p w:rsidR="0085709A" w:rsidRDefault="0085709A" w:rsidP="0085709A">
      <w:pPr>
        <w:pStyle w:val="TextoNormalCentrado"/>
      </w:pPr>
    </w:p>
    <w:p w:rsidR="0085709A" w:rsidRDefault="0085709A" w:rsidP="0085709A">
      <w:pPr>
        <w:pStyle w:val="SntesisDescriptiva"/>
      </w:pPr>
      <w:r>
        <w:t>Recurso de amparo 1281-2013. Promovido por don Lluís Corominas Padullés en relación con las Sentencias de la Sala de lo Penal del Tribunal Supremo y del Tribunal Superior de Justicia de Cataluña dictadas en juicio ante tribunal del jurado.</w:t>
      </w:r>
    </w:p>
    <w:p w:rsidR="0085709A" w:rsidRDefault="0085709A" w:rsidP="0085709A">
      <w:pPr>
        <w:pStyle w:val="SntesisDescriptiva"/>
      </w:pPr>
    </w:p>
    <w:p w:rsidR="0085709A" w:rsidRDefault="0085709A" w:rsidP="0085709A">
      <w:pPr>
        <w:pStyle w:val="SntesisAnaltica"/>
      </w:pPr>
      <w:r>
        <w:t>Supuesta vulneración de los derechos a la tutela judicial efectiva y a la presunción de inocencia: resoluciones judiciales que anulan la Sentencia de instancia y el veredicto del jurado, y ordenan la retroacción de actuaciones sin prejuzgar el resultado del nuevo enjuiciamiento.</w:t>
      </w:r>
    </w:p>
    <w:p w:rsidR="0085709A" w:rsidRDefault="0085709A" w:rsidP="0085709A">
      <w:pPr>
        <w:pStyle w:val="SntesisAnaltica"/>
      </w:pPr>
    </w:p>
    <w:p w:rsidR="0085709A" w:rsidRDefault="0085709A" w:rsidP="0085709A">
      <w:pPr>
        <w:pStyle w:val="Extracto"/>
      </w:pPr>
      <w:r>
        <w:t>1.</w:t>
      </w:r>
      <w:r>
        <w:tab/>
        <w:t xml:space="preserve">Las decisiones judiciales que ahora se impugnan no se consideran lesivas del derecho del demandante de amparo a la tutela judicial efectiva, por el mero hecho de que el Tribunal Superior de Justicia, como órgano </w:t>
      </w:r>
      <w:r w:rsidRPr="0085709A">
        <w:rPr>
          <w:i/>
        </w:rPr>
        <w:t>ad quem</w:t>
      </w:r>
      <w:r>
        <w:t>, reparara el derecho a la tutela judicial efectiva que también asiste a la acusación y cuya subsanación había interesado ésta expresamente en vía de recurso [FJ 6].</w:t>
      </w:r>
    </w:p>
    <w:p w:rsidR="0085709A" w:rsidRDefault="0085709A" w:rsidP="0085709A">
      <w:pPr>
        <w:pStyle w:val="Extracto"/>
      </w:pPr>
    </w:p>
    <w:p w:rsidR="0085709A" w:rsidRDefault="0085709A" w:rsidP="0085709A">
      <w:pPr>
        <w:pStyle w:val="Extracto"/>
      </w:pPr>
      <w:r>
        <w:t>2.</w:t>
      </w:r>
      <w:r>
        <w:tab/>
        <w:t>Ni en apelación ni en casación los Tribunales intervinientes se pronunciaron sobre la culpabilidad o inculpabilidad del acusado ni alteraron los hechos en su perjuicio, limitando su función revisora a un control externo de lo decidido en la instancia inmediatamente anterior, llegando a una conclusión de ausencia de racionalidad sin abordar cuestiones de fondo en términos de condena [FJ 7].</w:t>
      </w:r>
    </w:p>
    <w:p w:rsidR="0085709A" w:rsidRDefault="0085709A" w:rsidP="0085709A">
      <w:pPr>
        <w:pStyle w:val="Extracto"/>
      </w:pPr>
    </w:p>
    <w:p w:rsidR="0085709A" w:rsidRDefault="0085709A" w:rsidP="0085709A">
      <w:pPr>
        <w:pStyle w:val="Extracto"/>
      </w:pPr>
      <w:r>
        <w:t>3.</w:t>
      </w:r>
      <w:r>
        <w:tab/>
        <w:t>En un decidido equilibrio entre el estatuto constitucional reforzado del acusado y la necesidad de no excluir a las acusaciones de las garantías del art. 24 CE, se admite constitucionalmente la posibilidad de anular una resolución judicial penal materialmente absolutoria, con orden de retroacción de actuaciones,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(STC 23/2008) [FJ 4].</w:t>
      </w:r>
    </w:p>
    <w:p w:rsidR="0085709A" w:rsidRDefault="0085709A" w:rsidP="0085709A">
      <w:pPr>
        <w:pStyle w:val="Extracto"/>
      </w:pPr>
    </w:p>
    <w:p w:rsidR="0085709A" w:rsidRDefault="0085709A" w:rsidP="0085709A">
      <w:pPr>
        <w:pStyle w:val="Extracto"/>
      </w:pPr>
      <w:r>
        <w:t>4.</w:t>
      </w:r>
      <w:r>
        <w:tab/>
        <w:t>El deber de motivación adquiere mayor importancia cuando la Sentencia es condenatoria que cuando resulta absolutoria, al no estar en juego los mismos derechos fundamentales, ya que en el segundo caso la tutela judicial efectiva se ve reforzada por la presunción de inocencia [FJ 5].</w:t>
      </w:r>
    </w:p>
    <w:p w:rsidR="0085709A" w:rsidRDefault="0085709A" w:rsidP="0085709A">
      <w:pPr>
        <w:pStyle w:val="Extracto"/>
      </w:pPr>
    </w:p>
    <w:p w:rsidR="0085709A" w:rsidRDefault="0085709A" w:rsidP="0085709A">
      <w:pPr>
        <w:pStyle w:val="Extracto"/>
      </w:pPr>
      <w:r>
        <w:t>5.</w:t>
      </w:r>
      <w:r>
        <w:tab/>
        <w:t>La resolución, cualquiera que sea su fallo, habrá de contener aquellos elementos y razones de juicio que permitan conocer cuáles han sido los criterios que la fundamentan, sin acoger una aplicación arbitraria de la legalidad, manifiestamente irrazonada o irrazonable, o incursa en un error patente, por la que la aplicación de la legalidad haya sido tan sólo una mera apariencia (STC 158/2002) [FJ 5].</w:t>
      </w:r>
    </w:p>
    <w:p w:rsidR="0085709A" w:rsidRDefault="0085709A" w:rsidP="0085709A">
      <w:pPr>
        <w:pStyle w:val="Extracto"/>
      </w:pPr>
    </w:p>
    <w:p w:rsidR="0085709A" w:rsidRDefault="0085709A" w:rsidP="0085709A">
      <w:pPr>
        <w:pStyle w:val="Extracto"/>
      </w:pPr>
      <w:r>
        <w:t>6.</w:t>
      </w:r>
      <w:r>
        <w:tab/>
        <w:t xml:space="preserve">No puede sostenerse que la motivación sea una mera formalidad prescindible en supuestos de absolución, como tampoco que la ausencia de motivación bastante en </w:t>
      </w:r>
      <w:r>
        <w:lastRenderedPageBreak/>
        <w:t>la decisión del Jurado carezca de toda trascendencia: la falta de la apuntada explicación sucinta afecta al contenido del art. 120.3 CE, proyectado al Jurado, y supone, en definitiva, la carencia de una de las garantías procesales que, de acuerdo con una consolidada doctrina constitucional, integran el derecho a la tutela judicial efectiva (STC 188/1999) [FJ 5].</w:t>
      </w:r>
    </w:p>
    <w:p w:rsidR="0085709A" w:rsidRDefault="0085709A" w:rsidP="0085709A">
      <w:pPr>
        <w:pStyle w:val="Extracto"/>
      </w:pPr>
    </w:p>
    <w:p w:rsidR="0085709A" w:rsidRDefault="0085709A" w:rsidP="0085709A">
      <w:pPr>
        <w:pStyle w:val="Extracto"/>
      </w:pPr>
      <w:r>
        <w:t>7.</w:t>
      </w:r>
      <w:r>
        <w:tab/>
        <w:t>Las dos ideas rectoras del análisis de la suficiencia constitucional de un veredicto pronunciado por Jurado son: el deber de motivación impuesto legalmente no puede desconectarse de la condición de sus integrantes, no forzosamente conocedores del Derecho, por lo que no resulta exigible de los jurados un exhaustivo análisis de toda la actividad probatoria desplegada, como tampoco una exégesis jurídica equivalente a la del profesional en Derecho; y el nivel de exigencia que habrá que modular en función de que el Jurado suscriba pronunciamiento de culpabilidad o inculpabilidad, menos riguroso en este último caso [FJ 5].</w:t>
      </w:r>
    </w:p>
    <w:p w:rsidR="0085709A" w:rsidRDefault="0085709A" w:rsidP="0085709A">
      <w:pPr>
        <w:pStyle w:val="Extracto"/>
      </w:pPr>
    </w:p>
    <w:p w:rsidR="0085709A" w:rsidRDefault="0085709A" w:rsidP="0085709A">
      <w:pPr>
        <w:pStyle w:val="Extracto"/>
      </w:pPr>
      <w:r>
        <w:t>8.</w:t>
      </w:r>
      <w:r>
        <w:tab/>
        <w:t xml:space="preserve">Las particularidades del veredicto pronunciado por Jurado no excluye el deber de coherencia y racionalidad intrínsecamente exigible a su decisión, como a cualquier otra resolución judicial de fondo, </w:t>
      </w:r>
      <w:r w:rsidRPr="0085709A">
        <w:rPr>
          <w:i/>
        </w:rPr>
        <w:t>ex</w:t>
      </w:r>
      <w:r>
        <w:t xml:space="preserve"> art. 24.1 CE, en tanto que garantía frente a la arbitrariedad y a la irrazonabilidad en la actuación de quien asume tal poder de decisión [FJ 5].</w:t>
      </w:r>
    </w:p>
    <w:p w:rsidR="0085709A" w:rsidRDefault="0085709A" w:rsidP="0085709A">
      <w:pPr>
        <w:pStyle w:val="Extracto"/>
      </w:pPr>
    </w:p>
    <w:p w:rsidR="0085709A" w:rsidRDefault="0085709A" w:rsidP="0085709A">
      <w:pPr>
        <w:pStyle w:val="Extracto"/>
      </w:pPr>
      <w:r>
        <w:t>9.</w:t>
      </w:r>
      <w:r>
        <w:tab/>
        <w:t>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éstos sea suficientemente motivada y no arbitraria, irrazonable o patentemente errónea (STC 78/2013) [FJ 5].</w:t>
      </w:r>
    </w:p>
    <w:p w:rsidR="0085709A" w:rsidRDefault="0085709A" w:rsidP="0085709A">
      <w:pPr>
        <w:pStyle w:val="Extracto"/>
      </w:pPr>
    </w:p>
    <w:p w:rsidR="0085709A" w:rsidRDefault="0085709A" w:rsidP="0085709A">
      <w:pPr>
        <w:pStyle w:val="Extracto"/>
      </w:pPr>
      <w:r>
        <w:t>10.</w:t>
      </w:r>
      <w:r>
        <w:tab/>
        <w:t>El derecho a la presunción de inocencia se configura, en su perspectiva constitucional, como el derecho a no ser condenado sin pruebas de cargo válidas, por lo que, para desplegar sus efectos, requiere un pronunciamiento de condena, inexistente en este caso; y sólo desde una situación preliminar de condena cabe valorar si el derecho a la presunción de inocencia ha sido vulnerado, derecho que ha ido perfilando una consolidada doctrina de este Tribunal (STC 107/2011) [FJ 7].</w:t>
      </w:r>
    </w:p>
    <w:p w:rsidR="0085709A" w:rsidRDefault="0085709A" w:rsidP="0085709A">
      <w:pPr>
        <w:pStyle w:val="Extracto"/>
      </w:pPr>
    </w:p>
    <w:p w:rsidR="0085709A" w:rsidRDefault="0085709A" w:rsidP="0085709A">
      <w:pPr>
        <w:pStyle w:val="Extracto"/>
      </w:pPr>
      <w:r>
        <w:t>11.</w:t>
      </w:r>
      <w:r>
        <w:tab/>
        <w:t>Este Tribunal ha estimado contrario a un proceso con todas las garantías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(STC 157/2013) [FJ 8].</w:t>
      </w:r>
    </w:p>
    <w:p w:rsidR="0085709A" w:rsidRDefault="0085709A" w:rsidP="0085709A">
      <w:pPr>
        <w:pStyle w:val="Extracto"/>
      </w:pPr>
    </w:p>
    <w:p w:rsidR="0085709A" w:rsidRDefault="0085709A" w:rsidP="0085709A">
      <w:pPr>
        <w:pStyle w:val="Extracto"/>
      </w:pPr>
      <w:r>
        <w:t>12.</w:t>
      </w:r>
      <w:r>
        <w:tab/>
        <w:t xml:space="preserve">Con independencia de la configuración doctrinal que se dé a la situación de los personados no solicitantes originarios del amparo, es lo cierto que no pueden transformarse en recurrentes, ni, por tanto, deducir pretensiones propias, aunque pueden formular alegaciones, y solicitar que se les notifiquen las resoluciones que </w:t>
      </w:r>
      <w:r>
        <w:lastRenderedPageBreak/>
        <w:t>recaigan en el proceso de amparo que tiene por objeto, exclusivamente, las pretensiones deducidas por quienes lo interpusieron en tiempo y forma (STC 33/2015)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1281-2013, promovido por don Lluís Corominas Padullés, representado por el Procurador de los Tribunales don Jaime Briones Méndez y asistido por los Abogados don Carlos Bueren Roncero y don Óscar Morales García, contra la Sentencia de la Sala de lo Penal del Tribunal Supremo de fecha 28 de noviembre de 2012, dictada en el recurso de casación núm. 913-2012, por la que se declaró no haber lugar al recurso de casación interpuesto contra la Sentencia del Tribunal Superior de Justicia de Cataluña de 19 de marzo de 2012 (Sala de lo Civil y Penal) en el rollo de apelación núm. 29-2011. Esta última resolución, por su parte, había estimado el primer motivo del recurso interpuesto por la acusación particular constituida por doña Huseni Burbuque y representada por la Procuradora de los Tribunales doña Begoña Sáez Pérez, anulando el veredicto de inculpabilidad emitido por el Tribunal del Jurado en el procedimiento núm. 29-2009, así como la Sentencia de 21 de junio de 2011 derivada del mismo, procedentes del seguido ante el Juzgado de Instrucción núm. 4 de Manresa como procedimiento jurado núm. 2-2006, ordenándose la celebración de nuevo juicio ante un nuevo Tribunal del Jurado. Ha intervenido el Ministerio Fiscal.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5 de marzo de 2013, el Procurador de los Tribunales don Jaime Briones Méndez, en nombre y representación de don Lluís Corominas Padullés, interpuso recurso de amparo contra las resoluciones judiciales que se citan en el encabezamiento, solicitando por otrosí, como medida cautelar, la suspensión de la ejecución de las resoluciones impugnadas.</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t xml:space="preserve">a) El 21 de junio de 2009 la Magistrada-Presidente del Tribunal del Jurado dictó Sentencia en el procedimiento jurado núm. 29-2009, seguido contra el demandante de amparo ante </w:t>
      </w:r>
      <w:r>
        <w:lastRenderedPageBreak/>
        <w:t>la Audiencia Provincial de Barcelona y procedente del Juzgado de Instrucción núm. 4 de Manresa. En ella se absolvía al demandante del delito de homicidio del que venía acusado, expresando el fallo la apreciación en su conducta de la eximente completa de legítima defensa putativa. Se imponía, no obstante, al acusado y a la empresa CES 21, S.L., la obligación de indemnizar, en calidad de responsable civil directo el primero y de responsable civil subsidiaria la segunda, a las personas físicas y jurídicas determinadas en el fallo, en las cantidades y con los intereses asimismo especificados.</w:t>
      </w:r>
    </w:p>
    <w:p w:rsidR="0085709A" w:rsidRDefault="0085709A" w:rsidP="0085709A">
      <w:pPr>
        <w:pStyle w:val="TextoNormal"/>
      </w:pPr>
    </w:p>
    <w:p w:rsidR="0085709A" w:rsidRDefault="0085709A" w:rsidP="0085709A">
      <w:pPr>
        <w:pStyle w:val="TextoNormal"/>
      </w:pPr>
      <w:r>
        <w:t>La Sentencia de la Audiencia Provincial declaraba probado, de conformidad con el veredicto del Jurado, lo siguiente:</w:t>
      </w:r>
    </w:p>
    <w:p w:rsidR="0085709A" w:rsidRDefault="0085709A" w:rsidP="0085709A">
      <w:pPr>
        <w:pStyle w:val="TextoNormal"/>
      </w:pPr>
    </w:p>
    <w:p w:rsidR="0085709A" w:rsidRDefault="0085709A" w:rsidP="0085709A">
      <w:pPr>
        <w:pStyle w:val="TextoNormal"/>
      </w:pPr>
      <w:r>
        <w:t>“PRIMERO.- El acusado Lluís Corominas Padullés, nacido el 13 de junio de 1961, y sin antecedentes penales, desde enero de 2006, se hallaba habilitado como Director de Seguridad con TIP nº 3762, sin ejercer oficialmente actividad profesional de seguridad privada.</w:t>
      </w:r>
    </w:p>
    <w:p w:rsidR="0085709A" w:rsidRDefault="0085709A" w:rsidP="0085709A">
      <w:pPr>
        <w:pStyle w:val="TextoNormal"/>
      </w:pPr>
    </w:p>
    <w:p w:rsidR="0085709A" w:rsidRDefault="0085709A" w:rsidP="0085709A">
      <w:pPr>
        <w:pStyle w:val="TextoNormal"/>
      </w:pPr>
      <w:r>
        <w:t>SEGUNDO.- El acusado actuaba a modo de coordinador de seguridad privada de la familia Tous.</w:t>
      </w:r>
    </w:p>
    <w:p w:rsidR="0085709A" w:rsidRDefault="0085709A" w:rsidP="0085709A">
      <w:pPr>
        <w:pStyle w:val="TextoNormal"/>
      </w:pPr>
    </w:p>
    <w:p w:rsidR="0085709A" w:rsidRDefault="0085709A" w:rsidP="0085709A">
      <w:pPr>
        <w:pStyle w:val="TextoNormal"/>
      </w:pPr>
      <w:r>
        <w:t>TERCERO.- En la fecha de los hechos, el acusado era socio y administrador único de la sociedad ‘CES 21, SL’, desarrollando la mencionada actividad de manera vinculada a esta empresa.</w:t>
      </w:r>
    </w:p>
    <w:p w:rsidR="0085709A" w:rsidRDefault="0085709A" w:rsidP="0085709A">
      <w:pPr>
        <w:pStyle w:val="TextoNormal"/>
      </w:pPr>
    </w:p>
    <w:p w:rsidR="0085709A" w:rsidRDefault="0085709A" w:rsidP="0085709A">
      <w:pPr>
        <w:pStyle w:val="TextoNormal"/>
      </w:pPr>
      <w:r>
        <w:t>CUARTO.- Alrededor de las 19 horas del día 9 de diciembre de 2006, el acusado recibió una llamada telefónica de uno de los auxiliares de control encargados del control del servicio de videovigilancia de las viviendas de la familia Tous, sitas principalmente de (sic) la Urbanización Pineda de la localidad de San Fruitós de Bages en la que le comunicaba que, a través de las cámaras de seguridad, había observado la presencia de intrusos dentro de la finca del matrimonio Tous (suegros del acusado), y que ya había avisado a los Mossos d’Esquadra.</w:t>
      </w:r>
    </w:p>
    <w:p w:rsidR="0085709A" w:rsidRDefault="0085709A" w:rsidP="0085709A">
      <w:pPr>
        <w:pStyle w:val="TextoNormal"/>
      </w:pPr>
    </w:p>
    <w:p w:rsidR="0085709A" w:rsidRDefault="0085709A" w:rsidP="0085709A">
      <w:pPr>
        <w:pStyle w:val="TextoNormal"/>
      </w:pPr>
      <w:r>
        <w:t>QUINTO.- En esos momentos, no se encontraba en el interior del domicilio de los Sres. Tous ninguno de sus moradores.</w:t>
      </w:r>
    </w:p>
    <w:p w:rsidR="0085709A" w:rsidRDefault="0085709A" w:rsidP="0085709A">
      <w:pPr>
        <w:pStyle w:val="TextoNormal"/>
      </w:pPr>
    </w:p>
    <w:p w:rsidR="0085709A" w:rsidRDefault="0085709A" w:rsidP="0085709A">
      <w:pPr>
        <w:pStyle w:val="TextoNormal"/>
      </w:pPr>
      <w:r>
        <w:t>SEXTO.- El acusado, pasados unos minutos de las 19 horas del día 9 de diciembre de 2006, se dirigió hacia la Avenida Pirineus con calle Cardona de dicha Urbanización, y paró el vehículo Mercedes con matrícula 8806 DRX que conducía delante de la puerta principal del domicilio de sus suegros portando consigo la pistola semiautomática de la marca Glock de su propiedad, cargada con siete cartuchos ordinarios de calibre 9 mm parabellum y con un cartucho del calibre 9 mm parabellum que montaba una bala expansiva de punta perforada, siendo esta última considerada munición prohibida.</w:t>
      </w:r>
    </w:p>
    <w:p w:rsidR="0085709A" w:rsidRDefault="0085709A" w:rsidP="0085709A">
      <w:pPr>
        <w:pStyle w:val="TextoNormal"/>
      </w:pPr>
    </w:p>
    <w:p w:rsidR="0085709A" w:rsidRDefault="0085709A" w:rsidP="0085709A">
      <w:pPr>
        <w:pStyle w:val="TextoNormal"/>
      </w:pPr>
      <w:r>
        <w:t>SÉPTIMO.- Una vez hubo llegado a la Avenida Pirineus, y hallándose fuera del vehículo, el acusado se percató de la presencia de un vehículo aparcado en la calle Pastor de la misma urbanización.</w:t>
      </w:r>
    </w:p>
    <w:p w:rsidR="0085709A" w:rsidRDefault="0085709A" w:rsidP="0085709A">
      <w:pPr>
        <w:pStyle w:val="TextoNormal"/>
      </w:pPr>
    </w:p>
    <w:p w:rsidR="0085709A" w:rsidRDefault="0085709A" w:rsidP="0085709A">
      <w:pPr>
        <w:pStyle w:val="TextoNormal"/>
      </w:pPr>
      <w:r>
        <w:t xml:space="preserve">OCTAVO.- Al sospechar que podía estar relacionado con los intrusos, el acusado decidió subir de nuevo al vehículo y dirigirse hacia donde se hallaba dicho automóvil, tratándose de un Renault Megane con matrícula 1164-FHN, percatándose, al llegar a su altura, de que en </w:t>
      </w:r>
      <w:r>
        <w:lastRenderedPageBreak/>
        <w:t>su interior había dos personas ocupando el asiento del conductor y del copiloto, y deteniendo allí su vehículo.</w:t>
      </w:r>
    </w:p>
    <w:p w:rsidR="0085709A" w:rsidRDefault="0085709A" w:rsidP="0085709A">
      <w:pPr>
        <w:pStyle w:val="TextoNormal"/>
      </w:pPr>
    </w:p>
    <w:p w:rsidR="0085709A" w:rsidRDefault="0085709A" w:rsidP="0085709A">
      <w:pPr>
        <w:pStyle w:val="TextoNormal"/>
      </w:pPr>
      <w:r>
        <w:t>NOVENO.- Los ocupantes del Renault Megane, Sinani Gazmend y Dulji Kosum, formaban parte de un grupo de personas que estaban intentando cometer un robo en la mencionada finca.</w:t>
      </w:r>
    </w:p>
    <w:p w:rsidR="0085709A" w:rsidRDefault="0085709A" w:rsidP="0085709A">
      <w:pPr>
        <w:pStyle w:val="TextoNormal"/>
      </w:pPr>
    </w:p>
    <w:p w:rsidR="0085709A" w:rsidRDefault="0085709A" w:rsidP="0085709A">
      <w:pPr>
        <w:pStyle w:val="TextoNormal"/>
      </w:pPr>
      <w:r>
        <w:t>DÉCIMO.- En el momento en que el acusado detuvo su vehículo a la altura del Renault Megane, el conductor de este último inició su marcha.</w:t>
      </w:r>
    </w:p>
    <w:p w:rsidR="0085709A" w:rsidRDefault="0085709A" w:rsidP="0085709A">
      <w:pPr>
        <w:pStyle w:val="TextoNormal"/>
      </w:pPr>
    </w:p>
    <w:p w:rsidR="0085709A" w:rsidRDefault="0085709A" w:rsidP="0085709A">
      <w:pPr>
        <w:pStyle w:val="TextoNormal"/>
      </w:pPr>
      <w:r>
        <w:t>UNDÉCIMO.- El acusado, utilizando la pistola semiautomática que portaba, efectuó dos disparos al vehículo.</w:t>
      </w:r>
    </w:p>
    <w:p w:rsidR="0085709A" w:rsidRDefault="0085709A" w:rsidP="0085709A">
      <w:pPr>
        <w:pStyle w:val="TextoNormal"/>
      </w:pPr>
    </w:p>
    <w:p w:rsidR="0085709A" w:rsidRDefault="0085709A" w:rsidP="0085709A">
      <w:pPr>
        <w:pStyle w:val="TextoNormal"/>
      </w:pPr>
      <w:r>
        <w:t>DECIMOSEGUNDO.- Ambos proyectiles penetraron en el habitáculo delantero del vehículo a través del cristal de la ventanilla delantera izquierda, alojándose uno de ellos en la parte interior de la puerta delantera derecha del vehículo, mientras que el otro proyectil penetró por la parte posterior izquierda del cráneo de Sinani Gazmend, quien ocupaba el lugar del conductor, y salió por la parte delantera frontal del cráneo hasta impactar contra la parte inferior derecha del parabrisas.</w:t>
      </w:r>
    </w:p>
    <w:p w:rsidR="0085709A" w:rsidRDefault="0085709A" w:rsidP="0085709A">
      <w:pPr>
        <w:pStyle w:val="TextoNormal"/>
      </w:pPr>
    </w:p>
    <w:p w:rsidR="0085709A" w:rsidRDefault="0085709A" w:rsidP="0085709A">
      <w:pPr>
        <w:pStyle w:val="TextoNormal"/>
      </w:pPr>
      <w:r>
        <w:t>DECIMOTERCERO.- El proyectil que alcanzó el cráneo de Sinani Gazmend causó de forma irremediable su muerte, al provocarle una lesión cerebral global con necrosis del tronco encefálico con encefalopatía mecánica, produciéndose su desconexión de los medios instrumentales médicos a las 10,30 horas del día 11 de diciembre de 2006.</w:t>
      </w:r>
    </w:p>
    <w:p w:rsidR="0085709A" w:rsidRDefault="0085709A" w:rsidP="0085709A">
      <w:pPr>
        <w:pStyle w:val="TextoNormal"/>
      </w:pPr>
    </w:p>
    <w:p w:rsidR="0085709A" w:rsidRDefault="0085709A" w:rsidP="0085709A">
      <w:pPr>
        <w:pStyle w:val="TextoNormal"/>
      </w:pPr>
      <w:r>
        <w:t>DECIMOCUARTO.- Inmediatamente después de efectuar los disparos, el acusado bajó de su vehículo, y mantuvo encañonado al copiloto, identificado como Dulji Kosum, mientras esperaba la llegada de los Mossos d’Esquadra.</w:t>
      </w:r>
    </w:p>
    <w:p w:rsidR="0085709A" w:rsidRDefault="0085709A" w:rsidP="0085709A">
      <w:pPr>
        <w:pStyle w:val="TextoNormal"/>
      </w:pPr>
    </w:p>
    <w:p w:rsidR="0085709A" w:rsidRDefault="0085709A" w:rsidP="0085709A">
      <w:pPr>
        <w:pStyle w:val="TextoNormal"/>
      </w:pPr>
      <w:r>
        <w:t>DECIMOQUINTO.- En el momento en que el acusado se acercó al vehículo Renault Megane, los ocupantes Sinani Gazmend y Dulji Kosum hicieron un movimiento brusco.</w:t>
      </w:r>
    </w:p>
    <w:p w:rsidR="0085709A" w:rsidRDefault="0085709A" w:rsidP="0085709A">
      <w:pPr>
        <w:pStyle w:val="TextoNormal"/>
      </w:pPr>
    </w:p>
    <w:p w:rsidR="0085709A" w:rsidRDefault="0085709A" w:rsidP="0085709A">
      <w:pPr>
        <w:pStyle w:val="TextoNormal"/>
      </w:pPr>
      <w:r>
        <w:t>DECIMOSEXTO.- Ese movimiento brusco hizo creer al acusado que iban a dispararle.</w:t>
      </w:r>
    </w:p>
    <w:p w:rsidR="0085709A" w:rsidRDefault="0085709A" w:rsidP="0085709A">
      <w:pPr>
        <w:pStyle w:val="TextoNormal"/>
      </w:pPr>
    </w:p>
    <w:p w:rsidR="0085709A" w:rsidRDefault="0085709A" w:rsidP="0085709A">
      <w:pPr>
        <w:pStyle w:val="TextoNormal"/>
      </w:pPr>
      <w:r>
        <w:t>DECIMOSÉPTIMO.- El acusado disparó su arma para defenderse del ataque del que creyó erróneamente que estaba siendo objeto.</w:t>
      </w:r>
    </w:p>
    <w:p w:rsidR="0085709A" w:rsidRDefault="0085709A" w:rsidP="0085709A">
      <w:pPr>
        <w:pStyle w:val="TextoNormal"/>
      </w:pPr>
    </w:p>
    <w:p w:rsidR="0085709A" w:rsidRDefault="0085709A" w:rsidP="0085709A">
      <w:pPr>
        <w:pStyle w:val="TextoNormal"/>
      </w:pPr>
      <w:r>
        <w:t>DECIMOCTAVO.- Los disparos efectuados eran necesarios para responder al ataque que el acusado se representó como procedente de los ocupantes del Renault Megane.</w:t>
      </w:r>
    </w:p>
    <w:p w:rsidR="0085709A" w:rsidRDefault="0085709A" w:rsidP="0085709A">
      <w:pPr>
        <w:pStyle w:val="TextoNormal"/>
      </w:pPr>
    </w:p>
    <w:p w:rsidR="0085709A" w:rsidRDefault="0085709A" w:rsidP="0085709A">
      <w:pPr>
        <w:pStyle w:val="TextoNormal"/>
      </w:pPr>
      <w:r>
        <w:t>DECIMONOVENO.- Los disparos efectuados eran proporcionados al ataque que el acusado se representó como procedente de los ocupantes del Renault Megane.</w:t>
      </w:r>
    </w:p>
    <w:p w:rsidR="0085709A" w:rsidRDefault="0085709A" w:rsidP="0085709A">
      <w:pPr>
        <w:pStyle w:val="TextoNormal"/>
      </w:pPr>
    </w:p>
    <w:p w:rsidR="0085709A" w:rsidRDefault="0085709A" w:rsidP="0085709A">
      <w:pPr>
        <w:pStyle w:val="TextoNormal"/>
      </w:pPr>
      <w:r>
        <w:t xml:space="preserve">VIGÉSIMO.- Inmediatamente antes de que el acusado se dirigiera al Renault Megane, el vigilante de seguridad le informó de que los dos asaltantes que estaban en la casa bajaban hacia la puerta de salida donde el acusado se encontraba, advirtiéndole de que parecían ir armados, y de que los Mossos d’Esquadra aún no habían llegado; información que, unida al </w:t>
      </w:r>
      <w:r>
        <w:lastRenderedPageBreak/>
        <w:t>conocimiento del asalto de días previos, le provocó un temor a sufrir algún mal sobre su persona.</w:t>
      </w:r>
    </w:p>
    <w:p w:rsidR="0085709A" w:rsidRDefault="0085709A" w:rsidP="0085709A">
      <w:pPr>
        <w:pStyle w:val="TextoNormal"/>
      </w:pPr>
    </w:p>
    <w:p w:rsidR="0085709A" w:rsidRDefault="0085709A" w:rsidP="0085709A">
      <w:pPr>
        <w:pStyle w:val="TextoNormal"/>
      </w:pPr>
      <w:r>
        <w:t>VIGESIMOPRIMERO.- El miedo que sintió el acusado procedía de una amenaza real, seria e inminente para su persona.</w:t>
      </w:r>
    </w:p>
    <w:p w:rsidR="0085709A" w:rsidRDefault="0085709A" w:rsidP="0085709A">
      <w:pPr>
        <w:pStyle w:val="TextoNormal"/>
      </w:pPr>
    </w:p>
    <w:p w:rsidR="0085709A" w:rsidRDefault="0085709A" w:rsidP="0085709A">
      <w:pPr>
        <w:pStyle w:val="TextoNormal"/>
      </w:pPr>
      <w:r>
        <w:t>VIGÉSIMOSEGUNDO.- El acusado disparó con su arma determinado por el miedo que sentía.</w:t>
      </w:r>
    </w:p>
    <w:p w:rsidR="0085709A" w:rsidRDefault="0085709A" w:rsidP="0085709A">
      <w:pPr>
        <w:pStyle w:val="TextoNormal"/>
      </w:pPr>
    </w:p>
    <w:p w:rsidR="0085709A" w:rsidRDefault="0085709A" w:rsidP="0085709A">
      <w:pPr>
        <w:pStyle w:val="TextoNormal"/>
      </w:pPr>
      <w:r>
        <w:t>VIGÉSIMOTERCERO.- Después de efectuar los disparos, el acusado realizó una llamada a los Mossos d’Esquadra, reclamando el envío de una ambulancia, y permaneciendo en el lugar de los hechos.</w:t>
      </w:r>
    </w:p>
    <w:p w:rsidR="0085709A" w:rsidRDefault="0085709A" w:rsidP="0085709A">
      <w:pPr>
        <w:pStyle w:val="TextoNormal"/>
      </w:pPr>
    </w:p>
    <w:p w:rsidR="0085709A" w:rsidRDefault="0085709A" w:rsidP="0085709A">
      <w:pPr>
        <w:pStyle w:val="TextoNormal"/>
      </w:pPr>
      <w:r>
        <w:t>VIGESIMOCUARTO.- El día 15 de diciembre de 2006, el acusado pagó a través del Juzgado la cantidad de 150.000 euros en concepto de indemnización por la muerte de Sinani Gazmend.</w:t>
      </w:r>
    </w:p>
    <w:p w:rsidR="0085709A" w:rsidRDefault="0085709A" w:rsidP="0085709A">
      <w:pPr>
        <w:pStyle w:val="TextoNormal"/>
      </w:pPr>
    </w:p>
    <w:p w:rsidR="0085709A" w:rsidRDefault="0085709A" w:rsidP="0085709A">
      <w:pPr>
        <w:pStyle w:val="TextoNormal"/>
      </w:pPr>
      <w:r>
        <w:t>VIGÉSIMOQUINTO.- Sinani Gazmend estaba casado con Huseni Burbeque y tenían un hijo común menor de edad llamado Rinor Sinani.</w:t>
      </w:r>
    </w:p>
    <w:p w:rsidR="0085709A" w:rsidRDefault="0085709A" w:rsidP="0085709A">
      <w:pPr>
        <w:pStyle w:val="TextoNormal"/>
      </w:pPr>
    </w:p>
    <w:p w:rsidR="0085709A" w:rsidRDefault="0085709A" w:rsidP="0085709A">
      <w:pPr>
        <w:pStyle w:val="TextoNormal"/>
      </w:pPr>
      <w:r>
        <w:t>VIGÉSIMOSEXTO.- Los padres de Sinani Gazmend, Xhfafer Sinani y Nexhmije Halimi, le han sobrevivido.</w:t>
      </w:r>
    </w:p>
    <w:p w:rsidR="0085709A" w:rsidRDefault="0085709A" w:rsidP="0085709A">
      <w:pPr>
        <w:pStyle w:val="TextoNormal"/>
      </w:pPr>
    </w:p>
    <w:p w:rsidR="0085709A" w:rsidRDefault="0085709A" w:rsidP="0085709A">
      <w:pPr>
        <w:pStyle w:val="TextoNormal"/>
      </w:pPr>
      <w:r>
        <w:t>VIGÉSIMOSÉPTIMO.- El vehículo Renault Megane, matrícula 1164-FMN, propiedad de la empresa ‘Julio Sánchez 4 por 4, SL’, resultó con daños cuya cuantía asciende a 617 euros.”</w:t>
      </w:r>
    </w:p>
    <w:p w:rsidR="0085709A" w:rsidRDefault="0085709A" w:rsidP="0085709A">
      <w:pPr>
        <w:pStyle w:val="TextoNormal"/>
      </w:pPr>
    </w:p>
    <w:p w:rsidR="0085709A" w:rsidRDefault="0085709A" w:rsidP="0085709A">
      <w:pPr>
        <w:pStyle w:val="TextoNormal"/>
      </w:pPr>
      <w:r>
        <w:t>La apuntada declaración fáctica venía a ser traslación de la convicción alcanzada por los jurados, que apreciaron en el acusado una actuación bajo la eximente completa de miedo insuperable, inserto en la legítima defensa putativa. Entendieron los jurados que el acusado había actuado movido por un error invencible, al haber deducido equivocadamente que los ocupantes del vehículo sobre el que disparó —provocando con ello la muerte del conductor, por alcance en la cabeza— estaban relacionados con el asalto que, en esos momentos, se estaba cometiendo en el domicilio de la familia Tous e iban a acabar con su vida, llevándole su instinto a defenderse. La apreciación de estas eximentes condujo al dictado del citado fallo absolutorio en primera instancia.</w:t>
      </w:r>
    </w:p>
    <w:p w:rsidR="0085709A" w:rsidRDefault="0085709A" w:rsidP="0085709A">
      <w:pPr>
        <w:pStyle w:val="TextoNormal"/>
      </w:pPr>
    </w:p>
    <w:p w:rsidR="0085709A" w:rsidRDefault="0085709A" w:rsidP="0085709A">
      <w:pPr>
        <w:pStyle w:val="TextoNormal"/>
      </w:pPr>
      <w:r>
        <w:t xml:space="preserve">El hecho probado úndécimo que se acaba de trascribir es el resultado, tal como se refleja en el acto de votación del jurado, del hecho 11 del objeto del veredicto que obtuvo un resultado de tres votos a favor y seis en contra respecto de lo siguiente: “El acusado, siendo consciente del riesgo que para la vida de los ocupantes del Renault Megane implicaba su acción, y de las altas probabilidades de causar su muerte, utilizando una pistola semiautomática que portaba, efectuó dos disparos al vehículo”. La votación de este hecho encuentra su reflejo probatorio al folio 15 del acta, justificándolo los jurados en la declaración emitida por el acusado el día 12 de mayo de 2011 cuando, a preguntas de un jurado, manifestó que en aquel momento no era consciente de los hechos; también en lo manifestado en la pericial forense, en el concreto particular de que “en una situación de estrés puede haber un estado </w:t>
      </w:r>
      <w:r>
        <w:lastRenderedPageBreak/>
        <w:t>de alerta con distorsión de la percepción sensorial, visual y cognitiva”. Desde estos elementos de convicción, los jurados consideraron que el acusado, al tiempo de los hechos, “no era consciente del riesgo de su acción porque no tuvo tiempo real para pensar en su situación”.</w:t>
      </w:r>
    </w:p>
    <w:p w:rsidR="0085709A" w:rsidRDefault="0085709A" w:rsidP="0085709A">
      <w:pPr>
        <w:pStyle w:val="TextoNormal"/>
      </w:pPr>
    </w:p>
    <w:p w:rsidR="0085709A" w:rsidRDefault="0085709A" w:rsidP="0085709A">
      <w:pPr>
        <w:pStyle w:val="TextoNormal"/>
      </w:pPr>
      <w:r>
        <w:t xml:space="preserve">Habiendo descartado por mayoría lo anterior, los jurados introdujeron un hecho 11 </w:t>
      </w:r>
      <w:r w:rsidRPr="0085709A">
        <w:rPr>
          <w:i/>
        </w:rPr>
        <w:t>bis</w:t>
      </w:r>
      <w:r>
        <w:t>, que fue aprobado por unanimidad, del siguiente tenor: “El acusado, utilizando la pistola semiautomática que portaba, efectuó dos disparos al vehículo”. El acta da cuenta de que el soporte probatorio de esta convicción dimana, igualmente, de la declaración prestada por el acusado el 12 de mayo de 2011, en la que reconoció haber efectuado esos dos disparos.</w:t>
      </w:r>
    </w:p>
    <w:p w:rsidR="0085709A" w:rsidRDefault="0085709A" w:rsidP="0085709A">
      <w:pPr>
        <w:pStyle w:val="TextoNormal"/>
      </w:pPr>
    </w:p>
    <w:p w:rsidR="0085709A" w:rsidRDefault="0085709A" w:rsidP="0085709A">
      <w:pPr>
        <w:pStyle w:val="TextoNormal"/>
      </w:pPr>
      <w:r>
        <w:t>b) Trasladando éstos y otros resultados de la votación popular, la Magistrada-Presidente encabezó el fundamento jurídico 1 de la Sentencia del siguiente modo:</w:t>
      </w:r>
    </w:p>
    <w:p w:rsidR="0085709A" w:rsidRDefault="0085709A" w:rsidP="0085709A">
      <w:pPr>
        <w:pStyle w:val="TextoNormal"/>
      </w:pPr>
    </w:p>
    <w:p w:rsidR="0085709A" w:rsidRDefault="0085709A" w:rsidP="0085709A">
      <w:pPr>
        <w:pStyle w:val="TextoNormal"/>
      </w:pPr>
      <w:r>
        <w:t>“[L]os jurados han considerado probado que Lluis Corominas Padullés efectuó dos disparos contra el vehículo en que se encontraban los intrusos, alcanzando uno de ellos el cráneo de Sinani Gazmend, quien murió a consecuencia de dicha acción. De igual modo, declaran probado que el acusado actuó determinado por un miedo (que resulta tributario de la calificación jurídica de insuperable, como se analizará con posterioridad), el cual provocó en él una creencia errónea e invencible (extremos que también se analizarán en párrafos posteriores de esta fundamentación jurídica) de que los ocupantes del vehículo iban a dispararle, completando ese relato fáctico, de forma congruente, con la declaración de que los referidos disparos iban dirigidos, en exclusiva, a defenderse de la agresión errónea de la que creía ser objeto, siendo necesarios y proporcionados a ella, sin que el acusado tuviera frente a esta aparente agresión otra alternativa de conducta.”</w:t>
      </w:r>
    </w:p>
    <w:p w:rsidR="0085709A" w:rsidRDefault="0085709A" w:rsidP="0085709A">
      <w:pPr>
        <w:pStyle w:val="TextoNormal"/>
      </w:pPr>
    </w:p>
    <w:p w:rsidR="0085709A" w:rsidRDefault="0085709A" w:rsidP="0085709A">
      <w:pPr>
        <w:pStyle w:val="TextoNormal"/>
      </w:pPr>
      <w:r>
        <w:t xml:space="preserve">Dichas afirmaciones cuentan después con un amplio desarrollo en el cuerpo de la Sentencia, en el cual la Magistrada pone de relieve que la proposición 11 del objeto del veredicto “que, sin oposición de las partes, incorporaba en un solo hecho la acción de disparar y el dolo eventual de matar de forma inherente a la misma”, no encontró refrendo entre los jurados, contando con sólo tres votos a favor de considerarlo demostrado. Y que ello motivó que los propios jurados realizaran una proposición alternativa 11 </w:t>
      </w:r>
      <w:r w:rsidRPr="0085709A">
        <w:rPr>
          <w:i/>
        </w:rPr>
        <w:t>bis</w:t>
      </w:r>
      <w:r>
        <w:t>, aprobada por unanimidad, basando la realidad de este hecho en la declaración prestada por el acusado en el plenario, reconociendo ante los jurados que efectuó los dos disparos. La Sentencia subraya que, ello no obstante, no consideraron probado que aquél actuara con conciencia del riesgo para la vida de los ocupantes del vehículo que comportaba su acción, como tampoco de las altas probabilidades de causar su muerte.</w:t>
      </w:r>
    </w:p>
    <w:p w:rsidR="0085709A" w:rsidRDefault="0085709A" w:rsidP="0085709A">
      <w:pPr>
        <w:pStyle w:val="TextoNormal"/>
      </w:pPr>
    </w:p>
    <w:p w:rsidR="0085709A" w:rsidRDefault="0085709A" w:rsidP="0085709A">
      <w:pPr>
        <w:pStyle w:val="TextoNormal"/>
      </w:pPr>
      <w:r>
        <w:t xml:space="preserve">En este punto, la Magistrada-Presidente reconoce que en estas premisas “se encuentra la esencia de la calificación jurídica sostenida por las acusaciones, la cual viene concretada en un delito de homicidio en grado de consumación”. Con esos fines calificadores, y partiendo del nexo de causalidad existente entre la acción de disparar y el resultado letal derivado de la misma —hechos ambos que fueron declarados probados por unanimidad (11 </w:t>
      </w:r>
      <w:r w:rsidRPr="0085709A">
        <w:rPr>
          <w:i/>
        </w:rPr>
        <w:t>bis</w:t>
      </w:r>
      <w:r>
        <w:t xml:space="preserve"> y 14)—, la Magistrada consideró necesario determinar “el ánimo que movió al agente a su acción, a fin de contrastar si nos hallamos o no ante la infracción penal analizada”. Y, tras reflejar en la Sentencia las diferentes teorías doctrinales y jurisprudenciales sobre el propósito criminal, apuntó que la conclusión sobre la existencia del ánimo de matar o sobre la falta del mismo, ante la negativa permanente del acusado, no podía obtenerse sino mediante el estudio de las circunstancias envolventes de la acción. Se trataba, en definitiva, de determinar </w:t>
      </w:r>
      <w:r>
        <w:lastRenderedPageBreak/>
        <w:t>si el resultado mortal sufrido por la víctima era reprochable al agente por haberlo perseguido voluntariamente, ya de forma directa, ya a través de la construcción jurídica del denominado dolo eventual.</w:t>
      </w:r>
    </w:p>
    <w:p w:rsidR="0085709A" w:rsidRDefault="0085709A" w:rsidP="0085709A">
      <w:pPr>
        <w:pStyle w:val="TextoNormal"/>
      </w:pPr>
    </w:p>
    <w:p w:rsidR="0085709A" w:rsidRDefault="0085709A" w:rsidP="0085709A">
      <w:pPr>
        <w:pStyle w:val="TextoNormal"/>
      </w:pPr>
      <w:r>
        <w:t xml:space="preserve">Desde este preliminar, continúa expresando la Sentencia cómo el Jurado fue ilustrado sobre la necesidad de efectuar una inferencia lógica respecto de sus conclusiones sobre hechos no perceptibles directamente por los sentidos, como son las intenciones o las emociones, y cómo desde esas instrucciones los jurados concluyeron que el acusado, al efectuar los disparos, no era consciente de las altas probabilidades de causar la muerte que conllevaba su acción. No obstante reconocer que era ésta la única proposición que, en relación con la intencionalidad que movió al acusado, se sometió a la consideración del Jurado, siendo descartada por su mayoría, la Sentencia afirma acto seguido que “dicho pronunciamiento no puede analizarse de forma aislada e independiente, pues sólo alcanzará plena significación y congruencia con el resto del veredicto al ponerse en contacto con las demás proposiciones que fueron declaradas probadas, y que comportan, como luego se verá, la apreciación de los elementos definidores de la legítima defensa putativa motivada por un miedo insuperable, cuya concurrencia en el caso de autos apoyan los jurados sobre iguales pruebas y análogos razonamientos”. Entendió la Magistrada-Presidente que la cuestión quedaba centrada, por tanto, en determinar si la proposición declarada probada bajo el ordinal 11 </w:t>
      </w:r>
      <w:r w:rsidRPr="0085709A">
        <w:rPr>
          <w:i/>
        </w:rPr>
        <w:t>bis</w:t>
      </w:r>
      <w:r>
        <w:t xml:space="preserve"> del objeto del veredicto, puesta en relación con los demás hechos probados, constituía sustento suficiente para estimar concurrentes en el caso los elementos definidores del delito de homicidio por el que se sostenía acusación, conclusión a la que llegaba la redactora en sentido afirmativo, apreciando en el actuar del acusado todos los elementos del delito.</w:t>
      </w:r>
    </w:p>
    <w:p w:rsidR="0085709A" w:rsidRDefault="0085709A" w:rsidP="0085709A">
      <w:pPr>
        <w:pStyle w:val="TextoNormal"/>
      </w:pPr>
    </w:p>
    <w:p w:rsidR="0085709A" w:rsidRDefault="0085709A" w:rsidP="0085709A">
      <w:pPr>
        <w:pStyle w:val="TextoNormal"/>
      </w:pPr>
      <w:r>
        <w:t>Sentado cuanto antecede, afronta la Sentencia en su fundamento jurídico 2 el conjunto de proposiciones sometidas a la consideración del Tribunal popular en orden a determinar las circunstancias modificativas concurrentes. En concreto, si el acusado efectuó los disparos amparado por una eximente de legítima defensa putativa, relacionada con las figuras del error invencible y del miedo insuperable (hechos 17 a 21 del objeto del veredicto), todo lo cual los jurados estimaron probado, por un lado, a través de lo manifestado por el acusado en el juicio oral en el sentido de que “se vio muerto y su instinto le llevó a defenderse” y, por otro, desde un concreto apartado de la pericial forense sobre la salud mental del acusado que indicaba cómo, desde un plano teórico, ante situaciones de estrés o miedo técnicamente puede generarse en quien lo sufre un estado de alerta con distorsión de la percepción sensorial, visual o auditiva, aunque el hecho que la provoca no exista o sea malinterpretado. Con apoyo en estas dos consideraciones principales, a las que añadían algunas otras, estimaron los jurados verosímil que el acusado incurriera en error al interpretar el movimiento brusco referido en el hecho 17, creyendo ver un arma en manos del conductor del vehículo y deduciendo de ello, de forma fundada y razonable, que iban a dispararle. A lo anterior añade la Sentencia el pronunciamiento popular favorable a la invencibilidad del error sufrido, declarando no probado que el acusado tuviera posibilidad de hacer desaparecer su creencia errónea de que iba a ser atacado por los ocupantes del vehículo (hecho 22 del objeto del veredicto), lo que cuenta con apoyo probatorio en esos mismos apartados de la declaración del acusado y de la pericial, añadiéndose lo referido por uno de los peritos sobre el denominado “efecto túnel”. Para los jurados, los hechos se sucedieron tan rápidamente que el acusado no tuvo tiempo de vencer la percepción errónea de la realidad que en esos instantes recibía, y que le había sumido en un estado de irracionalidad e inconsciencia.</w:t>
      </w:r>
    </w:p>
    <w:p w:rsidR="0085709A" w:rsidRDefault="0085709A" w:rsidP="0085709A">
      <w:pPr>
        <w:pStyle w:val="TextoNormal"/>
      </w:pPr>
    </w:p>
    <w:p w:rsidR="0085709A" w:rsidRDefault="0085709A" w:rsidP="0085709A">
      <w:pPr>
        <w:pStyle w:val="TextoNormal"/>
      </w:pPr>
      <w:r>
        <w:lastRenderedPageBreak/>
        <w:t>Figura analizada, acto seguido, la eximente de miedo insuperable que, sobre la base de la decisión popular, la Sentencia recoge igualmente en sentido afirmativo, en grado completo. El soporte probatorio relativo a su aspecto subjetivo (hecho 25) se residencia nuevamente en su declaración plenaria sobre el instinto de defenderse, así como en el citado extremo de la pericial. Los jurados se pronunciaron, asimismo, a favor de la insuperabilidad del miedo, no considerando probado que para evitarlo el acusado dispusiera de otra conducta, alternativa y distinta a los disparos que realizó (hecho 26), y ello con apoyo en el insistente mismo punto de la pericial, llegando a la conclusión de que “actuó bajo presión de forma y casi como un acto reflejo, respondiendo a un posible ataque, sin tiempo real para pensar en otra actuación”.</w:t>
      </w:r>
    </w:p>
    <w:p w:rsidR="0085709A" w:rsidRDefault="0085709A" w:rsidP="0085709A">
      <w:pPr>
        <w:pStyle w:val="TextoNormal"/>
      </w:pPr>
    </w:p>
    <w:p w:rsidR="0085709A" w:rsidRDefault="0085709A" w:rsidP="0085709A">
      <w:pPr>
        <w:pStyle w:val="TextoNormal"/>
      </w:pPr>
      <w:r>
        <w:t>Desde las líneas esencialmente expuestas, llega la Sentencia de primer grado al mentado fallo absolutorio, estimando que el miedo a sufrir algún mal sobre su persona fue el factor desencadenante de la conducta del acusado que le hizo creer, erróneamente, que era víctima de un ataque frente al cual no tenía más opción defensiva que disparar el arma que portaba.</w:t>
      </w:r>
    </w:p>
    <w:p w:rsidR="0085709A" w:rsidRDefault="0085709A" w:rsidP="0085709A">
      <w:pPr>
        <w:pStyle w:val="TextoNormal"/>
      </w:pPr>
    </w:p>
    <w:p w:rsidR="0085709A" w:rsidRDefault="0085709A" w:rsidP="0085709A">
      <w:pPr>
        <w:pStyle w:val="TextoNormal"/>
      </w:pPr>
      <w:r>
        <w:t>c) Contra la anterior resolución prepararon recurso de apelación, en el lado de las acusaciones, el Ministerio Fiscal y la acusación particular y, en el lado de las defensas, el acusado Lluis Corominas Padullés y la responsable civil subsidiaria CES 21, S.L. Remitidas las actuaciones a la Sala de lo Civil y Penal del Tribunal Superior de Justicia de Cataluña, con fecha 19 de marzo de 2012 el Tribunal Superior de Justicia dictaba Sentencia estimatoria del primer motivo del recurso interpuesto por la acusación particular, anulando el veredicto del jurado, así como la Sentencia apelada, al tiempo que ordenaba la devolución de la causa a la oficina del jurado de la Audiencia Provincial de Barcelona con el fin de que se procediera a la celebración de juicio oral ante un nuevo Jurado y un nuevo Magistrado-Presidente.</w:t>
      </w:r>
    </w:p>
    <w:p w:rsidR="0085709A" w:rsidRDefault="0085709A" w:rsidP="0085709A">
      <w:pPr>
        <w:pStyle w:val="TextoNormal"/>
      </w:pPr>
    </w:p>
    <w:p w:rsidR="0085709A" w:rsidRDefault="0085709A" w:rsidP="0085709A">
      <w:pPr>
        <w:pStyle w:val="TextoNormal"/>
      </w:pPr>
      <w:r>
        <w:t>d) El Tribunal Superior de Justicia de Cataluña, por su parte, examinó con carácter preferente el primero de los motivos del recurso de apelación interpuesto por la acusación particular, que denunciaba como cuestión preliminar la infracción de los arts. 9.3, 24.1, 117.1 y 120.3 de la Constitución, en relación con el art. 61.1.d) de la Ley Orgánica del Tribunal del Jurado (LOTJ), por manifiesta arbitrariedad e insuficiencia motivacional en los juicios de inferencia en los que se basó la apreciación de las dos eximentes completas.</w:t>
      </w:r>
    </w:p>
    <w:p w:rsidR="0085709A" w:rsidRDefault="0085709A" w:rsidP="0085709A">
      <w:pPr>
        <w:pStyle w:val="TextoNormal"/>
      </w:pPr>
    </w:p>
    <w:p w:rsidR="0085709A" w:rsidRDefault="0085709A" w:rsidP="0085709A">
      <w:pPr>
        <w:pStyle w:val="TextoNormal"/>
      </w:pPr>
      <w:r>
        <w:t xml:space="preserve">Tras centrar la pretensión impugnativa, la Sentencia de apelación describe las características del procedimiento español ante el Tribunal el Jurado y efectúa, acto seguido, una minuciosa cita jurisprudencial, así como de la doctrina fijada por este Tribunal Constitucional en las repetidas SSTC 169/2004, de 6 de octubre; 246/2004, de 20 de diciembre; 115/2006, de 24 de abril, y 192/2005, de 18 de julio, sobre el canon de motivación exigible a las decisiones del jurado. Desde estas consideraciones preliminares, se aproximó el Tribunal Superior de Justicia a la cuestión nuclear, destacando cómo el consenso del Jurado encalló en la valoración del </w:t>
      </w:r>
      <w:r w:rsidRPr="0085709A">
        <w:rPr>
          <w:i/>
        </w:rPr>
        <w:t>animus necandi</w:t>
      </w:r>
      <w:r>
        <w:t xml:space="preserve"> con el que habría actuado el acusado, descartando que fuera consciente del riesgo para la vida de los ocupantes del vehículo sobre el que disparó y de las altas probabilidades de causar su muerte (hecho 11) para ponerse únicamente de acuerdo en atribuirle, de manera alternativa a la proposición formulada por la Magistrada-Presidente con el consenso de las partes, una simple acción mecánica, consistente en efectuar dos disparos con su arma en dirección al vehículo ocupado por la víctima y su acompañante (hecho 1</w:t>
      </w:r>
      <w:r w:rsidRPr="0085709A">
        <w:rPr>
          <w:i/>
        </w:rPr>
        <w:t>1 b</w:t>
      </w:r>
      <w:r>
        <w:t>is).</w:t>
      </w:r>
    </w:p>
    <w:p w:rsidR="0085709A" w:rsidRDefault="0085709A" w:rsidP="0085709A">
      <w:pPr>
        <w:pStyle w:val="TextoNormal"/>
      </w:pPr>
    </w:p>
    <w:p w:rsidR="0085709A" w:rsidRDefault="0085709A" w:rsidP="0085709A">
      <w:pPr>
        <w:pStyle w:val="TextoNormal"/>
      </w:pPr>
      <w:r>
        <w:lastRenderedPageBreak/>
        <w:t>Para el Tribunal Superior de Justicia resultaba evidente que el Jurado bien no entendió, bien desoyó las instrucciones recibidas de la Magistrada sobre este particular fáctico del objeto del veredicto, comprensivo del elemento intencional, pues alcanzaron una deducción de todo punto incompatible con los extremos previamente tenidos por probados, referidos al tipo de arma utilizada, su potencialidad letal y la escasa distancia de los disparos respecto de su objetivo, sabiendo como sabía el acusado que en la dirección en la que disparó se encontraban los dos ocupantes del vehículo. Destaca el Tribunal Superior de Justicia en su Sentencia que, siendo la conclusión excluyente de la intención de matar, o bien de la representación y/o conocimiento de las altas probabilidades de ocasionar tal resultado con su acción de disparar, irracional por contraria a los demás elementos objetivos tenidos por probados, una vez recibida el acta de votación y después de valorar que la inferencia sobre la falta de dolo homicida impedía el análisis de las causas excluyentes de su culpabilidad, la Magistrada se abstuvo de hacer uso de la facultad prevista en el art. 63.1 d) LOTJ para, en su lugar, optar por corregir directamente el juicio de inferencia del Jurado y estimar concurrentes en el caso los elementos definidores del delito de homicidio objeto de acusación; en concreto, la intención dolosa de matar, en el entendimiento de que la “falta de conciencia en su actuar” que el Jurado atribuyó al acusado “no afecta al dolo de su acción y, por tanto, nada tiene que ver con e</w:t>
      </w:r>
      <w:r w:rsidRPr="0085709A">
        <w:rPr>
          <w:i/>
        </w:rPr>
        <w:t>l animus necan</w:t>
      </w:r>
      <w:r>
        <w:t>di”.</w:t>
      </w:r>
    </w:p>
    <w:p w:rsidR="0085709A" w:rsidRDefault="0085709A" w:rsidP="0085709A">
      <w:pPr>
        <w:pStyle w:val="TextoNormal"/>
      </w:pPr>
    </w:p>
    <w:p w:rsidR="0085709A" w:rsidRDefault="0085709A" w:rsidP="0085709A">
      <w:pPr>
        <w:pStyle w:val="TextoNormal"/>
      </w:pPr>
      <w:r>
        <w:t>Remarcaba el Tribunal Superior de Justicia en que el veredicto no puede incluir conceptos jurídicos, de manera que si, por error, se sometieran a la consideración del Jurado, su decisión no vincularía al Magistrado-Presidente. Está, en cambio, plenamente admitido que los jurados se pronuncien, cuando sea necesario, sobre los elementos intencionales bien del delito, bien de las circunstancias modificativas de la responsabilidad criminal, aun sin olvidar que la decisión que adopten al respecto no deja de ser un juicio de inferencia que necesariamente ha de tener base objetivada en una secuencia lógica de datos externos, que habrán de declararse previa y expresamente como probados o no. Resaltaba también cómo, una vez preguntado el Jurado sobre los elementos intencionales del delito o de las circunstancias agravantes, y una vez aceptada su decisión —sea cual sea el sentido de la misma— por el Magistrado-Presidente sin hacer uso de la facultad de devolución del acta que le confiere el art. 63 LOTJ, “éste viene obligado por el art. 70.1 LOTJ a incluir fielmente en su resolución el contenido correspondiente del veredicto”, ajustándose en la redacción de la Sentencia a “los estrictos términos que se derivan de las respuestas dadas a cada uno de los puntos que han sido objeto de preguntas”. De modo que el Magistrado-Presidente, más allá de las simples correcciones de estilo, carece de facultad alguna para disentir en la Sentencia del resultado de la deliberación o de la motivación que los integrantes del Jurado hayan hecho constar en el acta de votación del veredicto, tanto en lo referido a hechos objetivos directamente susceptibles de prueba como a hechos subjetivos sólo cognoscibles mediante inferencias. De igual manera, no puede completar los hechos declarados probados por el Jurado, y ello aunque concurran pruebas que pudieran justificar añadidos o rectificaciones, posibilidades ambas vetadas por la Ley. Tampoco puede alterar el verdadero sentido de la declaración efectuada por el Jurado, pues el veredicto emitido por los Jueces legos, como expresión de su voluntad, es base intangible sobre la que el Juez profesional debe realizar la calificación jurídica de los hechos enjuiciados.</w:t>
      </w:r>
    </w:p>
    <w:p w:rsidR="0085709A" w:rsidRDefault="0085709A" w:rsidP="0085709A">
      <w:pPr>
        <w:pStyle w:val="TextoNormal"/>
      </w:pPr>
    </w:p>
    <w:p w:rsidR="0085709A" w:rsidRDefault="0085709A" w:rsidP="0085709A">
      <w:pPr>
        <w:pStyle w:val="TextoNormal"/>
      </w:pPr>
      <w:r>
        <w:t xml:space="preserve">Hallándose, pues, claramente delimitadas las funciones de éste (art. 4 LOTJ) y las de aquéllos (art. 3 LOTJ), y formando todos parte de un mismo órgano judicial (art. 2.1 LOTJ), </w:t>
      </w:r>
      <w:r>
        <w:lastRenderedPageBreak/>
        <w:t>la única posibilidad al alcance del Magistrado-Presidente de desconocer la eficacia del veredicto, si advirtiese que el juicio de inferencia sobre los elementos subjetivos realizado por el Jurado es contradictorio con los pronunciamientos relativos a los elementos objetivos en que aquél deba fundarse, es la devolución prevista en el art. 63.1 d) LOTJ, previa explicación detenida de las causas que la justifican y de la forma en que deben subsanarse los defectos advertidos (art. 64 LOTJ).</w:t>
      </w:r>
    </w:p>
    <w:p w:rsidR="0085709A" w:rsidRDefault="0085709A" w:rsidP="0085709A">
      <w:pPr>
        <w:pStyle w:val="TextoNormal"/>
      </w:pPr>
    </w:p>
    <w:p w:rsidR="0085709A" w:rsidRDefault="0085709A" w:rsidP="0085709A">
      <w:pPr>
        <w:pStyle w:val="TextoNormal"/>
      </w:pPr>
      <w:r>
        <w:t xml:space="preserve">Desde este punto de partida, el Tribunal Superior de Justicia establecía una doble línea de análisis. Por un lado, se mostraba plenamente conforme con el razonamiento expuesto por la Magistrada-Presidente, por las mismas razones invocadas en la Sentencia recurrida, a la hora de estimar irracional, en tanto que contrario a los demás elementos objetivos tenidos por probados, la convicción popular sobre los hechos 11 y 11 </w:t>
      </w:r>
      <w:r w:rsidRPr="0085709A">
        <w:rPr>
          <w:i/>
        </w:rPr>
        <w:t>bis</w:t>
      </w:r>
      <w:r>
        <w:t xml:space="preserve"> del veredicto frente a los incluidos en los hechos 6, 8, 13 y 14, de los que se desprende inequívocamente que el acusado realizó la acción homicida con pleno conocimiento de la situación y de la creación de un riesgo para la vida de los ocupantes de vehículo, inherente a su conducta. Se mostraba, en cambio, disconforme con la vía escogida por la Magistrada para solucionar el grave defecto apreciado en el veredicto, no teniendo otra opción para subsanarlo que acudir al señalado mecanismo del art. 63.1.d) LOTJ, del que no hizo uso.</w:t>
      </w:r>
    </w:p>
    <w:p w:rsidR="0085709A" w:rsidRDefault="0085709A" w:rsidP="0085709A">
      <w:pPr>
        <w:pStyle w:val="TextoNormal"/>
      </w:pPr>
    </w:p>
    <w:p w:rsidR="0085709A" w:rsidRDefault="0085709A" w:rsidP="0085709A">
      <w:pPr>
        <w:pStyle w:val="TextoNormal"/>
      </w:pPr>
      <w:r>
        <w:t>En un segundo nivel de análisis, estimó también el Tribunal Superior de Justicia que ninguno de los elementos probatorios sobre los que, desde su reflejo en el acta de votación, el Jurado hacía gravitar la concurrencia del miedo insuperable lo justificaban en buena lógica, según las reglas de la experiencia racional. En particular, en lo referido a la afectación de la salud mental del acusado, pues la perturbación psicológica afirmada por los jurados se basaba en un aserto genérico o meramente teórico de la pericial forense, aserto que, siendo determinante en la convicción popular, en puridad la pericial no había extrapolado a la concreta situación del acusado al tiempo de los hechos.</w:t>
      </w:r>
    </w:p>
    <w:p w:rsidR="0085709A" w:rsidRDefault="0085709A" w:rsidP="0085709A">
      <w:pPr>
        <w:pStyle w:val="TextoNormal"/>
      </w:pPr>
    </w:p>
    <w:p w:rsidR="0085709A" w:rsidRDefault="0085709A" w:rsidP="0085709A">
      <w:pPr>
        <w:pStyle w:val="TextoNormal"/>
      </w:pPr>
      <w:r>
        <w:t>Fue como resultado de todo ello como el Tribunal Superior de Justicia entendió que el Jurado, por un lado, había desatendido las instrucciones de la Magistrada-Presidente, incurriendo en una contradicción evidente al inferir que el acusado no había actuado con intención de matar, pese al contenido de aquellos otros hechos incompatibles con semejante conclusión y que con carácter inmediato anterior había tenido por probados; por otro, para justificar su decisión, había tergiversado esencialmente la pericial forense, sin explicar sus conclusiones en forma que permita a un observador imparcial entender el significado del fallo.</w:t>
      </w:r>
    </w:p>
    <w:p w:rsidR="0085709A" w:rsidRDefault="0085709A" w:rsidP="0085709A">
      <w:pPr>
        <w:pStyle w:val="TextoNormal"/>
      </w:pPr>
    </w:p>
    <w:p w:rsidR="0085709A" w:rsidRDefault="0085709A" w:rsidP="0085709A">
      <w:pPr>
        <w:pStyle w:val="TextoNormal"/>
      </w:pPr>
      <w:r>
        <w:t>Para el Tribunal Superior de Justicia, teniendo en cuenta que, respecto de la acreditación bastante de circunstancias eximentes y modificativas de la responsabilidad criminal no rige la presunción de inocencia, su concurrencia debía hallarse adecuadamente contrastada, lo que entendió motivado en el caso de autos de manera claramente arbitraria y errónea, con trascendencia en la tutela judicial efectiva de la acusación particular recurrente, en su vertiente de derecho a obtener una resolución racional y fundada (art. 24.1 CE).</w:t>
      </w:r>
    </w:p>
    <w:p w:rsidR="0085709A" w:rsidRDefault="0085709A" w:rsidP="0085709A">
      <w:pPr>
        <w:pStyle w:val="TextoNormal"/>
      </w:pPr>
    </w:p>
    <w:p w:rsidR="0085709A" w:rsidRDefault="0085709A" w:rsidP="0085709A">
      <w:pPr>
        <w:pStyle w:val="TextoNormal"/>
      </w:pPr>
      <w:r>
        <w:t>Todo lo cual justificaba la anulación tanto de la Sentencia de instancia como del veredicto, ordenando la Sala de apelación la retroacción de las actuaciones para la celebración de un nuevo juicio oral ante un Tribunal de diferente composición.</w:t>
      </w:r>
    </w:p>
    <w:p w:rsidR="0085709A" w:rsidRDefault="0085709A" w:rsidP="0085709A">
      <w:pPr>
        <w:pStyle w:val="TextoNormal"/>
      </w:pPr>
    </w:p>
    <w:p w:rsidR="0085709A" w:rsidRDefault="0085709A" w:rsidP="0085709A">
      <w:pPr>
        <w:pStyle w:val="TextoNormal"/>
      </w:pPr>
      <w:r>
        <w:lastRenderedPageBreak/>
        <w:t>e) Únicamente el demandante de amparo preparó recurso de casación, que se tuvo por anunciado, remitiéndose a la Sala Segunda del Tribunal Supremo las certificaciones necesarias para su sustanciación y resolución. Al formalizar el recurso, el hoy demandante articuló un total de cinco motivos: cuatro de ellos, sustentados en diversas infracciones en materia de los derechos y garantías del proceso, invocando el derecho a la tutela judicial efectiva, a un proceso con todas las garantías, a la presunción de inocencia y a la interdicción de la arbitrariedad (arts. 24.1 y 2, y 9.3 CE); y un último motivo por infracción de ley, relacionado con los arts. 138 y 70 del Código penal. Respecto de todos ellos, el Ministerio Fiscal interesó la inadmisión y subsidiaria desestimación, siendo asimismo impugnados por la representación procesal de doña Huseni Burbuque. Admitido a trámite el recurso, y tras quedar conclusos los autos para deliberación y fallo, el 28 de noviembre de 2012 la Sala Segunda del Tribunal Supremo dictó Sentencia íntegramente desestimatoria del recurso del hoy demandante, confirmando así el pronunciamiento emitido por el Tribunal Superior de Justicia.</w:t>
      </w:r>
    </w:p>
    <w:p w:rsidR="0085709A" w:rsidRDefault="0085709A" w:rsidP="0085709A">
      <w:pPr>
        <w:pStyle w:val="TextoNormal"/>
      </w:pPr>
    </w:p>
    <w:p w:rsidR="0085709A" w:rsidRDefault="0085709A" w:rsidP="0085709A">
      <w:pPr>
        <w:pStyle w:val="TextoNormal"/>
      </w:pPr>
      <w:r>
        <w:t>El Tribunal Supremo, después recordar que la segunda instancia en el proceso ante el Tribunal del Jurado es una impugnación con nombre de segunda instancia, pero con armazón y sustancia de recurso extraordinario, y después de delimitar, desde esa misma premisa, sus funciones de revisión o control casacional, constreñidas a lo decidido en la Sentencia de apelación, puso de relieve cómo en los juicios con Jurado la existencia de una Sentencia intermedia entre la de primera instancia y la de casación altera en buena medida el funcionamiento tradicional de la casación, no pudiendo reproducirse íntegramente en tal sede el debate previamente llevado a cabo en apelación, como tampoco introducirse buena parte de las pretensiones efectuadas por el recurrente, al desbordar algunos de sus planteamientos los límites vetados a la casación, entre ellos: a) la vulneración de una norma penal sustantiva canalizable por el art. 849.1 de la Ley de enjuiciamiento criminal (LECrim), al no existir en la Sentencia de apelación examinada un pronunciamiento penal de fondo; b) el error en la valoración de la prueba (art. 849.2 LECrim), en la medida en que la anulación de la Sentencia de primer grado provoca la inexistencia de hechos probados en la de apelación; y c) la vulneración del derecho a la presunción de inocencia tanto en su vertiente de regla de juicio, como en su dimensión de regla probatoria, dado que la Sentencia combatida no contiene pronunciamiento condenatorio alguno, como tampoco de culpabilidad, limitándose a declarar una nulidad. Estimó, en consecuencia, factible revisar el pronunciamiento del Tribunal de apelación únicamente desde la perspectiva que brinda el art. 852 LECrim.</w:t>
      </w:r>
    </w:p>
    <w:p w:rsidR="0085709A" w:rsidRDefault="0085709A" w:rsidP="0085709A">
      <w:pPr>
        <w:pStyle w:val="TextoNormal"/>
      </w:pPr>
    </w:p>
    <w:p w:rsidR="0085709A" w:rsidRDefault="0085709A" w:rsidP="0085709A">
      <w:pPr>
        <w:pStyle w:val="TextoNormal"/>
      </w:pPr>
      <w:r>
        <w:t xml:space="preserve">Expuesto lo anterior, destacó igualmente el Tribunal Supremo dos aspectos de la decisión tomada por el Tribunal Superior de Justicia en orden a la repetición del juicio ante un nuevo Jurado: el primero de ellos, que la Sentencia de apelación no introdujo modificación alguna en el relato de hechos probados; el segundo, que tampoco vulneró la presunción de inocencia del acusado, pues sólo un pronunciamiento que en apelación hubiera declarado su culpabilidad, adentrándose en el fondo de la cuestión mediante una valoración probatoria que incluyera aquellas pruebas sometidas a inmediación, podría violar este derecho. Añadía, con cita de la STC 169/2004, de 6 de octubre, que un Tribunal de apelación puede declarar la nulidad de una Sentencia absolutoria por considerar arbitraria o insuficientemente motivada la valoración de la prueba efectuada, sin necesidad de oír al acusado. Lo que le está vedado, en cambio, es dictar Sentencia condenatoria al margen de los principios de inmediación y audiencia, que imponen el deber de escuchar directa y personalmente al acusado según la jurisprudencia emanada del Tribunal Europeo de Derechos Humanos. De este modo, para </w:t>
      </w:r>
      <w:r>
        <w:lastRenderedPageBreak/>
        <w:t>el Tribunal Supremo sólo resultaban revisables las consecuencias de la decisión de la Magistrada que presidió el Tribunal del Jurado de considerar dolosa la conducta del acusado, en contra de lo que resultaba formalmente del veredicto.</w:t>
      </w:r>
    </w:p>
    <w:p w:rsidR="0085709A" w:rsidRDefault="0085709A" w:rsidP="0085709A">
      <w:pPr>
        <w:pStyle w:val="TextoNormal"/>
      </w:pPr>
    </w:p>
    <w:p w:rsidR="0085709A" w:rsidRDefault="0085709A" w:rsidP="0085709A">
      <w:pPr>
        <w:pStyle w:val="TextoNormal"/>
      </w:pPr>
      <w:r>
        <w:t>Adentrándose en la cuestión, el Tribunal de casación dictaminó que, coincidiendo el Tribunal Superior de Justicia con el criterio antes sostenido por la Magistrada-Presidente en cuanto a las quiebras lógicas existentes en el veredicto del jurado, la Sala de apelación no había invadido ningún espacio que exigiese práctica de prueba sujeta a inmediación, del mismo modo en que tampoco había llegado a un pronunciamiento de culpabilidad. Al efecto, distingue la Sentencia casacional entre los supuestos de condena en segunda instancia y aquéllos en los que lo único que se ordena es la celebración de un nuevo juicio con nuevo Jurado, como es el caso. Concluye su análisis entendiendo razonable la lesión apreciada por el Tribunal Superior de Justicia desde el estándar de racionalidad y suficiencia exigible a la motivación del veredicto del Jurado, conclusión ésta la de segunda instancia que no consideró arbitraria, como tampoco lesiva del derecho a la tutela judicial efectiva del recurrente. Matizaba, por último, el Tribunal Supremo que no se estaba en este caso ante una primigenia Sentencia absolutoria, sino ante un veredicto de inculpabilidad basado en determinados elementos fácticos que, en forma de eximentes, se erigieron en óbice para el nacimiento de la responsabilidad penal, supuesto en el que el nivel de exigencia motivacional ha de ser necesariamente superior.</w:t>
      </w:r>
    </w:p>
    <w:p w:rsidR="0085709A" w:rsidRDefault="0085709A" w:rsidP="0085709A">
      <w:pPr>
        <w:pStyle w:val="TextoNormal"/>
      </w:pPr>
    </w:p>
    <w:p w:rsidR="0085709A" w:rsidRDefault="0085709A" w:rsidP="0085709A">
      <w:pPr>
        <w:pStyle w:val="TextoNormal"/>
      </w:pPr>
      <w:r w:rsidRPr="0085709A">
        <w:rPr>
          <w:rStyle w:val="NumeroAFNegritaCaracter"/>
        </w:rPr>
        <w:t>3</w:t>
      </w:r>
      <w:r>
        <w:t>. A través de tres motivos diferentes de queja, el demandante de amparo invoca los derechos a la tutela judicial efectiva (art. 24.1 CE), a la presunción de inocencia (art. 24.2 CE) y nuevamente a la tutela judicial efectiva por interdicción de la arbitrariedad de los poderes públicos (art. 24.1 CE).</w:t>
      </w:r>
    </w:p>
    <w:p w:rsidR="0085709A" w:rsidRDefault="0085709A" w:rsidP="0085709A">
      <w:pPr>
        <w:pStyle w:val="TextoNormal"/>
      </w:pPr>
    </w:p>
    <w:p w:rsidR="0085709A" w:rsidRDefault="0085709A" w:rsidP="0085709A">
      <w:pPr>
        <w:pStyle w:val="TextoNormal"/>
      </w:pPr>
      <w:r>
        <w:t>En la primera de las quejas, estima vulnerada su tutela judicial efectiva como consecuencia de la anulación en grado de apelación de la previa absolución decidida por el Tribunal del Jurado, lo que considera fruto de un claro ejercicio de valoración de prueba personal por parte del Tribunal Superior de Justicia de Cataluña, pese a no disponer de la inmediación de la instancia. Considera, igualmente, que el órgano de apelación aplicó de forma desmesurada la doctrina relativa al canon de motivación exigible a las Sentencias absolutorias del Tribunal del Jurado, con lo cual incurrió, asimismo, en arbitrariedad. Infracciones que, por ratificar la misma, el demandante extiende a la Sentencia de casación.</w:t>
      </w:r>
    </w:p>
    <w:p w:rsidR="0085709A" w:rsidRDefault="0085709A" w:rsidP="0085709A">
      <w:pPr>
        <w:pStyle w:val="TextoNormal"/>
      </w:pPr>
    </w:p>
    <w:p w:rsidR="0085709A" w:rsidRDefault="0085709A" w:rsidP="0085709A">
      <w:pPr>
        <w:pStyle w:val="TextoNormal"/>
      </w:pPr>
      <w:r>
        <w:t xml:space="preserve">En la argumentación de fondo que sustenta la queja, el demandante efectúa un doble análisis. De un lado, considera que la Sentencia de apelación, al valorar prueba personal directamente practicada ante los jurados, se extralimitó en sus funciones revisoras bajo la excusa de un veredicto irracional e inmotivado. Estima que dicha forma de actuar compromete la doctrina constitucional consagrada en la STC 167/2002, de 18 de septiembre, que prohíbe al órgano de apelación valorar pruebas practicadas a presencia del órgano llamado a decidir en primer grado cuando ello implique revocar una resolución absolutoria por otra condenatoria. De otro, tras dejar amplia constancia de las resoluciones en las que este Tribunal Constitucional se ha pronunciado sobre el canon de motivación exigible al veredicto (SSTC 169/2004, 246/2004, 192/2005, o 115/2006), expone los detalles por los que considera que, en realidad, dicho vicio </w:t>
      </w:r>
      <w:r w:rsidRPr="0085709A">
        <w:rPr>
          <w:i/>
        </w:rPr>
        <w:t>in iudicando</w:t>
      </w:r>
      <w:r>
        <w:t xml:space="preserve"> no era imputable a la decisión emitida por el Jurado en este caso, a la vista del número de páginas a que se extiende el acta de votación, </w:t>
      </w:r>
      <w:r>
        <w:lastRenderedPageBreak/>
        <w:t>por lo que el Tribunal Superior de Justicia fue riguroso en exceso en relación con la motivación que cabe requerir a un Jurado, a tenor del canon demandado por este Tribunal Constitucional, más liviano en tales casos que el aplicable con carácter general. Como argumento de cierre, aduce que nada hay en la doctrina emanada del Tribunal Europeo de Derechos Humanos que impida extender las exigencias de respeto a la inmediación y de la audiencia al reo, fijadas para la revocación en segunda instancia de un previo pronunciamiento absolutorio, a aquellos supuestos en que éste simplemente deviene anulado.</w:t>
      </w:r>
    </w:p>
    <w:p w:rsidR="0085709A" w:rsidRDefault="0085709A" w:rsidP="0085709A">
      <w:pPr>
        <w:pStyle w:val="TextoNormal"/>
      </w:pPr>
    </w:p>
    <w:p w:rsidR="0085709A" w:rsidRDefault="0085709A" w:rsidP="0085709A">
      <w:pPr>
        <w:pStyle w:val="TextoNormal"/>
      </w:pPr>
      <w:r>
        <w:t xml:space="preserve">En cuanto a la vulneración del derecho a la presunción de inocencia, para el demandante de amparo la afirmación por la Magistrada que presidió el Tribunal de primer grado de que actuó con dolo eventual, cuando realmente el Jurado lo había descartado, atrae el riesgo de generalizar una práctica que rompe la presunción de inocencia, al incorporar como probado un hecho que el único órgano soberano para decidir no entendió como tal. Añade que, precisamente para dotar de coherencia la decisión sometida a su consideración, y tras rechazar por seis votos frente a tres tener como probado el hecho 11 del veredicto (“El acusado, siendo consciente del riesgo que para la vida de los ocupantes del Renault Megane implicaba su acción, y de las altas probabilidades de causar su muerte, utilizando la pistola semiautomática que portaba, efectuó dos disparos al vehículo”), los jurados introdujeron un hecho 11 </w:t>
      </w:r>
      <w:r w:rsidRPr="0085709A">
        <w:rPr>
          <w:i/>
        </w:rPr>
        <w:t>bis</w:t>
      </w:r>
      <w:r>
        <w:t>, que estimaron probado por unanimidad, del siguiente tenor: “El acusado, utilizando la pistola semiautomática que portaba, efectuó dos disparos al vehículo”.</w:t>
      </w:r>
    </w:p>
    <w:p w:rsidR="0085709A" w:rsidRDefault="0085709A" w:rsidP="0085709A">
      <w:pPr>
        <w:pStyle w:val="TextoNormal"/>
      </w:pPr>
    </w:p>
    <w:p w:rsidR="0085709A" w:rsidRDefault="0085709A" w:rsidP="0085709A">
      <w:pPr>
        <w:pStyle w:val="TextoNormal"/>
      </w:pPr>
      <w:r>
        <w:t>A través del tercero de los motivos considera vulnerado su derecho a la tutela judicial efectiva, que conecta con la interdicción de la arbitrariedad de los poderes públicos, tildando de arbitrarias las resoluciones emanadas tanto del Tribunal Superior de Justicia como del Tribunal Supremo. Estima que la Sentencia de apelación añadió afirmaciones fácticas en perjuicio del acusado, para lo cual “inventa hechos que no constan en el hecho probado y que fueron desmentidos por los peritos”, en relación con el movimiento de los vehículos y con la desocupación de la vivienda. Adjudica a la Sentencia de apelación la plasmación de una realidad que no existió, para lo cual introdujo ciertos aspectos probatorios sujetos a inmediación y concretamente obtenidos de prueba pericial y testifical. Considera que el Tribunal Supremo, al convalidar la decisión de apelación, perpetuó tal arbitrariedad.</w:t>
      </w:r>
    </w:p>
    <w:p w:rsidR="0085709A" w:rsidRDefault="0085709A" w:rsidP="0085709A">
      <w:pPr>
        <w:pStyle w:val="TextoNormal"/>
      </w:pPr>
    </w:p>
    <w:p w:rsidR="0085709A" w:rsidRDefault="0085709A" w:rsidP="0085709A">
      <w:pPr>
        <w:pStyle w:val="TextoNormal"/>
      </w:pPr>
      <w:r>
        <w:t>El demandante interesa, en función de todo ello, que se tenga por interpuesto recurso de amparo frente a las tres Sentencias recaídas en este caso, reconociéndose la vulneración de sus derechos a la tutela judicial efectiva y a la presunción de inocencia. Condiciona los efectos de un eventual otorgamiento del amparo en función de que lo sea por el primero o por el tercero de los motivos de queja (en cuyo caso solicita la anulación de las Sentencias dictadas por el Tribunal Superior de Justicia y el Tribunal Supremo, con devolución de las actuaciones a este último para que se pronuncie sobre el quinto de los motivos aducidos en casación), o bien por vulneración del derecho a la presunción de inocencia, por sí solo o conjuntamente con la tutela judicial efectiva (en cuyo caso solicita la anulación de las tres Sentencias, con directa absolución del demandante respecto del delito de homicidio doloso, al haberse declarado no probado por el Jurado el hecho delictivo objeto de acusación).</w:t>
      </w:r>
    </w:p>
    <w:p w:rsidR="0085709A" w:rsidRDefault="0085709A" w:rsidP="0085709A">
      <w:pPr>
        <w:pStyle w:val="TextoNormal"/>
      </w:pPr>
    </w:p>
    <w:p w:rsidR="0085709A" w:rsidRDefault="0085709A" w:rsidP="0085709A">
      <w:pPr>
        <w:pStyle w:val="TextoNormal"/>
      </w:pPr>
      <w:r>
        <w:t>Por otrosí solicitaba, finalmente, la suspensión de la ejecución de las resoluciones impugnadas a la espera de la decisión por parte de este Tribunal, en aras de evitar los perjuicios que una eventual concesión del amparo pudiera generarle en otro caso. Petición que reiteró mediante un nuevo escrito registrado en este Tribunal el 1 de abril de 2013.</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3 de junio de 2013, la Sala Segunda de este Tribunal acordó admitir a trámite la demanda de amparo y, en aplicación de lo previsto en el art. 51 de la Ley Orgánica del Tribunal Constitucional (en adelante, LOTC), dirigir atenta comunicación a los órganos judiciales correspondientes, a fin de que remitiesen certificación o copia adverada de las actuaciones que dieron lugar al presente procedimiento de amparo. Emplazó, asimismo, a las demás partes personadas en el procedimiento por si fuese su deseo comparecer en el presente recurso de amparo.</w:t>
      </w:r>
    </w:p>
    <w:p w:rsidR="0085709A" w:rsidRDefault="0085709A" w:rsidP="0085709A">
      <w:pPr>
        <w:pStyle w:val="TextoNormal"/>
      </w:pPr>
    </w:p>
    <w:p w:rsidR="0085709A" w:rsidRDefault="0085709A" w:rsidP="0085709A">
      <w:pPr>
        <w:pStyle w:val="TextoNormal"/>
      </w:pPr>
      <w:r>
        <w:t>Con esa misma fecha el Tribunal acordó también la suspensión provisional de la ejecución de las resoluciones judiciales impugnadas, al apreciarse las condiciones a que se refiere el art. 56.2 LOTC, ordenando al propio tiempo formar pieza separada para la sustanciación del incidente de suspensión y dar los pertinentes traslados a las partes para alegaciones respecto de su mantenimiento.</w:t>
      </w:r>
    </w:p>
    <w:p w:rsidR="0085709A" w:rsidRDefault="0085709A" w:rsidP="0085709A">
      <w:pPr>
        <w:pStyle w:val="TextoNormal"/>
      </w:pPr>
    </w:p>
    <w:p w:rsidR="0085709A" w:rsidRDefault="0085709A" w:rsidP="0085709A">
      <w:pPr>
        <w:pStyle w:val="TextoNormal"/>
      </w:pPr>
      <w:r>
        <w:t>Efectuadas las oportunas alegaciones por la representación del demandante, así como por el Ministerio Fiscal, que informó en sentido favorable al mantenimiento de la medida cautelar, por Auto de 9 de septiembre de 2013 este Tribunal así lo acordó.</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12 de junio de 2013, el Procurador de los Tribunales don Marco Aurelio Labajo González se personó en el presente procedimiento de amparo en nombre de la mercantil CES 21, S.L.</w:t>
      </w:r>
    </w:p>
    <w:p w:rsidR="0085709A" w:rsidRDefault="0085709A" w:rsidP="0085709A">
      <w:pPr>
        <w:pStyle w:val="TextoNormal"/>
      </w:pPr>
    </w:p>
    <w:p w:rsidR="0085709A" w:rsidRDefault="0085709A" w:rsidP="0085709A">
      <w:pPr>
        <w:pStyle w:val="TextoNormal"/>
      </w:pPr>
      <w:r>
        <w:t>Evacuando el traslado conferido para alegaciones, mediante escrito presentado el 10 de septiembre de 2013, bajo la dirección letrada de don Eduardo Sánchez-Cervera García, CES 21, S.L., mostró su adhesión a los motivos aducidos por el demandante de amparo, haciendo expresa remisión a los argumentos de fondo esgrimidos en la demanda principal.</w:t>
      </w:r>
    </w:p>
    <w:p w:rsidR="0085709A" w:rsidRDefault="0085709A" w:rsidP="0085709A">
      <w:pPr>
        <w:pStyle w:val="TextoNormal"/>
      </w:pPr>
    </w:p>
    <w:p w:rsidR="0085709A" w:rsidRDefault="0085709A" w:rsidP="0085709A">
      <w:pPr>
        <w:pStyle w:val="TextoNormal"/>
      </w:pPr>
      <w:r w:rsidRPr="0085709A">
        <w:rPr>
          <w:rStyle w:val="NumeroAFNegritaCaracter"/>
        </w:rPr>
        <w:t>6</w:t>
      </w:r>
      <w:r>
        <w:t>. Conferido, asimismo, un nuevo traslado al demandante de amparo para alegaciones, mediante escrito registrado el 11 de septiembre de 2013 ratificó íntegramente el contenido de su demanda.</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7 de octubre de 2013, el Ministerio Fiscal presentó sus alegaciones sobre el fondo de la demanda. En su minuciosa exposición, el Fiscal expresa las razones por las que interesa la desestimación del amparo solicitado, al no apreciar lesión de los derechos a la tutela judicial efectiva sin indefensión (art. 24.1 CE) y a la presunción de inocencia (art. 24.2 CE), a los que el Fiscal agrega el derecho a un proceso con todas las garantías (art. 24.2 CE), que estima tácitamente incluido en la demanda, pese a no ser objeto de expresa invocación.</w:t>
      </w:r>
    </w:p>
    <w:p w:rsidR="0085709A" w:rsidRDefault="0085709A" w:rsidP="0085709A">
      <w:pPr>
        <w:pStyle w:val="TextoNormal"/>
      </w:pPr>
    </w:p>
    <w:p w:rsidR="0085709A" w:rsidRDefault="0085709A" w:rsidP="0085709A">
      <w:pPr>
        <w:pStyle w:val="TextoNormal"/>
      </w:pPr>
      <w:r>
        <w:t xml:space="preserve">Partiendo como premisa de que la repetición de un juicio no necesariamente lesiona el derecho a la tutela judicial efectiva, afirma el Fiscal que el Tribunal Superior de Justicia de Cataluña no entró a valorar prueba personal, sino prueba documental, consistente en material videográfico y de audio. De igual modo, aunque el Tribunal Superior de Justicia también se adentrara en la prueba pericial, no lo hizo respecto de lo declarado por los peritos en la vista, sino desde el contenido de los informes obrantes en las actuaciones, que tienen el carácter de pericial documentada. Por tal motivo, ni era necesario que dichas pruebas se </w:t>
      </w:r>
      <w:r>
        <w:lastRenderedPageBreak/>
        <w:t>practicaran bajo la inmediación del Tribunal de apelación, ni la ausencia de la misma supuso una quiebra de la doctrina emanada de la STC 167/2002, de 18 de septiembre, y sus sucesoras.</w:t>
      </w:r>
    </w:p>
    <w:p w:rsidR="0085709A" w:rsidRDefault="0085709A" w:rsidP="0085709A">
      <w:pPr>
        <w:pStyle w:val="TextoNormal"/>
      </w:pPr>
    </w:p>
    <w:p w:rsidR="0085709A" w:rsidRDefault="0085709A" w:rsidP="0085709A">
      <w:pPr>
        <w:pStyle w:val="TextoNormal"/>
      </w:pPr>
      <w:r>
        <w:t>Para el Fiscal, tanto el Tribunal Superior de Justicia como el Tribunal Supremo fiscalizaron la decisión del Jurado ciñéndose a un análisis de racionalidad y suficiencia de la valoración probatoria, premisa desde la que observaron que la inferencia de los jurados carecía de esa exigible racionalidad, habiendo asimismo motivado insuficientemente algunas de sus conclusiones. La Sala de apelación observó que la prueba pericial había sido tergiversada, pues el Jurado se había quedado en la parte teórica de la misma, desconociendo su aplicación al caso concreto, y ello porque el único extremo del informe pericial que los jurados pusieron de relieve en el acta de votación del veredicto en todos los casos en los que lo mencionaron fue aquél que expone que en una situación de estrés o miedo puede existir un estado de alerta, con distorsión de la percepción sensorial, visual o cognitiva (hecho 11), o auditiva, aunque no existan o sean malinterpretadas (hechos 17 a 22, 25 y 26), añadiendo en algunos casos la referencia, asimismo teórica, de uno de los doctores al llamado “efecto túnel”, que ocasionalmente surge por situaciones de estrés, perdiéndose la percepción de lo que ocurre alrededor (25 y 26).</w:t>
      </w:r>
    </w:p>
    <w:p w:rsidR="0085709A" w:rsidRDefault="0085709A" w:rsidP="0085709A">
      <w:pPr>
        <w:pStyle w:val="TextoNormal"/>
      </w:pPr>
    </w:p>
    <w:p w:rsidR="0085709A" w:rsidRDefault="0085709A" w:rsidP="0085709A">
      <w:pPr>
        <w:pStyle w:val="TextoNormal"/>
      </w:pPr>
      <w:r>
        <w:t xml:space="preserve">Considera que el veredicto no cubría, en efecto, la motivación exigible </w:t>
      </w:r>
      <w:r w:rsidRPr="0085709A">
        <w:rPr>
          <w:i/>
        </w:rPr>
        <w:t>ex</w:t>
      </w:r>
      <w:r>
        <w:t xml:space="preserve"> art. 120.3 CE, al incurrir en contradicción interna y no explicitar las razones por las que se entendía aplicable al acusado tal punto teórico de la pericial, no trasladado por los peritos al caso del explorado. Tal defecto fue implementado a través de la directa intervención de la Magistrada encargada de la labor de redactar la Sentencia, en lugar de acudir al mecanismo de la devolución del acta al Jurado que prevé el art. 63.1 d) LOTJ, previa explicación de las causas que la justifican y de la forma en que deben subsanarse los defectos advertidos (art. 64 LOTJ).</w:t>
      </w:r>
    </w:p>
    <w:p w:rsidR="0085709A" w:rsidRDefault="0085709A" w:rsidP="0085709A">
      <w:pPr>
        <w:pStyle w:val="TextoNormal"/>
      </w:pPr>
    </w:p>
    <w:p w:rsidR="0085709A" w:rsidRDefault="0085709A" w:rsidP="0085709A">
      <w:pPr>
        <w:pStyle w:val="TextoNormal"/>
      </w:pPr>
      <w:r>
        <w:t>La decisión de apelación no se pronunció, pues, sobre la culpabilidad o inculpabilidad del acusado, como tampoco alteró los hechos en su perjuicio. Muy al contrario, apreció un defecto en una garantía esencial del proceso, como es la racionalidad de la motivación del veredicto, garantía que también asiste a las acusaciones. Para corregir tal defecto no necesitaba la inmediación de la que habían dispuesto los jurados. Fue ésta la razón por la que el Tribunal Superior de Justicia dejó sin efecto la Sentencia absolutoria y ordenó la retroacción de las actuaciones para la celebración de un nuevo juicio, lo cual es algo bien distinto de dictar una Sentencia condenatoria en vía de recurso, revocando una anterior de sentido absolutorio.</w:t>
      </w:r>
    </w:p>
    <w:p w:rsidR="0085709A" w:rsidRDefault="0085709A" w:rsidP="0085709A">
      <w:pPr>
        <w:pStyle w:val="TextoNormal"/>
      </w:pPr>
    </w:p>
    <w:p w:rsidR="0085709A" w:rsidRDefault="0085709A" w:rsidP="0085709A">
      <w:pPr>
        <w:pStyle w:val="TextoNormal"/>
      </w:pPr>
      <w:r>
        <w:t xml:space="preserve">En relación con la supuesta arbitrariedad en que habría incurrido el Tribunal Superior de Justicia al introducir hechos no declarados probados por los jurados (en concreto, acerca de si había o no alguien en el interior de la finca asaltada y si los vehículos estaban en movimiento en el momento de los disparos), destaca el Ministerio Público que la Sentencia de apelación no contiene un relato de hechos probados propios, por lo que no puede afirmarse —como postula el demandante de amparo— que introdujera hechos nuevos y diferentes a los tenidos en cuenta por el Jurado en su veredicto de inculpabilidad. Simplemente, valoró el resultado de ciertas pruebas documentadas. Para el Fiscal, el punto en el que la demanda asienta esa supuesta arbitrariedad muestra, simplemente, la discrepancia del demandante respecto de la apreciación que, desde las pruebas expresamente atendidas por los jurados, </w:t>
      </w:r>
      <w:r>
        <w:lastRenderedPageBreak/>
        <w:t>hizo el órgano de apelación, llegando a la conclusión de que el veredicto resultaba arbitrario e insuficiente. Lo que en modo alguno convierte en arbitraria a la Sentencia de apelación que así lo declaró.</w:t>
      </w:r>
    </w:p>
    <w:p w:rsidR="0085709A" w:rsidRDefault="0085709A" w:rsidP="0085709A">
      <w:pPr>
        <w:pStyle w:val="TextoNormal"/>
      </w:pPr>
    </w:p>
    <w:p w:rsidR="0085709A" w:rsidRDefault="0085709A" w:rsidP="0085709A">
      <w:pPr>
        <w:pStyle w:val="TextoNormal"/>
      </w:pPr>
      <w:r>
        <w:t>En función de todo ello, descarta el Fiscal que los órganos judiciales lesionaran los derechos aducidos como soporte del amparo, solicitando, en consecuencia, su desestimación.</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demanda de amparo se dirige contra las tres Sentencias recaídas en el presente procedimiento, siendo éstas la dictada el 28 de noviembre de 2012 por la Sala de lo Penal del Tribunal Supremo en el recurso de casación núm. 913-2012, que declaró no haber lugar al recurso interpuesto por el demandante contra la que el 19 de marzo de 2012 emitió el Tribunal Superior de Justicia de Cataluña (Sala de lo Civil y Penal) en el rollo de apelación núm. 29-2011. Tal Sentencia, por su parte, estimando el primer motivo del recurso interpuesto por la acusación particular frente al pronunciamiento absolutorio de primera instancia, ordenó la celebración de un nuevo juicio ante un Tribunal del Jurado de diferente composición, anulando tanto el veredicto emitido por los jurados, como la Sentencia dictada el 21 de junio de 2011, en función del mismo, por la Magistrada de la Audiencia Provincial de Barcelona que había presidido dicho Tribunal.</w:t>
      </w:r>
    </w:p>
    <w:p w:rsidR="0085709A" w:rsidRDefault="0085709A" w:rsidP="0085709A">
      <w:pPr>
        <w:pStyle w:val="TextoNormal"/>
      </w:pPr>
    </w:p>
    <w:p w:rsidR="0085709A" w:rsidRDefault="0085709A" w:rsidP="0085709A">
      <w:pPr>
        <w:pStyle w:val="TextoNormal"/>
      </w:pPr>
      <w:r>
        <w:t>El objeto de nuestro enjuiciamiento se contrae a determinar si las resoluciones impugnadas han vulnerado los derechos del recurrente a la tutela judicial efectiva sin indefensión y con interdicción de la arbitrariedad de los poderes públicos, que el Fiscal reconduce hacia el proceso con todas las garantías, así como del derecho a la presunción de inocencia (art. 24.1 y 2 CE), en la forma que a continuación se describe.</w:t>
      </w:r>
    </w:p>
    <w:p w:rsidR="0085709A" w:rsidRDefault="0085709A" w:rsidP="0085709A">
      <w:pPr>
        <w:pStyle w:val="TextoNormal"/>
      </w:pPr>
    </w:p>
    <w:p w:rsidR="0085709A" w:rsidRDefault="0085709A" w:rsidP="0085709A">
      <w:pPr>
        <w:pStyle w:val="TextoNormal"/>
      </w:pPr>
      <w:r>
        <w:t>En relación con el primero de estos derechos, afirma el demandante de amparo, a través del primer motivo de la demanda, que la anulación en grado de apelación de la absolución decidida por un Jurado popular en la instancia previa lesiona su derecho a la tutela judicial efectiva, en la medida en que se asienta sobre la valoración de pruebas personales no sometidas a la preceptiva inmediación. Tal vicio, en el que estaría directamente incursa la Sentencia de apelación, extendería su efecto a la decisión casacional al haber venido a refrendar la misma. Considera que ambas resoluciones judiciales incurren además en una aplicación desequilibrada, por desproporcionada, de la doctrina constitucional relativa a la “sucinta motivación” exigible a las decisiones del Jurado, para lo cual recurren a un análisis de pruebas personales desprovisto de inmediación. Recuerda la demanda el menor rigor motivacional que precisan, en todo caso, las sentencias absolutorias frente a las condenatorias, habiendo quedado sobradamente exteriorizados en el acta del veredicto no sólo los hechos que el Jurado tuvo aquí por probados y no probados, sino también el sustento probatorio relacionado con cada uno. Por todo lo cual no cabe atribuir laconismo, vaguedad o contradicciones internas al juicio emitido por los jurados, que el Tribunal Superior de Justicia simplemente no compartió.</w:t>
      </w:r>
    </w:p>
    <w:p w:rsidR="0085709A" w:rsidRDefault="0085709A" w:rsidP="0085709A">
      <w:pPr>
        <w:pStyle w:val="TextoNormal"/>
      </w:pPr>
    </w:p>
    <w:p w:rsidR="0085709A" w:rsidRDefault="0085709A" w:rsidP="0085709A">
      <w:pPr>
        <w:pStyle w:val="TextoNormal"/>
      </w:pPr>
      <w:r>
        <w:lastRenderedPageBreak/>
        <w:t>El motivo segundo de la demanda viene a sostener que la apreciación por la Magistrada-Presidente de que el demandante actuó con dolo eventual, cuando realmente tal extremo había sido expresamente descartado por los jurados, atrae el riesgo de generalizar en este concreto tipo de procedimientos una práctica permeable a la incorporación como probados de hechos que el único órgano soberano para decidir no entendió como tales, en quiebra del derecho fundamental a la presunción de inocencia.</w:t>
      </w:r>
    </w:p>
    <w:p w:rsidR="0085709A" w:rsidRDefault="0085709A" w:rsidP="0085709A">
      <w:pPr>
        <w:pStyle w:val="TextoNormal"/>
      </w:pPr>
    </w:p>
    <w:p w:rsidR="0085709A" w:rsidRDefault="0085709A" w:rsidP="0085709A">
      <w:pPr>
        <w:pStyle w:val="TextoNormal"/>
      </w:pPr>
      <w:r>
        <w:t>Finalmente, la tercera de las quejas viene a insistir, de nuevo desde la perspectiva del derecho a la tutela judicial efectiva y en expresa conexión con el primero de los motivos, en el ámbito de control que incumbe a los órganos que conocen de los hechos en vía de recurso, y que debe ceñirse a la fiscalización de la racionalidad y rigurosidad del proceso discursivo y motivacional de instancia. Desde esta perspectiva, el demandante estima que tanto el Tribunal Superior de Justicia como el Tribunal Supremo incurrieron en arbitrariedad, el primero al introducir en su resolución datos que no constan en el cuerpo de hechos probados para plasmar una realidad que no existió, y el segundo al refrendar tal exceso.</w:t>
      </w:r>
    </w:p>
    <w:p w:rsidR="0085709A" w:rsidRDefault="0085709A" w:rsidP="0085709A">
      <w:pPr>
        <w:pStyle w:val="TextoNormal"/>
      </w:pPr>
    </w:p>
    <w:p w:rsidR="0085709A" w:rsidRDefault="0085709A" w:rsidP="0085709A">
      <w:pPr>
        <w:pStyle w:val="TextoNormal"/>
      </w:pPr>
      <w:r>
        <w:t>En virtud de todo ello, el recurrente —a cuya demanda muestra íntegra conformidad la responsable civil subsidiaria CES 21, S.L.— solicita el otorgamiento del amparo, en la forma expuesta en los antecedentes de esta resolución.</w:t>
      </w:r>
    </w:p>
    <w:p w:rsidR="0085709A" w:rsidRDefault="0085709A" w:rsidP="0085709A">
      <w:pPr>
        <w:pStyle w:val="TextoNormal"/>
      </w:pPr>
    </w:p>
    <w:p w:rsidR="0085709A" w:rsidRDefault="0085709A" w:rsidP="0085709A">
      <w:pPr>
        <w:pStyle w:val="TextoNormal"/>
      </w:pPr>
      <w:r>
        <w:t>El Ministerio Fiscal se opone, de contrario, al otorgamiento del amparo, entendiendo que ni la decisión de apelación ni la casacional infringen los derechos fundamentales objeto de denuncia.</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preliminar, en cuanto al escrito por el que la mercantil CES 21, S.L., expresa su conformidad con los motivos esgrimidos por don Lluís Corominas Padullés, se ha de subrayar que este Tribunal tan sólo puede tomar en consideración sus alegaciones en aquello que tienen de refuerzo de la posición de quien es el único demandante de amparo en este caso, sin que proceda efectuar ningún pronunciamiento respecto de la situación de la mercantil como responsable civil subsidiaria, al no haber interpuesto por sí misma y en momento hábil para ello recurso de amparo contra las resoluciones judiciales sometidas a nuestro enjuiciamiento.</w:t>
      </w:r>
    </w:p>
    <w:p w:rsidR="0085709A" w:rsidRDefault="0085709A" w:rsidP="0085709A">
      <w:pPr>
        <w:pStyle w:val="TextoNormal"/>
      </w:pPr>
    </w:p>
    <w:p w:rsidR="0085709A" w:rsidRDefault="0085709A" w:rsidP="0085709A">
      <w:pPr>
        <w:pStyle w:val="TextoNormal"/>
      </w:pPr>
      <w:r>
        <w:t>Resulta de aplicación, al efecto, una doctrina reiteradamente establecida por este Tribunal, conforme a la cual “con independencia de la configuración doctrinal que se dé a la situación de los personados no solicitantes originarios del amparo, es lo cierto que no pueden transformarse en recurrentes, ni, por tanto, deducir pretensiones propias, aunque pueden formular alegaciones, y (pedir) que se les notifiquen las resoluciones que recaigan en el proceso de amparo que tiene por objeto, exclusivamente, las pretensiones deducidas por quienes lo interpusieron en tiempo y forma” (STC 33/2015, de 2 de marzo, FJ 2, por remisión a las SSTC 5/2009, de 12 de enero, FJ 3, y 66/1989, de 17 de abril, FJ 1; en igual sentido, SSTC 228/1997, de 16 de diciembre, FJ 2, 78/2003, de 28 de abril, FJ 2, 209/2003, de 1 de diciembre, FJ 6, 192/2004, de 2 de noviembre, FJ 5, 220/2004, de 29 de noviembre, FJ 3, 295/2005, de 21 de noviembre, FJ 2, 143/2006, de 8 de mayo, FJ 2, o 285/2006, de 9 de octubre, FJ 3, entre otras).</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Hecha la precisión anterior, abordaremos la primera de las cuestiones de fondo que suscita la demanda y que, desde el contenido del derecho a la tutela judicial efectiva (art. </w:t>
      </w:r>
      <w:r>
        <w:lastRenderedPageBreak/>
        <w:t>24.1 CE), sostiene la necesidad de cohonestar la doctrina constitucional en materia de Sentencias absolutorias con el respeto debido al juicio emitido por un Jurado popular, lo que a su vez se pone en relación con el ámbito de control del canon de motivación exigible al veredicto, como expresión documentada de la decisión popular.</w:t>
      </w:r>
    </w:p>
    <w:p w:rsidR="0085709A" w:rsidRDefault="0085709A" w:rsidP="0085709A">
      <w:pPr>
        <w:pStyle w:val="TextoNormal"/>
      </w:pPr>
    </w:p>
    <w:p w:rsidR="0085709A" w:rsidRDefault="0085709A" w:rsidP="0085709A">
      <w:pPr>
        <w:pStyle w:val="TextoNormal"/>
      </w:pPr>
      <w:r>
        <w:t xml:space="preserve">Como antes se adelantaba, entiende el demandante que la anulación en grado de apelación de la previa absolución decidida por el Jurado violentó tal derecho fundamental, en la medida en que el Tribunal Superior de Justicia de Cataluña valoró a tal fin pruebas personales, pese a no disponer de la inmediación necesaria, de la únicamente dispusieron los jurados. Estima que dicha forma de actuar compromete la doctrina constitucional consagrada en la STC 167/2002, de 18 de septiembre, y sus sucesoras, que prohíbe al órgano de apelación valorar pruebas practicadas a presencia del órgano llamado a decidir en primer grado cuando ello implique revocar una resolución absolutoria por otra condenatoria, doctrina que considera extrapolable a aquellos supuestos en los que se declara la nulidad de la primera sentencia, como es el de autos. La Sala de apelación se habría extralimitado así en sus funciones revisoras, bajo la excusa de un veredicto irracional e inmotivado. Considera, igualmente, que el Tribunal Superior de Justicia sobredimensionó la doctrina de este Tribunal relativa al canon de motivación exigible a las Sentencias absolutorias, exigiendo del Jurado un esfuerzo de fundamentación desmesurado, con lo cual incurrió asimismo en arbitrariedad. Infracciones estas que, por venir a ratificar la decisión del Tribunal Superior de Justicia, el demandante extiende a la Sentencia de casación. Tras dejar amplia constancia de las resoluciones en las que este Tribunal Constitucional se ha pronunciado sobre el canon de motivación exigible al veredicto (SSTC 169/2004, 246/2004, 192/2005 y 115/2006, entre otras), expone los detalles por los que considera que, en verdad, dicho vicio </w:t>
      </w:r>
      <w:r w:rsidRPr="0085709A">
        <w:rPr>
          <w:i/>
        </w:rPr>
        <w:t>in iudicando</w:t>
      </w:r>
      <w:r>
        <w:t xml:space="preserve"> no era imputable a la decisión que emitieron los jurados, aludiendo para ello a la extensión del acta de votación.</w:t>
      </w:r>
    </w:p>
    <w:p w:rsidR="0085709A" w:rsidRDefault="0085709A" w:rsidP="0085709A">
      <w:pPr>
        <w:pStyle w:val="TextoNormal"/>
      </w:pPr>
    </w:p>
    <w:p w:rsidR="0085709A" w:rsidRDefault="0085709A" w:rsidP="0085709A">
      <w:pPr>
        <w:pStyle w:val="TextoNormal"/>
      </w:pPr>
      <w:r>
        <w:t>Conviene tener presente, antes de acometer su análisis, que es realmente la motivación contenida en las Sentencias de segundo y tercer grado la que incumbe examinar en respuesta al motivo. Por lo que sólo tangencial e indirectamente, desde el examen de la de primer grado de la que las mismas dan cuenta, cabrá un examen constitucional de lo decidido por el primer Tribunal. En consecuencia, desde esa función meramente fiscalizadora de los pronunciamientos dictados por los dos últimos órganos judiciales, en modo alguno incumbe a este Tribunal conocer de los hechos que dieron lugar al proceso, sino tan sólo de las vulneraciones eventualmente ocasionadas en vía de recurso.</w:t>
      </w:r>
    </w:p>
    <w:p w:rsidR="0085709A" w:rsidRDefault="0085709A" w:rsidP="0085709A">
      <w:pPr>
        <w:pStyle w:val="TextoNormal"/>
      </w:pPr>
    </w:p>
    <w:p w:rsidR="0085709A" w:rsidRDefault="0085709A" w:rsidP="0085709A">
      <w:pPr>
        <w:pStyle w:val="TextoNormal"/>
      </w:pPr>
      <w:r>
        <w:t>Delimitado en tal modo el ámbito de revisión que suscita el primer motivo de queja, resulta oportuno incluir algunas otras consideraciones de carácter general.</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Este Tribunal Constitucional ha destacado la singularidad que plantea, a los efectos de la interdicción del </w:t>
      </w:r>
      <w:r w:rsidRPr="0085709A">
        <w:rPr>
          <w:i/>
        </w:rPr>
        <w:t>bis in idem</w:t>
      </w:r>
      <w:r>
        <w:t>, la anulación de una Sentencia penal absolutoria con orden de retroacción de actuaciones, dada la diferencia que existe entre la acusación y los acusados desde la perspectiva de los derechos fundamentales en juego dentro del proceso penal.</w:t>
      </w:r>
    </w:p>
    <w:p w:rsidR="0085709A" w:rsidRDefault="0085709A" w:rsidP="0085709A">
      <w:pPr>
        <w:pStyle w:val="TextoNormal"/>
      </w:pPr>
    </w:p>
    <w:p w:rsidR="0085709A" w:rsidRDefault="0085709A" w:rsidP="0085709A">
      <w:pPr>
        <w:pStyle w:val="TextoNormal"/>
      </w:pPr>
      <w:r>
        <w:t xml:space="preserve">Así, en línea de principio, no cabe retroacción de actuaciones ante la vulneración de algún derecho fundamental de carácter sustancial que asista a las acusaciones, ya que ello impone al acusado absuelto la carga de un nuevo enjuiciamiento no destinado a corregir una vulneración en su contra de normas procesales con relevancia constitucional. Pero también ha </w:t>
      </w:r>
      <w:r>
        <w:lastRenderedPageBreak/>
        <w:t>expresado este Tribunal que el reconocimiento de esa limitación no puede comportar la negación a las acusaciones de la protección constitucional dispensada por el art. 24 CE, que asimismo les incumbe. Por tal motivo, en un decidido equilibrio entre el estatuto constitucional reforzado del acusado y la necesidad de no excluir a las acusaciones de las garantías del art. 24 CE, se admite constitucionalmente la posibilidad de anular una resolución judicial penal materialmente absolutoria, con orden de retroacción de actuaciones,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(SSTC 23/2008, de 11 de febrero, FJ 3; 220/2007, de 8 de octubre, FJ 4; 189/2004, de 2 de noviembre, FJ 5, o 4/2004, de 16 de enero, FJ 4). En suma, la excepción afecta a aquellas resoluciones absolutorias dictadas en el seno de un proceso penal sustanciado sobre un proceder lesivo de las más elementales garantías procesales de las partes (SSTC 215/1999, de 29 de noviembre, FJ 1, 168/2001, de 16 de julio, FJ 7, o 12/2006, de 16 de enero, FJ 2).</w:t>
      </w:r>
    </w:p>
    <w:p w:rsidR="0085709A" w:rsidRDefault="0085709A" w:rsidP="0085709A">
      <w:pPr>
        <w:pStyle w:val="TextoNormal"/>
      </w:pPr>
    </w:p>
    <w:p w:rsidR="0085709A" w:rsidRDefault="0085709A" w:rsidP="0085709A">
      <w:pPr>
        <w:pStyle w:val="TextoNormal"/>
      </w:pPr>
      <w:r w:rsidRPr="0085709A">
        <w:rPr>
          <w:rStyle w:val="NumeroAFNegritaCaracter"/>
        </w:rPr>
        <w:t>5</w:t>
      </w:r>
      <w:r>
        <w:t>. El derecho a la tutela judicial efectiva (art. 24.1 CE) incluye el derecho a obtener de los órganos judiciales una respuesta razonada, motivada, fundada en Derecho y congruente con las pretensiones oportunamente deducidas por las partes.</w:t>
      </w:r>
    </w:p>
    <w:p w:rsidR="0085709A" w:rsidRDefault="0085709A" w:rsidP="0085709A">
      <w:pPr>
        <w:pStyle w:val="TextoNormal"/>
      </w:pPr>
    </w:p>
    <w:p w:rsidR="0085709A" w:rsidRDefault="0085709A" w:rsidP="0085709A">
      <w:pPr>
        <w:pStyle w:val="TextoNormal"/>
      </w:pPr>
      <w:r>
        <w:t>Cierto es que el señalado deber de motivación adquiere mayor importancia cuando la Sentencia es condenatoria que cuando resulta absolutoria, al no estar en juego los mismos derechos fundamentales, ya que en el segundo caso la tutela judicial efectiva se ve reforzada por la presunción de inocencia. Ahora bien, semejante afirmación en modo alguno significa que las Sentencias absolutorias aparezcan exoneradas del deber general de motivación, pues ésta, como indica el art. 120.3 CE, es requerida “siempre”. De modo que la Sentencia absolutoria no puede quedar limitada al puro decisionismo de la absolución, sin dar cuenta del porqué de la misma, ya que en tal caso se vería afectado el principio general de interdicción de la arbitrariedad como garantía frente a la irrazonabilidad. Así pues, la resolución, cualquiera que sea su fallo, habrá de contener aquellos elementos y razones de juicio que permitan conocer cuáles han sido los criterios que la fundamentan, sin acoger una aplicación arbitraria de la legalidad, manifiestamente irrazonada o irrazonable, o incursa en un error patente, por la que la aplicación de la legalidad haya sido tan sólo una mera apariencia (SSTC 158/2002, de 16 de septiembre, FJ 6; 30/2006, de 30 de enero, FJ 5; 82/2009, de 23 de marzo, FJ 6, o 107/2011, de 20 de junio, FJ 2.</w:t>
      </w:r>
    </w:p>
    <w:p w:rsidR="0085709A" w:rsidRDefault="0085709A" w:rsidP="0085709A">
      <w:pPr>
        <w:pStyle w:val="TextoNormal"/>
      </w:pPr>
    </w:p>
    <w:p w:rsidR="0085709A" w:rsidRDefault="0085709A" w:rsidP="0085709A">
      <w:pPr>
        <w:pStyle w:val="TextoNormal"/>
      </w:pPr>
      <w:r>
        <w:t xml:space="preserve">Siendo lo anterior doctrina de carácter general, la particularidad del caso que nos ocupa reside en el órgano encargado de decidir: un Jurado. El art. 61.1.d), de la Ley Orgánica del Tribunal del Jurado, Ley Orgánica 5/1995, de 22 de mayo (en adelante, LOTJ), dedicado al acta de votación del veredicto, impone la inclusión en la misma de un apartado cuarto, cuyo específico cometido será que los jurados describan los elementos probatorios desde los que han formado su convicción y bajo la expresa exigencia de una “sucinta explicación de las razones por las que han declarado o rechazado declarar determinados hechos como probados”. Por lo tanto, según se desprende del propio tenor literal del precepto, la necesidad de una “sucinta explicación” aparece vinculada no sólo a lo declarado probado, sino también al rechazo de tener determinados hechos por probados. En realidad, dicho deber no es sino emanación de la previsión constitucional de que las Sentencias sean siempre motivadas; de modo que, tal y como recordaba la STC 115/2006, de 24 de abril, FJ 5, por remisión a lo </w:t>
      </w:r>
      <w:r>
        <w:lastRenderedPageBreak/>
        <w:t>decidido por el Pleno de este Tribunal en la STC 169/2004, de 6 de octubre, no puede sostenerse que la motivación sea una mera formalidad prescindible en supuestos de absolución, como tampoco que la ausencia de motivación bastante en la decisión del Jurado carezca de toda trascendencia: la falta de la apuntada explicación sucinta afecta al contenido del art. 120.3 CE, proyectado al Jurado, y supone, en definitiva, la carencia de una de las garantías procesales que, de acuerdo con una consolidada doctrina constitucional, integran el derecho a la tutela judicial efectiva (art. 24.1 CE, SSTC 188/1999, de 25 de octubre; 169/2004, de 6 de octubre, y 246/2004, de 26 de diciembre, entre otras).</w:t>
      </w:r>
    </w:p>
    <w:p w:rsidR="0085709A" w:rsidRDefault="0085709A" w:rsidP="0085709A">
      <w:pPr>
        <w:pStyle w:val="TextoNormal"/>
      </w:pPr>
    </w:p>
    <w:p w:rsidR="0085709A" w:rsidRDefault="0085709A" w:rsidP="0085709A">
      <w:pPr>
        <w:pStyle w:val="TextoNormal"/>
      </w:pPr>
      <w:r>
        <w:t>La dificultad de que un órgano integrado por personas legas en Derecho motive sus decisiones, aun mediante esa mitigada exigencia de que la explicación sea “sucinta”, no ha pasado desapercibida al legislador. Así lo revela la propia exposición de motivos de la LOTJ cuando deja constancia de la opción por un sistema en el que “el Jurado debe someterse inexorablemente al mandato del legislador. Y tal adecuación sólo es susceptible de control en la medida en que el veredicto exterioriza el curso argumental que lo motivó”. A esa exteriorización del curso argumental que motiva el veredicto atiende la Ley —según sigue indicando la exposición de motivos— al exigir del Jurado, entre otros extremos, que “su demostrada capacidad para decidirse por una u otra versión alcance el grado necesario para la exposición de sus motivos. Bien es cierto que la exposición de lo tenido por probado explicita la argumentación de la conclusión de culpabilidad o inculpabilidad. Pero hoy, la exigencia constitucional de motivación no se satisface con ello. También la motivación de estos argumentos es necesaria. Y desde luego posible si se considera que en modo alguno requiere especial artificio y cuenta en todo caso el Jurado con la posibilidad de instar el asesoramiento necesario” (apartado V, el veredicto, núm. 1, sobre el objeto). De modo que el legislador ha optado por imponer a los jurados, a los efectos que interesan para la resolución del presente recurso de amparo, la exigencia de explicar en el acta del veredicto las razones por las que han declarado o rechazado declarar determinados hechos como probados.</w:t>
      </w:r>
    </w:p>
    <w:p w:rsidR="0085709A" w:rsidRDefault="0085709A" w:rsidP="0085709A">
      <w:pPr>
        <w:pStyle w:val="TextoNormal"/>
      </w:pPr>
    </w:p>
    <w:p w:rsidR="0085709A" w:rsidRDefault="0085709A" w:rsidP="0085709A">
      <w:pPr>
        <w:pStyle w:val="TextoNormal"/>
      </w:pPr>
      <w:r>
        <w:t xml:space="preserve">Del cuerpo jurisprudencial que queda expuesto, se pueden extraer algunas ideas rectoras del análisis de la suficiencia constitucional de cualquier veredicto pronunciado por un Jurado. La primera de ellas, que el deber de motivación impuesto legalmente no puede desconectarse de la condición de sus integrantes, no forzosamente conocedores del Derecho, por lo que no resulta exigible de los jurados un exhaustivo análisis de toda la actividad probatoria desplegada, como tampoco una exégesis jurídica equivalente a la del profesional en Derecho. En segundo lugar, que el nivel de exigencia habrá de modularse también en función de que el Jurado suscriba un pronunciamiento de culpabilidad o inculpabilidad, menos riguroso en este último caso. Ninguna de estas dos premisas excluye, sin embargo, el deber de coherencia y racionalidad intrínsecamente exigible a su decisión, como a cualquier otra resolución judicial de fondo, </w:t>
      </w:r>
      <w:r w:rsidRPr="0085709A">
        <w:rPr>
          <w:i/>
        </w:rPr>
        <w:t>ex</w:t>
      </w:r>
      <w:r>
        <w:t xml:space="preserve"> art. 24.1 CE, en tanto que garantía frente a la arbitrariedad y a la irrazonabilidad en la actuación de quien asume tal poder de decisión.</w:t>
      </w:r>
    </w:p>
    <w:p w:rsidR="0085709A" w:rsidRDefault="0085709A" w:rsidP="0085709A">
      <w:pPr>
        <w:pStyle w:val="TextoNormal"/>
      </w:pPr>
    </w:p>
    <w:p w:rsidR="0085709A" w:rsidRDefault="0085709A" w:rsidP="0085709A">
      <w:pPr>
        <w:pStyle w:val="TextoNormal"/>
      </w:pPr>
      <w:r>
        <w:t>Igual grado de racionalidad y razonabilidad incumbe a la resolución por la que el Magistrado que preside dicho Tribunal popular, acogiendo el veredicto, dicte Sentencia.</w:t>
      </w:r>
    </w:p>
    <w:p w:rsidR="0085709A" w:rsidRDefault="0085709A" w:rsidP="0085709A">
      <w:pPr>
        <w:pStyle w:val="TextoNormal"/>
      </w:pPr>
    </w:p>
    <w:p w:rsidR="0085709A" w:rsidRDefault="0085709A" w:rsidP="0085709A">
      <w:pPr>
        <w:pStyle w:val="TextoNormal"/>
      </w:pPr>
      <w:r>
        <w:t xml:space="preserve">Debe también tenerse en cuenta una reiterada doctrina de este Tribunal que expresa que la apreciación o no de la concurrencia de circunstancias eximentes o atenuantes de la responsabilidad es una cuestión de estricta legalidad penal cuya resolución corresponde a los </w:t>
      </w:r>
      <w:r>
        <w:lastRenderedPageBreak/>
        <w:t>órganos judiciales competentes, y cuyo control en esta sede se limita a comprobar que la respuesta de éstos sea suficientemente motivada y no arbitraria, irrazonable o patentemente errónea (STC 78/2013, de 8 de abril, FJ 3, por remisión a las SSTC 211/1992, de 30 de noviembre, FJ 5; 133/1994, de 9 de mayo, FJ 4; 63/2001, de 17 de marzo, FJ 11; 239/2006, de 17 de julio, FJ 5; 5/2010, de 7 de abril, FJ 5, y 142/2012, de 2 de julio, FJ 7; en igual sentido, SSTC 5/2010, de 7 de abril, FJ 5, y 142/2012, de 2 de julio, FJ 7).</w:t>
      </w:r>
    </w:p>
    <w:p w:rsidR="0085709A" w:rsidRDefault="0085709A" w:rsidP="0085709A">
      <w:pPr>
        <w:pStyle w:val="TextoNormal"/>
      </w:pPr>
    </w:p>
    <w:p w:rsidR="0085709A" w:rsidRDefault="0085709A" w:rsidP="0085709A">
      <w:pPr>
        <w:pStyle w:val="TextoNormal"/>
      </w:pPr>
      <w:r>
        <w:t>En consecuencia, el control constitucional que, desde el prisma de la tutela judicial efectiva, cabe efectuar en estos casos quedará limitado a los supuestos en los que bien el veredicto, bien la resolución judicial que lo recoge se muestren manifiestamente infundados, arbitrarios, irrazonables o irrazonados, o bien sean fruto de error patente (SSTC 169/2004, de 6 de octubre, FJ 7, y 246/2004, de 20 de diciembre, FJ 5).</w:t>
      </w:r>
    </w:p>
    <w:p w:rsidR="0085709A" w:rsidRDefault="0085709A" w:rsidP="0085709A">
      <w:pPr>
        <w:pStyle w:val="TextoNormal"/>
      </w:pPr>
    </w:p>
    <w:p w:rsidR="0085709A" w:rsidRDefault="0085709A" w:rsidP="0085709A">
      <w:pPr>
        <w:pStyle w:val="TextoNormal"/>
      </w:pPr>
      <w:r w:rsidRPr="0085709A">
        <w:rPr>
          <w:rStyle w:val="NumeroAFNegritaCaracter"/>
        </w:rPr>
        <w:t>6</w:t>
      </w:r>
      <w:r>
        <w:t>. Tras las precedentes consideraciones, es momento de examinar si las resoluciones judiciales del Tribunal Superior de Justicia y del Tribunal Supremo vulneraron el derecho a la tutela judicial efectiva del recurrente en amparo, bien al anular, bien al confirmar la anulación tanto de la Sentencia de primer grado como del veredicto del Jurado.</w:t>
      </w:r>
    </w:p>
    <w:p w:rsidR="0085709A" w:rsidRDefault="0085709A" w:rsidP="0085709A">
      <w:pPr>
        <w:pStyle w:val="TextoNormal"/>
      </w:pPr>
    </w:p>
    <w:p w:rsidR="0085709A" w:rsidRDefault="0085709A" w:rsidP="0085709A">
      <w:pPr>
        <w:pStyle w:val="TextoNormal"/>
      </w:pPr>
      <w:r>
        <w:t xml:space="preserve">Como punto de partida de nuestro análisis debemos recordar que, tal como se expone pormenorizadamente en el antecedente 2 de esta resolución, la Magistrada- presidenta del Jurado dictó una sentencia por la que absolvía al recurrente en amparo del delito de homicidio del que había sido acusado por considerar que concurría la eximente completa de legítima defensa putativa, pese a que el propio jurado había rechazado incluir como hecho probado en su veredicto uno que declaraba que “[e]l acusado, siendo consciente del riesgo que para la vida de los ocupantes del Renault Megane implicaba su acción, y de las altas probabilidades de causar muerte, utilizando una pistola semiautomática que portaba, efectuó dos disparos al vehículo”, para, después comprobar si, al anular tanto la Sentencia de primer grado como el veredicto del Jurado en la forma que queda vista, el Tribunal Superior de Justicia vulneró el derecho a la tutela judicial efectiva del recurrente en amparo. El sustrato principal del presente análisis consiste, pues, en determinar el punto de equilibrio entre el carácter lego de los jurados, su deber de motivar racionalmente las conclusiones alcanzadas y el rol sanador que el Tribunal Superior de Justicia estimó inadecuadamente ejercido </w:t>
      </w:r>
      <w:r w:rsidRPr="0085709A">
        <w:rPr>
          <w:i/>
        </w:rPr>
        <w:t>motu proprio</w:t>
      </w:r>
      <w:r>
        <w:t xml:space="preserve"> por la Magistrada que había presidido el Tribunal del Jurado, encauzando los términos del veredicto hacia una reformulación de la intencionalidad del acusado a través del mecanismo del que da cuenta la Sentencia de primer grado, en lugar de proceder a la devolución del acta bajo la fórmula que prevé el art. 63.1.d) LOTJ. Todo ello sin perder de vista la particular naturaleza de la apelación en el procedimiento ante el Tribunal del Jurado, cuyo sistema tasado de motivos la aproxima hacia un recurso extraordinario.</w:t>
      </w:r>
    </w:p>
    <w:p w:rsidR="0085709A" w:rsidRDefault="0085709A" w:rsidP="0085709A">
      <w:pPr>
        <w:pStyle w:val="TextoNormal"/>
      </w:pPr>
    </w:p>
    <w:p w:rsidR="0085709A" w:rsidRDefault="0085709A" w:rsidP="0085709A">
      <w:pPr>
        <w:pStyle w:val="TextoNormal"/>
      </w:pPr>
      <w:r>
        <w:t xml:space="preserve">El propio demandante reconoce en su escrito esa labor integradora de la Sentencia inicial, que trató la cuestión como una suerte de “error” del Jurado al desarrollar sus inferencias sobre los elementos subjetivos. Trata, no obstante, de reconducir el </w:t>
      </w:r>
      <w:r w:rsidRPr="0085709A">
        <w:rPr>
          <w:i/>
        </w:rPr>
        <w:t>thema decidendi</w:t>
      </w:r>
      <w:r>
        <w:t xml:space="preserve"> hacia la esfera de las Sentencias absolutorias de primer grado, después revocadas en apelación, tesis que luego se analizará. Basta ahora destacar que las decisiones de apelación y casación no se pronunciaron sobre su culpabilidad o inculpabilidad como acusado. Simplemente apreciaron una quiebra en la lógica interna al veredicto, quiebra que ya había constatado la </w:t>
      </w:r>
      <w:r>
        <w:lastRenderedPageBreak/>
        <w:t xml:space="preserve">Magistrada </w:t>
      </w:r>
      <w:r w:rsidRPr="0085709A">
        <w:rPr>
          <w:i/>
        </w:rPr>
        <w:t>a quo</w:t>
      </w:r>
      <w:r>
        <w:t>. Lo cual en modo alguno convierte en arbitraria a la Sentencia de apelación que así lo declara, como tampoco a la que, en casación, vino a refrendar la postura de la inmediata anterior.</w:t>
      </w:r>
    </w:p>
    <w:p w:rsidR="0085709A" w:rsidRDefault="0085709A" w:rsidP="0085709A">
      <w:pPr>
        <w:pStyle w:val="TextoNormal"/>
      </w:pPr>
    </w:p>
    <w:p w:rsidR="0085709A" w:rsidRDefault="0085709A" w:rsidP="0085709A">
      <w:pPr>
        <w:pStyle w:val="TextoNormal"/>
      </w:pPr>
      <w:r>
        <w:t xml:space="preserve">El Tribunal Superior de Justicia acometió la tarea no realizada en la instancia en orden a reparar un vicio que, observado </w:t>
      </w:r>
      <w:r w:rsidRPr="0085709A">
        <w:rPr>
          <w:i/>
        </w:rPr>
        <w:t>ex ante</w:t>
      </w:r>
      <w:r>
        <w:t>, se había rectificado invadiendo competencias reservadas al Jurado con exclusividad, por expresa voluntad del legislador. Desde la racional motivación que, sobre este particular, ofrece la Sentencia de apelación resulta suficientemente justificada la revocación de la Sentencia de primer grado, como también —ante la disolución del Jurado que conoció de los hechos— la retroacción de las actuaciones hasta el momento que se señala. Fue ésta la razón principal por la que el Tribunal de apelación dejó sin efecto la Sentencia absolutoria y ordenó la retroacción de las actuaciones para la celebración de un nuevo juicio, algo bien distinto de dictar una Sentencia condenatoria en vía de recurso, revocando una anterior de sentido absolutorio. Y fue esta misma razón la que llevó al Tribunal de casación a ratificar la decisión de apelación, ratificación que en igual medida deviene justificada.</w:t>
      </w:r>
    </w:p>
    <w:p w:rsidR="0085709A" w:rsidRDefault="0085709A" w:rsidP="0085709A">
      <w:pPr>
        <w:pStyle w:val="TextoNormal"/>
      </w:pPr>
    </w:p>
    <w:p w:rsidR="0085709A" w:rsidRDefault="0085709A" w:rsidP="0085709A">
      <w:pPr>
        <w:pStyle w:val="TextoNormal"/>
      </w:pPr>
      <w:r>
        <w:t xml:space="preserve">De ahí que las decisiones judiciales que ahora se impugnan no puedan considerarse lesivas del derecho del demandante de amparo a la tutela judicial efectiva, que no cabe entender vulnerado por el mero hecho de que el Tribunal Superior de Justicia reparara, como órgano </w:t>
      </w:r>
      <w:r w:rsidRPr="0085709A">
        <w:rPr>
          <w:i/>
        </w:rPr>
        <w:t>ad quem</w:t>
      </w:r>
      <w:r>
        <w:t>, el derecho a la tutela judicial efectiva que también asiste a la acusación y cuya subsanación había interesado ésta expresamente en vía de recurso.</w:t>
      </w:r>
    </w:p>
    <w:p w:rsidR="0085709A" w:rsidRDefault="0085709A" w:rsidP="0085709A">
      <w:pPr>
        <w:pStyle w:val="TextoNormal"/>
      </w:pPr>
    </w:p>
    <w:p w:rsidR="0085709A" w:rsidRDefault="0085709A" w:rsidP="0085709A">
      <w:pPr>
        <w:pStyle w:val="TextoNormal"/>
      </w:pPr>
      <w:r>
        <w:t>En suma, ambas resoluciones judiciales, de apelación y de casación, fueron respetuosas con el derecho a la tutela judicial efectiva del demandante (art. 24.1 CE), no incurriendo en arbitrariedad, como tampoco en exceso alguno al ejercer sus funciones revisoras en los términos que quedan vistos. Por las fundadas razones expuestas en la Sentencia de apelación, la decisión de celebración de nuevo juicio resultaba, igualmente, la única opción compatible con lo motivadamente decidido.</w:t>
      </w:r>
    </w:p>
    <w:p w:rsidR="0085709A" w:rsidRDefault="0085709A" w:rsidP="0085709A">
      <w:pPr>
        <w:pStyle w:val="TextoNormal"/>
      </w:pPr>
    </w:p>
    <w:p w:rsidR="0085709A" w:rsidRDefault="0085709A" w:rsidP="0085709A">
      <w:pPr>
        <w:pStyle w:val="TextoNormal"/>
      </w:pPr>
      <w:r>
        <w:t>Cierto es que la Sala de apelación apreció un segundo defecto en el veredicto o, por ser más precisos, en el sustento probatorio desde el que los jurados fundamentaron sus conclusiones sobre el estado anímico del acusado al tiempo de los hechos. En concreto, al acoger un punto técnico de la pericial no trasladado a la concreta situación y personalidad del hoy demandante. Es sobre este particular de la decisión de apelación sobre el que el demandante focaliza la atención constitucional, entendiendo que la valoración del Tribunal Superior de Justicia se hizo de espaldas a la inmediación. Sin embargo, tal aspecto de su queja viene a quedar necesariamente sin objeto desde cuanto se acaba de exponer con anterioridad, dado que la razón primera y fundamental que contempla la decisión revocatoria de apelación pivotó sobre la ya señalada constatación de una contradicción interna al juicio emitido por el jurado acerca de la intencionalidad que habría guiado al acusado al emprender su acción de disparar. Incoherencia cuya importancia hacía obligado un nuevo enjuiciamiento, por cuanto queda visto, y ante lo cual toda reflexión adicional que pudiera ahora proporcionarse, en clave constitucional, deviene innecesaria.</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Descendiendo al segundo motivo de la demanda, en él se invoca el derecho a la presunción de inocencia (art. 24.2 CE), que el demandante considera vulnerado a través de la Sentencia de primer grado, en la medida en que vino a afirmar que actuó con dolo eventual </w:t>
      </w:r>
      <w:r>
        <w:lastRenderedPageBreak/>
        <w:t xml:space="preserve">cuando el Jurado había descartado este extremo mediante el rechazo del hecho 11 del veredicto e introducción, en su lugar y por unanimidad, del hecho 11 </w:t>
      </w:r>
      <w:r w:rsidRPr="0085709A">
        <w:rPr>
          <w:i/>
        </w:rPr>
        <w:t>bis</w:t>
      </w:r>
      <w:r>
        <w:t>, aséptico a cualquier tipo de intencionalidad resultante de la sola acción de disparar. Considera el demandante que la aceptación de la actividad integradora expresamente admitida por la Magistrada-Presidente atrae el riesgo de generalizar una práctica que haría quebrar el citado derecho fundamental, pues autorizaría la incorporación como probados de hechos que el único órgano soberano para decidir no habría tenido por tales. De ello se sirve para solicitar su libre absolución en sede de amparo, basándose en que no puede haber delito de homicidio sin intencionalidad, como así lo decidió el Jurado en este caso.</w:t>
      </w:r>
    </w:p>
    <w:p w:rsidR="0085709A" w:rsidRDefault="0085709A" w:rsidP="0085709A">
      <w:pPr>
        <w:pStyle w:val="TextoNormal"/>
      </w:pPr>
    </w:p>
    <w:p w:rsidR="0085709A" w:rsidRDefault="0085709A" w:rsidP="0085709A">
      <w:pPr>
        <w:pStyle w:val="TextoNormal"/>
      </w:pPr>
      <w:r>
        <w:t xml:space="preserve">Con tal planteamiento —que el demandante ya defendió en el primer motivo de su recurso de apelación y que no resolvió el Tribunal Superior de Justicia ante la estimación preferente de la cuestión previa suscitada a instancias de la acusación particular, antes vista— no viene sino a reconocer el complemento integrador que </w:t>
      </w:r>
      <w:r w:rsidRPr="0085709A">
        <w:rPr>
          <w:i/>
        </w:rPr>
        <w:t>motu proprio</w:t>
      </w:r>
      <w:r>
        <w:t xml:space="preserve"> realizó quien presidía el Tribunal del Jurado. Complemento que, precisamente, la Sala de apelación entendió erróneo, en tanto que contrario a la norma aplicable, que prevé como única alternativa posible en tal situación la devolución del acta al Jurado. La queja se remonta, pues, a aquella Sentencia cuyos efectos vinieron a quedar anulados mediante el uso del régimen de recursos, primero en apelación y después en casación, y por la que se entendió lesionado un derecho fundamental que obligaba a la reposición de las actuaciones a un momento anterior. Resulta, en tal medida, contradictoria con los restantes argumentos defendidos en la demanda de amparo y dirigidos a cuestionar lo decidido en apelación, ya que, aunque amparándose en diferente derecho fundamental, no viene sino a dar la razón al Tribunal Superior de Justicia en su decisión de anular la Sentencia de primer grado.</w:t>
      </w:r>
    </w:p>
    <w:p w:rsidR="0085709A" w:rsidRDefault="0085709A" w:rsidP="0085709A">
      <w:pPr>
        <w:pStyle w:val="TextoNormal"/>
      </w:pPr>
    </w:p>
    <w:p w:rsidR="0085709A" w:rsidRDefault="0085709A" w:rsidP="0085709A">
      <w:pPr>
        <w:pStyle w:val="TextoNormal"/>
      </w:pPr>
      <w:r>
        <w:t xml:space="preserve">En cualquier caso, cabe asimismo recordar que el derecho a la presunción de inocencia se configura, en su perspectiva constitucional, como el derecho a no ser condenado sin pruebas de cargo válidas, por lo que, para desplegar sus efectos, requiere un pronunciamiento de condena, inexistente en este caso. Sólo desde una situación preliminar de condena cabe valorar si el derecho a la presunción de inocencia ha sido vulnerado, derecho que una consolidada doctrina de este Tribunal (SSTC 107/2011, de 20 de junio, FJ 4, o 68/2010, de 18 de octubre, FJ 4, entre otras muchas) configura, en tanto que regla de juicio y con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también declaró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w:t>
      </w:r>
      <w:r w:rsidRPr="0085709A">
        <w:rPr>
          <w:i/>
        </w:rPr>
        <w:t>iter</w:t>
      </w:r>
      <w:r>
        <w:t xml:space="preserve"> discursivo que conduce de la prueba al hecho probado” (FJ 2).</w:t>
      </w:r>
    </w:p>
    <w:p w:rsidR="0085709A" w:rsidRDefault="0085709A" w:rsidP="0085709A">
      <w:pPr>
        <w:pStyle w:val="TextoNormal"/>
      </w:pPr>
    </w:p>
    <w:p w:rsidR="0085709A" w:rsidRDefault="0085709A" w:rsidP="0085709A">
      <w:pPr>
        <w:pStyle w:val="TextoNormal"/>
      </w:pPr>
      <w:r>
        <w:t xml:space="preserve">Como se ha expuesto con anterioridad, ni en apelación ni en casación los Tribunales aquí intervinientes se pronunciaron sobre la culpabilidad o inculpabilidad del acusado. Tampoco alteraron los hechos en su perjuicio. Limitaron su función revisora a un control externo de lo decidido en la instancia inmediatamente anterior, llegando a una conclusión de ausencia </w:t>
      </w:r>
      <w:r>
        <w:lastRenderedPageBreak/>
        <w:t>de racionalidad sin abordar cuestiones de fondo en términos de condena, por todo lo cual la pretendida lesión no puede entenderse existente.</w:t>
      </w:r>
    </w:p>
    <w:p w:rsidR="0085709A" w:rsidRDefault="0085709A" w:rsidP="0085709A">
      <w:pPr>
        <w:pStyle w:val="TextoNormal"/>
      </w:pPr>
    </w:p>
    <w:p w:rsidR="0085709A" w:rsidRDefault="0085709A" w:rsidP="0085709A">
      <w:pPr>
        <w:pStyle w:val="TextoNormal"/>
      </w:pPr>
      <w:r w:rsidRPr="0085709A">
        <w:rPr>
          <w:rStyle w:val="NumeroAFNegritaCaracter"/>
        </w:rPr>
        <w:t>8</w:t>
      </w:r>
      <w:r>
        <w:t>. . El demandante centra su última alegación de nuevo sobre el derecho a la tutela judicial efectiva, que expresamente anuda al primero de los motivos para adjudicar una vez más su vulneración a los Tribunales de segundo y tercer grado, que de tal modo habrían actuado arbitrariamente. Insiste en que el Tribunal Superior de Justicia se excedió en sus funciones de control de la motivación exigible al Jurado popular, pues consideró que el veredicto se apartó de las reglas de la lógica mediante la introducción de hechos nuevos, que no constan en el veredicto y que se encuentran en abierta oposición a la prueba efectivamente practicada, en referencia al movimiento de los vehículos al tiempo de producirse los disparos y a la desocupación de la vivienda en el momento del asalto. Al igual que en el caso anterior, extiende tal exceso al Tribunal Supremo al haber venido a confirmar la decisión precedente.</w:t>
      </w:r>
    </w:p>
    <w:p w:rsidR="0085709A" w:rsidRDefault="0085709A" w:rsidP="0085709A">
      <w:pPr>
        <w:pStyle w:val="TextoNormal"/>
      </w:pPr>
    </w:p>
    <w:p w:rsidR="0085709A" w:rsidRDefault="0085709A" w:rsidP="0085709A">
      <w:pPr>
        <w:pStyle w:val="TextoNormal"/>
      </w:pPr>
      <w:r>
        <w:t>Sin embargo, tal y como ya se ha señalado anteriormente y como también lo expuso el Ministerio Fiscal en sus alegaciones, la Sentencia de apelación no contiene un relato propio de hechos probados, por lo que difícilmente puede afirmarse que introduzca hechos nuevos y diferentes de aquéllos que tuvo en cuenta el Jurado al emitir un veredicto de inculpabilidad. De hecho, los dos aspectos fácticos en los que el demandante sitúa la queja aparecen entre los expresamente declarados probados en el veredicto popular (hechos 5 y 10).</w:t>
      </w:r>
    </w:p>
    <w:p w:rsidR="0085709A" w:rsidRDefault="0085709A" w:rsidP="0085709A">
      <w:pPr>
        <w:pStyle w:val="TextoNormal"/>
      </w:pPr>
    </w:p>
    <w:p w:rsidR="0085709A" w:rsidRDefault="0085709A" w:rsidP="0085709A">
      <w:pPr>
        <w:pStyle w:val="TextoNormal"/>
      </w:pPr>
      <w:r>
        <w:t xml:space="preserve">Es desde el contenido de la Sentencia de primer grado, que a su vez se basa en lo recogido en el acta de votación, desde donde el Tribunal Superior de Justicia verificó la nuclear fisura que ha quedado vista, sin modificar por ello el relato histórico. Tampoco sobrepasó el canon de motivación exigible a los jurados al venir a reparar así un daño efectivo en el derecho a la tutela judicial de la acusación recurrente, lo cual no implica arbitrariedad. Y si el pretendido exceso no es predicable de la Sentencia de apelación, tampoco lo es de aquélla dictada en casación que, sobre el estricto contenido de lo señalado en la directamente impugnada y no sin delimitar antes nítidamente los límites de su análisis revisor, estima justificada, en términos de racionalidad y suficiencia motivacional, la decisión que le precede en grado. Ambas resoluciones judiciales respetaron el derecho a la tutela judicial efectiva del demandante (art. 24.1 CE), satisfaciendo igualmente el específico canon de motivación a ellas exigible, </w:t>
      </w:r>
      <w:r w:rsidRPr="0085709A">
        <w:rPr>
          <w:i/>
        </w:rPr>
        <w:t>ex</w:t>
      </w:r>
      <w:r>
        <w:t xml:space="preserve"> art. 120.3 CE.</w:t>
      </w:r>
    </w:p>
    <w:p w:rsidR="0085709A" w:rsidRDefault="0085709A" w:rsidP="0085709A">
      <w:pPr>
        <w:pStyle w:val="TextoNormal"/>
      </w:pPr>
    </w:p>
    <w:p w:rsidR="0085709A" w:rsidRDefault="0085709A" w:rsidP="0085709A">
      <w:pPr>
        <w:pStyle w:val="TextoNormal"/>
      </w:pPr>
      <w:r>
        <w:t xml:space="preserve">Como se ha expresado con anterioridad, el demandante trata de reconducir la situación hacia la esfera de las Sentencias absolutorias de primer grado que devienen revocadas en apelación, dictándose en esa segunda instancia un pronunciamiento condenatorio </w:t>
      </w:r>
      <w:r w:rsidRPr="0085709A">
        <w:rPr>
          <w:i/>
        </w:rPr>
        <w:t>ex novo</w:t>
      </w:r>
      <w:r>
        <w:t xml:space="preserve">. Al respecto, este Tribunal ha estimado contrario a un proceso con todas las garantías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(STC 157/2013, de 23 de septiembre, FFJJ 3 y 5, por remisión a las SSTC 167/2002, de 18 de septiembre; 272/2005, de 24 de octubre, FJ 2; 184/2009, de 7 de septiembre; 126/2012, de 18 de junio, FJ 2; 22/2013, de 31 de enero, FJ 4; 43/2013, de 25 de febrero, FJ 5, y 88/2013, de 11 de abril, FJ 6). Presupuestos que no cabe apreciar en un reenvío de la causa </w:t>
      </w:r>
      <w:r>
        <w:lastRenderedPageBreak/>
        <w:t>a la instancia de origen bajo circunstancias como las antes expuestas, en las que la devolución se realiza sin prejuzgar en modo alguno el resultado del nuevo enjuiciamiento, para el que el nuevo Tribunal dispondrá de plena soberanía y libertad de juicio.</w:t>
      </w:r>
    </w:p>
    <w:p w:rsidR="0085709A" w:rsidRDefault="0085709A" w:rsidP="0085709A">
      <w:pPr>
        <w:pStyle w:val="TextoNormal"/>
      </w:pPr>
    </w:p>
    <w:p w:rsidR="0085709A" w:rsidRDefault="0085709A" w:rsidP="0085709A">
      <w:pPr>
        <w:pStyle w:val="TextoNormal"/>
      </w:pPr>
      <w:r>
        <w:t>Los razonamientos precedentes conducen también así a la desestimación del último de los motivos de la demanda.</w:t>
      </w:r>
    </w:p>
    <w:p w:rsidR="0085709A" w:rsidRDefault="0085709A" w:rsidP="0085709A">
      <w:pPr>
        <w:pStyle w:val="TextoNormal"/>
      </w:pPr>
    </w:p>
    <w:p w:rsidR="0085709A" w:rsidRDefault="0085709A" w:rsidP="0085709A">
      <w:pPr>
        <w:pStyle w:val="TextoNormal"/>
      </w:pPr>
      <w:r w:rsidRPr="0085709A">
        <w:rPr>
          <w:rStyle w:val="NumeroAFNegritaCaracter"/>
        </w:rPr>
        <w:t>9</w:t>
      </w:r>
      <w:r>
        <w:t>. Por lo expuesto, procede denegar el amparo solicitado.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el recurso de amparo solicitado por don Lluís Corominas Padullés.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6" w:name="SENTENCIA_2015_113"/>
      <w:r>
        <w:lastRenderedPageBreak/>
        <w:t>SENTENCIA 113/2015, de 8 de junio de 2015</w:t>
      </w:r>
    </w:p>
    <w:bookmarkEnd w:id="116"/>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ECLI:ES:TC:2015:113</w:t>
      </w:r>
    </w:p>
    <w:p w:rsidR="0085709A" w:rsidRDefault="0085709A" w:rsidP="0085709A">
      <w:pPr>
        <w:pStyle w:val="TextoNormalCentrado"/>
      </w:pPr>
    </w:p>
    <w:p w:rsidR="0085709A" w:rsidRDefault="0085709A" w:rsidP="0085709A">
      <w:pPr>
        <w:pStyle w:val="SntesisDescriptiva"/>
      </w:pPr>
      <w:r>
        <w:t>Cuestión de inconstitucionalidad 5080-2013. Planteada por la Sala de lo Social de la Audiencia Nacional en relación con el artículo 2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extinción, por pérdida de objeto, de la cuestión de inconstitucionalidad (STC 83/2015).</w:t>
      </w:r>
    </w:p>
    <w:p w:rsidR="0085709A" w:rsidRDefault="0085709A" w:rsidP="0085709A">
      <w:pPr>
        <w:pStyle w:val="SntesisAnaltica"/>
      </w:pPr>
    </w:p>
    <w:p w:rsidR="0085709A" w:rsidRDefault="0085709A" w:rsidP="0085709A">
      <w:pPr>
        <w:pStyle w:val="Extracto"/>
      </w:pPr>
      <w:r>
        <w:t>1.</w:t>
      </w:r>
      <w:r>
        <w:tab/>
        <w:t>Doctrina sobre la pérdida de objeto de la cuestión de inconstitucionalidad en relación con la recuperación de la paga extraordinaria y adicional del mes de diciembre de 2012 como consecuencia de lo establecido en la disposición adicional duodécima de la Ley de presupuestos generales del Estado para 2015 (STC 83/2015) [FJ 3].</w:t>
      </w:r>
    </w:p>
    <w:p w:rsidR="0085709A" w:rsidRDefault="0085709A" w:rsidP="0085709A">
      <w:pPr>
        <w:pStyle w:val="Extracto"/>
      </w:pPr>
    </w:p>
    <w:p w:rsidR="0085709A" w:rsidRDefault="0085709A" w:rsidP="0085709A">
      <w:pPr>
        <w:pStyle w:val="Extracto"/>
      </w:pPr>
      <w:r>
        <w:t>2.</w:t>
      </w:r>
      <w:r>
        <w:tab/>
        <w:t>La recuperación por los trabajadores de la Administración General del Estado de la parte proporcional correspondiente a los primeros 44 días de la paga extra de diciembre de 2012, en virtud de lo establecido en la disposición adicional duodécima de la Ley de presupuestos generales del Estado para 2015, supone la satisfacción extraprocesal de la pretensión deducida en el proceso laboral sobre la que se articula la presente cuestión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5080-2013 promovida por la Sala de lo Social de la Audiencia Nacional, en relación con el art. 2 del Real Decreto-ley 20/2012, de 13 de julio, de medidas para garantizar la estabilidad presupuestaria y de fomento de la competitividad. Han comparecido y formulado alegaciones el Abogado del Estado y el Sindicato Unión Sindical Obrera. Ha intervenido el Fiscal General del Estado.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Con fecha 4 de septiembre de 2013, tuvo entrada en el Registro General de este Tribunal un oficio de la Sala de lo Social de la Audiencia Nacional remitiendo testimonio de las actuaciones correspondientes al procedimiento 107-2013, en materia de conflicto colectivo, seguido a instancia del sindicato Unión Sindical Obrera, contra la Administración General del Estado (Ministerio de Hacienda y Administraciones Públicas). Éstas incorporan el Auto de 5 de julio de 2013,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del proceso en el que se plantea la cuestión son los siguientes:</w:t>
      </w:r>
    </w:p>
    <w:p w:rsidR="0085709A" w:rsidRDefault="0085709A" w:rsidP="0085709A">
      <w:pPr>
        <w:pStyle w:val="TextoNormal"/>
      </w:pPr>
    </w:p>
    <w:p w:rsidR="0085709A" w:rsidRDefault="0085709A" w:rsidP="0085709A">
      <w:pPr>
        <w:pStyle w:val="TextoNormal"/>
      </w:pPr>
      <w:r>
        <w:t>a) La Unión Sindical Obrera (USO) promovió un procedimiento de conflicto colectivo que tenía por objeto la declaración de nulidad de la decisión empresarial de no abonar la paga extraordinaria del mes de diciembre de 2012 y el reconocimiento del derecho de los trabajadores afectados a percibir dicha paga. Subsidiariamente, en el caso de que no fuera estimado lo anterior, solicitaba el reconocimiento del derecho a percibir la parte proporcional de la mencionada paga por el periodo devengado hasta el 14 de julio del mismo año. Además de otras vulneraciones de derechos constitucionales, invocaba el sindicato demandante la vulneración por el precepto legal cuestionado del principio de irretroactividad de las normas restrictivas de derechos (art. 9.3 CE), haciendo alusión al escrito de la Defensora del Pueblo, conforme al cual los trabajadores debían tener derecho a la parte proporcional según la forma de devengo y, por tanto, el derecho a percibir la paga suprimida en la cuantía devengada hasta el 14 de julio de 2012.</w:t>
      </w:r>
    </w:p>
    <w:p w:rsidR="0085709A" w:rsidRDefault="0085709A" w:rsidP="0085709A">
      <w:pPr>
        <w:pStyle w:val="TextoNormal"/>
      </w:pPr>
    </w:p>
    <w:p w:rsidR="0085709A" w:rsidRDefault="0085709A" w:rsidP="0085709A">
      <w:pPr>
        <w:pStyle w:val="TextoNormal"/>
      </w:pPr>
      <w:r>
        <w:t>b) Celebrada la vista y concluso el procedimiento para Sentencia, la Sala acordó, mediante providencia de 9 de mayo de 2013, oír a las partes y al Ministerio Fiscal, por el plazo común de diez días, sobre la pertinencia de plantear cuestión de inconstitucionalidad sobre el art. 2 del Real Decreto-ley 20/2012, de 13 de julio, citado en el encabezamiento. La duda planteada consistía en que el citado precepto, al establecer la reducción de retribuciones en las cuantías que correspondiera percibir el mes de diciembre de 2012, sin excepción alguna respecto de la parte ya devengada a la fecha de entrada en vigor del Real Decreto-ley, podría vulnerar el principio de irretroactividad de las normas restrictivas de derechos individuales, al ser la paga extraordinaria una manifestación del salario diferido que se devenga día a día.</w:t>
      </w:r>
    </w:p>
    <w:p w:rsidR="0085709A" w:rsidRDefault="0085709A" w:rsidP="0085709A">
      <w:pPr>
        <w:pStyle w:val="TextoNormal"/>
      </w:pPr>
    </w:p>
    <w:p w:rsidR="0085709A" w:rsidRDefault="0085709A" w:rsidP="0085709A">
      <w:pPr>
        <w:pStyle w:val="TextoNormal"/>
      </w:pPr>
      <w:r>
        <w:t>c) El 21 de mayo de 2013, los sindicatos FSC-CC.OO, CSIF, UGT FED, servicios públicos, CIG y ELA se personaron en el procedimiento solicitando se les tuviera como partes, y se les concediera plazo para formular alegaciones respecto de la cuestión de inconstitucionalidad planteada.</w:t>
      </w:r>
    </w:p>
    <w:p w:rsidR="0085709A" w:rsidRDefault="0085709A" w:rsidP="0085709A">
      <w:pPr>
        <w:pStyle w:val="TextoNormal"/>
      </w:pPr>
    </w:p>
    <w:p w:rsidR="0085709A" w:rsidRDefault="0085709A" w:rsidP="0085709A">
      <w:pPr>
        <w:pStyle w:val="TextoNormal"/>
      </w:pPr>
      <w:r>
        <w:t>d) Por diligencia de ordenación del mismo día se acordó tenerles por personados y se les dio traslado de las actuaciones a fin de que alegasen, en el plazo de diez días a partir de la recepción de la resolución, lo que a su derecho conviniera.</w:t>
      </w:r>
    </w:p>
    <w:p w:rsidR="0085709A" w:rsidRDefault="0085709A" w:rsidP="0085709A">
      <w:pPr>
        <w:pStyle w:val="TextoNormal"/>
      </w:pPr>
    </w:p>
    <w:p w:rsidR="0085709A" w:rsidRDefault="0085709A" w:rsidP="0085709A">
      <w:pPr>
        <w:pStyle w:val="TextoNormal"/>
      </w:pPr>
      <w:r>
        <w:lastRenderedPageBreak/>
        <w:t>e) El 22 de junio de 2013, el Abogado del Estado presentó alegaciones suplicando el no planteamiento de la cuestión de inconstitucionalidad. Con esta misma fecha, USO presentó las suyas solicitando la elevación de la cuestión. El informe del Ministerio Fiscal, con entrada en la Sala el 29 de mayo de 2013, señalaba, sin entrar en el fondo de la cuestión planteada, que el juicio de relevancia era correcto por lo que correspondía a la Sala resolver sobre el planteamiento de la cuestión de inconstitucionalidad. Finalmente, el 13 de junio de 2013 presentaron sus alegaciones FSC-CC.OO, CSIF, y UGT solicitando el planteamiento de la cuestión de inconstitucionalidad.</w:t>
      </w:r>
    </w:p>
    <w:p w:rsidR="0085709A" w:rsidRDefault="0085709A" w:rsidP="0085709A">
      <w:pPr>
        <w:pStyle w:val="TextoNormal"/>
      </w:pPr>
    </w:p>
    <w:p w:rsidR="0085709A" w:rsidRDefault="0085709A" w:rsidP="0085709A">
      <w:pPr>
        <w:pStyle w:val="TextoNormal"/>
      </w:pPr>
      <w:r>
        <w:t>f) Por Auto de 5 de julio de 2013, la Sala acordó elevar cuestión de constitucionalidad ante el Tribunal Constitucional para que resolviera 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CE.</w:t>
      </w:r>
    </w:p>
    <w:p w:rsidR="0085709A" w:rsidRDefault="0085709A" w:rsidP="0085709A">
      <w:pPr>
        <w:pStyle w:val="TextoNormal"/>
      </w:pPr>
    </w:p>
    <w:p w:rsidR="0085709A" w:rsidRDefault="0085709A" w:rsidP="0085709A">
      <w:pPr>
        <w:pStyle w:val="TextoNormal"/>
      </w:pPr>
      <w:r w:rsidRPr="0085709A">
        <w:rPr>
          <w:rStyle w:val="NumeroAFNegritaCaracter"/>
        </w:rPr>
        <w:t>3</w:t>
      </w:r>
      <w:r>
        <w:t>. El razonamiento en que se basa el Auto de 5 de julio de 2013, es el que a continuación se expone. Considera que el precepto citado suprime la paga extraordinaria del mes de diciembre del 2012 a partir de su entrada en vigor, el 15 de julio de 2012, sin que precise cosa alguna sobre excepciones por derechos devengados, por lo que no es posible interpretar que el art. 2 del Real Decreto-ley citado permite abonar la parte de la parte de la paga extraordinaria que ya se hubiera devengado a su entrada en vigor. De la constitucionalidad de la norma legal cuestionada depende el contenido del fallo, pues una de las pretensiones formuladas en las demandas es que se mantenga incólume la percepción de la parte ya devengada de la paga extraordinaria de diciembre de 2012.</w:t>
      </w:r>
    </w:p>
    <w:p w:rsidR="0085709A" w:rsidRDefault="0085709A" w:rsidP="0085709A">
      <w:pPr>
        <w:pStyle w:val="TextoNormal"/>
      </w:pPr>
    </w:p>
    <w:p w:rsidR="0085709A" w:rsidRDefault="0085709A" w:rsidP="0085709A">
      <w:pPr>
        <w:pStyle w:val="TextoNormal"/>
      </w:pPr>
      <w:r>
        <w:t xml:space="preserve">Parte el Auto de la doctrina constitucional sobre el fundamento y alcance de la prohibición de retroactividad de las disposiciones restrictivas de derechos individuales (con referencia expresa a la STC 112/2006, de 5 de abril) y señala que, a pesar de ser consciente del espíritu restrictivo que impregna la interpretación del art. 9.3 CE, concurren en este caso los requisitos para concluir la lesión del mencionado principio. Se trata de un derecho individual, pues los derechos retributivos pertenecen a la esfera de protección de la persona consagrados en el art. 35 CE, que comprende el derecho al trabajo remunerado y la promoción económica a través del trabajo, en definitiva, un concepto más amplio que la estricta cuantía mínima interprofesional que encaja en el supuesto de hecho del art. 9.3 CE. Además, la supresión de la paga extraordinaria para el personal laboral del sector público, constituye un supuesto de retroactividad auténtica. Entiende la Sala que frente a la concepción que el Abogado del Estado hace derivar de la norma impugnada, que no es otra que el devengo puntual en el momento del pago de las gratificaciones, debe primar la concepción jurisprudencial según la cual el devengo se hace día a día. En primer lugar, porque se trata de una jurisprudencia consolidada que constituye fuente del derecho. En segundo lugar, porque estos reiterados pronunciamientos se han vertido en recursos de casación en unificación de doctrina sobre los que el Tribunal Constitucional ha mantenido un valor normativo complementario de salvaguarda de la pureza de la ley. En tercer lugar, porque nada hay en la norma, más allá de su entrada en vigor, que permita entender que el legislador ha pretendido corregir el criterio jurisprudencial sobre las pagas extraordinarias, siendo así que este cambio del concepto de las pagas extraordinarias debía haber sido expreso y no quedar en manos de </w:t>
      </w:r>
      <w:r>
        <w:lastRenderedPageBreak/>
        <w:t>una presunta voluntad tácita del legislador. Se trata, pues de una retroactividad de grado máximo o auténtica.</w:t>
      </w:r>
    </w:p>
    <w:p w:rsidR="0085709A" w:rsidRDefault="0085709A" w:rsidP="0085709A">
      <w:pPr>
        <w:pStyle w:val="TextoNormal"/>
      </w:pPr>
    </w:p>
    <w:p w:rsidR="0085709A" w:rsidRDefault="0085709A" w:rsidP="0085709A">
      <w:pPr>
        <w:pStyle w:val="TextoNormal"/>
      </w:pPr>
      <w:r>
        <w:t>Frente al argumento de la Abogacía del Estado, según el cual la retroactividad estaría ligada al bien común y al interés general al que sirven los ajustes presupuestarios provocados por la situación de crisis, entiende la Sala que la excepción que puede introducirse a la prohibición de retroactividad del art. 9.3 CE debe ser interpretada restrictivamente, no sólo porque al tratarse de una excepción no puede albergar una concepción amplia de los supuestos que comprende, sino también porque el Tribunal Constitucional ha añadido un plus más restrictivo aún, al referirse a exigencias “cualificadas del bien común” y no a cualquier bien común. Señala el Auto que resulta necesario tener en cuenta la seguridad jurídica, pues si esta regla opera en el caso de retroactividad de las normas tributarias que no son restrictivas de derechos, con mayor razón deberá hacerlo en este caso. Pues bien, la reducción del déficit público no reúne la nota de calificación excepcional necesaria para sacrificar el principio constitucional de seguridad jurídica, siendo el interés general el que se ataca al negar el derecho a percibir el salario correspondiente a quienes hayan prestado los servicios. El bien común que justifica el sacrificio de la irretroactividad debe estar conectado con valores de igual entidad, como los derechos fundamentales de los ciudadanos. Por el contrario, el propio Tribunal Constitucional ha entendido que ni la finalidad de evitar el enriquecimiento injusto puede considerarse una especial circunstancia de interés general que resulte prevalente a los principios de seguridad jurídica e interdicción de la arbitrariedad (STC 18 de mayo de 2009), ni tampoco la claridad y sencillez del sistema y facilidad de la gestión y continuidad del aseguramiento puede imponerse a la modificación retroactiva del encuadramiento en la Seguridad Social de un determinado colectivo (STC de 20 de abril de 2009).</w:t>
      </w:r>
    </w:p>
    <w:p w:rsidR="0085709A" w:rsidRDefault="0085709A" w:rsidP="0085709A">
      <w:pPr>
        <w:pStyle w:val="TextoNormal"/>
      </w:pPr>
    </w:p>
    <w:p w:rsidR="0085709A" w:rsidRDefault="0085709A" w:rsidP="0085709A">
      <w:pPr>
        <w:pStyle w:val="TextoNormal"/>
      </w:pPr>
      <w:r>
        <w:t>Continúa el Auto señalando que tanto las instituciones europeas (resolución del Parlamento de 5 de julio de 2011, sobre el futuro de los servicios sociales de interés general), como el Tribunal Europeo de Derechos Humanos (Sentencia de 6 de octubre de 2005, Draon contra Francia) tienen una concepción elevada de lo que representa el interés general. De ahí que entienda que la pretensión de reducir el gasto público, por muy urgente y necesaria que sea, no constituye sin más un bien común que abra la puerta a exceptuar los principios básicos constitucionales.</w:t>
      </w:r>
    </w:p>
    <w:p w:rsidR="0085709A" w:rsidRDefault="0085709A" w:rsidP="0085709A">
      <w:pPr>
        <w:pStyle w:val="TextoNormal"/>
      </w:pPr>
    </w:p>
    <w:p w:rsidR="0085709A" w:rsidRDefault="0085709A" w:rsidP="0085709A">
      <w:pPr>
        <w:pStyle w:val="TextoNormal"/>
      </w:pPr>
      <w:r>
        <w:t>Descarta el Auto, finalmente, que exista una expropiación legislativa de derechos que contemple la adecuada indemnización. La hipotética devolución futura de cantidades ni está garantizada, ni es propiamente una devolución, pues las cuantías detraídas se aportarán a planes de pensiones o contratos de seguro cuya existencia dependerá de lo que establezca el legislador en el futuro, sin que se determinen los concretos términos o condiciones, quedando sometida esta “compensación” al principio de estabilidad presupuestaria.</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8 de octubre de 2013, el Pleno del Tribunal Constitucional acordó admitir a trámite la presente cuestión de inconstitucionalidad; deferir su conocimiento a la Sala Primera; dar traslado de las actuaciones al Congreso de los Diputados, al Senado, al Gobierno y al Fiscal General del Estado para personación y alegaciones; comunicar la resolución a la Sala de lo Social de la Audiencia Nacional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5</w:t>
      </w:r>
      <w:r>
        <w:t>. Por sendos escritos registrados en el Tribunal Constitucional el 23 y 25 de octubre de 2013, los Presidentes del Senado y del Congreso, actuando en la representación que legalmente ostentan, se personaron en el proceso y dieron por ofrecida la colaboración de ambas Cámaras.</w:t>
      </w:r>
    </w:p>
    <w:p w:rsidR="0085709A" w:rsidRDefault="0085709A" w:rsidP="0085709A">
      <w:pPr>
        <w:pStyle w:val="TextoNormal"/>
      </w:pPr>
    </w:p>
    <w:p w:rsidR="0085709A" w:rsidRDefault="0085709A" w:rsidP="0085709A">
      <w:pPr>
        <w:pStyle w:val="TextoNormal"/>
      </w:pPr>
      <w:r w:rsidRPr="0085709A">
        <w:rPr>
          <w:rStyle w:val="NumeroAFNegritaCaracter"/>
        </w:rPr>
        <w:t>6</w:t>
      </w:r>
      <w:r>
        <w:t>. Las alegaciones del Abogado del Estado, que a continuación se resumen, tuvieron entrada en el Tribunal Constitucional el 30 de octubre de 2013. Comienza acotando el objeto de la cuestión, ya el Auto de planteamiento solo se refiere en realidad al apartado 2.2 del art. 2, es decir, a la aplicación de la supresión de la paga extraordinaria de diciembre al personal laboral del sector público y sólo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Una inconstitucionalidad por omisión de la que, en su caso, no se derivaría la inconstitucionalidad del art. 2 del Real Decreto-ley 20/2012, sino la obligación del legislador de excepcionar de la supresión la parte proporcional de los días 1 al 15 de julio de 2012.</w:t>
      </w:r>
    </w:p>
    <w:p w:rsidR="0085709A" w:rsidRDefault="0085709A" w:rsidP="0085709A">
      <w:pPr>
        <w:pStyle w:val="TextoNormal"/>
      </w:pPr>
    </w:p>
    <w:p w:rsidR="0085709A" w:rsidRDefault="0085709A" w:rsidP="0085709A">
      <w:pPr>
        <w:pStyle w:val="TextoNormal"/>
      </w:pPr>
      <w:r>
        <w:t>Niega que nos encontremos ante una “disposición sancionadora no favorable o restrictiva de derechos individuales” en el sentido del art. 9.3 CE. El art. 35.1 CE (derecho a una remuneración suficiente) comprende el derecho al “mantenimiento” de una determinada retribución con independencia de la coyuntura económica, ni permite afirmar que una reducción salarial es una norma constitucionalmente restrictiva de derechos en el sentido del art. 9.3 CE. Tampoco establece una retroactividad proscrita por el art. 9.3 CE, la “auténtica o de grado máximo” (que supone la incidencia sobre relaciones consagradas y afecta a situaciones agotadas).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 que la Sala resuelve con invocación de la jurisprudencia. Pero la interpretación jurisprudencial de un precepto legal no puede erigirse en parámetro de constitucionalidad de otra norma de rango legal, siendo la jurisprudencia la que tiene que adaptarse a lo que disponga el legislador. De acuerdo con el art. 2 del Real Decreto-ley 20/2012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cuya doctrina es perfectamente trasladaba a la cuestión aquí suscitada.</w:t>
      </w:r>
    </w:p>
    <w:p w:rsidR="0085709A" w:rsidRDefault="0085709A" w:rsidP="0085709A">
      <w:pPr>
        <w:pStyle w:val="TextoNormal"/>
      </w:pPr>
    </w:p>
    <w:p w:rsidR="0085709A" w:rsidRDefault="0085709A" w:rsidP="0085709A">
      <w:pPr>
        <w:pStyle w:val="TextoNormal"/>
      </w:pPr>
      <w:r>
        <w:t xml:space="preserve">Aún en el caso de que se considerase que la norma supone una retroactividad auténtica, concurrirían excepcionales circunstancias de interés público que la justificarían. Recuerda que de conformidad con la doctrina constitucional y con la del Tribunal de Justicia de la Unión Europa, pueden reputarse conformes a la Constitución modificaciones con cualquier grado de retroactividad cuando existieran claras exigencias de “interés general”, siendo la </w:t>
      </w:r>
      <w:r>
        <w:lastRenderedPageBreak/>
        <w:t>reducción de las retribuciones una medida extraordinaria de “contención de gastos de personal” que tiene por finalidad “contribuir a la consecución del inexcusable objetivo de estabilidad presupuestaria derivado del marco constitucional y de la Unión Europea”. 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Niega, finalmente,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estaba justificada desde la perspectiva de la proporcionalidad. Por todo ello, se interesa la desestimación de la cuestión.</w:t>
      </w:r>
    </w:p>
    <w:p w:rsidR="0085709A" w:rsidRDefault="0085709A" w:rsidP="0085709A">
      <w:pPr>
        <w:pStyle w:val="TextoNormal"/>
      </w:pPr>
    </w:p>
    <w:p w:rsidR="0085709A" w:rsidRDefault="0085709A" w:rsidP="0085709A">
      <w:pPr>
        <w:pStyle w:val="TextoNormal"/>
      </w:pPr>
      <w:r w:rsidRPr="0085709A">
        <w:rPr>
          <w:rStyle w:val="NumeroAFNegritaCaracter"/>
        </w:rPr>
        <w:t>7</w:t>
      </w:r>
      <w:r>
        <w:t>. Por escrito que tuvo entrada en el Tribunal Constitucional el 4 de noviembre de 2013, el Fiscal General del Estado realizó sus alegaciones, solicitando la declaración de inconstitucionalidad del precepto cuestionado, por vulnerar el principio de irretroactividad de las disposiciones restrictivas de derechos individuales que garantiza el art. 9.3 CE.</w:t>
      </w:r>
    </w:p>
    <w:p w:rsidR="0085709A" w:rsidRDefault="0085709A" w:rsidP="0085709A">
      <w:pPr>
        <w:pStyle w:val="TextoNormal"/>
      </w:pPr>
    </w:p>
    <w:p w:rsidR="0085709A" w:rsidRDefault="0085709A" w:rsidP="0085709A">
      <w:pPr>
        <w:pStyle w:val="TextoNormal"/>
      </w:pPr>
      <w:r>
        <w:t xml:space="preserve">Considera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Si bien no llegan a comprometerse derechos fundamentales o libertades públicas, sí que se ven concernidos derechos individuales, expresión directa de la esfera general de protección de la persona. La idea de sanción resulta clara, pues se pretende extraer del patrimonio de los ciudadanos y sin indemnización, un bien o un derecho del que ya dispone. Esto expuesto, llega a la conclusión de que la norma afecta a un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y se incorporan cada jornada al patrimonio del trabajador, y ello con independencia de que su efectiva percepción tenga lugar en el último mes del período. De este modo, la privación de la cantidad correspondiente a dicho período supondría la restricción injustificada de un derecho individual que como tal, prohíbe el art. 9.3 CE. Invoca, además,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 Recuerda que el Tribunal Constitucional no rechaza la posibilidad de una actuación extraordinaria por parte de los </w:t>
      </w:r>
      <w:r>
        <w:lastRenderedPageBreak/>
        <w:t>poderes públicos para que, en atención a la excepcionalidad de determinadas circunstancias o exigencias del bien común, pueda dotarse de eficacia retroactiva máxima a una normativa privativa de derechos. Sin embargo, tal hipótesis no puede suponer un aval genérico para que el poder público pueda conducirse apartándose de una expresa previsión legal, cuando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85709A" w:rsidRDefault="0085709A" w:rsidP="0085709A">
      <w:pPr>
        <w:pStyle w:val="TextoNormal"/>
      </w:pPr>
    </w:p>
    <w:p w:rsidR="0085709A" w:rsidRDefault="0085709A" w:rsidP="0085709A">
      <w:pPr>
        <w:pStyle w:val="TextoNormal"/>
      </w:pPr>
      <w:r>
        <w:t>Precisa, finalmente, que en el Auto de planteamiento no se cuestiona todo el art. 2 del Real Decreto-ley 20/2012 sino sólo su apartado 2.2, y que tratándose de un supuesto de retroactividad máxima en relación con derechos ya integrados en el patrimonio de sus titulares, en caso de una declaración de inconstitucionalidad el efecto habría de limitarse al período ya mencionado comprendido entre las fechas del 1 y el 15 de julio de 2012.</w:t>
      </w:r>
    </w:p>
    <w:p w:rsidR="0085709A" w:rsidRDefault="0085709A" w:rsidP="0085709A">
      <w:pPr>
        <w:pStyle w:val="TextoNormal"/>
      </w:pPr>
    </w:p>
    <w:p w:rsidR="0085709A" w:rsidRDefault="0085709A" w:rsidP="0085709A">
      <w:pPr>
        <w:pStyle w:val="TextoNormal"/>
      </w:pPr>
      <w:r w:rsidRPr="0085709A">
        <w:rPr>
          <w:rStyle w:val="NumeroAFNegritaCaracter"/>
        </w:rPr>
        <w:t>8</w:t>
      </w:r>
      <w:r>
        <w:t>. El 22 de noviembre de 2013, USO presentó sus alegaciones en el Registro General del Tribunal Constitucional. Tras recordar el tenor literal de los arts. 70 y 73 del Convenio único para el personal laboral de la Administración General del Estado, de 31 de julio de 2009, y reproducir la regulación del art. 2 del Real Decreto-ley 20/2012, entiende que vulnera los principios de legalidad, jerarquía normativa, seguridad jurídica e irretroactividad de las disposiciones restrictivas de derechos individuales, prohibición de la arbitrariedad (todos ellos del art. 9.3 CE), así como el principio de derecho comunitario de protección de la confianza legítima. Se trata de una norma restrictiva o menos favorable de derechos que prevé la supresión de una partida retributiva en una cuantía que en parte ya ha sido devengada conforme a las normas generales de devengo aplicadas al sector público. La limitación constitucional es clara: la reducción salarial no puede afectar a partidas ya devengadas, siendo preciso distinguir entre devengo, cuantía retributiva y momento del pago.</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Sala de lo Social de la Audiencia Nacional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w:t>
      </w:r>
      <w:r>
        <w:lastRenderedPageBreak/>
        <w:t>las disposiciones sancionadoras no favorables o restrictivas de derechos individuales (art. 9.3 CE), al no contemplar excepción alguna respecto de las cuantías ya devengadas al momento de la entrada en vigor del Real Decreto-ley 20/2012 (esto es, desde el 1 al 14 de julio de 2012).</w:t>
      </w:r>
    </w:p>
    <w:p w:rsidR="0085709A" w:rsidRDefault="0085709A" w:rsidP="0085709A">
      <w:pPr>
        <w:pStyle w:val="TextoNormal"/>
      </w:pPr>
    </w:p>
    <w:p w:rsidR="0085709A" w:rsidRDefault="0085709A" w:rsidP="0085709A">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al análisis de la cuestión planteada, conviene realizar una serie de precisiones para acotar debidamente el objeto de la misma y el alcance de nuestro enjuiciamiento.</w:t>
      </w:r>
    </w:p>
    <w:p w:rsidR="0085709A" w:rsidRDefault="0085709A" w:rsidP="0085709A">
      <w:pPr>
        <w:pStyle w:val="TextoNormal"/>
      </w:pPr>
    </w:p>
    <w:p w:rsidR="0085709A" w:rsidRDefault="0085709A" w:rsidP="0085709A">
      <w:pPr>
        <w:pStyle w:val="TextoNormal"/>
      </w:pPr>
      <w:r>
        <w:t>a) En primer lugar, resulta obligado advertir que, aunque la Sala de lo Social de la Audiencia Nacional plantea la cuestión de inconstitucionalidad respecto del art. 2 Real Decreto-ley 20/2012 in totum, su razonamiento permite concluir que lo único cuestionado es su aplicación al personal laboral del sector público, lo que resulta del todo coherente con el juicio de aplicabilidad y relevancia, pues la cuestión de inconstitucionalidad trae causa de un proceso de conflicto colectivo promovido por varios sindicatos con motivo de la supresión, por aplicación de las previsiones contenidas en el Real Decreto-ley 20/2012, de la paga o gratificación extraordinaria de diciembre de 2012 al personal laboral de la Administración General del Estado (Ministerio de Hacienda y Administraciones Públicas). En este proceso la pretensión principal es la nulidad de la decisión empresarial de no abonar la paga extra del mes de diciembre de 2012 y, subsidiariamente que se declare el derecho de los trabajadores a percibir la parte proporcional de la paga extra de diciembre de 2012 que consideran ya devengada al momento de la entrada en vigor del Real Decreto-ley 20/2012. Así pues,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85709A" w:rsidRDefault="0085709A" w:rsidP="0085709A">
      <w:pPr>
        <w:pStyle w:val="TextoNormal"/>
      </w:pPr>
    </w:p>
    <w:p w:rsidR="0085709A" w:rsidRDefault="0085709A" w:rsidP="0085709A">
      <w:pPr>
        <w:pStyle w:val="TextoNormal"/>
      </w:pPr>
      <w:r>
        <w:t>b) No se cuestiona por la Sala de lo Social de la Audiencia Nacional la medida de supresión de la paga extraordinaria de diciembre de 2012 en sí misma considerada (que es la pretensión principal que se deduce por los demandantes en el proceso a quo, como se ha dicho), sino sólo en cuanto su aplicación haya podido suponer la infracción del principio de irretroactividad establecido en el 9.3 CE, al no contemplar excepción alguna respecto de las cuantías de dicha paga extra que se entienden ya devengadas (en concreto, catorce días del mes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se ceñirá nuestro enjuiciamiento.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Delimitado el alcance de nuestra decisión, debemos remitirnos a lo dicho en la STC 83/2015, de 30 de abril, sobre la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en su apartado 1.2; y en su apartado 2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85709A" w:rsidRDefault="0085709A" w:rsidP="0085709A">
      <w:pPr>
        <w:pStyle w:val="TextoNormal"/>
      </w:pPr>
    </w:p>
    <w:p w:rsidR="0085709A" w:rsidRDefault="0085709A" w:rsidP="0085709A">
      <w:pPr>
        <w:pStyle w:val="TextoNormal"/>
      </w:pPr>
      <w:r>
        <w:t>En este caso, ha de estarse a lo dispuesto en el apartado II de la referida Instrucción, en cuanto que contiene las reglas aplicables al personal laboral del sector público estatal al que resulta de aplicación el III Convenio colectivo único del personal laboral al servicio de la Administración General del Estado, publicado por resolución de 3 de noviembre de 2009 (“BOE” núm. 273, de 12 de noviembre de 2009)</w:t>
      </w:r>
    </w:p>
    <w:p w:rsidR="0085709A" w:rsidRDefault="0085709A" w:rsidP="0085709A">
      <w:pPr>
        <w:pStyle w:val="TextoNormal"/>
      </w:pPr>
    </w:p>
    <w:p w:rsidR="0085709A" w:rsidRDefault="0085709A" w:rsidP="0085709A">
      <w:pPr>
        <w:pStyle w:val="TextoNormal"/>
      </w:pPr>
      <w:r>
        <w:t>En el fundamento jurídico 3 de la STC 83/2015 pusimos de manifiesto que era innegable la incidencia que tenía la medida contenida en la disposición adicional duodécima de la Ley 36/2014, de presupuestos generales del Estado para 2015 sobre la pretensión deducida el pleito a quo, “que afecta de modo determinante a la subsistencia del presente proceso constitucional, dada la estrecha vinculación existente entre toda cuestión de inconstitucionalidad y el procedimiento judicial de que dimana.”</w:t>
      </w:r>
    </w:p>
    <w:p w:rsidR="0085709A" w:rsidRDefault="0085709A" w:rsidP="0085709A">
      <w:pPr>
        <w:pStyle w:val="TextoNormal"/>
      </w:pPr>
    </w:p>
    <w:p w:rsidR="0085709A" w:rsidRDefault="0085709A" w:rsidP="0085709A">
      <w:pPr>
        <w:pStyle w:val="TextoNormal"/>
      </w:pPr>
      <w:r>
        <w:t xml:space="preserve">En la presente cuestión de inconstitucionalidad se plantea si la supresión del derecho de los trabajadores de la Administración General del Estado (Ministerio de Hacienda y Administraciones Públicas) a percibir la parte proporcional (en concreto, 14 días) de la paga extra de diciembre de 2012, por entenderse ya devengada al momento de la entrada en vigor del Real Decreto-ley 20/2012, contraviene el art. 9.3 CE, en relación con el art. 33.3 CE. Así enmarcada, debemos concluir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Ello determina, al igual que en la antes citada STC 83/2015, la pérdida de objeto de la presente cuestión, una vez perdida la finalidad de la cuestión de inconstitucionalidad, que no es otra </w:t>
      </w:r>
      <w:r>
        <w:lastRenderedPageBreak/>
        <w:t>que la de realizar un juicio de constitucionalidad concreto, con efectos para el caso en el que ésta se ha planteado, lo que ya no ocurre en este caso.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la extinción de la presente cuestión de inconstitucionalidad por desaparición sobrevenida de su objeto.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7" w:name="SENTENCIA_2015_114"/>
      <w:r>
        <w:lastRenderedPageBreak/>
        <w:t>SENTENCIA 114/2015, de 8 de junio de 2015</w:t>
      </w:r>
    </w:p>
    <w:bookmarkEnd w:id="117"/>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ECLI:ES:TC:2015:114</w:t>
      </w:r>
    </w:p>
    <w:p w:rsidR="0085709A" w:rsidRDefault="0085709A" w:rsidP="0085709A">
      <w:pPr>
        <w:pStyle w:val="TextoNormalCentrado"/>
      </w:pPr>
    </w:p>
    <w:p w:rsidR="0085709A" w:rsidRDefault="0085709A" w:rsidP="0085709A">
      <w:pPr>
        <w:pStyle w:val="SntesisDescriptiva"/>
      </w:pPr>
      <w:r>
        <w:t>Cuestión de inconstitucionalidad 5490-2013. Planteada por la Sala de lo Social de la Audiencia Nacional en relación con el artículo 2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extinción, por pérdida de objeto, de la cuestión de inconstitucionalidad (STC 83/2015).</w:t>
      </w:r>
    </w:p>
    <w:p w:rsidR="0085709A" w:rsidRDefault="0085709A" w:rsidP="0085709A">
      <w:pPr>
        <w:pStyle w:val="SntesisAnaltica"/>
      </w:pPr>
    </w:p>
    <w:p w:rsidR="0085709A" w:rsidRDefault="0085709A" w:rsidP="0085709A">
      <w:pPr>
        <w:pStyle w:val="Extracto"/>
      </w:pPr>
      <w:r>
        <w:t>1.</w:t>
      </w:r>
      <w:r>
        <w:tab/>
        <w:t>Doctrina sobre la pérdida de objeto de la cuestión de inconstitucionalidad en relación con la recuperación de la paga extraordinaria y adicional del mes de diciembre de 2012 como consecuencia de lo establecido en la disposición adicional duodécima de la Ley de presupuestos generales del Estado para 2015 (STC 83/2015) [FJ 3].</w:t>
      </w:r>
    </w:p>
    <w:p w:rsidR="0085709A" w:rsidRDefault="0085709A" w:rsidP="0085709A">
      <w:pPr>
        <w:pStyle w:val="Extracto"/>
      </w:pPr>
    </w:p>
    <w:p w:rsidR="0085709A" w:rsidRDefault="0085709A" w:rsidP="0085709A">
      <w:pPr>
        <w:pStyle w:val="Extracto"/>
      </w:pPr>
      <w:r>
        <w:t>2.</w:t>
      </w:r>
      <w:r>
        <w:tab/>
        <w:t>La recuperación por los trabajadores de una entidad del sector público estatal (Consejo de Administración del Patrimonio Nacional) de la parte proporcional correspondiente a los primeros 44 días de la paga extra de diciembre de 2012, en virtud de lo establecido en la disposición adicional duodécima de la Ley de presupuestos generales del Estado para 2015, supone la satisfacción extraprocesal de la pretensión deducida en el proceso laboral sobre la que se articula la presente cuestión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5490-2013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27 de septiembre de 2013 se registró en este Tribunal oficio de la Sala de lo Social de la Audiencia Nacional al que se acompañaba, junto al testimonio del correspondiente procedimiento, el Auto de ese mismo órgano judicial de 24 de junio de 2013; en él se acordaba plantear cuestión de inconstitucionalidad en relación con el art. 2 del Real Decreto-ley 20/2012, de 13 de julio, de medidas para garantizar la estabilidad presupuestaria y de fomento de la competitividad (en delante, Real Decreto-ley 20/2012), convalidado por el Congreso de los Diputados </w:t>
      </w:r>
      <w:r w:rsidRPr="0085709A">
        <w:rPr>
          <w:i/>
        </w:rPr>
        <w:t>ex</w:t>
      </w:r>
      <w:r>
        <w:t xml:space="preserve"> art. 86.2 CE en su sesión de 19 de julio de 2012, por posible vulneración del art. 9.3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hecho del planteamiento de la presente cuestión de inconstitucionalidad son los siguientes:</w:t>
      </w:r>
    </w:p>
    <w:p w:rsidR="0085709A" w:rsidRDefault="0085709A" w:rsidP="0085709A">
      <w:pPr>
        <w:pStyle w:val="TextoNormal"/>
      </w:pPr>
    </w:p>
    <w:p w:rsidR="0085709A" w:rsidRDefault="0085709A" w:rsidP="0085709A">
      <w:pPr>
        <w:pStyle w:val="TextoNormal"/>
      </w:pPr>
      <w:r>
        <w:t>a) Ante la Sala de lo Social de la Audiencia Nacional se formuló por la Unión Sindical Obrera (USO), la Federación de Servicios Públicos de la Unión General de Trabajadores (FSP-UGT), la Federación de Servicios a la Ciudadanía de Comisiones Obreras (FSC-CCOO) y la Central Sindical Independiente y de Funcionarios (CSI-F), demanda de conflicto colectivo que dio lugar a los autos núm. 151-2013. Las citadas organizaciones sindicales pretendían en su demanda que se declarase que no procedía aplicar al personal laboral del consejo de administración del Patrimonio Nacional lo dispuesto en los arts. 2, 3 y 7 del Real Decreto-ley 20/2012, de 13 de julio, de medidas para garantizar la estabilidad presupuestaria y de fomento de la competitividad, respecto de la supresión de la paga extraordinaria del mes de diciembre de 2012 al personal del sector público y que se reconozca a estos trabajadores el derecho a percibir dicha paga extra; subsidiariamente, pretendían que no se descontase de la paga extra de diciembre (de devengo semestral a partir del 1 de junio hasta el 30 de noviembre, y pagadera en el mes de diciembre, según dispone el art. 81 del Convenio colectivo de aplicación) la parte proporcional de la misma ya devengada al momento de la entrada en vigor de dicho Real Decreto-ley (15 de julio de 2012); esto es, desde el 1 de junio al 14 de julio de 2012, porque de acuerdo con el art. 9.3 CE no cabe que la supresión opere de modo retroactivo sino, únicamente, a partir del 15 de julio de 2012.</w:t>
      </w:r>
    </w:p>
    <w:p w:rsidR="0085709A" w:rsidRDefault="0085709A" w:rsidP="0085709A">
      <w:pPr>
        <w:pStyle w:val="TextoNormal"/>
      </w:pPr>
    </w:p>
    <w:p w:rsidR="0085709A" w:rsidRDefault="0085709A" w:rsidP="0085709A">
      <w:pPr>
        <w:pStyle w:val="TextoNormal"/>
      </w:pPr>
      <w:r>
        <w:t>b) Concluso el procedimiento y dentro del plazo para dictar Sentencia, por providencia de 31 de mayo de 2013 la Sala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w:t>
      </w:r>
    </w:p>
    <w:p w:rsidR="0085709A" w:rsidRDefault="0085709A" w:rsidP="0085709A">
      <w:pPr>
        <w:pStyle w:val="TextoNormal"/>
      </w:pPr>
    </w:p>
    <w:p w:rsidR="0085709A" w:rsidRDefault="0085709A" w:rsidP="0085709A">
      <w:pPr>
        <w:pStyle w:val="TextoNormal"/>
      </w:pPr>
      <w:r>
        <w:t xml:space="preserve">c) El Ministerio Fiscal presentó escrito de alegaciones en el que se afirmaba que el juicio de relevancia estaba correctamente planteado, sin que ello supusiese compartirlo. Por su parte, la Unión Sindical Obrera (USO), la Federación de Servicios Públicos de la Unión General de Trabajadores (FSP-UGT), la Federación de Servicios a la Ciudadanía de Comisiones Obreras (FSC-CCOO) y la Central Sindical Independiente y de Funcionarios (CSI-F), estimaron pertinente el planteamiento de la cuestión de inconstitucionalidad. El Abogado del Estado, en representación del Consejo de Administración del Patrimonio Nacional, </w:t>
      </w:r>
      <w:r>
        <w:lastRenderedPageBreak/>
        <w:t>se opuso al planteamiento de la cuestión por entender que el art. 2 del Real Decreto-ley 20/2012 es plenamente conforme con la Constitución.</w:t>
      </w:r>
    </w:p>
    <w:p w:rsidR="0085709A" w:rsidRDefault="0085709A" w:rsidP="0085709A">
      <w:pPr>
        <w:pStyle w:val="TextoNormal"/>
      </w:pPr>
    </w:p>
    <w:p w:rsidR="0085709A" w:rsidRDefault="0085709A" w:rsidP="0085709A">
      <w:pPr>
        <w:pStyle w:val="TextoNormal"/>
      </w:pPr>
      <w:r>
        <w:t>d) Por Auto de 24 de junio de 2013, la Sala de lo Social de la Audiencia Nacional acordó plantear cuestión de inconstitucionalidad en relación con el art. 2 del Real Decreto-ley 20/2012.</w:t>
      </w:r>
    </w:p>
    <w:p w:rsidR="0085709A" w:rsidRDefault="0085709A" w:rsidP="0085709A">
      <w:pPr>
        <w:pStyle w:val="TextoNormal"/>
      </w:pPr>
    </w:p>
    <w:p w:rsidR="0085709A" w:rsidRDefault="0085709A" w:rsidP="0085709A">
      <w:pPr>
        <w:pStyle w:val="TextoNormal"/>
      </w:pPr>
      <w:r w:rsidRPr="0085709A">
        <w:rPr>
          <w:rStyle w:val="NumeroAFNegritaCaracter"/>
        </w:rPr>
        <w:t>3</w:t>
      </w:r>
      <w:r>
        <w:t>. En el Auto de 24 de junio de 2013 la Sala de lo Social de la Audiencia Nacional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0085709A" w:rsidRDefault="0085709A" w:rsidP="0085709A">
      <w:pPr>
        <w:pStyle w:val="TextoNormal"/>
      </w:pPr>
    </w:p>
    <w:p w:rsidR="0085709A" w:rsidRDefault="0085709A" w:rsidP="0085709A">
      <w:pPr>
        <w:pStyle w:val="TextoNormal"/>
      </w:pPr>
      <w:r>
        <w:t>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lo hace a partir de su entrada en vigor (15 de julio de 2012), sin precisar excepciones por derechos ya devengados. Estima la Sala que el Gobierno es plenamente consciente de la posibilidad de que haya comenzado a devengarse la paga extraordinaria cuya percepción se suprime, en tanto que en el apartado 1 del art. 2 del Real Decreto-ley 20/2012 se indica que la medida afecta a las cuantías “que corresponda percibir”, en tiempo verbal no condicional, admitiendo que el derecho ya se habría generado, no obstante lo cual cierra la puerta a su abono.</w:t>
      </w:r>
    </w:p>
    <w:p w:rsidR="0085709A" w:rsidRDefault="0085709A" w:rsidP="0085709A">
      <w:pPr>
        <w:pStyle w:val="TextoNormal"/>
      </w:pPr>
    </w:p>
    <w:p w:rsidR="0085709A" w:rsidRDefault="0085709A" w:rsidP="0085709A">
      <w:pPr>
        <w:pStyle w:val="TextoNormal"/>
      </w:pPr>
      <w:r>
        <w:t>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paga extraordinaria correspondiente a catorce días (del 1 al 14 de julio)”, la aplicación del citado art. 2 impediría su abono.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0085709A" w:rsidRDefault="0085709A" w:rsidP="0085709A">
      <w:pPr>
        <w:pStyle w:val="TextoNormal"/>
      </w:pPr>
    </w:p>
    <w:p w:rsidR="0085709A" w:rsidRDefault="0085709A" w:rsidP="0085709A">
      <w:pPr>
        <w:pStyle w:val="TextoNormal"/>
      </w:pPr>
      <w:r>
        <w:t>Expuesto lo que precede, indica la Sala que la norma cuestionada es determinante para el resultado del litigio y no admite una interpretación que la acomode a la Constitución. Una de las pretensiones formuladas por los demandantes es, justamente, que se mantenga incólume la percepción de la parte ya devengada de la paga extra de diciembre de 2012, a pesar de lo dispuesto en el art. 2 del Real Decreto-ley 20/2012. Posteriormente se hace referencia a las alegaciones realizadas por las partes y el Ministerio Fiscal en el trámite de audiencia, y se señala que tras ellas subsiste la duda de inconstitucionalidad.</w:t>
      </w:r>
    </w:p>
    <w:p w:rsidR="0085709A" w:rsidRDefault="0085709A" w:rsidP="0085709A">
      <w:pPr>
        <w:pStyle w:val="TextoNormal"/>
      </w:pPr>
    </w:p>
    <w:p w:rsidR="0085709A" w:rsidRDefault="0085709A" w:rsidP="0085709A">
      <w:pPr>
        <w:pStyle w:val="TextoNormal"/>
      </w:pPr>
      <w: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w:t>
      </w:r>
      <w:r>
        <w:lastRenderedPageBreak/>
        <w:t>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la Ley del estatuto de los trabajadores, aprobada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0085709A" w:rsidRDefault="0085709A" w:rsidP="0085709A">
      <w:pPr>
        <w:pStyle w:val="TextoNormal"/>
      </w:pPr>
    </w:p>
    <w:p w:rsidR="0085709A" w:rsidRDefault="0085709A" w:rsidP="0085709A">
      <w:pPr>
        <w:pStyle w:val="TextoNormal"/>
      </w:pPr>
      <w: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w:t>
      </w:r>
      <w:r w:rsidRPr="0085709A">
        <w:rPr>
          <w:i/>
        </w:rPr>
        <w:t>pro futuro</w:t>
      </w:r>
      <w:r>
        <w:t>). A la vista de todo ello, se considera que en el presente caso nos encontraríamos ante derechos individuales amparables por el principio de interdicción de retroactividad (art. 9.3 CE).</w:t>
      </w:r>
    </w:p>
    <w:p w:rsidR="0085709A" w:rsidRDefault="0085709A" w:rsidP="0085709A">
      <w:pPr>
        <w:pStyle w:val="TextoNormal"/>
      </w:pPr>
    </w:p>
    <w:p w:rsidR="0085709A" w:rsidRDefault="0085709A" w:rsidP="0085709A">
      <w:pPr>
        <w:pStyle w:val="TextoNormal"/>
      </w:pPr>
      <w:r>
        <w:t>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w:t>
      </w:r>
    </w:p>
    <w:p w:rsidR="0085709A" w:rsidRDefault="0085709A" w:rsidP="0085709A">
      <w:pPr>
        <w:pStyle w:val="TextoNormal"/>
      </w:pPr>
    </w:p>
    <w:p w:rsidR="0085709A" w:rsidRDefault="0085709A" w:rsidP="0085709A">
      <w:pPr>
        <w:pStyle w:val="TextoNormal"/>
      </w:pPr>
      <w:r>
        <w:t xml:space="preserve">Indica la Sala que, dado que la regulación legal de las pagas extraordinarias no ofrece respuesta a este interrogante (se limita a fijar el momento de su percepción), se ha de tener </w:t>
      </w:r>
      <w:r>
        <w:lastRenderedPageBreak/>
        <w:t>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85709A" w:rsidRDefault="0085709A" w:rsidP="0085709A">
      <w:pPr>
        <w:pStyle w:val="TextoNormal"/>
      </w:pPr>
    </w:p>
    <w:p w:rsidR="0085709A" w:rsidRDefault="0085709A" w:rsidP="0085709A">
      <w:pPr>
        <w:pStyle w:val="TextoNormal"/>
      </w:pPr>
      <w:r>
        <w:t>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0085709A" w:rsidRDefault="0085709A" w:rsidP="0085709A">
      <w:pPr>
        <w:pStyle w:val="TextoNormal"/>
      </w:pPr>
    </w:p>
    <w:p w:rsidR="0085709A" w:rsidRDefault="0085709A" w:rsidP="0085709A">
      <w:pPr>
        <w:pStyle w:val="TextoNormal"/>
      </w:pPr>
      <w:r>
        <w:t>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porque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0085709A" w:rsidRDefault="0085709A" w:rsidP="0085709A">
      <w:pPr>
        <w:pStyle w:val="TextoNormal"/>
      </w:pPr>
    </w:p>
    <w:p w:rsidR="0085709A" w:rsidRDefault="0085709A" w:rsidP="0085709A">
      <w:pPr>
        <w:pStyle w:val="TextoNormal"/>
      </w:pPr>
      <w:r>
        <w:lastRenderedPageBreak/>
        <w:t>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85709A" w:rsidRDefault="0085709A" w:rsidP="0085709A">
      <w:pPr>
        <w:pStyle w:val="TextoNormal"/>
      </w:pPr>
    </w:p>
    <w:p w:rsidR="0085709A" w:rsidRDefault="0085709A" w:rsidP="0085709A">
      <w:pPr>
        <w:pStyle w:val="TextoNormal"/>
      </w:pPr>
      <w:r>
        <w:t>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22 de octubre de 2013,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asimismo publicar la incoación de la cuestión en el “Boletín Oficial del Estado”, lo que se llevó a efecto en el núm. 262, de 1 de noviembre de 2013. Por diligencia de ordenación de la Secretaría de Justicia del Pleno de 22 de octubre de 2013, se concedió un plazo de quince días a partir de la publicación del referido edicto para que, de conformidad con lo establecido en el art. 37.2 LOTC, quienes fuesen parte en el procedimiento núm. 151-2013 seguido ante la Sala de lo Social de la Audiencia Nacional pudieran personarse ante este Tribunal.</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General de este Tribunal el 31 de octubre de 2013, el Presidente del Congreso de los Diputados comunicó la decisión de la Mesa de esa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General de este Tribunal el 6 de noviembre de 2013, el Presidente del Senado comunicó el acuerdo de la Mesa de la Cámara de personarse en el presente proceso constitucional, ofreciendo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7</w:t>
      </w:r>
      <w:r>
        <w:t>. Por escrito registrado en este Tribunal el 14 de noviembre de 2013, el Abogado del Estado se personó en el presente proceso constitucional y formuló las alegaciones que a continuación se sintetizan.</w:t>
      </w:r>
    </w:p>
    <w:p w:rsidR="0085709A" w:rsidRDefault="0085709A" w:rsidP="0085709A">
      <w:pPr>
        <w:pStyle w:val="TextoNormal"/>
      </w:pPr>
    </w:p>
    <w:p w:rsidR="0085709A" w:rsidRDefault="0085709A" w:rsidP="0085709A">
      <w:pPr>
        <w:pStyle w:val="TextoNormal"/>
      </w:pPr>
      <w:r>
        <w:t>Comienza señalando que aunque el Auto de planteamiento cuestiona la totalidad del extenso art. 2 del Real Decreto-ley 20/2012,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Real Decreto-ley 20/2012, sino simplemente de imponer al legislador, con respecto a su libertad de configuración, el establecimiento de una expresa excepción a la supresión de la paga extraordinaria de Navidad (la correspondiente a la parte proporcional de los días 1 al 14 de julio de 2012).</w:t>
      </w:r>
    </w:p>
    <w:p w:rsidR="0085709A" w:rsidRDefault="0085709A" w:rsidP="0085709A">
      <w:pPr>
        <w:pStyle w:val="TextoNormal"/>
      </w:pPr>
    </w:p>
    <w:p w:rsidR="0085709A" w:rsidRDefault="0085709A" w:rsidP="0085709A">
      <w:pPr>
        <w:pStyle w:val="TextoNormal"/>
      </w:pPr>
      <w:r>
        <w:t>Precisado lo anterior, el Abogado del Estado pasa a contestar los puntos argumentales del Auto de planteamiento. Comienza negando que nos encontremos ante una “disposición sancionadora no favorable o restrictiva de derechos individuales” en el sentido del art. 9.3 CE. Indica, en tal sentido,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85709A" w:rsidRDefault="0085709A" w:rsidP="0085709A">
      <w:pPr>
        <w:pStyle w:val="TextoNormal"/>
      </w:pPr>
    </w:p>
    <w:p w:rsidR="0085709A" w:rsidRDefault="0085709A" w:rsidP="0085709A">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85709A" w:rsidRDefault="0085709A" w:rsidP="0085709A">
      <w:pPr>
        <w:pStyle w:val="TextoNormal"/>
      </w:pPr>
    </w:p>
    <w:p w:rsidR="0085709A" w:rsidRDefault="0085709A" w:rsidP="0085709A">
      <w:pPr>
        <w:pStyle w:val="TextoNormal"/>
      </w:pPr>
      <w:r>
        <w:t>Según el Auto de planteamiento, la cuestión radica en determinar si el derecho a la paga extraordinaria de Navidad,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w:t>
      </w:r>
    </w:p>
    <w:p w:rsidR="0085709A" w:rsidRDefault="0085709A" w:rsidP="0085709A">
      <w:pPr>
        <w:pStyle w:val="TextoNormal"/>
      </w:pPr>
    </w:p>
    <w:p w:rsidR="0085709A" w:rsidRDefault="0085709A" w:rsidP="0085709A">
      <w:pPr>
        <w:pStyle w:val="TextoNormal"/>
      </w:pPr>
      <w: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w:t>
      </w:r>
      <w:r>
        <w:lastRenderedPageBreak/>
        <w:t>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85709A" w:rsidRDefault="0085709A" w:rsidP="0085709A">
      <w:pPr>
        <w:pStyle w:val="TextoNormal"/>
      </w:pPr>
    </w:p>
    <w:p w:rsidR="0085709A" w:rsidRDefault="0085709A" w:rsidP="0085709A">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85709A" w:rsidRDefault="0085709A" w:rsidP="0085709A">
      <w:pPr>
        <w:pStyle w:val="TextoNormal"/>
      </w:pPr>
    </w:p>
    <w:p w:rsidR="0085709A" w:rsidRDefault="0085709A" w:rsidP="0085709A">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se insiste en que el análisis de la norma cuestionada ha de partir del contexto recesivo descrito.</w:t>
      </w:r>
    </w:p>
    <w:p w:rsidR="0085709A" w:rsidRDefault="0085709A" w:rsidP="0085709A">
      <w:pPr>
        <w:pStyle w:val="TextoNormal"/>
      </w:pPr>
    </w:p>
    <w:p w:rsidR="0085709A" w:rsidRDefault="0085709A" w:rsidP="0085709A">
      <w:pPr>
        <w:pStyle w:val="TextoNormal"/>
      </w:pPr>
      <w:r>
        <w:t>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Así las cosas, afirma el Abogado del Estado que no existe razón para negar la concurrencia de un “interés general”, dada la situación descrita de grave crisis económica.</w:t>
      </w:r>
    </w:p>
    <w:p w:rsidR="0085709A" w:rsidRDefault="0085709A" w:rsidP="0085709A">
      <w:pPr>
        <w:pStyle w:val="TextoNormal"/>
      </w:pPr>
    </w:p>
    <w:p w:rsidR="0085709A" w:rsidRDefault="0085709A" w:rsidP="0085709A">
      <w:pPr>
        <w:pStyle w:val="TextoNormal"/>
      </w:pPr>
      <w:r>
        <w:t>Finalmente, niega el Abogado del Estado que las Sentencias del Tribunal Europeo de Derechos Humanos citadas por el Auto de planteamiento puedan servir para avalar la tesis mantenida en el mismo; a diferencia de lo que ocurre en el presente caso, en tales supuestos se alegaron intereses difusos para proceder a la aplicación retroactiva de una medida que no la justificaba desde la perspectiva de la proporcionalidad. Se recuerda que, por el contrario, en el presente caso no existen motivos “difusos”, sino concretos de interés general; en realidad no asistiríamos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se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14 de julio de 2012; que es lo único que se discute en la presente cuestión de inconstitucionalidad. Por todo ello, se interesa la desestimación de la cuestión.</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en este Tribunal el 18 de noviembre de 2013, el Fiscal General del Estado evacuó el trámite de alegaciones, solicitando la declaración de inconstitucionalidad del precepto cuestionado, por considerarlo contrario al principio de irretroactividad de las disposiciones restrictivas de derechos individuales (art. 9.3 CE).</w:t>
      </w:r>
    </w:p>
    <w:p w:rsidR="0085709A" w:rsidRDefault="0085709A" w:rsidP="0085709A">
      <w:pPr>
        <w:pStyle w:val="TextoNormal"/>
      </w:pPr>
    </w:p>
    <w:p w:rsidR="0085709A" w:rsidRDefault="0085709A" w:rsidP="0085709A">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85709A" w:rsidRDefault="0085709A" w:rsidP="0085709A">
      <w:pPr>
        <w:pStyle w:val="TextoNormal"/>
      </w:pPr>
    </w:p>
    <w:p w:rsidR="0085709A" w:rsidRDefault="0085709A" w:rsidP="0085709A">
      <w:pPr>
        <w:pStyle w:val="TextoNormal"/>
      </w:pPr>
      <w:r>
        <w:t xml:space="preserve">Llegados a este punto, pasa a analizar si la norma cuestionada contiene un grado de retroactividad permitido por el art. 9.3 CE, a la luz de la doctrina constitucional que sintetiza. </w:t>
      </w:r>
      <w:r>
        <w:lastRenderedPageBreak/>
        <w:t>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w:t>
      </w:r>
      <w:r w:rsidRPr="0085709A">
        <w:rPr>
          <w:i/>
        </w:rPr>
        <w:t>caso N.K.M. v. Hungría</w:t>
      </w:r>
      <w:r>
        <w:t>);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85709A" w:rsidRDefault="0085709A" w:rsidP="0085709A">
      <w:pPr>
        <w:pStyle w:val="TextoNormal"/>
      </w:pPr>
    </w:p>
    <w:p w:rsidR="0085709A" w:rsidRDefault="0085709A" w:rsidP="0085709A">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85709A" w:rsidRDefault="0085709A" w:rsidP="0085709A">
      <w:pPr>
        <w:pStyle w:val="TextoNormal"/>
      </w:pPr>
    </w:p>
    <w:p w:rsidR="0085709A" w:rsidRDefault="0085709A" w:rsidP="0085709A">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 2012.</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Sala de lo Social de la Audiencia Nacional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2012 (si bien ha de precisarse que los demandantes en el proceso </w:t>
      </w:r>
      <w:r w:rsidRPr="0085709A">
        <w:rPr>
          <w:i/>
        </w:rPr>
        <w:t>a quo</w:t>
      </w:r>
      <w:r>
        <w:t xml:space="preserve"> reclamaban las cuantías ya devengadas por los 44 días trascurridos desde el 1 de junio al 14 de julio de 2012).</w:t>
      </w:r>
    </w:p>
    <w:p w:rsidR="0085709A" w:rsidRDefault="0085709A" w:rsidP="0085709A">
      <w:pPr>
        <w:pStyle w:val="TextoNormal"/>
      </w:pPr>
    </w:p>
    <w:p w:rsidR="0085709A" w:rsidRDefault="0085709A" w:rsidP="0085709A">
      <w:pPr>
        <w:pStyle w:val="TextoNormal"/>
      </w:pPr>
      <w:r>
        <w:t>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al análisis de la cuestión planteada conviene realizar una serie de precisiones para acotar debidamente el objeto de la misma y el alcance de nuestro enjuiciamiento.</w:t>
      </w:r>
    </w:p>
    <w:p w:rsidR="0085709A" w:rsidRDefault="0085709A" w:rsidP="0085709A">
      <w:pPr>
        <w:pStyle w:val="TextoNormal"/>
      </w:pPr>
    </w:p>
    <w:p w:rsidR="0085709A" w:rsidRDefault="0085709A" w:rsidP="0085709A">
      <w:pPr>
        <w:pStyle w:val="TextoNormal"/>
      </w:pPr>
      <w:r>
        <w:t xml:space="preserve">a)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de conflicto colectivo promovido por varios sindicatos con motivo de la supresión, por aplicación de las previsiones contenidas en el Real Decreto-ley 20/2012, de la paga extraordinaria de diciembre de 2012 al personal laboral de una entidad pública estatal (consejo de administración del Patrimonio Nacional), proceso en el que lo pretendido por los demandantes con carácter subsidiario a la pretensión principal (referida a que no se aplique en esa entidad pública la medida de supresión de la paga extra de diciembre de 2012) es justamente que se declare el derecho de los trabajadores de esa entidad a percibir la parte proporcional de la paga extra de diciembre de 2012 que consideran ya devengada al momento de la entrada en vigor del Real Decreto-ley </w:t>
      </w:r>
      <w:r>
        <w:lastRenderedPageBreak/>
        <w:t>20/2012, porque, de acuerdo con el art. 9.3 CE, no cabe que la supresión de esa paga extra por dicho Real Decreto-ley tenga efectos retroactivos.</w:t>
      </w:r>
    </w:p>
    <w:p w:rsidR="0085709A" w:rsidRDefault="0085709A" w:rsidP="0085709A">
      <w:pPr>
        <w:pStyle w:val="TextoNormal"/>
      </w:pPr>
    </w:p>
    <w:p w:rsidR="0085709A" w:rsidRDefault="0085709A" w:rsidP="0085709A">
      <w:pPr>
        <w:pStyle w:val="TextoNormal"/>
      </w:pPr>
      <w:r>
        <w:t>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w:t>
      </w:r>
    </w:p>
    <w:p w:rsidR="0085709A" w:rsidRDefault="0085709A" w:rsidP="0085709A">
      <w:pPr>
        <w:pStyle w:val="TextoNormal"/>
      </w:pPr>
    </w:p>
    <w:p w:rsidR="0085709A" w:rsidRDefault="0085709A" w:rsidP="0085709A">
      <w:pPr>
        <w:pStyle w:val="TextoNormal"/>
      </w:pPr>
      <w: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demandantes en el proceso </w:t>
      </w:r>
      <w:r w:rsidRPr="0085709A">
        <w:rPr>
          <w:i/>
        </w:rPr>
        <w:t>a quo</w:t>
      </w:r>
      <w:r>
        <w:t xml:space="preserve">, como se ha dicho); se cuestiona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(planteada a partir de la pretensión subsidiaria en el proceso </w:t>
      </w:r>
      <w:r w:rsidRPr="0085709A">
        <w:rPr>
          <w:i/>
        </w:rPr>
        <w:t>a quo</w:t>
      </w:r>
      <w:r>
        <w:t>) deberá, pues, ceñirse nuestro enjuiciamiento.</w:t>
      </w:r>
    </w:p>
    <w:p w:rsidR="0085709A" w:rsidRDefault="0085709A" w:rsidP="0085709A">
      <w:pPr>
        <w:pStyle w:val="TextoNormal"/>
      </w:pPr>
    </w:p>
    <w:p w:rsidR="0085709A" w:rsidRDefault="0085709A" w:rsidP="0085709A">
      <w:pPr>
        <w:pStyle w:val="TextoNormal"/>
      </w:pPr>
      <w:r>
        <w:t>c) Conviene asimismo advertir que la Sala de lo Social de la Audiencia Nacional no cuestiona el art. 3.2 del Real Decreto-ley 20/2012. Este reitera, para el personal laboral del sector público estatal incluido en el art. 27 de la Ley 2/2012, de presupuestos generales del Estado para 2012 (personal en el que se cuentan los trabajadores del consejo de administración del Patrimonio Nacional, regulado por la Ley 23/1982, de 16 de junio y el Real Decreto 496/1987, de 18 de marzo, modificado por Real Decreto 214/2014, de 28 de marzo), la regla de la supresión de la paga extraordinaria de diciembre de 2012 establecida en el art. 2 del Real Decreto-ley 20/2012. Tampoco cuestiona la Sala el art. 6 del Real Decreto-ley 20/2012, que, en consonancia con esa misma regla, suprime durante el año 2012 para el personal laboral del sector público “la percepción de la gratificación extraordinaria con ocasión de las fiestas de Navidad contenida en el art. 31 del Estatuto de los Trabajadores”. Por tanto, las previsiones contenidas en los arts. 3.2 y 6 del Real Decreto-ley 20/2012 quedan fuera de nuestro pronunciamiento.</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En su apartado </w:t>
      </w:r>
      <w:r>
        <w:lastRenderedPageBreak/>
        <w:t>2 dispone las reglas para el abono de dichas cantidades al personal del sector público estatal (entre el que se encuentran los trabajadores del consejo de administración del Patrimonio Nacional);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85709A" w:rsidRDefault="0085709A" w:rsidP="0085709A">
      <w:pPr>
        <w:pStyle w:val="TextoNormal"/>
      </w:pPr>
    </w:p>
    <w:p w:rsidR="0085709A" w:rsidRDefault="0085709A" w:rsidP="0085709A">
      <w:pPr>
        <w:pStyle w:val="TextoNormal"/>
      </w:pPr>
      <w:r>
        <w:t>En el presente caso ha de estarse a lo dispuesto en el apartado III de las referidas Instrucciones, que contiene las reglas aplicables al personal laboral del sector público estatal al que no le resulte de aplicación el III Convenio colectivo único del personal laboral al servicio de la Administración General del Estado; en esta situación se encuentra el personal incluido en el ámbito de aplicación del convenio colectivo del personal laboral del Consejo de Administración del Patrimonio Nacional, publicado por Resolución de 14 de julio de 2010 de la Dirección General de Trabajo (“BOE” núm. 180, de 26 de julio de 2010).</w:t>
      </w:r>
    </w:p>
    <w:p w:rsidR="0085709A" w:rsidRDefault="0085709A" w:rsidP="0085709A">
      <w:pPr>
        <w:pStyle w:val="TextoNormal"/>
      </w:pPr>
    </w:p>
    <w:p w:rsidR="0085709A" w:rsidRDefault="0085709A" w:rsidP="0085709A">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85709A">
        <w:rPr>
          <w:i/>
        </w:rPr>
        <w:t>a quo</w:t>
      </w:r>
      <w:r>
        <w:t>, “que afecta de modo determinante a la subsistencia del presente proceso constitucional, dada la estrecha vinculación existente entre toda cuestión de inconstitucionalidad y el procedimiento judicial de que dimana.” Otro tanto acontece en el presente caso.</w:t>
      </w:r>
    </w:p>
    <w:p w:rsidR="0085709A" w:rsidRDefault="0085709A" w:rsidP="0085709A">
      <w:pPr>
        <w:pStyle w:val="TextoNormal"/>
      </w:pPr>
    </w:p>
    <w:p w:rsidR="0085709A" w:rsidRDefault="0085709A" w:rsidP="0085709A">
      <w:pPr>
        <w:pStyle w:val="TextoNormal"/>
      </w:pPr>
      <w:r>
        <w:t xml:space="preserve">En el conflicto colectivo del que trae causa la presente cuestión de inconstitucionalidad se discute el derecho de los trabajadores de una entidad del sector público estatal (Consejo de Administración del Patrimonio Nacional) a percibir la parte proporcional de la paga extra de diciembre de 2012, ya devengada al momento de la entrada en vigor del Real Decreto-ley 20/2012, que suprimió el derecho a su percepción. Ello por estimar los demandantes en el proceso </w:t>
      </w:r>
      <w:r w:rsidRPr="0085709A">
        <w:rPr>
          <w:i/>
        </w:rPr>
        <w:t>a quo</w:t>
      </w:r>
      <w:r>
        <w:t xml:space="preserve"> que la supresión de esa paga extra por la citada norma no puede tener efectos retroactivos por imperativo de lo dispuesto en el art. 9.3 CE. Al suscitarse sobre este extremo la duda de constitucionalidad que plantea el órgano judicial, es obligado constatar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 aplicación efectiva se ha llevado a cabo en el ámbito del sector público estatal siguiendo las Instrucciones contenidas en la también citada resolución conjunta de las Secretarías de Estado de Presupuestos y Gastos y de Administraciones Públicas de 29 de diciembre de 2014 (conforme a lo indicado en el apartado III de estas Instrucciones para el caso de la entidad pública consejo de administración del Patrimonio Nacional). Todo ello “supone la satisfacción extraprocesal de la pretensión deducida en el proceso laboral sobre la que se articula la presente cuestión. Esto la hace perder su objeto, al ser tal satisfacción </w:t>
      </w:r>
      <w:r>
        <w:lastRenderedPageBreak/>
        <w:t>extraprocesal uno de los posibles supuestos de extinción de la cuestión de inconstitucionalidad (STC 6/2010, FJ 2; AATC 945/1985, de 19 de diciembre; 723/1986, de 18 de septiembre; y 485/2005, de 13 de diciembre)” (STC 83/2015, FJ 3).</w:t>
      </w:r>
    </w:p>
    <w:p w:rsidR="0085709A" w:rsidRDefault="0085709A" w:rsidP="0085709A">
      <w:pPr>
        <w:pStyle w:val="TextoNormal"/>
      </w:pPr>
    </w:p>
    <w:p w:rsidR="0085709A" w:rsidRDefault="0085709A" w:rsidP="0085709A">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la extinción de la presente cuestión de inconstitucionalidad por desaparición sobrevenida de su objeto.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8" w:name="SENTENCIA_2015_115"/>
      <w:r>
        <w:lastRenderedPageBreak/>
        <w:t>SENTENCIA 115/2015, de 8 de junio de 2015</w:t>
      </w:r>
    </w:p>
    <w:bookmarkEnd w:id="118"/>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ECLI:ES:TC:2015:115</w:t>
      </w:r>
    </w:p>
    <w:p w:rsidR="0085709A" w:rsidRDefault="0085709A" w:rsidP="0085709A">
      <w:pPr>
        <w:pStyle w:val="TextoNormalCentrado"/>
      </w:pPr>
    </w:p>
    <w:p w:rsidR="0085709A" w:rsidRDefault="0085709A" w:rsidP="0085709A">
      <w:pPr>
        <w:pStyle w:val="SntesisDescriptiva"/>
      </w:pPr>
      <w:r>
        <w:t>Recurso de amparo 1040-2015. Promovido por Secciones Mobiliarias, S.L., en relación con los Autos de la Audiencia Provincial de Valencia y un Juzgado de Primera Instancia de Alzira que inadmitieron su demanda de reconocimiento de un derecho de retracto arrendaticio.</w:t>
      </w:r>
    </w:p>
    <w:p w:rsidR="0085709A" w:rsidRDefault="0085709A" w:rsidP="0085709A">
      <w:pPr>
        <w:pStyle w:val="SntesisDescriptiva"/>
      </w:pPr>
    </w:p>
    <w:p w:rsidR="0085709A" w:rsidRDefault="0085709A" w:rsidP="0085709A">
      <w:pPr>
        <w:pStyle w:val="SntesisAnaltica"/>
      </w:pPr>
      <w:r>
        <w:t>Vulneración del derecho a la tutela judicial efectiva (acceso a la justicia): inadmisión de demanda de retracto sin causa legal, al exigir el cumplimiento de una carga de consignación inexistente (STC 144/2004).</w:t>
      </w:r>
    </w:p>
    <w:p w:rsidR="0085709A" w:rsidRDefault="0085709A" w:rsidP="0085709A">
      <w:pPr>
        <w:pStyle w:val="SntesisAnaltica"/>
      </w:pPr>
    </w:p>
    <w:p w:rsidR="0085709A" w:rsidRDefault="0085709A" w:rsidP="0085709A">
      <w:pPr>
        <w:pStyle w:val="Extracto"/>
      </w:pPr>
      <w:r>
        <w:t>1.</w:t>
      </w:r>
      <w:r>
        <w:tab/>
        <w:t>Los órganos judiciales de primera instancia y de apelación inadmitieron a trámite la demanda —en lo relativo a la acción de retracto ejercitada principalmente por la recurrente— al margen de la legislación procesal en vigor (art. 266.3 LEC), pues, ni la carga de consignar estaba prevista en el contrato, ni tal carga puede inferirse del art. 1518 CC y, al proceder de este modo, impidieron a la demandante obtener una resolución sobre el fondo del litigio sin que concurriera causa legal que amparara esa decisión, vulnerándose el derecho de la actora a la tutela judicial efectiva en su dimensión de acceso a la jurisdicción (SSTC 144/2004, 127/2008) [FFJJ 3, 4].</w:t>
      </w:r>
    </w:p>
    <w:p w:rsidR="0085709A" w:rsidRDefault="0085709A" w:rsidP="0085709A">
      <w:pPr>
        <w:pStyle w:val="Extracto"/>
      </w:pPr>
    </w:p>
    <w:p w:rsidR="0085709A" w:rsidRDefault="0085709A" w:rsidP="0085709A">
      <w:pPr>
        <w:pStyle w:val="Extracto"/>
      </w:pPr>
      <w:r>
        <w:t>2.</w:t>
      </w:r>
      <w:r>
        <w:tab/>
        <w:t>Una decisión de inadmisión por falta de consignación, adoptada sin cobertura legal expresa por un órgano del Poder Judicial, por muy legítimos o ponderados que fueran los fines perseguidos por el mismo, debía reputarse lesiva del derecho de acceso al proceso (art. 24.1 CE), pues tal inadmisión sólo es compatible con dicho derecho fundamental si es consecuencia de la aplicación razonada y proporcionada de una causa legal en la que se prevea tal consecuencia (SSTC 115/1999, 39/2015) [FJ 3].</w:t>
      </w:r>
    </w:p>
    <w:p w:rsidR="0085709A" w:rsidRDefault="0085709A" w:rsidP="0085709A">
      <w:pPr>
        <w:pStyle w:val="Extracto"/>
      </w:pPr>
    </w:p>
    <w:p w:rsidR="0085709A" w:rsidRDefault="0085709A" w:rsidP="0085709A">
      <w:pPr>
        <w:pStyle w:val="Extracto"/>
      </w:pPr>
      <w:r>
        <w:t>3.</w:t>
      </w:r>
      <w:r>
        <w:tab/>
        <w:t>Bajo la vigencia del art. 1618.2 LEC de 1881, este Tribunal se limitó a revisar el juicio de proporcionalidad efectuado por los órganos del Poder Judicial en aplicación de dicho requisito procesal, otorgando su amparo a quienes habían sido víctimas de una interpretación excesivamente onerosa o desproporcionada respecto de la finalidad de garantía inspiradora del mismo, considerando contrarias al art. 24.1 CE, por excesivamente formalistas, varias decisiones de inadmisión (SSTC 12/1992, 327/2005)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1040-2014, promovido por la entidad Secciones Mobiliarias S.L, representada por el Procurador de los Tribunales don Víctor Enrique Mardomingo Herrero y asistido por el Abogado don Rafael Sánchez García, contra el Auto de 30 de diciembre de 2013, dictado por la Audiencia Provincial de Valencia (Sección Undécima), desestimatorio de la solicitud de nulidad de actuaciones promovida contra el Auto de 26 de julio de 2013, dictado por el mismo órgano judicial en el rollo núm. 707-2012, que, a su vez, ha declarado la desestimación del recurso de apelación interpuesto contra el Auto de 15 de julio de 2011 del Juzgado de Primera Instancia núm. 2 de Alzira, recaído en el juicio de ordinario núm. 152-2011. Ha comparecido la entidad Inverco 2009 S.L. y ha intervenido el Ministerio Fiscal.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Por escrito registrado en este Tribunal el día 21 de febrero de 2014, el Procurador de los Tribunales don Víctor Enrique Mardomingo Herrero, en nombre y representación de la entidad Secciones Mobiliarias, S.L., interpuso recurso de amparo contra las resoluciones judiciales que se citan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los que trae causa la demanda de amparo son, en síntesis, los siguientes:</w:t>
      </w:r>
    </w:p>
    <w:p w:rsidR="0085709A" w:rsidRDefault="0085709A" w:rsidP="0085709A">
      <w:pPr>
        <w:pStyle w:val="TextoNormal"/>
      </w:pPr>
    </w:p>
    <w:p w:rsidR="0085709A" w:rsidRDefault="0085709A" w:rsidP="0085709A">
      <w:pPr>
        <w:pStyle w:val="TextoNormal"/>
      </w:pPr>
      <w:r>
        <w:t>a) Mediante escrito registrado el día 2 de febrero de 2011 en el Decanato de los Juzgados de Alzira (Valencia), la recurrente, en su condición de arrendataria de las naves industriales sitas en el núm. 13 de la Avenida de la Montanyeta de la localidad de Alberique (Valencia), presentó demanda de juicio ordinario contra las entidades mercantiles Inverco 2009, S.L., Saysor Promociones y Construcciones, S.L., y Bancaja. En dicha demanda, la actora solicitó, con carácter principal, el reconocimiento de su derecho de retracto arrendaticio sobre la finca, la consiguiente rectificación del Registro de la Propiedad y la declaración de nulidad y cancelación de cargas y gravámenes. Con carácter subsidiario, interesó que se declarara vigente y exigible el contrato de arrendamiento suscrito con el anterior titular del inmueble.</w:t>
      </w:r>
    </w:p>
    <w:p w:rsidR="0085709A" w:rsidRDefault="0085709A" w:rsidP="0085709A">
      <w:pPr>
        <w:pStyle w:val="TextoNormal"/>
      </w:pPr>
    </w:p>
    <w:p w:rsidR="0085709A" w:rsidRDefault="0085709A" w:rsidP="0085709A">
      <w:pPr>
        <w:pStyle w:val="TextoNormal"/>
      </w:pPr>
      <w:r>
        <w:t>En lo que a este proceso de amparo concierne, debe destacarse que ya en el apartado VII, letra b) de la demanda, la actora señalaba, con cita expresa de la STC 144/2004, de 13 de septiembre, que no era exigible, a efectos de admisión de la acción de retracto arrendaticio, la previa consignación del precio de venta satisfecho por el comprador del inmueble, pues ese requisito de admisibilidad no estaba expresamente previsto en la legislación procesal en vigor.</w:t>
      </w:r>
    </w:p>
    <w:p w:rsidR="0085709A" w:rsidRDefault="0085709A" w:rsidP="0085709A">
      <w:pPr>
        <w:pStyle w:val="TextoNormal"/>
      </w:pPr>
    </w:p>
    <w:p w:rsidR="0085709A" w:rsidRDefault="0085709A" w:rsidP="0085709A">
      <w:pPr>
        <w:pStyle w:val="TextoNormal"/>
      </w:pPr>
      <w:r>
        <w:lastRenderedPageBreak/>
        <w:t>b) La demanda fue admitida mediante decreto del Sr. Secretario de 1 de marzo de 2011, dictado en el seno del procedimiento ordinario núm. 152-2011, incoado por el Juzgado de Primera Instancia núm. 2 de Alzira. Esta resolución fue recurrida en reposición por la demandada Inverco 2009, S.L., en el entendimiento de que infringía el art. 266.3 de la Ley de enjuiciamiento civil (en adelante, LEC) en relación con el art. 403.3 del mismo texto legal.</w:t>
      </w:r>
    </w:p>
    <w:p w:rsidR="0085709A" w:rsidRDefault="0085709A" w:rsidP="0085709A">
      <w:pPr>
        <w:pStyle w:val="TextoNormal"/>
      </w:pPr>
    </w:p>
    <w:p w:rsidR="0085709A" w:rsidRDefault="0085709A" w:rsidP="0085709A">
      <w:pPr>
        <w:pStyle w:val="TextoNormal"/>
      </w:pPr>
      <w:r>
        <w:t>En el escrito del recurso, registrado ante el Juzgado el día 10 de mayo de 2011, Inverco 2009 sostenía que la actora había realizado una interpretación “interesada, parcial y sesgada” de la STC 144/2004, resolución de la que no se desprendía, en opinión de la entidad mercantil de referencia, la inexigibilidad de la consignación. Reproducía, para avalar esta afirmación, varios extractos literales de la citada Sentencia, resaltando tipográficamente, dentro del texto entrecomillado, las concretas frases que, a su modo de ver, sustentaban su tesis. Añadía, asimismo, aquélla que la exigencia de consignación era, en cualquier caso, pacífica en la doctrina del Tribunal Supremo y que se trataba de un requisito de admisibilidad “de orden público” y, por tanto, de cumplimiento imprescindible.</w:t>
      </w:r>
    </w:p>
    <w:p w:rsidR="0085709A" w:rsidRDefault="0085709A" w:rsidP="0085709A">
      <w:pPr>
        <w:pStyle w:val="TextoNormal"/>
      </w:pPr>
    </w:p>
    <w:p w:rsidR="0085709A" w:rsidRDefault="0085709A" w:rsidP="0085709A">
      <w:pPr>
        <w:pStyle w:val="TextoNormal"/>
      </w:pPr>
      <w:r>
        <w:t>Cerraba Inverco 2009 la argumentación de su recurso señalando que no se oponía a la admisión de la pretensión formulada subsidiariamente por la demandante, relativa a la declaración de vigencia y a la exigibilidad del contrato de arrendamiento suscrito con el anterior propietario. Se reservaba, no obstante, las razones de oposición de fondo al trámite oportuno de contestación de la demanda.</w:t>
      </w:r>
    </w:p>
    <w:p w:rsidR="0085709A" w:rsidRDefault="0085709A" w:rsidP="0085709A">
      <w:pPr>
        <w:pStyle w:val="TextoNormal"/>
      </w:pPr>
    </w:p>
    <w:p w:rsidR="0085709A" w:rsidRDefault="0085709A" w:rsidP="0085709A">
      <w:pPr>
        <w:pStyle w:val="TextoNormal"/>
      </w:pPr>
      <w:r>
        <w:t>c) Por diligencia de ordenación de 7 de junio de 2011 se tuvo por admitido el recurso de reposición interpuesto, abriéndose un plazo común de cinco días para la impugnación del mismo, trámite que fue exclusivamente cumplimentado por la demandante de amparo, que registró su escrito en el Juzgado el día 20 de junio de 2011.</w:t>
      </w:r>
    </w:p>
    <w:p w:rsidR="0085709A" w:rsidRDefault="0085709A" w:rsidP="0085709A">
      <w:pPr>
        <w:pStyle w:val="TextoNormal"/>
      </w:pPr>
    </w:p>
    <w:p w:rsidR="0085709A" w:rsidRDefault="0085709A" w:rsidP="0085709A">
      <w:pPr>
        <w:pStyle w:val="TextoNormal"/>
      </w:pPr>
      <w:r>
        <w:t>En su escrito de impugnación del recurso, la ahora demandante de amparo advertía que los textos de la STC 144/2004, de 13 de septiembre, extractados por la entidad demandada, se referían al art. 1618.2 de la Ley de enjuiciamiento civil de 1881 (en lo sucesivo, LEC-1881), norma derogada en la que la consignación del precio del retracto sí se concebía como un requisito de admisibilidad de la demanda. Destacaba, asimismo, la actora que esa misma resolución del Tribunal Constitucional había descartado que el art. 1518 del Código civil (en lo sucesivo, CC) tuviera tal eficacia impeditiva de la admisión de la demanda, ya que se trataba de un puro reembolso, imprescindible a la hora de hacer efectivo un derecho de retracto ya reconocido pero irrelevante a efectos de obtener judicialmente dicho reconocimiento. Era el art. 1518 CC, según recordaba la demandante, el que, por expresa remisión del art. 25.3 de la Ley de arrendamientos urbanos resultaba aplicable al retracto arrendaticio. Por ello, de acuerdo con el art. 266.3 LEC, debía concluirse que, ni la ley aplicable (art. 1518 CC), ni tampoco el contrato celebrado (que nada decía al respecto) exigían la consignación del precio de venta como requisito de admisibilidad de la demanda.</w:t>
      </w:r>
    </w:p>
    <w:p w:rsidR="0085709A" w:rsidRDefault="0085709A" w:rsidP="0085709A">
      <w:pPr>
        <w:pStyle w:val="TextoNormal"/>
      </w:pPr>
    </w:p>
    <w:p w:rsidR="0085709A" w:rsidRDefault="0085709A" w:rsidP="0085709A">
      <w:pPr>
        <w:pStyle w:val="TextoNormal"/>
      </w:pPr>
      <w:r>
        <w:t>Finalmente, en el apartado “segundo” del escrito de impugnación del recurso, la actora volvía a poner de manifiesto al órgano judicial que una decisión de inadmisión de la demanda supondría la vulneración del art. 24.1 CE, en su vertiente de derecho de acceso a la jurisdicción, afirmación que volvía a justificar con una amplia cita de la STC 144/2004.</w:t>
      </w:r>
    </w:p>
    <w:p w:rsidR="0085709A" w:rsidRDefault="0085709A" w:rsidP="0085709A">
      <w:pPr>
        <w:pStyle w:val="TextoNormal"/>
      </w:pPr>
    </w:p>
    <w:p w:rsidR="0085709A" w:rsidRDefault="0085709A" w:rsidP="0085709A">
      <w:pPr>
        <w:pStyle w:val="TextoNormal"/>
      </w:pPr>
      <w:r>
        <w:lastRenderedPageBreak/>
        <w:t>d) Mediante Auto de 15 de julio de 2011, el Juzgado de Primera Instancia núm. 2 de Alzira estimó “íntegramente el recurso de reposición” interpuesto por Inverco 2009, S.L., y acordó “inadmitir la acción de retracto planteada, prosiguiendo el procedimiento en cuanto a la acción acumulada de declaración de existencia y vigencia de contrato de arrendamiento”. En la fundamentación jurídica de la resolución, el órgano judicial consideraba que, de acuerdo con varios pronunciamientos de la Audiencia Provincial de Alicante, la consignación del precio era un requisito imprescindible para la admisión de la demanda de retracto arrendaticio. Acto seguido, afirmaba que “una correcta y no tergiversada lectura” de la STC 144/2004, de 13 de septiembre, permitía deducir que la exigencia de consignación era “plenamente conforme a derecho”, sin que conculcara ningún derecho fundamental, ya que aquella resolución distinguía “entre la consignación del precio, perfectamente exigible con la finalidad señalada, y el reembolso efectivo de ese precio más los gastos en que se hubiera podido incurrir”.</w:t>
      </w:r>
    </w:p>
    <w:p w:rsidR="0085709A" w:rsidRDefault="0085709A" w:rsidP="0085709A">
      <w:pPr>
        <w:pStyle w:val="TextoNormal"/>
      </w:pPr>
    </w:p>
    <w:p w:rsidR="0085709A" w:rsidRDefault="0085709A" w:rsidP="0085709A">
      <w:pPr>
        <w:pStyle w:val="TextoNormal"/>
      </w:pPr>
      <w:r>
        <w:t>e) El día 1 de agosto de 2011, la actora preparó ante el propio Juzgado de Primera Instancia el correspondiente recurso de apelación, interponiéndolo después en fecha 19 de octubre siguiente. En dicho recurso, volvía a poner de manifiesto que, en el asunto planteado, no existía ninguna norma legal que exigiera la consignación del precio y que el Tribunal Constitucional, en la repetidamente citada STC 144/2004, había señalado que no podía derivarse tal obligación de consignar del art. 1518 CC —que aludía a un mero reembolso para el ejercicio de un derecho de retracto ya reconocido—. Insistía, por ello, en que la inadmisión de la demanda basada en dicho precepto debía considerarse contraria al derecho de acceso a la jurisdicción previsto en el art. 24.1 CE.</w:t>
      </w:r>
    </w:p>
    <w:p w:rsidR="0085709A" w:rsidRDefault="0085709A" w:rsidP="0085709A">
      <w:pPr>
        <w:pStyle w:val="TextoNormal"/>
      </w:pPr>
    </w:p>
    <w:p w:rsidR="0085709A" w:rsidRDefault="0085709A" w:rsidP="0085709A">
      <w:pPr>
        <w:pStyle w:val="TextoNormal"/>
      </w:pPr>
      <w:r>
        <w:t>Una vez más, la actora dedicaba un apartado específico (ordinal tercero) del escrito de recurso a denunciar la violación del art. 24.1 CE, que podía llegar a consumarse en caso de que prosperase finalmente la interpretación realizada en la instancia.</w:t>
      </w:r>
    </w:p>
    <w:p w:rsidR="0085709A" w:rsidRDefault="0085709A" w:rsidP="0085709A">
      <w:pPr>
        <w:pStyle w:val="TextoNormal"/>
      </w:pPr>
    </w:p>
    <w:p w:rsidR="0085709A" w:rsidRDefault="0085709A" w:rsidP="0085709A">
      <w:pPr>
        <w:pStyle w:val="TextoNormal"/>
      </w:pPr>
      <w:r>
        <w:t>f) En Auto de 26 de julio de 2013, la Audiencia Provincial de Valencia (Sección Undécima) desestimó íntegramente el recurso de apelación interpuesto, citando como fundamento de su decisión una Sentencia de la Sala de lo Civil del Tribunal Supremo, de 4 de noviembre de 2008. A juicio de la Audiencia y, de acuerdo con la referida resolución del alto tribunal, la exigencia de consignación no era un “simple formalismo”, pues trataba de evitar que llegara a consumarse una “transmisión inviable al actor, privando, a su vez, al vendedor de su libre disposición”.</w:t>
      </w:r>
    </w:p>
    <w:p w:rsidR="0085709A" w:rsidRDefault="0085709A" w:rsidP="0085709A">
      <w:pPr>
        <w:pStyle w:val="TextoNormal"/>
      </w:pPr>
    </w:p>
    <w:p w:rsidR="0085709A" w:rsidRDefault="0085709A" w:rsidP="0085709A">
      <w:pPr>
        <w:pStyle w:val="TextoNormal"/>
      </w:pPr>
      <w:r>
        <w:t>g) En fecha 27 de septiembre de 2013 la demandante promovió incidente extraordinario de nulidad de actuaciones ante la precitada Audiencia Provincial de Valencia, denunciando la vulneración de su derecho de acceso a la jurisdicción (art. 24.1 CE). En el escrito presentado, la actora solicitó, asimismo, la suspensión de la ejecución del Auto de 15 de julio de 2011, a efectos de evitar que la petición de nulidad formulada perdiera su finalidad.</w:t>
      </w:r>
    </w:p>
    <w:p w:rsidR="0085709A" w:rsidRDefault="0085709A" w:rsidP="0085709A">
      <w:pPr>
        <w:pStyle w:val="TextoNormal"/>
      </w:pPr>
    </w:p>
    <w:p w:rsidR="0085709A" w:rsidRDefault="0085709A" w:rsidP="0085709A">
      <w:pPr>
        <w:pStyle w:val="TextoNormal"/>
      </w:pPr>
      <w:r>
        <w:t>h) Mediante diligencia de ordenación de 3 de octubre de 2013 fue admitido el incidente de nulidad de actuaciones promovido por la actora; del escrito de promoción le fue dado traslado por cinco días a las partes personadas, trámite que fue cumplimentado por las tres entidades demandadas, que se opusieron a la estimación del mismo.</w:t>
      </w:r>
    </w:p>
    <w:p w:rsidR="0085709A" w:rsidRDefault="0085709A" w:rsidP="0085709A">
      <w:pPr>
        <w:pStyle w:val="TextoNormal"/>
      </w:pPr>
    </w:p>
    <w:p w:rsidR="0085709A" w:rsidRDefault="0085709A" w:rsidP="0085709A">
      <w:pPr>
        <w:pStyle w:val="TextoNormal"/>
      </w:pPr>
      <w:r>
        <w:lastRenderedPageBreak/>
        <w:t>i) Por medio de Auto de 4 de noviembre de 2013, la Audiencia Provincial de Valencia denegó la petición de suspensión formulada por la actora, al entender que una eventual estimación del incidente podría dar lugar a la retroacción de las actuaciones, lo que era suficiente para restituir a la recurrente en su posición previa. Posteriormente, en fecha 30 de diciembre de 2013, la Audiencia dictó Auto por el que desestimó la nulidad de actuaciones interesada por la demandante, precisando que había basado su interpretación de la legalidad aplicable en una Sentencia del Tribunal Supremo, de 4 de noviembre de 2008, “posterior a las del TC”. Dicha resolución, según explicaba, “se decanta por la aplicabilidad de las exigencias contempladas en el art. 266 LEC en el supuesto de retracto arrendaticio manteniendo la doctrina que había seguido hasta el momento al señalar que el art. 266.3 LEC coincide prácticamente con el derogado art. 1618 LEC de 1881”.</w:t>
      </w:r>
    </w:p>
    <w:p w:rsidR="0085709A" w:rsidRDefault="0085709A" w:rsidP="0085709A">
      <w:pPr>
        <w:pStyle w:val="TextoNormal"/>
      </w:pPr>
    </w:p>
    <w:p w:rsidR="0085709A" w:rsidRDefault="0085709A" w:rsidP="0085709A">
      <w:pPr>
        <w:pStyle w:val="TextoNormal"/>
      </w:pPr>
      <w:r>
        <w:t>j) Firme la inadmisión parcial de la demanda, el pleito siguió su curso en lo relativo a la pretensión subsidiaria de declaración de vigencia y exigibilidad del contrato de arrendamiento. No obstante, el Juzgado acordó, a instancia de la propia actora y mediante Auto de 10 de enero de 2014, la suspensión del proceso por prejudicialidad penal.</w:t>
      </w:r>
    </w:p>
    <w:p w:rsidR="0085709A" w:rsidRDefault="0085709A" w:rsidP="0085709A">
      <w:pPr>
        <w:pStyle w:val="TextoNormal"/>
      </w:pPr>
    </w:p>
    <w:p w:rsidR="0085709A" w:rsidRDefault="0085709A" w:rsidP="0085709A">
      <w:pPr>
        <w:pStyle w:val="TextoNormal"/>
      </w:pPr>
      <w:r w:rsidRPr="0085709A">
        <w:rPr>
          <w:rStyle w:val="NumeroAFNegritaCaracter"/>
        </w:rPr>
        <w:t>3</w:t>
      </w:r>
      <w:r>
        <w:t>. En su escrito de demanda, la recurrente denuncia la vulneración de su derecho a la tutela judicial efectiva (art. 24.1 CE) en su vertiente del derecho de acceso a la jurisdicción. En su opinión, los órganos del Poder Judicial han eludido pronunciarse sobre el fondo del asunto aplicando, para ello, un requisito de admisibilidad que no está previsto en la normativa procesal en vigor.</w:t>
      </w:r>
    </w:p>
    <w:p w:rsidR="0085709A" w:rsidRDefault="0085709A" w:rsidP="0085709A">
      <w:pPr>
        <w:pStyle w:val="TextoNormal"/>
      </w:pPr>
    </w:p>
    <w:p w:rsidR="0085709A" w:rsidRDefault="0085709A" w:rsidP="0085709A">
      <w:pPr>
        <w:pStyle w:val="TextoNormal"/>
      </w:pPr>
      <w:r>
        <w:t>La actora vuelve a apoyarse en la STC 144/2004, de 13 de septiembre, cuya cita complementa ahora con una referencia a la STC 127/2008, de 27 de octubre. A su juicio, de las resoluciones aludidas se desprende meridianamente que la inadmisión de la demanda de retracto arrendaticio por falta de consignación del precio de venta viola el citado derecho fundamental, pues carece de cobertura legal en los arts. 266.3 LEC y 1518 CC. A diferencia del anterior art. 1618.2 LEC-1881, el vigente art. 266.3 LEC no exige directamente tal consignación, remitiéndose a lo previsto en ley material o en el contrato. Debe, pues, concluirse, a juicio de la actora, que los órganos del Poder Judicial han inadmitido la pretensión principal formulada en la demanda aplicando un requisito procesal inexistente, pues, ni el contrato exigía la consignación del precio, ni tampoco lo hace el art. 1518 CC, que se refiere a un reembolso previo al ejercicio del derecho de retracto ya reconocido.</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18 de diciembre de 2014, la Sala Segunda acordó admitir a trámite la demanda, y, en aplicación de lo dispuesto en el art. 51 de la Ley Orgánica del Tribunal Constitucional (LOTC), dirigir atenta comunicación a la Sección Undécima de la Audiencia Provincial de Valencia y al Juzgado de Primera Instancia núm. 2 de Alzira, a fin de que, en plazo que no excediera de diez días, remitieran, respectivamente, certificación o fotocopia adverada de las actuaciones correspondientes al rollo de apelación núm. 707-2012 y al procedimiento ordinario núm. 152-2011, interesándose al propio tiempo del Juzgado que emplazara a quienes hubieran sido parte en el procedimiento, excepto a la parte recurrente en amparo, para que pudieran comparecer en el plazo de diez días.</w:t>
      </w:r>
    </w:p>
    <w:p w:rsidR="0085709A" w:rsidRDefault="0085709A" w:rsidP="0085709A">
      <w:pPr>
        <w:pStyle w:val="TextoNormal"/>
      </w:pPr>
    </w:p>
    <w:p w:rsidR="0085709A" w:rsidRDefault="0085709A" w:rsidP="0085709A">
      <w:pPr>
        <w:pStyle w:val="TextoNormal"/>
      </w:pPr>
      <w:r>
        <w:lastRenderedPageBreak/>
        <w:t>Asimismo, se acordó la formación de pieza separada de suspensión. Por Auto 16 de febrero de 2015, la Sala Segunda denegó la suspensión de las resoluciones judiciales impugnadas que había solicitado la recurrente, acordando, en su lugar, la anotación preventiva de la demanda de amparo en el Registro de la Propiedad.</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 25 de marzo de 2015 se tuvo por personada ante este Tribunal a la mercantil Inverco 2009, S.L., que así lo había solicitado en escrito registrado el día 4 de marzo anterior. En la misma resolución, se ordenó dar vista de las actuaciones recibidas a las partes personadas y al Ministerio Fiscal para que pudieran formular alegaciones en plazo común de veinte días.</w:t>
      </w:r>
    </w:p>
    <w:p w:rsidR="0085709A" w:rsidRDefault="0085709A" w:rsidP="0085709A">
      <w:pPr>
        <w:pStyle w:val="TextoNormal"/>
      </w:pPr>
    </w:p>
    <w:p w:rsidR="0085709A" w:rsidRDefault="0085709A" w:rsidP="0085709A">
      <w:pPr>
        <w:pStyle w:val="TextoNormal"/>
      </w:pPr>
      <w:r w:rsidRPr="0085709A">
        <w:rPr>
          <w:rStyle w:val="NumeroAFNegritaCaracter"/>
        </w:rPr>
        <w:t>6</w:t>
      </w:r>
      <w:r>
        <w:t>. El día 28 de abril de 2015 la entidad Inverco 2009, S.L., ha presentado sus alegaciones, en las que solicita la desestimación del recurso de amparo. Entiende la aludida sociedad que, a efectos de aplicar el art. 266.3 LEC, ha de realizarse una ponderación adecuada entre el derecho del recurrente a acceder al proceso y el derecho de la demandada a obtener garantías de que, en caso de estimación del retracto, pueda cobrar el importe pagado por la finca. En su opinión “de igual calado constitucional es el derecho de Inverco a tener garantizado que la oferta del retrayente es seria y que va a poder pagar el precio” que el derecho de la demandante de amparo de acceder a los tribunales para que sea reconocido su derecho de retracto.</w:t>
      </w:r>
    </w:p>
    <w:p w:rsidR="0085709A" w:rsidRDefault="0085709A" w:rsidP="0085709A">
      <w:pPr>
        <w:pStyle w:val="TextoNormal"/>
      </w:pPr>
    </w:p>
    <w:p w:rsidR="0085709A" w:rsidRDefault="0085709A" w:rsidP="0085709A">
      <w:pPr>
        <w:pStyle w:val="TextoNormal"/>
      </w:pPr>
      <w:r>
        <w:t>Entiende, asimismo, Inverco 2009, S.L., que el actual art. 266.3 LEC “coincide prácticamente” en su redacción con el derogado art. 1618.2 LEC-1881, razón por la cual el propio Tribunal Supremo, en la Sentencia de 4 de noviembre de 2008, ha considerado que la normativa actualmente vigente sigue exigiendo la consignación del precio como requisito de admisibilidad de la acción de retracto arrendaticio. De dicha Sentencia del Alto Tribunal se deduciría, así, que “la falta de consignación no es sólo un mero defecto procesal … sino un presupuesto básico para el ejercicio … de la acción de retracto, pues el hipotético reconocimiento del derecho a retraer debe llevar implícito el derecho a que la parte demandada reciba el precio con carácter simultáneo”.</w:t>
      </w:r>
    </w:p>
    <w:p w:rsidR="0085709A" w:rsidRDefault="0085709A" w:rsidP="0085709A">
      <w:pPr>
        <w:pStyle w:val="TextoNormal"/>
      </w:pPr>
    </w:p>
    <w:p w:rsidR="0085709A" w:rsidRDefault="0085709A" w:rsidP="0085709A">
      <w:pPr>
        <w:pStyle w:val="TextoNormal"/>
      </w:pPr>
      <w:r>
        <w:t>Concluye sus alegaciones la entidad mercantil señalando que fue el recurrente el que se apartó deliberadamente de esa interpretación del Tribunal Supremo, por lo que la inadmisión padecida no fue más que el fruto de su impericia y pasividad.</w:t>
      </w:r>
    </w:p>
    <w:p w:rsidR="0085709A" w:rsidRDefault="0085709A" w:rsidP="0085709A">
      <w:pPr>
        <w:pStyle w:val="TextoNormal"/>
      </w:pPr>
    </w:p>
    <w:p w:rsidR="0085709A" w:rsidRDefault="0085709A" w:rsidP="0085709A">
      <w:pPr>
        <w:pStyle w:val="TextoNormal"/>
      </w:pPr>
      <w:r w:rsidRPr="0085709A">
        <w:rPr>
          <w:rStyle w:val="NumeroAFNegritaCaracter"/>
        </w:rPr>
        <w:t>7</w:t>
      </w:r>
      <w:r>
        <w:t>. La representación de la recurrente de amparo presentó sus alegaciones en escrito registrado el día 28 de abril de 2015, en el que se limitó a ratificar las ya efectuadas en la demanda.</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presentó sus alegaciones mediante escrito de fecha 7 de mayo de 2015, en el que interesa que se otorgue el amparo solicitado por la recurrente por vulneración del derecho a la tutela judicial efectiva (art. 24.1 CE), en su modalidad de acceso a la jurisdicción.</w:t>
      </w:r>
    </w:p>
    <w:p w:rsidR="0085709A" w:rsidRDefault="0085709A" w:rsidP="0085709A">
      <w:pPr>
        <w:pStyle w:val="TextoNormal"/>
      </w:pPr>
    </w:p>
    <w:p w:rsidR="0085709A" w:rsidRDefault="0085709A" w:rsidP="0085709A">
      <w:pPr>
        <w:pStyle w:val="TextoNormal"/>
      </w:pPr>
      <w:r>
        <w:t xml:space="preserve">Considera, en efecto, el Ministerio Fiscal que el recurso de amparo plantea un supuesto de posible violación del derecho a la tutela judicial efectiva en su dimensión de acceso a la jurisdicción. A su parecer, esta circunstancia obliga a someter a las resoluciones impugnadas </w:t>
      </w:r>
      <w:r>
        <w:lastRenderedPageBreak/>
        <w:t>a un canon de constitucionalidad distinto y más exigente que el que, derivando del mismo precepto constitucional, veda toda interpretación que pueda ser tildada de arbitraria, irrazonable o incursa en error patente. Estando en juego el acceso mismo a los tribunales, debe examinarse si el pronunciamiento judicial que impide obtener una resolución sobre el fondo del asunto es desproporcionado, por su rigorismo o formalismo excesivos. Se exige, en definitiva, un juicio de proporcionalidad que pondere, de una parte, la finalidad perseguida por la decisión del órgano judicial y, de otra, los intereses que resultan sacrificados con la misma.</w:t>
      </w:r>
    </w:p>
    <w:p w:rsidR="0085709A" w:rsidRDefault="0085709A" w:rsidP="0085709A">
      <w:pPr>
        <w:pStyle w:val="TextoNormal"/>
      </w:pPr>
    </w:p>
    <w:p w:rsidR="0085709A" w:rsidRDefault="0085709A" w:rsidP="0085709A">
      <w:pPr>
        <w:pStyle w:val="TextoNormal"/>
      </w:pPr>
      <w:r>
        <w:t>Descendiendo al problema concretamente planteado, el Fiscal señala que el Tribunal Constitucional ha tenido oportunidad de pronunciarse sobre la exigencia de la consignación del precio como requisito de admisibilidad de la demanda de retracto. En particular, según glosa el representante del Ministerio Fiscal, este Tribunal ha considerado, en la STC 12/1992, de 27 de enero, FJ 4, que la norma contenida en el art. 1618. 2 LEC-1881, que condicionaba la admisión a trámite de la demanda a “la consignación del precio de la transmisión de la que nace el derecho de retracto” es, en sí misma, compatible con la Constitución, ya que supone una limitación constitucional legítima del derecho a la tutela judicial efectiva.</w:t>
      </w:r>
    </w:p>
    <w:p w:rsidR="0085709A" w:rsidRDefault="0085709A" w:rsidP="0085709A">
      <w:pPr>
        <w:pStyle w:val="TextoNormal"/>
      </w:pPr>
    </w:p>
    <w:p w:rsidR="0085709A" w:rsidRDefault="0085709A" w:rsidP="0085709A">
      <w:pPr>
        <w:pStyle w:val="TextoNormal"/>
      </w:pPr>
      <w:r>
        <w:t>Recuerda, no obstante, el Fiscal que el propio Tribunal aclaró después en su STC 144/2004, FJ 3, que no podía confundirse la consignación o afianzamiento del precio, exigido en la citada norma procesal (ya derogada), con el reembolso que regula, en el ámbito del Derecho sustantivo, el art. 1518 CC. A diferencia del art. 1618.2 LEC-1881, que contemplaba un requisito estrictamente procesal, el precepto citado del Código civil contiene un presupuesto material o sustantivo para el ejercicio del derecho de retracto, necesario para que se consume la adquisición del retrayente, pero irrelevante a efectos procesales.</w:t>
      </w:r>
    </w:p>
    <w:p w:rsidR="0085709A" w:rsidRDefault="0085709A" w:rsidP="0085709A">
      <w:pPr>
        <w:pStyle w:val="TextoNormal"/>
      </w:pPr>
    </w:p>
    <w:p w:rsidR="0085709A" w:rsidRDefault="0085709A" w:rsidP="0085709A">
      <w:pPr>
        <w:pStyle w:val="TextoNormal"/>
      </w:pPr>
      <w:r>
        <w:t>Señala, asimismo, el Ministerio Fiscal que la STC 127/2008 ya aclaró que el tenor del actual art. 266.3 LEC no era en absoluto coincidente con el del art. 1618.2 LEC-1881, ya que el precepto ahora vigente supedita la posibilidad de que la consignación se convierta en requisito de admisión de la demanda a que así esté expresamente previsto en la ley aplicable o en el contrato celebrado por las partes.</w:t>
      </w:r>
    </w:p>
    <w:p w:rsidR="0085709A" w:rsidRDefault="0085709A" w:rsidP="0085709A">
      <w:pPr>
        <w:pStyle w:val="TextoNormal"/>
      </w:pPr>
    </w:p>
    <w:p w:rsidR="0085709A" w:rsidRDefault="0085709A" w:rsidP="0085709A">
      <w:pPr>
        <w:pStyle w:val="TextoNormal"/>
      </w:pPr>
      <w:r>
        <w:t xml:space="preserve">Concluye el Fiscal su exposición señalando que la aplicación de esta doctrina al caso planteado debe llevar a entender que el Auto de 15 de julio de 2011 del Juzgado de Primera Instancia núm. 2 de Alzira vulneró el derecho de acceso a la jurisdicción de la recurrente, ya que “ninguno de los preceptos legales invocados como fundamento de la decisión judicial del juez </w:t>
      </w:r>
      <w:r w:rsidRPr="0085709A">
        <w:rPr>
          <w:i/>
        </w:rPr>
        <w:t>a quo</w:t>
      </w:r>
      <w:r>
        <w:t xml:space="preserve"> configura la consignación del precio de la venta como un requisito procesal esencial para la admisión y tramitación de las demandas de retracto arrendaticio”. El mismo defecto observa el Fiscal en el Auto de apelación de 26 de julio de 2013, pues éste confirmó la decisión de inadmisión sobre la base de una supuesta identidad de redacción entre el art. 266.3 LEC y el art. 1618.2 LEC-1881, ignorando, por tanto, las diferencias sustanciales existentes entre ambos preceptos, que ya fueron puestas de manifiesto por el Tribunal Constitucional en la aludida STC 127/2008. La “censura constitucional” debe igualmente extenderse, a juicio del Fiscal, al Auto de 30 de diciembre de 2013, pues la Audiencia, al desestimar la petición de nulidad de actuaciones, “no reparó la lesión constitucional del derecho fundamental a la tutela judicial efectiva (art. 24.1 CE), en su vertiente de acceso al proceso”.</w:t>
      </w:r>
    </w:p>
    <w:p w:rsidR="0085709A" w:rsidRDefault="0085709A" w:rsidP="0085709A">
      <w:pPr>
        <w:pStyle w:val="TextoNormal"/>
      </w:pPr>
    </w:p>
    <w:p w:rsidR="0085709A" w:rsidRDefault="0085709A" w:rsidP="0085709A">
      <w:pPr>
        <w:pStyle w:val="TextoNormal"/>
      </w:pPr>
      <w:r>
        <w:lastRenderedPageBreak/>
        <w:t>El Fiscal interesa, por todo ello, que se estime la demanda de amparo, se acuerde la nulidad de las resoluciones impugnadas y se retrotraigan las actuaciones al momento inmediatamente anterior al dictado del Auto de 15 de julio de 2011, para que el Juzgado de Primera Instancia dicte una nueva resolución respetuosa con el derecho fundamental vulnerado.</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Como ha quedado expuesto en los antecedentes, la recurrente de amparo impugna el Auto de 15 de julio de 2011, dictado por el Juzgado de Primera Instancia núm. 2 de Alzira, por el que se acordó la inadmisión de la demanda presentada en el procedimiento ordinario núm. 152-2011 en lo relativo a la pretensión principal de que le sea reconocido un derecho de retracto arrendaticio, la rectificación del Registro de la Propiedad y la declaración de nulidad y cancelación de cargas y gravámenes. También, impugna el Auto de 26 de julio de 2013, dictado por la Audiencia Provincial de Valencia (Sección Undécima) en el rollo de apelación 707-2012, resolución que confirmó la decisión de inadmisión liminar, así como el Auto de la misma Audiencia de fecha 30 de diciembre de 2013 por el que se desestimó el incidente de nulidad de actuaciones.</w:t>
      </w:r>
    </w:p>
    <w:p w:rsidR="0085709A" w:rsidRDefault="0085709A" w:rsidP="0085709A">
      <w:pPr>
        <w:pStyle w:val="TextoNormal"/>
      </w:pPr>
    </w:p>
    <w:p w:rsidR="0085709A" w:rsidRDefault="0085709A" w:rsidP="0085709A">
      <w:pPr>
        <w:pStyle w:val="TextoNormal"/>
      </w:pPr>
      <w:r>
        <w:t xml:space="preserve">La demandante de amparo denuncia la vulneración de su derecho a la tutela judicial efectiva (art. 24.1 CE) en su vertiente del derecho de acceso a la jurisdicción. A su juicio, las resoluciones impugnadas aplicaron un requisito de admisibilidad ajeno a la normativa procesal en vigor, privándole de un pronunciamiento sobre el fondo del asunto. Por su parte, Inverco 2009, S.L., entidad demandada en el proceso </w:t>
      </w:r>
      <w:r w:rsidRPr="0085709A">
        <w:rPr>
          <w:i/>
        </w:rPr>
        <w:t>a quo</w:t>
      </w:r>
      <w:r>
        <w:t>, solicita la desestimación del recurso de amparo considerando que las resoluciones impugnadas ponderaron correctamente el interés de todas las partes y valoraron adecuadamente la necesidad de no dejar sin efecto la transmisión del bien en virtud de un derecho de retracto económicamente inviable. El Ministerio Fiscal interesa, por su parte, la estimación del amparo aduciendo las razones que han sido expuestas en los antecedentes de esta resolución.</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 Aunque las partes comparecidas no han puesto en duda que concurra el requisito de admisión previsto en los arts. 49.1 y 50.1 b) de nuestra Ley Orgánica reguladora, exigencias de certeza y buena administración de justicia (STEDH de 20 de enero de 2015, asunto </w:t>
      </w:r>
      <w:r w:rsidRPr="0085709A">
        <w:rPr>
          <w:i/>
        </w:rPr>
        <w:t>Arribas Antón contra España</w:t>
      </w:r>
      <w:r>
        <w:t>, apartado 46) obligan a explicitar el cumplimiento del mismo, a efectos de que los supuestos de especial trascendencia constitucional establecidos con carácter general por este Tribunal en su STC 155/2009, de 25 de junio (FJ 2), pasen a ser plenamente recognoscibles para todos los ciudadanos que pretendan acceder al recurso de amparo.</w:t>
      </w:r>
    </w:p>
    <w:p w:rsidR="0085709A" w:rsidRDefault="0085709A" w:rsidP="0085709A">
      <w:pPr>
        <w:pStyle w:val="TextoNormal"/>
      </w:pPr>
    </w:p>
    <w:p w:rsidR="0085709A" w:rsidRDefault="0085709A" w:rsidP="0085709A">
      <w:pPr>
        <w:pStyle w:val="TextoNormal"/>
      </w:pPr>
      <w:r>
        <w:t xml:space="preserve">En el presente caso, la actuación de la de la Audiencia Provincial de Valencia (Sección Undécima) es subsumible en el supuesto de “negativa manifiesta del deber de acatamiento de la doctrina del Tribunal Constitucional”, causa de especial trascendencia, comprendida en la letra f) del fundamento jurídico 2 de la citada STC 155/2009, que ya hemos señalado que no puede identificarse con una aplicación meramente errónea de la doctrina constitucional pues requiere, según afirmamos en el ATC 26/2012, de 31 de enero (FJ 3), “una </w:t>
      </w:r>
      <w:r>
        <w:lastRenderedPageBreak/>
        <w:t>decisión consciente de soslayarla … elemento intencional o volitivo que caracteriza el concreto supuesto de especial trascendencia constitucional”.</w:t>
      </w:r>
    </w:p>
    <w:p w:rsidR="0085709A" w:rsidRDefault="0085709A" w:rsidP="0085709A">
      <w:pPr>
        <w:pStyle w:val="TextoNormal"/>
      </w:pPr>
    </w:p>
    <w:p w:rsidR="0085709A" w:rsidRDefault="0085709A" w:rsidP="0085709A">
      <w:pPr>
        <w:pStyle w:val="TextoNormal"/>
      </w:pPr>
      <w:r>
        <w:t>La lectura de los hechos consignados en el antecedente segundo de esta resolución permite constatar que, en el caso que nos ocupa, concurre dicho elemento intencional. El Auto de 26 de julio de 2013 de la Audiencia Provincial de Valencia (Sección Undécima) confirmó la inadmisión parcial de la demanda y se apartó de la doctrina constitucional invocada por la recurrente omitiendo toda referencia a la Sentencia del Tribunal Constitucional que hasta ese momento había centrado el debate procesal. Posteriormente, en el Auto de 30 de diciembre de 2013, resolutorio del incidente de nulidad de actuaciones, la Audiencia hizo explícito el carácter deliberado de su incumplimiento, pues manifestó abiertamente en dicha resolución su reticencia a aplicar la doctrina de este Tribunal amparándose en otra posterior del Tribunal Supremo.</w:t>
      </w:r>
    </w:p>
    <w:p w:rsidR="0085709A" w:rsidRDefault="0085709A" w:rsidP="0085709A">
      <w:pPr>
        <w:pStyle w:val="TextoNormal"/>
      </w:pPr>
    </w:p>
    <w:p w:rsidR="0085709A" w:rsidRDefault="0085709A" w:rsidP="0085709A">
      <w:pPr>
        <w:pStyle w:val="TextoNormal"/>
      </w:pPr>
      <w:r w:rsidRPr="0085709A">
        <w:rPr>
          <w:rStyle w:val="NumeroAFNegritaCaracter"/>
        </w:rPr>
        <w:t>3</w:t>
      </w:r>
      <w:r>
        <w:t>. Entrando ya en el fondo del asunto, es doctrina consolidada de este Tribunal que la exigencia de consignación del precio de venta como requisito de admisibilidad del ejercicio de la acción de retracto arrendaticio es una opción legítima de política legislativa que, considerada en sí misma, no conculca el orden constitucional. Como señalamos en la STC 12/1992, de 27 de enero, la finalidad de una norma procesal de este tipo —como era el caso del art. 1.618.2 de la Ley de enjuiciamiento civil de 1881 (LEC-1881), precepto que condicionaba el curso de las demandas de retracto al cumplimiento del requisito de consignación o afianzamiento del precio— es la de “garantizar la seriedad de la demanda y asegurar al demandado que, si recae Sentencia estimatoria, será reembolsado, en el momento del otorgamiento de la escritura correspondiente, de las cantidades que señala el art. 1.518 del Código Civil”. Según dijimos entonces, resulta “manifiesto que esta finalidad justifica la exigencia de la norma procesal y debe, en consecuencia, considerarse una limitación constitucional legítima del derecho a la tutela judicial” (FJ4).</w:t>
      </w:r>
    </w:p>
    <w:p w:rsidR="0085709A" w:rsidRDefault="0085709A" w:rsidP="0085709A">
      <w:pPr>
        <w:pStyle w:val="TextoNormal"/>
      </w:pPr>
    </w:p>
    <w:p w:rsidR="0085709A" w:rsidRDefault="0085709A" w:rsidP="0085709A">
      <w:pPr>
        <w:pStyle w:val="TextoNormal"/>
      </w:pPr>
      <w:r>
        <w:t>Con esta premisa, bajo la vigencia del referido art. 1618.2 LEC-1881, este Tribunal se limitó a revisar el juicio de proporcionalidad efectuado por los órganos del Poder Judicial en aplicación de dicho requisito procesal, otorgando su amparo a quienes habían sido víctimas de una interpretación “excesivamente onerosa o desproporcionada respecto de la finalidad de garantía” inspiradora del mismo. En el ejercicio de esa labor, consideramos contrarias al art. 24.1 CE, por excesivamente formalistas, varias decisiones de inadmisión que habían rechazado la consignación realizada a través de cheque conformado (STC 12/1992, de 27 de enero), mediante fianza o aval bancario (SSTC 145/1998, de 30 de junio y 189/2000, de 10 de julio) o fuera del estricto plazo de caducidad previsto en la referida norma cuando la extemporaneidad era exclusivamente achacable a una mala praxis del propio órgano judicial (STC 327/2005, de 12 de diciembre).</w:t>
      </w:r>
    </w:p>
    <w:p w:rsidR="0085709A" w:rsidRDefault="0085709A" w:rsidP="0085709A">
      <w:pPr>
        <w:pStyle w:val="TextoNormal"/>
      </w:pPr>
    </w:p>
    <w:p w:rsidR="0085709A" w:rsidRDefault="0085709A" w:rsidP="0085709A">
      <w:pPr>
        <w:pStyle w:val="TextoNormal"/>
      </w:pPr>
      <w:r>
        <w:t xml:space="preserve">No obstante, una vez derogado el art. 1618.2 LEC-1881, este Tribunal se vio en la necesidad de examinar decisiones de inadmisión de demandas de retracto arrendaticio adoptadas con arreglo a la nueva norma procesal aplicable, el art. 266.3 LEC, innovación legislativa que nos obligó a ampliar nuestra perspectiva de análisis, pues la carga de consignar sólo podía servir de restricción legítima al acceso a los tribunales si seguía estando prevista en la legislación procesal en vigor. De no ser así, una decisión de inadmisión por falta de consignación, adoptada sin cobertura legal expresa por un órgano del Poder Judicial, por muy legítimos o ponderados que fueran los fines perseguidos por el mismo, debía reputarse lesiva </w:t>
      </w:r>
      <w:r>
        <w:lastRenderedPageBreak/>
        <w:t>del derecho de acceso al proceso reconocido en el art. 24.1 CE, pues, como ha señalado insistentemente este Tribunal, una decisión de inadmisión sólo es compatible con dicho derecho fundamental si “es consecuencia de la aplicación razonada y proporcionada de una causa legal en la que se prevea tal consecuencia (STC 158/2000, de 12 de junio, FJ 5. En igual sentido, SSTC 115/1999, de 14 de junio, FJ 2; 157/1999, de 14 de septiembre, FJ 2; 33/2002, de 11 de febrero de 2002, FJ 5, y 111/2009, de 11 de mayo, FJ 2)” (STC 39/2015, de 2 de marzo, FJ 4).</w:t>
      </w:r>
    </w:p>
    <w:p w:rsidR="0085709A" w:rsidRDefault="0085709A" w:rsidP="0085709A">
      <w:pPr>
        <w:pStyle w:val="TextoNormal"/>
      </w:pPr>
    </w:p>
    <w:p w:rsidR="0085709A" w:rsidRDefault="0085709A" w:rsidP="0085709A">
      <w:pPr>
        <w:pStyle w:val="TextoNormal"/>
      </w:pPr>
      <w:r>
        <w:t>Fue precisamente en la STC 144/2004, de 13 de septiembre, reiteradamente invocada por la recurrente de amparo ante el Juzgado de Primera Instancia y ante la Audiencia Provincial, cuando tuvimos ocasión de examinar la nueva regla procesal aplicable, llegando entonces a la conclusión inequívoca de que el tenor literal del nuevo art. 266.3 de la Ley de enjuiciamiento civil (LEC) presentaba una diferencia sustancial frente a la norma precedente, pues pasaba a condicionar “la consignación o la constitución de caución como requisito para la admisión a trámite de la demanda de retracto […] a que se exija por ley o contrato” (FJ 4). De acuerdo con esta nueva redacción, concluimos en la citada STC 144/2004 que se había conculcado el derecho de acceso a la jurisdicción, pues ni el contrato contemplaba carga alguna de consignar ni del art. 1518 del Código civil (CC) podía deducirse requisito procesal de ningún tipo. Según el propio Tribunal había señalado previamente (STC 145/1998, de 30 de junio, FJ 4), dicha norma del Código civil contempla un simple reembolso del precio de transmisión como “presupuesto material o sustantivo para el ejercicio del derecho de retracto, sin el cual no puede consumarse la adquisición del derecho objeto del retracto por parte del retrayente”.</w:t>
      </w:r>
    </w:p>
    <w:p w:rsidR="0085709A" w:rsidRDefault="0085709A" w:rsidP="0085709A">
      <w:pPr>
        <w:pStyle w:val="TextoNormal"/>
      </w:pPr>
    </w:p>
    <w:p w:rsidR="0085709A" w:rsidRDefault="0085709A" w:rsidP="0085709A">
      <w:pPr>
        <w:pStyle w:val="TextoNormal"/>
      </w:pPr>
      <w:r>
        <w:t>En este mismo sentido nos pronunciamos después en la STC 127/2008, de 27 de octubre, en la que, recalcando la importancia de la modificación legislativa producida, señalamos que “bajo el régimen de la Ley de Enjuiciamiento Civil de 1881 la exigencia de consignar venía impuesta directamente por su art. 1618.2 … Por el contrario, el actual art. 266.3 LEC supedita la carga de consignar a que así se exija por ley o por contrato” (FJ 3). Reiteramos, asimismo, en esa resolución que la carga procesal de consignar no puede deducirse del art. 1518 CC pues “el reembolso al comprador del precio de la venta y de los gastos derivados que impone el art. 1518 CC” no es “un requisito para la admisión a trámite de la demanda” sino un “requisito sustantivo para el ejercicio del derecho de retracto, esto es, una vez obtenida sentencia estimatoria del mismo”. Concluimos, por ello, como habíamos hecho en la anterior STC 144/2004, que “no es posible sustentar la inadmisión de la demanda en el art. 266.3 LEC pues, como resulta del tenor literal del precepto, se condiciona la consignación a que se exija por ley o contrato, supuestos que no se dan en este caso” (FJ 3).</w:t>
      </w:r>
    </w:p>
    <w:p w:rsidR="0085709A" w:rsidRDefault="0085709A" w:rsidP="0085709A">
      <w:pPr>
        <w:pStyle w:val="TextoNormal"/>
      </w:pPr>
    </w:p>
    <w:p w:rsidR="0085709A" w:rsidRDefault="0085709A" w:rsidP="0085709A">
      <w:pPr>
        <w:pStyle w:val="TextoNormal"/>
      </w:pPr>
      <w:r w:rsidRPr="0085709A">
        <w:rPr>
          <w:rStyle w:val="NumeroAFNegritaCaracter"/>
        </w:rPr>
        <w:t>4</w:t>
      </w:r>
      <w:r>
        <w:t>. La doctrina fijada en las aludidas SSTC 144/2004 y 127/2008 es plenamente trasladable al caso que ahora se nos plantea, en el que puede comprobarse, sin necesidad de mayor análisis, que, tanto el Juzgado de Primera Instancia como la Audiencia Provincial, inadmitieron a trámite la demanda —en lo relativo a la acción de retracto ejercitada principalmente por la recurrente— al margen de lo previsto en la legislación procesal en vigor (art. 266.3 LEC), pues, ni la carga de consignar estaba prevista en el contrato, ni tal carga puede inferirse del art. 1518 CC, como repetidamente ha señalado este Tribunal desde la ya citada STC 145/1998.</w:t>
      </w:r>
    </w:p>
    <w:p w:rsidR="0085709A" w:rsidRDefault="0085709A" w:rsidP="0085709A">
      <w:pPr>
        <w:pStyle w:val="TextoNormal"/>
      </w:pPr>
    </w:p>
    <w:p w:rsidR="0085709A" w:rsidRDefault="0085709A" w:rsidP="0085709A">
      <w:pPr>
        <w:pStyle w:val="TextoNormal"/>
      </w:pPr>
      <w:r>
        <w:lastRenderedPageBreak/>
        <w:t>Al proceder de este modo, ambos órganos jurisdiccionales impidieron a la demandante de amparo obtener una resolución sobre el fondo del litigio sin que concurriera una causa legal que amparara esa decisión, por lo que debemos considerar vulnerado el derecho de la actora a la tutela judicial efectiva (art. 24.1 CE) en su dimensión de acceso a la jurisdicción.</w:t>
      </w:r>
    </w:p>
    <w:p w:rsidR="0085709A" w:rsidRDefault="0085709A" w:rsidP="0085709A">
      <w:pPr>
        <w:pStyle w:val="TextoNormal"/>
      </w:pPr>
    </w:p>
    <w:p w:rsidR="0085709A" w:rsidRDefault="0085709A" w:rsidP="0085709A">
      <w:pPr>
        <w:pStyle w:val="TextoNormal"/>
      </w:pPr>
      <w:r w:rsidRPr="0085709A">
        <w:rPr>
          <w:rStyle w:val="NumeroAFNegritaCaracter"/>
        </w:rPr>
        <w:t>5</w:t>
      </w:r>
      <w:r>
        <w:t>. . Lo expuesto determina la estimación del recurso de amparo.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a Secciones Mobiliarias, S. L., y, en su virtud:</w:t>
      </w:r>
    </w:p>
    <w:p w:rsidR="0085709A" w:rsidRDefault="0085709A" w:rsidP="0085709A">
      <w:pPr>
        <w:pStyle w:val="TextoNormal"/>
      </w:pPr>
    </w:p>
    <w:p w:rsidR="0085709A" w:rsidRDefault="0085709A" w:rsidP="0085709A">
      <w:pPr>
        <w:pStyle w:val="TextoNormal"/>
      </w:pPr>
      <w:r>
        <w:t>1º Declarar que ha sido vulnerado su derecho fundamental a la tutela judicial efectiva (art. 24.1 CE).</w:t>
      </w:r>
    </w:p>
    <w:p w:rsidR="0085709A" w:rsidRDefault="0085709A" w:rsidP="0085709A">
      <w:pPr>
        <w:pStyle w:val="TextoNormal"/>
      </w:pPr>
    </w:p>
    <w:p w:rsidR="0085709A" w:rsidRDefault="0085709A" w:rsidP="0085709A">
      <w:pPr>
        <w:pStyle w:val="TextoNormal"/>
      </w:pPr>
      <w:r>
        <w:t>2º Restablecerla en su derecho y, a tal fin, declarar la nulidad de los Autos de 30 de diciembre y 26 de julio de 2013, dictados por la Audiencia Provincial de Valencia (Sección Undécima) en el rollo de apelación núm. 707-2012, así como del Auto de 15 de julio de 2011, dictado por el Juzgado de Primera Instancia núm. 2 de Alzira en el procedimiento ordinario núm. 152-2011.</w:t>
      </w:r>
    </w:p>
    <w:p w:rsidR="0085709A" w:rsidRDefault="0085709A" w:rsidP="0085709A">
      <w:pPr>
        <w:pStyle w:val="TextoNormal"/>
      </w:pPr>
    </w:p>
    <w:p w:rsidR="0085709A" w:rsidRDefault="0085709A" w:rsidP="0085709A">
      <w:pPr>
        <w:pStyle w:val="TextoNormal"/>
      </w:pPr>
      <w:r>
        <w:t>3º Retrotraer las actuaciones al momento inmediatamente anterior al de dictarse el Auto de 15 de julio de 2011, para que el Juzgado de Primera Instancia núm. 2 de Alzira dicte una nueva resolución respetuosa con el derecho fundamental vulnerado.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19" w:name="SENTENCIA_2015_116"/>
      <w:r>
        <w:lastRenderedPageBreak/>
        <w:t>SENTENCIA 116/2015, de 8 de junio de 2015</w:t>
      </w:r>
    </w:p>
    <w:bookmarkEnd w:id="119"/>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ECLI:ES:TC:2015:116</w:t>
      </w:r>
    </w:p>
    <w:p w:rsidR="0085709A" w:rsidRDefault="0085709A" w:rsidP="0085709A">
      <w:pPr>
        <w:pStyle w:val="TextoNormalCentrado"/>
      </w:pPr>
    </w:p>
    <w:p w:rsidR="0085709A" w:rsidRDefault="0085709A" w:rsidP="0085709A">
      <w:pPr>
        <w:pStyle w:val="SntesisDescriptiva"/>
      </w:pPr>
      <w:r>
        <w:t>Cuestión de inconstitucionalidad 1458-2014.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Dado que cuando se aprobó el Real Decreto-ley 28/2012 por el que se deja en suspenso el efecto de actualización de las pensiones para el ejercicio de 2012, no existía una relación consagrada o agotada incorporada al patrimonio del pensionista, sino una mera expectativa, hemos de rechazar que la norma cuestionada haya incurrido en un supuesto de retroactividad auténtica o de grado máximo prohibido por el art. 9.3 CE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 xml:space="preserve">Sólo son expropiables y, por tanto indemnizables la privación de bienes y derechos o incluso intereses patrimoniales legítimos aun no garantizados como derechos subjetivos (por ejemplo, las situaciones en precario), pero en ningún caso lo son las expectativas; es más, la doctrina jurídica y la jurisprudencia consideran, casi unánimemente, que sólo son indemnizables las privaciones de derechos ciertos, </w:t>
      </w:r>
      <w:r>
        <w:lastRenderedPageBreak/>
        <w:t>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1458-2014,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marzo de 2014 tuvo entrada en el Registro General de este Tribunal un oficio de la Sala de lo Social, con sede en Burgos, del Tribunal Superior de Justicia de Castilla y León al que se acompaña, junto con el testimonio del procedimiento ordinario núm. 572-2013, y del rollo de suplicación núm. 674-2013, Auto de 6 de febrero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Dos pensionistas interpusieron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que se declarase el derecho a que la revalorización de la pensión en </w:t>
      </w:r>
      <w:r>
        <w:lastRenderedPageBreak/>
        <w:t>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1 de octubre de 2013 estimando en parte la demanda, declarando “el derecho de todos los demandantes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Instituto Nacional de la Seguridad Social (INSS) a abonar a los demandantes que se citan determinadas cantidades que se especifican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10 de diciembre de 2013.</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lastRenderedPageBreak/>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asimismo el Auto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lastRenderedPageBreak/>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admitir a trámite la cuestión mediante providencia de 8 de abril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el 23 de abril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t>Por escrito registrado el 25 de abril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Mediante escrito presentado en el Registro General de este Tribunal el 23 de abril de 2014 el Letrado de la Administración de la Seguridad Social se personó en nombre del Instituto Nacional de la Seguridad Social y por medio de otrosí solicitó que, a los efectos de </w:t>
      </w:r>
      <w:r>
        <w:lastRenderedPageBreak/>
        <w:t>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24 de abril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 El Abogado del Estado, mediante escrito de alegaciones registrado el 7 de mayo de 2014,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índice de precios al consumo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w:t>
      </w:r>
      <w:r>
        <w:lastRenderedPageBreak/>
        <w:t>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la que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cómo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CE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Fiscal General del Estado presentó escrito de alegaciones ante este Tribunal el 23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2,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sea obvia la vulneración por parte del Decreto-ley, cuando suspende las normas generales del art. 48 LGSS, de la retroactividad, y que lo haga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w:t>
      </w:r>
      <w:r>
        <w:lastRenderedPageBreak/>
        <w:t>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éste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que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por escrito registrado el 26 de mayo de 2014 interesa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w:t>
      </w:r>
      <w:r>
        <w:lastRenderedPageBreak/>
        <w:t>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de 21 de julio,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que,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 xml:space="preserve">Recuerda que el art. 48.1 LGSS en la redacción vigente en la fecha del proceso, establece respecto a la revalorización de las pensiones contributivas que ésta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de 24 de mayo, el legislador toma la precaución de condicionar la medida a la ponderación de las </w:t>
      </w:r>
      <w:r>
        <w:lastRenderedPageBreak/>
        <w:t>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previstos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se produce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lastRenderedPageBreak/>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de 5 de marzo, para valorar si la norma cuestionada vulnera el art. 9.3 CE es necesario determinar con carácter previo si en el momento en que se dictó el Real Decreto-ley 28/2012, de 30 de noviembre, los pensionistas tenían una mera expectativa de derecho a recibir la diferencia entre el índice de precios al consumo (IPC) real y el IPC estimado para el año 2012 o, si por el contrario, tenían un derecho consolidado, asumido e integrado en su patrimonio. A este respecto, afirma la Sentencia que, los arts. 48.1.2 de la Ley general de la Seguridad Social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w:t>
      </w:r>
      <w:r>
        <w:lastRenderedPageBreak/>
        <w:t>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a la Sentencia dictada en la cuestión de inconstitucionalidad núm. 1458-2014.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Pleno en la que se sustenta la Sentencia, manifiesto mi discrepancia con la fundamentación jurídica y el fallo de la misma, que entiendo hubiera debido de ser estimatorio por vulneración del principio de seguridad jurídica (art. 9.3 CE), pese a que como Ponente de la presente Sentencia y, en dicha condición, recojo en ella la opinión mayoritaria del Pleno.</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por los Magistrados don Luis Ignacio Ortega Álvarez y don Fernando Valdés Dal-Ré a la STC 49/2015, 5 de marzo, al que entonces me adherí y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0" w:name="SENTENCIA_2015_117"/>
      <w:r>
        <w:lastRenderedPageBreak/>
        <w:t>SENTENCIA 117/2015, de 8 de junio de 2015</w:t>
      </w:r>
    </w:p>
    <w:bookmarkEnd w:id="120"/>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ECLI:ES:TC:2015:117</w:t>
      </w:r>
    </w:p>
    <w:p w:rsidR="0085709A" w:rsidRDefault="0085709A" w:rsidP="0085709A">
      <w:pPr>
        <w:pStyle w:val="TextoNormalCentrado"/>
      </w:pPr>
    </w:p>
    <w:p w:rsidR="0085709A" w:rsidRDefault="0085709A" w:rsidP="0085709A">
      <w:pPr>
        <w:pStyle w:val="SntesisDescriptiva"/>
      </w:pPr>
      <w:r>
        <w:t>Cuestión de inconstitucionalidad 1459-2014.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w:t>
      </w:r>
    </w:p>
    <w:p w:rsidR="0085709A" w:rsidRDefault="0085709A" w:rsidP="0085709A">
      <w:pPr>
        <w:pStyle w:val="SntesisAnaltica"/>
      </w:pPr>
    </w:p>
    <w:p w:rsidR="0085709A" w:rsidRDefault="0085709A" w:rsidP="0085709A">
      <w:pPr>
        <w:pStyle w:val="Extracto"/>
      </w:pPr>
      <w:r>
        <w:t>1.</w:t>
      </w:r>
      <w:r>
        <w:tab/>
        <w:t>La cuestión se desestima, puesto que, el art. 2.1 del Real Decreto-ley 28/2012, de 30 de noviembre, de medidas de consolidación y garantía del sistema de la Seguridad Social, no vulnera los arts. 9.3 y 33 CE (SSTC 95/2015, 109/2015) [FFJJ 2, 4].</w:t>
      </w:r>
    </w:p>
    <w:p w:rsidR="0085709A" w:rsidRDefault="0085709A" w:rsidP="0085709A">
      <w:pPr>
        <w:pStyle w:val="Extracto"/>
      </w:pPr>
    </w:p>
    <w:p w:rsidR="0085709A" w:rsidRDefault="0085709A" w:rsidP="0085709A">
      <w:pPr>
        <w:pStyle w:val="Extracto"/>
      </w:pPr>
      <w:r>
        <w:t>2.</w:t>
      </w:r>
      <w:r>
        <w:tab/>
        <w:t>La duda de constitucionalidad planteada por el órgano judicial ha sido resuelta ya por este Tribunal en la STC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(STC 49/2015) [FJ 3].</w:t>
      </w:r>
    </w:p>
    <w:p w:rsidR="0085709A" w:rsidRDefault="0085709A" w:rsidP="0085709A">
      <w:pPr>
        <w:pStyle w:val="Extracto"/>
      </w:pPr>
    </w:p>
    <w:p w:rsidR="0085709A" w:rsidRDefault="0085709A" w:rsidP="0085709A">
      <w:pPr>
        <w:pStyle w:val="Extracto"/>
      </w:pPr>
      <w:r>
        <w:t>4.</w:t>
      </w:r>
      <w:r>
        <w:tab/>
        <w:t>Los arts. 48.1.2 LGSS y 27.1 del texto refundido de la Ley de clases pasivas del Estado no reconocen de forma automática a los pensionistas el derecho a recibir la diferencia entre el IPC estimado y el IPC real, sino que se remiten a la Ley de presupuestos generales del Estado del año correspondiente para dicho reconocimiento (STC 49/2015)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la cuestión de inconstitucionalidad núm. 1459-2014, promovida por la Sala de lo Social del Tribunal Superior de Justicia de la Comunidad Autónoma de Castilla y León (sede de Burgos)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Antonio Narváez Rodríguez,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11 de marzo de 2014 tuvo entrada en el Registro General de este Tribunal un oficio de la Sala de lo Social del Tribunal Superior de Justicia de Castilla y León (sede de Burgos) al que se acompaña, junto con el testimonio del procedimiento ordinario núm. 376-2013, Auto de 31 de enero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a) Un grupo de varios pensionistas de la Seguridad Social interpuso demanda ante la jurisdicción social contra el Instituto Nacional de la Seguridad Social (INSS) en reclamación de actualización de la pensión que venían percibiendo,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interesaban que se declarase el derecho a que la revalorización de la pensión en 2013 se efectuara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 xml:space="preserve">b) El Juzgado de lo Social núm. 1 de Burgos, que había tramitado la demanda así formulada, dictó Sentencia el día 25 de junio de 2013 estimando parcialmente aquella, declarando “el derecho de todos los demandantes a que se considere como pensión del año 2012 la señalada en el apartado segundo del relato histórico de la presente incrementada en un 2,9 por 100 y que la misma sirva de base para el incremento acordado en el año 2013”, así como el “derecho de los actores a percibir las diferencias correspondientes al año 2012 que son la </w:t>
      </w:r>
      <w:r>
        <w:lastRenderedPageBreak/>
        <w:t>diferencia entre el 1 por 100 aplicado y el 2,9 por 100 debido”. El Juzgado condenó, igualmente, al INSS a abonar a los demandantes que se citan el pago de determinadas cantidades que se especifican en el fallo de la Sentencia.</w:t>
      </w:r>
    </w:p>
    <w:p w:rsidR="0085709A" w:rsidRDefault="0085709A" w:rsidP="0085709A">
      <w:pPr>
        <w:pStyle w:val="TextoNormal"/>
      </w:pPr>
    </w:p>
    <w:p w:rsidR="0085709A" w:rsidRDefault="0085709A" w:rsidP="0085709A">
      <w:pPr>
        <w:pStyle w:val="TextoNormal"/>
      </w:pPr>
      <w:r>
        <w:t>c) Interpuesto por el INSS recurso de suplicación contra la mencionada Sentencia, la Sala de lo Social del Tribunal Superior de Justicia de Castilla y León (sede de Burgos) señaló para su deliberación y fallo el día 10 de diciembre de 2013.</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posible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31 de enero de 2014 la Sala de lo Social del Tribunal Superior de Justicia de Castilla y León (sede de Burgos)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Comienza la Sala la fundamentación jurídica de su Auto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examina la doctrina constitucional sobre la irretroactividad de las disposiciones sancionadoras no favorables o restrictivas de derechos individuales prevista en el art. 9.3 CE., a este respecto, el órgano judicial afirma ser consciente del “espíritu restrictivo” que inspira la interpretación del supuesto de la prohibición de retroactividad. Por ello, señala que lo primero que hay que despejar es si en el caso de autos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la jubilación una de las contingencias previstas, ante la cual se le reconoce el derecho a percibir una pensión que es proporcional al salario que percibió y que constituyó su fuente de subsistencia durante su vida activa. Una vez que un trabajador pasa a la situación de jubilación, se establece un mecanismo cuyo objeto es el de no hacer perder a aquél el poder adquisitivo de la pensión que tiene derecho a percibir como consecuencia de su previa contribución al sistema; tal es el sistema de revalorizaciones de las pensiones, que viene establecido en el art. 50 CE para evitar que, como consecuencia del </w:t>
      </w:r>
      <w:r>
        <w:lastRenderedPageBreak/>
        <w:t>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el Auto de la Sala que el mandato del art. 50 CE ha sido desarrollado por el art. 48.1 LGSS, que regula la revalorización de las pensiones, estableciendo en su apartado 1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Además, el apartado 2 del mismo art. 48.1 LGSS establece el período que se debe tener en cuenta para el cálculo del índice de precios al consumo (“el período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 xml:space="preserve">“El artículo 2.1 del Real Decreto-Ley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el 1-12-2012, una vez transcurrido el período previsto en el artículo 48 de la Ley General de la Seguridad Social para llevar a cabo la aplicación de la anualidad (nov-2011-nov 2012) y que la Ley </w:t>
      </w:r>
      <w:r>
        <w:lastRenderedPageBreak/>
        <w:t>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social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(sede de Burgos),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día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en fecha 28 de mayo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Por medio de escrito presentado en el Registro de este Tribunal el día 19 de mayo de 2014 el Letrado de la Administración de la Seguridad Social se personó en nombre del INSS y, mediante otrosí, solicitó que, a los efectos de representación y defensa del precitado Instituto, se designase indistintamente a los Letrados de la Administración de la Seguridad Social destinados en el servicio jurídico delegado central en aquél.</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8</w:t>
      </w:r>
      <w:r>
        <w:t>. El Fiscal General del Estado presentó escrito de alegaciones ante este Tribunal el día 26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de inconstitucionalidad, ya que entiende que en el Auto de planteamiento la Sala de lo Social del Tribunal Superior de Justicia de referencia discuta sus dudas de constitucionalidad sobre el art. 2.1 del Real Decreto-ley 28/2012, de 30 de noviembre, y este precepto hace referencia a la suspensión de lo previsto en el art. 48.1.1 de la Ley general de la Seguridad Social, y lo dispuesto en el art. 27 apartado 1 párrafo segundo de la Ley de clases pasivas del Estado. Estos dos preceptos, cuya suspensión se acuerda, contienen, en realidad, dos reglas distintas, una relativa al sistema de revalorización anual de las pensiones que cada norma regula y una segunda relativa a la llamada “paga compensatoria única” que se establece para compensar la pérdida adquisitiva que el pensionista haya podido sufrir en el período de tiempo referido al último año.</w:t>
      </w:r>
    </w:p>
    <w:p w:rsidR="0085709A" w:rsidRDefault="0085709A" w:rsidP="0085709A">
      <w:pPr>
        <w:pStyle w:val="TextoNormal"/>
      </w:pPr>
    </w:p>
    <w:p w:rsidR="0085709A" w:rsidRDefault="0085709A" w:rsidP="0085709A">
      <w:pPr>
        <w:pStyle w:val="TextoNormal"/>
      </w:pPr>
      <w:r>
        <w:t>En el parecer del Fiscal, para poder aclarar y delimitar el alcance de la cuestión tal como la configura el Tribunal cuestionante, pues no dice claramente cuál de las dos reglas es la que se considera que puede ser contraria a los arts. 9.3 y 33 CE, hay que comenzar por establecer dicha delimitación. En este sentido, a su juicio, no cabe ninguna duda que la Sala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y otra norma.</w:t>
      </w:r>
    </w:p>
    <w:p w:rsidR="0085709A" w:rsidRDefault="0085709A" w:rsidP="0085709A">
      <w:pPr>
        <w:pStyle w:val="TextoNormal"/>
      </w:pPr>
    </w:p>
    <w:p w:rsidR="0085709A" w:rsidRDefault="0085709A" w:rsidP="0085709A">
      <w:pPr>
        <w:pStyle w:val="TextoNormal"/>
      </w:pPr>
      <w:r>
        <w:t>Recuerda seguidamente la doctrina de este Tribunal en materia de proscripción de la irretroactividad de las normas partiendo del desarrollo que se ha dado de los conceptos de normas sancionadoras no favorables y de normas restrictivas de derechos individuales, ya que sólo éstas tienen en principio limitada la retroacción. Así, destaca de la doctrina constitucional, que no existe imposibilidad de revisar las normas fiscales o económicas, lo que es obvio, pues lo contrario supondría en la práctica impedir al Gobierno ejecutar una verdadera política económica.</w:t>
      </w:r>
    </w:p>
    <w:p w:rsidR="0085709A" w:rsidRDefault="0085709A" w:rsidP="0085709A">
      <w:pPr>
        <w:pStyle w:val="TextoNormal"/>
      </w:pPr>
    </w:p>
    <w:p w:rsidR="0085709A" w:rsidRDefault="0085709A" w:rsidP="0085709A">
      <w:pPr>
        <w:pStyle w:val="TextoNormal"/>
      </w:pPr>
      <w:r>
        <w:t>El Fiscal General del Estado señala que, en el caso que nos ocupa, la norma cuestionada del Real Decreto-ley 28/2012, cuando suspende la aplicación de las normas generales del art. 48 LGSS, no ha incurrido en la vulneración de la Constitución Española que señala el órgano judicial cuestionante respecto de la eventual retroactividad que introduce, porque entiende que el precepto cuestionado no lo hace, en los términos que denuncia la Sala cuestionante, respecto de las dos reglas que establece dicho precepto, la primera relativa a la fijación del incremento de las pensiones para el año 2013, con arreglo al índice real de precios al consumo, y la segunda que tiene que ver con la fijación del pago único, compensatorio de la pérdida del poder adquisitivo durante el año 2012, en el entendimiento de que ambas problemáticas deben ser estudiadas por separado.</w:t>
      </w:r>
    </w:p>
    <w:p w:rsidR="0085709A" w:rsidRDefault="0085709A" w:rsidP="0085709A">
      <w:pPr>
        <w:pStyle w:val="TextoNormal"/>
      </w:pPr>
    </w:p>
    <w:p w:rsidR="0085709A" w:rsidRDefault="0085709A" w:rsidP="0085709A">
      <w:pPr>
        <w:pStyle w:val="TextoNormal"/>
      </w:pPr>
      <w:r>
        <w:t>En este sentido, parte el Fiscal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un 2,9 por 100 durante el año 2012, lo realiza antes de que se haya consolidado la situación, ya que lo hace a fecha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cuestione esta suspensión como infractora de la Constitución Española, no puede compartir ese cuestionamiento.</w:t>
      </w:r>
    </w:p>
    <w:p w:rsidR="0085709A" w:rsidRDefault="0085709A" w:rsidP="0085709A">
      <w:pPr>
        <w:pStyle w:val="TextoNormal"/>
      </w:pPr>
    </w:p>
    <w:p w:rsidR="0085709A" w:rsidRDefault="0085709A" w:rsidP="0085709A">
      <w:pPr>
        <w:pStyle w:val="TextoNormal"/>
      </w:pPr>
      <w:r>
        <w:t>Sin embargo, afirma que cosa distinta es la decisión de suspender la aplicación de la paga única que debería realizarse antes del l de abril de 2013, pero que se determina con arreglo al aumento del IPC comprendido entre los días 1 de diciembre de 2011 y 30 de noviembre de 2012, habida cuenta de que el Real Decreto-ley de referencia entró en vigor el día 1 de diciembre de 2012, es decir en fecha posterior a la del período de determinación, por lo que, a su parecer, la norma cuestionada está incurriendo en un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IPC, la cuantía de este no se podía conocer hasta esa fecha del día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generales del Estado no puede considerarse una postergación del derecho a lo que determine esa Ley, ya que la actualización se produce de forma automática cuando el Instituto Nacional de Estadística fija ese índice, limitándose la Ley presupuestaria a fijar el apunte contable, sin que se deje pendiente de aprobación para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no es más que una consecuencia de la existencia de retroactividad prohibida en la que, a su entender,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Abogado del Estado, mediante escrito de alegaciones registrado el día 30 de mayo de 2014,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 este Tribunal.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pasa a examinar los elementos que conforman la eventual aplicación del principio de irretroactividad consagrado en el art. 9.3 CE, deteniéndose en concreto en lo que entiende este Tribunal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este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es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entre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w:t>
      </w:r>
      <w:r>
        <w:lastRenderedPageBreak/>
        <w:t>cada ejercicio la que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concrete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de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que rijan cada momento, con el objeto de asegurar de ese modo la suficiencia y solvencia de aquel,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caso de autos,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ya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 28/2012.</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por escrito registrado el día 10 de junio de 2014, interesa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del derecho a una pensión adecuada y periódicamente actualizada, así como la doctrina de este Tribunal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lastRenderedPageBreak/>
        <w:t>Así, señala que la doctrina de este Tribunal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al sistema de la Seguridad Social suponen que éste se configure legalmente, reconociéndole al legislador un amplio margen de disposición. Asimismo, afirma que este Tribunal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tampoco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28/2012, en cuanto deja sin efecto las medidas relativas a la actualización de las pensiones y al abono del pago único previstas en el art. 48.1.2 LGSS, no violenta los arts. 41 y 50 CE, ni tampoco afecta, en principio, a ningún derecho individual en los términos contemplados en el art. 9.3 CE, antes bien, lo que, a su parecer, verdaderamente ha de ser tutelado por imperativo constitucional es que no se pongan en cuestión los rasgos estructurales de la institución de Seguridad Social, lo que este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según señala, no es más que un parámetro fijado por aproximación que puede producirse o no. En tal sentido, ante la eventualidad de que tales previsiones no coincidan con la realidad, indica que se estableció en su momento un mecanismo suplementario que pretendía garantizar el poder adquisitivo de las pensiones. Se dispuso así un mecanismo corrector consistente en que, una vez conocido el incremento efectivo del IPC real en un período objetivamente determinado, la pensión se actualizara en la cuantía correspondiente a la diferencia constatada y se efectuara en un pago único la diferencia entre </w:t>
      </w:r>
      <w:r>
        <w:lastRenderedPageBreak/>
        <w:t>la pensión percibida de acuerdo con el incremento de los precios previsto y realmente acontecido, tomándose como parámetro temporal de comprobación el período correspondiente al tiempo transcurrido entre el 1 de diciembre del año anterior y el 30 de noviembre del año al que correspondiera la previsión.</w:t>
      </w:r>
    </w:p>
    <w:p w:rsidR="0085709A" w:rsidRDefault="0085709A" w:rsidP="0085709A">
      <w:pPr>
        <w:pStyle w:val="TextoNormal"/>
      </w:pPr>
    </w:p>
    <w:p w:rsidR="0085709A" w:rsidRDefault="0085709A" w:rsidP="0085709A">
      <w:pPr>
        <w:pStyle w:val="TextoNormal"/>
      </w:pPr>
      <w:r>
        <w:t>Ahora bien, indica que, en coherencia con la doctrina del Tribunal Constitucional plasmada en las SSTC 134/1987 y 97/1990, el legislador toma la precaución de condicionar la medida a la ponderación de las disponibilidades presupuestarias y de las necesidades sociales, de manera que supedita la efectividad de aquella a que se contemple la actualización de la diferencia y del pago único en la correspondiente Ley de presupuestos generales del Estado del año siguiente. En este sentido, afirma que los dos puntos del apartado 1 del art. 48 LGSS exigen una interpretación conjunta, de manera que la efectividad de los derechos programados en ambos puntos se condicione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si dicha Ley de presupuestos fuera un mero trasunto contable de la obligación legal contenida en la LGSS, al margen de contravenir lo dispuesto expresamente en el art. 48.1.2 LGSS, supondría deslegitimar al legislador presupuestario, que se podría ver imposibilitado, por ejemplo, de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 xml:space="preserve">Añade que lo que hace el art. 48.1.2 LGSS es cuantificar la diferencia entre los IPC previsto y real tomando como período de cálculo del incremento de los precios el período comprendido entre los meses de noviembre de un año a noviembre del siguiente,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w:t>
      </w:r>
      <w:r>
        <w:lastRenderedPageBreak/>
        <w:t>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así lo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una paga única compensatoria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del Tribunal Superior de Justicia de Castilla y León (sede de Burgos)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Por el contrario, el Abogado del Estado y el Letrado de la Administración de la Seguridad Social solicitan su desestimación, al entender que el derecho a la actualización de las pensiones no estaba consolidado al tiempo de entrar en vigor el precepto cuestionado del mencionado Real Decreto-ley 28/2012.</w:t>
      </w:r>
    </w:p>
    <w:p w:rsidR="0085709A" w:rsidRDefault="0085709A" w:rsidP="0085709A">
      <w:pPr>
        <w:pStyle w:val="TextoNormal"/>
      </w:pPr>
    </w:p>
    <w:p w:rsidR="0085709A" w:rsidRDefault="0085709A" w:rsidP="0085709A">
      <w:pPr>
        <w:pStyle w:val="TextoNormal"/>
      </w:pPr>
      <w:r w:rsidRPr="0085709A">
        <w:rPr>
          <w:rStyle w:val="NumeroAFNegritaCaracter"/>
        </w:rPr>
        <w:t>2</w:t>
      </w:r>
      <w:r>
        <w:t>. Así expuestos los términos del debate, hay que señalar que la duda de constitucionalidad planteada por el órgano judicial ha sido resuelta ya por este Tribunal en la reciente STC 49/2015, de 5 de marzo, a cuya doctrina hemos de remitirnos. En dicha resolución hemos declarado que el art. 2.1 del Real Decreto-ley 28/2012, de 30 de noviembre, de medidas de consolidación y garantía del sistema de la Seguridad Social, no vulnera los arts. 9.3 y 33 CE, criterio que las SSTC 95/2015, de 14 de mayo y 109/2015, de 28 de mayo, han aplicado puntualmente para la resolución de sendas cuestiones de inconstitucionalidad (núms. 7434-2013 y 1457-2014), que son plenamente asimilables a la que ahora nos ocupa.</w:t>
      </w:r>
    </w:p>
    <w:p w:rsidR="0085709A" w:rsidRDefault="0085709A" w:rsidP="0085709A">
      <w:pPr>
        <w:pStyle w:val="TextoNormal"/>
      </w:pPr>
    </w:p>
    <w:p w:rsidR="0085709A" w:rsidRDefault="0085709A" w:rsidP="0085709A">
      <w:pPr>
        <w:pStyle w:val="TextoNormal"/>
      </w:pPr>
      <w:r w:rsidRPr="0085709A">
        <w:rPr>
          <w:rStyle w:val="NumeroAFNegritaCaracter"/>
        </w:rPr>
        <w:t>3</w:t>
      </w:r>
      <w:r>
        <w:t>. 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reconocen de forma automática a los pensionistas el derecho a recibir la diferencia entre el IPC estimado y el IPC real, sino que se remiten a la Ley de presupuestos generales del Estado del año correspondiente para dicho reconocimiento. En este sentido,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Al respecto, recuerda la precitada sentencia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w:t>
      </w:r>
      <w:r>
        <w:lastRenderedPageBreak/>
        <w:t>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 núm. 1459-2014.</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1" w:name="SENTENCIA_2015_118"/>
      <w:r>
        <w:lastRenderedPageBreak/>
        <w:t>SENTENCIA 118/2015, de 8 de junio de 2015</w:t>
      </w:r>
    </w:p>
    <w:bookmarkEnd w:id="121"/>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ECLI:ES:TC:2015:118</w:t>
      </w:r>
    </w:p>
    <w:p w:rsidR="0085709A" w:rsidRDefault="0085709A" w:rsidP="0085709A">
      <w:pPr>
        <w:pStyle w:val="TextoNormalCentrado"/>
      </w:pPr>
    </w:p>
    <w:p w:rsidR="0085709A" w:rsidRDefault="0085709A" w:rsidP="0085709A">
      <w:pPr>
        <w:pStyle w:val="SntesisDescriptiva"/>
      </w:pPr>
      <w:r>
        <w:t>Cuestión de inconstitucionalidad 1460-2014.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w:t>
      </w:r>
    </w:p>
    <w:p w:rsidR="0085709A" w:rsidRDefault="0085709A" w:rsidP="0085709A">
      <w:pPr>
        <w:pStyle w:val="SntesisAnaltica"/>
      </w:pPr>
    </w:p>
    <w:p w:rsidR="0085709A" w:rsidRDefault="0085709A" w:rsidP="0085709A">
      <w:pPr>
        <w:pStyle w:val="Extracto"/>
      </w:pPr>
      <w:r>
        <w:t>1.</w:t>
      </w:r>
      <w:r>
        <w:tab/>
        <w:t>La cuestión se desestima, dado que el art. 2.1 del Real Decreto-ley 28/2012, de 30 de noviembre, de medidas de consolidación y garantía del sistema de la Seguridad Social, no vulnera los arts. 9.3 y 33 CE (SSTC 95/2015, 109/2015) [FJ 2].</w:t>
      </w:r>
    </w:p>
    <w:p w:rsidR="0085709A" w:rsidRDefault="0085709A" w:rsidP="0085709A">
      <w:pPr>
        <w:pStyle w:val="Extracto"/>
      </w:pPr>
    </w:p>
    <w:p w:rsidR="0085709A" w:rsidRDefault="0085709A" w:rsidP="0085709A">
      <w:pPr>
        <w:pStyle w:val="Extracto"/>
      </w:pPr>
      <w:r>
        <w:t>2.</w:t>
      </w:r>
      <w:r>
        <w:tab/>
        <w:t>La duda de constitucionalidad planteada por el órgano judicial fue resuelta por este Tribunal en la STC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(STC 49/2015) [FJ 2].</w:t>
      </w:r>
    </w:p>
    <w:p w:rsidR="0085709A" w:rsidRDefault="0085709A" w:rsidP="0085709A">
      <w:pPr>
        <w:pStyle w:val="Extracto"/>
      </w:pPr>
    </w:p>
    <w:p w:rsidR="0085709A" w:rsidRDefault="0085709A" w:rsidP="0085709A">
      <w:pPr>
        <w:pStyle w:val="Extracto"/>
      </w:pPr>
      <w:r>
        <w:t>4.</w:t>
      </w:r>
      <w:r>
        <w:tab/>
        <w:t>Los arts. 48.1.2 LGSS y 27.1 del Texto refundido de la Ley de clases pasivas del Estado no reconocen de forma automática a los pensionistas el derecho a recibir la diferencia entre el IPC estimado y el IPC real, sino que se remiten a la Ley de presupuestos generales del Estado del año correspondiente para dicho reconocimiento (STC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la cuestión de inconstitucionalidad núm. 1460-2014,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marzo de 2014 tuvo entrada en el Registro General de este Tribunal un oficio de la Sala de lo Social, con sede en Burgos, del Tribunal Superior de Justicia de Castilla y León al que se acompaña, junto con el testimonio del procedimiento ordinario núm. 483-2013, Auto de 6 de febrero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a) Un grupo de pensionistas interpuso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efectuase sobre la cuantía de la pensión a 1 de enero de 2012, actualizada con la diferencia que resultara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4 de octubre de 2013 estimando la demanda, declarando “el derecho de los demandantes a que se considere como pensión del año 2012 la señalada en el apartado segundo del relato histórico de la presente incrementada en un 2,9 por 100 y que la misma sirva de base para el incremento acordado en el año 2013”, así como “el derecho de los actores a percibir las diferencias correspondientes al año 2012 que son la diferencia entre el 1 por ciento aplicado y el 2,9 por 100 debido”.</w:t>
      </w:r>
    </w:p>
    <w:p w:rsidR="0085709A" w:rsidRDefault="0085709A" w:rsidP="0085709A">
      <w:pPr>
        <w:pStyle w:val="TextoNormal"/>
      </w:pPr>
    </w:p>
    <w:p w:rsidR="0085709A" w:rsidRDefault="0085709A" w:rsidP="0085709A">
      <w:pPr>
        <w:pStyle w:val="TextoNormal"/>
      </w:pPr>
      <w:r>
        <w:lastRenderedPageBreak/>
        <w:t>c) Interpuesto recurso de suplicación por el INSS contra la mencionada Sentencia, la Sala de lo Social señaló para su deliberación y fallo el día 10 de diciembre de 2013.</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 xml:space="preserve">Afirma que el desarrollo del art. 50 CE se ha realizado a través del art. 48 LGSS, que regula la revalorización de las pensiones, estableciendo una regla de carácter general que </w:t>
      </w:r>
      <w:r>
        <w:lastRenderedPageBreak/>
        <w:t>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lastRenderedPageBreak/>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28 de mayo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General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Fiscal General del Estado presentó escrito de alegaciones ante este Tribunal el 26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w:t>
      </w:r>
      <w:r>
        <w:lastRenderedPageBreak/>
        <w:t>referencia a la suspensión de lo previsto en el art. 48 apartado 1.1 de la Ley general de Seguridad Social, y lo dispuesto en el art. 27 apartado 1 párrafo 2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w:t>
      </w:r>
      <w:r>
        <w:lastRenderedPageBreak/>
        <w:t>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presentó escrito de alegaciones el 30 de mayo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lastRenderedPageBreak/>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índice de precios al consumo (IPC) del año en curso, no constituye un derecho consolidado integrado en el patrimonio del pensionista, muy al contrario, constituye, a su juicio, una mera expectativa de derecho y, como mucho, un derecho condicionado a la fijación de su contenido por la Ley de presupuestos generales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se actualicen las pensiones, en su caso.</w:t>
      </w:r>
    </w:p>
    <w:p w:rsidR="0085709A" w:rsidRDefault="0085709A" w:rsidP="0085709A">
      <w:pPr>
        <w:pStyle w:val="TextoNormal"/>
      </w:pPr>
    </w:p>
    <w:p w:rsidR="0085709A" w:rsidRDefault="0085709A" w:rsidP="0085709A">
      <w:pPr>
        <w:pStyle w:val="TextoNormal"/>
      </w:pPr>
      <w:r>
        <w:t>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w:t>
      </w:r>
      <w:r>
        <w:lastRenderedPageBreak/>
        <w:t>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por escrito registrado el 11 de junio de 2014 interesa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w:t>
      </w:r>
      <w:r>
        <w:lastRenderedPageBreak/>
        <w:t>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del Estado ha de ser un mero trasunto contable de la obligación legal contenida en la Ley general de la Seguridad Social,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índice de precios al consumo (IPC) real y el IPC estimado para el año 2012 o, si por el contrario, tenían un derecho consolidado, asumido e integrado en su patrimonio. A este respecto, afirma la Sentencia que, los arts. 48.1.2 de la Ley general de la Seguridad Social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w:t>
      </w:r>
      <w:r>
        <w:lastRenderedPageBreak/>
        <w:t>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2" w:name="SENTENCIA_2015_119"/>
      <w:r>
        <w:lastRenderedPageBreak/>
        <w:t>SENTENCIA 119/2015, de 8 de junio de 2015</w:t>
      </w:r>
    </w:p>
    <w:bookmarkEnd w:id="122"/>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ECLI:ES:TC:2015:119</w:t>
      </w:r>
    </w:p>
    <w:p w:rsidR="0085709A" w:rsidRDefault="0085709A" w:rsidP="0085709A">
      <w:pPr>
        <w:pStyle w:val="TextoNormalCentrado"/>
      </w:pPr>
    </w:p>
    <w:p w:rsidR="0085709A" w:rsidRDefault="0085709A" w:rsidP="0085709A">
      <w:pPr>
        <w:pStyle w:val="SntesisDescriptiva"/>
      </w:pPr>
      <w:r>
        <w:t>Cuestión de inconstitucionalidad 1461-2014.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carácter expropiatorio [FJ 2].</w:t>
      </w:r>
    </w:p>
    <w:p w:rsidR="0085709A" w:rsidRDefault="0085709A" w:rsidP="0085709A">
      <w:pPr>
        <w:pStyle w:val="Extracto"/>
      </w:pPr>
    </w:p>
    <w:p w:rsidR="0085709A" w:rsidRDefault="0085709A" w:rsidP="0085709A">
      <w:pPr>
        <w:pStyle w:val="Extracto"/>
      </w:pPr>
      <w:r>
        <w:t>6.</w:t>
      </w:r>
      <w:r>
        <w:tab/>
        <w:t xml:space="preserve">Únicamente son expropiables y, por tanto, indemnizables la privación de bienes y derechos o incluso intereses patrimoniales legítimos aun no garantizados como derechos subjetivos (por ejemplo, las situaciones en precario) pero en ningún caso lo son las expectativas de derechos; en particular, la doctrina jurídica y la jurisprudencia consideran, casi unánimemente, que sólo son indemnizables las privaciones </w:t>
      </w:r>
      <w:r>
        <w:lastRenderedPageBreak/>
        <w:t>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1461-2014,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Antonio Xiol Ríos,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marzo de 2014 tuvo entrada en el Registro General de este Tribunal un oficio de la Sala de lo Social, con sede en Burgos, del Tribunal Superior de Justicia de Castilla y León al que se acompaña, junto con el testimonio del procedimiento ordinario núm. 291-2013, Auto de 31 de enero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 grupo de pensionistas interpusieron demanda ante el instituto nacional de la Seguridad Social (INSS) en reclamación de actualización de la pensión solicitando que se declarase el derecho a percibir la paga única compensatoria a que se refiere el apartado 1.2 del art. 48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que se declarase el derecho a que la revalorización </w:t>
      </w:r>
      <w:r>
        <w:lastRenderedPageBreak/>
        <w:t>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estimando en parte la demanda, declarando “el derecho de todos los demandantes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citan el pago de determinadas cantidades que se especifican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10 de diciembre de 2013.</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31 de enero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lastRenderedPageBreak/>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lastRenderedPageBreak/>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Primera, acordó admitir a trámite la cuestión mediante providencia de 6 de mayo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28 de mayo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Mediante escrito presentado en el Registro de este Tribunal el 19 de mayo de 2014 el Letrado de la Administración de la Seguridad Social se personó en nombre del Instituto </w:t>
      </w:r>
      <w:r>
        <w:lastRenderedPageBreak/>
        <w:t>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Fiscal General del Estado presentó su escrito de alegaciones el 26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la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w:t>
      </w:r>
      <w:r>
        <w:lastRenderedPageBreak/>
        <w:t>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Española,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se personó por escrito presentado el 30 de mayo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lastRenderedPageBreak/>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de la Ley general de la Seguridad Social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lastRenderedPageBreak/>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11 de junio de 2014 interesando la desestimación de la cuestión de inconstitucionalidad.</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 xml:space="preserve">Así, señala que la doctrina de este Tribunal Constitucional concibe el régimen público de Seguridad Social como una garantía institucional de un sistema razonable de protección </w:t>
      </w:r>
      <w:r>
        <w:lastRenderedPageBreak/>
        <w:t>determinado por los condicionantes económicos y las necesidades sociales a proteger. Indica que el carácter público y la finalidad constitucionalmente reconocida del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w:t>
      </w:r>
      <w:r>
        <w:lastRenderedPageBreak/>
        <w:t>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w:t>
      </w:r>
      <w:r>
        <w:lastRenderedPageBreak/>
        <w:t>si considera, puede incluir en la Ley de presupuestos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w:t>
      </w:r>
      <w:r>
        <w:lastRenderedPageBreak/>
        <w:t>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solo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“solo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solo son indemnizables las privaciones de derechos ciertos, efectivos y actuales, pero no eventuales o futuros”. De ello se deduce que la norma impugnada es acorde con el art. 33 CE en la medida en que su aplicación no ha supuesto la expropiación de derechos patrimoniales consolidados, pues de lo que se ha privado a los pensionistas es de una expectativa, pero no de un derecho actual consolidado, y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1461-2014.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3" w:name="SENTENCIA_2015_120"/>
      <w:r>
        <w:lastRenderedPageBreak/>
        <w:t>SENTENCIA 120/2015, de 8 de junio de 2015</w:t>
      </w:r>
    </w:p>
    <w:bookmarkEnd w:id="123"/>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ECLI:ES:TC:2015:120</w:t>
      </w:r>
    </w:p>
    <w:p w:rsidR="0085709A" w:rsidRDefault="0085709A" w:rsidP="0085709A">
      <w:pPr>
        <w:pStyle w:val="TextoNormalCentrado"/>
      </w:pPr>
    </w:p>
    <w:p w:rsidR="0085709A" w:rsidRDefault="0085709A" w:rsidP="0085709A">
      <w:pPr>
        <w:pStyle w:val="SntesisDescriptiva"/>
      </w:pPr>
      <w:r>
        <w:t>Cuestión de inconstitucionalidad 1462-2014.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hemos de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carácter expropiatorio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1462-2014,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marzo de 2014 tuvo entrada en el Registro General de este Tribunal un oficio de la Sala de lo Social, con sede en Burgos, del Tribunal Superior de Justicia de Castilla y León al que se acompaña, junto con el testimonio del procedimiento ordinario núm. 413-2013, Auto de 6 de febrero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Cuarenta pensionistas interpusieron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w:t>
      </w:r>
      <w:r>
        <w:lastRenderedPageBreak/>
        <w:t>de 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1 de octubre de 2013 estimando en parte la demanda, declarando “el derecho de todos los demandantes a excepción de los que no cobraban pensión en el año 2011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citan el pago de determinadas cantidades que se especifican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10 de diciembre de 2013.</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w:t>
      </w:r>
      <w:r>
        <w:lastRenderedPageBreak/>
        <w:t>“la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w:t>
      </w:r>
      <w:r>
        <w:lastRenderedPageBreak/>
        <w:t>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diligencia de ordenación de la Secretaría de Justicia del Tribunal Constitucional de 13 de marzo de 2014 se interesa que se certifique si además del Ministerio Fiscal el resto de las partes personadas evacuaron el traslado conferido en providencia de 10 de diciembre de 2013, remitiendo en su caso copia de los escritos presentados. La Sala proponente contestó que “en el presente procedimiento se dio el traslado acordado en la providencia en la que se planteó la pertinencia de plantear la cuestión de inconstitucionalidad, pero sólo se presentó informe por el Ministerio Fiscal, cuyo testimonio se ha aportado en ese Tribunal”.</w:t>
      </w:r>
    </w:p>
    <w:p w:rsidR="0085709A" w:rsidRDefault="0085709A" w:rsidP="0085709A">
      <w:pPr>
        <w:pStyle w:val="TextoNormal"/>
      </w:pPr>
    </w:p>
    <w:p w:rsidR="0085709A" w:rsidRDefault="0085709A" w:rsidP="0085709A">
      <w:pPr>
        <w:pStyle w:val="TextoNormal"/>
      </w:pPr>
      <w:r w:rsidRPr="0085709A">
        <w:rPr>
          <w:rStyle w:val="NumeroAFNegritaCaracter"/>
        </w:rPr>
        <w:t>5</w:t>
      </w:r>
      <w:r>
        <w:t>. El Pleno de este Tribunal, a propuesta de la Sección Segunda, acordó admitir a trámite la cuestión mediante providencia de 6 de mayo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28 de mayo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7</w:t>
      </w:r>
      <w:r>
        <w:t>. Mediante escrito presentado en el Registro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8</w:t>
      </w:r>
      <w:r>
        <w:t>.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General del Estado presentó su escrito de alegaciones ante este Tribunal con fecha 26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w:t>
      </w:r>
      <w:r>
        <w:lastRenderedPageBreak/>
        <w:t>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w:t>
      </w:r>
      <w:r>
        <w:lastRenderedPageBreak/>
        <w:t>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Abogado del Estado se personó, mediante escrito de alegaciones registrado en el Tribunal el 30 de mayo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w:t>
      </w:r>
      <w:r>
        <w:lastRenderedPageBreak/>
        <w:t>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de la Ley general de la Seguridad Social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11</w:t>
      </w:r>
      <w:r>
        <w:t>. El Letrado de la Administración de la Seguridad Social presentó su escrito de alegaciones el 11 de junio de 2014.</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la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lastRenderedPageBreak/>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tres de junio de dos mil quince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w:t>
      </w:r>
      <w:r>
        <w:lastRenderedPageBreak/>
        <w:t>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w:t>
      </w:r>
      <w:r>
        <w:lastRenderedPageBreak/>
        <w:t>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1462-2014.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4" w:name="SENTENCIA_2015_121"/>
      <w:r>
        <w:lastRenderedPageBreak/>
        <w:t>SENTENCIA 121/2015, de 8 de junio de 2015</w:t>
      </w:r>
    </w:p>
    <w:bookmarkEnd w:id="124"/>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ECLI:ES:TC:2015:121</w:t>
      </w:r>
    </w:p>
    <w:p w:rsidR="0085709A" w:rsidRDefault="0085709A" w:rsidP="0085709A">
      <w:pPr>
        <w:pStyle w:val="TextoNormalCentrado"/>
      </w:pPr>
    </w:p>
    <w:p w:rsidR="0085709A" w:rsidRDefault="0085709A" w:rsidP="0085709A">
      <w:pPr>
        <w:pStyle w:val="SntesisDescriptiva"/>
      </w:pPr>
      <w:r>
        <w:t>Cuestión de inconstitucionalidad 1463-2014.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w:t>
      </w:r>
    </w:p>
    <w:p w:rsidR="0085709A" w:rsidRDefault="0085709A" w:rsidP="0085709A">
      <w:pPr>
        <w:pStyle w:val="SntesisAnaltica"/>
      </w:pPr>
    </w:p>
    <w:p w:rsidR="0085709A" w:rsidRDefault="0085709A" w:rsidP="0085709A">
      <w:pPr>
        <w:pStyle w:val="Extracto"/>
      </w:pPr>
      <w:r>
        <w:t>1.</w:t>
      </w:r>
      <w:r>
        <w:tab/>
        <w:t>La cuestión se desestima, puesto que, el art. 2.1 del Real Decreto-ley 28/2012, de 30 de noviembre, de medidas de consolidación y garantía del sistema de la Seguridad Social, no vulnera los arts. 9.3 y 33 CE (SSTC 95/2015, 109/2015) [FFJJ 2, 3].</w:t>
      </w:r>
    </w:p>
    <w:p w:rsidR="0085709A" w:rsidRDefault="0085709A" w:rsidP="0085709A">
      <w:pPr>
        <w:pStyle w:val="Extracto"/>
      </w:pPr>
    </w:p>
    <w:p w:rsidR="0085709A" w:rsidRDefault="0085709A" w:rsidP="0085709A">
      <w:pPr>
        <w:pStyle w:val="Extracto"/>
      </w:pPr>
      <w:r>
        <w:t>2.</w:t>
      </w:r>
      <w:r>
        <w:tab/>
        <w:t>La duda de constitucionalidad planteada por el órgano judicial ha sido resuelta ya por este Tribunal en la STC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(STC 49/2015) [FJ 2].</w:t>
      </w:r>
    </w:p>
    <w:p w:rsidR="0085709A" w:rsidRDefault="0085709A" w:rsidP="0085709A">
      <w:pPr>
        <w:pStyle w:val="Extracto"/>
      </w:pPr>
    </w:p>
    <w:p w:rsidR="0085709A" w:rsidRDefault="0085709A" w:rsidP="0085709A">
      <w:pPr>
        <w:pStyle w:val="Extracto"/>
      </w:pPr>
      <w:r>
        <w:t>4.</w:t>
      </w:r>
      <w:r>
        <w:tab/>
        <w:t>Los arts. 48.1.2 LGSS y 27.1 del texto refundido de la Ley de clases pasivas del Estado no reconocen de forma automática a los pensionistas el derecho a recibir la diferencia entre el IPC estimado y el IPC real, sino que se remiten a la Ley de presupuestos generales del Estado del año correspondiente para dicho reconocimiento (STC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la cuestión de inconstitucionalidad núm. 1463-2014,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marzo de 2014 tuvo entrada en el Registro General de este Tribunal un oficio de la Sala de lo Social, con sede en Burgos, del Tribunal Superior de Justicia de Castilla y León al que se acompaña, junto con el testimonio del procedimiento ordinario núm. 410-2013, Auto de 6 de febrero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a) Una pensionista interpuso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1 de octubre de 2013 estimando la demanda, declarando “el derecho de la demandante a que se considere como pensión del año 2012 la señalada en el apartado segundo del relato histórico de la presente incrementada en un 2,9 por 100 y que la misma sirva de base para el incremento acordado en el año 2013”.</w:t>
      </w:r>
    </w:p>
    <w:p w:rsidR="0085709A" w:rsidRDefault="0085709A" w:rsidP="0085709A">
      <w:pPr>
        <w:pStyle w:val="TextoNormal"/>
      </w:pPr>
    </w:p>
    <w:p w:rsidR="0085709A" w:rsidRDefault="0085709A" w:rsidP="0085709A">
      <w:pPr>
        <w:pStyle w:val="TextoNormal"/>
      </w:pPr>
      <w:r>
        <w:t>c) Interpuesto recurso de suplicación por el Instituto Nacional de la Seguridad Social (INSS) contra la mencionada Sentencia, la Sala de lo Social señaló para su deliberación y fallo el día 10 de diciembre de 2013.</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revalorización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w:t>
      </w:r>
      <w:r>
        <w:lastRenderedPageBreak/>
        <w:t>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(noviembre-2011-noviembre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 xml:space="preserve">b) el artículo 33 de la Constitución española, de entender que por parte del aludido art. 2.1 del RDL 28/2012 serían objeto de expropiación los derechos de los perceptores de pensiones de seguridad social por cuanto son un derecho económico incorporado al patrimonio </w:t>
      </w:r>
      <w:r>
        <w:lastRenderedPageBreak/>
        <w:t>de aquéllos,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27 de mayo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Fiscal General del Estado presentó escrito de alegaciones ante este Tribunal el 26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w:t>
      </w:r>
      <w:r>
        <w:lastRenderedPageBreak/>
        <w:t>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w:t>
      </w:r>
    </w:p>
    <w:p w:rsidR="0085709A" w:rsidRDefault="0085709A" w:rsidP="0085709A">
      <w:pPr>
        <w:pStyle w:val="TextoNormal"/>
      </w:pPr>
    </w:p>
    <w:p w:rsidR="0085709A" w:rsidRDefault="0085709A" w:rsidP="0085709A">
      <w:pPr>
        <w:pStyle w:val="TextoNormal"/>
      </w:pPr>
      <w:r>
        <w:t>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ciento,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Española, no puede compartir ese cuestionamiento.</w:t>
      </w:r>
    </w:p>
    <w:p w:rsidR="0085709A" w:rsidRDefault="0085709A" w:rsidP="0085709A">
      <w:pPr>
        <w:pStyle w:val="TextoNormal"/>
      </w:pPr>
    </w:p>
    <w:p w:rsidR="0085709A" w:rsidRDefault="0085709A" w:rsidP="0085709A">
      <w:pPr>
        <w:pStyle w:val="TextoNormal"/>
      </w:pPr>
      <w:r>
        <w:t xml:space="preserve">Sin embargo, afirma que cosa distinta es la decisión de suspender la aplicación de la paga única que debería realizarse antes del l de abril de 2013, pero que se determina con arreglo al aumento del índice de precios comprendido entre los días 1 de diciembre de 2011 y 30 </w:t>
      </w:r>
      <w:r>
        <w:lastRenderedPageBreak/>
        <w:t>de noviembre de 2012 y teniendo en cuenta que el Decreto-Ley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se personó por escrito registrado el 30 de mayo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lastRenderedPageBreak/>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se actualicen las pensiones, en su caso.</w:t>
      </w:r>
    </w:p>
    <w:p w:rsidR="0085709A" w:rsidRDefault="0085709A" w:rsidP="0085709A">
      <w:pPr>
        <w:pStyle w:val="TextoNormal"/>
      </w:pPr>
    </w:p>
    <w:p w:rsidR="0085709A" w:rsidRDefault="0085709A" w:rsidP="0085709A">
      <w:pPr>
        <w:pStyle w:val="TextoNormal"/>
      </w:pPr>
      <w:r>
        <w:t>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pueda fijar una actualización, pero no determina el nacimiento de dicha actualización como derecho consolidado, sólo será y en la forma que fije la Ley de presupuestos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 xml:space="preserve">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w:t>
      </w:r>
      <w:r>
        <w:lastRenderedPageBreak/>
        <w:t>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por escrito registrado el 11 de junio de 2014 interesa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Recuerda que el art. 48.1 LGSS en la redacción vigente en la fecha del proceso, establece respecto a la revalorización de las pensiones contributivas que ésta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w:t>
      </w:r>
      <w:r>
        <w:lastRenderedPageBreak/>
        <w:t>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las SSTC 49/2015, de 4 de marzo; 95/2015, de 14 de mayo, y 109/2015, de 28 de mayo,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w:t>
      </w:r>
    </w:p>
    <w:p w:rsidR="0085709A" w:rsidRDefault="0085709A" w:rsidP="0085709A">
      <w:pPr>
        <w:pStyle w:val="TextoNormal"/>
      </w:pPr>
    </w:p>
    <w:p w:rsidR="0085709A" w:rsidRDefault="0085709A" w:rsidP="0085709A">
      <w:pPr>
        <w:pStyle w:val="TextoNormal"/>
      </w:pPr>
      <w:r>
        <w:t>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0085709A" w:rsidRDefault="0085709A" w:rsidP="0085709A">
      <w:pPr>
        <w:pStyle w:val="TextoNormal"/>
      </w:pPr>
    </w:p>
    <w:p w:rsidR="0085709A" w:rsidRDefault="0085709A" w:rsidP="0085709A">
      <w:pPr>
        <w:pStyle w:val="TextoNormal"/>
      </w:pPr>
      <w:r>
        <w:lastRenderedPageBreak/>
        <w:t>Sobre la base de esta doctrina constitucional, la STC 49/2015, de 4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rsidRPr="0085709A">
        <w:rPr>
          <w:rStyle w:val="NumeroAFNegritaCaracter"/>
        </w:rPr>
        <w:t>3</w:t>
      </w:r>
      <w:r>
        <w:t>. Los razonamientos expuestos, de acuerdo con la doctrina contenida en la STC 49/2015, de 4 de marzo, conducen a la conclusión que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5" w:name="SENTENCIA_2015_122"/>
      <w:r>
        <w:lastRenderedPageBreak/>
        <w:t>SENTENCIA 122/2015, de 8 de junio de 2015</w:t>
      </w:r>
    </w:p>
    <w:bookmarkEnd w:id="125"/>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ECLI:ES:TC:2015:122</w:t>
      </w:r>
    </w:p>
    <w:p w:rsidR="0085709A" w:rsidRDefault="0085709A" w:rsidP="0085709A">
      <w:pPr>
        <w:pStyle w:val="TextoNormalCentrado"/>
      </w:pPr>
    </w:p>
    <w:p w:rsidR="0085709A" w:rsidRDefault="0085709A" w:rsidP="0085709A">
      <w:pPr>
        <w:pStyle w:val="SntesisDescriptiva"/>
      </w:pPr>
      <w:r>
        <w:t>Cuestión de inconstitucionalidad 2131-2014.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w:t>
      </w:r>
    </w:p>
    <w:p w:rsidR="0085709A" w:rsidRDefault="0085709A" w:rsidP="0085709A">
      <w:pPr>
        <w:pStyle w:val="SntesisAnaltica"/>
      </w:pPr>
    </w:p>
    <w:p w:rsidR="0085709A" w:rsidRDefault="0085709A" w:rsidP="0085709A">
      <w:pPr>
        <w:pStyle w:val="Extracto"/>
      </w:pPr>
      <w:r>
        <w:t>1.</w:t>
      </w:r>
      <w:r>
        <w:tab/>
        <w:t>El art. 2.1 del Real Decreto-ley 28/2012, de 30 de noviembre, de medidas de consolidación y garantía del sistema de la Seguridad Social, no vulnera los arts. 9.3 y 33 CE (SSTC 95/2015, 109/2015) [FJ 2].</w:t>
      </w:r>
    </w:p>
    <w:p w:rsidR="0085709A" w:rsidRDefault="0085709A" w:rsidP="0085709A">
      <w:pPr>
        <w:pStyle w:val="Extracto"/>
      </w:pPr>
    </w:p>
    <w:p w:rsidR="0085709A" w:rsidRDefault="0085709A" w:rsidP="0085709A">
      <w:pPr>
        <w:pStyle w:val="Extracto"/>
      </w:pPr>
      <w:r>
        <w:t>2.</w:t>
      </w:r>
      <w:r>
        <w:tab/>
        <w:t>La duda de constitucionalidad planteada por el órgano judicial ha sido resuelta ya por este Tribunal en la STC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(STC 49/2015) [FJ 2].</w:t>
      </w:r>
    </w:p>
    <w:p w:rsidR="0085709A" w:rsidRDefault="0085709A" w:rsidP="0085709A">
      <w:pPr>
        <w:pStyle w:val="Extracto"/>
      </w:pPr>
    </w:p>
    <w:p w:rsidR="0085709A" w:rsidRDefault="0085709A" w:rsidP="0085709A">
      <w:pPr>
        <w:pStyle w:val="Extracto"/>
      </w:pPr>
      <w:r>
        <w:t>4.</w:t>
      </w:r>
      <w:r>
        <w:tab/>
        <w:t>Los arts. 48.1.2 LGSS y 27.1 del texto refundido de la Ley de clases pasivas del Estado no reconocen de forma automática a los pensionistas el derecho a recibir la diferencia entre el IPC estimado y el IPC real, sino que se remiten a la Ley de presupuestos generales del Estado del año correspondiente para dicho reconocimiento (STC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la cuestión de inconstitucionalidad núm. 2131-2014,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marzo de 2014 tuvo entrada en el Registro General de este Tribunal un oficio de la Sala de lo Social, con sede en Burgos, del Tribunal Superior de Justicia de Castilla y León al que se acompaña, junto con el testimonio del procedimiento ordinario núm. 446-2013, Auto de 13 de marzo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a) Varios pensionistas interpusieron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25 de junio de 2013 estimando en parte la demanda, declarando “el derecho de todos los demandantes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citan el pago de determinadas cantidades que se especifican en el fallo de la Sentencia.</w:t>
      </w:r>
    </w:p>
    <w:p w:rsidR="0085709A" w:rsidRDefault="0085709A" w:rsidP="0085709A">
      <w:pPr>
        <w:pStyle w:val="TextoNormal"/>
      </w:pPr>
    </w:p>
    <w:p w:rsidR="0085709A" w:rsidRDefault="0085709A" w:rsidP="0085709A">
      <w:pPr>
        <w:pStyle w:val="TextoNormal"/>
      </w:pPr>
      <w:r>
        <w:lastRenderedPageBreak/>
        <w:t>c) Interpuesto recurso de suplicación por el INSS contra la mencionada Sentencia, la Sala de lo Social señaló para su deliberación y fallo el día 13 de febrero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13 de febrero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13 de marzo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 xml:space="preserve">Afirma que el desarrollo del art. 50 CE se ha realizado a través del art. 48 LGSS, que regula la revalorización de las pensiones, estableciendo una regla de carácter general que </w:t>
      </w:r>
      <w:r>
        <w:lastRenderedPageBreak/>
        <w:t>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lastRenderedPageBreak/>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28 de mayo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General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Fiscal General del Estado presentó escrito de alegaciones ante este Tribunal el 26 de mayo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w:t>
      </w:r>
      <w:r>
        <w:lastRenderedPageBreak/>
        <w:t>referencia a la suspensión de lo previsto en el art. 48 apartado 1.1 de la Ley general de la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w:t>
      </w:r>
      <w:r>
        <w:lastRenderedPageBreak/>
        <w:t>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9</w:t>
      </w:r>
      <w:r>
        <w:t>. El Abogado del Estado presentó escrito de alegaciones el 30 de mayo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lastRenderedPageBreak/>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de la Ley general de la Seguridad Social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w:t>
      </w:r>
      <w:r>
        <w:lastRenderedPageBreak/>
        <w:t>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por escrito registrado el 11 de junio de 2014 interesa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w:t>
      </w:r>
      <w:r>
        <w:lastRenderedPageBreak/>
        <w:t>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w:t>
      </w:r>
      <w:r>
        <w:lastRenderedPageBreak/>
        <w:t>la Ley de presupuestos generales del Estado en función de las circunstancias socioeconómicas concurrentes y, por ello, habilita a la Ley de Presupuestos para que decida cuál es el alcance de la actualización”</w:t>
      </w:r>
    </w:p>
    <w:p w:rsidR="0085709A" w:rsidRDefault="0085709A" w:rsidP="0085709A">
      <w:pPr>
        <w:pStyle w:val="TextoNormal"/>
      </w:pPr>
    </w:p>
    <w:p w:rsidR="0085709A" w:rsidRDefault="0085709A" w:rsidP="0085709A">
      <w:pPr>
        <w:pStyle w:val="TextoNormal"/>
      </w:pPr>
      <w:r>
        <w:t>(FJ 5).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consolidada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4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6" w:name="SENTENCIA_2015_123"/>
      <w:r>
        <w:lastRenderedPageBreak/>
        <w:t>SENTENCIA 123/2015, de 8 de junio de 2015</w:t>
      </w:r>
    </w:p>
    <w:bookmarkEnd w:id="126"/>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ECLI:ES:TC:2015:123</w:t>
      </w:r>
    </w:p>
    <w:p w:rsidR="0085709A" w:rsidRDefault="0085709A" w:rsidP="0085709A">
      <w:pPr>
        <w:pStyle w:val="TextoNormalCentrado"/>
      </w:pPr>
    </w:p>
    <w:p w:rsidR="0085709A" w:rsidRDefault="0085709A" w:rsidP="0085709A">
      <w:pPr>
        <w:pStyle w:val="SntesisDescriptiva"/>
      </w:pPr>
      <w:r>
        <w:t>Cuestión de inconstitucionalidad 3450-2014.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w:t>
      </w:r>
    </w:p>
    <w:p w:rsidR="0085709A" w:rsidRDefault="0085709A" w:rsidP="0085709A">
      <w:pPr>
        <w:pStyle w:val="SntesisAnaltica"/>
      </w:pPr>
    </w:p>
    <w:p w:rsidR="0085709A" w:rsidRDefault="0085709A" w:rsidP="0085709A">
      <w:pPr>
        <w:pStyle w:val="Extracto"/>
      </w:pPr>
      <w:r>
        <w:t>1.</w:t>
      </w:r>
      <w:r>
        <w:tab/>
        <w:t>El art. 2.1 del Real Decreto-ley 28/2012, de 30 de noviembre, de medidas de consolidación y garantía del sistema de la Seguridad Social, no vulnera los arts. 9.3 y 33 CE (SSTC 95/2015, 109/2015) [FJ 2].</w:t>
      </w:r>
    </w:p>
    <w:p w:rsidR="0085709A" w:rsidRDefault="0085709A" w:rsidP="0085709A">
      <w:pPr>
        <w:pStyle w:val="Extracto"/>
      </w:pPr>
    </w:p>
    <w:p w:rsidR="0085709A" w:rsidRDefault="0085709A" w:rsidP="0085709A">
      <w:pPr>
        <w:pStyle w:val="Extracto"/>
      </w:pPr>
      <w:r>
        <w:t>2.</w:t>
      </w:r>
      <w:r>
        <w:tab/>
        <w:t>La duda de constitucionalidad planteada por el órgano judicial ha sido resuelta ya por este Tribunal en la STC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(STC 49/2015) [FJ 2].</w:t>
      </w:r>
    </w:p>
    <w:p w:rsidR="0085709A" w:rsidRDefault="0085709A" w:rsidP="0085709A">
      <w:pPr>
        <w:pStyle w:val="Extracto"/>
      </w:pPr>
    </w:p>
    <w:p w:rsidR="0085709A" w:rsidRDefault="0085709A" w:rsidP="0085709A">
      <w:pPr>
        <w:pStyle w:val="Extracto"/>
      </w:pPr>
      <w:r>
        <w:t>4.</w:t>
      </w:r>
      <w:r>
        <w:tab/>
        <w:t>Los arts. 48.1.2 LGSS y 27.1 del texto refundido de la Ley de clases pasivas del Estado no reconocen de forma automática a los pensionistas el derecho a recibir la diferencia entre el IPC estimado y el IPC real, sino que se remiten a la Ley de presupuestos generales del Estado del año correspondiente para dicho reconocimiento (STC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la cuestión de inconstitucionalidad núm. 3450-2014,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 de junio de 2014 tuvo entrada en el Registro General de este Tribunal un oficio de la Sala de lo Social, con sede en Burgos, del Tribunal Superior de Justicia de Castilla y León al que se acompaña, junto con el testimonio del procedimiento ordinario núm. 1036-2013, Auto de 25 de marzo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a) Una pensionista interpuso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23 de diciembre de 2013 estimando la demanda, declarando “el derecho de la demandante a que se considere como pensión del año 2012 la señalada en el apartado segundo del relato histórico de la presente incrementada en un 2,9 por 100 y que la misma sirva de base para el incremento acordado en el año 2013”, así como “el derecho de los actores a percibir las diferencias correspondientes al año 2012 que son la diferencia entre el 1 por ciento aplicado y el 2,9 por ciento debido”.</w:t>
      </w:r>
    </w:p>
    <w:p w:rsidR="0085709A" w:rsidRDefault="0085709A" w:rsidP="0085709A">
      <w:pPr>
        <w:pStyle w:val="TextoNormal"/>
      </w:pPr>
    </w:p>
    <w:p w:rsidR="0085709A" w:rsidRDefault="0085709A" w:rsidP="0085709A">
      <w:pPr>
        <w:pStyle w:val="TextoNormal"/>
      </w:pPr>
      <w:r>
        <w:lastRenderedPageBreak/>
        <w:t>c) Interpuesto recurso de suplicación por el INSS contra la mencionada Sentencia, la Sala de lo Social señaló para su deliberación y fallo el día 6 de marzo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6 de marzo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25 de marzo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 xml:space="preserve">Afirma que el desarrollo del art. 50 CE se ha realizado a través del art. 48 LGSS, que regula la revalorización de las pensiones, estableciendo una regla de carácter general que </w:t>
      </w:r>
      <w:r>
        <w:lastRenderedPageBreak/>
        <w:t>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lastRenderedPageBreak/>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admitir a trámite la cuestión mediante providencia de 24 de junio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2 de julio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8 de julio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se personó mediante escrito de alegaciones registrado el 2 de julio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lastRenderedPageBreak/>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 xml:space="preserve">La conceptualización de esta actualización como una mera expectativa, encaja, a juicio del Abogado del Estado, en la forma en que la CE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w:t>
      </w:r>
      <w:r>
        <w:lastRenderedPageBreak/>
        <w:t>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7</w:t>
      </w:r>
      <w:r>
        <w:t>. El Fiscal General del Estado presentó escrito de alegaciones ante este Tribunal el 9 de julio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 xml:space="preserve">Recuerda seguidamente la doctrina del Tribunal Constitucional en materia de proscripción de la irretroactividad de las normas partiendo del desarrollo que se ha dado de los </w:t>
      </w:r>
      <w:r>
        <w:lastRenderedPageBreak/>
        <w:t>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lastRenderedPageBreak/>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8</w:t>
      </w:r>
      <w:r>
        <w:t>. Mediante escrito presentado en el Registro de este Tribunal el 14 de julio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9</w:t>
      </w:r>
      <w:r>
        <w:t>. Por diligencia de ordenación de 15 de julio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por escrito registrado el 23 de julio de 2014 interesa la desestimación de la cuestión de inconstitucionalidad.</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lastRenderedPageBreak/>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lastRenderedPageBreak/>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w:t>
      </w:r>
      <w:r>
        <w:lastRenderedPageBreak/>
        <w:t>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7" w:name="SENTENCIA_2015_124"/>
      <w:r>
        <w:lastRenderedPageBreak/>
        <w:t>SENTENCIA 124/2015, de 8 de junio de 2015</w:t>
      </w:r>
    </w:p>
    <w:bookmarkEnd w:id="127"/>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ECLI:ES:TC:2015:124</w:t>
      </w:r>
    </w:p>
    <w:p w:rsidR="0085709A" w:rsidRDefault="0085709A" w:rsidP="0085709A">
      <w:pPr>
        <w:pStyle w:val="TextoNormalCentrado"/>
      </w:pPr>
    </w:p>
    <w:p w:rsidR="0085709A" w:rsidRDefault="0085709A" w:rsidP="0085709A">
      <w:pPr>
        <w:pStyle w:val="SntesisDescriptiva"/>
      </w:pPr>
      <w:r>
        <w:t>Recurso de amparo 3834-2014. Promovido por doña Matilde Torres Sánchez en relación con el Auto del Juzgado de lo Contencioso-Administrativo núm. 2 de Cáceres, que desestimó su impugnación de la resolución de la comisión de asistencia jurídica gratuita denegatoria de este beneficio.</w:t>
      </w:r>
    </w:p>
    <w:p w:rsidR="0085709A" w:rsidRDefault="0085709A" w:rsidP="0085709A">
      <w:pPr>
        <w:pStyle w:val="SntesisDescriptiva"/>
      </w:pPr>
    </w:p>
    <w:p w:rsidR="0085709A" w:rsidRDefault="0085709A" w:rsidP="0085709A">
      <w:pPr>
        <w:pStyle w:val="SntesisAnaltica"/>
      </w:pPr>
      <w:r>
        <w:t>Vulneración del derecho a la tutela judicial efectiva (acceso al recurso legal): denegación del derecho a la asistencia jurídica gratuita al no haberse solicitado en primera instancia (STC 90/2015).</w:t>
      </w:r>
    </w:p>
    <w:p w:rsidR="0085709A" w:rsidRDefault="0085709A" w:rsidP="0085709A">
      <w:pPr>
        <w:pStyle w:val="SntesisAnaltica"/>
      </w:pPr>
    </w:p>
    <w:p w:rsidR="0085709A" w:rsidRDefault="0085709A" w:rsidP="0085709A">
      <w:pPr>
        <w:pStyle w:val="Extracto"/>
      </w:pPr>
      <w:r>
        <w:t>1.</w:t>
      </w:r>
      <w:r>
        <w:tab/>
        <w:t>En la impugnación de las resoluciones denegatorias del beneficio de justicia gratuita se encuentra ínsita la pretensión del actor sobre el derecho a la tutela judicial efectiva del art. 24 CE, en este caso, la de acceder al recurso de apelación (STC 128/2014) [FJ 2].</w:t>
      </w:r>
    </w:p>
    <w:p w:rsidR="0085709A" w:rsidRDefault="0085709A" w:rsidP="0085709A">
      <w:pPr>
        <w:pStyle w:val="Extracto"/>
      </w:pPr>
    </w:p>
    <w:p w:rsidR="0085709A" w:rsidRDefault="0085709A" w:rsidP="0085709A">
      <w:pPr>
        <w:pStyle w:val="Extracto"/>
      </w:pPr>
      <w:r>
        <w:t>2.</w:t>
      </w:r>
      <w:r>
        <w:tab/>
        <w:t>La finalidad inmediata del derecho de acceso a la jurisdicción reconocido en el art. 24.1 CE, radica en permitir el acceso a la justicia, para interponer pretensiones u oponerse a ellas, a quienes no tienen medios económicos suficientes y, más ampliamente, trata de asegurar que ninguna persona quede procesalmente indefensa por carecer de recursos para litigar; la delimitación de su contenido y de sus concretas condiciones de ejercicio corresponde al legislador atendiendo a los intereses públicos y privados implicados y a las concretas disponibilidades (STC 128/2014) [FJ 3].</w:t>
      </w:r>
    </w:p>
    <w:p w:rsidR="0085709A" w:rsidRDefault="0085709A" w:rsidP="0085709A">
      <w:pPr>
        <w:pStyle w:val="Extracto"/>
      </w:pPr>
    </w:p>
    <w:p w:rsidR="0085709A" w:rsidRDefault="0085709A" w:rsidP="0085709A">
      <w:pPr>
        <w:pStyle w:val="Extracto"/>
      </w:pPr>
      <w:r>
        <w:t>3.</w:t>
      </w:r>
      <w:r>
        <w:tab/>
        <w:t>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su familia, al objeto de que nadie quede privado del acceso a la justicia por falta de recursos económicos (STC 95/2003) [FJ 4].</w:t>
      </w:r>
    </w:p>
    <w:p w:rsidR="0085709A" w:rsidRDefault="0085709A" w:rsidP="0085709A">
      <w:pPr>
        <w:pStyle w:val="Extracto"/>
      </w:pPr>
    </w:p>
    <w:p w:rsidR="0085709A" w:rsidRDefault="0085709A" w:rsidP="0085709A">
      <w:pPr>
        <w:pStyle w:val="Extracto"/>
      </w:pPr>
      <w:r>
        <w:t>4.</w:t>
      </w:r>
      <w:r>
        <w:tab/>
        <w:t>El contenido constitucional indisponible para el legislador obliga a reconocer el derecho a la justicia gratuita necesariamente a quienes acrediten insuficiencia de recursos económicos para litigar; y ese contenido esencial debe ser respetado por el legislador en todo el ámbito del derecho a la tutela judicial efectiva: tanto en la vertiente del derecho de acceso a la justicia, como en la vertiente del derecho de acceso a los recursos legalmente previstos, sin perjuicio, de que el control constitucional en uno u otro ámbito deba ser de diferente intensidad (SSTC 16/1994, 117/1998) [FJ 4].</w:t>
      </w:r>
    </w:p>
    <w:p w:rsidR="0085709A" w:rsidRDefault="0085709A" w:rsidP="0085709A">
      <w:pPr>
        <w:pStyle w:val="Extracto"/>
      </w:pPr>
    </w:p>
    <w:p w:rsidR="0085709A" w:rsidRDefault="0085709A" w:rsidP="0085709A">
      <w:pPr>
        <w:pStyle w:val="Extracto"/>
      </w:pPr>
      <w:r>
        <w:t>5.</w:t>
      </w:r>
      <w:r>
        <w:tab/>
        <w:t xml:space="preserve">Las interpretaciones de la comisión de asistencia jurídica gratuita y del órgano judicial </w:t>
      </w:r>
      <w:r w:rsidRPr="0085709A">
        <w:rPr>
          <w:i/>
        </w:rPr>
        <w:t xml:space="preserve">a quo </w:t>
      </w:r>
      <w:r>
        <w:t xml:space="preserve">son irrazonables y contrarias al sentido de la finalidad de la norma, entre otros motivos,  porque no se examinó la situación económica de la recurrente, invocando sólo que el beneficio no fue solicitado en primera instancia; de </w:t>
      </w:r>
      <w:r>
        <w:lastRenderedPageBreak/>
        <w:t>modo que hubo una interpretación restrictiva del derecho fundamental a los recursos legalmente previstos, puesto que al denegar aquel beneficio se impidió a la parte recurrente acceder al recurso de apelación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3834-2014, promovido por doña Matilde Torres Sánchez, representada por el Procurador de los Tribunales don Jaime Gafas Pacheco y asistido por el Abogado don Antonio Arnela González, contra el Auto de fecha 6 de junio de 2014 dictado por el Juzgado de lo Contencioso-Administrativo núm. 2 de Cáceres, en procedimiento 97-2014, y contra la resolución denegatoria de asistencia jurídica gratuita, de fecha 11 de marzo de 2014, dictada por la Comisión Provincial de Asistencia Jurídica Gratuita de Cáceres. Han comparecido el Abogado del Estado y la entidad aseguradora Zurich, representada por el Procurador de los Tribunales don Álvaro García de la Noceda de las Alas Pumariño. Ha intervenido el Ministerio Fiscal.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17 de junio de 2014, el Procurador de los Tribunales don Jaime Gafas Pacheco, en nombre y representación de doña Matilde Torres Sánchez y bajo la dirección del Abogado don Antonio Arnela González, interpuso recurso de amparo contra las resoluciones referidas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fundamenta la demanda de amparo son, sucintamente expuestos, los siguientes:</w:t>
      </w:r>
    </w:p>
    <w:p w:rsidR="0085709A" w:rsidRDefault="0085709A" w:rsidP="0085709A">
      <w:pPr>
        <w:pStyle w:val="TextoNormal"/>
      </w:pPr>
    </w:p>
    <w:p w:rsidR="0085709A" w:rsidRDefault="0085709A" w:rsidP="0085709A">
      <w:pPr>
        <w:pStyle w:val="TextoNormal"/>
      </w:pPr>
      <w:r>
        <w:t>a) Por doña Matilde Torres Sánchez se interpuso, en fecha 11 de mayo de 2012, recurso contencioso-administrativo contra la resolución desestimatoria presunta del Ayuntamiento de Coria, de la reclamación de responsabilidad patrimonial que había formulado por lesiones sufridas al caer en la vía pública de esa localidad, tramitándose procedimiento abreviado núm. 144-2012 por el Juzgado de lo Contencioso-Administrativo núm. 2 de Cáceres, que dictó Sentencia de fecha 25 de abril 2013, desestimando el recurso contencioso, con imposición de costas.</w:t>
      </w:r>
    </w:p>
    <w:p w:rsidR="0085709A" w:rsidRDefault="0085709A" w:rsidP="0085709A">
      <w:pPr>
        <w:pStyle w:val="TextoNormal"/>
      </w:pPr>
    </w:p>
    <w:p w:rsidR="0085709A" w:rsidRDefault="0085709A" w:rsidP="0085709A">
      <w:pPr>
        <w:pStyle w:val="TextoNormal"/>
      </w:pPr>
      <w:r>
        <w:lastRenderedPageBreak/>
        <w:t>b) Por la demandante se interpuso recurso de apelación contra la Sentencia dictada en primera instancia y, previamente, el 21 de mayo de 2013 solicitó el reconocimiento de asistencia jurídica gratuita para poder acudir a la segunda instancia, con renuncia expresa de los honorarios del Letrado en apelación.</w:t>
      </w:r>
    </w:p>
    <w:p w:rsidR="0085709A" w:rsidRDefault="0085709A" w:rsidP="0085709A">
      <w:pPr>
        <w:pStyle w:val="TextoNormal"/>
      </w:pPr>
    </w:p>
    <w:p w:rsidR="0085709A" w:rsidRDefault="0085709A" w:rsidP="0085709A">
      <w:pPr>
        <w:pStyle w:val="TextoNormal"/>
      </w:pPr>
      <w:r>
        <w:t>Al interponer el recurso de apelación la recurrente, solicitó se suspendiera su tramitación, en tanto se resolvía su solicitud de asistencia jurídica gratuita, suspensión que fue concedida mediante providencia del Juzgado de fecha 3 de junio de 2013.</w:t>
      </w:r>
    </w:p>
    <w:p w:rsidR="0085709A" w:rsidRDefault="0085709A" w:rsidP="0085709A">
      <w:pPr>
        <w:pStyle w:val="TextoNormal"/>
      </w:pPr>
    </w:p>
    <w:p w:rsidR="0085709A" w:rsidRDefault="0085709A" w:rsidP="0085709A">
      <w:pPr>
        <w:pStyle w:val="TextoNormal"/>
      </w:pPr>
      <w:r>
        <w:t>c) Al formular la solicitud la parte recurrente hizo constar, de forma extractada, las siguientes circunstancias: Primera. Su situación de incapacidad permanente, percibiendo una pensión de 558 euros mensuales. Segunda. La circunstancia sobrevenida de vivir el hijo mayor en el domicilio familiar al que se reintegra por haber quedado en paro. Tercera. El abono de la tasa judicial con un desembolso de 867,83 € y 4ª. La condena en la totalidad de las costas causadas en la primera instancia jurisdiccional que comprenderían una suma total de 28.128,41€.</w:t>
      </w:r>
    </w:p>
    <w:p w:rsidR="0085709A" w:rsidRDefault="0085709A" w:rsidP="0085709A">
      <w:pPr>
        <w:pStyle w:val="TextoNormal"/>
      </w:pPr>
    </w:p>
    <w:p w:rsidR="0085709A" w:rsidRDefault="0085709A" w:rsidP="0085709A">
      <w:pPr>
        <w:pStyle w:val="TextoNormal"/>
      </w:pPr>
      <w:r>
        <w:t>d) La Comisión Provincial de Justicia Gratuita de Cáceres, tras la tramitación del expediente núm. 2013-02738, dictó resolución de fecha 11 de marzo de 2014, denegando a doña Matilde Torres Sánchez el derecho a la asistencia jurídica gratuita para acudir a la apelación, de conformidad con lo previsto en el art 8.2 de la Ley 1/1996, de 10 enero, de asistencia jurídica gratuita (LAJG).</w:t>
      </w:r>
    </w:p>
    <w:p w:rsidR="0085709A" w:rsidRDefault="0085709A" w:rsidP="0085709A">
      <w:pPr>
        <w:pStyle w:val="TextoNormal"/>
      </w:pPr>
    </w:p>
    <w:p w:rsidR="0085709A" w:rsidRDefault="0085709A" w:rsidP="0085709A">
      <w:pPr>
        <w:pStyle w:val="TextoNormal"/>
      </w:pPr>
      <w:r>
        <w:t>e) La demandante, de conformidad con lo prevenido en el art 20 LAJG, recurrió la resolución denegatoria de la Comisión de Asistencia Jurídica Gratuita, impugnación de la que conoció el Juzgado de lo Contencioso-Administrativo núm. 2 de Cáceres en procedimiento de justicia gratuita, núm. 97-2014. En su recurso la demandante alegó que la resolución denegatoria del derecho a la asistencia jurídica gratuita lesionaba el art 119 CE en relación con el art. 24.1 y 2 CE.</w:t>
      </w:r>
    </w:p>
    <w:p w:rsidR="0085709A" w:rsidRDefault="0085709A" w:rsidP="0085709A">
      <w:pPr>
        <w:pStyle w:val="TextoNormal"/>
      </w:pPr>
    </w:p>
    <w:p w:rsidR="0085709A" w:rsidRDefault="0085709A" w:rsidP="0085709A">
      <w:pPr>
        <w:pStyle w:val="TextoNormal"/>
      </w:pPr>
      <w:r>
        <w:t>f) Por Auto de fecha 6 de junio de 2014, el Juzgado de lo Contencioso-Administrativo núm. 2 de Cáceres desestimó la impugnación formulada contra la resolución de la Comisión Provincial de Asistencia Jurídica Gratuita, denegatoria del reconocimiento de la asistencia jurídica para recurrir en apelación, frente a la cual se deduce 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t>3</w:t>
      </w:r>
      <w:r>
        <w:t>. La parte recurrente aduce en su demanda de amparo que la resolución recurrida en amparo vulnera su derecho a la tutela judicial efectiva en su vertiente de acceso a la segunda instancia en condiciones de igualdad y sin que se pueda sufrir indefensión por razones económicas, reconocido en el art. 24.1 y 2 CE, en relación con los arts. 14 y 119 CE.</w:t>
      </w:r>
    </w:p>
    <w:p w:rsidR="0085709A" w:rsidRDefault="0085709A" w:rsidP="0085709A">
      <w:pPr>
        <w:pStyle w:val="TextoNormal"/>
      </w:pPr>
    </w:p>
    <w:p w:rsidR="0085709A" w:rsidRDefault="0085709A" w:rsidP="0085709A">
      <w:pPr>
        <w:pStyle w:val="TextoNormal"/>
      </w:pPr>
      <w:r>
        <w:t>Alega que se vulneran los derechos invocados por cuanto que las resoluciones impugnadas deniegan la concesión del beneficio de justicia gratuita porque no se pidió en primera instancia, aunque se acreditan las condiciones económicas para ser beneficiaria de la asistencia jurídica gratuita, y ello con base en una interpretación rigorista del art. 8.2 LAJG, contraria a los preceptos constitucionales invocados.</w:t>
      </w:r>
    </w:p>
    <w:p w:rsidR="0085709A" w:rsidRDefault="0085709A" w:rsidP="0085709A">
      <w:pPr>
        <w:pStyle w:val="TextoNormal"/>
      </w:pPr>
    </w:p>
    <w:p w:rsidR="0085709A" w:rsidRDefault="0085709A" w:rsidP="0085709A">
      <w:pPr>
        <w:pStyle w:val="TextoNormal"/>
      </w:pPr>
      <w:r>
        <w:lastRenderedPageBreak/>
        <w:t>Solicita para el restablecimiento de los derechos que estima le han sido lesionados, se declare la nulidad del Auto del Juzgado de lo Contencioso-Administrativo núm. 2 de Cáceres de fecha 6 de junio de 2014, y de la resolución denegatoria de la Comisión de Asistencia Jurídica Gratuita, declarando su derecho a la asistencia jurídica gratuita para recurrir en apelación la Sentencia dictada el 25 de abril de 2013 en el procedimiento abreviado núm. 144-2012 seguido ante el citado Juzgado núm. 2 de Cáceres, con confirmación definitiva de la designación provisional de los profesionales, abogado y procurador que se realizó en el expediente.</w:t>
      </w:r>
    </w:p>
    <w:p w:rsidR="0085709A" w:rsidRDefault="0085709A" w:rsidP="0085709A">
      <w:pPr>
        <w:pStyle w:val="TextoNormal"/>
      </w:pPr>
    </w:p>
    <w:p w:rsidR="0085709A" w:rsidRDefault="0085709A" w:rsidP="0085709A">
      <w:pPr>
        <w:pStyle w:val="TextoNormal"/>
      </w:pPr>
      <w:r>
        <w:t>Por medio de otrosí, solicitó como medida cautelar el mantenimiento de la suspensión de la tramitación del recurso de apelación.</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18 de diciembre de 2014, la Sala Segunda de este Tribunal acordó la admisión a trámite de la demanda de amparo presentada y, de conformidad con lo dispuesto en el art. 51 de la Ley Orgánica del Tribunal Constitucional, dirigir atenta comunicación al Juzgado de lo Contencioso-Administrativo núm. 2 de Cáceres, a fin de que remitiera certificación o copia adverada de las actuaciones y para que se procediera al emplazamiento de quienes hubieran sido parte en el proceso para que en el plazo de diez días pudieran comparecer en este proceso constitucional de amparo. Asimismo, se acordó formar pieza separada de suspensión que, una vez tramitada, fue resuelta por Auto estimatorio de fecha 19 de enero de 2015.</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del Secretario de Justicia de la Sala Segunda de este Tribunal, de fecha 4 de marzo de 2015, se tuvo por personado al Abogado del Estado y al Procurador don Álvaro García de la Noceda de las Alas Pumariño, en representación de la compañía aseguradora Zurich, y se acordó, con arreglo al art. 52 de la Ley Orgánica del Tribunal Constitucional (LOTC), conceder al Ministerio Fiscal y a las partes personadas plazo común de veinte días para que, con vista de las actuaciones, formulasen alegaciones.</w:t>
      </w:r>
    </w:p>
    <w:p w:rsidR="0085709A" w:rsidRDefault="0085709A" w:rsidP="0085709A">
      <w:pPr>
        <w:pStyle w:val="TextoNormal"/>
      </w:pPr>
    </w:p>
    <w:p w:rsidR="0085709A" w:rsidRDefault="0085709A" w:rsidP="0085709A">
      <w:pPr>
        <w:pStyle w:val="TextoNormal"/>
      </w:pPr>
      <w:r w:rsidRPr="0085709A">
        <w:rPr>
          <w:rStyle w:val="NumeroAFNegritaCaracter"/>
        </w:rPr>
        <w:t>6</w:t>
      </w:r>
      <w:r>
        <w:t>. Con fecha 6 de abril de 2015, el Abogado del Estado presentó escrito de alegaciones en el que interesa la desestimación de la demanda de amparo.</w:t>
      </w:r>
    </w:p>
    <w:p w:rsidR="0085709A" w:rsidRDefault="0085709A" w:rsidP="0085709A">
      <w:pPr>
        <w:pStyle w:val="TextoNormal"/>
      </w:pPr>
    </w:p>
    <w:p w:rsidR="0085709A" w:rsidRDefault="0085709A" w:rsidP="0085709A">
      <w:pPr>
        <w:pStyle w:val="TextoNormal"/>
      </w:pPr>
      <w:r>
        <w:t>El Abogado del Estado alega que la denegación de justicia gratuita en segunda instancia sólo podría afectar al art. 24 CE si fuera arbitraria, irracional o incursa en error patente, circunstancias que no concurren en el caso debatido.</w:t>
      </w:r>
    </w:p>
    <w:p w:rsidR="0085709A" w:rsidRDefault="0085709A" w:rsidP="0085709A">
      <w:pPr>
        <w:pStyle w:val="TextoNormal"/>
      </w:pPr>
    </w:p>
    <w:p w:rsidR="0085709A" w:rsidRDefault="0085709A" w:rsidP="0085709A">
      <w:pPr>
        <w:pStyle w:val="TextoNormal"/>
      </w:pPr>
      <w:r>
        <w:t>Considera que la interpretación que tanto la Comisión de Asistencia Jurídica Gratuita como el órgano judicial han realizado, no vulnera derecho fundamental alguno, puesto que tal interpretación del art. 8 de la Ley de asistencia jurídica gratuita es razonable, ya que no existen circunstancias sobrevenidas que justifiquen el reconocimiento del derecho en segunda instancia.</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7 de abril de 2015 la representación de la compañía aseguradora Zurich presentó escrito de alegaciones en el que solicita la inadmisión o, subsidiariamente, la desestimación del recurso.</w:t>
      </w:r>
    </w:p>
    <w:p w:rsidR="0085709A" w:rsidRDefault="0085709A" w:rsidP="0085709A">
      <w:pPr>
        <w:pStyle w:val="TextoNormal"/>
      </w:pPr>
    </w:p>
    <w:p w:rsidR="0085709A" w:rsidRDefault="0085709A" w:rsidP="0085709A">
      <w:pPr>
        <w:pStyle w:val="TextoNormal"/>
      </w:pPr>
      <w:r>
        <w:lastRenderedPageBreak/>
        <w:t>Alega como causa de inadmisibilidad que en la demanda se ha omitido justificar la especial trascendencia del recurso, requisito procesal exigido en los arts. 41 a 46 y 49 LOTC.</w:t>
      </w:r>
    </w:p>
    <w:p w:rsidR="0085709A" w:rsidRDefault="0085709A" w:rsidP="0085709A">
      <w:pPr>
        <w:pStyle w:val="TextoNormal"/>
      </w:pPr>
    </w:p>
    <w:p w:rsidR="0085709A" w:rsidRDefault="0085709A" w:rsidP="0085709A">
      <w:pPr>
        <w:pStyle w:val="TextoNormal"/>
      </w:pPr>
      <w:r>
        <w:t>En cuanto al fondo, considera que el Auto impugnado expresa los razonamientos que le llevan a desestimar la solicitud, los cuales están fundados en un criterio legal, proporcionado y razonable no siendo apreciable ninguna vulneración de derechos fundamentales.</w:t>
      </w:r>
    </w:p>
    <w:p w:rsidR="0085709A" w:rsidRDefault="0085709A" w:rsidP="0085709A">
      <w:pPr>
        <w:pStyle w:val="TextoNormal"/>
      </w:pPr>
    </w:p>
    <w:p w:rsidR="0085709A" w:rsidRDefault="0085709A" w:rsidP="0085709A">
      <w:pPr>
        <w:pStyle w:val="TextoNormal"/>
      </w:pPr>
      <w:r w:rsidRPr="0085709A">
        <w:rPr>
          <w:rStyle w:val="NumeroAFNegritaCaracter"/>
        </w:rPr>
        <w:t>8</w:t>
      </w:r>
      <w:r>
        <w:t>. Con fecha 7 de abril de 2015 el demandante presentó alegaciones ratificando las ya formuladas en su escrito de demanda de amparo constitucional, añadiendo que desde la interposición del recurso se había producido la promulgación del Real Decreto-ley 1/2015, de 27 de febrero, y que si se entiende que la tasa por el ejercicio de la potestad jurisdiccional (Ley 10/2012) sigue siendo aplicable, permanecerían subsistentes los argumentos de la demanda sobre la limitación derivada de la necesidad de satisfacerla para interponer el recurso de apelación.</w:t>
      </w:r>
    </w:p>
    <w:p w:rsidR="0085709A" w:rsidRDefault="0085709A" w:rsidP="0085709A">
      <w:pPr>
        <w:pStyle w:val="TextoNormal"/>
      </w:pPr>
    </w:p>
    <w:p w:rsidR="0085709A" w:rsidRDefault="0085709A" w:rsidP="0085709A">
      <w:pPr>
        <w:pStyle w:val="TextoNormal"/>
      </w:pPr>
      <w:r w:rsidRPr="0085709A">
        <w:rPr>
          <w:rStyle w:val="NumeroAFNegritaCaracter"/>
        </w:rPr>
        <w:t>9</w:t>
      </w:r>
      <w:r>
        <w:t>. Con fecha 13 de abril de 2015 el Ministerio Fiscal presentó su escrito de alegaciones, en el que se solicita la estimación del amparo por vulneración del derecho fundamental a la tutela judicial efectiva del art 24.1 CE, en relación con el derecho a la justicia gratuita del art. 119 CE.</w:t>
      </w:r>
    </w:p>
    <w:p w:rsidR="0085709A" w:rsidRDefault="0085709A" w:rsidP="0085709A">
      <w:pPr>
        <w:pStyle w:val="TextoNormal"/>
      </w:pPr>
    </w:p>
    <w:p w:rsidR="0085709A" w:rsidRDefault="0085709A" w:rsidP="0085709A">
      <w:pPr>
        <w:pStyle w:val="TextoNormal"/>
      </w:pPr>
      <w:r>
        <w:t>Alega en primer lugar que el canon de constitucionalidad aplicable es el correspondiente al derecho al recurso, que supone que el control de la decisión impugnada debe hacerse desde la perspectiva de ser una decisión no manifiestamente errónea, irracional o arbitraria, en relación con el contenido constitucional del derecho que se estima vulnerado.</w:t>
      </w:r>
    </w:p>
    <w:p w:rsidR="0085709A" w:rsidRDefault="0085709A" w:rsidP="0085709A">
      <w:pPr>
        <w:pStyle w:val="TextoNormal"/>
      </w:pPr>
    </w:p>
    <w:p w:rsidR="0085709A" w:rsidRDefault="0085709A" w:rsidP="0085709A">
      <w:pPr>
        <w:pStyle w:val="TextoNormal"/>
      </w:pPr>
      <w:r>
        <w:t>Entiende que la única interpretación razonable del art 8.2 de la Ley 1/1996, para ser compatible con el contenido del derecho a la justicia gratuita, es considerar que la acreditación de que las circunstancias y condiciones precisas sobrevinieron a la primera instancia, es aplicable cuando esas condiciones no concurrían en el solicitante al acceder a la jurisdicción en la primera instancia; por tanto, no es una decisión razonable denegar ese reconocimiento a quien, acreditando las condiciones exigidas por la ley como manifestación de falta de recursos, no hizo uso de su derecho en la primera instancia, solicitando el reconocimiento del derecho en la segunda instancia.</w:t>
      </w:r>
    </w:p>
    <w:p w:rsidR="0085709A" w:rsidRDefault="0085709A" w:rsidP="0085709A">
      <w:pPr>
        <w:pStyle w:val="TextoNormal"/>
      </w:pPr>
    </w:p>
    <w:p w:rsidR="0085709A" w:rsidRDefault="0085709A" w:rsidP="0085709A">
      <w:pPr>
        <w:pStyle w:val="TextoNormal"/>
      </w:pPr>
      <w:r>
        <w:t>Concluye que la resolución denegatoria del reconocimiento se basa en una interpretación del citado art. 8.2 manifiestamente irracional, atendido el contenido constitucional del derecho a la justicia gratuita, por lo que lesiona el mismo y, por ello, la efectividad de las garantías procesales inherentes al derecho a la tutela judicial efectiva, sin indefensión.</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Como se ha expuesto en los antecedentes, el presente recurso de amparo se dirige contra la resolución de la Comisión de Asistencia Jurídica Gratuita de Cáceres de 11 de </w:t>
      </w:r>
      <w:r>
        <w:lastRenderedPageBreak/>
        <w:t>marzo de 2014, denegatoria del beneficio de justicia gratuita solicitada por la recurrente, así como el Auto de 6 de junio de 2014, del Juzgado de lo Contencioso-Administrativo núm. 2 de Cáceres, desestimatorio de la impugnación planteada contra la resolución señalada.</w:t>
      </w:r>
    </w:p>
    <w:p w:rsidR="0085709A" w:rsidRDefault="0085709A" w:rsidP="0085709A">
      <w:pPr>
        <w:pStyle w:val="TextoNormal"/>
      </w:pPr>
    </w:p>
    <w:p w:rsidR="0085709A" w:rsidRDefault="0085709A" w:rsidP="0085709A">
      <w:pPr>
        <w:pStyle w:val="TextoNormal"/>
      </w:pPr>
      <w:r>
        <w:t>En la demanda de amparo se denuncia la vulneración del derecho a la tutela judicial efectiva de la actora (art. 24.1 CE), en su vertiente de acceso a los recursos, en relación con los arts. 14 y 119 CE.</w:t>
      </w:r>
    </w:p>
    <w:p w:rsidR="0085709A" w:rsidRDefault="0085709A" w:rsidP="0085709A">
      <w:pPr>
        <w:pStyle w:val="TextoNormal"/>
      </w:pPr>
    </w:p>
    <w:p w:rsidR="0085709A" w:rsidRDefault="0085709A" w:rsidP="0085709A">
      <w:pPr>
        <w:pStyle w:val="TextoNormal"/>
      </w:pPr>
      <w:r>
        <w:t xml:space="preserve">El Abogado del Estado y la aseguradora Zurich, parte demandada en el proceso </w:t>
      </w:r>
      <w:r w:rsidRPr="0085709A">
        <w:rPr>
          <w:i/>
        </w:rPr>
        <w:t>a quo</w:t>
      </w:r>
      <w:r>
        <w:t>, se oponen al recurso, mientras que el Ministerio Fiscal considera que se ha vulnerado el derecho a la tutela judicial efectiva reconocido en el art. 24.1 CE, en relación con el derecho a la justicia gratuita.</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debemos examinar el óbice de admisibilidad opuesto por la aseguradora Zurich por no cumplirse el requisito procesal de la demanda, de justificación de la especial trascendencia constitucional del recurso.</w:t>
      </w:r>
    </w:p>
    <w:p w:rsidR="0085709A" w:rsidRDefault="0085709A" w:rsidP="0085709A">
      <w:pPr>
        <w:pStyle w:val="TextoNormal"/>
      </w:pPr>
    </w:p>
    <w:p w:rsidR="0085709A" w:rsidRDefault="0085709A" w:rsidP="0085709A">
      <w:pPr>
        <w:pStyle w:val="TextoNormal"/>
      </w:pPr>
      <w:r>
        <w:t xml:space="preserve">En relación a esta causa de inadmisibilidad, hemos de determinar si conforme a lo establecido en el art. 50.1 a) de la Ley Orgánica del Tribunal Constitucional (LOTC), en relación con el art. 49.1 </w:t>
      </w:r>
      <w:r w:rsidRPr="0085709A">
        <w:rPr>
          <w:i/>
        </w:rPr>
        <w:t>in fine</w:t>
      </w:r>
      <w:r>
        <w:t xml:space="preserve"> de la misma Ley, procede o no la inadmisión del recurso de amparo por no haber cumplido el demandante con la carga insubsanable que le correspondía de justificar tal especial trascendencia constitucional.</w:t>
      </w:r>
    </w:p>
    <w:p w:rsidR="0085709A" w:rsidRDefault="0085709A" w:rsidP="0085709A">
      <w:pPr>
        <w:pStyle w:val="TextoNormal"/>
      </w:pPr>
    </w:p>
    <w:p w:rsidR="0085709A" w:rsidRDefault="0085709A" w:rsidP="0085709A">
      <w:pPr>
        <w:pStyle w:val="TextoNormal"/>
      </w:pPr>
      <w:r>
        <w:t xml:space="preserve">El art. 50.1 a) LOTC señala que la admisión del recurso de amparo exige el cumplimiento de los requisitos fijados en los arts. 41 a 46 y 49 LOTC, estableciendo este último precepto en su apartado primero </w:t>
      </w:r>
      <w:r w:rsidRPr="0085709A">
        <w:rPr>
          <w:i/>
        </w:rPr>
        <w:t>in fine</w:t>
      </w:r>
      <w:r>
        <w:t xml:space="preserve">, de forma inequívoca —[e]n todo caso—, que la demanda ha de justificar la especial trascendencia constitucional del recurso, a cuyo efecto hemos indicado en la STC 178/2012, de 15 de octubre, FJ 3, que aunque la indicada previsión del art. 49.1 </w:t>
      </w:r>
      <w:r w:rsidRPr="0085709A">
        <w:rPr>
          <w:i/>
        </w:rPr>
        <w:t>in fine</w:t>
      </w:r>
      <w:r>
        <w:t xml:space="preserv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la parte recurrente, pues, le es exigible un esfuerzo argumental (ATC 154/2010, de 15 de noviembre, FJ 4) que ponga en conexión las vulneraciones constitucionales que alega con los criterios establecidos en el art. 50.1 b) LOTC (STC 128/2014, de 21 de julio, FJ 2).</w:t>
      </w:r>
    </w:p>
    <w:p w:rsidR="0085709A" w:rsidRDefault="0085709A" w:rsidP="0085709A">
      <w:pPr>
        <w:pStyle w:val="TextoNormal"/>
      </w:pPr>
    </w:p>
    <w:p w:rsidR="0085709A" w:rsidRDefault="0085709A" w:rsidP="0085709A">
      <w:pPr>
        <w:pStyle w:val="TextoNormal"/>
      </w:pPr>
      <w:r>
        <w:t xml:space="preserve">Pues bien, conforme a la anterior doctrina, observamos que la demanda recoge un apartado específico en el que desarrolla la especial “relevancia constitucional” del recurso, la cual concreta, en síntesis, en la necesidad de que este Tribunal “aclare y confirme el derecho a obtener justicia gratuita en cualquier instancia”, exponiendo la proyección que tiene esta interpretación en el cierre del acceso al recurso de apelación. Este razonamiento que permite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el recurso plantea un problema o faceta nueva de un derecho fundamental [FJ 2, apartado a)], lo cual nos llevó asimismo a admitir el recurso de amparo núm. 393-2014, </w:t>
      </w:r>
      <w:r>
        <w:lastRenderedPageBreak/>
        <w:t>resuelto por STC 90/2015, de 11 de mayo, que planteaba la misma problemática de la denegación de la justicia gratuita desde la perspectiva del derecho de acceso al recurso.</w:t>
      </w:r>
    </w:p>
    <w:p w:rsidR="0085709A" w:rsidRDefault="0085709A" w:rsidP="0085709A">
      <w:pPr>
        <w:pStyle w:val="TextoNormal"/>
      </w:pPr>
    </w:p>
    <w:p w:rsidR="0085709A" w:rsidRDefault="0085709A" w:rsidP="0085709A">
      <w:pPr>
        <w:pStyle w:val="TextoNormal"/>
      </w:pPr>
      <w:r>
        <w:t xml:space="preserve">Por consiguiente, puede afirmarse que el razonamiento pone de relieve los datos necesarios para justificar la proyección objetiva del amparo solicitado (STC 143/2011, de 26 de septiembre, FJ 2), por lo que hemos de entender satisfecha en el presente caso la carga de justificar la especial trascendencia constitucional a la que se refiere el art. 49.1 </w:t>
      </w:r>
      <w:r w:rsidRPr="0085709A">
        <w:rPr>
          <w:i/>
        </w:rPr>
        <w:t>in fine</w:t>
      </w:r>
      <w:r>
        <w:t xml:space="preserve"> LOTC.</w:t>
      </w:r>
    </w:p>
    <w:p w:rsidR="0085709A" w:rsidRDefault="0085709A" w:rsidP="0085709A">
      <w:pPr>
        <w:pStyle w:val="TextoNormal"/>
      </w:pPr>
    </w:p>
    <w:p w:rsidR="0085709A" w:rsidRDefault="0085709A" w:rsidP="0085709A">
      <w:pPr>
        <w:pStyle w:val="TextoNormal"/>
      </w:pPr>
      <w:r w:rsidRPr="0085709A">
        <w:rPr>
          <w:rStyle w:val="NumeroAFNegritaCaracter"/>
        </w:rPr>
        <w:t>3</w:t>
      </w:r>
      <w:r>
        <w:t>. La queja del recurso de amparo constitucional que se plantea se encuadra en el derecho a la tutela judicial efectiva, art. 24.1 CE, en su vertiente de acceso a los recursos legalmente previstos, en relación con el derecho a la asistencia jurídica gratuita reconocida en el art. 119 CE.</w:t>
      </w:r>
    </w:p>
    <w:p w:rsidR="0085709A" w:rsidRDefault="0085709A" w:rsidP="0085709A">
      <w:pPr>
        <w:pStyle w:val="TextoNormal"/>
      </w:pPr>
    </w:p>
    <w:p w:rsidR="0085709A" w:rsidRDefault="0085709A" w:rsidP="0085709A">
      <w:pPr>
        <w:pStyle w:val="TextoNormal"/>
      </w:pPr>
      <w:r>
        <w:t>La conexión que existe entre el derecho a la asistencia jurídica gratuita de quienes carecen de recursos económicos para litigar, art. 119 CE, y el derecho a la tutela judicial efectiva, art. 24.1 CE, ha sido resaltada por nuestra jurisprudencia (SSTC 95/2003, de 22 de mayo, FJ 4, y 128/2014, de 21 de julio, FJ 3, entre otras), que afirma que el art. 119 CE consagra un derecho constitucional de carácter instrumental respecto del derecho de acceso a la jurisdicción reconocido en el art. 24.1 CE, que hemos calificado “como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la amplia libertad de configuración legal que resulta del primer inciso del art. 119 CE no es absoluta, pues el inciso segundo de dicho precepto explícitamente declara que la gratuidad de la justicia se reconocerá en todo caso, respecto de quienes acrediten insuficiencia de recursos para litigar…” (STC 90/2015, de 11 de mayo, FJ 3).</w:t>
      </w:r>
    </w:p>
    <w:p w:rsidR="0085709A" w:rsidRDefault="0085709A" w:rsidP="0085709A">
      <w:pPr>
        <w:pStyle w:val="TextoNormal"/>
      </w:pPr>
    </w:p>
    <w:p w:rsidR="0085709A" w:rsidRDefault="0085709A" w:rsidP="0085709A">
      <w:pPr>
        <w:pStyle w:val="TextoNormal"/>
      </w:pPr>
      <w:r>
        <w:t>Así, también se indica en la citada STC 90/2015, de 11 de mayo, FJ 3, que existe “un contenido constitucional indisponible para el legislador que obliga a reconocer el derecho a la justicia gratuita necesariamente a quienes acrediten insuficiencia de recursos económicos para litigar (SSTC 16/1994, de 20 de enero, FJ 3, y 117/1998, de 2 de junio, FJ 3, entre otras). Por ello, ese contenido esencial debe ser respetado por el legislador en todo el ámbito del derecho a la tutela judicial efectiva, es decir, tanto en la vertiente del derecho de acceso a la justicia, como en la vertiente del derecho de acceso a los recursos legalmente previstos, sin perjuicio, de que el control constitucional en uno u otro ámbito deba ser de diferente intensidad”.</w:t>
      </w:r>
    </w:p>
    <w:p w:rsidR="0085709A" w:rsidRDefault="0085709A" w:rsidP="0085709A">
      <w:pPr>
        <w:pStyle w:val="TextoNormal"/>
      </w:pPr>
    </w:p>
    <w:p w:rsidR="0085709A" w:rsidRDefault="0085709A" w:rsidP="0085709A">
      <w:pPr>
        <w:pStyle w:val="TextoNormal"/>
      </w:pPr>
      <w:r>
        <w:t xml:space="preserve">En cuanto a la doctrina constitucional en relación con el derecho de acceso al recurso, en la citada STC 90/2015, de 11 de mayo, FJ 3, se recuerda que “es doctrina consolidada que tal derecho se integra en el derecho a la tutela judicial efectiva, si bien es cierto que, a diferencia del acceso a la jurisdicción, que se alza como elemento esencial del mismo, el acceso a los recursos es un derecho de configuración legal que, con la excepción de los recursos contra sentencias penales de condena, se incorpora a aquel derecho en las condiciones fijadas por cada una de las leyes procesales (SSTC 71/2002, de 8 de abril, FJ 3; 191/2005, de 18 de julio, FJ 3). Y ello, como venimos declarando desde la STC 37/1995, de 7 de febrero, FJ 5, se refleja forzosamente en la función de control atribuida a este Tribunal respecto de las resoluciones judiciales que vedan el paso a dicha fase, pues siendo la decisión sobre la admisión o no del recurso y la comprobación del cumplimento de los requisitos establecidos </w:t>
      </w:r>
      <w:r>
        <w:lastRenderedPageBreak/>
        <w:t>para ello una cuestión de legalidad ordinaria que compete, según dispone el art. 117.3 CE, exclusivamente a los Jueces y Tribunales, aquel control se limita a verificar si la interpretación o aplicación de la norma que se adopte es o no arbitraria, notoriamente irrazonable o incurra en un error patente (por todas, STC 7/2015, de 22 de enero) o, dicho de otro modo, las decisiones judiciales que no admiten un recurso por no cumplir con los requisitos materiales y procesales legalmente previstos no son revisables a través del proceso de amparo, excepto en el caso de que se quebrante el derecho a la tutela judicial efectiva por haberse basado en una interpretación de la legalidad que haya que tachar, como se acaba de referir, de arbitraria, irrazonable o producto de un error patente”.</w:t>
      </w:r>
    </w:p>
    <w:p w:rsidR="0085709A" w:rsidRDefault="0085709A" w:rsidP="0085709A">
      <w:pPr>
        <w:pStyle w:val="TextoNormal"/>
      </w:pPr>
    </w:p>
    <w:p w:rsidR="0085709A" w:rsidRDefault="0085709A" w:rsidP="0085709A">
      <w:pPr>
        <w:pStyle w:val="TextoNormal"/>
      </w:pPr>
      <w:r w:rsidRPr="0085709A">
        <w:rPr>
          <w:rStyle w:val="NumeroAFNegritaCaracter"/>
        </w:rPr>
        <w:t>4</w:t>
      </w:r>
      <w:r>
        <w:t>. Llegados a este punto, debe anticiparse que el examen que nos compete se limita a fiscalizar la interpretación realizada por la Comisión de Asistencia Jurídica Gratuita de Cáceres y el Juzgado de lo Contencioso-Administrativo núm. 2 de dicha localidad, del art. 8.2 de la Ley de asistencia jurídica gratuita (LAJG), en base al cual denegó la solicitud del beneficio de asistencia jurídica gratuita, y no si la demandante reunía o no las condiciones para obtener el beneficio solicitado.</w:t>
      </w:r>
    </w:p>
    <w:p w:rsidR="0085709A" w:rsidRDefault="0085709A" w:rsidP="0085709A">
      <w:pPr>
        <w:pStyle w:val="TextoNormal"/>
      </w:pPr>
    </w:p>
    <w:p w:rsidR="0085709A" w:rsidRDefault="0085709A" w:rsidP="0085709A">
      <w:pPr>
        <w:pStyle w:val="TextoNormal"/>
      </w:pPr>
      <w:r>
        <w:t>Dicho precepto dispone que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La Comisión de Asistencia Jurídica Gratuita y el Juzgado denegaron la solicitud con fundamento en que no se había solicitado la justicia gratuita en primera instancia, y que no se había acreditado que las circunstancias económicas y condiciones necesarias para la obtención del beneficio de justicia gratuita hubieran sobrevenido con posterioridad al momento de iniciarse la primera instancia.</w:t>
      </w:r>
    </w:p>
    <w:p w:rsidR="0085709A" w:rsidRDefault="0085709A" w:rsidP="0085709A">
      <w:pPr>
        <w:pStyle w:val="TextoNormal"/>
      </w:pPr>
    </w:p>
    <w:p w:rsidR="0085709A" w:rsidRDefault="0085709A" w:rsidP="0085709A">
      <w:pPr>
        <w:pStyle w:val="TextoNormal"/>
      </w:pPr>
      <w:r>
        <w:t>La interpretación realizada implica constreñir la aplicación del art. 8.2 a los casos de merma de ingresos o empeoramiento de fortuna después de iniciarse la primera instancia, descartando otro tipo de circunstancias que también pueden tener cabida en el citado precepto. En la STC 90/2015, de 11 de mayo, FJ 4, hemos afirmado que “la regla establecida en el art. 8 regula un supuesto especial, como es el que un ciudadano se vea obligado a solicitar el beneficio de justicia gratuita para actuar en segunda instancia de un proceso no habiéndolo necesitado en primera. La razón por la que no se haya necesitado para la primera instancia puede deberse a diversas causas; la disminución sobrevenida de medios económicos será, normalmente, la causa más común pero ello no impide —como tampoco lo hace el precepto aplicado— que el solicitante pueda esgrimir otros motivos para justificar que necesita el beneficio de justicia gratuita para actuar en una segunda instancia”.</w:t>
      </w:r>
    </w:p>
    <w:p w:rsidR="0085709A" w:rsidRDefault="0085709A" w:rsidP="0085709A">
      <w:pPr>
        <w:pStyle w:val="TextoNormal"/>
      </w:pPr>
    </w:p>
    <w:p w:rsidR="0085709A" w:rsidRDefault="0085709A" w:rsidP="0085709A">
      <w:pPr>
        <w:pStyle w:val="TextoNormal"/>
      </w:pPr>
      <w:r>
        <w:t xml:space="preserve">Dentro de estos “otros” motivos, las circunstancias alegadas por la ahora demandante como el gravamen adicional que supone la condena en la totalidad de las costas de primera instancia, o la carga económica sobrevenida de la necesidad de pago de tasas en apelación al momento de interponerse el recurso, cuya exigencia no era previsible cuando inició el proceso antes de la entrada en vigor de la Ley 10/2012, debieron ser ponderadas por la Comisión de Asistencia Jurídica Gratuita a la hora de adoptar su decisión; al no hacerlo así e ignorar completamente tales argumentos, se vulneró el derecho a la tutela judicial efectiva de la recurrente ya que la decisión carece de una motivación errónea y es consecuencia de una interpretación restrictiva del derecho fundamental a los recursos legalmente previstos, </w:t>
      </w:r>
      <w:r>
        <w:lastRenderedPageBreak/>
        <w:t>puesto que la decisión de denegar tal beneficio impidió a la parte recurrente acceder al recurso de apelación en el pleito principal.</w:t>
      </w:r>
    </w:p>
    <w:p w:rsidR="0085709A" w:rsidRDefault="0085709A" w:rsidP="0085709A">
      <w:pPr>
        <w:pStyle w:val="TextoNormal"/>
      </w:pPr>
    </w:p>
    <w:p w:rsidR="0085709A" w:rsidRDefault="0085709A" w:rsidP="0085709A">
      <w:pPr>
        <w:pStyle w:val="TextoNormal"/>
      </w:pPr>
      <w:r>
        <w:t>En definitiva, como alega el Ministerio Fiscal, la interpretación tanto de la Comisión como la del órgano judicial no puede compartirse al no resultar suficientemente razonable y ser contraria al sentido de la finalidad de la norma, lesionando con ello el derecho a la tutela judicial efectiva de la recurrente, en relación con el derecho a la asistencia jurídica gratuita. La Comisión denegó la petición sin examinar la situación económica de la recurrente y sin comprobar la concurrencia de los requisitos legales que condicionan su otorgamiento, conforme a lo previsto en los arts. 3 y 5 LAJG; simplemente se limitó a invocar como única razón para fundamentar tal denegación el hecho de que no había sido solicitado su reconocimiento en primera instancia, sin ponderar los argumentos esgrimidos por la recurrente ni sus circunstancias. Con esta interpretación se afectó al derecho a la tutela judicial efectiva, al impedir a la recurrente el acceso a los recursos, en el presente caso, la apelación contra la sentencia dictada en primera instancia.</w:t>
      </w:r>
    </w:p>
    <w:p w:rsidR="0085709A" w:rsidRDefault="0085709A" w:rsidP="0085709A">
      <w:pPr>
        <w:pStyle w:val="TextoNormal"/>
      </w:pPr>
    </w:p>
    <w:p w:rsidR="0085709A" w:rsidRDefault="0085709A" w:rsidP="0085709A">
      <w:pPr>
        <w:pStyle w:val="TextoNormal"/>
      </w:pPr>
      <w:r w:rsidRPr="0085709A">
        <w:rPr>
          <w:rStyle w:val="NumeroAFNegritaCaracter"/>
        </w:rPr>
        <w:t>5</w:t>
      </w:r>
      <w:r>
        <w:t>. Los razonamientos expuestos conducen a otorgar el amparo solicitado por la recurrente y reconocer su derecho a la justicia gratuita (art. 119 CE) y a la tutela judicial efectiva (art. 24 CE), en su vertiente del derecho de acceso a los recursos legalmente previstos. En consecuencia, debemos anular la resolución administrativa denegatoria, que es la que lesionó el derecho fundamental, así como la judicial, en tanto que no reparó la vulneración denunciada (SSTC 118/2014, de 8 de julio, FJ 2, y 128/2014, de 21 de julio FJ 2), y retrotraer las actuaciones a fin de que la recurrente obtenga una respuesta acorde con los derechos fundamentales referidos.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doña Matilde Torres Sánchez, y, en su virtud:</w:t>
      </w:r>
    </w:p>
    <w:p w:rsidR="0085709A" w:rsidRDefault="0085709A" w:rsidP="0085709A">
      <w:pPr>
        <w:pStyle w:val="TextoNormal"/>
      </w:pPr>
    </w:p>
    <w:p w:rsidR="0085709A" w:rsidRDefault="0085709A" w:rsidP="0085709A">
      <w:pPr>
        <w:pStyle w:val="TextoNormal"/>
      </w:pPr>
      <w:r>
        <w:t>1º Reconocer el derecho de la recurrente a la tutela judicial efectiva, art. 24 CE, en su vertiente del derecho a los recursos legalmente previstos, en relación con el derecho a la gratuidad de la justicia, art. 119 CE.</w:t>
      </w:r>
    </w:p>
    <w:p w:rsidR="0085709A" w:rsidRDefault="0085709A" w:rsidP="0085709A">
      <w:pPr>
        <w:pStyle w:val="TextoNormal"/>
      </w:pPr>
    </w:p>
    <w:p w:rsidR="0085709A" w:rsidRDefault="0085709A" w:rsidP="0085709A">
      <w:pPr>
        <w:pStyle w:val="TextoNormal"/>
      </w:pPr>
      <w:r>
        <w:t>2º Restablecer su derecho y, a tal fin, anular la resolución de la Comisión de Asistencia Jurídica Gratuita de la provincia de Cáceres de 11 de marzo de 2014, denegatoria del beneficio de justicia gratuita solicitada por la recurrente, así como el Auto de fecha 6 de junio de 2014 dictado por el Juzgado de lo Contencioso-Administrativo núm. 2 de Cáceres, en procedimiento 97-2014, desestimatorio del recurso planteado contra la resolución señalada.</w:t>
      </w:r>
    </w:p>
    <w:p w:rsidR="0085709A" w:rsidRDefault="0085709A" w:rsidP="0085709A">
      <w:pPr>
        <w:pStyle w:val="TextoNormal"/>
      </w:pPr>
    </w:p>
    <w:p w:rsidR="0085709A" w:rsidRDefault="0085709A" w:rsidP="0085709A">
      <w:pPr>
        <w:pStyle w:val="TextoNormal"/>
      </w:pPr>
      <w:r>
        <w:lastRenderedPageBreak/>
        <w:t>3º Retrotraer las actuaciones al momento anterior al de dictarse la primera de las mencionadas resoluciones, para que se pronuncie otra respetuosa con los derechos fundamentales reconocidos.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8" w:name="SENTENCIA_2015_125"/>
      <w:r>
        <w:lastRenderedPageBreak/>
        <w:t>SENTENCIA 125/2015, de 8 de junio de 2015</w:t>
      </w:r>
    </w:p>
    <w:bookmarkEnd w:id="128"/>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ECLI:ES:TC:2015:125</w:t>
      </w:r>
    </w:p>
    <w:p w:rsidR="0085709A" w:rsidRDefault="0085709A" w:rsidP="0085709A">
      <w:pPr>
        <w:pStyle w:val="TextoNormalCentrado"/>
      </w:pPr>
    </w:p>
    <w:p w:rsidR="0085709A" w:rsidRDefault="0085709A" w:rsidP="0085709A">
      <w:pPr>
        <w:pStyle w:val="SntesisDescriptiva"/>
      </w:pPr>
      <w:r>
        <w:t>Cuestión de inconstitucionalidad 6288-2014.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6288-2014,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21 de octubre de 2014 tuvo entrada en el Registro General de este Tribunal un oficio de la Sala de lo Social, con sede en Burgos, del Tribunal Superior de Justicia de Castilla y León al que se acompaña, junto con el testimonio del procedimiento ordinario núm. 179-2014, Auto de 1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 pensionista interpuso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w:t>
      </w:r>
      <w:r>
        <w:lastRenderedPageBreak/>
        <w:t>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20 de mayo de 2014 estimando en parte la demanda, declarando “el derecho del demandante a que se considere como pensión del año 2012 la señalada en el apartado segundo del relato histórico de la presente incrementada en un 2,9 por 100 y que la misma sirva de base para el incremento acordado en el año 2013 y 2014” y el “derecho del actor a percibir las diferencias correspondientes al año 2012 que son la diferencia entre el 1 por 100 aplicado y el 2,9 por 100 debido”. Se condena al INSS a abonar al demandante el pago de la cantidad que se especifica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16 de septiembre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16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31 de enero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Segunda, acordó admitir a trámite la cuestión mediante providencia de 18 de noviembre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presentado en el Registro de este Tribunal el 27 de noviembre de 2014 el Letrado de la Administración de la Seguridad Social se personó en nombre del instituto nacional de la Seguridad Socialy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6</w:t>
      </w:r>
      <w:r>
        <w:t>. Por diligencia de ordenación de 28 de noviembre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7</w:t>
      </w:r>
      <w:r>
        <w:t>. Por escrito registrado el 28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5 de diciembre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se personó por escrito presentado el 3 de diciembre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w:t>
      </w:r>
      <w:r>
        <w:lastRenderedPageBreak/>
        <w:t>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Fiscal General del Estado presentó su escrito de alegaciones el 5 de diciembre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w:t>
      </w:r>
      <w:r>
        <w:lastRenderedPageBreak/>
        <w:t>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2 de enero de 2015 interesando la desestimación de la cuestión de inconstitucionalidad.</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 que el sistema de Seguridad Social se configure legalmente, gozando el legislador a </w:t>
      </w:r>
      <w:r>
        <w:lastRenderedPageBreak/>
        <w:t>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w:t>
      </w:r>
      <w:r>
        <w:lastRenderedPageBreak/>
        <w:t>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lastRenderedPageBreak/>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w:t>
      </w:r>
      <w:r>
        <w:lastRenderedPageBreak/>
        <w:t>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6288-2014.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29" w:name="SENTENCIA_2015_126"/>
      <w:r>
        <w:lastRenderedPageBreak/>
        <w:t>SENTENCIA 126/2015, de 8 de junio de 2015</w:t>
      </w:r>
    </w:p>
    <w:bookmarkEnd w:id="129"/>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ECLI:ES:TC:2015:126</w:t>
      </w:r>
    </w:p>
    <w:p w:rsidR="0085709A" w:rsidRDefault="0085709A" w:rsidP="0085709A">
      <w:pPr>
        <w:pStyle w:val="TextoNormalCentrado"/>
      </w:pPr>
    </w:p>
    <w:p w:rsidR="0085709A" w:rsidRDefault="0085709A" w:rsidP="0085709A">
      <w:pPr>
        <w:pStyle w:val="SntesisDescriptiva"/>
      </w:pPr>
      <w:r>
        <w:t>Cuestión de inconstitucionalidad 6289-2014.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6289-2014,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21 de octubre de 2014 tuvo entrada en el Registro General de este Tribunal un oficio de la Sala de lo Social con sede en Burgos del Tribunal Superior de Justicia de Castilla y León al que se acompaña, junto con el testimonio del procedimiento ordinario núm. 189-2014, y del rollo de suplicación núm. 575-2014, Auto de 1 de octubre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 pensionista interpuso demanda ante el Instituto Nacional de la Seguridad Social en reclamación de actualización de la pensión solicitando que se declarase el derecho a percibir la paga única compensatoria a que se refiere el apartado 1.2 del art. 48 de la Ley general de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w:t>
      </w:r>
      <w:r>
        <w:lastRenderedPageBreak/>
        <w:t>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estimando en parte la demanda, declarando “el derecho del demandante a que se considere como pensión del año 2012 la señalada en el apartado segundo del relato histórico de la presente incrementada en un 2,9% y que la misma sirva de base para el incremento acordado en el año 2013 y 2014” y el “derecho del actor a percibir las diferencias correspondientes al año 2012 que son la diferencia entre el 1% aplicado y el 2,9% debido”. Se condena al Instituto Nacional de la Seguridad Social (INSS) a abonar al demandante la cantidad que se especifica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16 de septiembre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16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1 de octubre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lastRenderedPageBreak/>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asimismo el Auto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lastRenderedPageBreak/>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Si “[e]l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admitir a trámite la cuestión mediante providencia de 18 de noviembre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28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5 de diciembre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Mediante escrito presentado en el Registro de este Tribunal el 27 de noviembre de 2014 el Letrado de la Administración de la Seguridad Social se personó en nombre del Instituto Nacional de la Seguridad Social y por medio de otrosí solicitó que, a los efectos de </w:t>
      </w:r>
      <w:r>
        <w:lastRenderedPageBreak/>
        <w:t>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28 de noviembre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mediante escrito de alegaciones registrado el 3 de diciembre de 2014,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w:t>
      </w:r>
      <w:r>
        <w:lastRenderedPageBreak/>
        <w:t>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la que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cómo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Fiscal General del Estado presentó escrito de alegaciones ante este Tribunal el 5 de diciembre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sólo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sea obvia la vulneración por parte del Decreto-ley, cuando suspende las normas generales del art. 48 de la LGSS, de la retroactividad, y que lo haga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ciento), pero aunque lo relaciona con un hecho actual, cual es la fijación del aumento del IPC en 2,9 por ciento,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w:t>
      </w:r>
      <w:r>
        <w:lastRenderedPageBreak/>
        <w:t>crisis económica. Por eso aunque el Tribunal Superior de Justicia de Castilla y León cuestiona esta suspensión como infractora de la Constitución Española,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éste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que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por escrito registrado el 2 de enero de 2015 interesa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 que el sistema de Seguridad Social se configure legalmente, gozando el legislador a </w:t>
      </w:r>
      <w:r>
        <w:lastRenderedPageBreak/>
        <w:t>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que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 xml:space="preserve">Recuerda que el art. 48.1 LGSS en la redacción vigente en la fecha del proceso, establece respecto a la revalorización de las pensiones contributivas que ésta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w:t>
      </w:r>
      <w:r>
        <w:lastRenderedPageBreak/>
        <w:t>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de la LGSS, supone deslegitimar al legislador presupuestario que vendría imposibilitado, por ejemplo, para ajustar los gastos a los ingresos del Estado, aun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 la Ley del estatuto de los trabajadores.(LET)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se produce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w:t>
      </w:r>
      <w:r>
        <w:lastRenderedPageBreak/>
        <w:t>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a la Sentencia dictada en la cuestión de inconstitucionalidad núm. 6289-2014.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Pleno en la que se sustenta la Sentencia, manifiesto mi discrepancia con la fundamentación jurídica y el fallo de la misma, que entiendo hubiera debido de ser estimatorio por vulneración del principio de seguridad jurídica (art. 9.3 CE), pese a que como Ponente de la presente Sentencia y, en dicha condición, recojo en ella la opinión mayoritaria del Pleno.</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por los Magistrados don Luis Ignacio Ortega Álvarez y don Fernando Valdés Dal-Ré a la STC 49/2015, 5 de marzo, al que entonces me adherí y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0" w:name="SENTENCIA_2015_127"/>
      <w:r>
        <w:lastRenderedPageBreak/>
        <w:t>SENTENCIA 127/2015, de 8 de junio de 2015</w:t>
      </w:r>
    </w:p>
    <w:bookmarkEnd w:id="130"/>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ECLI:ES:TC:2015:127</w:t>
      </w:r>
    </w:p>
    <w:p w:rsidR="0085709A" w:rsidRDefault="0085709A" w:rsidP="0085709A">
      <w:pPr>
        <w:pStyle w:val="TextoNormalCentrado"/>
      </w:pPr>
    </w:p>
    <w:p w:rsidR="0085709A" w:rsidRDefault="0085709A" w:rsidP="0085709A">
      <w:pPr>
        <w:pStyle w:val="SntesisDescriptiva"/>
      </w:pPr>
      <w:r>
        <w:t>Cuestión de inconstitucionalidad 6396-2014.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6396-2014,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27 de octubre de 2014 tuvo entrada en el Registro General de este Tribunal un oficio de la Sala de lo Social, con sede en Burgos, del Tribunal Superior de Justicia de Castilla y León al que se acompaña, junto con el testimonio del procedimiento ordinario núm. 1398-2013, Auto de 8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Tres pensionistas interpusieron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w:t>
      </w:r>
      <w:r>
        <w:lastRenderedPageBreak/>
        <w:t>de 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estimando la demanda respecto de uno de los pensionistas y rechazándola respecto de los otros dos porque habían empezado a ser pensionistas el 1 de enero de 2012. En relación con el pensionista respecto del que se estima la demanda declara la Sentencia el derecho “a que se considere como pensión del año 2012 la señalada en el apartado segundo del relato histórico de la presente incrementada en un 2,9 por 100 y que la misma sirva de base para el incremento acordado en el año 2013” y el derecho “a percibir las diferencias correspondientes al año 2012 que son la diferencia entre el 1 por 100 aplicado y el 2,9 por 100 debido”.</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16 de julio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16 de julio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8 de octubre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w:t>
      </w:r>
      <w:r>
        <w:lastRenderedPageBreak/>
        <w:t>“la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w:t>
      </w:r>
      <w:r>
        <w:lastRenderedPageBreak/>
        <w:t>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Segunda, acordó admitir a trámite la cuestión mediante providencia de 18 de noviembre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26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5 de diciembre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Mediante escrito presentado en el Registro de este Tribunal el 27 de noviembre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28 de noviembre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por escrito presentado el 3 de diciembre de 2014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w:t>
      </w:r>
      <w:r>
        <w:lastRenderedPageBreak/>
        <w:t>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solo será y en la forma que fije la Ley de presupuestos generales cuando se determine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CE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 xml:space="preserve">d) Por último, sobre la vulneración del art. 33 CE señala que la alegada vulneración de este precepto parte de la consideración de la existencia de un derecho adquirido incorporado </w:t>
      </w:r>
      <w:r>
        <w:lastRenderedPageBreak/>
        <w:t>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General del Estado presentó su escrito de alegaciones el 5 de diciembre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la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w:t>
      </w:r>
      <w:r>
        <w:lastRenderedPageBreak/>
        <w:t>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2 de enero de 2015 interesando la desestimación de la cuestión de inconstitucionalidad.</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 xml:space="preserve">Así, señala que la doctrina de este Tribunal Constitucional concibe el régimen público de Seguridad Social como una garantía institucional de un sistema razonable de protección </w:t>
      </w:r>
      <w:r>
        <w:lastRenderedPageBreak/>
        <w:t>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w:t>
      </w:r>
      <w:r>
        <w:lastRenderedPageBreak/>
        <w:t>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w:t>
      </w:r>
      <w:r>
        <w:lastRenderedPageBreak/>
        <w:t>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tres de junio de dos mil quince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w:t>
      </w:r>
      <w:r>
        <w:lastRenderedPageBreak/>
        <w:t>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6396-2014.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1" w:name="SENTENCIA_2015_128"/>
      <w:r>
        <w:lastRenderedPageBreak/>
        <w:t>SENTENCIA 128/2015, de 8 de junio de 2015</w:t>
      </w:r>
    </w:p>
    <w:bookmarkEnd w:id="131"/>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ECLI:ES:TC:2015:128</w:t>
      </w:r>
    </w:p>
    <w:p w:rsidR="0085709A" w:rsidRDefault="0085709A" w:rsidP="0085709A">
      <w:pPr>
        <w:pStyle w:val="TextoNormalCentrado"/>
      </w:pPr>
    </w:p>
    <w:p w:rsidR="0085709A" w:rsidRDefault="0085709A" w:rsidP="0085709A">
      <w:pPr>
        <w:pStyle w:val="SntesisDescriptiva"/>
      </w:pPr>
      <w:r>
        <w:t>Cuestión de inconstitucionalidad 6397-2014.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6397-2014,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27 de octubre de 2014 tuvo entrada en el Registro General de este Tribunal un oficio de la Sala de lo Social, con sede en Burgos, del Tribunal Superior de Justicia de Castilla y León al que se acompaña, junto con el testimonio del procedimiento ordinario núm. 206-2014, Auto de 8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Una pensionista interpuso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w:t>
      </w:r>
      <w:r>
        <w:lastRenderedPageBreak/>
        <w:t>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20 de mayo de 2014 estimando la demanda, declarando “el derecho de la demandante a que se considere como pensión del año 2012 la señalada en el apartado segundo del relato histórico de la presente incrementada en un 2,9 por 100 y que la misma sirva de base para el incremento acordado en el año 2013 y 2014”, así como “el derecho de la actora a percibir las diferencias correspondientes al año 2012 que son la diferencia entre el 1 por 100 aplicado y el 2,9 por 100 debido”.</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3 de septiembre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3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8 de octubre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lastRenderedPageBreak/>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lastRenderedPageBreak/>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social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admitir a trámite la cuestión mediante providencia de 2 de diciembre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9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17 de diciembre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Mediante escrito presentado en el Registro de este Tribunal el 12 de diciembre de 2014 el Letrado de la Administración de la Seguridad Social se personó en nombre del Instituto Nacional de la Seguridad Social y por medio de otrosí solicitó que, a los efectos de </w:t>
      </w:r>
      <w:r>
        <w:lastRenderedPageBreak/>
        <w:t>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15 de diciembre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por escrito registrado el 26 de diciembre de 2014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w:t>
      </w:r>
      <w:r>
        <w:lastRenderedPageBreak/>
        <w:t>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Letrado de la Administración de la Seguridad Social por escrito registrado el 7 de enero de 2015 interesa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lastRenderedPageBreak/>
        <w:t>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10</w:t>
      </w:r>
      <w:r>
        <w:t>. El Fiscal General del Estado presentó escrito de alegaciones ante este Tribunal el 8 de enero de 2015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w:t>
      </w:r>
    </w:p>
    <w:p w:rsidR="0085709A" w:rsidRDefault="0085709A" w:rsidP="0085709A">
      <w:pPr>
        <w:pStyle w:val="TextoNormal"/>
      </w:pPr>
    </w:p>
    <w:p w:rsidR="0085709A" w:rsidRDefault="0085709A" w:rsidP="0085709A">
      <w:pPr>
        <w:pStyle w:val="TextoNormal"/>
      </w:pPr>
      <w:r>
        <w:t>A su juicio, no cabe ninguna duda que cuestiona la norma en la que el legislador fija la forma de actualización anual de las pensiones, la prevista para el año siguiente, concretamente en el caso que nos ocupa para el año 2013, a esta revalorización se refiere continua</w:t>
      </w:r>
      <w:r>
        <w:lastRenderedPageBreak/>
        <w:t>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w:t>
      </w:r>
    </w:p>
    <w:p w:rsidR="0085709A" w:rsidRDefault="0085709A" w:rsidP="0085709A">
      <w:pPr>
        <w:pStyle w:val="TextoNormal"/>
      </w:pPr>
    </w:p>
    <w:p w:rsidR="0085709A" w:rsidRDefault="0085709A" w:rsidP="0085709A">
      <w:pPr>
        <w:pStyle w:val="TextoNormal"/>
      </w:pPr>
      <w:r>
        <w:t>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Decreto-Ley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w:t>
      </w:r>
      <w:r>
        <w:lastRenderedPageBreak/>
        <w:t>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las SSTC 49/2015, de 4 de marzo; 95/2015, de 14 de mayo, y 109/2015, de 28 de mayo,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w:t>
      </w:r>
      <w:r>
        <w:lastRenderedPageBreak/>
        <w:t>que establezca la Ley de Presupuestos Generales del Estado” contenida en dichos preceptos “supone reconocer al legislador un cierto margen para hacer frente a la actualización de las pensiones en función de las posibilidades económicas del Sistema” (FJ 5).</w:t>
      </w:r>
    </w:p>
    <w:p w:rsidR="0085709A" w:rsidRDefault="0085709A" w:rsidP="0085709A">
      <w:pPr>
        <w:pStyle w:val="TextoNormal"/>
      </w:pPr>
    </w:p>
    <w:p w:rsidR="0085709A" w:rsidRDefault="0085709A" w:rsidP="0085709A">
      <w:pPr>
        <w:pStyle w:val="TextoNormal"/>
      </w:pPr>
      <w:r>
        <w:t>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4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rsidRPr="0085709A">
        <w:rPr>
          <w:rStyle w:val="NumeroAFNegritaCaracter"/>
        </w:rPr>
        <w:t>3</w:t>
      </w:r>
      <w:r>
        <w:t>. Los razonamientos expuestos, de acuerdo con la doctrina contenida en la STC 49/2015, de 4 de marzo, conducen a la conclusión que esta cuestión debe ser desestimada.</w:t>
      </w:r>
    </w:p>
    <w:p w:rsidR="0085709A" w:rsidRDefault="0085709A" w:rsidP="0085709A">
      <w:pPr>
        <w:pStyle w:val="TextoNormal"/>
      </w:pPr>
    </w:p>
    <w:p w:rsidR="0085709A" w:rsidRDefault="0085709A" w:rsidP="0085709A">
      <w:pPr>
        <w:pStyle w:val="TextoNormalCentrado"/>
        <w:keepNext/>
      </w:pPr>
      <w:r>
        <w:lastRenderedPageBreak/>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2" w:name="SENTENCIA_2015_129"/>
      <w:r>
        <w:lastRenderedPageBreak/>
        <w:t>SENTENCIA 129/2015, de 8 de junio de 2015</w:t>
      </w:r>
    </w:p>
    <w:bookmarkEnd w:id="132"/>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ECLI:ES:TC:2015:129</w:t>
      </w:r>
    </w:p>
    <w:p w:rsidR="0085709A" w:rsidRDefault="0085709A" w:rsidP="0085709A">
      <w:pPr>
        <w:pStyle w:val="TextoNormalCentrado"/>
      </w:pPr>
    </w:p>
    <w:p w:rsidR="0085709A" w:rsidRDefault="0085709A" w:rsidP="0085709A">
      <w:pPr>
        <w:pStyle w:val="SntesisDescriptiva"/>
      </w:pPr>
      <w:r>
        <w:t>Cuestión de inconstitucionalidad 6398-2014.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6398-2014,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27 de octubre de 2014 tuvo entrada en el Registro General de este Tribunal un oficio de la Sala de lo Social, con sede en Burgos, del Tribunal Superior de Justicia de Castilla y León al que se acompaña, junto con el testimonio del procedimiento núm. 12-2014, Auto de 8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Varios pensionistas interpusieron demanda ante el Instituto Nacional de la Seguridad Social (INSS) en reclamación de actualización de sus pensiones, solicitando que se declarase el derecho a percibir la paga única compensatoria a que se refiere el apartado 1.2 del art. 48 de la Ley general de Seguridad Social (LGSS), derivada de la diferencia que resulta entre el índice de precios al consumo (IPC) en función del cual se calculó dicha revalorización, que fue del 1 por 100, y el IPC acumulado correspondiente al período comprendido entre el 1 de diciembre de 2011 y el 30 de noviembre de 2012. Asimismo, solicitaban que se declarase el derecho a que la revalorización de la pensión en 2013 fuera efectuada sobre </w:t>
      </w:r>
      <w:r>
        <w:lastRenderedPageBreak/>
        <w:t>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el 1 de diciembre de 2011 y el 30 de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29 de abril de 2014 estimando en parte la demanda, declarando “el derecho de todos los demandantes a que se considere como pensión del año 2012 la señalada en el apartado segundo del relato histórico de la presente incrementada en un 2,9% y que la misma sirva de base para el incremento acordado en el año 2013” y, asimismo, el “derecho de dichos actores a percibir las diferencias correspondientes al año 2012 que son la diferencia entre el 1% aplicado y el 2,9% debido”. Se condena al INSS a abonar a los demandantes el pago de determinadas cantidades que se especifican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del Tribunal Superior de Justicia de Castilla y León, con sede en Burgos, dictó providencia de 3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(LPGE-2012).</w:t>
      </w:r>
    </w:p>
    <w:p w:rsidR="0085709A" w:rsidRDefault="0085709A" w:rsidP="0085709A">
      <w:pPr>
        <w:pStyle w:val="TextoNormal"/>
      </w:pPr>
    </w:p>
    <w:p w:rsidR="0085709A" w:rsidRDefault="0085709A" w:rsidP="0085709A">
      <w:pPr>
        <w:pStyle w:val="TextoNormal"/>
      </w:pPr>
      <w:r>
        <w:t>El Ministerio Fiscal mostró su conformidad con el planteamiento de la cuestión. El letrado de la Administración de la Seguridad Social, en nombre y representación del INSS, sostuvo que no existía vulneración de los arts. 9.3 y 33 CE. La parte actora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8 de octubre de 2014, la Sala de lo Social mencionada acordó plantear la presente cuestión de inconstitucionalidad. Del análisis de su contenido, interesa destacar los siguientes puntos:</w:t>
      </w:r>
    </w:p>
    <w:p w:rsidR="0085709A" w:rsidRDefault="0085709A" w:rsidP="0085709A">
      <w:pPr>
        <w:pStyle w:val="TextoNormal"/>
      </w:pPr>
    </w:p>
    <w:p w:rsidR="0085709A" w:rsidRDefault="0085709A" w:rsidP="0085709A">
      <w:pPr>
        <w:pStyle w:val="TextoNormal"/>
      </w:pPr>
      <w:r>
        <w:t>a)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deberá analizarse si, aun siendo de grado máximo, carece realmente de justificación habilitante, puesto que este Tribunal Constitucional admite que “la prohibición de retroactividad operaría plenamente y sólo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 xml:space="preserve">b) El Auto declara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evitar la pérdida </w:t>
      </w:r>
      <w:r>
        <w:lastRenderedPageBreak/>
        <w:t>del poder adquisitivo de la pensión que tiene derecho a percibir como consecuencia de su previa contribución al sistema, y este es el sistema de revalorizaciones de las pensiones. A él se refiere el art. 50 CE que, como consecuencia del incremento del coste de la vida en unos años, garantiza a las pensiones un derecho a la suficiencia, impidiendo así el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define el periodo que se debe tener en cuenta para el cálculo del índice de precios al consumo (“el periodo comprendido entre noviembre del ejercicio anterior y noviembre del ejercicio económico al que se refiere la revalorización”), enunciando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La misma regla establece el art. 27 de la Ley de clases pasivas del Estado.</w:t>
      </w:r>
    </w:p>
    <w:p w:rsidR="0085709A" w:rsidRDefault="0085709A" w:rsidP="0085709A">
      <w:pPr>
        <w:pStyle w:val="TextoNormal"/>
      </w:pPr>
    </w:p>
    <w:p w:rsidR="0085709A" w:rsidRDefault="0085709A" w:rsidP="0085709A">
      <w:pPr>
        <w:pStyle w:val="TextoNormal"/>
      </w:pPr>
      <w:r>
        <w:t>Indica además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considera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Según el Auto,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w:t>
      </w:r>
      <w:r>
        <w:lastRenderedPageBreak/>
        <w:t>transcurrido el periodo previsto en el artículo 48 de la Ley General S.S.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Cuarta, acordó mediante providencia de 18 de noviembre de 2014 admitir a trámite la cuestión de inconstitucionalidad planteada. De conformidad al art. 10.1 c) de la Ley Orgánica del Tribunal Constitucional (LOTC), igualmente acordó deferir a la Sala Segunda, por turno objetivo, el conocimiento de la presente cuestión. Y, al amparo de lo previsto en el art. 37.3 LOTC, procedió a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Asimismo convino comunicar la resolución adoptada al órgano judicial que plantea la cuestión de inconstitucionalidad y publicar su incoación en el “Boletín Oficial del Estado” (“BOE” núm. 283, de 22 de noviembre de 2014).</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28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5 de diciembre de 2014, el Presidente del Senado notificó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presentado en el Registro General de este Tribunal el 27 de noviembre de 2014, el Letrado de la Administración de la Seguridad Social se personó en nombre del Instituto Nacional de la Seguridad Social.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Por diligencia de ordenación de 28 de noviembre de 2014 se acordó tener por personado y parte al Letrado de la Administración de la Seguridad Social y, conforme establece </w:t>
      </w:r>
      <w:r>
        <w:lastRenderedPageBreak/>
        <w:t>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se personó en el presente proceso mediante escrito de alegaciones registrado en el Tribunal el 3 de diciembre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refiriéndose a la configuración constitucional del sistema de Seguridad Social. Señala que dicho sistema, previsto en el art. 41 CE, está caracterizado constitucionalmente por consistir en una garantía institucional que deja al legislador su configuración en atención a las circunstancias económicas y sociales que son imperativas para su propia viabilidad y eficacia.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dice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Se condiciona la existencia del derecho a que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 xml:space="preserve">Es por ello, añade, que el art. 48.1.2 continúa diciendo que, “a tales efectos, a los pensionistas cuyas pensiones hubiesen sido objeto de revalorización en el ejercicio anterior”; esto </w:t>
      </w:r>
      <w:r>
        <w:lastRenderedPageBreak/>
        <w:t>es, reafirma que no por el mero hecho de la existencia de diferencial en el IPC se actualiza la pensión, sino que habrá que estar a la regulación propia de la Ley de presupuestos.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sus características en función de las circunstancias económicas y sociales en cada momento y con la finalidad de asegurar la suficiencia y solvencia del sistema. En este marco, prosigue,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casos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señala, sobre la vulneración del art. 33 CE, que la alegada vulneración de este precepto parte de la consideración de la existencia de un derecho adquirido incorporado al patrimonio; por tanto y una vez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General del Estado presentó su escrito de alegaciones ante este Tribunal con fecha 5 de diciembre de 2014,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el Fiscal General delimitando el contenido de la cuestión. Resalta que, aunque en el auto de planteamiento el Tribunal Superior de Justicia cite el art. 86 CE, la providencia de 3 de septiembre de 2014 que daba traslado a las partes de la duda de constitucionalidad nada decía sobre su supuesta infracción, tampoco desarrollada después en dicho Auto, de suerte que se trataría de un mero error. En realidad, prosigue, el órgano judicial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contienen dos reglas distintas, una primera relativa al sistema de revalorización anual de las pensiones que cada norma regula y una segunda relativa a la llamada “paga compensatoria </w:t>
      </w:r>
      <w:r>
        <w:lastRenderedPageBreak/>
        <w:t>única” que se establece para compensar la pérdida adquisitiva que el pensionista haya podido sufrir en el periodo del último año. Sin embargo, el Tribunal cuestionante no dice claramente cuál de las dos reglas es la que se considera que puede ser contraria a los arts. 9.3 y 33 CE. A su juicio, debe entenderse que cuestiona la norma en la que el legislador fija la forma de actualización anual de las pensiones, la prevista para el año siguiente, concretamente en el caso que nos ocupa para el año 2013. A esta revalorización se refiere continuamente el órgano judicial, mientras que la otra regla, la de determinación de la paga compensatoria, sólo incidentalmente se menciona. El Tribunal considera que los derechos que nacen de ambas reglas, la de revalorización anual y la de fijación de paga única compensatoria, gozan de la misma naturaleza y se consolidan simultáneamente en el tiempo, pero en su opinión esto no es cierto por lo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Y destaca de la doctrina constitucional que no existe una imposibilidad de revisar las normas fiscales o económicas,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no comparte que en el caso que nos ocupa sea obvia la vulneración por parte del Decreto-ley, cuando suspende las normas generales del art. 48 LGSS, de la retroactividad. Parte en sus alegaciones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real del IPC en el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cuestione esta suspensión como infractora de la CE, no puede compartirse ese cuestionamiento. Sin embargo, cosa distinta es la decisión de suspender la aplicación de la paga única que debería realizarse antes del l de abril de 2013, pero que se determina con arreglo al aumento del índice de precios comprendido entre los días 1 de diciembre de 2011 y 30 de noviembre de 2012; teniendo en cuenta que el Decreto entra en vigor el 1 de diciembre de 2012, se está incurriendo, en efecto, en supuesto de retroactividad auténtica, ya que se vinculan efectos a un hecho ya consumado y consolidado.</w:t>
      </w:r>
    </w:p>
    <w:p w:rsidR="0085709A" w:rsidRDefault="0085709A" w:rsidP="0085709A">
      <w:pPr>
        <w:pStyle w:val="TextoNormal"/>
      </w:pPr>
    </w:p>
    <w:p w:rsidR="0085709A" w:rsidRDefault="0085709A" w:rsidP="0085709A">
      <w:pPr>
        <w:pStyle w:val="TextoNormal"/>
      </w:pPr>
      <w: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Esto es, si </w:t>
      </w:r>
      <w:r>
        <w:lastRenderedPageBreak/>
        <w:t>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presupuestaria a efectuar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la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2 de enero de 2015.</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subraya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la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65/1987, de 21 de mayo; 134/1987, de 21 de julio; 66/1990, de 5 de abril, y 89/2009, de 20 de abril.</w:t>
      </w:r>
    </w:p>
    <w:p w:rsidR="0085709A" w:rsidRDefault="0085709A" w:rsidP="0085709A">
      <w:pPr>
        <w:pStyle w:val="TextoNormal"/>
      </w:pPr>
    </w:p>
    <w:p w:rsidR="0085709A" w:rsidRDefault="0085709A" w:rsidP="0085709A">
      <w:pPr>
        <w:pStyle w:val="TextoNormal"/>
      </w:pPr>
      <w:r>
        <w:lastRenderedPageBreak/>
        <w:t>Añade que de la jurisprudencia constitucional se desprende que no existe una exigencia constitucional que obligue necesariamente a revalorizar las pensiones.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más tarde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El art. 48.1 LGSS, en la redacción vigente en la fecha del proceso, establece respecto a la revalorización de las pensiones contributivas que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fija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en coherencia con la doctrina del Tribunal Constitucional plasmada en las SSTC 134/1987 y 97/1990, el legislador toma la precaución de condicionar la medida a la ponderación de las disponibilidades presupuestarias y de las necesidades sociales, de manera que supedita su efectividad a que se contemple la actualización de la diferencia y del pago único en la correspondiente Ley de presupuestos generales del año siguiente. En este sentido, los dos incisos del apartado 1 del art. 48 LGSS exigen una interpretación conjunta, de manera que la efectividad de los derechos programados se subordina al principio de legalidad presupuestaria.</w:t>
      </w:r>
    </w:p>
    <w:p w:rsidR="0085709A" w:rsidRDefault="0085709A" w:rsidP="0085709A">
      <w:pPr>
        <w:pStyle w:val="TextoNormal"/>
      </w:pPr>
    </w:p>
    <w:p w:rsidR="0085709A" w:rsidRDefault="0085709A" w:rsidP="0085709A">
      <w:pPr>
        <w:pStyle w:val="TextoNormal"/>
      </w:pPr>
      <w:r>
        <w:t>Por tanto, la regla establecida en el art. 48.1.1 LGSS se configura como una norma programática cuya efectividad e imperatividad dependen de la disposición normativa que se efectúe en la correspondiente Ley de presupuestos generales del Estado de cada ejercicio.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lastRenderedPageBreak/>
        <w:t>Insiste en señalar que la norma dispone que para que quede colmado el derecho a la actualización de las pensiones y al percibo del complemento adicional resulta preciso que su reconocimiento se incorpore a la Ley de presupuestos generales del Estado del año siguiente. En tal sentido, entender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Lo que hace el art. 48.1.2 LGSS es cuantificar la diferencia entre los IPC previstos y reales tomando como período de cálculo del incremento de los precios entre diciembre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La actualización por diferencias en la revalorización y el nacimiento del derecho a la paga nacen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tales,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lastRenderedPageBreak/>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Según señala la mencionada Sentencia, para valorar si la norma cuestionada vulnera el art. 9.3 CE es necesario determinar con carácter previo si, en el momento en que se dictó el Real Decreto-ley 28/2012, de 30 de noviembre, los pensionistas tenían una mera expectativa de derecho a recibir la diferencia entre el índice de precios al consumo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ambos preceptos se remiten a la Ley de presupuestos generales del Estado. La expresión “de acuerdo con lo que establezca la Ley de Presupuestos Generales del Estado” contenida en dichos pasajes legales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E igualmente rememora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0085709A" w:rsidRDefault="0085709A" w:rsidP="0085709A">
      <w:pPr>
        <w:pStyle w:val="TextoNormal"/>
      </w:pPr>
    </w:p>
    <w:p w:rsidR="0085709A" w:rsidRDefault="0085709A" w:rsidP="0085709A">
      <w:pPr>
        <w:pStyle w:val="TextoNormal"/>
      </w:pPr>
      <w:r>
        <w:t>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afirmando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y dado que cuando se aprobó el Real Decreto-ley 28/2012 no existía una relación consagrada o agotada incorpo</w:t>
      </w:r>
      <w:r>
        <w:lastRenderedPageBreak/>
        <w:t>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el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Fernando Valdés Dal-Ré a la Sentencia dictada en la cuestión de inconstitucionalidad núm. 6398-2014.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lastRenderedPageBreak/>
        <w:br w:type="page"/>
      </w:r>
    </w:p>
    <w:p w:rsidR="0085709A" w:rsidRDefault="0085709A" w:rsidP="0085709A">
      <w:pPr>
        <w:pStyle w:val="TtuloResolucin"/>
      </w:pPr>
      <w:bookmarkStart w:id="133" w:name="SENTENCIA_2015_130"/>
      <w:r>
        <w:lastRenderedPageBreak/>
        <w:t>SENTENCIA 130/2015, de 8 de junio de 2015</w:t>
      </w:r>
    </w:p>
    <w:bookmarkEnd w:id="133"/>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ECLI:ES:TC:2015:130</w:t>
      </w:r>
    </w:p>
    <w:p w:rsidR="0085709A" w:rsidRDefault="0085709A" w:rsidP="0085709A">
      <w:pPr>
        <w:pStyle w:val="TextoNormalCentrado"/>
      </w:pPr>
    </w:p>
    <w:p w:rsidR="0085709A" w:rsidRDefault="0085709A" w:rsidP="0085709A">
      <w:pPr>
        <w:pStyle w:val="SntesisDescriptiva"/>
      </w:pPr>
      <w:r>
        <w:t>Cuestión de inconstitucionalidad 6481-2014.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 xml:space="preserve">sideran, casi unánimemente, que sólo son indemnizables las privaciones de derechos ciertos, efectivos y actuales, pero no las de los eventuales o futuros (SSTC 108/1986, 49/2015) [FJ 2]. </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6481-2014,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Antonio Xiol Ríos,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30 de octubre de 2014 tuvo entrada en el Registro General de este Tribunal un oficio de la Sala de lo Social, con sede en Burgos, del Tribunal Superior de Justicia de Castilla y León al que se acompaña, junto con el testimonio del procedimiento ordinario núm. 166-2014, Auto de 15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 pensionista interpuso demanda ante el Instituto Nacional de la Seguridad Social en reclamación de actualización de la pensión solicitando que se declarase el derecho a percibir la paga única compensatoria a que se refiere el apartado 1.2 del art. 48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w:t>
      </w:r>
      <w:r>
        <w:lastRenderedPageBreak/>
        <w:t>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estimando la demanda, declarando “el derecho del demandante a que se considere como pensión del año 2012 la señalada en el apartado segundo del relato histórico de la presente incrementada en un 2,9 por 100 y que la misma sirva de base para el incremento acordado en el año 2013” y el “derecho del actor a percibir las diferencias correspondientes al año 2012 que son la diferencia entre el 1 por 100 aplicado y el 2,9 por 100 debido”.</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 de octubre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 de octubre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15 de octubre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 xml:space="preserve">c) El Auto señala que el sistema de pensiones vigente es un sistema contributivo, en virtud del cual los trabajadores en activo cotizan a dicho sistema para que en el caso de que </w:t>
      </w:r>
      <w:r>
        <w:lastRenderedPageBreak/>
        <w:t>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Primera, acordó admitir a trámite la cuestión mediante providencia de 2 de diciembre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9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17 de diciembre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Mediante escrito presentado en el Registro de este Tribunal el 12 de diciembre de 2014 el Letrado de la Administración de la Seguridad Social se personó en nombre del instituto nacional de la Seguridad Social y por medio de otrosí solicitó que, a los efectos de </w:t>
      </w:r>
      <w:r>
        <w:lastRenderedPageBreak/>
        <w:t>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15 de diciembre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se personó por escrito registrado el 26 de diciembre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w:t>
      </w:r>
      <w:r>
        <w:lastRenderedPageBreak/>
        <w:t>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Fiscal General del Estado presentó su escrito de alegaciones el 7 de enero de 2015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w:t>
      </w:r>
      <w:r>
        <w:lastRenderedPageBreak/>
        <w:t>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7 de enero de 2015 interesando la desestimación de la cuestión de inconstitucionalidad.</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w:t>
      </w:r>
      <w:r>
        <w:lastRenderedPageBreak/>
        <w:t>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w:t>
      </w:r>
      <w:r>
        <w:lastRenderedPageBreak/>
        <w:t>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lastRenderedPageBreak/>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w:t>
      </w:r>
      <w:r>
        <w:lastRenderedPageBreak/>
        <w:t>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solo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en el art. 2.1 del Real Decreto-ley 28/2012 falta un elemento indispensable para que pueda calificarse la no actualización de las pensiones de medida expropiatoria, cual es que, siguiendo lo dispuesto en la STC 108/1986, de 29 de julio, FJ 20, “solo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solo son indemnizables las privaciones de derechos ciertos, efectivos y actuales, pero no eventuales o futuros”. De ello se deduce que la norma impugnada es acorde con el art. 33 CE en la medida en que su aplicación no ha supuesto la expropiación de derechos patrimoniales consolidados, pues de lo que se ha privado a los pensionistas es de una expectativa, pero no de un derecho actual consolidado, y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6481-2014.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4" w:name="SENTENCIA_2015_131"/>
      <w:r>
        <w:lastRenderedPageBreak/>
        <w:t>SENTENCIA 131/2015, de 8 de junio de 2015</w:t>
      </w:r>
    </w:p>
    <w:bookmarkEnd w:id="134"/>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ECLI:ES:TC:2015:131</w:t>
      </w:r>
    </w:p>
    <w:p w:rsidR="0085709A" w:rsidRDefault="0085709A" w:rsidP="0085709A">
      <w:pPr>
        <w:pStyle w:val="TextoNormalCentrado"/>
      </w:pPr>
    </w:p>
    <w:p w:rsidR="0085709A" w:rsidRDefault="0085709A" w:rsidP="0085709A">
      <w:pPr>
        <w:pStyle w:val="SntesisDescriptiva"/>
      </w:pPr>
      <w:r>
        <w:t>Cuestión de inconstitucionalidad 6482-2014.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6482-2014,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Abogado del Estado, el Letrado de la Administración de la Seguridad Social y el Fiscal General del Estado.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30 de octubre de 2014 tuvo entrada en el Registro General de este Tribunal un oficio de la Sala de lo Social, con sede en Burgos, del Tribunal Superior de Justicia de Castilla y León al que se acompaña, junto con el testimonio del procedimiento ordinario núm. 202-2014, Auto de 8 de octubre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 pensionista interpuso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w:t>
      </w:r>
      <w:r>
        <w:lastRenderedPageBreak/>
        <w:t>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El Juzgado de lo Social núm. 1 de Burgos dictó Sentencia el 20 de mayo de 2014 estimando la demanda. Se reconoció al demandante el derecho a que se considerase como pensión del año 2012 la que venía percibiendo incrementada en un 2,9 por 100 y que la misma sirviese de base para el incremento acordado en el año 2013 y 2014, así como el derecho a percibir las diferencias correspondientes al año 2012 (la diferencia entre el 1 por 100 aplicado y el 2,9 por 100 debido).</w:t>
      </w:r>
    </w:p>
    <w:p w:rsidR="0085709A" w:rsidRDefault="0085709A" w:rsidP="0085709A">
      <w:pPr>
        <w:pStyle w:val="TextoNormal"/>
      </w:pPr>
    </w:p>
    <w:p w:rsidR="0085709A" w:rsidRDefault="0085709A" w:rsidP="0085709A">
      <w:pPr>
        <w:pStyle w:val="TextoNormal"/>
      </w:pPr>
      <w:r>
        <w:t>b) Interpuesto recurso de suplicación por el Instituto Nacional de la Sseguridad Social (INSS) contra la mencionada Sentencia, la Sala de lo Social del Tribunal Superior de Justicia de Castilla y León señaló para su deliberación y fallo el día 24 de septiembre de 2014.</w:t>
      </w:r>
    </w:p>
    <w:p w:rsidR="0085709A" w:rsidRDefault="0085709A" w:rsidP="0085709A">
      <w:pPr>
        <w:pStyle w:val="TextoNormal"/>
      </w:pPr>
    </w:p>
    <w:p w:rsidR="0085709A" w:rsidRDefault="0085709A" w:rsidP="0085709A">
      <w:pPr>
        <w:pStyle w:val="TextoNormal"/>
      </w:pPr>
      <w:r>
        <w:t>c) Concluso el procedimiento y dentro del plazo para dictar sentencia el órgano judicial dictó providencia de 24 de septiembre de 2014 por la que acordó oír a las partes y al Ministerio Fiscal para que alegasen sobre la pertinencia de plantear cuestión de inconstitucionalidad en relación con el art. 2.1 del Real Decreto-ley 28/2012 por posible vulneración de los arts. 9.3 y 33 CE.</w:t>
      </w:r>
    </w:p>
    <w:p w:rsidR="0085709A" w:rsidRDefault="0085709A" w:rsidP="0085709A">
      <w:pPr>
        <w:pStyle w:val="TextoNormal"/>
      </w:pPr>
    </w:p>
    <w:p w:rsidR="0085709A" w:rsidRDefault="0085709A" w:rsidP="0085709A">
      <w:pPr>
        <w:pStyle w:val="TextoNormal"/>
      </w:pPr>
      <w:r>
        <w:t>d)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8 de octubre de 2014 la Sala de lo Social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 xml:space="preserve">c) El Auto señala que el sistema de pensiones vigente es un sistema contributivo, en virtud del cual los trabajadores en activo cotizan a dicho sistema para que en el caso de que </w:t>
      </w:r>
      <w:r>
        <w:lastRenderedPageBreak/>
        <w:t>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Segunda, acordó admitir a trámite la cuestión mediante providencia de 2 de diciembre de 2014; deferir a la Sala Primera el conocimiento de esta cuestión;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9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17 de diciembre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Mediante escrito presentado en el Registro de este Tribunal el 12 de diciembre de 2014 el Letrado de la Administración de la Seguridad Social se persona en nombre del Instituto Nacional de la Seguridad Social y por medio de otrosí solicita que a los efectos de </w:t>
      </w:r>
      <w:r>
        <w:lastRenderedPageBreak/>
        <w:t>representación y defensa del Instituto Nacional de la Seguridad Social se designe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15 de diciembre de 2014 se acuerda tener por personado y parte al Letrado de la Administración de la Seguridad Social y conforme establece el art. 37.2 LOTC, se le concede un plazo de quince días para que formule las alegaciones que estime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por escrito registrado el 26 de diciembre de 2014 interesa la desestimación del recurso interpuesto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w:t>
      </w:r>
      <w:r>
        <w:lastRenderedPageBreak/>
        <w:t>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9</w:t>
      </w:r>
      <w:r>
        <w:t>. El Letrado de la Administración de la Seguridad Social por escrito registrado el 7 de enero de 2015 interesa también la desestimación del recurso.</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lastRenderedPageBreak/>
        <w:t>Recuerda que el art. 48.1 LGSS en la redacción vigente en la fecha del proceso, establece respecto a la revalorización de las pensiones contributivas que ésta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de la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w:t>
      </w:r>
      <w:r>
        <w:lastRenderedPageBreak/>
        <w:t>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10</w:t>
      </w:r>
      <w:r>
        <w:t>. El Fiscal General del Estado por escrito registrado el 8 de enero de 2015 interesa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w:t>
      </w:r>
      <w:r>
        <w:lastRenderedPageBreak/>
        <w:t>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señala que no comparte que en el caso que nos ocupa es obvia la vulneración por parte del Decreto-ley, cuando suspende las normas generales del art. 48 de la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CE,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w:t>
      </w:r>
      <w:r>
        <w:lastRenderedPageBreak/>
        <w:t>depende del índice de precios al consumo, la cuantía de éste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tres de junio de dos mil quince, se señaló para deliberación y votación de la presente Sentencia el día ocho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w:t>
      </w:r>
      <w:r>
        <w:lastRenderedPageBreak/>
        <w:t>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6482-2014.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5" w:name="SENTENCIA_2015_132"/>
      <w:r>
        <w:lastRenderedPageBreak/>
        <w:t>SENTENCIA 132/2015, de 8 de junio de 2015</w:t>
      </w:r>
    </w:p>
    <w:bookmarkEnd w:id="135"/>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ECLI:ES:TC:2015:132</w:t>
      </w:r>
    </w:p>
    <w:p w:rsidR="0085709A" w:rsidRDefault="0085709A" w:rsidP="0085709A">
      <w:pPr>
        <w:pStyle w:val="TextoNormalCentrado"/>
      </w:pPr>
    </w:p>
    <w:p w:rsidR="0085709A" w:rsidRDefault="0085709A" w:rsidP="0085709A">
      <w:pPr>
        <w:pStyle w:val="SntesisDescriptiva"/>
      </w:pPr>
      <w:r>
        <w:t>Cuestión de inconstitucionalidad 6483-2014.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6483-2014,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José González Rivas,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30 de octubre de 2014 tuvo entrada en el Registro General de este Tribunal un oficio de la Sala de lo Social, con sede en Burgos, del Tribunal Superior de Justicia de Castilla y León al que se acompaña, junto con el testimonio del procedimiento ordinario núm. 198-2014, Auto de 15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 pensionista interpuso demanda ante el Instituto Nacional de la Seguridad Social (INSS) en reclamación de actualización de la pensión solicitando que se declarase el derecho a percibir la paga única compensatoria a que se refiere el apartado 1.2 del art. 48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w:t>
      </w:r>
      <w:r>
        <w:lastRenderedPageBreak/>
        <w:t>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20 de mayo de 2014 estimando la demanda, declarando “el derecho del demandante a que se considere como pensión del año 2012 la señalada en el apartado segundo del relato histórico de la presente incrementada en un 2,9 por 100 y que la misma sirva de base para el incremento acordado en el año 2013 y 2014”, así como “el derecho del actor a percibir las diferencias correspondientes al año 2012 que son la diferencia entre el 1 por 100 aplicado y el 2,9 por 100 debido”.</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señaló para su deliberación y fallo el día 16 de septiembre de 2014.</w:t>
      </w:r>
    </w:p>
    <w:p w:rsidR="0085709A" w:rsidRDefault="0085709A" w:rsidP="0085709A">
      <w:pPr>
        <w:pStyle w:val="TextoNormal"/>
      </w:pPr>
    </w:p>
    <w:p w:rsidR="0085709A" w:rsidRDefault="0085709A" w:rsidP="0085709A">
      <w:pPr>
        <w:pStyle w:val="TextoNormal"/>
      </w:pPr>
      <w:r>
        <w:t>d) Concluso el procedimiento y dentro del plazo para dictar sentencia, el órgano judicial dictó providencia de 16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0085709A" w:rsidRDefault="0085709A" w:rsidP="0085709A">
      <w:pPr>
        <w:pStyle w:val="TextoNormal"/>
      </w:pPr>
    </w:p>
    <w:p w:rsidR="0085709A" w:rsidRDefault="0085709A" w:rsidP="0085709A">
      <w:pPr>
        <w:pStyle w:val="TextoNormal"/>
      </w:pPr>
      <w:r>
        <w:t>e) El Ministerio Fiscal mostró su conformidad con el planteamiento de la cuestión. El resto de las partes no formularon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15 de octubre de 2014 la Sala de lo Social con sede en Burgos del Tribunal Superior de Justicia de Castilla y León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los fundamentos de derecho comienzan con un recordatorio de la obligación de plantear cuestión de inconstitucionalidad que recae sobre el órgano judicial así como de los límites constitucionales del decreto-ley.</w:t>
      </w:r>
    </w:p>
    <w:p w:rsidR="0085709A" w:rsidRDefault="0085709A" w:rsidP="0085709A">
      <w:pPr>
        <w:pStyle w:val="TextoNormal"/>
      </w:pPr>
    </w:p>
    <w:p w:rsidR="0085709A" w:rsidRDefault="0085709A" w:rsidP="0085709A">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 xml:space="preserve">c) El Auto señala que el sistema de pensiones vigente es un sistema contributivo, en virtud del cual los trabajadores en activo cotizan a dicho sistema para que en el caso de que </w:t>
      </w:r>
      <w:r>
        <w:lastRenderedPageBreak/>
        <w:t>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85709A" w:rsidRDefault="0085709A" w:rsidP="0085709A">
      <w:pPr>
        <w:pStyle w:val="TextoNormal"/>
      </w:pPr>
    </w:p>
    <w:p w:rsidR="0085709A" w:rsidRDefault="0085709A" w:rsidP="0085709A">
      <w:pPr>
        <w:pStyle w:val="TextoNormal"/>
      </w:pPr>
      <w:r>
        <w:t>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Constitución española, de entender que por parte del aludido art. 2.1 del RDL 28/2012 serían objeto de expropiación los derechos de los perceptores de pensiones de seguridad social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acordó admitir a trámite la cuestión mediante providencia de 20 de enero de 2015;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registrado el 3 de febrero de 2015,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t>Por escrito registrado el 5 de febrero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presentado en el Registro de este Tribunal el 6 de febrero de 2015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9 de febrero de 2015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por escrito presentado en el Registro General de este Tribunal el 10 de febrero de 2015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0085709A" w:rsidRDefault="0085709A" w:rsidP="0085709A">
      <w:pPr>
        <w:pStyle w:val="TextoNormal"/>
      </w:pPr>
    </w:p>
    <w:p w:rsidR="0085709A" w:rsidRDefault="0085709A" w:rsidP="0085709A">
      <w:pPr>
        <w:pStyle w:val="TextoNormal"/>
      </w:pPr>
      <w:r>
        <w:t>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t>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t>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9</w:t>
      </w:r>
      <w:r>
        <w:t>. El Letrado de la Administración de la Seguridad Social, por escrito registrado el 13 de febrero de 2015, interesa también la desestimación de la cuestión.</w:t>
      </w:r>
    </w:p>
    <w:p w:rsidR="0085709A" w:rsidRDefault="0085709A" w:rsidP="0085709A">
      <w:pPr>
        <w:pStyle w:val="TextoNormal"/>
      </w:pPr>
    </w:p>
    <w:p w:rsidR="0085709A" w:rsidRDefault="0085709A" w:rsidP="0085709A">
      <w:pPr>
        <w:pStyle w:val="TextoNormal"/>
      </w:pPr>
      <w:r>
        <w:lastRenderedPageBreak/>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w:t>
      </w:r>
      <w:r>
        <w:lastRenderedPageBreak/>
        <w:t>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0085709A" w:rsidRDefault="0085709A" w:rsidP="0085709A">
      <w:pPr>
        <w:pStyle w:val="TextoNormal"/>
      </w:pPr>
    </w:p>
    <w:p w:rsidR="0085709A" w:rsidRDefault="0085709A" w:rsidP="0085709A">
      <w:pPr>
        <w:pStyle w:val="TextoNormal"/>
      </w:pPr>
      <w:r>
        <w:t>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0085709A" w:rsidRDefault="0085709A" w:rsidP="0085709A">
      <w:pPr>
        <w:pStyle w:val="TextoNormal"/>
      </w:pPr>
    </w:p>
    <w:p w:rsidR="0085709A" w:rsidRDefault="0085709A" w:rsidP="0085709A">
      <w:pPr>
        <w:pStyle w:val="TextoNormal"/>
      </w:pPr>
      <w: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w:t>
      </w:r>
      <w:r>
        <w:lastRenderedPageBreak/>
        <w:t>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10</w:t>
      </w:r>
      <w:r>
        <w:t>. El Fiscal General del Estado presentó escrito de alegaciones el 20 de febrero de 2015 ante este Tribunal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CE, no puede compartir ese cuestionamiento.</w:t>
      </w:r>
    </w:p>
    <w:p w:rsidR="0085709A" w:rsidRDefault="0085709A" w:rsidP="0085709A">
      <w:pPr>
        <w:pStyle w:val="TextoNormal"/>
      </w:pPr>
    </w:p>
    <w:p w:rsidR="0085709A" w:rsidRDefault="0085709A" w:rsidP="0085709A">
      <w:pPr>
        <w:pStyle w:val="TextoNormal"/>
      </w:pPr>
      <w:r>
        <w:t>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Decreto-ley entra en vigor el 1 de diciembre de 2012, está incurriendo, a su juicio, en supuesto de retroactividad auténtica, ya que vincula efectos a un hecho ya consumado y consolidado.</w:t>
      </w:r>
    </w:p>
    <w:p w:rsidR="0085709A" w:rsidRDefault="0085709A" w:rsidP="0085709A">
      <w:pPr>
        <w:pStyle w:val="TextoNormal"/>
      </w:pPr>
    </w:p>
    <w:p w:rsidR="0085709A" w:rsidRDefault="0085709A" w:rsidP="0085709A">
      <w:pPr>
        <w:pStyle w:val="TextoNormal"/>
      </w:pPr>
      <w:r>
        <w:t>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w:t>
      </w:r>
      <w:r>
        <w:lastRenderedPageBreak/>
        <w:t>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las SSTC 49/2015, de 4 de marzo, 95/2015, de 14 de mayo y 109/2015, de 28 de mayo, a cuya doctrina hemos de remitirnos,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w:t>
      </w:r>
    </w:p>
    <w:p w:rsidR="0085709A" w:rsidRDefault="0085709A" w:rsidP="0085709A">
      <w:pPr>
        <w:pStyle w:val="TextoNormal"/>
      </w:pPr>
    </w:p>
    <w:p w:rsidR="0085709A" w:rsidRDefault="0085709A" w:rsidP="0085709A">
      <w:pPr>
        <w:pStyle w:val="TextoNormal"/>
      </w:pPr>
      <w:r>
        <w:t xml:space="preserve">En este sentido, recuerda que, conforme ha señalado este Tribunal, la “garantía de actualización periódica, no supone obligadamente el incremento anual de todas las pensiones. Al fijar un límite a la percepción de nuevas pensiones o al negar la actualización durante un </w:t>
      </w:r>
      <w:r>
        <w:lastRenderedPageBreak/>
        <w:t>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4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rsidRPr="0085709A">
        <w:rPr>
          <w:rStyle w:val="NumeroAFNegritaCaracter"/>
        </w:rPr>
        <w:t>3</w:t>
      </w:r>
      <w:r>
        <w:t>. Los razonamientos expuestos, de acuerdo con la doctrina contenida en la STC 49/2015, de 4 de marzo, conducen a la conclusión que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lastRenderedPageBreak/>
        <w:t>Publíquese esta Sentencia en el “Boletín Oficial del Estado”.</w:t>
      </w:r>
    </w:p>
    <w:p w:rsidR="0085709A" w:rsidRDefault="0085709A" w:rsidP="0085709A">
      <w:pPr>
        <w:pStyle w:val="TextoNormal"/>
      </w:pPr>
      <w:r>
        <w:t>Dada en 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6" w:name="SENTENCIA_2015_133"/>
      <w:r>
        <w:lastRenderedPageBreak/>
        <w:t>SENTENCIA 133/2015, de 8 de junio de 2015</w:t>
      </w:r>
    </w:p>
    <w:bookmarkEnd w:id="136"/>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ECLI:ES:TC:2015:133</w:t>
      </w:r>
    </w:p>
    <w:p w:rsidR="0085709A" w:rsidRDefault="0085709A" w:rsidP="0085709A">
      <w:pPr>
        <w:pStyle w:val="TextoNormalCentrado"/>
      </w:pPr>
    </w:p>
    <w:p w:rsidR="0085709A" w:rsidRDefault="0085709A" w:rsidP="0085709A">
      <w:pPr>
        <w:pStyle w:val="SntesisDescriptiva"/>
      </w:pPr>
      <w:r>
        <w:t>Cuestión de inconstitucionalidad 6484-2014.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6484-2014,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30 de octubre de 2014 tuvo entrada en el Registro General de este Tribunal un oficio de la Sala de lo Social, con sede en Burgos, del Tribunal Superior de Justicia de Castilla y León al que se acompaña, junto con el testimonio del procedimiento núm. 229-2014, Auto de 8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Un pensionista interpuso demanda ante el Instituto Nacional de la Seguridad Social (INSS) en reclamación de actualización de sus pensiones, solicitando que se declarase el derecho a percibir la paga única compensatoria a que se refiere el apartado 1.2 del art. 48 de la Ley general de la Seguridad Social (LGSS), derivada de la diferencia que resulta entre el índice de precios al consumo (IPC) en función del cual se calculó dicha revalorización, que fue del 1 por 100, y el IPC acumulado correspondiente al período comprendido entre el 1 de diciembre de 2011 y el 30 noviembre de 2012. Asimismo, solicitaba que se declarase el derecho a que la revalorización de la pensión en 2013 fuera efectuada sobre la cuantía de la </w:t>
      </w:r>
      <w:r>
        <w:lastRenderedPageBreak/>
        <w:t>pensión a 1 de enero de 2012, actualizada con la diferencia que resulta entre el índice en función del cual se calculó la revalorización en aquella fecha, que fue del 1 por 100, y el índice de precios al consumo acumulado correspondiente al periodo comprendido entre el 1 de diciembre de 2011 y el 30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22 de mayo de 2014 estimando en parte la demanda, declarando “el derecho del demandante a que se considere como pensión del año 2012 la señalada en el apartado segundo del relato histórico de la presente incrementada en un 2,9 por 100 y que la misma sirva de base para el incremento acordado en los años 2013 y 2014” y, asimismo, el “derecho del actor a percibir las diferencias correspondientes al año 2012 que son la diferencia entre el 1 por 100 aplicado y el 2,9 por 100 debido”. Se condena al INSS a abonar al demandante el pago de una determinada cantidad que se especifica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del Tribunal Superior de Justicia de Castilla y León, con sede en Burgos, dictó providencia de 1 de octubre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w:t>
      </w:r>
    </w:p>
    <w:p w:rsidR="0085709A" w:rsidRDefault="0085709A" w:rsidP="0085709A">
      <w:pPr>
        <w:pStyle w:val="TextoNormal"/>
      </w:pPr>
    </w:p>
    <w:p w:rsidR="0085709A" w:rsidRDefault="0085709A" w:rsidP="0085709A">
      <w:pPr>
        <w:pStyle w:val="TextoNormal"/>
      </w:pPr>
      <w:r>
        <w:t>El Ministerio Fiscal mostró su conformidad con el planteamiento de la cuestión. El letrado de la Administración de la Seguridad Social, en nombre y representación del INSS, sostuvo que no existía vulneración de los arts. 9.3 y 33 CE. La parte actora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8 de octubre de 2014, la Sala de lo Social mencionada acordó plantear la presente cuestión de inconstitucionalidad. Del análisis de su contenido, interesa destacar los siguientes puntos:</w:t>
      </w:r>
    </w:p>
    <w:p w:rsidR="0085709A" w:rsidRDefault="0085709A" w:rsidP="0085709A">
      <w:pPr>
        <w:pStyle w:val="TextoNormal"/>
      </w:pPr>
    </w:p>
    <w:p w:rsidR="0085709A" w:rsidRDefault="0085709A" w:rsidP="0085709A">
      <w:pPr>
        <w:pStyle w:val="TextoNormal"/>
      </w:pPr>
      <w:r>
        <w:t>a)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deberá analizarse si, aun siendo de grado máximo, carece realmente de justificación habilitante, puesto que este Tribunal Constitucional admite que “la prohibición de retroactividad operaría plenamente y sólo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 xml:space="preserve">b) El Auto declara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evitar la pérdida </w:t>
      </w:r>
      <w:r>
        <w:lastRenderedPageBreak/>
        <w:t>del poder adquisitivo de la pensión que tiene derecho a percibir como consecuencia de su previa contribución al sistema, y este es el sistema de revalorizaciones de las pensiones. A él se refiere el art. 50 CE que, como consecuencia del incremento del coste de la vida en unos años, garantiza a las pensiones un derecho a la suficiencia, impidiendo así el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define el periodo que se debe tener en cuenta para el cálculo del índice de precios al consumo (“el periodo comprendido entre noviembre del ejercicio anterior y noviembre del ejercicio económico al que se refiere la revalorización”), enunciando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La misma regla establece el art. 27 de la Ley de clases pasivas  del Estado.</w:t>
      </w:r>
    </w:p>
    <w:p w:rsidR="0085709A" w:rsidRDefault="0085709A" w:rsidP="0085709A">
      <w:pPr>
        <w:pStyle w:val="TextoNormal"/>
      </w:pPr>
    </w:p>
    <w:p w:rsidR="0085709A" w:rsidRDefault="0085709A" w:rsidP="0085709A">
      <w:pPr>
        <w:pStyle w:val="TextoNormal"/>
      </w:pPr>
      <w:r>
        <w:t>Indica además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considera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Según el Auto,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w:t>
      </w:r>
      <w:r>
        <w:lastRenderedPageBreak/>
        <w:t>transcurrido el periodo previsto en el artículo 48 de la Ley General S.S.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Cuarta, acordó mediante providencia de 16 de diciembre de 2014 admitir a trámite la cuestión de inconstitucionalidad planteada. De conformidad al art. 10.1 c) de la Ley Orgánica del Tribunal Constitucional (LOTC), igualmente acordó deferir a la Sala Segunda, por turno objetivo, el conocimiento de la presente cuestión. Y, al amparo de lo previsto en el art. 37.3 LOTC, procedió a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Asimismo convino comunicar la resolución adoptada al órgano judicial que plantea la cuestión de inconstitucionalidad y publicar su incoación en el “Boletín Oficial del Estado” (“BOE” núm. 306, de 19 de diciembre de 2014).</w:t>
      </w:r>
    </w:p>
    <w:p w:rsidR="0085709A" w:rsidRDefault="0085709A" w:rsidP="0085709A">
      <w:pPr>
        <w:pStyle w:val="TextoNormal"/>
      </w:pPr>
    </w:p>
    <w:p w:rsidR="0085709A" w:rsidRDefault="0085709A" w:rsidP="0085709A">
      <w:pPr>
        <w:pStyle w:val="TextoNormal"/>
      </w:pPr>
      <w:r w:rsidRPr="0085709A">
        <w:rPr>
          <w:rStyle w:val="NumeroAFNegritaCaracter"/>
        </w:rPr>
        <w:t>5</w:t>
      </w:r>
      <w:r>
        <w:t>. El Abogado del Estado se personó en el presente proceso, mediante escrito de alegaciones registrado en el Tribunal el 26 de diciembre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refiriéndose a la configuración constitucional del sistema de Seguridad Social. Señala que dicho sistema, previsto en el art. 41 CE, está caracterizado constitucionalmente por consistir en una garantía institucional que deja al legislador su configuración en atención a las circunstancias económicas y sociales que son imperativas para su propia viabilidad y eficacia.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lastRenderedPageBreak/>
        <w:t>En relación con los derechos individuales, dice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general de presupuestos  del Estado”, esto es, la actualización no es automática sino que sólo podrá realizarse en los términos que fije la Ley de presupuestos generales. Se condiciona la existencia del derecho a que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sus características en función de las circunstancias económicas y sociales en cada momento y con la finalidad de asegurar la suficiencia y solvencia del sistema. En este marco, prosigue,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lastRenderedPageBreak/>
        <w:t>c) Sobre la base de la argumentación anterior, repasa el Abogado del Estado los tipos de retroactividad a que puede referirse el art. 9.3 CE y recuerda que la STC 182/1997, de 28 de octubre, delimitó en qué casos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señala, sobre la vulneración del art. 33 CE, que la alegada vulneración de este precepto parte de la consideración de la existencia de un derecho adquirido incorporado al patrimonio; por tanto y una vez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presentado en el Registro General de este Tribunal el 29 de diciembre de 2014, el Letrado de la Administración de la Seguridad Social se personó en nombre del Instituto Nacional de la Seguridad Social.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5 de enero de 2015,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el 15 de enero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27 de enero de 2015, el Presidente del Senado notificó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General del Estado presentó su escrito de alegaciones ante este Tribunal con fecha 20 de enero de 2015,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el Fiscal General delimitando el contenido de la cuestión. Resalta que, aunque en el auto de planteamiento el Tribunal Superior de Justicia cite el art. 86 CE, la providencia de 1 de octubre de 2014 que daba traslado a las partes de la duda de constitucionalidad nada decía sobre su supuesta infracción, tampoco desarrollada después en dicho Auto, de suerte que se trataría de un mero error. En realidad, prosigue, el órgano judicial cuestiona el art. 2.1 del Real-Decreto-ley 28/2012, de 30 de noviembre, y este precepto hace referencia a la suspensión de lo previsto en el art. 48 apartado 1.1 de la Ley General de Seguridad Social, y lo dispuesto en el art. 27 apartado 1, párrafo segundo, de la Ley de </w:t>
      </w:r>
      <w:r>
        <w:lastRenderedPageBreak/>
        <w:t>clases pasivas del Estado. Estos dos preceptos, cuya suspensión se acuerda, contienen dos reglas distintas, una primera relativa al sistema de revalorización anual de las pensiones que cada norma regula y una segunda relativa a la llamada “paga compensatoria única” que se establece para compensar la pérdida adquisitiva que el pensionista haya podido sufrir en el periodo del último año. Sin embargo, el Tribunal cuestionante no dice claramente cuál de las dos reglas es la que se considera que puede ser contraria a los arts. 9.3 y 33 CE. A su juicio, debe entenderse que cuestiona la norma en la que el legislador fija la forma de actualización anual de las pensiones, la prevista para el año siguiente, concretamente en el caso que nos ocupa para el año 2013. A esta revalorización se refiere continuamente el órgano judicial, mientras que la otra regla, la de determinación de la paga compensatoria, sólo incidentalmente se menciona. El Tribunal considera que los derechos que nacen de ambas reglas, la de revalorización anual y la de fijación de paga única compensatoria, gozan de la misma naturaleza y se consolidan simultáneamente en el tiempo, pero en su opinión esto no es cierto por lo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Y destaca de la doctrina constitucional que no existe una imposibilidad de revisar las normas fiscales o económicas,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no comparte que en el caso que nos ocupa sea obvia la vulneración por parte del Decreto-ley, cuando suspende las normas generales del art. 48 LGSS, de la retroactividad. Parte en sus alegaciones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real del IPC en el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cuestione esta suspensión como infractora de la Constitución Española, no puede compartirse ese cuestionamiento. Sin embargo, cosa distinta es la decisión de suspender la aplicación de la paga única que debería realizarse antes del l de abril de 2013, pero que se determina con arreglo al aumento del índice de precios comprendido entre los días 1 de diciembre de 2011 y 30 de noviembre de 2012; teniendo en cuenta que el Decreto entra en vigor el 1 de diciembre de 2012, se está incurriendo, en efecto, en supuesto de retroactividad auténtica, ya que se vinculan efectos a un hecho ya consumado y consolidado.</w:t>
      </w:r>
    </w:p>
    <w:p w:rsidR="0085709A" w:rsidRDefault="0085709A" w:rsidP="0085709A">
      <w:pPr>
        <w:pStyle w:val="TextoNormal"/>
      </w:pPr>
    </w:p>
    <w:p w:rsidR="0085709A" w:rsidRDefault="0085709A" w:rsidP="0085709A">
      <w:pPr>
        <w:pStyle w:val="TextoNormal"/>
      </w:pPr>
      <w: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w:t>
      </w:r>
      <w:r>
        <w:lastRenderedPageBreak/>
        <w:t>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Esto es,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efectuar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la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27 de enero de 2015.</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subraya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la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 xml:space="preserve">Recuerda que este Tribunal Constitucional ha tenido ocasión de establecer una doctrina respecto al mantenimiento de los derechos adquiridos y la prohibición de la irretroactividad </w:t>
      </w:r>
      <w:r>
        <w:lastRenderedPageBreak/>
        <w:t>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Añade que de la jurisprudencia constitucional se desprende que no existe una exigencia constitucional que obligue necesariamente a revalorizar las pensiones.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más tarde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El art. 48.1 LGSS, en la redacción vigente en la fecha del proceso, establece respecto a la revalorización de las pensiones contributivas que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fija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en coherencia con la doctrina del Tribunal Constitucional plasmada en las SSTC 134/1987 y 97/1990, el legislador toma la precaución de condicionar la medida a la ponderación de las disponibilidades presupuestarias y de las necesidades sociales, de manera que supedita su efectividad a que se contemple la actualización de la diferencia y del pago único en la correspondiente Ley de presupuestos generales del año siguiente. En este sentido, los dos incisos del apartado 1 del art. 48 LGSS exigen una interpretación conjunta, de manera que la efectividad de los derechos programados se subordina al principio de legalidad presupuestaria.</w:t>
      </w:r>
    </w:p>
    <w:p w:rsidR="0085709A" w:rsidRDefault="0085709A" w:rsidP="0085709A">
      <w:pPr>
        <w:pStyle w:val="TextoNormal"/>
      </w:pPr>
    </w:p>
    <w:p w:rsidR="0085709A" w:rsidRDefault="0085709A" w:rsidP="0085709A">
      <w:pPr>
        <w:pStyle w:val="TextoNormal"/>
      </w:pPr>
      <w:r>
        <w:t xml:space="preserve">Por tanto, la regla establecida en el art. 48.1.1 LGSS se configura como una norma programática cuya efectividad e imperatividad dependen de la disposición normativa que se efectúe en la correspondiente Ley de presupuestos generales del Estado de cada ejercicio. La Ley general de la Seguridad Social no exige, explícitamente, que el complemento de actualización sea necesariamente equivalente a la diferencia entre el IPC previsto y el IPC real. La existencia de tal diferencia será uno de los requisitos para el eventual nacimiento </w:t>
      </w:r>
      <w:r>
        <w:lastRenderedPageBreak/>
        <w:t>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dispone que para que quede colmado el derecho a la actualización de las pensiones y al percibo del complemento adicional resulta preciso que su reconocimiento se incorpore a la Ley de presupuestos generales del Estado del año siguiente. En tal sentido, entender que la Ley de presupuestos generales del Estado ha de ser un mero trasunto contable de la obligación legal contenida en la LGSS, al margen de contravenir lo dispuesto expresamente en el art. 48.1.2 de la Ley general de la Seguridad Social,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Lo que hace el art. 48.1.2 LGSS es cuantificar la diferencia entre los IPC previstos y reales tomando como período de cálculo del incremento de los precios entre diciembre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La actualización por diferencias en la revalorización y el nacimiento del derecho a la paga nacen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tales,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Sala de lo Social con sede en Burgos del Tribunal Superior de Justicia de Castilla y León plantea cuestión de inconstitucionalidad respecto del art. 2.1 del Real Decreto-ley </w:t>
      </w:r>
      <w:r>
        <w:lastRenderedPageBreak/>
        <w:t>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Según señala la mencionada Sentencia, para valorar si la norma cuestionada vulnera el art. 9.3 CE es necesario determinar con carácter previo si, en el momento en que se dictó el Real Decreto-ley 28/2012, de 30 de noviembre, los pensionistas tenían una mera expectativa de derecho a recibir la diferencia entre el índice de precios al consumo (IPC) real y el IPC estimado para el año 2012 o, si por el contrario, tenían un derecho consolidado, asumido e integrado en su patrimonio. A este respecto, afirma la Sentencia que los arts. 48.1.2 de la Ley general de la Seguridad Social (LGSS) y 27.1 del texto refundido de la Ley de clases pasivas del Estado no proceden a reconocer de forma automática a los pensionistas el derecho a recibir la diferencia entre el IPC estimado y el IPC real, sino que ambos preceptos se remiten a la Ley de presupuestos generales del Estado. La expresión “de acuerdo con lo que establezca la Ley de Presupuestos Generales del Estado” contenida en dichos pasajes legales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E igualmente rememora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0085709A" w:rsidRDefault="0085709A" w:rsidP="0085709A">
      <w:pPr>
        <w:pStyle w:val="TextoNormal"/>
      </w:pPr>
    </w:p>
    <w:p w:rsidR="0085709A" w:rsidRDefault="0085709A" w:rsidP="0085709A">
      <w:pPr>
        <w:pStyle w:val="TextoNormal"/>
      </w:pPr>
      <w:r>
        <w:t xml:space="preserve">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afirmando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y dado que cuando se </w:t>
      </w:r>
      <w:r>
        <w:lastRenderedPageBreak/>
        <w:t>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el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Fernando Valdés Dal-Ré a la Sentencia dictada en la cuestión de inconstitucionalidad núm. 6484-2014.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lastRenderedPageBreak/>
        <w:br w:type="page"/>
      </w:r>
    </w:p>
    <w:p w:rsidR="0085709A" w:rsidRDefault="0085709A" w:rsidP="0085709A">
      <w:pPr>
        <w:pStyle w:val="TtuloResolucin"/>
      </w:pPr>
      <w:bookmarkStart w:id="137" w:name="SENTENCIA_2015_134"/>
      <w:r>
        <w:lastRenderedPageBreak/>
        <w:t>SENTENCIA 134/2015, de 8 de junio de 2015</w:t>
      </w:r>
    </w:p>
    <w:bookmarkEnd w:id="137"/>
    <w:p w:rsidR="0085709A" w:rsidRDefault="0085709A" w:rsidP="0085709A">
      <w:pPr>
        <w:pStyle w:val="TtuloResolucin"/>
      </w:pPr>
      <w:r>
        <w:t>Sala Segunda</w:t>
      </w:r>
    </w:p>
    <w:p w:rsidR="0085709A" w:rsidRDefault="0085709A" w:rsidP="0085709A">
      <w:pPr>
        <w:pStyle w:val="TtuloBOE"/>
      </w:pPr>
      <w:r>
        <w:t>(BOE núm. 160, de 6 de julio de 2015)</w:t>
      </w:r>
    </w:p>
    <w:p w:rsidR="0085709A" w:rsidRDefault="0085709A" w:rsidP="0085709A">
      <w:pPr>
        <w:pStyle w:val="TextoNormalCentrado"/>
      </w:pPr>
      <w:r>
        <w:t>ECLI:ES:TC:2015:134</w:t>
      </w:r>
    </w:p>
    <w:p w:rsidR="0085709A" w:rsidRDefault="0085709A" w:rsidP="0085709A">
      <w:pPr>
        <w:pStyle w:val="TextoNormalCentrado"/>
      </w:pPr>
    </w:p>
    <w:p w:rsidR="0085709A" w:rsidRDefault="0085709A" w:rsidP="0085709A">
      <w:pPr>
        <w:pStyle w:val="SntesisDescriptiva"/>
      </w:pPr>
      <w:r>
        <w:t>Cuestión de inconstitucionalidad 6721-2014.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6721-2014,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noviembre de 2014 tuvo entrada en el Registro General de este Tribunal un oficio de la Sala de lo Social, con sede en Burgos, del Tribunal Superior de Justicia de Castilla y León al que se acompaña, junto con el testimonio del procedimiento núm. 165-2014, Auto de 29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 xml:space="preserve">a) Dos pensionistas interpusieron demanda ante el Instituto Nacional de la Seguridad Social (INSS) en reclamación de actualización de sus pensiones, solicitando que se declarase el derecho a percibir la paga única compensatoria a que se refiere el apartado 1.2 del art. 48 de la Ley general de la Seguridad Social (LGSS), derivada de la diferencia que resulta entre el índice de precios al consumo (IPC) en función del cual se calculó dicha revalorización, que fue del 1 por 100, y el IPC acumulado correspondiente al período comprendido entre el 1 de diciembre de 2011 y el 30 de noviembre de 2012. Asimismo, solicitaban que se declarase el derecho a que la revalorización de la pensión en 2013 fuera efectuada sobre </w:t>
      </w:r>
      <w:r>
        <w:lastRenderedPageBreak/>
        <w:t>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el 1 de diciembre de 2011 y el 30 de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28 de abril de 2014 estimando en parte la demanda de uno de ellos, teniendo por desistida a la otra actora, y declarando respecto de aquél “el derecho del demandante a que se considere como pensión del año 2012 la señalada en el apartado segundo del relato histórico de la presente incrementada en un 2,9 por 100 y que la misma sirva de base para el incremento acordado en los años 2013 y 2014” y, asimismo, el “derecho del actor a percibir las diferencias correspondientes al año 2012 que son la diferencia entre el 1 por 100 aplicado y el 2,9 por 100 debido”. Se condena al INSS a abonar al demandante el pago de una determinada cantidad que se especifica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del Tribunal Superior de Justicia de Castilla y León, con sede en Burgos, dictó providencia de 8 de octubre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w:t>
      </w:r>
    </w:p>
    <w:p w:rsidR="0085709A" w:rsidRDefault="0085709A" w:rsidP="0085709A">
      <w:pPr>
        <w:pStyle w:val="TextoNormal"/>
      </w:pPr>
    </w:p>
    <w:p w:rsidR="0085709A" w:rsidRDefault="0085709A" w:rsidP="0085709A">
      <w:pPr>
        <w:pStyle w:val="TextoNormal"/>
      </w:pPr>
      <w:r>
        <w:t>El Ministerio Fiscal mostró su conformidad con el planteamiento de la cuestión. El Letrado de la Administración de la Seguridad Social, en nombre y representación del INSS, sostuvo que no existía vulneración de los arts. 9.3 y 33 CE, justamente lo contrario de lo que postuló en su escrito de alegaciones la representación procesal de la parte actora.</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29 de octubre de 2014, la Sala de lo Social mencionada acordó plantear la presente cuestión de inconstitucionalidad. Del análisis de su contenido interesa destacar los siguientes puntos:</w:t>
      </w:r>
    </w:p>
    <w:p w:rsidR="0085709A" w:rsidRDefault="0085709A" w:rsidP="0085709A">
      <w:pPr>
        <w:pStyle w:val="TextoNormal"/>
      </w:pPr>
    </w:p>
    <w:p w:rsidR="0085709A" w:rsidRDefault="0085709A" w:rsidP="0085709A">
      <w:pPr>
        <w:pStyle w:val="TextoNormal"/>
      </w:pPr>
      <w:r>
        <w:t>a)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deberá analizarse si, aun siendo de grado máximo, carece realmente de justificación habilitante, puesto que este Tribunal Constitucional admite que “la prohibición de retroactividad operaría plenamente y sólo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 xml:space="preserve">b) El Auto declara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w:t>
      </w:r>
      <w:r>
        <w:lastRenderedPageBreak/>
        <w:t>trabajador pasa a la situación de jubilación se establece un mecanismo para evitar la pérdida del poder adquisitivo de la pensión que tiene derecho a percibir como consecuencia de su previa contribución al sistema, y este es el sistema de revalorizaciones de las pensiones. A él se refiere el art. 50 CE que, como consecuencia del incremento del coste de la vida en unos años, garantiza a las pensiones un derecho a la suficiencia, impidiendo el empobrecimiento de los pensionistas.</w:t>
      </w:r>
    </w:p>
    <w:p w:rsidR="0085709A" w:rsidRDefault="0085709A" w:rsidP="0085709A">
      <w:pPr>
        <w:pStyle w:val="TextoNormal"/>
      </w:pPr>
    </w:p>
    <w:p w:rsidR="0085709A" w:rsidRDefault="0085709A" w:rsidP="0085709A">
      <w:pPr>
        <w:pStyle w:val="TextoNormal"/>
      </w:pPr>
      <w:r>
        <w:t>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define el periodo que se debe tener en cuenta para el cálculo del índice de precios al consumo (“el periodo comprendido entre noviembre del ejercicio anterior y noviembre del ejercicio económico al que se refiere la revalorización”), enunciando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La misma regla establece el art. 27 de la Ley de clases pasivas del Estado.</w:t>
      </w:r>
    </w:p>
    <w:p w:rsidR="0085709A" w:rsidRDefault="0085709A" w:rsidP="0085709A">
      <w:pPr>
        <w:pStyle w:val="TextoNormal"/>
      </w:pPr>
    </w:p>
    <w:p w:rsidR="0085709A" w:rsidRDefault="0085709A" w:rsidP="0085709A">
      <w:pPr>
        <w:pStyle w:val="TextoNormal"/>
      </w:pPr>
      <w:r>
        <w:t>Indica además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Sentado lo anterior, el órgano judicial considera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Según el Auto,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Por todo ello, la Sala acuerda elevar cuestión de inconstitucionalidad en los siguientes términos:</w:t>
      </w:r>
    </w:p>
    <w:p w:rsidR="0085709A" w:rsidRDefault="0085709A" w:rsidP="0085709A">
      <w:pPr>
        <w:pStyle w:val="TextoNormal"/>
      </w:pPr>
    </w:p>
    <w:p w:rsidR="0085709A" w:rsidRDefault="0085709A" w:rsidP="0085709A">
      <w:pPr>
        <w:pStyle w:val="TextoNormal"/>
      </w:pPr>
      <w: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w:t>
      </w:r>
      <w:r>
        <w:lastRenderedPageBreak/>
        <w:t>Ley de Clases Pasivas y como quiera que el Real Decreto entró en vigor 1-12-2012, una vez transcurrido el periodo previsto en el artículo 48 de la Ley General S.S. para llevar a cabo la aplicación de la Anualidad (nov-2011-nov 2012) y que la Ley 2/2012 de 29 de junio de Presupuestos generales del Estado para el año 2012, ninguna previsión realiza para el mantenimiento del poder adquisitivo de las pensiones, vulnera:</w:t>
      </w:r>
    </w:p>
    <w:p w:rsidR="0085709A" w:rsidRDefault="0085709A" w:rsidP="0085709A">
      <w:pPr>
        <w:pStyle w:val="TextoNormal"/>
      </w:pPr>
    </w:p>
    <w:p w:rsidR="0085709A" w:rsidRDefault="0085709A" w:rsidP="0085709A">
      <w:pPr>
        <w:pStyle w:val="TextoNormal"/>
      </w:pPr>
      <w:r>
        <w:t>a) lo dispuesto en el artículo 9.3 de la Constitución española por el que se garantiza la irretroactividad de las disposiciones restrictivas de derechos fundamentales individuales, y</w:t>
      </w:r>
    </w:p>
    <w:p w:rsidR="0085709A" w:rsidRDefault="0085709A" w:rsidP="0085709A">
      <w:pPr>
        <w:pStyle w:val="TextoNormal"/>
      </w:pPr>
    </w:p>
    <w:p w:rsidR="0085709A" w:rsidRDefault="0085709A" w:rsidP="0085709A">
      <w:pPr>
        <w:pStyle w:val="TextoNormal"/>
      </w:pPr>
      <w:r>
        <w:t>b) el artículo 33 de la C.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Cuarta, acordó mediante providencia de 16 de diciembre de 2014 admitir a trámite la cuestión de inconstitucionalidad planteada. De conformidad al art. 10.1 c) de la Ley Orgánica del Tribunal Constitucional (LOTC), igualmente acordó deferir a la Sala Segunda, por turno objetivo, el conocimiento de la presente cuestión. Y, al amparo de lo previsto en el art. 37.3 LOTC, procedió a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Asimismo convino comunicar la resolución adoptada al órgano judicial que plantea la cuestión de inconstitucionalidad y publicar su incoación en el “Boletín Oficial del Estado” (“BOE” núm. 306, de 19 de diciembre de 2014).</w:t>
      </w:r>
    </w:p>
    <w:p w:rsidR="0085709A" w:rsidRDefault="0085709A" w:rsidP="0085709A">
      <w:pPr>
        <w:pStyle w:val="TextoNormal"/>
      </w:pPr>
    </w:p>
    <w:p w:rsidR="0085709A" w:rsidRDefault="0085709A" w:rsidP="0085709A">
      <w:pPr>
        <w:pStyle w:val="TextoNormal"/>
      </w:pPr>
      <w:r w:rsidRPr="0085709A">
        <w:rPr>
          <w:rStyle w:val="NumeroAFNegritaCaracter"/>
        </w:rPr>
        <w:t>5</w:t>
      </w:r>
      <w:r>
        <w:t>. El Abogado del Estado se personó en el presente proceso, mediante escrito de alegaciones registrado en el Tribunal el 26 de diciembre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a) Comienza su escrito refiriéndose a la configuración constitucional del sistema de Seguridad Social. Señala que dicho sistema, previsto en el art. 41 CE, está caracterizado constitucionalmente por consistir en una garantía institucional que deja al legislador su configuración en atención a las circunstancias económicas y sociales que son imperativas para su propia viabilidad y eficacia. Cita en este sentido varias Sentencias del Tribunal Constitucional.</w:t>
      </w:r>
    </w:p>
    <w:p w:rsidR="0085709A" w:rsidRDefault="0085709A" w:rsidP="0085709A">
      <w:pPr>
        <w:pStyle w:val="TextoNormal"/>
      </w:pPr>
    </w:p>
    <w:p w:rsidR="0085709A" w:rsidRDefault="0085709A" w:rsidP="0085709A">
      <w:pPr>
        <w:pStyle w:val="TextoNormal"/>
      </w:pPr>
      <w:r>
        <w:t>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0085709A" w:rsidRDefault="0085709A" w:rsidP="0085709A">
      <w:pPr>
        <w:pStyle w:val="TextoNormal"/>
      </w:pPr>
    </w:p>
    <w:p w:rsidR="0085709A" w:rsidRDefault="0085709A" w:rsidP="0085709A">
      <w:pPr>
        <w:pStyle w:val="TextoNormal"/>
      </w:pPr>
      <w:r>
        <w:lastRenderedPageBreak/>
        <w:t>En relación con los derechos individuales, dice el Abogado del Estado que el Tribunal Constitucional los identifica con los “derechos fundamentales y libertades públicas o la esfera general de protección de la persona”, considerando que el calificativo “restrictivo” tiene un cierto matiz sancionador (STC 43/1986).</w:t>
      </w:r>
    </w:p>
    <w:p w:rsidR="0085709A" w:rsidRDefault="0085709A" w:rsidP="0085709A">
      <w:pPr>
        <w:pStyle w:val="TextoNormal"/>
      </w:pPr>
    </w:p>
    <w:p w:rsidR="0085709A" w:rsidRDefault="0085709A" w:rsidP="0085709A">
      <w:pPr>
        <w:pStyle w:val="TextoNormal"/>
      </w:pPr>
      <w:r>
        <w:t>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0085709A" w:rsidRDefault="0085709A" w:rsidP="0085709A">
      <w:pPr>
        <w:pStyle w:val="TextoNormal"/>
      </w:pPr>
    </w:p>
    <w:p w:rsidR="0085709A" w:rsidRDefault="0085709A" w:rsidP="0085709A">
      <w:pPr>
        <w:pStyle w:val="TextoNormal"/>
      </w:pPr>
      <w:r>
        <w:t>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Se condiciona la existencia del derecho a que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0085709A" w:rsidRDefault="0085709A" w:rsidP="0085709A">
      <w:pPr>
        <w:pStyle w:val="TextoNormal"/>
      </w:pPr>
    </w:p>
    <w:p w:rsidR="0085709A" w:rsidRDefault="0085709A" w:rsidP="0085709A">
      <w:pPr>
        <w:pStyle w:val="TextoNormal"/>
      </w:pPr>
      <w:r>
        <w:t>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No podría ser de otra manera ya que será la Ley de presupuestos de cada ejercicio quien fijará los “gastos” a cargo del Estado, que integran el contenido mínimo esencial de la propia ley.</w:t>
      </w:r>
    </w:p>
    <w:p w:rsidR="0085709A" w:rsidRDefault="0085709A" w:rsidP="0085709A">
      <w:pPr>
        <w:pStyle w:val="TextoNormal"/>
      </w:pPr>
    </w:p>
    <w:p w:rsidR="0085709A" w:rsidRDefault="0085709A" w:rsidP="0085709A">
      <w:pPr>
        <w:pStyle w:val="TextoNormal"/>
      </w:pPr>
      <w:r>
        <w:t>La conceptualización de esta actualización como una mera expectativa encaja, a juicio del Abogado del Estado, en la forma en que la Constitución ha regulado el sistema de Seguridad Social, donde se deja al legislador un amplísimo margen para definir sus características en función de las circunstancias económicas y sociales en cada momento y con la finalidad de asegurar la suficiencia y solvencia del sistema. En este marco, prosigue,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0085709A" w:rsidRDefault="0085709A" w:rsidP="0085709A">
      <w:pPr>
        <w:pStyle w:val="TextoNormal"/>
      </w:pPr>
    </w:p>
    <w:p w:rsidR="0085709A" w:rsidRDefault="0085709A" w:rsidP="0085709A">
      <w:pPr>
        <w:pStyle w:val="TextoNormal"/>
      </w:pPr>
      <w:r>
        <w:t>Recuerda que se exigiría, además, que la medida eventualmente restrictiva fuera, a su vez, de “matiz sancionador”, circunstancia que no concurriría en el supuesto objeto de debate cuya única finalidad es garantizar la viabilidad y suficiencia del Sistema.</w:t>
      </w:r>
    </w:p>
    <w:p w:rsidR="0085709A" w:rsidRDefault="0085709A" w:rsidP="0085709A">
      <w:pPr>
        <w:pStyle w:val="TextoNormal"/>
      </w:pPr>
    </w:p>
    <w:p w:rsidR="0085709A" w:rsidRDefault="0085709A" w:rsidP="0085709A">
      <w:pPr>
        <w:pStyle w:val="TextoNormal"/>
      </w:pPr>
      <w:r>
        <w:lastRenderedPageBreak/>
        <w:t>c) Sobre la base de la argumentación anterior, repasa el Abogado del Estado los tipos de retroactividad a que puede referirse el art. 9.3 CE y recuerda que la STC 182/1997, de 28 de octubre, delimitó en qué casos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0085709A" w:rsidRDefault="0085709A" w:rsidP="0085709A">
      <w:pPr>
        <w:pStyle w:val="TextoNormal"/>
      </w:pPr>
    </w:p>
    <w:p w:rsidR="0085709A" w:rsidRDefault="0085709A" w:rsidP="0085709A">
      <w:pPr>
        <w:pStyle w:val="TextoNormal"/>
      </w:pPr>
      <w:r>
        <w:t>d) Por último señala, sobre la vulneración del art. 33 CE, que la alegada vulneración de este precepto parte de la consideración de la existencia de un derecho adquirido incorporado al patrimonio; por tanto y una vez argumentada la inexistencia de tal derecho adquirido, no concurre el juego del art. 33 CE alegado.</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presentado en el Registro de este Tribunal el 29 de diciembre de 2014 el Letrado de la Administración de la Seguridad Social se personó en nombre del Instituto Nacional de la Seguridad Social.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12 de enero de 2015,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Por escrito registrado el 15 de enero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27 de enero de 2015, el Presidente del Senado notificó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General del Estado presentó su escrito de alegaciones ante este Tribunal con fecha 15 de enero de 2015,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el Fiscal General delimitando el contenido de la cuestión. Resalta que, aunque en el auto de planteamiento el Tribunal Superior de Justicia cite el art. 86 CE, la providencia de 8 de octubre de 2014 que daba traslado a las partes de la duda de constitucionalidad nada decía sobre su supuesta infracción, tampoco desarrollada después en dicho Auto, de suerte que se trataría de un mero error. En realidad, prosigue, el órgano judicial cuestiona el art. 2.1 del Real-Decreto-ley 28/2012, de 30 de noviembre, y este precepto hace referencia a la suspensión de lo previsto en el art. 48 apartado 1.1 de la Ley general de Seguridad Social, y lo dispuesto en el art. 27 apartado, 1 párrafo, segundo de la Ley de </w:t>
      </w:r>
      <w:r>
        <w:lastRenderedPageBreak/>
        <w:t>clases pasivas del Estado. Estos dos preceptos, cuya suspensión se acuerda, contienen dos reglas distintas, una primera relativa al sistema de revalorización anual de las pensiones que cada norma regula y una segunda relativa a la llamada “paga compensatoria única” que se establece para compensar la pérdida adquisitiva que el pensionista haya podido sufrir en el periodo del último año. Sin embargo, el Tribunal cuestionante no dice claramente cuál de las dos reglas es la que se considera que puede ser contraria a los arts. 9.3 y 33 CE. A su juicio, debe entenderse que cuestiona la norma en la que el legislador fija la forma de actualización anual de las pensiones, la prevista para el año siguiente, concretamente en el caso que nos ocupa para el año 2013. A esta revalorización se refiere continuamente el órgano judicial, mientras que la otra regla, la de determinación de la paga compensatoria, sólo incidentalmente se menciona. El Tribunal considera que los derechos que nacen de ambas reglas, la de revalorización anual y la de fijación de paga única compensatoria, gozan de la misma naturaleza y se consolidan simultáneamente en el tiempo, pero en su opinión esto no es cierto por lo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Y destaca de la doctrina constitucional que no existe una imposibilidad de revisar las normas fiscales o económicas, pues lo contrario supondría en la práctica impedir a los órganos de gobierno ejecutar una verdadera política económica.</w:t>
      </w:r>
    </w:p>
    <w:p w:rsidR="0085709A" w:rsidRDefault="0085709A" w:rsidP="0085709A">
      <w:pPr>
        <w:pStyle w:val="TextoNormal"/>
      </w:pPr>
    </w:p>
    <w:p w:rsidR="0085709A" w:rsidRDefault="0085709A" w:rsidP="0085709A">
      <w:pPr>
        <w:pStyle w:val="TextoNormal"/>
      </w:pPr>
      <w:r>
        <w:t>El Fiscal General del Estado no comparte que en el caso que nos ocupa sea obvia la vulneración por parte del Decreto-ley, cuando suspende las normas generales del art. 48 LGSS, de la retroactividad. Parte en sus alegaciones de la distinta índole de ambas retroacciones. La primera sería de las denominadas impropias, ya que la suspensión busca causar el efecto de que las pensiones del año 2013 no se incrementen más del 1 por ciento, (excepcionalmente el 2 por ciento), pero aunque lo relaciona con un hecho actual, cual es la fijación del aumento real del IPC en el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cuestione esta suspensión como infractora de la Constitución, no puede compartirse ese cuestionamiento. Sin embargo, cosa distinta es la decisión de suspender la aplicación de la paga única que debería realizarse antes del l de abril de 2013, pero que se determina con arreglo al aumento del índice de precios comprendido entre los días 1 de diciembre de 2011 y 30 de noviembre de 2012; teniendo en cuenta que el Decreto entra en vigor el 1 de diciembre de 2012, se está incurriendo, en efecto, en supuesto de retroactividad auténtica, ya que se vinculan efectos a un hecho ya consumado y consolidado.</w:t>
      </w:r>
    </w:p>
    <w:p w:rsidR="0085709A" w:rsidRDefault="0085709A" w:rsidP="0085709A">
      <w:pPr>
        <w:pStyle w:val="TextoNormal"/>
      </w:pPr>
    </w:p>
    <w:p w:rsidR="0085709A" w:rsidRDefault="0085709A" w:rsidP="0085709A">
      <w:pPr>
        <w:pStyle w:val="TextoNormal"/>
      </w:pPr>
      <w: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w:t>
      </w:r>
      <w:r>
        <w:lastRenderedPageBreak/>
        <w:t>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Esto es, si no se hizo antes el pago es porque faltaba la constatación matemática de la cuantía; como depende del índice de precios al consumo, la cuantía de este no se podía conocer hasta esa fecha de 30 de noviembre.</w:t>
      </w:r>
    </w:p>
    <w:p w:rsidR="0085709A" w:rsidRDefault="0085709A" w:rsidP="0085709A">
      <w:pPr>
        <w:pStyle w:val="TextoNormal"/>
      </w:pPr>
    </w:p>
    <w:p w:rsidR="0085709A" w:rsidRDefault="0085709A" w:rsidP="0085709A">
      <w:pPr>
        <w:pStyle w:val="TextoNormal"/>
      </w:pPr>
      <w:r>
        <w:t>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efectuar el apunte contable. No se deja pendiente de aprobación de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la que entiende el Fiscal General ha incurrido el legislador en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27 de enero de 2015.</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la aplicación del principio de irretroactividad en el sistema normativo de la Seguridad Social.</w:t>
      </w:r>
    </w:p>
    <w:p w:rsidR="0085709A" w:rsidRDefault="0085709A" w:rsidP="0085709A">
      <w:pPr>
        <w:pStyle w:val="TextoNormal"/>
      </w:pPr>
    </w:p>
    <w:p w:rsidR="0085709A" w:rsidRDefault="0085709A" w:rsidP="0085709A">
      <w:pPr>
        <w:pStyle w:val="TextoNormal"/>
      </w:pPr>
      <w:r>
        <w:t>Así, subraya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la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0085709A" w:rsidRDefault="0085709A" w:rsidP="0085709A">
      <w:pPr>
        <w:pStyle w:val="TextoNormal"/>
      </w:pPr>
    </w:p>
    <w:p w:rsidR="0085709A" w:rsidRDefault="0085709A" w:rsidP="0085709A">
      <w:pPr>
        <w:pStyle w:val="TextoNormal"/>
      </w:pPr>
      <w:r>
        <w:t xml:space="preserve">Recuerda que este Tribunal Constitucional ha tenido ocasión de establecer una doctrina respecto al mantenimiento de los derechos adquiridos y la prohibición de la irretroactividad </w:t>
      </w:r>
      <w:r>
        <w:lastRenderedPageBreak/>
        <w:t>de las normas restrictivas de derechos individuales en materia de Seguridad Social en diversas Sentencias, entre las que cita las SSTC 89/2009, de 20 de abril; 66/1990, de 5 de abril; 134/1987, de 21 de julio y 65/1987, de 21 de mayo.</w:t>
      </w:r>
    </w:p>
    <w:p w:rsidR="0085709A" w:rsidRDefault="0085709A" w:rsidP="0085709A">
      <w:pPr>
        <w:pStyle w:val="TextoNormal"/>
      </w:pPr>
    </w:p>
    <w:p w:rsidR="0085709A" w:rsidRDefault="0085709A" w:rsidP="0085709A">
      <w:pPr>
        <w:pStyle w:val="TextoNormal"/>
      </w:pPr>
      <w:r>
        <w:t>Añade que de la jurisprudencia constitucional se desprende que no existe una exigencia constitucional que obligue necesariamente a revalorizar las pensiones.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0085709A" w:rsidRDefault="0085709A" w:rsidP="0085709A">
      <w:pPr>
        <w:pStyle w:val="TextoNormal"/>
      </w:pPr>
    </w:p>
    <w:p w:rsidR="0085709A" w:rsidRDefault="0085709A" w:rsidP="0085709A">
      <w:pPr>
        <w:pStyle w:val="TextoNormal"/>
      </w:pPr>
      <w:r>
        <w:t>Afirma más tarde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En determinadas circunstancias una medida como la controvertida puede hacer posible el mantenimiento de los rasgos esenciales del sistema.</w:t>
      </w:r>
    </w:p>
    <w:p w:rsidR="0085709A" w:rsidRDefault="0085709A" w:rsidP="0085709A">
      <w:pPr>
        <w:pStyle w:val="TextoNormal"/>
      </w:pPr>
    </w:p>
    <w:p w:rsidR="0085709A" w:rsidRDefault="0085709A" w:rsidP="0085709A">
      <w:pPr>
        <w:pStyle w:val="TextoNormal"/>
      </w:pPr>
      <w:r>
        <w:t>El art. 48.1 LGSS, en la redacción vigente en la fecha del proceso, establece respecto a la revalorización de las pensiones contributivas que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fija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en coherencia con la doctrina del Tribunal Constitucional plasmada en las SSTC 134/1987 y 97/1990, el legislador toma la precaución de condicionar la medida a la ponderación de las disponibilidades presupuestarias y de las necesidades sociales, de manera que supedita su efectividad a que se contemple la actualización de la diferencia y del pago único en la correspondiente Ley de presupuestos generales del año siguiente. En este sentido, los dos incisos del apartado 1 del art. 48 LGSS exigen una interpretación conjunta, de manera que la efectividad de los derechos programados se subordina al principio de legalidad presupuestaria.</w:t>
      </w:r>
    </w:p>
    <w:p w:rsidR="0085709A" w:rsidRDefault="0085709A" w:rsidP="0085709A">
      <w:pPr>
        <w:pStyle w:val="TextoNormal"/>
      </w:pPr>
    </w:p>
    <w:p w:rsidR="0085709A" w:rsidRDefault="0085709A" w:rsidP="0085709A">
      <w:pPr>
        <w:pStyle w:val="TextoNormal"/>
      </w:pPr>
      <w:r>
        <w:t xml:space="preserve">Por tanto, la regla establecida en el art. 48.1.1 LGSS se configura como una norma programática cuya efectividad e imperatividad dependen de la disposición normativa que se efectúe en la correspondiente Ley de presupuestos generales del Estado de cada ejercicio. La LGSS no exige, explícitamente, que el complemento de actualización sea necesariamente equivalente a la diferencia entre el IPC previsto y el IPC real. La existencia de tal </w:t>
      </w:r>
      <w:r>
        <w:lastRenderedPageBreak/>
        <w:t>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Insiste en señalar que la norma dispone que para que quede colmado el derecho a la actualización de las pensiones y al percibo del complemento adicional resulta preciso que su reconocimiento se incorpore a la Ley de presupuestos generales del Estado del año siguiente. En tal sentido, entender que la Ley de presupuestos generales del Estado ha de ser un mero trasunto contable de la obligación legal contenida en la LGSS, al margen de contravenir lo dispuesto expresamente en el art. 48.1.2 de la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0085709A" w:rsidRDefault="0085709A" w:rsidP="0085709A">
      <w:pPr>
        <w:pStyle w:val="TextoNormal"/>
      </w:pPr>
    </w:p>
    <w:p w:rsidR="0085709A" w:rsidRDefault="0085709A" w:rsidP="0085709A">
      <w:pPr>
        <w:pStyle w:val="TextoNormal"/>
      </w:pPr>
      <w:r>
        <w:t>Lo que hace el art. 48.1.2 LGSS es cuantificar la diferencia entre los IPC previstos y reales tomando como período de cálculo del incremento de los precios entre diciembre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La actualización por diferencias en la revalorización y el nacimiento del derecho a la paga nacen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0085709A" w:rsidRDefault="0085709A" w:rsidP="0085709A">
      <w:pPr>
        <w:pStyle w:val="TextoNormal"/>
      </w:pPr>
    </w:p>
    <w:p w:rsidR="0085709A" w:rsidRDefault="0085709A" w:rsidP="0085709A">
      <w:pPr>
        <w:pStyle w:val="TextoNormal"/>
      </w:pPr>
      <w:r>
        <w:t>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tales, ni tampoco se puede sostener, como señala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Sala de lo Social con sede en Burgos del Tribunal Superior de Justicia de Castilla y León plantea cuestión de inconstitucionalidad respecto del art. 2.1 del Real Decreto-ley </w:t>
      </w:r>
      <w:r>
        <w:lastRenderedPageBreak/>
        <w:t>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resuelta por este Tribunal en la reciente STC 49/2015, de 5 de marzo, en la que hemos declarado que el art. 2.1 del Real Decreto-ley 28/2012, de 30 de noviembre, de medidas de consolidación y garantía del Sistema de la Seguridad Social, no vulnera los arts. 9.3 y 33 CE.</w:t>
      </w:r>
    </w:p>
    <w:p w:rsidR="0085709A" w:rsidRDefault="0085709A" w:rsidP="0085709A">
      <w:pPr>
        <w:pStyle w:val="TextoNormal"/>
      </w:pPr>
    </w:p>
    <w:p w:rsidR="0085709A" w:rsidRDefault="0085709A" w:rsidP="0085709A">
      <w:pPr>
        <w:pStyle w:val="TextoNormal"/>
      </w:pPr>
      <w:r>
        <w:t>Según señala la mencionada Sentencia,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ambos preceptos se remiten a la Ley de presupuestos generales del Estado. La expresión “de acuerdo con lo que establezca la Ley de presupuestos generales del Estado” contenida en dichos pasajes legales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E igualmente rememora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0085709A" w:rsidRDefault="0085709A" w:rsidP="0085709A">
      <w:pPr>
        <w:pStyle w:val="TextoNormal"/>
      </w:pPr>
    </w:p>
    <w:p w:rsidR="0085709A" w:rsidRDefault="0085709A" w:rsidP="0085709A">
      <w:pPr>
        <w:pStyle w:val="TextoNormal"/>
      </w:pPr>
      <w:r>
        <w:t xml:space="preserve">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afirmando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y dado que cuando se aprobó el </w:t>
      </w:r>
      <w:r>
        <w:lastRenderedPageBreak/>
        <w:t>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0085709A" w:rsidRDefault="0085709A" w:rsidP="0085709A">
      <w:pPr>
        <w:pStyle w:val="TextoNormal"/>
      </w:pPr>
    </w:p>
    <w:p w:rsidR="0085709A" w:rsidRDefault="0085709A" w:rsidP="0085709A">
      <w:pPr>
        <w:pStyle w:val="TextoNormal"/>
      </w:pPr>
      <w:r>
        <w:t>Por lo que se refiere a la vulneración del art. 33 CE, la STC 49/2015 afirma que falta en el art. 2.1 del Real Decreto-ley 28/2012 un elemento indispensable para que pueda calificarse la no actualización de las pensiones de medida expropiatoria, cual es el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0085709A" w:rsidRDefault="0085709A" w:rsidP="0085709A">
      <w:pPr>
        <w:pStyle w:val="TextoNormal"/>
      </w:pPr>
    </w:p>
    <w:p w:rsidR="0085709A" w:rsidRDefault="0085709A" w:rsidP="0085709A">
      <w:pPr>
        <w:pStyle w:val="TextoNormal"/>
      </w:pPr>
      <w:r>
        <w:t>En consecuencia, de acuerdo con lo dispuesto en la STC 49/2015, de 5 de marzo, esta cuestión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Fernando Valdés Dal-Ré a la Sentencia dictada en la cuestión de inconstitucionalidad núm. 6721-2014.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lastRenderedPageBreak/>
        <w:br w:type="page"/>
      </w:r>
    </w:p>
    <w:p w:rsidR="0085709A" w:rsidRDefault="0085709A" w:rsidP="0085709A">
      <w:pPr>
        <w:pStyle w:val="TtuloResolucin"/>
      </w:pPr>
      <w:bookmarkStart w:id="138" w:name="SENTENCIA_2015_135"/>
      <w:r>
        <w:lastRenderedPageBreak/>
        <w:t>SENTENCIA 135/2015, de 8 de junio de 2015</w:t>
      </w:r>
    </w:p>
    <w:bookmarkEnd w:id="138"/>
    <w:p w:rsidR="0085709A" w:rsidRDefault="0085709A" w:rsidP="0085709A">
      <w:pPr>
        <w:pStyle w:val="TtuloResolucin"/>
      </w:pPr>
      <w:r>
        <w:t>Sala Primera</w:t>
      </w:r>
    </w:p>
    <w:p w:rsidR="0085709A" w:rsidRDefault="0085709A" w:rsidP="0085709A">
      <w:pPr>
        <w:pStyle w:val="TtuloBOE"/>
      </w:pPr>
      <w:r>
        <w:t>(BOE núm. 160, de 6 de julio de 2015)</w:t>
      </w:r>
    </w:p>
    <w:p w:rsidR="0085709A" w:rsidRDefault="0085709A" w:rsidP="0085709A">
      <w:pPr>
        <w:pStyle w:val="TextoNormalCentrado"/>
      </w:pPr>
      <w:r>
        <w:t>ECLI:ES:TC:2015:135</w:t>
      </w:r>
    </w:p>
    <w:p w:rsidR="0085709A" w:rsidRDefault="0085709A" w:rsidP="0085709A">
      <w:pPr>
        <w:pStyle w:val="TextoNormalCentrado"/>
      </w:pPr>
    </w:p>
    <w:p w:rsidR="0085709A" w:rsidRDefault="0085709A" w:rsidP="0085709A">
      <w:pPr>
        <w:pStyle w:val="SntesisDescriptiva"/>
      </w:pPr>
      <w:r>
        <w:t>Cuestión de inconstitucionalidad 6722-2014.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La norma impugnada, que suspende la actualización de las pensiones para el ejercicio de 2012, resulta acorde con el art. 33 CE en la medida en que su aplicación no ha supuesto la expropiación de derechos patrimoniales consolidados, sino de expectativas, por lo que la privación no es de naturaleza  expropiatoria [FJ 2].</w:t>
      </w:r>
    </w:p>
    <w:p w:rsidR="0085709A" w:rsidRDefault="0085709A" w:rsidP="0085709A">
      <w:pPr>
        <w:pStyle w:val="Extracto"/>
      </w:pPr>
    </w:p>
    <w:p w:rsidR="0085709A" w:rsidRDefault="0085709A" w:rsidP="0085709A">
      <w:pPr>
        <w:pStyle w:val="Extracto"/>
      </w:pPr>
      <w:r>
        <w:t>6.</w:t>
      </w:r>
      <w:r>
        <w:tab/>
        <w:t>Únicamente son expropiables y, por tanto indemnizables la privación de bienes y derechos o incluso intereses patrimoniales legítimos aun no garantizados como derechos subjetivos (por ejemplo, las situaciones en precario), pero en ningún caso lo son las expectativas; en particular, la doctrina jurídica y la jurisprudencia con</w:t>
      </w:r>
      <w:r>
        <w:lastRenderedPageBreak/>
        <w:t>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6722-2014, promovida por la Sala de lo Social del Tribunal Superior de Justicia de la Comunidad Autónoma de Castilla y León con sede en Burgos en relación con el art. 2.1 del Real Decreto-ley 28/2012, de 30 de noviembre, de medidas de consolidación y garantía del sistema de Seguridad Social, por posible vulneración de los arts. 9.3 y 33 CE. Han intervenido el Fiscal General del Estado, el Abogado del Estado y el Letrado de la Administración de la Seguridad Social.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11 de noviembre de 2014 tuvo entrada en el Registro General de este Tribunal un oficio de la Sala de lo Social del Tribunal Superior de Justicia de Castilla y León, con sede en Burgos, al que se acompaña, junto con el testimonio del procedimiento ordinario núm. 1397-2013, el Auto de 15 de octubre de 2014, por el que se acuerda plantear cuestión de inconstitucionalidad en relación con 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cuestión de inconstitucionalidad son, sucintamente expuestos, los siguientes:</w:t>
      </w:r>
    </w:p>
    <w:p w:rsidR="0085709A" w:rsidRDefault="0085709A" w:rsidP="0085709A">
      <w:pPr>
        <w:pStyle w:val="TextoNormal"/>
      </w:pPr>
    </w:p>
    <w:p w:rsidR="0085709A" w:rsidRDefault="0085709A" w:rsidP="0085709A">
      <w:pPr>
        <w:pStyle w:val="TextoNormal"/>
      </w:pPr>
      <w:r>
        <w:t xml:space="preserve">a) Un grupo de pensionistas interpuso demanda ante el Instituto Nacional de la Seguridad Social (INSS) en reclamación de actualización de sus pensiones, solicitando que se reconociese su derecho a percibir la paga única compensatoria a que se refiere el apartado 1.2 del art. 48 del texto refundido de la Ley general de la Seguridad Social (LGSS). Derivaría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w:t>
      </w:r>
      <w:r>
        <w:lastRenderedPageBreak/>
        <w:t>noviembre de 2012, ambos inclusive. Asimismo, solicitaban los demandantes que se declarase el derecho a que la revalorización de la pensión en 2013 se efectuase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0085709A" w:rsidRDefault="0085709A" w:rsidP="0085709A">
      <w:pPr>
        <w:pStyle w:val="TextoNormal"/>
      </w:pPr>
    </w:p>
    <w:p w:rsidR="0085709A" w:rsidRDefault="0085709A" w:rsidP="0085709A">
      <w:pPr>
        <w:pStyle w:val="TextoNormal"/>
      </w:pPr>
      <w:r>
        <w:t>b) El Juzgado de lo Social núm. 1 de Burgos dictó Sentencia el 11 de abril de 2014 estimando en parte la demanda; declaró el derecho de todos los demandantes (a excepción de los que no cobraban pensión en el año 2011)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dictan el pago de determinadas cantidades que se especifican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del Tribunal Superior de Justicia de Castilla y León señaló para su deliberación y fallo el 24 de septiembre de 2014. En esa misma fecha dictó providencia por la que acordó oír a las partes y al Ministerio Fiscal [art. 35.2 de la Ley Orgánica del Tribunal Constitucional (LOTC)]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 El Ministerio Fiscal mostró su conformidad con el planteamiento de la cuestión. El resto de las partes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15 de octubre de 2014 la Sala de lo Social del Tribunal Superior de Justicia de Castilla y León acordó plantear cuestión de inconstitucionalidad respecto del art. 2.1 del Real Decreto-ley 28/2012, de 30 de noviembre, de medidas de consolidación y garantía del sistema de Seguridad Social, por posible vulneración de los arts. 9.3 y 33 CE. El Auto se fundamenta en las consideraciones que a continuación se resumen.</w:t>
      </w:r>
    </w:p>
    <w:p w:rsidR="0085709A" w:rsidRDefault="0085709A" w:rsidP="0085709A">
      <w:pPr>
        <w:pStyle w:val="TextoNormal"/>
      </w:pPr>
    </w:p>
    <w:p w:rsidR="0085709A" w:rsidRDefault="0085709A" w:rsidP="0085709A">
      <w:pPr>
        <w:pStyle w:val="TextoNormal"/>
      </w:pPr>
      <w:r>
        <w:t>Tras exponer los antecedentes del caso, la Sala se refiere a la obligación de plantear cuestión de inconstitucionalidad cuando considere que una norma, con rango de ley aplicable al caso y de cuya validez dependa el fallo, pueda ser contraria a la Constitución (arts. 163 CE, 35.1 LOTC y 5.2 LOPJ). Seguidamente se refiere a los límites constitucionales del decreto-ley (art. 86.1 CE) y a continuación alude a la doctrina constitucional sobre el principio de irretroactividad de las disposiciones sancionadoras no favorables o restrictivas de derechos individuales (art. 9.3 CE). La Sala afirma ser consciente del “espíritu restrictivo” que inspira la interpretación del supuesto de la prohibición de retroactividad; por ello, señala que lo primero que habría que despejar es si en el caso existe un derecho individual desde la consideración restrictiva apuntada, lo que entiende que merece una respuesta positiva. En segundo lugar, debe examinarse si, aun el caso de que la retroactividad fuera de grado máximo, puede tener una justificación legítima,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lastRenderedPageBreak/>
        <w:t>El Auto señala que el sistema de Seguridad Social tiene carácter contributivo. Los trabajadores cotizan a la Seguridad Social para que, en el caso de que se produzca la contingencia objeto de protección, se les reconozca el derecho a percibir la prestación correspondiente. Una de las contingencias previstas es la jubilación, por la que se reconoce al beneficiario el derecho a percibir una pensión en proporción al salario por el que cotizó y que constituyó su fuente de subsistencia durante su vida activa. Una vez que un trabajador pasa a la situación de jubilación, se establece un mecanismo para que la pensión que tiene derecho a percibir no pierda poder adquisitivo: el sistema de revalorizaciones de las pensiones, que establece el art. 50 CE, para evitar que, como consecuencia del incremento del coste de la vida, al cabo de los años las pensiones reconocidas pierdan entidad y se produzca un empobrecimiento de los pensionistas.</w:t>
      </w:r>
    </w:p>
    <w:p w:rsidR="0085709A" w:rsidRDefault="0085709A" w:rsidP="0085709A">
      <w:pPr>
        <w:pStyle w:val="TextoNormal"/>
      </w:pPr>
    </w:p>
    <w:p w:rsidR="0085709A" w:rsidRDefault="0085709A" w:rsidP="0085709A">
      <w:pPr>
        <w:pStyle w:val="TextoNormal"/>
      </w:pPr>
      <w:r>
        <w:t>Afirma la Sala que el desarrollo del art. 50 CE se ha realizado a través del art. 48 LGSS, que regula la revalorización de las pensiones. Establece su apartado 1.1 una regla, de carácter general que no admite ninguna excepción, según la cual “las pensiones de la Seguridad Social en su modalidad contributiva, incluido el importe de la pensión mínima, serán revalorizadas al comienzo de cada año, en función del correspondiente índice de precios al consumo previsto para dicho año”. El apartado 1.2 del mismo art. 48 LGSS determina el periodo que se debe tener en cuenta para el cálculo del índice de precios al consumo (“el periodo comprendido entre noviembre del ejercicio anterior y noviembre del ejercicio económico al que se refiere la revalorización”), así como un mecanismo para compensar las posibles desviaciones que se produzcan si el índice de precios al consumo (IPC) previsto es inferior al que finalmente resulta: la paga compensatoria, que cubre la diferencia si el coste de la vida es superior al aumento del importe de la pensión en el año correspondiente; debe abonarse, según la misma norma, antes del 1 de abril del ejercicio posterior. La misma regla se establece en el art. 27 de la Ley de clases pasivas del Estado.</w:t>
      </w:r>
    </w:p>
    <w:p w:rsidR="0085709A" w:rsidRDefault="0085709A" w:rsidP="0085709A">
      <w:pPr>
        <w:pStyle w:val="TextoNormal"/>
      </w:pPr>
    </w:p>
    <w:p w:rsidR="0085709A" w:rsidRDefault="0085709A" w:rsidP="0085709A">
      <w:pPr>
        <w:pStyle w:val="TextoNormal"/>
      </w:pPr>
      <w:r>
        <w:t>Indica la Sala que el único límite al importe de la revalorización de las pensiones contributivas se establece en el art. 49 LGSS: la revalorización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Añade la Sala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Sentado lo anterior, la Sala señala que la cuestión estriba en determinar si la supresión de la paga compensatoria correspondiente al año 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0085709A" w:rsidRDefault="0085709A" w:rsidP="0085709A">
      <w:pPr>
        <w:pStyle w:val="TextoNormal"/>
      </w:pPr>
    </w:p>
    <w:p w:rsidR="0085709A" w:rsidRDefault="0085709A" w:rsidP="0085709A">
      <w:pPr>
        <w:pStyle w:val="TextoNormal"/>
      </w:pPr>
      <w:r>
        <w:t xml:space="preserve">Por todo ello, la Sala acuerda plantear cuestión de inconstitucionalidad respecto del art. 2.1 del Real Decreto-ley 28/2012, que deja sin efecto para el año 2012 la actualización de </w:t>
      </w:r>
      <w:r>
        <w:lastRenderedPageBreak/>
        <w:t>las pensiones en los términos previstos en el apartado 1.2 del art. 48 LGSS y en el párrafo 2 del art. 27.1 de la Ley de clases pasivas. Entiende que vulnera: a) lo dispuesto en el artículo 9.3 de la Constitución, por el que se garantiza la irretroactividad de las disposiciones restrictivas de derechos fundamentales individuales, y b) el artículo 33 de la Constitución, de entender que por parte del aludido art. 2.1 del Real Decreto-ley 28/2012 serían objeto de expropiación los derechos de los perceptores de pensiones de seguridad, por cuanto son derechos económicos incorporados al patrimonio de aquellos, aunque no hayan sido abonados pero sí devengados. Todo ello por cuanto el Real Decreto-ley 28/2012 “entró en vigor [el]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del Tribunal acordó admitir a trámite la cuestión mediante providencia de 2 de diciembre de 2014; asimismo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11 de diciembre de 2014 el Presidente del Congreso de los Diputados comunicó a este Tribunal la decisión de la Mesa de la Cámara de personarse en el presente proceso constitucional, ofreciendo su colaboración a los efectos del art. 88.1 LOTC. En similares términos se pronuncia el Presidente del Senado en el escrito registrado en este Tribunal el 17 de diciembre de 2014.</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registrado en este Tribunal el 12 de diciembre de 2014 el Letrado de la Administración de la Seguridad Social se personó en nombre del Instituto Nacional de la Seguridad Social y, por medio de otrosí, solicitó que, a los efectos de representación y defensa de esta entidad gestora, se designase indistintamente a los Letrados de la Administración de la Seguridad Social destinados en el servicio jurídico delegado central de la misma.</w:t>
      </w:r>
    </w:p>
    <w:p w:rsidR="0085709A" w:rsidRDefault="0085709A" w:rsidP="0085709A">
      <w:pPr>
        <w:pStyle w:val="TextoNormal"/>
      </w:pPr>
    </w:p>
    <w:p w:rsidR="0085709A" w:rsidRDefault="0085709A" w:rsidP="0085709A">
      <w:pPr>
        <w:pStyle w:val="TextoNormal"/>
      </w:pPr>
      <w:r w:rsidRPr="0085709A">
        <w:rPr>
          <w:rStyle w:val="NumeroAFNegritaCaracter"/>
        </w:rPr>
        <w:t>7</w:t>
      </w:r>
      <w:r>
        <w:t>. Por diligencia de ordenación de 15 de diciembre de 2014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8</w:t>
      </w:r>
      <w:r>
        <w:t>. El Abogado del Estado presentó su escrito de alegaciones el 26 de diciembre de 2014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lastRenderedPageBreak/>
        <w:t>Comienza señalando que nuestro sistema de Seguridad Social (art. 41 CE) se caracteriza constitucionalmente por consistir en una garantía institucional que deja al legislador su configuración en atención a las circunstancias económicas y sociales, imperativas para la propia viabilidad y eficacia de aquél; cita en este sentido diversa doctrina constitucional.</w:t>
      </w:r>
    </w:p>
    <w:p w:rsidR="0085709A" w:rsidRDefault="0085709A" w:rsidP="0085709A">
      <w:pPr>
        <w:pStyle w:val="TextoNormal"/>
      </w:pPr>
    </w:p>
    <w:p w:rsidR="0085709A" w:rsidRDefault="0085709A" w:rsidP="0085709A">
      <w:pPr>
        <w:pStyle w:val="TextoNormal"/>
      </w:pPr>
      <w:r>
        <w:t>A continuación pasa a examinar los elementos que configuran la eventual aplicación del principio de irretroactividad de las disposiciones sancionadoras desfavorables y restrictivas de derechos individuales, que garantiza el art. 9.3 CE, a la vista de la doctrina del Tribunal Constitucional sobre lo que debe entenderse por “derechos individuales” y el grado de retroactividad permisible. Señala que el Tribunal Constitucional identifica los derechos individuales con los “derechos fundamentales y libertades públicas o la esfera general de protección de la persona”; relaciona su restricción con la idea de sanción (STC 43/1986).</w:t>
      </w:r>
    </w:p>
    <w:p w:rsidR="0085709A" w:rsidRDefault="0085709A" w:rsidP="0085709A">
      <w:pPr>
        <w:pStyle w:val="TextoNormal"/>
      </w:pPr>
    </w:p>
    <w:p w:rsidR="0085709A" w:rsidRDefault="0085709A" w:rsidP="0085709A">
      <w:pPr>
        <w:pStyle w:val="TextoNormal"/>
      </w:pPr>
      <w:r>
        <w:t>Afirma seguidamente que la actualización de las pensiones conforme al IPC del año en curso no constituye un derecho consolidado integrado en el patrimonio del pensionista, sino una mera expectativa de derecho o un derecho condicionado a la fijación de su contenido por la Ley de presupuestos generales del Estado del año siguiente, si existe diferencia entre el IPC previsto y el acumulado a noviembre del ejercicio económico correspondiente. El art. 48.1.2 LGSS no establece un derecho a la actualización automática de las pensiones, sino que lo somete a la condición de que exista una diferencia entre el IPC previsto en la actualización recogida en la Ley de presupuestos generales del Estado del año correspondiente y el IPC acumulado a un mes concreto (noviembre del ejercicio en curso). Por ello, el art. 48.1.2 LGSS continúa diciendo: “a tales efectos, a los pensionistas cuyas pensiones hubiesen sido objeto de revalorización en el ejercicio anterior”; esto es, no por el mero hecho de la existencia de diferencial en el IPC se actualiza la pensión, sino que habrá que estar a la regulación propia de la Ley de presupuestos generales del Estado. Es lógico, ya que es la Ley de presupuestos de cada ejercicio la que fija los “gastos” a cargo del Estado, que integran el contenido mínimo esencial de la propia Ley. El entendimiento de esta actualización como una mera expectativa encaja en la forma en que la Constitución ha regulado el sistema de Seguridad Social, dejando al legislador un amplísimo margen para definir las características del mismo en función de las circunstancias económicas y sociales en cada momento, con la finalidad de asegurar la suficiencia y solvencia del sistema.</w:t>
      </w:r>
    </w:p>
    <w:p w:rsidR="0085709A" w:rsidRDefault="0085709A" w:rsidP="0085709A">
      <w:pPr>
        <w:pStyle w:val="TextoNormal"/>
      </w:pPr>
    </w:p>
    <w:p w:rsidR="0085709A" w:rsidRDefault="0085709A" w:rsidP="0085709A">
      <w:pPr>
        <w:pStyle w:val="TextoNormal"/>
      </w:pPr>
      <w:r>
        <w:t>Recuerda también el Abogado del Estado que, conforme a la doctrina constitucional, para que resulte aplicable la garantía de irretroactividad del art. 9.3 CE se exigiría, además, que la medida eventualmente restrictiva tuviera, a su vez, un “matiz sancionador”; esta circunstancia no concurriría en la norma cuestionada, cuya única finalidad es garantizar la viabilidad y suficiencia del sistema de Seguridad Social. En este sentido, recuerda los grados de retroactividad a que se refiere el art. 9.3 CE y recuerda que la STC 182/1997 delimitó en qué supuestos pueden establecerse medidas retroactivas de derechos individuales: cuando existan exigencias cualificadas de interés público. Sostiene el Abogado del Estado que la medida cuestionada obedece a imperiosas circunstancias de índole económica que afectan a la subsistencia y sostenibilidad del sistema de Seguridad Social, a las que se refiere expresamente la exposición de motivos del Real Decreto-ley 28/2012.</w:t>
      </w:r>
    </w:p>
    <w:p w:rsidR="0085709A" w:rsidRDefault="0085709A" w:rsidP="0085709A">
      <w:pPr>
        <w:pStyle w:val="TextoNormal"/>
      </w:pPr>
    </w:p>
    <w:p w:rsidR="0085709A" w:rsidRDefault="0085709A" w:rsidP="0085709A">
      <w:pPr>
        <w:pStyle w:val="TextoNormal"/>
      </w:pPr>
      <w:r>
        <w:lastRenderedPageBreak/>
        <w:t>Por último, sobre la alegada vulneración del art. 33 CE señala el Abogado del Estado que esta supuesta vulneración parte de la premisa de la existencia de un derecho adquirido incorporado al patrimonio del pensionista; rechazada la existencia de tal derecho adquirido por las razones antes expuestas no cabe hablar de infracción del art. 33 CE.</w:t>
      </w:r>
    </w:p>
    <w:p w:rsidR="0085709A" w:rsidRDefault="0085709A" w:rsidP="0085709A">
      <w:pPr>
        <w:pStyle w:val="TextoNormal"/>
      </w:pPr>
    </w:p>
    <w:p w:rsidR="0085709A" w:rsidRDefault="0085709A" w:rsidP="0085709A">
      <w:pPr>
        <w:pStyle w:val="TextoNormal"/>
      </w:pPr>
      <w:r w:rsidRPr="0085709A">
        <w:rPr>
          <w:rStyle w:val="NumeroAFNegritaCaracter"/>
        </w:rPr>
        <w:t>9</w:t>
      </w:r>
      <w:r>
        <w:t>. El Letrado de la Administración de la Seguridad Social presentó su escrito de alegaciones el 7 de enero de 2015 interesando también la desestimación de la cuestión.</w:t>
      </w:r>
    </w:p>
    <w:p w:rsidR="0085709A" w:rsidRDefault="0085709A" w:rsidP="0085709A">
      <w:pPr>
        <w:pStyle w:val="TextoNormal"/>
      </w:pPr>
    </w:p>
    <w:p w:rsidR="0085709A" w:rsidRDefault="0085709A" w:rsidP="0085709A">
      <w:pPr>
        <w:pStyle w:val="TextoNormal"/>
      </w:pPr>
      <w:r>
        <w:t>Tras recordar los antecedentes de la presente cuestión, analiza la configuración constitucional del derecho a la Seguridad Social y el derecho a una pensión adecuada y periódicamente actualizada, así como la doctrina constitucional respecto a la conservación de los derechos adquiridos y sobre la aplicación del principio de irretroactividad en el sistema de la Seguridad Social. Señala que la doctrina de este Tribunal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al sistema de Seguridad Social suponen su configuración legal, gozando el legislador a tal efecto de un amplio margen de disposición. Asimismo, afirma que el Tribunal Constitucional interpreta con precaución el deber de actualización periódica de las pensiones. Deja en manos del legislador la decisión de actualizar o no y, en su caso, en qué cuantía, las pensiones devengadas, al condicionar la acción normativa a las disponibilidades económicas, a las necesidades concurrentes y al cumplimiento del principio de solidaridad. Este, como señala la STC 134/1987, FJ 5, “obliga a sacrificar los intereses de los más favorecidos frente a los más desamparados con independencia incluso de las consecuencias económicas de estos sacrificios”. De la doctrina constitucional se desprende que no existe una exigencia constitucional que obligue necesariamente a revalorizar las pensiones. El art. 50 CE establece una actualización periódica, pero no determina la periodicidad ni la cuantía y alcance de la revalorización; la revalorización y actualización de las pensiones depende de los recursos disponibles, de la situación económica de cada momento y de la ponderación de las necesidades sociales concurrentes.</w:t>
      </w:r>
    </w:p>
    <w:p w:rsidR="0085709A" w:rsidRDefault="0085709A" w:rsidP="0085709A">
      <w:pPr>
        <w:pStyle w:val="TextoNormal"/>
      </w:pPr>
    </w:p>
    <w:p w:rsidR="0085709A" w:rsidRDefault="0085709A" w:rsidP="0085709A">
      <w:pPr>
        <w:pStyle w:val="TextoNormal"/>
      </w:pPr>
      <w:r>
        <w:t>Recuerda también que el Tribunal Constitucional ha tenido ocasión de establecer una consolidada doctrina respecto al mantenimiento de los derechos adquiridos y la prohibición de la irretroactividad de las normas restrictivas de derechos individuales en materia de Seguridad Social (cita las SSTC 65/1987, de 21 de mayo; 134/1987, de 21 de julio; 66/1990, de 5 de abril, y 89/2009, de 20 de abril).</w:t>
      </w:r>
    </w:p>
    <w:p w:rsidR="0085709A" w:rsidRDefault="0085709A" w:rsidP="0085709A">
      <w:pPr>
        <w:pStyle w:val="TextoNormal"/>
      </w:pPr>
    </w:p>
    <w:p w:rsidR="0085709A" w:rsidRDefault="0085709A" w:rsidP="0085709A">
      <w:pPr>
        <w:pStyle w:val="TextoNormal"/>
      </w:pPr>
      <w:r>
        <w:t>Afirma a continuación que el art. 2.1 del Real Decreto-ley 28/2012, en cuanto deja sin efecto las medidas relativas a la actualización de las pensiones y al abono del pago único previstas en el art. 48.1.2 LGSS, no vulnera los arts. 41 y 50 CE, ni afecta a ningún derecho individual en los términos contemplados en el art. 9.3 CE. Lo que verdaderamente ha de ser tutelado por imperativo constitucional es que no se pongan en cuestión los rasgos estructurales del sistema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 de Seguridad Social.</w:t>
      </w:r>
    </w:p>
    <w:p w:rsidR="0085709A" w:rsidRDefault="0085709A" w:rsidP="0085709A">
      <w:pPr>
        <w:pStyle w:val="TextoNormal"/>
      </w:pPr>
    </w:p>
    <w:p w:rsidR="0085709A" w:rsidRDefault="0085709A" w:rsidP="0085709A">
      <w:pPr>
        <w:pStyle w:val="TextoNormal"/>
      </w:pPr>
      <w:r>
        <w:lastRenderedPageBreak/>
        <w:t xml:space="preserve">Señala también que el art. 48.1 LGSS, en la redacción vigente en la fecha del proceso </w:t>
      </w:r>
      <w:r w:rsidRPr="0085709A">
        <w:rPr>
          <w:i/>
        </w:rPr>
        <w:t>a quo</w:t>
      </w:r>
      <w:r>
        <w:t>, establece respecto a la revalorización de las pensiones contributivas que se producirá anualmente en función del correspondiente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trata de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del IPC previsto y el realmente acontecido; se toma como parámetro temporal de comprobación el periodo correspondiente entre el 1 de diciembre del año anterior y el 30 de noviembre del año al que correspondió la previsión. En coherencia con la doctrina constitucional plasmada en las SSTC 134/1987 y 97/1990, el legislador toma la precaución de condicionar la medida a la ponderación de las disponibilidades presupuestarias y de las necesidades sociales; la efectividad de la medida dependerá de que se contemple la actualización de la diferencia y del pago único en la correspondiente Ley de presupuestos generales del Estado del año siguiente. En este sentido, afirma que los dos puntos del apartado 1 del art. 48 LGSS exigen una interpretación conjunta, de manera que la efectividad de los derechos previstos en ambos puntos se condiciona al principio de legalidad presupuestaria.</w:t>
      </w:r>
    </w:p>
    <w:p w:rsidR="0085709A" w:rsidRDefault="0085709A" w:rsidP="0085709A">
      <w:pPr>
        <w:pStyle w:val="TextoNormal"/>
      </w:pPr>
    </w:p>
    <w:p w:rsidR="0085709A" w:rsidRDefault="0085709A" w:rsidP="0085709A">
      <w:pPr>
        <w:pStyle w:val="TextoNormal"/>
      </w:pPr>
      <w:r>
        <w:t>A juicio del Letrado de la Administración de la Seguridad Social, la regla establecida en el art. 48.1.2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En suma, no existe un consolidado derecho subjetivo perfecto al abono de una paga único por la diferencia entre el incremento del IPC previsto en la Ley de presupuestos generales del Estado para 2012 y el IPC real, acumulado durante el intervalo de diciembre de 2011 a noviembre de 2012; no cabe pues apreciar vulneración del art. 9.3 CE.</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paga única compensatoria, tampoco cabe afirmar que el art. 2.1 del Real Decreto-ley 28/2012 actúe retroactivamente limitando o restringiendo esos supuestos derechos adquiridos, que no son tales. Tampoco se podría sostener, con apoyo en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10</w:t>
      </w:r>
      <w:r>
        <w:t>. El Fiscal General del Estado presentó su escrito de alegaciones el 8 de enero de 2015, interesando la estimación de la presente cuestión de inconstitucionalidad.</w:t>
      </w:r>
    </w:p>
    <w:p w:rsidR="0085709A" w:rsidRDefault="0085709A" w:rsidP="0085709A">
      <w:pPr>
        <w:pStyle w:val="TextoNormal"/>
      </w:pPr>
    </w:p>
    <w:p w:rsidR="0085709A" w:rsidRDefault="0085709A" w:rsidP="0085709A">
      <w:pPr>
        <w:pStyle w:val="TextoNormal"/>
      </w:pPr>
      <w:r>
        <w:t xml:space="preserve">Comienza su escrito delimitando el contenido de la cuestión. Estima que el Auto de planteamiento adolece de imprecisión; considera que ha de entenderse que el órgano judicial </w:t>
      </w:r>
      <w:r>
        <w:lastRenderedPageBreak/>
        <w:t>cuestiona la regla sobre la actualización anual de las pensiones prevista para el año siguiente, concretamente en el caso que nos ocupa para el año 2013, mientras que la otra regla, referida a la determinación de la paga única compensatoria, sólo la menciona incidentalmente. Para el órgano judicial, los derechos que nacen de ambas reglas gozan de la misma naturaleza, y se consolidan simultáneamente en el tiempo, pero en opinión del Fiscal esto no es cierto; entiende que deberían haberse tratado separadamente las razones que podrían cuestionar la constitucionalidad de una norma y la otra.</w:t>
      </w:r>
    </w:p>
    <w:p w:rsidR="0085709A" w:rsidRDefault="0085709A" w:rsidP="0085709A">
      <w:pPr>
        <w:pStyle w:val="TextoNormal"/>
      </w:pPr>
    </w:p>
    <w:p w:rsidR="0085709A" w:rsidRDefault="0085709A" w:rsidP="0085709A">
      <w:pPr>
        <w:pStyle w:val="TextoNormal"/>
      </w:pPr>
      <w:r>
        <w:t>Recuerda seguidamente la doctrina constitucional en materia de proscripción de la retroactividad de las normas (art. 9.3 CE) partiendo del desarrollo que se ha dado de los conceptos de normas sancionadoras no favorables y de normas restrictivas de derechos individuales. A la vista de esta doctrina, considera el Fiscal que la decisión que se contiene en el precepto cuestionado de suspender para el ejercicio 2012 la aplicación de la regla de abono de la paga única compensatoria (que debería realizarse antes del l de abril de 2013) por la desviación entre el IPC previsto y el IPC acumulado, correspondiente al periodo comprendido entre noviembre de 2011 y noviembre de 2012, incurre en supuesto de retroactividad auténtica; vincula los efectos a un hecho ya consumado y consolidado, toda vez que el Real Decreto-ley 28/2012 entró en vigor el 1 de diciembre de 2012. Se trataría, por tanto, de un derecho económico consolidado, ya incorporado al patrimonio del pensionista. Lo que se posterga es simplemente el pago, que si no se hizo antes es por faltar la constatación matemática de la cuantía. Al depender del IPC acumulado, la cuantía no se podía conocer hasta el 30 de noviembre de 2012.</w:t>
      </w:r>
    </w:p>
    <w:p w:rsidR="0085709A" w:rsidRDefault="0085709A" w:rsidP="0085709A">
      <w:pPr>
        <w:pStyle w:val="TextoNormal"/>
      </w:pPr>
    </w:p>
    <w:p w:rsidR="0085709A" w:rsidRDefault="0085709A" w:rsidP="0085709A">
      <w:pPr>
        <w:pStyle w:val="TextoNormal"/>
      </w:pPr>
      <w:r>
        <w:t>A su juicio, la remisión que el art. 48 LGSS hace a la Ley de presupuestos generales del Estado no puede considerarse una postergación del derecho a lo que determine esa ley. La actualización se produciría de forma automática cuando el Instituto Nacional de Estadística fija ese índice, limitándose la Ley de presupuestos generales del Estado a fijar el apunte contable. No se dejaría pendiente de aprobación por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Por lo que se refiere al art. 33.3 CE señala que este precepto prohíbe aquellas actividades confiscatorias que supongan privaciones de derechos adquiridos al margen de los concretos supuestos legalmente establecidos. La violación de este art. 33 CE será una consecuencia de la existencia de retroactividad prohibida por el art. 9.3 CE en que entiende el Fiscal que incurre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3 de junio de 2015 se señaló para deliberación y votación de la presente Sentencia el día 8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del Tribunal Superior de Justicia de Castilla y León, con sede en Burgos, plantea cuestión de inconstitucionalidad respecto del art. 2.1 del Real Decreto-ley 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lastRenderedPageBreak/>
        <w:t>Por las razones que han quedado expuestas en el relato de antecedentes de la presente resolución, el Fiscal General del Estado solicita la estimación de la cuestión de inconstitucionalidad, mientras que el Abogado del Estado y el Letrado de la Administración de la Seguridad Social solicitan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ya resuelta por este Tribunal en la reciente STC 49/2015, de 5 de marzo, en la que hemos desestimado el recurso de inconstitucionalidad núm. 1114-2013 interpuesto contra el art. 2.1 del Real Decreto-ley 28/2012, de 30 de noviembre, de medidas de consolidación y garantía del sistema de la Seguridad Social. A su doctrina hemos de remitirnos; declara que este precepto, que deja sin efecto para el ejercicio 2012 la regla de actualización de las pensiones prevista en el art. 48.1.2 LGSS y el art. 27.1, párrafo segundo, de la Ley de clases pasivas del Estado (para el caso de que el IPC acumulado correspondiente al período comprendido entre noviembre del ejercicio anterior y noviembre del ejercicio económico en curso sea superior al índice de precios al consumo (IPC) previsto y en función del cual se calcula la revalorización de la pensión), no vulnera los arts. 9.3 y 33 CE.</w:t>
      </w:r>
    </w:p>
    <w:p w:rsidR="0085709A" w:rsidRDefault="0085709A" w:rsidP="0085709A">
      <w:pPr>
        <w:pStyle w:val="TextoNormal"/>
      </w:pPr>
    </w:p>
    <w:p w:rsidR="0085709A" w:rsidRDefault="0085709A" w:rsidP="0085709A">
      <w:pPr>
        <w:pStyle w:val="TextoNormal"/>
      </w:pPr>
      <w:r>
        <w:t>a) En efecto, según señala la STC 49/2015, FJ 5, para valorar si la norma cuestionada vulnera la interdicción de retroactividad de las disposiciones sancionadoras desfavorables o restrictivas de derechos individuales que garantiza el art. 9.3 CE, “resulta ineludible determinar con carácter previo si en el momento en que se dictó el Real Decreto-ley 28/2012, de 30 de noviembre, los pensionistas tenían una mera expectativa de derecho a recibir la diferencia entre el IPC real y el IPC estimado para el año 2012 o, por el contrario, tenían un derecho consolidado, asumido e integrado en su patrimonio”.</w:t>
      </w:r>
    </w:p>
    <w:p w:rsidR="0085709A" w:rsidRDefault="0085709A" w:rsidP="0085709A">
      <w:pPr>
        <w:pStyle w:val="TextoNormal"/>
      </w:pPr>
    </w:p>
    <w:p w:rsidR="0085709A" w:rsidRDefault="0085709A" w:rsidP="0085709A">
      <w:pPr>
        <w:pStyle w:val="TextoNormal"/>
      </w:pPr>
      <w:r>
        <w:t>Afirma la STC 49/2015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Recuerda que el art. 50 CE “no obliga a que todas y cada una de las pensiones ya causadas experimenten un incremento anual.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igualmente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(STC 49/2015, FJ 5).</w:t>
      </w:r>
    </w:p>
    <w:p w:rsidR="0085709A" w:rsidRDefault="0085709A" w:rsidP="0085709A">
      <w:pPr>
        <w:pStyle w:val="TextoNormal"/>
      </w:pPr>
    </w:p>
    <w:p w:rsidR="0085709A" w:rsidRDefault="0085709A" w:rsidP="0085709A">
      <w:pPr>
        <w:pStyle w:val="TextoNormal"/>
      </w:pPr>
      <w:r>
        <w:t xml:space="preserve">Con fundamento en la doctrina constitucional citada, la STC 49/2015 considera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w:t>
      </w:r>
      <w:r>
        <w:lastRenderedPageBreak/>
        <w:t>ello, habilita a la Ley de Presupuestos para que decida cuál es el alcance de la actualización”. De este modo, concluye la STC 49/2015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 (STC 49/2015, FJ 5).</w:t>
      </w:r>
    </w:p>
    <w:p w:rsidR="0085709A" w:rsidRDefault="0085709A" w:rsidP="0085709A">
      <w:pPr>
        <w:pStyle w:val="TextoNormal"/>
      </w:pPr>
    </w:p>
    <w:p w:rsidR="0085709A" w:rsidRDefault="0085709A" w:rsidP="0085709A">
      <w:pPr>
        <w:pStyle w:val="TextoNormal"/>
      </w:pPr>
      <w:r>
        <w:t>b) Por lo que se refiere a la pretendida vulneración del art. 33 CE, la STC 49/2015 afirma que “falta en el art. 2.1 del Real Decreto-ley 28/2012 un elemento indispensable para que pueda calificarse la no actualización de las pensiones de medida expropiatoria”. Reiterando lo declarado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cuestionada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 (STC 49/2015, FJ 6).</w:t>
      </w:r>
    </w:p>
    <w:p w:rsidR="0085709A" w:rsidRDefault="0085709A" w:rsidP="0085709A">
      <w:pPr>
        <w:pStyle w:val="TextoNormal"/>
      </w:pPr>
    </w:p>
    <w:p w:rsidR="0085709A" w:rsidRDefault="0085709A" w:rsidP="0085709A">
      <w:pPr>
        <w:pStyle w:val="TextoNormal"/>
      </w:pPr>
      <w:r>
        <w:t>En suma, por las mismas razones expresadas en la STC 49/2015, la presente cuestión de inconstitucionalidad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ocho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la cuestión de inconstitucionalidad núm. 6722-2014.</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ocho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39" w:name="SENTENCIA_2015_136"/>
      <w:r>
        <w:lastRenderedPageBreak/>
        <w:t>SENTENCIA 136/2015, de 11 de junio de 2015</w:t>
      </w:r>
    </w:p>
    <w:bookmarkEnd w:id="139"/>
    <w:p w:rsidR="0085709A" w:rsidRDefault="0085709A" w:rsidP="0085709A">
      <w:pPr>
        <w:pStyle w:val="TtuloResolucin"/>
      </w:pPr>
      <w:r>
        <w:t>Pleno</w:t>
      </w:r>
    </w:p>
    <w:p w:rsidR="0085709A" w:rsidRDefault="0085709A" w:rsidP="0085709A">
      <w:pPr>
        <w:pStyle w:val="TtuloBOE"/>
      </w:pPr>
      <w:r>
        <w:t>(BOE núm. 160, de 6 de julio de 2015)</w:t>
      </w:r>
    </w:p>
    <w:p w:rsidR="0085709A" w:rsidRDefault="0085709A" w:rsidP="0085709A">
      <w:pPr>
        <w:pStyle w:val="TextoNormalCentrado"/>
      </w:pPr>
      <w:r>
        <w:t>ECLI:ES:TC:2015:136</w:t>
      </w:r>
    </w:p>
    <w:p w:rsidR="0085709A" w:rsidRDefault="0085709A" w:rsidP="0085709A">
      <w:pPr>
        <w:pStyle w:val="TextoNormalCentrado"/>
      </w:pPr>
    </w:p>
    <w:p w:rsidR="0085709A" w:rsidRDefault="0085709A" w:rsidP="0085709A">
      <w:pPr>
        <w:pStyle w:val="SntesisDescriptiva"/>
      </w:pPr>
      <w:r>
        <w:t>Recurso de inconstitucionalidad 2205-2013. Interpuesto por la Junta de Extremadura en relación con diversos preceptos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Límites de los decretos-leyes, principios de seguridad jurídica e igualdad tributaria: nulidad de los preceptos legales que disponen la repercusión obligatoria de los tributos o recargos autonómicos a los consumidores de energía eléctrica del propio territorio.</w:t>
      </w:r>
    </w:p>
    <w:p w:rsidR="0085709A" w:rsidRDefault="0085709A" w:rsidP="0085709A">
      <w:pPr>
        <w:pStyle w:val="SntesisAnaltica"/>
      </w:pPr>
    </w:p>
    <w:p w:rsidR="0085709A" w:rsidRDefault="0085709A" w:rsidP="0085709A">
      <w:pPr>
        <w:pStyle w:val="Extracto"/>
      </w:pPr>
      <w:r>
        <w:t>1.</w:t>
      </w:r>
      <w:r>
        <w:tab/>
        <w:t>Se declara la ausencia de identificación, por parte del Gobierno, de manera clara, explícita y razonada de la concurrencia de la extraordinaria y urgente necesidad, determinante de la aparición del presupuesto que le habilita para dictar con carácter ocasional unas normas dotadas de los atributos del rango y de la fuerza propios de las leyes formales, lo que determina la declaración de inconstitucionalidad y nulidad de los preceptos impugnados por vulnerar el art. 86.1 CE [FJ 6].</w:t>
      </w:r>
    </w:p>
    <w:p w:rsidR="0085709A" w:rsidRDefault="0085709A" w:rsidP="0085709A">
      <w:pPr>
        <w:pStyle w:val="Extracto"/>
      </w:pPr>
    </w:p>
    <w:p w:rsidR="0085709A" w:rsidRDefault="0085709A" w:rsidP="0085709A">
      <w:pPr>
        <w:pStyle w:val="Extracto"/>
      </w:pPr>
      <w:r>
        <w:t>2.</w:t>
      </w:r>
      <w:r>
        <w:tab/>
        <w:t>La justificación de la urgencia del conjunto de las medidas estructurales adoptadas en el sector eléctrico, basada la necesidad de combatir el déficit tarifario y garantizar la sostenibilidad del sistema en un contexto de reformas en diversos sectores económicos, tal justificación no es predicable de la medida que se examina, pues se modifica el régimen de una potestad de la que ya gozaba el Gobierno y que, de haberse aplicado conforme al régimen que ahora se modifica por la norma de urgencia, hubiera conducido al mismo resultado que se afirma perseguir con las normas objeto del presente proceso [FJ 6].</w:t>
      </w:r>
    </w:p>
    <w:p w:rsidR="0085709A" w:rsidRDefault="0085709A" w:rsidP="0085709A">
      <w:pPr>
        <w:pStyle w:val="Extracto"/>
      </w:pPr>
    </w:p>
    <w:p w:rsidR="0085709A" w:rsidRDefault="0085709A" w:rsidP="0085709A">
      <w:pPr>
        <w:pStyle w:val="Extracto"/>
      </w:pPr>
      <w:r>
        <w:t>3.</w:t>
      </w:r>
      <w:r>
        <w:tab/>
        <w:t>Los argumentos del Gobierno se refieren a los objetivos de las normas impugnadas y a sus contenidos, sin hacer consideración acerca de las razones que amparan la urgente y extraordinaria necesidad en su adopción, más allá de la genérica referencia a la actual coyuntura económica y la inexcusable necesidad de reducir el déficit público para alcanzar la estabilidad presupuestaria, justificación genérica que no cabe estimar suficiente [FJ 6].</w:t>
      </w:r>
    </w:p>
    <w:p w:rsidR="0085709A" w:rsidRDefault="0085709A" w:rsidP="0085709A">
      <w:pPr>
        <w:pStyle w:val="Extracto"/>
      </w:pPr>
    </w:p>
    <w:p w:rsidR="0085709A" w:rsidRDefault="0085709A" w:rsidP="0085709A">
      <w:pPr>
        <w:pStyle w:val="Extracto"/>
      </w:pPr>
      <w:r>
        <w:t>4.</w:t>
      </w:r>
      <w:r>
        <w:tab/>
        <w:t>En cuanto a la justificación específica —el déficit tarifario y la sostenibilidad económica del sector— nada se ha indicado acerca de la urgencia de la modificación para evitar la alegada incidencia de los tributos autonómicos en el déficit del sector así como sobre la necesidad de incluir los suplementos territoriales consecuencia de la existencia de esos tributos, habida cuenta que se trata de una medida diferenciada de las del resto que se aprueban para el sector eléctrico [FJ 6].</w:t>
      </w:r>
    </w:p>
    <w:p w:rsidR="0085709A" w:rsidRDefault="0085709A" w:rsidP="0085709A">
      <w:pPr>
        <w:pStyle w:val="Extracto"/>
      </w:pPr>
    </w:p>
    <w:p w:rsidR="0085709A" w:rsidRDefault="0085709A" w:rsidP="0085709A">
      <w:pPr>
        <w:pStyle w:val="Extracto"/>
      </w:pPr>
      <w:r>
        <w:t>5.</w:t>
      </w:r>
      <w:r>
        <w:tab/>
        <w:t xml:space="preserve">Para valorar la concurrencia del presupuesto habilitante resulta preciso acudir a la justificación de carácter específico, centrada en la amenaza que supone, para la sostenibilidad económica del sistema, el problema estructural del déficit tarifario provocado por los desajustes entre los costes del sistema eléctrico y los ingresos </w:t>
      </w:r>
      <w:r>
        <w:lastRenderedPageBreak/>
        <w:t>obtenidos a partir de los precios regulados fijados por la Administración General del Estado [FJ 5].</w:t>
      </w:r>
    </w:p>
    <w:p w:rsidR="0085709A" w:rsidRDefault="0085709A" w:rsidP="0085709A">
      <w:pPr>
        <w:pStyle w:val="Extracto"/>
      </w:pPr>
    </w:p>
    <w:p w:rsidR="0085709A" w:rsidRDefault="0085709A" w:rsidP="0085709A">
      <w:pPr>
        <w:pStyle w:val="Extracto"/>
      </w:pPr>
      <w:r>
        <w:t>6.</w:t>
      </w:r>
      <w:r>
        <w:tab/>
        <w:t xml:space="preserve">Cuando se denuncia la vulneración del presupuesto de hecho habilitante respecto, no del correspondiente Real Decreto-ley en su conjunto, sino únicamente en relación con uno o alguno de sus preceptos, la necesaria justificación </w:t>
      </w:r>
      <w:r w:rsidRPr="0085709A">
        <w:rPr>
          <w:i/>
        </w:rPr>
        <w:t xml:space="preserve">ad casum </w:t>
      </w:r>
      <w:r>
        <w:t>de la extraordinaria y urgente necesidad ha de ser apreciada en relación precisamente con los preceptos en concreto impugnados (SSTC 31/2011, 29/2015) [FJ 4].</w:t>
      </w:r>
    </w:p>
    <w:p w:rsidR="0085709A" w:rsidRDefault="0085709A" w:rsidP="0085709A">
      <w:pPr>
        <w:pStyle w:val="Extracto"/>
      </w:pPr>
    </w:p>
    <w:p w:rsidR="0085709A" w:rsidRDefault="0085709A" w:rsidP="0085709A">
      <w:pPr>
        <w:pStyle w:val="Extracto"/>
      </w:pPr>
      <w:r>
        <w:t>7.</w:t>
      </w:r>
      <w:r>
        <w:tab/>
        <w:t>Doctrina sobre el presupuesto habilitante de la situación de extraordinaria y urgente necesidad, ex art. 86 CE (SSTC 100/2012, 39/2013) [FJ 3].</w:t>
      </w:r>
    </w:p>
    <w:p w:rsidR="0085709A" w:rsidRDefault="0085709A" w:rsidP="0085709A">
      <w:pPr>
        <w:pStyle w:val="Extracto"/>
      </w:pPr>
    </w:p>
    <w:p w:rsidR="0085709A" w:rsidRDefault="0085709A" w:rsidP="0085709A">
      <w:pPr>
        <w:pStyle w:val="Extracto"/>
      </w:pPr>
      <w:r>
        <w:t>8.</w:t>
      </w:r>
      <w:r>
        <w:tab/>
        <w:t>Doctrina sobre el control externo realizada por el Tribunal Constitucional del cumplimiento del presupuesto habilitante (SSTC 182/1997, 1/2012) [FJ 3].</w:t>
      </w:r>
    </w:p>
    <w:p w:rsidR="0085709A" w:rsidRDefault="0085709A" w:rsidP="0085709A">
      <w:pPr>
        <w:pStyle w:val="Extracto"/>
      </w:pPr>
    </w:p>
    <w:p w:rsidR="0085709A" w:rsidRDefault="0085709A" w:rsidP="0085709A">
      <w:pPr>
        <w:pStyle w:val="Extracto"/>
      </w:pPr>
      <w:r>
        <w:t>9.</w:t>
      </w:r>
      <w:r>
        <w:tab/>
        <w:t>Doctrina sobre la definición de la situación de urgencia (SSTC 29/1982, 137/2003)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inconstitucionalidad núm. 2205-2013, interpuesto por la Junta de Extremadura contra el art. 38 y la disposición adicional decimoquinta del Real Decreto-ley 20/2012, de 13 de julio, de medidas para garantizar la estabilidad presupuestaria y de fomento de la competitividad. Ha comparecido y formulado alegaciones el Abogado del Estado. Ha sido Ponente el Magistrado don Santiago Martínez-Vares García,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presentado en el Registro General de este Tribunal Constitucional el día 12 de abril de 2013 el Letrado de la Junta de Extremadura, en la representación que ostenta, interpuso recurso de inconstitucionalidad contra el art. 38 y la disposición adicional </w:t>
      </w:r>
      <w:r>
        <w:lastRenderedPageBreak/>
        <w:t>decimoquinta del Real Decreto-ley 20/2012, de 13 de julio, de medidas para garantizar la estabilidad presupuestaria y de fomento de la competitividad.</w:t>
      </w:r>
    </w:p>
    <w:p w:rsidR="0085709A" w:rsidRDefault="0085709A" w:rsidP="0085709A">
      <w:pPr>
        <w:pStyle w:val="TextoNormal"/>
      </w:pPr>
    </w:p>
    <w:p w:rsidR="0085709A" w:rsidRDefault="0085709A" w:rsidP="0085709A">
      <w:pPr>
        <w:pStyle w:val="TextoNormal"/>
      </w:pPr>
      <w:r>
        <w:t>El recurso se fundamenta en los motivos que, resumidamente, se exponen a continuación:</w:t>
      </w:r>
    </w:p>
    <w:p w:rsidR="0085709A" w:rsidRDefault="0085709A" w:rsidP="0085709A">
      <w:pPr>
        <w:pStyle w:val="TextoNormal"/>
      </w:pPr>
    </w:p>
    <w:p w:rsidR="0085709A" w:rsidRDefault="0085709A" w:rsidP="0085709A">
      <w:pPr>
        <w:pStyle w:val="TextoNormal"/>
      </w:pPr>
      <w:r>
        <w:t>El Letrado de la Junta de Extremadura comienza sus alegaciones con un apartado titulado hechos, en el que expone el contenido de los preceptos impugnados y la aplicación a los mismos del procedimiento previsto en el art. 33.2 LOTC. Además señala que la materia jurídico constitucional sobre la que versa el recurso ya fue objeto de un acuerdo previo de resolución de conflicto entre el Estado y la Comunidad Autónoma de Extremadura en relación con la Ley 7/1997, de 29 de mayo, de medidas fiscales sobre la producción y el transporte de energía que incidan sobre el medio ambiente. A continuación expone lo que denomina fundamentos jurídico-procesales, señalando el objeto del recurso, la legitimación de la Junta de Extremadura para interponerlo, el plazo de interposición y el cumplimiento de las reglas sobre postulación.</w:t>
      </w:r>
    </w:p>
    <w:p w:rsidR="0085709A" w:rsidRDefault="0085709A" w:rsidP="0085709A">
      <w:pPr>
        <w:pStyle w:val="TextoNormal"/>
      </w:pPr>
    </w:p>
    <w:p w:rsidR="0085709A" w:rsidRDefault="0085709A" w:rsidP="0085709A">
      <w:pPr>
        <w:pStyle w:val="TextoNormal"/>
      </w:pPr>
    </w:p>
    <w:p w:rsidR="0085709A" w:rsidRDefault="0085709A" w:rsidP="0085709A">
      <w:pPr>
        <w:pStyle w:val="TextoNormal"/>
      </w:pPr>
      <w:r>
        <w:t>En cuanto a la fundamentación del recurso, comienza negando que el recurso tenga carácter prospectivo o preventivo en cuanto que las normas, al establecer la obligatoriedad de incluir un suplemento territorial para cubrir la totalidad del sobrecoste derivado de los tributos que graven las actividades o instalaciones destinadas al suministro eléctrico, afecta a los tributos autonómicos y, entre ellos, al impuesto extremeño sobre las instalaciones que incidan en el medio ambiente. Alude a continuación a que esta modificación pretende evitar desequilibrios en los costes de las empresas del sector eléctrico, estableciendo la obligatoriedad de imponer el suplemento territorial en los peajes de acceso y tarifas de último recurso, debiendo ser abonados por los consumidores, en el ámbito territorial de la respectiva Comunidad Autónoma. Además se deja en manos del Gobierno —concretamente en el Ministro de Industria, Energía y Turismo—, la decisión de qué tributos son susceptibles de ser repercutidos. Extremadura, dispone de un tributo propio que se declara expresamente como directo, esto es no repercutible al consumidor. Dicho tributo fue objeto de una modificación fruto del acuerdo con el Estado, en cuya virtud, se retiraba el recurso interpuesto contra la ya citada Ley 7/1997, y la Comunidad Autónoma se comprometía a modificar la norma en los términos fijados en dicho acuerdo, lo que se llevó a cabo mediante la Ley 8/2005, de modificación de la anterior. Para la demanda “se consensuó con el Estado la existencia pacífica de un impuesto directo, (a soportar por los titulares de las instalaciones medioambientalmente incisivas) de naturaleza extrafiscal (desmotivador de esa incidencia medioambiental) sobre instalaciones (eléctricas y de telefonía) con incidencia en el medio ambiente”, consenso que ahora se ve alterado por cuanto la nueva redacción dada por el Real Decreto-ley 20/2012 a la Ley del sector eléctrico establece la obligatoriedad de imponer el suplemento territorial en los peajes de acceso y tarifas de último recurso, debiendo ser abonado por los consumidores ubicados en el ámbito territorial de la respectiva Comunidad Autónoma.</w:t>
      </w:r>
    </w:p>
    <w:p w:rsidR="0085709A" w:rsidRDefault="0085709A" w:rsidP="0085709A">
      <w:pPr>
        <w:pStyle w:val="TextoNormal"/>
      </w:pPr>
    </w:p>
    <w:p w:rsidR="0085709A" w:rsidRDefault="0085709A" w:rsidP="0085709A">
      <w:pPr>
        <w:pStyle w:val="TextoNormal"/>
      </w:pPr>
      <w:r>
        <w:t>Tras estas consideraciones generales, la demanda expone los siguientes motivos de inconstitucionalidad:</w:t>
      </w:r>
    </w:p>
    <w:p w:rsidR="0085709A" w:rsidRDefault="0085709A" w:rsidP="0085709A">
      <w:pPr>
        <w:pStyle w:val="TextoNormal"/>
      </w:pPr>
    </w:p>
    <w:p w:rsidR="0085709A" w:rsidRDefault="0085709A" w:rsidP="0085709A">
      <w:pPr>
        <w:pStyle w:val="TextoNormal"/>
      </w:pPr>
      <w:r>
        <w:lastRenderedPageBreak/>
        <w:t>a) Vulneración del art 86.1 CE por afectar al régimen de las Comunidades Autónomas en el reparto de competencias financieras del bloque de la constitucionalidad. La modificación de la norma estatal supone un límite nuevo a la capacidad autonómica para crear tributos que hubiera debido introducirse en la Ley Orgánica de financiación de las Comunidades Autónomas (LOFCA), en la medida en que esta norma, en sus arts. 6 y 9, consagra el poder tributario autonómico y lo limita tan sólo en el sentido de evitar la doble imposición o la extraterritorialidad. Poder tributario autonómico que, por lo demás, cuenta con respaldo estatutario expreso en el art. 81 del Estatuto de Autonomía de Extremadura. En el caso concreto del impuesto extremeño se consensuó en el seno de la comisión bilateral de cooperación poniendo de manifiesto un entendimiento de los límites del art. 6.3 LOFCA que luego se confirmó en la Ley Orgánica 3/2009. De este modo, según el Letrado de la Junta de Extremadura, la norma estatal constituye un límite indebido al principio de autonomía financiera de las Comunidades Autónomas, y, en concreto, a la capacidad tributaria de Extremadura, por cuanto distorsiona y modifica unilateralmente la potestad de regular sus propios tributos, al cambiar, no sólo los elementos del mismo (modificación del obligado tributario, estableciendo un régimen de repercusión jurídica no establecido en la norma autonómica), sino la propia finalidad extrafiscal (ecológica), que anima al tributo, por cuanto el Estado persigue neutralizar “el efecto directo del tributo medioambiental autonómico, repercutiéndolo sobre los usuarios y consumidores finales, con el indisimulado fin de que no afecte ni suponga carga alguna a sus actuales destinatarios y obligados tributarios, las empresas productoras y distribuidoras de electricidad, cuya actividad afecta el medio natural”. A juicio de la demanda, esa modificación impone una limitación al ejercicio del poder tributario de Extremadura, que no puede llevarse a cabo por Decreto-ley.</w:t>
      </w:r>
    </w:p>
    <w:p w:rsidR="0085709A" w:rsidRDefault="0085709A" w:rsidP="0085709A">
      <w:pPr>
        <w:pStyle w:val="TextoNormal"/>
      </w:pPr>
    </w:p>
    <w:p w:rsidR="0085709A" w:rsidRDefault="0085709A" w:rsidP="0085709A">
      <w:pPr>
        <w:pStyle w:val="TextoNormal"/>
      </w:pPr>
      <w:r>
        <w:t>b) Vulneración del art. 86.1 CE por afectar al deber constitucional de contribuir al sostenimiento de las cargas públicas al trasladar el tributo a los consumidores. La demanda recuerda que, conforme a la doctrina constitucional, vulnera el art. 86.1 CE “cualquier intervención o innovación normativa que, por su entidad cualitativa o cuantitativa, altere sensiblemente la posición del obligado a contribuir según su capacidad económica en el conjunto del sistema tributario”. Esa alteración se produciría en el caso del Real Decreto-ley 20/2012, en cuanto que modifica la carga tributaria para trasladarla a los abonados finales, alterando así el deber de contribuir del art. 31 CE.</w:t>
      </w:r>
    </w:p>
    <w:p w:rsidR="0085709A" w:rsidRDefault="0085709A" w:rsidP="0085709A">
      <w:pPr>
        <w:pStyle w:val="TextoNormal"/>
      </w:pPr>
    </w:p>
    <w:p w:rsidR="0085709A" w:rsidRDefault="0085709A" w:rsidP="0085709A">
      <w:pPr>
        <w:pStyle w:val="TextoNormal"/>
      </w:pPr>
      <w:r>
        <w:t>c) Vulneración del art. 86.1 CE, por carecer las disposiciones impugnadas del presupuesto habilitante de la extraordinaria y urgente necesidad. Tras exponer la doctrina constitucional sobre la cuestión, la demanda señala que “la urgencia se vincula a la imposibilidad de implementar el contenido de la regulación o, en otras palabras, de alcanzar la finalidad deseada o buscada, mediante el procedimiento parlamentario común” así como “que la naturaleza extraordinaria de la necesidad, ha sido interpretada como el supuesto excepcional en el que la coyuntura circunstancial requiere una intervención normativa inmediata por parte del poder ejecutivo”, intervención debidamente justificada en el texto de la norma o en la documentación que lo acompaña. Tras recoger las afirmaciones de la exposición de motivos del Real Decreto-ley 20/2012 acerca del conjunto de medidas adoptadas en el sector eléctrico y, en concreto, sobre los preceptos impugnados, así como en relación con el presupuesto habilitante de la extraordinaria y urgente necesidad, señala que “no se alcanza a ver qué relación tiene el déficit o estabilidad presupuestaria pública con el hecho que sean las compañías eléctricas o sean los consumidores finales los que soporten los tributos auto</w:t>
      </w:r>
      <w:r>
        <w:lastRenderedPageBreak/>
        <w:t>nómicos”. Indica, además, que ninguna conclusión puede obtenerse del debate de convalidación, lo que le lleva a concluir que “aunque existe una explicación de lo que se hace, el por qué se hace, nada se justifica sobre la urgencia de la misma más que por el recurso a formular estereotipos carentes de consistencia alguna”, resultando entonces de aplicación la doctrina de la STC 137/2011 en relación a la carencia de la nota de urgencia constitucionalmente exigida. Carencia de urgencia que también pone de manifiesto la falta de aplicación de la habilitación legal contenida en la disposición adicional decimoquinta con relación a la concreción de los tributos territoriales que han de ser repercutidos a los usuarios finales.</w:t>
      </w:r>
    </w:p>
    <w:p w:rsidR="0085709A" w:rsidRDefault="0085709A" w:rsidP="0085709A">
      <w:pPr>
        <w:pStyle w:val="TextoNormal"/>
      </w:pPr>
    </w:p>
    <w:p w:rsidR="0085709A" w:rsidRDefault="0085709A" w:rsidP="0085709A">
      <w:pPr>
        <w:pStyle w:val="TextoNormal"/>
      </w:pPr>
      <w:r>
        <w:t>d) Vulneración del principio de seguridad jurídica del art. 9.3 CE por la disposición adicional decimoquinta del Real Decreto-ley 20/2012. En este sentido la demanda califica la norma de arbitraria y argumenta que se crea inseguridad jurídica respecto a la decisión última del Ministro y su alcance respecto al tributo extremeño, pues lo que debería evitarse es que “la obligación patrimonial que traslada el Decreto ley a los abonados eléctricos, penda efectiva y jurídicamente del criterio del Ministro de Industria”.</w:t>
      </w:r>
    </w:p>
    <w:p w:rsidR="0085709A" w:rsidRDefault="0085709A" w:rsidP="0085709A">
      <w:pPr>
        <w:pStyle w:val="TextoNormal"/>
      </w:pPr>
    </w:p>
    <w:p w:rsidR="0085709A" w:rsidRDefault="0085709A" w:rsidP="0085709A">
      <w:pPr>
        <w:pStyle w:val="TextoNormal"/>
      </w:pPr>
      <w:r>
        <w:t>e) Vulneración del principio de reserva de ley en materia tributaria del art. 31.3 CE por la disposición adicional decimoquinta del Real Decreto-ley 20/2012. Así, argumentando que el mandato de la disposición adicional decimoquinta, al introducir un suplemento público al precio del consumo de un bien esencial como la electricidad, se engarza en una prestación patrimonial de carácter público, estima que, conforme al art. 31 CE, ha de ser fijado por ley, pues la reserva legal alcanza no sólo a la creación sino también a la determinación de los elementos esenciales de esa prestación patrimonial de carácter público. De esta manera derivar al Ministro la determinación de las Comunidades Autónomas a las que afectaría el “suplemento territorial”, constituye una auténtica deslegalización de la determinación y aplicación misma de dicho suplemento territorial, vulnerando así la necesaria reserva de ley.</w:t>
      </w:r>
    </w:p>
    <w:p w:rsidR="0085709A" w:rsidRDefault="0085709A" w:rsidP="0085709A">
      <w:pPr>
        <w:pStyle w:val="TextoNormal"/>
      </w:pPr>
    </w:p>
    <w:p w:rsidR="0085709A" w:rsidRDefault="0085709A" w:rsidP="0085709A">
      <w:pPr>
        <w:pStyle w:val="TextoNormal"/>
      </w:pPr>
      <w:r>
        <w:t xml:space="preserve">f) Infracción del principio de lealtad institucional. Tras aludir profusamente a la doctrina constitucional en la materia, el Letrado de la Junta de Extremadura señala que el mencionado principio se ha plasmado en el art. 86.1 del Estatuto de Autonomía de Extremadura, así como en el art. 2.1 g) LOFCA, de los que, a su juicio, se deriva la obligación de compensar a las Comunidades Autónomas, en el caso de perturbación de un recurso tributario autonómico por una decisión estatal. Algo a lo que también obligaría el art. 9 de la Ley Orgánica 2/2012, de 27 de abril, de estabilidad presupuestaria. Según el Letrado de la Junta de Extremadura, “en el caso que nos ocupa, la incidencia de la actuación del Decreto-ley del Estado es incuestionable sobre la finalidad extrafiscal del tributo extremeño”, resaltando además que la regulación actualmente vigente del impuesto extremeño, la que deriva de la Ley 8/2005, es fruto de un acuerdo expreso en el seno de la comisión bilateral de cooperación, cumplido en sus literales términos por la Comunidad Autónoma de Extremadura. Dicha actuación “no ha tenido una respuesta idéntica por parte del Estado en la medida que el Decreto-ley recurrido no solo se aparta de lo pactado literalmente con Extremadura sino que establece una previsión literalmente contraria a la prohibición de repercusión del tributo medioambiental extremeño”. En la demanda se afirma que “el Estado por Decreto ley no puede pervertir y desnaturalizar una política medioambiental sustentada por la finalidad extrafiscal de un tributo que ha sido pactado, en su configuración literal, con el Estado. La anterior afirmación, sin duda nos lleva a una violación por parte del Estado del principio de </w:t>
      </w:r>
      <w:r>
        <w:lastRenderedPageBreak/>
        <w:t>lealtad institucional, en cualquiera de sus dimensiones y por muy básica que se quiera entender su configuración”.</w:t>
      </w:r>
    </w:p>
    <w:p w:rsidR="0085709A" w:rsidRDefault="0085709A" w:rsidP="0085709A">
      <w:pPr>
        <w:pStyle w:val="TextoNormal"/>
      </w:pPr>
    </w:p>
    <w:p w:rsidR="0085709A" w:rsidRDefault="0085709A" w:rsidP="0085709A">
      <w:pPr>
        <w:pStyle w:val="TextoNormal"/>
      </w:pPr>
      <w:r>
        <w:t>g) Vulneración del principio de igualdad tributaria del art. 139 en relación con los arts. 14 y 31 CE. La demanda alega que los preceptos impugnados “suponen la imposición de una carga desigual, injusta y absolutamente injustificada y desproporcionada a los ciudadanos de la Comunidad Autónoma de Extremadura, con respecto de los de otras Comunidades Autónomas”. Igualmente sostiene que “con el sobrecoste de la energía eléctrica, no vinculado al consumo de la misma, se conculca de manera clara el precitado art. 139 CE, en relación con el artículo 14, por cuanto supone una discriminación injustificada, y del artículo 31, por cuanto no se vincula el sobrecoste al principio de capacidad económica, al hacer de cada consumidor extremeño, los sujetos pasivos de un impuesto que va destinado como únicos destinatarios a las empresas a las que la ley extremeña sujeta al impuesto como obligados tributarios a título de contribuyentes”. Niega la demanda que las normas objeto del presente recurso respondan a un objetivo legítimo desde el punto de vista constitucional, ni una relación de causalidad y necesidad con el medio ordenado para hacerlo posible, de suerte que vulnera tanto la consagración de la igualdad de derechos y obligaciones de los ciudadanos en cualquier parte del territorio del Estado como la libertad de circulación ordenada por el art. 139 CE.</w:t>
      </w:r>
    </w:p>
    <w:p w:rsidR="0085709A" w:rsidRDefault="0085709A" w:rsidP="0085709A">
      <w:pPr>
        <w:pStyle w:val="TextoNormal"/>
      </w:pPr>
    </w:p>
    <w:p w:rsidR="0085709A" w:rsidRDefault="0085709A" w:rsidP="0085709A">
      <w:pPr>
        <w:pStyle w:val="TextoNormal"/>
      </w:pPr>
      <w:r>
        <w:t>h) Vulneración del principio de capacidad económica establecido en el art. 31 CE, por cuanto “el suplemento territorializado pretendido con la norma estatal, desvincula su cuantía de la capacidad económica de los consumidores, al hacer recaer sobre los mismos la totalidad del gravamen, pensado y diseñado en todos sus elementos, con el propósito de que recayera sobre una actividad empresarial generadora de riqueza, como es la actividad empresarial del sector eléctrico”.</w:t>
      </w:r>
    </w:p>
    <w:p w:rsidR="0085709A" w:rsidRDefault="0085709A" w:rsidP="0085709A">
      <w:pPr>
        <w:pStyle w:val="TextoNormal"/>
      </w:pPr>
    </w:p>
    <w:p w:rsidR="0085709A" w:rsidRDefault="0085709A" w:rsidP="0085709A">
      <w:pPr>
        <w:pStyle w:val="TextoNormal"/>
      </w:pPr>
      <w:r>
        <w:t>i) Quebrantamiento del principio democrático por el exceso de normas afectadas por el Decreto-ley recurrido por cuanto, según se afirma, “el aluvión de normas y sectores afectados por el Decreto-ley, así como su heterogeneidad, dificultan incluso el control a posteriori del parlamento, por cuanto la convalidación de la misma no se acomete con la precisión y rigor sectorizado, pues el debate y aprobación se efectúa respecto a la norma en su conjunto”.</w:t>
      </w:r>
    </w:p>
    <w:p w:rsidR="0085709A" w:rsidRDefault="0085709A" w:rsidP="0085709A">
      <w:pPr>
        <w:pStyle w:val="TextoNormal"/>
      </w:pPr>
    </w:p>
    <w:p w:rsidR="0085709A" w:rsidRDefault="0085709A" w:rsidP="0085709A">
      <w:pPr>
        <w:pStyle w:val="TextoNormal"/>
      </w:pPr>
      <w:r w:rsidRPr="0085709A">
        <w:rPr>
          <w:rStyle w:val="NumeroAFNegritaCaracter"/>
        </w:rPr>
        <w:t>2</w:t>
      </w:r>
      <w:r>
        <w:t>. Por providencia de 7 de mayo de 2013, el Pleno del Tribunal Constitucional, a propuesta de la Sección Segunda, acordó admitir a trámite el recurso de inconstitucionalidad y dar traslado de la demanda y documentos presentados, conforme establece el art. 34 LOTC, al Congreso de los Diputados y al Senado así como al Gobierno, al objeto de que en el plazo de quince días pudieran personarse en el proceso y formular las alegaciones que estimaren convenientes. También se ordenó publicar la incoación del recurso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registrado el 14 de mayo de 2013, el Abogado del Estado se personó en nombre del Gobierno solicitando una prórroga en el plazo para la formulación de alegaciones, prórroga que le fue concedida por providencia del Pleno de 16 de mayo de 2013.</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4</w:t>
      </w:r>
      <w:r>
        <w:t>. El día 22 de mayo de 2013, el Presidente del Senado comunicó el acuerdo de la Mesa de la Cámara de personarse en el procedimiento y ofrecer su colaboración a los efectos del art. 88.1 LOTC. Lo mismo hizo el Presidente del Congreso de los Diputados por escrito que tuvo entrada en este Tribunal el día 23 de mayo de 2013.</w:t>
      </w:r>
    </w:p>
    <w:p w:rsidR="0085709A" w:rsidRDefault="0085709A" w:rsidP="0085709A">
      <w:pPr>
        <w:pStyle w:val="TextoNormal"/>
      </w:pPr>
    </w:p>
    <w:p w:rsidR="0085709A" w:rsidRDefault="0085709A" w:rsidP="0085709A">
      <w:pPr>
        <w:pStyle w:val="TextoNormal"/>
      </w:pPr>
      <w:r w:rsidRPr="0085709A">
        <w:rPr>
          <w:rStyle w:val="NumeroAFNegritaCaracter"/>
        </w:rPr>
        <w:t>5</w:t>
      </w:r>
      <w:r>
        <w:t>. Las alegaciones presentadas por el Abogado del Estado interesando la desestimación del recurso fueron registradas en este Tribunal el día 14 de junio de 2013.</w:t>
      </w:r>
    </w:p>
    <w:p w:rsidR="0085709A" w:rsidRDefault="0085709A" w:rsidP="0085709A">
      <w:pPr>
        <w:pStyle w:val="TextoNormal"/>
      </w:pPr>
    </w:p>
    <w:p w:rsidR="0085709A" w:rsidRDefault="0085709A" w:rsidP="0085709A">
      <w:pPr>
        <w:pStyle w:val="TextoNormal"/>
      </w:pPr>
      <w:r>
        <w:t>Tras recoger el tenor literal de los preceptos impugnados y sistematizar los motivos de la impugnación, examina en primer lugar la queja relativa a la ausencia del presupuesto habilitante exigido por el art. 86.1 CE.</w:t>
      </w:r>
    </w:p>
    <w:p w:rsidR="0085709A" w:rsidRDefault="0085709A" w:rsidP="0085709A">
      <w:pPr>
        <w:pStyle w:val="TextoNormal"/>
      </w:pPr>
    </w:p>
    <w:p w:rsidR="0085709A" w:rsidRDefault="0085709A" w:rsidP="0085709A">
      <w:pPr>
        <w:pStyle w:val="TextoNormal"/>
      </w:pPr>
      <w:r>
        <w:t>A tal efecto expone pormenorizadamente la doctrina constitucional, señalando que de la misma se deduce que el canon de enjuiciamiento se ciñe a corregir una eventual valoración abusiva o arbitraria por parte de los poderes políticos de la necesidad concurrente. Indica que, desde un punto de vista formal, los órganos políticos han cumplido con la exigencia de exteriorizar las razones de urgencia que legitiman la utilización de esta figura normativa, motivos que justifican la decisión de acudir al Real Decreto-ley 20/2012. Tales motivos son los siguientes: la existencia de una crisis económica sin precedentes que exige de fuertes ajustes presupuestarios y cuya virulencia se ha acrecentado en los dos primeros trimestres del año, obligando a la adopción de medidas urgentes en dos ejes: la consolidación fiscal y el impulso de nuevas reformas estructurales. En el debate de convalidación se hizo asimismo referencia a la grave situación de crisis y a las debilidades estructurales de la economía española y de su sector público y lo mismo hace la memoria de análisis de impacto normativo del Real Decreto-ley 20/2012, que acompaña a su escrito. Finaliza este alegato señalando que, de la difícil situación de la economía española se han hecho eco tanto el Banco de España, en sus informes anuales, como diversas decisiones de este Tribunal.</w:t>
      </w:r>
    </w:p>
    <w:p w:rsidR="0085709A" w:rsidRDefault="0085709A" w:rsidP="0085709A">
      <w:pPr>
        <w:pStyle w:val="TextoNormal"/>
      </w:pPr>
    </w:p>
    <w:p w:rsidR="0085709A" w:rsidRDefault="0085709A" w:rsidP="0085709A">
      <w:pPr>
        <w:pStyle w:val="TextoNormal"/>
      </w:pPr>
      <w:r>
        <w:t>Alude, en segundo lugar, a la situación del sector eléctrico, señalando el problema que supone el denominado déficit tarifario que obliga a adoptar medidas adicionales a las ya previstas, entre las que se encuentra la del suplemento territorial, debidamente justificada en el preámbulo del Real Decreto-ley 20/2012 así como en la memoria de análisis de impacto. Igualmente acompaña a su escrito un informe de la Comisión Nacional de Energía en la que se ponen de manifiesto el problema del déficit tarifario y la necesidad de introducir reformas que alteren la insostenible situación actual. Concluye el Abogado del Estado indicando que “sería urgente abordar una situación como la descrita del sector eléctrico en la que se está generando año tras año una importante deuda que amenaza con lastrar la economía española para el futuro y que afecta gravemente a la competitividad de empresas y emprendedores. Conviene no olvidar que el sobrecoste energético y el endeudamiento derivado del déficit tarifario se hace recaer sobre una economía profundamente debilitada con una situación de las cuentas públicas insostenible y con cifras de paro alarmantes”.</w:t>
      </w:r>
    </w:p>
    <w:p w:rsidR="0085709A" w:rsidRDefault="0085709A" w:rsidP="0085709A">
      <w:pPr>
        <w:pStyle w:val="TextoNormal"/>
      </w:pPr>
    </w:p>
    <w:p w:rsidR="0085709A" w:rsidRDefault="0085709A" w:rsidP="0085709A">
      <w:pPr>
        <w:pStyle w:val="TextoNormal"/>
      </w:pPr>
      <w:r>
        <w:t xml:space="preserve">Descarta a continuación la vulneración de los límites materiales que derivan del art. 86.1 CE. Indica al respecto que el argumento impugnatorio principal denuncia que las medidas estatales recurridas conllevan la repercusión de los tributos propios de las Comunidades Autónomas sobre instalaciones eléctricas a los consumidores de electricidad de cada región y que con ello se vienen a desconocer las prohibiciones de repercusión establecidas en las normas autonómicas, en concreto, la que prescribe el art. 16.2 del Decreto Legislativo </w:t>
      </w:r>
      <w:r>
        <w:lastRenderedPageBreak/>
        <w:t>2/2006, de 12 de diciembre, por el que se aprueba el texto refundido de las disposiciones legales de la Comunidad Autónoma de Extremadura en materia de tributos propios. Frente a ello señala el Abogado del Estado que el establecimiento de un suplemento territorial no es en modo alguno una repercusión tributaria que transforme a estos impuestos directos en otros de naturaleza indirecta, debiendo tenerse en cuenta, además, que tanto el esquema de costes como de ingresos de las empresas del sector eléctrico están regulados, sin que sea posible la libre traslación de los costes impositivos de acuerdo a los criterios puros de mercado. Tras señalar que la norma autonómica no es parámetro de constitucionalidad de la estatal destaca que ésta se dicta al amparo de las competencias estatales sobre el régimen económico del sector eléctrico, reconocidas por la doctrina de las SSTC 18/2011, 148/2011 y 102/2013, y que determinan la existencia de un régimen único para todo el territorio nacional al ser necesaria una regulación uniforme para calcular la retribución de los distintos operadores que realizan las diferentes actividades encaminadas al suministro eléctrico, entre las que se encuentran las de producción, transporte y distribución. En definitiva el legislador básico, dentro del ámbito de sus competencias, se limita a garantizar la existencia de un régimen económico único para todo el territorio nacional del sector eléctrico y trata de garantizar que la aplicación y el desenvolvimiento del tributo autonómico, que no se cuestiona, no incida en el régimen económico del sector eléctrico afectando a la formación de los precios de la energía en el ámbito nacional.</w:t>
      </w:r>
    </w:p>
    <w:p w:rsidR="0085709A" w:rsidRDefault="0085709A" w:rsidP="0085709A">
      <w:pPr>
        <w:pStyle w:val="TextoNormal"/>
      </w:pPr>
    </w:p>
    <w:p w:rsidR="0085709A" w:rsidRDefault="0085709A" w:rsidP="0085709A">
      <w:pPr>
        <w:pStyle w:val="TextoNormal"/>
      </w:pPr>
      <w:r>
        <w:t>Por otro lado resalta el difícil encaje de la norma autonómica en la configuración técnica de la repercusión tributaria, a la que resulta ajena una prohibición como la que se establece en el tributo autonómico. Entiende el Abogado del Estado que, en una economía de mercado, esta cuestión excede de la regulación propia de los elementos del tributo y se adentra en la determinación del precio del correspondiente producto o servicio. Resulta innegable, según el escrito de contestación a la demanda, que lo que el legislador estatal pretende “es que los tributos autonómicos no tengan repercusión en el precio final de la energía eléctrica que se deba pagar en todo el territorio nacional, sino que se soporte en aquellas Comunidades Autónomas que decidan imponerlo, en coherencia con el principio de territorialidad consignado en el artículo 9 LOFCA” de modo que “se introduce una previsión que garantice que el desenvolvimiento y la aplicación del tributo no tenga incidencia en los precios del sistema eléctrico nacional y no afecte, en consecuencia, al régimen económico único del sector eléctrico establecido por el Estado para todo el territorio nacional”. Por último, alega que este motivo de inconstitucionalidad relacionado con el problema competencial que suscita la demanda debe ser rechazado atendiendo a la doctrina constitucional acerca del límite material relativo al “régimen de las Comunidades Autónomas” que no puede entenderse referente a cualquier regulación que incida en las competencias autonómicas.</w:t>
      </w:r>
    </w:p>
    <w:p w:rsidR="0085709A" w:rsidRDefault="0085709A" w:rsidP="0085709A">
      <w:pPr>
        <w:pStyle w:val="TextoNormal"/>
      </w:pPr>
    </w:p>
    <w:p w:rsidR="0085709A" w:rsidRDefault="0085709A" w:rsidP="0085709A">
      <w:pPr>
        <w:pStyle w:val="TextoNormal"/>
      </w:pPr>
      <w:r>
        <w:t xml:space="preserve">Respecto a la afectación al deber constitucional de contribuir al sostenimiento de las cargas públicas al trasladar a los consumidores la carga de un tributo señala, tras exponer la doctrina en la materia, que los preceptos impugnados no vulneran ese límite material y, por tanto, son conformes con el art. 86.1 CE, pues dicho precepto únicamente impediría que por decreto-ley se abordara una innovación normativa que, por su entidad cualitativa o cuantitativa, alterase sensiblemente la posición de la generalidad de los obligados a contribuir. Para que pueda producirse esa afectación es preciso que se incida en un tributo que ocupe una posición central en el sistema tributario y, además, que se modifiquen elementos esenciales de ese tributo. Para el Abogado del Estado resulta claro que se respetan tales límites pues no modifica el régimen de ningún impuesto central de nuestro sistema tributario, sino </w:t>
      </w:r>
      <w:r>
        <w:lastRenderedPageBreak/>
        <w:t>que se trata de una figura tributaria de aplicación territorialmente limitada y, por tanto, de escasísimo relieve en el "conjunto del sistema tributario", que se aplica, comparativamente, a pocos sujetos pasivos, por lo que no puede considerarse que quede esencialmente afectado el deber constitucional de contribuir.</w:t>
      </w:r>
    </w:p>
    <w:p w:rsidR="0085709A" w:rsidRDefault="0085709A" w:rsidP="0085709A">
      <w:pPr>
        <w:pStyle w:val="TextoNormal"/>
      </w:pPr>
    </w:p>
    <w:p w:rsidR="0085709A" w:rsidRDefault="0085709A" w:rsidP="0085709A">
      <w:pPr>
        <w:pStyle w:val="TextoNormal"/>
      </w:pPr>
      <w:r>
        <w:t>Descarta a continuación la vulneración del principio de seguridad jurídica del art. 9.3 CE, que se reprocha a la disposición adicional decimoquinta, indicando que “tiene una evidente explicación racional que no es otra que evitar recoger en un texto legal la concreta mención de cada uno los tributos y recargos que ‘serán considerados a efectos de la aplicación del suplemento territorial a los peajes de acceso y tarifas de último recurso’.” Señala también que la norma “no incurre en ninguno de los vicios que le harían vulnerar la seguridad jurídica, al ser patente que no es una norma incierta o falta de la indispensable claridad, por contar con un contenido preciso y unos efectos perfectamente determinados; haber sido formalmente publicada y no incurrir en arbitrariedad ni carecer de razonabilidad”.</w:t>
      </w:r>
    </w:p>
    <w:p w:rsidR="0085709A" w:rsidRDefault="0085709A" w:rsidP="0085709A">
      <w:pPr>
        <w:pStyle w:val="TextoNormal"/>
      </w:pPr>
    </w:p>
    <w:p w:rsidR="0085709A" w:rsidRDefault="0085709A" w:rsidP="0085709A">
      <w:pPr>
        <w:pStyle w:val="TextoNormal"/>
      </w:pPr>
      <w:r>
        <w:t>El Abogado del Estado niega la vulneración del principio de reserva de ley tributaria del art. 31.3 CE, que se imputa también a la disposición adicional decimoquinta, por entender que el suplemento territorial no constituye un tributo y aun aceptando que pudiera calificarse de prestación patrimonial de carácter público, la determinación de los tributos autonómicos a tener en cuenta para aplicar el suplemento y la de los mecanismos para su gestión y liquidación no pueden estimarse que vulneren la reserva de ley constitucionalmente establecida, atendiendo, además, a la posibilidad de una mayor intervención del reglamento respecto a estas últimas.</w:t>
      </w:r>
    </w:p>
    <w:p w:rsidR="0085709A" w:rsidRDefault="0085709A" w:rsidP="0085709A">
      <w:pPr>
        <w:pStyle w:val="TextoNormal"/>
      </w:pPr>
    </w:p>
    <w:p w:rsidR="0085709A" w:rsidRDefault="0085709A" w:rsidP="0085709A">
      <w:pPr>
        <w:pStyle w:val="TextoNormal"/>
      </w:pPr>
      <w:r>
        <w:t xml:space="preserve">Descarta que exista la deslealtad constitucional que se hace derivar del supuesto incumplimiento por parte del Estado del Acuerdo de la comisión bilateral de cooperación Administración general del Estado-Comunidad Autónoma de Extremadura respecto del inicial tributo autonómico, pues tal acuerdo fue cumplido por el Estado al desistir del recurso de inconstitucionalidad que se menciona en el acuerdo. Lo que no puede pretenderse es “vincular </w:t>
      </w:r>
      <w:r w:rsidRPr="0085709A">
        <w:rPr>
          <w:i/>
        </w:rPr>
        <w:t>pro futuro</w:t>
      </w:r>
      <w:r>
        <w:t xml:space="preserve"> al Estado traduciendo el respeto al acuerdo en su día alcanzado para llevar a cabo determinada actuación, en una prohibición que impida al Estado cualquier actuación legislativa posterior que precise adoptar en aras del interés general, cual es en este supuesto hacer frente a la carga económica que vienen soportando los consumidores nacionales por la creación de determinados tributos autonómicos”.</w:t>
      </w:r>
    </w:p>
    <w:p w:rsidR="0085709A" w:rsidRDefault="0085709A" w:rsidP="0085709A">
      <w:pPr>
        <w:pStyle w:val="TextoNormal"/>
      </w:pPr>
    </w:p>
    <w:p w:rsidR="0085709A" w:rsidRDefault="0085709A" w:rsidP="0085709A">
      <w:pPr>
        <w:pStyle w:val="TextoNormal"/>
      </w:pPr>
      <w:r>
        <w:t>En cuanto a la vulneración del principio de igualdad tributaria del art. 139 en relación con los arts. 31 y 14 CE, señala que no se produce la ruptura de la unidad de mercado que se aprecia en la demanda, ni tampoco existe una discriminación que no tenga una justificación objetiva y razonable o que resulte desproporcionada pues el suplemento territorial afectará a todos aquellos consumidores que se hallen en la Comunidad Autónoma impositora y en la medida que sea necesaria para cubrir el sobrecoste provocado por el correspondiente tributo autonómico. Tampoco se vulnera el principio de capacidad económica del art. 31.1. CE, que es exigible respecto del sistema tributario en su conjunto y no respecto de cada una de las figuras impositivas, y, además, “no puede afirmarse con rigor que exista una desvinculación respecto de la capacidad económica de los consumidores, al no constituir un tributo el suplemento territorial a incluir en el peaje de acceso o en la tarifa de último recurso y que en todo caso su cuantía se limitará a aquella que sea suficiente para cubrir el sobrecoste que provoque el correspondiente tributo o recargo”.</w:t>
      </w:r>
    </w:p>
    <w:p w:rsidR="0085709A" w:rsidRDefault="0085709A" w:rsidP="0085709A">
      <w:pPr>
        <w:pStyle w:val="TextoNormal"/>
      </w:pPr>
    </w:p>
    <w:p w:rsidR="0085709A" w:rsidRDefault="0085709A" w:rsidP="0085709A">
      <w:pPr>
        <w:pStyle w:val="TextoNormal"/>
      </w:pPr>
      <w:r>
        <w:t>Por último, señala el inexistente quebrantamiento del principio democrático, vicio que se reprocha a toda la norma, resultando imposible hacer derivar tal tacha de los específicos preceptos impugnados y bastando para desestimarla la remisión a la doctrina de la STC 136/2011.</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9 de junio de dos mil quince, se señaló para deliberación y votación de la presente Sentencia el día 11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En el presente proceso constitucional debemos resolver el recurso de inconstitucionalidad interpuesto por la Junta de Extremadura contra el art. 38 y la disposición adicional decimoquinta del Real Decreto-ley 20/2012, de 13 de julio, de medidas para garantizar la estabilidad presupuestaria y de fomento de la competitividad.</w:t>
      </w:r>
    </w:p>
    <w:p w:rsidR="0085709A" w:rsidRDefault="0085709A" w:rsidP="0085709A">
      <w:pPr>
        <w:pStyle w:val="TextoNormal"/>
      </w:pPr>
    </w:p>
    <w:p w:rsidR="0085709A" w:rsidRDefault="0085709A" w:rsidP="0085709A">
      <w:pPr>
        <w:pStyle w:val="TextoNormal"/>
      </w:pPr>
      <w:r>
        <w:t>Los preceptos impugnados disponen lo siguiente:</w:t>
      </w:r>
    </w:p>
    <w:p w:rsidR="0085709A" w:rsidRDefault="0085709A" w:rsidP="0085709A">
      <w:pPr>
        <w:pStyle w:val="TextoNormal"/>
      </w:pPr>
    </w:p>
    <w:p w:rsidR="0085709A" w:rsidRDefault="0085709A" w:rsidP="0085709A">
      <w:pPr>
        <w:pStyle w:val="TextoNormal"/>
      </w:pPr>
      <w:r>
        <w:t>“Artículo 38. Modificación de la Ley 54/1997, de 27 de noviembre, del sector eléctrico.</w:t>
      </w:r>
    </w:p>
    <w:p w:rsidR="0085709A" w:rsidRDefault="0085709A" w:rsidP="0085709A">
      <w:pPr>
        <w:pStyle w:val="TextoNormal"/>
      </w:pPr>
    </w:p>
    <w:p w:rsidR="0085709A" w:rsidRDefault="0085709A" w:rsidP="0085709A">
      <w:pPr>
        <w:pStyle w:val="TextoNormal"/>
      </w:pPr>
      <w:r>
        <w:t>Se modifica la Ley 54/1997 de 27 de noviembre, del sector eléctrico, en los siguientes términos:</w:t>
      </w:r>
    </w:p>
    <w:p w:rsidR="0085709A" w:rsidRDefault="0085709A" w:rsidP="0085709A">
      <w:pPr>
        <w:pStyle w:val="TextoNormal"/>
      </w:pPr>
    </w:p>
    <w:p w:rsidR="0085709A" w:rsidRDefault="0085709A" w:rsidP="0085709A">
      <w:pPr>
        <w:pStyle w:val="TextoNormal"/>
      </w:pPr>
      <w:r>
        <w:t>Uno. Se modifica el apartado 4 del art 17 que pasa a tener la siguiente redacción:</w:t>
      </w:r>
    </w:p>
    <w:p w:rsidR="0085709A" w:rsidRDefault="0085709A" w:rsidP="0085709A">
      <w:pPr>
        <w:pStyle w:val="TextoNormal"/>
      </w:pPr>
    </w:p>
    <w:p w:rsidR="0085709A" w:rsidRDefault="0085709A" w:rsidP="0085709A">
      <w:pPr>
        <w:pStyle w:val="TextoNormal"/>
      </w:pPr>
      <w:r>
        <w:t>4. En caso de que las actividades o instalaciones destinadas al suministro eléctrico fueran gravadas, directa o indirectamente, con tributos propios de las Comunidades Autónomas o recargos sobre tributos estatales, al peaje de acceso se le incluirá un suplemento territorial que cubrirá la totalidad del sobrecoste provocado por ese tributo o recargo y que deberá ser abonado por los consumidores ubicados en el ámbito territorial de la respectiva Comunidad Autónoma.</w:t>
      </w:r>
    </w:p>
    <w:p w:rsidR="0085709A" w:rsidRDefault="0085709A" w:rsidP="0085709A">
      <w:pPr>
        <w:pStyle w:val="TextoNormal"/>
      </w:pPr>
    </w:p>
    <w:p w:rsidR="0085709A" w:rsidRDefault="0085709A" w:rsidP="0085709A">
      <w:pPr>
        <w:pStyle w:val="TextoNormal"/>
      </w:pPr>
      <w:r>
        <w:t>En el caso de que los tributos impuestos sean de carácter local y no vengan determinados por normativa estatal, al peaje de acceso se le podrá incluir un suplemento territorial que cubra la totalidad del sobrecoste provocado.</w:t>
      </w:r>
    </w:p>
    <w:p w:rsidR="0085709A" w:rsidRDefault="0085709A" w:rsidP="0085709A">
      <w:pPr>
        <w:pStyle w:val="TextoNormal"/>
      </w:pPr>
    </w:p>
    <w:p w:rsidR="0085709A" w:rsidRDefault="0085709A" w:rsidP="0085709A">
      <w:pPr>
        <w:pStyle w:val="TextoNormal"/>
      </w:pPr>
      <w:r>
        <w:t>Dos. Se modifica el apartado 5 del art. 18 en los siguientes términos:</w:t>
      </w:r>
    </w:p>
    <w:p w:rsidR="0085709A" w:rsidRDefault="0085709A" w:rsidP="0085709A">
      <w:pPr>
        <w:pStyle w:val="TextoNormal"/>
      </w:pPr>
    </w:p>
    <w:p w:rsidR="0085709A" w:rsidRDefault="0085709A" w:rsidP="0085709A">
      <w:pPr>
        <w:pStyle w:val="TextoNormal"/>
      </w:pPr>
      <w:r>
        <w:t>5. En caso de que las actividades o instalaciones destinadas al suministro eléctrico fueran gravadas, directa o indirectamente, con tributos propios de las Comunidades Autónomas o recargos sobre tributos estatales a la tarifa de último recurso se le incluirá un suplemento territorial que cubrirá la totalidad del sobrecoste provocado por ese tributo o recargo y que deberá ser abonado por los consumidores ubicados en el ámbito territorial de la respectiva Comunidad Autónoma.</w:t>
      </w:r>
    </w:p>
    <w:p w:rsidR="0085709A" w:rsidRDefault="0085709A" w:rsidP="0085709A">
      <w:pPr>
        <w:pStyle w:val="TextoNormal"/>
      </w:pPr>
      <w:r>
        <w:tab/>
      </w:r>
    </w:p>
    <w:p w:rsidR="0085709A" w:rsidRDefault="0085709A" w:rsidP="0085709A">
      <w:pPr>
        <w:pStyle w:val="TextoNormal"/>
      </w:pPr>
      <w:r>
        <w:lastRenderedPageBreak/>
        <w:t>En el caso de que los tributos impuestos sean de carácter local y no vengan determinados por normativa estatal, a la tarifa de último recurso se le podrá incluir un suplemento territorial que cubra la totalidad del sobrecoste provocado.”</w:t>
      </w:r>
    </w:p>
    <w:p w:rsidR="0085709A" w:rsidRDefault="0085709A" w:rsidP="0085709A">
      <w:pPr>
        <w:pStyle w:val="TextoNormal"/>
      </w:pPr>
    </w:p>
    <w:p w:rsidR="0085709A" w:rsidRDefault="0085709A" w:rsidP="0085709A">
      <w:pPr>
        <w:pStyle w:val="TextoNormal"/>
      </w:pPr>
      <w:r>
        <w:t>“Disposición adicional decimoquinta. Suplementos territoriales de aplicación a peajes de acceso y tarifa de último recurso.</w:t>
      </w:r>
    </w:p>
    <w:p w:rsidR="0085709A" w:rsidRDefault="0085709A" w:rsidP="0085709A">
      <w:pPr>
        <w:pStyle w:val="TextoNormal"/>
      </w:pPr>
    </w:p>
    <w:p w:rsidR="0085709A" w:rsidRDefault="0085709A" w:rsidP="0085709A">
      <w:pPr>
        <w:pStyle w:val="TextoNormal"/>
      </w:pPr>
      <w:r>
        <w:t>Se habilita al Ministro de Industria, Energía y Turismo a determinar, previo Acuerdo de la Comisión Delegada del Gobierno para Asuntos Económicos, los concretos tributos y recargos que serán considerados a efectos de la aplicación del suplemento territorial a los peajes de acceso y tarifas de último recurso, de acuerdo con lo establecido en los artículos 17 y 18 de la Ley 54/1997, de 27 de noviembre, del Sector Eléctrico, así como los mecanismos necesarios para su gestión y liquidación.”</w:t>
      </w:r>
    </w:p>
    <w:p w:rsidR="0085709A" w:rsidRDefault="0085709A" w:rsidP="0085709A">
      <w:pPr>
        <w:pStyle w:val="TextoNormal"/>
      </w:pPr>
    </w:p>
    <w:p w:rsidR="0085709A" w:rsidRDefault="0085709A" w:rsidP="0085709A">
      <w:pPr>
        <w:pStyle w:val="TextoNormal"/>
      </w:pPr>
      <w:r>
        <w:t>Como se ha expuesto en los antecedentes la Junta de Extremadura cuestiona la regulación impugnada en cuanto que, al disponer la repercusión obligatoria de los tributos o recargos autonómicos a los consumidores del territorio, alteraría la previa configuración de un tributo autonómico sobre instalaciones que inciden en el medio ambiente en el que establecía expresamente la prohibición de repercusión a los consumidores de energía, tributo que había sido objeto de un previo acuerdo en la Comisión Bilateral de Cooperación Administración del Estado-Junta de Extremadura. A partir de esa formulación general, el recurso articula diversos motivos de inconstitucionalidad. El primero es la vulneración del art. 86.1 CE, pues los preceptos impugnados afectarían al régimen de las Comunidades Autónomas modificando el reparto de competencias financieras que deriva del bloque de constitucionalidad, ya que la prohibición de repercusión vaciaría de contenido la potestad tributaria propia de la Comunidad Autónoma en los términos en los que viene reconocida en la LOFCA y en el Estatuto de Autonomía de Extremadura. Igualmente se vulneraría el art. 86.1 CE por afectar al deber constitucional de contribuir al sostenimiento de las cargas públicas, al trasladar a los consumidores la carga de un tributo. Asimismo, las disposiciones recurridas carecerían de la acreditación del presupuesto habilitante que exige el art. 86.1 CE. En segundo lugar se reprocha la deslealtad constitucional en la que habría incurrido el Estado al alterar, mediante Decreto-ley, una política medioambiental sustentada en la finalidad extrafiscal de un tributo pactado, en su configuración literal, en la comisión bilateral de cooperación. En tercer lugar, se alega la vulneración del principio de igualdad tributaria del art. 139 CE en relación con los arts. 31 y 14, en cuanto que se infringe el principio de capacidad económica, al repercutir a los ciudadanos extremeños un tributo que no atiende, ni en su cuantía ni en su determinación, a su capacidad contributiva. En cuarto lugar se aduce la vulneración del principio democrático, dado el exceso de normas afectadas por el Decreto-ley. Finalmente, y específicamente en relación con la disposición adicional decimoquinta, se alega la vulneración del principio de seguridad jurídica, en cuanto que la decisión sobre la prohibición de repercusión de los tributos autonómicos pende de una decisión administrativa, así como, por la misma razón, la infracción del principio de reserva de ley tributaria del art. 31.3 CE.</w:t>
      </w:r>
    </w:p>
    <w:p w:rsidR="0085709A" w:rsidRDefault="0085709A" w:rsidP="0085709A">
      <w:pPr>
        <w:pStyle w:val="TextoNormal"/>
      </w:pPr>
    </w:p>
    <w:p w:rsidR="0085709A" w:rsidRDefault="0085709A" w:rsidP="0085709A">
      <w:pPr>
        <w:pStyle w:val="TextoNormal"/>
      </w:pPr>
      <w:r>
        <w:t xml:space="preserve">El Abogado del Estado ha negado todas las infracciones constitucionales que se denuncian en el recurso. Ha defendido que no se vulnera el art. 86.1 CE, pues la existencia de una extraordinaria y urgente necesidad ha sido acreditada por el Gobierno, sin que tampoco se vulneren los límites materiales que derivan de dicho precepto constitucional. Igualmente ha descartado la vulneración de los principios de lealtad constitucional, ya que el acuerdo de </w:t>
      </w:r>
      <w:r>
        <w:lastRenderedPageBreak/>
        <w:t>la Comisión Bilateral de Cooperación fue cumplido por el Estado en sus propios términos, así como del de igualdad tributaria. En cuanto a las tachas que se dirigen a la disposición adicional decimoquinta, ha sostenido que no se vulnera la seguridad jurídica ni la reserva de ley en materia tributaria ya que el suplemento territorial no constituiría, en rigor, un tributo. Por último, advirtiendo que se trataría de un reproche que se dirige a la totalidad del Real Decreto-ley 20/2012 y no exclusivamente a los preceptos impugnados, ha negado que se vulnere el principio democrático.</w:t>
      </w:r>
    </w:p>
    <w:p w:rsidR="0085709A" w:rsidRDefault="0085709A" w:rsidP="0085709A">
      <w:pPr>
        <w:pStyle w:val="TextoNormal"/>
      </w:pPr>
    </w:p>
    <w:p w:rsidR="0085709A" w:rsidRDefault="0085709A" w:rsidP="0085709A">
      <w:pPr>
        <w:pStyle w:val="TextoNormal"/>
      </w:pPr>
      <w:r w:rsidRPr="0085709A">
        <w:rPr>
          <w:rStyle w:val="NumeroAFNegritaCaracter"/>
        </w:rPr>
        <w:t>2</w:t>
      </w:r>
      <w:r>
        <w:t>. Expuestas las posiciones de las partes enfrentadas en el recurso, es necesario determinar su pervivencia dado que las normas impugnadas han sido expresamente derogadas durante la pendencia del proceso. El art. 38 del Real Decreto-ley 20/2012 modificaba los arts. 17.4 y 18.5 de la Ley 54/1997, de 27 de noviembre, del sector eléctrico, ambos expresamente derogados por la disposición derogatoria.1 a) de la Ley 24/2013, de 26 de diciembre, del sector eléctrico. Esa misma disposición derogatoria, en su apartado 1 d), ha dejado sin efecto la otra norma impugnada en este proceso, la disposición adicional decimoquinta del indicado Real Decreto-ley 20/2012.</w:t>
      </w:r>
    </w:p>
    <w:p w:rsidR="0085709A" w:rsidRDefault="0085709A" w:rsidP="0085709A">
      <w:pPr>
        <w:pStyle w:val="TextoNormal"/>
      </w:pPr>
    </w:p>
    <w:p w:rsidR="0085709A" w:rsidRDefault="0085709A" w:rsidP="0085709A">
      <w:pPr>
        <w:pStyle w:val="TextoNormal"/>
      </w:pPr>
      <w:r>
        <w:t>Los criterios de nuestra doctrina respecto a la pérdida de objeto en los recursos de inconstitucionalidad los expone la STC 96/2014, de 2 de junio, FJ 2, la cual, tras señalar que “la regla general en el ámbito de los recursos de inconstitucionalidad es que la derogación de la norma impugnada extingue su objeto”, indica que no cabe dar una respuesta unívoca a esta cuestión, ya que, citando la STC 124/2003, de 19 de junio, FJ 10, afirma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w:t>
      </w:r>
    </w:p>
    <w:p w:rsidR="0085709A" w:rsidRDefault="0085709A" w:rsidP="0085709A">
      <w:pPr>
        <w:pStyle w:val="TextoNormal"/>
      </w:pPr>
    </w:p>
    <w:p w:rsidR="0085709A" w:rsidRDefault="0085709A" w:rsidP="0085709A">
      <w:pPr>
        <w:pStyle w:val="TextoNormal"/>
      </w:pPr>
      <w:r>
        <w:t>Esta regla general conoce, no obstante, excepciones. Así, en la STC 183/2014, de 6 de noviembre FJ 2 c), afirmamos que “la denunciada vulneración del art. 86.1 CE no se ve afectada por el anterior criterio, ya que, en ese caso, la derogación de la norma no impide controlar si el ejercicio de la potestad reconocida al Gobierno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31/2011, de 17 de marzo, FJ 2).”</w:t>
      </w:r>
    </w:p>
    <w:p w:rsidR="0085709A" w:rsidRDefault="0085709A" w:rsidP="0085709A">
      <w:pPr>
        <w:pStyle w:val="TextoNormal"/>
      </w:pPr>
    </w:p>
    <w:p w:rsidR="0085709A" w:rsidRDefault="0085709A" w:rsidP="0085709A">
      <w:pPr>
        <w:pStyle w:val="TextoNormal"/>
      </w:pPr>
      <w:r>
        <w:lastRenderedPageBreak/>
        <w:t>La derogación de las normas impugnadas nos permite, sin embargo, apreciar la desaparición del objeto del recurso en relación con las vulneraciones constitucionales distintas del art. 86.1 CE que se les imputaban, pues tales quejas han desaparecido sobrevenidamente, en cuanto que, en los recursos de inconstitucionalidad, debido a la nota de abstracción que los rige y a que su finalidad es la depuración del ordenamiento jurídico, la derogación de los preceptos legales impugnados hacen que, con carácter general, su objeto decaiga, sin que nos encontremos en ninguna de las excepciones que contempla nuestra doctrina. Así, sobre el art. 86.1 CE, pervive tanto la impugnación sobre la falta de presupuesto habilitante como la de infracción de sus límites materiales al afectar al deber de contribuir del art. 31.1 CE y al régimen general de las Comunidades Autónomas. No obstante, conviene advertir ahora que, como se infiere de la demanda y de la contestación del Abogado del Estado, en la denunciada infracción del límite material de los Decretos-leyes relativo “al régimen de las Comunidades Autónomas”, se plantea en realidad un reproche competencial en torno a los límites a la potestad tributaria autonómica y la delimitación de las competencias del Estado en relación con el régimen económico del sector eléctrico. En todo caso, así entendida la queja, es evidente que la misma pervive, atendiendo a los criterios de nuestra doctrina al respecto [SSTC 134/2011, de 20 de julio, FJ 2 b), y 161/2012, de 20 de septiembre, FJ 2 b)], pues los vigentes arts. 16.4 y 17.5 de la Ley 24/2013, contienen regulaciones materialmente muy similares a los preceptos aquí impugnados.</w:t>
      </w:r>
    </w:p>
    <w:p w:rsidR="0085709A" w:rsidRDefault="0085709A" w:rsidP="0085709A">
      <w:pPr>
        <w:pStyle w:val="TextoNormal"/>
      </w:pPr>
    </w:p>
    <w:p w:rsidR="0085709A" w:rsidRDefault="0085709A" w:rsidP="0085709A">
      <w:pPr>
        <w:pStyle w:val="TextoNormal"/>
      </w:pPr>
      <w:r w:rsidRPr="0085709A">
        <w:rPr>
          <w:rStyle w:val="NumeroAFNegritaCaracter"/>
        </w:rPr>
        <w:t>3</w:t>
      </w:r>
      <w:r>
        <w:t>. Podemos iniciar la resolución del recurso examinando las infracciones del art. 86.1 CE, comenzando por la denunciada falta del presupuesto habilitante de la extraordinaria y urgente necesidad, para luego, caso de resultar procedente, examinar las quejas relacionadas con la vulneración de los límites materiales del decreto-ley que se fijan en el citado art. 86.1 CE.</w:t>
      </w:r>
    </w:p>
    <w:p w:rsidR="0085709A" w:rsidRDefault="0085709A" w:rsidP="0085709A">
      <w:pPr>
        <w:pStyle w:val="TextoNormal"/>
      </w:pPr>
    </w:p>
    <w:p w:rsidR="0085709A" w:rsidRDefault="0085709A" w:rsidP="0085709A">
      <w:pPr>
        <w:pStyle w:val="TextoNormal"/>
      </w:pPr>
      <w:r>
        <w:t>La doctrina del Tribunal sobre este primer motivo de inconstitucionalidad cuyo examen es prioritario, sobre la vulneración del art. 86.1 CE por la falta de concurrencia del presupuesto habilitante de la extraordinaria y urgente necesidad, se encuentra resumida en la STC 12/2015, de 5 de febrero, FJ 3, en los términos siguientes:</w:t>
      </w:r>
    </w:p>
    <w:p w:rsidR="0085709A" w:rsidRDefault="0085709A" w:rsidP="0085709A">
      <w:pPr>
        <w:pStyle w:val="TextoNormal"/>
      </w:pPr>
    </w:p>
    <w:p w:rsidR="0085709A" w:rsidRDefault="0085709A" w:rsidP="0085709A">
      <w:pPr>
        <w:pStyle w:val="TextoNormal"/>
      </w:pPr>
      <w:r>
        <w:t>“Este Tribunal tiene una doctrina consolidada sobre el presupuesto que, según el art. 86.1 CE, habilita al Gobierno para dictar la legislación de urgencia que se manifiesta a través de la figura del decreto-ley. Dicho presupuesto habilitante,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w:t>
      </w:r>
    </w:p>
    <w:p w:rsidR="0085709A" w:rsidRDefault="0085709A" w:rsidP="0085709A">
      <w:pPr>
        <w:pStyle w:val="TextoNormal"/>
      </w:pPr>
    </w:p>
    <w:p w:rsidR="0085709A" w:rsidRDefault="0085709A" w:rsidP="0085709A">
      <w:pPr>
        <w:pStyle w:val="TextoNormal"/>
      </w:pPr>
      <w:r>
        <w:t xml:space="preserve">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w:t>
      </w:r>
      <w:r>
        <w:lastRenderedPageBreak/>
        <w:t>debe suplantar a los órganos constitucionales que intervienen en la aprobación y convalidación de los Reales Decretos-Leyes’ (SSTC 332/2005, de 15 de diciembre, FJ 5 y 1/2012, de 13 de enero, FJ 6), por lo que la fiscalización de este Órgano constitucional es ‘un control externo, en el sentido de que debe verificar, pero no sustituir, el juicio político o de oportunidad que corresponde al Gobierno’ (STC 182/1997, de 28 de octubre, FJ 3).</w:t>
      </w:r>
    </w:p>
    <w:p w:rsidR="0085709A" w:rsidRDefault="0085709A" w:rsidP="0085709A">
      <w:pPr>
        <w:pStyle w:val="TextoNormal"/>
      </w:pPr>
    </w:p>
    <w:p w:rsidR="0085709A" w:rsidRDefault="0085709A" w:rsidP="0085709A">
      <w:pPr>
        <w:pStyle w:val="TextoNormal"/>
      </w:pPr>
      <w:r>
        <w:t>Este control externo que al Tribunal corresponde realizar se concreta en los siguientes aspectos: en primer lugar, comprobar ‘que la definición por los órganos políticos de una situación de extraordinaria y urgente necesidad sea explícita y razonada’, y, además ‘que exista una conexión de sentido o relación de adecuación entre la situación definida que constituye el presupuesto y las medidas que en el Decreto-ley se adoptan (STC 29/1982, de 31 de mayo, FJ 3), de manera que estas últimas guarden una relación directa o de congruencia con la situación que se trata de afrontar’ (STC 182/1997, de 28 de octubre, FJ 3).</w:t>
      </w:r>
    </w:p>
    <w:p w:rsidR="0085709A" w:rsidRDefault="0085709A" w:rsidP="0085709A">
      <w:pPr>
        <w:pStyle w:val="TextoNormal"/>
      </w:pPr>
    </w:p>
    <w:p w:rsidR="0085709A" w:rsidRDefault="0085709A" w:rsidP="0085709A">
      <w:pPr>
        <w:pStyle w:val="TextoNormal"/>
      </w:pPr>
      <w:r>
        <w:t>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85709A" w:rsidRDefault="0085709A" w:rsidP="0085709A">
      <w:pPr>
        <w:pStyle w:val="TextoNormal"/>
      </w:pPr>
    </w:p>
    <w:p w:rsidR="0085709A" w:rsidRDefault="0085709A" w:rsidP="0085709A">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85709A" w:rsidRDefault="0085709A" w:rsidP="0085709A">
      <w:pPr>
        <w:pStyle w:val="TextoNormal"/>
      </w:pPr>
    </w:p>
    <w:p w:rsidR="0085709A" w:rsidRDefault="0085709A" w:rsidP="0085709A">
      <w:pPr>
        <w:pStyle w:val="TextoNormal"/>
      </w:pPr>
      <w:r w:rsidRPr="0085709A">
        <w:rPr>
          <w:rStyle w:val="NumeroAFNegritaCaracter"/>
        </w:rPr>
        <w:t>4</w:t>
      </w:r>
      <w:r>
        <w:t>. De acuerdo con la doctrina constitucional expuesta, debemos examinar seguidamente si en el Real Decreto-ley impugnado concurre el presupuesto habilitante de la “extraordinaria y urgente necesidad” exigido por el art. 86.1 CE.</w:t>
      </w:r>
    </w:p>
    <w:p w:rsidR="0085709A" w:rsidRDefault="0085709A" w:rsidP="0085709A">
      <w:pPr>
        <w:pStyle w:val="TextoNormal"/>
      </w:pPr>
    </w:p>
    <w:p w:rsidR="0085709A" w:rsidRDefault="0085709A" w:rsidP="0085709A">
      <w:pPr>
        <w:pStyle w:val="TextoNormal"/>
      </w:pPr>
      <w:r>
        <w:t xml:space="preserve">Por ello es preciso comenzar por el examen de las razones determinantes de la aprobación de estos preceptos que se explicitan en la exposición de motivos de la norma, en el debate parlamentario de su convalidación y en el propio expediente de elaboración de la misma, señaladamente en la memoria. Importa asimismo advertir que, como también es ahora el caso y señalan las SSTC 31/2011, de 17 de marzo, FJ 4; 137/2011, de 14 de septiembre, FJ 6, 170/2012, de 4 de octubre, FJ 5, 27/2015, de 19 de febrero, FJ 5, y 29/2015, de 19 de </w:t>
      </w:r>
      <w:r>
        <w:lastRenderedPageBreak/>
        <w:t xml:space="preserve">febrero, FJ 3, cuando se denuncia la vulneración del presupuesto de hecho habilitante respecto, no del correspondiente Real Decreto-ley en su conjunto, sino únicamente en relación con uno o alguno de sus preceptos, la necesaria justificación </w:t>
      </w:r>
      <w:r w:rsidRPr="0085709A">
        <w:rPr>
          <w:i/>
        </w:rPr>
        <w:t>ad casum</w:t>
      </w:r>
      <w:r>
        <w:t xml:space="preserve"> de la “extraordinaria y urgente necesidad” ha de ser apreciada en relación precisamente con los preceptos en concreto impugnados.</w:t>
      </w:r>
    </w:p>
    <w:p w:rsidR="0085709A" w:rsidRDefault="0085709A" w:rsidP="0085709A">
      <w:pPr>
        <w:pStyle w:val="TextoNormal"/>
      </w:pPr>
    </w:p>
    <w:p w:rsidR="0085709A" w:rsidRDefault="0085709A" w:rsidP="0085709A">
      <w:pPr>
        <w:pStyle w:val="TextoNormal"/>
      </w:pPr>
      <w:r>
        <w:t>El preámbulo del Real Decreto-ley 20/2012 comienza aludiendo al nuevo período recesivo que la economía española experimentó a lo largo del año 2011, cuando, tras varios trimestres de leve recuperación, aquella se mostró intensamente vulnerable al deterioro de la zona euro y volvió a caer en recesión, lo que obligó al “diseño de una estrategia de política económica que contenga los elementos adecuados en el presente contexto, sino también su articulación a medio plazo de un modo verosímil y capaz de concitar la credibilidad de los mercados financieros”. Esa estrategia “pivota principalmente sobre dos ejes: la consolidación fiscal y el impulso de nuevas reformas estructurales” a fin de combinar efectos positivos y “recuperar el crecimiento de la economía, de la producción y del empleo”. En cuanto a las medidas de carácter fiscal, el Preámbulo alude al escenario de consolidación fiscal para corregir el déficit público, en la línea de las recomendaciones de la Unión Europea, para garantizar que España cumple rigurosamente sus compromisos fiscales señalando las medidas adoptadas en el ámbito de los ingresos, destacando el aumento de la imposición indirecta sobre el consumo, así como en relación a los gastos en los que “la incidencia la han soportado especialmente aquellos gastos más superfluos o con efectos más débiles sobre los incentivos de los agentes económicos”. Expone también que “estas medidas dan cumplimiento a buena parte de las Recomendaciones Específicas formuladas por el Consejo Europeo a España en el mes de junio y como colofón al Semestre Europeo: ampliación de las principales bases impositivas, eliminación de desgravaciones y exenciones y sustitución parcial de la imposición sobre el trabajo por imposición indirecta”.</w:t>
      </w:r>
    </w:p>
    <w:p w:rsidR="0085709A" w:rsidRDefault="0085709A" w:rsidP="0085709A">
      <w:pPr>
        <w:pStyle w:val="TextoNormal"/>
      </w:pPr>
    </w:p>
    <w:p w:rsidR="0085709A" w:rsidRDefault="0085709A" w:rsidP="0085709A">
      <w:pPr>
        <w:pStyle w:val="TextoNormal"/>
      </w:pPr>
      <w:r>
        <w:t>En cuanto a las medidas estructurales el preámbulo señala que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la política fiscal a corto plazo. Afirma, además, que “todas ellas tienen por fin último abrir nuevos mercados al sector privado y fomentar el desarrollo de la innovación y de nuevos servicios en sectores críticos para el crecimiento de la productividad y la reducción de costes empresariales. Por último, aunque no menos importante, los nuevos pasos en el campo de los servicios profesionales facilitarán la permeabilidad de los distintos nichos de mercado a nuevos competidores y al mismo tiempo garantizará la calidad de estos servicios, reduciendo los márgenes en segmentos tradicionalmente menos expuestos a la competencia y sin embargo cruciales para la configuración de costes en el ejercicio de la actividad empresarial”.</w:t>
      </w:r>
    </w:p>
    <w:p w:rsidR="0085709A" w:rsidRDefault="0085709A" w:rsidP="0085709A">
      <w:pPr>
        <w:pStyle w:val="TextoNormal"/>
      </w:pPr>
    </w:p>
    <w:p w:rsidR="0085709A" w:rsidRDefault="0085709A" w:rsidP="0085709A">
      <w:pPr>
        <w:pStyle w:val="TextoNormal"/>
      </w:pPr>
      <w:r>
        <w:t>En el contexto global así definido los sucesivos apartados del preámbulo dan cuenta de las modificaciones introducidas en muy diversos ámbitos sectoriales como en el de las administraciones públicas y el personal a su servicio (apartado II); en materia de Seguridad Social y empleo (apartado III); acerca del sistema para la autonomía y atención a la dependencia (apartado IV); en el ámbito tributario (apartado V); en relación con el sector de la distribución minorista (apartado VI); en materia de infraestructuras, transporte y vivienda (apartado VII) y en relación con determinados regímenes jurídicos especiales (apartado IX).</w:t>
      </w:r>
    </w:p>
    <w:p w:rsidR="0085709A" w:rsidRDefault="0085709A" w:rsidP="0085709A">
      <w:pPr>
        <w:pStyle w:val="TextoNormal"/>
      </w:pPr>
    </w:p>
    <w:p w:rsidR="0085709A" w:rsidRDefault="0085709A" w:rsidP="0085709A">
      <w:pPr>
        <w:pStyle w:val="TextoNormal"/>
      </w:pPr>
      <w:r>
        <w:t>En lo que ahora interesa el apartado VIII del preámbulo se refiere con detalle a las medidas que afectan al sector eléctrico. En dicho apartado se parte de la constatación de que “el déficit tarifario provocado por los desajustes entre los costes del sistema eléctrico y los ingresos obtenidos a partir de los precios regulados fijados por la Administración General del Estado es un problema estructural cuya solución es urgente por la amenaza que supone para la sostenibilidad económica del sistema”, aludiendo posteriormente a las diversas decisiones ya adoptadas para intentar corregir dichos desajustes señalando específicamente que “[L]as disposiciones adoptadas hasta esa fecha se han revelado insuficientes para cumplir el objetivo de supresión del déficit tarifario a partir de 2013, por lo que, desde principios de este año 2012, el Gobierno ha intensificado la adopción de medidas para devolver al sistema a la suficiencia de ingresos”. En dicho contexto se enumeran las medidas aprobadas durante el año 2012 y se hace especial mención de la Ley 2/2012, de 29 de junio, de presupuestos generales del Estado para el año 2012, que deja en suspenso la aplicación del mecanismo de compensación con cargo a los presupuestos generales del Estado por los extracostes de generación de los sistemas eléctricos insulares y extrapeninsulares, lo que supone la incorporación como nuevo coste del sistema eléctrico, de la partida correspondiente al 17 por 100 del sobrecoste de generación de los sistemas eléctricos insulares y extrapeninsulares en el año 2011. Esa circunstancia, “unida a la necesidad del cumplimiento del principio de suficiencia de los ingresos obtenidos para cubrir los costes del sistema eléctrico a partir del 1 de enero de 2013 en la que inciden los recientes pronunciamientos judiciales, hace necesario la adopción con carácter urgente de medidas adicionales que equilibren el sistema eléctrico y de tal forma que el obligado ajuste sea compartido en este duro contexto económico actual por todos los agentes del sistema”.</w:t>
      </w:r>
    </w:p>
    <w:p w:rsidR="0085709A" w:rsidRDefault="0085709A" w:rsidP="0085709A">
      <w:pPr>
        <w:pStyle w:val="TextoNormal"/>
      </w:pPr>
    </w:p>
    <w:p w:rsidR="0085709A" w:rsidRDefault="0085709A" w:rsidP="0085709A">
      <w:pPr>
        <w:pStyle w:val="TextoNormal"/>
      </w:pPr>
      <w:r>
        <w:t>Específicamente respecto a las disposiciones impugnadas, se afirma que “por otro lado, en el artículo 17.4 de la Ley 54/1997, de 27 de noviembre, se establece en la actualidad, que si las actividades eléctricas fueran gravadas con tributos de carácter autonómico o local, cuya cuota se obtuviera mediante reglas no uniformes para el conjunto del territorio nacional, al peaje de acceso se le podrá incluir un suplemento territorial, que podría ser diferente en cada Comunidad Autónoma o entidad local. Actualmente la proliferación de distintos tributos sobre las actividades de suministro eléctrico, está provocando que las empresas del sector incurran en distintos costes en función del territorio en que se implanten las instalaciones con las consiguientes distorsiones para la unidad de mercado. El hecho de gravar las diferentes actividades eléctricas a nivel autonómico podría implicar que el coste adicional que suponen estos tributos para los sujetos que realizan dichas actividades se traslade a todos los consumidores, bien en los costes de las actividades reguladas reconocidos en los peajes de acceso, o bien a través del precio del mercado libre. De esta forma, una decisión de este tipo adoptada en el ámbito autonómico afectaría al conjunto de consumidores en el ámbito nacional, en términos que no resultarían justificados. Con el fin de evitar esta situación, se determina para las Comunidades Autónomas que graven, directa o indirectamente, las actividades o instalaciones destinadas al suministro eléctrico, con tributos propios o recargos sobre los tributos estatales, la obligatoriedad de imponer el suplemento territorial en los peajes de acceso y tarifas de último recurso, debiendo ser abonado por los consumidores ubicados en el ámbito territorial de la respectiva Comunidad Autónoma. Para ello, se modifica el apartado 4 del artículo 17 y el apartado 5 del artículo 18 de la Ley 54/1997, de 27 de noviembre”.</w:t>
      </w:r>
    </w:p>
    <w:p w:rsidR="0085709A" w:rsidRDefault="0085709A" w:rsidP="0085709A">
      <w:pPr>
        <w:pStyle w:val="TextoNormal"/>
      </w:pPr>
    </w:p>
    <w:p w:rsidR="0085709A" w:rsidRDefault="0085709A" w:rsidP="0085709A">
      <w:pPr>
        <w:pStyle w:val="TextoNormal"/>
      </w:pPr>
      <w:r>
        <w:lastRenderedPageBreak/>
        <w:t>Finalmente, el apartado IX del preámbulo alude al presupuesto habilitante, con un párrafo común para todo el Real Decreto-ley 20/2012, en el que señala que “en las medidas que se adoptan en el presente real decreto-ley concurren las circunstancias de extraordinaria y urgente necesidad que exige el artículo 86 de la Constitución Española como premisa para recurrir a esta figura del real decreto-ley. Como se ha expuesto, la actual coyuntura económica y la inexcusable necesidad de reducir el déficit público para alcanzar la estabilidad presupuestaria, hacen necesario que las medidas expuestas se aprueben con la máxima urgencia, con pleno respeto al marco constitucional y al establecido por la Unión Europea”.</w:t>
      </w:r>
    </w:p>
    <w:p w:rsidR="0085709A" w:rsidRDefault="0085709A" w:rsidP="0085709A">
      <w:pPr>
        <w:pStyle w:val="TextoNormal"/>
      </w:pPr>
    </w:p>
    <w:p w:rsidR="0085709A" w:rsidRDefault="0085709A" w:rsidP="0085709A">
      <w:pPr>
        <w:pStyle w:val="TextoNormal"/>
      </w:pPr>
      <w:r>
        <w:t>Ninguna motivación añadida aporta al respecto el debate de convalidación (“Diario de Sesiones del Congreso de los Diputados”, Pleno, núm. 51, de 19 de julio de 2012) en el que el Sr. Ministro de Hacienda y Administraciones Públicas señala únicamente, en un contexto en el que alude a las “actuaciones de reformas estructurales”, que en el sector eléctrico “también se incorporan modificaciones sustanciales que se verán completadas con una reforma que el Gobierno traerá a la Cámara sobre ese sector”.</w:t>
      </w:r>
    </w:p>
    <w:p w:rsidR="0085709A" w:rsidRDefault="0085709A" w:rsidP="0085709A">
      <w:pPr>
        <w:pStyle w:val="TextoNormal"/>
      </w:pPr>
    </w:p>
    <w:p w:rsidR="0085709A" w:rsidRDefault="0085709A" w:rsidP="0085709A">
      <w:pPr>
        <w:pStyle w:val="TextoNormal"/>
      </w:pPr>
      <w:r>
        <w:t>Finalmente, la memoria de análisis de impacto normativo, aportada a los autos por el Abogado del Estado, comienza señalando que en los arts. 17.4 y 18.5 de la Ley 54/1997, de 27 de noviembre, del sector eléctrico, ya existía la posibilidad de creación de un suplemento a nivel autonómico o local a añadir tanto a los peajes de acceso como a la tarifa de último recurso, suplemento que se contempla para repercutir exclusivamente a los consumidores de cada comunidad autónoma o entidad local las cargas asociadas a los tributos que ésta decida imponer a las actividades e instalaciones afectas al suministro eléctrico. Tras reconocer que esa opción nunca se había aplicado, indica que “se propone una mejora de la redacción de la Ley 54/1997, de 27 de noviembre, del Sector Eléctrico, para impulsar y hacer obligatoria la aplicación de este suplemento territorial en caso de que existan tributos autonómicos, informando asimismo a los consumidores que ese sobrecoste se debe a una medida adoptada en el ámbito autonómico”. Menciona posteriormente el hecho de que la proliferación de tributos autonómicos “sobre las actividades del sector tanto reguladas como liberalizadas está provocando que las empresas eléctricas incurran en distintos costes en función del territorio en que se implanten las instalaciones”, coste respecto del cual las empresas eléctricas lo internalizan en los precios de oferta al mercado en el caso de la generación (lo que provoca un incremento en el precio del mercado) o lo incluyen en sus costes auditados en el caso del transporte y distribución para su posterior reconocimiento retributivo con cargo a los costes del sistema. Y concluye señalando que “la necesidad viene justificada porque se está socializando entre todos los consumidores eléctricos las decisiones de las Comunidades Autónomas, y, a modo de ejemplo, no resulta en absoluto adecuado ni justo que un consumidor de Baleares deba pagar el sobrecoste que provoca un tributo ambiental impuesto en Asturias.”</w:t>
      </w:r>
    </w:p>
    <w:p w:rsidR="0085709A" w:rsidRDefault="0085709A" w:rsidP="0085709A">
      <w:pPr>
        <w:pStyle w:val="TextoNormal"/>
      </w:pPr>
    </w:p>
    <w:p w:rsidR="0085709A" w:rsidRDefault="0085709A" w:rsidP="0085709A">
      <w:pPr>
        <w:pStyle w:val="TextoNormal"/>
      </w:pPr>
      <w:r w:rsidRPr="0085709A">
        <w:rPr>
          <w:rStyle w:val="NumeroAFNegritaCaracter"/>
        </w:rPr>
        <w:t>5</w:t>
      </w:r>
      <w:r>
        <w:t>. Debemos examinar ahora, en primer lugar, si los motivos expuestos por el Gobierno para incluir el art. 38 y la disposición adicional decimoquinta en el Real Decreto-ley 20/2012 dan cuenta de la existencia de una justificación razonable de la situación de extraordinaria y urgente necesidad, para comprobar luego, caso de resultar necesario, si los suplementos territoriales en los peajes de acceso y en la tarifa de último recurso que allí se establecen son congruentes con esa situación.</w:t>
      </w:r>
    </w:p>
    <w:p w:rsidR="0085709A" w:rsidRDefault="0085709A" w:rsidP="0085709A">
      <w:pPr>
        <w:pStyle w:val="TextoNormal"/>
      </w:pPr>
    </w:p>
    <w:p w:rsidR="0085709A" w:rsidRDefault="0085709A" w:rsidP="0085709A">
      <w:pPr>
        <w:pStyle w:val="TextoNormal"/>
      </w:pPr>
      <w:r>
        <w:lastRenderedPageBreak/>
        <w:t>De lo transcrito cabe deducir que la situación de urgencia que las normas impugnadas pretendían atender cuenta con una justificación de carácter general, aplicable al conjunto de reformas introducidas por el Real Decreto-ley 20/2012, como es el recrudecimiento de la situación de dificultad por la que atravesaba la economía española, lo que reclamaba la introducción de reformas estructurales en diversos sectores, entre ellos el eléctrico. Urgencia de reformas estructurales que, en el caso del mencionado sector eléctrico, hacen especial énfasis, a modo de justificación de carácter específico, en la necesidad de corregir el déficit tarifario, ya que las medidas aprobadas con anterioridad se habían revelado insuficientes, lo que, a su vez, obligaría a la adopción de nuevas decisiones que equilibren el sistema eléctrico, entre las que se encontrarían las aquí impugnadas.</w:t>
      </w:r>
    </w:p>
    <w:p w:rsidR="0085709A" w:rsidRDefault="0085709A" w:rsidP="0085709A">
      <w:pPr>
        <w:pStyle w:val="TextoNormal"/>
      </w:pPr>
    </w:p>
    <w:p w:rsidR="0085709A" w:rsidRDefault="0085709A" w:rsidP="0085709A">
      <w:pPr>
        <w:pStyle w:val="TextoNormal"/>
      </w:pPr>
      <w:r>
        <w:t>Al igual que en el caso de la STC 27/2015, de 19 de febrero, FJ 5, la justificación general de la adopción de la norma, “la recaída reciente de la economía española” que exige “el diseño de una estrategia de política económica que contenga los elementos adecuados en el presente contexto, sino también su articulación a medio plazo de un modo verosímil y capaz de concitar la credibilidad de los mercados financieros”, adquiere pleno sentido en el contexto del conjunto del Real Decreto-ley 20/2012 que, en su heterogeneidad, comprende diversas materias que afectan a distintas iniciativas en otros campos diferentes de las modificaciones que se contienen en el ámbito del sector eléctrico. Esa justificación genérica, que habría que entender aplicable a la totalidad de las normas modificadas por el Real Decreto-ley 20/2012, no resulta suficiente, por sí sola, para apreciar la concurrencia del presupuesto habilitante en las normas impugnadas, pues nuestra doctrina ha exigido con reiteración (por todas, STC 170/2012, FJ 5) que también lo sea de los preceptos concretamente impugnados, ya que solamente a ellos se les reprocha la vulneración del presupuesto de hecho habilitante de la legislación de urgencia.</w:t>
      </w:r>
    </w:p>
    <w:p w:rsidR="0085709A" w:rsidRDefault="0085709A" w:rsidP="0085709A">
      <w:pPr>
        <w:pStyle w:val="TextoNormal"/>
      </w:pPr>
    </w:p>
    <w:p w:rsidR="0085709A" w:rsidRDefault="0085709A" w:rsidP="0085709A">
      <w:pPr>
        <w:pStyle w:val="TextoNormal"/>
      </w:pPr>
      <w:r>
        <w:t>De este modo, para valorar la concurrencia del presupuesto habilitante resulta preciso acudir a la justificación de carácter específico, centrada, como ya se ha expuesto, en la amenaza que supone para la sostenibilidad económica del sistema el problema estructural consistente en “el déficit tarifario provocado por los desajustes entre los costes del sistema eléctrico y los ingresos obtenidos a partir de los precios regulados fijados por la Administración General del Estado.”</w:t>
      </w:r>
    </w:p>
    <w:p w:rsidR="0085709A" w:rsidRDefault="0085709A" w:rsidP="0085709A">
      <w:pPr>
        <w:pStyle w:val="TextoNormal"/>
      </w:pPr>
    </w:p>
    <w:p w:rsidR="0085709A" w:rsidRDefault="0085709A" w:rsidP="0085709A">
      <w:pPr>
        <w:pStyle w:val="TextoNormal"/>
      </w:pPr>
      <w:r w:rsidRPr="0085709A">
        <w:rPr>
          <w:rStyle w:val="NumeroAFNegritaCaracter"/>
        </w:rPr>
        <w:t>6</w:t>
      </w:r>
      <w:r>
        <w:t>. Podemos avanzar ya que esta justificación de la extraordinaria y urgente necesidad de modificación de los arts. 17.4 y 18.5 de la Ley 54/1997, en la redacción dada por el art. 38 del Real Decreto-ley 20/2012 así como de la disposición adicional decimoquinta, que guarda una íntima conexión con aquellos de suerte que no existiría sin ellos, no supera el canon de control constitucional sobre la concurrencia del presupuesto de hecho habilitante del art. 86.1 CE.</w:t>
      </w:r>
    </w:p>
    <w:p w:rsidR="0085709A" w:rsidRDefault="0085709A" w:rsidP="0085709A">
      <w:pPr>
        <w:pStyle w:val="TextoNormal"/>
      </w:pPr>
    </w:p>
    <w:p w:rsidR="0085709A" w:rsidRDefault="0085709A" w:rsidP="0085709A">
      <w:pPr>
        <w:pStyle w:val="TextoNormal"/>
      </w:pPr>
      <w:r>
        <w:t xml:space="preserve">Es patente que la finalidad que se persigue con estas modificaciones, la no generalización para el sistema eléctrico de costes adicionales generados en ámbitos territoriales limitados, ya podía atenderse con la regulación anterior a la que ahora se cuestiona. En efecto, en la redacción inicial de la Ley 54/1997 el art. 17.3 refería esa posibilidad de establecer suplementos territoriales al precio de la electricidad resultante del mercado de ofertas o a la tarifa. Tras la reforma llevada a cabo por la Ley 17/2007 de 4 de julio, por la que se modifica la Ley 54/1997, de 27 de noviembre, del sector eléctrico, para adaptarla a lo dispuesto en la Directiva 2003/54/CE, del Parlamento Europeo y del Consejo, de 26 de junio de 2003, sobre </w:t>
      </w:r>
      <w:r>
        <w:lastRenderedPageBreak/>
        <w:t>normas comunes para el mercado interior de la electricidad, esa misma posibilidad se formula sobre los peajes de acceso a las redes, regulados ahora en ese art. 17. Por lo que respecta al art. 18.5 la obligatoriedad de incluir un suplemento territorial se predica de las denominadas tarifas de último recurso, introducidas por la ya mencionada Ley 17/2007. Como se ve, y reconoce expresamente la memoria, la modificación en realidad se dirige a hacer pretendidamente obligatorio lo que antes, al menos en el caso de los peajes de acceso, era una posibilidad en manos del Gobierno así como a explicitar que los suplementos territoriales debían ser abonados por los consumidores ubicados en el ámbito territorial de la respectiva Comunidad Autónoma. Sin embargo, tales diferencias son irrelevantes a los efectos de apreciar extraordinaria y urgente necesidad en la medida, puesto que, admitiendo que los tributos establecidos por las Comunidades Autónomas pudieran tener un impacto significativo en los costes del sector eléctrico, el Gobierno, autor del Real Decreto-ley 20/2012, ya disponía del instrumento necesario para evitar esa repercusión, caso de estimarla perjudicial para el régimen económico del sector eléctrico, repercusión que, por otra parte, también había sido advertida por nuestra doctrina (SSTC 168/2004, de 6 de octubre, FJ 11, y 148/2011, de 28 de septiembre, FJ 5) y que, por lo demás, se recoge en la regulación actualmente vigente (arts. 16.4 y 17.6 de la Ley 24/2013). De igual forma, el carácter territorial del suplemento ya llevaba implícito, como expresamente se reconoce en la memoria, que el mismo pesaba sobre los consumidores ubicados en el ámbito en el que ese suplemento se aplique, teniendo en cuenta, además, que los peajes de acceso eran un componente de la tarifa eléctrica [art. 18.2 b) de la Ley 54/1997] a abonar en todo caso por los consumidores.</w:t>
      </w:r>
    </w:p>
    <w:p w:rsidR="0085709A" w:rsidRDefault="0085709A" w:rsidP="0085709A">
      <w:pPr>
        <w:pStyle w:val="TextoNormal"/>
      </w:pPr>
    </w:p>
    <w:p w:rsidR="0085709A" w:rsidRDefault="0085709A" w:rsidP="0085709A">
      <w:pPr>
        <w:pStyle w:val="TextoNormal"/>
      </w:pPr>
      <w:r>
        <w:t xml:space="preserve">En suma, desde la perspectiva de la urgencia justificativa de la decisión del Gobierno de introducir estas disposiciones en el Real Decreto-ley 20/2012, que es la que ahora se examina, no aparece justificada esa extraordinaria y urgente necesidad. La medida consistente en el establecimiento de suplementos territoriales con la consiguiente repercusión a los consumidores de ese ámbito ya se encontraba en realidad a disposición del Gobierno que hubiera podido ponerla en práctica, en un caso desde la redacción original de la Ley del sector eléctrico y en el otro desde la introducción de la denominada tarifa de último recurso en el año 2007. Sin adentrarse en el juicio político o de oportunidad que este Tribunal tiene vedado cabe dudar, por tanto, de que se trate de una situación objetivamente merecedora de ese tratamiento normativo por la vía de la legislación de urgencia, por cuanto no se trata de medidas adicionales dirigidas a asegurar el equilibrio económico del sistema eléctrico (por ejemplo, las examinadas en la STC 183/2014, de 6 de noviembre, FFJJ 5 y 6), en cuanto, más precisamente, se trataba de modificar la configuración de instrumentos que el propio Gobierno ya hubiera podido utilizar, siendo también igualmente competente, a través del Ministerio correspondiente, para fijar tanto los peajes de acceso como la propia tarifa de último recurso (arts. 17.1 y 18.3, respectivamente, de la Ley 54/1997). Por tanto, si la justificación de la urgencia del conjunto de las medidas estructurales adoptadas en el sector eléctrico era la necesidad de combatir el déficit tarifario y garantizar la sostenibilidad del sistema en un contexto de reformas en diversos sectores económicos, es claro que esa justificación no es predicable de la medida que se examina, pues, en realidad, se modifica el régimen de una potestad de la que ya gozaba el Gobierno y que, de haberse aplicado efectivamente conforme al régimen que ahora se modifica por la norma de urgencia, hubiera conducido al mismo resultado que se afirma perseguir con las normas objeto del presente proceso. Atendiendo a lo anterior en la medida que esa incidencia de los tributos autonómicos en los costes del sistema eléctrico ya podía haberse tenido en cuenta sin necesidad de modificar los arts. 17.4 y 18.5 de la Ley 54/1997, podemos concluir que “nada hay que indique </w:t>
      </w:r>
      <w:r>
        <w:lastRenderedPageBreak/>
        <w:t>que la regulación introducida trate de dar respuesta a una situación de naturaleza excepcional o que constituya una necesidad urgente” (STC 27/2015, de 19 de febrero, FJ 5).</w:t>
      </w:r>
    </w:p>
    <w:p w:rsidR="0085709A" w:rsidRDefault="0085709A" w:rsidP="0085709A">
      <w:pPr>
        <w:pStyle w:val="TextoNormal"/>
      </w:pPr>
    </w:p>
    <w:p w:rsidR="0085709A" w:rsidRDefault="0085709A" w:rsidP="0085709A">
      <w:pPr>
        <w:pStyle w:val="TextoNormal"/>
      </w:pPr>
      <w:r>
        <w:t>De hecho parece que la real justificación de la medida se encuentra en la introducción de las mejoras técnicas en la redacción de ambos preceptos a la que alude la memoria. Modificaciones técnicas consistentes, según expresa, en una mejora de la redacción de la Ley 54/1997 para impulsar y hacer obligatoria la aplicación de este suplemento territorial en caso de que existan tributos autonómicos, informando asimismo a los consumidores sobre los que recae que ese sobrecoste se debe a una medida adoptada en el ámbito autonómico. Con ello, a lo sumo, podríamos considerar que tanto el preámbulo como la memoria darían cuenta de las razones por las que el Gobierno estimó necesario modificar los arts. 17.4 y 18.5 de la Ley 54/1997 e introducir la disposición adicional decimoquinta, pero no proporcionan ninguna explicación acerca de la utilización de la legislación de urgencia para reformar ambos preceptos, esto es, que el cambio normativo propugnado se instrumente necesariamente mediante un Real Decreto-ley. Situación en la que hemos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(por todas, STC 68/2007, de 28 de marzo, FJ 10).</w:t>
      </w:r>
    </w:p>
    <w:p w:rsidR="0085709A" w:rsidRDefault="0085709A" w:rsidP="0085709A">
      <w:pPr>
        <w:pStyle w:val="TextoNormal"/>
      </w:pPr>
    </w:p>
    <w:p w:rsidR="0085709A" w:rsidRDefault="0085709A" w:rsidP="0085709A">
      <w:pPr>
        <w:pStyle w:val="TextoNormal"/>
      </w:pPr>
      <w:r>
        <w:t>En efecto, los argumentos del Gobierno se refieren a los objetivos de las normas impugnadas y a sus contenidos, sin hacer consideración alguna acerca de las razones que amparan la urgente y extraordinaria necesidad en su adopción, más allá de la genérica referencia a “la actual coyuntura económica y la inexcusable necesidad de reducir el déficit público para alcanzar la estabilidad presupuestaria”, justificación genérica que no cabe estimar suficiente. Y en cuanto a la justificación específica—el déficit tarifario y la sostenibilidad económica del sector— nada se ha indicado en general acerca de la urgencia de la modificación para evitar la alegada incidencia de los tributos autonómicos en el déficit del sector así como sobre la necesidad de incluir los suplementos territoriales consecuencia de la existencia de esos tributos, teniendo en cuenta, además, que se trata de una medida diferenciada de las del resto que se aprueban para el sector eléctrico. Tampoco, en particular, se ha justificado la urgencia de los dos concretos cambios introducidos en la regulación de los suplementos territoriales. Urgencia en la adopción de una medida que se ve además contradicha también en la práctica, por cuanto a este Tribunal no le consta que dichos suplementos territoriales se hayan aplicado ni a partir de la reforma que ahora se examina (al respecto, SSTS de la Sección Tercera de la Sala de lo Contencioso-Administrativo de 11 de junio de 2014 y 23 de marzo de 2015), ni tampoco sus precedentes, sobre los que la memoria de impacto normativo reconoce expresamente que “esta opción nunca se ha aplicado”.</w:t>
      </w:r>
    </w:p>
    <w:p w:rsidR="0085709A" w:rsidRDefault="0085709A" w:rsidP="0085709A">
      <w:pPr>
        <w:pStyle w:val="TextoNormal"/>
      </w:pPr>
    </w:p>
    <w:p w:rsidR="0085709A" w:rsidRDefault="0085709A" w:rsidP="0085709A">
      <w:pPr>
        <w:pStyle w:val="TextoNormal"/>
      </w:pPr>
      <w:r>
        <w:t>Así pues, a la vista de las circunstancias concurrentes y de las razones expuestas debemos concluir que, en este caso, falta la identificación por el Gobierno de manera clara, explícita y razonada de la concurrencia de la extraordinaria y urgente necesidad, determinante de la aparición del presupuesto que le habilita para dictar con carácter ocasional unas normas dotadas de los atributos del rango y de la fuerza propios de las leyes formales, lo que determina la declaración de inconstitucionalidad y nulidad de los preceptos impugnados por vulnerar el art. 86.1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7</w:t>
      </w:r>
      <w:r>
        <w:t>. Incumplido este primer requisito no es ya necesario entrar a examinar la existencia de una conexión de sentido entre dicho presupuesto y la creación del suplemento territorial al que se refieren los impugnados art. 38 y disposición adicional decimoquinta. Igualmente, estimado este primer motivo, tampoco es preciso enjuiciar las restantes tachas de inconstitucionalidad alegadas.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presente recurso de inconstitucionalidad y, en consecuencia declarar la inconstitucionalidad y consiguiente nulidad del art. 38 y la disposición adicional decimoquinta del Real Decreto-ley 20/2012, de 13 de julio, de medidas para garantizar la estabilidad presupuestaria y de fomento de la competitividad.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once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0" w:name="SENTENCIA_2015_137"/>
      <w:r>
        <w:lastRenderedPageBreak/>
        <w:t>SENTENCIA 137/2015, de 11 de junio de 2015</w:t>
      </w:r>
    </w:p>
    <w:bookmarkEnd w:id="140"/>
    <w:p w:rsidR="0085709A" w:rsidRDefault="0085709A" w:rsidP="0085709A">
      <w:pPr>
        <w:pStyle w:val="TtuloResolucin"/>
      </w:pPr>
      <w:r>
        <w:t>Pleno</w:t>
      </w:r>
    </w:p>
    <w:p w:rsidR="0085709A" w:rsidRDefault="0085709A" w:rsidP="0085709A">
      <w:pPr>
        <w:pStyle w:val="TtuloBOE"/>
      </w:pPr>
      <w:r>
        <w:t>(BOE núm. 160, de 6 de julio de 2015)</w:t>
      </w:r>
    </w:p>
    <w:p w:rsidR="0085709A" w:rsidRDefault="0085709A" w:rsidP="0085709A">
      <w:pPr>
        <w:pStyle w:val="TextoNormalCentrado"/>
      </w:pPr>
      <w:r>
        <w:t>ECLI:ES:TC:2015:137</w:t>
      </w:r>
    </w:p>
    <w:p w:rsidR="0085709A" w:rsidRDefault="0085709A" w:rsidP="0085709A">
      <w:pPr>
        <w:pStyle w:val="TextoNormalCentrado"/>
      </w:pPr>
    </w:p>
    <w:p w:rsidR="0085709A" w:rsidRDefault="0085709A" w:rsidP="0085709A">
      <w:pPr>
        <w:pStyle w:val="SntesisDescriptiva"/>
      </w:pPr>
      <w:r>
        <w:t>Impugnación de disposiciones autonómicas 6415-2014. Formulada por el Gobierno de la Nación respecto del Decreto del Gobierno de Canarias 95/2014, de 25 de septiembre, por el que se aprueba el Reglamento de las consultas a la ciudadanía en asuntos de interés general de competencia de la Comunidad Autónoma de Canarias.</w:t>
      </w:r>
    </w:p>
    <w:p w:rsidR="0085709A" w:rsidRDefault="0085709A" w:rsidP="0085709A">
      <w:pPr>
        <w:pStyle w:val="SntesisDescriptiva"/>
      </w:pPr>
    </w:p>
    <w:p w:rsidR="0085709A" w:rsidRDefault="0085709A" w:rsidP="0085709A">
      <w:pPr>
        <w:pStyle w:val="SntesisAnaltica"/>
      </w:pPr>
      <w:r>
        <w:t>Competencias sobre consultas ciudadanas: nulidad de los preceptos reglamentarios que regulan las consultas mediante preguntas directas (STC 31/2015).</w:t>
      </w:r>
    </w:p>
    <w:p w:rsidR="0085709A" w:rsidRDefault="0085709A" w:rsidP="0085709A">
      <w:pPr>
        <w:pStyle w:val="SntesisAnaltica"/>
      </w:pPr>
    </w:p>
    <w:p w:rsidR="0085709A" w:rsidRDefault="0085709A" w:rsidP="0085709A">
      <w:pPr>
        <w:pStyle w:val="Extracto"/>
      </w:pPr>
      <w:r>
        <w:t>1.</w:t>
      </w:r>
      <w:r>
        <w:tab/>
        <w:t>La democracia constitucional garantiza la participación de los ciudadanos en la vida pública y en el destino colectivo, y su potestad de decidir periódicamente, a través de las elecciones de representantes en las Cortes Generales (arts. 68 y 69 CE), en los Parlamentos autonómicos (art. 152.1 CE) y en los ayuntamientos (art. 140 CE), acerca del destino político de la comunidad nacional en todas sus esferas, estatal, autonómica y local [FJ 3].</w:t>
      </w:r>
    </w:p>
    <w:p w:rsidR="0085709A" w:rsidRDefault="0085709A" w:rsidP="0085709A">
      <w:pPr>
        <w:pStyle w:val="Extracto"/>
      </w:pPr>
    </w:p>
    <w:p w:rsidR="0085709A" w:rsidRDefault="0085709A" w:rsidP="0085709A">
      <w:pPr>
        <w:pStyle w:val="Extracto"/>
      </w:pPr>
      <w:r>
        <w:t>2.</w:t>
      </w:r>
      <w:r>
        <w:tab/>
        <w:t xml:space="preserve">Las fórmulas de participación ciudadana que instituya el legislador ordinario —estatal o autonómico— en el marco de sus competencias, no son expresiones del derecho de participación que garantiza el art. 23.1 CE, sino que se trata de manifestaciones que no son propiamente encuadrables ni en las formas de democracia representativa ni en la democracia directa, incardinándose en un </w:t>
      </w:r>
      <w:r w:rsidRPr="0085709A">
        <w:rPr>
          <w:i/>
        </w:rPr>
        <w:t xml:space="preserve">tertium genus </w:t>
      </w:r>
      <w:r>
        <w:t>que se ha denominado democracia participativa [FJ 4].</w:t>
      </w:r>
    </w:p>
    <w:p w:rsidR="0085709A" w:rsidRDefault="0085709A" w:rsidP="0085709A">
      <w:pPr>
        <w:pStyle w:val="Extracto"/>
      </w:pPr>
    </w:p>
    <w:p w:rsidR="0085709A" w:rsidRDefault="0085709A" w:rsidP="0085709A">
      <w:pPr>
        <w:pStyle w:val="Extracto"/>
      </w:pPr>
      <w:r>
        <w:t>3.</w:t>
      </w:r>
      <w:r>
        <w:tab/>
        <w:t>La Constitución, al referirse en el art. 149.1.32 a las “consultas populares por vía de referéndum” ha consentido la existencia de otras consultas populares que no fueran las referendarias, habiendo sido el legislador orgánico y estatutario quien las introduce en el bloque de constitucionalidad (en lo que aquí interesa, el art. 122 EAC, al conferir a la Generalitat competencia en materia de encuestas, audiencias públicas, foros de participación y cualquier otro instrumento de consulta popular) [FJ 5].</w:t>
      </w:r>
    </w:p>
    <w:p w:rsidR="0085709A" w:rsidRDefault="0085709A" w:rsidP="0085709A">
      <w:pPr>
        <w:pStyle w:val="Extracto"/>
      </w:pPr>
    </w:p>
    <w:p w:rsidR="0085709A" w:rsidRDefault="0085709A" w:rsidP="0085709A">
      <w:pPr>
        <w:pStyle w:val="Extracto"/>
      </w:pPr>
      <w:r>
        <w:t>4.</w:t>
      </w:r>
      <w:r>
        <w:tab/>
        <w:t>El referéndum es manifestación del derecho de participación política directa en los asuntos públicos (art. 23.1 CE), mientras que las consultas referendarias en cambio, lo son del mandato dirigido a los poderes públicos de facilitar la participación de los ciudadanos en la vida política, económica, cultural y social (art. 9.2 CE y concordantes) [FJ 5].</w:t>
      </w:r>
    </w:p>
    <w:p w:rsidR="0085709A" w:rsidRDefault="0085709A" w:rsidP="0085709A">
      <w:pPr>
        <w:pStyle w:val="Extracto"/>
      </w:pPr>
    </w:p>
    <w:p w:rsidR="0085709A" w:rsidRDefault="0085709A" w:rsidP="0085709A">
      <w:pPr>
        <w:pStyle w:val="Extracto"/>
      </w:pPr>
      <w:r>
        <w:t>5.</w:t>
      </w:r>
      <w:r>
        <w:tab/>
        <w:t xml:space="preserve">Con el referéndum no se recaba la opinión sobre cualesquier asunto de interés público, a través de cualesquier procedimiento, sino sólo sobre aquellos asuntos cuyo objeto define la normativa electoral; y ello tomando como referencia el censo, gestionado por la Administración electoral y asegurado con garantías jurisdiccionales específicas, siempre en relación con asuntos públicos cuya gestión, directa o indirecta, mediante el ejercicio del poder político por parte de los ciudadanos, </w:t>
      </w:r>
      <w:r>
        <w:lastRenderedPageBreak/>
        <w:t>constituye el objeto del derecho fundamental recogido por la Constitución en el art. 23.1 (así, STC 119/1995, de 17 de julio) [FJ 5].</w:t>
      </w:r>
    </w:p>
    <w:p w:rsidR="0085709A" w:rsidRDefault="0085709A" w:rsidP="0085709A">
      <w:pPr>
        <w:pStyle w:val="Extracto"/>
      </w:pPr>
    </w:p>
    <w:p w:rsidR="0085709A" w:rsidRDefault="0085709A" w:rsidP="0085709A">
      <w:pPr>
        <w:pStyle w:val="Extracto"/>
      </w:pPr>
      <w:r>
        <w:t>6.</w:t>
      </w:r>
      <w:r>
        <w:tab/>
        <w:t>Para calificar una consulta como referéndum o para determinar si una consulta popular se verifica por vía de referéndum y su convocatoria requiere de una autorización reservada al Estado, ha de atenderse a la identidad del sujeto consultado; de manera que siempre que éste sea el cuerpo electoral, cuya vía de manifestación propia es la de los distintos procedimientos electorales, con sus correspondientes garantías, estaremos ante una consulta referendaria [FJ 5].</w:t>
      </w:r>
    </w:p>
    <w:p w:rsidR="0085709A" w:rsidRDefault="0085709A" w:rsidP="0085709A">
      <w:pPr>
        <w:pStyle w:val="Extracto"/>
      </w:pPr>
    </w:p>
    <w:p w:rsidR="0085709A" w:rsidRDefault="0085709A" w:rsidP="0085709A">
      <w:pPr>
        <w:pStyle w:val="Extracto"/>
      </w:pPr>
      <w:r>
        <w:t>7.</w:t>
      </w:r>
      <w:r>
        <w:tab/>
        <w:t>El referéndum no se define frente a otras consultas populares por el carácter vinculante de su resultado [FJ 5].</w:t>
      </w:r>
    </w:p>
    <w:p w:rsidR="0085709A" w:rsidRDefault="0085709A" w:rsidP="0085709A">
      <w:pPr>
        <w:pStyle w:val="Extracto"/>
      </w:pPr>
    </w:p>
    <w:p w:rsidR="0085709A" w:rsidRDefault="0085709A" w:rsidP="0085709A">
      <w:pPr>
        <w:pStyle w:val="Extracto"/>
      </w:pPr>
      <w:r>
        <w:t>8.</w:t>
      </w:r>
      <w:r>
        <w:tab/>
        <w:t>A través del referéndum, se produce un llamamiento del poder público a la ciudadanía para ejercer el derecho fundamental de participación en los asuntos públicos reconocido en el art. 23.1 CE; y el destinatario de la consulta es el conjunto de ciudadanos que tienen reconocido el derecho de sufragio activo en un determinado ámbito territorial o, lo que es lo mismo, el cuerpo electoral [FJ 5].</w:t>
      </w:r>
    </w:p>
    <w:p w:rsidR="0085709A" w:rsidRDefault="0085709A" w:rsidP="0085709A">
      <w:pPr>
        <w:pStyle w:val="Extracto"/>
      </w:pPr>
    </w:p>
    <w:p w:rsidR="0085709A" w:rsidRDefault="0085709A" w:rsidP="0085709A">
      <w:pPr>
        <w:pStyle w:val="Extracto"/>
      </w:pPr>
      <w:r>
        <w:t>9.</w:t>
      </w:r>
      <w:r>
        <w:tab/>
        <w:t>El cuerpo electoral es el sujeto que expresa la voluntad del pueblo y no se confunde con el titular de la soberanía, esto es, con el pueblo español; tal cuerpo electoral está sometido a la Constitución y al resto del Ordenamiento jurídico, en tanto que el pueblo soberano es la unidad ideal de imputación del poder constituyente y como tal fundamento de la Constitución y del Ordenamiento [FJ 5].</w:t>
      </w:r>
    </w:p>
    <w:p w:rsidR="0085709A" w:rsidRDefault="0085709A" w:rsidP="0085709A">
      <w:pPr>
        <w:pStyle w:val="Extracto"/>
      </w:pPr>
    </w:p>
    <w:p w:rsidR="0085709A" w:rsidRDefault="0085709A" w:rsidP="0085709A">
      <w:pPr>
        <w:pStyle w:val="Extracto"/>
      </w:pPr>
      <w:r>
        <w:t>10.</w:t>
      </w:r>
      <w:r>
        <w:tab/>
        <w:t>Siendo que el cuerpo electoral tiene una adscripción territorial y presenta la composición determinada por el ordenamiento, no existe un único cuerpo de electores, y cada persona podrá formar parte de diversos cuerpos electorales en función de que la colectividad a la que pertenezca sea determinada por los ordenamientos estatal, autonómico o local [FJ 5].</w:t>
      </w:r>
    </w:p>
    <w:p w:rsidR="0085709A" w:rsidRDefault="0085709A" w:rsidP="0085709A">
      <w:pPr>
        <w:pStyle w:val="Extracto"/>
      </w:pPr>
    </w:p>
    <w:p w:rsidR="0085709A" w:rsidRDefault="0085709A" w:rsidP="0085709A">
      <w:pPr>
        <w:pStyle w:val="Extracto"/>
      </w:pPr>
      <w:r>
        <w:t>11.</w:t>
      </w:r>
      <w:r>
        <w:tab/>
        <w:t>Las consultas no referendarias recaban la opinión de cualquier colectivo, por lo que articulan voluntades particulares o colectivas, pero no generales, esto es, no imputables al cuerpo electoral [FJ 5].</w:t>
      </w:r>
    </w:p>
    <w:p w:rsidR="0085709A" w:rsidRDefault="0085709A" w:rsidP="0085709A">
      <w:pPr>
        <w:pStyle w:val="Extracto"/>
      </w:pPr>
    </w:p>
    <w:p w:rsidR="0085709A" w:rsidRDefault="0085709A" w:rsidP="0085709A">
      <w:pPr>
        <w:pStyle w:val="Extracto"/>
      </w:pPr>
      <w:r>
        <w:t>12.</w:t>
      </w:r>
      <w:r>
        <w:tab/>
        <w:t>El concepto de referéndum estriba en que la opinión del cuerpo electoral se expresa por medio del sufragio emitido en el curso de un proceso electoral, a fin de que el resultado de la consulta pueda jurídicamente imputarse a la voluntad general de la correspondiente comunidad política y, de este modo, considerarse una genuina manifestación del derecho fundamental de participación política reconocido en el art. 23.1 CE; y, por ello, el referéndum ha de realizarse de acuerdo con los procedimientos y con las garantías que permitan a los consultados expresar su opinión mediante votación, pues sólo mediante el voto puede formarse la voluntad del cuerpo electoral [FJ 5].</w:t>
      </w:r>
    </w:p>
    <w:p w:rsidR="0085709A" w:rsidRDefault="0085709A" w:rsidP="0085709A">
      <w:pPr>
        <w:pStyle w:val="Extracto"/>
      </w:pPr>
    </w:p>
    <w:p w:rsidR="0085709A" w:rsidRDefault="0085709A" w:rsidP="0085709A">
      <w:pPr>
        <w:pStyle w:val="Extracto"/>
      </w:pPr>
      <w:r>
        <w:t>13.</w:t>
      </w:r>
      <w:r>
        <w:tab/>
        <w:t xml:space="preserve">Solo a través del sufragio (y no por medio de otras fórmulas de exteriorización de la opinión, como el ejercicio del derecho de manifestación, la aportación de firmas, sondeos de opinión o encuestas, etc.) puede quedar acreditado que el resultado de </w:t>
      </w:r>
      <w:r>
        <w:lastRenderedPageBreak/>
        <w:t>la consulta es la fidedigna expresión de la voluntad del cuerpo electoral, de modo que las exigencias del procedimiento de celebración de referéndum deben ser entendidas como medios orientados a un fin: garantizar la realidad y veracidad del juicio emitido por el cuerpo electoral [FJ 5].</w:t>
      </w:r>
    </w:p>
    <w:p w:rsidR="0085709A" w:rsidRDefault="0085709A" w:rsidP="0085709A">
      <w:pPr>
        <w:pStyle w:val="Extracto"/>
      </w:pPr>
    </w:p>
    <w:p w:rsidR="0085709A" w:rsidRDefault="0085709A" w:rsidP="0085709A">
      <w:pPr>
        <w:pStyle w:val="Extracto"/>
      </w:pPr>
      <w:r>
        <w:t>14.</w:t>
      </w:r>
      <w:r>
        <w:tab/>
        <w:t>El referéndum supone que el poder público convoque al conjunto de los ciudadanos de un ámbito territorial determinado para que ejerzan el derecho fundamental de participación en los asuntos públicos emitiendo su opinión, vinculante o no, sobre una determinada cuestión, mediante votación y con las garantías propias de un proceso electoral [FJ 6].</w:t>
      </w:r>
    </w:p>
    <w:p w:rsidR="0085709A" w:rsidRDefault="0085709A" w:rsidP="0085709A">
      <w:pPr>
        <w:pStyle w:val="Extracto"/>
      </w:pPr>
    </w:p>
    <w:p w:rsidR="0085709A" w:rsidRDefault="0085709A" w:rsidP="0085709A">
      <w:pPr>
        <w:pStyle w:val="Extracto"/>
      </w:pPr>
      <w:r>
        <w:t>15.</w:t>
      </w:r>
      <w:r>
        <w:tab/>
        <w:t>Las consultas populares por vía de referéndum son una manifestación del derecho fundamental de participación política recogido en el art. 23.1 CE, mientras que las consultas populares no referendarias, si bien son una expresión del fenómeno participativo, no se encuentran comprendidas dentro de las formas de la referida participación política [FJ 6].</w:t>
      </w:r>
    </w:p>
    <w:p w:rsidR="0085709A" w:rsidRDefault="0085709A" w:rsidP="0085709A">
      <w:pPr>
        <w:pStyle w:val="Extracto"/>
      </w:pPr>
    </w:p>
    <w:p w:rsidR="0085709A" w:rsidRDefault="0085709A" w:rsidP="0085709A">
      <w:pPr>
        <w:pStyle w:val="Extracto"/>
      </w:pPr>
      <w:r>
        <w:t>16.</w:t>
      </w:r>
      <w:r>
        <w:tab/>
        <w:t>El régimen jurídico del referéndum está sujeto a una reserva de ley orgánica en cuanto implica el ejercicio del derecho fundamental reconocido por el art. 23.1 CE; de modo que concurren dos exigencias constitucionales de reserva de ley orgánica: una, genérica, vinculada al desarrollo de los derechos fundamentales; y, otra, específica, asociada a la institución del referéndum [FJ 6].</w:t>
      </w:r>
    </w:p>
    <w:p w:rsidR="0085709A" w:rsidRDefault="0085709A" w:rsidP="0085709A">
      <w:pPr>
        <w:pStyle w:val="Extracto"/>
      </w:pPr>
    </w:p>
    <w:p w:rsidR="0085709A" w:rsidRDefault="0085709A" w:rsidP="0085709A">
      <w:pPr>
        <w:pStyle w:val="Extracto"/>
      </w:pPr>
      <w:r>
        <w:t>17.</w:t>
      </w:r>
      <w:r>
        <w:tab/>
        <w:t>El régimen jurídico del referéndum está sujeto a una reserva de ley orgánica en cuanto implica el ejercicio del derecho fundamental reconocido por el art. 23.1 CE; de modo que concurren dos exigencias constitucionales de reserva de ley orgánica: una, genérica, vinculada al desarrollo de los derechos fundamentales; y, otra, específica, asociada a la institución del referéndum [FJ 6].</w:t>
      </w:r>
    </w:p>
    <w:p w:rsidR="0085709A" w:rsidRDefault="0085709A" w:rsidP="0085709A">
      <w:pPr>
        <w:pStyle w:val="Extracto"/>
      </w:pPr>
    </w:p>
    <w:p w:rsidR="0085709A" w:rsidRDefault="0085709A" w:rsidP="0085709A">
      <w:pPr>
        <w:pStyle w:val="Extracto"/>
      </w:pPr>
      <w:r>
        <w:t>18.</w:t>
      </w:r>
      <w:r>
        <w:tab/>
        <w:t>En lo que respecta a las competencias de las Comunidades Autónomas, no cabe en el ordenamiento constitucional, en materia de referéndum, ninguna competencia implícita, puesto que en la democracia representativa, solo pueden convocarse y celebrarse los referendos que expresamente estén previstos en las normas del Estado, incluidos los Estatutos de Autonomía [FJ 6].</w:t>
      </w:r>
    </w:p>
    <w:p w:rsidR="0085709A" w:rsidRDefault="0085709A" w:rsidP="0085709A">
      <w:pPr>
        <w:pStyle w:val="Extracto"/>
      </w:pPr>
    </w:p>
    <w:p w:rsidR="0085709A" w:rsidRDefault="0085709A" w:rsidP="0085709A">
      <w:pPr>
        <w:pStyle w:val="Extracto"/>
      </w:pPr>
      <w:r>
        <w:t>19.</w:t>
      </w:r>
      <w:r>
        <w:tab/>
        <w:t>Las consultas sectoriales presuponen el llamamiento a un sujeto jurídico más restringido que el cuerpo electoral de una colectividad territorial y son cauces de participación cuya regulación puede efectuarse por el legislador autonómico, de conformidad con su Estatuto de Autonomía, siempre y cuando se diferencien  tales consultas de las definidas como referéndum [FJ 6].</w:t>
      </w:r>
    </w:p>
    <w:p w:rsidR="0085709A" w:rsidRDefault="0085709A" w:rsidP="0085709A">
      <w:pPr>
        <w:pStyle w:val="Extracto"/>
      </w:pPr>
    </w:p>
    <w:p w:rsidR="0085709A" w:rsidRDefault="0085709A" w:rsidP="0085709A">
      <w:pPr>
        <w:pStyle w:val="Extracto"/>
      </w:pPr>
      <w:r>
        <w:t>20.</w:t>
      </w:r>
      <w:r>
        <w:tab/>
        <w:t>La Ley del Parlamento de Cataluña de consultas populares no referendarias y otras formas de participación ciudadana, regula —bajo la denominación de “consultas generales”— una verdadera consulta referendaria, articulada como llamamiento al cuerpo electoral a través del voto, vulnerando la competencia exclusiva del Estado en esta materia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lastRenderedPageBreak/>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impugnación de disposiciones autonómicas (título V de la Ley Orgánica del Tribunal Constitucional) núm. 6415-2014, promovida por el Abogado del Estado, en representación del Gobierno, contra la disposición adicional y las disposiciones finales del Decreto del Gobierno de Canarias 95/2014, de 25 de septiembre, por el que se aprueba el Reglamento de las consultas a la ciudadanía en asuntos de interés general de competencia de la Comunidad Autónoma de Canarias, así como contra los arts. 3 y 4 y 9 a 26 de dicho Reglamento. Ha comparecido y formulado alegaciones, en representación del Gobierno de Canarias, la Directora General de su servicio jurídico. Ha sido Ponente la Magistrada doña Encarnación Roca Trías,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de 27 de octubre de 2014, registrado en el Tribunal Constitucional en igual fecha y rectificado, en cuanto a algunos de sus errores materiales, por nuevo escrito de 31 del propio mes, registrado en la misma fecha, el Abogado del Estado, en la representación que legalmente ostenta, presentó, al amparo de los arts. 161.2 CE y 76 y 77 de la Ley Orgánica del Tribunal Constitucional (LOTC), impugnación contra los artículos 3 y 4 del capítulo I y 9 a 26 del capítulo III del Reglamento de las consultas a la ciudadanía en asuntos de interés general de competencia de la Comunidad Autónoma de Canarias, aprobado por el artículo único del Decreto del Gobierno de Canarias 95/2014, de 25 de septiembre, así como contra las disposiciones derogatoria única y finales primera y segunda de dicho Decreto, en cuanto se refieran a las preguntas directas reguladas en los mencionados capítulos I y III del Reglamento, que fue publicado en el “Boletín Oficial de Canarias” núm. 190, de 1 de octubre de 2014. Se hizo expresa invocación del artículo 161.2 CE en relación con los preceptos recurridos y en orden a la suspensión de la vigencia y aplicación de las normas impugnadas.</w:t>
      </w:r>
    </w:p>
    <w:p w:rsidR="0085709A" w:rsidRDefault="0085709A" w:rsidP="0085709A">
      <w:pPr>
        <w:pStyle w:val="TextoNormal"/>
      </w:pPr>
    </w:p>
    <w:p w:rsidR="0085709A" w:rsidRDefault="0085709A" w:rsidP="0085709A">
      <w:pPr>
        <w:pStyle w:val="TextoNormal"/>
      </w:pPr>
      <w:r>
        <w:t>La fundamentación jurídica de la demanda puede sintetizarse como sigue:</w:t>
      </w:r>
    </w:p>
    <w:p w:rsidR="0085709A" w:rsidRDefault="0085709A" w:rsidP="0085709A">
      <w:pPr>
        <w:pStyle w:val="TextoNormal"/>
      </w:pPr>
    </w:p>
    <w:p w:rsidR="0085709A" w:rsidRDefault="0085709A" w:rsidP="0085709A">
      <w:pPr>
        <w:pStyle w:val="TextoNormal"/>
      </w:pPr>
      <w:r>
        <w:t xml:space="preserve">a) Se refiere, en primer lugar, el Abogado del Estado a la admisibilidad de la impugnación, señalando, en particular, que en este tipo de proceso constitucional pueden hacerse </w:t>
      </w:r>
      <w:r>
        <w:lastRenderedPageBreak/>
        <w:t>valer cualesquiera infracciones constitucionales, incluidas las que se basen en la contravención del orden constitucional de competencias, citando al respecto la jurisprudencia constitucional que estima de relieve. Señala la demanda, a estos efectos, que la disposición normativa ahora impugnada, de rango infralegal, incurre en vulneraciones constitucionales, tanto competenciales como no competenciales. Estima, por ello, que la utilización del procedimiento del título V LOTC para la impugnación del Decreto del Gobierno de Canarias 95/2014 es correcta desde el punto de vista procesal.</w:t>
      </w:r>
    </w:p>
    <w:p w:rsidR="0085709A" w:rsidRDefault="0085709A" w:rsidP="0085709A">
      <w:pPr>
        <w:pStyle w:val="TextoNormal"/>
      </w:pPr>
    </w:p>
    <w:p w:rsidR="0085709A" w:rsidRDefault="0085709A" w:rsidP="0085709A">
      <w:pPr>
        <w:pStyle w:val="TextoNormal"/>
      </w:pPr>
      <w:r>
        <w:t>b) Se señala, a continuación, que el Reglamento autonómico impugnado es inconstitucional por vulnerar directamente la Constitución, con independencia de la ley autonómica que desarrolla, Ley 5/2010, de 21 de junio, de fomento a la participación ciudadana de Canarias, conforme a cuyo artículo 20 el Gobierno podrá, a instancias del Presidente, recabar la opinión de la ciudadanía sobre asuntos de interés general de competencia autonómica, mediante sondeos, encuestas o cualquier otro instrumento de participación ciudadana. Puntualiza el Abogado del Estado que el Decreto 95/2014 impugnado es de “pretendido desarrollo” de dicha Ley porque viene a regular, sin base normativa alguna, determinada clase de consultas de naturaleza referendaria, cuyo régimen jurídico se contiene en el capítulo III, artículos 9 y siguientes, del anexo al citado Decreto, sabiendo que la Ley 5/2010, que supuestamente le serviría de base legal, sólo regula, como no podría ser jurídicamente de otro modo, consultas no referendarias, incurriendo por ello el Decreto en infracción directa de la Constitución, al carecer las Comunidades Autónomas de potestad normativa suficiente para regular referéndums, además de carecer también de competencia para convocarlos fuera de los casos establecidos por ley del Estado.</w:t>
      </w:r>
    </w:p>
    <w:p w:rsidR="0085709A" w:rsidRDefault="0085709A" w:rsidP="0085709A">
      <w:pPr>
        <w:pStyle w:val="TextoNormal"/>
      </w:pPr>
    </w:p>
    <w:p w:rsidR="0085709A" w:rsidRDefault="0085709A" w:rsidP="0085709A">
      <w:pPr>
        <w:pStyle w:val="TextoNormal"/>
      </w:pPr>
      <w:r>
        <w:t>La distinción entre consulta popular y referéndum fue abordada por el Tribunal Constitucional, entre otras, en la STC 103/2008, de la que la demanda cita determinados pasajes, así como de la STC 31/2010. Se hace referencia, asimismo, a la STC 154/1988. Se señala, tras ello, que para determinar si el Decreto impugnado regula consultas populares no referendarias o verdaderos referéndums en cuanto a las denominadas por el mismo “preguntas directas” es preciso verificar si se cumplen o no las exigencias de la jurisprudencia del Tribunal Constitucional en orden a la identificación de una consulta como referendaria, es decir, esencialmente, si se recaba el parecer del cuerpo electoral cuya expresión debe producirse a través de un procedimiento electoral.</w:t>
      </w:r>
    </w:p>
    <w:p w:rsidR="0085709A" w:rsidRDefault="0085709A" w:rsidP="0085709A">
      <w:pPr>
        <w:pStyle w:val="TextoNormal"/>
      </w:pPr>
    </w:p>
    <w:p w:rsidR="0085709A" w:rsidRDefault="0085709A" w:rsidP="0085709A">
      <w:pPr>
        <w:pStyle w:val="TextoNormal"/>
      </w:pPr>
      <w:r>
        <w:t xml:space="preserve">c) En lo que se refiere a la convocatoria del cuerpo electoral y a la inconstitucionalidad de los arts. 3, 9, 10 y 12 del Reglamento, señala el Abogado del Estado que, respecto a las llamadas, “preguntas directas” reguladas en los capítulos I y III del Reglamento, el artículo 9 del mismo señala que “la opinión de la ciudadanía respecto de asuntos de interés general de competencia autonómica podrá recabarse mediante la formulación de una o varias preguntas directas a la ciudadanía, con el objeto de que los llamados a participar en la consulta manifiesten su parecer de forma afirmativa o negativa”. Esta convocatoria directa y global a la ciudadanía como sujeto colectivo otorgaría a la consulta un carácter referendario en franca vulneración del art. 92 CE, que atribuye competencia exclusiva al Estado tanto para convocar como para regular esta clase de referéndums. A su vez, el artículo 10 del Reglamento establece, de manera complementaria, que “las consultas pueden contener una o varias preguntas, cuyo texto deberá ser redactado de manera clara y sencilla, y ser formuladas de manera sucinta, inequívoca y fácilmente entendible por las personas y entidades ciudadanas llamadas a participar en la correspondiente convocatoria”, en tanto que el artículo 12 </w:t>
      </w:r>
      <w:r>
        <w:lastRenderedPageBreak/>
        <w:t xml:space="preserve">define las personas llamadas a emitir respuesta y el artículo 3 del mismo Reglamento concreta el concepto de ciudadanía a estos efectos. Estima el Abogado del Estado que el Decreto pretende la participación política “de la ciudadanía” y que el concepto de ciudadano se ha asociado históricamente a la titularidad de derechos políticos en una sociedad. Por tanto —añade—, se consulta al cuerpo electoral (personas con la condición política de canarios en los términos del artículo 4 del Estatuto de Autonomía y mayores de dieciocho años de acuerdo con el bloque de la constitucionalidad) y además a otros colectivos, a fin de conocer la opinión de la ciudadanía. Existirá un referéndum —se observa— cuando se consulte al cuerpo electoral y no a cualquier otro colectivo, siendo oportuno recordar que para que la consulta tenga tal carácter, no es preciso que se consulte sólo al cuerpo electoral; bastará que lo englobe para que exista llamamiento sustantivo. El Tribunal Constitucional ya ha tenido ocasión de precisar que la calificación jurídica de una institución no depende del </w:t>
      </w:r>
      <w:r w:rsidRPr="0085709A">
        <w:rPr>
          <w:i/>
        </w:rPr>
        <w:t>nomen iuris</w:t>
      </w:r>
      <w:r>
        <w:t xml:space="preserve"> que se le otorgue, sino de los elementos esenciales de la misma determinantes de su recognoscibilidad social (STC 83/2014). El Decreto 95/2014 ignora absolutamente la regulación constitucional vigente al establecer una consulta referendaria y reconocer un derecho de sufragio al margen de las exigencias del bloque de la constitucionalidad. La legitimidad política derivada de la democracia directa precisa que se consulte al titular de la soberanía, al cuerpo electoral, y las preguntas directas cuyo régimen establece el Reglamento impugnado implican su consulta y además la de otros grupos englobados (mayores de dieciséis años, extranjeros y personas jurídicas).</w:t>
      </w:r>
    </w:p>
    <w:p w:rsidR="0085709A" w:rsidRDefault="0085709A" w:rsidP="0085709A">
      <w:pPr>
        <w:pStyle w:val="TextoNormal"/>
      </w:pPr>
    </w:p>
    <w:p w:rsidR="0085709A" w:rsidRDefault="0085709A" w:rsidP="0085709A">
      <w:pPr>
        <w:pStyle w:val="TextoNormal"/>
      </w:pPr>
      <w:r>
        <w:t xml:space="preserve">Con todo ello, en resumen, se vulnera la exclusiva competencia estatal para regular el régimen jurídico del derecho fundamental de participación política. Además, al margen de los concretos preceptos constitucionales y estatutarios infringidos, la configuración legal de un cuerpo electoral y de un censo pretendidamente propios, al margen de la ley electoral general, tiene un alcance mayor que el meramente técnico, de falta de acomodación a la legislación estatal competente, pues el hipotético reconocimiento de un cuerpo electoral distinto del único y general supondría la validación o reconocimiento jurídico-constitucional de la existencia misma de un sujeto colectivo, titular de derechos políticos y que como tal, manifiesta su opinión en un plano aparte, diferenciado del electorado general, con voluntad política propia y capacidad de decisión y con capacidad para poner en tela de juicio incluso decisiones de ámbito estatal. Esto es lo que conlleva la regulación impugnada, pues el juego de los arts. 3,9 y 12 del anexo del Decreto articula un “censo flotante”, abarcando así, sólo o con otras personas no incluidas en el censo, a todo el cuerpo electoral, pero separándolo nominativa y cuantitativamente del censo. La Norma pretende ocultar, al configurar en el artículo 3 un concepto legal de ciudadanía a estos efectos, una verdadera llamada al cuerpo electoral, desvinculando este concepto del censo electoral, previamente llamado “registro de participación”. Posibilita así la creación de un “electorado </w:t>
      </w:r>
      <w:r w:rsidRPr="0085709A">
        <w:rPr>
          <w:i/>
        </w:rPr>
        <w:t>ad hoc</w:t>
      </w:r>
      <w:r>
        <w:t>” para, quebrando la identificación entre cuerpo electoral y censo electoral, distinguir aparentemente estas consultas de un referéndum, pretendiendo eludir así una auténtica llamada al cuerpo electoral con la sola alteración de las personas concretamente llamadas a participar en cada consulta. Este artilugio legal, no obstante, no consigue ni puede conseguir la desfiguración del cuerpo electoral como órgano político mediante un simple y llano maquillaje del censo electoral, pues entre las personas llamadas, conforme al juego de los artículos 3 y 12 del citado anexo, se incluye, sólo o con adición de menores y extranjeros, materialmente a todo el censo y, por tanto, no elude la llamada al cuerpo electoral como uno de los elementos constitutivos de una propia consulta referendaria. Se vulnera con ello la exclusiva compe</w:t>
      </w:r>
      <w:r>
        <w:lastRenderedPageBreak/>
        <w:t xml:space="preserve">tencia estatal para regular el régimen jurídico del derecho fundamental de participación política, pues la titularidad del derecho de participación que contemplan estos preceptos no coincide con las previsiones de la Ley Orgánica 5/1985, de régimen electoral general (LOREG: artículos 2, 3 y 31 a 41). De manera deliberada, se huye del concepto “llamamiento al cuerpo electoral”, mediante la creación de un registro de participación paralelo al censo electoral y a través del llamamiento a la participación de un grupo de ciudadanos superior al que lo compone, observándose que el censo electoral es uno y corresponde elaborarlo a la oficina del censo electoral conforme a la citada Ley Orgánica 5/1985 (LOREG). El artículo 12 de la Norma autonómica, además de vulnerar la Constitución en lo que se refiere a la reserva de ley orgánica y a la competencia exclusiva del Estado, tampoco coincide con las previsiones del propio Estatuto de Autonomía de Canarias, cuyo artículo 4 dispone que gozan de la condición política de canarios los ciudadanos españoles que, de acuerdo con las leyes generales del Estado, tengan vecindad administrativa en cualquiera de los municipios de Canarias e incluye a los ciudadanos españoles residentes en el extranjero que hayan tenido la última vecindad administrativa en Canarias y acrediten tal condición en el correspondiente consulado de España. Además, los derechos contenidos en el art. 13.2 CE, y por tanto el derecho </w:t>
      </w:r>
      <w:r w:rsidRPr="0085709A">
        <w:rPr>
          <w:i/>
        </w:rPr>
        <w:t>ex</w:t>
      </w:r>
      <w:r>
        <w:t xml:space="preserve"> art. 23 CE, pertenecen exclusivamente a los españoles, con la excepción del derecho de sufragio en las elecciones municipales, de manera que la inclusión y previsión ampliatoria en el Decreto 95/2014 de un derecho de participación política debe ser reputado inconstitucional, más allá de su instrumentación para crear un censo </w:t>
      </w:r>
      <w:r w:rsidRPr="0085709A">
        <w:rPr>
          <w:i/>
        </w:rPr>
        <w:t>ad hoc</w:t>
      </w:r>
      <w:r>
        <w:t xml:space="preserve"> que nominalmente se diferencie del previsto en la Ley Orgánica del régimen electoral general. Por ello, la identificación de personas legitimadas del Reglamento en cuanto a las preguntas directas infringe la doble reserva de ley orgánica (arts. 23 y 92.3 CE), pero es también contraria al artículo 13.2 de la misma Norma fundamental.</w:t>
      </w:r>
    </w:p>
    <w:p w:rsidR="0085709A" w:rsidRDefault="0085709A" w:rsidP="0085709A">
      <w:pPr>
        <w:pStyle w:val="TextoNormal"/>
      </w:pPr>
    </w:p>
    <w:p w:rsidR="0085709A" w:rsidRDefault="0085709A" w:rsidP="0085709A">
      <w:pPr>
        <w:pStyle w:val="TextoNormal"/>
      </w:pPr>
      <w:r>
        <w:t>d) Examina a continuación la demanda la regulación de un procedimiento y de un órgano electoral y la inconstitucionalidad de los artículos 14 a 26 del Reglamento.</w:t>
      </w:r>
    </w:p>
    <w:p w:rsidR="0085709A" w:rsidRDefault="0085709A" w:rsidP="0085709A">
      <w:pPr>
        <w:pStyle w:val="TextoNormal"/>
      </w:pPr>
    </w:p>
    <w:p w:rsidR="0085709A" w:rsidRDefault="0085709A" w:rsidP="0085709A">
      <w:pPr>
        <w:pStyle w:val="TextoNormal"/>
      </w:pPr>
      <w:r>
        <w:t xml:space="preserve">En el Decreto autonómico se regula un procedimiento que ha de calificarse como electoral, en cuanto se consulta al cuerpo electoral mediante las técnicas características de la institución referendaria y en razón de una convocatoria efectuada por un poder público a través de un procedimiento sujeto al Derecho público y al que se dota de unas garantías que persiguen obtener la confianza de la ciudadanía en la veracidad del resultado. Tras citar un pasaje del dictamen 964/2014 del Consejo de Estado, señala el Abogado del Estado que lo determinante es que el procedimiento constituye el cauce formal para el ejercicio del voto del cuerpo electoral, más allá de nominalismos. Ningún asunto de interés general, convocando la autoridad pública a toda la ciudadanía, puede tener un carácter no referendario, por lo que no podría convocarse o autorizarse su convocatoria por otra autoridad que no fuera la estatal, sin infringir el art. 92 CE. Por tanto, el procedimiento de las preguntas directas es electoral y la calificación jurídica de estas preguntas es la de referéndum. El art. 11.1 de la Ley Orgánica 2/1980 hace una remisión a la Ley Orgánica del régimen electoral general para la regulación del procedimiento de referéndum y es contrario a dicha regulación que el artículo 14 del Reglamento establezca que la consulta mediante preguntas directas será decidida por el Gobierno, pues atribuye la competencia para ello sólo al gobierno autónomo sin autorización del Gobierno de la Nación. Estas “preguntas directas” pretenden expresar el parecer del cuerpo electoral mediante las técnicas características de la institución, esto es, mediante la expresión de un parecer positivo o negativo respecto de la cuestión cerrada </w:t>
      </w:r>
      <w:r>
        <w:lastRenderedPageBreak/>
        <w:t xml:space="preserve">mediante una repuesta afirmativa predeterminada y limitada. Materialmente, en nada se diferencia de una consulta referendaria, salvo, naturalmente, en su denominación y en el régimen jurídico que el Decreto 95/2014 aplica a las mismas, infringiendo el régimen propio de la institución referendaria regulado en el bloque de la constitucionalidad. En esta misma línea, los artículos 14.2, 15 y 16 regulan el objeto y el decreto de convocatoria de la consulta en términos incompatibles con la Ley Orgánica 2/1980, no sólo por vulnerar las formalidades exigibles según el artículo 3 de esta Ley, sino, especialmente, por el hecho de regularse en un Decreto autonómico una consulta que ha de calificarse materialmente como referendaria, sin que ello esté previsto en la Ley Orgánica 2/1980, regulación reservada al Estado por el art. 92 CE. Los artículos 21 y 22 regulan el procedimiento de voto y la comisión de control, lo que resulta inconstitucional al preverse en un decreto autonómico respecto de un referéndum y que vulnera específicamente los artículos 12 y 13 de la citada Ley Orgánica 2/1980, así como la regulación de la Administración electoral del capítulo III del título I LOREG. El artículo 17 regula la campaña institucional previa a la consulta, lo que, además de ser inconstitucional por recogerse en un Decreto autonómico, vulnera las previsiones sobre la campaña previa al referéndum de los arts. 14 y 15 de la Ley Orgánica 2/1980. Establece tanto la campaña de información general (párrafo primero del artículo), como, solapadamente, la campaña electoral de expresión de las diferentes posiciones. Los artículos 18 y 21 establecen las modalidades de ejercicio del derecho de participación que ha de calificarse normalmente como voto, lo que vulnera lo establecido en los arts. 5, 16, 17 y 18 de la Ley Orgánica 2/1980, así como los de la Ley Orgánica del régimen electoral general que resulten de aplicación, sin que pueda, además, un decreto autonómico entrar en estas cuestiones respecto de un referéndum a celebrarse en locales públicos de la Administración de la Comunidad de Canarias y potencialmente en los de las restantes Administraciones públicas de Canarias (art. 19 del Reglamento). Los artículos 23, 24, 25 y 26 establecen una regulación que se aparta claramente de la estatal, configurando un procedimiento electoral </w:t>
      </w:r>
      <w:r w:rsidRPr="0085709A">
        <w:rPr>
          <w:i/>
        </w:rPr>
        <w:t>ex novo</w:t>
      </w:r>
      <w:r>
        <w:t xml:space="preserve"> que resulta inconstitucional. A ello hay que añadir la exclusión del recurso contencioso-electoral, en contra de lo dispuesto por el art. 19 de la Ley Orgánica 2/1980, lo que implica, asimismo, vulneración de esta Ley y con ella, de la regulación del derecho de sufragio garantizado por el art. 23 CE. En suma, los preceptos del Reglamento, reguladores de las preguntas directas y la parte final del Decreto en lo relativo a las mismas regulan una consulta materialmente referendaria, pese a encontrarse esta materia reservada a la competencia del legislador estatal y en consecuencia, excluyen la autorización estatal previa a la consulta (art. 149.1.32 CE). Carece de toda relevancia, a estos efectos, que la consulta no tenga carácter vinculante, como se desprende del artículo 27.2 del Reglamento.</w:t>
      </w:r>
    </w:p>
    <w:p w:rsidR="0085709A" w:rsidRDefault="0085709A" w:rsidP="0085709A">
      <w:pPr>
        <w:pStyle w:val="TextoNormal"/>
      </w:pPr>
    </w:p>
    <w:p w:rsidR="0085709A" w:rsidRDefault="0085709A" w:rsidP="0085709A">
      <w:pPr>
        <w:pStyle w:val="TextoNormal"/>
      </w:pPr>
      <w:r>
        <w:t xml:space="preserve">Además de los trámites que componen el procedimiento, también es significativa la existencia de una administración electoral, cuya configuración uniforme forma parte de las bases estatales del régimen jurídico de las administraciones públicas </w:t>
      </w:r>
      <w:r w:rsidRPr="0085709A">
        <w:rPr>
          <w:i/>
        </w:rPr>
        <w:t>ex</w:t>
      </w:r>
      <w:r>
        <w:t xml:space="preserve"> art. 149.1.18 CE, conforme a la STC 154/1988. El Decreto 95/2014 configura un órgano permanente, la comisión de control, en el art. 22 del anexo, como responsable del control del proceso y auténtico órgano específico de naturaleza exclusivamente electoral, lo que supone una estructura orgánica diferenciada de la Administración general ejecutiva autonómica, en emulación de lo dispuesto en el art. 8 LOREG. La configuración de un verdadero órgano electoral se advierte en su configuración general, en el detalle de sus competencias específicas y en su composición y esta regulación aboca a su inconstitucionalidad, por afectar tanto a la norma atributiva de competencia exclusiva al Estado en materia de consultas referendarias (arts. 92 y 149.1.32 CE), como a la necesaria regulación mediante ley orgánica, al afectar al derecho </w:t>
      </w:r>
      <w:r>
        <w:lastRenderedPageBreak/>
        <w:t xml:space="preserve">fundamental </w:t>
      </w:r>
      <w:r w:rsidRPr="0085709A">
        <w:rPr>
          <w:i/>
        </w:rPr>
        <w:t>ex</w:t>
      </w:r>
      <w:r>
        <w:t xml:space="preserve"> art. 23.1 CE. Así, en el artículo 22.5 se atribuyen a la comisión de control funciones tales como resolver reclamaciones, establecer criterios interpretativos y otras que, aparte de constituir auténticas potestades administrativas de ordenación electoral, eluden la reserva constitucional de ley orgánica, pues la Administración electoral forma parte esencial del régimen jurídico de la protección que el ordenamiento da al derecho fundamental enunciado en el art. 23.1 CE. Esta previsión general, en tanto que configuradora de una administración electoral, vulnera el principio de reserva de ley orgánica del art. 81 CE respecto del régimen electoral general. Vulnera también el art. 92.3 CE, en tanto que la norma autonómica afecta a la aplicación y eficacia del derecho fundamental a la participación de los ciudadanos en los asuntos públicos que garantiza el art. 23.1 CE, en cuyo desarrollo se dictó la Ley Orgánica 2/1980. Precisamente el sistema de garantías orgánico se establece, conforme a la normativa estatal, mediante las juntas electorales. Se advierte, por otra parte, que la regulación autonómica incide indebidamente, asimismo, en la competencia exclusiva del Estado para establecer las bases del régimen jurídico de las Administraciones públicas (art. 149.1.18 CE), pues no puede entenderse como simple especialidad derivada de la organización propia de las Comunidades Autónomas la configuración completa de un órgano </w:t>
      </w:r>
      <w:r w:rsidRPr="0085709A">
        <w:rPr>
          <w:i/>
        </w:rPr>
        <w:t>ad hoc</w:t>
      </w:r>
      <w:r>
        <w:t xml:space="preserve"> que contiene el Reglamento y de un sistema electoral propio como estructura creada al margen y de modo paralelo a la Administración electoral general establecida y regulada mediante ley orgánica.</w:t>
      </w:r>
    </w:p>
    <w:p w:rsidR="0085709A" w:rsidRDefault="0085709A" w:rsidP="0085709A">
      <w:pPr>
        <w:pStyle w:val="TextoNormal"/>
      </w:pPr>
    </w:p>
    <w:p w:rsidR="0085709A" w:rsidRDefault="0085709A" w:rsidP="0085709A">
      <w:pPr>
        <w:pStyle w:val="TextoNormal"/>
      </w:pPr>
      <w:r>
        <w:t>e) Se argumenta, a continuación, la insuficiencia normativa para la regulación del voto electrónico, con infracción de la reserva de ley orgánica, y la consiguiente inconstitucionalidad de los artículos 11 y 18 del Reglamento.</w:t>
      </w:r>
    </w:p>
    <w:p w:rsidR="0085709A" w:rsidRDefault="0085709A" w:rsidP="0085709A">
      <w:pPr>
        <w:pStyle w:val="TextoNormal"/>
      </w:pPr>
    </w:p>
    <w:p w:rsidR="0085709A" w:rsidRDefault="0085709A" w:rsidP="0085709A">
      <w:pPr>
        <w:pStyle w:val="TextoNormal"/>
      </w:pPr>
      <w:r>
        <w:t>Los citados preceptos del Reglamento permiten el voto por medios electrónicos, pero cualquier regulación de las formas de emisión del voto en un referéndum consultivo debe ser hecha por ley orgánica, según lo dispuesto en el art. 92.3 CE. El voto debe ser universal, libre, directo, secreto, personal e intransferible y, desde luego, no discriminatorio (art. 23.1, en relación con los arts. 14, 68.1 y 68.2 CE y 8 LOREG). Se señala, a mayor abundamiento, que de acuerdo con la recomendación (2004)11 del Comité de Ministros del Consejo de Europa a los Estados miembros sobre los estándares legales, procedimentales y técnicos de los sistemas de votación electrónica, firmada en Estrasburgo el 30 de septiembre de 2004, “el voto electrónico ha de respetar todos los principios predicables de las elecciones y los referéndum democráticos. El voto electrónico ha de ser tan seguro e inspirar la misma confianza que los sistemas de votación que, utilizados tradicionalmente en las elecciones y referéndum democráticos, no conllevaban el uso de medios electrónicos. Este principio general afecta a todos los aspectos electorales, estén éstos o no citados en los Anexos” (art. 2.2). Pues bien, el Decreto autonómico no ofrece ninguna regulación en absoluto sobre los medios electrónicos, por lo que, además de infringir la reserva de ley orgánica exigible, cabe entender vulneradas las exigencias de seguridad jurídica del art. 9.3 CE.</w:t>
      </w:r>
    </w:p>
    <w:p w:rsidR="0085709A" w:rsidRDefault="0085709A" w:rsidP="0085709A">
      <w:pPr>
        <w:pStyle w:val="TextoNormal"/>
      </w:pPr>
    </w:p>
    <w:p w:rsidR="0085709A" w:rsidRDefault="0085709A" w:rsidP="0085709A">
      <w:pPr>
        <w:pStyle w:val="TextoNormal"/>
      </w:pPr>
      <w:r>
        <w:t xml:space="preserve">f) Se dice, a modo de recapitulación, que la regulación contenido en el capítulo III del Decreto contraviene la Constitución de manera directa, así como el bloque de la constitucionalidad. Dicho capítulo III establece el régimen de un referéndum consultivo, pues se prevé que sea convocado por una autoridad pública estatal (el Gobierno autónomo de Canarias: art. 14); que habrá de versar sobre asuntos de interés general (de competencia autonómica:art. 9), convocando a la ciudadanía en su conjunto (arts. 3, 9 y 12), a través de un </w:t>
      </w:r>
      <w:r>
        <w:lastRenderedPageBreak/>
        <w:t>procedimiento y condiciones específicas (arts. 16, 18, 19, 20, 21, 23, 24, 25 y 26) y controlado por un órgano electoral específico diferenciado de la Administración autonómica activa con potestades jurídicas autónomas de decisión en Derecho (art. 22) y previa información mediante una campaña institucional y de manifestación pública de posiciones distintas o propaganda electoral (art. 17). Dicha regulación infringe la Constitución de un modo frontal y patente, tanto en lo que a la regulación misma de un referéndum consultivo se refiere, como en cuanto a la potestad para su convocatoria, pues conforme al art. 92 CE, sólo la autoridad estatal competente puede convocar un referéndum consultivo y ninguna otra autoridad pública puede hacerlo sin, al menos, una previa autorización y de acuerdo con lo que prevea la normativa estatal (ley orgánica) de desarrollo de ese mismo art. 92 CE. Además, en el plano del bloque de la constitucionalidad, se produce también una infracción del mismo Estatuto de Autonomía de Canarias, cuyo artículo 32.5, como competencia asumida por la Comunidad Autónoma, se refiere al “sistema de consultas populares en el ámbito de Canarias de conformidad con lo que disponga la Ley a la que se refiere el artículo 92.3 de la Constitución y demás leyes del Estado, correspondiendo a éste la autorización de su convocatoria”. Esta referencia al art. 92 CE y a las demás “leyes del Estado” supone el reconocimiento de la competencia exclusiva del Estado tanto para regular como para convocar referéndum, de tal modo que las Comunidades Autónomas carecen de competencia de manera absoluta, a menos que la ley del Estado (orgánica) venga a regular en tal sentido. En modo alguno cabe entender la existencia de una competencia originaria autonómica sin, al menos, adecuación a lo que en una ley del Estado, con el adecuado rango normativo, se haya podido determinar tanto en el aspecto sustantivo y competencial como de procedimiento para regular posibles clases de referéndums. Precisamente en esta evidente deficiencia incide el Decreto 95/2014, en su puesta en ejecución de la Ley canaria 5/2010 (burda invocación, dice el Abogado del Estado, ya que dicha Ley no regula consultas de naturaleza referendaria). A esta infracción de la Constitución se une también de manera directa la ya dicha del art. 32.5 del Estatuto de Autonomía de Canarias. Todo ello conduce a la inconstitucionalidad de los artículos del Reglamento aprobado por Decreto 95/2014 en cuanto que regula una modalidad de participación ciudadana de carácter referendario, al margen, sobre todo, del principio constitucional de reserva de ley orgánica (art. 23, en relación con los arts. 81 y 92 CE) e infringiendo, asimismo, desde la perspectiva del ámbito competencial autonómico, el art. 149.1.32 CE, así como el art. 32.5 del Estatuto de Canarias.</w:t>
      </w:r>
    </w:p>
    <w:p w:rsidR="0085709A" w:rsidRDefault="0085709A" w:rsidP="0085709A">
      <w:pPr>
        <w:pStyle w:val="TextoNormal"/>
      </w:pPr>
    </w:p>
    <w:p w:rsidR="0085709A" w:rsidRDefault="0085709A" w:rsidP="0085709A">
      <w:pPr>
        <w:pStyle w:val="TextoNormal"/>
      </w:pPr>
      <w:r>
        <w:t>Se concluyó con la súplica de que se dictara sentencia declarando inconstitucionales y nulos los preceptos impugnados. Se pidió en otrosí que, hecha la invocación de lo previsto en los arts. 161.2 CE y 77 LOTC, se declarara en suspenso la vigencia y aplicación de los preceptos recurridos.</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Por providencia de 4 de noviembre de 2014, el Pleno del Tribunal, a propuesta de la Sección Primera, acordó admitir a trámite la impugnación promovida por el Gobierno de la Nación, en relación con los arts. 3 y 4 del capítulo I y 9 al 26 del capítulo III del anexo del Decreto del Gobierno de Canarias 95/2014, de 25 de septiembre, así como de las disposiciones derogatoria única y finales primera y segunda de dicho Decreto; dar traslado de la demanda y documentos presentados al Gobierno de Canarias, por conducto de su Presidente, al objeto de que en el plazo de veinte días, y por medio de la representación procesal que determina el art. 82.2 LOTC, aporte cuantos documentos y alegaciones considere convenientes; tener por invocado por el gobierno el art. 161.2 CE lo que, a su tenor y conforme </w:t>
      </w:r>
      <w:r>
        <w:lastRenderedPageBreak/>
        <w:t>dispone el art. 77 LOTC, produce la suspensión de los preceptos impugnados, y la de cualquier actuación que traiga causa de los mismos desde el día 27 de octubre de 2014, fecha de interposición de la impugnación, lo que será comunicado al Presidente del Gobierno de Canarias y, por último, publicar la incoación de la impugnación en el “Boletín Oficial del Estado” y en el “Boletín Oficial de Canarias”.</w:t>
      </w:r>
    </w:p>
    <w:p w:rsidR="0085709A" w:rsidRDefault="0085709A" w:rsidP="0085709A">
      <w:pPr>
        <w:pStyle w:val="TextoNormal"/>
      </w:pPr>
    </w:p>
    <w:p w:rsidR="0085709A" w:rsidRDefault="0085709A" w:rsidP="0085709A">
      <w:pPr>
        <w:pStyle w:val="TextoNormal"/>
      </w:pPr>
      <w:r w:rsidRPr="0085709A">
        <w:rPr>
          <w:rStyle w:val="NumeroAFNegritaCaracter"/>
        </w:rPr>
        <w:t>3</w:t>
      </w:r>
      <w:r>
        <w:t>. Mediante escrito registrado el 5 de noviembre de 2014, la Directora General del servicio jurídico del Gobierno de Canarias se personó en el procedimiento y solicitó prórroga del plazo para realizar alegaciones. El día 12 del mismo mes presentó nuevo escrito aportando el acuerdo de 6 de noviembre de 2014 del Gobierno de Canarias que facultaba su personación, reiterando la petición de ampliación del plazo concedido para alegaciones.</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providencia de 13 de noviembre de 2014 el Pleno tuvo por personado al Gobierno de Canarias, y prorrogó por diez días el plazo concedido para realizar alegaciones.</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de 12 de diciembre de 2014, que tuvo entrada en el Tribunal el día 16 del mismo mes, presentó alegaciones, en nombre del Gobierno de Canarias, la Directora General del servicio jurídico del Gobierno de la Comunidad Autónoma. Pueden resumirse como sigue:</w:t>
      </w:r>
    </w:p>
    <w:p w:rsidR="0085709A" w:rsidRDefault="0085709A" w:rsidP="0085709A">
      <w:pPr>
        <w:pStyle w:val="TextoNormal"/>
      </w:pPr>
    </w:p>
    <w:p w:rsidR="0085709A" w:rsidRDefault="0085709A" w:rsidP="0085709A">
      <w:pPr>
        <w:pStyle w:val="TextoNormal"/>
      </w:pPr>
      <w:r>
        <w:t>a) Se afirma, en primer lugar, la improcedencia del cauce procesal elegido por el Gobierno de la Nación y la consiguiente inadmisibilidad de esta impugnación. Tras citar el ATC 135/2004, se dice no compartir los argumentos de la demanda en orden a que en este cauce procesal se puedan hacer valer cualesquiera infracciones constitucionales, incluidas las basadas en la infracción del orden constitucional de competencias, citándose al respecto la STC 64/1990. En la medida en que la demanda no invoca infracción constitucional ajena a razones competenciales, se solicita la inadmisión de la impugnación. De no estimarse tal solicitud, se alega ya sobre el fondo de lo suscitado en la demanda.</w:t>
      </w:r>
    </w:p>
    <w:p w:rsidR="0085709A" w:rsidRDefault="0085709A" w:rsidP="0085709A">
      <w:pPr>
        <w:pStyle w:val="TextoNormal"/>
      </w:pPr>
    </w:p>
    <w:p w:rsidR="0085709A" w:rsidRDefault="0085709A" w:rsidP="0085709A">
      <w:pPr>
        <w:pStyle w:val="TextoNormal"/>
      </w:pPr>
      <w:r>
        <w:t>b) Por el Abogado del Estado se impugnan los arts. 3 y 4 del capítulo I y 9 a 26 del capítulo III del anexo del Decreto del Gobierno de Canarias 95/2014. De conformidad con el acuerdo del Consejo de Ministros que se acompaña a la demanda, de 24 de octubre de 2014, la impugnación ante el Tribunal Constitucional allí acordada venía referida a los artículos 4 (capítulo I) y 9 a 26 (capítulo III) del Reglamento de consultas a la ciudadanía, preceptos estos que fueron analizados con carácter previo por el Consejo de Estado en su Dictamen aportado junto a la demanda. Sin embargo —se observa—, el Abogado del Estado incurre en la demanda en desviación procesal respecto de lo allí decidido y ordenado, al extender la impugnación, sin amparo en la preceptiva y previa decisión del órgano competente, al artículo 3 del Reglamento, referido a la “ciudadanía”. No es admisible que la representación procesal enmiende la decisión adoptada por el Consejo de Ministros y por ello debe quedar fuera del objeto del presente proceso y de la decisión a adoptar el artículo 3 de la norma impugnada. Siendo esto así, perdería sustento buena parte de la demanda, pues la no impugnación de este artículo 3 priva de razón de ser a la petición de nulidad del articulado efectivamente impugnado.</w:t>
      </w:r>
    </w:p>
    <w:p w:rsidR="0085709A" w:rsidRDefault="0085709A" w:rsidP="0085709A">
      <w:pPr>
        <w:pStyle w:val="TextoNormal"/>
      </w:pPr>
    </w:p>
    <w:p w:rsidR="0085709A" w:rsidRDefault="0085709A" w:rsidP="0085709A">
      <w:pPr>
        <w:pStyle w:val="TextoNormal"/>
      </w:pPr>
      <w:r>
        <w:t>Ya en cuanto al objeto, así delimitado, de la impugnación, se cita el art. 20 de la Ley canaria 5/2010, de 21 de junio, de fomento a la participación ciudadana, regulación legal —</w:t>
      </w:r>
      <w:r>
        <w:lastRenderedPageBreak/>
        <w:t>se observa— no cuestionada por el Gobierno de la Nación. Conforme a tal precepto, el Gobierno podrá, a instancias del Presidente, recabar la opinión de la ciudadanía sobre asuntos de interés general de competencia autonómica, mediante sondeos, encuestas o cualquier otro instrumento de participación ciudadana. Se consideró necesario, por ello, aprobar el Reglamento de consultas a la ciudadanía en asuntos de interés general de competencia de la Comunidad Autónoma de Canarias. Se observa que el título IV de la citada Ley (“de los instrumentos de participación ciudadana”) se integra por dos capítulos, el I dedicado a “disposiciones generales”, y el II, “de los instrumentos de participación ciudadana”. El artículo 20, con el que se inicia dicho capítulo II y que va rubricado “de las consultas a la ciudadanía”, dispone que “el Gobierno podrá, a instancias del Presidente, recabar la opinión de la ciudadanía sobre asuntos de interés general de competencia autonómica mediante sondeos, encuestas o cualquier otro instrumento de participación ciudadana”. Con el Reglamento impugnado, la Comunidad Autónoma ha desarrollado dicho precepto, regulando los instrumentos de participación que en él se mencionan, sondeos y encuestas, e incorporando como novedoso instrumento de participación ciudadana las denominadas “preguntas directas”, concebidas como otro instrumento de participación ciudadana que genéricamente permite el precepto legal. Por ello, estamos ante un reglamento de ejecución de la Ley 5/2010, dictada, a su vez, con amparo en los títulos competenciales de los artículos 30.1, 32.5 y 32.6 del Estatuto de Autonomía de Canarias. No cabe cuestionar el encaje jurídico del Reglamento aprobado por Decreto 95/2014, en cuanto norma autonómica de desarrollo de dicha Ley. No lo hace la demanda, que afirma que puede calificarse como un reglamento ejecutivo en “pretendido” desarrollo de aquella Ley, pese a lo cual el Gobierno de la Nación entiende que la regulación que se hace de las “preguntas directas” encubre una auténtica consulta de naturaleza referendaria, para lo que carece de competencia la Comunidad Autónoma, afirmación que se controvierte a continuación, no sin antes precisar que lo que se discute es el Reglamento de consultas a la ciudadanía en asuntos de interés general de la competencia de la Comunidad Autónoma de Canarias. Se hace esta observación porque —se afirma— la demanda pretende introducir un elemento de confusión en cuanto a la finalidad perseguida con la aprobación de este Reglamento y la posterior convocatoria a la ciudadanía por decreto del Presidente del Gobierno de Canarias, mediante pregunta directa (Decreto 107/2014, de 2 de octubre, objeto de otro proceso constitucional independiente del presente: asunto 6416-2014). El presente debate ha de centrarse en el Reglamento aprobado por Decreto 95/2014, norma que pretende desarrollar, de forma general y abstracta, el ya citado artículo 20 que, por su escueta regulación, dificultaba la puesta en marcha de cualquier instrumento de participación ciudadana. No se trata, pues, como ya dijera el Consejo Consultivo de Canarias en su dictamen, de un reglamento especial por singular, sobre consultas en materia de permisos de investigación de hidrocarburos o sobre prospecciones petrolíferas en el mar, sino ante un reglamento general para el ejercicio del derecho participativo, al margen de que en este momento exista algún asunto cuyo interés pueda ser susceptible de generar la convocatoria de una consulta. En consecuencia, se trata de una norma reglamentaria de carácter general, con vocación de permanencia e integrada en el ordenamiento jurídico autonómico para ser susceptible de aplicación en cuantas ocasiones se estime necesario por el Gobierno de Canarias. Se solicita, por ello, que el Tribunal Constitucional tenga en cuenta esta naturaleza del Reglamento, sin que la decisión a adoptar pueda tener carácter “preventivo”, esto es, que esté inspirada en una especie de cautela de que, en su desarrollo, pueda el Gobierno de Canarias, por conducto de su Presidente, “extralimitarse” respecto del marco constitucional establecido, en particular respecto de lo que está reservado a la competencia estatal. Se cita al respecto el ATC 82/2011.</w:t>
      </w:r>
    </w:p>
    <w:p w:rsidR="0085709A" w:rsidRDefault="0085709A" w:rsidP="0085709A">
      <w:pPr>
        <w:pStyle w:val="TextoNormal"/>
      </w:pPr>
    </w:p>
    <w:p w:rsidR="0085709A" w:rsidRDefault="0085709A" w:rsidP="0085709A">
      <w:pPr>
        <w:pStyle w:val="TextoNormal"/>
      </w:pPr>
      <w:r>
        <w:t xml:space="preserve">c) En cuanto a la pretendida inconstitucionalidad del Decreto por vulnerar directamente la Constitución, se observa que la demanda parte del presupuesto equivocado de que las consultas reguladas por la norma autonómica son manifestación del derecho fundamental de los ciudadanos </w:t>
      </w:r>
      <w:r w:rsidRPr="0085709A">
        <w:rPr>
          <w:i/>
        </w:rPr>
        <w:t>ex</w:t>
      </w:r>
      <w:r>
        <w:t xml:space="preserve"> art. 23.1 CE, por lo que su instrumentalización debería realizarse mediante referéndum que precisaría, en todo caso, la autorización del Gobierno de la Nación. Pero ello no es así, pues ni hay voluntad de regular una consulta popular que sea manifestación del art. 23.1 CE, ni nada en el articulado puede conducir a tal conclusión. Se citan, al respecto, las SSTC 119/1995, 103/2008 y 31/2010, tras de lo cual se afirma que la regulación de las “preguntas directas” como instrumento de participación ciudadana, no se corresponde con la consulta popular referendaria a la que —se dice— alude el Tribunal Constitucional y cuya autorización corresponde en exclusiva a la Administración del Estado. Se recaba el parecer en relación con asuntos de interés general de la competencia autonómica en los que el sujeto que puede ser convocado no se identifica con el cuerpo electoral, pues, por un lado, pueden ser llamados los mayores de dieciséis años, los ciudadanos residentes legalmente en Canarias con independencia de su nacionalidad, los ciudadanos canarios que residan en el exterior con última vecindad administrativa en Canarias y, en todo caso, las entidades ciudadanas inscritas en el registro de participación ciudadana. En consecuencia, la llamada no se basa en el censo, ni se gestiona el procedimiento por la Administración electoral, ni está asegurada con garantías jurisdiccionales específicas. Además, la participación puede realizarse mediante medios electrónicos, prolongarse en el tiempo durante una o varias jornadas y la supervisión de la regularidad del procedimiento se encomienda a un órgano colegiado, de carácter puramente administrativo y sujeto a las normas de organización y funcionamiento de la Ley 30/1992. Se trata, en definitiva, de un auténtico instrumento de participación ciudadana, directamente entroncado en el art. 9.2 CE, que desarrolla parcialmente, con pleno sometimiento a sus disposiciones, la ya citada Ley 5/2010 y que, aun siendo novedoso en el ordenamiento jurídico español, se ajusta plenamente a la Constitución y a la doctrina elaborada por el Tribunal Constitucional sobre las consultas populares. Ni la Ley 5/2010 ni este Reglamento que la desarrolla tienen por objeto regular la “participación política”, incardinándose en el ámbito de lo que puede llamarse “democracia participativa”.</w:t>
      </w:r>
    </w:p>
    <w:p w:rsidR="0085709A" w:rsidRDefault="0085709A" w:rsidP="0085709A">
      <w:pPr>
        <w:pStyle w:val="TextoNormal"/>
      </w:pPr>
    </w:p>
    <w:p w:rsidR="0085709A" w:rsidRDefault="0085709A" w:rsidP="0085709A">
      <w:pPr>
        <w:pStyle w:val="TextoNormal"/>
      </w:pPr>
      <w:r>
        <w:t>Se señala, en relación con ello, que la Ley 5/2010 se dictó con el objeto de fomentar la participación ciudadana, tanto de forma individual como colectiva en la actividad administrativa de la Comunidad Autónoma, así como en la vida económica, política, cultural y social, haciendo así realidad parte de los mandatos del Estatuto de Autonomía. Las finalidades del texto legal (artículo 3) han de ser tenidas en cuenta al analizar la regulación ahora controvertida, en la medida en que se imponen , entre otros fines, los de fomentar medidas que impulsen la participación ciudadana, desarrollar los correspondientes instrumentos de intervención de la ciudadanía en las actuaciones de las Administraciones públicas, profundizar el acercamiento de las instituciones públicas canarias a la ciudadanía, establecer mecanismos de evaluación de las políticas públicas o desarrollar los correspondientes instrumentos de participación ciudadana. En el artículo 4 de la misma Ley se impone a los poderes públicos canarios el deber de adoptar todas las medidas que posibiliten la participación de la ciudadanía y de los agentes económicos y sociales en el diseño y evaluación de las actuaciones de la Administración pública de la Comunidad Autónoma, así como las acciones positivas necesarias y fomentar la participación ciudadana a través de medios electrónicos. La Ley 5/2010 contempla de forma amplia y con espíritu abierto los instrumentos de parti</w:t>
      </w:r>
      <w:r>
        <w:lastRenderedPageBreak/>
        <w:t xml:space="preserve">cipación ciudadana y dispone en su artículo 20 que el Gobierno podrá, a instancias del Presidente, recabar la opinión de la ciudadanía sobre asuntos de interés general de competencia autonómica mediante sondeos, encuestas o cualquier otro instrumento de participación ciudadana. El Decreto 95/2014 desarrolla este precepto y regula los sondeos y encuestas de opinión en su capítulo I, no cuestionado ahora, así como otra forma novedosa de recabar la opinión de la ciudadanía a través de las “preguntas directas” (capítulo III, impugnado en su totalidad), que se configuran como “otro instrumento de participación ciudadana” permitido por el citado artículo 20. Esta última regulación no vulnera la competencia exclusiva del Estado </w:t>
      </w:r>
      <w:r w:rsidRPr="0085709A">
        <w:rPr>
          <w:i/>
        </w:rPr>
        <w:t>ex</w:t>
      </w:r>
      <w:r>
        <w:t xml:space="preserve"> art. 149.1.32 CE, como por lo demás ha reconocido el legislador canario en la Ley 5/2010, cuya disposición adicional quinta señala que la participación ciudadana a través del referéndum se regula de conformidad con lo establecido en la Constitución española y las leyes que la desarrollan. Se señala que el Tribunal Constitucional debería tener muy presente que la actuación que culminó con el Reglamento ahora impugnado, aunque inspirada en cuanto a su oportunidad en un asunto de especial interés para la Comunidad Autónoma, tuvo muy en cuenta la doctrina ya elaborada por el propio Tribunal a propósito de las consultas populares y fue precisamente esa doctrina —se dice— la que permitió justificar la regulación de un instrumento de participación ciudadana novedoso, el de las preguntas directas, sin vocación alguna de erigirse en consulta popular de naturaleza referendaria y sin vocación, ni oculta ni evidente, de sustituir o invadir las competencias del Estado.</w:t>
      </w:r>
    </w:p>
    <w:p w:rsidR="0085709A" w:rsidRDefault="0085709A" w:rsidP="0085709A">
      <w:pPr>
        <w:pStyle w:val="TextoNormal"/>
      </w:pPr>
    </w:p>
    <w:p w:rsidR="0085709A" w:rsidRDefault="0085709A" w:rsidP="0085709A">
      <w:pPr>
        <w:pStyle w:val="TextoNormal"/>
      </w:pPr>
      <w:r>
        <w:t>d) Ya en cuanto a los concretos preceptos impugnados, y tras reiterar que al no estarlo el artículo 3 del Reglamento decaerían la mayoría de los argumentos esgrimidos contra los demás preceptos, se considera, en primer lugar, la impugnación dirigida contra el artículo 9, conforme al cual la opinión de la ciudadanía respecto de asuntos de interés general de competencia autonómica podrá recabarse mediante la formulación de una o varias preguntas directas a la ciudadanía, con el objeto de que los llamados a participar en la consulta manifiesten su parecer de forma afirmativa o negativa. El Abogado del Estado estima que la convocatoria directa y global a la ciudadanía, da a la consulta un carácter referendario con infracción del art. 92 CE, pero la competencia exclusiva del Estado conforme a tal precepto constitucional no ha sido infringida, pues ni en este artículo 9 ni en ningún otro del Reglamento se infiere naturaleza referendaria de las preguntas directas que pueden formularse. Sin perjuicio de que el artículo 3, referido a la “ciudadanía”, no puede ser objeto de discusión ni debate en el presente proceso, se señala que la “ciudadanía” eventualmente susceptible de ser llamada a participar no se hace coincidir con quienes ostenten la condición política de canarios (art. 4 del Estatuto de Autonomía). Los titulares de la democracia participativa no son los ciudadanos ejerciendo sus derechos políticos como contenido del estatus de ciudadanía, sino que se trata de una intervención que no se singulariza en función de su pertenencia al censo electoral; de ahí que, por ejemplo, no sea preciso que ostenten nacionalidad española, ni siquiera que sean mayores de edad (art. 2). La “ciudadanía” que puede ser llamada a participar no se corresponde con el censo electoral, que es el sujeto propio de una consulta referendaria. Pero es que, además, esta “ciudadanía” del artículo 3 es “susceptible” de ser llamada en función del objeto de la consulta, en los términos que resulten del decreto de convocatoria (art. 15.2), sin que del artículo 9 ni de ningún otro quepa deducir que siempre y en todo caso serán llamadas todas las personas físicas y jurídicas a que se refiere el artículo 3. De ahí que este artículo 9, en sí mismo, no pueda ser considerado contrario al art. 92 CE, pues por razón del sujeto llamado a participar en la pregunta directa que haya de convocarse, no viene referido al cuerpo electoral. La circunstancia destacada de que el Reglamento impugnado permita llamar a la consulta a entidades ciudadanas nos aleja —</w:t>
      </w:r>
      <w:r>
        <w:lastRenderedPageBreak/>
        <w:t>se observa— irremediablemente del concepto de consulta popular amparado en el art. 23.1 CE Se cita al respecto la STC 119/1995.</w:t>
      </w:r>
    </w:p>
    <w:p w:rsidR="0085709A" w:rsidRDefault="0085709A" w:rsidP="0085709A">
      <w:pPr>
        <w:pStyle w:val="TextoNormal"/>
      </w:pPr>
    </w:p>
    <w:p w:rsidR="0085709A" w:rsidRDefault="0085709A" w:rsidP="0085709A">
      <w:pPr>
        <w:pStyle w:val="TextoNormal"/>
      </w:pPr>
      <w:r>
        <w:t>El artículo 10 dispone que las consultas pueden contener una o varias preguntas, cuyo texto deberá ser redactado de manera clara y sencilla y ser formuladas de manera sucinta, inequívoca y fácilmente entendible por las personas y entidades ciudadanas llamadas a participar en la correspondiente convocatoria. La demanda carece de argumentación en la impugnación de este precepto, del que parece discreparse en cuanto a la expresión “llamadas a participar”, desconociéndose la razón de ello.</w:t>
      </w:r>
    </w:p>
    <w:p w:rsidR="0085709A" w:rsidRDefault="0085709A" w:rsidP="0085709A">
      <w:pPr>
        <w:pStyle w:val="TextoNormal"/>
      </w:pPr>
    </w:p>
    <w:p w:rsidR="0085709A" w:rsidRDefault="0085709A" w:rsidP="0085709A">
      <w:pPr>
        <w:pStyle w:val="TextoNormal"/>
      </w:pPr>
      <w:r>
        <w:t xml:space="preserve">El artículo 12 determina las personas llamadas a emitir las respuestas, disponiendo que ello se fijará en la convocatoria correspondiente y que, en cuanto a las personas físicas, inscritas o no en el Registro de participación ciudadana, habrán de reunir el requisito de edad que la convocatoria fije, que no podrá ser inferior a dieciséis años y sin perjuicio de que las consultas que puedan realizarse en el ámbito de la juventud se esté a la edad establecida en la Ley 7/2007, canaria de juventud. El Abogado del Estado insiste en atribuir a esta norma una finalidad y vocación de la que carece, pues no estamos ante un derecho político en el ámbito del art. 23.1 CE, sino ante un instrumento de participación ciudadana y democrática que permite a los ciudadanos manifestar su opinión en los asuntos que se entiendan sean de interés general. La circunstancia de que dentro de las personas llamadas a participar en la pregunta directa pueda estar comprendido el cuerpo electoral, no convierte a la consulta en algo que esté reservado al Estado, pues no se está recabando el parecer un sujeto político, manifestación de la soberanía popular, ni se reconoce con ello un derecho de participación política, tal como ha sido entendido por el Tribunal Constitucional. Estamos ante el </w:t>
      </w:r>
      <w:r w:rsidRPr="0085709A">
        <w:rPr>
          <w:i/>
        </w:rPr>
        <w:t>tertium genus</w:t>
      </w:r>
      <w:r>
        <w:t xml:space="preserve"> al que se aludió en la STC 119/1995, ante una manifestación de democracia participativa y no es de recibo que, so pretexto de una hipotética contravención de la Constitución, se pretenda por el Gobierno de la Nación negar el mandato del art. 9.2 CE e impedir a la ciudadanía expresar su opinión en asuntos que sean de interés para todos. No se explica el inmovilismo que persigue la Administración del Estado al impugnar nuestro Reglamento frente a las exigencias de más participación ciudadana por parte de la opinión pública. Lo que caracteriza al referéndum en cuanto al sujeto de la consulta es que este sujeto es el cuerpo electoral y en otro tipo de consultas serán otros los colectivos. Toda la argumentación de la Abogacía del Estado parte de considerar que la “ciudadanía” que puede ser llamada a emitir respuesta en las preguntas directas, en la medida en que integra o puede integrar a quienes tienen la condición política de canarios, según el art. 4 del Estatuto de Autonomía, es coincidente, porque lo engloba, con el cuerpo electoral. Y solo por esta razón, desconociendo la voluntad del legislador que aprobó la Ley 5/2010 y la justificación de la norma reglamentaria ahora cuestionada, se concluye en que este derecho de participación ciudadana es un derecho de naturaleza política de los del art. 23.1 CE. La figura de la “pregunta directa”, no ha de recibir, por innovadora o inédita en el ordenamiento jurídico nacional, el ataque y el reproche de inconstitucionalidad formulado. Si el legislador y el gobierno autonómicos han definido y delimitado un especial instrumento que favorece (art. 9.2 CE) la participación de todos los ciudadanos en la vida política, económica, cultural y social, siempre en su propio ámbito territorial y teniendo como límite primordial el que venga referido a asuntos de interés general competencia de la Comunidad Autónoma de Canarias, no consideramos admisible —se dice— que por la Administración del Estado, invocando de forma desproporcionada, frenética y ausente de toda lógica sus competencias exclusivas en orden a convocar, en su caso, o autorizar un referéndum consultivo, reproche </w:t>
      </w:r>
      <w:r>
        <w:lastRenderedPageBreak/>
        <w:t>a la Comunidad Autónoma de Canarias el ejercicio de competencias propias cuando tal ejercicio se ha llevado a cabo respetando escrupulosamente la jurisprudencia constitucional recaída sobre este particular. Además, ideológicamente, la pregunta directa no ha sido concebida como manifestación de derecho político de los ciudadanos, sino como forma de posibilitar su participación en asuntos de interés general que puedan afectarles, lo que también servirá a los poderes públicos autonómicos como inspiración para sus propias políticas públicas, aunque su resultado no tenga eficacia vinculante (art. 27.2). Es evidente que la consulta no se dirige al cuerpo electoral y que nos alejamos del derecho de sufragio y del de participación política, pues se permite participar a las entidades ciudadanas, a los residentes en Canarias cualquiera sea su nacionalidad o condición política, incluso a los mayores de dieciséis años. Lo que se persigue es conocer la opinión pública sobre determinado asunto de interés general y de competencia de la Comunidad Autónoma, opinión que puede obtenerse a través de sondeos y encuestas y también mediante preguntas directas, forma de participación ésta mejorada respecto de aquéllas, más avanzada y desarrollada, vanguardista por novedosa, pero instrumento de participación ciudadana, al fin y al cabo. En cualquier caso, el argumento de la demanda flaquea desde el punto y hora en que no prevé el supuesto, perfectamente admisible dentro de la Norma impugnada, de que la pregunta directa se dirija a determinados colectivos, como entidades ciudadanas u otros más reducidos dentro del concepto amplio de ciudadanía que se contempla en el artículo 3. De ser así, los argumentos de la demanda carecerían de sustento y no hay que olvidar que lo que se impugna es una norma jurídica con vocación de permanencia y susceptible de múltiples actos de aplicación. No se ha vulnerado la reserva de ley orgánica (arts. 23.1 y 92 CE), ni el art. 13.2 CE en punto al reconocimiento a los ciudadanos españoles del derecho de sufragio. Evidentemente, de haberse configurado las preguntas directas como una manifestación de un derecho de naturaleza política, de llamada al cuerpo electoral para favorecer su participación política, tendría sentido la objeción realizada. Pero ya se ha fundamentado que no responde a esta idea la regulación cuestionada.</w:t>
      </w:r>
    </w:p>
    <w:p w:rsidR="0085709A" w:rsidRDefault="0085709A" w:rsidP="0085709A">
      <w:pPr>
        <w:pStyle w:val="TextoNormal"/>
      </w:pPr>
    </w:p>
    <w:p w:rsidR="0085709A" w:rsidRDefault="0085709A" w:rsidP="0085709A">
      <w:pPr>
        <w:pStyle w:val="TextoNormal"/>
      </w:pPr>
      <w:r>
        <w:t xml:space="preserve">Por último, en cuanto a los preceptos referidos al procedimiento (arts. 14 a 26), impugnados porque no se ajustarían al procedimiento electoral general, se señala el error de partida de la demanda al calificar de electoral un procedimiento que no lo es, pues de lo que se trata es de establecer unas pautas procedimentales mínimas que aseguren la puesta en práctica y doten de certeza a la convocatoria y al desarrollo de este especial instrumento de participación ciudadana. Precisamente porque no es manifestación de derecho político alguno ni un procedimiento electoral, no puede basarse ni fundamentarse en esa regulación especial, para lo que, por otro lado, la Comunidad Autónoma carecería de competencia. Ya se ha dicho que, para el Tribunal Constitucional, una consulta popular de naturaleza referendaria exige que sea llamado el cuerpo electoral, que se exteriorice a través de un procedimiento electoral basado en el censo y gestionado por la Administración electoral y que esté asegurado con garantías jurisdiccionales específicas. Fuera de ello, no dándose esta circunstancia, la STC 31/2010 permite consultas populares no referendarias. Por ello hay que rechazar el reproche de que la normativa impugnada no se haya ajustado a la Ley Orgánica del régimen electoral general, a la que remite la Ley Orgánica 2/1980, en desarrollo del art. 92.3 CE. Precisamente porque no estamos ante una consulta de naturaleza referendaria, las normas autonómicas han regulado el cauce formal de las preguntas directas del modo que han estimado oportuno, en ejercicio de sus competencias para la manifestación del parecer de la ciudadanía y dar un mínimo de rigor jurídico al proceso (publicación de la convocatoria, contenido del decreto de convocatoria, campaña institucional informativa, modo de emisión de las respuestas y </w:t>
      </w:r>
      <w:r>
        <w:lastRenderedPageBreak/>
        <w:t>otros contenidos). Que esta regulación novedosa se haya inspirado en los principios que presiden el ejercicio del derecho de sufragio no hace que participe de esa naturaleza. No estamos ante un procedimiento electoral, por lo que en nada debe intervenir la Administración electoral. Los ciudadanos llamados a participar no son los del censo electoral, del que no se hace uso. No es necesaria una campaña electoral, ni las exigencias que para las mismas establece la Ley electoral. No se emite un voto. No se recaba el voto de los ciudadanos, sino su opinión. No se establece ningún recurso electoral ante la comisión de control (que no junta electoral), exigencia mínima de todo procedimiento en que intervengan los ciudadanos es ofrecer la garantía de formular eventuales reclamaciones y su resolución permite encontrarnos ante un acto que pone fin a la vía administrativa y que está sujeto a la revisión ordinaria, no especial, de la jurisdicción contencioso-administrativa. En consecuencia, han de rechazarse punto por punto las supuestas infracciones a la ley electoral, pues no estamos ante el ejercicio de un derecho político del art. 23.1 CE. Se rechaza, pues, la impugnación y se pide del Tribunal un pronunciamiento que legitime el ejercicio de las competencias autonómicas en orden a favorecer y propiciar instrumentos de participación ciudadana, no política, como los contemplados en el Reglamento impugnado.</w:t>
      </w:r>
    </w:p>
    <w:p w:rsidR="0085709A" w:rsidRDefault="0085709A" w:rsidP="0085709A">
      <w:pPr>
        <w:pStyle w:val="TextoNormal"/>
      </w:pPr>
    </w:p>
    <w:p w:rsidR="0085709A" w:rsidRDefault="0085709A" w:rsidP="0085709A">
      <w:pPr>
        <w:pStyle w:val="TextoNormal"/>
      </w:pPr>
      <w:r>
        <w:t>Se concluyó con la súplica de que se inadmitiera la impugnación o, subsidiariamente, se desestimara la misma, confirmando la constitucionalidad de los preceptos impugnados.</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providencia de 20 de enero de 2015, acordó el Pleno oír a las partes para que en el plazo de cinco días expusieran lo que estimaran procedente acerca del mantenimiento de la suspensión acordada. Formuladas alegaciones, el Pleno resolvió, por Auto de 3 de marzo de 2015, mantener la suspensión de los arts. 3 y 4 del capítulo I, 9 a 26 del capítulo III del anexo y disposiciones derogatoria única y finales primera y segunda del Decreto del Gobierno de Canarias 95/2014, de 25 de septiembre.</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9 de junio de 2015, se señaló para deliberación y votación de la presente Sentencia el día 11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Por el cauce regulado en el título V de la Ley Orgánica del Tribunal Constitucional (LOTC: arts. 76 y 77), impugna el Abogado del Estado, en representación del Gobierno de la Nación, los arts. 3 y 4 y 9 a 26 del Reglamento de consultas a la ciudadanía en asuntos de interés general de la Comunidad Autónoma de Canarias, aprobado por Decreto 95/2014, de 25 de septiembre, del Gobierno de dicha Comunidad Autónoma (“Boletín Oficial de Canarias” núm. 190, de 1 de octubre), así como —en cuanto se refieran a las “preguntas directas” previstas en los mentados preceptos— la disposición derogatoria única(“transitoria”, se dice por error material en la súplica) y las disposiciones finales primera y segunda del mismo Decreto. Se argumenta en la demanda, como con mayor detalle se ha expuesto en los antecedentes, que los preceptos impugnados incurren en inconstitucionalidad tanto por conculcar de manera directa —se dice— determinaciones de la norma fundamental como por infringir, asimismo, disposiciones del Estatuto de Autonomía de Canarias (EACan, en lo sucesivo). Estarían entre las primeras infracciones, a decir de la demanda, tanto las que afectarían a reglas constitucionales atinentes a la articulación competencial entre el Estado y las Comunidades Autónomas (apartados 1,  18 y 32 del art. 149.1 CE), como las que incidirían </w:t>
      </w:r>
      <w:r>
        <w:lastRenderedPageBreak/>
        <w:t>en diversos preceptos sustantivos de la misma norma fundamental —en sí mismos o en relación con los antes citados—, a cuyo efecto el Abogado del Estado invoca los arts. 9.3, 13.2, 23.1, 81.1 y 92.3 CE. Las normas impugnadas también habrían infringido, se dice, lo prevenido en los arts. 4 y 32.5 EACan. Unas y otras vulneraciones del bloque de la constitucionalidad se ponen en conexión en la demanda con determinadas contravenciones de lo dispuesto en la Ley Orgánica 2/1980, de 18 de enero, sobre regulación de las distintas modalidades de referéndum, y 5/1985, de 19 de junio, de régimen electoral general (LOREG). A partir de todo ello, se viene a aducir, en síntesis, que las normas impugnadas vulneran la exclusiva competencia estatal para regular el “régimen jurídico del derecho fundamental de participación política” (art. 23.1 CE), al haber previsto y ordenado, bajo la denominación de “preguntas directas” (capítulo III del Reglamento controvertido), genuinas consultas de carácter referendario cuya regulación estaría sustraída a la competencia de la Comunidad Autónoma y haberlo hecho, además, en contravención de los demás preceptos constitucionales y estatutarios referidos y de la legislación orgánica que queda dicha. Los motivos de inconstitucionalidad así aducidos se califican en la demanda de “mixtos”, fundamentados como están —según se acaba de recordar— ya en infracciones del orden constitucional y estatutario de competencias, ya en otras contravenciones normativas deparadoras, asimismo, de inconstitucionalidad. Unos vicios y otros —siempre conforme a la demanda— podrían ser constatados y depurados a través del procedimiento impugnatorio que, con fundamento en el art. 161.2 CE, queda regulado en los arts. 76 y 77 LOTC.</w:t>
      </w:r>
    </w:p>
    <w:p w:rsidR="0085709A" w:rsidRDefault="0085709A" w:rsidP="0085709A">
      <w:pPr>
        <w:pStyle w:val="TextoNormal"/>
      </w:pPr>
    </w:p>
    <w:p w:rsidR="0085709A" w:rsidRDefault="0085709A" w:rsidP="0085709A">
      <w:pPr>
        <w:pStyle w:val="TextoNormal"/>
      </w:pPr>
      <w:r>
        <w:t xml:space="preserve">Frente a este último aserto de la demanda sale al paso la representación del Gobierno de Canarias, que, según en los antecedentes se expuso, ha pedido la inadmisión de la actual impugnación con el argumento de que, a través del cauce establecido en el título V LOTC, no podrían, en ningún caso, hacerse valer contravenciones de carácter competencial, como lo serían en buena medida, o incluso en todo, las articuladas ahora por la Abogacía del Estado en nombre del Gobierno. Planteada esta cuestión previa, aún aduce la representación del gobierno de Canarias otra de alcance también preliminar, ya en orden a la concreta delimitación del objeto de la impugnación, pues observa, en efecto, que el artículo 3 del Reglamento (“ciudadanía”), que figura como impugnado en la demanda, no consta , sin embargo, en el acuerdo del Consejo de Ministros de 24 de octubre de 2014 por el que se decidió interponer la presente impugnación, razón por la cual dicho precepto debería quedar, por no impugnado, al margen de nuestro examen. Enjuiciamiento constitucional que, ya en cuanto al fondo, debiera concluir, alega la representación demandada, con un pronunciamiento desestimatorio, toda vez que —de nuevo en síntesis— las normas impugnadas, dictadas en desarrollo y ejecución del art. 20 de la Ley 5/2010, de 21 de junio, canaria de fomento a la participación ciudadana (Ley a su vez adoptada, se puntualiza, sobre la base de los arts. 30.1, 32.5 y 32.6 del Estatuto de Autonomía de Canarias: EACan), ni regulan el derecho de participación política </w:t>
      </w:r>
      <w:r w:rsidRPr="0085709A">
        <w:rPr>
          <w:i/>
        </w:rPr>
        <w:t>ex</w:t>
      </w:r>
      <w:r>
        <w:t xml:space="preserve"> art. 23.1 CE, ni ordenan, en modo alguno, consultas de carácter referendario, sino que disciplinan, más bien, formas de participación ciudadana —no “política”, se observa— que entroncarían no con el citado art. 23.1 CE, sino con el art. 9.2 de la misma norma fundamental.</w:t>
      </w:r>
    </w:p>
    <w:p w:rsidR="0085709A" w:rsidRDefault="0085709A" w:rsidP="0085709A">
      <w:pPr>
        <w:pStyle w:val="TextoNormal"/>
      </w:pPr>
    </w:p>
    <w:p w:rsidR="0085709A" w:rsidRDefault="0085709A" w:rsidP="0085709A">
      <w:pPr>
        <w:pStyle w:val="TextoNormal"/>
      </w:pPr>
      <w:r>
        <w:t>A reserva de las puntualizaciones que después se harán, así queda, en resumen, definida la contradicción entre las partes; debate que, como queda dicho, afecta en primer lugar a cuestiones procesales y de delimitación del objeto que demandan, por ello, una decisión también previa.</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Dos son, según se dijo, las cuestiones preliminares planteadas por la representación del Gobierno de Canarias que deben ser ahora despejadas. La primera, relativa a la viabilidad misma de la presente impugnación. La segunda, a la delimitación —y consiguiente reducción, de acogerse lo alegado— de su objeto.</w:t>
      </w:r>
    </w:p>
    <w:p w:rsidR="0085709A" w:rsidRDefault="0085709A" w:rsidP="0085709A">
      <w:pPr>
        <w:pStyle w:val="TextoNormal"/>
      </w:pPr>
    </w:p>
    <w:p w:rsidR="0085709A" w:rsidRDefault="0085709A" w:rsidP="0085709A">
      <w:pPr>
        <w:pStyle w:val="TextoNormal"/>
      </w:pPr>
      <w:r>
        <w:t xml:space="preserve">a) La parte demandada pide la inadmisión de esta impugnación con el argumento de que la vía procesal a la que el Gobierno de la Nación ahora acude (título V LOTC: arts. 76 y 77) no consentiría la denuncia, como en la demanda se hace, de vicios de carácter competencial y sí sólo de otro género de contravenciones constitucionales. Desde luego que, incluso si lo así alegado fuera de compartir, ello no habría de llevar-como se pide- a la inadmisión </w:t>
      </w:r>
      <w:r w:rsidRPr="0085709A">
        <w:rPr>
          <w:i/>
        </w:rPr>
        <w:t>in toto</w:t>
      </w:r>
      <w:r>
        <w:t xml:space="preserve"> de la impugnación, sino sólo a la reducción de su objeto, pues ya se ha dicho que la demanda plantea frente al Decreto impugnado, tanto tachas por incompetencia como otras basadas ya en preceptos sustantivos de la norma fundamental, por entreveradas que a menudo estén aquí unas y otras censuras de inconstitucionalidad. Pero ni siquiera ha lugar a tal pronunciamiento de inadmisión parcial, pues el Tribunal no puede hacer suyos —por las mismas razones expuestas en la reciente STC 32/2015, de 25 de febrero, FJ 2— los argumentos, en este extremo, de la representación del Gobierno de Canarias.</w:t>
      </w:r>
    </w:p>
    <w:p w:rsidR="0085709A" w:rsidRDefault="0085709A" w:rsidP="0085709A">
      <w:pPr>
        <w:pStyle w:val="TextoNormal"/>
      </w:pPr>
    </w:p>
    <w:p w:rsidR="0085709A" w:rsidRDefault="0085709A" w:rsidP="0085709A">
      <w:pPr>
        <w:pStyle w:val="TextoNormal"/>
      </w:pPr>
      <w:r>
        <w:t>En la Sentencia recién citada este Tribunal ha dicho y reiteramos ahora que si la impugnación por el Gobierno de disposiciones o resoluciones de las Comunidades Autónomas se fundamenta sólo en vulneraciones de carácter competencial se estará, materialmente, ante un conflicto de competencias, incluso aunque se hubiera acudido a la vía del título V LOTC y ello en razón de la sustancial identidad procedimental entre este cauce y el de aquellos conflictos, hasta el punto de que la impugnación prevista en el repetido título V debe formularse y sustanciarse, “sea cual fuere el motivo en que se base”, por el procedimiento previsto en los arts. 62 a 67 LOTC para los conflictos competenciales, todo ello conforme al art. 77 de la misma Ley Orgánica. Por ello, el cauce ahora emprendido es también idóneo cuando el Gobierno, como aquí ocurre, reprocha a las disposiciones impugnadas tanto inconstitucionalidades que no son competenciales, como otras que sí lo son, so pena, si así no se admitiera, de imponer, contra todo principio de economía y aun de lógica procesales, que un mismo precepto hubiera de ser impugnado, en atención a la diversidad de vicios que en él se viera, por medio de demandas distintas que, sin embargo, habrían de tramitarse a través de procedimientos idénticos. No procede, en suma, acoger la petición de inadmisión formulada por la representación del Gobierno de Canarias.</w:t>
      </w:r>
    </w:p>
    <w:p w:rsidR="0085709A" w:rsidRDefault="0085709A" w:rsidP="0085709A">
      <w:pPr>
        <w:pStyle w:val="TextoNormal"/>
      </w:pPr>
    </w:p>
    <w:p w:rsidR="0085709A" w:rsidRDefault="0085709A" w:rsidP="0085709A">
      <w:pPr>
        <w:pStyle w:val="TextoNormal"/>
      </w:pPr>
      <w:r>
        <w:t xml:space="preserve">b) Distinta repuesta se ha de dar a lo que la misma representación aduce en orden a la necesaria exclusión de nuestro enjuiciamiento del artículo 3 del Reglamento controvertido. Este precepto reglamentario, en efecto, no figura en el acuerdo del Consejo de Ministros, de 24 de octubre de 2014, por el que se decidió impugnar determinados preceptos tanto del Reglamento aprobado por el Decreto 95/2014 como del Decreto mismo, de modo tal que, no impugnado en realidad por el órgano legitimado para hacerlo, es forzoso concluir en que el referido artículo 3 fue incorporado a la demanda sin fundamento alguno, razón por la que, al igual que hemos dicho ante casos anteriores análogos (SSTC 82/2013, de 11 de abril, FJ 2; 119/2014, de 16 de julio, FJ 2, y 210/2014, de 18 de diciembre, FJ 6, entre otras), no será posible su enjuiciamiento directo en esta Sentencia. Ello sin perjuicio, llegado el caso, de que dicho precepto sí pueda ser objeto de consideración por el Tribunal, si así fuera preciso, para la debida interpretación </w:t>
      </w:r>
      <w:r w:rsidRPr="0085709A">
        <w:rPr>
          <w:i/>
        </w:rPr>
        <w:t>ex contextu</w:t>
      </w:r>
      <w:r>
        <w:t xml:space="preserve"> de las disposiciones efectivamente impugnadas.</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Por medio del Decreto 95/2014, aquí parcialmente impugnado, el Gobierno de Canarias ha aprobado el Reglamento de las consultas a la ciudanía en asuntos de interés general de competencia de dicha Comunidad Autónoma. Se integra este Decreto por un artículo único, aprobatorio del Reglamento incorporado como anexo, además de por una disposición derogatoria única y por dos disposiciones finales, la primera de las cuales faculta al Presidente para dictar las disposiciones necesarias en orden al desarrollo del Reglamento y la segunda establece la entrada en vigor del Decreto el día siguiente al de su publicación oficial. Tanto aquella disposición derogatoria como estas finales han sido impugnadas “en cuanto se refieran” —dice el Abogado del Estado— a las “preguntas directas” previstas y ordenadas en el Reglamento. Al margen de estas concretas impugnaciones a las que se refiere esta Sentencia más adelante, la demanda va encaminada en su integridad a argumentar la inconstitucionalidad de las normas contenidas en el capítulo III del Reglamento incorporado como anexo (arts. 9 a 26).</w:t>
      </w:r>
    </w:p>
    <w:p w:rsidR="0085709A" w:rsidRDefault="0085709A" w:rsidP="0085709A">
      <w:pPr>
        <w:pStyle w:val="TextoNormal"/>
      </w:pPr>
    </w:p>
    <w:p w:rsidR="0085709A" w:rsidRDefault="0085709A" w:rsidP="0085709A">
      <w:pPr>
        <w:pStyle w:val="TextoNormal"/>
      </w:pPr>
      <w:r>
        <w:t>Para un mejor entendimiento de lo que sigue es procedente ahora una somera referencia, en el marco de la ordenación general dispuesta en este Reglamento, al contenido dispositivo de los preceptos así impugnados.</w:t>
      </w:r>
    </w:p>
    <w:p w:rsidR="0085709A" w:rsidRDefault="0085709A" w:rsidP="0085709A">
      <w:pPr>
        <w:pStyle w:val="TextoNormal"/>
      </w:pPr>
    </w:p>
    <w:p w:rsidR="0085709A" w:rsidRDefault="0085709A" w:rsidP="0085709A">
      <w:pPr>
        <w:pStyle w:val="TextoNormal"/>
      </w:pPr>
      <w:r>
        <w:t>Consta el Reglamento de consultas a la ciudadanía de cuatro capítulos, integrado el primero (“disposiciones generales”) por otros tantos artículos, siendo ahora conveniente reseñar que el artículo 3 (“ciudadanía”) identifica, en los términos que después se dirá, a quienes constituyen o integran —“[a] los efectos del presente Reglamento” —la ciudadanía a la que irían o podrían ir dirigidas las diversas consultas que el Reglamento prevé, en tanto que el artículo 4, referido a los “[i]nstrumentos de consulta a la ciudadanía”, designa como tales a los “sondeos”, las “encuestas” y las “preguntas directas”. El capítulo II (arts. 5 a 8) está dedicado a los sondeos y encuestas de opinión y el capítulo III, impugnado en su integridad (arts. 9 a 26) e intitulado “preguntas directas”, describe genéricamente las mismas (art. 9), regula su forma de planteamiento, los medios para la emisión de las “respuestas”, las personas, físicas y jurídicas, llamadas a emitirlas y la protección de datos de carácter personal (arts. 10 a 13). En lo demás (arts. 14 a 26), el Reglamento disciplina aquí el procedimiento de planteamiento y realización, así como las garantías, de este tipo de consultas directas, convocadas, previa decisión del Gobierno, por su Presidente(arts. 14 y 15) y desarrolladas conforme a las normas que al efecto y por Decreto se dicten (art. 16). El Reglamento prevé también una posible campaña institucional (art. 17) y disciplina tanto el “modo de emisión de las respuestas”, como las “dependencias” para su “depósito” (arts. 18 y 19), así como los “medios personales” que velarán por la regularidad de tal “emisión de opiniones” (art. 20). Se establecen asimismo “[g]arantías para la emisión y recuento de las respuestas” y una “Comisión de Control” (arts. 21 y 22), regulándose, en fin, el tiempo para la “emisión” de las “respuestas”, así como su “depósito” y “recuento” (arts. 23, 24 y 25). Concluye está reglamentación, en lo que ahora importa, con un precepto dedicado a “[r]eclamaciones y recursos”(art. 26). El capítulo IV del Reglamento (“disposiciones comunes“), no impugnado, dispone la publicación oficial de los resultados de las consultas y de su valoración por el Gobierno y puntualiza que aquéllas no tendrán carácter ”vinculante“ (art. 27). Se prevé, por último, la celebración de acuerdos y convenios para la ejecución de los procesos de consulta (disposición adicional única).</w:t>
      </w:r>
    </w:p>
    <w:p w:rsidR="0085709A" w:rsidRDefault="0085709A" w:rsidP="0085709A">
      <w:pPr>
        <w:pStyle w:val="TextoNormal"/>
      </w:pPr>
    </w:p>
    <w:p w:rsidR="0085709A" w:rsidRDefault="0085709A" w:rsidP="0085709A">
      <w:pPr>
        <w:pStyle w:val="TextoNormal"/>
      </w:pPr>
      <w:r>
        <w:lastRenderedPageBreak/>
        <w:t>Identificadas así las normas impugnadas en el marco general del Reglamento en que se incluyen, es preciso dejar constancia ahora del uso notoriamente anfibológico que esta disposición reglamentaria hace de la expresión “ciudadanía” a la que cabe dirigir las diversas consultas que ordena, pues debiendo entenderse, en general, la noción de “ciudadanía”, en su significado académico y jurídico, como el conjunto, sin mayores precisiones por ahora, de los ciudadanos de determinado pueblo o nación, es del todo obvio que no es a ella, en el ámbito de Canarias, a la que cabría imputar o referir el resultado de los “sondeos y encuestas de opinión” (capítulo II), aunque sí acaso —esto es algo que examinaremos luego— el de las consultas mediante “preguntas directas” (capítulo III) cuya regulación aquí se impugna. Este empleo ambivalente, e inapropiado al menos en uno de sus usos, de la palabra “ciudadanía” se lleva al extremo en el artículo 27.2 del Reglamento, que dispone, para todas las consultas, que ninguna tendrá “carácter vinculante”, prevención cuyo sentido, por lo que hace a encuestas o sondeos, no es fácil en verdad de discernir. De todo ello no cabe derivar ahora consecuencias jurídico-constitucionales, pero sí es necesario ponerlo de relieve para constatar que “la opinión” de la “ciudadanía” a la que indiferenciadamente se refiere el no impugnado artículo 2 del Reglamento no ha de ser la misma, por su entidad y efectos, cuando se realizan sondeos o encuestas, de una parte, que cuando se convoca por el poder público a la propia “ciudadanía” (identificada, a estos efectos, por el artículo 3 del Reglamento) para que se pronuncie sobre asuntos de interés general. Las prospecciones de opinión pública mediante sondeos o encuestas en modo alguno muestran, como es obvio, un parecer de igual valor al que resultaría del pronunciamiento de los ciudadanos llamados por el poder público a expresar su criterio sobre un asunto de interés general. En este último caso son las voluntades individuales las que concurren, con la consiguiente responsabilidad cívica y el procedimiento y garantías correspondientes, a conformar una determinada voluntad general, vinculante o no. No es así cuando un encuestado expresa sus preferencias en la certeza de que no contribuirán a manifestar voluntad general de tipo alguno.</w:t>
      </w:r>
    </w:p>
    <w:p w:rsidR="0085709A" w:rsidRDefault="0085709A" w:rsidP="0085709A">
      <w:pPr>
        <w:pStyle w:val="TextoNormal"/>
      </w:pPr>
    </w:p>
    <w:p w:rsidR="0085709A" w:rsidRDefault="0085709A" w:rsidP="0085709A">
      <w:pPr>
        <w:pStyle w:val="TextoNormal"/>
      </w:pPr>
      <w:r>
        <w:t>Antes de pasar, expuesto lo anterior, al examen de las disposiciones impugnadas y de su constitucionalidad son aún precisas, con todo, las siguientes consideraciones previas:</w:t>
      </w:r>
    </w:p>
    <w:p w:rsidR="0085709A" w:rsidRDefault="0085709A" w:rsidP="0085709A">
      <w:pPr>
        <w:pStyle w:val="TextoNormal"/>
      </w:pPr>
    </w:p>
    <w:p w:rsidR="0085709A" w:rsidRDefault="0085709A" w:rsidP="0085709A">
      <w:pPr>
        <w:pStyle w:val="TextoNormal"/>
      </w:pPr>
      <w:r>
        <w:t>a) Objeto de nuestro enjuiciamiento han de ser sólo —a reserva de la puntualización que de inmediato se hará— las normas impugnadas del Reglamento controvertido y del Decreto mediante el que se adoptó, sin que por tanto podamos someter a examen alguno la Ley 5/2010, antes citada, del Parlamento de Canarias, respecto de la que el Reglamento (artículo 1) se presenta, y así lo destaca la representación demandada, como “desarrollo”. “Pretendido desarrollo”, apostilla a este propósito la demanda, pues se observa en ella que el artículo 20 de esta Ley autonómica, invocado en el preámbulo del Decreto 95/2014, no daría soporte normativo a las consultas mediante “preguntas directas” ordenadas en el capítulo III del propio Reglamento, toda vez que dicho precepto legal no hace referencia expresa a tal tipo de consulta, disponiéndose en él, meramente, que “[e]l Gobierno podrá, a instancias del presidente, recabar la opinión de la ciudadanía sobre asuntos de interés general de competencia autonómica, mediante sondeos, encuestas o cualquier otro instrumento de participación ciudadana”. En congruencia con lo demandado y alegado, nada podremos decir, sin embargo, ni sobre la Ley 5/2010, en sí misma, ni acerca de si el Decreto traído ante nosotros desarrolla correctamente o no la disposición legal de la que la propia Norma reglamentaria dice traer causa.</w:t>
      </w:r>
    </w:p>
    <w:p w:rsidR="0085709A" w:rsidRDefault="0085709A" w:rsidP="0085709A">
      <w:pPr>
        <w:pStyle w:val="TextoNormal"/>
      </w:pPr>
    </w:p>
    <w:p w:rsidR="0085709A" w:rsidRDefault="0085709A" w:rsidP="0085709A">
      <w:pPr>
        <w:pStyle w:val="TextoNormal"/>
      </w:pPr>
      <w:r>
        <w:lastRenderedPageBreak/>
        <w:t>b) La demanda, según quedó dicho, pide también, aunque sin fundamento específico, la declaración de inconstitucionalidad de la disposición derogatoria única y de las disposiciones finales primera y segunda del Decreto 95/2014, en la medida, viene a decirse, que se entiendan referidas a las consultas a través de “preguntas directas” que son, en su conjunto, objeto de impugnación. No procede, sin embargo, que examinemos a continuación la constitucionalidad de todas las disposiciones del Decreto. En primer lugar, porque se impugnan, vale repetir, sin otra motivación que la de su posible conexión con las normas directamente tachadas de inconstitucionales, siendo así que la declaración de inconstitucionalidad por conexión —prevista en el art. 39.1 LOTC, pero posible también, llegado el caso, en otros procesos constitucionales de control de normas (</w:t>
      </w:r>
      <w:r w:rsidRPr="0085709A">
        <w:rPr>
          <w:i/>
        </w:rPr>
        <w:t>v. gr</w:t>
      </w:r>
      <w:r>
        <w:t>. SSTC 313/1994, de 24 de noviembre, FJ 8; y 243/2012, de 17 de diciembre, FJ 6)— no puede ser, en general, objeto de pretensión de parte, conforme a reiterada jurisprudencia constitucional (por todas, STC 119/2014, FJ 2, y jurisprudencia allí citada). Pero además porque, estando como están las mentadas disposiciones derogatoria y finales referidas al conjunto del Reglamento sólo parcialmente impugnado, la hipotética inconstitucionalidad de todas o de algunas de las normas de su capítulo III, de confirmarse, no habría de deparar, en ningún caso, la propagación de dicha posible invalidez a las repetidas disposiciones, cuyo sentido normativo, a resultas de tal eventual pronunciamiento, quedaría más bien reorientado a las normas reglamentarias no impugnadas o, si impugnadas, no declaradas contrarias al bloque de la constitucionalidad. La disposición derogatoria única y las disposiciones finales del Decreto 95/2014 —sobre las que, por lo demás, nada ha alegado la representación del Gobierno de Canarias— quedan fuera de nuestro enjuiciamiento.</w:t>
      </w:r>
    </w:p>
    <w:p w:rsidR="0085709A" w:rsidRDefault="0085709A" w:rsidP="0085709A">
      <w:pPr>
        <w:pStyle w:val="TextoNormal"/>
      </w:pPr>
    </w:p>
    <w:p w:rsidR="0085709A" w:rsidRDefault="0085709A" w:rsidP="0085709A">
      <w:pPr>
        <w:pStyle w:val="TextoNormal"/>
      </w:pPr>
      <w:r>
        <w:t>c) Debe iniciarse el presente enjuiciamiento constitucional con el examen de la controversia competencial. Es cierto que la demanda, según se apuntó antes, invoca tanto normas del bloque de la constitucionalidad relativas al orden de distribución de competencias, como también otras que no tienen estrictamente tal carácter. Sin embargo, la cuestión primordial es la de si los preceptos reglamentarios en discusión pueden inscribirse, por su objeto y por su contenido, en el ordenamiento de la Comunidad Autónoma sin infracción constitucional. Esta cuestión, una vez resuelta, permitiría, de ser ello procedente, el ulterior examen de las supuestas contravenciones de normas no competenciales del bloque de la constitucionalidad que también se aducen en la demanda. Si la demanda llevara razón jurídica al afirmar que las reglas impugnadas inciden en el ámbito del art. 23.1 CE, el rango meramente reglamentario del Decreto mediante el que se han aprobado conduciría a apreciar, sin duda alguna, la manifiesta inconstitucionalidad de tales normas (art. 53.1 CE, no expresamente citado en la demanda) pero, como decimos, la controversia previa a resolver es la de si reglas como las impugnadas pueden, visto su objeto y contenido, integrarse, sin tacha constitucional, en el sistema normativo autonómico.</w:t>
      </w:r>
    </w:p>
    <w:p w:rsidR="0085709A" w:rsidRDefault="0085709A" w:rsidP="0085709A">
      <w:pPr>
        <w:pStyle w:val="TextoNormal"/>
      </w:pPr>
    </w:p>
    <w:p w:rsidR="0085709A" w:rsidRDefault="0085709A" w:rsidP="0085709A">
      <w:pPr>
        <w:pStyle w:val="TextoNormal"/>
      </w:pPr>
      <w:r>
        <w:t xml:space="preserve">Abordaremos, por ello, en lo que sigue el examen de la validez constitucional, por razones competenciales, de las reglas controvertidas, lo que impone partir del examen de la distribución constitucional y estatutaria de competencias entre el Estado y la Comunidad Autónoma de Canarias en orden a las consultas populares, no siendo dudoso que en esta noción constitucional (art. 149.1.32 CE) se incluyen, de principio, las que tanto la citada Ley 5/2010 (art. 20) como el Decreto controvertido (capítulo III y normas concordantes) llaman “consultas a la ciudadanía”. Por todo ello, cabe ya adelantar, que ninguna relevancia tendrá a efectos de este examen la invocación por la representación demandada, en defensa de las normas impugnadas, del art. 9.2 CE, ya que las normas programáticas de este carácter, </w:t>
      </w:r>
      <w:r>
        <w:lastRenderedPageBreak/>
        <w:t>constitucionales o estatutarias, disponen compromisos y tareas o abren habilitaciones genéricas para los poderes públicos, pero no atribuyen, en sí mismas, competencia alguna al Estado o a las Comunidades Autónomas (en tal sentido, STC 103/2008, de 11 de septiembre, FJ 3, y jurisprudencia allí citada).</w:t>
      </w:r>
    </w:p>
    <w:p w:rsidR="0085709A" w:rsidRDefault="0085709A" w:rsidP="0085709A">
      <w:pPr>
        <w:pStyle w:val="TextoNormal"/>
      </w:pPr>
    </w:p>
    <w:p w:rsidR="0085709A" w:rsidRDefault="0085709A" w:rsidP="0085709A">
      <w:pPr>
        <w:pStyle w:val="TextoNormal"/>
      </w:pPr>
      <w:r w:rsidRPr="0085709A">
        <w:rPr>
          <w:rStyle w:val="NumeroAFNegritaCaracter"/>
        </w:rPr>
        <w:t>4</w:t>
      </w:r>
      <w:r>
        <w:t>. El régimen de distribución de competencias sobre consultas populares entre el Estado y las Comunidades Autónomas (la de Canarias, en lo que ahora hace al caso) ha sido definido, sobre la base de lo dispuesto en la Constitución, por una jurisprudencia constitucional ya muy consolidada a la que aquí debemos remitirnos, no sin recordar, en síntesis, algunos de sus pronunciamientos ahora de mayor relieve a nuestros efectos:</w:t>
      </w:r>
    </w:p>
    <w:p w:rsidR="0085709A" w:rsidRDefault="0085709A" w:rsidP="0085709A">
      <w:pPr>
        <w:pStyle w:val="TextoNormal"/>
      </w:pPr>
    </w:p>
    <w:p w:rsidR="0085709A" w:rsidRDefault="0085709A" w:rsidP="0085709A">
      <w:pPr>
        <w:pStyle w:val="TextoNormal"/>
      </w:pPr>
      <w:r>
        <w:t>a) Al referirse el art. 149.1.32 CE tanto a las “consultas populares”, en general, como a la institución del “referéndum”, la Constitución ha contemplado la posible existencia, junto a esta última institución, de otro tipo de consultas populares, cuyo fundamento y sentido difieren de los propios del referéndum. Así, desde la STC 119/1995, de 17 de julio, este Tribunal ha recordado (FJ 3) que mediante las distintas modalidades de referéndum, como forma de democracia directa, se produce un llamamiento directo al titular de la soberanía para la toma de decisiones políticas, participación política ésta que es una de las previstas, como derecho fundamental, en el art. 23.1 CE. El referéndum es, pues, un instrumento de participación directa de los ciudadanos en los asuntos públicos para el ejercicio de aquel derecho fundamental. Pero no es cauce para la instrumentación de cualquier derecho de participación, sino específicamente para aquella que normalmente se ejerce a través de representantes y que, de modo excepcional, puede ser directamente ejercida por el pueblo (STC 103/2008, de 11 de septiembre, FJ 2). Dijimos también en la Sentencia recién citada, y en el mismo fundamento jurídico, que el referéndum es una especie del género “consulta popular” con el que no se recaba la opinión de cualquier colectivo sobre cualesquiera asuntos de interés público y a través de cualesquiera procedimientos, sino que es aquella consulta cuyo objeto se refiere estrictamente al parecer del cuerpo electoral, expresivo de la voluntad del pueblo, conformado y exteriorizado a través de un procedimiento electoral, esto es, basado en el censo, gestionado por la Administración electoral y asegurado con garantías jurisdiccionales específicas, siempre en relación con los asuntos públicos cuya gestión, directa o indirecta, mediante el ejercicio del poder político por parte de los ciudadanos, constituye el objeto del derecho fundamental reconocido en el art. 23 CE. Por ello prosiguió esta Sentencia con el señalamiento de que para calificar una consulta como referéndum ha de atenderse a la identidad del sujeto consultado, de manera que siempre que éste sea el cuerpo electoral, cuya vía de manifestación propia es la de los distintos procedimientos electorales, con sus correspondientes garantías, estaremos ante una consulta referendaria (en términos análogos, SSTC 31/2010, de 28 de junio, FJ 69; y 31/2015, de 25 de febrero, FJ 5). Las consultas populares no reconducibles, conforme a los rasgos dichos, al concepto de referéndum, no son ya expresión del derecho fundamental de participación política enunciado en el art. 23.1 CE, sino manifestación, por el contrario, de una democracia participativa cuyo fundamento constitucional último está en el art. 9.2 de la propia Constitución y mediante la que ya no el cuerpo electoral, sino cualesquiera otros colectivos, pueden ser llamados a expresar su parecer sobre asuntos de relevancia pública y a través de cualesquiera procedimientos (en tal sentido, STC 31/2015, FFJJ 4 y 5; y jurisprudencia allí citada).</w:t>
      </w:r>
    </w:p>
    <w:p w:rsidR="0085709A" w:rsidRDefault="0085709A" w:rsidP="0085709A">
      <w:pPr>
        <w:pStyle w:val="TextoNormal"/>
      </w:pPr>
    </w:p>
    <w:p w:rsidR="0085709A" w:rsidRDefault="0085709A" w:rsidP="0085709A">
      <w:pPr>
        <w:pStyle w:val="TextoNormal"/>
      </w:pPr>
      <w:r>
        <w:t xml:space="preserve">b) Es procedente recordar que el referéndum, cuando sea reconocido como tal según los rasgos dichos, no dejará de serlo por la mera circunstancia de que su resultado se califique </w:t>
      </w:r>
      <w:r>
        <w:lastRenderedPageBreak/>
        <w:t xml:space="preserve">de no vinculante (STC 31/2015, FJ 5, y jurisprudencia allí citada). Tampoco perderá tal condición —y esto, como se verá, tiene relevancia capital para el presente caso— por el hecho de que las normas que lo disciplinen no se sirvan de la propia palaba “referéndum”, sustituyéndola por otras, o por la circunstancia de que el cuerpo electoral llamado a pronunciarse y el procedimiento para dar curso a su participación difieran o se aparten, incluso de modo irregular, de las normas que en la legislación orgánica aplicable definen quiénes son electores y cuál sea el procedimiento para que expresen, mediante el voto, las voluntades individuales que concurrirán a la formación de la voluntad general. La noción de referéndum es, a efectos competenciales, de carácter material, y bastará para identificarlo, por lo tanto, con que se esté ante un llamamiento a un cuerpo electoral que, aunque distinto acaso al definido por aquella legislación orgánica, abarque al conjunto de la ciudadanía de una Comunidad Autónoma o de un ente territorial local y con que se configure un procedimiento y unas garantías que, aunque no sean idénticos a los previstos en la legislación electoral estatal, comporten un grado de formalización de la opinión ciudadana que sea materialmente electoral (STC 31/2015, FJ 8). Esto es así porque, tratándose de una noción constitucional de la que la Norma fundamental se sirve para delimitar competencias entre el Estado y las Comunidades Autónomas (art. 149.1.32 CE), la eventual desfiguración por normas autonómicas de las reglas que disciplinan las consultas referendarias permitiría eludir, con daño inaceptable para el orden constitucional, las competencias que al respecto pone en manos del Estado la norma fundamental. Dijimos, a este respecto, en la misma STC 31/2015, FJ 8, que los conceptos constitucionales o, en general, del bloque de la constitucionalidad que definen o acotan competencias (el de “referéndum” </w:t>
      </w:r>
      <w:r w:rsidRPr="0085709A">
        <w:rPr>
          <w:i/>
        </w:rPr>
        <w:t>ex</w:t>
      </w:r>
      <w:r>
        <w:t xml:space="preserve"> art. 149.1.32 CE, en lo que ahora importa) resultarían distorsionados, y con ellos la misma articulación competencial, si su propia definición se hiciera depender del respeto o transgresión, por el Estado o las Comunidades Autónomas, de la legalidad constitucional o infraconstitucional a la que en cada caso se encuentren sometidos. El orden de competencias constitucional y estatutario, según añade ese mismo fundamento de la Sentencia citada, quedaría a merced, si así se hiciera, del arbitrio del propio ente cuyas competencias han sido delimitadas, con el resultado, de todo punto inaceptable, de que el desbordamiento de éstas, o el exceso en su ejercicio, vendría a quedar cubierto o avalado por tales infracciones del ordenamiento. En suma, y por lo que se refiere al reconocimiento de la institución referendaria en determinado caso, no será relevante ni el </w:t>
      </w:r>
      <w:r w:rsidRPr="0085709A">
        <w:rPr>
          <w:i/>
        </w:rPr>
        <w:t>nomen iuris</w:t>
      </w:r>
      <w:r>
        <w:t xml:space="preserve"> de la figura regulada, pues el nombre no hace a la cosa, ni, según acabamos de recordar, la eventual separación o conculcación de la legislación estatal que lo regule ni, en fin, la simple afirmación, por la Norma impugnada o por sus defensores, de que la regulación controvertida no desarrolla el art. 23.1 CE, derecho que no perderá su fuerza vinculante porque se niegue haber procedido a su regulación o desarrollo. La STC 103/2008 identificó la noción de referéndum por referencia al cuerpo y al procedimiento electoral, esto es, al censo, a la Administración electoral y a unas “garantías jurisdiccionales específicas” (FJ 2). Pero no se colige de ello que la eventual desfiguración legislativa de lo dispuesto en la Ley Orgánica del régimen electoral general impidiera reconocer que una determinada consulta o tipo de consulta tuviera, conforme a su naturaleza intrínseca, la condición efectiva de referéndum, por irregular que su ordenación legal pudiera ser. La acomodación a la legislación electoral general es condición, como la propia Sentencia dijo, de que la voluntad del cuerpo electoral pudiera estimarse “válida y legítimamente” manifestada (FJ 2). Pero dicha acomodación no puede ser, sin contradicción con el sentido del repetido artículo 149.1.32, condición para la identificación de una consulta como referendaria [STC 31/2015, FFJJ 7 y 8 b)].</w:t>
      </w:r>
    </w:p>
    <w:p w:rsidR="0085709A" w:rsidRDefault="0085709A" w:rsidP="0085709A">
      <w:pPr>
        <w:pStyle w:val="TextoNormal"/>
      </w:pPr>
    </w:p>
    <w:p w:rsidR="0085709A" w:rsidRDefault="0085709A" w:rsidP="0085709A">
      <w:pPr>
        <w:pStyle w:val="TextoNormal"/>
      </w:pPr>
      <w:r>
        <w:lastRenderedPageBreak/>
        <w:t xml:space="preserve">c) Fijado ya el concepto constitucional de referéndum y también, por contraste, el de las consultas populares no referendarias, procede ya considerar cuál sea la distribución constitucional y estatutaria de competencias sobre aquella institución entre el Estado y la Comunidad Autónoma de Canarias. En la STC 31/2015 sobre la base de pronunciamientos anteriores de esta jurisdicción, se señaló [FJ 6 A)] que el régimen jurídico del referéndum está, ante todo, sujeto a una reserva de ley orgánica, a la que la Constitución remite la regulación de las condiciones y el procedimiento de las distintas modalidades de referéndum previstas en la Constitución. Se dijo asimismo, que también el referéndum, por cuanto implica el ejercicio del derecho fundamental </w:t>
      </w:r>
      <w:r w:rsidRPr="0085709A">
        <w:rPr>
          <w:i/>
        </w:rPr>
        <w:t>ex</w:t>
      </w:r>
      <w:r>
        <w:t xml:space="preserve"> art. 23.1 CE, está sujeto en su desarrollo a la reserva de ley orgánica prevista en el artículo 81.1 del propio texto constitucional, concurriendo aquí, por tanto, dos exigencias constitucionales de reserva de ley orgánica: (i) una genérica, vinculada al desarrollo de los derechos fundamentales, y (ii) otra específica, asociada a la institución del referéndum. Se dijo en la misma Sentencia que, por otra parte, la Constitución atribuye al Estado, como competencia exclusiva, la autorización para la convocatoria de consultas populares por vía de referéndum (art. 149.1.32 CE), competencia que, de conformidad con la jurisprudencia constitucional, no puede limitarse a la autorización estatal para la convocatoria de consultas populares por vía de referéndum, sino que ha de extenderse a la entera disciplina de la institución, esto es, a su establecimiento y regulación [FJ 6 A) y jurisprudencia allí citada]. Observó esta misma Sentencia, por último en lo que ahora importa, que la competencia estatal así definida fue ejercida mediante la aprobación de la Ley Orgánica 2/1980, reguladora de las diversas modalidades de referéndum; Ley ésta que es la llamada por el art. 92.3 CE para regular las condiciones y el procedimiento de las distintas modalidades de referéndum previstas en la Constitución, siendo además la única ley constitucionalmente adecuada para el cumplimiento de otra reserva, añadida a la competencial del art. 149.1.32 CE, esto es, la genérica del art. 81.1 CE para el desarrollo del derecho fundamental </w:t>
      </w:r>
      <w:r w:rsidRPr="0085709A">
        <w:rPr>
          <w:i/>
        </w:rPr>
        <w:t>ex</w:t>
      </w:r>
      <w:r>
        <w:t xml:space="preserve"> art. 23 CE. Se observó también en la misma resolución que la Ley Orgánica 2/1980 no regula otros supuestos de referéndum distintos de los contemplados en el texto constitucional, en tanto que su disposición adicional excluye del ámbito de aplicación de esta Ley orgánica las consultas municipales, remitiendo su disciplina a la legislación básica de régimen local, ámbito sobre el que también se proyecta la exclusiva competencia estatal sobre las bases del régimen jurídico de las Administraciones públicas (art. 149.1.18 CE).El régimen de las consultas populares que, conforme a lo dicho, no tengan, sin embargo, la condición de referendarias, sí puede corresponder, según prevean los respectivos Estatutos de Autonomía y en el respeto, en especial, de lo dispuesto en el art. 149.1.18 CE, a la competencia de las Comunidades Autónomas, conforme a lo declarado en las sentencias constitucionales cuyos criterios venimos recordando (STC 31/2015, FJ 7, y jurisprudencia constitucional allí citada).</w:t>
      </w:r>
    </w:p>
    <w:p w:rsidR="0085709A" w:rsidRDefault="0085709A" w:rsidP="0085709A">
      <w:pPr>
        <w:pStyle w:val="TextoNormal"/>
      </w:pPr>
    </w:p>
    <w:p w:rsidR="0085709A" w:rsidRDefault="0085709A" w:rsidP="0085709A">
      <w:pPr>
        <w:pStyle w:val="TextoNormal"/>
      </w:pPr>
      <w:r>
        <w:t xml:space="preserve">d) De los preceptos constitucionales recién citados deriva que corresponde en exclusiva al Estado la disciplina de la institución del referéndum. (STC 31/2010, de 28 de junio, FJ 69). Ello incluye ordenar el establecimiento y disponer la regulación del referéndum, de modo que la Constitución, en otras palabras, ha querido, en atención a la condición excepcional en nuestro ordenamiento de esta forma de democracia directa, que sólo mediante normas estatales puedan preverse, en el respeto a las demás determinaciones de la Constitución, los supuestos, tipos y formas de referéndum, sus ámbitos territoriales, los casos en que puede haber lugar a su convocatoria, sus procedimientos de desarrollo y garantías y, en fin, el reconocimiento jurídico a dar al pronunciamiento popular. Lo anterior no significa, sin embargo, que no puedan en ningún caso los Estatutos de Autonomía, respetando esta </w:t>
      </w:r>
      <w:r>
        <w:lastRenderedPageBreak/>
        <w:t>exclusiva competencia del Estado y, en su conjunto, las normas de la Constitución, reconocer a las Comunidades Autónomas algún género de intervención en la ejecución o, incluso, en el complemento normativo de los preceptos estatales que disciplinen, en los términos señalados, unas u otras figuras de referéndum, siempre que ello se realizara, claro está, sobre asuntos de la propia competencia de la respectiva Comunidad Autónoma. Lo que nuestra jurisprudencia excluye es que, en orden al referéndum, puedan reconocerse competencias “implícitas” de las Comunidades Autónomas [SSTC 103/2008, FJ 3, y 31/2015, FJ 6 B)]. Pero la posibilidad de una expresa atribución estatutaria en este ámbito a las Comunidades Autónomas está latente, en cierto modo, como tal eventualidad, en el propio artículo 149.1.32 CE y aparece ya prevista de modo expreso, para determinado ámbito territorial, sobre la base de lo dispuesto en la disposición adicional de la Ley Orgánica 2/1980, en el art. 71 de la Ley 7/1985, de 2 de abril, reguladora de las bases de régimen local, en el que se dispone que “[d]e conformidad con la legislación del Estado y de la Comunidad Autónoma, cuando ésta tenga competencia estatutariamente atribuida para ello, los alcaldes, previo acuerdo por mayoría absoluta del Pleno y autorización del Gobierno de la Nación, podrán someter a consulta popular aquellos asuntos de la competencia propia municipal y de carácter local que sean de especial relevancia para los intereses de los vecinos, con excepción de los relativos a la Hacienda local”.</w:t>
      </w:r>
    </w:p>
    <w:p w:rsidR="0085709A" w:rsidRDefault="0085709A" w:rsidP="0085709A">
      <w:pPr>
        <w:pStyle w:val="TextoNormal"/>
      </w:pPr>
    </w:p>
    <w:p w:rsidR="0085709A" w:rsidRDefault="0085709A" w:rsidP="0085709A">
      <w:pPr>
        <w:pStyle w:val="TextoNormal"/>
      </w:pPr>
      <w:r>
        <w:t xml:space="preserve">Conforme a lo dispuesto en el art. 32.5 EACan corresponde a la Comunidad Autónoma de Canarias, de forma similar a lo establecido en otros Estatutos, el desarrollo legislativo y la ejecución del “[s]istema de consultas populares en el ámbito de Canarias, de conformidad con lo que disponga la Ley a la que se refiere el artículo 92.3 de la Constitución y demás leyes del Estado, correspondiendo a éste la autorización de su convocatoria”. Aunque, en una lectura superficial, este precepto pudiera entenderse referido tan sólo a las consultas de carácter referendario, es lo cierto que la genérica mención que en él se hace a un “sistema de consultas populares” permite entender que, dentro de este amplio enunciado, se comprenden también aquellas consultas que no tengan la condición de referéndum, consultas éstas que, conforme a lo señalado </w:t>
      </w:r>
      <w:r w:rsidRPr="0085709A">
        <w:rPr>
          <w:i/>
        </w:rPr>
        <w:t>supra</w:t>
      </w:r>
      <w:r>
        <w:t>, no suscitarían problemas en cuanto a la atribución estatutaria de competencias que, respecto de ellas, realiza este artículo 32.5. Más dificultades de interpretación podría plantear la armonización entre la competencia que corresponde en exclusiva al Estado para la “entera disciplina” (establecimiento y regulación) del referéndum y la que el precepto estatutario atribuye para el desarrollo y ejecución de otras consultas, ya de carácter referendario, a las que también se refiere genéricamente el artículo 32.5. Los Estatutos de Autonomía forman parte del bloque de la constitucionalidad, pero no pueden dejar de ser interpretados de conformidad con la Constitución. Por ello, a fin de integrar y conciliar las competencias exclusivas del Estado en punto al referéndum y las que sobre esta institución confiere a la Comunidad Autónoma de Canarias el artículo 32.5 de su Estatuto, es obligado concluir en que el “desarrollo” al que se refiere en su cabecera dicho artículo 32 no puede ser, respecto de las consultas referendarias a las que asimismo alude su apartado 5, sino en el limitado que permitiera a la Comunidad Autónoma, en el respeto a las competencias del Estado y conforme a la legislación orgánica reguladora del referéndum y del régimen electoral general, complementar o integrar en aspectos accesorios, si a ello hubiere lugar, la entera disciplina de esta institución. No se fuerza con este entendimiento, en modo alguno, el enunciado del art. 32.5 EACan, pues el precepto, según dijimos, se cuida de condicionar las competencias que atribuye a “lo que disponga la Ley a la que se refiere el artículo 92.3 de la Constitución y demás leyes del Estado” y a la autorización por el Estado mismo de la convocatoria de estas consultas.</w:t>
      </w:r>
    </w:p>
    <w:p w:rsidR="0085709A" w:rsidRDefault="0085709A" w:rsidP="0085709A">
      <w:pPr>
        <w:pStyle w:val="TextoNormal"/>
      </w:pPr>
    </w:p>
    <w:p w:rsidR="0085709A" w:rsidRDefault="0085709A" w:rsidP="0085709A">
      <w:pPr>
        <w:pStyle w:val="TextoNormal"/>
      </w:pPr>
      <w:r>
        <w:t>Sobre la base de cuanto queda dicho, es ya posible examinar el régimen de las “preguntas directas” del capítulo III del Reglamento impugnado a fin de determinar si las mismas muestran, como afirma la demanda y niega la representación demandada, el carácter de consultas referendarias.</w:t>
      </w:r>
    </w:p>
    <w:p w:rsidR="0085709A" w:rsidRDefault="0085709A" w:rsidP="0085709A">
      <w:pPr>
        <w:pStyle w:val="TextoNormal"/>
      </w:pPr>
    </w:p>
    <w:p w:rsidR="0085709A" w:rsidRDefault="0085709A" w:rsidP="0085709A">
      <w:pPr>
        <w:pStyle w:val="TextoNormal"/>
      </w:pPr>
      <w:r w:rsidRPr="0085709A">
        <w:rPr>
          <w:rStyle w:val="NumeroAFNegritaCaracter"/>
        </w:rPr>
        <w:t>5</w:t>
      </w:r>
      <w:r>
        <w:t>. . El artículo 9 abre el capítulo III, impugnado en su totalidad, del Reglamento aprobado por el Decreto 95/2014 y, bajo la rúbrica “(p)reguntas directas”, dice así:</w:t>
      </w:r>
    </w:p>
    <w:p w:rsidR="0085709A" w:rsidRDefault="0085709A" w:rsidP="0085709A">
      <w:pPr>
        <w:pStyle w:val="TextoNormal"/>
      </w:pPr>
    </w:p>
    <w:p w:rsidR="0085709A" w:rsidRDefault="0085709A" w:rsidP="0085709A">
      <w:pPr>
        <w:pStyle w:val="TextoNormal"/>
      </w:pPr>
      <w:r>
        <w:t>“La opinión de la ciudadanía respecto de asuntos de interés general de competencia autonómica podrá recabarse mediante la formulación de una o varias preguntas directas a la ciudadanía, con el objeto de que los llamados a participar en la consulta manifiesten su parecer de forma afirmativa o negativa”.</w:t>
      </w:r>
    </w:p>
    <w:p w:rsidR="0085709A" w:rsidRDefault="0085709A" w:rsidP="0085709A">
      <w:pPr>
        <w:pStyle w:val="TextoNormal"/>
      </w:pPr>
    </w:p>
    <w:p w:rsidR="0085709A" w:rsidRDefault="0085709A" w:rsidP="0085709A">
      <w:pPr>
        <w:pStyle w:val="TextoNormal"/>
      </w:pPr>
      <w:r>
        <w:t>Para determinar si las consultas mediante “preguntas directas” así enunciadas, y desarrolladas luego hasta el artículo 26 del texto reglamentario, constituyen o no, en atención a su naturaleza intrínseca, genuinas consultas referendarias, es preciso tener presente la jurisprudencia constitucional recién evocada, doctrina que, en punto a la noción constitucional de referéndum, queda ajustadamente resumida, sobre la base de jurisprudencia anterior, en estas palabras de la tan citada STC 31/2015: “estamos ante un referéndum cuando el poder público convoca al conjunto de los ciudadanos de un ámbito territorial determinado para que ejerzan el derecho fundamental de participación en los asuntos públicos emitiendo su opinión, vinculante o no, sobre una determinada cuestión, mediante votación y con las garantías propias de un proceso electoral” (FJ 6). Debe aplicarse esta formulación de la jurisprudencia constitucional para examinar el articulado de este capítulo III y normas concordantes y apreciar si los convocados son, en primer lugar, los ciudadanos; si, en segundo lugar, su participación lo es mediante la emisión del voto y, por último, si el Reglamento dispone, en este extremo, una administración electoral específica dotada de garantías que aspiren a asegurar la correcta manifestación y expresión de la voluntad popular. Estos son los tres puntos que consideraremos a continuación.</w:t>
      </w:r>
    </w:p>
    <w:p w:rsidR="0085709A" w:rsidRDefault="0085709A" w:rsidP="0085709A">
      <w:pPr>
        <w:pStyle w:val="TextoNormal"/>
      </w:pPr>
    </w:p>
    <w:p w:rsidR="0085709A" w:rsidRDefault="0085709A" w:rsidP="0085709A">
      <w:pPr>
        <w:pStyle w:val="TextoNormal"/>
      </w:pPr>
      <w:r>
        <w:t xml:space="preserve">Antes de entrar a examinar estos puntos, debe recordarse que el capítulo III del Reglamento, ordena unas consultas mediante “preguntas directas” a las que pueden ser llamados a participar no sólo los “ciudadanos”, identificados del modo que se dirá, sino también, junto a estas “personas físicas” [apartados 1 y 2 del artículo 12 y, antes aún, apartado b) del artículo 3], “entidades” o “entidades ciudadanas” [art. 12.1 y 3 a), precepto, este último, que las define como “las personas jurídicas inscritas en el Registro de Participación Ciudadana”; Registro, cabe observar, instituido por Decreto del Gobierno de Canarias 94/2014, de 25 de septiembre, que aprobó el Reglamento de su organización y funcionamiento]. Ocurre sin embargo que los ciudadanos, de una parte, y estas “entidades”, de la otra, emitirían sus “respuestas” (art. 11 del Reglamento controvertido) de modo separado (en urnas distintas, cabe colegir: art. 24.1 y 2) y que el llamado “recuento” de tales respuestas se haría “con separación de las realizadas por las personas físicas y de las procedentes de las entidades ciudadanas” (art. 25.1). Se sigue de ello, con la claridad suficiente, que si bien el Reglamento permite plantear estas “preguntas directas” tanto a los ciudadanos como, en unidad de acto, a las mentadas “entidades ciudadanas”, las “respuestas” que dieran unos y otras no se integran o confunden, constituyendo un llamamiento dual de este género, más bien, una doble y simultánea consulta y de distinta naturaleza a nuestros efectos, pues mientras la </w:t>
      </w:r>
      <w:r>
        <w:lastRenderedPageBreak/>
        <w:t xml:space="preserve">dirigida a los ciudadanos pudiera llegar a verse como un referéndum en sí mismo, aquellas a las que dieran su respuesta las “entidades ciudadanas” en modo alguno podrían pasar por consultas referendarias. Y ello porque, constituyendo el referéndum un cauce de participación política directa </w:t>
      </w:r>
      <w:r w:rsidRPr="0085709A">
        <w:rPr>
          <w:i/>
        </w:rPr>
        <w:t>ex</w:t>
      </w:r>
      <w:r>
        <w:t xml:space="preserve"> art. 23.1 CE, este derecho fundamental se refiere a la participación de personas individuales (STC 51/1984, de 25 de abril, FJ 2) y se presenta, en otras palabras, como derecho de participación inorgánica (SSTC 119/1995, FJ 4; y 103/2008, FJ 2), no sujeto en su ejercicio a la previa integración del elector en cualesquiera formaciones sociales. Siendo esto así, la participación de estas “entidades ciudadanas” en las “preguntas directas” , que puede ser simultánea a la de los ciudadanos, pero separada, como hemos visto, de la de estos últimos bien puede verse como un supuesto típico de lo que, en esta misma Sentencia y en anteriores, se ha calificado como “consultas no referendarias”, esto es, aquellas que recaban la expresión de voluntades particulares o colectivas, pero no generales y no imputables, por tanto, al cuerpo electoral [STC 31/2015, FJ 5 a), y jurisprudencia allí citada]. Se sigue de ello que, no pudiéndose tildar de referendarias las consultas a las que dieran respuesta las repetidas “entidades ciudadanas”, nuestro examen ha de prescindir ahora de su consideración y valoración y ello sin perjuicio de lo que se dirá para determinar el alcance de nuestro pronunciamiento, en el último fundamento jurídico de esta Sentencia.</w:t>
      </w:r>
    </w:p>
    <w:p w:rsidR="0085709A" w:rsidRDefault="0085709A" w:rsidP="0085709A">
      <w:pPr>
        <w:pStyle w:val="TextoNormal"/>
      </w:pPr>
    </w:p>
    <w:p w:rsidR="0085709A" w:rsidRDefault="0085709A" w:rsidP="0085709A">
      <w:pPr>
        <w:pStyle w:val="TextoNormal"/>
      </w:pPr>
      <w:r>
        <w:t>Aclarado lo anterior, es ya posible examinar el régimen jurídico de las “preguntas directas” dirigidas a los ciudadanos y valorar en Derecho si constituyen o no genuinas consultas referendarias, cualquiera sea el lenguaje del que se ha servido el autor del Reglamento y cualquiera que sea la eventual atipicidad de aquel régimen.</w:t>
      </w:r>
    </w:p>
    <w:p w:rsidR="0085709A" w:rsidRDefault="0085709A" w:rsidP="0085709A">
      <w:pPr>
        <w:pStyle w:val="TextoNormal"/>
      </w:pPr>
    </w:p>
    <w:p w:rsidR="0085709A" w:rsidRDefault="0085709A" w:rsidP="0085709A">
      <w:pPr>
        <w:pStyle w:val="TextoNormal"/>
      </w:pPr>
      <w:r w:rsidRPr="0085709A">
        <w:rPr>
          <w:rStyle w:val="NumeroAFNegritaCaracter"/>
        </w:rPr>
        <w:t>6</w:t>
      </w:r>
      <w:r>
        <w:t>. Conforme a lo dicho en el fundamento anterior, corresponde ahora apreciar si las consultas mediante “preguntas directas” configuradas en el Reglamento constituyen llamamientos a la ciudadanía y, comprendido en ella, al cuerpo electoral; si tal convocatoria lo es, además, para determinar el propio parecer del elector, mediante el voto, sobre asuntos de interés general y si todo ello se articula por medio de un procedimiento y con unas garantías que puedan ser reconocidos como electorales.</w:t>
      </w:r>
    </w:p>
    <w:p w:rsidR="0085709A" w:rsidRDefault="0085709A" w:rsidP="0085709A">
      <w:pPr>
        <w:pStyle w:val="TextoNormal"/>
      </w:pPr>
    </w:p>
    <w:p w:rsidR="0085709A" w:rsidRDefault="0085709A" w:rsidP="0085709A">
      <w:pPr>
        <w:pStyle w:val="TextoNormal"/>
      </w:pPr>
      <w:r>
        <w:t xml:space="preserve">A) Corresponde al Gobierno de Canarias, según el Reglamento, la decisión de “recabar la opinión” de la ciudadanía mediante estas “preguntas directas” (art. 14.1), acuerdo éste que dará lugar a una convocatoria, mediante Decreto del Presidente, en la que se fijarán, en lo que ahora importa, el objeto de la consulta, “con el texto de la pregunta o preguntas que comprende”, su ámbito territorial y “las personas y las entidades ciudadanas a las que se dirige la consulta” (art. 15.1 y 2). Dejando ahora de lado la última referencia a las “entidades ciudadanas”, las “personas” así convocadas son o pueden ser, conforme al artículo 3 b), las que ostenten la condición política de canarios en los términos del art. 4 EACan, así como, con alcance más general, las que tengan su residencia legal en Canarias, con independencia de su condición política y nacionalidad, “en la medida en que no lo impida la legislación correspondiente”. Estas determinaciones del artículo 3, aplicables a todo tipo de consultas de las establecidas en el Reglamento, se concretan para las “preguntas directas” en el artículo 12, de cuyos dos apartados resulta que las “[p]ersonas llamadas a emitir las respuestas” se determinarán en la convocatoria correspondiente, “con independencia de las áreas temáticas de participación con las que consten inscritas en el Registro de Participación Ciudadana” y estén o no inscritas en el tal Registro. Habrán de reunir el requisito de edad para participar que se fije en la convocatoria, que no podrá ser inferior a dieciséis años (con la </w:t>
      </w:r>
      <w:r>
        <w:lastRenderedPageBreak/>
        <w:t>salvedad de las consultas “en el ámbito de la juventud”, para las que se estará a la edad establecida en la Ley 7/2007, canaria de juventud).</w:t>
      </w:r>
    </w:p>
    <w:p w:rsidR="0085709A" w:rsidRDefault="0085709A" w:rsidP="0085709A">
      <w:pPr>
        <w:pStyle w:val="TextoNormal"/>
      </w:pPr>
    </w:p>
    <w:p w:rsidR="0085709A" w:rsidRDefault="0085709A" w:rsidP="0085709A">
      <w:pPr>
        <w:pStyle w:val="TextoNormal"/>
      </w:pPr>
      <w:r>
        <w:t>De lo así dispuesto en los artículos 3 y 12 del Reglamento resulta lo siguiente:</w:t>
      </w:r>
    </w:p>
    <w:p w:rsidR="0085709A" w:rsidRDefault="0085709A" w:rsidP="0085709A">
      <w:pPr>
        <w:pStyle w:val="TextoNormal"/>
      </w:pPr>
    </w:p>
    <w:p w:rsidR="0085709A" w:rsidRDefault="0085709A" w:rsidP="0085709A">
      <w:pPr>
        <w:pStyle w:val="TextoNormal"/>
      </w:pPr>
      <w:r>
        <w:t>a) La convocatoria se hace, o puede hacerse, en el “ámbito territorial de la consulta ‘[art. 15.2 b)], a todos cuantos, mayores, al menos, de dieciséis años, ostenten la condición política de canarios en los términos del artículo 4 del EACan’, conforme al cual ‘gozan de la condición política de canarios los ciudadanos españoles que, de acuerdo con las Leyes generales del Estado, tengan vecindad administrativa en cualquiera de los municipios de Canarias’ (número 1), disponiéndose también que ‘(c)omo canarios, gozan de los derechos políticos definidos en este Estatuto los ciudadanos españoles residentes en el extranjero que hayan tenido la última vecindad administrativa en Canarias y acrediten esta condición en el correspondiente Consulado de España’; añadiéndose que ‘(g)ozarán también de estos derechos sus descendientes inscritos como españoles, si así lo solicitan, en la forma que determina la Ley del Estado’” (número 2).</w:t>
      </w:r>
    </w:p>
    <w:p w:rsidR="0085709A" w:rsidRDefault="0085709A" w:rsidP="0085709A">
      <w:pPr>
        <w:pStyle w:val="TextoNormal"/>
      </w:pPr>
    </w:p>
    <w:p w:rsidR="0085709A" w:rsidRDefault="0085709A" w:rsidP="0085709A">
      <w:pPr>
        <w:pStyle w:val="TextoNormal"/>
      </w:pPr>
      <w:r>
        <w:t>b) El llamamiento se dirige a los ciudadanos en cuanto tales —a todos o a los que se determine en “la convocatoria correspondiente”, conforme al artículo 12.1—, no a sectores determinados de la ciudadanía definidos por sus intereses de sector o de grupo, y no otra cosa cabe inferir de lo previsto en el precepto citado, en orden a que las personas llamadas a participar se determinarán “con independencia de las áreas temáticas de participación con las que consten en el Registro de Participación Ciudadana” [el artículo 3 del Decreto 94/2014, ordenador, como dijimos, de este Registro, relaciona una diversidad de “áreas de información y participación” en función de “las materias de previsible consulta”, “áreas” éstas que quedarán reseñadas en el Registro, conforme al artículo 9.2 k), respecto de la persona que, según el artículo 14 de este Decreto, solicite su inscripción en él]. No parece estemos, pues, ante consultas de las que hemos llamado no referendarias, sino ante llamamientos, según dijimos, dirigidos a los ciudadanos en cuanto tales.</w:t>
      </w:r>
    </w:p>
    <w:p w:rsidR="0085709A" w:rsidRDefault="0085709A" w:rsidP="0085709A">
      <w:pPr>
        <w:pStyle w:val="TextoNormal"/>
      </w:pPr>
    </w:p>
    <w:p w:rsidR="0085709A" w:rsidRDefault="0085709A" w:rsidP="0085709A">
      <w:pPr>
        <w:pStyle w:val="TextoNormal"/>
      </w:pPr>
      <w:r>
        <w:t>c) Tratándose de personas físicas, la participación por este cauce no queda condicionada, a la previa inscripción en aquel Registro de participación. Es cierto que el art. 15.1 de la citada Ley 5/2010, “canaria de fomento a la participación ciudadana”, dice que en el referido Registro podrán inscribirse “entidades ciudadanas” y la propia “ciudadanía” y que tal inscripción “otorgará el derecho a ser parte activa en los instrumentos de participación ciudadana previstos en esta Ley”. No lo es menos, sin embargo, que el Reglamento de cuya constitucionalidad juzgamos, cualquiera sea su acomodación a la Ley que dice desarrollar, considera como personas llamadas a participar a “(l)as personas físicas, inscritas o no” en el repetido Registro (art. 12.2), exigiendo sólo tal inscripción previa de los ciudadanos para la emisión de respuesta por medios electrónicos (art. 18.2) y permitiendo que los requisitos para participar se acrediten, genéricamente, por una diversidad de medios, a través de la exhibición del “documento de identificación” y, en su caso, “de los documentos acreditativos o autorizando el acceso a sus datos personales en poder de otras Administraciones Públicas” (art. 18.3).</w:t>
      </w:r>
    </w:p>
    <w:p w:rsidR="0085709A" w:rsidRDefault="0085709A" w:rsidP="0085709A">
      <w:pPr>
        <w:pStyle w:val="TextoNormal"/>
      </w:pPr>
    </w:p>
    <w:p w:rsidR="0085709A" w:rsidRDefault="0085709A" w:rsidP="0085709A">
      <w:pPr>
        <w:pStyle w:val="TextoNormal"/>
      </w:pPr>
      <w:r>
        <w:t xml:space="preserve">d) No existe en el capítulo III del Reglamento una previsión específica sobre un instrumento administrativo unitario parangonable al censo, pero no es dudoso que se cuenta con </w:t>
      </w:r>
      <w:r>
        <w:lastRenderedPageBreak/>
        <w:t>tal censo, identificable ahora en su materialidad. No cabe entender de otro modo, la institución de un Registro voluntario de participación ciudadana; la previsión de “ficheros de datos de carácter personal que sean necesarios (</w:t>
      </w:r>
      <w:r w:rsidRPr="0085709A">
        <w:rPr>
          <w:i/>
        </w:rPr>
        <w:t>sic</w:t>
      </w:r>
      <w:r>
        <w:t>) crear para la ejecución de una consulta…” (art. 13.2) y la previsión, antes mencionada, de que la acreditación de los requisitos para participar se pueda hacer “mediante la exhibición del documento de identificación y, en su caso, de los documentos acreditativos o autorizando el acceso a sus datos personales en poder de otras Administraciones Públicas” (art. 18.3). Así, allegando informaciones y datos de fuentes diversas, las consultas que consideramos se realizarían sobre la base de lo que, desde un punto de vista material, no cabe sino calificarlo de censo de electores.</w:t>
      </w:r>
    </w:p>
    <w:p w:rsidR="0085709A" w:rsidRDefault="0085709A" w:rsidP="0085709A">
      <w:pPr>
        <w:pStyle w:val="TextoNormal"/>
      </w:pPr>
    </w:p>
    <w:p w:rsidR="0085709A" w:rsidRDefault="0085709A" w:rsidP="0085709A">
      <w:pPr>
        <w:pStyle w:val="TextoNormal"/>
      </w:pPr>
      <w:r>
        <w:t xml:space="preserve">e) Así las cosas, no es dudoso que se cumple la primera condición para definir como referendaria una consulta popular ante una convocatoria a la ciudadanía que comprende o puede comprender (basta con esta última posibilidad) al cuerpo electoral o, más precisamente, a los ciudadanos que componen el cuerpo electoral, y que puede ser eventualmente acrecido por la incorporación de los mayores de dieciséis años y menores de dieciocho [la previsión del artículo 3 b) del Reglamento en punto a la participación de extranjeros con residencia legal en Canarias queda subordinada a la prevención, en la propia norma, de que no impida tal cosa la “legislación correspondiente”]. Esta posible convocatoria de los cuerpos electorales canarios, acrecidos quizás del modo dicho, es lo que ahora resulta relevante para nuestro examen, por más que el Reglamento no excluya que el Decreto de convocatoria realice, para el respectivo ámbito territorial, llamamientos más acotados o selectivos, todo lo cual lleva al Abogado del Estado a afirmar que, en este extremo, las “preguntas directas” operarían a partir de lo que llama un “censo flotante” o un “electorado </w:t>
      </w:r>
      <w:r w:rsidRPr="0085709A">
        <w:rPr>
          <w:i/>
        </w:rPr>
        <w:t>ad hoc</w:t>
      </w:r>
      <w:r>
        <w:t>”. Sin perjuicio de la valoración jurídico-constitucional que ello, desde otra perspectiva, pudiera merecer, lo relevante ahora es que los llamados a participar aquí lo son en cuanto ciudadanos (</w:t>
      </w:r>
      <w:r w:rsidRPr="0085709A">
        <w:rPr>
          <w:i/>
        </w:rPr>
        <w:t>uti cives</w:t>
      </w:r>
      <w:r>
        <w:t xml:space="preserve">) que, aunque quizá integrados en un cuerpo electoral </w:t>
      </w:r>
      <w:r w:rsidRPr="0085709A">
        <w:rPr>
          <w:i/>
        </w:rPr>
        <w:t>sui generis</w:t>
      </w:r>
      <w:r>
        <w:t xml:space="preserve">, componen a su vez los distintos cuerpos electorales mediante los que regularmente se articulan, en sus diversas instancias territoriales, las elecciones en el ámbito de Canarias. Así, si la convocatoria se realizara para todo el territorio de la Comunidad Autónoma, o para el de una de las islas o, en fin, para un determinado municipio, estaría siendo convocado según la STC 31/2015, el cuerpo electoral de la Comunidad Autónoma o el de la correspondiente entidad local, aunque acaso no sólo él. Se podría llamar a votar a un singular electorado, al que lo es conforme al Estatuto de Autonomía de Canarias y a la Ley Orgánica del régimen electoral general, desde luego, aunque incrementado —según dispusiera el Decreto de convocatoria— por las incorporaciones personales que este Reglamento dispone, incorporaciones que cabe ahora llamar </w:t>
      </w:r>
      <w:r w:rsidRPr="0085709A">
        <w:rPr>
          <w:i/>
        </w:rPr>
        <w:t>extra ordinem</w:t>
      </w:r>
      <w:r>
        <w:t xml:space="preserve">. Se trataría, en tal caso, de un llamamiento a un cuerpo electoral más amplio que el configurado por la legislación electoral general, pero que no por ello dejaría de ser una verdadera </w:t>
      </w:r>
      <w:r w:rsidRPr="0085709A">
        <w:rPr>
          <w:i/>
        </w:rPr>
        <w:t>appellatio ad populum</w:t>
      </w:r>
      <w:r>
        <w:t xml:space="preserve">. En definitiva, el cuerpo electoral conformado por los artículos 3 b) y 12 del Reglamento abarca, aunque pueda desbordarlo, al conjunto de la ciudadanía de la Comunidad Autónoma de Canarias o del respectivo ente territorial local, cuyos sufragios no exteriorizarían, entonces, meras voluntades particulares o de colectivos determinados, sino una voluntad general </w:t>
      </w:r>
      <w:r w:rsidRPr="0085709A">
        <w:rPr>
          <w:i/>
        </w:rPr>
        <w:t>uti cives</w:t>
      </w:r>
      <w:r>
        <w:t xml:space="preserve"> [ STC 31/2005. FJ 8 a)].</w:t>
      </w:r>
    </w:p>
    <w:p w:rsidR="0085709A" w:rsidRDefault="0085709A" w:rsidP="0085709A">
      <w:pPr>
        <w:pStyle w:val="TextoNormal"/>
      </w:pPr>
    </w:p>
    <w:p w:rsidR="0085709A" w:rsidRDefault="0085709A" w:rsidP="0085709A">
      <w:pPr>
        <w:pStyle w:val="TextoNormal"/>
      </w:pPr>
      <w:r>
        <w:t xml:space="preserve">B) Esta participación se lleva a cabo a través del voto. El “formulario que deba utilizarse para emitir la respuesta” [art. 15.2 f)], afirmativa o negativa, no es, obviamente, sino una papeleta de voto con otro nombre (art. 70 y concordantes LOREG); la “emisión de las respuestas” (art. 18) y su “depósito” (art. 24) son, pura y simplemente, la “votación” (arts. 84 y ss. LOREG) y el “recuento de las respuestas” (art. 25) es, sin más, un “escrutinio” (art. 95 </w:t>
      </w:r>
      <w:r>
        <w:lastRenderedPageBreak/>
        <w:t>y ss. LOREG). No es preciso llevar más lejos el parangón para constatar que la participación ciudadana se realiza aquí mediante la emisión del voto, cuya libertad y secreto, por lo demás, se cuida de proclamar el Reglamento (arts. 21.1 y 24.2).</w:t>
      </w:r>
    </w:p>
    <w:p w:rsidR="0085709A" w:rsidRDefault="0085709A" w:rsidP="0085709A">
      <w:pPr>
        <w:pStyle w:val="TextoNormal"/>
      </w:pPr>
    </w:p>
    <w:p w:rsidR="0085709A" w:rsidRDefault="0085709A" w:rsidP="0085709A">
      <w:pPr>
        <w:pStyle w:val="TextoNormal"/>
      </w:pPr>
      <w:r>
        <w:t>C) Es asimismo patente, en fin, que la disciplina establecida en este extremo por el Reglamento incorpora una determinada Administración electoral, así como concretas garantías, que constituyen también, como dijimos, elementos necesarios para el reconocimiento de la institución referendaria. Lo relevante —como dijo la STC 31/2015— no es que el procedimiento y las garantías difieran de las previstos en la legislación electoral general, sino que comporten un grado de formalización de la opinión de la ciudadanía materialmente electoral [FJ 8 b)]. Se aprecia que un procedimiento de ese género está efectivamente articulado en el Reglamento, en el que se regula, según vimos, el acto de convocatoria (art. 15), la previsión de normas para el “desarrollo y correcta ejecución del proceso de consulta convocado, y específicamente, para la seguridad y recuento de las respuestas” (art. 16.1), la posible “campaña institucional” (art. 17), la “emisión” y “recuento” de las respuestas (arts. 18 a 25), con específica mención a su constancia en acta (art. 25.2) y a la certificación (art. 25.3) y publicación (art. 27) de los resultados de la consulta. Todo ello, unido a la previsión de la participación en el procedimiento, a fin de “velar por la regularidad de la emisión de las opiniones”, de personal al servicio de las Administraciones canarias (art. 20), a la posible designación de “observadores” por la ciudadanía (art. 21.3) y a la creación de una comisión de control para “garantizar la regularidad y transparencia del proceso de consulta” (comisión entre cuyas competencias figuran las de resolver reclamaciones y establecer “criterios interpretativos” y cuyas decisiones son recurribles ante el “órgano convocante”, lo que pondría fin a la vía administrativa: arts. 22 y 26, determina, inequívocamente, que estamos ante un procedimiento y unas garantías que, aunque disparejos a los dispuestos en la Ley Orgánica del régimen electoral general, aspiran a que “el resultado de la consulta sea la fidedigna expresión de la voluntad del cuerpo electoral” [STC 31/2015, FJ 5 a)], cualquiera sea el juicio que, en punto al mayor o menor rigor que muestren, puedan merecer tales prevenciones.</w:t>
      </w:r>
    </w:p>
    <w:p w:rsidR="0085709A" w:rsidRDefault="0085709A" w:rsidP="0085709A">
      <w:pPr>
        <w:pStyle w:val="TextoNormal"/>
      </w:pPr>
    </w:p>
    <w:p w:rsidR="0085709A" w:rsidRDefault="0085709A" w:rsidP="0085709A">
      <w:pPr>
        <w:pStyle w:val="TextoNormal"/>
      </w:pPr>
      <w:r>
        <w:t xml:space="preserve">D) Atendido cuanto antecede, no resulta dudoso que las normas relativas a las consultas mediante “preguntas directas” del capítulo III del Reglamento permitirían convocar inequívocas consultas populares de carácter referendario. Consultas que podrían dirigirse a un cuerpo electoral que —aunque acaso </w:t>
      </w:r>
      <w:r w:rsidRPr="0085709A">
        <w:rPr>
          <w:i/>
        </w:rPr>
        <w:t>sui generis</w:t>
      </w:r>
      <w:r>
        <w:t xml:space="preserve">, según dispusiera el Decreto de convocatoria— comprendería o podría comprender, a voluntad del convocante, el conjunto de los electores ya de la Comunidad Autónoma, ya de cualquiera de las islas, ya, en fin, de uno u otro municipio canario. Serían, junto a ello, consultas articuladas para la emisión del voto ciudadano sobre cuestiones de “interés general” [art. 14.2 b)]. Y estarían ordenadas, en fin, mediante un procedimiento y unas garantías que procuran, con mayor o menor rigor, asegurar que el sufragio se emita con libertad y con preservación de su secreto y que su escrutinio (“recuento”) refleje de modo fidedigno la voluntad general (el “parecer”) del electorado. En nada obsta a tal inequívoca caracterización que la denominación de estas consultas no sea la de “referéndum” o que esta ordenación reglamentaria se separe, manifiestamente, de la regulación establecida al efecto en la Ley Orgánica del régimen electoral general que es la llamada al efecto por la Ley Orgánica 2/1980 (art. 11.1). Menos relevante sería el que la ya citada Ley 5/2010, del Parlamento de Canarias, cuyo artículo 20 se dice desarrollado por el Decreto 95/2014, parezca excluir del ámbito de su regulación, en su disposición adicional quinta, la institución del referéndum. En el capítulo III del Reglamento se permite </w:t>
      </w:r>
      <w:r>
        <w:lastRenderedPageBreak/>
        <w:t>realizar y se regula una consulta popular de carácter sin duda referendario y por ello, de naturaleza enteramente diversa a la de las consultas mediante “sondeos y encuestas de opinión” que el mismo Reglamento prevé en su capítulo II, consultas con las que la representación demandada parece busca emparentar las ahora enjuiciadas, al decir de estas últimas que con ellas se persigue, como en aquéllas, “conocer cuál es la opinión pública”. Pero el llamamiento del pueblo a las urnas por el poder político y la consiguiente manifestación de la voluntad, vinculante o no, de la ciudadanía supone siempre, so pena de incurrir en grave confusión de conceptos, algo más que un mero instrumento de información al servicio de aquel poder.</w:t>
      </w:r>
    </w:p>
    <w:p w:rsidR="0085709A" w:rsidRDefault="0085709A" w:rsidP="0085709A">
      <w:pPr>
        <w:pStyle w:val="TextoNormal"/>
      </w:pPr>
    </w:p>
    <w:p w:rsidR="0085709A" w:rsidRDefault="0085709A" w:rsidP="0085709A">
      <w:pPr>
        <w:pStyle w:val="TextoNormal"/>
      </w:pPr>
      <w:r w:rsidRPr="0085709A">
        <w:rPr>
          <w:rStyle w:val="NumeroAFNegritaCaracter"/>
        </w:rPr>
        <w:t>7</w:t>
      </w:r>
      <w:r>
        <w:t>. Se sigue de lo anterior que, al aprobar el capítulo III del Reglamento controvertido, el Decreto 95/2014, del Gobierno de Canarias, incurrió en manifiesto desconocimiento de las exigencias dimanantes de los arts. 23.1 y 149.1.1 CE, en relación con el art. 81.1 CE (regulación por ley orgánica del derecho fundamental de participación en los asuntos públicos); del art. 92.3 CE (regulación por ley orgánica de las condiciones y procedimientos de las distintas modalidades de referéndum previstas en la Constitución) y del art. 149.1.32 CE, que atribuye al Estado una competencia exclusiva que, según doctrina de este Tribunal, no se limita a la autorización estatal para la convocatoria de consultas populares por vía de referéndum, sino que se extiende a la entera disciplina de esta institución, esto es, a su establecimiento y regulación (SSTC 31/2010, FJ 69; y 31/2015, FJ 9) en los términos que hemos detallado en el fundamento jurídico 4 d) de esta Sentencia y sin perjuicio de las consideraciones que en ese mismo fundamento hicimos sobre las posibles competencias al respecto de la Comunidad Autónoma de Canarias, visto el art. 32.5 de su Estatuto de Autonomía.</w:t>
      </w:r>
    </w:p>
    <w:p w:rsidR="0085709A" w:rsidRDefault="0085709A" w:rsidP="0085709A">
      <w:pPr>
        <w:pStyle w:val="TextoNormal"/>
      </w:pPr>
    </w:p>
    <w:p w:rsidR="0085709A" w:rsidRDefault="0085709A" w:rsidP="0085709A">
      <w:pPr>
        <w:pStyle w:val="TextoNormal"/>
      </w:pPr>
      <w:r>
        <w:t>En las normas de dicho capítulo III se crean y regulan unas modalidades de consulta referendaria que no están, en modo alguno, previstas en las normas estatales a las que remiten los citados preceptos constitucionales; que se pretenden, además, libres de la autorización estatal exigida por el art. 149.1.32 CE; que en nada se acomodan tampoco, por su manifiesta indeterminación, a la definición estricta, por el régimen electoral general, del cuerpo de electores de las distintas instancias territoriales, al que, sin embargo, permiten convocar, y que se separan abiertamente, por lo demás, de ese régimen electoral común y de sus garantías en la ordenación del atípico procedimiento que establecen. Todo ello supone una clara vulneración de lo dispuesto en el art. 32.5 EACan, que somete las competencias atribuidas a la Comunidad Autónoma de Canarias en orden a las consultas populares, a la obligación de respeto a la Constitución y, en general, a las leyes del Estado a las que no se atuvo aquí el Reglamento enjuiciado.</w:t>
      </w:r>
    </w:p>
    <w:p w:rsidR="0085709A" w:rsidRDefault="0085709A" w:rsidP="0085709A">
      <w:pPr>
        <w:pStyle w:val="TextoNormal"/>
      </w:pPr>
    </w:p>
    <w:p w:rsidR="0085709A" w:rsidRDefault="0085709A" w:rsidP="0085709A">
      <w:pPr>
        <w:pStyle w:val="TextoNormal"/>
      </w:pPr>
      <w:r>
        <w:t>Una vez constatada y depurada, en los términos que a continuación diremos, la inconstitucionalidad apreciada, no habrá ya de merecer reproche de este género, sin embargo, el también impugnado artículo 4 del Reglamento (capítulo I), pues la genérica mención que en él se hace a las “preguntas directas” como uno de los instrumentos de consulta a la ciudadanía nada dirá, en sí misma, sobre el régimen jurídico y los destinatarios de tales preguntas, siendo de recordar que la Comunidad Autónoma de Canarias ostenta competencias sobre consultas populares no referendarias e incluso puede llegar a ostentarlas, según disponga la legislación estatal más arriba citada, y en los estrictos términos que también dijimos, sobre determinados aspectos de las que sí tengan tal carácter (art. 32.5 EACan).</w:t>
      </w:r>
    </w:p>
    <w:p w:rsidR="0085709A" w:rsidRDefault="0085709A" w:rsidP="0085709A">
      <w:pPr>
        <w:pStyle w:val="TextoNormal"/>
      </w:pPr>
    </w:p>
    <w:p w:rsidR="0085709A" w:rsidRDefault="0085709A" w:rsidP="0085709A">
      <w:pPr>
        <w:pStyle w:val="TextoNormal"/>
      </w:pPr>
      <w:r>
        <w:lastRenderedPageBreak/>
        <w:t>La apreciada contradicción del bloque de la constitucionalidad por las normas enjuiciadas hace ya innecesario el examen de las demás tachas de inconstitucionalidad expuestas en la demanda.</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En orden al contenido y alcance del fallo a dictar es preciso señalar que la inconstitucionalidad apreciada afecta, de manera inmediata o directa, a todos los preceptos del capítulo III del Reglamento que están expresamente referidos o que aluden a la participación de los ciudadanos, a título individual, en estas consultas mediante “preguntas directas”, pues tales son las normas que permitirían la convocatoria de auténticos referéndums. No ocurre así, según dijimos, para el caso de la intervención, en estas mismas consultas, de las que el Reglamento llama “entidades ciudadanas”, participación ésta que muestra en sí misma, separada de la dirigida a los ciudadanos, la condición de consulta no referendaria, mediante la que no se expresaría nunca la voluntad general de la ciudadanía y que no sería merecedora, como tal, de reproche de inconstitucionalidad. Como consecuencia obligada, nuestro pronunciamiento, sin embargo, ha de extender también a las menciones a estas últimas consultas, (art. 39.1 LOTC, analógicamente aplicable), la declaración de inconstitucionalidad que de manera directa merecen las primeras, por las siguientes razones. En primer lugar, porque como en los enunciados normativos de este capítulo III están definitivamente unidas las referencias a los ciudadanos y a estas “entidades” asociativas, la segregación en dichos enunciados de las previsiones que, relativas a los ciudadanos como tales, hubieran de ser objeto, sólo ellas, de la declaración de inconstitucionalidad que aquí procede, no sólo sería difícil, sino que este Tribunal estaría asumiendo un papel de regulador positivo que no le corresponde. En segundo lugar, porque una vez eliminados los ciudadanos de estas consultas, el parecer de estas entidades expresado mediante el voto podría presentarse como una apariencia de opinión de la ciudadanía (en la que el artículo 3 del Reglamento incluye personas físicas y entidades ciudadanas). Toda vez que el capítulo III lleva por título “preguntas directas” como hemos recordado </w:t>
      </w:r>
      <w:r w:rsidRPr="0085709A">
        <w:rPr>
          <w:i/>
        </w:rPr>
        <w:t>supra</w:t>
      </w:r>
      <w:r>
        <w:t xml:space="preserve"> (FJ 5), sólo a los ciudadanos </w:t>
      </w:r>
      <w:r w:rsidRPr="0085709A">
        <w:rPr>
          <w:i/>
        </w:rPr>
        <w:t>ex</w:t>
      </w:r>
      <w:r>
        <w:t xml:space="preserve"> art. 23.1 CE les corresponde, sin mediatizaciones o sustituciones orgánicas, concurrir a la manifestación, a través del sufragio individual, de la voluntad que, al imputarse por el Ordenamiento a la ciudadanía, merece ser calificada, precisamente, de voluntad general en virtud de lo establecido por el ordenamiento Constitucional.</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1º Estimar parcialmente la impugnación de disposiciones autonómicas (título V LOTC) promovida por el Abogado del Estado en representación del Gobierno de la Nación y, en consecuencia:</w:t>
      </w:r>
    </w:p>
    <w:p w:rsidR="0085709A" w:rsidRDefault="0085709A" w:rsidP="0085709A">
      <w:pPr>
        <w:pStyle w:val="TextoNormal"/>
      </w:pPr>
    </w:p>
    <w:p w:rsidR="0085709A" w:rsidRDefault="0085709A" w:rsidP="0085709A">
      <w:pPr>
        <w:pStyle w:val="TextoNormal"/>
      </w:pPr>
      <w:r>
        <w:t>Declarar la inconstitucionalidad y nulidad de los artículos 9 a 26 del capítulo III del Reglamento de las consultas a la ciudadanía en asuntos de interés general de competencia de la Comunidad Autónoma de Canarias, aprobado por Decreto 95/2014, de 25 de septiembre, del Gobierno de Canarias e incluido como anexo del mismo Decreto.</w:t>
      </w:r>
    </w:p>
    <w:p w:rsidR="0085709A" w:rsidRDefault="0085709A" w:rsidP="0085709A">
      <w:pPr>
        <w:pStyle w:val="TextoNormal"/>
      </w:pPr>
    </w:p>
    <w:p w:rsidR="0085709A" w:rsidRDefault="0085709A" w:rsidP="0085709A">
      <w:pPr>
        <w:pStyle w:val="TextoNormal"/>
      </w:pPr>
      <w:r>
        <w:t>2º Declarar que no ha lugar a pronunciarse sobre la constitucionalidad de artículo 3 del citado Reglamento, al no haber sido el mismo impugnado por el Gobierno de la Nación.</w:t>
      </w:r>
    </w:p>
    <w:p w:rsidR="0085709A" w:rsidRDefault="0085709A" w:rsidP="0085709A">
      <w:pPr>
        <w:pStyle w:val="TextoNormal"/>
      </w:pPr>
    </w:p>
    <w:p w:rsidR="0085709A" w:rsidRDefault="0085709A" w:rsidP="0085709A">
      <w:pPr>
        <w:pStyle w:val="TextoNormal"/>
      </w:pPr>
      <w:r>
        <w:t>3º Desestimar en lo demás la impugnación.</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once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1" w:name="SENTENCIA_2015_138"/>
      <w:r>
        <w:lastRenderedPageBreak/>
        <w:t>SENTENCIA 138/2015, de 11 de junio de 2015</w:t>
      </w:r>
    </w:p>
    <w:bookmarkEnd w:id="141"/>
    <w:p w:rsidR="0085709A" w:rsidRDefault="0085709A" w:rsidP="0085709A">
      <w:pPr>
        <w:pStyle w:val="TtuloResolucin"/>
      </w:pPr>
      <w:r>
        <w:t>Pleno</w:t>
      </w:r>
    </w:p>
    <w:p w:rsidR="0085709A" w:rsidRDefault="0085709A" w:rsidP="0085709A">
      <w:pPr>
        <w:pStyle w:val="TtuloBOE"/>
      </w:pPr>
      <w:r>
        <w:t>(BOE núm. 160, de 6 de julio de 2015)</w:t>
      </w:r>
    </w:p>
    <w:p w:rsidR="0085709A" w:rsidRDefault="0085709A" w:rsidP="0085709A">
      <w:pPr>
        <w:pStyle w:val="TextoNormalCentrado"/>
      </w:pPr>
      <w:r>
        <w:t>ECLI:ES:TC:2015:138</w:t>
      </w:r>
    </w:p>
    <w:p w:rsidR="0085709A" w:rsidRDefault="0085709A" w:rsidP="0085709A">
      <w:pPr>
        <w:pStyle w:val="TextoNormalCentrado"/>
      </w:pPr>
    </w:p>
    <w:p w:rsidR="0085709A" w:rsidRDefault="0085709A" w:rsidP="0085709A">
      <w:pPr>
        <w:pStyle w:val="SntesisDescriptiva"/>
      </w:pPr>
      <w:r>
        <w:t>Impugnación de disposiciones autonómicas 6540-2014. Formulada por el Gobierno de la Nación respecto de las actuaciones de la Generalitat de Cataluña relativas a la convocatoria a los catalanes, las catalanas y las personas residentes en Cataluña para que manifiesten su opinión sobre el futuro político de Cataluña el día 9 de noviembre de 2014.</w:t>
      </w:r>
    </w:p>
    <w:p w:rsidR="0085709A" w:rsidRDefault="0085709A" w:rsidP="0085709A">
      <w:pPr>
        <w:pStyle w:val="SntesisDescriptiva"/>
      </w:pPr>
    </w:p>
    <w:p w:rsidR="0085709A" w:rsidRDefault="0085709A" w:rsidP="0085709A">
      <w:pPr>
        <w:pStyle w:val="SntesisAnaltica"/>
      </w:pPr>
      <w:r>
        <w:t>Competencias sobre consultas referendarias: inconstitucionalidad de las actuaciones de la Generalitat de Cataluña relativas a la convocatoria para que catalanes y residentes en Cataluña manifestaran su opinión sobre el futuro político de Cataluña, contenidas en una página web, así como cualquier otra actuación no formalizada jurídicamente y vinculada a esa consulta.</w:t>
      </w:r>
    </w:p>
    <w:p w:rsidR="0085709A" w:rsidRDefault="0085709A" w:rsidP="0085709A">
      <w:pPr>
        <w:pStyle w:val="SntesisAnaltica"/>
      </w:pPr>
    </w:p>
    <w:p w:rsidR="0085709A" w:rsidRDefault="0085709A" w:rsidP="0085709A">
      <w:pPr>
        <w:pStyle w:val="Extracto"/>
      </w:pPr>
      <w:r>
        <w:t>1.</w:t>
      </w:r>
      <w:r>
        <w:tab/>
        <w:t>Procede declarar que las actuaciones de la Generalitat de Cataluña preparatorias o vinculadas con la consulta convocada para el 9 de noviembre de 2014 son inconstitucionales y viciadas de incompetencia, por no corresponder a la Comunidad Autónoma la convocatoria de consultas que versan sobre cuestiones que afectan al orden constituido y al fundamento mismo del orden constitucional [FJ 4].</w:t>
      </w:r>
    </w:p>
    <w:p w:rsidR="0085709A" w:rsidRDefault="0085709A" w:rsidP="0085709A">
      <w:pPr>
        <w:pStyle w:val="Extracto"/>
      </w:pPr>
    </w:p>
    <w:p w:rsidR="0085709A" w:rsidRDefault="0085709A" w:rsidP="0085709A">
      <w:pPr>
        <w:pStyle w:val="Extracto"/>
      </w:pPr>
      <w:r>
        <w:t>3.</w:t>
      </w:r>
      <w:r>
        <w:tab/>
        <w:t>El ejercicio de la competencia de la Comunidad Autónoma de Cataluña para regular las consultas no referendarias está sujeto a determinados límites: queda fuera de la competencia autonómica formular consultas, aun no referendarias, que incidan sobre sobre cuestiones fundamentales resueltas con el proceso constituyente y que resultan sustraídas a la decisión de los poderes constituidos; y, de otro lado, el objeto de las consultas populares tampoco puede desbordar el ámbito propio de las competencias autonómicas y locales (STC 31/2010) [FJ 3].</w:t>
      </w:r>
    </w:p>
    <w:p w:rsidR="0085709A" w:rsidRDefault="0085709A" w:rsidP="0085709A">
      <w:pPr>
        <w:pStyle w:val="Extracto"/>
      </w:pPr>
    </w:p>
    <w:p w:rsidR="0085709A" w:rsidRDefault="0085709A" w:rsidP="0085709A">
      <w:pPr>
        <w:pStyle w:val="Extracto"/>
      </w:pPr>
      <w:r>
        <w:t>4.</w:t>
      </w:r>
      <w:r>
        <w:tab/>
        <w:t>Una Comunidad Autónoma no puede convocar, ni realizar actuaciones formalizadas o no jurídicamente que auspicien la convocatoria de una consulta popular, aun no referendaria, que desborde el ámbito de las competencias propias, o que incida sobre cuestiones fundamentales resueltas con el proceso constituyente y que resultan sustraídas a la decisión de los poderes constituidos (STC 31/2015) [FJ 3].</w:t>
      </w:r>
    </w:p>
    <w:p w:rsidR="0085709A" w:rsidRDefault="0085709A" w:rsidP="0085709A">
      <w:pPr>
        <w:pStyle w:val="Extracto"/>
      </w:pPr>
    </w:p>
    <w:p w:rsidR="0085709A" w:rsidRDefault="0085709A" w:rsidP="0085709A">
      <w:pPr>
        <w:pStyle w:val="Extracto"/>
      </w:pPr>
      <w:r>
        <w:t>5.</w:t>
      </w:r>
      <w:r>
        <w:tab/>
        <w:t>El parecer de la ciudadanía ha de encauzarse a través de los procedimientos constitucionales de reforma y cabe acudir a cuantas vías sean compatibles con el texto constitucional; y la modificación del fundamento mismo del orden constitucional tiene cabida en nuestro ordenamiento, siempre que no se vulneren los principios democráticos, los derechos fundamentales o el resto de los mandatos constitucionales, y el intento de su consecución efectiva se realice en el marco de los procedimientos de reforma establecidos por la propia Constitución (SSTC 103/2008, 42/2014, 31/2015) [FJ 4].</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 xml:space="preserve">El Pleno del Tribunal, compuesto por don Francisco Pérez de los Cobos Orihuel, Presidente, doña Adela Asua Batarrita, doña Encarnación Roca Trías, don Andrés Ollero Tassara, </w:t>
      </w:r>
      <w:r>
        <w:lastRenderedPageBreak/>
        <w:t>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impugnación de disposiciones autonómicas (Título V de la Ley Orgánica del Tribunal Constitucional) núm. 6540-2014, promovida por el Abogado del Estado, en representación del Gobierno, contra las actuaciones de la Generalitat de Cataluña relativas a la convocatoria a los catalanes, las catalanas y las personas residentes en Cataluña para que manifiesten su opinión sobre el futuro político de Cataluña el día 9 de noviembre de 2014.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día 31 de octubre de 2014 el Abogado del Estado, en representación del Gobierno de la Nación, al amparo de los arts. 161.2 CE y 76 y 77 LOTC, impugnó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http://www.participa2014.cat/es/index.html y los actos y actuaciones de preparación, realizadas o procedentes, para la celebración de dicha consulta, así como cualquier otra actuación no formalizada jurídicamente, vinculada a la referida consulta. En el escrito se hizo expresa invocación del art. 161.2 CE y del segundo inciso del art. 77 LOTC, a los efectos de que se acordase la suspensión de la disposición recurrida.</w:t>
      </w:r>
    </w:p>
    <w:p w:rsidR="0085709A" w:rsidRDefault="0085709A" w:rsidP="0085709A">
      <w:pPr>
        <w:pStyle w:val="TextoNormal"/>
      </w:pPr>
    </w:p>
    <w:p w:rsidR="0085709A" w:rsidRDefault="0085709A" w:rsidP="0085709A">
      <w:pPr>
        <w:pStyle w:val="TextoNormal"/>
      </w:pPr>
      <w:r w:rsidRPr="0085709A">
        <w:rPr>
          <w:rStyle w:val="NumeroAFNegritaCaracter"/>
        </w:rPr>
        <w:t>2</w:t>
      </w:r>
      <w:r>
        <w:t>. El objeto y los motivos de la impugnación se pueden sintetizar de la siguiente forma:</w:t>
      </w:r>
    </w:p>
    <w:p w:rsidR="0085709A" w:rsidRDefault="0085709A" w:rsidP="0085709A">
      <w:pPr>
        <w:pStyle w:val="TextoNormal"/>
      </w:pPr>
    </w:p>
    <w:p w:rsidR="0085709A" w:rsidRDefault="0085709A" w:rsidP="0085709A">
      <w:pPr>
        <w:pStyle w:val="TextoNormal"/>
      </w:pPr>
      <w:r>
        <w:t>a) En los antecedentes de hecho del escrito de impugnación se exponen diversas actuaciones de la Generalitat de Cataluña llevadas a cabo en relación con la convocatoria para el 9 de noviembre de 2014 del denominado “proceso de participación ciudadana”. Según el Abogado del Estado, tales actuaciones consistirían en:</w:t>
      </w:r>
    </w:p>
    <w:p w:rsidR="0085709A" w:rsidRDefault="0085709A" w:rsidP="0085709A">
      <w:pPr>
        <w:pStyle w:val="TextoNormal"/>
      </w:pPr>
    </w:p>
    <w:p w:rsidR="0085709A" w:rsidRDefault="0085709A" w:rsidP="0085709A">
      <w:pPr>
        <w:pStyle w:val="TextoNormal"/>
      </w:pPr>
      <w:r>
        <w:t xml:space="preserve">- Una página web de la Generalitat de Cataluña: www.participa2014.cat. La página web se inicia mediante la afirmación siguiente: “El día 9 de noviembre de 2014, el Gobierno de la Generalitat de Cataluña abre un proceso de participación ciudadana que convoca a los catalanes y las catalanas y a las personas residentes en Cataluña a que manifiesten su opinión sobre el futuro político de Cataluña”. En la propia página web aparece el emblema de la Generalitat de Cataluña y enlaces a la página web de la Generalitat. Además, se contienen </w:t>
      </w:r>
      <w:r>
        <w:lastRenderedPageBreak/>
        <w:t>numerosas indicaciones en relación con la convocatoria prevista para el 9 de noviembre y su celebración: las personas llamadas a participar; el modelo de papeleta en versión bilingüe y trilingüe, con las dos preguntas que se someten a la ciudadanía (“¿Quiere que Cataluña se convierta en un Estado?”; “¿Quiere que este Estado sea independiente?”); los requisitos relativos a la inscripción en el Registro de participantes; la inscripción y los requisitos exigidos a las personas voluntarias para las tareas de coordinación y apoyo el día 9 de noviembre; el procedimiento a seguir, con instrucciones precisas para las personas que van a participar en la dirección de la votación (fecha y horario, los roles y organización del personal voluntario movilizado); información de actualidad del proceso, como la entrega de soporte informático para la producción del material de difusión del proceso participativo a las entidades municipalistas por el Secretario de Comunicación del Gobierno de la Generalitat, o la rueda de prensa de la Vicepresidenta de la Generalitat en la que presenta el dispositivo para la consulta; un periodo de deliberación participativa entre los días 30 de octubre y 8 de noviembre organizado por el Gobierno de la Generalitat; un vídeo institucional sobre la convocatoria; un vídeo con la comparecencia del Presidente de la Generalitat el día 14 de octubre, de cuya comparecencia se aportan amplias transcripciones literales en otro apartado de la web y que comienza con las siguientes palabras: “El Presidente de la Generalitat, Artur Mas, ha reafirmado esta mañana que ‘el Gobierno está decidido a ir adelante y hacer la consulta el 9 de noviembre’ y ha explicado, en una comparecencia informativa desde el Palacio de la Generalitat, que eso significa que ‘habrá locales abiertos, urnas y papeletas’”.</w:t>
      </w:r>
    </w:p>
    <w:p w:rsidR="0085709A" w:rsidRDefault="0085709A" w:rsidP="0085709A">
      <w:pPr>
        <w:pStyle w:val="TextoNormal"/>
      </w:pPr>
    </w:p>
    <w:p w:rsidR="0085709A" w:rsidRDefault="0085709A" w:rsidP="0085709A">
      <w:pPr>
        <w:pStyle w:val="TextoNormal"/>
      </w:pPr>
      <w:r>
        <w:t>- Comunicaciones oficiales dirigidas por la Generalitat —mediante correo electrónico— a distintas entidades jurídico-públicas, como entidades locales o centros educativos, en las que se requiere su colaboración administrativa (en concreto el uso de sus locales) a los efectos de asegurar el buen desarrollo de la convocatoria.</w:t>
      </w:r>
    </w:p>
    <w:p w:rsidR="0085709A" w:rsidRDefault="0085709A" w:rsidP="0085709A">
      <w:pPr>
        <w:pStyle w:val="TextoNormal"/>
      </w:pPr>
    </w:p>
    <w:p w:rsidR="0085709A" w:rsidRDefault="0085709A" w:rsidP="0085709A">
      <w:pPr>
        <w:pStyle w:val="TextoNormal"/>
      </w:pPr>
      <w:r>
        <w:t>- Extracto de prensa que evidencia las decisiones adoptadas por la Generalitat de Cataluña en orden a la convocatoria y la celebración de la consulta.</w:t>
      </w:r>
    </w:p>
    <w:p w:rsidR="0085709A" w:rsidRDefault="0085709A" w:rsidP="0085709A">
      <w:pPr>
        <w:pStyle w:val="TextoNormal"/>
      </w:pPr>
    </w:p>
    <w:p w:rsidR="0085709A" w:rsidRDefault="0085709A" w:rsidP="0085709A">
      <w:pPr>
        <w:pStyle w:val="TextoNormal"/>
      </w:pPr>
      <w:r>
        <w:t>- Publicación en el “Diario Oficial de la Generalitat de Cataluña”, de 16 de octubre de 2014, de un edicto de información pública para la modificación de la Orden de la Generalitat GRI/286/2014, de 19 de septiembre, adicionando un fichero en el que se pueden inscribir voluntariamente los ciudadanos que deseen participar en la consulta.</w:t>
      </w:r>
    </w:p>
    <w:p w:rsidR="0085709A" w:rsidRDefault="0085709A" w:rsidP="0085709A">
      <w:pPr>
        <w:pStyle w:val="TextoNormal"/>
      </w:pPr>
    </w:p>
    <w:p w:rsidR="0085709A" w:rsidRDefault="0085709A" w:rsidP="0085709A">
      <w:pPr>
        <w:pStyle w:val="TextoNormal"/>
      </w:pPr>
      <w:r>
        <w:t>- Requerimiento a todos los medios de comunicación con licencia para emitir en Cataluña, mediante un correo electrónico, para que, con arreglo al art. 82 de la Ley de comunicación audiovisual de Cataluña, emitan gratuitamente y con indicación de su origen las comunicaciones y declaraciones que el Gobierno de la Generalitat considerara convenientes.</w:t>
      </w:r>
    </w:p>
    <w:p w:rsidR="0085709A" w:rsidRDefault="0085709A" w:rsidP="0085709A">
      <w:pPr>
        <w:pStyle w:val="TextoNormal"/>
      </w:pPr>
    </w:p>
    <w:p w:rsidR="0085709A" w:rsidRDefault="0085709A" w:rsidP="0085709A">
      <w:pPr>
        <w:pStyle w:val="TextoNormal"/>
      </w:pPr>
      <w:r>
        <w:t>- Inicio el día 31 de octubre de 2014 de una campaña publicitaria de la celebración de la consulta mediante la inserción de anuncios en medios de comunicación.</w:t>
      </w:r>
    </w:p>
    <w:p w:rsidR="0085709A" w:rsidRDefault="0085709A" w:rsidP="0085709A">
      <w:pPr>
        <w:pStyle w:val="TextoNormal"/>
      </w:pPr>
    </w:p>
    <w:p w:rsidR="0085709A" w:rsidRDefault="0085709A" w:rsidP="0085709A">
      <w:pPr>
        <w:pStyle w:val="TextoNormal"/>
      </w:pPr>
      <w:r>
        <w:t xml:space="preserve">b) Los fundamentos de derecho del escrito de impugnación comienzan con una consideración preliminar sobre el objeto de impugnación. Se señala que “ante la inexistencia de una actuación jurídicamente formalizada de esta convocatoria, inexistencia deliberada en orden a dificultar su fiscalización, el Gobierno impugna el instrumento que ha servido y está sirviendo para su promoción y celebración, fundamentalmente, el contenido de la página web descrita en los antecedentes de hecho, complementada con los actos posteriores ordenados </w:t>
      </w:r>
      <w:r>
        <w:lastRenderedPageBreak/>
        <w:t>a la ejecución de la convocatoria, como el registro de voluntarios, las instrucciones dadas a los voluntarios que aparecen en la página web como ‘funciones del personal voluntario movilizado para el 9N’, las indicaciones de cómo proceder a la votación y los lugares en que puede votarse, tanto en Cataluña como en el extranjero, la campaña informativa, las disposiciones de locales públicos municipales y docentes, la provisión de medios como urnas y papeletas”. Más tarde se señala que el objeto de impugnación son “las actuaciones de la Generalitat de Cataluña relativas a la convocatoria a los catalanes, las catalanas y las personas residentes en Cataluña para que manifiesten su opinión sobre el futuro político de Cataluña el día 9 de noviembre de 2014 (y en los términos expuestos en los días sucesivos) y los actos de preparación, realizadas o procedentes, para la celebración de dicha consulta, así como cualquier otra actuación no formalizada jurídicamente, vinculada a la referida consulta”. Así aparece también en el suplico principal del escrito de impugnación.</w:t>
      </w:r>
    </w:p>
    <w:p w:rsidR="0085709A" w:rsidRDefault="0085709A" w:rsidP="0085709A">
      <w:pPr>
        <w:pStyle w:val="TextoNormal"/>
      </w:pPr>
    </w:p>
    <w:p w:rsidR="0085709A" w:rsidRDefault="0085709A" w:rsidP="0085709A">
      <w:pPr>
        <w:pStyle w:val="TextoNormal"/>
      </w:pPr>
      <w:r>
        <w:t>El escrito argumenta que la convocatoria es directamente imputable a la Generalitat de Cataluña, como resulta del carácter oficial de la página web, del contenido de la misma y de las declaraciones del Presidente de la Generalitat; y que sus actuaciones “tienen efectos jurídicos y trascendencia externa, sin que el hecho de que no conste una convocatoria expresa y formalizada como tal, implique que tal convocatoria no pueda ser considerada con efectos jurídicos”. Y se menciona la valoración de la convocatoria por el Consejo de Estado en su dictamen 1092/2014: se trata de “un acto administrativo imputable a la Comunidad Autónoma de Cataluña”.</w:t>
      </w:r>
    </w:p>
    <w:p w:rsidR="0085709A" w:rsidRDefault="0085709A" w:rsidP="0085709A">
      <w:pPr>
        <w:pStyle w:val="TextoNormal"/>
      </w:pPr>
    </w:p>
    <w:p w:rsidR="0085709A" w:rsidRDefault="0085709A" w:rsidP="0085709A">
      <w:pPr>
        <w:pStyle w:val="TextoNormal"/>
      </w:pPr>
      <w:r>
        <w:t>c) A continuación el escrito realiza diversas consideraciones sobre las acciones procesales posibles frente a las actuaciones descritas. El Abogado del Estado plantea la impugnación de la actuación de la Generalitat de Cataluña anteriormente descrita por medio del proceso constitucional previsto en los arts. 76 y 77 del título V de la LOTC y, subsidiariamente, por medio del conflicto positivo de competencias regulado en los arts. 62 a 67 LOTC.</w:t>
      </w:r>
    </w:p>
    <w:p w:rsidR="0085709A" w:rsidRDefault="0085709A" w:rsidP="0085709A">
      <w:pPr>
        <w:pStyle w:val="TextoNormal"/>
      </w:pPr>
    </w:p>
    <w:p w:rsidR="0085709A" w:rsidRDefault="0085709A" w:rsidP="0085709A">
      <w:pPr>
        <w:pStyle w:val="TextoNormal"/>
      </w:pPr>
      <w:r>
        <w:t>La impugnación se articula de esta manera al entender que la actuación de la Generalitat incurre en vulneraciones constitucionales tanto no competenciales como competenciales, por lo que el cauce constitucional para poder analizar ambos grupos de infracciones respecto de una actuación de esta índole es, a su juicio, el previsto en los arts. 76 y 77 LOTC. No obstante, de forma subsidiaria plantea el conflicto positivo de competencias en el que sólo se pueden plantear vulneraciones constitucionales competenciales, para el caso de que el Tribunal Constitucional considere que tal actuación no es susceptible de impugnación por la vía de los arts. 76 y 77 LOTC.</w:t>
      </w:r>
    </w:p>
    <w:p w:rsidR="0085709A" w:rsidRDefault="0085709A" w:rsidP="0085709A">
      <w:pPr>
        <w:pStyle w:val="TextoNormal"/>
      </w:pPr>
    </w:p>
    <w:p w:rsidR="0085709A" w:rsidRDefault="0085709A" w:rsidP="0085709A">
      <w:pPr>
        <w:pStyle w:val="TextoNormal"/>
      </w:pPr>
      <w:r>
        <w:t>La representación procesal del Gobierno sostiene que la diferencia entre los dos procesos constitucionales mencionados no está en el objeto de la impugnación sino en los motivos que se pueden alegar en uno y otro. Esa interpretación se deduce, a su juicio, del ATC 135/2004, FFJJ 3 y 6. El Abogado del Estado entiende que, en los casos en que los motivos de inconstitucionalidad son mixtos (competenciales y no competenciales), la vía de impugnación es la prevista en el título V LOTC, ya que, en caso contrario, quedaría huérfano de proceso constitucional este tipo de infracciones de naturaleza mixta. De esta interpretación participa también, según el escrito, el Consejo de Estado, como se desprende del dictamen 864/2014 relativo a la impugnación del Decreto 129/2014 del Presidente de la Generalitat y del dictamen 1092/2014, emitido con ocasión de la presente impugnación.</w:t>
      </w:r>
    </w:p>
    <w:p w:rsidR="0085709A" w:rsidRDefault="0085709A" w:rsidP="0085709A">
      <w:pPr>
        <w:pStyle w:val="TextoNormal"/>
      </w:pPr>
    </w:p>
    <w:p w:rsidR="0085709A" w:rsidRDefault="0085709A" w:rsidP="0085709A">
      <w:pPr>
        <w:pStyle w:val="TextoNormal"/>
      </w:pPr>
      <w:r>
        <w:lastRenderedPageBreak/>
        <w:t>Como precedente de la impugnación por la vía del conflicto positivo de competencias y subsidiariamente por el procedimiento del título V, la representación procesal del Gobierno alude a la impugnación de la actividad material que llevó a cabo el Gobierno Vasco de convocatoria de elecciones sindicales en el año 1983 y que dio lugar a la STC 102/1988: el Tribunal admitió el ejercicio subsidiario de las acciones por parte del Gobierno, así como que la actuación era impugnable por ambas vías, si bien, al estimar la vulneración del orden competencial, no entró a tratar la pretensión subsidiaria.</w:t>
      </w:r>
    </w:p>
    <w:p w:rsidR="0085709A" w:rsidRDefault="0085709A" w:rsidP="0085709A">
      <w:pPr>
        <w:pStyle w:val="TextoNormal"/>
      </w:pPr>
    </w:p>
    <w:p w:rsidR="0085709A" w:rsidRDefault="0085709A" w:rsidP="0085709A">
      <w:pPr>
        <w:pStyle w:val="TextoNormal"/>
      </w:pPr>
      <w:r>
        <w:t>El escrito dedica sus siguientes consideraciones a la impugnabilidad de la actuación de la Generalitat de Cataluña. Se señala que la doctrina constitucional, mediante interpretación teleológica, ha dado un alcance muy extenso a las palabras “resolución” y “acto”, cuando ha determinado las actuaciones idóneas para iniciar procesos constitucionales. Así, ha admitido la promoción de un conflicto competencial y a la vez impugnación subsidiaria por la vía del título V contra actuaciones materiales: documentos sin fecha ni firma con normativa para el establecimiento de una representación del personal de la Administración y carta del Consejero de Presidencia dirigida a un representante sindical (STC 102/1988, de 8 de junio).</w:t>
      </w:r>
    </w:p>
    <w:p w:rsidR="0085709A" w:rsidRDefault="0085709A" w:rsidP="0085709A">
      <w:pPr>
        <w:pStyle w:val="TextoNormal"/>
      </w:pPr>
    </w:p>
    <w:p w:rsidR="0085709A" w:rsidRDefault="0085709A" w:rsidP="0085709A">
      <w:pPr>
        <w:pStyle w:val="TextoNormal"/>
      </w:pPr>
      <w:r>
        <w:t>Ello también ha ocurrido en conflictos competenciales contra actuaciones materiales: un comunicado suscrito en Copenhague en nombre de una Consejería autonómica y de la Dirección danesa de medio ambiente (STC 137/1989, de 20 de julio); la realización de análisis de potabilidad de aguas en el enclave cántabro de Villaverde de Trucíos (STC 101/1995, de 22 de junio); manifestaciones del portavoz del Gobierno Vasco recogidas en la página web de la Comunidad Autónoma sobre el abono de la paga extra a los funcionarios vascos (conflicto positivo de competencia núm. 6892-2012 pendiente de resolución). O en conflictos competenciales contra actos de trámite (STC 143/1985, de 24 de octubre), contra circulares e instrucciones internas (STC 57/1983, de 28 de junio) o contra un simple oficio de un director general a otro (STC 220/1992, de 11 de diciembre).</w:t>
      </w:r>
    </w:p>
    <w:p w:rsidR="0085709A" w:rsidRDefault="0085709A" w:rsidP="0085709A">
      <w:pPr>
        <w:pStyle w:val="TextoNormal"/>
      </w:pPr>
    </w:p>
    <w:p w:rsidR="0085709A" w:rsidRDefault="0085709A" w:rsidP="0085709A">
      <w:pPr>
        <w:pStyle w:val="TextoNormal"/>
      </w:pPr>
      <w:r>
        <w:t>Por todo ello, el Abogado del Estado considera que, para trabar el proceso constitucional, “es necesaria cualquier actuación imputable a una Comunidad Autónoma que —con independencia de su naturaleza, forma o grado de eficacia— envuelva una afirmación inequívoca de ejercicio de una competencia propia, lesione la competencia ajena o incurra en un vicio de inconstitucionalidad no competencial”. Se recuerda lo razonado en la STC 102/1988, FJ 3: constituiría “una rigurosidad extrema y formalista de la concepción del conflicto”, “limitarlo a los supuestos de resoluciones, disposiciones y actos administrativos perfectos desde el punto de vista de su validez y eficacia”; tales actos y resoluciones, “aun dentro de su irregularidad, pueden originar una vulneración en el ámbito competencial del recurrente y, por ende, con trascendencia constitucional que legitime la entrada de esta jurisdicción. Negar esto supondría consagrar la inmunidad de las invasiones de competencia por actos o disposiciones defectuosos”.</w:t>
      </w:r>
    </w:p>
    <w:p w:rsidR="0085709A" w:rsidRDefault="0085709A" w:rsidP="0085709A">
      <w:pPr>
        <w:pStyle w:val="TextoNormal"/>
      </w:pPr>
    </w:p>
    <w:p w:rsidR="0085709A" w:rsidRDefault="0085709A" w:rsidP="0085709A">
      <w:pPr>
        <w:pStyle w:val="TextoNormal"/>
      </w:pPr>
      <w:r>
        <w:t>En suma, para el Abogado del Estado la actuación de la Generalitat supone “una originaria actuación administrativa con manifiesta relevancia para su control por el Tribunal Constitucional”, parafraseando lo señalado en la STC 102/1988, FJ 3 (entonces el Tribunal Constitucional consideró que el proceso electoral de representantes sindicales de los funcionarios vascos impugnado era un “hecho concluyente” que acreditaba “</w:t>
      </w:r>
      <w:r w:rsidRPr="0085709A">
        <w:rPr>
          <w:i/>
        </w:rPr>
        <w:t>res ipsa loquitur</w:t>
      </w:r>
      <w:r>
        <w:t xml:space="preserve"> una originaria actuación administrativa ... con relevancia para su control en este proceso constitucional”). En apoyo de su conclusión trae a colación la calificación jurídica del acto </w:t>
      </w:r>
      <w:r>
        <w:lastRenderedPageBreak/>
        <w:t>que realiza el Consejo de Estado desde la perspectiva del derecho administrativo: se trataría de un “acto verbal de convocatoria por parte del Presidente de la Generalitat de Cataluña que se documenta a través de la página web participa2014.cat”.</w:t>
      </w:r>
    </w:p>
    <w:p w:rsidR="0085709A" w:rsidRDefault="0085709A" w:rsidP="0085709A">
      <w:pPr>
        <w:pStyle w:val="TextoNormal"/>
      </w:pPr>
    </w:p>
    <w:p w:rsidR="0085709A" w:rsidRDefault="0085709A" w:rsidP="0085709A">
      <w:pPr>
        <w:pStyle w:val="TextoNormal"/>
      </w:pPr>
      <w:r>
        <w:t>d) Posteriormente, el escrito divide los motivos de impugnación en infracciones constitucionales de carácter sustantivo e infracciones constitucionales de carácter competencial. Siguiendo su sistemática, las tachas de inconstitucionalidad de carácter sustantivo que se reprochan a las actuaciones impugnadas son dos:</w:t>
      </w:r>
    </w:p>
    <w:p w:rsidR="0085709A" w:rsidRDefault="0085709A" w:rsidP="0085709A">
      <w:pPr>
        <w:pStyle w:val="TextoNormal"/>
      </w:pPr>
    </w:p>
    <w:p w:rsidR="0085709A" w:rsidRDefault="0085709A" w:rsidP="0085709A">
      <w:pPr>
        <w:pStyle w:val="TextoNormal"/>
      </w:pPr>
      <w:r>
        <w:t>- Infracción de los arts. 1.2 y 2 CE. Esta tacha de inconstitucionalidad se dirige en particular al objeto de la consulta popular convocada. Los términos de la pregunta presuponen la existencia de una ciudadanía, a la que se interpela y que sería depositaria de la soberanía popular, en suma un sujeto soberano distinto del señalado por el art. 1.2 CE, el cual además se pronunciaría respecto de una cuestión jurídico-política de naturaleza constituyente, la unidad de España.</w:t>
      </w:r>
    </w:p>
    <w:p w:rsidR="0085709A" w:rsidRDefault="0085709A" w:rsidP="0085709A">
      <w:pPr>
        <w:pStyle w:val="TextoNormal"/>
      </w:pPr>
    </w:p>
    <w:p w:rsidR="0085709A" w:rsidRDefault="0085709A" w:rsidP="0085709A">
      <w:pPr>
        <w:pStyle w:val="TextoNormal"/>
      </w:pPr>
      <w:r>
        <w:t>- Infracción del art. 168 CE. La decisión resultante de la consulta popular apuntaría a una decisión constituyente, por una vía que no tiene cabida en el actual marco constitucional y, por tanto, en franca contradicción con el régimen previsto en el art. 168 CE. Conclusión que se apoya en la STC 42/2014, de 25 de marzo, FJ 4, sobre la Declaración soberanista del Parlamento de Cataluña.</w:t>
      </w:r>
    </w:p>
    <w:p w:rsidR="0085709A" w:rsidRDefault="0085709A" w:rsidP="0085709A">
      <w:pPr>
        <w:pStyle w:val="TextoNormal"/>
      </w:pPr>
    </w:p>
    <w:p w:rsidR="0085709A" w:rsidRDefault="0085709A" w:rsidP="0085709A">
      <w:pPr>
        <w:pStyle w:val="TextoNormal"/>
      </w:pPr>
      <w:r>
        <w:t>Las tachas de inconstitucionalidad de carácter competencial que se reprochan a las actuaciones impugnadas son:</w:t>
      </w:r>
    </w:p>
    <w:p w:rsidR="0085709A" w:rsidRDefault="0085709A" w:rsidP="0085709A">
      <w:pPr>
        <w:pStyle w:val="TextoNormal"/>
      </w:pPr>
    </w:p>
    <w:p w:rsidR="0085709A" w:rsidRDefault="0085709A" w:rsidP="0085709A">
      <w:pPr>
        <w:pStyle w:val="TextoNormal"/>
      </w:pPr>
      <w:r>
        <w:t>- Infracción del art. 122 del Estatuto de Autonomía de Cataluña (EAC), en cuanto que la consulta convocada excede del ámbito competencial de la Generalitat de Cataluña.</w:t>
      </w:r>
    </w:p>
    <w:p w:rsidR="0085709A" w:rsidRDefault="0085709A" w:rsidP="0085709A">
      <w:pPr>
        <w:pStyle w:val="TextoNormal"/>
      </w:pPr>
    </w:p>
    <w:p w:rsidR="0085709A" w:rsidRDefault="0085709A" w:rsidP="0085709A">
      <w:pPr>
        <w:pStyle w:val="TextoNormal"/>
      </w:pPr>
      <w:r>
        <w:t>- Infracción de los arts. 23 y 81 CE, en cuanto que la consulta convocada es contraria a la reserva de Ley Orgánica contenida en el art. 81 CE en relación con el art. 23 CE.</w:t>
      </w:r>
    </w:p>
    <w:p w:rsidR="0085709A" w:rsidRDefault="0085709A" w:rsidP="0085709A">
      <w:pPr>
        <w:pStyle w:val="TextoNormal"/>
      </w:pPr>
    </w:p>
    <w:p w:rsidR="0085709A" w:rsidRDefault="0085709A" w:rsidP="0085709A">
      <w:pPr>
        <w:pStyle w:val="TextoNormal"/>
      </w:pPr>
      <w:r>
        <w:t>- Infracción de los arts. 92, 149.1.1, 149.1.18 y 149.1.32 CE. Se destaca el hecho de que en la página web no se aluda a las normas jurídicas en que se fundamente la actuación realizada, más allá de la referencia genérica a las competencias autonómicas en materia de participación ciudadana. Se argumenta que la convocatoria encubre un auténtico referendo y no una mera encuesta o llamada a la participación, pues, por un lado, son las mismas preguntas que las formuladas en el Decreto 129/2014 objeto de impugnación por el Presidente del Gobierno y, por otro, no se ajusta a las características de las formas de participación ciudadana no referendaria previstas en la Ley 10/2014, de 26 de septiembre, de consultas populares no referendarias y otras formas de participación ciudadana, algunos de cuyos preceptos están en la actualidad suspendidos. La consulta, por su contenido, no es una mera consulta administrativa, sino un verdadero proceso de participación de carácter político que afecta, fundamentalmente, al art. 23 CE, en el sentido de la STC 103/2008, de 11 de septiembre, FJ 2. El escrito desarrolla con amplitud la idea de la coincidencia de la regulación de la consulta impugnada con las características propias de un referendo (escrito de impugnación, págs. 32 a 46).</w:t>
      </w:r>
    </w:p>
    <w:p w:rsidR="0085709A" w:rsidRDefault="0085709A" w:rsidP="0085709A">
      <w:pPr>
        <w:pStyle w:val="TextoNormal"/>
      </w:pPr>
    </w:p>
    <w:p w:rsidR="0085709A" w:rsidRDefault="0085709A" w:rsidP="0085709A">
      <w:pPr>
        <w:pStyle w:val="TextoNormal"/>
      </w:pPr>
      <w:r>
        <w:lastRenderedPageBreak/>
        <w:t>Finalmente, el suplico del escrito del Abogado del Estado solicita la anulación de las actuaciones de la Generalitat de Cataluña objeto de impugnación, así como todos los demás actos o resoluciones que se hubieran producido en ejecución de la actuación impugnada y, subsidiariamente, declare que corresponden al Estado las competencias controvertidas y anule las citadas actuaciones de la Generalitat de Cataluña, así como todos los demás actos o resoluciones que se hubieran producido en ejecución de la actuación impugnada.</w:t>
      </w:r>
    </w:p>
    <w:p w:rsidR="0085709A" w:rsidRDefault="0085709A" w:rsidP="0085709A">
      <w:pPr>
        <w:pStyle w:val="TextoNormal"/>
      </w:pPr>
    </w:p>
    <w:p w:rsidR="0085709A" w:rsidRDefault="0085709A" w:rsidP="0085709A">
      <w:pPr>
        <w:pStyle w:val="TextoNormal"/>
      </w:pPr>
      <w:r>
        <w:t>Por otrosí suplica que se declare suspendida la convocatoria impugnada mencionada en el suplico principal y las restantes actuaciones de preparación realizadas o procedentes para la celebración de dicha consulta, así como cualquier actuación, aun no formalizada jurídicamente, vinculada a la referida consulta, desde la fecha de la interposición de esta impugnación, comunicándolo así al Presidente de la Generalitat de Cataluña como “órgano autonómico correspondiente” en tanto que autor de la actuación objeto de este proceso constitucional (arts. 64.1 y 77 LOTC); ordenando publicar la suspensión en los periódicos oficiales autonómico y estatal para que alcance conocimiento y eficacia general respecto a cualesquiera terceros (arts. 64.4 y 77 LOTC), para su debido e inmediato cumplimiento de acuerdo con el art. 87.1 LOTC, según el cual “todos los poderes públicos están obligados al cumplimiento de lo que el Tribunal Constitucional resuelva”, con las responsabilidades a que su infracción pudiera dar lugar.</w:t>
      </w:r>
    </w:p>
    <w:p w:rsidR="0085709A" w:rsidRDefault="0085709A" w:rsidP="0085709A">
      <w:pPr>
        <w:pStyle w:val="TextoNormal"/>
      </w:pPr>
    </w:p>
    <w:p w:rsidR="0085709A" w:rsidRDefault="0085709A" w:rsidP="0085709A">
      <w:pPr>
        <w:pStyle w:val="TextoNormal"/>
      </w:pPr>
      <w:r w:rsidRPr="0085709A">
        <w:rPr>
          <w:rStyle w:val="NumeroAFNegritaCaracter"/>
        </w:rPr>
        <w:t>3</w:t>
      </w:r>
      <w:r>
        <w:t>. El Pleno del Tribunal, por providencia de 4 de noviembre de 2014, acordó la admisión a trámite de la impugnación de disposiciones autonómicas (título V LOTC) y, subsidiariamente, conflicto positivo de competencia, contra las actuaciones de la Generalitat antes mencionadas, y dar traslado de la demanda y documentos presentados al Gobierno de la Generalitat de Cataluña, por conducto de su Presidente, al objeto de que en el plazo de veinte días y, por medio de la representación procesal que determina el art. 82.2 LOTC, aportara cuantos documentos y alegaciones considerara convenientes. Asimismo se acordó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 Finalmente, se ordenó publicar la incoación de la impugnación en el “Boletín Oficial del Estado” y en el “Diari Oficial de la Generalitat de Catalunya”.</w:t>
      </w:r>
    </w:p>
    <w:p w:rsidR="0085709A" w:rsidRDefault="0085709A" w:rsidP="0085709A">
      <w:pPr>
        <w:pStyle w:val="TextoNormal"/>
      </w:pPr>
    </w:p>
    <w:p w:rsidR="0085709A" w:rsidRDefault="0085709A" w:rsidP="0085709A">
      <w:pPr>
        <w:pStyle w:val="TextoNormal"/>
      </w:pPr>
      <w:r w:rsidRPr="0085709A">
        <w:rPr>
          <w:rStyle w:val="NumeroAFNegritaCaracter"/>
        </w:rPr>
        <w:t>4</w:t>
      </w:r>
      <w:r>
        <w:t>. Con fecha de 7 de noviembre de 2014 tuvo entrada en el Registro de este Tribunal un escrito de los Abogados de la Generalitat de Cataluña, en representación y defensa de su Gobierno, por el que se personan en la impugnación del título V de la LOTC núm. 6540-2014 y, subsidiariamente, conflicto positivo de competencia, solicitan la suspensión del plazo de veinte días concedido para formular alegaciones y plantean un recurso de súplica contra la providencia de 4 de noviembre de 2014, a fin de que se deje sin efecto dicha providencia, se inadmita la impugnación y no se produzca el concatenado efecto suspensivo.</w:t>
      </w:r>
    </w:p>
    <w:p w:rsidR="0085709A" w:rsidRDefault="0085709A" w:rsidP="0085709A">
      <w:pPr>
        <w:pStyle w:val="TextoNormal"/>
      </w:pPr>
    </w:p>
    <w:p w:rsidR="0085709A" w:rsidRDefault="0085709A" w:rsidP="0085709A">
      <w:pPr>
        <w:pStyle w:val="TextoNormal"/>
      </w:pPr>
      <w:r>
        <w:t xml:space="preserve">Mediante </w:t>
      </w:r>
      <w:r w:rsidRPr="0085709A">
        <w:rPr>
          <w:i/>
        </w:rPr>
        <w:t>otrosí</w:t>
      </w:r>
      <w:r>
        <w:t>, con carácter subsidiario de la petición anterior y para el caso de que no fuera estimada, solicitan la aclaración del apartado 3 de la providencia de 4 de noviembre de 2014, en cuanto al alcance y sentido del acuerdo adoptado por el Tribunal Constitucional en ese punto, con arreglo a los arts. 93 LOTC y 267 LOPJ.</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5</w:t>
      </w:r>
      <w:r>
        <w:t>. Con fecha de 11 de noviembre de 2014 entró en este Tribunal un nuevo escrito de los Abogados de la Generalitat de Cataluña en el que a título complementario de las consideraciones efectuadas en el recurso de súplica planteado contra la Providencia del Pleno del Tribunal Constitucional, de fecha 4 de noviembre de 2014, aporta constancia de las manifestaciones hechas por el Presidente del Gobierno y el Ministro de Justicia respecto de la naturaleza del proceso de participación ciudadana celebrado el día 9 de noviembre de 2014 en Cataluña.</w:t>
      </w:r>
    </w:p>
    <w:p w:rsidR="0085709A" w:rsidRDefault="0085709A" w:rsidP="0085709A">
      <w:pPr>
        <w:pStyle w:val="TextoNormal"/>
      </w:pPr>
    </w:p>
    <w:p w:rsidR="0085709A" w:rsidRDefault="0085709A" w:rsidP="0085709A">
      <w:pPr>
        <w:pStyle w:val="TextoNormal"/>
      </w:pPr>
      <w:r w:rsidRPr="0085709A">
        <w:rPr>
          <w:rStyle w:val="NumeroAFNegritaCaracter"/>
        </w:rPr>
        <w:t>6</w:t>
      </w:r>
      <w:r>
        <w:t>. Por providencia de 18 de noviembre de 2014, el Pleno acordó unir a las actuaciones los escritos de 7 y 11 de noviembre de 2014 de los Abogados de la Generalitat de Cataluña, interponiendo recurso de súplica contra la anterior providencia de 4 de noviembre de 2014, y trasladar copia de los mismos al Abogado del Estado, concediéndole un plazo de tres días para que formule las alegaciones que estimara oportunas.</w:t>
      </w:r>
    </w:p>
    <w:p w:rsidR="0085709A" w:rsidRDefault="0085709A" w:rsidP="0085709A">
      <w:pPr>
        <w:pStyle w:val="TextoNormal"/>
      </w:pPr>
    </w:p>
    <w:p w:rsidR="0085709A" w:rsidRDefault="0085709A" w:rsidP="0085709A">
      <w:pPr>
        <w:pStyle w:val="TextoNormal"/>
      </w:pPr>
      <w:r w:rsidRPr="0085709A">
        <w:rPr>
          <w:rStyle w:val="NumeroAFNegritaCaracter"/>
        </w:rPr>
        <w:t>7</w:t>
      </w:r>
      <w:r>
        <w:t>. Con fecha de 24 de noviembre de 2014 entró en el Registro de este Tribunal el escrito del Abogado del Estado, evacuando el trámite de alegaciones conferido por providencia de 18 de noviembre de 2014. En dicho escrito se postulaba la pérdida de objeto del recurso de súplica, toda vez que resultaba notorio que la Generalitat ya había llevado a cabo la actuación impugnada; se señalaba que el art. 77 LOTC no prevé un trámite específico de inadmisión del recurso interpuesto por esa vía, ni atribuye al Tribunal Constitucional facultades para examinar en este trámite cuestiones de fondo; y se defiende la idoneidad de la impugnación realizada por la vía del título V de la Ley Orgánica del Tribunal Constitucional.</w:t>
      </w:r>
    </w:p>
    <w:p w:rsidR="0085709A" w:rsidRDefault="0085709A" w:rsidP="0085709A">
      <w:pPr>
        <w:pStyle w:val="TextoNormal"/>
      </w:pPr>
    </w:p>
    <w:p w:rsidR="0085709A" w:rsidRDefault="0085709A" w:rsidP="0085709A">
      <w:pPr>
        <w:pStyle w:val="TextoNormal"/>
      </w:pPr>
      <w:r w:rsidRPr="0085709A">
        <w:rPr>
          <w:rStyle w:val="NumeroAFNegritaCaracter"/>
        </w:rPr>
        <w:t>8</w:t>
      </w:r>
      <w:r>
        <w:t>. Por Auto de 2 de diciembre de 2014 este Tribunal acordó inadmitir por extemporáneo el escrito de recurso presentado por el Gobierno de la Generalitat de Cataluña el 11 de noviembre de 2014, y desestimar el recurso de súplica interpuesto por el Gobierno de la Generalitat de Cataluña contra la providencia de 4 de noviembre de 2013 del Pleno de este Tribunal, en la que se acuerda admitir a trámite la impugnación de disposiciones autonómicas (título V de la Ley Orgánica del Tribunal Constitucional) y, subsidiariamente,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es decir, aquellas contenidas en la página web http://www.participa2014.cat/es/index.html y los actos y actuaciones de preparación, realizadas o procedentes, para la celebración de dicha consulta, así como cualquier otra actuación no formalizada jurídicamente, vinculada a la referida consulta.</w:t>
      </w:r>
    </w:p>
    <w:p w:rsidR="0085709A" w:rsidRDefault="0085709A" w:rsidP="0085709A">
      <w:pPr>
        <w:pStyle w:val="TextoNormal"/>
      </w:pPr>
    </w:p>
    <w:p w:rsidR="0085709A" w:rsidRDefault="0085709A" w:rsidP="0085709A">
      <w:pPr>
        <w:pStyle w:val="TextoNormal"/>
      </w:pPr>
      <w:r w:rsidRPr="0085709A">
        <w:rPr>
          <w:rStyle w:val="NumeroAFNegritaCaracter"/>
        </w:rPr>
        <w:t>9</w:t>
      </w:r>
      <w:r>
        <w:t xml:space="preserve">. Mediante escrito registrado el día 2 de diciembre de 2014 los Abogados de la Generalitat de Cataluña formularon alegaciones de acuerdo con lo dispuesto en el punto 2 de la providencia de 4 de noviembre de 2014, próximo a finalizar el plazo de veinte días otorgado, para que la callada espera a que el Tribunal contestara al escrito de personación, recurso de súplica y aclaración presentado el 7 de noviembre de 2014, no se interpretase como renuncia al derecho de defensa que le asiste. La parte manifestó que esperaba que el Tribunal acabase aceptando el recurso de súplica e inadmitiera la impugnación; y, de no ser así, que le fuera otorgado nuevo plazo para formular las alegaciones definitivas, como en su día solicitó. Con independencia de lo anterior, considera que las alegaciones que efectuaban eran un tanto </w:t>
      </w:r>
      <w:r>
        <w:lastRenderedPageBreak/>
        <w:t>superfluas en un doble sentido: por un lado, porque las actuaciones de la Generalitat relativas a la convocatoria del 9 de noviembre habían quedado suspendidas como consecuencia de la impugnación; por otro lado, porque la jornada cívica del 9 de noviembre había transcurrido ya pacíficamente, lo que había cambiado el objeto de la impugnación, que no era ya algo futuro, sino algo pasado, y lo que había sucedido en Cataluña no coincidía ya con el objeto que se pretendía en una impugnación basada, fundamentalmente, en prejuicios sobre las intenciones del Gobierno de la Generalitat. En suma, ante el cambio de contexto producido el escrito de alegaciones venía a contestar de forma provisional a la demanda formulada y completar las consideraciones manifestadas en el recurso de súplica presentado contra la providencia de 4 de noviembre de 2014.</w:t>
      </w:r>
    </w:p>
    <w:p w:rsidR="0085709A" w:rsidRDefault="0085709A" w:rsidP="0085709A">
      <w:pPr>
        <w:pStyle w:val="TextoNormal"/>
      </w:pPr>
    </w:p>
    <w:p w:rsidR="0085709A" w:rsidRDefault="0085709A" w:rsidP="0085709A">
      <w:pPr>
        <w:pStyle w:val="TextoNormal"/>
      </w:pPr>
      <w:r>
        <w:t>a) La primera de las alegaciones argumenta que el 9 de noviembre de 2014 no se iba a celebrar, ni se celebró, un referéndum en Cataluña. La representación procesal del Gobierno de la Generalitat rechaza que la consulta de 9 de noviembre fuera un referéndum encubierto y reitera los argumentos contra dicha calificación que obran en los escritos anteriores. Se aduce que el Gobierno de la Generalitat había acatado las providencias de 29 de septiembre de 2014 que determinaron la suspensión de los preceptos impugnados de la Ley 10/2014, de 26 de septiembre, de consultas populares no referendarias y otras formas de participación ciudadana y de la celebración de la consulta popular convocada mediante el Decreto 129/2014, de 27 de septiembre, para el día 9 de noviembre de 2014, respetivamente. Sin embargo, el hecho de que el Gobierno de la Generalitat hubiera respetado la suspensión de la consulta popular no referendaria no ocultaba la notable frustración generada en la ciudadanía, que reclamaba a los poderes públicos poder pronunciarse sobre el encaje entre Cataluña y España, algo que, según la STC 42/2014, constituye una legítima aspiración política. Por ello, de acuerdo con el mandato constitucional y estatutario de facilitar la participación de los ciudadanos en la vida política, económica, cultural y social (arts. 9.2 CE y 4.2 EAC), se optó por encauzar la expresión de la ciudadanía a través de un nuevo proceso de participación, de distinta naturaleza y efectos al de las consultas populares no referendarias y netamente distinto también de los referéndums. En consecuencia, se considera desproporcionado, excesivo, contrario a las reglas de la buena fe procesal y, en definitiva, abusivo, acudir a la impugnación en sede constitucional de unas actuaciones que no pueden equipararse a fórmulas de democracia directa de carácter referendario: si se hizo así, fue con el exclusivo fin de beneficiarse en el terreno político del privilegio de la suspensión directa del art. 161.2 CE.</w:t>
      </w:r>
    </w:p>
    <w:p w:rsidR="0085709A" w:rsidRDefault="0085709A" w:rsidP="0085709A">
      <w:pPr>
        <w:pStyle w:val="TextoNormal"/>
      </w:pPr>
    </w:p>
    <w:p w:rsidR="0085709A" w:rsidRDefault="0085709A" w:rsidP="0085709A">
      <w:pPr>
        <w:pStyle w:val="TextoNormal"/>
      </w:pPr>
      <w:r>
        <w:t>La representación procesal del Gobierno de la Generalitat considera que, si el Tribunal Constitucional afirma que “en nuestro ordenamiento constitucional tienen cabida cuantas ideas quieran defenderse” y que “no existe un núcleo normativo inaccesible a los procedimientos de reforma constitucional” [STC 42/2014, FJ 4 c), con cita de la STC 31/2009, FJ 13], habrá de aceptarse que los ciudadanos puedan expresar aspiraciones políticas incluso contrarias a la Constitución y la voluntad de poner en marcha los procedimientos precisos para su reforma, y que la Administración Pública no puede negarles la posibilidad de transitar por cauces normales que habiliten su expresión y, es más, debe atender las peticiones que al respecto le formule su Parlamento.</w:t>
      </w:r>
    </w:p>
    <w:p w:rsidR="0085709A" w:rsidRDefault="0085709A" w:rsidP="0085709A">
      <w:pPr>
        <w:pStyle w:val="TextoNormal"/>
      </w:pPr>
    </w:p>
    <w:p w:rsidR="0085709A" w:rsidRDefault="0085709A" w:rsidP="0085709A">
      <w:pPr>
        <w:pStyle w:val="TextoNormal"/>
      </w:pPr>
      <w:r>
        <w:t xml:space="preserve">Tras enumerar las distintas iniciativas desarrolladas al respecto (la propuesta de delegación a la Generalitat de la competencia para autorizar, convocar y celebrar un referéndum, rechazada por el Congreso de los Diputados el 11 de abril de 2014; la aprobación de un </w:t>
      </w:r>
      <w:r>
        <w:lastRenderedPageBreak/>
        <w:t>nuevo marco para las consultas no referendarias, mediante la Ley 10/2014, objeto del recurso de inconstitucionalidad núm. 5829-2014, cuya eficacia está suspendida; la convocatoria de la consulta popular no referendaria mediante el Decreto 129/2014, impugnada mediante el procedimiento del título V de la LOTC con el número 5830-2014, y que se encuentra también suspendido; y la promoción de un nuevo proceso de participación ciudadana, objeto de la impugnación sobre la que versan las presentes alegaciones), se argumenta que cada uno de esos procedimientos tiene un régimen jurídico distinto y un objeto propio y específico: por ello, el conjunto de actuaciones adoptadas por la Generalitat para la promoción de un nuevo proceso de participación ciudadana no constituye un nuevo intento de celebrar un referéndum sobre el futuro político, equivalente pero con menos garantías al “referéndum encubierto” que según el Gobierno estatal se convocó mediante el Decreto 129/2014, sino una modalidad participativa singular que da cauce a las voluntades colectivas de ejercicio de los derechos a la libertad ideológica y a la libertad de expresión (arts. 16 y 20 CE) y que encuentra pleno acomodo constitucional pues el Tribunal Constitucional ha declarado que “el referéndum es sólo una especie del género más amplio de consultas populares” (STC 31/2010, FJ 69).</w:t>
      </w:r>
    </w:p>
    <w:p w:rsidR="0085709A" w:rsidRDefault="0085709A" w:rsidP="0085709A">
      <w:pPr>
        <w:pStyle w:val="TextoNormal"/>
      </w:pPr>
    </w:p>
    <w:p w:rsidR="0085709A" w:rsidRDefault="0085709A" w:rsidP="0085709A">
      <w:pPr>
        <w:pStyle w:val="TextoNormal"/>
      </w:pPr>
      <w:r>
        <w:t>En suma, se trata de regulaciones diferenciadas y plenamente justificadas por la distinta funcionalidad, procedimiento y efectos que cabe atribuir a cada uno de ellos, distinguiéndose los referéndums de las consultas populares no referendarias y éstas de las otras formas de participación ciudadana. El proceso de participación promovido para el 9 de noviembre no responde a la definición de referéndum que se desprende de las SSTC 103/2008 y 31/2010 (“parecer del cuerpo electoral conformado y exteriorizado a través de un procedimiento electoral, esto es, basado en el censo, gestionado por la Administración electoral y asegurado con garantías jurisdiccionales específicas”). La realidad de lo sucedido así lo ha demostrado: ninguno de los participantes, ni la opinión pública, ni el propio Gobierno del Estado, ha manifestado haber asistido, presenciado o soportado, respectivamente, un referéndum. El mismo Presidente del Gobierno declaró la víspera de la consulta que el proceso participativo no era un referéndum ni tampoco una consulta no referendaria, lo que fue recogido al día siguiente por diversos medios de comunicación (</w:t>
      </w:r>
      <w:r w:rsidRPr="0085709A">
        <w:rPr>
          <w:i/>
        </w:rPr>
        <w:t>La Vanguardia, El Mundo</w:t>
      </w:r>
      <w:r>
        <w:t xml:space="preserve"> y </w:t>
      </w:r>
      <w:r w:rsidRPr="0085709A">
        <w:rPr>
          <w:i/>
        </w:rPr>
        <w:t>El País</w:t>
      </w:r>
      <w:r>
        <w:t>).</w:t>
      </w:r>
    </w:p>
    <w:p w:rsidR="0085709A" w:rsidRDefault="0085709A" w:rsidP="0085709A">
      <w:pPr>
        <w:pStyle w:val="TextoNormal"/>
      </w:pPr>
    </w:p>
    <w:p w:rsidR="0085709A" w:rsidRDefault="0085709A" w:rsidP="0085709A">
      <w:pPr>
        <w:pStyle w:val="TextoNormal"/>
      </w:pPr>
      <w:r>
        <w:t>En suma, el proceso de participación ciudadana del 9 de noviembre, además de responder a una naturaleza distinta de aquella que se le atribuyó al impugnarlo, no ha seguido el procedimiento electoral, ni se ha revestido de las garantías de los procesos electorales, ni ha tenido ni pretendía tener efectos jurídicos. En consecuencia, de una parte, no se le puede equiparar a un referéndum, no se le pueden atribuir ni las características ni las consecuencias jurídicas y políticas propias; y, de otra, no se le pueden imputar las infracciones constitucionales que le atribuye la impugnación planteada, como si de un referéndum se tratara.</w:t>
      </w:r>
    </w:p>
    <w:p w:rsidR="0085709A" w:rsidRDefault="0085709A" w:rsidP="0085709A">
      <w:pPr>
        <w:pStyle w:val="TextoNormal"/>
      </w:pPr>
    </w:p>
    <w:p w:rsidR="0085709A" w:rsidRDefault="0085709A" w:rsidP="0085709A">
      <w:pPr>
        <w:pStyle w:val="TextoNormal"/>
      </w:pPr>
      <w:r>
        <w:t xml:space="preserve">b) Con relación a las infracciones constitucionales de carácter sustantivo (arts. 1.2, 2 y 168 CE), el escrito señala que el reproche de inconstitucionalidad nace y encuentra su único sustento en la confusión sobre el proceso participativo del 9 de noviembre, al entender la invitación a que los ciudadanos “manifiesten su opinión sobre el futuro político de Cataluña” como una consulta referendaria dirigida a solo una parte del pueblo español. Frente al entendimiento que centra los problemas de constitucionalidad en el objeto de la consulta, en la pregunta, la representación procesal del Gobierno de la Generalitat considera que la calificación jurídica de la pregunta, su valor, sentido y efectos depende esencialmente del </w:t>
      </w:r>
      <w:r>
        <w:lastRenderedPageBreak/>
        <w:t>contexto en que se formula: una misma pregunta puede adquirir un significado distinto según sea el contexto en que se formula y se responde. Por otro lado, al no estar el proceso participativo conectado con una eventual modificación del texto constitucional, es obvio que en nada perturba la aplicación, en su momento y si así se decidiera, del procedimiento para la reforma de la Constitución configurado en su art. 168.</w:t>
      </w:r>
    </w:p>
    <w:p w:rsidR="0085709A" w:rsidRDefault="0085709A" w:rsidP="0085709A">
      <w:pPr>
        <w:pStyle w:val="TextoNormal"/>
      </w:pPr>
    </w:p>
    <w:p w:rsidR="0085709A" w:rsidRDefault="0085709A" w:rsidP="0085709A">
      <w:pPr>
        <w:pStyle w:val="TextoNormal"/>
      </w:pPr>
      <w:r>
        <w:t>c) Por lo que se refiere a las infracciones del orden competencial que fundamentan subsidiariamente la impugnación (arts. 23, 81, 92, 149.1.1, 149.1.18 y 149.1.32 CE y 122 EAC), la representación procesal del Gobierno de la Generalitat señala que están única y directamente relacionadas con el carácter pretendidamente referendario que se atribuye al proceso participativo del 9 de noviembre. Así pues, una vez aclarado mediante las alegaciones precedentes que las actuaciones de la Generalitat auspiciando la realización de un proceso participativo el 9 de noviembre no se orientaban en modo alguno a preparar la celebración de un referéndum en dicha fecha, ni tampoco a la realización encubierta de la consulta no referendaria convocada mediante el Decreto 129/2004 que había sido suspendida, carecen de sentido las abundantes páginas de la demanda dedicadas a exponer los elementos propios de las consultas referendarias y sus principales características, como son: la convocatoria de la consulta, su objeto o pregunta, el llamamiento al cuerpo electoral, el procedimiento electoral con sus trámites correspondientes, el censo electoral, la organización administrativa que vela por el correcto desenvolvimiento del proceso electoral y lo dota de garantías jurídicas, y, por último, el establecimiento de un sistema de garantías jurisdiccionales específicas. El escrito señala que, como se admite en la demanda, no todos estos elementos se encuentran presentes en el supuesto previsto para el 9 de noviembre y algunos de ellos, pese a figurar, lo hacen de una manera parcial y desdibujada: ello es así porque no se está ante un referéndum y, de hecho, después de la consulta nadie ha sostenido que se hubiera llevado a cabo un referéndum.</w:t>
      </w:r>
    </w:p>
    <w:p w:rsidR="0085709A" w:rsidRDefault="0085709A" w:rsidP="0085709A">
      <w:pPr>
        <w:pStyle w:val="TextoNormal"/>
      </w:pPr>
    </w:p>
    <w:p w:rsidR="0085709A" w:rsidRDefault="0085709A" w:rsidP="0085709A">
      <w:pPr>
        <w:pStyle w:val="TextoNormal"/>
      </w:pPr>
      <w:r>
        <w:t>En concreto se aducen a este respecto los siguientes aspectos: en primer lugar, que no se produjo un acto expreso y público de convocatoria por la autoridad pública de la Generalitat; en segundo lugar, que el tenor de una pregunta, sea la que sea, no basta para que su formulación convierta la actuación en la que se inserta en un referéndum: la misma pregunta se podría formular en una encuesta oficial, en una de las modalidades de consulta no referendaria, en un foro o en cualquier otro mecanismo de participación, y no por ello serían referéndums; en tercer lugar, la naturaleza del proceso participativo del 9 de noviembre, el cual, a diferencia de la consulta no referendaria convocada por el Decreto 129/2014, obligaba a recoger y contabilizar todas las opiniones de los ciudadanos, incluidas las que fueran más allá de las respuestas a las preguntas formuladas; en cuarto lugar, que los llamados a votar no coincidían con el cuerpo electoral de Cataluña, de forma que, al incluir la franja de edad de 16 a 18 años y la participación de extranjeros residentes, el resultado de la votación nunca podría equipararse al de un referéndum; en quinto lugar, que la organización y buen orden de la jornada corría a cargo de voluntarios, no de la Administración; y, en sexto y último lugar, la carencia de un sistema de garantías jurisdiccionales específicas, al no tratarse de un referéndum.</w:t>
      </w:r>
    </w:p>
    <w:p w:rsidR="0085709A" w:rsidRDefault="0085709A" w:rsidP="0085709A">
      <w:pPr>
        <w:pStyle w:val="TextoNormal"/>
      </w:pPr>
    </w:p>
    <w:p w:rsidR="0085709A" w:rsidRDefault="0085709A" w:rsidP="0085709A">
      <w:pPr>
        <w:pStyle w:val="TextoNormal"/>
      </w:pPr>
      <w:r>
        <w:t xml:space="preserve">En resumen, al proceso participativo previsto para el 9 de noviembre no se le pueden atribuir ni las características ni las consecuencias jurídicas y políticas propias de los referéndums, por lo que las actuaciones de la Generalitat auspiciando la celebración de dicho </w:t>
      </w:r>
      <w:r>
        <w:lastRenderedPageBreak/>
        <w:t>acto se amparan correctamente en los mandatos y competencias que el Estatuto de Autonomía de Cataluña le atribuye para fomentar la participación y no resultan contrarias al orden constitucional. Además, el carácter esencialmente político de las citadas actuaciones hace que las mismas carezcan de la relevancia constitucional suficiente para su impugnación y enjuiciamiento por la vía a que se refiere el título V de la LOTC.</w:t>
      </w:r>
    </w:p>
    <w:p w:rsidR="0085709A" w:rsidRDefault="0085709A" w:rsidP="0085709A">
      <w:pPr>
        <w:pStyle w:val="TextoNormal"/>
      </w:pPr>
    </w:p>
    <w:p w:rsidR="0085709A" w:rsidRDefault="0085709A" w:rsidP="0085709A">
      <w:pPr>
        <w:pStyle w:val="TextoNormal"/>
      </w:pPr>
      <w:r>
        <w:t>Por todo ello, los Abogados de la Generalitat de Cataluña solicitan que se tenga por presentado y se admita su escrito de alegaciones y que, previos los trámites oportunos, se dicte sentencia en la que se acuerde la inadmisión de la presente impugnación por la vía del título V de la LOTC y, subsidiariamente, conflicto positivo de competencia, o, en su caso, su desestimación.</w:t>
      </w:r>
    </w:p>
    <w:p w:rsidR="0085709A" w:rsidRDefault="0085709A" w:rsidP="0085709A">
      <w:pPr>
        <w:pStyle w:val="TextoNormal"/>
      </w:pPr>
    </w:p>
    <w:p w:rsidR="0085709A" w:rsidRDefault="0085709A" w:rsidP="0085709A">
      <w:pPr>
        <w:pStyle w:val="TextoNormal"/>
      </w:pPr>
      <w:r w:rsidRPr="0085709A">
        <w:rPr>
          <w:rStyle w:val="NumeroAFNegritaCaracter"/>
        </w:rPr>
        <w:t>10</w:t>
      </w:r>
      <w:r>
        <w:t>. El Pleno del Tribunal, por providencia de 2 de diciembre de 2014, acordó, conforme a lo interesado por la representación procesal del Gobierno de la Generalitat de Cataluña, concederle un nuevo plazo de veinte días, para que formule las alegaciones que estime convenientes.</w:t>
      </w:r>
    </w:p>
    <w:p w:rsidR="0085709A" w:rsidRDefault="0085709A" w:rsidP="0085709A">
      <w:pPr>
        <w:pStyle w:val="TextoNormal"/>
      </w:pPr>
    </w:p>
    <w:p w:rsidR="0085709A" w:rsidRDefault="0085709A" w:rsidP="0085709A">
      <w:pPr>
        <w:pStyle w:val="TextoNormal"/>
      </w:pPr>
      <w:r w:rsidRPr="0085709A">
        <w:rPr>
          <w:rStyle w:val="NumeroAFNegritaCaracter"/>
        </w:rPr>
        <w:t>11</w:t>
      </w:r>
      <w:r>
        <w:t>. El día 30 de diciembre de 2014 los Abogados de la Generalitat de Cataluña evacuaron el trámite de alegaciones conferido por la providencia de 2 de diciembre de 2014. Señalan que en la misma fecha en la que se dictó la providencia de 2 de diciembre, esa parte había presentado en el registro del Tribunal un escrito de alegaciones en contestación a la demanda formulada por el Abogado del Estado, si bien con carácter provisional, puesto que el Tribunal aún no se había pronunciado sobre el recurso de súplica e inadmisión de la impugnación presentada el 31 de octubre. Una vez dictada el 2 de diciembre de 2014 la resolución desestimatoria del recurso de súplica, notificada el siguiente día 10, y no habiéndose alterado la situación procesal de origen, esa parte consideró que procedió elevar a definitivas las alegaciones contenidas en el escrito presentado el 2 de diciembre de 2014, remitiéndose a lo que en ellas se manifestó y dándolas por reproducidas.</w:t>
      </w:r>
    </w:p>
    <w:p w:rsidR="0085709A" w:rsidRDefault="0085709A" w:rsidP="0085709A">
      <w:pPr>
        <w:pStyle w:val="TextoNormal"/>
      </w:pPr>
    </w:p>
    <w:p w:rsidR="0085709A" w:rsidRDefault="0085709A" w:rsidP="0085709A">
      <w:pPr>
        <w:pStyle w:val="TextoNormal"/>
      </w:pPr>
      <w:r w:rsidRPr="0085709A">
        <w:rPr>
          <w:rStyle w:val="NumeroAFNegritaCaracter"/>
        </w:rPr>
        <w:t>12</w:t>
      </w:r>
      <w:r>
        <w:t>. Por providencia de 20 de enero de 2015, el Pleno del Tribunal Constitucional acordó que, próximo a finalizar el plazo de los cinco meses que señala el art. 65.2 LOTC desde que se produjo la suspensión de los actos impugnados en este procedimiento, se oyera a las partes personadas para que, en el plazo de cinco días, expusieran lo que consideraren conveniente acerca del mantenimiento o levantamiento de dicha suspensión.</w:t>
      </w:r>
    </w:p>
    <w:p w:rsidR="0085709A" w:rsidRDefault="0085709A" w:rsidP="0085709A">
      <w:pPr>
        <w:pStyle w:val="TextoNormal"/>
      </w:pPr>
    </w:p>
    <w:p w:rsidR="0085709A" w:rsidRDefault="0085709A" w:rsidP="0085709A">
      <w:pPr>
        <w:pStyle w:val="TextoNormal"/>
      </w:pPr>
      <w:r w:rsidRPr="0085709A">
        <w:rPr>
          <w:rStyle w:val="NumeroAFNegritaCaracter"/>
        </w:rPr>
        <w:t>13</w:t>
      </w:r>
      <w:r>
        <w:t xml:space="preserve">. Las alegaciones del Abogado del Estado fueron registradas el día 28 de enero de 2015. En ellas se señala que en el momento en que se da traslado para alegaciones sobre el mantenimiento o el levantamiento de la suspensión ya ha transcurrido la fecha de la convocatoria, por lo que el incidente habría quedado sin objeto, como, </w:t>
      </w:r>
      <w:r w:rsidRPr="0085709A">
        <w:rPr>
          <w:i/>
        </w:rPr>
        <w:t>mutatis mutandis</w:t>
      </w:r>
      <w:r>
        <w:t>, el Tribunal ha declarado en el ATC 244/2013, de 22 de octubre; en todo caso, la declaración de falta de objeto del incidente no puede suponer la habilitación a la Generalitat para llevar a cabo una convocatoria similar en otra fecha distinta.</w:t>
      </w:r>
    </w:p>
    <w:p w:rsidR="0085709A" w:rsidRDefault="0085709A" w:rsidP="0085709A">
      <w:pPr>
        <w:pStyle w:val="TextoNormal"/>
      </w:pPr>
    </w:p>
    <w:p w:rsidR="0085709A" w:rsidRDefault="0085709A" w:rsidP="0085709A">
      <w:pPr>
        <w:pStyle w:val="TextoNormal"/>
      </w:pPr>
      <w:r>
        <w:t xml:space="preserve">Sin embargo, el escrito señala que, en este caso, concurre una circunstancia muy especial: a pesar de la providencia del Tribunal Constitucional acordando la suspensión de la consulta, la Generalitat de Cataluña y, especialmente, su Presidente, continuaron con los actos </w:t>
      </w:r>
      <w:r>
        <w:lastRenderedPageBreak/>
        <w:t>preparatorios y la celebración de la consulta suspendida. Por todo ello, se solicita del Tribunal que, al resolver sobre esta pieza de suspensión, introduzca una salvedad sobre la ilegalidad de las actuaciones materiales y de los actos administrativos dictados por las autoridades de la Generalitat que han incumplido la providencia de suspensión, hayan o no producido todos sus efectos.</w:t>
      </w:r>
    </w:p>
    <w:p w:rsidR="0085709A" w:rsidRDefault="0085709A" w:rsidP="0085709A">
      <w:pPr>
        <w:pStyle w:val="TextoNormal"/>
      </w:pPr>
    </w:p>
    <w:p w:rsidR="0085709A" w:rsidRDefault="0085709A" w:rsidP="0085709A">
      <w:pPr>
        <w:pStyle w:val="TextoNormal"/>
      </w:pPr>
      <w:r w:rsidRPr="0085709A">
        <w:rPr>
          <w:rStyle w:val="NumeroAFNegritaCaracter"/>
        </w:rPr>
        <w:t>14</w:t>
      </w:r>
      <w:r>
        <w:t>. El 30 de enero de 2015 evacuaron los Abogados de la Generalitat de Cataluña el trámite de alegaciones conferido por la providencia de 20 de enero de 2015. En dichas alegaciones se afirma que, al haber transcurrido el 9 de noviembre, dichas actuaciones han agotado sus eventuales efectos y, con ello, han dejado de poder aplicarse en el futuro suscitando perjuicios de imposible o difícil reparación. Mantener expresamente la suspensión de las actuaciones de la Generalitat que, a finales de 2014, promovía la convocatoria de un proceso participativo el 9 de noviembre, carece de cualquier efecto en el orden jurídico, pudiendo más bien considerarse como una decisión innecesaria e, incluso, socialmente inoportuna. En cambio, se alega que, atendiendo a su relieve constitucional, sería positivo que se resolviera prontamente sobre el fondo del asunto, desestimando la impugnación interpuesta.</w:t>
      </w:r>
    </w:p>
    <w:p w:rsidR="0085709A" w:rsidRDefault="0085709A" w:rsidP="0085709A">
      <w:pPr>
        <w:pStyle w:val="TextoNormal"/>
      </w:pPr>
    </w:p>
    <w:p w:rsidR="0085709A" w:rsidRDefault="0085709A" w:rsidP="0085709A">
      <w:pPr>
        <w:pStyle w:val="TextoNormal"/>
      </w:pPr>
      <w:r w:rsidRPr="0085709A">
        <w:rPr>
          <w:rStyle w:val="NumeroAFNegritaCaracter"/>
        </w:rPr>
        <w:t>15</w:t>
      </w:r>
      <w:r>
        <w:t>. . Por providencia de 9 de junio de 2015 se señaló el día 11 del mismo mes y año para deliberación y votación de la presente Sentencia.</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Abogado del Estado, en representación del Gobierno, ha promovido la impugnación de disposición autonómicas (título V de la Ley Orgánica del Tribunal Constitucional: LOTC) y, subsidiariamente,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es decir, aquellas contenidas en la página web http://www.participa2014.cat/es/index.htm, y los restantes actos y actuaciones de preparación, realizados o procedentes, para la celebración de dicha consulta, así como cualquier otra actuación aún no formalizada jurídicamente, vinculada a la referida consulta.</w:t>
      </w:r>
    </w:p>
    <w:p w:rsidR="0085709A" w:rsidRDefault="0085709A" w:rsidP="0085709A">
      <w:pPr>
        <w:pStyle w:val="TextoNormal"/>
      </w:pPr>
    </w:p>
    <w:p w:rsidR="0085709A" w:rsidRDefault="0085709A" w:rsidP="0085709A">
      <w:pPr>
        <w:pStyle w:val="TextoNormal"/>
      </w:pPr>
      <w:r>
        <w:t>Como con más detalle se ha expuesto en los antecedentes, el Abogado del Estado considera que las actuaciones impugnadas vulneran la Constitución, tanto por motivos de carácter competencial como no competenciales. Entiende el representante procesal del Gobierno que las actuaciones de la Generalitat relacionadas con el proceso de participación ciudadana convocado para el 9 de noviembre de 2014 son una cuestión de naturaleza constituyente que afecta a la unidad de España y vulnera los arts. 1.2, 2 y 168 CE. Asimismo aduce que las actuaciones impugnadas se orientan a la realización de un referéndum, por lo que son contrarias a los arts. 92, 149.1.1, 149.1.18 y 149.1.32 CE; que exceden del ámbito competencial autonómico, infringiendo el art. 122 EAC; y, finalmente, que vulneran la reserva de ley orgánica contenida en el art. 81 CE en relación con el art. 23 CE.</w:t>
      </w:r>
    </w:p>
    <w:p w:rsidR="0085709A" w:rsidRDefault="0085709A" w:rsidP="0085709A">
      <w:pPr>
        <w:pStyle w:val="TextoNormal"/>
      </w:pPr>
    </w:p>
    <w:p w:rsidR="0085709A" w:rsidRDefault="0085709A" w:rsidP="0085709A">
      <w:pPr>
        <w:pStyle w:val="TextoNormal"/>
      </w:pPr>
      <w:r>
        <w:lastRenderedPageBreak/>
        <w:t>Los Letrados de la Generalitat de Cataluña afirman, por el contrario, que las actuaciones de la Generalitat no se orientan a la realización de un referéndum, sino a un proceso de participación ciudadana, con un procedimiento y unos efectos bien diferenciados. A juicio de esta parte, las infracciones de carácter sustantivo y competencial que se dirigen contra las actuaciones impugnadas están relacionadas con el carácter pretendidamente referendario que se atribuye al proceso participativo del 9 de noviembre, o con la realización encubierta de la consulta convocada mediante el Decreto 129/2014. Sostiene que al proceso de participación ciudadana previsto para el 9 de noviembre no se le pueden atribuir las características ni las consecuencias jurídicas y políticas propias de un referéndum; y que, una vez que descartado el carácter referendario atribuido al proceso de participación ciudadana convocado, se deben rechazar las infracciones de carácter sustantivo y competencial imputadas a las actuaciones de la Generalitat, pues las actuaciones de la Generalitat que auspician la realización de dicho proceso de participación ciudadana se fundamentan en las competencias autonómicas de fomento de la participación ciudadana, no resultan contrarias al orden constitucional y su carácter esencialmente político excluye una relevancia constitucionalmente suficiente para ser objeto de impugnación por la vía del título V LOTC.</w:t>
      </w:r>
    </w:p>
    <w:p w:rsidR="0085709A" w:rsidRDefault="0085709A" w:rsidP="0085709A">
      <w:pPr>
        <w:pStyle w:val="TextoNormal"/>
      </w:pPr>
    </w:p>
    <w:p w:rsidR="0085709A" w:rsidRDefault="0085709A" w:rsidP="0085709A">
      <w:pPr>
        <w:pStyle w:val="TextoNormal"/>
      </w:pPr>
      <w:r w:rsidRPr="0085709A">
        <w:rPr>
          <w:rStyle w:val="NumeroAFNegritaCaracter"/>
        </w:rPr>
        <w:t>2</w:t>
      </w:r>
      <w:r>
        <w:t>. A fin de abordar la presente impugnación debemos efectuar algunas precisiones preliminares sobre el objeto de enjuiciamiento y la forma de resolverlo.</w:t>
      </w:r>
    </w:p>
    <w:p w:rsidR="0085709A" w:rsidRDefault="0085709A" w:rsidP="0085709A">
      <w:pPr>
        <w:pStyle w:val="TextoNormal"/>
      </w:pPr>
    </w:p>
    <w:p w:rsidR="0085709A" w:rsidRDefault="0085709A" w:rsidP="0085709A">
      <w:pPr>
        <w:pStyle w:val="TextoNormal"/>
      </w:pPr>
      <w:r>
        <w:t>El supuesto que debemos enjuiciar presenta algunas peculiaridades. La primera es que, en el momento de dictar esta resolución, es notorio que la consulta ya ha sido celebrada, en los términos en los que fue convocada y, por lo tanto, las actuaciones impugnadas han agotado ya sus efectos. La segunda peculiaridad ha sido puesta de relieve por el propio Abogado del Estado: la inexistencia de una actuación jurídicamente formalizada de la convocatoria; en otras palabras, las actuaciones impugnadas son básicamente materiales. A lo anterior se añade que ambas partes las relacionan con el Decreto 129/2014. Por último, el objeto de impugnación son, tal y como se desprende del suplico principal del escrito del Abogado del Estado, las actuaciones de la Generalitat de Cataluña que, de cualquier modo, estén vinculadas con la convocatoria de la referida consulta.</w:t>
      </w:r>
    </w:p>
    <w:p w:rsidR="0085709A" w:rsidRDefault="0085709A" w:rsidP="0085709A">
      <w:pPr>
        <w:pStyle w:val="TextoNormal"/>
      </w:pPr>
    </w:p>
    <w:p w:rsidR="0085709A" w:rsidRDefault="0085709A" w:rsidP="0085709A">
      <w:pPr>
        <w:pStyle w:val="TextoNormal"/>
      </w:pPr>
      <w:r>
        <w:t>En cuanto a las peculiaridades señaladas, sin necesidad de realizar un análisis exhaustivo a este respecto, bastará señalar que, a diferencia del caso abordado en la STC 32/2015, de 25 de febrero, en el presente supuesto no existe un acto formal de convocatoria para la celebración de la consulta, ni un registro de participantes o una lista de las personas llamadas a participar, ni un procedimiento o unas garantías que comporten “un grado de formalización de la opinión de la ciudadanía materialmente electoral” (STC 31/2015, de 25 de febrero).</w:t>
      </w:r>
    </w:p>
    <w:p w:rsidR="0085709A" w:rsidRDefault="0085709A" w:rsidP="0085709A">
      <w:pPr>
        <w:pStyle w:val="TextoNormal"/>
      </w:pPr>
    </w:p>
    <w:p w:rsidR="0085709A" w:rsidRDefault="0085709A" w:rsidP="0085709A">
      <w:pPr>
        <w:pStyle w:val="TextoNormal"/>
      </w:pPr>
      <w:r>
        <w:t>Además, conviene subrayar que el objeto de impugnación no es el proceso de participación ciudadana en sí, sino, tal y como se desprende del suplico principal del escrito de impugnación, las actuaciones de la Generalitat de Cataluña que, de cualquier modo, estén vinculadas con la referida convocatoria. Así pues, abordaremos la constitucionalidad de las actuaciones impugnadas entendidas como un todo, como un acto imputable al Gobierno de la Generalitat de Cataluña, el cual, por medio de hechos concretos dentro de una actuación material de sus potestades, viene a expresar una afirmación de competencia que la representación procesal del Gobierno considera que desborda su ámbito propio.</w:t>
      </w:r>
    </w:p>
    <w:p w:rsidR="0085709A" w:rsidRDefault="0085709A" w:rsidP="0085709A">
      <w:pPr>
        <w:pStyle w:val="TextoNormal"/>
      </w:pPr>
    </w:p>
    <w:p w:rsidR="0085709A" w:rsidRDefault="0085709A" w:rsidP="0085709A">
      <w:pPr>
        <w:pStyle w:val="TextoNormal"/>
      </w:pPr>
      <w:r>
        <w:lastRenderedPageBreak/>
        <w:t xml:space="preserve">Aunque las partes centran sus alegaciones en la discusión sobre la naturaleza del proceso de participación ciudadana convocado para el 9 de noviembre de 2014, para resolver la presente impugnación no es necesario determinar si el referido “proceso de participación ciudadana” tiene, a pesar de su denominación, carácter referendario, como alega el Abogado del Estado, o carece de tal carácter, como sostienen los Abogados de la Generalitat, quienes incluso argumentan que el proceso de participación convocado constituye una especie de </w:t>
      </w:r>
      <w:r w:rsidRPr="0085709A">
        <w:rPr>
          <w:i/>
        </w:rPr>
        <w:t>tertium genus</w:t>
      </w:r>
      <w:r>
        <w:t>, diferenciable tanto de las consultas populares referendarias como de las no referendarias. No es necesario abordar tal aspecto porque, en definitiva, el posible exceso competencial alegado por el Abogado del Estado, en cuanto que se refiere a los límites de la competencia de la Generalitat, afectaría por igual a cualquier modalidad de consulta que ésta pudiera convocar. El límite competencial viene recogido de forma expresa en el artículo 122 del Estatuto de Autonomía de Cataluña, si bien únicamente en relación con las consultas populares no referendarias —a las que, según nuestra jurisprudencia, se refiere específicamente aquel precepto (STC 31/2010, de 28 de junio, FJ 69)—, lo cual no empece a que el análisis de dicho precepto pueda arrojar luz en el presente enjuiciamiento.</w:t>
      </w:r>
    </w:p>
    <w:p w:rsidR="0085709A" w:rsidRDefault="0085709A" w:rsidP="0085709A">
      <w:pPr>
        <w:pStyle w:val="TextoNormal"/>
      </w:pPr>
    </w:p>
    <w:p w:rsidR="0085709A" w:rsidRDefault="0085709A" w:rsidP="0085709A">
      <w:pPr>
        <w:pStyle w:val="TextoNormal"/>
      </w:pPr>
      <w:r w:rsidRPr="0085709A">
        <w:rPr>
          <w:rStyle w:val="NumeroAFNegritaCaracter"/>
        </w:rPr>
        <w:t>3</w:t>
      </w:r>
      <w:r>
        <w:t>. El artículo 122 del Estatuto de Autonomía de Cataluña establece en materia de consultas populares lo siguiente:</w:t>
      </w:r>
    </w:p>
    <w:p w:rsidR="0085709A" w:rsidRDefault="0085709A" w:rsidP="0085709A">
      <w:pPr>
        <w:pStyle w:val="TextoNormal"/>
      </w:pPr>
    </w:p>
    <w:p w:rsidR="0085709A" w:rsidRDefault="0085709A" w:rsidP="0085709A">
      <w:pPr>
        <w:pStyle w:val="TextoNormal"/>
      </w:pPr>
      <w:r>
        <w:t>“Corresponde a la Generalitat la competencia exclusiva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de la Constitución.”</w:t>
      </w:r>
    </w:p>
    <w:p w:rsidR="0085709A" w:rsidRDefault="0085709A" w:rsidP="0085709A">
      <w:pPr>
        <w:pStyle w:val="TextoNormal"/>
      </w:pPr>
    </w:p>
    <w:p w:rsidR="0085709A" w:rsidRDefault="0085709A" w:rsidP="0085709A">
      <w:pPr>
        <w:pStyle w:val="TextoNormal"/>
      </w:pPr>
      <w:r>
        <w:t>Este precepto estatutario prescribe un límite claro a la competencia autonómica en materia de consultas populares. Las consultas populares que entran dentro de la competencia de la Comunidad Autónoma de Cataluña tienen que ceñirse al “ámbito de sus competencias”. El mismo límite proclama también el artículo 29.6 EAC cuando dispone que “los ciudadanos de Cataluña tienen derecho a promover la convocatoria de consultas populares por parte de la Generalitat y los Ayuntamientos, en materia de las competencias respectivas, en la forma y las condiciones que las leyes establezcan”.</w:t>
      </w:r>
    </w:p>
    <w:p w:rsidR="0085709A" w:rsidRDefault="0085709A" w:rsidP="0085709A">
      <w:pPr>
        <w:pStyle w:val="TextoNormal"/>
      </w:pPr>
    </w:p>
    <w:p w:rsidR="0085709A" w:rsidRDefault="0085709A" w:rsidP="0085709A">
      <w:pPr>
        <w:pStyle w:val="TextoNormal"/>
      </w:pPr>
      <w:r>
        <w:t>En este mismo sentido nuestra reciente STC 31/2015, FJ 6, ha declarado que, si bien el alcance del art. 122 EAC ha sido circunscrito por la STC 31/2010 (FJ 69) a las consultas no referendarias, “en todo caso, el ejercicio de la competencia de la Comunidad Autónoma de Cataluña para regular las consultas no referendarias está sujeto a determinados límites”, límites que entonces precisamos de la siguiente manera:</w:t>
      </w:r>
    </w:p>
    <w:p w:rsidR="0085709A" w:rsidRDefault="0085709A" w:rsidP="0085709A">
      <w:pPr>
        <w:pStyle w:val="TextoNormal"/>
      </w:pPr>
    </w:p>
    <w:p w:rsidR="0085709A" w:rsidRDefault="0085709A" w:rsidP="0085709A">
      <w:pPr>
        <w:pStyle w:val="TextoNormal"/>
      </w:pPr>
      <w:r>
        <w:t>“a) En primer lugar, queda fuera de la competencia autonómica formular consultas, aun no referendarias, que incidan sobre ‘sobre cuestiones fundamentales resueltas con el proceso constituyente y que resultan sustraídas a la decisión de los poderes constituidos. El respeto a la Constitución impone que los proyectos de revisión del orden constituido, y especialmente de aquellos que afectan al fundamento de la identidad del titular único de la soberanía, se sustancien abierta y directamente por la vía que la Constitución ha previsto para esos fines. No caben actuaciones por otros cauces ni de las Comunidades Autónomas ni de cualquier órgano del Estado, porque sobre todos está siempre, expresada en la decisión consti</w:t>
      </w:r>
      <w:r>
        <w:lastRenderedPageBreak/>
        <w:t>tuyente, la voluntad del pueblo español, titular exclusivo de la soberanía nacional, fundamento de la Constitución y origen de cualquier poder político’ (STC 103/2008, de 11 de septiembre, FJ 4). Es patente, pues, que el parecer de la ciudadanía sobre tales cuestiones ha de encauzarse a través de los procedimientos constitucionales de reforma…</w:t>
      </w:r>
    </w:p>
    <w:p w:rsidR="0085709A" w:rsidRDefault="0085709A" w:rsidP="0085709A">
      <w:pPr>
        <w:pStyle w:val="TextoNormal"/>
      </w:pPr>
    </w:p>
    <w:p w:rsidR="0085709A" w:rsidRDefault="0085709A" w:rsidP="0085709A">
      <w:pPr>
        <w:pStyle w:val="TextoNormal"/>
      </w:pPr>
      <w:r>
        <w:t>b) De igual modo, el objeto de las consultas populares tampoco puede desbordar ‘el ámbito de las competencias autonómicas y locales, por lo que es evidente que no puede haber afectación alguna del ámbito competencial privativo del Estado’ (STC 31/2010, de 28 de junio, FJ 69), tal y como contempla el propio art. 122 EAC.”</w:t>
      </w:r>
    </w:p>
    <w:p w:rsidR="0085709A" w:rsidRDefault="0085709A" w:rsidP="0085709A">
      <w:pPr>
        <w:pStyle w:val="TextoNormal"/>
      </w:pPr>
    </w:p>
    <w:p w:rsidR="0085709A" w:rsidRDefault="0085709A" w:rsidP="0085709A">
      <w:pPr>
        <w:pStyle w:val="TextoNormal"/>
      </w:pPr>
      <w:r>
        <w:t>De la STC 31/2015 se desprende que los mismos límites competenciales rigen para la convocatoria autonómica de cualesquiera consultas populares, ya sean referendarias o no. Además, es preciso añadir ahora que, para determinar si el objeto de una consulta convocada o promovida por las instituciones de una Comunidad Autónoma excede o no del ámbito competencial autonómico, lo determinante es el contenido de la pregunta o de la cuestión que se somete a consulta y no el grado de formalización jurídica de la consulta. En suma, una Comunidad Autónoma no puede convocar, ni realizar actuaciones formalizadas o no jurídicamente que auspicien la convocatoria de una consulta popular, aun no referendaria, que desborde el ámbito de las competencias propias, o que incida sobre “cuestiones fundamentales resueltas con el proceso constituyente y que resultan sustraídas a la decisión de los poderes constituidos”.</w:t>
      </w:r>
    </w:p>
    <w:p w:rsidR="0085709A" w:rsidRDefault="0085709A" w:rsidP="0085709A">
      <w:pPr>
        <w:pStyle w:val="TextoNormal"/>
      </w:pPr>
    </w:p>
    <w:p w:rsidR="0085709A" w:rsidRDefault="0085709A" w:rsidP="0085709A">
      <w:pPr>
        <w:pStyle w:val="TextoNormal"/>
      </w:pPr>
      <w:r>
        <w:t>Establecido que el contenido de la pregunta o de la cuestión que se somete a consulta resulta determinante para comprobar si se excede del ámbito competencial de la Comunidad Autónoma que la convoca o la promueve, debemos recordar que sobre este aspecto ya se ha pronunciado este Tribunal. Así, en la STC 103/2008 examinamos una consulta que, en función de su resultado, pretendía sentar “las bases de una nueva relación” entre una Comunidad Autónoma y el Estado en su conjunto. Entonces afirmamos que dicha consulta “plantea[ba] una cuestión que afecta[ba] al orden constituido y también al fundamento mismo del orden constitucional”, y que “con ella se incid[ía] sobre cuestiones fundamentales resueltas con el proceso constituyente y que resultan sustraídas a la decisión de los poderes constituidos” (FJ 4). Cuando se trata de una consulta que incide sobre cuestiones fundamentales de esa trascendencia, declaramos que “[e]l respeto a la Constitución impone que los proyectos de revisión del orden constituido, y especialmente de aquéllos que afectan al fundamento de la identidad del titular único de la soberanía, se sustancien abierta y directamente por la vía que la Constitución ha previsto para esos fines. No caben actuaciones por otros cauces ni de las Comunidades Autónomas ni de cualquier órgano del Estado, porque sobre todos está siempre, expresada en la decisión constituyente, la voluntad del pueblo español, titular exclusivo de la soberanía nacional, fundamento de la Constitución y origen de cualquier poder político” (FJ 4).</w:t>
      </w:r>
    </w:p>
    <w:p w:rsidR="0085709A" w:rsidRDefault="0085709A" w:rsidP="0085709A">
      <w:pPr>
        <w:pStyle w:val="TextoNormal"/>
      </w:pPr>
    </w:p>
    <w:p w:rsidR="0085709A" w:rsidRDefault="0085709A" w:rsidP="0085709A">
      <w:pPr>
        <w:pStyle w:val="TextoNormal"/>
      </w:pPr>
      <w:r w:rsidRPr="0085709A">
        <w:rPr>
          <w:rStyle w:val="NumeroAFNegritaCaracter"/>
        </w:rPr>
        <w:t>4</w:t>
      </w:r>
      <w:r>
        <w:t xml:space="preserve">. A continuación procede valorar si las actuaciones de la Generalitat de Cataluña impugnadas en este proceso que han auspiciado el proceso de participación ciudadana convocado para el 9 de noviembre de 2014, desbordan o no el ámbito de las competencias autonómicas. Como se ha indicado, el criterio decisivo para determinar si se respeta o no el ámbito competencial que limita la competencia autonómica en materia de consultas populares consiste en examinar el contenido de la pregunta o de la cuestión que se somete a consulta. La consulta convocada el pasado día 9 de noviembre se dirige, según se desprende </w:t>
      </w:r>
      <w:r>
        <w:lastRenderedPageBreak/>
        <w:t>de los antecedentes de hecho y admite la propia representación procesal de Cataluña, a que los ciudadanos y las ciudadanas de Cataluña y los extranjeros residentes en esa Comunidad manifiesten su opinión sobre el futuro político de Cataluña. En el presente caso no hay duda de que cada una de las dos preguntas sobre las que se convocó y versó la consulta —“¿Quiere que Cataluña se convierta en un Estado?” “¿Quiere que este Estado sea independiente?”— “plantea una cuestión que afecta al orden constituido y también al fundamento mismo del orden constitucional”, y de que “con ella[s] se incide sobre cuestiones fundamentales resueltas con el proceso constituyente y que resultan sustraídas a la decisión de los poderes constituidos” (SSTC 103/2008, FJ 4 y 31/2015, FJ 6).</w:t>
      </w:r>
    </w:p>
    <w:p w:rsidR="0085709A" w:rsidRDefault="0085709A" w:rsidP="0085709A">
      <w:pPr>
        <w:pStyle w:val="TextoNormal"/>
      </w:pPr>
    </w:p>
    <w:p w:rsidR="0085709A" w:rsidRDefault="0085709A" w:rsidP="0085709A">
      <w:pPr>
        <w:pStyle w:val="TextoNormal"/>
      </w:pPr>
      <w:r>
        <w:t>En el presente caso, además, no puede ignorarse que las actuaciones impugnadas están relacionadas con el Decreto 129/2014, de 27 de septiembre, de convocatoria de la consulta no referendaria sobre el futuro político de Cataluña, que fue suspendido desde el mismo día de su impugnación y posteriormente declarado inconstitucional y nulo por este Tribunal en la STC 32/2015, de 25 de febrero. Por ello, de acuerdo con lo que en esa Sentencia afirmamos, debemos concluir igualmente ahora que las preguntas sobre las que versa el llamado “proceso de participación ciudadana” convocado para el 9 de noviembre de 2014 también desbordan el ámbito competencial de la Generalitat de Cataluña. Esta infracción constitucional se proyecta ineludiblemente sobre el conjunto de las actuaciones de la Generalitat de Cataluña preparatorias o vinculadas con la referida consulta, en cuanto que las preguntas sobre las que versa la consulta son inseparables del resto de elementos que integran el conjunto de actuaciones de la Generalitat impugnadas.</w:t>
      </w:r>
    </w:p>
    <w:p w:rsidR="0085709A" w:rsidRDefault="0085709A" w:rsidP="0085709A">
      <w:pPr>
        <w:pStyle w:val="TextoNormal"/>
      </w:pPr>
    </w:p>
    <w:p w:rsidR="0085709A" w:rsidRDefault="0085709A" w:rsidP="0085709A">
      <w:pPr>
        <w:pStyle w:val="TextoNormal"/>
      </w:pPr>
      <w:r>
        <w:t>Por otra parte, al auspiciar una convocatoria con las preguntas indicadas, la Generalitat de Cataluña ha ignorado las consecuencias que derivan de los arts. 1.2, 2 y 168 CE, invocados por el Abogado del Estado. En efecto, las preguntas sobre las que versa el llamado “proceso de participación ciudadana” presuponen un reconocimiento indirecto a la Comunidad de Cataluña de unas atribuciones que resultan contrarias a dichos preceptos constitucionales, tal y como examinamos en detalle en la STC 42/2014, de 25 de marzo, FJ 3, donde advertíamos con cita de la STC 31/2010, FJ 11, que “los ciudadanos de Cataluña no pueden confundirse con el pueblo soberano concebido como ‘la unidad ideal de imputación del poder constituyente y como tal fundamento de la Constitución y del Ordenamiento’ (STC 12/2008, de 29 de enero, FJ 10)”.</w:t>
      </w:r>
    </w:p>
    <w:p w:rsidR="0085709A" w:rsidRDefault="0085709A" w:rsidP="0085709A">
      <w:pPr>
        <w:pStyle w:val="TextoNormal"/>
      </w:pPr>
    </w:p>
    <w:p w:rsidR="0085709A" w:rsidRDefault="0085709A" w:rsidP="0085709A">
      <w:pPr>
        <w:pStyle w:val="TextoNormal"/>
      </w:pPr>
      <w:r>
        <w:t>Hemos afirmado recientemente en la STC 31/2015 (FJ 6) que “el parecer de la ciudadanía sobre tales cuestiones ha de encauzarse a través de los procedimientos constitucionales de reforma”, dado que, como hemos reiterado en varias ocasiones, cabe acudir a cuantas vías sean compatibles con el texto constitucional, ya que “[e]l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(STC 103/2008, FJ 4)” [STC 42/2014, FJ 4 c)].</w:t>
      </w:r>
    </w:p>
    <w:p w:rsidR="0085709A" w:rsidRDefault="0085709A" w:rsidP="0085709A">
      <w:pPr>
        <w:pStyle w:val="TextoNormal"/>
      </w:pPr>
    </w:p>
    <w:p w:rsidR="0085709A" w:rsidRDefault="0085709A" w:rsidP="0085709A">
      <w:pPr>
        <w:pStyle w:val="TextoNormal"/>
      </w:pPr>
      <w:r>
        <w:t>Por tanto, procede declarar que las actuaciones de la Generalitat de Cataluña preparatorias o vinculadas con la consulta convocada para el 9 de noviembre de 2014 son inconstitu</w:t>
      </w:r>
      <w:r>
        <w:lastRenderedPageBreak/>
        <w:t>cionales en su totalidad, en cuanto viciadas de incompetencia, por no corresponder a la Comunidad Autónoma la convocatoria de consultas que versan sobre cuestiones que afectan al orden constituido y al fundamento mismo del orden constitucional.</w:t>
      </w:r>
    </w:p>
    <w:p w:rsidR="0085709A" w:rsidRDefault="0085709A" w:rsidP="0085709A">
      <w:pPr>
        <w:pStyle w:val="TextoNormal"/>
      </w:pPr>
    </w:p>
    <w:p w:rsidR="0085709A" w:rsidRDefault="0085709A" w:rsidP="0085709A">
      <w:pPr>
        <w:pStyle w:val="TextoNormal"/>
      </w:pPr>
      <w:r w:rsidRPr="0085709A">
        <w:rPr>
          <w:rStyle w:val="NumeroAFNegritaCaracter"/>
        </w:rPr>
        <w:t>5</w:t>
      </w:r>
      <w:r>
        <w:t>. Las consideraciones anteriores determinan que deban declararse inconstitucionales por infracción del art. 122 EAC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es decir, aquellas contenidas en la página web http://www.participa2014.cat/es/index.html y los actos y actuaciones de preparación, realizadas o procedentes, para la celebración de dicha consulta, así como cualquier otra actuación no formalizada jurídicamente, vinculada a la referida consulta. Una vez estimada íntegramente la impugnación por el motivo mencionado, no procede examinar el resto de motivos aducidos.</w:t>
      </w:r>
    </w:p>
    <w:p w:rsidR="0085709A" w:rsidRDefault="0085709A" w:rsidP="0085709A">
      <w:pPr>
        <w:pStyle w:val="TextoNormal"/>
      </w:pPr>
    </w:p>
    <w:p w:rsidR="0085709A" w:rsidRDefault="0085709A" w:rsidP="0085709A">
      <w:pPr>
        <w:pStyle w:val="TextoNormal"/>
      </w:pPr>
      <w:r>
        <w:t>Antes de pronunciar nuestro fallo debemos concretar el alcance de la vulneración de competencias en que incurren las actuaciones impugnadas en este proceso. Las actuaciones impugnadas son actuaciones materiales que ya han agotado sus efectos. Por tanto, la pretensión del Gobierno ha de estimarse satisfecha mediante la declaración de infracción competencial en las actuaciones objeto de este proceso, en los términos que se vienen fundamentando y que se concretan en el consiguiente fallo. Ningún acto o situación reclama pronunciamiento de nulidad o de otra índole.</w:t>
      </w:r>
    </w:p>
    <w:p w:rsidR="0085709A" w:rsidRDefault="0085709A" w:rsidP="0085709A">
      <w:pPr>
        <w:pStyle w:val="TextoNormal"/>
      </w:pPr>
    </w:p>
    <w:p w:rsidR="0085709A" w:rsidRDefault="0085709A" w:rsidP="0085709A">
      <w:pPr>
        <w:pStyle w:val="TextoNormal"/>
      </w:pPr>
      <w:r>
        <w:t>Finalmente, a propósito de la solicitud de levantamiento de la suspensión de las actuaciones impugnadas que ha formulado la Generalitat de Cataluña, no procede entrar aquí a resolverla puesto que, una vez realizado el enjuiciamiento definitivo, “carece de sentido cualquier pronunciamiento sobre el levantamiento o el mantenimiento de su suspensión (STC 103/2008, de 11 de septiembre, FJ 6)” [STC 106/2014, FJ 9; en igual sentido, STC 134/2014, FJ 3].</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impugnación de disposiciones autonómicas (título V LOTC) promovida por el Abogado del Estado en representación del Gobierno y, en consecuencia:</w:t>
      </w:r>
    </w:p>
    <w:p w:rsidR="0085709A" w:rsidRDefault="0085709A" w:rsidP="0085709A">
      <w:pPr>
        <w:pStyle w:val="TextoNormal"/>
      </w:pPr>
    </w:p>
    <w:p w:rsidR="0085709A" w:rsidRDefault="0085709A" w:rsidP="0085709A">
      <w:pPr>
        <w:pStyle w:val="TextoNormal"/>
      </w:pPr>
      <w:r>
        <w:t xml:space="preserve">Declarar que son inconstitucionales las actuaciones de la Generalitat de Cataluña relativas a la convocatoria a los catalanes, las catalanas y las personas residentes en Cataluña para que manifiesten su opinión sobre el futuro político de Cataluña el día 9 de noviembre 2014 (y en los días sucesivos en los términos de la convocatoria), mediante un denominado “proceso de participación ciudadana”, contenidas en la página web http://www.participa2014.cat/es/index.html y los actos y actuaciones de preparación para la celebración de </w:t>
      </w:r>
      <w:r>
        <w:lastRenderedPageBreak/>
        <w:t>dicha consulta, así como cualquier otra actuación no formalizada jurídicamente, vinculada a la referida consulta.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once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2" w:name="SENTENCIA_2015_139"/>
      <w:r>
        <w:lastRenderedPageBreak/>
        <w:t>SENTENCIA 139/2015, de 22 de junio de 2015</w:t>
      </w:r>
    </w:p>
    <w:bookmarkEnd w:id="142"/>
    <w:p w:rsidR="0085709A" w:rsidRDefault="0085709A" w:rsidP="0085709A">
      <w:pPr>
        <w:pStyle w:val="TtuloResolucin"/>
      </w:pPr>
      <w:r>
        <w:t>Sala Primera</w:t>
      </w:r>
    </w:p>
    <w:p w:rsidR="0085709A" w:rsidRDefault="0085709A" w:rsidP="0085709A">
      <w:pPr>
        <w:pStyle w:val="TtuloBOE"/>
      </w:pPr>
      <w:r>
        <w:t>(BOE núm. 182, de 31 de julio de 2015)</w:t>
      </w:r>
    </w:p>
    <w:p w:rsidR="0085709A" w:rsidRDefault="0085709A" w:rsidP="0085709A">
      <w:pPr>
        <w:pStyle w:val="TextoNormalCentrado"/>
      </w:pPr>
      <w:r>
        <w:t>ECLI:ES:TC:2015:139</w:t>
      </w:r>
    </w:p>
    <w:p w:rsidR="0085709A" w:rsidRDefault="0085709A" w:rsidP="0085709A">
      <w:pPr>
        <w:pStyle w:val="TextoNormalCentrado"/>
      </w:pPr>
    </w:p>
    <w:p w:rsidR="0085709A" w:rsidRDefault="0085709A" w:rsidP="0085709A">
      <w:pPr>
        <w:pStyle w:val="SntesisDescriptiva"/>
      </w:pPr>
      <w:r>
        <w:t>Recurso de amparo 3457-2012. Promovido por Banco Sabadell, S.A., en relación con el Auto de la Sala de lo Contencioso-Administrativo del Tribunal Supremo que inadmitió su recurso de casación frente a la Sentencia de la Audiencia Nacional sobre impuesto de sociedades.</w:t>
      </w:r>
    </w:p>
    <w:p w:rsidR="0085709A" w:rsidRDefault="0085709A" w:rsidP="0085709A">
      <w:pPr>
        <w:pStyle w:val="SntesisDescriptiva"/>
      </w:pPr>
    </w:p>
    <w:p w:rsidR="0085709A" w:rsidRDefault="0085709A" w:rsidP="0085709A">
      <w:pPr>
        <w:pStyle w:val="SntesisAnaltica"/>
      </w:pPr>
      <w:r>
        <w:t>Vulneración del derecho a la tutela judicial efectiva (acceso al recurso): STC 7/2015 (inadmisión de recurso de casación acordada sin atribuir ninguna virtualidad al intento de reparar la ausencia de cita en el escrito de preparación de las concretas infracciones normativas o jurisprudenciales que el recurrente consideraba infringidas). Voto particular.</w:t>
      </w:r>
    </w:p>
    <w:p w:rsidR="0085709A" w:rsidRDefault="0085709A" w:rsidP="0085709A">
      <w:pPr>
        <w:pStyle w:val="SntesisAnaltica"/>
      </w:pPr>
    </w:p>
    <w:p w:rsidR="0085709A" w:rsidRDefault="0085709A" w:rsidP="0085709A">
      <w:pPr>
        <w:pStyle w:val="Extracto"/>
      </w:pPr>
      <w:r>
        <w:t>1.</w:t>
      </w:r>
      <w:r>
        <w:tab/>
        <w:t>Las invocaciones constitucionales en que se fundamenta este recurso ya han sido objeto de análisis por el Pleno de este Tribunal en la STC 7/2015 [FJ 2].</w:t>
      </w:r>
    </w:p>
    <w:p w:rsidR="0085709A" w:rsidRDefault="0085709A" w:rsidP="0085709A">
      <w:pPr>
        <w:pStyle w:val="Extracto"/>
      </w:pPr>
    </w:p>
    <w:p w:rsidR="0085709A" w:rsidRDefault="0085709A" w:rsidP="0085709A">
      <w:pPr>
        <w:pStyle w:val="Extracto"/>
      </w:pPr>
      <w:r>
        <w:t>2.</w:t>
      </w:r>
      <w:r>
        <w:tab/>
        <w:t>Se descarta la lesión del derecho a la igualdad en la aplicación de la ley, en tanto que la resolución impugnada no constituye una solución para una persona o para un caso concretos y además se razona explícitamente la alteración doctrinal, que se justifica a partir de la finalidad que debe cumplir el escrito de preparación del recurso de casación [FJ 2].</w:t>
      </w:r>
    </w:p>
    <w:p w:rsidR="0085709A" w:rsidRDefault="0085709A" w:rsidP="0085709A">
      <w:pPr>
        <w:pStyle w:val="Extracto"/>
      </w:pPr>
    </w:p>
    <w:p w:rsidR="0085709A" w:rsidRDefault="0085709A" w:rsidP="0085709A">
      <w:pPr>
        <w:pStyle w:val="Extracto"/>
      </w:pPr>
      <w:r>
        <w:t>3.</w:t>
      </w:r>
      <w:r>
        <w:tab/>
        <w:t>Se estima la vulneración del derecho a la tutela judicial efectiva, porque la decisión de inadmisión impugnada no tomó en consideración que la exigencia del requisito controvertido, no era conocido ni predecible para la parte recurrente en el momento en que se presentó el escrito de preparación, intentándose además subsanar mediante la presentación de un escrito complementario de adecuación a las nuevas exigencias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 xml:space="preserve">En el recurso de amparo núm. 3457-2012, promovido por la sociedad mercantil Banco Sabadell, S.A., representada por la Procuradora de los Tribunales doña Blanca María Grande Pesquero y asistida por el Abogado don Manuel Santa María Fernández, contra el </w:t>
      </w:r>
      <w:r>
        <w:lastRenderedPageBreak/>
        <w:t>Auto de la Sección Primera de la Sala de lo Contencioso-Administrativo del Tribunal Supremo de 20 de octubre de 2011, que declaró la inadmisión del recurso de casación núm. 5417-2010, y contra el Auto de 22 de marzo de 2012 que desestimó el incidente de nulidad de actuaciones promovido contra el anterior. Ha comparecido y formulado alegaciones el Abogado del Estado. Ha intervenido el Ministerio Fiscal.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Por escrito presentado en el Registro General de este Tribunal el 8 de junio de 2012, la Procuradora de los Tribunales doña Blanca María Grande Pesquero, en nombre y representación de Banco Sabadell, S.A., interpuso recurso de amparo contra las resoluciones judiciales que se mencionan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 la demanda de amparo son los siguientes:</w:t>
      </w:r>
    </w:p>
    <w:p w:rsidR="0085709A" w:rsidRDefault="0085709A" w:rsidP="0085709A">
      <w:pPr>
        <w:pStyle w:val="TextoNormal"/>
      </w:pPr>
    </w:p>
    <w:p w:rsidR="0085709A" w:rsidRDefault="0085709A" w:rsidP="0085709A">
      <w:pPr>
        <w:pStyle w:val="TextoNormal"/>
      </w:pPr>
      <w:r>
        <w:t>a) La sociedad mercantil demandante de amparo interpuso recurso contencioso-administrativo contra la resolución del Tribunal Económico-Administrativo Central (Sala Primera, Vocalía Segunda) de 15 de marzo de 2007, que desestimó las reclamaciones económico-administrativas interpuestos por aquella (núms. 00-2851-2005, 00-2860-2005, 00-2861-2005, y 00-2862-2005) contra diversos actos de liquidación tributaria referidos al impuesto de sociedades, ejercicios de 1998 a 2001.</w:t>
      </w:r>
    </w:p>
    <w:p w:rsidR="0085709A" w:rsidRDefault="0085709A" w:rsidP="0085709A">
      <w:pPr>
        <w:pStyle w:val="TextoNormal"/>
      </w:pPr>
    </w:p>
    <w:p w:rsidR="0085709A" w:rsidRDefault="0085709A" w:rsidP="0085709A">
      <w:pPr>
        <w:pStyle w:val="TextoNormal"/>
      </w:pPr>
      <w:r>
        <w:t>Seguido el procedimiento por sus trámites con el núm. 210-2007, la Sala de lo Contencioso-Administrativo de la Audiencia Nacional (Sección Segunda) dictó el 22 de julio de 2010 Sentencia desestimatoria, que fue notificada a las partes con la indicación de que contra la misma cabía recurso de casación ante la Sala de lo Contencioso-Administrativo del Tribunal Supremo.</w:t>
      </w:r>
    </w:p>
    <w:p w:rsidR="0085709A" w:rsidRDefault="0085709A" w:rsidP="0085709A">
      <w:pPr>
        <w:pStyle w:val="TextoNormal"/>
      </w:pPr>
    </w:p>
    <w:p w:rsidR="0085709A" w:rsidRDefault="0085709A" w:rsidP="0085709A">
      <w:pPr>
        <w:pStyle w:val="TextoNormal"/>
      </w:pPr>
      <w:r>
        <w:t>b) Contra la anterior Sentencia preparó recurso de casación la sociedad demandante de amparo, mediante escrito registrado en la Audiencia Nacional el 6 de septiembre de 2010, en el que puso de manifiesto la intención de interponerlo, la legitimación de la recurrente, el cumplimiento del plazo para la presentación del escrito y el carácter recurrible de la Sentencia impugnada; a ello añadió la precisión de que el recurso iba a fundarse en los motivos previstos en los arts. 88.1 c) y 88.1 d) de la Ley reguladora de la jurisdicción contencioso-administrativa (LJCA). El recurso se tuvo por preparado por diligencia de ordenación de la Sala de lo Contencioso-Administrativo de la Audiencia Nacional (Sección Segunda) de 8 de septiembre de 2010, con emplazamiento de las partes ante la Sala Tercera del Tribunal Supremo.</w:t>
      </w:r>
    </w:p>
    <w:p w:rsidR="0085709A" w:rsidRDefault="0085709A" w:rsidP="0085709A">
      <w:pPr>
        <w:pStyle w:val="TextoNormal"/>
      </w:pPr>
    </w:p>
    <w:p w:rsidR="0085709A" w:rsidRDefault="0085709A" w:rsidP="0085709A">
      <w:pPr>
        <w:pStyle w:val="TextoNormal"/>
      </w:pPr>
      <w:r>
        <w:t>El 22 de octubre de 2010 la sociedad demandante interpuso el recurso de casación ante la Sala Tercera del Tribunal Supremo, recurso que fue registrado con el núm. 5417-2010.</w:t>
      </w:r>
    </w:p>
    <w:p w:rsidR="0085709A" w:rsidRDefault="0085709A" w:rsidP="0085709A">
      <w:pPr>
        <w:pStyle w:val="TextoNormal"/>
      </w:pPr>
    </w:p>
    <w:p w:rsidR="0085709A" w:rsidRDefault="0085709A" w:rsidP="0085709A">
      <w:pPr>
        <w:pStyle w:val="TextoNormal"/>
      </w:pPr>
      <w:r>
        <w:t>c) La sociedad demandante de amparo presentó escrito el 4 de abril de 2011 ante la Sala de lo Contencioso-Administrativo de la Audiencia Nacional (Sección Segunda) en el que manifestó haber tenido conocimiento del Auto dictado por la Sala de lo Contencioso-Administrativo del Tribunal Supremo (en adelante, ATS) de 10 de febrero de 2011 (recurso 2927-</w:t>
      </w:r>
      <w:r>
        <w:lastRenderedPageBreak/>
        <w:t>2010), en virtud del cual modificaba su doctrina relativa a los requisitos exigibles para la preparación del recurso de casación contra sentencias dictadas por la Audiencia Nacional. Por ello, en orden a adecuar el escrito de preparación del recurso de casación a las exigencias establecidas por la Sala Tercera del Tribunal Supremo, procedió a indicar las concretas infracciones normativas o jurisprudenciales cometidas por la Sentencia impugnada, a fin de que, para el caso de que el Tribunal Supremo resolviera la aplicación de la nueva doctrina a los recursos preparados con anterioridad a hacerse público el referido ATS de 10 de febrero de 2011, se considerara adecuado el escrito de preparación a las exigencias actuales, a cuyo efecto solicitó que tuviera por preparado el recurso de casación contra la Sentencia recaída en la instancia y, previos los trámites legales que procedan, remitiese el escrito a la Sala Tercera del Tribunal Supremo para su unión al recurso de casación núm. 5417-2010. Por diligencia de ordenación de 6 de abril de 2011, la Sala de lo Contencioso-Administrativo de la Audiencia Nacional (Sección Segunda) ordenó remitir el escrito la Sala Tercera del Tribunal Supremo.</w:t>
      </w:r>
    </w:p>
    <w:p w:rsidR="0085709A" w:rsidRDefault="0085709A" w:rsidP="0085709A">
      <w:pPr>
        <w:pStyle w:val="TextoNormal"/>
      </w:pPr>
    </w:p>
    <w:p w:rsidR="0085709A" w:rsidRDefault="0085709A" w:rsidP="0085709A">
      <w:pPr>
        <w:pStyle w:val="TextoNormal"/>
      </w:pPr>
      <w:r>
        <w:t>d) El 6 de abril de 2011 le fue notificada a la sociedad demandante la providencia dictada el 1 de abril de 2011 por la Sala Tercera del Tribunal Supremo por la que se pone de manifiesto a las partes, para alegaciones, conforme a lo previsto en el art. 93.3 LJCA, la posible concurrencia de la causa de inadmisión consistente en no haberse indicado en el escrito de preparación del recurso las concretas infracciones normativas o jurisprudenciales que iban a desarrollarse en el escrito de interposición [arts. 88.1, 89.1 y 93.2.a) LJCA y ATS de 10 de febrero de 2011, dictado en el recurso de casación núm. 2927-2010].</w:t>
      </w:r>
    </w:p>
    <w:p w:rsidR="0085709A" w:rsidRDefault="0085709A" w:rsidP="0085709A">
      <w:pPr>
        <w:pStyle w:val="TextoNormal"/>
      </w:pPr>
    </w:p>
    <w:p w:rsidR="0085709A" w:rsidRDefault="0085709A" w:rsidP="0085709A">
      <w:pPr>
        <w:pStyle w:val="TextoNormal"/>
      </w:pPr>
      <w:r>
        <w:t>e) La sociedad demandante de amparo presentó escrito de alegaciones ante la Sala Tercera del Tribunal Supremo el 19 de abril de 2011, razonando que su escrito de preparación fue presentado con anterioridad al cambio de criterio jurisprudencial sentado por el ATS de 10 de febrero de 2011 (recurso 2927-2010) y que fue redactado cumpliendo los requisitos exigidos según el criterio jurisprudencial existente en el momento de presentación del mismo, sin perjuicio de lo cual ha procedido, al tener conocimiento de ese cambio de criterio, a presentar escrito de adecuación de la preparación del recurso de casación a los nuevos requisitos exigidos por el citado ATS de 10 de febrero de 2011; por todo ello concluye interesando la admisión del recurso de casación, con invocación del derecho a la tutela judicial efectiva sin indefensión (art. 24.1 CE).</w:t>
      </w:r>
    </w:p>
    <w:p w:rsidR="0085709A" w:rsidRDefault="0085709A" w:rsidP="0085709A">
      <w:pPr>
        <w:pStyle w:val="TextoNormal"/>
      </w:pPr>
    </w:p>
    <w:p w:rsidR="0085709A" w:rsidRDefault="0085709A" w:rsidP="0085709A">
      <w:pPr>
        <w:pStyle w:val="TextoNormal"/>
      </w:pPr>
      <w:r>
        <w:t>f) Por Auto de 20 de octubre de 2011 la Sala Tercera del Tribunal Supremo (Sección Primera) declaró la inadmisión del recurso de casación. La Sala se remitió al ATS de 10 de febrero de 2011 (recurso 2927-2010), del que transcribió varios de sus fundamentos, a la vista de los cuales concluyó que, no habiéndose citado en el escrito de preparación del recurso formalizado por la sociedad recurrente las infracciones normativas o jurisprudenciales que iban a desarrollarse en el escrito de interposición, procedía la inadmisión del recurso.</w:t>
      </w:r>
    </w:p>
    <w:p w:rsidR="0085709A" w:rsidRDefault="0085709A" w:rsidP="0085709A">
      <w:pPr>
        <w:pStyle w:val="TextoNormal"/>
      </w:pPr>
    </w:p>
    <w:p w:rsidR="0085709A" w:rsidRDefault="0085709A" w:rsidP="0085709A">
      <w:pPr>
        <w:pStyle w:val="TextoNormal"/>
      </w:pPr>
      <w:r>
        <w:t xml:space="preserve">g) El 23 de diciembre de 2011 la sociedad demandante de amparo promovió incidente de nulidad de actuaciones contra el Auto de inadmisión. En su escrito, con una extensa argumentación (que desarrolla la expuesta en el trámite de alegaciones sobre la admisibilidad del recurso de casación), alegó la vulneración del derecho a la igualdad en la aplicación judicial de la ley (art. 14 CE) y del derecho a la tutela judicial efectiva en su vertiente de acceso a los recursos (art. 24.1 CE). Sostuvo, en resumen, que el Tribunal Supremo había </w:t>
      </w:r>
      <w:r>
        <w:lastRenderedPageBreak/>
        <w:t>modificado de manera arbitraria, sin motivación y sin vocación de permanencia, su jurisprudencia sobre los requisitos del escrito de preparación del recurso de casación contra sentencias dictadas por la Audiencia Nacional, exigiendo un requisito de marcado carácter formalista no contemplado en la ley y aplicándolo a escritos de preparación del recurso de casación presentados con anterioridad a la adopción del nuevo criterio del Tribunal Supremo en el ATS de 10 de febrero de 2011, dictado en el recurso 2927-2010 (de modo que tal criterio novedoso no era conocido en la fecha en que se preparó el recurso de casación), causando con ello indefensión a la recurrente; a lo que añade que el Tribunal Supremo no ha tenido en cuenta que la recurrente procedió, al tener conocimiento de ese cambio de criterio jurisprudencial, a adecuar su escrito de preparación del recurso de casación a los nuevos requisitos exigidos por el citado ATS de 10 de febrero de 2011.</w:t>
      </w:r>
    </w:p>
    <w:p w:rsidR="0085709A" w:rsidRDefault="0085709A" w:rsidP="0085709A">
      <w:pPr>
        <w:pStyle w:val="TextoNormal"/>
      </w:pPr>
    </w:p>
    <w:p w:rsidR="0085709A" w:rsidRDefault="0085709A" w:rsidP="0085709A">
      <w:pPr>
        <w:pStyle w:val="TextoNormal"/>
      </w:pPr>
      <w:r>
        <w:t>h) Por Auto de 22 de marzo de 2012 fue desestimado el incidente de nulidad promovido contra el Auto de 20 de octubre de 2011. La Sala de lo Contencioso-Administrativo del Tribunal Supremo considera que la recurrente se limita a reiterar los argumentos aducidos en el trámite de alegaciones conferido en virtud de lo dispuesto en el art. 93.3 LJCA, que han recibido respuesta motivada en el Auto de 20 de octubre de 2011 por el que se declara la inadmisión del recurso de casación interpuesto contra la Sentencia de la Sección Segunda de la Sala de lo Contencioso-Administrativo de la Audiencia Nacional de 22 de julio de 2010.</w:t>
      </w:r>
    </w:p>
    <w:p w:rsidR="0085709A" w:rsidRDefault="0085709A" w:rsidP="0085709A">
      <w:pPr>
        <w:pStyle w:val="TextoNormal"/>
      </w:pPr>
    </w:p>
    <w:p w:rsidR="0085709A" w:rsidRDefault="0085709A" w:rsidP="0085709A">
      <w:pPr>
        <w:pStyle w:val="TextoNormal"/>
      </w:pPr>
      <w:r w:rsidRPr="0085709A">
        <w:rPr>
          <w:rStyle w:val="NumeroAFNegritaCaracter"/>
        </w:rPr>
        <w:t>3</w:t>
      </w:r>
      <w:r>
        <w:t>. La sociedad mercantil recurrente fundamenta su demanda de amparo en las quejas que a continuación se resumen.</w:t>
      </w:r>
    </w:p>
    <w:p w:rsidR="0085709A" w:rsidRDefault="0085709A" w:rsidP="0085709A">
      <w:pPr>
        <w:pStyle w:val="TextoNormal"/>
      </w:pPr>
    </w:p>
    <w:p w:rsidR="0085709A" w:rsidRDefault="0085709A" w:rsidP="0085709A">
      <w:pPr>
        <w:pStyle w:val="TextoNormal"/>
      </w:pPr>
      <w:r>
        <w:t xml:space="preserve">a) El Auto de 20 de octubre de 2011 ha vulnerado su derecho a la tutela judicial efectiva (art. 24.1 CE), en la vertiente de acceso a los recursos, porque se funda en el requisito de anticipar en el escrito de preparación del recurso de casación los concretos preceptos o la jurisprudencia que se reputan infringidos, exigencia que carece de cobertura en la Ley reguladora de la jurisdicción contencioso-administrativa. Esta Ley —subraya— solo exige dicho requisito en el supuesto concreto del art. 89.2 LJCA para resoluciones dictadas por los Tribunales Superiores de Justicia. La recurrente no atribuye la infracción al mero cambio de criterio del Tribunal Supremo iniciado a partir del ATS de 10 de febrero de 2011 (recurso 2927-2010), sobre el que se articula el Auto de 20 de octubre de 2011 que inadmite su recurso de casación, sino que la imputa a que el mismo carece de motivación jurídica y es arbitrario en cuanto demanda, </w:t>
      </w:r>
      <w:r w:rsidRPr="0085709A">
        <w:rPr>
          <w:i/>
        </w:rPr>
        <w:t>ex novo</w:t>
      </w:r>
      <w:r>
        <w:t xml:space="preserve"> y con carácter retroactivo, un requisito no exigido en la Ley reguladora de la jurisdicción contencioso-administrativa ni en la jurisprudencia anterior, que había quedado fijada en los Autos del Tribunal Supremo 573/2010, de 14 de octubre de 2010 y 3461/2010, de 18 de noviembre de 2010, entre otros. Además, esta nueva interpretación jurisprudencial violenta el tenor de la norma legal y genera indefensión, pues supone convertir el escrito de preparación en escrito de interposición, con la consecuencia de que plazo de treinta días previsto para este en la ley, queda en la práctica reducido a un plazo de diez días (que es el previsto legalmente para presentar el escrito de preparación).</w:t>
      </w:r>
    </w:p>
    <w:p w:rsidR="0085709A" w:rsidRDefault="0085709A" w:rsidP="0085709A">
      <w:pPr>
        <w:pStyle w:val="TextoNormal"/>
      </w:pPr>
    </w:p>
    <w:p w:rsidR="0085709A" w:rsidRDefault="0085709A" w:rsidP="0085709A">
      <w:pPr>
        <w:pStyle w:val="TextoNormal"/>
      </w:pPr>
      <w:r>
        <w:t xml:space="preserve">b) El Auto de 20 de octubre de 2011 ha vulnerado su derecho a la tutela judicial efectiva (art. 24.1 CE), en la vertiente de acceso a los recursos, porque la exigencia de anticipar en el escrito de preparación del recurso de casación los concretos preceptos o la jurisprudencia que se reputan infringidos, además de su carácter marcadamente formalista, se ha aplicado con carácter retroactivo, en un momento en que tal exigencia no era conocida ni predecible </w:t>
      </w:r>
      <w:r>
        <w:lastRenderedPageBreak/>
        <w:t>a tenor de la jurisprudencia precedente. La recurrente preparó su recurso de casación con anterioridad al sorpresivo cambio de criterio del Tribunal Supremo en el ATS de 10 de febrero de 2011 (recurso 2927-2010).</w:t>
      </w:r>
    </w:p>
    <w:p w:rsidR="0085709A" w:rsidRDefault="0085709A" w:rsidP="0085709A">
      <w:pPr>
        <w:pStyle w:val="TextoNormal"/>
      </w:pPr>
    </w:p>
    <w:p w:rsidR="0085709A" w:rsidRDefault="0085709A" w:rsidP="0085709A">
      <w:pPr>
        <w:pStyle w:val="TextoNormal"/>
      </w:pPr>
      <w:r>
        <w:t>c) El Auto de 20 de octubre de 2011 ha vulnerado su derecho a la igualdad en la aplicación judicial de la ley (art. 14 CE), pues entiende la recurrente que el Auto impugnado se aparta de una línea doctrinal previa y reiterada sin una motivación razonable; se trata de un cambio de criterio arbitrario, en cuanto viene a exigir un requisito no exigido en la ley ni en la consolidada doctrina de la propia Sala Tercera del Tribunal Supremo, con el único designio de descongestionar el trabajo de la Sala.</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2 de marzo de 2015, la Sala Primera de este Tribunal acordó la admisión a trámite de la demanda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0085709A" w:rsidRDefault="0085709A" w:rsidP="0085709A">
      <w:pPr>
        <w:pStyle w:val="TextoNormal"/>
      </w:pPr>
    </w:p>
    <w:p w:rsidR="0085709A" w:rsidRDefault="0085709A" w:rsidP="0085709A">
      <w:pPr>
        <w:pStyle w:val="TextoNormal"/>
      </w:pPr>
      <w:r>
        <w:t>Asimismo, en aplicación de lo dispuesto en el art. 51 LOTC, acordó dirigir atenta comunicación a la Sección Primera de la Sala de lo Contencioso-Administrativo del Tribunal Supremo y a la Sección Segunda de la Sala de lo Contencioso-Administrativo de la Audiencia Nacional a fin de que, en el plazo de diez días, remitieran certificación o fotocopia adverada de las actuaciones correspondientes al recurso de casación núm. 5417-2010 y al procedimiento núm. 210-2007, respectivamente, interesándose al tiempo el emplazamiento de quienes hubieran sido parte en el procedimiento, excepto a la recurrente en amparo, para que en el plazo de diez días pudieran comparecer en el presente proceso constitucional. Se acordó también notificar la providencia, con efectos de emplazamiento, al Abogado del Estado, en la representación que legalmente ostenta.</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 la Secretaría de Justicia de la Sala Primera de este Tribunal de fecha 21 de abril de 2015 se tuvieron por recibidos los testimonios de las actuaciones remitidos por el Tribunal Supremo y por la Audiencia Nacional, y el escrito del Abogado del Estado, a quien se tuvo por personado y parte en representación de la Administración del Estado. Y, a tenor de lo dispuesto en el art. 52 LOTC, se dio vista de las actuaciones, por un plazo común de veinte días, al Ministerio Fiscal, al Abogado del Estado y a la Procuradora de la sociedad recurrente en amparo para que dentro de dicho término pudieran presentar las alegaciones que a su derecho convinieran.</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presentó sus alegaciones mediante escrito registrado en este Tribunal el 20 de mayo de 2015.</w:t>
      </w:r>
    </w:p>
    <w:p w:rsidR="0085709A" w:rsidRDefault="0085709A" w:rsidP="0085709A">
      <w:pPr>
        <w:pStyle w:val="TextoNormal"/>
      </w:pPr>
    </w:p>
    <w:p w:rsidR="0085709A" w:rsidRDefault="0085709A" w:rsidP="0085709A">
      <w:pPr>
        <w:pStyle w:val="TextoNormal"/>
      </w:pPr>
      <w:r>
        <w:t xml:space="preserve">Sostiene el Abogado del Estado que la exigencia introducida por el Tribunal Supremo en el ATS de 10 de febrero de 2011 (recurso 2927-2010), para los supuestos de recurso de casación contra sentencias de la Audiencia Nacional, de anticipar resumidamente en el escrito de preparación del recurso las infracciones normativas o jurisprudenciales que luego se van a desarrollar en el escrito de interposición, no puede calificarse de arbitraria ni irrazonable, por lo que desde esta perspectiva queda excluida la vulneración del derecho a la tutela judicial efectiva (art. 24.1 CE). Sin embargo, tras recordar la doctrina constitucional </w:t>
      </w:r>
      <w:r>
        <w:lastRenderedPageBreak/>
        <w:t>sobre la inadmisión del recurso de casación contencioso-administrativo por defectos insubsanables del escrito de preparación y analizar el art. 89.1 LJCA, el Abogado del Estado concluye que la aplicación del nuevo criterio jurisprudencial introducido por el referido ATS de 10 de febrero de 2011 —que la recurrente no podía conocer cuando presentó el escrito de preparación de su recurso de casación— para inadmitir el recurso porque no se preparó conforme a esa nueva exigencia jurisprudencial, supone imponer retroactivamente un novedoso régimen procesal desfavorable a la realización de un acto procesal totalmente concluido, lo que resulta contrario al derecho a la tutela judicial efectiva en su vertiente de acceso a los recursos. Por ello, interesa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0085709A" w:rsidRDefault="0085709A" w:rsidP="0085709A">
      <w:pPr>
        <w:pStyle w:val="TextoNormal"/>
      </w:pPr>
    </w:p>
    <w:p w:rsidR="0085709A" w:rsidRDefault="0085709A" w:rsidP="0085709A">
      <w:pPr>
        <w:pStyle w:val="TextoNormal"/>
      </w:pPr>
      <w:r>
        <w:t>A ello añade el Abogado del Estado (con cita, por todas, de la STC 52/2015, de 16 de marzo), que ha existido una especial diligencia en la demandante de amparo que, al conocer el cambio de criterio del Tribunal Supremo, presentó escrito de subsanación del escrito de preparación del recurso de casación con fecha 4 de abril de 2011.</w:t>
      </w:r>
    </w:p>
    <w:p w:rsidR="0085709A" w:rsidRDefault="0085709A" w:rsidP="0085709A">
      <w:pPr>
        <w:pStyle w:val="TextoNormal"/>
      </w:pPr>
    </w:p>
    <w:p w:rsidR="0085709A" w:rsidRDefault="0085709A" w:rsidP="0085709A">
      <w:pPr>
        <w:pStyle w:val="TextoNormal"/>
      </w:pPr>
      <w:r w:rsidRPr="0085709A">
        <w:rPr>
          <w:rStyle w:val="NumeroAFNegritaCaracter"/>
        </w:rPr>
        <w:t>7</w:t>
      </w:r>
      <w:r>
        <w:t>. La sociedad recurrente presentó escrito de alegaciones, registrado en este Tribunal el 22 de mayo de 2015, ratificándose íntegramente en lo expuesto en la demanda de amparo.</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formuló alegaciones mediante escrito registrado en este Tribunal el 29 de mayo de 2015, interesando la estimación del recurso de amparo por vulneración del derecho de la recurrente a la tutela judicial efectiva (art. 24.1 CE), en la vertiente de acceso a los recursos legalmente establecidos, conforme a la reiterada doctrina sentada por el Tribunal Constitucional en asuntos idénticos al presente (STC 7/2015, de 22 de enero, y posteriores).</w:t>
      </w:r>
    </w:p>
    <w:p w:rsidR="0085709A" w:rsidRDefault="0085709A" w:rsidP="0085709A">
      <w:pPr>
        <w:pStyle w:val="TextoNormal"/>
      </w:pPr>
    </w:p>
    <w:p w:rsidR="0085709A" w:rsidRDefault="0085709A" w:rsidP="0085709A">
      <w:pPr>
        <w:pStyle w:val="TextoNormal"/>
      </w:pPr>
      <w:r w:rsidRPr="0085709A">
        <w:rPr>
          <w:rStyle w:val="NumeroAFNegritaCaracter"/>
        </w:rPr>
        <w:t>9</w:t>
      </w:r>
      <w:r>
        <w:t>. Por providencia de 18 de junio de 2015 se señaló para la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sociedad recurrente en amparo alega que la decisión judicial de inadmitir su recurso de casación, por no haber citado en el escrito de preparación los concretos preceptos o la jurisprudencia que se reputan infringidos, vulnera el derecho a la tutela judicial efectiva (art. 24.1 CE) desde la perspectiva del derecho de acceso al recurso; se aplicaría una causa de inadmisión carente de cobertura legal y además se trataría de una exigencia que no era conocida ni predecible a tenor de la jurisprudencia aplicable en el momento en que se presentó el escrito de preparación, a pesar de lo cual se intentó su subsanación; asimismo lesiona el derecho a la igualdad en la aplicación de la ley (art. 14 CE).</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2</w:t>
      </w:r>
      <w:r>
        <w:t>. . Los problemas planteados en la demanda de amparo han sido ya examinados por el Pleno de este Tribunal en la STC 7/2015, de 22 de enero, cuya doctrina hemos reiterado en numerosos pronunciamientos posteriores.</w:t>
      </w:r>
    </w:p>
    <w:p w:rsidR="0085709A" w:rsidRDefault="0085709A" w:rsidP="0085709A">
      <w:pPr>
        <w:pStyle w:val="TextoNormal"/>
      </w:pPr>
    </w:p>
    <w:p w:rsidR="0085709A" w:rsidRDefault="0085709A" w:rsidP="0085709A">
      <w:pPr>
        <w:pStyle w:val="TextoNormal"/>
      </w:pPr>
      <w:r>
        <w:t>Por tanto, con remisión a lo expuesto en la STC 7/2015, debe desestimarse la lesión aducida del derecho a la tutela judicial efectiva (art. 24.1 CE) por la falta de cobertura legal de la causa de inadmisión apreciada; tal como se argumentó extensamente en la STC 7/2015, FJ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0085709A" w:rsidRDefault="0085709A" w:rsidP="0085709A">
      <w:pPr>
        <w:pStyle w:val="TextoNormal"/>
      </w:pPr>
    </w:p>
    <w:p w:rsidR="0085709A" w:rsidRDefault="0085709A" w:rsidP="0085709A">
      <w:pPr>
        <w:pStyle w:val="TextoNormal"/>
      </w:pPr>
      <w:r>
        <w:t xml:space="preserve">Igualmente debe descartarse la lesión aducida del derecho a la igualdad en la aplicación de la ley. En la STC 7/2015, FJ 4,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w:t>
      </w:r>
      <w:r w:rsidRPr="0085709A">
        <w:rPr>
          <w:i/>
        </w:rPr>
        <w:t>ad casum</w:t>
      </w:r>
      <w:r>
        <w:t xml:space="preserve"> o </w:t>
      </w:r>
      <w:r w:rsidRPr="0085709A">
        <w:rPr>
          <w:i/>
        </w:rPr>
        <w:t>ad personam</w:t>
      </w:r>
      <w:r>
        <w:t xml:space="preserve"> (para un caso o para una persona) y razona explícitamente la alteración doctrinal; la justifica a partir de la finalidad que debe cumplir el escrito de preparación del recurso de casación.</w:t>
      </w:r>
    </w:p>
    <w:p w:rsidR="0085709A" w:rsidRDefault="0085709A" w:rsidP="0085709A">
      <w:pPr>
        <w:pStyle w:val="TextoNormal"/>
      </w:pPr>
    </w:p>
    <w:p w:rsidR="0085709A" w:rsidRDefault="0085709A" w:rsidP="0085709A">
      <w:pPr>
        <w:pStyle w:val="TextoNormal"/>
      </w:pPr>
      <w:r>
        <w:t>Por el contrario, debe declararse la vulneración del derecho a la tutela judicial efectiva (art. 24.1 CE) fundamentada en que, contrariamente al parámetro de racionalidad, la decisión de inadmisión impugnada no tomó en consideración que la falta de cumplimiento del requisito controvertido, que no era conocido ni predecible para la recurrente en el momento en que se presentó el escrito de preparación, se intentó subsanar, una vez establecido este nuevo criterio jurisprudencial, mediante la presentación de un escrito complementario de adecuación a las nuevas exigencias (STC 7/2015, FJ 3).</w:t>
      </w:r>
    </w:p>
    <w:p w:rsidR="0085709A" w:rsidRDefault="0085709A" w:rsidP="0085709A">
      <w:pPr>
        <w:pStyle w:val="TextoNormal"/>
      </w:pPr>
    </w:p>
    <w:p w:rsidR="0085709A" w:rsidRDefault="0085709A" w:rsidP="0085709A">
      <w:pPr>
        <w:pStyle w:val="TextoNormal"/>
      </w:pPr>
      <w:r>
        <w:t>Tal como también se expuso en la citada STC 7/2015, FJ 3, el derecho a la tutela judicial efectiva requiere la anulación de las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la entidad Banco Sabadell, S.A., y en su virtud:</w:t>
      </w:r>
    </w:p>
    <w:p w:rsidR="0085709A" w:rsidRDefault="0085709A" w:rsidP="0085709A">
      <w:pPr>
        <w:pStyle w:val="TextoNormal"/>
      </w:pPr>
    </w:p>
    <w:p w:rsidR="0085709A" w:rsidRDefault="0085709A" w:rsidP="0085709A">
      <w:pPr>
        <w:pStyle w:val="TextoNormal"/>
      </w:pPr>
      <w:r>
        <w:lastRenderedPageBreak/>
        <w:t>1º Declarar que ha sido vulnerado el derecho fundamental de la demandante de amparo a la tutela judicial efectiva (art. 24.1 CE).</w:t>
      </w:r>
    </w:p>
    <w:p w:rsidR="0085709A" w:rsidRDefault="0085709A" w:rsidP="0085709A">
      <w:pPr>
        <w:pStyle w:val="TextoNormal"/>
      </w:pPr>
    </w:p>
    <w:p w:rsidR="0085709A" w:rsidRDefault="0085709A" w:rsidP="0085709A">
      <w:pPr>
        <w:pStyle w:val="TextoNormal"/>
      </w:pPr>
      <w:r>
        <w:t>2º Restablecerla en su derecho y, en consecuencia, declarar la nulidad de los Autos de 20 de octubre de 2011 y de 22 de marzo de 2012, dictados en el recurso de casación núm. 5417-2010 por la Sección Primera de la Sala de lo Contencioso-Administrativo del Tribunal Supremo.</w:t>
      </w:r>
    </w:p>
    <w:p w:rsidR="0085709A" w:rsidRDefault="0085709A" w:rsidP="0085709A">
      <w:pPr>
        <w:pStyle w:val="TextoNormal"/>
      </w:pPr>
    </w:p>
    <w:p w:rsidR="0085709A" w:rsidRDefault="0085709A" w:rsidP="0085709A">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5709A" w:rsidRDefault="0085709A" w:rsidP="0085709A">
      <w:pPr>
        <w:pStyle w:val="TextoNormal"/>
      </w:pPr>
    </w:p>
    <w:p w:rsidR="0085709A" w:rsidRDefault="0085709A" w:rsidP="0085709A">
      <w:pPr>
        <w:pStyle w:val="TextoNormal"/>
      </w:pPr>
      <w:r>
        <w:t>4º Desestimar el recurso en todo lo demás.</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junio de dos mil quince.</w:t>
      </w:r>
    </w:p>
    <w:p w:rsidR="0085709A" w:rsidRDefault="0085709A" w:rsidP="0085709A">
      <w:pPr>
        <w:pStyle w:val="ParrafoNormal"/>
      </w:pPr>
    </w:p>
    <w:p w:rsidR="0085709A" w:rsidRDefault="0085709A" w:rsidP="0085709A">
      <w:pPr>
        <w:pStyle w:val="TextoNormalNegritaCentrado"/>
        <w:keepNext/>
      </w:pPr>
      <w:r>
        <w:t>Voto particular que formula el Magistrado don Juan Antonio Xiol Ríos a la Sentencia dictada en el recurso de amparo núm. 3457-2012.</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de esta.</w:t>
      </w:r>
    </w:p>
    <w:p w:rsidR="0085709A" w:rsidRDefault="0085709A" w:rsidP="0085709A">
      <w:pPr>
        <w:pStyle w:val="TextoNormal"/>
      </w:pPr>
    </w:p>
    <w:p w:rsidR="0085709A" w:rsidRDefault="0085709A" w:rsidP="0085709A">
      <w:pPr>
        <w:pStyle w:val="TextoNormal"/>
      </w:pPr>
      <w:r>
        <w:t>Las razones de mi discrepancia son coincidentes con las que ya fueron expuestas en los Votos particulares formulados a la SSTC 7/2015, de 22 de enero; y 16/2015, de 16 de febrero, a los que para evitar reiteraciones innecesarias me remito.</w:t>
      </w:r>
    </w:p>
    <w:p w:rsidR="0085709A" w:rsidRDefault="0085709A" w:rsidP="0085709A">
      <w:pPr>
        <w:pStyle w:val="TextoNormal"/>
      </w:pPr>
    </w:p>
    <w:p w:rsidR="0085709A" w:rsidRDefault="0085709A" w:rsidP="0085709A">
      <w:pPr>
        <w:pStyle w:val="TextoNormal"/>
      </w:pPr>
      <w:r>
        <w:t>Madrid, a veintidós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3" w:name="SENTENCIA_2015_140"/>
      <w:r>
        <w:lastRenderedPageBreak/>
        <w:t>SENTENCIA 140/2015, de 22 de junio de 2015</w:t>
      </w:r>
    </w:p>
    <w:bookmarkEnd w:id="143"/>
    <w:p w:rsidR="0085709A" w:rsidRDefault="0085709A" w:rsidP="0085709A">
      <w:pPr>
        <w:pStyle w:val="TtuloResolucin"/>
      </w:pPr>
      <w:r>
        <w:t>Sala Segunda</w:t>
      </w:r>
    </w:p>
    <w:p w:rsidR="0085709A" w:rsidRDefault="0085709A" w:rsidP="0085709A">
      <w:pPr>
        <w:pStyle w:val="TtuloBOE"/>
      </w:pPr>
      <w:r>
        <w:t>(BOE núm. 182, de 31 de julio de 2015)</w:t>
      </w:r>
    </w:p>
    <w:p w:rsidR="0085709A" w:rsidRDefault="0085709A" w:rsidP="0085709A">
      <w:pPr>
        <w:pStyle w:val="TextoNormalCentrado"/>
      </w:pPr>
      <w:r>
        <w:t>ECLI:ES:TC:2015:140</w:t>
      </w:r>
    </w:p>
    <w:p w:rsidR="0085709A" w:rsidRDefault="0085709A" w:rsidP="0085709A">
      <w:pPr>
        <w:pStyle w:val="TextoNormalCentrado"/>
      </w:pPr>
    </w:p>
    <w:p w:rsidR="0085709A" w:rsidRDefault="0085709A" w:rsidP="0085709A">
      <w:pPr>
        <w:pStyle w:val="SntesisDescriptiva"/>
      </w:pPr>
      <w:r>
        <w:t>Cuestión de inconstitucionalidad 693-2014. Planteada por la Sala de lo Social del Tribunal Superior de Justicia del País Vasco respecto del apartado primero del artículo 4.3 de la Ley 3/2012, de 6 de julio, de medidas urgentes para la reforma del mercado laboral.</w:t>
      </w:r>
    </w:p>
    <w:p w:rsidR="0085709A" w:rsidRDefault="0085709A" w:rsidP="0085709A">
      <w:pPr>
        <w:pStyle w:val="SntesisDescriptiva"/>
      </w:pPr>
    </w:p>
    <w:p w:rsidR="0085709A" w:rsidRDefault="0085709A" w:rsidP="0085709A">
      <w:pPr>
        <w:pStyle w:val="SntesisAnaltica"/>
      </w:pPr>
      <w:r>
        <w:t>Derechos a la igualdad, a la libertad sindical, a la tutela judicial efectiva, a la negociación colectiva y al acceso a las funciones públicas en condiciones de igualdad, principio de interdicción de la arbitrariedad: STC 119/2014 (constitucionalidad del período de prueba establecido para el contrato de trabajo por tiempo indefinido de apoyo a los emprendedores). Voto particular.</w:t>
      </w:r>
    </w:p>
    <w:p w:rsidR="0085709A" w:rsidRDefault="0085709A" w:rsidP="0085709A">
      <w:pPr>
        <w:pStyle w:val="SntesisAnaltica"/>
      </w:pPr>
    </w:p>
    <w:p w:rsidR="0085709A" w:rsidRDefault="0085709A" w:rsidP="0085709A">
      <w:pPr>
        <w:pStyle w:val="Extracto"/>
      </w:pPr>
      <w:r>
        <w:t>1.</w:t>
      </w:r>
      <w:r>
        <w:tab/>
        <w:t>La cuestión planteada relativa a la fijación de un período de prueba de un año en el contrato indefinido de apoyo a los emprendedores es sustancialmente similar a la decidida por la STC 119/2014, reiterada por la STC 8/2015 [FJ 2 a)].</w:t>
      </w:r>
    </w:p>
    <w:p w:rsidR="0085709A" w:rsidRDefault="0085709A" w:rsidP="0085709A">
      <w:pPr>
        <w:pStyle w:val="Extracto"/>
      </w:pPr>
    </w:p>
    <w:p w:rsidR="0085709A" w:rsidRDefault="0085709A" w:rsidP="0085709A">
      <w:pPr>
        <w:pStyle w:val="Extracto"/>
      </w:pPr>
      <w:r>
        <w:t>2.</w:t>
      </w:r>
      <w:r>
        <w:tab/>
        <w:t>La fijación de un periodo de prueba de un año en el contrato indefinido de apoyo a los emprendedores no vulnera el art. 35.1 CE pues, en términos razonables y proporcionados, pretende favorecer el acceso de desempleados a un puesto de trabajo estable, en el marco de una excepcional coyuntura de emergencia, caracterizada por elevadísimos niveles de desempleo, en ejecución del mandato que a los poderes públicos dirige el art. 40.1 CE (SSTC 119/2014, 8/2015) [FJ 2 b)].</w:t>
      </w:r>
    </w:p>
    <w:p w:rsidR="0085709A" w:rsidRDefault="0085709A" w:rsidP="0085709A">
      <w:pPr>
        <w:pStyle w:val="Extracto"/>
      </w:pPr>
    </w:p>
    <w:p w:rsidR="0085709A" w:rsidRDefault="0085709A" w:rsidP="0085709A">
      <w:pPr>
        <w:pStyle w:val="Extracto"/>
      </w:pPr>
      <w:r>
        <w:t>3.</w:t>
      </w:r>
      <w:r>
        <w:tab/>
        <w:t>El período de prueba de un año en el contrato por tiempo indefinido de apoyo a los emprendedores actúa como garantía para evitar que, a través de la negociación colectiva, se pueda eliminar el potencial incentivo a la contratación indefinida que ha querido introducir el legislador, impidiendo que la autonomía colectiva pueda frustrar el objetivo de creación de empleo estable que se pretende alcanzar a través de esta modalidad contractual y su régimen jurídico, sin que la decisión legislativa pueda tildarse de lesiva del art. 37.1 CE (SSTC 119/2014, 8/2015) [FJ 2 c)].</w:t>
      </w:r>
    </w:p>
    <w:p w:rsidR="0085709A" w:rsidRDefault="0085709A" w:rsidP="0085709A">
      <w:pPr>
        <w:pStyle w:val="Extracto"/>
      </w:pPr>
    </w:p>
    <w:p w:rsidR="0085709A" w:rsidRDefault="0085709A" w:rsidP="0085709A">
      <w:pPr>
        <w:pStyle w:val="Extracto"/>
      </w:pPr>
      <w:r>
        <w:t>4.</w:t>
      </w:r>
      <w:r>
        <w:tab/>
        <w:t>El período de prueba de un año en el contrato indefinido se dirige a facilitar el mutuo conocimiento de las partes y de las condiciones de prestación de la actividad laboral, acreditar que el trabajador posee las aptitudes necesarias para su contratación, y, desde la perspectiva empresarial, a verificar si el puesto de trabajo es económicamente sostenible y puede mantenerse en el tiempo, lo que justifica que el legislador haya fijado un período de duración de un año para todos los trabajadores, sin distinguir por su categoría o cualificación (STC 119/2014) [FJ 2 a)].</w:t>
      </w:r>
    </w:p>
    <w:p w:rsidR="0085709A" w:rsidRDefault="0085709A" w:rsidP="0085709A">
      <w:pPr>
        <w:pStyle w:val="Extracto"/>
      </w:pPr>
    </w:p>
    <w:p w:rsidR="0085709A" w:rsidRDefault="0085709A" w:rsidP="0085709A">
      <w:pPr>
        <w:pStyle w:val="Extracto"/>
      </w:pPr>
      <w:r>
        <w:t>5.</w:t>
      </w:r>
      <w:r>
        <w:tab/>
        <w:t xml:space="preserve">El período de prueba de un año en el contrato indefinido se dirige a facilitar el mutuo conocimiento de las partes y de las condiciones de prestación de la actividad laboral, acreditar que el trabajador posee las aptitudes necesarias para su contratación, y, desde la perspectiva empresarial, a verificar si el puesto de trabajo es económicamente sostenible y puede mantenerse en el tiempo, lo que justifica que </w:t>
      </w:r>
      <w:r>
        <w:lastRenderedPageBreak/>
        <w:t>el legislador haya fijado un período de duración de un año para todos los trabajadores, sin distinguir por su categoría o cualificación (STC 119/2014) [FJ 2 a)].</w:t>
      </w:r>
    </w:p>
    <w:p w:rsidR="0085709A" w:rsidRDefault="0085709A" w:rsidP="0085709A">
      <w:pPr>
        <w:pStyle w:val="Extracto"/>
      </w:pPr>
    </w:p>
    <w:p w:rsidR="0085709A" w:rsidRDefault="0085709A" w:rsidP="0085709A">
      <w:pPr>
        <w:pStyle w:val="Extracto"/>
      </w:pPr>
      <w:r>
        <w:t>6.</w:t>
      </w:r>
      <w:r>
        <w:tab/>
        <w:t>El carácter excepcional y temporal del período de un año de prueba, su limitado alcance y su finalidad de fomentar la contratación y el empleo estable  durante una situación de crisis económica, permiten apreciar que concurre la proporción exigible entre el sacrificio que a las garantías del trabajador supone la adopción de la medida y los beneficios, individuales y colectivos, que la misma reporta y la medida puede calificarse como necesaria e idónea para la consecución de la legítima finalidad pretendida (SSTC 119/2014, 8/2015) [FJ 2 b)].</w:t>
      </w:r>
    </w:p>
    <w:p w:rsidR="0085709A" w:rsidRDefault="0085709A" w:rsidP="0085709A">
      <w:pPr>
        <w:pStyle w:val="Extracto"/>
      </w:pPr>
    </w:p>
    <w:p w:rsidR="0085709A" w:rsidRDefault="0085709A" w:rsidP="0085709A">
      <w:pPr>
        <w:pStyle w:val="Extracto"/>
      </w:pPr>
      <w:r>
        <w:t>7.</w:t>
      </w:r>
      <w:r>
        <w:tab/>
        <w:t>El reconocimiento del desistimiento empresarial durante el período de prueba en el contrato por tiempo indefinido de apoyo a los emprendedores no vulnera el derecho a la tutela judicial efectiva, pues está garantizado el pleno acceso a la tutela de los Jueces y Tribunales para impugnar las decisiones no ajustadas al régimen jurídico establecido por la Ley, ya sea por el ejercicio del desistimiento una vez transcurrido el período máximo de duración del periodo de prueba, o porque se haya establecido el período de prueba en supuestos en los que la propia Ley lo excluye expresamente (SSTC 119/2014, 8/2015) [FJ 2 d)].</w:t>
      </w:r>
    </w:p>
    <w:p w:rsidR="0085709A" w:rsidRDefault="0085709A" w:rsidP="0085709A">
      <w:pPr>
        <w:pStyle w:val="Extracto"/>
      </w:pPr>
    </w:p>
    <w:p w:rsidR="0085709A" w:rsidRDefault="0085709A" w:rsidP="0085709A">
      <w:pPr>
        <w:pStyle w:val="Extracto"/>
      </w:pPr>
      <w:r>
        <w:t>8.</w:t>
      </w:r>
      <w:r>
        <w:tab/>
        <w:t>El derecho a la tutela judicial efectiva,</w:t>
      </w:r>
      <w:r w:rsidRPr="0085709A">
        <w:rPr>
          <w:i/>
        </w:rPr>
        <w:t xml:space="preserve"> ex </w:t>
      </w:r>
      <w:r>
        <w:t>art. 24.1 CE, no garantiza el acceso a la jurisdicción para exigir una justificación causal del desistimiento empresarial en todo caso, o una indemnización en caso de desistimiento, exigencias que la norma sustantiva no contempla en la configuración del periodo de prueba (SSTC 119/2014, 8/2015) [FJ 2 d)].</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693-2014, promovida por la Sala de lo Social del Tribunal Superior de Justicia del País Vasco contra el apartado 1 del art. 4.3 de la Ley 3/2012, de 6 de julio, de medidas urgentes para la reforma del mercado laboral, por posible vulneración de los arts. 9.3, 14, 24.1, 35.1 y 37.1 CE. Han formulado alegaciones el Abogado del Estado y el Fiscal General del Estado.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5 de febrero de 2014 tuvo entrada en el Registro General de este Tribunal un oficio de la Sala de lo Social del Tribunal Superior de Justicia del País Vasco al que se acompaña, junto con el testimonio del procedimiento ordinario núm. 369-2013, Auto de 21 de enero de 2014, en el que se acuerda plantear cuestión de inconstitucionalidad en relación con el apartado 1 del art. 4.3 de la Ley 3/2012, de 6 de julio, de medidas urgentes para la reforma del mercado laboral, por posible vulneración de los arts. 9.3, 14, 24.1, 35.1 y 37.1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a) Una empresa contrató con fecha 18 de junio de 2012 a una trabajadora de acuerdo con el contrato de trabajo indefinido de apoyo a los emprendedores regulado en el art. 4 de la Ley 3/2012, de 6 de julio, de medidas urgentes para la reforma del mercado laboral, en el que se incluyó una cláusula que remitía a un período de prueba de un año.</w:t>
      </w:r>
    </w:p>
    <w:p w:rsidR="0085709A" w:rsidRDefault="0085709A" w:rsidP="0085709A">
      <w:pPr>
        <w:pStyle w:val="TextoNormal"/>
      </w:pPr>
    </w:p>
    <w:p w:rsidR="0085709A" w:rsidRDefault="0085709A" w:rsidP="0085709A">
      <w:pPr>
        <w:pStyle w:val="TextoNormal"/>
      </w:pPr>
      <w:r>
        <w:t>b) La empresa comunicó a la trabajadora con fecha 13 de febrero de 2013 su cese, con efectos del día 15 del mismo mes y año, a consecuencia de no haber superado el período de prueba.</w:t>
      </w:r>
    </w:p>
    <w:p w:rsidR="0085709A" w:rsidRDefault="0085709A" w:rsidP="0085709A">
      <w:pPr>
        <w:pStyle w:val="TextoNormal"/>
      </w:pPr>
    </w:p>
    <w:p w:rsidR="0085709A" w:rsidRDefault="0085709A" w:rsidP="0085709A">
      <w:pPr>
        <w:pStyle w:val="TextoNormal"/>
      </w:pPr>
      <w:r>
        <w:t>c) Tras instar el correspondiente acto de conciliación, celebrado sin acuerdo, la trabajadora presentó el 5 de abril de 2013 demanda por despido nulo o, subsidiariamente, improcedente, cuyo conocimiento correspondió al Juzgado de lo Social núm. 6 de Bilbao. El Juzgado dictó Sentencia con fecha 26 de junio de 2013 desestimando la demanda, por considerar, en síntesis, que la actuación de la empresa se ajustó a la posibilidad que le otorga el art. 4.3 de la Ley 3/2012.</w:t>
      </w:r>
    </w:p>
    <w:p w:rsidR="0085709A" w:rsidRDefault="0085709A" w:rsidP="0085709A">
      <w:pPr>
        <w:pStyle w:val="TextoNormal"/>
      </w:pPr>
    </w:p>
    <w:p w:rsidR="0085709A" w:rsidRDefault="0085709A" w:rsidP="0085709A">
      <w:pPr>
        <w:pStyle w:val="TextoNormal"/>
      </w:pPr>
      <w:r>
        <w:t>d) Interpuesto recurso de suplicación por la actora, impugnado por la empresa demandada, y una vez elevados los autos a la Sala de lo Social del Tribunal Superior de Justicia del País Vasco, por ésta se dictó providencia con fecha 4 de diciembre de 2013 acordando oír a las partes y al Ministerio Fiscal, por el plazo común e improrrogable de diez días, para que alegaran lo que a su derecho conviniera sobre la pertinencia de plantear cuestión de inconstitucionalidad, debido a las dudas que la Sala alberga sobre la constitucionalidad del art. 4.3 de la Ley 3/2012, de 6 de julio, de medidas urgentes para la reforma del mercado laboral. Las dudas de constitucionalidad se concretaron en la posibilidad de que se vulneraran el principio de igualdad ante la ley (art. 14 CE), la prohibición de arbitrariedad de los poderes públicos dispuesto en el art. 9.3 CE, el derecho al trabajo (art. 35.1 CE), el art. 37.1 CE en cuanto al derecho a la negociación colectiva, y el art. 24.1 CE en lo relativo al derecho fundamental a la tutela judicial efectiva.</w:t>
      </w:r>
    </w:p>
    <w:p w:rsidR="0085709A" w:rsidRDefault="0085709A" w:rsidP="0085709A">
      <w:pPr>
        <w:pStyle w:val="TextoNormal"/>
      </w:pPr>
    </w:p>
    <w:p w:rsidR="0085709A" w:rsidRDefault="0085709A" w:rsidP="0085709A">
      <w:pPr>
        <w:pStyle w:val="TextoNormal"/>
      </w:pPr>
      <w:r>
        <w:t>e) El Ministerio Fiscal, en escrito presentado el 20 de diciembre de 2013, no se opuso al planteamiento de la cuestión de inconstitucionalidad, por entender que podían concurrir las causas de inconstitucionalidad recogidas en la providencia de 4 de diciembre de 2013.</w:t>
      </w:r>
    </w:p>
    <w:p w:rsidR="0085709A" w:rsidRDefault="0085709A" w:rsidP="0085709A">
      <w:pPr>
        <w:pStyle w:val="TextoNormal"/>
      </w:pPr>
    </w:p>
    <w:p w:rsidR="0085709A" w:rsidRDefault="0085709A" w:rsidP="0085709A">
      <w:pPr>
        <w:pStyle w:val="TextoNormal"/>
      </w:pPr>
      <w:r>
        <w:lastRenderedPageBreak/>
        <w:t xml:space="preserve">Por su parte, la demandante en el proceso </w:t>
      </w:r>
      <w:r w:rsidRPr="0085709A">
        <w:rPr>
          <w:i/>
        </w:rPr>
        <w:t>a quo</w:t>
      </w:r>
      <w:r>
        <w:t xml:space="preserve"> presentó sus alegaciones el 30 de diciembre de 2013, manifestando, en esencia, que el art. 4.3 de la Ley 3/2012 es inconstitucional.</w:t>
      </w:r>
    </w:p>
    <w:p w:rsidR="0085709A" w:rsidRDefault="0085709A" w:rsidP="0085709A">
      <w:pPr>
        <w:pStyle w:val="TextoNormal"/>
      </w:pPr>
    </w:p>
    <w:p w:rsidR="0085709A" w:rsidRDefault="0085709A" w:rsidP="0085709A">
      <w:pPr>
        <w:pStyle w:val="TextoNormal"/>
      </w:pPr>
      <w:r>
        <w:t>La empresa demandada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21 de enero de 2014 la Sala de lo Social del Tribunal Superior de Justicia del País Vasco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 xml:space="preserve">a) Tras exponer los antecedentes del caso, comienza el Auto por identificar el precepto cuestionado y justificar la relevancia del mismo para la solución del asunto sometido a su examen, que depende de la constitucionalidad de aquél, por cuanto la extinción del contrato de trabajo de la demandante en el proceso </w:t>
      </w:r>
      <w:r w:rsidRPr="0085709A">
        <w:rPr>
          <w:i/>
        </w:rPr>
        <w:t>a quo</w:t>
      </w:r>
      <w:r>
        <w:t xml:space="preserve"> queda amparada por la norma referida, de suerte que no constituye despido, mientras que, si la norma se reputara inconstitucional, la extinción de la relación laboral no constituiría un mero acto de desistimiento empresarial vigente el período de prueba, sino un despido.</w:t>
      </w:r>
    </w:p>
    <w:p w:rsidR="0085709A" w:rsidRDefault="0085709A" w:rsidP="0085709A">
      <w:pPr>
        <w:pStyle w:val="TextoNormal"/>
      </w:pPr>
    </w:p>
    <w:p w:rsidR="0085709A" w:rsidRDefault="0085709A" w:rsidP="0085709A">
      <w:pPr>
        <w:pStyle w:val="TextoNormal"/>
      </w:pPr>
      <w:r>
        <w:t>b) El Auto analiza en primer lugar la posible vulneración del principio de igualdad del art. 14 CE, señalando que el precepto cuestionado establece un período de prueba de un año alterando la regulación ordinaria del art. 14 del texto refundido de la Ley del estatuto de los trabajadores (LET). A juicio del órgano judicial no se adivina qué especificidad pueden tener las empresas de menos de 50 trabajadores hasta el punto de establecer un contrato de estas características que fija la duración del período de prueba en un año. Señala que no brinda la norma explicación acerca de diferencias sustanciales de situación de una y otras empresas que permitiera entender suficientemente justificada esta diferencia de trato entre las personas que contraten indefinidamente con empresa de menos de 50 trabajadores y las que lo hagan en empresa de plantilla superior. Tampoco se observa justificación acerca de la diferencia de trato respecto de las personas trabajadoras contratadas en la misma empresa para la realización de tareas similares mediante contrato indefinido ordinario ni entre quienes sean contratadas en la misma empresa de menos de 50 trabajadores o en empresa de plantilla superior mediante cualquiera de las restantes modalidades contractuales. No se observa diferencia alguna ni en los servicios a prestar ni en las condiciones de su prestación, por lo que, a su juicio, ese período de prueba carece de justificación lógica, atendida su finalidad, de la que deriva la irrelevancia del tamaño de la plantilla de la empresa y la modalidad contractual, y sin que el precepto tenga en cuenta el concreto puesto de trabajo o las tareas a realizar, o la titulación de la persona trabajadora, a diferencia de lo que ocurre con la regulación general contenida en el art. 14 LET. En apoyo de su argumentación invoca el órgano judicial la doctrina de la STC 119/2002, de 20 de mayo, sobre el principio de igualdad y no discriminación, de la que deduce la inconstitucionalidad del precepto cuestionado por contrariar el principio de igualdad ante la ley y de no discriminación del art. 14 CE.</w:t>
      </w:r>
    </w:p>
    <w:p w:rsidR="0085709A" w:rsidRDefault="0085709A" w:rsidP="0085709A">
      <w:pPr>
        <w:pStyle w:val="TextoNormal"/>
      </w:pPr>
    </w:p>
    <w:p w:rsidR="0085709A" w:rsidRDefault="0085709A" w:rsidP="0085709A">
      <w:pPr>
        <w:pStyle w:val="TextoNormal"/>
      </w:pPr>
      <w:r>
        <w:t>c) La posible vulneración del principio de interdicción de la arbitrariedad de los poderes públicos (art. 9.3 CE) la conecta el Auto con la vulneración del principio de igualdad, afirmando que se ha podido producir tal arbitrariedad por la falta de elementos que justifiquen un período de prueba tan amplio, sin que exista relación de causa a efecto de la institución del período de prueba y de la libertad de desistimiento empresarial con el fomento del em</w:t>
      </w:r>
      <w:r>
        <w:lastRenderedPageBreak/>
        <w:t>pleo. Invocando la STC 203/2013, de 5 de diciembre, se refiere el órgano judicial a la doctrina constitucional en esta materia, para concluir que el precepto cuestionado no responde a ninguna justificación objetiva por lo que la decisión del legislador incurre en la arbitrariedad prohibida constitucionalmente.</w:t>
      </w:r>
    </w:p>
    <w:p w:rsidR="0085709A" w:rsidRDefault="0085709A" w:rsidP="0085709A">
      <w:pPr>
        <w:pStyle w:val="TextoNormal"/>
      </w:pPr>
    </w:p>
    <w:p w:rsidR="0085709A" w:rsidRDefault="0085709A" w:rsidP="0085709A">
      <w:pPr>
        <w:pStyle w:val="TextoNormal"/>
      </w:pPr>
      <w:r>
        <w:t>d) Por lo que se refiere a la vulneración del derecho al trabajo (art. 35.1 CE), afirma el Auto que su dimensión individual se plasma, entre otras manifestaciones, en el “derecho a la continuidad o estabilidad en el empleo, es decir, a no ser despedidos si no existe justa causa” (SSTC 22/1981 y 192 /2003), exigencia de causalidad que no se agota, a juicio del órgano judicial, en los supuestos estrictos de despido sino que debe considerarse aplicable también a cualquier supuesto de extinción contractual por decisión unilateral del empleador, en línea con el Convenio núm. 158 de la Organización Internacional del Trabajo (OIT). Señala que es evidente que el período de prueba constituye una excepción legal al principio de causalidad en la extinción del contrato de trabajo por decisión empresarial, que tiene justificación en la configuración de su propia finalidad de comprobación por el empresario de las aptitudes profesionales de la persona trabajadora, regulación excepcional que no puede abstraerse de la necesidad de objetivación de la misma y de proporcionalidad y razonabilidad en relación con su finalidad (STC 166/1988). Sin embargo, según entiende el órgano promotor de la cuestión, esos requisitos no se aprecian en la regulación analizada, dado que se prevé un período de prueba de un año, sin conexión con el puesto de trabajo, los servicios encomendados, o la titulación de la persona trabajadora, y ese largo período de prueba excede de manera relevante de la regulación general del art. 14 LET sin justificación razonable, lo que merma extremadamente la protección de la persona trabajadora en relación con la extinción de su contrato y con su derecho constitucional al trabajo en su vertiente individual de estabilidad en el empleo en el marco de un contrato denominado indefinido.</w:t>
      </w:r>
    </w:p>
    <w:p w:rsidR="0085709A" w:rsidRDefault="0085709A" w:rsidP="0085709A">
      <w:pPr>
        <w:pStyle w:val="TextoNormal"/>
      </w:pPr>
    </w:p>
    <w:p w:rsidR="0085709A" w:rsidRDefault="0085709A" w:rsidP="0085709A">
      <w:pPr>
        <w:pStyle w:val="TextoNormal"/>
      </w:pPr>
      <w:r>
        <w:t>e) La vulneración del derecho a la negociación colectiva del art. 37.1 CE la anuda el Auto de planteamiento al carácter extraordinariamente rígido del precepto discutido, que cierra el paso a la negociación colectiva en esta materia para este supuesto, haciéndola indisponible para los agentes sociales e impidiendo su adaptación y adecuación a las concretas circunstancias, particularidades y necesidades de los distintos sectores y empresas, a diferencia de la regulación general del art. 14 LET. Afirma el órgano judicial que se impide, en definitiva, a la negociación colectiva y, por ende, a la libertad de las partes negociadoras, decidir, asumir compromisos y regular acerca de esta concreta materia.</w:t>
      </w:r>
    </w:p>
    <w:p w:rsidR="0085709A" w:rsidRDefault="0085709A" w:rsidP="0085709A">
      <w:pPr>
        <w:pStyle w:val="TextoNormal"/>
      </w:pPr>
    </w:p>
    <w:p w:rsidR="0085709A" w:rsidRDefault="0085709A" w:rsidP="0085709A">
      <w:pPr>
        <w:pStyle w:val="TextoNormal"/>
      </w:pPr>
      <w:r>
        <w:t>f) Finalmente, se refiere el Auto de planteamiento a la posible vulneración del derecho a la tutela judicial efectiva (art. 24.1 CE), señalando que durante el período de prueba que prevé la norma cuestionada se podrá resolver el contrato sin derecho a indemnización o resarcimiento de ninguna clase, y sin existencia de una reacción adecuada, lo que se considera contrario a la doctrina constitucional, de la que se citan las SSTC 20/1994 y 103/1990, añadiendo en apoyo de su razonamiento la invocación del art. 9.1 del Convenio núm. 158 OIT. Concluye la Sala que la regulación cuya constitucionalidad se pone en cuestión impide la discusión en sede judicial acerca de la justificación de la extinción del contrato en ese extraordinariamente prolongado período de tiempo de un año, ya que la persona trabajadora va a carecer de la capacidad de reacción frente a la decisión extintiva, al tratarse de un mero desistimiento empresarial en período de prueba.</w:t>
      </w:r>
    </w:p>
    <w:p w:rsidR="0085709A" w:rsidRDefault="0085709A" w:rsidP="0085709A">
      <w:pPr>
        <w:pStyle w:val="TextoNormal"/>
      </w:pPr>
    </w:p>
    <w:p w:rsidR="0085709A" w:rsidRDefault="0085709A" w:rsidP="0085709A">
      <w:pPr>
        <w:pStyle w:val="TextoNormal"/>
      </w:pPr>
      <w:r>
        <w:lastRenderedPageBreak/>
        <w:t>Por todo lo anterior se acuerda elevar cuestión de inconstitucionalidad en relación con el art. 4.3 de la Ley 3/2012, de 6 de julio, de medidas urgentes para la reforma del mercado laboral.</w:t>
      </w:r>
    </w:p>
    <w:p w:rsidR="0085709A" w:rsidRDefault="0085709A" w:rsidP="0085709A">
      <w:pPr>
        <w:pStyle w:val="TextoNormal"/>
      </w:pPr>
    </w:p>
    <w:p w:rsidR="0085709A" w:rsidRDefault="0085709A" w:rsidP="0085709A">
      <w:pPr>
        <w:pStyle w:val="TextoNormal"/>
      </w:pPr>
      <w:r>
        <w:t>g) Al Auto de planteamiento de la cuestión se ha formulado un voto particular, que discrepa, no de los razonamientos justificadores de la inconstitucionalidad de la norma discutida, sino por entender que no era necesaria la sustanciación de la cuestión puesto que la normativa europea era de aplicación directa y, por tanto, se podía prescindir de este procedimiento ante el Tribunal Constitucional teniendo por no puesta la posibilidad de que el contrato de trabajo se extinga por no superación del período de prueba en el primer año, en la medida en que contradice la normativa europea. En efecto, ésta veda la posibilidad de que se constituyan en nuestro ordenamiento “lugares de vacío”, sin control jurisdiccional, y, por otra parte, consagra también el principio de igualdad, de suerte que la introducción de situaciones de diferenciación sin justificar —como es el caso—, implica que se produzca una conculcación de ese derecho básico y fundamental de la Unión Europea, citando en apoyo de su tesis los arts. 20, 21, 30 y 47 de la Carta de los derechos fundamentales de la Unión.</w:t>
      </w:r>
    </w:p>
    <w:p w:rsidR="0085709A" w:rsidRDefault="0085709A" w:rsidP="0085709A">
      <w:pPr>
        <w:pStyle w:val="TextoNormal"/>
      </w:pPr>
    </w:p>
    <w:p w:rsidR="0085709A" w:rsidRDefault="0085709A" w:rsidP="0085709A">
      <w:pPr>
        <w:pStyle w:val="TextoNormal"/>
      </w:pPr>
      <w:r>
        <w:t>3. El Pleno de este Tribunal, a propuesta de la Sección Tercera, acordó admitir a trámite la cuestión mediante providencia de 10 de marzo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del País Vasco, a fin de que, de conformidad con lo dispuesto en el art. 35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4</w:t>
      </w:r>
      <w:r>
        <w:t>. Mediante escrito registrado el 18 de marzo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t>Por escrito registrado el 19 de marzo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rsidRPr="0085709A">
        <w:rPr>
          <w:rStyle w:val="NumeroAFNegritaCaracter"/>
        </w:rPr>
        <w:t>5</w:t>
      </w:r>
      <w:r>
        <w:t>. El Abogado del Estado, mediante escrito de alegaciones registrado el 2 de abril de 2014,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 xml:space="preserve">a) Comienza su escrito el Abogado del Estado tratando de encajar sistemáticamente el precepto cuestionado en el conjunto de la reforma laboral llevada a cabo por la Ley 3/2012, y así, afirma que existe una justificación razonable para la previsión normativa de este período de prueba de un año en el contrato por tiempo indefinido de apoyo a los emprendedores y es la promoción del empleo en una modalidad específica de contratación laboral. Por ello señala que decir que el precepto carece de justificación razonable no es una afirmación exacta, al menos desde la perspectiva del legislador no ya en su conjunto, sino del legislador </w:t>
      </w:r>
      <w:r>
        <w:lastRenderedPageBreak/>
        <w:t>laboral en su vertiente específica y propia de adopción de las medidas legislativas oportunas de fomento del empleo en el seno de una situación socioeconómica como la española, la cual adolece de un mal endémico en cuanto a niveles de tasas de paro.</w:t>
      </w:r>
    </w:p>
    <w:p w:rsidR="0085709A" w:rsidRDefault="0085709A" w:rsidP="0085709A">
      <w:pPr>
        <w:pStyle w:val="TextoNormal"/>
      </w:pPr>
    </w:p>
    <w:p w:rsidR="0085709A" w:rsidRDefault="0085709A" w:rsidP="0085709A">
      <w:pPr>
        <w:pStyle w:val="TextoNormal"/>
      </w:pPr>
      <w:r>
        <w:t>Insiste en que se trata de una nueva modalidad de contratación, que coexiste con las actuales vigentes en la Ley del estatuto de los trabajadores que tienen por objeto facilitar el empleo estable, así como el contrato de duración indefinida común, cuyo régimen se mantiene y sigue siendo objeto de regulación en dicho estatuto.</w:t>
      </w:r>
    </w:p>
    <w:p w:rsidR="0085709A" w:rsidRDefault="0085709A" w:rsidP="0085709A">
      <w:pPr>
        <w:pStyle w:val="TextoNormal"/>
      </w:pPr>
    </w:p>
    <w:p w:rsidR="0085709A" w:rsidRDefault="0085709A" w:rsidP="0085709A">
      <w:pPr>
        <w:pStyle w:val="TextoNormal"/>
      </w:pPr>
      <w:r>
        <w:t xml:space="preserve">Señala que es cierto que no puede desconocerse que un período de prueba, así previsto, sin posibilidad de variación por pacto entre las partes, es decir, como norma de </w:t>
      </w:r>
      <w:r w:rsidRPr="0085709A">
        <w:rPr>
          <w:i/>
        </w:rPr>
        <w:t>ius cogens</w:t>
      </w:r>
      <w:r>
        <w:t>, puede valorarse en sí mismo, tomada la norma extraída de su contexto sistemático de medida de promoción, como un período largo. Ahora bien, consiste en una medida de fomento establecida exclusivamente para la modalidad de contrato laboral de apoyo a los emprendedores. La duración del período de prueba de un año no es una medida en abstracto o única que facilite simplemente la posición del empresario en el seno del contrato; no es una medida normativa que afecte exclusivamente a la relación de trabajo, sino que se enmarca en un conjunto más amplio de medidas de estímulo a la contratación laboral en una situación de crisis; medidas concurrentes no sólo relativas a la configuración de la nueva modalidad de contrato especial regulado en el art. 4 de la Ley 3/2012, de 6 de julio, de medidas urgentes para la reforma del mercado laboral, sino sistemáticamente incardinado entre las restantes medidas legales arbitradas por la ley de reforma laboral.</w:t>
      </w:r>
    </w:p>
    <w:p w:rsidR="0085709A" w:rsidRDefault="0085709A" w:rsidP="0085709A">
      <w:pPr>
        <w:pStyle w:val="TextoNormal"/>
      </w:pPr>
    </w:p>
    <w:p w:rsidR="0085709A" w:rsidRDefault="0085709A" w:rsidP="0085709A">
      <w:pPr>
        <w:pStyle w:val="TextoNormal"/>
      </w:pPr>
      <w:r>
        <w:t>Además, indica que en modo alguno queda afectada la protección por desempleo a que tendría derecho el trabajador si se resuelve el contrato por el empleador en período de prueba y se hubieran completado, de acuerdo con el régimen general, los tiempos necesarios para devengar las prestaciones por desempleo con la extensión respectiva al período trabajado, además de la nueva compatibilidad entre el 25 por 100 de la prestación por desempleo que el trabajador pudiera venir todavía percibiendo, o estar pendiente de percibir, derivada de una extinción de otro contrato laboral anterior, y el salario durante el período de prueba en el nuevo contrato sometido a esta modalidad.</w:t>
      </w:r>
    </w:p>
    <w:p w:rsidR="0085709A" w:rsidRDefault="0085709A" w:rsidP="0085709A">
      <w:pPr>
        <w:pStyle w:val="TextoNormal"/>
      </w:pPr>
    </w:p>
    <w:p w:rsidR="0085709A" w:rsidRDefault="0085709A" w:rsidP="0085709A">
      <w:pPr>
        <w:pStyle w:val="TextoNormal"/>
      </w:pPr>
      <w:r>
        <w:t>Añade que no cabe enjuiciar la norma específica del art. 4.3 de la Ley 3/2012 como un precepto aislado, sino encuadrado sistemáticamente en el conjunto de normas que persiguen, como objetivo específico de política legislativa, el fomento de la contratación laboral en una época de crisis evidente. Así, sobre la base de apreciación conjunta de la norma cuestionada con otras complementarias, no puede sino encuadrarse la misma como una manifestación del margen de configuración del legislador en cuanto a arbitrar las medidas legales que considera como más óptimas o que mejor coadyuven en cada momento para el fomento de la contratación laboral.</w:t>
      </w:r>
    </w:p>
    <w:p w:rsidR="0085709A" w:rsidRDefault="0085709A" w:rsidP="0085709A">
      <w:pPr>
        <w:pStyle w:val="TextoNormal"/>
      </w:pPr>
    </w:p>
    <w:p w:rsidR="0085709A" w:rsidRDefault="0085709A" w:rsidP="0085709A">
      <w:pPr>
        <w:pStyle w:val="TextoNormal"/>
      </w:pPr>
      <w:r>
        <w:t>b) A continuación el Abogado del Estado expone las razones por las que considera que la norma no infringe el principio de igualdad garantizado por el art. 14 CE. Afirma que la diferenciación objetiva de la modalidad de contratación respecto de las demás reconocidas en el ordenamiento laboral es obvia y, por lo tanto, ante diferencias de orden objetivo no cabe aplicar, de acuerdo con la doctrina constitucional, igualdad de trato legislativo en todo caso.</w:t>
      </w:r>
    </w:p>
    <w:p w:rsidR="0085709A" w:rsidRDefault="0085709A" w:rsidP="0085709A">
      <w:pPr>
        <w:pStyle w:val="TextoNormal"/>
      </w:pPr>
    </w:p>
    <w:p w:rsidR="0085709A" w:rsidRDefault="0085709A" w:rsidP="0085709A">
      <w:pPr>
        <w:pStyle w:val="TextoNormal"/>
      </w:pPr>
      <w:r>
        <w:lastRenderedPageBreak/>
        <w:t>c) Señala el Abogado del Estado, en relación con la alegada vulneración del principio de interdicción de la arbitrariedad de los poderes públicos que el Auto de planteamiento vincula a la vulneración del principio de igualdad, que con la introducción de esta modalidad contractual no se persigue otro propósito que favorecer una mayor flexibilidad en la contratación, en comparación con la normativa preexistente que es objeto de reforma. A su juicio, hay una relación de causa a efecto entre la norma y el fomento del empleo, o podría haberla, lo cual es razón suficiente para que el legislador apueste legítimamente por esa posibilidad.</w:t>
      </w:r>
    </w:p>
    <w:p w:rsidR="0085709A" w:rsidRDefault="0085709A" w:rsidP="0085709A">
      <w:pPr>
        <w:pStyle w:val="TextoNormal"/>
      </w:pPr>
    </w:p>
    <w:p w:rsidR="0085709A" w:rsidRDefault="0085709A" w:rsidP="0085709A">
      <w:pPr>
        <w:pStyle w:val="TextoNormal"/>
      </w:pPr>
      <w:r>
        <w:t>Afirma que la intención del legislador, a la vista de la exposición de motivos de la norma, es promover mediante normas positivas el fomento del empleo. No hay aquí arbitrariedad, pues a su entender, a partir de la diferencia de tratamiento legislativo, justificadamente no discriminatorio, puede derivarse, cuando de normas con rango de ley se trata, el carácter no arbitrario de la norma en sí; esto es, que la norma resulte respetuosa con el principio establecido en el art. 9.3 CE, de interdicción de la arbitrariedad de los poderes públicos. En consecuencia, con cita de las STC 49/2008, de 9 de abril y ATC 72/2008, de 26 de febrero, señala que el reproche de arbitrariedad y, por tanto, de infracción del art. 9.3 CE, por parte del art. 4.3 Ley 3/2012, debe ser desestimado.</w:t>
      </w:r>
    </w:p>
    <w:p w:rsidR="0085709A" w:rsidRDefault="0085709A" w:rsidP="0085709A">
      <w:pPr>
        <w:pStyle w:val="TextoNormal"/>
      </w:pPr>
    </w:p>
    <w:p w:rsidR="0085709A" w:rsidRDefault="0085709A" w:rsidP="0085709A">
      <w:pPr>
        <w:pStyle w:val="TextoNormal"/>
      </w:pPr>
      <w:r>
        <w:t>d) Por lo que se refiere a la vulneración del derecho al trabajo (art. 35.1 CE), señala el Abogado del Estado que no se daría ausencia de justa causa, tomada en su contexto y la finalidad para la que está prevista por el ordenamiento laboral la extinción del contrato en período de prueba, cuando apreciándose la inadaptación o inadecuación objetiva del trabajador a la actividad que constituya propiamente aquella, para cuyo desempeño se ha formalizado la contratación, se opte por el desistimiento. Otra cosa es el fraude o la utilización torticera del período de prueba, o basar la extinción en móviles que conforme a la legislación laboral hace que se califique como nula la extinción del contrato. Pero en sí ejercitada la opción al desistimiento por el empresario a la vista de una situación de falta de adecuación de la actividad del trabajador, apreciada por el empresario, o del resultado de la experiencia laboral, de falta de superación de actitudes o bien de objetivos, no constituiría ello una situación de ausencia de justa causa, tomada la norma en su finalidad y en conjunto, o con el propósito al que está efectivamente ordenada.</w:t>
      </w:r>
    </w:p>
    <w:p w:rsidR="0085709A" w:rsidRDefault="0085709A" w:rsidP="0085709A">
      <w:pPr>
        <w:pStyle w:val="TextoNormal"/>
      </w:pPr>
    </w:p>
    <w:p w:rsidR="0085709A" w:rsidRDefault="0085709A" w:rsidP="0085709A">
      <w:pPr>
        <w:pStyle w:val="TextoNormal"/>
      </w:pPr>
      <w:r>
        <w:t>A juicio del Abogado del Estado, el precepto en sí mismo no vulnera el derecho individual al trabajo, el cual es un derecho que no cabe tampoco invocarlo en abstracto, al margen de las condiciones jurídicas laborales que componen el contenido mismo del contrato de trabajo, ni tampoco al margen o de modo desconectado y desarticulado respecto de las medidas legales de derecho necesario que ordenan las relaciones laborales, como derecho objetivo aplicable con carácter general.</w:t>
      </w:r>
    </w:p>
    <w:p w:rsidR="0085709A" w:rsidRDefault="0085709A" w:rsidP="0085709A">
      <w:pPr>
        <w:pStyle w:val="TextoNormal"/>
      </w:pPr>
    </w:p>
    <w:p w:rsidR="0085709A" w:rsidRDefault="0085709A" w:rsidP="0085709A">
      <w:pPr>
        <w:pStyle w:val="TextoNormal"/>
      </w:pPr>
      <w:r>
        <w:t>e) En relación con la vulneración del derecho a la tutela judicial efectiva (art. 24.1 CE), señala el Abogado del Estado que lo que las resoluciones judiciales y de la OIT invocadas por el Auto de planteamiento de la cuestión declaran es la antijuridicidad del incumplimiento unilateral del contrato, como postulado de la teoría general de la contratación; la necesidad de resarcimiento en tales casos a la otra parte, es decir, a la parte perjudicada, si bien modulada o matizada la aplicación de la teoría al contrato regulado por el derecho laboral.</w:t>
      </w:r>
    </w:p>
    <w:p w:rsidR="0085709A" w:rsidRDefault="0085709A" w:rsidP="0085709A">
      <w:pPr>
        <w:pStyle w:val="TextoNormal"/>
      </w:pPr>
    </w:p>
    <w:p w:rsidR="0085709A" w:rsidRDefault="0085709A" w:rsidP="0085709A">
      <w:pPr>
        <w:pStyle w:val="TextoNormal"/>
      </w:pPr>
      <w:r>
        <w:lastRenderedPageBreak/>
        <w:t>Recuerda que el derecho a la tutela judicial efectiva protegido por el art. 24 CE es un derecho que garantiza el acceso a la jurisdicción. Es cierto, señala, que no aparece expresamente exigido por la ley que uno u otro sujeto, al desistir eventualmente de la relación, deban expresar algo más que el mero comunicar su decisión al otro. Y si no se exige, no parece que hayan de motivar de manera explícita o externa, por escrito al menos, las razones concretas de la decisión. No es una exigencia. Ahora bien, la parte que desiste, y en particular el empresario, debe estar en disposición de probar en sede judicial la existencia de una causa suficiente, que no puede ser otra que la carencia en el otro de las condiciones requeridas o esperadas para la consolidación definitiva de la relación.</w:t>
      </w:r>
    </w:p>
    <w:p w:rsidR="0085709A" w:rsidRDefault="0085709A" w:rsidP="0085709A">
      <w:pPr>
        <w:pStyle w:val="TextoNormal"/>
      </w:pPr>
    </w:p>
    <w:p w:rsidR="0085709A" w:rsidRDefault="0085709A" w:rsidP="0085709A">
      <w:pPr>
        <w:pStyle w:val="TextoNormal"/>
      </w:pPr>
      <w:r>
        <w:t>En definitiva, afirma el Abogado del Estado, la eventualidad del ejercicio de la opción por parte del empresario durante el período de prueba no cierra el acceso a la jurisdicción en su caso, pues alegada que fuere una ausencia de justa causa en la resolución del contrato, los hechos alegados por el trabajador habrían de ser objeto de prueba, a fin de hacer valer su pretensión. Ello quiere decir que el derecho fundamental salvaguardado por el art. 24.1 CE se satisface como tal derecho, en ese nivel de legalidad constitucional, con no denegar el acceso a la jurisdicción. Pero a partir de la admisión de la demanda, es la norma sustantiva, también de orden constitucional, la que será objeto de valoración y de aplicación a los hechos, y en función de la cual se estimará o se desestimará, en su caso, la pretensión del actor.</w:t>
      </w:r>
    </w:p>
    <w:p w:rsidR="0085709A" w:rsidRDefault="0085709A" w:rsidP="0085709A">
      <w:pPr>
        <w:pStyle w:val="TextoNormal"/>
      </w:pPr>
    </w:p>
    <w:p w:rsidR="0085709A" w:rsidRDefault="0085709A" w:rsidP="0085709A">
      <w:pPr>
        <w:pStyle w:val="TextoNormal"/>
      </w:pPr>
      <w:r>
        <w:t>d) Por último, señala el Abogado del Estado que no puede tampoco pretenderse que la norma cuestionada, al determinar como precepto de Derecho necesario, sin posibilidad de pacto en contrario o de modulación voluntaria del período de prueba sobre topes máximos previstos en la ley, para esta concreta modalidad de contrato, que el período de prueba a que se refiere el art. 14 LET “será de un año en todo caso”, suponga una infracción del principio de autonomía de la voluntad o del derecho a la negociación colectiva que reconoce el art. 37.1 CE. En todos los ámbitos o sectores del ordenamiento jurídico, las normas de derecho necesario garantizan los bienes básicos o aspectos más relevantes para la conservación misma de las relaciones jurídicas que esa parte del derecho regula, así como también los objetivos de política legislativa preferentes que en cada momento o situación el legislador persigue en aras del interés general. No hay en realidad una parte del ordenamiento, incluso las que disciplinan las relaciones jurídicas en el ámbito privado, en la que no existan normas de derecho necesario, no susceptibles de modulación o adaptación o previsión de modo diferente por la autonomía de la voluntad de los destinatarios de la norma.</w:t>
      </w:r>
    </w:p>
    <w:p w:rsidR="0085709A" w:rsidRDefault="0085709A" w:rsidP="0085709A">
      <w:pPr>
        <w:pStyle w:val="TextoNormal"/>
      </w:pPr>
    </w:p>
    <w:p w:rsidR="0085709A" w:rsidRDefault="0085709A" w:rsidP="0085709A">
      <w:pPr>
        <w:pStyle w:val="TextoNormal"/>
      </w:pPr>
      <w:r>
        <w:t>Recuerda el Abogado del Estado, que la Constitución no contiene en su texto una previsión normativa que determine cuál debe ser el ámbito o alcance objetivo de la negociación colectiva o de los límites de la libertad de actuación de las partes. El contenido o sustrato material de la negociación, está claro que comprende de manera genérica la fijación de las condiciones laborales dentro del marco de lo permitido por la ley, y que la concreción de ese marco queda al arbitrio del legislador ordinario siempre que, a la vez, una hipotética regulación de detalle no agotara todos los aspectos que pueden incidir en una relación laboral, no dejando prácticamente margen alguno para la negociación colectiva, o no haciendo reconocible en realidad la autonomía de la voluntad de los agentes sociales; es decir, que afectase de manera ostensible e indebidamente restrictiva el núcleo esencial del derecho a la negociación colectiva que la Constitución garantiza, y la eficacia jurídica vinculante de los convenios colectivos.</w:t>
      </w:r>
    </w:p>
    <w:p w:rsidR="0085709A" w:rsidRDefault="0085709A" w:rsidP="0085709A">
      <w:pPr>
        <w:pStyle w:val="TextoNormal"/>
      </w:pPr>
    </w:p>
    <w:p w:rsidR="0085709A" w:rsidRDefault="0085709A" w:rsidP="0085709A">
      <w:pPr>
        <w:pStyle w:val="TextoNormal"/>
      </w:pPr>
      <w:r>
        <w:t>Sin embargo, en este caso, afirma el Abogado del Estado, el art. 4.3 de la Ley 3/2012, como norma de legislación ordinaria reguladora de un aspecto de la contratación indefinida en la modalidad concreta allí prevista, no irrumpe con ese hipotético alcance restrictivo de incidencia constitucional, pues la fijación por ley de la referida duración en el seno de un contrato especialmente diseñado, junto con las demás normas concomitantes aplicables al mismo, para la promoción del empleo, es algo que puede ser objeto de libre configuración por el legislador, catalogando en el caso a la norma reguladora como de derecho necesario, sustraído su contenido a la disponibilidad de los agentes sociales, en función de los criterios de política legislativa que en un momento dado se han considerado oportunos o convenientes.</w:t>
      </w:r>
    </w:p>
    <w:p w:rsidR="0085709A" w:rsidRDefault="0085709A" w:rsidP="0085709A">
      <w:pPr>
        <w:pStyle w:val="TextoNormal"/>
      </w:pPr>
    </w:p>
    <w:p w:rsidR="0085709A" w:rsidRDefault="0085709A" w:rsidP="0085709A">
      <w:pPr>
        <w:pStyle w:val="TextoNormal"/>
      </w:pPr>
      <w:r>
        <w:t>A su juicio, nada hay en la Constitución que se oponga a la configuración como norma de derecho necesario, sin posibilidad de variación de su alcance y condiciones por acuerdo de las partes negociadoras o en el seno del contrato, de una concreta norma que venga a fijar cuál ha de ser el período de prueba respecto de una determinada modalidad de contratación laboral, con independencia de que, sobre la base de criterios, a su entender de oportunidad, pueda valorarse mejor o peor esa concreta duración en relación siempre con los objetivos de política legislativa que la reforma entraña, cuya justificación se construye sobre las medidas de fomento del empleo que el legislador ha considerado más convenientes. En definitiva, no se aprecia tampoco aquí vulneración de norma constitucional.</w:t>
      </w:r>
    </w:p>
    <w:p w:rsidR="0085709A" w:rsidRDefault="0085709A" w:rsidP="0085709A">
      <w:pPr>
        <w:pStyle w:val="TextoNormal"/>
      </w:pPr>
    </w:p>
    <w:p w:rsidR="0085709A" w:rsidRDefault="0085709A" w:rsidP="0085709A">
      <w:pPr>
        <w:pStyle w:val="TextoNormal"/>
      </w:pPr>
      <w:r w:rsidRPr="0085709A">
        <w:rPr>
          <w:rStyle w:val="NumeroAFNegritaCaracter"/>
        </w:rPr>
        <w:t>6</w:t>
      </w:r>
      <w:r>
        <w:t>. El Fiscal General del Estado presentó escrito de alegaciones ante este Tribunal el 9 de abril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el Fiscal General recordando los antecedentes de esta cuestión para a continuación señalar que comparte las razones que llevan al Tribunal Superior de Justicia del País Vasco a cuestionarse la norma por opuesta al principio de igualdad. La finalidad de favorecer el empleo estable y de los jóvenes desempleados, no parece relacionado en absoluto con la duración del período de trabajo. Pero además de no existir una fundamentación descrita por el propio legislador, tampoco existe alguna razón que la podamos extraer de lo regulado, como sí ocurre con la diferenciación que hace el estatuto de los trabajadores. Para el Fiscal General del Estado, la falta de justificación del trato desigual en el período de prueba regulado en el contrato indefinido de apoyo a los emprendedores convierte la decisión del legislador de fijarlo en un año en arbitraria, porque coloca a dos hipotéticos trabajadores sometidos a situaciones idénticas, pero cuya relación se rija por el texto refundido de la Ley del estatuto de los trabajadores o por la ley discutida, en clara situación desigual, siendo los derechos nacidos para este segundo mucho más volátiles durante todo un año, sin que se alcance a ver por nadie qué finalidad, de entre las que pretende la reforma, es decir fomentar la contratación indefinida y la creación empleo, se consigue con esta medida.</w:t>
      </w:r>
    </w:p>
    <w:p w:rsidR="0085709A" w:rsidRDefault="0085709A" w:rsidP="0085709A">
      <w:pPr>
        <w:pStyle w:val="TextoNormal"/>
      </w:pPr>
    </w:p>
    <w:p w:rsidR="0085709A" w:rsidRDefault="0085709A" w:rsidP="0085709A">
      <w:pPr>
        <w:pStyle w:val="TextoNormal"/>
      </w:pPr>
      <w:r>
        <w:t>Por lo que se refiere a la vulneración de la prohibición de arbitrariedad de los poderes públicos (art. 9.3 CE), entiende el Fiscal General que no es una vulneración distinta de la anterior, sino que es una manifestación del propio principio de igualdad pues la arbitrariedad que se denuncia se basa en haber dado un tratamiento desigual a supuestos iguales. Por ello, sea como derecho autónomo o como parte del derecho a la igualdad del art. 14 CE, a su juicio la norma del art. 4.3 que fija en un año de duración el período de prueba en el contrato que regula, por desigual, es arbitraria y por ende contraria a la prohibición del art. 9.3 CE.</w:t>
      </w:r>
    </w:p>
    <w:p w:rsidR="0085709A" w:rsidRDefault="0085709A" w:rsidP="0085709A">
      <w:pPr>
        <w:pStyle w:val="TextoNormal"/>
      </w:pPr>
    </w:p>
    <w:p w:rsidR="0085709A" w:rsidRDefault="0085709A" w:rsidP="0085709A">
      <w:pPr>
        <w:pStyle w:val="TextoNormal"/>
      </w:pPr>
      <w:r>
        <w:t>Respecto a la vulneración del derecho al trabajo afirma el Fiscal General que más que como vulneración autónoma debería tenerse en cuenta como criterio reforzado del principio de igualdad al verse afectado otro derecho constitucional. En todo caso, considera afectado dicho derecho por falta de fundamentación, razonabilidad y proporcionalidad. El derecho al trabajo del art. 35.1 CE queda cuestionado con un período de prueba injustificadamente tan amplio como el que aquí se trata.</w:t>
      </w:r>
    </w:p>
    <w:p w:rsidR="0085709A" w:rsidRDefault="0085709A" w:rsidP="0085709A">
      <w:pPr>
        <w:pStyle w:val="TextoNormal"/>
      </w:pPr>
    </w:p>
    <w:p w:rsidR="0085709A" w:rsidRDefault="0085709A" w:rsidP="0085709A">
      <w:pPr>
        <w:pStyle w:val="TextoNormal"/>
      </w:pPr>
      <w:r>
        <w:t>En relación con la vulneración del derecho a la negociación colectiva, el Fiscal General señala que sin desconocer que la voluntad del legislador puede llegar a legislar una materia, e incluso sustraerla a la disponibilidad de la negociación colectiva, entiende que hacerlo de forma injustificada, sin que consten razones objetivas, razonables y que en su caso sean proporcionadas a la finalidad que se pretenda con esa sustracción objetiva, resulta contraria a dicho derecho.</w:t>
      </w:r>
    </w:p>
    <w:p w:rsidR="0085709A" w:rsidRDefault="0085709A" w:rsidP="0085709A">
      <w:pPr>
        <w:pStyle w:val="TextoNormal"/>
      </w:pPr>
    </w:p>
    <w:p w:rsidR="0085709A" w:rsidRDefault="0085709A" w:rsidP="0085709A">
      <w:pPr>
        <w:pStyle w:val="TextoNormal"/>
      </w:pPr>
      <w:r>
        <w:t>Por último, no considera vulnerado el derecho a la tutela judicial efectiva pues como se deriva de las SSTC 103/1990 y 20/1994, para la pervivencia de dicho derecho es esencial que se pueda someter el despido o el cese acordado de forma unilateral por el empresario al control externo que suponen los tribunales, para que si se han realizado sin justa causa produzca las reacciones pertinentes. En el caso del cese durante el período de prueba, la justa causa radica en la propia naturaleza del instituto, que no es otra que la concesión de un tiempo necesario para la constatación del cumplimiento de los requisitos de capacitación del trabajador para su puesto, de ahí que no exija la alegación de causa. Señala que la posibilidad de fijar una duración determinada al período de prueba por el legislador no se cuestiona, lo que se cuestiona es la de fijarlo de forma excesiva y no hacerlo de forma razonada, justificada y proporcionada; la tutela judicial que se puede obtener ante una norma que incurre en la arbitrariedad por desconocer esos requisitos no es otra que la que aquí se está produciendo, el cuestionamiento de su adecuación a la Constitución, que no deja de ser una respuesta judicial, capaz de llenar el derecho a la tutela judicial que corresponde a los ciudadanos. Por todo ello, afirma el Fiscal General, es difícil entender que pueda alegarse el art. 24.1 para justificar la contradicción del artículo cuestionado con la norma suprema.</w:t>
      </w:r>
    </w:p>
    <w:p w:rsidR="0085709A" w:rsidRDefault="0085709A" w:rsidP="0085709A">
      <w:pPr>
        <w:pStyle w:val="TextoNormal"/>
      </w:pPr>
    </w:p>
    <w:p w:rsidR="0085709A" w:rsidRDefault="0085709A" w:rsidP="0085709A">
      <w:pPr>
        <w:pStyle w:val="TextoNormal"/>
      </w:pPr>
      <w:r>
        <w:t>Por todo lo expuesto, el Fiscal General del Estado interesa que se dicte sentencia en la que se declare que el art. 4.3 de la Ley 3/2012, de 6 de julio, de medidas urgentes para la reforma del mercado laboral, es contrario al art. 14, en relación con los arts. 9.3, 35.1 y 37.1 CE.</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17 de junio de 2015 se señaló para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Sala de lo Social del Tribunal Superior de Justicia del País Vasco plantea cuestión de inconstitucionalidad respecto del apartado 1 del art. 4.3 de la Ley 3/2012, de 6 de julio, de medidas urgentes para la reforma del mercado laboral. En este precepto, relativo al régimen jurídico del nuevo contrato de trabajo por tiempo indefinido de apoyo a los emprendedores, se establece que la duración del período de prueba para el mismo será “de un año en </w:t>
      </w:r>
      <w:r>
        <w:lastRenderedPageBreak/>
        <w:t>todo caso”. Esta previsión, a juicio del órgano proponente de la presente cuestión de inconstitucionalidad, puede vulnerar los arts. 9.3, 14, 24.1, 35.1 y 37.1 CE.</w:t>
      </w:r>
    </w:p>
    <w:p w:rsidR="0085709A" w:rsidRDefault="0085709A" w:rsidP="0085709A">
      <w:pPr>
        <w:pStyle w:val="TextoNormal"/>
      </w:pPr>
    </w:p>
    <w:p w:rsidR="0085709A" w:rsidRDefault="0085709A" w:rsidP="0085709A">
      <w:pPr>
        <w:pStyle w:val="TextoNormal"/>
      </w:pPr>
      <w:r>
        <w:t>El Fiscal General del Estado solicita la estimación de la cuestión de inconstitucionalidad por entender que el art. 4.3 de la Ley 3/2012 es contrario al art. 14, en relación con los arts. 9.3, 35.1 y 37.1 CE, mientras que el Abogado del Estado solicita su desestimación conforme ha quedado expuesto en los antecedentes de la presente resolución.</w:t>
      </w:r>
    </w:p>
    <w:p w:rsidR="0085709A" w:rsidRDefault="0085709A" w:rsidP="0085709A">
      <w:pPr>
        <w:pStyle w:val="TextoNormal"/>
      </w:pPr>
    </w:p>
    <w:p w:rsidR="0085709A" w:rsidRDefault="0085709A" w:rsidP="0085709A">
      <w:pPr>
        <w:pStyle w:val="TextoNormal"/>
      </w:pPr>
      <w:r w:rsidRPr="0085709A">
        <w:rPr>
          <w:rStyle w:val="NumeroAFNegritaCaracter"/>
        </w:rPr>
        <w:t>2</w:t>
      </w:r>
      <w:r>
        <w:t>. Las dudas de constitucionalidad planteadas por el órgano judicial en relación con los arts. 14, 24.1, 35.1 y 37.1 CE han sido resueltas por este Tribunal en las SSTC 119/2014, de 16 de julio y 8/2015, de 22 de enero, a cuya doctrina hemos de remitirnos.</w:t>
      </w:r>
    </w:p>
    <w:p w:rsidR="0085709A" w:rsidRDefault="0085709A" w:rsidP="0085709A">
      <w:pPr>
        <w:pStyle w:val="TextoNormal"/>
      </w:pPr>
    </w:p>
    <w:p w:rsidR="0085709A" w:rsidRDefault="0085709A" w:rsidP="0085709A">
      <w:pPr>
        <w:pStyle w:val="TextoNormal"/>
      </w:pPr>
      <w:r>
        <w:t>a) Por lo que se refiere, en primer lugar, a la alegada vulneración del derecho a la igualdad (art. 14 CE) consecuencia de la duración injustificada e indiferenciada del período de prueba, ajena a las diferencias derivadas del concreto puesto de trabajo, las tareas a realizar o la titulación de la persona trabajadora, la misma ha sido rechazada por la STC 119/2014, que tras recordar que el principio de igualdad no puede fundamentar un reproche de discriminación por indiferenciación, señala que el precepto cuestionado amplia la finalidad tradicional del período de prueba. En efecto, la fijación de un período de prueba de un año “se dirige en esta nueva modalidad contractual no solo a facilitar el mutuo conocimiento de las partes y de las condiciones de prestación de la actividad laboral y a acreditar que el trabajador posee las aptitudes necesarias para su contratación (como sucede con el periodo de prueba regulado con carácter general en el art. 14 LET), sino también, desde la perspectiva empresarial, a verificar si el puesto de trabajo es económicamente sostenible y puede mantenerse en el tiempo. Esta finalidad adicional justifica que el legislador haya fijado un período de duración de un año para todos los trabajadores, sin distinguir por su categoría o cualificación” [FJ 3 B)].</w:t>
      </w:r>
    </w:p>
    <w:p w:rsidR="0085709A" w:rsidRDefault="0085709A" w:rsidP="0085709A">
      <w:pPr>
        <w:pStyle w:val="TextoNormal"/>
      </w:pPr>
    </w:p>
    <w:p w:rsidR="0085709A" w:rsidRDefault="0085709A" w:rsidP="0085709A">
      <w:pPr>
        <w:pStyle w:val="TextoNormal"/>
      </w:pPr>
      <w:r>
        <w:t>En íntima conexión con la vulneración del principio de igualdad, aduce también el Tribunal Superior de Justicia del País Vasco que el precepto impugnado podría vulnerar el principio de interdicción de la arbitrariedad de los poderes públicos (art. 9.3 CE), por la falta de elementos que justifiquen un período de prueba tan amplio, sin que exista relación de causa a efecto de la institución del período de prueba y de la libertad de desistimiento empresarial con el fomento del empleo.</w:t>
      </w:r>
    </w:p>
    <w:p w:rsidR="0085709A" w:rsidRDefault="0085709A" w:rsidP="0085709A">
      <w:pPr>
        <w:pStyle w:val="TextoNormal"/>
      </w:pPr>
    </w:p>
    <w:p w:rsidR="0085709A" w:rsidRDefault="0085709A" w:rsidP="0085709A">
      <w:pPr>
        <w:pStyle w:val="TextoNormal"/>
      </w:pPr>
      <w:r>
        <w:t xml:space="preserve">De acuerdo con nuestra doctrina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w:t>
      </w:r>
      <w:r>
        <w:lastRenderedPageBreak/>
        <w:t>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(por todas, STC 196/2011, de 13 de diciembre, FJ 13).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en este ámbito.</w:t>
      </w:r>
    </w:p>
    <w:p w:rsidR="0085709A" w:rsidRDefault="0085709A" w:rsidP="0085709A">
      <w:pPr>
        <w:pStyle w:val="TextoNormal"/>
      </w:pPr>
    </w:p>
    <w:p w:rsidR="0085709A" w:rsidRDefault="0085709A" w:rsidP="0085709A">
      <w:pPr>
        <w:pStyle w:val="TextoNormal"/>
      </w:pPr>
      <w:r>
        <w:t>Pues bien, no se aprecia, en el supuesto examinado que la Ley recurrida establezca discriminación de ningún tipo; la norma persigue una finalidad razonable y no se muestra desprovista de fundamento, pues como hemos señalado, no solo pretende facilitar el mutuo conocimiento de las partes y de las condiciones de prestación de la actividad laboral, sino verificar si el puesto de trabajo es económicamente sostenible, lo que justifica un período de prueba de un año para todos los trabajadores contratados bajo esta modalidad contractual. Como afirma la STC 119/2014, FJ 3 A), e), el precepto cuestionado “contempla una medida que no solo posibilita el mutuo conocimiento de la partes durante su transcurso y la constatación de las aptitudes del trabajador contratado; se dirige sobre todo a facilitar y promover decisiones de creación de empleo de pequeñas y medianas empresas, reduciendo las incertidumbres propias de todo proyecto de inversión empresarial, favoreciendo además que tales decisiones se orienten hacia la contratación de carácter estable. Atendido el contexto de grave crisis económica y alto desempleo a que responde la introducción y mantenimiento del contrato de trabajo por tiempo indefinido de apoyo a los emprendedores, hemos de afirmar que la fijación en esta modalidad contractual de un período de prueba superior al generalmente previsto para las demás relaciones laborales encuentra justificación; no sólo en la finalidad típica de todo período de prueba sino, sobre todo, en la específica y legítima finalidad de potenciar la iniciativa empresarial como instrumento para contribuir, junto con otras medidas de su régimen jurídico, a promover la creación de empleo estable, de conformidad con el mandato que el art. 40.1 CE dirige a los poderes públicos para llevar a cabo una política orientada al pleno empleo”.</w:t>
      </w:r>
    </w:p>
    <w:p w:rsidR="0085709A" w:rsidRDefault="0085709A" w:rsidP="0085709A">
      <w:pPr>
        <w:pStyle w:val="TextoNormal"/>
      </w:pPr>
    </w:p>
    <w:p w:rsidR="0085709A" w:rsidRDefault="0085709A" w:rsidP="0085709A">
      <w:pPr>
        <w:pStyle w:val="TextoNormal"/>
      </w:pPr>
      <w:r>
        <w:t>b) La vulneración, en segundo lugar, del derecho al trabajo (art. 35.1 CE) por la afectación de los principios de estabilidad en el empleo y de causalidad de la extinción contractual, ha sido rechazada por las SSTC 119/2014, de 16 de julio y 8/2015, de 22 de enero, en tanto que la previsión cuestionada relativa a la duración del período de prueba constituye una medida que cuenta con una justificación legitimadora, y resulta razonable y proporcionada en atención a los fines perseguidos por el legislador con su establecimiento.</w:t>
      </w:r>
    </w:p>
    <w:p w:rsidR="0085709A" w:rsidRDefault="0085709A" w:rsidP="0085709A">
      <w:pPr>
        <w:pStyle w:val="TextoNormal"/>
      </w:pPr>
    </w:p>
    <w:p w:rsidR="0085709A" w:rsidRDefault="0085709A" w:rsidP="0085709A">
      <w:pPr>
        <w:pStyle w:val="TextoNormal"/>
      </w:pPr>
      <w:r>
        <w:t xml:space="preserve">En este sentido, hemos afirmado en la STC 8/2015, de 22 de enero, FJ 3 b), sintetizando lo dispuesto en la STC 119/2014, de 16 de julio, FJ 3, que, en primer lugar, “dentro de un escenario de grave crisis económica, la medida controvertida persigue como finalidad incentivar la contratación indefinida, sobre todo de los colectivos de desempleados más vulnerables (jóvenes, mujeres en ciertos casos y mayores de 45 años). En segundo lugar, que tiene, como el propio contrato de trabajo en el que se inserta, un carácter excepcional y limitado en el tiempo, pues sólo podrá aplicarse hasta que la tasa de desempleo en nuestro país se sitúe por debajo del 15 por 100. En tercer lugar, que posee un alcance limitado en </w:t>
      </w:r>
      <w:r>
        <w:lastRenderedPageBreak/>
        <w:t xml:space="preserve">tanto que se aplica sólo en empresas de pequeñas dimensiones, en las que hay mayores reticencias para optar por la contratación indefinida por la dificultad de afrontar eventuales riesgos económicos. En cuarto lugar, que se trata de una medida integrada en un contrato en el que los beneficios que reporta al empleador (deducciones fiscales y bonificaciones en las cuotas empresariales de la Seguridad Social) se condicionan a la estabilidad en el empleo del trabajador contratado y al mantenimiento del nivel de empleo del resto de la plantilla de la empresa contratante. Y, en fin, que tal medida se acompaña de otras que pretenden atemperar el aspecto más gravoso que para el trabajador tiene un período de prueba de mayor duración, como son, de un lado, la eventual compatibilización del salario con la prestación de desempleo o el mantenimiento del derecho a su percepción a la finalización, y, de otro, y esto es lo más relevante, que a la superación del mayor período de prueba se le anuda el carácter indefinido de la relación laboral. Todo ello, permite afirmar que aun cuando el precepto impugnado faculta al empleador la rescisión unilateral </w:t>
      </w:r>
      <w:r w:rsidRPr="0085709A">
        <w:rPr>
          <w:i/>
        </w:rPr>
        <w:t>ad nutum</w:t>
      </w:r>
      <w:r>
        <w:t xml:space="preserve"> del contrato durante un período más amplio del previsto con carácter general en la normativa laboral, sin embargo, se cumple en este caso con el requisito de la proporcionalidad. En efecto, a la vista del carácter excepcional y temporal de la medida, su limitado alcance, así como su finalidad de fomentar la contratación y el empleo estable (sobre todo de los desempleados con mayores dificultades ocupacionales) durante una situación de crisis económica, cabe apreciar que concurre la proporción exigible entre el sacrificio que a las garantías del trabajador supone la adopción de la medida y los beneficios, individuales y colectivos, que la misma reporta. Además, la medida puede calificarse, igualmente, como necesaria e idónea para la consecución de la legítima finalidad pretendida (creación de empleo estable), puesto que es un incentivo para que las pequeñas empresas elijan la fórmula de la contratación indefinida, al ofrecérseles, como contrapartida, la oportunidad de rescindir libremente el contrato durante un año, permitiéndoles durante tal período de tiempo no sólo constatar las aptitudes profesionales del trabajador contratado, sino también verificar si el puesto de trabajo que se crea con carácter indefinido resulta viable económicamente. Tal circunstancia resulta particularmente relevante en el actual contexto económico, ya que, como apunta el Abogado del Estado, esta disposición permite que las pequeñas empresas puedan hacer uso de esta modalidad contractual para ponderar los riesgos económicos asociados a la suscripción del contrato”.</w:t>
      </w:r>
    </w:p>
    <w:p w:rsidR="0085709A" w:rsidRDefault="0085709A" w:rsidP="0085709A">
      <w:pPr>
        <w:pStyle w:val="TextoNormal"/>
      </w:pPr>
    </w:p>
    <w:p w:rsidR="0085709A" w:rsidRDefault="0085709A" w:rsidP="0085709A">
      <w:pPr>
        <w:pStyle w:val="TextoNormal"/>
      </w:pPr>
      <w:r>
        <w:t>En definitiva, desde la estricta perspectiva constitucional, la fijación de un periodo de prueba de un año en el contrato de trabajo previsto en el art. 4.3 de la Ley 3/2012 no vulnera el art. 35.1 CE, pues, “en términos razonables y proporcionados pretende favorecer el acceso de desempleados a un puesto de trabajo estable, en el marco de una excepcional coyuntura de emergencia, caracterizada por elevadísimos niveles de desempleo, en ejecución del mandato que a los poderes públicos dirige el art. 40.1 CE” [STC 119/2014, de 16 de julio, FJ 3 f)].</w:t>
      </w:r>
    </w:p>
    <w:p w:rsidR="0085709A" w:rsidRDefault="0085709A" w:rsidP="0085709A">
      <w:pPr>
        <w:pStyle w:val="TextoNormal"/>
      </w:pPr>
    </w:p>
    <w:p w:rsidR="0085709A" w:rsidRDefault="0085709A" w:rsidP="0085709A">
      <w:pPr>
        <w:pStyle w:val="TextoNormal"/>
      </w:pPr>
      <w:r>
        <w:t xml:space="preserve">c) La vulneración, en tercer lugar, del art. 37.1 CE por establecer el art. 4.3 de la Ley 3/2012 una regulación indisponible para la negociación colectiva, ha sido también resuelta en la STC 119/2014, cuyo contenido ha sido recogido en la STC 8/2015, en la que hemos tenido la oportunidad de indicar que el carácter imperativo de la regulación legal impugnada (sobre la duración del período de prueba de un año y su consiguiente indisponibilidad para la negociación colectiva) goza de una justificación legítima, razonable y proporcionada, dado que “[l]a configuración legal como norma de derecho necesario absoluto de la duración del período de prueba de un año en el contrato por tiempo indefinido de apoyo a los </w:t>
      </w:r>
      <w:r>
        <w:lastRenderedPageBreak/>
        <w:t>emprendedores actúa como garantía hábil para evitar que, a través de la negociación colectiva, se pueda reducir o eliminar el potencial incentivo a la contratación indefinida que mediante esta medida ha querido introducir el legislador”, razón por la cual, la decisión legislativa impugnada contribuye “a impedir que la actuación de la autonomía colectiva pueda frustrar el legítimo y ya comentado objetivo de creación de empleo estable que se pretende alcanzar a través de esta modalidad contractual y su régimen jurídico”. Por ello, a la vista de la finalidad y alcance de la previsión cuestionada, y una vez ponderados los intereses constitucionales en juego, alcanzamos la conclusión de que “no puede tildarse de lesiva del art. 37.1 CE la decisión del legislador de establecer en un año la duración del período de prueba del contrato por tiempo indefinido de apoyo a los emprendedores, con el carácter de norma imperativa indisponible para la negociación colectiva” [apartado b) del fundamento jurídico 3 C)].</w:t>
      </w:r>
    </w:p>
    <w:p w:rsidR="0085709A" w:rsidRDefault="0085709A" w:rsidP="0085709A">
      <w:pPr>
        <w:pStyle w:val="TextoNormal"/>
      </w:pPr>
    </w:p>
    <w:p w:rsidR="0085709A" w:rsidRDefault="0085709A" w:rsidP="0085709A">
      <w:pPr>
        <w:pStyle w:val="TextoNormal"/>
      </w:pPr>
      <w:r>
        <w:t>d) Finalmente, la vulneración del art. 24.1 CE por impedir el precepto cuestionado un efectivo control judicial sobre la decisión empresarial y no conllevar resarcimiento para el trabajador, ha sido rechazada en nuestra STC 119/2014, de 16 de julio, FJ 3 D), en la que hemos descartado la citada infracción sobre la base de que “[r]especto a la decisión empresarial de desistimiento durante el período de prueba en el contrato por tiempo indefinido de apoyo a los emprendedores está garantizado el pleno acceso a la tutela de los Jueces y Tribunales para impugnar las decisiones no ajustadas al régimen jurídico establecido por la Ley; ya sea por el ejercicio del desistimiento una vez transcurrido el período máximo de duración del periodo de prueba, o porque se haya establecido el período de prueba en supuestos en los que la propia Ley lo excluye expresamente (cuando el trabajador haya desempeñado ya las mismas funciones con anterioridad en la empresa). Igualmente para impugnar aquellas decisiones que se hayan adoptado por motivos discriminatorios o contrarios a los derechos fundamentales del trabajador (por todas, SSTC 94/1984, de 16 de octubre, y 166/1988, de 26 de septiembre). Lo que no garantiza el derecho a la tutela judicial efectiva (art. 24.1 CE) es el acceso a la jurisdicción para exigir una justificación causal del desistimiento empresarial en todo caso, o una indemnización en caso de desistimiento; exigencias que la norma sustantiva no contempla en la configuración de la institución considerada (ni respecto del periodo de prueba regulado con carácter general en el art. 14 LET, ni respecto del periodo de prueba específico regulado en el art. 4.3 de la Ley 3/2012)” [doctrina reiterada en la STC 8/2015, FJ 3 d)].</w:t>
      </w:r>
    </w:p>
    <w:p w:rsidR="0085709A" w:rsidRDefault="0085709A" w:rsidP="0085709A">
      <w:pPr>
        <w:pStyle w:val="TextoNormal"/>
      </w:pPr>
    </w:p>
    <w:p w:rsidR="0085709A" w:rsidRDefault="0085709A" w:rsidP="0085709A">
      <w:pPr>
        <w:pStyle w:val="TextoNormal"/>
      </w:pPr>
      <w:r>
        <w:t>En consecuencia, y de conformidad con lo hasta aquí expuesto, la cuestión de inconstitucionalidad promovida por la Sala de lo Social del Tribunal Superior de Justicia del País Vasco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lastRenderedPageBreak/>
        <w:t>Publíquese esta Sentencia en el “Boletín Oficial del Estado”.</w:t>
      </w:r>
    </w:p>
    <w:p w:rsidR="0085709A" w:rsidRDefault="0085709A" w:rsidP="0085709A">
      <w:pPr>
        <w:pStyle w:val="TextoNormal"/>
      </w:pPr>
      <w:r>
        <w:t>Dada en Madrid, a veintidós de junio de dos mil quince.</w:t>
      </w:r>
    </w:p>
    <w:p w:rsidR="0085709A" w:rsidRDefault="0085709A" w:rsidP="0085709A">
      <w:pPr>
        <w:pStyle w:val="ParrafoNormal"/>
      </w:pPr>
    </w:p>
    <w:p w:rsidR="0085709A" w:rsidRDefault="0085709A" w:rsidP="0085709A">
      <w:pPr>
        <w:pStyle w:val="TextoNormalNegritaCentrado"/>
        <w:keepNext/>
      </w:pPr>
      <w:r>
        <w:t>Voto particular que formulan la Magistrada doña Adela Asua Batarrita y el Magistrado don Fernando Valdés Dal-Ré a la Sentencia dictada en la cuestión de inconstitucionalidad núm. 693-2014.</w:t>
      </w:r>
    </w:p>
    <w:p w:rsidR="0085709A" w:rsidRDefault="0085709A" w:rsidP="0085709A">
      <w:pPr>
        <w:pStyle w:val="TextoNormalNegritaCentrado"/>
        <w:keepNext/>
      </w:pPr>
    </w:p>
    <w:p w:rsidR="0085709A" w:rsidRDefault="0085709A" w:rsidP="0085709A">
      <w:pPr>
        <w:pStyle w:val="TextoNormal"/>
      </w:pPr>
      <w:r>
        <w:t>Con el máximo respeto a la opinión mayoritaria de nuestros compañeros de Sala en la que se sustenta la Sentencia, manifestamos nuestra discrepancia con la fundamentación jurídica y el fallo de esta, que entendemos hubiera debido de ser estimatorio por vulneración del derecho al trabajo (art. 35.1 CE).</w:t>
      </w:r>
    </w:p>
    <w:p w:rsidR="0085709A" w:rsidRDefault="0085709A" w:rsidP="0085709A">
      <w:pPr>
        <w:pStyle w:val="TextoNormal"/>
      </w:pPr>
    </w:p>
    <w:p w:rsidR="0085709A" w:rsidRDefault="0085709A" w:rsidP="0085709A">
      <w:pPr>
        <w:pStyle w:val="TextoNormal"/>
      </w:pPr>
      <w:r>
        <w:t>Las razones de nuestra discrepancia son coincidentes con las que ya fueron expuestas en el Voto particular formulado a la STC 119/2014, 16 de julio, al que para evitar reiteraciones innecesarias nos remitimos (apartado III).</w:t>
      </w:r>
    </w:p>
    <w:p w:rsidR="0085709A" w:rsidRDefault="0085709A" w:rsidP="0085709A">
      <w:pPr>
        <w:pStyle w:val="TextoNormal"/>
      </w:pPr>
    </w:p>
    <w:p w:rsidR="0085709A" w:rsidRDefault="0085709A" w:rsidP="0085709A">
      <w:pPr>
        <w:pStyle w:val="TextoNormal"/>
      </w:pPr>
      <w:r>
        <w:t>Por otra parte, queremos destacar que en la presente cuestión de inconstitucionalidad el Fiscal General del Estado, en su escrito de alegaciones, tal y como se recoge en el antecedente de hecho sexto, interesó la estimación de la presente cuestión por considerar que la extensión a un año de la duración del periodo de prueba del contrato indefinido de apoyo a los emprendedores resulta contraria a los arts. 9.3, 14, 35.1 y 37.1 del texto constitucional. En consecuencia, dejamos constancia de la parcial coincidencia entre nuestro Voto particular y la opinión del Fiscal General del Estado.</w:t>
      </w:r>
    </w:p>
    <w:p w:rsidR="0085709A" w:rsidRDefault="0085709A" w:rsidP="0085709A">
      <w:pPr>
        <w:pStyle w:val="TextoNormal"/>
      </w:pPr>
    </w:p>
    <w:p w:rsidR="0085709A" w:rsidRDefault="0085709A" w:rsidP="0085709A">
      <w:pPr>
        <w:pStyle w:val="TextoNormal"/>
      </w:pPr>
      <w:r>
        <w:t>Madrid, a veintidós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4" w:name="SENTENCIA_2015_141"/>
      <w:r>
        <w:lastRenderedPageBreak/>
        <w:t>SENTENCIA 141/2015, de 22 de junio de 2015</w:t>
      </w:r>
    </w:p>
    <w:bookmarkEnd w:id="144"/>
    <w:p w:rsidR="0085709A" w:rsidRDefault="0085709A" w:rsidP="0085709A">
      <w:pPr>
        <w:pStyle w:val="TtuloResolucin"/>
      </w:pPr>
      <w:r>
        <w:t>Sala Segunda</w:t>
      </w:r>
    </w:p>
    <w:p w:rsidR="0085709A" w:rsidRDefault="0085709A" w:rsidP="0085709A">
      <w:pPr>
        <w:pStyle w:val="TtuloBOE"/>
      </w:pPr>
      <w:r>
        <w:t>(BOE núm. 182, de 31 de julio de 2015)</w:t>
      </w:r>
    </w:p>
    <w:p w:rsidR="0085709A" w:rsidRDefault="0085709A" w:rsidP="0085709A">
      <w:pPr>
        <w:pStyle w:val="TextoNormalCentrado"/>
      </w:pPr>
      <w:r>
        <w:t>ECLI:ES:TC:2015:141</w:t>
      </w:r>
    </w:p>
    <w:p w:rsidR="0085709A" w:rsidRDefault="0085709A" w:rsidP="0085709A">
      <w:pPr>
        <w:pStyle w:val="TextoNormalCentrado"/>
      </w:pPr>
    </w:p>
    <w:p w:rsidR="0085709A" w:rsidRDefault="0085709A" w:rsidP="0085709A">
      <w:pPr>
        <w:pStyle w:val="SntesisDescriptiva"/>
      </w:pPr>
      <w:r>
        <w:t>Cuestión de inconstitucionalidad 2857-2014. Planteada por el Juzgado de lo Contencioso-Administrativo núm. 7 de Murcia en relación con el artículo 2 del Real Decreto-ley 20/2012, de 13 de julio, de medidas para garantizar la estabilidad presupuestaria y de fomento de la competitividad.</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extinción, por pérdida de objeto, de la cuestión de inconstitucionalidad (STC 83/2015).</w:t>
      </w:r>
    </w:p>
    <w:p w:rsidR="0085709A" w:rsidRDefault="0085709A" w:rsidP="0085709A">
      <w:pPr>
        <w:pStyle w:val="SntesisAnaltica"/>
      </w:pPr>
    </w:p>
    <w:p w:rsidR="0085709A" w:rsidRDefault="0085709A" w:rsidP="0085709A">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85709A" w:rsidRDefault="0085709A" w:rsidP="0085709A">
      <w:pPr>
        <w:pStyle w:val="Extracto"/>
      </w:pPr>
    </w:p>
    <w:p w:rsidR="0085709A" w:rsidRDefault="0085709A" w:rsidP="0085709A">
      <w:pPr>
        <w:pStyle w:val="Extracto"/>
      </w:pPr>
      <w:r>
        <w:t>2.</w:t>
      </w:r>
      <w:r>
        <w:tab/>
        <w:t>Doctrina sobre las posibles causas de terminación extraordinaria de las cuestiones de inconstitucionalidad por pérdida sobrevenida de objeto (STC 83/2015) [FJ 3].</w:t>
      </w:r>
    </w:p>
    <w:p w:rsidR="0085709A" w:rsidRDefault="0085709A" w:rsidP="0085709A">
      <w:pPr>
        <w:pStyle w:val="Extracto"/>
      </w:pPr>
    </w:p>
    <w:p w:rsidR="0085709A" w:rsidRDefault="0085709A" w:rsidP="0085709A">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2857-2014, promovida por el Juzgado de lo Contencioso-Administrativo núm. 7 de Murcia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Ricardo Enríquez Sancho, quien expresa el parecer del Tribunal.</w:t>
      </w:r>
    </w:p>
    <w:p w:rsidR="0085709A" w:rsidRDefault="0085709A" w:rsidP="0085709A">
      <w:pPr>
        <w:pStyle w:val="TextoNormal"/>
      </w:pPr>
    </w:p>
    <w:p w:rsidR="0085709A" w:rsidRDefault="0085709A" w:rsidP="0085709A">
      <w:pPr>
        <w:pStyle w:val="TextoNormalNegritaCentrado"/>
        <w:keepNext/>
      </w:pPr>
      <w:r>
        <w:lastRenderedPageBreak/>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7 de mayo de 2014 tuvo entrada en el Registro General de este Tribunal un oficio del Juzgado de lo Contencioso-Administrativo núm. 7 de Murcia al que se acompaña, junto con el testimonio del procedimiento núm. 174-2013, el Auto de 25 de abril de 2014,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procesales de la cuestión de inconstitucionalidad planteada son, sucintamente expuestos, los siguientes:</w:t>
      </w:r>
    </w:p>
    <w:p w:rsidR="0085709A" w:rsidRDefault="0085709A" w:rsidP="0085709A">
      <w:pPr>
        <w:pStyle w:val="TextoNormal"/>
      </w:pPr>
    </w:p>
    <w:p w:rsidR="0085709A" w:rsidRDefault="0085709A" w:rsidP="0085709A">
      <w:pPr>
        <w:pStyle w:val="TextoNormal"/>
      </w:pPr>
      <w:r>
        <w:t>a) Seis trabajadores, invocando su doble condición de funcionarios de carrera en activo de la Universidad de Murcia y representantes del personal de la misma Universidad como delegados sindicales de seis diferentes sindicatos, interpusieron bajo una misma representación y dirección letrada recurso contencioso-administrativo contra la resolución del Rector de la citada Universidad de 21 de marzo de 2013 por la que se desestima el recurso potestativo de reposición previamente formulado contra el documento de gasto autorizado de 13 de diciembre de 2012 referente a la confección de las nóminas de dicho mes y año, en las que no se incluyó ninguna cuantía por el concepto de paga extraordinaria y paga adicional al complemento específico o pagas equivalentes, de acuerdo con el art. 2 Real Decreto-ley 20/2012. En su demanda, los actores solicitaron la anulación de los actos impugnados y el reconocimiento a todos los funcionarios y empleados públicos de dicha Universidad del derecho a percibir íntegramente la citada paga extraordinaria, paga adicional y paga equivalente del mes de diciembre de 2012, o al menos (“subsidiariamente”), la parte proporcional de los citados conceptos retributivos devengados con anterioridad al 15 de julio de 2012, fecha de entrada en vigor del Real Decreto-ley 20/2012. Y en apoyo de estas pretensiones ya razonaron extensamente en demanda sobre la inconstitucionalidad de la norma cuestionada.</w:t>
      </w:r>
    </w:p>
    <w:p w:rsidR="0085709A" w:rsidRDefault="0085709A" w:rsidP="0085709A">
      <w:pPr>
        <w:pStyle w:val="TextoNormal"/>
      </w:pPr>
    </w:p>
    <w:p w:rsidR="0085709A" w:rsidRDefault="0085709A" w:rsidP="0085709A">
      <w:pPr>
        <w:pStyle w:val="TextoNormal"/>
      </w:pPr>
      <w:r>
        <w:t>b) Concluso el procedimiento y dentro del plazo para dictar sentencia, el órgano judicial dictó providencia de 20 de marzo de 2014 por la que acordó oír a las partes y al Ministerio Fiscal para que alegasen sobre la pertinencia de plantear cuestión de inconstitucionalidad en relación con el art. 2 del Real Decreto-ley 20/2012, de 13 de julio, de medidas para garantizar la estabilidad presupuestaria y de fomento de la competitividad en la medida en que “la supresión íntegra de la paga extraordinaria de diciembre… puede vulnerar el artículo 9.3 de la Constitución Española, según el cual la Constitución garantiza la irretroactividad de las disposiciones restrictivas de derechos individuales, que podría entenderse infringido porque mediante el artículo 2 del Real Decreto-Ley (</w:t>
      </w:r>
      <w:r w:rsidRPr="0085709A">
        <w:rPr>
          <w:i/>
        </w:rPr>
        <w:t>sic</w:t>
      </w:r>
      <w:r>
        <w:t>) 20/2012 se priva a los funcionarios públicos recurrentes de derechos retributivos ya adquiridos y consolidados, correspondientes al periodo comprendido entre el uno de junio de 2012 y el 15 de julio de 2012, fecha en (</w:t>
      </w:r>
      <w:r w:rsidRPr="0085709A">
        <w:rPr>
          <w:i/>
        </w:rPr>
        <w:t>sic</w:t>
      </w:r>
      <w:r>
        <w:t>) entrada en vigor del RDL 20/2012”.</w:t>
      </w:r>
    </w:p>
    <w:p w:rsidR="0085709A" w:rsidRDefault="0085709A" w:rsidP="0085709A">
      <w:pPr>
        <w:pStyle w:val="TextoNormal"/>
      </w:pPr>
    </w:p>
    <w:p w:rsidR="0085709A" w:rsidRDefault="0085709A" w:rsidP="0085709A">
      <w:pPr>
        <w:pStyle w:val="TextoNormal"/>
      </w:pPr>
      <w:r>
        <w:t>c) Todas las partes —los recurrentes, la Universidad y el Ministerio Fiscal— presentaron alegaciones al respecto mostrándose favorables al planteamiento de la cuestión.</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25 de abril de 2014, el Juzgado de lo Contencioso-Administrativo núm. 7 de Murcia acordó plantear la presente cuestión de inconstitucionalidad y del análisis de su contenido interesa destacar los siguientes puntos:</w:t>
      </w:r>
    </w:p>
    <w:p w:rsidR="0085709A" w:rsidRDefault="0085709A" w:rsidP="0085709A">
      <w:pPr>
        <w:pStyle w:val="TextoNormal"/>
      </w:pPr>
    </w:p>
    <w:p w:rsidR="0085709A" w:rsidRDefault="0085709A" w:rsidP="0085709A">
      <w:pPr>
        <w:pStyle w:val="TextoNormal"/>
      </w:pPr>
      <w:r>
        <w:t>a) Tras exponer los antecedentes de hecho de la presente cuestión y estudiar los presupuestos de la cuestión de inconstitucionalidad (norma con rango de ley, aplicable al caso y de cuya validez dependa el fallo), el órgano judicial transcribe la norma cuestionada afirmando que la interpretación de la misma es “elocuente y rotunda” en cuanto a la “supresión” (expresión empleada por el propio legislador) de la paga extraordinaria de diciembre de 2012.</w:t>
      </w:r>
    </w:p>
    <w:p w:rsidR="0085709A" w:rsidRDefault="0085709A" w:rsidP="0085709A">
      <w:pPr>
        <w:pStyle w:val="TextoNormal"/>
      </w:pPr>
    </w:p>
    <w:p w:rsidR="0085709A" w:rsidRDefault="0085709A" w:rsidP="0085709A">
      <w:pPr>
        <w:pStyle w:val="TextoNormal"/>
      </w:pPr>
      <w:r>
        <w:t>b) A partir de ahí, y atendiendo a la “consolidada jurisprudencia según la cual las pagas extraordinarias son salario diferido que se devenga día a día”, explica que el citado precepto pudiera ser contrario al art. 9.3 CE cuando garantiza la irretroactividad de las disposiciones restrictivas de derechos individuales. Se remite y transcribe parcialmente al Auto de la Sala de lo Social de la Audiencia Nacional de 1 de marzo de 2013, que planteó la misma cuestión en un asunto de su competencia, para justificar y explicitar sus dudas respecto a la constitucionalidad de la norma, aunque intercala un análisis propio de los salarios de los funcionarios públicos, y no de los trabajadores, a los que se refería el indicado Auto.</w:t>
      </w:r>
    </w:p>
    <w:p w:rsidR="0085709A" w:rsidRDefault="0085709A" w:rsidP="0085709A">
      <w:pPr>
        <w:pStyle w:val="TextoNormal"/>
      </w:pPr>
    </w:p>
    <w:p w:rsidR="0085709A" w:rsidRDefault="0085709A" w:rsidP="0085709A">
      <w:pPr>
        <w:pStyle w:val="TextoNormal"/>
      </w:pPr>
      <w:r>
        <w:t>c) Concluye que “los derechos retributivos de los empleados públicos son derechos individuales”, y “cuando se promulga el Real Decreto-ley 20/2012 los funcionarios de carrera en activo habían generado el derecho retributivo a percibir la parte proporcional de [la] paga extraordinaria de diciembre de 2012, desde el uno de junio de 2012 hasta el 14 de julio de 2012, ambos incluidos”. Cita en apoyo de esta tesis el ATC 179/2011, de 13 de diciembre [FJ 7 c)], que interpretado a contrario parece dar a entender que los derechos económicos ya devengados son “derechos adquiridos” incorporados al patrimonio del funcionario y por consiguiente protegidos por el art. 9.3 CE.</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Cuarta, acordó admitir a trámite la cuestión mediante providencia de 27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7 de Murcia,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el 4 de junio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85709A" w:rsidRDefault="0085709A" w:rsidP="0085709A">
      <w:pPr>
        <w:pStyle w:val="TextoNormal"/>
      </w:pPr>
    </w:p>
    <w:p w:rsidR="0085709A" w:rsidRDefault="0085709A" w:rsidP="0085709A">
      <w:pPr>
        <w:pStyle w:val="TextoNormal"/>
      </w:pPr>
      <w:r>
        <w:t>Mediante escrito registrado el 10 de junio de 2014, el Presidente del Senado comunicó a este Tribunal el acuerdo de la Mesa para que se diera por personada a la Cámara y por ofrecida su colaboración a los efectos del art. 88.1 LOTC.</w:t>
      </w:r>
    </w:p>
    <w:p w:rsidR="0085709A" w:rsidRDefault="0085709A" w:rsidP="0085709A">
      <w:pPr>
        <w:pStyle w:val="TextoNormal"/>
      </w:pPr>
    </w:p>
    <w:p w:rsidR="0085709A" w:rsidRDefault="0085709A" w:rsidP="0085709A">
      <w:pPr>
        <w:pStyle w:val="TextoNormal"/>
      </w:pPr>
      <w:r w:rsidRPr="0085709A">
        <w:rPr>
          <w:rStyle w:val="NumeroAFNegritaCaracter"/>
        </w:rPr>
        <w:t>6</w:t>
      </w:r>
      <w:r>
        <w:t>. El Fiscal General del Estado presentó escrito de alegaciones ante este Tribunal el 11 de junio de 2014 interesando la estimación de la presente cuestión de inconstitucionalidad.</w:t>
      </w:r>
    </w:p>
    <w:p w:rsidR="0085709A" w:rsidRDefault="0085709A" w:rsidP="0085709A">
      <w:pPr>
        <w:pStyle w:val="TextoNormal"/>
      </w:pPr>
    </w:p>
    <w:p w:rsidR="0085709A" w:rsidRDefault="0085709A" w:rsidP="0085709A">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85709A" w:rsidRDefault="0085709A" w:rsidP="0085709A">
      <w:pPr>
        <w:pStyle w:val="TextoNormal"/>
      </w:pPr>
    </w:p>
    <w:p w:rsidR="0085709A" w:rsidRDefault="0085709A" w:rsidP="0085709A">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85709A">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85709A" w:rsidRDefault="0085709A" w:rsidP="0085709A">
      <w:pPr>
        <w:pStyle w:val="TextoNormal"/>
      </w:pPr>
    </w:p>
    <w:p w:rsidR="0085709A" w:rsidRDefault="0085709A" w:rsidP="0085709A">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w:t>
      </w:r>
      <w:r>
        <w:lastRenderedPageBreak/>
        <w:t>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85709A" w:rsidRDefault="0085709A" w:rsidP="0085709A">
      <w:pPr>
        <w:pStyle w:val="TextoNormal"/>
      </w:pPr>
    </w:p>
    <w:p w:rsidR="0085709A" w:rsidRDefault="0085709A" w:rsidP="0085709A">
      <w:pPr>
        <w:pStyle w:val="TextoNormal"/>
      </w:pPr>
      <w:r>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mediante escrito de alegaciones registrado el 18 de junio de 2014, se personó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Comienza señalando que aunque el Auto de planteamiento cuestiona la totalidad del extenso art. 2 Real Decreto-ley 20/2012, sin embargo se refiere en realidad solo al apartado 2.2 del art. 2, es decir, a la aplicación de la supresión de la paga extraordinaria de diciembre al personal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85709A" w:rsidRDefault="0085709A" w:rsidP="0085709A">
      <w:pPr>
        <w:pStyle w:val="TextoNormal"/>
      </w:pPr>
    </w:p>
    <w:p w:rsidR="0085709A" w:rsidRDefault="0085709A" w:rsidP="0085709A">
      <w:pPr>
        <w:pStyle w:val="TextoNormal"/>
      </w:pPr>
      <w: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w:t>
      </w:r>
      <w:r>
        <w:lastRenderedPageBreak/>
        <w:t>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85709A" w:rsidRDefault="0085709A" w:rsidP="0085709A">
      <w:pPr>
        <w:pStyle w:val="TextoNormal"/>
      </w:pPr>
    </w:p>
    <w:p w:rsidR="0085709A" w:rsidRDefault="0085709A" w:rsidP="0085709A">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85709A" w:rsidRDefault="0085709A" w:rsidP="0085709A">
      <w:pPr>
        <w:pStyle w:val="TextoNormal"/>
      </w:pPr>
    </w:p>
    <w:p w:rsidR="0085709A" w:rsidRDefault="0085709A" w:rsidP="0085709A">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w:t>
      </w:r>
      <w:r>
        <w:lastRenderedPageBreak/>
        <w:t>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85709A" w:rsidRDefault="0085709A" w:rsidP="0085709A">
      <w:pPr>
        <w:pStyle w:val="TextoNormal"/>
      </w:pPr>
    </w:p>
    <w:p w:rsidR="0085709A" w:rsidRDefault="0085709A" w:rsidP="0085709A">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85709A" w:rsidRDefault="0085709A" w:rsidP="0085709A">
      <w:pPr>
        <w:pStyle w:val="TextoNormal"/>
      </w:pPr>
    </w:p>
    <w:p w:rsidR="0085709A" w:rsidRDefault="0085709A" w:rsidP="0085709A">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Producto interior bruto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85709A" w:rsidRDefault="0085709A" w:rsidP="0085709A">
      <w:pPr>
        <w:pStyle w:val="TextoNormal"/>
      </w:pPr>
    </w:p>
    <w:p w:rsidR="0085709A" w:rsidRDefault="0085709A" w:rsidP="0085709A">
      <w:pPr>
        <w:pStyle w:val="TextoNormal"/>
      </w:pPr>
      <w:r>
        <w:t>Por todo ello, se interesa la desestimación de la cuestión.</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17 de junio de 2015 se señaló para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Juzgado de lo Contencioso-Administrativo núm. 7 de Murcia plantea cuestión de inconstitucionalidad respecto del art. 2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el Juzgado entiende que el art. 2 del </w:t>
      </w:r>
      <w:r>
        <w:lastRenderedPageBreak/>
        <w:t>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85709A" w:rsidRDefault="0085709A" w:rsidP="0085709A">
      <w:pPr>
        <w:pStyle w:val="TextoNormal"/>
      </w:pPr>
    </w:p>
    <w:p w:rsidR="0085709A" w:rsidRDefault="0085709A" w:rsidP="0085709A">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Con carácter previo al análisis de la cuestión planteada conviene realizar una serie de precisiones para acotar debidamente el objeto de la misma y el alcance de nuestro enjuiciamiento.</w:t>
      </w:r>
    </w:p>
    <w:p w:rsidR="0085709A" w:rsidRDefault="0085709A" w:rsidP="0085709A">
      <w:pPr>
        <w:pStyle w:val="TextoNormal"/>
      </w:pPr>
    </w:p>
    <w:p w:rsidR="0085709A" w:rsidRDefault="0085709A" w:rsidP="0085709A">
      <w:pPr>
        <w:pStyle w:val="TextoNormal"/>
      </w:pPr>
      <w:r>
        <w:t>a) Así, en primer lugar, resulta obligado advertir, en consonancia con lo manifestado en sus alegaciones respectivas por el Fiscal General del Estado y el Abogado del Estado, que si bien el Juzgado de lo Contencioso-Administrativo núm. 7 de Murcia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(como se precisa expresamente en la parte dispositiva del Auto). Ello se conecta lógicamente con el juicio de relevancia, correctamente expresado por el órgano judicial, pues la cuestión de inconstitucionalidad trae causa de un proceso promovido por seis funcionarios de carrera en situación de activo en la Universidad de Murcia con motivo de la supresión, por aplicación de las previsiones contenidas en el Real Decreto-ley 20/2012, de la paga o gratificación extraordinaria de diciembre de 2012 al personal de esa Universidad, proceso en el que lo pretendido por los demandantes con carácter subsidiario a la pretensión principal (referida a que no se aplique en la Universidad de Murcia la medida de supresión de la paga extra de diciembre de 2012) es justamente que se declare su derecho y el de los restantes funcionarios de la Universidad de Murcia a percibir la parte proporcional de la paga extra de diciembre de 2012 que consideran ya devengada al momento de la entrada en vigor del Real Decreto-ley 20/2012, porque, de acuerdo con el art. 9.3 CE en relación con el art. 33.3 CE, no cabe que la supresión de esa paga extra por el Real Decreto-ley 20/2012 tenga efectos retroactivos.</w:t>
      </w:r>
    </w:p>
    <w:p w:rsidR="0085709A" w:rsidRDefault="0085709A" w:rsidP="0085709A">
      <w:pPr>
        <w:pStyle w:val="TextoNormal"/>
      </w:pPr>
    </w:p>
    <w:p w:rsidR="0085709A" w:rsidRDefault="0085709A" w:rsidP="0085709A">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0085709A" w:rsidRDefault="0085709A" w:rsidP="0085709A">
      <w:pPr>
        <w:pStyle w:val="TextoNormal"/>
      </w:pPr>
    </w:p>
    <w:p w:rsidR="0085709A" w:rsidRDefault="0085709A" w:rsidP="0085709A">
      <w:pPr>
        <w:pStyle w:val="TextoNormal"/>
      </w:pPr>
      <w:r>
        <w:t xml:space="preserve">b) Por otra parte debe tenerse en cuenta que no se cuestiona por el Juzgado de lo Contencioso-Administrativo núm. 7 de Murcia la medida de supresión de la paga extraordinaria de diciembre de 2012 en sí misma considerada (que es la pretensión principal que se deduce </w:t>
      </w:r>
      <w:r>
        <w:lastRenderedPageBreak/>
        <w:t xml:space="preserve">por los demandantes en el proceso </w:t>
      </w:r>
      <w:r w:rsidRPr="0085709A">
        <w:rPr>
          <w:i/>
        </w:rPr>
        <w:t>a quo</w:t>
      </w:r>
      <w:r>
        <w:t xml:space="preserve">, como se ha dicho), sino sólo en cuanto su aplicación haya podido suponer la infracción del principio de irretroactividad establecido en el art.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85709A">
        <w:rPr>
          <w:i/>
        </w:rPr>
        <w:t>a quo</w:t>
      </w:r>
      <w:r>
        <w:t>) deberá, pues, ceñirse nuestro enjuiciamiento.</w:t>
      </w:r>
    </w:p>
    <w:p w:rsidR="0085709A" w:rsidRDefault="0085709A" w:rsidP="0085709A">
      <w:pPr>
        <w:pStyle w:val="TextoNormal"/>
      </w:pPr>
    </w:p>
    <w:p w:rsidR="0085709A" w:rsidRDefault="0085709A" w:rsidP="0085709A">
      <w:pPr>
        <w:pStyle w:val="TextoNormal"/>
      </w:pPr>
      <w:r w:rsidRPr="0085709A">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Uno,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w:t>
      </w:r>
    </w:p>
    <w:p w:rsidR="0085709A" w:rsidRDefault="0085709A" w:rsidP="0085709A">
      <w:pPr>
        <w:pStyle w:val="TextoNormal"/>
      </w:pPr>
    </w:p>
    <w:p w:rsidR="0085709A" w:rsidRDefault="0085709A" w:rsidP="0085709A">
      <w:pPr>
        <w:pStyle w:val="TextoNormal"/>
      </w:pPr>
      <w:r>
        <w:t>En virtud de esta habilitación, la Ley 13/2014, de 23 de diciembre, de presupuestos generales de la Comunidad Autónoma de la Región de Murcia para el ejercicio 2015, ha previsto en la disposición adicional vigesimoséptima, bajo el epígrafe, “recuperación de la paga extra y pagas adicionales del mes de diciembre de 2012 en el sector público regional”, lo siguiente:</w:t>
      </w:r>
    </w:p>
    <w:p w:rsidR="0085709A" w:rsidRDefault="0085709A" w:rsidP="0085709A">
      <w:pPr>
        <w:pStyle w:val="TextoNormal"/>
      </w:pPr>
    </w:p>
    <w:p w:rsidR="0085709A" w:rsidRDefault="0085709A" w:rsidP="0085709A">
      <w:pPr>
        <w:pStyle w:val="TextoNormal"/>
      </w:pPr>
      <w:r>
        <w:t>“1. En los términos y condiciones que se establezcan en la normativa básica estatal presupuestaria para el ejercicio 2015, en el sector público regional se podrán abonar las cantidades equivalentes a la parte proporcional correspondiente a 44 días de la paga extraordinaria, paga adicional de complemento específico o pagas adicionales equivalentes, incluyendo en esas pagas los conceptos de complemento de destino y complemento específico correspondientes al mes de diciembre de 2012, en concepto de recuperación de los importes efectivamente dejados de percibir por aplicación del Real Decreto-ley 20/2012, de 20 de julio, de medidas para garantizar la estabilidad presupuestaria y de fomento de la competitividad, adaptado a esta Administración regional mediante la Ley 9/2012, de 8 de noviembre.</w:t>
      </w:r>
    </w:p>
    <w:p w:rsidR="0085709A" w:rsidRDefault="0085709A" w:rsidP="0085709A">
      <w:pPr>
        <w:pStyle w:val="TextoNormal"/>
      </w:pPr>
    </w:p>
    <w:p w:rsidR="0085709A" w:rsidRDefault="0085709A" w:rsidP="0085709A">
      <w:pPr>
        <w:pStyle w:val="TextoNormal"/>
      </w:pPr>
      <w:r>
        <w:t>2. Se faculta al Consejo de Gobierno para que adopte durante el ejercicio 2015, en su caso, las medidas necesarias en aplicación y ejecución de esta disposición.”</w:t>
      </w:r>
    </w:p>
    <w:p w:rsidR="0085709A" w:rsidRDefault="0085709A" w:rsidP="0085709A">
      <w:pPr>
        <w:pStyle w:val="TextoNormal"/>
      </w:pPr>
    </w:p>
    <w:p w:rsidR="0085709A" w:rsidRDefault="0085709A" w:rsidP="0085709A">
      <w:pPr>
        <w:pStyle w:val="TextoNormal"/>
      </w:pPr>
      <w:r>
        <w:t xml:space="preserve">La aplicación efectiva de esta previsión en la Comunidad Autónoma de Murcia se ha llevado a cabo conforme a las instrucciones contenidas en la resolución de 10 de febrero de 2015 de la Secretaría General de la Consejería de Economía y Hacienda, por la que se dispone la publicación en el “Boletín Oficial de la Región de Murcia” del acuerdo del Consejo de Gobierno de 6 de febrero de 2015, sobre medidas necesarias para la recuperación de los importes efectivamente dejados de percibir correspondientes a los primeros cuarenta y cuatro días de la paga extraordinaria del mes de diciembre de 2012 (publicada en el “Boletín Oficial de la Región de Murcia” de 19 de febrero de 2015). En esta resolución se precisa que “de conformidad con lo establecido en la Disposición adicional décima segunda de la Ley 36/2014, de 26 de diciembre, de Presupuestos Generales del Estado para el año 2015, </w:t>
      </w:r>
      <w:r>
        <w:lastRenderedPageBreak/>
        <w:t>se procederá al abono de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y que ”las cantidades que podrán abonarse por los conceptos señalados ..., sobre el importe dejado de percibir por cada persona ..., serán las equivalentes a la parte proporcional correspondiente a los primeros 44 días de la paga extraordinaria, paga adicional de complemento específico y pagas adicionales equivalentes, y paga de productividad semestral, factores de complemento de destino y complemento específico, en su caso, del mes de diciembre de 2012”.</w:t>
      </w:r>
    </w:p>
    <w:p w:rsidR="0085709A" w:rsidRDefault="0085709A" w:rsidP="0085709A">
      <w:pPr>
        <w:pStyle w:val="TextoNormal"/>
      </w:pPr>
    </w:p>
    <w:p w:rsidR="0085709A" w:rsidRDefault="0085709A" w:rsidP="0085709A">
      <w:pPr>
        <w:pStyle w:val="TextoNormal"/>
      </w:pPr>
      <w:r>
        <w:t>Como consecuencia de lo señalado en la normativa citada, debemos remitirnos a lo dicho recientemente en nuestra STC 83/2015, de 30 de abril, sobre la posible pérdida de objeto de la cuestión de inconstitucionalidad.</w:t>
      </w:r>
    </w:p>
    <w:p w:rsidR="0085709A" w:rsidRDefault="0085709A" w:rsidP="0085709A">
      <w:pPr>
        <w:pStyle w:val="TextoNormal"/>
      </w:pPr>
    </w:p>
    <w:p w:rsidR="0085709A" w:rsidRDefault="0085709A" w:rsidP="0085709A">
      <w:pPr>
        <w:pStyle w:val="TextoNormal"/>
      </w:pPr>
      <w: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w:t>
      </w:r>
      <w:r w:rsidRPr="0085709A">
        <w:rPr>
          <w:i/>
        </w:rPr>
        <w:t>a quo</w:t>
      </w:r>
      <w:r>
        <w:t xml:space="preserve">,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85709A">
        <w:rPr>
          <w:i/>
        </w:rPr>
        <w:t>a quo</w:t>
      </w:r>
      <w:r>
        <w:t>, “que afecta de modo determinante a la subsistencia del presente proceso constitucional, dada la estrecha vinculación existente entre toda cuestión de inconstitucionalidad y el procedimiento judicial de que dimana.”</w:t>
      </w:r>
    </w:p>
    <w:p w:rsidR="0085709A" w:rsidRDefault="0085709A" w:rsidP="0085709A">
      <w:pPr>
        <w:pStyle w:val="TextoNormal"/>
      </w:pPr>
    </w:p>
    <w:p w:rsidR="0085709A" w:rsidRDefault="0085709A" w:rsidP="0085709A">
      <w:pPr>
        <w:pStyle w:val="TextoNormal"/>
      </w:pPr>
      <w:r>
        <w:t>En la presente cuestión de inconstitucionalidad se plantea si la supresión del derecho de los funcionarios de la Universidad de Murcia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vigesimoséptima de la Ley 13/2014, de presupuestos generales de la Comunidad Autónoma de la Región de Murcia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85709A" w:rsidRDefault="0085709A" w:rsidP="0085709A">
      <w:pPr>
        <w:pStyle w:val="TextoNormal"/>
      </w:pPr>
    </w:p>
    <w:p w:rsidR="0085709A" w:rsidRDefault="0085709A" w:rsidP="0085709A">
      <w:pPr>
        <w:pStyle w:val="TextoNormal"/>
      </w:pPr>
      <w:r>
        <w:t xml:space="preserve">Conforme a lo expuesto, la regulación contenida en la citada disposición adicional vigesimoséptima de la Ley 13/2014, de presupuestos generales de la Comunidad Autónoma de la Región de Murcia para 2015, determina la extinción de la presente cuestión de inconstitucionalidad, pues, “aun cuando el enjuiciamiento constitucional de la norma cuestionada sigue siendo posible y esta plantea un problema constitucional de interés, ya no se trataría </w:t>
      </w:r>
      <w:r>
        <w:lastRenderedPageBreak/>
        <w:t>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Declarar la extinción de la presente causa de inconstitucionalidad por pérdida sobrevenida de su objeto.</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5" w:name="SENTENCIA_2015_142"/>
      <w:r>
        <w:lastRenderedPageBreak/>
        <w:t>SENTENCIA 142/2015, de 22 de junio de 2015</w:t>
      </w:r>
    </w:p>
    <w:bookmarkEnd w:id="145"/>
    <w:p w:rsidR="0085709A" w:rsidRDefault="0085709A" w:rsidP="0085709A">
      <w:pPr>
        <w:pStyle w:val="TtuloResolucin"/>
      </w:pPr>
      <w:r>
        <w:t>Sala Segunda</w:t>
      </w:r>
    </w:p>
    <w:p w:rsidR="0085709A" w:rsidRDefault="0085709A" w:rsidP="0085709A">
      <w:pPr>
        <w:pStyle w:val="TtuloBOE"/>
      </w:pPr>
      <w:r>
        <w:t>(BOE núm. 182, de 31 de julio de 2015)</w:t>
      </w:r>
    </w:p>
    <w:p w:rsidR="0085709A" w:rsidRDefault="0085709A" w:rsidP="0085709A">
      <w:pPr>
        <w:pStyle w:val="TextoNormalCentrado"/>
      </w:pPr>
      <w:r>
        <w:t>ECLI:ES:TC:2015:142</w:t>
      </w:r>
    </w:p>
    <w:p w:rsidR="0085709A" w:rsidRDefault="0085709A" w:rsidP="0085709A">
      <w:pPr>
        <w:pStyle w:val="TextoNormalCentrado"/>
      </w:pPr>
    </w:p>
    <w:p w:rsidR="0085709A" w:rsidRDefault="0085709A" w:rsidP="0085709A">
      <w:pPr>
        <w:pStyle w:val="SntesisDescriptiva"/>
      </w:pPr>
      <w:r>
        <w:t>Recurso de amparo 2949-2014. Promovido por don Carles Xavier Odena Folch respecto de la inadmisión por la Audiencia Provincial de Palma de Mallorca de un incidente de nulidad de actuaciones instado en un proceso por delito de descubrimiento y revelación de secretos.</w:t>
      </w:r>
    </w:p>
    <w:p w:rsidR="0085709A" w:rsidRDefault="0085709A" w:rsidP="0085709A">
      <w:pPr>
        <w:pStyle w:val="SntesisDescriptiva"/>
      </w:pPr>
    </w:p>
    <w:p w:rsidR="0085709A" w:rsidRDefault="0085709A" w:rsidP="0085709A">
      <w:pPr>
        <w:pStyle w:val="SntesisAnaltica"/>
      </w:pPr>
      <w:r>
        <w:t>Vulneración del derecho a la tutela judicial efectiva (acceso al recurso): inadmisión sin motivación de un incidente de nulidad de actuaciones (STC 91/2015).</w:t>
      </w:r>
    </w:p>
    <w:p w:rsidR="0085709A" w:rsidRDefault="0085709A" w:rsidP="0085709A">
      <w:pPr>
        <w:pStyle w:val="SntesisAnaltica"/>
      </w:pPr>
    </w:p>
    <w:p w:rsidR="0085709A" w:rsidRDefault="0085709A" w:rsidP="0085709A">
      <w:pPr>
        <w:pStyle w:val="Extracto"/>
      </w:pPr>
      <w:r>
        <w:t>1.</w:t>
      </w:r>
      <w:r>
        <w:tab/>
        <w:t>El control de las resoluciones judiciales de inadmisión por parte de la jurisdicción constitucional es meramente externo y debe limitarse a comprobar si contienen motivación, si han incurrido o no en error material patente, en arbitrariedad o en manifiesta irrazonabilidad lógica, evitando toda ponderación acerca de su corrección jurídica (STC 204/2014) [FJ 2].</w:t>
      </w:r>
    </w:p>
    <w:p w:rsidR="0085709A" w:rsidRDefault="0085709A" w:rsidP="0085709A">
      <w:pPr>
        <w:pStyle w:val="Extracto"/>
      </w:pPr>
    </w:p>
    <w:p w:rsidR="0085709A" w:rsidRDefault="0085709A" w:rsidP="0085709A">
      <w:pPr>
        <w:pStyle w:val="Extracto"/>
      </w:pPr>
      <w:r>
        <w:t>2.</w:t>
      </w:r>
      <w:r>
        <w:tab/>
        <w:t>Existe un diferente relieve constitucional con respecto a los derechos de acceso a la jurisdicción y el de acceso a los recursos legalmente establecidos en el art. 24.1 CE [FJ 2].</w:t>
      </w:r>
    </w:p>
    <w:p w:rsidR="0085709A" w:rsidRDefault="0085709A" w:rsidP="0085709A">
      <w:pPr>
        <w:pStyle w:val="Extracto"/>
      </w:pPr>
    </w:p>
    <w:p w:rsidR="0085709A" w:rsidRDefault="0085709A" w:rsidP="0085709A">
      <w:pPr>
        <w:pStyle w:val="Extracto"/>
      </w:pPr>
      <w:r>
        <w:t>3.</w:t>
      </w:r>
      <w:r>
        <w:tab/>
        <w:t>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 (STC 20/2012, 37/1995) [FJ 2].</w:t>
      </w:r>
    </w:p>
    <w:p w:rsidR="0085709A" w:rsidRDefault="0085709A" w:rsidP="0085709A">
      <w:pPr>
        <w:pStyle w:val="Extracto"/>
      </w:pPr>
    </w:p>
    <w:p w:rsidR="0085709A" w:rsidRDefault="0085709A" w:rsidP="0085709A">
      <w:pPr>
        <w:pStyle w:val="Extracto"/>
      </w:pPr>
      <w:r>
        <w:t>4.</w:t>
      </w:r>
      <w:r>
        <w:tab/>
        <w:t>La inadmisión del incidente de nulidad de actuaciones por parte de los órganos judiciales debe ofrecer una motivación suficiente que la justifique, precisando particularmente el tipo de recurso que puede interponerse frente a la sentencia de la Audiencia Provincial, habida cuenta que en este caso no procedía recurso extraordinario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lastRenderedPageBreak/>
        <w:t>SENTENCIA</w:t>
      </w:r>
    </w:p>
    <w:p w:rsidR="0085709A" w:rsidRDefault="0085709A" w:rsidP="0085709A">
      <w:pPr>
        <w:pStyle w:val="TextoNormalCentrado"/>
        <w:keepNext/>
      </w:pPr>
    </w:p>
    <w:p w:rsidR="0085709A" w:rsidRDefault="0085709A" w:rsidP="0085709A">
      <w:pPr>
        <w:pStyle w:val="TextoNormal"/>
      </w:pPr>
      <w:r>
        <w:t>En el recurso de amparo núm. 2949-2014, promovido por don Carles Xavier Odena Folch, representado por la Procuradora de los Tribunales doña Esperanza Martín Pulido y asistido por el Abogado don Jaime Campaner Muñoz, contra la providencia de 10 de abril de 2014 de la Sección Primera de la Audiencia Provincial de Palma de Mallorca, que inadmitió a trámite el incidente de nulidad de actuaciones interpuesto contra la Sentencia de dicho órgano judicial núm. 36-2014, de 18 de febrero de 2014, estimatoria del recurso de apelación promovido contra la Sentencia de 10 de octubre de 2012 del Juzgado de lo Penal núm. 3 de Palma de Mallorca, dictada en el procedimiento abreviado núm. 232-2012. Ha intervenido el Ministerio Fiscal. Ha sido Ponente el Magistrado don Fernando Valdés Dal-Ré,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registrado en este Tribunal el día 9 de mayo de 2014, la Procuradora de los Tribunales doña Esperanza Martín Pulido, actuando en nombre y representación de don Carles Xavier Odena Folch, presentó recurso de amparo constitucional contra la providencia de 10 de abril de 2014 de la Sección Primera de la Audiencia Provincial de Palma de Mallorca citada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de los que trae causa la demanda son, en síntesis, los siguientes:</w:t>
      </w:r>
    </w:p>
    <w:p w:rsidR="0085709A" w:rsidRDefault="0085709A" w:rsidP="0085709A">
      <w:pPr>
        <w:pStyle w:val="TextoNormal"/>
      </w:pPr>
    </w:p>
    <w:p w:rsidR="0085709A" w:rsidRDefault="0085709A" w:rsidP="0085709A">
      <w:pPr>
        <w:pStyle w:val="TextoNormal"/>
      </w:pPr>
      <w:r>
        <w:t>a) El Juzgado de lo Penal núm. 3 de Palma de Mallorca dictó Sentencia de 10 de octubre de 2012 en el procedimiento abreviado núm. 232-2012, en el que el recurrente en amparo ejerció la acusación particular. Condenaba a la acusada en ese proceso por un delito de descubrimiento y revelación de secretos (arts. 197.1 y 6 del Código penal: CP) a las penas de dos años y seis meses de prisión, con la accesoria de inhabilitación especial para el ejercicio del derecho de sufragio pasivo durante el tiempo de la condena y multa.</w:t>
      </w:r>
    </w:p>
    <w:p w:rsidR="0085709A" w:rsidRDefault="0085709A" w:rsidP="0085709A">
      <w:pPr>
        <w:pStyle w:val="TextoNormal"/>
      </w:pPr>
    </w:p>
    <w:p w:rsidR="0085709A" w:rsidRDefault="0085709A" w:rsidP="0085709A">
      <w:pPr>
        <w:pStyle w:val="TextoNormal"/>
      </w:pPr>
      <w:r>
        <w:t>b) La condenada interpuso recurso de apelación, que dio lugar a la Sentencia de la Sección Primera de la Audiencia Provincial de Palma de Mallorca núm. 36/2014, de 18 de febrero, estimatoria de la pretensión impugnatoria, revocándose así el pronunciamiento condenatorio y absolviendo la Sala a la acusada del delito reseñado.</w:t>
      </w:r>
    </w:p>
    <w:p w:rsidR="0085709A" w:rsidRDefault="0085709A" w:rsidP="0085709A">
      <w:pPr>
        <w:pStyle w:val="TextoNormal"/>
      </w:pPr>
    </w:p>
    <w:p w:rsidR="0085709A" w:rsidRDefault="0085709A" w:rsidP="0085709A">
      <w:pPr>
        <w:pStyle w:val="TextoNormal"/>
      </w:pPr>
      <w:r>
        <w:t xml:space="preserve">c) Una vez conocida la Sentencia, el recurrente en amparo interpuso incidente de nulidad de actuaciones contra la misma. Alegaba, de una parte, la vulneración de los derechos a la tutela judicial efectiva y a un proceso con todas las garantías consagrados en los arts. 24.1 y 2 CE; los motivos relacionados con tales derechos, sucintamente enunciados, eran los siguientes: i) inexistencia de un relato fáctico y fundamentos jurídicos claros, inteligibles y no contradictorios; ii) motivación ilógica, absurda y arbitraria, ignorándose elementos probatorios y alegaciones decisivas; iii) quiebra de los principios de contradicción procesal y congruencia; iv) valoración en apelación de pruebas no tenidas en cuenta en instancia, privándose </w:t>
      </w:r>
      <w:r w:rsidRPr="0085709A">
        <w:rPr>
          <w:i/>
        </w:rPr>
        <w:t>de facto</w:t>
      </w:r>
      <w:r>
        <w:t xml:space="preserve"> al demandante en amparo del derecho al recurso, pues discrepaba con la valoración realizada; v) apreciación intempestiva, en dicho grado jurisdiccional de apelación, del principio </w:t>
      </w:r>
      <w:r w:rsidRPr="0085709A">
        <w:rPr>
          <w:i/>
        </w:rPr>
        <w:t>in dubio pro reo</w:t>
      </w:r>
      <w:r>
        <w:t xml:space="preserve">, valorándose pruebas personales con ocasión de ello, </w:t>
      </w:r>
      <w:r>
        <w:lastRenderedPageBreak/>
        <w:t>pese a carecer la Audiencia Provincial de inmediación. De otro lado, se denunciaba la vulneración del art. 24.1 CE en conexión con los arts. 9.1 y 3, 18.1 y 3 y 25.1 CE, en tanto que, a juicio del Sr. Odena Folch y como dijera el Juez de instancia, sí eran subsumibles los hechos en el art. 197.1 CP, ya que la acusada accedió sin su consentimiento a las conversaciones que mantenía con terceros vía chat, apoderándose de ellas y lesionando de ese modo sus derechos fundamentales a la intimidad y al secreto de sus comunicaciones.</w:t>
      </w:r>
    </w:p>
    <w:p w:rsidR="0085709A" w:rsidRDefault="0085709A" w:rsidP="0085709A">
      <w:pPr>
        <w:pStyle w:val="TextoNormal"/>
      </w:pPr>
    </w:p>
    <w:p w:rsidR="0085709A" w:rsidRDefault="0085709A" w:rsidP="0085709A">
      <w:pPr>
        <w:pStyle w:val="TextoNormal"/>
      </w:pPr>
      <w:r>
        <w:t>El incidente de nulidad de actuaciones fue inadmitido por providencia de 10 de abril de 2014, cuyo tenor literal, tras reproducir el contenido del art. 241.1 de la Ley Orgánica del Poder Judicial (LOPJ), es: “Examinado el contenido del escrito presentado no ha lugar a admitir a trámite el incidente de nulidad, pues si bien concurre el primero de los requisitos señalados en el art.241.1 de la LOPJ, no concurre el segundo de ellos, concretamente el ser la resolución dictada susceptible de recurso extraordinario”.</w:t>
      </w:r>
    </w:p>
    <w:p w:rsidR="0085709A" w:rsidRDefault="0085709A" w:rsidP="0085709A">
      <w:pPr>
        <w:pStyle w:val="TextoNormal"/>
      </w:pPr>
    </w:p>
    <w:p w:rsidR="0085709A" w:rsidRDefault="0085709A" w:rsidP="0085709A">
      <w:pPr>
        <w:pStyle w:val="TextoNormal"/>
      </w:pPr>
      <w:r w:rsidRPr="0085709A">
        <w:rPr>
          <w:rStyle w:val="NumeroAFNegritaCaracter"/>
        </w:rPr>
        <w:t>3</w:t>
      </w:r>
      <w:r>
        <w:t>. El demandante de amparo aduce la vulneración del derecho a la tutela judicial efectiva (art. 24.1 CE), en la vertiente de derecho de acceso a los recursos, cometida por la providencia de 10 de abril de 2014 resolutoria del incidente de nulidad de actuaciones. A su juicio, a pesar de lo que afirma la providencia, no cabía recurso “extraordinario” alguno contra la resolución cuya nulidad se instaba, al tratarse de una Sentencia de la Sala Penal de la Audiencia Provincial dictada en apelación en un procedimiento abreviado (art. 792.3 de la Ley de enjuiciamiento criminal). En consecuencia, la Audiencia soslaya un remedio procesal vigente, cual es el incidente de nulidad de actuaciones, con claro desafío a la doctrina de este Tribunal sobre el art. 241 LOPJ, que exige que sean los Tribunales ordinarios los que tengan al menos la oportunidad de reparar sus propias violaciones, sin que pueda acudirse al procedimiento de amparo directamente.</w:t>
      </w:r>
    </w:p>
    <w:p w:rsidR="0085709A" w:rsidRDefault="0085709A" w:rsidP="0085709A">
      <w:pPr>
        <w:pStyle w:val="TextoNormal"/>
      </w:pPr>
    </w:p>
    <w:p w:rsidR="0085709A" w:rsidRDefault="0085709A" w:rsidP="0085709A">
      <w:pPr>
        <w:pStyle w:val="TextoNormal"/>
      </w:pPr>
      <w:r>
        <w:t>El recurso no pretende en todo caso, dice la parte demandante, que el Tribunal Constitucional se adentre en el estudio de las vulneraciones de derechos fundamentales alegadas y desarrolladas en el incidente de nulidad de actuaciones, pues tal tarea corresponde a la Audiencia Provincial, cuyos componentes, de modo insólito, han abdicado de sus funciones. Sin embargo, permite la intervención del Tribunal para asegurar el acatamiento de su pacífica y constante doctrina en la materia (se citan, entre otras, las SSTC 107/2011, de 20 de junio; 153/2012, de 16 de julio, y 9/2014, de 27 de enero). Una doctrina que no se cumple en el caso enjuiciado dado que, como muestra la última Sentencia mencionada, el órgano judicial debe en el incidente del art. 241 LOPJ, salvo que se den causas de inadmisión de plano, ofrecer una motivación sucinta de su decisión, procediendo conforme a una interpretación no restrictiva de las causas de inadmisión.</w:t>
      </w:r>
    </w:p>
    <w:p w:rsidR="0085709A" w:rsidRDefault="0085709A" w:rsidP="0085709A">
      <w:pPr>
        <w:pStyle w:val="TextoNormal"/>
      </w:pPr>
    </w:p>
    <w:p w:rsidR="0085709A" w:rsidRDefault="0085709A" w:rsidP="0085709A">
      <w:pPr>
        <w:pStyle w:val="TextoNormal"/>
      </w:pPr>
      <w:r w:rsidRPr="0085709A">
        <w:rPr>
          <w:rStyle w:val="NumeroAFNegritaCaracter"/>
        </w:rPr>
        <w:t>4</w:t>
      </w:r>
      <w:r>
        <w:t>. En virtud de providencia de la Sala Segunda, de 11 de septiembre de 2014, se acordó la admisión a trámite de la demanda de amparo y se solicitó la certificación o fotocopia adverada de las actuaciones a los órganos judiciales que intervinieron en los diferentes grados jurisdiccionales, antes citados, así como la práctica de los emplazamientos correspondientes.</w:t>
      </w:r>
    </w:p>
    <w:p w:rsidR="0085709A" w:rsidRDefault="0085709A" w:rsidP="0085709A">
      <w:pPr>
        <w:pStyle w:val="TextoNormal"/>
      </w:pPr>
    </w:p>
    <w:p w:rsidR="0085709A" w:rsidRDefault="0085709A" w:rsidP="0085709A">
      <w:pPr>
        <w:pStyle w:val="TextoNormal"/>
      </w:pPr>
      <w:r w:rsidRPr="0085709A">
        <w:rPr>
          <w:rStyle w:val="NumeroAFNegritaCaracter"/>
        </w:rPr>
        <w:t>5</w:t>
      </w:r>
      <w:r>
        <w:t>. Por diligencia de ordenación de la Secretaría de Justicia de la Sala Segunda de este Tribunal, de 17 de octubre de 2014, se tuvieron por recibidos los testimonios de las actua</w:t>
      </w:r>
      <w:r>
        <w:lastRenderedPageBreak/>
        <w:t>ciones y se acordó abrir el plazo común de veinte días al Ministerio Fiscal y a la representación procesal del solicitante de amparo, de conformidad con el art. 52.1 LOTC, para que pudieran presentar las alegaciones que a su derecho conviniere.</w:t>
      </w:r>
    </w:p>
    <w:p w:rsidR="0085709A" w:rsidRDefault="0085709A" w:rsidP="0085709A">
      <w:pPr>
        <w:pStyle w:val="TextoNormal"/>
      </w:pPr>
    </w:p>
    <w:p w:rsidR="0085709A" w:rsidRDefault="0085709A" w:rsidP="0085709A">
      <w:pPr>
        <w:pStyle w:val="TextoNormal"/>
      </w:pPr>
      <w:r w:rsidRPr="0085709A">
        <w:rPr>
          <w:rStyle w:val="NumeroAFNegritaCaracter"/>
        </w:rPr>
        <w:t>6</w:t>
      </w:r>
      <w:r>
        <w:t>. El recurrente en amparo evacuó el trámite de alegaciones el día 24 de octubre de 2014, dando por reproducidos los contenidos de su demanda de amparo.</w:t>
      </w:r>
    </w:p>
    <w:p w:rsidR="0085709A" w:rsidRDefault="0085709A" w:rsidP="0085709A">
      <w:pPr>
        <w:pStyle w:val="TextoNormal"/>
      </w:pPr>
    </w:p>
    <w:p w:rsidR="0085709A" w:rsidRDefault="0085709A" w:rsidP="0085709A">
      <w:pPr>
        <w:pStyle w:val="TextoNormal"/>
      </w:pPr>
      <w:r w:rsidRPr="0085709A">
        <w:rPr>
          <w:rStyle w:val="NumeroAFNegritaCaracter"/>
        </w:rPr>
        <w:t>7</w:t>
      </w:r>
      <w:r>
        <w:t>. El Fiscal ante el Tribunal Constitucional registró su escrito el día 28 de noviembre de 2014. A su criterio, la providencia objeto de este amparo no contiene la necesaria motivación que sustente lo apreciado por el órgano judicial (que no se dé uno de los requisitos exigibles para interponer el incidente de nulidad de actuaciones del art. 241 LOPJ). De haberse ofrecido una motivación de la decisión podríamos distinguir qué supuesto recurso era posible frente a la Sentencia firme de la Audiencia Provincial, de 18 de febrero de 2014, y el recurrente en amparo conocer a qué cauce legal le remitía la Audiencia Provincial para obtener la reparación que solicitaba, al margen del propio incidente de nulidad de actuaciones.</w:t>
      </w:r>
    </w:p>
    <w:p w:rsidR="0085709A" w:rsidRDefault="0085709A" w:rsidP="0085709A">
      <w:pPr>
        <w:pStyle w:val="TextoNormal"/>
      </w:pPr>
    </w:p>
    <w:p w:rsidR="0085709A" w:rsidRDefault="0085709A" w:rsidP="0085709A">
      <w:pPr>
        <w:pStyle w:val="TextoNormal"/>
      </w:pPr>
      <w:r>
        <w:t>Sin embargo, atendida la regulación prevista en los arts. 847 y 954 y siguientes de la Ley de enjuiciamiento criminal, que conducen a excluir en el caso de autos tanto el recurso de casación como el de revisión, no se alcanza a identificar el recurso posible. Por ello, la muy limitada motivación de la providencia no solo es insuficiente sino, además, manifiestamente errónea, ya que remite al recurrente a una vía de recurso inexistente, lesionándose el art. 24.1 CE.</w:t>
      </w:r>
    </w:p>
    <w:p w:rsidR="0085709A" w:rsidRDefault="0085709A" w:rsidP="0085709A">
      <w:pPr>
        <w:pStyle w:val="TextoNormal"/>
      </w:pPr>
    </w:p>
    <w:p w:rsidR="0085709A" w:rsidRDefault="0085709A" w:rsidP="0085709A">
      <w:pPr>
        <w:pStyle w:val="TextoNormal"/>
      </w:pPr>
      <w:r w:rsidRPr="0085709A">
        <w:rPr>
          <w:rStyle w:val="NumeroAFNegritaCaracter"/>
        </w:rPr>
        <w:t>8</w:t>
      </w:r>
      <w:r>
        <w:t>. Por providencia de 17 de junio de 2015 se señaló para la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demandante de amparo dirige su queja contra la providencia de la Sección Primera de la Audiencia Provincial de Palma de Mallorca, de 10 de abril de 2014, que inadmitió a trámite el incidente de nulidad de actuaciones interpuesto contra la Sentencia de 18 de febrero de 2014 de dicho órgano judicial, que había estimado el recurso de apelación promovido frente a la Sentencia del Juzgado de lo Penal núm. 3 de Palma de Mallorca, de 10 de octubre de 2012, dictada en el procedimiento abreviado núm. 232-2012, en el que el recurrente en amparo ejerció la acusación particular.</w:t>
      </w:r>
    </w:p>
    <w:p w:rsidR="0085709A" w:rsidRDefault="0085709A" w:rsidP="0085709A">
      <w:pPr>
        <w:pStyle w:val="TextoNormal"/>
      </w:pPr>
    </w:p>
    <w:p w:rsidR="0085709A" w:rsidRDefault="0085709A" w:rsidP="0085709A">
      <w:pPr>
        <w:pStyle w:val="TextoNormal"/>
      </w:pPr>
      <w:r>
        <w:t>Denuncia que la citada providencia ha vulnerado su derecho a la tutela judicial efectiva sin indefensión (art. 24.1 CE), en la vertiente de derecho de acceso a los recursos, toda vez que, en contra de lo que afirma la providencia impugnada, no cabía recurso extraordinario alguno contra la resolución cuya nulidad se instaba, al tratarse de una Sentencia de la Sala Penal de la Audiencia Provincial dictada en apelación en un procedimiento abreviado (art. 792.3 de la Ley de enjuiciamiento criminal). La Audiencia Provincial, en definitiva, cierra el cauce de un remedio procesal vigente, cual es el incidente de nulidad de actuaciones, en desacuerdo a la doctrina constitucional pacífica y constante en la materia.</w:t>
      </w:r>
    </w:p>
    <w:p w:rsidR="0085709A" w:rsidRDefault="0085709A" w:rsidP="0085709A">
      <w:pPr>
        <w:pStyle w:val="TextoNormal"/>
      </w:pPr>
    </w:p>
    <w:p w:rsidR="0085709A" w:rsidRDefault="0085709A" w:rsidP="0085709A">
      <w:pPr>
        <w:pStyle w:val="TextoNormal"/>
      </w:pPr>
      <w:r>
        <w:lastRenderedPageBreak/>
        <w:t>El Ministerio Fiscal ha solicitado el otorgamiento del amparo, de acuerdo con la tesis del demandante de amparo.</w:t>
      </w:r>
    </w:p>
    <w:p w:rsidR="0085709A" w:rsidRDefault="0085709A" w:rsidP="0085709A">
      <w:pPr>
        <w:pStyle w:val="TextoNormal"/>
      </w:pPr>
    </w:p>
    <w:p w:rsidR="0085709A" w:rsidRDefault="0085709A" w:rsidP="0085709A">
      <w:pPr>
        <w:pStyle w:val="TextoNormal"/>
      </w:pPr>
      <w:r w:rsidRPr="0085709A">
        <w:rPr>
          <w:rStyle w:val="NumeroAFNegritaCaracter"/>
        </w:rPr>
        <w:t>2</w:t>
      </w:r>
      <w:r>
        <w:t>. Al no articularse queja alguna frente a la Sentencia de apelación, que no es objeto del presente recurso de amparo, al igual que ocurriera en el enjuiciado en la STC 153/2012, de 16 de julio, o en el de la STC 204/2014, de 15 de diciembre, debemos contraer nuestro examen al control de la pretendida vulneración del derecho de acceso al recurso que se imputa a la providencia de 10 de abril de 2014, tal y como se solicita expresamente por el recurrente. El supuesto actual, por lo demás, coincide en esencia con el resuelto en la STC 91/2015, de 11 de mayo, dictada en el recurso de amparo núm. 4102-2014 y también referida a un pronunciamiento de inadmisión de un incidente de nulidad de actuaciones interpuesto contra una sentencia de apelación en un procedimiento abreviado en el que habían intervenido los mismos órganos judiciales (de nuevo el Juzgado de lo Penal núm. 3, en primera instancia, y la Sección Primera de la Audiencia Provincial de Palma de Mallorca en el sucesivo grado de apelación).</w:t>
      </w:r>
    </w:p>
    <w:p w:rsidR="0085709A" w:rsidRDefault="0085709A" w:rsidP="0085709A">
      <w:pPr>
        <w:pStyle w:val="TextoNormal"/>
      </w:pPr>
    </w:p>
    <w:p w:rsidR="0085709A" w:rsidRDefault="0085709A" w:rsidP="0085709A">
      <w:pPr>
        <w:pStyle w:val="TextoNormal"/>
      </w:pPr>
      <w:r>
        <w:t>Como ocurriera en el precedente referido, la resolución judicial impugnada debió aplicar la doctrina constitucional contenida en dichos pronunciamientos, en contra de lo que hizo la Sección Primera de la Audiencia Provincial de Palma de Mallorca, de suerte que el asunto da ocasión al Tribunal Constitucional de garantizar el cumplimiento de su jurisprudencia en la materia, que en este conjunto de resoluciones queda aclarada en sus exactos términos y extremos [STC 155/2009, de 25 de junio, FJ 2 b)], evitando dudas ulteriores sobre su alcance que puedan dar lugar a nuevas inaplicaciones objetivas de la misma, y atendiendo así a uno de los criterios legales que dotan de especial trascendencia constitucional al recurso de amparo, [art. 50.1 b) de la Ley Orgánica del Tribunal Constitucional: LOTC]; a saber: aquél que se dirige a velar por la aplicación y general eficacia de la Constitución (por todas, STC 21/2015, de 16 de febrero, FJ 2).</w:t>
      </w:r>
    </w:p>
    <w:p w:rsidR="0085709A" w:rsidRDefault="0085709A" w:rsidP="0085709A">
      <w:pPr>
        <w:pStyle w:val="TextoNormal"/>
      </w:pPr>
    </w:p>
    <w:p w:rsidR="0085709A" w:rsidRDefault="0085709A" w:rsidP="0085709A">
      <w:pPr>
        <w:pStyle w:val="TextoNormal"/>
      </w:pPr>
      <w:r w:rsidRPr="0085709A">
        <w:rPr>
          <w:rStyle w:val="NumeroAFNegritaCaracter"/>
        </w:rPr>
        <w:t>3</w:t>
      </w:r>
      <w:r>
        <w:t>. En el asunto que ahora nos ocupa, al igual que ocurriera en ese precedente anteriormente mencionado, la Sección Primera de la Audiencia Provincial de Palma de Mallorca inadmitió el incidente de nulidad de actuaciones limitándose a afirmar, en lo que al caso concreto atañe, que “(e)xaminado el contenido del escrito presentado no ha lugar a admitir a trámite el incidente de nulidad, pues si bien concurre el primero de los requisitos señalados en el art. 241.1 de la LOPJ, no concurre el segundo de ellos, concretamente el ser la resolución dictada susceptible de recurso extraordinario”.</w:t>
      </w:r>
    </w:p>
    <w:p w:rsidR="0085709A" w:rsidRDefault="0085709A" w:rsidP="0085709A">
      <w:pPr>
        <w:pStyle w:val="TextoNormal"/>
      </w:pPr>
    </w:p>
    <w:p w:rsidR="0085709A" w:rsidRDefault="0085709A" w:rsidP="0085709A">
      <w:pPr>
        <w:pStyle w:val="TextoNormal"/>
      </w:pPr>
      <w:r>
        <w:t>El juicio sobre dicha respuesta debe realizarse, como el recurrente solicita, a partir del canon propio del derecho de acceso al recurso. Aunque el incidente de nulidad de actuaciones no constituye un recurso en sentido estricto, es un remedio procesal que, al tener por objeto la revisión de resoluciones o actuaciones procesales, queda encuadrado en aquella vertiente del art. 24.1 CE. Desde esta perspectiva, el control de las resoluciones judiciales de inadmisión por parte de la jurisdicción constitucional es meramente externo y debe limitarse a comprobar si contienen motivación, si han incurrido o no en error material patente, en arbitrariedad o en manifiesta irrazonabilidad lógica, evitando toda ponderación acerca de su corrección jurídica (STC 204/2014, FJ 4, por todas).</w:t>
      </w:r>
    </w:p>
    <w:p w:rsidR="0085709A" w:rsidRDefault="0085709A" w:rsidP="0085709A">
      <w:pPr>
        <w:pStyle w:val="TextoNormal"/>
      </w:pPr>
    </w:p>
    <w:p w:rsidR="0085709A" w:rsidRDefault="0085709A" w:rsidP="0085709A">
      <w:pPr>
        <w:pStyle w:val="TextoNormal"/>
      </w:pPr>
      <w:r>
        <w:t xml:space="preserve">Como recordara la STC 20/2012, de 16 de febrero, FJ 5, desde la Sentencia de Pleno 37/1995, de 7 de febrero, este Tribunal ha subrayado el diferente relieve constitucional que </w:t>
      </w:r>
      <w:r>
        <w:lastRenderedPageBreak/>
        <w:t>posee el derecho de acceso a la jurisdicción y el de acceso a los recursos legalmente establecidos. Aunque ambos derechos se encuentran ínsitos en el art. 24.1 CE, 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w:t>
      </w:r>
    </w:p>
    <w:p w:rsidR="0085709A" w:rsidRDefault="0085709A" w:rsidP="0085709A">
      <w:pPr>
        <w:pStyle w:val="TextoNormal"/>
      </w:pPr>
    </w:p>
    <w:p w:rsidR="0085709A" w:rsidRDefault="0085709A" w:rsidP="0085709A">
      <w:pPr>
        <w:pStyle w:val="TextoNormal"/>
      </w:pPr>
      <w:r w:rsidRPr="0085709A">
        <w:rPr>
          <w:rStyle w:val="NumeroAFNegritaCaracter"/>
        </w:rPr>
        <w:t>4</w:t>
      </w:r>
      <w:r>
        <w:t>. El fundamento de la inadmisión del remedio procesal en el presente caso quedó ceñido a la pretendida existencia de otros cauces de reacción procesal que serían preferentes, como se sigue del tenor literal de la providencia impugnada.</w:t>
      </w:r>
    </w:p>
    <w:p w:rsidR="0085709A" w:rsidRDefault="0085709A" w:rsidP="0085709A">
      <w:pPr>
        <w:pStyle w:val="TextoNormal"/>
      </w:pPr>
    </w:p>
    <w:p w:rsidR="0085709A" w:rsidRDefault="0085709A" w:rsidP="0085709A">
      <w:pPr>
        <w:pStyle w:val="TextoNormal"/>
      </w:pPr>
      <w:r>
        <w:t>Esto así, el órgano judicial vulneró el derecho a la tutela judicial efectiva del demandante de amparo (art. 24.1 CE), privándole de la tutela de los derechos fundamentales que proclama el art. 53.2 CE. En efecto, el órgano judicial tendría que haber ofrecido una motivación suficiente que justificase la no admisión a trámite del incidente de nulidad de actuaciones por esa causa, precisando el tipo de recurso que creía posible interponer frente a la Sentencia de la Audiencia Provincial de 18 de febrero de 2014. Es particularmente de ese modo si consideramos que: i) la posibilidad de la articulación de un recurso de casación, a tenor del art. 847 de la Ley de enjuiciamiento criminal, queda limitada, en lo que ahora nos concierne, a sentencias dictadas por las Audiencias Provinciales cuando lo sean en única instancia, lo que no era el caso; ii) tampoco parece posible situar el supuesto enjuiciado en el marco del recurso de revisión de los arts. 954 y ss. de esa norma, como señala el Ministerio Fiscal, ya que el recurso de revisión tiene para su admisión unos motivos tasados basados en circunstancias excepcionales que el promotor del incidente de nulidad no alegaba.</w:t>
      </w:r>
    </w:p>
    <w:p w:rsidR="0085709A" w:rsidRDefault="0085709A" w:rsidP="0085709A">
      <w:pPr>
        <w:pStyle w:val="TextoNormal"/>
      </w:pPr>
    </w:p>
    <w:p w:rsidR="0085709A" w:rsidRDefault="0085709A" w:rsidP="0085709A">
      <w:pPr>
        <w:pStyle w:val="TextoNormal"/>
      </w:pPr>
      <w:r>
        <w:t xml:space="preserve">Bajo esas circunstancias, como dijéramos en la STC 204/2014, FJ 4, el órgano judicial debió haber motivado suficientemente su decisión de inadmisión, desvelando la auténtica </w:t>
      </w:r>
      <w:r w:rsidRPr="0085709A">
        <w:rPr>
          <w:i/>
        </w:rPr>
        <w:t>ratio decidendi</w:t>
      </w:r>
      <w:r>
        <w:t>. Y no lo hizo, por lo que, en atención a lo expuesto, debe otorgarse el amparo interesado, con anulación de la providencia de 10 de abril de 2014 y retroacción de las actuaciones al momento inmediatamente anterior a su dictado, para que se dicte una nueva resolución judicial que resulte respetuosa con el derecho fundamental reconocido (derecho de acceso al recurso, art. 24.1 CE).</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Otorgar el amparo solicitado por don Carles Xavier Odena Folch y, en consecuencia:</w:t>
      </w:r>
    </w:p>
    <w:p w:rsidR="0085709A" w:rsidRDefault="0085709A" w:rsidP="0085709A">
      <w:pPr>
        <w:pStyle w:val="TextoNormal"/>
      </w:pPr>
    </w:p>
    <w:p w:rsidR="0085709A" w:rsidRDefault="0085709A" w:rsidP="0085709A">
      <w:pPr>
        <w:pStyle w:val="TextoNormal"/>
      </w:pPr>
      <w:r>
        <w:t>1º Declarar que ha sido vulnerado su derecho fundamental a la tutela judicial efectiva (art. 24.1 CE).</w:t>
      </w:r>
    </w:p>
    <w:p w:rsidR="0085709A" w:rsidRDefault="0085709A" w:rsidP="0085709A">
      <w:pPr>
        <w:pStyle w:val="TextoNormal"/>
      </w:pPr>
    </w:p>
    <w:p w:rsidR="0085709A" w:rsidRDefault="0085709A" w:rsidP="0085709A">
      <w:pPr>
        <w:pStyle w:val="TextoNormal"/>
      </w:pPr>
    </w:p>
    <w:p w:rsidR="0085709A" w:rsidRDefault="0085709A" w:rsidP="0085709A">
      <w:pPr>
        <w:pStyle w:val="TextoNormal"/>
      </w:pPr>
    </w:p>
    <w:p w:rsidR="0085709A" w:rsidRDefault="0085709A" w:rsidP="0085709A">
      <w:pPr>
        <w:pStyle w:val="TextoNormal"/>
      </w:pPr>
      <w:r>
        <w:t>2º Restablecerle en su derecho y, a tal fin, declarar la nulidad de la providencia de la Sección Primera de la Audiencia Provincial de Palma de Mallorca de 10 de abril de 2014, dictada Dada en Madrid, a veintidós de junio de dos mil quinceen el rollo de apelación núm. 304-2012-D.</w:t>
      </w:r>
    </w:p>
    <w:p w:rsidR="0085709A" w:rsidRDefault="0085709A" w:rsidP="0085709A">
      <w:pPr>
        <w:pStyle w:val="TextoNormal"/>
      </w:pPr>
    </w:p>
    <w:p w:rsidR="0085709A" w:rsidRDefault="0085709A" w:rsidP="0085709A">
      <w:pPr>
        <w:pStyle w:val="TextoNormal"/>
      </w:pPr>
      <w:r>
        <w:t>3º Retrotraer las actuaciones al momento inmediatamente anterior al de dictarse la providencia anulada, para que se dicte nueva resolución judicial respetuosa con el derecho fundamental reconocido.</w:t>
      </w:r>
    </w:p>
    <w:p w:rsidR="0085709A" w:rsidRDefault="0085709A" w:rsidP="0085709A">
      <w:pPr>
        <w:pStyle w:val="TextoNormal"/>
      </w:pPr>
    </w:p>
    <w:p w:rsidR="0085709A" w:rsidRDefault="0085709A" w:rsidP="0085709A">
      <w:pPr>
        <w:pStyle w:val="TextoNormal"/>
      </w:pPr>
      <w:r>
        <w:t>Dada en Madrid, a veintidós de junio de dos mil quince</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6" w:name="SENTENCIA_2015_143"/>
      <w:r>
        <w:lastRenderedPageBreak/>
        <w:t>SENTENCIA 143/2015, de 22 de junio de 2015</w:t>
      </w:r>
    </w:p>
    <w:bookmarkEnd w:id="146"/>
    <w:p w:rsidR="0085709A" w:rsidRDefault="0085709A" w:rsidP="0085709A">
      <w:pPr>
        <w:pStyle w:val="TtuloResolucin"/>
      </w:pPr>
      <w:r>
        <w:t>Sala Segunda</w:t>
      </w:r>
    </w:p>
    <w:p w:rsidR="0085709A" w:rsidRDefault="0085709A" w:rsidP="0085709A">
      <w:pPr>
        <w:pStyle w:val="TtuloBOE"/>
      </w:pPr>
      <w:r>
        <w:t>(BOE núm. 182, de 31 de julio de 2015)</w:t>
      </w:r>
    </w:p>
    <w:p w:rsidR="0085709A" w:rsidRDefault="0085709A" w:rsidP="0085709A">
      <w:pPr>
        <w:pStyle w:val="TextoNormalCentrado"/>
      </w:pPr>
      <w:r>
        <w:t>ECLI:ES:TC:2015:143</w:t>
      </w:r>
    </w:p>
    <w:p w:rsidR="0085709A" w:rsidRDefault="0085709A" w:rsidP="0085709A">
      <w:pPr>
        <w:pStyle w:val="TextoNormalCentrado"/>
      </w:pPr>
    </w:p>
    <w:p w:rsidR="0085709A" w:rsidRDefault="0085709A" w:rsidP="0085709A">
      <w:pPr>
        <w:pStyle w:val="SntesisDescriptiva"/>
      </w:pPr>
      <w:r>
        <w:t>Cuestión de inconstitucionalidad 7477-2014. Planteada por la Sala de lo Social del Tribunal Supremo en relación con diversos preceptos de la Ley 2/2009, de 23 de diciembre, por la que se aprueban los presupuestos generales de la Comunidad Autónoma de Euskadi para el ejercicio 2010, en la redacción dada por la Ley 3/2010, de 24 de junio.</w:t>
      </w:r>
    </w:p>
    <w:p w:rsidR="0085709A" w:rsidRDefault="0085709A" w:rsidP="0085709A">
      <w:pPr>
        <w:pStyle w:val="SntesisDescriptiva"/>
      </w:pPr>
    </w:p>
    <w:p w:rsidR="0085709A" w:rsidRDefault="0085709A" w:rsidP="0085709A">
      <w:pPr>
        <w:pStyle w:val="SntesisAnaltica"/>
      </w:pPr>
      <w:r>
        <w:t>Competencias sobre ordenación general de la economía: nulidad del precepto legal autonómico que no excepciona al personal laboral no directivo de las sociedades mercantiles públicas de la reducción salarial establecida en la legislación básica estatal (STC 219/2013).</w:t>
      </w:r>
    </w:p>
    <w:p w:rsidR="0085709A" w:rsidRDefault="0085709A" w:rsidP="0085709A">
      <w:pPr>
        <w:pStyle w:val="SntesisAnaltica"/>
      </w:pPr>
    </w:p>
    <w:p w:rsidR="0085709A" w:rsidRDefault="0085709A" w:rsidP="0085709A">
      <w:pPr>
        <w:pStyle w:val="Extracto"/>
      </w:pPr>
      <w:r>
        <w:t>1.</w:t>
      </w:r>
      <w:r>
        <w:tab/>
        <w:t>La disposición adicional novena del Real Decreto-ley 8/2010 no constituye norma básica de contraste en relación a lo dispuesto en el art. 23 bis de la Ley autonómica, por tanto no cabe apreciar que se haya producido inconstitucionalidad mediata [FJ 4].</w:t>
      </w:r>
    </w:p>
    <w:p w:rsidR="0085709A" w:rsidRDefault="0085709A" w:rsidP="0085709A">
      <w:pPr>
        <w:pStyle w:val="Extracto"/>
      </w:pPr>
    </w:p>
    <w:p w:rsidR="0085709A" w:rsidRDefault="0085709A" w:rsidP="0085709A">
      <w:pPr>
        <w:pStyle w:val="Extracto"/>
      </w:pPr>
      <w:r>
        <w:t>2.</w:t>
      </w:r>
      <w:r>
        <w:tab/>
        <w:t>Afirmado el carácter básico de la norma estatal de contraste –inequívoca y taxativa en cuanto a la exclusión, para el personal laboral no directivo de las sociedades mercantiles, de la reducción salarial del 5 por 100 prevista para todos los empleados públicos-,   ha de afirmarse la contradicción entre aquélla y la norma autonómica cuestionada, que prevé precisamente la aplicación de dicha minoración retributiva, que en el supuesto alcanza a personal de las sociedades públicas sometido a régimen laboral, incluido el personal laboral no directivo de la sociedad Euskal Telebista, S.A. [FJ 3].</w:t>
      </w:r>
    </w:p>
    <w:p w:rsidR="0085709A" w:rsidRDefault="0085709A" w:rsidP="0085709A">
      <w:pPr>
        <w:pStyle w:val="Extracto"/>
      </w:pPr>
    </w:p>
    <w:p w:rsidR="0085709A" w:rsidRDefault="0085709A" w:rsidP="0085709A">
      <w:pPr>
        <w:pStyle w:val="Extracto"/>
      </w:pPr>
      <w:r>
        <w:t>3.</w:t>
      </w:r>
      <w:r>
        <w:tab/>
        <w:t>El límite a la autonomía financiera que establece el principio de coordinación del art. 156.1 CE, en virtud de lo establecido en el art. 2.1 b) de la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[FJ 3].</w:t>
      </w:r>
    </w:p>
    <w:p w:rsidR="0085709A" w:rsidRDefault="0085709A" w:rsidP="0085709A">
      <w:pPr>
        <w:pStyle w:val="Extracto"/>
      </w:pPr>
    </w:p>
    <w:p w:rsidR="0085709A" w:rsidRDefault="0085709A" w:rsidP="0085709A">
      <w:pPr>
        <w:pStyle w:val="Extracto"/>
      </w:pPr>
      <w:r>
        <w:t>4.</w:t>
      </w:r>
      <w:r>
        <w:tab/>
        <w:t>Se admite la posibilidad de establecer restricciones a la autonomía financiera, por fundamentar su carácter básico en el art. 149.1.13 CE; de modo que cabe justificar que el Estado acuerde una medida unilateral con fuerza normativa general susceptible de incidir en las competencias autonómicas en materia presupuestaria (STC 171/1996) [FJ 3].</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Segunda de este Tribunal, compuesta por doña Adela Asúa Batarrita, Presidenta, don Fernando Valdés Dal-Ré, don Juan José González Rivas, don Pedro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lastRenderedPageBreak/>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7477-2014, planteada por la Sala Cuarta de lo Social del Tribunal Supremo, en relación con los arts. 23.9 y 23.bis de la Ley 2/2009, de 23 de diciembre, por la que se aprueban los presupuestos generales de la Comunidad Autónoma de Euskadi para el ejercicio 2010, en la redacción dada a los mismos por la Ley 3/2010, de 24 de junio. Han intervenido y formulado alegaciones el Gobierno Vasco, el Parlamento Vasco, el Abogado del Estado y la Fiscal General del Estado. Ha sido Ponente el Magistrado don Pedro González-Trevijano Sánchez,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4 de diciembre de 2014 tuvo entrada en el Registro General de este Tribunal escrito de la Sala de lo Social del Tribunal Supremo, al que se acompaña, junto con el testimonio de las actuaciones (conflicto colectivo 7-2010), el Auto de 30 de septiembre de 2014, por el que se acuerda plantear cuestión de inconstitucionalidad en relación con los arts. 23.9 y 23 bis de la Ley 2/2009, de 23 de diciembre, por la que se aprueban los presupuestos generales de la Comunidad Autónoma de Euskadi para el ejercicio 2010, en la redacción dada a los mismos por la Ley 3/2010, de 24 de junio.</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presente cuestión de inconstitucionalidad son, sucintamente expuestos, los siguientes:</w:t>
      </w:r>
    </w:p>
    <w:p w:rsidR="0085709A" w:rsidRDefault="0085709A" w:rsidP="0085709A">
      <w:pPr>
        <w:pStyle w:val="TextoNormal"/>
      </w:pPr>
    </w:p>
    <w:p w:rsidR="0085709A" w:rsidRDefault="0085709A" w:rsidP="0085709A">
      <w:pPr>
        <w:pStyle w:val="TextoNormal"/>
      </w:pPr>
      <w:r>
        <w:t>a) El 8 de noviembre de 2010, la confederación sindical ELA, la central sindical LAB y la Central Sindical CCOO y UTC-KLB presentaron demanda de conflicto colectivo frente a la empresa EuskalTelebista, S.A. La demanda pretendía que se declarase y reconociese no ajustada a derecho la reducción salarial realizada en aplicación de la Ley 3/2010, por la que se modifica la Ley de presupuestos generales de la Comunidad Autónoma del País Vasco, con efecto retroactivo a la nómina de junio de 2010, así como la reducción en las aportaciones efectuadas por la empresa a EPSV Itxarri (planes de pensiones) desde el mes de junio de 2010, y que se repusiese a la plantilla afectada en su derecho a ser retribuida de acuerdo con el convenio colectivo de empresa vigente y a verse beneficiada con la aportación a Itxarri del 3 por 100, en ambos casos con carácter retroactivo a la fecha de efectos de la decisión empresarial.</w:t>
      </w:r>
    </w:p>
    <w:p w:rsidR="0085709A" w:rsidRDefault="0085709A" w:rsidP="0085709A">
      <w:pPr>
        <w:pStyle w:val="TextoNormal"/>
      </w:pPr>
    </w:p>
    <w:p w:rsidR="0085709A" w:rsidRDefault="0085709A" w:rsidP="0085709A">
      <w:pPr>
        <w:pStyle w:val="TextoNormal"/>
      </w:pPr>
      <w:r>
        <w:t xml:space="preserve">Asimismo, la demanda interesa la elevación de cuestión de inconstitucionalidad ante el Tribunal Constitucional, en relación con los arts. 22. 4 y 25 de la Ley 2/2009, de 23 de diciembre, por la que se aprueban los presupuestos generales de la Comunidad Autónoma de Euskadi para el ejercicio 2010, en la redacción promovida por el art. 1 del Real Decreto-ley 8/2010, por vulneración del contenido esencial del derecho de libertad sindical (arts. 7 </w:t>
      </w:r>
      <w:r>
        <w:lastRenderedPageBreak/>
        <w:t>y 28.1 CE) en relación con el derecho a la negociación colectiva (arts. 37.1 CE); la disposición adicional novena del Real Decreto-ley 8/2010, por vulneración del principio de igualdad (art. 14 CE); y la Ley 3/2010, de 24 de junio, por la que se modifica la Ley de presupuestos generales de la Comunidad Autónoma del País Vasco, por infracción del bloque de constitucionalidad. La demanda fue desestimada por Sentencia de la Sala de lo Social del Tribunal Superior de Justicia del País Vasco de 18 de enero de 2011.</w:t>
      </w:r>
    </w:p>
    <w:p w:rsidR="0085709A" w:rsidRDefault="0085709A" w:rsidP="0085709A">
      <w:pPr>
        <w:pStyle w:val="TextoNormal"/>
      </w:pPr>
    </w:p>
    <w:p w:rsidR="0085709A" w:rsidRDefault="0085709A" w:rsidP="0085709A">
      <w:pPr>
        <w:pStyle w:val="TextoNormal"/>
      </w:pPr>
      <w:r>
        <w:t>b) Contra la anterior Sentencia se formalizó recurso de casación ante el Tribunal Supremo por ELA, LAB y UTC-KLB, al amparo del art. 205 de la Ley de procedimiento laboral, en el que se denuncia la infracción del art. 82 del texto refundido de la Ley del estatuto de los trabajadores en relación con los arts. 37, 7 y 28 CE; la vulneración del Real Decreto-ley 8/2010, por considerar que su disposición adicional novena no impone a las Comunidades Autónomas la reducción salarial a las empresas de titularidad pública; la conculcación del art. 86.1 CE, al entender que el Gobierno ha hecho un uso abusivo de la figura del decreto-ley, al no concurrir el presupuesto de la extraordinaria y urgente necesidad; la extralimitación competencial de la Ley del Parlamento Vasco 3/2010; y la vulneración del principio constitucional de igualdad como consecuencia de la previsión excepcional contemplada en la disposición adicional novena del Real Decreto-ley 8/2010. Admitidos a trámite los recursos de casación, y emitido informe del Ministerio Fiscal en el sentido de considerar el recurso improcedente, se declararon conclusos los autos.</w:t>
      </w:r>
    </w:p>
    <w:p w:rsidR="0085709A" w:rsidRDefault="0085709A" w:rsidP="0085709A">
      <w:pPr>
        <w:pStyle w:val="TextoNormal"/>
      </w:pPr>
    </w:p>
    <w:p w:rsidR="0085709A" w:rsidRDefault="0085709A" w:rsidP="0085709A">
      <w:pPr>
        <w:pStyle w:val="TextoNormal"/>
      </w:pPr>
      <w:r>
        <w:t>c) Mediante providencia de 13 de marzo de 2014, la Sala acuerda dejar sin efecto el señalamiento para votación y fallo del recurso, y dar audiencia a las partes y al Ministerio Fiscal para que, por plazo común e improrrogable de diez días, se pronuncien sobre la pertinencia de plantear cuestión de inconstitucionalidad en relación con los arts. 23.9 y 23 bis de la Ley 2/2009, de 23 de diciembre, por la que se aprueban los presupuestos generales de la Comunidad Autónoma de Euskadi para el ejercicio 2010, en la redacción dada por la Ley 3/2010, de 24 de junio, por considerar que, a la vista del contenido de la STC 5/2014, de 19 de enero, pueden infringir lo dispuesto en los arts. 149.1.13, 149.3 y 156.1 CE, en relación con la disposición adicional novena del Real Decreto-ley 8/2010, que excluye al personal laboral no directivo de las sociedades mercantiles públicas de la reducción salarial de 5 por 100 prevista con carácter general para todos los empleados públicos, sin perjuicio de que pudiera acordarse su aplicación por las partes mediante negociación colectiva.</w:t>
      </w:r>
    </w:p>
    <w:p w:rsidR="0085709A" w:rsidRDefault="0085709A" w:rsidP="0085709A">
      <w:pPr>
        <w:pStyle w:val="TextoNormal"/>
      </w:pPr>
    </w:p>
    <w:p w:rsidR="0085709A" w:rsidRDefault="0085709A" w:rsidP="0085709A">
      <w:pPr>
        <w:pStyle w:val="TextoNormal"/>
      </w:pPr>
      <w:r>
        <w:t>d) Por escritos de 27 de marzo y 7 de abril 2014, los representantes procesales de la central sindical LAB y de la confederación sindical ELA consideraron pertinente el planteamiento de la cuestión de inconstitucionalidad.</w:t>
      </w:r>
    </w:p>
    <w:p w:rsidR="0085709A" w:rsidRDefault="0085709A" w:rsidP="0085709A">
      <w:pPr>
        <w:pStyle w:val="TextoNormal"/>
      </w:pPr>
    </w:p>
    <w:p w:rsidR="0085709A" w:rsidRDefault="0085709A" w:rsidP="0085709A">
      <w:pPr>
        <w:pStyle w:val="TextoNormal"/>
      </w:pPr>
      <w:r>
        <w:t>En fecha 8 de abril, el representante de la empresa ETB, S.A., se opone al planteamiento de la cuestión y, subsidiariamente, solicita que se plantee dicha cuestión en relación con la disposición adicional novena del Real Decreto-ley 8/2010, por ser contraria al art. 14 CE.</w:t>
      </w:r>
    </w:p>
    <w:p w:rsidR="0085709A" w:rsidRDefault="0085709A" w:rsidP="0085709A">
      <w:pPr>
        <w:pStyle w:val="TextoNormal"/>
      </w:pPr>
    </w:p>
    <w:p w:rsidR="0085709A" w:rsidRDefault="0085709A" w:rsidP="0085709A">
      <w:pPr>
        <w:pStyle w:val="TextoNormal"/>
      </w:pPr>
      <w:r>
        <w:t>El Fiscal, en escrito de 29 de mayo, considera que se dan tanto el juicio de aplicabilidad como el juicio de relevancia, e interesa que se dé por cumplido el trámite de audiencia previsto en el art. 35 de la Ley Orgánica del Tribunal Constitucional (LOTC), dando a los autos curso legal.</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3</w:t>
      </w:r>
      <w:r>
        <w:t>. El 30 de septiembre de 2014, la Sala de lo Social del Tribunal Supremo dicta Auto, promoviendo la cuestión de inconstitucionalidad, en los términos que seguidamente se detallan.</w:t>
      </w:r>
    </w:p>
    <w:p w:rsidR="0085709A" w:rsidRDefault="0085709A" w:rsidP="0085709A">
      <w:pPr>
        <w:pStyle w:val="TextoNormal"/>
      </w:pPr>
    </w:p>
    <w:p w:rsidR="0085709A" w:rsidRDefault="0085709A" w:rsidP="0085709A">
      <w:pPr>
        <w:pStyle w:val="TextoNormal"/>
      </w:pPr>
      <w:r>
        <w:t>Tras exponer los antecedentes de hecho y los fundamentos de derecho, el Auto considera que a la vista del contenido de la STC 5/2014, de 16 de enero, por la que se declara inconstitucional y nulo el art. 42 bis de la Ley 5/2009, de presupuestos generales de la Comunidad Autónoma de Cantabria, y en la que se cita la STC 219/2013, de 19 de diciembre, por la que se declara inconstitucional y nulo el apartado 4 del art. 27 de la referida Ley, y en tanto en cuanto lo argumentado y decidido en ambas Sentencias pudiera ser aplicable al presente caso, resulta pertinente el planteamiento de la cuestión de inconstitucionalidad en relación con los arts. 23.9 y 23 bis de la Ley 2/2009, de presupuestos generales de la Comunidad Autónoma de Euskadi para el año 2010.</w:t>
      </w:r>
    </w:p>
    <w:p w:rsidR="0085709A" w:rsidRDefault="0085709A" w:rsidP="0085709A">
      <w:pPr>
        <w:pStyle w:val="TextoNormal"/>
      </w:pPr>
    </w:p>
    <w:p w:rsidR="0085709A" w:rsidRDefault="0085709A" w:rsidP="0085709A">
      <w:pPr>
        <w:pStyle w:val="TextoNormal"/>
      </w:pPr>
      <w:r>
        <w:t>Los precitados artículos de la Ley autonómica introducen, respectivamente, una reducción con efecto de 1 de junio de 2010, de la masa salarial equivalente al 5 por 100 en términos anuales del personal al servicio de las sociedades públicas sometido a régimen laboral con efecto de 1 de junio de 2010, y una reducción del 50 por 100 de las aportaciones que desde esa misma fecha debieran realizarse a los planes de pensiones, de empleo o contratos de seguros colectivos que incluyan la cobertura de la contingencia de jubilación, que vinieran realizándose.</w:t>
      </w:r>
    </w:p>
    <w:p w:rsidR="0085709A" w:rsidRDefault="0085709A" w:rsidP="0085709A">
      <w:pPr>
        <w:pStyle w:val="TextoNormal"/>
      </w:pPr>
    </w:p>
    <w:p w:rsidR="0085709A" w:rsidRDefault="0085709A" w:rsidP="0085709A">
      <w:pPr>
        <w:pStyle w:val="TextoNormal"/>
      </w:pPr>
      <w:r>
        <w:t>Dada la naturaleza de la empresa demandada en las presentes actuaciones, y puesto que en su condición de empresa autonómica forma parte del ente público creado por la Ley del Parlamento Vasco 5/1982, de 20 de mayo, modificado por la Ley 8/1998, de 27 de marzo, que en la nueva redacción que da el art. 47 somete a su personal a la legislación laboral, pudiera haberse producido con la normativa presupuestaria mencionada la infracción de los arts. 149.1.13, 149.3 y 156.1 CE, en relación con la disposición adicional novena del Real Decreto-ley 8/2010, que excluye al personal laboral no directivo de las sociedades mercantiles públicas de la reducción salarial del 5 por 100 prevista, con carácter general, para todos los empleados públicos, sin perjuicio de que pueda acordarse su aplicación por las partes mediante negociación colectiva.</w:t>
      </w:r>
    </w:p>
    <w:p w:rsidR="0085709A" w:rsidRDefault="0085709A" w:rsidP="0085709A">
      <w:pPr>
        <w:pStyle w:val="TextoNormal"/>
      </w:pPr>
    </w:p>
    <w:p w:rsidR="0085709A" w:rsidRDefault="0085709A" w:rsidP="0085709A">
      <w:pPr>
        <w:pStyle w:val="TextoNormal"/>
      </w:pPr>
      <w:r>
        <w:t>En este sentido, y de acuerdo con la doctrina de la STC 5/2014, puede entenderse que lo dispuesto en la normativa autonómica en cuanto a tal reducción es contrario a lo establecido en una norma estatal que tiene la condición de básica, formal y materialmente, lo cual sería asimismo predicable de la reducción del 50 por 100 en las aportaciones a los planes de pensiones antes referidas, en cuanto consideradas como gasto en acción social y formando parte de la masa salarial, de lo que se deduciría que también se hallan comprendidas en el concepto retributivo y afectadas, en consecuencia, por el mismo resultado.</w:t>
      </w:r>
    </w:p>
    <w:p w:rsidR="0085709A" w:rsidRDefault="0085709A" w:rsidP="0085709A">
      <w:pPr>
        <w:pStyle w:val="TextoNormal"/>
      </w:pPr>
    </w:p>
    <w:p w:rsidR="0085709A" w:rsidRDefault="0085709A" w:rsidP="0085709A">
      <w:pPr>
        <w:pStyle w:val="TextoNormal"/>
      </w:pPr>
      <w:r>
        <w:t xml:space="preserve">Considera a continuación el Auto que no procede admitir la cuestión que pretende introducir la empresa demandada acerca de la inconstitucionalidad de la disposición adicional novena del Real Decreto-ley 8/2010, puesto que al haber sido iniciativa de la Sala la cuestión de inconstitucionalidad, la referida empresa carece ahora de legitimación para tratar de establecer en este momento unos diferentes términos al respecto, por lo que su planteamiento excede del trámite de audiencia que le ha sido concedido, para manifestarse acerca de la concreta cuestión sobre la cual la Sala planteaba dicho trámite, debiendo recordarse que es </w:t>
      </w:r>
      <w:r>
        <w:lastRenderedPageBreak/>
        <w:t>atribución exclusiva del órgano jurisdiccional, y no de las partes, el planteamiento de la cuestión de inconstitucionalidad. Por otra parte, del propio contenido de las Sentencias referidas puede deducirse que si el Tribunal Constitucional ha considerado inconstitucionales los preceptos de otra ley autonómica parangonables a los de la Ley del presente caso, es porque ha examinado y considera ajustado a la norma suprema el contenido del Real Decreto-ley, incluida dicha disposición.</w:t>
      </w:r>
    </w:p>
    <w:p w:rsidR="0085709A" w:rsidRDefault="0085709A" w:rsidP="0085709A">
      <w:pPr>
        <w:pStyle w:val="TextoNormal"/>
      </w:pPr>
    </w:p>
    <w:p w:rsidR="0085709A" w:rsidRDefault="0085709A" w:rsidP="0085709A">
      <w:pPr>
        <w:pStyle w:val="TextoNormal"/>
      </w:pPr>
      <w:r>
        <w:t>La duda se circunscribe pues a la constitucionalidad de los artículos 23.9 y 23.bis, y se suscita en la medida en que los mismos, al establecer la reducción salarial y de aportaciones mencionadas, alcanzando al personal laboral no directivo de las sociedades públicas sometidas a régimen laboral, podrían ser contrarios a los arts. 149.1.13 CE y 156.1 CE, por opuestos a lo dispuesto en una norma estatal —la disposición adicional novena del Real Decreto-ley 8/2010— que tiene la condición de básica, formal y materialmente, y vulnerar el orden constitucional de distribución de competencias. Dado que el Estado tiene la competencia exclusiva en materia de bases y coordinación de la planificación general de la actividad económica (art. 149.1.13 CE) y no resulta posible entender que es una materia que pueda corresponder a las Comunidades Autónomas (art. 149.3 CE), y exigiéndose el sometimiento de la autonomía financiera económica a los principios de coordinación con la hacienda estatal y de solidaridad entre todos los españoles (art. 156.1 CE), cabe entender que los arts. 149.1.13 y 156.1 CE resultan vulnerados por la Ley autonómica.</w:t>
      </w:r>
    </w:p>
    <w:p w:rsidR="0085709A" w:rsidRDefault="0085709A" w:rsidP="0085709A">
      <w:pPr>
        <w:pStyle w:val="TextoNormal"/>
      </w:pPr>
    </w:p>
    <w:p w:rsidR="0085709A" w:rsidRDefault="0085709A" w:rsidP="0085709A">
      <w:pPr>
        <w:pStyle w:val="TextoNormal"/>
      </w:pPr>
      <w:r w:rsidRPr="0085709A">
        <w:rPr>
          <w:rStyle w:val="NumeroAFNegritaCaracter"/>
        </w:rPr>
        <w:t>4</w:t>
      </w:r>
      <w:r>
        <w:t>. El Pleno de este Tribunal, a propuesta de la Sección Tercera, por providencia de 3 de febrero de 2015, acordó admitir a trámite la cuestión de inconstitucionalidad, deferir, de conformidad con lo dispuesto en el art. 10.1 c) LOTC, a la Sala Segunda, a la que por turno objetivo le ha correspondido, el conocimiento de la presente cuestión, así como dar traslado de las actuaciones al Congreso de los Diputados y al Senado por conducto de sus Presidentes, al Gobierno por conducto del Ministerio de Justicia, al Fiscal General del Estado, así como al Gobierno y al Parlamento Vasco, por conducto de sus Presidentes,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En la misma providencia se acordó por el Tribunal publicar la incoación de la cuestión en el “Boletín Oficial del Estado” y en el “Boletín Oficial del País Vasco”.</w:t>
      </w:r>
    </w:p>
    <w:p w:rsidR="0085709A" w:rsidRDefault="0085709A" w:rsidP="0085709A">
      <w:pPr>
        <w:pStyle w:val="TextoNormal"/>
      </w:pPr>
    </w:p>
    <w:p w:rsidR="0085709A" w:rsidRDefault="0085709A" w:rsidP="0085709A">
      <w:pPr>
        <w:pStyle w:val="TextoNormal"/>
      </w:pPr>
      <w:r w:rsidRPr="0085709A">
        <w:rPr>
          <w:rStyle w:val="NumeroAFNegritaCaracter"/>
        </w:rPr>
        <w:t>5</w:t>
      </w:r>
      <w:r>
        <w:t>. El Presidente del Congreso de los Diputados, mediante escrito que tuvo entrada en este Tribunal el 11 de febrero de 2015, solicitó dar por personada a esa Cámara y por ofrecida su colaboración a los efectos del art. 88.1 LOTC. En idéntico sentido se manifestó el Presidente del Senado, en escrito de 17 de febrero de 2015.</w:t>
      </w:r>
    </w:p>
    <w:p w:rsidR="0085709A" w:rsidRDefault="0085709A" w:rsidP="0085709A">
      <w:pPr>
        <w:pStyle w:val="TextoNormal"/>
      </w:pPr>
    </w:p>
    <w:p w:rsidR="0085709A" w:rsidRDefault="0085709A" w:rsidP="0085709A">
      <w:pPr>
        <w:pStyle w:val="TextoNormal"/>
      </w:pPr>
      <w:r w:rsidRPr="0085709A">
        <w:rPr>
          <w:rStyle w:val="NumeroAFNegritaCaracter"/>
        </w:rPr>
        <w:t>6</w:t>
      </w:r>
      <w:r>
        <w:t>. El Abogado del Estado presentó su escrito de alegaciones el 24 de febrero de 2015, en el que solicita la declaración de inconstitucionalidad de los preceptos cuestionados.</w:t>
      </w:r>
    </w:p>
    <w:p w:rsidR="0085709A" w:rsidRDefault="0085709A" w:rsidP="0085709A">
      <w:pPr>
        <w:pStyle w:val="TextoNormal"/>
      </w:pPr>
    </w:p>
    <w:p w:rsidR="0085709A" w:rsidRDefault="0085709A" w:rsidP="0085709A">
      <w:pPr>
        <w:pStyle w:val="TextoNormal"/>
      </w:pPr>
      <w:r>
        <w:t xml:space="preserve">Comienza señalando que tanto en la parte dispositiva del Auto como en la providencia de admisión a trámite de este Tribunal, se hace mención exclusiva a los arts. 23.9 y 23.bis de la Ley 2/2009, de 23 de diciembre, que no es la que introduce la reducción salarial ni la disminución de la cuantía de las aportaciones a los planes de pensiones, pues tales medidas </w:t>
      </w:r>
      <w:r>
        <w:lastRenderedPageBreak/>
        <w:t>fueron introducidas por la Ley 3/2010, de 24 de junio y que, aunque ello podría plantear la inadmisión de la cuestión de inconstitucionalidad, lo cierto es que a lo largo del Auto de planteamiento sí se citan correctamente los preceptos objeto de la cuestión.</w:t>
      </w:r>
    </w:p>
    <w:p w:rsidR="0085709A" w:rsidRDefault="0085709A" w:rsidP="0085709A">
      <w:pPr>
        <w:pStyle w:val="TextoNormal"/>
      </w:pPr>
    </w:p>
    <w:p w:rsidR="0085709A" w:rsidRDefault="0085709A" w:rsidP="0085709A">
      <w:pPr>
        <w:pStyle w:val="TextoNormal"/>
      </w:pPr>
      <w:r>
        <w:t>Considera el Abogado del Estado que el caso guarda una indudable analogía con los resueltos en SSTC 219/2013, 5/2014 y 207/2014 que trataron supuestos idénticos al que ahora es objeto de la cuestión, por lo que, tras exponer la doctrina que resulta de las citadas Sentencias, entiende que la misma debe ser de aplicación en el presente caso. En cuanto a la reducción del 50 por 100 en las aportaciones a los planes de pensiones, señala que el Estado no suspendió estas aportaciones en el Real Decreto-ley de 2010, sino a partir de la Ley 2/2012, de 29 de junio, de presupuestos generales del Estado para el año 2012, pero, la configuración de estas aportaciones como parte de la masa salarial, aunque no se incorporen a las retribuciones ordinarias a través de las nóminas de los trabajadores, suponen un efecto equivalente de reducción retributiva no prevista en la legislación estatal aplicable.</w:t>
      </w:r>
    </w:p>
    <w:p w:rsidR="0085709A" w:rsidRDefault="0085709A" w:rsidP="0085709A">
      <w:pPr>
        <w:pStyle w:val="TextoNormal"/>
      </w:pPr>
    </w:p>
    <w:p w:rsidR="0085709A" w:rsidRDefault="0085709A" w:rsidP="0085709A">
      <w:pPr>
        <w:pStyle w:val="TextoNormal"/>
      </w:pPr>
      <w:r w:rsidRPr="0085709A">
        <w:rPr>
          <w:rStyle w:val="NumeroAFNegritaCaracter"/>
        </w:rPr>
        <w:t>7</w:t>
      </w:r>
      <w:r>
        <w:t>. En fecha 26 de febrero de 2015, el Letrado del Gobierno Vasco, en representación del mismo, se persona en el proceso y formula alegaciones, solicitando la desestimación de la cuestión planteada.</w:t>
      </w:r>
    </w:p>
    <w:p w:rsidR="0085709A" w:rsidRDefault="0085709A" w:rsidP="0085709A">
      <w:pPr>
        <w:pStyle w:val="TextoNormal"/>
      </w:pPr>
    </w:p>
    <w:p w:rsidR="0085709A" w:rsidRDefault="0085709A" w:rsidP="0085709A">
      <w:pPr>
        <w:pStyle w:val="TextoNormal"/>
      </w:pPr>
      <w:r>
        <w:t>Afirma el Letrado autonómico que la disposición adicional novena del Real Decreto-ley 8/2010, que excepciona la reducción salarial a determinados empleados, incurre en una infracción del art. 14 CE y no puede interpretarse expansivamente, pues establece una discriminación entre trabajadores, sin que se vislumbre ninguna causa, máxime cuando la finalidad única, expresa de la ley estatal de la que trae causa la Ley de presupuestos de la Comunidad Autónoma es la reducción del déficit público. Por esta razón entiende que el principio de igualdad exige que a las sociedades públicas dependientes de un ente público de derecho privado se les debe aplicar idéntico régimen jurídico que a su organismo matriz, por lo que al personal de tales sociedades públicas no puede resultar de aplicación la excepción contenida en la referida disposición estatal, y, en consecuencia, a la sociedad pública Euskal Telebista le ha de ser aplicable el régimen del ente público de derecho privado Euskal Irrati Telebista, que es su organismo matriz, y al que sí le afecta la reducción salarial.</w:t>
      </w:r>
    </w:p>
    <w:p w:rsidR="0085709A" w:rsidRDefault="0085709A" w:rsidP="0085709A">
      <w:pPr>
        <w:pStyle w:val="TextoNormal"/>
      </w:pPr>
    </w:p>
    <w:p w:rsidR="0085709A" w:rsidRDefault="0085709A" w:rsidP="0085709A">
      <w:pPr>
        <w:pStyle w:val="TextoNormal"/>
      </w:pPr>
      <w:r>
        <w:t>Se afirma a continuación que la excepción prevista en el Real Decreto-ley 8/2010, para el personal laboral no directivo de las sociedades públicas, puede tener sentido en relación con la política del Gobierno central para alcanzar el objetivo último de reducción de déficit, pero no lo tiene para el legislador vasco, que en ejercicio de su autonomía puede optar por otra fórmula que le permita definir su política de gasto y ahorro de otra manera, salvaguardando en todo caso el objetivo de reducción del déficit. En este sentido, el principio de autonomía, permite considerar que la Ley vasca cumple con los mínimos previstos en el Real Decreto-ley 8/2010, que han de ser considerados como un tope máximo que impide a las Comunidades Autónomas prever incrementos superiores a los de la Ley de presupuestos del Estado, pero no le impide establecer mayores reducciones que pueden venir compensadas por mayor libertad de gasto en otros renglones del presupuesto considerados preferentes.</w:t>
      </w:r>
    </w:p>
    <w:p w:rsidR="0085709A" w:rsidRDefault="0085709A" w:rsidP="0085709A">
      <w:pPr>
        <w:pStyle w:val="TextoNormal"/>
      </w:pPr>
    </w:p>
    <w:p w:rsidR="0085709A" w:rsidRDefault="0085709A" w:rsidP="0085709A">
      <w:pPr>
        <w:pStyle w:val="TextoNormal"/>
      </w:pPr>
      <w:r w:rsidRPr="0085709A">
        <w:rPr>
          <w:rStyle w:val="NumeroAFNegritaCaracter"/>
        </w:rPr>
        <w:t>8</w:t>
      </w:r>
      <w:r>
        <w:t xml:space="preserve">. El Letrado del Parlamento Vasco, en nombre y representación del mismo, formuló escrito de alegaciones el 2 de marzo de 2015, en el que tras hacer una extensa referencia al contexto normativo y competencial en el que se inserta la cuestión controvertida, señala que </w:t>
      </w:r>
      <w:r>
        <w:lastRenderedPageBreak/>
        <w:t>el Real Decreto-ley encuentra su razón de ser en un objetivo general de contención o reducción del gasto público y que no existe fundamento constitucional que implique la imposibilidad de las Comunidades Autónomas para regular mediante ley, medidas de contención del gasto adicionales a las contempladas en el mismo, pues tal concepción supone una limitación de las competencias autonómicas.</w:t>
      </w:r>
    </w:p>
    <w:p w:rsidR="0085709A" w:rsidRDefault="0085709A" w:rsidP="0085709A">
      <w:pPr>
        <w:pStyle w:val="TextoNormal"/>
      </w:pPr>
    </w:p>
    <w:p w:rsidR="0085709A" w:rsidRDefault="0085709A" w:rsidP="0085709A">
      <w:pPr>
        <w:pStyle w:val="TextoNormal"/>
      </w:pPr>
      <w:r>
        <w:t>Señala asimismo el Letrado que las normas cuestionadas no son contrarias a la legislación básica estatal ni al principio de igualdad, pues dichas normas extienden la reducción salarial a las empresas públicas dependientes de la Comunidad Autónoma, igualando así a todos los empleados del sector público en el mismo ámbito; a ello se añade que la disposición adicional tercera de la Ley 3/2010 prevé el destino de la cuantía resultante de los créditos minorados como consecuencia de la reducción salarial aplicada a todos el personal del sector público de la Comunidad Autónoma de Euskadi, determinando que se hará una disminución en la cuantía equivalente del límite de endeudamiento.</w:t>
      </w:r>
    </w:p>
    <w:p w:rsidR="0085709A" w:rsidRDefault="0085709A" w:rsidP="0085709A">
      <w:pPr>
        <w:pStyle w:val="TextoNormal"/>
      </w:pPr>
    </w:p>
    <w:p w:rsidR="0085709A" w:rsidRDefault="0085709A" w:rsidP="0085709A">
      <w:pPr>
        <w:pStyle w:val="TextoNormal"/>
      </w:pPr>
      <w:r>
        <w:t>Se alega también que la disposición adicional novena del Real Decreto-ley 8/2010 incurre en infracción del art. 14 CE al establecer, sin razón aparente, una evidente discriminación entre trabajadores, dando diferente trato al personal de las sociedades públicas frente al resto del personal del sector público. No cabría olvidar tampoco que el objetivo del Real Decreto-ley es la reducción del déficit público, y en este concepto tiene un peso indudable el coste económico de las sociedades públicas, que en el caso que nos ocupa no solo se financia por los presupuestos públicos, sino que es el Parlamento Vasco quien aprueba su presupuesto. A mayor abundamiento —se afirma— los presupuestos de las sociedades públicas de gestión de los servicios públicos de radio y televisión (donde se incluye Euskal Telebista) se consolidan con el presupuesto del ente público Radio Televisión Vasca, entidad matriz de las sociedades públicas, siendo así aprobados sus presupuestos por el Parlamento Vasco. En consecuencia, existe una regulación jurídica homogénea entre el ente público y sus sociedades de gestión del servicio público. En coherencia con ello, con los principios presupuestarios, económicos y contables que son sustanciales en materia de déficit público, y en congruencia con el principio de igualdad, afirma el Letrado que las sociedades públicas están sujetas a idéntico régimen jurídico que a su organismo matriz, por lo que no les puede resultar de aplicación la excepción aquí controvertida. El texto concluye solicitando la desestimación de la cuestión de inconstitucionalidad planteada.</w:t>
      </w:r>
    </w:p>
    <w:p w:rsidR="0085709A" w:rsidRDefault="0085709A" w:rsidP="0085709A">
      <w:pPr>
        <w:pStyle w:val="TextoNormal"/>
      </w:pPr>
    </w:p>
    <w:p w:rsidR="0085709A" w:rsidRDefault="0085709A" w:rsidP="0085709A">
      <w:pPr>
        <w:pStyle w:val="TextoNormal"/>
      </w:pPr>
      <w:r w:rsidRPr="0085709A">
        <w:rPr>
          <w:rStyle w:val="NumeroAFNegritaCaracter"/>
        </w:rPr>
        <w:t>9</w:t>
      </w:r>
      <w:r>
        <w:t>. En fecha 6 de marzo de 2015 se registra el escrito de alegaciones formulado por la Fiscal General del Estado, que comienza señalando que el examen de fondo ha de partir de la doctrina constitucional sentada en las SSTC 219/2013 y 5/2014, dado que la duda que se plantea es la existencia de una inconstitucionalidad mediata o indirecta por vulneración de la normativa básica contenida en la disposición adicional novena del Real Decreto-ley 8/2010, de la que deriva la infracción de lo dispuesto en los arts. 149.1.13 y 156.1 CE.</w:t>
      </w:r>
    </w:p>
    <w:p w:rsidR="0085709A" w:rsidRDefault="0085709A" w:rsidP="0085709A">
      <w:pPr>
        <w:pStyle w:val="TextoNormal"/>
      </w:pPr>
    </w:p>
    <w:p w:rsidR="0085709A" w:rsidRDefault="0085709A" w:rsidP="0085709A">
      <w:pPr>
        <w:pStyle w:val="TextoNormal"/>
      </w:pPr>
      <w:r>
        <w:t xml:space="preserve">En este sentido, afirma que citada disposición adicional novena es básica desde el punto de vista formal, ya que tiene rango legal, y le reserva tal carácter su disposición final segunda; y, en cuanto a la perspectiva material, ha de traerse a colación la doctrina constitucional en relación con la cuantificación de los derechos económicos de los empleados públicos. Así, tras un detallado análisis de la jurisprudencia constitucional en la materia, afirma el escrito de la Fiscal General, que resulta indiscutible la vinculación directa de los límites retributivos de los funcionarios públicos, con la fijación de la política económica general </w:t>
      </w:r>
      <w:r>
        <w:lastRenderedPageBreak/>
        <w:t>por parte del Estado, y su cobertura competencial a partir del principio de coordinación con la hacienda estatal, reconocido en el art. 156.1 CE, puesto que la incidencia en la autonomía financiera y presupuestaria de las Comunidades Autónomas está directamente relacionada con la responsabilidad del Estado de garantizar el equilibrio económico regional. Estamos pues, ante un ámbito en el que convergen competencias exclusivas del Estado para sentar las bases y coordinar la planificación general de la actividad económica (art. 149.1.13 CE), que pueden comprender sin forzar su contenido propio “previsiones relativas a las retribuciones de los funcionarios comunes a todas las Administraciones Públicas, lo que, a su vez, hallaría fundamento en los principios constitucionales de igualdad y solidaridad” (STC 237/1992, FJ 4).</w:t>
      </w:r>
    </w:p>
    <w:p w:rsidR="0085709A" w:rsidRDefault="0085709A" w:rsidP="0085709A">
      <w:pPr>
        <w:pStyle w:val="TextoNormal"/>
      </w:pPr>
    </w:p>
    <w:p w:rsidR="0085709A" w:rsidRDefault="0085709A" w:rsidP="0085709A">
      <w:pPr>
        <w:pStyle w:val="TextoNormal"/>
      </w:pPr>
      <w:r>
        <w:t>Se señala a continuación que el fondo debatido en la presente cuestión de inconstitucionalidad es exactamente igual al que ha sido objeto de pronunciamiento por parte de este Tribunal en las SSTC 219/2013 y 5/2014, y más recientemente en la STC 207/2014, de 15 de diciembre, por lo que el inciso referido a la minoración del 5 por 100 en el art. 23.9 y el propio art. 23.bis de la Ley 2/2009, de presupuestos generales de la Comunidad Autónoma del País Vasco, modificada en la Ley 3/2010, de 24 de junio, es contrario a los arts. 149.1.13 y 156.1 CE.</w:t>
      </w:r>
    </w:p>
    <w:p w:rsidR="0085709A" w:rsidRDefault="0085709A" w:rsidP="0085709A">
      <w:pPr>
        <w:pStyle w:val="TextoNormal"/>
      </w:pPr>
    </w:p>
    <w:p w:rsidR="0085709A" w:rsidRDefault="0085709A" w:rsidP="0085709A">
      <w:pPr>
        <w:pStyle w:val="TextoNormal"/>
      </w:pPr>
      <w:r w:rsidRPr="0085709A">
        <w:rPr>
          <w:rStyle w:val="NumeroAFNegritaCaracter"/>
        </w:rPr>
        <w:t>10</w:t>
      </w:r>
      <w:r>
        <w:t>. Mediante providencia de 18 de junio de 2015 se señaló para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La Sala de lo Social del Tribunal Supremo plantea cuestión de inconstitucionalidad en relación con los arts. 23.9 y 23 bis de la Ley 2/2009, de 23 de diciembre, por la que se aprueban los presupuestos generales de la Comunidad Autónoma de Euskadi para el ejercicio 2010, en la redacción dada a los mismos por la Ley 3/2010, de 24 de junio, por posible vulneración de los arts. 149.1.13 y 156.1 CE, al contravenir la norma cuestionada lo dispuesto en la disposición adicional novena del Real Decreto-ley 8/2010, de 20 de mayo, por el que se adoptan medidas extraordinarias para la reducción del déficit público.</w:t>
      </w:r>
    </w:p>
    <w:p w:rsidR="0085709A" w:rsidRDefault="0085709A" w:rsidP="0085709A">
      <w:pPr>
        <w:pStyle w:val="TextoNormal"/>
      </w:pPr>
    </w:p>
    <w:p w:rsidR="0085709A" w:rsidRDefault="0085709A" w:rsidP="0085709A">
      <w:pPr>
        <w:pStyle w:val="TextoNormal"/>
      </w:pPr>
      <w:r>
        <w:t>Entiende el órgano judicial, como de forma más detallada se expone en los antecedentes, que los preceptos controvertidos, en la medida en que establecen una reducción salarial y de aportaciones públicas que alcanza al personal laboral no directivo de las sociedades públicas sometidas a régimen laboral, podrían ser contrarios a los arts. 149.1.13 y 156.1 CE, por opuestos a lo señalado en una norma estatal —la disposición adicional novena del Real Decreto-ley 8/2010— que tiene la condición de básica, formal y materialmente, y en la cual se excluye al personal laboral no directivo de este tipo de sociedades de la reducción salarial del 5 por 100 prevista en dicha norma para los empleados públicos “salvo que por negociación colectiva las partes decidan su aplicación”.</w:t>
      </w:r>
    </w:p>
    <w:p w:rsidR="0085709A" w:rsidRDefault="0085709A" w:rsidP="0085709A">
      <w:pPr>
        <w:pStyle w:val="TextoNormal"/>
      </w:pPr>
    </w:p>
    <w:p w:rsidR="0085709A" w:rsidRDefault="0085709A" w:rsidP="0085709A">
      <w:pPr>
        <w:pStyle w:val="TextoNormal"/>
      </w:pPr>
      <w:r>
        <w:t>El Abogado del Estado y la Fiscal General del Estado coinciden con el juicio de inconstitucionalidad formulado por el órgano judicial proponente de la cuestión, por lo que interesan su estimación. Los Letrados del Gobierno y del Parlamento Vasco solicitan, en cambio, la desestimación de la cuestión de inconstitucionalidad, en los términos que se detallan en los antecedentes de esta Sentencia.</w:t>
      </w:r>
    </w:p>
    <w:p w:rsidR="0085709A" w:rsidRDefault="0085709A" w:rsidP="0085709A">
      <w:pPr>
        <w:pStyle w:val="TextoNormal"/>
      </w:pPr>
    </w:p>
    <w:p w:rsidR="0085709A" w:rsidRDefault="0085709A" w:rsidP="0085709A">
      <w:pPr>
        <w:pStyle w:val="TextoNormal"/>
      </w:pPr>
      <w:r w:rsidRPr="0085709A">
        <w:rPr>
          <w:rStyle w:val="NumeroAFNegritaCaracter"/>
        </w:rPr>
        <w:t>2</w:t>
      </w:r>
      <w:r>
        <w:t>. Antes de abordar el examen de la constitucionalidad de los preceptos cuestionados, es preciso delimitar el objeto de nuestro enjuiciamiento, en lo que respecta a la impugnación del art. 23.9 de la Ley autonómica.</w:t>
      </w:r>
    </w:p>
    <w:p w:rsidR="0085709A" w:rsidRDefault="0085709A" w:rsidP="0085709A">
      <w:pPr>
        <w:pStyle w:val="TextoNormal"/>
      </w:pPr>
    </w:p>
    <w:p w:rsidR="0085709A" w:rsidRDefault="0085709A" w:rsidP="0085709A">
      <w:pPr>
        <w:pStyle w:val="TextoNormal"/>
      </w:pPr>
      <w:r>
        <w:t>Aun cuando el Auto de planteamiento cuestiona en su integridad el art. 23.9 de la Ley autonómica 2/2009, de 23 de diciembre, en la redacción dada al mismo por el artículo único, apartado primero, punto 2 de la Ley 3/2010, de 24 de junio, la lectura del Auto evidencia que la duda de constitucionalidad se limita al inciso en virtud del cual, y tras la modificación operada por la norma cuestionada, se establece que:</w:t>
      </w:r>
    </w:p>
    <w:p w:rsidR="0085709A" w:rsidRDefault="0085709A" w:rsidP="0085709A">
      <w:pPr>
        <w:pStyle w:val="TextoNormal"/>
      </w:pPr>
    </w:p>
    <w:p w:rsidR="0085709A" w:rsidRDefault="0085709A" w:rsidP="0085709A">
      <w:pPr>
        <w:pStyle w:val="TextoNormal"/>
      </w:pPr>
      <w:r>
        <w:t>“Con efecto de 1 de junio de 2010, la masa salarial del personal al que se refiere el presente apartado, experimentará una reducción, consecuencia de la aplicación en el conjunto de los conceptos retributivos, de una minoración equivalente al 5 por 100 en términos anuales, que se reflejará en los conceptos de su devengo mensual y en la paga extraordinaria del mes de diciembre en su caso.”</w:t>
      </w:r>
    </w:p>
    <w:p w:rsidR="0085709A" w:rsidRDefault="0085709A" w:rsidP="0085709A">
      <w:pPr>
        <w:pStyle w:val="TextoNormal"/>
      </w:pPr>
    </w:p>
    <w:p w:rsidR="0085709A" w:rsidRDefault="0085709A" w:rsidP="0085709A">
      <w:pPr>
        <w:pStyle w:val="TextoNormal"/>
      </w:pPr>
      <w:r>
        <w:t>La remisión que este inciso efectúa al “personal al que se refiere el presente apartado”, ha de entenderse ceñida al personal de las “sociedades públicas sometido a régimen laboral”, (mencionado en el primer párrafo del precepto), pues es ésta la disposición aplicable en el litigio a quo, dado que el mismo es un proceso laboral de conflicto colectivo trabado respecto de una empresa que, como precisa el Auto de planteamiento del conflicto, tiene la naturaleza de sociedad anónima, y forma parte del ente público creado por la Ley del Parlamento Vasco 5/1982, de 20 de mayo, modificada por la Ley 8/1998, de 27 de marzo, que en la nueva redacción que da al artículo 47, somete a su personal a la legislación laboral.</w:t>
      </w:r>
    </w:p>
    <w:p w:rsidR="0085709A" w:rsidRDefault="0085709A" w:rsidP="0085709A">
      <w:pPr>
        <w:pStyle w:val="TextoNormal"/>
      </w:pPr>
    </w:p>
    <w:p w:rsidR="0085709A" w:rsidRDefault="0085709A" w:rsidP="0085709A">
      <w:pPr>
        <w:pStyle w:val="TextoNormal"/>
      </w:pPr>
      <w:r w:rsidRPr="0085709A">
        <w:rPr>
          <w:rStyle w:val="NumeroAFNegritaCaracter"/>
        </w:rPr>
        <w:t>3</w:t>
      </w:r>
      <w:r>
        <w:t>. En cuanto al fondo de la cuestión de inconstitucionalidad y por lo que respecta, en primer lugar, a lo dispuesto en el citado art. 23.9 de la Ley autonómica, la Sala del Tribunal Supremo considera que dicho precepto incurre en inconstitucionalidad por vulneración de lo dispuesto en los arts. 149.1.13 y 156.1 CE, en cuanto contradice lo establecido con carácter básico en la disposición adicional novena del Real Decreto-ley 8/2010, que excepciona de la mencionada reducción salarial del 5 por 100, al personal laboral no directivo de las sociedades mercantiles públicas, “salvo que por negociación colectiva las partes decidan su aplicación”.</w:t>
      </w:r>
    </w:p>
    <w:p w:rsidR="0085709A" w:rsidRDefault="0085709A" w:rsidP="0085709A">
      <w:pPr>
        <w:pStyle w:val="TextoNormal"/>
      </w:pPr>
    </w:p>
    <w:p w:rsidR="0085709A" w:rsidRDefault="0085709A" w:rsidP="0085709A">
      <w:pPr>
        <w:pStyle w:val="TextoNormal"/>
      </w:pPr>
      <w:r>
        <w:t>La duda de constitucionalidad aquí planteada ha sido ya resuelta por este Tribunal en la STC 219/2013, de 20 de mayo, cuya doctrina ha sido reiterada posteriormente en las SSTC 5/2014, de 16 de enero, y 207/2014, de 15 de diciembre.</w:t>
      </w:r>
    </w:p>
    <w:p w:rsidR="0085709A" w:rsidRDefault="0085709A" w:rsidP="0085709A">
      <w:pPr>
        <w:pStyle w:val="TextoNormal"/>
      </w:pPr>
    </w:p>
    <w:p w:rsidR="0085709A" w:rsidRDefault="0085709A" w:rsidP="0085709A">
      <w:pPr>
        <w:pStyle w:val="TextoNormal"/>
      </w:pPr>
      <w:r>
        <w:t xml:space="preserve">En la primera de estas Sentencias, tras afirmar el carácter básico, tanto desde la perspectiva formal como material, de la regla general de reducción del 5 por 100, en cómputo anual, de las retribuciones del personal del sector público, vinimos a afirmar asimismo el carácter básico de la excepción prevista en la disposición adicional novena del Real Decreto-ley 8/2010, afirmando que “si básica es la regla general … básica debe ser también la excepción destinada al personal laboral no directivo de las sociedades mercantiles públicas en la disposición adicional novena del Real Decreto-ley 8/2010, en tanto que esta norma contribuye a la delimitación exacta del alcance de la medida de contención de gasto. … De este modo se articula un régimen jurídico homogéneo que asegura un tratamiento común en cuanto a </w:t>
      </w:r>
      <w:r>
        <w:lastRenderedPageBreak/>
        <w:t>la aplicación de la reducción salarial al personal laboral no directivo de las empresas públicas en todo el territorio nacional” (STC 219/2013, FJ 5).</w:t>
      </w:r>
    </w:p>
    <w:p w:rsidR="0085709A" w:rsidRDefault="0085709A" w:rsidP="0085709A">
      <w:pPr>
        <w:pStyle w:val="TextoNormal"/>
      </w:pPr>
    </w:p>
    <w:p w:rsidR="0085709A" w:rsidRDefault="0085709A" w:rsidP="0085709A">
      <w:pPr>
        <w:pStyle w:val="TextoNormal"/>
      </w:pPr>
      <w:r>
        <w:t>Así pues, y trasladando lo señalado en la STC 207/2014, FJ 5: “afirmado el carácter básico de la norma estatal de contraste —que resulta inequívoca y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negociación colectiva—, ha de afirmarse igualmente, la contradicción entre aquélla y la norma autonómica cuestionada que prevé precisamente la aplicación de dicha minoración retributiva”, aplicación que en el supuesto examinado alcanza al personal de las sociedades públicas sometido a régimen laboral, lo que, sin lugar a dudas, incluye al personal laboral no directivo de la sociedad Euskal Telebista, S.A.</w:t>
      </w:r>
    </w:p>
    <w:p w:rsidR="0085709A" w:rsidRDefault="0085709A" w:rsidP="0085709A">
      <w:pPr>
        <w:pStyle w:val="TextoNormal"/>
      </w:pPr>
    </w:p>
    <w:p w:rsidR="0085709A" w:rsidRDefault="0085709A" w:rsidP="0085709A">
      <w:pPr>
        <w:pStyle w:val="TextoNormal"/>
      </w:pPr>
      <w:r>
        <w:t>La principal alegación que oponen tanto el Gobierno como el Parlamento Vasco, es la pretendida vulneración del principio de igualdad (art. 14 CE), fundada en que la excepción prevista en la disposición adicional novena del Real Decreto-ley 8/2010 introduce una discriminación injustificada entre trabajadores, que impide que pueda ser objeto de una interpretación expansiva al ámbito autonómico; y la vulneración del principio de autonomía, que habilitaría a la Comunidad Autónoma para la adopción de otras fórmulas de reducción del déficit público, distintas de la prevista en el citado precepto. Ambos argumentos fueron ya rechazados, no obstante, en la citada STC 219/2013.</w:t>
      </w:r>
    </w:p>
    <w:p w:rsidR="0085709A" w:rsidRDefault="0085709A" w:rsidP="0085709A">
      <w:pPr>
        <w:pStyle w:val="TextoNormal"/>
      </w:pPr>
    </w:p>
    <w:p w:rsidR="0085709A" w:rsidRDefault="0085709A" w:rsidP="0085709A">
      <w:pPr>
        <w:pStyle w:val="TextoNormal"/>
      </w:pPr>
      <w:r>
        <w:t>Así, sobre la supuesta vulneración del principio de igualdad, afirmamos en el fundamento jurídico 5 de la misma que “en cuanto a la exclusión del personal laboral no directivo de las sociedades mercantiles públicas de la aplicación de la regla general de reducción salarial del 5 por 100 en cómputo anual, salvo que por negociación colectiva las partes decidan su aplicación, resulta que … tampoco esta exclusión determina la lesión del derecho a la igualdad ante la ley (art. 14 CE) de quienes sí se ven afectados por la reducción salarial, al no existir ‘un término de comparación adecuado que permita fundar el juicio de igualdad’ [AATC 179/2011, FJ 7 a); y 180/2011, FJ 7 a)]”.</w:t>
      </w:r>
    </w:p>
    <w:p w:rsidR="0085709A" w:rsidRDefault="0085709A" w:rsidP="0085709A">
      <w:pPr>
        <w:pStyle w:val="TextoNormal"/>
      </w:pPr>
    </w:p>
    <w:p w:rsidR="0085709A" w:rsidRDefault="0085709A" w:rsidP="0085709A">
      <w:pPr>
        <w:pStyle w:val="TextoNormal"/>
      </w:pPr>
      <w:r>
        <w:t>Y, en relación al segundo de los argumentos, recordamos también en el fundamento jurídico 4 de la citada Sentencia que este Tribunal ha admitido “la posibilidad de establecer esta suerte de restricciones a la autonomía financiera de las Comunidades Autónomas, por fundamentar su carácter básico en el art. 149.1.13 CE, y, al mismo tiempo, en el límite a la autonomía financiera que establece el principio de coordinación del art. 156.1 CE. Este último condicionamiento, en virtud de lo establecido en el art. 2.1 b) de la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Así pues, como ya indicamos en la STC 63/1986 (fundamento jurídico 11), también con base en el principio de coordinación delimitado por la LOFCA, cabe justificar que el Estado acuerde una medida unilateral con fuerza normativa general susceptible de incidir en las competencias autonómicas en materia presupuestaria (STC 171/1996, FJ 2)”.</w:t>
      </w:r>
    </w:p>
    <w:p w:rsidR="0085709A" w:rsidRDefault="0085709A" w:rsidP="0085709A">
      <w:pPr>
        <w:pStyle w:val="TextoNormal"/>
      </w:pPr>
    </w:p>
    <w:p w:rsidR="0085709A" w:rsidRDefault="0085709A" w:rsidP="0085709A">
      <w:pPr>
        <w:pStyle w:val="TextoNormal"/>
      </w:pPr>
      <w:r>
        <w:lastRenderedPageBreak/>
        <w:t>Las conclusiones anteriores determinan la inconstitucionalidad y consiguiente nulidad del art. 23.9 de la Ley 2/ 2009, de 23 de diciembre, de presupuestos generales de la Comunidad Autónoma de Euskadi para 2010, en la redacción dada por la Ley 3/2010, de 24 de junio, quedando limitados los efectos de esta declaración en un doble sentido. Por una parte, la norma, aplicable al personal laboral de las sociedades públicas regionales, es inconstitucional y nula únicamente en lo relativo al personal laboral no directivo de dichas sociedades públicas, por ser contraria a lo dispuesto en una norma estatal que tiene la condición de básica, formal y materialmente, ex arts. 149.1.13 y 156.1 CE. En segundo lugar, y alcanzada esta conclusión, resulta necesario pronunciarse acerca del alcance de nuestra declaración de inconstitucionalidad y nulidad que, por las mismas razones expresadas en las SSTC 219/2013, FJ 7; 5/2014, FJ 5; y 207/2014, FJ 7, queda modulada para preservar no sólo la cosa juzgada (art. 40.1 de la Ley Orgánica del Tribunal Constitucional: LOTC) sino también las posibles situaciones administrativas firmes.</w:t>
      </w:r>
    </w:p>
    <w:p w:rsidR="0085709A" w:rsidRDefault="0085709A" w:rsidP="0085709A">
      <w:pPr>
        <w:pStyle w:val="TextoNormal"/>
      </w:pPr>
    </w:p>
    <w:p w:rsidR="0085709A" w:rsidRDefault="0085709A" w:rsidP="0085709A">
      <w:pPr>
        <w:pStyle w:val="TextoNormal"/>
      </w:pPr>
      <w:r w:rsidRPr="0085709A">
        <w:rPr>
          <w:rStyle w:val="NumeroAFNegritaCaracter"/>
        </w:rPr>
        <w:t>4</w:t>
      </w:r>
      <w:r>
        <w:t>. En segundo lugar, la cuestión de inconstitucionalidad se dirige contra el art. 23 bis de la Ley 2/2009, en el que se dispone literalmente lo siguiente:</w:t>
      </w:r>
    </w:p>
    <w:p w:rsidR="0085709A" w:rsidRDefault="0085709A" w:rsidP="0085709A">
      <w:pPr>
        <w:pStyle w:val="TextoNormal"/>
      </w:pPr>
    </w:p>
    <w:p w:rsidR="0085709A" w:rsidRDefault="0085709A" w:rsidP="0085709A">
      <w:pPr>
        <w:pStyle w:val="TextoNormal"/>
      </w:pPr>
      <w:r>
        <w:t>“La Administración General de la Comunidad Autónoma, sus organismos autónomos, los entes públicos de derecho privado y las sociedades públicas reducirán en un 50 por 100 las aportaciones que a partir de 1 de junio de 2010 debieran realizar a planes de pensiones, de empleo o contratos de seguros colectivos que incluyan la cobertura de la contingencia de jubilación, para el personal incluido en sus ámbitos, y que vinieran realizándose.”</w:t>
      </w:r>
    </w:p>
    <w:p w:rsidR="0085709A" w:rsidRDefault="0085709A" w:rsidP="0085709A">
      <w:pPr>
        <w:pStyle w:val="TextoNormal"/>
      </w:pPr>
    </w:p>
    <w:p w:rsidR="0085709A" w:rsidRDefault="0085709A" w:rsidP="0085709A">
      <w:pPr>
        <w:pStyle w:val="TextoNormal"/>
      </w:pPr>
      <w:r>
        <w:t>Considera el órgano judicial, en el Auto de planteamiento de la cuestión de inconstitucionalidad, que resultan aquí predicables idénticos argumentos a los expuestos en relación con el anterior precepto, en cuanto dichas aportaciones a planes de pensiones, de empleo o contratos de seguros, tienen la consideración de gasto de acción social y forman parte de la masa salarial, por lo que la reducción de las mencionadas aportaciones, en cuanto alcanza al personal laboral no directivo de las sociedades públicas, vulnera lo dispuesto con carácter básico en la disposición adicional novena del Real Decreto-ley 8/2010.</w:t>
      </w:r>
    </w:p>
    <w:p w:rsidR="0085709A" w:rsidRDefault="0085709A" w:rsidP="0085709A">
      <w:pPr>
        <w:pStyle w:val="TextoNormal"/>
      </w:pPr>
    </w:p>
    <w:p w:rsidR="0085709A" w:rsidRDefault="0085709A" w:rsidP="0085709A">
      <w:pPr>
        <w:pStyle w:val="TextoNormal"/>
      </w:pPr>
      <w:r>
        <w:t>Sin embargo, la pretensión debe ser rechazada en este punto, dado que el Real Decreto-ley 8/2010 no constituye norma básica de contraste en relación a lo dispuesto en el art. 23 bis de la Ley autonómica.</w:t>
      </w:r>
    </w:p>
    <w:p w:rsidR="0085709A" w:rsidRDefault="0085709A" w:rsidP="0085709A">
      <w:pPr>
        <w:pStyle w:val="TextoNormal"/>
      </w:pPr>
    </w:p>
    <w:p w:rsidR="0085709A" w:rsidRDefault="0085709A" w:rsidP="0085709A">
      <w:pPr>
        <w:pStyle w:val="TextoNormal"/>
      </w:pPr>
      <w:r>
        <w:t>Conviene recordar de nuevo, que el órgano promotor fundamenta su argumentación en la inconstitucionalidad mediata de art. 23.bis, siendo la norma básica infringida la disposición adicional novena del citado Real Decreto-ley 8/2010. Resulta por ello preciso efectuar un examen detallado del contenido y alcance de dicho precepto estatal; y para ello no es ocioso traer a colación que, conforme ya señalamos en el fundamento jurídico 4 de la STC 219/2013, “esta disposición excluye al personal laboral no directivo de las sociedades mercantiles públicas que perciban aportaciones de cualquier naturaleza con cargo a los presupuestos públicos (o con cargo a los presupuestos de los entes o sociedades que pertenezcan al sector público destinadas a cubrir déficit de explotación), de la reducción salarial del 5 por 100 impuesta con carácter general a todos los empleados públicos en el art. 22.2.B de la Ley 26/2009, de 23 de diciembre, de Presupuestos Generales del Estado para el año 2010, en la redacción dada por el art. 1.2 del Real Decreto-ley 8/2010, salvo que por negociación colectiva las partes decidan la aplicación de la referida reducción salarial”.</w:t>
      </w:r>
    </w:p>
    <w:p w:rsidR="0085709A" w:rsidRDefault="0085709A" w:rsidP="0085709A">
      <w:pPr>
        <w:pStyle w:val="TextoNormal"/>
      </w:pPr>
    </w:p>
    <w:p w:rsidR="0085709A" w:rsidRDefault="0085709A" w:rsidP="0085709A">
      <w:pPr>
        <w:pStyle w:val="TextoNormal"/>
      </w:pPr>
      <w:r>
        <w:t>Pues bien, el art. 22.2 B) apartado 4 de la Ley 26/2009, en la redacción dada por el art. 1.2 del Real Decreto-ley 8/2010, establece que la masa salarial del personal laboral del sector público experimentará, con efectos de 1 de junio de 2010, una minoración del 5 por 100 de las cuantías de cada uno de los conceptos retributivos que integran la nómina, y que les corresponde percibir según los convenios colectivos que resulten de aplicación.</w:t>
      </w:r>
    </w:p>
    <w:p w:rsidR="0085709A" w:rsidRDefault="0085709A" w:rsidP="0085709A">
      <w:pPr>
        <w:pStyle w:val="TextoNormal"/>
      </w:pPr>
    </w:p>
    <w:p w:rsidR="0085709A" w:rsidRDefault="0085709A" w:rsidP="0085709A">
      <w:pPr>
        <w:pStyle w:val="TextoNormal"/>
      </w:pPr>
      <w:r>
        <w:t>Las aportaciones públicas, a que hace referencia el art. 23.bis de la Ley vasca 2/2009, no se regulan en el citado art. 22 B), esto es, no se incluyen dentro de los conceptos retributivos contemplados en este precepto, pues, —amén de ser evidente que las mismas no constituyen conceptos retributivos que se integren en la nómina—, dichas aportaciones son objeto de regulación específica en otro precepto, el art. 22.3 de la citada Ley 26/2009, de presupuestos generales del Estado para 2010, precepto éste que no ha resultado afectado por lo previsto en el Real Decreto-ley 8/2010, manteniendo su redacción inicial. Conforme a dicho artículo, las entidades y sociedades a las que se refiere el apartado uno de dicho precepto, “podrán destinar hasta un 0,3 por ciento de la masa salarial a financiar aportaciones a planes de pensiones, de empleo o contratos de seguros colectivos que incluyan la cobertura de la contingencia de jubilación para el personal incluido en sus ámbitos respectivos, de acuerdo con lo establecido en la disposición final segunda del Texto Refundido de la Ley de Regulación de los Planes y Fondos de Pensiones”, siendo ésta la norma básica que resulta de aplicación en el ámbito controvertido.</w:t>
      </w:r>
    </w:p>
    <w:p w:rsidR="0085709A" w:rsidRDefault="0085709A" w:rsidP="0085709A">
      <w:pPr>
        <w:pStyle w:val="TextoNormal"/>
      </w:pPr>
    </w:p>
    <w:p w:rsidR="0085709A" w:rsidRDefault="0085709A" w:rsidP="0085709A">
      <w:pPr>
        <w:pStyle w:val="TextoNormal"/>
      </w:pPr>
      <w:r>
        <w:t>En consecuencia, la disposición adicional novena del Real Decreto-ley 8/2010 no constituye norma básica de contraste en relación con lo dispuesto en el art. 23.bis de la Ley autonómica 2/2009, pues la regulación contenida en la misma no incluye dentro de su ámbito las aportaciones que las sociedades públicas regionales realicen a planes de pensiones, de empleo o contratos de seguros colectivos que incluyan la cobertura de la contingencia de jubilación para el personal incluido en sus ámbitos, materia que es objeto de regulación en otro precepto de la Ley estatal de presupuestos para el año 2010. Así lo señala también el Abogado del Estado en su escrito de alegaciones, poniendo de manifiesto que la reducción de estas aportaciones no trae causa del Real Decreto-ley 8/2010, sino que se produjo posteriormente y, en concreto, a partir de la Ley 2/2012, de 29 de junio, de presupuestos generales del Estado para el año 2012.</w:t>
      </w:r>
    </w:p>
    <w:p w:rsidR="0085709A" w:rsidRDefault="0085709A" w:rsidP="0085709A">
      <w:pPr>
        <w:pStyle w:val="TextoNormal"/>
      </w:pPr>
    </w:p>
    <w:p w:rsidR="0085709A" w:rsidRDefault="0085709A" w:rsidP="0085709A">
      <w:pPr>
        <w:pStyle w:val="TextoNormal"/>
      </w:pPr>
      <w:r>
        <w:t>Por este motivo, y dado que la impugnación del artículo 23 bis tiene como fundamento la vulneración de lo dispuesto con carácter básico en la disposición adicional novena del citado Real Decreto-ley, y que dicho precepto no constituye norma básica de contraste en esta materia, no cabe apreciar que se haya producido la inconstitucionalidad mediata denunciada, razón por la cual, procede desestimar la cuestión de inconstitucionalidad planteada.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lastRenderedPageBreak/>
        <w:t>Ha decidido</w:t>
      </w:r>
    </w:p>
    <w:p w:rsidR="0085709A" w:rsidRDefault="0085709A" w:rsidP="0085709A">
      <w:pPr>
        <w:pStyle w:val="TextoNormalCentrado"/>
        <w:keepNext/>
      </w:pPr>
    </w:p>
    <w:p w:rsidR="0085709A" w:rsidRDefault="0085709A" w:rsidP="0085709A">
      <w:pPr>
        <w:pStyle w:val="TextoNormal"/>
      </w:pPr>
      <w:r>
        <w:t>Estimar parcialmente la presente cuestión de inconstitucionalidad, y en consecuencia, declarar inconstitucional y nulo el art. 23.9 de la Ley 2/2009, de 23 de diciembre, por la que se aprueban los presupuestos generales de la Comunidad Autónoma de Euskadi para el ejercicio 2010, en la redacción dada al mismo por la Ley 3/2010, de 24 de junio, en los términos y con los efectos establecidos en el fundamento jurídico tercero de esta Sentencia.</w:t>
      </w:r>
    </w:p>
    <w:p w:rsidR="0085709A" w:rsidRDefault="0085709A" w:rsidP="0085709A">
      <w:pPr>
        <w:pStyle w:val="TextoNormal"/>
      </w:pPr>
    </w:p>
    <w:p w:rsidR="0085709A" w:rsidRDefault="0085709A" w:rsidP="0085709A">
      <w:pPr>
        <w:pStyle w:val="TextoNormal"/>
      </w:pPr>
      <w:r>
        <w:t>2º Desestimar en lo demás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7" w:name="SENTENCIA_2015_144"/>
      <w:r>
        <w:lastRenderedPageBreak/>
        <w:t>SENTENCIA 144/2015, de 22 de junio de 2015</w:t>
      </w:r>
    </w:p>
    <w:bookmarkEnd w:id="147"/>
    <w:p w:rsidR="0085709A" w:rsidRDefault="0085709A" w:rsidP="0085709A">
      <w:pPr>
        <w:pStyle w:val="TtuloResolucin"/>
      </w:pPr>
      <w:r>
        <w:t>Sala Primera</w:t>
      </w:r>
    </w:p>
    <w:p w:rsidR="0085709A" w:rsidRDefault="0085709A" w:rsidP="0085709A">
      <w:pPr>
        <w:pStyle w:val="TtuloBOE"/>
      </w:pPr>
      <w:r>
        <w:t>(BOE núm. 182, de 31 de julio de 2015)</w:t>
      </w:r>
    </w:p>
    <w:p w:rsidR="0085709A" w:rsidRDefault="0085709A" w:rsidP="0085709A">
      <w:pPr>
        <w:pStyle w:val="TextoNormalCentrado"/>
      </w:pPr>
      <w:r>
        <w:t>ECLI:ES:TC:2015:144</w:t>
      </w:r>
    </w:p>
    <w:p w:rsidR="0085709A" w:rsidRDefault="0085709A" w:rsidP="0085709A">
      <w:pPr>
        <w:pStyle w:val="TextoNormalCentrado"/>
      </w:pPr>
    </w:p>
    <w:p w:rsidR="0085709A" w:rsidRDefault="0085709A" w:rsidP="0085709A">
      <w:pPr>
        <w:pStyle w:val="SntesisDescriptiva"/>
      </w:pPr>
      <w:r>
        <w:t>Cuestión de inconstitucionalidad 89-2015. Planteada por la Sala de lo Social del Tribunal Superior de Justicia de Castilla y León, respecto del artículo 2.1 del Real Decreto-ley 28/2012, de 30 de noviembre, de medidas de consolidación y garantía del sistema de la Seguridad Social.</w:t>
      </w:r>
    </w:p>
    <w:p w:rsidR="0085709A" w:rsidRDefault="0085709A" w:rsidP="0085709A">
      <w:pPr>
        <w:pStyle w:val="SntesisDescriptiva"/>
      </w:pPr>
    </w:p>
    <w:p w:rsidR="0085709A" w:rsidRDefault="0085709A" w:rsidP="0085709A">
      <w:pPr>
        <w:pStyle w:val="SntesisAnaltica"/>
      </w:pPr>
      <w:r>
        <w:t>Principio de irretroactividad de las normas restrictivas de derechos individuales, expropiación de derechos y pensiones adecuadas y actualizadas: STC 49/2015 (constitucionalidad del precepto sobre actualización y revalorización de pensiones). Voto particular.</w:t>
      </w:r>
    </w:p>
    <w:p w:rsidR="0085709A" w:rsidRDefault="0085709A" w:rsidP="0085709A">
      <w:pPr>
        <w:pStyle w:val="SntesisAnaltica"/>
      </w:pPr>
    </w:p>
    <w:p w:rsidR="0085709A" w:rsidRDefault="0085709A" w:rsidP="0085709A">
      <w:pPr>
        <w:pStyle w:val="Extracto"/>
      </w:pPr>
      <w:r>
        <w:t>1.</w:t>
      </w:r>
      <w:r>
        <w:tab/>
        <w:t>La norma cuestionada no incurre en un supuesto de retroactividad auténtica o de grado máximo prohibido por el art. 9.3 CE, dado que cuando se aprobó el Real Decreto-ley 28/2012 por el que se deja en suspenso el efecto de actualización de las pensiones para el ejercicio de 2012, no existía una relación consagrada o agotada incorporada al patrimonio del pensionista, sino una mera expectativa (STC 49/2015) [FJ 2].</w:t>
      </w:r>
    </w:p>
    <w:p w:rsidR="0085709A" w:rsidRDefault="0085709A" w:rsidP="0085709A">
      <w:pPr>
        <w:pStyle w:val="Extracto"/>
      </w:pPr>
    </w:p>
    <w:p w:rsidR="0085709A" w:rsidRDefault="0085709A" w:rsidP="0085709A">
      <w:pPr>
        <w:pStyle w:val="Extracto"/>
      </w:pPr>
      <w:r>
        <w:t>2.</w:t>
      </w:r>
      <w:r>
        <w:tab/>
        <w:t>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(SSTC 114/1987, 49/2015) [FJ 2].</w:t>
      </w:r>
    </w:p>
    <w:p w:rsidR="0085709A" w:rsidRDefault="0085709A" w:rsidP="0085709A">
      <w:pPr>
        <w:pStyle w:val="Extracto"/>
      </w:pPr>
    </w:p>
    <w:p w:rsidR="0085709A" w:rsidRDefault="0085709A" w:rsidP="0085709A">
      <w:pPr>
        <w:pStyle w:val="Extracto"/>
      </w:pPr>
      <w:r>
        <w:t>3.</w:t>
      </w:r>
      <w:r>
        <w:tab/>
        <w:t>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[FJ 2].</w:t>
      </w:r>
    </w:p>
    <w:p w:rsidR="0085709A" w:rsidRDefault="0085709A" w:rsidP="0085709A">
      <w:pPr>
        <w:pStyle w:val="Extracto"/>
      </w:pPr>
    </w:p>
    <w:p w:rsidR="0085709A" w:rsidRDefault="0085709A" w:rsidP="0085709A">
      <w:pPr>
        <w:pStyle w:val="Extracto"/>
      </w:pPr>
      <w:r>
        <w:t>4.</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5.</w:t>
      </w:r>
      <w:r>
        <w:tab/>
        <w:t>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(STC 49/2015) [FJ 2].</w:t>
      </w:r>
    </w:p>
    <w:p w:rsidR="0085709A" w:rsidRDefault="0085709A" w:rsidP="0085709A">
      <w:pPr>
        <w:pStyle w:val="Extracto"/>
      </w:pPr>
    </w:p>
    <w:p w:rsidR="0085709A" w:rsidRDefault="0085709A" w:rsidP="0085709A">
      <w:pPr>
        <w:pStyle w:val="Extracto"/>
      </w:pPr>
      <w:r>
        <w:t>6.</w:t>
      </w:r>
      <w:r>
        <w:tab/>
        <w:t xml:space="preserve">Únicamente son expropiables y, por tanto indemnizables la privación de bienes y derechos o incluso intereses patrimoniales legítimos aun no garantizados como derechos subjetivos (por ejemplo, las situaciones en precario), pero en ningún caso </w:t>
      </w:r>
      <w:r>
        <w:lastRenderedPageBreak/>
        <w:t>lo son las expectativas; en particular, la doctrina jurídica y la jurisprudencia consideran, casi unánimemente, que sólo son indemnizables las privaciones de derechos ciertos, efectivos y actuales, pero no las de los eventuales o futuros (SSTC 108/1986, 49/2015)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cuestión de inconstitucionalidad núm. 89-2015, promovida por la Sala de lo Social del Tribunal Superior de Justicia de la Comunidad Autónoma de Castilla y León con sede en Burgos en relación con el art. 2.1 del Real Decreto-ley 28/2012, de 30 de noviembre, de medidas de consolidación y garantía del sistema de Seguridad Social, por posible vulneración de los arts. 9.3 y 33 CE. Han intervenido el Fiscal General del Estado, el Abogado del Estado y el Letrado de la Administración de la Seguridad Social.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8 de enero de 2015 tuvo entrada en el Registro General de este Tribunal oficio de la Sala de lo Social del Tribunal Superior de Justicia de Castilla y León, con sede en Burgos, al que se acompaña, junto con el testimonio de las actuaciones (recurso de suplicación núm. 525-2014 y autos núm. 74-2014 del Juzgado de lo Social núm. 1 de Burgos), el Auto de 3 de diciembre de 2014, por el que se acuerda plantear cuestión de inconstitucionalidad en relación con el art. 2.1 del Real Decreto-ley 28/2012, de 30 de noviembre, de medidas de consolidación y garantía del sistema de Seguridad Social (en adelante, Real Decreto-ley 28/2012), por posible vulneración de los arts. 9.3 y 33 CE.</w:t>
      </w:r>
    </w:p>
    <w:p w:rsidR="0085709A" w:rsidRDefault="0085709A" w:rsidP="0085709A">
      <w:pPr>
        <w:pStyle w:val="TextoNormal"/>
      </w:pPr>
    </w:p>
    <w:p w:rsidR="0085709A" w:rsidRDefault="0085709A" w:rsidP="0085709A">
      <w:pPr>
        <w:pStyle w:val="TextoNormal"/>
      </w:pPr>
      <w:r w:rsidRPr="0085709A">
        <w:rPr>
          <w:rStyle w:val="NumeroAFNegritaCaracter"/>
        </w:rPr>
        <w:t>2</w:t>
      </w:r>
      <w:r>
        <w:t>. Los antecedentes de la cuestión de inconstitucionalidad son, sucintamente expuestos, los siguientes:</w:t>
      </w:r>
    </w:p>
    <w:p w:rsidR="0085709A" w:rsidRDefault="0085709A" w:rsidP="0085709A">
      <w:pPr>
        <w:pStyle w:val="TextoNormal"/>
      </w:pPr>
    </w:p>
    <w:p w:rsidR="0085709A" w:rsidRDefault="0085709A" w:rsidP="0085709A">
      <w:pPr>
        <w:pStyle w:val="TextoNormal"/>
      </w:pPr>
      <w:r>
        <w:t xml:space="preserve">a) Un pensionista interpuso demanda ante el Instituto Nacional de la Seguridad Social (INSS) en reclamación de actualización de su pensión de jubilación, solicitando que se reconociese su derecho a percibir la revalorización prevista en el art. 48.1.2 del texto refundido de la Ley general de Seguridad Social (LGSS), con abono de la cuantía resultante. El demandante alegaba su derecho a recibir la cuantía de la pensión a 1 de enero de 2012, actualizada con la diferencia que resulta entre el índice en función del cual se calculó la </w:t>
      </w:r>
      <w:r>
        <w:lastRenderedPageBreak/>
        <w:t>revalorización en aquella fecha, que fue del 1 por 100, y el índice de precios al consumo acumulado hasta el mes de noviembre de 2012, que fue del 2,9 por 100. Sostenía con ello la improcedencia de aplicar lo dispuesto en el art. 2.1 del Real Decreto-ley 28/2012, que deja sin efecto para el año 2012 la actualización de las pensiones en los términos previstos en el art. 48.1.2 LGSS, por entender que dicho Real Decreto-ley no puede desplegar efectos antes de su entrada en vigor, que tuvo lugar el 1 de diciembre de 2012.</w:t>
      </w:r>
    </w:p>
    <w:p w:rsidR="0085709A" w:rsidRDefault="0085709A" w:rsidP="0085709A">
      <w:pPr>
        <w:pStyle w:val="TextoNormal"/>
      </w:pPr>
    </w:p>
    <w:p w:rsidR="0085709A" w:rsidRDefault="0085709A" w:rsidP="0085709A">
      <w:pPr>
        <w:pStyle w:val="TextoNormal"/>
      </w:pPr>
      <w:r>
        <w:t>b) El Juzgado de lo Social núm. 1 de Burgos dictó Sentencia el 28 de abril de 2014 estimando la demanda; declaró el derecho del demandante “a que se considere como pensión del año 2012 la señalada en el apartado segundo del relato histórico de la presente incrementada en un 2,9% y que la misma sirva de base para el incremento acordado en el año 2013”; asimismo el “derecho del actor a percibir las diferencias correspondientes al año 2012 que son la diferencia entre el 1% aplicado y el 2,9% debido”. Se condena por ello al INSS a abonar al demandante la cantidad que se especifica en el fallo de la Sentencia.</w:t>
      </w:r>
    </w:p>
    <w:p w:rsidR="0085709A" w:rsidRDefault="0085709A" w:rsidP="0085709A">
      <w:pPr>
        <w:pStyle w:val="TextoNormal"/>
      </w:pPr>
    </w:p>
    <w:p w:rsidR="0085709A" w:rsidRDefault="0085709A" w:rsidP="0085709A">
      <w:pPr>
        <w:pStyle w:val="TextoNormal"/>
      </w:pPr>
      <w:r>
        <w:t>c) Interpuesto recurso de suplicación por el INSS contra la mencionada Sentencia, la Sala de lo Social del Tribunal Superior de Justicia de Castilla y León señaló para su deliberación y fallo el 15 de octubre de 2014. En esa misma fecha dictó providencia por la que acordó oír a las partes y al Ministerio Fiscal (art. 35.2 de la Ley Orgánica del Tribunal Constitucional: LOTC),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 El Ministerio Fiscal mostró su conformidad con el planteamiento de la cuestión. El Letrado de la Administración de la Seguridad Social se opuso al planteamiento, por entender que el art. 2.1 del Real Decreto-ley 28/2012 es conforme con la Constitución. La representación procesal del demandante no formuló alegaciones.</w:t>
      </w:r>
    </w:p>
    <w:p w:rsidR="0085709A" w:rsidRDefault="0085709A" w:rsidP="0085709A">
      <w:pPr>
        <w:pStyle w:val="TextoNormal"/>
      </w:pPr>
    </w:p>
    <w:p w:rsidR="0085709A" w:rsidRDefault="0085709A" w:rsidP="0085709A">
      <w:pPr>
        <w:pStyle w:val="TextoNormal"/>
      </w:pPr>
      <w:r w:rsidRPr="0085709A">
        <w:rPr>
          <w:rStyle w:val="NumeroAFNegritaCaracter"/>
        </w:rPr>
        <w:t>3</w:t>
      </w:r>
      <w:r>
        <w:t>. Por Auto de 3 de diciembre de 2014 la Sala de lo Social del Tribunal Superior de Justicia de Castilla y León acordó plantear cuestión de inconstitucionalidad respecto del art. 2.1 del Real Decreto-ley 28/2012, de 30 de noviembre, de medidas de consolidación y garantía del sistema de Seguridad Social, por posible vulneración de los arts. 9.3 y 33 CE. El Auto se fundamenta en las consideraciones que se resumen a continuación.</w:t>
      </w:r>
    </w:p>
    <w:p w:rsidR="0085709A" w:rsidRDefault="0085709A" w:rsidP="0085709A">
      <w:pPr>
        <w:pStyle w:val="TextoNormal"/>
      </w:pPr>
    </w:p>
    <w:p w:rsidR="0085709A" w:rsidRDefault="0085709A" w:rsidP="0085709A">
      <w:pPr>
        <w:pStyle w:val="TextoNormal"/>
      </w:pPr>
      <w:r>
        <w:t>Tras exponer los antecedentes del caso, la Sala se refiere a la obligación de plantear cuestión de inconstitucionalidad cuando se considere que una norma, con rango de ley aplicable al caso y de cuya validez dependa el fallo, pueda ser contraria a la Constitución (arts. 163 CE, 35.1 LOTC y 5.2 de la Ley Orgánica del Poder Judicial). Seguidamente se refiere a los límites constitucionales del Decreto-ley (art. 86.1 CE) y alude a la doctrina constitucional sobre el principio de irretroactividad de las disposiciones sancionadoras no favorables o restrictivas de derechos individuales (art. 9.3 CE). La Sala afirma ser consciente del “espíritu restrictivo” que inspira la interpretación del supuesto de la prohibición de retroactividad; señala que lo primero que habría que despejar es si en el caso existe un derecho individual desde la consideración restrictiva apuntada, lo que entiende que merece una respuesta positiva. En segundo lugar, debe examinarse si, aun el caso de que la retroactividad fuera de grado máximo, puede tener una justificación legítima, puesto que este Tribunal Constitucional admite que “la prohibición de retroactividad operaría plenamente y solo exigencias del bien común podrían imponerse excepcionalmente a tal principio” (STC 197/1992).</w:t>
      </w:r>
    </w:p>
    <w:p w:rsidR="0085709A" w:rsidRDefault="0085709A" w:rsidP="0085709A">
      <w:pPr>
        <w:pStyle w:val="TextoNormal"/>
      </w:pPr>
    </w:p>
    <w:p w:rsidR="0085709A" w:rsidRDefault="0085709A" w:rsidP="0085709A">
      <w:pPr>
        <w:pStyle w:val="TextoNormal"/>
      </w:pPr>
      <w:r>
        <w:t>El Auto señala que el sistema de Seguridad Social tiene carácter contributivo. Los trabajadores cotizan a la Seguridad Social para que, en el caso de que se produzca la contingencia objeto de protección, se les reconozca el derecho a percibir la prestación correspondiente. Una de las contingencias previstas es la jubilación, por la que se reconoce al beneficiario el derecho a percibir una pensión en proporción al salario por el que cotizó y que constituyó la fuente de subsistencia durante su vida activa. Una vez que un trabajador pasa a la situación de jubilación, se establece un mecanismo para que la pensión que tiene derecho a percibir no pierda poder adquisitivo. El sistema de revalorización de las pensiones, que establece el art. 50 CE, pretende evitar que, como consecuencia del incremento del coste de la vida, al cabo de los años las pensiones reconocidas pierdan entidad y se produzca un empobrecimiento de los pensionistas.</w:t>
      </w:r>
    </w:p>
    <w:p w:rsidR="0085709A" w:rsidRDefault="0085709A" w:rsidP="0085709A">
      <w:pPr>
        <w:pStyle w:val="TextoNormal"/>
      </w:pPr>
    </w:p>
    <w:p w:rsidR="0085709A" w:rsidRDefault="0085709A" w:rsidP="0085709A">
      <w:pPr>
        <w:pStyle w:val="TextoNormal"/>
      </w:pPr>
      <w:r>
        <w:t>Afirma la Sala que el desarrollo del art. 50 CE se ha realizado a través del art. 48 LGSS, que regula la revalorización de las pensiones. Establece su apartado 1.1 una regla, de carácter general que no admite excepción, según la cual “las pensiones de la Seguridad Social en su modalidad contributiva, incluido el importe de la pensión mínima, serán revalorizadas al comienzo de cada año, en función del correspondiente índice de precios al consumo previsto para dicho año”. El apartado 1.2 del mismo art. 48 LGSS determina el periodo que se debe tener en cuenta para el cálculo del índice de precios al consumo: “el periodo comprendido entre noviembre del ejercicio anterior y noviembre del ejercicio económico al que se refiere la revalorización”. Igualmente un mecanismo para compensar las posibles desviaciones que se produzcan si el índice de precios al consumo (IPC) previsto es inferior al que finalmente resulta: la paga compensatoria, que cubre la diferencia si el coste de la vida es superior al aumento del importe de la pensión en el año correspondiente. Debe abonarse, según la misma norma, antes del 1 de abril del ejercicio posterior. La misma regla se establece en el art. 27 de la Ley de clases pasivas del Estado.</w:t>
      </w:r>
    </w:p>
    <w:p w:rsidR="0085709A" w:rsidRDefault="0085709A" w:rsidP="0085709A">
      <w:pPr>
        <w:pStyle w:val="TextoNormal"/>
      </w:pPr>
    </w:p>
    <w:p w:rsidR="0085709A" w:rsidRDefault="0085709A" w:rsidP="0085709A">
      <w:pPr>
        <w:pStyle w:val="TextoNormal"/>
      </w:pPr>
      <w:r>
        <w:t>Indica la Sala que el único límite al importe de la revalorización de las pensiones contributivas se establece en el art. 49 LGSS: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0085709A" w:rsidRDefault="0085709A" w:rsidP="0085709A">
      <w:pPr>
        <w:pStyle w:val="TextoNormal"/>
      </w:pPr>
    </w:p>
    <w:p w:rsidR="0085709A" w:rsidRDefault="0085709A" w:rsidP="0085709A">
      <w:pPr>
        <w:pStyle w:val="TextoNormal"/>
      </w:pPr>
      <w:r>
        <w:t>Añade la Sala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85709A" w:rsidRDefault="0085709A" w:rsidP="0085709A">
      <w:pPr>
        <w:pStyle w:val="TextoNormal"/>
      </w:pPr>
    </w:p>
    <w:p w:rsidR="0085709A" w:rsidRDefault="0085709A" w:rsidP="0085709A">
      <w:pPr>
        <w:pStyle w:val="TextoNormal"/>
      </w:pPr>
      <w:r>
        <w:t>Sentado lo anterior, la Sala señala que la cuestión estriba en determinar si la supresión de la paga compensatoria correspondiente al año 2012 “vulnera un derecho causado, consolidado y devengado, conforme al art. 50 de la CE, afectando de forma retroactiva a derechos adquiridos y con la vulneración del art. 9.3 de la CE que prohíbe la retroactividad de las disposiciones procesales (</w:t>
      </w:r>
      <w:r w:rsidRPr="0085709A">
        <w:rPr>
          <w:i/>
        </w:rPr>
        <w:t>sic</w:t>
      </w:r>
      <w:r>
        <w:t>) restrictivas de los derechos fundamentales”.</w:t>
      </w:r>
    </w:p>
    <w:p w:rsidR="0085709A" w:rsidRDefault="0085709A" w:rsidP="0085709A">
      <w:pPr>
        <w:pStyle w:val="TextoNormal"/>
      </w:pPr>
    </w:p>
    <w:p w:rsidR="0085709A" w:rsidRDefault="0085709A" w:rsidP="0085709A">
      <w:pPr>
        <w:pStyle w:val="TextoNormal"/>
      </w:pPr>
      <w:r>
        <w:lastRenderedPageBreak/>
        <w:t>Por todo ello, la Sala acuerda plantear cuestión de inconstitucionalidad respecto del art. 2.1 del Real Decreto-ley 28/2012, que deja sin efecto para el año 2012 la actualización de las pensiones en los términos previstos en el apartado 1.2 del art. 48 LGSS y en el párrafo 2 del art. 27.1 de la Ley de clases pasivas. Entiende que vulnera: a) lo dispuesto en el artículo 9.3 de la Constitución, por el que se garantiza la irretroactividad de las disposiciones restrictivas de derechos fundamentales individuales, y b) el artículo 33 de la Constitución, si se entiende que por parte del aludido art. 2.1 del Real Decreto-ley 28/2012 serían objeto de expropiación los derechos de los perceptores de pensiones de seguridad, por cuanto son derechos económicos incorporados al patrimonio de aquellos, aunque no hayan sido abonados pero sí devengados. Todo ello dado que el Real Decreto-ley 28/2012 “entró en vigor [el]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3 de febrero de 2015, el Pleno del Tribunal acordó admitir a trámite la cuestión; asimismo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 Por diligencia de ordenación de la Secretaría de Justicia del Pleno de la misma fecha se concedió un plazo de quince días a partir de la publicación del referido edicto para que, de conformidad con lo establecido en el art. 37.2 LOTC, quienes fuesen parte en el recurso de suplicación núm. 525-2014 pudieran personarse ante este Tribunal.</w:t>
      </w:r>
    </w:p>
    <w:p w:rsidR="0085709A" w:rsidRDefault="0085709A" w:rsidP="0085709A">
      <w:pPr>
        <w:pStyle w:val="TextoNormal"/>
      </w:pPr>
    </w:p>
    <w:p w:rsidR="0085709A" w:rsidRDefault="0085709A" w:rsidP="0085709A">
      <w:pPr>
        <w:pStyle w:val="TextoNormal"/>
      </w:pPr>
      <w:r w:rsidRPr="0085709A">
        <w:rPr>
          <w:rStyle w:val="NumeroAFNegritaCaracter"/>
        </w:rPr>
        <w:t>5</w:t>
      </w:r>
      <w:r>
        <w:t>. El Abogado del Estado presentó su escrito de alegaciones el 10 de febrero de 2015 interesando la desestimación de la cuestión de inconstitucionalidad por las razones que, resumidamente, se exponen a continuación.</w:t>
      </w:r>
    </w:p>
    <w:p w:rsidR="0085709A" w:rsidRDefault="0085709A" w:rsidP="0085709A">
      <w:pPr>
        <w:pStyle w:val="TextoNormal"/>
      </w:pPr>
    </w:p>
    <w:p w:rsidR="0085709A" w:rsidRDefault="0085709A" w:rsidP="0085709A">
      <w:pPr>
        <w:pStyle w:val="TextoNormal"/>
      </w:pPr>
      <w:r>
        <w:t>Comienza señalando que nuestro sistema de Seguridad Social (art. 41 CE) se caracteriza constitucionalmente por consistir en una garantía institucional que deja al legislador su configuración en atención a las circunstancias económicas y sociales, imperativas para su propia viabilidad y eficacia; cita en este sentido diversa doctrina constitucional.</w:t>
      </w:r>
    </w:p>
    <w:p w:rsidR="0085709A" w:rsidRDefault="0085709A" w:rsidP="0085709A">
      <w:pPr>
        <w:pStyle w:val="TextoNormal"/>
      </w:pPr>
    </w:p>
    <w:p w:rsidR="0085709A" w:rsidRDefault="0085709A" w:rsidP="0085709A">
      <w:pPr>
        <w:pStyle w:val="TextoNormal"/>
      </w:pPr>
      <w:r>
        <w:t>A continuación pasa a examinar los elementos que configuran la eventual aplicación del principio de irretroactividad de las disposiciones sancionadoras desfavorables y restrictivas de derechos individuales, que garantiza el art. 9.3 CE, a la vista de la doctrina del Tribunal Constitucional sobre lo que debe entenderse por “derechos individuales” y el grado de retroactividad permisible. Señala que el Tribunal Constitucional identifica los derechos individuales con los “derechos fundamentales y libertades públicas o la esfera general de protección de la persona”; relaciona su restricción con la idea de sanción (STC 43/1986).</w:t>
      </w:r>
    </w:p>
    <w:p w:rsidR="0085709A" w:rsidRDefault="0085709A" w:rsidP="0085709A">
      <w:pPr>
        <w:pStyle w:val="TextoNormal"/>
      </w:pPr>
    </w:p>
    <w:p w:rsidR="0085709A" w:rsidRDefault="0085709A" w:rsidP="0085709A">
      <w:pPr>
        <w:pStyle w:val="TextoNormal"/>
      </w:pPr>
      <w:r>
        <w:lastRenderedPageBreak/>
        <w:t>Afirma seguidamente que la actualización de las pensiones conforme al IPC del año en curso no constituye un derecho consolidado integrado en el patrimonio del pensionista, sino una mera expectativa de derecho o un derecho condicionado a la fijación de su contenido por la Ley de presupuestos generales del Estado del año siguiente, si existe diferencia entre el IPC previsto y el acumulado a noviembre del ejercicio económico correspondiente. El art. 48.1.2 LGSS no establece un derecho a la actualización automática de las pensiones, sino que lo somete a la condición de que exista una diferencia entre el IPC previsto en la actualización recogida en la Ley de presupuestos generales del Estado del año correspondiente y el IPC acumulado a un mes concreto (noviembre del ejercicio en curso). Por ello, el art. 48.1.2 LGSS continúa diciendo: “a tales efectos, a los pensionistas cuyas pensiones hubiesen sido objeto de revalorización en el ejercicio anterior”; no por el mero hecho de la existencia de diferencial en el IPC se actualiza la pensión, sino que habrá que estar a la regulación propia de la Ley de presupuestos generales del Estado. Es lógico, ya que es la Ley de presupuestos de cada ejercicio la que fija los “gastos” a cargo del Estado, que integran el contenido mínimo esencial de la propia Ley. El entendimiento de esta actualización como una mera expectativa encaja en la forma en que la Constitución ha regulado el sistema de Seguridad Social, dejando al legislador un amplísimo margen para definir las características del mismo en función de las circunstancias económicas y sociales en cada momento, con la finalidad de asegurar la suficiencia y solvencia del sistema.</w:t>
      </w:r>
    </w:p>
    <w:p w:rsidR="0085709A" w:rsidRDefault="0085709A" w:rsidP="0085709A">
      <w:pPr>
        <w:pStyle w:val="TextoNormal"/>
      </w:pPr>
    </w:p>
    <w:p w:rsidR="0085709A" w:rsidRDefault="0085709A" w:rsidP="0085709A">
      <w:pPr>
        <w:pStyle w:val="TextoNormal"/>
      </w:pPr>
      <w:r>
        <w:t>Recuerda también el Abogado del Estado que, conforme a la doctrina constitucional, para que resulte aplicable la garantía de irretroactividad del art. 9.3 CE se exigiría, además, que la medida eventualmente restrictiva tuviera, a su vez, un “matiz sancionador”. Esta circunstancia no concurriría en la norma cuestionada, cuya única finalidad es garantizar la viabilidad y suficiencia del sistema de Seguridad Social. En este sentido, indica los grados de retroactividad a que se refiere el art. 9.3 CE y recuerda que la STC 182/1997 delimitó en qué supuestos pueden establecerse medidas retroactivas de derechos individuales: cuando existan exigencias cualificadas de interés público. Sostiene el Abogado del Estado que la medida cuestionada obedece a imperiosas circunstancias de índole económica que afectan a la subsistencia y sostenibilidad del sistema de Seguridad Social, a las que se refiere expresamente la èxposición de motivos del Real Decreto-ley 28/2012.</w:t>
      </w:r>
    </w:p>
    <w:p w:rsidR="0085709A" w:rsidRDefault="0085709A" w:rsidP="0085709A">
      <w:pPr>
        <w:pStyle w:val="TextoNormal"/>
      </w:pPr>
    </w:p>
    <w:p w:rsidR="0085709A" w:rsidRDefault="0085709A" w:rsidP="0085709A">
      <w:pPr>
        <w:pStyle w:val="TextoNormal"/>
      </w:pPr>
      <w:r>
        <w:t>Por último, sobre la alegada vulneración del art. 33 CE señala el Abogado del Estado que esta supuesta vulneración parte de la premisa de la existencia de un derecho adquirido incorporado al patrimonio del pensionista; rechazada la existencia de tal derecho adquirido por las razones antes expuestas no cabe hablar de infracción del art. 33 CE.</w:t>
      </w:r>
    </w:p>
    <w:p w:rsidR="0085709A" w:rsidRDefault="0085709A" w:rsidP="0085709A">
      <w:pPr>
        <w:pStyle w:val="TextoNormal"/>
      </w:pPr>
    </w:p>
    <w:p w:rsidR="0085709A" w:rsidRDefault="0085709A" w:rsidP="0085709A">
      <w:pPr>
        <w:pStyle w:val="TextoNormal"/>
      </w:pPr>
      <w:r w:rsidRPr="0085709A">
        <w:rPr>
          <w:rStyle w:val="NumeroAFNegritaCaracter"/>
        </w:rPr>
        <w:t>6</w:t>
      </w:r>
      <w:r>
        <w:t>. Por escrito registrado en este Tribunal el 12 de febrero de 2015 el Presidente del Congreso de los Diputados comunicó la decisión de la Mesa de la Cámara de personarse en el presente proceso constitucional, ofreciendo su colaboración a los efectos del art. 88.1 LOTC. En similares términos se pronuncia el Presidente del Senado en el escrito registrado en este Tribunal el 18 de febrero de 2015.</w:t>
      </w:r>
    </w:p>
    <w:p w:rsidR="0085709A" w:rsidRDefault="0085709A" w:rsidP="0085709A">
      <w:pPr>
        <w:pStyle w:val="TextoNormal"/>
      </w:pPr>
    </w:p>
    <w:p w:rsidR="0085709A" w:rsidRDefault="0085709A" w:rsidP="0085709A">
      <w:pPr>
        <w:pStyle w:val="TextoNormal"/>
      </w:pPr>
      <w:r w:rsidRPr="0085709A">
        <w:rPr>
          <w:rStyle w:val="NumeroAFNegritaCaracter"/>
        </w:rPr>
        <w:t>7</w:t>
      </w:r>
      <w:r>
        <w:t xml:space="preserve">. . Mediante escrito registrado en este Tribunal el 12 de febrero de 2015 el Letrado de la Administración de la Seguridad Social se personó en nombre del Instituto Nacional de la Seguridad Social (INSS) y, por medio de otrosí, solicitó que, a los efectos de representación </w:t>
      </w:r>
      <w:r>
        <w:lastRenderedPageBreak/>
        <w:t>y defensa de esa entidad gestora, se designase indistintamente a los Letrados de la Administración de la Seguridad Social destinados en el Servicio Jurídico delegado central de la misma.</w:t>
      </w:r>
    </w:p>
    <w:p w:rsidR="0085709A" w:rsidRDefault="0085709A" w:rsidP="0085709A">
      <w:pPr>
        <w:pStyle w:val="TextoNormal"/>
      </w:pPr>
    </w:p>
    <w:p w:rsidR="0085709A" w:rsidRDefault="0085709A" w:rsidP="0085709A">
      <w:pPr>
        <w:pStyle w:val="TextoNormal"/>
      </w:pPr>
      <w:r w:rsidRPr="0085709A">
        <w:rPr>
          <w:rStyle w:val="NumeroAFNegritaCaracter"/>
        </w:rPr>
        <w:t>8</w:t>
      </w:r>
      <w:r>
        <w:t>. Por diligencia de ordenación de 13 de febrero de 2015 se acordó tener por personado y parte al Letrado de la Administración de la Seguridad Social y, conforme establece el art. 37.2 LOTC, se le concedió un plazo de quince días para que formulase las alegaciones que estimase convenientes.</w:t>
      </w:r>
    </w:p>
    <w:p w:rsidR="0085709A" w:rsidRDefault="0085709A" w:rsidP="0085709A">
      <w:pPr>
        <w:pStyle w:val="TextoNormal"/>
      </w:pPr>
    </w:p>
    <w:p w:rsidR="0085709A" w:rsidRDefault="0085709A" w:rsidP="0085709A">
      <w:pPr>
        <w:pStyle w:val="TextoNormal"/>
      </w:pPr>
      <w:r w:rsidRPr="0085709A">
        <w:rPr>
          <w:rStyle w:val="NumeroAFNegritaCaracter"/>
        </w:rPr>
        <w:t>9</w:t>
      </w:r>
      <w:r>
        <w:t>. El Fiscal General del Estado presentó su escrito de alegaciones el 3 de marzo de 2015, interesando la estimación de la presente cuestión de inconstitucionalidad.</w:t>
      </w:r>
    </w:p>
    <w:p w:rsidR="0085709A" w:rsidRDefault="0085709A" w:rsidP="0085709A">
      <w:pPr>
        <w:pStyle w:val="TextoNormal"/>
      </w:pPr>
    </w:p>
    <w:p w:rsidR="0085709A" w:rsidRDefault="0085709A" w:rsidP="0085709A">
      <w:pPr>
        <w:pStyle w:val="TextoNormal"/>
      </w:pPr>
      <w:r>
        <w:t>Comienza su escrito delimitando el contenido de la cuestión. Estima que el Auto de planteamiento adolece de imprecisión; ha de entenderse que el órgano judicial cuestiona la regla sobre la actualización anual de las pensiones prevista para el año siguiente, concretamente en el caso que nos ocupa para el año 2013, mientras que la otra regla, referida a la determinación de la paga única compensatoria, sólo la menciona incidentalmente. Para el órgano judicial, los derechos que nacen de ambas reglas gozan de la misma naturaleza y se consolidan simultáneamente, pero en opinión del Fiscal esto no es cierto. Entiende que deberían haberse tratado separadamente las razones que podrían cuestionar la constitucionalidad de una y otra norma.</w:t>
      </w:r>
    </w:p>
    <w:p w:rsidR="0085709A" w:rsidRDefault="0085709A" w:rsidP="0085709A">
      <w:pPr>
        <w:pStyle w:val="TextoNormal"/>
      </w:pPr>
    </w:p>
    <w:p w:rsidR="0085709A" w:rsidRDefault="0085709A" w:rsidP="0085709A">
      <w:pPr>
        <w:pStyle w:val="TextoNormal"/>
      </w:pPr>
      <w:r>
        <w:t>Recuerda seguidamente la doctrina constitucional en materia de proscripción de la retroactividad de las normas (art. 9.3 CE) partiendo del desarrollo que se ha dado de los conceptos de normas sancionadoras no favorables y de normas restrictivas de derechos individuales. A la vista de esta doctrina, considera el Fiscal que la decisión que se contiene en el precepto cuestionado de suspender para el ejercicio 2012 la aplicación de la regla de abono de la paga única compensatoria (que debería realizarse antes del l de abril de 2013) por la desviación entre el IPC previsto y el IPC acumulado, correspondiente al periodo comprendido entre noviembre de 2011 y noviembre de 2012, incurre en supuesto de retroactividad auténtica. Vincula los efectos a un hecho ya consumado y consolidado, toda vez que el Real Decreto-ley 28/2012 entró en vigor el 1 de diciembre de 2012. Se trataría, por tanto, de un derecho económico consolidado, ya incorporado al patrimonio del pensionista. Lo que se posterga es simplemente el pago, que si no se hizo antes fue por faltar la constatación matemática de la cuantía. Al depender del IPC acumulado, la cuantía no se podía conocer hasta el 30 de noviembre de 2012.</w:t>
      </w:r>
    </w:p>
    <w:p w:rsidR="0085709A" w:rsidRDefault="0085709A" w:rsidP="0085709A">
      <w:pPr>
        <w:pStyle w:val="TextoNormal"/>
      </w:pPr>
    </w:p>
    <w:p w:rsidR="0085709A" w:rsidRDefault="0085709A" w:rsidP="0085709A">
      <w:pPr>
        <w:pStyle w:val="TextoNormal"/>
      </w:pPr>
      <w:r>
        <w:t>A su juicio, la remisión que el art. 48 LGSS hace a la Ley de presupuestos generales del Estado no puede considerarse una postergación del derecho a lo que determine esa Ley. La actualización se produciría de forma automática cuando el Instituto Nacional de Estadística fija ese índice, limitándose la Ley de presupuestos generales del Estado a fijar el apunte contable. No se dejaría pendiente de aprobación por la Ley de presupuestos nada más que el reflejo contable de una obligación nacida y consolidada en tiempo anterior.</w:t>
      </w:r>
    </w:p>
    <w:p w:rsidR="0085709A" w:rsidRDefault="0085709A" w:rsidP="0085709A">
      <w:pPr>
        <w:pStyle w:val="TextoNormal"/>
      </w:pPr>
    </w:p>
    <w:p w:rsidR="0085709A" w:rsidRDefault="0085709A" w:rsidP="0085709A">
      <w:pPr>
        <w:pStyle w:val="TextoNormal"/>
      </w:pPr>
      <w:r>
        <w:t xml:space="preserve">Por lo que se refiere al art. 33.3 CE señala que este precepto prohíbe aquellas actividades confiscatorias que supongan privaciones de derechos adquiridos al margen de los concretos supuestos legalmente establecidos. La violación de este art. 33 CE sería una consecuencia </w:t>
      </w:r>
      <w:r>
        <w:lastRenderedPageBreak/>
        <w:t>de la existencia de retroactividad prohibida por el art. 9.3 CE en que entiende el Fiscal que incurre el precepto cuestionado.</w:t>
      </w:r>
    </w:p>
    <w:p w:rsidR="0085709A" w:rsidRDefault="0085709A" w:rsidP="0085709A">
      <w:pPr>
        <w:pStyle w:val="TextoNormal"/>
      </w:pPr>
    </w:p>
    <w:p w:rsidR="0085709A" w:rsidRDefault="0085709A" w:rsidP="0085709A">
      <w:pPr>
        <w:pStyle w:val="TextoNormal"/>
      </w:pPr>
      <w:r w:rsidRPr="0085709A">
        <w:rPr>
          <w:rStyle w:val="NumeroAFNegritaCaracter"/>
        </w:rPr>
        <w:t>10</w:t>
      </w:r>
      <w:r>
        <w:t>. El Letrado de la Administración de la Seguridad Social presentó su escrito de alegaciones el 5 de marzo de 2015, interesando la desestimación de la cuestión.</w:t>
      </w:r>
    </w:p>
    <w:p w:rsidR="0085709A" w:rsidRDefault="0085709A" w:rsidP="0085709A">
      <w:pPr>
        <w:pStyle w:val="TextoNormal"/>
      </w:pPr>
    </w:p>
    <w:p w:rsidR="0085709A" w:rsidRDefault="0085709A" w:rsidP="0085709A">
      <w:pPr>
        <w:pStyle w:val="TextoNormal"/>
      </w:pPr>
      <w:r>
        <w:t>Tras recordar sus antecedentes, analiza la configuración constitucional del derecho a la Seguridad Social y el derecho a una pensión adecuada y periódicamente actualizada, así como la doctrina constitucional respecto a la conservación de los derechos adquiridos y sobre la aplicación del principio de irretroactividad en el sistema de la Seguridad Social. Señala que la doctrina de este Tribunal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al sistema de Seguridad Social suponen su configuración legal, gozando el legislador a tal efecto de un amplio margen de disposición. Asimismo, afirma que el Tribunal Constitucional interpreta con precaución el deber de actualización periódica de las pensiones. Deja en manos del legislador la decisión de actualizar o no y, en su caso, en qué cuantía, las pensiones devengadas, al condicionar la acción normativa a las disponibilidades económicas, a las necesidades concurrentes y al cumplimiento del principio de solidaridad. Este, como señala la STC 134/1987, FJ 5, “obliga a sacrificar los intereses de los más favorecidos frente a los más desamparados con independencia incluso de las consecuencias económicas de estos sacrificios”. De tal doctrina se desprende que no existe una exigencia constitucional que obligue necesariamente a revalorizar las pensiones. El art. 50 CE establece una actualización periódica, pero no determina la periodicidad ni la cuantía y alcance de la revalorización; la revalorización y actualización de las pensiones dependerían de los recursos disponibles, de la situación económica de cada momento y de la ponderación de las necesidades sociales concurrentes.</w:t>
      </w:r>
    </w:p>
    <w:p w:rsidR="0085709A" w:rsidRDefault="0085709A" w:rsidP="0085709A">
      <w:pPr>
        <w:pStyle w:val="TextoNormal"/>
      </w:pPr>
    </w:p>
    <w:p w:rsidR="0085709A" w:rsidRDefault="0085709A" w:rsidP="0085709A">
      <w:pPr>
        <w:pStyle w:val="TextoNormal"/>
      </w:pPr>
      <w:r>
        <w:t>Recuerda también que el Tribunal Constitucional ha tenido ocasión de establecer una consolidada doctrina respecto al mantenimiento de los derechos adquiridos y la prohibición de la irretroactividad de las normas restrictivas de derechos individuales en materia de Seguridad Social (cita las SSTC 65/1987, de 21 de mayo, 134/1987, de 21 de julio, 66/1990, de 5 de abril, y 89/2009, de 20 de abril).</w:t>
      </w:r>
    </w:p>
    <w:p w:rsidR="0085709A" w:rsidRDefault="0085709A" w:rsidP="0085709A">
      <w:pPr>
        <w:pStyle w:val="TextoNormal"/>
      </w:pPr>
    </w:p>
    <w:p w:rsidR="0085709A" w:rsidRDefault="0085709A" w:rsidP="0085709A">
      <w:pPr>
        <w:pStyle w:val="TextoNormal"/>
      </w:pPr>
      <w:r>
        <w:t>Afirma a continuación que el art. 2.1 del Real Decreto-ley 28/2012, en cuanto deja sin efecto las medidas relativas a la actualización de las pensiones y al abono del pago único, previstas en el art. 48.1.2 LGSS, no vulnera los arts. 41 y 50 CE, ni afecta a ningún derecho individual en los términos contemplados en el art. 9.3 CE. Lo que verdaderamente ha de ser tutelado por imperativo constitucional es que no se pongan en cuestión los rasgos estructurales del sistema de Seguridad Social, lo que el Tribunal Constitucional ha entendido que no se produce con ocasión de una limitación de la revalorización de las pensiones. Añade que en determinadas circunstancias una medida como la controvertida puede hacer posible el mantenimiento de los rasgos esenciales del sistema de Seguridad Social.</w:t>
      </w:r>
    </w:p>
    <w:p w:rsidR="0085709A" w:rsidRDefault="0085709A" w:rsidP="0085709A">
      <w:pPr>
        <w:pStyle w:val="TextoNormal"/>
      </w:pPr>
    </w:p>
    <w:p w:rsidR="0085709A" w:rsidRDefault="0085709A" w:rsidP="0085709A">
      <w:pPr>
        <w:pStyle w:val="TextoNormal"/>
      </w:pPr>
      <w:r>
        <w:t xml:space="preserve">Señala también que el art. 48.1 LGSS, en la redacción vigente en la fecha del proceso </w:t>
      </w:r>
      <w:r w:rsidRPr="0085709A">
        <w:rPr>
          <w:i/>
        </w:rPr>
        <w:t>a quo</w:t>
      </w:r>
      <w:r>
        <w:t xml:space="preserve">, establece respecto a la revalorización de las pensiones contributivas que se producirá anualmente en función del correspondiente IPC previsto para dicho año. Esta previsión no es más que un parámetro fijado por aproximación que puede producirse o no. En tal sentido, </w:t>
      </w:r>
      <w:r>
        <w:lastRenderedPageBreak/>
        <w:t>ante la eventualidad de que tales previsiones no coincidan con la realidad, se estableció un mecanismo suplementario que pretendía garantizar el poder adquisitivo de las pensiones. Se trata de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del IPC previsto y el realmente acontecido. Se toma como parámetro temporal de comprobación el periodo correspondiente entre el 1 de diciembre del año anterior y el 30 de noviembre del año al que correspondió la previsión. En coherencia con la doctrina constitucional plasmada en las SSTC 134/1987 y 97/1990, el legislador toma la precaución de condicionar la medida a la ponderación de las disponibilidades presupuestarias y de las necesidades sociales; la efectividad de la medida dependerá de que se contemple la actualización de la diferencia y del pago único en la correspondiente Ley de presupuestos generales del Estado del año siguiente. En este sentido, afirma que los dos puntos del apartado 1 del art. 48 LGSS exigen una interpretación conjunta, de manera que la efectividad de los derechos previstos en ambos puntos se condiciona al principio de legalidad presupuestaria.</w:t>
      </w:r>
    </w:p>
    <w:p w:rsidR="0085709A" w:rsidRDefault="0085709A" w:rsidP="0085709A">
      <w:pPr>
        <w:pStyle w:val="TextoNormal"/>
      </w:pPr>
    </w:p>
    <w:p w:rsidR="0085709A" w:rsidRDefault="0085709A" w:rsidP="0085709A">
      <w:pPr>
        <w:pStyle w:val="TextoNormal"/>
      </w:pPr>
      <w:r>
        <w:t>A juicio del Letrado de la Administración de la Seguridad Social, la regla establecida en el art. 48.1.2 LGSS se configura como una norma programática cuya efectividad e imperatividad dependen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0085709A" w:rsidRDefault="0085709A" w:rsidP="0085709A">
      <w:pPr>
        <w:pStyle w:val="TextoNormal"/>
      </w:pPr>
    </w:p>
    <w:p w:rsidR="0085709A" w:rsidRDefault="0085709A" w:rsidP="0085709A">
      <w:pPr>
        <w:pStyle w:val="TextoNormal"/>
      </w:pPr>
      <w:r>
        <w:t>En suma, no existe un consolidado derecho subjetivo perfecto al abono de un pago único por la diferencia entre el incremento del IPC previsto en la Ley de presupuestos generales del Estado para 2012 y el IPC real, acumulado durante el intervalo de diciembre de 2011 a noviembre de 2012; no cabe pues apreciar vulneración del art. 9.3 CE.</w:t>
      </w:r>
    </w:p>
    <w:p w:rsidR="0085709A" w:rsidRDefault="0085709A" w:rsidP="0085709A">
      <w:pPr>
        <w:pStyle w:val="TextoNormal"/>
      </w:pPr>
    </w:p>
    <w:p w:rsidR="0085709A" w:rsidRDefault="0085709A" w:rsidP="0085709A">
      <w:pPr>
        <w:pStyle w:val="TextoNormal"/>
      </w:pPr>
      <w:r>
        <w:t>Por último afirma que, al no existir un derecho subjetivo a la actualización y al abono de la paga única compensatoria, tampoco cabe afirmar que el art. 2.1 del Real Decreto-ley 28/2012 actúe retroactivamente limitando o restringiendo esos supuestos derechos adquiridos, pues no son tales. Tampoco se podría sostener, con apoyo en la STC 67/1990, de 5 de abril, que “haya existido una privación de tal ‘derecho’ sino la supresión de una ventaja o beneficio que por tanto no incide en el derecho reconocido por el artículo 33.3 CE”.</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18 de junio de 2015 se señaló para deliberación y votación de la presente Sentencia el día 22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La Sala de lo Social del Tribunal Superior de Justicia de Castilla y León, con sede en Burgos, plantea cuestión de inconstitucionalidad respecto del art. 2.1 del Real Decreto-ley </w:t>
      </w:r>
      <w:r>
        <w:lastRenderedPageBreak/>
        <w:t>28/2012, de 30 de noviembre, de medidas de consolidación y garantía del sistema de Seguridad Social, por posible vulneración de los arts. 9.3 y 33 CE.</w:t>
      </w:r>
    </w:p>
    <w:p w:rsidR="0085709A" w:rsidRDefault="0085709A" w:rsidP="0085709A">
      <w:pPr>
        <w:pStyle w:val="TextoNormal"/>
      </w:pPr>
    </w:p>
    <w:p w:rsidR="0085709A" w:rsidRDefault="0085709A" w:rsidP="0085709A">
      <w:pPr>
        <w:pStyle w:val="TextoNormal"/>
      </w:pPr>
      <w:r>
        <w:t>Por las razones que han quedado expuestas en el relato de antecedentes de la presente resolución, el Fiscal General del Estado solicita la estimación de la cuestión de inconstitucionalidad, mientras que el Abogado del Estado y el Letrado de la Administración de la Seguridad Social solicitan su desestimación.</w:t>
      </w:r>
    </w:p>
    <w:p w:rsidR="0085709A" w:rsidRDefault="0085709A" w:rsidP="0085709A">
      <w:pPr>
        <w:pStyle w:val="TextoNormal"/>
      </w:pPr>
    </w:p>
    <w:p w:rsidR="0085709A" w:rsidRDefault="0085709A" w:rsidP="0085709A">
      <w:pPr>
        <w:pStyle w:val="TextoNormal"/>
      </w:pPr>
      <w:r w:rsidRPr="0085709A">
        <w:rPr>
          <w:rStyle w:val="NumeroAFNegritaCaracter"/>
        </w:rPr>
        <w:t>2</w:t>
      </w:r>
      <w:r>
        <w:t>. La duda de constitucionalidad planteada por el órgano judicial ha sido ya resuelta por este Tribunal en la reciente STC 49/2015, de 5 de marzo; en ella hemos desestimado el recurso de inconstitucionalidad núm. 1114-2013 interpuesto contra el art. 2.1 del Real Decreto-ley 28/2012, de 30 de noviembre, de medidas de consolidación y garantía del Sistema de la Seguridad Social. A su doctrina hemos de remitirnos; declara que este precepto, que deja sin efecto para el ejercicio 2012 la regla de actualización de las pensiones prevista en el art. 48.1.2 de la Ley general de la Seguridad Social (LGSS) y el art. 27.1, párrafo segundo, de la Ley de clases pasivas del Estado (para el caso de que el Índice de precios al consumo: IPC acumulado correspondiente al período comprendido entre noviembre del ejercicio anterior y noviembre del ejercicio económico en curso sea superior al IPC previsto y en función del cual se calcula la revalorización de la pensión), no vulnera los arts. 9.3 y 33 CE.</w:t>
      </w:r>
    </w:p>
    <w:p w:rsidR="0085709A" w:rsidRDefault="0085709A" w:rsidP="0085709A">
      <w:pPr>
        <w:pStyle w:val="TextoNormal"/>
      </w:pPr>
    </w:p>
    <w:p w:rsidR="0085709A" w:rsidRDefault="0085709A" w:rsidP="0085709A">
      <w:pPr>
        <w:pStyle w:val="TextoNormal"/>
      </w:pPr>
      <w:r>
        <w:t>a) En efecto, según señala la STC 49/2015, FJ 5, para valorar si la norma cuestionada vulnera la interdicción de retroactividad de las disposiciones sancionadoras desfavorables o restrictivas de derechos individuales que garantiza el art. 9.3 CE, “resulta ineludible determinar con carácter previo si en el momento en que se dictó el RDL 28/2012, de 30 de noviembre, los pensionistas tenían una mera expectativa de derecho a recibir la diferencia entre el IPC real y el IPC estimado para el año 2012 o, por el contrario, tenían un derecho consolidado, asumido e integrado en su patrimonio”.</w:t>
      </w:r>
    </w:p>
    <w:p w:rsidR="0085709A" w:rsidRDefault="0085709A" w:rsidP="0085709A">
      <w:pPr>
        <w:pStyle w:val="TextoNormal"/>
      </w:pPr>
    </w:p>
    <w:p w:rsidR="0085709A" w:rsidRDefault="0085709A" w:rsidP="0085709A">
      <w:pPr>
        <w:pStyle w:val="TextoNormal"/>
      </w:pPr>
      <w:r>
        <w:t>Afirma la STC 49/2015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Recuerda que el art. 50 CE “no obliga a que todas y cada una de las pensiones ya causadas experimenten un incremento anual.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igualmente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(STC 49/2015, FJ 5).</w:t>
      </w:r>
    </w:p>
    <w:p w:rsidR="0085709A" w:rsidRDefault="0085709A" w:rsidP="0085709A">
      <w:pPr>
        <w:pStyle w:val="TextoNormal"/>
      </w:pPr>
    </w:p>
    <w:p w:rsidR="0085709A" w:rsidRDefault="0085709A" w:rsidP="0085709A">
      <w:pPr>
        <w:pStyle w:val="TextoNormal"/>
      </w:pPr>
      <w:r>
        <w:lastRenderedPageBreak/>
        <w:t>Con fundamento en la doctrina constitucional citada, la STC 49/2015 considera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la STC 49/2015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 (STC 49/2015, FJ 5).</w:t>
      </w:r>
    </w:p>
    <w:p w:rsidR="0085709A" w:rsidRDefault="0085709A" w:rsidP="0085709A">
      <w:pPr>
        <w:pStyle w:val="TextoNormal"/>
      </w:pPr>
    </w:p>
    <w:p w:rsidR="0085709A" w:rsidRDefault="0085709A" w:rsidP="0085709A">
      <w:pPr>
        <w:pStyle w:val="TextoNormal"/>
      </w:pPr>
      <w:r>
        <w:t>b) Por lo que se refiere a la pretendida vulneración del art. 33 CE, la STC 49/2015 afirma que “falta en el art. 2.1 del Real Decreto-ley 28/2012 un elemento indispensable para que pueda calificarse la no actualización de las pensiones de medida expropiatoria”. Reiterando lo declarado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cuestionada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 (STC 49/2015, FJ 6).</w:t>
      </w:r>
    </w:p>
    <w:p w:rsidR="0085709A" w:rsidRDefault="0085709A" w:rsidP="0085709A">
      <w:pPr>
        <w:pStyle w:val="TextoNormal"/>
      </w:pPr>
    </w:p>
    <w:p w:rsidR="0085709A" w:rsidRDefault="0085709A" w:rsidP="0085709A">
      <w:pPr>
        <w:pStyle w:val="TextoNormal"/>
      </w:pPr>
      <w:r>
        <w:t>En suma, por las mismas razones expresadas en la STC 49/2015, la presente cuestión de inconstitucionalidad debe ser desestimada.</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presente cuestión de inconstitucionalidad.</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veintidós de junio de dos mil quince.</w:t>
      </w:r>
    </w:p>
    <w:p w:rsidR="0085709A" w:rsidRDefault="0085709A" w:rsidP="0085709A">
      <w:pPr>
        <w:pStyle w:val="ParrafoNormal"/>
      </w:pPr>
    </w:p>
    <w:p w:rsidR="0085709A" w:rsidRDefault="0085709A" w:rsidP="0085709A">
      <w:pPr>
        <w:pStyle w:val="TextoNormalNegritaCentrado"/>
        <w:keepNext/>
      </w:pPr>
      <w:r>
        <w:lastRenderedPageBreak/>
        <w:t>Voto particular que formula el Magistrado don Juan Antonio Xiol Ríos a la Sentencia dictada en la cuestión de inconstitucionalidad núm. 89-2015.</w:t>
      </w:r>
    </w:p>
    <w:p w:rsidR="0085709A" w:rsidRDefault="0085709A" w:rsidP="0085709A">
      <w:pPr>
        <w:pStyle w:val="TextoNormalNegritaCentrado"/>
        <w:keepNext/>
      </w:pPr>
    </w:p>
    <w:p w:rsidR="0085709A" w:rsidRDefault="0085709A" w:rsidP="0085709A">
      <w:pPr>
        <w:pStyle w:val="TextoNormal"/>
      </w:pPr>
      <w:r>
        <w:t>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0085709A" w:rsidRDefault="0085709A" w:rsidP="0085709A">
      <w:pPr>
        <w:pStyle w:val="TextoNormal"/>
      </w:pPr>
    </w:p>
    <w:p w:rsidR="0085709A" w:rsidRDefault="0085709A" w:rsidP="0085709A">
      <w:pPr>
        <w:pStyle w:val="TextoNormal"/>
      </w:pPr>
      <w:r>
        <w:t>Las razones de mi discrepancia son coincidentes con las que ya fueron expuestas en el Voto particular formulado a la STC 49/2015, de 5 de marzo, al que para evitar reiteraciones innecesarias me remito.</w:t>
      </w:r>
    </w:p>
    <w:p w:rsidR="0085709A" w:rsidRDefault="0085709A" w:rsidP="0085709A">
      <w:pPr>
        <w:pStyle w:val="TextoNormal"/>
      </w:pPr>
    </w:p>
    <w:p w:rsidR="0085709A" w:rsidRDefault="0085709A" w:rsidP="0085709A">
      <w:pPr>
        <w:pStyle w:val="TextoNormal"/>
      </w:pPr>
      <w:r>
        <w:t>Madrid, a veintidós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8" w:name="SENTENCIA_2015_145"/>
      <w:r>
        <w:lastRenderedPageBreak/>
        <w:t>SENTENCIA 145/2015, de 25 de junio de 2015</w:t>
      </w:r>
    </w:p>
    <w:bookmarkEnd w:id="148"/>
    <w:p w:rsidR="0085709A" w:rsidRDefault="0085709A" w:rsidP="0085709A">
      <w:pPr>
        <w:pStyle w:val="TtuloResolucin"/>
      </w:pPr>
      <w:r>
        <w:t>Pleno</w:t>
      </w:r>
    </w:p>
    <w:p w:rsidR="0085709A" w:rsidRDefault="0085709A" w:rsidP="0085709A">
      <w:pPr>
        <w:pStyle w:val="TtuloBOE"/>
      </w:pPr>
      <w:r>
        <w:t>(BOE núm. 182, de 31 de julio de 2015)</w:t>
      </w:r>
    </w:p>
    <w:p w:rsidR="0085709A" w:rsidRDefault="0085709A" w:rsidP="0085709A">
      <w:pPr>
        <w:pStyle w:val="TextoNormalCentrado"/>
      </w:pPr>
      <w:r>
        <w:t>ECLI:ES:TC:2015:145</w:t>
      </w:r>
    </w:p>
    <w:p w:rsidR="0085709A" w:rsidRDefault="0085709A" w:rsidP="0085709A">
      <w:pPr>
        <w:pStyle w:val="TextoNormalCentrado"/>
      </w:pPr>
    </w:p>
    <w:p w:rsidR="0085709A" w:rsidRDefault="0085709A" w:rsidP="0085709A">
      <w:pPr>
        <w:pStyle w:val="SntesisDescriptiva"/>
      </w:pPr>
      <w:r>
        <w:t>Recurso de amparo 412-2012. Promovido por don Joaquín Herrera Dávila en relación con las sanciones impuestas a la oficina de farmacia que regenta, por la Junta de Andalucía y confirmadas por un Juzgado de lo Contencioso-Administrativo de Sevilla.</w:t>
      </w:r>
    </w:p>
    <w:p w:rsidR="0085709A" w:rsidRDefault="0085709A" w:rsidP="0085709A">
      <w:pPr>
        <w:pStyle w:val="SntesisDescriptiva"/>
      </w:pPr>
    </w:p>
    <w:p w:rsidR="0085709A" w:rsidRDefault="0085709A" w:rsidP="0085709A">
      <w:pPr>
        <w:pStyle w:val="SntesisAnaltica"/>
      </w:pPr>
      <w:r>
        <w:t>Vulneración del derecho a la objeción de conciencia, vinculado al derecho a la libertad ideológica: sanción impuesta al carecer la oficina de farmacia de existencias de preservativos y del medicamento con el principio activo levonorgestrel. Votos particulares.</w:t>
      </w:r>
    </w:p>
    <w:p w:rsidR="0085709A" w:rsidRDefault="0085709A" w:rsidP="0085709A">
      <w:pPr>
        <w:pStyle w:val="SntesisAnaltica"/>
      </w:pPr>
    </w:p>
    <w:p w:rsidR="0085709A" w:rsidRDefault="0085709A" w:rsidP="0085709A">
      <w:pPr>
        <w:pStyle w:val="Extracto"/>
      </w:pPr>
      <w:r>
        <w:t>1.</w:t>
      </w:r>
      <w:r>
        <w:tab/>
        <w:t>La objeción de conciencia forma parte del contenido del derecho fundamental a la libertad ideológica y religiosa reconocido en la Constitución y es directamente aplicable en materia de derechos fundamentales (STC 53/1985) [FJ 4].</w:t>
      </w:r>
    </w:p>
    <w:p w:rsidR="0085709A" w:rsidRDefault="0085709A" w:rsidP="0085709A">
      <w:pPr>
        <w:pStyle w:val="Extracto"/>
      </w:pPr>
    </w:p>
    <w:p w:rsidR="0085709A" w:rsidRDefault="0085709A" w:rsidP="0085709A">
      <w:pPr>
        <w:pStyle w:val="Extracto"/>
      </w:pPr>
      <w:r>
        <w:t>2.</w:t>
      </w:r>
      <w:r>
        <w:tab/>
        <w:t xml:space="preserve">El reconocimiento de la objeción de conciencia transcendió del ámbito del que es consustancial (el servicio militar obligatorio), dadas las particulares circunstancias; por un lado, la significativa intervención de los médicos en los casos de interrupción voluntaria del embarazo y, por otro, la relevancia constitucional a la protección del </w:t>
      </w:r>
      <w:r w:rsidRPr="0085709A">
        <w:rPr>
          <w:i/>
        </w:rPr>
        <w:t xml:space="preserve">nasciturus </w:t>
      </w:r>
      <w:r>
        <w:t>[FJ 4].</w:t>
      </w:r>
    </w:p>
    <w:p w:rsidR="0085709A" w:rsidRDefault="0085709A" w:rsidP="0085709A">
      <w:pPr>
        <w:pStyle w:val="Extracto"/>
      </w:pPr>
    </w:p>
    <w:p w:rsidR="0085709A" w:rsidRDefault="0085709A" w:rsidP="0085709A">
      <w:pPr>
        <w:pStyle w:val="Extracto"/>
      </w:pPr>
      <w:r>
        <w:t>3.</w:t>
      </w:r>
      <w:r>
        <w:tab/>
        <w:t>La objeción de conciencia, entendida como derivación del derecho fundamental a la libertad ideológica y religiosa, resulta extensible a una persona que se opone a la obligación legal de dispensar el principio activo levonorgestrel 0’750 mg., por sus convicciones sobre el derecho a la vida; y ello por la falta de consenso científico respecto a los posibles efectos abortivos de la denominada “píldora del día después” que genera la existencia de una duda razonable sobre la producción de dichos efectos y, particularmente, genera una eventual colisión con la concepción sobre el derecho a la vida [FJ 5].</w:t>
      </w:r>
    </w:p>
    <w:p w:rsidR="0085709A" w:rsidRDefault="0085709A" w:rsidP="0085709A">
      <w:pPr>
        <w:pStyle w:val="Extracto"/>
      </w:pPr>
    </w:p>
    <w:p w:rsidR="0085709A" w:rsidRDefault="0085709A" w:rsidP="0085709A">
      <w:pPr>
        <w:pStyle w:val="Extracto"/>
      </w:pPr>
      <w:r>
        <w:t>4.</w:t>
      </w:r>
      <w:r>
        <w:tab/>
        <w:t>La imposición de la sanción al farmacéutico renuente a dispensar el principio activo levonorgestrel 0’750 mg, no derivó de su negativa a dispensar el medicamento, sino del incumplimiento del deber de contar con el mínimo de existencias establecido normativamente [FJ 5].</w:t>
      </w:r>
    </w:p>
    <w:p w:rsidR="0085709A" w:rsidRDefault="0085709A" w:rsidP="0085709A">
      <w:pPr>
        <w:pStyle w:val="Extracto"/>
      </w:pPr>
    </w:p>
    <w:p w:rsidR="0085709A" w:rsidRDefault="0085709A" w:rsidP="0085709A">
      <w:pPr>
        <w:pStyle w:val="Extracto"/>
      </w:pPr>
      <w:r>
        <w:t>5.</w:t>
      </w:r>
      <w:r>
        <w:tab/>
        <w:t>De las actuaciones judiciales no se infiere el riesgo de que la dispensación de la "píldora del día después" se viera obstaculizada pues, amén de que la farmacia regentada por el demandante se ubica en el centro urbano de la ciudad de Sevilla, se deduce la disponibilidad de otras oficinas de farmacia relativamente cercanas; y ninguna otra circunstancia permite colegir que el derecho de la mujer a acceder a los medicamentos anticonceptivos autorizados por el ordenamiento jurídico vigente fuera puesto en peligro [FJ 5].</w:t>
      </w:r>
    </w:p>
    <w:p w:rsidR="0085709A" w:rsidRDefault="0085709A" w:rsidP="0085709A">
      <w:pPr>
        <w:pStyle w:val="Extracto"/>
      </w:pPr>
    </w:p>
    <w:p w:rsidR="0085709A" w:rsidRDefault="0085709A" w:rsidP="0085709A">
      <w:pPr>
        <w:pStyle w:val="Extracto"/>
      </w:pPr>
      <w:r>
        <w:t>6.</w:t>
      </w:r>
      <w:r>
        <w:tab/>
        <w:t xml:space="preserve">Aunque la Comunidad Autónoma de Andalucía carece de regulación específica de rango legal sobre el derecho a la objeción de conciencia de los profesionales farmacéuticos, ese derecho está expresamente reconocido en los estatutos del Colegio </w:t>
      </w:r>
      <w:r>
        <w:lastRenderedPageBreak/>
        <w:t>de Farmacéuticos de Sevilla; el recurrente es miembro del Colegio y está inscrito como objetor de conciencia, por lo que actuó bajo la legítima confianza de ejercitar un derecho, cuyo reconocimiento estatutario no fue objetado por la Administración [FJ 5].</w:t>
      </w:r>
    </w:p>
    <w:p w:rsidR="0085709A" w:rsidRDefault="0085709A" w:rsidP="0085709A">
      <w:pPr>
        <w:pStyle w:val="Extracto"/>
      </w:pPr>
    </w:p>
    <w:p w:rsidR="0085709A" w:rsidRDefault="0085709A" w:rsidP="0085709A">
      <w:pPr>
        <w:pStyle w:val="Extracto"/>
      </w:pPr>
      <w:r>
        <w:t>7.</w:t>
      </w:r>
      <w:r>
        <w:tab/>
        <w:t>La falta de existencias del principio activo levonorgestrel 0’750 mg. en la oficina de farmacia regentada por el recurrente queda amparada por el derecho a la libertad ideológica [FJ 6].</w:t>
      </w:r>
    </w:p>
    <w:p w:rsidR="0085709A" w:rsidRDefault="0085709A" w:rsidP="0085709A">
      <w:pPr>
        <w:pStyle w:val="Extracto"/>
      </w:pPr>
    </w:p>
    <w:p w:rsidR="0085709A" w:rsidRDefault="0085709A" w:rsidP="0085709A">
      <w:pPr>
        <w:pStyle w:val="Extracto"/>
      </w:pPr>
      <w:r>
        <w:t>8.</w:t>
      </w:r>
      <w:r>
        <w:tab/>
        <w:t>La renuencia a no disponer de preservativos -y, en consecuencia, no dispensarlos- en la oficina de farmacia que regenta el recurrente no queda amparada por la dimensión constitucional de la objeción de conciencia que dimana de la libertad de creencias reconocida en el art. 16.1 CE [FJ 6].</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avocado núm. 412-2012, promovido por don Joaquín Herrera Dávila, representado por el Procurador de los Tribunales don Juan Ignacio Valverde Cánovas y asistido por el Abogado don José Miguel Castillo Calvín, contra la resolución de 16 de julio de 2010 de la Dirección general de planificación e innovación sanitaria de la Junta de Andalucía, que confirma la sanción de multa impuesta al recurrente por el Delegado Provincial de Salud de Sevilla en el expediente 78/2008, así como frente a la Sentencia del Juzgado de lo Contencioso administrativo núm. 13 de Sevilla de 2 de noviembre de 2011, dictada en el procedimiento abreviado núm. 736-2010 y la providencia del mismo Juzgado de 22 de diciembre de 2011, que inadmite el incidente de nulidad promovido contra la anterior Sentencia. Ha comparecido y formulado alegaciones el Letrado de la Junta de Andalucía. Ha intervenido el Ministerio Fiscal. Ha sido Ponente el Magistrado don Andrés Ollero Tassara,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Mediante escrito registrado en este Tribunal el 25 de enero de 2012, el Procurador de los Tribunales don Juan Ignacio Valverde Cánovas, en nombre y representación de don </w:t>
      </w:r>
      <w:r>
        <w:lastRenderedPageBreak/>
        <w:t>Joaquín Herrera Dávila y bajo la dirección del Abogado don José Miguel Castillo Calvín, interpuso recurso de amparo contra las resoluciones administrativas y judiciales referidas en el encabezamiento.</w:t>
      </w:r>
    </w:p>
    <w:p w:rsidR="0085709A" w:rsidRDefault="0085709A" w:rsidP="0085709A">
      <w:pPr>
        <w:pStyle w:val="TextoNormal"/>
      </w:pPr>
    </w:p>
    <w:p w:rsidR="0085709A" w:rsidRDefault="0085709A" w:rsidP="0085709A">
      <w:pPr>
        <w:pStyle w:val="TextoNormal"/>
      </w:pPr>
      <w:r w:rsidRPr="0085709A">
        <w:rPr>
          <w:rStyle w:val="NumeroAFNegritaCaracter"/>
        </w:rPr>
        <w:t>2</w:t>
      </w:r>
      <w:r>
        <w:t>. Los hechos en que se fundamenta la demanda de amparo son, sucintamente expuestos, los siguientes:</w:t>
      </w:r>
    </w:p>
    <w:p w:rsidR="0085709A" w:rsidRDefault="0085709A" w:rsidP="0085709A">
      <w:pPr>
        <w:pStyle w:val="TextoNormal"/>
      </w:pPr>
    </w:p>
    <w:p w:rsidR="0085709A" w:rsidRDefault="0085709A" w:rsidP="0085709A">
      <w:pPr>
        <w:pStyle w:val="TextoNormal"/>
      </w:pPr>
      <w:r>
        <w:t>a) El demandante es cotitular de una oficina de farmacia en la ciudad de Sevilla y fue sancionado por resolución de 15 de octubre de 2008 del delegado provincial de salud en Sevilla de la Junta de Andalucía como consecuencia de que el establecimiento carecía de existencias de preservativos y del medicamento con el principio activo levonorgestrel 0’750 mg. (coloquialmente conocido como “píldora del día después”). Así resulta del acta de inspección levantada el 4 de febrero de 2008 por la Inspección Provincial de Servicios Sanitarios de la Junta de Andalucía a raíz de la denuncia presentada por un ciudadano. El recurrente manifestó a la Inspección no disponer de existencias de dichos productos y medicamentos por razones de objeción de conciencia, e interesó a efectos probatorios en el expediente sancionador que se oficiase al Colegio Oficial de Farmacéuticos de Sevilla para que certificase su condición de objetor de conciencia, a la vista del registro de farmacéuticos objetores de dicha corporación profesional; diligencia probatoria que el instructor del expediente rechazó por innecesaria, por constarle de manera expresa la condición de objetor de conciencia del recurrente a la píldora postcoital y a los preservativos. Los hechos fueron calificados como infracción grave, tipificada en el art. 75.1 d) de la Ley 22/2007, de 18 de diciembre, de farmacia de Andalucía, en relación con el art. 22.2 d) de la misma Ley y el art. 2 y anexo del Decreto 104/2001, de 30 de abril, por el que se regulan las existencias mínimas de medicamentos y productos sanitarios en las oficinas de farmacia, y sancionados con multa de 3.300 euros.</w:t>
      </w:r>
    </w:p>
    <w:p w:rsidR="0085709A" w:rsidRDefault="0085709A" w:rsidP="0085709A">
      <w:pPr>
        <w:pStyle w:val="TextoNormal"/>
      </w:pPr>
    </w:p>
    <w:p w:rsidR="0085709A" w:rsidRDefault="0085709A" w:rsidP="0085709A">
      <w:pPr>
        <w:pStyle w:val="TextoNormal"/>
      </w:pPr>
      <w:r>
        <w:t>b) Contra la referida resolución interpuso el demandante recurso de alzada, en el que, entre otros extremos, se invocaba el derecho a la objeción de conciencia como justificación para no disponer de existencias de preservativos ni del medicamento con el principio activo levonorgestrel.</w:t>
      </w:r>
    </w:p>
    <w:p w:rsidR="0085709A" w:rsidRDefault="0085709A" w:rsidP="0085709A">
      <w:pPr>
        <w:pStyle w:val="TextoNormal"/>
      </w:pPr>
    </w:p>
    <w:p w:rsidR="0085709A" w:rsidRDefault="0085709A" w:rsidP="0085709A">
      <w:pPr>
        <w:pStyle w:val="TextoNormal"/>
      </w:pPr>
      <w:r>
        <w:t xml:space="preserve">El recurso fue desestimado por resolución de 16 de julio de 2010 de la Dirección General de Planificación e Innovación Sanitaria de la Consejería de Salud de la Junta de Andalucía. La resolución considera que el farmacéutico titular de una oficina de farmacia no puede incumplir su obligación legal de contar en su establecimiento con los referidos productos y medicamentos invocando la objeción de conciencia. En apoyo de esta decisión aduce la Sentencia de 23 de noviembre de 2009 de la Sala de lo Contencioso-Administrativo del Tribunal Superior de Justicia de Andalucía, que cita a su vez la resolución del Tribunal Europeo de Derechos Humanos de 2 de octubre de 2001, caso </w:t>
      </w:r>
      <w:r w:rsidRPr="0085709A">
        <w:rPr>
          <w:i/>
        </w:rPr>
        <w:t>Pichon y Sajous c. Francia</w:t>
      </w:r>
      <w:r>
        <w:t>, que rechazó la demanda formulada por dos farmacéuticos franceses que se negaban a suministrar productos contraceptivos compuestos de estrógenos. Entendió el Tribunal Europeo de Derechos Humanos que la objeción de conciencia no tiene cabida en el art. 9 del Convenio europeo para la protección de los derechos humanos y de las libertades fundamentales (CEDH), relativo a la libertad religiosa, invocado por los demandantes, pues las convicciones personales no pueden constituir para los farmacéuticos a los que está reservada la venta de medicamentos, un motivo para denegar la dispensación de un producto al consumidor.</w:t>
      </w:r>
    </w:p>
    <w:p w:rsidR="0085709A" w:rsidRDefault="0085709A" w:rsidP="0085709A">
      <w:pPr>
        <w:pStyle w:val="TextoNormal"/>
      </w:pPr>
    </w:p>
    <w:p w:rsidR="0085709A" w:rsidRDefault="0085709A" w:rsidP="0085709A">
      <w:pPr>
        <w:pStyle w:val="TextoNormal"/>
      </w:pPr>
      <w:r>
        <w:lastRenderedPageBreak/>
        <w:t>c) Contra la anterior resolución interpuso el demandante recurso contencioso-administrativo, en el que alegaba que su actuación se encuentra amparada por la objeción de conciencia, que forma parte del contenido esencial del derecho fundamental a la libertad ideológica (art. 16 CE), toda vez que de los medicamentos con el principio activo levonorgestrel 0’750 mg derivan, entre otros, efectos abortivos. Y en cuanto a los preservativos sostuvo además que su decisión de no dispensarlos por razones de conciencia no causa perjuicio alguno, al estar garantizada la distribución de este producto por el gran número de establecimientos que los dispensan. Subsidiariamente, alegaba la errónea calificación de la infracción y la falta de proporcionalidad de la sanción impuesta. Por todo ello solicitaba que se declarase nula la sanción impuesta o, en el segundo supuesto, que los hechos se calificasen como infracción leve en aplicación de los arts. 74 d) y 77 de la Ley 22/2007, de 18 de diciembre, de farmacia de Andalucía.</w:t>
      </w:r>
    </w:p>
    <w:p w:rsidR="0085709A" w:rsidRDefault="0085709A" w:rsidP="0085709A">
      <w:pPr>
        <w:pStyle w:val="TextoNormal"/>
      </w:pPr>
    </w:p>
    <w:p w:rsidR="0085709A" w:rsidRDefault="0085709A" w:rsidP="0085709A">
      <w:pPr>
        <w:pStyle w:val="TextoNormal"/>
      </w:pPr>
      <w:r>
        <w:t xml:space="preserve">d) El recurso contencioso-administrativo del demandante fue desestimado por Sentencia de 2 de noviembre de 2011 del Juzgado de lo Contencioso-Administrativo núm. 13 de Sevilla, por entender que la resolución sancionadora era ajustada a Derecho. Niega el Juzgado que la STC 53/1985, de 11 de abril, y la Sentencia de la Sala de lo Contencioso-Administrativo del Tribunal Supremo de 23 de abril de 2005, que cita el recurrente en apoyo de su pretensión, sean fundamento legal para objetar. Entiende que la cuestión está resuelta por la Orden de la Consejería de Salud de la Junta de Andalucía de 1 de junio de 2001, que actualiza el contenido del anexo del Decreto 104/2001, de 30 de abril, por el que se regulan las existencias mínimas de medicamentos y productos sanitarios en las oficinas de farmacia, así como por la Sentencia de 23 de noviembre de 2009 de la Sala de lo Contencioso-Administrativo del Tribunal Superior de Justicia de Andalucía, que cita a su vez la resolución del Tribunal Europeo de Derechos Humanos de 2 de octubre de 2001, caso </w:t>
      </w:r>
      <w:r w:rsidRPr="0085709A">
        <w:rPr>
          <w:i/>
        </w:rPr>
        <w:t>Pichon y Sajous c. Francia</w:t>
      </w:r>
      <w:r>
        <w:t>, transcritas en la resolución administrativa que resuelve el recurso de alzada. De ella resulta que el deber que tienen los farmacéuticos de dispensar determinados medicamentos “no está reñido con el ejercicio de los derechos de libertad de conciencia, pensamiento, religión o convicción regulado en el art. 9 de la Convención Europea de los derechos y libertades del hombre”.</w:t>
      </w:r>
    </w:p>
    <w:p w:rsidR="0085709A" w:rsidRDefault="0085709A" w:rsidP="0085709A">
      <w:pPr>
        <w:pStyle w:val="TextoNormal"/>
      </w:pPr>
    </w:p>
    <w:p w:rsidR="0085709A" w:rsidRDefault="0085709A" w:rsidP="0085709A">
      <w:pPr>
        <w:pStyle w:val="TextoNormal"/>
      </w:pPr>
      <w:r>
        <w:t xml:space="preserve">e) El demandante promovió contra la Sentencia incidente de nulidad </w:t>
      </w:r>
      <w:r w:rsidRPr="0085709A">
        <w:rPr>
          <w:i/>
        </w:rPr>
        <w:t>ex</w:t>
      </w:r>
      <w:r>
        <w:t xml:space="preserve"> art. 241.1 de la Ley Orgánica del Poder Judicial (LOPJ), en el que invocaba las mismas quejas que ahora aduce en su demanda de amparo: la lesión del derecho a la objeción de conciencia como manifestación de la libertad ideológica y religiosa (art. 16.1 CE), así como la vulneración del derecho a la tutela judicial efectiva (art. 24.1 CE), por incongruencia omisiva y motivación arbitraria e irrazonable.</w:t>
      </w:r>
    </w:p>
    <w:p w:rsidR="0085709A" w:rsidRDefault="0085709A" w:rsidP="0085709A">
      <w:pPr>
        <w:pStyle w:val="TextoNormal"/>
      </w:pPr>
    </w:p>
    <w:p w:rsidR="0085709A" w:rsidRDefault="0085709A" w:rsidP="0085709A">
      <w:pPr>
        <w:pStyle w:val="TextoNormal"/>
      </w:pPr>
      <w:r>
        <w:t>El incidente de nulidad fue inadmitido a trámite por providencia de 22 de diciembre de 2011, por entender el Juzgado que la Sentencia ha desestimado la pretensión deducida por el demandante resolviendo expresamente y de modo comprensible y congruente cuantas cuestiones se han planteado.</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El demandante de amparo sostiene, en primer lugar, que las resoluciones impugnadas han vulnerado su derecho a la objeción de conciencia, como manifestación de la libertad ideológica reconocida en el art. 16.1 CE, al haber sido sancionado por actuar en el ejercicio de su profesión de farmacéutico siguiendo sus convicciones éticas. Estas son contrarias a la </w:t>
      </w:r>
      <w:r>
        <w:lastRenderedPageBreak/>
        <w:t>dispensación de los medicamentos con el principio activo levonorgestrel 0’750 mg. (la denominada “píldora del día después”), debido a sus posibles efectos abortivos. Invoca en apoyo de su planteamiento las SSTC 15/1982, de 23 de abril, y 53/1985, de 11 de abril, así como la Sentencia de la Sala de lo Contencioso-Administrativo del Tribunal Supremo de 23 de abril de 2005, doctrina de la que resulta que el contenido constitucional de la objeción de conciencia forma parte de la libertad ideológica (art. 16.1 CE), sin necesidad de regulación legal específica.</w:t>
      </w:r>
    </w:p>
    <w:p w:rsidR="0085709A" w:rsidRDefault="0085709A" w:rsidP="0085709A">
      <w:pPr>
        <w:pStyle w:val="TextoNormal"/>
      </w:pPr>
    </w:p>
    <w:p w:rsidR="0085709A" w:rsidRDefault="0085709A" w:rsidP="0085709A">
      <w:pPr>
        <w:pStyle w:val="TextoNormal"/>
      </w:pPr>
      <w:r>
        <w:t>Se añade en la demanda que el derecho a la objeción de conciencia está expresamente reconocido en el art. 8.5 de los estatutos del Colegio de Farmacéuticos de Sevilla, así como en los arts. 28 y 33 del Código de etica farmacéutica y deontología de la profesión farmacéutica. De acuerdo con todo ello sostiene el recurrente que el derecho a la objeción de conciencia de los farmacéuticos, ante la eventualidad de venir obligados por la normativa vigente a dispensar productos con posibles efectos abortivos, no resulta ajena al ejercicio de su actividad profesional. Ante esta obligación legal de dispensación el recurrente, que afirma profesar un profundo respeto a la vida y que no ignora el efecto antianidatorio de la “píldora del día después”, se sitúa en una difícil posición, al presentársele un grave conflicto: o bien actuar fuera de la legalidad (sobre existencias mínimas en farmacias) al hacer uso de su derecho a la objeción de conciencia, asumiendo el riesgo de ser sancionado por ello, o bien actuar en contra de su conciencia, traicionando sus más arraigadas creencias, al dispensar en razón de su profesión unos productos que considera inmorales; en ambos casos —concluye el recurrente— tendría que afrontar el dilema de no poder ejercer adecuadamente su profesión, que se corresponde con sus estudios universitarios y que constituye su medio de vida.</w:t>
      </w:r>
    </w:p>
    <w:p w:rsidR="0085709A" w:rsidRDefault="0085709A" w:rsidP="0085709A">
      <w:pPr>
        <w:pStyle w:val="TextoNormal"/>
      </w:pPr>
    </w:p>
    <w:p w:rsidR="0085709A" w:rsidRDefault="0085709A" w:rsidP="0085709A">
      <w:pPr>
        <w:pStyle w:val="TextoNormal"/>
      </w:pPr>
      <w:r>
        <w:t xml:space="preserve">En segundo lugar, considera el demandante que la Sentencia impugnada en amparo ha vulnerado su derecho a la tutela judicial efectiva (art. 24.1 CE), por incurrir en incongruencia omisiva y adolecer de motivación arbitraria e irrazonable. Según el demandante, la remisión de la Sentencia, como </w:t>
      </w:r>
      <w:r w:rsidRPr="0085709A">
        <w:rPr>
          <w:i/>
        </w:rPr>
        <w:t>ratio decidendi</w:t>
      </w:r>
      <w:r>
        <w:t xml:space="preserve">, a la resolución del Tribunal Europeo de Derechos Humanos de 2 de octubre de 2001, caso </w:t>
      </w:r>
      <w:r w:rsidRPr="0085709A">
        <w:rPr>
          <w:i/>
        </w:rPr>
        <w:t>Pichon y Sajous c. Francia</w:t>
      </w:r>
      <w:r>
        <w:t>, supone no dar respuesta a la cuestión planteada, pues aquella resolución se refiere a productos anticonceptivos, mientras que en el presente caso se trata de medicamentos con efectos abortivos. Además, la Sentencia impugnada afirma apodícticamente que la resolución administrativa que se recurre es ajustada a derecho, lo que la convierte en una resolución judicial carente del más mínimo fundamento exigible, y por ello en arbitraria e irrazonable.</w:t>
      </w:r>
    </w:p>
    <w:p w:rsidR="0085709A" w:rsidRDefault="0085709A" w:rsidP="0085709A">
      <w:pPr>
        <w:pStyle w:val="TextoNormal"/>
      </w:pPr>
    </w:p>
    <w:p w:rsidR="0085709A" w:rsidRDefault="0085709A" w:rsidP="0085709A">
      <w:pPr>
        <w:pStyle w:val="TextoNormal"/>
      </w:pPr>
      <w:r w:rsidRPr="0085709A">
        <w:rPr>
          <w:rStyle w:val="NumeroAFNegritaCaracter"/>
        </w:rPr>
        <w:t>4</w:t>
      </w:r>
      <w:r>
        <w:t>. Tras requerir al Juzgado de lo Contencioso-Administrativo núm. 13 de Sevilla la remisión a este Tribunal de las actuaciones del procedimiento abreviado núm. 736-2010, mediante providencia de 9 de septiembre de 2013 la Sala Primera de este Tribunal acordó la admisión a trámite de la demanda de amparo y, a tenor de lo dispuesto en el art. 51 de la Ley Orgánica del Tribunal Constitucional (LOTC), requerir atentamente al Juzgado de lo Contencioso-Administrativo núm. 13 de Sevilla, a fin de que se emplace a quienes hubieran sido parte en el referido procedimiento —excepto al recurrente— para que en el plazo de diez días puedan comparecer en el recurso de amparo.</w:t>
      </w:r>
    </w:p>
    <w:p w:rsidR="0085709A" w:rsidRDefault="0085709A" w:rsidP="0085709A">
      <w:pPr>
        <w:pStyle w:val="TextoNormal"/>
      </w:pPr>
    </w:p>
    <w:p w:rsidR="0085709A" w:rsidRDefault="0085709A" w:rsidP="0085709A">
      <w:pPr>
        <w:pStyle w:val="TextoNormal"/>
      </w:pPr>
      <w:r w:rsidRPr="0085709A">
        <w:rPr>
          <w:rStyle w:val="NumeroAFNegritaCaracter"/>
        </w:rPr>
        <w:t>5</w:t>
      </w:r>
      <w:r>
        <w:t>. Por escrito registrado en este Tribunal con fecha 7 de octubre de 2013 el Letrado de la Junta de Andalucía se personó en el recurso de amparo.</w:t>
      </w:r>
    </w:p>
    <w:p w:rsidR="0085709A" w:rsidRDefault="0085709A" w:rsidP="0085709A">
      <w:pPr>
        <w:pStyle w:val="TextoNormal"/>
      </w:pPr>
    </w:p>
    <w:p w:rsidR="0085709A" w:rsidRDefault="0085709A" w:rsidP="0085709A">
      <w:pPr>
        <w:pStyle w:val="TextoNormal"/>
      </w:pPr>
      <w:r w:rsidRPr="0085709A">
        <w:rPr>
          <w:rStyle w:val="NumeroAFNegritaCaracter"/>
        </w:rPr>
        <w:lastRenderedPageBreak/>
        <w:t>6</w:t>
      </w:r>
      <w:r>
        <w:t>. Mediante diligencia de ordenación del Secretario de Justicia de la Sala Primera de 21 de octubre de 2013 se tuvo por personado al Letrado de la Junta de Andalucía y se procedió, conforme al art. 52.1 LOTC, a dar vista de las actuaciones por plazo común de veinte días al Ministerio Fiscal, al Letrado de la Junta de Andalucía y a la representación procesal del recurrente para presentar las alegaciones que estimasen pertinentes.</w:t>
      </w:r>
    </w:p>
    <w:p w:rsidR="0085709A" w:rsidRDefault="0085709A" w:rsidP="0085709A">
      <w:pPr>
        <w:pStyle w:val="TextoNormal"/>
      </w:pPr>
    </w:p>
    <w:p w:rsidR="0085709A" w:rsidRDefault="0085709A" w:rsidP="0085709A">
      <w:pPr>
        <w:pStyle w:val="TextoNormal"/>
      </w:pPr>
      <w:r w:rsidRPr="0085709A">
        <w:rPr>
          <w:rStyle w:val="NumeroAFNegritaCaracter"/>
        </w:rPr>
        <w:t>7</w:t>
      </w:r>
      <w:r>
        <w:t>. El Letrado de la Junta de Andalucía presentó su escrito de alegaciones en este Tribunal el 25 de noviembre de 2013, interesando con carácter principal la inadmisión del amparo y subsidiariamente su desestimación.</w:t>
      </w:r>
    </w:p>
    <w:p w:rsidR="0085709A" w:rsidRDefault="0085709A" w:rsidP="0085709A">
      <w:pPr>
        <w:pStyle w:val="TextoNormal"/>
      </w:pPr>
    </w:p>
    <w:p w:rsidR="0085709A" w:rsidRDefault="0085709A" w:rsidP="0085709A">
      <w:pPr>
        <w:pStyle w:val="TextoNormal"/>
      </w:pPr>
      <w:r>
        <w:t xml:space="preserve">Solicita el Letrado de la Junta de Andalucía, en primer lugar, que se inadmita el recurso de amparo, por incumplimiento de la carga de justificar la especial trascendencia constitucional [arts. 49.1 </w:t>
      </w:r>
      <w:r w:rsidRPr="0085709A">
        <w:rPr>
          <w:i/>
        </w:rPr>
        <w:t>in fine</w:t>
      </w:r>
      <w:r>
        <w:t xml:space="preserve"> y 50.1 a) LOTC] y por carecer en cualquier caso el asunto planteado de especial trascendencia constitucional [art. 50.1 b) LOTC], al haberse pronunciado ya el Tribunal Constitucional sobre la cuestión planteada por el recurrente.</w:t>
      </w:r>
    </w:p>
    <w:p w:rsidR="0085709A" w:rsidRDefault="0085709A" w:rsidP="0085709A">
      <w:pPr>
        <w:pStyle w:val="TextoNormal"/>
      </w:pPr>
    </w:p>
    <w:p w:rsidR="0085709A" w:rsidRDefault="0085709A" w:rsidP="0085709A">
      <w:pPr>
        <w:pStyle w:val="TextoNormal"/>
      </w:pPr>
      <w:r>
        <w:t>A juicio del Letrado de la Junta de Andalucía, la cuestión planteada en la demanda amparo, referida a la pretendida objeción de conciencia farmacéutica, ante el deber de disponer de medicamentos con el principio activo levonorgestrel, conocidos como “píldora del día después”, con fundamento en la libertad ideológica y la libertad religiosa, carece de relevancia constitucional. De la doctrina constitucional se desprendería (SSTC 15/1982, FJ 6; 160/1987, FJ 3; 161/1987, FJ 3; 321/1994, FJ 4, y 55/1996, FJ 5, y ATC 135/2000, FJ 2) que la objeción de conciencia no se identifica con la libertad ideológica ni la libertad religiosa y que el derecho a la libertad ideológica reconocido en el art. 16 CE no resulta por sí solo suficiente para eximir a los ciudadanos por motivos de conciencia del cumplimiento de deberes legalmente establecidos. En el mismo sentido se pronuncian el Tribunal Supremo (Sentencia de la Sala de lo Contencioso-Administrativo de 11 de mayo de 2009) y el Tribunal Europeo de Derechos Humanos, que en su Decisión de 2 de octubre de 2001 rechazó la demanda formulada por dos farmacéuticos franceses que se negaban a suministrar productos contraceptivos compuestos de estrógenos, al entender el Tribunal Europeo de Derechos Humanos que el farmacéutico no puede imponer a otro sus convicciones religiosas para denegar la dispensación de un producto o medicamento.</w:t>
      </w:r>
    </w:p>
    <w:p w:rsidR="0085709A" w:rsidRDefault="0085709A" w:rsidP="0085709A">
      <w:pPr>
        <w:pStyle w:val="TextoNormal"/>
      </w:pPr>
    </w:p>
    <w:p w:rsidR="0085709A" w:rsidRDefault="0085709A" w:rsidP="0085709A">
      <w:pPr>
        <w:pStyle w:val="TextoNormal"/>
      </w:pPr>
      <w:r>
        <w:t>En segundo lugar, el Letrado de la Junta de Andalucía interesa que se inadmita el recurso de amparo por inexistencia de vulneración de un derecho fundamental [arts. 41.2 y 50.1 a) LOTC]. La resolución recurrida no ha producido la lesión de derechos alegada por el demandante, pues la objeción de conciencia esgrimida se basaría en una mera especulación, por lo que la queja deducida en amparo se deduce contra una lesión hipotética.</w:t>
      </w:r>
    </w:p>
    <w:p w:rsidR="0085709A" w:rsidRDefault="0085709A" w:rsidP="0085709A">
      <w:pPr>
        <w:pStyle w:val="TextoNormal"/>
      </w:pPr>
    </w:p>
    <w:p w:rsidR="0085709A" w:rsidRDefault="0085709A" w:rsidP="0085709A">
      <w:pPr>
        <w:pStyle w:val="TextoNormal"/>
      </w:pPr>
      <w:r>
        <w:t xml:space="preserve">Rechaza asimismo el Letrado de la Junta de Andalucía que la Sentencia impugnada carezca de motivación, pues ha llevado a cabo una adecuada ponderación de los intereses en juego, haciendo suyos los razonamientos de la resolución del Tribunal Europeo de Derechos Humanos de 2 de octubre de 2001, caso </w:t>
      </w:r>
      <w:r w:rsidRPr="0085709A">
        <w:rPr>
          <w:i/>
        </w:rPr>
        <w:t>Pichon y Sajous c. Francia</w:t>
      </w:r>
      <w:r>
        <w:t>.</w:t>
      </w:r>
    </w:p>
    <w:p w:rsidR="0085709A" w:rsidRDefault="0085709A" w:rsidP="0085709A">
      <w:pPr>
        <w:pStyle w:val="TextoNormal"/>
      </w:pPr>
    </w:p>
    <w:p w:rsidR="0085709A" w:rsidRDefault="0085709A" w:rsidP="0085709A">
      <w:pPr>
        <w:pStyle w:val="TextoNormal"/>
      </w:pPr>
      <w:r>
        <w:t xml:space="preserve">Lo que pretende el demandante de amparo —continúa el Letrado— es el reconocimiento de la objeción de conciencia a los farmacéuticos, pretensión que no podría ser atendida, porque la objeción de conciencia se configura como un derecho constitucional autónomo, pero no fundamental, que exige el reconocimiento del legislador para su ejercicio legítimo </w:t>
      </w:r>
      <w:r>
        <w:lastRenderedPageBreak/>
        <w:t>(</w:t>
      </w:r>
      <w:r w:rsidRPr="0085709A">
        <w:rPr>
          <w:i/>
        </w:rPr>
        <w:t>interpositio legislatoris</w:t>
      </w:r>
      <w:r>
        <w:t>), como sucede en el art. 19.2 de la Ley Orgánica 2/2010, que reconoce la objeción de conciencia a los profesionales sanitarios que intervienen directamente en la interrupción del embarazo; sin que quepa una interpretación extensiva a favor del farmacéutico en la dispensación de la píldora postcoital. Tampoco es suficiente la eventual inclusión de la objeción de conciencia del farmacéutico en los estatutos de los Colegios profesionales o en los códigos deontológicos de la profesión, pues el reconocimiento del derecho a la objeción de conciencia exige la intervención del legislador, como expresión de la voluntad del interés general.</w:t>
      </w:r>
    </w:p>
    <w:p w:rsidR="0085709A" w:rsidRDefault="0085709A" w:rsidP="0085709A">
      <w:pPr>
        <w:pStyle w:val="TextoNormal"/>
      </w:pPr>
    </w:p>
    <w:p w:rsidR="0085709A" w:rsidRDefault="0085709A" w:rsidP="0085709A">
      <w:pPr>
        <w:pStyle w:val="TextoNormal"/>
      </w:pPr>
      <w:r>
        <w:t>La legislación vigente en materia farmacéutica no permite a los farmacéuticos negarse a dispensar ningún tipo de medicamento (incluidos los medicamentos con el principio activo levonorgestrel), salvo causa justificada, que no concurre, a juicio del Letrado de la Junta de Andalucía, en el caso de la “píldora del día siguiente”. Estos fármacos para la anticoncepción de emergencia suponen la prevención del embarazo después de una relación sexual de riesgo, sin que exista consenso científico sobre el pretendido efecto abortivo de los medicamentos con el principio activo levonorgestrel. El fármaco ejerce sus efectos antes de la unión de los gametos (fecundación) al impedir la motilidad de los espermatozoides por la alteración de la viscosidad de la mucosidad uterina. Sólo si la ingesta de la píldora se produce una vez que ha tenido lugar la fecundación la acción del fármaco puede provocar un efecto antianidatorio del zigoto en el útero, pero tampoco en este supuesto cabría hablar de efectos abortivos, pues el óvulo no ha sido todavía implantado: se trata de un pre-embrión, que no goza del derecho a la vida en nuestro ordenamiento jurídico.</w:t>
      </w:r>
    </w:p>
    <w:p w:rsidR="0085709A" w:rsidRDefault="0085709A" w:rsidP="0085709A">
      <w:pPr>
        <w:pStyle w:val="TextoNormal"/>
      </w:pPr>
    </w:p>
    <w:p w:rsidR="0085709A" w:rsidRDefault="0085709A" w:rsidP="0085709A">
      <w:pPr>
        <w:pStyle w:val="TextoNormal"/>
      </w:pPr>
      <w:r>
        <w:t xml:space="preserve">En tal sentido, razona el Letrado de la Junta de Andalucía que, de acuerdo con la doctrina constitucional, cabe distinguir, en función de su protección, tres estadios jurídicos diversos de la vida embrionaria: a) el de los nacidos, titulares del derecho a la vida (art. 15 CE); el de los </w:t>
      </w:r>
      <w:r w:rsidRPr="0085709A">
        <w:rPr>
          <w:i/>
        </w:rPr>
        <w:t>nascituri</w:t>
      </w:r>
      <w:r>
        <w:t xml:space="preserve"> —es decir, los embriones postimplantados— , carentes de la titularidad de ese derecho (STC 53/1985), pero no desprotegidos jurídicamente (STC 212/1996, FJ 13); y el de los pre-embriones o embriones preimplantatorios, que no constituyen un bien jurídico protegido mientras no se implanten en el útero (STC 116/1999, FJ 9).</w:t>
      </w:r>
    </w:p>
    <w:p w:rsidR="0085709A" w:rsidRDefault="0085709A" w:rsidP="0085709A">
      <w:pPr>
        <w:pStyle w:val="TextoNormal"/>
      </w:pPr>
    </w:p>
    <w:p w:rsidR="0085709A" w:rsidRDefault="0085709A" w:rsidP="0085709A">
      <w:pPr>
        <w:pStyle w:val="TextoNormal"/>
      </w:pPr>
      <w:r>
        <w:t>Concluye argumentando el Letrado de la Junta de Andalucía que el derecho a la salud sexual y reproductiva de la mujer, que es manifestación del derecho a la integridad física y psíquica garantizado por el art. 15 CE, en conexión con el derecho a la salud (art. 43 CE), determina el derecho de la mujer a las prestaciones sanitarias y farmacéuticas establecidas por el ordenamiento jurídico vigente. Tal derecho incluye el acceso a la prestación sanitaria de la interrupción voluntaria del embarazo en los supuestos legalmente previstos, así como a los medicamentos anticonceptivos autorizados en España. Si una mujer necesita obtener el medicamento con el principio activo levonorgestrel, prima su derecho a acceder a las prestaciones del sistema nacional de salud sobre la objeción de conciencia del farmacéutico a dispensar dicho medicamento.</w:t>
      </w:r>
    </w:p>
    <w:p w:rsidR="0085709A" w:rsidRDefault="0085709A" w:rsidP="0085709A">
      <w:pPr>
        <w:pStyle w:val="TextoNormal"/>
      </w:pPr>
    </w:p>
    <w:p w:rsidR="0085709A" w:rsidRDefault="0085709A" w:rsidP="0085709A">
      <w:pPr>
        <w:pStyle w:val="TextoNormal"/>
      </w:pPr>
      <w:r w:rsidRPr="0085709A">
        <w:rPr>
          <w:rStyle w:val="NumeroAFNegritaCaracter"/>
        </w:rPr>
        <w:t>8</w:t>
      </w:r>
      <w:r>
        <w:t>. El Ministerio Fiscal presentó en este Tribunal su escrito de alegaciones el 4 de diciembre de 2013, interesando con carácter principal la inadmisión del amparo por extemporáneo y subsidiariamente la desestimación.</w:t>
      </w:r>
    </w:p>
    <w:p w:rsidR="0085709A" w:rsidRDefault="0085709A" w:rsidP="0085709A">
      <w:pPr>
        <w:pStyle w:val="TextoNormal"/>
      </w:pPr>
    </w:p>
    <w:p w:rsidR="0085709A" w:rsidRDefault="0085709A" w:rsidP="0085709A">
      <w:pPr>
        <w:pStyle w:val="TextoNormal"/>
      </w:pPr>
      <w:r>
        <w:lastRenderedPageBreak/>
        <w:t>Solicita el Fiscal que se declare la inadmisión del amparo en virtud de los arts. 43.2 y 50.1 a) LOTC, pues entiende que el demandante prolongó indebidamente el plazo de caducidad del recurso de amparo mediante la interposición de un incidente de nulidad de actuaciones manifiestamente improcedente contra la Sentencia del Juzgado de lo Contencioso-Administrativo núm. 13 de Sevilla de 2 de noviembre de 2011. En efecto, aunque considera que estamos ante un recurso de amparo de naturaleza mixta, el Fiscal sostiene que la pretendida vulneración del derecho a la tutela judicial efectiva (art. 24.1 CE) que se imputa a la Sentencia del Juzgado de lo Contencioso-Administrativo núm. 13 de Sevilla es una queja formal, carente de sustantividad propia. Realmente el núcleo de la argumentación del recurrente descansaría sobre la alegación de que la resolución sancionadora de la Junta de Andalucía lesionó su derecho a la objeción de conciencia como manifestación del derecho fundamental a la libertad ideológica reconocido en el art. 16.1 CE; queja esta sobre la que expresa y motivadamente resolvió la Sentencia. Por ello, el incidente de nulidad promovido contra la misma era manifiestamente improcedente a tenor de lo previsto con el art. 241.1 LOPJ, por lo que fue inadmitido mediante la providencia de 22 de diciembre de 2011; ello determina la extemporaneidad del recurso del amparo.</w:t>
      </w:r>
    </w:p>
    <w:p w:rsidR="0085709A" w:rsidRDefault="0085709A" w:rsidP="0085709A">
      <w:pPr>
        <w:pStyle w:val="TextoNormal"/>
      </w:pPr>
    </w:p>
    <w:p w:rsidR="0085709A" w:rsidRDefault="0085709A" w:rsidP="0085709A">
      <w:pPr>
        <w:pStyle w:val="TextoNormal"/>
      </w:pPr>
      <w:r>
        <w:t>Para el caso de que este Tribunal no apreciase que el recurso de amparo es extemporáneo, el Fiscal pasa a examinar las quejas formuladas por el recurrente, comenzando por la lesión del derecho a la libertad ideológica (art. 16.1 CE) que se imputa a la Administración pública; su estimación haría innecesario pronunciarse sobre la pretendida vulneración del derecho a la tutela judicial efectiva (art. 24.1 CE), que se imputa a la Sentencia que desestimó el recurso contencioso-administrativo interpuesto contra la resolución sancionadora (por todas, STC 5/2008, de 21 de enero).</w:t>
      </w:r>
    </w:p>
    <w:p w:rsidR="0085709A" w:rsidRDefault="0085709A" w:rsidP="0085709A">
      <w:pPr>
        <w:pStyle w:val="TextoNormal"/>
      </w:pPr>
    </w:p>
    <w:p w:rsidR="0085709A" w:rsidRDefault="0085709A" w:rsidP="0085709A">
      <w:pPr>
        <w:pStyle w:val="TextoNormal"/>
      </w:pPr>
      <w:r>
        <w:t>Expone el contenido de la normativa estatal y autonómica que, a juicio del Fiscal, resulta aplicable al caso, en cuanto reguladora de la obligación de los farmacéuticos de dispensar en las oficinas de farmacia los medicamentos y productos sanitarios de existencia mínima obligatoria, entre los que se encuentran los medicamentos con el principio activo levonorgestrel (conocido como “píldora del día siguiente”), así como los preservativos. Señala que el derecho a la objeción de conciencia, alegado como causa justificativa para no cumplir la obligación legal de disponer y dispensar a los usuarios los referidos medicamentos y productos sanitarios, exige distinguir un doble plano en la argumentación del recurrente.</w:t>
      </w:r>
    </w:p>
    <w:p w:rsidR="0085709A" w:rsidRDefault="0085709A" w:rsidP="0085709A">
      <w:pPr>
        <w:pStyle w:val="TextoNormal"/>
      </w:pPr>
    </w:p>
    <w:p w:rsidR="0085709A" w:rsidRDefault="0085709A" w:rsidP="0085709A">
      <w:pPr>
        <w:pStyle w:val="TextoNormal"/>
      </w:pPr>
      <w:r>
        <w:t xml:space="preserve">Por lo que se refiere al ejercicio del derecho a la objeción de conciencia respecto de la dispensación de preservativos, el Fiscal señala que en la demanda de amparo no se contiene ningún argumento que sustente las razones ético-morales que conforman la propia convicción del recurrente en relación con dicho producto sanitario; en la demanda de amparo el alegato de la lesión del derecho a la objeción de conciencia se centra exclusivamente en los efectos del medicamento con el principio activo levonorgestrel. Ello sería suficiente para descartar la existencia de lesión de tal derecho en relación con la sanción impuesta al recurrente por negarse a dispensar preservativos en su farmacia. Sin perjuicio de ello —continúa el Fiscal— si se atiende a las razones esgrimidas por el recurrente en la vía administrativa y judicial, resulta que se limita a argumentar la disponibilidad de dichos productos sanitarios en otros establecimientos distintos de las oficinas de farmacia y que no se trata de medicamentos de urgencia. Ahora bien, no es posible reconocer el ejercicio de la objeción de conciencia para legitimar el incumplimiento de la obligación de disponer y dispensar preservativos en las farmacias, pues son productos sanitarios anticonceptivos y que previenen las </w:t>
      </w:r>
      <w:r>
        <w:lastRenderedPageBreak/>
        <w:t>enfermedades de trasmisión sexual; los restantes establecimientos en los que se pueden vender estos productos no tienen la obligación legal de disponer de los mismos, ni su venta en dichos lugares ofrece las garantías al consumidor que son inherentes a las oficinas de farmacia.</w:t>
      </w:r>
    </w:p>
    <w:p w:rsidR="0085709A" w:rsidRDefault="0085709A" w:rsidP="0085709A">
      <w:pPr>
        <w:pStyle w:val="TextoNormal"/>
      </w:pPr>
    </w:p>
    <w:p w:rsidR="0085709A" w:rsidRDefault="0085709A" w:rsidP="0085709A">
      <w:pPr>
        <w:pStyle w:val="TextoNormal"/>
      </w:pPr>
      <w:r>
        <w:t>Señala seguidamente el Fiscal, que la argumentación principal del recurrente, en la que se funda su demanda de amparo, se refiere al ejercicio del derecho a la objeción de conciencia respecto de la dispensación del medicamento con el principio activo levonorgestrel. Se alega que este medicamento produce el efecto de inhibir la fecundación del óvulo y, si la fecundación se ha producido ya, el efecto de obstaculizar la anidación del embrión en el útero. Por ello el recurrente considera a este medicamento como un abortivo incipiente y que elimina la vida humana al impedir la anidación del embrión, vulnerando el derecho a la vida que consagra el art. 15 CE. En consecuencia, el recurrente considera que la obligación legal de disponer de existencias y dispensar este medicamento en su oficina de farmacia resulta incompatible con sus convicciones éticas de respeto a la vida. Por ello sostiene que su negativa a disponer y dispensar el medicamento con el principio activo levonorgestrel se encuentra amparada por la objeción de conciencia, que forma parte del contenido esencial del derecho fundamental a la libertad ideológica (art. 16 CE).</w:t>
      </w:r>
    </w:p>
    <w:p w:rsidR="0085709A" w:rsidRDefault="0085709A" w:rsidP="0085709A">
      <w:pPr>
        <w:pStyle w:val="TextoNormal"/>
      </w:pPr>
    </w:p>
    <w:p w:rsidR="0085709A" w:rsidRDefault="0085709A" w:rsidP="0085709A">
      <w:pPr>
        <w:pStyle w:val="TextoNormal"/>
      </w:pPr>
      <w:r>
        <w:t>El Fiscal se opone a la argumentación del recurrente. Afirma que la Constitución sólo contempla expresamente el derecho a la objeción de conciencia en relación con la prestación del servicio militar (art. 30.2 CE); a lo que cabe añadir la cláusula de conciencia de los profesionales de la información [art. 20.1 d) CE]. Se refiere a la doctrina sentada por este Tribunal en relación con la objeción de conciencia (SSTC 53/1985, 160/1987, 161/1987, 321/1994, 177/1996, 154/2002 y 104/2004), para concluir que, en el presente caso, existe una limitación legal al ejercicio de la objeción de conciencia que pretende el recurrente, pues como titular de una oficina de farmacia viene obligado a disponer de las existencias mínimas obligatorias de medicamentos y productos sanitarios que establece la normativa vigente, constituyendo el incumplimiento de esta obligación una infracción administrativa grave.</w:t>
      </w:r>
    </w:p>
    <w:p w:rsidR="0085709A" w:rsidRDefault="0085709A" w:rsidP="0085709A">
      <w:pPr>
        <w:pStyle w:val="TextoNormal"/>
      </w:pPr>
    </w:p>
    <w:p w:rsidR="0085709A" w:rsidRDefault="0085709A" w:rsidP="0085709A">
      <w:pPr>
        <w:pStyle w:val="TextoNormal"/>
      </w:pPr>
      <w:r>
        <w:t>Según el Ministerio Fiscal, la limitación del derecho del recurrente a la libertad ideológica o de creencias que supone esta normativa debe ser considerada legítima, en cuanto está encaminada a salvaguardar un derecho constitucionalmente protegido que resulta prevalente, como lo es el derecho a la salud individual y colectiva de las personas, que forma parte del derecho a la propia integridad física y moral (art. 15 CE). No correspondería atribuir al medicamento con el principio activo levonorgestrel otro carácter que el oficial de “medicamento anticonceptivo de emergencia” (Resolución de 5 de marzo de 2011 de la Agencia Española del Medicamento), carece de viabilidad la argumentación en la que sustancia el recurrente su pretensión de ejercer la objeción de conciencia respecto de la dispensación de este medicamento (su pretendido carácter de abortivo precoz o incipiente).</w:t>
      </w:r>
    </w:p>
    <w:p w:rsidR="0085709A" w:rsidRDefault="0085709A" w:rsidP="0085709A">
      <w:pPr>
        <w:pStyle w:val="TextoNormal"/>
      </w:pPr>
    </w:p>
    <w:p w:rsidR="0085709A" w:rsidRDefault="0085709A" w:rsidP="0085709A">
      <w:pPr>
        <w:pStyle w:val="TextoNormal"/>
      </w:pPr>
      <w:r>
        <w:t xml:space="preserve">Añade el Ministerio Fiscal que el Tribunal Europeo de Derechos Humanos se ha pronunciado ya en un caso similar al presente en su resolución de 2 de octubre de 2001, caso </w:t>
      </w:r>
      <w:r w:rsidRPr="0085709A">
        <w:rPr>
          <w:i/>
        </w:rPr>
        <w:t>Pichon y Sajous c. Francia</w:t>
      </w:r>
      <w:r>
        <w:t xml:space="preserve">, inadmitiendo la demanda presentada por dos farmacéuticos franceses que invocaban el art. 9 CEDH porque consideraban lesionado su derecho a la libertad religiosa y de creencias por haber sido sancionados al negarse a dispensar en su oficina de farmacia píldoras anticonceptivas. El Tribunal Europeo de Derechos Humanos entiende que </w:t>
      </w:r>
      <w:r>
        <w:lastRenderedPageBreak/>
        <w:t>el art. 9 CEDH no siempre garantiza el derecho a conducirse en público de acuerdo con las propias creencias y concluye que los farmacéuticos demandantes no pueden hacer prevalecer sus creencias religiosas para negarse a dispensar píldoras anticonceptivas, cuya venta se establece por la legislación francesa sólo en las oficinas de farmacia y bajo prescripción médica. En suma, la protección de la salud y la libre autodeterminación de las personas que trata de proteger la obligación legal de disponer las oficinas de farmacia del medicamento con el principio activo levonorgestrel, para su dispensación al público bajo prescripción médica, no puede considerarse desproporcionada en relación con el derecho de los farmacéuticos a conducirse de acuerdo con las propias convicciones o creencias.</w:t>
      </w:r>
    </w:p>
    <w:p w:rsidR="0085709A" w:rsidRDefault="0085709A" w:rsidP="0085709A">
      <w:pPr>
        <w:pStyle w:val="TextoNormal"/>
      </w:pPr>
    </w:p>
    <w:p w:rsidR="0085709A" w:rsidRDefault="0085709A" w:rsidP="0085709A">
      <w:pPr>
        <w:pStyle w:val="TextoNormal"/>
      </w:pPr>
      <w:r>
        <w:t>A ello añade el Fiscal que la objeción de conciencia frente al cumplimiento de obligaciones legales se configura por la doctrina constitucional como un derecho que exige el reconocimiento del legislador para su ejercicio legítimo, lo que no acontece en el caso de los farmacéuticos titulares de oficinas de farmacia, que no pueden, por tanto, negarse a dispensar los medicamentos y productos sanitarios que constituyen existencias mínimas con fundamento en sus propias convicciones o creencias. En consecuencia, la sanción impuesta al recurrente por no disponer en su oficina de farmacia del medicamento con el principio activo levonorgestrel y de preservativos no ha supuesto vulneración de su derecho a las libertades ideológica y religiosa (art. 16 CE).</w:t>
      </w:r>
    </w:p>
    <w:p w:rsidR="0085709A" w:rsidRDefault="0085709A" w:rsidP="0085709A">
      <w:pPr>
        <w:pStyle w:val="TextoNormal"/>
      </w:pPr>
    </w:p>
    <w:p w:rsidR="0085709A" w:rsidRDefault="0085709A" w:rsidP="0085709A">
      <w:pPr>
        <w:pStyle w:val="TextoNormal"/>
      </w:pPr>
      <w:r>
        <w:t>Por lo que se refiere a la vulneración del derecho a la tutela judicial efectiva (art. 24.1 CE) que el demandante imputa a la Sentencia impugnada en amparo, el Fiscal considera que no ha existido tal lesión, porque la Sentencia no incurre en incongruencia omisiva. Habría dado respuesta suficientemente razonada a las dos pretensiones deducidas en el recurso contencioso-administrativo interpuesto contra la resolución sancionadora; tanto a la principal, referida a la vulneración del derecho a la libertad ideológica (art. 16 CE), como a la subsidiaria, relativa a la errónea calificación de la infracción y a la falta de proporcionalidad de la sanción impuesta.</w:t>
      </w:r>
    </w:p>
    <w:p w:rsidR="0085709A" w:rsidRDefault="0085709A" w:rsidP="0085709A">
      <w:pPr>
        <w:pStyle w:val="TextoNormal"/>
      </w:pPr>
    </w:p>
    <w:p w:rsidR="0085709A" w:rsidRDefault="0085709A" w:rsidP="0085709A">
      <w:pPr>
        <w:pStyle w:val="TextoNormal"/>
      </w:pPr>
      <w:r w:rsidRPr="0085709A">
        <w:rPr>
          <w:rStyle w:val="NumeroAFNegritaCaracter"/>
        </w:rPr>
        <w:t>9</w:t>
      </w:r>
      <w:r>
        <w:t>. La representación procesal del recurrente presentó en este Tribunal su escrito de alegaciones el 22 de noviembre de 2013, reiterando lo expuesto en la demanda de amparo.</w:t>
      </w:r>
    </w:p>
    <w:p w:rsidR="0085709A" w:rsidRDefault="0085709A" w:rsidP="0085709A">
      <w:pPr>
        <w:pStyle w:val="TextoNormal"/>
      </w:pPr>
    </w:p>
    <w:p w:rsidR="0085709A" w:rsidRDefault="0085709A" w:rsidP="0085709A">
      <w:pPr>
        <w:pStyle w:val="TextoNormal"/>
      </w:pPr>
      <w:r w:rsidRPr="0085709A">
        <w:rPr>
          <w:rStyle w:val="NumeroAFNegritaCaracter"/>
        </w:rPr>
        <w:t>10</w:t>
      </w:r>
      <w:r>
        <w:t>. El Pleno de este Tribunal, por providencia de 8 de abril de 2014, acordó, de conformidad con el art. 10.1 n) LOTC y a propuesta de la Sala Primera, recabar para sí el conocimiento del presente recurso de amparo.</w:t>
      </w:r>
    </w:p>
    <w:p w:rsidR="0085709A" w:rsidRDefault="0085709A" w:rsidP="0085709A">
      <w:pPr>
        <w:pStyle w:val="TextoNormal"/>
      </w:pPr>
    </w:p>
    <w:p w:rsidR="0085709A" w:rsidRDefault="0085709A" w:rsidP="0085709A">
      <w:pPr>
        <w:pStyle w:val="TextoNormal"/>
      </w:pPr>
      <w:r w:rsidRPr="0085709A">
        <w:rPr>
          <w:rStyle w:val="NumeroAFNegritaCaracter"/>
        </w:rPr>
        <w:t>11</w:t>
      </w:r>
      <w:r>
        <w:t>. Por providencia de 23 de junio de 2015 se acordó señalar para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xml:space="preserve">. El demandante de amparo considera que la sanción pecuniaria que le fue impuesta por la Administración sanitaria de la Junta de Andalucía, confirmada por la Sentencia del Juzgado de lo Contencioso-Administrativo núm. 13 de Sevilla de 2 de noviembre de 2011, por no disponer del medicamento con el principio activo levonorgestrel 0’750 mg. (coloquialmente conocido como “píldora del día después”) en la oficina de farmacia de la que es </w:t>
      </w:r>
      <w:r>
        <w:lastRenderedPageBreak/>
        <w:t>titular, ha vulnerado su derecho a la objeción de conciencia, que forma parte del contenido del derecho a la libertad ideológica (art. 16.1 CE). Además, el demandante imputa a la Sentencia la vulneración del derecho a la tutela judicial efectiva (art. 24.1 CE), por incurrir en incongruencia omisiva y motivación arbitraria e irrazonable.</w:t>
      </w:r>
    </w:p>
    <w:p w:rsidR="0085709A" w:rsidRDefault="0085709A" w:rsidP="0085709A">
      <w:pPr>
        <w:pStyle w:val="TextoNormal"/>
      </w:pPr>
    </w:p>
    <w:p w:rsidR="0085709A" w:rsidRDefault="0085709A" w:rsidP="0085709A">
      <w:pPr>
        <w:pStyle w:val="TextoNormal"/>
      </w:pPr>
      <w:r>
        <w:t>Tanto el Letrado de la Junta de Andalucía como el Ministerio Fiscal se han opuesto al otorgamiento del amparo, interesando su inadmisión, o subsidiariamente su desestimación, por las razones que han quedado reflejadas en el relato de antecedentes.</w:t>
      </w:r>
    </w:p>
    <w:p w:rsidR="0085709A" w:rsidRDefault="0085709A" w:rsidP="0085709A">
      <w:pPr>
        <w:pStyle w:val="TextoNormal"/>
      </w:pPr>
    </w:p>
    <w:p w:rsidR="0085709A" w:rsidRDefault="0085709A" w:rsidP="0085709A">
      <w:pPr>
        <w:pStyle w:val="TextoNormal"/>
      </w:pPr>
      <w:r>
        <w:t>Antes de entrar en el examen de las vulneraciones de derechos fundamentales aducidas por el demandante es preciso dilucidar algunas cuestiones previas, suscitadas por el Letrado de la Junta de Andalucía y por el Ministerio Fiscal, que afectan al carácter del presente recurso de amparo y a la eventual concurrencia de diversas causas de inadmisión del mismo.</w:t>
      </w:r>
    </w:p>
    <w:p w:rsidR="0085709A" w:rsidRDefault="0085709A" w:rsidP="0085709A">
      <w:pPr>
        <w:pStyle w:val="TextoNormal"/>
      </w:pPr>
    </w:p>
    <w:p w:rsidR="0085709A" w:rsidRDefault="0085709A" w:rsidP="0085709A">
      <w:pPr>
        <w:pStyle w:val="TextoNormal"/>
      </w:pPr>
      <w:r w:rsidRPr="0085709A">
        <w:rPr>
          <w:rStyle w:val="NumeroAFNegritaCaracter"/>
        </w:rPr>
        <w:t>2</w:t>
      </w:r>
      <w:r>
        <w:t>. En primer lugar, debe precisarse que el presente recurso, tal como pone de manifiesto el Ministerio Fiscal, constituye lo que hemos denominado un “recurso de amparo mixto” [arts. 43 y 44 de la Ley Orgánica del Tribunal Constitucional (LOTC)]. Junto a la queja principal, referida a la vulneración del derecho a la objeción de conciencia vinculado a la libertad ideológica (art. 16.1 CE), que se imputa a la resolución administrativa sancionadora, el demandante de amparo dirige una queja específica contra la Sentencia que confirma dicha resolución, por vulneración del derecho a la tutela judicial efectiva (art. 24.1 CE), en las vertientes de incongruencia omisiva y motivación arbitraria e irrazonable.</w:t>
      </w:r>
    </w:p>
    <w:p w:rsidR="0085709A" w:rsidRDefault="0085709A" w:rsidP="0085709A">
      <w:pPr>
        <w:pStyle w:val="TextoNormal"/>
      </w:pPr>
    </w:p>
    <w:p w:rsidR="0085709A" w:rsidRDefault="0085709A" w:rsidP="0085709A">
      <w:pPr>
        <w:pStyle w:val="TextoNormal"/>
      </w:pPr>
      <w:r>
        <w:t>La calificación del presente recurso como un amparo mixto conlleva el rechazo del motivo de inadmisión aducido por el Ministerio Fiscal quien, como se vio, entiende que el demandante prolongó indebidamente el plazo de caducidad del recurso de amparo mediante la interposición de un incidente de nulidad de actuaciones manifiestamente improcedente contra la Sentencia del Juzgado de lo Contencioso-Administrativo núm. 13 de Sevilla de 2 de noviembre de 2011; lo que debería, a su juicio, conducir a inadmitir el recurso de amparo por extemporaneidad, en virtud de los arts. 43.2 y 50.1 a) LOTC.</w:t>
      </w:r>
    </w:p>
    <w:p w:rsidR="0085709A" w:rsidRDefault="0085709A" w:rsidP="0085709A">
      <w:pPr>
        <w:pStyle w:val="TextoNormal"/>
      </w:pPr>
    </w:p>
    <w:p w:rsidR="0085709A" w:rsidRDefault="0085709A" w:rsidP="0085709A">
      <w:pPr>
        <w:pStyle w:val="TextoNormal"/>
      </w:pPr>
      <w:r>
        <w:t>Como ha quedado expuesto, resulta que junto a la queja por vulneración del derecho garantizado por el art. 16.1 CE, que se dirige frente a la resolución administrativa sancionadora, existe otra queja específica por vulneración del art. 24.1 CE frente a la Sentencia que desestima el recurso contencioso-administrativo interpuesto contra aquella resolución; esta posible infracción del art. 24.1 CE que se atribuye al órgano judicial es en efecto autónoma, al ir más allá de la mera falta de reparación de la lesión que originariamente se imputa a la Administración sancionadora.</w:t>
      </w:r>
    </w:p>
    <w:p w:rsidR="0085709A" w:rsidRDefault="0085709A" w:rsidP="0085709A">
      <w:pPr>
        <w:pStyle w:val="TextoNormal"/>
      </w:pPr>
    </w:p>
    <w:p w:rsidR="0085709A" w:rsidRDefault="0085709A" w:rsidP="0085709A">
      <w:pPr>
        <w:pStyle w:val="TextoNormal"/>
      </w:pPr>
      <w:r>
        <w:t xml:space="preserve">Siendo esto así, no puede calificarse el incidente de nulidad de actuaciones promovido por el demandante contra la Sentencia impugnada como “manifiestamente improcedente”, en el preciso sentido restrictivo que la doctrina de este Tribunal viene dando a este concepto (por todas, SSTC 50/1990, de 26 de marzo, FJ 2; 224/1992, de 14 de diciembre, FJ 2; 10/1998, de 13 de enero, FJ 2; 78/2000, de 27 de marzo, FJ 2; 172/2009, de 9 de julio, FJ 2, y 33/2011, de 28 de marzo, FJ 2), con la consecuencia de determinar, en su caso, la extemporaneidad del recurso de amparo. El demandante no se limitó a reiterar en el incidente de nulidad la queja referida a la alegada vulneración del art. 16.1 CE, sino que formuló una nueva queja frente a la Sentencia por vulneración del art. 24.1 CE; en consecuencia, de </w:t>
      </w:r>
      <w:r>
        <w:lastRenderedPageBreak/>
        <w:t>conformidad con lo dispuesto en el art. 241.1 de la Ley Orgánica del Poder Judicial (LOPJ), venía obligado a promover el incidente de nulidad para cumplir el requisito del agotamiento de la vía judicial previa [art. 44.1 a) LOTC].</w:t>
      </w:r>
    </w:p>
    <w:p w:rsidR="0085709A" w:rsidRDefault="0085709A" w:rsidP="0085709A">
      <w:pPr>
        <w:pStyle w:val="TextoNormal"/>
      </w:pPr>
    </w:p>
    <w:p w:rsidR="0085709A" w:rsidRDefault="0085709A" w:rsidP="0085709A">
      <w:pPr>
        <w:pStyle w:val="TextoNormal"/>
      </w:pPr>
      <w:r>
        <w:t xml:space="preserve">Por otra parte, tampoco puede considerarse relevante para excluir la procedencia del incidente de nulidad el argumento del Fiscal basado en que el órgano judicial no lo desestimó, sino que lo inadmitió </w:t>
      </w:r>
      <w:r w:rsidRPr="0085709A">
        <w:rPr>
          <w:i/>
        </w:rPr>
        <w:t>a limine</w:t>
      </w:r>
      <w:r>
        <w:t>. Ciertamente, este Tribunal ha venido rechazando que pueda considerarse como “manifiestamente improcedente” un incidente de nulidad cuando, pese a las dudas que pudieran suscitarse sobre esa procedencia conforme a la regulación legal, el órgano judicial no se limita a inadmitirlo, sino que lo tramita y finalmente desestima (por todas, SSTC 148/2003, de 14 de julio, FJ 2; 131/2004, de 19 de julio, FJ 3; 127/2005, de 23 de mayo, FJ 2; 47/2006, de 13 de febrero, FJ 2; 47/2006, de 13 de febrero, FJ 2, y 66/2011, de 16 de mayo, FJ 2). De esta doctrina no puede seguirse la conclusión inversa de que si el órgano judicial inadmite el incidente de nulidad este deba considerarse por el Tribunal Constitucional como “manifiestamente improcedente”, con la eventual consecuencia de acarrear la extemporaneidad del recurso de amparo. Esto sólo ocurrirá cuando se apreciare por este Tribunal que el recurrente ha actuado con la intención de prolongar artificialmente la vía judicial previa, o cuando la improcedencia del incidente de nulidad, atendiendo a las circunstancias concurrentes en el caso, derive de manera terminante, clara e inequívoca del propio texto legal, sin dudas que hayan de resolverse con criterios interpretativos de alguna dificultad. En el presente caso no se advierte que nos hallemos en ninguno de estos supuestos.</w:t>
      </w:r>
    </w:p>
    <w:p w:rsidR="0085709A" w:rsidRDefault="0085709A" w:rsidP="0085709A">
      <w:pPr>
        <w:pStyle w:val="TextoNormal"/>
      </w:pPr>
    </w:p>
    <w:p w:rsidR="0085709A" w:rsidRDefault="0085709A" w:rsidP="0085709A">
      <w:pPr>
        <w:pStyle w:val="TextoNormal"/>
      </w:pPr>
      <w:r>
        <w:t>Procede pues descartar el óbice de admisibilidad aducido por el Ministerio Fiscal.</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El Letrado de la Junta de Andalucía también alega, como quedó expuesto, motivos de inadmisión del recurso de amparo; concretamente, por no cumplir el demandante la carga de justificar la especial trascendencia constitucional [arts. 49.1 </w:t>
      </w:r>
      <w:r w:rsidRPr="0085709A">
        <w:rPr>
          <w:i/>
        </w:rPr>
        <w:t>in fine</w:t>
      </w:r>
      <w:r>
        <w:t xml:space="preserve"> y 50.1 a) LOTC] y por carecer en cualquier caso el asunto de especial trascendencia constitucional [art. 50.1 b) LOTC], al haberse pronunciado ya el Tribunal Constitucional sobre la cuestión planteada por el demandante en relación con la objeción de conciencia.</w:t>
      </w:r>
    </w:p>
    <w:p w:rsidR="0085709A" w:rsidRDefault="0085709A" w:rsidP="0085709A">
      <w:pPr>
        <w:pStyle w:val="TextoNormal"/>
      </w:pPr>
    </w:p>
    <w:p w:rsidR="0085709A" w:rsidRDefault="0085709A" w:rsidP="0085709A">
      <w:pPr>
        <w:pStyle w:val="TextoNormal"/>
      </w:pPr>
      <w:r>
        <w:t xml:space="preserve">Ambos óbices deben ser rechazados. Por lo que se refiere al cumplimiento de la carga de justificar la especial trascendencia constitucional del recurso [arts. 49.1 </w:t>
      </w:r>
      <w:r w:rsidRPr="0085709A">
        <w:rPr>
          <w:i/>
        </w:rPr>
        <w:t>in fine</w:t>
      </w:r>
      <w:r>
        <w:t xml:space="preserve"> y 50.1 a) LOTC], en el escrito de demanda de amparo, bajo el título “relevancia constitucional del caso”, el demandante dedica un apartado específico a razonarla, exponiendo los motivos por los que considera que el pronunciamiento de este Tribunal es importante para la interpretación, eficacia y general aplicación de la Constitución y para la determinación del contenido del derecho constitucional invocado (en referencia al derecho a la libertad ideológica garantizada por el art. 16.1 CE). Señala el demandante de amparo que se trata de una cuestión absolutamente novedosa, pues no existe ningún pronunciamiento previo del Tribunal Constitucional acerca de si procede que un farmacéutico, en el ejercicio de su profesión, pueda invocar legítimamente el derecho a la objeción de conciencia para negarse a disponer (y por ello a dispensar) la píldora del día después debido a sus posibles efectos abortivos.</w:t>
      </w:r>
    </w:p>
    <w:p w:rsidR="0085709A" w:rsidRDefault="0085709A" w:rsidP="0085709A">
      <w:pPr>
        <w:pStyle w:val="TextoNormal"/>
      </w:pPr>
    </w:p>
    <w:p w:rsidR="0085709A" w:rsidRDefault="0085709A" w:rsidP="0085709A">
      <w:pPr>
        <w:pStyle w:val="TextoNormal"/>
      </w:pPr>
      <w:r>
        <w:t xml:space="preserve">A la vista de lo expuesto es notorio que el demandante de amparo ha cumplido la carga de justificar la especial transcendencia constitucional del recurso que le impone el art. 49.1 LOTC, tal como ha sido interpretada esta exigencia por nuestra doctrina (por todas, SSTC </w:t>
      </w:r>
      <w:r>
        <w:lastRenderedPageBreak/>
        <w:t>155/2009, de 25 de junio, FJ 2, y 69/2011, de 16 de mayo, FJ 3; AATC 188/2008, de 21 de julio, y 289/2008, de 22 de septiembre).</w:t>
      </w:r>
    </w:p>
    <w:p w:rsidR="0085709A" w:rsidRDefault="0085709A" w:rsidP="0085709A">
      <w:pPr>
        <w:pStyle w:val="TextoNormal"/>
      </w:pPr>
    </w:p>
    <w:p w:rsidR="0085709A" w:rsidRDefault="0085709A" w:rsidP="0085709A">
      <w:pPr>
        <w:pStyle w:val="TextoNormal"/>
      </w:pPr>
      <w:r>
        <w:t>Por otra parte, cabe afirmar que en el presente caso este Tribunal entiende que concurre el requisito de la especial trascendencia constitucional [art. 50.1 b) LOTC], al apreciar que la cuestión suscitada en el recurso de amparo (admisibilidad de la objeción de conciencia de los farmacéuticos que desempeñan su profesión en oficinas de farmacia, en particular respecto de la dispensación de medicamentos con posibles efectos abortivos) permite perfilar y aclarar algunos aspectos de la doctrina constitucional en relación con la naturaleza del derecho a la objeción de conciencia, supuesto enunciado en la STC 155/2009, FJ 2, letra b).</w:t>
      </w:r>
    </w:p>
    <w:p w:rsidR="0085709A" w:rsidRDefault="0085709A" w:rsidP="0085709A">
      <w:pPr>
        <w:pStyle w:val="TextoNormal"/>
      </w:pPr>
    </w:p>
    <w:p w:rsidR="0085709A" w:rsidRDefault="0085709A" w:rsidP="0085709A">
      <w:pPr>
        <w:pStyle w:val="TextoNormal"/>
      </w:pPr>
      <w:r w:rsidRPr="0085709A">
        <w:rPr>
          <w:rStyle w:val="NumeroAFNegritaCaracter"/>
        </w:rPr>
        <w:t>4</w:t>
      </w:r>
      <w:r>
        <w:t>. Una vez descartados los óbices procesales aducidos, procede abordar el motivo principal de fondo. El demandante sostiene, invocando en apoyo de su planteamiento la doctrina estatuida en la STC 53/1985, de 11 abril, que las resoluciones impugnadas han vulnerado su derecho a la objeción de conciencia, como manifestación de la libertad ideológica reconocida en el art. 16.1 CE, al haber sido sancionado por actuar en el ejercicio de su profesión de farmacéutico siguiendo sus convicciones éticas sobre el derecho a la vida. Tales convicciones, afirma, son contrarias a la dispensación del medicamento con el principio activo levonorgestrel 0’750 mg., debido a sus posibles efectos abortivos si se administra a una mujer embarazada. El planteamiento del demandante, sintetizado en los términos expuestos, permite colegir que la exención del deber, que para sí reclama, de disponer y expedir el referido medicamento se anuda al efecto que atribuye al indicado principio activo, lo que colisiona frontalmente con sus convicciones sobre la protección del derecho a la vida. Hasta el momento presente, este Tribunal no había tenido ocasión de resolver sobre la problemática constitucional que suscita el demandante; esto es, el juicio de ponderación entre el invocado derecho a la objeción de conciencia, como manifestación del derecho fundamental a la libertad ideológica reconocida en el art. 16.1 CE, y la obligación de disponer del mínimo de existencias del citado medicamento que le impone la normativa sectorial, para así poderlo dispensar a quienes lo soliciten. Desde ese prisma abordaremos la resolución del presente recurso.</w:t>
      </w:r>
    </w:p>
    <w:p w:rsidR="0085709A" w:rsidRDefault="0085709A" w:rsidP="0085709A">
      <w:pPr>
        <w:pStyle w:val="TextoNormal"/>
      </w:pPr>
    </w:p>
    <w:p w:rsidR="0085709A" w:rsidRDefault="0085709A" w:rsidP="0085709A">
      <w:pPr>
        <w:pStyle w:val="TextoNormal"/>
      </w:pPr>
      <w:r>
        <w:t xml:space="preserve">Ciertamente, en el fundamento jurídico 14 de la Sentencia objeto de cita rechazamos que cupiera considerar inconstitucional una regulación del aborto que no incluyera de modo expreso la del derecho a la objeción de conciencia, pues a ese respecto afirmamos que tal derecho “existe y puede ser ejercido con independencia de que se haya dictado o no tal regulación. La objeción de conciencia forma parte del contenido del derecho fundamental a la libertad ideológica y religiosa reconocido en el art. 16.1 CE y, como ha indicado este Tribunal en diversas ocasiones, la Constitución es directamente aplicable, especialmente en materia de derechos fundamentales”. En relación con la doctrina expuesta debe destacarse la singularidad del pronunciamiento traído a colación, en tanto que el reconocimiento de la objeción de conciencia transcendió del ámbito que es consustancial al art. 30.2 CE (el servicio militar obligatorio), dadas las particulares circunstancias del supuesto analizado por este Tribunal; por un lado, la significativa intervención de los médicos en los casos de interrupción voluntaria del embarazo y, por otro, la relevancia constitucional que reconocimos a la protección del </w:t>
      </w:r>
      <w:r w:rsidRPr="0085709A">
        <w:rPr>
          <w:i/>
        </w:rPr>
        <w:t>nasciturus</w:t>
      </w:r>
      <w:r>
        <w:t>.</w:t>
      </w:r>
    </w:p>
    <w:p w:rsidR="0085709A" w:rsidRDefault="0085709A" w:rsidP="0085709A">
      <w:pPr>
        <w:pStyle w:val="TextoNormal"/>
      </w:pPr>
    </w:p>
    <w:p w:rsidR="0085709A" w:rsidRDefault="0085709A" w:rsidP="0085709A">
      <w:pPr>
        <w:pStyle w:val="TextoNormal"/>
      </w:pPr>
      <w:r>
        <w:t xml:space="preserve">Sentadas las anteriores consideraciones, cumple afirmar que para la resolución del presente recurso resulta prioritario dilucidar si la doctrina enunciada en el fundamento jurídico </w:t>
      </w:r>
      <w:r>
        <w:lastRenderedPageBreak/>
        <w:t>14 de la STC 53/1985 es también aplicable al caso que nos ocupa. Para despejar esa cuestión es preciso esclarecer, previamente, si los motivos invocados para no disponer de la “píldora del día después” guardan el suficiente paralelismo con los que justificaron el reconocimiento de la objeción de conciencia en el supuesto analizado por la Sentencia citada, al objeto de precisar si la admisión de dicha objeción, entendida como derivación del derecho fundamental consagrado en el art. 16.1 CE, resulta también extensible a un supuesto como el actual, en el que el demandante opone, frente a la obligación legal de dispensar el principio activo levonorgestrel 0’750 mg., sus convicciones sobre el derecho a la vida.</w:t>
      </w:r>
    </w:p>
    <w:p w:rsidR="0085709A" w:rsidRDefault="0085709A" w:rsidP="0085709A">
      <w:pPr>
        <w:pStyle w:val="TextoNormal"/>
      </w:pPr>
    </w:p>
    <w:p w:rsidR="0085709A" w:rsidRDefault="0085709A" w:rsidP="0085709A">
      <w:pPr>
        <w:pStyle w:val="TextoNormal"/>
      </w:pPr>
      <w:r>
        <w:t>Con relación a esta cuestión, este Tribunal no desconoce la falta de unanimidad científica respecto a los posibles efectos abortivos de la denominada “píldora del día después”. Sin perjuicio de ello, y a los meros fines de este procedimiento, la presencia en ese debate de posiciones científicas que avalan tal planteamiento nos lleva a partir en nuestro enjuiciamiento de la existencia de una duda razonable sobre la producción de dichos efectos, presupuesto este que, a su vez, dota al conflicto de conciencia alegado por el recurrente de suficiente consistencia y relevancia constitucional. En consecuencia, sin desconocer las diferencias de índole cuantitativa y cualitativa existentes entre la participación de los médicos en la interrupción voluntaria del embarazo y la dispensación, por parte de un farmacéutico, del medicamento anteriormente mencionado, cabe concluir que, dentro de los parámetros indicados, la base conflictual que late en ambos supuestos se anuda a una misma finalidad, toda vez que en este caso se plantea asimismo una colisión con la concepción que profesa el demandante sobre el derecho a la vida. Además, la actuación de este último, en su condición de expendedor autorizado de la referida sustancia, resulta particularmente relevante desde la perspectiva enunciada. En suma, pues, hemos de colegir que los aspectos determinantes del singular reconocimiento de la objeción de conciencia que fijamos en la STC 53/1985, FJ 14, también concurren, en los términos indicados, cuando la referida objeción se proyecta sobre el deber de dispensación de la denominada “píldora del día después” por parte de los farmacéuticos, en base a las consideraciones expuestas.</w:t>
      </w:r>
    </w:p>
    <w:p w:rsidR="0085709A" w:rsidRDefault="0085709A" w:rsidP="0085709A">
      <w:pPr>
        <w:pStyle w:val="TextoNormal"/>
      </w:pPr>
    </w:p>
    <w:p w:rsidR="0085709A" w:rsidRDefault="0085709A" w:rsidP="0085709A">
      <w:pPr>
        <w:pStyle w:val="TextoNormal"/>
      </w:pPr>
      <w:r w:rsidRPr="0085709A">
        <w:rPr>
          <w:rStyle w:val="NumeroAFNegritaCaracter"/>
        </w:rPr>
        <w:t>5</w:t>
      </w:r>
      <w:r>
        <w:t>. Ahora bien, las conclusiones alcanzadas no nos dispensan de ponderar la incidencia del derecho invocado por el demandante en la legítima protección de otros derechos, bienes jurídicos o intereses dignos de tutela. Hemos de partir de la concreta intervención que el sistema público sanitario impone al profesional que ejerce su actividad en una oficina de farmacia, a saber la disposición para su ulterior dispensación a los consumidores de aquellas especialidades farmacéuticas que la Administración haya incluido dentro de una relación obligatoria. Al profesional farmacéutico le incumbe, pues, el deber normativo de facilitar la prestación de dicho servicio y, como señalan el Ministerio Fiscal y el Letrado de la Junta de Andalucía, en el presente caso dicho deber garantiza el derecho de la mujer a la salud sexual y reproductiva, del que dimana el derecho a las prestaciones sanitarias y farmacéuticas establecidas por el ordenamiento jurídico vigente, que incluye el acceso a la prestación sanitaria de la interrupción voluntaria del embarazo en los supuestos legalmente previstos, así como a los medicamentos anticonceptivos autorizados en España.</w:t>
      </w:r>
    </w:p>
    <w:p w:rsidR="0085709A" w:rsidRDefault="0085709A" w:rsidP="0085709A">
      <w:pPr>
        <w:pStyle w:val="TextoNormal"/>
      </w:pPr>
    </w:p>
    <w:p w:rsidR="0085709A" w:rsidRDefault="0085709A" w:rsidP="0085709A">
      <w:pPr>
        <w:pStyle w:val="TextoNormal"/>
      </w:pPr>
      <w:r>
        <w:t xml:space="preserve">Pues bien, sobre ese particular cumple decir que la imposición de la sanción a que fue acreedor el demandante no derivó de su negativa a dispensar el medicamento a un tercero que se lo hubiera solicitado, sino del incumplimiento del deber de contar con el mínimo de existencias establecido normativamente. En segundo término, hemos de añadir que en las actuaciones no figura dato alguno a través del cual se infiera el riesgo de que la dispensación </w:t>
      </w:r>
      <w:r>
        <w:lastRenderedPageBreak/>
        <w:t>“de la píldora del día después” se viera obstaculizada, pues amén de que la farmacia regentada por el demandante se ubica en el centro urbano de la ciudad de Sevilla, dato este del que se deduce la disponibilidad de otras oficinas de farmacia relativamente cercanas, ninguna otra circunstancia permite colegir que el derecho de la mujer a acceder a los medicamentos anticonceptivos autorizados por el ordenamiento jurídico vigente fuera puesto en peligro.</w:t>
      </w:r>
    </w:p>
    <w:p w:rsidR="0085709A" w:rsidRDefault="0085709A" w:rsidP="0085709A">
      <w:pPr>
        <w:pStyle w:val="TextoNormal"/>
      </w:pPr>
    </w:p>
    <w:p w:rsidR="0085709A" w:rsidRDefault="0085709A" w:rsidP="0085709A">
      <w:pPr>
        <w:pStyle w:val="TextoNormal"/>
      </w:pPr>
      <w:r>
        <w:t>Por último, no resulta ocioso recordar que el demandante estaba inscrito como objetor de conciencia, como así lo refleja certificación expedida por el secretario del Colegio Oficial de Farmacéuticos de Sevilla. Respecto del ámbito farmacéutico, hemos de señalar que la Comunidad Autónoma de Andalucía carece de una regulación específica de rango legal sobre el derecho a la objeción de conciencia de los profesionales farmacéuticos, a diferencia de otras Comunidades Autónomas que sí reconocen en su legislación sobre ordenación farmacéutica el derecho a la objeción de conciencia de los farmacéuticos. Ahora bien, esa ausencia de reconocimiento legal no se extiende a la totalidad de las normas que disciplinan el ejercicio de la profesión farmacéutica en el ámbito territorial en el que ejerce su profesión el demandante. El derecho a la objeción de conciencia está expresamente reconocido como “derecho básico de los farmacéuticos colegiados en el ejercicio de su actividad profesional” en el art. 8.5 de los estatutos del Colegio de Farmacéuticos de Sevilla (corporación profesional a la que pertenece el recurrente), aprobados definitivamente por Orden de 30 de diciembre de 2005, de la Consejería de Justicia y Administración Pública de la Junta de Andalucía, a cuyo tenor “el colegiado al que se impidiese o perturbase el ejercicio de este derecho conforme a los postulados de la ética y deontología profesionales se le amparará por el Colegio ante las instancias correspondientes”; asimismo se reconoce en los arts. 28 y 33 del Código de ética farmacéutica y deontología de la profesión farmacéutica, invocados también por el recurrente, que “la responsabilidad y libertad personal del farmacéutico le faculta para ejercer su derecho a la objeción de conciencia respetando la libertad y el derecho a la vida y a la salud del paciente” (art. 28) y que “el farmacéutico podrá comunicar al Colegio de Farmacéuticos su condición de objetor de conciencia a los efectos que considere procedentes. El Colegio le prestará el asesoramiento y la ayuda necesaria” (art. 33).</w:t>
      </w:r>
    </w:p>
    <w:p w:rsidR="0085709A" w:rsidRDefault="0085709A" w:rsidP="0085709A">
      <w:pPr>
        <w:pStyle w:val="TextoNormal"/>
      </w:pPr>
    </w:p>
    <w:p w:rsidR="0085709A" w:rsidRDefault="0085709A" w:rsidP="0085709A">
      <w:pPr>
        <w:pStyle w:val="TextoNormal"/>
      </w:pPr>
      <w:r>
        <w:t>Este reconocimiento por los estatutos colegiales del derecho a la objeción de conciencia de los farmacéuticos no carece de relevancia pues, según reza el apartado 1 del art. 22 de la Ley andaluza 10/2003, de 6 de noviembre, reguladora de los colegios profesionales de Andalucía “aprobados los estatutos por el colegio profesional y previo informe del consejo andaluz de colegios de la profesión respectiva, si estuviere creado, se remitirán a la Consejería con competencia en materia de régimen jurídico de colegios profesionales, para su aprobación definitiva mediante orden de su titular, previa calificación de su legalidad”; y el apartado 2 del mismo art. 22 establece que “Si los estatutos no se ajustaran a la legalidad vigente, o presentaran defectos formales, se ordenará su devolución a la corporación profesional para la correspondiente subsanación, de acuerdo con el procedimiento que se establezca reglamentariamente”. A la vista de lo expuesto, hemos de afirmar que el demandante actuó bajo la legítima confianza de ejercitar un derecho, cuyo reconocimiento estatutario no fue objetado por la Administración.</w:t>
      </w:r>
    </w:p>
    <w:p w:rsidR="0085709A" w:rsidRDefault="0085709A" w:rsidP="0085709A">
      <w:pPr>
        <w:pStyle w:val="TextoNormal"/>
      </w:pPr>
    </w:p>
    <w:p w:rsidR="0085709A" w:rsidRDefault="0085709A" w:rsidP="0085709A">
      <w:pPr>
        <w:pStyle w:val="TextoNormal"/>
      </w:pPr>
      <w:r>
        <w:t xml:space="preserve">En suma, a la vista de la ponderación efectuada sobre los derechos e intereses en conflicto y de las restantes consideraciones expuestas, hemos de proclamar que la sanción impuesta </w:t>
      </w:r>
      <w:r>
        <w:lastRenderedPageBreak/>
        <w:t>por carecer de las existencias mínimas de la conocida como “píldora del día después” vulnera el derecho demandante a la libertad ideológica garantizado por el art. 16.1 CE, en atención la concurrencia de especiales circunstancias reflejadas en el fundamento jurídico 4 de esta resolución.</w:t>
      </w:r>
    </w:p>
    <w:p w:rsidR="0085709A" w:rsidRDefault="0085709A" w:rsidP="0085709A">
      <w:pPr>
        <w:pStyle w:val="TextoNormal"/>
      </w:pPr>
    </w:p>
    <w:p w:rsidR="0085709A" w:rsidRDefault="0085709A" w:rsidP="0085709A">
      <w:pPr>
        <w:pStyle w:val="TextoNormal"/>
      </w:pPr>
      <w:r w:rsidRPr="0085709A">
        <w:rPr>
          <w:rStyle w:val="NumeroAFNegritaCaracter"/>
        </w:rPr>
        <w:t>6</w:t>
      </w:r>
      <w:r>
        <w:t>. El demandante también fue sancionado por no disponer (y, en consecuencia, no dispensar) de preservativos en la oficina de farmacia que regenta. Vistas las razones que nos han conducido a considerar que la falta de existencias, en el establecimiento citado, del principio activo levonorgestrel 0’750 mg. queda amparada por el art. 16.1 CE, es patente que el incumplimiento de la obligación relativa a las existencias de preservativos queda extramuros de la protección que brinda el precepto constitucional indicado. La renuencia del demandante a disponer de profilácticos en su oficina de farmacia no queda amparada por la dimensión constitucional de la objeción de conciencia que dimana de la libertad de creencias reconocida en el art. 16.1 CE. Ningún conflicto de conciencia con relevancia constitucional puede darse en este supuesto.</w:t>
      </w:r>
    </w:p>
    <w:p w:rsidR="0085709A" w:rsidRDefault="0085709A" w:rsidP="0085709A">
      <w:pPr>
        <w:pStyle w:val="TextoNormal"/>
      </w:pPr>
    </w:p>
    <w:p w:rsidR="0085709A" w:rsidRDefault="0085709A" w:rsidP="0085709A">
      <w:pPr>
        <w:pStyle w:val="TextoNormal"/>
      </w:pPr>
      <w:r>
        <w:t>En consecuencia, el otorgamiento del amparo al demandante por vulneración de su derecho a la objeción de conciencia, vinculado al derecho a la libertad ideológica (art. 16.1 CE), debe comportar (art. 55.1 LOTC) el reconocimiento del derecho fundamental vulnerado, exclusivamente en lo que concierne a la falta de existencias mínimas del medicamento con el principio activo levonorgestrel 0’750 mg. Asimismo, procede declarar la nulidad de las resoluciones (administrativas y judicial) impugnadas, con retroacción de actuaciones al momento inmediatamente anterior a dictarse la resolución por la Junta de Andalucía en el expediente sancionador incoado al demandante; ello a efectos de que la Junta resuelva, conforme a lo previsto en la legislación de farmacia que resulte aplicable, sobre la concreta sanción que corresponda imponer al demandante en lo que se refiere a la infracción grave que se le imputa por negarse a disponer de (y por ello a dispensar) preservativos en la oficina de farmacia de la que es cotitular.</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el recurso de amparo interpuesto por don Joaquín Herrera Dávila y, en su virtud:</w:t>
      </w:r>
    </w:p>
    <w:p w:rsidR="0085709A" w:rsidRDefault="0085709A" w:rsidP="0085709A">
      <w:pPr>
        <w:pStyle w:val="TextoNormal"/>
      </w:pPr>
    </w:p>
    <w:p w:rsidR="0085709A" w:rsidRDefault="0085709A" w:rsidP="0085709A">
      <w:pPr>
        <w:pStyle w:val="TextoNormal"/>
      </w:pPr>
      <w:r>
        <w:t>1º Declarar que ha sido vulnerado su derecho a la objeción de conciencia, vinculado al derecho fundamental a la libertad ideológica (art. 16.1 CE).</w:t>
      </w:r>
    </w:p>
    <w:p w:rsidR="0085709A" w:rsidRDefault="0085709A" w:rsidP="0085709A">
      <w:pPr>
        <w:pStyle w:val="TextoNormal"/>
      </w:pPr>
    </w:p>
    <w:p w:rsidR="0085709A" w:rsidRDefault="0085709A" w:rsidP="0085709A">
      <w:pPr>
        <w:pStyle w:val="TextoNormal"/>
      </w:pPr>
      <w:r>
        <w:t xml:space="preserve">2º Restablecerle en su derecho y, en consecuencia, anular la resolución de 15 de octubre de 2008 del Delegado Provincial de Salud en Sevilla de la Junta de Andalucía dictada en el expediente 78-2008, así como la resolución de 16 de julio de 2010 de la Dirección General de Planificación e Innovación Sanitaria de la Junta de Andalucía, que desestima el recurso de alzada interpuesto contra la anterior. Anular asimismo la Sentencia del Juzgado de lo Contencioso-Administrativo núm. 13 de Sevilla de 2 de noviembre de 2011, dictada en el </w:t>
      </w:r>
      <w:r>
        <w:lastRenderedPageBreak/>
        <w:t>procedimiento abreviado núm. 736-2010 y la providencia del mismo Juzgado de 22 de diciembre de 2011, que inadmite el incidente de nulidad promovido contra la anterior Sentencia.</w:t>
      </w:r>
    </w:p>
    <w:p w:rsidR="0085709A" w:rsidRDefault="0085709A" w:rsidP="0085709A">
      <w:pPr>
        <w:pStyle w:val="TextoNormal"/>
      </w:pPr>
    </w:p>
    <w:p w:rsidR="0085709A" w:rsidRDefault="0085709A" w:rsidP="0085709A">
      <w:pPr>
        <w:pStyle w:val="TextoNormal"/>
      </w:pPr>
      <w:r>
        <w:t>3º Retrotraer las actuaciones al momento inmediatamente anterior a la resolución de 15 de octubre de 2008 del Delegado Provincial de Salud en Sevilla de la Junta de Andalucía, en los términos que se precisan en el fundamento jurídico 6.</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junio de dos mil quince.</w:t>
      </w:r>
    </w:p>
    <w:p w:rsidR="0085709A" w:rsidRDefault="0085709A" w:rsidP="0085709A">
      <w:pPr>
        <w:pStyle w:val="ParrafoNormal"/>
      </w:pPr>
    </w:p>
    <w:p w:rsidR="0085709A" w:rsidRDefault="0085709A" w:rsidP="0085709A">
      <w:pPr>
        <w:pStyle w:val="TextoNormalNegritaCentrado"/>
        <w:keepNext/>
      </w:pPr>
      <w:r>
        <w:t>Voto particular que formula la Magistrada doña Adela Asua Batarrita a la Sentencia dictada en el recurso de amparo avocado por el Pleno núm. 412-2012.</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pleno respeto a la opinión de la mayoría del Pleno, expreso mi discrepancia con la fundamentación jurídica de la Sentencia y, en consecuencia, con el fallo.</w:t>
      </w:r>
    </w:p>
    <w:p w:rsidR="0085709A" w:rsidRDefault="0085709A" w:rsidP="0085709A">
      <w:pPr>
        <w:pStyle w:val="TextoNormal"/>
      </w:pPr>
    </w:p>
    <w:p w:rsidR="0085709A" w:rsidRDefault="0085709A" w:rsidP="0085709A">
      <w:pPr>
        <w:pStyle w:val="TextoNormal"/>
      </w:pPr>
      <w:r>
        <w:t>Debo manifestar, como expresé en el debate en el Pleno, mi preocupación y consternación por la aprobación de este Sentencia cuya factura técnica se separa de la exigencia de motivación congruente conforme a las reglas básicas del método jurídico-constitucional. En lugar de afrontar la problemática a examen desde la perspectiva estrictamente jurídica propia de la jurisdicción constitucional, parece responder a un posicionamiento previo que no logra ocultar la sombra ideológica que le guía.</w:t>
      </w:r>
    </w:p>
    <w:p w:rsidR="0085709A" w:rsidRDefault="0085709A" w:rsidP="0085709A">
      <w:pPr>
        <w:pStyle w:val="TextoNormal"/>
      </w:pPr>
    </w:p>
    <w:p w:rsidR="0085709A" w:rsidRDefault="0085709A" w:rsidP="0085709A">
      <w:pPr>
        <w:pStyle w:val="TextoNormal"/>
      </w:pPr>
      <w:r>
        <w:t>A continuación expongo las razones de mi profunda discrepancia.</w:t>
      </w:r>
    </w:p>
    <w:p w:rsidR="0085709A" w:rsidRDefault="0085709A" w:rsidP="0085709A">
      <w:pPr>
        <w:pStyle w:val="TextoNormal"/>
      </w:pPr>
    </w:p>
    <w:p w:rsidR="0085709A" w:rsidRDefault="0085709A" w:rsidP="0085709A">
      <w:pPr>
        <w:pStyle w:val="TextoNormal"/>
      </w:pPr>
      <w:r>
        <w:t>1. La Sentencia parte de una discutible premisa: que la objeción de conciencia forma parte del contenido del derecho fundamental a la libertad ideológica del art. 16.1 CE, con un alcance tal que puede conducir a relativizar muy diversos mandatos constitucionales y deberes legales que garantizan el ejercicio de derechos fundamentales de otras personas.</w:t>
      </w:r>
    </w:p>
    <w:p w:rsidR="0085709A" w:rsidRDefault="0085709A" w:rsidP="0085709A">
      <w:pPr>
        <w:pStyle w:val="TextoNormal"/>
      </w:pPr>
    </w:p>
    <w:p w:rsidR="0085709A" w:rsidRDefault="0085709A" w:rsidP="0085709A">
      <w:pPr>
        <w:pStyle w:val="TextoNormal"/>
      </w:pPr>
      <w:r>
        <w:t xml:space="preserve">La premisa es, a mi juicio, errónea porque se sustenta como único argumento en la afirmación contenida en un </w:t>
      </w:r>
      <w:r w:rsidRPr="0085709A">
        <w:rPr>
          <w:i/>
        </w:rPr>
        <w:t>obiter dictum</w:t>
      </w:r>
      <w:r>
        <w:t xml:space="preserve"> de la STC 53/1985, de 11 de abril, FJ 14, referida a la constitucionalidad de la Ley que introdujo el sistema de plazos en la despenalización parcial en la interrupción del embarazo, en el que se afirmaba escuetamente que “[l]a objeción de conciencia forma parte del contenido del derecho fundamental a la libertad ideológica y religiosa reconocido en el art. 16.1 de la Constitución y, como ha indicado este Tribunal en diversas ocasiones, la Constitución es directamente aplicable, especialmente en materia de derechos fundamentales”. Tal pronunciamiento se vierte tras señalar expresamente que la cuestión de la objeción de conciencia, al igual que otras cuestiones, era ajena al objeto de enjuiciamiento. Por ello, resulta poco consistente extraer de tal escueta y retórica referencia la conclusión de que el derecho a la objeción de conciencia forme parte del contenido del derecho fundamental reseñado, pues, como se desprende de Sentencias posteriores a las que me referiré más adelante, para ello es preciso un reconocimiento a nivel </w:t>
      </w:r>
      <w:r>
        <w:lastRenderedPageBreak/>
        <w:t>constitucional —como es el caso del art. 30.2 CE— o, en su caso, un reconocimiento legal que lo conecte a un derecho fundamental, lo que no ha tenido lugar.</w:t>
      </w:r>
    </w:p>
    <w:p w:rsidR="0085709A" w:rsidRDefault="0085709A" w:rsidP="0085709A">
      <w:pPr>
        <w:pStyle w:val="TextoNormal"/>
      </w:pPr>
    </w:p>
    <w:p w:rsidR="0085709A" w:rsidRDefault="0085709A" w:rsidP="0085709A">
      <w:pPr>
        <w:pStyle w:val="TextoNormal"/>
      </w:pPr>
      <w:r>
        <w:t>En efecto, la STC 160/1987, de 27 de octubre, FJ 3 (que en la Sentencia se ignora, al igual que cualesquiera otras que puedan contradecir la postura que defiende), señaló que la objeción de conciencia es “un derecho constitucional reconocido por la Norma suprema en su art. 30.2, protegido, sí, por el recurso de amparo (art. 53.2), pero cuya relación con el art. 16 (libertad ideológica) no autoriza ni permite calificarlo de fundamental. A ello obsta la consideración de que su núcleo o contenido esencial -aquí su finalidad concreta- consiste en constituir un derecho a ser declarado exento del deber general de prestar el servicio militar (no simplemente a no prestarlo), sustituyéndolo, en su caso, por una prestación social sustitutoria. Constituye, en ese sentido, una excepción al cumplimiento de un deber general, solamente permitida por el art. 30.2, en cuanto que sin ese reconocimiento constitucional no podría ejercerse el derecho, ni siquiera al amparo del de libertad ideológica o de conciencia (art. 16 C.E.) que, por sí mismo, no sería suficiente para liberar a los ciudadanos de deberes constitucionales o ‘subconstitucionales’ por motivos de conciencia, con el riesgo anejo de relativizar los mandatos jurídicos. Es justamente su naturaleza excepcional … lo que le caracteriza como derecho constitucional autónomo, pero no fundamental, y lo que legitima al legislador para regularlo por Ley ordinaria ‘con las debidas garantías’, que, si por un lado son debidas al objetor, vienen asimismo determinadas por las exigencias defensivas de la Comunidad como bien constitucional”.</w:t>
      </w:r>
    </w:p>
    <w:p w:rsidR="0085709A" w:rsidRDefault="0085709A" w:rsidP="0085709A">
      <w:pPr>
        <w:pStyle w:val="TextoNormal"/>
      </w:pPr>
    </w:p>
    <w:p w:rsidR="0085709A" w:rsidRDefault="0085709A" w:rsidP="0085709A">
      <w:pPr>
        <w:pStyle w:val="TextoNormal"/>
      </w:pPr>
      <w:r>
        <w:t>En suma, nuestra doctrina constitucional desmiente la premisa de la que parte la Sentencia, pues el derecho a la objeción de conciencia al servicio militar es un derecho autónomo no fundamental y de naturaleza excepcional, reconocido en el art. 30.2 CE y no en el art. 16 CE. Mientras que el derecho a la libertad ideológica o de conciencia (art. 16 CE) no es por sí “suficiente para liberar a los ciudadanos de deberes constitucionales o ‘subconstitucionales’ por motivos de conciencia, con el riesgo anejo de relativizar los mandatos jurídicos”.</w:t>
      </w:r>
    </w:p>
    <w:p w:rsidR="0085709A" w:rsidRDefault="0085709A" w:rsidP="0085709A">
      <w:pPr>
        <w:pStyle w:val="TextoNormal"/>
      </w:pPr>
    </w:p>
    <w:p w:rsidR="0085709A" w:rsidRDefault="0085709A" w:rsidP="0085709A">
      <w:pPr>
        <w:pStyle w:val="TextoNormal"/>
      </w:pPr>
      <w:r>
        <w:t>2. Por otra parte, al final del fundamento jurídico 4 la Sentencia desliza sibilinamente una comparación entre el supuesto objeto del presente recurso de amparo y el abordado por la STC 53/1985, al anudar al conflicto que late en ambos casos la “misma finalidad”, de manera que concurrirían —siempre a su juicio— los aspectos determinantes del pretendido reconocimiento de la objeción de conciencia fijados en la STC 53/1985. Ciertamente la Sentencia se cuida mucho de atribuir abiertamente efectos abortivos a la “píldora del día después”, pero pretende equiparar ambas situaciones amparándose en el subterfugio de la “falta de unanimidad científica” y de la “duda razonable”. Así, afirma que “este Tribunal no desconoce la falta de unanimidad científica respecto a los posibles efectos abortivos” y que “la presencia en ese debate de posiciones científicas que avalan tal planteamiento nos lleva a partir en nuestro enjuiciamiento de la existencia de una duda razonable sobre la producción de dichos efectos, presupuesto este que, a su vez, dota al conflicto de conciencia alegado por el recurrente de suficiente consistencia y relevancia constitucional”.</w:t>
      </w:r>
    </w:p>
    <w:p w:rsidR="0085709A" w:rsidRDefault="0085709A" w:rsidP="0085709A">
      <w:pPr>
        <w:pStyle w:val="TextoNormal"/>
      </w:pPr>
    </w:p>
    <w:p w:rsidR="0085709A" w:rsidRDefault="0085709A" w:rsidP="0085709A">
      <w:pPr>
        <w:pStyle w:val="TextoNormal"/>
      </w:pPr>
      <w:r>
        <w:t xml:space="preserve">Esa pretendida “falta de unanimidad” constituye una apreciación científica enteramente libre y subjetiva de la Sentencia, no basada en prueba pericial alguna, y que resulta desmentida por la consideración de “medicamento anticonceptivo de emergencia” que la Agencia Española del Medicamento le ha asignado. La “píldora del día después” tiene la finalidad </w:t>
      </w:r>
      <w:r>
        <w:lastRenderedPageBreak/>
        <w:t xml:space="preserve">de evitar un posible embarazo mediante su administración inmediata tras la práctica de relaciones sexuales, pero no terminar con un embarazo ya comenzado. Y, una vez más, la Sentencia de la que discrepo ni siquiera tiene en cuenta a este respecto nuestra STC 116/1999, de 17 de junio, en cuyo fundamento jurídico 9 se trata la cuestión relativa a los preembriones no viables (que no pueden siquiera ser considerados </w:t>
      </w:r>
      <w:r w:rsidRPr="0085709A">
        <w:rPr>
          <w:i/>
        </w:rPr>
        <w:t>nascituri</w:t>
      </w:r>
      <w:r>
        <w:t>), como sería el caso, en la hipótesis más generosa, después de la administración de la “píldora del día después”.</w:t>
      </w:r>
    </w:p>
    <w:p w:rsidR="0085709A" w:rsidRDefault="0085709A" w:rsidP="0085709A">
      <w:pPr>
        <w:pStyle w:val="TextoNormal"/>
      </w:pPr>
    </w:p>
    <w:p w:rsidR="0085709A" w:rsidRDefault="0085709A" w:rsidP="0085709A">
      <w:pPr>
        <w:pStyle w:val="TextoNormal"/>
      </w:pPr>
      <w:r>
        <w:t>Más tarde, en el fundamento jurídico 6, la Sentencia dará, sorprendentemente, un giro de ciento ochenta grados y señalará, sin que se explicite el porqué de tal brusco cambio de criterio, que “es patente que el incumplimiento de la obligación relativa a las existencias de preservativos queda extramuros de la protección que brinda el precepto constitucional indicado”, ya que no queda amparada por la dimensión constitucional de la objeción de conciencia que dimana de la libertad de creencia reconocida en el art, 16.1 CE, para concluir que “[n]ingún conflicto de relevancia constitucional puede darse en este supuesto”. Siendo igualmente métodos anticonceptivos, no se entiende por qué la negativa a dispensar la píldora entra en “colisión con la concepción que profesa el demandante sobre el derecho a la vida” y no, en cambio, la negativa a dispensar preservativos.</w:t>
      </w:r>
    </w:p>
    <w:p w:rsidR="0085709A" w:rsidRDefault="0085709A" w:rsidP="0085709A">
      <w:pPr>
        <w:pStyle w:val="TextoNormal"/>
      </w:pPr>
    </w:p>
    <w:p w:rsidR="0085709A" w:rsidRDefault="0085709A" w:rsidP="0085709A">
      <w:pPr>
        <w:pStyle w:val="TextoNormal"/>
      </w:pPr>
      <w:r>
        <w:t>3. Debe subrayarse que la objeción de conciencia tampoco ha sido reconocida, con el alcance que pretende la Sentencia, en el ámbito internacional. De nuevo es significativa la absoluta ausencia, en la Sentencia de la que discrepo, de referencias al nivel de protección que en esta materia pudiera provenir del Derecho internacional de los derechos humanos y, en su caso, del Derecho de la Unión Europea (DTC 1/2004, de 13 de diciembre, FJ 6), toda vez que el art. 10.2 CE nos obliga a acudir a tales auxilios interpretativos.</w:t>
      </w:r>
    </w:p>
    <w:p w:rsidR="0085709A" w:rsidRDefault="0085709A" w:rsidP="0085709A">
      <w:pPr>
        <w:pStyle w:val="TextoNormal"/>
      </w:pPr>
    </w:p>
    <w:p w:rsidR="0085709A" w:rsidRDefault="0085709A" w:rsidP="0085709A">
      <w:pPr>
        <w:pStyle w:val="TextoNormal"/>
      </w:pPr>
      <w:r>
        <w:t>Así, el art. 10.2 de la Carta de los Derechos Fundamentales de la Unión Europea, que reconoce el derecho a la objeción de conciencia, añade, sin embargo, una muy significativa precisión, pues ese derecho se reconoce “de acuerdo con las leyes nacionales que regulen su ejercicio”. Si se examinan las explicaciones elaboradas para guiar la interpretación de la Carta y que resultan hermenéuticamente relevantes de acuerdo con el art. 52.7 de la Carta, se comprueba que el de objeción de conciencia es el único derecho de la Carta respecto al cual las explicaciones no aluden a una fuente adicional de reconocimiento, como, por ejemplo, el Convenio Europeo (a continuación aludiré a las razones de fondo de ese significativo silencio). Lo que evidencia el reenvío a “las leyes nacionales” que contiene el art. 10.2 de la Carta es, en primer lugar, la inexistencia de una “tradición constitucional común” a la que las instituciones de la Unión pudieran acudir sin más y, en segundo lugar, la necesidad de que haya un reconocimiento del correspondiente legislador nacional acerca de la posibilidad de objetar por razones de conciencia en los distintos ámbitos de la actividad que afecten a los derechos de los ciudadanos. En otras palabras, fuera de la Constitución y de la Ley, ningún ciudadano puede elevar su conciencia a norma suprema y objetar cuándo y cómo le dé la gana.</w:t>
      </w:r>
    </w:p>
    <w:p w:rsidR="0085709A" w:rsidRDefault="0085709A" w:rsidP="0085709A">
      <w:pPr>
        <w:pStyle w:val="TextoNormal"/>
      </w:pPr>
    </w:p>
    <w:p w:rsidR="0085709A" w:rsidRDefault="0085709A" w:rsidP="0085709A">
      <w:pPr>
        <w:pStyle w:val="TextoNormal"/>
      </w:pPr>
      <w:r>
        <w:t xml:space="preserve">Por lo que se refiere al sistema del Convenio Europeo de Derechos Humanos, resulta llamativo —de nuevo— que la Sentencia omita la consideración de la muy relevante decisión de 2 de octubre de 2001 del Tribunal Europeo de Derechos Humanos en el caso </w:t>
      </w:r>
      <w:r w:rsidRPr="0085709A">
        <w:rPr>
          <w:i/>
        </w:rPr>
        <w:t>Pichon y Sajous c. Francia</w:t>
      </w:r>
      <w:r>
        <w:t xml:space="preserve">, que inadmite a trámite el recurso interpuesto sobre la base del art. 9 del </w:t>
      </w:r>
      <w:r>
        <w:lastRenderedPageBreak/>
        <w:t>Convenio europeo para la protección de los derechos humanos y de las libertades fundamentales (CEDH), libertad de pensamiento, de conciencia y de religión, por dos farmacéuticos franceses sancionados por negarse a dispensar en sus oficinas de farmacia píldoras anticonceptivas, y eso que la mencionada decisión había sido invocada tanto por el Ministerio Fiscal como por el Letrado de la Junta de Andalucía. En dicha decisión, el Tribunal Europeo recuerda que el art. 9 CEDH no garantiza en todo caso el derecho a comportarse en el ámbito público de la manera que dicten las convicciones personales, y con relación al caso concreto estima que, en cuanto que la venta de las píldoras anticonceptivas es legal y se realiza única y obligatoriamente en las oficinas de farmacia, los recurrente no pueden hacer prevaler e imponer a un tercero sus convicciones religiosas para justificar la denegación de la venta de este producto: en consecuencia, concluyó que la sanción de los recurrentes por negarse a su venta no interfirió en el ejercicio de los derechos garantizados por el art. 9 del Convenio.</w:t>
      </w:r>
    </w:p>
    <w:p w:rsidR="0085709A" w:rsidRDefault="0085709A" w:rsidP="0085709A">
      <w:pPr>
        <w:pStyle w:val="TextoNormal"/>
      </w:pPr>
    </w:p>
    <w:p w:rsidR="0085709A" w:rsidRDefault="0085709A" w:rsidP="0085709A">
      <w:pPr>
        <w:pStyle w:val="TextoNormal"/>
      </w:pPr>
      <w:r>
        <w:t xml:space="preserve">Ciertamente, el Convenio Europeo para la protección de los derechos humanos y de las libertades fundamentales es un instrumento vivo y debe interpretarse a la luz de las condiciones actuales. Así, el Tribunal Europeo, en formación de Gran Sala, revisando la doctrina previa de los órganos de supervisión del Convenio, ha incluido recientemente la objeción de conciencia al servicio militar en el ámbito del derecho contemplado por el art. 9 CEDH, al considerar que la oposición al servicio militar motivada por un serio e insuperable conflicto entre la obligación de servir en el ejército y la conciencia de una persona o sus convicciones profundas y genuinas religiosas o de otro tipo, constituye una convicción o una creencia de suficiente solidez, seriedad e importancia como para atraer las garantías del art. 9 CEDH (STEDH de 7 de julio de 2011, </w:t>
      </w:r>
      <w:r w:rsidRPr="0085709A">
        <w:rPr>
          <w:i/>
        </w:rPr>
        <w:t>Bayatyan c. Armenia</w:t>
      </w:r>
      <w:r>
        <w:t>, § 110). Ese ámbito de protección se aloja en nuestra Constitución, según quedó dicho, en el art. 30.2 y no el art. 16. Del citado pronunciamiento del Tribunal Europeo, por tanto, no puede deducirse que, fuera del supuesto específico del servicio militar, el art. 9 CEDH garantice un pretendido derecho de objeción de conciencia de contenidos difusos y de ejercicio incondicionado frente a cualesquiera deberes legales. En definitiva, no hay necesidad alguna de modificar nuestra interpretación del ámbito de protección contemplado por el art. 16 CE.</w:t>
      </w:r>
    </w:p>
    <w:p w:rsidR="0085709A" w:rsidRDefault="0085709A" w:rsidP="0085709A">
      <w:pPr>
        <w:pStyle w:val="TextoNormal"/>
      </w:pPr>
    </w:p>
    <w:p w:rsidR="0085709A" w:rsidRDefault="0085709A" w:rsidP="0085709A">
      <w:pPr>
        <w:pStyle w:val="TextoNormal"/>
      </w:pPr>
      <w:r>
        <w:t>4. La Sentencia asume una segunda premisa que, a mi juicio, resulta también errónea: que la libertad consagrada en el art. 16.1 CE permite objetar por motivos de conciencia sin necesidad de una previa regulación por parte del legislador del ejercicio de ese pretendido derecho a la objeción de conciencia. Tal entendimiento conduciría directamente a santificar cualquier tipo de objeción de conciencia, como si la conciencia de cada uno pudiera imperar legítimamente frente a la colectividad y frente al Estado Constitucional de Derecho, del que la Ley es precisamente su expresión más acendrada. La referida construcción prescinde totalmente de cualquier referencia a las consideraciones de la doctrina de este Tribunal de las últimas décadas, doctrina que ha negado de manera expresa la posibilidad de oponer libremente la objeción de conciencia en diversos pronunciamientos y ha sujetado su reconocimiento a la</w:t>
      </w:r>
      <w:r w:rsidRPr="0085709A">
        <w:rPr>
          <w:i/>
        </w:rPr>
        <w:t xml:space="preserve"> interpositio legislatori</w:t>
      </w:r>
      <w:r>
        <w:t>s.</w:t>
      </w:r>
    </w:p>
    <w:p w:rsidR="0085709A" w:rsidRDefault="0085709A" w:rsidP="0085709A">
      <w:pPr>
        <w:pStyle w:val="TextoNormal"/>
      </w:pPr>
    </w:p>
    <w:p w:rsidR="0085709A" w:rsidRDefault="0085709A" w:rsidP="0085709A">
      <w:pPr>
        <w:pStyle w:val="TextoNormal"/>
      </w:pPr>
      <w:r>
        <w:t xml:space="preserve">Así, en cuanto al primer aspecto, en la STC 321/1994, de 28 de noviembre, FJ 4, se dijo que “el derecho a la libertad ideológica reconocido en el art. 16 C.E. no resulta suficiente para eximir a los ciudadanos por motivos de conciencia del cumplimiento de deberes legalmente establecidos, con el riesgo aparejado de relativizar los mandatos legales”, y que no se puede justificar la negativa al cumplimiento de alguno de esos mandatos (en aquel caso </w:t>
      </w:r>
      <w:r>
        <w:lastRenderedPageBreak/>
        <w:t>se trataba de la prestación social sustitutoria) “ni apelando a la libertad ideológica, ni mediante el ejercicio de la objeción de conciencia, derecho que la Constitución refiere única y exclusivamente al servicio militar”. En esta misma línea, la STC 55/1996, de 28 de marzo, FJ 5, señaló, en cuanto a los objetores de conciencia al servicio militar, que tienen reconocido el derecho a que se les exima del deber de prestar ese servicio, pero precisó que “la Constitución no les reconoce ningún derecho a negarse a realizar la prestación social sustitutoria como medio para imponer sus particulares opciones políticas acerca de la organización de las Fuerzas Armadas o de su radical supresión”, para concluir que “salvo que se pretenda diluir la eficacia de las normas y menoscabar el orden jurídico y social que conforman legítimamente, no puede negarse la punibilidad de un comportamiento por el mero hecho de su coherencia con las convicciones de su autor”.</w:t>
      </w:r>
    </w:p>
    <w:p w:rsidR="0085709A" w:rsidRDefault="0085709A" w:rsidP="0085709A">
      <w:pPr>
        <w:pStyle w:val="TextoNormal"/>
      </w:pPr>
    </w:p>
    <w:p w:rsidR="0085709A" w:rsidRDefault="0085709A" w:rsidP="0085709A">
      <w:pPr>
        <w:pStyle w:val="TextoNormal"/>
      </w:pPr>
      <w:r>
        <w:t>Más rotunda aún es la STC 161/1987, de 27 de octubre, al afirmar en su fundamento jurídico 3 que, a pesar de la relación de la objeción de conciencia con la libertad ideológica reconocida en el art. 16 CE, “de ello no puede deducirse que nos encontremos ante una pura y simple aplicación de dicha libertad. La objeción de conciencia con carácter general, es decir, el derecho a ser eximido del cumplimiento de los deberes constitucionales o legales por resultar ese cumplimiento contrario a las propias convicciones, no está reconocido ni cabe imaginar que lo estuviera en nuestro Derecho o en Derecho alguno, pues significaría la negación misma de la idea del Estado”.</w:t>
      </w:r>
    </w:p>
    <w:p w:rsidR="0085709A" w:rsidRDefault="0085709A" w:rsidP="0085709A">
      <w:pPr>
        <w:pStyle w:val="TextoNormal"/>
      </w:pPr>
    </w:p>
    <w:p w:rsidR="0085709A" w:rsidRDefault="0085709A" w:rsidP="0085709A">
      <w:pPr>
        <w:pStyle w:val="TextoNormal"/>
      </w:pPr>
      <w:r>
        <w:t>Y en cuanto al otro aspecto, esto es, la necesidad de reconocimiento y regulación del derecho por la Ley, la STC 15/1982, de 23 de abril, FJ 7, ya precisó en su día que “el criterio de la conformidad a los dictados de la conciencia es extremadamente genérico y no sirve para delimitar de modo satisfactorio el contenido del derecho en cuestión y resolver los potenciales conflictos originados por la existencia de otros bienes igualmente constitucionales. Por todo ello, la objeción de conciencia exige para su realización la delimitación de su contenido y la existencia de un procedimiento regulado por el legislador … ‘con las debidas garantías’, ya que sólo si existe tal regulación puede producirse la declaración en la que el derecho a la objeción de conciencia encuentra su plenitud”. Y es que la comunidad no puede quedar satisfecha con la simple alegación de una convicción personal, que, por excepcional, ha de ser contrastada para la satisfacción del interés común (STC 160/1987, FJ 4).</w:t>
      </w:r>
    </w:p>
    <w:p w:rsidR="0085709A" w:rsidRDefault="0085709A" w:rsidP="0085709A">
      <w:pPr>
        <w:pStyle w:val="TextoNormal"/>
      </w:pPr>
    </w:p>
    <w:p w:rsidR="0085709A" w:rsidRDefault="0085709A" w:rsidP="0085709A">
      <w:pPr>
        <w:pStyle w:val="TextoNormal"/>
      </w:pPr>
      <w:r>
        <w:t>5. Tampoco resulta admisible el banal ejercicio de ponderación de los intereses en presencia que dice realizar la Sentencia.</w:t>
      </w:r>
    </w:p>
    <w:p w:rsidR="0085709A" w:rsidRDefault="0085709A" w:rsidP="0085709A">
      <w:pPr>
        <w:pStyle w:val="TextoNormal"/>
      </w:pPr>
    </w:p>
    <w:p w:rsidR="0085709A" w:rsidRDefault="0085709A" w:rsidP="0085709A">
      <w:pPr>
        <w:pStyle w:val="TextoNormal"/>
      </w:pPr>
      <w:r>
        <w:t>La Sentencia señala correctamente en su fundamento jurídico 5 que la sanción administrativa no se impuso a un farmacéutico determinado por su negativa a dispensar el medicamento a un tercero, sino a los dos cotitulares de la oficina de farmacia por el incumplimiento del deber de contar con el mínimo de existencias establecido normativamente. Pero no extrae la consecuencia obligada: la ausencia de la pretendida “base conflictual” entre la obligación legal de disponer las existencias mínimas de medicamentos, por un lado, y el derecho a la objeción de conciencia del farmacéutico que ha recurrido en amparo, por otro lado. En efecto, no se concibe —y no explica la Sentencia— cómo la obligación de la oficina de farmacia de disponer existencias mínimas de un medicamento puede entrar en “colisión con la concepción que profesa el demandante sobre el derecho a la vida”. Ello debía haber conducido inmediatamente a la desestimación del recurso de amparo.</w:t>
      </w:r>
    </w:p>
    <w:p w:rsidR="0085709A" w:rsidRDefault="0085709A" w:rsidP="0085709A">
      <w:pPr>
        <w:pStyle w:val="TextoNormal"/>
      </w:pPr>
    </w:p>
    <w:p w:rsidR="0085709A" w:rsidRDefault="0085709A" w:rsidP="0085709A">
      <w:pPr>
        <w:pStyle w:val="TextoNormal"/>
      </w:pPr>
      <w:r>
        <w:t>Sin embargo, la Sentencia de la que discrepo analiza el conflicto desde la hipótesis de un eventual acceso a la dispensación (supuesto que no se ha planteado en ningún momento en el caso concreto) y, desde esa perspectiva, reduce todo su ejercicio de ponderación a señalar que “en las actuaciones no figura dato alguno a través del cual se infiera el riesgo de que la dispensación ‘de la píldora del día después’ se viera obstaculizada, pues amén de que la farmacia regentada por el demandante se ubica en el centro urbano de la ciudad de Sevilla, dato éste del que se deduce la disponibilidad de otras oficinas de farmacia relativamente cercanas, ninguna otra circunstancia permite colegir que el derecho de la mujer a acceder a los medicamentos anticonceptivos y contraceptivos autorizados por el ordenamiento jurídico vigente fuera puesto en peligro”.</w:t>
      </w:r>
    </w:p>
    <w:p w:rsidR="0085709A" w:rsidRDefault="0085709A" w:rsidP="0085709A">
      <w:pPr>
        <w:pStyle w:val="TextoNormal"/>
      </w:pPr>
    </w:p>
    <w:p w:rsidR="0085709A" w:rsidRDefault="0085709A" w:rsidP="0085709A">
      <w:pPr>
        <w:pStyle w:val="TextoNormal"/>
      </w:pPr>
      <w:r>
        <w:t>Argumentos que resultan irrelevantes para lograr que prevalezca el pretendido derecho a la objeción de conciencia del recurrente sobre el deber legal del profesional farmacéutico de disponer las existencias mínimas de medicamentos establecidas por las Administraciones competentes. En primer lugar, el hecho de no contar con existencias del medicamento por razones de conciencia supone ya en sí mismo una negativa incondicional y absoluta a dispensarlo a cualquier persona que pudiera solicitarlo, en cualquier circunstancia; además, supone la creación de un impedimento para que el otro cotitular de la oficina de farmacia y sus empleados puedan dispensar tales medicamentos. Con tal actitud se impide de raíz cualquier forma de conciliación con los intereses constitucionalmente protegidos de terceros. Y, en segundo lugar, el argumento de la pretendida disponibilidad de otras farmacias en la misma zona no puede suspender la vigencia territorial de los derechos fundamentales a la vida, a la integridad física y psíquica y a la salud de la mujer que solicite el medicamento (arts. 15 y 43 CE). La Sentencia realiza tales afirmaciones sin ofrecer dato objetivo alguno acerca de cuáles y cuántas farmacias se encuentran en la proximidad del establecimiento del actor, y a qué distancia, conformándose con la presunción de que, al encontrarse la farmacia en pleno centro urbano de Sevilla, es lógico que existan muchas otras en las proximidades.</w:t>
      </w:r>
    </w:p>
    <w:p w:rsidR="0085709A" w:rsidRDefault="0085709A" w:rsidP="0085709A">
      <w:pPr>
        <w:pStyle w:val="TextoNormal"/>
      </w:pPr>
    </w:p>
    <w:p w:rsidR="0085709A" w:rsidRDefault="0085709A" w:rsidP="0085709A">
      <w:pPr>
        <w:pStyle w:val="TextoNormal"/>
      </w:pPr>
      <w:r>
        <w:t>Al realizar la ponderación, la Sentencia de la que disiento minimiza la debida consideración acerca de los derechos a la vida y a la integridad física y moral y a la salud de las personas que puedan requerir la utilización del medicamento en cuestión, acerca de la naturaleza jurídica de las oficinas de farmacia en nuestro ordenamiento y acerca de la regulación legal sobre la dispensación de medicamentos establecida como exigencia para la debida atención a las necesidades de la comunidad; cuestiones todas ellas que han sido profusamente glosadas y analizadas por este Tribunal. De esta forma se ignoran los intereses generales y privados afectados por la negativa a disponer del medicamento.</w:t>
      </w:r>
    </w:p>
    <w:p w:rsidR="0085709A" w:rsidRDefault="0085709A" w:rsidP="0085709A">
      <w:pPr>
        <w:pStyle w:val="TextoNormal"/>
      </w:pPr>
    </w:p>
    <w:p w:rsidR="0085709A" w:rsidRDefault="0085709A" w:rsidP="0085709A">
      <w:pPr>
        <w:pStyle w:val="TextoNormal"/>
      </w:pPr>
      <w:r>
        <w:t>Este Tribunal ha recordado recientemente que “la oficina de farmacia es un agente imprescindible en la realización de la asistencia farmacéutica que sirve a la garantía de la protección de la salud pública (arts. 43.2 y 51.1, ambos de la Constitución), considerándose como un establecimiento sanitario privado de interés público que participa de la planificación sanitaria (arts. 103.2 de la Ley 14/1986, de 25 de abril, general de sanidad, y 84.6 de la Ley 29/2006, de 26 de julio, de garantías y uso racional de los medicamentos y productos sanitarios)” (STC 83/2014, de 29 de mayo, FJ 3). Todo ello implica, como se detalla en la misma Sentencia y fundamento jurídico, un amplísimo abanico de obligaciones y limitaciones de las oficinas de farmacia y de sus titulares en el ejercicio de su actividad.</w:t>
      </w:r>
    </w:p>
    <w:p w:rsidR="0085709A" w:rsidRDefault="0085709A" w:rsidP="0085709A">
      <w:pPr>
        <w:pStyle w:val="TextoNormal"/>
      </w:pPr>
    </w:p>
    <w:p w:rsidR="0085709A" w:rsidRDefault="0085709A" w:rsidP="0085709A">
      <w:pPr>
        <w:pStyle w:val="TextoNormal"/>
      </w:pPr>
      <w:r>
        <w:lastRenderedPageBreak/>
        <w:t>Así pues, no podemos olvidar que la obligación de dispensar medicamentos en las oficinas de farmacia responde a las previsiones del art. 43 CE, que reconoce el derecho a la protección de la salud, correspondiendo a los poderes públicos organizar y tutelar la salud pública a través de las medidas preventivas y de las prestaciones y servicios necesarios, siendo la ley la que establezca los derechos y deberes de todos al respecto.</w:t>
      </w:r>
    </w:p>
    <w:p w:rsidR="0085709A" w:rsidRDefault="0085709A" w:rsidP="0085709A">
      <w:pPr>
        <w:pStyle w:val="TextoNormal"/>
      </w:pPr>
    </w:p>
    <w:p w:rsidR="0085709A" w:rsidRDefault="0085709A" w:rsidP="0085709A">
      <w:pPr>
        <w:pStyle w:val="TextoNormal"/>
      </w:pPr>
      <w:r>
        <w:t>En el ámbito de la prestación farmacéutica, la mencionada previsión constitucional se ha plasmado, entre otras normas, en la Ley 29/2006, de 26 de julio, de garantías y uso racional de los medicamentos y productos sanitarios, que regula, entre otros aspectos, la actuación de las personas físicas o jurídicas en cuanto intervienen en la circulación industrial o comercial y en la prescripción o dispensación de los medicamentos y productos sanitarios (art. 1.2). Dicha Ley establece expresamente la obligación de los farmacéuticos, entre otros profesionales, de dispensar los medicamentos y productos sanitarios que se les soliciten en las condiciones legal y reglamentariamente establecidas, con respeto del principio de continuidad en la prestación del servicio a la comunidad (art. 2.1 y 2). Más específicamente, el art. 84 prevé que las Administraciones sanitarias realizarán la ordenación de las oficinas de farmacia, teniendo en cuenta, entre otros aspectos, las exigencias mínimas materiales, técnicas y de medios que establezca el Gobierno con carácter básico para asegurar la prestación de una correcta asistencia sanitaria, sin perjuicio de las competencias de las Comunidades Autónomas en la materia [apartado 2 c)], mientras que su apartado 3 establece terminantemente que “[l]as oficinas de farmacia vienen obligadas a dispensar los medicamentos que se les demanden tanto por los particulares como por el Sistema Nacional de Salud en las condiciones reglamentarias establecidas”, sin contemplar excepciones a estas obligaciones por objeción de conciencia.</w:t>
      </w:r>
    </w:p>
    <w:p w:rsidR="0085709A" w:rsidRDefault="0085709A" w:rsidP="0085709A">
      <w:pPr>
        <w:pStyle w:val="TextoNormal"/>
      </w:pPr>
    </w:p>
    <w:p w:rsidR="0085709A" w:rsidRDefault="0085709A" w:rsidP="0085709A">
      <w:pPr>
        <w:pStyle w:val="TextoNormal"/>
      </w:pPr>
      <w:r>
        <w:t>En cuanto a este deber básico, anteriormente establecido en idénticos términos en el art. 88.1 d) de la Ley 25/1990, afirmó este Tribunal en la STC 137/2013, de 6 de junio, FJ 5, que la normativa de desarrollo del mismo “deviene así imprescindible para colmar la garantía de la asistencia farmacéutica que deriva del derecho de todos a obtener medicamentos en condiciones de igualdad efectiva en todo el territorio nacional y, en última instancia, del derecho a la protección de la salud que, como principio rector, reconoce el art. 43.1 CE, que obliga a los poderes públicos ‘no sólo al despliegue de la correspondiente acción administrativa prestacional, sino además a desarrollar la acción normativa que resulte necesaria para asegurar el cumplimiento de esos mandatos constitucionales’ (STC 113/1989, de 22 de junio, FJ 3). En este sentido, es necesario resaltar que el art. 43.2 CE llama a los poderes públicos a organizar y tutelar la salud pública a través de medidas preventivas y de las prestaciones y servicios necesarios, debiendo ser la ley la que establezca los derechos y deberes de todos al respecto. Incumbe por tanto a los poderes públicos, en el ámbito de sus respectivas competencias, adoptar las medidas necesarias para que no se produzca un déficit normativo que deje reducido el deber de dispensación del art. 88.1 d) de la Ley 25/1990 a una proclamación legal vacía de contenido efectivo”. Por esta razón, en dicha Sentencia se declaró inconstitucional la previsión de una norma foral que dejaba el deber legal de dispensación al arbitrio de la libre y voluntaria decisión de los propietarios-titulares de las oficinas de farmacia, en abierta contradicción con lo previsto en el citado art. 88.1 d) de la Ley 25/1990.</w:t>
      </w:r>
    </w:p>
    <w:p w:rsidR="0085709A" w:rsidRDefault="0085709A" w:rsidP="0085709A">
      <w:pPr>
        <w:pStyle w:val="TextoNormal"/>
      </w:pPr>
    </w:p>
    <w:p w:rsidR="0085709A" w:rsidRDefault="0085709A" w:rsidP="0085709A">
      <w:pPr>
        <w:pStyle w:val="TextoNormal"/>
      </w:pPr>
      <w:r>
        <w:t xml:space="preserve">En suma, la conclusión que se puede alcanzar es que el legislador, a la luz de las exigencias del art. 43.2 CE, no ha previsto que la obligación de dispensar medicamentos que recae </w:t>
      </w:r>
      <w:r>
        <w:lastRenderedPageBreak/>
        <w:t>sobre los titulares de las oficinas de farmacia pueda verse exceptuada en ningún supuesto, ni siquiera por cuestiones ideológicas, en la medida en que ello supondría una quiebra en la continuidad del servicio que afecta negativamente al conjunto de la comunidad, con independencia de la situación y del número de farmacias que haya en la localidad de que se trate. De manera que una oposición a las exigencias de la Ley, aunque sea por motivos ideológicos, que lleve a incumplir la obligación de dispensación, no es admisible y merece ser sancionada, como de hecho lo fue en el caso del que trae causa el presente recurso de amparo.</w:t>
      </w:r>
    </w:p>
    <w:p w:rsidR="0085709A" w:rsidRDefault="0085709A" w:rsidP="0085709A">
      <w:pPr>
        <w:pStyle w:val="TextoNormal"/>
      </w:pPr>
    </w:p>
    <w:p w:rsidR="0085709A" w:rsidRDefault="0085709A" w:rsidP="0085709A">
      <w:pPr>
        <w:pStyle w:val="TextoNormal"/>
      </w:pPr>
      <w:r>
        <w:t>6. El argumento de mayor intensidad que la Sentencia aduce para justificar la objeción de conciencia del actor reside en su inscripción como objetor de conciencia en su colegio profesional y en las previsiones que al respecto se contienen en los estatutos del Colegio de Farmacéuticos de Sevilla y en el código de ética farmacéutica y deontología de la profesión farmacéutica, que se elevan poco menos que al rango de normas constitucionales, pues se afirma que el dato de la inscripción como objetor “no resulta ocioso” y el reconocimiento por los estatutos colegiales del derecho a la objeción de conciencia “no carece de relevancia”, habida cuenta de su posterior aprobación por la Administración. Todo lo cual es utilizado por la Sentencia para extraer inmediatamente la conclusión, en una especie de salto acrobático carente de toda lógica argumentativa, de que la sanción impuesta vulnera el derecho del demandante a la libertad ideológica garantizado por el art. 16.1 CE.</w:t>
      </w:r>
    </w:p>
    <w:p w:rsidR="0085709A" w:rsidRDefault="0085709A" w:rsidP="0085709A">
      <w:pPr>
        <w:pStyle w:val="TextoNormal"/>
      </w:pPr>
    </w:p>
    <w:p w:rsidR="0085709A" w:rsidRDefault="0085709A" w:rsidP="0085709A">
      <w:pPr>
        <w:pStyle w:val="TextoNormal"/>
      </w:pPr>
      <w:r>
        <w:t xml:space="preserve">Resulta penoso, por elemental, tener que recordar que unos estatutos colegiales no pueden crear </w:t>
      </w:r>
      <w:r w:rsidRPr="0085709A">
        <w:rPr>
          <w:i/>
        </w:rPr>
        <w:t>ex novo</w:t>
      </w:r>
      <w:r>
        <w:t xml:space="preserve"> derechos fundamentales ni regular su ejercicio al margen de la Ley. Las previsiones de los estatutos colegiales se deben desarrollar en los términos que establezcan la Constitución, las leyes que se dicten en la materia y el resto del ordenamiento jurídico, y lo cierto es que ni la Constitución reconoce ese derecho —como ya se ha dejado razonado— ni existe Ley estatal o Ley de la Comunidad Autónoma de Andalucía que reconozca el pretendido derecho a la objeción de conciencia de los farmacéuticos o que regule de algún modo su ejercicio ante la colisión con el cumplimiento de deberes jurídicamente exigibles. El Decreto andaluz 104/2001, de 30 de abril, es la única normativa a la que podemos acudir en tanto que regula la obligación de las existencias mínimas de medicamentos y productos sanitarios en las oficinas de farmacia y almacenes farmacéuticos de distribución en Andalucía, existencias entre las que se encuentra la “píldora del día después”. Decreto que no contempla excepción alguna por razones de conciencia a la referida obligación.</w:t>
      </w:r>
    </w:p>
    <w:p w:rsidR="0085709A" w:rsidRDefault="0085709A" w:rsidP="0085709A">
      <w:pPr>
        <w:pStyle w:val="TextoNormal"/>
      </w:pPr>
    </w:p>
    <w:p w:rsidR="0085709A" w:rsidRDefault="0085709A" w:rsidP="0085709A">
      <w:pPr>
        <w:pStyle w:val="TextoNormal"/>
      </w:pPr>
      <w:r>
        <w:t>El hecho mismo de que la Sentencia tenga que apoyarse especialmente en las mencionadas previsiones de los Estatutos colegiales, a las que otorga “especial relevancia”, o que aluda a que el demandante actuó “bajo la legítima confianza de ejercitar un derecho, cuyo reconocimiento estatutario no fue objetado por la Administración”, evidencia la carencia de fundamento constitucional de la argumentación que desarrolla. Pone de relieve, en suma, que no existe un asidero válido e inequívoco en el art. 16.1 CE o en Ley alguna aplicable en el ámbito de la Comunidad Autónoma de Andalucía que permita justificar la conducta del actor y descalificar la sanción administrativa que le fue impuesta como consecuencia de la misma.</w:t>
      </w:r>
    </w:p>
    <w:p w:rsidR="0085709A" w:rsidRDefault="0085709A" w:rsidP="0085709A">
      <w:pPr>
        <w:pStyle w:val="TextoNormal"/>
      </w:pPr>
    </w:p>
    <w:p w:rsidR="0085709A" w:rsidRDefault="0085709A" w:rsidP="0085709A">
      <w:pPr>
        <w:pStyle w:val="TextoNormal"/>
      </w:pPr>
      <w:r>
        <w:t xml:space="preserve">7. En efecto, no está de más recordar que la norma cuyo incumplimiento se achaca al actor se aprueba en el ámbito de las competencias de la Comunidad Autónoma y de acuerdo con las previsiones de la legislación básica estatal. En efecto, el art. 55.1 del Estatuto de Autonomía para Andalucía le otorga a esa Comunidad Autónoma la competencia exclusiva </w:t>
      </w:r>
      <w:r>
        <w:lastRenderedPageBreak/>
        <w:t>en materia de ordenación farmacéutica, en el marco del art. 149.1.16 CE. En ejercicio de esa competencia se dictó la Ley 22/2007, de 18 de diciembre, de farmacia de Andalucía, dentro de cuya regulación destaca, en primer lugar, el art. 14.5, que reitera la norma básica estatal, en el sentido de que “las oficinas de farmacia están obligadas a la dispensación de los medicamentos siempre que les sean solicitados en las condiciones legales y reglamentariamente establecidas”. Y en cuanto a los derechos y deberes de los farmacéuticos, dispone la Ley que sólo pueden negarse a dispensar medicamentos cuando no sean solicitados de acuerdo con las normas vigentes o cuando sea evidente una finalidad extraterapéutica de los mismos [art. 22.1 b)], mientras que tienen la obligación de “[t]ener los medicamentos y productos sanitarios de existencia mínima obligatoria, de acuerdo con lo previsto en la normativa vigente” [art. 22.2 d)]. La precisión de este último aspecto se encuentra, como ya se dijo, en el Decreto 104/2001, de 30 de abril, por el que se regulan las existencias mínimas de medicamentos y productos sanitarios en las oficinas de farmacia y almacenes farmacéuticos de distribución. Pues bien, el actor incumplió por su propia y exclusiva voluntad esa prescripción de existencias mínimas. En lugar de optar unilateralmente por la desobediencia a una norma que está adoptada por la Administración competente de conformidad con la legislación básica estatal, el demandante debió haber manifestado su discrepancia por la vía legal correspondiente, que no era otra que la impugnación de aquella disposición ante la jurisdicción contencioso-administrativa.</w:t>
      </w:r>
    </w:p>
    <w:p w:rsidR="0085709A" w:rsidRDefault="0085709A" w:rsidP="0085709A">
      <w:pPr>
        <w:pStyle w:val="TextoNormal"/>
      </w:pPr>
    </w:p>
    <w:p w:rsidR="0085709A" w:rsidRDefault="0085709A" w:rsidP="0085709A">
      <w:pPr>
        <w:pStyle w:val="TextoNormal"/>
      </w:pPr>
      <w:r>
        <w:t xml:space="preserve">8. Una vez expuestas las anteriores razones, se entenderá el estupor que me causa la limitada argumentación de la Sentencia de la mayoría, construida sobre apriorismos, sonoros silencios y omisiones, junto con sorprendentes saltos de la lógica argumentativa. Difícilmente puede asumirse la omisión de referencias a numerosos y muy relevantes pronunciamientos de nuestra doctrina constitucional así como de resoluciones del Tribunal Europeo de Derechos Humanos, que no solo fueron alegados por quienes han comparecido en este proceso constitucional sino que también fueron utilizados en las deliberaciones previas a la aprobación de esta resolución, por varios componentes del Pleno entre los que me incluyo. Omisión, por lo tanto, consciente para los Magistrados de la mayoría que han dado su apoyo a esta Sentencia. En ella se lleva a cabo, de forma encubierta, un drástico </w:t>
      </w:r>
      <w:r w:rsidRPr="0085709A">
        <w:rPr>
          <w:i/>
        </w:rPr>
        <w:t>overruling</w:t>
      </w:r>
      <w:r>
        <w:t xml:space="preserve"> de la doctrina constitucional pergeñada durante décadas en plena sintonía con los instrumentos internacionales de protección de los derechos humanos. Este drástico cambio doctrinal puede tener consecuencias aciagas para nuestro Estado Constitucional de Derecho y, en definitiva, para el equilibrio de nuestra convivencia. Hoy es la dispensación de la píldora anticonceptiva, mañana podrán ser la vacunación obligatoria, o la obligación tributaria, o un largo etcétera, los supuestos afectados por la negativa a cumplir el correspondiente deber jurídico apelando al derecho a la objeción de conciencia, conformado a voluntad de quien esgrime la objeción, sin necesidad de una previsión legal al respecto.</w:t>
      </w:r>
    </w:p>
    <w:p w:rsidR="0085709A" w:rsidRDefault="0085709A" w:rsidP="0085709A">
      <w:pPr>
        <w:pStyle w:val="TextoNormal"/>
      </w:pPr>
    </w:p>
    <w:p w:rsidR="0085709A" w:rsidRDefault="0085709A" w:rsidP="0085709A">
      <w:pPr>
        <w:pStyle w:val="TextoNormal"/>
      </w:pPr>
      <w:r>
        <w:t>Madrid, a veinticinco de junio de dos mil quince.</w:t>
      </w:r>
    </w:p>
    <w:p w:rsidR="0085709A" w:rsidRDefault="0085709A" w:rsidP="0085709A">
      <w:pPr>
        <w:pStyle w:val="TextoNormal"/>
      </w:pPr>
    </w:p>
    <w:p w:rsidR="0085709A" w:rsidRDefault="0085709A" w:rsidP="0085709A">
      <w:pPr>
        <w:pStyle w:val="TextoNormalNegritaCentrado"/>
        <w:keepNext/>
      </w:pPr>
      <w:r>
        <w:lastRenderedPageBreak/>
        <w:t>Voto particular concurrente que formula el Magistrado don Andrés Ollero Tassara en relación con la Sentencia del Pleno de 25 de junio de 2015 dictada en el recurso de amparo avocado núm. 412-2012.</w:t>
      </w:r>
    </w:p>
    <w:p w:rsidR="0085709A" w:rsidRDefault="0085709A" w:rsidP="0085709A">
      <w:pPr>
        <w:pStyle w:val="TextoNormalNegritaCentrado"/>
        <w:keepNext/>
      </w:pPr>
    </w:p>
    <w:p w:rsidR="0085709A" w:rsidRDefault="0085709A" w:rsidP="0085709A">
      <w:pPr>
        <w:pStyle w:val="TextoNormal"/>
      </w:pPr>
      <w:r>
        <w:t>Ha sido para mí un honor expresar, como Ponente, el parecer del Tribunal. No obstante, con el máximo respeto a la posición de los restantes Magistrados, y en ejercicio de la facultad conferida por el art. 90.2 de la Ley Orgánica del Tribunal Constitucional, formulo Voto concurrente respecto de la Sentencia citada en el encabezamiento. Suscribiendo el amparo otorgado, no comparto —como expresaré a continuación— ni la totalidad del fallo ni buena parte de su fundamentación.</w:t>
      </w:r>
    </w:p>
    <w:p w:rsidR="0085709A" w:rsidRDefault="0085709A" w:rsidP="0085709A">
      <w:pPr>
        <w:pStyle w:val="TextoNormal"/>
      </w:pPr>
    </w:p>
    <w:p w:rsidR="0085709A" w:rsidRDefault="0085709A" w:rsidP="0085709A">
      <w:pPr>
        <w:pStyle w:val="TextoNormal"/>
      </w:pPr>
      <w:r>
        <w:t xml:space="preserve">1. Nos encontramos ante un recurso de amparo que, tras someterse —como es habitual— al parecer de una Sala, fue luego avocado al Pleno. Sin duda ha influido en ello el reconocimiento de la conveniencia de “perfilar y aclarar algunos aspectos de la doctrina constitucional en relación con la naturaleza del derecho a la objeción de conciencia” (FJ 3 </w:t>
      </w:r>
      <w:r w:rsidRPr="0085709A">
        <w:rPr>
          <w:i/>
        </w:rPr>
        <w:t>in fine</w:t>
      </w:r>
      <w:r>
        <w:t>). Desgraciadamente tal intención se ha visto, a mi modo de ver, frustrada.</w:t>
      </w:r>
    </w:p>
    <w:p w:rsidR="0085709A" w:rsidRDefault="0085709A" w:rsidP="0085709A">
      <w:pPr>
        <w:pStyle w:val="TextoNormal"/>
      </w:pPr>
    </w:p>
    <w:p w:rsidR="0085709A" w:rsidRDefault="0085709A" w:rsidP="0085709A">
      <w:pPr>
        <w:pStyle w:val="TextoNormal"/>
      </w:pPr>
      <w:r>
        <w:t xml:space="preserve">El tratamiento del derecho a la objeción de conciencia surge tempranamente en las resoluciones del Tribunal. Ya la STC 15/1982, de 23 de abril, estableció en su FJ 6 que “la libertad de conciencia es una concreción de la libertad ideológica, que nuestra Constitución reconoce en el art. 16”, por lo que “puede afirmarse que la objeción de conciencia es un derecho reconocido explícita e implícitamente en el ordenamiento constitucional español, sin que contra la argumentación expuesta tenga valor alguno el hecho de que el art. 30.2 emplee la expresión ‘la Ley regulará’, la cual no significa otra cosa que la necesidad de la </w:t>
      </w:r>
      <w:r w:rsidRPr="0085709A">
        <w:rPr>
          <w:i/>
        </w:rPr>
        <w:t>interpositio legislatoris</w:t>
      </w:r>
      <w:r>
        <w:t xml:space="preserve"> no para reconocer, sino, como las propias palabras indican, para ‘regular’ el derecho en términos que permitan su plena aplicabilidad y eficacia”.</w:t>
      </w:r>
    </w:p>
    <w:p w:rsidR="0085709A" w:rsidRDefault="0085709A" w:rsidP="0085709A">
      <w:pPr>
        <w:pStyle w:val="TextoNormal"/>
      </w:pPr>
    </w:p>
    <w:p w:rsidR="0085709A" w:rsidRDefault="0085709A" w:rsidP="0085709A">
      <w:pPr>
        <w:pStyle w:val="TextoNormal"/>
      </w:pPr>
      <w:r>
        <w:t xml:space="preserve">En esa misma línea precisó, en el fundamento jurídico 8, que de ello “no se deriva, sin embargo, que el derecho del objetor esté por entero subordinado a la actuación del legislador. El que la objeción de conciencia sea un derecho que para su desarrollo y plena eficacia requiera la </w:t>
      </w:r>
      <w:r w:rsidRPr="0085709A">
        <w:rPr>
          <w:i/>
        </w:rPr>
        <w:t>interpositio legislatoris</w:t>
      </w:r>
      <w:r>
        <w:t xml:space="preserve"> no significa que sea exigible tan sólo cuando el legislador lo haya desarrollado, de modo que su reconocimiento constitucional no tendría otra consecuencia que la de establecer un mandato dirigido al legislador sin virtualidad para amparar por sí mismo pretensiones individuales. Como ha señalado reiteradamente este Tribunal, los principios constitucionales y los derechos y libertades fundamentales vinculan a todos los poderes públicos (arts. 9.1 y 53.1 de la Constitución) y son origen inmediato de derechos y obligaciones y no meros principios programáticos; el hecho mismo de que nuestra norma fundamental en su art. 53.2 prevea un sistema especial de tutela a través del recurso de amparo, que se extiende a la objeción de conciencia, no es sino una confirmación del principio de su aplicabilidad inmediata”.</w:t>
      </w:r>
    </w:p>
    <w:p w:rsidR="0085709A" w:rsidRDefault="0085709A" w:rsidP="0085709A">
      <w:pPr>
        <w:pStyle w:val="TextoNormal"/>
      </w:pPr>
    </w:p>
    <w:p w:rsidR="0085709A" w:rsidRDefault="0085709A" w:rsidP="0085709A">
      <w:pPr>
        <w:pStyle w:val="TextoNormal"/>
      </w:pPr>
      <w:r>
        <w:t>“Este principio general” —se añadía— “no tendrá más excepciones que aquellos casos en que así lo imponga la propia Constitución o en que la naturaleza misma de la norma impida considerarla inmediatamente aplicable; supuestos que no se dan en el derecho a la objeción de conciencia”.</w:t>
      </w:r>
    </w:p>
    <w:p w:rsidR="0085709A" w:rsidRDefault="0085709A" w:rsidP="0085709A">
      <w:pPr>
        <w:pStyle w:val="TextoNormal"/>
      </w:pPr>
    </w:p>
    <w:p w:rsidR="0085709A" w:rsidRDefault="0085709A" w:rsidP="0085709A">
      <w:pPr>
        <w:pStyle w:val="TextoNormal"/>
      </w:pPr>
      <w:r>
        <w:t xml:space="preserve">“Es cierto que cuando se opera con esa reserva de configuración legal el mandato constitucional puede no tener, hasta que la regulación se produzca, más que un mínimo contenido </w:t>
      </w:r>
      <w:r>
        <w:lastRenderedPageBreak/>
        <w:t>… pero ese mínimo contenido ha de ser protegido, ya que de otro modo el amparo previsto en el art. 53.2 de la Constitución carecería de efectividad y se produciría la negación radical de un derecho que goza de la máxima protección constitucional en nuestro ordenamiento jurídico. La dilación en el cumplimiento del deber que la Constitución impone al legislador no puede lesionar el derecho reconocido en ella”.</w:t>
      </w:r>
    </w:p>
    <w:p w:rsidR="0085709A" w:rsidRDefault="0085709A" w:rsidP="0085709A">
      <w:pPr>
        <w:pStyle w:val="TextoNormal"/>
      </w:pPr>
    </w:p>
    <w:p w:rsidR="0085709A" w:rsidRDefault="0085709A" w:rsidP="0085709A">
      <w:pPr>
        <w:pStyle w:val="TextoNormal"/>
      </w:pPr>
      <w:r>
        <w:t xml:space="preserve">Cinco años después, sin embargo, la STC 160/1987, de 27 de octubre, generará una notable confusión; no porque se aparte de las anteriores, sino por ser en sí misma contradictoria. En efecto, en su fundamento jurídico 3 reitera, con cita expresa, lo establecido por la STC 15/1982, aun considerando —con matices no irrelevantes— que la objeción de conciencia “es un derecho constitucionalmente reconocido”, al que se “otorga la protección del recurso de amparo, lo que le equipara, a los solos efectos de dicho recurso en su tratamiento jurídico constitucional, con ese núcleo especialmente protegido que son los derechos fundamentales y libertades públicas, y es la Constitución, pues, la que reconoce el derecho de manera implícita y explícita, no significando otra cosa la expresión ‘la Ley regulará’ del art. 30.2 que la necesidad de la </w:t>
      </w:r>
      <w:r w:rsidRPr="0085709A">
        <w:rPr>
          <w:i/>
        </w:rPr>
        <w:t>interpositio legislatoris</w:t>
      </w:r>
      <w:r>
        <w:t>, no para reconocer, sino, como las propias palabras indican, para ‘regular’ el derecho en términos que permitan su plena aplicabilidad y eficacia”. Plantea pues la curiosa figura de un derecho “constitucional” que solo tendría de “fundamental” su protección por recurso de amparo.</w:t>
      </w:r>
    </w:p>
    <w:p w:rsidR="0085709A" w:rsidRDefault="0085709A" w:rsidP="0085709A">
      <w:pPr>
        <w:pStyle w:val="TextoNormal"/>
      </w:pPr>
    </w:p>
    <w:p w:rsidR="0085709A" w:rsidRDefault="0085709A" w:rsidP="0085709A">
      <w:pPr>
        <w:pStyle w:val="TextoNormal"/>
      </w:pPr>
      <w:r>
        <w:t>Eso no es nada, si se tiene en cuenta que —sin salir del fundamento jurídico 3— pasamos a encontrarnos ante “un derecho a ser declarado exento del deber general de prestar el servicio militar”. Se trataría pues de una excepción al cumplimiento de un deber “solamente permitida por el art. 30.2, en cuanto que sin ese reconocimiento constitucional no podría ejercerse el derecho, ni siquiera al amparo del de libertad ideológica o de conciencia (art. 16 C.E.) que, por sí mismo, no sería suficiente para liberar a los ciudadanos de deberes constitucionales o ‘subconstitucionales’ por motivos de conciencia, con el riesgo anejo de relativizar los mandatos jurídicos. Es justamente su naturaleza excepcional —derecho a una exención de norma general, a un deber constitucional, como es de la defensa de España—, lo que le caracteriza como derecho constitucional autónomo, pero no fundamental”.</w:t>
      </w:r>
    </w:p>
    <w:p w:rsidR="0085709A" w:rsidRDefault="0085709A" w:rsidP="0085709A">
      <w:pPr>
        <w:pStyle w:val="TextoNormal"/>
      </w:pPr>
    </w:p>
    <w:p w:rsidR="0085709A" w:rsidRDefault="0085709A" w:rsidP="0085709A">
      <w:pPr>
        <w:pStyle w:val="TextoNormal"/>
      </w:pPr>
      <w:r>
        <w:t>El problema se complica cuando la STC 321/1994, de 28 de noviembre, en su fundamento jurídico 4, al pretender enlazar con las anteriores —incluyendo a la STC 15/1982 que, como hemos visto, dice todo lo contrario— afirma que “el derecho a la libertad ideológica reconocido en el art. 16 C.E. no resulta suficiente para eximir a los ciudadanos por motivos de conciencia del cumplimiento de deberes legalmente establecidos, con el riesgo aparejado de relativizar los mandatos legales”. La realidad es que solo cuando existen deberes legales puede entrar en juego el derecho a la objeción, que de lo contrario carecería de objeto.</w:t>
      </w:r>
    </w:p>
    <w:p w:rsidR="0085709A" w:rsidRDefault="0085709A" w:rsidP="0085709A">
      <w:pPr>
        <w:pStyle w:val="TextoNormal"/>
      </w:pPr>
    </w:p>
    <w:p w:rsidR="0085709A" w:rsidRDefault="0085709A" w:rsidP="0085709A">
      <w:pPr>
        <w:pStyle w:val="TextoNormal"/>
      </w:pPr>
      <w:r>
        <w:t xml:space="preserve">Añadirá que “el derecho a ser declarado exento del servicio militar no deviene directamente del ejercicio de la libertad ideológica, por más que se encuentre conectado con el mismo, sino tan sólo de que la Constitución en su art. 30.2 expresamente ha reconocido el derecho a la objeción de conciencia, referido únicamente al servicio militar y cuyo ejercicio supone el nacimiento del deber de cumplir la prestación social sustitutoria, sistema que permite al objetor cumplir los objetivos de la norma de servir a la comunidad salvaguardando sus íntimas convicciones (STC 160/1987). No puede, por lo tanto, el recurrente justificar su </w:t>
      </w:r>
      <w:r>
        <w:lastRenderedPageBreak/>
        <w:t>negativa al cumplimiento de la prestación social sustitutoria ni apelando a la libertad ideológica, ni mediante el ejercicio de la objeción de conciencia, derecho que la Constitución refiere única y exclusivamente al servicio militar”.</w:t>
      </w:r>
    </w:p>
    <w:p w:rsidR="0085709A" w:rsidRDefault="0085709A" w:rsidP="0085709A">
      <w:pPr>
        <w:pStyle w:val="TextoNormal"/>
      </w:pPr>
    </w:p>
    <w:p w:rsidR="0085709A" w:rsidRDefault="0085709A" w:rsidP="0085709A">
      <w:pPr>
        <w:pStyle w:val="TextoNormal"/>
      </w:pPr>
      <w:r>
        <w:t>Ciertamente, aun siendo la objeción de conciencia un derecho fundamental, no lo es con un alcance ilimitado. Es preciso ponderarlo con otros bienes o derechos constitucionalmente protegidos. Será el legislador en principio el encargado de hacerlo, sin perjuicio de que tal labor la lleve en caso contrario a cabo el órgano judicial competente. Lo que se sale de lo ordinario es que —como ocurre en el citado art, 30 CE— sea la propia Constitución la que asuma esa tarea, estableciendo como resultado la aceptación de la objeción al servicio militar, pero contrapesada con el cumplimiento de una prestación social sustitutoria. El contexto peculiar del trabajo constituyente, con unas fuerzas armadas muy sensibilizadas ante el creciente número de objetores, explica esa anomalía; al igual que las vicisitudes del pacto en la ponencia constitucional llevaron a ignorar enmiendas relativas a los derechos fundamentales en la segunda lectura, encomendada al Senado. Esto explica que no prosperaran enmiendas que proponían añadir al art. 16 CE un epígrafe 4 destinado a la objeción de conciencia. La posterior supresión del servicio militar obligatorio acabó convirtiendo en fantasmal su única presencia explícita en el art. 30 CE.</w:t>
      </w:r>
    </w:p>
    <w:p w:rsidR="0085709A" w:rsidRDefault="0085709A" w:rsidP="0085709A">
      <w:pPr>
        <w:pStyle w:val="TextoNormal"/>
      </w:pPr>
    </w:p>
    <w:p w:rsidR="0085709A" w:rsidRDefault="0085709A" w:rsidP="0085709A">
      <w:pPr>
        <w:pStyle w:val="TextoNormal"/>
      </w:pPr>
      <w:r>
        <w:t xml:space="preserve">Es lógico pues que, ante situación tan contradictoria, se avocara al Pleno el recurso de amparo. Ello brindaba la oportunidad de aclarar la confusión entre objeción de conciencia y desobediencia civil que latía en las SSTC 160/1987 y 321/1994. El objetor de conciencia no pretende cuestionar la norma sino que plantea una excepción (que confirma la regla), al entrar en conflicto la conducta impuesta por ella con sus convicciones personales. Surge, sin embargo, una figura bien distinta: el </w:t>
      </w:r>
      <w:r w:rsidRPr="0085709A">
        <w:rPr>
          <w:i/>
        </w:rPr>
        <w:t>insumiso</w:t>
      </w:r>
      <w:r>
        <w:t xml:space="preserve">, al que ya se había satisfecho su derecho a la objeción, pero optaba por una inconstitucional desobediencia civil negándose a cumplir la prestación sustitutoria. Como consecuencia, pronunciamientos de este Tribunal referidos a esta nueva situación han llegado a malinterpretarse, como si afectaran al derecho constitucional a la objeción de conciencia. Los </w:t>
      </w:r>
      <w:r w:rsidRPr="0085709A">
        <w:rPr>
          <w:i/>
        </w:rPr>
        <w:t>insumisos</w:t>
      </w:r>
      <w:r>
        <w:t>, recurrentes en estas dos últimas sentencias, ya habían visto satisfecha su condición de objetores al servicio militar. Pasan sin embargo a ejercer una actitud de desobediencia civil, impensable como derecho, porque no pretendían una mera excepción. Cuestionaban la norma con carácter general y aspiraban a que la sanción por su conducta (y su impacto mediático) removieran la conciencia social socavando la legitimidad del precepto. Al ignorarse en las citadas sentencias esta distinción entre objeción y desobediencia civil, el propio Tribunal se creía así obligado a trasladar a la objeción el reproche que la desobediencia civil merece. Distinguiendo adecuadamente entre objeción de conciencia y la desobediencia civil que la insumisión implica, desaparece por el contrario todo indicio de incoherencia en las sentencias citadas.</w:t>
      </w:r>
    </w:p>
    <w:p w:rsidR="0085709A" w:rsidRDefault="0085709A" w:rsidP="0085709A">
      <w:pPr>
        <w:pStyle w:val="TextoNormal"/>
      </w:pPr>
    </w:p>
    <w:p w:rsidR="0085709A" w:rsidRDefault="0085709A" w:rsidP="0085709A">
      <w:pPr>
        <w:pStyle w:val="TextoNormal"/>
      </w:pPr>
      <w:r>
        <w:t>Todo ello ha quedado pues sin aclarar. Al afirmarse, como hemos visto, en la STC 160/1987, que el derecho a la “libertad ideológica reconocido en el art. 16 C.E. no resulta suficiente para eximir a los ciudadanos por motivos de conciencia del cumplimiento de deberes legalmente establecidos”, la objeción pasa de ser un curioso derecho constitucional no fundamental a verse reducida a la mínima expresión: se la conceptúa más bien como eventual objeto de una benévola tolerancia, ajena a imperativos de justicia.</w:t>
      </w:r>
    </w:p>
    <w:p w:rsidR="0085709A" w:rsidRDefault="0085709A" w:rsidP="0085709A">
      <w:pPr>
        <w:pStyle w:val="TextoNormal"/>
      </w:pPr>
    </w:p>
    <w:p w:rsidR="0085709A" w:rsidRDefault="0085709A" w:rsidP="0085709A">
      <w:pPr>
        <w:pStyle w:val="TextoNormal"/>
      </w:pPr>
      <w:r>
        <w:lastRenderedPageBreak/>
        <w:t>La significativa alusión al “riesgo aparejado de relativizar los mandatos legales” parece traslucir otra de las confusiones que dificultan un normal reconocimiento del derecho a objetar. Deriva de la tendencia a identificar conciencia con moral, con lo que la objeción expresaría un conflicto entre moral y derecho que se pretendería fallar en beneficio de la primera. En realidad el conflicto se da entre la delimitación legal del mínimo ético característico del derecho, fruto de un respaldo mayoritario, y la discrepante concepción de ese mínimo ético jurídico suscrita por un ciudadano en minoría. No nos encontramos pues ante un conflicto entre el mínimo ético que da sentido a lo jurídico y maximalismos morales que puedan repercutir sobre la conciencia individual. Pretender que la obediencia al derecho pueda depender del código moral de cada cual es una torpe caricatura del derecho a la objeción de conciencia. Este refleja en realidad un conflicto jurídico y no el imaginado entre derecho y moral. Se trata del derecho de la minoría a poder acogerse excepcionalmente a su visión del mínimo ético que el derecho ha de avalar, en relación al impuesto mayoritariamente por cauces democráticos. Todo un síntoma elocuente del respeto del Estado a los derechos de los ciudadanos; de modo especial a su libertad ideológica, no ajena en ocasiones a referencias religiosas.</w:t>
      </w:r>
    </w:p>
    <w:p w:rsidR="0085709A" w:rsidRDefault="0085709A" w:rsidP="0085709A">
      <w:pPr>
        <w:pStyle w:val="TextoNormal"/>
      </w:pPr>
    </w:p>
    <w:p w:rsidR="0085709A" w:rsidRDefault="0085709A" w:rsidP="0085709A">
      <w:pPr>
        <w:pStyle w:val="TextoNormal"/>
      </w:pPr>
      <w:r>
        <w:t>Una democracia avanzada aspira a evitar dictaduras mayoritarias, dando espacio —siempre que resulte viable— a excepciones que salvaguarden convicciones jurídicas discrepantes. Cuando se olvida que el ciudadano tiene conciencia jurídica, sin perjuicio de tenerla también moral ni de las previsibles conexiones entre ambas, el falso panorama de una subordinación de la obediencia a la norma a los postulados morales de cada cual genera un explicable vértigo.</w:t>
      </w:r>
    </w:p>
    <w:p w:rsidR="0085709A" w:rsidRDefault="0085709A" w:rsidP="0085709A">
      <w:pPr>
        <w:pStyle w:val="TextoNormal"/>
      </w:pPr>
    </w:p>
    <w:p w:rsidR="0085709A" w:rsidRDefault="0085709A" w:rsidP="0085709A">
      <w:pPr>
        <w:pStyle w:val="TextoNormal"/>
      </w:pPr>
      <w:r>
        <w:t xml:space="preserve">2. Se ha optado en la Sentencia, sin embargo, por declinar la posibilidad (por no decir deber) de resolver esta confusa situación. Dado que el recurrente centra su argumentación en los eventuales efectos abortivos de la conocida como </w:t>
      </w:r>
      <w:r w:rsidRPr="0085709A">
        <w:rPr>
          <w:i/>
        </w:rPr>
        <w:t>píldora del día después</w:t>
      </w:r>
      <w:r>
        <w:t xml:space="preserve">, se ha preferido abordar el problema como una mera continuación de la STC 53/1985, de 11 de abril, relativa al recurso previo sobre la entonces recién aprobada primera despenalización del aborto en determinados supuestos. En su fundamento jurídico 14, se descarta que el legislador haya vulnerado la Constitución al no regular la objeción de conciencia del personal sanitario. Recordó el Tribunal al respecto que el derecho a la objeción de conciencia “existe y puede ser ejercido con independencia de que se haya dictado o no tal regulación. La objeción de conciencia forma parte del contenido del derecho fundamental a la libertad ideológica y religiosa reconocido en el art. 16.1 de la Constitución y, como ha indicado este Tribunal en diversas ocasiones, la Constitución es directamente aplicable, especialmente en materia de derechos fundamentales”. Con esa remisión se actualiza ahora la doctrina, a veces ignorada, que descarta que la objeción de conciencia precise de una específica </w:t>
      </w:r>
      <w:r w:rsidRPr="0085709A">
        <w:rPr>
          <w:i/>
        </w:rPr>
        <w:t>interpositio legislatoris</w:t>
      </w:r>
      <w:r>
        <w:t xml:space="preserve"> para ser ejercida. Se actualiza igualmente la consideración de la objeción de conciencia como derecho fundamental, reforzada por lo demás por su explícita inclusión en la posterior Carta Europea de Derechos Fundamentales.</w:t>
      </w:r>
    </w:p>
    <w:p w:rsidR="0085709A" w:rsidRDefault="0085709A" w:rsidP="0085709A">
      <w:pPr>
        <w:pStyle w:val="TextoNormal"/>
      </w:pPr>
    </w:p>
    <w:p w:rsidR="0085709A" w:rsidRDefault="0085709A" w:rsidP="0085709A">
      <w:pPr>
        <w:pStyle w:val="TextoNormal"/>
      </w:pPr>
      <w:r>
        <w:t xml:space="preserve">Se mantiene, sin embargo, abierta la confusión generada por la STC 160/1987; perdura como posible fundamento alternativo tanto para quienes afirman como para los que niegan el derecho a la objeción, al ofrecerle dos párrafos consecutivos del mismo fundamento que afirman una cosa y su contraria. Queda pues como aspecto positivo la actualización del alcance limitado de la </w:t>
      </w:r>
      <w:r w:rsidRPr="0085709A">
        <w:rPr>
          <w:i/>
        </w:rPr>
        <w:t>interpositio legislatoris</w:t>
      </w:r>
      <w:r>
        <w:t>, vinculado a la eficacia del derecho y no a su fundamento, así como al carácter de derecho fundamental de la objeción.</w:t>
      </w:r>
    </w:p>
    <w:p w:rsidR="0085709A" w:rsidRDefault="0085709A" w:rsidP="0085709A">
      <w:pPr>
        <w:pStyle w:val="TextoNormal"/>
      </w:pPr>
    </w:p>
    <w:p w:rsidR="0085709A" w:rsidRDefault="0085709A" w:rsidP="0085709A">
      <w:pPr>
        <w:pStyle w:val="TextoNormal"/>
      </w:pPr>
      <w:r>
        <w:t>3. La distinción, en el fundamento jurídico 5, entre la conducta sancionada por la Administración (no disponer de determinados medicamentos o productos sanitarios en la oficina de farmacia) y la negativa del farmacéutico a dispensarlos, puede llevar a debates bizantinos, si no se profundiza en el sentido de la norma. La presencia de determinados productos en la trastienda de las oficinas de farmacia no contribuye a mejora alguna de la salud. Si la Junta de Andalucía ha preferido tipificar como sancionable su no disposición en vez de su no dispensación es, obviamente, para evitar que el farmacéutico desatienda la solicitud del ciudadano argumentando que ha agotado las existencias de determinados productos; tendrá pues que disponer siempre de ellos, aunque ningún ciudadano se los reclame.</w:t>
      </w:r>
    </w:p>
    <w:p w:rsidR="0085709A" w:rsidRDefault="0085709A" w:rsidP="0085709A">
      <w:pPr>
        <w:pStyle w:val="TextoNormal"/>
      </w:pPr>
    </w:p>
    <w:p w:rsidR="0085709A" w:rsidRDefault="0085709A" w:rsidP="0085709A">
      <w:pPr>
        <w:pStyle w:val="TextoNormal"/>
      </w:pPr>
      <w:r>
        <w:t>4. La sanción impuesta al farmacéutico es consecuencia de una conducta tipificada: no disponer de los medicamentos y productos incluidos en la relación legalmente establecida; sin perjuicio de que se trate de uno solo o de varios. Aun tratándose en este caso de dos (píldora del día después y preservativos) han generado solo una sanción, inescindible, sobre la que recaería el dictamen de nulidad incluido en el fallo. Sorprendentemente, sin embargo, se ha optado en el fallo por hacer compatible la anulación de la sanción, en lo relativo a la píldora, con una retroacción tras casi siete años para que la Administración vuelva a dictaminar las consecuencias de la no disposición de preservativos. Al margen de los problemas de prescripción que ello pueda suscitar, resulta problemático que la Administración llegue a cumplir los imperativos de proporcionalidad propios de una medida sancionadora. Respecto a la píldora se señala (en el FJ 5) que la acumulación de oficinas de farmacia en pleno centro urbano de una ciudad lleva a descartar una eventual imposibilidad de acceso a los medicamentos por el ciudadano. En el caso de los preservativos habría que añadir que, al no tratarse de un medicamento sino de un producto higiénico, suele hallarse disponible en máquinas tragaperras instaladas en lugares públicos, sin obligada intervención de farmacéutico alguno. Sugerir que ello pueda dar paso a una sanción grave al mismo farmacéutico cuyo derecho a la objeción se ha visto reconocido por el Tribunal cobra visos de argument</w:t>
      </w:r>
      <w:r w:rsidRPr="0085709A">
        <w:rPr>
          <w:i/>
        </w:rPr>
        <w:t>o ad absurd</w:t>
      </w:r>
      <w:r>
        <w:t>um.</w:t>
      </w:r>
    </w:p>
    <w:p w:rsidR="0085709A" w:rsidRDefault="0085709A" w:rsidP="0085709A">
      <w:pPr>
        <w:pStyle w:val="TextoNormal"/>
      </w:pPr>
    </w:p>
    <w:p w:rsidR="0085709A" w:rsidRDefault="0085709A" w:rsidP="0085709A">
      <w:pPr>
        <w:pStyle w:val="TextoNormal"/>
      </w:pPr>
      <w:r>
        <w:t xml:space="preserve">En todo caso, lo que dista de resultar irrelevante es la presunta fundamentación (FJ 6) de este llamativo dictamen. En modo alguno puedo compartir la afirmación de que “es patente que el incumplimiento de la obligación relativa a las existencias de preservativos queda extramuros de la protección que brinda el precepto constitucional indicado. La renuencia del demandante a disponer de profilácticos en su oficina de farmacia no queda amparada por la dimensión constitucional de la objeción de conciencia que dimana de la libertad de creencias reconocida en el art. 16.1 CE”. Todo parece indicar que se está incurriendo en la ya criticada identificación de conciencia con moralidad, o incluso con “creencias”. Dejando aparte la dimensión de “laicidad positiva” que aquí no entra en juego, las exigencias del artículo 16 CE giran en torno a la neutralidad de los poderes públicos y su no injerencia en la conciencia —jurídica o moral— del ciudadano. No parece compatible con ello que los Magistrados del Tribunal puedan considerarse llamados a erigirse en directores espirituales de los ciudadanos, aleccionándolos sobre qué exigencias de su conciencia gozan de la protección de un derecho fundamental y cuáles han de verse descartadas por tratarse de retorcidos escrúpulos. No se me ocurre ningún argumento, ni la Sentencia los ofrece, para poder afirmar sobre la disposición de preservativos que ningún “conflicto de conciencia con relevancia constitucional puede darse en este supuesto”. Tampoco los ofrece el recurrente, que solo alude a los preservativos para hacer notar que el incidente de nulidad de actuaciones </w:t>
      </w:r>
      <w:r>
        <w:lastRenderedPageBreak/>
        <w:t>que suscita no era improcedente, al no coincidir con el contenido de la resolución del Tribunal Europeo de Derechos Humanos en el cas</w:t>
      </w:r>
      <w:r w:rsidRPr="0085709A">
        <w:rPr>
          <w:i/>
        </w:rPr>
        <w:t>o Pichon y Sajo</w:t>
      </w:r>
      <w:r>
        <w:t>us.</w:t>
      </w:r>
    </w:p>
    <w:p w:rsidR="0085709A" w:rsidRDefault="0085709A" w:rsidP="0085709A">
      <w:pPr>
        <w:pStyle w:val="TextoNormal"/>
      </w:pPr>
    </w:p>
    <w:p w:rsidR="0085709A" w:rsidRDefault="0085709A" w:rsidP="0085709A">
      <w:pPr>
        <w:pStyle w:val="TextoNormal"/>
      </w:pPr>
      <w:r>
        <w:t>No es inusual que cuando se suscitan problemas de objeción de conciencia el que ha de juzgarlo tienda a ponerse en el lugar del objetor para dictaminar si merece o no protección. Es obvio que, de tratarse de instancias públicas, la neutralidad y no injerencia solo permite calibrar la “seriedad” de la actitud del objetor (avalada en este caso por el fundamento jurídico 5, sin distinción alguna entre los productos afectados por ella), su coherencia de conducta y la inexistencia de circunstancias que pudieran llevar a detectar intención alguna de obtener algún beneficio personal más propio de la picaresca. De lo contrario, surgiría el riesgo adicional de que la tolerancia sustituya a la justicia. Así, cuando se trata de exigencias vinculadas a doctrinas minoritarias (rechazo de trasfusiones de sangre, negativa a incinerar cadáveres…) se tendería tolerantemente a conceder la excepción; cuando se trata, por el contrario, de planteamientos doctrinales más extendidos cualquiera podría considerarse llamado a distinguir entre libertad de espíritu y exceso fundamentalista. Me temo que así ha ocurrido en la Sentencia. El problema es que la conciencia relevante a la hora de reconocer el derecho a la objeción es la del objetor; no la de quien emite el veredicto. Su contrapeso en la ponderación no ha de ser nunca la conciencia de éste sino la repercusión sobre derechos de terceros.</w:t>
      </w:r>
    </w:p>
    <w:p w:rsidR="0085709A" w:rsidRDefault="0085709A" w:rsidP="0085709A">
      <w:pPr>
        <w:pStyle w:val="TextoNormal"/>
      </w:pPr>
    </w:p>
    <w:p w:rsidR="0085709A" w:rsidRDefault="0085709A" w:rsidP="0085709A">
      <w:pPr>
        <w:pStyle w:val="TextoNormal"/>
      </w:pPr>
      <w:r>
        <w:t>Por todo ello emito mi Voto particular concurrente.</w:t>
      </w:r>
    </w:p>
    <w:p w:rsidR="0085709A" w:rsidRDefault="0085709A" w:rsidP="0085709A">
      <w:pPr>
        <w:pStyle w:val="TextoNormal"/>
      </w:pPr>
    </w:p>
    <w:p w:rsidR="0085709A" w:rsidRDefault="0085709A" w:rsidP="0085709A">
      <w:pPr>
        <w:pStyle w:val="TextoNormal"/>
      </w:pPr>
      <w:r>
        <w:t>Madrid, a veinticinco de junio de dos mil quince.</w:t>
      </w:r>
    </w:p>
    <w:p w:rsidR="0085709A" w:rsidRDefault="0085709A" w:rsidP="0085709A">
      <w:pPr>
        <w:pStyle w:val="TextoNormal"/>
      </w:pPr>
    </w:p>
    <w:p w:rsidR="0085709A" w:rsidRDefault="0085709A" w:rsidP="0085709A">
      <w:pPr>
        <w:pStyle w:val="TextoNormalNegritaCentrado"/>
        <w:keepNext/>
      </w:pPr>
      <w:r>
        <w:t>Voto particular que formula el Magistrado don Fernando Valdés Dal-Ré a la Sentencia dictada en el recurso de amparo avocado núm. 412-2012, y al que se adhiere el Magistrado don Juan Antonio Xiol Ríos.</w:t>
      </w:r>
    </w:p>
    <w:p w:rsidR="0085709A" w:rsidRDefault="0085709A" w:rsidP="0085709A">
      <w:pPr>
        <w:pStyle w:val="TextoNormalNegritaCentrado"/>
        <w:keepNext/>
      </w:pPr>
    </w:p>
    <w:p w:rsidR="0085709A" w:rsidRDefault="0085709A" w:rsidP="0085709A">
      <w:pPr>
        <w:pStyle w:val="TextoNormal"/>
      </w:pPr>
      <w:r>
        <w:t>Como tuve oportunidad de manifestar a lo largo de las deliberaciones del presente proceso constitucional, disiento de la decisión mayoritariamente adoptada por el Pleno de este Tribunal. Antes de enunciar mi acusado e intenso disentimiento ante el presente pronunciamiento, quiero empezar por manifestar mi respeto a la decisión de la mayoría, alcanzada tras largas sesiones de debate en el plenario. Podré así, desde esa convicción y afirmación institucional, sin ofender su legitimidad y sin abandonar la cortesía, subrayar mi inquietud al asistir a un pronunciamiento de tendencia ideológica marcada, pero que termina banalizando la solución del conflicto que sustancia; en otras palabras, mi preocupación ante un buen ejemplo de cómo una decisión de este Tribunal no habría de razonar y de lo que no debería nunca erigirse en jurisprudencia constitucional. Tengo para mí que con resoluciones como la presente nuestro modelo de tutela mediante la vía del amparo se enfrenta a una regresión creciente y manifiesta, poniendo entre paréntesis el equilibrio necesario que sustenta la respetada reputación institucional de este órgano constitucional.</w:t>
      </w:r>
    </w:p>
    <w:p w:rsidR="0085709A" w:rsidRDefault="0085709A" w:rsidP="0085709A">
      <w:pPr>
        <w:pStyle w:val="TextoNormal"/>
      </w:pPr>
    </w:p>
    <w:p w:rsidR="0085709A" w:rsidRDefault="0085709A" w:rsidP="0085709A">
      <w:pPr>
        <w:pStyle w:val="TextoNormal"/>
      </w:pPr>
      <w:r>
        <w:t xml:space="preserve">Por las razones que de inmediato se expondrán, entiendo que el fallo debió de desestimar la pretensión de amparo por no existir conflicto constitucional alguno que pueda vincular el derecho fundamental invocado con la sanción impuesta al recurrente. Y es que la Sentencia de la que me aparto, en lugar de afrontar el asunto desde la aplicación de las premisas invariables y constantes de nuestra doctrina constitucional sobre el objeto posible de un recurso </w:t>
      </w:r>
      <w:r>
        <w:lastRenderedPageBreak/>
        <w:t>de amparo, ha optado de manera bien poco razonable por elevar a categoría constitucional una posición ideológica de acusada tendencia, prescindiendo de elaborar un discurso dotado del obligado fundamento de constitucionalidad. Lamentablemente, esta Sentencia es eso; poco más que eso. La debilidad de sus argumentos, como muestra la exánime ponderación que efectúa, llamará la atención y activará las alarmas de los estudiosos de una doctrina, como la construida por este Tribunal en materia de derechos fundamentales, que goza de un tan reconocido como merecido prestigio.</w:t>
      </w:r>
    </w:p>
    <w:p w:rsidR="0085709A" w:rsidRDefault="0085709A" w:rsidP="0085709A">
      <w:pPr>
        <w:pStyle w:val="TextoNormal"/>
      </w:pPr>
    </w:p>
    <w:p w:rsidR="0085709A" w:rsidRDefault="0085709A" w:rsidP="0085709A">
      <w:pPr>
        <w:pStyle w:val="TextoNormal"/>
      </w:pPr>
      <w:r>
        <w:t>2. Una más exacta comprensión de las razones de mi abierta discrepancia con la Sentencia de la mayoría hace aconsejable comenzar por resumir los hechos que concurren en el presente proceso constitucional.</w:t>
      </w:r>
    </w:p>
    <w:p w:rsidR="0085709A" w:rsidRDefault="0085709A" w:rsidP="0085709A">
      <w:pPr>
        <w:pStyle w:val="TextoNormal"/>
      </w:pPr>
    </w:p>
    <w:p w:rsidR="0085709A" w:rsidRDefault="0085709A" w:rsidP="0085709A">
      <w:pPr>
        <w:pStyle w:val="TextoNormal"/>
      </w:pPr>
      <w:r>
        <w:t xml:space="preserve">El demandante de amparo, cotitular de una oficina de farmacia en la ciudad de Sevilla, fue sancionado con multa de 3.300 euros como consecuencia de que el establecimiento </w:t>
      </w:r>
      <w:r w:rsidRPr="0085709A">
        <w:rPr>
          <w:i/>
        </w:rPr>
        <w:t>carecía de existencias</w:t>
      </w:r>
      <w:r>
        <w:t xml:space="preserve"> de preservativos y del medicamento con el principio activo levonorgestrel 0’750 mg (coloquialmente conocido como “píldora del día después”). Tales datos resultan del acta levantada por la Inspección Provincial de Servicios Sanitarios de la Junta de Andalucía a raíz de la denuncia presentada por el ciudadano que pretendió adquirir, sin éxito, un paquete de preservativos. Esta denuncia, por tanto y se trata de un hecho relevante, no tuvo origen en una previa denegación del recurrente a dispensar la píldora, sino en la negativa a la venta de preservativos en dicha farmacia. El expediente sancionador no trajo causa, ni directa ni indirecta, en una resistencia a la dispensación de la píldora reseñada; o, lo que es igual, la sanción no derivó de un rechazo a expender medicamentos de esta naturaleza, sino de la falta de disposición de las existencias de aquellos productos que la normativa aplicable exige, según acreditó la inspección derivada de la denuncia descrita. Prueba definitiva de ello radica en que fueran sancionados los dos farmacéuticos titulares de la farmacia, pese a que sólo consta que uno de ellos, el recurrente en amparo, manifestase no disponer de dichos productos y medicamentos por razones de conciencia. Tampoco consta que hayan invocado objeción de conciencia ni el cotitular de la farmacia ni alguno de sus empleados; que los había, pues uno de ellos, según deja acreditado la resolución administrativa, fue el que se relacionó con el ciudadano que pretendía adquirir preservativos y formuló la denuncia. En suma, no hubo omisión de dispensación ni sanción por una resistencia activa y singular a dispensar la “píldora del día después”. Ni tan siquiera hubo participación directa y personal del recurrente de amparo en los hechos denunciados que dieron lugar a la apertura del expediente sancionador.</w:t>
      </w:r>
    </w:p>
    <w:p w:rsidR="0085709A" w:rsidRDefault="0085709A" w:rsidP="0085709A">
      <w:pPr>
        <w:pStyle w:val="TextoNormal"/>
      </w:pPr>
    </w:p>
    <w:p w:rsidR="0085709A" w:rsidRDefault="0085709A" w:rsidP="0085709A">
      <w:pPr>
        <w:pStyle w:val="TextoNormal"/>
      </w:pPr>
      <w:r>
        <w:t>En resumen, si no hubo negativa a la dispensación de la conocida como “píldora del día después”, ni sanción por esa causa, no pudo haber lugar al conflicto personal que trata de ampararse en la objeción de conciencia. Los hechos lo demuestran con toda claridad: lo reconoce la misma Sentencia en sus antecedentes y se verifica en las actuaciones.</w:t>
      </w:r>
    </w:p>
    <w:p w:rsidR="0085709A" w:rsidRDefault="0085709A" w:rsidP="0085709A">
      <w:pPr>
        <w:pStyle w:val="TextoNormal"/>
      </w:pPr>
    </w:p>
    <w:p w:rsidR="0085709A" w:rsidRDefault="0085709A" w:rsidP="0085709A">
      <w:pPr>
        <w:pStyle w:val="TextoNormal"/>
      </w:pPr>
      <w:r>
        <w:t xml:space="preserve">3. El análisis de los datos del presente recurso de amparo evidencia que el debate constitucional sobre la cuestión planteada resultaba de todo punto artificial ya que no aparecía la obligada premisa para su activación; esto es, la concurrencia de un conflicto constitucional. Pese a que, como se razonó con reiteración en los debates del Pleno, tal circunstancia inhabilitaba por completo el conocer y resolver sobre el derecho alegado como violado, el pronunciamiento mayoritario no se molesta en dedicar reflexión alguna a tan decisiva carencia. </w:t>
      </w:r>
      <w:r>
        <w:lastRenderedPageBreak/>
        <w:t>Desde luego, la mayoría de nuestro Tribunal puede defender y plasmar las tesis constitucionales que estime pertinentes en cada pronunciamiento; pero no es dable que soslaye las reglas más canónicas y ortodoxas de la interpretación constitucional o que las aplique de manera selectiva, como en mi opinión sucede en el presente caso.</w:t>
      </w:r>
    </w:p>
    <w:p w:rsidR="0085709A" w:rsidRDefault="0085709A" w:rsidP="0085709A">
      <w:pPr>
        <w:pStyle w:val="TextoNormal"/>
      </w:pPr>
    </w:p>
    <w:p w:rsidR="0085709A" w:rsidRDefault="0085709A" w:rsidP="0085709A">
      <w:pPr>
        <w:pStyle w:val="TextoNormal"/>
      </w:pPr>
      <w:r>
        <w:t>Por esa razón me veo obligado a recordar que no existe el amparo cautelar y, por consiguiente, cuando no existe lesión a derecho constitucional alguno, no hay posibilidad de su reparación. En relación con tan elemental pero crucial tema radica mi preocupación mayor: en que se da de lado la idea que sustenta la jurisdicción de amparo. Esta, en efecto, no ha sido reconocida y regulada para reparar infracciones de preceptos sino vulneraciones de derechos, de modo que no resulta viable constitucionalmente la tutela en abstracto de supuestas lesiones no causadas, ya que en esta vía, en la del recurso de amparo, ni cabe un enjuiciamiento sobre si se acomodaría o no a un derecho fundamental un acto de un poder público que no se ha llegado a producir, ni tal proceso es un medio de depuración abstracta de disposiciones normativas. Y en el caso enjuiciado, insisto de nuevo, no hay ni norma aplicada ni acto sancionador vinculado a la objeción de conciencia que se invoca en el recurso, ya que no llegó a existir conflicto alguno en el supuesto de hecho. El conflicto que está en la base de la objeción de conciencia sólo hubiera podido materializarse en el momento de la dispensación, porque sólo poniendo en manos de un cliente ese medicamento hubiera nacido el pretendido riesgo “abortivo” que el objetor aprecia y quiere evitar. Mientras ese acto no hubiera acaecido —y no ha llegado a acaecer—, y la sanción no hubiera respondido a ello —y no ha sido de ello consecuencia—, no puede estar concernida, ni siquiera potencialmente, la objeción de conciencia, más allá de lo que quepa decir sobre ella, sus contenidos y su encuadramiento constitucional.</w:t>
      </w:r>
    </w:p>
    <w:p w:rsidR="0085709A" w:rsidRDefault="0085709A" w:rsidP="0085709A">
      <w:pPr>
        <w:pStyle w:val="TextoNormal"/>
      </w:pPr>
    </w:p>
    <w:p w:rsidR="0085709A" w:rsidRDefault="0085709A" w:rsidP="0085709A">
      <w:pPr>
        <w:pStyle w:val="TextoNormal"/>
      </w:pPr>
      <w:r>
        <w:t>En este contexto, a nadie extrañará que de inmediato me formule en términos dialécticos una serie de preguntas, todas ellas dotadas del obligado anclaje constitucional, tales como dónde está el debate sobre el conflicto entre derechos, dónde la lesión causada a derechos del demandante o, en fin, cómo pueden vincularse los hechos acaecidos con la libertad ideológica (art. 16 CE) y la objeción de conciencia, nacida ésta, por enunciar la idea con el lenguaje utilizado por la Sentencia de la mayoría, de la colisión entre la concepción que profesa el demandante sobre el derecho a la vida y la duda razonable existente sobre la producción de efectos abortivos por el referido principio activo levonorgestrel 0’750 mg, como probaría la falta de unanimidad científica al respecto.</w:t>
      </w:r>
    </w:p>
    <w:p w:rsidR="0085709A" w:rsidRDefault="0085709A" w:rsidP="0085709A">
      <w:pPr>
        <w:pStyle w:val="TextoNormal"/>
      </w:pPr>
    </w:p>
    <w:p w:rsidR="0085709A" w:rsidRDefault="0085709A" w:rsidP="0085709A">
      <w:pPr>
        <w:pStyle w:val="TextoNormal"/>
      </w:pPr>
      <w:r>
        <w:t>Para eludir la anterior, obligada e ineludible comprensión del recurso de amparo, no resulta en modo alguno razonable alegar que la tenencia de las existencias de medicamentos legalmente exigidas tiene una dimensión o vertiente finalista: “disposición para dispensar”. Y no cabe ese argumento, digo, entre otras variadas razones y sin entrar en los márgenes del derecho que se invoca, porque olvida que la objeción de conciencia pretendida no puede extenderse sobre el establecimiento farmacéutico, en su conjunto, como si se tratara de una unidad personal. Así lo pide la propia configuración de la libertad ideológica y de la objeción de conciencia como derechos personales e intransferibles. Y en el presente caso, vuelvo a reiterarlo, ni quedó acreditado el conflicto de conciencia, ni tampoco que, de haber existido el mismo por intervención directa y personal del recurrente en una omisión de dispensación, el cumplimiento normativo no pudiera haberse llevado a cabo por quienes nunca opusieron razones de conciencia (el cotitular de la farmacia o un empleado).</w:t>
      </w:r>
    </w:p>
    <w:p w:rsidR="0085709A" w:rsidRDefault="0085709A" w:rsidP="0085709A">
      <w:pPr>
        <w:pStyle w:val="TextoNormal"/>
      </w:pPr>
    </w:p>
    <w:p w:rsidR="0085709A" w:rsidRDefault="0085709A" w:rsidP="0085709A">
      <w:pPr>
        <w:pStyle w:val="TextoNormal"/>
      </w:pPr>
      <w:r>
        <w:lastRenderedPageBreak/>
        <w:t xml:space="preserve">Esa circunstancia ya excluía toda dimensión constitucional del caso sometido a nuestro enjuiciamiento, por más que se haya insistido en soslayarla a fin de elevar a categoría constitucional una línea de pensamiento, con una finalidad profundamente ideológica que se revela en el </w:t>
      </w:r>
      <w:r w:rsidRPr="0085709A">
        <w:rPr>
          <w:i/>
        </w:rPr>
        <w:t>iter</w:t>
      </w:r>
      <w:r>
        <w:t xml:space="preserve"> argumental que desemboca en la conclusión alcanzada. Me parece manifiestamente contrario a nuestra doctrina reiterada, invariable y constante sobre el proceso constitucional de amparo, que se sienten ciertas conclusiones y se tome postura en un conflicto ideológico que no se ha producid</w:t>
      </w:r>
      <w:r w:rsidRPr="0085709A">
        <w:rPr>
          <w:i/>
        </w:rPr>
        <w:t>o ad cas</w:t>
      </w:r>
      <w:r>
        <w:t>um.</w:t>
      </w:r>
    </w:p>
    <w:p w:rsidR="0085709A" w:rsidRDefault="0085709A" w:rsidP="0085709A">
      <w:pPr>
        <w:pStyle w:val="TextoNormal"/>
      </w:pPr>
    </w:p>
    <w:p w:rsidR="0085709A" w:rsidRDefault="0085709A" w:rsidP="0085709A">
      <w:pPr>
        <w:pStyle w:val="TextoNormal"/>
      </w:pPr>
      <w:r>
        <w:t>4. El ficticio conflicto ideológico, de haber existido, hubiera requerido un debate jurídico complejo que, desde luego, no plasma el texto aprobado. No puedo dialogar en divergencia con una construcción doctrinal omitida, pero tampoco puedo dejar de aspirar a que ese debate se celebre, en su momento, bajo premisas de naturaleza rigurosamente jurídico-constitucional. A pesar de ello, y a efectos puramente dialécticos, no me resisto a dejar constancia de mi abierto disentimiento con el juicio de ponderación que realiza la presente Sentencia sobre los intereses en presencia.</w:t>
      </w:r>
    </w:p>
    <w:p w:rsidR="0085709A" w:rsidRDefault="0085709A" w:rsidP="0085709A">
      <w:pPr>
        <w:pStyle w:val="TextoNormal"/>
      </w:pPr>
    </w:p>
    <w:p w:rsidR="0085709A" w:rsidRDefault="0085709A" w:rsidP="0085709A">
      <w:pPr>
        <w:pStyle w:val="TextoNormal"/>
      </w:pPr>
      <w:r>
        <w:t>La resolución mayoritaria, en efecto, señala en primer lugar que en “en las actuaciones no figura dato alguno a través del cual se infiera el riesgo de que la dispensación ‘de la píldora del día después’ se viera obstaculizada, pues amén de que la farmacia regentada por el demandante se ubica en el centro urbano de la ciudad de Sevilla, dato éste del que se deduce la disponibilidad de otras oficinas de farmacia relativamente cercanas, ninguna otra circunstancia permite colegir que el derecho de la mujer a acceder a los medicamentos anticonceptivos autorizados por el ordenamiento jurídico vigente fuera puesto en peligro”. Al margen de que tal situación, como se ha razonado, no llegó a producirse en lo que atañe al menos al expediente sancionatorio de origen, y con independencia del efecto discriminatorio que late en el peregrinaje que se deriva de esa lógica y de la minusvaloración del derecho a la vida, a la integridad física y psíquica y a la salud de la mujer que lleva aparejada (arts. 14, 15 y 43 CE), la Sentencia de mi divergencia ni siquiera se toma la molestia de verificar el argumento que emplea mediante el expediente de ofrecer datos objetivos sobre el particular en el que intenta sustentarse. Siguiendo su quebradiza lógica, para que el argumento pudiera poseer una mínima solvencia, tendría que haber efectuado una valoración sobre otras hipótesis —por cierto, tan carentes de verificación como la que se enuncia—, señaladamente la existencia de una cadena o suma de resistencias a la dispensación. Si se construye la constitucionalidad desde meras hipótesis, se deberían contemplar todas las posibles, incluso la negativa generalizada a la dispensación, pues de otro modo se arriesga a que el razonamiento pierda no sólo su precario soporte jurídico sino incluso otro previo de carácter fáctico.</w:t>
      </w:r>
    </w:p>
    <w:p w:rsidR="0085709A" w:rsidRDefault="0085709A" w:rsidP="0085709A">
      <w:pPr>
        <w:pStyle w:val="TextoNormal"/>
      </w:pPr>
    </w:p>
    <w:p w:rsidR="0085709A" w:rsidRDefault="0085709A" w:rsidP="0085709A">
      <w:pPr>
        <w:pStyle w:val="TextoNormal"/>
      </w:pPr>
      <w:r>
        <w:t xml:space="preserve">Por otra parte, me importa también destacar que, al realizar la labor de ponderación, la Sentencia de la mayoría prescinde abiertamente de toda consideración acerca de la regulación legal sobre la dispensación de medicamentos, como exigencia para la debida atención a las necesidades de la comunidad; es éste un factor que simplemente se ignora. Pero no cabe olvidar que la obligación de dispensar medicamentos en las oficinas de farmacia responde a las previsiones del art. 43 CE, que reconoce el derecho a la protección de la salud, correspondiendo a los poderes públicos organizar y tutelar la salud pública a través de las medidas preventivas y de las prestaciones y servicios necesarios, siendo la ley la que establece los derechos y deberes de todos al respecto. Una previsión constitucional, la del art. </w:t>
      </w:r>
      <w:r>
        <w:lastRenderedPageBreak/>
        <w:t>43 CE, que en no pocas ocasiones hemos vinculado al derecho fundamental consagrado en el art. 15 CE.</w:t>
      </w:r>
    </w:p>
    <w:p w:rsidR="0085709A" w:rsidRDefault="0085709A" w:rsidP="0085709A">
      <w:pPr>
        <w:pStyle w:val="TextoNormal"/>
      </w:pPr>
    </w:p>
    <w:p w:rsidR="0085709A" w:rsidRDefault="0085709A" w:rsidP="0085709A">
      <w:pPr>
        <w:pStyle w:val="TextoNormal"/>
      </w:pPr>
      <w:r>
        <w:t>El argumento final de la Sentencia para justificar la objeción de conciencia del actor reside en las previsiones que al respecto contienen los estatutos del Colegio de Farmacéuticos de Sevilla y el código de ética farmacéutica y deontología de la profesión farmacéutica, que se elevan poco menos que al rango de normas constitucionales. A pesar de ser consciente de la banalidad jurídica que enuncio de seguido, debo recordar que esos estatutos y códigos podrán establecer lo que las respectivas corporaciones tengan por conveniente, pero que sus previsiones se habrán de desarrollar de conformidad con lo que establezcan la Constitución, las leyes que se dicten en la materia y el resto del ordenamiento jurídico. Pero la única norma aquí invocable, digna de atención, es un decreto del gobierno de Andalucía que regula las existencias mínimas con las que deben contar en Andalucía las oficinas de farmacia, entre las que se encuentra la “píldora del día después”, y que el actor incumplió por su propia y exclusiva voluntad.</w:t>
      </w:r>
    </w:p>
    <w:p w:rsidR="0085709A" w:rsidRDefault="0085709A" w:rsidP="0085709A">
      <w:pPr>
        <w:pStyle w:val="TextoNormal"/>
      </w:pPr>
    </w:p>
    <w:p w:rsidR="0085709A" w:rsidRDefault="0085709A" w:rsidP="0085709A">
      <w:pPr>
        <w:pStyle w:val="TextoNormal"/>
      </w:pPr>
      <w:r>
        <w:t>Y en este sentido emito mi Voto particular.</w:t>
      </w:r>
    </w:p>
    <w:p w:rsidR="0085709A" w:rsidRDefault="0085709A" w:rsidP="0085709A">
      <w:pPr>
        <w:pStyle w:val="TextoNormal"/>
      </w:pPr>
    </w:p>
    <w:p w:rsidR="0085709A" w:rsidRDefault="0085709A" w:rsidP="0085709A">
      <w:pPr>
        <w:pStyle w:val="TextoNormal"/>
      </w:pPr>
      <w:r>
        <w:t>Madrid, a veinticinco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49" w:name="SENTENCIA_2015_146"/>
      <w:r>
        <w:lastRenderedPageBreak/>
        <w:t>SENTENCIA 146/2015, de 25 de junio de 2015</w:t>
      </w:r>
    </w:p>
    <w:bookmarkEnd w:id="149"/>
    <w:p w:rsidR="0085709A" w:rsidRDefault="0085709A" w:rsidP="0085709A">
      <w:pPr>
        <w:pStyle w:val="TtuloResolucin"/>
      </w:pPr>
      <w:r>
        <w:t>Pleno</w:t>
      </w:r>
    </w:p>
    <w:p w:rsidR="0085709A" w:rsidRDefault="0085709A" w:rsidP="0085709A">
      <w:pPr>
        <w:pStyle w:val="TtuloBOE"/>
      </w:pPr>
      <w:r>
        <w:t>(BOE núm. 182, de 31 de julio de 2015)</w:t>
      </w:r>
    </w:p>
    <w:p w:rsidR="0085709A" w:rsidRDefault="0085709A" w:rsidP="0085709A">
      <w:pPr>
        <w:pStyle w:val="TextoNormalCentrado"/>
      </w:pPr>
      <w:r>
        <w:t>ECLI:ES:TC:2015:146</w:t>
      </w:r>
    </w:p>
    <w:p w:rsidR="0085709A" w:rsidRDefault="0085709A" w:rsidP="0085709A">
      <w:pPr>
        <w:pStyle w:val="TextoNormalCentrado"/>
      </w:pPr>
    </w:p>
    <w:p w:rsidR="0085709A" w:rsidRDefault="0085709A" w:rsidP="0085709A">
      <w:pPr>
        <w:pStyle w:val="SntesisDescriptiva"/>
      </w:pPr>
      <w:r>
        <w:t>Recurso de amparo 6280-2012. Promovido por don Félix Santiago Melián en relación con la Sentencia de la Sala de lo Contencioso-Administrativo de la Audiencia Nacional que desestimó su impugnación de las resoluciones sancionadoras dictadas por la Administración tributaria en relación con la liquidación del impuesto sobre la renta de las personas físicas.</w:t>
      </w:r>
    </w:p>
    <w:p w:rsidR="0085709A" w:rsidRDefault="0085709A" w:rsidP="0085709A">
      <w:pPr>
        <w:pStyle w:val="SntesisDescriptiva"/>
      </w:pPr>
    </w:p>
    <w:p w:rsidR="0085709A" w:rsidRDefault="0085709A" w:rsidP="0085709A">
      <w:pPr>
        <w:pStyle w:val="SntesisAnaltica"/>
      </w:pPr>
      <w:r>
        <w:t>Supuesta vulneración del derecho a la legalidad sancionadora: subsunción de la conducta consistente en la emisión de facturas carentes de sustento real en operación económica, en el tipo relativo al incumplimiento de las obligaciones de facturación. Voto particular.</w:t>
      </w:r>
    </w:p>
    <w:p w:rsidR="0085709A" w:rsidRDefault="0085709A" w:rsidP="0085709A">
      <w:pPr>
        <w:pStyle w:val="SntesisAnaltica"/>
      </w:pPr>
    </w:p>
    <w:p w:rsidR="0085709A" w:rsidRDefault="0085709A" w:rsidP="0085709A">
      <w:pPr>
        <w:pStyle w:val="Extracto"/>
      </w:pPr>
      <w:r>
        <w:t>1.</w:t>
      </w:r>
      <w:r>
        <w:tab/>
        <w:t>Se rechaza que la subsunción de la conducta consistente en la emisión de facturas falsas haya vulnerado el derecho del recurrente a la legalidad penal y sancionadora, como también se rechaza que haya problema de constitucionalidad, en la medida que se respetan las pautas metodológicas y axiológicas de interpretación del precepto [FJ 4].</w:t>
      </w:r>
    </w:p>
    <w:p w:rsidR="0085709A" w:rsidRDefault="0085709A" w:rsidP="0085709A">
      <w:pPr>
        <w:pStyle w:val="Extracto"/>
      </w:pPr>
    </w:p>
    <w:p w:rsidR="0085709A" w:rsidRDefault="0085709A" w:rsidP="0085709A">
      <w:pPr>
        <w:pStyle w:val="Extracto"/>
      </w:pPr>
      <w:r>
        <w:t>2.</w:t>
      </w:r>
      <w:r>
        <w:tab/>
        <w:t>Se rechaza que la subsunción de la conducta consistente en la emisión de facturas falsas haya vulnerado el derecho del recurrente a la legalidad penal y sancionadora, como también se rechaza que haya problema de constitucionalidad, en la medida que se respetan las pautas metodológicas y axiológicas de interpretación del precepto [FJ 4].</w:t>
      </w:r>
    </w:p>
    <w:p w:rsidR="0085709A" w:rsidRDefault="0085709A" w:rsidP="0085709A">
      <w:pPr>
        <w:pStyle w:val="Extracto"/>
      </w:pPr>
    </w:p>
    <w:p w:rsidR="0085709A" w:rsidRDefault="0085709A" w:rsidP="0085709A">
      <w:pPr>
        <w:pStyle w:val="Extracto"/>
      </w:pPr>
      <w:r>
        <w:t>3.</w:t>
      </w:r>
      <w:r>
        <w:tab/>
        <w:t>La interpretación del contenido de los tipos sancionadores y el control del proceso de subsunción de los hechos probados en los preceptos aplicados es una cuestión ajena al contenido propio de la jurisdicción constitucional, al ser esta una función que, de acuerdo con lo establecido en el art. 117.3 CE, corresponde en exclusiva a los Jueces y Tribunales ordinarios; ahora bien, la función que sí  compete a este Tribunal es la de verificar que la subsunción de los hechos en el correspondiente tipo, administrativo o penal, respeta las exigencias del derecho a la legalidad penal (STC 199/2013) [FJ 2].</w:t>
      </w:r>
    </w:p>
    <w:p w:rsidR="0085709A" w:rsidRDefault="0085709A" w:rsidP="0085709A">
      <w:pPr>
        <w:pStyle w:val="Extracto"/>
      </w:pPr>
    </w:p>
    <w:p w:rsidR="0085709A" w:rsidRDefault="0085709A" w:rsidP="0085709A">
      <w:pPr>
        <w:pStyle w:val="Extracto"/>
      </w:pPr>
      <w:r>
        <w:t>4.</w:t>
      </w:r>
      <w:r>
        <w:tab/>
        <w:t>El derecho a la legalidad penal y sancionadora supone que nadie puede ser condenado o sancionado por acciones u omisiones que no constituyan delito, falta o infracción administrativa, según la legislación vigente, en el momento de la comisión del hecho, quebrándose este derecho cuando la conducta enjuiciada, la ya delimitada como probada, es subsumida de un modo irrazonable en el tipo que resulta aplicado (SSTC 57/2010, 153/2011, 196/2013)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el recurso de amparo núm. 6280-2012, promovido por don Félix Santiago Melián, representado por el Procurador de los Tribunales don Gabriel Casado Rodríguez, bajo la dirección del Letrado don Gabriel Casado Ollero, contra la Sentencia de la Sección Cuarta de la Sala de lo Contencioso-Administrativo de la Audiencia Nacional de fecha 26 de septiembre de 2012, por la que se desestima el recurso contencioso-administrativo núm. 168/2011 interpuesto contra la Resolución del Tribunal Económico-Administrativo de fecha 5 de octubre de 2011, desestimatoria, a su vez, de la reclamación económico-administrativa promovida contra el Acuerdo A23-70342860 de fecha 10 de marzo de 2010, de la Dependencia Regional de Inspección de la Delegación Especial de Canarias, por el que se le impone una sanción tributaria por importe de 337.426,26 € por la comisión de la infracción prevista en el art. 201 de la Ley 58/2003, de 17 de diciembre, General Tributaria. Han intervenido el Abogado del Estado, en la representación que ostenta, y el Ministerio Fiscal. Ha sido Ponente la Magistrada doña Adela Asua Batarrita,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Por escrito registrado en este Tribunal el día 7 de noviembre de 2012, don Gabriel Casado Rodríguez, Procurador de los Tribunales, en nombre y representación de don Félix Santiago Melián, interpuso recurso de amparo contra la resolución judicial y las administrativas que se indican en el encabezamiento de esta Sentencia. Los hechos de los que trae causa la demanda de amparo son, en síntesis, los siguientes:</w:t>
      </w:r>
    </w:p>
    <w:p w:rsidR="0085709A" w:rsidRDefault="0085709A" w:rsidP="0085709A">
      <w:pPr>
        <w:pStyle w:val="TextoNormal"/>
      </w:pPr>
    </w:p>
    <w:p w:rsidR="0085709A" w:rsidRDefault="0085709A" w:rsidP="0085709A">
      <w:pPr>
        <w:pStyle w:val="TextoNormal"/>
      </w:pPr>
      <w:r>
        <w:t>a) El actor, empresario individual con doce trabajadores a su cargo, constaba dado de alta en el impuesto sobre actividades económicas desde el día 1 de junio de 2005 en los epígrafes del impuesto sobre actividades económicas 501.3 (“Albañilería y pequeños trabajos de construcción”), 505.1 (“Revestimientos, solados y pavimentación”) y 505.7 (“Trabajo en yeso y escayola”), estando acogido al régimen de estimación objetiva por módulos en el impuesto sobre la renta de las personas físicas (en adelante, IRPF) y en el impuesto general indirecto canario. Además, era administrador del grupo de empresas Félix Santiago Melián (Félix Santiago Melián, S.L., Conagrican, S.L., Hormican, S.L., Costa Llano, S.L., Transportes Félix Santiago Melián, S.L. y Fegrisan, S.L.) y consejero de Mapfre Guanarteme y de la Conferación Canaria de Empresarios. Durante el año 2006 prestó servicios de albañilería a la empresa Félix Santiago Melián, S.L. facturándole un importe de 224.950,85 €. En su autoliquidación del IRPF declaró unos rendimientos netos de actividades económicas en régimen de estimación objetiva por módulos por importe de 28.920,99 €, con una cuota tributaria a ingresar de 4.260,69 €.</w:t>
      </w:r>
    </w:p>
    <w:p w:rsidR="0085709A" w:rsidRDefault="0085709A" w:rsidP="0085709A">
      <w:pPr>
        <w:pStyle w:val="TextoNormal"/>
      </w:pPr>
    </w:p>
    <w:p w:rsidR="0085709A" w:rsidRDefault="0085709A" w:rsidP="0085709A">
      <w:pPr>
        <w:pStyle w:val="TextoNormal"/>
      </w:pPr>
      <w:r>
        <w:lastRenderedPageBreak/>
        <w:t>b) Con fecha de 14 de octubre de 2008 se iniciaron actuaciones de inspección por la dependencia regional de inspección de la Delegación Especial de Canarias, con un alcance parcial, para la comprobación de los resultados de la actividad económica y la procedencia del régimen de estimación objetiva en relación con el IRPF del ejercicio 2006. Fruto de estas actuaciones se dictó con fecha de 10 de marzo de 2010 un acuerdo de liquidación (A23-71683533), en el que se consideraba que el obligado tributario carecía de la estructura empresarial propia de una empresa, sin oficina, local o cualquier otro centro desde el cual llevar la gestión de su actividad, sin vehículos afectos ni lugar donde guardar los útiles y herramientas de la empresa, facturando a un único cliente (la entidad Félix Santiago Melián, S.L.), razón por la cual, se concluye que “no ejerce ninguna actividad económica como empresario individual, habiéndose construido un apariencia externa y formal de tal actividad, dándose de alta como empresario, emitiendo facturas falsas y proporcionando documentos sin soporte material a trabajadores de la empresa” (página 8).</w:t>
      </w:r>
    </w:p>
    <w:p w:rsidR="0085709A" w:rsidRDefault="0085709A" w:rsidP="0085709A">
      <w:pPr>
        <w:pStyle w:val="TextoNormal"/>
      </w:pPr>
    </w:p>
    <w:p w:rsidR="0085709A" w:rsidRDefault="0085709A" w:rsidP="0085709A">
      <w:pPr>
        <w:pStyle w:val="TextoNormal"/>
      </w:pPr>
      <w:r>
        <w:t>Resalta el citado acuerdo que “se trata de uno de los empresarios más conocidos de Canarias, al frente de un grupo que factura más de 67 millones de euros de volumen de negocios” (página 16), respecto de la cual ha quedado acreditado que no puede ser miembro de varios consejos de administración y desarrollar paralelamente una actividad empresarial de forma individual, tratándose “de una situación aparente y simulada teniendo como único propósito la defraudación tributaria mediante la emisión de facturas por un servicio inexistente que han sido utilizadas por el grupo del Sr. Santiago Melián para minorar su tributación efectiva” (página 18). Esa acreditación deriva de los siguientes indicios (páginas 18 y 19): 1) es inverosímil que don Félix Santiago Melián, a sus 70 años de edad, “simultáneamente a su contrastada y voluminosa actividad de dirección empresarial pretenda que inicia a partir del 10 de octubre de 2005 el desarrollo de varias actividades de pequeña albañilería, revestimientos, solados y pavimentación, y trabajos en yeso y escayola”; 2) “emite facturas cuyo único destinatario es la misma entidad ‘Félix Santiago Melián SL’, siendo las cantidades facturadas muy elevadas ‘y sirven a la mencionada entidad como justificantes de gastos que reducen el importe del beneficio obtenido’; 3) el empresario no es el único ‘modulero’ ficticio que ha sido detectado en relación con la misma entidad receptora de facturas; 4) se puede decir que el obligado tributario se factura a sí mismo por presuntos servicios prestados; 5) aunque existen los contratos de trabajadores, los pagos de cotizaciones a la Seguridad Social, el alta en el impuesto de actividades económicas, la inclusión en el régimen de estimación objetiva a efectos del IRPF y la presentación de declaraciones por dicho impuesto, y aunque el trabajo realizado por dichos trabajadores no es inexistente, ello no impide apreciar ‘que forman parte del conjunto de la simulación, de realización de una actividad económica, conjunto necesario para dar la apariencia material y formal requerida’.”</w:t>
      </w:r>
    </w:p>
    <w:p w:rsidR="0085709A" w:rsidRDefault="0085709A" w:rsidP="0085709A">
      <w:pPr>
        <w:pStyle w:val="TextoNormal"/>
      </w:pPr>
    </w:p>
    <w:p w:rsidR="0085709A" w:rsidRDefault="0085709A" w:rsidP="0085709A">
      <w:pPr>
        <w:pStyle w:val="TextoNormal"/>
      </w:pPr>
      <w:r>
        <w:t>En suma, concluye el acuerdo de liquidación, “la actividad económica del obligado tributario declarada en estimación objetiva, es ficticia y orientada a la defraudación en la deuda tributaria del destinatario de las facturas, Félix Santiago Melián S.L., que computa toda esta facturación entre sus gastos” (página 26), razón por la cual, procede a excluir de la parte general de su base imponible los 28.920,99 € declarados como rendimientos de actividades económicas, dando lugar a una cuota negativa de 6.625,44 €, que incrementada en unos intereses de 605,17 €, ofrecen una deuda tributaria a devolver al obligado tributario por importe de 7.230,61 €.</w:t>
      </w:r>
    </w:p>
    <w:p w:rsidR="0085709A" w:rsidRDefault="0085709A" w:rsidP="0085709A">
      <w:pPr>
        <w:pStyle w:val="TextoNormal"/>
      </w:pPr>
    </w:p>
    <w:p w:rsidR="0085709A" w:rsidRDefault="0085709A" w:rsidP="0085709A">
      <w:pPr>
        <w:pStyle w:val="TextoNormal"/>
      </w:pPr>
      <w:r>
        <w:lastRenderedPageBreak/>
        <w:t>c) Junto con el anterior acuerdo de liquidación (A23-71683533), la dependencia regional de inspección de la Delegación Especial de Canarias dictó el mismo día 10 de marzo de 2010 un acuerdo sancionador (A23-70342860) por la comisión de una infracción muy grave del art. 201 de la Ley 58/2003, de 17 de diciembre, general tributaria (en adelante, LGT), relativa al “incumplimiento de las obligaciones de facturación”. Tomando como base de la sanción la facturación realizada a la empresa Félix Santiago Melián, S.L. (224.950,85 €), se le aplica una sanción del 75 por 100 (168.713,13 €), que incrementada en un 100 por 100 (por incumplimiento sustancial de las obligaciones de facturación), ofrece como resultado una sanción por importe de 337.426,26 €.</w:t>
      </w:r>
    </w:p>
    <w:p w:rsidR="0085709A" w:rsidRDefault="0085709A" w:rsidP="0085709A">
      <w:pPr>
        <w:pStyle w:val="TextoNormal"/>
      </w:pPr>
    </w:p>
    <w:p w:rsidR="0085709A" w:rsidRDefault="0085709A" w:rsidP="0085709A">
      <w:pPr>
        <w:pStyle w:val="TextoNormal"/>
      </w:pPr>
      <w:r>
        <w:t>La culpabilidad del recurrente se fundamenta en que se trata “de un destacado empresario, cabeza visible del grupo empresarial que lleva su propio nombre, Félix Santiago Melián, S.L.”, que se da de alta con 70 años en varios epígrafes del impuesto de actividades económicas, facturando 224.950,85 € “cuya única destinataria es, casual y precisamente, Félix Santiago Melián, S.L.” (página 6), "gran empresa que forma parte, como sociedad dependiente de un grupo mercantil y fiscal (núm. 002/00), que el propio obligado tributario dirige” y que “declara una cifra de negocios por importe de 57.936.114,69 € en 2006” (página 7). Se trata de “un gran empresario, muy conocido en las Islas Canarias ... que repentinamente se dedica supuestamente a ejercer de forma simultánea como empresario individual en los epígrafes señalados anteriormente, sin tiempo, supuestamente, para atender un volumen de negocio de su actividad de modulero tan elevado en cuanto a importe y trabajos realizados, los cuales, además, se facturan precisamente a la misma empresa denominada como él” (página 7). “Se detectó toda una serie de incongruencias como la relativa al tiempo que puede dedicar a su labor de albañilería y pequeños trabajos de construcción, habida cuenta de su dedicación a la dirección de su grupo empresarial … sin que parezca creíble que con esta mínima dedicación de tiempo puedan realizarse tantos trabajos y del tipo como los facturados, con unos importes tan elevados y concentrados, curiosamente, exclusivamente en una sola empresa” (página 7). No tiene gasto alguno en su actividad, salvo los de personal; el libro registro de facturas recibidas del impuesto general indirecto canario no recoge factura alguna; existe desproporción en cuanto al margen de beneficios que se deriva de la facturación presuntamente realizada; no existe constancia de organización empresarial, como medios como local o teléfono (página 8). “La operativa resulta obvia: las elevadas facturaciones de los moduleros no repercutían en sus declaraciones tributarias, por el régimen de estimación objetiva de rendimientos que les es aplicable, pero significa elevados gastos deducibles para las empresas destinatarias de las facturas” (página 8).</w:t>
      </w:r>
    </w:p>
    <w:p w:rsidR="0085709A" w:rsidRDefault="0085709A" w:rsidP="0085709A">
      <w:pPr>
        <w:pStyle w:val="TextoNormal"/>
      </w:pPr>
    </w:p>
    <w:p w:rsidR="0085709A" w:rsidRDefault="0085709A" w:rsidP="0085709A">
      <w:pPr>
        <w:pStyle w:val="TextoNormal"/>
      </w:pPr>
      <w:r>
        <w:t xml:space="preserve">Conforme a lo anterior “se consideran probados los hechos que aquí constituyen el ilícito administrativo sancionable —la emisión de facturas sin contraprestación real, es decir, falsas, simulando la realización de una actividad inexistente— y siendo la participación del sujeto infractor incuestionable, resulta ajustado a Derecho proceder a la imposición de la sanción correspondiente a los hechos descritos” (página 8). Los hechos “son constitutivos de la infracción recogida en el art. 201”, conforme al cual “constituye infracción tributaria el incumplimiento de las obligaciones de facturación, entre otras, la de expedición, remisión, rectificación y conservación de facturas, justificantes o documentos sustitutivos” (página 13). Se aplica la sanción prevista, incrementada en un 100 por 100 (art. 201.5 LGT), por haberse producido un incumplimiento sustancial de la obligación de facturación de conformidad con lo previsto en el art. 187.1 c) LGT, que prevé producida la circunstancia del incumplimiento sustancial “cuando dicho incumplimiento afecte a más del 20 por ciento del </w:t>
      </w:r>
      <w:r>
        <w:lastRenderedPageBreak/>
        <w:t>importe de las operaciones sujetas al deber de facturación en relación con el tributo y obligación tributaria objeto de comprobación o investigación”, “falseamiento de los datos” que ese produce “en la totalidad de las facturas emitidas por el obligado tributario” (página 14).</w:t>
      </w:r>
    </w:p>
    <w:p w:rsidR="0085709A" w:rsidRDefault="0085709A" w:rsidP="0085709A">
      <w:pPr>
        <w:pStyle w:val="TextoNormal"/>
      </w:pPr>
    </w:p>
    <w:p w:rsidR="0085709A" w:rsidRDefault="0085709A" w:rsidP="0085709A">
      <w:pPr>
        <w:pStyle w:val="TextoNormal"/>
      </w:pPr>
      <w:r>
        <w:t>d) Contra el anterior acuerdo se presentó una reclamación económico-administrativa directamente ante el Tribunal Económico-Administrativo Central, la núm. 2034-2010, quien por Resolución de su Vocalía Sexta, con fecha de 5 de octubre de 2011, acordó desestimarla. Según esta resolución “cuando son muchos los indicios que ponen en cuestión la realidad de unas supuestas operaciones amparadas bajo la formalidad de unas facturas y sus correlativos pagos monetarios, corresponderá al emisor —en este caso— de aquellas facturas, acreditar ante la Inspección la realidad y efectividad de los servicios que se dicen prestados” [fundamento de Derecho cuarto (página 17)]. Sin embargo, “el interesado se ha limitado a aportar como pruebas las propias facturas, el cobro de las cantidades correspondientes y los contratos de trabajo de los empleados que allí constan, sin aportar una sola prueba que, excediendo de aquellas formalidades, atienda a la realidad de aquellos servicios” [fundamento de Derecho cuarto (página 18)].</w:t>
      </w:r>
    </w:p>
    <w:p w:rsidR="0085709A" w:rsidRDefault="0085709A" w:rsidP="0085709A">
      <w:pPr>
        <w:pStyle w:val="TextoNormal"/>
      </w:pPr>
    </w:p>
    <w:p w:rsidR="0085709A" w:rsidRDefault="0085709A" w:rsidP="0085709A">
      <w:pPr>
        <w:pStyle w:val="TextoNormal"/>
      </w:pPr>
      <w:r>
        <w:t>Para el Tribunal Económico-Administrativo Central, “tan ‘incumplimiento de la obligación de facturación’ constituye la emisión de facturas con datos falsos o falseados, por quien ejerce una actividad empresarial o profesional, como por quien realmente no la ejerce, pues ambas actuaciones vulneran los deberes de facturación que aquella norma impone a los sujetos pasivos, sean o no empresarios o profesionales”. Y añade, “en contra de lo que sostiene el reclamante, la obligación de expedir factura no sólo incumbe a empresarios y profesionales sino a ‘otras personas y entidades’ [art. 1 del Real Decreto 1496/2003, de 28 de noviembre, por el que se aprueba el Reglamento por el que se regulan las obligaciones de facturación], lo que constituye un claro exponente de que dicha obligación de facturación viene referenciada o atiende, no tanto a la persona física o jurídica que realiza una determinada actividad, sino a ésta misma” [fundamento de Derecho quinto (página 23)]. Y añade que idénticas alegaciones han sido desestimadas en un supuesto idéntico por la Sentencia de la Sala de lo Contencioso-Administrativo del Tribunal Superior de Justicia de Canarias de 24 de enero de 2011 (recurso núm. 119-2010), en la que se concluye que “es claro que lo que se describe en la infracción objeto de recurso, la falsedad de las facturas por inexistencia de contraprestación real puede, sin que ello suponga una interpretación analógica, encuadrarse en el tipo descrito en la norma” pues “el art. 25 CE no comprende la garantía de que la elección del tipo infractor sea acertado, como el derecho que consagra el art. 24 CE a la tutela judicial efectiva no garantiza el acierto de las resoluciones judiciales” [fundamento de Derecho sexto (página 27)].</w:t>
      </w:r>
    </w:p>
    <w:p w:rsidR="0085709A" w:rsidRDefault="0085709A" w:rsidP="0085709A">
      <w:pPr>
        <w:pStyle w:val="TextoNormal"/>
      </w:pPr>
    </w:p>
    <w:p w:rsidR="0085709A" w:rsidRDefault="0085709A" w:rsidP="0085709A">
      <w:pPr>
        <w:pStyle w:val="TextoNormal"/>
      </w:pPr>
      <w:r>
        <w:t xml:space="preserve">e) Interpuesto un recurso contencioso-administrativo ante la Sala de lo Contencioso-Administrativo de la Audiencia Nacional (núm. 168-2011), por Sentencia de su Sección Cuarta con fecha de 26 de septiembre de 2011, se desestimó al no compartir “el criterio del recurrente de que la conducta imputada no es subsumible en dicho tipo legal, que no puede ser cometido por quien ha sido calificado por la Inspección como un falso empresario, pues como pone de relieve la Sentencia del Tribunal Superior de Justicia de Canarias, de 24 de enero de 2011 (rec. 119/2010), ante idéntica alegación, precisamente lo que hace que el recurrente haya sido calificado como un falso empresario es esa emisión de facturas falsas por no corresponderse con una actividad económica real”, conducta la de expedición de facturas falsas que esta Sala “ha considerado encuadrable en el artículo 201.1 y 3 LGT … </w:t>
      </w:r>
      <w:r>
        <w:lastRenderedPageBreak/>
        <w:t>al no corresponderse con una prestación de servicios real, consistiendo la conducta sancionable en expedir facturas con datos falsos, al reflejar las operaciones que no han tenido lugar” [fundamento de Derecho decimocuarto (páginas 10 y 11)]. En fin, concluye la Sentencia que “la expedición de facturas falsas (tipificada penalmente en el artículo 390.1.2 CP) es una conducta también idónea para integrar el tipo infractor agravado del artículo 201.3 LGT”; “cuestión distinta es que la conducta del recurrente pueda o no subsumirse en este tipo, que es lo que realmente está discutiendo el recurrente, y que afecta a la interpretación que la Administración realiza de dicho precepto, pero no a la formulación legal del precepto” [fundamento de Derecho decimoquinto (página 11)].</w:t>
      </w:r>
    </w:p>
    <w:p w:rsidR="0085709A" w:rsidRDefault="0085709A" w:rsidP="0085709A">
      <w:pPr>
        <w:pStyle w:val="TextoNormal"/>
      </w:pPr>
    </w:p>
    <w:p w:rsidR="0085709A" w:rsidRDefault="0085709A" w:rsidP="0085709A">
      <w:pPr>
        <w:pStyle w:val="TextoNormal"/>
      </w:pPr>
      <w:r w:rsidRPr="0085709A">
        <w:rPr>
          <w:rStyle w:val="NumeroAFNegritaCaracter"/>
        </w:rPr>
        <w:t>2</w:t>
      </w:r>
      <w:r>
        <w:t>. Se alega en la demanda de amparo la vulneración del derecho a la legalidad penal y sancionadora (art. 25.1 CE), en relación con el art. 201.1, 3 y 5 LGT y con los arts. 392 y 390.1 y 2 del Código penal (CP). Tras precisar los antecedentes de hecho de los que trae causa la demanda de amparo, arranca el recurrente en sus argumentos subrayando que la conducta consistente en expedir “facturas falsas” por quien no es empresario y no ha desarrollado una actividad empresarial sólo puede ser castigada en vía penal, subsumiéndola en el tipo delictivo del artículo 390.1.2 CP, pero nunca en vía administrativa (en el tipo agravado del artículo 201.3 LGT). Sin embargo, la Inspección de los Tributos, tras considerar que el ahora actor es un “falso empresario”, siendo consciente de la prescripción de la eventual responsabilidad penal por su propia falta de diligencia, omite pasar el tanto de culpa a la jurisdicción penal por realización del tipo penal previsto en el art. 390.1.2 CP (realización de facturas falsas) y procede a imponer una sanción por comisión de la infracción tributaria agravada del art. 201.3 LGT (falseamiento de facturas). Y lo hace castigando una conducta distinta (expedición de facturas con datos falsos o falseados) de la que le atribuye (expedición de facturas falsas), y, además, por una condición (la de empresario), que previamente le ha negado tener, y con un fundamento en la propia conducta del sujeto (que ha emitido facturas aunque sean falsas).</w:t>
      </w:r>
    </w:p>
    <w:p w:rsidR="0085709A" w:rsidRDefault="0085709A" w:rsidP="0085709A">
      <w:pPr>
        <w:pStyle w:val="TextoNormal"/>
      </w:pPr>
    </w:p>
    <w:p w:rsidR="0085709A" w:rsidRDefault="0085709A" w:rsidP="0085709A">
      <w:pPr>
        <w:pStyle w:val="TextoNormal"/>
      </w:pPr>
      <w:r>
        <w:t>Señala a continuación el recurrente que, tanto el Tribunal Económico-Administrativo Central como la Audiencia Nacional, no sólo no han corregido la errónea actuación de la Administración sancionadora en la calificación y tipificación de la conducta infractora, sino que la asumen como propia, tolerando que la inspección de los tributos sancione administrativamente una conducta (la de la emisión de facturas falsas) que sólo estaría tipificada por el legislador penal, por el simple hecho de que ya se había producido la prescripción de la posible responsabilidad penal.</w:t>
      </w:r>
    </w:p>
    <w:p w:rsidR="0085709A" w:rsidRDefault="0085709A" w:rsidP="0085709A">
      <w:pPr>
        <w:pStyle w:val="TextoNormal"/>
      </w:pPr>
    </w:p>
    <w:p w:rsidR="0085709A" w:rsidRDefault="0085709A" w:rsidP="0085709A">
      <w:pPr>
        <w:pStyle w:val="TextoNormal"/>
      </w:pPr>
      <w:r>
        <w:t xml:space="preserve">A juicio del recurrente en amparo, resulta lógica y jurídicamente imposible que un “falso” empresario que realiza una inexistente, por simulada, actividad económica, pueda incumplir una obligación de facturación (artículo 201.1 LGT), y además efectuar un “incumplimiento sustancial” de la misma (artículo 201.3 LGT), con el agravante de que dicho incumplimiento sustancial afecta a la totalidad de “las operaciones sujetas al deber de facturación” (artículo 201.5 LGT). Y resulta jurídicamente imposible, en primer lugar, porque un “falso” empresario no puede incumplir una obligación que sólo resulta legalmente exigible a los empresarios y a los profesionales, al igual que el falso inspector de hacienda no puede incumplir las obligaciones legalmente impuestas a los inspectores de hacienda, ni el falso médico puede incumplir los deberes deontológicos que resultan exigibles a los profesionales de la medicina. En segundo lugar, porque la Administración sancionadora ha justificado la imposición de una sanción administrativa acudiendo para ello a la figura de los </w:t>
      </w:r>
      <w:r>
        <w:lastRenderedPageBreak/>
        <w:t xml:space="preserve">“actos propios”, encajando en el tipo un comportamiento que no reúne los requisitos típicos indispensables (STC 57/2010, de 4 de octubre, FJ 6), en un claro ejemplo de analogía </w:t>
      </w:r>
      <w:r w:rsidRPr="0085709A">
        <w:rPr>
          <w:i/>
        </w:rPr>
        <w:t>in malam partem</w:t>
      </w:r>
      <w:r>
        <w:t>. En tercer lugar, porque no puede admitirse que algo es y no es (STC 24/1984, de 23 de febrero, FJ 3), no siendo posible que la Inspección que considera inexistente, simulada y ficticia una actividad empresarial, deje de considerarla como tal a los únicos efectos de sancionar “el incumplimiento sustancial” de las obligaciones de facturación que hubieran existido, de ser real y efectiva la actividad empresarial “simulada”. Con ello, la Inspección de los Tributos afirma una cosa cuando le conviene (a efectos liquidatorios) y su contraria cuando le vuelve a convenir (a efectos sancionadores).</w:t>
      </w:r>
    </w:p>
    <w:p w:rsidR="0085709A" w:rsidRDefault="0085709A" w:rsidP="0085709A">
      <w:pPr>
        <w:pStyle w:val="TextoNormal"/>
      </w:pPr>
    </w:p>
    <w:p w:rsidR="0085709A" w:rsidRDefault="0085709A" w:rsidP="0085709A">
      <w:pPr>
        <w:pStyle w:val="TextoNormal"/>
      </w:pPr>
      <w:r>
        <w:t>De conformidad con lo antecede considera el recurrente que ni la inspección de los tributos, ni la resolución del Tribunal Económico-Administrativo Central, ni, en fin, la Sentencia de la Audiencia Nacional, pueden prescindir de las exigencias (constitucionales y legales) de la legalidad sancionadora, manejando discrecionalmente los tipos infractores tributarios para incluir la supuesta conducta punible (emisión de facturas falsas) en el tipo del artículo 201.3 LGT/2003 que sanciona como infracción muy grave “la expedición de facturas [no falsas] con datos falsos o falseados”, incurriendo con ello en una subsunción totalmente irrazonable de la conducta enjuiciada en el tipo aplicado (STC 57/2010, de 4 de octubre, FJ 6).</w:t>
      </w:r>
    </w:p>
    <w:p w:rsidR="0085709A" w:rsidRDefault="0085709A" w:rsidP="0085709A">
      <w:pPr>
        <w:pStyle w:val="TextoNormal"/>
      </w:pPr>
    </w:p>
    <w:p w:rsidR="0085709A" w:rsidRDefault="0085709A" w:rsidP="0085709A">
      <w:pPr>
        <w:pStyle w:val="TextoNormal"/>
      </w:pPr>
      <w:r>
        <w:t>Precisa a continuación el recurrente que el art. 392.1 CP tipifica como delito la falsedad en documento mercantil por particulares y, concretamente, la simulación de un documento en todo o en parte a la que hace referencia el art. 390.1.2 CP, respecto de la cual el documento debe ser falso (pretendiendo acreditar documentalmente algo totalmente inexistente). En efecto, basta asomarse a la doctrina legal establecida por la Sala Segunda del Tribunal Supremo para comprobar cómo dicho tipo exige incurrir en una simulación “radical y absoluta” (SSTS 1649/2000, de 28 de octubre; y 514/2002, de 29 de mayo), al confeccionarse “deliberadamente con la finalidad de acreditar en el tráfico jurídico una relación jurídica absolutamente inexistente” (SSTS 1647/1998, de 28 de enero de 1999; y 1649/2000, de 28 de octubre), de manera que el documento debe tener un contenido “enteramente mendaz” (STS 495/2011, de 1 de junio), por no responder a realidad alguna (STS de 29 de enero de 2003), intentando “acreditar en el tráfico una relación jurídica irreal” (SSTS 828/98, de 18 de noviembre; y 1647/98, de 28 de enero de 1999), “como ocurre con una factura confeccionada, simulando que se trataba de un auténtico documento acreditativo de trabajos que ni se habían realizado en el montante o concepto consignado, ni se habían realizado por importe o concepto alguno, no existiendo en absoluto la relación u operación jurídica que se pretendía acreditar simulando un documento que la reflejase” (STS 815/2007, de 5 de octubre; y en el mismo sentido, SSTS número 1647/1998, de 28 de enero de 1999; y 1649/2000, de 28 de octubre. En igual dirección, SSTS 1302/2002, de 11 de julio; 1536/2002, de 26 de septiembre; 2028/2002, de 2 de diciembre; 325/2004, de 11 de marzo; 145/2005, de 7 de febrero; 37/2006, de 25 de enero; 900/2006, de 22 de septiembre; 63/2007, de 30 de enero; 641/2008, de 10 de octubre, y 35/2010, de 4 de febrero).</w:t>
      </w:r>
    </w:p>
    <w:p w:rsidR="0085709A" w:rsidRDefault="0085709A" w:rsidP="0085709A">
      <w:pPr>
        <w:pStyle w:val="TextoNormal"/>
      </w:pPr>
    </w:p>
    <w:p w:rsidR="0085709A" w:rsidRDefault="0085709A" w:rsidP="0085709A">
      <w:pPr>
        <w:pStyle w:val="TextoNormal"/>
      </w:pPr>
      <w:r>
        <w:t xml:space="preserve">Para el recurrente, la anterior doctrina legal de la Sala Segunda del Tribunal Supremo, que desatiende e incumple tanto la Administración sancionadora como el Tribunal Económico Administrativo Central y la Audiencia Nacional, ha sido correctamente incorporada al informe A/2/67/05, de 28 de octubre de 2005, de la Subdirección General de Ordenación Legal y Asistencia Jurídica de la Agencia Tributaria, relativo a la “Regularización tributaria </w:t>
      </w:r>
      <w:r>
        <w:lastRenderedPageBreak/>
        <w:t>de facturas falsas cuando no se aprecien indicios de delito contra la Hacienda Pública”, aportado ante el Tribunal Económico-Administrativo Central, siendo sorprendente su silencio que ni siquiera lo menciona cuando lo había asumido expresamente en otras resoluciones (por ejemplo, en la resolución del Tribunal Económico-Administrativo Central de 30 de junio de 2010).</w:t>
      </w:r>
    </w:p>
    <w:p w:rsidR="0085709A" w:rsidRDefault="0085709A" w:rsidP="0085709A">
      <w:pPr>
        <w:pStyle w:val="TextoNormal"/>
      </w:pPr>
    </w:p>
    <w:p w:rsidR="0085709A" w:rsidRDefault="0085709A" w:rsidP="0085709A">
      <w:pPr>
        <w:pStyle w:val="TextoNormal"/>
      </w:pPr>
      <w:r>
        <w:t>De acuerdo al citado informe de la Subdirección General de Ordenación Legal y Asistencia Jurídica de la Agencia Tributaria, “[e]n el caso de que las facturas reflejen operaciones totalmente inexistentes o simuladas, y de que la falsedad impregne totalmente al propio documento … nos encontraremos ante un supuesto de falsedad documental subsumible en el apartado 2 del artículo 390.1 del CP, y por tanto ante un delito tipificado en la Ley Penal” (página 4). “Cuando las irregularidades detectadas por la Inspección en las facturas sí constituyan indicios de la existencia de un delito de falsedad (recordemos que esto ocurrirá cuando la factura refleje operaciones simuladas inexistentes o ficticias) ésta deberá poner los hechos en conocimiento de la jurisdicción penal, a tenor de lo dispuesto en los artículos 262 de la Ley de Enjuiciamiento Criminal, 95.3 de la LGT y 7 del RGI, a través de la correspondiente denuncia” (página 6). “A este respecto debe tenerse en cuenta que al tratarse de un delito menos grave [artículos 13.2 y 33.3.a) CP] prescribirá, tal y como dispone el artículo 131.1 del mismo cuerpo legal, a los tres años, por lo que podrá darse el caso de que cuando la Inspección detecte la posible falsedad, ésta haya prescrito” (página 6).</w:t>
      </w:r>
    </w:p>
    <w:p w:rsidR="0085709A" w:rsidRDefault="0085709A" w:rsidP="0085709A">
      <w:pPr>
        <w:pStyle w:val="TextoNormal"/>
      </w:pPr>
    </w:p>
    <w:p w:rsidR="0085709A" w:rsidRDefault="0085709A" w:rsidP="0085709A">
      <w:pPr>
        <w:pStyle w:val="TextoNormal"/>
      </w:pPr>
      <w:r>
        <w:t>Conforme a lo que antecede, subraya el recurrente, el Código penal solo tipifica para los particulares como conducta de falsedad en documento mercantil, la emisión de facturas falsas (falsedad absoluta), mientras que el art. 201 LGT tipifica como infracción tributaria el incumplimiento de las obligaciones “de facturación o documentación” y, concretamente, “el incumplimiento de las obligaciones de facturación, entre otras, la de expedición, remisión, rectificación y conservación de factura, justificantes o documentos sustitutivos” (apartado 1), que califica de “grave” cuando se incumplan “los requisitos exigidos por la normativa reguladora de la obligación de facturación” [apartado 2.a)] o cuando el incumplimiento “consista en la falta de expedición o en la falta de conservación de facturas, justificantes o documentos sustitutivos” [apartado. 2.b)], y de “muy grave” cuando el incumplimiento consista “en la expedición de facturas o documentos sustitutivos con datos falsos o falseados” [apartado 3]. De este modo, el art. 201.3 LGT no acoge como infracción —no podría— la emisión de una factura falsa, pues esa conducta está tipificada penalmente y, ante tal eventualidad, la Administración debe ejercer “la acción penal por el delito de falsedad en documento mercantil” (SAN de 9 de febrero de 2011), pues “cuando la factura refleje operaciones simuladas inexistentes o ficticias, ésta [la Inspección] deberá poner los hechos en conocimiento de la jurisdicción penal a tenor de lo dispuesto en los artículos 262 de la Ley de Enjuiciamiento Criminal, 95.3 de la LGT y 7 del RGI, a través de la correspondiente denuncia” (informe de la Subdirección General de Ordenación Legal y Asistencia Jurídica de 25 de octubre de 2005).</w:t>
      </w:r>
    </w:p>
    <w:p w:rsidR="0085709A" w:rsidRDefault="0085709A" w:rsidP="0085709A">
      <w:pPr>
        <w:pStyle w:val="TextoNormal"/>
      </w:pPr>
    </w:p>
    <w:p w:rsidR="0085709A" w:rsidRDefault="0085709A" w:rsidP="0085709A">
      <w:pPr>
        <w:pStyle w:val="TextoNormal"/>
      </w:pPr>
      <w:r>
        <w:t>Pero no sólo eso, llama la atención el recurrente sobre el hecho de que ni siquiera el art. 201.3 LGT acoge como tipo infractor la expedición de facturas “con datos falsos o falseados” pues “dicha conducta no se contempla expresamente a efectos de su tipificación como infracción, pues se entiende contenida en el tipo infractor del apartado 1 al que expresamente se remite, sino a efectos de su calificación como infracción muy grave” (resolución del Tri</w:t>
      </w:r>
      <w:r>
        <w:lastRenderedPageBreak/>
        <w:t>bunal Económico-Administrativo Central de 25 de enero de 2011), de manera que la infracción consiste en incumplir el deber de expedir facturas, incumplimiento que se considera muy grave cuando la factura expedida responde a una relación jurídica real y existente, pero incorpora algún o algunos datos falsos o falseados. Por consiguiente, lo que acoge el artículo 201.3 LGT es una circunstancia de agravación de la responsabilidad administrativa para aquellos empresarios o profesionales que, en el desarrollo de su actividad empresarial o profesional, emiten facturas falseadas.</w:t>
      </w:r>
    </w:p>
    <w:p w:rsidR="0085709A" w:rsidRDefault="0085709A" w:rsidP="0085709A">
      <w:pPr>
        <w:pStyle w:val="TextoNormal"/>
      </w:pPr>
    </w:p>
    <w:p w:rsidR="0085709A" w:rsidRDefault="0085709A" w:rsidP="0085709A">
      <w:pPr>
        <w:pStyle w:val="TextoNormal"/>
      </w:pPr>
      <w:r>
        <w:t xml:space="preserve">En consecuencia, de conformidad con el mandato de taxatividad la diferencia entre la conducta a la que se anuda un reproche administrativo y aquella a la que se anuda el penal se encuentra, conforme a la literalidad de los preceptos y a la jurisprudencia del Tribunal Supremo, en la naturaleza de la conducta: manipulación documental de una realidad existente (sanción administrativa por factura falseada) o justificación documental de una realidad inexistente (sanción penal por factura falsa). Resulta patente, entonces, que la interpretación del art. 201 LGT que efectúa la inspección para sancionar administrativamente la emisión de facturas falsas por simulación de documento, que está prevista y penada en el art. 390.1.2 CP, vulnera las exigencias de la tipicidad y legalidad sancionadora (art. 25.1 CE), pues, de un lado, la Administración se ha apartado del tenor literal del art. 201 LGT, llevando a cabo una interpretación analógica </w:t>
      </w:r>
      <w:r w:rsidRPr="0085709A">
        <w:rPr>
          <w:i/>
        </w:rPr>
        <w:t>in malam partem</w:t>
      </w:r>
      <w:r>
        <w:t xml:space="preserve"> al subsumir de un modo irrazonable la conducta de “emisión de facturas falsas” en el tipo administrativo del art. 201.3 LGT que sanciona la expedición de facturas “con datos falsos o falseados”, y, de otro lado, el órgano judicial se ha limitado “a condenar a quien, como ‘dueño’ del negocio, ha dejado de ingresar un tributo, no sólo soslayando la errónea actuación de la Administración en la calificación tributaria de la situación, sino asumiéndola como propia ante una eventual prescripción de la acción del Estado para regularizar los impuestos” (STC 57/2010, de 4 de octubre, FJ 3). El ordenamiento jurídico no habilita a la Administración tributaria a elegir entre lo que considera más conveniente para el interés público subyacente, optando entre imponer una sanción administrativa o recurrir al ámbito penal, según su exclusivo arbitrio (STC 57/2010, de 4 de octubre, FJ 4), menos aun cuando se trata del ejercicio del </w:t>
      </w:r>
      <w:r w:rsidRPr="0085709A">
        <w:rPr>
          <w:i/>
        </w:rPr>
        <w:t>ius puniendi</w:t>
      </w:r>
      <w:r>
        <w:t xml:space="preserve"> del Estado en materia sancionadora (SSTC 113/2002, de 9 de mayo, FJ 7; 25/2002, de 11 de febrero, FJ 6; y 260/2007, de 20 de diciembre, FJ 4), pues el principio de legalidad penal veda “todo margen de arbitrio o de discrecionalidad” (STC 57/2010, de 4 de octubre, FJ 4).</w:t>
      </w:r>
    </w:p>
    <w:p w:rsidR="0085709A" w:rsidRDefault="0085709A" w:rsidP="0085709A">
      <w:pPr>
        <w:pStyle w:val="TextoNormal"/>
      </w:pPr>
    </w:p>
    <w:p w:rsidR="0085709A" w:rsidRDefault="0085709A" w:rsidP="0085709A">
      <w:pPr>
        <w:pStyle w:val="TextoNormal"/>
      </w:pPr>
      <w:r>
        <w:t xml:space="preserve">En suma, la sanción por expedir facturas falsas, en lugar de por el tipo penal del artículo 390.1.2 (falsedad en documento mercantil), por el tipo infractor agravado del artículo 201.3 LGT (falseamiento de facturas), supone una decisión irrazonable fundamentada en una exégesis y aplicación de las normas que queda fuera de los supuestos y de los límites que ellas mismas determinan, es decir, que se sustenta en una subsunción de los hechos ajena al significado posible de los términos de la norma aplicada. Con ello, se incurre en una interpretación analógica y extensiva </w:t>
      </w:r>
      <w:r w:rsidRPr="0085709A">
        <w:rPr>
          <w:i/>
        </w:rPr>
        <w:t>in malam partem</w:t>
      </w:r>
      <w:r>
        <w:t xml:space="preserve"> contraria al artículo 25.1 CE, al subsumir erróneamente la conducta del ciudadano en un tipo administrativo que no es el previsto para el supuesto de hecho.</w:t>
      </w:r>
    </w:p>
    <w:p w:rsidR="0085709A" w:rsidRDefault="0085709A" w:rsidP="0085709A">
      <w:pPr>
        <w:pStyle w:val="TextoNormal"/>
      </w:pPr>
    </w:p>
    <w:p w:rsidR="0085709A" w:rsidRDefault="0085709A" w:rsidP="0085709A">
      <w:pPr>
        <w:pStyle w:val="TextoNormal"/>
      </w:pPr>
      <w:r>
        <w:t xml:space="preserve">Por otra parte, añade el recurrente en amparo que si la interpretación efectuada por la Administración Tributaria y confirmada por el Tribunal Económico-Administrativo Central se estima correcta y, por tanto, se admite que la expedición de “facturas falsas” (conducta tipificada penalmente en el artículo 390.1.2) es una conducta también idónea para integrar </w:t>
      </w:r>
      <w:r>
        <w:lastRenderedPageBreak/>
        <w:t>el tipo infractor agravado del artículo 201.3 LGT (consistente no en expedir “facturas falsas” sino en expedir “facturas con datos falsos o falseados”), entonces, es en el art. 201.3 LGT en el que reside el problema de constitucionalidad por permitir la inclusión de conductas que, en un primer momento, quedarían excluidas de su contenido mediante una interpretación de su literalidad basada en pautas metodológicas y axiológicas razonablemente admitidas, contradiciendo el principio de taxatividad o de predeterminación normativa ínsito en el principio de legalidad penal constitucionalmente consagrado en el art. 25.1 CE, que se concreta en la necesidad de predeterminación normativa de las conductas ilícitas y de las sanciones correspondientes, de modo “que hace recaer sobre el legislador el deber de configurarlas en las leyes sancionadoras con la mayor precisión posible para que los ciudadanos puedan conocer de antemano el ámbito de lo proscrito y prever, así, las consecuencias de sus acciones” (SSTC 104/2009 de 4 de mayo, FJ 2; 135/2010, de 2 de diciembre, FJ 4; y 144/2011, de 26 de septiembre, FJ 4). Es decir, debe permitir a los administrados predecir con suficiente grado de certeza tanto las conductas punibles como las eventuales sanciones que se le anudan, de forma concreta, precisa, clara e inteligible (SSTC 127/2001, de 4 de junio, FJ 4; y 297/2005, de 21 de noviembre, FJ 6).</w:t>
      </w:r>
    </w:p>
    <w:p w:rsidR="0085709A" w:rsidRDefault="0085709A" w:rsidP="0085709A">
      <w:pPr>
        <w:pStyle w:val="TextoNormal"/>
      </w:pPr>
    </w:p>
    <w:p w:rsidR="0085709A" w:rsidRDefault="0085709A" w:rsidP="0085709A">
      <w:pPr>
        <w:pStyle w:val="TextoNormal"/>
      </w:pPr>
      <w:r w:rsidRPr="0085709A">
        <w:rPr>
          <w:rStyle w:val="NumeroAFNegritaCaracter"/>
        </w:rPr>
        <w:t>3</w:t>
      </w:r>
      <w:r>
        <w:t>. Por providencia con fecha de 29 de mayo de 2014, la Sala Segunda de este Tribunal acordó la admisión a trámite del recurso de amparo. Asimismo, y en aplicación de lo previsto en el art. 51 de la Ley Orgánica de este Tribunal, se acordó dirigir comunicación a la Sección Cuarta de la Sala de lo Contencioso-Administrativo de la Audiencia Nacional a fin de que en el plazo de diez días remitiese certificación o fotocopia adverada del recurso núm. 168-2011, interesándose al mismo tiempo que se emplazara a quienes hubiesen sido parte en el procedimiento, excepto a la parte recurrente en amparo, para que en el plazo de diez días pudieran comparecer ante este Tribunal si así lo deseasen.</w:t>
      </w:r>
    </w:p>
    <w:p w:rsidR="0085709A" w:rsidRDefault="0085709A" w:rsidP="0085709A">
      <w:pPr>
        <w:pStyle w:val="TextoNormal"/>
      </w:pPr>
    </w:p>
    <w:p w:rsidR="0085709A" w:rsidRDefault="0085709A" w:rsidP="0085709A">
      <w:pPr>
        <w:pStyle w:val="TextoNormal"/>
      </w:pPr>
      <w:r w:rsidRPr="0085709A">
        <w:rPr>
          <w:rStyle w:val="NumeroAFNegritaCaracter"/>
        </w:rPr>
        <w:t>4</w:t>
      </w:r>
      <w:r>
        <w:t>. Por escrito presentado en el Registro General de este Tribunal el día 18 de junio de 2014 el Abogado del Estado suplicó se le tuviera por personado en el procedimiento.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diligencia de ordenación de fecha 7 de julio de 2014, la Sala Segunda acordó tener por personado y parte al Abogado del Estado en la representación que ostenta, así como dar vista de las actuaciones recibidas a las partes personadas y al Ministerio Fiscal, por plazo común de veinte días, para que, conforme determina el art. 52.1 de la Ley Orgánica de este Tribunal, presentasen las alegaciones que estimaran pertinentes.</w:t>
      </w:r>
    </w:p>
    <w:p w:rsidR="0085709A" w:rsidRDefault="0085709A" w:rsidP="0085709A">
      <w:pPr>
        <w:pStyle w:val="TextoNormal"/>
      </w:pPr>
    </w:p>
    <w:p w:rsidR="0085709A" w:rsidRDefault="0085709A" w:rsidP="0085709A">
      <w:pPr>
        <w:pStyle w:val="TextoNormal"/>
      </w:pPr>
      <w:r w:rsidRPr="0085709A">
        <w:rPr>
          <w:rStyle w:val="NumeroAFNegritaCaracter"/>
        </w:rPr>
        <w:t>6</w:t>
      </w:r>
      <w:r>
        <w:t>. Mediante escrito registrado en este Tribunal el día 23 de julio de 2014, don Félix Santiago Melián, representado por el Procurador don Gabriel Casado Rodríguez y defendido por el Letrado don Gabriel Casado Ollero, evacuó el trámite de alegaciones conferido suplicando se dictase Sentencia conforme a lo interesado en el escrito de demanda de amparo.</w:t>
      </w:r>
    </w:p>
    <w:p w:rsidR="0085709A" w:rsidRDefault="0085709A" w:rsidP="0085709A">
      <w:pPr>
        <w:pStyle w:val="TextoNormal"/>
      </w:pPr>
    </w:p>
    <w:p w:rsidR="0085709A" w:rsidRDefault="0085709A" w:rsidP="0085709A">
      <w:pPr>
        <w:pStyle w:val="TextoNormal"/>
      </w:pPr>
      <w:r w:rsidRPr="0085709A">
        <w:rPr>
          <w:rStyle w:val="NumeroAFNegritaCaracter"/>
        </w:rPr>
        <w:t>7</w:t>
      </w:r>
      <w:r>
        <w:t>. El Abogado del Estado evacuó el trámite de alegaciones conferido mediante escrito registrado en este Tribunal el día 4 de septiembre de 2014, en el que instaba la desestimación del amparo pretendido. En su escrito, tras señalar los antecedentes y concretar el objeto del amparo pretendido, precisa antes que nada que el recurrente es denominado “falso empresario” no porque no sea un empresario individual sino porque todas las facturas que ha emitido en el período objeto de comprobación no se corresponden con trabajos reales porque no realizó actividad real aunque la facturara como tal.</w:t>
      </w:r>
    </w:p>
    <w:p w:rsidR="0085709A" w:rsidRDefault="0085709A" w:rsidP="0085709A">
      <w:pPr>
        <w:pStyle w:val="TextoNormal"/>
      </w:pPr>
    </w:p>
    <w:p w:rsidR="0085709A" w:rsidRDefault="0085709A" w:rsidP="0085709A">
      <w:pPr>
        <w:pStyle w:val="TextoNormal"/>
      </w:pPr>
      <w:r>
        <w:t>Una vez hecha la anterior precisión considera el Abogado del Estado que no se ha producido la lesión del art. 25.1 CE, porque el art. 201 LGT (infracción por incumplir las obligaciones de facturación o documentación), claramente tipifica como infracción el incumplimiento de la obligación de facturar consistente en la expedición de facturas con datos falsos. Por su parte, según el Real Decreto 1496/2003, relativo a las obligaciones de facturación, quienes tienen que cumplir las obligaciones de facturación son los empresarios, profesionales y contribuyentes sujetos al régimen de estimación directa (art. 26), estando el recurrente obligado a facturar “por su doble condición de empresario individual y contribuyente del IRPF por actividades económicas en régimen de estimación directa”. El recurrente, como contribuyente, tiene la obligación de facturar y al facturar operaciones irreales ha incumplido esta obligación cumpliendo con el tipo de la infracción prevista en el art. 201.3 LGT: emitir facturas con datos falsos. En suma, el demandante de amparo es un empresario que tiene la obligación de facturar, y al emitir facturas falsas, ni pierde su condición de empresario ni se sustrae a la obligación de facturar.</w:t>
      </w:r>
    </w:p>
    <w:p w:rsidR="0085709A" w:rsidRDefault="0085709A" w:rsidP="0085709A">
      <w:pPr>
        <w:pStyle w:val="TextoNormal"/>
      </w:pPr>
    </w:p>
    <w:p w:rsidR="0085709A" w:rsidRDefault="0085709A" w:rsidP="0085709A">
      <w:pPr>
        <w:pStyle w:val="TextoNormal"/>
      </w:pPr>
      <w:r>
        <w:t xml:space="preserve">Concluye sus alegaciones el Abogado del Estado señalando que todas las argumentaciones del recurrente relativas a la posible inconstitucionalidad del art. 201.3 LGT son las mismas que las que emplea respecto de la vulneración por la Administración del principio de legalidad del art. 25.1 CE, esto es, que ha realizado una interpretación </w:t>
      </w:r>
      <w:r w:rsidRPr="0085709A">
        <w:rPr>
          <w:i/>
        </w:rPr>
        <w:t>in malam partem</w:t>
      </w:r>
      <w:r>
        <w:t xml:space="preserve">, lo que podría implicar la vulneración del derecho fundamental por aquéllas, pero no la inconstitucionalidad del precepto, sobre todo porque tipifica como infracción el incumplimiento de las obligaciones de facturación consistente en la emisión de facturas falsas, cumpliendo con claridad el requisito de </w:t>
      </w:r>
      <w:r w:rsidRPr="0085709A">
        <w:rPr>
          <w:i/>
        </w:rPr>
        <w:t>lex certa</w:t>
      </w:r>
      <w:r>
        <w:t>.</w:t>
      </w:r>
    </w:p>
    <w:p w:rsidR="0085709A" w:rsidRDefault="0085709A" w:rsidP="0085709A">
      <w:pPr>
        <w:pStyle w:val="TextoNormal"/>
      </w:pPr>
    </w:p>
    <w:p w:rsidR="0085709A" w:rsidRDefault="0085709A" w:rsidP="0085709A">
      <w:pPr>
        <w:pStyle w:val="TextoNormal"/>
      </w:pPr>
      <w:r w:rsidRPr="0085709A">
        <w:rPr>
          <w:rStyle w:val="NumeroAFNegritaCaracter"/>
        </w:rPr>
        <w:t>8</w:t>
      </w:r>
      <w:r>
        <w:t>. El día 22 de septiembre de 2014 presentó su escrito de alegaciones el Ministerio Fiscal solicitando la desestimación del recurso al considerar que la queja relativa a la lesión del derecho fundamental a la legalidad sancionadora (art. 25.1 CE) carece de contenido constitucional. Tras precisar los hechos que han dado lugar a la presente demanda de amparo y tras concretar los argumentos del recurrente, precisa el Ministerio Fiscal que el demandante atribuye la vulneración del principio de legalidad sancionadora en un doble plano alternativo o subsidiario: el aplicativo de la norma sancionadora, afectante a los intérpretes y aplicadores de las normas (Administración y, especialmente, Jueces y Tribunales), y el de configuración de los comportamientos ilícitos (que corresponde al legislador).</w:t>
      </w:r>
    </w:p>
    <w:p w:rsidR="0085709A" w:rsidRDefault="0085709A" w:rsidP="0085709A">
      <w:pPr>
        <w:pStyle w:val="TextoNormal"/>
      </w:pPr>
    </w:p>
    <w:p w:rsidR="0085709A" w:rsidRDefault="0085709A" w:rsidP="0085709A">
      <w:pPr>
        <w:pStyle w:val="TextoNormal"/>
      </w:pPr>
      <w:r>
        <w:t xml:space="preserve">Una vez hecha la precisión que antecede, pasa el Fiscal a concretar la posición del recurrente, tras lo cual, para apreciar o no la concurrencia de la vulneración constitucional denunciada, parte de la doctrina constitucional relativa las exigencias derivadas del principio de legalidad penal (art. 25.1 CE), concluyendo que no sólo vulneran el principio de legalidad penal las resoluciones sancionadoras que se sustenten en una subsunción de los hechos ajena al significado posible de los términos de la norma aplicada, sino también aquellas aplicaciones que por su soporte metodológico —con una argumentación ilógica o extravagante— o axiológico —con una base valorativa ajena a los criterios que informan nuestro ordenamiento constitucional— conduzcan a situaciones esencialmente opuestas a la orientación material de la norma y, por ello, imprevisibles para sus destinatarios. De esta manera, para valorar la validez constitucional de la subsunción en un tipo sancionador efectuada por una resolución sancionadora deben analizarse tres aspectos: la semántica de los términos utilizados por la proposición normativa; las reglas compartidas de la interpretación jurídica </w:t>
      </w:r>
      <w:r>
        <w:lastRenderedPageBreak/>
        <w:t>aceptadas por la comunidad jurídica (operadores jurídicos y estudiosos del Derecho) y la axiología constitucional (los valores y principios constitucionales).</w:t>
      </w:r>
    </w:p>
    <w:p w:rsidR="0085709A" w:rsidRDefault="0085709A" w:rsidP="0085709A">
      <w:pPr>
        <w:pStyle w:val="TextoNormal"/>
      </w:pPr>
    </w:p>
    <w:p w:rsidR="0085709A" w:rsidRDefault="0085709A" w:rsidP="0085709A">
      <w:pPr>
        <w:pStyle w:val="TextoNormal"/>
      </w:pPr>
      <w:r>
        <w:t>Pues bien, según el Fiscal el análisis de estos aspectos revelan que no ha habido vulneración del derecho a la legalidad sancionadora (art. 25.1 CE) en su vertiente de garantía material, en las interpretaciones que han subsumido la conducta del demandante de amparo en el tipo sancionador aplicado por las siguientes razones.</w:t>
      </w:r>
    </w:p>
    <w:p w:rsidR="0085709A" w:rsidRDefault="0085709A" w:rsidP="0085709A">
      <w:pPr>
        <w:pStyle w:val="TextoNormal"/>
      </w:pPr>
    </w:p>
    <w:p w:rsidR="0085709A" w:rsidRDefault="0085709A" w:rsidP="0085709A">
      <w:pPr>
        <w:pStyle w:val="TextoNormal"/>
      </w:pPr>
      <w:r>
        <w:t xml:space="preserve">En primer lugar, porque el comportamiento sancionado mediante la aplicación del art. 201 LGT, según la resolución administrativa, es “la emisión de facturas falsas”, infracción que se entiende cometida “cuando se emite cada factura falsa”. A su juicio, no se habría producido un apartamiento del significado de los términos del precepto, en la medida que interpretar que dentro de las previsiones legales del incumplimiento de las obligaciones de facturar cabe incluir la expedición de facturas con contenidos totalmente falsos o, en suma, la emisión de facturas falsas, no violenta en absoluto aquellos términos. Considerar que en la conducta contemplada en la norma (expedición de facturas con datos falsos o falseados) se incluyen las facturas falsas en su totalidad (las que no se corresponden con operaciones reales) no supone una extravagancia desde la perspectiva literal, ni desde el punto de vista jurídico, ni desde un prisma lógico, pues una factura que no responde a la realidad no es sino una factura con todos sus datos falsos. No hay pues una interpretación extensiva ni analógica </w:t>
      </w:r>
      <w:r w:rsidRPr="0085709A">
        <w:rPr>
          <w:i/>
        </w:rPr>
        <w:t>in malam partem</w:t>
      </w:r>
      <w:r>
        <w:t>. En segundo lugar, porque la interpretación que ha realizado la Sección Cuarta de la Audiencia Nacional ha sido compartida por otros órganos judiciales distintos, lo que resulta sintomático y revelador de su admisibilidad constitucional desde la perspectiva de los parámetros y métodos comúnmente aceptados en la comunidad jurídica por otros operadores jurídicos.</w:t>
      </w:r>
    </w:p>
    <w:p w:rsidR="0085709A" w:rsidRDefault="0085709A" w:rsidP="0085709A">
      <w:pPr>
        <w:pStyle w:val="TextoNormal"/>
      </w:pPr>
    </w:p>
    <w:p w:rsidR="0085709A" w:rsidRDefault="0085709A" w:rsidP="0085709A">
      <w:pPr>
        <w:pStyle w:val="TextoNormal"/>
      </w:pPr>
      <w:r>
        <w:t>En fin, en tercer lugar, porque el proceder interpretativo resulta intachable desde la perspectiva axiológica, no solo porque el recurrente no ha argumentado en tal dirección ni justificado nada al respecto, sino porque no se aprecia la referida contradicción valorativa.</w:t>
      </w:r>
    </w:p>
    <w:p w:rsidR="0085709A" w:rsidRDefault="0085709A" w:rsidP="0085709A">
      <w:pPr>
        <w:pStyle w:val="TextoNormal"/>
      </w:pPr>
    </w:p>
    <w:p w:rsidR="0085709A" w:rsidRDefault="0085709A" w:rsidP="0085709A">
      <w:pPr>
        <w:pStyle w:val="TextoNormal"/>
      </w:pPr>
      <w:r>
        <w:t>En suma, producido el triple respeto a las exigencias reseñadas, queda asimismo asegurado el acatamiento a la condición de previsibilidad exigible de cara a los ciudadanos que perfectamente pueden programar sus comportamientos a partir de la dicción legal de la norma sancionadora, sin serle sorpresivo que si emiten facturas falsas no correspondientes con una contraprestación real incurren en la esfera de lo ilícito administrativo al margen de su condición real o no de empresarios.</w:t>
      </w:r>
    </w:p>
    <w:p w:rsidR="0085709A" w:rsidRDefault="0085709A" w:rsidP="0085709A">
      <w:pPr>
        <w:pStyle w:val="TextoNormal"/>
      </w:pPr>
    </w:p>
    <w:p w:rsidR="0085709A" w:rsidRDefault="0085709A" w:rsidP="0085709A">
      <w:pPr>
        <w:pStyle w:val="TextoNormal"/>
      </w:pPr>
      <w:r>
        <w:t>Finalmente, analiza el Ministerio Fiscal el acatamiento de las debidas exigencias de predeterminación normativa exigibles al creador normativo, considerando a este respecto que los términos de expresión de la prohibición con base en los cuales se delimita la esfera de los comportamientos ilícitos en la norma sancionadora permiten determinar su contenido semántico y su significado nuclear, de manera que el intérprete puede llegar sin mayor esfuerzo a considerar incursas en la esfera de la prohibición del art. 201 LGT la expedición de facturas falsas.</w:t>
      </w:r>
    </w:p>
    <w:p w:rsidR="0085709A" w:rsidRDefault="0085709A" w:rsidP="0085709A">
      <w:pPr>
        <w:pStyle w:val="TextoNormal"/>
      </w:pPr>
    </w:p>
    <w:p w:rsidR="0085709A" w:rsidRDefault="0085709A" w:rsidP="0085709A">
      <w:pPr>
        <w:pStyle w:val="TextoNormal"/>
      </w:pPr>
      <w:r w:rsidRPr="0085709A">
        <w:rPr>
          <w:rStyle w:val="NumeroAFNegritaCaracter"/>
        </w:rPr>
        <w:t>9</w:t>
      </w:r>
      <w:r>
        <w:t>. El Pleno de este Tribunal, mediante providencia de 28 de abril de 2015, acordó, de conformidad con el art. 10.1 n) LOTC, a propuesta de la Sala Segunda, recabar para sí el conocimiento de este recurso de amparo.</w:t>
      </w:r>
    </w:p>
    <w:p w:rsidR="0085709A" w:rsidRDefault="0085709A" w:rsidP="0085709A">
      <w:pPr>
        <w:pStyle w:val="TextoNormal"/>
      </w:pPr>
    </w:p>
    <w:p w:rsidR="0085709A" w:rsidRDefault="0085709A" w:rsidP="0085709A">
      <w:pPr>
        <w:pStyle w:val="TextoNormal"/>
      </w:pPr>
      <w:r w:rsidRPr="0085709A">
        <w:rPr>
          <w:rStyle w:val="NumeroAFNegritaCaracter"/>
        </w:rPr>
        <w:t>10</w:t>
      </w:r>
      <w:r>
        <w:t>. Por providencia de 23 de junio de 2015 se señaló para deliberación y votación de la presente Sentencia el día 25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El presente recurso de amparo se dirige contra la Sentencia de la Sección Cuarta de la Sala de lo Contencioso-Administrativo de la Audiencia Nacional de fecha 26 de septiembre de 2012, por la que se desestima el recurso contencioso-administrativo núm. 168-2011 interpuesto por el recurrente contra la Resolución del Tribunal Económico-Administrativo de fecha 5 de octubre de 2011, desestimatoria, a su vez, de la reclamación económico-administrativa presentada con el acuerdo sancionador A23-70342860 de fecha 10 de marzo de 2010, de la dependencia regional de inspección de la Delegación Especial de Canarias, por el que se impone al recurrente en amparo una sanción de 337.426,26 € por la comisión de la infracción prevista en el art. 201 de la Ley 58/2003, de 17 de diciembre, general tributaria (en adelante, LGT), relativa al “incumplimiento de las obligaciones de facturación” (apartado 1), en su modalidad agravada consistente en la expedición de facturas “con datos falsos o falseados” (apartado 3), incumplimiento que, además, se califica como “sustancial” (apartado 5).</w:t>
      </w:r>
    </w:p>
    <w:p w:rsidR="0085709A" w:rsidRDefault="0085709A" w:rsidP="0085709A">
      <w:pPr>
        <w:pStyle w:val="TextoNormal"/>
      </w:pPr>
    </w:p>
    <w:p w:rsidR="0085709A" w:rsidRDefault="0085709A" w:rsidP="0085709A">
      <w:pPr>
        <w:pStyle w:val="TextoNormal"/>
      </w:pPr>
      <w:r>
        <w:t>Como ha quedado expuesto con mayor detalle en los antecedentes, la dependencia regional de inspección de la Delegación Especial de Canarias concluyó mediante acuerdo de fecha 10 de marzo de 2010 que el actor carecía, respecto de la actividad objeto de comprobación (pequeños trabajos de albañilería y construcción), de la estructura propia de una empresa, considerando que no había ejercido una actividad económica como empresario individual sino que había creado una situación aparente y simulada con el único propósito de defraudar mediante la emisión de facturas falsas por servicios inexistentes. Por esta razón, se le excluyen de la base imponible del impuesto sobre la renta de las personas físicas los rendimientos declarados por la actividad económica aparentemente desarrollada, con devolución del exceso ingresado, para imponerle a continuación la sanción controvertida. A continuación, la resolución de la vocalía sexta del Tribunal Económico-Administrativo Central, de 5 de octubre de 2011, confirmó la sanción impuesta al considerar que era indiferente el hecho de estar ante facturas falsas o ante facturas falseadas pues una y otra conducta son incardinables en la infracción del art. 201 LGT, consistente en el “incumplimiento de la obligación de facturación”, ejerza o no el obligado tributario una actividad empresarial. Por último, para la Sentencia de la Sección Cuarta de la Sala de lo Contencioso-Administrativo de la Audiencia Nacional, con fecha de 26 de septiembre de 2011, es perfectamente subsumible en el tipo legal controvertido la conducta de expedir facturas falsas por quien ha sido calificado como un “falso empresario”, porque precisamente lo que hace que el recurrente haya sido calificado como tal ha sido la emisión de facturas falsas que no se corresponden con una actividad económica real.</w:t>
      </w:r>
    </w:p>
    <w:p w:rsidR="0085709A" w:rsidRDefault="0085709A" w:rsidP="0085709A">
      <w:pPr>
        <w:pStyle w:val="TextoNormal"/>
      </w:pPr>
    </w:p>
    <w:p w:rsidR="0085709A" w:rsidRDefault="0085709A" w:rsidP="0085709A">
      <w:pPr>
        <w:pStyle w:val="TextoNormal"/>
      </w:pPr>
      <w:r>
        <w:t xml:space="preserve">Conforme a lo que antecede, considera el demandante de amparo que se ha vulnerado el derecho a la legalidad penal y sancionadora (art. 25.1 CE), en relación con los arts. 201.1, 3 y 5, todo ellos de la LGT, y 392 y 390.1 y 2, ambos del Código Penal, pues tras calificársele como un “falso empresario”, se le impone una sanción por el tipo infractor previsto en el art. 201 LGT (incumplir obligaciones de facturación o documentación), en su modalidad </w:t>
      </w:r>
      <w:r>
        <w:lastRenderedPageBreak/>
        <w:t>agravada (expedición de facturas con datos falsos o falseados), en lugar de hacerlo por el tipo penal del art. 390.1.2 (falsedad en documento mercantil), por la sola razón de estar prescrita la acción penal, mediante una subsunción de los hechos ajena al significado posible de los términos de la norma aplicada. Por su parte, tanto el Abogado del Estado como el Ministerio Fiscal interesan la desestimación del recurso de amparo al considerar ambos que no concurre la vulneración denunciada. Para el primero, porque el recurrente como contribuyente tiene la obligación de facturar y al facturar operaciones irreales ha incumplido esa obligación incidiendo su conducta en el tipo de la infracción prevista en el art. 201.3 LGT. Para el segundo, porque el hecho de haberse interpretado que dentro de las previsiones legales del incumplimiento de las obligaciones de facturar cabe incluir la emisión de facturas falsas no violenta en absoluto los términos del precepto aplicado, en la medida que una factura que no responde a la realidad no es sino una factura con todos sus datos falsos.</w:t>
      </w:r>
    </w:p>
    <w:p w:rsidR="0085709A" w:rsidRDefault="0085709A" w:rsidP="0085709A">
      <w:pPr>
        <w:pStyle w:val="TextoNormal"/>
      </w:pPr>
    </w:p>
    <w:p w:rsidR="0085709A" w:rsidRDefault="0085709A" w:rsidP="0085709A">
      <w:pPr>
        <w:pStyle w:val="TextoNormal"/>
      </w:pPr>
      <w:r w:rsidRPr="0085709A">
        <w:rPr>
          <w:rStyle w:val="NumeroAFNegritaCaracter"/>
        </w:rPr>
        <w:t>2</w:t>
      </w:r>
      <w:r>
        <w:t>. La única cuestión que se somete a nuestra consideración es la posible vulneración del derecho a la legalidad penal y sancionadora (art. 25.1 CE) que derivaría, según el demandante de amparo, de la aplicación del art. 201 LGT para dar cobertura sancionadora a una conducta que no puede subsumirse en el tenor legal de aquel precepto ni en su modalidad básica, ni en la agravada. Debe analizarse, por tanto, en primer lugar, si la emisión de falsas facturas carentes de sustento real en operación económica alguna puede entenderse como un “incumplimiento de las obligaciones de facturación”, y si tal entendimiento supone una extralimitación del ámbito típico de aquel precepto con la consecuente violación del principio de tipicidad sancionadora.</w:t>
      </w:r>
    </w:p>
    <w:p w:rsidR="0085709A" w:rsidRDefault="0085709A" w:rsidP="0085709A">
      <w:pPr>
        <w:pStyle w:val="TextoNormal"/>
      </w:pPr>
    </w:p>
    <w:p w:rsidR="0085709A" w:rsidRDefault="0085709A" w:rsidP="0085709A">
      <w:pPr>
        <w:pStyle w:val="TextoNormal"/>
      </w:pPr>
      <w:r>
        <w:t>Para dar respuesta a la cuestión planteada es preciso señalar que la interpretación del contenido de los tipos sancionadores y el control del proceso de subsunción de los hechos probados en los preceptos aplicados es una cuestión ajena al contenido propio de nuestra jurisdicción al ser esta una función que, de acuerdo con lo establecido en el art. 117.3 CE, corresponde en exclusiva a los Jueces y Tribunales ordinarios (por todas, STC 199/2013, de 5 de diciembre, FJ 13). Ahora bien, la función que compete a este Tribunal es la de verificar que la subsunción de los hechos en el correspondiente tipo, administrativo o penal, (o lo que es lo mismo, que la concreta aplicación de la norma sancionadora), respeta las exigencias del derecho a la legalidad penal. De acuerdo con la doctrina de este Tribunal relativa al art. 25.1 CE,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SSTC 54/2008, de 14 de abril, FJ 4; 199/2013, de 5 de diciembre, FJ 13; 29/2014, de 24 de febrero, FJ 3, y 185/2014, de 6 de noviembre, FJ 5).</w:t>
      </w:r>
    </w:p>
    <w:p w:rsidR="0085709A" w:rsidRDefault="0085709A" w:rsidP="0085709A">
      <w:pPr>
        <w:pStyle w:val="TextoNormal"/>
      </w:pPr>
    </w:p>
    <w:p w:rsidR="0085709A" w:rsidRDefault="0085709A" w:rsidP="0085709A">
      <w:pPr>
        <w:pStyle w:val="TextoNormal"/>
      </w:pPr>
      <w:r>
        <w:t xml:space="preserve">No debe olvidarse que el derecho a la legalidad penal y sancionadora supone que nadie puede ser condenado o sancionado por acciones u omisiones que no constituyan delito, falta o infracción administrativa, según la legislación vigente, en el momento de la comisión del </w:t>
      </w:r>
      <w:r>
        <w:lastRenderedPageBreak/>
        <w:t>hecho, quebrándose este derecho cuando la conducta enjuiciada, la ya delimitada como probada, es subsumida de un modo irrazonable en el tipo que resulta aplicado (por todas, SSTC 57/2010, de 4 de octubre, FJ 3; 153/2011, de 17 de octubre, FJ 8, y 196/2013, de 2 de diciembre, FJ 5).</w:t>
      </w:r>
    </w:p>
    <w:p w:rsidR="0085709A" w:rsidRDefault="0085709A" w:rsidP="0085709A">
      <w:pPr>
        <w:pStyle w:val="TextoNormal"/>
      </w:pPr>
    </w:p>
    <w:p w:rsidR="0085709A" w:rsidRDefault="0085709A" w:rsidP="0085709A">
      <w:pPr>
        <w:pStyle w:val="TextoNormal"/>
      </w:pPr>
      <w:r>
        <w:t>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w:t>
      </w:r>
      <w:r w:rsidRPr="0085709A">
        <w:rPr>
          <w:i/>
        </w:rPr>
        <w:t>lex certa</w:t>
      </w:r>
      <w:r>
        <w:t>),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sólo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0085709A" w:rsidRDefault="0085709A" w:rsidP="0085709A">
      <w:pPr>
        <w:pStyle w:val="TextoNormal"/>
      </w:pPr>
    </w:p>
    <w:p w:rsidR="0085709A" w:rsidRDefault="0085709A" w:rsidP="0085709A">
      <w:pPr>
        <w:pStyle w:val="TextoNormal"/>
      </w:pPr>
      <w:r>
        <w:t xml:space="preserve">En el examen de la razonabilidad de la subsunción de los hechos probados en la norma penal o sancionadora el primero de los criterios a utilizar es la compatibilidad de dicha subsunción con el tenor literal de la norma y con la consiguiente prohibición de la analogía </w:t>
      </w:r>
      <w:r w:rsidRPr="0085709A">
        <w:rPr>
          <w:i/>
        </w:rPr>
        <w:t>in malam partem</w:t>
      </w:r>
      <w:r>
        <w:t>. A dicho criterio inicial se añade un doble parámetro de razonabilidad: metodológico, dirigido a comprobar que la exégesis de la norma y subsunción en ella de las 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y 2/2015, de 19 de enero, FJ 8).</w:t>
      </w:r>
    </w:p>
    <w:p w:rsidR="0085709A" w:rsidRDefault="0085709A" w:rsidP="0085709A">
      <w:pPr>
        <w:pStyle w:val="TextoNormal"/>
      </w:pPr>
    </w:p>
    <w:p w:rsidR="0085709A" w:rsidRDefault="0085709A" w:rsidP="0085709A">
      <w:pPr>
        <w:pStyle w:val="TextoNormal"/>
      </w:pPr>
      <w:r w:rsidRPr="0085709A">
        <w:rPr>
          <w:rStyle w:val="NumeroAFNegritaCaracter"/>
        </w:rPr>
        <w:t>3</w:t>
      </w:r>
      <w:r>
        <w:t>. En la proyección de los criterios expuestos al caso que nos ocupa, atendiendo a la literalidad del precepto, el art. 201 LGT dispone, bajo el título de “Infracción tributaria por incumplir obligaciones de facturación o documentación”, que “[c]onstituye infracción tributaria el incumplimiento de las obligaciones de facturación, entre otras, la de expedición, remisión, rectificación y conservación de facturas, justificantes o documentos sustitutivos” (apartado 1), esto es, por incumplir las obligaciones de facturación contempladas en el entonces vigente Real Decreto 1496/2003, de 28 de noviembre, por el que se aprobaba el Reglamento por el que se regulaban las obligaciones de facturación, concretamente, por incumplir la obligación de documentación, bien de las operaciones económicas realizadas en el desarrollo de una actividad empresarial o profesional (arts. 1 y 26 del Reglamento de obligaciones de facturación), bien de operaciones económicas concretas respecto de las que naciese aquella obligación de facturar (arts. 2 y 3 del Reglamento de obligaciones de facturación).</w:t>
      </w:r>
    </w:p>
    <w:p w:rsidR="0085709A" w:rsidRDefault="0085709A" w:rsidP="0085709A">
      <w:pPr>
        <w:pStyle w:val="TextoNormal"/>
      </w:pPr>
    </w:p>
    <w:p w:rsidR="0085709A" w:rsidRDefault="0085709A" w:rsidP="0085709A">
      <w:pPr>
        <w:pStyle w:val="TextoNormal"/>
      </w:pPr>
      <w:r>
        <w:lastRenderedPageBreak/>
        <w:t>Atendiendo al tenor legal, la conducta típica básica del precepto aplicado se configura como el “incumplimiento de las obligaciones de facturación” que surge debido a la realización efectiva de concretas transacciones económicas sujetas a tal deber de documentación. El problema reside en determinar si constituye una extralimitación interpretativa incluir dentro del tipo infractor relativo al incumplimiento de las obligaciones de facturación, no sólo la conducta consistente en la no expedición de facturas (o incluso la emisión de facturas con datos falsos o falseados) por quien realiza efectivamente una transacción económica, sino también la conducta de elaboración de falsas facturas simulando la realización de transacciones inexistentes. De considerarse infringido el tenor legal por forzar los límites plausibles de la dicción legal en relación a la infracción básica —incumplimiento de la obligación referida— la tacha se extendería a la aplicación de los subtipos agravados del apartado 3 y del apartado 4 del propio art. 201 LGT, que condujeron a la imposición de la concreta sanción.</w:t>
      </w:r>
    </w:p>
    <w:p w:rsidR="0085709A" w:rsidRDefault="0085709A" w:rsidP="0085709A">
      <w:pPr>
        <w:pStyle w:val="TextoNormal"/>
      </w:pPr>
    </w:p>
    <w:p w:rsidR="0085709A" w:rsidRDefault="0085709A" w:rsidP="0085709A">
      <w:pPr>
        <w:pStyle w:val="TextoNormal"/>
      </w:pPr>
      <w:r>
        <w:t>Como se refleja en los antecedentes, el acuerdo sancionador aquí recurrido fue precedido, aunque fechado el mismo día de 10 de marzo de 2010, del acuerdo de liquidación en el que se afirma que el recurrente “no ejerce ninguna actividad económica como empresario individual habiéndose construido una apariencia externa y formal de tal actividad, dándose de alta como empresario emitiendo facturas falsas y proporcionando documentos sin soporte material a trabajadores de la empresa”. Se constataba así por la propia Inspección, que dicta tanto el acuerdo de liquidación y el acuerdo sancionador, la ausencia del presupuesto fáctico necesario para el nacimiento de la obligación jurídico-tributaria de facturación. La simulación de una actividad mediante la confección de facturas falsas ciertamente constituye una conducta ilícita con fines fraudulentos cuyo encaje sancionador puede residir en determinados preceptos del Código penal como señala el propio recurrente, pero tal análisis en absoluto nos compete en la resolución del presente recurso de amparo. Nuestro enjuiciamiento debe ceñirse al precepto que sirvió de fundamento a la sanción recurrida, y únicamente al efecto de determinar la compatibilidad de la subsunción efectuada con la dicción y sentido de aquél en el marco de las exigencias del principio de legalidad sancionadora.</w:t>
      </w:r>
    </w:p>
    <w:p w:rsidR="0085709A" w:rsidRDefault="0085709A" w:rsidP="0085709A">
      <w:pPr>
        <w:pStyle w:val="TextoNormal"/>
      </w:pPr>
    </w:p>
    <w:p w:rsidR="0085709A" w:rsidRDefault="0085709A" w:rsidP="0085709A">
      <w:pPr>
        <w:pStyle w:val="TextoNormal"/>
      </w:pPr>
      <w:r>
        <w:t>Desde esta premisa, y aplicando el parámetro que nos es propio, el de la razonabilidad, debe ya señalarse que no puede calificarse de irrazonable la subsunción de la conducta realizada (simulación de una actividad económica mediante la emisión de unas facturas que se califican como falsas) en el tipo infractor del art. 201.1 LGT. Y ello porque el empresario o profesional a efectos del impuesto sobre la renta de las personas físicas (en adelante, IRPF) o del impuesto sobre el valor añadido/impuesto general indirecto canario no es el único posible sujeto infractor del art. 201.1 LGT. O como alega el Tribunal Económico-Administrativo Central en la resolución de 5 de octubre de 2011 aquí recurrida, tal “incumplimiento de la obligación de facturación” constituye la emisión de facturas con datos falsos o falseados por quien ejerce una actividad empresarial o profesional como por quien no la ejerce, pues ambas actuaciones vulneran deberes de facturación que aquella norma impone a los sujetos pasivos, sean o no empresarios o profesionales.</w:t>
      </w:r>
    </w:p>
    <w:p w:rsidR="0085709A" w:rsidRDefault="0085709A" w:rsidP="0085709A">
      <w:pPr>
        <w:pStyle w:val="TextoNormal"/>
      </w:pPr>
    </w:p>
    <w:p w:rsidR="0085709A" w:rsidRDefault="0085709A" w:rsidP="0085709A">
      <w:pPr>
        <w:pStyle w:val="TextoNormal"/>
      </w:pPr>
      <w:r>
        <w:t xml:space="preserve">En este sentido, cabe afirmar que es cierto que los arts. 1 y 26 del Reglamento de obligaciones de facturación únicamente recogen expresamente los supuestos en los que es preceptiva la expedición de factura; y lo es en el caso de los empresarios y profesionales que ejercen su actividad económica de forma habitual, personal y directa (art. 1 del Reglamento), y de las personas que realizan determinadas operaciones económicas por cuenta </w:t>
      </w:r>
      <w:r>
        <w:lastRenderedPageBreak/>
        <w:t>propia de forma no habitual (arts. 2 y 3 del Reglamento). Así las cosas, ateniéndonos a la previsión sancionadora específica “incumplimiento de las obligaciones de facturación”, y al hecho de que éstas se refieren a la expedición, remisión, rectificación y conservación de las facturas pertinentes por transacciones comerciales, el ámbito típico sancionador del art. 201.1 LGT sería el del empresario o profesional infractor.</w:t>
      </w:r>
    </w:p>
    <w:p w:rsidR="0085709A" w:rsidRDefault="0085709A" w:rsidP="0085709A">
      <w:pPr>
        <w:pStyle w:val="TextoNormal"/>
      </w:pPr>
    </w:p>
    <w:p w:rsidR="0085709A" w:rsidRDefault="0085709A" w:rsidP="0085709A">
      <w:pPr>
        <w:pStyle w:val="TextoNormal"/>
      </w:pPr>
      <w:r>
        <w:t>No obstante, aquellas personas que no estén expresamente obligadas a expedir facturas, y aun así las expidan, como lo son aquellos contribuyentes del IRPF que no obtienen rendimientos de actividades económicas de ninguna clase (y mucho menos determinados en régimen de estimación objetiva, como en el caso enjuiciado), estarían violando los arts. 1.1 y 26 del Reglamento de obligaciones de facturación; esto es, estarían incumpliendo el deber de expedir facturas. De este modo, los incumplimientos de las obligaciones de facturación a que se refiere el art. 201.1 LGT podrían llevarse a cabo, por un lado, por omisión por parte de las personas expresamente obligadas a ello (empresarios y profesionales); y, por otro, por comisión por parte de las personas implícitamente no autorizadas normativamente.</w:t>
      </w:r>
    </w:p>
    <w:p w:rsidR="0085709A" w:rsidRDefault="0085709A" w:rsidP="0085709A">
      <w:pPr>
        <w:pStyle w:val="TextoNormal"/>
      </w:pPr>
    </w:p>
    <w:p w:rsidR="0085709A" w:rsidRDefault="0085709A" w:rsidP="0085709A">
      <w:pPr>
        <w:pStyle w:val="TextoNormal"/>
      </w:pPr>
      <w:r>
        <w:t>Resulta, pues, evidente que, si de conformidad con la resolución sancionadora el recurrente no ha realizado actividad económica alguna siendo todas las operaciones que se decían realizadas irreales, éste no tenía autorización normativa para expedir facturas y, en consecuencia, su conducta puede razonablemente subsumirse en el tipo infractor relativo al “incumplimiento de las obligaciones de facturación” (art. 201.1 LGT). Y parece razonable porque, si no ha habido una efectiva prestación de servicios, no podía facturar, ni desde un punto de vista subjetivo ni desde una óptica objetiva, de tal modo que los trabajos cuya existencia se niega son los que pueden servir luego como fundamento de una prohibición cuyo incumplimiento lleva aparejado la comisión de la infracción controvertida. Una vez que la Administración tributaria consideró inexistente la actividad pretendidamente realizada, actuó de forma correcta, como es, el imponer una sanción por el incumplimiento de las obligaciones de facturación.</w:t>
      </w:r>
    </w:p>
    <w:p w:rsidR="0085709A" w:rsidRDefault="0085709A" w:rsidP="0085709A">
      <w:pPr>
        <w:pStyle w:val="TextoNormal"/>
      </w:pPr>
    </w:p>
    <w:p w:rsidR="0085709A" w:rsidRDefault="0085709A" w:rsidP="0085709A">
      <w:pPr>
        <w:pStyle w:val="TextoNormal"/>
      </w:pPr>
      <w:r>
        <w:t>Esta aplicación concreta del precepto controvertido (art. 201.1 LGT) no sólo respeta el tenor literal del enunciado normativo, sino también, desde el punto de vista metodológico, resulta conforme a modelos de argumentación aceptados por la propia comunidad jurídica. Y ello porque tal resultado (imposición de la sanción en el caso enjuiciado) se desprende, como hemos visto, tanto una interpretación literal como de una interpretación sistemática entre las normas tributarias (art. 201.1 LGT, y arts. 1 y 26 del Reglamento de obligaciones de facturación).</w:t>
      </w:r>
    </w:p>
    <w:p w:rsidR="0085709A" w:rsidRDefault="0085709A" w:rsidP="0085709A">
      <w:pPr>
        <w:pStyle w:val="TextoNormal"/>
      </w:pPr>
    </w:p>
    <w:p w:rsidR="0085709A" w:rsidRDefault="0085709A" w:rsidP="0085709A">
      <w:pPr>
        <w:pStyle w:val="TextoNormal"/>
      </w:pPr>
      <w:r>
        <w:t xml:space="preserve">Adicionalmente, atendiendo a una interpretación teleológica de la disposición sancionadora aplicada, si la norma persigue favorecer el correcto cumplimiento de la obligación de facturar para garantizar a la Administración tributaria una adecuada información que le permita una correcta gestión de los distintos tributos, “especialmente en lo referente a las transacciones económicas derivadas del desarrollo de actividades empresariales o profesionales” (como señala el párrafo primero del preámbulo del citado Real Decreto 1496/2003), no es irrazonable asumir como fundamento de la infracción controvertida no sólo el falseamiento de los datos de una factura que responde a una transacción económica sino también el falseamiento de la propia factura por no responder a ninguna operación real. En efecto, incumple la obligación de facturación tanto quien estando obligado a facturar no expide la correspondiente factura o la expide con datos falsos o falseados, como quien no estando </w:t>
      </w:r>
      <w:r>
        <w:lastRenderedPageBreak/>
        <w:t>obligado a facturar por no haber realizado operaciones respecto de las cuales surgiría esta obligación, expide un documento falso pretendiendo acreditar una realidad inexistente en el tráfico mercantil.</w:t>
      </w:r>
    </w:p>
    <w:p w:rsidR="0085709A" w:rsidRDefault="0085709A" w:rsidP="0085709A">
      <w:pPr>
        <w:pStyle w:val="TextoNormal"/>
      </w:pPr>
    </w:p>
    <w:p w:rsidR="0085709A" w:rsidRDefault="0085709A" w:rsidP="0085709A">
      <w:pPr>
        <w:pStyle w:val="TextoNormal"/>
      </w:pPr>
      <w:r>
        <w:t>Por ello, desde un punto de vista metodológico, el hecho de atribuir el incumplimiento de la obligación de facturar, a los efectos de subsumir esa conducta en el tipo infractor del art. 201 LGT, a quien se le niega con carácter previo la realidad de las operaciones facturadas, no incurre en quiebra lógica. Resulta lógico entender que el bien jurídico protegido que subyace al tipo infractor citado reside en la correcta información de la realidad de las transacciones económicas a través de la documentación fidedigna que se dirige a la Administración Tributaria. Información necesaria para que la Administración referida pueda cumplir adecuadamente su función de gestión de los diferentes tributos. Por ello, si las obligaciones de veracidad en la emisión de las facturas, en cuanto a los datos económicos relevantes, requieren que la información refleje fielmente la realidad de lo que se documenta, no puede considerarse incoherente concluir que quien emite una factura falsa por falta de correspondencia total con la realidad, incumple asimismo aquella obligación de fidelidad a la verdad de los datos contenidos en aquella factura. La subsunción en el tipo infractor del art. 201.1 de la conducta consistente en simular haber llevado a cabo concretas operaciones económicas, totalmente ficticias, afecta de lleno a ese legítimo interés de la Administración pública que tutela el citado precepto, cifrado en el deber de los obligados tributarios de suministrarle información veraz a efectos de la correcta gestión de los tributos correspondientes.</w:t>
      </w:r>
    </w:p>
    <w:p w:rsidR="0085709A" w:rsidRDefault="0085709A" w:rsidP="0085709A">
      <w:pPr>
        <w:pStyle w:val="TextoNormal"/>
      </w:pPr>
    </w:p>
    <w:p w:rsidR="0085709A" w:rsidRDefault="0085709A" w:rsidP="0085709A">
      <w:pPr>
        <w:pStyle w:val="TextoNormal"/>
      </w:pPr>
      <w:r>
        <w:t>En fin, tampoco desde un punto de vista axiológico puede afirmarse que la aplicación del precepto contradiga las pautas valorativas que informan el ordenamiento constitucional en cuanto al fundamento de la garantía del principio de legalidad sancionadora (art. 25.1 CE) ya que no puede negarse la previsibilidad del carácter ilícito de la conducta en cuestión y de las correspondientes consecuencias punitivas en el orden tributario. La subsunción en el tipo infractor del art. 201 LGT de la conducta consistente en aparentar, mediante la expedición de facturas falsas, de unas transacciones económicas irreales, no puede considerarse que quede fuera del campo semántico del precepto aplicado. La interpretación realizada por la Administración tributaria no es, pues, incoherente con la finalidad perseguida por la infracción prevista y con la defensa del bien jurídico protegido.</w:t>
      </w:r>
    </w:p>
    <w:p w:rsidR="0085709A" w:rsidRDefault="0085709A" w:rsidP="0085709A">
      <w:pPr>
        <w:pStyle w:val="TextoNormal"/>
      </w:pPr>
    </w:p>
    <w:p w:rsidR="0085709A" w:rsidRDefault="0085709A" w:rsidP="0085709A">
      <w:pPr>
        <w:pStyle w:val="TextoNormal"/>
      </w:pPr>
      <w:r>
        <w:t>En suma, debe rechazarse que la subsunción en el art. 201.1 LGT de los hechos descritos haya vulnerado el derecho del recurrente a la legalidad penal y sancionadora (art. 25.1 CE).</w:t>
      </w:r>
    </w:p>
    <w:p w:rsidR="0085709A" w:rsidRDefault="0085709A" w:rsidP="0085709A">
      <w:pPr>
        <w:pStyle w:val="TextoNormal"/>
      </w:pPr>
    </w:p>
    <w:p w:rsidR="0085709A" w:rsidRDefault="0085709A" w:rsidP="0085709A">
      <w:pPr>
        <w:pStyle w:val="TextoNormal"/>
      </w:pPr>
      <w:r w:rsidRPr="0085709A">
        <w:rPr>
          <w:rStyle w:val="NumeroAFNegritaCaracter"/>
        </w:rPr>
        <w:t>4</w:t>
      </w:r>
      <w:r>
        <w:t>. Una vez que hemos descartado que pueda considerase como irrazonable la subsunción en el tipo infractor del art. 201.1 LGT (incumplimiento de las obligaciones de facturación) de la conducta consistente en expedir facturas falsas, resta por concretar, en segundo lugar, si, como defiende el recurrente en amparo, la aplicación de la modalidad agravada del art. 201.3 LGT (expedición de facturas “con datos falsos o falseados”) a la conducta consistente en la emisión de “facturas falsas”, contradice el principio de legalidad penal y sancionadora del art. 25.1 CE.</w:t>
      </w:r>
    </w:p>
    <w:p w:rsidR="0085709A" w:rsidRDefault="0085709A" w:rsidP="0085709A">
      <w:pPr>
        <w:pStyle w:val="TextoNormal"/>
      </w:pPr>
    </w:p>
    <w:p w:rsidR="0085709A" w:rsidRDefault="0085709A" w:rsidP="0085709A">
      <w:pPr>
        <w:pStyle w:val="TextoNormal"/>
      </w:pPr>
      <w:r>
        <w:t>Debemos recordar que el art. 201.3 LGT califica de “muy grave” la conducta tipificada en el art. 201.1 LGT (el incumplimiento de las obligaciones de facturación) cuando el in</w:t>
      </w:r>
      <w:r>
        <w:lastRenderedPageBreak/>
        <w:t>cumplimiento consista en la expedición de facturas “con datos falsos o falseados”. Y, efectivamente, según el acuerdo sancionador de fecha 10 de marzo de 2010, la conducta imputada al recurrente es la de emitir facturas sin contraprestación real; es decir, facturas falsas, que se subsume directamente en la agravante del art. 201.3 LGT. En sentido parecido, la resolución de la vocalía sexta del Tribunal Económico-Administrativo Central, de 5 de octubre de 2011, considera que se puede encuadrar en la agravante del art. 201.3 LGT tanto la conducta consistente en el falseamiento de los datos de una factura como la relativa al falseamiento de la propia factura. En fin, la misma interpretación mantiene la Sentencia de la Sección Cuarta de la Sala de lo Contencioso-Administrativo de la Audiencia Nacional de 26 de septiembre de 2011, afirmando que la expedición de facturas falsas es una conducta idónea para integrar el tipo agravado del art. 201.3 LGT: “la falsedad de las facturas por inexistencia de contraprestación real puede, sin que ello suponga una interpretación analógica, encuadrarse en el tipo descrito en la norma”.</w:t>
      </w:r>
    </w:p>
    <w:p w:rsidR="0085709A" w:rsidRDefault="0085709A" w:rsidP="0085709A">
      <w:pPr>
        <w:pStyle w:val="TextoNormal"/>
      </w:pPr>
    </w:p>
    <w:p w:rsidR="0085709A" w:rsidRDefault="0085709A" w:rsidP="0085709A">
      <w:pPr>
        <w:pStyle w:val="TextoNormal"/>
      </w:pPr>
      <w:r>
        <w:t>Pues bien, dentro de las posibles interpretaciones del precepto y desde la limitada perspectiva de nuestro control, como señalan tanto el Ministerio Fiscal como el Abogado del Estado, la subsunción de la conducta consistente en expedir facturas falsas dentro de la modalidad agravada de la infracción controvertida relativa a la expedición de facturas con datos falsos o falseados, no puede considerarse que violente los términos del precepto aplicado, ni desde la perspectiva literal, ni desde el punto metodológico, ni, en fin, desde el prisma axiológico, pues, como señalan uno y otro, una factura falsa, por no responder a realidad alguna, no es sino una factura con todos sus datos falsos.</w:t>
      </w:r>
    </w:p>
    <w:p w:rsidR="0085709A" w:rsidRDefault="0085709A" w:rsidP="0085709A">
      <w:pPr>
        <w:pStyle w:val="TextoNormal"/>
      </w:pPr>
    </w:p>
    <w:p w:rsidR="0085709A" w:rsidRDefault="0085709A" w:rsidP="0085709A">
      <w:pPr>
        <w:pStyle w:val="TextoNormal"/>
      </w:pPr>
      <w:r>
        <w:t>Debe rechazarse, en consecuencia, que la subsunción en el art. 201.3 LGT de los hechos descritos haya vulnerado el derecho del recurrente a la legalidad penal y sancionadora (art. 25.1 CE), como también debe rechazarse que el art. 201.3 LGT plantee problema alguno de constitucionalidad en la medida que, como hemos visto, la inclusión dentro del tipo agravado de la conducta consistente en la emisión de facturas falsas respeta las pautas metodológicas y axiológicas de interpretación del precepto.</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Desestimar la demanda de amparo promovida por don Félix Santiago Melián.</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85709A">
      <w:pPr>
        <w:pStyle w:val="TextoNormal"/>
      </w:pPr>
      <w:r>
        <w:t>Dada en Madrid, a veinticinco de junio de dos mil quince.</w:t>
      </w:r>
    </w:p>
    <w:p w:rsidR="0085709A" w:rsidRDefault="0085709A" w:rsidP="0085709A">
      <w:pPr>
        <w:pStyle w:val="ParrafoNormal"/>
      </w:pPr>
    </w:p>
    <w:p w:rsidR="0085709A" w:rsidRDefault="0085709A" w:rsidP="0085709A">
      <w:pPr>
        <w:pStyle w:val="TextoNormalNegritaCentrado"/>
        <w:keepNext/>
      </w:pPr>
      <w:r>
        <w:lastRenderedPageBreak/>
        <w:t>Voto particular que formula la Magistrada doña Adela Asua Batarrita respecto de la Sentencia dictada en el recurso de amparo avocado por el Pleno núm. 6280-2012, al que se adhiere el Magistrado don Andrés Ollero Tassara.</w:t>
      </w:r>
    </w:p>
    <w:p w:rsidR="0085709A" w:rsidRDefault="0085709A" w:rsidP="0085709A">
      <w:pPr>
        <w:pStyle w:val="TextoNormalNegritaCentrado"/>
        <w:keepNext/>
      </w:pPr>
    </w:p>
    <w:p w:rsidR="0085709A" w:rsidRDefault="0085709A" w:rsidP="0085709A">
      <w:pPr>
        <w:pStyle w:val="TextoNormal"/>
      </w:pPr>
      <w:r>
        <w:t>En ejercicio de la facultad que me confiere el art. 90.2 de la Ley Orgánica del Tribunal Constitucional y con pleno respeto a la opinión de la mayoría del Pleno, manifiesto mi discrepancia con la fundamentación jurídica y fallo de la Sentencia, pese a que como ponente de la presente Sentencia y, en dicha condición, recojo en ella su opinión mayoritaria, en virtud de los argumentos que defendí en la deliberación y que expongo a continuación.</w:t>
      </w:r>
    </w:p>
    <w:p w:rsidR="0085709A" w:rsidRDefault="0085709A" w:rsidP="0085709A">
      <w:pPr>
        <w:pStyle w:val="TextoNormal"/>
      </w:pPr>
    </w:p>
    <w:p w:rsidR="0085709A" w:rsidRDefault="0085709A" w:rsidP="0085709A">
      <w:pPr>
        <w:pStyle w:val="TextoNormal"/>
      </w:pPr>
      <w:r>
        <w:t>En mi opinión, tal como expuse en el debate en el Pleno, la Sentencia debió otorgar el amparo solicitado declarando la vulneración del principio de legalidad sancionadora del art. 25.1 CE, por las razones que paso a exponer.</w:t>
      </w:r>
    </w:p>
    <w:p w:rsidR="0085709A" w:rsidRDefault="0085709A" w:rsidP="0085709A">
      <w:pPr>
        <w:pStyle w:val="TextoNormal"/>
      </w:pPr>
    </w:p>
    <w:p w:rsidR="0085709A" w:rsidRDefault="0085709A" w:rsidP="0085709A">
      <w:pPr>
        <w:pStyle w:val="TextoNormal"/>
      </w:pPr>
      <w:r>
        <w:t xml:space="preserve">1. Comparto plenamente los parámetros de enjuiciamiento sentados en el fundamento jurídico 2, que conforme a las pautas constitucionales limitan nuestra función al control externo de la interpretación de la legalidad ordinaria realizada por los órganos jurisdiccionales, así como nuestra reiterada doctrina sobre el significado y las exigencias de la garantía de legalidad sancionadora </w:t>
      </w:r>
      <w:r w:rsidRPr="0085709A">
        <w:rPr>
          <w:i/>
        </w:rPr>
        <w:t>ex</w:t>
      </w:r>
      <w:r>
        <w:t xml:space="preserve"> art. 25.1 CE.</w:t>
      </w:r>
    </w:p>
    <w:p w:rsidR="0085709A" w:rsidRDefault="0085709A" w:rsidP="0085709A">
      <w:pPr>
        <w:pStyle w:val="TextoNormal"/>
      </w:pPr>
    </w:p>
    <w:p w:rsidR="0085709A" w:rsidRDefault="0085709A" w:rsidP="0085709A">
      <w:pPr>
        <w:pStyle w:val="TextoNormal"/>
      </w:pPr>
      <w:r>
        <w:t>Mi discrepancia versa sobre la aplicación de los criterios enunciados en su proyección en el fundamento jurídico 3 a la resolución del presente recurso de amparo. Aun así, considero pertinente subrayar aquí la importancia que en el presente caso cobra el principio de legalidad sancionadora desde su significado como garantía de la separación y delimitación de las funciones del poder legislativo respecto al judicial y al ejecutivo, propiamente en lo que nos ocupa, respecto a los órganos de la Administración encargados de aplicar las previsiones sancionadoras. La exigencia de sumisión estricta a la legalidad está llamada a operar como límite infranqueable para el poder enjuiciador correspondiente, garantía frente a tentaciones o apetencias de modular, corregir o suplantar la política legislativa en materia de infracciones plasmada en las normas aprobadas por el Parlamento. Cualquier consideración de justicia material, preferencias en la modalidad de sanción, o espacios de discrecionalidad queda estrictamente excluida o, en su caso, restringida a lo que permita el marco de la ley aplicable.</w:t>
      </w:r>
    </w:p>
    <w:p w:rsidR="0085709A" w:rsidRDefault="0085709A" w:rsidP="0085709A">
      <w:pPr>
        <w:pStyle w:val="TextoNormal"/>
      </w:pPr>
    </w:p>
    <w:p w:rsidR="0085709A" w:rsidRDefault="0085709A" w:rsidP="0085709A">
      <w:pPr>
        <w:pStyle w:val="TextoNormal"/>
      </w:pPr>
      <w:r>
        <w:t xml:space="preserve">Por ello, para examinar si se han vulnerado las garantías constitucionales de la legalidad sancionadora, no es suficiente, aunque sea ineludible, comprobar que se cumplen las exigencias de certeza y claridad de la ley en su dicción, la previsibilidad y accesibilidad de su contenido para cualquier persona, asesorada en su caso, de manera que pueda reconocer el carácter ilícito de la conducta, y el alcance de la sanción correspondiente. Es necesario además que la sanción que se imponga se ajuste a las previsiones del legislador en cuanto a su clase o gravedad, en correlación con el precepto que tipifica aquella precisa conducta. El órgano sancionador no está facultado para optar discrecionalmente por un precepto u otro, alterando la graduación y diferenciación prevista en la ley. Repitiendo la cita de la STC 137/1997 en su fundamento jurídico 6: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Perspectiva que cobra especial relieve en el presente caso </w:t>
      </w:r>
      <w:r>
        <w:lastRenderedPageBreak/>
        <w:t>para examinar la razonabilidad de la subsunción realizada por el órgano sancionador y la compatibilidad constitucional de la interpretación subyacente, avalada por los órganos administrativos y jurisdiccionales cuyas resoluciones han sido objeto e impugnación en el presente amparo.</w:t>
      </w:r>
    </w:p>
    <w:p w:rsidR="0085709A" w:rsidRDefault="0085709A" w:rsidP="0085709A">
      <w:pPr>
        <w:pStyle w:val="TextoNormal"/>
      </w:pPr>
    </w:p>
    <w:p w:rsidR="0085709A" w:rsidRDefault="0085709A" w:rsidP="0085709A">
      <w:pPr>
        <w:pStyle w:val="TextoNormal"/>
      </w:pPr>
      <w:r>
        <w:t>2. Mi desacuerdo con la Sentencia aprobada en el Pleno proviene de la que considero incongruente e insuficiente argumentación utilizada para avalar una interpretación extensiva de la previsión contemplada en el art. 201.1. Ley general tributaria (LGT). Extensiva hasta el punto de incluir bajo la dicción legal una modalidad de conducta que choca con el sentido literal, el significado material del concreto ilícito tributario, la estructura y la ubicación sistemática del precepto aplicado, y que por ello, desborda los límites de la legalidad sancionadora. A mi entender, tal interpretación sobrepasa lo que sería una mera analogía, claramente prohibida en este ámbito, ya que difícilmente pueden equipararse conductas que se sitúan en posición opuesta entre sí, por más que genéricamente ambas afecten a la correcta gestión financiera o tributaria. Y recordemos que la garantía constitucional del art. 25.1 CE de la que deriva la prohibición de analogía referida, se recoge en el art. 129.4 de la Ley 30/1992, de 26 de noviembre, de régimen jurídico de las Administraciones públicas y procedimiento administrativo común, al establecer que “las normas definidoras de infracciones y sanciones no serán susceptibles de aplicación analógica”.</w:t>
      </w:r>
    </w:p>
    <w:p w:rsidR="0085709A" w:rsidRDefault="0085709A" w:rsidP="0085709A">
      <w:pPr>
        <w:pStyle w:val="TextoNormal"/>
      </w:pPr>
    </w:p>
    <w:p w:rsidR="0085709A" w:rsidRDefault="0085709A" w:rsidP="0085709A">
      <w:pPr>
        <w:pStyle w:val="TextoNormal"/>
      </w:pPr>
      <w:r>
        <w:t>El incumplimiento de un deber positivo (</w:t>
      </w:r>
      <w:r w:rsidRPr="0085709A">
        <w:rPr>
          <w:i/>
        </w:rPr>
        <w:t>tributario</w:t>
      </w:r>
      <w:r>
        <w:t>) —deber de emitir factura fiel, conservarla— difiere claramente de la transgresión de una prohibición (</w:t>
      </w:r>
      <w:r w:rsidRPr="0085709A">
        <w:rPr>
          <w:i/>
        </w:rPr>
        <w:t>penal</w:t>
      </w:r>
      <w:r>
        <w:t>) o deber de abstenerse —creación de una apariencia emitiendo factura falsa— por lo que resulta difícil forzar el tenor legal que ha sido formulado a todas luces para sancionar el incumplimiento de aquel deber. Con la interpretación efectuada se amplía de tal modo el campo del art. 201.1 LGT que se hace decir a la ley lo que no dice, se desvirtúa la técnica diferenciadora de ilícitos para extender la aplicación del art. 201.1 LGT a conductas defraudatorias de mayor alcance que las que constituyen incumplimientos de aquellas obligaciones de facturación que no necesariamente se dirigen a defraudar, orientación defraudatoria que por el contrario podría deducirse con claridad del hecho de confeccionar una factura falsa que documenta importes inexistentes del impuesto sobre el valor añadido (IVA).</w:t>
      </w:r>
    </w:p>
    <w:p w:rsidR="0085709A" w:rsidRDefault="0085709A" w:rsidP="0085709A">
      <w:pPr>
        <w:pStyle w:val="TextoNormal"/>
      </w:pPr>
    </w:p>
    <w:p w:rsidR="0085709A" w:rsidRDefault="0085709A" w:rsidP="0085709A">
      <w:pPr>
        <w:pStyle w:val="TextoNormal"/>
      </w:pPr>
      <w:r>
        <w:t>La subsunción en el marco del art. 201.1 LGT, —que bajo el título de “Infracción tributaria por incumplir obligaciones de facturación o documentación”, se refiere al “incumplimiento de las obligaciones de facturación, entre otras, la de expedición, remisión, rectificación y conservación de facturas, justificantes o documentos sustitutivos”— la conducta de emisión de falsas facturas para documentar transacciones inexistentes, no solo sobrepasa el sentido literal posible y las zonas de penumbra del campo semántico de una dicción clara del precepto que se construye sobre la existencia de una previa obligación de facturar. La ampliación del ámbito de la conducta típica trastoca el sentido de la obligación cuyo incumplimiento conlleva una determinada sanción. El precepto se transforma en un mandato/prohibición genérico de no obstaculizar o alterar de cualquier forma la información que Hacienda requiere. Una desnaturalización que no respeta la previsión del legislador.</w:t>
      </w:r>
    </w:p>
    <w:p w:rsidR="0085709A" w:rsidRDefault="0085709A" w:rsidP="0085709A">
      <w:pPr>
        <w:pStyle w:val="TextoNormal"/>
      </w:pPr>
    </w:p>
    <w:p w:rsidR="0085709A" w:rsidRDefault="0085709A" w:rsidP="0085709A">
      <w:pPr>
        <w:pStyle w:val="TextoNormal"/>
      </w:pPr>
      <w:r>
        <w:t xml:space="preserve">3. Ciertamente las resoluciones impugnadas en este amparo no ofrecen apenas motivación para apoyar la interpretación extensiva aplicada, sino más bien meras aseveraciones. Pero nuestra Sentencia tampoco ofrece mayor argumentación y se limita prácticamente a </w:t>
      </w:r>
      <w:r>
        <w:lastRenderedPageBreak/>
        <w:t>avalar aquella de forma, a mi juicio, insuficiente para demostrar la compatibilidad constitucional de tal entendimiento. En concreto, es un juicio voluntarista e insuficiente la argumentación recogida en el fundamento jurídico 3 de la Sentencia cuando se dice que:</w:t>
      </w:r>
    </w:p>
    <w:p w:rsidR="0085709A" w:rsidRDefault="0085709A" w:rsidP="0085709A">
      <w:pPr>
        <w:pStyle w:val="TextoNormal"/>
      </w:pPr>
    </w:p>
    <w:p w:rsidR="0085709A" w:rsidRDefault="0085709A" w:rsidP="0085709A">
      <w:pPr>
        <w:pStyle w:val="TextoNormal"/>
      </w:pPr>
      <w:r>
        <w:t>“aquellas personas que no estén expresamente obligadas a expedir facturas, y aun así las expidan, como lo son aquellos contribuyentes del IRPF que no obtienen rendimientos de actividades económicas de ninguna clase (y mucho menos determinados en régimen de estimación objetiva, como en el caso enjuiciado), estarían violando los arts. 1.1 y 26 del ROF; esto es, estarían incumpliendo el deber de expedir facturas. De este modo, los incumplimientos de las obligaciones de facturación a que se refiere el art. 201.1 LGT podrían llevarse a cabo, por un lado, por omisión por parte de las personas expresamente obligadas a ello (empresarios y profesionales); y, por otro, por comisión por parte de las personas implícitamente no autorizadas normativamente”.</w:t>
      </w:r>
    </w:p>
    <w:p w:rsidR="0085709A" w:rsidRDefault="0085709A" w:rsidP="0085709A">
      <w:pPr>
        <w:pStyle w:val="TextoNormal"/>
      </w:pPr>
    </w:p>
    <w:p w:rsidR="0085709A" w:rsidRDefault="0085709A" w:rsidP="0085709A">
      <w:pPr>
        <w:pStyle w:val="TextoNormal"/>
      </w:pPr>
      <w:r>
        <w:t>Resulta cuando menos un eufemismo sorprendente, una especie de retruécano, afirmar que las “personas implícitamente no autorizadas normativamente” para emitir una factura falsa, al hacerlo cometen la infracción consistente en incumplir un deber de facturar. Pero debe suponerse que no se trata de mera falta de autorización sino de una prohibición, la prohibición de emitir facturas falsas. ¿Una prohibición implícita, situada en el reverso del mandato explícito de facturar a quienes llevan a cabo transacciones económicas? Lo cierto es que la prohibición explícita y contundente de crear documentos mercantiles falsos se encuentra en el Código penal (CP) en su art. 392.1 (aparte de la previsión del art. 395 CP, en su caso) donde se contemplan penas de prisión. El entendimiento que avala la Sentencia de la que disiento, deja sin aplicación la previsión del Código penal a estos efectos, permitiendo que el órgano sancionador degrade a infracción administrativa la reprobación penal prevista para tales conductas. El hecho de que tal “degradación” pudiera beneficiar al infractor no empece la infracción de la garantía de legalidad como garantía de respeto a la división de poderes. De otra manera, se abriría un portillo al ejercicio de la arbitrariedad conforme a criterios de oportunidad generadores de inseguridad jurídica e indefensión, permitiendo al órgano sancionador ámbitos de decisión incompatibles con la garantía de legalidad sancionadora.</w:t>
      </w:r>
    </w:p>
    <w:p w:rsidR="0085709A" w:rsidRDefault="0085709A" w:rsidP="0085709A">
      <w:pPr>
        <w:pStyle w:val="TextoNormal"/>
      </w:pPr>
    </w:p>
    <w:p w:rsidR="0085709A" w:rsidRDefault="0085709A" w:rsidP="0085709A">
      <w:pPr>
        <w:pStyle w:val="TextoNormal"/>
      </w:pPr>
      <w:r>
        <w:t xml:space="preserve">La ampliación del círculo determinado de sujetos activos de la infracción —aquellos que la dicción legal identifica como los sometidos a obligación de facturar, que son los implicados en las transacciones de las que surge la obligación— altera asimismo la voluntad de la ley. No puede ignorarse que junto al art. 201 LGT, en otras previsiones enmarcadas en el mismo capítulo titulado “Clasificación de las infracciones y sanciones tributarias”, el legislador acude a la misma técnica de delimitación de los sujetos de la infracción en función del tipo de operación económica o de determinada obligación derivada de aquella. Así, en relación a obligaciones de documentación asociadas a operaciones aduaneras, cuyo incumplimiento se sanciona (arts. 198 y 199 LGT); o en relación a quienes tienen la obligación de llevanza de contabilidad u otras obligaciones registrales, se sanciona su incumplimiento como infracción contable (art. 200 LGT), precisamente una figura de aplicación subsidiaria respecto a la de delito contable tipificado en el Código penal para supuestos de mayor gravedad. Como expuse en el debate del Pleno, esta clase de infracciones se caracterizan por adelantar la intervención sancionadora a estadios previos a un resultado lesivo, aquí diríamos previo a la defraudación efectiva a la Hacienda pública, adelanto dirigido a prevenir el </w:t>
      </w:r>
      <w:r>
        <w:lastRenderedPageBreak/>
        <w:t>peligro de la posterior defraudación. Si bien el sentido o finalidad de estas previsiones sancionadoras “adelantadas” es asegurar que la Administración tributaria obtenga la información pertinente para la correcta liquidación de los tributos, el legislador acomoda la definición de la infracción y las sanciones a las peculiaridades de cada modalidad diferenciada. Diferenciación legal que el órgano sancionador debe respetar en un sistema constitucional de división de poderes y funciones.</w:t>
      </w:r>
    </w:p>
    <w:p w:rsidR="0085709A" w:rsidRDefault="0085709A" w:rsidP="0085709A">
      <w:pPr>
        <w:pStyle w:val="TextoNormal"/>
      </w:pPr>
    </w:p>
    <w:p w:rsidR="0085709A" w:rsidRDefault="0085709A" w:rsidP="0085709A">
      <w:pPr>
        <w:pStyle w:val="TextoNormal"/>
      </w:pPr>
      <w:r>
        <w:t xml:space="preserve">Por ello, el argumento de la Sentencia, que pretende identificar —rebasando nuestro propio cometido, digamos que en un </w:t>
      </w:r>
      <w:r w:rsidRPr="0085709A">
        <w:rPr>
          <w:i/>
        </w:rPr>
        <w:t>obiter dicta</w:t>
      </w:r>
      <w:r>
        <w:t>— como bien jurídico tutelado en el art. 201 LGT “la correcta información de la realidad de las transacciones económicas a través de la documentación fidedigna que se dirige a la Administración Tributaria” no puede considerarse suficiente para justificar la interpretación amplia del precepto. Por la misma razón podría, en consecuencia, ampliarse el entendimiento de los ámbitos típicos de todas la infracciones tributarias, lo que supondría desconocer la cuidadosa diferenciación que el legislador realizó distinguiendo las modalidades de incumplimiento, obstrucción, engaño o defraudación a través de las concretas y separadas formulaciones típicas. La vulneración del principio de tipicidad, derivado del art 25.1 CE sería patente.</w:t>
      </w:r>
    </w:p>
    <w:p w:rsidR="0085709A" w:rsidRDefault="0085709A" w:rsidP="0085709A">
      <w:pPr>
        <w:pStyle w:val="TextoNormal"/>
      </w:pPr>
    </w:p>
    <w:p w:rsidR="0085709A" w:rsidRDefault="0085709A" w:rsidP="0085709A">
      <w:pPr>
        <w:pStyle w:val="TextoNormal"/>
      </w:pPr>
      <w:r>
        <w:t>En cuanto al argumento sistemático, resulta insuficiente que se sustente y se agote —como se hace en la Sentencia en el fundamento jurídico 3— en el análisis de la relación entre el art 201 LGT y los arts. 1 y 26 del Reglamento de obligaciones de facturación, y además para alterar la comprensión del “deber de facturar” al adicionar al mismo un “implícito deber de no facturar” a fin de ampliar la base de la infracción sancionadora. La interpretación sistemática requiere atender al conjunto de infracciones que se enmarcan en el citado capitulo III relativo a las “Clasificación de las infracciones y sanciones tributarias” porque allí se contemplan posibilidades de tipificación de la conducta de emisión de falsas facturas del IVA en otros preceptos, aunque el único interés en reseñar este hecho es el de poner de relieve la falta de consistencia de la interpretación expansiva operada sobre el art. 201.1 LGT. En detrimento del mandato constitucional de sujeción a la legalidad. Así, por ejemplo en el art. 192 LGT se tipifica el “incumplimiento de presentar de forma completa y correcta declaraciones y documentos necesarios para practicar liquidaciones”.</w:t>
      </w:r>
    </w:p>
    <w:p w:rsidR="0085709A" w:rsidRDefault="0085709A" w:rsidP="0085709A">
      <w:pPr>
        <w:pStyle w:val="TextoNormal"/>
      </w:pPr>
    </w:p>
    <w:p w:rsidR="0085709A" w:rsidRDefault="0085709A" w:rsidP="0085709A">
      <w:pPr>
        <w:pStyle w:val="TextoNormal"/>
      </w:pPr>
      <w:r>
        <w:t>Del análisis comparativo de los demás preceptos del mismo capítulo se constata asimismo que la cuantía de la sanción pecuniaria se calcula en función de los importes de las liquidaciones efectuadas o de las cantidades defraudadas en su caso. De forma similar, en el art. 201.1 LGT aplicado al caso, la sanción consiste en multa proporcional al importe del “conjunto de operaciones que hayan originado la infracción”. Lo cual corrobora que el precepto está configurado sobre el supuesto de transacciones reales cuantificables en valor dinerario, de manera que la multa opera como una detracción de las ganancias o ingresos efectivos. Como expuse en el Pleno, esta era una de las razones que también debían tomarse en cuenta en la interpretación de la compatibilidad de la interpretación impugnada con el sentido del precepto. En el caso objeto del recurso, dado que se aplicó el tipo doblemente agravado —uso de documentos falseados, e “incumplimiento sustancial de las obligaciones”—, la multa se incrementó en un 100 por 100 sobre el 75 por 100 de la cuantía ficticia de las operaciones que se documentaron falsamente.</w:t>
      </w:r>
    </w:p>
    <w:p w:rsidR="0085709A" w:rsidRDefault="0085709A" w:rsidP="0085709A">
      <w:pPr>
        <w:pStyle w:val="TextoNormal"/>
      </w:pPr>
    </w:p>
    <w:p w:rsidR="0085709A" w:rsidRDefault="0085709A" w:rsidP="0085709A">
      <w:pPr>
        <w:pStyle w:val="TextoNormal"/>
      </w:pPr>
      <w:r>
        <w:lastRenderedPageBreak/>
        <w:t>4. Por todo ello, resulta irrazonable subsumir en el tipo infractor relativo al “incumplimiento de las obligaciones de facturación” (art. 201.1 LGT) la conducta consistente en simular “la realización de una actividad inexistente” por “no corresponderse con una actividad económica real”, según afirma la propia resolución administrativa sancionadora. No puede incumplir las obligaciones de facturación (art. 201.1 LGT), ni mucho menos hacerlo de forma “sustancial” (art. 201.5 LGT), quien, de conformidad con el ordenamiento tributario, por sus circunstancias subjetivas y objetivas, no quedaba dentro del ámbito de aplicación de esa obligación. Por otro lado, también resulta contradictorio que la supuesta prestación de servicios cuya inexistencia fue declarada probada por la administración tributaria, pretenda tomarse como fundamento de una obligación a cuyo incumplimiento se le apareja la comisión de la infracción controvertida, y por la que se le impone una multa en función del supuesto montante de una cantidad ficticia.</w:t>
      </w:r>
    </w:p>
    <w:p w:rsidR="0085709A" w:rsidRDefault="0085709A" w:rsidP="0085709A">
      <w:pPr>
        <w:pStyle w:val="TextoNormal"/>
      </w:pPr>
    </w:p>
    <w:p w:rsidR="0085709A" w:rsidRDefault="0085709A" w:rsidP="0085709A">
      <w:pPr>
        <w:pStyle w:val="TextoNormal"/>
      </w:pPr>
      <w:r>
        <w:t>Puesto que la conducta del recurrente en amparo, conforme a lo anterior, no debió, a mi juicio, reconducirse a la infracción prevista en el art. 201.1 LGT (incumplimiento de las obligaciones de facturación), no tendría sentido entrar en la discusión sobre la procedencia de la aplicación de los subtipos agravados, cuya aplicación requiere la previa concurrencia de la conducta básica. Por otro lado, la cualificación del art. 201.3 LGT se refiere a la emisión de facturas “con datos falsos o falseados", lo cual es significativo porque implícitamente puede deducirse que el supuesto de “facturas falsas” no ha quedado mencionado —a diferencia de la explícita mención en otros preceptos del capítulo— porque el legislador ha sido congruente con su previsión de que las conductas infractoras básicas necesariamente requieren un precedente de transacción económica real. Por ello, no sería reconducible al precepto la falsedad documental de una operación que, en cuanto irreal, no sería fuente de una obligación de facturar. Pero la Sentencia de la que discrepo considera que la referencia a los “datos falsos o falseados” avala la inclusión de la confección de “facturas falsas”.</w:t>
      </w:r>
    </w:p>
    <w:p w:rsidR="0085709A" w:rsidRDefault="0085709A" w:rsidP="0085709A">
      <w:pPr>
        <w:pStyle w:val="TextoNormal"/>
      </w:pPr>
    </w:p>
    <w:p w:rsidR="0085709A" w:rsidRDefault="0085709A" w:rsidP="0085709A">
      <w:pPr>
        <w:pStyle w:val="TextoNormal"/>
      </w:pPr>
      <w:r>
        <w:t xml:space="preserve">Sin embargo, la factura falsa (en la que la falsedad afecta al propio documento por reflejar operaciones inexistentes) y la factura con datos falsos o falseados (en la que la falsedad afecta a algún dato de una operación real) son supuestos bien diferenciados a los que nuestro Ordenamiento jurídico atribuye unas consecuencias jurídicas netamente distintas, y así viene refrendado por la doctrina jurídica en el campo tributario. Como señala el informe de la Subdirección General de Ordenación Legal y Asistencia Jurídica de la Agencia Tributaria de 28 de octubre de 2005, con referencia en su fundamentación a la doctrina de la Sala de lo Penal del Tribunal Supremo, dentro de las falsedades documentales en relación a confección de facturas pueden darse dos situaciones: la expedición de facturas que reflejen operaciones totalmente inexistentes o ficticias que integraría un supuesto de falsedad documental cometida por particulares subsumible en el art. 390.1.2 CP, y la expedición de facturas referentes a operaciones reales pero con algún o algunos datos falsos o falseados, en los que concurre una falsedad ideológica no punible penalmente sancionable por el tipo previsto en el art. 201.3 LGT. Efectivamente, cuando el legislador al ocuparse de las infracciones tributarias ha querido distinguir las dos modalidades de conductas falsarias (separando la de falsear el documento respecto a la de alterar o falsear datos del contenido del documento) lo ha hecho expresamente, como se observa por ejemplo, con los “criterios de graduación de las sanciones”, uno de los cuales es “el empleo de facturas, justificantes u otros documentos falsos o falseados” [art. 184.3 b) LGT]; asimismo en la infracción prevista en el art. 191.2 a) y 3 a) LGT “por dejar de ingresar la deuda tributaria que debiera resultar de una </w:t>
      </w:r>
      <w:r>
        <w:lastRenderedPageBreak/>
        <w:t>autoliquidación”, que se agrava “[c]uando se hayan utilizado facturas, justificantes o documentos falsos o falseados”; en la infracción contemplada en el art. 192 a) y 3 a) LGT “por incumplimiento de la obligación de presentar de forma completa y correcta declaraciones o documentos necesarios para practicar liquidaciones”, que se agrava cuando “se hayan utilizado facturas, justificantes o documentos falsos o falseados"; en la infracción prevista en el art. 193.2 a) y 3 a) LGT “por obtener indebidamente devoluciones” en la que ha distinguido claramente entre la factura o documento “falso” y la factura o documento “falseado” .</w:t>
      </w:r>
    </w:p>
    <w:p w:rsidR="0085709A" w:rsidRDefault="0085709A" w:rsidP="0085709A">
      <w:pPr>
        <w:pStyle w:val="TextoNormal"/>
      </w:pPr>
    </w:p>
    <w:p w:rsidR="0085709A" w:rsidRDefault="0085709A" w:rsidP="0085709A">
      <w:pPr>
        <w:pStyle w:val="TextoNormal"/>
      </w:pPr>
      <w:r>
        <w:t>La contemplación comparada de los referidos preceptos confirma que la ausencia de referencia en el art. 201.3 al uso de “facturas falsas” no es fortuito, sino deliberado y consecuente con el diseño del legislador del precepto en cuestión. Con la interpretación que se avala en nuestra Sentencia, se está subsumiendo dentro del art. 201 LGT una conducta que ni está en su letra ni el legislador quiso en momento alguno que estuviese contemplada, produciéndose así una extensión del contenido del precepto más allá de los estrictos límites que la garantía del principio de legalidad del art. 25.1 CE permite.</w:t>
      </w:r>
    </w:p>
    <w:p w:rsidR="0085709A" w:rsidRDefault="0085709A" w:rsidP="0085709A">
      <w:pPr>
        <w:pStyle w:val="TextoNormal"/>
      </w:pPr>
    </w:p>
    <w:p w:rsidR="0085709A" w:rsidRDefault="0085709A" w:rsidP="0085709A">
      <w:pPr>
        <w:pStyle w:val="TextoNormal"/>
      </w:pPr>
      <w:r>
        <w:t>En suma, por todo ello, considero que debió estimarse la demanda de amparo, y, en consecuencia, declararse vulnerado el derecho del recurrente a la legalidad penal y sancionadora (art. 25.1 CE).</w:t>
      </w:r>
    </w:p>
    <w:p w:rsidR="0085709A" w:rsidRDefault="0085709A" w:rsidP="0085709A">
      <w:pPr>
        <w:pStyle w:val="TextoNormal"/>
      </w:pPr>
    </w:p>
    <w:p w:rsidR="0085709A" w:rsidRDefault="0085709A" w:rsidP="0085709A">
      <w:pPr>
        <w:pStyle w:val="TextoNormal"/>
      </w:pPr>
      <w:r>
        <w:t>Madrid, a veinticinco de junio de dos mil quince.</w:t>
      </w:r>
    </w:p>
    <w:p w:rsidR="0085709A" w:rsidRDefault="0085709A">
      <w:pPr>
        <w:spacing w:after="160" w:line="259" w:lineRule="auto"/>
        <w:rPr>
          <w:rFonts w:ascii="Times New Roman" w:eastAsia="Times New Roman" w:hAnsi="Times New Roman" w:cs="Times New Roman"/>
          <w:sz w:val="24"/>
          <w:szCs w:val="24"/>
          <w:lang w:eastAsia="es-ES"/>
        </w:rPr>
      </w:pPr>
      <w:r>
        <w:br w:type="page"/>
      </w:r>
    </w:p>
    <w:p w:rsidR="0085709A" w:rsidRDefault="0085709A" w:rsidP="0085709A">
      <w:pPr>
        <w:pStyle w:val="TtuloResolucin"/>
      </w:pPr>
      <w:bookmarkStart w:id="150" w:name="SENTENCIA_2015_147"/>
      <w:r>
        <w:lastRenderedPageBreak/>
        <w:t>SENTENCIA 147/2015, de 25 de junio de 2015</w:t>
      </w:r>
    </w:p>
    <w:bookmarkEnd w:id="150"/>
    <w:p w:rsidR="0085709A" w:rsidRDefault="0085709A" w:rsidP="0085709A">
      <w:pPr>
        <w:pStyle w:val="TtuloResolucin"/>
      </w:pPr>
      <w:r>
        <w:t>Pleno</w:t>
      </w:r>
    </w:p>
    <w:p w:rsidR="0085709A" w:rsidRDefault="0085709A" w:rsidP="0085709A">
      <w:pPr>
        <w:pStyle w:val="TtuloBOE"/>
      </w:pPr>
      <w:r>
        <w:t>(BOE núm. 182, de 31 de julio de 2015)</w:t>
      </w:r>
    </w:p>
    <w:p w:rsidR="0085709A" w:rsidRDefault="0085709A" w:rsidP="0085709A">
      <w:pPr>
        <w:pStyle w:val="TextoNormalCentrado"/>
      </w:pPr>
      <w:r>
        <w:t>ECLI:ES:TC:2015:147</w:t>
      </w:r>
    </w:p>
    <w:p w:rsidR="0085709A" w:rsidRDefault="0085709A" w:rsidP="0085709A">
      <w:pPr>
        <w:pStyle w:val="TextoNormalCentrado"/>
      </w:pPr>
    </w:p>
    <w:p w:rsidR="0085709A" w:rsidRDefault="0085709A" w:rsidP="0085709A">
      <w:pPr>
        <w:pStyle w:val="SntesisDescriptiva"/>
      </w:pPr>
      <w:r>
        <w:t>Impugnación de disposiciones autonómicas 6416-2014. Formulada por el Gobierno de la Nación en relación con diversos preceptos del Decreto del Presidente del Gobierno de Canarias 107/2014, de 2 de octubre, por el que se convoca consulta ciudadana mediante pregunta directa en el ámbito territorial de Canarias.</w:t>
      </w:r>
    </w:p>
    <w:p w:rsidR="0085709A" w:rsidRDefault="0085709A" w:rsidP="0085709A">
      <w:pPr>
        <w:pStyle w:val="SntesisDescriptiva"/>
      </w:pPr>
    </w:p>
    <w:p w:rsidR="0085709A" w:rsidRDefault="0085709A" w:rsidP="0085709A">
      <w:pPr>
        <w:pStyle w:val="SntesisAnaltica"/>
      </w:pPr>
      <w:r>
        <w:t>Competencias sobre consultas ciudadanas: nulidad de los preceptos reglamentarios que regulan las consultas mediante preguntas directas (STC 137/2015).</w:t>
      </w:r>
    </w:p>
    <w:p w:rsidR="0085709A" w:rsidRDefault="0085709A" w:rsidP="0085709A">
      <w:pPr>
        <w:pStyle w:val="SntesisAnaltica"/>
      </w:pPr>
    </w:p>
    <w:p w:rsidR="0085709A" w:rsidRDefault="0085709A" w:rsidP="0085709A">
      <w:pPr>
        <w:pStyle w:val="Extracto"/>
      </w:pPr>
      <w:r>
        <w:t>1.</w:t>
      </w:r>
      <w:r>
        <w:tab/>
        <w:t>Se declara inconstitucional y nula la norma impugnada, al constatar que regula, bajo la denominación de ‘preguntas directas’, genuinos referenda (STC 137/2015) [FJ 4].</w:t>
      </w:r>
    </w:p>
    <w:p w:rsidR="0085709A" w:rsidRDefault="0085709A" w:rsidP="0085709A">
      <w:pPr>
        <w:pStyle w:val="Extracto"/>
      </w:pPr>
    </w:p>
    <w:p w:rsidR="0085709A" w:rsidRDefault="0085709A" w:rsidP="0085709A">
      <w:pPr>
        <w:pStyle w:val="Extracto"/>
      </w:pPr>
      <w:r>
        <w:t>2.</w:t>
      </w:r>
      <w:r>
        <w:tab/>
        <w:t>El Decreto recurrido incurre en vicios de inconstitucionalidad, al convocar consulta de carácter referendario, infringiendo así las competencias exclusivas del Estado en punto a las consultas populares de tal carácter, competencias de autorización (art. 149.1.32 CE), pero que, conforme a jurisprudencia muy consolidada, se proyectan también, en atención a lo previsto en los artículos 23.1, 81.1, 92.3 y 149.1.1 de la misma norma fundamental, sobre la entera disciplina del instituto del referéndum, esto es, sobre su establecimiento y regulación (STC 137/2015) [FJ 4].</w:t>
      </w:r>
    </w:p>
    <w:p w:rsidR="0085709A" w:rsidRDefault="0085709A" w:rsidP="0085709A">
      <w:pPr>
        <w:pStyle w:val="Extracto"/>
      </w:pPr>
    </w:p>
    <w:p w:rsidR="0085709A" w:rsidRDefault="0085709A" w:rsidP="0085709A">
      <w:pPr>
        <w:pStyle w:val="Extracto"/>
      </w:pPr>
      <w:r>
        <w:t>3.</w:t>
      </w:r>
      <w:r>
        <w:tab/>
        <w:t>El Tribunal Constitucional, a través de un pronunciamiento de inconstitucionalidad, no puede deparar o provocar la aparición de reglas ya distintas a las dictadas y enjuiciadas [FJ 4].</w:t>
      </w:r>
    </w:p>
    <w:p w:rsidR="0085709A" w:rsidRDefault="0085709A" w:rsidP="0085709A">
      <w:pPr>
        <w:pStyle w:val="Extracto"/>
      </w:pPr>
    </w:p>
    <w:p w:rsidR="0085709A" w:rsidRDefault="0085709A" w:rsidP="0085709A">
      <w:pPr>
        <w:pStyle w:val="Extracto"/>
      </w:pPr>
      <w:r>
        <w:t>4.</w:t>
      </w:r>
      <w:r>
        <w:tab/>
        <w:t>Sólo a los ciudadanos</w:t>
      </w:r>
      <w:r w:rsidRPr="0085709A">
        <w:rPr>
          <w:i/>
        </w:rPr>
        <w:t xml:space="preserve"> ex </w:t>
      </w:r>
      <w:r>
        <w:t>art. 23.1 CE les corresponde, sin mediatizaciones o sustituciones orgánicas, concurrir, a través del sufragio individual, a la manifestación de la voluntad que, al imputarse por el Ordenamiento a la ciudadanía, merece ser calificada de voluntad general [FJ 4].</w:t>
      </w:r>
    </w:p>
    <w:p w:rsidR="0085709A" w:rsidRDefault="0085709A" w:rsidP="0085709A">
      <w:pPr>
        <w:pStyle w:val="Extracto"/>
      </w:pPr>
    </w:p>
    <w:p w:rsidR="0085709A" w:rsidRDefault="0085709A" w:rsidP="0085709A">
      <w:pPr>
        <w:pStyle w:val="Extracto"/>
      </w:pPr>
      <w:r>
        <w:t>5.</w:t>
      </w:r>
      <w:r>
        <w:tab/>
        <w:t>Si la impugnación por el Gobierno de disposiciones o resoluciones de las Comunidades Autónomas se fundamenta sólo en vulneraciones de carácter competencial se estará, materialmente, ante un conflicto de competencias,  aunque se hubiera acudido a la vía del título V LOTC, y ello por la sustancial identidad procedimental entre este cauce y el de aquellos conflictos, hasta el punto de que la impugnación prevista en tal título V debe formularse y sustanciarse, sea cual fuere el motivo en que se base, por el procedimiento previsto en los arts. 62 a 67 LOTC para los conflictos competenciales, todo ello conforme al artículo 77 de la misma Ley Orgánica [FJ 2].</w:t>
      </w:r>
    </w:p>
    <w:p w:rsidR="0085709A" w:rsidRDefault="0085709A" w:rsidP="0085709A">
      <w:pPr>
        <w:pStyle w:val="Extracto"/>
      </w:pPr>
    </w:p>
    <w:p w:rsidR="0085709A" w:rsidRDefault="0085709A" w:rsidP="0085709A">
      <w:pPr>
        <w:pStyle w:val="Extracto"/>
      </w:pPr>
      <w:r>
        <w:t>6.</w:t>
      </w:r>
      <w:r>
        <w:tab/>
        <w:t xml:space="preserve">El cauce de la impugnación de disposiciones autonómicas es idóneo si, como en el presente caso, el Gobierno reprocha al acto recurrido tanto inconstitucionalidad por razón de incompetencia como alguna otra causa de impugnación; so pena, si </w:t>
      </w:r>
      <w:r>
        <w:lastRenderedPageBreak/>
        <w:t>así no se admitiera, de imponer, contra los principios de economía y de lógica procesal, que un mismo precepto o resolución hubiera de ser impugnado en atención a una eventual diversidad de vicios normativos, por medio de demandas distintas que, sin embargo, habrían de tramitarse a través de procedimientos idénticos [FJ 2].</w:t>
      </w:r>
    </w:p>
    <w:p w:rsidR="0085709A" w:rsidRDefault="0085709A" w:rsidP="0085709A">
      <w:pPr>
        <w:pStyle w:val="Extracto"/>
      </w:pPr>
    </w:p>
    <w:p w:rsidR="0085709A" w:rsidRDefault="0085709A" w:rsidP="0085709A">
      <w:pPr>
        <w:pStyle w:val="Extracto"/>
      </w:pPr>
    </w:p>
    <w:p w:rsidR="0085709A" w:rsidRDefault="0085709A" w:rsidP="0085709A">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y don Ricardo Enríquez Sancho, Magistrados, ha pronunciado</w:t>
      </w:r>
    </w:p>
    <w:p w:rsidR="0085709A" w:rsidRDefault="0085709A" w:rsidP="0085709A">
      <w:pPr>
        <w:pStyle w:val="TextoNormal"/>
      </w:pPr>
    </w:p>
    <w:p w:rsidR="0085709A" w:rsidRDefault="0085709A" w:rsidP="0085709A">
      <w:pPr>
        <w:pStyle w:val="TextoNormalCentrado"/>
        <w:keepNext/>
      </w:pPr>
      <w:r>
        <w:t>EN NOMBRE DEL REY</w:t>
      </w:r>
    </w:p>
    <w:p w:rsidR="0085709A" w:rsidRDefault="0085709A" w:rsidP="0085709A">
      <w:pPr>
        <w:pStyle w:val="TextoNormalCentrado"/>
        <w:keepNext/>
      </w:pPr>
    </w:p>
    <w:p w:rsidR="0085709A" w:rsidRDefault="0085709A" w:rsidP="0085709A">
      <w:pPr>
        <w:pStyle w:val="TextoNormalCentrado"/>
        <w:keepNext/>
      </w:pPr>
    </w:p>
    <w:p w:rsidR="0085709A" w:rsidRDefault="0085709A" w:rsidP="0085709A">
      <w:pPr>
        <w:pStyle w:val="TextoNormal"/>
      </w:pPr>
      <w:r>
        <w:t>la siguiente</w:t>
      </w:r>
    </w:p>
    <w:p w:rsidR="0085709A" w:rsidRDefault="0085709A" w:rsidP="0085709A">
      <w:pPr>
        <w:pStyle w:val="TextoNormal"/>
      </w:pPr>
    </w:p>
    <w:p w:rsidR="0085709A" w:rsidRDefault="0085709A" w:rsidP="0085709A">
      <w:pPr>
        <w:pStyle w:val="TextoNormalCentrado"/>
        <w:keepNext/>
      </w:pPr>
      <w:r>
        <w:t>SENTENCIA</w:t>
      </w:r>
    </w:p>
    <w:p w:rsidR="0085709A" w:rsidRDefault="0085709A" w:rsidP="0085709A">
      <w:pPr>
        <w:pStyle w:val="TextoNormalCentrado"/>
        <w:keepNext/>
      </w:pPr>
    </w:p>
    <w:p w:rsidR="0085709A" w:rsidRDefault="0085709A" w:rsidP="0085709A">
      <w:pPr>
        <w:pStyle w:val="TextoNormal"/>
      </w:pPr>
      <w:r>
        <w:t>En la impugnación de disposiciones autonómicas (título V de la Ley Orgánica del Tribunal Constitucional) núm. 6416-2014, promovida por el Abogado del Estado, en representación del Gobierno, contra los apartados 1, 2, 4 y 5 del Decreto 107/2014, de 2 de octubre, del Presidente del Gobierno de Canarias, por el que se convoca consulta ciudadana mediante pregunta directa en el ámbito territorial de Canarias. Ha comparecido y formulado alegaciones, en representación del Gobierno de Canarias, la Directora General de su Servicio Jurídico. Ha sido Ponente el Presidente don Francisco Pérez de los Cobos Orihuel, quien expresa el parecer del Tribunal.</w:t>
      </w:r>
    </w:p>
    <w:p w:rsidR="0085709A" w:rsidRDefault="0085709A" w:rsidP="0085709A">
      <w:pPr>
        <w:pStyle w:val="TextoNormal"/>
      </w:pPr>
    </w:p>
    <w:p w:rsidR="0085709A" w:rsidRDefault="0085709A" w:rsidP="0085709A">
      <w:pPr>
        <w:pStyle w:val="TextoNormalNegritaCentrado"/>
        <w:keepNext/>
      </w:pPr>
      <w:r>
        <w:t>I. Antecedentes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Mediante escrito de 27 de octubre de 2014, registrado en el Tribunal Constitucional en igual fecha, el Abogado del Estado, en representación del Gobierno de la Nación, impugnó, al amparo de los arts. 161.2 CE y 76 y 77 de la Ley Orgánica del Tribunal Constitucional (LOTC), los apartados 1, 3, 4 y 5 del Decreto 107/2014, de 2 de octubre, del Presidente del Gobierno de Canarias, por el que se convoca consulta ciudadana mediante pregunta directa en el ámbito territorial de Canarias a celebrar entre los días 19 y 23 de noviembre de 2014 (para emisión de respuestas por las personas físicas mediante medios electrónicos), para el día 23 del mismo mes (en cuanto a respuesta presencial por las personas físicas) y, en fin, para el 26 de dicho mes (emisión de respuesta por cualquiera de los dos medios por parte de las entidades ciudadanas). El Decreto impugnado fue publicado en el “Boletín Oficial de Canarias” de 3 de octubre de 2014.</w:t>
      </w:r>
    </w:p>
    <w:p w:rsidR="0085709A" w:rsidRDefault="0085709A" w:rsidP="0085709A">
      <w:pPr>
        <w:pStyle w:val="TextoNormal"/>
      </w:pPr>
    </w:p>
    <w:p w:rsidR="0085709A" w:rsidRDefault="0085709A" w:rsidP="0085709A">
      <w:pPr>
        <w:pStyle w:val="TextoNormal"/>
      </w:pPr>
      <w:r>
        <w:t>Se invocó en la demanda, a efectos de suspensión, los arts. 161.2 CE y 77 LOTC.</w:t>
      </w:r>
    </w:p>
    <w:p w:rsidR="0085709A" w:rsidRDefault="0085709A" w:rsidP="0085709A">
      <w:pPr>
        <w:pStyle w:val="TextoNormal"/>
      </w:pPr>
    </w:p>
    <w:p w:rsidR="0085709A" w:rsidRDefault="0085709A" w:rsidP="0085709A">
      <w:pPr>
        <w:pStyle w:val="TextoNormal"/>
      </w:pPr>
      <w:r>
        <w:lastRenderedPageBreak/>
        <w:t>La demanda se inicia con una referencia al Decreto 95/2014, de 25 de septiembre, por el que el Gobierno de Canarias aprobó el Reglamento de las consultas a la ciudadanía en asuntos de interés general de la competencia de la Comunidad Autónoma de Canarias, norma con posterioridad a la cual se adoptó el Decreto de convocatoria ahora impugnado. Consta este último de exposición de motivos y de una parte dispositiva compuesta por cinco apartados, destacando la demanda que el apartado 5 del Decreto establece que “(s)e pondrá a disposición de la ciudadanía el formulario con la siguiente pregunta directa impresa: ¿(c)ree usted que Canarias debe cambiar su modelo medioambiental y turístico por las prospecciones de gas o petróleo?”. Añade este apartado 5 que “(l)a respuesta, que deberá constar en dicho formulario”, podrá ser sí o no. Observa el Abogado del Estado que en los demás apartados del Decreto se establece una explicación del objeto de la consulta, su ámbito territorial, las personas que pueden participar en la misma, así como los plazos y fechas para emisión de las respuestas en sus diversas modalidades.</w:t>
      </w:r>
    </w:p>
    <w:p w:rsidR="0085709A" w:rsidRDefault="0085709A" w:rsidP="0085709A">
      <w:pPr>
        <w:pStyle w:val="TextoNormal"/>
      </w:pPr>
    </w:p>
    <w:p w:rsidR="0085709A" w:rsidRDefault="0085709A" w:rsidP="0085709A">
      <w:pPr>
        <w:pStyle w:val="TextoNormal"/>
      </w:pPr>
      <w:r>
        <w:t>La fundamentación jurídica de la demanda puede sintetizarse como sigue:</w:t>
      </w:r>
    </w:p>
    <w:p w:rsidR="0085709A" w:rsidRDefault="0085709A" w:rsidP="0085709A">
      <w:pPr>
        <w:pStyle w:val="TextoNormal"/>
      </w:pPr>
    </w:p>
    <w:p w:rsidR="0085709A" w:rsidRDefault="0085709A" w:rsidP="0085709A">
      <w:pPr>
        <w:pStyle w:val="TextoNormal"/>
      </w:pPr>
      <w:r>
        <w:t>a) En cuanto a la admisibilidad de esta impugnación, se señala que la misma no parece discutible, cumpliéndose todos sus requisitos. Observa, en particular, el Abogado del Estado que en esta clase de proceso constitucional se pueden hacer valer cualesquiera infracciones constitucionales, incluidas las que se basen en la infracción del orden constitucional de competencia, citando al respecto la jurisprudencia constitucional que estima relevante y recordando que el art. 77 LOTC ordena que estas impugnaciones sigan el trámite conflictual sea cual fuere el motivo en que se basen.</w:t>
      </w:r>
    </w:p>
    <w:p w:rsidR="0085709A" w:rsidRDefault="0085709A" w:rsidP="0085709A">
      <w:pPr>
        <w:pStyle w:val="TextoNormal"/>
      </w:pPr>
    </w:p>
    <w:p w:rsidR="0085709A" w:rsidRDefault="0085709A" w:rsidP="0085709A">
      <w:pPr>
        <w:pStyle w:val="TextoNormal"/>
      </w:pPr>
      <w:r>
        <w:t>La disposición normativa aquí impugnada, de rango infralegal, incurre —se dice— en vulneraciones constitucionales tanto competenciales como, principalmente, no competenciales y el proceso regulado en el título V LOTC sirve de cauce para la impugnación cuando los motivos son mixtos, pues otra interpretación dejaría huérfano de proceso de constitucionalidad las disposiciones normativas autonómicas de rango infralegal que incurran en esas vulneraciones que se califican de mixtas.</w:t>
      </w:r>
    </w:p>
    <w:p w:rsidR="0085709A" w:rsidRDefault="0085709A" w:rsidP="0085709A">
      <w:pPr>
        <w:pStyle w:val="TextoNormal"/>
      </w:pPr>
    </w:p>
    <w:p w:rsidR="0085709A" w:rsidRDefault="0085709A" w:rsidP="0085709A">
      <w:pPr>
        <w:pStyle w:val="TextoNormal"/>
      </w:pPr>
      <w:r>
        <w:t xml:space="preserve">b) El Decreto objeto de impugnación sería contrario tanto a la Constitución como al régimen estatutario propio de Canarias. Esta convocatoria singular de una consulta popular, en forma de pregunta directa, está prevista en el Reglamento autonómico sobre consultas a la ciudadanía, aprobado por Decreto 95/2014, de 25 de septiembre, cuyo capítulo III establece el régimen jurídico general de tales convocatorias. Observa el Abogado del Estado que en el recurso interpuesto por la misma representación contra determinados preceptos del referido Reglamento ya se argumentó el carácter en realidad referendario de la consulta mediante pregunta directa, tal y como está regulada en dicha disposición reglamentaria. Esta modalidad de consulta puede decirse que tiene tal carácter referendario por su naturaleza jurídica y a la vista de la jurisprudencia constitucional recaída, sobre todo a partir de la STC 103/2008, de 11 de septiembre. La naturaleza referendaria de la consulta ahora convocada se deduce, por una parte, de su régimen específico de pregunta directa, pero también cabe concluir en la inconstitucionalidad de la consulta tal y como se realiza por el Decreto impugnado, es decir, tal y como está planteada la convocatoria en sí misma. Su objeto, según el apartado 1 del Decreto, es “orientar las políticas de los poderes públicos en la defensa de los intereses generales”, así como “recabar la opinión de la ciudadanía canaria sobre el cambio de modelo medioambiental y turístico por las prospecciones de gas o petróleo”. Esta </w:t>
      </w:r>
      <w:r>
        <w:lastRenderedPageBreak/>
        <w:t>determinación del contorno de la consulta responde al concepto de referéndum consultivo y afecta o puede incidir en ámbitos políticos de especial transcendencia general y de carácter estatal. Se añade a ello que la Comunidad Autónoma de Canarias no tiene otra competencia en materia de consultas populares que la asumida a través de su Estatuto de Autonomía (EACan), cuyo artículo 32.5 se refiere a las competencias de “desarrollo legislativo y ejecución” en materia de “sistema de consultas populares en el ámbito de Canarias, de conformidad con lo que dispongan la Ley a que se refiere el artículo 92.3 de la Constitución y demás leyes del Estado, correspondiendo a éste la autorización de su convocatoria”. Pues bien, que la Comunidad Autónoma, ella sóla, sin adecuarse al menos a lo que una ley del Estado pueda haber fijado como marco para su elección, regule o bien efectúe una convocatoria de naturaleza referendaria supone una infracción frontal del art. 92 CE. Sólo el Gobierno de la Nación o el poder público territorial (autonómico o local) que se hallare autorizado en algún momento por aquél, puede convocar una consulta popular que versara sobre una eventual decisión a tomar por el órgano o administración territorial convocante en “defensa de los intereses generales” concernientes a la “protección de la naturaleza y medioambiente” (que, según el sentido en que se entienda, podría suponer incidir también en competencias básicas del Estado). Y, sobre todo, si la posible decisión autonómica a adoptar como resultado de la consulta apunta a un supuesto “cambio del modelo medioambiental y turístico por las prospecciones de gas o petróleo”, se revela claramente una indudable proyección en esferas de actuación exclusiva del Gobierno. La locución “interés general” en el primer inciso del apartado 1 del Decreto de convocatoria cabría quizá haberla entendido como interés general de competencia autonómica, con arreglo al art. 20 de la Ley 5/2010, de 21 de junio, de fomento a la participación ciudadana de Canarias, pero, aparte de no especificarlo así el Decreto, resulta que la descripción que en él se hace del objeto de la consulta (“defensa de los intereses generales”), unida a su vinculación al “modelo medioambiental y turístico, por las prospecciones de gas o petróleo” implica o afecta a intereses de ámbito estatal.</w:t>
      </w:r>
    </w:p>
    <w:p w:rsidR="0085709A" w:rsidRDefault="0085709A" w:rsidP="0085709A">
      <w:pPr>
        <w:pStyle w:val="TextoNormal"/>
      </w:pPr>
    </w:p>
    <w:p w:rsidR="0085709A" w:rsidRDefault="0085709A" w:rsidP="0085709A">
      <w:pPr>
        <w:pStyle w:val="TextoNormal"/>
      </w:pPr>
      <w:r>
        <w:t>El preámbulo de decreto de convocatoria invoca preceptos constitucionales y estatutarios, pero no cita ni el art. 32.5 EACan ni el art. 92 CE. Si este último precepto constitucional se hubiera mencionado hubiera sido patente la falta de apoyo constitucional tanto para esta consulta como para la aprobación del Decreto autonómico 95/2014. Y si se hubiera citado el art. 32.5 EACan habría sido igualmente claro el requisito de haber de ceñirse las consultas populares tanto, en el plano formal, a lo que prevean las leyes estatales como, en el material, al exclusivo ámbito competencial autonómico o local en el que se convoque. A ello cabría añadir la mención de la Ley Orgánica 2/1980, de 18 de enero, reguladora de las distintas modalidades de referéndum y al art. 149.1.32 CE, que atribuye al Estado competencia exclusiva para autorizar la convocatoria de consultas populares por vía de referéndum.</w:t>
      </w:r>
    </w:p>
    <w:p w:rsidR="0085709A" w:rsidRDefault="0085709A" w:rsidP="0085709A">
      <w:pPr>
        <w:pStyle w:val="TextoNormal"/>
      </w:pPr>
    </w:p>
    <w:p w:rsidR="0085709A" w:rsidRDefault="0085709A" w:rsidP="0085709A">
      <w:pPr>
        <w:pStyle w:val="TextoNormal"/>
      </w:pPr>
      <w:r>
        <w:t>c) Se añade, a continuación, que el Decreto de convocatoria formula una pregunta que incide en ámbitos materiales propios de la competencia estatal. Al referirse la pregunta, de modo genérico, a las “prospecciones de gas o petróleo” da a entender que se trata, y así es sin duda, de las prospecciones otorgadas por el Gobierno español mediante los Reales Decretos 1462/2001, de 21 de diciembre, y 547/2012, de 16 de marzo, de tal modo que el Decreto autonómico de convocatoria de la consulta debería haber especificado la referencia concreta a dichas prospecciones y, al no haberlo hecho así, la cuestión formulada queda excesivamente abstracta, indeterminada y confusa. En todo caso, tales prospecciones petro</w:t>
      </w:r>
      <w:r>
        <w:lastRenderedPageBreak/>
        <w:t>líferas, adjudicadas por la Administración estatal y que tienen lugar en la plataforma continental del mar territorial español, constituyen una actuación realizada en ejecución de las competencias del Estado, a cuyo efecto se citan los apartados 24 y 25 del art. 149.1 CE, así como lo dispuesto en el art. 132.2 CE. Esta competencia material del Estado está desarrollada en la Ley 34/1998, de 7 de octubre, del sector de hidrocarburos, modificada por la Ley 12/2007, de 2 de julio, con la finalidad de adaptarla a la Directiva 2003/55/CE del Parlamento Europeo y del Consejo, de 26 de junio de 2003. Por todo ello, que la pregunta formulada por el Gobierno autónomo canario ponga en cuestión, como elemento condicionante previo, tales prospecciones, es hacer incidir la pregunta en el ámbito estatal de competencias, con clara infracción del art. 32.5 EACan y del art. 92 CE.</w:t>
      </w:r>
    </w:p>
    <w:p w:rsidR="0085709A" w:rsidRDefault="0085709A" w:rsidP="0085709A">
      <w:pPr>
        <w:pStyle w:val="TextoNormal"/>
      </w:pPr>
    </w:p>
    <w:p w:rsidR="0085709A" w:rsidRDefault="0085709A" w:rsidP="0085709A">
      <w:pPr>
        <w:pStyle w:val="TextoNormal"/>
      </w:pPr>
      <w:r>
        <w:t>No se trata de dilucidar ahora la cuestión competencial de fondo en orden a cuál sea la administración competente para llevar a cabo prospecciones petrolíferas o de extracción de gas en suelo marino (cuestión, dice la demanda, resuelta ya por la jurisprudencia constitucional que cita), sino de traer esta competencia estatal a colación para advertir la inconstitucionalidad sustantiva, por vulneración material de la Constitución, de la pregunta que se formula y con ella de la convocatoria efectuada por el Decreto 107/2014.</w:t>
      </w:r>
    </w:p>
    <w:p w:rsidR="0085709A" w:rsidRDefault="0085709A" w:rsidP="0085709A">
      <w:pPr>
        <w:pStyle w:val="TextoNormal"/>
      </w:pPr>
    </w:p>
    <w:p w:rsidR="0085709A" w:rsidRDefault="0085709A" w:rsidP="0085709A">
      <w:pPr>
        <w:pStyle w:val="TextoNormal"/>
      </w:pPr>
      <w:r>
        <w:t>Ni en la Constitución ni en ninguna otra norma integrante del bloque de la constitucionalidad se prevé la posibilidad de consultar a los ciudadanos de una Comunidad Autónoma exclusivamente, en este caso Canarias, mediante una consulta convocada unilateralmente por su ejecutivo autónomo, sin otra autorización ni otro trámite y sobre un aspecto de la política del Estado de trascendencia para el interés general del país, como es la posibilidad de encontrar yacimientos de gas o de petróleo en territorio español. Por principio, una política o una actuación del Estado en ejecución de la misma afecta a todos los ciudadanos y, por ello, un referéndum consultivo sobre dicha política o actuación, o que ponga en cuestión la misma, siquiera en parte, es algo que afecta a todos los ciudadanos del Estado y, en consecuencia, un referéndum consultivo debiera dirigirse a todos ellos y convocarse por la autoridad estatal. Señala, dicho esto, el Abogado del Estado que el tenor literal de la pregunta según el apartado 5 del Decreto [“¿(c)ree usted que Canarias debe cambiar su modelo medioambiental y turístico por las prospecciones de gas o petróleo?”], aun versando nominalmente sobre aspectos de posible competencia de la Comunidad Autónoma, se afecta claramente y así queda condicionada la respuesta, a la actividad estatal. Aunque el Decreto menciona competencias autonómicas, como pueden ser las que versen sobre medio-ambiente o turismo, lo cierto es que tales ámbitos competenciales se mencionan como objeto directo de la pregunta, pero esta misma, en sus estrictos términos, carecería de sentido si tal como se ha redactado no se hallare condicionada la respuesta por la valoración crítica, favorable o no, acerca de las prospecciones, es decir, por una actividad de la exclusiva competencia del Estado. En definitiva, la consulta versa claramente sobre un aspecto propio de la política del Estado y su planteamiento, por ello, contradice mandatos de la Constitución y el propio art. 32.5 EACan, que sólo admite consultas reguladas o en su casa convocadas por la Comunidad Autónoma en el ámbito de Canarias.</w:t>
      </w:r>
    </w:p>
    <w:p w:rsidR="0085709A" w:rsidRDefault="0085709A" w:rsidP="0085709A">
      <w:pPr>
        <w:pStyle w:val="TextoNormal"/>
      </w:pPr>
    </w:p>
    <w:p w:rsidR="0085709A" w:rsidRDefault="0085709A" w:rsidP="0085709A">
      <w:pPr>
        <w:pStyle w:val="TextoNormal"/>
      </w:pPr>
      <w:r>
        <w:t xml:space="preserve">d) El Decreto de convocatoria reproduce, en su apartado 3, la llamada a la ciudadanía que se deriva de los arts. 3 y 12 del Decreto 95/2014, antes citado, por el que se aprueba el Reglamento de consultas a la ciudadanía en asuntos de interés general de la competencia de la Comunidad Autónoma de Canarias y, así, prevé que podrán participar en la consulta las personas mayores de diecisésis años que residan legalmente en Canarias con independencia </w:t>
      </w:r>
      <w:r>
        <w:lastRenderedPageBreak/>
        <w:t xml:space="preserve">de su nacionalidad; quienes gocen de los derechos políticos definidos en el Estatuto de Autonomía de Canarias para los ciudadanos españoles residentes en el extranjero que hayan tenido la última vecindad administrativa en Canarias, así como sus descendientes inscritos como españoles y que podrán también participar en la consulta las entidades ciudadanas inscritas en el Registro de participación ciudadana constituido en la Consejería de Presidencia, Justicia e Igualdad. Observa el Abogado del Estado que la edad exigida para participar son dieciséis años y que, además, se opera una ampliación a los extranjeros. Pues bien, tras citar el Abogado del Estado la impugnación también deducida contra el Decreto 95/2014, invocado por el impugnado ahora, señala que sólo la ley del Estado puede delimitar el elemento subjetivo del derecho de sufragio y así lo ha hecho el art. 2 de la Ley Orgánica 5/1985, de 19 de junio, del régimen electoral general (LOREG), de tal manera que los preceptos de aquel Decreto 95/2014, que sirven ahora para determinar, en el impugnado, las personas y entidades llamadas a participar, no hace otra cosa que articular un “censo flotante”, que abarca, sólo o con otras personas no incluidas en el censo electoral general, a todo el cuerpo electoral, pero separándolo nominativa y cuantitativamente de dicho censo general y único. La convocatoria pretende ocultar, en los términos del apartado 3 del Decreto, lo que es una verdadera llamada al cuerpo electoral, con la utilización por la Administración autonómica de un “electorado </w:t>
      </w:r>
      <w:r w:rsidRPr="0085709A">
        <w:rPr>
          <w:i/>
        </w:rPr>
        <w:t>ad hoc</w:t>
      </w:r>
      <w:r>
        <w:t>”. Dicho “artilugio legal” no puede sin embargo conseguir la desfiguración del concepto de cuerpo electoral mediante el simple y llano maquillaje del censo electoral, pues entre las personas llamadas por el apartado 3 del Decreto 107/2014, se incluye, sólo o con la adición de menores y extranjeros, materialmente a todo el censo y, por tanto, no se elude la llamada al cuerpo electoral como uno de los elementos constitutivos de una propia consulta referendaria. Además, este apartado 3 vulnera directamente la reserva de ley orgánica y la competencia exclusiva del Estado, así como el art. 4 EACan, que describe quiénes gozan de la condición política de canarios. Con todo ello, el apartado 3 del Decreto vulnera la competencia estatal exclusiva para regular el régimen jurídico del derecho fundamental de participación política, pero además la configuración legal de un cuerpo electoral y de un censo pretendidamente propios supondría el reconocimiento jurídico-constitucional de la existencia de un sujeto colectivo, titular de derechos políticos y que, como tal, manifiesta su opinión en un plano aparte, diferenciado del electorado general, con voluntad política propia y capacidad de decisión y, en el caso concreto, con capacidad para poner en tela de juicio decisiones de ámbito estatal.</w:t>
      </w:r>
    </w:p>
    <w:p w:rsidR="0085709A" w:rsidRDefault="0085709A" w:rsidP="0085709A">
      <w:pPr>
        <w:pStyle w:val="TextoNormal"/>
      </w:pPr>
    </w:p>
    <w:p w:rsidR="0085709A" w:rsidRDefault="0085709A" w:rsidP="0085709A">
      <w:pPr>
        <w:pStyle w:val="TextoNormal"/>
      </w:pPr>
      <w:r>
        <w:t>e) La pregunta formulada adolece de la claridad (</w:t>
      </w:r>
      <w:r w:rsidRPr="0085709A">
        <w:rPr>
          <w:i/>
        </w:rPr>
        <w:t>sic</w:t>
      </w:r>
      <w:r>
        <w:t xml:space="preserve">) exigible a toda consulta popular, exigida por las normas, de naturaleza sustantiva, del bloque de la constitucionalidad. En sí misma, tal pregunta vulnera el art. 3.1 de la Ley Orgánica 2/1980, que establece la necesidad de que la consulta contenga “el texto íntegro del proyecto … o de la decisión política objeto de la consulta”. Haciendo abstracción de la patente inconstitucionalidad del Decreto por el carácter referendario de la consulta convocada, no resulta posible dilucidar cuál es el alcance o los mínimos contornos de la decisión política que, en un sentido u otro, adoptaría el Gobierno canario en función de cuál fuese, en su caso, el resultado de la consulta. Estamos ante una opción de cambio de modelo que no se pone a disposición de los ciudadanos, pese a que los llamados a participar en la consulta habrían de disponer de la alternativa o alternativas teóricas de decisión a adoptar, en su caso, por el gobierno convocante. En este sentido, es de reprochar al Decreto 107/2014 que la pregunta formulada como objeto de la consulta es harto confusa, tanto en su planteamiento como en su proyección o alternativas de desenlace. Tal información previa es condición básica del derecho </w:t>
      </w:r>
      <w:r w:rsidRPr="0085709A">
        <w:rPr>
          <w:i/>
        </w:rPr>
        <w:t>ex</w:t>
      </w:r>
      <w:r>
        <w:t xml:space="preserve"> art. 23 CE y así se ha asegurado por el legislador a través de lo dispuesto en el art. 3.1 de la Ley Orgánica 2/1980. </w:t>
      </w:r>
      <w:r>
        <w:lastRenderedPageBreak/>
        <w:t>Cierto es que, según el apartado 5 del Decreto, las personas llamadas a participar han de responder sí o no. Pero el problema es sí o no exactamente a qué. Un hipotético cambio de política en los ámbitos medio-ambiental y turístico cuyo sentido no se explica. Con independencia de la inconstitucionalidad de la consulta por abarcar aspectos íntimamente relacionados con la política del Estado, esta falta de concreción previa vulnera el bloque de la constitucionalidad y supone una infracción de la Constitución de carácter indirecto por referencia a la legalidad orgánica (art. 3.1 de la Ley Orgánica 2/1980) y resulta contraria al principio democrático (art. 1.1 CE).</w:t>
      </w:r>
    </w:p>
    <w:p w:rsidR="0085709A" w:rsidRDefault="0085709A" w:rsidP="0085709A">
      <w:pPr>
        <w:pStyle w:val="TextoNormal"/>
      </w:pPr>
    </w:p>
    <w:p w:rsidR="0085709A" w:rsidRDefault="0085709A" w:rsidP="0085709A">
      <w:pPr>
        <w:pStyle w:val="TextoNormal"/>
      </w:pPr>
      <w:r>
        <w:t>f) Siendo la consulta de naturaleza referendaria y, por tanto, carente de fundamento jurídico-constitucional, se impugna, por conexión con lo ya argumentado, el apartado 4 del Decreto 107/2014, que fija los días y horas para su celebración. Además de tal argumentación por conexión, señala ahora el Abogado del Estado un argumento adicional en lo que se refiere a la modalidad de respuesta por medios electrónicos que, como alternativa, se establece en dicho apartado del Decreto, lo que posibilita la emisión de respuestas por medios electrónicos, sin que resulte ni del ordenamiento estatal ni del ordenamiento autonómico una regulación de rango suficiente al respecto, siendo esta una cuestión que ha de ser objeto de regulación por ley orgánica (art. 92.3 CE). A mayor abundamiento cita la demanda la recomendación (2004)11 del Comité de Ministros del Consejo de Europa a los Estados miembros sobre los estándares legales, procedimentales y técnicos de los sistemas de votación electrónica.</w:t>
      </w:r>
    </w:p>
    <w:p w:rsidR="0085709A" w:rsidRDefault="0085709A" w:rsidP="0085709A">
      <w:pPr>
        <w:pStyle w:val="TextoNormal"/>
      </w:pPr>
    </w:p>
    <w:p w:rsidR="0085709A" w:rsidRDefault="0085709A" w:rsidP="0085709A">
      <w:pPr>
        <w:pStyle w:val="TextoNormal"/>
      </w:pPr>
      <w:r>
        <w:t>El Decreto 107/2014 incurre, por tanto, en los mismos vicios de inconstitucionalidad del Reglamento autonómico, aprobado por el Decreto 5/2014, ya citado, a cuyo amparo se dicta. En este sentido, el Decreto 107/2014 lleva a cabo una llamada al cuerpo electoral para someter a consulta una supuesta decisión que, además de adolecer de indeterminación, incide en materia de exclusiva competencia estatal y sobre un espacio físico situado fuera del territorio autonómico, para todo lo cual carece manifiestamente de competencias el Gobierno de Canarias. Por todo ello se concluye señalando que el Decreto 107/2014, al contener la convocatoria de un referéndum, infringe manifiestamente el art. 149.1.32 CE, así como y principalmente, incidiendo en inconstitucionalidad material, los arts. 13, 23 en relación con el 81, y 92 CE.</w:t>
      </w:r>
    </w:p>
    <w:p w:rsidR="0085709A" w:rsidRDefault="0085709A" w:rsidP="0085709A">
      <w:pPr>
        <w:pStyle w:val="TextoNormal"/>
      </w:pPr>
    </w:p>
    <w:p w:rsidR="0085709A" w:rsidRDefault="0085709A" w:rsidP="0085709A">
      <w:pPr>
        <w:pStyle w:val="TextoNormal"/>
      </w:pPr>
      <w:r>
        <w:t>Se concluyó con la súplica de que se tuviera por formulada esta impugnación y que, una vez admitida a trámite, se dictara sentencia por la que el Tribunal declarase la inconstitucionalidad y nulidad de los apartados 1, 3, 4 y 5 del Decreto 107/2014.</w:t>
      </w:r>
    </w:p>
    <w:p w:rsidR="0085709A" w:rsidRDefault="0085709A" w:rsidP="0085709A">
      <w:pPr>
        <w:pStyle w:val="TextoNormal"/>
      </w:pPr>
    </w:p>
    <w:p w:rsidR="0085709A" w:rsidRDefault="0085709A" w:rsidP="0085709A">
      <w:pPr>
        <w:pStyle w:val="TextoNormal"/>
      </w:pPr>
      <w:r>
        <w:t>En otrosí se dijo que, habiéndose amparado el Gobierno en el art. 161.2 CE, procede, con arreglo a tal precepto y al art. 77 LOTC, que se declare suspendida la disposición impugnada en los apartados correspondientes ya mencionados.</w:t>
      </w:r>
    </w:p>
    <w:p w:rsidR="0085709A" w:rsidRDefault="0085709A" w:rsidP="0085709A">
      <w:pPr>
        <w:pStyle w:val="TextoNormal"/>
      </w:pPr>
    </w:p>
    <w:p w:rsidR="0085709A" w:rsidRDefault="0085709A" w:rsidP="0085709A">
      <w:pPr>
        <w:pStyle w:val="TextoNormal"/>
      </w:pPr>
      <w:r w:rsidRPr="0085709A">
        <w:rPr>
          <w:rStyle w:val="NumeroAFNegritaCaracter"/>
        </w:rPr>
        <w:t>2</w:t>
      </w:r>
      <w:r>
        <w:t xml:space="preserve">. Por providencia del Pleno del Tribunal Constitucional, de 4 de noviembre de 2014, se acordó, a propuesta de la Sección Segunda, admitir a trámite la impugnación promovida por el Gobierno de la Nación contra el Decreto 107/2014, de 2 de octubre, del Presidente del Gobierno de Canarias, por el que se convoca consulta ciudadana mediante pregunta directa en el ámbito territorial de Canarias; dar traslado de la demanda y documentos presentados al Gobierno de Canarias por conducto de su Presidente, al objeto de que en el plazo de veinte días, y por medio de la representación procesal que determina el art. 82.2 LOTC aporte </w:t>
      </w:r>
      <w:r>
        <w:lastRenderedPageBreak/>
        <w:t>cuantos documentos y alegaciones considere convenientes; tener por invocado por el Gobierno el art. 161.2 CE, lo que, a su tenor y conforme dispone el art. 77 LOTC, produce la suspensión del Decreto impugnado, lo que conlleva la de cualquier actuación que traiga causa del mismo desde el día 27 de octubre de 2014, fecha de interposición de la impugnación, lo que se comunicará al Presidente del Gobierno de Canarias y, por último, publicar la incoación de la impugnación en el “Boletín Oficial del Estado” y en el “Boletín Oficial de Canarias”.</w:t>
      </w:r>
    </w:p>
    <w:p w:rsidR="0085709A" w:rsidRDefault="0085709A" w:rsidP="0085709A">
      <w:pPr>
        <w:pStyle w:val="TextoNormal"/>
      </w:pPr>
    </w:p>
    <w:p w:rsidR="0085709A" w:rsidRDefault="0085709A" w:rsidP="0085709A">
      <w:pPr>
        <w:pStyle w:val="TextoNormal"/>
      </w:pPr>
      <w:r w:rsidRPr="0085709A">
        <w:rPr>
          <w:rStyle w:val="NumeroAFNegritaCaracter"/>
        </w:rPr>
        <w:t>3</w:t>
      </w:r>
      <w:r>
        <w:t>. Por escrito de 5 de noviembre de 2014, registrado en el Tribunal en igual fecha, la Directora General del Servicio Jurídico del Gobierno de Canarias, en la representación y defensa que por ley ostenta y acredita, compareció ante el Tribunal, personándose en este procedimiento y solicitando prórroga por el máximo legal del plazo concedido para formular alegaciones, habida cuenta del número de asuntos que penden ante dicha Dirección General.</w:t>
      </w:r>
    </w:p>
    <w:p w:rsidR="0085709A" w:rsidRDefault="0085709A" w:rsidP="0085709A">
      <w:pPr>
        <w:pStyle w:val="TextoNormal"/>
      </w:pPr>
    </w:p>
    <w:p w:rsidR="0085709A" w:rsidRDefault="0085709A" w:rsidP="0085709A">
      <w:pPr>
        <w:pStyle w:val="TextoNormal"/>
      </w:pPr>
      <w:r w:rsidRPr="0085709A">
        <w:rPr>
          <w:rStyle w:val="NumeroAFNegritaCaracter"/>
        </w:rPr>
        <w:t>4</w:t>
      </w:r>
      <w:r>
        <w:t>. Por providencia de 13 de noviembre de 2014, acordó el Pleno incorporar a las actuaciones los escritos que presenta la Directora General del Servicio Jurídico del Gobierno de Canarias, a quien, como pide, se le tiene por personada en nombre de dicho Gobierno y se le prorroga por diez días más el plazo concedida por providencia de 4 de noviembre de 2014 a contar desde el siguiente al de expiración del ordinario.</w:t>
      </w:r>
    </w:p>
    <w:p w:rsidR="0085709A" w:rsidRDefault="0085709A" w:rsidP="0085709A">
      <w:pPr>
        <w:pStyle w:val="TextoNormal"/>
      </w:pPr>
    </w:p>
    <w:p w:rsidR="0085709A" w:rsidRDefault="0085709A" w:rsidP="0085709A">
      <w:pPr>
        <w:pStyle w:val="TextoNormal"/>
      </w:pPr>
      <w:r w:rsidRPr="0085709A">
        <w:rPr>
          <w:rStyle w:val="NumeroAFNegritaCaracter"/>
        </w:rPr>
        <w:t>5</w:t>
      </w:r>
      <w:r>
        <w:t>. Mediante escrito de 16 de diciembre de 2014, registrado en el Tribunal en igual fecha, presentó sus alegaciones la Directora General del servicio jurídico del Gobierno de Canarias. Puede resumirse como sigue:</w:t>
      </w:r>
    </w:p>
    <w:p w:rsidR="0085709A" w:rsidRDefault="0085709A" w:rsidP="0085709A">
      <w:pPr>
        <w:pStyle w:val="TextoNormal"/>
      </w:pPr>
    </w:p>
    <w:p w:rsidR="0085709A" w:rsidRDefault="0085709A" w:rsidP="0085709A">
      <w:pPr>
        <w:pStyle w:val="TextoNormal"/>
      </w:pPr>
      <w:r>
        <w:t>a) Se aduce, en primer lugar, la improcedencia del cauce procesal elegido, afirmándose la inadmisibilidad de la presente impugnación. El procedimiento previsto en los arts. 76 y 77 LOTC tiene, conforme a la jurisprudencia constitucional que se cita, sustantividad propia y en el únicamente pueden hacerse valer, pese a la indefinición legal de los motivos impugnatorios en el art. 77.1 LOTC, vulneraciones constitucionales no competenciales. Pues bien, si se atiende a los argumentos de la demanda, se aprecia que en ellos late un problema competencial y que se considera que la convocatoria de consulta ciudadana hecha por el Presidente del Gobierno de Canarias participa de los mismos vicios de orden competencial que tendría el Reglamento de consultas a la ciudadanía aprobado por Decreto 95/2014, de 25 de septiembre, también impugnado ante este Tribunal Constitucional en el asunto 6415-2014. Se considera que carece esta Comunidad Autónoma de competencia para abordar una regulación referida a las consultas a la ciudadanía por considerar que, al tener naturaleza referendaria, se trata de una materia absolutamente vedada a las Comunidades Autónomas y que corresponde en exclusiva al Estado. Además, el grueso de la demanda se dedica a combatir el acto de convocatoria por entender que incide en ámbitos materiales propios de la competencia estatal. En la medida en que no se invoca infracción constitucional ajena a razones competenciales, se solicita, pues, la inadmisibilidad de la presente impugnación, de acuerdo con la doctrina de este Tribunal Constitucional. En la hipótesis de que esta causa de inadmisibilidad no fuera estimada, deberán tenerse en cuenta las alegaciones que siguen.</w:t>
      </w:r>
    </w:p>
    <w:p w:rsidR="0085709A" w:rsidRDefault="0085709A" w:rsidP="0085709A">
      <w:pPr>
        <w:pStyle w:val="TextoNormal"/>
      </w:pPr>
    </w:p>
    <w:p w:rsidR="0085709A" w:rsidRDefault="0085709A" w:rsidP="0085709A">
      <w:pPr>
        <w:pStyle w:val="TextoNormal"/>
      </w:pPr>
      <w:r>
        <w:t xml:space="preserve">b) En cuanto a la delimitación del objeto de la impugnación, se observa que la convocatoria mediante pregunta directa es un instrumento de participación ciudadana regulada en el Decreto del Gobierno de Canarias 95/2014, de 25 de septiembre, por el que se aprueba el </w:t>
      </w:r>
      <w:r>
        <w:lastRenderedPageBreak/>
        <w:t>Reglamento de las consultas a la ciudadanía en asuntos de interés general de competencia de la Comunidad Autónoma de Canarias, Reglamento dictado en desarrollo y ejecución del art. 20 de la Ley 5/2010, de 21 de junio, canaria de fomento a la participación ciudadana, regulación legal no cuestionada por el Gobierno de la Nación. En consecuencia, el acto que ahora se impugna tiene su basamento en un Reglamento que, a su vez, se dicta en ejecución de la Ley autonómica, Ley dictada con amparo en los títulos competenciales que ofrecen los arts. 30.1, 32.5 y 32.6 EACan. No cabe discutir, por ello, el encaje jurídico del Reglamento aprobado por el Decreto 95/2014 y en defensa de su pleno ajuste a la legalidad se refiere esta representación a sus alegaciones en la impugnación 6415-2014. Se añade que el Decreto 107/2014 tiene una parte expositiva cuyo análisis detenido por el Tribunal Constitucional favorecerá la adecuada comprensión de la convocatoria, que es instrumento de participación ciudadana, alejada del concepto de consulta referendaria y centrada en las exclusivas competencias de la Comunidad Autónoma de Canarias. Tras reproducir pasajes de la citada parte expositiva del Decreto impugnado, se refiere la representación del Gobierno de Canarias al contenido del Decreto impugnado y, en particular, al formulario de la pregunta en su apartado 5. Procede a continuación —señala— rebatir los argumentos de la demanda.</w:t>
      </w:r>
    </w:p>
    <w:p w:rsidR="0085709A" w:rsidRDefault="0085709A" w:rsidP="0085709A">
      <w:pPr>
        <w:pStyle w:val="TextoNormal"/>
      </w:pPr>
    </w:p>
    <w:p w:rsidR="0085709A" w:rsidRDefault="0085709A" w:rsidP="0085709A">
      <w:pPr>
        <w:pStyle w:val="TextoNormal"/>
      </w:pPr>
      <w:r>
        <w:t>c) En cuanto a la pretendida inconstitucionalidad del Decreto por vulnerar directamente la Constitución y el Estatuto de Autonomía de Canarias, se remite la representación demandada a lo ya expuesto en el asunto 6415-2014, defendiendo el pleno ajuste al orden constitucional de la regulación reglamentaria entonces impugnada. Reitera, así, que la regulación de las preguntas directas, como instrumento de participación ciudadana, no se corresponde con la consulta popular referendaria cuya autorización es competencia exclusiva a la Administración del Estado. Se recaba el parecer sobre asuntos de interés general de la competencia autonómica en los que el sujeto que puede ser convocado no se identifica con el cuerpo electoral, puesto que, por un lado, pueden ser llamados los mayores de dieciséis años, los ciudadanos residentes legalmente en Canarias con independencia de su nacionalidad y, en todo caso, las entidades ciudadanas inscritas en el Registro de participación ciudadana. En consecuencia, la llamada no se basa en el censo, ni se gestiona el procedimiento por la Administración electoral, ni está asegurado con garantías jurisdiccionales específicas. Además, la participación puede realizarse mediante medios electrónicos, prolongarse en el tiempo y la supervisión de la regularidad del procedimiento se encomienda a un órgano colegiado, de carácter puramente administrativo y sujeto a la Ley 30/1992.</w:t>
      </w:r>
    </w:p>
    <w:p w:rsidR="0085709A" w:rsidRDefault="0085709A" w:rsidP="0085709A">
      <w:pPr>
        <w:pStyle w:val="TextoNormal"/>
      </w:pPr>
    </w:p>
    <w:p w:rsidR="0085709A" w:rsidRDefault="0085709A" w:rsidP="0085709A">
      <w:pPr>
        <w:pStyle w:val="TextoNormal"/>
      </w:pPr>
      <w:r>
        <w:t xml:space="preserve">Se trata, en definitiva, de un instrumento de participación ciudadana directamente entroncado con el art. 9.2 CE y que desarrolla parcialmente la citada Ley 5/2010. Aun siendo novedoso en el ordenamiento jurídico español, se ajusta plenamente a la Constitución y a la doctrina del Tribunal Constitucional. En particular, no se vulnera la competencia exclusiva del Estado </w:t>
      </w:r>
      <w:r w:rsidRPr="0085709A">
        <w:rPr>
          <w:i/>
        </w:rPr>
        <w:t>ex</w:t>
      </w:r>
      <w:r>
        <w:t xml:space="preserve"> art. 149.1.32 CE, lo que, por lo demás, reconoce la Ley canaria 5/2010 cuando en su disposición adicional quinta señala que la participación ciudadana mediante referéndum se regula de conformidad a lo establecido en la Constitución española y las leyes que la desarrollan. No se niega la competencia exclusiva al Estado del art. 92 CE, pero sí que la regulación de las preguntas directas oculte, en modo alguno, una consulta popular referendaria. No se está ante un derecho político como aquel que, a partir de un llamamiento, materializa un derecho a intervenir directamente en la toma de decisiones políticas: estamos ante un instrumento de participación ciudadana, de participación democrática, que permite a los ciudadanos manifestar su opinión en los asuntos que se entiendan de interés general. La circunstancia de que dentro de las personas llamadas a participar en la pregunta directa </w:t>
      </w:r>
      <w:r>
        <w:lastRenderedPageBreak/>
        <w:t xml:space="preserve">pueda estar comprendido el cuerpo electoral no convierte a aquélla en consulta popular reservada al Estado, pues no se reconoce aquí la existencia de un sujeto colectivo, titular de derechos políticos, con voluntad propia y capacidad de decisión. Nos encontramos ante el </w:t>
      </w:r>
      <w:r w:rsidRPr="0085709A">
        <w:rPr>
          <w:i/>
        </w:rPr>
        <w:t>tertium genus</w:t>
      </w:r>
      <w:r>
        <w:t xml:space="preserve"> al que aludió el Tribunal en la STC 119/1995, ante una manifestación de la democracia participativa. Pero no es sólo que se haya actuado con pleno ajuste a la doctrina constitucional, sino que, ideológicamente, la pregunta directa no ha sido concebida como manifestación de derecho político alguno de los ciudadanos, sino como una forma de posibilitar la participación de estos en asuntos de interés general que pudieran afectarles. El parecer de la ciudadanía habrá de servir a los poderes públicos autonómicos como inspirador de sus propias políticas, por más que su resultado carezca de eficacia vinculante (art. 27.2 del Reglamento). Lo que se persigue no es obtener el parecer de los ciudadanos llamados a ejercer el sufragio en un procedimiento electoral participando en la toma de decisiones políticas, sino conocer cuál es la opinión pública sobre un determinado asunto de interés general y de la competencia de la Comunidad Autónoma.</w:t>
      </w:r>
    </w:p>
    <w:p w:rsidR="0085709A" w:rsidRDefault="0085709A" w:rsidP="0085709A">
      <w:pPr>
        <w:pStyle w:val="TextoNormal"/>
      </w:pPr>
    </w:p>
    <w:p w:rsidR="0085709A" w:rsidRDefault="0085709A" w:rsidP="0085709A">
      <w:pPr>
        <w:pStyle w:val="TextoNormal"/>
      </w:pPr>
      <w:r>
        <w:t>La demanda argumenta también contra la consulta convocada por el Presidente del Gobierno de Canarias, al entender que vulnera el art. 92 CE y el art. 32.5 EACan. El apartado 1 del Decreto 107/2014 dice que el objeto de la consulta, además de fomentar la participación ciudadana, es orientar las políticas de los poderes públicos en la defensa de los intereses generales y en la defensa y protección de la naturaleza y el medio ambiente, así como recabar la opinión de la ciudadanía canaria sobre el cambio de modelo medio-ambiental y turístico por las prospecciones de gas y petróleo. La demanda, en una línea discursiva descontextualizada y rayana en el absurdo, dice que esa referencia a “intereses generales” y a “cambio de modelo”, sin especificación suficiente, permite entender que el Decreto se excede de su competencia al referir el objeto de la consulta a intereses generales estatales y a un cambio de modelo que puede incidir en ámbitos políticos de especial trascendencia general y ser, por tanto, de carácter estatal. Pero resulta más que evidente que los intereses generales a los que se refiere aquí el Decreto no son otros que aquellos atendidos por el órgano que decide convocar la consulta, esto es, el Gobierno de Canarias. Es también irrefutable que el modelo medio-ambiental y turístico que puede verse afectado, una vez recabada la opinión de la ciudadanía, es el diseñado por la Comunidad Autónoma de Canarias en uso, en este punto, de sus competencias exclusivas. No cabe una interpretación como la que se defiende en la demanda, ni nada autoriza a considerar que fuera intención de la Administración autonómica propiciar una consulta en defensa de intereses ajenos o con la finalidad de reorientar políticas ajenas. Incurre en incoherencia la demanda cuando afirma que la Comunidad Autónoma no tiene más competencia en materia de consultas populares que la prevista en el art. 32.5 EACan, desconociendo así la regulación autonómica constituida por la Ley 5/2010, antes citada.</w:t>
      </w:r>
    </w:p>
    <w:p w:rsidR="0085709A" w:rsidRDefault="0085709A" w:rsidP="0085709A">
      <w:pPr>
        <w:pStyle w:val="TextoNormal"/>
      </w:pPr>
    </w:p>
    <w:p w:rsidR="0085709A" w:rsidRDefault="0085709A" w:rsidP="0085709A">
      <w:pPr>
        <w:pStyle w:val="TextoNormal"/>
      </w:pPr>
      <w:r>
        <w:t xml:space="preserve">d) En cuanto a la pregunta que se formula en la convocatoria y su supuesta incidencia en ámbitos materiales de la competencia estatal, se observa que no se desconocen las competencias propias y sus límites, en particular en lo relativo a la competencia estatal para autorizar actividades de prospección de hidrocarburos en las aguas cercanas a las costas canarias, si bien tampoco debe haber duda de la competencia autonómica, ante la constatación de una actividad que afecta al modo de ejercicio de sus competencias propias, en orden a recabar la opinión de la ciudadanía sobre el modo en que haya de actuar esas competencias propias. Es indudable que una actividad de hidrocarburos en el mar territorial afecta necesariamente a las Islas Canarias si se lleva a cabo en las proximidades de sus costas y, si esto es así, es </w:t>
      </w:r>
      <w:r>
        <w:lastRenderedPageBreak/>
        <w:t>también perfectamente admisible y coherente con el deber de la Administración canaria para velar por el mantenimiento de las bases en las que se sustenta la economía canaria interesar la opinión de la ciudadanía a los efectos de definir sus líneas de actuación, bien manteniendo las directrices del modelo hasta la fecha, bien reorientando aquellas políticas públicas.</w:t>
      </w:r>
    </w:p>
    <w:p w:rsidR="0085709A" w:rsidRDefault="0085709A" w:rsidP="0085709A">
      <w:pPr>
        <w:pStyle w:val="TextoNormal"/>
      </w:pPr>
    </w:p>
    <w:p w:rsidR="0085709A" w:rsidRDefault="0085709A" w:rsidP="0085709A">
      <w:pPr>
        <w:pStyle w:val="TextoNormal"/>
      </w:pPr>
      <w:r>
        <w:t>En el presente caso, la pregunta que se formula a la ciudadanía versa sobre la necesidad o no, con respuesta afirmativa o negativa, de que la Comunidad Autónoma de Canarias cambie su modelo medio-ambiental y turístico, cuyo diseño es de la exclusiva competencia autonómica (arts. 30.15, 30.16, 30.21, 30.5, 30.4, 30.6, 30.9 y 31.1 EACan) a consecuencia de las prospecciones de gas o petróleo que hayan de realizarse ya en su territorio, ya en el mar territorial próximo a sus costas. No se está preguntando a los ciudadanos sobre ningún aspecto de la política del Estado ni sobre la mayor o menor oportunidad de investigar la existencia de yacimientos de gas o petróleo. Tras referirse la representación del Gobierno de Canarias a su iniciativa para solicitar la convocatoria en el ámbito territorial canario de una consulta popular por referéndum sobre las prospecciones de hidrocarburos aprobadas por el Gobierno, solicitud que hasta la fecha no habría recibido respuesta del Gobierno de la Nación, se observa que el que tal situación pudiera haber precipitado el desarrollo reglamentario del art. 20 de la Ley 5/2010 no convierte tal desarrollo en inconstitucional. Se le pregunta a la ciudadanía sobre si la Comunidad Autónoma de Canarias debe o no ajustar, debe alterar su actual y vigente modelo de desarrollo medio-ambiental y turístico, que exclusivamente le corresponde a la Comunidad Autónoma, para hacerlo compatible con el desarrollo de actividades de prospección de gas y petróleo. Se equivoca de plano la demanda cuando pretende hacer discurrir la discusión en torno a un debate de índole competencial absolutamente ficticio, como si se discutiera la competencia estatal o autonómica, para autorizar actividades de prospección petrolífera o de extracción de gas en suelo marino, pues nada de ello se atisba en el Decreto 107/2014.</w:t>
      </w:r>
    </w:p>
    <w:p w:rsidR="0085709A" w:rsidRDefault="0085709A" w:rsidP="0085709A">
      <w:pPr>
        <w:pStyle w:val="TextoNormal"/>
      </w:pPr>
    </w:p>
    <w:p w:rsidR="0085709A" w:rsidRDefault="0085709A" w:rsidP="0085709A">
      <w:pPr>
        <w:pStyle w:val="TextoNormal"/>
      </w:pPr>
      <w:r>
        <w:t>Se señala que los fundamentos del modelo medio-ambiental y turístico que Canarias ha venido diseñando en las últimas décadas son difícilmente compatibles con el desarrollo de aquellas actividades de prospección de hidrocarburos en la cercanía de su territorio y que, entre otros extremos, ese modelo tiende a la compatibilidad de los valores medio-ambientales con las actuaciones públicas o privadas con incidencia en el territorio canario para lograr una mayor calidad de vida y mejores condiciones para el desarrollo económico y social. Se hace referencia a las evidentes características especiales de Canarias y a la legislación por ello dictada en materia de urbanismo, protección de la naturaleza, espacios naturales y, entre otros ámbitos, prevención del impacto ambiental, regulación que llega hasta el presente mediante la Ley 2/2013, de 29 de mayo, de renovación y modernización turística y se observa que tales antecedentes legislativos son reflejo de la actuación de los poderes públicos autonómicos para lograr un desarrollo sostenible que no dificulte las legítimas iniciativas públicas y privadas que tiendan a la generación de riqueza, mejorando la competitividad de los sectores y, muy en particular, del turístico. Este modelo integral, territorial medio-ambiental y turístico no se ha diseñado tomando como presupuesto una realidad que, con el tiempo, se ha impuesto sobrevenidamente, que es el desarrollo de actividades de investigación, exploración y explotación de hidrocarburos. Esa ausencia de previsión legitima la pregunta directa que el Gobierno de Canarias desea plantear a la ciudadanía.</w:t>
      </w:r>
    </w:p>
    <w:p w:rsidR="0085709A" w:rsidRDefault="0085709A" w:rsidP="0085709A">
      <w:pPr>
        <w:pStyle w:val="TextoNormal"/>
      </w:pPr>
    </w:p>
    <w:p w:rsidR="0085709A" w:rsidRDefault="0085709A" w:rsidP="0085709A">
      <w:pPr>
        <w:pStyle w:val="TextoNormal"/>
      </w:pPr>
      <w:r>
        <w:t xml:space="preserve">e) Añade la representación demandada que las personas y entidades llamadas a emitir las respuestas están definidas en el apartado 3 del Decreto 107/2014, cuyo contenido reproduce, </w:t>
      </w:r>
      <w:r>
        <w:lastRenderedPageBreak/>
        <w:t>y respecto del cual ninguna duda de legalidad ordinaria cabe predicar, en cuanto se ajusta al art. 3 del Decreto 95/2014. Tampoco duda de legalidad constitucional, pues la participación ciudadana que se favorece no es concebida como manifestación de derecho de sufragio alguno, de ahí que no se llame al cuerpo electoral y se permita expresar su opinión a los mayores de dieciséis años, a los extranjeros que residan habitualmente en Canarias y a las entidades ciudadanas. La “ciudadanía” llamada a participar en la pregunta directa no se hace coincidir exclusivamente con quienes ostentan la condición política de canarios (art. 4 EACan), puesto que dicha condición no es elemento definitorio de los titulares de “participación ciudadana”, ya que la participación democrática, a diferencia de la política, no necesita de esa conexión política.</w:t>
      </w:r>
    </w:p>
    <w:p w:rsidR="0085709A" w:rsidRDefault="0085709A" w:rsidP="0085709A">
      <w:pPr>
        <w:pStyle w:val="TextoNormal"/>
      </w:pPr>
    </w:p>
    <w:p w:rsidR="0085709A" w:rsidRDefault="0085709A" w:rsidP="0085709A">
      <w:pPr>
        <w:pStyle w:val="TextoNormal"/>
      </w:pPr>
      <w:r>
        <w:t>f) En cuanto a la falta de claridad exigible a la pregunta, se afirma ahora que la Ley Orgánica 2/1980, reguladora de las distintas modalidades de referéndum, no es canon de enjuiciamiento de la presente pregunta, cuyo marco jurídico es el Decreto 95/2014. No se comparte la alegación contraria sobre los términos confusos con los que la pregunta aparece formulada. En todo caso, atendiendo a la finalidad y objeto de la pregunta y al tenor con el que aparece redactada, es evidente cuál ha de ser la decisión a adoptar en su caso, por el poder público convocante: o mantener su modelo tal cual aparece diseñado o alterarlo a fin de recoger especificas previsiones, dando cabida a aquella nueva actividad que, aun siendo ajena en su control a la competencia autonómica, incide directamente en el ejercicio de sus competencias propias.</w:t>
      </w:r>
    </w:p>
    <w:p w:rsidR="0085709A" w:rsidRDefault="0085709A" w:rsidP="0085709A">
      <w:pPr>
        <w:pStyle w:val="TextoNormal"/>
      </w:pPr>
    </w:p>
    <w:p w:rsidR="0085709A" w:rsidRDefault="0085709A" w:rsidP="0085709A">
      <w:pPr>
        <w:pStyle w:val="TextoNormal"/>
      </w:pPr>
      <w:r>
        <w:t>g) Por lo que se refiere a la pretendida inconstitucionalidad del apartado 4 del Decreto, se rechazan las alegaciones de la Abogacía del Estado en punto a la opinión ciudadana obtenida por medios electrónicos, pues no ha sido intención de esta Administración la regulación de voto alguno como manifestación del derecho de sufragio, de modo que no se ha tratado de sustituir ni sustraer la competencia que, en efecto, le corresponde al legislador orgánico en orden a regular el voto electrónico en los procedimientos electorales. No siendo este un procedimiento electoral, sino una forma de garantizar la participación ciudadana directa, favoreciendo la consolidación de los valores del art. 9.2 CE, deben rechazarse los argumentos que se ofrecen de contrario.</w:t>
      </w:r>
    </w:p>
    <w:p w:rsidR="0085709A" w:rsidRDefault="0085709A" w:rsidP="0085709A">
      <w:pPr>
        <w:pStyle w:val="TextoNormal"/>
      </w:pPr>
    </w:p>
    <w:p w:rsidR="0085709A" w:rsidRDefault="0085709A" w:rsidP="0085709A">
      <w:pPr>
        <w:pStyle w:val="TextoNormal"/>
      </w:pPr>
      <w:r>
        <w:t>Se rechaza, pues, la impugnación formulada, que responde —se dice— a una voluntad contraria al citado art. 9.2 CE y se pide del Tribunal un pronunciamiento que legitime el ejercicio de las competencias autonómicas para favorecer y propiciar instrumentos de participación ciudadana, que no de participación política, como los contemplados en el Reglamento y, en particular, confirmando que la pregunta directa convocada por el Decreto 107/2014 se ajusta plenamente al orden constitucional. Ni sustrae la competencia reservada al Estado en relación con las consultas populares de naturaleza referendaria ni la pregunta en sí misma afecta a asuntos que sean de la competencia estatal ni interfiere en su desarrollo.</w:t>
      </w:r>
    </w:p>
    <w:p w:rsidR="0085709A" w:rsidRDefault="0085709A" w:rsidP="0085709A">
      <w:pPr>
        <w:pStyle w:val="TextoNormal"/>
      </w:pPr>
    </w:p>
    <w:p w:rsidR="0085709A" w:rsidRDefault="0085709A" w:rsidP="0085709A">
      <w:pPr>
        <w:pStyle w:val="TextoNormal"/>
      </w:pPr>
      <w:r>
        <w:t>Se concluyó con la súplica de que se tuviera por formalizada oposición a la demanda presentada por el Gobierno de la Nación frente al Decreto 107/2014 y, en su mérito, que se inadmitiera la presente impugnación o, subsidiariamente, se desestimara la misma confirmando la constitucionalidad del Decreto cuestionado.</w:t>
      </w:r>
    </w:p>
    <w:p w:rsidR="0085709A" w:rsidRDefault="0085709A" w:rsidP="0085709A">
      <w:pPr>
        <w:pStyle w:val="TextoNormal"/>
      </w:pPr>
    </w:p>
    <w:p w:rsidR="0085709A" w:rsidRDefault="0085709A" w:rsidP="0085709A">
      <w:pPr>
        <w:pStyle w:val="TextoNormal"/>
      </w:pPr>
      <w:r w:rsidRPr="0085709A">
        <w:rPr>
          <w:rStyle w:val="NumeroAFNegritaCaracter"/>
        </w:rPr>
        <w:t>6</w:t>
      </w:r>
      <w:r>
        <w:t xml:space="preserve">. Por providencia del Pleno de 20 de enero de 2015 se acordó, próximo a finalizar el plazo de cinco meses que señala el art. 161.2 CE, oír a las partes personadas para que, en el </w:t>
      </w:r>
      <w:r>
        <w:lastRenderedPageBreak/>
        <w:t>plazo de cinco días, expusieran lo que considerasen conveniente acerca del mantenimiento o levantamiento de la suspensión. El Abogado del Estado suplicó se denegara el levantamiento de la suspensión y que se declarara la falta de objeto del proceso cautelar acerca de la suspensión misma, pues, en síntesis, la consulta convocada, y fijada para fechas transcurridas, es ya de imposible celebración. La representación del Gobierno de Canarias suplicó que se acordara el levantamiento de la suspensión del Decreto 107/2014.</w:t>
      </w:r>
    </w:p>
    <w:p w:rsidR="0085709A" w:rsidRDefault="0085709A" w:rsidP="0085709A">
      <w:pPr>
        <w:pStyle w:val="TextoNormal"/>
      </w:pPr>
    </w:p>
    <w:p w:rsidR="0085709A" w:rsidRDefault="0085709A" w:rsidP="0085709A">
      <w:pPr>
        <w:pStyle w:val="TextoNormal"/>
      </w:pPr>
      <w:r>
        <w:t>Por Auto 54/2015, de 3 de marzo, el Pleno acordó declarar la desaparición sobrevenida del incidente sobre el mantenimiento o levantamiento de la suspensión del Decreto 107/2014, de 2 de octubre.</w:t>
      </w:r>
    </w:p>
    <w:p w:rsidR="0085709A" w:rsidRDefault="0085709A" w:rsidP="0085709A">
      <w:pPr>
        <w:pStyle w:val="TextoNormal"/>
      </w:pPr>
    </w:p>
    <w:p w:rsidR="0085709A" w:rsidRDefault="0085709A" w:rsidP="0085709A">
      <w:pPr>
        <w:pStyle w:val="TextoNormal"/>
      </w:pPr>
      <w:r w:rsidRPr="0085709A">
        <w:rPr>
          <w:rStyle w:val="NumeroAFNegritaCaracter"/>
        </w:rPr>
        <w:t>7</w:t>
      </w:r>
      <w:r>
        <w:t>. Por providencia de veintitrés de junio de dos mil quince, se señaló para la deliberación y votación de la presente Sentencia el día veinticinco del mismo mes y año.</w:t>
      </w:r>
    </w:p>
    <w:p w:rsidR="0085709A" w:rsidRDefault="0085709A" w:rsidP="0085709A">
      <w:pPr>
        <w:pStyle w:val="TextoNormal"/>
      </w:pPr>
    </w:p>
    <w:p w:rsidR="0085709A" w:rsidRDefault="0085709A" w:rsidP="0085709A">
      <w:pPr>
        <w:pStyle w:val="TextoNormalNegritaCentrado"/>
        <w:keepNext/>
      </w:pPr>
      <w:r>
        <w:t>II. Fundamentos jurídicos</w:t>
      </w:r>
    </w:p>
    <w:p w:rsidR="0085709A" w:rsidRDefault="0085709A" w:rsidP="0085709A">
      <w:pPr>
        <w:pStyle w:val="TextoNormalNegritaCentrado"/>
        <w:keepNext/>
      </w:pPr>
    </w:p>
    <w:p w:rsidR="0085709A" w:rsidRDefault="0085709A" w:rsidP="0085709A">
      <w:pPr>
        <w:pStyle w:val="TextoNormal"/>
      </w:pPr>
      <w:r w:rsidRPr="0085709A">
        <w:rPr>
          <w:rStyle w:val="NumeroAFNegritaCaracter"/>
        </w:rPr>
        <w:t>1</w:t>
      </w:r>
      <w:r>
        <w:t>. Con el Decreto 107/2014, de 2 de octubre, aquí impugnado por el Gobierno de la Nación, el Presidente del Gobierno de Canarias ha convocado una “consulta ciudadana mediante pregunta directa” para, según se lee en el preámbulo del propio Decreto, “pulsar la opinión a la ciudadanía sobre si es necesario o no emprender o reorientar determinadas medidas … frente a las distintas circunstancias que puedan afectar directamente a su modelo de desarrollo, como es el caso de las consecuencias derivadas de las actividades relacionadas con la investigación, exploración y explotación de hidrocarburos”. Se articula esta convocatoria, en su parte resolutiva, en cinco apartados, dedicados al “objeto” de la consulta (1), a su “ámbito territorial” (2), a las “personas y/o entidades llamadas a emitir las respuestas” (3), al “plazo y fecha” para tal emisión (4) y, en fin, al “formulario” (5) mediante el que se habría de manifestar, con un sí o con un no, la opinión acerca de si Canarias “debe cambiar su modelo medioambiental y turístico por las prospecciones de gas o petróleo”, que tal es la pregunta que se somete a la consideración de la ciudadanía. Importa señalar que el apartado 1 fija como objeto de la consulta, además de el de “fomentar la participación ciudadana”, el de “orientar las políticas de los poderes públicos en la defensa de los intereses generales y en la defensa y protección de la naturaleza y del medio ambiente”, así como el de “recabar la opinión de la ciudadanía canaria sobre el cambio de modelo medioambiental y turístico por las prospecciones de gas o petróleo”. Tras fijar, en su apartado 2, que el ámbito territorial de la consulta es el de la Comunidad Autónoma de Canarias definido en su Estatuto de Autonomía (EACan, en lo sucesivo), el Decreto se refiere en su apartado 3, como se dijo, a las “personas y entidades llamadas a emitir las respuestas”, determinando a tal efecto que podrán participar en la consulta los mayores de dieciséis años que residan legalmente en Canarias, con independencia de su nacionalidad, y también quienes, mayores de aquella edad, gocen de los derechos políticos definidos en el Estatuto de Autonomía de Canarias para los ciudadanos españoles residentes en el extranjero que hayan tenido la última vecindad administrativa en Canarias, al igual que sus descendientes inscritos como españoles (apartado 3.1). El apartado 3.2 dispone que también podrán participar en la consulta las “entidades ciudadanas inscritas en el Registro de Participación Ciudadana constituido en la Consejería de Presidencia, Justicia e Igualdad”.</w:t>
      </w:r>
    </w:p>
    <w:p w:rsidR="0085709A" w:rsidRDefault="0085709A" w:rsidP="0085709A">
      <w:pPr>
        <w:pStyle w:val="TextoNormal"/>
      </w:pPr>
    </w:p>
    <w:p w:rsidR="0085709A" w:rsidRDefault="0085709A" w:rsidP="0085709A">
      <w:pPr>
        <w:pStyle w:val="TextoNormal"/>
      </w:pPr>
      <w:r>
        <w:t>La impugnación del Gobierno la concreta la demanda del Abogado del Estado en la aducida inconstitucionalidad, tanto por razones competenciales como por otras de carácter ya distinto, de los apartados 1, 3, 4 y 5 que quedan referidos, reglas estas a las que la demanda reprocha, en síntesis, el dar curso a una convocatoria de “referéndum consultivo” que, además, “afecta a intereses de ámbito estatal exclusivo”, censuras, una y otra, que se formulan con cita de los artículos 23, en relación con el artículo 81, 92 y 149.1.32, todos ellos de la norma fundamental. Se invocan también los artículos 1.1 y 13 de la misma Constitución Española, asimismo violados, se dice; el primero, por la falta de información con que la pregunta se formula y el segundo porque la convocatoria abarca a quienes no son nacionales españoles. Se citan también como infringidos los arts. 4 y 32.5 EACan. Tales motivos de inconstitucionalidad “mixtos” —en palabras de la demanda— podrían sin duda canalizarse, se afirma, por la vía procesal aquí emprendida, esto es, al amparo del título V de la Ley Orgánica del Tribunal Constitucional: LOTC (arts. 76 y 77).</w:t>
      </w:r>
    </w:p>
    <w:p w:rsidR="0085709A" w:rsidRDefault="0085709A" w:rsidP="0085709A">
      <w:pPr>
        <w:pStyle w:val="TextoNormal"/>
      </w:pPr>
    </w:p>
    <w:p w:rsidR="0085709A" w:rsidRDefault="0085709A" w:rsidP="0085709A">
      <w:pPr>
        <w:pStyle w:val="TextoNormal"/>
      </w:pPr>
      <w:r>
        <w:t>Frente a esta última aseveración sale al paso la representación del Gobierno de Canarias, que ha pedido se inadmita la impugnación con el argumento de que los preceptos de la Ley Orgánica del Tribunal Constitucional recién mentados en ningún caso consentirían la impugnación, por razones competenciales, de disposiciones o resoluciones autonómicas, razones estas, señala, que son en las que se apoya, exclusivamente, la impugnación del Gobierno. Al margen ya de este alegato inicial, la representación demandada ha defendido la plena conformidad a la Constitución y al Estatuto de Autonomía de Canarias del Decreto impugnado, a cuyo efecto reitera, en lo sustancial, las argumentaciones expuestas frente a la impugnación del Decreto 95/2014, por el que se aprobó el Reglamento de las consultas a la ciudadanía en asuntos de interés general de competencia de la Comunidad Autónoma de Canarias. Niega, por tanto, esta representación que la convocatoria impugnada lo sea para una consulta de carácter referendario o que, mediante ella, se venga a ejercer, por los llamados a las urnas, un derecho de participación política, pues —observa— ni es convocado el cuerpo electoral, ni se utiliza el censo para la consulta, ni, en fin, el procedimiento para la emisión de respuestas es el electoral. En coherencia con lo que ahora se resume, pide la inadmisión de la impugnación o, de no ser así, su desestimación.</w:t>
      </w:r>
    </w:p>
    <w:p w:rsidR="0085709A" w:rsidRDefault="0085709A" w:rsidP="0085709A">
      <w:pPr>
        <w:pStyle w:val="TextoNormal"/>
      </w:pPr>
    </w:p>
    <w:p w:rsidR="0085709A" w:rsidRDefault="0085709A" w:rsidP="0085709A">
      <w:pPr>
        <w:pStyle w:val="TextoNormal"/>
      </w:pPr>
      <w:r>
        <w:t>De este modo queda, en lo sustancial, trabada la controversia constitucional sobre la que hemos de pronunciarnos, no sin antes despejar la cuestión previa planteada por la representación del Gobierno de Canarias en punto a la viabilidad o no del cauce procesal emprendido por el Gobierno de la Nación para hacer valer las inconstitucionalidades que denuncia.</w:t>
      </w:r>
    </w:p>
    <w:p w:rsidR="0085709A" w:rsidRDefault="0085709A" w:rsidP="0085709A">
      <w:pPr>
        <w:pStyle w:val="TextoNormal"/>
      </w:pPr>
    </w:p>
    <w:p w:rsidR="0085709A" w:rsidRDefault="0085709A" w:rsidP="0085709A">
      <w:pPr>
        <w:pStyle w:val="TextoNormal"/>
      </w:pPr>
      <w:r w:rsidRPr="0085709A">
        <w:rPr>
          <w:rStyle w:val="NumeroAFNegritaCaracter"/>
        </w:rPr>
        <w:t>2</w:t>
      </w:r>
      <w:r>
        <w:t>. El Tribunal no puede compartir lo alegado por la representación demandada en orden a la improcedencia de haber acudido al cauce del título V LOTC (arts. 76 y 77) para dar curso a esta impugnación ni, en consecuencia, la pretensión de inadmisión a trámite que se asocia a tal alegación. Ello es así por las mismas razones expuestas, entre otras resoluciones constitucionales, en la reciente STC 137/2015, de 11 de junio [FJ 2 a)], en la que, sobre la base de pronunciamientos anteriores (STC 32/2015, de 25 de febrero, FJ 2, y jurisprudencia allí citada), dejamos dicho, y hemos de reiterar ahora, que si la impugnación por el Gobierno de disposiciones o resoluciones de las Comunidades Autónomas se fundamenta sólo en vulneraciones de carácter competencial, se estará, materialmente, ante un conflicto de competencias, incluso aunque se hubiera acudido a la vía del título V LOTC, y ello en razón de la sustancial identidad procedimental entre este cauce y el de aquellos conflictos, hasta el punto de que la impugnación prevista en el repetido título V debe formularse y sustanciarse, “sea cual fuere el motivo en que se base”, por el procedimiento previsto en los arts. 62 a 67 LOTC para los conflictos competenciales, todo ello conforme al artículo 77 de la misma Ley Orgánica. Por ello dijimos entonces, y reiteramos ahora, que el cauce emprendido es también idóneo cuando el Gobierno, como aquí ocurre, reprocha al acto impugnado tanto inconstitucionalidades que lo son por razón de incompetencia como otras de distinto carácter, so pena, si así no se admitiera, de imponer, contra todo principio de economía y aun de lógica procesales, que un mismo precepto o resolución hubiera de ser impugnado, en atención a la diversidad de vicios que en él se viera, por medio de demandas distintas que, sin embargo, habrían de tramitarse a través de procedimientos idénticos.</w:t>
      </w:r>
    </w:p>
    <w:p w:rsidR="0085709A" w:rsidRDefault="0085709A" w:rsidP="0085709A">
      <w:pPr>
        <w:pStyle w:val="TextoNormal"/>
      </w:pPr>
    </w:p>
    <w:p w:rsidR="0085709A" w:rsidRDefault="0085709A" w:rsidP="0085709A">
      <w:pPr>
        <w:pStyle w:val="TextoNormal"/>
      </w:pPr>
      <w:r>
        <w:t>No procede, en suma, acoger la petición de inadmisión formulada por la representación del Gobierno de Canarias.</w:t>
      </w:r>
    </w:p>
    <w:p w:rsidR="0085709A" w:rsidRDefault="0085709A" w:rsidP="0085709A">
      <w:pPr>
        <w:pStyle w:val="TextoNormal"/>
      </w:pPr>
    </w:p>
    <w:p w:rsidR="0085709A" w:rsidRDefault="0085709A" w:rsidP="0085709A">
      <w:pPr>
        <w:pStyle w:val="TextoNormal"/>
      </w:pPr>
      <w:r w:rsidRPr="0085709A">
        <w:rPr>
          <w:rStyle w:val="NumeroAFNegritaCaracter"/>
        </w:rPr>
        <w:t>3</w:t>
      </w:r>
      <w:r>
        <w:t xml:space="preserve">. Todavía antes de decir cosa alguna sobre el fondo del asunto, es procedente aclarar que la actual controversia constitucional no puede considerarse decaída por la mera circunstancia de que la convocatoria impugnada se fijara, en el Decreto que la dispuso, para unas fechas ya transcurridas, todas ellas de noviembre del pasado año, fechas que aún estaban por llegar en el momento de la impugnación. Tal circunstancia se valoró, efectivamente, en nuestro ATC 54/2015, de 3 de marzo, para dictar, en este mismo procedimiento, la desaparición sobrevenida del objeto del incidente sobre el mantenimiento o levantamiento de la suspensión, dictada en su día, del Decreto aquí impugnado, aunque en esta resolución se cuidó de advertir el Tribunal que tal pronunciamiento no afectaba al fondo del asunto planteado en el presente proceso constitucional (fundamento jurídico único), en el que no hemos de dejar de entrar ahora por la mera caducidad de la convocatoria impugnada, pues la controversia entre las partes, como acreditan las alegaciones en aquel incidente de suspensión, sigue viva y porque además el Decreto impugnado, aunque ya no podría alcanzar, por sí solo, los efectos que buscó, tampoco ha sido objeto de ningún </w:t>
      </w:r>
      <w:r w:rsidRPr="0085709A">
        <w:rPr>
          <w:i/>
        </w:rPr>
        <w:t>contrarius actus</w:t>
      </w:r>
      <w:r>
        <w:t xml:space="preserve"> o revocación por parte de su autor.</w:t>
      </w:r>
    </w:p>
    <w:p w:rsidR="0085709A" w:rsidRDefault="0085709A" w:rsidP="0085709A">
      <w:pPr>
        <w:pStyle w:val="TextoNormal"/>
      </w:pPr>
    </w:p>
    <w:p w:rsidR="0085709A" w:rsidRDefault="0085709A" w:rsidP="0085709A">
      <w:pPr>
        <w:pStyle w:val="TextoNormal"/>
      </w:pPr>
      <w:r w:rsidRPr="0085709A">
        <w:rPr>
          <w:rStyle w:val="NumeroAFNegritaCaracter"/>
        </w:rPr>
        <w:t>4</w:t>
      </w:r>
      <w:r>
        <w:t>. La demanda, como se dijo, formula frente al Decreto 107/2014 tachas de inconstitucionalidad por razón de incompetencia y otras que tienen ya distinto alcance. Comenzaremos nuestro examen por las primeras, cifradas en la afirmación de que la consulta convocada por este Decreto constituye, en realidad, un llamamiento a referéndum, llamamiento que queda sujeto, sin embargo, a la autorización del Estado (art. 149.1.32 CE) y al respeto de la legislación orgánica que, por referencia al art. 23 CE, desarrolla lo previsto en los artículos 81.1 y 92.3 de la misma norma fundamental. En criterio del Abogado del Estado —contradicho, en los términos ya expuestos, por la representación demandada— todos estos mandatos y previsiones constitucionales habrían sido conculcados por el Decreto que impugna. También lo habrían sido, por lo demás, los arts. 4 y 32.5 EACan.</w:t>
      </w:r>
    </w:p>
    <w:p w:rsidR="0085709A" w:rsidRDefault="0085709A" w:rsidP="0085709A">
      <w:pPr>
        <w:pStyle w:val="TextoNormal"/>
      </w:pPr>
    </w:p>
    <w:p w:rsidR="0085709A" w:rsidRDefault="0085709A" w:rsidP="0085709A">
      <w:pPr>
        <w:pStyle w:val="TextoNormal"/>
      </w:pPr>
      <w:r>
        <w:t xml:space="preserve">Para resolver lo así planteado resulta determinante, como bien se comprende, lo fundamentado y resuelto en la ya citada STC 137/2015, que ha declarado la inconstitucionalidad y consiguiente nulidad de los artículos 9 a 26 del capítulo III del Reglamento de las consultas a la ciudadanía en asuntos de interés general de competencia de la Comunidad Autónoma de Canarias, aprobado por el Decreto 95/2014, del Gobierno de Canarias. El Decreto ahora impugnado invoca expresamente, en su exposición de motivos, los preceptos así declarados contrarios a la Constitución y al Estatuto de Autonomía de Canarias, declaración jurisdiccional que se ha fundamentado, dicho en síntesis, en que las normas del capítulo III del Reglamento entonces impugnado creaban y regulaban unas modalidades de consulta referendaria que no estaban, en modo alguno, previstas en las normas estatales a las que remiten los arts. 23.1, 81.1, 92.3 y 149.1.1 CE; que se pretendían, además, libres de la autorización estatal exigida por el art. 149.1.32 CE; que en nada se acomodaban tampoco, por su manifiesta indeterminación, a la definición estricta, por el régimen electoral general, del cuerpo de electores de las distintas instancias territoriales, al que, sin embargo, permitían convocar, y que se separaban abiertamente, por lo demás, de ese régimen electoral común y de sus garantías en la ordenación del atípico procedimiento que establecían. Todo ello supuso también —se añadió en la misma Sentencia— una clara vulneración de lo dispuesto en el art. 32.5 EACan, que somete las competencias atribuidas a la Comunidad Autónoma de Canarias en orden a las consultas populares a la obligación de respeto a la Constitución, a la ley orgánica </w:t>
      </w:r>
      <w:r w:rsidRPr="0085709A">
        <w:rPr>
          <w:i/>
        </w:rPr>
        <w:t>ex</w:t>
      </w:r>
      <w:r>
        <w:t xml:space="preserve"> art. 92.3 CE y, en general, a las leyes del Estado, a todo lo cual no se atuvo el Reglamento entonces enjuiciado (FJ 7).</w:t>
      </w:r>
    </w:p>
    <w:p w:rsidR="0085709A" w:rsidRDefault="0085709A" w:rsidP="0085709A">
      <w:pPr>
        <w:pStyle w:val="TextoNormal"/>
      </w:pPr>
    </w:p>
    <w:p w:rsidR="0085709A" w:rsidRDefault="0085709A" w:rsidP="0085709A">
      <w:pPr>
        <w:pStyle w:val="TextoNormal"/>
      </w:pPr>
      <w:r>
        <w:t xml:space="preserve">Es obligado constatar, sobre la base de lo ya resuelto por este Tribunal, que la convocatoria decidida mediante el Decreto 107/2014, aquí impugnado, muestra, por lo que hace a la participación en la consulta de las personas físicas a las que se refiere su apartado 3.1, la misma e inequívoca condición referendaria que apreciamos en aquella Sentencia respecto de los artículos 9 a 26 del Reglamento aprobado por el Decreto 95/2014, norma en la que, vale repetir, se apoya la resolución hoy impugnada. La convocatoria, en otras palabras, se dirige ahora a un cuerpo electoral (apartado 3.1) que, no por atípico o irregular en su conformación, deja de ser tal y en el que queda integrado, desde luego, el propio cuerpo electoral de la Comunidad Autónoma, que se pronunciaría a través de una votación (pues no otra cosa es la llamada “emisión de respuestas”) que habría de discurrir y verificarse a través de los procedimientos y con las garantías, materialmente electorales, ordenados en aquel Reglamento, todo lo cual fue determinante de la declaración de inconstitucionalidad y nulidad de su capítulo III, al constatar entonces este Tribunal que se regulaban allí, bajo la denominación de “preguntas directas”, genuinos </w:t>
      </w:r>
      <w:r w:rsidRPr="0085709A">
        <w:rPr>
          <w:i/>
        </w:rPr>
        <w:t>referenda</w:t>
      </w:r>
      <w:r>
        <w:t xml:space="preserve">. Siendo esto así, como sin duda es, el Decreto 107/2014 incurre en vicios idénticos, pues ha convocado una consulta sin duda de carácter referendario y ha infringido al hacerlo, por las mismas razones apreciadas en la STC 137/2015, unas y otras de las competencias exclusivas del Estado en punto a las consultas populares de tal carácter, competencias desde luego de autorización (art. 149.1.32 CE), pero que, conforme a jurisprudencia muy consolidada, se proyectan también, en atención a lo previsto en los artículos 23.1, 81.1, 92.3 y 149.1.1 de la misma norma fundamental (fundamento jurídico 7 y jurisprudencia allí citada), sobre la entera disciplina, aquí también desconocida, del instituto del referéndum, esto es, sobre su establecimiento y regulación. Ello sin perjuicio de lo que, por referencia a las competencias de la Comunidad Autónoma de Canarias </w:t>
      </w:r>
      <w:r w:rsidRPr="0085709A">
        <w:rPr>
          <w:i/>
        </w:rPr>
        <w:t>ex</w:t>
      </w:r>
      <w:r>
        <w:t xml:space="preserve"> artículo 32.5 de su Estatuto, dejamos también dicho en la misma STC 137/2015 [FJ 4 d)].</w:t>
      </w:r>
    </w:p>
    <w:p w:rsidR="0085709A" w:rsidRDefault="0085709A" w:rsidP="0085709A">
      <w:pPr>
        <w:pStyle w:val="TextoNormal"/>
      </w:pPr>
    </w:p>
    <w:p w:rsidR="0085709A" w:rsidRDefault="0085709A" w:rsidP="0085709A">
      <w:pPr>
        <w:pStyle w:val="TextoNormal"/>
      </w:pPr>
      <w:r>
        <w:t xml:space="preserve">La inconstitucionalidad así apreciada afecta directa o inmediatamente al apartado 3.1 del Decreto 107/2014 y a todas las demás previsiones de la misma resolución que están en conexión expresa o implícita con dicha regla, en la que, según antes se recordó, se determinan las personas físicas a las que se dirige la consulta. Cierto que no se las convoca sólo a ellas, pues el apartado 3.2 del mismo Decreto, como también quedó dicho, contempla la posible participación en la consulta de determinadas entidades ciudadanas, participación ésta prevista ya, en abstracto, por el tantas veces citado Decreto 95/2014 y respecto de la que hemos dicho en la STC 137/2015, FJ 5, que, por sí sola, podía verse como una forma de consulta popular de carácter no referendario y no ajena como tal, de principio, a las competencias propias de la Comunidad Autónoma de Canarias (art. 32.5 EACan). Extendimos también entonces a aquellas previsiones, con todo, la declaración de inconstitucionalidad que merecieron las directamente contrarias a la Constitución y ello en atención a consideraciones (fundamento jurídico 8) que valen también para el presente caso. También ahora, como entonces, es obligado constatar, en otras palabras, que resulta en extremo difícil, si no imposible, segregar las reglas directamente viciadas de invalidez de las referidas exclusivamente a estas entidades ciudadanas y que, incluso de ser factible tal cosa, tampoco podría este Tribunal Constitucional deparar o provocar, a través de un pronunciamiento de inconstitucionalidad así selectivo, la aparición de reglas ya distintas a las dictadas y enjuiciadas; tanto menos cuanto que, en el actual caso, juzgamos no de normas, sino de una resolución singular que constituye, en todas sus determinaciones, unidad inescindible. Ello sin perjuicio, en segundo lugar, de que la subsistencia, siquiera aparente, en el Ordenamiento, bajo rúbricas como “consulta a la ciudadanía” o análogas, de tal “pregunta directa”, dirigida ya sólo a asociaciones, conduciría a una grave distorsión de los conceptos constitucionales, pues la opinión que hubiera podido llegar a ser manifestada, en hipótesis, por aquéllas se habría objetivamente hecho pasar, sin serlo en modo alguno, por el criterio, sin más, de la ciudadanía toda. Recordamos en este sentido en la STC 137/2015, y en el mismo fundamento jurídico recién citado, que sólo a los ciudadanos </w:t>
      </w:r>
      <w:r w:rsidRPr="0085709A">
        <w:rPr>
          <w:i/>
        </w:rPr>
        <w:t>ex</w:t>
      </w:r>
      <w:r>
        <w:t xml:space="preserve"> art. 23.1 CE les corresponde, sin mediatizaciones o sustituciones orgánicas, concurrir a la manifestación, a través del sufragio individual, de la voluntad que, al imputarse por el Ordenamiento a la ciudadanía, merece ser calificada, precisamente, de voluntad general. Por todo ello hemos de extender también aquí la declaración de inconstitucionalidad al apartado 3.2 del Decreto y, en definitiva, al Decreto mismo en su conjunto, cuyas demás determinaciones, declarado inconstitucional el apartado 3, carecen ya de sentido alguno (art. 39.1 LOTC).</w:t>
      </w:r>
    </w:p>
    <w:p w:rsidR="0085709A" w:rsidRDefault="0085709A" w:rsidP="0085709A">
      <w:pPr>
        <w:pStyle w:val="TextoNormal"/>
      </w:pPr>
    </w:p>
    <w:p w:rsidR="0085709A" w:rsidRDefault="0085709A" w:rsidP="0085709A">
      <w:pPr>
        <w:pStyle w:val="TextoNormal"/>
      </w:pPr>
      <w:r>
        <w:t>Estimada íntegramente la impugnación por estos motivos, no procede examinar el resto de las censuras de inconstitucionalidad aducidas.</w:t>
      </w:r>
    </w:p>
    <w:p w:rsidR="0085709A" w:rsidRDefault="0085709A" w:rsidP="0085709A">
      <w:pPr>
        <w:pStyle w:val="TextoNormal"/>
      </w:pPr>
    </w:p>
    <w:p w:rsidR="0085709A" w:rsidRDefault="0085709A" w:rsidP="0085709A">
      <w:pPr>
        <w:pStyle w:val="TextoNormalCentrado"/>
        <w:keepNext/>
      </w:pPr>
      <w:r>
        <w:t>FALLO</w:t>
      </w:r>
    </w:p>
    <w:p w:rsidR="0085709A" w:rsidRDefault="0085709A" w:rsidP="0085709A">
      <w:pPr>
        <w:pStyle w:val="TextoNormalCentrado"/>
        <w:keepNext/>
      </w:pPr>
    </w:p>
    <w:p w:rsidR="0085709A" w:rsidRDefault="0085709A" w:rsidP="0085709A">
      <w:pPr>
        <w:pStyle w:val="TextoNormal"/>
      </w:pPr>
      <w:r>
        <w:t>En atención a todo lo expuesto, el Tribunal Constitucional, POR LA AUTORIDAD QUE LE CONFIERE LA CONSTITUCIÓN DE LA NACIÓN ESPAÑOLA,</w:t>
      </w:r>
    </w:p>
    <w:p w:rsidR="0085709A" w:rsidRDefault="0085709A" w:rsidP="0085709A">
      <w:pPr>
        <w:pStyle w:val="TextoNormal"/>
      </w:pPr>
    </w:p>
    <w:p w:rsidR="0085709A" w:rsidRDefault="0085709A" w:rsidP="0085709A">
      <w:pPr>
        <w:pStyle w:val="TextoNormalCentrado"/>
        <w:keepNext/>
      </w:pPr>
      <w:r>
        <w:t>Ha decidido</w:t>
      </w:r>
    </w:p>
    <w:p w:rsidR="0085709A" w:rsidRDefault="0085709A" w:rsidP="0085709A">
      <w:pPr>
        <w:pStyle w:val="TextoNormalCentrado"/>
        <w:keepNext/>
      </w:pPr>
    </w:p>
    <w:p w:rsidR="0085709A" w:rsidRDefault="0085709A" w:rsidP="0085709A">
      <w:pPr>
        <w:pStyle w:val="TextoNormal"/>
      </w:pPr>
      <w:r>
        <w:t>Estimar la impugnación de disposiciones autonómicas (título V LOTC) promovida por el Abogado del Estado, en representación del Gobierno de la Nación, y, en consecuencia:</w:t>
      </w:r>
    </w:p>
    <w:p w:rsidR="0085709A" w:rsidRDefault="0085709A" w:rsidP="0085709A">
      <w:pPr>
        <w:pStyle w:val="TextoNormal"/>
      </w:pPr>
    </w:p>
    <w:p w:rsidR="0085709A" w:rsidRDefault="0085709A" w:rsidP="0085709A">
      <w:pPr>
        <w:pStyle w:val="TextoNormal"/>
      </w:pPr>
      <w:r>
        <w:t>Declarar la inconstitucionalidad y nulidad del Decreto 107/2014, de 2 de octubre, del Presidente del Gobierno de Canarias, por el que se convoca consulta ciudadana mediante pregunta directa.</w:t>
      </w:r>
    </w:p>
    <w:p w:rsidR="0085709A" w:rsidRDefault="0085709A" w:rsidP="0085709A">
      <w:pPr>
        <w:pStyle w:val="TextoNormal"/>
      </w:pPr>
    </w:p>
    <w:p w:rsidR="0085709A" w:rsidRDefault="0085709A" w:rsidP="0085709A">
      <w:pPr>
        <w:pStyle w:val="TextoNormal"/>
      </w:pPr>
      <w:r>
        <w:t>Publíquese esta Sentencia en el “Boletín Oficial del Estado”.</w:t>
      </w:r>
    </w:p>
    <w:p w:rsidR="0085709A" w:rsidRDefault="0085709A" w:rsidP="00B85568">
      <w:pPr>
        <w:pStyle w:val="TextoNormal"/>
      </w:pPr>
      <w:r>
        <w:t>Dada en Madrid, a veinticinco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85709A">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ParrafoNormal"/>
      </w:pPr>
    </w:p>
    <w:p w:rsidR="00B85568" w:rsidRDefault="00B85568" w:rsidP="00B85568">
      <w:pPr>
        <w:pStyle w:val="CabeceraApartado"/>
      </w:pPr>
      <w:r>
        <w:t>AUTOS</w:t>
      </w:r>
    </w:p>
    <w:p w:rsidR="00B85568" w:rsidRDefault="00B85568">
      <w:pPr>
        <w:spacing w:after="160" w:line="259" w:lineRule="auto"/>
        <w:rPr>
          <w:rFonts w:ascii="Times New Roman" w:eastAsia="Times New Roman" w:hAnsi="Times New Roman" w:cs="Times New Roman"/>
          <w:sz w:val="48"/>
          <w:szCs w:val="24"/>
          <w:lang w:eastAsia="es-ES"/>
        </w:rPr>
      </w:pPr>
      <w:r>
        <w:br w:type="page"/>
      </w:r>
    </w:p>
    <w:p w:rsidR="00B85568" w:rsidRDefault="00B85568" w:rsidP="00B85568">
      <w:pPr>
        <w:pStyle w:val="TtuloResolucin"/>
      </w:pPr>
      <w:bookmarkStart w:id="151" w:name="AUTO_2015_1"/>
      <w:r>
        <w:t>AUTO 1/2015, de 9 de enero de 2015</w:t>
      </w:r>
    </w:p>
    <w:bookmarkEnd w:id="151"/>
    <w:p w:rsidR="00B85568" w:rsidRDefault="00B85568" w:rsidP="00B85568">
      <w:pPr>
        <w:pStyle w:val="TtuloResolucin"/>
      </w:pPr>
      <w:r>
        <w:t>Sección Cuarta</w:t>
      </w:r>
    </w:p>
    <w:p w:rsidR="00B85568" w:rsidRDefault="00B85568" w:rsidP="00B85568">
      <w:pPr>
        <w:pStyle w:val="TextoNormalCentrado"/>
      </w:pPr>
      <w:r>
        <w:t>ECLI:ES:TC:2015:1A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52" w:name="AUTO_2015_2"/>
      <w:r>
        <w:t>AUTO 2/2015, de 13 de enero de 2015</w:t>
      </w:r>
    </w:p>
    <w:bookmarkEnd w:id="152"/>
    <w:p w:rsidR="00B85568" w:rsidRDefault="00B85568" w:rsidP="00B85568">
      <w:pPr>
        <w:pStyle w:val="TtuloResolucin"/>
      </w:pPr>
      <w:r>
        <w:t>Sección Cuarta</w:t>
      </w:r>
    </w:p>
    <w:p w:rsidR="00B85568" w:rsidRDefault="00B85568" w:rsidP="00B85568">
      <w:pPr>
        <w:pStyle w:val="TextoNormalCentrado"/>
      </w:pPr>
      <w:r>
        <w:t>ECLI:ES:TC:2015:2A</w:t>
      </w:r>
    </w:p>
    <w:p w:rsidR="00B85568" w:rsidRDefault="00B85568" w:rsidP="00B85568">
      <w:pPr>
        <w:pStyle w:val="TextoNormalCentrado"/>
      </w:pPr>
    </w:p>
    <w:p w:rsidR="00B85568" w:rsidRDefault="00B85568" w:rsidP="00B85568">
      <w:pPr>
        <w:pStyle w:val="SntesisDescriptiva"/>
      </w:pPr>
      <w:r>
        <w:t>Excms. Srs. don Fernando Valdés Dal-Ré y don Antonio Narváez Rodríguez.</w:t>
      </w:r>
    </w:p>
    <w:p w:rsidR="00B85568" w:rsidRDefault="00B85568" w:rsidP="00B85568">
      <w:pPr>
        <w:pStyle w:val="SntesisDescriptiva"/>
      </w:pPr>
    </w:p>
    <w:p w:rsidR="00B85568" w:rsidRDefault="00B85568" w:rsidP="00B85568">
      <w:pPr>
        <w:pStyle w:val="SntesisDescriptiva"/>
      </w:pPr>
      <w:r>
        <w:t>Acepta una abstención en el recurso de amparo 6564-2013, promovido por don José María Ruiz Mateos y Jiménez de Tejada y otras personas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presente recurso de amparo se impugna Auto de 6 de junio de 2013 dictado por la Sección Primera de la Sala Tercera de lo Contencioso-Administrativo del Tribunal Supremo en recurso de casación núm. 60-2013.</w:t>
      </w:r>
    </w:p>
    <w:p w:rsidR="00B85568" w:rsidRDefault="00B85568" w:rsidP="00B85568">
      <w:pPr>
        <w:pStyle w:val="TextoNormal"/>
      </w:pPr>
    </w:p>
    <w:p w:rsidR="00B85568" w:rsidRDefault="00B85568" w:rsidP="00B85568">
      <w:pPr>
        <w:pStyle w:val="TextoNormal"/>
      </w:pPr>
      <w:r>
        <w:t>Mediante escrito fechado el 12 de enero de 2015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6 de junio de 2013 en el recurso de casación núm. 60-2013, resolución impugnada en el presente recurso de amparo núm. 6564-2013.</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6 de junio de 2013, en el recurso de casación núm. 60-2013 que ha sido impugnado en el presente recurso de amparo 6564-2013.</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Ricardo Enríquez Sancho en el recurso de amparo núm. 6564-2013,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trece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53" w:name="AUTO_2015_3"/>
      <w:r>
        <w:t>AUTO 3/2015, de 14 de enero de 2015</w:t>
      </w:r>
    </w:p>
    <w:bookmarkEnd w:id="153"/>
    <w:p w:rsidR="00B85568" w:rsidRDefault="00B85568" w:rsidP="00B85568">
      <w:pPr>
        <w:pStyle w:val="TtuloResolucin"/>
      </w:pPr>
      <w:r>
        <w:t>Sección Primera</w:t>
      </w:r>
    </w:p>
    <w:p w:rsidR="00B85568" w:rsidRDefault="00B85568" w:rsidP="00B85568">
      <w:pPr>
        <w:pStyle w:val="TextoNormalCentrado"/>
      </w:pPr>
      <w:r>
        <w:t>ECLI:ES:TC:2015:3A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54" w:name="AUTO_2015_4"/>
      <w:r>
        <w:t>AUTO 4/2015, de 15 de enero de 2015</w:t>
      </w:r>
    </w:p>
    <w:bookmarkEnd w:id="154"/>
    <w:p w:rsidR="00B85568" w:rsidRDefault="00B85568" w:rsidP="00B85568">
      <w:pPr>
        <w:pStyle w:val="TtuloResolucin"/>
      </w:pPr>
      <w:r>
        <w:t>Sala Segunda</w:t>
      </w:r>
    </w:p>
    <w:p w:rsidR="00B85568" w:rsidRDefault="00B85568" w:rsidP="00B85568">
      <w:pPr>
        <w:pStyle w:val="TextoNormalCentrado"/>
      </w:pPr>
      <w:r>
        <w:t>ECLI:ES:TC:2015:4A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Pedro José González-Trevijano Sánchez y don Antonio Narváez Rodríguez.</w:t>
      </w:r>
    </w:p>
    <w:p w:rsidR="00B85568" w:rsidRDefault="00B85568" w:rsidP="00B85568">
      <w:pPr>
        <w:pStyle w:val="SntesisDescriptiva"/>
      </w:pPr>
    </w:p>
    <w:p w:rsidR="00B85568" w:rsidRDefault="00B85568" w:rsidP="00B85568">
      <w:pPr>
        <w:pStyle w:val="SntesisDescriptiva"/>
      </w:pPr>
      <w:r>
        <w:t>Acepta una abstención en el recurso de amparo 5987-2012, promovido por Vista San Felipe, S.L.,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recurso de amparo antes referido se impugna providencia y Auto de la Sala de lo Contencioso-Administrativo del Tribunal Supremo en recurso de casación 4763-2011, contra la Sentencia dictada por la Sección Segunda de la Sala de lo Contencioso-Administrativo del Tribunal Superior de Justicia de Canarias en recurso núm. 251-2009.</w:t>
      </w:r>
    </w:p>
    <w:p w:rsidR="00B85568" w:rsidRDefault="00B85568" w:rsidP="00B85568">
      <w:pPr>
        <w:pStyle w:val="TextoNormal"/>
      </w:pPr>
    </w:p>
    <w:p w:rsidR="00B85568" w:rsidRDefault="00B85568" w:rsidP="00B85568">
      <w:pPr>
        <w:pStyle w:val="TextoNormal"/>
      </w:pPr>
      <w:r>
        <w:t>Mediante escrito fechado el 13 de enero de 2015,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 5987-2012.</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Ricardo Enríquez Sancho, Magistrado de esta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que ha sido impugnado en el presente recurso de amparo.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Ricardo Enríquez Sancho en el recurso de amparo número 5987-2012,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quince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55" w:name="AUTO_2015_5"/>
      <w:r>
        <w:t>AUTO 5/2015, de 15 de enero de 2015</w:t>
      </w:r>
    </w:p>
    <w:bookmarkEnd w:id="155"/>
    <w:p w:rsidR="00B85568" w:rsidRDefault="00B85568" w:rsidP="00B85568">
      <w:pPr>
        <w:pStyle w:val="TtuloResolucin"/>
      </w:pPr>
      <w:r>
        <w:t>Sala Segunda</w:t>
      </w:r>
    </w:p>
    <w:p w:rsidR="00B85568" w:rsidRDefault="00B85568" w:rsidP="00B85568">
      <w:pPr>
        <w:pStyle w:val="TextoNormalCentrado"/>
      </w:pPr>
      <w:r>
        <w:t>ECLI:ES:TC:2015:5A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Pedro José González-Trevijano Sánchez y don Antonio Narváez Rodríguez.</w:t>
      </w:r>
    </w:p>
    <w:p w:rsidR="00B85568" w:rsidRDefault="00B85568" w:rsidP="00B85568">
      <w:pPr>
        <w:pStyle w:val="SntesisDescriptiva"/>
      </w:pPr>
    </w:p>
    <w:p w:rsidR="00B85568" w:rsidRDefault="00B85568" w:rsidP="00B85568">
      <w:pPr>
        <w:pStyle w:val="SntesisDescriptiva"/>
      </w:pPr>
      <w:r>
        <w:t>Acepta una abstención en el recurso de amparo 6996-2012, promovido por Vista San Felipe, S.L.,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recurso de amparo antes referido se impugna providencia y Auto de la Sala de lo Contencioso-Administrativo del Tribunal Supremo en recurso de casación 4763-2011, contra la Sentencia dictada por la Sección Segunda de la Sala de lo Contencioso-Administrativo del Tribunal Superior de Justicia de Canarias en recurso núm. 251-2009.</w:t>
      </w:r>
    </w:p>
    <w:p w:rsidR="00B85568" w:rsidRDefault="00B85568" w:rsidP="00B85568">
      <w:pPr>
        <w:pStyle w:val="TextoNormal"/>
      </w:pPr>
    </w:p>
    <w:p w:rsidR="00B85568" w:rsidRDefault="00B85568" w:rsidP="00B85568">
      <w:pPr>
        <w:pStyle w:val="TextoNormal"/>
      </w:pPr>
      <w:r>
        <w:t>Mediante escrito fechado el 13 de enero de 2015,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 6996-2012.</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Ricardo Enríquez Sancho, Magistrado de esta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que ha sido impugnado en el presente recurso de amparo.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Ricardo Enríquez Sancho en el recurso de amparo número 6996-2012,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quince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56" w:name="AUTO_2015_6"/>
      <w:r>
        <w:t>AUTO 6/2015, de 19 de enero de 2015</w:t>
      </w:r>
    </w:p>
    <w:bookmarkEnd w:id="156"/>
    <w:p w:rsidR="00B85568" w:rsidRDefault="00B85568" w:rsidP="00B85568">
      <w:pPr>
        <w:pStyle w:val="TtuloResolucin"/>
      </w:pPr>
      <w:r>
        <w:t>Sección Cuarta</w:t>
      </w:r>
    </w:p>
    <w:p w:rsidR="00B85568" w:rsidRDefault="00B85568" w:rsidP="00B85568">
      <w:pPr>
        <w:pStyle w:val="TextoNormalCentrado"/>
      </w:pPr>
      <w:r>
        <w:t>ECLI:ES:TC:2015:6A</w:t>
      </w:r>
    </w:p>
    <w:p w:rsidR="00B85568" w:rsidRDefault="00B85568" w:rsidP="00B85568">
      <w:pPr>
        <w:pStyle w:val="TextoNormalCentrado"/>
      </w:pPr>
    </w:p>
    <w:p w:rsidR="00B85568" w:rsidRDefault="00B85568" w:rsidP="00B85568">
      <w:pPr>
        <w:pStyle w:val="SntesisDescriptiva"/>
      </w:pPr>
      <w:r>
        <w:t>Excms. Srs. don Fernando Valdés Dal-Ré y don Ricardo Enríquez Sancho.</w:t>
      </w:r>
    </w:p>
    <w:p w:rsidR="00B85568" w:rsidRDefault="00B85568" w:rsidP="00B85568">
      <w:pPr>
        <w:pStyle w:val="SntesisDescriptiva"/>
      </w:pPr>
    </w:p>
    <w:p w:rsidR="00B85568" w:rsidRDefault="00B85568" w:rsidP="00B85568">
      <w:pPr>
        <w:pStyle w:val="SntesisDescriptiva"/>
      </w:pPr>
      <w:r>
        <w:t>Acepta una abstención en el recurso de amparo 1651-2013, promovido por la asociación Al Andalus y otros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presente recurso de amparo se impugna Sentencia de 21 de enero de 2013 dictada por la Sección Séptima de la Sala Tercera de lo Contencioso-Administrativo del Tribunal Supremo en el recurso de casación núm. 6191-2011 interpuesto contra Sentencia de 2 de noviembre de 2011 dictada por la Sección Primera de la Sala de lo Contencioso-Administrativo del Tribunal Superior de Justicia de Andalucía en el recurso núm. 414-2011.</w:t>
      </w:r>
    </w:p>
    <w:p w:rsidR="00B85568" w:rsidRDefault="00B85568" w:rsidP="00B85568">
      <w:pPr>
        <w:pStyle w:val="TextoNormal"/>
      </w:pPr>
    </w:p>
    <w:p w:rsidR="00B85568" w:rsidRDefault="00B85568" w:rsidP="00B85568">
      <w:pPr>
        <w:pStyle w:val="TextoNormal"/>
      </w:pPr>
      <w:r>
        <w:t>Mediante escrito fechado el 19 de enero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6191-2011 del que trae causa el presente recurso de amparo núm. 1651-2013.</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6191-2011 seguido en la Sección Séptima de la Sala Tercera de lo Contencioso-Administrativo del Tribunal Supremo que dictó la Sentencia de 21 de enero 2013, resolución que ha sido impugnada en el presente recurso de amparo núm. 1651-2013.</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Antonio Narváez Rodríguez en el recurso de amparo núm. 1651-2013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diecinueve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57" w:name="AUTO_2015_7"/>
      <w:r>
        <w:t>AUTO 7/2015, de 19 de enero de 2015</w:t>
      </w:r>
    </w:p>
    <w:bookmarkEnd w:id="157"/>
    <w:p w:rsidR="00B85568" w:rsidRDefault="00B85568" w:rsidP="00B85568">
      <w:pPr>
        <w:pStyle w:val="TtuloResolucin"/>
      </w:pPr>
      <w:r>
        <w:t>Sala Segunda</w:t>
      </w:r>
    </w:p>
    <w:p w:rsidR="00B85568" w:rsidRDefault="00B85568" w:rsidP="00B85568">
      <w:pPr>
        <w:pStyle w:val="TextoNormalCentrado"/>
      </w:pPr>
      <w:r>
        <w:t>ECLI:ES:TC:2015:7A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suspensión en el recurso de amparo 3834-2014, promovido por doña Matilde Torres Sánchez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17 de junio de 2014, doña Matilde Torres Sánchez, representada por el Procurador de los Tribunales don Jaime Gafas Pacheco y asistida por el Letrado don Antonio Arnela González, interpuso recurso de amparo contra el Auto dictado el 6 de junio de 2014 por el Juzgado de lo Contencioso-Administrativo núm. 2 de Cáceres, que desestimó la impugnación de la resolución denegatoria de la comisión provincial de asistencia jurídica gratuita de Cáceres.</w:t>
      </w:r>
    </w:p>
    <w:p w:rsidR="00B85568" w:rsidRDefault="00B85568" w:rsidP="00B85568">
      <w:pPr>
        <w:pStyle w:val="TextoNormal"/>
      </w:pPr>
    </w:p>
    <w:p w:rsidR="00B85568" w:rsidRDefault="00B85568" w:rsidP="00B85568">
      <w:pPr>
        <w:pStyle w:val="TextoNormal"/>
      </w:pPr>
      <w:r w:rsidRPr="00B85568">
        <w:rPr>
          <w:rStyle w:val="NumeroAFNegritaCaracter"/>
        </w:rPr>
        <w:t>2</w:t>
      </w:r>
      <w:r>
        <w:t>. En la demanda de amparo se alega la vulneración del derecho a obtener la tutela judicial efectiva en su vertiente de acceso a los recursos (art. 24.1 CE), al haberse denegado la justicia gratuita para interponer recurso de apelación con el único fundamento de que no había solicitado el beneficio en primera instancia, cuando existen circunstancias sobrevenidas derivadas de los costes de la apelación y de la implantación de la tasa judicial, por lo que solicita que se dicte Sentencia declarando la vulneración del citado derecho fundamental del art. 24.1 CE y, en consecuencia, anular el Auto de 6 de junio de 2014 recurrido, con reconocimiento del derecho al beneficio de la justicia gratuita.</w:t>
      </w:r>
    </w:p>
    <w:p w:rsidR="00B85568" w:rsidRDefault="00B85568" w:rsidP="00B85568">
      <w:pPr>
        <w:pStyle w:val="TextoNormal"/>
      </w:pPr>
    </w:p>
    <w:p w:rsidR="00B85568" w:rsidRDefault="00B85568" w:rsidP="00B85568">
      <w:pPr>
        <w:pStyle w:val="TextoNormal"/>
      </w:pPr>
      <w:r>
        <w:t>Por otrosí, en la misma demanda, de acuerdo con lo previsto en el art. 56 de la Ley Orgánica del Tribunal Constitucional (LOTC), la demandante solicita la suspensión de la tramitación del recurso de apelación en el que instó la asistencia jurídica gratuita, que fue acordada por providencia del Juzgado de lo Contencioso-Administrativo núm. 2 de Cáceres de fecha 3 de junio de 2013.</w:t>
      </w:r>
    </w:p>
    <w:p w:rsidR="00B85568" w:rsidRDefault="00B85568" w:rsidP="00B85568">
      <w:pPr>
        <w:pStyle w:val="TextoNormal"/>
      </w:pPr>
    </w:p>
    <w:p w:rsidR="00B85568" w:rsidRDefault="00B85568" w:rsidP="00B85568">
      <w:pPr>
        <w:pStyle w:val="TextoNormal"/>
      </w:pPr>
      <w:r w:rsidRPr="00B85568">
        <w:rPr>
          <w:rStyle w:val="NumeroAFNegritaCaracter"/>
        </w:rPr>
        <w:t>3</w:t>
      </w:r>
      <w:r>
        <w:t>. La Sala Segunda de este Tribunal acordó la admisión a trámite de la demanda de amparo por providencia de fecha 18 de diciembre de 2014, acordándose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B85568" w:rsidRDefault="00B85568" w:rsidP="00B85568">
      <w:pPr>
        <w:pStyle w:val="TextoNormal"/>
      </w:pPr>
    </w:p>
    <w:p w:rsidR="00B85568" w:rsidRDefault="00B85568" w:rsidP="00B85568">
      <w:pPr>
        <w:pStyle w:val="TextoNormal"/>
      </w:pPr>
      <w:r w:rsidRPr="00B85568">
        <w:rPr>
          <w:rStyle w:val="NumeroAFNegritaCaracter"/>
        </w:rPr>
        <w:t>4</w:t>
      </w:r>
      <w:r>
        <w:t>. La representación procesal de la recurrente presentó escrito el 29 de diciembre de 2014, en el que solicita que se le otorgue la suspensión, afirmando que, de no acordarse, se producirían perjuicios irreparables, pues sin la concesión de la justicia gratuita deberá retirarse el recurso de apelación.</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presentó su escrito de alegaciones en fecha 8 de enero de 2015, en el que interesa que se dicte Auto acordando la suspensión de la tramitación del recurso de apelación en el que se solicitó el beneficio de justicia gratuita, en aplicación de la doctrina contenida en el ATC 144/2010, de 18 de octubre, pues se produciría un perjuicio irreparable al tener que desistir la demandante del recurso de apelación y al no aparecer que exista grave perjuicio para los derechos constitucionales de los terceros que son parte en el proceso.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muchos, AATC 44/2008, de 11 de febrero, FJ 1; 172/2008, de 23 de junio, FJ 1; y 18/2012, de 30 de enero de 2012; FJ 2).</w:t>
      </w:r>
    </w:p>
    <w:p w:rsidR="00B85568" w:rsidRDefault="00B85568" w:rsidP="00B85568">
      <w:pPr>
        <w:pStyle w:val="TextoNormal"/>
      </w:pPr>
    </w:p>
    <w:p w:rsidR="00B85568" w:rsidRDefault="00B85568" w:rsidP="00B85568">
      <w:pPr>
        <w:pStyle w:val="TextoNormal"/>
      </w:pPr>
      <w:r>
        <w:t>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B85568" w:rsidRDefault="00B85568" w:rsidP="00B85568">
      <w:pPr>
        <w:pStyle w:val="TextoNormal"/>
      </w:pPr>
    </w:p>
    <w:p w:rsidR="00B85568" w:rsidRDefault="00B85568" w:rsidP="00B85568">
      <w:pPr>
        <w:pStyle w:val="TextoNormal"/>
      </w:pPr>
      <w:r w:rsidRPr="00B85568">
        <w:rPr>
          <w:rStyle w:val="NumeroAFNegritaCaracter"/>
        </w:rPr>
        <w:t>2</w:t>
      </w:r>
      <w:r>
        <w:t>. En el presente caso, en la demanda de amparo se solicita la anulación del Auto dictado el 6 de junio de 2014 por el Juzgado de lo Contencioso-Administrativo núm. 2 de Cáceres, que desestimó la impugnación de la resolución denegatoria de la asistencia jurídica gratuita que había solicitado la demandante para interponer recurso de apelación contra la Sentencia dictada por el citado Juzgado de fecha 25 de abril de 2013.</w:t>
      </w:r>
    </w:p>
    <w:p w:rsidR="00B85568" w:rsidRDefault="00B85568" w:rsidP="00B85568">
      <w:pPr>
        <w:pStyle w:val="TextoNormal"/>
      </w:pPr>
    </w:p>
    <w:p w:rsidR="00B85568" w:rsidRDefault="00B85568" w:rsidP="00B85568">
      <w:pPr>
        <w:pStyle w:val="TextoNormal"/>
      </w:pPr>
      <w:r>
        <w:t>En función de ello, la suspensión interesada trasciende de la resolución formalmente impugnada, que era el Auto desestimatorio de la asistencia jurídica gratuita, a diferencia del supuesto contemplado en el recurso de amparo 393-2014, en el que se denegó la suspensión por Auto de 15 de diciembre de 2014, por producirse el incumplimiento de la carga de justificación por la parte recurrente. También en este caso se desestima la impugnación presentada contra la resolución de la comisión de asistencia jurídica gratuita que denegó tal reconocimiento, pero la parte recurrente en amparo justifica la impugnación y pretende que se mantenga la suspensión de la tramitación del recurso de apelación, con pendencia de la declaración de firmeza de la Sentencia de fecha 25 de abril de 2013, dictada por el Juzgado de lo Contencioso-Administrativo núm. 2 de Cáceres, que desestimaba el recurso contencioso-administrativo interpuesto por la demandante, lo que, como subraya el Ministerio Fiscal, pudiera hacer perder la finalidad del recurso de amparo.</w:t>
      </w:r>
    </w:p>
    <w:p w:rsidR="00B85568" w:rsidRDefault="00B85568" w:rsidP="00B85568">
      <w:pPr>
        <w:pStyle w:val="TextoNormal"/>
      </w:pPr>
    </w:p>
    <w:p w:rsidR="00B85568" w:rsidRDefault="00B85568" w:rsidP="00B85568">
      <w:pPr>
        <w:pStyle w:val="TextoNormal"/>
      </w:pPr>
      <w:r w:rsidRPr="00B85568">
        <w:rPr>
          <w:rStyle w:val="NumeroAFNegritaCaracter"/>
        </w:rPr>
        <w:t>3</w:t>
      </w:r>
      <w:r>
        <w:t>. Atendidas las alegaciones de las partes, se constata que la tramitación de la segunda instancia conllevaría el desistimiento o la inadmisión de la apelación interpuesta, con firmeza de la Sentencia que se pretende recurrir, ante la aducida imposibilidad de afrontar los costes y el pago de la tasa en segunda instancia por parte de la demandante, por lo que se aprecia un perjuicio que haría perder su finalidad a este recurso de amparo.</w:t>
      </w:r>
    </w:p>
    <w:p w:rsidR="00B85568" w:rsidRDefault="00B85568" w:rsidP="00B85568">
      <w:pPr>
        <w:pStyle w:val="TextoNormal"/>
      </w:pPr>
    </w:p>
    <w:p w:rsidR="00B85568" w:rsidRDefault="00B85568" w:rsidP="00B85568">
      <w:pPr>
        <w:pStyle w:val="TextoNormal"/>
      </w:pPr>
      <w:r>
        <w:t>Por otra parte, no se percibe en este momento procesal, atendidas las particulares circunstancias del presente caso, que la suspensión de la ejecución pueda entrañar una perturbación grave a un interés constitucionalmente protegido o a los derechos fundamentales o libertades públicas de un tercero, puesto que la Sentencia recurrida en apelación es desestimatoria del recurso contencioso-administrativo interpuesto, de modo que el único pronunciamiento susceptible de paralización es el de la condena en costas, el cual, a lo sumo, resulta provisionalmente aplazado por el tiempo de tramitación de este recurso.</w:t>
      </w:r>
    </w:p>
    <w:p w:rsidR="00B85568" w:rsidRDefault="00B85568" w:rsidP="00B85568">
      <w:pPr>
        <w:pStyle w:val="TextoNormal"/>
      </w:pPr>
    </w:p>
    <w:p w:rsidR="00B85568" w:rsidRDefault="00B85568" w:rsidP="00B85568">
      <w:pPr>
        <w:pStyle w:val="TextoNormal"/>
      </w:pPr>
      <w:r w:rsidRPr="00B85568">
        <w:rPr>
          <w:rStyle w:val="NumeroAFNegritaCaracter"/>
        </w:rPr>
        <w:t>4</w:t>
      </w:r>
      <w:r>
        <w:t>. Los razonamientos expuestos, de conformidad con la doctrina precedente, y sin prejuzgar la decisión de fondo del recurso, conducen a acordar la suspensión solicitada y en consecuencia, a reconocer la suspensión de la tramitación del recurso de apelación interpuesto por la demandante contra la Sentencia de fecha 25 de abril de 2013 hasta tanto se resuelve el presente recurso de amparo.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Suspender la tramitación del recurso de apelación interpuesto por la demandante contra la Sentencia de fecha 25 de abril de 2013 dictada por el Juzgado de lo Contencioso-Administrativo núm. 2 de Cáceres.</w:t>
      </w:r>
    </w:p>
    <w:p w:rsidR="00B85568" w:rsidRDefault="00B85568" w:rsidP="00B85568">
      <w:pPr>
        <w:pStyle w:val="TextoNormal"/>
      </w:pPr>
    </w:p>
    <w:p w:rsidR="00B85568" w:rsidRDefault="00B85568" w:rsidP="00B85568">
      <w:pPr>
        <w:pStyle w:val="TextoNormal"/>
      </w:pPr>
      <w:r>
        <w:t>Madrid, a diecinueve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58" w:name="AUTO_2015_8"/>
      <w:r>
        <w:t>AUTO 8/2015, de 20 de enero de 2015</w:t>
      </w:r>
    </w:p>
    <w:bookmarkEnd w:id="158"/>
    <w:p w:rsidR="00B85568" w:rsidRDefault="00B85568" w:rsidP="00B85568">
      <w:pPr>
        <w:pStyle w:val="TtuloResolucin"/>
      </w:pPr>
      <w:r>
        <w:t>Pleno</w:t>
      </w:r>
    </w:p>
    <w:p w:rsidR="00B85568" w:rsidRDefault="00B85568" w:rsidP="00B85568">
      <w:pPr>
        <w:pStyle w:val="TtuloBOE"/>
      </w:pPr>
      <w:r>
        <w:t>(BOE núm. 47, de 24 de febrero de 2015)</w:t>
      </w:r>
    </w:p>
    <w:p w:rsidR="00B85568" w:rsidRDefault="00B85568" w:rsidP="00B85568">
      <w:pPr>
        <w:pStyle w:val="TextoNormalCentrado"/>
      </w:pPr>
      <w:r>
        <w:t>ECLI:ES:TC:2015:8A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2995-2014, planteada por la Sala de lo Contencioso-Administrativo del Tribunal Superior de Justicia de Castilla-La Mancha, en relación con diversos preceptos de la Ley 8/2007, de 28 de mayo, y del texto refundido de la Ley de suelo.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13 de mayo de 2014 tuvo entrada en el Registro General del Tribunal Constitucional un escrito de la Sección segunda de la Sala de lo Contencioso-Administrativo del Tribunal Superior de Castilla-La Mancha, con sede en Albacete, al que se acompaña, junto con el testimonio de las actuaciones del procedimiento ordinario 125-2010, el Auto de 8 de abril de 2014 por el que se plantea cuestión de inconstitucionalidad contra los apartados 1 a) y 2 del art. 22 de la Ley 8/2007, de 28 de mayo, de suelo (LS), y los apartados 1 a) y 2 del art. 23, del texto refundido de la Ley de suelo, aprobado por el Real Decreto Legislativo 2/2008, de 20 de junio.</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que interesan a la presente cuestión son los que a continuación se exponen:</w:t>
      </w:r>
    </w:p>
    <w:p w:rsidR="00B85568" w:rsidRDefault="00B85568" w:rsidP="00B85568">
      <w:pPr>
        <w:pStyle w:val="TextoNormal"/>
      </w:pPr>
    </w:p>
    <w:p w:rsidR="00B85568" w:rsidRDefault="00B85568" w:rsidP="00B85568">
      <w:pPr>
        <w:pStyle w:val="TextoNormal"/>
      </w:pPr>
      <w:r>
        <w:t>a) La mercantil “Estación de Servicio Ven y Ven, S.L.”, interpuso recurso contencioso-administrativo contra el acuerdo del Jurado Provincial de Expropiación, que establecía el justiprecio por la superficie total de las fincas de su propiedad que había resultado afectada por la expropiación no urbanística, derivada de la ejecución de las “Obras de Conservación del firme. Proyecto de refuerzo del firme de la carretera N-130, entre el PK 145+000 y el 198+720. Tramo L.P. de Albacete-Villanueva de la Jara. Provincia de Cuenca”. Junto con otras cuestiones que no resultan relevantes para el presente proceso, la demandante solicitaba que el suelo clasificado como no urbanizable fuera valorado, en aplicación del art. 42 del Reglamento de la Ley de expropiación forzosa, por comparación con el de fincas análogas por su clase y situación en el mismo término municipal o comarca, para lo cual, además de aportar junto con la demanda una certificación registral de las fincas que, según su criterio, debían servir de testigos para la valoración, solicitó la realización de una pericial judicial. Como quiera que la valoración del Jurado había utilizado el método de comparación, la pericial judicial utilizó este mismo método, descartando, salvo uno, todos los testigos aportados por la recurrente por considerar que no se referían a fincas análogas, estableciendo finalmente el valor del metro cuadrado de suelo a partir del único testigo aportado por la recurrente que consideraba referido a una finca de similares condiciones a las que habían resultado afectadas por la expropiación.</w:t>
      </w:r>
    </w:p>
    <w:p w:rsidR="00B85568" w:rsidRDefault="00B85568" w:rsidP="00B85568">
      <w:pPr>
        <w:pStyle w:val="TextoNormal"/>
      </w:pPr>
    </w:p>
    <w:p w:rsidR="00B85568" w:rsidRDefault="00B85568" w:rsidP="00B85568">
      <w:pPr>
        <w:pStyle w:val="TextoNormal"/>
      </w:pPr>
      <w:r>
        <w:t>b) Conclusas las actuaciones y señalada fecha para votación y fallo, mediante providencia de 7 de marzo de 2014, la Sala acordó dar traslado a las partes y al Ministerio Fiscal sobre la pertinencia de plantear cuestión de inconstitucionalidad sobre los apartados 1 a) y 2 del art. 22 LS y apartados 1 a) y 2 del art. 23 del texto refundido de la Ley de suelo, por cuanto la aplicación a los terrenos en situación básica de rural del método de capitalización de rentas con una corrección al alza hasta del doble en función de determinados factores objetivos de localización, podría impedir fijar el justiprecio conforme a su valor real, con la consiguiente vulneración del art. 33.3 CE. La recurrente y el Ministerio Fiscal se mostraron favorables a su interposición, mientras que la Abogacía del Estado se opuso a su planteamiento.</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8 de abril de 2014, de planteamiento de la cuestión de inconstitucionalidad, tras exponer los antecedentes del caso y la concurrencia de los requisitos previstos en el art. 35 de la Ley Orgánica del Tribunal Constitucional (LOTC), expone que la valoración del suelo rural por el método de capitalización de rentas agrarias corregido hasta el máximo del doble en función de factores objetivos de localización, sin que puedan tenerse en cuenta expectativas derivadas de la asignación de usos y edificabilidades por la ordenación territorial y urbanística que no hayan sido aun plenamente realizados, puede resultar contraria al art. 33.3 CE por las siguientes razones. En primer lugar,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correspondan valor real de los bienes y derechos expropiados, cualquiera que sea éste, pues lo que garantiza la Constitución es el razonable equilibrio entre el daño expropiatorio y su reparación. Se cita también la STC 313/2006, de 8 de noviembre, FJ 9. Invoca también la doctrina del Tribunal Europeo de Derechos Humanos, señalando que, a su entender, los preceptos que se cuestionan vulnerarían el art. 1 del protocolo adicional del Convenio de Roma, con cita de numerosas sentencias del referido Tribunal, entre las que se encuentra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sólo una indemnización íntegra puede ser considerada como razonablemente proporcionada al valor del bien. Hace referencia también a la abundante doctrina del Tribunal Supremo proclive a la valoración de las expectativas urbanísticas en suelo no urbanizable, señalando que bajo la vigencia de la Ley de suelo de 1976, las expectativas urbanísticas fueron un elemento más de valoración en los suelos no urbanizables, y que, desde entonces, con la única excepción de los ocho años que estuvo vigente la Ley de suelo 8/1990, y su texto refundido, aprobado por Real Decreto Legislativo 1/1992, nuestra legislación urbanística ha permitido su valoración hasta la vigente Ley 8/2007, en la que se ha vuelto a prohibir expresamente tal posibilidad.</w:t>
      </w:r>
    </w:p>
    <w:p w:rsidR="00B85568" w:rsidRDefault="00B85568" w:rsidP="00B85568">
      <w:pPr>
        <w:pStyle w:val="TextoNormal"/>
      </w:pPr>
    </w:p>
    <w:p w:rsidR="00B85568" w:rsidRDefault="00B85568" w:rsidP="00B85568">
      <w:pPr>
        <w:pStyle w:val="TextoNormal"/>
      </w:pPr>
      <w:r>
        <w:t>Asimismo, el órgano judicial hace referencia a las modificaciones posteriores a la entrada en vigor del texto refundido que vienen a evidenciar la insuficiencia del método de capitalización para obtener el valor real del suelo rural. En este sentido, aunque tanto la Ley del suelo como el texto refundido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pudiera alejar de forma significativa el resultado de las valoraciones respecto de los precios de mercado del suelo rural sin consideración de expectativas urbanísticas, no se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 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o zonas de especial valor no estrictamente agropecuario. En conclusión, considera el órgano judicial que el sistema de valoración es claramente insuficiente para que los propietarios puedan obtener esa compensación íntegra por el bien expropiado, tanto cualitativa como cuantitativamente pues se prohíbe expresamente la consideración de expectativas urbanísticas.</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4 de noviembre de 2014, la Sección Segunda del Tribunal Constitucional acordó dar traslado al Fiscal General del Estado para que alegase sobre la admisibilidad de la cuestión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18 de diciembre tuvo entrada en este Tribunal escrito del Ministerio Fiscal formulando las alegaciones que a continuación se resumen. Tras exponer los argumentos del Auto de planteamiento de la cuestión de inconstitucionalidad, analiza la observancia de los requisitos establecidos en el art. 35.2 LOTC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00B85568" w:rsidRDefault="00B85568" w:rsidP="00B85568">
      <w:pPr>
        <w:pStyle w:val="TextoNormal"/>
      </w:pPr>
    </w:p>
    <w:p w:rsidR="00B85568" w:rsidRDefault="00B85568" w:rsidP="00B85568">
      <w:pPr>
        <w:pStyle w:val="TextoNormal"/>
      </w:pPr>
      <w:r>
        <w:t>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de la Ley de suelo,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sea manifiestamente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Castilla-La Mancha plantea cuestión de inconstitucionalidad respecto de los apartados 1 a) y 2 del art. 22 de la Ley 8/2007, de 28 de mayo, de suelo (LS),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de la Ley de suelo, mientras que en la duda que atañe al apartado segundo del mismo precepto debe considerarse manifiestamente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el art. 37.1 de la Ley Orgánica del Tribunal Constitucional (LOTC), este Tribunal puede rechazar la cuestión de inconstitucionalidad, en trámite de admisión y mediante Auto y sin más audiencia que la del Fiscal General del Estado, cuando faltaren las condiciones procesales o fuere notoriamente infundada.</w:t>
      </w:r>
    </w:p>
    <w:p w:rsidR="00B85568" w:rsidRDefault="00B85568" w:rsidP="00B85568">
      <w:pPr>
        <w:pStyle w:val="TextoNormal"/>
      </w:pPr>
    </w:p>
    <w:p w:rsidR="00B85568" w:rsidRDefault="00B85568" w:rsidP="00B85568">
      <w:pPr>
        <w:pStyle w:val="TextoNormal"/>
      </w:pPr>
      <w:r>
        <w:t>De acuerdo con lo dispuesto en el art. 35.1 LOTC, la norma legal cuya constitucionalidad se cuestiona debe ser aplicable al caso, y conforme al art. 35.2 LOTC el órgano judicial debe especificar en qué medida la decisión del proceso depende de la validez de la norma en cuestión. El razonamiento del juicio de aplicabilidad incluido en el Auto de planteamiento, se dirige a justificar la aplicación de la Ley 8/2007, de 28 de mayo, frente a la Ley 6/1998, que estaba vigente en el momento de iniciarse el procedimiento expropiatorio, siendo así que aquella establecía, como método de valoración en suelo no urbanizable el de comparación con fincas análogas y cuando ello no fuera posible el de capitalización de rentas. Argumenta la Sala que el Tribunal Supremo ha declarado en Sentencias de 24 de junio, 3 de diciembre, y 26 de diciembre, todas ellas de 2013, que hay que entender que cuando la disposición transitoria tercera de la Ley de suelo se refiere al inicio del expediente para determinar la aplicación de los nuevos criterios de valoración se está refiriendo al inicio de la pieza separada de justiprecio y no al inicio del procedimiento expropiatorio. Añade, además, que aunque esta regla sea contraria a lo que en sentencias anteriores había afirmado el Tribunal Supremo, la jurisprudencia citada se refiere específicamente a la Ley cuya aplicación se plantea en el caso de autos, por lo que la Sala debe seguir el mismo criterio. Así pues, continua el Auto, dado que la pieza separada de justiprecio se incoó estando en vigor la Ley 8/2007, de 28 de mayo, es esta la norma legal que resulta de aplicación al caso. Nada razona, sin embargo, el Auto de planteamiento sobre la aplicabilidad del texto refundido. Siendo obvio, de un lado, que ambas normas legales, la derogada y la actualmente vigente, ni estaban ni pudieron estar en vigor en un mismo momento, y de otro, que la hoja de aprecio de la recurrente fue presentada a la Administración expropiante el 30 de abril de 2008, antes, por tanto, de la entrada en vigor del texto refundido de la Ley de suelo, debemos inadmitir la cuestión de inconstitucionalidad planteada en relación con los apartados 1 a) y 2 del art. 23 del texto refundido de la Ley de suelo.</w:t>
      </w:r>
    </w:p>
    <w:p w:rsidR="00B85568" w:rsidRDefault="00B85568" w:rsidP="00B85568">
      <w:pPr>
        <w:pStyle w:val="TextoNormal"/>
      </w:pPr>
    </w:p>
    <w:p w:rsidR="00B85568" w:rsidRDefault="00B85568" w:rsidP="00B85568">
      <w:pPr>
        <w:pStyle w:val="TextoNormal"/>
      </w:pPr>
      <w:r w:rsidRPr="00B85568">
        <w:rPr>
          <w:rStyle w:val="NumeroAFNegritaCaracter"/>
        </w:rPr>
        <w:t>3</w:t>
      </w:r>
      <w:r>
        <w:t>. Las razones en las que se fundamenta el Auto de planteamiento de la cuestión de inconstitucionalidad son sustancialmente iguales a las expuestas en los recursos de inconstitucionalidad núms. 6963-2007, 6964-2007, 6969-2007 y 6973-2007 acumulados interpuestos contra la Ley de suelo por más de cincuenta diputados y tres Gobiernos de Comunidades autónomas, así como a los expuestos en los dos posteriores recursos de inconstitucionalidad 7020-2008 y 7231-2008 también acumulados, interpuestos contra el texto refundido de la Ley de suelo que han dado lugar a la STC 141/2014, de 11 de septiembre, aunque en este caso, a diferencia de entonces, la duda se refiere únicamente al suelo clasificado por el planeamiento como rústico, esto es, al que el planeamiento no atribuye ni edificabilidad ni usos urbanísticos. En concreto considera la Sala que el valor que garantiza el art. 33.3 CE es el valor de mercado. Como quiera que las fincas rústicas afectadas en el proceso judicial tienen un plus valor debido a ciertas expectativas urbanísticas, se encuentran próximas al núcleo urbano, y de aprovechamiento no estrictamente agropecuario (naves y establecimientos a pie de carretera), y la Ley 8/2007, de 28 de mayo, obliga a valorar un suelo como el de autos por capitalización de las rentas agrarias, con un incremento máximo del doble, el valor así obtenido resulta claramente insuficiente.</w:t>
      </w:r>
    </w:p>
    <w:p w:rsidR="00B85568" w:rsidRDefault="00B85568" w:rsidP="00B85568">
      <w:pPr>
        <w:pStyle w:val="TextoNormal"/>
      </w:pPr>
    </w:p>
    <w:p w:rsidR="00B85568" w:rsidRDefault="00B85568" w:rsidP="00B85568">
      <w:pPr>
        <w:pStyle w:val="TextoNormal"/>
      </w:pPr>
      <w:r>
        <w:t>La STC 141/2014, de 11 de septiembre, tras analizar el art. 22.1 a) de la Ley de suelo entendió que era constitucional una vez depurado el inciso de “hasta un máximo del doble”, cuya inconstitucionalidad y nulidad declaró. Por ello, una vez eliminado del ordenamiento jurídico el inciso anteriormente señalado, sólo cabe declarar que la cuestión ha perdido objeto en lo que atañe a la duda de constitucionalidad relativa al apartado 1 a) del art. 22 LS.</w:t>
      </w:r>
    </w:p>
    <w:p w:rsidR="00B85568" w:rsidRDefault="00B85568" w:rsidP="00B85568">
      <w:pPr>
        <w:pStyle w:val="TextoNormal"/>
      </w:pPr>
    </w:p>
    <w:p w:rsidR="00B85568" w:rsidRDefault="00B85568" w:rsidP="00B85568">
      <w:pPr>
        <w:pStyle w:val="TextoNormal"/>
      </w:pPr>
      <w:r>
        <w:t>La duda de la Sala se suscita también en relación con el apartado 2 del art. 22 de la Ley de suelo, según el cual en ningún caso podrán considerarse expectativas derivadas de la asignación de edificabilidades y usos por la ordenación territorial y urbanística que no hayan sido aún realizados. Aunque este apartado no fue impugnado entonces, motivo por el cual la STC 141/2014, de 11 de septiembre, no se pronunció específicamente sobre el mismo, la solución a la duda de constitucionalidad planteada viene predeterminada por lo afirmado por este Tribunal en el fundamento jurídico 9 B), ya que el apartado 2 del art. 22 sólo es una reiteración de la regla establecida en el apartado 1 a) del art. 22, motivada, sin duda, por la preocupación del legislador en insistir en el abandono de los criterios de valoración del suelo no urbanizable y urbanizable de la Ley 6/1998, de 13 de abril, de régimen del suelo y valoraciones.</w:t>
      </w:r>
    </w:p>
    <w:p w:rsidR="00B85568" w:rsidRDefault="00B85568" w:rsidP="00B85568">
      <w:pPr>
        <w:pStyle w:val="TextoNormal"/>
      </w:pPr>
    </w:p>
    <w:p w:rsidR="00B85568" w:rsidRDefault="00B85568" w:rsidP="00B85568">
      <w:pPr>
        <w:pStyle w:val="TextoNormal"/>
      </w:pPr>
      <w:r>
        <w:t xml:space="preserve">Así, en la STC 141/2014, de 11 de septiembre, FJ 9 B) afirmamos que el art. 33.3 CE no exige que la compensación sea equivalente al valor de mercado de los bienes y derechos expropiados, por lo que el legislador estatal cuenta con un margen de apreciación para instituir el método de valoración del suelo, así como para configurar los distintos estatutos del derecho de propiedad. En ejercicio de su discrecionalidad, el art. 22 de la Ley de suelo se ha separado de la búsqueda de un método de valoración que se aproxime al valor de mercado porque en él se producen fallos o tensiones especulativas, y ha optado por una concepción legítima de la propiedad del suelo conforme a la cual el </w:t>
      </w:r>
      <w:r w:rsidRPr="00B85568">
        <w:rPr>
          <w:i/>
        </w:rPr>
        <w:t>ius aedificandi</w:t>
      </w:r>
      <w:r>
        <w:t xml:space="preserve"> no forma parte del contenido inicial del derecho de propiedad, sino que se va adquiriendo en función del cumplimiento de los correlativos deberes urbanísticos de manera que, en el suelo rural, la indemnización de la simple expectativa urbanística se fija o concreta en relación con la concurrencia de determinadas condiciones establecidas en la ley.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En conclusión, desde el punto de vista abstracto que corresponde al Tribunal Constitucional, no ha de atenderse a las circunstancias precisas que en el supuesto concreto puedan darse, sino a la existencia de un proporcional equilibrio entre el valor del bien o derecho expropiado y la cuantía ofrecida, de manera que la norma solo podrá considerarse constitucionalmente ilegitima cuando la correspondencia entre aquél y ésta se revele manifiestamente desprovista de base razonable.</w:t>
      </w:r>
    </w:p>
    <w:p w:rsidR="00B85568" w:rsidRDefault="00B85568" w:rsidP="00B85568">
      <w:pPr>
        <w:pStyle w:val="TextoNormal"/>
      </w:pPr>
    </w:p>
    <w:p w:rsidR="00B85568" w:rsidRDefault="00B85568" w:rsidP="00B85568">
      <w:pPr>
        <w:pStyle w:val="TextoNormal"/>
      </w:pPr>
      <w:r>
        <w:t>Así pues,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En otras palabras, el art. 33.3 CE no garantiza en todo caso el valor de mercado. No lo hace, sin duda, cuando en su formación intervienen las expectativas derivadas de la futura aprobación del planeamiento, ni siquiera las derivadas de un planeamiento ya aprobado hasta que se hayan cumplido las cargas y deberes legalmente establecidos.</w:t>
      </w:r>
    </w:p>
    <w:p w:rsidR="00B85568" w:rsidRDefault="00B85568" w:rsidP="00B85568">
      <w:pPr>
        <w:pStyle w:val="TextoNormal"/>
      </w:pPr>
    </w:p>
    <w:p w:rsidR="00B85568" w:rsidRDefault="00B85568" w:rsidP="00B85568">
      <w:pPr>
        <w:pStyle w:val="TextoNormal"/>
      </w:pPr>
      <w:r>
        <w:t>En virtud de los argumentos expuestos, cabe concluir que la duda de inconstitucionalidad planteada en relación al art. 22.2 LS resulta notoriamente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Publíquese este Auto en el “Boletín Oficial del Estado”.</w:t>
      </w:r>
    </w:p>
    <w:p w:rsidR="00B85568" w:rsidRDefault="00B85568" w:rsidP="00B85568">
      <w:pPr>
        <w:pStyle w:val="TextoNormal"/>
      </w:pPr>
    </w:p>
    <w:p w:rsidR="00B85568" w:rsidRDefault="00B85568" w:rsidP="00B85568">
      <w:pPr>
        <w:pStyle w:val="TextoNormal"/>
      </w:pPr>
      <w:r>
        <w:t>Madrid, a veinte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59" w:name="AUTO_2015_9"/>
      <w:r>
        <w:t>AUTO 9/2015, de 20 de enero de 2015</w:t>
      </w:r>
    </w:p>
    <w:bookmarkEnd w:id="159"/>
    <w:p w:rsidR="00B85568" w:rsidRDefault="00B85568" w:rsidP="00B85568">
      <w:pPr>
        <w:pStyle w:val="TtuloResolucin"/>
      </w:pPr>
      <w:r>
        <w:t>Pleno</w:t>
      </w:r>
    </w:p>
    <w:p w:rsidR="00B85568" w:rsidRDefault="00B85568" w:rsidP="00B85568">
      <w:pPr>
        <w:pStyle w:val="TextoNormalCentrado"/>
      </w:pPr>
      <w:r>
        <w:t>ECLI:ES:TC:2015:9A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6421-2014, planteada por el Juzgado de lo Social núm. 3 de Alicante en relación con diversos preceptos del Real Decreto-ley 20/2012, de 13 de julio, de medidas para garantizar la estabilidad presupuestaria y de fomento de la competitividad.</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Constitucional el día 28 de octubre de 2014, al que acompaña testimonio del correspondiente Auto de 16 de octubre de 2014,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la presente cuestión son, en síntesis, los siguientes:</w:t>
      </w:r>
    </w:p>
    <w:p w:rsidR="00B85568" w:rsidRDefault="00B85568" w:rsidP="00B85568">
      <w:pPr>
        <w:pStyle w:val="TextoNormal"/>
      </w:pPr>
    </w:p>
    <w:p w:rsidR="00B85568" w:rsidRDefault="00B85568" w:rsidP="00B85568">
      <w:pPr>
        <w:pStyle w:val="TextoNormal"/>
      </w:pPr>
      <w:r>
        <w:t>a) En un procedimiento de conflicto colectivo interpuesto contra la Generalitat Valenciana por diversos empleados en un centro docente concertado se impugna la aplicación hecha por la demandada del Real Decreto-ley 20/2012, a través de la disposición adicional segunda.1 del Decreto-ley 6/2012, de 28 de diciembre, del Consell (que extiende la supresión de la paga extraordinaria de 2012 a los profesores de centros concertados “en los mismos términos que a los profesores de los centros docentes públicos”), en virtud de la cual la Consellería de Educación no abonó a los profesores de centros concertados en la nómina del mes de diciembre del año 2012 la paga extraordinaria correspondiente. Los referidos trabajadores solicitaron, primero en vía administrativa, y después ante el Juzgado de lo Social el abono de la totalidad de la paga extraordinaria de Navidad de 2012 o, con carácter subsidiario, la parte devengada de dicha paga, hasta el momento en que entró en vigor el Decreto-ley 6/2012.</w:t>
      </w:r>
    </w:p>
    <w:p w:rsidR="00B85568" w:rsidRDefault="00B85568" w:rsidP="00B85568">
      <w:pPr>
        <w:pStyle w:val="TextoNormal"/>
      </w:pPr>
    </w:p>
    <w:p w:rsidR="00B85568" w:rsidRDefault="00B85568" w:rsidP="00B85568">
      <w:pPr>
        <w:pStyle w:val="TextoNormal"/>
      </w:pPr>
      <w:r>
        <w:t>b) En el procedimiento ante el Juzgado de lo Social, la Abogada de la Generalitat Valenciana solicitó la posposición de la celebración de la vista del procedimiento, por estar pendientes de resolución diversas cuestiones de inconstitucionalidad relativas al Real Decreto-ley 20/2012. La parte actora se opuso afirmando que las referidas cuestiones afectan a funcionarios y no a personal laboral de centros concertados, tal como se habían pronunciado diversos Tribunales Superiores de Justicia en procedimientos de conflicto colectivo cuyas resoluciones mencionó a tal efecto.</w:t>
      </w:r>
    </w:p>
    <w:p w:rsidR="00B85568" w:rsidRDefault="00B85568" w:rsidP="00B85568">
      <w:pPr>
        <w:pStyle w:val="TextoNormal"/>
      </w:pPr>
    </w:p>
    <w:p w:rsidR="00B85568" w:rsidRDefault="00B85568" w:rsidP="00B85568">
      <w:pPr>
        <w:pStyle w:val="TextoNormal"/>
      </w:pPr>
      <w:r>
        <w:t>c) Con suspensión del plazo para dictar Sentencia y conforme a lo dispuesto en el art. 35 de la Ley Orgánica del Tribunal Constitucional (LOTC), el órgano judicial dictó providencia de 17 de septiembre de 2014 por la que acordó oír a las partes y al Ministerio Fiscal para que alegasen sobre la pertinencia de plantear cuestión de inconstitucionalidad sobre los arts. 2.1 y 2.2.2 del Real Decreto-ley 20/2012, de 13 de julio, de medidas para garantizar la estabilidad presupuestaria y de fomento de la competitividad, señalando que el Decreto-ley 6/2012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La duda de constitucionalidad se concreta en que el citado precepto, en la medida en que suprime la totalidad de la paga extraordinaria de diciembre de 2012, sin excepcionar la parte proporcional de la misma devengada hasta el momento de la entrada en vigor del Real Decreto-ley 20/2012, podría infringir la irretroactividad de las disposiciones restrictivas de derechos individuales y la seguridad jurídica que garantiza el art. 9.3 CE.</w:t>
      </w:r>
    </w:p>
    <w:p w:rsidR="00B85568" w:rsidRDefault="00B85568" w:rsidP="00B85568">
      <w:pPr>
        <w:pStyle w:val="TextoNormal"/>
      </w:pPr>
    </w:p>
    <w:p w:rsidR="00B85568" w:rsidRDefault="00B85568" w:rsidP="00B85568">
      <w:pPr>
        <w:pStyle w:val="TextoNormal"/>
      </w:pPr>
      <w:r>
        <w:t>d) La representación procesal de los demandantes manifestó su oposición al planteamiento de la cuestión de inconstitucionalidad, con dos argumentos: el Real Decreto-ley 20/2012 suprime la paga extraordinaria de diciembre de 2012 al personal funcionario y al personal laboral de la Administración, no a los profesores de la enseñanza concertada (citando de nuevo diversas sentencias de Tribunales Superiores de Justicia); y el Real Decreto-ley 20/2012 no afecta a la paga extraordinaria que en el momento de su entrada en vigor ya se había generado por su acumulación día a día de trabajo.</w:t>
      </w:r>
    </w:p>
    <w:p w:rsidR="00B85568" w:rsidRDefault="00B85568" w:rsidP="00B85568">
      <w:pPr>
        <w:pStyle w:val="TextoNormal"/>
      </w:pPr>
    </w:p>
    <w:p w:rsidR="00B85568" w:rsidRDefault="00B85568" w:rsidP="00B85568">
      <w:pPr>
        <w:pStyle w:val="TextoNormal"/>
      </w:pPr>
      <w:r>
        <w:t>Por su parte, el Ministerio Fiscal manifestó que, desde un punto de vista procesal y sin entrar en el fondo de la cuestión, era correcto el juicio de aplicabilidad y de relevancia de la norma, por lo que el planteamiento de la cuestión podría ser relevante.</w:t>
      </w:r>
    </w:p>
    <w:p w:rsidR="00B85568" w:rsidRDefault="00B85568" w:rsidP="00B85568">
      <w:pPr>
        <w:pStyle w:val="TextoNormal"/>
      </w:pPr>
    </w:p>
    <w:p w:rsidR="00B85568" w:rsidRDefault="00B85568" w:rsidP="00B85568">
      <w:pPr>
        <w:pStyle w:val="TextoNormal"/>
      </w:pPr>
      <w:r>
        <w:t>La representación procesal de la demandada se opuso al planteamiento de la cuestión, al considerar, primero, que no se cumple el presupuesto básico del art. 9.3 CE, la existencia de derechos individuales amparables por el principio de interdicción de la retroactividad; segundo, el carácter puntual del devengo de las gratificaciones extraordinarias y no como salario diferido; y tercero, la posibilidad de una retroactividad auténtica por exigencias cualificadas del bien común.</w:t>
      </w:r>
    </w:p>
    <w:p w:rsidR="00B85568" w:rsidRDefault="00B85568" w:rsidP="00B85568">
      <w:pPr>
        <w:pStyle w:val="TextoNormal"/>
      </w:pPr>
    </w:p>
    <w:p w:rsidR="00B85568" w:rsidRDefault="00B85568" w:rsidP="00B85568">
      <w:pPr>
        <w:pStyle w:val="TextoNormal"/>
      </w:pPr>
      <w:r>
        <w:t>e) Por Auto de 16 de octubre de 2014, el Juzgado de lo Social núm. 3 de Alicante acordó promover cuestión de inconstitucionalidad sobre los arts. 2.1 y 2.2.2 del Real Decreto-ley 20/2012, de 13 de julio, de medidas para garantizar la estabilidad presupuestaria y de fomento de la competitividad.</w:t>
      </w:r>
    </w:p>
    <w:p w:rsidR="00B85568" w:rsidRDefault="00B85568" w:rsidP="00B85568">
      <w:pPr>
        <w:pStyle w:val="TextoNormal"/>
      </w:pPr>
    </w:p>
    <w:p w:rsidR="00B85568" w:rsidRDefault="00B85568" w:rsidP="00B85568">
      <w:pPr>
        <w:pStyle w:val="TextoNormal"/>
      </w:pPr>
      <w:r w:rsidRPr="00B85568">
        <w:rPr>
          <w:rStyle w:val="NumeroAFNegritaCaracter"/>
        </w:rPr>
        <w:t>3</w:t>
      </w:r>
      <w:r>
        <w:t>. Tras exponer los hechos que han dado lugar al planteamiento de la cuestión, el Auto de planteamiento comienza subrayando, por una parte, que los demandantes reclaman, de forma principal, el importe íntegro de la paga extra de Navidad del año 2012 y, de forma subsidiaria, el abono del período devengado de la paga extraordinaria hasta la entrada en vigor del Decreto-ley 6/2012 o, al menos la parte proporcional de la paga en cuestión; y, por otra parte, que los demandantes basan sus pretensiones en la “ilegalidad” (</w:t>
      </w:r>
      <w:r w:rsidRPr="00B85568">
        <w:rPr>
          <w:i/>
        </w:rPr>
        <w:t>sic</w:t>
      </w:r>
      <w:r>
        <w:t>) del Decreto-ley 6/2012 del Consell, cuestionando que se pueda aplicar retroactivamente.</w:t>
      </w:r>
    </w:p>
    <w:p w:rsidR="00B85568" w:rsidRDefault="00B85568" w:rsidP="00B85568">
      <w:pPr>
        <w:pStyle w:val="TextoNormal"/>
      </w:pPr>
    </w:p>
    <w:p w:rsidR="00B85568" w:rsidRDefault="00B85568" w:rsidP="00B85568">
      <w:pPr>
        <w:pStyle w:val="TextoNormal"/>
      </w:pPr>
      <w:r>
        <w:t>A continuación el Auto afirma lo siguiente: “La decisión del presente litigio, en la que no existe discusión sobre aspectos fácticos, depende, sólo y exclusivamente, de la validez de los arts. 2.1 y 2.2.2 del Real Decreto-ley 20/2012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 los cuales —por los motivos que expondré a continuación— suprimen de forma íntegra la paga extra de Navidad del año 2012 del personal laboral”.</w:t>
      </w:r>
    </w:p>
    <w:p w:rsidR="00B85568" w:rsidRDefault="00B85568" w:rsidP="00B85568">
      <w:pPr>
        <w:pStyle w:val="TextoNormal"/>
      </w:pPr>
    </w:p>
    <w:p w:rsidR="00B85568" w:rsidRDefault="00B85568" w:rsidP="00B85568">
      <w:pPr>
        <w:pStyle w:val="TextoNormal"/>
      </w:pPr>
      <w:r>
        <w:t>A juicio del órgano judicial, la mencionada supresión podría vulnerar el art. 9.3 CE al privar al personal laboral de un derecho individual con carácter retroactivo, en cuanto que el art. 31 del texto refundido de la Ley del estatuto de los trabajadores establece el derecho a una gratificación extraordinaria con motivo de las fiestas de Navidad, habiendo declarado de forma reiterada el Tribunal Supremo que esa gratificación constituye una manifestación del salario diferido y se devenga día a día. Por ello, estima el órgano judicial que no es posible acudir a la vía interpretativa para salvar la posible inconstitucionalidad de las normas que cuestiona, en la medida en que no introducen excepción alguna respecto de las cuantías ya devengadas al momento de su entrada en vigor.</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18 de noviembre de 2014,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escrito registrado el día 5 de diciembre de 2014 el Fiscal General del Estado presentó sus alegaciones acerca de la cuestión de inconstitucionalidad. En síntesis, considera que se ha producido una restricción retroactiva de derechos individuales y que dicha restricción es injustificada y está prohibida por el art. 9.3 CE.</w:t>
      </w:r>
    </w:p>
    <w:p w:rsidR="00B85568" w:rsidRDefault="00B85568" w:rsidP="00B85568">
      <w:pPr>
        <w:pStyle w:val="TextoNormal"/>
      </w:pPr>
    </w:p>
    <w:p w:rsidR="00B85568" w:rsidRDefault="00B85568" w:rsidP="00B85568">
      <w:pPr>
        <w:pStyle w:val="TextoNormal"/>
      </w:pPr>
      <w:r>
        <w:t>No obstante, mediante escrito registrado el día 12 del mismo mes y año, el Fiscal General del Estado expone “que, habiéndose emitido en trámite de admisión, dictamen de fecha 4 de diciembre de 2014 por el que esta parte —erróneamente— habría evacuado trámite de alegaciones del art. 37.3 LOTC no obstante no haberse admitido previamente la cuestión de inconstitucionalidad planteada; comparece y a fin de subsanar tal extremo, interesa se tenga por no presentado aquel dictamen estimándose en su lugar evacuado el trámite en base a las consideraciones que a continuación se incluyen”.</w:t>
      </w:r>
    </w:p>
    <w:p w:rsidR="00B85568" w:rsidRDefault="00B85568" w:rsidP="00B85568">
      <w:pPr>
        <w:pStyle w:val="TextoNormal"/>
      </w:pPr>
    </w:p>
    <w:p w:rsidR="00B85568" w:rsidRDefault="00B85568" w:rsidP="00B85568">
      <w:pPr>
        <w:pStyle w:val="TextoNormal"/>
      </w:pPr>
      <w:r>
        <w:t>En el nuevo escrito el Fiscal General del Estado comienza refiriéndose a la corrección del planteamiento de la cuestión de inconstitucionalidad, en lo que se refiere a la formulación de los denominados juicios de aplicabilidad y de relevancia de las normas cuestionadas. Pone de manifiesto que el órgano judicial no solo se refiere al contenido de los artículos por los que promueve la cuestión de inconstitucionalidad (arts. 2.1 y 2.2.2 del Real Decreto-ley 20/2012, de 13 de julio, de medidas para garantizar la estabilidad presupuestaria y de fomento de la competitividad), sino que incluye en su argumentación el dato sustancial de que la supresión de la paga extraordinaria para el colectivo de que se trata (profesorado de centros docentes concertados) deriva de la disposición adicional segunda del Decreto-ley 6/2012, de 28 de septiembre del Consell. Sin embargo, la constitucionalidad de dicho precepto autonómico no se llega a discutir en el Auto de planteamiento de la cuestión, de manera que se omite toda referencia a la inexcusable aplicabilidad del mismo. En consecuencia, se formula incorrectamente el juicio de relevancia, en tanto que el fallo no dependerá directamente de la validez de la norma cuestionada (la norma estatal) sino de la norma autonómica, que no se limita a dictar disposiciones de desarrollo del Real Decreto-ley 20/2012, ya que contempla la extensión de los efectos de la supresión de la paga extraordinaria al personal docente de los centros de enseñanza concertados. Por tal motivo, en opinión del Fiscal General del Estado procedería la inadmisión a trámite de la cuestión de inconstitucionalidad planteada.</w:t>
      </w:r>
    </w:p>
    <w:p w:rsidR="00B85568" w:rsidRDefault="00B85568" w:rsidP="00B85568">
      <w:pPr>
        <w:pStyle w:val="TextoNormal"/>
      </w:pPr>
    </w:p>
    <w:p w:rsidR="00B85568" w:rsidRDefault="00B85568" w:rsidP="00B85568">
      <w:pPr>
        <w:pStyle w:val="TextoNormal"/>
      </w:pPr>
      <w:r>
        <w:t>No obstante lo anterior, en la medida en que la providencia de 18 de noviembre de 2014 también se solicita informe sobre si la cuestión fuera notoriamente infundada, el Fiscal procede a dictaminar también sobre dicho aspecto, para el caso de que se estimare debidamente formulado el juicio de relevancia. En la presente cuestión se aduce que la norma que suprime la cantidad devengada hasta la fecha de 15 de julio de 2012 de la paga extraordinaria a percibir en el mes de diciembre de ese año por el personal laboral del sector público (y extensible al personal docente de los centros concertados) es contraria a la garantía de la irretroactividad de las disposiciones restrictivas de derechos individuales proclamada en el art. 9.3 CE.</w:t>
      </w:r>
    </w:p>
    <w:p w:rsidR="00B85568" w:rsidRDefault="00B85568" w:rsidP="00B85568">
      <w:pPr>
        <w:pStyle w:val="TextoNormal"/>
      </w:pPr>
    </w:p>
    <w:p w:rsidR="00B85568" w:rsidRDefault="00B85568" w:rsidP="00B85568">
      <w:pPr>
        <w:pStyle w:val="TextoNormal"/>
      </w:pPr>
      <w:r>
        <w:t>El Fiscal General señala que, según la STC 234/2001, la retroactividad de las normas no está proscrita en nuestro ordenamiento jurídico, aunque puede tacharse de lesiva cuando la articulación de la retroactividad por el legislador vulnere alguno de los principios del art. 9.3 CE; y que, para determinar cuándo una ley vulnera la seguridad jurídica, debe atenderse caso por caso, por una parte, al grado de retroactividad de la norma y, por otra, a las circunstancias que concurran en cada supuesto.</w:t>
      </w:r>
    </w:p>
    <w:p w:rsidR="00B85568" w:rsidRDefault="00B85568" w:rsidP="00B85568">
      <w:pPr>
        <w:pStyle w:val="TextoNormal"/>
      </w:pPr>
    </w:p>
    <w:p w:rsidR="00B85568" w:rsidRDefault="00B85568" w:rsidP="00B85568">
      <w:pPr>
        <w:pStyle w:val="TextoNormal"/>
      </w:pPr>
      <w:r>
        <w:t>El Fiscal afirma coincidir íntegramente con el enfoque del órgano judicial promotor de la cuestión, cuyo Auto de planteamiento pone el acento en la naturaleza jurídica de los derechos retributivos de los trabajadores integrantes de la “esfera general de protección de la persona” que la jurisprudencia de este Tribunal Constitucional contempla como límite a la eficacia de la norma retroactiva. Señala a este respecto que los derechos retributivos están amparados en el ámbito del derecho al trabajo y a la remuneración suficiente que prevé el art. 35.1 CE.</w:t>
      </w:r>
    </w:p>
    <w:p w:rsidR="00B85568" w:rsidRDefault="00B85568" w:rsidP="00B85568">
      <w:pPr>
        <w:pStyle w:val="TextoNormal"/>
      </w:pPr>
    </w:p>
    <w:p w:rsidR="00B85568" w:rsidRDefault="00B85568" w:rsidP="00B85568">
      <w:pPr>
        <w:pStyle w:val="TextoNormal"/>
      </w:pPr>
      <w:r>
        <w:t xml:space="preserve">A continuación recuerda que, según la jurisprudencia del Tribunal Supremo, las pagas extraordinarias se devengan desde la fecha de inicio del cómputo de cada periodo semestral y que tal devengo se produce día por día, incorporando la cuantía correspondiente de cada jornada al patrimonio del trabajador, y ello con independencia de que su material percepción se realice en el último mes del periodo. Por ello, la privación de la cantidad correspondiente a un periodo devengado supone la restricción injustificada de un derecho individual prohibida por el art. 9.3 CE. En el mismo sentido se pronuncia la STEDH de 14 de mayo de 2013, caso núm. 66529/2011, </w:t>
      </w:r>
      <w:r w:rsidRPr="00B85568">
        <w:rPr>
          <w:i/>
        </w:rPr>
        <w:t>N.K.M. contra Hungría</w:t>
      </w:r>
      <w:r>
        <w:t>.</w:t>
      </w:r>
    </w:p>
    <w:p w:rsidR="00B85568" w:rsidRDefault="00B85568" w:rsidP="00B85568">
      <w:pPr>
        <w:pStyle w:val="TextoNormal"/>
      </w:pPr>
    </w:p>
    <w:p w:rsidR="00B85568" w:rsidRDefault="00B85568" w:rsidP="00B85568">
      <w:pPr>
        <w:pStyle w:val="TextoNormal"/>
      </w:pPr>
      <w:r>
        <w:t>Ciertamente el Tribunal Constitucional no rechaza, al igual que el Tribunal Europeo de Derechos Humanos, la posibilidad de una actuación extraordinaria por parte de los poderes públicos para que, en atención a la excepcionalidad de determinadas circunstancias, pueda dotarse de eficacia retroactiva máxima a una norma privativa de derechos. Pero en un Estado de Derecho merecedor de tal calificativo, tal hipótesis no puede nunca suponer un aval o autorización genérica para que con esa excusa el poder público pueda apartarse de la exigencia de una expresa previsión legal.</w:t>
      </w:r>
    </w:p>
    <w:p w:rsidR="00B85568" w:rsidRDefault="00B85568" w:rsidP="00B85568">
      <w:pPr>
        <w:pStyle w:val="TextoNormal"/>
      </w:pPr>
    </w:p>
    <w:p w:rsidR="00B85568" w:rsidRDefault="00B85568" w:rsidP="00B85568">
      <w:pPr>
        <w:pStyle w:val="TextoNormal"/>
      </w:pPr>
      <w:r>
        <w:t>El Fiscal General finaliza señalando que la declaración de inconstitucionalidad que realice este Tribunal se debería limitar al art. 2.2 del Real Decreto-ley 20/2012, que es el que resulta aplicable para resolver el pleito, y ceñirse al periodo comprendido entre el 1 y el 15 de julio de 2012.</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00B85568" w:rsidRDefault="00B85568" w:rsidP="00B85568">
      <w:pPr>
        <w:pStyle w:val="TextoNormal"/>
      </w:pPr>
    </w:p>
    <w:p w:rsidR="00B85568" w:rsidRDefault="00B85568" w:rsidP="00B85568">
      <w:pPr>
        <w:pStyle w:val="TextoNormal"/>
      </w:pPr>
      <w:r>
        <w:t>El órgano judicial considera que el Real Decreto-ley 20/2012 es una norma vulneradora del art. 9.3 CE en cuanto que priva al personal laboral de un derecho individual con carácter retroactivo, derecho reconocido en el art. 31 de la Ley del estatuto de los trabajadores.</w:t>
      </w:r>
    </w:p>
    <w:p w:rsidR="00B85568" w:rsidRDefault="00B85568" w:rsidP="00B85568">
      <w:pPr>
        <w:pStyle w:val="TextoNormal"/>
      </w:pPr>
    </w:p>
    <w:p w:rsidR="00B85568" w:rsidRDefault="00B85568" w:rsidP="00B85568">
      <w:pPr>
        <w:pStyle w:val="TextoNormal"/>
      </w:pPr>
      <w:r>
        <w:t>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no obstante lo cual, para el caso de que este Tribunal estimara lo contrario, considera que se debe declarar la inconstitucionalidad y nulidad del art. 2.2 del Real Decreto-ley 20/2012 en cuanto al periodo comprendido entre el 1 y el 15 de julio de 2012.</w:t>
      </w:r>
    </w:p>
    <w:p w:rsidR="00B85568" w:rsidRDefault="00B85568" w:rsidP="00B85568">
      <w:pPr>
        <w:pStyle w:val="TextoNormal"/>
      </w:pPr>
    </w:p>
    <w:p w:rsidR="00B85568" w:rsidRDefault="00B85568" w:rsidP="00B85568">
      <w:pPr>
        <w:pStyle w:val="TextoNormal"/>
      </w:pPr>
      <w:r w:rsidRPr="00B85568">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B85568" w:rsidRDefault="00B85568" w:rsidP="00B85568">
      <w:pPr>
        <w:pStyle w:val="TextoNormal"/>
      </w:pPr>
    </w:p>
    <w:p w:rsidR="00B85568" w:rsidRDefault="00B85568" w:rsidP="00B85568">
      <w:pPr>
        <w:pStyle w:val="TextoNormal"/>
      </w:pPr>
      <w:r w:rsidRPr="00B85568">
        <w:rPr>
          <w:rStyle w:val="NumeroAFNegritaCaracter"/>
        </w:rPr>
        <w:t>3</w:t>
      </w:r>
      <w:r>
        <w:t>. El Fiscal General del Estado denuncia el incumplimiento, en el Auto de planteamiento de la presente cuestión de inconstitucionalidad, de la realización del juicio de relevancia de la norma cuestionada.</w:t>
      </w:r>
    </w:p>
    <w:p w:rsidR="00B85568" w:rsidRDefault="00B85568" w:rsidP="00B85568">
      <w:pPr>
        <w:pStyle w:val="TextoNormal"/>
      </w:pPr>
    </w:p>
    <w:p w:rsidR="00B85568" w:rsidRDefault="00B85568" w:rsidP="00B85568">
      <w:pPr>
        <w:pStyle w:val="TextoNormal"/>
      </w:pPr>
      <w:r>
        <w:t>El art. 35.2 LOTC señala que el órgano judicial que promueve una cuestión de inconstitucionalidad “deberá … especificar o justificar en qué medida la decisión del proceso depende de la validez de la norma en cuestión”. La realización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00B85568" w:rsidRDefault="00B85568" w:rsidP="00B85568">
      <w:pPr>
        <w:pStyle w:val="TextoNormal"/>
      </w:pPr>
    </w:p>
    <w:p w:rsidR="00B85568" w:rsidRDefault="00B85568" w:rsidP="00B85568">
      <w:pPr>
        <w:pStyle w:val="TextoNormal"/>
      </w:pPr>
      <w: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w:t>
      </w:r>
      <w:r w:rsidRPr="00B85568">
        <w:rPr>
          <w:i/>
        </w:rPr>
        <w:t>a quo</w:t>
      </w:r>
      <w:r>
        <w:t>,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00B85568" w:rsidRDefault="00B85568" w:rsidP="00B85568">
      <w:pPr>
        <w:pStyle w:val="TextoNormal"/>
      </w:pPr>
    </w:p>
    <w:p w:rsidR="00B85568" w:rsidRDefault="00B85568" w:rsidP="00B85568">
      <w:pPr>
        <w:pStyle w:val="TextoNormal"/>
      </w:pPr>
      <w:r w:rsidRPr="00B85568">
        <w:rPr>
          <w:rStyle w:val="NumeroAFNegritaCaracter"/>
        </w:rPr>
        <w:t>4</w:t>
      </w:r>
      <w:r>
        <w:t>. En el presente caso el órgano judicial afirma que la decisión del litigio “depende, sólo y exclusivamente, de la validez de los arts. 2.1 y 2.2.2 del Real Decreto-ley 20/2012”. Para llegar a esa conclusión realiza el siguiente razonamiento: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w:t>
      </w:r>
    </w:p>
    <w:p w:rsidR="00B85568" w:rsidRDefault="00B85568" w:rsidP="00B85568">
      <w:pPr>
        <w:pStyle w:val="TextoNormal"/>
      </w:pPr>
    </w:p>
    <w:p w:rsidR="00B85568" w:rsidRDefault="00B85568" w:rsidP="00B85568">
      <w:pPr>
        <w:pStyle w:val="TextoNormal"/>
      </w:pPr>
      <w:r>
        <w:t xml:space="preserve">Pues bien, el juicio de aplicabilidad y relevancia que late en ese razonamiento es notoriamente inconsistente. La premisa de la que parte el órgano judicial se revela manifiestamente incorrecta, tal y como han señalado los propios demandantes en dos momentos procesales distintos, incluido en el trámite de audiencia previo al planteamiento de la cuestión de inconstitucionalidad. En lo que interesa para la resolución del proceso </w:t>
      </w:r>
      <w:r w:rsidRPr="00B85568">
        <w:rPr>
          <w:i/>
        </w:rPr>
        <w:t>a quo</w:t>
      </w:r>
      <w:r>
        <w:t>,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w:t>
      </w:r>
    </w:p>
    <w:p w:rsidR="00B85568" w:rsidRDefault="00B85568" w:rsidP="00B85568">
      <w:pPr>
        <w:pStyle w:val="TextoNormal"/>
      </w:pPr>
    </w:p>
    <w:p w:rsidR="00B85568" w:rsidRDefault="00B85568" w:rsidP="00B85568">
      <w:pPr>
        <w:pStyle w:val="TextoNormal"/>
      </w:pPr>
      <w:r>
        <w:t xml:space="preserve">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y cuya validez discuten los propios demandantes. Aunque este Tribunal declarase la inconstitucionalidad y nulidad del art. 2 del Real Decreto-ley 20/2012, dado que la declaración de inconstitucionalidad y nulidad de una norma estatal no acarrea </w:t>
      </w:r>
      <w:r w:rsidRPr="00B85568">
        <w:rPr>
          <w:i/>
        </w:rPr>
        <w:t>per se</w:t>
      </w:r>
      <w:r>
        <w:t xml:space="preserv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w:t>
      </w:r>
    </w:p>
    <w:p w:rsidR="00B85568" w:rsidRDefault="00B85568" w:rsidP="00B85568">
      <w:pPr>
        <w:pStyle w:val="TextoNormal"/>
      </w:pPr>
    </w:p>
    <w:p w:rsidR="00B85568" w:rsidRDefault="00B85568" w:rsidP="00B85568">
      <w:pPr>
        <w:pStyle w:val="TextoNormal"/>
      </w:pPr>
      <w:r>
        <w:t xml:space="preserve">En suma, el sentido del fallo en el proceso </w:t>
      </w:r>
      <w:r w:rsidRPr="00B85568">
        <w:rPr>
          <w:i/>
        </w:rPr>
        <w:t>a quo</w:t>
      </w:r>
      <w:r>
        <w:t xml:space="preserve"> no depende de la validez de la norma legal cuestionada, pues la pretensión de los demandantes consiste en la reclamación de la paga extraordinaria de diciembre que el Decreto-ley 6/2012 del Consell de la Generalitat suprimió al profesorado de la enseñanza concertada o, subsidiariamente, de la parte proporcional ya devengada cuando entró en vigor el Decreto-ley valenciano (y no el Real Decreto-ley 20/2012).</w:t>
      </w:r>
    </w:p>
    <w:p w:rsidR="00B85568" w:rsidRDefault="00B85568" w:rsidP="00B85568">
      <w:pPr>
        <w:pStyle w:val="TextoNormal"/>
      </w:pPr>
    </w:p>
    <w:p w:rsidR="00B85568" w:rsidRDefault="00B85568" w:rsidP="00B85568">
      <w:pPr>
        <w:pStyle w:val="TextoNormal"/>
      </w:pPr>
      <w:r>
        <w:t>Por todo ello, a la luz de la doctrina constitucional expuesta, hemos de concluir que, en este caso, no se ha satisfecho el juicio de relevancia exigido por el art. 35 LOTC, circunstancia que, por sí sola y sin necesidad de entrar en el fondo, determina la inadmisión a trámite de la presente cuestión de inconstitucionalidad, en aplicación de lo dispuesto en el art. 37.1 LOTC.</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la presente cuestión de inconstitucionalidad.</w:t>
      </w:r>
    </w:p>
    <w:p w:rsidR="00B85568" w:rsidRDefault="00B85568" w:rsidP="00B85568">
      <w:pPr>
        <w:pStyle w:val="TextoNormal"/>
      </w:pPr>
    </w:p>
    <w:p w:rsidR="00B85568" w:rsidRDefault="00B85568" w:rsidP="00B85568">
      <w:pPr>
        <w:pStyle w:val="TextoNormal"/>
      </w:pPr>
      <w:r>
        <w:t>Madrid, a veinte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0" w:name="AUTO_2015_10"/>
      <w:r>
        <w:t>AUTO 10/2015, de 20 de enero de 2015</w:t>
      </w:r>
    </w:p>
    <w:bookmarkEnd w:id="160"/>
    <w:p w:rsidR="00B85568" w:rsidRDefault="00B85568" w:rsidP="00B85568">
      <w:pPr>
        <w:pStyle w:val="TtuloResolucin"/>
      </w:pPr>
      <w:r>
        <w:t>Pleno</w:t>
      </w:r>
    </w:p>
    <w:p w:rsidR="00B85568" w:rsidRDefault="00B85568" w:rsidP="00B85568">
      <w:pPr>
        <w:pStyle w:val="TextoNormalCentrado"/>
      </w:pPr>
      <w:r>
        <w:t>ECLI:ES:TC:2015:10A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6422-2014, planteada por el Juzgado de lo Social núm. 3 de Alicante en relación con diversos preceptos del Real Decreto-ley 20/2012, de 13 de julio, de medidas para garantizar la estabilidad presupuestaria y de fomento de la competitividad.</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Constitucional el día 28 de octubre de 2014, al que acompaña testimonio del correspondiente Auto de 16 de octubre de 2014,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cuestión son, sucintamente expuestos, los siguientes:</w:t>
      </w:r>
    </w:p>
    <w:p w:rsidR="00B85568" w:rsidRDefault="00B85568" w:rsidP="00B85568">
      <w:pPr>
        <w:pStyle w:val="TextoNormal"/>
      </w:pPr>
    </w:p>
    <w:p w:rsidR="00B85568" w:rsidRDefault="00B85568" w:rsidP="00B85568">
      <w:pPr>
        <w:pStyle w:val="TextoNormal"/>
      </w:pPr>
      <w:r>
        <w:t>a) En fecha 26 de febrero de 2014 tuvo entrada en el Decanato de los Juzgados de Alicante la demanda interpuesta por el sindicato Unión Sindical Obrera, en representación de trece de sus afiliados, trabajadores de un centro concertado de enseñanza, solicitando que la Generalitat de Valencia fuera condenada a abonar a dichos trabajadores la paga extraordinaria correspondiente a diciembre de 2012 o, con carácter subsidiario, la parte de dicha paga devengada antes de la entrada en vigor del Decreto-ley 6/2012, de 28 de septiembre, del Consell —que, en su disposición adicional segunda.1, extiende la supresión de la paga extraordinaria de 2012 a los profesores de centros concertados “en los mismos términos que a los profesores de centros docentes públicos”—.</w:t>
      </w:r>
    </w:p>
    <w:p w:rsidR="00B85568" w:rsidRDefault="00B85568" w:rsidP="00B85568">
      <w:pPr>
        <w:pStyle w:val="TextoNormal"/>
      </w:pPr>
    </w:p>
    <w:p w:rsidR="00B85568" w:rsidRDefault="00B85568" w:rsidP="00B85568">
      <w:pPr>
        <w:pStyle w:val="TextoNormal"/>
      </w:pPr>
      <w:r>
        <w:t>b) Mediante decreto de 3 de julio de 2014, dictado por el Secretario del Juzgado de lo Social núm. 3 de Alicante, la demanda fue admitida a trámite, convocándose a las partes para el acto de juicio el día 8 de septiembre de 2014.</w:t>
      </w:r>
    </w:p>
    <w:p w:rsidR="00B85568" w:rsidRDefault="00B85568" w:rsidP="00B85568">
      <w:pPr>
        <w:pStyle w:val="TextoNormal"/>
      </w:pPr>
    </w:p>
    <w:p w:rsidR="00B85568" w:rsidRDefault="00B85568" w:rsidP="00B85568">
      <w:pPr>
        <w:pStyle w:val="TextoNormal"/>
      </w:pPr>
      <w:r>
        <w:t>c) En fecha 22 de julio de 2014, la Abogada de la Generalitat interesó la suspensión de la vista convocada alegando la pendencia ante el Tribunal Constitucional de varias cuestiones de inconstitucionalidad planteadas en relación con el artículo 2 del Real Decreto-ley 20/2012. De la solicitud realizada se dio traslado al sindicato demandante, que se opuso a ella mediante escrito con fecha de entrada de 6 de agosto de 2014. La petición formulada fue, finalmente, rechazada mediante providencia de 3 de septiembre de 2014, manteniéndose el señalamiento realizado.</w:t>
      </w:r>
    </w:p>
    <w:p w:rsidR="00B85568" w:rsidRDefault="00B85568" w:rsidP="00B85568">
      <w:pPr>
        <w:pStyle w:val="TextoNormal"/>
      </w:pPr>
    </w:p>
    <w:p w:rsidR="00B85568" w:rsidRDefault="00B85568" w:rsidP="00B85568">
      <w:pPr>
        <w:pStyle w:val="TextoNormal"/>
      </w:pPr>
      <w:r>
        <w:t>d) Una vez que el pleito quedó concluso para sentencia, mediante providencia de 17 de septiembre de 2014, el órgano judicial acordó oír a las partes y al Ministerio Fiscal para que alegaran sobre la pertinencia de plantear la cuestión de inconstitucionalidad en relación con los artículos 2.1 y 2.2.2 del Real Decreto-ley 20/2012. Según señalaba la providencia, la duda de constitucionalidad se concretaba en la supresión al personal laboral del sector público de la paga extraordinaria del mes de diciembre de 2012. A juicio del órgano judicial, siendo la paga extraordinaria una manifestación de salario diferido que se devenga día a día, se habría aplicado retroactivamente la supresión a los días devengados antes del 15 de julio de 2012 —fecha de entrada en vigor de la norma—. Esto sería contrario al principio de irretroactividad de las disposiciones restrictivas de derechos individuales (art. 9.3 CE).</w:t>
      </w:r>
    </w:p>
    <w:p w:rsidR="00B85568" w:rsidRDefault="00B85568" w:rsidP="00B85568">
      <w:pPr>
        <w:pStyle w:val="TextoNormal"/>
      </w:pPr>
    </w:p>
    <w:p w:rsidR="00B85568" w:rsidRDefault="00B85568" w:rsidP="00B85568">
      <w:pPr>
        <w:pStyle w:val="TextoNormal"/>
      </w:pPr>
      <w:r>
        <w:t>e) En fecha 1 de octubre de 2014 se registró en el Juzgado el escrito de la demandante, en el que se oponía al planteamiento de la cuestión de inconstitucionalidad entendiendo que cabía una interpretación conforme a la Constitución que permitía resolver el caso concreto sin acudir a la cuestión de inconstitucionalidad. Esa interpretación consistía en entender que el Real Decreto-ley 20/2012 no era de aplicación, ya que éste se refiere al personal funcionario y laboral de la Administración, pero no a los profesores de la enseñanza concertada.</w:t>
      </w:r>
    </w:p>
    <w:p w:rsidR="00B85568" w:rsidRDefault="00B85568" w:rsidP="00B85568">
      <w:pPr>
        <w:pStyle w:val="TextoNormal"/>
      </w:pPr>
    </w:p>
    <w:p w:rsidR="00B85568" w:rsidRDefault="00B85568" w:rsidP="00B85568">
      <w:pPr>
        <w:pStyle w:val="TextoNormal"/>
      </w:pPr>
      <w:r>
        <w:t>f) En escrito de fecha 6 de octubre de 2014 el Ministerio Fiscal alegó que, sin realizar pronunciamiento alguno sobre el fondo de la cuestión planteada, el juicio de relevancia y aplicabilidad realizado por el órgano judicial era correcto y que, por tanto, resultaba ineludible el planteamiento de la cuestión.</w:t>
      </w:r>
    </w:p>
    <w:p w:rsidR="00B85568" w:rsidRDefault="00B85568" w:rsidP="00B85568">
      <w:pPr>
        <w:pStyle w:val="TextoNormal"/>
      </w:pPr>
    </w:p>
    <w:p w:rsidR="00B85568" w:rsidRDefault="00B85568" w:rsidP="00B85568">
      <w:pPr>
        <w:pStyle w:val="TextoNormal"/>
      </w:pPr>
      <w:r>
        <w:t>g) Mediante escrito de fecha 7 de octubre de 2014, la Abogada de la Generalitat se opuso al planteamiento de la cuestión al entender que los preceptos cuestionados no se oponían al art. 9.3 CE, ya que la remuneración extraordinaria no es un derecho amparable en la interdicción de la retroactividad que dicha norma establece.</w:t>
      </w:r>
    </w:p>
    <w:p w:rsidR="00B85568" w:rsidRDefault="00B85568" w:rsidP="00B85568">
      <w:pPr>
        <w:pStyle w:val="TextoNormal"/>
      </w:pPr>
    </w:p>
    <w:p w:rsidR="00B85568" w:rsidRDefault="00B85568" w:rsidP="00B85568">
      <w:pPr>
        <w:pStyle w:val="TextoNormal"/>
      </w:pPr>
      <w:r>
        <w:t>h) Mediante Auto de 16 de octubre de 2014, el Juzgado de lo Social núm. 3 de Alicante resolvió plantear la cuestión de inconstitucionalidad a efectos de determinar si la decisión de supresión de la paga extraordinaria correspondiente a diciembre de 2012 para el personal laboral del sector público contenida en los artículos 2.1 y 2.2.2 del Real Decreto-ley 20/2012 vulnera lo previsto en el art. 9.3 CE respecto a la interdicción de la retroactividad de normas restrictivas de derechos individuales en relación con el principio de seguridad jurídica contenido en el mismo precepto constitucional.</w:t>
      </w:r>
    </w:p>
    <w:p w:rsidR="00B85568" w:rsidRDefault="00B85568" w:rsidP="00B85568">
      <w:pPr>
        <w:pStyle w:val="TextoNormal"/>
      </w:pPr>
    </w:p>
    <w:p w:rsidR="00B85568" w:rsidRDefault="00B85568" w:rsidP="00B85568">
      <w:pPr>
        <w:pStyle w:val="TextoNormal"/>
      </w:pPr>
      <w:r w:rsidRPr="00B85568">
        <w:rPr>
          <w:rStyle w:val="NumeroAFNegritaCaracter"/>
        </w:rPr>
        <w:t>3</w:t>
      </w:r>
      <w:r>
        <w:t>. Tras exponer los hechos que han dado lugar al planteamiento de la cuestión, el Auto de planteamiento comienza subrayando que la parte actora reclama, de forma principal, el importe íntegro de la paga extra de Navidad del año 2012 y, de forma subsidiaria, el abono del período devengado de la paga extraordinaria hasta la entrada en vigor del Decreto-ley 6/2012 o, al menos la parte proporcional de la paga en cuestión; señala, de otro lado, la resolución que la parte actora basa sus pretensiones en la “ilegalidad” (</w:t>
      </w:r>
      <w:r w:rsidRPr="00B85568">
        <w:rPr>
          <w:i/>
        </w:rPr>
        <w:t>sic</w:t>
      </w:r>
      <w:r>
        <w:t>) del Decreto-ley 6/2012 del Consell, cuestionando que se pueda aplicar retroactivamente.</w:t>
      </w:r>
    </w:p>
    <w:p w:rsidR="00B85568" w:rsidRDefault="00B85568" w:rsidP="00B85568">
      <w:pPr>
        <w:pStyle w:val="TextoNormal"/>
      </w:pPr>
    </w:p>
    <w:p w:rsidR="00B85568" w:rsidRDefault="00B85568" w:rsidP="00B85568">
      <w:pPr>
        <w:pStyle w:val="TextoNormal"/>
      </w:pPr>
      <w:r>
        <w:t>A continuación el Auto afirma lo siguiente: “La decisión del presente litigio, en el cual no existe discusión sobre aspectos fácticos, depende, por tanto, sólo y exclusivamente, de la validez de los arts. 2.1 y 2.2.2 del Real Decreto-ley 20/2012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 los cuales —por los motivos que expondré a continuación— suprimen de forma íntegra la paga extra de Navidad del año 2012 del personal laboral”.</w:t>
      </w:r>
    </w:p>
    <w:p w:rsidR="00B85568" w:rsidRDefault="00B85568" w:rsidP="00B85568">
      <w:pPr>
        <w:pStyle w:val="TextoNormal"/>
      </w:pPr>
    </w:p>
    <w:p w:rsidR="00B85568" w:rsidRDefault="00B85568" w:rsidP="00B85568">
      <w:pPr>
        <w:pStyle w:val="TextoNormal"/>
      </w:pPr>
      <w:r>
        <w:t>A juicio del órgano judicial, la mencionada supresión podría vulnerar el art. 9.3 CE al privar al personal laboral de un derecho individual con carácter retroactivo, en cuanto que el art. 31 del Estatuto de los trabajadores establece el derecho a una gratificación extraordinaria con motivo de las fiestas de Navidad, habiendo declarado de forma reiterada el Tribunal Supremo que esa gratificación constituye una manifestación del salario diferido y se devenga día a día. Por ello, estima el órgano judicial que no es posible acudir a la vía interpretativa para salvar la posible inconstitucionalidad de las normas que cuestiona, en la medida en que no introducen excepción alguna respecto de las cuantías ya devengadas al momento de su entrada en vigor.</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18 de noviembre de 2014, la Sección Cuarta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escrito registrado el día 12 de diciembre de 2014 el Fiscal General del Estado presentó sus alegaciones acerca de la cuestión de inconstitucionalidad.</w:t>
      </w:r>
    </w:p>
    <w:p w:rsidR="00B85568" w:rsidRDefault="00B85568" w:rsidP="00B85568">
      <w:pPr>
        <w:pStyle w:val="TextoNormal"/>
      </w:pPr>
    </w:p>
    <w:p w:rsidR="00B85568" w:rsidRDefault="00B85568" w:rsidP="00B85568">
      <w:pPr>
        <w:pStyle w:val="TextoNormal"/>
      </w:pPr>
      <w:r>
        <w:t>El Fiscal General del Estado comienza refiriéndose a la corrección del planteamiento de la cuestión de inconstitucionalidad, en lo que se refiere a la formulación de los denominados juicios de aplicabilidad y de relevancia de las normas cuestionadas. Pone de manifiesto que el órgano judicial no solo se refiere al contenido de los artículos por los que promueve la cuestión de inconstitucionalidad (arts. 2.1 y 2.2.2 del Real Decreto-ley 20/2012, de 13 de julio, de medidas para garantizar la estabilidad presupuestaria y de fomento de la competitividad), sino que incluye en su argumentación el dato sustancial de que la supresión de la paga extraordinaria para el colectivo de que se trata (profesorado de centros docentes concertados) deriva de la disposición adicional segunda del Decreto-ley 6/2012, de 28 de septiembre, del Consell. Sin embargo, la constitucionalidad de dicho precepto autonómico no se llega a discutir en el Auto de planteamiento de la cuestión, de manera que se omite toda referencia a la inexcusable aplicabilidad del mismo. En consecuencia, se formula incorrectamente el juicio de relevancia, en tanto que el fallo no dependerá directamente de la validez de la norma cuestionada (la norma estatal) sino de la norma autonómica, que no se limita a dictar disposiciones de desarrollo del Real Decreto-ley 20/2012, ya que contempla la extensión de los efectos de la supresión de la paga extraordinaria al personal docente de los centros de enseñanza concertados. Por tal motivo, en opinión del Fiscal General del Estado procedería la inadmisión a trámite de la cuestión de inconstitucionalidad planteada.</w:t>
      </w:r>
    </w:p>
    <w:p w:rsidR="00B85568" w:rsidRDefault="00B85568" w:rsidP="00B85568">
      <w:pPr>
        <w:pStyle w:val="TextoNormal"/>
      </w:pPr>
    </w:p>
    <w:p w:rsidR="00B85568" w:rsidRDefault="00B85568" w:rsidP="00B85568">
      <w:pPr>
        <w:pStyle w:val="TextoNormal"/>
      </w:pPr>
      <w:r>
        <w:t>No obstante lo anterior, en la medida en que la providencia de 18 de noviembre de 2014 también se solicita informe sobre si la cuestión fuera notoriamente infundada, el Fiscal procede a dictaminar también sobre dicho aspecto, para el caso de que se estimare debidamente formulado el juicio de relevancia. En la presente cuestión se aduce que la norma que suprime la cantidad devengada hasta la fecha de 15 de julio de 2012 de la paga extraordinaria a percibir en el mes de diciembre de ese año por el personal laboral del sector público (y extensible al personal docente de los centros concertados) es contraria a la garantía de la irretroactividad de las disposiciones restrictivas de derechos individuales proclamada en el art. 9.3 CE.</w:t>
      </w:r>
    </w:p>
    <w:p w:rsidR="00B85568" w:rsidRDefault="00B85568" w:rsidP="00B85568">
      <w:pPr>
        <w:pStyle w:val="TextoNormal"/>
      </w:pPr>
    </w:p>
    <w:p w:rsidR="00B85568" w:rsidRDefault="00B85568" w:rsidP="00B85568">
      <w:pPr>
        <w:pStyle w:val="TextoNormal"/>
      </w:pPr>
      <w:r>
        <w:t>El Fiscal General señala que, según la STC 234/2001, la retroactividad de las normas no está proscrita en nuestro ordenamiento jurídico, aunque puede tacharse de lesiva cuando la articulación de la retroactividad por el legislador vulnere alguno de los principios del art. 9.3 CE; y que, para determinar cuándo una ley vulnera la seguridad jurídica, debe atenderse caso por caso, por una parte, al grado de retroactividad de la norma y, por otra, a las circunstancias que concurran en cada supuesto.</w:t>
      </w:r>
    </w:p>
    <w:p w:rsidR="00B85568" w:rsidRDefault="00B85568" w:rsidP="00B85568">
      <w:pPr>
        <w:pStyle w:val="TextoNormal"/>
      </w:pPr>
    </w:p>
    <w:p w:rsidR="00B85568" w:rsidRDefault="00B85568" w:rsidP="00B85568">
      <w:pPr>
        <w:pStyle w:val="TextoNormal"/>
      </w:pPr>
      <w:r>
        <w:t>El Fiscal afirma coincidir íntegramente con el enfoque del órgano judicial promotor de la cuestión, cuyo Auto de planteamiento pone el acento en la naturaleza jurídica de los derechos retributivos de los trabajadores integrantes de la “esfera general de protección de la persona” que la jurisprudencia de este Tribunal Constitucional contempla como límite a la eficacia de la norma retroactiva. Señala a este respecto que los derechos retributivos están amparados en el ámbito del derecho al trabajo y a la remuneración suficiente que prevé el art. 35.1 CE.</w:t>
      </w:r>
    </w:p>
    <w:p w:rsidR="00B85568" w:rsidRDefault="00B85568" w:rsidP="00B85568">
      <w:pPr>
        <w:pStyle w:val="TextoNormal"/>
      </w:pPr>
    </w:p>
    <w:p w:rsidR="00B85568" w:rsidRDefault="00B85568" w:rsidP="00B85568">
      <w:pPr>
        <w:pStyle w:val="TextoNormal"/>
      </w:pPr>
      <w:r>
        <w:t xml:space="preserve">A continuación recuerda que, según la jurisprudencia del Tribunal Supremo, las pagas extraordinarias se devengan desde la fecha de inicio del cómputo de cada periodo semestral y que tal devengo se produce día por día, incorporando la cuantía correspondiente de cada jornada al patrimonio del trabajador, y ello con independencia de que su material percepción se realice en el último mes del periodo. Por ello, la privación de la cantidad correspondiente a un periodo devengado supone la restricción injustificada de un derecho individual prohibida por el art. 9.3 CE. En el mismo sentido se pronuncia la STEDH de 14 de mayo de 2013, caso núm. 66529/2011, </w:t>
      </w:r>
      <w:r w:rsidRPr="00B85568">
        <w:rPr>
          <w:i/>
        </w:rPr>
        <w:t>N.K.M. contra Hungría</w:t>
      </w:r>
      <w:r>
        <w:t>.</w:t>
      </w:r>
    </w:p>
    <w:p w:rsidR="00B85568" w:rsidRDefault="00B85568" w:rsidP="00B85568">
      <w:pPr>
        <w:pStyle w:val="TextoNormal"/>
      </w:pPr>
    </w:p>
    <w:p w:rsidR="00B85568" w:rsidRDefault="00B85568" w:rsidP="00B85568">
      <w:pPr>
        <w:pStyle w:val="TextoNormal"/>
      </w:pPr>
      <w:r>
        <w:t>Ciertamente el Tribunal Constitucional no rechaza, al igual que el Tribunal Europeo de Derechos Humanos, la posibilidad de una actuación extraordinaria por parte de los poderes públicos para que, en atención a la excepcionalidad de determinadas circunstancias, pueda dotarse de eficacia retroactiva máxima a una norma privativa de derechos. Pero en un Estado de Derecho merecedor de tal calificativo, tal hipótesis no puede nunca suponer un aval o autorización genérica para que con esa excusa el poder público pueda apartarse de la exigencia de una expresa previsión legal.</w:t>
      </w:r>
    </w:p>
    <w:p w:rsidR="00B85568" w:rsidRDefault="00B85568" w:rsidP="00B85568">
      <w:pPr>
        <w:pStyle w:val="TextoNormal"/>
      </w:pPr>
    </w:p>
    <w:p w:rsidR="00B85568" w:rsidRDefault="00B85568" w:rsidP="00B85568">
      <w:pPr>
        <w:pStyle w:val="TextoNormal"/>
      </w:pPr>
      <w:r>
        <w:t>El Fiscal General finaliza señalando que la declaración de inconstitucionalidad que realice este Tribunal se debería limitar al art. 2.2 del Real Decreto-ley 20/2012, que es el que resulta aplicable para resolver el pleito, y ceñirse al periodo comprendido entre el 1 y el 15 de julio de 2012.</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00B85568" w:rsidRDefault="00B85568" w:rsidP="00B85568">
      <w:pPr>
        <w:pStyle w:val="TextoNormal"/>
      </w:pPr>
    </w:p>
    <w:p w:rsidR="00B85568" w:rsidRDefault="00B85568" w:rsidP="00B85568">
      <w:pPr>
        <w:pStyle w:val="TextoNormal"/>
      </w:pPr>
      <w:r>
        <w:t>El órgano judicial considera que el Real Decreto-ley 20/2012 es una norma vulneradora del art. 9.3 CE en cuanto que priva al personal laboral de un derecho individual con carácter retroactivo, derecho reconocido en el art. 31 de la Ley del estatuto de los trabajadores.</w:t>
      </w:r>
    </w:p>
    <w:p w:rsidR="00B85568" w:rsidRDefault="00B85568" w:rsidP="00B85568">
      <w:pPr>
        <w:pStyle w:val="TextoNormal"/>
      </w:pPr>
    </w:p>
    <w:p w:rsidR="00B85568" w:rsidRDefault="00B85568" w:rsidP="00B85568">
      <w:pPr>
        <w:pStyle w:val="TextoNormal"/>
      </w:pPr>
      <w:r>
        <w:t>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no obstante lo cual, para el caso de que este Tribunal estimara lo contrario, considera que se debe declarar la inconstitucionalidad y nulidad del art. 2.2 del Real Decreto-ley 20/2012 en cuanto al periodo comprendido entre el 1 y el 15 de julio de 2012.</w:t>
      </w:r>
    </w:p>
    <w:p w:rsidR="00B85568" w:rsidRDefault="00B85568" w:rsidP="00B85568">
      <w:pPr>
        <w:pStyle w:val="TextoNormal"/>
      </w:pPr>
    </w:p>
    <w:p w:rsidR="00B85568" w:rsidRDefault="00B85568" w:rsidP="00B85568">
      <w:pPr>
        <w:pStyle w:val="TextoNormal"/>
      </w:pPr>
      <w:r w:rsidRPr="00B85568">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B85568" w:rsidRDefault="00B85568" w:rsidP="00B85568">
      <w:pPr>
        <w:pStyle w:val="TextoNormal"/>
      </w:pPr>
    </w:p>
    <w:p w:rsidR="00B85568" w:rsidRDefault="00B85568" w:rsidP="00B85568">
      <w:pPr>
        <w:pStyle w:val="TextoNormal"/>
      </w:pPr>
      <w:r w:rsidRPr="00B85568">
        <w:rPr>
          <w:rStyle w:val="NumeroAFNegritaCaracter"/>
        </w:rPr>
        <w:t>3</w:t>
      </w:r>
      <w:r>
        <w:t>. El Fiscal General del Estado denuncia el incumplimiento, en el Auto de planteamiento de la presente cuestión de inconstitucionalidad, de la realización del juicio de relevancia de la norma cuestionada.</w:t>
      </w:r>
    </w:p>
    <w:p w:rsidR="00B85568" w:rsidRDefault="00B85568" w:rsidP="00B85568">
      <w:pPr>
        <w:pStyle w:val="TextoNormal"/>
      </w:pPr>
    </w:p>
    <w:p w:rsidR="00B85568" w:rsidRDefault="00B85568" w:rsidP="00B85568">
      <w:pPr>
        <w:pStyle w:val="TextoNormal"/>
      </w:pPr>
      <w:r>
        <w:t>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00B85568" w:rsidRDefault="00B85568" w:rsidP="00B85568">
      <w:pPr>
        <w:pStyle w:val="TextoNormal"/>
      </w:pPr>
    </w:p>
    <w:p w:rsidR="00B85568" w:rsidRDefault="00B85568" w:rsidP="00B85568">
      <w:pPr>
        <w:pStyle w:val="TextoNormal"/>
      </w:pPr>
      <w: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w:t>
      </w:r>
      <w:r w:rsidRPr="00B85568">
        <w:rPr>
          <w:i/>
        </w:rPr>
        <w:t>a quo</w:t>
      </w:r>
      <w:r>
        <w:t>,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00B85568" w:rsidRDefault="00B85568" w:rsidP="00B85568">
      <w:pPr>
        <w:pStyle w:val="TextoNormal"/>
      </w:pPr>
    </w:p>
    <w:p w:rsidR="00B85568" w:rsidRDefault="00B85568" w:rsidP="00B85568">
      <w:pPr>
        <w:pStyle w:val="TextoNormal"/>
      </w:pPr>
      <w:r w:rsidRPr="00B85568">
        <w:rPr>
          <w:rStyle w:val="NumeroAFNegritaCaracter"/>
        </w:rPr>
        <w:t>4</w:t>
      </w:r>
      <w:r>
        <w:t>. En el presente caso el órgano judicial afirma que la decisión del litigio “depende, sólo y exclusivamente, de la validez de los arts. 2.1 y 2.2.2 del Real Decreto-ley 20/2012”. Para llegar a esa conclusión realiza el siguiente razonamiento: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w:t>
      </w:r>
    </w:p>
    <w:p w:rsidR="00B85568" w:rsidRDefault="00B85568" w:rsidP="00B85568">
      <w:pPr>
        <w:pStyle w:val="TextoNormal"/>
      </w:pPr>
    </w:p>
    <w:p w:rsidR="00B85568" w:rsidRDefault="00B85568" w:rsidP="00B85568">
      <w:pPr>
        <w:pStyle w:val="TextoNormal"/>
      </w:pPr>
      <w:r>
        <w:t xml:space="preserve">Pues bien, el juicio de aplicabilidad y relevancia que late en ese razonamiento es notoriamente inconsistente. La premisa de la que parte el órgano judicial se revela manifiestamente incorrecta, tal y como ha señalado el propio sindicato demandante en el trámite de audiencia previo al planteamiento de la cuestión de inconstitucionalidad. En lo que interesa para la resolución del proceso </w:t>
      </w:r>
      <w:r w:rsidRPr="00B85568">
        <w:rPr>
          <w:i/>
        </w:rPr>
        <w:t>a quo</w:t>
      </w:r>
      <w:r>
        <w:t>,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w:t>
      </w:r>
    </w:p>
    <w:p w:rsidR="00B85568" w:rsidRDefault="00B85568" w:rsidP="00B85568">
      <w:pPr>
        <w:pStyle w:val="TextoNormal"/>
      </w:pPr>
    </w:p>
    <w:p w:rsidR="00B85568" w:rsidRDefault="00B85568" w:rsidP="00B85568">
      <w:pPr>
        <w:pStyle w:val="TextoNormal"/>
      </w:pPr>
      <w:r>
        <w:t xml:space="preserve">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Aunque este Tribunal declarase la inconstitucionalidad y nulidad del art. 2 del Real Decreto-ley 20/2012, dado que la declaración de inconstitucionalidad y nulidad de una norma estatal no acarrea </w:t>
      </w:r>
      <w:r w:rsidRPr="00B85568">
        <w:rPr>
          <w:i/>
        </w:rPr>
        <w:t>per se</w:t>
      </w:r>
      <w:r>
        <w:t xml:space="preserv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w:t>
      </w:r>
    </w:p>
    <w:p w:rsidR="00B85568" w:rsidRDefault="00B85568" w:rsidP="00B85568">
      <w:pPr>
        <w:pStyle w:val="TextoNormal"/>
      </w:pPr>
    </w:p>
    <w:p w:rsidR="00B85568" w:rsidRDefault="00B85568" w:rsidP="00B85568">
      <w:pPr>
        <w:pStyle w:val="TextoNormal"/>
      </w:pPr>
      <w:r>
        <w:t xml:space="preserve">En suma, el sentido del fallo en el proceso </w:t>
      </w:r>
      <w:r w:rsidRPr="00B85568">
        <w:rPr>
          <w:i/>
        </w:rPr>
        <w:t>a quo</w:t>
      </w:r>
      <w:r>
        <w:t xml:space="preserve"> no depende de la validez de la norma legal cuestionada, pues la pretensión de los demandantes consiste en la reclamación de la paga extraordinaria de diciembre que el Decreto-ley 6/2012 del Consell de la Generalitat suprimió en relación con el profesorado de la enseñanza concertada o, subsidiariamente, de la parte proporcional ya devengada cuando entró en vigor el Decreto-ley valenciano (y no el Real Decreto-ley 20/2012).</w:t>
      </w:r>
    </w:p>
    <w:p w:rsidR="00B85568" w:rsidRDefault="00B85568" w:rsidP="00B85568">
      <w:pPr>
        <w:pStyle w:val="TextoNormal"/>
      </w:pPr>
    </w:p>
    <w:p w:rsidR="00B85568" w:rsidRDefault="00B85568" w:rsidP="00B85568">
      <w:pPr>
        <w:pStyle w:val="TextoNormal"/>
      </w:pPr>
      <w:r>
        <w:t>Por todo ello, a la luz de la doctrina constitucional expuesta, hemos de concluir que, en este caso, no se ha satisfecho el juicio de relevancia exigido por el art. 35 LOTC, circunstancia que, por sí sola y sin necesidad de entrar en el fondo, determina la inadmisión a trámite de la presente cuestión de inconstitucionalidad, en aplicación de lo dispuesto en el art. 37.1 LOTC.</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la cuestión de inconstitucionalidad núm. 6422-2014 planteada por el Juzgado de lo Social núm. 3 de Alicante.</w:t>
      </w:r>
    </w:p>
    <w:p w:rsidR="00B85568" w:rsidRDefault="00B85568" w:rsidP="00B85568">
      <w:pPr>
        <w:pStyle w:val="TextoNormal"/>
      </w:pPr>
    </w:p>
    <w:p w:rsidR="00B85568" w:rsidRDefault="00B85568" w:rsidP="00B85568">
      <w:pPr>
        <w:pStyle w:val="TextoNormal"/>
      </w:pPr>
      <w:r>
        <w:t>Madrid, a veinte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1" w:name="AUTO_2015_11"/>
      <w:r>
        <w:t>AUTO 11/2015, de 21 de enero de 2015</w:t>
      </w:r>
    </w:p>
    <w:bookmarkEnd w:id="161"/>
    <w:p w:rsidR="00B85568" w:rsidRDefault="00B85568" w:rsidP="00B85568">
      <w:pPr>
        <w:pStyle w:val="TtuloResolucin"/>
      </w:pPr>
      <w:r>
        <w:t>Sección Primera</w:t>
      </w:r>
    </w:p>
    <w:p w:rsidR="00B85568" w:rsidRDefault="00B85568" w:rsidP="00B85568">
      <w:pPr>
        <w:pStyle w:val="TextoNormalCentrado"/>
      </w:pPr>
      <w:r>
        <w:t>ECLI:ES:TC:2015:11A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62" w:name="AUTO_2015_12"/>
      <w:r>
        <w:t>AUTO 12/2015, de 23 de enero de 2015</w:t>
      </w:r>
    </w:p>
    <w:bookmarkEnd w:id="162"/>
    <w:p w:rsidR="00B85568" w:rsidRDefault="00B85568" w:rsidP="00B85568">
      <w:pPr>
        <w:pStyle w:val="TtuloResolucin"/>
      </w:pPr>
      <w:r>
        <w:t>Sección Cuarta</w:t>
      </w:r>
    </w:p>
    <w:p w:rsidR="00B85568" w:rsidRDefault="00B85568" w:rsidP="00B85568">
      <w:pPr>
        <w:pStyle w:val="TextoNormalCentrado"/>
      </w:pPr>
      <w:r>
        <w:t>ECLI:ES:TC:2015:12A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63" w:name="AUTO_2015_13"/>
      <w:r>
        <w:t>AUTO 13/2015, de 28 de enero de 2015</w:t>
      </w:r>
    </w:p>
    <w:bookmarkEnd w:id="163"/>
    <w:p w:rsidR="00B85568" w:rsidRDefault="00B85568" w:rsidP="00B85568">
      <w:pPr>
        <w:pStyle w:val="TtuloResolucin"/>
      </w:pPr>
      <w:r>
        <w:t>Sección Cuarta</w:t>
      </w:r>
    </w:p>
    <w:p w:rsidR="00B85568" w:rsidRDefault="00B85568" w:rsidP="00B85568">
      <w:pPr>
        <w:pStyle w:val="TextoNormalCentrado"/>
      </w:pPr>
      <w:r>
        <w:t>ECLI:ES:TC:2015:13A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extinción, por pérdida de objeto, del expediente de justicia gratuita instado en el recurso de amparo 7715-2010, promovido por don Antoni Rius i Cardona en proceso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día 28 de octubre de 2010, tuvo entrada en el Registro General de este Tribunal un escrito presentado por don Antoni Rius i Cardona, actuando en su propio nombre, por el que anunciaba su intención de promover recurso de amparo contra: (i) el Auto de la Sala de lo Civil y Penal —actuando como Sala de lo Penal— del Tribunal Superior de Justicia de Cataluña, de 26 de julio de 2010 (procedimiento núm. 84-2010), por el que se denegó la impugnación promovida contra la resolución de la Comisión de Asistencia Jurídica Gratuita de Barcelona, de 12 de abril de 2009, desestimatoria, por insostenibilidad de la pretensión, de su solicitud para el otorgamiento del citado beneficio y consiguiente designación de Abogado y Procurador, con el fin de formalizar recurso de súplica contra el Auto de la misma Sala del Tribunal Superior de Justicia, de 8 de abril de 2009 (procedimiento penal núm. 35-2009), que había decretado el archivo de una denuncia interpuesta por el recurrente; y (ii) la providencia de 13 de septiembre de 2010, que inadmitió la petición de nulidad de actuaciones instada contra el citado Auto de 26 de julio.</w:t>
      </w:r>
    </w:p>
    <w:p w:rsidR="00B85568" w:rsidRDefault="00B85568" w:rsidP="00B85568">
      <w:pPr>
        <w:pStyle w:val="TextoNormal"/>
      </w:pPr>
    </w:p>
    <w:p w:rsidR="00B85568" w:rsidRDefault="00B85568" w:rsidP="00B85568">
      <w:pPr>
        <w:pStyle w:val="TextoNormal"/>
      </w:pPr>
      <w:r>
        <w:t>En el mismo escrito dirigido a este Tribunal, el recurrente solicitó la designación de Abogado y Procurador de oficio, a fin de poder ejercitar su defensa en este proceso de amparo.</w:t>
      </w:r>
    </w:p>
    <w:p w:rsidR="00B85568" w:rsidRDefault="00B85568" w:rsidP="00B85568">
      <w:pPr>
        <w:pStyle w:val="TextoNormal"/>
      </w:pPr>
    </w:p>
    <w:p w:rsidR="00B85568" w:rsidRDefault="00B85568" w:rsidP="00B85568">
      <w:pPr>
        <w:pStyle w:val="TextoNormal"/>
      </w:pPr>
      <w:r w:rsidRPr="00B85568">
        <w:rPr>
          <w:rStyle w:val="NumeroAFNegritaCaracter"/>
        </w:rPr>
        <w:t>2</w:t>
      </w:r>
      <w:r>
        <w:t>. La Secretaría de Justicia de la Sección Cuarta de este Tribunal dictó diligencia de ordenación el 4 de noviembre de 2010, por la que acordó otorgar un plazo de diez días al recurrente con el fin de que acreditara de manera fehaciente la fecha de notificación de aquella providencia de 13 de septiembre de 2010 y aportara copias de los escritos y documentos presentados, conforme al art. 49.3 de la Ley Orgánica del Tribunal Constitucional. Dicho requerimiento fue cumplimentado por escrito del recurrente, registrado el 13 de diciembre de 2010.</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nueva diligencia de ordenación de la propia Secretaría de Justicia de la Sección Cuarta, de 14 de diciembre de 2010, se tuvo por presentada y unida a las actuaciones la documentación aportada por el recurrente y, “con carácter previo a lo que proceda sobre el nombramiento de Abogado y Procurador del turno de oficio que se interesa”, acordó librar comunicación a la Sala competente del Tribunal Superior de Justicia de Cataluña a los fines de que remitiera certificación en la que constase la fecha de notificación a la representación procesal del recurrente, de la providencia de 13 de septiembre de 2010.</w:t>
      </w:r>
    </w:p>
    <w:p w:rsidR="00B85568" w:rsidRDefault="00B85568" w:rsidP="00B85568">
      <w:pPr>
        <w:pStyle w:val="TextoNormal"/>
      </w:pPr>
    </w:p>
    <w:p w:rsidR="00B85568" w:rsidRDefault="00B85568" w:rsidP="00B85568">
      <w:pPr>
        <w:pStyle w:val="TextoNormal"/>
      </w:pPr>
      <w:r>
        <w:t>En su respuesta, la Secretaria sustituta de la Sala de lo Civil y Penal del Tribunal Superior de Justicia de Cataluña remitió certificación de 3 de enero de 2011, haciendo constar que la notificación al recurrente de la providencia indicada se había producido el 30 de septiembre de 2010, “mediante correo certificado con acuse de recibo”.</w:t>
      </w:r>
    </w:p>
    <w:p w:rsidR="00B85568" w:rsidRDefault="00B85568" w:rsidP="00B85568">
      <w:pPr>
        <w:pStyle w:val="TextoNormal"/>
      </w:pPr>
    </w:p>
    <w:p w:rsidR="00B85568" w:rsidRDefault="00B85568" w:rsidP="00B85568">
      <w:pPr>
        <w:pStyle w:val="TextoNormal"/>
      </w:pPr>
      <w:r w:rsidRPr="00B85568">
        <w:rPr>
          <w:rStyle w:val="NumeroAFNegritaCaracter"/>
        </w:rPr>
        <w:t>4</w:t>
      </w:r>
      <w:r>
        <w:t>. El 26 de enero de 2011, la Secretaría de Justicia de la Sección Cuarta de este Tribunal dictó diligencia de ordenación por la que, uniendo a las actuaciones aquella certificación, acordó dirigir atenta comunicación al Ilustre Colegio de Abogados de Madrid para la designación de Abogado y Procurador del turno de oficio, “que defienda y represente respectivamente al recurrente en amparo”.</w:t>
      </w:r>
    </w:p>
    <w:p w:rsidR="00B85568" w:rsidRDefault="00B85568" w:rsidP="00B85568">
      <w:pPr>
        <w:pStyle w:val="TextoNormal"/>
      </w:pPr>
    </w:p>
    <w:p w:rsidR="00B85568" w:rsidRDefault="00B85568" w:rsidP="00B85568">
      <w:pPr>
        <w:pStyle w:val="TextoNormal"/>
      </w:pPr>
      <w:r w:rsidRPr="00B85568">
        <w:rPr>
          <w:rStyle w:val="NumeroAFNegritaCaracter"/>
        </w:rPr>
        <w:t>5</w:t>
      </w:r>
      <w:r>
        <w:t>. El 17 de febrero de 2011, tuvo entrada en el Registro General de este Tribunal un escrito de la directora del turno de oficio del Ilustre Colegio de Abogados de Madrid, de fecha 31 de enero de 2011, donde se comunicaba al Presidente de la Sala Segunda de este Tribunal, en relación con el requerimiento efectuado, lo siguiente: “que en el día de la fecha se ha dado traslado a la Comisión de Asistencia Jurídica Gratuita del expediente, sin designación provisional de Abogado de Oficio a tenor del párrafo 2 del Artículo 15 de la Ley 1/96, por entender que existe manifiesto abuso de derecho”.</w:t>
      </w:r>
    </w:p>
    <w:p w:rsidR="00B85568" w:rsidRDefault="00B85568" w:rsidP="00B85568">
      <w:pPr>
        <w:pStyle w:val="TextoNormal"/>
      </w:pPr>
    </w:p>
    <w:p w:rsidR="00B85568" w:rsidRDefault="00B85568" w:rsidP="00B85568">
      <w:pPr>
        <w:pStyle w:val="TextoNormal"/>
      </w:pPr>
      <w:r w:rsidRPr="00B85568">
        <w:rPr>
          <w:rStyle w:val="NumeroAFNegritaCaracter"/>
        </w:rPr>
        <w:t>6</w:t>
      </w:r>
      <w:r>
        <w:t>. El 28 de febrero de 2011 tuvo entrada en el Registro General de este Tribunal, copia de la resolución de la Comisión Central de Asistencia Jurídica Gratuita, de fecha 11 de febrero de 2011, por la que denegaba la solicitud del recurrente para la designación de profesionales de oficio para este proceso de amparo, aduciéndose como motivo: “por manifiesto abuso y ejercicio antisocial del Derecho a la Asistencia Jurídica Gratuita”.</w:t>
      </w:r>
    </w:p>
    <w:p w:rsidR="00B85568" w:rsidRDefault="00B85568" w:rsidP="00B85568">
      <w:pPr>
        <w:pStyle w:val="TextoNormal"/>
      </w:pPr>
    </w:p>
    <w:p w:rsidR="00B85568" w:rsidRDefault="00B85568" w:rsidP="00B85568">
      <w:pPr>
        <w:pStyle w:val="TextoNormal"/>
      </w:pPr>
      <w:r w:rsidRPr="00B85568">
        <w:rPr>
          <w:rStyle w:val="NumeroAFNegritaCaracter"/>
        </w:rPr>
        <w:t>7</w:t>
      </w:r>
      <w:r>
        <w:t>. La Secretaría de Justicia de la Sección Cuarta de este Tribunal, dictó diligencia de ordenación el 1 de marzo de 2011 por la que acordó unir a las actuaciones la citada resolución de la Comisión Central de Asistencia Jurídica Gratuita, abriendo un trámite de diez días a la parte recurrente “para que pueda comparecer en forma por medio de Procurador y asistido de Abogado, ambos de su libre designación y a su costa …, apercibiéndole que de no comparecer con tal carácter y dentro del plazo antes citado, se declarará terminado este procedimiento, archivándose las actuaciones”.</w:t>
      </w:r>
    </w:p>
    <w:p w:rsidR="00B85568" w:rsidRDefault="00B85568" w:rsidP="00B85568">
      <w:pPr>
        <w:pStyle w:val="TextoNormal"/>
      </w:pPr>
    </w:p>
    <w:p w:rsidR="00B85568" w:rsidRDefault="00B85568" w:rsidP="00B85568">
      <w:pPr>
        <w:pStyle w:val="TextoNormal"/>
      </w:pPr>
      <w:r w:rsidRPr="00B85568">
        <w:rPr>
          <w:rStyle w:val="NumeroAFNegritaCaracter"/>
        </w:rPr>
        <w:t>8</w:t>
      </w:r>
      <w:r>
        <w:t>. Por escrito que tuvo entrada en el Registro General de este Tribunal el 4 de abril de 2011, el recurrente solicitó que se anule el requerimiento contenido en la anterior diligencia, por cuanto en el plazo de cinco días del art. 20 de la Ley de asistencia jurídica gratuita se formalizó impugnación de la resolución de la Comisión central, el cual adjuntó como documento núm. 1.</w:t>
      </w:r>
    </w:p>
    <w:p w:rsidR="00B85568" w:rsidRDefault="00B85568" w:rsidP="00B85568">
      <w:pPr>
        <w:pStyle w:val="TextoNormal"/>
      </w:pPr>
    </w:p>
    <w:p w:rsidR="00B85568" w:rsidRDefault="00B85568" w:rsidP="00B85568">
      <w:pPr>
        <w:pStyle w:val="TextoNormal"/>
      </w:pPr>
      <w:r w:rsidRPr="00B85568">
        <w:rPr>
          <w:rStyle w:val="NumeroAFNegritaCaracter"/>
        </w:rPr>
        <w:t>9</w:t>
      </w:r>
      <w:r>
        <w:t>. En la misma fecha, 4 de abril de 2011, tuvo entrada en el Registro General de este Tribunal copia de la certificación expedida por la Secretaria titular de la Comisión Central de Asistencia Jurídica Gratuita, de fecha 18 de marzo de 2011, informando que se había recibido escrito del recurrente impugnando la resolución adoptada por dicho órgano, en cuya consecuencia, “se ha remitido el expediente original, para su resolución, al Decanato de los Juzgados de Primera Instancia e Instrucción de Madrid, interesando se dicte auto manteniendo o revocando el acuerdo impugnado. Una vez se reciba en esta Secretaría la resolución adoptada se notificará a ese Tribunal a la mayor brevedad”.</w:t>
      </w:r>
    </w:p>
    <w:p w:rsidR="00B85568" w:rsidRDefault="00B85568" w:rsidP="00B85568">
      <w:pPr>
        <w:pStyle w:val="TextoNormal"/>
      </w:pPr>
    </w:p>
    <w:p w:rsidR="00B85568" w:rsidRDefault="00B85568" w:rsidP="00B85568">
      <w:pPr>
        <w:pStyle w:val="TextoNormal"/>
      </w:pPr>
      <w:r w:rsidRPr="00B85568">
        <w:rPr>
          <w:rStyle w:val="NumeroAFNegritaCaracter"/>
        </w:rPr>
        <w:t>10</w:t>
      </w:r>
      <w:r>
        <w:t>. La Sección Cuarta de este Tribunal dictó providencia el 5 de abril de 2011, por la que acordó unir a las actuaciones los escritos del recurrente y el oficio de la comisión central de asistencia jurídica gratuita, y “el archivo provisional de las actuaciones hasta tanto se resuelva la impugnación de la resolución dictada por la expresada Comisión, quedando obligado el recurrente a aportar la resolución que en su día recaiga, una vez le sea notificada”.</w:t>
      </w:r>
    </w:p>
    <w:p w:rsidR="00B85568" w:rsidRDefault="00B85568" w:rsidP="00B85568">
      <w:pPr>
        <w:pStyle w:val="TextoNormal"/>
      </w:pPr>
    </w:p>
    <w:p w:rsidR="00B85568" w:rsidRDefault="00B85568" w:rsidP="00B85568">
      <w:pPr>
        <w:pStyle w:val="TextoNormal"/>
      </w:pPr>
      <w:r w:rsidRPr="00B85568">
        <w:rPr>
          <w:rStyle w:val="NumeroAFNegritaCaracter"/>
        </w:rPr>
        <w:t>11</w:t>
      </w:r>
      <w:r>
        <w:t>. Sin ninguna otra actuación en este recurso de amparo desde entonces, se llega al 10 de abril de 2014, cuando tiene entrada en el Registro General de este Tribunal un oficio de la Secretaría del Juzgado de Primera Instancia núm. 3 de Madrid, de 3 de abril de 2014, remitiendo “actuaciones del juicio Impugnación Resoluciones Justicia Gratuita 877-2011, en cumplimiento de auto de esta fecha que ha declarado la incompetencia territorial de este Juzgado, por estimar corresponde el conocimiento de la demanda al Tribunal Constitucional”.</w:t>
      </w:r>
    </w:p>
    <w:p w:rsidR="00B85568" w:rsidRDefault="00B85568" w:rsidP="00B85568">
      <w:pPr>
        <w:pStyle w:val="TextoNormal"/>
      </w:pPr>
    </w:p>
    <w:p w:rsidR="00B85568" w:rsidRDefault="00B85568" w:rsidP="00B85568">
      <w:pPr>
        <w:pStyle w:val="TextoNormal"/>
      </w:pPr>
      <w:r>
        <w:t>En el expediente relativo al procedimiento núm. 877-2011, destacan las siguientes actuaciones:</w:t>
      </w:r>
    </w:p>
    <w:p w:rsidR="00B85568" w:rsidRDefault="00B85568" w:rsidP="00B85568">
      <w:pPr>
        <w:pStyle w:val="TextoNormal"/>
      </w:pPr>
    </w:p>
    <w:p w:rsidR="00B85568" w:rsidRDefault="00B85568" w:rsidP="00B85568">
      <w:pPr>
        <w:pStyle w:val="TextoNormal"/>
      </w:pPr>
      <w:r>
        <w:t>a) Diligencia de ordenación de la Secretaría del Juzgado, de 5 de octubre de 2011, haciendo constar la recepción de la causa procedente de la oficina de registro y reparto de esa sede judicial; así como la aceptación para conocer de la impugnación planteada por el recurrente, y la convocatoria a las partes y al Letrado del Abogado del Estado a una comparecencia oral, para el día 30 de noviembre de 2011, a las 12:30 horas.</w:t>
      </w:r>
    </w:p>
    <w:p w:rsidR="00B85568" w:rsidRDefault="00B85568" w:rsidP="00B85568">
      <w:pPr>
        <w:pStyle w:val="TextoNormal"/>
      </w:pPr>
    </w:p>
    <w:p w:rsidR="00B85568" w:rsidRDefault="00B85568" w:rsidP="00B85568">
      <w:pPr>
        <w:pStyle w:val="TextoNormal"/>
      </w:pPr>
      <w:r>
        <w:t>b) Escrito del recurrente, remitido al Juzgado por vía de correo certificado el 11 de noviembre de 2011, solicitando su inhibición del expediente por “incompetencia funcional”, al entender que el órgano competente para decidir sobre la impugnación de la resolución de la Comisión Central de Asistencia Jurídica Gratuita, era este Tribunal Constitucional.</w:t>
      </w:r>
    </w:p>
    <w:p w:rsidR="00B85568" w:rsidRDefault="00B85568" w:rsidP="00B85568">
      <w:pPr>
        <w:pStyle w:val="TextoNormal"/>
      </w:pPr>
    </w:p>
    <w:p w:rsidR="00B85568" w:rsidRDefault="00B85568" w:rsidP="00B85568">
      <w:pPr>
        <w:pStyle w:val="TextoNormal"/>
      </w:pPr>
      <w:r>
        <w:t>c) Diligencia de ordenación de la Secretaría del Juzgado de 22 de noviembre de 2011, dando traslado de aquella solicitud al Abogado del Estado por plazo de cinco días para que formulara alegaciones, con suspensión mientras tanto de la vista señalada.</w:t>
      </w:r>
    </w:p>
    <w:p w:rsidR="00B85568" w:rsidRDefault="00B85568" w:rsidP="00B85568">
      <w:pPr>
        <w:pStyle w:val="TextoNormal"/>
      </w:pPr>
    </w:p>
    <w:p w:rsidR="00B85568" w:rsidRDefault="00B85568" w:rsidP="00B85568">
      <w:pPr>
        <w:pStyle w:val="TextoNormal"/>
      </w:pPr>
      <w:r>
        <w:t>d) Diligencia de ordenación de la Secretaría del Juzgado, del 10 de mayo de 2012, en la que se expresa: “[h]abiendo transcurrido el plazo concedido al abogado del estado para presentar alegaciones respecto de la solicitud de inhibición formulada por el Sr. Rius i Cardona, sin haber hecho manifestación alguna, queden los autos en poder de SSª a fin de resolver la cuestión planteada”.</w:t>
      </w:r>
    </w:p>
    <w:p w:rsidR="00B85568" w:rsidRDefault="00B85568" w:rsidP="00B85568">
      <w:pPr>
        <w:pStyle w:val="TextoNormal"/>
      </w:pPr>
    </w:p>
    <w:p w:rsidR="00B85568" w:rsidRDefault="00B85568" w:rsidP="00B85568">
      <w:pPr>
        <w:pStyle w:val="TextoNormal"/>
      </w:pPr>
      <w:r>
        <w:t>e) Auto del Juzgado de Primera Instancia núm. 3 de Madrid, de 14 de mayo de 2012, estimando la “cuestión de competencia propuesta por Antoni Rius i Cardona y, en consecuencia, inhibiéndose del conocimiento del asunto (procedimiento núm. 877-2011): ‘en favor del Tribunal Constitucional, acordando remitirle los autos con emplazamiento de las partes para que comparezcan ante él en el plazo de diez días’.”</w:t>
      </w:r>
    </w:p>
    <w:p w:rsidR="00B85568" w:rsidRDefault="00B85568" w:rsidP="00B85568">
      <w:pPr>
        <w:pStyle w:val="TextoNormal"/>
      </w:pPr>
    </w:p>
    <w:p w:rsidR="00B85568" w:rsidRDefault="00B85568" w:rsidP="00B85568">
      <w:pPr>
        <w:pStyle w:val="TextoNormal"/>
      </w:pPr>
      <w:r>
        <w:t>f) Notificación al Abogado del Estado de esta última resolución, el 24 de mayo de 2012. Por lo que hace al recurrente, la Secretaría del Juzgado dictó diligencia de constancia el 26 de marzo de 2013 por la que, “habiendo resultado negativa la notificación a don Antoni Riuz Cardona, del auto de fecha 14/05/12, procédase nuevamente a notificar la misma por medio de correos con acuse de recibo”.</w:t>
      </w:r>
    </w:p>
    <w:p w:rsidR="00B85568" w:rsidRDefault="00B85568" w:rsidP="00B85568">
      <w:pPr>
        <w:pStyle w:val="TextoNormal"/>
      </w:pPr>
    </w:p>
    <w:p w:rsidR="00B85568" w:rsidRDefault="00B85568" w:rsidP="00B85568">
      <w:pPr>
        <w:pStyle w:val="TextoNormal"/>
      </w:pPr>
      <w:r>
        <w:t>En cumplimiento a lo acordado, constan unidos a dicha diligencia de ordenación, un reguardo de Correos firmado por el aquí recurrente el 08 de junio de 2012 (tras un intento fallido previo, el 30 de mayo de 2012), y de nuevo otra notificación posterior, también firmada por él mismo, el 18 de mayo de 2013, según otro resguardo de Correos.</w:t>
      </w:r>
    </w:p>
    <w:p w:rsidR="00B85568" w:rsidRDefault="00B85568" w:rsidP="00B85568">
      <w:pPr>
        <w:pStyle w:val="TextoNormal"/>
      </w:pPr>
    </w:p>
    <w:p w:rsidR="00B85568" w:rsidRDefault="00B85568" w:rsidP="00B85568">
      <w:pPr>
        <w:pStyle w:val="TextoNormal"/>
      </w:pPr>
      <w:r>
        <w:t>Con esto se cierra el expediente remitido.</w:t>
      </w:r>
    </w:p>
    <w:p w:rsidR="00B85568" w:rsidRDefault="00B85568" w:rsidP="00B85568">
      <w:pPr>
        <w:pStyle w:val="TextoNormal"/>
      </w:pPr>
    </w:p>
    <w:p w:rsidR="00B85568" w:rsidRDefault="00B85568" w:rsidP="00B85568">
      <w:pPr>
        <w:pStyle w:val="TextoNormal"/>
      </w:pPr>
      <w:r w:rsidRPr="00B85568">
        <w:rPr>
          <w:rStyle w:val="NumeroAFNegritaCaracter"/>
        </w:rPr>
        <w:t>12</w:t>
      </w:r>
      <w:r>
        <w:t>. La Sección Cuarta de este Tribunal dictó providencia el 11 de junio de 2014, teniendo por recibido “el expediente de impugnación de resolución de justicia gratuita 877-2011 remitido por el Juzgado de Primera Instancia número 3 de Madrid, y, a la vista del mismo, ha acordado conceder un plazo de tres días al recurrente y al Abogado del Estado para que se pronuncien sobre la competencia de este Tribunal” para conocer de dicha impugnación.</w:t>
      </w:r>
    </w:p>
    <w:p w:rsidR="00B85568" w:rsidRDefault="00B85568" w:rsidP="00B85568">
      <w:pPr>
        <w:pStyle w:val="TextoNormal"/>
      </w:pPr>
    </w:p>
    <w:p w:rsidR="00B85568" w:rsidRDefault="00B85568" w:rsidP="00B85568">
      <w:pPr>
        <w:pStyle w:val="TextoNormal"/>
      </w:pPr>
      <w:r w:rsidRPr="00B85568">
        <w:rPr>
          <w:rStyle w:val="NumeroAFNegritaCaracter"/>
        </w:rPr>
        <w:t>13</w:t>
      </w:r>
      <w:r>
        <w:t>. El Abogado del Estado cumplió el anterior requerimiento a través de escrito de 17 de junio de 2014, con entrada en el Registro General de este Tribunal el día 18 de junio, en el sentido de afirmar, del art. 20 de la Ley 1/1996 y un Auto de la Audiencia Provincial de Madrid, Sección Vigesimoprimera de 26 de junio de 2012, que la competencia para resolver la impugnación corresponde al propio tribunal que conoce del asunto principal.</w:t>
      </w:r>
    </w:p>
    <w:p w:rsidR="00B85568" w:rsidRDefault="00B85568" w:rsidP="00B85568">
      <w:pPr>
        <w:pStyle w:val="TextoNormal"/>
      </w:pPr>
    </w:p>
    <w:p w:rsidR="00B85568" w:rsidRDefault="00B85568" w:rsidP="00B85568">
      <w:pPr>
        <w:pStyle w:val="TextoNormal"/>
      </w:pPr>
      <w:r>
        <w:t>El recurrente no formuló alegaciones.</w:t>
      </w:r>
    </w:p>
    <w:p w:rsidR="00B85568" w:rsidRDefault="00B85568" w:rsidP="00B85568">
      <w:pPr>
        <w:pStyle w:val="TextoNormal"/>
      </w:pPr>
    </w:p>
    <w:p w:rsidR="00B85568" w:rsidRDefault="00B85568" w:rsidP="00B85568">
      <w:pPr>
        <w:pStyle w:val="TextoNormal"/>
      </w:pPr>
      <w:r w:rsidRPr="00B85568">
        <w:rPr>
          <w:rStyle w:val="NumeroAFNegritaCaracter"/>
        </w:rPr>
        <w:t>14</w:t>
      </w:r>
      <w:r>
        <w:t>. El 10 de septiembre de 2014 la Secretaría de Justicia de la Sección Cuarta de este Tribunal dictó diligencia de ordenación, por la que acordó unir a las actuaciones el escrito de alegaciones del Abogado del Estado y, además, “dirigir atenta comunicación a la Sala de lo Civil y Penal del Tribunal Superior de Justicia de Cataluña a fin de que, a la mayor brevedad posible, respecto al procedimiento penal 35-2009, abierto por denuncia de don Antoni Rius i Cardona, se informe si ha finalizado por resolución firme, y si la causa ha accedido a juicio oral, informa cuál ha sido el órgano judicial a que se remitieron las actuaciones para su conocimiento”.</w:t>
      </w:r>
    </w:p>
    <w:p w:rsidR="00B85568" w:rsidRDefault="00B85568" w:rsidP="00B85568">
      <w:pPr>
        <w:pStyle w:val="TextoNormal"/>
      </w:pPr>
    </w:p>
    <w:p w:rsidR="00B85568" w:rsidRDefault="00B85568" w:rsidP="00B85568">
      <w:pPr>
        <w:pStyle w:val="TextoNormal"/>
      </w:pPr>
      <w:r w:rsidRPr="00B85568">
        <w:rPr>
          <w:rStyle w:val="NumeroAFNegritaCaracter"/>
        </w:rPr>
        <w:t>15</w:t>
      </w:r>
      <w:r>
        <w:t>. Ampliando este último requerimiento, la Secretaría de Justicia de la misma Sección Cuarta dictó diligencia de ordenación el 19 de septiembre de 2014, acordando “dirigir atenta comunicación a la Sala de lo Civil y Penal del Tribunal Superior de Justicia de Cataluña, a fin de que, a la mayor brevedad posible, se remita a esta Sala certificación o fotocopia adverada de las actuaciones correspondientes al procedimiento penal núm. 35-2009”.</w:t>
      </w:r>
    </w:p>
    <w:p w:rsidR="00B85568" w:rsidRDefault="00B85568" w:rsidP="00B85568">
      <w:pPr>
        <w:pStyle w:val="TextoNormal"/>
      </w:pPr>
    </w:p>
    <w:p w:rsidR="00B85568" w:rsidRDefault="00B85568" w:rsidP="00B85568">
      <w:pPr>
        <w:pStyle w:val="TextoNormal"/>
      </w:pPr>
      <w:r w:rsidRPr="00B85568">
        <w:rPr>
          <w:rStyle w:val="NumeroAFNegritaCaracter"/>
        </w:rPr>
        <w:t>16</w:t>
      </w:r>
      <w:r>
        <w:t>. El 25 de septiembre de 2014 tuvo entrada en el Registro General de este Tribunal la certificación de la Secretaría de la Sala de lo Civil y Penal del Tribunal Superior de Justicia de Cataluña, contestando al requerimiento de 10 de septiembre ya indicado, en el sentido de informar que “el expediente de referencia que fue instado por el Sr. Antoni Rius Cardona, fue archivado por providencia de fecha 29 de marzo de 2010 al no haber comparecido … en el plazo que le fue concedido”; adjuntando copia de dicha providencia.</w:t>
      </w:r>
    </w:p>
    <w:p w:rsidR="00B85568" w:rsidRDefault="00B85568" w:rsidP="00B85568">
      <w:pPr>
        <w:pStyle w:val="TextoNormal"/>
      </w:pPr>
    </w:p>
    <w:p w:rsidR="00B85568" w:rsidRDefault="00B85568" w:rsidP="00B85568">
      <w:pPr>
        <w:pStyle w:val="TextoNormal"/>
      </w:pPr>
      <w:r w:rsidRPr="00B85568">
        <w:rPr>
          <w:rStyle w:val="NumeroAFNegritaCaracter"/>
        </w:rPr>
        <w:t>17</w:t>
      </w:r>
      <w:r>
        <w:t>. La propia Secretaría de Justicia de la Sala de lo Civil y Penal envió una segunda certificación, ésta de 13 de octubre de 2014, con entrada en el Registro General de este Tribunal el día 21 de octubre, del siguiente tenor: “En respuesta a su oficio de 26 de septiembre actual, remito testimonio de las actuaciones a los efectos procedentes”. Se indica por error el “26 de septiembre”, queriendo decir “19 de septiembre”.</w:t>
      </w:r>
    </w:p>
    <w:p w:rsidR="00B85568" w:rsidRDefault="00B85568" w:rsidP="00B85568">
      <w:pPr>
        <w:pStyle w:val="TextoNormal"/>
      </w:pPr>
    </w:p>
    <w:p w:rsidR="00B85568" w:rsidRDefault="00B85568" w:rsidP="00B85568">
      <w:pPr>
        <w:pStyle w:val="TextoNormal"/>
      </w:pPr>
      <w:r w:rsidRPr="00B85568">
        <w:rPr>
          <w:rStyle w:val="NumeroAFNegritaCaracter"/>
        </w:rPr>
        <w:t>18</w:t>
      </w:r>
      <w:r>
        <w:t>. El 5 de diciembre de 2014 se dictó diligencia de ordenación por la Secretaría de Justicia de la Sección Cuarta de este Tribunal, acordando “dirigir atenta comunicación a la Comisión Central de Asistencia Jurídica Gratuita a fin de que, a la mayor brevedad posible, se remita a esta Sala copia del informe del Colegio de Abogados de fecha 31 de enero de 2011 en relación con la solicitud de otorgamiento del beneficio de justicia gratuita … para este recurso de amparo”.</w:t>
      </w:r>
    </w:p>
    <w:p w:rsidR="00B85568" w:rsidRDefault="00B85568" w:rsidP="00B85568">
      <w:pPr>
        <w:pStyle w:val="TextoNormal"/>
      </w:pPr>
    </w:p>
    <w:p w:rsidR="00B85568" w:rsidRDefault="00B85568" w:rsidP="00B85568">
      <w:pPr>
        <w:pStyle w:val="TextoNormal"/>
      </w:pPr>
      <w:r w:rsidRPr="00B85568">
        <w:rPr>
          <w:rStyle w:val="NumeroAFNegritaCaracter"/>
        </w:rPr>
        <w:t>19</w:t>
      </w:r>
      <w:r>
        <w:t>. Dicho requerimiento fue cumplimentado mediante oficio de la Secretaria titular de la comisión central, de 9 de diciembre de 2014, acompañando copia del informe solicitado.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xml:space="preserve">. Como ha quedado reflejado en los antecedentes con mayor detalle, don Antoni Rius i Cardona presentó escrito ante este Tribunal el 28 de octubre de 2010, anunciando su intención de promover recurso de amparo contra las resoluciones que denegaron la concesión del beneficio de justicia gratuita por insostenibilidad de la pretensión (art. 32 de la Ley 1/1996, de 10 de enero, de asistencia jurídica gratuita), que había solicitado para interponer recurso de súplica contra el archivo de una denuncia interpuesta por él ante la Sala de lo Civil y Penal del Tribunal Superior de Justicia de Cataluña. En el mismo escrito dirigido a este Tribunal, pidió la designación de Abogado y procurador de oficio para su defensa en este amparo, solicitud a la que se proveyó requiriendo al Ilustre Colegio de Abogados de Madrid el nombramiento de profesionales. Este último, sin embargo, rechazó designarlos por entender “que existe manifiesto abuso de derecho” en la actuación del recurrente, dando traslado de ello a la Comisión Central de Asistencia Jurídica Gratuita, órgano competente para resolver en primer grado la petición conforme a lo previsto en el art. 9 de la Ley 1/1996. La Comisión central hizo suyo el criterio del Colegio de Abogados, dictando resolución que denegaba el beneficio para este proceso de amparo “por manifiesto abuso y ejercicio antisocial del derecho a la asistencia Jurídica Gratuita”. Y como quiera que el recurrente impugnó dicha resolución, </w:t>
      </w:r>
      <w:r w:rsidRPr="00B85568">
        <w:rPr>
          <w:i/>
        </w:rPr>
        <w:t>ex</w:t>
      </w:r>
      <w:r>
        <w:t xml:space="preserve"> art. 20 de la Ley 1/1996, mediante escrito que presentó ante la propia Comisión central, esta última decidió remitir el expediente al Decanato de los Juzgados de Primera Instancia e Instrucción de Madrid para su reparto, lo que comunicó a esta Sección Cuarta, dictándose entonces providencia el 5 de abril de 2011 por la que acordamos suspender el procedimiento hasta tanto se resolviera dicha impugnación, “quedando obligado el recurrente a aportar la resolución que en su día recaiga, una vez le sea notificada”.</w:t>
      </w:r>
    </w:p>
    <w:p w:rsidR="00B85568" w:rsidRDefault="00B85568" w:rsidP="00B85568">
      <w:pPr>
        <w:pStyle w:val="TextoNormal"/>
      </w:pPr>
    </w:p>
    <w:p w:rsidR="00B85568" w:rsidRDefault="00B85568" w:rsidP="00B85568">
      <w:pPr>
        <w:pStyle w:val="TextoNormal"/>
      </w:pPr>
      <w:r>
        <w:t>Tres años y cinco días después, el 10 de abril de 2014, se recibe del Juzgado de Primera Instancia núm. 3 de Madrid el expediente de referencia (núm. 877-2011), en el que aparece dictado un Auto con fecha 14 de mayo de 2012, es decir, casi dos años antes, declarándose incompetente para resolver la impugnación por entender que la competencia corresponde a este Tribunal, no constando el motivo por el que se ha retrasado la remisión de las actuaciones hasta ese momento, ni iniciativa alguna del recurrente ante dicho Juzgado o ante este Tribunal, para la reactivación del procedimiento.</w:t>
      </w:r>
    </w:p>
    <w:p w:rsidR="00B85568" w:rsidRDefault="00B85568" w:rsidP="00B85568">
      <w:pPr>
        <w:pStyle w:val="TextoNormal"/>
      </w:pPr>
    </w:p>
    <w:p w:rsidR="00B85568" w:rsidRDefault="00B85568" w:rsidP="00B85568">
      <w:pPr>
        <w:pStyle w:val="TextoNormal"/>
      </w:pPr>
      <w:r w:rsidRPr="00B85568">
        <w:rPr>
          <w:rStyle w:val="NumeroAFNegritaCaracter"/>
        </w:rPr>
        <w:t>2</w:t>
      </w:r>
      <w:r>
        <w:t>. Constatado entonces que la impugnación no ha sido resuelta, y teniendo por primera vez a nuestra disposición la totalidad del expediente de justicia gratuita instada por el recurrente para este proceso de amparo (incluyendo los documentos que hemos tenido que solicitar con posterioridad, para completarlo), se evidencia que la decisión adoptada por la Comisión Central de Asistencia Jurídica no contiene ninguna referencia ni se basa en ningún informe sobre la situación económica del recurrente como causa para denegar lo pedido, sino únicamente lo que llama “abuso” en el ejercicio del derecho (arts. 24 y 119 CE), dada la cantidad de solicitudes de justicia gratuita formalizadas hasta entonces por aquél.</w:t>
      </w:r>
    </w:p>
    <w:p w:rsidR="00B85568" w:rsidRDefault="00B85568" w:rsidP="00B85568">
      <w:pPr>
        <w:pStyle w:val="TextoNormal"/>
      </w:pPr>
    </w:p>
    <w:p w:rsidR="00B85568" w:rsidRDefault="00B85568" w:rsidP="00B85568">
      <w:pPr>
        <w:pStyle w:val="TextoNormal"/>
      </w:pPr>
      <w:r>
        <w:t>En consecuencia, no se trata de dirimir si es originaria o sobrevenida —a la fecha de presentar el escrito anunciando intención de promover amparo— la situación de insuficiencia económica del recurrente, de lo que dependería la competencia para resolver la impugnación planteada, conforme a los arts. 8 a 10 del acuerdo del Pleno de este Tribunal Constitucional, de 18 de junio de 1996, “sobre asistencia jurídica gratuita en los procesos de amparo constitucional”, siendo que en el primer caso la misma correspondería a los órganos de la jurisdicción ordinaria y sólo en el segundo a este Tribunal (últimamente, AATC 212/2012, de 13 de noviembre, FJ 2; 46/2013, de 21 de febrero, FJ 2; y 95/2013, de 7 de mayo, FJ 2). La causa de denegación aquí no es económica, de modo que cabe declarar nuestra competencia para conocer del presente incidente en aplicación de lo dispuesto en los arts. 20 de la Ley de asistencia jurídica gratuita y 2.1 del citado acuerdo del Pleno de 18 de junio de 1996.</w:t>
      </w:r>
    </w:p>
    <w:p w:rsidR="00B85568" w:rsidRDefault="00B85568" w:rsidP="00B85568">
      <w:pPr>
        <w:pStyle w:val="TextoNormal"/>
      </w:pPr>
    </w:p>
    <w:p w:rsidR="00B85568" w:rsidRDefault="00B85568" w:rsidP="00B85568">
      <w:pPr>
        <w:pStyle w:val="TextoNormal"/>
      </w:pPr>
      <w:r w:rsidRPr="00B85568">
        <w:rPr>
          <w:rStyle w:val="NumeroAFNegritaCaracter"/>
        </w:rPr>
        <w:t>3</w:t>
      </w:r>
      <w:r>
        <w:t>. Dado el tiempo transcurrido desde que el recurrente formuló su solicitud de provisión de Abogado y Procurador de oficio para este recurso de amparo, antes de continuar este procedimiento incidental es necesario verificar si ha podido tener lugar la pérdida sobrevenida de su objeto.</w:t>
      </w:r>
    </w:p>
    <w:p w:rsidR="00B85568" w:rsidRDefault="00B85568" w:rsidP="00B85568">
      <w:pPr>
        <w:pStyle w:val="TextoNormal"/>
      </w:pPr>
    </w:p>
    <w:p w:rsidR="00B85568" w:rsidRDefault="00B85568" w:rsidP="00B85568">
      <w:pPr>
        <w:pStyle w:val="TextoNormal"/>
      </w:pPr>
      <w:r>
        <w:t>La respuesta ha de ser afirmativa. Conforme se ha recordado, cuando esta Sección dictó providencia acordando archivar el expediente a la espera de lo que resolviera el Juzgado de Primera Instancia al que por turno correspondiera el caso, se apercibió expresamente al recurrente que quedaba obligado a “aportar la resolución que en su día recaiga, una vez le sea notificada”. Lo cierto es que dictado el Auto del Juzgado núm. 3 de Madrid de 14 de mayo de 2012, que se inhibía en favor de este Tribunal, no cumplió con el requerimiento que se le había efectuado, ni entonces ni después, de modo que la existencia de aquella resolución no se conoció hasta haberse recibido del Juzgado las actuaciones en fecha 10 de abril de 2014, según se ha relatado ya. Asimismo, cuando tras recibirse las actuaciones del Juzgado hemos acordado abrir un plazo de alegaciones por tres días al Abogado del Estado y al recurrente para que se pronuncien sobre esta cuestión, este último nada ha contestado.</w:t>
      </w:r>
    </w:p>
    <w:p w:rsidR="00B85568" w:rsidRDefault="00B85568" w:rsidP="00B85568">
      <w:pPr>
        <w:pStyle w:val="TextoNormal"/>
      </w:pPr>
    </w:p>
    <w:p w:rsidR="00B85568" w:rsidRDefault="00B85568" w:rsidP="00B85568">
      <w:pPr>
        <w:pStyle w:val="TextoNormal"/>
      </w:pPr>
      <w:r>
        <w:t xml:space="preserve">A falta de constancia de que concurra circunstancia de fuerza mayor que justifique la inactividad del recurrente en este periodo de más de dos años y sin necesidad de considerar la posibilidad de una caducidad de la instancia, la ausencia de toda iniciativa suya dirigida a poner cese a la situación de archivo, incumpliendo con ello la obligación procesal —que no carga— expresamente impuesta por mor de nuestra providencia ya indicada de 5 de abril de 2011, evidencia una inactividad procesal que cabe interpretar objetivamente como pérdida del interés legítimo en obtener la tutela solicitada, en términos del art. 22.1 de la Ley de enjuiciamiento civil (de aplicación supletoria a este proceso constitucional, </w:t>
      </w:r>
      <w:r w:rsidRPr="00B85568">
        <w:rPr>
          <w:i/>
        </w:rPr>
        <w:t>ex</w:t>
      </w:r>
      <w:r>
        <w:t xml:space="preserve"> art. 80 de la Ley Orgánica del Tribunal Constitucional), no sólo por satisfacción extraprocesal de la pretensión sino “por cualquier otra causa”, a ponderar por el órgano competente (STC 44/2013, de 25 de febrero, FJ 3), en este caso nosotros, lo que determina la extinción del objeto de este expediente de justicia gratuita.</w:t>
      </w:r>
    </w:p>
    <w:p w:rsidR="00B85568" w:rsidRDefault="00B85568" w:rsidP="00B85568">
      <w:pPr>
        <w:pStyle w:val="TextoNormal"/>
      </w:pPr>
    </w:p>
    <w:p w:rsidR="00B85568" w:rsidRDefault="00B85568" w:rsidP="00B85568">
      <w:pPr>
        <w:pStyle w:val="TextoNormal"/>
      </w:pPr>
      <w:r>
        <w:t>Como consecuencia, ha de concederse plazo de diez días al recurrente para que lleve a cabo la libre designación y a su costa de Abogado y Procurador, con apercibimiento de que de no hacerlo dentro del plazo citado, se declarará terminado el proceso de amparo núm. 7715-2010, con archivo de las actuaciones.</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la extinción del objeto del expediente de justicia gratuita instado por el recurrente para la provisión de Abogado y Procurador de oficio en el presente recurso de amparo núm. 7715-2010, concediéndole un plazo de diez días para que realice dicha designación a su costa, apercibiéndole de que de no hacerlo dentro del plazo antes citado, se declarará terminado este procedimiento de amparo, archivándose las actuaciones.</w:t>
      </w:r>
    </w:p>
    <w:p w:rsidR="00B85568" w:rsidRDefault="00B85568" w:rsidP="00B85568">
      <w:pPr>
        <w:pStyle w:val="TextoNormal"/>
      </w:pPr>
    </w:p>
    <w:p w:rsidR="00B85568" w:rsidRDefault="00B85568" w:rsidP="00B85568">
      <w:pPr>
        <w:pStyle w:val="TextoNormal"/>
      </w:pPr>
      <w:r>
        <w:t>Madrid, a veintiocho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4" w:name="AUTO_2015_14"/>
      <w:r>
        <w:t>AUTO 14/2015, de 29 de enero de 2015</w:t>
      </w:r>
    </w:p>
    <w:bookmarkEnd w:id="164"/>
    <w:p w:rsidR="00B85568" w:rsidRDefault="00B85568" w:rsidP="00B85568">
      <w:pPr>
        <w:pStyle w:val="TtuloResolucin"/>
      </w:pPr>
      <w:r>
        <w:t>Sección Cuarta</w:t>
      </w:r>
    </w:p>
    <w:p w:rsidR="00B85568" w:rsidRDefault="00B85568" w:rsidP="00B85568">
      <w:pPr>
        <w:pStyle w:val="TextoNormalCentrado"/>
      </w:pPr>
      <w:r>
        <w:t>ECLI:ES:TC:2015:14A</w:t>
      </w:r>
    </w:p>
    <w:p w:rsidR="00B85568" w:rsidRDefault="00B85568" w:rsidP="00B85568">
      <w:pPr>
        <w:pStyle w:val="TextoNormalCentrado"/>
      </w:pPr>
    </w:p>
    <w:p w:rsidR="00B85568" w:rsidRDefault="00B85568" w:rsidP="00B85568">
      <w:pPr>
        <w:pStyle w:val="SntesisDescriptiva"/>
      </w:pPr>
      <w:r>
        <w:t>Excms. Srs. don Fernando Valdés Dal-Ré y don Ricardo Enríquez Sancho.</w:t>
      </w:r>
    </w:p>
    <w:p w:rsidR="00B85568" w:rsidRDefault="00B85568" w:rsidP="00B85568">
      <w:pPr>
        <w:pStyle w:val="SntesisDescriptiva"/>
      </w:pPr>
    </w:p>
    <w:p w:rsidR="00B85568" w:rsidRDefault="00B85568" w:rsidP="00B85568">
      <w:pPr>
        <w:pStyle w:val="SntesisDescriptiva"/>
      </w:pPr>
      <w:r>
        <w:t>Acepta una abstención en el recurso de amparo 6126-2013, promovido por Tribaba, S.L.,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presente recurso de amparo se impugna Sentencia de 25 de septiembre de 2013 dictada por la Sección Séptima de la Sala Tercera de lo Contencioso-Administrativo del Tribunal Supremo en el recurso de casación núm. 2461-2012 interpuesto contra Sentencia de 10 de mayo de 2012 dictada por la Sala de lo Contencioso-Administrativo del Tribunal Superior de Justicia de Asturias en el recurso núm. 478-2010.</w:t>
      </w:r>
    </w:p>
    <w:p w:rsidR="00B85568" w:rsidRDefault="00B85568" w:rsidP="00B85568">
      <w:pPr>
        <w:pStyle w:val="TextoNormal"/>
      </w:pPr>
    </w:p>
    <w:p w:rsidR="00B85568" w:rsidRDefault="00B85568" w:rsidP="00B85568">
      <w:pPr>
        <w:pStyle w:val="TextoNormal"/>
      </w:pPr>
      <w:r>
        <w:t>Mediante escrito fechado el 29 de enero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2461-2012 del que trae causa el presente recurso de amparo núm. 6126-2013.</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2461-2012 seguido en la Sección Séptima de la Sala Tercera de lo Contencioso-Administrativo del Tribunal Supremo que dictó la Sentencia de 25 de septiembre de 2013, resolución que ha sido impugnada en el presente recurso de amparo núm. 6126-2013.</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Antonio Narváez Rodríguez en el recurso de amparo núm. 6126-2013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veintinueve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5" w:name="AUTO_2015_15"/>
      <w:r>
        <w:t>AUTO 15/2015, de 29 de enero de 2015</w:t>
      </w:r>
    </w:p>
    <w:bookmarkEnd w:id="165"/>
    <w:p w:rsidR="00B85568" w:rsidRDefault="00B85568" w:rsidP="00B85568">
      <w:pPr>
        <w:pStyle w:val="TtuloResolucin"/>
      </w:pPr>
      <w:r>
        <w:t>Sección Cuarta</w:t>
      </w:r>
    </w:p>
    <w:p w:rsidR="00B85568" w:rsidRDefault="00B85568" w:rsidP="00B85568">
      <w:pPr>
        <w:pStyle w:val="TextoNormalCentrado"/>
      </w:pPr>
      <w:r>
        <w:t>ECLI:ES:TC:2015:15A</w:t>
      </w:r>
    </w:p>
    <w:p w:rsidR="00B85568" w:rsidRDefault="00B85568" w:rsidP="00B85568">
      <w:pPr>
        <w:pStyle w:val="TextoNormalCentrado"/>
      </w:pPr>
    </w:p>
    <w:p w:rsidR="00B85568" w:rsidRDefault="00B85568" w:rsidP="00B85568">
      <w:pPr>
        <w:pStyle w:val="SntesisDescriptiva"/>
      </w:pPr>
      <w:r>
        <w:t>Excms. Srs. don Fernando Valdés Dal-Ré y don Ricardo Enríquez Sancho.</w:t>
      </w:r>
    </w:p>
    <w:p w:rsidR="00B85568" w:rsidRDefault="00B85568" w:rsidP="00B85568">
      <w:pPr>
        <w:pStyle w:val="SntesisDescriptiva"/>
      </w:pPr>
    </w:p>
    <w:p w:rsidR="00B85568" w:rsidRDefault="00B85568" w:rsidP="00B85568">
      <w:pPr>
        <w:pStyle w:val="SntesisDescriptiva"/>
      </w:pPr>
      <w:r>
        <w:t>Acepta una abstención en el recurso de amparo 6128-2013, promovido por Grupo Gavia Playa, S.L.,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presente recurso de amparo se impugna Sentencia de 23 de septiembre de 2013 dictada por la Sección Séptima de la Sala Tercera de lo Contencioso-Administrativo del Tribunal Supremo en el recurso de casación núm. 2588-2012 interpuesto contra Sentencia de 22 de mayo de 2012 dictada por la Sala de lo Contencioso-Administrativo del Tribunal Superior de Justicia de Asturias en el recurso núm. 477-2010.</w:t>
      </w:r>
    </w:p>
    <w:p w:rsidR="00B85568" w:rsidRDefault="00B85568" w:rsidP="00B85568">
      <w:pPr>
        <w:pStyle w:val="TextoNormal"/>
      </w:pPr>
    </w:p>
    <w:p w:rsidR="00B85568" w:rsidRDefault="00B85568" w:rsidP="00B85568">
      <w:pPr>
        <w:pStyle w:val="TextoNormal"/>
      </w:pPr>
      <w:r>
        <w:t>Mediante escrito fechado el 29 de enero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2588-2012 del que trae causa el presente recurso de amparo núm. 6128-2013.</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2588-2012 seguido en la Sección Séptima de la Sala Tercera de lo Contencioso-Administrativo del Tribunal Supremo que dictó la Sentencia de 23 de septiembre de 2013, resolución que ha sido impugnada en el presente recurso de amparo núm. 6128-2013.</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Antonio Narváez Rodríguez en el recurso de amparo núm. 6128-2013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veintinueve de enero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6" w:name="AUTO_2015_16"/>
      <w:r>
        <w:t>AUTO 16/2015, de 2 de febrero de 2015</w:t>
      </w:r>
    </w:p>
    <w:bookmarkEnd w:id="166"/>
    <w:p w:rsidR="00B85568" w:rsidRDefault="00B85568" w:rsidP="00B85568">
      <w:pPr>
        <w:pStyle w:val="TtuloResolucin"/>
      </w:pPr>
      <w:r>
        <w:t>Sala Primera</w:t>
      </w:r>
    </w:p>
    <w:p w:rsidR="00B85568" w:rsidRDefault="00B85568" w:rsidP="00B85568">
      <w:pPr>
        <w:pStyle w:val="TextoNormalCentrado"/>
      </w:pPr>
      <w:r>
        <w:t>ECLI:ES:TC:2015:16A</w:t>
      </w:r>
    </w:p>
    <w:p w:rsidR="00B85568" w:rsidRDefault="00B85568" w:rsidP="00B85568">
      <w:pPr>
        <w:pStyle w:val="TextoNormalCentrado"/>
      </w:pPr>
    </w:p>
    <w:p w:rsidR="00B85568" w:rsidRDefault="00B85568" w:rsidP="00B85568">
      <w:pPr>
        <w:pStyle w:val="SntesisDescriptiva"/>
      </w:pPr>
      <w:r>
        <w:t>Excms. Srs. don Francisco Pérez de los Cobos Orihuel, don Luis Ignacio Ortega Álvarez,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Elevar al Pleno cuestión interna de inconstitucionalidad para dictar Sentencia del recurso de amparo 5886-2012.</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18 de octubre de 2012 el demandante interpuso recurso de amparo contra la resolución citada en el encabezamiento. Los hechos en los que se fundamenta la demanda son, sucintamente expuestos, los siguientes:</w:t>
      </w:r>
    </w:p>
    <w:p w:rsidR="00B85568" w:rsidRDefault="00B85568" w:rsidP="00B85568">
      <w:pPr>
        <w:pStyle w:val="TextoNormal"/>
      </w:pPr>
    </w:p>
    <w:p w:rsidR="00B85568" w:rsidRDefault="00B85568" w:rsidP="00B85568">
      <w:pPr>
        <w:pStyle w:val="TextoNormal"/>
      </w:pPr>
      <w:r>
        <w:t>a) Frente a Hércules club de fútbol, Sociedad Anónima Deportiva (S.A.D.), y el Fondo de garantía salarial, se siguieron los autos de despido núm. 416-2011 (a los que se acumularon los autos núm. 418-2011, 421-2011 y 422-2011) a instancia de tres entrenadores y un preparador físico del equipo de fútbol de esa sociedad deportiva.</w:t>
      </w:r>
    </w:p>
    <w:p w:rsidR="00B85568" w:rsidRDefault="00B85568" w:rsidP="00B85568">
      <w:pPr>
        <w:pStyle w:val="TextoNormal"/>
      </w:pPr>
    </w:p>
    <w:p w:rsidR="00B85568" w:rsidRDefault="00B85568" w:rsidP="00B85568">
      <w:pPr>
        <w:pStyle w:val="TextoNormal"/>
      </w:pPr>
      <w:r>
        <w:t>b) Habiendo sido declarada en concurso voluntario la referida sociedad por Auto del Juzgado de lo Mercantil núm. 1 de Alicante, de 5 de julio de 2011, las demandas de despido fueron ampliadas frente a los administradores concursales.</w:t>
      </w:r>
    </w:p>
    <w:p w:rsidR="00B85568" w:rsidRDefault="00B85568" w:rsidP="00B85568">
      <w:pPr>
        <w:pStyle w:val="TextoNormal"/>
      </w:pPr>
    </w:p>
    <w:p w:rsidR="00B85568" w:rsidRDefault="00B85568" w:rsidP="00B85568">
      <w:pPr>
        <w:pStyle w:val="TextoNormal"/>
      </w:pPr>
      <w:r>
        <w:t>c) Por Sentencia del Juzgado de lo Social núm. 6 de Alicante, de 20 de enero de 2012, se estimaron parcialmente las demandas de despido declarándose su improcedencia y condenando al referido club al abono en concepto de indemnización de un total de 1.594.729,5 €.</w:t>
      </w:r>
    </w:p>
    <w:p w:rsidR="00B85568" w:rsidRDefault="00B85568" w:rsidP="00B85568">
      <w:pPr>
        <w:pStyle w:val="TextoNormal"/>
      </w:pPr>
    </w:p>
    <w:p w:rsidR="00B85568" w:rsidRDefault="00B85568" w:rsidP="00B85568">
      <w:pPr>
        <w:pStyle w:val="TextoNormal"/>
      </w:pPr>
      <w:r>
        <w:t>d) Con fecha de 27 de marzo de 2012 tuvo entrada en el Juzgado de lo Social núm. 6 de Alicante, escrito de la parte demandada por el que se anunciaba el propósito de recurrir en suplicación la Sentencia de ese Juzgado, de 20 de enero de 2012. En cuanto al requisito de la consignación de la cantidad adeudada para recurrir [art. 230.1 de la Ley 36/2011, de 10 de octubre, reguladora de la jurisdicción social (LJS)] se señalaba en el referido escrito que dada la situación concursal de esa entidad, la garantía a la que tal consignación estaba dirigida se veía suficientemente cumplida con el reconocimiento por los administradores concursales de las cantidades objeto de condena como “créditos contingentes sin cuantía propia con la calificación de ordinarios, y provisionalmente cuantificados en los mismos importes fijados en aquella Sentencia”. En todo caso, se añadía que, como había también certificado la administración concursal, dada la situación económica de la empresa concursada y el elevado importe de las condenas reconocidas a favor de los actores, una consignación de sus respectivas cantidades podría afectar gravemente a la actividad ordinaria de aquella entidad, toda vez que comprometería gravemente la atención de los costes ordinarios e indispensables para el mantenimiento de dicha actividad y, con ello, la propia viabilidad de la empresa dado su especial objeto social consistente en la participación en competiciones deportivas de carácter profesional (art. 19.3 de la Ley 10/1990, de 15 de octubre, del deporte). Finalmente, se hizo también referencia a que debido a su situación concursal, resultaba imposible obtener aval bancario en los términos del art. 230 LJS, tal y como se acreditaba en documento adjunto, al haber sido solicitado por la administración concursal y haber condicionado la entidad bancaria su concesión a la presentación de una “garantía pignoraticia plena”.</w:t>
      </w:r>
    </w:p>
    <w:p w:rsidR="00B85568" w:rsidRDefault="00B85568" w:rsidP="00B85568">
      <w:pPr>
        <w:pStyle w:val="TextoNormal"/>
      </w:pPr>
    </w:p>
    <w:p w:rsidR="00B85568" w:rsidRDefault="00B85568" w:rsidP="00B85568">
      <w:pPr>
        <w:pStyle w:val="TextoNormal"/>
      </w:pPr>
      <w:r>
        <w:t>e) Por providencia de 16 de abril de 2012, el Juzgado concedió a la entidad deportiva un plazo de cinco días para que procediese a subsanar la falta de consignación de la cantidad objeto de condena, bajo apercibimiento de poner fin al trámite del recurso.</w:t>
      </w:r>
    </w:p>
    <w:p w:rsidR="00B85568" w:rsidRDefault="00B85568" w:rsidP="00B85568">
      <w:pPr>
        <w:pStyle w:val="TextoNormal"/>
      </w:pPr>
    </w:p>
    <w:p w:rsidR="00B85568" w:rsidRDefault="00B85568" w:rsidP="00B85568">
      <w:pPr>
        <w:pStyle w:val="TextoNormal"/>
      </w:pPr>
      <w:r>
        <w:t>f) Con fecha de registro de 10 de mayo de 2012, Hércules club de fútbol, S.A.D., presentó escrito ante el Juzgado reiterando las manifestaciones indicadas en el escrito de anuncio del recurso de suplicación, y añadiendo que, aún en el caso de que se pudiera consignar (que no era el caso) la elevada cantidad objeto de condena, se tendría que haber dejado de pagar, entre otros gastos corrientes, a toda la plantilla que presta servicios para la entidad y, especialmente, a los jugadores, poniendo en peligro sus posibilidades de ascenso e incurriendo, con ello, en una causa de expulsión de la Liga Nacional de Fútbol Profesional y de sus competiciones, en tanto que el derecho de participación de ese club en la competición oficial profesional se vinculaba al hecho de estar al corriente de las deudas con sus jugadores a fecha de 31 de julio de cada año.</w:t>
      </w:r>
    </w:p>
    <w:p w:rsidR="00B85568" w:rsidRDefault="00B85568" w:rsidP="00B85568">
      <w:pPr>
        <w:pStyle w:val="TextoNormal"/>
      </w:pPr>
    </w:p>
    <w:p w:rsidR="00B85568" w:rsidRDefault="00B85568" w:rsidP="00B85568">
      <w:pPr>
        <w:pStyle w:val="TextoNormal"/>
      </w:pPr>
      <w:r>
        <w:t>g) Por medio de Auto de 16 de mayo de 2012, el Juzgado tuvo por no anunciado el recurso de suplicación por falta de cumplimiento del requisito de la consignación preceptuado en el art. 230.1 LJS.</w:t>
      </w:r>
    </w:p>
    <w:p w:rsidR="00B85568" w:rsidRDefault="00B85568" w:rsidP="00B85568">
      <w:pPr>
        <w:pStyle w:val="TextoNormal"/>
      </w:pPr>
    </w:p>
    <w:p w:rsidR="00B85568" w:rsidRDefault="00B85568" w:rsidP="00B85568">
      <w:pPr>
        <w:pStyle w:val="TextoNormal"/>
      </w:pPr>
      <w:r>
        <w:t>h) Formulado recurso de queja por Hércules Club de Fútbol, S.A.D., fue desestimado por Auto de la Sala de lo Social del Tribunal Superior de Justicia de la Comunidad Valenciana, de 30 de julio de 2012. La Sala, tras hacer referencia al carácter insubsanable de la falta total de consignación, señala que la queja de la parte no podía prosperar teniendo en cuenta que la vigente Ley concursal (Ley 22/2003, de 9 de julio) no había introducido respecto a la obligación de consignación ninguna modificación al respecto, que la mera admisión del concurso no era equiparable a insolvencia y a falta de liquidez, y que cabía que la administración concursal o el Juez mercantil autorizasen la consignación. A lo anterior se añadía que el problema planteado carecía de dimensión constitucional al afectar al acceso al recurso, que es un derecho de configuración legal. Posteriormente, se prosigue diciendo que la Ley de procedimiento laboral exonera de la consignación a quienes hubieran obtenido el beneficio de justicia gratuita, y aunque se reconoce que la entidad demandada no hubiera podido acceder a tal beneficio conforme a las exigencias de la Ley 1/1996, de justicia gratuita (que limita tal posibilidad solo a determinadas personas jurídicas entre las que no se encontraba la recurrente), no constaba, sin embargo, que lo hubiera solicitado.</w:t>
      </w:r>
    </w:p>
    <w:p w:rsidR="00B85568" w:rsidRDefault="00B85568" w:rsidP="00B85568">
      <w:pPr>
        <w:pStyle w:val="TextoNormal"/>
      </w:pPr>
    </w:p>
    <w:p w:rsidR="00B85568" w:rsidRDefault="00B85568" w:rsidP="00B85568">
      <w:pPr>
        <w:pStyle w:val="TextoNormal"/>
      </w:pPr>
      <w:r w:rsidRPr="00B85568">
        <w:rPr>
          <w:rStyle w:val="NumeroAFNegritaCaracter"/>
        </w:rPr>
        <w:t>2</w:t>
      </w:r>
      <w:r>
        <w:t>. En el recurso de amparo, la entidad recurrente alega la infracción del derecho a la tutela judicial efectiva (art. 24.1 CE), en su vertiente de acceso a los recursos legalmente previstos por la Ley, en tanto que, a su juicio, concurrirían en el caso circunstancias excepcionales que convertirían el requisito de consignar o avalar la cantidad adeudada para recurrir (previsto en el art. 230.1 de la Ley 36/2011, de 10 de octubre, reguladora de la jurisdicción social) en un auténtico obstáculo insuperable para el acceso al recurso de suplicación y para obtener la tutela judicial efectiva. En segundo lugar, de forma subsidiaria, la entidad recurrente también imputa a la Sentencia del Juzgado de lo Social impugnada, que estimó parcialmente la demanda de despido articulada en su contra, la vulneración del derecho a la tutela judicial efectiva (art. 24.1 CE) por considerar que incurre en error patente.</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providencia de la Sala Primera de este Tribunal, de 9 de septiembre de 2013, se acordó la admisión a trámite del recurso de amparo y, en aplicación del art. 51 de la Ley Orgánica del Tribunal Constitucional, dirigir comunicación a la Sala de lo Social del Tribunal Superior de Justicia de la Comunidad Valenciana para que remitiera testimonio del recurso de queja núm.1644-2012, así como al Juzgado de lo Social núm. 6 de Alicante para que hiciera lo propio de los autos núm. 416-2011 y para que también emplazase a quienes hubiesen sido parte en el procedimiento, excepto la parte recurrente en amparo, a los efectos de que pudieran comparecer en el presente recurso.</w:t>
      </w:r>
    </w:p>
    <w:p w:rsidR="00B85568" w:rsidRDefault="00B85568" w:rsidP="00B85568">
      <w:pPr>
        <w:pStyle w:val="TextoNormal"/>
      </w:pPr>
    </w:p>
    <w:p w:rsidR="00B85568" w:rsidRDefault="00B85568" w:rsidP="00B85568">
      <w:pPr>
        <w:pStyle w:val="TextoNormal"/>
      </w:pPr>
      <w:r w:rsidRPr="00B85568">
        <w:rPr>
          <w:rStyle w:val="NumeroAFNegritaCaracter"/>
        </w:rPr>
        <w:t>4</w:t>
      </w:r>
      <w:r>
        <w:t>. Por medio de escrito con fecha de registro de 11 de octubre de 2013, el Procurador de los Tribunales don Ramiro Reynolds Martínez, en representación de don Esteban Vigo Benítez, don José Manuel Ortega Jiménez, don José Luis González Vázquez y don Antonio Méndez Méndez, se personó en este proceso constitucional. Por escrito con fecha de registro de 13 de enero de 2014, el Ministerio Fiscal presentó sus alegaciones.</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art. 55.2 de la Ley Orgánica del Tribunal Constitucional, tras la reforma operada por la Ley Orgánica 6/2007, de 24 de mayo, dispone que “en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w:t>
      </w:r>
    </w:p>
    <w:p w:rsidR="00B85568" w:rsidRDefault="00B85568" w:rsidP="00B85568">
      <w:pPr>
        <w:pStyle w:val="TextoNormal"/>
      </w:pPr>
    </w:p>
    <w:p w:rsidR="00B85568" w:rsidRDefault="00B85568" w:rsidP="00B85568">
      <w:pPr>
        <w:pStyle w:val="TextoNormal"/>
      </w:pPr>
      <w:r>
        <w:t>Como ha quedado expuesto con más detalle en los antecedentes, la parte recurrente vio inadmitido su recurso de suplicación por no haber cumplimentado la consignación que establece el artículo 230.1 de la Ley 36/2011, de 10 de octubre, reguladora de la jurisdicción social que señala que “cuando la sentencia impugnada hubiere condenado al pago de cantidad, será indispensable que el recurrente que no gozare del derecho de asistencia jurídica gratuita acredite, al anunciar el recurso de suplicación o al preparar el recurso de casación, haber consignado en la oportuna entidad de crédito y en la cuenta de depósitos y consignaciones abierta a nombre del órgano jurisdiccional, la cantidad objeto de la condena, pudiendo sustituirse la consignación en metálico por el aseguramiento mediante aval solidario de duración indefinida y pagadero a primer requerimiento emitido por entidad de crédito. En este último caso, el documento de aseguramiento quedará registrado y depositado en la oficina judicial. El secretario expedirá testimonio del mismo para su unión a autos, facilitando el oportuno recibo”.</w:t>
      </w:r>
    </w:p>
    <w:p w:rsidR="00B85568" w:rsidRDefault="00B85568" w:rsidP="00B85568">
      <w:pPr>
        <w:pStyle w:val="TextoNormal"/>
      </w:pPr>
    </w:p>
    <w:p w:rsidR="00B85568" w:rsidRDefault="00B85568" w:rsidP="00B85568">
      <w:pPr>
        <w:pStyle w:val="TextoNormal"/>
      </w:pPr>
      <w:r>
        <w:t>La entidad recurrente alega la infracción del derecho a la tutela judicial efectiva (art. 24.1 CE), en su vertiente de acceso a los recursos legalmente previstos por la Ley, en tanto que, a su juicio, concurrirían en el caso circunstancias excepcionales que convertirían el requisito de consignar o avalar la cantidad adeudada para recurrir (previsto en el art. 230.1 de la Ley 36/2011, de 10 de octubre, reguladora de la jurisdicción social) en un auténtico obstáculo insuperable para el acceso al recurso de suplicación y para obtener la tutela judicial efectiva.</w:t>
      </w:r>
    </w:p>
    <w:p w:rsidR="00B85568" w:rsidRDefault="00B85568" w:rsidP="00B85568">
      <w:pPr>
        <w:pStyle w:val="TextoNormal"/>
      </w:pPr>
    </w:p>
    <w:p w:rsidR="00B85568" w:rsidRDefault="00B85568" w:rsidP="00B85568">
      <w:pPr>
        <w:pStyle w:val="TextoNormal"/>
      </w:pPr>
      <w:r>
        <w:t>Esta Sala estima que procedería la estimación de la demanda de amparo presentada por la colisión del artículo citado con el art. 24 CE, en cuanto que pudiera establecer un obstáculo no razonable para el acceso a los recursos previstos en la ley.</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Elevar al Pleno cuestión interna de inconstitucionalidad, con suspensión del plazo para dictar Sentencia del recurso de amparo núm. 5886-2012, sobre el art. 230.1 de la Ley 36/2011, de 10 de octubre, reguladora de la jurisdicción social, en los términos establecidos en el fundamento jurídico único.</w:t>
      </w:r>
    </w:p>
    <w:p w:rsidR="00B85568" w:rsidRDefault="00B85568" w:rsidP="00B85568">
      <w:pPr>
        <w:pStyle w:val="TextoNormal"/>
      </w:pPr>
    </w:p>
    <w:p w:rsidR="00B85568" w:rsidRDefault="00B85568" w:rsidP="00B85568">
      <w:pPr>
        <w:pStyle w:val="TextoNormal"/>
      </w:pPr>
      <w:r>
        <w:t>Madrid, a dos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7" w:name="AUTO_2015_17"/>
      <w:r>
        <w:t>AUTO 17/2015, de 2 de febrero de 2015</w:t>
      </w:r>
    </w:p>
    <w:bookmarkEnd w:id="167"/>
    <w:p w:rsidR="00B85568" w:rsidRDefault="00B85568" w:rsidP="00B85568">
      <w:pPr>
        <w:pStyle w:val="TtuloResolucin"/>
      </w:pPr>
      <w:r>
        <w:t>Sala Primera</w:t>
      </w:r>
    </w:p>
    <w:p w:rsidR="00B85568" w:rsidRDefault="00B85568" w:rsidP="00B85568">
      <w:pPr>
        <w:pStyle w:val="TextoNormalCentrado"/>
      </w:pPr>
      <w:r>
        <w:t>ECLI:ES:TC:2015:17A</w:t>
      </w:r>
    </w:p>
    <w:p w:rsidR="00B85568" w:rsidRDefault="00B85568" w:rsidP="00B85568">
      <w:pPr>
        <w:pStyle w:val="TextoNormalCentrado"/>
      </w:pPr>
    </w:p>
    <w:p w:rsidR="00B85568" w:rsidRDefault="00B85568" w:rsidP="00B85568">
      <w:pPr>
        <w:pStyle w:val="SntesisDescriptiva"/>
      </w:pPr>
      <w:r>
        <w:t>Excms. Srs. don Francisco Pérez de los Cobos Orihuel, don Luis Ignacio Ortega Álvarez,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Deniega la aclaración de la Sentencia 200/2014, de 15 de diciembre, dictada en el recurso de amparo 405-2013, promovido por don Luis de Velasco Rami, portavoz del Grupo Parlamentario de Unión Progreso y Democracia en la Asamblea de Madrid.</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23 de diciembre de 2014, ha sido notificada a la Procuradora de los Tribunales doña Maria José Bueno Ramírez la STC 200/2014, de 15 de diciembre, recaída en el recurso de amparo núm. 405-2013, promovido por don Luis de Velasco Rami, portavoz del Grupo Parlamentario de Unión Progreso y Democracia en la Asamblea de Madrid, contra los acuerdos de la Mesa de la Asamblea de Madrid de 24 de septiembre de 2012, que dispuso la inadmisión de la proposición no de ley 76-2012, y de 12 de octubre de 2012, desestimatorio de la reconsideración; de 1 de octubre de 2012, que dispuso la inadmisión de la proposición no de ley 81-2012, y de 29 de octubre de 2012, desestimatorio de la reconsideración; de 8 de octubre de 2012, que dispuso la inadmisión de la interpelación 20-2012, y de 5 de noviembre de 2012, desestimatorio de la reconsideración; de 22 de octubre de 2012, que dispuso la inadmisión de la pregunta parlamentaria 697-2012, y de 19 de noviembre de 2012, desestimatorio de la reconsideración; de 12 de noviembre de 2012, que dispuso la inadmisión de la proposición no de ley 104-2012, y de 3 de diciembre de 2012, desestimatorio de la reconsideración.</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Con fecha 29 de diciembre de 2014, ha tenido entrada en este Tribunal un escrito de doña Maria José Bueno Ramírez, Procuradora de los Tribunales, que actúa en representación del Grupo Parlamentario de Unión Progreso y Democracia en la Asamblea de Madrid y de don Luis de Velasco Rami, portavoz del mismo, solicitando aclaración de dicha Sentencia, de acuerdo con lo previsto en el art. 93 de la Ley Orgánica del Tribunal Constitucional, en el que señala que existe un error material en la fecha de notificación del acuerdo de la Mesa de la Asamblea de Madrid relativo a la proposición no de ley 76-2012; en consecuencia, aduce que aunque el Tribunal Constitucional afirma que la queja dirigida contra dicho Acuerdo resulta extemporánea al tomar como </w:t>
      </w:r>
      <w:r w:rsidRPr="00B85568">
        <w:rPr>
          <w:i/>
        </w:rPr>
        <w:t>dies a quo</w:t>
      </w:r>
      <w:r>
        <w:t xml:space="preserve"> el 16 de octubre, el citado acuerdo fue notificado en fecha 19 de octubre de 2012, por lo que el recurso se habría interpuesto dentro de plazo, siendo necesario rectificar y subsidiariamente completar la citada Sentencia.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art. 93.1 de la Ley Orgánica del Tribunal Constitucional establece que en el plazo de dos días, a contar desde la notificación, las partes podrán solicitar la aclaración de la Sentencia. Ahora bien, como hemos expresado en reiteradas ocasiones, la solicitud de aclaración no constituye un medio de impugnación encaminado a la sustitución o revisión de la decisión adoptada, pues contra las Sentencias del Tribunal Constitucional no cabe recurso alguno (entre otros, AATC 363/2007, de 11 de septiembre; 439/2006, de 11 de diciembre; 70/2008, de 26 de febrero, y 32/2010, de 2 de marzo).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que no ha lugar a la aclaración solicitada.</w:t>
      </w:r>
    </w:p>
    <w:p w:rsidR="00B85568" w:rsidRDefault="00B85568" w:rsidP="00B85568">
      <w:pPr>
        <w:pStyle w:val="TextoNormal"/>
      </w:pPr>
    </w:p>
    <w:p w:rsidR="00B85568" w:rsidRDefault="00B85568" w:rsidP="00B85568">
      <w:pPr>
        <w:pStyle w:val="TextoNormal"/>
      </w:pPr>
      <w:r>
        <w:t>Madrid, a dos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8" w:name="AUTO_2015_18"/>
      <w:r>
        <w:t>AUTO 18/2015, de 2 de febrero de 2015</w:t>
      </w:r>
    </w:p>
    <w:bookmarkEnd w:id="168"/>
    <w:p w:rsidR="00B85568" w:rsidRDefault="00B85568" w:rsidP="00B85568">
      <w:pPr>
        <w:pStyle w:val="TtuloResolucin"/>
      </w:pPr>
      <w:r>
        <w:t>Sección Primera</w:t>
      </w:r>
    </w:p>
    <w:p w:rsidR="00B85568" w:rsidRDefault="00B85568" w:rsidP="00B85568">
      <w:pPr>
        <w:pStyle w:val="TextoNormalCentrado"/>
      </w:pPr>
      <w:r>
        <w:t>ECLI:ES:TC:2015:18A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SntesisDescriptiva"/>
      </w:pPr>
      <w:r>
        <w:t>Estima el recurso de súplica del Ministerio Fiscal sobre inadmisión del recurso de amparo 4887-2013, promovido por doña Nouria Taibi en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xml:space="preserve">. Mediante escrito registrado en este Tribunal el 31 de julio de 2013, la Procuradora de los Tribunales doña Esperanza Martín Pulido, en nombre y representación de doña Nouria Taibi, y bajo la dirección del Letrado don Jaime Campaner Muñoz, presentó demanda de amparo contra la providencia del Juzgado de Instrucción núm. 12 de Palma de Mallorca de 26 de julio de 2013, por la que se acuerda no haber lugar a la apertura del incidente de nulidad de actuaciones interpuesto contra el Auto de 11 de julio de 2013, por el que acuerda denegar la incoación de procedimiento de </w:t>
      </w:r>
      <w:r w:rsidRPr="00B85568">
        <w:rPr>
          <w:i/>
        </w:rPr>
        <w:t>habeas corpus</w:t>
      </w:r>
      <w:r>
        <w:t xml:space="preserve"> núm. 4-2013.</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La recurrente aduce en su demanda de amparo que la decisión judicial de inadmitir la incoación del procedimiento de </w:t>
      </w:r>
      <w:r w:rsidRPr="00B85568">
        <w:rPr>
          <w:i/>
        </w:rPr>
        <w:t>habeas corpus</w:t>
      </w:r>
      <w:r>
        <w:t xml:space="preserve"> habría vulnerado sus derechos a la libertad (art. 17.1 y 2 CE) y a la tutela judicial efectiva (art. 24.1 CE), ya que se fundamentó en razones de fondo sobre la legalidad de la detención, lo que es contrario a jurisprudencia constante y reiterada del Tribunal Constitucional. La recurrente expone en su demanda que en este caso, la solicitud de </w:t>
      </w:r>
      <w:r w:rsidRPr="00B85568">
        <w:rPr>
          <w:i/>
        </w:rPr>
        <w:t>habeas corpus</w:t>
      </w:r>
      <w:r>
        <w:t xml:space="preserve"> se fundamentó en la ilegalidad de la detención por realizarse sobre una persona sin antecedentes, por un simple delito de falsedad y por prolongarse indebidamente la situación de privación de libertad, aduciéndose como motivo de denegación que dichas alegaciones no podían encuadrarse en ninguno de los apartados del artículo 1 de la Ley Orgánica 6/1984, de 24 de mayo, reguladora del procedimiento de </w:t>
      </w:r>
      <w:r w:rsidRPr="00B85568">
        <w:rPr>
          <w:i/>
        </w:rPr>
        <w:t>habeas corpus</w:t>
      </w:r>
      <w:r>
        <w:t xml:space="preserve"> (LOHC).</w:t>
      </w:r>
    </w:p>
    <w:p w:rsidR="00B85568" w:rsidRDefault="00B85568" w:rsidP="00B85568">
      <w:pPr>
        <w:pStyle w:val="TextoNormal"/>
      </w:pPr>
    </w:p>
    <w:p w:rsidR="00B85568" w:rsidRDefault="00B85568" w:rsidP="00B85568">
      <w:pPr>
        <w:pStyle w:val="TextoNormal"/>
      </w:pPr>
      <w:r w:rsidRPr="00B85568">
        <w:rPr>
          <w:rStyle w:val="NumeroAFNegritaCaracter"/>
        </w:rPr>
        <w:t>3</w:t>
      </w:r>
      <w:r>
        <w:t>. La Sección Primera de este Tribunal, mediante providencia de 5 de febrero de 2014, acordó no admitir el recurso a trámite, con arreglo a lo previsto en el art. 50.1 a) de la Ley Orgánica del Tribunal Constitucional, dada la manifiesta inexistencia de violación de un derecho fundamental tutelable en amparo.</w:t>
      </w:r>
    </w:p>
    <w:p w:rsidR="00B85568" w:rsidRDefault="00B85568" w:rsidP="00B85568">
      <w:pPr>
        <w:pStyle w:val="TextoNormal"/>
      </w:pPr>
    </w:p>
    <w:p w:rsidR="00B85568" w:rsidRDefault="00B85568" w:rsidP="00B85568">
      <w:pPr>
        <w:pStyle w:val="TextoNormal"/>
      </w:pPr>
      <w:r w:rsidRPr="00B85568">
        <w:rPr>
          <w:rStyle w:val="NumeroAFNegritaCaracter"/>
        </w:rPr>
        <w:t>4</w:t>
      </w:r>
      <w:r>
        <w:t xml:space="preserve">. El Ministerio Fiscal, por escrito registrado el 27 de febrero de 2014, interpuso recurso de súplica contra dicha providencia, solicitando que fuera dejada sin efecto y se repusieran las actuaciones para que se decidiera nuevamente sobre la admisión de la demanda de amparo. Se argumenta que no cabe afirmar una manifiesta inexistencia de la vulneración aducida del derecho a la libertad, ya que la solicitud de </w:t>
      </w:r>
      <w:r w:rsidRPr="00B85568">
        <w:rPr>
          <w:i/>
        </w:rPr>
        <w:t>habeas corpus</w:t>
      </w:r>
      <w:r>
        <w:t xml:space="preserve"> se había fundamentado en la eventual ilegalidad de la detención vinculada a una prolongación indebida de la misma. Sin embargo, la decisión de inadmisión se fundamenta en que no concurría ninguna de las circunstancias del art. 1 LOHC, lo que es un motivo de fondo que no habilita para justificar una inadmisión liminar del procedimiento de </w:t>
      </w:r>
      <w:r w:rsidRPr="00B85568">
        <w:rPr>
          <w:i/>
        </w:rPr>
        <w:t>habeas corpus</w:t>
      </w:r>
      <w:r>
        <w:t>.</w:t>
      </w:r>
    </w:p>
    <w:p w:rsidR="00B85568" w:rsidRDefault="00B85568" w:rsidP="00B85568">
      <w:pPr>
        <w:pStyle w:val="TextoNormal"/>
      </w:pPr>
    </w:p>
    <w:p w:rsidR="00B85568" w:rsidRDefault="00B85568" w:rsidP="00B85568">
      <w:pPr>
        <w:pStyle w:val="TextoNormal"/>
      </w:pPr>
      <w:r>
        <w:t>El Ministerio Fiscal también sostiene que la demanda tiene la especial trascendencia constitucional aducida por la recurrente, ya que existe por parte del órgano judicial, una negativa manifiesta al deber de acatamiento de una doctrina constitucional reiterada que le fue puesta de manifiesto al órgano judicial y también concurre un incumplimiento reiterado y generalizado de la doctrina constitucional en esta materia, reconocido en las SSTC 12/2014, de 27 de enero, y 21/2014, de 10 de febrero.</w:t>
      </w:r>
    </w:p>
    <w:p w:rsidR="00B85568" w:rsidRDefault="00B85568" w:rsidP="00B85568">
      <w:pPr>
        <w:pStyle w:val="TextoNormal"/>
      </w:pPr>
    </w:p>
    <w:p w:rsidR="00B85568" w:rsidRDefault="00B85568" w:rsidP="00B85568">
      <w:pPr>
        <w:pStyle w:val="TextoNormal"/>
      </w:pPr>
      <w:r w:rsidRPr="00B85568">
        <w:rPr>
          <w:rStyle w:val="NumeroAFNegritaCaracter"/>
        </w:rPr>
        <w:t>5</w:t>
      </w:r>
      <w:r>
        <w:t>. La Secretaría de Justicia de la Sección Primera de este Tribunal, por diligencia de ordenación de 28 de febrero de 2014, acordó dar traslado del recurso de súplica para alegaciones a la demandante, quien por escrito registrado el 6 de marzo de 2014 se adhirió en todos sus términos a los argumentos esgrimidos en dicho recurso.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examen de la demanda y de las actuaciones recibidas, a la vista de las alegaciones del Ministerio Fiscal expuestas en el recurso de súplica y de la jurisprudencia de este Tribunal sobre el particular, pone de relieve que no puede concluirse que la vulneración del derecho fundamental a la libertad (art. 17 CE) aducida por la recurrente sea manifiestamente inexistente.</w:t>
      </w:r>
    </w:p>
    <w:p w:rsidR="00B85568" w:rsidRDefault="00B85568" w:rsidP="00B85568">
      <w:pPr>
        <w:pStyle w:val="TextoNormal"/>
      </w:pPr>
    </w:p>
    <w:p w:rsidR="00B85568" w:rsidRDefault="00B85568" w:rsidP="00B85568">
      <w:pPr>
        <w:pStyle w:val="TextoNormal"/>
      </w:pPr>
      <w:r>
        <w:t>Por tanto, con estimación del recurso de súplica interpuesto, procede dejar sin efecto la providencia impugnada y reponer las actuaciones a ese momento procesal para que se tome una nueva decisión sobre la admisión de la demanda de amparo.</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el recurso de súplica interpuesto por el Ministerio Fiscal contra la providencia de 5 de febrero de 2014, que se deja sin efecto, y reponer las actuaciones al momento anterior a dictarse la providencia anulada.</w:t>
      </w:r>
    </w:p>
    <w:p w:rsidR="00B85568" w:rsidRDefault="00B85568" w:rsidP="00B85568">
      <w:pPr>
        <w:pStyle w:val="TextoNormal"/>
      </w:pPr>
    </w:p>
    <w:p w:rsidR="00B85568" w:rsidRDefault="00B85568" w:rsidP="00B85568">
      <w:pPr>
        <w:pStyle w:val="TextoNormal"/>
      </w:pPr>
      <w:r>
        <w:t>Madrid, a dos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69" w:name="AUTO_2015_19"/>
      <w:r>
        <w:t>AUTO 19/2015, de 2 de febrero de 2015</w:t>
      </w:r>
    </w:p>
    <w:bookmarkEnd w:id="169"/>
    <w:p w:rsidR="00B85568" w:rsidRDefault="00B85568" w:rsidP="00B85568">
      <w:pPr>
        <w:pStyle w:val="TtuloResolucin"/>
      </w:pPr>
      <w:r>
        <w:t>Sección Segunda</w:t>
      </w:r>
    </w:p>
    <w:p w:rsidR="00B85568" w:rsidRDefault="00B85568" w:rsidP="00B85568">
      <w:pPr>
        <w:pStyle w:val="TextoNormalCentrado"/>
      </w:pPr>
      <w:r>
        <w:t>ECLI:ES:TC:2015:19A</w:t>
      </w:r>
    </w:p>
    <w:p w:rsidR="00B85568" w:rsidRDefault="00B85568" w:rsidP="00B85568">
      <w:pPr>
        <w:pStyle w:val="TextoNormalCentrado"/>
      </w:pPr>
    </w:p>
    <w:p w:rsidR="00B85568" w:rsidRDefault="00B85568" w:rsidP="00B85568">
      <w:pPr>
        <w:pStyle w:val="SntesisDescriptiva"/>
      </w:pPr>
      <w:r>
        <w:t>Excms. Srs. don Luis Ignacio Ortega Álvarez,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70" w:name="AUTO_2015_20"/>
      <w:r>
        <w:t>AUTO 20/2015, de 3 de febrero de 2015</w:t>
      </w:r>
    </w:p>
    <w:bookmarkEnd w:id="170"/>
    <w:p w:rsidR="00B85568" w:rsidRDefault="00B85568" w:rsidP="00B85568">
      <w:pPr>
        <w:pStyle w:val="TtuloResolucin"/>
      </w:pPr>
      <w:r>
        <w:t>Pleno</w:t>
      </w:r>
    </w:p>
    <w:p w:rsidR="00B85568" w:rsidRDefault="00B85568" w:rsidP="00B85568">
      <w:pPr>
        <w:pStyle w:val="TextoNormalCentrado"/>
      </w:pPr>
      <w:r>
        <w:t>ECLI:ES:TC:2015:20A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4430-2014, planteada por la Sala de lo Contencioso-Administrativo de la Audiencia Nacional en relación con el artículo 191.6 de la Ley 58/2003, de 17 de diciembre, general tributaria.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xml:space="preserve">. El día 4 de julio de 2014 tuvo entrada en el Registro General de este Tribunal un escrito de la Sala de lo Contencioso-Administrativo, Sección Sexta, de la Audiencia Nacional, al que se acompaña, junto al testimonio del correspondiente procedimiento, el Auto de 3 de junio de 2014, mediante el que se acuerda elevar a este Tribunal cuestión de inconstitucionalidad respecto del art. 191.6 de la Ley 58/2003, de 17 de diciembre, general tributaria (LGT en lo que sigue), en relación con el art. 191.1.4 y 191.2 </w:t>
      </w:r>
      <w:r w:rsidRPr="00B85568">
        <w:rPr>
          <w:i/>
        </w:rPr>
        <w:t>in fine</w:t>
      </w:r>
      <w:r>
        <w:t>, del mismo texto legal, por posible vulneración de los arts. 14, 31.1, 9.3 y 25.1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presente cuestión de inconstitucionalidad son, en síntesis, los siguientes:</w:t>
      </w:r>
    </w:p>
    <w:p w:rsidR="00B85568" w:rsidRDefault="00B85568" w:rsidP="00B85568">
      <w:pPr>
        <w:pStyle w:val="TextoNormal"/>
      </w:pPr>
    </w:p>
    <w:p w:rsidR="00B85568" w:rsidRDefault="00B85568" w:rsidP="00B85568">
      <w:pPr>
        <w:pStyle w:val="TextoNormal"/>
      </w:pPr>
      <w:r>
        <w:t>a) Mediante acuerdo de liquidación de 16 de marzo de 2010, dictado por la dependencia regional de inspección de la Delegación de la Agencia estatal de administración tributaria (AEAT) de Castilla y León, se exigió al demandante el pago de una cuota de 95.376,61 € y, en acuerdo sancionador separado de la misma fecha, se impuso entre otras una sanción de 344.379,28 €, a la que se ciñe la presente controversia.</w:t>
      </w:r>
    </w:p>
    <w:p w:rsidR="00B85568" w:rsidRDefault="00B85568" w:rsidP="00B85568">
      <w:pPr>
        <w:pStyle w:val="TextoNormal"/>
      </w:pPr>
    </w:p>
    <w:p w:rsidR="00B85568" w:rsidRDefault="00B85568" w:rsidP="00B85568">
      <w:pPr>
        <w:pStyle w:val="TextoNormal"/>
      </w:pPr>
      <w:r>
        <w:t>La sanción recurrida es consecuencia de la regularización llevada a cabo por la Inspección de los tributos con respecto de la declaración-liquidación presentada por el contribuyente en el primer trimestre de 2006. El resultado de esta declaración fue una cuota a ingresar del impuesto sobre el valor añadido (IVA) por importe de 659.223,88 €, que fue ingresada por el contribuyente en el primer trimestre del año.</w:t>
      </w:r>
    </w:p>
    <w:p w:rsidR="00B85568" w:rsidRDefault="00B85568" w:rsidP="00B85568">
      <w:pPr>
        <w:pStyle w:val="TextoNormal"/>
      </w:pPr>
    </w:p>
    <w:p w:rsidR="00B85568" w:rsidRDefault="00B85568" w:rsidP="00B85568">
      <w:pPr>
        <w:pStyle w:val="TextoNormal"/>
      </w:pPr>
      <w:r>
        <w:t>La Inspección consideró que de conformidad con el art. 71.3 del Real Decreto 1624/1992, de 29 de diciembre, que aprueba el Reglamento del impuesto sobre el valor añadido, el periodo de liquidación debía coincidir con el mes natural, ya que el volumen de operaciones del sujeto pasivo supera la cantidad de 6.010.121,04 €. En consecuencia, entendió que el contribuyente había dejado de ingresar dentro del plazo reglamentario establecido al efecto la cantidad de 344.379,28 € en el mes de enero de 2006 y de 3.280,48 € en el mes de febrero de 2006. Paralelamente, consideró que el ingreso efectuado en el mes de marzo por el contribuyente fue un ingreso indebido. Puesto que la regularización fue llevada a cabo por la Inspección, no se consideró ya espontánea a los efectos del art. 27 LGT, lo que derivó en la imposición de la sanción prevista en el art. 191.6 LGT.</w:t>
      </w:r>
    </w:p>
    <w:p w:rsidR="00B85568" w:rsidRDefault="00B85568" w:rsidP="00B85568">
      <w:pPr>
        <w:pStyle w:val="TextoNormal"/>
      </w:pPr>
    </w:p>
    <w:p w:rsidR="00B85568" w:rsidRDefault="00B85568" w:rsidP="00B85568">
      <w:pPr>
        <w:pStyle w:val="TextoNormal"/>
      </w:pPr>
      <w:r>
        <w:t>El recurrente alegó, de una parte, que no existió falta de ingreso con motivo de la declaración-liquidación del IVA correspondiente al primer trimestre de 2006, ya que efectivamente había presentado declaración trimestral correspondiente a dicho primer trimestre con resultado a ingresar de 659.223,88 €, ingreso que además llevó a cabo dentro del plazo trimestral de declaración, aportando toda la información necesaria para la identificación del periodo, sin que por lo tanto hubiera ocultación alguna. Subsidiariamente alegó que, en todo caso, dicha declaración-liquidación del primer trimestre de 2006 podía entenderse como una autoliquidación extemporánea correspondiente a los meses de enero y febrero del mismo año, autoliquidación que cumpliría los requisitos del art. 27.4 LGT, puesto que no ha habido perjuicio económico para la Administración, excepto el diferimiento del ingreso, lo que imposibilitaría aplicar el régimen sancionador del art. 191 LGT.</w:t>
      </w:r>
    </w:p>
    <w:p w:rsidR="00B85568" w:rsidRDefault="00B85568" w:rsidP="00B85568">
      <w:pPr>
        <w:pStyle w:val="TextoNormal"/>
      </w:pPr>
    </w:p>
    <w:p w:rsidR="00B85568" w:rsidRDefault="00B85568" w:rsidP="00B85568">
      <w:pPr>
        <w:pStyle w:val="TextoNormal"/>
      </w:pPr>
      <w:r>
        <w:t>La vía administrativa quedó agotada mediante la resolución del Tribunal Económico Administrativo Central, de 19 de julio de 2012, que desestimó en su integridad las pretensiones del recurrente al considerar incumplida la normativa del IVA relativa al periodo de liquidación contenida en el art. 71.3 del Reglamento, siendo por tanto claro que la conducta del obligado tributario fue la de dejar de ingresar dentro del plazo reglamentario establecido al efecto —mensual— la cantidad citada, lo que encaja en el tipo establecido en el art. 191.6 LGT.</w:t>
      </w:r>
    </w:p>
    <w:p w:rsidR="00B85568" w:rsidRDefault="00B85568" w:rsidP="00B85568">
      <w:pPr>
        <w:pStyle w:val="TextoNormal"/>
      </w:pPr>
    </w:p>
    <w:p w:rsidR="00B85568" w:rsidRDefault="00B85568" w:rsidP="00B85568">
      <w:pPr>
        <w:pStyle w:val="TextoNormal"/>
      </w:pPr>
      <w:r>
        <w:t>Frente a la anterior resolución del Tribunal Económico Administrativo Central el demandante interpuso un recurso contencioso-administrativo alegando falta de proporcionalidad de la sanción, e inexistencia de culpabilidad.</w:t>
      </w:r>
    </w:p>
    <w:p w:rsidR="00B85568" w:rsidRDefault="00B85568" w:rsidP="00B85568">
      <w:pPr>
        <w:pStyle w:val="TextoNormal"/>
      </w:pPr>
    </w:p>
    <w:p w:rsidR="00B85568" w:rsidRDefault="00B85568" w:rsidP="00B85568">
      <w:pPr>
        <w:pStyle w:val="TextoNormal"/>
      </w:pPr>
      <w:r>
        <w:t xml:space="preserve">b) Concluso el procedimiento y dentro del plazo para dictar Sentencia, el día 9 de abril de 2014 la Sala de lo Contencioso-Administrativo de la Audiencia Nacional dictó providencia acordando oír a las partes y al Ministerio Fiscal, en el plazo de diez días, acerca de la pertinencia de plantear la cuestión de inconstitucionalidad acerca del art. 191.6 LGT, en relación con el art. 191.1.4 y 191.2 </w:t>
      </w:r>
      <w:r w:rsidRPr="00B85568">
        <w:rPr>
          <w:i/>
        </w:rPr>
        <w:t>in fine</w:t>
      </w:r>
      <w:r>
        <w:t>, del mismo texto legal, por posible vulneración de los arts. 14, 31.1, 9.3 y 25.1 CE.</w:t>
      </w:r>
    </w:p>
    <w:p w:rsidR="00B85568" w:rsidRDefault="00B85568" w:rsidP="00B85568">
      <w:pPr>
        <w:pStyle w:val="TextoNormal"/>
      </w:pPr>
    </w:p>
    <w:p w:rsidR="00B85568" w:rsidRDefault="00B85568" w:rsidP="00B85568">
      <w:pPr>
        <w:pStyle w:val="TextoNormal"/>
      </w:pPr>
      <w:r>
        <w:t>c) La representación del demandante manifestó su oposición al planteamiento de la cuestión de inconstitucionalidad considerando, entre otros argumentos, que la Sala de lo Contencioso está vinculada por la doctrina establecida por el Tribunal de Justicia de las Comunidades Europeas en su Sentencia de 20 junio de 2013 (C-259/2012) en materia de proporcionalidad de las sanciones en el ámbito tributario, y que la misma Sección Sexta de la Sala de lo Contencioso-Administrativo ha tenido ya oportunidad de pronunciarse acerca de cuestiones de ingreso en momento posterior del IVA, en supuestos sustancialmente idénticos al presente, citando las Sentencias de 21 de noviembre de 2013 (recurso núm. 278-2012) y de 17 diciembre de 2013 (recurso núm. 486-2012).</w:t>
      </w:r>
    </w:p>
    <w:p w:rsidR="00B85568" w:rsidRDefault="00B85568" w:rsidP="00B85568">
      <w:pPr>
        <w:pStyle w:val="TextoNormal"/>
      </w:pPr>
    </w:p>
    <w:p w:rsidR="00B85568" w:rsidRDefault="00B85568" w:rsidP="00B85568">
      <w:pPr>
        <w:pStyle w:val="TextoNormal"/>
      </w:pPr>
      <w:r>
        <w:t>El Abogado del Estado, mediante escrito de 10 de abril de 2014, manifestó igualmente su oposición al planteamiento de la cuestión considerando correcta la imposición de la sanción sobre la cantidad dejada de ingresar en el periodo correspondiente, cantidad que se ingresa disfrazada como de otro en la práctica conocida como “decalaje”.</w:t>
      </w:r>
    </w:p>
    <w:p w:rsidR="00B85568" w:rsidRDefault="00B85568" w:rsidP="00B85568">
      <w:pPr>
        <w:pStyle w:val="TextoNormal"/>
      </w:pPr>
    </w:p>
    <w:p w:rsidR="00B85568" w:rsidRDefault="00B85568" w:rsidP="00B85568">
      <w:pPr>
        <w:pStyle w:val="TextoNormal"/>
      </w:pPr>
      <w:r>
        <w:t>El Ministerio Fiscal, mediante escrito de 29 de abril de 2014, considera que, limitado el informe a la pertinencia de plantear la cuestión de inconstitucionalidad, y sin que proceda a entrar en el fondo del asunto, el necesario juicio de relevancia que ha de hacerse está correctamente planteado, correspondiendo a la Sala resolver sobre el planteamiento de la cuestión en los términos previstos en el art. 35 de la Ley Orgánica del Tribunal Constitucional (LOTC).</w:t>
      </w:r>
    </w:p>
    <w:p w:rsidR="00B85568" w:rsidRDefault="00B85568" w:rsidP="00B85568">
      <w:pPr>
        <w:pStyle w:val="TextoNormal"/>
      </w:pPr>
    </w:p>
    <w:p w:rsidR="00B85568" w:rsidRDefault="00B85568" w:rsidP="00B85568">
      <w:pPr>
        <w:pStyle w:val="TextoNormal"/>
      </w:pPr>
      <w:r>
        <w:t xml:space="preserve">d) El órgano judicial dictó Auto de 3 de junio de 2014, planteando cuestión de inconstitucionalidad sobre el art. 191.6 de la Ley general tributaria 58/2003, de 17 de diciembre, en relación con el art. 191.1.4 y 191.2 </w:t>
      </w:r>
      <w:r w:rsidRPr="00B85568">
        <w:rPr>
          <w:i/>
        </w:rPr>
        <w:t>in fine</w:t>
      </w:r>
      <w:r>
        <w:t>, del mismo texto legal.</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3 de junio de 2014 fundamenta el planteamiento de la cuestión de inconstitucionalidad en las consideraciones que seguidamente, y de forma resumida, se indican:</w:t>
      </w:r>
    </w:p>
    <w:p w:rsidR="00B85568" w:rsidRDefault="00B85568" w:rsidP="00B85568">
      <w:pPr>
        <w:pStyle w:val="TextoNormal"/>
      </w:pPr>
    </w:p>
    <w:p w:rsidR="00B85568" w:rsidRDefault="00B85568" w:rsidP="00B85568">
      <w:pPr>
        <w:pStyle w:val="TextoNormal"/>
      </w:pPr>
      <w:r>
        <w:t>a) Comienza el razonamiento del Auto exponiendo de manera breve el asunto que motiva el planteamiento de la cuestión.</w:t>
      </w:r>
    </w:p>
    <w:p w:rsidR="00B85568" w:rsidRDefault="00B85568" w:rsidP="00B85568">
      <w:pPr>
        <w:pStyle w:val="TextoNormal"/>
      </w:pPr>
    </w:p>
    <w:p w:rsidR="00B85568" w:rsidRDefault="00B85568" w:rsidP="00B85568">
      <w:pPr>
        <w:pStyle w:val="TextoNormal"/>
      </w:pPr>
      <w:r>
        <w:t>Se trata de un contribuyente que ingresa una deuda tributaria en autoliquidación del primer trimestre de IVA (marzo 2006). En posterior regularización, la Inspección considera que, de acuerdo con el art. 71.3 del Reglamento del impuesto sobre el valor añadido, el contribuyente habría debido presentar declaraciones mensuales (enero, febrero y marzo de 2006). Esta liquidación trimestral no cumple por tanto los requisitos del art. 27.4 LGT consistentes en identificar correctamente el periodo impositivo de liquidación, ya que el periodo correcto era el mensual y no trimestral. Se refiere en concreto a la práctica conocida como “decalaje” en el IVA, consistente en el retraso en la declaración del impuesto repercutido y devengado por parte del sujeto pasivo. A consecuencia de lo anterior se impone la citada sanción prevista en el art. 191.6 LGT, cuya cuantía es el 50 por 100 de la cuota ingresada incorrectamente en el plazo trimestral.</w:t>
      </w:r>
    </w:p>
    <w:p w:rsidR="00B85568" w:rsidRDefault="00B85568" w:rsidP="00B85568">
      <w:pPr>
        <w:pStyle w:val="TextoNormal"/>
      </w:pPr>
    </w:p>
    <w:p w:rsidR="00B85568" w:rsidRDefault="00B85568" w:rsidP="00B85568">
      <w:pPr>
        <w:pStyle w:val="TextoNormal"/>
      </w:pPr>
      <w:r>
        <w:t xml:space="preserve">b) A partir de lo anterior destaca que lo controvertido es la desproporción existente entre la conducta realizada y la cuantía de la sanción, que alcanza el 50 por 100 de la cuota dejada de ingresar en el plazo (mensual) que habría correspondido. En concreto, la duda de inconstitucionalidad se plantea respecto del art. 191.6 LGT, en relación con el art. 191.1.4 y 191.2 </w:t>
      </w:r>
      <w:r w:rsidRPr="00B85568">
        <w:rPr>
          <w:i/>
        </w:rPr>
        <w:t>in fine</w:t>
      </w:r>
      <w:r>
        <w:t>, del mismo texto legal, por posible vulneración del principio de proporcionalidad de las sanciones administrativas del art. 25.1 CE, en relación con el principio de interdicción de la arbitrariedad del art. 9.3 CE y el principio de igualdad del art. 14 en relación con el art. 31.1 CE.</w:t>
      </w:r>
    </w:p>
    <w:p w:rsidR="00B85568" w:rsidRDefault="00B85568" w:rsidP="00B85568">
      <w:pPr>
        <w:pStyle w:val="TextoNormal"/>
      </w:pPr>
    </w:p>
    <w:p w:rsidR="00B85568" w:rsidRDefault="00B85568" w:rsidP="00B85568">
      <w:pPr>
        <w:pStyle w:val="TextoNormal"/>
      </w:pPr>
      <w:r>
        <w:t>Se refiere concretamente a la exigencia de comprobar la proporcionalidad de las normas internas que deriva en concreto de la Sentencia del Tribunal de Justicia de la Unión Europea invocada por los recurrentes, de 20 de junio de 2013, asunto C-259/2012, y en la que se exige tener en cuenta elementos de proporcionalidad como el plazo en que se ha rectificado la irregularidad, la gravedad de dicha irregularidad y la posible existencia de un fraude o elusión de la normativa aplicable imputable al sujeto pasivo.</w:t>
      </w:r>
    </w:p>
    <w:p w:rsidR="00B85568" w:rsidRDefault="00B85568" w:rsidP="00B85568">
      <w:pPr>
        <w:pStyle w:val="TextoNormal"/>
      </w:pPr>
    </w:p>
    <w:p w:rsidR="00B85568" w:rsidRDefault="00B85568" w:rsidP="00B85568">
      <w:pPr>
        <w:pStyle w:val="TextoNormal"/>
      </w:pPr>
      <w:r>
        <w:t>Se concluye que la aplicación del art. 191.6 sobre el criterio fijado en el art. 191.1.4 para determinar la base sancionadora y sobre un tipo único del 50 por 100 que no admite graduación puede ser contraria al principio de igualdad al poderse sancionar con la misma cuantía a quienes regularizan tardíamente incumpliendo las obligaciones formales del art. 27.4 LGT, frente a quien no realiza ingreso alguno, añadiendo la patente desproporción entre la gravedad de la conducta y la cuantía sancionadora, lo que puede suponer a su vez arbitrariedad.</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21 de octubre de 2014,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el 14 de noviembre de 2014, en el que considera que la cuestión de inconstitucionalidad es inadmisible por entender que carecen manifiestamente de fundamento las dudas suscitadas por el órgano judicial que la ha promovido, alegando en síntesis lo siguiente:</w:t>
      </w:r>
    </w:p>
    <w:p w:rsidR="00B85568" w:rsidRDefault="00B85568" w:rsidP="00B85568">
      <w:pPr>
        <w:pStyle w:val="TextoNormal"/>
      </w:pPr>
    </w:p>
    <w:p w:rsidR="00B85568" w:rsidRDefault="00B85568" w:rsidP="00B85568">
      <w:pPr>
        <w:pStyle w:val="TextoNormal"/>
      </w:pPr>
      <w:r>
        <w:t>a) Tras recoger de forma sucinta los antecedentes del presente asunto, comienza destacando el escrito que el Tribunal que plantea la cuestión ya había resuelto el problema que aquí se plantea, esto es, la posible falta de proporcionalidad de la sanción que resulta de aplicar a los supuestos de infracción del art. 196.1 LGT, que contempla el denominado “decalaje” o ingreso de la deuda tributaria fuera del plazo reglamentariamente establecido, lo dispuesto en el art. 191.1.4, que se refiere a la base sobre la que se aplicará sanción. En concreto, dicho problema había sido resuelto mediante una interpretación de este precepto legal conforme con el principio de proporcionalidad de las sanciones tributarias, lo que se llevó a cabo en las Sentencias dictadas por el mismo Tribunal de 21 de noviembre de 2013 (recurso núm. 278-2012) y de 17 de diciembre de 2013 (recurso núm. 486-2012). En ellas se interpretaba que si bien de acuerdo con la jurisprudencia del Tribunal Supremo no es posible en los supuestos a los que se refiere el art. 191.6 aplicar el régimen de recargos del art. 27.4 LGT, ya que no existe una regularización tácita, sin embargo, en estos casos la base de la sanción debe ser la cantidad efectiva dejada de ingresar, “que se limita a los intereses por el retraso en efectuar el ingreso o, a lo que debe añadir el recargo por la extemporaneidad de la declaración y sobre la suma de estos dos importes aplicar el tipo sancionador correspondiente. De lo contrario se produciría una clara desproporción entre lo dejado de ingresar y la cuantía que constituye objeto de sanción”.</w:t>
      </w:r>
    </w:p>
    <w:p w:rsidR="00B85568" w:rsidRDefault="00B85568" w:rsidP="00B85568">
      <w:pPr>
        <w:pStyle w:val="TextoNormal"/>
      </w:pPr>
    </w:p>
    <w:p w:rsidR="00B85568" w:rsidRDefault="00B85568" w:rsidP="00B85568">
      <w:pPr>
        <w:pStyle w:val="TextoNormal"/>
      </w:pPr>
      <w:r>
        <w:t xml:space="preserve">Pues bien, pese a las citadas Sentencias, se plantea la presente cuestión de inconstitucionalidad sin que en el Auto de planteamiento el Tribunal </w:t>
      </w:r>
      <w:r w:rsidRPr="00B85568">
        <w:rPr>
          <w:i/>
        </w:rPr>
        <w:t>a quo</w:t>
      </w:r>
      <w:r>
        <w:t xml:space="preserve"> exprese un razonamiento que justifique suficientemente su cambio de criterio acerca de la imposibilidad de que las normas reciban una interpretación conforme al principio de proporcionalidad. No justifica tampoco el planteamiento de la cuestión la cita de la STJUE de 20 junio de 2013 (asunto C-259/12), pues esta Sentencia no impide que los tribunales de los Estados miembros puedan realizar una interpretación de sus normas internas conforme a las exigencias del principio de proporcionalidad, sino todo lo contrario.</w:t>
      </w:r>
    </w:p>
    <w:p w:rsidR="00B85568" w:rsidRDefault="00B85568" w:rsidP="00B85568">
      <w:pPr>
        <w:pStyle w:val="TextoNormal"/>
      </w:pPr>
    </w:p>
    <w:p w:rsidR="00B85568" w:rsidRDefault="00B85568" w:rsidP="00B85568">
      <w:pPr>
        <w:pStyle w:val="TextoNormal"/>
      </w:pPr>
      <w:r>
        <w:t>Lo anterior le lleva a concluir que, desde esta perspectiva, la cuestión planteada no está debidamente fundada.</w:t>
      </w:r>
    </w:p>
    <w:p w:rsidR="00B85568" w:rsidRDefault="00B85568" w:rsidP="00B85568">
      <w:pPr>
        <w:pStyle w:val="TextoNormal"/>
      </w:pPr>
    </w:p>
    <w:p w:rsidR="00B85568" w:rsidRDefault="00B85568" w:rsidP="00B85568">
      <w:pPr>
        <w:pStyle w:val="TextoNormal"/>
      </w:pPr>
      <w:r>
        <w:t>b) Sin perjuicio de lo anterior, se examina si las concretas dudas de inconstitucionalidad pudieran considerarse fundadas, comenzando con la posible infracción del art. 14 en relación con el art. 31.1 CE.</w:t>
      </w:r>
    </w:p>
    <w:p w:rsidR="00B85568" w:rsidRDefault="00B85568" w:rsidP="00B85568">
      <w:pPr>
        <w:pStyle w:val="TextoNormal"/>
      </w:pPr>
    </w:p>
    <w:p w:rsidR="00B85568" w:rsidRDefault="00B85568" w:rsidP="00B85568">
      <w:pPr>
        <w:pStyle w:val="TextoNormal"/>
      </w:pPr>
      <w:r>
        <w:t xml:space="preserve">No se aprecia en este caso vulneración alguna del principio de igualdad porque no concurre el presupuesto consistente en que los términos de comparación ofrecidos sean idénticos, ya que en el Auto se contrastan supuestos de infracción leve y grave, sin que se invoque en la cuestión planteada ningún trato discriminatorio o desigual para los mismos. Tampoco se constata que exista ningún trato igualitario de conductas infractoras distintas, dado que, como reconoce el propio Tribunal </w:t>
      </w:r>
      <w:r w:rsidRPr="00B85568">
        <w:rPr>
          <w:i/>
        </w:rPr>
        <w:t>a quo</w:t>
      </w:r>
      <w:r>
        <w:t xml:space="preserve"> en su Auto de planteamiento, las infracciones graves no tienen un régimen sancionador idéntico al de las leves, pues el art. 191.3 y 4 LGT prevé, respectivamente, tipos sancionadores diferentes, que van del 50 al 100 por 100 en el caso de las infracciones graves; y del 50 a 150 por 100 en el caso de infracciones muy graves, de suerte que no cabe afirmar que se hace de igual condición a conductas de diferente antijuridicidad.</w:t>
      </w:r>
    </w:p>
    <w:p w:rsidR="00B85568" w:rsidRDefault="00B85568" w:rsidP="00B85568">
      <w:pPr>
        <w:pStyle w:val="TextoNormal"/>
      </w:pPr>
    </w:p>
    <w:p w:rsidR="00B85568" w:rsidRDefault="00B85568" w:rsidP="00B85568">
      <w:pPr>
        <w:pStyle w:val="TextoNormal"/>
      </w:pPr>
      <w:r>
        <w:t>Añade a lo anterior que en este caso no entraría en juego el art. 31.1 CE sino el art. 14 CE, toda vez que lo que se denuncia es un trato diferente en relación con el presupuesto legal, y no desigualdad en relación con la capacidad económica y la progresividad, citando en ese sentido el ATC 261/2013, de 15 de julio, FJ 3.</w:t>
      </w:r>
    </w:p>
    <w:p w:rsidR="00B85568" w:rsidRDefault="00B85568" w:rsidP="00B85568">
      <w:pPr>
        <w:pStyle w:val="TextoNormal"/>
      </w:pPr>
    </w:p>
    <w:p w:rsidR="00B85568" w:rsidRDefault="00B85568" w:rsidP="00B85568">
      <w:pPr>
        <w:pStyle w:val="TextoNormal"/>
      </w:pPr>
      <w:r>
        <w:t>c) Se refiere a continuación a la pretendida infracción del principio de interdicción de la arbitrariedad y del principio de legalidad sancionadora (arts. 9.3 y 25.1 CE), destacando que en realidad el planteamiento que se hace por el Tribunal que plantea la cuestión se articula sobre la base de que conductas infractoras de distinta gravedad puedan ser sancionadas de igual modo.</w:t>
      </w:r>
    </w:p>
    <w:p w:rsidR="00B85568" w:rsidRDefault="00B85568" w:rsidP="00B85568">
      <w:pPr>
        <w:pStyle w:val="TextoNormal"/>
      </w:pPr>
    </w:p>
    <w:p w:rsidR="00B85568" w:rsidRDefault="00B85568" w:rsidP="00B85568">
      <w:pPr>
        <w:pStyle w:val="TextoNormal"/>
      </w:pPr>
      <w:r>
        <w:t xml:space="preserve">Tras recoger de forma sucinta la argumentación del Tribunal </w:t>
      </w:r>
      <w:r w:rsidRPr="00B85568">
        <w:rPr>
          <w:i/>
        </w:rPr>
        <w:t>a quo</w:t>
      </w:r>
      <w:r>
        <w:t>, se refiere a la doctrina del Tribunal Constitucional que ha venido a establecer que el principio de proporcionalidad no es un canon de constitucionalidad autónomo, sino que debe ser puesto en conexión con otros preceptos constitucionales.</w:t>
      </w:r>
    </w:p>
    <w:p w:rsidR="00B85568" w:rsidRDefault="00B85568" w:rsidP="00B85568">
      <w:pPr>
        <w:pStyle w:val="TextoNormal"/>
      </w:pPr>
    </w:p>
    <w:p w:rsidR="00B85568" w:rsidRDefault="00B85568" w:rsidP="00B85568">
      <w:pPr>
        <w:pStyle w:val="TextoNormal"/>
      </w:pPr>
      <w:r>
        <w:t xml:space="preserve">En este caso, la arbitrariedad de las normas cuestionadas se basa en que los artículos citados establecerían una sanción para las conductas de no ingreso en plazo de los tributos conocidas con la denominación de “decalaje” que resultaría desproporcionada en relación con la propia gravedad de esta conducta. Insiste nuevamente en este punto en que la Sala de lo Contencioso que plantea la cuestión ya había resuelto en sus Sentencias de 21 de noviembre de 2013 (recurso núm. 278-2012) y de 17 de diciembre de 2013 (recurso núm. 486-2012) la citada cuestión de la falta de proporcionalidad precisamente realizando una interpretación del art. 191.1 párrafo 4 conforme a dicho principio, lo que privaría a la cuestión ahora suscitada de todo fundamento. Se refiere de nuevo a la interpretación que había realizado el Tribunal </w:t>
      </w:r>
      <w:r w:rsidRPr="00B85568">
        <w:rPr>
          <w:i/>
        </w:rPr>
        <w:t>a quo</w:t>
      </w:r>
      <w:r>
        <w:t xml:space="preserve"> del citado art. 191.1 párrafo cuarto, en relación con la infracción del art. 191.6 LGT, de la que cabe concluir que efectivamente dichos preceptos admitían una interpretación conforme a la proporcionalidad.</w:t>
      </w:r>
    </w:p>
    <w:p w:rsidR="00B85568" w:rsidRDefault="00B85568" w:rsidP="00B85568">
      <w:pPr>
        <w:pStyle w:val="TextoNormal"/>
      </w:pPr>
    </w:p>
    <w:p w:rsidR="00B85568" w:rsidRDefault="00B85568" w:rsidP="00B85568">
      <w:pPr>
        <w:pStyle w:val="TextoNormal"/>
      </w:pPr>
      <w:r>
        <w:t>Pero es que incluso prescindiendo de la citada interpretación conforme, el art. 191.1.4 párrafo del régimen sancionador que establece las normas cuestionadas para las conductas definidas en el art. 191.6 no puede ser considerado arbitrario por desproporcionado. En efecto, en aquellos casos en los que el contribuyente no observa lo dispuesto en el art. 27.4 LGT, no cabe hablar de regularización auténtica, existiendo un grado de ocultación que impide a la administración conocer en base a la autoliquidación presentada con posterioridad la realidad tributaria sin necesidad de comprobación o investigación. Ello justifica que se trate de una conducta antijurídica cuya gravedad ha sido valorada por el legislador para disuadir este tipo de ocultaciones.</w:t>
      </w:r>
    </w:p>
    <w:p w:rsidR="00B85568" w:rsidRDefault="00B85568" w:rsidP="00B85568">
      <w:pPr>
        <w:pStyle w:val="TextoNormal"/>
      </w:pPr>
    </w:p>
    <w:p w:rsidR="00B85568" w:rsidRDefault="00B85568" w:rsidP="00B85568">
      <w:pPr>
        <w:pStyle w:val="TextoNormal"/>
      </w:pPr>
      <w:r>
        <w:t>No han quedado por tanto acreditadas la falta de justificación lógica y razonable de dicha regulación, de suerte que las dudas de constitucionalidad de las normas cuestionadas carecen notoriamente de fundamento.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xml:space="preserve">. La presente cuestión de inconstitucionalidad se plantea por la Sala de lo Contencioso-Administrativo, Sección Sexta, de la Audiencia Nacional, respecto del art. 191.6 de la Ley 58/2003, de 17 de diciembre, general tributaria (LGT en lo que sigue), en relación con el art. 191.1.4 y 191.2 </w:t>
      </w:r>
      <w:r w:rsidRPr="00B85568">
        <w:rPr>
          <w:i/>
        </w:rPr>
        <w:t>in fine</w:t>
      </w:r>
      <w:r>
        <w:t>, del mismo texto legal.</w:t>
      </w:r>
    </w:p>
    <w:p w:rsidR="00B85568" w:rsidRDefault="00B85568" w:rsidP="00B85568">
      <w:pPr>
        <w:pStyle w:val="TextoNormal"/>
      </w:pPr>
    </w:p>
    <w:p w:rsidR="00B85568" w:rsidRDefault="00B85568" w:rsidP="00B85568">
      <w:pPr>
        <w:pStyle w:val="TextoNormal"/>
      </w:pPr>
      <w:r>
        <w:t>El art. 191.6 LGT tiene el siguiente tenor:</w:t>
      </w:r>
    </w:p>
    <w:p w:rsidR="00B85568" w:rsidRDefault="00B85568" w:rsidP="00B85568">
      <w:pPr>
        <w:pStyle w:val="TextoNormal"/>
      </w:pPr>
    </w:p>
    <w:p w:rsidR="00B85568" w:rsidRDefault="00B85568" w:rsidP="00B85568">
      <w:pPr>
        <w:pStyle w:val="TextoNormal"/>
      </w:pPr>
      <w:r>
        <w:t>“No obstante lo dispuesto en los apartados anteriores, siempre constituirá infracción leve la falta de ingreso en plazo de tributos o pagos a cuenta que hubieran sido incluidos o regularizados por el mismo obligado tributario en una autoliquidación presentada con posterioridad sin cumplir los requisitos establecidos en el apartado 4 del artículo 27 de esta ley para la aplicación de los recargos por declaración extemporánea sin requerimiento previo.</w:t>
      </w:r>
    </w:p>
    <w:p w:rsidR="00B85568" w:rsidRDefault="00B85568" w:rsidP="00B85568">
      <w:pPr>
        <w:pStyle w:val="TextoNormal"/>
      </w:pPr>
    </w:p>
    <w:p w:rsidR="00B85568" w:rsidRDefault="00B85568" w:rsidP="00B85568">
      <w:pPr>
        <w:pStyle w:val="TextoNormal"/>
      </w:pPr>
      <w:r>
        <w:t>Lo previsto en este apartado no será aplicable cuando la autoliquidación presentada incluya ingresos correspondientes a conceptos y períodos impositivos respecto a los que se hubiera notificado previamente un requerimiento de la Administración tributaria.”</w:t>
      </w:r>
    </w:p>
    <w:p w:rsidR="00B85568" w:rsidRDefault="00B85568" w:rsidP="00B85568">
      <w:pPr>
        <w:pStyle w:val="TextoNormal"/>
      </w:pPr>
    </w:p>
    <w:p w:rsidR="00B85568" w:rsidRDefault="00B85568" w:rsidP="00B85568">
      <w:pPr>
        <w:pStyle w:val="TextoNormal"/>
      </w:pPr>
      <w:r>
        <w:t>Por su parte, el art. 191.1.4, establece:</w:t>
      </w:r>
    </w:p>
    <w:p w:rsidR="00B85568" w:rsidRDefault="00B85568" w:rsidP="00B85568">
      <w:pPr>
        <w:pStyle w:val="TextoNormal"/>
      </w:pPr>
    </w:p>
    <w:p w:rsidR="00B85568" w:rsidRDefault="00B85568" w:rsidP="00B85568">
      <w:pPr>
        <w:pStyle w:val="TextoNormal"/>
      </w:pPr>
      <w:r>
        <w:t>“La base de la sanción será la cuantía no ingresada en la autoliquidación como consecuencia de la comisión de la infracción.”</w:t>
      </w:r>
    </w:p>
    <w:p w:rsidR="00B85568" w:rsidRDefault="00B85568" w:rsidP="00B85568">
      <w:pPr>
        <w:pStyle w:val="TextoNormal"/>
      </w:pPr>
    </w:p>
    <w:p w:rsidR="00B85568" w:rsidRDefault="00B85568" w:rsidP="00B85568">
      <w:pPr>
        <w:pStyle w:val="TextoNormal"/>
      </w:pPr>
      <w:r>
        <w:t xml:space="preserve">Finalmente, el art. 191.2, </w:t>
      </w:r>
      <w:r w:rsidRPr="00B85568">
        <w:rPr>
          <w:i/>
        </w:rPr>
        <w:t>in fine</w:t>
      </w:r>
      <w:r>
        <w:t xml:space="preserve"> establece:</w:t>
      </w:r>
    </w:p>
    <w:p w:rsidR="00B85568" w:rsidRDefault="00B85568" w:rsidP="00B85568">
      <w:pPr>
        <w:pStyle w:val="TextoNormal"/>
      </w:pPr>
    </w:p>
    <w:p w:rsidR="00B85568" w:rsidRDefault="00B85568" w:rsidP="00B85568">
      <w:pPr>
        <w:pStyle w:val="TextoNormal"/>
      </w:pPr>
      <w:r>
        <w:t>“La sanción por infracción leve consistirá en multa pecuniaria proporcional del 50 por ciento.”</w:t>
      </w:r>
    </w:p>
    <w:p w:rsidR="00B85568" w:rsidRDefault="00B85568" w:rsidP="00B85568">
      <w:pPr>
        <w:pStyle w:val="TextoNormal"/>
      </w:pPr>
    </w:p>
    <w:p w:rsidR="00B85568" w:rsidRDefault="00B85568" w:rsidP="00B85568">
      <w:pPr>
        <w:pStyle w:val="TextoNormal"/>
      </w:pPr>
      <w:r>
        <w:t xml:space="preserve">Como resulta de la fundamentación del Auto de planteamiento de la cuestión, la duda de constitucionalidad del órgano promotor se centra en la posible vulneración de los arts. 14, 31.1, 9.3 y 25.1 CE. Concretamente, considera el órgano judicial que la aplicación de la sanción prevista en el art. 191.6 LGT, sobre la base fijada en el art. 191.1.4 y con un tipo sancionador único del 50 por 100 que no admite graduación (art. 191.2 </w:t>
      </w:r>
      <w:r w:rsidRPr="00B85568">
        <w:rPr>
          <w:i/>
        </w:rPr>
        <w:t>in fine</w:t>
      </w:r>
      <w:r>
        <w:t xml:space="preserve"> LGT) puede vulnerar, de una parte, el principio de igualdad (art. 14 en relación con el art. 31.1 CE) al poderse sancionar con la misma cuantía a quienes regularizan tardíamente incumpliendo las obligaciones formales del art. 27.4 LGT, frente a quien no realiza ingreso alguno; y, de otra, el principio de proporcionalidad de las sanciones administrativas del art. 25.1 CE, en relación con el principio de interdicción de la arbitrariedad del art. 9.3 CE.</w:t>
      </w:r>
    </w:p>
    <w:p w:rsidR="00B85568" w:rsidRDefault="00B85568" w:rsidP="00B85568">
      <w:pPr>
        <w:pStyle w:val="TextoNormal"/>
      </w:pPr>
    </w:p>
    <w:p w:rsidR="00B85568" w:rsidRDefault="00B85568" w:rsidP="00B85568">
      <w:pPr>
        <w:pStyle w:val="TextoNormal"/>
      </w:pPr>
      <w:r>
        <w:t>El Fiscal General del Estado, por las razones que constan en los antecedentes, se opone a la admisión a trámite de la cuestión de inconstitucionalidad por estimarla notoriamente infundada (art. 37.1 LOTC).</w:t>
      </w:r>
    </w:p>
    <w:p w:rsidR="00B85568" w:rsidRDefault="00B85568" w:rsidP="00B85568">
      <w:pPr>
        <w:pStyle w:val="TextoNormal"/>
      </w:pPr>
    </w:p>
    <w:p w:rsidR="00B85568" w:rsidRDefault="00B85568" w:rsidP="00B85568">
      <w:pPr>
        <w:pStyle w:val="TextoNormal"/>
      </w:pPr>
      <w:r w:rsidRPr="00B85568">
        <w:rPr>
          <w:rStyle w:val="NumeroAFNegritaCaracter"/>
        </w:rPr>
        <w:t>2</w:t>
      </w:r>
      <w:r>
        <w:t>. Aunque el órgano judicial articula tres motivos de inconstitucionalidad contra los preceptos cuestionados, los argumentos se solapan en cierta forma pues esencialmente lo que se le reprocha al legislador es un trato arbitrario a la hora de sancionar una determinada conducta antijurídica. Con todo, a continuación consideraremos de forma específica y diferenciada los tres motivos de inconstitucionalidad aducidos.</w:t>
      </w:r>
    </w:p>
    <w:p w:rsidR="00B85568" w:rsidRDefault="00B85568" w:rsidP="00B85568">
      <w:pPr>
        <w:pStyle w:val="TextoNormal"/>
      </w:pPr>
    </w:p>
    <w:p w:rsidR="00B85568" w:rsidRDefault="00B85568" w:rsidP="00B85568">
      <w:pPr>
        <w:pStyle w:val="TextoNormal"/>
      </w:pPr>
      <w:r w:rsidRPr="00B85568">
        <w:rPr>
          <w:rStyle w:val="NumeroAFNegritaCaracter"/>
        </w:rPr>
        <w:t>3</w:t>
      </w:r>
      <w:r>
        <w:t>. En primer lugar, el órgano judicial duda de que el art. 191.6 LGT sea respetuoso con el principio de igualdad (art. 14 en relación con el art. 31.1 CE), al poder llegar a sancionar con la misma cuantía fijada por una misma base y tipo del 50 por 100 a quien regulariza tardíamente incumpliendo las obligaciones formales del art. 27.4 LGT y a quien no realiza ingreso alguno de la deuda tributaria.</w:t>
      </w:r>
    </w:p>
    <w:p w:rsidR="00B85568" w:rsidRDefault="00B85568" w:rsidP="00B85568">
      <w:pPr>
        <w:pStyle w:val="TextoNormal"/>
      </w:pPr>
    </w:p>
    <w:p w:rsidR="00B85568" w:rsidRDefault="00B85568" w:rsidP="00B85568">
      <w:pPr>
        <w:pStyle w:val="TextoNormal"/>
      </w:pPr>
      <w:r>
        <w:t>Para abordar esta duda, que se ceñiría en todo caso al art. 14 CE, ya que no se denuncia una desigualdad en el reparto de la carga tributaria (ATC 261/2013, de 15 julio, FJ 3), debemos partir de nuestra doctrina. Hemos reiterado que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y, para que sea constitucionalmente lícita la diferencia de trato, las consecuencias jurídicas que se deriven de tal distinción deben ser proporcionadas a la finalidad perseguida, de suerte que se eviten resultados excesivamente gravosos o desmedidos” [entre otras, STC 21/2002, de 28 de enero, FJ 4; con cita de las SSTC 76/1990, de 26 de abril, FJ 9; y 289/2000, de 30 de noviembre, FJ 6)]. Por lo tanto, el distinto trato que la ley pueda otorgar ante situaciones iguales debe tener una justificación objetiva y razonable y, además, superar un juicio de proporcionalidad sobre la relación existente entre la medida adoptada, el resultado producido y la finalidad pretendida (SSTC 22/1981, de 2 de julio, FJ 3; 2/1983, de 24 de enero, FJ 4; 209/1987, de 22 de diciembre, FJ 3; 20/1991, de 31 de enero, FJ 2; 176/1993, de 27 de mayo, FJ 2; 117/1998, de 2 de junio, FJ 8; y 39/2002, de 14 de febrero, FJ 4, por todas).</w:t>
      </w:r>
    </w:p>
    <w:p w:rsidR="00B85568" w:rsidRDefault="00B85568" w:rsidP="00B85568">
      <w:pPr>
        <w:pStyle w:val="TextoNormal"/>
      </w:pPr>
    </w:p>
    <w:p w:rsidR="00B85568" w:rsidRDefault="00B85568" w:rsidP="00B85568">
      <w:pPr>
        <w:pStyle w:val="TextoNormal"/>
      </w:pPr>
      <w:r>
        <w:t>Ahora bien, también hemos reiterado que la desigualdad por indiferenciación no está protegida constitucionalmente, de manera que el art. 14 CE se limita a prohibir la distinción infundada o discriminatoria, pero no consagra un derecho a la desigualdad de trato, ni ampara la falta de distinción de la norma, no existiendo en consecuencia un derecho subjetivo al trato normativo desigual (STC 183/2014, de 6 de noviembre, FJ 3; con cita de las SSTC 38/2014, de 11 de marzo, FJ 6; y 198/2012, de 6 de noviembre, FJ 13).</w:t>
      </w:r>
    </w:p>
    <w:p w:rsidR="00B85568" w:rsidRDefault="00B85568" w:rsidP="00B85568">
      <w:pPr>
        <w:pStyle w:val="TextoNormal"/>
      </w:pPr>
    </w:p>
    <w:p w:rsidR="00B85568" w:rsidRDefault="00B85568" w:rsidP="00B85568">
      <w:pPr>
        <w:pStyle w:val="TextoNormal"/>
      </w:pPr>
      <w:r>
        <w:t>A partir de lo anterior debemos descartar en todo caso que la duda tenga fundamento desde la perspectiva planteada, ya que incluso si resultara que dos conductas diferentes (regularización tardía o falta de ingreso) pudieran recibir una misma sanción, ello carecería en sí mismo de relevancia desde la perspectiva del principio de igualdad protegido en el art. 14 CE.</w:t>
      </w:r>
    </w:p>
    <w:p w:rsidR="00B85568" w:rsidRDefault="00B85568" w:rsidP="00B85568">
      <w:pPr>
        <w:pStyle w:val="TextoNormal"/>
      </w:pPr>
    </w:p>
    <w:p w:rsidR="00B85568" w:rsidRDefault="00B85568" w:rsidP="00B85568">
      <w:pPr>
        <w:pStyle w:val="TextoNormal"/>
      </w:pPr>
      <w:r w:rsidRPr="00B85568">
        <w:rPr>
          <w:rStyle w:val="NumeroAFNegritaCaracter"/>
        </w:rPr>
        <w:t>4</w:t>
      </w:r>
      <w:r>
        <w:t>. El órgano judicial duda también de la compatibilidad entre el art. 191.6 LGT y los arts. 9.3 y 25.1 CE, por existir una gran desproporción entre la gravedad de la conducta —ingreso fuera de plazo sin cumplir los requisitos formales del art. 27.4 LGT— y la cuantía sancionadora (art. 25.1 CE), lo que considera que incurre a su vez en arbitrariedad, al poder ser sancionada de forma igual una infracción leve que la infracción grave consistente en la falta de ingreso alguno (art. 9.3 CE).</w:t>
      </w:r>
    </w:p>
    <w:p w:rsidR="00B85568" w:rsidRDefault="00B85568" w:rsidP="00B85568">
      <w:pPr>
        <w:pStyle w:val="TextoNormal"/>
      </w:pPr>
    </w:p>
    <w:p w:rsidR="00B85568" w:rsidRDefault="00B85568" w:rsidP="00B85568">
      <w:pPr>
        <w:pStyle w:val="TextoNormal"/>
      </w:pPr>
      <w:r>
        <w:t>Antes de nada debemos recordar que el principio de proporcionalidad “no constituye en nuestro ordenamiento constitucional un canon de constitucionalidad autónomo cuya alegación pueda producirse de forma aislada respecto de otros preceptos constitucionales” (STC 161/1997, de 2 de octubre, FJ 8). Por lo tanto, cuando se aduce la existencia de un trato desproporcionado, debe primero alegarse en qué medida se afecta, además, al contenido de otros derechos constitucionales, pues sólo cuando la desproporción suponga vulneración de dichos derechos cabrá, en su caso, declarar la inconstitucionalidad de la norma (SSTC 55/1996, de 28 de marzo, FJ 3; y 136/1999, de 20 de julio, FJ 22).</w:t>
      </w:r>
    </w:p>
    <w:p w:rsidR="00B85568" w:rsidRDefault="00B85568" w:rsidP="00B85568">
      <w:pPr>
        <w:pStyle w:val="TextoNormal"/>
      </w:pPr>
    </w:p>
    <w:p w:rsidR="00B85568" w:rsidRDefault="00B85568" w:rsidP="00B85568">
      <w:pPr>
        <w:pStyle w:val="TextoNormal"/>
      </w:pPr>
      <w:r>
        <w:t>Incluso allí donde se encuentran efectivamente involucrados derechos fundamentales, como ocurre en el ámbito del art. 25.1 CE, hemos insistido en que el punto de partida del análisis es la potestad exclusiva del legislador para configurar el sistema de infracciones y sanciones atendiendo a los bienes jurídicamente protegidos, de suerte que la proporción entre las conductas que se pretenden evitar y las sanciones con las que intenta conseguirlo es puramente un “juicio de oportunidad”, que corresponde realizar al legislador, estando el juicio de constitucionalidad limitado “a verificar que la norma penal no produzca un patente derroche inútil de coacción que convierte la norma en arbitraria y que socava los principios elementales de justicia inherentes a la dignidad de la persona y al Estado de Derecho” [STC 60/2010, de 7 de octubre, FJ 7 a); con cita de las SSTC 127/2009, de 26 de mayo, FJ 8; 136/1999, de 20 de julio, FJ 23; 55/1996, de 28 de marzo, FFJJ 6 y ss., y 161/1997, de 2 de octubre, FFJJ 9 y ss.; entre otras]. A partir de ahí corresponde primordialmente a los tribunales ordinarios determinar si se ha respetado la garantía del art. 25.1 CE en el plano aplicativo.</w:t>
      </w:r>
    </w:p>
    <w:p w:rsidR="00B85568" w:rsidRDefault="00B85568" w:rsidP="00B85568">
      <w:pPr>
        <w:pStyle w:val="TextoNormal"/>
      </w:pPr>
    </w:p>
    <w:p w:rsidR="00B85568" w:rsidRDefault="00B85568" w:rsidP="00B85568">
      <w:pPr>
        <w:pStyle w:val="TextoNormal"/>
      </w:pPr>
      <w:r>
        <w:t>En el presente caso no se aprecia —ni lo alega el órgano judicial que promueve la cuestión de inconstitucionalidad— que exista un “patente derroche inútil de coacción que convierte la norma en arbitraria”, que pudiera conducir a apreciar una infracción del principio de proporcionalidad en la previsión legal de las sanciones administrativas (art. 25.1 CE). Más allá de esa constatación, no le corresponde a este Tribunal pronunciarse sobre si resulta oportuna o adecuada, en abstracto, la decisión del legislador de sancionar la conducta descrita en el art. 191.6 LGT con una cuantía fija del 50 por 100 de la cuota.</w:t>
      </w:r>
    </w:p>
    <w:p w:rsidR="00B85568" w:rsidRDefault="00B85568" w:rsidP="00B85568">
      <w:pPr>
        <w:pStyle w:val="TextoNormal"/>
      </w:pPr>
    </w:p>
    <w:p w:rsidR="00B85568" w:rsidRDefault="00B85568" w:rsidP="00B85568">
      <w:pPr>
        <w:pStyle w:val="TextoNormal"/>
      </w:pPr>
      <w:r w:rsidRPr="00B85568">
        <w:rPr>
          <w:rStyle w:val="NumeroAFNegritaCaracter"/>
        </w:rPr>
        <w:t>5</w:t>
      </w:r>
      <w:r>
        <w:t>. Finalmente, en cuanto al reproche de arbitrariedad en sentido estricto (art. 9.3 CE), hemos reiterado que la calificación de “arbitraria” dada a una ley exige una cierta prudencia, toda vez que es la “expresión de la voluntad popular”, por lo que su control de constitucionalidad debe ejercerse sin imponer constricciones indebidas al poder legislativo y respetando sus opciones políticas, centrándose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(STC 45/2007, de 1 de marzo, FJ 4, y ATC 123/2009, de 30 de abril, FJ 8).</w:t>
      </w:r>
    </w:p>
    <w:p w:rsidR="00B85568" w:rsidRDefault="00B85568" w:rsidP="00B85568">
      <w:pPr>
        <w:pStyle w:val="TextoNormal"/>
      </w:pPr>
    </w:p>
    <w:p w:rsidR="00B85568" w:rsidRDefault="00B85568" w:rsidP="00B85568">
      <w:pPr>
        <w:pStyle w:val="TextoNormal"/>
      </w:pPr>
      <w:r>
        <w:t>El art. 191.6 LGT sanciona la conducta consistente en ingresar fuera de plazo tributos o pagos regularizados por el propio obligado tributario pero sin cumplir los requisitos exigidos en el art. 27.4 LGT, esto es, sin que por parte de éste se identifique en la autoliquidación de forma expresa el período impositivo de liquidación al que se refieren los tributos o pagos que han sido regularizados. Se trata así de un tipo de infracción específica, que sanciona la conducta de quien intenta enmascarar la falta de ingreso en el momento adecuado incluyendo los pagos tardíos en otro período de liquidación, todo ello con la finalidad de evitar, de manera fraudulenta, la liquidación de los correspondientes recargos por presentación extemporánea de la autoliquidación. Como destaca el Fiscal General del Estado en su escrito, se trata de una conducta cuya antijuridicidad consiste en tratar de soslayar el régimen jurídico de las regularizaciones del art. 27 LGT, en los términos que también ha reiterado la doctrina del Tribunal Supremo referida a esta concreta infracción (entre otras, SSTS de 14 de julio de 2011, dictada en el recurso de casación para la unificación de doctrina núm. 91-2008; y de 18 de julio de 2011, dictada en recurso de casación para la unificación de doctrina núm. 130-2008). No se trata así de un mero retraso en el pago sino que éste viene cualificado por el encubrimiento deliberado de los ingresos de un ejercicio en otro distinto, con la finalidad de retrasar el ingreso de la deuda tributaria sin pagar el recargo por extemporánea que de otro modo habría correspondido. La consecuencia es que el contribuyente ingresa tardíamente la deuda debida, si bien de hecho se va a beneficiar de lo que sería una financiación implícita a cargo del Tesoro público, de forma gratuita, y generando un evidente daño al erario público.</w:t>
      </w:r>
    </w:p>
    <w:p w:rsidR="00B85568" w:rsidRDefault="00B85568" w:rsidP="00B85568">
      <w:pPr>
        <w:pStyle w:val="TextoNormal"/>
      </w:pPr>
    </w:p>
    <w:p w:rsidR="00B85568" w:rsidRDefault="00B85568" w:rsidP="00B85568">
      <w:pPr>
        <w:pStyle w:val="TextoNormal"/>
      </w:pPr>
      <w:r>
        <w:t>En todo caso, quien así actúa es objeto de una sanción que tiene carácter leve, y que el art. 191.6 LGT limita al 50 por 100 de la cuota. Por tanto, la norma no encierra ninguna discriminación, ya que resulta evidente que no otorga el mismo trato a quien cumple el tipo allí descrito que a quien deja de ingresar la deuda tributaria incurriendo así en un incumplimiento definitivo. No ha quedado así acreditada la homogeneidad de los términos de comparación que se ofrecen, ya que como resulta de la propia lectura del art. 191 LGT, las infracciones graves no tienen un régimen sancionador idéntico al de las leves, de manera que el art. 191.3 y 4 LGT prevé, respectivamente, tipos sancionadores de diferente cuantía, desde el 50 al 100 por 100 en el caso de las infracciones graves; y del 50 a 150 por 100 en el caso de infracciones muy graves.</w:t>
      </w:r>
    </w:p>
    <w:p w:rsidR="00B85568" w:rsidRDefault="00B85568" w:rsidP="00B85568">
      <w:pPr>
        <w:pStyle w:val="TextoNormal"/>
      </w:pPr>
    </w:p>
    <w:p w:rsidR="00B85568" w:rsidRDefault="00B85568" w:rsidP="00B85568">
      <w:pPr>
        <w:pStyle w:val="TextoNormal"/>
      </w:pPr>
      <w:r>
        <w:t>Debe en todo caso recordarse que una eventual actuación arbitraria de la Administración tributaria en modo alguno convierte a la norma legal en arbitraria, siendo precisamente función de los órganos judiciales del orden contencioso-administrativo controlar dicha actuación y, por lo que se refiere en concreto a este supuesto, verificar que se cumple efectivamente el tipo infractor del art. 191.6 LGT y que el art. 25.1 CE ha sido respetado en el plano aplicativo (SSTC 199/2014, de 15 de diciembre, FJ 3; y 218/2005, de 12 de septiembre, FJ 3).</w:t>
      </w:r>
    </w:p>
    <w:p w:rsidR="00B85568" w:rsidRDefault="00B85568" w:rsidP="00B85568">
      <w:pPr>
        <w:pStyle w:val="TextoNormal"/>
      </w:pPr>
    </w:p>
    <w:p w:rsidR="00B85568" w:rsidRDefault="00B85568" w:rsidP="00B85568">
      <w:pPr>
        <w:pStyle w:val="TextoNormal"/>
      </w:pPr>
      <w:r>
        <w:t>Asimismo, debe insistirse una vez más en que la finalidad de la cuestión de inconstitucionalidad no es resolver controversias interpretativas sobre el alcance de determinado precepto legal, cuestión esta extramuros de la jurisdicción constitucional y para la que el ordenamiento jurídico dispone de otros cauces (ATC 255/2013, de 5 de noviembre, FJ 4, con cita de otros muchos).</w:t>
      </w:r>
    </w:p>
    <w:p w:rsidR="00B85568" w:rsidRDefault="00B85568" w:rsidP="00B85568">
      <w:pPr>
        <w:pStyle w:val="TextoNormal"/>
      </w:pPr>
    </w:p>
    <w:p w:rsidR="00B85568" w:rsidRDefault="00B85568" w:rsidP="00B85568">
      <w:pPr>
        <w:pStyle w:val="TextoNormal"/>
      </w:pPr>
      <w:r>
        <w:t>Los razonamientos precedentes permiten concluir que no cabe apreciar la pretendida contradicción de las disposiciones cuestionadas con la Constitución, por lo que resulta procedente declarar en este momento procesal, de conformidad con lo alegado por el Fiscal General del Estado, que la cuestión resulta notoriamente infundada (art. 37.1 LOTC) y ha de ser por ello inadmitida.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tres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1" w:name="AUTO_2015_21"/>
      <w:r>
        <w:t>AUTO 21/2015, de 3 de febrero de 2015</w:t>
      </w:r>
    </w:p>
    <w:bookmarkEnd w:id="171"/>
    <w:p w:rsidR="00B85568" w:rsidRDefault="00B85568" w:rsidP="00B85568">
      <w:pPr>
        <w:pStyle w:val="TtuloResolucin"/>
      </w:pPr>
      <w:r>
        <w:t>Pleno</w:t>
      </w:r>
    </w:p>
    <w:p w:rsidR="00B85568" w:rsidRDefault="00B85568" w:rsidP="00B85568">
      <w:pPr>
        <w:pStyle w:val="TextoNormalCentrado"/>
      </w:pPr>
      <w:r>
        <w:t>ECLI:ES:TC:2015:21A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4708-2014, planteada por el Tribunal Superior de Justicia de Castilla-La Mancha en relación con los artículos 22.1 a) y 2 de la Ley 8/2007, de 28 de mayo, del texto refundido de la Ley de suelo.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17 de julio de 2014 tuvo entrada en el Registro General del Tribunal Constitucional un escrito de la Sección Segunda de la Sala de lo Contencioso-Administrativo del Tribunal Superior de Castilla-La Mancha, al que se acompaña, junto con el testimonio de las actuaciones del procedimiento ordinario 592-2010, el Auto de 27 de junio de 2014 por el que se plantea cuestión de inconstitucionalidad contra los apartados 1 a) y 2 del art. 22 de la Ley 8/2007, de 28 de mayo, de suelo, y los apartados 1 a) y 2 del art. 23 del texto refundido de la Ley de suelo, aprobado por el Real Decreto Legislativo 2/2008, de 20 de junio, por la posible vulneración del art. 33.3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que interesan a la presente cuestión son los que a continuación se exponen:</w:t>
      </w:r>
    </w:p>
    <w:p w:rsidR="00B85568" w:rsidRDefault="00B85568" w:rsidP="00B85568">
      <w:pPr>
        <w:pStyle w:val="TextoNormal"/>
      </w:pPr>
    </w:p>
    <w:p w:rsidR="00B85568" w:rsidRDefault="00B85568" w:rsidP="00B85568">
      <w:pPr>
        <w:pStyle w:val="TextoNormal"/>
      </w:pPr>
      <w:r>
        <w:t>a) Don José Antonio Vinuesa recurrió en vía contencioso-administrativa la resolución del Jurado provincial de expropiación forzosa de Cuenca de 25 de junio de 2010 que fijó el justiprecio de la parcela catastral núm. 5001 polígono 507 de 4,4849 ha, ubicada en Motilla del Palancar, de la que se expropiaron 654 m2 dedicados a pastos para la ejecución del proyecto “acondicionamiento de la travesía de Motilla del Palancar. CN 320” puntos kilométricos 69,730 a 73,500 y N-III puntos kilométricos 199,550 a 200,630.</w:t>
      </w:r>
    </w:p>
    <w:p w:rsidR="00B85568" w:rsidRDefault="00B85568" w:rsidP="00B85568">
      <w:pPr>
        <w:pStyle w:val="TextoNormal"/>
      </w:pPr>
    </w:p>
    <w:p w:rsidR="00B85568" w:rsidRDefault="00B85568" w:rsidP="00B85568">
      <w:pPr>
        <w:pStyle w:val="TextoNormal"/>
      </w:pPr>
      <w:r>
        <w:t>Alegó que aunque la finca sea rústica debe valorarse como urbana, pues sobre el conjunto de la parcela existe una nave industrial destinada a la actividad de madera, aparte de que tiene acceso rodado, suministro eléctrico, agua potable y alcantarillado, por lo cual es un solar. Además dice que la obra en la travesía está integrada en la red viaria local e incorporada al entramado urbano del pueblo con lo cual crea ciudad, por lo que “se reclama la aplicación de la consolidada doctrina del Tribunal Supremo según la que los suelos, aun rústicos, deben ser valorados como si fueran urbanizados programados cuando se destinan a la ejecución de sistemas generales que tienden a crear ciudad”. Por ello pide que se le pague 24,91 €/m2, al igual que hizo la Administración con otra parcela suya expropiada con la calificación de urbana. En su defecto solicita que se le abone al precio fijado por un arquitecto técnico en el informe pericial que aporta, que es 19,60 €/m2.</w:t>
      </w:r>
    </w:p>
    <w:p w:rsidR="00B85568" w:rsidRDefault="00B85568" w:rsidP="00B85568">
      <w:pPr>
        <w:pStyle w:val="TextoNormal"/>
      </w:pPr>
    </w:p>
    <w:p w:rsidR="00B85568" w:rsidRDefault="00B85568" w:rsidP="00B85568">
      <w:pPr>
        <w:pStyle w:val="TextoNormal"/>
      </w:pPr>
      <w:r>
        <w:t>b) Conclusas las actuaciones y antes de dictar sentencia, la Sección Segunda de la Sala de lo Contencioso-Administrativo del Tribunal Superior de Justicia de Castilla-La Mancha dictó providencia con fecha 26 de mayo de 2014, por la que, al amparo de lo previsto en el art. 35.2 de la Ley Orgánica del Tribunal Constitucional (LOTC), acordó oír a las partes y al Ministerio Fiscal por el plazo común de diez días acerca de la posible inconstitucionalidad de los arts. 22.1 a) y 2 de la Ley 8/2007, de 28 de mayo, de suelo, y 23.1 a) y 2 del texto refundido de la Ley de suelo, en cuanto que las limitaciones que en ellos se establecen para la valoración de los terrenos en el suelo rural podría impedirle fijar el justiprecio del bien conforme a su valor real, con la consiguiente vulneración del art. 33.3 CE. La recurrente y el Ministerio Fiscal se mostraron favorables a su interposición, mientras que la Abogacía del Estado se opuso a su planteamiento.</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27 de junio de 2014, de planteamiento de la cuestión de inconstitucionalidad, tras exponer los antecedentes del caso y la concurrencia de los requisitos previstos en el art. 35 LOTC, expone que la valoración del suelo rural por el método de capitalización de rentas agrarias corregido hasta el máximo del doble en función de factores objetivos de localización, sin que puedan tenerse en cuenta expectativas derivadas de la asignación de usos y edificabilidades por la ordenación territorial y urbanística que no hayan sido aun plenamente realizados, puede resultar contraria al art. 33.3 CE por las siguientes razones. En primer lugar,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correspondan valor real de los bienes y derechos expropiados, cualquiera que sea éste, pues lo que garantiza la Constitución es el razonable equilibrio entre el daño expropiatorio y su reparación. Se cita también la STC 313/2006, de 8 de noviembre, FJ 9. Invoca también la doctrina del Tribunal Europeo de Derechos Humanos, señalando que, a su entender, los preceptos que se cuestionan vulnerarían el art. 1 del protocolo adicional del Convenio de Roma, con cita de numerosas sentencias del referido Tribunal, entre las que se encuentra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sólo una indemnización íntegra puede ser considerada como razonablemente proporcionada al valor del bien. Hace referencia también a la abundante doctrina del Tribunal Supremo proclive a la valoración de las expectativas urbanísticas en suelo no urbanizable, señalando que bajo la vigencia de la Ley del suelo de 1976 las expectativas urbanísticas fueron un elemento más de valoración en los suelos no urbanizables y que, desde entonces, con la única excepción de los ocho años que estuvo vigente la Ley del suelo 8/1990 y su texto refundido, aprobado por Real Decreto Legislativo 1/1992, nuestra legislación urbanística ha permitido su valoración hasta la vigente Ley 8/2007, en la que se ha vuelto a prohibir expresamente tal posibilidad.</w:t>
      </w:r>
    </w:p>
    <w:p w:rsidR="00B85568" w:rsidRDefault="00B85568" w:rsidP="00B85568">
      <w:pPr>
        <w:pStyle w:val="TextoNormal"/>
      </w:pPr>
    </w:p>
    <w:p w:rsidR="00B85568" w:rsidRDefault="00B85568" w:rsidP="00B85568">
      <w:pPr>
        <w:pStyle w:val="TextoNormal"/>
      </w:pPr>
      <w:r>
        <w:t>Asimismo, el órgano judicial hace referencia a las modificaciones posteriores a la entrada en vigor de texto refundido que vienen a evidenciar la insuficiencia del método de capitalización para obtener el valor real del suelo rural. En este sentido, aunque tanto la Ley del suelo como el texto refundido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pudiera alejar de forma significativa el resultado de las valoraciones respecto de los precios de mercado del suelo rural sin consideración de expectativas urbanísticas, no se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 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o zonas de especial valor no estrictamente agropecuario. En conclusión, considera el órgano judicial que el sistema de valoración es claramente insuficiente para que los propietarios puedan obtener esa compensación íntegra por el bien expropiado, tanto cualitativa como cuantitativamente, pues se prohíbe expresamente la consideración de expectativas urbanísticas.</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4 de noviembre de 2014, la Sección segunda del Tribunal Constitucional acordó dar traslado al Fiscal General del Estado para que alegase sobre la admisibilidad de la cuestión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16 de diciembre tuvo entrada en este Tribunal escrito del Ministerio Fiscal formulando las alegaciones que a continuación se resumen. Tras exponer los argumentos del Auto de planteamiento de la cuestión de inconstitucionalidad, analiza la observancia de los requisitos establecidos en el art. 35.2 LOTC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00B85568" w:rsidRDefault="00B85568" w:rsidP="00B85568">
      <w:pPr>
        <w:pStyle w:val="TextoNormal"/>
      </w:pPr>
    </w:p>
    <w:p w:rsidR="00B85568" w:rsidRDefault="00B85568" w:rsidP="00B85568">
      <w:pPr>
        <w:pStyle w:val="TextoNormal"/>
      </w:pPr>
      <w:r>
        <w:t>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de la Ley de suelo,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sea manifiestamente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de la Ley de suelo, mientras que en la duda que atañe al apartado segundo del mismo precepto debe considerarse manifiestamente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 conformidad con el art. 37.1 de la Ley Orgánica del Tribunal Constitucional (LOTC), este Tribunal puede rechazar la cuestión de inconstitucionalidad, en trámite de admisión y mediante Auto y sin más audiencia que la del Fiscal General del Estado, cuando faltaren las condiciones procesales o fuere notoriamente infundada.</w:t>
      </w:r>
    </w:p>
    <w:p w:rsidR="00B85568" w:rsidRDefault="00B85568" w:rsidP="00B85568">
      <w:pPr>
        <w:pStyle w:val="TextoNormal"/>
      </w:pPr>
    </w:p>
    <w:p w:rsidR="00B85568" w:rsidRDefault="00B85568" w:rsidP="00B85568">
      <w:pPr>
        <w:pStyle w:val="TextoNormal"/>
      </w:pPr>
      <w:r>
        <w:t>De acuerdo con lo dispuesto en el art. 35.1 LOTC, la norma legal cuya constitucionalidad se cuestiona debe ser aplicable al caso. Siendo obvio, de un lado, que la Ley 8/2007, de suelo, y el texto refundido de la Ley de suelo aprobado por el Real Decreto Legislativo 2/2008, ni estaban ni pudieron estar en vigor en un mismo momento, y de otro que la hoja de aprecio de la recurrente fue presentada a la Administración expropiante el 30 de marzo de 2009, después, por tanto, de la entrada en vigor del texto refundido de la Ley de suelo el 27 de junio de 2008, debemos inadmitir la cuestión de inconstitucionalidad planteada en relación con los apartados 1 a) y 2 del art. 22 de la Ley de suelo.</w:t>
      </w:r>
    </w:p>
    <w:p w:rsidR="00B85568" w:rsidRDefault="00B85568" w:rsidP="00B85568">
      <w:pPr>
        <w:pStyle w:val="TextoNormal"/>
      </w:pPr>
    </w:p>
    <w:p w:rsidR="00B85568" w:rsidRDefault="00B85568" w:rsidP="00B85568">
      <w:pPr>
        <w:pStyle w:val="TextoNormal"/>
      </w:pPr>
      <w:r w:rsidRPr="00B85568">
        <w:rPr>
          <w:rStyle w:val="NumeroAFNegritaCaracter"/>
        </w:rPr>
        <w:t>3</w:t>
      </w:r>
      <w:r>
        <w:t>. Las razones en las que se fundamenta el Auto de planteamiento de la cuestión de inconstitucionalidad son sustancialmente iguales a las expuestas en los recursos de inconstitucionalidad números 6963-2007, 6964-2007, 6969-2007 y 6973-2007 acumulados interpuestos contra la Ley de suelo por más de cincuenta Diputados y tres Gobiernos de Comunidades autónomas, así como a los expuestos en los dos posteriores recursos de inconstitucionalidad 7020-2008 y 7231-2008 también acumulados, interpuestos contra el texto refundido de la Ley de suelo que han dado lugar a la STC 141/2014, de 11 de septiembre, aunque en este caso, a diferencia de entonces, la duda se refiere únicamente al suelo clasificado por el planeamiento como rústico, esto es, al que el planeamiento no atribuye ni edificabilidad ni usos urbanísticos. En concreto considera la Sala que el valor que garantiza el art. 33.3 CE es el valor de mercado. Como quiera que las fincas rústicas afectadas en el proceso judicial tienen un plus valor debido a ciertas expectativas urbanísticas, se encuentran próximas al núcleo urbano, y de aprovechamiento no estrictamente agropecuario (naves y establecimientos a pie de carretera), y los preceptos cuestionados obligan a valorar un suelo como el de autos por capitalización de las rentas agrarias, con un incremento máximo del doble, el valor así obtenido resulta claramente insuficiente.</w:t>
      </w:r>
    </w:p>
    <w:p w:rsidR="00B85568" w:rsidRDefault="00B85568" w:rsidP="00B85568">
      <w:pPr>
        <w:pStyle w:val="TextoNormal"/>
      </w:pPr>
    </w:p>
    <w:p w:rsidR="00B85568" w:rsidRDefault="00B85568" w:rsidP="00B85568">
      <w:pPr>
        <w:pStyle w:val="TextoNormal"/>
      </w:pPr>
      <w:r>
        <w:t>La STC 141/2014, de 11 de septiembre, tras analizar el art. 23.1 a) del texto refundido de la Ley de suelo entendió que era constitucional una vez depurado el inciso de “hasta un máximo del doble”, cuya inconstitucionalidad y nulidad declaró. Por ello, una vez eliminado del ordenamiento jurídico el inciso anteriormente señalado, sólo cabe declarar que la cuestión ha perdido objeto en lo que atañe a la duda de constitucionalidad relativa al apartado 1 a) del art. 23 del texto refundido de la Ley de suelo, criterio además reconocido en el reciente ATC 8/2015, de 20 de enero, al resolver la cuestión de inconstitucionalidad 2995-2014.</w:t>
      </w:r>
    </w:p>
    <w:p w:rsidR="00B85568" w:rsidRDefault="00B85568" w:rsidP="00B85568">
      <w:pPr>
        <w:pStyle w:val="TextoNormal"/>
      </w:pPr>
    </w:p>
    <w:p w:rsidR="00B85568" w:rsidRDefault="00B85568" w:rsidP="00B85568">
      <w:pPr>
        <w:pStyle w:val="TextoNormal"/>
      </w:pPr>
      <w:r>
        <w:t>La duda de la Sala se suscita también en relación con el apartado 2 del art. 23 del texto refundido de la Ley de suelo, según el cual en ningún caso podrán considerarse expectativas derivadas de la asignación de edificabilidades y usos por la ordenación territorial y urbanística que no hayan sido aún realizados. Aunque este apartado no fue impugnado entonces, motivo por el cual la STC 141/2014, de 11 de septiembre, no se pronunció específicamente sobre el mismo, la solución a la duda de constitucionalidad planteada viene predeterminada por lo afirmado por este Tribunal en el fundamento jurídico 9 B), y en el ya invocado Auto de 20 de enero de 2015, ya que el apartado 2 del art. 23 sólo es una reiteración de la regla establecida en el apartado 1 a) del art. 23, motivada, sin duda, por la preocupación del legislador en insistir en el abandono de los criterios de valoración del suelo no urbanizable y urbanizable de la Ley 6/1998, de 13 de abril, de régimen del suelo y valoraciones.</w:t>
      </w:r>
    </w:p>
    <w:p w:rsidR="00B85568" w:rsidRDefault="00B85568" w:rsidP="00B85568">
      <w:pPr>
        <w:pStyle w:val="TextoNormal"/>
      </w:pPr>
    </w:p>
    <w:p w:rsidR="00B85568" w:rsidRDefault="00B85568" w:rsidP="00B85568">
      <w:pPr>
        <w:pStyle w:val="TextoNormal"/>
      </w:pPr>
      <w:r>
        <w:t>Así pues,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w:t>
      </w:r>
    </w:p>
    <w:p w:rsidR="00B85568" w:rsidRDefault="00B85568" w:rsidP="00B85568">
      <w:pPr>
        <w:pStyle w:val="TextoNormal"/>
      </w:pPr>
    </w:p>
    <w:p w:rsidR="00B85568" w:rsidRDefault="00B85568" w:rsidP="00B85568">
      <w:pPr>
        <w:pStyle w:val="TextoNormal"/>
      </w:pPr>
      <w:r>
        <w:t>En virtud de los argumentos expuestos, cabe concluir que la duda de inconstitucionalidad planteada en relación al art. 23.2 del texto refundido de la Ley de suelo resulta notoriamente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tres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2" w:name="AUTO_2015_22"/>
      <w:r>
        <w:t>AUTO 22/2015, de 3 de febrero de 2015</w:t>
      </w:r>
    </w:p>
    <w:bookmarkEnd w:id="172"/>
    <w:p w:rsidR="00B85568" w:rsidRDefault="00B85568" w:rsidP="00B85568">
      <w:pPr>
        <w:pStyle w:val="TtuloResolucin"/>
      </w:pPr>
      <w:r>
        <w:t>Pleno</w:t>
      </w:r>
    </w:p>
    <w:p w:rsidR="00B85568" w:rsidRDefault="00B85568" w:rsidP="00B85568">
      <w:pPr>
        <w:pStyle w:val="TextoNormalCentrado"/>
      </w:pPr>
      <w:r>
        <w:t>ECLI:ES:TC:2015:22A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5368-2014, planteada por el Tribunal Superior de Castilla-La Mancha en relación con los artículos 22.1 a) y 2 de la Ley 8/2007, de 28 de mayo, del texto refundido de la Ley de Suelo.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8 de septiembre de 2009, tuvo entrada en el Registro General del Tribunal Constitucional el Auto de 9 de julio de 2014, de la Sala de lo Contencioso-Administrativo del Tribunal Superior de Justicia de Castilla-La Mancha, dictado en el procedimiento ordinario núm. 528-2010, por el que se acuerda el planteamiento de la cuestión de inconstitucionalidad en relación con los arts. 22.1 a) y 2 de la Ley 8/2007, de 28 de mayo, de suelo, y 23.1 a) y 2 del Real Decreto Legislativo 2/2008, de 20 de junio, que aprueba el texto refundido de la Ley de suelo, por contradicción con el art. 33.3 CE. Con él se adjunta testimonio de las actuaciones.</w:t>
      </w:r>
    </w:p>
    <w:p w:rsidR="00B85568" w:rsidRDefault="00B85568" w:rsidP="00B85568">
      <w:pPr>
        <w:pStyle w:val="TextoNormal"/>
      </w:pPr>
    </w:p>
    <w:p w:rsidR="00B85568" w:rsidRDefault="00B85568" w:rsidP="00B85568">
      <w:pPr>
        <w:pStyle w:val="TextoNormal"/>
      </w:pPr>
      <w:r w:rsidRPr="00B85568">
        <w:rPr>
          <w:rStyle w:val="NumeroAFNegritaCaracter"/>
        </w:rPr>
        <w:t>2</w:t>
      </w:r>
      <w:r>
        <w:t>. En lo que interesa al presente proceso constitucional, los antecedentes son los siguientes:</w:t>
      </w:r>
    </w:p>
    <w:p w:rsidR="00B85568" w:rsidRDefault="00B85568" w:rsidP="00B85568">
      <w:pPr>
        <w:pStyle w:val="TextoNormal"/>
      </w:pPr>
    </w:p>
    <w:p w:rsidR="00B85568" w:rsidRDefault="00B85568" w:rsidP="00B85568">
      <w:pPr>
        <w:pStyle w:val="TextoNormal"/>
      </w:pPr>
      <w:r>
        <w:t>a) La representación procesal de doña María Luisa Ñombilla y hermanos interpuso recurso contencioso-administrativo contra la resolución del Jurado territorial de valoraciones de Castilla-La Mancha, de 27 de abril de 2010, por la que se fijaba el justiprecio de la finca núm. 75, parcela 373, del término municipal de Cabanillas del Campo, referido a la expropiación de terrenos de naturaleza rústica para la ejecución del proyecto de expropiación “modificado núm. 1, Construcción de la carretera de conexión entre la N-320 (Alovera) y CM-101 (Fontanar. Tramo Alovera-Cabanillas del Campo)”. La recurrente solicitaba que el suelo clasificado como no urbanizable fuera valorado como urbanizable, por contribuir a hacer ciudad o, subsidiariamente, se le aplicase el método de comparación con fincas análogas.</w:t>
      </w:r>
    </w:p>
    <w:p w:rsidR="00B85568" w:rsidRDefault="00B85568" w:rsidP="00B85568">
      <w:pPr>
        <w:pStyle w:val="TextoNormal"/>
      </w:pPr>
    </w:p>
    <w:p w:rsidR="00B85568" w:rsidRDefault="00B85568" w:rsidP="00B85568">
      <w:pPr>
        <w:pStyle w:val="TextoNormal"/>
      </w:pPr>
      <w:r>
        <w:t>b) Conclusas las actuaciones y una vez señalada fecha para votación y fallo, la Sala dictó providencia de 27 de mayo de 2014 en la que se acordaba dar traslado a las partes, de acuerdo con lo establecido en el art. 35.2 de la Ley Orgánica del Tribunal Constitucional (LOTC), para que en el plazo común de diez días pudieran alegar sobre la pertinencia de plantear cuestión de inconstitucionalidad sobre los arts. 22. 1 a) y 2 de la Ley de suelo, y 23.1 a) y 2 del texto refundido.</w:t>
      </w:r>
    </w:p>
    <w:p w:rsidR="00B85568" w:rsidRDefault="00B85568" w:rsidP="00B85568">
      <w:pPr>
        <w:pStyle w:val="TextoNormal"/>
      </w:pPr>
    </w:p>
    <w:p w:rsidR="00B85568" w:rsidRDefault="00B85568" w:rsidP="00B85568">
      <w:pPr>
        <w:pStyle w:val="TextoNormal"/>
      </w:pPr>
      <w:r>
        <w:t>c) La providencia de 27 de mayo de 2014 plantea la posible inconstitucionalidad de los preceptos antes citados, por vulneración del art. 33.3 CE, por cuanto las limitaciones que se establecen para la valoración del suelo rural (corrección al alza del valor obtenido por capitalización de rentas hasta un máximo del doble en función de determinados valores objetivos de localización, excluidas las expectativas urbanísticas) puede impedir fijar el justiprecio conforme a su valor real, habida cuenta que la propia beneficiaria valoró una finca muy próxima a esta y de similares características por el doble de precio en otro proyecto de expropiación.</w:t>
      </w:r>
    </w:p>
    <w:p w:rsidR="00B85568" w:rsidRDefault="00B85568" w:rsidP="00B85568">
      <w:pPr>
        <w:pStyle w:val="TextoNormal"/>
      </w:pPr>
    </w:p>
    <w:p w:rsidR="00B85568" w:rsidRDefault="00B85568" w:rsidP="00B85568">
      <w:pPr>
        <w:pStyle w:val="TextoNormal"/>
      </w:pPr>
      <w:r>
        <w:t>d) El Ministerio Fiscal presentó sus alegaciones mediante escrito de 30 de mayo de 2014. Tras concluir sobre la corrección de los requisitos formales de la providencia antes citada y repasar la doctrina constitucional en materia de expropiación y la compensación debida por la privación de la propiedad, considera que una primera aproximación a la cuestión permitiría concluir que los criterios de valoración del suelo no urbanizable no son absurdos ni manifiestamente irrazonables, pero ello no implica que garanticen efectivamente el derecho a percibir la contraprestación económica que corresponda al valor real de los bienes, pues no es difícil imaginar supuestos que, como éste, la aplicación de los criterios legales puede conducir a decisiones que violenten el adecuado equilibrio entre el daño y su indemnización. De ahí la conveniencia de que se plantee la cuestión de inconstitucionalidad.</w:t>
      </w:r>
    </w:p>
    <w:p w:rsidR="00B85568" w:rsidRDefault="00B85568" w:rsidP="00B85568">
      <w:pPr>
        <w:pStyle w:val="TextoNormal"/>
      </w:pPr>
    </w:p>
    <w:p w:rsidR="00B85568" w:rsidRDefault="00B85568" w:rsidP="00B85568">
      <w:pPr>
        <w:pStyle w:val="TextoNormal"/>
      </w:pPr>
      <w:r>
        <w:t>e) El Letrado de la Junta de Comunidades presentó sus alegaciones el 3 de junio de 2014, recordando, en primer lugar, que la Ley de suelo había impedido aplicar la jurisprudencia del Tribunal Supremo sobre valoración de los sistemas generales, esto es, valorar los terrenos destinados a infraestructuras como si de terrenos urbanizables se tratara. Considera que los tres apartados del art. 33 CE no pueden ser separados de manera que la propiedad está subordinada a su función social, así la valoración de su contenido no puede hacerse exclusivamente en función de los intereses particulares. Los poderes públicos están obligados a luchar contra la especulación, mandato al que obedece el art. 23 del texto refundido cuya constitucionalidad está, en su opinión, fuera de dudas. Por ello se opone al planteamiento de la cuestión.</w:t>
      </w:r>
    </w:p>
    <w:p w:rsidR="00B85568" w:rsidRDefault="00B85568" w:rsidP="00B85568">
      <w:pPr>
        <w:pStyle w:val="TextoNormal"/>
      </w:pPr>
    </w:p>
    <w:p w:rsidR="00B85568" w:rsidRDefault="00B85568" w:rsidP="00B85568">
      <w:pPr>
        <w:pStyle w:val="TextoNormal"/>
      </w:pPr>
      <w:r>
        <w:t>f) La parte recurrente realizó alegaciones mediante escrito de 12 de junio de 2014, en el que tras exponer el contenido del art. 33.3 CE, concluye que se produce un agravio comparativo para el propietario que se ve privado de sus bienes recibiendo a cambio una compensación que choca con el valor real de los bienes que, en este caso, se traduce en el desarrollo industrial y urbanístico, pues los terrenos expropiados servirán para que la zona pueda disponer de infraestructuras que, a la postre, permitirán que se desarrollen actividades que den riqueza a la zona, a costa del sacrificio de unos propietarios que se han visto privados de sus fincas por un precio muy inferior a su valor real. Solicita, en consecuencia, el planteamiento de la cuestión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planteamiento de la cuestión se fundamenta en las siguientes alegaciones:</w:t>
      </w:r>
    </w:p>
    <w:p w:rsidR="00B85568" w:rsidRDefault="00B85568" w:rsidP="00B85568">
      <w:pPr>
        <w:pStyle w:val="TextoNormal"/>
      </w:pPr>
    </w:p>
    <w:p w:rsidR="00B85568" w:rsidRDefault="00B85568" w:rsidP="00B85568">
      <w:pPr>
        <w:pStyle w:val="TextoNormal"/>
      </w:pPr>
      <w:r>
        <w:t>a) Sobre la aplicabilidad de la Ley de suelo, justifica que no resulta de aplicación la Ley 6/1998, de régimen del suelo y valoraciones, basándose en que lo determinante, tal y como lo ha interpretado el Tribunal Supremo, a los efectos de la selección de la norma aplicable no es el momento en que se inició el procedimiento expropiatorio, sino cuándo se realizó el requerimiento del art. 30 de la Ley de expropiación forzosa.</w:t>
      </w:r>
    </w:p>
    <w:p w:rsidR="00B85568" w:rsidRDefault="00B85568" w:rsidP="00B85568">
      <w:pPr>
        <w:pStyle w:val="TextoNormal"/>
      </w:pPr>
    </w:p>
    <w:p w:rsidR="00B85568" w:rsidRDefault="00B85568" w:rsidP="00B85568">
      <w:pPr>
        <w:pStyle w:val="TextoNormal"/>
      </w:pPr>
      <w:r>
        <w:t>b) Sobre el juicio de relevancia señala el Auto que, haciendo abstracción de la posibilidad de valorar los suelos por la jurisprudencia relativa a “los sistemas generales que contribuyen a hacer ciudad”, es decir, como si fueran suelos urbanizables, lo cierto es que teniendo en cuenta su clasificación como no urbanizables, se encuentran en situación básica de suelo rural, por lo que debe aplicarse el método del art. 22 de la Ley de suelo, que solo puede responder al rendimiento del valor agrícola pero no al valor real de los terrenos por su situación, pues impide valorar las expectativas urbanísticas. En este caso, además, continúa el Auto, la misma beneficiaria había pagado casi el doble por una expropiación llevada a efecto pocos meses antes en una finca muy próxima a ésta, con la misma clasificación, y con iguales características. La aplicación del precepto impugnado impide que el Jurado y el Tribunal valoren los terrenos en base a su valor real al que, anteriormente, podía llegarse por el método de comparación de fincas análogas, ahora eliminado por el precepto impugnado. Además, prosigue el Auto, la jurisprudencia había permitido incrementar en un 500 por 100 el valor obtenido por capitalización de rentas atendiendo a las expectativas urbanísticas de los terrenos. La aplicación del precepto solo permitiría, por aplicación del método de capitalización de rentas incrementado en el doble, obtener un valor de 4,42 euros/m2, mientras que por el método de comparación se hubiera podido valorar en 8,98 euros/m2, tal y como se acredita en la documental que se adjunta en la demanda, por lo que el justiprecio debería ser, como mínimo, el anteriormente ofrecido por la beneficiaria y no el obtenido por aplicación del precepto cuya constitucionalidad se cuestiona.</w:t>
      </w:r>
    </w:p>
    <w:p w:rsidR="00B85568" w:rsidRDefault="00B85568" w:rsidP="00B85568">
      <w:pPr>
        <w:pStyle w:val="TextoNormal"/>
      </w:pPr>
    </w:p>
    <w:p w:rsidR="00B85568" w:rsidRDefault="00B85568" w:rsidP="00B85568">
      <w:pPr>
        <w:pStyle w:val="TextoNormal"/>
      </w:pPr>
      <w:r>
        <w:t>c) En relación con la vulneración del art. 33.3 CE, señala como antecedente inmediato el art. 43 Ley de expropiación forzosa que consagraba el criterio estimativo en el caso de que la valoración realizada conforme a los criterios legales no resultara conforme con el valor real del bien. Este precepto que estaba inspirado en el principio de indemnidad o la reposición de los bienes mediante la justa indemnización, fue eliminado por la Ley de suelo de 1990 y nuevamente por la Ley de suelo ahora cuestionada. Continúa el Auto reproduciendo el fundamento jurídico 13 B) de la STC 166/1986, y resume la doctrina del Tribunal Europeo de Derechos humanos, según la cual, aunque el Convenio no garantiza en todos los casos el derecho a una compensación íntegra ya que los objetivos legítimos de utilidad pública pueden abogar por un reembolso inferior al valor comercial total, debe procurarse un equilibrio justo entre las exigencias del interés general de la sociedad y los imperativos de los derechos fundamentales de la persona, equilibrio que se altera si la persona afectada tuvo que sufrir una carga excesiva y especial. De ella concluye que si bien existen excepciones a la regla del reembolso equivalente al pleno valor de mercado, en los supuestos de expropiaciones por causa de utilidad pública y más concretamente las que tienen por objeto la construcción de carreteras, solo una indemnización íntegra puede ser considerada razonablemente proporcionada al valor del bien.</w:t>
      </w:r>
    </w:p>
    <w:p w:rsidR="00B85568" w:rsidRDefault="00B85568" w:rsidP="00B85568">
      <w:pPr>
        <w:pStyle w:val="TextoNormal"/>
      </w:pPr>
    </w:p>
    <w:p w:rsidR="00B85568" w:rsidRDefault="00B85568" w:rsidP="00B85568">
      <w:pPr>
        <w:pStyle w:val="TextoNormal"/>
      </w:pPr>
      <w:r>
        <w:t>Invoca asimismo la jurisprudencia del Tribunal Supremo recaída tras la modificación de la Ley de suelo por la Ley 10/2003, que obligaba a valorar los sistemas generales no adscritos conforme a su clasificación urbanística, y la interpretación que de ésta ha realizado el citado Tribunal amparándose en el principio de constitucional de indemnidad. Trae también a colación las modificaciones normativas posteriores a la aprobación de la Ley impugnada que vienen a evidenciar la insuficiencia del método de capitalización para obtener el valor real del bien. Así, mientras que la Ley de suelo establecía que el tipo de capitalización inicialmente fijado por ésta podía ser modificado por las leyes de presupuestos, la modificación operada por el Real Decreto-ley 6/2010, de 9 de abril, supone remitir al reglamento la modificación del tipo de capitalización aplicable cuando el resultado de las valoraciones se aleje de forma significativa de los precios de mercado del suelo rural sin expectativas urbanísticas, lo que finalmente se ha llevado a efecto por el Real Decreto 1492/2011, de 24 de octubre. Ello viene a demostrar que incluso el legislador era consciente de que una valoración calculada por el método del art. 22 de la Ley de suelo podía estar alejada de los precios de mercado del suelo rural, pero no hizo uso de esta posibilidad hasta el reglamento antes citado, cuando habían transcurrido más de cuatro años desde la aprobación de la Ley. Los coeficientes establecidos en el reglamento no son suficientes para obtener el valor de mercado de suelo rural pues excluyen las expectativas, siendo así que la exclusión del método de comparación impide compensar por el valor real del bien.</w:t>
      </w:r>
    </w:p>
    <w:p w:rsidR="00B85568" w:rsidRDefault="00B85568" w:rsidP="00B85568">
      <w:pPr>
        <w:pStyle w:val="TextoNormal"/>
      </w:pPr>
    </w:p>
    <w:p w:rsidR="00B85568" w:rsidRDefault="00B85568" w:rsidP="00B85568">
      <w:pPr>
        <w:pStyle w:val="TextoNormal"/>
      </w:pPr>
      <w:r>
        <w:t>Por ello concluye señalando que los preceptos impugnados vulneran el art. 33.3 CE en los términos en que este último ha sido interpretado por el Tribunal Constitucional, el Tribunal Supremo y el Tribunal Europeo de Derechos Humanos. Afirma, además, que cuando la Sala se refiere a expectativas urbanísticas se refiere al incremento de valor que la expectativa (proximidad a zonas de expansión urbana, actividad inmobiliaria, avances de planeamiento) genera actualmente sobre el valor del suelo en el mercado. Es obligación de los poderes públicos evitar la especulación del suelo pero no a costa de los precios debidos en la expropiación, ya que la administración debe pagar por el suelo lo que cualquier otro que necesitara adquirirlo. En consecuencia entiende la Sala que el factor de corrección del art. 22 de la Ley de suelo y 23 del texto refundido de la Ley de suelo es claramente insuficiente para que los propietarios puedan obtener esa indemnización íntegra por la pérdida del bien expropiado, y no sólo cuantitativamente sino cualitativamente por cuanto, además, en el segundo párrafo se prohíbe la consideración de expectativas urbanísticas.</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la Sección Primera del Tribunal Constitucional de 4 de noviembre de 2014 se acordó oír al Ministerio Fiscal para que pudiera alegar sobre la inadmisibilidad de la cuestión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Ministerio Fiscal presentó sus alegaciones en el registro de este Tribunal el 18 de diciembre de 2014. Tras exponer los argumentos del Auto de planteamiento de la cuestión de inconstitucionalidad, analiza la observancia de los requisitos establecidos en el art. 35.2 LOTC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00B85568" w:rsidRDefault="00B85568" w:rsidP="00B85568">
      <w:pPr>
        <w:pStyle w:val="TextoNormal"/>
      </w:pPr>
    </w:p>
    <w:p w:rsidR="00B85568" w:rsidRDefault="00B85568" w:rsidP="00B85568">
      <w:pPr>
        <w:pStyle w:val="TextoNormal"/>
      </w:pPr>
      <w:r>
        <w:t>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LEF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es notoriamente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mientras que en la duda que atañe al apartado segundo del mismo precepto debe considerarse manifiestamente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lo dispuesto en el art. 35.1 de la Ley Orgánica del Tribunal Constitucional (LOTC), la norma legal cuya constitucionalidad se cuestiona debe ser aplicable al caso, y conforme al art. 35.2 LOTC el órgano judicial debe especificar en qué medida la decisión del proceso depende de la validez de la norma en cuestión. El razonamiento del juicio de aplicabilidad incluido en el Auto de planteamiento, se dirige a justificar la aplicación de la Ley 8/2007, de 28 de mayo, frente a la Ley 6/1998, que estaba vigente en el momento de iniciarse el procedimiento expropiatorio. El Auto de planteamiento justifica la aplicabilidad de la Ley de suelo en razón de que el requerimiento de la Administración a los titulares de bienes y derechos se realizó el 26 de octubre de 2007, cuando ya había entrado en vigor esta disposición legal. No justifica, sin embargo, la aplicabilidad del art. 23 del texto refundido. Dada la conexión que debe existir entre el pronunciamiento de este Tribunal y el proceso en que la cuestión se plantea, y teniendo en cuenta que la Sala no ha justificado la aplicabilidad del texto refundido, procede inadmitir la cuestión en relación al artículo 23 de esta disposición legal.</w:t>
      </w:r>
    </w:p>
    <w:p w:rsidR="00B85568" w:rsidRDefault="00B85568" w:rsidP="00B85568">
      <w:pPr>
        <w:pStyle w:val="TextoNormal"/>
      </w:pPr>
    </w:p>
    <w:p w:rsidR="00B85568" w:rsidRDefault="00B85568" w:rsidP="00B85568">
      <w:pPr>
        <w:pStyle w:val="TextoNormal"/>
      </w:pPr>
      <w:r w:rsidRPr="00B85568">
        <w:rPr>
          <w:rStyle w:val="NumeroAFNegritaCaracter"/>
        </w:rPr>
        <w:t>3</w:t>
      </w:r>
      <w:r>
        <w:t>. Las dudas de constitucionalidad que han llevado a la Sala a plantear la presente cuestión son idénticas a las exteriorizadas en el Auto de planteamiento de la cuestión de inconstitucionalidad 2995-2014, que ha sido inadmitida por este Tribunal por el ATC 8/2015, de 20 de enero. En consecuencia, procede inadmitir la presente cuestión por las razones entonces expuestas. Esto es, la cuestión ha perdido objeto en lo que atañe al art. 22.1 a) de la Ley de suelo, pues “ [l]a STC 141/2014, de 11 de septiembre, tras analizar el art. 22.1 a) de la Ley de suelo entendió que era constitucional una vez depurado el inciso de ‘hasta un máximo del doble’, cuya inconstitucionalidad y nulidad declaró” (FJ 3). Asimismo, la STC 141/2014, de 11 de septiembre, FJ 9 B), se ha referido aunque indirectamente a la duda de inconstitucionalidad planteada sobre el art. 22.2 de la Ley de suelo al entender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de manera que debe considerarse notoriamente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tres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3" w:name="AUTO_2015_23"/>
      <w:r>
        <w:t>AUTO 23/2015, de 3 de febrero de 2015</w:t>
      </w:r>
    </w:p>
    <w:bookmarkEnd w:id="173"/>
    <w:p w:rsidR="00B85568" w:rsidRDefault="00B85568" w:rsidP="00B85568">
      <w:pPr>
        <w:pStyle w:val="TtuloResolucin"/>
      </w:pPr>
      <w:r>
        <w:t>Pleno</w:t>
      </w:r>
    </w:p>
    <w:p w:rsidR="00B85568" w:rsidRDefault="00B85568" w:rsidP="00B85568">
      <w:pPr>
        <w:pStyle w:val="TextoNormalCentrado"/>
      </w:pPr>
      <w:r>
        <w:t>ECLI:ES:TC:2015:23A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No ha lugar a pronunciarse sobre el mantenimiento o levantamiento de la suspensión del Decreto-ley 6/2013, de 23 de diciembre, por el que se modifica la Ley 22/2010, de 20 de julio, del código de consumo de Cataluña, planteado por el Presidente del Gobierno en el recurso de inconstitucionalidad 5831-2014.</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día 29 de septiembre de 2014, el Abogado del Estado, en nombre de la Presidenta del Gobierno en funciones, interpone recurso de inconstitucionalidad contra el Decreto-ley 6/2013, de 23 de diciembre, por el que se modifica la Ley 22/2010, de 20 de julio, del código de consumo de Cataluña. El citado Decreto-ley se publicó en el “Diario Oficial de la Generalitat de Cataluña” de 31 de diciembre de 2013.</w:t>
      </w:r>
    </w:p>
    <w:p w:rsidR="00B85568" w:rsidRDefault="00B85568" w:rsidP="00B85568">
      <w:pPr>
        <w:pStyle w:val="TextoNormal"/>
      </w:pPr>
    </w:p>
    <w:p w:rsidR="00B85568" w:rsidRDefault="00B85568" w:rsidP="00B85568">
      <w:pPr>
        <w:pStyle w:val="TextoNormal"/>
      </w:pPr>
      <w:r>
        <w:t>El Abogado del Estado invocó el art. 161.2 CE y el art. 30 de la Ley Orgánica del Tribunal Constitucional (LOTC) a fin de que se acordase la suspensión de la aplicación del Decreto-ley recurrido.</w:t>
      </w:r>
    </w:p>
    <w:p w:rsidR="00B85568" w:rsidRDefault="00B85568" w:rsidP="00B85568">
      <w:pPr>
        <w:pStyle w:val="TextoNormal"/>
      </w:pPr>
    </w:p>
    <w:p w:rsidR="00B85568" w:rsidRDefault="00B85568" w:rsidP="00B85568">
      <w:pPr>
        <w:pStyle w:val="TextoNormal"/>
      </w:pPr>
      <w:r w:rsidRPr="00B85568">
        <w:rPr>
          <w:rStyle w:val="NumeroAFNegritaCaracter"/>
        </w:rPr>
        <w:t>2</w:t>
      </w:r>
      <w:r>
        <w:t>. Por providencia de 21 de octubre de 2014, el Pleno del Tribunal Constitucional, a propuesta de la Sección Segunda, acordó admitir a trámite el recurso de inconstitucionalidad y dar traslado de la demanda y documentos presentados, conforme establece el art. 34 LOTC, al Congreso de los Diputados y al Senado así como a la Generalitat de Cataluña y al Parlamento de Cataluña,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—29 de septiembre de 2014— para las partes del proceso y desde el día en que aparezca publicada la suspensión en el “Boletín Oficial del Estado” para los terceros, lo que se comunicó a los Presidentes de la Generalitat de Cataluña y del Parlamento de Cataluña. Por último, también se ordenó publicar la incoación del recurso en el “Boletín Oficial del Estado” y en el “Diari Oficial de la Generalitat de Cataluña”.</w:t>
      </w:r>
    </w:p>
    <w:p w:rsidR="00B85568" w:rsidRDefault="00B85568" w:rsidP="00B85568">
      <w:pPr>
        <w:pStyle w:val="TextoNormal"/>
      </w:pPr>
    </w:p>
    <w:p w:rsidR="00B85568" w:rsidRDefault="00B85568" w:rsidP="00B85568">
      <w:pPr>
        <w:pStyle w:val="TextoNormal"/>
      </w:pPr>
      <w:r w:rsidRPr="00B85568">
        <w:rPr>
          <w:rStyle w:val="NumeroAFNegritaCaracter"/>
        </w:rPr>
        <w:t>3</w:t>
      </w:r>
      <w:r>
        <w:t>. El Presidente del Senado, mediante escrito registrado en este Tribunal el día 29 de octubre de 2014, comunicó que la Mesa de la Cámara había acordado darse por personada en este procedimiento y ofrecida su colaboración a los efectos del art. 88.1 LOTC. Por escrito registrado el 30 de octubre, el Presidente del Congreso de los Diputados se pronunció en iguales términos.</w:t>
      </w:r>
    </w:p>
    <w:p w:rsidR="00B85568" w:rsidRDefault="00B85568" w:rsidP="00B85568">
      <w:pPr>
        <w:pStyle w:val="TextoNormal"/>
      </w:pPr>
    </w:p>
    <w:p w:rsidR="00B85568" w:rsidRDefault="00B85568" w:rsidP="00B85568">
      <w:pPr>
        <w:pStyle w:val="TextoNormal"/>
      </w:pPr>
      <w:r w:rsidRPr="00B85568">
        <w:rPr>
          <w:rStyle w:val="NumeroAFNegritaCaracter"/>
        </w:rPr>
        <w:t>4</w:t>
      </w:r>
      <w:r>
        <w:t>. La Abogada de la Generalitat de Cataluña, en representación del Gobierno de la Generalitat, cumplimentó el trámite de alegaciones mediante escrito registrado en este Tribunal el 7 de noviembre de 2014, en el que se solicita se dicte sentencia que desestime el recurso y declare que el Decreto-ley 6/2013 es plenamente conforme a la Constitución Española. Mediante otrosí solicita el levantamiento de la suspensión de la disposición impugnada.</w:t>
      </w:r>
    </w:p>
    <w:p w:rsidR="00B85568" w:rsidRDefault="00B85568" w:rsidP="00B85568">
      <w:pPr>
        <w:pStyle w:val="TextoNormal"/>
      </w:pPr>
    </w:p>
    <w:p w:rsidR="00B85568" w:rsidRDefault="00B85568" w:rsidP="00B85568">
      <w:pPr>
        <w:pStyle w:val="TextoNormal"/>
      </w:pPr>
      <w:r>
        <w:t>Dejando a un lado, en este momento procesal, las alegaciones relativas a la oposición a la demanda que plantea el recurso de inconstitucionalidad, el Gobierno de la Generalitat de Cataluña comienza recordando la consolidada doctrina constitucional tanto sobre la posibilidad de levantamiento anticipado de la suspensión, como sobre los criterios a considerar para levantar o mantener la misma y justifica su petición de levantamiento de la suspensión del Decreto-ley 6/2013 partiendo de la consideración de que la citada norma ha sido dictada ante la necesidad extraordinaria y urgente de intentar paliar la pobreza energética en los meses de invierno en Cataluña. El Decreto-ley 6/2013 diseña un mecanismo favorecedor por el que se otorga una protección a un tipo de consumidores vulnerables que consiste en impedir el corte del suministro de energía por falta de pago en los meses más fríos del año —noviembre a marzo— y aplazar el pago de la deuda acumulada de sus facturas de forma que pueden pagarla durante el resto del año —abril a septiembre— de forma fraccionada o íntegra, y ello salvo acuerdo específico con la empresa comercializadora. Para acceder a esta medida de protección, previamente deberán tener reconocida su condición de persona en situación de vulnerabilidad económica definida en la norma. Su principal alegato para solicitar el levantamiento de la suspensión es que el mantenimiento de la misma puede provocar la expansión del número de personas en exclusión social ya que el procedimiento diseñado por el Decreto-ley 6/2013 puede ayudar a los hogares que se encuentran en situación de integración precaria y exclusión moderada a mantener el equilibrio y no abocarlos a la exclusión íntegra.</w:t>
      </w:r>
    </w:p>
    <w:p w:rsidR="00B85568" w:rsidRDefault="00B85568" w:rsidP="00B85568">
      <w:pPr>
        <w:pStyle w:val="TextoNormal"/>
      </w:pPr>
    </w:p>
    <w:p w:rsidR="00B85568" w:rsidRDefault="00B85568" w:rsidP="00B85568">
      <w:pPr>
        <w:pStyle w:val="TextoNormal"/>
      </w:pPr>
      <w:r>
        <w:t>Frente a ello no cabe oponer, según el Gobierno de la Generalitat, el mantenimiento del régimen económico uniforme de los sistemas eléctrico y gasístico, ya que el aplazamiento de algunos pagos de suministro dentro del año en curso no tiene incidencia en dicho régimen, puesto que la compañía comercializadora percibirá iguales ingresos por el suministro servido pero de forma aplazada.</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escrito registrado en este Tribunal el 13 de noviembre de 2014, la Letrada del Parlamento de Cataluña, en nombre y representación de la Cámara, presenta sus alegaciones en las que solicita se dicte sentencia desestimatoria del recurso de inconstitucionalidad y se declare la plena constitucionalidad de la disposición impugnada. Asimismo, se solicita, mediante otrosí, el levantamiento de la suspensión de la disposición recurrida.</w:t>
      </w:r>
    </w:p>
    <w:p w:rsidR="00B85568" w:rsidRDefault="00B85568" w:rsidP="00B85568">
      <w:pPr>
        <w:pStyle w:val="TextoNormal"/>
      </w:pPr>
    </w:p>
    <w:p w:rsidR="00B85568" w:rsidRDefault="00B85568" w:rsidP="00B85568">
      <w:pPr>
        <w:pStyle w:val="TextoNormal"/>
      </w:pPr>
      <w:r>
        <w:t>Sin hacer referencia, en este momento procesal, a las alegaciones relativas a la oposición a la demanda que plantea el recurso de inconstitucionalidad, el Parlamento de Cataluña, tras recordar la doctrina constitucional sobre el levantamiento anticipado de la suspensión y sobre este tipo de incidente de suspensión, justifica su petición de levantamiento de la suspensión acordada en los extremos que, resumidamente, se exponen a continuación:</w:t>
      </w:r>
    </w:p>
    <w:p w:rsidR="00B85568" w:rsidRDefault="00B85568" w:rsidP="00B85568">
      <w:pPr>
        <w:pStyle w:val="TextoNormal"/>
      </w:pPr>
    </w:p>
    <w:p w:rsidR="00B85568" w:rsidRDefault="00B85568" w:rsidP="00B85568">
      <w:pPr>
        <w:pStyle w:val="TextoNormal"/>
      </w:pPr>
      <w:r>
        <w:t>a) La norma impugnada tiene por objeto paliar los efectos de la pobreza energética, especialmente, para proteger a aquellos colectivos que en situación de vulnerabilidad económica no pueden hacer frente al pago de los recibos correspondientes al suministro de luz y gas. El mantenimiento de la suspensión del precepto impugnado va a comportar un grave efecto sobre el colectivo de personas víctimas de la pobreza energética y cuyas condiciones de vida son precarias por lo que se generarán daños de difícil reparación en las personas más necesitadas de protección. Para llegar a dicha afirmación, el Parlamento de Cataluña se basa en diferentes informes que aporta sobre la pobreza energética entre los que cabe destacar el “informe sobre la pobreza energética en Cataluña” del Sindic de Greuges (“Boletín Oficial del Parlamento de Cataluña” núm. 178, de 4 de noviembre de 2013) y el informe anual del Defensor del Pueblo a las Cortes Generales, 2013.</w:t>
      </w:r>
    </w:p>
    <w:p w:rsidR="00B85568" w:rsidRDefault="00B85568" w:rsidP="00B85568">
      <w:pPr>
        <w:pStyle w:val="TextoNormal"/>
      </w:pPr>
    </w:p>
    <w:p w:rsidR="00B85568" w:rsidRDefault="00B85568" w:rsidP="00B85568">
      <w:pPr>
        <w:pStyle w:val="TextoNormal"/>
      </w:pPr>
      <w:r>
        <w:t>b) El mantenimiento de la suspensión, en ningún caso, va a suponer una obstrucción al ejercicio por parte del Estado de sus competencias en materia de energía y más concretamente, las relativas a la regulación del sector eléctrico en el marco de la planificación económica, ni tampoco va a afectar la sostenibilidad económica y financiera del sistema eléctrico.</w:t>
      </w:r>
    </w:p>
    <w:p w:rsidR="00B85568" w:rsidRDefault="00B85568" w:rsidP="00B85568">
      <w:pPr>
        <w:pStyle w:val="TextoNormal"/>
      </w:pPr>
    </w:p>
    <w:p w:rsidR="00B85568" w:rsidRDefault="00B85568" w:rsidP="00B85568">
      <w:pPr>
        <w:pStyle w:val="TextoNormal"/>
      </w:pPr>
      <w:r w:rsidRPr="00B85568">
        <w:rPr>
          <w:rStyle w:val="NumeroAFNegritaCaracter"/>
        </w:rPr>
        <w:t>6</w:t>
      </w:r>
      <w:r>
        <w:t>. Por providencia de 18 de noviembre de 2014, el Pleno del Tribunal Constitucional acordó unir a las actuaciones los escritos de la Abogada de la Generalitat de Cataluña y de la Letrada del Parlamento de Cataluña, y en cuanto a las solicitudes sobre el levantamiento de la suspensión, acordó oír al Abogado del Estado para que, en el plazo de cinco días, expusiera lo que estimase procedente al respecto.</w:t>
      </w:r>
    </w:p>
    <w:p w:rsidR="00B85568" w:rsidRDefault="00B85568" w:rsidP="00B85568">
      <w:pPr>
        <w:pStyle w:val="TextoNormal"/>
      </w:pPr>
    </w:p>
    <w:p w:rsidR="00B85568" w:rsidRDefault="00B85568" w:rsidP="00B85568">
      <w:pPr>
        <w:pStyle w:val="TextoNormal"/>
      </w:pPr>
      <w:r w:rsidRPr="00B85568">
        <w:rPr>
          <w:rStyle w:val="NumeroAFNegritaCaracter"/>
        </w:rPr>
        <w:t>7</w:t>
      </w:r>
      <w:r>
        <w:t>. El Abogado del Estado, mediante escrito registrado en este Tribunal el 26 de noviembre de 2014 formuló sus alegaciones interesando el mantenimiento de la suspensión, por los motivos que se exponen a continuación.</w:t>
      </w:r>
    </w:p>
    <w:p w:rsidR="00B85568" w:rsidRDefault="00B85568" w:rsidP="00B85568">
      <w:pPr>
        <w:pStyle w:val="TextoNormal"/>
      </w:pPr>
    </w:p>
    <w:p w:rsidR="00B85568" w:rsidRDefault="00B85568" w:rsidP="00B85568">
      <w:pPr>
        <w:pStyle w:val="TextoNormal"/>
      </w:pPr>
      <w:r>
        <w:t>Comienza el Abogado del Estado recordando la doctrina constitucional sobre la resolución de este tipo de incidentes y tras exponer el objeto y los motivos de la impugnación expone los perjuicios que habría de ocasionar el levantamiento de la suspensión. Para acreditar sus alegaciones, se acompaña escrito de la Directora General de Política Energética y Minas de 25 de noviembre de 2014, que ofrece las razones que avalan el mantenimiento de la suspensión de la norma impugnada atendiendo a los perjuicios de imposible o difícil reparación que su eficacia puede producir, tanto en el sistema eléctrico como en el gasístico, que se resumen en lo siguiente:</w:t>
      </w:r>
    </w:p>
    <w:p w:rsidR="00B85568" w:rsidRDefault="00B85568" w:rsidP="00B85568">
      <w:pPr>
        <w:pStyle w:val="TextoNormal"/>
      </w:pPr>
    </w:p>
    <w:p w:rsidR="00B85568" w:rsidRDefault="00B85568" w:rsidP="00B85568">
      <w:pPr>
        <w:pStyle w:val="TextoNormal"/>
      </w:pPr>
      <w:r>
        <w:t>La importancia del perjuicio grave, no solo al interés general sino al interés de los consumidores, así como de los sujetos del sistema eléctrico y del sistema gasístico, no está en función en este caso de la cuantía, que en el ámbito de Cataluña puede resultar más o menos limitada en términos absolutos, sino de la ruptura del sistema que las previsiones del Decreto-ley implica, y de la discriminación que introduce.</w:t>
      </w:r>
    </w:p>
    <w:p w:rsidR="00B85568" w:rsidRDefault="00B85568" w:rsidP="00B85568">
      <w:pPr>
        <w:pStyle w:val="TextoNormal"/>
      </w:pPr>
    </w:p>
    <w:p w:rsidR="00B85568" w:rsidRDefault="00B85568" w:rsidP="00B85568">
      <w:pPr>
        <w:pStyle w:val="TextoNormal"/>
      </w:pPr>
      <w:r>
        <w:t>El hecho de que Cataluña imponga de forma discrecional un retraso en el pago de cierto colectivo de consumidores supone una modificación del esquema económico del sistema eléctrico y del sistema gasista, alterando los ingresos que están destinados a cubrir parte de los costes del sistema y afectando a terceros que deben percibir sus retribuciones.</w:t>
      </w:r>
    </w:p>
    <w:p w:rsidR="00B85568" w:rsidRDefault="00B85568" w:rsidP="00B85568">
      <w:pPr>
        <w:pStyle w:val="TextoNormal"/>
      </w:pPr>
    </w:p>
    <w:p w:rsidR="00B85568" w:rsidRDefault="00B85568" w:rsidP="00B85568">
      <w:pPr>
        <w:pStyle w:val="TextoNormal"/>
      </w:pPr>
      <w:r>
        <w:t>En la factura del suministro que paga un consumidor de electricidad tienen reflejo las diferentes actividades que se desarrollan en la cadena de suministro de energía eléctrica. Por tanto, el hecho de que no se pague o se pague con retraso de acuerdo a criterios discrecionales que no están establecidos en la normativa básica estatal conlleva una discriminación entre consumidores dentro de España y afecta a los sujetos que deben percibir su retribución a partir de los importes que paga un consumidor. Resultan afectados, por lo tanto, intereses particulares de terceros.</w:t>
      </w:r>
    </w:p>
    <w:p w:rsidR="00B85568" w:rsidRDefault="00B85568" w:rsidP="00B85568">
      <w:pPr>
        <w:pStyle w:val="TextoNormal"/>
      </w:pPr>
    </w:p>
    <w:p w:rsidR="00B85568" w:rsidRDefault="00B85568" w:rsidP="00B85568">
      <w:pPr>
        <w:pStyle w:val="TextoNormal"/>
      </w:pPr>
      <w:r>
        <w:t>Finalmente, alega el Abogado del Estado que la introducción del sistema objeto de impugnación se produce además con cargo, no a los recursos económicos de la Generalitat, sino de los diversos sujetos del sistema eléctrico y del sistema gasista en su conjunto. Por tanto, los comercializadores serán quienes deban asumir como mayor coste de su actividad el retraso en el pago. La financiación de la mora en el pago del suministro, si la norma es declarada inconstitucional, no podría ser recuperada sin causar un perjuicio adicional a sus destinatarios, personas con especial vulnerabilidad social, de manera que los beneficios sociales que pudiera producir serían neutralizados.</w:t>
      </w:r>
    </w:p>
    <w:p w:rsidR="00B85568" w:rsidRDefault="00B85568" w:rsidP="00B85568">
      <w:pPr>
        <w:pStyle w:val="TextoNormal"/>
      </w:pPr>
    </w:p>
    <w:p w:rsidR="00B85568" w:rsidRDefault="00B85568" w:rsidP="00B85568">
      <w:pPr>
        <w:pStyle w:val="TextoNormal"/>
      </w:pPr>
      <w:r>
        <w:t>En relación con los intereses de las personas beneficiadas por las medidas habilitadas por la Generalitat, entiende el Abogado del Estado que el sistema de regulación del sistema eléctrico y del sistema gasista establecido por el Estado tiene en cuenta la situación de vulnerabilidad de las personas con menores recursos como son el bono social (Ley 24/2013 y Real Decreto 216/2014), mecanismos que permiten adecuar la facturación del suministro a las necesidades que puedan tener determinados consumidores o la tarifa de último recurso prevista en la Ley 34/1998, de 7 de octubre, del sector de hidrocarburos.</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Al abordar la resolución del presente incidente debemos tener en cuenta que, si bien las alegaciones de las diversas partes personadas han versado sobre la procedencia de levantar o mantener la suspensión de la vigencia que afecta al Decreto-ley 6/2013, de 23 de diciembre, por el que se modifica la Ley 22/2010, de 20 de julio, del código de consumo de Cataluña, esta disposición ha sido afectada por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w:t>
      </w:r>
    </w:p>
    <w:p w:rsidR="00B85568" w:rsidRDefault="00B85568" w:rsidP="00B85568">
      <w:pPr>
        <w:pStyle w:val="TextoNormal"/>
      </w:pPr>
    </w:p>
    <w:p w:rsidR="00B85568" w:rsidRDefault="00B85568" w:rsidP="00B85568">
      <w:pPr>
        <w:pStyle w:val="TextoNormal"/>
      </w:pPr>
      <w:r>
        <w:t>La disposición derogatoria 1 b) de la Ley 20/2014, de 29 de diciembre, deroga expresamente el Decreto-ley 6/2013, de 23 de diciembre, por el que se modifica la Ley 22/2010, de 20 de julio, del código de consumo de Cataluña. Ahora bien, dicha derogación expresa del Decreto-ley impugnado no se produciría hasta el 31 de marzo de 2015, ya que, conforme a la disposición final segunda de la Ley 20/2014, la misma entra en vigor a los tres meses de su publicación en el “Diari Oficial de la Generalitat de Catalunya” (el 31 de diciembre de 2014), excepto los artículos 3 y 17 y la disposición adicional primera, que entran en vigor al día siguiente a dicha publicación.</w:t>
      </w:r>
    </w:p>
    <w:p w:rsidR="00B85568" w:rsidRDefault="00B85568" w:rsidP="00B85568">
      <w:pPr>
        <w:pStyle w:val="TextoNormal"/>
      </w:pPr>
    </w:p>
    <w:p w:rsidR="00B85568" w:rsidRDefault="00B85568" w:rsidP="00B85568">
      <w:pPr>
        <w:pStyle w:val="TextoNormal"/>
      </w:pPr>
      <w:r>
        <w:t>Conforme a la citada disposición final segunda, los artículos 3 y 17 de la Ley 20/2014, que modifican la redacción que los artículos 1 y 2 del Decreto-ley impugnado habían dado a los artículos 111- 2 y 252-4 del Código de consumo, entraron en vigor el 1 de enero de 2015. En consecuencia, y en tanto en cuanto la disposición derogatoria.2 de la Ley 20/2014 dispone que “Se derogan las disposiciones que se opongan a lo establecido por la presente ley o que la contradigan”, no cabe sino concluir que los arts. 1 y 2 del Decreto-ley 6/2013 han quedado derogados.</w:t>
      </w:r>
    </w:p>
    <w:p w:rsidR="00B85568" w:rsidRDefault="00B85568" w:rsidP="00B85568">
      <w:pPr>
        <w:pStyle w:val="TextoNormal"/>
      </w:pPr>
    </w:p>
    <w:p w:rsidR="00B85568" w:rsidRDefault="00B85568" w:rsidP="00B85568">
      <w:pPr>
        <w:pStyle w:val="TextoNormal"/>
      </w:pPr>
      <w:r>
        <w:t>En efecto, el art. 1 de la disposición impugnada tiene por objeto la modificación del artículo 111-2 de la Ley 22/2010, de 20 de julio, del Código de consumo de Cataluña, al que añadió una nueva letra, la v), que estableció la definición de las “personas en situación de vulnerabilidad económica”. Por su parte, el art. 3 de la Ley 20/2014 añade dos letras, la v y la w, al artículo 111-2 de la Ley 22/2010. En la v) se introduce el concepto de “pobreza energética” y en la w) la definición de “personas en situación de vulnerabilidad económica” que, en consecuencia, sustituye la redacción del Código de consumo de Cataluña dada por el Decreto-ley 6/2013, objeto del presente recurso de inconstitucionalidad, y que, por lo tanto, hay que entender derogada.</w:t>
      </w:r>
    </w:p>
    <w:p w:rsidR="00B85568" w:rsidRDefault="00B85568" w:rsidP="00B85568">
      <w:pPr>
        <w:pStyle w:val="TextoNormal"/>
      </w:pPr>
    </w:p>
    <w:p w:rsidR="00B85568" w:rsidRDefault="00B85568" w:rsidP="00B85568">
      <w:pPr>
        <w:pStyle w:val="TextoNormal"/>
      </w:pPr>
      <w:r>
        <w:t>Por su parte, el art. 2 de la disposición impugnada modificó el art. 252-4 de la Ley 22/2010, de 20 de julio, del Código de consumo de Cataluña, al que añadió cuatro nuevos apartados, el 6, 7, 8 y 9. Dicha redacción del Código de consumo de Cataluña ha sido modificada por el art. 17 de la Ley 20/2014 que añade cinco apartados, del 6 al 10, al art. 252-4 de la Ley 22/2010, que es la redacción vigente desde el 1 de enero de 2015. Por lo tanto, la regulación introducida por el art. 2 del Decreto-ley en el Código de consumo de Cataluña ha de entenderse derogada por haber sido sustituida por la redacción dada por el art. 17 de la Ley 20/2014.</w:t>
      </w:r>
    </w:p>
    <w:p w:rsidR="00B85568" w:rsidRDefault="00B85568" w:rsidP="00B85568">
      <w:pPr>
        <w:pStyle w:val="TextoNormal"/>
      </w:pPr>
    </w:p>
    <w:p w:rsidR="00B85568" w:rsidRDefault="00B85568" w:rsidP="00B85568">
      <w:pPr>
        <w:pStyle w:val="TextoNormal"/>
      </w:pPr>
      <w:r>
        <w:t>Finalmente, la disposición transitoria del Decreto-ley impugnado determina que el requisito de ser beneficiario del bono social, a fin de ser considerado persona en situación de vulnerabilidad económica, sólo será exigible en la medida en que esté previsto en la normativa sectorial aplicable. Dicho precepto, en tanto que modula la exigencia de un requisito previsto en la definición de persona en situación de vulnerabilidad económica carece de virtualidad desde el momento en que hay que entender derogada dicha definición.</w:t>
      </w:r>
    </w:p>
    <w:p w:rsidR="00B85568" w:rsidRDefault="00B85568" w:rsidP="00B85568">
      <w:pPr>
        <w:pStyle w:val="TextoNormal"/>
      </w:pPr>
    </w:p>
    <w:p w:rsidR="00B85568" w:rsidRDefault="00B85568" w:rsidP="00B85568">
      <w:pPr>
        <w:pStyle w:val="TextoNormal"/>
      </w:pPr>
      <w:r>
        <w:t>Dado lo anterior, y sin que ello signifique pronunciamiento alguno sobre el fondo del asunto planteado en el presente proceso constitucional, este Tribunal considera innecesario pronunciarse sobre el levantamiento o mantenimiento de la suspensión de una disposición que no se encuentra vigente por haber sido derogada por el legislador autonómico (en el mismo sentido, AATC 354/1989, de 20 de junio, FJ único; 224/2009, de 27 de julio, FJ 1; 57/2010, de 19 de mayo, FJ único; y 244/2013, de 22 de octubre, FJ único ).</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No ha lugar a pronunciarse sobre el mantenimiento o levantamiento de la suspensión del Decreto-ley 6/2013, de 23 de diciembre, por el que se modifica la Ley 22/2010, de 20 de julio, del Código de consumo de Cataluña, al quedar derogado el Decreto-ley 6/2013 por la Ley del Parlamento Catalán 20/2014.</w:t>
      </w:r>
    </w:p>
    <w:p w:rsidR="00B85568" w:rsidRDefault="00B85568" w:rsidP="00B85568">
      <w:pPr>
        <w:pStyle w:val="TextoNormal"/>
      </w:pPr>
    </w:p>
    <w:p w:rsidR="00B85568" w:rsidRDefault="00B85568" w:rsidP="00B85568">
      <w:pPr>
        <w:pStyle w:val="TextoNormal"/>
      </w:pPr>
      <w:r>
        <w:t>Madrid, a tres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4" w:name="AUTO_2015_24"/>
      <w:r>
        <w:t>AUTO 24/2015, de 16 de febrero de 2015</w:t>
      </w:r>
    </w:p>
    <w:bookmarkEnd w:id="174"/>
    <w:p w:rsidR="00B85568" w:rsidRDefault="00B85568" w:rsidP="00B85568">
      <w:pPr>
        <w:pStyle w:val="TtuloResolucin"/>
      </w:pPr>
      <w:r>
        <w:t>Sala Segunda</w:t>
      </w:r>
    </w:p>
    <w:p w:rsidR="00B85568" w:rsidRDefault="00B85568" w:rsidP="00B85568">
      <w:pPr>
        <w:pStyle w:val="TextoNormalCentrado"/>
      </w:pPr>
      <w:r>
        <w:t>ECLI:ES:TC:2015:24A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Desestima el recurso de súplica de la representación procesal sobre inadmisión del recurso de amparo 6112-2012, promovido por don Abdelkader Castellanos de la Fuente y otras personas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este Tribunal el 16 de abril de 2014, el Procurador de los Tribunales don Carlos Piñeira de Campos, en nombre y representación de don Abdelkader Castellanos de la Fuente y otros, promovió incidente de ejecución de la STC 8/2014, de 27 de enero, dictada por la Sala Segunda de este Tribunal en el recurso de amparo núm. 6112-2012.</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En el ATC 280/2014, de 17 de noviembre, la Sala Segunda de este Tribunal acordó no haber lugar a lo solicitado, dado que el requerimiento de motivación que llevaba aparejada la correcta ejecución de la STC 8/2014, de 27 de enero, había sido satisfecho por las resoluciones del Juzgado Central de lo Contencioso-Administrativo núm. 1 dictadas a raíz de la misma (Autos de 11 de febrero y de 10 de marzo de 2014). Así se dispuso, particularmente, porque las razones ofrecidas por el juzgador revelaban una respuesta </w:t>
      </w:r>
      <w:r w:rsidRPr="00B85568">
        <w:rPr>
          <w:i/>
        </w:rPr>
        <w:t>ad casum</w:t>
      </w:r>
      <w:r>
        <w:t xml:space="preserve">, fundada en la </w:t>
      </w:r>
      <w:r w:rsidRPr="00B85568">
        <w:rPr>
          <w:i/>
        </w:rPr>
        <w:t>ratio</w:t>
      </w:r>
      <w:r>
        <w:t xml:space="preserve"> de la norma, conteniendo los elementos y razones de juicio que permitían conocer cuáles fueron los criterios jurídicos que la fundamentaron. Una motivación, en definitiva, que no revelaba una aplicación arbitraria de la legalidad, ni resultaba manifiestamente irrazonada o irrazonable o incursa en un error patente, cumpliéndose con ello las exigencias recogidas en el pronunciamiento constitucional.</w:t>
      </w:r>
    </w:p>
    <w:p w:rsidR="00B85568" w:rsidRDefault="00B85568" w:rsidP="00B85568">
      <w:pPr>
        <w:pStyle w:val="TextoNormal"/>
      </w:pPr>
    </w:p>
    <w:p w:rsidR="00B85568" w:rsidRDefault="00B85568" w:rsidP="00B85568">
      <w:pPr>
        <w:pStyle w:val="TextoNormal"/>
      </w:pPr>
      <w:r w:rsidRPr="00B85568">
        <w:rPr>
          <w:rStyle w:val="NumeroAFNegritaCaracter"/>
        </w:rPr>
        <w:t>3</w:t>
      </w:r>
      <w:r>
        <w:t xml:space="preserve">. Por escrito registrado en este Tribunal el día 25 de noviembre de 2014, los recurrentes interponen recurso de súplica y solicitan que dejemos sin efecto el ATC 280/2014, de 17 de noviembre. Muestran a tal fin su desacuerdo con el razonamiento que contiene, que estiman contradictorio con el fundamento jurídico 4 de la STC 8/2014, de 27 de enero, advirtiendo de la trascendencia que esta decisión puede tener para el futuro de las acciones colectivas en nuestro ordenamiento jurídico. Desarrollan a partir de ese punto los motivos de su discrepancia, ya contenidos en esencia en el escrito con el que promovieron el incidente de ejecución, subrayando que no se ha dado respuesta </w:t>
      </w:r>
      <w:r w:rsidRPr="00B85568">
        <w:rPr>
          <w:i/>
        </w:rPr>
        <w:t>ad casum</w:t>
      </w:r>
      <w:r>
        <w:t xml:space="preserve"> fundada en la </w:t>
      </w:r>
      <w:r w:rsidRPr="00B85568">
        <w:rPr>
          <w:i/>
        </w:rPr>
        <w:t>ratio</w:t>
      </w:r>
      <w:r>
        <w:t xml:space="preserve"> de la norma o que no se ha explicado que la desacumulación de las pretensiones asegure una mayor agilización del procedimiento.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3 de diciembre de 2014 se confirió traslado del mencionado escrito al Ministerio Fiscal y al Abogado del Estado a fin de que, en plazo común de tres días, pudieran formular las alegaciones que estimasen pertinentes (art. 93.2 LOTC).</w:t>
      </w:r>
    </w:p>
    <w:p w:rsidR="00B85568" w:rsidRDefault="00B85568" w:rsidP="00B85568">
      <w:pPr>
        <w:pStyle w:val="TextoNormal"/>
      </w:pPr>
    </w:p>
    <w:p w:rsidR="00B85568" w:rsidRDefault="00B85568" w:rsidP="00B85568">
      <w:pPr>
        <w:pStyle w:val="TextoNormal"/>
      </w:pPr>
      <w:r>
        <w:t>Por escrito de 17 de diciembre de 2014, el Fiscal interesa la desestimación del recurso de súplica formulado, dado que el Auto impugnado describe y aplica la doctrina constitucional sobre el derecho a la tutela judicial efectiva en su vertiente de motivación de las resoluciones judiciales.</w:t>
      </w:r>
    </w:p>
    <w:p w:rsidR="00B85568" w:rsidRDefault="00B85568" w:rsidP="00B85568">
      <w:pPr>
        <w:pStyle w:val="TextoNormal"/>
      </w:pPr>
    </w:p>
    <w:p w:rsidR="00B85568" w:rsidRDefault="00B85568" w:rsidP="00B85568">
      <w:pPr>
        <w:pStyle w:val="TextoNormal"/>
      </w:pPr>
      <w:r>
        <w:t>El Abogado del Estado, en escrito de alegaciones presentado el día 11 de diciembre de 2014, coincide con el Fiscal en su petición, resaltando que la parte recurrente reclama medidas de ejecución imposibles y postula una determinada interpretación de la legalidad ordinaria sin lograr acreditar el carácter irracional de la fundamentación jurídica de la que disiente.</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La solicitud de nulidad de las resoluciones del Juzgado Central de lo Contencioso-Administrativo núm. 1 dictadas a raíz de la STC 8/2014, de 27 de enero (Autos de 11 de febrero y de 10 de marzo de 2014), recibió una respuesta adecuada en el ATC 280/2014, de 17 de noviembre, sin que los recurrentes aporten nuevos elementos, datos o argumentos que tengan entidad suficiente para reconsiderar el pronunciamiento desestimatorio. Muestra su alegato, únicamente, una disconformidad con el juicio realizado para, a partir de dicho desacuerdo, reclamar que alcancemos una conclusión alternativa, destacando, al hilo de la defensa de su tesis interpretativa, los negativos efectos que la decisión adoptada tendría —dicen— para el futuro de las acciones colectivas en nuestro ordenamiento jurídico.</w:t>
      </w:r>
    </w:p>
    <w:p w:rsidR="00B85568" w:rsidRDefault="00B85568" w:rsidP="00B85568">
      <w:pPr>
        <w:pStyle w:val="TextoNormal"/>
      </w:pPr>
    </w:p>
    <w:p w:rsidR="00B85568" w:rsidRDefault="00B85568" w:rsidP="00B85568">
      <w:pPr>
        <w:pStyle w:val="TextoNormal"/>
      </w:pPr>
      <w:r>
        <w:t>Sin embargo, como razonamos en el ATC 280/2014, de 17 de noviembre, y aducen solventemente tanto el Abogado del Estado como el Ministerio Fiscal en este nuevo trámite, el Tribunal se limitó a constatar que, atendidas las circunstancias del caso entonces examinado y resuelto en la STC 8/2014, de 27 de enero, la protección del derecho fundamental concernido (art. 24.1 CE) se obtendría con una resolución judicial motivada, esto es, según se explicitó en la Sentencia constitucional, con una que justificara con arreglo al instituto de la acumulación de acciones a debate, y a la vista de las muy singulares circunstancias del caso, la tramitación correspondiente, acumulada o no, de las pretensiones articuladas conjuntamente por la parte actora. Y eso es, precisamente, lo que hizo el Juzgado Central de lo Contencioso-Administrativo núm. 1, como ya dijéramos en el Auto que ahora es impugnado en súplica, sin que las razones que ofrece el nuevo recurso alteren el juicio que efectuamos, estrictamente encuadrado en el examen del derecho a la motivación comprometido en la ejecución de la STC 8/2014, de 27 de enero.</w:t>
      </w:r>
    </w:p>
    <w:p w:rsidR="00B85568" w:rsidRDefault="00B85568" w:rsidP="00B85568">
      <w:pPr>
        <w:pStyle w:val="TextoNormal"/>
      </w:pPr>
    </w:p>
    <w:p w:rsidR="00B85568" w:rsidRDefault="00B85568" w:rsidP="00B85568">
      <w:pPr>
        <w:pStyle w:val="TextoNormal"/>
      </w:pPr>
      <w:r>
        <w:t>En consecuencia, examinados los argumentos de los recurrentes, esta Sala acuerda desestimar el recurso de súplica interpuesto contra el ATC 280/2014, de 17 de noviembre.</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don Abdelkader Castellanos de la Fuente y otros.</w:t>
      </w:r>
    </w:p>
    <w:p w:rsidR="00B85568" w:rsidRDefault="00B85568" w:rsidP="00B85568">
      <w:pPr>
        <w:pStyle w:val="TextoNormal"/>
      </w:pPr>
    </w:p>
    <w:p w:rsidR="00B85568" w:rsidRDefault="00B85568" w:rsidP="00B85568">
      <w:pPr>
        <w:pStyle w:val="TextoNormal"/>
      </w:pPr>
      <w:r>
        <w:t>Madrid, a dieciséis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5" w:name="AUTO_2015_25"/>
      <w:r>
        <w:t>AUTO 25/2015, de 16 de febrero de 2015</w:t>
      </w:r>
    </w:p>
    <w:bookmarkEnd w:id="175"/>
    <w:p w:rsidR="00B85568" w:rsidRDefault="00B85568" w:rsidP="00B85568">
      <w:pPr>
        <w:pStyle w:val="TtuloResolucin"/>
      </w:pPr>
      <w:r>
        <w:t>Sala Segunda</w:t>
      </w:r>
    </w:p>
    <w:p w:rsidR="00B85568" w:rsidRDefault="00B85568" w:rsidP="00B85568">
      <w:pPr>
        <w:pStyle w:val="TextoNormalCentrado"/>
      </w:pPr>
      <w:r>
        <w:t>ECLI:ES:TC:2015:25A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76" w:name="AUTO_2015_26"/>
      <w:r>
        <w:t>AUTO 26/2015, de 16 de febrero de 2015</w:t>
      </w:r>
    </w:p>
    <w:bookmarkEnd w:id="176"/>
    <w:p w:rsidR="00B85568" w:rsidRDefault="00B85568" w:rsidP="00B85568">
      <w:pPr>
        <w:pStyle w:val="TtuloResolucin"/>
      </w:pPr>
      <w:r>
        <w:t>Sección Segunda</w:t>
      </w:r>
    </w:p>
    <w:p w:rsidR="00B85568" w:rsidRDefault="00B85568" w:rsidP="00B85568">
      <w:pPr>
        <w:pStyle w:val="TextoNormalCentrado"/>
      </w:pPr>
      <w:r>
        <w:t>ECLI:ES:TC:2015:26A</w:t>
      </w:r>
    </w:p>
    <w:p w:rsidR="00B85568" w:rsidRDefault="00B85568" w:rsidP="00B85568">
      <w:pPr>
        <w:pStyle w:val="TextoNormalCentrado"/>
      </w:pPr>
    </w:p>
    <w:p w:rsidR="00B85568" w:rsidRDefault="00B85568" w:rsidP="00B85568">
      <w:pPr>
        <w:pStyle w:val="SntesisDescriptiva"/>
      </w:pPr>
      <w:r>
        <w:t>Excms. Srs. don Luis Ignacio Ortega Álvarez, don Andrés Ollero Tassara y don Santiago Martínez-Vares García.</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2755-2013, promovido por don Domingo Francisco Hernández Rodríguez, en proceso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demandante, don Domingo Francisco Hernández Rodríguez, a través de su representación procesal interpuso el 8 de mayo de 2013, ante el Tribunal Constitucional, demanda de amparo contra la Sentencia dictada, el 23 de enero de 2012, por la Sección Sexta de la Audiencia Provincial de las Palmas y contra el Auto, de fecha 19 de febrero de 2013, de esa misma Sala que desestimó el incidente de nulidad de actuaciones formulado contra la sentencia.</w:t>
      </w:r>
    </w:p>
    <w:p w:rsidR="00B85568" w:rsidRDefault="00B85568" w:rsidP="00B85568">
      <w:pPr>
        <w:pStyle w:val="TextoNormal"/>
      </w:pPr>
    </w:p>
    <w:p w:rsidR="00B85568" w:rsidRDefault="00B85568" w:rsidP="00B85568">
      <w:pPr>
        <w:pStyle w:val="TextoNormal"/>
      </w:pPr>
      <w:r w:rsidRPr="00B85568">
        <w:rPr>
          <w:rStyle w:val="NumeroAFNegritaCaracter"/>
        </w:rPr>
        <w:t>2</w:t>
      </w:r>
      <w:r>
        <w:t>. Alegaba en su recurso que la referida Sentencia que fue dictada en apelación ha vulnerado derechos fundamentales de su titularidad y en particular: su derecho a la tutela judicial efectiva del art 24.1 de la CE en relación con la infracción del principio acusatorio y el derecho de defensa y el derecho a un proceso con todas las garantías al haber sido condenado por delitos distintos a los que solicitaba la acusación; su derecho a la tutela judicial sin indefensión y del derecho a un proceso con todas la garantías al haberse infringido las garantías de inmediación y contradicción al valorar nuevamente las pruebas personales para condenar en la segunda instancia; su derecho a un proceso con todas las garantías y del principio de legalidad penal, en cuanto que, además de ser condenado en apelación por delito distinto al que solicitó el Ministerio Fiscal en primera y segunda instancia, se le condenó por un delito de conducción bajo la influencia de bebidas alcohólicas del art. 379.2 del Código penal, sin que los hechos declarados probados en la Sentencia dictada por la Audiencia Provincial puedan ser encuadrados en dicho tipo penal; su derecho a la presunción de inocencia del art. 24.2 CE, al tener que excluir las pruebas personales indebidamente valoradas por la Audiencia; su derecho a la tutela judicial efectiva, desde la perspectiva del derecho a una resolución debidamente fundada en derecho; y, en fin, su derecho a la tutela judicial efectiva, desde la perspectiva del derecho a una resolución debidamente motivada, por considerar que la sentencia no ha motivado debidamente la pena impuesta y su individualización por el delito del art. 379.2 del Código penal, al no expresar las razones por las que opta por imponer la pena privativa de libertad en lugar de la multa y la extensión en la que se impone.</w:t>
      </w:r>
    </w:p>
    <w:p w:rsidR="00B85568" w:rsidRDefault="00B85568" w:rsidP="00B85568">
      <w:pPr>
        <w:pStyle w:val="TextoNormal"/>
      </w:pPr>
    </w:p>
    <w:p w:rsidR="00B85568" w:rsidRDefault="00B85568" w:rsidP="00B85568">
      <w:pPr>
        <w:pStyle w:val="TextoNormal"/>
      </w:pPr>
      <w:r w:rsidRPr="00B85568">
        <w:rPr>
          <w:rStyle w:val="NumeroAFNegritaCaracter"/>
        </w:rPr>
        <w:t>3</w:t>
      </w:r>
      <w:r>
        <w:t>. Por la Sección Segunda de la Sala Primera de ese Alto Tribunal se acordó, por providencia de fecha 15 de diciembre de 2014, inadmitir el recurso al amparo de lo previsto en el art. 50.1 a) de la Ley Orgánica del Tribunal Constitucional dada la manifiesta inexistencia de violación de un derecho fundamental tutelable en amparo.</w:t>
      </w:r>
    </w:p>
    <w:p w:rsidR="00B85568" w:rsidRDefault="00B85568" w:rsidP="00B85568">
      <w:pPr>
        <w:pStyle w:val="TextoNormal"/>
      </w:pPr>
    </w:p>
    <w:p w:rsidR="00B85568" w:rsidRDefault="00B85568" w:rsidP="00B85568">
      <w:pPr>
        <w:pStyle w:val="TextoNormal"/>
      </w:pPr>
      <w:r w:rsidRPr="00B85568">
        <w:rPr>
          <w:rStyle w:val="NumeroAFNegritaCaracter"/>
        </w:rPr>
        <w:t>4</w:t>
      </w:r>
      <w:r>
        <w:t>. El Ministerio Fiscal, por escrito registrado el 23 de enero de 2015, interpuso recurso de súplica contra dicha providencia, solicitando se estime que sí se cumple el requisito subjetivo de apariencia de lesión de los derechos fundamentales invocados por el recurrente en amparo, acordando dejar sin efecto la providencia de inadmisión, de fecha 15 de diciembre de 2014, que aprecia la manifiesta inexistencia de lesión de los derechos fundamentales susceptibles de tutela en amparo, ello, sin perjuicio, de que el Tribunal pueda apreciar la concurrencia de otras posibles causas de inadmisión del recurso conforme al art 50.l a) de la LOTC.</w:t>
      </w:r>
    </w:p>
    <w:p w:rsidR="00B85568" w:rsidRDefault="00B85568" w:rsidP="00B85568">
      <w:pPr>
        <w:pStyle w:val="TextoNormal"/>
      </w:pPr>
    </w:p>
    <w:p w:rsidR="00B85568" w:rsidRDefault="00B85568" w:rsidP="00B85568">
      <w:pPr>
        <w:pStyle w:val="TextoNormal"/>
      </w:pPr>
      <w:r>
        <w:t>Considera el Ministerio Fiscal que se ha producido una posible infracción de la doctrina constitucional sobre el derecho a la tutela judicial efectiva y el derecho a un proceso con todas las garantías en la segunda instancia, puesto que mientras el Juez Penal absolvió al demandante en amparo de los dos delitos por los que formuló acusación el Fiscal —al estimar que las pruebas que se practicaron en el juicio y que valora en el fundamento jurídico 2 de su Sentencia no acreditan suficientemente la comisión de los delitos por los que era acusado— la Sentencia dictada en apelación, que revoca el fallo absolutorio, condenó por un delito del art. 379.2 del Código penal de conducción bajo la influencia de bebidas alcohólicas, (sin que el Fiscal hubiese formulado acusación).</w:t>
      </w:r>
    </w:p>
    <w:p w:rsidR="00B85568" w:rsidRDefault="00B85568" w:rsidP="00B85568">
      <w:pPr>
        <w:pStyle w:val="TextoNormal"/>
      </w:pPr>
    </w:p>
    <w:p w:rsidR="00B85568" w:rsidRDefault="00B85568" w:rsidP="00B85568">
      <w:pPr>
        <w:pStyle w:val="TextoNormal"/>
      </w:pPr>
      <w:r>
        <w:t>De los razonamientos que se expresan en la Sentencia dictada por la Audiencia Provincial se desprende que, apoyándose en la posibilidad de corregir el manifiesto error en el que incurriría la valoración de las pruebas realizada por el Juez Penal, lo que realmente pone de manifiesto es que ha realizado una nueva valoración de las pruebas personales. Sobre la base de la nueva valoración de las pruebas personales el Tribunal de apelación modificó los hechos probados de la Sentencia de primera instancia, en lo que se refiere a la conducta del acusado frente a la actuación policial y a su conocimiento y voluntad de oponerse a la actuación de los funcionarios de policía que estaban actuando en el ejercicio de sus funciones.</w:t>
      </w:r>
    </w:p>
    <w:p w:rsidR="00B85568" w:rsidRDefault="00B85568" w:rsidP="00B85568">
      <w:pPr>
        <w:pStyle w:val="TextoNormal"/>
      </w:pPr>
    </w:p>
    <w:p w:rsidR="00B85568" w:rsidRDefault="00B85568" w:rsidP="00B85568">
      <w:pPr>
        <w:pStyle w:val="TextoNormal"/>
      </w:pPr>
      <w:r>
        <w:t>Por lo que se refiere a la tramitación de la apelación, entiende el Fiscal, si bien en la propia Sentencia dictada por la Audiencia Provincial se señala que no se estimó necesaria la celebración de vista del recurso, el propio demandante de amparo reconoce que si hubo vista con citación del apelado, si bien en la misma solo se produjo la ratificación por las partes de sus escritos de recurso de apelación y de oposición al mismo, sin que el Tribunal oyera personalmente al acusado sobre los hechos. Del análisis sucinto de ambas resoluciones judiciales, resulta a juicio del fiscal que, al menos indiciariamente, la Sentencia dictada en apelación pudiera haber infringido la consolidada doctrina constitucional sobre las garantías del proceso debido en la segunda instancia, incurriendo en la posible lesión de los derechos fundamentales que se invocan en la demanda de amparo. Cita como jurisprudencia aplicable la STC 105/2014, de 23 junio, y la reciente STC 191/2014, de 17 de noviembre.</w:t>
      </w:r>
    </w:p>
    <w:p w:rsidR="00B85568" w:rsidRDefault="00B85568" w:rsidP="00B85568">
      <w:pPr>
        <w:pStyle w:val="TextoNormal"/>
      </w:pPr>
    </w:p>
    <w:p w:rsidR="00B85568" w:rsidRDefault="00B85568" w:rsidP="00B85568">
      <w:pPr>
        <w:pStyle w:val="TextoNormal"/>
      </w:pPr>
      <w:r>
        <w:t>Por otra parte, también, aparentemente —dice el Fiscal—, pudiera haber una conculcación de la garantía del principio acusatorio en cuanto que el Fiscal no formulo acusación por el delito tipificado en el art. 379.2 del Código penal, por el que se condena al demandante en la Sentencia de apelación, y del principio de legalidad del art. 25 CE, desde el punto de vista de si, realmente, los hechos que en la Sentencia se declaran como probados pueden subsumirse en la conducta típica del art. 379.2 del Código penal.</w:t>
      </w:r>
    </w:p>
    <w:p w:rsidR="00B85568" w:rsidRDefault="00B85568" w:rsidP="00B85568">
      <w:pPr>
        <w:pStyle w:val="TextoNormal"/>
      </w:pPr>
    </w:p>
    <w:p w:rsidR="00B85568" w:rsidRDefault="00B85568" w:rsidP="00B85568">
      <w:pPr>
        <w:pStyle w:val="TextoNormal"/>
      </w:pPr>
      <w:r w:rsidRPr="00B85568">
        <w:rPr>
          <w:rStyle w:val="NumeroAFNegritaCaracter"/>
        </w:rPr>
        <w:t>5</w:t>
      </w:r>
      <w:r>
        <w:t>. La Secretaría de Justicia de la Sección Segunda de este Tribunal, por diligencia de ordenación de 26 de enero de 2015, acordó dar traslado del recurso de súplica para alegaciones a la demandante, quien por escrito registrado el 29 de enero de 2015 se adhirió en todos sus términos a los argumentos esgrimidos en dicho recurso.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Ministerio Fiscal, como se ha expuesto en los antecedentes, interpuso recurso de súplica frente providencia de fecha 15 de diciembre de 2014, por la que se inadmitió el recurso al amparo interpuesto, dada la manifiesta inexistencia de violación de un derecho fundamental tutelable en amparo, según lo previsto en el art. 50.1 a) de la Ley Orgánica del Tribunal Constitucional (LOTC). Solicita que se declare que sí se cumple el requisito subjetivo de apariencia de lesión de los derechos fundamentales invocados, acordando dejar sin efecto la providencia de inadmisión, ello, sin perjuicio, de que el Tribunal pueda apreciar la concurrencia de otras posibles causas de inadmisión del recurso conforme al art 50. l a) LOTC. Entiende el Ministerio Fiscal a través del recurso de súplica planteado que, al menos indiciariamente, la Audiencia Provincial de las Palmas ha podido infringir la doctrina del Tribunal Constitucional sobre las garantías del proceso en segunda instancia, incurriendo en la lesión de los derechos reconocidos en los arts. 24.1 y 24.2 CE, que el recurrente alega en la demanda de amparo. Por otra parte, también, aparentemente —dice el Fiscal—, pudiera haber una conculcación de la garantía del principio acusatorio en cuanto que el Fiscal no formulo acusación por el delito tipificado en el art. 379.2 del Código penal, por el que se condena al demandante en la Sentencia de apelación, y del principio de legalidad del art. 25 CE, desde el punto de vista de si, realmente, los hechos que en la Sentencia se declaran como probados pueden subsumirse en la conducta típica del art 379.2 del Código penal.</w:t>
      </w:r>
    </w:p>
    <w:p w:rsidR="00B85568" w:rsidRDefault="00B85568" w:rsidP="00B85568">
      <w:pPr>
        <w:pStyle w:val="TextoNormal"/>
      </w:pPr>
    </w:p>
    <w:p w:rsidR="00B85568" w:rsidRDefault="00B85568" w:rsidP="00B85568">
      <w:pPr>
        <w:pStyle w:val="TextoNormal"/>
      </w:pPr>
      <w:r w:rsidRPr="00B85568">
        <w:rPr>
          <w:rStyle w:val="NumeroAFNegritaCaracter"/>
        </w:rPr>
        <w:t>2</w:t>
      </w:r>
      <w:r>
        <w:t>. El recurso de súplica debe ser rechazado. En cuanto al alegado incumplimiento de la doctrina emanada de las STC 167/2002, debe señalarse que la Audiencia razona en su Sentencia condenatoria que procede a una modificación de las conclusiones a que llega el Juzgado al apreciar un error en su valoración. Respecto de la condena por delito contra la seguridad vial, “basta con examinar la totalidad del procedimiento y la numerosa documental obrante en el mismo para poder concluir que el acusado el día de los hechos conducía un vehículo bajo los efectos del alcohol”. En todo caso, reseña válidamente que no se ha originado la infracción de los referidos principios de inmediación y contradicción, al condenar luego de revocar la absolución del Juzgado, porque “se convocó a las partes a una vista, como establece y ordena la jurisprudencia del Tribunal Constitucional, a la que acudieron las partes, y el propio promotor del incidente manifestó no tener nada que alegar”. En definitiva, ninguna infracción de los principios sobre inmediación y audiencia se produjo en la segunda instancia ya que lo valorado fue prueba documental y al recurrente se le dio la posibilidad efectiva de ser oído.</w:t>
      </w:r>
    </w:p>
    <w:p w:rsidR="00B85568" w:rsidRDefault="00B85568" w:rsidP="00B85568">
      <w:pPr>
        <w:pStyle w:val="TextoNormal"/>
      </w:pPr>
    </w:p>
    <w:p w:rsidR="00B85568" w:rsidRDefault="00B85568" w:rsidP="00B85568">
      <w:pPr>
        <w:pStyle w:val="TextoNormal"/>
      </w:pPr>
      <w:r>
        <w:t>Respecto de la lesión del principio acusatorio, tampoco cabe apreciar la vulneración puesta de manifiesto por el Ministerio Fiscal. En el caso de la condena por delito de resistencia a los agentes de la autoridad, se trata de manera clara de un delito homogéneo al tipo penal de atentado por el que fue inicialmente acusado (incluso, de menor gravedad). En el caso de la condena por delito de conducción bajo la influencia de bebidas alcohólicas, resulta incuestionable que el Fiscal calificó los hechos en todo momento como delito contra la seguridad vial, siendo la cuestión del grado de alcoholemia del acusado un tema también debatido a lo largo de la causa.</w:t>
      </w:r>
    </w:p>
    <w:p w:rsidR="00B85568" w:rsidRDefault="00B85568" w:rsidP="00B85568">
      <w:pPr>
        <w:pStyle w:val="TextoNormal"/>
      </w:pPr>
    </w:p>
    <w:p w:rsidR="00B85568" w:rsidRDefault="00B85568" w:rsidP="00B85568">
      <w:pPr>
        <w:pStyle w:val="TextoNormal"/>
      </w:pPr>
      <w:r>
        <w:t>Por último, debe ser rechazada la lesión del principio de legalidad penal, puesto que si bien es cierto que en los hechos probados de la Sentencia condenatoria de la Audiencia no se exponen con claridad circunstancias en que se sustenta la apreciación de que el acusado conducía bajo la influencia de bebidas alcohólicas, esta irregularidad procesal quedó subsanada mediante la ponderación integral que realiza la referida sentencia.</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15 de diciembre de 2014.</w:t>
      </w:r>
    </w:p>
    <w:p w:rsidR="00B85568" w:rsidRDefault="00B85568" w:rsidP="00B85568">
      <w:pPr>
        <w:pStyle w:val="TextoNormal"/>
      </w:pPr>
    </w:p>
    <w:p w:rsidR="00B85568" w:rsidRDefault="00B85568" w:rsidP="00B85568">
      <w:pPr>
        <w:pStyle w:val="TextoNormal"/>
      </w:pPr>
      <w:r>
        <w:t>Madrid, a dieciséis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7" w:name="AUTO_2015_27"/>
      <w:r>
        <w:t>AUTO 27/2015, de 16 de febrero de 2015</w:t>
      </w:r>
    </w:p>
    <w:bookmarkEnd w:id="177"/>
    <w:p w:rsidR="00B85568" w:rsidRDefault="00B85568" w:rsidP="00B85568">
      <w:pPr>
        <w:pStyle w:val="TtuloResolucin"/>
      </w:pPr>
      <w:r>
        <w:t>Sala Segunda</w:t>
      </w:r>
    </w:p>
    <w:p w:rsidR="00B85568" w:rsidRDefault="00B85568" w:rsidP="00B85568">
      <w:pPr>
        <w:pStyle w:val="TextoNormalCentrado"/>
      </w:pPr>
      <w:r>
        <w:t>ECLI:ES:TC:2015:27A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Deniega la suspensión en el recurso de amparo 3372-2013, promovido por don Juan Díez López en pleito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4 de junio de 2013, don Juan Díez López, representado por el Procurador de los Tribunales don Pablo Domínguez Maestro y asistido por la Letrada doña Pilar Díez López, interpuso recurso de amparo contra la Sentencia de fecha 13 de marzo de 2008, dictado por el Juzgado de Primera Instancia núm. 6 de Almería en juicio verbal 80-2007 que, entre otras determinaciones, fijó en 200 € mensuales el importe de la pensión de alimentos de un hijo menor y en el 50 por 100 de los gastos extraordinarios, habiéndose despachado Auto de ejecución el día 17 de septiembre de 2010 por importe de 1.674,92 €, y contra la providencia de fecha 22 de abril de 2013, que inadmite el incidente de nulidad de actuaciones instado por el recurrente, que había permanecido en prisión desde el 7 de octubre de 2006 a 7 de diciembre de 2012 y que fue declarado en rebeldía en el referido proceso.</w:t>
      </w:r>
    </w:p>
    <w:p w:rsidR="00B85568" w:rsidRDefault="00B85568" w:rsidP="00B85568">
      <w:pPr>
        <w:pStyle w:val="TextoNormal"/>
      </w:pPr>
    </w:p>
    <w:p w:rsidR="00B85568" w:rsidRDefault="00B85568" w:rsidP="00B85568">
      <w:pPr>
        <w:pStyle w:val="TextoNormal"/>
      </w:pPr>
      <w:r>
        <w:t>En la demanda de amparo, se interesa que se dicte Sentencia declarando que se han vulnerado los derechos del recurrente a la tutela judicial efectiva (art. 24.1 CE) y a un proceso con todas las garantías (art. 24.2 CE), anulando las resoluciones judiciales impugnadas.</w:t>
      </w:r>
    </w:p>
    <w:p w:rsidR="00B85568" w:rsidRDefault="00B85568" w:rsidP="00B85568">
      <w:pPr>
        <w:pStyle w:val="TextoNormal"/>
      </w:pPr>
    </w:p>
    <w:p w:rsidR="00B85568" w:rsidRDefault="00B85568" w:rsidP="00B85568">
      <w:pPr>
        <w:pStyle w:val="TextoNormal"/>
      </w:pPr>
      <w:r w:rsidRPr="00B85568">
        <w:rPr>
          <w:rStyle w:val="NumeroAFNegritaCaracter"/>
        </w:rPr>
        <w:t>2</w:t>
      </w:r>
      <w:r>
        <w:t>. Por medio de otro sí, y de conformidad a lo dispuesto en el art. 56 de la Ley Orgánica del Tribunal Constitucional, el recurrente solicita la suspensión del proceso ejecutivo dimanante de la Sentencia. Alega en síntesis que la no suspensión de las resoluciones recurridas le produce un perjuicio irreparable, en cuanto que no puede hacer frente a las cantidades por las que se despachó ejecución, dados sus escasos medios económicos.</w:t>
      </w:r>
    </w:p>
    <w:p w:rsidR="00B85568" w:rsidRDefault="00B85568" w:rsidP="00B85568">
      <w:pPr>
        <w:pStyle w:val="TextoNormal"/>
      </w:pPr>
    </w:p>
    <w:p w:rsidR="00B85568" w:rsidRDefault="00B85568" w:rsidP="00B85568">
      <w:pPr>
        <w:pStyle w:val="TextoNormal"/>
      </w:pPr>
      <w:r w:rsidRPr="00B85568">
        <w:rPr>
          <w:rStyle w:val="NumeroAFNegritaCaracter"/>
        </w:rPr>
        <w:t>3</w:t>
      </w:r>
      <w:r>
        <w:t>. La Sala Segunda de este Tribunal acordó la admisión a trámite de la demanda de amparo y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 habiéndose formulado las siguientes:</w:t>
      </w:r>
    </w:p>
    <w:p w:rsidR="00B85568" w:rsidRDefault="00B85568" w:rsidP="00B85568">
      <w:pPr>
        <w:pStyle w:val="TextoNormal"/>
      </w:pPr>
    </w:p>
    <w:p w:rsidR="00B85568" w:rsidRDefault="00B85568" w:rsidP="00B85568">
      <w:pPr>
        <w:pStyle w:val="TextoNormal"/>
      </w:pPr>
      <w:r>
        <w:t>a) La representación procesal del recurrente no presentó alegaciones.</w:t>
      </w:r>
    </w:p>
    <w:p w:rsidR="00B85568" w:rsidRDefault="00B85568" w:rsidP="00B85568">
      <w:pPr>
        <w:pStyle w:val="TextoNormal"/>
      </w:pPr>
    </w:p>
    <w:p w:rsidR="00B85568" w:rsidRDefault="00B85568" w:rsidP="00B85568">
      <w:pPr>
        <w:pStyle w:val="TextoNormal"/>
      </w:pPr>
      <w:r>
        <w:t>b) El Fiscal presentó escrito de alegaciones en fecha 16 de enero de 2015 en el que interesa que se dicte Auto denegando la suspensión solicitada en la demanda de amparo, señalando en síntesis que nos encontramos ante una resolución de contenido patrimonial, por lo que el perjuicio es reparable, y en este sentido el recurrente no alega una situación de imposibilidad de reparación de futuro, sino de insolvencia presente, la cual corresponde ponderar al órgano judicial llamado a resolver la ejecución. Asimismo, debe ponderarse que concurre el interés de un menor de edad, especialmente necesitado de protección, pues la cantidad por la que se despacha ejecución es una pensión alimenticia a favor de un hijo menor.</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objeto de resolución en esta pieza cautelar consiste en determinar si procede acordar o denegar la suspensión instada por la parte recurrente.</w:t>
      </w:r>
    </w:p>
    <w:p w:rsidR="00B85568" w:rsidRDefault="00B85568" w:rsidP="00B85568">
      <w:pPr>
        <w:pStyle w:val="TextoNormal"/>
      </w:pPr>
    </w:p>
    <w:p w:rsidR="00B85568" w:rsidRDefault="00B85568" w:rsidP="00B85568">
      <w:pPr>
        <w:pStyle w:val="TextoNormal"/>
      </w:pPr>
      <w:r w:rsidRPr="00B85568">
        <w:rPr>
          <w:rStyle w:val="NumeroAFNegritaCaracter"/>
        </w:rPr>
        <w:t>2</w:t>
      </w:r>
      <w:r>
        <w:t>. Este Tribunal en el ATC 83/2014, de 24 de marzo, ha establecido la siguiente doctrina:</w:t>
      </w:r>
    </w:p>
    <w:p w:rsidR="00B85568" w:rsidRDefault="00B85568" w:rsidP="00B85568">
      <w:pPr>
        <w:pStyle w:val="TextoNormal"/>
      </w:pPr>
    </w:p>
    <w:p w:rsidR="00B85568" w:rsidRDefault="00B85568" w:rsidP="00B85568">
      <w:pPr>
        <w:pStyle w:val="TextoNormal"/>
      </w:pPr>
      <w:r>
        <w:t>“La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B85568" w:rsidRDefault="00B85568" w:rsidP="00B85568">
      <w:pPr>
        <w:pStyle w:val="TextoNormal"/>
      </w:pPr>
    </w:p>
    <w:p w:rsidR="00B85568" w:rsidRDefault="00B85568" w:rsidP="00B85568">
      <w:pPr>
        <w:pStyle w:val="TextoNormal"/>
      </w:pPr>
      <w:r>
        <w:t>En la interpretación del art. 56.2 LOTC, este Tribunal ha venido entendiendo que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necesariamente. El mismo art. 56.2 LOTC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 (FJ 2)</w:t>
      </w:r>
    </w:p>
    <w:p w:rsidR="00B85568" w:rsidRDefault="00B85568" w:rsidP="00B85568">
      <w:pPr>
        <w:pStyle w:val="TextoNormal"/>
      </w:pPr>
    </w:p>
    <w:p w:rsidR="00B85568" w:rsidRDefault="00B85568" w:rsidP="00B85568">
      <w:pPr>
        <w:pStyle w:val="TextoNormal"/>
      </w:pPr>
      <w:r w:rsidRPr="00B85568">
        <w:rPr>
          <w:rStyle w:val="NumeroAFNegritaCaracter"/>
        </w:rPr>
        <w:t>3</w:t>
      </w:r>
      <w:r>
        <w:t>. La proyección de esta doctrina en lo que se refiere a la ejecución de los pronunciamientos con efectos fundamentalmente patrimoniales o de contenido económico ha permitido a este Tribunal consagrar, con carácter general, un criterio consolidado consistente en subrayar que no causa “un perjuicio irreparable al obligado al pago, ni puede hacer perder al amparo su finalidad, al ser posible la restitución íntegra de lo ejecutado” (por todos, ATC 253/2013, de 4 de noviembre, FJ 2).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(así, en el ATC 81/2012, de 7 de mayo, FJ 2).</w:t>
      </w:r>
    </w:p>
    <w:p w:rsidR="00B85568" w:rsidRDefault="00B85568" w:rsidP="00B85568">
      <w:pPr>
        <w:pStyle w:val="TextoNormal"/>
      </w:pPr>
    </w:p>
    <w:p w:rsidR="00B85568" w:rsidRDefault="00B85568" w:rsidP="00B85568">
      <w:pPr>
        <w:pStyle w:val="TextoNormal"/>
      </w:pPr>
      <w:r w:rsidRPr="00B85568">
        <w:rPr>
          <w:rStyle w:val="NumeroAFNegritaCaracter"/>
        </w:rPr>
        <w:t>4</w:t>
      </w:r>
      <w:r>
        <w:t>. En el presente caso, el contenido del pronunciamiento de la resolución impugnada cuya suspensión se pretende es exclusivamente de carácter económico, puesto que se trata de una ejecución dineraria de una pensión acordada a favor de un hijo menor de edad del recurrente, que no puede considerarse que cause un perjuicio irreparable ni que haga perder al recurso su finalidad, puesto que el demandante no acredita ni tan siquiera indiciariamente la insuficiencia de recursos económicos que alega. Además, la situación jurídica es susceptible de ser reparada en caso de que prospere el amparo, pues el potencial perjuicio que pudiera irrogarse puede ser satisfecho con una indemnización.</w:t>
      </w:r>
    </w:p>
    <w:p w:rsidR="00B85568" w:rsidRDefault="00B85568" w:rsidP="00B85568">
      <w:pPr>
        <w:pStyle w:val="TextoNormal"/>
      </w:pPr>
    </w:p>
    <w:p w:rsidR="00B85568" w:rsidRDefault="00B85568" w:rsidP="00B85568">
      <w:pPr>
        <w:pStyle w:val="TextoNormal"/>
      </w:pPr>
      <w:r>
        <w:t>Finalmente, y como alega el Fiscal, ha de ponderarse que concurre el interés de un tercero especialmente necesitado de protección, que es el del hijo menor de edad del recurrente, a cuyo favor está establecida la pensión en concepto de alimentos. En suma, no se dan los requisitos para decretar la suspensión de la resolución recurrida.</w:t>
      </w:r>
    </w:p>
    <w:p w:rsidR="00B85568" w:rsidRDefault="00B85568" w:rsidP="00B85568">
      <w:pPr>
        <w:pStyle w:val="TextoNormal"/>
      </w:pPr>
    </w:p>
    <w:p w:rsidR="00B85568" w:rsidRDefault="00B85568" w:rsidP="00B85568">
      <w:pPr>
        <w:pStyle w:val="TextoNormal"/>
      </w:pPr>
      <w:r w:rsidRPr="00B85568">
        <w:rPr>
          <w:rStyle w:val="NumeroAFNegritaCaracter"/>
        </w:rPr>
        <w:t>5</w:t>
      </w:r>
      <w:r>
        <w:t>. Los razonamientos expuestos conducen, y sin que ello suponga prejuzgar la cuestión de fondo planteada, a denegar la suspensión interesada.</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Denegar la suspensión interesada en el recurso de amparo núm. 3372-2013 promovido por don Juan Díez López.</w:t>
      </w:r>
    </w:p>
    <w:p w:rsidR="00B85568" w:rsidRDefault="00B85568" w:rsidP="00B85568">
      <w:pPr>
        <w:pStyle w:val="TextoNormal"/>
      </w:pPr>
    </w:p>
    <w:p w:rsidR="00B85568" w:rsidRDefault="00B85568" w:rsidP="00B85568">
      <w:pPr>
        <w:pStyle w:val="TextoNormal"/>
      </w:pPr>
      <w:r>
        <w:t>Madrid, a dieciséis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8" w:name="AUTO_2015_28"/>
      <w:r>
        <w:t>AUTO 28/2015, de 16 de febrero de 2015</w:t>
      </w:r>
    </w:p>
    <w:bookmarkEnd w:id="178"/>
    <w:p w:rsidR="00B85568" w:rsidRDefault="00B85568" w:rsidP="00B85568">
      <w:pPr>
        <w:pStyle w:val="TtuloResolucin"/>
      </w:pPr>
      <w:r>
        <w:t>Sala Segunda</w:t>
      </w:r>
    </w:p>
    <w:p w:rsidR="00B85568" w:rsidRDefault="00B85568" w:rsidP="00B85568">
      <w:pPr>
        <w:pStyle w:val="TextoNormalCentrado"/>
      </w:pPr>
      <w:r>
        <w:t>ECLI:ES:TC:2015:28A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extinción, por desaparición sobrevenida de objeto, de la cuestión de inconstitucionalidad 331-2014, planteada por la Sala de lo Contencioso-Administrativo de la Audiencia Nacional en relación con la disposición adicional decimocuarta del Decreto Legislativo 1/2000, de 8 de mayo, de ordenación del territorio de Canarias y de espacios naturales de Canarias.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día 20 de enero de 2014, tuvo entrada en el Registro General de este Tribunal Constitucional un escrito de la Sección Primera de la Sala de lo Contencioso-Administrativo de la Audiencia Nacional, al que se acompaña, junto con el testimonio del procedimiento ordinario núm. 516-2011, el Auto de 17 de diciembre de 2013, por el que se acuerda elevar a este Tribunal Constitucional cuestión de inconstitucionalidad en relación con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por posible vulneración de los artículos 149.1.1, 8 y 23, en relación con el art. 132 CE.</w:t>
      </w:r>
    </w:p>
    <w:p w:rsidR="00B85568" w:rsidRDefault="00B85568" w:rsidP="00B85568">
      <w:pPr>
        <w:pStyle w:val="TextoNormal"/>
      </w:pPr>
    </w:p>
    <w:p w:rsidR="00B85568" w:rsidRDefault="00B85568" w:rsidP="00B85568">
      <w:pPr>
        <w:pStyle w:val="TextoNormal"/>
      </w:pPr>
      <w:r w:rsidRPr="00B85568">
        <w:rPr>
          <w:rStyle w:val="NumeroAFNegritaCaracter"/>
        </w:rPr>
        <w:t>2</w:t>
      </w:r>
      <w:r>
        <w:t>. La presente cuestión de inconstitucionalidad tiene su origen en un recurso contencioso-administrativo interpuesto por el Letrado del Servicio Jurídico del Gobierno de Canarias, en nombre y representación de la Administración pública de la Comunidad Autónoma de Canarias, contra la Orden Ministerial de 3 de marzo de 2011, por la que el Estado procedía a la aprobación del deslinde de los bienes de dominio público marítimo terrestre del tramo de costa, de unos 16.026 metros de longitud, comprendido entre “Los Dises y la Caleta de la Villa”, en el término municipal de Teguise, isla de Lanzarote, así como contra la desestimación presunta del requerimiento de anulación efectuado por la Comunidad Autónoma al Ministerio de Medio Ambiente y Medio Rural y Marino.</w:t>
      </w:r>
    </w:p>
    <w:p w:rsidR="00B85568" w:rsidRDefault="00B85568" w:rsidP="00B85568">
      <w:pPr>
        <w:pStyle w:val="TextoNormal"/>
      </w:pPr>
    </w:p>
    <w:p w:rsidR="00B85568" w:rsidRDefault="00B85568" w:rsidP="00B85568">
      <w:pPr>
        <w:pStyle w:val="TextoNormal"/>
      </w:pPr>
      <w:r>
        <w:t xml:space="preserve">Seguido el expediente en sus trámites, la Sección Primera de la Sala de lo Contencioso-Administrativo de la Audiencia Nacional, mediante providencia de 10 de mayo de 2013, acordó oír a las partes y al Ministerio Fiscal para que alegasen lo que considerasen oportuno “acerca de la pertinencia de que esta Sala plantee cuestión ante el Tribunal Constitucional sobre la inconstitucionalidad de la disposición (adicional </w:t>
      </w:r>
      <w:r w:rsidRPr="00B85568">
        <w:rPr>
          <w:i/>
        </w:rPr>
        <w:t>sic</w:t>
      </w:r>
      <w:r>
        <w:t>)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por vulnerar el orden constitucional de distribución de competencias entre el Estado y la Comunidad Autónoma de Canarias, expresada en los arts. 149.1.1, 8 y 23 de la Constitución en relación con el art. 132 CE y la Ley 22/1988, de 28 de julio, de costas, por lo que respecta a la fijación del límite interior de la zona de servidumbre de protección del dominio público marítimo terrestre”.</w:t>
      </w:r>
    </w:p>
    <w:p w:rsidR="00B85568" w:rsidRDefault="00B85568" w:rsidP="00B85568">
      <w:pPr>
        <w:pStyle w:val="TextoNormal"/>
      </w:pPr>
    </w:p>
    <w:p w:rsidR="00B85568" w:rsidRDefault="00B85568" w:rsidP="00B85568">
      <w:pPr>
        <w:pStyle w:val="TextoNormal"/>
      </w:pPr>
      <w:r>
        <w:t>La Abogacía del Estado se opuso, mediante escrito de 28 de mayo de 2013, al planteamiento de la cuestión, al hallarse pendiente ante el Tribunal Constitucional la resolución del recurso de inconstitucionalidad núm. 6964-2009, interpuesto por la Abogacía del Estado, entre otras, contra la misma disposición a la que se refiere esta cuestión. La Comunidad Autónoma de Canarias, en su escrito de 10 de junio de 2013, se opuso también por considerar que en el trámite de audiencia conferido no se había justificado suficientemente en qué medida la decisión del proceso dependía de la validez de la norma en cuestión, ni concretado la duda de constitucionalidad que se planteaba la Sala en relación con una disposición cuya constitucionalidad defiende la Comunidad Autónoma. Por su parte el Ministerio Fiscal, mediante escrito presentado el 19 de junio de 2013, manifestó no tener la seguridad de que para dictar el fallo concreto acordado por la Sala en la deliberación inconclusa, fuera necesario despejar la duda sobre la constitucionalidad de la norma en cuestión.</w:t>
      </w:r>
    </w:p>
    <w:p w:rsidR="00B85568" w:rsidRDefault="00B85568" w:rsidP="00B85568">
      <w:pPr>
        <w:pStyle w:val="TextoNormal"/>
      </w:pPr>
    </w:p>
    <w:p w:rsidR="00B85568" w:rsidRDefault="00B85568" w:rsidP="00B85568">
      <w:pPr>
        <w:pStyle w:val="TextoNormal"/>
      </w:pPr>
      <w:r>
        <w:t>A la vista de las alegaciones planteadas, la Sección Primera de la Sala de lo Contencioso-Administrativo de la Audiencia Nacional, mediante providencia de 13 de octubre de 2013, pone de manifiesto a las partes una serie de consideraciones respecto del juicio de relevancia de la norma de cuya constitucionalidad se duda, en relación con la resolución del procedimiento contencioso-administrativo, y decide oír nuevamente a las partes y al Ministerio Fiscal. La Comunidad Autónoma y la Abogacía del Estado presentaron sendos escritos, de 22 y de 30 de octubre de 2013 respectivamente, donde se reiteraban en las alegaciones realizadas en sus escritos anteriores, mientras que el Ministerio Fiscal, mediante escrito de 30 de octubre de 2013, estima correctamente formulado el necesario juicio de relevancia, reconociendo la posibilidad de que la Sala resolviese sobre el planteamiento de la cuestión en los términos previstos en el artículo 35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Auto de 17 de diciembre de 2013, la Sección Primera de la Sala de lo Contencioso-Administrativo de la Audiencia Nacional formaliza cuestión de inconstitucionalidad en relación con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Este precepto establece que “la Administración urbanística actuante fijará el límite interior de la zona de servidumbre de protección del dominio público marítimo-terrestre y establecerá la ordenación de los terrenos comprendidos en la misma, teniendo en cuenta la línea de ribera del mar que a tal efecto le comunique la Administración del Estado, comunicación que irá acompañada del correspondiente proyecto técnico y expediente administrativo”.</w:t>
      </w:r>
    </w:p>
    <w:p w:rsidR="00B85568" w:rsidRDefault="00B85568" w:rsidP="00B85568">
      <w:pPr>
        <w:pStyle w:val="TextoNormal"/>
      </w:pPr>
    </w:p>
    <w:p w:rsidR="00B85568" w:rsidRDefault="00B85568" w:rsidP="00B85568">
      <w:pPr>
        <w:pStyle w:val="TextoNormal"/>
      </w:pPr>
      <w:r>
        <w:t>Entiende el órgano judicial que si la disposición adicional decimocuarta fuera efectivamente constitucional, planteamiento que la Sala no asume, la Orden Ministerial de deslinde, impugnada en el recurso contencioso-administrativo, habría vulnerado la competencia autonómica de delimitación de la línea interior de la servidumbre de protección del dominio público marítimo terrestre que la disposición adicional de cuya constitucionalidad se duda atribuye a la Administración urbanística actuante, esto es a la Administración autonómica.</w:t>
      </w:r>
    </w:p>
    <w:p w:rsidR="00B85568" w:rsidRDefault="00B85568" w:rsidP="00B85568">
      <w:pPr>
        <w:pStyle w:val="TextoNormal"/>
      </w:pPr>
    </w:p>
    <w:p w:rsidR="00B85568" w:rsidRDefault="00B85568" w:rsidP="00B85568">
      <w:pPr>
        <w:pStyle w:val="TextoNormal"/>
      </w:pPr>
      <w:r>
        <w:t xml:space="preserve">No obstante, la Sala entiende que la norma autonómica cuestionada, en la que se basa el Letrado del Servicio Jurídico del Gobierno de Canarias para impugnar la Orden Ministerial de deslinde en la jurisdicción contencioso-administrativa, ha de ser reputada inconstitucional, y lo expresa en los siguientes términos: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vulnera el orden constitucional de distribución de competencias entre el Estado y la Comunidad Autónoma de Canarias, al suponer una extralimitación de las competencias de esta última que entra en contradicción con las del Estado, </w:t>
      </w:r>
      <w:r w:rsidRPr="00B85568">
        <w:rPr>
          <w:i/>
        </w:rPr>
        <w:t>ex</w:t>
      </w:r>
      <w:r>
        <w:t xml:space="preserve"> arts. 149.1.1, 8 y 23 de la Constitución, ejercidas a través de la Ley 22/1988, de 28 de julio, de costas, y su Reglamento general de desarrollo y ejecución, aprobado por Real Decreto 1470/1989, de 1 de diciembre, hasta el punto de desapoderar al Estado de una competencia exclusiva, con la que pretende garantizar la adecuada protección del dominio público marítimo terrestre”.</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25 de febrero de 2014, el Pleno del Tribunal Constitucional, acordó admitir a trámite la cuestión de inconstitucionalidad, deferirla a la Sala Segunda, de conformidad con lo dispuesto en el art. 10.1 c) LOTC, y dar traslado, conforme dispone el art. 37.2 LOTC,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“Boletín Oficial de Canarias”.</w:t>
      </w:r>
    </w:p>
    <w:p w:rsidR="00B85568" w:rsidRDefault="00B85568" w:rsidP="00B85568">
      <w:pPr>
        <w:pStyle w:val="TextoNormal"/>
      </w:pPr>
    </w:p>
    <w:p w:rsidR="00B85568" w:rsidRDefault="00B85568" w:rsidP="00B85568">
      <w:pPr>
        <w:pStyle w:val="TextoNormal"/>
      </w:pPr>
      <w:r w:rsidRPr="00B85568">
        <w:rPr>
          <w:rStyle w:val="NumeroAFNegritaCaracter"/>
        </w:rPr>
        <w:t>5</w:t>
      </w:r>
      <w:r>
        <w:t>. El día 4 de marzo de 2014, el Presidente del Congreso de los Diputados solicitó al Tribunal dar por personada a dicha Cámara y por ofrecida su colaboración a los efectos del art. 88.1 LOTC. En idéntico sentido se manifiesta el Presidente del Senado, mediante escrito fechado el 11 de marzo de 2014.</w:t>
      </w:r>
    </w:p>
    <w:p w:rsidR="00B85568" w:rsidRDefault="00B85568" w:rsidP="00B85568">
      <w:pPr>
        <w:pStyle w:val="TextoNormal"/>
      </w:pPr>
    </w:p>
    <w:p w:rsidR="00B85568" w:rsidRDefault="00B85568" w:rsidP="00B85568">
      <w:pPr>
        <w:pStyle w:val="TextoNormal"/>
      </w:pPr>
      <w:r w:rsidRPr="00B85568">
        <w:rPr>
          <w:rStyle w:val="NumeroAFNegritaCaracter"/>
        </w:rPr>
        <w:t>6</w:t>
      </w:r>
      <w:r>
        <w:t>. El Secretario General del Parlamento de Canarias, mediante escrito registrado el día 17 de marzo de 2014, solicita se tenga por realizada la personación del Parlamento de Canarias, y por realizadas las alegaciones pertinentes, que suponen la adhesión plena, y sin mayor consideración adicional, a las que se formulen en su día por el Letrado del Servicio Jurídico del Gobierno de Canarias.</w:t>
      </w:r>
    </w:p>
    <w:p w:rsidR="00B85568" w:rsidRDefault="00B85568" w:rsidP="00B85568">
      <w:pPr>
        <w:pStyle w:val="TextoNormal"/>
      </w:pPr>
    </w:p>
    <w:p w:rsidR="00B85568" w:rsidRDefault="00B85568" w:rsidP="00B85568">
      <w:pPr>
        <w:pStyle w:val="TextoNormal"/>
      </w:pPr>
      <w:r w:rsidRPr="00B85568">
        <w:rPr>
          <w:rStyle w:val="NumeroAFNegritaCaracter"/>
        </w:rPr>
        <w:t>7</w:t>
      </w:r>
      <w:r>
        <w:t>. El Abogado del Estado presentó su escrito de alegaciones el día 20 de marzo de 2014, manifestando que la disposición objeto de la cuestión de inconstitucionalidad fue objeto del recurso de inconstitucionalidad núm. 6964-2009, planteado por el Presidente del Gobierno, a cuya motivación se remite. En síntesis, el Abogado del Estado sostiene que la jurisprudencia del Tribunal Constitucional es clara y determinante para resolver la duda planteada, pues se contiene en las SSTC 87/2012 y 137/2012, refiriéndose el fundamento jurídico 3 de esta última a la exclusividad de la competencia estatal respecto de la protección del dominio público marítimo terrestre. Tras exponer este argumento, el Abogado del Estado reitera todos los que realizara sobre la inconstitucionalidad de la disposición adicional decimocuarta en el recurso de inconstitucionalidad núm. 6964-2009, en que afirmaba que la legislación básica estatal configura el deslinde como competencia exclusiva plena del Estado, de lo que se deduce la contradicción entre la normativa autonómica y la básica estatal contenida en los arts. 11, 12, 13 y 110 a) de la Ley de costas, así como en los arts. 18 y siguientes del Real Decreto 1471/1989, que realizan el desarrollo reglamentario de la facultad estatal de deslinde.</w:t>
      </w:r>
    </w:p>
    <w:p w:rsidR="00B85568" w:rsidRDefault="00B85568" w:rsidP="00B85568">
      <w:pPr>
        <w:pStyle w:val="TextoNormal"/>
      </w:pPr>
    </w:p>
    <w:p w:rsidR="00B85568" w:rsidRDefault="00B85568" w:rsidP="00B85568">
      <w:pPr>
        <w:pStyle w:val="TextoNormal"/>
      </w:pPr>
      <w:r>
        <w:t xml:space="preserve">Además, reproduciendo los argumentos contenidos en la demanda que dio lugar al recurso de inconstitucionalidad 3644-2009, la Abogacía del Estado sostiene que las citadas disposiciones de la Ley de costas y del Real Decreto 1471/1989 han de ser considerados básicos, y ello en virtud de que se dictan en desarrollo de la competencia estatal, </w:t>
      </w:r>
      <w:r w:rsidRPr="00B85568">
        <w:rPr>
          <w:i/>
        </w:rPr>
        <w:t>ex</w:t>
      </w:r>
      <w:r>
        <w:t xml:space="preserve"> arts. 132, 149.1. 1, 8 y 23 CE, relativa a la determinación de aquellas categorías de bienes que integran el dominio público natural (con cita de la STC 227/1988). Si la delimitación del dominio púbico es un </w:t>
      </w:r>
      <w:r w:rsidRPr="00B85568">
        <w:rPr>
          <w:i/>
        </w:rPr>
        <w:t>prius</w:t>
      </w:r>
      <w:r>
        <w:t xml:space="preserve"> para el concreto ejercicio de las competencias que sobre él se ostenten, sólo el Estado, como titular de ese dominio público, puede efectuar la operación de deslinde.</w:t>
      </w:r>
    </w:p>
    <w:p w:rsidR="00B85568" w:rsidRDefault="00B85568" w:rsidP="00B85568">
      <w:pPr>
        <w:pStyle w:val="TextoNormal"/>
      </w:pPr>
    </w:p>
    <w:p w:rsidR="00B85568" w:rsidRDefault="00B85568" w:rsidP="00B85568">
      <w:pPr>
        <w:pStyle w:val="TextoNormal"/>
      </w:pPr>
      <w:r>
        <w:t>Teniendo en cuenta, por tanto, que los arts. 132 CE y 149.1 apartados 1, 8 y 23 CE, sustentan la competencia plena del Estado para la delimitación del dominio público marítimo-terrestre, lo que abarca desde la definición legal de dicho demanio, hasta su material deslinde, así como la definición del régimen jurídico del dominio público y de su zona de servidumbre, resulta evidente que la regulación autonómica excede el ámbito competencial que le está reservado a la Comunidad Autónoma de Canarias. La ley canaria desconoce la competencia estatal y atribuye a la Administración autonómica la facultad de efectivo deslinde del dominio público marítimo terrestre mediante la fijación del límite interior de la zona de servidumbre de protección, que coincide con el límite exterior del demanio natural. Afirma el Abogado del Estado que si en el recurso de inconstitucionalidad 3644-2009 se cuestionaba el indebido condicionamiento de una competencia exclusiva ajena, en este caso la Comunidad Autónoma de Canarias va más lejos, asumiendo directamente una competencia ajena.</w:t>
      </w:r>
    </w:p>
    <w:p w:rsidR="00B85568" w:rsidRDefault="00B85568" w:rsidP="00B85568">
      <w:pPr>
        <w:pStyle w:val="TextoNormal"/>
      </w:pPr>
    </w:p>
    <w:p w:rsidR="00B85568" w:rsidRDefault="00B85568" w:rsidP="00B85568">
      <w:pPr>
        <w:pStyle w:val="TextoNormal"/>
      </w:pPr>
      <w:r>
        <w:t>Acudiendo a la exposición de motivos de la Ley impugnada, la Abogacía del Estado interpreta que la legislación canaria impugnada pretende reaccionar frente a la posibilidad de que el Estado modifique el deslinde del dominio público marítimo-terrestre en perjuicio de las propiedades colindantes, y lo hace desconociendo una competencia ajena, la del Estado para deslindar el dominio público marítimo-terrestre.</w:t>
      </w:r>
    </w:p>
    <w:p w:rsidR="00B85568" w:rsidRDefault="00B85568" w:rsidP="00B85568">
      <w:pPr>
        <w:pStyle w:val="TextoNormal"/>
      </w:pPr>
    </w:p>
    <w:p w:rsidR="00B85568" w:rsidRDefault="00B85568" w:rsidP="00B85568">
      <w:pPr>
        <w:pStyle w:val="TextoNormal"/>
      </w:pPr>
      <w:r w:rsidRPr="00B85568">
        <w:rPr>
          <w:rStyle w:val="NumeroAFNegritaCaracter"/>
        </w:rPr>
        <w:t>8</w:t>
      </w:r>
      <w:r>
        <w:t>. Mediante escrito presentado el 24 de marzo de 2014, la Letrada del Servicio Jurídico del Gobierno de Canarias, en la representación que ostenta, evacuó el trámite de alegaciones concedido, solicitando a este Tribunal Constitucional que dictara sentencia en la que se desestimase la cuestión de inconstitucionalidad por entender que el precepto cuestionado es plenamente ajustado a la Constitución.</w:t>
      </w:r>
    </w:p>
    <w:p w:rsidR="00B85568" w:rsidRDefault="00B85568" w:rsidP="00B85568">
      <w:pPr>
        <w:pStyle w:val="TextoNormal"/>
      </w:pPr>
    </w:p>
    <w:p w:rsidR="00B85568" w:rsidRDefault="00B85568" w:rsidP="00B85568">
      <w:pPr>
        <w:pStyle w:val="TextoNormal"/>
      </w:pPr>
      <w:r>
        <w:t>Analizadas una serie de consideraciones generales sobre el marco competencial al que se circunscribe la aprobación de la disposición cuestionada, dicha parte defiende la constitucionalidad de la disposición adicional decimocuarta del Decreto Legislativo 1/2000, afirmando que si la Comunidad Autónoma tiene competencia para clasificar suelo o para determinar las áreas urbanas en el litoral al amparo de sus potestades sobre urbanismo, necesariamente la tendrá para decidir el límite interior de la servidumbre de protección, al ser cuestiones que están en íntima conexión, y al suponer esta delimitación una mera aplicación de los criterios determinados por el legislador estatal en la normativa que establece la anchura de las servidumbres legales en función de la clase de suelo.</w:t>
      </w:r>
    </w:p>
    <w:p w:rsidR="00B85568" w:rsidRDefault="00B85568" w:rsidP="00B85568">
      <w:pPr>
        <w:pStyle w:val="TextoNormal"/>
      </w:pPr>
    </w:p>
    <w:p w:rsidR="00B85568" w:rsidRDefault="00B85568" w:rsidP="00B85568">
      <w:pPr>
        <w:pStyle w:val="TextoNormal"/>
      </w:pPr>
      <w:r>
        <w:t>La Letrada del Gobierno canario estima que la Comunidad Autónoma ejerce aquí una función meramente ejecutiva de la legislación estatal, concretando la proyección espacial de las servidumbres sobre todos los suelos, de conformidad con su competencia sobre ordenación del territorio, del litoral y del urbanismo. Por último la Letrada apunta una interpretación de la norma conforme al orden constitucional de distribución de competencias, al afirmar que los arts. 19 y 26 del Reglamento de costas no disponen que el Estado establezca el límite interior de la servidumbre de protección, sino que se circunscriben a establecer que la Administración del Estado señaliza y localiza de forma orientativa ese límite, perteneciendo la competencia decisoria a la Comunidad Autónoma en función de la clase de suelo presente. Se afirma, en fin, que las limitaciones y servidumbres establecidas en los arts. 25 y 26 de la Ley de costas seguirán siendo aplicadas, puesto que estos preceptos no quedan afectados por la Ley recurrida si se interpretan la competencia estatal y la competencia autonómica en el sentido apuntado.</w:t>
      </w:r>
    </w:p>
    <w:p w:rsidR="00B85568" w:rsidRDefault="00B85568" w:rsidP="00B85568">
      <w:pPr>
        <w:pStyle w:val="TextoNormal"/>
      </w:pPr>
    </w:p>
    <w:p w:rsidR="00B85568" w:rsidRDefault="00B85568" w:rsidP="00B85568">
      <w:pPr>
        <w:pStyle w:val="TextoNormal"/>
      </w:pPr>
      <w:r w:rsidRPr="00B85568">
        <w:rPr>
          <w:rStyle w:val="NumeroAFNegritaCaracter"/>
        </w:rPr>
        <w:t>9</w:t>
      </w:r>
      <w:r>
        <w:t>. El 27 de marzo de 2014, el Fiscal General del Estado formuló sus alegaciones, interesando de este Tribunal Constitucional la desestimación de la cuestión de inconstitucionalidad. Tras relatar los antecedentes del recurso contencioso-administrativo en el que se plantea la cuestión de inconstitucionalidad, el contenido del recurso en sí, así como de la duda de constitucionalidad planteada por la Sección Primera de la Sala de lo Contencioso-Administrativo de la Audiencia Nacional, el Fiscal describe el marco constitucional y legal de referencia y expone la doctrina constitucional aplicable al caso. De la antedicha exposición concluye que la cuestionada disposición adicional decimocuarta no otorga atribuciones a la Administración de la Comunidad Autónoma para incidir en los límites de la servidumbre de protección, pues esta necesariamente se fijará a partir de la ribera del mar y con la profundidad que señala la legislación básica, careciendo pues la Comunidad Autónoma de cualquier competencia para su alteración y quedando vinculada a lo que determine el Estado.</w:t>
      </w:r>
    </w:p>
    <w:p w:rsidR="00B85568" w:rsidRDefault="00B85568" w:rsidP="00B85568">
      <w:pPr>
        <w:pStyle w:val="TextoNormal"/>
      </w:pPr>
    </w:p>
    <w:p w:rsidR="00B85568" w:rsidRDefault="00B85568" w:rsidP="00B85568">
      <w:pPr>
        <w:pStyle w:val="TextoNormal"/>
      </w:pPr>
      <w:r>
        <w:t>Dicho de otro modo, entiende la Fiscalía que la disposición cuestionada se configura como una norma complementaria y neutra, que no incorpora criterio alguno que incida sobre el contenido y extensión de la servidumbre de protección, careciendo de virtualidad para alterar los límites de la misma en los términos establecidos por la legislación básica del Estado. Así, la norma cuestionada lo es de estricta ejecución —delimitación perimetral— de la legislación básica, para lo que la Comunidad Autónoma sí tendría competencias, derivadas, en este caso, del art. 32.12 de su Estatuto de Autonomía. En síntesis, a juicio del Fiscal General del Estado, no procede declarar la inconstitucionalidad de la disposición adicional decimocuarta del texto refundido de las Leyes de ordenación del territorio de Canarias y de espacios naturales de Canarias, por lo que respecta a la fijación del límite interior de la zona de la servidumbre de protección del dominio público marítimo terrestre, siempre que se interprete en el sentido de que dicha fijación respetará escrupulosamente la legislación básica del Estado en materia de costas, limitándose a ejecutar o reflejar lo establecido por la Administración del Estado en cuanto a la profundidad del límite interior de la servidumbre de protección.</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La Sección Primera de la Sala de lo Contencioso-Administrativo de la Audiencia Nacional plantea cuestión de inconstitucionalidad en relación con la disposición adicional decimocuarta del texto refundido de las Leyes de ordenación del territorio de Canarias y de espacios naturales de Canarias, aprobado por Decreto Legislativo 1/2000, de 8 de mayo, en la redacción dada por la Ley canaria 7/2009, de 6 de mayo, sobre declaración y ordenación de áreas urbanas en el litoral canario, por posible vulneración de los arts. 149.1.1, 8 y 23 en relación con el art. 132 CE.</w:t>
      </w:r>
    </w:p>
    <w:p w:rsidR="00B85568" w:rsidRDefault="00B85568" w:rsidP="00B85568">
      <w:pPr>
        <w:pStyle w:val="TextoNormal"/>
      </w:pPr>
    </w:p>
    <w:p w:rsidR="00B85568" w:rsidRDefault="00B85568" w:rsidP="00B85568">
      <w:pPr>
        <w:pStyle w:val="TextoNormal"/>
      </w:pPr>
      <w:r>
        <w:t>En la STC 5/2015, de 22 de enero, estimatoria del recurso de inconstitucionalidad promovido, antes del planteamiento de la presente cuestión, por el Presidente del Gobierno contra los arts. 1, 2 y 3 de la Ley de la Comunidad Autónoma de Canarias 7/2009, de 6 de mayo, de modificación del texto refundido de las Leyes de ordenación del territorio de Canarias y de espacios naturales de Canarias sobre declaración y ordenación de áreas urbanas en el litoral canario, que introducen, respectivamente, las disposiciones adicionales decimotercera, decimocuarta y decimoquinta en el Decreto Legislativo 1/2000, se declara, entre otros extremos que no hacen al presente procedimiento, la inconstitucionalidad y nulidad de la disposición adicional decimocuarta del Decreto Legislativo 1/2000.</w:t>
      </w:r>
    </w:p>
    <w:p w:rsidR="00B85568" w:rsidRDefault="00B85568" w:rsidP="00B85568">
      <w:pPr>
        <w:pStyle w:val="TextoNormal"/>
      </w:pPr>
    </w:p>
    <w:p w:rsidR="00B85568" w:rsidRDefault="00B85568" w:rsidP="00B85568">
      <w:pPr>
        <w:pStyle w:val="TextoNormal"/>
      </w:pPr>
      <w:r>
        <w:t>Establece el Tribunal en el fundamento jurídico 6 de dicho pronunciamiento que el recurso de inconstitucionalidad plantea “el problema de quien es la administración competente para efectuar el deslinde de la zona de servidumbre de protección del dominio público marítimo-terrestre, no sólo en su límite exterior, que corresponde con la determinación de la línea interna de la ribera del mar o de las rías, sino en su límite interior, que corresponde con la determinación del alcance concreto de 20, 100 o 200 metros, de la servidumbre de protección.”. Y la solución a dicho problema viene dada con apoyo en la STC 137/2012, de 19 de junio, en la que se estableció, remitiéndose a lo ya declarado en la STC 46/2007, de 1 de marzo, FJ 12, que “el ejercicio de la competencia autonómica sobre ordenación del litoral no puede a su vez reducir el contenido de las facultades que corresponden al Estado en cuanto titular del dominio público marítimo terrestre, entre las que se encuentra la definición de los criterios para determinar los bienes integrantes de dicho dominio público y la delimitación concreta de tales bienes, con el alcance determinado en la STC 149/1991, de 4 de julio, FJ 2 A). A este respecto, de los arts. 11 y 12 de la Ley de costas, y 18 y ss. de su Reglamento se desprende que el procedimiento de deslinde para la determinación del dominio público marítimo terrestre será aprobado por la Administración del Estado, mediante un procedimiento en el que se garantiza la previa audiencia de la Comunidad Autónoma, y que habrá de atenerse únicamente a las características de los bienes que lo integran”.</w:t>
      </w:r>
    </w:p>
    <w:p w:rsidR="00B85568" w:rsidRDefault="00B85568" w:rsidP="00B85568">
      <w:pPr>
        <w:pStyle w:val="TextoNormal"/>
      </w:pPr>
    </w:p>
    <w:p w:rsidR="00B85568" w:rsidRDefault="00B85568" w:rsidP="00B85568">
      <w:pPr>
        <w:pStyle w:val="TextoNormal"/>
      </w:pPr>
      <w:r>
        <w:t>Por tanto, tal y como se dice en la STC 5/2015, FJ 6, con base en nuestra jurisprudencia previa, “le corresponde al Estado definir legislativamente el dominio público estatal y establecer el régimen jurídico de los bienes que lo integran, así como adoptar las medidas precisas para proteger la integridad del demanio, preservar sus características naturales y su libre utilización” (STC 46/2007, de 1 de marzo, FJ 12). Dentro de las facultades que se asocian a esa potestad, está la de realizar las operaciones de deslinde de la zona de servidumbre de protección, en la medida en que tales operaciones tienen por finalidad determinar qué bienes concretos, qué territorios precisos integran el dominio público marítimo terrestre y la correlativa y consecutiva zona de servidumbre de protección, cuya finalidad es preservar los bienes demaniales. No entraremos aquí a valorar el modo en que la Ley de costas, en su versión de 1988, o en la de 2013, definen y configuran las operaciones de deslinde. Basta con establecer que la operación de deslinde es una actividad vinculada estrecha e indefectiblemente a la definición de los elementos que integran el dominio público marítimo terrestre, competencia que nuestra jurisprudencia ya ha atribuido de forma incontrovertida al Estado, y que dentro de tal operación de deslinde está la demarcación de la zona de servidumbre de protección del dominio público marítimo-terrestre, tal y como recogen, siguiendo en ello la doctrina constitucional fijada, el art. 11 de la Ley 22/1988, de 28 de julio, de costas, en su versión actualmente vigente, y el art. 18 del Real Decreto 876/2014, de 10 de octubre, por el que se aprueba el Reglamento general de costas. Ello no supone dejar de reconocer la necesaria colaboración de la Administración urbanística en este ámbito. Resulta evidente que la específica extensión de la servidumbre de protección, y por tanto el trazado de la línea que marca la separación entre el territorio sujeto a esa servidumbre y la zona de influencia exige para su concreción de la actuación de la Administración urbanística, en la medida en que a esta última corresponde calificar el uso y destino de los terrenos, calificación que deberá ser tenida en cuenta, como determina la propia normativa básica, a la hora de realizar el deslinde. No obstante, ese ejercicio coordinado de las acciones concretas necesarias para establecer definitivamente el deslinde, no implica la traslación de la competencia de deslinde a la Administración urbanística. Se trata aquí de que las competencias, locales o autonómicas, en materia urbanística se proyectarán de algún modo sobre la competencia estatal en materia de protección del medio ambiente, cuando en ejercicio de esta competencia se trate de efectuar las labores de deslinde, para definir, exactamente, hasta donde alcanza esa protección.</w:t>
      </w:r>
    </w:p>
    <w:p w:rsidR="00B85568" w:rsidRDefault="00B85568" w:rsidP="00B85568">
      <w:pPr>
        <w:pStyle w:val="TextoNormal"/>
      </w:pPr>
    </w:p>
    <w:p w:rsidR="00B85568" w:rsidRDefault="00B85568" w:rsidP="00B85568">
      <w:pPr>
        <w:pStyle w:val="TextoNormal"/>
      </w:pPr>
      <w:r>
        <w:t>Los anteriores argumentos llevan al Tribunal a declarar la inconstitucionalidad y nulidad de la disposición adicional decimocuarta del texto refundido de las Leyes de ordenación del territorio de Canarias y de espacios naturales de Canarias, aprobado por Decreto Legislativo 1/2000, de 8 de mayo, en la redacción dada por el art. 2 de la Ley canaria 7/2009, de 6 de mayo, sobre declaración y ordenación de áreas urbanas en el litoral canario. Esta resolución, tiene el valor de cosa juzgada y plenos efectos frente a todos, tal y como se establece en los arts. 164.1 CE y 38.1 de la Ley Orgánica del Tribunal Constitucional, a partir del día siguiente de su publicación en el “Boletín Oficial del Estado”.</w:t>
      </w:r>
    </w:p>
    <w:p w:rsidR="00B85568" w:rsidRDefault="00B85568" w:rsidP="00B85568">
      <w:pPr>
        <w:pStyle w:val="TextoNormal"/>
      </w:pPr>
    </w:p>
    <w:p w:rsidR="00B85568" w:rsidRDefault="00B85568" w:rsidP="00B85568">
      <w:pPr>
        <w:pStyle w:val="TextoNormal"/>
      </w:pPr>
      <w:r>
        <w:t>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la extinción de la cuestión de inconstitucionalidad núm. 331-2014, por desaparición sobrevenida de su objeto.</w:t>
      </w:r>
    </w:p>
    <w:p w:rsidR="00B85568" w:rsidRDefault="00B85568" w:rsidP="00B85568">
      <w:pPr>
        <w:pStyle w:val="TextoNormal"/>
      </w:pPr>
    </w:p>
    <w:p w:rsidR="00B85568" w:rsidRDefault="00B85568" w:rsidP="00B85568">
      <w:pPr>
        <w:pStyle w:val="TextoNormal"/>
      </w:pPr>
      <w:r>
        <w:t>Madrid, a dieciséis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79" w:name="AUTO_2015_29"/>
      <w:r>
        <w:t>AUTO 29/2015, de 16 de febrero de 2015</w:t>
      </w:r>
    </w:p>
    <w:bookmarkEnd w:id="179"/>
    <w:p w:rsidR="00B85568" w:rsidRDefault="00B85568" w:rsidP="00B85568">
      <w:pPr>
        <w:pStyle w:val="TtuloResolucin"/>
      </w:pPr>
      <w:r>
        <w:t>Sala Segunda</w:t>
      </w:r>
    </w:p>
    <w:p w:rsidR="00B85568" w:rsidRDefault="00B85568" w:rsidP="00B85568">
      <w:pPr>
        <w:pStyle w:val="TextoNormalCentrado"/>
      </w:pPr>
      <w:r>
        <w:t>ECLI:ES:TC:2015:29A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Deniega la suspensión en el recurso de amparo 1040-2014 y acuerda la anotación preventiva de la demanda de amparo en el Registro de la Propiedad, promovido por Secciones Mobiliarias, S.L., en pleito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registrado en este Tribunal el día 21 de febrero de 2014, el Procurador de los Tribunales don Víctor Enrique Mardomingo Herrero, en nombre y representación de la entidad Secciones Mobiliarias, S.L., interpuso demanda de amparo contra el Auto de fecha 30 de diciembre de 2013, dictado por la Audiencia Provincial de Valencia (Sección Undécima), desestimatorio de la solicitud de nulidad de actuaciones promovida contra el Auto de 26 de julio de 2013, dictado por el mismo órgano judicial en el rollo núm. 707-2012 que, a su vez, había rechazado el recurso de apelación interpuesto contra el Auto de 15 de julio de 2011 del Juzgado de Primera Instancia núm. 2 de Alzira, recaído en el juicio de ordinario núm. 152-2011.</w:t>
      </w:r>
    </w:p>
    <w:p w:rsidR="00B85568" w:rsidRDefault="00B85568" w:rsidP="00B85568">
      <w:pPr>
        <w:pStyle w:val="TextoNormal"/>
      </w:pPr>
    </w:p>
    <w:p w:rsidR="00B85568" w:rsidRDefault="00B85568" w:rsidP="00B85568">
      <w:pPr>
        <w:pStyle w:val="TextoNormal"/>
      </w:pPr>
      <w:r w:rsidRPr="00B85568">
        <w:rPr>
          <w:rStyle w:val="NumeroAFNegritaCaracter"/>
        </w:rPr>
        <w:t>2</w:t>
      </w:r>
      <w:r>
        <w:t>. El recurso de amparo se funda en la vulneración del derecho a la tutela judicial efectiva (art. 24.1 CE), en su manifestación de derecho de acceso al proceso. La entidad recurrente entiende que el Auto de 15 de julio de 2011, dictado por el Juzgado de Primera Instancia núm. 2 de Alzira y confirmado en apelación por el Auto de 26 de julio de 2013 de la Audiencia Provincial de Valencia (Sección Undécima), inadmitió indebidamente la acción de retracto ejercitada por la actora, con carácter principal, en el juicio ordinario 152-2011 aplicando una causa de inadmisión —la consignación del precio de compraventa— ajena a la regulación procesal aplicable. La vulneración procedería de una confusión entre la consignación o la constitución de caución —como requisito procesal para la admisión a trámite de la demanda de retracto que, de acuerdo con el art. 266.3 de la Ley de enjuiciamiento civil, sólo es exigible cuando viene expresamente impuesto por la ley o por el contrato en vigor—, y el reembolso al comprador del precio de la venta y de los gastos derivados que impone el art. 1518 del Código civil —como requisito sustantivo para el ejercicio del derecho de retracto una vez obtenida Sentencia estimatoria del mismo—. Los órganos del Poder Judicial habrían convertido el segundo precepto en óbice de admisibilidad de la demanda, impidiendo a la actora, sin cobertura legal suficiente, el acceso a los Tribunales.</w:t>
      </w:r>
    </w:p>
    <w:p w:rsidR="00B85568" w:rsidRDefault="00B85568" w:rsidP="00B85568">
      <w:pPr>
        <w:pStyle w:val="TextoNormal"/>
      </w:pPr>
    </w:p>
    <w:p w:rsidR="00B85568" w:rsidRDefault="00B85568" w:rsidP="00B85568">
      <w:pPr>
        <w:pStyle w:val="TextoNormal"/>
      </w:pPr>
      <w:r w:rsidRPr="00B85568">
        <w:rPr>
          <w:rStyle w:val="NumeroAFNegritaCaracter"/>
        </w:rPr>
        <w:t>3</w:t>
      </w:r>
      <w:r>
        <w:t>. La Sala Segunda de este Tribunal, por sendas providencias de 18 de diciembre de 2014, acordó, respectivamente, la admisión a trámite de la demanda de amparo y la formación de pieza separada para la tramitación del incidente sobre la suspensión, dando al recurrente y al Ministerio Fiscal un plazo común de tres días para que alegasen lo que estimasen pertinente sobre la medida cautelar interesada.</w:t>
      </w:r>
    </w:p>
    <w:p w:rsidR="00B85568" w:rsidRDefault="00B85568" w:rsidP="00B85568">
      <w:pPr>
        <w:pStyle w:val="TextoNormal"/>
      </w:pPr>
    </w:p>
    <w:p w:rsidR="00B85568" w:rsidRDefault="00B85568" w:rsidP="00B85568">
      <w:pPr>
        <w:pStyle w:val="TextoNormal"/>
      </w:pPr>
      <w:r w:rsidRPr="00B85568">
        <w:rPr>
          <w:rStyle w:val="NumeroAFNegritaCaracter"/>
        </w:rPr>
        <w:t>4</w:t>
      </w:r>
      <w:r>
        <w:t>. El 30 de diciembre de 2014 la entidad recurrente presentó en el Registro General de este Tribunal su escrito de alegaciones, en el que insiste en la necesidad de la suspensión de las resoluciones impugnadas para evitar que una eventual desestimación de la pretensión subsidiaria —relativa a la vigencia y exigibilidad del contrato de arrendamiento— le genere perjuicios económicos que estima “muy elevados”.</w:t>
      </w:r>
    </w:p>
    <w:p w:rsidR="00B85568" w:rsidRDefault="00B85568" w:rsidP="00B85568">
      <w:pPr>
        <w:pStyle w:val="TextoNormal"/>
      </w:pPr>
    </w:p>
    <w:p w:rsidR="00B85568" w:rsidRDefault="00B85568" w:rsidP="00B85568">
      <w:pPr>
        <w:pStyle w:val="TextoNormal"/>
      </w:pPr>
      <w:r w:rsidRPr="00B85568">
        <w:rPr>
          <w:rStyle w:val="NumeroAFNegritaCaracter"/>
        </w:rPr>
        <w:t>5</w:t>
      </w:r>
      <w:r>
        <w:t>. Por escrito registrado en este Tribunal el día 20 de enero de 2015, el Ministerio Fiscal presentó sus alegaciones, oponiéndose a la suspensión solicitada. A estos efectos, el Ministerio Fiscal argumenta, de un lado, que las resoluciones impugnadas tienen un contenido meramente negativo. Entiende, por otro lado, que la entidad recurrente no ha justificado adecuadamente la existencia de perjuicios concretos y reales, de naturaleza irreparable, limitándose a “invocar unos hipotéticos y genéricos perjuicios económicos, que afirma de valor incalculable, sin concreción ni justificación alguna”. Finalmente, el Fiscal también pone de manifiesto que la denegación de la suspensión no haría perder al amparo su finalidad ya que, en caso de estimarse el recurso, el restablecimiento del derecho podría lograrse declarando la nulidad de la decisión recurrida, así como de las posteriores, y la retroacción de las actuaciones. No obstante, el Fiscal interesa que, en lugar de la suspensión interesada, se acuerde la anotación preventiva de la demanda de amparo en el Registro de la Propiedad, a efectos de preservar el derecho de retracto ejercitado por la sociedad demandante.</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El mismo precepto dispone, como limitación a esa facultad, que la suspensión no debe ocasionar “perturbación grave a un interés constitucionalmente protegido, ni a los derechos fundamentales o libertades públicas de otra persona”. Como ha señalado este Tribunal, la acreditación del perjuicio es carga del recurrente, que debe concretarlo suficientemente, así como justificar o argumentar razonadamente la irreparabilidad del mismo. En este sentido, “el perjuicio irreparable debe ser real, sin que sea posible alegar un perjuicio futuro o hipotético o un simple temor” (ATC 250/2013, de 4 de noviembre, FJ 1).</w:t>
      </w:r>
    </w:p>
    <w:p w:rsidR="00B85568" w:rsidRDefault="00B85568" w:rsidP="00B85568">
      <w:pPr>
        <w:pStyle w:val="TextoNormal"/>
      </w:pPr>
    </w:p>
    <w:p w:rsidR="00B85568" w:rsidRDefault="00B85568" w:rsidP="00B85568">
      <w:pPr>
        <w:pStyle w:val="TextoNormal"/>
      </w:pPr>
      <w:r w:rsidRPr="00B85568">
        <w:rPr>
          <w:rStyle w:val="NumeroAFNegritaCaracter"/>
        </w:rPr>
        <w:t>2</w:t>
      </w:r>
      <w:r>
        <w:t>. En el presente caso la recurrente solicita la suspensión de las decisiones judiciales que condujeron a la inadmisión de la acción principal de retracto ejercitada en el juicio ordinario 152-2011, petición a la que no puede accederse por los siguientes motivos:</w:t>
      </w:r>
    </w:p>
    <w:p w:rsidR="00B85568" w:rsidRDefault="00B85568" w:rsidP="00B85568">
      <w:pPr>
        <w:pStyle w:val="TextoNormal"/>
      </w:pPr>
    </w:p>
    <w:p w:rsidR="00B85568" w:rsidRDefault="00B85568" w:rsidP="00B85568">
      <w:pPr>
        <w:pStyle w:val="TextoNormal"/>
      </w:pPr>
      <w:r>
        <w:t>a) Se trata de una decisión que, por su contenido negativo, no es susceptible de suspensión ya que, según viene reiterando este Tribunal, la suspensión equivale en estos supuestos al adelantamiento de un eventual fallo estimatorio.</w:t>
      </w:r>
    </w:p>
    <w:p w:rsidR="00B85568" w:rsidRDefault="00B85568" w:rsidP="00B85568">
      <w:pPr>
        <w:pStyle w:val="TextoNormal"/>
      </w:pPr>
    </w:p>
    <w:p w:rsidR="00B85568" w:rsidRDefault="00B85568" w:rsidP="00B85568">
      <w:pPr>
        <w:pStyle w:val="TextoNormal"/>
      </w:pPr>
      <w:r>
        <w:t>b) La recurrente no ha cumplido con la carga que le incumbe de justificar y argumentar razonadamente los concretos perjuicios y su carácter irreparable. En este sentido, los perjuicios invocados por la actora: (i) son genéricos pues la recurrente se limita a calificarlos de “muy elevados”, (ii) son hipotéticos, ya que se supeditan a la desestimación de la acción subsidiaria que, para la declaración de la vigencia y exigibilidad del arrendamiento, se halla pendiente de resolución ante el Juzgado de Primera Instancia; (iii) son de naturaleza económica, tipología de perjuicio de la que no puede deducirse, como línea de principio, la imposibilidad de reparación posterior.</w:t>
      </w:r>
    </w:p>
    <w:p w:rsidR="00B85568" w:rsidRDefault="00B85568" w:rsidP="00B85568">
      <w:pPr>
        <w:pStyle w:val="TextoNormal"/>
      </w:pPr>
    </w:p>
    <w:p w:rsidR="00B85568" w:rsidRDefault="00B85568" w:rsidP="00B85568">
      <w:pPr>
        <w:pStyle w:val="TextoNormal"/>
      </w:pPr>
      <w:r>
        <w:t>c) La denegación de la suspensión no es susceptible de hacer perder al amparo su finalidad ya que, en caso de estimarse el presente recurso, el restablecimiento pleno del derecho de la recurrente podría lograrse declarando la nulidad de las resoluciones y la retroacción de las actuaciones, siendo ésta precisamente la tutela que la actora solicita del Tribunal en el suplico de su demanda.</w:t>
      </w:r>
    </w:p>
    <w:p w:rsidR="00B85568" w:rsidRDefault="00B85568" w:rsidP="00B85568">
      <w:pPr>
        <w:pStyle w:val="TextoNormal"/>
      </w:pPr>
    </w:p>
    <w:p w:rsidR="00B85568" w:rsidRDefault="00B85568" w:rsidP="00B85568">
      <w:pPr>
        <w:pStyle w:val="TextoNormal"/>
      </w:pPr>
      <w:r>
        <w:t>La petición efectuada por la actora ha de ser, por tanto, denegada.</w:t>
      </w:r>
    </w:p>
    <w:p w:rsidR="00B85568" w:rsidRDefault="00B85568" w:rsidP="00B85568">
      <w:pPr>
        <w:pStyle w:val="TextoNormal"/>
      </w:pPr>
    </w:p>
    <w:p w:rsidR="00B85568" w:rsidRDefault="00B85568" w:rsidP="00B85568">
      <w:pPr>
        <w:pStyle w:val="TextoNormal"/>
      </w:pPr>
      <w:r w:rsidRPr="00B85568">
        <w:rPr>
          <w:rStyle w:val="NumeroAFNegritaCaracter"/>
        </w:rPr>
        <w:t>3</w:t>
      </w:r>
      <w:r>
        <w:t>. Resta, no obstante, por resolver la petición realizada por el Ministerio Fiscal para que se proceda a la anotación preventiva de la demanda de amparo en el Registro de la Propiedad, a efectos de preservar el derecho de retracto ejercitado por la sociedad demandante.</w:t>
      </w:r>
    </w:p>
    <w:p w:rsidR="00B85568" w:rsidRDefault="00B85568" w:rsidP="00B85568">
      <w:pPr>
        <w:pStyle w:val="TextoNormal"/>
      </w:pPr>
    </w:p>
    <w:p w:rsidR="00B85568" w:rsidRDefault="00B85568" w:rsidP="00B85568">
      <w:pPr>
        <w:pStyle w:val="TextoNormal"/>
      </w:pPr>
      <w:r>
        <w:t>Debemos recordar, en primer lugar, que este Tribunal ha venido admitiendo la adopción de otras medidas cautelares distintas de la suspensión del acto o resolución impugnados prevista en el art. 56 LOTC, posibilidad que hoy le concede abiertamente el apartado tercero del referido precepto. En particular, en el marco de una interpretación finalista de esta norma, hemos admitido la posibilidad de acordar la anotación preventiva de la demanda de amparo, como medida cautelar que “anuncia la pendencia de un proceso cuya decisión final puede implicar la ineficacia o inoperancia jurídica de los títulos inscritos con posterioridad, en el caso de que se demande en un proceso judicial la propiedad o la constitución, declaración, modificación o extinción de cualquier otro derecho real sobre un bien inmueble” (AATC 81/1995, de 6 de marzo, 114/1996, de 30 de abril, 307/1999, de 13 de diciembre, 162/2003, de 19 de mayo, y 406/2003, de 15 de diciembre, entre otros).</w:t>
      </w:r>
    </w:p>
    <w:p w:rsidR="00B85568" w:rsidRDefault="00B85568" w:rsidP="00B85568">
      <w:pPr>
        <w:pStyle w:val="TextoNormal"/>
      </w:pPr>
    </w:p>
    <w:p w:rsidR="00B85568" w:rsidRDefault="00B85568" w:rsidP="00B85568">
      <w:pPr>
        <w:pStyle w:val="TextoNormal"/>
      </w:pPr>
      <w:r>
        <w:t>Al respecto ya señalamos en el ATC 81/1995, de 6 de marzo, que “la declaración de nulidad del acto o resolución judicial que haya impedido el pleno ejercicio de los derechos o libertades protegidos, es uno de los pronunciamientos que puede contener la Sentencia que otorgue el amparo [art. 55.1 a) LOTC] y, por ello, la Sentencia recaída en un recurso de amparo puede producir los mismos efectos de anulación o destructores de eficacia jurídica sobre los títulos inscritos en el Registro de la Propiedad que las resoluciones judiciales, razón por la cual deben entenderse incluidas también las hipótesis de demandas de amparo en el supuesto del art. 42.1 de la Ley hipotecaria, que si no se mencionan es simplemente porque en la época en que se redactó el precepto no existía la jurisdicción constitucional. Interpretación a la que, por otra parte, se llega, sin dificultad, atendiendo al espíritu y finalidad de la norma y a la nueva realidad social y jurídica que resulta de la existencia del Tribunal Constitucional, conforme a los criterios hermenéuticos del art. 3.1 del Código civil”.</w:t>
      </w:r>
    </w:p>
    <w:p w:rsidR="00B85568" w:rsidRDefault="00B85568" w:rsidP="00B85568">
      <w:pPr>
        <w:pStyle w:val="TextoNormal"/>
      </w:pPr>
    </w:p>
    <w:p w:rsidR="00B85568" w:rsidRDefault="00B85568" w:rsidP="00B85568">
      <w:pPr>
        <w:pStyle w:val="TextoNormal"/>
      </w:pPr>
      <w:r>
        <w:t>De acuerdo con estos criterios, este Tribunal ha acordado en ocasiones anteriores, con la finalidad de asegurar que la publicidad registral “preserve los derechos inscritos del demandante de amparo afectados por la vulneración del derecho fundamental objeto del proceso constitucional”, la anotación preventiva de la demanda de amparo con la finalidad de preservar un derecho de retracto que el actor no pudo hacer valer en el proceso judicial por habérsele denegado la posibilidad de acceder a los tribunales (ATC 406/2003, de 15 de diciembre).</w:t>
      </w:r>
    </w:p>
    <w:p w:rsidR="00B85568" w:rsidRDefault="00B85568" w:rsidP="00B85568">
      <w:pPr>
        <w:pStyle w:val="TextoNormal"/>
      </w:pPr>
    </w:p>
    <w:p w:rsidR="00B85568" w:rsidRDefault="00B85568" w:rsidP="00B85568">
      <w:pPr>
        <w:pStyle w:val="TextoNormal"/>
      </w:pPr>
      <w:r w:rsidRPr="00B85568">
        <w:rPr>
          <w:rStyle w:val="NumeroAFNegritaCaracter"/>
        </w:rPr>
        <w:t>4</w:t>
      </w:r>
      <w:r>
        <w:t>. De lo expuesto se infiere que la medida de anotación preventiva constituye, tal y como pone de relieve el Ministerio Fiscal, un instrumento idóneo para preservar, en casos como el que nos ocupa, la finalidad del recurso amparo armonizándola con exigencias mínimas de seguridad jurídica.</w:t>
      </w:r>
    </w:p>
    <w:p w:rsidR="00B85568" w:rsidRDefault="00B85568" w:rsidP="00B85568">
      <w:pPr>
        <w:pStyle w:val="TextoNormal"/>
      </w:pPr>
    </w:p>
    <w:p w:rsidR="00B85568" w:rsidRDefault="00B85568" w:rsidP="00B85568">
      <w:pPr>
        <w:pStyle w:val="TextoNormal"/>
      </w:pPr>
      <w:r>
        <w:t>En este sentido, a la adopción de la medida cautelar indicada no se opone que ésta no haya sido expresamente solicitada por el demandante de amparo, ya que, según hemos declarado en ocasiones precedentes, la anotación preventiva es “una medida cautelar que este Tribunal, de conformidad con el art. 56 LOTC, puede adoptar de oficio o a instancia de parte, con fundamento en el art. 42.1 de la Ley hipotecaria (AATC 274/2002, de 18 de diciembre, 257/2003, de 14 de julio, 230/2007, de 7 de mayo, FJ 3; y 415/2007, de 5 de noviembre, FJ 4) y una de cuyas finalidades es que el Registro de la Propiedad sea fiel trasunto de la realidad jurídica —en ese caso, la pendencia del presente proceso constitucional— y, por ende, un eficaz instrumento de seguridad jurídica” (ATC 213/2009, de 9 de julio, FJ 2).</w:t>
      </w:r>
    </w:p>
    <w:p w:rsidR="00B85568" w:rsidRDefault="00B85568" w:rsidP="00B85568">
      <w:pPr>
        <w:pStyle w:val="TextoNormal"/>
      </w:pPr>
    </w:p>
    <w:p w:rsidR="00B85568" w:rsidRDefault="00B85568" w:rsidP="00B85568">
      <w:pPr>
        <w:pStyle w:val="TextoNormal"/>
      </w:pPr>
      <w:r>
        <w:t>La única salvedad, a la hora de acordar la medida indicada, es que la decisión del Tribunal en esta materia se limite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266/1993; 247/1994; 114/1996; 274/2002, entre otros)” (ATC 406/2003, de 15 de diciembre, FJ único).</w:t>
      </w:r>
    </w:p>
    <w:p w:rsidR="00B85568" w:rsidRDefault="00B85568" w:rsidP="00B85568">
      <w:pPr>
        <w:pStyle w:val="TextoNormal"/>
      </w:pPr>
    </w:p>
    <w:p w:rsidR="00B85568" w:rsidRDefault="00B85568" w:rsidP="00B85568">
      <w:pPr>
        <w:pStyle w:val="TextoNormal"/>
      </w:pPr>
      <w:r>
        <w:t>Con esta sola prevención, debemos acordar la anotación preventiva de la demanda de amparo en el Registro de la Propiedad, tal y como interesa el Ministerio Fiscal en su escrito de alegaciones.</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Denegar la suspensión solicitada.</w:t>
      </w:r>
    </w:p>
    <w:p w:rsidR="00B85568" w:rsidRDefault="00B85568" w:rsidP="00B85568">
      <w:pPr>
        <w:pStyle w:val="TextoNormal"/>
      </w:pPr>
    </w:p>
    <w:p w:rsidR="00B85568" w:rsidRDefault="00B85568" w:rsidP="00B85568">
      <w:pPr>
        <w:pStyle w:val="TextoNormal"/>
      </w:pPr>
      <w:r>
        <w:t>2º Acordar la anotación preventiva de la demanda de amparo en el Registro de la Propiedad, a cuyo efecto el Juzgado de Primera Instancia núm. 2 de Alzira realizará las actuaciones oportunas de acuerdo con la legislación procesal e hipotecaria.</w:t>
      </w:r>
    </w:p>
    <w:p w:rsidR="00B85568" w:rsidRDefault="00B85568" w:rsidP="00B85568">
      <w:pPr>
        <w:pStyle w:val="TextoNormal"/>
      </w:pPr>
    </w:p>
    <w:p w:rsidR="00B85568" w:rsidRDefault="00B85568" w:rsidP="00B85568">
      <w:pPr>
        <w:pStyle w:val="TextoNormal"/>
      </w:pPr>
      <w:r>
        <w:t>Madrid, a dieciséis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0" w:name="AUTO_2015_30"/>
      <w:r>
        <w:t>AUTO 30/2015, de 16 de febrero de 2015</w:t>
      </w:r>
    </w:p>
    <w:bookmarkEnd w:id="180"/>
    <w:p w:rsidR="00B85568" w:rsidRDefault="00B85568" w:rsidP="00B85568">
      <w:pPr>
        <w:pStyle w:val="TtuloResolucin"/>
      </w:pPr>
      <w:r>
        <w:t>Sección Segunda</w:t>
      </w:r>
    </w:p>
    <w:p w:rsidR="00B85568" w:rsidRDefault="00B85568" w:rsidP="00B85568">
      <w:pPr>
        <w:pStyle w:val="TextoNormalCentrado"/>
      </w:pPr>
      <w:r>
        <w:t>ECLI:ES:TC:2015:30A</w:t>
      </w:r>
    </w:p>
    <w:p w:rsidR="00B85568" w:rsidRDefault="00B85568" w:rsidP="00B85568">
      <w:pPr>
        <w:pStyle w:val="TextoNormalCentrado"/>
      </w:pPr>
    </w:p>
    <w:p w:rsidR="00B85568" w:rsidRDefault="00B85568" w:rsidP="00B85568">
      <w:pPr>
        <w:pStyle w:val="SntesisDescriptiva"/>
      </w:pPr>
      <w:r>
        <w:t>Excms. Srs. don Luis Ignacio Ortega Álvarez,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81" w:name="AUTO_2015_31"/>
      <w:r>
        <w:t>AUTO 31/2015, de 16 de febrero de 2015</w:t>
      </w:r>
    </w:p>
    <w:bookmarkEnd w:id="181"/>
    <w:p w:rsidR="00B85568" w:rsidRDefault="00B85568" w:rsidP="00B85568">
      <w:pPr>
        <w:pStyle w:val="TtuloResolucin"/>
      </w:pPr>
      <w:r>
        <w:t>Sección Segunda</w:t>
      </w:r>
    </w:p>
    <w:p w:rsidR="00B85568" w:rsidRDefault="00B85568" w:rsidP="00B85568">
      <w:pPr>
        <w:pStyle w:val="TextoNormalCentrado"/>
      </w:pPr>
      <w:r>
        <w:t>ECLI:ES:TC:2015:31A</w:t>
      </w:r>
    </w:p>
    <w:p w:rsidR="00B85568" w:rsidRDefault="00B85568" w:rsidP="00B85568">
      <w:pPr>
        <w:pStyle w:val="TextoNormalCentrado"/>
      </w:pPr>
    </w:p>
    <w:p w:rsidR="00B85568" w:rsidRDefault="00B85568" w:rsidP="00B85568">
      <w:pPr>
        <w:pStyle w:val="SntesisDescriptiva"/>
      </w:pPr>
      <w:r>
        <w:t>Excms. Srs. don Luis Ignacio Ortega Álvarez, don Andrés Ollero Tassara y don Santiago Martínez-Vares García.</w:t>
      </w:r>
    </w:p>
    <w:p w:rsidR="00B85568" w:rsidRDefault="00B85568" w:rsidP="00B85568">
      <w:pPr>
        <w:pStyle w:val="SntesisDescriptiva"/>
      </w:pPr>
    </w:p>
    <w:p w:rsidR="00B85568" w:rsidRDefault="00B85568" w:rsidP="00B85568">
      <w:pPr>
        <w:pStyle w:val="SntesisDescriptiva"/>
      </w:pPr>
      <w:r>
        <w:t>Estima el recurso de súplica del Ministerio Fiscal sobre inadmisión del recurso de amparo 4529-2014, promovido por don Joan Nogué i Canals en pleito civil, e inadmite a trámite el recurso de amparo 4529-2014 por insuficiente justificación de la especial trascendencia constitucional.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9 de julio de 2014, el Procurador de los Tribunales don Ivo Luis Figueroa Alegre, en nombre y representación de don Joan Nogué Canals, defendido por el Letrado don Jordi Flores Soler, designado por el turno de oficio, interpuso demanda de amparo contra el Auto de la Sección Primera de la Audiencia Provincial de Barcelona de 5 de mayo de 2014 dictado en el rollo de apelación núm. 141-2014 por vulneración del derecho fundamental a la tutela judicial efectiva (art. 24.1 CE).</w:t>
      </w:r>
    </w:p>
    <w:p w:rsidR="00B85568" w:rsidRDefault="00B85568" w:rsidP="00B85568">
      <w:pPr>
        <w:pStyle w:val="TextoNormal"/>
      </w:pPr>
    </w:p>
    <w:p w:rsidR="00B85568" w:rsidRDefault="00B85568" w:rsidP="00B85568">
      <w:pPr>
        <w:pStyle w:val="TextoNormal"/>
      </w:pPr>
      <w:r w:rsidRPr="00B85568">
        <w:rPr>
          <w:rStyle w:val="NumeroAFNegritaCaracter"/>
        </w:rPr>
        <w:t>2</w:t>
      </w:r>
      <w:r>
        <w:t>. La Sección Segunda de este Tribunal, por providencia de 22 de septiembre de 2014, declaró la inadmisión del recurso de amparo por extemporaneidad [arts. 50.1 a) y 44.2 de la Ley Orgánica del Tribunal Constitucional].</w:t>
      </w:r>
    </w:p>
    <w:p w:rsidR="00B85568" w:rsidRDefault="00B85568" w:rsidP="00B85568">
      <w:pPr>
        <w:pStyle w:val="TextoNormal"/>
      </w:pPr>
    </w:p>
    <w:p w:rsidR="00B85568" w:rsidRDefault="00B85568" w:rsidP="00B85568">
      <w:pPr>
        <w:pStyle w:val="TextoNormal"/>
      </w:pPr>
      <w:r w:rsidRPr="00B85568">
        <w:rPr>
          <w:rStyle w:val="NumeroAFNegritaCaracter"/>
        </w:rPr>
        <w:t>3</w:t>
      </w:r>
      <w:r>
        <w:t xml:space="preserve">. El Ministerio Fiscal, por escrito registrado en este Tribunal el 13 de octubre de 2014, interpuso recurso de súplica contra la referida providencia por entender que los antecedentes aportados por el recurrente en amparo no permiten constatar con carácter fehaciente la fecha de la notificación del Auto impugnado ni, por tanto, determinar si la demanda de amparo se presentó tempestivamente. El demandante de amparo incurrió en un error material evidente al identificar la fecha de la notificación del referido Auto de 5 de mayo de 2014 con el 27 de octubre de 2010. De la documentación aportada resultan dos posibles fechas, pues dos son los las copias simples del indicado Auto que se adjuntan; en una consta como día de la notificación el 9 de mayo y en otra el 13 de junio del 2014. Computado el plazo de interposición del recurso de amparo desde el 9 de mayo, la demanda habría incurrido efectivamente en extemporaneidad, pero no si el </w:t>
      </w:r>
      <w:r w:rsidRPr="00B85568">
        <w:rPr>
          <w:i/>
        </w:rPr>
        <w:t>dies a quo</w:t>
      </w:r>
      <w:r>
        <w:t xml:space="preserve"> se lleva al 13 de junio. Ocurre que la primera copia simple aportada en la que consta el 9 de mayo como fecha de notificación es incompleta; reproduce sólo algunas páginas del Auto impugnado. Por ello pide que se deje sin efecto la providencia de inadmisión del recurso de amparo y que se solicite a la Sección Primera de la Audiencia Provincial de Barcelona certificación de la fecha exacta de la notificación del Auto de 5 de mayo de 2014.</w:t>
      </w:r>
    </w:p>
    <w:p w:rsidR="00B85568" w:rsidRDefault="00B85568" w:rsidP="00B85568">
      <w:pPr>
        <w:pStyle w:val="TextoNormal"/>
      </w:pPr>
    </w:p>
    <w:p w:rsidR="00B85568" w:rsidRDefault="00B85568" w:rsidP="00B85568">
      <w:pPr>
        <w:pStyle w:val="TextoNormal"/>
      </w:pPr>
      <w:r w:rsidRPr="00B85568">
        <w:rPr>
          <w:rStyle w:val="NumeroAFNegritaCaracter"/>
        </w:rPr>
        <w:t>4</w:t>
      </w:r>
      <w:r>
        <w:t>. Por diligencia de ordenación de 15 de octubre de 2014, el Secretario de Justicia de la Sección Segunda del Tribunal Constitucional tuvo por recibido el precedente escrito del Ministerio Fiscal, ordenando su traslado en el plazo de cinco días al Abogado del recurrente en amparo para que alegase lo que estimase pertinente y solicitando a la Sección Primera de la Audiencia Provincial de Barcelona certificación de la fecha de notificación del Auto de 5 de mayo de 2014.</w:t>
      </w:r>
    </w:p>
    <w:p w:rsidR="00B85568" w:rsidRDefault="00B85568" w:rsidP="00B85568">
      <w:pPr>
        <w:pStyle w:val="TextoNormal"/>
      </w:pPr>
    </w:p>
    <w:p w:rsidR="00B85568" w:rsidRDefault="00B85568" w:rsidP="00B85568">
      <w:pPr>
        <w:pStyle w:val="TextoNormal"/>
      </w:pPr>
      <w:r w:rsidRPr="00B85568">
        <w:rPr>
          <w:rStyle w:val="NumeroAFNegritaCaracter"/>
        </w:rPr>
        <w:t>5</w:t>
      </w:r>
      <w:r>
        <w:t>. El 28 de octubre de 2014 tuvo entrada en el Registro General del Tribunal Constitucional escrito del demandante de amparo, que solicita la estimación del recurso de súplica interpuesto por el Ministerio Fiscal. Admite que la demanda de amparo identificó incorrectamente la fecha de la notificación del Auto impugnado tanto en el encabezamiento (donde figura el 16 de junio de 2014) como en sus fundamentos (que hace referencia al 27 de octubre de 2010) y que ello ha podido confundir a la Sección, conduciéndola a adoptar la providencia de inadmisión por extemporaneidad simple. Afirma que, tras la notificación incompleta del Auto producida el 9 de mayo de 2014, solicitó el 10 de junio la práctica de nueva notificación. A resultas de tal solicitud, el indicado Auto le fue notificado ya de modo completo el día 13 de junio de 2014, que es, por tanto, la fecha que debe tomarse en consideración a los efectos del recurso de amparo. Solicita, en consecuencia, que se tenga por corregida la demanda de amparo en este punto y, por tanto, que se entienda que el 13 de junio de 2014 era la fecha de referencia para interponer el recurso de amparo. Computado el plazo de treinta días para acudir ante el Tribunal Constitucional a partir de entonces, debe entenderse que la demanda de amparo se presentó tempestivamente, tal como razona el Ministerio Fiscal.</w:t>
      </w:r>
    </w:p>
    <w:p w:rsidR="00B85568" w:rsidRDefault="00B85568" w:rsidP="00B85568">
      <w:pPr>
        <w:pStyle w:val="TextoNormal"/>
      </w:pPr>
    </w:p>
    <w:p w:rsidR="00B85568" w:rsidRDefault="00B85568" w:rsidP="00B85568">
      <w:pPr>
        <w:pStyle w:val="TextoNormal"/>
      </w:pPr>
      <w:r w:rsidRPr="00B85568">
        <w:rPr>
          <w:rStyle w:val="NumeroAFNegritaCaracter"/>
        </w:rPr>
        <w:t>6</w:t>
      </w:r>
      <w:r>
        <w:t>. La Sección Primera de la Audiencia Provincial de Barcelona, en cumplimiento de lo solicitado por este Tribunal, remitió el 31 de octubre de 2014 la certificación interesada, donde consta el 13 de junio de 2014 como fecha de la notificación al procurador don Ivo Luis Figueroa Alegre del Auto de 5 de mayo de 2014.</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A la vista de las alegaciones del Ministerio Fiscal, de las correcciones y aclaraciones ofrecidas por el demandante de amparo y de la certificación emitida por la Sección Primera Audiencia Provincial de Barcelona, resulta que el recurso de amparo interpuesto contra el Auto de 5 de mayo de 2014 de la indicada Sección no es extemporáneo. El recurso de amparo tuvo entrada en el Registro General del Tribunal Constitucional el 9 de julio de 2014, es decir, dentro del plazo de treinta días contado desde el 13 de junio de 2014, que es la fecha en que resultó correctamente notificado el Auto impugnado.</w:t>
      </w:r>
    </w:p>
    <w:p w:rsidR="00B85568" w:rsidRDefault="00B85568" w:rsidP="00B85568">
      <w:pPr>
        <w:pStyle w:val="TextoNormal"/>
      </w:pPr>
    </w:p>
    <w:p w:rsidR="00B85568" w:rsidRDefault="00B85568" w:rsidP="00B85568">
      <w:pPr>
        <w:pStyle w:val="TextoNormal"/>
      </w:pPr>
      <w:r>
        <w:t>Procede, en consecuencia, estimar el recurso de súplica interpuesto por el Ministerio Fiscal y dejar sin efecto la providencia de 22 de septiembre de 2014.</w:t>
      </w:r>
    </w:p>
    <w:p w:rsidR="00B85568" w:rsidRDefault="00B85568" w:rsidP="00B85568">
      <w:pPr>
        <w:pStyle w:val="TextoNormal"/>
      </w:pPr>
    </w:p>
    <w:p w:rsidR="00B85568" w:rsidRDefault="00B85568" w:rsidP="00B85568">
      <w:pPr>
        <w:pStyle w:val="TextoNormal"/>
      </w:pPr>
      <w:r w:rsidRPr="00B85568">
        <w:rPr>
          <w:rStyle w:val="NumeroAFNegritaCaracter"/>
        </w:rPr>
        <w:t>2</w:t>
      </w:r>
      <w:r>
        <w:t>. Razones de economía procesal pueden aconsejar que, tras examinar nuevamente la demanda de amparo, la Sección acuerde su admisión (ATC 239/2014, de 10 de octubre) o inadmisión (ATC 272/2013, de 25 de noviembre) en el propio Auto estimatorio del recurso de súplica interpuesto por el Ministerio Fiscal.</w:t>
      </w:r>
    </w:p>
    <w:p w:rsidR="00B85568" w:rsidRDefault="00B85568" w:rsidP="00B85568">
      <w:pPr>
        <w:pStyle w:val="TextoNormal"/>
      </w:pPr>
    </w:p>
    <w:p w:rsidR="00B85568" w:rsidRDefault="00B85568" w:rsidP="00B85568">
      <w:pPr>
        <w:pStyle w:val="TextoNormal"/>
      </w:pPr>
      <w:r>
        <w:t xml:space="preserve">Tras el nuevo examen de las actuaciones, esta Sección estima que sigue siendo procedente la inadmisión del recurso de amparo, dada la insuficiente justificación de la especial trascendencia constitucional del recurso (art. 49.1 de la Ley Orgánica del Tribunal Constitucional: LOTC). Quién solicite el amparo constitucional debe satisfacer necesariamente, de acuerdo con lo dispuesto en el art. 49.1 </w:t>
      </w:r>
      <w:r w:rsidRPr="00B85568">
        <w:rPr>
          <w:i/>
        </w:rPr>
        <w:t>in fine</w:t>
      </w:r>
      <w:r>
        <w:t xml:space="preserve"> LOTC, la carga de justificar en la demanda la especial trascendencia constitucional del recurso (STC 155/2009, de 25 de junio, FJ 2, citando los AATC 188/2008, de 21 de julio, 289/2008 y 290/2008, de 22 de septiembre). En el presente caso, el demandante no trasciende en su razonamiento la mera exposición de la existencia de la lesión subjetiva denunciada, sin justificar suficientemente la proyección objetiva del amparo solicitado.</w:t>
      </w:r>
    </w:p>
    <w:p w:rsidR="00B85568" w:rsidRDefault="00B85568" w:rsidP="00B85568">
      <w:pPr>
        <w:pStyle w:val="TextoNormal"/>
      </w:pPr>
    </w:p>
    <w:p w:rsidR="00B85568" w:rsidRDefault="00B85568" w:rsidP="00B85568">
      <w:pPr>
        <w:pStyle w:val="TextoNormal"/>
      </w:pPr>
      <w:r>
        <w:t>Procede, en consecuencia, inadmitir el recurso de amparo.</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Estimar el recurso de súplica interpuesto por el Ministerio Fiscal contra la providencia de 22 de septiembre de 2014.</w:t>
      </w:r>
    </w:p>
    <w:p w:rsidR="00B85568" w:rsidRDefault="00B85568" w:rsidP="00B85568">
      <w:pPr>
        <w:pStyle w:val="TextoNormal"/>
      </w:pPr>
    </w:p>
    <w:p w:rsidR="00B85568" w:rsidRDefault="00B85568" w:rsidP="00B85568">
      <w:pPr>
        <w:pStyle w:val="TextoNormal"/>
      </w:pPr>
      <w:r>
        <w:t>2º Inadmitir el recurso de amparo núm. 4529-2014 por insuficiente justificación de la especial trascendencia constitucional [arts. 49.1 y 50.1 a) LOTC].</w:t>
      </w:r>
    </w:p>
    <w:p w:rsidR="00B85568" w:rsidRDefault="00B85568" w:rsidP="00B85568">
      <w:pPr>
        <w:pStyle w:val="TextoNormal"/>
      </w:pPr>
    </w:p>
    <w:p w:rsidR="00B85568" w:rsidRDefault="00B85568" w:rsidP="00B85568">
      <w:pPr>
        <w:pStyle w:val="TextoNormal"/>
      </w:pPr>
      <w:r>
        <w:t>Madrid, a dieciséis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2" w:name="AUTO_2015_32"/>
      <w:r>
        <w:t>AUTO 32/2015, de 17 de febrero de 2015</w:t>
      </w:r>
    </w:p>
    <w:bookmarkEnd w:id="182"/>
    <w:p w:rsidR="00B85568" w:rsidRDefault="00B85568" w:rsidP="00B85568">
      <w:pPr>
        <w:pStyle w:val="TtuloResolucin"/>
      </w:pPr>
      <w:r>
        <w:t>Pleno</w:t>
      </w:r>
    </w:p>
    <w:p w:rsidR="00B85568" w:rsidRDefault="00B85568" w:rsidP="00B85568">
      <w:pPr>
        <w:pStyle w:val="TextoNormalCentrado"/>
      </w:pPr>
      <w:r>
        <w:t>ECLI:ES:TC:2015:32A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Mantiene la suspensión acordada en el recurso de inconstitucionalidad 7357-2013, interpuesto por el Presidente del Gobierno en relación con el artículo 1 y la disposición adicional primera de la Ley del Parlamento de Andalucía 4/2013, de 1 de octubre, de medidas para asegurar el cumplimiento de la función social de la vivienda; además, no ha lugar al recibimiento de prueba de los documentos presentados por la Junta de Andalucía. Voto particular.</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Constitucional el día 18 de diciembre de 2013, el Abogado del Estado, en nombre del Presidente del Gobierno, interpuso recurso de inconstitucionalidad contra el art. 1 de la Ley 4/2013, de 1 de octubre, de la Comunidad Autónoma de Andalucía, de medidas para asegurar el cumplimiento de la función social de la vivienda, por el que se da nueva redacción al art. 1.3 de la Ley 1/2010, de 8 de marzo, reguladora del derecho a la vivienda en Andalucía y se introducen en ella los arts. 25 y 53.1 a), y contra la disposición adicional primera de la mencionada Ley 4/2013.</w:t>
      </w:r>
    </w:p>
    <w:p w:rsidR="00B85568" w:rsidRDefault="00B85568" w:rsidP="00B85568">
      <w:pPr>
        <w:pStyle w:val="TextoNormal"/>
      </w:pPr>
    </w:p>
    <w:p w:rsidR="00B85568" w:rsidRDefault="00B85568" w:rsidP="00B85568">
      <w:pPr>
        <w:pStyle w:val="TextoNormal"/>
      </w:pPr>
      <w:r>
        <w:t>El Abogado del Estado invocó el art. 161.2 CE a fin de que se acordase la suspensión de los preceptos impugnados en el presente recurso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2</w:t>
      </w:r>
      <w:r>
        <w:t>. Por providencia de 14 de enero de 2014,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 la Junta de Andalucía y al Parlamento de Andalucía,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—18 de diciembre de 2013— para las partes del proceso y desde el día en que aparezca publicada la suspensión en el “Boletín Oficial del Estado” para los terceros, lo que se comunicó a los Presidentes de la Junta de Andalucía y del Parlamento de Andalucía. Por último, también se ordenó publicar la incoación del recurso en el “Boletín Oficial del Estado” y en el “Boletín Oficial de la Junta de Andalucía”. El recurso se publicó en el “Boletín Oficial del Estado” núm. 15, de 17 de enero de 2014.</w:t>
      </w:r>
    </w:p>
    <w:p w:rsidR="00B85568" w:rsidRDefault="00B85568" w:rsidP="00B85568">
      <w:pPr>
        <w:pStyle w:val="TextoNormal"/>
      </w:pPr>
    </w:p>
    <w:p w:rsidR="00B85568" w:rsidRDefault="00B85568" w:rsidP="00B85568">
      <w:pPr>
        <w:pStyle w:val="TextoNormal"/>
      </w:pPr>
      <w:r w:rsidRPr="00B85568">
        <w:rPr>
          <w:rStyle w:val="NumeroAFNegritaCaracter"/>
        </w:rPr>
        <w:t>3</w:t>
      </w:r>
      <w:r>
        <w:t>. El Presidente del Congreso de los Diputados, mediante escrito registrado el día 22 de enero de 2014, comunicó que la Mesa de la Cámara, en su reunión de 21 de enero, había acordado la personación en este procedimiento y el ofrecimiento de su colaboración a los efectos del art. 88.1 LOTC.</w:t>
      </w:r>
    </w:p>
    <w:p w:rsidR="00B85568" w:rsidRDefault="00B85568" w:rsidP="00B85568">
      <w:pPr>
        <w:pStyle w:val="TextoNormal"/>
      </w:pPr>
    </w:p>
    <w:p w:rsidR="00B85568" w:rsidRDefault="00B85568" w:rsidP="00B85568">
      <w:pPr>
        <w:pStyle w:val="TextoNormal"/>
      </w:pPr>
      <w:r w:rsidRPr="00B85568">
        <w:rPr>
          <w:rStyle w:val="NumeroAFNegritaCaracter"/>
        </w:rPr>
        <w:t>4</w:t>
      </w:r>
      <w:r>
        <w:t>. Por escrito registrado el día 24 de enero de 2014, la Letrada de la Junta de Andalucía solicitó que se tuviera por personada a la Junta de Andalucía y la ampliación del plazo para formular el escrito de alegaciones. El 27 de enero de 2014, el Pleno del Tribunal Constitucional acordó incorporar a las actuaciones el escrito de la Letrada, tener por personada a la Junta de Andalucía y prorrogar en ocho días el plazo concedido por la providencia de 14 de enero de 2014, a contar desde el día siguiente al de expiración del plazo ordinario.</w:t>
      </w:r>
    </w:p>
    <w:p w:rsidR="00B85568" w:rsidRDefault="00B85568" w:rsidP="00B85568">
      <w:pPr>
        <w:pStyle w:val="TextoNormal"/>
      </w:pPr>
    </w:p>
    <w:p w:rsidR="00B85568" w:rsidRDefault="00B85568" w:rsidP="00B85568">
      <w:pPr>
        <w:pStyle w:val="TextoNormal"/>
      </w:pPr>
      <w:r w:rsidRPr="00B85568">
        <w:rPr>
          <w:rStyle w:val="NumeroAFNegritaCaracter"/>
        </w:rPr>
        <w:t>5</w:t>
      </w:r>
      <w:r>
        <w:t>. Por escrito registrado el día 30 de enero de 2014, la Letrada del Parlamento de Andalucía solicitó que se tuviera por personada al Parlamento de Andalucía y la ampliación del plazo para formular el escrito de alegaciones. El 3 de febrero de 2014 el Pleno del Tribunal Constitucional acordó incorporar a las actuaciones el escrito de la Letrada, tener por personado al Parlamento de Andalucía y prorrogar en ocho días el plazo concedido por la providencia de 14 de enero de 2014, a contar desde el día siguiente al de expiración del plazo ordinario.</w:t>
      </w:r>
    </w:p>
    <w:p w:rsidR="00B85568" w:rsidRDefault="00B85568" w:rsidP="00B85568">
      <w:pPr>
        <w:pStyle w:val="TextoNormal"/>
      </w:pPr>
    </w:p>
    <w:p w:rsidR="00B85568" w:rsidRDefault="00B85568" w:rsidP="00B85568">
      <w:pPr>
        <w:pStyle w:val="TextoNormal"/>
      </w:pPr>
      <w:r w:rsidRPr="00B85568">
        <w:rPr>
          <w:rStyle w:val="NumeroAFNegritaCaracter"/>
        </w:rPr>
        <w:t>6</w:t>
      </w:r>
      <w:r>
        <w:t>. Mediante escrito registrado el día 18 de febrero de 2014, la Letrada de la Junta de Andalucía presentó sus alegaciones interesando la desestimación del recurso de inconstitucionalidad, instando mediante otrosí el levantamiento de la suspensión de la disposición impugnada antes de que transcurriera el plazo de cinco meses previstos en la ley.</w:t>
      </w:r>
    </w:p>
    <w:p w:rsidR="00B85568" w:rsidRDefault="00B85568" w:rsidP="00B85568">
      <w:pPr>
        <w:pStyle w:val="TextoNormal"/>
      </w:pPr>
    </w:p>
    <w:p w:rsidR="00B85568" w:rsidRDefault="00B85568" w:rsidP="00B85568">
      <w:pPr>
        <w:pStyle w:val="TextoNormal"/>
      </w:pPr>
      <w:r w:rsidRPr="00B85568">
        <w:rPr>
          <w:rStyle w:val="NumeroAFNegritaCaracter"/>
        </w:rPr>
        <w:t>7</w:t>
      </w:r>
      <w:r>
        <w:t>. Por escrito registrado el 24 de febrero de 2014, la Letrada del Parlamento de Andalucía presentó alegaciones interesando la desestimación del recurso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8</w:t>
      </w:r>
      <w:r>
        <w:t>. Por acuerdo del Pleno de 27 de febrero de 2014, se concedió a las partes un plazo de cinco días para exponer lo que consideraren conveniente acerca del mantenimiento o levantamiento de la suspensión acordada.</w:t>
      </w:r>
    </w:p>
    <w:p w:rsidR="00B85568" w:rsidRDefault="00B85568" w:rsidP="00B85568">
      <w:pPr>
        <w:pStyle w:val="TextoNormal"/>
      </w:pPr>
    </w:p>
    <w:p w:rsidR="00B85568" w:rsidRDefault="00B85568" w:rsidP="00B85568">
      <w:pPr>
        <w:pStyle w:val="TextoNormal"/>
      </w:pPr>
      <w:r w:rsidRPr="00B85568">
        <w:rPr>
          <w:rStyle w:val="NumeroAFNegritaCaracter"/>
        </w:rPr>
        <w:t>9</w:t>
      </w:r>
      <w:r>
        <w:t>. Por escrito registrado el día 5 de marzo de 2014 la Letrada de la Junta de Andalucía solicitó de nuevo el levantamiento de la suspensión antes del transcurso del plazo de cinco meses, reiterando alegaciones similares a las ya formuladas al respecto en el escrito de oposición al recurso.</w:t>
      </w:r>
    </w:p>
    <w:p w:rsidR="00B85568" w:rsidRDefault="00B85568" w:rsidP="00B85568">
      <w:pPr>
        <w:pStyle w:val="TextoNormal"/>
      </w:pPr>
    </w:p>
    <w:p w:rsidR="00B85568" w:rsidRDefault="00B85568" w:rsidP="00B85568">
      <w:pPr>
        <w:pStyle w:val="TextoNormal"/>
      </w:pPr>
      <w:r w:rsidRPr="00B85568">
        <w:rPr>
          <w:rStyle w:val="NumeroAFNegritaCaracter"/>
        </w:rPr>
        <w:t>10</w:t>
      </w:r>
      <w:r>
        <w:t>. El Abogado del Estado, con fecha 10 de marzo de 2014, evacuó el trámite conferido interesando el mantenimiento de la suspensión.</w:t>
      </w:r>
    </w:p>
    <w:p w:rsidR="00B85568" w:rsidRDefault="00B85568" w:rsidP="00B85568">
      <w:pPr>
        <w:pStyle w:val="TextoNormal"/>
      </w:pPr>
    </w:p>
    <w:p w:rsidR="00B85568" w:rsidRDefault="00B85568" w:rsidP="00B85568">
      <w:pPr>
        <w:pStyle w:val="TextoNormal"/>
      </w:pPr>
      <w:r w:rsidRPr="00B85568">
        <w:rPr>
          <w:rStyle w:val="NumeroAFNegritaCaracter"/>
        </w:rPr>
        <w:t>11</w:t>
      </w:r>
      <w:r>
        <w:t>. La Letrada del Parlamento de Andalucía presentó sus alegaciones, que tuvieron entrada en el Registro General de este Tribunal el 14 de marzo de 2014, interesando el levantamiento de la suspensión que pesaba sobre los preceptos impugnados.</w:t>
      </w:r>
    </w:p>
    <w:p w:rsidR="00B85568" w:rsidRDefault="00B85568" w:rsidP="00B85568">
      <w:pPr>
        <w:pStyle w:val="TextoNormal"/>
      </w:pPr>
    </w:p>
    <w:p w:rsidR="00B85568" w:rsidRDefault="00B85568" w:rsidP="00B85568">
      <w:pPr>
        <w:pStyle w:val="TextoNormal"/>
      </w:pPr>
      <w:r w:rsidRPr="00B85568">
        <w:rPr>
          <w:rStyle w:val="NumeroAFNegritaCaracter"/>
        </w:rPr>
        <w:t>12</w:t>
      </w:r>
      <w:r>
        <w:t>. Mediante el ATC 115/2014, de 8 de abril, el Pleno de este Tribunal acordó mantener la suspensión del art. 1 y de la disposición adicional primera de la Ley 4/2013, de 1 de octubre, de la Comunidad Autónoma de Andalucía.</w:t>
      </w:r>
    </w:p>
    <w:p w:rsidR="00B85568" w:rsidRDefault="00B85568" w:rsidP="00B85568">
      <w:pPr>
        <w:pStyle w:val="TextoNormal"/>
      </w:pPr>
    </w:p>
    <w:p w:rsidR="00B85568" w:rsidRDefault="00B85568" w:rsidP="00B85568">
      <w:pPr>
        <w:pStyle w:val="TextoNormal"/>
      </w:pPr>
      <w:r w:rsidRPr="00B85568">
        <w:rPr>
          <w:rStyle w:val="NumeroAFNegritaCaracter"/>
        </w:rPr>
        <w:t>13</w:t>
      </w:r>
      <w:r>
        <w:t>. El día 17 de noviembre de 2014 tuvieron entrada en el Registro General del Tribunal Constitucional dos escritos de idéntica fecha (12 de noviembre de 2014) de la Letrada de la Junta de Andalucía.</w:t>
      </w:r>
    </w:p>
    <w:p w:rsidR="00B85568" w:rsidRDefault="00B85568" w:rsidP="00B85568">
      <w:pPr>
        <w:pStyle w:val="TextoNormal"/>
      </w:pPr>
    </w:p>
    <w:p w:rsidR="00B85568" w:rsidRDefault="00B85568" w:rsidP="00B85568">
      <w:pPr>
        <w:pStyle w:val="TextoNormal"/>
      </w:pPr>
      <w:r>
        <w:t>a) En uno de los escritos, que se encabeza con la mención “pieza de medidas cautelares”, se alega que, con posterioridad al ATC 115/2014, de 8 de abril, “se han obtenido nuevos datos de la SAREB que podrían haber alterado el marco fáctico y probatorio tomado en consideración por ese Tribunal Constitucional para mantener la suspensión cautelar de los preceptos de la disposición autonómica recurrida”. Tras recordar la jurisprudencia constitucional sobre la posibilidad de, a la vista del cambio de circunstancias, levantar una suspensión previamente acordada (AATC 128/1993, de 20 de abril, y 266/2013, de 19 de noviembre), aduce dos nuevas circunstancias. Por un lado, destaca que el elemento distintivo del juicio de relevancia de los perjuicios para el interés general que efectuó el ATC 115/2014, de 8 de abril, con respecto al ATC 69/2014, de 10 de marzo, que en el recurso de inconstitucionalidad núm. 6036-2013 acordó mantener la suspensión de los preceptos de la Ley Foral 24/2013, de 2 de julio, de medidas urgentes para garantizar el derecho a la vivienda en Navarra, consistió en un informe de la Sociedad de gestión de activos procedentes de la reestructuración bancaria (SAREB). En ese informe descansaba la ponderación que el Abogado del Estado realizó sobre los supuestos perjuicios que se originarían al interés general, pues aquel alegó que “el levantamiento de la suspensión podría acarrear perjuicios de muy difícil reparación por cuanto afecta de modo directo y expreso a la finalidad y actividad de SAREB, cuyo éxito es garantía de que la reestructuración de las entidades de crédito que se ha realizado en los últimos meses se realiza mediante un adecuado reparto de costes y minimizando el riesgo para los contribuyentes”. En el citado informe de la SAREB se señalaba que la ejecución de la norma autonómica podría afectar al proceso de reestructuración español por cuanto en torno a un 12 por 100 de la cartera de activos inmobiliarios de la SAREB (6.379 viviendas) se encontraban radicada en territorio andaluz, esto es, un total de 911 viviendas. Sin embargo, esa situación de hecho declarada por la SAREB no era correcta, pues en escrito de 3 de junio de 2014, que se acompaña a las alegaciones, se advierte que en territorio andaluz la SAREB es titular de solo 98 viviendas protegidas, no de 911. En opinión de la Letrada de la Junta, la considerable diferencia entre los datos aportados entonces y los que se presentan ahora confirmarían el nulo valor que puede atribuirse a dicho informe y a su toma en consideración en la adopción de la medida cautelar.</w:t>
      </w:r>
    </w:p>
    <w:p w:rsidR="00B85568" w:rsidRDefault="00B85568" w:rsidP="00B85568">
      <w:pPr>
        <w:pStyle w:val="TextoNormal"/>
      </w:pPr>
    </w:p>
    <w:p w:rsidR="00B85568" w:rsidRDefault="00B85568" w:rsidP="00B85568">
      <w:pPr>
        <w:pStyle w:val="TextoNormal"/>
      </w:pPr>
      <w:r>
        <w:t>Por otro lado, se aduce el cambio de circunstancias producidas en relación con otros informes tenidos en cuenta asimismo en el incidente cautelar relativo a la Ley navarra. Según la representación procesal de la Junta de Andalucía, los datos ofrecidos por el Banco de España en su informe de estabilidad financiera de noviembre de 2012, aportado por la Abogacía del Estado, quedaron superados ya en noviembre de 2013, pero resulta más significativa la variación producida en el último informe emitido en noviembre de 2014. En el último informe de estabilidad financiera, de noviembre de 2014, se señala lo siguiente: “En resumen, desde la publicación del último IEF se ha producido una mejoría de las condiciones de financiación en los mercados financieros nacionales. Por otra parte, el mayor dinamismo del PIB en España se está traduciendo en una recuperación del empleo. Esta evolución ha venido acompañada, además de un cierto fortalecimiento de la situación económica y financiera del sector privado no financiero” (p. 18). En suma, concluye la Letrada de la Junta, el panorama de reestructuración bancaria y financiera sigue avanzando y experimentando datos bastante positivos, hasta el punto de que la banca española ha superado los controles de calidad realizados entre agosto y septiembre de 2014 por el Banco Central Europeo con la colaboración de supervisores nacionales.</w:t>
      </w:r>
    </w:p>
    <w:p w:rsidR="00B85568" w:rsidRDefault="00B85568" w:rsidP="00B85568">
      <w:pPr>
        <w:pStyle w:val="TextoNormal"/>
      </w:pPr>
    </w:p>
    <w:p w:rsidR="00B85568" w:rsidRDefault="00B85568" w:rsidP="00B85568">
      <w:pPr>
        <w:pStyle w:val="TextoNormal"/>
      </w:pPr>
      <w:r>
        <w:t>En suma, la Letrada de la Junta considera que las circunstancias tenidas en cuenta al dictar el ATC 115/2014 han sufrido una variación que permitiría el levantamiento de la suspensión acordada. Por ello, suplica al Tribunal que tenga por presentado el escrito con los documentos que acompaña y por formuladas las alegaciones en él contenidas, para que, tras los trámites de la ley y a la vista de los nuevos datos aportados, se sirva resolver en consecuencia, acordando el levantamiento de la suspensión en su día decretada.</w:t>
      </w:r>
    </w:p>
    <w:p w:rsidR="00B85568" w:rsidRDefault="00B85568" w:rsidP="00B85568">
      <w:pPr>
        <w:pStyle w:val="TextoNormal"/>
      </w:pPr>
    </w:p>
    <w:p w:rsidR="00B85568" w:rsidRDefault="00B85568" w:rsidP="00B85568">
      <w:pPr>
        <w:pStyle w:val="TextoNormal"/>
      </w:pPr>
      <w:r>
        <w:t>b) En el segundo escrito de la Letrada de la Junta de Andalucía registrado el mismo día se alega que se ha tenido conocimiento, por documentos posteriores, de nuevos datos que podrían afectar a la resolución del presente recurso, por lo que, de conformidad con lo previsto en el art. 89 LOTC, en relación con el art. 279 de la Ley de enjuiciamiento civil (LEC), se realizan diversas alegaciones. La primera alegación se refiere a la presentación de documentos posteriores y su admisibilidad como prueba documental propuesta por dicha parte, invocando el art. 89.1 LOTC y los arts. 270 y 286.1 LEC (cuya aplicación analógica viene admitida en el ATC 288/1984, de 16 de mayo). Se indica que la prueba documental que se presenta con el escrito consiste en los escritos de la SAREB presentados ante la Administración autonómica con posterioridad al escrito de oposición al recurso de inconstitucionalidad, y el informe de estabilidad financiera del Banco de España de 2014. La segunda alegación concierne a la justificación de la prueba documental que se aporta. A este respecto, se señala, por un lado, que el primero de los documentos aportados (el escrito de la SAREB de 18 de junio de 2014) señala que la SAREB es titular en territorio andaluz de 98 viviendas protegidas, y no de 911, como señalaba en el informe en el que el Abogado del Estado sustentó los supuestos impactos que derivarían de la aplicación de la norma autonómica y su solicitud de mantenimiento de la suspensión. Y, por otro lado, se señala que el informe de estabilidad financiera elaborado por el Banco de España en noviembre de 2014, contrarresta los datos contenidos en el informe de 2012 y que se aportaron con la demanda. Por todo ello, suplica al Tribunal que tenga por presentado dicho escrito, con los documentos que acompaña, y por formuladas las alegaciones en él contenidas, para que, tras los trámites de la Ley y a la vista de los nuevos datos aportados, se sirva admitirlos y tener por propuesta y practicada la prueba documental en que consisten.</w:t>
      </w:r>
    </w:p>
    <w:p w:rsidR="00B85568" w:rsidRDefault="00B85568" w:rsidP="00B85568">
      <w:pPr>
        <w:pStyle w:val="TextoNormal"/>
      </w:pPr>
    </w:p>
    <w:p w:rsidR="00B85568" w:rsidRDefault="00B85568" w:rsidP="00B85568">
      <w:pPr>
        <w:pStyle w:val="TextoNormal"/>
      </w:pPr>
      <w:r w:rsidRPr="00B85568">
        <w:rPr>
          <w:rStyle w:val="NumeroAFNegritaCaracter"/>
        </w:rPr>
        <w:t>14</w:t>
      </w:r>
      <w:r>
        <w:t>. Por providencia de 2 de diciembre de 2014, el Pleno del Tribunal acordó incorporar a las actuaciones los escritos y documentos presentados por la Letrada de la Junta de Andalucía el 17 de noviembre de 2014, y oír al Abogado del Estado y a la representación legal del Parlamento de Andalucía, para que en el plazo de cinco días, alegasen lo que estimaren procedente, sobre la licitud del levantamiento de la suspensión de los preceptos impugnados a la vista de los nuevos datos aportados y sobre la solicitud de práctica documental de prueba.</w:t>
      </w:r>
    </w:p>
    <w:p w:rsidR="00B85568" w:rsidRDefault="00B85568" w:rsidP="00B85568">
      <w:pPr>
        <w:pStyle w:val="TextoNormal"/>
      </w:pPr>
    </w:p>
    <w:p w:rsidR="00B85568" w:rsidRDefault="00B85568" w:rsidP="00B85568">
      <w:pPr>
        <w:pStyle w:val="TextoNormal"/>
      </w:pPr>
      <w:r w:rsidRPr="00B85568">
        <w:rPr>
          <w:rStyle w:val="NumeroAFNegritaCaracter"/>
        </w:rPr>
        <w:t>15</w:t>
      </w:r>
      <w:r>
        <w:t>. Mediante escrito registro el día 11 de diciembre de 2014, el Abogado del Estado evacuó el trámite conferido interesando el mantenimiento de la suspensión, pues, en síntesis, considera que los hechos alegados por la Junta de Andalucía no modifican los presupuestos que llevaron al Tribunal a decidir sobre el mantenimiento de la suspensión en el ATC 115/2014. A continuación se exponen los argumentos del Abogado del Estado.</w:t>
      </w:r>
    </w:p>
    <w:p w:rsidR="00B85568" w:rsidRDefault="00B85568" w:rsidP="00B85568">
      <w:pPr>
        <w:pStyle w:val="TextoNormal"/>
      </w:pPr>
    </w:p>
    <w:p w:rsidR="00B85568" w:rsidRDefault="00B85568" w:rsidP="00B85568">
      <w:pPr>
        <w:pStyle w:val="TextoNormal"/>
      </w:pPr>
      <w:r>
        <w:t>En primer lugar, el Abogado del Estado aduce un nuevo informe, recabado de la SAREB y autorizado por el Ministerio de Economía y Competitividad, sobre el error expuesto por la Junta de Andalucía. Dicho informe explica las razones de la comisión del error, que se justifica en las especialidades del proceso de traspaso de las entidades cedentes que conllevaron dificultades para confeccionar un inventario. En cualquier caso, no se considera que dicho error sea trascendente en el presente caso. Por un lado, porque el número de viviendas de protección oficial titularidad de la SAREB no fue alegado en la pieza de suspensión como un criterio que acreditase perjuicios de imposible o difícil reparación. Por otro lado, porque el perjuicio que se causaría a la SAREB en el caso del levantamiento de la suspensión sigue siendo el mismo, como se acredita en el nuevo informe emitido por dicha entidad, al poner en riesgo la solvencia de la entidad y los fines públicos constitutivos de su objeto social. Por ello, se señala que, con la excusa del error en el número de viviendas protegidas, se parece soslayar el argumento principal tenido en cuenta por el Tribunal en el ATC 115/2014, que es, fundamentalmente, la situación del sistema financiero español.</w:t>
      </w:r>
    </w:p>
    <w:p w:rsidR="00B85568" w:rsidRDefault="00B85568" w:rsidP="00B85568">
      <w:pPr>
        <w:pStyle w:val="TextoNormal"/>
      </w:pPr>
    </w:p>
    <w:p w:rsidR="00B85568" w:rsidRDefault="00B85568" w:rsidP="00B85568">
      <w:pPr>
        <w:pStyle w:val="TextoNormal"/>
      </w:pPr>
      <w:r>
        <w:t>En segundo lugar, el Abogado del Estado señala que la Junta de Andalucía ya alegó en el trámite previo a la adopción del ATC 115/2014 que la situación que justificó la suspensión había sido superada, y que el Tribunal Constitucional desestimó entonces dicho argumento, por lo que no puede considerarse un hecho nuevo. En cualquier caso, señala que el Ministerio de Economía y Competitividad ha solicitado al Banco de España su criterio al respecto, y que el informe de la entidad reguladora, con fecha de 5 de diciembre de 2014, concluye que “se mantienen los riesgos ya mencionados en nuestro informe de 2 de septiembre de 2013 en relación con el eventual levantamiento de la suspensión de la Ley 4/2013 de la Comunidad Autónoma de Andalucía”. El Abogado del Estado señala que la mejora económica a la que se refieren las alegaciones en las que se solicita la suspensión se debe en parte a las medidas adoptadas por el Gobierno, y que tal mejora se puede poner en entredicho de alzarse la suspensión que, en ningún caso, puede servir de argumento para minimizar los perjuicios al interés general que puede causar el levantamiento de la suspensión acordada.</w:t>
      </w:r>
    </w:p>
    <w:p w:rsidR="00B85568" w:rsidRDefault="00B85568" w:rsidP="00B85568">
      <w:pPr>
        <w:pStyle w:val="TextoNormal"/>
      </w:pPr>
    </w:p>
    <w:p w:rsidR="00B85568" w:rsidRDefault="00B85568" w:rsidP="00B85568">
      <w:pPr>
        <w:pStyle w:val="TextoNormal"/>
      </w:pPr>
      <w:r>
        <w:t>Por todo ello, el Abogado del Estado concluye que no concurren los presupuestos de hecho que justifiquen una reconsideración por parte del Tribunal de la decisión adoptada, y suplica que se acuerde el mantenimiento de la suspensión de los preceptos impugnados de la Ley 4/2013. Por otrosí señala finalmente que, a la vista de sus alegaciones, carece de sentido y no resulta procedente la práctica de prueba documental alguna.</w:t>
      </w:r>
    </w:p>
    <w:p w:rsidR="00B85568" w:rsidRDefault="00B85568" w:rsidP="00B85568">
      <w:pPr>
        <w:pStyle w:val="TextoNormal"/>
      </w:pPr>
    </w:p>
    <w:p w:rsidR="00B85568" w:rsidRDefault="00B85568" w:rsidP="00B85568">
      <w:pPr>
        <w:pStyle w:val="TextoNormal"/>
      </w:pPr>
      <w:r w:rsidRPr="00B85568">
        <w:rPr>
          <w:rStyle w:val="NumeroAFNegritaCaracter"/>
        </w:rPr>
        <w:t>16</w:t>
      </w:r>
      <w:r>
        <w:t>. La Letrada del Parlamento de Andalucía, en nombre y representación de éste, presentó sus alegaciones en escrito registrado en este Tribunal el 17 de diciembre de 2014.</w:t>
      </w:r>
    </w:p>
    <w:p w:rsidR="00B85568" w:rsidRDefault="00B85568" w:rsidP="00B85568">
      <w:pPr>
        <w:pStyle w:val="TextoNormal"/>
      </w:pPr>
    </w:p>
    <w:p w:rsidR="00B85568" w:rsidRDefault="00B85568" w:rsidP="00B85568">
      <w:pPr>
        <w:pStyle w:val="TextoNormal"/>
      </w:pPr>
      <w:r>
        <w:t>Señala que la posibilidad de incorporar informes y documentos a los autos entre la fase de alegaciones y la Sentencia se encuentra amparada en los arts. 88.1 y 89.1 LOTC, y así lo viene entendiendo el Tribunal Constitucional, sin necesidad de acordar el recibimiento a prueba y rechazando el traslado automático al proceso constitucional de los principios aplicables al proceso ordinario, así como una interpretación rigurosa y formalista de los mismos (AATC 223/1984, de 9 de abril, FJ 2; 288/1984, de 16 de mayo, 155/1996, de 11 de junio, y 67/2009, de 24 de febrero, FJ 2). De acuerdo con la doctrina constitucional, los documentos aportados por el Gabinete Jurídico de la Junta de Andalucía reúnen las exigencias necesarias para su incorporación a los autos a fin de que sean tenidos en cuenta por el Tribunal Constitucional a la hora de dictar Sentencia y a la hora de resolver sobre las demás cuestiones que se plantean en el presente proceso constitucional: se trata de documentos de fecha posterior a la formulación de los escritos de alegaciones, que por tanto no pudieron ser aportados con los mismos; versan sobre cuestiones de hecho; y son relevantes para la decisión de las cuestiones debatidas en el proceso en los términos en los que éste ha sido planteado. Así pues, su presentación no implica una formulación extemporánea de alegaciones.</w:t>
      </w:r>
    </w:p>
    <w:p w:rsidR="00B85568" w:rsidRDefault="00B85568" w:rsidP="00B85568">
      <w:pPr>
        <w:pStyle w:val="TextoNormal"/>
      </w:pPr>
    </w:p>
    <w:p w:rsidR="00B85568" w:rsidRDefault="00B85568" w:rsidP="00B85568">
      <w:pPr>
        <w:pStyle w:val="TextoNormal"/>
      </w:pPr>
      <w:r>
        <w:t>En cuanto a la relevancia de los documentos que se pretende aportar al proceso, se afirma que vienen a demostrar que los hechos y datos con los que el Estado trataba de demostrar la inconstitucionalidad de las disposiciones impugnadas no son ciertos. En ellos la SAREB reconoce expresamente que los datos reflejados en aquel informe son erróneos, y que la cartera de activos inmobiliarios de la SAREB radicados en el territorio de Andalucía es bastante menor de lo que se afirmaba en el mismo. En efecto, en el escrito de 18 de junio de 2014 se afirma textualmente lo siguiente: “Según el informe elaborado por el Colegio de Registradores a partir de la información facilitada por los registros, el SAREB es titular de 98 viviendas protegidas en el territorio de esta Comunidad Autónoma. Se trata de un número sensiblemente inferior al de 911 inicialmente estimado, pero ello es debido a que las cifras inicialmente consideradas constituían datos meramente estimativos en la medida en que se basaban en información preliminar proporcionada por las entidades transmitentes, no habiendo sido validados ni comprobados, y además, constituían meros datos globales de volumen de viviendas, calculados mediante un proceso de simple estimación basados en los datos generales de distribución de cartera por Comunidades y distribución de cartera por tipologías”. Este reconocimiento por parte de la SAREB de que los datos que figuran en el informe aportado al recurso de inconstitucionalidad y al incidente de suspensión son erróneos elimina su eficacia probatoria y privan de cualquier sustento fáctico a los daños y perjuicios invocados por el Estado y en los que se ha sustentado la suspensión de las disposiciones impugnadas.</w:t>
      </w:r>
    </w:p>
    <w:p w:rsidR="00B85568" w:rsidRDefault="00B85568" w:rsidP="00B85568">
      <w:pPr>
        <w:pStyle w:val="TextoNormal"/>
      </w:pPr>
    </w:p>
    <w:p w:rsidR="00B85568" w:rsidRDefault="00B85568" w:rsidP="00B85568">
      <w:pPr>
        <w:pStyle w:val="TextoNormal"/>
      </w:pPr>
      <w:r>
        <w:t>A continuación señala que la revocabilidad de las decisiones sobre mantenimiento o prórroga de la suspensión de las disposiciones impugnadas en el recurso de inconstitucionalidad, cuando hayan “sobrevenido circunstancias o hechos nuevos que, no habiendo podido ser tenidos en cuenta en momentos posteriores, sean relevantes para modificar lo acordado sobre la suspensión”, ha sido reconocida y admitida por el Tribunal Constitucional en reiteradas ocasiones (AATC 934/1987, 128/1993, 268/1993, 347/1995, y 266/2013). Y que del ATC 115/2014, FJ 5, se desprende claramente que, para el Tribunal Constitucional, la capacidad de las disposiciones impugnadas para poner en riesgo la estabilidad del sistema financiero y la reestructuración del sector bancario está directamente vinculada al contexto de crisis económica en el que se adoptan y en el que se emiten los informes del Ministerio de Economía y Competitividad, del Banco de España y de la SAREB, informes todos ellos que tienen una influencia decisión en la decisión del Tribunal Constitucional. Pues bien, el informe de estabilidad financiera emitido por el Banco de España en noviembre de 2014 pone de manifiesto que la situación o el contexto económico considerado en el ATC 115/2014, de 8 de abril, en aquellos informes y en las alegaciones del Abogado del Estado ha cambiado radicalmente y que la situación de desconfianza de los mercados en la economía española y en su sistema crediticio ha mejorado sustancialmente, como también ha mejorado notablemente la situación del sector bancario y financiero. Ahora, desaparecido el contexto económico y la excepcional situación de desconfianza en el sistema crediticio y bancario en el que las disposiciones impugnadas eran susceptibles de afectar a la estabilidad del sistema financiero y de generar los datos y perjuicios para el interés público que, conforme a lo dispuesto en el ATC 115/2014 justificaron su suspensión, y mientras que no se constate que han infringido la Constitución, debe prevalecer su presunción de legitimidad en cuanto expresión de la voluntad popular.</w:t>
      </w:r>
    </w:p>
    <w:p w:rsidR="00B85568" w:rsidRDefault="00B85568" w:rsidP="00B85568">
      <w:pPr>
        <w:pStyle w:val="TextoNormal"/>
      </w:pPr>
    </w:p>
    <w:p w:rsidR="00B85568" w:rsidRDefault="00B85568" w:rsidP="00B85568">
      <w:pPr>
        <w:pStyle w:val="TextoNormal"/>
      </w:pPr>
      <w:r>
        <w:t>Por otro lado, se recuerdan los intereses a que respondían las normas impugnadas y que fue reconocido por el propio Tribunal en el ATC 115/2014 (el interés público relativo al derecho a la vivienda, y el interés privado de colectivos sociales vulnerables que se beneficiarían de ella), y se señala que es público y notorio que las normas dispuestas por el Estado para atender a esas necesidades y que fueron tenidas en cuenta en el ATC 115/2014, FJ 5 c), para ponderar los intereses juego, se han mostrado notoriamente insuficientes, pues el número de desahucios sigue aumentando y, pese a la recuperación económica expuesta en el informe del Banco de España de noviembre de 2014, la situación de las personas destinatarias de las medidas contenidas en las disposiciones impugnadas no ha mejorado.</w:t>
      </w:r>
    </w:p>
    <w:p w:rsidR="00B85568" w:rsidRDefault="00B85568" w:rsidP="00B85568">
      <w:pPr>
        <w:pStyle w:val="TextoNormal"/>
      </w:pPr>
    </w:p>
    <w:p w:rsidR="00B85568" w:rsidRDefault="00B85568" w:rsidP="00B85568">
      <w:pPr>
        <w:pStyle w:val="TextoNormal"/>
      </w:pPr>
      <w:r>
        <w:t>Por todo ello, se suplica que se tenga por presentado el escrito y por formuladas las alegaciones que en él se contienen y en su día se sirva dictar Auto en el que admita la prueba documental aportada por la Letrada de la Junta de Andalucía e, igualmente, acuerde el levantamiento de la suspensión, decretada en su día, de las disposiciones impugnadas en este proceso.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Junta y el Parlamento de Andalucía solicitan nuevamente el levantamiento de la suspensión de la vigencia del art. 1 [en cuanto que da nueva redacción al art. 1.3 e) introduce los arts. 25 y 53.1 a) en la Ley 1/2010, de 8 de marzo, reguladora del derecho a la vivienda en Andalucía] y la disposición adicional primera de la Ley 4/2013, de 1 de octubre, de la Comunidad Autónoma de Andalucía de medidas para asegurar el cumplimiento de la función social de la vivienda, acordada inicialmente por providencia de 14 de enero de 2014 —en aplicación de lo dispuesto en los arts. 161.2 CE y 30 de la Ley Orgánica del Tribunal Constitucional (LOTC)— y ratificada con posterioridad por el ATC 115/2014, de 8 de abril.</w:t>
      </w:r>
    </w:p>
    <w:p w:rsidR="00B85568" w:rsidRDefault="00B85568" w:rsidP="00B85568">
      <w:pPr>
        <w:pStyle w:val="TextoNormal"/>
      </w:pPr>
    </w:p>
    <w:p w:rsidR="00B85568" w:rsidRDefault="00B85568" w:rsidP="00B85568">
      <w:pPr>
        <w:pStyle w:val="TextoNormal"/>
      </w:pPr>
      <w:r>
        <w:t>En dicho Auto, dictado a instancia de la Junta y el Parlamento de Andalucía antes del transcurso de cinco meses a que se refiere el art. 161.2 CE, ya se procedió a ponderar los perjuicios o repercusiones negativos que sobre los intereses generales y, en su caso, particulares podría ocasionar el mantenimiento o el levantamiento de la suspensión acordada, así como la dificultad o imposibilidad de reparar las consecuencias derivadas de una u otra decisión cautelar, todo ello a la luz de la naturaleza cautelar de la medida y sin prejuzgar el sentido del fallo que, cuando proceda, deba adoptarse sobre el fondo de la impugnación planteada.</w:t>
      </w:r>
    </w:p>
    <w:p w:rsidR="00B85568" w:rsidRDefault="00B85568" w:rsidP="00B85568">
      <w:pPr>
        <w:pStyle w:val="TextoNormal"/>
      </w:pPr>
    </w:p>
    <w:p w:rsidR="00B85568" w:rsidRDefault="00B85568" w:rsidP="00B85568">
      <w:pPr>
        <w:pStyle w:val="TextoNormal"/>
      </w:pPr>
      <w:r>
        <w:t>Según nuestra doctrina, la existencia del referido Auto por el que, denegando la pretensión planteada se ratificó el mantenimiento de la suspensión de la vigencia y aplicación de los preceptos impugnados, no impide que, en cualquier momento, este Tribunal pueda reconsiderar la decisión adoptada, en uso y aplicación de las amplias facultades de ordenación procesal que ostenta. De manera que, cuando una de las partes alega que se ha producido algún cambio de circunstancias relevantes para modificar lo acordado sobre la suspensión, el Tribunal puede considerar la pertinencia de esas alegaciones (AATC 934/1987, de 21 de julio, FJ 2; 128/1993, de 20 de abril, FJ 1; y 266/2013, de 19 de noviembre, FJ 2).</w:t>
      </w:r>
    </w:p>
    <w:p w:rsidR="00B85568" w:rsidRDefault="00B85568" w:rsidP="00B85568">
      <w:pPr>
        <w:pStyle w:val="TextoNormal"/>
      </w:pPr>
    </w:p>
    <w:p w:rsidR="00B85568" w:rsidRDefault="00B85568" w:rsidP="00B85568">
      <w:pPr>
        <w:pStyle w:val="TextoNormal"/>
      </w:pPr>
      <w:r>
        <w:t>Esto es lo que sucede en el presente caso. Las representaciones procesales del Parlamento y la Junta de Andalucía solicitan el levantamiento de la suspensión de los preceptos impugnados con el argumento de que, con posterioridad al ATC 115/2014, han sobrevenido circunstancias que resultan relevantes para modificar lo acordado sobre la suspensión.</w:t>
      </w:r>
    </w:p>
    <w:p w:rsidR="00B85568" w:rsidRDefault="00B85568" w:rsidP="00B85568">
      <w:pPr>
        <w:pStyle w:val="TextoNormal"/>
      </w:pPr>
    </w:p>
    <w:p w:rsidR="00B85568" w:rsidRDefault="00B85568" w:rsidP="00B85568">
      <w:pPr>
        <w:pStyle w:val="TextoNormal"/>
      </w:pPr>
      <w:r>
        <w:t>En consecuencia, en el presente caso debemos examinar, en primer lugar, si han sobrevenido efectivamente circunstancias o hechos nuevos que, no habiendo podido ser tenidos en cuenta en momentos anteriores, pueden determinar una modificación de la ponderación de los intereses en presencia, de un lado, y de los perjuicios de imposible o difícil reparación que se sigan del mantenimiento de la suspensión, del otro. Y, en segundo lugar, debemos analizar la relevancia de tales circunstancias para modificar lo acordado sobre la suspensión.</w:t>
      </w:r>
    </w:p>
    <w:p w:rsidR="00B85568" w:rsidRDefault="00B85568" w:rsidP="00B85568">
      <w:pPr>
        <w:pStyle w:val="TextoNormal"/>
      </w:pPr>
    </w:p>
    <w:p w:rsidR="00B85568" w:rsidRDefault="00B85568" w:rsidP="00B85568">
      <w:pPr>
        <w:pStyle w:val="TextoNormal"/>
      </w:pPr>
      <w:r w:rsidRPr="00B85568">
        <w:rPr>
          <w:rStyle w:val="NumeroAFNegritaCaracter"/>
        </w:rPr>
        <w:t>2</w:t>
      </w:r>
      <w:r>
        <w:t>. Antes de resolver este incidente cautelar debemos precisar una cuestión de orden procesal. La Letrada de la Junta de Andalucía ha presentado en la misma fecha dos escritos con unas alegaciones muy similares, uno encabezado con la mención “pieza de suspensión cautelar” y otro —sin una mención determinada— en el que se alega también sobre la admisibilidad de los documentos aportados invocando, entre otros, el art. 89.1 LOTC. Tales documentos, que ya se tuvieron por incorporados a los autos por providencia de 14 de enero de 2014, no necesitan ser objeto de recibimiento a prueba, punto en el que coinciden tanto el Abogado del Estado como el Parlamento de Andalucía.</w:t>
      </w:r>
    </w:p>
    <w:p w:rsidR="00B85568" w:rsidRDefault="00B85568" w:rsidP="00B85568">
      <w:pPr>
        <w:pStyle w:val="TextoNormal"/>
      </w:pPr>
    </w:p>
    <w:p w:rsidR="00B85568" w:rsidRDefault="00B85568" w:rsidP="00B85568">
      <w:pPr>
        <w:pStyle w:val="TextoNormal"/>
      </w:pPr>
      <w:r>
        <w:t>De acuerdo con nuestra doctrina, la Ley de enjuiciamiento civil puede ser aplicada de forma analógica en el procedimiento constitucional (ATC 288/1984, de 16 de mayo, FJ 2). Pues bien, el art. 270 de la Ley de enjuiciamiento civil (LEC) establece que se pueden aportar documentos relativos al fondo del asunto con posterioridad a la contestación a la demanda cuando sean de fecha posterior, siempre que no se hubiesen podido confeccionar ni obtener con anterioridad a dichos momentos procesales. Igualmente, como ha ocurrido en el presente caso, se debe admitir la aportación de documentos relacionados con el levantamiento o mantenimiento de la suspensión cuando una de las partes alegue que se ha producido un cambio sobrevenido de circunstancias relevante para modificar lo acordado sobre la suspensión. Y, por tanto, una vez que ya han sido incorporados al recurso los referidos documentos, no ha lugar al recibimiento a prueba solicitado.</w:t>
      </w:r>
    </w:p>
    <w:p w:rsidR="00B85568" w:rsidRDefault="00B85568" w:rsidP="00B85568">
      <w:pPr>
        <w:pStyle w:val="TextoNormal"/>
      </w:pPr>
    </w:p>
    <w:p w:rsidR="00B85568" w:rsidRDefault="00B85568" w:rsidP="00B85568">
      <w:pPr>
        <w:pStyle w:val="TextoNormal"/>
      </w:pPr>
      <w:r w:rsidRPr="00B85568">
        <w:rPr>
          <w:rStyle w:val="NumeroAFNegritaCaracter"/>
        </w:rPr>
        <w:t>3</w:t>
      </w:r>
      <w:r>
        <w:t>. Las circunstancias alegadas por las representaciones procesales del Parlamento y la Junta de Andalucía para solicitar ahora el levantamiento de la suspensión de los preceptos impugnados se resumen en, por una parte, el reconocimiento por parte de la Sociedad de gestión de activos procedentes de la reestructuración bancaria (SAREB) del carácter erróneo de uno de los datos incluidos en el informe que dicha entidad remitió al Ministerio de Economía y Competitividad y sobre el que descansaron las alegaciones efectuadas por el Abogado del Estado en el primer incidente de suspensión relativas a los posibles perjuicios al interés general que se derivarían del levantamiento de la suspensión; y, por otra parte, en la mejora del sistema financiero español desde el momento en que se adoptó la Ley impugnada, que se desprende en particular del último informe de estabilidad financiera del Banco de España de noviembre de 2014.</w:t>
      </w:r>
    </w:p>
    <w:p w:rsidR="00B85568" w:rsidRDefault="00B85568" w:rsidP="00B85568">
      <w:pPr>
        <w:pStyle w:val="TextoNormal"/>
      </w:pPr>
    </w:p>
    <w:p w:rsidR="00B85568" w:rsidRDefault="00B85568" w:rsidP="00B85568">
      <w:pPr>
        <w:pStyle w:val="TextoNormal"/>
      </w:pPr>
      <w:r>
        <w:t>La existencia de tales circunstancias, que se han acreditado mediante los documentos incorporados a los autos, no ha sido negada por la representación procesal de la Administración del Estado. Tanto la corrección del referido dato como el mencionado informe del Banco de España pueden considerarse circunstancias nuevas a los efectos de un nuevo incidente de suspensión: por una parte, el nuevo dato sobre el número de viviendas protegidas de titularidad de la SAREB en Andalucía fue elaborado por esa entidad a partir de información contrastada obtenida de los registros de la propiedad, y notificado a la Junta de Andalucía el 18 de junio de 2014, todo ello con posterioridad a nuestro ATC 115/2014; y, por otra, el nuevo informe de estabilidad financiera del Banco de España lleva fecha de noviembre de 2014, igualmente posterior a la de dicho Auto.</w:t>
      </w:r>
    </w:p>
    <w:p w:rsidR="00B85568" w:rsidRDefault="00B85568" w:rsidP="00B85568">
      <w:pPr>
        <w:pStyle w:val="TextoNormal"/>
      </w:pPr>
    </w:p>
    <w:p w:rsidR="00B85568" w:rsidRDefault="00B85568" w:rsidP="00B85568">
      <w:pPr>
        <w:pStyle w:val="TextoNormal"/>
      </w:pPr>
      <w:r>
        <w:t>Aunque el Abogado del Estado parece discutir su condición de circunstancias nuevas, en realidad no discute tanto su existencia o realidad como su relevancia para modificar la suspensión acordada por el ATC 115/2014. Justamente, a tal fin aduce a su vez el contenido de nuevos informes recabados de la SAREB y del Banco de España en los que ambas entidades se manifiestan sobre la relevancia de las circunstancias alegadas por la Junta y el Parlamento de Andalucía. Así pues, a continuación nos centraremos en examinar la relevancia de dichas circunstancias en aras al mantenimiento o levantamiento de la suspensión acordada.</w:t>
      </w:r>
    </w:p>
    <w:p w:rsidR="00B85568" w:rsidRDefault="00B85568" w:rsidP="00B85568">
      <w:pPr>
        <w:pStyle w:val="TextoNormal"/>
      </w:pPr>
    </w:p>
    <w:p w:rsidR="00B85568" w:rsidRDefault="00B85568" w:rsidP="00B85568">
      <w:pPr>
        <w:pStyle w:val="TextoNormal"/>
      </w:pPr>
      <w:r w:rsidRPr="00B85568">
        <w:rPr>
          <w:rStyle w:val="NumeroAFNegritaCaracter"/>
        </w:rPr>
        <w:t>4</w:t>
      </w:r>
      <w:r>
        <w:t>. Las Letradas del Parlamento y la Junta de Andalucía alegan, en primer lugar, que se incluyó un dato erróneo en el informe que la SAREB remitió al Ministerio de Economía y Competitividad, sobre el que se basaron las alegaciones efectuadas por el Abogado del Estado en el anterior incidente de suspensión sobre los posibles perjuicios al interés general que se derivarían del levantamiento de la suspensión. En aquel informe se afirmó que el número de viviendas protegidas que eran titularidad de la SAREB en el territorio andaluz era de 911. No se trata de un error material o de transcripción. En escrito remitido a la Junta de Andalucía con fecha de 18 de junio de 2014, la propia SAREB señaló que, tras recibir el informe elaborado por el Colegio de Registradores de Andalucía, el dato correcto era el de 98 viviendas. En ese escrito la SAREB reconoció que la cifra incluida en el informe previamente evacuado al Ministerio de Economía y Competitividad se basó en meras estimaciones, basadas en información preliminar proporcionada por las entidades transmitentes de activos, datos que, como se reconoce, no habían sido “validados ni comprobados”.</w:t>
      </w:r>
    </w:p>
    <w:p w:rsidR="00B85568" w:rsidRDefault="00B85568" w:rsidP="00B85568">
      <w:pPr>
        <w:pStyle w:val="TextoNormal"/>
      </w:pPr>
    </w:p>
    <w:p w:rsidR="00B85568" w:rsidRDefault="00B85568" w:rsidP="00B85568">
      <w:pPr>
        <w:pStyle w:val="TextoNormal"/>
      </w:pPr>
      <w:r>
        <w:t>Para las representaciones procesales del Parlamento y la Junta de Andalucía el referido dato erróneo vendría a acreditar el “nulo valor” que debe atribuirse al informe de la SAREB en su conjunto. En cambio, la representación procesal del Estado sostiene la irrelevancia del dato erróneo incluido en el primer informe de la SAREB, sobre la base de dos argumentos: por un lado, el dato no fue mencionado por este Tribunal en el ATC 115/2014, al basarse los argumentos utilizados en la situación financiera española; por otro lado, el dato en sí no es relevante en el conjunto de los intereses que deben ser ponderados.</w:t>
      </w:r>
    </w:p>
    <w:p w:rsidR="00B85568" w:rsidRDefault="00B85568" w:rsidP="00B85568">
      <w:pPr>
        <w:pStyle w:val="TextoNormal"/>
      </w:pPr>
    </w:p>
    <w:p w:rsidR="00B85568" w:rsidRDefault="00B85568" w:rsidP="00B85568">
      <w:pPr>
        <w:pStyle w:val="TextoNormal"/>
      </w:pPr>
      <w:r>
        <w:t>Ciertamente, el ATC 115/2014 no menciona el dato del número de viviendas protegidas de titularidad de la SAREB. El Auto no avala ni rechaza el dato erróneo del número de viviendas protegidas de titularidad de la SAREB que alegó el Abogado del Estado, como no avala ni rechaza el dato sensiblemente inferior que aducía de contrario la Junta de Andalucía en sus alegaciones, según la cual el porcentaje de viviendas vacías que correspondía a la SAREB en Andalucía era de un 1 por 100 del total.</w:t>
      </w:r>
    </w:p>
    <w:p w:rsidR="00B85568" w:rsidRDefault="00B85568" w:rsidP="00B85568">
      <w:pPr>
        <w:pStyle w:val="TextoNormal"/>
      </w:pPr>
    </w:p>
    <w:p w:rsidR="00B85568" w:rsidRDefault="00B85568" w:rsidP="00B85568">
      <w:pPr>
        <w:pStyle w:val="TextoNormal"/>
      </w:pPr>
      <w:r>
        <w:t>Lo importante a los efectos de reconsiderar la suspensión acordada es que el ATC 115/2014 no construye su argumentación —ni extrae su conclusión— a favor del mantenimiento de la suspensión a partir del referido dato en particular ni del contenido del informe de la SAREB en general. El argumento determinante fue entonces la estabilidad del sistema financiero contemplada como un interés público. Para alcanzar esa conclusión este Tribunal no atendió al número de viviendas protegidas titularidad de la SAREB potencialmente afectadas, sino a la posible incidencia de las medidas autonómicas en el proceso de reestructuración bancario español. Y para analizar el riesgo que dichas medidas autonómicas podrían conllevar para ese interés público, este Tribunal consideró, tal y como había hecho en el ATC 69/2014, que había que “atender de un modo principal a los juicios de las instituciones especializadas en la materia e independientes de las partes, siempre claro está que no sean desvirtuados por otros datos o análisis aportados por quienes pretendan el levantamiento de la suspensión”. A lo que añadió que en el ATC 69/2014 se había reconocido explícitamente valor probatorio a los informes de la Comisión Europea, del Banco Central Europeo, del Fondo Monetario Internacional y del Banco de España.</w:t>
      </w:r>
    </w:p>
    <w:p w:rsidR="00B85568" w:rsidRDefault="00B85568" w:rsidP="00B85568">
      <w:pPr>
        <w:pStyle w:val="TextoNormal"/>
      </w:pPr>
    </w:p>
    <w:p w:rsidR="00B85568" w:rsidRDefault="00B85568" w:rsidP="00B85568">
      <w:pPr>
        <w:pStyle w:val="TextoNormal"/>
      </w:pPr>
      <w:r>
        <w:t>El hecho de que, como alega la Letrada de la Junta de Andalucía, el elemento distintivo del juicio de relevancia de los perjuicios para el interés general que efectuara el Abogado del Estado en el incidente que condujo al ATC 115/2014, con respecto al ATC 69/2014, consistiera en un informe de la SAREB no significa que la ponderación que realizó este Tribunal fuera asimismo diferente ni que se fundamentara precisamente en dicho informe. Todo lo contrario. Este Tribunal señaló expresamente al comienzo de su decisión que iba a aplicar “el mismo juicio de relevancia de los perjuicios para el interés general que efectuamos en dicha resolución” (FJ 4), recordó explícitamente el valor probatorio reconocido a los informes utilizados en el ATC 69/2014, FJ 5, y alcanzó explícitamente la misma conclusión que en el ATC 69/2014: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 (FJ 5).</w:t>
      </w:r>
    </w:p>
    <w:p w:rsidR="00B85568" w:rsidRDefault="00B85568" w:rsidP="00B85568">
      <w:pPr>
        <w:pStyle w:val="TextoNormal"/>
      </w:pPr>
    </w:p>
    <w:p w:rsidR="00B85568" w:rsidRDefault="00B85568" w:rsidP="00B85568">
      <w:pPr>
        <w:pStyle w:val="TextoNormal"/>
      </w:pPr>
      <w:r w:rsidRPr="00B85568">
        <w:rPr>
          <w:rStyle w:val="NumeroAFNegritaCaracter"/>
        </w:rPr>
        <w:t>5</w:t>
      </w:r>
      <w:r>
        <w:t>. En segundo lugar, las Letradas del Parlamento y la Junta de Andalucía alegan la mejora del sistema financiero español desde el momento en que se adoptó la Ley impugnada, que se desprende en particular del último informe de estabilidad financiera del Banco de España de noviembre de 2014: este informe acreditaría una mejora del sistema financiero español, que de alguna forma rebatiría el diagnóstico realizado por la misma entidad en el informe de estabilidad financiera de 2012 y que fue utilizado en el anterior incidente de suspensión; todo ello, en consecuencia, sería relevante para modificar lo acordado sobre la suspensión.</w:t>
      </w:r>
    </w:p>
    <w:p w:rsidR="00B85568" w:rsidRDefault="00B85568" w:rsidP="00B85568">
      <w:pPr>
        <w:pStyle w:val="TextoNormal"/>
      </w:pPr>
    </w:p>
    <w:p w:rsidR="00B85568" w:rsidRDefault="00B85568" w:rsidP="00B85568">
      <w:pPr>
        <w:pStyle w:val="TextoNormal"/>
      </w:pPr>
      <w:r>
        <w:t>El Abogado del Estado rechaza que el último informe de estabilidad financiera del Banco de España pueda hacer variar el sentido de la decisión de este Tribunal, en cuanto que la situación de riesgo del sistema de financiación español no ha terminado. A tal fin remite a un informe específico recabado del Banco de España por el Ministerio de Economía y Hacienda, que se pronuncia sobre los eventuales perjuicios derivados del levantamiento de la suspensión y que se ratifica en el mantenimiento de los riesgos ya mencionados en el informe de 2 de septiembre de 2013 en relación con el eventual levantamiento de la suspensión. A lo anterior el Abogado del Estado añade que la mejora de la situación económica puede ponerse en entredicho de alzarse la suspensión acordada.</w:t>
      </w:r>
    </w:p>
    <w:p w:rsidR="00B85568" w:rsidRDefault="00B85568" w:rsidP="00B85568">
      <w:pPr>
        <w:pStyle w:val="TextoNormal"/>
      </w:pPr>
    </w:p>
    <w:p w:rsidR="00B85568" w:rsidRDefault="00B85568" w:rsidP="00B85568">
      <w:pPr>
        <w:pStyle w:val="TextoNormal"/>
      </w:pPr>
      <w:r>
        <w:t>En el ATC 69/2014 señalamos que para analizar si las medidas autonómicas son aptas para poner en riesgo el interés público cifrado en la estabilidad del sistema financiero, “h[abía]mos de atender en un modo principal a los juicios de las instituciones especializadas en la materia e independientes de las partes, siempre claro está que no sean desvirtuados por otros datos o análisis aportados por quienes pretendan el levantamiento de la suspensión” (FJ 4). Aplicamos el mismo criterio, con reproducción literal de dicho fragmento, en el ATC 115/2014, FJ 5. En el presente caso las representaciones procesales de la Junta y del Parlamento de Andalucía no pretenden desvirtuar el juicio de una institución especializada en la materia como es el Banco de España aportando datos o análisis de signo contrario de otras instituciones especializadas, sino a partir de concretas consideraciones vertidas por la propia entidad en torno a la mejoría de la economía española en el informe de estabilidad financiera de noviembre de 2014.</w:t>
      </w:r>
    </w:p>
    <w:p w:rsidR="00B85568" w:rsidRDefault="00B85568" w:rsidP="00B85568">
      <w:pPr>
        <w:pStyle w:val="TextoNormal"/>
      </w:pPr>
    </w:p>
    <w:p w:rsidR="00B85568" w:rsidRDefault="00B85568" w:rsidP="00B85568">
      <w:pPr>
        <w:pStyle w:val="TextoNormal"/>
      </w:pPr>
      <w:r>
        <w:t>Debe tenerse presente que el informe de estabilidad financiera del Banco de España es un informe de coyuntura global y, por tanto, necesariamente general. No se ocupa de ponderar los efectos de las medidas autonómicas sobre la estabilidad del sistema financiero español. En cambio, el informe del Banco de España que ha sido recabado por el Ministerio de Economía y Competitividad y que, alegado por el Abogado del Estado, se encuentra incorporado a los autos pondera específicamente los efectos de las medidas autonómicas teniendo ya en cuenta la mejora global a la que alude el otro informe. Sin duda, el diagnóstico de la situación actual de la economía española y del sistema bancario español en especial que realiza el Banco de España es más matizado ahora que en 2012 o en 2013. Lo determinante a los efectos del presente incidente de suspensión es que, aunque se constate una mejora con respecto a esos años, al mismo tiempo se señala la persistencia de riesgos y amenazas sustanciales. Por ello, la conclusión final del Banco de España sobre la base del conjunto de elementos económicos resulta inequívoca en cuanto a los riesgos para la estabilidad del sistema financiero que derivarían del levantamiento de la suspensión de los preceptos impugnados y considera que se mantienen los riesgos considerados en 2013.</w:t>
      </w:r>
    </w:p>
    <w:p w:rsidR="00B85568" w:rsidRDefault="00B85568" w:rsidP="00B85568">
      <w:pPr>
        <w:pStyle w:val="TextoNormal"/>
      </w:pPr>
    </w:p>
    <w:p w:rsidR="00B85568" w:rsidRDefault="00B85568" w:rsidP="00B85568">
      <w:pPr>
        <w:pStyle w:val="TextoNormal"/>
      </w:pPr>
      <w:r>
        <w:t>De alguna forma las representaciones procesales de la Junta y el Parlamento de Andalucía pretenden que asignemos una mayor importancia relativa a los aspectos de mejora constatados por el Banco de España, desconociendo los riesgos sustanciales que todavía perviven según esa entidad. Nada de eso podemos hacer. Este Tribunal no está en situación de efectuar por sí mismo un juicio alternativo al del Banco de España, ni puede desconocer la inequívoca conclusión final alcanzada por una institución especializada —como es la mencionada entidad reguladora— sobre los riesgos para la estabilidad del sistema financiero español, salvo que, como hemos indicado con anterioridad, las partes desvirtúen esa conclusión final con datos o análisis de signo contrario.</w:t>
      </w:r>
    </w:p>
    <w:p w:rsidR="00B85568" w:rsidRDefault="00B85568" w:rsidP="00B85568">
      <w:pPr>
        <w:pStyle w:val="TextoNormal"/>
      </w:pPr>
    </w:p>
    <w:p w:rsidR="00B85568" w:rsidRDefault="00B85568" w:rsidP="00B85568">
      <w:pPr>
        <w:pStyle w:val="TextoNormal"/>
      </w:pPr>
      <w:r w:rsidRPr="00B85568">
        <w:rPr>
          <w:rStyle w:val="NumeroAFNegritaCaracter"/>
        </w:rPr>
        <w:t>6</w:t>
      </w:r>
      <w:r>
        <w:t>. La Letrada del Parlamento de Andalucía aduce asimismo que las normas dispuestas por el Estado para atender a las necesidades de vivienda de colectivos sociales vulnerables, y que fueron tenidas en cuenta en el ATC 115/2014 [FJ 5 c)], para ponderar los intereses en juego, se han mostrado notoriamente insuficientes, y que el número de desahucios sigue aumentando. Estos argumentos, que se dirigen bien a discutir algunas de las razones jurídicas que nos llevaron a estimar que no se producía un relevante menoscabo de los intereses asociados al levantamiento de la suspensión bien a sostener que los perjuicios derivados del mantenimiento de la suspensión son ahora mayores que antes, no pueden aceptarse para revisar la ponderación ya efectuada.</w:t>
      </w:r>
    </w:p>
    <w:p w:rsidR="00B85568" w:rsidRDefault="00B85568" w:rsidP="00B85568">
      <w:pPr>
        <w:pStyle w:val="TextoNormal"/>
      </w:pPr>
    </w:p>
    <w:p w:rsidR="00B85568" w:rsidRDefault="00B85568" w:rsidP="00B85568">
      <w:pPr>
        <w:pStyle w:val="TextoNormal"/>
      </w:pPr>
      <w:r>
        <w:t>Por un lado, no se concreta la pretendida insuficiencia de las normas estatales para atender las necesidades de vivienda de colectivos sociales vulnerables ni el número de desahucios que se producen en Andalucía, y sobre todo no se acredita de qué forma esa pretendida insuficiencia supone un importante menoscabo de los intereses públicos y privados en presencia hasta el punto de que deba ser reconsiderada la ponderación realizada en el ATC 115/2004. Recordemos que corresponde a quien solicita el levantamiento de una suspensión acordada alegar que se ha producido un cambio de circunstancias relevantes para modificar aquella.</w:t>
      </w:r>
    </w:p>
    <w:p w:rsidR="00B85568" w:rsidRDefault="00B85568" w:rsidP="00B85568">
      <w:pPr>
        <w:pStyle w:val="TextoNormal"/>
      </w:pPr>
    </w:p>
    <w:p w:rsidR="00B85568" w:rsidRDefault="00B85568" w:rsidP="00B85568">
      <w:pPr>
        <w:pStyle w:val="TextoNormal"/>
      </w:pPr>
      <w:r>
        <w:t>Por otro lado, los perjuicios asociados al mantenimiento de la suspensión de los preceptos impugnados que ahora se alegan ya fueron tenidos en cuenta en la ponderación realizada en el ATC 115/2014, por lo que no estaríamos en presencia de hechos nuevos. En cualquier caso, nuestra conclusión entonces fue, al igual que en la ATC 69/2014,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apreci[a]mos que debe mantener la suspensión de los preceptos impugnados, sin que la medida adoptada implique, en este caso concreto, un relevante menoscabo del resto de los intereses en presencia”.</w:t>
      </w:r>
    </w:p>
    <w:p w:rsidR="00B85568" w:rsidRDefault="00B85568" w:rsidP="00B85568">
      <w:pPr>
        <w:pStyle w:val="TextoNormal"/>
      </w:pPr>
    </w:p>
    <w:p w:rsidR="00B85568" w:rsidRDefault="00B85568" w:rsidP="00B85568">
      <w:pPr>
        <w:pStyle w:val="TextoNormal"/>
      </w:pPr>
      <w:r w:rsidRPr="00B85568">
        <w:rPr>
          <w:rStyle w:val="NumeroAFNegritaCaracter"/>
        </w:rPr>
        <w:t>7</w:t>
      </w:r>
      <w:r>
        <w:t>. En suma, debe rechazarse la solicitud que ha presentado la Junta de Andalucía. En tanto que las circunstancias nuevas alegadas por las representaciones procesales de la Junta y el Parlamento de Andalucía no desvirtúan la ponderación realizada en el ATC 115/2014 sobre los intereses que se encuentran concernidos, de un lado, y los perjuicios que puedan derivarse del mantenimiento o levantamiento de la suspensión, de otro, debemos reiterar la misma conclusión que extrajimos en aquel Auto y, por ello, debemos ratificar el mantenimiento de la suspensión de los preceptos impugnados entonces acordada, sin prejuzgar el sentido del fallo que, cuando proceda, deba adoptarse sobre el fondo de la impugnación planteada.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Mantener la suspensión del art. 1 de la Ley 4/2013, de 1 de octubre, de la Comunidad Autónoma de Andalucía de medidas para asegurar el cumplimiento de la función social de la vivienda, por el que se da nueva redacción al art. 1.3 de la Ley 1/2010, de 8 de marzo, reguladora del derecho a la vivienda en Andalucía y se introducen en ella los arts. 25 y 53.1 a), y de la disposición adicional primera de la mencionada Ley 4/2013.</w:t>
      </w:r>
    </w:p>
    <w:p w:rsidR="00B85568" w:rsidRDefault="00B85568" w:rsidP="00B85568">
      <w:pPr>
        <w:pStyle w:val="TextoNormal"/>
      </w:pPr>
    </w:p>
    <w:p w:rsidR="00B85568" w:rsidRDefault="00B85568" w:rsidP="00B85568">
      <w:pPr>
        <w:pStyle w:val="TextoNormal"/>
      </w:pPr>
      <w:r>
        <w:t>2º No haber lugar a recibimiento a prueba de los documentos presentados por la Junta de Andalucía.</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rsidP="00B85568">
      <w:pPr>
        <w:pStyle w:val="ParrafoNormal"/>
      </w:pPr>
    </w:p>
    <w:p w:rsidR="00B85568" w:rsidRDefault="00B85568" w:rsidP="00B85568">
      <w:pPr>
        <w:pStyle w:val="TextoNormalNegritaCentrado"/>
        <w:keepNext/>
      </w:pPr>
      <w:r>
        <w:t>Voto particular que formula, el Magistrado don Juan Antonio Xiol Ríos, al que se adhieren los Magistrados don Luis Ignacio Ortega Álvarez y don Fernando Valdés Dal-Ré, respecto del Auto dictado en el recurso de inconstitucional núm. 7357-2013.</w:t>
      </w:r>
    </w:p>
    <w:p w:rsidR="00B85568" w:rsidRDefault="00B85568" w:rsidP="00B85568">
      <w:pPr>
        <w:pStyle w:val="TextoNormalNegritaCentrado"/>
        <w:keepNext/>
      </w:pPr>
    </w:p>
    <w:p w:rsidR="00B85568" w:rsidRDefault="00B85568" w:rsidP="00B85568">
      <w:pPr>
        <w:pStyle w:val="TextoNormal"/>
      </w:pPr>
      <w:r>
        <w:t>Con respeto a la opinión mayoritaria de mis compañeros en la que se sustenta el Auto, manifiesto mi discrepancia con la argumentación y decisión de mantener la suspensión del art. 1 de la Ley 4/2013, de 1 de octubre, de la Comunidad Autónoma de Andalucía de medidas para asegurar el cumplimiento de la función social de la vivienda.</w:t>
      </w:r>
    </w:p>
    <w:p w:rsidR="00B85568" w:rsidRDefault="00B85568" w:rsidP="00B85568">
      <w:pPr>
        <w:pStyle w:val="TextoNormal"/>
      </w:pPr>
    </w:p>
    <w:p w:rsidR="00B85568" w:rsidRDefault="00B85568" w:rsidP="00B85568">
      <w:pPr>
        <w:pStyle w:val="TextoNormal"/>
      </w:pPr>
      <w:r>
        <w:t>En el Voto particular que formulé junto con otros Magistrados al ATC 115/2014, de 8 de abril, por el que se acordaba mantener la suspensión de los preceptos impugnados en este recurso de inconstitucionalidad, se exponían las razones por las que se consideraba que debía haberse alzado su suspensión.</w:t>
      </w:r>
    </w:p>
    <w:p w:rsidR="00B85568" w:rsidRDefault="00B85568" w:rsidP="00B85568">
      <w:pPr>
        <w:pStyle w:val="TextoNormal"/>
      </w:pPr>
    </w:p>
    <w:p w:rsidR="00B85568" w:rsidRDefault="00B85568" w:rsidP="00B85568">
      <w:pPr>
        <w:pStyle w:val="TextoNormal"/>
      </w:pPr>
      <w:r>
        <w:t>Lo que procede ahora ponderar es la existencia de circunstancias sobrevenidas que puedan resultar relevantes para modificar la previa decisión de mantener la suspensión. En el presente caso cabe hacer, sin embargo, una doble consideración: (i) Las circunstancias sobrevenidas alegadas por el Parlamento y la Junta de Andalucía han supuesto un respaldo a los argumentos que se defendieron en el Voto particular para discrepar con la decisión de mantener la suspensión; y (ii) su alegación ha puesto de manifiesto que el presupuesto fáctico en que se sustentaba entonces la Abogacía del Estado —y que asumió la posición mayoritaria— para hacer prevalecer los riesgos para los intereses generales frente a la presunción de legitimidad de la expresión de la voluntad del pueblo andaluz ha quedado alterado de manera relevante y sustancial.</w:t>
      </w:r>
    </w:p>
    <w:p w:rsidR="00B85568" w:rsidRDefault="00B85568" w:rsidP="00B85568">
      <w:pPr>
        <w:pStyle w:val="TextoNormal"/>
      </w:pPr>
    </w:p>
    <w:p w:rsidR="00B85568" w:rsidRDefault="00B85568" w:rsidP="00B85568">
      <w:pPr>
        <w:pStyle w:val="TextoNormal"/>
      </w:pPr>
      <w:r>
        <w:t>El ATC 115/2014, por remisión al ATC 69/2014, de 10 de marzo, sustentó la decisión de mantenimiento de la suspensión de la normativa impugnada en el riesgo para el buen funcionamiento y estabilidad del sistema financiero derivado de la posibilidad de que fuera expropiado el uso temporal de las viviendas desocupadas titularidad de personas jurídicas, mayoritariamente entidades integrantes del sector financiero, para dar cobertura a la necesidad de vivienda de las personas en especiales circunstancias de emergencia social incursas en procedimientos de desahucio por ejecución hipotecaria. El apoyo probatorio de la existencia de ese riesgo se cifraba en diversos informes y documentos, entre los que se atribuyó especial importancia (i) al hecho de que un instrumento clave del programa de reestructuración del sistema financiero español era la creación de un llamado “banco malo”, cuyo accionista de referencia sería el Estado, y cuya finalidad era recibir el traspaso de activos de peor calidad —la Sociedad de gestión de activos procedentes de la reestructuración bancaria (SAREB)—; y (ii) a que este tipo de medidas autonómicas tenía un impacto preocupante en el plan de negocios de la SAREB (se adjuntaba un informe de la propia SAREB en que se afirmaba, entre los datos más relevantes, que el número de viviendas protegidas titularidad de esa sociedad afectadas por la norma impugnada era de 911).</w:t>
      </w:r>
    </w:p>
    <w:p w:rsidR="00B85568" w:rsidRDefault="00B85568" w:rsidP="00B85568">
      <w:pPr>
        <w:pStyle w:val="TextoNormal"/>
      </w:pPr>
    </w:p>
    <w:p w:rsidR="00B85568" w:rsidRDefault="00B85568" w:rsidP="00B85568">
      <w:pPr>
        <w:pStyle w:val="TextoNormal"/>
      </w:pPr>
      <w:r>
        <w:t>Frente a ese razonamiento, el Parlamento y la Junta de Andalucía han puesto de manifiesto, por un lado, que la SAREB ha reconocido que el dato correcto de viviendas de protección oficial afectadas era un 10 por 100 de las inicialmente tomadas en consideración; y, por otro, la existencia de nuevos informes macroeconómicos y de coyuntura en que se expone una situación de estabilidad del sistema financiero español alejada de los acusados riesgos presentes en años anteriores.</w:t>
      </w:r>
    </w:p>
    <w:p w:rsidR="00B85568" w:rsidRDefault="00B85568" w:rsidP="00B85568">
      <w:pPr>
        <w:pStyle w:val="TextoNormal"/>
      </w:pPr>
    </w:p>
    <w:p w:rsidR="00B85568" w:rsidRDefault="00B85568" w:rsidP="00B85568">
      <w:pPr>
        <w:pStyle w:val="TextoNormal"/>
      </w:pPr>
      <w:r>
        <w:t>En mi opinión, ambas circunstancias hubieran debido ser suficientes, como causas sobrevenidas relevantes, para acordar el levantamiento de la suspensión. La evidencia de proceso argumental seguido en los AATC 69/2014 y 115/2014 permite concluir que no resulta asumible (i) descartar la relevancia del reconocimiento del error en la cuantificación de viviendas afectadas por la norma, negando que ese hubiera sido un aspecto ponderado para sustentar la decisión del ATC 115/2014, pues el impacto de la medida en el plan de negocios de la SAREB era uno de los argumentos principales por los que se solicitó el mantenimiento de la suspensión; y (ii) poner el énfasis en la interpretación del informe de estabilidad financiera del Banco de España de noviembre de 2014, el cual está desactualizado por referirse al año 2013 y pondera la persistencia de los riesgos, pero no la mejora comparativa en relación con la situación previa tomada en consideración para decidir el mantenimiento de la suspensión.</w:t>
      </w:r>
    </w:p>
    <w:p w:rsidR="00B85568" w:rsidRDefault="00B85568" w:rsidP="00B85568">
      <w:pPr>
        <w:pStyle w:val="TextoNormal"/>
      </w:pPr>
    </w:p>
    <w:p w:rsidR="00B85568" w:rsidRDefault="00B85568" w:rsidP="00B85568">
      <w:pPr>
        <w:pStyle w:val="TextoNormal"/>
      </w:pPr>
      <w:r>
        <w:t>Incluso asumiendo la existencia de unos supuestos graves perjuicios, llegado este momento hubiera sido procedente, en mi opinión, discriminar qué concretos aspectos de la regulación impugnada eran susceptibles de provocarlo para limitar los efectos de la suspensión. En contra de este razonable criterio, el Auto del que discrepo mantiene una suspensión en bloque de todos los preceptos impugnados, entre los que se incluyen aspectos como la determinación del contenido esencial del derecho de propiedad o la definición de vivienda ocupada, los cuales, por sí solos, no son susceptibles de ocasionar ningún perjuicio de imposible o difícil reparación.</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3" w:name="AUTO_2015_33"/>
      <w:r>
        <w:t>AUTO 33/2015, de 17 de febrero de 2015</w:t>
      </w:r>
    </w:p>
    <w:bookmarkEnd w:id="183"/>
    <w:p w:rsidR="00B85568" w:rsidRDefault="00B85568" w:rsidP="00B85568">
      <w:pPr>
        <w:pStyle w:val="TtuloResolucin"/>
      </w:pPr>
      <w:r>
        <w:t>Pleno</w:t>
      </w:r>
    </w:p>
    <w:p w:rsidR="00B85568" w:rsidRDefault="00B85568" w:rsidP="00B85568">
      <w:pPr>
        <w:pStyle w:val="TextoNormalCentrado"/>
      </w:pPr>
      <w:r>
        <w:t>ECLI:ES:TC:2015:33A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930-2014, planteada por el Juzgado de lo Social núm. 34 de Madrid en relación con la disposición transitoria quinta, los artículos 18.Siete y 18.Ocho de la Ley 3/2012, de 6 de julio, de medidas urgentes para la reforma del mercado laboral. Voto particular.</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18 de febrero de 2014 tuvo entrada en el Registro General de este Tribunal un escrito del Secretario Judicial del Juzgado de lo Social núm. 34 de Madrid al que se acompaña, junto con el testimonio del procedimiento núm. 1341-2012, sobre despido, que se tramita ante dicho Juzgado, el Auto de 26 de septiembre de 2013, por el que el citado Juzgado acuerda plantear cuestión de inconstitucionalidad respecto al art. 18.7 y la disposición transitoria quinta, así como el art. 18.8 de la Ley 3/2012, de 6 de julio, de medidas urgentes para la reforma del mercado laboral, por posible vulneración de los arts. 9.3, 14, 24.1 y 35.1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presente cuestión de inconstitucionalidad son, en síntesis, los siguientes:</w:t>
      </w:r>
    </w:p>
    <w:p w:rsidR="00B85568" w:rsidRDefault="00B85568" w:rsidP="00B85568">
      <w:pPr>
        <w:pStyle w:val="TextoNormal"/>
      </w:pPr>
    </w:p>
    <w:p w:rsidR="00B85568" w:rsidRDefault="00B85568" w:rsidP="00B85568">
      <w:pPr>
        <w:pStyle w:val="TextoNormal"/>
      </w:pPr>
      <w:r>
        <w:t>a) El día 23 de noviembre de 2012, la demandante presentó demanda de despido y cantidad frente a “N&amp;A Gestión servicios y proyectos, S.L.”, en la que solicitaba al Juzgado de lo Social que la extinción por finalización de obra comunicada por la empresa con fecha y efectos de 11 de octubre de 2012 fuera declarada como despido improcedente. La demandante fija su antigüedad en la empresa desde el día 5 de marzo de 2012, fecha esta que aparece como momento de inicio del contrato para obra o servicio determinado suscrito con la empresa, que es aportado como prueba por la parte actora. Por decreto de 8 de febrero de 2013, el Juzgado de lo Social núm. 34 de Madrid acordó la admisión a trámite de dicha demanda.</w:t>
      </w:r>
    </w:p>
    <w:p w:rsidR="00B85568" w:rsidRDefault="00B85568" w:rsidP="00B85568">
      <w:pPr>
        <w:pStyle w:val="TextoNormal"/>
      </w:pPr>
    </w:p>
    <w:p w:rsidR="00B85568" w:rsidRDefault="00B85568" w:rsidP="00B85568">
      <w:pPr>
        <w:pStyle w:val="TextoNormal"/>
      </w:pPr>
      <w:r>
        <w:t>b) Tras la celebración del acto del juicio el día 25 de junio de 2013, concluso el procedimiento y dentro del plazo para dictar sentencia, el Magistrado-Juez dictó providencia en fecha 28 de junio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se concretaban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26 de septiembre de 2013, a cuyo contenido se hace referencia más adelante.</w:t>
      </w:r>
    </w:p>
    <w:p w:rsidR="00B85568" w:rsidRDefault="00B85568" w:rsidP="00B85568">
      <w:pPr>
        <w:pStyle w:val="TextoNormal"/>
      </w:pPr>
    </w:p>
    <w:p w:rsidR="00B85568" w:rsidRDefault="00B85568" w:rsidP="00B85568">
      <w:pPr>
        <w:pStyle w:val="TextoNormal"/>
      </w:pPr>
      <w:r>
        <w:t>c) Mediante escrito de 31 de julio de 2013, el Fiscal presentó sus alegaciones, en las que exponía que, a su juicio, concurrían los requisitos formales para proceder a la interposición de la cuestión de inconstitucionalidad de las normas controvertidas. Ni la parte actora ni la demandada presentaron escrito de alegaciones.</w:t>
      </w:r>
    </w:p>
    <w:p w:rsidR="00B85568" w:rsidRDefault="00B85568" w:rsidP="00B85568">
      <w:pPr>
        <w:pStyle w:val="TextoNormal"/>
      </w:pPr>
    </w:p>
    <w:p w:rsidR="00B85568" w:rsidRDefault="00B85568" w:rsidP="00B85568">
      <w:pPr>
        <w:pStyle w:val="TextoNormal"/>
      </w:pPr>
      <w:r>
        <w:t>d) El Juzgado de lo Social núm. 34 de Madrid dictó Auto de 26 de septiembre de 2013, por el que acuerda elevar cuestión de inconstitucionalidad ante el Tribunal Constitucional, respecto al art. 18.7 y la disposición transitoria quinta, así como el art. 18.8 de la Ley 3/2012, de 6 de julio, de medidas urgentes para la reforma del mercado laboral, por presunta vulneración de los arts. 9.3, 14, 24.1 y 35.1 CE. En dicho Auto se ordenaba se citara a las partes a comparecencia a fin de adoptar medidas no nucleares, señalándose después dicha citación para el día 10 de diciembre de 2013.</w:t>
      </w:r>
    </w:p>
    <w:p w:rsidR="00B85568" w:rsidRDefault="00B85568" w:rsidP="00B85568">
      <w:pPr>
        <w:pStyle w:val="TextoNormal"/>
      </w:pPr>
    </w:p>
    <w:p w:rsidR="00B85568" w:rsidRDefault="00B85568" w:rsidP="00B85568">
      <w:pPr>
        <w:pStyle w:val="TextoNormal"/>
      </w:pPr>
      <w:r>
        <w:t>e) Con fecha 24 de enero de 2013 (</w:t>
      </w:r>
      <w:r w:rsidRPr="00B85568">
        <w:rPr>
          <w:i/>
        </w:rPr>
        <w:t>sic</w:t>
      </w:r>
      <w:r>
        <w:t>), el Juzgado de lo Social núm. 34 de Madrid dictó nuevo Auto de “NO adopción de medidas provisionales”, en el que dispone que no ha lugar a adoptar medidas provisionales ni definitivas de clase alguna, manteniendo la suspensión del plazo para dictar sentencia.</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26 de septiembre de 2013 del Juzgado de lo Social núm. 34 de Madrid fundamenta el planteamiento de la cuestión de inconstitucionalidad en las consideraciones que seguidamente, y de forma resumida, se indican.</w:t>
      </w:r>
    </w:p>
    <w:p w:rsidR="00B85568" w:rsidRDefault="00B85568" w:rsidP="00B85568">
      <w:pPr>
        <w:pStyle w:val="TextoNormal"/>
      </w:pPr>
    </w:p>
    <w:p w:rsidR="00B85568" w:rsidRDefault="00B85568" w:rsidP="00B85568">
      <w:pPr>
        <w:pStyle w:val="TextoNormal"/>
      </w:pPr>
      <w:r>
        <w:t>De entrada, tras repasar los antecedentes del caso,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—11 de octubre de 2012—, las consecuencias de dicha calificación deben ser las previstas en la Ley del estatuto de los trabajadores (LET),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B85568" w:rsidRDefault="00B85568" w:rsidP="00B85568">
      <w:pPr>
        <w:pStyle w:val="TextoNormal"/>
      </w:pPr>
    </w:p>
    <w:p w:rsidR="00B85568" w:rsidRDefault="00B85568" w:rsidP="00B85568">
      <w:pPr>
        <w:pStyle w:val="TextoNormal"/>
      </w:pPr>
      <w:r>
        <w:t>a) En primer lugar, el Magistrado-Juez expresa su duda de constitucionalidad respecto al art. 18.7 y la disposición transitoria quinta de la Ley 3/2012, por vulnerar los arts. 9.3, 24.1, 14 y 35.1 (derecho al trabajo) CE.</w:t>
      </w:r>
    </w:p>
    <w:p w:rsidR="00B85568" w:rsidRDefault="00B85568" w:rsidP="00B85568">
      <w:pPr>
        <w:pStyle w:val="TextoNormal"/>
      </w:pPr>
    </w:p>
    <w:p w:rsidR="00B85568" w:rsidRDefault="00B85568" w:rsidP="00B85568">
      <w:pPr>
        <w:pStyle w:val="TextoNormal"/>
      </w:pPr>
      <w:r>
        <w:t>Al respecto, da cuenta del contenido de esta normativa, señalando que con ella se reduce de manera significativa la cuantía de las indemnizaciones por despido improcedente. Asimismo, desde la premisa de que tras la calificación del despido como improcedente se halla una conducta dolosa o negligente del empleador, el Magistrado-Juez afirma que la norma de aplicación es arbitraria por cuatro consideraciones.</w:t>
      </w:r>
    </w:p>
    <w:p w:rsidR="00B85568" w:rsidRDefault="00B85568" w:rsidP="00B85568">
      <w:pPr>
        <w:pStyle w:val="TextoNormal"/>
      </w:pPr>
    </w:p>
    <w:p w:rsidR="00B85568" w:rsidRDefault="00B85568" w:rsidP="00B85568">
      <w:pPr>
        <w:pStyle w:val="TextoNormal"/>
      </w:pPr>
      <w:r>
        <w:t>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traslada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w:t>
      </w:r>
    </w:p>
    <w:p w:rsidR="00B85568" w:rsidRDefault="00B85568" w:rsidP="00B85568">
      <w:pPr>
        <w:pStyle w:val="TextoNormal"/>
      </w:pPr>
    </w:p>
    <w:p w:rsidR="00B85568" w:rsidRDefault="00B85568" w:rsidP="00B85568">
      <w:pPr>
        <w:pStyle w:val="TextoNormal"/>
      </w:pPr>
      <w:r>
        <w:t>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Es relevante, indica, que el Convenio 158 de la Organización Internacional del Trabajo (OIT) establece que las indemnizaciones por despido injustificado deben ser “adecuadas” (art. 10). Asimismo, destaca que, conforme al art. 12 de dicho Convenio de la OIT,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w:t>
      </w:r>
    </w:p>
    <w:p w:rsidR="00B85568" w:rsidRDefault="00B85568" w:rsidP="00B85568">
      <w:pPr>
        <w:pStyle w:val="TextoNormal"/>
      </w:pPr>
    </w:p>
    <w:p w:rsidR="00B85568" w:rsidRDefault="00B85568" w:rsidP="00B85568">
      <w:pPr>
        <w:pStyle w:val="TextoNormal"/>
      </w:pPr>
      <w:r>
        <w:t>Tercero, porque la norma reduce las cuantías sin referencia al único criterio válido que es el de equivalencia entre los daños y perjuicios sufridos por el trabajador injustamente despedido y la cuantía del resarcimiento. En tal sentido considera que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w:t>
      </w:r>
    </w:p>
    <w:p w:rsidR="00B85568" w:rsidRDefault="00B85568" w:rsidP="00B85568">
      <w:pPr>
        <w:pStyle w:val="TextoNormal"/>
      </w:pPr>
    </w:p>
    <w:p w:rsidR="00B85568" w:rsidRDefault="00B85568" w:rsidP="00B85568">
      <w:pPr>
        <w:pStyle w:val="TextoNormal"/>
      </w:pPr>
      <w:r>
        <w:t xml:space="preserve">Cuarto, porque el sistema transitorio establecido en la 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w:t>
      </w:r>
      <w:r w:rsidRPr="00B85568">
        <w:rPr>
          <w:i/>
        </w:rPr>
        <w:t>damnum emergens</w:t>
      </w:r>
      <w:r>
        <w:t xml:space="preserve"> o el </w:t>
      </w:r>
      <w:r w:rsidRPr="00B85568">
        <w:rPr>
          <w:i/>
        </w:rPr>
        <w:t>pretium doloris</w:t>
      </w:r>
      <w:r>
        <w:t xml:space="preserve"> de un trabajador despedido injustamente, o sobre cómo explicar que, a partir de determinada antigüedad, la valoración de los daños y perjuicios se “congele”, y que antes se hiciera con una compensación de cuarenta y dos mensualidades y ahora con veinticuatro. </w:t>
      </w:r>
    </w:p>
    <w:p w:rsidR="00B85568" w:rsidRDefault="00B85568" w:rsidP="00B85568">
      <w:pPr>
        <w:pStyle w:val="TextoNormal"/>
      </w:pPr>
    </w:p>
    <w:p w:rsidR="00B85568" w:rsidRDefault="00B85568" w:rsidP="00B85568">
      <w:pPr>
        <w:pStyle w:val="TextoNormal"/>
      </w:pPr>
      <w:r>
        <w:t>De las anteriores consideraciones infiere el juzgador claras vulneraciones del art. 9.3 CE, relativo a la interdicción de la arbitrariedad, y del art. 24.1 CE, ya que la tutela dispensada por sentencia no podrá ser efectiva, sino parcial y meramente nominal.</w:t>
      </w:r>
    </w:p>
    <w:p w:rsidR="00B85568" w:rsidRDefault="00B85568" w:rsidP="00B85568">
      <w:pPr>
        <w:pStyle w:val="TextoNormal"/>
      </w:pPr>
    </w:p>
    <w:p w:rsidR="00B85568" w:rsidRDefault="00B85568" w:rsidP="00B85568">
      <w:pPr>
        <w:pStyle w:val="TextoNormal"/>
      </w:pPr>
      <w:r>
        <w:t>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B85568" w:rsidRDefault="00B85568" w:rsidP="00B85568">
      <w:pPr>
        <w:pStyle w:val="TextoNormal"/>
      </w:pPr>
    </w:p>
    <w:p w:rsidR="00B85568" w:rsidRDefault="00B85568" w:rsidP="00B85568">
      <w:pPr>
        <w:pStyle w:val="TextoNormal"/>
      </w:pPr>
      <w:r>
        <w:t>b) Como segunda duda de constitucionalidad, considera el órgano judicial que el art. 18.8 de la Ley 3/2012 vulnera los arts. 9.3 y 24.1 CE, en relación con el art. 35.1 CE y el art. 14 CE.</w:t>
      </w:r>
    </w:p>
    <w:p w:rsidR="00B85568" w:rsidRDefault="00B85568" w:rsidP="00B85568">
      <w:pPr>
        <w:pStyle w:val="TextoNormal"/>
      </w:pPr>
    </w:p>
    <w:p w:rsidR="00B85568" w:rsidRDefault="00B85568" w:rsidP="00B85568">
      <w:pPr>
        <w:pStyle w:val="TextoNormal"/>
      </w:pPr>
      <w:r>
        <w:t xml:space="preserve">Desde la perspectiva del art. 9.3 CE (interdicción de la arbitrariedad), el Magistrado-Juez indica que el art. 18.8 de la 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w:t>
      </w:r>
      <w:r w:rsidRPr="00B85568">
        <w:rPr>
          <w:i/>
        </w:rPr>
        <w:t>lucrum cessans</w:t>
      </w:r>
      <w:r>
        <w:t xml:space="preserve">,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contiene un mandato </w:t>
      </w:r>
      <w:r w:rsidRPr="00B85568">
        <w:rPr>
          <w:i/>
        </w:rPr>
        <w:t>pro labore</w:t>
      </w:r>
      <w:r>
        <w:t xml:space="preserve"> que queda vulnerado; y por último, que dicha arbitrariedad se intensifica a la luz de la nueva redacción dada por el art. 18.Nueve al art. 56.4 LET, que para los supuestos de despido improcedente de representantes legales de los trabajadores o delegados sindicales contempla el derecho a salarios de tramitación tanto si se opta por la readmisión como por la indemnización.</w:t>
      </w:r>
    </w:p>
    <w:p w:rsidR="00B85568" w:rsidRDefault="00B85568" w:rsidP="00B85568">
      <w:pPr>
        <w:pStyle w:val="TextoNormal"/>
      </w:pPr>
    </w:p>
    <w:p w:rsidR="00B85568" w:rsidRDefault="00B85568" w:rsidP="00B85568">
      <w:pPr>
        <w:pStyle w:val="TextoNormal"/>
      </w:pPr>
      <w:r>
        <w:t>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B85568" w:rsidRDefault="00B85568" w:rsidP="00B85568">
      <w:pPr>
        <w:pStyle w:val="TextoNormal"/>
      </w:pPr>
    </w:p>
    <w:p w:rsidR="00B85568" w:rsidRDefault="00B85568" w:rsidP="00B85568">
      <w:pPr>
        <w:pStyle w:val="TextoNormal"/>
      </w:pPr>
      <w:r>
        <w:t>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el Magistrado-Juez dice reformular la presente cuestión de inconstitucionalidad, haciéndola pivotar sobre otros preceptos constitucionales —esencialmente, arts. 9.3 y 24.1 CE—, al margen de las facultades que el art. 39.2 LOTC confiere.</w:t>
      </w:r>
    </w:p>
    <w:p w:rsidR="00B85568" w:rsidRDefault="00B85568" w:rsidP="00B85568">
      <w:pPr>
        <w:pStyle w:val="TextoNormal"/>
      </w:pPr>
    </w:p>
    <w:p w:rsidR="00B85568" w:rsidRDefault="00B85568" w:rsidP="00B85568">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00B85568" w:rsidRDefault="00B85568" w:rsidP="00B85568">
      <w:pPr>
        <w:pStyle w:val="TextoNormal"/>
      </w:pPr>
    </w:p>
    <w:p w:rsidR="00B85568" w:rsidRDefault="00B85568" w:rsidP="00B85568">
      <w:pPr>
        <w:pStyle w:val="TextoNormal"/>
      </w:pPr>
      <w:r>
        <w:t>Por lo que se refiere al art. 35 CE, y tras recordar la jurisprudencia constitucional sobre el alcance del derecho al trabajo y algunas de las exigencias derivadas del convenio 158 de la OIT,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B85568">
        <w:rPr>
          <w:i/>
        </w:rPr>
        <w:t>o pro labo</w:t>
      </w:r>
      <w:r>
        <w:t>re.</w:t>
      </w:r>
    </w:p>
    <w:p w:rsidR="00B85568" w:rsidRDefault="00B85568" w:rsidP="00B85568">
      <w:pPr>
        <w:pStyle w:val="TextoNormal"/>
      </w:pPr>
    </w:p>
    <w:p w:rsidR="00B85568" w:rsidRDefault="00B85568" w:rsidP="00B85568">
      <w:pPr>
        <w:pStyle w:val="TextoNormal"/>
      </w:pPr>
      <w:r>
        <w:t>Por último, en cuanto al art. 14 CE, insiste en que su vulneración se produce en este caso por el mismo mecanismo antes descrito, es decir, por establecerse un marco indemnizatorio desigual, peor que el fijado en el ordenamiento común e insatisfactorio del principio de integridad/adecuación de la reparación, con fundamento en la condición social de trabajador.</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7 de octubre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el 24 de octubre de 2014, en el que interesa la inadmisión a trámite de la cuestión de inconstitucionalidad planteada por resultar notoriamente infundada.</w:t>
      </w:r>
    </w:p>
    <w:p w:rsidR="00B85568" w:rsidRDefault="00B85568" w:rsidP="00B85568">
      <w:pPr>
        <w:pStyle w:val="TextoNormal"/>
      </w:pPr>
    </w:p>
    <w:p w:rsidR="00B85568" w:rsidRDefault="00B85568" w:rsidP="00B85568">
      <w:pPr>
        <w:pStyle w:val="TextoNormal"/>
      </w:pPr>
      <w:r>
        <w:t>Al respecto,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B85568" w:rsidRDefault="00B85568" w:rsidP="00B85568">
      <w:pPr>
        <w:pStyle w:val="TextoNormal"/>
      </w:pPr>
    </w:p>
    <w:p w:rsidR="00B85568" w:rsidRDefault="00B85568" w:rsidP="00B85568">
      <w:pPr>
        <w:pStyle w:val="TextoNormal"/>
      </w:pPr>
      <w:r>
        <w:t xml:space="preserve">Respecto a esta última cuestión, el Fiscal General del Estado no aprecia justificada la analogía que el Auto establece con el supuesto enjuiciado en la STC 181/2000, relativo al baremo para la indemnización del daño personal por hechos derivados de la circulación. En tal sentido explica que, frente al planteamiento del órgano promotor, dicha Sentencia sólo se pronunció sobre la responsabilidad extracontractual, siendo que, por el contrario, en el supuesto del proceso </w:t>
      </w:r>
      <w:r w:rsidRPr="00B85568">
        <w:rPr>
          <w:i/>
        </w:rPr>
        <w:t>a quo</w:t>
      </w:r>
      <w:r>
        <w:t xml:space="preserve"> de la presente cuestión se proclama la responsabilidad contractual, al entenderse el despido improcedente como un caso de incumplimiento obligacional de carácter doloso (art. 1.101 del Código civil).</w:t>
      </w:r>
    </w:p>
    <w:p w:rsidR="00B85568" w:rsidRDefault="00B85568" w:rsidP="00B85568">
      <w:pPr>
        <w:pStyle w:val="TextoNormal"/>
      </w:pPr>
    </w:p>
    <w:p w:rsidR="00B85568" w:rsidRDefault="00B85568" w:rsidP="00B85568">
      <w:pPr>
        <w:pStyle w:val="TextoNormal"/>
      </w:pPr>
      <w:r>
        <w:t xml:space="preserve">Además, el Fiscal opone que el Auto de planteamiento omite afirmaciones cardinales en la fundamentación de dicha STC 181/2000. Por un lado, recuerda que en esta Sentencia se dijo que del principio de exclusividad de Jueces y Magistrados en el ejercicio de la potestad jurisdiccional </w:t>
      </w:r>
      <w:r w:rsidRPr="00B85568">
        <w:rPr>
          <w:i/>
        </w:rPr>
        <w:t>ex</w:t>
      </w:r>
      <w:r>
        <w:t xml:space="preserve"> art. 117.3 CE no puede inferirse la existencia de una correlativa prohibición impuesta al legislador, por la que se condicione su libertad de configuración para elegir el nivel de densidad normativa con que pretende regular una materia, añadiéndose que de la regulación referida sobre la valoración y cuantificación de los daños personales no deriva restricción alguna de las facultades judiciales, no existiendo por tanto infracción del precepto constitucional. Por otro lado, pone de relieve el limitado alcance del fallo de la citada STC 181/2000, en el que no se afirma que el establecimiento de límites cuantitativos legales en la determinación de la indemnización sea inconstitucional por contrariar el derecho a la tutela judicial efectiva </w:t>
      </w:r>
      <w:r w:rsidRPr="00B85568">
        <w:rPr>
          <w:i/>
        </w:rPr>
        <w:t>ex</w:t>
      </w:r>
      <w:r>
        <w:t xml:space="preserve"> art. 24.1 CE, sino que su declaración de inconstitucionalidad se ciñe a aquellos obstáculos legales que impidan la acreditación procesal de un daño personal para su posterior valoración por el Juez, debiendo además tratarse exclusivamente de aquellos supuestos en que el daño sea determinante de “incapacidad temporal” y tenga su causa exclusiva en una culpa relevante, judicialmente declarada, imputable al agente causante del hecho lesivo.</w:t>
      </w:r>
    </w:p>
    <w:p w:rsidR="00B85568" w:rsidRDefault="00B85568" w:rsidP="00B85568">
      <w:pPr>
        <w:pStyle w:val="TextoNormal"/>
      </w:pPr>
    </w:p>
    <w:p w:rsidR="00B85568" w:rsidRDefault="00B85568" w:rsidP="00B85568">
      <w:pPr>
        <w:pStyle w:val="TextoNormal"/>
      </w:pPr>
      <w:r>
        <w:t>Los anteriores argumentos llevan al Fiscal a afirmar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citando al respecto lo dicho en el fundamento jurídico quinto del ATC 43/2014, de 12 de febrero.</w:t>
      </w:r>
    </w:p>
    <w:p w:rsidR="00B85568" w:rsidRDefault="00B85568" w:rsidP="00B85568">
      <w:pPr>
        <w:pStyle w:val="TextoNormal"/>
      </w:pPr>
    </w:p>
    <w:p w:rsidR="00B85568" w:rsidRDefault="00B85568" w:rsidP="00B85568">
      <w:pPr>
        <w:pStyle w:val="TextoNormal"/>
      </w:pPr>
      <w:r>
        <w:t>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En este punto concluye que, en la nueva redacción dada al art. 56.1 y 2 LET, se cumplen las exigencias derivadas del art. 35.1 CE.</w:t>
      </w:r>
    </w:p>
    <w:p w:rsidR="00B85568" w:rsidRDefault="00B85568" w:rsidP="00B85568">
      <w:pPr>
        <w:pStyle w:val="TextoNormal"/>
      </w:pPr>
    </w:p>
    <w:p w:rsidR="00B85568" w:rsidRDefault="00B85568" w:rsidP="00B85568">
      <w:pPr>
        <w:pStyle w:val="TextoNormal"/>
      </w:pPr>
      <w:r>
        <w:t>En cuanto a la invocación del art. 14 CE en relación con las diferentes consecuencias que, según el órgano promotor, derivan de un incumplimiento obligacional común y de un incumplimiento contractual en el ámbito laboral, el Fiscal descarta también su contravención, haciendo referencia a lo indicado en el citado ATC 43/2014, FJ 6.</w:t>
      </w:r>
    </w:p>
    <w:p w:rsidR="00B85568" w:rsidRDefault="00B85568" w:rsidP="00B85568">
      <w:pPr>
        <w:pStyle w:val="TextoNormal"/>
      </w:pPr>
    </w:p>
    <w:p w:rsidR="00B85568" w:rsidRDefault="00B85568" w:rsidP="00B85568">
      <w:pPr>
        <w:pStyle w:val="TextoNormal"/>
      </w:pPr>
      <w:r>
        <w:t>Finalmente, con relación a la supuesta oposición del art. 18.8 al art. 35.1 CE, el Fiscal General del Estado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legal cuestionada —y trasladado a su articulado— no es el fomento del empleo y, en consecuencia, el cumplimiento del mandato constitucional que sanciona el derecho al trabajo.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Social núm. 34 de Madrid plantea cuestión de inconstitucionalidad respecto al art. 18.7 y la disposición transitoria quinta, así como el art. 18.8 de la Ley 3/2012, de 6 de julio, de medidas urgentes para la reforma del mercado laboral, por posible vulneración de los arts. 9.3, 14, 24.1 y 35.1 CE. Tales dudas de constitucionalidad se fundamentan por el órgano promotor en los argumentos ya expuestos en los antecedentes.</w:t>
      </w:r>
    </w:p>
    <w:p w:rsidR="00B85568" w:rsidRDefault="00B85568" w:rsidP="00B85568">
      <w:pPr>
        <w:pStyle w:val="TextoNormal"/>
      </w:pPr>
    </w:p>
    <w:p w:rsidR="00B85568" w:rsidRDefault="00B85568" w:rsidP="00B85568">
      <w:pPr>
        <w:pStyle w:val="TextoNormal"/>
      </w:pPr>
      <w:r>
        <w:t>Por los motivos de los que también se ha dejado constancia en los antecedentes, el Fiscal General del Estado se opone a la admisión a trámite de la presente cuestión de inconstitucionalidad por estimarla notoriamente infundada (art. 37.1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 Con carácter inicial, el análisis de estos aspectos requiere efectuar algunas precisiones en relación con el objeto de la presente cuestión y el alcance de nuestro enjuiciamiento.</w:t>
      </w:r>
    </w:p>
    <w:p w:rsidR="00B85568" w:rsidRDefault="00B85568" w:rsidP="00B85568">
      <w:pPr>
        <w:pStyle w:val="TextoNormal"/>
      </w:pPr>
    </w:p>
    <w:p w:rsidR="00B85568" w:rsidRDefault="00B85568" w:rsidP="00B85568">
      <w:pPr>
        <w:pStyle w:val="TextoNormal"/>
      </w:pPr>
      <w:r>
        <w:t>a) La primera de estas consideraciones se refiere a la disposición transitoria quinta de la Ley 3/2012 y se efectúa en atención al debido cumplimiento que merecen los juicios de aplicabilidad y relevancia exigidos por el art. 35.1 LOTC, pues, como reiteradamente hemos afirmado, “la cuestión de inconstitucionalidad no es un instrumento procesal para buscar una depuración abstracta del Ordenamiento” (por todas, STC 235/2007, de 7 de noviembre, FJ 2). Respecto a esta disposición, el Auto de planteamiento no concreta cuál de sus apartados es el cuestionado. No obstante, atendidos los datos que constan en las actuaciones, ha de entenderse que la cuestión de inconstitucionalidad debe quedar limitada a su apartado 1, relativo a la indemnización por despido improcedente que corresponde a contratos suscritos a partir del 12 de febrero de 2012, respecto a los que se indica que dicha indemnización es la fijada en el art. 56.1 del texto refundido de la Ley del estatuto de los trabajadores (en adelante, LET), precepto al que también se dirigen las dudas de constitucionalidad del órgano promotor, en su nueva redacción dada por el art. 18.7 de la Ley 3/2012.</w:t>
      </w:r>
    </w:p>
    <w:p w:rsidR="00B85568" w:rsidRDefault="00B85568" w:rsidP="00B85568">
      <w:pPr>
        <w:pStyle w:val="TextoNormal"/>
      </w:pPr>
    </w:p>
    <w:p w:rsidR="00B85568" w:rsidRDefault="00B85568" w:rsidP="00B85568">
      <w:pPr>
        <w:pStyle w:val="TextoNormal"/>
      </w:pPr>
      <w:r>
        <w:t>El objeto de la cuestión no puede extenderse al apartado 2 de la indicada disposición transitoria quinta, por referirse a contratos suscritos con anterioridad a dicha fecha de 12 de febrero de 2012. También queda excluido del examen de la cuestión el contenido del apartado 3 de la disposición controvertida, pues no consta que nos encontremos ante un contrato de fomento de la contratación indefinida ni nada se razona al respecto (SSTC 235/2007, de 7 de noviembre, FJ 2; y 146/2011, de 26 de septiembre, FJ 2).</w:t>
      </w:r>
    </w:p>
    <w:p w:rsidR="00B85568" w:rsidRDefault="00B85568" w:rsidP="00B85568">
      <w:pPr>
        <w:pStyle w:val="TextoNormal"/>
      </w:pPr>
    </w:p>
    <w:p w:rsidR="00B85568" w:rsidRDefault="00B85568" w:rsidP="00B85568">
      <w:pPr>
        <w:pStyle w:val="TextoNormal"/>
      </w:pPr>
      <w:r>
        <w:t>b) La segunda observación a realizar afecta conjuntamente al art. 18.7 y la disposición transitoria quinta de la Ley 3/2012, y en este caso está relacionada con los preceptos constitucionales que el órgano judicial considera vulnerados por estas normas. Entre ellos, el Auto de planteamiento hace mención al art. 35.1 CE (derecho al trabajo), precepto que, sin embargo, no fue incluido en la providencia previa por la que se abrió el trámite de audiencia a las partes y al Ministerio Fiscal, conforme exige el art. 35.2 LOTC. Junto a otras exigencias, reiteradamente hemos declarado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aun cuando hemos matizado que “el órgano judicial puede precisar, modificar o ampliar, en función de las observaciones recibidas, el parámetro de constitucionalidad planteado inicialmente al abrir el trámite de audiencia” (por todas, SSTC 139/2008, de 28 de octubre, FJ 4; 28/2012, de 1 de marzo, FJ 2). En este caso, ya se ha dicho que el referido art. 35.1 CE no fue identificado por el Magistrado-Juez al abrir el trámite de audiencia, pero además tampoco fue incluido en las alegaciones presentadas en este trámite. Por ello, en aplicación de nuestra doctrina, hemos de inadmitir la duda de constitucionalidad relativa a la presunta lesión de este precepto constitucional por el art. 18.7 y la disposición transitoria quinta de la Ley 3/2012, en la medida en que las partes no han tenido ocasión de pronunciarse sobre ella (por todas, STC 149/2014, de 22 de septiembre, FJ 2; o ATC 467/2007, de 17 de diciembre, FJ 2).</w:t>
      </w:r>
    </w:p>
    <w:p w:rsidR="00B85568" w:rsidRDefault="00B85568" w:rsidP="00B85568">
      <w:pPr>
        <w:pStyle w:val="TextoNormal"/>
      </w:pPr>
    </w:p>
    <w:p w:rsidR="00B85568" w:rsidRDefault="00B85568" w:rsidP="00B85568">
      <w:pPr>
        <w:pStyle w:val="TextoNormal"/>
      </w:pPr>
      <w:r>
        <w:t>Además, aun cuando otra fuera la conclusión, concurriría una segunda razón para no examinar esa hipotética vulneración, pues, pese a que el art. 35.1 CE se cita en el Auto de planteamiento entre los preceptos constitucionales presuntamente vulnerados por el art. 18.7 y la disposición transitoria quinta de la Ley 3/2012, lo cierto es que el Magistrado-Juez no incluye una argumentación específica y autónoma respecto a esta duda de constitucionalidad, no siendo así debidamente satisfecha la carga que pesa sobre el órgano promotor de hacer explícita la fundamentación en que apoya la posible inconstitucionalidad alegada (por todas, SSTC 245/2004, de 16 de diciembre, FFJJ 3 y 4; 224/2006, de 6 de julio, FJ 5, o ATC 206/2014, de 22 de julio, FJ 4).</w:t>
      </w:r>
    </w:p>
    <w:p w:rsidR="00B85568" w:rsidRDefault="00B85568" w:rsidP="00B85568">
      <w:pPr>
        <w:pStyle w:val="TextoNormal"/>
      </w:pPr>
    </w:p>
    <w:p w:rsidR="00B85568" w:rsidRDefault="00B85568" w:rsidP="00B85568">
      <w:pPr>
        <w:pStyle w:val="TextoNormal"/>
      </w:pPr>
      <w:r>
        <w:t>c) En consecuencia, a la vista de las dudas de constitucionalidad formuladas en el Auto de planteamiento, y tras las anteriores precisiones, hemos de concluir que el objeto de la presente cuestión ha de quedar limitado a los siguientes preceptos legales y constitucionales en contraste: de un lado, el art. 18.7 y el apartado 1 de la disposición transitoria quinta de la Ley 3/2012, por presunta vulneración de los arts. 9.3, 24.1 y 14 CE; y de otro lado, el art. 18.8 de la Ley 3/2012, por posible lesión de los arts. 9.3, 24.1 en relación, aquí sí, con el art. 35.1, y art. 14 CE.</w:t>
      </w:r>
    </w:p>
    <w:p w:rsidR="00B85568" w:rsidRDefault="00B85568" w:rsidP="00B85568">
      <w:pPr>
        <w:pStyle w:val="TextoNormal"/>
      </w:pPr>
    </w:p>
    <w:p w:rsidR="00B85568" w:rsidRDefault="00B85568" w:rsidP="00B85568">
      <w:pPr>
        <w:pStyle w:val="TextoNormal"/>
      </w:pPr>
      <w:r w:rsidRPr="00B85568">
        <w:rPr>
          <w:rStyle w:val="NumeroAFNegritaCaracter"/>
        </w:rPr>
        <w:t>3</w:t>
      </w:r>
      <w:r>
        <w:t>. Una vez delimitadas las dudas de constitucionalidad a analizar en el presente procedimiento, y entrando ya en el fondo, hemos de advertir que el mismo Juzgado de lo Social núm. 34 de Madrid ya elevó ante este Tribunal otra cuestión de inconstitucionalidad con similar objeto a la actual, que fue inadmitida a trámite por el ATC 43/2014, de 12 de febrero, por considerarla notoriamente infundada. La apreciación de similitud entre ambas cuestiones no queda desvirtuada por el hecho de que la examinada en el citado Auto viniera referida al previo Real Decreto-ley 3/2012, de 10 de febrero, de medidas urgentes para la reforma del mercado laboral, y la ahora analizada verse sobre la posterior Ley 3/2012, del mismo nombre y que sustituyó al anterior. Ello es así, en la medida en que las decisiones normativas que se cuestionan y la argumentación ofrecida por el órgano promotor para su puesta en cuestión coinciden, en esencia, en ambas cuestiones de inconstitucionalidad. Por tal razón, en nuestro análisis sobre la actual cuestión enjuiciada hemos de atender a las conclusiones alcanzadas en el mencionado ATC 43/2014, debiendo remitirnos a las soluciones y fundamentación allí ofrecidas, sin perjuicio de las adaptaciones y adiciones pertinentes, conforme a continuación se indica.</w:t>
      </w:r>
    </w:p>
    <w:p w:rsidR="00B85568" w:rsidRDefault="00B85568" w:rsidP="00B85568">
      <w:pPr>
        <w:pStyle w:val="TextoNormal"/>
      </w:pPr>
    </w:p>
    <w:p w:rsidR="00B85568" w:rsidRDefault="00B85568" w:rsidP="00B85568">
      <w:pPr>
        <w:pStyle w:val="TextoNormal"/>
      </w:pPr>
      <w:r w:rsidRPr="00B85568">
        <w:rPr>
          <w:rStyle w:val="NumeroAFNegritaCaracter"/>
        </w:rPr>
        <w:t>4</w:t>
      </w:r>
      <w:r>
        <w:t>. Respecto al art. 18.7 y el apartado 1 de la disposición transitoria quinta de la Ley 3/2012, ya hemos dicho que el órgano proponente cuestiona su constitucionalidad por posible contradicción con los arts. 9.3, 24.1 y 14 CE.</w:t>
      </w:r>
    </w:p>
    <w:p w:rsidR="00B85568" w:rsidRDefault="00B85568" w:rsidP="00B85568">
      <w:pPr>
        <w:pStyle w:val="TextoNormal"/>
      </w:pPr>
    </w:p>
    <w:p w:rsidR="00B85568" w:rsidRDefault="00B85568" w:rsidP="00B85568">
      <w:pPr>
        <w:pStyle w:val="TextoNormal"/>
      </w:pPr>
      <w:r>
        <w:t>Como también hemos señalado, el citado art. 18.7 da nueva redacción al art. 56.1 LET, por el que se establecen los efectos del despido improcedente y, en lo que ahora interesa, en caso de opción por la indemnización, se precisa la cuantía de ésta: en concreto, modificando la cuantía previa al Real Decreto-ley 3/2012 —establecida en cuarenta y cinco días de salario por año de servicio, prorrateándose por meses los períodos de tiempo inferiores a un año, hasta un máximo de cuarenta y dos mensualidades—, el precepto cuestionado la fija en el equivalente a treinta y tres días de salario por año de servicio, prorrateándose por meses los períodos de tiempo inferiores a un año, hasta un máximo de veinticuatro mensualidades. A esta cuantía se remite el apartado 1 de la disposición transitoria quinta de la Ley 3/2012.</w:t>
      </w:r>
    </w:p>
    <w:p w:rsidR="00B85568" w:rsidRDefault="00B85568" w:rsidP="00B85568">
      <w:pPr>
        <w:pStyle w:val="TextoNormal"/>
      </w:pPr>
    </w:p>
    <w:p w:rsidR="00B85568" w:rsidRDefault="00B85568" w:rsidP="00B85568">
      <w:pPr>
        <w:pStyle w:val="TextoNormal"/>
      </w:pPr>
      <w:r>
        <w:t>En síntesis, a juicio del órgano promotor, los reproches dirigidos a estas previsiones vienen motivados por el carácter tasado de la indicada indemnización, establecida legalmente sólo en atención a dos factores —el tiempo de prestación de servicios y el salario—. De este modo, el objeto y argumentación de la inconstitucionalidad denunciada coincide con la examinada en el mencionado ATC 43/2014, entonces en relación con la indemnización que, también para el despido improcedente, establecía el apartado 2 de la disposición transitoria quinta del Real Decreto-ley 3/2012, siendo irrelevante, a efectos de aplicar idénticos criterios de solución, que el contenido de esta norma presente particularidades en otros aspectos, pues lo decisivo es que, en uno y otro procedimiento, se cuestiona la naturaleza tasada de la indemnización legal por despido improcedente. En consecuencia, siendo que en dicho ATC 43/2014 se consideraron notoriamente infundadas las dudas planteadas respecto a esta decisión legislativa en relación con los arts. 9.3 y 24.1 CE, también aquí hemos de reiterar esta conclusión, con apoyo en los mismos argumentos allí expuestos, que seguidamente se sintetizan y que a su vez permiten descartar la alegación autónoma relativa a la posible vulneración del art. 14 CE que ahora se incluye adicionalmente en el objeto de esta cuestión.</w:t>
      </w:r>
    </w:p>
    <w:p w:rsidR="00B85568" w:rsidRDefault="00B85568" w:rsidP="00B85568">
      <w:pPr>
        <w:pStyle w:val="TextoNormal"/>
      </w:pPr>
    </w:p>
    <w:p w:rsidR="00B85568" w:rsidRDefault="00B85568" w:rsidP="00B85568">
      <w:pPr>
        <w:pStyle w:val="TextoNormal"/>
      </w:pPr>
      <w:r>
        <w:t>a) Por lo que se refiere al art. 9.3 CE, el Magistrado-Juez aduce que el art. 18.7 y el apartado 1 de la disposición transitoria quinta de la Ley 3/2012 resultan arbitrarios en atención, básicamente, al comentado carácter tasado de la indemnización fijada para el despido improcedente, dado que no permite la restitución íntegra de los daños y perjuicios sufridos y no deja margen judicial para su fijación. Pues bien, de acuerdo con lo dicho en el ATC 43/2014, FJ 5 A), a la luz de nuestra doctrina sobre el principio de interdicción de arbitrariedad, debemos entender que el reproche formulado carece de fundamento por las siguientes razones.</w:t>
      </w:r>
    </w:p>
    <w:p w:rsidR="00B85568" w:rsidRDefault="00B85568" w:rsidP="00B85568">
      <w:pPr>
        <w:pStyle w:val="TextoNormal"/>
      </w:pPr>
    </w:p>
    <w:p w:rsidR="00B85568" w:rsidRDefault="00B85568" w:rsidP="00B85568">
      <w:pPr>
        <w:pStyle w:val="TextoNormal"/>
      </w:pPr>
      <w:r>
        <w:t>En primer lugar, porque las normas cuestionadas no son discriminatorias, pues no prevén diferencias entre los trabajadores comprendidos en el supuesto regulado y tampoco se aprecia que incurran en discriminación “de origen clasista o por condición social”, aspecto este último sobre el que más adelante se volverá.</w:t>
      </w:r>
    </w:p>
    <w:p w:rsidR="00B85568" w:rsidRDefault="00B85568" w:rsidP="00B85568">
      <w:pPr>
        <w:pStyle w:val="TextoNormal"/>
      </w:pPr>
    </w:p>
    <w:p w:rsidR="00B85568" w:rsidRDefault="00B85568" w:rsidP="00B85568">
      <w:pPr>
        <w:pStyle w:val="TextoNormal"/>
      </w:pPr>
      <w:r>
        <w:t>En segundo lugar, debemos descartar también la contravención del art. 9.3 CE, en la medida en que no puede afirmarse que los preceptos cuestionados carecen de explicación racional. Según dijimos en el ATC 43/2014 tras repasar nuestra doctrina sobre el alcance del art. 35 CE, la determinación de la reacción adecuada o protección frente al despido “queda dentro … del ámbito de configuración del legislador, quien legítimamente puede disponer que, en los despidos declarados improcedentes, el empresario quede sujeto a la opción entre readmitir al trabajador o abonarle una indemnización adecuada” [FJ 5 A)]. De manera específica añadimos que, por lo que se refiere concretamente a la opción indemnizatoria, “ha de entenderse que, dentro de ese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como entonces dijimos respecto a la previsión allí examinada, también ahora hemos de declarar que a tal facultad otorgada al legislador responde el criterio de fijación de la indemnización por despido improcedente establecido en el art. 18.7 de la Ley 3/2012 —al que se remite el apartado 1 de su disposición transitoria quinta—, “sin que pueda apreciarse arbitrariedad en ninguno de los aspectos señalados”.</w:t>
      </w:r>
    </w:p>
    <w:p w:rsidR="00B85568" w:rsidRDefault="00B85568" w:rsidP="00B85568">
      <w:pPr>
        <w:pStyle w:val="TextoNormal"/>
      </w:pPr>
    </w:p>
    <w:p w:rsidR="00B85568" w:rsidRDefault="00B85568" w:rsidP="00B85568">
      <w:pPr>
        <w:pStyle w:val="TextoNormal"/>
      </w:pPr>
      <w:r>
        <w:t>Por los mismos motivos expuestos en el ATC 43/2014 y reflejados ahora en síntesis, tal conclusión se explica, de una parte, porque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De otra parte, lo mismo cabe decir respecto a los factores de cálculo elegidos por el legislador para determinar la indemnización, dado que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 treinta y tres días— que en los despidos colectivos u objetivos procedentes —veinte días (arts. 51.4 y 53.1 LET)—”, debiendo además añadirse que, por lo allí explicado, “tampoco esta fórmula legal se opone al Convenio núm. 158 de la Organización Internacional del Trabajo”. Por último, respecto a las variaciones que primero el Real Decreto-ley 3/2012 y después la Ley 3/2012 introducen en el factor multiplicador y en el tope máximo de la indemnización por despido improcedente, también hemos de negar que la asignación de una magnitud distinta incurra en arbitrariedad, no cuestionándose directamente en el Auto de planteamiento la suficiencia de los valores numéricos otorgados, sino sólo su carácter tasado y su modificación: a este respecto, “basta reiterar que … la posibilidad de atribuir valores tasados a los elementos de cálculo de la indemnización adecuada por despido improcedente, así como la de proceder a su revisión normativa, son facultades que quedan dentro de la libertad de configuración atribuida al legislador por el art. 35.2 CE” [ATC 43/2014, FJ 5 A)].</w:t>
      </w:r>
    </w:p>
    <w:p w:rsidR="00B85568" w:rsidRDefault="00B85568" w:rsidP="00B85568">
      <w:pPr>
        <w:pStyle w:val="TextoNormal"/>
      </w:pPr>
    </w:p>
    <w:p w:rsidR="00B85568" w:rsidRDefault="00B85568" w:rsidP="00B85568">
      <w:pPr>
        <w:pStyle w:val="TextoNormal"/>
      </w:pPr>
      <w:r>
        <w:t>En definitiva, atendidas las anteriores consideraciones, hemos de considerar infundada la denuncia de arbitrariedad planteada por el órgano proponente respecto al art. 18.7 y el apartado 1 de la disposición transitoria quinta de la Ley 3/2012.</w:t>
      </w:r>
    </w:p>
    <w:p w:rsidR="00B85568" w:rsidRDefault="00B85568" w:rsidP="00B85568">
      <w:pPr>
        <w:pStyle w:val="TextoNormal"/>
      </w:pPr>
    </w:p>
    <w:p w:rsidR="00B85568" w:rsidRDefault="00B85568" w:rsidP="00B85568">
      <w:pPr>
        <w:pStyle w:val="TextoNormal"/>
      </w:pPr>
      <w:r>
        <w:t>b) La misma falta de fundamento se aprecia en la alegación del Auto de planteamiento de que la tutela judicial otorgada con apoyo en estos preceptos cuestionados no podrá ser efectiva, sino parcial y meramente nominal, con la consiguiente vulneración del art. 24.1 CE.</w:t>
      </w:r>
    </w:p>
    <w:p w:rsidR="00B85568" w:rsidRDefault="00B85568" w:rsidP="00B85568">
      <w:pPr>
        <w:pStyle w:val="TextoNormal"/>
      </w:pPr>
    </w:p>
    <w:p w:rsidR="00B85568" w:rsidRDefault="00B85568" w:rsidP="00B85568">
      <w:pPr>
        <w:pStyle w:val="TextoNormal"/>
      </w:pPr>
      <w:r>
        <w:t>Conforme indicamos en el ATC 43/2014, para rechazar esta denuncia ha de tenerse presente que “el contenido del art. 24.1 CE se sitúa en un plano distinto al de la determinación del régimen indemnizatorio de la extinción”, y en este caso,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[FJ 5 B)].</w:t>
      </w:r>
    </w:p>
    <w:p w:rsidR="00B85568" w:rsidRDefault="00B85568" w:rsidP="00B85568">
      <w:pPr>
        <w:pStyle w:val="TextoNormal"/>
      </w:pPr>
    </w:p>
    <w:p w:rsidR="00B85568" w:rsidRDefault="00B85568" w:rsidP="00B85568">
      <w:pPr>
        <w:pStyle w:val="TextoNormal"/>
      </w:pPr>
      <w:r>
        <w:t>c) Finalmente, como novedad respecto a la cuestión resuelta en el ATC 43/2014, en la ahora elevada hemos de analizar la denuncia adicional de que los preceptos examinados incurren también en una posible vulneración del art. 14 CE, en la medida en que, en opinión del órgano promotor, la comparación de las consecuencias de un incumplimiento contractual doloso o culpable en el ordenamiento común y en el ordenamiento laboral evidencia un trato discriminatorio “de origen clasista o por condición social”. Tal novedad, sin embargo, es relativa, puesto que el ATC 43/2014 ya contestó a similar argumentación, con ocasión de la respuesta dada a la tacha de arbitrariedad imputada desde la perspectiva del art. 9.3 CE.</w:t>
      </w:r>
    </w:p>
    <w:p w:rsidR="00B85568" w:rsidRDefault="00B85568" w:rsidP="00B85568">
      <w:pPr>
        <w:pStyle w:val="TextoNormal"/>
      </w:pPr>
    </w:p>
    <w:p w:rsidR="00B85568" w:rsidRDefault="00B85568" w:rsidP="00B85568">
      <w:pPr>
        <w:pStyle w:val="TextoNormal"/>
      </w:pPr>
      <w:r>
        <w:t>Como entonces razonamos, el planteamiento del Juzgado “parece partir de la asimilación de la condición de ‘trabajador’ —sin más precisiones— a ‘cualquier otra condición o circunstancia personal o social’ a que el art. 14 CE extiende la prohibición de discriminación. Pues bien, sin entrar siquiera a razonar sobre el juicio que esta asimilación merece en atención a nuestra doctrina sobre los rasgos que ha de reunir el criterio de diferenciación para considerarlo causa de discriminación (por todas, STC 36/2011, de 28 de marzo, FJ 5), basta poner de relieve que, en todo caso, las diferencias establecidas en el ordenamiento civil y laboral en orden a la indemnización por resolución contractual encuentran justificación objetiva en el carácter autónomo y separado de ambas ramas del ordenamiento jurídico. No hay que olvidar que el contrato de trabajo se rige por reglas y principios propios, distintos a los aplicados a los contratos civiles, pudiendo, por tanto, ser diferente el régimen jurídico de resarcimiento de daños, en particular cuando se trata de la extinción de unos y otros vínculos contractuales. Por tal razón, ha de descartarse que exista vulneración del principio de no discriminación, de la misma manera que tampoco la hay del principio de igualdad, por cuanto no estamos ante un término de comparación válido. Como ya este Tribunal tuvo ocasión de manifestar con motivo de una alegación de desigualdad entre el régimen indemnizatorio por extinción contractual en el Derecho laboral y en el Derecho civil, ‘no existe objetiva desigualdad, sino subjetivas diferencias de régimen dentro de sistemas de derecho distintos y legítimos por contemplar posiciones subjetivas no idénticas y que por ende comportan dispar tratamiento jurídico, que no lesiona dicho principio de igualdad constitucional’ (ATC 293/1983, de 15 de junio, FJ 4)” [ATC 43/2014, FJ 5 A)]. Lógicamente, estos mismos razonamientos deben llevar en la presente cuestión a no considerar fundada la alegación de que el art. 18.7 y el apartado 1 de la disposición transitoria quinta de la Ley 3/2012 son contrarios al art. 14 CE.</w:t>
      </w:r>
    </w:p>
    <w:p w:rsidR="00B85568" w:rsidRDefault="00B85568" w:rsidP="00B85568">
      <w:pPr>
        <w:pStyle w:val="TextoNormal"/>
      </w:pPr>
    </w:p>
    <w:p w:rsidR="00B85568" w:rsidRDefault="00B85568" w:rsidP="00B85568">
      <w:pPr>
        <w:pStyle w:val="TextoNormal"/>
      </w:pPr>
      <w:r w:rsidRPr="00B85568">
        <w:rPr>
          <w:rStyle w:val="NumeroAFNegritaCaracter"/>
        </w:rPr>
        <w:t>5</w:t>
      </w:r>
      <w:r>
        <w:t>. Alcanzadas las anteriores conclusiones, corresponde ahora examinar la dudas de constitucionalidad planteadas respecto al art. 18.8 de la Ley 3/2012, por presunta vulneración de los arts. 9.3, 24.1 en relación con el art. 35.1, y art. 14 CE.</w:t>
      </w:r>
    </w:p>
    <w:p w:rsidR="00B85568" w:rsidRDefault="00B85568" w:rsidP="00B85568">
      <w:pPr>
        <w:pStyle w:val="TextoNormal"/>
      </w:pPr>
    </w:p>
    <w:p w:rsidR="00B85568" w:rsidRDefault="00B85568" w:rsidP="00B85568">
      <w:pPr>
        <w:pStyle w:val="TextoNormal"/>
      </w:pPr>
      <w:r>
        <w:t>El citado art. 18.8 da nueva redacción al art. 56.2 LET, en el que se establece que, en la opción por la readmisión de los despidos improcedentes, el trabajador tendrá derecho a percibir salarios de tramitación, determinándose la fórmula de cuantificación de éstos, y sin que, a diferencia de lo que sucedía en la normativa previa al Real Decreto-ley 3/2012, se extienda su reconocimiento a los supuestos de opción por la indemnización, sin perjuicio de la excepción prevista para los representantes de los trabajadores en el art. 56.4 LET. Idéntica previsión ya fue objeto de análisis en el reiterado ATC 43/2014, en el que se declararon notoriamente infundadas las denuncias que, con análoga argumentación a la ahora presentada, se formularon en relación con los arts. 9.3, 24.1 y 35.1 CE. Por tal razón, con apoyo en la fundamentación expuesta en el citado ATC 43/2014 y de la que, de forma resumida, se da cuenta a continuación, también en la presente cuestión hemos de reiterar la conclusión allí alcanzada, solución que, por los motivos que después se indican, se hará extensiva a la duda de constitucionalidad relativa al art. 14 CE que aquí se adiciona.</w:t>
      </w:r>
    </w:p>
    <w:p w:rsidR="00B85568" w:rsidRDefault="00B85568" w:rsidP="00B85568">
      <w:pPr>
        <w:pStyle w:val="TextoNormal"/>
      </w:pPr>
    </w:p>
    <w:p w:rsidR="00B85568" w:rsidRDefault="00B85568" w:rsidP="00B85568">
      <w:pPr>
        <w:pStyle w:val="TextoNormal"/>
      </w:pPr>
      <w:r>
        <w:t xml:space="preserve">a) Así, con relación a la alegación de que el precepto legal es contrario a la prohibición de arbitrariedad establecida en el art. 9.3 CE, el Magistrado-Juez argumenta que, en tanto integran el </w:t>
      </w:r>
      <w:r w:rsidRPr="00B85568">
        <w:rPr>
          <w:i/>
        </w:rPr>
        <w:t>lucrum cessans</w:t>
      </w:r>
      <w:r>
        <w:t>, la eliminación de los salarios de tramitación en la opción por la indemnización mutila la íntegra o adecuada reparación de los daños y perjuicios sufridos, añadiendo que la arbitrariedad se amplifica tanto por ser el empresario el que, al ejercer el derecho de opción, determina la extensión de su propia responsabilidad, como si se compara con el régimen establecido en el art. 56.4 LET para los representantes de los trabajadores. Asimismo, también desde la indicada perspectiva del art. 9.3 CE, el órgano promotor considera que el principio de integridad y adecuación indemnizatoria queda conculcado desde el momento en que, en la alternativa por la readmisión, la norma sólo exige la reincorporación al trabajo y el abono de los salarios dejados de percibir, pero sin contemplar otros posibles daños que el despido ha podido producir, dando lugar a lo que denomina una “infracompensación” que estimula un incremento de los despidos. Unas y otras alegaciones, sin embargo, no conducen a apreciar arbitrariedad en el art. 18.8 de la Ley 3/2012, pues, según dijimos en el ATC 43/2014, la previsión cuestionada, además de no incurrir en discriminación, no carece de fundamento.</w:t>
      </w:r>
    </w:p>
    <w:p w:rsidR="00B85568" w:rsidRDefault="00B85568" w:rsidP="00B85568">
      <w:pPr>
        <w:pStyle w:val="TextoNormal"/>
      </w:pPr>
    </w:p>
    <w:p w:rsidR="00B85568" w:rsidRDefault="00B85568" w:rsidP="00B85568">
      <w:pPr>
        <w:pStyle w:val="TextoNormal"/>
      </w:pPr>
      <w:r>
        <w:t>Como entonces indicamos [FJ 6 A)], “[e]n una valoración individual de la decisión de no sumar a la indemnización fijada una cantidad adicional en concepto de salarios de tramitación, cabe trasladar aquí lo ya explicado sobre la admisión de las indemnizaciones tasadas en el despido, sin que, por lo dicho, resulte constitucionalmente reprochable que el legislador haya decidido que la reacción adecuada que debe corresponder por el resarcimiento de los daños derivados de la extinción contractual improcedente quede fijada en una cuantía legalmente predeterminada, sin otras adiciones”. Además, el preámbulo de la Ley 3/2012 “explica las razones con las que el legislador justifica la supresión de los salarios de tramitación en la opción indemnizatoria —básicamente, la inadecuación de la duración del proceso judicial como criterio de compensación del perjuicio por la pérdida de empleo, su posible efecto incentivador de estrategias procesales dilatorias, y su carácter de coste parcialmente socializado ante la posibilidad del empresario de reclamar una parte de dichos salarios al Estado—” [FJ 6 A)].</w:t>
      </w:r>
    </w:p>
    <w:p w:rsidR="00B85568" w:rsidRDefault="00B85568" w:rsidP="00B85568">
      <w:pPr>
        <w:pStyle w:val="TextoNormal"/>
      </w:pPr>
    </w:p>
    <w:p w:rsidR="00B85568" w:rsidRDefault="00B85568" w:rsidP="00B85568">
      <w:pPr>
        <w:pStyle w:val="TextoNormal"/>
      </w:pPr>
      <w:r>
        <w:t>En términos comparativos con el régimen de la readmisión, tampoco cabe apreciar que la norma esté falta de explicación razonable, en atención a que, como ya se recordara en el ATC 43/2014 con apoyo en pronunciamientos previos de este Tribunal, la situación en que queda el contrato en cada una de las opciones a elegir por el empresario no resulta homogénea: mientras en la opción por la readmisión se entiende que la relación laboral “se ha mantenido igualmente en vigor, sin solución de continuidad, entre las fechas del despido y la readmisión”, en el caso de optarse por la extinción indemnizada se estima que “la relación laboral queda definitivamente extinguida con efectos de la fecha del despido”, de ahí que, ante estos presupuestos distintos, el reconocimiento de salarios de tramitación en la opción por la readmisión y su omisión en la opción por la indemnización no se haya considerado una diferencia de trato desproporcionada o irrazonable (por todas, STC 84/2008, de 21 de julio, FJ 7). Como más recientemente también ha confirmado la STC 8/2015, de 22 de enero, en relación con el ahora cuestionado art. 18.8 de la Ley 3/2012, la referida decisión legislativa “cuenta con una justificación que no puede tacharse de arbitraria o irrazonable”, no vulnerando ni el derecho al trabajo ni el principio de igualdad (FJ 8).</w:t>
      </w:r>
    </w:p>
    <w:p w:rsidR="00B85568" w:rsidRDefault="00B85568" w:rsidP="00B85568">
      <w:pPr>
        <w:pStyle w:val="TextoNormal"/>
      </w:pPr>
    </w:p>
    <w:p w:rsidR="00B85568" w:rsidRDefault="00B85568" w:rsidP="00B85568">
      <w:pPr>
        <w:pStyle w:val="TextoNormal"/>
      </w:pPr>
      <w:r>
        <w:t>Asimismo tampoco cabe apreciar arbitrariedad por el distinto trato que el art. 56.4 LET otorga a los representantes de los trabajadores en materia de salarios de tramitación, dado que tal diferencia “puede encontrar justificación en las singularidades de su régimen jurídico”, conforme ya se explicó en el ATC 43/2014 [FJ 6 A)].</w:t>
      </w:r>
    </w:p>
    <w:p w:rsidR="00B85568" w:rsidRDefault="00B85568" w:rsidP="00B85568">
      <w:pPr>
        <w:pStyle w:val="TextoNormal"/>
      </w:pPr>
    </w:p>
    <w:p w:rsidR="00B85568" w:rsidRDefault="00B85568" w:rsidP="00B85568">
      <w:pPr>
        <w:pStyle w:val="TextoNormal"/>
      </w:pPr>
      <w:r>
        <w:t>Por último, respecto a la alegación de que, en la opción por la readmisión, la norma se limita a exigir la reincorporación al trabajo y el abono de los salarios dejados de percibir, hemos de reiterar que “el establecimiento de otras consecuencias adicionales en un despido improcedente queda dentro de la ya referida libertad de configuración legal derivada del art. 35.2 CE, sin que desde la perspectiva constitucional merezca ningún reproche que el legislador laboral no haya hecho mención a otras cantidades indemnizatorias concretas. La previsión cuestionada, por tanto, no resulta arbitraria, y la idea de que la no inclusión de indemnizaciones adicionales incrementa los despidos constituye de nuevo una presunción del órgano promotor” [ATC 43/2014, FJ 6 B)]).</w:t>
      </w:r>
    </w:p>
    <w:p w:rsidR="00B85568" w:rsidRDefault="00B85568" w:rsidP="00B85568">
      <w:pPr>
        <w:pStyle w:val="TextoNormal"/>
      </w:pPr>
    </w:p>
    <w:p w:rsidR="00B85568" w:rsidRDefault="00B85568" w:rsidP="00B85568">
      <w:pPr>
        <w:pStyle w:val="TextoNormal"/>
      </w:pPr>
      <w:r>
        <w:t>En suma, el conjunto de razones expuestas llevan a considerar infundada la denuncia de que el contenido del art. 18.8 de la Ley 3/2012 contraviene la prohibición de arbitrariedad establecida en el art. 9.3 CE.</w:t>
      </w:r>
    </w:p>
    <w:p w:rsidR="00B85568" w:rsidRDefault="00B85568" w:rsidP="00B85568">
      <w:pPr>
        <w:pStyle w:val="TextoNormal"/>
      </w:pPr>
    </w:p>
    <w:p w:rsidR="00B85568" w:rsidRDefault="00B85568" w:rsidP="00B85568">
      <w:pPr>
        <w:pStyle w:val="TextoNormal"/>
      </w:pPr>
      <w:r>
        <w:t>b) El Auto de planteamiento también considera que el art. 18.8 de la Ley 3/2012 (art. 56.2 LET) vulnera la tutela judicial efectiva (art. 24.1 CE), por lesionar el principio de seguridad jurídica y por entender que se produce una desigualdad esencial en el procedimiento y tutela dispensada por el Juez, al permitir la ley que sea el empresario el que determine la extensión de su propia condena —mayor en la opción por la readmisión (pago de salarios de tramitación) y menor en la opción por la indemnización (sin salarios de tramitación)—. Como ya expusimos en el ATC 43/2014, FJ 6 A), estas alegaciones coinciden con las que fueron ya desestimadas en la STC 84/2008, de 21 de julio, en relación con la similar regulación de los salarios de tramitación efectuada por el Real Decreto-ley 5/2002, siendo posible trasladar aquí la solución y argumentación que entonces se dio.</w:t>
      </w:r>
    </w:p>
    <w:p w:rsidR="00B85568" w:rsidRDefault="00B85568" w:rsidP="00B85568">
      <w:pPr>
        <w:pStyle w:val="TextoNormal"/>
      </w:pPr>
    </w:p>
    <w:p w:rsidR="00B85568" w:rsidRDefault="00B85568" w:rsidP="00B85568">
      <w:pPr>
        <w:pStyle w:val="TextoNormal"/>
      </w:pPr>
      <w:r>
        <w:t>Respecto al principio de seguridad jurídica, el Tribunal Constitucional no advirtió vulneración del derecho a la tutela judicial efectiva desde esta perspectiva por cuanto que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 (STC 84/2008, FJ 8). Por su parte, en relación con la desigualdad alegada, el Tribunal respondió que “[e]ste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w:t>
      </w:r>
    </w:p>
    <w:p w:rsidR="00B85568" w:rsidRDefault="00B85568" w:rsidP="00B85568">
      <w:pPr>
        <w:pStyle w:val="TextoNormal"/>
      </w:pPr>
    </w:p>
    <w:p w:rsidR="00B85568" w:rsidRDefault="00B85568" w:rsidP="00B85568">
      <w:pPr>
        <w:pStyle w:val="TextoNormal"/>
      </w:pPr>
      <w:r>
        <w:t xml:space="preserve">c) También el Auto de planteamiento expone que la decisión de que la readmisión vaya acompañada del pago de salarios de tramitación —y su cotización a la Seguridad Social— y la indemnización no, incentiva la rescisión contractual indemnizada, lo que actúa en contra de la promoción del empleo y del derecho al trabajo reconocido en el art. 35.1 CE, sin que exista justificación objetiva y razonable del desproporcionado sacrificio del principio </w:t>
      </w:r>
      <w:r w:rsidRPr="00B85568">
        <w:rPr>
          <w:i/>
        </w:rPr>
        <w:t>pro labore</w:t>
      </w:r>
      <w:r>
        <w:t>. No obstante, como ya concluimos en el ATC 43/2014, esta lesión del derecho constitucional invocado no resulta apreciable, conclusión que ha sido reafirmada en la STC 8/2015, de 22 de enero, FJ 8, al rechazar que el cuestionado art. 18.8 de la Ley 3/2012 vulnere el art. 35.1 CE.</w:t>
      </w:r>
    </w:p>
    <w:p w:rsidR="00B85568" w:rsidRDefault="00B85568" w:rsidP="00B85568">
      <w:pPr>
        <w:pStyle w:val="TextoNormal"/>
      </w:pPr>
    </w:p>
    <w:p w:rsidR="00B85568" w:rsidRDefault="00B85568" w:rsidP="00B85568">
      <w:pPr>
        <w:pStyle w:val="TextoNormal"/>
      </w:pPr>
      <w:r>
        <w:t xml:space="preserve">Según dijimos en el ATC 43/2014 ante análogos argumentos del órgano promotor,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w:t>
      </w:r>
      <w:r w:rsidRPr="00B85568">
        <w:rPr>
          <w:i/>
        </w:rPr>
        <w:t>ex</w:t>
      </w:r>
      <w:r>
        <w:t xml:space="preserve"> art. 35.2 CE”, pues, conforme allí se razonó, el pago de una indemnización económica adecuada constituye una alternativa que “resulta conforme con el derecho al trabajo </w:t>
      </w:r>
      <w:r w:rsidRPr="00B85568">
        <w:rPr>
          <w:i/>
        </w:rPr>
        <w:t>ex</w:t>
      </w:r>
      <w:r>
        <w:t xml:space="preserve"> art. 35.1 CE y con el art. 10 del Convenio núm. 158 de la Organización Internacional del Trabajo” [FJ 6 A)]. Además, “el alegado efecto incentivador de la extinción como consecuencia de exigir salarios de tramitación en la reincorporación y no en la indemnización no deja de ser una presunción del órgano promotor, pero que en ningún caso constituye una consecuencia necesaria del precepto cuestionado, sin que en ningún momento quede impedida la posibilidad de optar por la readmisión” [ATC 43/2014, FJ 6 A)]. Estas consideraciones llevan, pues, a no apreciar fundamento en la denuncia relativa a la no adecuación al art. 35 CE del art. 18.8 de la Ley 3/2012. Así lo hemos declarado ya en la STC 8/2015, de 22 de enero, FJ 8.</w:t>
      </w:r>
    </w:p>
    <w:p w:rsidR="00B85568" w:rsidRDefault="00B85568" w:rsidP="00B85568">
      <w:pPr>
        <w:pStyle w:val="TextoNormal"/>
      </w:pPr>
    </w:p>
    <w:p w:rsidR="00B85568" w:rsidRDefault="00B85568" w:rsidP="00B85568">
      <w:pPr>
        <w:pStyle w:val="TextoNormal"/>
      </w:pPr>
      <w:r>
        <w:t>d) Finalmente, la constitucionalidad del art. 18.8 de la Ley 3/2012 también se pone en cuestión por el órgano promotor, por considerar que contraviene el art. 14 CE. En su argumentación indica que tal vulneración se produce por el mismo mecanismo antes descrito, es decir, por el establecimiento, a su juicio, de un marco indemnizatorio desigual, peor que el establecido en el ordenamiento común e insatisfactorio del principio de integridad/adecuación de la reparación, “todo ello fundado en la condición social de trabajador”.</w:t>
      </w:r>
    </w:p>
    <w:p w:rsidR="00B85568" w:rsidRDefault="00B85568" w:rsidP="00B85568">
      <w:pPr>
        <w:pStyle w:val="TextoNormal"/>
      </w:pPr>
    </w:p>
    <w:p w:rsidR="00B85568" w:rsidRDefault="00B85568" w:rsidP="00B85568">
      <w:pPr>
        <w:pStyle w:val="TextoNormal"/>
      </w:pPr>
      <w:r>
        <w:t>Como puede apreciarse, el planteamiento del órgano proponente en esta denuncia coincide con el formulado respecto al art. 18.7 y la disposición transitoria quinta de la Ley 3/2012, que también ha sido contestado en este pronunciamiento. Por ello, limitado nuestro enjuiciamiento al razonamiento efectuado por el Juzgado —y sin que ello implique pronunciarnos sobre la naturaleza jurídica de los salarios de tramitación—, debemos remitirnos a lo ya expresado en el fundamento jurídico 4 c) a efectos de rechazar la discriminación alegada, y en especial, hemos de reiterar que, en todo caso, las diferencias en el ordenamiento común y laboral respecto al régimen económico derivado de la resolución contractual encuentran justificación objetiva en el carácter autónomo y separado de ambas ramas del ordenamiento jurídico, y en concreto, en el hecho de que el contrato de trabajo se rige por reglas y principios propios, distintos a los aplicados a los contratos civiles. También aquí, por tanto, hemos de negar que la regulación establecida en el art. 18.8 de la Ley 3/2012 incurra en una discriminación por la condición social de trabajador, no pudiendo en consecuencia considerar fundada la alegada vulneración del art. 14 CE.</w:t>
      </w:r>
    </w:p>
    <w:p w:rsidR="00B85568" w:rsidRDefault="00B85568" w:rsidP="00B85568">
      <w:pPr>
        <w:pStyle w:val="TextoNormal"/>
      </w:pPr>
    </w:p>
    <w:p w:rsidR="00B85568" w:rsidRDefault="00B85568" w:rsidP="00B85568">
      <w:pPr>
        <w:pStyle w:val="TextoNormal"/>
      </w:pPr>
      <w:r w:rsidRPr="00B85568">
        <w:rPr>
          <w:rStyle w:val="NumeroAFNegritaCaracter"/>
        </w:rPr>
        <w:t>6</w:t>
      </w:r>
      <w:r>
        <w:t>. En definitiva, en atención a las razones ya expresadas, hemos de concluir que las dudas de constitucionalidad planteadas en esta cuestión carecen de viabilidad suficiente y han de considerarse notoriamente infundadas, a los efectos previstos en el art. 37.1 LOTC. Procede, en consecuencia, declarar la inadmisión a trámite de la cuestión de inconstitucionalidad presentada.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rsidP="00B85568">
      <w:pPr>
        <w:pStyle w:val="ParrafoNormal"/>
      </w:pPr>
    </w:p>
    <w:p w:rsidR="00B85568" w:rsidRDefault="00B85568" w:rsidP="00B85568">
      <w:pPr>
        <w:pStyle w:val="TextoNormalNegritaCentrado"/>
        <w:keepNext/>
      </w:pPr>
      <w:r>
        <w:t>Voto particular que formula el Magistrado don Fernando Valdés Dal-Ré al Auto que resuelve la cuestión de inconstitucionalidad núm. 930-2014, y al que se adhieren la Magistrada doña Adela Asua Batarrita y el Magistrado don Luis Ignacio Ortega Álvarez.</w:t>
      </w:r>
    </w:p>
    <w:p w:rsidR="00B85568" w:rsidRDefault="00B85568" w:rsidP="00B85568">
      <w:pPr>
        <w:pStyle w:val="TextoNormalNegritaCentrado"/>
        <w:keepNext/>
      </w:pPr>
    </w:p>
    <w:p w:rsidR="00B85568" w:rsidRDefault="00B85568" w:rsidP="00B85568">
      <w:pPr>
        <w:pStyle w:val="TextoNormal"/>
      </w:pPr>
      <w:r>
        <w:t>Dentro del máximo respeto hacia el parecer mayoritario de mis compañeros, entiendo que la presente cuestión de inconstitucionalidad, promovida por el Juzgado de lo social núm. 34 de los de Madrid, debió de ser admitida, con el consiguiente dictado de una sentencia estimatoria de la inconstitucionalidad y, nulidad de los números 1 y 2 del art. 18, de la Ley 3/2012, de 6 de julio, de medidas urgentes para la reforma del mercado de trabajo, que modifican respectivamente los números 1 y 2 del art. 56 del texto refundido del estatuto de los Trabajadores, aprobado por Real Decreto Legislativo 1/1995, de 24 de marzo.</w:t>
      </w:r>
    </w:p>
    <w:p w:rsidR="00B85568" w:rsidRDefault="00B85568" w:rsidP="00B85568">
      <w:pPr>
        <w:pStyle w:val="TextoNormal"/>
      </w:pPr>
    </w:p>
    <w:p w:rsidR="00B85568" w:rsidRDefault="00B85568" w:rsidP="00B85568">
      <w:pPr>
        <w:pStyle w:val="TextoNormal"/>
      </w:pPr>
      <w:r>
        <w:t>Conforme tuve oportunidad de argumentar en el apartado 5 del Voto particular a la STC 8/2015, de 22 de enero, que sustanció el recurso de inconstitucionalidad núm. 5610-2012, y a cuyos razonamientos ahora me remito, los citados preceptos legales, al excluir el pago de salarios de tramitación en el supuesto de que el empresario opte por abonar la indemnización legalmente establecida a aquellos trabajadores cuyo despido hubiere sido judicialmente declarado como improcedente, lesionan el derecho al trabajo, en su vertiente individual, consagrado en el art. 35.1 CE.</w:t>
      </w:r>
    </w:p>
    <w:p w:rsidR="00B85568" w:rsidRDefault="00B85568" w:rsidP="00B85568">
      <w:pPr>
        <w:pStyle w:val="TextoNormal"/>
      </w:pPr>
    </w:p>
    <w:p w:rsidR="00B85568" w:rsidRDefault="00B85568" w:rsidP="00B85568">
      <w:pPr>
        <w:pStyle w:val="TextoNormal"/>
      </w:pPr>
      <w:r>
        <w:t>Y en tal sentido emito este Voto particular.</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4" w:name="AUTO_2015_34"/>
      <w:r>
        <w:t>AUTO 34/2015, de 17 de febrero de 2015</w:t>
      </w:r>
    </w:p>
    <w:bookmarkEnd w:id="184"/>
    <w:p w:rsidR="00B85568" w:rsidRDefault="00B85568" w:rsidP="00B85568">
      <w:pPr>
        <w:pStyle w:val="TtuloResolucin"/>
      </w:pPr>
      <w:r>
        <w:t>Pleno</w:t>
      </w:r>
    </w:p>
    <w:p w:rsidR="00B85568" w:rsidRDefault="00B85568" w:rsidP="00B85568">
      <w:pPr>
        <w:pStyle w:val="TextoNormalCentrado"/>
      </w:pPr>
      <w:r>
        <w:t>ECLI:ES:TC:2015:34A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983-2014, planteada por el Juzgado de lo Social núm. 34 de Madrid en relación con la disposición transitoria quinta, los artículos 18.Siete y 18.Ocho de la Ley 3/2012, de 6 de julio, de medidas urgentes para la reforma del mercado laboral. Voto particular.</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20 de febrero de 2014 tuvo entrada en el Registro General de este Tribunal un escrito del Secretario Judicial del Juzgado de lo Social núm. 34 de Madrid al que se acompaña, junto con el testimonio del procedimiento núm. 311-2013, sobre despido, que se tramita ante dicho Juzgado, el Auto de 3 de febrero de 2013 (</w:t>
      </w:r>
      <w:r w:rsidRPr="00B85568">
        <w:rPr>
          <w:i/>
        </w:rPr>
        <w:t>sic</w:t>
      </w:r>
      <w:r>
        <w:t>, entiéndase 2014), por el que el citado Juzgado acuerda plantear cuestión de inconstitucionalidad respecto al art. 18.7 y la disposición transitoria quinta, así como el art. 18.8 de la Ley 3/2012, de 6 de julio, de medidas urgentes para la reforma del mercado laboral, por posible vulneración de los arts. 9.3, 14, 24.1 y 35.1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presente cuestión de inconstitucionalidad son, en síntesis, los siguientes:</w:t>
      </w:r>
    </w:p>
    <w:p w:rsidR="00B85568" w:rsidRDefault="00B85568" w:rsidP="00B85568">
      <w:pPr>
        <w:pStyle w:val="TextoNormal"/>
      </w:pPr>
    </w:p>
    <w:p w:rsidR="00B85568" w:rsidRDefault="00B85568" w:rsidP="00B85568">
      <w:pPr>
        <w:pStyle w:val="TextoNormal"/>
      </w:pPr>
      <w:r>
        <w:t>a) El día 5 de marzo de 2013, la demandante presentó demanda de despido frente a Integra Valoriza, S.L. Según la prueba documental aportada, la actora había pasado a prestar servicios en Integra Valoriza, S.L., desde 1 de abril de 2012, por vía de subrogación y con conservación de su antigüedad, tras asumir esta empresa la actividad hasta entonces prestada por Gestión Integral Bibey, S.L., a la que estaba vinculada contractualmente la trabajadora desde el año 2011. En dicha demanda solicitaba al Juzgado de lo Social que el despido disciplinario comunicado por Integra Valoriza, S.L. —con efectos inicialmente de 21 de febrero de 2013 y después corregido a fecha 18 de febrero de 2013— fuera declarado nulo, y subsidiariamente improcedente. Por decreto de 25 de marzo de 2013, el Juzgado de lo Social núm. 34 de Madrid acordó la admisión a trámite de dicha demanda.</w:t>
      </w:r>
    </w:p>
    <w:p w:rsidR="00B85568" w:rsidRDefault="00B85568" w:rsidP="00B85568">
      <w:pPr>
        <w:pStyle w:val="TextoNormal"/>
      </w:pPr>
    </w:p>
    <w:p w:rsidR="00B85568" w:rsidRDefault="00B85568" w:rsidP="00B85568">
      <w:pPr>
        <w:pStyle w:val="TextoNormal"/>
      </w:pPr>
      <w:r>
        <w:t>b) Tras la celebración del acto del juicio el día 12 de noviembre de 2013, concluso el procedimiento y dentro del plazo para dictar sentencia, el Magistrado-Juez dictó providencia en fecha 20 de noviembre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se concretaban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3 de febrero de 2013 (</w:t>
      </w:r>
      <w:r w:rsidRPr="00B85568">
        <w:rPr>
          <w:i/>
        </w:rPr>
        <w:t>sic</w:t>
      </w:r>
      <w:r>
        <w:t>, entiéndase 2014), a cuyo contenido se hace referencia más adelante.</w:t>
      </w:r>
    </w:p>
    <w:p w:rsidR="00B85568" w:rsidRDefault="00B85568" w:rsidP="00B85568">
      <w:pPr>
        <w:pStyle w:val="TextoNormal"/>
      </w:pPr>
    </w:p>
    <w:p w:rsidR="00B85568" w:rsidRDefault="00B85568" w:rsidP="00B85568">
      <w:pPr>
        <w:pStyle w:val="TextoNormal"/>
      </w:pPr>
      <w:r>
        <w:t>c) Mediante escrito registrado el 16 de diciembre de 2013, el Fiscal presentó sus alegaciones, en las que exponía que, a su juicio, concurrían los requisitos formales para proceder a la interposición de la cuestión de inconstitucionalidad de las normas controvertidas. Por parte de la empresa demandada se presentó escrito de alegaciones registrado el 18 de diciembre de 2013, en el que manifiesta no apreciar las infracciones constitucionales señaladas en la providencia. No se presentó escrito de alegaciones por la parte actora.</w:t>
      </w:r>
    </w:p>
    <w:p w:rsidR="00B85568" w:rsidRDefault="00B85568" w:rsidP="00B85568">
      <w:pPr>
        <w:pStyle w:val="TextoNormal"/>
      </w:pPr>
    </w:p>
    <w:p w:rsidR="00B85568" w:rsidRDefault="00B85568" w:rsidP="00B85568">
      <w:pPr>
        <w:pStyle w:val="TextoNormal"/>
      </w:pPr>
      <w:r>
        <w:t>d) El Juzgado de lo Social núm. 34 de Madrid dictó Auto de 3 de febrero de 2013 (</w:t>
      </w:r>
      <w:r w:rsidRPr="00B85568">
        <w:rPr>
          <w:i/>
        </w:rPr>
        <w:t>sic</w:t>
      </w:r>
      <w:r>
        <w:t>, entiéndase 2014), por el que acuerda elevar cuestión de inconstitucionalidad ante el Tribunal Constitucional, respecto al art. 18.7 y la disposición transitoria quinta, así como el art. 18.8 de la Ley 3/2012, de 6 de julio, de medidas urgentes para la reforma del mercado laboral, por presunta vulneración de los arts. 9.3, 14, 24.1 y 35.1 CE.</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3 de febrero de 2013 (</w:t>
      </w:r>
      <w:r w:rsidRPr="00B85568">
        <w:rPr>
          <w:i/>
        </w:rPr>
        <w:t>sic</w:t>
      </w:r>
      <w:r>
        <w:t>, entiéndase 2014) del Juzgado de lo Social núm. 34 de Madrid fundamenta el planteamiento de la cuestión de inconstitucionalidad en las consideraciones que seguidamente, y de forma resumida, se indican.</w:t>
      </w:r>
    </w:p>
    <w:p w:rsidR="00B85568" w:rsidRDefault="00B85568" w:rsidP="00B85568">
      <w:pPr>
        <w:pStyle w:val="TextoNormal"/>
      </w:pPr>
    </w:p>
    <w:p w:rsidR="00B85568" w:rsidRDefault="00B85568" w:rsidP="00B85568">
      <w:pPr>
        <w:pStyle w:val="TextoNormal"/>
      </w:pPr>
      <w:r>
        <w:t>De entrada, tras repasar los antecedentes del caso, el Magistrado-Juez se centra en el análisis de los juicios de aplicabilidad y relevancia. Al respecto razona los motivos por los que considera que la extinción enjuiciada debe ser calificada como despido improcedente, señalando que, atendida la fecha de efectos de la extinción —que fija en el 18 de febrero de 2013—, las consecuencias de dicha calificación deben ser las previstas en la Ley del estatuto de los trabajadores (LET),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B85568" w:rsidRDefault="00B85568" w:rsidP="00B85568">
      <w:pPr>
        <w:pStyle w:val="TextoNormal"/>
      </w:pPr>
    </w:p>
    <w:p w:rsidR="00B85568" w:rsidRDefault="00B85568" w:rsidP="00B85568">
      <w:pPr>
        <w:pStyle w:val="TextoNormal"/>
      </w:pPr>
      <w:r>
        <w:t>a) En primer lugar, el Magistrado-Juez expresa su duda de constitucionalidad respecto al art. 18.7 y la disposición transitoria quinta de la Ley 3/2012, por vulnerar los arts. 9.3, 24.1, 14 y 35.1 (derecho al trabajo) CE.</w:t>
      </w:r>
    </w:p>
    <w:p w:rsidR="00B85568" w:rsidRDefault="00B85568" w:rsidP="00B85568">
      <w:pPr>
        <w:pStyle w:val="TextoNormal"/>
      </w:pPr>
    </w:p>
    <w:p w:rsidR="00B85568" w:rsidRDefault="00B85568" w:rsidP="00B85568">
      <w:pPr>
        <w:pStyle w:val="TextoNormal"/>
      </w:pPr>
      <w:r>
        <w:t>Al respecto, da cuenta del contenido del citado art. 18.7 y de los apartados 1 y 2 de la disposición transitoria quinta, señalando que con esta normativa se reduce de manera significativa la cuantía de las indemnizaciones por despido improcedente. Asimismo, desde la premisa de que tras la calificación del despido como improcedente se halla una conducta dolosa o negligente del empleador, el Magistrado-Juez afirma que la norma de aplicación es arbitraria por cuatro consideraciones.</w:t>
      </w:r>
    </w:p>
    <w:p w:rsidR="00B85568" w:rsidRDefault="00B85568" w:rsidP="00B85568">
      <w:pPr>
        <w:pStyle w:val="TextoNormal"/>
      </w:pPr>
    </w:p>
    <w:p w:rsidR="00B85568" w:rsidRDefault="00B85568" w:rsidP="00B85568">
      <w:pPr>
        <w:pStyle w:val="TextoNormal"/>
      </w:pPr>
      <w:r>
        <w:t>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traslada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w:t>
      </w:r>
    </w:p>
    <w:p w:rsidR="00B85568" w:rsidRDefault="00B85568" w:rsidP="00B85568">
      <w:pPr>
        <w:pStyle w:val="TextoNormal"/>
      </w:pPr>
    </w:p>
    <w:p w:rsidR="00B85568" w:rsidRDefault="00B85568" w:rsidP="00B85568">
      <w:pPr>
        <w:pStyle w:val="TextoNormal"/>
      </w:pPr>
      <w:r>
        <w:t>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Es relevante, indica, que el Convenio 158 de la Organización Internacional del Trabajo (OIT) establece que las indemnizaciones por despido injustificado deben ser “adecuadas” (art. 10). Asimismo, destaca que, conforme al art. 12 de dicho Convenio de la OIT,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w:t>
      </w:r>
    </w:p>
    <w:p w:rsidR="00B85568" w:rsidRDefault="00B85568" w:rsidP="00B85568">
      <w:pPr>
        <w:pStyle w:val="TextoNormal"/>
      </w:pPr>
    </w:p>
    <w:p w:rsidR="00B85568" w:rsidRDefault="00B85568" w:rsidP="00B85568">
      <w:pPr>
        <w:pStyle w:val="TextoNormal"/>
      </w:pPr>
      <w:r>
        <w:t>Tercero, porque la norma reduce las cuantías sin referencia al único criterio válido que es el de equivalencia entre los daños y perjuicios sufridos por el trabajador injustamente despedido y la cuantía del resarcimiento. En tal sentido considera que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w:t>
      </w:r>
    </w:p>
    <w:p w:rsidR="00B85568" w:rsidRDefault="00B85568" w:rsidP="00B85568">
      <w:pPr>
        <w:pStyle w:val="TextoNormal"/>
      </w:pPr>
    </w:p>
    <w:p w:rsidR="00B85568" w:rsidRDefault="00B85568" w:rsidP="00B85568">
      <w:pPr>
        <w:pStyle w:val="TextoNormal"/>
      </w:pPr>
      <w:r>
        <w:t xml:space="preserve">Cuarto, porque el sistema transitorio establecido en la 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w:t>
      </w:r>
      <w:r w:rsidRPr="00B85568">
        <w:rPr>
          <w:i/>
        </w:rPr>
        <w:t>damnum emergens</w:t>
      </w:r>
      <w:r>
        <w:t xml:space="preserve"> o el </w:t>
      </w:r>
      <w:r w:rsidRPr="00B85568">
        <w:rPr>
          <w:i/>
        </w:rPr>
        <w:t>pretium doloris</w:t>
      </w:r>
      <w:r>
        <w:t xml:space="preserve"> de un trabajador despedido injustamente, o sobre cómo explicar que, a partir de determinada antigüedad, la valoración de los daños y perjuicios se “congele”, y que antes se hiciera con una compensación de cuarenta y dos mensualidades y ahora con veinticuatro. </w:t>
      </w:r>
    </w:p>
    <w:p w:rsidR="00B85568" w:rsidRDefault="00B85568" w:rsidP="00B85568">
      <w:pPr>
        <w:pStyle w:val="TextoNormal"/>
      </w:pPr>
      <w:r>
        <w:t>De las anteriores consideraciones infiere el juzgador claras vulneraciones del art. 9.3 CE, relativo a la interdicción de la arbitrariedad, y del art. 24.1 CE, ya que la tutela dispensada por sentencia no podrá ser efectiva, sino parcial y meramente nominal.</w:t>
      </w:r>
    </w:p>
    <w:p w:rsidR="00B85568" w:rsidRDefault="00B85568" w:rsidP="00B85568">
      <w:pPr>
        <w:pStyle w:val="TextoNormal"/>
      </w:pPr>
    </w:p>
    <w:p w:rsidR="00B85568" w:rsidRDefault="00B85568" w:rsidP="00B85568">
      <w:pPr>
        <w:pStyle w:val="TextoNormal"/>
      </w:pPr>
      <w:r>
        <w:t>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B85568" w:rsidRDefault="00B85568" w:rsidP="00B85568">
      <w:pPr>
        <w:pStyle w:val="TextoNormal"/>
      </w:pPr>
    </w:p>
    <w:p w:rsidR="00B85568" w:rsidRDefault="00B85568" w:rsidP="00B85568">
      <w:pPr>
        <w:pStyle w:val="TextoNormal"/>
      </w:pPr>
      <w:r>
        <w:t>b) Como segunda duda de constitucionalidad, considera el órgano judicial que el art. 18.8 de la Ley 3/2012 vulnera los arts. 9.3 y 24.1 CE, en relación con el art. 35.1 CE y el art. 14 CE.</w:t>
      </w:r>
    </w:p>
    <w:p w:rsidR="00B85568" w:rsidRDefault="00B85568" w:rsidP="00B85568">
      <w:pPr>
        <w:pStyle w:val="TextoNormal"/>
      </w:pPr>
    </w:p>
    <w:p w:rsidR="00B85568" w:rsidRDefault="00B85568" w:rsidP="00B85568">
      <w:pPr>
        <w:pStyle w:val="TextoNormal"/>
      </w:pPr>
      <w:r>
        <w:t xml:space="preserve">Desde la perspectiva del art. 9.3 CE (interdicción de la arbitrariedad), el Magistrado-Juez indica que el art. 18.8 de la 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w:t>
      </w:r>
      <w:r w:rsidRPr="00B85568">
        <w:rPr>
          <w:i/>
        </w:rPr>
        <w:t>lucrum cessans</w:t>
      </w:r>
      <w:r>
        <w:t xml:space="preserve">,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contiene un mandato </w:t>
      </w:r>
      <w:r w:rsidRPr="00B85568">
        <w:rPr>
          <w:i/>
        </w:rPr>
        <w:t>pro labore</w:t>
      </w:r>
      <w:r>
        <w:t xml:space="preserve"> que queda vulnerado; y por último, que dicha arbitrariedad se intensifica a la luz de la nueva redacción dada por el art. 18.9 al art. 56.4 LET, que para los supuestos de despido improcedente de representantes legales de los trabajadores o delegados sindicales contempla el derecho a salarios de tramitación tanto si se opta por la readmisión como por la indemnización.</w:t>
      </w:r>
    </w:p>
    <w:p w:rsidR="00B85568" w:rsidRDefault="00B85568" w:rsidP="00B85568">
      <w:pPr>
        <w:pStyle w:val="TextoNormal"/>
      </w:pPr>
    </w:p>
    <w:p w:rsidR="00B85568" w:rsidRDefault="00B85568" w:rsidP="00B85568">
      <w:pPr>
        <w:pStyle w:val="TextoNormal"/>
      </w:pPr>
      <w:r>
        <w:t>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B85568" w:rsidRDefault="00B85568" w:rsidP="00B85568">
      <w:pPr>
        <w:pStyle w:val="TextoNormal"/>
      </w:pPr>
    </w:p>
    <w:p w:rsidR="00B85568" w:rsidRDefault="00B85568" w:rsidP="00B85568">
      <w:pPr>
        <w:pStyle w:val="TextoNormal"/>
      </w:pPr>
      <w:r>
        <w:t>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el Magistrado-Juez dice reformular la presente cuestión de inconstitucionalidad, haciéndola pivotar sobre otros preceptos constitucionales —esencialmente, arts. 9.3 y 24.1 CE—, al margen de las facultades que el art. 39.2 LOTC confiere.</w:t>
      </w:r>
    </w:p>
    <w:p w:rsidR="00B85568" w:rsidRDefault="00B85568" w:rsidP="00B85568">
      <w:pPr>
        <w:pStyle w:val="TextoNormal"/>
      </w:pPr>
    </w:p>
    <w:p w:rsidR="00B85568" w:rsidRDefault="00B85568" w:rsidP="00B85568">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00B85568" w:rsidRDefault="00B85568" w:rsidP="00B85568">
      <w:pPr>
        <w:pStyle w:val="TextoNormal"/>
      </w:pPr>
    </w:p>
    <w:p w:rsidR="00B85568" w:rsidRDefault="00B85568" w:rsidP="00B85568">
      <w:pPr>
        <w:pStyle w:val="TextoNormal"/>
      </w:pPr>
      <w:r>
        <w:t>Por lo que se refiere al art. 35 CE, y tras recordar la jurisprudencia constitucional sobre el alcance del derecho al trabajo y algunas de las exigencias derivadas del Convenio 158 de la OIT,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B85568">
        <w:rPr>
          <w:i/>
        </w:rPr>
        <w:t>o pro labo</w:t>
      </w:r>
      <w:r>
        <w:t>re.</w:t>
      </w:r>
    </w:p>
    <w:p w:rsidR="00B85568" w:rsidRDefault="00B85568" w:rsidP="00B85568">
      <w:pPr>
        <w:pStyle w:val="TextoNormal"/>
      </w:pPr>
    </w:p>
    <w:p w:rsidR="00B85568" w:rsidRDefault="00B85568" w:rsidP="00B85568">
      <w:pPr>
        <w:pStyle w:val="TextoNormal"/>
      </w:pPr>
      <w:r>
        <w:t>Por último, en cuanto al art. 14 CE, insiste en que su vulneración se produce en este caso por el mismo mecanismo antes descrito, es decir, por establecerse un marco indemnizatorio desigual, peor que el fijado en el ordenamiento común e insatisfactorio del principio de integridad/adecuación de la reparación, con fundamento en la condición social de trabajador.</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7 de octubre de 2014, la Sección Tercera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el 7 de noviembre de 2014, en el que interesa la inadmisión a trámite de la cuestión de inconstitucionalidad planteada por resultar notoriamente infundada.</w:t>
      </w:r>
    </w:p>
    <w:p w:rsidR="00B85568" w:rsidRDefault="00B85568" w:rsidP="00B85568">
      <w:pPr>
        <w:pStyle w:val="TextoNormal"/>
      </w:pPr>
    </w:p>
    <w:p w:rsidR="00B85568" w:rsidRDefault="00B85568" w:rsidP="00B85568">
      <w:pPr>
        <w:pStyle w:val="TextoNormal"/>
      </w:pPr>
      <w:r>
        <w:t>Al respecto,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es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B85568" w:rsidRDefault="00B85568" w:rsidP="00B85568">
      <w:pPr>
        <w:pStyle w:val="TextoNormal"/>
      </w:pPr>
    </w:p>
    <w:p w:rsidR="00B85568" w:rsidRDefault="00B85568" w:rsidP="00B85568">
      <w:pPr>
        <w:pStyle w:val="TextoNormal"/>
      </w:pPr>
      <w:r>
        <w:t xml:space="preserve">Respecto a esta última cuestión, el Fiscal General del Estado no aprecia justificada la analogía que el Auto establece con el supuesto enjuiciado en la STC 181/2000, relativo al baremo para la indemnización del daño personal por hechos derivados de la circulación. En tal sentido explica que, frente al planteamiento del órgano promotor, dicha Sentencia sólo se pronunció sobre la responsabilidad extracontractual, siendo que, por el contrario, en el supuesto del proceso </w:t>
      </w:r>
      <w:r w:rsidRPr="00B85568">
        <w:rPr>
          <w:i/>
        </w:rPr>
        <w:t>a quo</w:t>
      </w:r>
      <w:r>
        <w:t xml:space="preserve"> de la presente cuestión se proclama la responsabilidad contractual, al entenderse el despido improcedente como un caso de incumplimiento obligacional de carácter doloso (art. 1.101 del Código civil).</w:t>
      </w:r>
    </w:p>
    <w:p w:rsidR="00B85568" w:rsidRDefault="00B85568" w:rsidP="00B85568">
      <w:pPr>
        <w:pStyle w:val="TextoNormal"/>
      </w:pPr>
    </w:p>
    <w:p w:rsidR="00B85568" w:rsidRDefault="00B85568" w:rsidP="00B85568">
      <w:pPr>
        <w:pStyle w:val="TextoNormal"/>
      </w:pPr>
      <w:r>
        <w:t xml:space="preserve">Además, el Fiscal opone que el Auto de planteamiento omite afirmaciones cardinales en la fundamentación de dicha STC 181/2000. Por un lado, recuerda que en esta Sentencia se dijo que del principio de exclusividad de Jueces y Magistrados en el ejercicio de la potestad jurisdiccional </w:t>
      </w:r>
      <w:r w:rsidRPr="00B85568">
        <w:rPr>
          <w:i/>
        </w:rPr>
        <w:t>ex</w:t>
      </w:r>
      <w:r>
        <w:t xml:space="preserve"> art. 117.3 CE no puede inferirse la existencia de una correlativa prohibición impuesta al legislador, por la que se condicione su libertad de configuración para elegir el nivel de densidad normativa con que pretende regular una materia, añadiéndose que de la regulación referida sobre la valoración y cuantificación de los daños personales no deriva restricción alguna de las facultades judiciales, no existiendo por tanto infracción del precepto constitucional. Por otro lado, pone de relieve el limitado alcance del fallo de la citada STC 181/2000, en el que no se afirma que el establecimiento de límites cuantitativos legales en la determinación de la indemnización sea inconstitucional por contrariar el derecho a la tutela judicial efectiva </w:t>
      </w:r>
      <w:r w:rsidRPr="00B85568">
        <w:rPr>
          <w:i/>
        </w:rPr>
        <w:t>ex</w:t>
      </w:r>
      <w:r>
        <w:t xml:space="preserve"> art. 24.1 CE, sino que su declaración de inconstitucionalidad se ciñe a aquellos obstáculos legales que impidan la acreditación procesal de un daño personal para su posterior valoración por el Juez, debiendo además tratarse exclusivamente de aquellos supuestos en que el daño sea determinante de “incapacidad temporal” y tenga su causa exclusiva en una culpa relevante, judicialmente declarada, imputable al agente causante del hecho lesivo.</w:t>
      </w:r>
    </w:p>
    <w:p w:rsidR="00B85568" w:rsidRDefault="00B85568" w:rsidP="00B85568">
      <w:pPr>
        <w:pStyle w:val="TextoNormal"/>
      </w:pPr>
    </w:p>
    <w:p w:rsidR="00B85568" w:rsidRDefault="00B85568" w:rsidP="00B85568">
      <w:pPr>
        <w:pStyle w:val="TextoNormal"/>
      </w:pPr>
      <w:r>
        <w:t>Los anteriores argumentos llevan al Fiscal a afirmar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citando al respecto lo dicho en el fundamento jurídico quinto del ATC 43/2014, de 12 de febrero.</w:t>
      </w:r>
    </w:p>
    <w:p w:rsidR="00B85568" w:rsidRDefault="00B85568" w:rsidP="00B85568">
      <w:pPr>
        <w:pStyle w:val="TextoNormal"/>
      </w:pPr>
    </w:p>
    <w:p w:rsidR="00B85568" w:rsidRDefault="00B85568" w:rsidP="00B85568">
      <w:pPr>
        <w:pStyle w:val="TextoNormal"/>
      </w:pPr>
      <w:r>
        <w:t>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En este punto concluye que, en la nueva redacción dada al art. 56.1 y 2 LET, se cumplen las exigencias derivadas del art. 35.1 CE.</w:t>
      </w:r>
    </w:p>
    <w:p w:rsidR="00B85568" w:rsidRDefault="00B85568" w:rsidP="00B85568">
      <w:pPr>
        <w:pStyle w:val="TextoNormal"/>
      </w:pPr>
    </w:p>
    <w:p w:rsidR="00B85568" w:rsidRDefault="00B85568" w:rsidP="00B85568">
      <w:pPr>
        <w:pStyle w:val="TextoNormal"/>
      </w:pPr>
      <w:r>
        <w:t>En cuanto a la invocación del art. 14 CE en relación con las diferentes consecuencias que, según el órgano promotor, derivan de un incumplimiento obligacional común y de un incumplimiento contractual en el ámbito laboral, el Fiscal descarta también su contravención, haciendo referencia a lo indicado en el citado ATC 43/2014, FJ 6.</w:t>
      </w:r>
    </w:p>
    <w:p w:rsidR="00B85568" w:rsidRDefault="00B85568" w:rsidP="00B85568">
      <w:pPr>
        <w:pStyle w:val="TextoNormal"/>
      </w:pPr>
    </w:p>
    <w:p w:rsidR="00B85568" w:rsidRDefault="00B85568" w:rsidP="00B85568">
      <w:pPr>
        <w:pStyle w:val="TextoNormal"/>
      </w:pPr>
      <w:r>
        <w:t>Finalmente, con relación a la supuesta oposición del art. 18.8 al art. 35.1 CE, el Fiscal General del Estado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legal cuestionada —y trasladado a su articulado— no es el fomento del empleo y, en consecuencia, el cumplimiento del mandato constitucional que sanciona el derecho al trabajo.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Social núm. 34 de Madrid plantea cuestión de inconstitucionalidad respecto al art. 18.7 y la disposición transitoria quinta, así como el art. 18.8 de la Ley 3/2012, de 6 de julio, de medidas urgentes para la reforma del mercado laboral, por posible vulneración de los arts. 9.3, 14, 24.1 y 35.1 CE. Tales dudas de constitucionalidad se fundamentan por el órgano promotor en los argumentos ya expuestos en los antecedentes.</w:t>
      </w:r>
    </w:p>
    <w:p w:rsidR="00B85568" w:rsidRDefault="00B85568" w:rsidP="00B85568">
      <w:pPr>
        <w:pStyle w:val="TextoNormal"/>
      </w:pPr>
    </w:p>
    <w:p w:rsidR="00B85568" w:rsidRDefault="00B85568" w:rsidP="00B85568">
      <w:pPr>
        <w:pStyle w:val="TextoNormal"/>
      </w:pPr>
      <w:r>
        <w:t>Por los motivos de los que también se ha dejado constancia en los antecedentes, el Fiscal General del Estado se opone a la admisión a trámite de la presente cuestión de inconstitucionalidad por estimarla notoriamente infundada (art. 37.1 LOTC).</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B85568" w:rsidRDefault="00B85568" w:rsidP="00B85568">
      <w:pPr>
        <w:pStyle w:val="TextoNormal"/>
      </w:pPr>
    </w:p>
    <w:p w:rsidR="00B85568" w:rsidRDefault="00B85568" w:rsidP="00B85568">
      <w:pPr>
        <w:pStyle w:val="TextoNormal"/>
      </w:pPr>
      <w:r>
        <w:t>Con carácter inicial, el análisis de estos aspectos requiere efectuar algunas precisiones en relación con el objeto de la presente cuestión y el alcance de nuestro enjuiciamiento. En concreto, estas consideraciones se refieren a las dudas elevadas respecto a las indemnizaciones por despido improcedente previstas en el art. 18.7 y la disposición transitoria quinta de la Ley 3/2012.</w:t>
      </w:r>
    </w:p>
    <w:p w:rsidR="00B85568" w:rsidRDefault="00B85568" w:rsidP="00B85568">
      <w:pPr>
        <w:pStyle w:val="TextoNormal"/>
      </w:pPr>
    </w:p>
    <w:p w:rsidR="00B85568" w:rsidRDefault="00B85568" w:rsidP="00B85568">
      <w:pPr>
        <w:pStyle w:val="TextoNormal"/>
      </w:pPr>
      <w:r>
        <w:t>a) La primera de estas aclaraciones se efectúa en atención al debido cumplimiento que merecen los juicios de aplicabilidad y relevancia exigidos por el art. 35.1 LOTC, pues, como reiteradamente hemos afirmado, “la cuestión de inconstitucionalidad no es un instrumento procesal para buscar una depuración abstracta del Ordenamiento” (por todas, STC 235/2007, de 7 de noviembre, FJ 2). Al respecto hay que advertir que, planteando una queja y argumentación común, el Auto de planteamiento cuestiona la constitucionalidad de las indemnizaciones por despido improcedente a las que se hace referencia tanto en el citado art. 18.7, que da nueva redacción al art. 56.1 del texto refundido de la Ley del estatuto de los trabajadores (en adelante, LET) y al que se remite el apartado 1 de la mencionada disposición transitoria quinta —aplicable a los contratos suscritos a partir del 12 de febrero de 2012—, como también en el apartado 2 de esta última disposición —aplicable a los contratos formalizados con anterioridad a dicha fecha—. De entre estas previsiones, no se precisa por el órgano promotor la que corresponde al caso. No obstante, a la vista de los datos que constan en las actuaciones, cabe inferir que la norma de aplicación en el litigio es el apartado 2 de la disposición transitoria quinta de la Ley 3/2012, sin que a esta apreciación se oponga la posición mantenida por las partes durante el proceso.</w:t>
      </w:r>
    </w:p>
    <w:p w:rsidR="00B85568" w:rsidRDefault="00B85568" w:rsidP="00B85568">
      <w:pPr>
        <w:pStyle w:val="TextoNormal"/>
      </w:pPr>
    </w:p>
    <w:p w:rsidR="00B85568" w:rsidRDefault="00B85568" w:rsidP="00B85568">
      <w:pPr>
        <w:pStyle w:val="TextoNormal"/>
      </w:pPr>
      <w:r>
        <w:t>Consiguientemente, en relación con los preceptos indicados, hemos de entender que la cuestión de inconstitucionalidad debe quedar limitada al indicado apartado 2 de la disposición transitoria quinta de la Ley 3/2012, de modo que no se extiende ni al apartado 1 de esta disposición, ni tampoco al art. 18.7 de la Ley 3/2012.</w:t>
      </w:r>
    </w:p>
    <w:p w:rsidR="00B85568" w:rsidRDefault="00B85568" w:rsidP="00B85568">
      <w:pPr>
        <w:pStyle w:val="TextoNormal"/>
      </w:pPr>
    </w:p>
    <w:p w:rsidR="00B85568" w:rsidRDefault="00B85568" w:rsidP="00B85568">
      <w:pPr>
        <w:pStyle w:val="TextoNormal"/>
      </w:pPr>
      <w:r>
        <w:t>b) Ciñéndonos ya a la disposición transitoria quinta de la Ley 3/2012 (apartado 2), la segunda observación a realizar está relacionada con los preceptos constitucionales que el órgano judicial considera vulnerados por esta norma. Entre ellos, el Auto de planteamiento hace mención al art. 35.1 CE (derecho al trabajo), precepto que, sin embargo, no fue incluido en la providencia previa por la que se abrió el trámite de audiencia a las partes y al Ministerio Fiscal, conforme exige el art. 35.2 LOTC. Junto a otras exigencias, reiteradamente hemos declarado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aun cuando hemos matizado que “el órgano judicial puede precisar, modificar o ampliar, en función de las observaciones recibidas, el parámetro de constitucionalidad planteado inicialmente al abrir el trámite de audiencia” (por todas, SSTC 139/2008, de 28 de octubre, FJ 4; 28/2012, de 1 de marzo, FJ 2). En este caso, ya se ha dicho que el referido art. 35.1 CE no fue identificado por el Magistrado-Juez al abrir el trámite de audiencia, pero además tampoco fue incluido en las alegaciones presentadas en este trámite. Por ello, en aplicación de nuestra doctrina, hemos de inadmitir la duda de constitucionalidad relativa a la presunta lesión de este precepto constitucional por la disposición transitoria quinta de la Ley 3/2012 (apartado 2), en la medida en que las partes no han tenido ocasión de pronunciarse sobre ella (por todas, STC 149/2014, de 22 de septiembre, FJ 2, o ATC 467/2007, de 17 de diciembre, FJ 2).</w:t>
      </w:r>
    </w:p>
    <w:p w:rsidR="00B85568" w:rsidRDefault="00B85568" w:rsidP="00B85568">
      <w:pPr>
        <w:pStyle w:val="TextoNormal"/>
      </w:pPr>
    </w:p>
    <w:p w:rsidR="00B85568" w:rsidRDefault="00B85568" w:rsidP="00B85568">
      <w:pPr>
        <w:pStyle w:val="TextoNormal"/>
      </w:pPr>
      <w:r>
        <w:t>Además, aun cuando otra fuera la conclusión, concurriría una segunda razón para no examinar esa hipotética vulneración, pues, pese a que el art. 35.1 CE se cita en el Auto de planteamiento entre los preceptos constitucionales presuntamente vulnerados por la disposición transitoria quinta de la Ley 3/2012 (apartado 2), lo cierto es que el Magistrado-Juez no incluye una argumentación específica y autónoma respecto a esta duda de constitucionalidad, no siendo así debidamente satisfecha la carga que pesa sobre el órgano promotor de hacer explícita la fundamentación en que apoya la posible inconstitucionalidad alegada (por todas, SSTC 245/2004, de 16 de diciembre, FFJJ 3 y 4; 224/2006, de 6 de julio, FJ 5; o ATC 206/2014, de 22 de julio, FJ 4).</w:t>
      </w:r>
    </w:p>
    <w:p w:rsidR="00B85568" w:rsidRDefault="00B85568" w:rsidP="00B85568">
      <w:pPr>
        <w:pStyle w:val="TextoNormal"/>
      </w:pPr>
    </w:p>
    <w:p w:rsidR="00B85568" w:rsidRDefault="00B85568" w:rsidP="00B85568">
      <w:pPr>
        <w:pStyle w:val="TextoNormal"/>
      </w:pPr>
      <w:r>
        <w:t>c) En consecuencia, a la vista de las dudas de constitucionalidad formuladas en el Auto de planteamiento, y tras las anteriores precisiones, hemos de concluir que el objeto de la presente cuestión ha de quedar limitado a los siguientes preceptos legales y constitucionales en contraste: de un lado, el apartado 2 de la disposición transitoria quinta de la Ley 3/2012, por presunta vulneración de los arts. 9.3, 24.1 y 14 CE; y de otro lado, el art. 18.8 de la Ley 3/2012, por posible lesión de los arts. 9.3, 24.1 en relación, aquí sí, con el art. 35.1, y art. 14 CE.</w:t>
      </w:r>
    </w:p>
    <w:p w:rsidR="00B85568" w:rsidRDefault="00B85568" w:rsidP="00B85568">
      <w:pPr>
        <w:pStyle w:val="TextoNormal"/>
      </w:pPr>
    </w:p>
    <w:p w:rsidR="00B85568" w:rsidRDefault="00B85568" w:rsidP="00B85568">
      <w:pPr>
        <w:pStyle w:val="TextoNormal"/>
      </w:pPr>
      <w:r w:rsidRPr="00B85568">
        <w:rPr>
          <w:rStyle w:val="NumeroAFNegritaCaracter"/>
        </w:rPr>
        <w:t>3</w:t>
      </w:r>
      <w:r>
        <w:t>. Una vez delimitadas las dudas de constitucionalidad a analizar en el presente procedimiento, y entrando ya en el fondo, hemos de advertir que el mismo Juzgado de lo Social núm. 34 de Madrid ya elevó ante este Tribunal otra cuestión de inconstitucionalidad con similar objeto a la actual, que fue inadmitida a trámite por el ATC 43/2014, de 12 de febrero, por considerarla notoriamente infundada. La apreciación de similitud entre ambas cuestiones no queda desvirtuada por el hecho de que la examinada en el citado Auto viniera referida al previo Real Decreto-ley 3/2012, de 10 de febrero, de medidas urgentes para la reforma del mercado laboral, y la ahora analizada verse sobre la posterior Ley 3/2012, del mismo nombre y que sustituyó al anterior. Ello es así, en la medida en que las decisiones normativas que se cuestionan y la argumentación ofrecida por el órgano promotor para su puesta en cuestión coinciden, en esencia, en ambas cuestiones de inconstitucionalidad. Por tal razón, en nuestro análisis sobre la actual cuestión enjuiciada hemos de atender a las conclusiones alcanzadas en el mencionado ATC 43/2014, debiendo remitirnos a las soluciones y fundamentación allí ofrecidas, sin perjuicio de las adaptaciones y adiciones pertinentes, conforme a continuación se indica.</w:t>
      </w:r>
    </w:p>
    <w:p w:rsidR="00B85568" w:rsidRDefault="00B85568" w:rsidP="00B85568">
      <w:pPr>
        <w:pStyle w:val="TextoNormal"/>
      </w:pPr>
    </w:p>
    <w:p w:rsidR="00B85568" w:rsidRDefault="00B85568" w:rsidP="00B85568">
      <w:pPr>
        <w:pStyle w:val="TextoNormal"/>
      </w:pPr>
      <w:r w:rsidRPr="00B85568">
        <w:rPr>
          <w:rStyle w:val="NumeroAFNegritaCaracter"/>
        </w:rPr>
        <w:t>4</w:t>
      </w:r>
      <w:r>
        <w:t>. Respecto al apartado 2 de la disposición transitoria quinta de la Ley 3/2012, ya hemos dicho que el órgano proponente cuestiona su constitucionalidad por posible contradicción con los arts. 9.3, 24.1 y 14 CE.</w:t>
      </w:r>
    </w:p>
    <w:p w:rsidR="00B85568" w:rsidRDefault="00B85568" w:rsidP="00B85568">
      <w:pPr>
        <w:pStyle w:val="TextoNormal"/>
      </w:pPr>
    </w:p>
    <w:p w:rsidR="00B85568" w:rsidRDefault="00B85568" w:rsidP="00B85568">
      <w:pPr>
        <w:pStyle w:val="TextoNormal"/>
      </w:pPr>
      <w:r>
        <w:t>Como también hemos señalado, el apartado 2 de la citada disposición transitoria quinta establece la indemnización por despido improcedente de los contratos formalizados con anterioridad al 12 de febrero de 2012, y respecto a ellos fija un criterio de cálculo dual, según el cual y con los topes fijados en la propia disposición, el tiempo de servicios anterior a dicha fecha se indemnizará a razón de cuarenta y cinco días de salario por año de servicio, prorrateándose por meses los períodos de tiempo inferiores a un año ––que era la indemnización que, hasta la aprobación del Real Decreto-ley 3/2012, estaba prevista en el art. 56.1 LET para los despidos improcedentes—, y el período de prestación de servicios posterior a esa fecha se calculará a razón de treinta y tres días de salario por año de servicio, prorrateándose igualmente por meses los períodos de tiempo inferiores a un año —que es la indemnización fijada para los despidos improcedentes en la redacción dada al art. 56.1 LET por el Real Decreto-ley 3/2012 y la Ley 3/2012—.</w:t>
      </w:r>
    </w:p>
    <w:p w:rsidR="00B85568" w:rsidRDefault="00B85568" w:rsidP="00B85568">
      <w:pPr>
        <w:pStyle w:val="TextoNormal"/>
      </w:pPr>
    </w:p>
    <w:p w:rsidR="00B85568" w:rsidRDefault="00B85568" w:rsidP="00B85568">
      <w:pPr>
        <w:pStyle w:val="TextoNormal"/>
      </w:pPr>
      <w:r>
        <w:t>En síntesis, a juicio del órgano promotor, los reproches dirigidos a esta norma vienen motivados por el carácter tasado de la indicada indemnización, establecida legalmente sólo en atención a dos factores —el tiempo de prestación de servicios y el salario—. De este modo, el objeto y argumentación de la inconstitucionalidad denunciada coincide con la examinada en el mencionado ATC 43/2014 respecto a similar previsión. En consecuencia, siendo que en dicho Auto se consideraron notoriamente infundadas las dudas planteadas respecto a esta decisión legislativa en relación con los arts. 9.3 y 24.1 CE, también aquí hemos de reiterar esta conclusión, con apoyo en los mismos argumentos allí expuestos, que seguidamente se sintetizan y que a su vez permiten descartar la alegación autónoma relativa a la posible vulneración del art. 14 CE que ahora se incluye adicionalmente en el objeto de esta cuestión.</w:t>
      </w:r>
    </w:p>
    <w:p w:rsidR="00B85568" w:rsidRDefault="00B85568" w:rsidP="00B85568">
      <w:pPr>
        <w:pStyle w:val="TextoNormal"/>
      </w:pPr>
    </w:p>
    <w:p w:rsidR="00B85568" w:rsidRDefault="00B85568" w:rsidP="00B85568">
      <w:pPr>
        <w:pStyle w:val="TextoNormal"/>
      </w:pPr>
      <w:r>
        <w:t>a) Por lo que se refiere al art. 9.3 CE, el Magistrado-Juez aduce que la regulación cuestionada resulta arbitraria en atención, básicamente, al comentado carácter tasado de la indemnización fijada para el despido improcedente, dado que no permite la restitución íntegra de los daños y perjuicios sufridos y no deja margen judicial para su fijación. Pues bien, de acuerdo con lo dicho en el ATC 43/2014, FJ 5 A) a la luz de nuestra doctrina sobre el principio de interdicción de arbitrariedad, debemos entender que el reproche formulado carece de fundamento por las siguientes razones.</w:t>
      </w:r>
    </w:p>
    <w:p w:rsidR="00B85568" w:rsidRDefault="00B85568" w:rsidP="00B85568">
      <w:pPr>
        <w:pStyle w:val="TextoNormal"/>
      </w:pPr>
    </w:p>
    <w:p w:rsidR="00B85568" w:rsidRDefault="00B85568" w:rsidP="00B85568">
      <w:pPr>
        <w:pStyle w:val="TextoNormal"/>
      </w:pPr>
      <w:r>
        <w:t>En primer lugar, porque la norma controvertida no es discriminatoria, pues no prevé diferencias entre los trabajadores comprendidos en el supuesto regulado y tampoco se aprecia que incurra en discriminación “de origen clasista o por condición social”, aspecto este último sobre el que más adelante se volverá.</w:t>
      </w:r>
    </w:p>
    <w:p w:rsidR="00B85568" w:rsidRDefault="00B85568" w:rsidP="00B85568">
      <w:pPr>
        <w:pStyle w:val="TextoNormal"/>
      </w:pPr>
    </w:p>
    <w:p w:rsidR="00B85568" w:rsidRDefault="00B85568" w:rsidP="00B85568">
      <w:pPr>
        <w:pStyle w:val="TextoNormal"/>
      </w:pPr>
      <w:r>
        <w:t>En segundo lugar, debemos descartar también la contravención del art. 9.3 CE, en la medida en que no puede afirmarse que la regulación cuestionada carece de explicación racional. Según dijimos en el ATC 43/2014 tras repasar nuestra doctrina sobre el alcance del art. 35 CE, la determinación de la reacción adecuada o protección frente al despido “queda dentro … del ámbito de configuración del legislador, quien legítimamente puede disponer que, en los despidos declarados improcedentes, el empresario quede sujeto a la opción entre readmitir al trabajador o abonarle una indemnización adecuada” [FJ 5 A)]. De manera específica añadimos que, por lo que se refiere concretamente a la opción indemnizatoria, “ha de entenderse que, dentro de ese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como entonces dijimos respecto a la previsión allí examinada, también ahora hemos de declarar que a tal facultad otorgada al legislador responde el criterio de fijación de la indemnización por despido improcedente establecido en el apartado 2 de la disposición transitoria quinta de la Ley 3/2012, “sin que pueda apreciarse arbitrariedad en ninguno de los aspectos señalados”.</w:t>
      </w:r>
    </w:p>
    <w:p w:rsidR="00B85568" w:rsidRDefault="00B85568" w:rsidP="00B85568">
      <w:pPr>
        <w:pStyle w:val="TextoNormal"/>
      </w:pPr>
    </w:p>
    <w:p w:rsidR="00B85568" w:rsidRDefault="00B85568" w:rsidP="00B85568">
      <w:pPr>
        <w:pStyle w:val="TextoNormal"/>
      </w:pPr>
      <w:r>
        <w:t>Por los mismos motivos expuestos en el ATC 43/2014 y reflejados ahora en síntesis, tal conclusión se explica, de una parte, porque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De otra parte, lo mismo cabe decir respecto a los factores de cálculo elegidos por el legislador para determinar la indemnización, dado que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cuarenta y cinco o treinta y tres días— que en los despidos colectivos u objetivos procedentes —veinte días (arts. 51.4 y 53.1 LET)—”, debiendo además añadirse que, por lo allí explicado, “tampoco esta fórmula legal se opone al Convenio núm. 158 de la Organización Internacional del Trabajo”. Por último, respecto a las variaciones que primero el Real Decreto-ley 3/2012 y después la Ley 3/2012 introducen en el factor multiplicador y en el tope máximo de la indemnización por despido improcedente, también hemos de negar que la asignación de una magnitud distinta incurra en arbitrariedad, no cuestionándose directamente en el Auto de planteamiento la suficiencia de los valores numéricos otorgados, sino sólo su carácter tasado y su modificación: a este respecto, “basta reiterar que … la posibilidad de atribuir valores tasados a los elementos de cálculo de la indemnización adecuada por despido improcedente, así como la de proceder a su revisión normativa, son facultades que quedan dentro de la libertad de configuración atribuida al legislador por el art. 35.2 CE” [ATC 43/2014, FJ 5 A)].</w:t>
      </w:r>
    </w:p>
    <w:p w:rsidR="00B85568" w:rsidRDefault="00B85568" w:rsidP="00B85568">
      <w:pPr>
        <w:pStyle w:val="TextoNormal"/>
      </w:pPr>
    </w:p>
    <w:p w:rsidR="00B85568" w:rsidRDefault="00B85568" w:rsidP="00B85568">
      <w:pPr>
        <w:pStyle w:val="TextoNormal"/>
      </w:pPr>
      <w:r>
        <w:t>En definitiva, atendidas las anteriores consideraciones, hemos de considerar infundada la denuncia de arbitrariedad planteada por el órgano proponente respecto al apartado 2 de la disposición transitoria quinta de la Ley 3/2012.</w:t>
      </w:r>
    </w:p>
    <w:p w:rsidR="00B85568" w:rsidRDefault="00B85568" w:rsidP="00B85568">
      <w:pPr>
        <w:pStyle w:val="TextoNormal"/>
      </w:pPr>
    </w:p>
    <w:p w:rsidR="00B85568" w:rsidRDefault="00B85568" w:rsidP="00B85568">
      <w:pPr>
        <w:pStyle w:val="TextoNormal"/>
      </w:pPr>
      <w:r>
        <w:t>b) La misma falta de fundamento se aprecia en la alegación del Auto de planteamiento de que la tutela judicial otorgada con apoyo en esta previsión cuestionada no podrá ser efectiva, sino parcial y meramente nominal, con la consiguiente vulneración del art. 24.1 CE.</w:t>
      </w:r>
    </w:p>
    <w:p w:rsidR="00B85568" w:rsidRDefault="00B85568" w:rsidP="00B85568">
      <w:pPr>
        <w:pStyle w:val="TextoNormal"/>
      </w:pPr>
    </w:p>
    <w:p w:rsidR="00B85568" w:rsidRDefault="00B85568" w:rsidP="00B85568">
      <w:pPr>
        <w:pStyle w:val="TextoNormal"/>
      </w:pPr>
      <w:r>
        <w:t>Conforme indicamos en el ATC 43/2014, para rechazar esta denuncia ha de tenerse presente que “el contenido del art. 24.1 CE se sitúa en un plano distinto al de la determinación del régimen indemnizatorio de la extinción”, y en este caso,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[FJ 5 B)].</w:t>
      </w:r>
    </w:p>
    <w:p w:rsidR="00B85568" w:rsidRDefault="00B85568" w:rsidP="00B85568">
      <w:pPr>
        <w:pStyle w:val="TextoNormal"/>
      </w:pPr>
    </w:p>
    <w:p w:rsidR="00B85568" w:rsidRDefault="00B85568" w:rsidP="00B85568">
      <w:pPr>
        <w:pStyle w:val="TextoNormal"/>
      </w:pPr>
      <w:r>
        <w:t>c) Finalmente, como novedad respecto a la cuestión resuelta en el ATC 43/2014, en la ahora elevada hemos de analizar la denuncia adicional de que la previsión examinada incurre también en una posible vulneración del art. 14 CE, en la medida en que, en opinión del órgano promotor, la comparación de las consecuencias de un incumplimiento contractual doloso o culpable en el ordenamiento común y en el ordenamiento laboral evidencia un trato discriminatorio “de origen clasista o por condición social”. Tal novedad, sin embargo, es relativa, puesto que el ATC 43/2014 ya contestó a similar argumentación, con ocasión de la respuesta dada a la tacha de arbitrariedad imputada desde la perspectiva del art. 9.3 CE.</w:t>
      </w:r>
    </w:p>
    <w:p w:rsidR="00B85568" w:rsidRDefault="00B85568" w:rsidP="00B85568">
      <w:pPr>
        <w:pStyle w:val="TextoNormal"/>
      </w:pPr>
    </w:p>
    <w:p w:rsidR="00B85568" w:rsidRDefault="00B85568" w:rsidP="00B85568">
      <w:pPr>
        <w:pStyle w:val="TextoNormal"/>
      </w:pPr>
      <w:r>
        <w:t>Como entonces razonamos, el planteamiento del Juzgado “parece partir de la asimilación de la condición de ‘trabajador’ —sin más precisiones— a ‘cualquier otra condición o circunstancia personal o social’ a que el art. 14 CE extiende la prohibición de discriminación. Pues bien, sin entrar siquiera a razonar sobre el juicio que esta asimilación merece en atención a nuestra doctrina sobre los rasgos que ha de reunir el criterio de diferenciación para considerarlo causa de discriminación (por todas, STC 36/2011, de 28 de marzo, FJ 5), basta poner de relieve que, en todo caso, las diferencias establecidas en el ordenamiento civil y laboral en orden a la indemnización por resolución contractual encuentran justificación objetiva en el carácter autónomo y separado de ambas ramas del ordenamiento jurídico. No hay que olvidar que el contrato de trabajo se rige por reglas y principios propios, distintos a los aplicados a los contratos civiles, pudiendo, por tanto, ser diferente el régimen jurídico de resarcimiento de daños, en particular cuando se trata de la extinción de unos y otros vínculos contractuales. Por tal razón, ha de descartarse que exista vulneración del principio de no discriminación, de la misma manera que tampoco la hay del principio de igualdad, por cuanto no estamos ante un término de comparación válido. Como ya este Tribunal tuvo ocasión de manifestar con motivo de una alegación de desigualdad entre el régimen indemnizatorio por extinción contractual en el Derecho laboral y en el Derecho civil, ‘no existe objetiva desigualdad, sino subjetivas diferencias de régimen dentro de sistemas de derecho distintos y legítimos por contemplar posiciones subjetivas no idénticas y que por ende comportan dispar tratamiento jurídico, que no lesiona dicho principio de igualdad constitucional’ (ATC 293/1983, de 15 de junio, FJ 4)” [ATC 43/2014, FJ 5 A)]. Lógicamente, estos mismos razonamientos deben llevar en la presente cuestión a no considerar fundada la alegación de que el apartado 2 de la disposición transitoria quinta de la Ley 3/2012 es contrario al art. 14 CE.</w:t>
      </w:r>
    </w:p>
    <w:p w:rsidR="00B85568" w:rsidRDefault="00B85568" w:rsidP="00B85568">
      <w:pPr>
        <w:pStyle w:val="TextoNormal"/>
      </w:pPr>
    </w:p>
    <w:p w:rsidR="00B85568" w:rsidRDefault="00B85568" w:rsidP="00B85568">
      <w:pPr>
        <w:pStyle w:val="TextoNormal"/>
      </w:pPr>
      <w:r w:rsidRPr="00B85568">
        <w:rPr>
          <w:rStyle w:val="NumeroAFNegritaCaracter"/>
        </w:rPr>
        <w:t>5</w:t>
      </w:r>
      <w:r>
        <w:t>. Alcanzadas las anteriores conclusiones, corresponde ahora examinar la dudas de constitucionalidad planteadas respecto al art. 18.8 de la Ley 3/2012, por presunta vulneración de los arts. 9.3, 24.1 en relación con el art. 35.1, y art. 14 CE.</w:t>
      </w:r>
    </w:p>
    <w:p w:rsidR="00B85568" w:rsidRDefault="00B85568" w:rsidP="00B85568">
      <w:pPr>
        <w:pStyle w:val="TextoNormal"/>
      </w:pPr>
    </w:p>
    <w:p w:rsidR="00B85568" w:rsidRDefault="00B85568" w:rsidP="00B85568">
      <w:pPr>
        <w:pStyle w:val="TextoNormal"/>
      </w:pPr>
      <w:r>
        <w:t>El citado art. 18.8 da nueva redacción al art. 56.2 LET, en el que se establece que, en la opción por la readmisión de los despidos improcedentes, el trabajador tendrá derecho a percibir salarios de tramitación, determinándose la fórmula de cuantificación de éstos, y sin que, a diferencia de lo que sucedía en la normativa previa al Real Decreto-ley 3/2012, se extienda su reconocimiento a los supuestos de opción por la indemnización, sin perjuicio de la excepción prevista para los representantes de los trabajadores en el art. 56.4 LET. Idéntica previsión ya fue objeto de análisis en el reiterado ATC 43/2014, en el que se declararon notoriamente infundadas las denuncias que, con análoga argumentación a la ahora presentada, se formularon en relación con los arts. 9.3, 24.1 y 35.1 CE. Por tal razón, con apoyo en la fundamentación expuesta en el citado ATC 43/2014 y de la que, de forma resumida, se da cuenta a continuación, también en la presente cuestión hemos de reiterar la conclusión allí alcanzada, solución que, por los motivos que después se indican, se hará extensiva a la duda de constitucionalidad relativa al art. 14 CE que aquí se adiciona.</w:t>
      </w:r>
    </w:p>
    <w:p w:rsidR="00B85568" w:rsidRDefault="00B85568" w:rsidP="00B85568">
      <w:pPr>
        <w:pStyle w:val="TextoNormal"/>
      </w:pPr>
    </w:p>
    <w:p w:rsidR="00B85568" w:rsidRDefault="00B85568" w:rsidP="00B85568">
      <w:pPr>
        <w:pStyle w:val="TextoNormal"/>
      </w:pPr>
      <w:r>
        <w:t xml:space="preserve">a) Así, con relación a la alegación de que el precepto legal es contrario a la prohibición de arbitrariedad establecida en el art. 9.3 CE, el Magistrado-Juez argumenta que, en tanto integran el </w:t>
      </w:r>
      <w:r w:rsidRPr="00B85568">
        <w:rPr>
          <w:i/>
        </w:rPr>
        <w:t>lucrum cessans</w:t>
      </w:r>
      <w:r>
        <w:t>, la eliminación de los salarios de tramitación en la opción por la indemnización mutila la íntegra o adecuada reparación de los daños y perjuicios sufridos, añadiendo que la arbitrariedad se amplifica tanto por ser el empresario el que, al ejercer el derecho de opción, determina la extensión de su propia responsabilidad, como si se compara con el régimen establecido en el art. 56.4 LET para los representantes de los trabajadores. Asimismo, también desde la indicada perspectiva del art. 9.3 CE, el órgano promotor considera que el principio de integridad y adecuación indemnizatoria queda conculcado desde el momento en que, en la alternativa por la readmisión, la norma sólo exige la reincorporación al trabajo y el abono de los salarios dejados de percibir, pero sin contemplar otros posibles daños que el despido ha podido producir, dando lugar a lo que denomina una “infracompensación” que estimula un incremento de los despidos. Unas y otras alegaciones, sin embargo, no conducen a apreciar arbitrariedad en el art. 18.8 de la Ley 3/2012, pues, según dijimos en el ATC 43/2014, la previsión cuestionada, además de no incurrir en discriminación, no carece de fundamento.</w:t>
      </w:r>
    </w:p>
    <w:p w:rsidR="00B85568" w:rsidRDefault="00B85568" w:rsidP="00B85568">
      <w:pPr>
        <w:pStyle w:val="TextoNormal"/>
      </w:pPr>
    </w:p>
    <w:p w:rsidR="00B85568" w:rsidRDefault="00B85568" w:rsidP="00B85568">
      <w:pPr>
        <w:pStyle w:val="TextoNormal"/>
      </w:pPr>
      <w:r>
        <w:t>Como entonces indicamos [fundamento jurídico 6 A)], “[e]n una valoración individual de la decisión de no sumar a la indemnización fijada una cantidad adicional en concepto de salarios de tramitación, cabe trasladar aquí lo ya explicado sobre la admisión de las indemnizaciones tasadas en el despido, sin que, por lo dicho, resulte constitucionalmente reprochable que el legislador haya decidido que la reacción adecuada que debe corresponder por el resarcimiento de los daños derivados de la extinción contractual improcedente quede fijada en una cuantía legalmente predeterminada, sin otras adiciones”. Además, el preámbulo de la Ley 3/2012 “explica las razones con las que el legislador justifica la supresión de los salarios de tramitación en la opción indemnizatoria —básicamente, la inadecuación de la duración del proceso judicial como criterio de compensación del perjuicio por la pérdida de empleo, su posible efecto incentivador de estrategias procesales dilatorias, y su carácter de coste parcialmente socializado ante la posibilidad del empresario de reclamar una parte de dichos salarios al Estado—” [FJ 6 A)].</w:t>
      </w:r>
    </w:p>
    <w:p w:rsidR="00B85568" w:rsidRDefault="00B85568" w:rsidP="00B85568">
      <w:pPr>
        <w:pStyle w:val="TextoNormal"/>
      </w:pPr>
    </w:p>
    <w:p w:rsidR="00B85568" w:rsidRDefault="00B85568" w:rsidP="00B85568">
      <w:pPr>
        <w:pStyle w:val="TextoNormal"/>
      </w:pPr>
      <w:r>
        <w:t>En términos comparativos con el régimen de la readmisión, tampoco cabe apreciar que la norma esté falta de explicación razonable, en atención a que, como ya se recordara en el ATC 43/2014 con apoyo en pronunciamientos previos de este Tribunal, la situación en que queda el contrato en cada una de las opciones a elegir por el empresario no resulta homogénea: mientras en la opción por la readmisión se entiende que la relación laboral “se ha mantenido igualmente en vigor, sin solución de continuidad, entre las fechas del despido y la readmisión”, en el caso de optarse por la extinción indemnizada se estima que “la relación laboral queda definitivamente extinguida con efectos de la fecha del despido”, de ahí que, ante estos presupuestos distintos, el reconocimiento de salarios de tramitación en la opción por la readmisión y su omisión en la opción por la indemnización no se haya considerado una diferencia de trato desproporcionada o irrazonable (por todas, STC 84/2008, de 21 de julio, FJ 7). Como más recientemente también ha confirmado la STC 8/2015, de 22 de enero, en relación con el ahora cuestionado art. 18.8 de la Ley 3/2012, la referida decisión legislativa “cuenta con una justificación que no puede tacharse de arbitraria o irrazonable”, no vulnerando ni el derecho al trabajo ni el principio de igualdad (FJ 8).</w:t>
      </w:r>
    </w:p>
    <w:p w:rsidR="00B85568" w:rsidRDefault="00B85568" w:rsidP="00B85568">
      <w:pPr>
        <w:pStyle w:val="TextoNormal"/>
      </w:pPr>
    </w:p>
    <w:p w:rsidR="00B85568" w:rsidRDefault="00B85568" w:rsidP="00B85568">
      <w:pPr>
        <w:pStyle w:val="TextoNormal"/>
      </w:pPr>
      <w:r>
        <w:t>Asimismo tampoco cabe apreciar arbitrariedad por el distinto trato que el art. 56.4 LET otorga a los representantes de los trabajadores en materia de salarios de tramitación, dado que tal diferencia “puede encontrar justificación en las singularidades de su régimen jurídico”, conforme ya se explicó en el ATC 43/2014, FJ 6 A).</w:t>
      </w:r>
    </w:p>
    <w:p w:rsidR="00B85568" w:rsidRDefault="00B85568" w:rsidP="00B85568">
      <w:pPr>
        <w:pStyle w:val="TextoNormal"/>
      </w:pPr>
    </w:p>
    <w:p w:rsidR="00B85568" w:rsidRDefault="00B85568" w:rsidP="00B85568">
      <w:pPr>
        <w:pStyle w:val="TextoNormal"/>
      </w:pPr>
      <w:r>
        <w:t>Por último, respecto a la alegación de que, en la opción por la readmisión, la norma se limita a exigir la reincorporación al trabajo y el abono de los salarios dejados de percibir, hemos de reiterar que “el establecimiento de otras consecuencias adicionales en un despido improcedente queda dentro de la ya referida libertad de configuración legal derivada del art. 35.2 CE, sin que desde la perspectiva constitucional merezca ningún reproche que el legislador laboral no haya hecho mención a otras cantidades indemnizatorias concretas. La previsión cuestionada, por tanto, no resulta arbitraria, y la idea de que la no inclusión de indemnizaciones adicionales incrementa los despidos constituye de nuevo una presunción del órgano promotor” [ATC 43/2014, FJ 6 B)].</w:t>
      </w:r>
    </w:p>
    <w:p w:rsidR="00B85568" w:rsidRDefault="00B85568" w:rsidP="00B85568">
      <w:pPr>
        <w:pStyle w:val="TextoNormal"/>
      </w:pPr>
    </w:p>
    <w:p w:rsidR="00B85568" w:rsidRDefault="00B85568" w:rsidP="00B85568">
      <w:pPr>
        <w:pStyle w:val="TextoNormal"/>
      </w:pPr>
      <w:r>
        <w:t>En suma, el conjunto de razones expuestas llevan a considerar infundada la denuncia de que el contenido del art. 18.8 de la Ley 3/2012 contraviene la prohibición de arbitrariedad establecida en el art. 9.3 CE.</w:t>
      </w:r>
    </w:p>
    <w:p w:rsidR="00B85568" w:rsidRDefault="00B85568" w:rsidP="00B85568">
      <w:pPr>
        <w:pStyle w:val="TextoNormal"/>
      </w:pPr>
    </w:p>
    <w:p w:rsidR="00B85568" w:rsidRDefault="00B85568" w:rsidP="00B85568">
      <w:pPr>
        <w:pStyle w:val="TextoNormal"/>
      </w:pPr>
      <w:r>
        <w:t>b) El Auto de planteamiento también considera que el art. 18.8 de la Ley 3/2012 (art. 56.2 LET) vulnera la tutela judicial efectiva (art. 24.1 CE), por lesionar el principio de seguridad jurídica y por entender que se produce una desigualdad esencial en el procedimiento y tutela dispensada por el Juez, al permitir la ley que sea el empresario el que determine la extensión de su propia condena —mayor en la opción por la readmisión (pago de salarios de tramitación) y menor en la opción por la indemnización (sin salarios de tramitación)—. Como ya expusimos en el ATC 43/2014, FJ 6 A), estas alegaciones coinciden con las que fueron ya desestimadas en la STC 84/2008, de 21 de julio, en relación con la similar regulación de los salarios de tramitación efectuada por el Real Decreto-ley 5/2002, siendo posible trasladar aquí la solución y argumentación que entonces se dio.</w:t>
      </w:r>
    </w:p>
    <w:p w:rsidR="00B85568" w:rsidRDefault="00B85568" w:rsidP="00B85568">
      <w:pPr>
        <w:pStyle w:val="TextoNormal"/>
      </w:pPr>
    </w:p>
    <w:p w:rsidR="00B85568" w:rsidRDefault="00B85568" w:rsidP="00B85568">
      <w:pPr>
        <w:pStyle w:val="TextoNormal"/>
      </w:pPr>
      <w:r>
        <w:t>Respecto al principio de seguridad jurídica, el Tribunal Constitucional no advirtió vulneración del derecho a la tutela judicial efectiva desde esta perspectiva por cuanto que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 (STC 84/2008, FJ 8). Por su parte, en relación con la desigualdad alegada, el Tribunal respondió que “[e]ste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w:t>
      </w:r>
    </w:p>
    <w:p w:rsidR="00B85568" w:rsidRDefault="00B85568" w:rsidP="00B85568">
      <w:pPr>
        <w:pStyle w:val="TextoNormal"/>
      </w:pPr>
    </w:p>
    <w:p w:rsidR="00B85568" w:rsidRDefault="00B85568" w:rsidP="00B85568">
      <w:pPr>
        <w:pStyle w:val="TextoNormal"/>
      </w:pPr>
      <w:r>
        <w:t xml:space="preserve">c) También el Auto de planteamiento expone que la decisión de que la readmisión vaya acompañada del pago de salarios de tramitación —y su cotización a la Seguridad Social— y la indemnización no, incentiva la rescisión contractual indemnizada, lo que actúa en contra de la promoción del empleo y del derecho al trabajo reconocido en el art. 35.1 CE, sin que exista justificación objetiva y razonable del desproporcionado sacrificio del principio </w:t>
      </w:r>
      <w:r w:rsidRPr="00B85568">
        <w:rPr>
          <w:i/>
        </w:rPr>
        <w:t>pro labore</w:t>
      </w:r>
      <w:r>
        <w:t>. No obstante, como ya concluimos en el ATC 43/2014, esta lesión del derecho constitucional invocado no resulta apreciable, conclusión que ha sido reafirmada en la STC 8/2015, de 22 de enero, FJ 8, al rechazar que el cuestionado art. 18.8 de la Ley 3/2012 vulnere el art. 35.1 CE.</w:t>
      </w:r>
    </w:p>
    <w:p w:rsidR="00B85568" w:rsidRDefault="00B85568" w:rsidP="00B85568">
      <w:pPr>
        <w:pStyle w:val="TextoNormal"/>
      </w:pPr>
    </w:p>
    <w:p w:rsidR="00B85568" w:rsidRDefault="00B85568" w:rsidP="00B85568">
      <w:pPr>
        <w:pStyle w:val="TextoNormal"/>
      </w:pPr>
      <w:r>
        <w:t xml:space="preserve">Según dijimos en el ATC 43/2014 ante análogos argumentos del órgano promotor,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w:t>
      </w:r>
      <w:r w:rsidRPr="00B85568">
        <w:rPr>
          <w:i/>
        </w:rPr>
        <w:t>ex</w:t>
      </w:r>
      <w:r>
        <w:t xml:space="preserve"> art. 35.2 CE”, pues, conforme allí se razonó, el pago de una indemnización económica adecuada constituye una alternativa que “resulta conforme con el derecho al trabajo </w:t>
      </w:r>
      <w:r w:rsidRPr="00B85568">
        <w:rPr>
          <w:i/>
        </w:rPr>
        <w:t>ex</w:t>
      </w:r>
      <w:r>
        <w:t xml:space="preserve"> art. 35.1 CE y con el art. 10 del Convenio núm. 158 de la Organización Internacional del Trabajo” [FJ 6 A)]. Además, “el alegado efecto incentivador de la extinción como consecuencia de exigir salarios de tramitación en la reincorporación y no en la indemnización no deja de ser una presunción del órgano promotor, pero que en ningún caso constituye una consecuencia necesaria del precepto cuestionado, sin que en ningún momento quede impedida la posibilidad de optar por la readmisión” [ATC 43/2014, FJ 6 A)]. Estas consideraciones llevan, pues, a no apreciar fundamento en la denuncia relativa a la no adecuación al art. 35 CE del art. 18.8 de la Ley 3/2012.</w:t>
      </w:r>
    </w:p>
    <w:p w:rsidR="00B85568" w:rsidRDefault="00B85568" w:rsidP="00B85568">
      <w:pPr>
        <w:pStyle w:val="TextoNormal"/>
      </w:pPr>
    </w:p>
    <w:p w:rsidR="00B85568" w:rsidRDefault="00B85568" w:rsidP="00B85568">
      <w:pPr>
        <w:pStyle w:val="TextoNormal"/>
      </w:pPr>
      <w:r>
        <w:t>d) Finalmente, la constitucionalidad del art. 18.8 de la Ley 3/2012 también se pone en cuestión por el órgano promotor, por considerar que contraviene el art. 14 CE. En su argumentación indica que tal vulneración se produce por el mismo mecanismo antes descrito, es decir, por el establecimiento, a su juicio, de un marco indemnizatorio desigual, peor que el establecido en el ordenamiento común e insatisfactorio del principio de integridad/adecuación de la reparación, “todo ello fundado en la condición social de trabajador”.</w:t>
      </w:r>
    </w:p>
    <w:p w:rsidR="00B85568" w:rsidRDefault="00B85568" w:rsidP="00B85568">
      <w:pPr>
        <w:pStyle w:val="TextoNormal"/>
      </w:pPr>
    </w:p>
    <w:p w:rsidR="00B85568" w:rsidRDefault="00B85568" w:rsidP="00B85568">
      <w:pPr>
        <w:pStyle w:val="TextoNormal"/>
      </w:pPr>
      <w:r>
        <w:t>Como puede apreciarse, el planteamiento del órgano proponente en esta denuncia coincide con el formulado respecto al apartado 2 de la disposición transitoria quinta de la Ley 3/2012, que también ha sido contestado en este pronunciamiento. Por ello, limitado nuestro enjuiciamiento al razonamiento efectuado por el Juzgado —y sin que ello implique pronunciarnos sobre la naturaleza jurídica de los salarios de tramitación—, debemos remitirnos a lo ya expresado en el fundamento jurídico 4 c) a efectos de rechazar la discriminación alegada, y en especial, hemos de reiterar que, en todo caso, las diferencias en el ordenamiento común y laboral respecto al régimen económico derivado de la resolución contractual encuentran justificación objetiva en el carácter autónomo y separado de ambas ramas del ordenamiento jurídico, y en concreto, en el hecho de que el contrato de trabajo se rige por reglas y principios propios, distintos a los aplicados a los contratos civiles. También aquí, por tanto, hemos de negar que la regulación establecida en el art. 18.8 de la Ley 3/2012 incurra en una discriminación por la condición social de trabajador, no pudiendo en consecuencia considerar fundada la alegada vulneración del art. 14 CE.</w:t>
      </w:r>
    </w:p>
    <w:p w:rsidR="00B85568" w:rsidRDefault="00B85568" w:rsidP="00B85568">
      <w:pPr>
        <w:pStyle w:val="TextoNormal"/>
      </w:pPr>
    </w:p>
    <w:p w:rsidR="00B85568" w:rsidRDefault="00B85568" w:rsidP="00B85568">
      <w:pPr>
        <w:pStyle w:val="TextoNormal"/>
      </w:pPr>
      <w:r w:rsidRPr="00B85568">
        <w:rPr>
          <w:rStyle w:val="NumeroAFNegritaCaracter"/>
        </w:rPr>
        <w:t>6</w:t>
      </w:r>
      <w:r>
        <w:t>. En definitiva, en atención a las razones ya expresadas, hemos de concluir que las dudas de constitucionalidad planteadas en esta cuestión carecen de viabilidad suficiente y han de considerarse notoriamente infundadas, a los efectos previstos en el art. 37.1 LOTC. Procede, en consecuencia, declarar la inadmisión a trámite de la cuestión de inconstitucionalidad presentada.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rsidP="00B85568">
      <w:pPr>
        <w:pStyle w:val="ParrafoNormal"/>
      </w:pPr>
    </w:p>
    <w:p w:rsidR="00B85568" w:rsidRDefault="00B85568" w:rsidP="00B85568">
      <w:pPr>
        <w:pStyle w:val="TextoNormalNegritaCentrado"/>
        <w:keepNext/>
      </w:pPr>
      <w:r>
        <w:t>Voto particular que formula el Magistrado don Fernando Valdés Dal-Ré al Auto que resuelve la cuestión de inconstitucionalidad núm. 983-2014, y al que se adhieren la Magistrada doña Adela Asua Batarrita y el Magistrado don Luis Ignacio Ortega Álvarez.</w:t>
      </w:r>
    </w:p>
    <w:p w:rsidR="00B85568" w:rsidRDefault="00B85568" w:rsidP="00B85568">
      <w:pPr>
        <w:pStyle w:val="TextoNormalNegritaCentrado"/>
        <w:keepNext/>
      </w:pPr>
    </w:p>
    <w:p w:rsidR="00B85568" w:rsidRDefault="00B85568" w:rsidP="00B85568">
      <w:pPr>
        <w:pStyle w:val="TextoNormal"/>
      </w:pPr>
      <w:r>
        <w:t>Dentro del máximo respeto hacia el parecer mayoritario de mis compañeros, entiendo que la presente cuestión de inconstitucionalidad, promovida por el Juzgado de lo social núm. 34 de los de Madrid, debió de ser admitida, con el consiguiente dictado de una sentencia estimatoria de la inconstitucionalidad y, nulidad de los números 1 y 2 del art. 18, de la Ley 3/2012, de 6 de julio, de medidas urgentes para la reforma del mercado de trabajo, que modifican respectivamente los números 1 y 2 del art. 56 del texto refundido del estatuto de los trabajadores, aprobado por Real Decreto Legislativo 1/1995, de 24 de marzo.</w:t>
      </w:r>
    </w:p>
    <w:p w:rsidR="00B85568" w:rsidRDefault="00B85568" w:rsidP="00B85568">
      <w:pPr>
        <w:pStyle w:val="TextoNormal"/>
      </w:pPr>
    </w:p>
    <w:p w:rsidR="00B85568" w:rsidRDefault="00B85568" w:rsidP="00B85568">
      <w:pPr>
        <w:pStyle w:val="TextoNormal"/>
      </w:pPr>
      <w:r>
        <w:t>Conforme tuve oportunidad de argumentar en el apartado 5 del Voto particular a la STC 8/2015, de 22 de enero, que sustanció el recurso de inconstitucionalidad núm. 5610-2012, y a cuyos razonamientos ahora me remito, los citados preceptos legales, al excluir el pago de salarios de tramitación en el supuesto de que el empresario opte por abonar la indemnización legalmente establecida a aquellos trabajadores cuyo despido hubiere sido judicialmente declarado como improcedente, lesionan el derecho al trabajo, en su vertiente individual, consagrado en el art. 35.1 CE.</w:t>
      </w:r>
    </w:p>
    <w:p w:rsidR="00B85568" w:rsidRDefault="00B85568" w:rsidP="00B85568">
      <w:pPr>
        <w:pStyle w:val="TextoNormal"/>
      </w:pPr>
    </w:p>
    <w:p w:rsidR="00B85568" w:rsidRDefault="00B85568" w:rsidP="00B85568">
      <w:pPr>
        <w:pStyle w:val="TextoNormal"/>
      </w:pPr>
      <w:r>
        <w:t>Y en tal sentido emito este Voto particular.</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5" w:name="AUTO_2015_35"/>
      <w:r>
        <w:t>AUTO 35/2015, de 17 de febrero de 2015</w:t>
      </w:r>
    </w:p>
    <w:bookmarkEnd w:id="185"/>
    <w:p w:rsidR="00B85568" w:rsidRDefault="00B85568" w:rsidP="00B85568">
      <w:pPr>
        <w:pStyle w:val="TtuloResolucin"/>
      </w:pPr>
      <w:r>
        <w:t>Pleno</w:t>
      </w:r>
    </w:p>
    <w:p w:rsidR="00B85568" w:rsidRDefault="00B85568" w:rsidP="00B85568">
      <w:pPr>
        <w:pStyle w:val="TextoNormalCentrado"/>
      </w:pPr>
      <w:r>
        <w:t>ECLI:ES:TC:2015:35A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984-2014, planteada por el Juzgado de lo Social núm. 34 de Madrid en relación con el Real Decreto-ley 3/2012, de 10 de febrero, de medidas urgentes para la reforma del mercado laboral, globalmente considerado. Voto particular.</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20 de febrero de 2014 tuvo entrada en el Registro General de este Tribunal un escrito del Secretario Judicial del Juzgado de lo Social núm. 34 de Madrid al que se acompaña, junto con el testimonio del procedimiento núm. 814-2012, sobre despido, que se tramita ante dicho Juzgado, el Auto de 23 de enero de 2014,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con relación a lo dispuesto en su art. 18.7, por presunta vulneración de los arts. 9.3 y 24.1 CE; y finalmente, el art. 18.8 de dicho Real Decreto-ley 3/2012, por posible contradicción con los arts. 9.3 y 24.1 CE, en relación con el art. 35.1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presente cuestión de inconstitucionalidad son, en síntesis, los siguientes:</w:t>
      </w:r>
    </w:p>
    <w:p w:rsidR="00B85568" w:rsidRDefault="00B85568" w:rsidP="00B85568">
      <w:pPr>
        <w:pStyle w:val="TextoNormal"/>
      </w:pPr>
    </w:p>
    <w:p w:rsidR="00B85568" w:rsidRDefault="00B85568" w:rsidP="00B85568">
      <w:pPr>
        <w:pStyle w:val="TextoNormal"/>
      </w:pPr>
      <w:r>
        <w:t>a) El día 12 de julio de 2012, don Marín Felician Rus presentó demanda de despido frente a Vanca Instalaciones, S.L., —después ampliada al fondo de garantía salarial—, en la que solicitaba que la extinción de su contrato por obra o servicio determinado suscrito el 20 de marzo de 2012 —aportado como prueba—, comunicada con fecha de 13 de junio de 2012, fuera declarada como despido improcedente. Por Decreto de 13 de septiembre de 2012, el Juzgado de lo Social núm. 34 de Madrid acordó la admisión a trámite de la demanda.</w:t>
      </w:r>
    </w:p>
    <w:p w:rsidR="00B85568" w:rsidRDefault="00B85568" w:rsidP="00B85568">
      <w:pPr>
        <w:pStyle w:val="TextoNormal"/>
      </w:pPr>
    </w:p>
    <w:p w:rsidR="00B85568" w:rsidRDefault="00B85568" w:rsidP="00B85568">
      <w:pPr>
        <w:pStyle w:val="TextoNormal"/>
      </w:pPr>
      <w:r>
        <w:t>b) Tras la celebración del acto del juicio el día 5 de diciembre de 2012, el Magistrado-Juez dictó providencia en esa misma fecha —5 de diciembre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se concretaban las normas cuya constitucionalidad se cuestiona y los preceptos que se suponen infringidos: en primer lugar, exponía que el Real Decreto-ley 3/2012, globalmente considerado, resulta lesivo de los arts. 1.3 y 86.1 CE; en segundo lugar, también indicaba que la disposición transitoria quinta del Real Decreto-ley 3/2012 —que en la fundamentación vincula a su art. 18.7—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23 de enero de 2014, a cuyo contenido se hace referencia más adelante.</w:t>
      </w:r>
    </w:p>
    <w:p w:rsidR="00B85568" w:rsidRDefault="00B85568" w:rsidP="00B85568">
      <w:pPr>
        <w:pStyle w:val="TextoNormal"/>
      </w:pPr>
    </w:p>
    <w:p w:rsidR="00B85568" w:rsidRDefault="00B85568" w:rsidP="00B85568">
      <w:pPr>
        <w:pStyle w:val="TextoNormal"/>
      </w:pPr>
      <w:r>
        <w:t>Por providencia de 22 de octubre de 2013 se declaró que, no constando haberse dado trámite de alegaciones por diez días al Ministerio Fiscal, con traslado de copia de la demanda, procedía cumplimentar dicho trámite.</w:t>
      </w:r>
    </w:p>
    <w:p w:rsidR="00B85568" w:rsidRDefault="00B85568" w:rsidP="00B85568">
      <w:pPr>
        <w:pStyle w:val="TextoNormal"/>
      </w:pPr>
    </w:p>
    <w:p w:rsidR="00B85568" w:rsidRDefault="00B85568" w:rsidP="00B85568">
      <w:pPr>
        <w:pStyle w:val="TextoNormal"/>
      </w:pPr>
      <w:r>
        <w:t>c) Mediante escrito registrado el 15 de noviembre de 2013, el Fiscal presentó sus alegaciones, en las que exponía que, a su juicio, concurrían los requisitos formales para proceder a la interposición de la cuestión de inconstitucionalidad de las normas controvertidas. Ni la parte actora ni la demandada presentaron escrito de alegaciones.</w:t>
      </w:r>
    </w:p>
    <w:p w:rsidR="00B85568" w:rsidRDefault="00B85568" w:rsidP="00B85568">
      <w:pPr>
        <w:pStyle w:val="TextoNormal"/>
      </w:pPr>
    </w:p>
    <w:p w:rsidR="00B85568" w:rsidRDefault="00B85568" w:rsidP="00B85568">
      <w:pPr>
        <w:pStyle w:val="TextoNormal"/>
      </w:pPr>
      <w:r>
        <w:t>d) El Juzgado de lo Social núm. 34 de Madrid dictó Auto de 23 de enero de 2014, por el que acordó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con relación a lo dispuesto en su art. 18.7, por presunta vulneración de los arts. 9.3 y 24.1 CE; y finalmente, el art. 18.8 de dicho Real Decreto-ley 3/2012, por posible contradicción de los arts. 9.3 y 24.1 CE, en relación con el art. 35.1 CE.</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23 de enero de 2014 del Juzgado de lo Social núm. 34 de Madrid fundamenta el planteamiento de la cuestión de inconstitucionalidad en las consideraciones que, seguidamente, y de forma resumida, se indican.</w:t>
      </w:r>
    </w:p>
    <w:p w:rsidR="00B85568" w:rsidRDefault="00B85568" w:rsidP="00B85568">
      <w:pPr>
        <w:pStyle w:val="TextoNormal"/>
      </w:pPr>
    </w:p>
    <w:p w:rsidR="00B85568" w:rsidRDefault="00B85568" w:rsidP="00B85568">
      <w:pPr>
        <w:pStyle w:val="TextoNormal"/>
      </w:pPr>
      <w:r>
        <w:t>De entrada, tras repasar los antecedentes del caso,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—13 de junio de 2012—, las consecuencias de dicha calificación deben ser las previstas en la Ley del estatuto de los trabajadores (LET), en la redacción dada por el Real Decreto-ley 3/2012.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B85568" w:rsidRDefault="00B85568" w:rsidP="00B85568">
      <w:pPr>
        <w:pStyle w:val="TextoNormal"/>
      </w:pPr>
    </w:p>
    <w:p w:rsidR="00B85568" w:rsidRDefault="00B85568" w:rsidP="00B85568">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w:t>
      </w:r>
    </w:p>
    <w:p w:rsidR="00B85568" w:rsidRDefault="00B85568" w:rsidP="00B85568">
      <w:pPr>
        <w:pStyle w:val="TextoNormal"/>
      </w:pPr>
    </w:p>
    <w:p w:rsidR="00B85568" w:rsidRDefault="00B85568" w:rsidP="00B85568">
      <w:pPr>
        <w:pStyle w:val="TextoNormal"/>
      </w:pPr>
      <w:r>
        <w:t>Con relación a este punto, alega que el Real Decreto-ley 3/2012 no responde, a su juicio, a una extraordinaria y urgente necesidad que justifique la adopción de disposiciones legislativas provisionales. Tras un extenso razonamiento y un repaso crítico a las afirmaciones contenidas en el preámbulo del Real Decreto-ley 3/2012 —en especial, las incluidas en su epígrafe V respecto a las medidas introducidas en materia de extinción del contrato de trabajo—, el Auto concluye que, respecto a dicho Real Decreto-ley 3/2012, debe adoptarse una resolución anulatoria, en atención a las siguientes razones: de un lado, porque los argumentos utilizados en el preámbulo resultan marcadamente teóricos, ambiguos y abstractos, sin que se ofrezcan los motivos reales y concretos, no bastando las remisiones a las debilidades del modelo laboral español, a la gravedad de la crisis, a los problemas del mercado de trabajo español, al requerimiento de una reforma de envergadura, a la eficiencia del mercado o a la reducción de la dualidad laboral…; de otro lado, porque no se ha justificado la concurrencia del presupuesto habilitante, esto es, la situación de urgente y extraordinaria necesidad, que, en algún momento, se llega a confundir con la conveniencia del cambio de criterio “por uno más adecuado”; asimismo, tampoco se acredita la conexión entre esa situación de necesidad y las medidas concretas, hasta el punto de que cuando se abordan éstas la exposición resulta contradictoria y no ajustada a la realidad; y finalmente, porque el procedimiento legislativo utilizado no pretendía otra finalidad que la “inmediatividad” de las medidas, sin que tal deseo haya podido justificar el empleo de este provisional y especial medio legislativo. Junto a lo anterior, el Auto razona y se extiende sobre la idea de que la reforma laboral no responde a necesidades coyunturales puras o a situaciones coyunturales que actúan sobre causas estructurales, sino que nos encontramos en presencia de una desregulación universal y generalizada, iniciada antes de la crisis financiera última, “y que no pretende otra cosa que la recuperación del ideal liberal”.</w:t>
      </w:r>
    </w:p>
    <w:p w:rsidR="00B85568" w:rsidRDefault="00B85568" w:rsidP="00B85568">
      <w:pPr>
        <w:pStyle w:val="TextoNormal"/>
      </w:pPr>
    </w:p>
    <w:p w:rsidR="00B85568" w:rsidRDefault="00B85568" w:rsidP="00B85568">
      <w:pPr>
        <w:pStyle w:val="TextoNormal"/>
      </w:pPr>
      <w:r>
        <w:t>Asimismo,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B85568" w:rsidRDefault="00B85568" w:rsidP="00B85568">
      <w:pPr>
        <w:pStyle w:val="TextoNormal"/>
      </w:pPr>
    </w:p>
    <w:p w:rsidR="00B85568" w:rsidRDefault="00B85568" w:rsidP="00B85568">
      <w:pPr>
        <w:pStyle w:val="TextoNormal"/>
      </w:pPr>
      <w:r>
        <w:t>b) La segunda duda de constitucionalidad expresada en el Auto se refiere a la disposición transitoria quinta del Real Decreto-ley 3/2012, con relación a lo dispuesto en el art. 18.7 del mismo Real Decreto-ley, por vulnerar los arts. 9.3 y 24.1 CE.</w:t>
      </w:r>
    </w:p>
    <w:p w:rsidR="00B85568" w:rsidRDefault="00B85568" w:rsidP="00B85568">
      <w:pPr>
        <w:pStyle w:val="TextoNormal"/>
      </w:pPr>
    </w:p>
    <w:p w:rsidR="00B85568" w:rsidRDefault="00B85568" w:rsidP="00B85568">
      <w:pPr>
        <w:pStyle w:val="TextoNormal"/>
      </w:pPr>
      <w:r>
        <w:t>Al respecto, da cuenta del contenido del citado art. 18.7 y de los apartados 1 y 2 de la disposición transitoria quinta, señalando que con esta normativa se reduce de manera significativa la cuantía de las indemnizaciones por despido improcedente. Asimismo, desde la premisa de que tras la calificación del despido como improcedente se halla una conducta dolosa o negligente del empleador, el Magistrado-Juez afirma que la norma de aplicación es arbitraria por cuatro consideraciones.</w:t>
      </w:r>
    </w:p>
    <w:p w:rsidR="00B85568" w:rsidRDefault="00B85568" w:rsidP="00B85568">
      <w:pPr>
        <w:pStyle w:val="TextoNormal"/>
      </w:pPr>
    </w:p>
    <w:p w:rsidR="00B85568" w:rsidRDefault="00B85568" w:rsidP="00B85568">
      <w:pPr>
        <w:pStyle w:val="TextoNormal"/>
      </w:pPr>
      <w:r>
        <w:t>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traslada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w:t>
      </w:r>
    </w:p>
    <w:p w:rsidR="00B85568" w:rsidRDefault="00B85568" w:rsidP="00B85568">
      <w:pPr>
        <w:pStyle w:val="TextoNormal"/>
      </w:pPr>
    </w:p>
    <w:p w:rsidR="00B85568" w:rsidRDefault="00B85568" w:rsidP="00B85568">
      <w:pPr>
        <w:pStyle w:val="TextoNormal"/>
      </w:pPr>
      <w:r>
        <w:t>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Es relevante, indica, que el Convenio 158 de la Organización Internacional del Trabajo (OIT) establece que las indemnizaciones por despido injustificado deben ser “adecuadas” (art. 10). Asimismo, destaca que, conforme al art. 12 de dicho Convenio de la OIT,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w:t>
      </w:r>
    </w:p>
    <w:p w:rsidR="00B85568" w:rsidRDefault="00B85568" w:rsidP="00B85568">
      <w:pPr>
        <w:pStyle w:val="TextoNormal"/>
      </w:pPr>
    </w:p>
    <w:p w:rsidR="00B85568" w:rsidRDefault="00B85568" w:rsidP="00B85568">
      <w:pPr>
        <w:pStyle w:val="TextoNormal"/>
      </w:pPr>
      <w:r>
        <w:t>Tercero, porque la norma reduce las cuantías sin referencia al único criterio válido que es el de equivalencia entre los daños y perjuicios sufridos por el trabajador injustamente despedido y la cuantía del resarcimiento. En tal sentido considera que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w:t>
      </w:r>
    </w:p>
    <w:p w:rsidR="00B85568" w:rsidRDefault="00B85568" w:rsidP="00B85568">
      <w:pPr>
        <w:pStyle w:val="TextoNormal"/>
      </w:pPr>
    </w:p>
    <w:p w:rsidR="00B85568" w:rsidRDefault="00B85568" w:rsidP="00B85568">
      <w:pPr>
        <w:pStyle w:val="TextoNormal"/>
      </w:pPr>
      <w:r>
        <w:t xml:space="preserve">Cuarto, porque el sistema transitorio establecido en el Real Decreto-ley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w:t>
      </w:r>
      <w:r w:rsidRPr="00B85568">
        <w:rPr>
          <w:i/>
        </w:rPr>
        <w:t>damnum emergens</w:t>
      </w:r>
      <w:r>
        <w:t xml:space="preserve"> o el </w:t>
      </w:r>
      <w:r w:rsidRPr="00B85568">
        <w:rPr>
          <w:i/>
        </w:rPr>
        <w:t>pretium doloris</w:t>
      </w:r>
      <w:r>
        <w:t xml:space="preserve"> de un trabajador despedido injustamente, o sobre cómo explicar que, a partir de determinada antigüedad, la valoración de los daños y perjuicios se “congele”, y que antes se hiciera con una compensación de cuarenta y dos mensualidades y ahora con veinticuatro.</w:t>
      </w:r>
    </w:p>
    <w:p w:rsidR="00B85568" w:rsidRDefault="00B85568" w:rsidP="00B85568">
      <w:pPr>
        <w:pStyle w:val="TextoNormal"/>
      </w:pPr>
    </w:p>
    <w:p w:rsidR="00B85568" w:rsidRDefault="00B85568" w:rsidP="00B85568">
      <w:pPr>
        <w:pStyle w:val="TextoNormal"/>
      </w:pPr>
      <w:r>
        <w:t>De las anteriores consideraciones infiere el juzgador claras vulneraciones del art. 9.3 CE, relativo a la interdicción de la arbitrariedad, y del art. 24.1 CE, ya que la tutela dispensada por sentencia no podrá ser efectiva, sino parcial y meramente nominal.</w:t>
      </w:r>
    </w:p>
    <w:p w:rsidR="00B85568" w:rsidRDefault="00B85568" w:rsidP="00B85568">
      <w:pPr>
        <w:pStyle w:val="TextoNormal"/>
      </w:pPr>
    </w:p>
    <w:p w:rsidR="00B85568" w:rsidRDefault="00B85568" w:rsidP="00B85568">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B85568">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B85568" w:rsidRDefault="00B85568" w:rsidP="00B85568">
      <w:pPr>
        <w:pStyle w:val="TextoNormal"/>
      </w:pPr>
    </w:p>
    <w:p w:rsidR="00B85568" w:rsidRDefault="00B85568" w:rsidP="00B85568">
      <w:pPr>
        <w:pStyle w:val="TextoNormal"/>
      </w:pPr>
      <w:r>
        <w:t>c) Como tercera duda de constitucionalidad, el Auto se refiere al art. 18.8 del Real Decreto-ley 3/2012, por vulneración de los arts. 9.3 y 24.1 CE, en relación con el art. 35.1 CE.</w:t>
      </w:r>
    </w:p>
    <w:p w:rsidR="00B85568" w:rsidRDefault="00B85568" w:rsidP="00B85568">
      <w:pPr>
        <w:pStyle w:val="TextoNormal"/>
      </w:pPr>
    </w:p>
    <w:p w:rsidR="00B85568" w:rsidRDefault="00B85568" w:rsidP="00B85568">
      <w:pPr>
        <w:pStyle w:val="TextoNormal"/>
      </w:pPr>
      <w:r>
        <w:t xml:space="preserve">Desde la perspectiva del art. 9.3 CE (interdicción de la arbitrariedad), el Magistrado-Juez indica que el art. 18.8 del Real Decreto-ley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w:t>
      </w:r>
      <w:r w:rsidRPr="00B85568">
        <w:rPr>
          <w:i/>
        </w:rPr>
        <w:t>lucrum cessans</w:t>
      </w:r>
      <w:r>
        <w:t xml:space="preserve">,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contiene un mandato </w:t>
      </w:r>
      <w:r w:rsidRPr="00B85568">
        <w:rPr>
          <w:i/>
        </w:rPr>
        <w:t>pro labore</w:t>
      </w:r>
      <w:r>
        <w:t xml:space="preserve"> que queda vulnerado; y por último, que dicha arbitrariedad se intensifica a la luz de la nueva redacción dada por el art. 18.9 del Real Decreto-ley 3/2012 al art. 56.4 LET, que, para los supuestos de despido improcedente de representantes legales de los trabajadores o delegados sindicales, contempla el derecho a salarios de tramitación, tanto si se opta por la readmisión como por la indemnización.</w:t>
      </w:r>
    </w:p>
    <w:p w:rsidR="00B85568" w:rsidRDefault="00B85568" w:rsidP="00B85568">
      <w:pPr>
        <w:pStyle w:val="TextoNormal"/>
      </w:pPr>
    </w:p>
    <w:p w:rsidR="00B85568" w:rsidRDefault="00B85568" w:rsidP="00B85568">
      <w:pPr>
        <w:pStyle w:val="TextoNormal"/>
      </w:pPr>
      <w:r>
        <w:t>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B85568" w:rsidRDefault="00B85568" w:rsidP="00B85568">
      <w:pPr>
        <w:pStyle w:val="TextoNormal"/>
      </w:pPr>
    </w:p>
    <w:p w:rsidR="00B85568" w:rsidRDefault="00B85568" w:rsidP="00B85568">
      <w:pPr>
        <w:pStyle w:val="TextoNormal"/>
      </w:pPr>
      <w:r>
        <w:t>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el Magistrado-Juez dice reformular la presente cuestión de inconstitucionalidad, haciéndola pivotar sobre otros preceptos constitucionales —esencialmente, arts. 9.3 y 24.1 CE—, al margen de las facultades que el art. 39.2 LOTC confiere.</w:t>
      </w:r>
    </w:p>
    <w:p w:rsidR="00B85568" w:rsidRDefault="00B85568" w:rsidP="00B85568">
      <w:pPr>
        <w:pStyle w:val="TextoNormal"/>
      </w:pPr>
    </w:p>
    <w:p w:rsidR="00B85568" w:rsidRDefault="00B85568" w:rsidP="00B85568">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00B85568" w:rsidRDefault="00B85568" w:rsidP="00B85568">
      <w:pPr>
        <w:pStyle w:val="TextoNormal"/>
      </w:pPr>
    </w:p>
    <w:p w:rsidR="00B85568" w:rsidRDefault="00B85568" w:rsidP="00B85568">
      <w:pPr>
        <w:pStyle w:val="TextoNormal"/>
      </w:pPr>
      <w:r>
        <w:t xml:space="preserve">Por lo que se refiere al art. 35 CE, y tras recordar la jurisprudencia constitucional sobre el alcance del derecho al trabajo y algunas de las exigencias derivadas del convenio 158 de la OIT,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w:t>
      </w:r>
      <w:r w:rsidRPr="00B85568">
        <w:rPr>
          <w:i/>
        </w:rPr>
        <w:t>pro labore</w:t>
      </w:r>
      <w:r>
        <w:t>.</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7 de octubre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el 6 de noviembre de 2014, en el que interesa la inadmisión a trámite de la cuestión de inconstitucionalidad planteada por resultar notoriamente infundada.</w:t>
      </w:r>
    </w:p>
    <w:p w:rsidR="00B85568" w:rsidRDefault="00B85568" w:rsidP="00B85568">
      <w:pPr>
        <w:pStyle w:val="TextoNormal"/>
      </w:pPr>
    </w:p>
    <w:p w:rsidR="00B85568" w:rsidRDefault="00B85568" w:rsidP="00B85568">
      <w:pPr>
        <w:pStyle w:val="TextoNormal"/>
      </w:pPr>
      <w:r>
        <w:t>Al respecto,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B85568" w:rsidRDefault="00B85568" w:rsidP="00B85568">
      <w:pPr>
        <w:pStyle w:val="TextoNormal"/>
      </w:pPr>
    </w:p>
    <w:p w:rsidR="00B85568" w:rsidRDefault="00B85568" w:rsidP="00B85568">
      <w:pPr>
        <w:pStyle w:val="TextoNormal"/>
      </w:pPr>
      <w:r>
        <w:t xml:space="preserve">Respecto a esta última cuestión, el Fiscal General del Estado no aprecia justificada la analogía que el Auto establece con el supuesto enjuiciado en la STC 181/2000, relativo al baremo para la indemnización del daño personal por hechos derivados de la circulación. En tal sentido explica que, frente al planteamiento del órgano promotor, dicha Sentencia sólo se pronunció sobre la responsabilidad extracontractual, siendo que, por el contrario, en el supuesto del proceso </w:t>
      </w:r>
      <w:r w:rsidRPr="00B85568">
        <w:rPr>
          <w:i/>
        </w:rPr>
        <w:t>a quo</w:t>
      </w:r>
      <w:r>
        <w:t xml:space="preserve"> de la presente cuestión se proclama la responsabilidad contractual, al entenderse el despido improcedente como un caso de incumplimiento obligacional de carácter doloso (art. 1.101 del Código civil).</w:t>
      </w:r>
    </w:p>
    <w:p w:rsidR="00B85568" w:rsidRDefault="00B85568" w:rsidP="00B85568">
      <w:pPr>
        <w:pStyle w:val="TextoNormal"/>
      </w:pPr>
    </w:p>
    <w:p w:rsidR="00B85568" w:rsidRDefault="00B85568" w:rsidP="00B85568">
      <w:pPr>
        <w:pStyle w:val="TextoNormal"/>
      </w:pPr>
      <w:r>
        <w:t xml:space="preserve">Además, el Fiscal opone que el Auto de planteamiento omite afirmaciones cardinales en la fundamentación de dicha STC 181/2000. Por un lado, recuerda que en esta Sentencia se dijo que, del principio de exclusividad de Jueces y Magistrados en el ejercicio de la potestad jurisdiccional </w:t>
      </w:r>
      <w:r w:rsidRPr="00B85568">
        <w:rPr>
          <w:i/>
        </w:rPr>
        <w:t>ex</w:t>
      </w:r>
      <w:r>
        <w:t xml:space="preserve"> art. 117.3 CE, no puede inferirse la existencia de una correlativa prohibición impuesta al legislador por la que se condicione su libertad de configuración para elegir el nivel de densidad normativa con que pretende regular una materia, añadiéndose que de la regulación referida sobre la valoración y cuantificación de los daños personales no deriva restricción alguna de las facultades judiciales, no existiendo por tanto infracción del precepto constitucional. Por otro lado, pone de relieve el limitado alcance del fallo de la citada STC 181/2000, en el que no se afirma que el establecimiento de límites cuantitativos legales en la determinación de la indemnización sea inconstitucional por contrariar el derecho a la tutela judicial efectiva </w:t>
      </w:r>
      <w:r w:rsidRPr="00B85568">
        <w:rPr>
          <w:i/>
        </w:rPr>
        <w:t>ex</w:t>
      </w:r>
      <w:r>
        <w:t xml:space="preserve"> art. 24.1 CE, sino que su declaración de inconstitucionalidad se ciñe a aquellos obstáculos legales que impidan la acreditación procesal de un daño personal para su posterior valoración por el Juez, debiendo además tratarse exclusivamente de aquellos supuestos en que el daño sea determinante de “incapacidad temporal” y tenga su causa exclusiva en una culpa relevante, judicialmente declarada, imputable al agente causante del hecho lesivo.</w:t>
      </w:r>
    </w:p>
    <w:p w:rsidR="00B85568" w:rsidRDefault="00B85568" w:rsidP="00B85568">
      <w:pPr>
        <w:pStyle w:val="TextoNormal"/>
      </w:pPr>
    </w:p>
    <w:p w:rsidR="00B85568" w:rsidRDefault="00B85568" w:rsidP="00B85568">
      <w:pPr>
        <w:pStyle w:val="TextoNormal"/>
      </w:pPr>
      <w:r>
        <w:t>Los anteriores argumentos llevan al Fiscal a afirmar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citando al respecto lo dicho en el fundamento jurídico quinto del ATC 43/2014, de 12 de febrero.</w:t>
      </w:r>
    </w:p>
    <w:p w:rsidR="00B85568" w:rsidRDefault="00B85568" w:rsidP="00B85568">
      <w:pPr>
        <w:pStyle w:val="TextoNormal"/>
      </w:pPr>
    </w:p>
    <w:p w:rsidR="00B85568" w:rsidRDefault="00B85568" w:rsidP="00B85568">
      <w:pPr>
        <w:pStyle w:val="TextoNormal"/>
      </w:pPr>
      <w:r>
        <w:t>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En este punto concluye que, en la nueva redacción dada al art. 56.1 y 2 LET, se cumplen las exigencias derivadas del art. 35.1 CE.</w:t>
      </w:r>
    </w:p>
    <w:p w:rsidR="00B85568" w:rsidRDefault="00B85568" w:rsidP="00B85568">
      <w:pPr>
        <w:pStyle w:val="TextoNormal"/>
      </w:pPr>
    </w:p>
    <w:p w:rsidR="00B85568" w:rsidRDefault="00B85568" w:rsidP="00B85568">
      <w:pPr>
        <w:pStyle w:val="TextoNormal"/>
      </w:pPr>
      <w:r>
        <w:t>Asimismo, subraya que, tanto de la exposición de motivos de la norma cuestionada como del ulterior debate parlamentario de convalidación, cabe concluir que el Gobierno ha cumplido la exigencia de explicitar y razonar de forma suficiente la existencia de una situación de “extraordinaria y urgente necesidad” que justifica la necesidad de dictar el Real Decreto-ley 3/2012 y, asimismo, que también resulta acreditada la existencia de una necesaria conexión entre la situación de urgencia definida y las medidas que en el Decreto-ley se adoptan.</w:t>
      </w:r>
    </w:p>
    <w:p w:rsidR="00B85568" w:rsidRDefault="00B85568" w:rsidP="00B85568">
      <w:pPr>
        <w:pStyle w:val="TextoNormal"/>
      </w:pPr>
    </w:p>
    <w:p w:rsidR="00B85568" w:rsidRDefault="00B85568" w:rsidP="00B85568">
      <w:pPr>
        <w:pStyle w:val="TextoNormal"/>
      </w:pPr>
      <w:r>
        <w:t>En cuanto a la invocación del art. 14 CE en relación con las diferentes consecuencias que, según el órgano promotor, derivan de un incumplimiento obligacional común y de un incumplimiento contractual en el ámbito laboral, el Fiscal descarta también su contravención, haciendo referencia a lo indicado en el citado ATC 43/2014, FJ 6.</w:t>
      </w:r>
    </w:p>
    <w:p w:rsidR="00B85568" w:rsidRDefault="00B85568" w:rsidP="00B85568">
      <w:pPr>
        <w:pStyle w:val="TextoNormal"/>
      </w:pPr>
    </w:p>
    <w:p w:rsidR="00B85568" w:rsidRDefault="00B85568" w:rsidP="00B85568">
      <w:pPr>
        <w:pStyle w:val="TextoNormal"/>
      </w:pPr>
      <w:r>
        <w:t>Finalmente, con relación a la supuesta oposición del art. 18.8 al art. 35.1 CE, el Fiscal General del Estado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con relación a lo dispuesto en su art. 18.7,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B85568" w:rsidRDefault="00B85568" w:rsidP="00B85568">
      <w:pPr>
        <w:pStyle w:val="TextoNormal"/>
      </w:pPr>
    </w:p>
    <w:p w:rsidR="00B85568" w:rsidRDefault="00B85568" w:rsidP="00B85568">
      <w:pPr>
        <w:pStyle w:val="TextoNormal"/>
      </w:pPr>
      <w:r>
        <w:t>Por los motivos de los que también se ha dejado constancia en los antecedentes, el Fiscal General del Estado se opone a la admisión a trámite de la presente cuestión de inconstitucionalidad por estimarla notoriamente infundada (art. 37.1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B85568" w:rsidRDefault="00B85568" w:rsidP="00B85568">
      <w:pPr>
        <w:pStyle w:val="TextoNormal"/>
      </w:pPr>
    </w:p>
    <w:p w:rsidR="00B85568" w:rsidRDefault="00B85568" w:rsidP="00B85568">
      <w:pPr>
        <w:pStyle w:val="TextoNormal"/>
      </w:pPr>
      <w:r>
        <w:t xml:space="preserve">Respecto al análisis de estos aspectos en la cuestión aquí planteada, con carácter inicial debemos advertir que, conforme a nuestra doctrina (por todas, STC 6/2010, de 14 de abril, FJ 2),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B85568">
        <w:rPr>
          <w:i/>
        </w:rPr>
        <w:t>a quo</w:t>
      </w:r>
      <w:r>
        <w:t>, sigue siendo de aplicación la normativa incorporada por el cuestionado Real Decreto-ley 3/2012 de cuya constitucionalidad se duda, por más que, en realidad, el tenor dado por esta norma a los preceptos cuestionados sea similar a la nueva redacción proporcionada por sus homónimos de la Ley 3/2012.</w:t>
      </w:r>
    </w:p>
    <w:p w:rsidR="00B85568" w:rsidRDefault="00B85568" w:rsidP="00B85568">
      <w:pPr>
        <w:pStyle w:val="TextoNormal"/>
      </w:pPr>
    </w:p>
    <w:p w:rsidR="00B85568" w:rsidRDefault="00B85568" w:rsidP="00B85568">
      <w:pPr>
        <w:pStyle w:val="TextoNormal"/>
      </w:pPr>
      <w:r>
        <w:t xml:space="preserve">No obstante, el debido cumplimiento de los juicios de aplicabilidad y relevancia requeridos por el art. 35.1 LOTC exige introducir algunas precisiones en cuanto a la delimitación concreta del objeto de la presente cuestión. Recordemos que, de acuerdo con nuestra doctrina, “la cuestión de inconstitucionalidad no es un instrumento procesal para buscar una depuración abstracta del Ordenamiento” (por todas, STC 235/2007, de 7 de noviembre, FJ 2);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B85568">
        <w:rPr>
          <w:i/>
        </w:rPr>
        <w:t>a quo,</w:t>
      </w:r>
      <w:r>
        <w:t xml:space="preserve"> ya que en tales casos sólo mediante la revisión del juicio de relevancia es posible garantizar el control concreto de constitucionalidad que corresponde a la cuestión de inconstitucionalidad” (por todas, STC 179/2009, de 21 de julio, FJ 2). Es por ello que, a la vista de los amplios términos empleados por el Auto de planteamiento respecto a algunas de las normas cuestionadas, se hace necesario concretar el contenido exacto de las mismas que puede ser objeto de la actual cuestión de inconstitucionalidad.</w:t>
      </w:r>
    </w:p>
    <w:p w:rsidR="00B85568" w:rsidRDefault="00B85568" w:rsidP="00B85568">
      <w:pPr>
        <w:pStyle w:val="TextoNormal"/>
      </w:pPr>
    </w:p>
    <w:p w:rsidR="00B85568" w:rsidRDefault="00B85568" w:rsidP="00B85568">
      <w:pPr>
        <w:pStyle w:val="TextoNormal"/>
      </w:pPr>
      <w:r>
        <w:t>a) Por un lado, la primera consideración a realizar se refiere a las dudas de constitucionalidad planteadas respecto a la disposición transitoria quinta del Real Decreto-ley 3/2012, con relación a lo dispuesto en su art. 18.7. Respecto a la citada disposición transitoria quinta, el Auto no concreta cuál de sus apartados es el cuestionado, haciendo referencia al contenido de los dos apartados de que se compone. No obstante, atendidos los datos que constan en las actuaciones, ha de entenderse que la cuestión de inconstitucionalidad debe quedar limitada al apartado 1, que es el que se refiere a la indemnización por despido improcedente aplicable a los contratos suscritos a partir de la entrada en vigor del Real Decreto-ley 3/2012, respecto a los que se indica que dicha indemnización es la fijada en el art. 56.1 del texto refundido de la Ley del estatuto de los trabajadores (en adelante, LET), en la nueva redacción dada por el art. 18.7 del Real Decreto-ley 3/2012, cuyo contenido también se incluye en la fundamentación del órgano promotor. Consiguientemente, el objeto de la presente cuestión no se extiende al apartado 2 de la citada disposición transitoria quinta, por referirse a contratos formalizados con anterioridad a la entrada en vigor del Real Decreto-ley 3/2012.</w:t>
      </w:r>
    </w:p>
    <w:p w:rsidR="00B85568" w:rsidRDefault="00B85568" w:rsidP="00B85568">
      <w:pPr>
        <w:pStyle w:val="TextoNormal"/>
      </w:pPr>
    </w:p>
    <w:p w:rsidR="00B85568" w:rsidRDefault="00B85568" w:rsidP="00B85568">
      <w:pPr>
        <w:pStyle w:val="TextoNormal"/>
      </w:pPr>
      <w:r>
        <w:t xml:space="preserve">b) Por otro lado, no es posible apreciar el cumplimiento de los juicios de aplicabilidad y relevancia respecto a la totalidad de la duda de constitucionalidad formulada en el Auto en relación con el Real Decreto-ley 3/2012 “globalmente considerado y particularmente por lo que hace a su Capítulo IV y la transitoria quinta, en cuanto se refieren a la materia que desarrollaremos” —o “globalmente considerado y en cuanto a las normas que son específicamente objeto de impugnación”—. Resulta notorio que el Real Decreto-ley 3/2012 en su globalidad, e incluso su capítulo IV, contienen normas que exceden de las aplicables en el proceso </w:t>
      </w:r>
      <w:r w:rsidRPr="00B85568">
        <w:rPr>
          <w:i/>
        </w:rPr>
        <w:t>a quo</w:t>
      </w:r>
      <w:r>
        <w:t xml:space="preserve"> y necesarias para su resolución, habiendo ya señalado este Tribunal en pronunciamientos previos que “no caben impugnaciones globales y carentes de una razón suficientemente desarrollada” (STC 245/2004, de 16 de diciembre, FJ 3; o STC 149/2006, de 11 de mayo, FJ 5; ATC 128/2012, de 19 de junio, FJ 2). Por tal razón, debemos afirmar que el objeto de la duda de constitucionalidad respecto al uso del real decreto-ley debe quedar ceñido a los concretos preceptos de esta norma que resulten relevantes para la solución del litigio y sobre los que el Auto ha hecho recaer su argumentación: en concreto, el apartado 1 de la disposición transitoria quinta en relación con lo dispuesto en el art. 18.7 —según lo explicado—, y el art. 18.8 del citado Real Decreto-ley 3/2012.</w:t>
      </w:r>
    </w:p>
    <w:p w:rsidR="00B85568" w:rsidRDefault="00B85568" w:rsidP="00B85568">
      <w:pPr>
        <w:pStyle w:val="TextoNormal"/>
      </w:pPr>
    </w:p>
    <w:p w:rsidR="00B85568" w:rsidRDefault="00B85568" w:rsidP="00B85568">
      <w:pPr>
        <w:pStyle w:val="TextoNormal"/>
      </w:pPr>
      <w:r w:rsidRPr="00B85568">
        <w:rPr>
          <w:rStyle w:val="NumeroAFNegritaCaracter"/>
        </w:rPr>
        <w:t>3</w:t>
      </w:r>
      <w:r>
        <w:t>. Estas normas a las que se acaba de hacer referencia son las que, en definitiva, constituyen el objeto del presente procedimiento. Como ya se ha dicho, el apartado 1 de la disposición transitoria quinta del Real Decreto-ley 3/2012 remite a la indemnización por despido improcedente fijada en el art. 56.1 LET, en la nueva redacción dada por el art. 18.7 del citado Real Decreto-ley 3/2012, donde se precisa la cuantía indemnizatoria: en concreto, modificando la cuantía previa —establecida en cuarenta y cinco días de salario por año de servicio, prorrateándose por meses los períodos de tiempo inferiores a un año, hasta un máximo de cuarenta y dos mensualidades—, el precepto indicado pasa a fijarla en el equivalente a treinta y tres días de salario por año de servicio, prorrateándose por meses los períodos de tiempo inferiores a un año, hasta un máximo de veinticuatro mensualidades. Por su parte, el art. 18.8 del Real Decreto-ley 3/2012 da nueva redacción al art. 56.2 LET, disponiendo que, en caso de que en el despido improcedente se opte por la readmisión, el trabajador tendrá derecho a los salarios de tramitación, determinándose la fórmula de cuantificación de éstos, y sin que, a diferencia de lo que sucedía en la normativa previa, se extienda su reconocimiento a los supuestos de opción por la indemnización, sin perjuicio de la excepción prevista para los representantes de los trabajadores en el art. 56.4 LET.</w:t>
      </w:r>
    </w:p>
    <w:p w:rsidR="00B85568" w:rsidRDefault="00B85568" w:rsidP="00B85568">
      <w:pPr>
        <w:pStyle w:val="TextoNormal"/>
      </w:pPr>
    </w:p>
    <w:p w:rsidR="00B85568" w:rsidRDefault="00B85568" w:rsidP="00B85568">
      <w:pPr>
        <w:pStyle w:val="TextoNormal"/>
      </w:pPr>
      <w:r>
        <w:t>La constitucionalidad de estos preceptos es puesta en cuestión por el órgano promotor, tanto por haberse introducido mediante Real Decreto-ley (art. 86.1 CE en relación con el art. 1.3 CE), como por considerar su contenido contrario a los arts. 9.3 y 24.1 CE, en relación, en su caso, con el art. 35.1 CE. Pues bien, respecto a estas dudas de constitucionalidad, hemos de advertir que el mismo Juzgado de lo Social núm. 34 de Madrid ya elevó ante este Tribunal otra cuestión de inconstitucionalidad con similar objeto e igual argumentación a la ahora presentada, que fue inadmitida a trámite por el ATC 43/2014, de 12 de febrero, por considerarla notoriamente infundada.</w:t>
      </w:r>
    </w:p>
    <w:p w:rsidR="00B85568" w:rsidRDefault="00B85568" w:rsidP="00B85568">
      <w:pPr>
        <w:pStyle w:val="TextoNormal"/>
      </w:pPr>
    </w:p>
    <w:p w:rsidR="00B85568" w:rsidRDefault="00B85568" w:rsidP="00B85568">
      <w:pPr>
        <w:pStyle w:val="TextoNormal"/>
      </w:pPr>
      <w:r>
        <w:t xml:space="preserve">La identidad entre ambos procedimientos es total respecto a las denuncias dirigidas al art. 18.8 del Real Decreto-ley 3/2012; y por lo que se refiere a la cuestionada regulación de la indemnización por despido improcedente, la única diferencia existente es que, pese a la indiferenciada argumentación del órgano promotor, por razón de la norma considerada aplicable al litigio </w:t>
      </w:r>
      <w:r w:rsidRPr="00B85568">
        <w:rPr>
          <w:i/>
        </w:rPr>
        <w:t>a quo</w:t>
      </w:r>
      <w:r>
        <w:t>, allí analizamos el apartado 2 de la disposición transitoria quinta del Real Decreto-ley 3/2012, y en este caso ya se ha dicho que corresponde enjuiciar el apartado 1 de esta disposición transitoria quinta en relación con lo dispuesto en el art. 18.7 del Real Decreto-ley 3/2012. Esta circunstancia, sin embargo, no impide que también en este último aspecto resulte apreciable coincidencia entre ambas cuestiones, a efectos de trasladar las mismas conclusiones y razonamientos que entonces se expusieron: de un lado, respecto a la alegada vulneración del art. 86.1 CE en relación con el art. 1.3 CE, porque nuestra fundamentación tomó en consideración la regulación conjunta de la indemnización por despido improcedente introducida por el citado Real Decreto-ley 3/2012 en las diferentes normas citadas, de modo que las consideraciones allí realizadas resultan plenamente aplicables a las previsiones objeto de la presente cuestión; de otro lado, en cuanto a la aducida lesión de los arts. 9.3 y 24.1 CE, porque los reproches formulados por el órgano proponente y a los que se dio respuesta en el citado Auto vienen motivados por un elemento coincidente en los preceptos reguladores de la indemnización por despido improcedente —el carácter tasado de dicha indemnización—, de ahí que el hecho de que estas normas puedan presentar particularidades en otros aspectos no empece la aplicación de los mismos criterios de solución en el punto común controvertido. En consecuencia, en el análisis de la actual cuestión enjuiciada, procede reiterar la respuesta ofrecida en el mencionado ATC 43/2014, debiendo remitirnos a las soluciones y fundamentación allí ofrecidas, cuya traslación conduce a las conclusiones que a continuación se exponen.</w:t>
      </w:r>
    </w:p>
    <w:p w:rsidR="00B85568" w:rsidRDefault="00B85568" w:rsidP="00B85568">
      <w:pPr>
        <w:pStyle w:val="TextoNormal"/>
      </w:pPr>
    </w:p>
    <w:p w:rsidR="00B85568" w:rsidRDefault="00B85568" w:rsidP="00B85568">
      <w:pPr>
        <w:pStyle w:val="TextoNormal"/>
      </w:pPr>
      <w:r>
        <w:t>a) Respecto a la duda relativa a la eventual vulneración del art. 86.1 CE en relación con el art. 1.3 CE, el examen de la exposición de motivos del Real Decreto-ley 3/2012, así como la valoración de las circunstancias del caso y del contenido de las normas cuestionadas en los términos vistos en el ATC 43/2014 llevan a concluir “que, dentro del juicio político o de oportunidad que corresponde al Gobierno y al Congreso de los Diputados, y sin apreciarse abuso o arbitrariedad, el Real Decreto-ley 3/2012 satisface las exigencias, requeridas por la jurisprudencia constitucional, de haber explicitado y razonado la existencia de una situación de extraordinaria y urgente necesidad, así como la conexión de sentido existente entre esa situación y las medidas adoptadas en los preceptos que son objeto de esta cuestión de inconstitucionalidad. Por tal razón, respecto al presupuesto habilitante, ha de ser rechazada la alegada vulneración del art. 86.1 CE, puesto en relación con el art. 1.3 CE” [FJ 4 A)]. Asimismo, el hecho de que el Auto de planteamiento no incluya un razonamiento que justifique la “afectación” de derechos del Título I de la Constitución por motivos distintos a su directa vulneración conduce a que la declaración de que las normas cuestionadas no contravienen los preceptos constitucionales invocados —según se indica a continuación— resulte motivo suficiente “para, sin necesidad de otras consideraciones, rechazar la referida alegación de vulneración del art. 86.1 CE relativa a los límites materiales del uso del real decreto-ley” [ATC 43/2014, FJ 4 B)].</w:t>
      </w:r>
    </w:p>
    <w:p w:rsidR="00B85568" w:rsidRDefault="00B85568" w:rsidP="00B85568">
      <w:pPr>
        <w:pStyle w:val="TextoNormal"/>
      </w:pPr>
    </w:p>
    <w:p w:rsidR="00B85568" w:rsidRDefault="00B85568" w:rsidP="00B85568">
      <w:pPr>
        <w:pStyle w:val="TextoNormal"/>
      </w:pPr>
      <w:r>
        <w:t>b) En cuanto a las específicas denuncias dirigidas al apartado 1 de la disposición transitoria quinta del Real Decreto-ley 3/2012 en relación con lo dispuesto en su art. 18.7, hemos de descartar que esta normativa resulte contraria al principio de interdicción de la arbitrariedad previsto en el art. 9.3 CE, pues, en atención a las mismas razones expuestas en el ATC 43/2014 respecto a la previsión allí enjuiciada, FJ 5 A), hemos de concluir que ni resulta discriminatoria —en concreto, no se produce la discriminación “de origen clasista” denunciada por el órgano promotor—, ni puede afirmarse que su contenido carece de explicación racional. Como entonces dijimos con apoyo en el art. 35 CE, y en relación con la opción indemnizatoria en caso de despido improcedente, dentro del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también ahora hemos de declarar que a tal facultad otorgada al legislador responde el criterio de fijación de la indemnización por despido improcedente indicada en el apartado 1 de la disposición transitoria quinta del Real Decreto-ley 3/2012 en relación con lo dispuesto en su art. 18.7, “sin que pueda apreciarse arbitrariedad en ninguno de los aspectos señalados”, por los mismos motivos expresados en el citado Auto: en síntesis, porque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también porque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 treinta y tres días— que en los despidos colectivos u objetivos procedentes —veinte días (arts. 51.4 y 53.1 LET)—”; y asimismo, porque en atención a las comentadas facultades del legislador y a las razones expresadas en la exposición de motivos del Real Decreto-ley 3/2012 para justificar el establecimiento de la indemnización cuestionada, tampoco cabe apreciar arbitrariedad en las variaciones que la norma introduce en el factor multiplicador y en el tope máximo de la cuantía indemnizatoria.</w:t>
      </w:r>
    </w:p>
    <w:p w:rsidR="00B85568" w:rsidRDefault="00B85568" w:rsidP="00B85568">
      <w:pPr>
        <w:pStyle w:val="TextoNormal"/>
      </w:pPr>
    </w:p>
    <w:p w:rsidR="00B85568" w:rsidRDefault="00B85568" w:rsidP="00B85568">
      <w:pPr>
        <w:pStyle w:val="TextoNormal"/>
      </w:pPr>
      <w:r>
        <w:t>La misma falta de fundamento se observa en la alegación del Auto de planteamiento de que esta regulación cuestionada vulnera el derecho a la tutela judicial efectiva, en la medida en que “el contenido del art. 24.1 CE se sitúa en un plano distinto al de la determinación del régimen indemnizatorio de la extinción”, y en este caso,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[ATC 43/2014 FJ 5 B)].</w:t>
      </w:r>
    </w:p>
    <w:p w:rsidR="00B85568" w:rsidRDefault="00B85568" w:rsidP="00B85568">
      <w:pPr>
        <w:pStyle w:val="TextoNormal"/>
      </w:pPr>
    </w:p>
    <w:p w:rsidR="00B85568" w:rsidRDefault="00B85568" w:rsidP="00B85568">
      <w:pPr>
        <w:pStyle w:val="TextoNormal"/>
      </w:pPr>
      <w:r>
        <w:t>c) Por último, en cuanto al art. 18.8 del Real Decreto-ley 3/2012, tampoco aquí cabe apreciar que este precepto resulte contrario a la prohibición de arbitrariedad establecida en el art. 9.3 CE, pues la previsión cuestionada, además de no incurrir en discriminación, no carece de fundamento, en atención nuevamente a los diversos argumentos que, con relación a idéntica norma y queja, se reflejaron en el ATC 43/2014, FJ 6, y que ahora cabe reiterar.</w:t>
      </w:r>
    </w:p>
    <w:p w:rsidR="00B85568" w:rsidRDefault="00B85568" w:rsidP="00B85568">
      <w:pPr>
        <w:pStyle w:val="TextoNormal"/>
      </w:pPr>
    </w:p>
    <w:p w:rsidR="00B85568" w:rsidRDefault="00B85568" w:rsidP="00B85568">
      <w:pPr>
        <w:pStyle w:val="TextoNormal"/>
      </w:pPr>
      <w:r>
        <w:t>Tampoco el precepto vulnera el derecho a la tutela judicial efectiva (art. 24.1 CE), dado que, según declaramos en el ATC 43/2014, FJ 6, cabe trasladar lo dicho en la STC 84/2008, FJ 8, y concluir que se trata de una norma que, por un lado, respeta el principio de seguridad jurídica en tanto “posee un contenido claro y preciso”, y por otro, tampoco afecta en nada a la igualdad procesal de las partes ni menoscaba la función jurisdiccional, en la medida en que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w:t>
      </w:r>
    </w:p>
    <w:p w:rsidR="00B85568" w:rsidRDefault="00B85568" w:rsidP="00B85568">
      <w:pPr>
        <w:pStyle w:val="TextoNormal"/>
      </w:pPr>
    </w:p>
    <w:p w:rsidR="00B85568" w:rsidRDefault="00B85568" w:rsidP="00B85568">
      <w:pPr>
        <w:pStyle w:val="TextoNormal"/>
      </w:pPr>
      <w:r>
        <w:t xml:space="preserve">Finalmente, como también concluimos en el ATC 43/2014, FJ 6, hemos de rechazar que el art. 18.8 del Real Decreto-ley 3/2012 lesione el derecho al trabajo reconocido en el art. 35.1 CE, pues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w:t>
      </w:r>
      <w:r w:rsidRPr="00B85568">
        <w:rPr>
          <w:i/>
        </w:rPr>
        <w:t>ex</w:t>
      </w:r>
      <w:r>
        <w:t xml:space="preserve"> art. 35.2 CE”, dado que, conforme allí se razonó, el pago de una indemnización económica adecuada constituye una alternativa que “resulta conforme con el derecho al trabajo </w:t>
      </w:r>
      <w:r w:rsidRPr="00B85568">
        <w:rPr>
          <w:i/>
        </w:rPr>
        <w:t>ex</w:t>
      </w:r>
      <w:r>
        <w:t xml:space="preserve"> art. 35.1 CE y con el art. 10 del Convenio núm. 158 de la Organización Internacional del Trabajo”. Más recientemente, esta adecuación al art. 35.1 CE ha sido confirmada por la STC 8/2015, de 22 de enero, FJ 8, respecto al análogo art. 18.8 de la Ley 3/2012.</w:t>
      </w:r>
    </w:p>
    <w:p w:rsidR="00B85568" w:rsidRDefault="00B85568" w:rsidP="00B85568">
      <w:pPr>
        <w:pStyle w:val="TextoNormal"/>
      </w:pPr>
    </w:p>
    <w:p w:rsidR="00B85568" w:rsidRDefault="00B85568" w:rsidP="00B85568">
      <w:pPr>
        <w:pStyle w:val="TextoNormal"/>
      </w:pPr>
      <w:r w:rsidRPr="00B85568">
        <w:rPr>
          <w:rStyle w:val="NumeroAFNegritaCaracter"/>
        </w:rPr>
        <w:t>4</w:t>
      </w:r>
      <w:r>
        <w:t>. En definitiva, por lo dicho, hemos de concluir que las dudas de constitucionalidad planteadas en esta cuestión carecen de viabilidad suficiente y han de considerarse notoriamente infundadas, a los efectos previstos en el art. 37.1 LOTC. Procede, en consecuencia, declarar la inadmisión a trámite de la cuestión de inconstitucionalidad presentada.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 núm. 984-2014, promovida por el Juzgado de lo Social núm. 34 de Madrid.</w:t>
      </w:r>
    </w:p>
    <w:p w:rsidR="00B85568" w:rsidRDefault="00B85568" w:rsidP="00B85568">
      <w:pPr>
        <w:pStyle w:val="TextoNormal"/>
      </w:pPr>
    </w:p>
    <w:p w:rsidR="00B85568" w:rsidRDefault="00B85568" w:rsidP="00B85568">
      <w:pPr>
        <w:pStyle w:val="TextoNormal"/>
      </w:pPr>
      <w:r>
        <w:t>Madrid, a diecisiete de febrero de dos mil catorce.</w:t>
      </w:r>
    </w:p>
    <w:p w:rsidR="00B85568" w:rsidRDefault="00B85568" w:rsidP="00B85568">
      <w:pPr>
        <w:pStyle w:val="ParrafoNormal"/>
      </w:pPr>
    </w:p>
    <w:p w:rsidR="00B85568" w:rsidRDefault="00B85568" w:rsidP="00B85568">
      <w:pPr>
        <w:pStyle w:val="TextoNormalNegritaCentrado"/>
        <w:keepNext/>
      </w:pPr>
      <w:r>
        <w:t>Voto particular que formula el Magistrado don Fernando Valdés Dal-Ré al Auto que resuelve la cuestión de inconstitucionalidad núm. 984-2014, y al que se adhieren la Magistrada doña Adela Asua Batarrita y el Magistrado don Luis Ignacio Ortega Álvarez.</w:t>
      </w:r>
    </w:p>
    <w:p w:rsidR="00B85568" w:rsidRDefault="00B85568" w:rsidP="00B85568">
      <w:pPr>
        <w:pStyle w:val="TextoNormalNegritaCentrado"/>
        <w:keepNext/>
      </w:pPr>
    </w:p>
    <w:p w:rsidR="00B85568" w:rsidRDefault="00B85568" w:rsidP="00B85568">
      <w:pPr>
        <w:pStyle w:val="TextoNormal"/>
      </w:pPr>
      <w:r>
        <w:t>Dentro del máximo respeto hacia el parecer mayoritario de mis compañeros, entiendo que la presente cuestión de inconstitucionalidad, promovida por el Juzgado de lo social núm. 34 de los de Madrid, debió de ser admitida, con el consiguiente dictado de una sentencia estimatoria de la inconstitucionalidad y, nulidad de los números 1 y 2 del art. 18, del Real Decreto-ley 3/2012, de 10 de febrero, de medidas urgentes para la reforma del mercado de trabajo, que modifican respectivamente los números 1 y 2 del art. 56 del texto refundido del estatuto de los trabajadores, aprobado por Real Decreto Legislativo 1/1995, de 24 de marzo.</w:t>
      </w:r>
    </w:p>
    <w:p w:rsidR="00B85568" w:rsidRDefault="00B85568" w:rsidP="00B85568">
      <w:pPr>
        <w:pStyle w:val="TextoNormal"/>
      </w:pPr>
    </w:p>
    <w:p w:rsidR="00B85568" w:rsidRDefault="00B85568" w:rsidP="00B85568">
      <w:pPr>
        <w:pStyle w:val="TextoNormal"/>
      </w:pPr>
      <w:r>
        <w:t>Conforme tuve oportunidad de argumentar en el apartado 5 del Voto particular a la STC 8/2015, de 22 de enero, que sustanció el recurso de inconstitucionalidad núm. 5610-2012, y a cuyos razonamientos ahora me remito, los citados preceptos legales, al excluir el pago de salarios de tramitación en el supuesto de que el empresario opte por abonar la indemnización legalmente establecida a aquellos trabajadores cuyo despido hubiere sido judicialmente declarado como improcedente, lesionan el derecho al trabajo, en su vertiente individual, consagrado en el art. 35.1 CE.</w:t>
      </w:r>
    </w:p>
    <w:p w:rsidR="00B85568" w:rsidRDefault="00B85568" w:rsidP="00B85568">
      <w:pPr>
        <w:pStyle w:val="TextoNormal"/>
      </w:pPr>
    </w:p>
    <w:p w:rsidR="00B85568" w:rsidRDefault="00B85568" w:rsidP="00B85568">
      <w:pPr>
        <w:pStyle w:val="TextoNormal"/>
      </w:pPr>
      <w:r>
        <w:t>Y en tal sentido emito este Voto particular.</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6" w:name="AUTO_2015_36"/>
      <w:r>
        <w:t>AUTO 36/2015, de 17 de febrero de 2015</w:t>
      </w:r>
    </w:p>
    <w:bookmarkEnd w:id="186"/>
    <w:p w:rsidR="00B85568" w:rsidRDefault="00B85568" w:rsidP="00B85568">
      <w:pPr>
        <w:pStyle w:val="TtuloResolucin"/>
      </w:pPr>
      <w:r>
        <w:t>Pleno</w:t>
      </w:r>
    </w:p>
    <w:p w:rsidR="00B85568" w:rsidRDefault="00B85568" w:rsidP="00B85568">
      <w:pPr>
        <w:pStyle w:val="TextoNormalCentrado"/>
      </w:pPr>
      <w:r>
        <w:t>ECLI:ES:TC:2015:36A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4876-2014, planteada por el Tribunal Superior de Justicia de Castilla-La Mancha en relación con varios artículos de la Ley 8/2007, de 28 de mayo, de suelo y de su texto refundido.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24 de julio de 2014 tuvo entrada en el Registro General de este Tribunal un oficio de la Sección Segunda de la Sala de lo Contencioso-Administrativo del Tribunal Superior de Justicia de Castilla-La Mancha, al que se adjunta, con el testimonio del procedimiento ordinario núm. 648-2010, el Auto de 2 de julio de 2014, por el que se acuerda plantear cuestión de inconstitucionalidad respecto a los arts. 12 y 21.2 en relación con los arts. 22.1 a) y 2 de la Ley 8/2007, de 28 de mayo, de suelo, y respecto a los arts. 12 y 22.2 en relación con los arts. 23.1 a) y 2 del Real Decreto Legislativo 2/2008, de 20 de junio, por el que se aprueba el texto refundido de la Ley de suelo, por la posible vulneración del art. 33.3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que interesan a la presente cuestión son los que a continuación se exponen:</w:t>
      </w:r>
    </w:p>
    <w:p w:rsidR="00B85568" w:rsidRDefault="00B85568" w:rsidP="00B85568">
      <w:pPr>
        <w:pStyle w:val="TextoNormal"/>
      </w:pPr>
    </w:p>
    <w:p w:rsidR="00B85568" w:rsidRDefault="00B85568" w:rsidP="00B85568">
      <w:pPr>
        <w:pStyle w:val="TextoNormal"/>
      </w:pPr>
      <w:r>
        <w:t>a) Don L.G.H. recurrió en vía contencioso-administrativa la resolución del jurado provincial de expropiación forzosa de Toledo de 25 de marzo de 2010, que puso fin al expediente de justiprecio iniciado con requerimiento de hoja de aprecio al expropiado de 28 de agosto de 2008 en relación a la parcela 51 del polígono 66 de Villanueva de Alcardete, de la que se expropiaron 50 m2 en pleno dominio, 1.763 m2 en régimen de servidumbre y 5.438 m2 en régimen de ocupación temporal, todo ello para la ejecución del proyecto “conducción de agua desde el trasvase Tajo-Segura para incorporación de recursos a la llanura manchega”.</w:t>
      </w:r>
    </w:p>
    <w:p w:rsidR="00B85568" w:rsidRDefault="00B85568" w:rsidP="00B85568">
      <w:pPr>
        <w:pStyle w:val="TextoNormal"/>
      </w:pPr>
    </w:p>
    <w:p w:rsidR="00B85568" w:rsidRDefault="00B85568" w:rsidP="00B85568">
      <w:pPr>
        <w:pStyle w:val="TextoNormal"/>
      </w:pPr>
      <w:r>
        <w:t>Dicha finca, que originariamente tenía una superficie de 41.601 m2, había sido objeto de tres expropiaciones previas, que habían afectado respectivamente a 8.534 m2 (año 1999), 6.440 m2 (año 1999) y 6.664 m2 (año 2006) con destino a la ejecución de sendos proyectos de carreteras. La valoración en los tres casos partía de la calificación de la finca como “suelo urbano de reserva”, estableciéndose el justiprecio en 12,02 €/m2 (las dos primeras) y 26,86 €/m2 (la tercera).</w:t>
      </w:r>
    </w:p>
    <w:p w:rsidR="00B85568" w:rsidRDefault="00B85568" w:rsidP="00B85568">
      <w:pPr>
        <w:pStyle w:val="TextoNormal"/>
      </w:pPr>
    </w:p>
    <w:p w:rsidR="00B85568" w:rsidRDefault="00B85568" w:rsidP="00B85568">
      <w:pPr>
        <w:pStyle w:val="TextoNormal"/>
      </w:pPr>
      <w:r>
        <w:t>En la expropiación de que trae causa este proceso constitucional la finca, aunque la calificación urbanística sigue siendo la de suelo urbano de reserva, la valoración asciende a 1,28 €/m2 cuando se refiere al pleno dominio, a 0,64 €/m2 en régimen de servidumbre y a 0,16 €/m2 por lo que hace a la ocupación temporal. La razón de esta diferencia con las expropiaciones anteriores es que, conforme a lo dispuesto en el art. 12.2 del texto refundido, la valoración se refiere a la situación básica de suelo rural en que se encuentra la finca por no estar integrada de forma legal y efectiva en la red de dotaciones y servicios propios del núcleo de población de Villanueva de Alcardete, haciendo abstracción de su calificación urbanística de suelo urbano de reserva, con lo que procede valorar la finca mediante la capitalización de rentas potenciales correspondientes a los cultivos de la zona (labor secano).</w:t>
      </w:r>
    </w:p>
    <w:p w:rsidR="00B85568" w:rsidRDefault="00B85568" w:rsidP="00B85568">
      <w:pPr>
        <w:pStyle w:val="TextoNormal"/>
      </w:pPr>
    </w:p>
    <w:p w:rsidR="00B85568" w:rsidRDefault="00B85568" w:rsidP="00B85568">
      <w:pPr>
        <w:pStyle w:val="TextoNormal"/>
      </w:pPr>
      <w:r>
        <w:t>La actora alegó en vía contencioso-administrativo que el valor real de la finca expropiada es, como quedó en evidencia en las tres expropiaciones anteriores, aquel que computa las expectativas urbanísticas del terreno.</w:t>
      </w:r>
    </w:p>
    <w:p w:rsidR="00B85568" w:rsidRDefault="00B85568" w:rsidP="00B85568">
      <w:pPr>
        <w:pStyle w:val="TextoNormal"/>
      </w:pPr>
    </w:p>
    <w:p w:rsidR="00B85568" w:rsidRDefault="00B85568" w:rsidP="00B85568">
      <w:pPr>
        <w:pStyle w:val="TextoNormal"/>
      </w:pPr>
      <w:r>
        <w:t>b) Conclusas las actuaciones y antes de dictar sentencia, la Sección Segunda de la Sala de lo Contencioso-Administrativo del Tribunal Superior de Justicia de Castilla-La Mancha dictó providencia con fecha 7 de mayo de 2014, por la que, al amparo de lo previsto en el art. 35.2 de la Ley Orgánica del Tribunal Constitucional (LOTC), acordó oír a las partes y al Ministerio Fiscal por el plazo común de diez días acerca de la posible inconstitucionalidad de los arts. 12 y 21.2 en relación con los arts. 22.1 a) y 2 de la Ley 8/2007, de 28 de mayo, de suelo, y respecto a los arts. 12 y 21.2 en relación con los arts. 23.1 a) y 2 del texto refundido, en cuanto que las limitaciones que en ellos se establecen para la valoración de los terrenos en el suelo rural podría impedirle fijar el justiprecio del bien conforme a su valor real, con la consiguiente vulneración del art. 33.3 CE. El recurrente y el Ministerio Fiscal se mostraron favorables a su interposición, mientras que la Abogacía del Estado se opuso a su planteamiento.</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2 de julio de 2014, de planteamiento de la cuestión de inconstitucionalidad, tras exponer los antecedentes del caso y la concurrencia de los requisitos previstos en el art. 35 de la Ley Orgánica del Tribunal Constitucional (LOTC), expone que la valoración del suelo rural por el método de capitalización de rentas agrarias corregido hasta el máximo del doble en función de factores objetivos de localización, sin que puedan tenerse en cuenta expectativas derivadas de la asignación de usos y edificabilidades por la ordenación territorial y urbanística que no hayan sido aun plenamente realizados, puede resultar contraria al art. 33.3 CE por las siguientes razones. En primer lugar,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Se cita también la STC 313/2006, de 8 de noviembre, FJ 9. Invoca también la doctrina del Tribunal Europeo de Derechos Humanos, señalando que, a su entender, los preceptos que se cuestionan vulnerarían el art. 1 del protocolo adicional del convenio de Roma, con cita de numerosas sentencias del referido Tribunal, entre las que se encuentra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sólo una indemnización íntegra puede ser considerada como razonablemente proporcionada al valor del bien. Hace referencia también a la abundante doctrina del Tribunal Supremo proclive a la valoración de las expectativas urbanísticas en suelo no urbanizable, señalando que bajo la vigencia de la Ley del suelo de 1976 las expectativas urbanísticas fueron un elemento más de valoración en los suelos no urbanizables y que, desde entonces, con la única excepción de los ocho años que estuvo vigente la Ley del suelo 8/1990 y su texto refundido, aprobado por Real Decreto Legislativo 1/1992, nuestra legislación urbanística ha permitido su valoración hasta la vigente Ley 8/2007, en la que se ha vuelto a prohibir expresamente tal posibilidad.</w:t>
      </w:r>
    </w:p>
    <w:p w:rsidR="00B85568" w:rsidRDefault="00B85568" w:rsidP="00B85568">
      <w:pPr>
        <w:pStyle w:val="TextoNormal"/>
      </w:pPr>
    </w:p>
    <w:p w:rsidR="00B85568" w:rsidRDefault="00B85568" w:rsidP="00B85568">
      <w:pPr>
        <w:pStyle w:val="TextoNormal"/>
      </w:pPr>
      <w:r>
        <w:t>Asimismo, el órgano judicial hace referencia a las modificaciones posteriores a la entrada en vigor del texto refundido que vienen a evidenciar la insuficiencia del método de capitalización para obtener el valor real del suelo rural. En este sentido, aunque tanto la Ley de suelo como el texto refundido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pudiera alejar de forma significativa el resultado de las valoraciones respecto de los precios de mercado del suelo rural sin consideración de expectativas urbanísticas, no se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 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o zonas de especial valor no estrictamente agropecuario. En conclusión, considera el órgano judicial que el sistema de valoración es claramente insuficiente para que los propietarios puedan obtener esa compensación íntegra por el bien expropiado, tanto cualitativa como cuantitativamente, pues se prohíbe expresamente la consideración de expectativas urbanísticas.</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4 de noviembre de 2014, la Sección Segunda del Tribunal Constitucional acordó dar traslado al Fiscal General del Estado para que alegase sobre la admisibilidad de la cuestión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26 de diciembre tuvo entrada en este Tribunal escrito del Ministerio Fiscal formulando las alegaciones que a continuación se resumen. Tras exponer los argumentos del Auto de planteamiento de la cuestión de inconstitucionalidad, analiza la observancia de los requisitos establecidos en el art. 35.2 LOTC y concluye que se han cumplimentado adecuadamente, señalando, sin embargo, que los arts. 12 y 21.2 en relación con los arts. 22.1 a) y 2 de la Ley de suelo han sido derogados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 los preceptos del texto refundido de la Ley de suelo.</w:t>
      </w:r>
    </w:p>
    <w:p w:rsidR="00B85568" w:rsidRDefault="00B85568" w:rsidP="00B85568">
      <w:pPr>
        <w:pStyle w:val="TextoNormal"/>
      </w:pPr>
    </w:p>
    <w:p w:rsidR="00B85568" w:rsidRDefault="00B85568" w:rsidP="00B85568">
      <w:pPr>
        <w:pStyle w:val="TextoNormal"/>
      </w:pPr>
      <w:r>
        <w:t>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 los arts. 12 y 22.2 en relación con el apartado 2 del art. 23 del texto refundido sea manifiestamente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Castilla-La Mancha plantea cuestión de inconstitucionalidad respecto los arts. 12 y 21.2 en relación con los arts. 22.1 a) y 2 de la Ley 8/2007, de 28 de mayo, de suelo, y respecto a los arts. 12 y 22.2 en relación con los arts. 23.1 a) y 2 del Real Decreto Legislativo 2/2008, de 20 de junio, por el que se aprueba el texto refundido de la Ley de suelo.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al apartado 1 a) del art. 23 del texto refundido, mientras que la duda que atañe a los arts. 12 y 22.2 en relación con el apartado segundo del mismo precepto debe considerarse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el art. 37.1 de la Ley Orgánica del Tribunal Constitucional (LOTC), este Tribunal puede rechazar la cuestión de inconstitucionalidad, en trámite de admisión y mediante Auto y sin más audiencia que la del Fiscal General del Estado, cuando faltaren las condiciones procesales o fuere notoriamente infundada.</w:t>
      </w:r>
    </w:p>
    <w:p w:rsidR="00B85568" w:rsidRDefault="00B85568" w:rsidP="00B85568">
      <w:pPr>
        <w:pStyle w:val="TextoNormal"/>
      </w:pPr>
    </w:p>
    <w:p w:rsidR="00B85568" w:rsidRDefault="00B85568" w:rsidP="00B85568">
      <w:pPr>
        <w:pStyle w:val="TextoNormal"/>
      </w:pPr>
      <w:r>
        <w:t>De acuerdo con lo dispuesto en el art. 35.1 LOTC, la norma legal cuya constitucionalidad se cuestiona debe ser aplicable al caso. Siendo obvio, de un lado, que la Ley 8/2007, de suelo, y el texto refundido de la Ley de suelo aprobado por el Real Decreto Legislativo 2/2008, ni estaban ni pudieron estar en vigor en un mismo momento, y de otro que el requerimiento de hoja de aprecio al expropiado es de 28 de agosto de 2008, después, por tanto, de la entrada en vigor del texto refundido, el 27 de junio de 2008, debemos inadmitir la cuestión de inconstitucionalidad planteada respecto a los arts. 12 y 21.2 en relación con los apartados 1 a) y 2 del art. 22 de la Ley de suelo.</w:t>
      </w:r>
    </w:p>
    <w:p w:rsidR="00B85568" w:rsidRDefault="00B85568" w:rsidP="00B85568">
      <w:pPr>
        <w:pStyle w:val="TextoNormal"/>
      </w:pPr>
    </w:p>
    <w:p w:rsidR="00B85568" w:rsidRDefault="00B85568" w:rsidP="00B85568">
      <w:pPr>
        <w:pStyle w:val="TextoNormal"/>
      </w:pPr>
      <w:r w:rsidRPr="00B85568">
        <w:rPr>
          <w:rStyle w:val="NumeroAFNegritaCaracter"/>
        </w:rPr>
        <w:t>3</w:t>
      </w:r>
      <w:r>
        <w:t>. Las dudas de constitucionalidad que han llevado a la Sala a plantear la presente cuestión son idénticas a las exteriorizadas en el Auto de planteamiento de la cuestión de inconstitucionalidad 2995-2014, que ha sido inadmitida por este Tribunal por el ATC 8/2015, de 20 de enero. En consecuencia, procede inadmitir la presente cuestión por las razones entonces expuestas. Esto es, la cuestión ha perdido objeto en lo que atañe al art. 23.1 a) del Real Decreto Legislativo 2/2008, pues “[l]a STC 141/2014, de 11 de septiembre, tras analizar el art. 22.1 a) de la Ley de Suelo entendió que era constitucional una vez depurado el inciso de ‘hasta un máximo del doble’, cuya inconstitucionalidad y nulidad declaró” (FJ 3). Asimismo, la STC 141/2014, de 11 de septiembre, FJ 9 B), se ha referido aunque indirectamente a la duda de inconstitucionalidad planteada sobre los arts. 12 y 22.2 en relación con el art. 23.2 del texto refundido, al entender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de manera que debe considerarse notoriamente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7" w:name="AUTO_2015_37"/>
      <w:r>
        <w:t>AUTO 37/2015, de 17 de febrero de 2015</w:t>
      </w:r>
    </w:p>
    <w:bookmarkEnd w:id="187"/>
    <w:p w:rsidR="00B85568" w:rsidRDefault="00B85568" w:rsidP="00B85568">
      <w:pPr>
        <w:pStyle w:val="TtuloResolucin"/>
      </w:pPr>
      <w:r>
        <w:t>Pleno</w:t>
      </w:r>
    </w:p>
    <w:p w:rsidR="00B85568" w:rsidRDefault="00B85568" w:rsidP="00B85568">
      <w:pPr>
        <w:pStyle w:val="TextoNormalCentrado"/>
      </w:pPr>
      <w:r>
        <w:t>ECLI:ES:TC:2015:37A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5842-2014, planteada por el Tribunal Superior de Justicia de Canarias en relación con la disposición adicional trigésimo quinta de la Ley del Parlamento de Canarias 11/2010, de 30 de diciembre, por la que se aprueban los presupuestos de la Comunidad Autónoma.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30 de septiembre de 2014, tuvo entrada en el Registro General del Tribunal Constitucional el Auto de 22 de julio de 2014, por el que la Sala de lo Contencioso-Administrativo del Tribunal Superior de Justicia de Canarias, con sede en Santa Cruz de Tenerife, acuerda plantear cuestión de inconstitucionalidad en relación con la disposición adicional trigésima quinta de la Ley canaria 11/2010, de 30 de diciembre, por la que se aprueban los presupuestos de la Comunidad Autónoma de Canarias, por posible vulneración de los arts. 134.2 y 149.1.18 CE. Posteriormente el citado órgano judicial remitió testimonio completo del procedimiento abreviado tramitado con el núm. 557-2011.</w:t>
      </w:r>
    </w:p>
    <w:p w:rsidR="00B85568" w:rsidRDefault="00B85568" w:rsidP="00B85568">
      <w:pPr>
        <w:pStyle w:val="TextoNormal"/>
      </w:pPr>
    </w:p>
    <w:p w:rsidR="00B85568" w:rsidRDefault="00B85568" w:rsidP="00B85568">
      <w:pPr>
        <w:pStyle w:val="TextoNormal"/>
      </w:pPr>
      <w:r>
        <w:t>La disposición objeto de esta cuestión de inconstitucionalidad es del siguiente tenor:</w:t>
      </w:r>
    </w:p>
    <w:p w:rsidR="00B85568" w:rsidRDefault="00B85568" w:rsidP="00B85568">
      <w:pPr>
        <w:pStyle w:val="TextoNormal"/>
      </w:pPr>
    </w:p>
    <w:p w:rsidR="00B85568" w:rsidRDefault="00B85568" w:rsidP="00B85568">
      <w:pPr>
        <w:pStyle w:val="TextoNormal"/>
      </w:pPr>
      <w:r>
        <w:t>“Disposición adicional trigésima quinta. Carrera profesional del personal del Servicio Canario de la Salud.</w:t>
      </w:r>
    </w:p>
    <w:p w:rsidR="00B85568" w:rsidRDefault="00B85568" w:rsidP="00B85568">
      <w:pPr>
        <w:pStyle w:val="TextoNormal"/>
      </w:pPr>
    </w:p>
    <w:p w:rsidR="00B85568" w:rsidRDefault="00B85568" w:rsidP="00B85568">
      <w:pPr>
        <w:pStyle w:val="TextoNormal"/>
      </w:pPr>
      <w:r>
        <w:t>1. Durante el ejercicio 2011, se suspende el reconocimiento de encuadramiento, derivado de nuevas solicitudes presentadas a partir de 2011, en los distintos grados o niveles de carrera profesional del personal que presta servicios en los centros del Servicio Canario de la Salud, tanto por el procedimiento ordinario como por los procedimientos extraordinarios, previstos en la Ley 12/2006, de 28 de diciembre, de Presupuestos Generales de la Comunidad Autónoma de Canarias para 2007, y en los siguientes decretos:</w:t>
      </w:r>
    </w:p>
    <w:p w:rsidR="00B85568" w:rsidRDefault="00B85568" w:rsidP="00B85568">
      <w:pPr>
        <w:pStyle w:val="TextoNormal"/>
      </w:pPr>
    </w:p>
    <w:p w:rsidR="00B85568" w:rsidRDefault="00B85568" w:rsidP="00B85568">
      <w:pPr>
        <w:pStyle w:val="TextoNormal"/>
      </w:pPr>
      <w:r>
        <w:t>Decreto 278/2003, de 13 de noviembre, por el que se aprueba y desarrolla el modelo de carrera profesional del personal facultativo del Servicio Canario de la Salud.</w:t>
      </w:r>
    </w:p>
    <w:p w:rsidR="00B85568" w:rsidRDefault="00B85568" w:rsidP="00B85568">
      <w:pPr>
        <w:pStyle w:val="TextoNormal"/>
      </w:pPr>
    </w:p>
    <w:p w:rsidR="00B85568" w:rsidRDefault="00B85568" w:rsidP="00B85568">
      <w:pPr>
        <w:pStyle w:val="TextoNormal"/>
      </w:pPr>
      <w:r>
        <w:t>Decreto 129/2006, de 26 de septiembre, por el que se aprueba y desarrolla el modelo de carrera profesional del personal diplomado sanitario del Servicio Canario de la Salud, modificado por el Decreto 230/2008, de 25 de noviembre.</w:t>
      </w:r>
    </w:p>
    <w:p w:rsidR="00B85568" w:rsidRDefault="00B85568" w:rsidP="00B85568">
      <w:pPr>
        <w:pStyle w:val="TextoNormal"/>
      </w:pPr>
    </w:p>
    <w:p w:rsidR="00B85568" w:rsidRDefault="00B85568" w:rsidP="00B85568">
      <w:pPr>
        <w:pStyle w:val="TextoNormal"/>
      </w:pPr>
      <w:r>
        <w:t>Decreto 421/2007, de 26 de diciembre, por el que se aprueba y desarrolla el modelo de carrera profesional del personal sanitario de formación profesional y del personal de gestión y servicios del Servicio Canario de la Salud, modificado por el Decreto 231/2008, de 25 de noviembre.</w:t>
      </w:r>
    </w:p>
    <w:p w:rsidR="00B85568" w:rsidRDefault="00B85568" w:rsidP="00B85568">
      <w:pPr>
        <w:pStyle w:val="TextoNormal"/>
      </w:pPr>
    </w:p>
    <w:p w:rsidR="00B85568" w:rsidRDefault="00B85568" w:rsidP="00B85568">
      <w:pPr>
        <w:pStyle w:val="TextoNormal"/>
      </w:pPr>
      <w:r>
        <w:t>2. Durante el ejercicio 2011, se mantiene en suspenso la previsión contenida en el apartado III.2 del Acuerdo entre la Administración Sanitaria de la Comunidad Autónoma de Canaria y las organizaciones sindicales del sector, celebrado el 15 de febrero de 2008 en el marco de la Mesa Sectorial de Sanidad, sobre determinadas mejoras en materia retributiva, desarrollo profesional y condiciones de trabajo del personal adscrito a los órganos de prestación de servicios sanitarios del Servicio Canario de la Salud, aprobado por Acuerdo del Consejo de Gobierno de 22 de abril de 2008.”</w:t>
      </w:r>
    </w:p>
    <w:p w:rsidR="00B85568" w:rsidRDefault="00B85568" w:rsidP="00B85568">
      <w:pPr>
        <w:pStyle w:val="TextoNormal"/>
      </w:pPr>
    </w:p>
    <w:p w:rsidR="00B85568" w:rsidRDefault="00B85568" w:rsidP="00B85568">
      <w:pPr>
        <w:pStyle w:val="TextoNormal"/>
      </w:pPr>
      <w:r w:rsidRPr="00B85568">
        <w:rPr>
          <w:rStyle w:val="NumeroAFNegritaCaracter"/>
        </w:rPr>
        <w:t>2</w:t>
      </w:r>
      <w:r>
        <w:t>. La cuestión de inconstitucionalidad trae causa del recurso contencioso-administrativo interpuesto por doña E.A.R.P. contra la desestimación presunta de su solicitud de reclamación del derecho al ingreso en la carrera profesional del personal diplomado sanitario, procedimiento ordinario de encuadramiento, grado 1. Estimado el recurso de la demandante por Sentencia de 4 de diciembre de 2012 del Juzgado de lo Contencioso-Administrativo núm. 2 de Santa Cruz de Tenerife, el Servicio Canario de Salud interpuso recurso de apelación, alegando, en lo que a este proceso constitucional interesa, que en virtud de la disposición cuestionada en el ejercicio 2011 quedó suspendido el reconocimiento del encuadramiento en los distintos grados o niveles de carrera profesional del personal que presta servicios en los centros del Servicio Canario de Salud.</w:t>
      </w:r>
    </w:p>
    <w:p w:rsidR="00B85568" w:rsidRDefault="00B85568" w:rsidP="00B85568">
      <w:pPr>
        <w:pStyle w:val="TextoNormal"/>
      </w:pPr>
    </w:p>
    <w:p w:rsidR="00B85568" w:rsidRDefault="00B85568" w:rsidP="00B85568">
      <w:pPr>
        <w:pStyle w:val="TextoNormal"/>
      </w:pPr>
      <w:r>
        <w:t>Conclusa la tramitación del recurso de apelación, y dentro del plazo señalado para dictar sentencia, se acordó, mediante providencia de 1 de abril de 2014, conferir traslado a las partes y al Ministerio Fiscal para que, en el plazo común de diez días, formularan alegaciones sobre la pertinencia de plantear cuestión de inconstitucionalidad en relación con el apartado 1 de la disposición adicional trigésimo quinta de la Ley canaria 11/2010, por infracción de los límites constitucionales al contenido de las leyes presupuestarias (art. 134.2 CE). Mediante providencia de 18 de junio de 2014, una vez examinadas las alegaciones de las partes y al objeto de ampliar la cuestión de inconstitucionalidad, se abrió un nuevo plazo de cinco días para que las partes formularan alegaciones complementarias, por advertir el órgano judicial que la disposición cuestionada infringe asimismo normativa básica estatal dictada al amparo del art. 149.1.18 CE.</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planteamiento, de 22 de julio de 2014, cuestiona formalmente el contenido íntegro de la disposición adicional trigésimo quinta de la Ley canaria 11/2010, si bien la duda de constitucionalidad queda circunscrita a su apartado 1, que queda razonada en los términos que seguidamente se sintetizan.</w:t>
      </w:r>
    </w:p>
    <w:p w:rsidR="00B85568" w:rsidRDefault="00B85568" w:rsidP="00B85568">
      <w:pPr>
        <w:pStyle w:val="TextoNormal"/>
      </w:pPr>
    </w:p>
    <w:p w:rsidR="00B85568" w:rsidRDefault="00B85568" w:rsidP="00B85568">
      <w:pPr>
        <w:pStyle w:val="TextoNormal"/>
      </w:pPr>
      <w:r>
        <w:t>a) La disposición cuestionada sobrepasa los límites constitucionales fijados por el art. 134.2 CE a las leyes de presupuestos, concretamente en el denominado contenido eventual o no necesario. Se invoca la doctrina recogida en las SSTC 9/2013, de 28 de enero, 86/2013, de 11 de abril, y 206/2013, de 5 de diciembre.</w:t>
      </w:r>
    </w:p>
    <w:p w:rsidR="00B85568" w:rsidRDefault="00B85568" w:rsidP="00B85568">
      <w:pPr>
        <w:pStyle w:val="TextoNormal"/>
      </w:pPr>
    </w:p>
    <w:p w:rsidR="00B85568" w:rsidRDefault="00B85568" w:rsidP="00B85568">
      <w:pPr>
        <w:pStyle w:val="TextoNormal"/>
      </w:pPr>
      <w:r>
        <w:t>Razona el Auto que, aunque la suspensión de los reconocimientos de encuadramiento del personal al servicio del Servicio Canario de Salud en los distintos grados o niveles de la carrera profesional tenga, por su impacto retributivo, una proyección sobre la contención del gasto público, es sólo uno de los efectos que produce, porque deja en suspenso la carrera administrativa, que no sólo tiene repercusión en las retribuciones complementarias. Si la ley de presupuestos se hubiera limitado a decir que el encuadramiento no producirá efectos provisionalmente sobre el complemento retributivo de carrera profesional, el personal hubiera podido seguir progresando en su carrera administrativa, y beneficiarse de las ventajas que ello le reporta en materia de formación y provisión de puestos de trabajo.</w:t>
      </w:r>
    </w:p>
    <w:p w:rsidR="00B85568" w:rsidRDefault="00B85568" w:rsidP="00B85568">
      <w:pPr>
        <w:pStyle w:val="TextoNormal"/>
      </w:pPr>
    </w:p>
    <w:p w:rsidR="00B85568" w:rsidRDefault="00B85568" w:rsidP="00B85568">
      <w:pPr>
        <w:pStyle w:val="TextoNormal"/>
      </w:pPr>
      <w:r>
        <w:t>b) La evaluación del desempeño debe considerarse un mérito a tener en cuenta en la provisión de puestos de trabajo, por establecerlo así la normativa básica estatal. El art. 20.3 de la Ley 7/2007, de 12 de abril, del estatuto básico del empleado público (LEEP), deja claro que la evaluación no sólo tiene efectos económicos, al prever que las “Administraciones públicas determinarán los efectos de la evaluación en la carrera profesional horizontal, la formación, la provisión de puestos de trabajo y en la percepción de las retribuciones complementarias previstas en el artículo 24 del presente Estatuto”.</w:t>
      </w:r>
    </w:p>
    <w:p w:rsidR="00B85568" w:rsidRDefault="00B85568" w:rsidP="00B85568">
      <w:pPr>
        <w:pStyle w:val="TextoNormal"/>
      </w:pPr>
    </w:p>
    <w:p w:rsidR="00B85568" w:rsidRDefault="00B85568" w:rsidP="00B85568">
      <w:pPr>
        <w:pStyle w:val="TextoNormal"/>
      </w:pPr>
      <w:r>
        <w:t>Por ello concluye el Auto que la disposición cuestionada, al determinar la inaplicación temporal del art. 20.3 LEEP, vulnera el art. 149.1.18 CE.</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2 de diciembre de 2014, la Sección Cuarta del Tribunal Constitucional, a los efectos que determina el art. 37.1 LOTC, acordó dar traslado al Fiscal General del Estado para que alegase sobre la admisibilidad de la cuestión,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día 16 de enero de 2015 tuvo entrada en este Tribunal escrito del Fiscal General del Estado, solicitando la inadmisión de esta cuestión de inconstitucionalidad en atención a las alegaciones que a continuación se resumen.</w:t>
      </w:r>
    </w:p>
    <w:p w:rsidR="00B85568" w:rsidRDefault="00B85568" w:rsidP="00B85568">
      <w:pPr>
        <w:pStyle w:val="TextoNormal"/>
      </w:pPr>
    </w:p>
    <w:p w:rsidR="00B85568" w:rsidRDefault="00B85568" w:rsidP="00B85568">
      <w:pPr>
        <w:pStyle w:val="TextoNormal"/>
      </w:pPr>
      <w:r>
        <w:t>a) El Tribunal Constitucional ha advertido que el art. 134.2 CE se refiere a una fuente normativa del Estado, su Ley de presupuestos. En el caso de las leyes presupuestarias de las Comunidades Autónomas, habrá que estar a sus propias normas estatutarias y a la distribución de competencias entre el Estado y las Comunidades Autónomas, en cuya virtud son normalmente de aplicación los mismos límites materiales o de contenido, al cumplir la misma función que la institución presupuestaria estatal (STC 86/2013, de 11 de abril, FFJJ 3 y 4). Específicamente, la STC 274/2000, de 15 de noviembre, FJ 6, determinó los límites materiales aplicables a las leyes de presupuestos de la Comunidad Autónoma de Canarias, a tenor del bloque de la constitucionalidad (art. 21 de la Ley Orgánica de financiación de las Comunidades Autónomas y arts. 13 y 61.1 del Estatuto de Autonomía de Canarias), cuya lectura conjunta pone de manifiesto una sustancial identidad entre lo dispuesto en las mismas y el art. 134.2 CE.</w:t>
      </w:r>
    </w:p>
    <w:p w:rsidR="00B85568" w:rsidRDefault="00B85568" w:rsidP="00B85568">
      <w:pPr>
        <w:pStyle w:val="TextoNormal"/>
      </w:pPr>
    </w:p>
    <w:p w:rsidR="00B85568" w:rsidRDefault="00B85568" w:rsidP="00B85568">
      <w:pPr>
        <w:pStyle w:val="TextoNormal"/>
      </w:pPr>
      <w:r>
        <w:t>La disposición adicional trigésimo quinta cuestionada ha de ponerse en relación con los Decretos objeto de suspensión, que aprueban y desarrollan el modelo de carrera profesional del personal que presta sus servicios en el Servicio Canario de Salud. El encuadramiento en los distintos grados o niveles de la carrera profesional está vinculado al reconocimiento de retribuciones complementarias, lo que conlleva una serie de obligaciones de contenido económico para la Administración autonómica, con incidencia en el gasto público, como reconoce el Auto de planteamiento.</w:t>
      </w:r>
    </w:p>
    <w:p w:rsidR="00B85568" w:rsidRDefault="00B85568" w:rsidP="00B85568">
      <w:pPr>
        <w:pStyle w:val="TextoNormal"/>
      </w:pPr>
    </w:p>
    <w:p w:rsidR="00B85568" w:rsidRDefault="00B85568" w:rsidP="00B85568">
      <w:pPr>
        <w:pStyle w:val="TextoNormal"/>
      </w:pPr>
      <w:r>
        <w:t>El impacto de la suspensión en la contención del gasto no sólo supone una conexión directa con la materia presupuestaria, sino que además responde a los criterios de política económica en los que se sustentan los presupuestos autonómicos, como pone de manifiesto la exposición de motivos de la Ley canaria 11/2010.</w:t>
      </w:r>
    </w:p>
    <w:p w:rsidR="00B85568" w:rsidRDefault="00B85568" w:rsidP="00B85568">
      <w:pPr>
        <w:pStyle w:val="TextoNormal"/>
      </w:pPr>
    </w:p>
    <w:p w:rsidR="00B85568" w:rsidRDefault="00B85568" w:rsidP="00B85568">
      <w:pPr>
        <w:pStyle w:val="TextoNormal"/>
      </w:pPr>
      <w:r>
        <w:t>De acuerdo con ello, la regulación contenida en el apartado 1 de la disposición adicional trigésimo quinta objeto de esta cuestión puede considerarse un contenido eventual de la ley presupuestaria que no infringe los límites que resultan del bloque de la constitucionalidad que resulta de aplicación a la Comunidad Autónoma de Canarias.</w:t>
      </w:r>
    </w:p>
    <w:p w:rsidR="00B85568" w:rsidRDefault="00B85568" w:rsidP="00B85568">
      <w:pPr>
        <w:pStyle w:val="TextoNormal"/>
      </w:pPr>
    </w:p>
    <w:p w:rsidR="00B85568" w:rsidRDefault="00B85568" w:rsidP="00B85568">
      <w:pPr>
        <w:pStyle w:val="TextoNormal"/>
      </w:pPr>
      <w:r>
        <w:t>b) El planteamiento recogido en el Auto de planteamiento sobre la afectación que representa la suspensión del encuadramiento de la carrera profesional establecido por la norma cuestionada en las materias mencionadas en el art. 20.3 LEEP supone una confusión entre el modelo de carrera profesional, que se establece por las Administraciones autonómicas dentro del respeto a las normas básicas, y la valoración del desempeño profesional y su incidencia en determinados aspectos del régimen funcionarial.</w:t>
      </w:r>
    </w:p>
    <w:p w:rsidR="00B85568" w:rsidRDefault="00B85568" w:rsidP="00B85568">
      <w:pPr>
        <w:pStyle w:val="TextoNormal"/>
      </w:pPr>
    </w:p>
    <w:p w:rsidR="00B85568" w:rsidRDefault="00B85568" w:rsidP="00B85568">
      <w:pPr>
        <w:pStyle w:val="TextoNormal"/>
      </w:pPr>
      <w:r>
        <w:t>La normativa básica estatal en materia de carrera profesional sanitaria se contempla en la Ley 16/2003, de 28 de mayo, sobre cohesión y calidad del sistema nacional de salud (art. 41); y en la Ley 55/2003, de 16 de diciembre, del estatuto marco del personal sanitario de los servicios de salud, en cuyo art. 40 se establece la competencia de las Comunidades Autónomas para el establecimiento de los modelos de carrera profesional, dentro del respeto a las normas generales aplicables a todo el personal que presta servicios en el sector público y a los principios rectores establecidos por el art. 38.1 de la Ley 44/2003, de 21 de noviembre, de ordenación de las profesiones sanitarias, acomodándolos a las necesidades organizativas y sanitarias de cada servicio de salud.</w:t>
      </w:r>
    </w:p>
    <w:p w:rsidR="00B85568" w:rsidRDefault="00B85568" w:rsidP="00B85568">
      <w:pPr>
        <w:pStyle w:val="TextoNormal"/>
      </w:pPr>
    </w:p>
    <w:p w:rsidR="00B85568" w:rsidRDefault="00B85568" w:rsidP="00B85568">
      <w:pPr>
        <w:pStyle w:val="TextoNormal"/>
      </w:pPr>
      <w:r>
        <w:t xml:space="preserve">La configuración del modelo de carrera profesional del personal del Servicio Canario de Salud se realiza a través de los tres Decretos mencionados en la disposición cuestionada. En el caso de la carrera de los diplomados sanitarios, a la que la demandante en el proceso </w:t>
      </w:r>
      <w:r w:rsidRPr="00B85568">
        <w:rPr>
          <w:i/>
        </w:rPr>
        <w:t>a quo</w:t>
      </w:r>
      <w:r>
        <w:t xml:space="preserve"> trata de acceder, resulta concretamente de aplicación el Decreto 129/2006, de 26 de septiembre, que vincula en su artículo 12 el acceso y promoción en la carrera profesional a la atribución de una retribución complementaria de productividad.</w:t>
      </w:r>
    </w:p>
    <w:p w:rsidR="00B85568" w:rsidRDefault="00B85568" w:rsidP="00B85568">
      <w:pPr>
        <w:pStyle w:val="TextoNormal"/>
      </w:pPr>
    </w:p>
    <w:p w:rsidR="00B85568" w:rsidRDefault="00B85568" w:rsidP="00B85568">
      <w:pPr>
        <w:pStyle w:val="TextoNormal"/>
      </w:pPr>
      <w:r>
        <w:t>Dicho Decreto no vincula la promoción o el progreso individual de la carrera profesional con la formación, la provisión de puestos de trabajo o las garantías del mismo, que según el art. 20.3 LEEP son los que pueden resultan afectados por la evaluación del desempeño profesional. Por tanto, al no poder confundirse la suspensión del encuadramiento en los grados y categorías con la evaluación del desempeño profesional, debe rechazarse que la norma cuestionada haya incurrido en la infracción de la reserva de contenido propia de las leyes presupuestarias, en cuanto no establece la suspensión de la carrera profesional con afectación a los aspectos mencionados en el art. 20.3 LEEP.</w:t>
      </w:r>
    </w:p>
    <w:p w:rsidR="00B85568" w:rsidRDefault="00B85568" w:rsidP="00B85568">
      <w:pPr>
        <w:pStyle w:val="TextoNormal"/>
      </w:pPr>
    </w:p>
    <w:p w:rsidR="00B85568" w:rsidRDefault="00B85568" w:rsidP="00B85568">
      <w:pPr>
        <w:pStyle w:val="TextoNormal"/>
      </w:pPr>
      <w:r>
        <w:t>Al margen de esta inexistente contradicción, hay que resaltar que el art. 20 LEEP no está materialmente en vigor, según resulta de la disposición final cuarta de la Ley del estatuto básico del empleado público, por lo que tampoco es posible por este motivo hablar de infracción de una norma estatal básica.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Canarias, con sede en Santa Cruz de Tenerife, plantea cuestión de inconstitucionalidad en relación con la disposición adicional trigésimo quinta de la Ley canaria 11/2010, de 30 de diciembre, por la que se aprueban los presupuestos de la Comunidad Autónoma de Canarias, por posible vulneración de los arts. 134.2 y 149.1.18 CE.</w:t>
      </w:r>
    </w:p>
    <w:p w:rsidR="00B85568" w:rsidRDefault="00B85568" w:rsidP="00B85568">
      <w:pPr>
        <w:pStyle w:val="TextoNormal"/>
      </w:pPr>
    </w:p>
    <w:p w:rsidR="00B85568" w:rsidRDefault="00B85568" w:rsidP="00B85568">
      <w:pPr>
        <w:pStyle w:val="TextoNormal"/>
      </w:pPr>
      <w:r>
        <w:t>Como ha quedado expuesto en los antecedentes, la duda de constitucionalidad ha quedado circunscrita por el propio Auto de planteamiento al apartado 1 de la disposición cuestionada, y consecuentemente solo dicho apartado constituye el objeto de esta resolución.</w:t>
      </w:r>
    </w:p>
    <w:p w:rsidR="00B85568" w:rsidRDefault="00B85568" w:rsidP="00B85568">
      <w:pPr>
        <w:pStyle w:val="TextoNormal"/>
      </w:pPr>
    </w:p>
    <w:p w:rsidR="00B85568" w:rsidRDefault="00B85568" w:rsidP="00B85568">
      <w:pPr>
        <w:pStyle w:val="TextoNormal"/>
      </w:pPr>
      <w:r w:rsidRPr="00B85568">
        <w:rPr>
          <w:rStyle w:val="NumeroAFNegritaCaracter"/>
        </w:rPr>
        <w:t>2</w:t>
      </w:r>
      <w:r>
        <w:t>. El art. 37.1 de la Ley Orgánica del Tribunal Constitucional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B85568" w:rsidRDefault="00B85568" w:rsidP="00B85568">
      <w:pPr>
        <w:pStyle w:val="TextoNormal"/>
      </w:pPr>
    </w:p>
    <w:p w:rsidR="00B85568" w:rsidRDefault="00B85568" w:rsidP="00B85568">
      <w:pPr>
        <w:pStyle w:val="TextoNormal"/>
      </w:pPr>
      <w:r>
        <w:t>Es doctrina reiterada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204/2014, de 22 de julio, FJ 2, y los allí citados).</w:t>
      </w:r>
    </w:p>
    <w:p w:rsidR="00B85568" w:rsidRDefault="00B85568" w:rsidP="00B85568">
      <w:pPr>
        <w:pStyle w:val="TextoNormal"/>
      </w:pPr>
    </w:p>
    <w:p w:rsidR="00B85568" w:rsidRDefault="00B85568" w:rsidP="00B85568">
      <w:pPr>
        <w:pStyle w:val="TextoNormal"/>
      </w:pPr>
      <w:r>
        <w:t>De acuerdo con el criterio expresado por el Fiscal General del Estado, puede afirmarse que la presente cuestión de inconstitucionalidad resulta en los antedichos términos notoriamente infundada, por las razones que se expondrán sucintamente a continuación.</w:t>
      </w:r>
    </w:p>
    <w:p w:rsidR="00B85568" w:rsidRDefault="00B85568" w:rsidP="00B85568">
      <w:pPr>
        <w:pStyle w:val="TextoNormal"/>
      </w:pPr>
    </w:p>
    <w:p w:rsidR="00B85568" w:rsidRDefault="00B85568" w:rsidP="00B85568">
      <w:pPr>
        <w:pStyle w:val="TextoNormal"/>
      </w:pPr>
      <w:r w:rsidRPr="00B85568">
        <w:rPr>
          <w:rStyle w:val="NumeroAFNegritaCaracter"/>
        </w:rPr>
        <w:t>3</w:t>
      </w:r>
      <w:r>
        <w:t>. Este Tribunal ha reiterado que “las normas contenidas en el art. 134 CE se refieren a una institución estatal, en concreto de una fuente normativa del Estado como es su ley anual de presupuestos generales (STC 7/2010, de 27 de abril, FJ 3, con cita de anteriores). Por eso, con carácter general, ‘el canon de constitucionalidad aplicable a las fuentes normativas de las Comunidades Autónomas es el que se contiene en sus respectivos Estatutos de Autonomía,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(STC 74/2011, de 19 de mayo, FJ 3)” (STC 86/2013, de 11 de abril, FJ 3).</w:t>
      </w:r>
    </w:p>
    <w:p w:rsidR="00B85568" w:rsidRDefault="00B85568" w:rsidP="00B85568">
      <w:pPr>
        <w:pStyle w:val="TextoNormal"/>
      </w:pPr>
    </w:p>
    <w:p w:rsidR="00B85568" w:rsidRDefault="00B85568" w:rsidP="00B85568">
      <w:pPr>
        <w:pStyle w:val="TextoNormal"/>
      </w:pPr>
      <w:r>
        <w:t>A los efectos de esta resolución, procede remitirse a la STC 274/2000, de 15 de noviembre, que determinó que la lectura conjunta de los arts. 21.1 de la Ley Orgánica de financiación de las Comunidades Autónomas y 13 y 61.1 del Estatuto de Autonomía de Canarias “pone de manifiesto la existencia de una sustancial identidad entre las normas integrantes del bloque de constitucionalidad concretamente aplicables a la Comunidad Autónoma de Canarias y lo dispuesto, respecto del Estado, en el art. 134.2 CE, precepto del que precisamente este Tribunal Constitucional ha inferido, como quedó expuesto en su momento, la existencia de límites materiales al contenido normativo de las Leyes estatales de presupuestos. En consecuencia, ha de inferirse igualmente, ahora por lo que atañe a la Ley de presupuestos generales de la Comunidad Autónoma de Canarias, la existencia de un principio general conforme al cual el contenido de dicha Ley autonómica de presupuestos ha de adecuarse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FJ 6; 130/1999, FJ 5)” (FJ 6).</w:t>
      </w:r>
    </w:p>
    <w:p w:rsidR="00B85568" w:rsidRDefault="00B85568" w:rsidP="00B85568">
      <w:pPr>
        <w:pStyle w:val="TextoNormal"/>
      </w:pPr>
    </w:p>
    <w:p w:rsidR="00B85568" w:rsidRDefault="00B85568" w:rsidP="00B85568">
      <w:pPr>
        <w:pStyle w:val="TextoNormal"/>
      </w:pPr>
      <w:r>
        <w:t xml:space="preserve">Desde esta perspectiva, la disposición cuestionada en este proceso, pese a no formar parte del contenido mínimo e indisponible de las leyes de presupuestos, puede hallar acomodo en el contenido eventual que, dentro de los límites expuestos, hemos considerado constitucionalmente admisible. El reconocimiento del encuadramiento en los distintos grados o niveles de carrera profesional del personal que presta servicios en los centros del Servicio Canario de Salud —específicamente en el proceso </w:t>
      </w:r>
      <w:r w:rsidRPr="00B85568">
        <w:rPr>
          <w:i/>
        </w:rPr>
        <w:t>a quo</w:t>
      </w:r>
      <w:r>
        <w:t>, el reconocimiento del encuadramiento en el grado 1 correspondiente al personal diplomado sanitario—, conlleva el derecho a la retribución de un complemento de productividad, que se comenzará a percibir a partir del grado 1 en cuantía fija, de conformidad con lo dispuesto por el art. 12 del Decreto 129/2006, 26 septiembre, por el que se aprueba y desarrolla el modelo de carrera profesional del personal diplomado sanitario del Servicio Canario de la Salud. De ahí se sigue que la medida de suspensión de este sistema de reconocimiento tiene un impacto directo en la contención del gasto público, al evitar el incremento global de las cuantías percibidas por este concepto retributivo. Por lo demás, así lo señala el propio Auto de planteamiento, al considerar que la medida de suspensión, por sus efectos en las retribuciones complementarias, tiene impacto en la contención del gasto público, admitiendo expresamente que tiene conexión con la materia presupuestaria.</w:t>
      </w:r>
    </w:p>
    <w:p w:rsidR="00B85568" w:rsidRDefault="00B85568" w:rsidP="00B85568">
      <w:pPr>
        <w:pStyle w:val="TextoNormal"/>
      </w:pPr>
    </w:p>
    <w:p w:rsidR="00B85568" w:rsidRDefault="00B85568" w:rsidP="00B85568">
      <w:pPr>
        <w:pStyle w:val="TextoNormal"/>
      </w:pPr>
      <w:r>
        <w:t>Resulta por tanto legítima la incorporación de lo regulado en la disposición adicional trigésimo quinta.1 de la Ley canaria 11/2010 a la ley de presupuestos, al guardar la debida relación directa que exige nuestra doctrina, consistente en la conexión económica entre el régimen de suspensión del Decreto 129/2006 del Gobierno canario y el instrumento presupuestario que le sirve de vehículo, por lo que no cabe estimar que, por este motivo, haya incurrido en inconstitucionalidad.</w:t>
      </w:r>
    </w:p>
    <w:p w:rsidR="00B85568" w:rsidRDefault="00B85568" w:rsidP="00B85568">
      <w:pPr>
        <w:pStyle w:val="TextoNormal"/>
      </w:pPr>
    </w:p>
    <w:p w:rsidR="00B85568" w:rsidRDefault="00B85568" w:rsidP="00B85568">
      <w:pPr>
        <w:pStyle w:val="TextoNormal"/>
      </w:pPr>
      <w:r w:rsidRPr="00B85568">
        <w:rPr>
          <w:rStyle w:val="NumeroAFNegritaCaracter"/>
        </w:rPr>
        <w:t>4</w:t>
      </w:r>
      <w:r>
        <w:t xml:space="preserve">. Lo que en realidad se cuestiona en el Auto de planteamiento son los efectos no económicos de la disposición, que el órgano judicial reconduce a la posible vulneración de la normativa básica estatal dictada </w:t>
      </w:r>
      <w:r w:rsidRPr="00B85568">
        <w:rPr>
          <w:i/>
        </w:rPr>
        <w:t>ex</w:t>
      </w:r>
      <w:r>
        <w:t xml:space="preserve"> art. 149.1.18 CE, concretamente del art. 20.3 de la Ley 7/2007, del estatuto básico del empleado público (LEEP).</w:t>
      </w:r>
    </w:p>
    <w:p w:rsidR="00B85568" w:rsidRDefault="00B85568" w:rsidP="00B85568">
      <w:pPr>
        <w:pStyle w:val="TextoNormal"/>
      </w:pPr>
    </w:p>
    <w:p w:rsidR="00B85568" w:rsidRDefault="00B85568" w:rsidP="00B85568">
      <w:pPr>
        <w:pStyle w:val="TextoNormal"/>
      </w:pPr>
      <w:r>
        <w:t>Este precepto, tras dirigir en su apartado 1 un mandato genérico al conjunto de las Administraciones públicas a fin de que establezcan sistemas que permitan la evaluación del desempeño de sus empleados, dispone en su apartado 3 que serán éstas las que “determinarán los efectos de la evaluación en la carrera profesional horizontal, la formación, la provisión de puestos de trabajo y en la percepción de las retribuciones complementarias previstas en el artículo 24 del presente Estatuto”. Como puede apreciarse, el art. 20.3 LEEP en ningún momento impone los efectos de la evaluación del desempeño profesional, retributivos o de otra índole. Ciertamente estamos ante una norma formalmente básica, pero de formulación totalmente abierta, que explícitamente se remite a lo que dispongan Administraciones públicas, que son las que habrán de determinar los efectos de dicha evaluación en los aspectos enunciados por el art. 20.3 LEEP. Por ello, difícilmente puede apreciarse contradicción entre la norma autonómica cuestionada y la norma básica estatal que el Auto propone como parámetro de contraste, cuando ésta no hace otra cosa que deferir la determinación de los efectos de la evaluación a lo que disponga la legislación autonómica de desarrollo.</w:t>
      </w:r>
    </w:p>
    <w:p w:rsidR="00B85568" w:rsidRDefault="00B85568" w:rsidP="00B85568">
      <w:pPr>
        <w:pStyle w:val="TextoNormal"/>
      </w:pPr>
    </w:p>
    <w:p w:rsidR="00B85568" w:rsidRDefault="00B85568" w:rsidP="00B85568">
      <w:pPr>
        <w:pStyle w:val="TextoNormal"/>
      </w:pPr>
      <w:r>
        <w:t>La expresada ausencia de contradicción entre las dos normas, estatal y autonómica, que sería el presupuesto para que el precepto autonómico mereciera una censura basada en un examen de constitucionalidad mediata, queda en todo caso confirmada por la lectura de la disposición final cuarta.2 LEEP, a cuyo tenor su art. 20.3 (entre otros) “producirá efectos a partir de la entrada en vigor de las Leyes de Función Pública que se dicten en desarrollo de este Estatuto”. La consecuencia de este juego normativo, como señala el Fiscal General del Estado, es que el art. 20 LEEP no está materialmente en vigor, por lo que tampoco es posible por este motivo apreciar la infracción de una norma estatal básica que pudiera constituir una vulneración del art. 149.1.18 CE.</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8" w:name="AUTO_2015_38"/>
      <w:r>
        <w:t>AUTO 38/2015, de 17 de febrero de 2015</w:t>
      </w:r>
    </w:p>
    <w:bookmarkEnd w:id="188"/>
    <w:p w:rsidR="00B85568" w:rsidRDefault="00B85568" w:rsidP="00B85568">
      <w:pPr>
        <w:pStyle w:val="TtuloResolucin"/>
      </w:pPr>
      <w:r>
        <w:t>Pleno</w:t>
      </w:r>
    </w:p>
    <w:p w:rsidR="00B85568" w:rsidRDefault="00B85568" w:rsidP="00B85568">
      <w:pPr>
        <w:pStyle w:val="TextoNormalCentrado"/>
      </w:pPr>
      <w:r>
        <w:t>ECLI:ES:TC:2015:38A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6027-2014, planteada por el Tribunal Superior de Justicia de Castilla-La Mancha en relación con los artículos 22.1 a) y 2 de la Ley 8/2007, de 28 de mayo, de suelo, y artículo 2 del Real Decreto Legislativo 2/2008, de 20 de junio, del texto refundido de la Ley de suelo.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8 de octubre de 2014, tuvo entrada en el Registro General del Tribunal Constitucional el Auto de 9 de septiembre de 2014, de la Sala de lo Contencioso-Administrativo del Tribunal Superior de Justicia de Castilla-La Mancha, dictado en el procedimiento ordinario núm. 558-2010, por el que se acuerda el planteamiento de la cuestión de inconstitucionalidad en relación con los arts. 22.1 a) y 2 de la Ley 8/2007, de 28 de mayo, de suelo, y 23.1 a) y 2 del Real Decreto Legislativo 2/2008, de 20 de junio, que aprueba el texto refundido de la Ley de suelo por contradicción con el art. 33.3 CE. Con él se adjunta testimonio de las actuaciones.</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del presente proceso constitucional son los siguientes:</w:t>
      </w:r>
    </w:p>
    <w:p w:rsidR="00B85568" w:rsidRDefault="00B85568" w:rsidP="00B85568">
      <w:pPr>
        <w:pStyle w:val="TextoNormal"/>
      </w:pPr>
    </w:p>
    <w:p w:rsidR="00B85568" w:rsidRDefault="00B85568" w:rsidP="00B85568">
      <w:pPr>
        <w:pStyle w:val="TextoNormal"/>
      </w:pPr>
      <w:r>
        <w:t xml:space="preserve">a) En el proceso judicial en el que se plantea la presente cuestión se impugnó la resolución del Jurado territorial de valoraciones de Castilla-La Mancha, de 26 de mayo de 2010, por la que se fijaba el justiprecio de las fincas 3, 4, 7, 8 y 9 del proyecto de expropiación de “establecimiento de LMTA a 15 KV de 16.806.40 m en doble circuito en paraje de la Vega”, tramitado por la Delegación Provincial de Industria, Energía y Medio ambiente de Ciudad Real, en el término municipal de Daimiel. El recurrente solicitaba que el suelo clasificado como no urbanizable, ubicado entre el casco urbano y un sector de suelo urbanizable, fuera valorado por el método de comparación teniendo en cuenta sus expectativas urbanísticas. </w:t>
      </w:r>
    </w:p>
    <w:p w:rsidR="00B85568" w:rsidRDefault="00B85568" w:rsidP="00B85568">
      <w:pPr>
        <w:pStyle w:val="TextoNormal"/>
      </w:pPr>
    </w:p>
    <w:p w:rsidR="00B85568" w:rsidRDefault="00B85568" w:rsidP="00B85568">
      <w:pPr>
        <w:pStyle w:val="TextoNormal"/>
      </w:pPr>
      <w:r>
        <w:t>b) Conclusas las actuaciones y señalada fecha para votación y fallo, la Sala dictó providencia de 27 de mayo de 2014 por la que se acordaba dar traslado a las partes, de acuerdo con lo establecido en el art. 35.2 de la Ley Orgánica del Tribunal Constitucional (LOTC), para que en el plazo común de diez días pudieran alegar sobre la pertinencia de plantear cuestión de inconstitucionalidad sobre los arts. 22. 1 a) y 2 de la Ley de suelo, y 23.1 a) y 2 del texto refundido. La citada providencia planteó la posible inconstitucionalidad de los preceptos antes citados, por vulneración del art. 33.3 CE, por cuanto las limitaciones que se establecen para la valoración del suelo rural (corrección al alza, hasta un máximo del doble en función de determinados valores objetivos de localización, del valor obtenido por capitalización de rentas, excluidas las expectativas urbanísticas) puede impedir fijar el justiprecio conforme a su valor real.</w:t>
      </w:r>
    </w:p>
    <w:p w:rsidR="00B85568" w:rsidRDefault="00B85568" w:rsidP="00B85568">
      <w:pPr>
        <w:pStyle w:val="TextoNormal"/>
      </w:pPr>
    </w:p>
    <w:p w:rsidR="00B85568" w:rsidRDefault="00B85568" w:rsidP="00B85568">
      <w:pPr>
        <w:pStyle w:val="TextoNormal"/>
      </w:pPr>
      <w:r>
        <w:t>c) El Letrado de la Junta de Comunidades presentó sus alegaciones el 11 de junio de 2014, recordando que el art. 47 CE obliga a los poderes públicos a luchar contra la especulación, que el art. 36 de la Ley de expropiación forzosa impide valorar las plusvalías que sean consecuencia directa del plano o proyecto de obras que dan lugar a la expropiación; y que el art. 33.3 CE permite que el legislador, al establecer los criterios de valoración, tienda a evitar la especulación, mandato al que obedece el art. 23 del texto refundido. Por ello se opone al planteamiento de la cuestión.</w:t>
      </w:r>
    </w:p>
    <w:p w:rsidR="00B85568" w:rsidRDefault="00B85568" w:rsidP="00B85568">
      <w:pPr>
        <w:pStyle w:val="TextoNormal"/>
      </w:pPr>
    </w:p>
    <w:p w:rsidR="00B85568" w:rsidRDefault="00B85568" w:rsidP="00B85568">
      <w:pPr>
        <w:pStyle w:val="TextoNormal"/>
      </w:pPr>
      <w:r>
        <w:t>d) El Ministerio Fiscal presentó sus alegaciones el 30 de mayo de 2014. Tras concluir sobre la corrección de los requisitos formales de la providencia antes citada y resumir la doctrina constitucional en materia de privación de propiedad y la indemnización contemplada en el art. 33.3 CE, considera que si bien los criterios de valoración impugnados no son, en abstracto considerados, manifiestamente irrazonables ello no implica que garanticen efectivamente el derecho a percibir la contraprestación económica que corresponda al valor real del bien pues no es difícil imaginar supuestos en los que la aplicación de los criterios legales puede conducir a resultados que violenten el adecuado equilibrio entre la indemnización y el valor real del bien. De ahí la conveniencia de plantear la cuestión de inconstitucionalidad en relación con el art. 33.3 CE.</w:t>
      </w:r>
    </w:p>
    <w:p w:rsidR="00B85568" w:rsidRDefault="00B85568" w:rsidP="00B85568">
      <w:pPr>
        <w:pStyle w:val="TextoNormal"/>
      </w:pPr>
    </w:p>
    <w:p w:rsidR="00B85568" w:rsidRDefault="00B85568" w:rsidP="00B85568">
      <w:pPr>
        <w:pStyle w:val="TextoNormal"/>
      </w:pPr>
      <w:r w:rsidRPr="00B85568">
        <w:rPr>
          <w:rStyle w:val="NumeroAFNegritaCaracter"/>
        </w:rPr>
        <w:t>3</w:t>
      </w:r>
      <w:r>
        <w:t>. Los fundamentos del Auto de planteamiento de la cuestión son los siguientes:</w:t>
      </w:r>
    </w:p>
    <w:p w:rsidR="00B85568" w:rsidRDefault="00B85568" w:rsidP="00B85568">
      <w:pPr>
        <w:pStyle w:val="TextoNormal"/>
      </w:pPr>
    </w:p>
    <w:p w:rsidR="00B85568" w:rsidRDefault="00B85568" w:rsidP="00B85568">
      <w:pPr>
        <w:pStyle w:val="TextoNormal"/>
      </w:pPr>
      <w:r>
        <w:t>a) Sobre la aplicabilidad de la Ley de suelo razona que es la que estaba vigente en el momento en que se aprobó el proyecto relativo a las obras de referencia, por el que se autorizaba el establecimiento de la instalación eléctrica y se declaró la utilidad pública, de manera que no resultaba aplicable la Ley 6/1998, de 13 de abril, sobre régimen del suelo y valoraciones.</w:t>
      </w:r>
    </w:p>
    <w:p w:rsidR="00B85568" w:rsidRDefault="00B85568" w:rsidP="00B85568">
      <w:pPr>
        <w:pStyle w:val="TextoNormal"/>
      </w:pPr>
    </w:p>
    <w:p w:rsidR="00B85568" w:rsidRDefault="00B85568" w:rsidP="00B85568">
      <w:pPr>
        <w:pStyle w:val="TextoNormal"/>
      </w:pPr>
      <w:r>
        <w:t>b) Sobre el juicio de relevancia señala el Auto que, haciendo abstracción de la posibilidad de valorar los suelos por la jurisprudencia relativa a “los sistemas generales que contribuyen a hacer ciudad”, es decir, como si fueran suelos urbanizables, lo cierto es que teniendo en cuenta su clasificación como no urbanizables, se encuentran en situación básica de suelo rural, por lo que debe aplicarse el método del art. 22 de la Ley de suelo, que solo puede responder al rendimiento del valor agrícola pero no al valor real de los terrenos por su situación, pues impide valorar las expectativas urbanísticas. En este caso, las fincas habían sido objeto de expropiaciones anteriores y su justiprecio fue fijado por el Tribunal en 9 €/m2 aplicando la Ley 6/1998. Sin embargo, la resolución del Jurado sólo reconoce 2,7392 €/m2, y el perito judicial llega a un valor de 2,53 €/m2 por lo que aunque su valor se incrementase hasta el doble no alcanzaría el valor fijado para otras expropiaciones previas por el órgano judicial que considera la Sala debe ser como mínimo el que ahora se reconozca.</w:t>
      </w:r>
    </w:p>
    <w:p w:rsidR="00B85568" w:rsidRDefault="00B85568" w:rsidP="00B85568">
      <w:pPr>
        <w:pStyle w:val="TextoNormal"/>
      </w:pPr>
    </w:p>
    <w:p w:rsidR="00B85568" w:rsidRDefault="00B85568" w:rsidP="00B85568">
      <w:pPr>
        <w:pStyle w:val="TextoNormal"/>
      </w:pPr>
      <w:r>
        <w:t>c) En relación con la vulneración del art. 33.3 CE, señala como antecedente inmediato el art. 43 de la Ley de expropiación forzosa que consagraba el criterio estimativo en el caso de que la valoración realizada conforme a los criterios legales no resultara conforme con el valor real del bien. Este precepto que estaba inspirado en el principio de indemnidad o la reposición de los bienes mediante la justa indemnización, fue eliminado por la Ley de suelo. Reproduce el fundamento jurídico 13 B) de la STC 166/1986, y resume la doctrina del Tribunal Europeo de Derechos humanos, según la cual, aunque el convenio no garantiza en todos los casos el derecho a una compensación íntegra ya que los objetivos legítimos de utilidad pública pueden abogar por un reembolso inferior al valor comercial total, debe procurarse un equilibrio justo entre las exigencias del interés general de la sociedad y los imperativos de los derechos fundamentales de la persona, equilibrio que se altera si la persona afectada tuvo que sufrir una carga excesiva y especial. De ella concluye que si bien existen excepciones a la regla del reembolso equivalente al pleno valor de mercado, en los supuestos de expropiaciones por causa de utilidad pública y más concretamente las que tienen por objeto la construcción de carreteras, solo una indemnización íntegra puede ser considerada razonablemente proporcionada al valor del bien.</w:t>
      </w:r>
    </w:p>
    <w:p w:rsidR="00B85568" w:rsidRDefault="00B85568" w:rsidP="00B85568">
      <w:pPr>
        <w:pStyle w:val="TextoNormal"/>
      </w:pPr>
    </w:p>
    <w:p w:rsidR="00B85568" w:rsidRDefault="00B85568" w:rsidP="00B85568">
      <w:pPr>
        <w:pStyle w:val="TextoNormal"/>
      </w:pPr>
      <w:r>
        <w:t>Invoca también la jurisprudencia del Tribunal Supremo recaída tras la modificación de la Ley 8/2007, por la Ley 10/2003, que obligaba a valorar los sistemas generales no adscritos conforme a su clasificación urbanística, y la interpretación que de ésta ha realizado el citado Tribunal amparándose en el principio de constitucional de indemnidad. Trae también a colación las modificaciones normativas posteriores a la aprobación de la Ley impugnada que vienen a evidenciar la insuficiencia del método de capitalización para obtener el valor real del bien. Así, mientras que la Ley de suelo establecía que el tipo de capitalización inicialmente fijado por ésta podía ser modificado por las leyes de presupuestos, la modificación operada por el Real Decreto-ley 6/2010, de 9 de abril, supone remitir al reglamento la modificación del tipo de capitalización aplicable cuando el resultado de las valoraciones se aleje de forma significativa respeto de los precios de mercado del suelo rural sin expectativas urbanísticas, lo que finalmente se ha llevado a efecto por el Real Decreto 1492/2011, de 24 de octubre. Ello viene a demostrar que incluso el legislador era consciente de que una valoración calculada por el método del art. 22 de la Ley de suelo podía estar alejada de los precios de mercado del suelo rural, pero no hizo uso de esta posibilidad hasta la aprobación de esta última disposición reglamentaria. Los coeficientes establecidos en el reglamento de valoraciones no son suficientes para obtener el valor de mercado de suelo rural pues excluyen las expectativas, ya que la exclusión del método de comparación impide compensar por el valor real del bien. Por ello concluye señalando que los preceptos impugnados vulneran el art. 33.3 CE en los términos en que este último ha sido interpretado por el Tribunal Constitucional, el Tribunal Supremo y el Tribunal Europeo de Derechos Humanos. Afirma, además, que cuando la Sala se refiere a expectativas urbanísticas se refiere al incremento de valor que la expectativa (proximidad a zonas de expansión urbana, actividad inmobiliaria, avances de planeamiento) genera actualmente sobre el valor del suelo en el mercado. Es obligación de los poderes públicos evitar la especulación del suelo pero no a costa de los precios debidos en la expropiación ya que la Administración debe pagar por el suelo lo mismo que cualquier tercero que necesitara adquirirlo.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la Sección Primera del Tribunal Constitucional de 4 de noviembre de 2014, se acordó oír al Ministerio Fiscal para que pudiera alegar sobre la inadmisibilidad de la cuestión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Ministerio Fiscal presentó sus alegaciones en el registro de este Tribunal el 18 de diciembre de 2014. Tras exponer los argumentos del Auto de planteamiento de la cuestión de inconstitucionalidad, analiza la observancia de los requisitos establecidos en el art. 35.2 LOTC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00B85568" w:rsidRDefault="00B85568" w:rsidP="00B85568">
      <w:pPr>
        <w:pStyle w:val="TextoNormal"/>
      </w:pPr>
    </w:p>
    <w:p w:rsidR="00B85568" w:rsidRDefault="00B85568" w:rsidP="00B85568">
      <w:pPr>
        <w:pStyle w:val="TextoNormal"/>
      </w:pPr>
      <w:r>
        <w:t>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es notoriamente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mientras que en la duda que atañe al apartado segundo del mismo precepto debe considerarse manifiestamente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lo dispuesto en el art. 35.1 de la Ley Orgánica del Tribunal Constitucional (LOTC), la norma legal cuya constitucionalidad se cuestiona debe ser aplicable al caso, y conforme al art. 35.2 LOTC el órgano judicial debe especificar en qué medida la decisión del proceso depende de la validez de la norma en cuestión. El razonamiento del juicio de aplicabilidad incluido en el Auto de planteamiento, se dirige a justificar la aplicación de la Ley 8/2007, de 28 de mayo, frente a la Ley 6/1998, que estaba vigente en el momento de iniciarse el procedimiento expropiatorio. Argumenta la Sala que el Tribunal Supremo ha declarado en Sentencias de 24 de junio, 3 de diciembre, y 26 de diciembre, todas ellas de 2013, que hay que entender que cuando la disposición transitoria tercera de la Ley de suelo se refiere al inicio del expediente para determinar la aplicación de los nuevos criterios de valoración se está refiriendo al inicio de la pieza separada de justiprecio y no al inicio del procedimiento expropiatorio. Añade, además, que aunque esta regla sea contraria a lo que en sentencias anteriores había afirmado el Tribunal Supremo, la jurisprudencia citada se refiere específicamente a la Ley cuya aplicación se plantea en el caso de autos, por lo que la Sala debe seguir el mismo criterio. Así pues, continua el Auto, “como quiera que el proyecto relativo a las obras de referencia fue aprobado por resolución de la Consejería de Industria y Sociedad de la Información de la Junta de Comunidades de Castilla-La Mancha de 24 de agosto de 2007, por la que se autoriza el establecimiento de la instalación eléctrica y se declara en concreto la utilidad pública (“Diario Oficial de Castilla-La Mancha” núm. 186 de 6 de septiembre de 2007) es claro que, a efectos de valoraciones, debía aplicarse ya la referida Ley al caso enjuiciado”.</w:t>
      </w:r>
    </w:p>
    <w:p w:rsidR="00B85568" w:rsidRDefault="00B85568" w:rsidP="00B85568">
      <w:pPr>
        <w:pStyle w:val="TextoNormal"/>
      </w:pPr>
    </w:p>
    <w:p w:rsidR="00B85568" w:rsidRDefault="00B85568" w:rsidP="00B85568">
      <w:pPr>
        <w:pStyle w:val="TextoNormal"/>
      </w:pPr>
      <w:r>
        <w:t>Una correcta aplicación de la jurisprudencia que asume el Auto de cuestionamiento, hubiera determinado que la fecha relevante para determinar la norma aplicable al caso no fuera la citada de la aprobación del procedimiento expropiatorio —24 de agosto de 2007— sino la de inicio de la pieza separada de justiprecio —noviembre de 2007—. Ahora bien, con cualquiera de ambas, se pone de manifiesto que, estando en vigor la Ley 8/2007, de 28 de mayo, es esta la norma legal que resulta de aplicación al caso. No justifica, sin embargo, la aplicabilidad del art. 23 del Real Decreto Legislativo 2/2008, de 20 de junio, por el que se aprueba el texto refundido, precepto que por definición no es aplicable si, como señala la Sala, lo era la Ley de suelo que éste refunde. Así pues, dada la conexión que debe existir entre el pronunciamiento de este Tribunal y el proceso en que la cuestión se plantea, la Sala no ha justificado la aplicabilidad del texto refundido por lo que procede inadmitir la cuestión en relación con el art. 23 de esta disposición legal.</w:t>
      </w:r>
    </w:p>
    <w:p w:rsidR="00B85568" w:rsidRDefault="00B85568" w:rsidP="00B85568">
      <w:pPr>
        <w:pStyle w:val="TextoNormal"/>
      </w:pPr>
    </w:p>
    <w:p w:rsidR="00B85568" w:rsidRDefault="00B85568" w:rsidP="00B85568">
      <w:pPr>
        <w:pStyle w:val="TextoNormal"/>
      </w:pPr>
      <w:r w:rsidRPr="00B85568">
        <w:rPr>
          <w:rStyle w:val="NumeroAFNegritaCaracter"/>
        </w:rPr>
        <w:t>3</w:t>
      </w:r>
      <w:r>
        <w:t>. Las dudas de constitucionalidad que han llevado a la Sala a plantear la presente cuestión son idénticas a las exteriorizadas en el Auto de planteamiento de la cuestión de inconstitucionalidad 2995-2014, que ha sido inadmitida por este Tribunal por el ATC 8/2015, de 20 de enero. En consecuencia, procede inadmitir la presente cuestión por las razones entonces expuestas. Esto es, la cuestión ha perdido objeto en lo que atañe al art. 22.1 a) de la Ley de suelo, pues “ [l]a STC 141/2014, de 11 de septiembre, tras analizar el art. 22.1 a) de la Ley de suelo entendió que era constitucional una vez depurado el inciso de ‘hasta un máximo del doble’, cuya inconstitucionalidad y nulidad declaró” (FJ 3). Asimismo, la STC 141/2014, de 11 de septiembre, FJ 9 B), se ha referido aunque indirectamente a la duda de inconstitucionalidad planteada sobre el art. 22.2 de la Ley de suelo, al entender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de manera que debe considerarse notoriamente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diecisiete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89" w:name="AUTO_2015_39"/>
      <w:r>
        <w:t>AUTO 39/2015, de 20 de febrero de 2015</w:t>
      </w:r>
    </w:p>
    <w:bookmarkEnd w:id="189"/>
    <w:p w:rsidR="00B85568" w:rsidRDefault="00B85568" w:rsidP="00B85568">
      <w:pPr>
        <w:pStyle w:val="TtuloResolucin"/>
      </w:pPr>
      <w:r>
        <w:t>Sección Tercera</w:t>
      </w:r>
    </w:p>
    <w:p w:rsidR="00B85568" w:rsidRDefault="00B85568" w:rsidP="00B85568">
      <w:pPr>
        <w:pStyle w:val="TextoNormalCentrado"/>
      </w:pPr>
      <w:r>
        <w:t>ECLI:ES:TC:2015:39A</w:t>
      </w:r>
    </w:p>
    <w:p w:rsidR="00B85568" w:rsidRDefault="00B85568" w:rsidP="00B85568">
      <w:pPr>
        <w:pStyle w:val="TextoNormalCentrado"/>
      </w:pPr>
    </w:p>
    <w:p w:rsidR="00B85568" w:rsidRDefault="00B85568" w:rsidP="00B85568">
      <w:pPr>
        <w:pStyle w:val="SntesisDescriptiva"/>
      </w:pPr>
      <w:r>
        <w:t>Excms. Srs. doña Adela Asua Batarrita, don Juan José González Rivas y don Pedro José González-Trevijano Sánchez.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90" w:name="AUTO_2015_40"/>
      <w:r>
        <w:t>AUTO 40/2015, de 20 de febrero de 2015</w:t>
      </w:r>
    </w:p>
    <w:bookmarkEnd w:id="190"/>
    <w:p w:rsidR="00B85568" w:rsidRDefault="00B85568" w:rsidP="00B85568">
      <w:pPr>
        <w:pStyle w:val="TtuloResolucin"/>
      </w:pPr>
      <w:r>
        <w:t>Sección Cuarta</w:t>
      </w:r>
    </w:p>
    <w:p w:rsidR="00B85568" w:rsidRDefault="00B85568" w:rsidP="00B85568">
      <w:pPr>
        <w:pStyle w:val="TextoNormalCentrado"/>
      </w:pPr>
      <w:r>
        <w:t>ECLI:ES:TC:2015:40A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91" w:name="AUTO_2015_41"/>
      <w:r>
        <w:t>AUTO 41/2015, de 20 de febrero de 2015</w:t>
      </w:r>
    </w:p>
    <w:bookmarkEnd w:id="191"/>
    <w:p w:rsidR="00B85568" w:rsidRDefault="00B85568" w:rsidP="00B85568">
      <w:pPr>
        <w:pStyle w:val="TtuloResolucin"/>
      </w:pPr>
      <w:r>
        <w:t>Sección Tercera</w:t>
      </w:r>
    </w:p>
    <w:p w:rsidR="00B85568" w:rsidRDefault="00B85568" w:rsidP="00B85568">
      <w:pPr>
        <w:pStyle w:val="TextoNormalCentrado"/>
      </w:pPr>
      <w:r>
        <w:t>ECLI:ES:TC:2015:41A</w:t>
      </w:r>
    </w:p>
    <w:p w:rsidR="00B85568" w:rsidRDefault="00B85568" w:rsidP="00B85568">
      <w:pPr>
        <w:pStyle w:val="TextoNormalCentrado"/>
      </w:pPr>
    </w:p>
    <w:p w:rsidR="00B85568" w:rsidRDefault="00B85568" w:rsidP="00B85568">
      <w:pPr>
        <w:pStyle w:val="SntesisDescriptiva"/>
      </w:pPr>
      <w:r>
        <w:t>Excms. Srs. doña Adela Asua Batarrita, don Juan José González Rivas y don Pedro José González-Trevijano Sánchez.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92" w:name="AUTO_2015_42"/>
      <w:r>
        <w:t>AUTO 42/2015, de 24 de febrero de 2015</w:t>
      </w:r>
    </w:p>
    <w:bookmarkEnd w:id="192"/>
    <w:p w:rsidR="00B85568" w:rsidRDefault="00B85568" w:rsidP="00B85568">
      <w:pPr>
        <w:pStyle w:val="TtuloResolucin"/>
      </w:pPr>
      <w:r>
        <w:t>Sección Cuarta</w:t>
      </w:r>
    </w:p>
    <w:p w:rsidR="00B85568" w:rsidRDefault="00B85568" w:rsidP="00B85568">
      <w:pPr>
        <w:pStyle w:val="TextoNormalCentrado"/>
      </w:pPr>
      <w:r>
        <w:t>ECLI:ES:TC:2015:42A</w:t>
      </w:r>
    </w:p>
    <w:p w:rsidR="00B85568" w:rsidRDefault="00B85568" w:rsidP="00B85568">
      <w:pPr>
        <w:pStyle w:val="TextoNormalCentrado"/>
      </w:pPr>
    </w:p>
    <w:p w:rsidR="00B85568" w:rsidRDefault="00B85568" w:rsidP="00B85568">
      <w:pPr>
        <w:pStyle w:val="SntesisDescriptiva"/>
      </w:pPr>
      <w:r>
        <w:t>Excms. Srs. don Fernando Valdés Dal-Ré y don Antonio Narváez Rodríguez.</w:t>
      </w:r>
    </w:p>
    <w:p w:rsidR="00B85568" w:rsidRDefault="00B85568" w:rsidP="00B85568">
      <w:pPr>
        <w:pStyle w:val="SntesisDescriptiva"/>
      </w:pPr>
    </w:p>
    <w:p w:rsidR="00B85568" w:rsidRDefault="00B85568" w:rsidP="00B85568">
      <w:pPr>
        <w:pStyle w:val="SntesisDescriptiva"/>
      </w:pPr>
      <w:r>
        <w:t>Estima justificada  una abstención en el recurso de amparo 7383-2013, promovido por la Universidad de Burgos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presente recurso de amparo se impugna Sentencia de 5 de julio de 2013 y Auto de 29 de octubre de 2013 dictados por la Sección Cuarta del Sala de lo Contencioso-Administrativo del Tribunal Supremo en recurso contencioso-administrativo núm. 169-2011.</w:t>
      </w:r>
    </w:p>
    <w:p w:rsidR="00B85568" w:rsidRDefault="00B85568" w:rsidP="00B85568">
      <w:pPr>
        <w:pStyle w:val="TextoNormal"/>
      </w:pPr>
    </w:p>
    <w:p w:rsidR="00B85568" w:rsidRDefault="00B85568" w:rsidP="00B85568">
      <w:pPr>
        <w:pStyle w:val="TextoNormal"/>
      </w:pPr>
      <w:r>
        <w:t>Mediante escrito fechado el 23 de febrero de 2015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del Tribunal Supremo, que dictó la Sentencia de 5 de julio de 2013 y el Auto de 29 de octubre de 2013 en el recurso contencioso-administrativo núm. 169-2011, resolución impugnada en el presente recurso de amparo núm. 7383-2013.</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del Tribunal Supremo que dictó la Sentencia de 5 de julio de 2013 y el Auto de 29 de octubre de 2013, en el recurso contencioso-administrativo núm. 169-2011 que ha sido impugnado en el presente recurso de amparo 7383-2013.</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Ricardo Enríquez Sancho en el recurso de amparo núm. 7383-2013,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veinticuatro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93" w:name="AUTO_2015_43"/>
      <w:r>
        <w:t>AUTO 43/2015, de 25 de febrero de 2015</w:t>
      </w:r>
    </w:p>
    <w:bookmarkEnd w:id="193"/>
    <w:p w:rsidR="00B85568" w:rsidRDefault="00B85568" w:rsidP="00B85568">
      <w:pPr>
        <w:pStyle w:val="TtuloResolucin"/>
      </w:pPr>
      <w:r>
        <w:t>Sección Primera</w:t>
      </w:r>
    </w:p>
    <w:p w:rsidR="00B85568" w:rsidRDefault="00B85568" w:rsidP="00B85568">
      <w:pPr>
        <w:pStyle w:val="TextoNormalCentrado"/>
      </w:pPr>
      <w:r>
        <w:t>ECLI:ES:TC:2015:43A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4742-2012, promovido por don Jesús Miguel Álvarez Fernández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30 de julio de 2012, la Procuradora de los Tribunales doña María José Bueno Ramírez, en nombre y representación de don Jesús Miguel Álvarez Fernández, y bajo la dirección del Letrado don Santiago Milans del Bosch Jordán de Urries, presentó demanda de amparo contra el Auto de la Sección Tercera de la Sala de lo Contencioso-Administrativo del Tribunal Superior de Justicia de Castilla y León de 13 de junio de 2012, por el que se desestima el incidente de nulidad interpuesto contra la Sentencia de 10 de abril de 2012, que estima el recurso de apelación núm. 442-2011 interpuesto contra la Sentencia del Juzgado de lo Contencioso-Administrativo núm. 2 de León de 7 de marzo de 2011, dictada en el procedimiento abreviado núm. 390-2009.</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que dieron lugar a este amparo son los siguientes:</w:t>
      </w:r>
    </w:p>
    <w:p w:rsidR="00B85568" w:rsidRDefault="00B85568" w:rsidP="00B85568">
      <w:pPr>
        <w:pStyle w:val="TextoNormal"/>
      </w:pPr>
    </w:p>
    <w:p w:rsidR="00B85568" w:rsidRDefault="00B85568" w:rsidP="00B85568">
      <w:pPr>
        <w:pStyle w:val="TextoNormal"/>
      </w:pPr>
      <w:r>
        <w:t>a) El Juzgado de lo Contencioso-Administrativo núm. 2 de León, por Sentencia de 7 de marzo de 2011, dictada en el procedimiento abreviado núm. 390-2009, desestimó el recurso interpuesto contra la resolución del Rector de la universidad de León de 22 de julio de 2009, que confirmó la propuesta de la comisión juzgadora del concurso núm. 516 de acceso a una plaza de catedrático de universidad en favor del ahora recurrente en amparo.</w:t>
      </w:r>
    </w:p>
    <w:p w:rsidR="00B85568" w:rsidRDefault="00B85568" w:rsidP="00B85568">
      <w:pPr>
        <w:pStyle w:val="TextoNormal"/>
      </w:pPr>
    </w:p>
    <w:p w:rsidR="00B85568" w:rsidRDefault="00B85568" w:rsidP="00B85568">
      <w:pPr>
        <w:pStyle w:val="TextoNormal"/>
      </w:pPr>
      <w:r>
        <w:t>b) Interpuesto recurso de apelación, tramitado con el núm. 442-2011 por la Sección Tercera de la Sala de lo Contencioso-Administrativo del Tribunal Superior de Justicia de Castilla y León, fue estimado por Sentencia de 10 de abril de 2012, en la que se acordó anular la resolución rectoral y adjudicar la plaza controvertida a la actora. En la Sentencia se razona que, atendida la normativa aplicable y teniendo en cuenta la doctrina jurisprudencial sobre la discrecionalidad técnica de los órganos de selección, a la vista de los informes de los miembros de la comisión juzgadora y del modo en que se procedió, el órgano calificador incurrió en “arbitrariedad o falta de justificación de la decisión por desproporción entre los respectivos méritos investigadores y la puntuación asignada a cada concursante”. Se afirma que, respecto del primer ejercicio, los méritos de la apelante eran claramente superiores “y dado que normativamente al primer ejercicio ha de asignársele como mínimo un valor doble que al segundo, parece evidente que la actora tenía mejor derecho, en función de los criterios establecidos por la comisión, a la obtención de la plaza objeto de concurso, lo que así hemos de declararlo aquí mediante la adjudicación de la plaza a la recurrente al obrar en las actuaciones todos los elementos que permiten decidir sobre si tiene o no derecho a la plaza” (fundamento de derecho tercero).</w:t>
      </w:r>
    </w:p>
    <w:p w:rsidR="00B85568" w:rsidRDefault="00B85568" w:rsidP="00B85568">
      <w:pPr>
        <w:pStyle w:val="TextoNormal"/>
      </w:pPr>
    </w:p>
    <w:p w:rsidR="00B85568" w:rsidRDefault="00B85568" w:rsidP="00B85568">
      <w:pPr>
        <w:pStyle w:val="TextoNormal"/>
      </w:pPr>
      <w:r>
        <w:t>c) El recurrente en amparo interpuso incidente de nulidad de actuaciones, alegando que la Sentencia vulneraba su derecho a acceder en condiciones de igualdad a los cargos y funciones públicas en relación con los principios de mérito y capacidad (arts. 23.2 y 103.3 CE) así como el derecho a la tutela judicial efectiva sin indefensión (art. 24.1 CE). Argumentó que la Sentencia había procedido a revisar la actuación material de la comisión de valoración, ratificada por la comisión de reclamaciones, invadiendo la competencia propia de estos órganos y desconociendo el principio de discrecionalidad técnica. El incidente fue desestimado por Auto de 13 de junio de 2012, negando que haya existido quiebra del principio de discrecionalidad técnica y poniendo de manifiesto que se ha hecho aplicación al caso de la doctrina del Tribunal Supremo sobre el particular.</w:t>
      </w:r>
    </w:p>
    <w:p w:rsidR="00B85568" w:rsidRDefault="00B85568" w:rsidP="00B85568">
      <w:pPr>
        <w:pStyle w:val="TextoNormal"/>
      </w:pPr>
    </w:p>
    <w:p w:rsidR="00B85568" w:rsidRDefault="00B85568" w:rsidP="00B85568">
      <w:pPr>
        <w:pStyle w:val="TextoNormal"/>
      </w:pPr>
      <w:r w:rsidRPr="00B85568">
        <w:rPr>
          <w:rStyle w:val="NumeroAFNegritaCaracter"/>
        </w:rPr>
        <w:t>3</w:t>
      </w:r>
      <w:r>
        <w:t>. El demandante en amparo invoca los derechos de acceso en condiciones de igualdad a las funciones y cargos públicos con los requisitos que señalen las leyes (art. 23.2 CE) y a la tutela judicial efectiva (art. 24.1 CE). Estas invocaciones las fundamenta en que la decisión judicial impugnada ha supuesto una quiebra de los límites de la discrecionalidad técnica por parte del órgano jurisdiccional, que ha procedido a sustituir a la comisión juzgadora, órgano técnico encargado de la calificación del proceso selectivo, sin que en el caso concreto se estuviera en ninguno de los supuestos en los que está permitido resolver jurisdiccionalmente frente a lo decidido por la comisión evaluadora.</w:t>
      </w:r>
    </w:p>
    <w:p w:rsidR="00B85568" w:rsidRDefault="00B85568" w:rsidP="00B85568">
      <w:pPr>
        <w:pStyle w:val="TextoNormal"/>
      </w:pPr>
    </w:p>
    <w:p w:rsidR="00B85568" w:rsidRDefault="00B85568" w:rsidP="00B85568">
      <w:pPr>
        <w:pStyle w:val="TextoNormal"/>
      </w:pPr>
      <w:r w:rsidRPr="00B85568">
        <w:rPr>
          <w:rStyle w:val="NumeroAFNegritaCaracter"/>
        </w:rPr>
        <w:t>4</w:t>
      </w:r>
      <w:r>
        <w:t>. La Sección Primera de este Tribunal, mediante providencia de 19 de febrero de 2014, acordó no admitir el recurso a trámite, con arreglo a lo previsto en el art. 50.1 a) de la Ley Orgánica del Tribunal Constitucional, dada la manifiesta inexistencia de violación de un derecho fundamental tutelable en amparo.</w:t>
      </w:r>
    </w:p>
    <w:p w:rsidR="00B85568" w:rsidRDefault="00B85568" w:rsidP="00B85568">
      <w:pPr>
        <w:pStyle w:val="TextoNormal"/>
      </w:pPr>
    </w:p>
    <w:p w:rsidR="00B85568" w:rsidRDefault="00B85568" w:rsidP="00B85568">
      <w:pPr>
        <w:pStyle w:val="TextoNormal"/>
      </w:pPr>
      <w:r w:rsidRPr="00B85568">
        <w:rPr>
          <w:rStyle w:val="NumeroAFNegritaCaracter"/>
        </w:rPr>
        <w:t>5</w:t>
      </w:r>
      <w:r>
        <w:t>. El Ministerio Fiscal, por escrito registrado el 13 de marzo de 2014, interpuso recurso de súplica contra dicha providencia, solicitando que fuera dejada sin efecto y se repusieran las actuaciones para que se decidiera nuevamente sobre la admisión de la demanda de amparo. Se argumenta que no cabe afirmar una manifiesta inexistencia de la vulneración de los derechos invocados, ya que, en contradicción con la jurisprudencia constitucional sobre la discrecionalidad técnica, que solo permite el control jurisdiccional de la actuación de valoración cuando se acredita que esta incurre en irrazonabilidad, arbitrariedad, error patente o desviación de poder, la resolución impugnada “puede haber incurrido en una extralimitación de jurisdicción en cuanto que ha revisado y reemplazado la valoración técnica hecha por la Comisión Juzgadora, sobre la puntuación que debía asignarse a los méritos investigadores de los concursantes según los criterios de valoración predeterminados, sin que pueda observarse que la puntuación asignada por la Comisión a los méritos investigadores, de acuerdo con el informe justificativo emitido el 14 de mayo de 2009 resulte claramente arbitraria o carente de toda justificación”.</w:t>
      </w:r>
    </w:p>
    <w:p w:rsidR="00B85568" w:rsidRDefault="00B85568" w:rsidP="00B85568">
      <w:pPr>
        <w:pStyle w:val="TextoNormal"/>
      </w:pPr>
    </w:p>
    <w:p w:rsidR="00B85568" w:rsidRDefault="00B85568" w:rsidP="00B85568">
      <w:pPr>
        <w:pStyle w:val="TextoNormal"/>
      </w:pPr>
      <w:r w:rsidRPr="00B85568">
        <w:rPr>
          <w:rStyle w:val="NumeroAFNegritaCaracter"/>
        </w:rPr>
        <w:t>6</w:t>
      </w:r>
      <w:r>
        <w:t>. La Secretaría de Justicia de la Sección Primera de este Tribunal, por diligencia de ordenación de 17 de marzo de 2014, acordó dar traslado del recurso de súplica para alegaciones a la demandante, quien por escrito registrado el 24 de marzo de 2014 se adhirió en todos sus términos a los argumentos esgrimidos en dicho recurso.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Ministerio Fiscal sustenta su recurso de súplica en que no cabe afirmar una manifiesta inexistencia de la vulneración de los derechos invocados (art. 23.2 y 24.1 CE), ya que la resolución impugnada habría podido incurrir en una extralimitación de jurisdicción al reemplazar la valoración técnica hecha por la comisión juzgadora.</w:t>
      </w:r>
    </w:p>
    <w:p w:rsidR="00B85568" w:rsidRDefault="00B85568" w:rsidP="00B85568">
      <w:pPr>
        <w:pStyle w:val="TextoNormal"/>
      </w:pPr>
    </w:p>
    <w:p w:rsidR="00B85568" w:rsidRDefault="00B85568" w:rsidP="00B85568">
      <w:pPr>
        <w:pStyle w:val="TextoNormal"/>
      </w:pPr>
      <w:r>
        <w:t xml:space="preserve">Este Tribunal ha reiterado que ni el art. 24.1 ni el 23.2 CE incorporan en su contenido un pretendido derecho de exclusión del control judicial de la llamada discrecionalidad técnica, ya que, frente a esa discrecionalidad técnica que ha de reconocerse a los órganos de selección,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pero que se trata de una presunción </w:t>
      </w:r>
      <w:r w:rsidRPr="00B85568">
        <w:rPr>
          <w:i/>
        </w:rPr>
        <w:t>iuris tantum</w:t>
      </w:r>
      <w:r>
        <w:t>, que cabe quedar desvirtuada si se acredita la infracción o el desconocimiento del proceder razonable que se presume en el órgano calificador, bien por desviación de poder, arbitrariedad o ausencia de toda justificación del criterio adoptado (STC 86/2004, de 10 de mayo, FJ 3).</w:t>
      </w:r>
    </w:p>
    <w:p w:rsidR="00B85568" w:rsidRDefault="00B85568" w:rsidP="00B85568">
      <w:pPr>
        <w:pStyle w:val="TextoNormal"/>
      </w:pPr>
    </w:p>
    <w:p w:rsidR="00B85568" w:rsidRDefault="00B85568" w:rsidP="00B85568">
      <w:pPr>
        <w:pStyle w:val="TextoNormal"/>
      </w:pPr>
      <w:r>
        <w:t>La decisión judicial impugnada en amparo ha dedicado un amplio análisis de la jurisprudencia constitucional y ordinaria sobre el control jurisdiccional de la discrecionalidad técnica, concluyendo que las exigencias mínimas para que pueda considerarse debidamente motivadas son (i) expresar el material o las fuentes de información sobre las que va a operar el juicio técnico; (i) consignar los criterios de valoración cualitativa que se utilizarán para emitir el juicio técnico; y (iii) expresar por qué la aplicación de esos criterios conduce al resultado individualizado que otorga preferencia a un candidato frente a los demás. En aplicación de esos criterios, la decisión judicial argumenta que la comisión nunca expuso satisfactoriamente la razón de la preferencia por el candidato que según el Tribunal contaba con menos méritos objetivos y las razones de una puntuación que considera comparativamente desproporcionada, concluyendo de ello que la puntuación de la comisión fue arbitraria.</w:t>
      </w:r>
    </w:p>
    <w:p w:rsidR="00B85568" w:rsidRDefault="00B85568" w:rsidP="00B85568">
      <w:pPr>
        <w:pStyle w:val="TextoNormal"/>
      </w:pPr>
    </w:p>
    <w:p w:rsidR="00B85568" w:rsidRDefault="00B85568" w:rsidP="00B85568">
      <w:pPr>
        <w:pStyle w:val="TextoNormal"/>
      </w:pPr>
      <w:r>
        <w:t>Pues bien, en atención a lo expuesto, debe desestimarse el recurso de súplica interpuesto por el Ministerio Fiscal, ya que, a pesar de las legítimas discrepancias que pueden mostrar tanto el recurrente como el Ministerio Fiscal sobre los límites del control jurisdiccional de la discrecionalidad técnica desarrollada en este caso, el razonamiento expuesto en la resolución impugnada pone de manifiesto que el órgano judicial no entró materialmente a sustituir valoraciones técnicas sino que se limitó a corregir una actuación que consideró arbitraria sustentada en la evidencia de que existió una asignación de puntuación desproporcionada para uno de los candidatos.</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19 de febrero de 2014.</w:t>
      </w:r>
    </w:p>
    <w:p w:rsidR="00B85568" w:rsidRDefault="00B85568" w:rsidP="00B85568">
      <w:pPr>
        <w:pStyle w:val="TextoNormal"/>
      </w:pPr>
    </w:p>
    <w:p w:rsidR="00B85568" w:rsidRDefault="00B85568" w:rsidP="00B85568">
      <w:pPr>
        <w:pStyle w:val="TextoNormal"/>
      </w:pPr>
      <w:r>
        <w:t>Madrid, a veinticinco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94" w:name="AUTO_2015_44"/>
      <w:r>
        <w:t>AUTO 44/2015, de 25 de febrero de 2015</w:t>
      </w:r>
    </w:p>
    <w:bookmarkEnd w:id="194"/>
    <w:p w:rsidR="00B85568" w:rsidRDefault="00B85568" w:rsidP="00B85568">
      <w:pPr>
        <w:pStyle w:val="TtuloResolucin"/>
      </w:pPr>
      <w:r>
        <w:t>Sección Primera</w:t>
      </w:r>
    </w:p>
    <w:p w:rsidR="00B85568" w:rsidRDefault="00B85568" w:rsidP="00B85568">
      <w:pPr>
        <w:pStyle w:val="TextoNormalCentrado"/>
      </w:pPr>
      <w:r>
        <w:t>ECLI:ES:TC:2015:44A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6197-2012, promovido por doña María Isabel Hernández Bernal en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2 de noviembre de 2012, el Procurador de los Tribunales don Miguel Torres Álvarez, en nombre y representación de doña María Isabel Hernández Bernal, y bajo la dirección del Letrado don Mario Páez Álvarez, presentó demanda de amparo contra el Auto de la Sección Segunda de la Audiencia Provincial de A Coruña de 19 de septiembre de 2012, por el que se desestima el incidente de nulidad interpuesto contra la Sentencia de 28 de mayo de 2012 que estima el recurso de apelación núm. 576-2012 interpuesto contra la Sentencia del Juzgado de lo Penal núm. 6 de A Coruña de 27 de enero de 2012, dictada en el procedimiento abreviado núm. 298-2010.</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que dieron lugar a este amparo son los siguientes:</w:t>
      </w:r>
    </w:p>
    <w:p w:rsidR="00B85568" w:rsidRDefault="00B85568" w:rsidP="00B85568">
      <w:pPr>
        <w:pStyle w:val="TextoNormal"/>
      </w:pPr>
    </w:p>
    <w:p w:rsidR="00B85568" w:rsidRDefault="00B85568" w:rsidP="00B85568">
      <w:pPr>
        <w:pStyle w:val="TextoNormal"/>
      </w:pPr>
      <w:r>
        <w:t>a) La demandante fue absuelta por Sentencia del Juzgado de lo Penal núm. 6 de A Coruña de 27 de enero de 2012, dictada en el procedimiento abreviado núm. 298-2010, de delito de daños del que era acusada. La Sentencia declara probado que la acusada, con motivo del abandono de un local que tenía arrendado, contrató a una persona para que retirara todos los objetos que consideraba de su propiedad, incluyendo la instalación eléctrica, puertas interiores y el plomo de una habitación de rayos x, para lo que tuvo que romper parte de una pared de pladur, así como otros desperfectos y almacenamiento de escombros. La Sentencia considera que los hechos no son constitutivos de un delito de daños al no concurrir el dolo específicamente delictivo y propio de este delito.</w:t>
      </w:r>
    </w:p>
    <w:p w:rsidR="00B85568" w:rsidRDefault="00B85568" w:rsidP="00B85568">
      <w:pPr>
        <w:pStyle w:val="TextoNormal"/>
      </w:pPr>
    </w:p>
    <w:p w:rsidR="00B85568" w:rsidRDefault="00B85568" w:rsidP="00B85568">
      <w:pPr>
        <w:pStyle w:val="TextoNormal"/>
      </w:pPr>
      <w:r>
        <w:t>b) La acusación particular interpuso recurso de apelación, tramitado con el núm. 576-2012 por la Sección Segunda de la Audiencia Provincial de A Coruña, que fue estimado por Sentencia de 28 de mayo de 2012 condenando, entre otros, a la ahora demandante en amparo como autora de un delito de daños a la pena de multa de seis meses con una cuota diaria de diez euros y al pago de una responsabilidad civil. Esta Sentencia argumenta que, sin necesidad de modificar los hechos probados en respeto a la STC 167/2002, las fotografías unidas a la causa y los informes de la guardia civil y los peritos “evidencian claramente la existencia de daños intencionados, pues son de tal magnitud y entidad que no pueden responder a otra intención”.</w:t>
      </w:r>
    </w:p>
    <w:p w:rsidR="00B85568" w:rsidRDefault="00B85568" w:rsidP="00B85568">
      <w:pPr>
        <w:pStyle w:val="TextoNormal"/>
      </w:pPr>
    </w:p>
    <w:p w:rsidR="00B85568" w:rsidRDefault="00B85568" w:rsidP="00B85568">
      <w:pPr>
        <w:pStyle w:val="TextoNormal"/>
      </w:pPr>
      <w:r>
        <w:t>c) La recurrente formuló incidente de nulidad de actuaciones alegando la vulneración del derecho a un proceso con todas las garantías por entender que había sido condenada en la segunda instancia sin respetar la garantía de inmediación y sin que hubiera sido oída. El incidente fue desestimado por Auto de 19 de septiembre de 2012 argumentando, con cita en la STC 153/2011, de 17 de octubre, que la doctrina constitucional permite la revocación de sentencias absolutorias “cuando el nuevo criterio no implique una nueva y distinta valoración de la prueba personal efectuada por el sentenciados de instancia, como aquí ocurre, en donde se ha mantenido el relato fáctico de la sentencia de instancia”.</w:t>
      </w:r>
    </w:p>
    <w:p w:rsidR="00B85568" w:rsidRDefault="00B85568" w:rsidP="00B85568">
      <w:pPr>
        <w:pStyle w:val="TextoNormal"/>
      </w:pPr>
    </w:p>
    <w:p w:rsidR="00B85568" w:rsidRDefault="00B85568" w:rsidP="00B85568">
      <w:pPr>
        <w:pStyle w:val="TextoNormal"/>
      </w:pPr>
      <w:r w:rsidRPr="00B85568">
        <w:rPr>
          <w:rStyle w:val="NumeroAFNegritaCaracter"/>
        </w:rPr>
        <w:t>3</w:t>
      </w:r>
      <w:r>
        <w:t>. La recurrente aduce en su demanda de amparo que se ha vulnerado su derecho a un proceso con todas las garantías (art. 24.2 CE), por entender que había sido condenada en la segunda instancia sin respetar la garantía de inmediación y sin haber sido oída. En la demanda se justifica la especial trascendencia constitucional del recurso con fundamento en que, de conformidad con lo expuesto en el apartado f) del fundamento jurídico 2 de la STC 155/2009, de 25 de junio, el órgano judicial ha incurrido en una negativa manifiesta del deber de acatamiento de la doctrina constitucional. Argumenta que las citan que se hacen en la resolución impugnada de la jurisprudencia constitucional no son aplicables al caso ya que no se trata de una cuestión de estricta calificación jurídica sino que se varían lo hechos probados y se valoran pruebas personales.</w:t>
      </w:r>
    </w:p>
    <w:p w:rsidR="00B85568" w:rsidRDefault="00B85568" w:rsidP="00B85568">
      <w:pPr>
        <w:pStyle w:val="TextoNormal"/>
      </w:pPr>
    </w:p>
    <w:p w:rsidR="00B85568" w:rsidRDefault="00B85568" w:rsidP="00B85568">
      <w:pPr>
        <w:pStyle w:val="TextoNormal"/>
      </w:pPr>
      <w:r w:rsidRPr="00B85568">
        <w:rPr>
          <w:rStyle w:val="NumeroAFNegritaCaracter"/>
        </w:rPr>
        <w:t>4</w:t>
      </w:r>
      <w:r>
        <w:t>. La Sección Primera de este Tribunal, mediante providencia de 8 de mayo de 2013, acordó no admitir el recurso a trámite, con arreglo a lo previsto en el art. 50.1 b) de la Ley Orgánica del Tribunal Constitucional, dado que no apreciaba especial transcendencia constitucional en el mismo.</w:t>
      </w:r>
    </w:p>
    <w:p w:rsidR="00B85568" w:rsidRDefault="00B85568" w:rsidP="00B85568">
      <w:pPr>
        <w:pStyle w:val="TextoNormal"/>
      </w:pPr>
    </w:p>
    <w:p w:rsidR="00B85568" w:rsidRDefault="00B85568" w:rsidP="00B85568">
      <w:pPr>
        <w:pStyle w:val="TextoNormal"/>
      </w:pPr>
      <w:r w:rsidRPr="00B85568">
        <w:rPr>
          <w:rStyle w:val="NumeroAFNegritaCaracter"/>
        </w:rPr>
        <w:t>5</w:t>
      </w:r>
      <w:r>
        <w:t>. El Ministerio Fiscal, por escrito registrado el 4 de junio de 2013, interpuso recurso de súplica contra dicha providencia, solicitando que fuera dejada sin efecto y se repusieran las actuaciones para que se decidiera nuevamente sobre la admisión de la demanda de amparo. El Ministerio Fiscal expone que la recurrente fundamenta la especial transcendencia constitucional del recurso en una supuesta negativa manifiesta del deber de acatamiento de la doctrina constitucional [STC 155/2009, FJ 2 f)] y que, efectivamente, no cabe apreciar dicha causa de la especial trascendencia por no concurrir una decisión consciente de incumplimiento deliberado, tal como exige la STC 133/2011. Sin embargo, somete a consideración del Tribunal la apreciación de otros factores de la especial trascendencia constitucional como es la incorrecta aplicación generalizada y reiterada de la doctrina constitucional [STC 155/2009, FJ 2 e)], que considera que se pone de manifiesto, por un lado, en el gran número de sentencias estimatorias de amparo a que ha dado lugar las condena en segunda instancia y, por otro, en que ya hay dos pronunciamientos previos de estimación de recursos de amparo en relación con este mismo órgano jurisdiccional (SSTC 177/2008 y 185/2005). Igualmente, afirma que, en el nuevo marco de la jurisprudencia constitucional establecido por la STC 88/2013, referido al derecho de audiencia del acusado, también la demanda adquiriría especial transcendencia constitucional al permitir al Tribunal Constitucional consolidar y profundizar en esa exigencia, máxime en un supuesto que afecta a al alcance de la revisión en casos de discrepancia sobre el elemento subjetivo del injusto.</w:t>
      </w:r>
    </w:p>
    <w:p w:rsidR="00B85568" w:rsidRDefault="00B85568" w:rsidP="00B85568">
      <w:pPr>
        <w:pStyle w:val="TextoNormal"/>
      </w:pPr>
    </w:p>
    <w:p w:rsidR="00B85568" w:rsidRDefault="00B85568" w:rsidP="00B85568">
      <w:pPr>
        <w:pStyle w:val="TextoNormal"/>
      </w:pPr>
      <w:r w:rsidRPr="00B85568">
        <w:rPr>
          <w:rStyle w:val="NumeroAFNegritaCaracter"/>
        </w:rPr>
        <w:t>6</w:t>
      </w:r>
      <w:r>
        <w:t>. La Secretaría de Justicia de la Sección Primera de este Tribunal, por diligencia de ordenación de 5 de junio de 2013, acordó dar traslado del recurso de súplica para alegaciones a la demandante, quien por escrito registrado el 12 de junio de 2013 se adhirió en todos sus términos a los argumentos esgrimidos en dicho recurso.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Ministerio Fiscal sustenta su recurso de súplica en que no cabe afirmar que el recurso carezca de especial trascendencia constitucional, ya que, si bien es cierto que no concurre la negativa manifiesta al deber de acatamiento de la jurisprudencia constitucional alegada por la recurrente en su demanda de amparo, sí que cabe apreciar una incorrecta aplicación generalizada y reiterada de la doctrina constitucional, que se pondría de manifiesto por (i) el alto número de sentencias estimatorias dictadas por el Tribunal Constitucional sobre el particular y (ii) que este mismo órgano judicial ya ha visto desautorizado su proceder en las SSTC 185/2005 y 177/2008. Igualmente, pone de manifiesto que el recurso permitiría consolidar y perfilar (i) la exigencia de audiencia al acusado en estos casos que ha sido establecida en la STC 88/2013, de 11 de abril, y (ii) los supuestos que afectan al alcance de la revisión cuando la discrepancia se produce sobre el elemento subjetivo del injusto.</w:t>
      </w:r>
    </w:p>
    <w:p w:rsidR="00B85568" w:rsidRDefault="00B85568" w:rsidP="00B85568">
      <w:pPr>
        <w:pStyle w:val="TextoNormal"/>
      </w:pPr>
    </w:p>
    <w:p w:rsidR="00B85568" w:rsidRDefault="00B85568" w:rsidP="00B85568">
      <w:pPr>
        <w:pStyle w:val="TextoNormal"/>
      </w:pPr>
      <w:r>
        <w:t xml:space="preserve">Este Tribunal ya ha reiterado que en esta fase de admisión le corresponde apreciar en cada caso la existencia o inexistencia de esa “especial trascendencia constitucional”, esto es, si el contenido del recurso justifica una decisión sobre el fondo, atendiendo, conforme al art. 50.1 b) de la Ley Orgánica del Tribunal Constitucional, a su importancia para la interpretación de la Constitución, para su aplicación o para su general eficacia y para la determinación del contenido y alcance de los derechos fundamentales (entre las últimas, STC 167/2014, de 22 de octubre de 2014). Esta exigencia, por otra parte, ha sido considerada por el Tribunal Europeo de Derechos Humanos como respetuosa con las garantías del art. 6.1 del Convenio europeo para la protección de los derechos humanos y de las libertades fundamentales (STEDH de 20 de enero de 2015, caso </w:t>
      </w:r>
      <w:r w:rsidRPr="00B85568">
        <w:rPr>
          <w:i/>
        </w:rPr>
        <w:t>Arribas Anton contra España</w:t>
      </w:r>
      <w:r>
        <w:t>, §§ 50-52).</w:t>
      </w:r>
    </w:p>
    <w:p w:rsidR="00B85568" w:rsidRDefault="00B85568" w:rsidP="00B85568">
      <w:pPr>
        <w:pStyle w:val="TextoNormal"/>
      </w:pPr>
    </w:p>
    <w:p w:rsidR="00B85568" w:rsidRDefault="00B85568" w:rsidP="00B85568">
      <w:pPr>
        <w:pStyle w:val="TextoNormal"/>
      </w:pPr>
      <w:r>
        <w:t>En aplicación de esa potestad, este Tribunal, al acordar la inadmisión del presente recurso por falta de especial trascendencia constitucional, ya ponderó la concurrencia de ese requisito de admisibilidad no solo desde la perspectiva alegada por el recurrente de una eventual negativa manifiesta del deber de acatamiento a la jurisprudencia constitucional que, como afirma el Ministerio Fiscal, no cabe apreciarla en este caso, sino también desde el resto de los supuesto destacados en la STC 155/2009, de 25 de junio, FJ 2. Con motivo del recurso de súplica interpuesto por el Ministerio Fiscal, y atendiendo a las concretas causas que alega, este Tribunal debe ahora confirmar su inicial apreciación de que el presente recurso no cuenta con la necesaria especial trascendencia constitucional.</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Por lo que se refiere a que el presente recurso permitiría consolidar y perfilar la exigencia de audiencia al acusado y las posibilidades de revocación </w:t>
      </w:r>
      <w:r w:rsidRPr="00B85568">
        <w:rPr>
          <w:i/>
        </w:rPr>
        <w:t>inaudita parte</w:t>
      </w:r>
      <w:r>
        <w:t xml:space="preserve"> en caso de controversia sobre el elemento subjetivo del delito, hay que afirmar que la jurisprudencia sobre esta exigencia de audiencia, como bien se resume en la citada STC 88/2013, tiene su origen en la STC 184/2009, habiendo sido después aplicada y concretada en numerosas resoluciones (SSTC 45/2011, de 11 de abril, 142/2011, de 26 de septiembre, 153/2011, de 17 de octubre, o 126/2012, de 18 de junio), representado la STC 88/2013 una compilación de pronunciamiento, que tiene su continuidad en las SSTC 157/2013, de 23 de septiembre, y 205/2013, de 5 de diciembre. Por otra parte, también puede verificarse que ya la mayoría de estos pronunciamientos, a coincidencia con el presente, se referían a supuestos en que la cuestión controvertida era, precisamente, la subsunción de un elemento subjetivo del delito (así, SSTC 142/2011, 153/2011, 126/2011, o 88/2013). Por tanto, ante esta proliferación de pronunciamientos no cabe apreciar la necesidad de la admisión de nuevos asuntos con la finalidad de concretar o perfilar una jurisprudencia que ya está consolidada.</w:t>
      </w:r>
    </w:p>
    <w:p w:rsidR="00B85568" w:rsidRDefault="00B85568" w:rsidP="00B85568">
      <w:pPr>
        <w:pStyle w:val="TextoNormal"/>
      </w:pPr>
    </w:p>
    <w:p w:rsidR="00B85568" w:rsidRDefault="00B85568" w:rsidP="00B85568">
      <w:pPr>
        <w:pStyle w:val="TextoNormal"/>
      </w:pPr>
      <w:r>
        <w:t>En segundo lugar, tampoco cabe apreciar la alegada inaplicación generalizada y reiterada de esta doctrina constitucional, vinculada al alto número de sentencias estimatorias dictadas por el Tribunal Constitucional sobre el particular o a la circunstancia de que el órgano judicial que dictó la resolución recurrida en el presente recurso de amparo ya ha visto desautorizado su proceder en las SSTC 185/2005 y 177/2008. Este Tribunal desde la inicial STC 167/2002, de 18 de septiembre, ha resuelto un buen número de asuntos para afrontar una cuestión que por su confusa regulación legal había dado lugar a una alta litigiosidad en la jurisdicción de amparo. Ahora bien, desde aquel pronunciamiento no cabe considerar acreditado que, a pesar de que no ha existido ninguna intervención del legislador, no haya existido una modificación general de las prácticas de los órganos judiciales para adecuar su actuación a esta jurisprudencia constitucional en los términos establecidos en el art. 5.1 de la Ley Orgánica del Poder Judicial. De hecho, y por lo que se refiere, al concreto órgano judicial cuya resolución se impugna en el presente recurso de amparo, si bien es cierto lo señalado por el Ministerio Fiscal respecto de las anulación de sus resoluciones en las SSTC 185/2005 y 177/2008, en momentos de consolidación de esta jurisprudencia, también cabe destacar que en la STC 153/2011, de 17 de octubre, se confirmó otra de sus resoluciones.</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8 de mayo de 2013.</w:t>
      </w:r>
    </w:p>
    <w:p w:rsidR="00B85568" w:rsidRDefault="00B85568" w:rsidP="00B85568">
      <w:pPr>
        <w:pStyle w:val="TextoNormal"/>
      </w:pPr>
    </w:p>
    <w:p w:rsidR="00B85568" w:rsidRDefault="00B85568" w:rsidP="00B85568">
      <w:pPr>
        <w:pStyle w:val="TextoNormal"/>
      </w:pPr>
      <w:r>
        <w:t>Madrid, a veinticinco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95" w:name="AUTO_2015_45"/>
      <w:r>
        <w:t>AUTO 45/2015, de 25 de febrero de 2015</w:t>
      </w:r>
    </w:p>
    <w:bookmarkEnd w:id="195"/>
    <w:p w:rsidR="00B85568" w:rsidRDefault="00B85568" w:rsidP="00B85568">
      <w:pPr>
        <w:pStyle w:val="TtuloResolucin"/>
      </w:pPr>
      <w:r>
        <w:t>Sección Primera</w:t>
      </w:r>
    </w:p>
    <w:p w:rsidR="00B85568" w:rsidRDefault="00B85568" w:rsidP="00B85568">
      <w:pPr>
        <w:pStyle w:val="TextoNormalCentrado"/>
      </w:pPr>
      <w:r>
        <w:t>ECLI:ES:TC:2015:45A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6141-2013, promovido por don Ángel Rubio Pablos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18 de octubre de 2013, el Procurador de los Tribunales don Antonio de Palma Villalón, en nombre y representación de don Ángel Rubio Pablos, y bajo la dirección del Letrado don Alcestes Cervera Martín, presentó demanda de amparo contra el Auto de la Sección Segunda de la Sala de lo Contencioso-Administrativo del Tribunal Superior de Justicia de Madrid de 31 de julio de 2013, por el que se desestima el incidente de nulidad interpuesto contra la Sentencia de 6 de marzo de 2013, que estima el recurso de apelación núm. 951-2012 interpuesto contra la Sentencia del Juzgado de lo Contencioso-Administrativo núm. 32 de Madrid de 9 de febrero de 2012, dictada en el procedimiento abreviado núm. 5-2010.</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que dieron lugar a este amparo son los siguientes:</w:t>
      </w:r>
    </w:p>
    <w:p w:rsidR="00B85568" w:rsidRDefault="00B85568" w:rsidP="00B85568">
      <w:pPr>
        <w:pStyle w:val="TextoNormal"/>
      </w:pPr>
    </w:p>
    <w:p w:rsidR="00B85568" w:rsidRDefault="00B85568" w:rsidP="00B85568">
      <w:pPr>
        <w:pStyle w:val="TextoNormal"/>
      </w:pPr>
      <w:r>
        <w:t>a) El Juzgado de lo Contencioso-Administrativo núm. 32 de Madrid, por Sentencia de 9 de febrero de 2011, dictada en el procedimiento abreviado núm. 5-2010, estimó parcialmente el recurso interpuesto por el recurrente contra la decisión del Ayuntamiento de Alcobendas sobre derivación de responsabilidad por deudas tributarias de una empresa por su condición de administrador, y condenó al recurrente al pago de la deuda exclusivamente referida a los periodos desde el 29 de junio de 1992 hasta el 20 de enero de 1993 y desde el 24 de enero de 1996 hasta el 16 de noviembre de 2000.</w:t>
      </w:r>
    </w:p>
    <w:p w:rsidR="00B85568" w:rsidRDefault="00B85568" w:rsidP="00B85568">
      <w:pPr>
        <w:pStyle w:val="TextoNormal"/>
      </w:pPr>
    </w:p>
    <w:p w:rsidR="00B85568" w:rsidRDefault="00B85568" w:rsidP="00B85568">
      <w:pPr>
        <w:pStyle w:val="TextoNormal"/>
      </w:pPr>
      <w:r>
        <w:t>b) Interpuesto recurso de apelación, tramitado con el núm. 951-2012 por la Sección Segunda de la Sala de lo Contencioso-Administrativo del Tribunal Superior de Justicia de Madrid, fue estimada la adhesión a la apelación formulada por el Ayuntamiento de Alcobendas, por Sentencia de 6 de marzo de 2013, en la que se acordó confirmar la responsabilidad subsidiaria del recurrente por el impago tributario de los periodos 1992 a 1996 y desde 1998 a 2007. En el fundamento de derecho tercero de la Sentencia se razona que no cabe limitar la responsabilidad del recurrente a 1997 con motivo del nombramiento de una nueva administradora, ya que a pesar de que en dicha fecha lo que se verificó era su reelección, pues constaba inscrito el nombramiento desde 1991, el recurrente ha venido actuado como administrador de Derecho o de hecho. Del mismo modo en el fundamento de derecho quinto de la Sentencia se razona que no cabe excluir la responsabilidad (i) durante el periodo de intervención judicial (21 de enero de 1993 a 23 de noviembre de 1996), argumentando que conforme jurisprudencia del Tribunal Supremo, que expresamente cita, la declaración de suspensión de pagos no produce limitación alguna de la capacidad jurídica del suspenso; ni (ii) desde el 16 de noviembre de 2000, argumentando que, a pesar de que en tal fecha aparezca la nota marginal de caducidad del nombramiento de todos los consejeros en el Registro Mercantil, ello no determina la pérdida automática de la condición de administrador, quedando quien la ostenta obligado a adoptar la medidas oportunas para que se nombre o se revoque el nombramiento. Igualmente se razona la posibilidad de derivación de responsabilidad para el administrador de hecho u oculto que sería la situación del caso en que la empresa no presentó un cese masivo de administradores para su inscripción en el año 2000 sino en 2006.</w:t>
      </w:r>
    </w:p>
    <w:p w:rsidR="00B85568" w:rsidRDefault="00B85568" w:rsidP="00B85568">
      <w:pPr>
        <w:pStyle w:val="TextoNormal"/>
      </w:pPr>
    </w:p>
    <w:p w:rsidR="00B85568" w:rsidRDefault="00B85568" w:rsidP="00B85568">
      <w:pPr>
        <w:pStyle w:val="TextoNormal"/>
      </w:pPr>
      <w:r>
        <w:t>c) El recurrente en amparo interpuso incidente de nulidad de actuaciones, alegando que la Sentencia vulneraba su derecho a la tutela judicial efectiva al incurrir en error patente, por no atender a la circunstancia de que desde 1997 se había producido el nombramiento de un nuevo administrador, y arbitrariedad, al negar relevancia al hecho de que la sociedad estuviera en un determinado periodo en suspensión. El incidente fue desestimado por Auto de 31 de julio de 2013, negando que haya existido lesión del art. 24.1 CE al haberse dado razonada respuesta a las cuestiones planteadas.</w:t>
      </w:r>
    </w:p>
    <w:p w:rsidR="00B85568" w:rsidRDefault="00B85568" w:rsidP="00B85568">
      <w:pPr>
        <w:pStyle w:val="TextoNormal"/>
      </w:pPr>
    </w:p>
    <w:p w:rsidR="00B85568" w:rsidRDefault="00B85568" w:rsidP="00B85568">
      <w:pPr>
        <w:pStyle w:val="TextoNormal"/>
      </w:pPr>
      <w:r w:rsidRPr="00B85568">
        <w:rPr>
          <w:rStyle w:val="NumeroAFNegritaCaracter"/>
        </w:rPr>
        <w:t>3</w:t>
      </w:r>
      <w:r>
        <w:t>. El demandante en amparo invoca el derecho a la tutela judicial efectiva (art. 24.1 CE), con fundamento, entre otros argumentos, en que no se han motivado suficientemente la conclusión referida a la concurrencia de su condición de administrador de la sociedad como presupuesto necesario para la derivación de responsabilidad tributaria.</w:t>
      </w:r>
    </w:p>
    <w:p w:rsidR="00B85568" w:rsidRDefault="00B85568" w:rsidP="00B85568">
      <w:pPr>
        <w:pStyle w:val="TextoNormal"/>
      </w:pPr>
    </w:p>
    <w:p w:rsidR="00B85568" w:rsidRDefault="00B85568" w:rsidP="00B85568">
      <w:pPr>
        <w:pStyle w:val="TextoNormal"/>
      </w:pPr>
      <w:r w:rsidRPr="00B85568">
        <w:rPr>
          <w:rStyle w:val="NumeroAFNegritaCaracter"/>
        </w:rPr>
        <w:t>4</w:t>
      </w:r>
      <w:r>
        <w:t>. La Sección Primera de este Tribunal, mediante providencia de 23 de abril de 2014, acordó no admitir el recurso a trámite, con arreglo a lo previsto en el art. 50.1 a) de la Ley Orgánica del Tribunal Constitucional, dada la manifiesta inexistencia de violación de un derecho fundamental tutelable en amparo.</w:t>
      </w:r>
    </w:p>
    <w:p w:rsidR="00B85568" w:rsidRDefault="00B85568" w:rsidP="00B85568">
      <w:pPr>
        <w:pStyle w:val="TextoNormal"/>
      </w:pPr>
    </w:p>
    <w:p w:rsidR="00B85568" w:rsidRDefault="00B85568" w:rsidP="00B85568">
      <w:pPr>
        <w:pStyle w:val="TextoNormal"/>
      </w:pPr>
      <w:r w:rsidRPr="00B85568">
        <w:rPr>
          <w:rStyle w:val="NumeroAFNegritaCaracter"/>
        </w:rPr>
        <w:t>5</w:t>
      </w:r>
      <w:r>
        <w:t>. El Ministerio Fiscal, por escrito registrado el 20 de mayo de 2014, interpuso recurso de súplica contra dicha providencia, solicitando que fuera dejada sin efecto y se repusieran las actuaciones para que se decidiera nuevamente sobre la admisión de la demanda de amparo. Se argumenta que no cabe afirmar una manifiesta inexistencia de la vulneración del art. 24.1 CE, ya que existiría un déficit de motivación respecto de la condición de administrador del recurrente desde 1997 y hasta el 2007 que la resolución de apelación considera acreditado pues “la Sala no explica suficientemente cuales son aquellas pruebas de las que inferir las conclusiones a las que llega”.</w:t>
      </w:r>
    </w:p>
    <w:p w:rsidR="00B85568" w:rsidRDefault="00B85568" w:rsidP="00B85568">
      <w:pPr>
        <w:pStyle w:val="TextoNormal"/>
      </w:pPr>
    </w:p>
    <w:p w:rsidR="00B85568" w:rsidRDefault="00B85568" w:rsidP="00B85568">
      <w:pPr>
        <w:pStyle w:val="TextoNormal"/>
      </w:pPr>
      <w:r w:rsidRPr="00B85568">
        <w:rPr>
          <w:rStyle w:val="NumeroAFNegritaCaracter"/>
        </w:rPr>
        <w:t>6</w:t>
      </w:r>
      <w:r>
        <w:t>. La Secretaría de Justicia de la Sección Primera de este Tribunal, por diligencia de ordenación de 22 de mayo de 2014, acordó dar traslado del recurso de súplica para alegaciones al demandante, quien no presentó alegaciones.</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Ministerio Fiscal sustenta su recurso de súplica en que no cabe afirmar una manifiesta inexistencia de la vulneración del derecho a la tutela judicial efectiva (art. 24.1 CE), ya que la resolución impugnada no habría cumplido con el deber constitucional de motivación al establecer la condición de administrador del recurrente desde 1997 y hasta el 2007.</w:t>
      </w:r>
    </w:p>
    <w:p w:rsidR="00B85568" w:rsidRDefault="00B85568" w:rsidP="00B85568">
      <w:pPr>
        <w:pStyle w:val="TextoNormal"/>
      </w:pPr>
    </w:p>
    <w:p w:rsidR="00B85568" w:rsidRDefault="00B85568" w:rsidP="00B85568">
      <w:pPr>
        <w:pStyle w:val="TextoNormal"/>
      </w:pPr>
      <w:r>
        <w:t>Este Tribunal ha reiterado que el derecho a obtener una resolución fundada en derecho, favorable o adversa, es garantía frente a la arbitrariedad e irrazonabilidad de los poderes públicos, lo que implica que (i) la resolución ha de estar motivada, es decir, contener los elementos y razones de juicio que permitan conocer cuáles han sido los criterios jurídicos que fundamentan la decisión; y (ii) que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(STC 48/2014, de 7 de abril, FJ 3).</w:t>
      </w:r>
    </w:p>
    <w:p w:rsidR="00B85568" w:rsidRDefault="00B85568" w:rsidP="00B85568">
      <w:pPr>
        <w:pStyle w:val="TextoNormal"/>
      </w:pPr>
    </w:p>
    <w:p w:rsidR="00B85568" w:rsidRDefault="00B85568" w:rsidP="00B85568">
      <w:pPr>
        <w:pStyle w:val="TextoNormal"/>
      </w:pPr>
      <w:r>
        <w:t>La decisión judicial impugnada, como se ha expuesto más ampliamente en los antecedentes, hizo expresas las razones para entender que no cabía limitar la responsabilidad del recurrente a 1997 con motivo del nombramiento de una nueva administradora, afirmando que había quedado acreditado con el análisis de las actuaciones que había venido actuado con posterioridad como administrador de derecho o de hecho de la sociedad (fundamento de derecho tercero). Del mismo modo, se razona que no cabe excluir la responsabilidad durante el periodo de intervención judicial, con el argumento de que una declaración de suspensión de pagos no produce limitación alguna de la capacidad jurídica del suspenso; ni a partir de la fecha de inscripción de la nota marginal de caducidad del nombramiento de todos los consejeros en el Registro Mercantil, al no ser determinante de una pérdida automática de la condición de administrador y poder responderse como administrador de hecho u oculto que sería la situación del caso en que la empresa no presentó un cese masivo de administradores hasta 2006.</w:t>
      </w:r>
    </w:p>
    <w:p w:rsidR="00B85568" w:rsidRDefault="00B85568" w:rsidP="00B85568">
      <w:pPr>
        <w:pStyle w:val="TextoNormal"/>
      </w:pPr>
    </w:p>
    <w:p w:rsidR="00B85568" w:rsidRDefault="00B85568" w:rsidP="00B85568">
      <w:pPr>
        <w:pStyle w:val="TextoNormal"/>
      </w:pPr>
      <w:r>
        <w:t>Pues bien, en atención a lo expuesto, debe desestimarse el recurso de súplica interpuesto por el Ministerio Fiscal, ya que, a pesar de las legítimas discrepancias que pueden mostrar tanto el recurrente como el Ministerio Fiscal respecto de contenido de esta argumentación, los razonamientos expuesto en la resolución impugnada sobre el particular ponen de manifiesto que el órgano judicial ha dado una respuesta a las alegaciones y pretensiones formuladas y que lo ha hechos aduciendo consideraciones fácticas y jurídicas en que no quedan acreditados los defectos de motivación alegados.</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23 de abril de 2014.</w:t>
      </w:r>
    </w:p>
    <w:p w:rsidR="00B85568" w:rsidRDefault="00B85568" w:rsidP="00B85568">
      <w:pPr>
        <w:pStyle w:val="TextoNormal"/>
      </w:pPr>
    </w:p>
    <w:p w:rsidR="00B85568" w:rsidRDefault="00B85568" w:rsidP="00B85568">
      <w:pPr>
        <w:pStyle w:val="TextoNormal"/>
      </w:pPr>
      <w:r>
        <w:t>Madrid, a veinticinco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96" w:name="AUTO_2015_46"/>
      <w:r>
        <w:t>AUTO 46/2015, de 25 de febrero de 2015</w:t>
      </w:r>
    </w:p>
    <w:bookmarkEnd w:id="196"/>
    <w:p w:rsidR="00B85568" w:rsidRDefault="00B85568" w:rsidP="00B85568">
      <w:pPr>
        <w:pStyle w:val="TtuloResolucin"/>
      </w:pPr>
      <w:r>
        <w:t>Sección Primera</w:t>
      </w:r>
    </w:p>
    <w:p w:rsidR="00B85568" w:rsidRDefault="00B85568" w:rsidP="00B85568">
      <w:pPr>
        <w:pStyle w:val="TextoNormalCentrado"/>
      </w:pPr>
      <w:r>
        <w:t>ECLI:ES:TC:2015:46A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97" w:name="AUTO_2015_47"/>
      <w:r>
        <w:t>AUTO 47/2015, de 25 de febrero de 2015</w:t>
      </w:r>
    </w:p>
    <w:bookmarkEnd w:id="197"/>
    <w:p w:rsidR="00B85568" w:rsidRDefault="00B85568" w:rsidP="00B85568">
      <w:pPr>
        <w:pStyle w:val="TtuloResolucin"/>
      </w:pPr>
      <w:r>
        <w:t>Sección Primera</w:t>
      </w:r>
    </w:p>
    <w:p w:rsidR="00B85568" w:rsidRDefault="00B85568" w:rsidP="00B85568">
      <w:pPr>
        <w:pStyle w:val="TextoNormalCentrado"/>
      </w:pPr>
      <w:r>
        <w:t>ECLI:ES:TC:2015:47A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198" w:name="AUTO_2015_48"/>
      <w:r>
        <w:t>AUTO 48/2015, de 26 de febrero de 2015</w:t>
      </w:r>
    </w:p>
    <w:bookmarkEnd w:id="198"/>
    <w:p w:rsidR="00B85568" w:rsidRDefault="00B85568" w:rsidP="00B85568">
      <w:pPr>
        <w:pStyle w:val="TtuloResolucin"/>
      </w:pPr>
      <w:r>
        <w:t>Sección Cuarta</w:t>
      </w:r>
    </w:p>
    <w:p w:rsidR="00B85568" w:rsidRDefault="00B85568" w:rsidP="00B85568">
      <w:pPr>
        <w:pStyle w:val="TextoNormalCentrado"/>
      </w:pPr>
      <w:r>
        <w:t>ECLI:ES:TC:2015:48A</w:t>
      </w:r>
    </w:p>
    <w:p w:rsidR="00B85568" w:rsidRDefault="00B85568" w:rsidP="00B85568">
      <w:pPr>
        <w:pStyle w:val="TextoNormalCentrado"/>
      </w:pPr>
    </w:p>
    <w:p w:rsidR="00B85568" w:rsidRDefault="00B85568" w:rsidP="00B85568">
      <w:pPr>
        <w:pStyle w:val="SntesisDescriptiva"/>
      </w:pPr>
      <w:r>
        <w:t>Excms. Srs. don Fernando Valdés Dal-Ré y don Antonio Narváez Rodríguez.</w:t>
      </w:r>
    </w:p>
    <w:p w:rsidR="00B85568" w:rsidRDefault="00B85568" w:rsidP="00B85568">
      <w:pPr>
        <w:pStyle w:val="SntesisDescriptiva"/>
      </w:pPr>
    </w:p>
    <w:p w:rsidR="00B85568" w:rsidRDefault="00B85568" w:rsidP="00B85568">
      <w:pPr>
        <w:pStyle w:val="SntesisDescriptiva"/>
      </w:pPr>
      <w:r>
        <w:t>Acepta una abstención en el recurso de amparo 5904-2014, promovido por don Rafael Faet Oltra en pleito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presente recurso de amparo se impugnan providencias de 28 de mayo y 1 de julio de 2014 dictadas por la Sala Especial —art.61 de la Ley Orgánica del Poder Judicial— del Tribunal Supremo dictadas en el procedimiento de error judicial núm. A61-0000010-2005.</w:t>
      </w:r>
    </w:p>
    <w:p w:rsidR="00B85568" w:rsidRDefault="00B85568" w:rsidP="00B85568">
      <w:pPr>
        <w:pStyle w:val="TextoNormal"/>
      </w:pPr>
    </w:p>
    <w:p w:rsidR="00B85568" w:rsidRDefault="00B85568" w:rsidP="00B85568">
      <w:pPr>
        <w:pStyle w:val="TextoNormal"/>
      </w:pPr>
      <w:r>
        <w:t>Mediante escrito fechado el 26 de febrero de 2015 el Magistrado don Ricardo Enríquez Sancho comunicó a los efectos oportunos que se abstenía de intervenir en el antes indicado recurso de amparo, de conformidad con el art. 80 de la Ley Orgánica del Tribunal Constitucional, por haber formado parte de la Sala Especial art.61 de la Ley Orgánica del Poder Judicial del Tribunal Supremo, que dictó el Auto de 10 de febrero de 2014, resolución de la que traen causa las providencias de 28 de mayo y 1 de julio de 2014 dictadas en el procedimiento de error judicial A61-0000010-2005, resoluciones impugnadas en el presente recurso de amparo núm. 5904-2014.</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Ricardo Enríquez Sancho, Magistrado de esta Sección Cuarta del Tribunal Constitucional, la Sección, en virtud de lo previsto en el art. 219.11 de la Ley Orgánica del Poder Judicial (LOPJ), supletoria de la Ley Orgánica del Tribunal Constitucional (art. 80), estima justificada la causa de abstención formulada, puesto que el mencionado Magistrado formó parte de la Sala Especial art.61 LOPJ del Tribunal Supremo que dictó el Auto de 10 de febrero de 2014, en el procedimiento de error judicial núm. A61-0000010-20051, resolución de la que traen causa las providencias de 28 de mayo y 1 de julio de 2014, que han sido impugnadas en el presente recurso de amparo 5904-2014.</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Ricardo Enríquez Sancho en el recurso de amparo núm. 5904-2014,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veintiséis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199" w:name="AUTO_2015_49"/>
      <w:r>
        <w:t>AUTO 49/2015, de 27 de febrero de 2015</w:t>
      </w:r>
    </w:p>
    <w:bookmarkEnd w:id="199"/>
    <w:p w:rsidR="00B85568" w:rsidRDefault="00B85568" w:rsidP="00B85568">
      <w:pPr>
        <w:pStyle w:val="TtuloResolucin"/>
      </w:pPr>
      <w:r>
        <w:t>Sección Cuarta</w:t>
      </w:r>
    </w:p>
    <w:p w:rsidR="00B85568" w:rsidRDefault="00B85568" w:rsidP="00B85568">
      <w:pPr>
        <w:pStyle w:val="TextoNormalCentrado"/>
      </w:pPr>
      <w:r>
        <w:t>ECLI:ES:TC:2015:49A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la solicitud de nulidad de actuaciones y estima el recurso de súplica del Ministerio Fiscal sobre inadmisión del recurso de amparo 2407-2013, promovido por doña Dolores Mayor Sánchez y otras personas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22 de abril de 2013, se dedujo recurso de amparo frente a la Sentencia de 3 de diciembre de 2012, dictada por la Sección Sexta de la Sala de lo Contencioso-Administrativo del Tribunal Supremo en el recurso de casación núm. 4434-2010, dimanante del recurso contencioso-administrativo núm. 363-2008 de la Sala del mismo orden jurisdiccional del Tribunal Superior de Justicia de la Comunidad Valenciana.</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de los que trae causa el recurso de amparo son, sucintamente expuestos, los siguientes:</w:t>
      </w:r>
    </w:p>
    <w:p w:rsidR="00B85568" w:rsidRDefault="00B85568" w:rsidP="00B85568">
      <w:pPr>
        <w:pStyle w:val="TextoNormal"/>
      </w:pPr>
    </w:p>
    <w:p w:rsidR="00B85568" w:rsidRDefault="00B85568" w:rsidP="00B85568">
      <w:pPr>
        <w:pStyle w:val="TextoNormal"/>
      </w:pPr>
      <w:r>
        <w:t>a) Los recurrentes eran dueños de una superficie de terreno en su día expropiada por la Generalitat Valenciana. Después de esa expropiación, y al constatar que se había modificado la clasificación urbanística del terreno pasando éste de la situación de suelo no urbanizable a la situación de suelo urbanizable, y siendo además ese suelo, según la parte, destinado a la construcción de apartamentos de lujo, decidieron presentar una reclamación de responsabilidad patrimonial contra la Generalitat al amparo de los arts. 106.2 CE y 139 y ss. de la Ley 30/1992, de 26 de noviembre, de régimen jurídico de las Administraciones públicas y del procedimiento administrativo común.</w:t>
      </w:r>
    </w:p>
    <w:p w:rsidR="00B85568" w:rsidRDefault="00B85568" w:rsidP="00B85568">
      <w:pPr>
        <w:pStyle w:val="TextoNormal"/>
      </w:pPr>
    </w:p>
    <w:p w:rsidR="00B85568" w:rsidRDefault="00B85568" w:rsidP="00B85568">
      <w:pPr>
        <w:pStyle w:val="TextoNormal"/>
      </w:pPr>
      <w:r>
        <w:t>b) Denegada su pretensión en vía administrativa, los recurrentes interpusieron contra esa resolución recurso contencioso-administrativo que fue tramitado ante la Sala de ese orden jurisdiccional del Tribunal Superior de Justicia de la Comunidad Valenciana. Dicho recurso terminó por Sentencia de 14 de mayo de 2010 contraria a sus intereses. Se razonaba en esa Sentencia, básicamente, que la desaparición sobrevenida de la causa que había justificado la expropiación tiene su remedio en el instituto legal de la reversión, pero que transcurrido el plazo previsto en la Ley para ejercitar ese derecho, la responsabilidad patrimonial reclamada es inexistente puesto que no hay lesión resarcible de ningún tipo, esencialmente por no ser ya los recurrentes dueños del terreno en su día expropiado.</w:t>
      </w:r>
    </w:p>
    <w:p w:rsidR="00B85568" w:rsidRDefault="00B85568" w:rsidP="00B85568">
      <w:pPr>
        <w:pStyle w:val="TextoNormal"/>
      </w:pPr>
    </w:p>
    <w:p w:rsidR="00B85568" w:rsidRDefault="00B85568" w:rsidP="00B85568">
      <w:pPr>
        <w:pStyle w:val="TextoNormal"/>
      </w:pPr>
      <w:r>
        <w:t>c) Contra esta Sentencia interpusieron los recurrentes recurso de casación ante el Tribunal Supremo denunciando como motivos de casación primero y quinto (únicos que a estos efectos interesan) los dos siguientes. En primer lugar, el “quebrantamiento de las normas esenciales del juicio por infracción de las normas reguladoras de la sentencia: incumplimiento del art. 33.2 LJCA”, argumentándose en este motivo que la Sala de Valencia había desestimado su recurso con apoyo en un motivo que según la parte nunca se había opuesto por la Administración demandada. Y en segundo lugar, la “infracción de las normas de la jurisprudencia”, denunciando la vulneración por la Sentencia recurrida de las Sentencias del Tribunal Supremo de 21 de septiembre de 2002, 22 de diciembre de 2005 y 14 de noviembre de 2006. Se extractaban en el escrito de interposición del recurso de casación partes de esas Sentencias y se confrontaban esos pasajes extractados con la solución que había dado su reclamación la Sentencia recurrida.</w:t>
      </w:r>
    </w:p>
    <w:p w:rsidR="00B85568" w:rsidRDefault="00B85568" w:rsidP="00B85568">
      <w:pPr>
        <w:pStyle w:val="TextoNormal"/>
      </w:pPr>
    </w:p>
    <w:p w:rsidR="00B85568" w:rsidRDefault="00B85568" w:rsidP="00B85568">
      <w:pPr>
        <w:pStyle w:val="TextoNormal"/>
      </w:pPr>
      <w:r>
        <w:t>d) La Sección Sexta de la Sala de lo Contencioso-Administrativo del Tribunal Supremo desestimó el recurso de casación haciendo concreta referencia a los dos motivos antes indicados por Sentencia de 3 de diciembre de 2012.</w:t>
      </w:r>
    </w:p>
    <w:p w:rsidR="00B85568" w:rsidRDefault="00B85568" w:rsidP="00B85568">
      <w:pPr>
        <w:pStyle w:val="TextoNormal"/>
      </w:pPr>
    </w:p>
    <w:p w:rsidR="00B85568" w:rsidRDefault="00B85568" w:rsidP="00B85568">
      <w:pPr>
        <w:pStyle w:val="TextoNormal"/>
      </w:pPr>
      <w:r>
        <w:t>e) Frente a dicha Sentencia, los recurrentes promovieron incidente de nulidad de actuaciones denunciando, básicamente, y bajo la común cobertura del art. 24.1 CE, que la Sentencia del Tribunal Supremo había incumplido el trámite de la audiencia previa del art. 33.2 de la Ley reguladora de la jurisdicción contencioso-administrativa (LJCA) —precepto citado como infringido en el primer motivo de casación— y que la motivación que había dado para desestimar la vulneración de las tres Sentencias indicadas era apodíctica e insuficiente, pues solamente se justificaba la desestimación del motivo con la siguiente explicación: “[L]as Sentencias de esta Sala cuya doctrina se considera infringida abordan cuestiones ajenas a las aquí debatidas, sin que se pueda extraer de ellas las consecuencias que pretende la parte” (FJ 5, último párrafo).</w:t>
      </w:r>
    </w:p>
    <w:p w:rsidR="00B85568" w:rsidRDefault="00B85568" w:rsidP="00B85568">
      <w:pPr>
        <w:pStyle w:val="TextoNormal"/>
      </w:pPr>
    </w:p>
    <w:p w:rsidR="00B85568" w:rsidRDefault="00B85568" w:rsidP="00B85568">
      <w:pPr>
        <w:pStyle w:val="TextoNormal"/>
      </w:pPr>
      <w:r>
        <w:t>d) Por providencia de 5 de marzo de 2013 la misma Sección Sexta de la Sala Tercera del Tribunal Supremo inadmitió el incidente de nulidad de actuaciones, razonando, en esencia, que la invocación del art. 24.1 CE era un mero pretexto de la parte para exponer su desacuerdo con la Sentencia dictada y que el derecho a la motivación de las Sentencias derivado del art. 24.1 CE no garantiza una respuesta pormenorizada y exhaustiva a todos los aspectos de las alegaciones de las partes, sino solamente el conocimiento de las razones que habían conducido al fallo. Se entendía, por consiguiente, improcedentemente utilizado ese incidente excepcional regulado en el art. 241.1 de la Ley Orgánica del Poder Judicial.</w:t>
      </w:r>
    </w:p>
    <w:p w:rsidR="00B85568" w:rsidRDefault="00B85568" w:rsidP="00B85568">
      <w:pPr>
        <w:pStyle w:val="TextoNormal"/>
      </w:pPr>
    </w:p>
    <w:p w:rsidR="00B85568" w:rsidRDefault="00B85568" w:rsidP="00B85568">
      <w:pPr>
        <w:pStyle w:val="TextoNormal"/>
      </w:pPr>
      <w:r>
        <w:t>e) En la demanda de amparo, los recurrentes sostienen que la Sentencia del Tribunal Supremo de 3 de diciembre de 2012 ha vulnerado su derecho a la tutela judicial efectiva garantizado en el art. 24.1 CE por el “incumplimiento de la audiencia previa del art. 33.2 LJCA” y por “falta de motivación”. Imputan las dos lesiones, directamente, a la referida Sentencia de casación, y por lo que se refiere en concreto a la segunda, falta de motivación, la proyectan sobre dos alegatos vertidos en su recurso de casación y que consideran no respondidos o defectuosamente resueltos, que son, por un lado, el incumplimiento del requisito de notificar personalmente a los interesados la posibilidad de solicitar la reversión de los terrenos y, por otro, el rechazo en bloque de las Sentencias del Tribunal Supremo invocadas en apoyo del motivo quinto del escrito de interposición. Añadiendo como tercer submotivo el apartamiento sin explicación alguna del criterio mantenido por el órgano judicial en supuestos anteriores sustancialmente iguales.</w:t>
      </w:r>
    </w:p>
    <w:p w:rsidR="00B85568" w:rsidRDefault="00B85568" w:rsidP="00B85568">
      <w:pPr>
        <w:pStyle w:val="TextoNormal"/>
      </w:pPr>
    </w:p>
    <w:p w:rsidR="00B85568" w:rsidRDefault="00B85568" w:rsidP="00B85568">
      <w:pPr>
        <w:pStyle w:val="TextoNormal"/>
      </w:pPr>
      <w:r w:rsidRPr="00B85568">
        <w:rPr>
          <w:rStyle w:val="NumeroAFNegritaCaracter"/>
        </w:rPr>
        <w:t>3</w:t>
      </w:r>
      <w:r>
        <w:t>. Por providencia de la Sección Cuarta de este Tribunal de 8 de enero de 2015 se acordó inadmitir la demanda de amparo por extemporaneidad a causa de haberse prolongado improcedente la vía judicial previa mediante la interposición de un incidente de nulidad manifiestamente improcedente.</w:t>
      </w:r>
    </w:p>
    <w:p w:rsidR="00B85568" w:rsidRDefault="00B85568" w:rsidP="00B85568">
      <w:pPr>
        <w:pStyle w:val="TextoNormal"/>
      </w:pPr>
    </w:p>
    <w:p w:rsidR="00B85568" w:rsidRDefault="00B85568" w:rsidP="00B85568">
      <w:pPr>
        <w:pStyle w:val="TextoNormal"/>
      </w:pPr>
      <w:r w:rsidRPr="00B85568">
        <w:rPr>
          <w:rStyle w:val="NumeroAFNegritaCaracter"/>
        </w:rPr>
        <w:t>4</w:t>
      </w:r>
      <w:r>
        <w:t>. Contra dicha providencia interpone recurso de súplica el Ministerio Fiscal por considerar que en el referido incidente los recurrentes ponían de manifiesto vulneraciones de derechos fundamentales (concretamente, del derecho a la tutela judicial efectiva sin indefensión del art. 24.1 CE) atribuidas de manera autónoma a la Sentencia del Alto Tribunal, que eran la deficiente motivación y el apartamiento arbitrario del criterio mantenido en resoluciones precedentes. De manera que, a juicio del Fiscal, no se utilizó el referido incidente para reproducir simplemente las infracciones sostenidas como fundamento del recurso de casación y, por ello, a pesar de la existencia de una providencia de inadmisión motivada, no le parece que pueda apreciarse que el incidente de nulidad fuera manifiestamente improcedente, manifiestamente infundado, estuviese defectuosamente preparado, o fuera provocado con ánimo dilatorio, supuestos todos ellos en los que sí cabría entender artificialmente prolongada la vía judicial.</w:t>
      </w:r>
    </w:p>
    <w:p w:rsidR="00B85568" w:rsidRDefault="00B85568" w:rsidP="00B85568">
      <w:pPr>
        <w:pStyle w:val="TextoNormal"/>
      </w:pPr>
    </w:p>
    <w:p w:rsidR="00B85568" w:rsidRDefault="00B85568" w:rsidP="00B85568">
      <w:pPr>
        <w:pStyle w:val="TextoNormal"/>
      </w:pPr>
      <w:r w:rsidRPr="00B85568">
        <w:rPr>
          <w:rStyle w:val="NumeroAFNegritaCaracter"/>
        </w:rPr>
        <w:t>5</w:t>
      </w:r>
      <w:r>
        <w:t>. Asimismo, el día 16 de enero de 2015 la representación procesal de los recurrentes presentó en el Registro General de este Tribunal escrito promoviendo incidente de nulidad de actuaciones al amparo del art. 241.1 de la Ley Orgánica del Poder Judicial contra la misma providencia de inadmisión de su recurso de amparo de fecha 8 de enero de 2015. Alega en ese escrito que la providencia carece de la debida motivación acerca de la conclusión alcanzada y que, en todo caso, esa conclusión —que el incidente de nulidad era improcedente— es igualmente infundada, con cita de anteriores resoluciones de este Tribunal en ese sentido.</w:t>
      </w:r>
    </w:p>
    <w:p w:rsidR="00B85568" w:rsidRDefault="00B85568" w:rsidP="00B85568">
      <w:pPr>
        <w:pStyle w:val="TextoNormal"/>
      </w:pPr>
    </w:p>
    <w:p w:rsidR="00B85568" w:rsidRDefault="00B85568" w:rsidP="00B85568">
      <w:pPr>
        <w:pStyle w:val="TextoNormal"/>
      </w:pPr>
      <w:r w:rsidRPr="00B85568">
        <w:rPr>
          <w:rStyle w:val="NumeroAFNegritaCaracter"/>
        </w:rPr>
        <w:t>6</w:t>
      </w:r>
      <w:r>
        <w:t>. Por diligencia de ordenación de la Secretaria de Justicia de la Sala Segunda de este Tribunal 30 de enero de 2015 se acordó unir a las actuaciones los escritos presentados por el Fiscal y por la representación de los recurrentes y dar traslado a esta última del recurso formulado por el Fiscal a fin de que en el plazo de tres días pudiera alegar lo que estimara pertinente.</w:t>
      </w:r>
    </w:p>
    <w:p w:rsidR="00B85568" w:rsidRDefault="00B85568" w:rsidP="00B85568">
      <w:pPr>
        <w:pStyle w:val="TextoNormal"/>
      </w:pPr>
    </w:p>
    <w:p w:rsidR="00B85568" w:rsidRDefault="00B85568" w:rsidP="00B85568">
      <w:pPr>
        <w:pStyle w:val="TextoNormal"/>
      </w:pPr>
      <w:r w:rsidRPr="00B85568">
        <w:rPr>
          <w:rStyle w:val="NumeroAFNegritaCaracter"/>
        </w:rPr>
        <w:t>7</w:t>
      </w:r>
      <w:r>
        <w:t>. Por escrito registrado en fecha 6 de febrero de 2015, la representación de los recurrentes formuló sus alegaciones al citado recurso de súplica. Se defiende en el mismo que el incidente de nulidad en su día promovido no era una mera reproducción de los motivos de casación articulados contra la Sentencia del Tribunal Superior de Justicia de Valencia, sino que descansaba en motivos de impugnación nuevos y diferentes, imputados de forma autónoma a la Sentencia del Tribunal Supremo cuya nulidad se pretendía, y que se amparaban además en el derecho a la tutela judicial efectiva del art. 24.1 CE. Por consiguiente, termina el escrito solicitando de este Tribunal que estime el recurso de súplica interpuesto por el Ministerio Fiscal y que acuerde, en su lugar, la admisión a trámite de su recurso de amparo.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A los efectos de fijar el objeto de nuestro pronunciamiento, hemos de precisar ante todo que según este Tribunal ha tenido ya ocasión de declarar que (por ejemplo en el ATC 42/2010, de 12 de abril, FJ 4, o más recientemente en el ATC 194/2013, de 23 de septiembre, FJ 1) las providencias de inadmisión de los recursos de amparo solamente pueden ser recurridas en súplica por el Ministerio Fiscal, por expresa disposición legal (art. 50.3 de la Ley Orgánica del Tribunal Constitucional: LOTC), de modo que no es admisible contra ellas el incidente de nulidad de actuaciones regulado en el art. 241.1 de la Ley Orgánica del Poder Judicial. De hecho, de admitirse esta posibilidad se privaría de todo sentido al antes citado art. 50.3 LOTC y a la limitada legitimación que en el mismo se contiene, lo que evidencia la falta de fundamento de la pretensión contraria.</w:t>
      </w:r>
    </w:p>
    <w:p w:rsidR="00B85568" w:rsidRDefault="00B85568" w:rsidP="00B85568">
      <w:pPr>
        <w:pStyle w:val="TextoNormal"/>
      </w:pPr>
    </w:p>
    <w:p w:rsidR="00B85568" w:rsidRDefault="00B85568" w:rsidP="00B85568">
      <w:pPr>
        <w:pStyle w:val="TextoNormal"/>
      </w:pPr>
      <w:r>
        <w:t>Lo razonado nos obliga a declarar ya, sin mayor dilación, la inadmisión de la solicitud de nulidad de actuaciones presentada por los recurrentes, lo que no es óbice, evidentemente, para tomar en cuenta sus alegaciones. Máxime cuando han sido reiteradas en lo sustancial en el escrito de alegaciones presentado al recibir el obligado traslado previsto en el art. 93.2 LOTC del único recurso admisible, que es el del Fiscal de acuerdo con el artículo 50.3 antes mencionado.</w:t>
      </w:r>
    </w:p>
    <w:p w:rsidR="00B85568" w:rsidRDefault="00B85568" w:rsidP="00B85568">
      <w:pPr>
        <w:pStyle w:val="TextoNormal"/>
      </w:pPr>
    </w:p>
    <w:p w:rsidR="00B85568" w:rsidRDefault="00B85568" w:rsidP="00B85568">
      <w:pPr>
        <w:pStyle w:val="TextoNormal"/>
      </w:pPr>
      <w:r w:rsidRPr="00B85568">
        <w:rPr>
          <w:rStyle w:val="NumeroAFNegritaCaracter"/>
        </w:rPr>
        <w:t>2</w:t>
      </w:r>
      <w:r>
        <w:t>. Una vez delimitado en estos términos el objeto de nuestro pronunciamiento, conviene recordar los argumentos empleados por el Fiscal en ese único recurso admisible. Defiende el Ministerio público que la vía judicial previa no fue prolongada de modo manifiestamente improcedente, como se indica en la providencia de inadmisión recurrida, sino que al denunciarse en el incidente de nulidad de actuaciones previamente interpuesto vulneraciones de derechos fundamentales directa y autónomamente imputables a la Sentencia del Tribunal Supremo que ha precedido a este amparo, ese incidente excepcional fue correctamente empleado, y por consiguiente el recurso de amparo debe considerarse interpuesto dentro de plazo y no extemporáneamente como en la resolución recurrida se concluye.</w:t>
      </w:r>
    </w:p>
    <w:p w:rsidR="00B85568" w:rsidRDefault="00B85568" w:rsidP="00B85568">
      <w:pPr>
        <w:pStyle w:val="TextoNormal"/>
      </w:pPr>
    </w:p>
    <w:p w:rsidR="00B85568" w:rsidRDefault="00B85568" w:rsidP="00B85568">
      <w:pPr>
        <w:pStyle w:val="TextoNormal"/>
      </w:pPr>
      <w:r w:rsidRPr="00B85568">
        <w:rPr>
          <w:rStyle w:val="NumeroAFNegritaCaracter"/>
        </w:rPr>
        <w:t>3</w:t>
      </w:r>
      <w:r>
        <w:t>. Una consolidada doctrina de este Tribunal establece que el plazo para interponer el recurso de amparo es un plazo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aunque también hemos matizado que “la interpretación de lo que debe entenderse por recurso manifiestamente improcedente debe realizarse, en todo caso, de forma restrictiva en aras a la armonización de las exigencias del principio de seguridad jurídica y del derecho a la tutela judicial efectiva, limitándolo a los casos en que tal improcedencia derive de manera terminante, clara e inequívoca del propio texto legal, sin dudas que hayan de resolverse con criterios interpretativos de alguna dificultad” (AATC 42/2010, de 12 de abril, FJ 1, y 132/2012, de 26 de junio, FJ 1).</w:t>
      </w:r>
    </w:p>
    <w:p w:rsidR="00B85568" w:rsidRDefault="00B85568" w:rsidP="00B85568">
      <w:pPr>
        <w:pStyle w:val="TextoNormal"/>
      </w:pPr>
    </w:p>
    <w:p w:rsidR="00B85568" w:rsidRDefault="00B85568" w:rsidP="00B85568">
      <w:pPr>
        <w:pStyle w:val="TextoNormal"/>
      </w:pPr>
      <w:r w:rsidRPr="00B85568">
        <w:rPr>
          <w:rStyle w:val="NumeroAFNegritaCaracter"/>
        </w:rPr>
        <w:t>4</w:t>
      </w:r>
      <w:r>
        <w:t>. La aplicación de la precitada doctrina al presente supuesto debe conducir a la estimación del recurso interpuesto por el Fiscal.</w:t>
      </w:r>
    </w:p>
    <w:p w:rsidR="00B85568" w:rsidRDefault="00B85568" w:rsidP="00B85568">
      <w:pPr>
        <w:pStyle w:val="TextoNormal"/>
      </w:pPr>
    </w:p>
    <w:p w:rsidR="00B85568" w:rsidRDefault="00B85568" w:rsidP="00B85568">
      <w:pPr>
        <w:pStyle w:val="TextoNormal"/>
      </w:pPr>
      <w:r>
        <w:t>Tal y como ha quedado expuesto con más detalle en los antecedentes de esta resolución, uno de los motivos del incidente de nulidad interpuesto por los recurrentes contra la Sentencia del Tribunal Supremo, contra la que ya no cabía recurso ordinario alguno, era la inexistencia o insuficiencia de la motivación que se había dado en esa misma Sentencia para descartar la aplicación al caso examinado de los tres concretos precedentes invocados por la parte en su recurso de casación, o más exactamente para rechazar que existiera vulneración de esas tres Sentencias, quinto motivo de casación formulado al amparo del art. 88.1 d) de la Ley reguladora de la jurisdicción contencioso-administrativa. Se trataba, por consiguiente, de una infracción nueva y distinta de las previamente denunciadas en el recurso de casación (pues no se denunciaba la inaplicación de esos precedentes, sino la insuficiente motivación de la desestimación del motivo de casación, con cita concreta del párrafo de la Sentencia del Tribunal Supremo de la que se extraía ese defecto alegado); de una infracción que no había podido denunciarse antes de ese momento, pues solo había podido producirse por la propia Sentencia de casación; de un defecto además amparado en el art. 24.1 CE; y, en fin, de una vulneración igualmente denunciada en el escrito de interposición de este recurso de amparo (págs. 14 y ss.).</w:t>
      </w:r>
    </w:p>
    <w:p w:rsidR="00B85568" w:rsidRDefault="00B85568" w:rsidP="00B85568">
      <w:pPr>
        <w:pStyle w:val="TextoNormal"/>
      </w:pPr>
    </w:p>
    <w:p w:rsidR="00B85568" w:rsidRDefault="00B85568" w:rsidP="00B85568">
      <w:pPr>
        <w:pStyle w:val="TextoNormal"/>
      </w:pPr>
      <w:r>
        <w:t>De lo dicho resulta entonces, sin necesidad de atender a las restantes vulneraciones suscitadas en el incidente de nulidad y en este amparo, y sin que deba verse en esta decisión prejuicio alguno sobre la existencia o el fundamento de la lesiones alegadas, que el vehículo empleado para su denuncia no era improcedente en los términos de nuestra doctrina sino, al contrario, exigible y necesario conforme a ella. Lo cual determina que el plazo de interposición del recurso de amparo previsto en el art. 44.2 LOTC deba considerarse interrumpido desde la promoción del incidente hasta su resolución y que, consecuentemente, el presente recurso deba considerarse interpuesto dentro de plazo.</w:t>
      </w:r>
    </w:p>
    <w:p w:rsidR="00B85568" w:rsidRDefault="00B85568" w:rsidP="00B85568">
      <w:pPr>
        <w:pStyle w:val="TextoNormal"/>
      </w:pPr>
    </w:p>
    <w:p w:rsidR="00B85568" w:rsidRDefault="00B85568" w:rsidP="00B85568">
      <w:pPr>
        <w:pStyle w:val="TextoNormal"/>
      </w:pPr>
      <w:r w:rsidRPr="00B85568">
        <w:rPr>
          <w:rStyle w:val="NumeroAFNegritaCaracter"/>
        </w:rPr>
        <w:t>5</w:t>
      </w:r>
      <w:r>
        <w:t>. Ahora bien, los efectos de la estimación de este recurso de súplica deben limitarse a la anulación de la providencia recurrida por ser incorrecta la causa en ella apreciada, tal y como pretende el Ministerio Fiscal, sin que puedan proyectarse como consecuencia de esta anulación a la automática admisión a trámite del recurso de amparo, como solicita la parte recurrente en sus alegaciones (en este sentido, AATC 35/2009, de 4 de febrero, FJ 3; y 268/2013, de 19 de noviembre, FJ 2). Sin necesidad de acudir a explicaciones técnicas relacionadas del objeto del recurso de súplica (en el sentido procesal del término), basta con recordar la conocida doctrina sobre el carácter insubsanable de los óbices procesales que pueden afectar a los recursos de amparo y que hace que puedan ser apreciados incluso en Sentencia (por todas, STC 200/2012, de 12 de noviembre, FJ 2 y fallo) para comprender que solo puede ser así.</w:t>
      </w:r>
    </w:p>
    <w:p w:rsidR="00B85568" w:rsidRDefault="00B85568" w:rsidP="00B85568">
      <w:pPr>
        <w:pStyle w:val="TextoNormal"/>
      </w:pPr>
    </w:p>
    <w:p w:rsidR="00B85568" w:rsidRDefault="00B85568" w:rsidP="00B85568">
      <w:pPr>
        <w:pStyle w:val="TextoNormal"/>
      </w:pPr>
      <w:r>
        <w:t>Por consiguiente, procede únicamente dejar sin efecto la providencia recurrida y reponer las actuaciones al momento inmediatamente anterior al dictado de la resolución anulada, dejando pendiente el estudio y decisión sobre la admisión o inadmisión del recurso de amparo por razones distintas a las aquí resueltas.</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Inadmitir la solicitud de nulidad de actuaciones presentada por la representación de los recurrentes contra la providencia de 8 de enero de 2015.</w:t>
      </w:r>
    </w:p>
    <w:p w:rsidR="00B85568" w:rsidRDefault="00B85568" w:rsidP="00B85568">
      <w:pPr>
        <w:pStyle w:val="TextoNormal"/>
      </w:pPr>
    </w:p>
    <w:p w:rsidR="00B85568" w:rsidRDefault="00B85568" w:rsidP="00B85568">
      <w:pPr>
        <w:pStyle w:val="TextoNormal"/>
      </w:pPr>
      <w:r>
        <w:t>2º Estimar el recurso de súplica interpuesto por el Ministerio Fiscal y, en consecuencia:</w:t>
      </w:r>
    </w:p>
    <w:p w:rsidR="00B85568" w:rsidRDefault="00B85568" w:rsidP="00B85568">
      <w:pPr>
        <w:pStyle w:val="TextoNormal"/>
      </w:pPr>
    </w:p>
    <w:p w:rsidR="00B85568" w:rsidRDefault="00B85568" w:rsidP="00B85568">
      <w:pPr>
        <w:pStyle w:val="TextoNormal"/>
      </w:pPr>
      <w:r>
        <w:t>A) Dejar sin efecto la providencia de 8 de enero de 2015 que declaró la inadmisión del recurso de amparo 2407-2013.</w:t>
      </w:r>
    </w:p>
    <w:p w:rsidR="00B85568" w:rsidRDefault="00B85568" w:rsidP="00B85568">
      <w:pPr>
        <w:pStyle w:val="TextoNormal"/>
      </w:pPr>
    </w:p>
    <w:p w:rsidR="00B85568" w:rsidRDefault="00B85568" w:rsidP="00B85568">
      <w:pPr>
        <w:pStyle w:val="TextoNormal"/>
      </w:pPr>
      <w:r>
        <w:t>B) Reponer las actuaciones al momento anterior a dictarse la providencia anulada.</w:t>
      </w:r>
    </w:p>
    <w:p w:rsidR="00B85568" w:rsidRDefault="00B85568" w:rsidP="00B85568">
      <w:pPr>
        <w:pStyle w:val="TextoNormal"/>
      </w:pPr>
    </w:p>
    <w:p w:rsidR="00B85568" w:rsidRDefault="00B85568" w:rsidP="00B85568">
      <w:pPr>
        <w:pStyle w:val="TextoNormal"/>
      </w:pPr>
      <w:r>
        <w:t>Madrid, a veintisiete de febrero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0" w:name="AUTO_2015_50"/>
      <w:r>
        <w:t>AUTO 50/2015, de 2 de marzo de 2015</w:t>
      </w:r>
    </w:p>
    <w:bookmarkEnd w:id="200"/>
    <w:p w:rsidR="00B85568" w:rsidRDefault="00B85568" w:rsidP="00B85568">
      <w:pPr>
        <w:pStyle w:val="TtuloResolucin"/>
      </w:pPr>
      <w:r>
        <w:t>Sala Segunda</w:t>
      </w:r>
    </w:p>
    <w:p w:rsidR="00B85568" w:rsidRDefault="00B85568" w:rsidP="00B85568">
      <w:pPr>
        <w:pStyle w:val="TextoNormalCentrado"/>
      </w:pPr>
      <w:r>
        <w:t>ECLI:ES:TC:2015:50A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Deniega la suspensión y ordena la anotación preventiva de la demanda en el recurso de amparo 6203-2013, promovido por doña María del Carmen Mateos Pérez en pleito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23 de octubre de 2013, doña María del Carmen Mateos Pérez, representada por el Procurador de los Tribunales don Andrés Peralta de la Torre y asistida por el Letrado don Miguel Pérez de Yrigoyen, interpuso recurso de amparo contra el Auto dictado el 20 de septiembre de 2013 por el Juzgado de Primera Instancia e Instrucción núm. 5 de Jerez de la Frontera, en el particular relativo a la desestimación de la petición de nulidad de actuaciones promovida en el proceso de ejecución hipotecaria núm. 2135-2009.</w:t>
      </w:r>
    </w:p>
    <w:p w:rsidR="00B85568" w:rsidRDefault="00B85568" w:rsidP="00B85568">
      <w:pPr>
        <w:pStyle w:val="TextoNormal"/>
      </w:pPr>
    </w:p>
    <w:p w:rsidR="00B85568" w:rsidRDefault="00B85568" w:rsidP="00B85568">
      <w:pPr>
        <w:pStyle w:val="TextoNormal"/>
      </w:pPr>
      <w:r>
        <w:t>La parte dispositiva del Auto recurrido de 20 de septiembre de 2013, en lo que aquí interesa, tiene el siguiente tenor literal:</w:t>
      </w:r>
    </w:p>
    <w:p w:rsidR="00B85568" w:rsidRDefault="00B85568" w:rsidP="00B85568">
      <w:pPr>
        <w:pStyle w:val="TextoNormal"/>
      </w:pPr>
    </w:p>
    <w:p w:rsidR="00B85568" w:rsidRDefault="00B85568" w:rsidP="00B85568">
      <w:pPr>
        <w:pStyle w:val="TextoNormal"/>
      </w:pPr>
      <w:r>
        <w:t>“Se acuerda la suspensión del lanzamiento en la presente ejecución hipotecaria, en los términos del art. 1.1 Ley 1/2013, de 14 de mayo.</w:t>
      </w:r>
    </w:p>
    <w:p w:rsidR="00B85568" w:rsidRDefault="00B85568" w:rsidP="00B85568">
      <w:pPr>
        <w:pStyle w:val="TextoNormal"/>
      </w:pPr>
    </w:p>
    <w:p w:rsidR="00B85568" w:rsidRDefault="00B85568" w:rsidP="00B85568">
      <w:pPr>
        <w:pStyle w:val="TextoNormal"/>
      </w:pPr>
      <w:r>
        <w:t>No ha lugar a la nulidad de actuaciones interesada por el Procurador Sra. Bachiller Burgos, en representación de la Sra. Mateos Pérez, sin que contra este pronunciamiento queda recurso alguno …”.</w:t>
      </w:r>
    </w:p>
    <w:p w:rsidR="00B85568" w:rsidRDefault="00B85568" w:rsidP="00B85568">
      <w:pPr>
        <w:pStyle w:val="TextoNormal"/>
      </w:pPr>
    </w:p>
    <w:p w:rsidR="00B85568" w:rsidRDefault="00B85568" w:rsidP="00B85568">
      <w:pPr>
        <w:pStyle w:val="TextoNormal"/>
      </w:pPr>
      <w:r w:rsidRPr="00B85568">
        <w:rPr>
          <w:rStyle w:val="NumeroAFNegritaCaracter"/>
        </w:rPr>
        <w:t>2</w:t>
      </w:r>
      <w:r>
        <w:t>. En la demanda de amparo se alega la vulneración del derecho a obtener la tutela judicial efectiva sin indefensión (art. 24.1 CE) y del derecho a un proceso con todas las garantías y derecho de defensa (art. 24.2 CE), al no haber sido emplazada ni requerida de pago la demandante en su domicilio, aduciéndose que en las fechas en que se inició el procedimiento de ejecución hipotecaria la demandante había tenido que marchar del citado domicilio por malos tratos de su exmarido, que fue el único que tuvo conocimiento del procedimiento sin comunicárselo a la recurrente, por lo que solicita que se dicte Sentencia declarando la vulneración de los citados derechos fundamentales del art. 24.1 y 24.2 CE y, en consecuencia, anular el Auto de 20 de septiembre de 2013 recurrido, con retroacción de actuaciones al momento del emplazamiento y requerimiento.</w:t>
      </w:r>
    </w:p>
    <w:p w:rsidR="00B85568" w:rsidRDefault="00B85568" w:rsidP="00B85568">
      <w:pPr>
        <w:pStyle w:val="TextoNormal"/>
      </w:pPr>
    </w:p>
    <w:p w:rsidR="00B85568" w:rsidRDefault="00B85568" w:rsidP="00B85568">
      <w:pPr>
        <w:pStyle w:val="TextoNormal"/>
      </w:pPr>
      <w:r w:rsidRPr="00B85568">
        <w:rPr>
          <w:rStyle w:val="NumeroAFNegritaCaracter"/>
        </w:rPr>
        <w:t>3</w:t>
      </w:r>
      <w:r>
        <w:t>. Por otrosí de la demanda de amparo, de acuerdo con lo previsto en el art. 56 de la Ley Orgánica del Tribunal Constitucional (LOTC), la demandante solicitó la suspensión de la ejecución de la resolución recurrida alegando que la misma debe decretarse a fin de no impedir la efectividad de la pretensión de este proceso constitucional, pues ello conllevaría el lanzamiento de la vivienda, que aunque se encuentra suspendida en virtud de las disposiciones de la Ley 1/2013, no es menos cierto que el plazo de suspensión de dos años se antoja inferior al que normalmente ocupa la tramitación de un recurso de estas características.</w:t>
      </w:r>
    </w:p>
    <w:p w:rsidR="00B85568" w:rsidRDefault="00B85568" w:rsidP="00B85568">
      <w:pPr>
        <w:pStyle w:val="TextoNormal"/>
      </w:pPr>
    </w:p>
    <w:p w:rsidR="00B85568" w:rsidRDefault="00B85568" w:rsidP="00B85568">
      <w:pPr>
        <w:pStyle w:val="TextoNormal"/>
      </w:pPr>
      <w:r w:rsidRPr="00B85568">
        <w:rPr>
          <w:rStyle w:val="NumeroAFNegritaCaracter"/>
        </w:rPr>
        <w:t>4</w:t>
      </w:r>
      <w:r>
        <w:t>. La Sala Segunda de este Tribunal acordó la admisión a trámite de la demanda de amparo por providencia de fecha 20 de enero de 2015, acordándose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B85568" w:rsidRDefault="00B85568" w:rsidP="00B85568">
      <w:pPr>
        <w:pStyle w:val="TextoNormal"/>
      </w:pPr>
    </w:p>
    <w:p w:rsidR="00B85568" w:rsidRDefault="00B85568" w:rsidP="00B85568">
      <w:pPr>
        <w:pStyle w:val="TextoNormal"/>
      </w:pPr>
      <w:r w:rsidRPr="00B85568">
        <w:rPr>
          <w:rStyle w:val="NumeroAFNegritaCaracter"/>
        </w:rPr>
        <w:t>5</w:t>
      </w:r>
      <w:r>
        <w:t>. La representación procesal de la recurrente presentó escrito el 5 de febrero de 2015, en el que solicita que se le otorgue la suspensión, reproduciendo sustancialmente las alegaciones formuladas en el otrosí de la demanda y añadiendo que no se perjudica ningún interés de tercero pues la entidad bancaria tiene la garantía hipotecaria inscrita a su favor.</w:t>
      </w:r>
    </w:p>
    <w:p w:rsidR="00B85568" w:rsidRDefault="00B85568" w:rsidP="00B85568">
      <w:pPr>
        <w:pStyle w:val="TextoNormal"/>
      </w:pPr>
    </w:p>
    <w:p w:rsidR="00B85568" w:rsidRDefault="00B85568" w:rsidP="00B85568">
      <w:pPr>
        <w:pStyle w:val="TextoNormal"/>
      </w:pPr>
      <w:r w:rsidRPr="00B85568">
        <w:rPr>
          <w:rStyle w:val="NumeroAFNegritaCaracter"/>
        </w:rPr>
        <w:t>6</w:t>
      </w:r>
      <w:r>
        <w:t>. El Fiscal presentó su escrito de alegaciones en fecha 6 de febrero de 2015, en el que interesa: i) que se deniegue la suspensión puesto que lo que se plantea es una mera hipótesis basada en la previsión de la duración del presente proceso constitucional de amparo, por lo que no existe riesgo alguno que la pretensión de la efectividad del recurso no se lleve a efecto; y ii) que se acuerde la medida cautelar de anotación preventiva de la demanda a la luz de lo prevenido en el art. 56.3 LOTC.</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B85568" w:rsidRDefault="00B85568" w:rsidP="00B85568">
      <w:pPr>
        <w:pStyle w:val="TextoNormal"/>
      </w:pPr>
    </w:p>
    <w:p w:rsidR="00B85568" w:rsidRDefault="00B85568" w:rsidP="00B85568">
      <w:pPr>
        <w:pStyle w:val="TextoNormal"/>
      </w:pPr>
      <w:r>
        <w:t>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B85568" w:rsidRDefault="00B85568" w:rsidP="00B85568">
      <w:pPr>
        <w:pStyle w:val="TextoNormal"/>
      </w:pPr>
    </w:p>
    <w:p w:rsidR="00B85568" w:rsidRDefault="00B85568" w:rsidP="00B85568">
      <w:pPr>
        <w:pStyle w:val="TextoNormal"/>
      </w:pPr>
      <w:r w:rsidRPr="00B85568">
        <w:rPr>
          <w:rStyle w:val="NumeroAFNegritaCaracter"/>
        </w:rPr>
        <w:t>2</w:t>
      </w:r>
      <w:r>
        <w:t>. Cuando, como en el presente caso, se solicita la suspensión del lanzamiento, este Tribunal viene entendiendo con carácter general que pueden producirse situaciones irreversibles o de muy difícil vuelta a la situación anterior (AATC 287/2013, de 16 de diciembre, FJ 2, y 37/2014, de 10 de febrero, FJ 2, entre otros).</w:t>
      </w:r>
    </w:p>
    <w:p w:rsidR="00B85568" w:rsidRDefault="00B85568" w:rsidP="00B85568">
      <w:pPr>
        <w:pStyle w:val="TextoNormal"/>
      </w:pPr>
    </w:p>
    <w:p w:rsidR="00B85568" w:rsidRDefault="00B85568" w:rsidP="00B85568">
      <w:pPr>
        <w:pStyle w:val="TextoNormal"/>
      </w:pPr>
      <w:r>
        <w:t>Sin embargo, tal como consta en los antecedentes, el Auto recurrido de fecha 20 de septiembre de 2013 suspendió el lanzamiento en el procedimiento de ejecución hipotecaria por aplicación de las previsiones del art. 1.1 de la Ley 1/2013, de manera que dicho acto se encuentra actualmente suspendido hasta los dos años posteriores a la entrada en vigor de la citada Ley, esto es, hasta el día 15 de mayo de 2015, independientemente de que pueda verse afectado por el Real Decreto-ley 1/2015, de 27 de febrero, que suspende hasta el 15 de mayo de 2017 dicha actuación.</w:t>
      </w:r>
    </w:p>
    <w:p w:rsidR="00B85568" w:rsidRDefault="00B85568" w:rsidP="00B85568">
      <w:pPr>
        <w:pStyle w:val="TextoNormal"/>
      </w:pPr>
    </w:p>
    <w:p w:rsidR="00B85568" w:rsidRDefault="00B85568" w:rsidP="00B85568">
      <w:pPr>
        <w:pStyle w:val="TextoNormal"/>
      </w:pPr>
      <w:r>
        <w:t>En estas circunstancias, no puede accederse a la suspensión puesto que lo que se alega es un perjuicio futuro o hipotético en base a una mera previsión sobre la duración del presente proceso constitucional de amparo. Por tanto, no existe en este momento riesgo alguno de que el recurso pierda su finalidad, al encontrarse suspendido el acto del lanzamiento, y ello sin perjuicio de que pueda reiterarse la petición en el momento en que pueda apreciarse un riesgo de que se materialice el perjuicio aducido.</w:t>
      </w:r>
    </w:p>
    <w:p w:rsidR="00B85568" w:rsidRDefault="00B85568" w:rsidP="00B85568">
      <w:pPr>
        <w:pStyle w:val="TextoNormal"/>
      </w:pPr>
    </w:p>
    <w:p w:rsidR="00B85568" w:rsidRDefault="00B85568" w:rsidP="00B85568">
      <w:pPr>
        <w:pStyle w:val="TextoNormal"/>
      </w:pPr>
      <w:r w:rsidRPr="00B85568">
        <w:rPr>
          <w:rStyle w:val="NumeroAFNegritaCaracter"/>
        </w:rPr>
        <w:t>3</w:t>
      </w:r>
      <w:r>
        <w:t>. No obstante lo anterior, debe accederse a la solicitud de anotación preventiva de la demanda formulada por el Fiscal, puesto que existe título de adjudicación de la vivienda a favor de la entidad ejecutante, estando únicamente pendiente su entrega o puesta en posesión, de manera que la medida instada cumple el fin de garantizar el derecho de la demandante de amparo frente a eventuales actos de disposición, mediante el anuncio registral frente a terceros de la pendencia del proceso constitucional con sus eventuales consecuencias sobre los derechos inscritos por todos (AATC 18/2012, de 30 de enero, y 276/2013, de 2 de diciembre, entre otros).</w:t>
      </w:r>
    </w:p>
    <w:p w:rsidR="00B85568" w:rsidRDefault="00B85568" w:rsidP="00B85568">
      <w:pPr>
        <w:pStyle w:val="TextoNormal"/>
      </w:pPr>
    </w:p>
    <w:p w:rsidR="00B85568" w:rsidRDefault="00B85568" w:rsidP="00B85568">
      <w:pPr>
        <w:pStyle w:val="TextoNormal"/>
      </w:pPr>
      <w:r>
        <w:t>Por todo ello, y sin prejuzgar la decisión de fondo del recurso, procede denegar la medida de suspensión y ordenar la anotación preventiva de la demanda de amparo.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Denegar la suspensión de la ejecución del Auto de 20 de septiembre de 2013 del Juzgado de Primera Instancia e Instrucción núm. 5 de Jerez de la Frontera, y ordenar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00B85568" w:rsidRDefault="00B85568" w:rsidP="00B85568">
      <w:pPr>
        <w:pStyle w:val="TextoNormal"/>
      </w:pPr>
    </w:p>
    <w:p w:rsidR="00B85568" w:rsidRDefault="00B85568" w:rsidP="00B85568">
      <w:pPr>
        <w:pStyle w:val="TextoNormal"/>
      </w:pPr>
      <w:r>
        <w:t>Madrid, a dos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1" w:name="AUTO_2015_51"/>
      <w:r>
        <w:t>AUTO 51/2015, de 3 de marzo de 2015</w:t>
      </w:r>
    </w:p>
    <w:bookmarkEnd w:id="201"/>
    <w:p w:rsidR="00B85568" w:rsidRDefault="00B85568" w:rsidP="00B85568">
      <w:pPr>
        <w:pStyle w:val="TtuloResolucin"/>
      </w:pPr>
      <w:r>
        <w:t>Pleno</w:t>
      </w:r>
    </w:p>
    <w:p w:rsidR="00B85568" w:rsidRDefault="00B85568" w:rsidP="00B85568">
      <w:pPr>
        <w:pStyle w:val="TextoNormalCentrado"/>
      </w:pPr>
      <w:r>
        <w:t>ECLI:ES:TC:2015:51A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extinción, por pérdida de objeto, del recurso de inconstitucionalidad 2007-2012, interpuesto por el Gobierno de Canarias en relación con el artículo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Constitucional el día 4 de abril de 2012 la Directora General del Servicio Jurídico del Gobierno de Canarias, en la representación que ostenta, interpuso recurso de inconstitucionalidad contra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El escrito de interposición del recurso señala que el precepto transcrito incide en la competencia autonómica exclusiva en materia de ordenación del territorio y del litoral, urbanismo y vivienda del art. 30.15 del Estatuto de Autonomía de Canarias, sin que el impugnado art. 23 pueda encontrar su fundamento competencial en el art. 149.1.1 y 18 CE, tal como afirma la disposición final primera del Real Decreto-ley 8/2011.</w:t>
      </w:r>
    </w:p>
    <w:p w:rsidR="00B85568" w:rsidRDefault="00B85568" w:rsidP="00B85568">
      <w:pPr>
        <w:pStyle w:val="TextoNormal"/>
      </w:pPr>
    </w:p>
    <w:p w:rsidR="00B85568" w:rsidRDefault="00B85568" w:rsidP="00B85568">
      <w:pPr>
        <w:pStyle w:val="TextoNormal"/>
      </w:pPr>
      <w:r w:rsidRPr="00B85568">
        <w:rPr>
          <w:rStyle w:val="NumeroAFNegritaCaracter"/>
        </w:rPr>
        <w:t>2</w:t>
      </w:r>
      <w:r>
        <w:t>. Por providencia de 8 de mayo de 2012 el Pleno, a propuesta de la Sección Cuarta, acordó admitir a trámite el recurso de inconstitucionalidad promovido por el Gobierno de Canarias y, en su representación y defensa, por el Letrado del mismo, en relación con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B85568" w:rsidRDefault="00B85568" w:rsidP="00B85568">
      <w:pPr>
        <w:pStyle w:val="TextoNormal"/>
      </w:pPr>
    </w:p>
    <w:p w:rsidR="00B85568" w:rsidRDefault="00B85568" w:rsidP="00B85568">
      <w:pPr>
        <w:pStyle w:val="TextoNormal"/>
      </w:pPr>
      <w:r w:rsidRPr="00B85568">
        <w:rPr>
          <w:rStyle w:val="NumeroAFNegritaCaracter"/>
        </w:rPr>
        <w:t>3</w:t>
      </w:r>
      <w:r>
        <w:t>. Por escrito registrado el día 17 de mayo de 2012 el Abogado del Estado se personó en el recurso en nombre del Gobierno solicitando una prórroga del plazo concedido para formular alegaciones, prorroga que le fue concedida por providencia de 21 de mayo de 2012.</w:t>
      </w:r>
    </w:p>
    <w:p w:rsidR="00B85568" w:rsidRDefault="00B85568" w:rsidP="00B85568">
      <w:pPr>
        <w:pStyle w:val="TextoNormal"/>
      </w:pPr>
    </w:p>
    <w:p w:rsidR="00B85568" w:rsidRDefault="00B85568" w:rsidP="00B85568">
      <w:pPr>
        <w:pStyle w:val="TextoNormal"/>
      </w:pPr>
      <w:r w:rsidRPr="00B85568">
        <w:rPr>
          <w:rStyle w:val="NumeroAFNegritaCaracter"/>
        </w:rPr>
        <w:t>4</w:t>
      </w:r>
      <w:r>
        <w:t>. El Presidente del Senado, mediante escrito registrado el día 23 de mayo de 2012, comunicó que la Cámara se personaba en el proceso, ofreciendo su colaboración. Lo mismo hizo el Presidente del Congreso por escrito de 23 de mayo de 2012.</w:t>
      </w:r>
    </w:p>
    <w:p w:rsidR="00B85568" w:rsidRDefault="00B85568" w:rsidP="00B85568">
      <w:pPr>
        <w:pStyle w:val="TextoNormal"/>
      </w:pPr>
    </w:p>
    <w:p w:rsidR="00B85568" w:rsidRDefault="00B85568" w:rsidP="00B85568">
      <w:pPr>
        <w:pStyle w:val="TextoNormal"/>
      </w:pPr>
      <w:r w:rsidRPr="00B85568">
        <w:rPr>
          <w:rStyle w:val="NumeroAFNegritaCaracter"/>
        </w:rPr>
        <w:t>5</w:t>
      </w:r>
      <w:r>
        <w:t>. El día 15 de junio de 2012 el Abogado del Estado formuló sus alegaciones interesando la desestimación del recurso por entender que la regulación cuestionada se encuadra competencialmente en el art. 149.1.18 CE.</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Este Tribunal ya ha señalado en diversas ocasiones que, aunque la desaparición sobrevenida del objeto del proceso no esté contemplada en el art. 86.1 de la Ley Orgánica del Tribunal Constitucional (LOTC) como una de las causas de terminación extraordinaria de los distintos procesos constitucionales, y en particular de los recursos de inconstitucionalidad, es posible, no obstante, que tal cosa pueda suceder, provocando la conclusión del proceso constitucional sin que sea necesario un pronunciamiento sobre el reproche de inconstitucionalidad que se haya alegado. Entre las causas de pérdida sobrevenida de objeto de los recursos de inconstitucionalidad está el que este Tribunal ya haya declarado la inconstitucionalidad y nulidad de la norma impugnada (por todas, STC 265/2007, de 20 de diciembre, FJ 2).</w:t>
      </w:r>
    </w:p>
    <w:p w:rsidR="00B85568" w:rsidRDefault="00B85568" w:rsidP="00B85568">
      <w:pPr>
        <w:pStyle w:val="TextoNormal"/>
      </w:pPr>
    </w:p>
    <w:p w:rsidR="00B85568" w:rsidRDefault="00B85568" w:rsidP="00B85568">
      <w:pPr>
        <w:pStyle w:val="TextoNormal"/>
      </w:pPr>
      <w:r>
        <w:t>El Gobierno de Canarias impugna en el presente recurso de inconstitucionalidad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precepto sobre el que ya nos hemos pronunciado en la STC 29/2015, de 19 de febrero, en la que estimamos la cuestión de inconstitucionalidad núm. 1772-2014 y concluimos que el citado art. 23 era inconstitucional y nulo por vulnerar el art. 86.1 CE.</w:t>
      </w:r>
    </w:p>
    <w:p w:rsidR="00B85568" w:rsidRDefault="00B85568" w:rsidP="00B85568">
      <w:pPr>
        <w:pStyle w:val="TextoNormal"/>
      </w:pPr>
    </w:p>
    <w:p w:rsidR="00B85568" w:rsidRDefault="00B85568" w:rsidP="00B85568">
      <w:pPr>
        <w:pStyle w:val="TextoNormal"/>
      </w:pPr>
      <w:r>
        <w:t>La referida declaración de inconstitucionalidad y nulidad del art. 23 del Real Decreto-ley 8/2011 determina, conforme a nuestra doctrina, la pérdida sobrevenida del objeto de este proceso constitucional pues “[s]iendo el efecto inmediato de la anulación de cualquier norma su expulsión del ordenamiento jurídico de una vez por todas y para siempre, medida irreversible por su propia naturaleza, la pretensión que se ejercita aquí y ahora resulta ya redundante y vacía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(ATC 39/2011, de 12 de abril, FJ único y doctrina allí citada).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la extinción del recurso de inconstitucionalidad 2007-2012 por desaparición sobrevenida de su objeto.</w:t>
      </w:r>
    </w:p>
    <w:p w:rsidR="00B85568" w:rsidRDefault="00B85568" w:rsidP="00B85568">
      <w:pPr>
        <w:pStyle w:val="TextoNormal"/>
      </w:pPr>
    </w:p>
    <w:p w:rsidR="00B85568" w:rsidRDefault="00B85568" w:rsidP="00B85568">
      <w:pPr>
        <w:pStyle w:val="TextoNormal"/>
      </w:pPr>
      <w:r>
        <w:t>Madrid, a tres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2" w:name="AUTO_2015_52"/>
      <w:r>
        <w:t>AUTO 52/2015, de 3 de marzo de 2015</w:t>
      </w:r>
    </w:p>
    <w:bookmarkEnd w:id="202"/>
    <w:p w:rsidR="00B85568" w:rsidRDefault="00B85568" w:rsidP="00B85568">
      <w:pPr>
        <w:pStyle w:val="TtuloResolucin"/>
      </w:pPr>
      <w:r>
        <w:t>Pleno</w:t>
      </w:r>
    </w:p>
    <w:p w:rsidR="00B85568" w:rsidRDefault="00B85568" w:rsidP="00B85568">
      <w:pPr>
        <w:pStyle w:val="TextoNormalCentrado"/>
      </w:pPr>
      <w:r>
        <w:t>ECLI:ES:TC:2015:52A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6323-2014, planteada por el Tribunal Superior de Justicia de Murcia en relación con el artículo 2, apartados 1 y 2.2, y 6 del Real Decreto-ley 20/2012, de 13 de julio, de medidas para garantizar la estabilidad presupuestaria y de fomento de la competitividad.</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día 22 de octubre de 2014 tuvo entrada en el Registro General de este Tribunal escrito de la Sala de lo Social del Tribunal Superior de Justicia de Murcia, al que se acompaña, junto con el testimonio del procedimiento correspondiente, Auto de 22 de septiembre de 2014 por el que acuerda plantear una cuestión de inconstitucionalidad en relación con el artículo 2 del Real Decreto-ley 20/2012, de 13 de julio, de medidas para garantizar la estabilidad presupuestaria y de fomento de la competitividad, y el artículo 2 de la Ley autonómica 9/2012, de 8 de noviembre, de adaptación de la normativa regional en materia de función pública al citado Real Decreto-ley 20/2012, de 13 de julio, de medidas para garantizar la estabilidad presupuestaria y de fomento de la competitividad, por vulneración del art. 9.3 CE.</w:t>
      </w:r>
    </w:p>
    <w:p w:rsidR="00B85568" w:rsidRDefault="00B85568" w:rsidP="00B85568">
      <w:pPr>
        <w:pStyle w:val="TextoNormal"/>
      </w:pPr>
    </w:p>
    <w:p w:rsidR="00B85568" w:rsidRDefault="00B85568" w:rsidP="00B85568">
      <w:pPr>
        <w:pStyle w:val="TextoNormal"/>
      </w:pPr>
      <w:r>
        <w:t>El artículo 2 del Real Decreto-ley 20/2012, relativo a la “paga extraordinaria del mes de diciembre de 2012 del personal del sector público”, establece en su primer apartado que “en el año 2012 el personal del sector público definido en el artículo 22.1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B85568" w:rsidRDefault="00B85568" w:rsidP="00B85568">
      <w:pPr>
        <w:pStyle w:val="TextoNormal"/>
      </w:pPr>
    </w:p>
    <w:p w:rsidR="00B85568" w:rsidRDefault="00B85568" w:rsidP="00B85568">
      <w:pPr>
        <w:pStyle w:val="TextoNormal"/>
      </w:pPr>
      <w:r>
        <w:t>Además, el apartado 2.2 del referido precepto establece que “para hacer efectivo lo dispuesto en el apartado anterior, se adoptarán las siguientes medidas: …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 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 La reducción retributiva establecida en el apartado 1 de este artículo será también de aplicación al personal laboral de alta dirección, al personal con contrato mercantil y al no acogido a convenio colectivo que no tenga la consideración de alto cargo”.</w:t>
      </w:r>
    </w:p>
    <w:p w:rsidR="00B85568" w:rsidRDefault="00B85568" w:rsidP="00B85568">
      <w:pPr>
        <w:pStyle w:val="TextoNormal"/>
      </w:pPr>
    </w:p>
    <w:p w:rsidR="00B85568" w:rsidRDefault="00B85568" w:rsidP="00B85568">
      <w:pPr>
        <w:pStyle w:val="TextoNormal"/>
      </w:pPr>
      <w:r>
        <w:t>Por su parte, el art. 6 del Real Decreto-ley 20/2012, de 13 de julio, relativo a la “aplicación del artículo 31 del Estatuto de los Trabajadores, aprobado por Real Decreto Legislativo 1/1995, de 24 de marzo, al personal laboral del sector público”, dispone que “durante el año 2012, se suprime para el personal laboral del sector público la percepción de la gratificación extraordinaria con ocasión de las fiestas de Navidad contenida en el artículo 31 del Estatuto de los Trabajadores, aprobado por Real Decreto Legislativo 1/1995, de 24 de marzo, y sin perjuicio de lo dispuesto en el artículo 2, apartado 2.2 de este mismo Real Decreto-ley”.</w:t>
      </w:r>
    </w:p>
    <w:p w:rsidR="00B85568" w:rsidRDefault="00B85568" w:rsidP="00B85568">
      <w:pPr>
        <w:pStyle w:val="TextoNormal"/>
      </w:pPr>
    </w:p>
    <w:p w:rsidR="00B85568" w:rsidRDefault="00B85568" w:rsidP="00B85568">
      <w:pPr>
        <w:pStyle w:val="TextoNormal"/>
      </w:pPr>
      <w:r>
        <w:t>Por fin, la Ley autonómica 9/2012, de 8 de noviembre, establece lo propio para el “personal al servicio del sector público regional definido en el artículo 22.1 de la Ley 6/2011, de 26 de diciembre, de Presupuestos Generales de la Comunidad Autónoma de la Región de Murcia para el ejercicio 2012” (art. 2).</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del planteamiento de la presente cuestión de inconstitucionalidad son, sucintamente expuestos, los siguientes:</w:t>
      </w:r>
    </w:p>
    <w:p w:rsidR="00B85568" w:rsidRDefault="00B85568" w:rsidP="00B85568">
      <w:pPr>
        <w:pStyle w:val="TextoNormal"/>
      </w:pPr>
    </w:p>
    <w:p w:rsidR="00B85568" w:rsidRDefault="00B85568" w:rsidP="00B85568">
      <w:pPr>
        <w:pStyle w:val="TextoNormal"/>
      </w:pPr>
      <w:r>
        <w:t>a) La delegada sindical del personal de administración y servicios laboral de la Universidad de Murcia interpuso demanda de conflicto colectivo contra la Universidad de Murcia por el impago, al personal de administración y servicios de la citada Universidad, del complemento de productividad fija semestral correspondiente a diciembre de 2012.</w:t>
      </w:r>
    </w:p>
    <w:p w:rsidR="00B85568" w:rsidRDefault="00B85568" w:rsidP="00B85568">
      <w:pPr>
        <w:pStyle w:val="TextoNormal"/>
      </w:pPr>
    </w:p>
    <w:p w:rsidR="00B85568" w:rsidRDefault="00B85568" w:rsidP="00B85568">
      <w:pPr>
        <w:pStyle w:val="TextoNormal"/>
      </w:pPr>
      <w:r>
        <w:t>b) Concluso el procedimiento y dentro del plazo para dictar Sentencia, la Sala de lo Social del Tribunal Superior de Justicia de Murcia dictó providencia de 20 de junio mayo de 2014 por la que acordó oír al Ministerio Fiscal para que alegase sobre la pertinencia de plantear cuestión de inconstitucionalidad sobre el art. 2 del Real Decreto-ley 20/2012, de 13 de julio, de medidas para garantizar la estabilidad presupuestaria y de fomento de la competitividad, por posible vulneración del art. 9.3 CE. Entiende el órgano judicial que “la duda de constitucionalidad se concreta en que el artículo 2.1 del RDL 20/2012 establece la supresión, para todo el personal del sector público definido en el artículo 22.Uno de la L (</w:t>
      </w:r>
      <w:r w:rsidRPr="00B85568">
        <w:rPr>
          <w:i/>
        </w:rPr>
        <w:t>sic</w:t>
      </w:r>
      <w:r>
        <w:t>) 2/2012, tanto de la paga extraordinaria de diciembre de 2012, como de la paga adicional del complemento específico o pagas adicionales equivalentes de dicho mes” y el artículo 2 de la Ley autonómica 9/2012, reitera en su apartado 1 lo dispuesto en el precepto anteriormente citado, para posteriormente desarrollarlo en el apartado segundo, en cuyo punto 1 (personal estatutario y funcionarios) concreta que “tampoco se percibirán las cuantías correspondientes al resto de conceptos retributivos que integran tanto la paga extraordinaria como la paga adicional de complemento específico o pagas adicionales equivalentes del mes de diciembre del año 2012, incluyendo en estas pagas los conceptos de productividad semestral, factores de complemento de destino y complemento específico que se perciben proporcionalmente al tiempo de servicios prestados en el semestre anterior a su devengo, en los mismos términos establecidos para las pagas extraordinarias en el ámbito de la administración regional”. Considerando que, en el presente caso, la paga de devengo semestral denominada “complemento de productividad fija semestral” tiene carácter salarial y a la misma es aplicable la jurisprudencia del Tribunal Supremo que viene a establecer que en su condición de salario diferido se devenga día a día, las disposiciones controvertidas que establecen su supresión sin excepción alguna respecto de la parte que ya se hubiera devengado a la fecha de su entrada en vigor pudieran vulnerar lo dispuesto en el artículo 9.3. CE, según el cual la constitución garantiza la irretroactividad de las disposiciones restrictivas de derechos individuales; en la medida en que las citadas disposiciones suprimen el derecho a percibir cantidades ya devengadas, expresamos nuestras dudas sobre su ajuste constitucional.</w:t>
      </w:r>
    </w:p>
    <w:p w:rsidR="00B85568" w:rsidRDefault="00B85568" w:rsidP="00B85568">
      <w:pPr>
        <w:pStyle w:val="TextoNormal"/>
      </w:pPr>
    </w:p>
    <w:p w:rsidR="00B85568" w:rsidRDefault="00B85568" w:rsidP="00B85568">
      <w:pPr>
        <w:pStyle w:val="TextoNormal"/>
      </w:pPr>
      <w:r>
        <w:t>La citada providencia añadía: “No procede la audiencia de las partes sobre el mismo extremo ya que las mismas se han pronunciado sobre el mismo con ocasión de la vista del juicio celebrado, en tanto en cuanto la demanda, como petición principal, solicitaba el planteamiento de la cuestión de inconstitucionalidad”.</w:t>
      </w:r>
    </w:p>
    <w:p w:rsidR="00B85568" w:rsidRDefault="00B85568" w:rsidP="00B85568">
      <w:pPr>
        <w:pStyle w:val="TextoNormal"/>
      </w:pPr>
    </w:p>
    <w:p w:rsidR="00B85568" w:rsidRDefault="00B85568" w:rsidP="00B85568">
      <w:pPr>
        <w:pStyle w:val="TextoNormal"/>
      </w:pPr>
      <w:r>
        <w:t>El Ministerio Fiscal consideró procedente el planteamiento de la cuestión.</w:t>
      </w:r>
    </w:p>
    <w:p w:rsidR="00B85568" w:rsidRDefault="00B85568" w:rsidP="00B85568">
      <w:pPr>
        <w:pStyle w:val="TextoNormal"/>
      </w:pPr>
    </w:p>
    <w:p w:rsidR="00B85568" w:rsidRDefault="00B85568" w:rsidP="00B85568">
      <w:pPr>
        <w:pStyle w:val="TextoNormal"/>
      </w:pPr>
      <w:r>
        <w:t>c) En fecha 22 de septiembre de 2014, el órgano judicial dictó Auto planteando la cuestión de inconstitucionalidad en relación con los con el artículo 2, apartados 1 y 2.2 del Real Decreto-ley 20/2012, de 13 de julio.</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planteamiento fundamenta el planteamiento de la cuestión de inconstitucionalidad en las consideraciones que seguidamente, y de forma resumida, se indican:</w:t>
      </w:r>
    </w:p>
    <w:p w:rsidR="00B85568" w:rsidRDefault="00B85568" w:rsidP="00B85568">
      <w:pPr>
        <w:pStyle w:val="TextoNormal"/>
      </w:pPr>
    </w:p>
    <w:p w:rsidR="00B85568" w:rsidRDefault="00B85568" w:rsidP="00B85568">
      <w:pPr>
        <w:pStyle w:val="TextoNormal"/>
      </w:pPr>
      <w:r>
        <w:t>Tras hacer referencia al Real Decreto-ley 20/2012, de 13 de julio, de medidas para garantizar la estabilidad presupuestaria y de fomento de la competitividad, que entró en vigor el 15 de julio de 2012 y a la Ley 9/2012, de 8 de noviembre, de adaptación de la normativa regional en materia de función pública al Real Decreto-ley 20/2012, de 13 de julio, de medidas para garantizar la estabilidad presupuestaria y de fomento de la competitividad, el órgano judicial expone que los conceptos retributivos reclamados en el conflicto colectivo —el llamado “complemento de productividad fija semestral”— no se abonó al personal laboral de admiración y servicios que presta servicios para la Universidad de Murcia en la nómina correspondiente, en aplicación directa del Real Decreto-ley 20/2012, de 13 de julio.</w:t>
      </w:r>
    </w:p>
    <w:p w:rsidR="00B85568" w:rsidRDefault="00B85568" w:rsidP="00B85568">
      <w:pPr>
        <w:pStyle w:val="TextoNormal"/>
      </w:pPr>
    </w:p>
    <w:p w:rsidR="00B85568" w:rsidRDefault="00B85568" w:rsidP="00B85568">
      <w:pPr>
        <w:pStyle w:val="TextoNormal"/>
      </w:pPr>
      <w:r>
        <w:t>A continuación expone que la parte demandante solicitó, con carácter principal, el planteamiento de cuestión de inconstitucionalidad argumentando que, a pesar de lo establecido en el art. 2 del Real Decreto-ley 20/2012, no procedía descontar o detraer de la paga extraordinaria correspondiente a diciembre de 2012, la parte proporcional de la misma ya devengada al momento de la entrada en vigor de la citada norma, lo que ocurrió el 15 de julio de 2012, porque se trata de paga de devengo mensual. A ello añade que, de acuerdo con el art. 9.3 CE no cabe que la supresión opere de modo retroactivo sino sólo a partir del 15 de julio, teniendo en cuenta la doctrina jurisprudencial según la cual las pagas extras se devengan día a día y son salario diferido. Finalmente pone de relieve que tanto la Universidad de Murcia como el Ministerio Fiscal entendieron que había que plantear cuestión de inconstitucionalidad.</w:t>
      </w:r>
    </w:p>
    <w:p w:rsidR="00B85568" w:rsidRDefault="00B85568" w:rsidP="00B85568">
      <w:pPr>
        <w:pStyle w:val="TextoNormal"/>
      </w:pPr>
    </w:p>
    <w:p w:rsidR="00B85568" w:rsidRDefault="00B85568" w:rsidP="00B85568">
      <w:pPr>
        <w:pStyle w:val="TextoNormal"/>
      </w:pPr>
      <w:r>
        <w:t>Razona el órgano judicial que la paga extraordinaria tiene naturaleza salarial y que, conforme a la jurisprudencia del Tribunal Supremo, es de devengo diario y cobro aplazado. Entiende por ello que el derecho del trabajador a percibir la parte proporcional de la paga extraordinaria devengada y no pagada debe calificarse como derecho individual, habiendo establecido la doctrina del Tribunal Constitucional que los derechos a una retribución ya generada, aunque no haya sido percibida, son derechos individuales a los efectos del art. 9.3 CE (AATC 179/2011, de 13 de noviembre, y 8/2013, de 15 de enero).</w:t>
      </w:r>
    </w:p>
    <w:p w:rsidR="00B85568" w:rsidRDefault="00B85568" w:rsidP="00B85568">
      <w:pPr>
        <w:pStyle w:val="TextoNormal"/>
      </w:pPr>
    </w:p>
    <w:p w:rsidR="00B85568" w:rsidRDefault="00B85568" w:rsidP="00B85568">
      <w:pPr>
        <w:pStyle w:val="TextoNormal"/>
      </w:pPr>
      <w:r>
        <w:t>Considera el órgano judicial que los términos del art. 2 del Real Decreto-ley 20/2012 son claros en cuanto que viene a suprimir la percepción de la paga extraordinaria del mes de diciembre del año 2012 para el personal laboral del sector público, lo que, a su juicio, se confirma en el art. 6, precepto que aclara dudas al afirmar que la supresión se refiere a todo el año 2012. Por ello considera que se confirma la naturaleza retroactiva de la supresión acordada por el art. 2, que alcanza a las partes devengadas durante todo el año 2012.</w:t>
      </w:r>
    </w:p>
    <w:p w:rsidR="00B85568" w:rsidRDefault="00B85568" w:rsidP="00B85568">
      <w:pPr>
        <w:pStyle w:val="TextoNormal"/>
      </w:pPr>
    </w:p>
    <w:p w:rsidR="00B85568" w:rsidRDefault="00B85568" w:rsidP="00B85568">
      <w:pPr>
        <w:pStyle w:val="TextoNormal"/>
      </w:pPr>
      <w:r>
        <w:t>Y añade que lo anteriormente argumentado en relación con las pagas extraordinarias es aplicable al concepto retributivo objeto del concreto litigio en el que se dicta el Auto, por su periodicidad semestral, máxime cuando el art 40 del convenio colectivo aplicable lo denomina “complemento de paga extraordinaria (productividad fija)”.</w:t>
      </w:r>
    </w:p>
    <w:p w:rsidR="00B85568" w:rsidRDefault="00B85568" w:rsidP="00B85568">
      <w:pPr>
        <w:pStyle w:val="TextoNormal"/>
      </w:pPr>
    </w:p>
    <w:p w:rsidR="00B85568" w:rsidRDefault="00B85568" w:rsidP="00B85568">
      <w:pPr>
        <w:pStyle w:val="TextoNormal"/>
      </w:pPr>
      <w:r>
        <w:t>El Auto concluye señalando que “en atención a lo anteriormente expuesto … procede plantear cuestión de inconstitucionalidad de los artículos 2 del RDL 20/2012, así como respecto del artículo 2, apartados 1 y 2, de la ley autonómica 9/2012, por posible infracción de la prohibición de retroactividad de las normas restrictivas de derechos individuales que garantiza el artículo 9.3 de la CE y del principio de seguridad jurídica”.</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2 de diciembre de 2014, la Sección Cuarta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el 26 de diciembre de 2014, en el que interesa la admisión a trámite de la presente cuestión de inconstitucionalidad.</w:t>
      </w:r>
    </w:p>
    <w:p w:rsidR="00B85568" w:rsidRDefault="00B85568" w:rsidP="00B85568">
      <w:pPr>
        <w:pStyle w:val="TextoNormal"/>
      </w:pPr>
    </w:p>
    <w:p w:rsidR="00B85568" w:rsidRDefault="00B85568" w:rsidP="00B85568">
      <w:pPr>
        <w:pStyle w:val="TextoNormal"/>
      </w:pPr>
      <w:r>
        <w:t xml:space="preserve">Señala, en primer lugar, que los juicios de aplicabilidad y relevancia están correctamente formulados, pues el Auto de planteamiento justifica en qué medida el fallo del conflicto planteado depende de la validez de la norma cuestionada. Y añade que el citado Auto no incluye solamente la referencia a la norma estatal, sino que incluye también el artículo 2, apartados 1 y 2 de la Ley 9/2012, de 8 de noviembre —que reproduce— y que son también determinantes del fallo. Constata que el concepto retributivo reclamado en el conflicto colectivo tramitado ante el órgano </w:t>
      </w:r>
      <w:r w:rsidRPr="00B85568">
        <w:rPr>
          <w:i/>
        </w:rPr>
        <w:t>a quo</w:t>
      </w:r>
      <w:r>
        <w:t xml:space="preserve"> es denominado por el art 40 del convenio colectivo aplicable “complemento de paga extraordinaria”, y ello le lleva a considerar que el impago del mismo proviene de la aplicación de la norma autonómica cuestionada. Por consiguiente, concluye, las normas tanto estatal como autonómica resultan aplicables para la resolución del pleito y de su validez depende el fallo, habiendo exteriorizado el órgano judicial el esquema argumental que le conduce a tal conclusión.</w:t>
      </w:r>
    </w:p>
    <w:p w:rsidR="00B85568" w:rsidRDefault="00B85568" w:rsidP="00B85568">
      <w:pPr>
        <w:pStyle w:val="TextoNormal"/>
      </w:pPr>
    </w:p>
    <w:p w:rsidR="00B85568" w:rsidRDefault="00B85568" w:rsidP="00B85568">
      <w:pPr>
        <w:pStyle w:val="TextoNormal"/>
      </w:pPr>
      <w:r>
        <w:t>Considera en segundo lugar correctamente cumplido el trámite de audiencia a las partes exigido por el art. 35.2 LOTC, con el dictado de la providencia de 20 de junio de 2014 dando traslado por diez días a las partes personadas y al Ministerio Fiscal.</w:t>
      </w:r>
    </w:p>
    <w:p w:rsidR="00B85568" w:rsidRDefault="00B85568" w:rsidP="00B85568">
      <w:pPr>
        <w:pStyle w:val="TextoNormal"/>
      </w:pPr>
    </w:p>
    <w:p w:rsidR="00B85568" w:rsidRDefault="00B85568" w:rsidP="00B85568">
      <w:pPr>
        <w:pStyle w:val="TextoNormal"/>
      </w:pPr>
      <w:r>
        <w:t>Y termina advirtiendo que aun cuando en la parte dispositiva del Auto de planteamiento no se cita de forma expresa el art. 2.2 de la Ley autonómica, la alusión a la citada Ley 9/2012 en el último fundamento de derecho de la resolución dictada y el propio tenor de esa parte dispositiva le llevan a entender que se trata de una omisión irrelevante o de un mero error material, pero que es claro el propósito de la Sala de Murcia de plantear la duda de constitucionalidad respecto de ambas.</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La providencia de la Sección Cuarta de este Tribunal que abrió el trámite de admisión del art. 37.1 de la Ley Orgánica del Tribunal Constitucional (LOTC) ya advertía que la duda sobre la admisibilidad de la presente cuestión de inconstitucionalidad surgía “en relación con el cumplimiento de los requisitos procesales (art. 35.2 LOTC)”. Pues bien, esa cuestión procesal es la misma ya examinada y resuelta en el ATC 266/2014, de 4 de noviembre, que inadmitió la cuestión de inconstitucionalidad núm. 4580-2014, planteada por el mismo órgano jurisdiccional —la Sala de lo Social del Tribunal Superior de Justicia de Murcia— con ocasión de un proceso idéntico a los efectos que nos ocupan (la reclamación interpuesta por determinados trabajadores de la Universidad de Murcia para obtener el pago de conceptos retributivos suprimidos por el Real Decreto-ley 20/2012 y la normativa autonómica correspondiente).</w:t>
      </w:r>
    </w:p>
    <w:p w:rsidR="00B85568" w:rsidRDefault="00B85568" w:rsidP="00B85568">
      <w:pPr>
        <w:pStyle w:val="TextoNormal"/>
      </w:pPr>
    </w:p>
    <w:p w:rsidR="00B85568" w:rsidRDefault="00B85568" w:rsidP="00B85568">
      <w:pPr>
        <w:pStyle w:val="TextoNormal"/>
      </w:pPr>
      <w:r>
        <w:t xml:space="preserve">En ese otro caso, igual que aquí, al considerar la Sala </w:t>
      </w:r>
      <w:r w:rsidRPr="00B85568">
        <w:rPr>
          <w:i/>
        </w:rPr>
        <w:t>a quo</w:t>
      </w:r>
      <w:r>
        <w:t xml:space="preserve"> que las partes que habían intervenido en el correspondiente proceso ante ella tramitado habían argumentado ya suficientemente a lo largo de los sucesivos trámites del mismo sobre la procedencia o improcedencia de plantear la presente cuestión de inconstitucionalidad en relación con los preceptos legales de los que derivaba —a su juicio— la meritada supresión de conceptos retributivos, en el trámite de audiencia ordenado en el art. 35.2 LOTC decidió no dar audiencia a esas personas o entidades —sin perjuicio de notificarles la resolución— y dársela solamente al Ministerio Fiscal que de conformidad con su estatuto no había intervenido previamente en el mismo.</w:t>
      </w:r>
    </w:p>
    <w:p w:rsidR="00B85568" w:rsidRDefault="00B85568" w:rsidP="00B85568">
      <w:pPr>
        <w:pStyle w:val="TextoNormal"/>
      </w:pPr>
    </w:p>
    <w:p w:rsidR="00B85568" w:rsidRDefault="00B85568" w:rsidP="00B85568">
      <w:pPr>
        <w:pStyle w:val="TextoNormal"/>
      </w:pPr>
      <w:r>
        <w:t>Pues bien, esta manera de proceder ya fue considerada insuficiente —y por consiguiente determinante de la inadmisión de la correspondiente cuestión— en el citado ATC 266/2014, de 4 de noviembre. Y ello hace que, a la vista la identidad sustancial que este caso presenta con aquel, debamos llegar aquí a la misma conclusión.</w:t>
      </w:r>
    </w:p>
    <w:p w:rsidR="00B85568" w:rsidRDefault="00B85568" w:rsidP="00B85568">
      <w:pPr>
        <w:pStyle w:val="TextoNormal"/>
      </w:pPr>
    </w:p>
    <w:p w:rsidR="00B85568" w:rsidRDefault="00B85568" w:rsidP="00B85568">
      <w:pPr>
        <w:pStyle w:val="TextoNormal"/>
      </w:pPr>
      <w:r>
        <w:t xml:space="preserve">En efecto, como allí recordábamos, el trámite de audiencia exigido por el art. 35.2 LOTC debe cumplimentarse de forma autónoma pues “‘es doctrina reiterada de este Tribunal que la omisión del trámite de audiencia de una de las partes constituye sin duda una irregularidad del procedimiento que debe llevar a considerarlo incorrectamente tramitado (ATC 299/2005, de 5 de julio, FJ 3). Como hemos señalado en la STC 222/2012, de 27 de noviembre, FJ 4, la audiencia previa a las partes no es una secuencia del proceso </w:t>
      </w:r>
      <w:r w:rsidRPr="00B85568">
        <w:rPr>
          <w:i/>
        </w:rPr>
        <w:t>a quo</w:t>
      </w:r>
      <w:r>
        <w:t>, sino una pieza preliminar del posterior y eventual proceso constitucional, ya que, como también hemos indicado en el ATC 220/2012, de 27 de noviembre, está en juego la posibilidad de alegar sobre la pertinencia de plantear la cuestión, de modo que lo determinante es que las partes, comparecidas o no ante el órgano judicial, tengan la opción de ser oídas y expresar su parecer sobre una decisión de tanta entidad como el planteamiento de una cuestión de inconstitucionalidad’ (ATC 24/2013, de 29 de enero, FJ 3)” (ATC 266/2014, FJ 3).</w:t>
      </w:r>
    </w:p>
    <w:p w:rsidR="00B85568" w:rsidRDefault="00B85568" w:rsidP="00B85568">
      <w:pPr>
        <w:pStyle w:val="TextoNormal"/>
      </w:pPr>
    </w:p>
    <w:p w:rsidR="00B85568" w:rsidRDefault="00B85568" w:rsidP="00B85568">
      <w:pPr>
        <w:pStyle w:val="TextoNormal"/>
      </w:pPr>
      <w:r>
        <w:t>En aplicación de lo expuesto, y sin necesidad de entrar en consideraciones sobre el fondo, procede rechazar ya en este trámite de admisión la presente cuestión de inconstitucionalidad por faltar las condiciones procesales (art. 37.1, en relación con el art. 35.2, LOTC).</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tres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3" w:name="AUTO_2015_53"/>
      <w:r>
        <w:t>AUTO 53/2015, de 3 de marzo de 2015</w:t>
      </w:r>
    </w:p>
    <w:bookmarkEnd w:id="203"/>
    <w:p w:rsidR="00B85568" w:rsidRDefault="00B85568" w:rsidP="00B85568">
      <w:pPr>
        <w:pStyle w:val="TtuloResolucin"/>
      </w:pPr>
      <w:r>
        <w:t>Pleno</w:t>
      </w:r>
    </w:p>
    <w:p w:rsidR="00B85568" w:rsidRDefault="00B85568" w:rsidP="00B85568">
      <w:pPr>
        <w:pStyle w:val="TextoNormalCentrado"/>
      </w:pPr>
      <w:r>
        <w:t>ECLI:ES:TC:2015:53A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Mantiene la suspensión acordada en la impugnación de las disposiciones autonómicas 6415-2014, promovida por el Gobierno de la Nación en relación con diversos preceptos del Decreto del Gobierno de Canarias 95/2014, de 25 de septiembre, por el que se aprueba el Reglamento de las consultas a la ciudadanía en asuntos de interés general de competencia de la Comunidad Autónoma de Canarias.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registrado en este Tribunal el 27 de octubre de 2014, el Abogado del Estado impugnó los arts. 3 y 4 del capítulo I, y 9 a 26 del capítulo III del anexo del Decreto del Gobierno de Canarias 95/2014, de 25 de septiembre, por el que se aprueba el Reglamento de las consultas a la ciudadanía en asuntos de interés general de competencia de la Comunidad Autónoma de Canarias, al amparo del art. 161.2 CE y de los arts. 76 y 77 (título V) de la Ley Orgánica del Tribunal Constitucional (LOTC), con invocación expresa del art. 161.2 CE a efectos de la suspensión de la vigencia y aplicación de la norma impugnada. El 31 del mismo mes y año, el Abogado del Estado solicitó la subsanación del error material advertido en el encabezamiento y suplico de la demanda, consistente en omitir la referencia a las disposiciones derogatoria única y finales primera y segunda contra las que también se dirige la impugnación.</w:t>
      </w:r>
    </w:p>
    <w:p w:rsidR="00B85568" w:rsidRDefault="00B85568" w:rsidP="00B85568">
      <w:pPr>
        <w:pStyle w:val="TextoNormal"/>
      </w:pPr>
    </w:p>
    <w:p w:rsidR="00B85568" w:rsidRDefault="00B85568" w:rsidP="00B85568">
      <w:pPr>
        <w:pStyle w:val="TextoNormal"/>
      </w:pPr>
      <w:r w:rsidRPr="00B85568">
        <w:rPr>
          <w:rStyle w:val="NumeroAFNegritaCaracter"/>
        </w:rPr>
        <w:t>2</w:t>
      </w:r>
      <w:r>
        <w:t>. El Pleno del Tribunal Constitucional acordó, mediante providencia de 4 de noviembre de 2014, admitir a trámite la impugnación de disposiciones autonómicas promovida por el Gobierno de la Nación en relación con los arts. 3 y 4 del capítulo I, 9 a 26 del capítulo III del anexo y disposiciones derogatoria única y finales primera y segunda del Decreto del Gobierno de Canarias 95/2014, dar traslado de la demanda al Gobierno de Canarias, tener por invocado el art. 161.2 CE, lo que produce la suspensión de los efectos impugnados y publicar la incoación de la impugnación en el “Boletín Oficial del Estado” y en el “Boletín Oficial de Canarias”.</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escrito registrado el 5 de noviembre de 2014, la Directora General del servicio jurídico del Gobierno de Canarias se personó en el procedimiento y solicitó prórroga del plazo para realizar alegaciones. El día 12 del mismo mes y año presentó nuevo escrito aportando el acuerdo de 6 de noviembre de 2014 del Gobierno de Canarias que facultaba su personación en el mismo, reiterando la petición de ampliación del plazo conferido para alegaciones.</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13 de noviembre de 2014 el Pleno tuvo por personado al Gobierno de Canarias y prorrogó por diez días el plazo concedido para realizar alegaciones. Las alegaciones del Gobierno de Canarias tuvieron entrada en este Tribunal el 16 de diciembre de 2014.</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providencia de 20 de enero de 2015 el Pleno acordó oír a las partes personadas para que en el plazo de cinco días expusieran lo que estimaran procedente acerca del mantenimiento o levantamiento de la suspensión.</w:t>
      </w:r>
    </w:p>
    <w:p w:rsidR="00B85568" w:rsidRDefault="00B85568" w:rsidP="00B85568">
      <w:pPr>
        <w:pStyle w:val="TextoNormal"/>
      </w:pPr>
    </w:p>
    <w:p w:rsidR="00B85568" w:rsidRDefault="00B85568" w:rsidP="00B85568">
      <w:pPr>
        <w:pStyle w:val="TextoNormal"/>
      </w:pPr>
      <w:r w:rsidRPr="00B85568">
        <w:rPr>
          <w:rStyle w:val="NumeroAFNegritaCaracter"/>
        </w:rPr>
        <w:t>6</w:t>
      </w:r>
      <w:r>
        <w:t xml:space="preserve">. El 28 de enero de 2015 tuvo entrada en el Registro General del Tribunal Constitucional el escrito de alegaciones del Abogado del Estado. Recuerda éste, en primer lugar, la doctrina constitucional sobre la suspensión de las disposiciones impugnadas por el Gobierno, según la cual es necesario ponderar tanto los intereses generales y particulares afectados por el mantenimiento o levantamiento de la suspensión como los perjuicios de imposible reparación que pudieran derivarse de la decisión que se adopte, a partir del examen de las situaciones de hecho creadas y al margen de la viabilidad de fondo de las pretensiones de la demanda. Entiende, no obstante, que aunque el Tribunal alude a las situaciones de hecho creadas, deben examinarse también las que podrían crearse, y que el </w:t>
      </w:r>
      <w:r w:rsidRPr="00B85568">
        <w:rPr>
          <w:i/>
        </w:rPr>
        <w:t>fumus boni iuris</w:t>
      </w:r>
      <w:r>
        <w:t xml:space="preserve"> debe ser considerado cuando se trata de cuestiones competenciales, pues éste se halla conectado con el grado de unidad legislativa que ha de tener la regulación básica a nivel estatal evitando que con la aplicación de la medida cautelar se altere una situación consolidada en cuanto al criterio jurídico constitucional competencial sobre la cuestión. En este sentido, continúa, los aspectos referentes a las instituciones de democracia directa deben ser abordadas con un especial ánimo restrictivo, sin que pueda olvidarse que en alguna ocasión anterior este Tribunal ha adoptado una medida cautelar por “bloqueo de la competencia estatal” (ATC 36/2005, FJ 5), bloqueo que en este caso se produce por desconocimiento y vulneración de la propia norma estatutaria que exige la autorización del Estado para la validez constitucional de consultas populares.</w:t>
      </w:r>
    </w:p>
    <w:p w:rsidR="00B85568" w:rsidRDefault="00B85568" w:rsidP="00B85568">
      <w:pPr>
        <w:pStyle w:val="TextoNormal"/>
      </w:pPr>
    </w:p>
    <w:p w:rsidR="00B85568" w:rsidRDefault="00B85568" w:rsidP="00B85568">
      <w:pPr>
        <w:pStyle w:val="TextoNormal"/>
      </w:pPr>
      <w:r>
        <w:t>En cuanto a las consecuencias de la decisión sobre la suspensión de la norma impugnada, entiende que procede porque los preceptos recurridos forman parte de un bloque que sólo puede ser aplicado sistemáticamente. Siendo el objeto del procedimiento fundamentalmente competencial y reivindicando el Estado la competencia para la regulación y autorización de las consultas, autorización contemplada tanto en el art. 32 del Estatuto de Autonomía de Canarias (EACan) como en la Ley de Canarias 5/2010, de 21 de junio, el reglamento impugnado carece de cobertura legal alguna y representa una infracción estatutaria. La suspensión conllevaría la preservación de la democracia representativa y del derecho a la participación política y en la medida en que el reglamento afecta a la citada participación, no puede ser aplicado antes de que sea enjuiciado constitucionalmente. En caso contrario, los pronunciamientos que se llevaran a efecto estarían afectados por la eventual declaración de inconstitucionalidad y la ilegalidad de su resultado, siendo así que en el ATC 5/2003, el Tribunal ha afirmado que dado que lo que está en juego es un proceso electoral y podrían ser cuestionados no sólo sus resultados, el quebranto del principio de seguridad jurídica que todo ello genera aconseja el mantenimiento de la suspensión. Por el contrario, el mantenimiento de la suspensión no podría causar perjuicio al derecho fundamental de participación en los asuntos públicos de los ciudadanos, teniendo en cuenta que protege el correcto ejercicio de este derecho, y que el ATC 87/2011, ha reparado en la falta de lesión de este derecho, habida cuenta de que se trata de una figura extraordinaria en nuestro sistema político con primacía de los mecanismos de democracia representativa. Pero aun cuando, a efectos dialécticos, se admitiera que la participación directa fuera un interés general que debe primar sobre cualquier otro, se trata de un derecho no sometido a plazo que se vería satisfecho una vez que el Tribunal Constitucional se pronunciase sobre el objeto de esta impugnación. En todo caso, el levantamiento de la suspensión supondría un perjuicio para la seguridad jurídica: las consultas que se celebrasen estarían amenazadas por su ilegalidad en el ámbito de un derecho fundamental, con la consiguiente incertidumbre y un daño a las expectativas legítimas de quienes ejercieran su derecho de voto en las mismas, tesis esta que fue tenida en cuenta en los AATC 5/2003, de 14 de enero, y 7/2003, de 20 de enero. A ello hay que añadir que determinadas prescripciones del decreto impugnado incrementan los perjuicios irreparables al interés general como es el caso de la participación de menores, extranjeros y entidades que no gozan del derecho a la participación política, pero que integrarían de manera ilegal el resultado electoral. Así mismo, la formación del registro de participación o censo electoral conllevaría una transferencia ilegal de datos personales con la consiguiente vulneración del derecho fundamental del art. 18.4 CE que tampoco sería, como lo anterior, subsanable por la sentencia que pusiera fin a este proceso, y lo mismo cabe decir respecto del sistema de garantías electorales que determinaría que el resultado de las consultas que se hicieran no pudiera ser validado. Finalmente, invoca el Abogado del Estado la situación de bloqueo constitucional de la competencia estatal que se ocasionaría de levantarse la suspensión, en concreto de la que se ejercita al autorizar la consulta de acuerdo con lo establecido en el Estatuto de Autonomía, y de la que prescinde el decreto impugnado.</w:t>
      </w:r>
    </w:p>
    <w:p w:rsidR="00B85568" w:rsidRDefault="00B85568" w:rsidP="00B85568">
      <w:pPr>
        <w:pStyle w:val="TextoNormal"/>
      </w:pPr>
    </w:p>
    <w:p w:rsidR="00B85568" w:rsidRDefault="00B85568" w:rsidP="00B85568">
      <w:pPr>
        <w:pStyle w:val="TextoNormal"/>
      </w:pPr>
      <w:r>
        <w:t>En atención a las razones expuestas el Abogado del Estado suplica el mantenimiento de la suspensión.</w:t>
      </w:r>
    </w:p>
    <w:p w:rsidR="00B85568" w:rsidRDefault="00B85568" w:rsidP="00B85568">
      <w:pPr>
        <w:pStyle w:val="TextoNormal"/>
      </w:pPr>
    </w:p>
    <w:p w:rsidR="00B85568" w:rsidRDefault="00B85568" w:rsidP="00B85568">
      <w:pPr>
        <w:pStyle w:val="TextoNormal"/>
      </w:pPr>
      <w:r w:rsidRPr="00B85568">
        <w:rPr>
          <w:rStyle w:val="NumeroAFNegritaCaracter"/>
        </w:rPr>
        <w:t>7</w:t>
      </w:r>
      <w:r>
        <w:t>. Mediante escrito que tuvo entrada en este Tribunal el 28 de enero de 2015, la Directora General del Servicio Jurídico del Gobierno de Canarias solicitó el levantamiento de la suspensión con base en las alegaciones que a continuación se exponen. Recuerda, en primer lugar, que el mantenimiento de la suspensión no podría alcanzar al art. 3 del Decreto impugnado al no estar este precepto incluido en el acuerdo del Consejo de Ministros de 24 de octubre de 2014 por el que se ordena la impugnación. Anticipa, además, que ante una eventual alegación por la Abogacía del Estado que pretendiera aproximar este supuesto a lo que está ocurriendo en otra Comunidad Autónoma, debe destacarse que no hay indicios de que se vaya a convocar una consulta popular que pudiera afectar a competencias estatales que pudieran quebrar principios como el de la unidad del Estado (ATC 87/2011). A continuación recuerda la doctrina constitucional y los límites impuestos para abordar el mantenimiento o levantamiento de la suspensión: (i) que debe estar desvinculada del fondo de la cuestión debatida; (ii) que no es admisible invocar razones de seguridad jurídica derivadas de las consecuencias que pudiera acarrear una sentencia estimatoria; (iii) que no caben alegaciones de orden competencial; (iv) que no estamos ante un supuesto de bloqueo de las competencias atribuidas al Estado limitada a las situaciones en las que existe una palmaria competencia estatal que no admite discusión, cuando el reglamento impugnado ha sido especialmente cuidadoso en no invadir competencia estatal alguna; y (v) que los perjuicios del levantamiento de la suspensión deben ser alegados y acreditados por la Abogacía del Estado, más allá de su mera cita, de modo que sea posible su ponderación.</w:t>
      </w:r>
    </w:p>
    <w:p w:rsidR="00B85568" w:rsidRDefault="00B85568" w:rsidP="00B85568">
      <w:pPr>
        <w:pStyle w:val="TextoNormal"/>
      </w:pPr>
    </w:p>
    <w:p w:rsidR="00B85568" w:rsidRDefault="00B85568" w:rsidP="00B85568">
      <w:pPr>
        <w:pStyle w:val="TextoNormal"/>
      </w:pPr>
      <w:r>
        <w:t>Entrando en la ponderación de los intereses en conflicto, expone la Letrada de la Comunidad Autónoma que el levantamiento de la suspensión de una norma que favorece la participación de los ciudadanos en la vida política, económica, cultural y social propia de su ámbito territorial no puede conllevar perjuicio alguno para la participación política, pues se trata de participación ciudadana a la que se refiere el art. 9.2 CE. Por otra parte, la aplicación de la norma requiere de actos administrativos concretos de aplicación. Tal y como afirmó el ATC 87/2011, cabe descartar, por hipotéticos, los perjuicios vinculados a la promoción de eventuales consultas relacionadas con el pacto fiscal o derecho a decidir, pues el hecho de que tales consultas puedan ser convocadas no puede ser entendido como una directa consecuencia de la vigencia de los preceptos impugnados y suspendidos, en cuanto la norma se limita a regular las consultas populares sin hacer alusión a las cuestiones concretas que, eventualmente, pudieran ser objeto de consulta. A diferencia del supuesto entonces analizado —se discutía el levantamiento de la suspensión de una ley que regulaba consultas populares por vía de referéndum—, en este caso se trata de una modalidad de participación ciudadana a través de la pregunta directa, no existen tampoco intereses particulares que puedan verse afectados salvo que se entienda por tales los de la ciudadanía en general que habrá de ver cercenada, de mantenerse la suspensión, la posibilidad de participar o expresar su opinión en asuntos de interés general de competencia de la Comunidad Autónoma. Debe tenerse en cuenta que la regulación normativa define un marco jurídico concreto en cuyo seno pueden convocarse preguntas concretas a la ciudadanía, pero no dice que, en todo caso, esté llamada a participar el conjunto de la soberanía a que se refiere el artículo 3 y que el Abogado del Estado hace coincidir con el cuerpo electoral. Se trata, en definitiva, de una norma que establece un régimen jurídico que carece en sí mismo de efectos y que requiere de un acto posterior que será, en su caso, el que podrá incurrir en infracción constitucional. De aquí que el mantenimiento de la suspensión tendría carácter preventivo y estaría hurtando a la ciudadanía de Canarias la posibilidad de expresar su opinión en asuntos que les afecten y de la competencia de la Comunidad Autónoma.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objeto de esta resolución es determinar si procede mantener o levantar la suspensión de los arts. 3 y 4 del capítulo I, 9 a 26 del capítulo III del anexo y disposiciones derogatorias única y finales primera y segunda del Decreto del Gobierno de Canarias 95/2014, de 25 de septiembre, acordada por providencia del Pleno de 4 de noviembre de 2014. La norma impugnada desarrolla, según señala su exposición de motivos, el art. 20 de la Ley Canaria 5/2010, de 21 de junio, de acuerdo con el cual, el Gobierno podrá recabar la opinión de la ciudadanía sobre asuntos de interés general de competencia autonómica, mediante sondeos, encuestas o cualquier otro instrumento de participación ciudadana, aunque las vulneraciones invocadas por el Abogado del Estado se limitan a las preguntas directas y no al resto de las formas de participación que la disposición reglamentaria regula.</w:t>
      </w:r>
    </w:p>
    <w:p w:rsidR="00B85568" w:rsidRDefault="00B85568" w:rsidP="00B85568">
      <w:pPr>
        <w:pStyle w:val="TextoNormal"/>
      </w:pPr>
    </w:p>
    <w:p w:rsidR="00B85568" w:rsidRDefault="00B85568" w:rsidP="00B85568">
      <w:pPr>
        <w:pStyle w:val="TextoNormal"/>
      </w:pPr>
      <w:r w:rsidRPr="00B85568">
        <w:rPr>
          <w:rStyle w:val="NumeroAFNegritaCaracter"/>
        </w:rPr>
        <w:t>2</w:t>
      </w:r>
      <w:r>
        <w:t>. Procede, en primer lugar, dar respuesta a la alegación del Gobierno de Canarias conforme a la cual la suspensión no podría mantenerse en relación al art. 3 del Decreto autonómico, en cuanto no se encuentra incluido en el acuerdo del Consejo de Ministros de 24 de octubre de 2014, autorizando la impugnación parcial de la disposición reglamentaria impugnada. Como señalamos en el ATC 156/2008, de 12 de junio, FJ 2, este incidente tiene exclusivamente por objeto que nos pronunciemos sobre el mantenimiento o levantamiento de la suspensión inicialmente acordada por la providencia del Pleno 4 de noviembre de 2014 y que afecta a los arts. 3 y 4 del capítulo I, 9 a 26 del capítulo III del anexo y disposiciones derogatorias única y finales primera y segunda del Decreto del Gobierno de Canarias 95/2014 y 4 del capítulo I y 9 al 26 del capítulo de la Ley impugnada. Y esta es una cuestión distinta e independiente de las tachas de carácter procesal que podrían, en su caso, concluir con un pronunciamiento de inadmisión ajeno a este incidente. Por ello, sólo tendremos en cuenta las razones que, a juicio de las partes, aconsejan la continuación de la suspensión o, en su caso, su alzamiento, desechando la consideración del óbice procesal. Todo ello sin perjuicio de que, por haber sido alegado en la contestación a la demanda, hayamos de pronunciarnos sobre ello en el momento procesal oportuno.</w:t>
      </w:r>
    </w:p>
    <w:p w:rsidR="00B85568" w:rsidRDefault="00B85568" w:rsidP="00B85568">
      <w:pPr>
        <w:pStyle w:val="TextoNormal"/>
      </w:pPr>
    </w:p>
    <w:p w:rsidR="00B85568" w:rsidRDefault="00B85568" w:rsidP="00B85568">
      <w:pPr>
        <w:pStyle w:val="TextoNormal"/>
      </w:pPr>
      <w:r w:rsidRPr="00B85568">
        <w:rPr>
          <w:rStyle w:val="NumeroAFNegritaCaracter"/>
        </w:rPr>
        <w:t>3</w:t>
      </w:r>
      <w:r>
        <w:t>. De acuerdo con la consolidada doctrina constitucional, la resolución de este incidente cautelar requiere ponderar, de un lado, los intereses que se encuentran concernidos, tanto el público y general como los privados, y, de otro, los perjuicios de imposible o difícil reparación que puedan derivarse del mantenimiento de la suspensión, lo que deberá realizarse al margen de la viabilidad de las pretensiones, no sin recordar que, dada la presunción de constitucionalidad de la norma objeto del recurso, corresponde al Gobierno de la Nación razonar con detalle los argumentos que justifiquen el mantenimiento de la suspensión (por todos ATC 87/2011,de 9 de junio, FJ 2). No cabe, en consecuencia, acoger la alegación del Abogado del Estado, según la cual la regla expuesta debe dejar paso a la de la apariencia de buen derecho cuando se trata de una controversia competencial, a fin de evitar que se altere una situación consolidada en cuanto al criterio jurídico constitucional. Como afirmó el ATC 87/2011, de 8 de junio, al resolver sobre el mantenimiento o levantamiento de la suspensión de la Ley del Parlamento de Cataluña 4/2010, de 17 de marzo, de consultas populares por vía de referéndum, la resolución que recaiga “ha de ponderar, exclusivamente, los perjuicios que para los intereses generales o particulares puedan derivarse de una u otra medida y sin que pueda establecerse ninguna conexión entre la referida ponderación y la valoración de la legitimidad constitucional de los preceptos sometidos a debate en este proceso” (FJ 3). El hecho de que pudiera estar afectado el derecho de participación política no conllevó en aquel caso, en contra de lo que ahora postula el Abogado del Estado, el establecimiento de criterios diferentes a la hora de resolver este incidente cautelar, sin que en el caso que ahora analizamos se den peculiaridades que aconsejen la modificación de la doctrina constitucional.</w:t>
      </w:r>
    </w:p>
    <w:p w:rsidR="00B85568" w:rsidRDefault="00B85568" w:rsidP="00B85568">
      <w:pPr>
        <w:pStyle w:val="TextoNormal"/>
      </w:pPr>
    </w:p>
    <w:p w:rsidR="00B85568" w:rsidRDefault="00B85568" w:rsidP="00B85568">
      <w:pPr>
        <w:pStyle w:val="TextoNormal"/>
      </w:pPr>
      <w:r>
        <w:t>Por otra parte, como también entonces señaló este Tribunal, no procede adoptar la solución del ATC 336/2005, de 15 de septiembre, limitado a los supuestos que exceden de las situaciones normales de controversia competencial, pues prescindiendo de indagar ahora cuál sea la finalidad de los preceptos suspendidos y su adecuación con el orden constitucional de distribución de competencias cuya vulneración se denuncia, no estamos ante un supuesto comparable en cuanto no pone en cuestión, hasta eliminarla o desvirtuarla, una competencia estatal claramente reconocida por la Norma fundamental y con el consiguiente perjuicio actual o directo para el interés general. Tampoco es posible aplicar en este caso la doctrina del ATC 146/2013, de 5 de junio, que respondía a una situación singular que, como también ocurría en el caso resuelto por el ATC 336/2005, distaba de ser una situación normal de controversia competencial. En efecto, en el caso resuelto por el ATC 146/2013, la propia exposición de motivos de la norma autonómica afectada por el incidente cautelar afirmaba que su finalidad era conseguir la inaplicación de la norma estatal que desarrollaba, mientras se tramitaba el recurso de inconstitucionalidad interpuesto contra ella por la Comunidad Autónoma, y su representación letrada reconoció, en la contestación a la demanda, que el Decreto-ley impugnado no había ceñido su regulación al exiguo espacio de regulación autonómica que, con infracción del sistema constitucional de distribución de competencias, había dejado a salvo la norma estatal que desarrollaba. Esa peculiaridad no se da, sin embargo, en el supuesto que ahora es objeto de enjuiciamiento, de ahí que no quepa aplicar en esta resolución la doctrina entonces formulada.</w:t>
      </w:r>
    </w:p>
    <w:p w:rsidR="00B85568" w:rsidRDefault="00B85568" w:rsidP="00B85568">
      <w:pPr>
        <w:pStyle w:val="TextoNormal"/>
      </w:pPr>
    </w:p>
    <w:p w:rsidR="00B85568" w:rsidRDefault="00B85568" w:rsidP="00B85568">
      <w:pPr>
        <w:pStyle w:val="TextoNormal"/>
      </w:pPr>
      <w:r w:rsidRPr="00B85568">
        <w:rPr>
          <w:rStyle w:val="NumeroAFNegritaCaracter"/>
        </w:rPr>
        <w:t>4</w:t>
      </w:r>
      <w:r>
        <w:t>. Sentado lo anterior, procede ahora ponderar los intereses públicos o privados que pueden estar afectados por el levantamiento o mantenimiento de la suspensión, así como los perjuicios que para ellos pueden derivarse. Alega el Abogado del Estado que el interés público afectado es el de participación política y democracia representativa, siendo así que el levantamiento de la suspensión causaría daños irreversibles a la seguridad jurídica y el sistema de garantías diseñado por la Constitución para asegurar el régimen electoral y la participación directa de los ciudadanos, dada la incertidumbre que se generaría sobre las consultas y el daño a las legítimas expectativas de quienes ejercieran el voto en estas convocatorias. El derecho de participación política directa no se vería, sin embargo, afectado sino, al contrario, protegido por su correcto ejercicio, teniendo en cuenta que se trata de una figura extraordinaria en nuestro sistema político. Invoca también los perjuicios irreparables que se generarían a los procesos referendarios, faltos de las necesarias garantías, y el derecho fundamental a la protección de datos personales. La Letrada de la Comunidad Autónoma invoca que los daños al interés general que podrían producirse, de ser levantada la suspensión, son hipotéticos en tanto en cuanto el reglamento impugnado requiere de posteriores actos de convocatoria. Antes al contrario, los preceptos impugnados favorecen la participación ciudadana.</w:t>
      </w:r>
    </w:p>
    <w:p w:rsidR="00B85568" w:rsidRDefault="00B85568" w:rsidP="00B85568">
      <w:pPr>
        <w:pStyle w:val="TextoNormal"/>
      </w:pPr>
    </w:p>
    <w:p w:rsidR="00B85568" w:rsidRDefault="00B85568" w:rsidP="00B85568">
      <w:pPr>
        <w:pStyle w:val="TextoNormal"/>
      </w:pPr>
      <w:r>
        <w:t>En la medida en que los intereses afectados por la norma cuestionada son sustancialmente iguales a los tenidos en cuenta en el incidente de suspensión cautelar que dio lugar al ATC 87/2011, de 9 de junio, la ponderación de los daños que podrían derivarse para éstos por el levantamiento o mantenimiento de la suspensión se realizará con los mismos criterios que entonces tuvo en cuenta este Tribunal. En efecto, se impugnaba en aquel proceso la regulación por la Ley autonómica del referéndum consultivo sobre cuestiones políticas de especial trascendencia para la ciudadanía en el ámbito de las competencias de la Comunidad, mientras que los preceptos impugnados en este caso regulan la consulta a la ciudadanía sobre asuntos de interés general de competencia de la Comunidad Autónoma de Canarias mediante pregunta directa. Pues bien, el Tribunal Constitucional tuvo en cuenta, en primer lugar, que el mantenimiento de la suspensión no lesionaba el art. 23.1 CE pues el referéndum está contemplado en nuestro ordenamiento de forma tal que este instituto de participación directa es una figura extraordinaria en nuestro sistema político, descansando nuestro sistema constitucional sobre un modelo en el que el derecho de los ciudadanos a participar en los asuntos políticos reconocido en el art. 23.1 CE se ejerce otorgando primacía a los mecanismos de democracia representativa. En segundo lugar, que la norma entonces impugnada requería en todo caso la autorización del Estado para la celebración de las consultas populares por vía de referéndum, por lo que existía un pleno control directo del Estado, evitando así la producción de perjuicios al interés general al que sirve la participación política. Y, en tercer lugar, que no se había aportado dato alguno que permitiera constatar que se hubieran iniciado o pretendieran iniciarse los trámites conducentes a la convocatoria de la consulta sobre el pacto fiscal o el denominado derecho a decidir (FJ 2).</w:t>
      </w:r>
    </w:p>
    <w:p w:rsidR="00B85568" w:rsidRDefault="00B85568" w:rsidP="00B85568">
      <w:pPr>
        <w:pStyle w:val="TextoNormal"/>
      </w:pPr>
    </w:p>
    <w:p w:rsidR="00B85568" w:rsidRDefault="00B85568" w:rsidP="00B85568">
      <w:pPr>
        <w:pStyle w:val="TextoNormal"/>
      </w:pPr>
      <w:r>
        <w:t>Lo cierto es que el reglamento impugnado en este proceso no contempla la autorización del Estado para la celebración de las consultas a la ciudanía mediante pregunta directa reguladas por los preceptos impugnados, de manera que éste no ostenta un control directo sobre ellas y no puede evitar la producción de los daños alegados por el Abogado del Estado. Además, el Decreto 107/2014, de 2 de octubre, del Presidente del Gobierno de Canarias, aprobado el mismo día que entró en vigor el decreto ahora impugnado, convocó una consulta ciudadana mediante pregunta directa en el ámbito territorial de Canarias, de manera que se han culminado los trámites conducentes a la convocatoria de la consulta. Este Decreto ha sido parcialmente impugnado y suspendido en su aplicación por el Pleno del Tribunal Constitucional mediante providencia de 4 de noviembre de 2014. En consecuencia, los daños alegados por el Abogado del Estado no son hipotéticos, tal y como alega la representación letrada de la Comunidad de Canarias, sino ciertos y reales, lo que determina el mantenimiento de la suspensión de los arts. 3 y 4 del capítulo I, 9 a 26 del capítulo III del anexo y disposiciones derogatoria única y finales primera y segunda del Decreto del Gobierno de Canarias 95/2014.</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Mantener la suspensión de los arts. 3 y 4 del capítulo I, 9 a 26 del capítulo III del anexo y disposiciones derogatoria única y finales primera y segunda del Decreto del Gobierno de Canarias 95/2014, de 25 de septiembre, por el que se aprueba el Reglamento de las consultas a la ciudadanía en asuntos de interés general de competencia de la Comunidad Autónoma.</w:t>
      </w:r>
    </w:p>
    <w:p w:rsidR="00B85568" w:rsidRDefault="00B85568" w:rsidP="00B85568">
      <w:pPr>
        <w:pStyle w:val="TextoNormal"/>
      </w:pPr>
    </w:p>
    <w:p w:rsidR="00B85568" w:rsidRDefault="00B85568" w:rsidP="00B85568">
      <w:pPr>
        <w:pStyle w:val="TextoNormal"/>
      </w:pPr>
      <w:r>
        <w:t>Madrid, a tres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4" w:name="AUTO_2015_54"/>
      <w:r>
        <w:t>AUTO 54/2015, de 3 de marzo de 2015</w:t>
      </w:r>
    </w:p>
    <w:bookmarkEnd w:id="204"/>
    <w:p w:rsidR="00B85568" w:rsidRDefault="00B85568" w:rsidP="00B85568">
      <w:pPr>
        <w:pStyle w:val="TtuloResolucin"/>
      </w:pPr>
      <w:r>
        <w:t>Pleno</w:t>
      </w:r>
    </w:p>
    <w:p w:rsidR="00B85568" w:rsidRDefault="00B85568" w:rsidP="00B85568">
      <w:pPr>
        <w:pStyle w:val="TextoNormalCentrado"/>
      </w:pPr>
      <w:r>
        <w:t>ECLI:ES:TC:2015:54A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extinción del incidente cautelar de suspensión en el proceso de la impugnación de disposiciones autonómicas 6416-2014, promovida por el Gobierno de la Nación en relación con diversos preceptos del Decreto del Gobierno de Canarias 107/2014, de 2 de octubre, de por el que se convoca consulta ciudadana mediante pregunta directa en el ámbito territorial de Canarias. El motivo de la pérdida de objeto es haber transcurrido ya la fecha en que iba a celebrase la consulta.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27 de octubre de 2014, el Abogado del Estado, en representación del Gobierno, impugna, al amparo de los arts. 161.2 CE y 76 y 77 de la Ley Orgánica del Tribunal Constitucional (LOTC), el Decreto 107/2014, de 2 de octubre, del Presidente del Gobierno de Canarias, por el que se convoca consulta ciudadana mediante pregunta directa en el ámbito territorial de Canarias. En el escrito de interposición se hace expresa invocación del art. 161.2 CE y del segundo inciso del art. 77 LOTC, a los efectos de que se acuerde la suspensión de la disposición recurrida.</w:t>
      </w:r>
    </w:p>
    <w:p w:rsidR="00B85568" w:rsidRDefault="00B85568" w:rsidP="00B85568">
      <w:pPr>
        <w:pStyle w:val="TextoNormal"/>
      </w:pPr>
    </w:p>
    <w:p w:rsidR="00B85568" w:rsidRDefault="00B85568" w:rsidP="00B85568">
      <w:pPr>
        <w:pStyle w:val="TextoNormal"/>
      </w:pPr>
      <w:r w:rsidRPr="00B85568">
        <w:rPr>
          <w:rStyle w:val="NumeroAFNegritaCaracter"/>
        </w:rPr>
        <w:t>2</w:t>
      </w:r>
      <w:r>
        <w:t>. Por providencia de 4 de noviembre de 2014 el Pleno del Tribunal Constitucional, a propuesta de la Sección Segunda acordó admitir a trámite la impugnación de disposiciones autonómicas (título V LOTC) promovida por el Gobierno de la Nación y, en su representación y defensa, por el Abogado del Estado, frente al Gobierno de Canarias, contra el Decreto 107/2014, de 2 de octubre, del Presidente del Gobierno de Canarias, por el que se convoca consulta ciudadana mediante pregunta directa en el ámbito territorial de Canarias; dar traslado de la demanda y documentos presentados al Gobierno de Canarias, por conducto de su Presidente, al objeto de que en el plazo de veinte días y, por medio de la representación procesal que determina el art. 82.2 LOTC, aporte cuantos documentos y alegaciones considere convenientes; tener por invocado por el Gobierno el art. 161.2 de la Constitución, lo que, a su tenor y conforme dispone el art. 77 LOTC, produce la suspensión del Decreto impugnado, lo que conlleva la de cualquier actuación que traiga causa del mismo, desde el día 27 de octubre de 2014, fecha de interposición de la impugnación, que será comunicado al Presidente del Gobierno de Canarias y publicar la incoación de la impugnación en el “Boletín Oficial del Estado” y en el “Boletín Oficial de Canarias”.</w:t>
      </w:r>
    </w:p>
    <w:p w:rsidR="00B85568" w:rsidRDefault="00B85568" w:rsidP="00B85568">
      <w:pPr>
        <w:pStyle w:val="TextoNormal"/>
      </w:pPr>
    </w:p>
    <w:p w:rsidR="00B85568" w:rsidRDefault="00B85568" w:rsidP="00B85568">
      <w:pPr>
        <w:pStyle w:val="TextoNormal"/>
      </w:pPr>
      <w:r w:rsidRPr="00B85568">
        <w:rPr>
          <w:rStyle w:val="NumeroAFNegritaCaracter"/>
        </w:rPr>
        <w:t>3</w:t>
      </w:r>
      <w:r>
        <w:t>. El día 5 de noviembre de 2014 la Directora General del servicio jurídico del Gobierno de Canarias se personó en el proceso solicitando una prórroga en el plazo de alegaciones, prórroga que le fue concedida por providencia del Pleno de 13 de noviembre de 2014. Las alegaciones del Gobierno de Canarias interesando la desestimación de la impugnación fueron registradas el día 16 de diciembre de 2014.</w:t>
      </w:r>
    </w:p>
    <w:p w:rsidR="00B85568" w:rsidRDefault="00B85568" w:rsidP="00B85568">
      <w:pPr>
        <w:pStyle w:val="TextoNormal"/>
      </w:pPr>
    </w:p>
    <w:p w:rsidR="00B85568" w:rsidRDefault="00B85568" w:rsidP="00B85568">
      <w:pPr>
        <w:pStyle w:val="TextoNormal"/>
      </w:pPr>
      <w:r w:rsidRPr="00B85568">
        <w:rPr>
          <w:rStyle w:val="NumeroAFNegritaCaracter"/>
        </w:rPr>
        <w:t>4</w:t>
      </w:r>
      <w:r>
        <w:t>. El Pleno del Tribunal Constitucional, por providencia de 20 de enero de 2015 acordó que, próximo a finalizar el plazo de los cinco meses que señala el art. 161.2 CE desde que se produjo la suspensión de Decreto impugnado en este procedimiento, se oiga a las partes personadas —Abogado del Estado y Gobierno de Canarias— para que, en el plazo de cinco días, expongan lo que consideren conveniente acerca del mantenimiento o levantamiento de dicha suspensión.</w:t>
      </w:r>
    </w:p>
    <w:p w:rsidR="00B85568" w:rsidRDefault="00B85568" w:rsidP="00B85568">
      <w:pPr>
        <w:pStyle w:val="TextoNormal"/>
      </w:pPr>
    </w:p>
    <w:p w:rsidR="00B85568" w:rsidRDefault="00B85568" w:rsidP="00B85568">
      <w:pPr>
        <w:pStyle w:val="TextoNormal"/>
      </w:pPr>
      <w:r w:rsidRPr="00B85568">
        <w:rPr>
          <w:rStyle w:val="NumeroAFNegritaCaracter"/>
        </w:rPr>
        <w:t>5</w:t>
      </w:r>
      <w:r>
        <w:t>. El Abogado del Estado presentó sus alegaciones por escrito registrado el día 28 de enero de 2015. En ellas sostiene la pérdida de objeto del proceso por razón de las circunstancias objetivas sobre las que recae. La consulta fue convocada en su modalidad de pregunta directa y su régimen de celebración se incluye en el Decreto impugnado. Dicha consulta debía celebrarse el día 23 de noviembre de 2014, entre las 10 y las 19 horas, de manera presencial para las personas físicas, si bien en su modalidad de utilización de medios electrónicos podía ir efectuándose desde el día 19 de noviembre hasta el día 23. Como consecuencia de la impugnación formulada por el Presidente del Gobierno la consulta fue suspendida y no ha tenido lugar. Por eso la Abogacía del Estado sostiene que el incidente ha perdido objeto, por razón de las circunstancias objetivas sobre las que recae, defendiendo la aplicación a este incidente de la doctrina constitucional elaborada en relación con la pérdida de objeto en los procesos constitucionales en los que ha de tenerse en cuenta la incidencia de la derogación, modificación o sustitución de la norma impugnada, en la medida en que la suspensión también afecta a la vigencia de la disposición o acto impugnado.</w:t>
      </w:r>
    </w:p>
    <w:p w:rsidR="00B85568" w:rsidRDefault="00B85568" w:rsidP="00B85568">
      <w:pPr>
        <w:pStyle w:val="TextoNormal"/>
      </w:pPr>
    </w:p>
    <w:p w:rsidR="00B85568" w:rsidRDefault="00B85568" w:rsidP="00B85568">
      <w:pPr>
        <w:pStyle w:val="TextoNormal"/>
      </w:pPr>
      <w:r>
        <w:t>La razón de la pérdida de objeto del proceso cautelar no es otra que la imposibilidad de celebrar la consulta, aún en el hipotético caso del levantamiento de la suspensión. El art. 4 del Decreto 107/2014, al prever la celebración de la consulta en un determinado momento en el tiempo, es un precepto que viene a resultar, por razones temporales, de imposible cumplimiento. Tampoco el precepto prevé alternativas a la no celebración de la consulta en la fecha prevista en el caso que la norma entrase en vigor o fuera susceptible de aplicación. Se trata del establecimiento, por norma o condición esencial del acto-regla, de un momento determinado en el tiempo, transcurrido el cual, y al no existir norma supletoria o alternativa de actuación prevista en el plano estrictamente jurídico ni habiéndose configurado una potestad de decisión alternativa, es una norma que cesa, por su propia naturaleza en su eficacia ordenadora de la realidad, y por ello en su aplicabilidad material. Otra hipotética convocatoria, a efectuar por el Gobierno canario sobre la misma cuestión y bajo los mismos requisitos o circunstancias, excepto la temporal, sólo podría llegar a acordarse en virtud de otro Decreto de convocatoria distinto. También se trataría de una consulta distinta si se modificase el mencionado art. 4 a fin de señalar otro momento posterior en el tiempo para poder celebrar la consulta, pero esta sería ya formalmente también otra consulta distinta en tanto que el momento concreto y específico para su realización constituye un elemento esencial de la configuración singular de cada consulta o referéndum, que ha de tener su momento de realización efectiva. Una nueva convocatoria precisaría una nueva resolución administrativa que la formalizase y, como tal, nuevamente fiscalizable en cuanto a su forma y fondo.</w:t>
      </w:r>
    </w:p>
    <w:p w:rsidR="00B85568" w:rsidRDefault="00B85568" w:rsidP="00B85568">
      <w:pPr>
        <w:pStyle w:val="TextoNormal"/>
      </w:pPr>
    </w:p>
    <w:p w:rsidR="00B85568" w:rsidRDefault="00B85568" w:rsidP="00B85568">
      <w:pPr>
        <w:pStyle w:val="TextoNormal"/>
      </w:pPr>
      <w:r>
        <w:t>Por último señala que tampoco sería posible que el Tribunal levantase la suspensión e, hipotéticamente, fijase una fecha para la celebración de la consulta, pues ello excede de las facultades que tiene atribuidas en la resolución de este incidente.</w:t>
      </w:r>
    </w:p>
    <w:p w:rsidR="00B85568" w:rsidRDefault="00B85568" w:rsidP="00B85568">
      <w:pPr>
        <w:pStyle w:val="TextoNormal"/>
      </w:pPr>
    </w:p>
    <w:p w:rsidR="00B85568" w:rsidRDefault="00B85568" w:rsidP="00B85568">
      <w:pPr>
        <w:pStyle w:val="TextoNormal"/>
      </w:pPr>
      <w:r>
        <w:t>En conclusión, la Abogacía del Estado entiende que la resolución de este incidente procesal no puede ser otra que la de apreciar que ha perdido objeto, y por lo tanto, desestimar la solicitud de levantamiento de la suspensión instada por el Gobierno de Canarias.</w:t>
      </w:r>
    </w:p>
    <w:p w:rsidR="00B85568" w:rsidRDefault="00B85568" w:rsidP="00B85568">
      <w:pPr>
        <w:pStyle w:val="TextoNormal"/>
      </w:pPr>
    </w:p>
    <w:p w:rsidR="00B85568" w:rsidRDefault="00B85568" w:rsidP="00B85568">
      <w:pPr>
        <w:pStyle w:val="TextoNormal"/>
      </w:pPr>
      <w:r w:rsidRPr="00B85568">
        <w:rPr>
          <w:rStyle w:val="NumeroAFNegritaCaracter"/>
        </w:rPr>
        <w:t>6</w:t>
      </w:r>
      <w:r>
        <w:t>. La Directora General del Servicio Jurídico del Gobierno de Canarias formuló sus alegaciones mediante escrito registrado el día 28 de enero de 2015, solicitando el levantamiento de la suspensión del Decreto 107/2014.</w:t>
      </w:r>
    </w:p>
    <w:p w:rsidR="00B85568" w:rsidRDefault="00B85568" w:rsidP="00B85568">
      <w:pPr>
        <w:pStyle w:val="TextoNormal"/>
      </w:pPr>
    </w:p>
    <w:p w:rsidR="00B85568" w:rsidRDefault="00B85568" w:rsidP="00B85568">
      <w:pPr>
        <w:pStyle w:val="TextoNormal"/>
      </w:pPr>
      <w:r>
        <w:t>La representación procesal del Gobierno de Canarias resalta que formula las presentes alegaciones sin disponer de las que haya de efectuar la representación procesal del Estado, lo cual dificulta el adecuado cumplimiento del trámite conferido, señalando que, en todo caso, desconoce cuáles son los perjuicios irreparables de una consulta a la ciudadanía respecto a un asunto que el Gobierno de Canarias considera de interés general. Descarta además que la consulta ahora suspendida pueda equipararse a otras planteadas en otras Comunidades Autónomas, sin que estemos ante una cuestión de gran relieve constitucional como la examinada en el ATC 156/2013, de 11 de julio.</w:t>
      </w:r>
    </w:p>
    <w:p w:rsidR="00B85568" w:rsidRDefault="00B85568" w:rsidP="00B85568">
      <w:pPr>
        <w:pStyle w:val="TextoNormal"/>
      </w:pPr>
    </w:p>
    <w:p w:rsidR="00B85568" w:rsidRDefault="00B85568" w:rsidP="00B85568">
      <w:pPr>
        <w:pStyle w:val="TextoNormal"/>
      </w:pPr>
      <w:r>
        <w:t>Alude a continuación a los criterios de la doctrina constitucional que han de ser tenidos en cuenta al resolver un incidente de este tipo, según la cual,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examen de las situaciones de hecho creadas y al margen de la viabilidad de las pretensiones que se formulan en la demanda, requiriendo que el Gobierno, a quien se debe la iniciativa, no sólo invoque la existencia de perjuicios, sino que es igualmente necesario demostrar o, al menos, razonar consistentemente su procedencia y la imposible o difícil reparación de los mismos.</w:t>
      </w:r>
    </w:p>
    <w:p w:rsidR="00B85568" w:rsidRDefault="00B85568" w:rsidP="00B85568">
      <w:pPr>
        <w:pStyle w:val="TextoNormal"/>
      </w:pPr>
    </w:p>
    <w:p w:rsidR="00B85568" w:rsidRDefault="00B85568" w:rsidP="00B85568">
      <w:pPr>
        <w:pStyle w:val="TextoNormal"/>
      </w:pPr>
      <w:r>
        <w:t>En el presente caso, se tratará de valorar los perjuicios irreparables o de difícil reparación que se producirían de levantarse la suspensión y facilitar así la convocatoria a la ciudadanía para expresar su opinión sobre si entiende procedente que Canarias cambie su modelo medioambiental y turístico actual por otro que pueda comprender en su seno las prospecciones de gas o de petróleo. Resulta evidente, para la Directora del Servicio Jurídico del Gobierno de Canarias, que los intereses generales no pueden ser otros que los del órgano que decide convocar la consulta, esto es, el Gobierno de Canarias, a quien le corresponde justificar las razones por las que el objeto de la misma se considera de interés general así como la importancia y la trascendencia que tiene para la Comunidad Autónoma de Canarias, en cuanto que afecta sus competencias medioambientales y turísticas. Con respecto al objeto de la consulta indica que es indubitado que una actividad de investigación de hidrocarburos en el mar territorial afecta, necesariamente, a las Islas Canarias si se llevan a cabo en las proximidades de sus costas, por la afección que el desarrollo de tales actividades ha de producir en el medio ambiente y en las riquezas naturales que posee el archipiélago, así como en el sector turístico, auténtico motor de la economía de las islas. Por eso estima coherente interesar la opinión de la ciudadanía a los efectos de definir las líneas de actuación de la Administración Pública canaria acerca de la necesidad de que cambie su modelo medioambiental y turístico como consecuencia de las prospecciones de gas y petróleo, sin que se cuestione aspecto alguno que afecte al interés general del país. Con este presupuesto de partida ha de corresponder al Gobierno de la Nación la carga de justificar los perjuicios que derivan de la consulta.</w:t>
      </w:r>
    </w:p>
    <w:p w:rsidR="00B85568" w:rsidRDefault="00B85568" w:rsidP="00B85568">
      <w:pPr>
        <w:pStyle w:val="TextoNormal"/>
      </w:pPr>
    </w:p>
    <w:p w:rsidR="00B85568" w:rsidRDefault="00B85568" w:rsidP="00B85568">
      <w:pPr>
        <w:pStyle w:val="TextoNormal"/>
      </w:pPr>
      <w:r>
        <w:t>En cuanto a la ponderación de los intereses en conflicto, concluye en la procedencia del levantamiento de la suspensión, por cuanto estima que de la celebración de la consulta no puede seguirse perjuicio alguno para el interés general o de privados. En esa ponderación no puede desconocerse el interés del conjunto de los llamados a participar en la consulta y que verán frustrado su derecho a expresar su opinión, libre y voluntariamente, en un asunto que es considerado de interés general por el Gobierno de Canarias. La realización de la consulta, por otro lado, permitirá a los poderes públicos autonómicos, a pesar de su carácter no vinculante, conocer el estado de opinión de su ciudadanía, en un asunto que, a juicio del Gobierno de Canarias, es de especial relevancia ya que se plantea una decisión sobre la necesidad de mantener sus políticas medioambientales, turísticas, económicas, territoriales …o, por el contrario, reorientarlas y adecuarlas al desarrollo potencial de otras actividades económicas sobrevenidas y que han de afectar necesariamente al ámbito de competencias de la Comunidad.</w:t>
      </w:r>
    </w:p>
    <w:p w:rsidR="00B85568" w:rsidRDefault="00B85568" w:rsidP="00B85568">
      <w:pPr>
        <w:pStyle w:val="TextoNormal"/>
      </w:pPr>
    </w:p>
    <w:p w:rsidR="00B85568" w:rsidRDefault="00B85568" w:rsidP="00B85568">
      <w:pPr>
        <w:pStyle w:val="TextoNormal"/>
      </w:pPr>
      <w:r>
        <w:t>Por ello concluye que “el levantamiento de la suspensión no habrá de causar en absoluto perjuicios irreparables: la apariencia de legalidad y de legitimidad constitucional que reviste el Decreto 107/2014, del Presidente del Gobierno de Canarias, su nula incidencia en las competencias estatales, su objeto perfectamente limitado a asunto de interés general de la Comunidad Autónoma de Canarias, unido al más que conveniente y deseable fomento de instrumentos de participación ciudadana en los asuntos públicos, aconsejan el levantamiento de la suspensión acordada”.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Como ha hecho constar el Abogado del Estado en su alegaciones el Decreto 107/2014, de 2 de octubre, del Presidente del Gobierno de Canarias, por el que se convoca consulta ciudadana mediante pregunta directa, establecía que dicha consulta había de celebrarse el domingo día 23 de noviembre de 2014, desde las 10:00 a las 19:00 horas, para la emisión presencial de la respuesta de las personas físicas; desde las 10:00 horas del día 19 de noviembre hasta las 19:00 horas del día 23 de noviembre de 2014, para la emisión de respuestas utilizando medios electrónicos por las personas físicas y, finalmente, el día 26 de noviembre de 2014, de las 10:00 a las 14:00, en el caso de emisión de respuestas de las entidades ciudadanas, sea presencial o utilizando medios electrónicos.</w:t>
      </w:r>
    </w:p>
    <w:p w:rsidR="00B85568" w:rsidRDefault="00B85568" w:rsidP="00B85568">
      <w:pPr>
        <w:pStyle w:val="TextoNormal"/>
      </w:pPr>
    </w:p>
    <w:p w:rsidR="00B85568" w:rsidRDefault="00B85568" w:rsidP="00B85568">
      <w:pPr>
        <w:pStyle w:val="TextoNormal"/>
      </w:pPr>
      <w:r>
        <w:t>Estando prevista la celebración de la mencionada consulta conforme a los plazos y fechas que se acaban de mencionar, es notorio que la misma, en los términos en los que fue convocada, ya no puede tener lugar. En efecto, tales previsiones temporales son inseparables del resto de los elementos que integran conjuntamente la decisión de convocatoria adoptada por el Presidente del Gobierno de Canarias en el Decreto 107/2014. Consulta que, de acuerdo con ello, hubiera debido celebrarse en todo caso antes de la resolución del presente incidente, sin que tampoco, por lo demás, se haya solicitado a este Tribunal el levantamiento anticipado de la suspensión.</w:t>
      </w:r>
    </w:p>
    <w:p w:rsidR="00B85568" w:rsidRDefault="00B85568" w:rsidP="00B85568">
      <w:pPr>
        <w:pStyle w:val="TextoNormal"/>
      </w:pPr>
    </w:p>
    <w:p w:rsidR="00B85568" w:rsidRDefault="00B85568" w:rsidP="00B85568">
      <w:pPr>
        <w:pStyle w:val="TextoNormal"/>
      </w:pPr>
      <w:r>
        <w:t>Dado lo anterior, y sin que ello signifique pronunciamiento alguno sobre el fondo del asunto planteado en el presente proceso constitucional, no es posible que este Tribunal resuelva acerca del levantamiento o mantenimiento de la suspensión de una decisión que ya no puede ser puesta en práctica al haber transcurrido ya el momento en el que, conforme a sus propios términos, había de realizarse (en un sentido similar AATC 354/1989, de 20 de junio, FJ único, 224/2009, de 27 de julio, FJ 1; 57/2010, de 19 de mayo, FJ único; 87/2013, de 23 de abril, FJ único; y 244/2013, de 22 de octubre, FJ único).</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la desaparición sobrevenida del objeto del incidente sobre el mantenimiento o levantamiento del Decreto 107/2014, de 2 de octubre, del Presidente del Gobierno de Canarias, por el que se convoca consulta ciudadana mediante pregunta directa en el ámbito territorial de Canarias.</w:t>
      </w:r>
    </w:p>
    <w:p w:rsidR="00B85568" w:rsidRDefault="00B85568" w:rsidP="00B85568">
      <w:pPr>
        <w:pStyle w:val="TextoNormal"/>
      </w:pPr>
    </w:p>
    <w:p w:rsidR="00B85568" w:rsidRDefault="00B85568" w:rsidP="00B85568">
      <w:pPr>
        <w:pStyle w:val="TextoNormal"/>
      </w:pPr>
      <w:r>
        <w:t>Madrid, a tres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5" w:name="AUTO_2015_55"/>
      <w:r>
        <w:t>AUTO 55/2015, de 5 de marzo de 2015</w:t>
      </w:r>
    </w:p>
    <w:bookmarkEnd w:id="205"/>
    <w:p w:rsidR="00B85568" w:rsidRDefault="00B85568" w:rsidP="00B85568">
      <w:pPr>
        <w:pStyle w:val="TtuloResolucin"/>
      </w:pPr>
      <w:r>
        <w:t>Pleno</w:t>
      </w:r>
    </w:p>
    <w:p w:rsidR="00B85568" w:rsidRDefault="00B85568" w:rsidP="00B85568">
      <w:pPr>
        <w:pStyle w:val="TextoNormalCentrado"/>
      </w:pPr>
      <w:r>
        <w:t>ECLI:ES:TC:2015:55A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Deniega la aclaración de la Sentencia 27/2015, de 19 de febrero, dictada en el recurso de inconstitucionalidad 6368-2013, interpuesto por la Generalitat de Cataluña.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En el recurso de inconstitucionalidad núm. 6368-2013 interpuesto por la Generalitat de Cataluña contra los arts. 7 y 8.5 del Real Decreto-ley 11/2013, de 2 de agosto, para la protección de los trabajadores a tiempo parcial y otras medidas urgentes en el orden económico y social se ha dictado la STC 27/2015, de 19 de febrero, notificada a las partes el 25 de febrero.</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Mediante escrito presentado en el Registro General de este Tribunal el día 27 de febrero de 2015, la Abogada de la Generalitat de Cataluña solicita la aclaración de la citada Sentencia señalando que en la misma se omite un pronunciamiento específico sobre la titularidad de la competencia. Así, tras aludir al art. 92 de la Ley Orgánica del Tribunal Constitucional (LOTC) y al art. 267.5 de la Ley Orgánica del Poder Judicial (LOPJ), que entiende de aplicación supletoria </w:t>
      </w:r>
      <w:r w:rsidRPr="00B85568">
        <w:rPr>
          <w:i/>
        </w:rPr>
        <w:t>ex</w:t>
      </w:r>
      <w:r>
        <w:t xml:space="preserve"> art. 80 LOTC, formula las consideraciones siguientes. Alude en primer lugar al objeto del recurso de inconstitucionalidad y a las dos pretensiones formuladas en el mismo, la declaración de nulidad de los preceptos impugnados tanto por vulneración del art. 86.1 CE como por infracción del orden constitucional de distribución de competencias. Señala, igualmente, que presentó un escrito ante este Tribunal poniendo de manifiesto la convalidación del Real Decreto-ley y su consiguiente tramitación como proyecto de ley por el procedimiento de urgencia, culminado con la aprobación de la Ley 1/2014, de 28 de febrero, para protección de los trabajadores a tiempo parcial y otras medidas urgentes en el orden económico y social, escrito en el que se ponía de manifiesto la subsistencia de la controversia competencial planteada. Pese a ese doble fundamento del recurso, la Abogada de la Generalitat indica que la Sentencia, tras reconocer la pervivencia de la controversia competencial, omite el pronunciamiento sobre el orden de distribución competencial y la titularidad de la competencia controvertida, limitándose a declarar la inconstitucionalidad y nulidad de los arts. 7 y 8.5 del Real Decreto-ley 11/2013 por vulneración del art. 86.1 CE. Para la Abogada de la Generalitat de Cataluña es notorio que el análisis de la infracción competencial alegada resultaba necesaria, lo que significa que la Sentencia ha incurrido en una incongruencia omisiva determinante de la indefensión de la Generalitat de Cataluña, puesto que la lesión competencial denunciada pervive en la Ley 1/2014, sin que pueda proceder a su impugnación por haber transcurrido el plazo para llevarla a cabo. Por ello, estima necesario aclarar la Sentencia, complementándola con un pronunciamiento sobre la titularidad de la competencia controvertida.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art. 93.1 de la Ley Orgánica del Tribunal Constitucional establece que en el plazo de dos días, a contar desde la notificación, las partes podrán solicitar de este Tribunal la aclaración de sus Sentencias. La solicitud de aclaración ha sido presentada en el plazo legalmente establecido y por una de las partes procesales. Ahora bien, como hemos expresado en reiteradas ocasiones, la solicitud de aclaración no constituye un medio de impugnación encaminado a la sustitución o revisión de la decisión adoptada, pues contra las Sentencias del Tribunal Constitucional no cabe recurso alguno. Su objeto ha de limitarse, en consecuencia,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(por todos, ATC 94/2013, de 7 de mayo, FJ 1).</w:t>
      </w:r>
    </w:p>
    <w:p w:rsidR="00B85568" w:rsidRDefault="00B85568" w:rsidP="00B85568">
      <w:pPr>
        <w:pStyle w:val="TextoNormal"/>
      </w:pPr>
    </w:p>
    <w:p w:rsidR="00B85568" w:rsidRDefault="00B85568" w:rsidP="00B85568">
      <w:pPr>
        <w:pStyle w:val="TextoNormal"/>
      </w:pPr>
      <w:r w:rsidRPr="00B85568">
        <w:rPr>
          <w:rStyle w:val="NumeroAFNegritaCaracter"/>
        </w:rPr>
        <w:t>2</w:t>
      </w:r>
      <w:r>
        <w:t>. La aclaración solicitada excede claramente del objeto de este trámite procesal pues, atendiendo a los términos en los que la solicitud se formula, se aprecia que, en realidad, bajo la denominación de solicitud de aclaración, se nos pide ahora un nuevo pronunciamiento acerca de los preceptos impugnados, lo que obviamente es improcedente en este momento procesal. En efecto, no procede hacer manifestación alguna que pueda conllevar alteración de la fundamentación o de la decisión de la Sentencia, dado que no existe omisión alguna sino, tal como se advierte en su fundamento jurídico 2, aplicación de la consolidada doctrina constitucional que otorga preferencia a la denunciada vulneración del art. 86.1 CE, pues según dicha doctrina (SSTC 11/2002, de 17 de febrero, FJ 2; 332/2005, de 15 de diciembre, FJ 4; 31/2011, de 17 de marzo, FJ 2; 137/2011, de 14 de septiembre, FJ 2; y 170/2012, de 4 de octubre FJ 4), su examen ha de ser prioritario en el orden de nuestro enjuiciamiento toda vez que esa tacha incide directamente sobre la validez del precepto impugnado, en función de su propia forma de aprobación, de modo que, en el caso de ser estimada, resulta innecesario el análisis de las restantes alegaciones. Además, tal planteamiento se reproduce en el fundamento jurídico 8 de nuestra Sentencia, en el que se dice de modo textual que “la estimación del recurso por el primero de los motivos expuestos por la Generalitat de Cataluña hace innecesario el examen de las restantes alegaciones de la demanda”, por lo que tampoco desde la perspectiva de la alegada incongruencia omisiva que se denuncia, cabe acoger la pretensión de la Letrada de la Generalitat de Cataluña.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que no ha lugar a la aclaración pretendida.</w:t>
      </w:r>
    </w:p>
    <w:p w:rsidR="00B85568" w:rsidRDefault="00B85568" w:rsidP="00B85568">
      <w:pPr>
        <w:pStyle w:val="TextoNormal"/>
      </w:pPr>
    </w:p>
    <w:p w:rsidR="00B85568" w:rsidRDefault="00B85568" w:rsidP="00B85568">
      <w:pPr>
        <w:pStyle w:val="TextoNormal"/>
      </w:pPr>
      <w:r>
        <w:t>Madrid, a cinco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6" w:name="AUTO_2015_56"/>
      <w:r>
        <w:t>AUTO 56/2015, de 16 de marzo de 2015</w:t>
      </w:r>
    </w:p>
    <w:bookmarkEnd w:id="206"/>
    <w:p w:rsidR="00B85568" w:rsidRDefault="00B85568" w:rsidP="00B85568">
      <w:pPr>
        <w:pStyle w:val="TtuloResolucin"/>
      </w:pPr>
      <w:r>
        <w:t>Sala Primera</w:t>
      </w:r>
    </w:p>
    <w:p w:rsidR="00B85568" w:rsidRDefault="00B85568" w:rsidP="00B85568">
      <w:pPr>
        <w:pStyle w:val="TextoNormalCentrado"/>
      </w:pPr>
      <w:r>
        <w:t>ECLI:ES:TC:2015:56A</w:t>
      </w:r>
    </w:p>
    <w:p w:rsidR="00B85568" w:rsidRDefault="00B85568" w:rsidP="00B85568">
      <w:pPr>
        <w:pStyle w:val="TextoNormalCentrado"/>
      </w:pPr>
    </w:p>
    <w:p w:rsidR="00B85568" w:rsidRDefault="00B85568" w:rsidP="00B85568">
      <w:pPr>
        <w:pStyle w:val="SntesisDescriptiva"/>
      </w:pPr>
      <w:r>
        <w:t>Excms. Srs. don Francisco Pérez de los Cobos Orihuel, don Luis Ignacio Ortega Álvarez,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07" w:name="AUTO_2015_57"/>
      <w:r>
        <w:t>AUTO 57/2015, de 16 de marzo de 2015</w:t>
      </w:r>
    </w:p>
    <w:bookmarkEnd w:id="207"/>
    <w:p w:rsidR="00B85568" w:rsidRDefault="00B85568" w:rsidP="00B85568">
      <w:pPr>
        <w:pStyle w:val="TtuloResolucin"/>
      </w:pPr>
      <w:r>
        <w:t>Sala Segunda</w:t>
      </w:r>
    </w:p>
    <w:p w:rsidR="00B85568" w:rsidRDefault="00B85568" w:rsidP="00B85568">
      <w:pPr>
        <w:pStyle w:val="TextoNormalCentrado"/>
      </w:pPr>
      <w:r>
        <w:t>ECLI:ES:TC:2015:57A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el recurso de súplica de la representación procesal sobre inadmisión del recurso de amparo 2875-2014, promovido por don Pedro Zúñiga Alcón en pleito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día 7 de mayo de 2014, el Procurador de los Tribunales don Felipe Segundo Juanas Blanco, en nombre y representación de don Pedro Zúñiga Alcón, interpuso demanda de amparo contra el Auto de 14 de enero de 2014, dictado por la Sala de lo Civil del Tribunal Supremo en el recurso de casación núm.774-2013, formulado frente a la Sentencia de 11 de febrero de 2013 de la Sección Tercera de la Audiencia Provincial de Burgos —recurso de apelación núm. 13-2013—.</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relevantes para el enjuiciamiento del presente recurso son los siguientes:</w:t>
      </w:r>
    </w:p>
    <w:p w:rsidR="00B85568" w:rsidRDefault="00B85568" w:rsidP="00B85568">
      <w:pPr>
        <w:pStyle w:val="TextoNormal"/>
      </w:pPr>
    </w:p>
    <w:p w:rsidR="00B85568" w:rsidRDefault="00B85568" w:rsidP="00B85568">
      <w:pPr>
        <w:pStyle w:val="TextoNormal"/>
      </w:pPr>
      <w:r>
        <w:t>a) En autos de juicio verbal núm. 363-2012, sobre acción declarativa de deslinde y declarativa de dominio que fue tramitado por razón de la cuantía (3.728 € a tenor del valor del terreno), el Juzgado de Primera Instancia núm. 1 de Villarcayo dictó Sentencia de 12 de noviembre de 2012, estimando la demanda. Impugnado el pronunciamiento en apelación por el recurrente en amparo, la Sección Tercera de la Audiencia Provincial de Burgos, constituida por un único Magistrado, resolvió por Sentencia de 11 de febrero de 2013, que confirmaba en todos sus términos la resolución de instancia, con imposición a la parte apelante de las costas causadas en la alzada.</w:t>
      </w:r>
    </w:p>
    <w:p w:rsidR="00B85568" w:rsidRDefault="00B85568" w:rsidP="00B85568">
      <w:pPr>
        <w:pStyle w:val="TextoNormal"/>
      </w:pPr>
    </w:p>
    <w:p w:rsidR="00B85568" w:rsidRDefault="00B85568" w:rsidP="00B85568">
      <w:pPr>
        <w:pStyle w:val="TextoNormal"/>
      </w:pPr>
      <w:r>
        <w:t>b) El demandante de amparo formalizó recurso de casación, que fue inadmitido por Auto de 14 de enero de 2014 de la Sala de lo Civil del Tribunal Supremo. Razonaba la Sala que procedía la inadmisión por no ser la sentencia recurrible en casación (art. 477.2 y 483.1 de la Ley de enjuiciamiento civil: LEC), al no haber sido dictada por la Audiencia Provincial como órgano colegiado. A criterio del órgano judicial, la configuración legal del recurso de casación revela que se estableció para impugnar sentencias dictadas por órganos colegiados, pauta que mantendría la reforma operada por la Ley 37/2011, de 10 de octubre, de medidas de agilización procesal, ya que no hay en el art. 477 LEC “referencia alguna que permita deducir que se haya querido establecer el acceso a la casación de las sentencias dictadas en apelación por un solo magistrado, en los supuestos que contempla el art. 82.2.1.II LOPJ”. Esa circunstancia, proseguía el Alto Tribunal, puede razonablemente ser interpretada “en el sentido de que su intención es excluir estas sentencias del recurso de casación”; de suerte que, si se pretendiera lo contrario, se haría necesaria una disposición expresa, “ya que implica un cambio en la configuración inicial en la LEC del recurso de casación que —como se ha dicho— se contempló contra las sentencias dictadas por órganos colegiados”. Así se desprende, por lo demás, añadía, de las exposiciones de motivos de la Ley Orgánica 1/2009, de 3 de noviembre, que introdujo la modificación en el art. 82.2.1.II de la Ley Orgánica del Poder Judicial (LOPJ), y de la Ley 37/2011, antes citada, ya que a la vista de su tenor parecería contradictorio con la voluntad expresa de la norma “que —excluidos por la LOPJ determinados asuntos del examen de un órgano colegiado en la segunda instancia porque su escasa complejidad no lo requiere— se entienda que pueden ser vistos en casación por un órgano colegiado superior en el orden civil como es el Tribunal Supremo”.</w:t>
      </w:r>
    </w:p>
    <w:p w:rsidR="00B85568" w:rsidRDefault="00B85568" w:rsidP="00B85568">
      <w:pPr>
        <w:pStyle w:val="TextoNormal"/>
      </w:pPr>
    </w:p>
    <w:p w:rsidR="00B85568" w:rsidRDefault="00B85568" w:rsidP="00B85568">
      <w:pPr>
        <w:pStyle w:val="TextoNormal"/>
      </w:pPr>
      <w:r>
        <w:t>c) La providencia de 1 de abril de 2014 rechazó el sucesivo incidente de nulidad de actuaciones, poniendo fin al proceso judicial.</w:t>
      </w:r>
    </w:p>
    <w:p w:rsidR="00B85568" w:rsidRDefault="00B85568" w:rsidP="00B85568">
      <w:pPr>
        <w:pStyle w:val="TextoNormal"/>
      </w:pPr>
    </w:p>
    <w:p w:rsidR="00B85568" w:rsidRDefault="00B85568" w:rsidP="00B85568">
      <w:pPr>
        <w:pStyle w:val="TextoNormal"/>
      </w:pPr>
      <w:r w:rsidRPr="00B85568">
        <w:rPr>
          <w:rStyle w:val="NumeroAFNegritaCaracter"/>
        </w:rPr>
        <w:t>3</w:t>
      </w:r>
      <w:r>
        <w:t>. El recurrente en amparo adujo en su escrito de recurso la vulneración del art. 24.1 CE, en su vertiente de derecho de acceso a los recursos legalmente establecidos, al producirse a su juicio una interpretación restrictiva del art. 477.2 LEC, cuando la Sala Primera de lo Civil del Tribunal Supremo estimó que la expresión “Audiencia Provincial” no incluye a las Secciones constituidas por un único Magistrado. Esa interpretación carecería, según la demanda, de fundamento legal, desatendiendo, por lo demás, el acuerdo sobre criterios de admisión de los recursos de casación y extraordinario por infracción procesal, de 30 de diciembre de 2011, adoptado por el Pleno de la Sala Primera del Tribunal Supremo.</w:t>
      </w:r>
    </w:p>
    <w:p w:rsidR="00B85568" w:rsidRDefault="00B85568" w:rsidP="00B85568">
      <w:pPr>
        <w:pStyle w:val="TextoNormal"/>
      </w:pPr>
    </w:p>
    <w:p w:rsidR="00B85568" w:rsidRDefault="00B85568" w:rsidP="00B85568">
      <w:pPr>
        <w:pStyle w:val="TextoNormal"/>
      </w:pPr>
      <w:r w:rsidRPr="00B85568">
        <w:rPr>
          <w:rStyle w:val="NumeroAFNegritaCaracter"/>
        </w:rPr>
        <w:t>4</w:t>
      </w:r>
      <w:r>
        <w:t>. La Sala Segunda de este Tribunal acordó la inadmisión del recurso de amparo por medio de ATC 300/2014, de 15 de diciembre, por inexistencia de la vulneración denunciada. Razonamos entonces que el Tribunal Supremo motivó su decisión poniendo de manifiesto elementos de Derecho relevantes, que la dotaron de razonabilidad y excluyeron toda sombra de arbitrariedad en la inadmisión acordada. Éstos eran, señaladamente: i) que en el art. 477 LEC no existe referencia alguna que permita deducir el acceso a la casación de las sentencias dictadas en apelación por un solo Magistrado, en los supuestos que contempla el art. 82.2.1.II de la Ley Orgánica del Poder Judicial, o que exteriorice una voluntad legislativa de alteración sustancial de la configuración clásica del recurso de casación; ii) que la tesis contraria desembocaría en la paradoja de que, excluidos por la Ley Orgánica del Poder Judicial determinados asuntos del examen de un órgano colegiado en la segunda instancia porque su escasa complejidad no lo requiere, fueran en cambio susceptibles de ser sustanciados en casación por un órgano colegiado superior en el orden civil como es el Tribunal Supremo. Tal interpretación de la legislación procesal, subrayaba el ATC 300/2014, “está motivada en razones de evolución normativa y de configuración del sistema de revisión jurisdiccional, y entra dentro de las facultades que corresponden al Tribunal Supremo la determinación de los requisitos de acceso a la casación. La queja del demandante, por ello, se revela como una mera discrepancia con la interpretación de la legalidad ordinaria efectuada por órgano judicial, olvidando que dicha disconformidad con la motivación en la interpretación de la legalidad no da lugar al amparo constitucional, si tal interpretación no incide en perjuicio de un derecho fundamental (STC 26/1990, de 19 de febrero, FJ 8)”.</w:t>
      </w:r>
    </w:p>
    <w:p w:rsidR="00B85568" w:rsidRDefault="00B85568" w:rsidP="00B85568">
      <w:pPr>
        <w:pStyle w:val="TextoNormal"/>
      </w:pPr>
    </w:p>
    <w:p w:rsidR="00B85568" w:rsidRDefault="00B85568" w:rsidP="00B85568">
      <w:pPr>
        <w:pStyle w:val="TextoNormal"/>
      </w:pPr>
      <w:r w:rsidRPr="00B85568">
        <w:rPr>
          <w:rStyle w:val="NumeroAFNegritaCaracter"/>
        </w:rPr>
        <w:t>5</w:t>
      </w:r>
      <w:r>
        <w:t>. El día 22 de diciembre de 2014 presentó el recurrente en amparo recurso de súplica frente al referido Auto. Califica la argumentación contenida en el mismo como absurda e incierta, a cuyo fin cita el art. 477 LEC y expone la interpretación del mismo que estima ajustada a Derecho, reiterando además la oposición a las razones de la inadmisión del recurso de casación a las que aludió el Tribunal Supremo en su momento, que ahora considera indebidamente avaladas por el ATC 300/2014, de 15 de diciembre.</w:t>
      </w:r>
    </w:p>
    <w:p w:rsidR="00B85568" w:rsidRDefault="00B85568" w:rsidP="00B85568">
      <w:pPr>
        <w:pStyle w:val="TextoNormal"/>
      </w:pPr>
    </w:p>
    <w:p w:rsidR="00B85568" w:rsidRDefault="00B85568" w:rsidP="00B85568">
      <w:pPr>
        <w:pStyle w:val="TextoNormal"/>
      </w:pPr>
      <w:r w:rsidRPr="00B85568">
        <w:rPr>
          <w:rStyle w:val="NumeroAFNegritaCaracter"/>
        </w:rPr>
        <w:t>6</w:t>
      </w:r>
      <w:r>
        <w:t>. Mediante providencia de 15 de enero de 2015, la Sección Cuarta del Tribunal Constitucional concedió un plazo común de tres días a las partes a fin de que pudieran formular las alegaciones que estimasen pertinentes (art. 93.2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7</w:t>
      </w:r>
      <w:r>
        <w:t>. Evacuó el trámite el Ministerio Fiscal por escrito de 10 de febrero de 2015. Interesa en él la inadmisión del recurso de súplica, toda vez que no resulta procedente ante decisiones de inadmisión de recursos de amparo, salvo que la pretensión sea formulada por el Ministerio Fiscal (art. 50.3 LOTC), sin que, a su juicio, la forma del acto del Tribunal (providencia o auto) pueda ser determinante de una ampliación de dicha legitimación para recurrir. Lo contrario, afirma, supondría una interpretación meramente formalista de la cuestión, olvidando que lo relevante es el contenido de la decisión y no la forma de la misma.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objeto directo del presente recurso de súplica es el ATC 300/2014, de 15 de diciembre, que acordó la inadmisión del recurso de amparo núm. 2875-2014.</w:t>
      </w:r>
    </w:p>
    <w:p w:rsidR="00B85568" w:rsidRDefault="00B85568" w:rsidP="00B85568">
      <w:pPr>
        <w:pStyle w:val="TextoNormal"/>
      </w:pPr>
    </w:p>
    <w:p w:rsidR="00B85568" w:rsidRDefault="00B85568" w:rsidP="00B85568">
      <w:pPr>
        <w:pStyle w:val="TextoNormal"/>
      </w:pPr>
      <w:r>
        <w:t>Como propone el Ministerio Fiscal, el recurso de súplica debe ser inadmitido. El art. 93.2 LOTC establece que contra las providencias y autos que dicte el Tribunal Constitucional solo procederá, en su caso, el recurso de súplica. Este Tribunal ha incidido en que una correcta interpretación del inciso “en su caso” lleva al entendimiento de que la regla general es la recurribilidad en súplica de los autos y providencias dictados, y que, en consecuencia, aun siendo posible la existencia de providencias y autos irrecurribles, será preciso que tal irrecurribilidad sea expresamente fijada por el legislador (por todos, ATC 159/2008, de 19 de junio, FJ 1).</w:t>
      </w:r>
    </w:p>
    <w:p w:rsidR="00B85568" w:rsidRDefault="00B85568" w:rsidP="00B85568">
      <w:pPr>
        <w:pStyle w:val="TextoNormal"/>
      </w:pPr>
    </w:p>
    <w:p w:rsidR="00B85568" w:rsidRDefault="00B85568" w:rsidP="00B85568">
      <w:pPr>
        <w:pStyle w:val="TextoNormal"/>
      </w:pPr>
      <w:r>
        <w:t>Pues bien, precisamente en relación con ello, ya en los AATC 150/1982, de 28 de abril, FJ único, y 330/1983, de 6 de julio, FJ único, señalamos que, como manifestación del principio procesal de la especialidad, el régimen jurídico prescrito contra las decisiones de inadmisión de recursos de amparo, contenido en el art. 50 de la Ley Orgánica del Tribunal Constitucional (LOTC), no puede dejarse sin efecto invocando lo dispuesto en el art. 93.2 de la propia Ley, ya que esta norma, dado su carácter general, no prevalece sobre la norma concreta del art. 50.3 LOTC, que por ser específica la excepciona, como el propio art. 93.2 prevé por la reserva que realiza de esta especialidad con la expresión “en su caso”. Por las mismas razones allí expuestas, y no habiendo sido alterados esa lógica y criterio de especialidad por las modificaciones normativas posteriores de nuestra Ley Orgánica, no procederá tampoco ahora tramitar el recurso de súplica contra el ATC 300/2014.</w:t>
      </w:r>
    </w:p>
    <w:p w:rsidR="00B85568" w:rsidRDefault="00B85568" w:rsidP="00B85568">
      <w:pPr>
        <w:pStyle w:val="TextoNormal"/>
      </w:pPr>
    </w:p>
    <w:p w:rsidR="00B85568" w:rsidRDefault="00B85568" w:rsidP="00B85568">
      <w:pPr>
        <w:pStyle w:val="TextoNormal"/>
      </w:pPr>
      <w:r>
        <w:t>Por consiguiente, cualquier decisión de este Tribunal sobre la inadmisión de un recurso de amparo, sea cual fuere la forma adoptada, con excepción de lo previsto en el art. 50.3 LOTC para el Ministerio Fiscal, es irrecurrible. Fácilmente se comprende que carecería de sentido la previsión citada, lo mismo que la enunciada especialidad del régimen que contiene sobre la impugnación de las decisiones de inadmisión del amparo, si, al mismo tiempo y pese a lo dispuesto en dicha previsión legal, cualquiera de las partes recurrentes o personadas en el proceso constitucional pudiera impugnar la resolución adoptada.</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el recurso de súplica promovido por don Pedro Zúñiga Alcón.</w:t>
      </w:r>
    </w:p>
    <w:p w:rsidR="00B85568" w:rsidRDefault="00B85568" w:rsidP="00B85568">
      <w:pPr>
        <w:pStyle w:val="TextoNormal"/>
      </w:pPr>
    </w:p>
    <w:p w:rsidR="00B85568" w:rsidRDefault="00B85568" w:rsidP="00B85568">
      <w:pPr>
        <w:pStyle w:val="TextoNormal"/>
      </w:pPr>
      <w:r>
        <w:t>Madrid, a dieciséis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08" w:name="AUTO_2015_58"/>
      <w:r>
        <w:t>AUTO 58/2015, de 16 de marzo de 2015</w:t>
      </w:r>
    </w:p>
    <w:bookmarkEnd w:id="208"/>
    <w:p w:rsidR="00B85568" w:rsidRDefault="00B85568" w:rsidP="00B85568">
      <w:pPr>
        <w:pStyle w:val="TtuloResolucin"/>
      </w:pPr>
      <w:r>
        <w:t>Sección Segunda</w:t>
      </w:r>
    </w:p>
    <w:p w:rsidR="00B85568" w:rsidRDefault="00B85568" w:rsidP="00B85568">
      <w:pPr>
        <w:pStyle w:val="TextoNormalCentrado"/>
      </w:pPr>
      <w:r>
        <w:t>ECLI:ES:TC:2015:58A</w:t>
      </w:r>
    </w:p>
    <w:p w:rsidR="00B85568" w:rsidRDefault="00B85568" w:rsidP="00B85568">
      <w:pPr>
        <w:pStyle w:val="TextoNormalCentrado"/>
      </w:pPr>
    </w:p>
    <w:p w:rsidR="00B85568" w:rsidRDefault="00B85568" w:rsidP="00B85568">
      <w:pPr>
        <w:pStyle w:val="SntesisDescriptiva"/>
      </w:pPr>
      <w:r>
        <w:t>Excms. Srs. don Luis Ignacio Ortega Álvarez,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09" w:name="AUTO_2015_59"/>
      <w:r>
        <w:t>AUTO 59/2015, de 16 de marzo de 2015</w:t>
      </w:r>
    </w:p>
    <w:bookmarkEnd w:id="209"/>
    <w:p w:rsidR="00B85568" w:rsidRDefault="00B85568" w:rsidP="00B85568">
      <w:pPr>
        <w:pStyle w:val="TtuloResolucin"/>
      </w:pPr>
      <w:r>
        <w:t>Sala Segunda</w:t>
      </w:r>
    </w:p>
    <w:p w:rsidR="00B85568" w:rsidRDefault="00B85568" w:rsidP="00B85568">
      <w:pPr>
        <w:pStyle w:val="TextoNormalCentrado"/>
      </w:pPr>
      <w:r>
        <w:t>ECLI:ES:TC:2015:59A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suspensión y la anotación preventiva de la demanda en el recurso de amparo 6076-2014, promovido por doña María Adelaida Londoño Molinares en pleito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este Tribunal el día 9 de octubre de 2014, el Procurador de los Tribunales don Carlos Navarro Gutiérrez, en nombre y representación de doña María Adelaida Mondoño Molinares y con la asistencia del Abogado don Álvaro Tohel Carballo, interpuso demanda de amparo contra la diligencia de ordenación de fecha 29 de julio de 2014, dictada por la Secretaria del Juzgado de Primera Instancia núm. 4 de Arona, en el procedimiento de ejecución hipotecaría núm. 49-2012, en cuya virtud se acordó devolver el escrito en el que la parte demandante formuló incidente de nulidad de actuaciones.</w:t>
      </w:r>
    </w:p>
    <w:p w:rsidR="00B85568" w:rsidRDefault="00B85568" w:rsidP="00B85568">
      <w:pPr>
        <w:pStyle w:val="TextoNormal"/>
      </w:pPr>
    </w:p>
    <w:p w:rsidR="00B85568" w:rsidRDefault="00B85568" w:rsidP="00B85568">
      <w:pPr>
        <w:pStyle w:val="TextoNormal"/>
      </w:pPr>
      <w:r w:rsidRPr="00B85568">
        <w:rPr>
          <w:rStyle w:val="NumeroAFNegritaCaracter"/>
        </w:rPr>
        <w:t>2</w:t>
      </w:r>
      <w:r>
        <w:t>. En la demanda de amparo se invoca la vulneración del derecho a la tutela judicial efectiva sin indefensión (art. 24.1 CE), en sus vertientes de acceso al proceso y de interdicción de la arbitrariedad, pues alega que la Secretaria Judicial no le permitió la personación en el proceso ni dio curso a la formalización del incidente de nulidad de actuaciones que intentó entablar, invadiendo funciones de naturaleza jurisdiccional. También denuncia la lesión del derecho a la igualdad ante la ley (art. 14 CE), en tanto que, según afirma, otros órganos judiciales sí han reconocido el derecho a personarse, en el procedimiento de ejecución hipotecaria, a terceros poseedores y a quienes figuren como dueños de los inmuebles hipotecados.</w:t>
      </w:r>
    </w:p>
    <w:p w:rsidR="00B85568" w:rsidRDefault="00B85568" w:rsidP="00B85568">
      <w:pPr>
        <w:pStyle w:val="TextoNormal"/>
      </w:pPr>
    </w:p>
    <w:p w:rsidR="00B85568" w:rsidRDefault="00B85568" w:rsidP="00B85568">
      <w:pPr>
        <w:pStyle w:val="TextoNormal"/>
      </w:pPr>
      <w:r>
        <w:t>Por medio de otrosí solicita la suspensión del procedimiento de ejecución hipotecaria núm. 49-2012 del Juzgado de Primera Instancia núm. 4 de Arona, suspensión que, dada la excepcional urgencia del presente caso, deberá acordarse con la admisión a trámite de la demanda de amparo. Dicha solicitud de suspensión fue reiterada mediante escrito de fecha 18 de diciembre de 2014, en el que se indicó que el lanzamiento del inmueble sobre el que recae la ejecución estaba previsto para el día 26 de febrero de 2015. Asimismo, se interesó que se acordara la anotación preventiva de la demanda de amparo, dado que ya se había efectuado el cambio de titularidad registral, tras la adjudicación del inmueble a Altamira Santander Real Estate, S.A.</w:t>
      </w:r>
    </w:p>
    <w:p w:rsidR="00B85568" w:rsidRDefault="00B85568" w:rsidP="00B85568">
      <w:pPr>
        <w:pStyle w:val="TextoNormal"/>
      </w:pPr>
    </w:p>
    <w:p w:rsidR="00B85568" w:rsidRDefault="00B85568" w:rsidP="00B85568">
      <w:pPr>
        <w:pStyle w:val="TextoNormal"/>
      </w:pPr>
      <w:r w:rsidRPr="00B85568">
        <w:rPr>
          <w:rStyle w:val="NumeroAFNegritaCaracter"/>
        </w:rPr>
        <w:t>3</w:t>
      </w:r>
      <w:r>
        <w:t>. Por providencia de 18 de febrero de 2015, la Sección Tercera de este Tribunal acordó admitir a trámite el recurso de amparo y dirigir comunicación al órgano judicial interviniente, a fin de que, en plazo que no exceda de diez días, remita certificación o fotocopia adverada de las actuaciones correspondientes al procedimiento de ejecución hipotecaria núm. 49-2012, y proceda a emplazar a quienes hubieran sido parte en el proceso del que trae causa el presente recurso, excepto la parte recurrente en amparo, para que en plazo de diez días puedan comparecer, si lo desean.</w:t>
      </w:r>
    </w:p>
    <w:p w:rsidR="00B85568" w:rsidRDefault="00B85568" w:rsidP="00B85568">
      <w:pPr>
        <w:pStyle w:val="TextoNormal"/>
      </w:pPr>
    </w:p>
    <w:p w:rsidR="00B85568" w:rsidRDefault="00B85568" w:rsidP="00B85568">
      <w:pPr>
        <w:pStyle w:val="TextoNormal"/>
      </w:pPr>
      <w:r>
        <w:t>Asimismo, ante el riesgo de que la continuación de la ejecución produjera perjuicios de imposible o muy difícil reparación que hicieran perder su finalidad al recurso de amparo y, habida cuenta de la urgencia excepcional a que se refiere el art. 56.3 de la Ley Orgánica del Tribunal Constitucional (LOTC), también se acordó la suspensión cautelar de la ejecución hipotecaria núm. 49-2012.</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la misma fecha se acordó la formación de pieza separada para la tramitación del incidente de suspensión y, conforme a lo dispuesto en el art. 56 LOTC, confirió a la demandante y al Ministerio Fiscal un plazo de tres días para formular alegaciones.</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escrito de fecha 25 de febrero de 2015, la recurrente presentó sus alegaciones. En síntesis, ratifica lo ya manifestado en la demanda de amparo y reitera la necesidad de acceder a la suspensión interesada, así como que se acuerde la anotación preventiva de la demanda de amparo en el Registro de la Propiedad de Adeje.</w:t>
      </w:r>
    </w:p>
    <w:p w:rsidR="00B85568" w:rsidRDefault="00B85568" w:rsidP="00B85568">
      <w:pPr>
        <w:pStyle w:val="TextoNormal"/>
      </w:pPr>
    </w:p>
    <w:p w:rsidR="00B85568" w:rsidRDefault="00B85568" w:rsidP="00B85568">
      <w:pPr>
        <w:pStyle w:val="TextoNormal"/>
      </w:pPr>
      <w:r w:rsidRPr="00B85568">
        <w:rPr>
          <w:rStyle w:val="NumeroAFNegritaCaracter"/>
        </w:rPr>
        <w:t>6</w:t>
      </w:r>
      <w:r>
        <w:t>. Por escrito registrado en este Tribunal el 3 de marzo de 2015, el Ministerio Fiscal presentó su escrito de alegaciones. Tras resumir los aspectos más relevantes del caso, el Fiscal lleva a cabo un detallado análisis de la doctrina constitucional relativa a la suspensión de las resoluciones jurisdiccionales, tras la admisión a trámite del recurso de amparo. Sobre este particular destaca que, aun cuando la suspensión del procedimiento judicial no es regla general derivada de la admisión del recurso de amparo, sin embargo este Tribunal ha establecido una serie de excepciones, entre las que se encuentran aquellos supuestos que conllevan la adjudicación del dominio de inmuebles a un tercero, con la consiguiente consolidación de una posición jurídica inatacable o de muy difícil o costoso restablecimiento (AATC 56/2013, de 25 de febrero, FJ 2; 74/2013, de 8 de abril, FJ 2, y 37/2014, de 10 de febrero, FJ 2).</w:t>
      </w:r>
    </w:p>
    <w:p w:rsidR="00B85568" w:rsidRDefault="00B85568" w:rsidP="00B85568">
      <w:pPr>
        <w:pStyle w:val="TextoNormal"/>
      </w:pPr>
    </w:p>
    <w:p w:rsidR="00B85568" w:rsidRDefault="00B85568" w:rsidP="00B85568">
      <w:pPr>
        <w:pStyle w:val="TextoNormal"/>
      </w:pPr>
      <w:r>
        <w:t>En relación con el presente caso, el Fiscal considera que la inicial suspensión del procedimiento de ejecución hipotecaria, acordada con la admisión a trámite del recurso de amparo, estaba plenamente justificada, dada la fecha señalada para el lanzamiento. Por ello, estima procedente acordar de manera definitiva la suspensión, al amparo de lo dispuesto en el art. 56.2 LOTC, pues existe riesgo cierto de que el recurso de amparo pierda su finalidad, si se continúa con la ejecución hipotecaria.</w:t>
      </w:r>
    </w:p>
    <w:p w:rsidR="00B85568" w:rsidRDefault="00B85568" w:rsidP="00B85568">
      <w:pPr>
        <w:pStyle w:val="TextoNormal"/>
      </w:pPr>
    </w:p>
    <w:p w:rsidR="00B85568" w:rsidRDefault="00B85568" w:rsidP="00B85568">
      <w:pPr>
        <w:pStyle w:val="TextoNormal"/>
      </w:pPr>
      <w:r>
        <w:t>Por último, el Fiscal considera procedente que se acuerde la anotación preventiva de la demanda de amparo en el Registro de la Propiedad.</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Según reiterada doctrina de este Tribunal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en sí misma, una perturbación de la función jurisdiccional que comprende la potestad de hacer ejecutar lo juzgado (art. 117.3 CE), por lo que esta medida cautelar resulta pertinente si la ejecución del fallo causa al solicitante de amparo un perjuicio irreparable, debiendo entenderse por tal aquél que provoque que el restablecimiento del recurrente en los derechos fundamentales cuya vulneración denuncia sea tardío e impida definitivamente que la restauración sea efectiva” (por todos, recientemente, ATC 90/2014, de 27 de marzo, FJ 1).</w:t>
      </w:r>
    </w:p>
    <w:p w:rsidR="00B85568" w:rsidRDefault="00B85568" w:rsidP="00B85568">
      <w:pPr>
        <w:pStyle w:val="TextoNormal"/>
      </w:pPr>
    </w:p>
    <w:p w:rsidR="00B85568" w:rsidRDefault="00B85568" w:rsidP="00B85568">
      <w:pPr>
        <w:pStyle w:val="TextoNormal"/>
      </w:pPr>
      <w:r w:rsidRPr="00B85568">
        <w:rPr>
          <w:rStyle w:val="NumeroAFNegritaCaracter"/>
        </w:rPr>
        <w:t>2</w:t>
      </w:r>
      <w:r>
        <w:t>. Asimismo, hemos afirmado que “[e]n una consolidada doctrina constitucional, de la que son buena muestra, entre otros muchos, los AATC 220/2008, de 14 de julio, FJ 2; y 64/2009, de 23 de febrero, FJ 2; o los más recientes AATC 56/2013, de 13 de febrero, FJ 2; 74/2013, de 8 de abril, FJ 2; y 152/2013, de 8 de julio; FJ 2; y 37/2014, de 10 de febrero, FJ 2, este Tribunal ha admitido, en efecto,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restablecimiento’…”[ATC 37/2014, de 10 de febrero, FJ 2].</w:t>
      </w:r>
    </w:p>
    <w:p w:rsidR="00B85568" w:rsidRDefault="00B85568" w:rsidP="00B85568">
      <w:pPr>
        <w:pStyle w:val="TextoNormal"/>
      </w:pPr>
    </w:p>
    <w:p w:rsidR="00B85568" w:rsidRDefault="00B85568" w:rsidP="00B85568">
      <w:pPr>
        <w:pStyle w:val="TextoNormal"/>
      </w:pPr>
      <w:r>
        <w:t>Con arreglo a esa doctrina constitucional y sin prejuzgar la decisión sobre el fondo del recurso, se estima procedente acordar la suspensión solicitada, puesto que la continuación del procedimiento abocaría a una situación difícilmente reversible, susceptible de hacer perder la finalidad al presente recurso de amparo.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B85568" w:rsidRDefault="00B85568" w:rsidP="00B85568">
      <w:pPr>
        <w:pStyle w:val="TextoNormal"/>
      </w:pPr>
    </w:p>
    <w:p w:rsidR="00B85568" w:rsidRDefault="00B85568" w:rsidP="00B85568">
      <w:pPr>
        <w:pStyle w:val="TextoNormal"/>
      </w:pPr>
      <w:r w:rsidRPr="00B85568">
        <w:rPr>
          <w:rStyle w:val="NumeroAFNegritaCaracter"/>
        </w:rPr>
        <w:t>3</w:t>
      </w:r>
      <w:r>
        <w:t>. En cuanto a la anotación preventiva que solicita el Fiscal y la parte demandante, se estima pertinente la adopción de esa medida. Como sostuvimos en el ATC 282/2014, de 17 de noviembre, FJ 5, “Cuando como en el presente caso se solicita como medida cautelar la anotación preventiva de la demanda de amparo en el Registro de la Propiedad, hemos señalado en ocasiones precedentes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B85568" w:rsidRDefault="00B85568" w:rsidP="00B85568">
      <w:pPr>
        <w:pStyle w:val="TextoNormal"/>
      </w:pPr>
    </w:p>
    <w:p w:rsidR="00B85568" w:rsidRDefault="00B85568" w:rsidP="00B85568">
      <w:pPr>
        <w:pStyle w:val="TextoNormal"/>
      </w:pPr>
      <w:r>
        <w:t>En el caso examinado existe título de adjudicación del inmueble a favor de un tercero, estando pendiente el lanzamiento de la demandante para materializar la entrega o puesta a disposición de la finca a favor del adquirente, según se alega, de manera que la medida instada cumple el fin de garantizar el derecho de la demandante de amparo frente a eventuales actos de disposición, mediante el anuncio registral frente a terceros de la pendencia del proceso constitucional con sus eventuales consecuencias sobre los derechos inscritos.</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Acordar la suspensión cautelar de la tramitación del procedimiento de ejecución hipotecaria núm. 49-2012 del Juzgado de Primera Instancia núm. 4 de Arona.</w:t>
      </w:r>
    </w:p>
    <w:p w:rsidR="00B85568" w:rsidRDefault="00B85568" w:rsidP="00B85568">
      <w:pPr>
        <w:pStyle w:val="TextoNormal"/>
      </w:pPr>
    </w:p>
    <w:p w:rsidR="00B85568" w:rsidRDefault="00B85568" w:rsidP="00B85568">
      <w:pPr>
        <w:pStyle w:val="TextoNormal"/>
      </w:pPr>
      <w:r>
        <w:t>2º Ordenar la anotación preventiva de la demanda de amparo admitida a trámite en el Registro de la Propiedad, a cuyo efecto el Juzgado de Primera Instancia núm. 4 de Arona expedirá el mandamiento oportuno, para que pueda practicarse la misma en relación con el inmueble sobre el que recae el procedimiento indicado.</w:t>
      </w:r>
    </w:p>
    <w:p w:rsidR="00B85568" w:rsidRDefault="00B85568" w:rsidP="00B85568">
      <w:pPr>
        <w:pStyle w:val="TextoNormal"/>
      </w:pPr>
    </w:p>
    <w:p w:rsidR="00B85568" w:rsidRDefault="00B85568" w:rsidP="00B85568">
      <w:pPr>
        <w:pStyle w:val="TextoNormal"/>
      </w:pPr>
      <w:r>
        <w:t>Madrid, a dieciséis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0" w:name="AUTO_2015_60"/>
      <w:r>
        <w:t>AUTO 60/2015, de 17 de marzo de 2015</w:t>
      </w:r>
    </w:p>
    <w:bookmarkEnd w:id="210"/>
    <w:p w:rsidR="00B85568" w:rsidRDefault="00B85568" w:rsidP="00B85568">
      <w:pPr>
        <w:pStyle w:val="TtuloResolucin"/>
      </w:pPr>
      <w:r>
        <w:t>Pleno</w:t>
      </w:r>
    </w:p>
    <w:p w:rsidR="00B85568" w:rsidRDefault="00B85568" w:rsidP="00B85568">
      <w:pPr>
        <w:pStyle w:val="TextoNormalCentrado"/>
      </w:pPr>
      <w:r>
        <w:t>ECLI:ES:TC:2015:60A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3451-2014, planteada por el Tribunal Superior de Justicia de Cataluña en relación con el artículo 4.3 de la Ley 3/2012, de 6 de julio, de medidas urgentes para la reforma del mercado laboral.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2 de junio de 2014 tuvo entrada en el Registro General de este Tribunal un escrito del Tribunal Superior de Justicia de Cataluña, Sala de lo Social, al que se acompañaba, junto al testimonio del recurso de suplicación 5035-2013, dimanante del procedimiento de despido 801-2012, del Juzgado de lo Social núm. 11 de Barcelona , el Auto de 24 de abril de 2014, por el que plantea cuestión de inconstitucionalidad en relación con el art. 4.3 de la Ley 3/2012, de 6 de julio, de medidas urgentes para la reforma del mercado laboral, por la posible vulneración de los arts. 9.3, 14, 24.1 y 35.1 CE.</w:t>
      </w:r>
    </w:p>
    <w:p w:rsidR="00B85568" w:rsidRDefault="00B85568" w:rsidP="00B85568">
      <w:pPr>
        <w:pStyle w:val="TextoNormal"/>
      </w:pPr>
    </w:p>
    <w:p w:rsidR="00B85568" w:rsidRDefault="00B85568" w:rsidP="00B85568">
      <w:pPr>
        <w:pStyle w:val="TextoNormal"/>
      </w:pPr>
      <w:r>
        <w:t>El precepto cuestionado, que se enmarca en la regulación del contrato de trabajo por tiempo indefinido de apoyo a los emprendedores, que pueden celebrar las empresas con menos de cincuenta trabajadores, tiene el siguiente tenor:</w:t>
      </w:r>
    </w:p>
    <w:p w:rsidR="00B85568" w:rsidRDefault="00B85568" w:rsidP="00B85568">
      <w:pPr>
        <w:pStyle w:val="TextoNormal"/>
      </w:pPr>
    </w:p>
    <w:p w:rsidR="00B85568" w:rsidRDefault="00B85568" w:rsidP="00B85568">
      <w:pPr>
        <w:pStyle w:val="TextoNormal"/>
      </w:pPr>
      <w:r>
        <w:t>“El régimen jurídico del contrato y los derechos y obligaciones que de él se deriven se regirán, con carácter general, por lo dispuesto en el Texto Refundido de la Ley del Estatuto de los Trabajadores, aprobado por Real Decreto Legislativo 1/1995, de 24 de marzo, y en los convenios colectivos para los contratos por tiempo indefinido, con la única excepción de la duración del periodo de prueba a que se refiere el art. 14 del Estatuto de los Trabajadores, que será de un año en todo caso. No podrá establecerse un periodo de prueba cuando el trabajador haya ya desempeñado las mismas funciones con anterioridad en la empresa, bajo cualquier modalidad de contratación.”</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del planteamiento de la presente cuestión de inconstitucionalidad son, sucintamente expuestos, los siguientes:</w:t>
      </w:r>
    </w:p>
    <w:p w:rsidR="00B85568" w:rsidRDefault="00B85568" w:rsidP="00B85568">
      <w:pPr>
        <w:pStyle w:val="TextoNormal"/>
      </w:pPr>
    </w:p>
    <w:p w:rsidR="00B85568" w:rsidRDefault="00B85568" w:rsidP="00B85568">
      <w:pPr>
        <w:pStyle w:val="TextoNormal"/>
      </w:pPr>
      <w:r>
        <w:t>a) Una empresa contrató a una trabajadora en virtud de un contrato de trabajo indefinido de apoyo a los emprendedores. La trabajadora empezó a prestar servicios en la referida empresa el 10 de mayo de 2012.</w:t>
      </w:r>
    </w:p>
    <w:p w:rsidR="00B85568" w:rsidRDefault="00B85568" w:rsidP="00B85568">
      <w:pPr>
        <w:pStyle w:val="TextoNormal"/>
      </w:pPr>
    </w:p>
    <w:p w:rsidR="00B85568" w:rsidRDefault="00B85568" w:rsidP="00B85568">
      <w:pPr>
        <w:pStyle w:val="TextoNormal"/>
      </w:pPr>
      <w:r>
        <w:t>b) El 17 de julio de 2012 la empresa entregó a la trabajadora carta extintiva del contrato de trabajo basada en la no superación del periodo de prueba.</w:t>
      </w:r>
    </w:p>
    <w:p w:rsidR="00B85568" w:rsidRDefault="00B85568" w:rsidP="00B85568">
      <w:pPr>
        <w:pStyle w:val="TextoNormal"/>
      </w:pPr>
    </w:p>
    <w:p w:rsidR="00B85568" w:rsidRDefault="00B85568" w:rsidP="00B85568">
      <w:pPr>
        <w:pStyle w:val="TextoNormal"/>
      </w:pPr>
      <w:r>
        <w:t>c) Tras solicitar el correspondiente acto de conciliación, que se celebró sin acuerdo, la trabajadora presentó demanda de despido.</w:t>
      </w:r>
    </w:p>
    <w:p w:rsidR="00B85568" w:rsidRDefault="00B85568" w:rsidP="00B85568">
      <w:pPr>
        <w:pStyle w:val="TextoNormal"/>
      </w:pPr>
    </w:p>
    <w:p w:rsidR="00B85568" w:rsidRDefault="00B85568" w:rsidP="00B85568">
      <w:pPr>
        <w:pStyle w:val="TextoNormal"/>
      </w:pPr>
      <w:r>
        <w:t>d) El Juzgado de lo Social núm. 11 de Barcelona por Sentencia de 15 de febrero de 2014 estimó la demanda formulada y declaró improcedente el despido.</w:t>
      </w:r>
    </w:p>
    <w:p w:rsidR="00B85568" w:rsidRDefault="00B85568" w:rsidP="00B85568">
      <w:pPr>
        <w:pStyle w:val="TextoNormal"/>
      </w:pPr>
    </w:p>
    <w:p w:rsidR="00B85568" w:rsidRDefault="00B85568" w:rsidP="00B85568">
      <w:pPr>
        <w:pStyle w:val="TextoNormal"/>
      </w:pPr>
      <w:r>
        <w:t xml:space="preserve">e) Contra esta Sentencia la empresa interpuso recurso de suplicación. La parte actora en el proceso </w:t>
      </w:r>
      <w:r w:rsidRPr="00B85568">
        <w:rPr>
          <w:i/>
        </w:rPr>
        <w:t>a quo</w:t>
      </w:r>
      <w:r>
        <w:t xml:space="preserve"> impugnó el recurso de suplicación. Una vez elevados los autos a la Sala de lo Social del Tribunal Superior de Justicia de Cataluña, el 19 de marzo de 2014 se dictó providencia por la que se acordó oír a las partes y al Ministerio Fiscal por plazo común e improrrogable de diez días para que alegaren lo que estimaren pertinente sobre la conveniencia de plantear cuestión de inconstitucionalidad en relación con el art. 4.3 de la ley 3/2012, de 6 de julio, de medidas urgentes para la reforma del mercado laboral, en cuanto a la duración del periodo de prueba, pues el órgano judicial consideró que tal precepto podía vulnerar los arts. 9.3, 14, 24.1, art. 96.1 en relación con el principio de jerarquía normativa (art. 93 CE) y los arts. 8 a 11 del Convenio 158 de la Organización Internacional del Trabajo (OIT) y del art. 35.1 CE.</w:t>
      </w:r>
    </w:p>
    <w:p w:rsidR="00B85568" w:rsidRDefault="00B85568" w:rsidP="00B85568">
      <w:pPr>
        <w:pStyle w:val="TextoNormal"/>
      </w:pPr>
    </w:p>
    <w:p w:rsidR="00B85568" w:rsidRDefault="00B85568" w:rsidP="00B85568">
      <w:pPr>
        <w:pStyle w:val="TextoNormal"/>
      </w:pPr>
      <w:r>
        <w:t>f) El Ministerio Fiscal consideró procedente el planteamiento de la cuestión de inconstitucionalidad. Por el contrario, la parte recurrente se opuso a su planteamiento. No consta escrito de alegaciones de la parte recurrida.</w:t>
      </w:r>
    </w:p>
    <w:p w:rsidR="00B85568" w:rsidRDefault="00B85568" w:rsidP="00B85568">
      <w:pPr>
        <w:pStyle w:val="TextoNormal"/>
      </w:pPr>
    </w:p>
    <w:p w:rsidR="00B85568" w:rsidRDefault="00B85568" w:rsidP="00B85568">
      <w:pPr>
        <w:pStyle w:val="TextoNormal"/>
      </w:pPr>
      <w:r>
        <w:t>g) La Sala de lo Social del Tribunal Superior de Justicia de Cataluña dictó Auto el 24 de abril de 2014 acordando plantear cuestión de inconstitucionalidad en relación con el art. 4.3 de la Ley 3/2012, de 6 de julio, de medidas urgentes para la reforma del mercado laboral, por la posible vulneración de los arts. 9.3, 14, 24.1 y 35.1 CE.</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planteamiento, tras exponer los antecedentes del caso, identifica el precepto cuestionado y justifica la relevancia del mismo para la solución del asunto sometido a su examen. Según se afirma en esta resolución, la decisión del proceso depende de la validez de la norma cuestionada porque si la norma cuestionada es válida, al haberse producido la decisión extintiva del contrato dentro del periodo anual de prueba, la empresa podría desistir del contrato sin obligación de indemnizar a la trabajadora. Por el contrario, si no fuera valido el referido periodo anual de prueba, al haber transcurrido más de dos meses desde que fue contratada se habría excedido el periodo de prueba previsto en el convenio aplicable y el despido sería improcedente.</w:t>
      </w:r>
    </w:p>
    <w:p w:rsidR="00B85568" w:rsidRDefault="00B85568" w:rsidP="00B85568">
      <w:pPr>
        <w:pStyle w:val="TextoNormal"/>
      </w:pPr>
    </w:p>
    <w:p w:rsidR="00B85568" w:rsidRDefault="00B85568" w:rsidP="00B85568">
      <w:pPr>
        <w:pStyle w:val="TextoNormal"/>
      </w:pPr>
      <w:r>
        <w:t>En el Auto de planteamiento se considera que la norma cuestionada puede ser contraria al art. 9.3 CE. Se sostiene que el periodo de prueba tan amplio que establece la norma cuestionada (un año) no guarda relación con el fomento del empleo ni tiene justificación objetiva. Se invoca la STC 203/2013.</w:t>
      </w:r>
    </w:p>
    <w:p w:rsidR="00B85568" w:rsidRDefault="00B85568" w:rsidP="00B85568">
      <w:pPr>
        <w:pStyle w:val="TextoNormal"/>
      </w:pPr>
    </w:p>
    <w:p w:rsidR="00B85568" w:rsidRDefault="00B85568" w:rsidP="00B85568">
      <w:pPr>
        <w:pStyle w:val="TextoNormal"/>
      </w:pPr>
      <w:r>
        <w:t>También se aduce que el art. 4.3 de la ley 3/2012 puede vulnerar el art. 14 CE, pues no se aprecia qué especificidad pueden tener las empresas de menos de cincuenta trabajadores para establecer el referido periodo de prueba y alterar la regulación ordinaria que prevé el art. 14 de la Ley del estatuto de los trabajadores (LET).</w:t>
      </w:r>
    </w:p>
    <w:p w:rsidR="00B85568" w:rsidRDefault="00B85568" w:rsidP="00B85568">
      <w:pPr>
        <w:pStyle w:val="TextoNormal"/>
      </w:pPr>
    </w:p>
    <w:p w:rsidR="00B85568" w:rsidRDefault="00B85568" w:rsidP="00B85568">
      <w:pPr>
        <w:pStyle w:val="TextoNormal"/>
      </w:pPr>
      <w:r>
        <w:t>Junto a ello se afirma que el referido precepto puede lesionar el art. 24.1 CE en relación con los arts. 8 a 11 del Convenio 158 OIT, al impedir la discusión en sede judicial acerca de la justificación de la extinción del contrato en el plazo de un año.</w:t>
      </w:r>
    </w:p>
    <w:p w:rsidR="00B85568" w:rsidRDefault="00B85568" w:rsidP="00B85568">
      <w:pPr>
        <w:pStyle w:val="TextoNormal"/>
      </w:pPr>
    </w:p>
    <w:p w:rsidR="00B85568" w:rsidRDefault="00B85568" w:rsidP="00B85568">
      <w:pPr>
        <w:pStyle w:val="TextoNormal"/>
      </w:pPr>
      <w:r>
        <w:t>Por último se sostiene que el establecimiento de un periodo de prueba constituye una excepción legal al principio de causalidad en la extinción del contrato de trabajo que tiene su razón de ser en que el empresario pueda comprobar las aptitudes profesionales de la persona a emplear. Por ello se considera que el periodo de prueba que se establezca tiene que ser acorde con esta finalidad; finalidad que podría no cumplir el plazo de un año como periodo de prueba previsto en la norma impugnada, lo que podría lesionar, según se sostiene el Auto de planteamiento, el derecho al trabajo que consagra el art. 35.1 CE.</w:t>
      </w:r>
    </w:p>
    <w:p w:rsidR="00B85568" w:rsidRDefault="00B85568" w:rsidP="00B85568">
      <w:pPr>
        <w:pStyle w:val="TextoNormal"/>
      </w:pPr>
    </w:p>
    <w:p w:rsidR="00B85568" w:rsidRDefault="00B85568" w:rsidP="00B85568">
      <w:pPr>
        <w:pStyle w:val="TextoNormal"/>
      </w:pPr>
      <w:r>
        <w:t>En virtud de estas consideraciones se acuerda plantear cuestión de inconstitucionalidad. El Auto cuenta con dos votos particulares.</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la Sección Primera de este Tribunal, de 23 de septiembre de 2014, se acordó oír al Fiscal General del Estado acerca de la admisibilidad de la presente cuestión de inconstitucionalidad, por si fuese notoriamente infundada (art. 37.1 de la Ley Orgánica del Tribunal Constitucional).</w:t>
      </w:r>
    </w:p>
    <w:p w:rsidR="00B85568" w:rsidRDefault="00B85568" w:rsidP="00B85568">
      <w:pPr>
        <w:pStyle w:val="TextoNormal"/>
      </w:pPr>
    </w:p>
    <w:p w:rsidR="00B85568" w:rsidRDefault="00B85568" w:rsidP="00B85568">
      <w:pPr>
        <w:pStyle w:val="TextoNormal"/>
      </w:pPr>
      <w:r w:rsidRPr="00B85568">
        <w:rPr>
          <w:rStyle w:val="NumeroAFNegritaCaracter"/>
        </w:rPr>
        <w:t>5</w:t>
      </w:r>
      <w:r>
        <w:t>. El 14 de octubre de 2014, el Fiscal General del Estado presentó en el Registro General de este Tribunal su escrito de alegaciones por el que se interesa la inadmisión de la cuestión por ser notoriamente infundada. En su opinión, las dudas de inconstitucionalidad que se plantean en este proceso han quedado ya disipadas por la STC 119/2014, de 16 de julio, del Pleno del Tribunal.</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art. 37.1 de la Ley Orgánica del Tribunal Constitucional (LOTC) posibilita que el Tribunal rechace “en trámite de admisión, mediante Auto y sin otra audiencia que la del Fiscal General del Estado la cuestión de inconstitucionalidad cuando … fuere notoriamente infundada la cuestión suscitada”. Esta falta notoria de fundamento concurrirá “cuando resulte evidente que la norma legal cuestionada … es manifiestamente constitucional” (STC 27/1991, de 14 de febrero, FJ 3; AATC 206/2009, de 30 de junio, y 250/2014, de 21 de octubre, entre otros muchos); evidencia que puede producirse de forma sobrevenida con posterioridad al planteamiento de la cuestión (AATC 206/2009, de 30 de junio, y 250/2014, de 21 de octubre).</w:t>
      </w:r>
    </w:p>
    <w:p w:rsidR="00B85568" w:rsidRDefault="00B85568" w:rsidP="00B85568">
      <w:pPr>
        <w:pStyle w:val="TextoNormal"/>
      </w:pPr>
    </w:p>
    <w:p w:rsidR="00B85568" w:rsidRDefault="00B85568" w:rsidP="00B85568">
      <w:pPr>
        <w:pStyle w:val="TextoNormal"/>
      </w:pPr>
      <w:r>
        <w:t>En el presente caso la notoria falta de fundamento de la cuestión de inconstitucionalidad planteada se produce como consecuencia de que el Pleno de este Tribunal, en la STC 119/2014, de 16 de julio, FJ 3, ha desestimado la impugnación del art. 4.3 de la Ley 3/2012, de 6 de julio, de medidas urgentes de reforma laboral, ahora cuestionado. Esta impugnación se fundamentaba en los mismos motivos que los expuestos en el Auto de planteamiento.</w:t>
      </w:r>
    </w:p>
    <w:p w:rsidR="00B85568" w:rsidRDefault="00B85568" w:rsidP="00B85568">
      <w:pPr>
        <w:pStyle w:val="TextoNormal"/>
      </w:pPr>
    </w:p>
    <w:p w:rsidR="00B85568" w:rsidRDefault="00B85568" w:rsidP="00B85568">
      <w:pPr>
        <w:pStyle w:val="TextoNormal"/>
      </w:pPr>
      <w:r>
        <w:t>En consecuencia, al ser las mismas las dudas de constitucionalidad que se plantean en la presente cuestión que las que se adujeron en el recurso de inconstitucionalidad del que trae causa la citada STC 119/2014, ha de concluirse, como sostuvo el ATC 250/2014, de 21 de octubre, en supuesto en el que se cuestionaba también este mismo precepto legal, que la cuestión de inconstitucionalidad es notoriamente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diecisiete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1" w:name="AUTO_2015_61"/>
      <w:r>
        <w:t>AUTO 61/2015, de 17 de marzo de 2015</w:t>
      </w:r>
    </w:p>
    <w:bookmarkEnd w:id="211"/>
    <w:p w:rsidR="00B85568" w:rsidRDefault="00B85568" w:rsidP="00B85568">
      <w:pPr>
        <w:pStyle w:val="TtuloResolucin"/>
      </w:pPr>
      <w:r>
        <w:t>Pleno</w:t>
      </w:r>
    </w:p>
    <w:p w:rsidR="00B85568" w:rsidRDefault="00B85568" w:rsidP="00B85568">
      <w:pPr>
        <w:pStyle w:val="TextoNormalCentrado"/>
      </w:pPr>
      <w:r>
        <w:t>ECLI:ES:TC:2015:61A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4875-2014, planteada por la Sala de lo Contencioso-Administrativo del Tribunal Superior de Justicia de Castilla-La Mancha en relación con los artículos 22.1 a) y 2 de la Ley 8/2007, de 28 de mayo, de suelo y 23.1 a) y 2 del Real Decreto Legislativo 2/2008, de 20 de junio, por el que se aprueba el texto refundido de la Ley de suelo.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24 de julio de 2014, tuvo entrada en el Registro General de este Tribunal un oficio de la Sección Segunda de la Sala de lo Contencioso-Administrativo del Tribunal Superior de Justicia de Castilla-La Mancha, de remisión del testimonio de las actuaciones correspondientes al procedimiento ordinario núm. 526-2010, que incorporan el Auto de 3 de julio de 2014, por el que se acuerda plantear cuestión de inconstitucionalidad en relación con los arts. 22.1 a) y 2 de la Ley 8/2007, de 28 de mayo, de suelo, y 23.1 a) y 2 del Real Decreto Legislativo 2/2008, de 20 de junio, por el que se aprueba el texto refundido de la Ley de suelo, por la posible vulneración del art. 33.3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en lo que interesa al presente proceso, son los que a continuación se exponen:</w:t>
      </w:r>
    </w:p>
    <w:p w:rsidR="00B85568" w:rsidRDefault="00B85568" w:rsidP="00B85568">
      <w:pPr>
        <w:pStyle w:val="TextoNormal"/>
      </w:pPr>
    </w:p>
    <w:p w:rsidR="00B85568" w:rsidRDefault="00B85568" w:rsidP="00B85568">
      <w:pPr>
        <w:pStyle w:val="TextoNormal"/>
      </w:pPr>
      <w:r>
        <w:t>a) La parte actora recurrió la resolución del Jurado regional de valoraciones de la Junta de Comunidades de Castilla-La Mancha, que fijó, en aplicación del método de capitalización de rentas, el justiprecio de la finca 52 (del polígono 1, parcela 226) de Cabanillas del Campo, de la que se expropiaron 286 m2 para ejecutar el proyecto “Modificado 1. Construcción de la Carretera de Conexión entre la N-320 y la CM 101”. Alegaba, entre otras cuestiones que no procede reseñar ahora, que el expediente de expropiación se había iniciado antes de la aprobación de la Ley 8/2007, de 28 de mayo, de suelo, por lo que la valoración debía realizarse con los criterios de la Ley 6/1998, de régimen de suelo y valoraciones. En concreto, aunque se trataba de un suelo no urbanizable, debía valorarse, por aplicación de la doctrina del Tribunal Supremo sobre sistemas generales destinados a hacer ciudad, por el método residual dinámico.</w:t>
      </w:r>
    </w:p>
    <w:p w:rsidR="00B85568" w:rsidRDefault="00B85568" w:rsidP="00B85568">
      <w:pPr>
        <w:pStyle w:val="TextoNormal"/>
      </w:pPr>
    </w:p>
    <w:p w:rsidR="00B85568" w:rsidRDefault="00B85568" w:rsidP="00B85568">
      <w:pPr>
        <w:pStyle w:val="TextoNormal"/>
      </w:pPr>
      <w:r>
        <w:t>b) Concluso el procedimiento, y antes de dictar sentencia, la Sección Segunda de la Sala de lo Contencioso-Administrativo del Tribunal Superior de Justicia de Castilla-La Mancha dictó providencia, con fecha 22 de mayo de 2014, por la que acordó oír a las partes y al Ministerio Fiscal, por el plazo común de diez días, acerca de la posible inconstitucionalidad de los arts. 22.1 a) y 2 de la Ley 8/2007, de 28 de mayo, de suelo, y 23.1 a) y 2 del Real Decreto Legislativo 2/2008, en cuanto que las limitaciones que en ellos se establecen para la valoración de los terrenos en el suelo rural podría impedirle fijar el justiprecio del bien conforme a su valor real, con la consiguiente vulneración del art. 33.3 CE. El Fiscal y la actora se mostraron conformes, aunque esta última insistió en la no aplicabilidad de la ley cuestionada. El Letrado de la Junta se opuso a su planteamiento.</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3 de julio de 2014, de planteamiento de la cuestión, tras recoger los antecedentes del caso y reproducir las normas cuestionadas, justifica el cumplimiento de los requisitos procesales. En cuanto al juicio de aplicabilidad razona que, por aplicación de la jurisprudencia del Tribunal Supremo, el momento a tener en cuenta para la aplicación de la Ley de suelo es el de inicio de la pieza separada de justiprecio. En este caso el requerimiento a la parte para que formulase hoja de aprecio se realizó el 26 de octubre de 2007, estando, por tanto, en vigor la Ley de suelo.</w:t>
      </w:r>
    </w:p>
    <w:p w:rsidR="00B85568" w:rsidRDefault="00B85568" w:rsidP="00B85568">
      <w:pPr>
        <w:pStyle w:val="TextoNormal"/>
      </w:pPr>
    </w:p>
    <w:p w:rsidR="00B85568" w:rsidRDefault="00B85568" w:rsidP="00B85568">
      <w:pPr>
        <w:pStyle w:val="TextoNormal"/>
      </w:pPr>
      <w:r>
        <w:t>En cuanto al juicio de relevancia afirma que, teniendo en cuenta que los terrenos están clasificados como no urbanizables, deben ser valorados por el método de capitalización de rentas (arts. 22 LS y 23 del Real Decreto Legislativo 2/2008), método que sigue el Jurado arrojando una valoración de 4,42 €/m2. Sin embargo, la beneficiaria de la expropiación, había ofrecido, tan solo tres meses antes, un valor unitario de 8,99 €/m2 para otra parte de la misma finca, con la misma clasificación urbanística de suelo no urbanizable, para la ejecución del proyecto de expropiación denominado “Vía de conexión entre polígonos industriales del Henares y de Cabanillas del Campo (Guadalajara)”, por lo que el valor unitario debería ser, como mínimo, el considerado por la beneficiaría en la aludida actuación expropiatoria y no el resultante de la aplicación del método de capitalización de rentas, aún corregido en los términos que contemplan los preceptos cuya constitucionalidad cuestiona y que impiden valorar los terrenos en base a su valor real.</w:t>
      </w:r>
    </w:p>
    <w:p w:rsidR="00B85568" w:rsidRDefault="00B85568" w:rsidP="00B85568">
      <w:pPr>
        <w:pStyle w:val="TextoNormal"/>
      </w:pPr>
    </w:p>
    <w:p w:rsidR="00B85568" w:rsidRDefault="00B85568" w:rsidP="00B85568">
      <w:pPr>
        <w:pStyle w:val="TextoNormal"/>
      </w:pPr>
      <w:r>
        <w:t>Sigue exponiendo que la valoración del suelo rural por el método de capitalización de rentas agrarias, corregido hasta el máximo del doble en función de factores objetivos de localización, sin que puedan tenerse en cuenta expectativas derivadas de la asignación de usos y edificabilidades por la ordenación territorial y urbanística que no hayan sido aun plenamente realizados, puede resultar contraria al art. 33.3 CE por las siguientes razones. En primer lugar,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correspondan valor real de los bienes y derechos expropiados, cualquiera que sea éste, pues lo que garantiza la Constitución es el razonable equilibrio entre el daño expropiatorio y su reparación. Se cita también la STC 313/2006, de 8 de noviembre, FJ 9. Invoca también la doctrina del Tribunal Europeo de Derechos Humanos, señalando que, a su entender, los preceptos que se cuestionan vulnerarían el art. 1 del protocolo adicional del Convenio de Roma, con cita de numerosas sentencias del referido Tribunal, entre las que se encuentra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sólo una indemnización íntegra puede ser considerada como razonablemente proporcionada al valor del bien. Hace referencia también a la abundante doctrina del Tribunal Supremo proclive a la valoración de las expectativas urbanísticas en suelo no urbanizable, señalando que bajo la vigencia de la Ley de suelo de 1976, las expectativas urbanísticas fueron un elemento más de valoración en los suelos no urbanizables, y que, desde entonces, con la única excepción de los ocho años que estuvo vigente la Ley de suelo 8/1990, y su texto refundido, aprobado por Real Decreto Legislativo 1/1992, nuestra legislación urbanística ha permitido su valoración hasta la vigente Ley 8/2007, en la que se ha vuelto a prohibir expresamente tal posibilidad.</w:t>
      </w:r>
    </w:p>
    <w:p w:rsidR="00B85568" w:rsidRDefault="00B85568" w:rsidP="00B85568">
      <w:pPr>
        <w:pStyle w:val="TextoNormal"/>
      </w:pPr>
    </w:p>
    <w:p w:rsidR="00B85568" w:rsidRDefault="00B85568" w:rsidP="00B85568">
      <w:pPr>
        <w:pStyle w:val="TextoNormal"/>
      </w:pPr>
      <w:r>
        <w:t>Asimismo, el órgano judicial hace referencia a las modificaciones posteriores a la entrada en vigor del texto refundido que vienen a evidenciar la insuficiencia del método de capitalización para obtener el valor real del suelo rural. En este sentido, aunque tanto la Ley de suelo como el texto refundido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pudiera alejar de forma significativa el resultado de las valoraciones respecto de los precios de mercado del suelo rural sin consideración de expectativas urbanísticas, no se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multiplicarlo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 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o zonas de especial valor no estrictamente agropecuario. En conclusión, considera el órgano judicial que el sistema de valoración es claramente insuficiente para que los propietarios puedan obtener esa compensación íntegra por el bien expropiado.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4 de noviembre de 2014, la Sección Primera del Tribunal Constitucional acordó dar traslado al Fiscal General del Estado para que alegase sobre la admisibilidad de la cuestión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18 de diciembre tuvo entrada en este Tribunal escrito del Ministerio Fiscal formulando las alegaciones que a continuación se resumen. Tras exponer los argumentos del Auto de planteamiento de la cuestión de inconstitucionalidad, analiza la observancia de los requisitos establecidos en el art. 35.2 de la Ley Orgánica del Tribunal Constitucional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00B85568" w:rsidRDefault="00B85568" w:rsidP="00B85568">
      <w:pPr>
        <w:pStyle w:val="TextoNormal"/>
      </w:pPr>
    </w:p>
    <w:p w:rsidR="00B85568" w:rsidRDefault="00B85568" w:rsidP="00B85568">
      <w:pPr>
        <w:pStyle w:val="TextoNormal"/>
      </w:pPr>
      <w:r>
        <w:t>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de la Ley de suelo,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sea manifiestamente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de la Ley de suelo, mientras que en la duda que atañe al apartado segundo del mismo precepto debe considerarse manifiestamente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el art. 37.1 de la Ley Orgánica del Tribunal Constitucional (LOTC), este Tribunal puede rechazar la cuestión de inconstitucionalidad, en trámite de admisión y mediante Auto y sin más audiencia que la del Fiscal General del Estado, cuando faltaren las condiciones procesales o fuere notoriamente infundada.</w:t>
      </w:r>
    </w:p>
    <w:p w:rsidR="00B85568" w:rsidRDefault="00B85568" w:rsidP="00B85568">
      <w:pPr>
        <w:pStyle w:val="TextoNormal"/>
      </w:pPr>
    </w:p>
    <w:p w:rsidR="00B85568" w:rsidRDefault="00B85568" w:rsidP="00B85568">
      <w:pPr>
        <w:pStyle w:val="TextoNormal"/>
      </w:pPr>
      <w:r>
        <w:t>De acuerdo con lo dispuesto en el art. 35.1 LOTC, la norma legal cuya constitucionalidad se cuestiona debe ser aplicable al caso, y conforme al art. 35.2 LOTC el órgano judicial debe especificar en qué medida la decisión del proceso depende de la validez de la norma en cuestión. El juicio de aplicabilidad realizado por el Auto de planteamiento, se dirige a justificar la aplicación de la Ley 8/2007, de 28 de mayo, frente a la Ley 6/1998, vigente en el momento de iniciarse el procedimiento expropiatorio, el 21 de mayo de 2007, pero derogada en el momento de inicio de la pieza separada de justiprecio, esto, es cuando la Administración requirió al expropiado para la presentación de la hoja de aprecio, el 26 de octubre de 2007. Argumenta la Sala que, de acuerdo con la interpretación que el Tribunal Supremo ha realizado de la disposición transitoria tercera del texto refundido, la Ley de suelo es aplicable a los expedientes expropiatorios iniciados con anterioridad a la Ley de suelo, siempre y cuando el requerimiento de la Administración al expropiado para la presentación de la hoja de aprecio se haya realizado cuando ésta ya estaba vigente, circunstancia que concurre en este caso. Nada razona, sin embargo, el Auto de planteamiento sobre la aplicabilidad del texto refundido. Siendo obvio, de un lado, que ambas normas legales, la derogada y la actualmente vigente, ni estaban ni pudieron estar en vigor en un mismo momento, y, de otro, que se requirió a la recurrente para la presentación de la hoja de aprecio varios meses antes de la aprobación y entrada en vigor del texto refundido, procede inadmitir la cuestión de inconstitucionalidad planteada en relación con los apartados 1 a) y 2 del art. 23 del texto refundido.</w:t>
      </w:r>
    </w:p>
    <w:p w:rsidR="00B85568" w:rsidRDefault="00B85568" w:rsidP="00B85568">
      <w:pPr>
        <w:pStyle w:val="TextoNormal"/>
      </w:pPr>
    </w:p>
    <w:p w:rsidR="00B85568" w:rsidRDefault="00B85568" w:rsidP="00B85568">
      <w:pPr>
        <w:pStyle w:val="TextoNormal"/>
      </w:pPr>
      <w:r w:rsidRPr="00B85568">
        <w:rPr>
          <w:rStyle w:val="NumeroAFNegritaCaracter"/>
        </w:rPr>
        <w:t>3</w:t>
      </w:r>
      <w:r>
        <w:t>. Las razones en las que se fundamenta el Auto de planteamiento de la cuestión de inconstitucionalidad son sustancialmente iguales a las expuestas en la cuestión de inconstitucionalidad inadmitida a trámite por el ATC 8/2015, de 20 de enero, a cuyos fundamentos nos remitimos para inadmitir también la presente cuestión.</w:t>
      </w:r>
    </w:p>
    <w:p w:rsidR="00B85568" w:rsidRDefault="00B85568" w:rsidP="00B85568">
      <w:pPr>
        <w:pStyle w:val="TextoNormal"/>
      </w:pPr>
    </w:p>
    <w:p w:rsidR="00B85568" w:rsidRDefault="00B85568" w:rsidP="00B85568">
      <w:pPr>
        <w:pStyle w:val="TextoNormal"/>
      </w:pPr>
      <w:r>
        <w:t>Entonces afirmamos:</w:t>
      </w:r>
    </w:p>
    <w:p w:rsidR="00B85568" w:rsidRDefault="00B85568" w:rsidP="00B85568">
      <w:pPr>
        <w:pStyle w:val="TextoNormal"/>
      </w:pPr>
    </w:p>
    <w:p w:rsidR="00B85568" w:rsidRDefault="00B85568" w:rsidP="00B85568">
      <w:pPr>
        <w:pStyle w:val="TextoNormal"/>
      </w:pPr>
      <w:r>
        <w:t>A) Que la STC 141/2014, de 11 de septiembre, tras analizar el art. 22.1 a) de la Ley de suelo, entendió que era constitucional una vez depurado el inciso de “hasta un máximo del doble”, cuya inconstitucionalidad y nulidad declaró. Por ello, una vez eliminado del ordenamiento jurídico el inciso anteriormente señalado, la cuestión ha perdido objeto en lo que atañe a la duda de constitucionalidad relativa al apartado 1 a) del art. 22 de la Ley de suelo.</w:t>
      </w:r>
    </w:p>
    <w:p w:rsidR="00B85568" w:rsidRDefault="00B85568" w:rsidP="00B85568">
      <w:pPr>
        <w:pStyle w:val="TextoNormal"/>
      </w:pPr>
    </w:p>
    <w:p w:rsidR="00B85568" w:rsidRDefault="00B85568" w:rsidP="00B85568">
      <w:pPr>
        <w:pStyle w:val="TextoNormal"/>
      </w:pPr>
      <w:r>
        <w:t xml:space="preserve">B) Que la solución a la duda relativa al apartado 2 del art. 22 de la Ley de Suelo, viene predeterminada por lo afirmado por este Tribunal en el fundamento jurídico 9 B) de la STC 141/2014, de 11 de septiembre. El art. 33.3 CE no exige que la compensación sea equivalente al valor de mercado de los bienes y derechos expropiados, pudiendo el legislador estatal optar por una concepción de la propiedad del suelo conforme a la cual el </w:t>
      </w:r>
      <w:r w:rsidRPr="00B85568">
        <w:rPr>
          <w:i/>
        </w:rPr>
        <w:t>ius aedificandi</w:t>
      </w:r>
      <w:r>
        <w:t xml:space="preserve"> no forma parte del contenido inicial del derecho de propiedad. De ahí que el método de capitalización de rentas modulado en atención a otros factores objetivos de localización,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Por ello,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En definitiva,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w:t>
      </w:r>
    </w:p>
    <w:p w:rsidR="00B85568" w:rsidRDefault="00B85568" w:rsidP="00B85568">
      <w:pPr>
        <w:pStyle w:val="TextoNormal"/>
      </w:pPr>
    </w:p>
    <w:p w:rsidR="00B85568" w:rsidRDefault="00B85568" w:rsidP="00B85568">
      <w:pPr>
        <w:pStyle w:val="TextoNormal"/>
      </w:pPr>
      <w:r>
        <w:t>En virtud de los argumentos expuestos, cabe concluir que la duda de inconstitucionalidad planteada en relación al art. 22.2 de la Ley de suelo resulta notoriamente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diecisiete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2" w:name="AUTO_2015_62"/>
      <w:r>
        <w:t>AUTO 62/2015, de 17 de marzo de 2015</w:t>
      </w:r>
    </w:p>
    <w:bookmarkEnd w:id="212"/>
    <w:p w:rsidR="00B85568" w:rsidRDefault="00B85568" w:rsidP="00B85568">
      <w:pPr>
        <w:pStyle w:val="TtuloResolucin"/>
      </w:pPr>
      <w:r>
        <w:t>Pleno</w:t>
      </w:r>
    </w:p>
    <w:p w:rsidR="00B85568" w:rsidRDefault="00B85568" w:rsidP="00B85568">
      <w:pPr>
        <w:pStyle w:val="TextoNormalCentrado"/>
      </w:pPr>
      <w:r>
        <w:t>ECLI:ES:TC:2015:62A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5975-2014, planteada por la Sala de lo Contencioso-Administrativo del Tribunal Superior de Justicia de Castilla-La Mancha en relación con los artículos 23 .1 a) y 2  en relación con los arts. 12 y 25 del Real Decreto Legislativo 2/2008, de 20 de junio, por el que se aprueba el texto refundido de la Ley de suelo.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6 de octubre de 2014 tuvo entrada en el Registro General del Tribunal Constitucional, el Auto de la Sala de lo Contencioso-Administrativo del Tribunal Superior de Justicia de Castilla-La Mancha de 9 de septiembre de 2014, al que se acompaña testimonio de las actuaciones del procedimiento ordinario 548-2010, interponiendo cuestión de inconstitucionalidad sobre los apartados 1 a) y 2 del art. 23, ambos en relación con los arts. 12 y 25 del Real Decreto Legislativo 2/2008, de 20 de junio, por el que se aprueba el texto refundido de la Ley de suelo, por vulneración de los arts. 33.3 y 14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que interesa destacar a los efectos de este proceso constitucional son los siguientes:</w:t>
      </w:r>
    </w:p>
    <w:p w:rsidR="00B85568" w:rsidRDefault="00B85568" w:rsidP="00B85568">
      <w:pPr>
        <w:pStyle w:val="TextoNormal"/>
      </w:pPr>
    </w:p>
    <w:p w:rsidR="00B85568" w:rsidRDefault="00B85568" w:rsidP="00B85568">
      <w:pPr>
        <w:pStyle w:val="TextoNormal"/>
      </w:pPr>
      <w:r>
        <w:t>a) El recurso contencioso-administrativo fue interpuesto por la mercantil CASA 2030, S.A., titular de las fincas 13, 16 y 24 del proyecto de singular interés “Parque industrial y tecnológico de Illescas”, ubicadas en el término municipal de Illescas, contra el justiprecio fijado por el Jurado territorial de expropiaciones de Castilla-La Mancha. La resolución impugnada, tras afirmar que el suelo es urbanizable y tiene aprovechamiento urbanístico tras la aprobación del proyecto de singular interés, entiende que como la gestión es pública los particulares no han adquirido el derecho a ser indemnizados por la privación de la facultad de participar en la actuación urbanizadora, y por tanto no resulta de aplicación del art. 25 del Real Decreto Legislativo 2/2008, de 20 de junio, que aprueba el texto refundido de la Ley de suelo. De ahí que la única indemnización que procede es la del artículo 23 de esta misma norma legal, por aplicación del método de capitalización de rentas, sin que sea posible utilizar el método de comparación no previsto en el mismo.</w:t>
      </w:r>
    </w:p>
    <w:p w:rsidR="00B85568" w:rsidRDefault="00B85568" w:rsidP="00B85568">
      <w:pPr>
        <w:pStyle w:val="TextoNormal"/>
      </w:pPr>
    </w:p>
    <w:p w:rsidR="00B85568" w:rsidRDefault="00B85568" w:rsidP="00B85568">
      <w:pPr>
        <w:pStyle w:val="TextoNormal"/>
      </w:pPr>
      <w:r>
        <w:t>b) Conclusas las actuaciones y señalada fecha para votación y fallo, mediante providencia de 2 de julio de 2014, se dio traslado a las partes y al Ministerio Fiscal para que, de acuerdo con lo establecido en el art. 35.2 de la Ley Orgánica del Tribunal Constitucional (LOTC), realizaran alegaciones, en el plazo común de diez días, sobre la pertinencia de plantear cuestión de inconstitucionalidad sobre los apartados 1 a) y 2 del art. 23, ambos en relación con los arts. 12 y 25 del texto refundido.</w:t>
      </w:r>
    </w:p>
    <w:p w:rsidR="00B85568" w:rsidRDefault="00B85568" w:rsidP="00B85568">
      <w:pPr>
        <w:pStyle w:val="TextoNormal"/>
      </w:pPr>
    </w:p>
    <w:p w:rsidR="00B85568" w:rsidRDefault="00B85568" w:rsidP="00B85568">
      <w:pPr>
        <w:pStyle w:val="TextoNormal"/>
      </w:pPr>
      <w:r>
        <w:t>c) En la providencia de 2 de julio de 2014 se pone de manifiesto que la valoración debe realizarse aplicando uno de los siguientes criterios de valoración: (i) si se considerase que los interesados no han adquirido la facultad urbanística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texto refundido permitiría llegar al valor real del bien. Fuera cual fuera la opción seguida, ello podía vulnerar el art. 33.3 CE y el art. 14 CE, en cuanto que se permite al resto de los propietarios realizar su valor real.</w:t>
      </w:r>
    </w:p>
    <w:p w:rsidR="00B85568" w:rsidRDefault="00B85568" w:rsidP="00B85568">
      <w:pPr>
        <w:pStyle w:val="TextoNormal"/>
      </w:pPr>
    </w:p>
    <w:p w:rsidR="00B85568" w:rsidRDefault="00B85568" w:rsidP="00B85568">
      <w:pPr>
        <w:pStyle w:val="TextoNormal"/>
      </w:pPr>
      <w:r>
        <w:t>d) El Ministerio Fiscal presentó sus alegaciones el 8 de julio de 2014. Tras concluir sobre la corrección de los requisitos formales de la providencia antes citada y resumir la doctrina constitucional en materia de privación de la propiedad y la indemnización contemplada en el art. 33.3 CE, considera que si bien los criterios de valoración impugnados no son, en abstracto considerados, manifiestamente irrazonables, ello no implica que garanticen efectivamente el derecho a percibir la contraprestación económica que corresponda al valor real del bien, pues no es difícil imaginar supuestos en los que la aplicación de los criterios legales puede conducir a resultados que violenten el adecuado equilibrio entre la indemnización y el valor real del bien. De ahí la conveniencia de plantear la cuestión en relación con el art. 33.3 CE. No llega a la misma conclusión en el caso del art. 14 CE, pues es claro, en su opinión, que la situación del propietario que va a ser expropiado no es la de quien puede vender el suelo en el mercado, de ahí que no sea necesario un mismo tratamiento desde el art. 14 CE.</w:t>
      </w:r>
    </w:p>
    <w:p w:rsidR="00B85568" w:rsidRDefault="00B85568" w:rsidP="00B85568">
      <w:pPr>
        <w:pStyle w:val="TextoNormal"/>
      </w:pPr>
    </w:p>
    <w:p w:rsidR="00B85568" w:rsidRDefault="00B85568" w:rsidP="00B85568">
      <w:pPr>
        <w:pStyle w:val="TextoNormal"/>
      </w:pPr>
      <w:r>
        <w:t>e) Mediante escrito de 15 de julio de 2014, el Letrado de la Junta presentó sus alegaciones. Para él, el valor real del bien no es el de mercado, sino el que el legislador dice que tiene. El legislador ha huido precisamente de valores de mercado para evitar tensiones especulativas contra las que está obligado a luchar por mandato del art. 47 CE. Por tanto, no hay inconstitucionalidad alguna derivada del art. 33.3 CE y no procede plantear la cuestión.</w:t>
      </w:r>
    </w:p>
    <w:p w:rsidR="00B85568" w:rsidRDefault="00B85568" w:rsidP="00B85568">
      <w:pPr>
        <w:pStyle w:val="TextoNormal"/>
      </w:pPr>
    </w:p>
    <w:p w:rsidR="00B85568" w:rsidRDefault="00B85568" w:rsidP="00B85568">
      <w:pPr>
        <w:pStyle w:val="TextoNormal"/>
      </w:pPr>
      <w:r>
        <w:t>f) La mercantil recurrente en el proceso comparte el planteamiento de la providencia citada aunque suplica, además, que la cuestión se amplié a un segundo motivo de vulneración del art. 33.3 CE, el que vendría dado por la privación sin compensación de la indemnización expropiatoria derivada de la privación del noventa por ciento del aprovechamiento urbanístico que corresponde a los terrenos.</w:t>
      </w:r>
    </w:p>
    <w:p w:rsidR="00B85568" w:rsidRDefault="00B85568" w:rsidP="00B85568">
      <w:pPr>
        <w:pStyle w:val="TextoNormal"/>
      </w:pPr>
    </w:p>
    <w:p w:rsidR="00B85568" w:rsidRDefault="00B85568" w:rsidP="00B85568">
      <w:pPr>
        <w:pStyle w:val="TextoNormal"/>
      </w:pPr>
      <w:r w:rsidRPr="00B85568">
        <w:rPr>
          <w:rStyle w:val="NumeroAFNegritaCaracter"/>
        </w:rPr>
        <w:t>3</w:t>
      </w:r>
      <w:r>
        <w:t>. Los fundamentos del Auto de planteamiento de la cuestión son los que a continuación se resumen:</w:t>
      </w:r>
    </w:p>
    <w:p w:rsidR="00B85568" w:rsidRDefault="00B85568" w:rsidP="00B85568">
      <w:pPr>
        <w:pStyle w:val="TextoNormal"/>
      </w:pPr>
    </w:p>
    <w:p w:rsidR="00B85568" w:rsidRDefault="00B85568" w:rsidP="00B85568">
      <w:pPr>
        <w:pStyle w:val="TextoNormal"/>
      </w:pPr>
      <w:r>
        <w:t>a) Sobre la aplicabilidad de la Ley de suelo, señala el Auto que esta disposición legal, que es la que aplica el Jurado, entró en vigor el 1 de julio de 2007. De acuerdo con la jurisprudencia del Tribunal Supremo que ha interpretado la disposición transitoria tercera del texto refundido, el momento a tener en cuenta para la aplicación de las reglas de valoración en él contenidas es la fecha de requerimiento para la presentación del justiprecio, y el acuerdo de aprobación del proyecto de singular interés por el Consejo de Gobierno es el 23 de septiembre de 2008, a efectos de valoraciones no puede aplicarse la Ley 6/1998.</w:t>
      </w:r>
    </w:p>
    <w:p w:rsidR="00B85568" w:rsidRDefault="00B85568" w:rsidP="00B85568">
      <w:pPr>
        <w:pStyle w:val="TextoNormal"/>
      </w:pPr>
    </w:p>
    <w:p w:rsidR="00B85568" w:rsidRDefault="00B85568" w:rsidP="00B85568">
      <w:pPr>
        <w:pStyle w:val="TextoNormal"/>
      </w:pPr>
      <w:r>
        <w:t>b) Sobre el juicio de relevancia, el Auto sigue señalando que son dos los posibles métodos de valoración según que los propietarios hubieran adquirido o no las facultades urbanísticas derivadas del proyecto de singular interés. En caso de que no las hubieran adquirido habría que aplicar el método de capitalización sin tener en cuenta el entorno urbano, hasta el punto que en el estudio económico del proyecto de singular interés, los terrenos se valoraron a 25 €/m2 mientras que el Jurado los justiprecia a 2,0381 €/m2. Aunque los terrenos se enajenaron el ocho de enero de 2009 a 195 €/m2, en caso de que se tratase de suelo urbanizable delimitado, el art. 23 del texto refundido impide tener esta cuestión en cuenta. La indemnización que prevé el art. 25 resulta insuficiente para llegar al valor real del bien. En cualquiera de los dos casos se puede estar impidiendo llegar al valor de mercado del bien, optando la ley por un valor que no permite tener en cuenta todas las circunstancias concurrentes en el bien, lo que resulta incompatible con el art. 33.3 CE. Se infringe también el art. 14 CE por el agravio comparativo que supone para los propietarios que son expropiados en comparación con quienes no lo son y, por tanto, pueden venderlo. La relevancia del planteamiento de la cuestión es que estos preceptos impidieron al Jurado e impiden ahora al Tribunal valorar los terrenos en base a su valor real, como permitía la Ley 6/1998.</w:t>
      </w:r>
    </w:p>
    <w:p w:rsidR="00B85568" w:rsidRDefault="00B85568" w:rsidP="00B85568">
      <w:pPr>
        <w:pStyle w:val="TextoNormal"/>
      </w:pPr>
    </w:p>
    <w:p w:rsidR="00B85568" w:rsidRDefault="00B85568" w:rsidP="00B85568">
      <w:pPr>
        <w:pStyle w:val="TextoNormal"/>
      </w:pPr>
      <w:r>
        <w:t>c) En relación con la vulneración del art. 33.3 CE, señala como antecedente inmediato el art. 43 de la Ley de expropiación forzosa (LEF) que consagraba el criterio estimativo en el caso de que la valoración realizada conforme a los criterios legales no resultara conforme con el valor real del bien. Este precepto, que estaba inspirado en el principio de indemnidad o en la reposición de los bienes mediante la justa indemnización, fue eliminado por la Ley de Suelo de 1990 y nuevamente por la Ley 8/2007. Reproduce el fundamento jurídico 13 B) de la STC 166/1986, y resume la doctrina del Tribunal Europeo de Derechos humanos, según la cual, aunque el artículo 1 no garantiza en todos los casos el derecho a una compensación íntegra, ya que los objetivos legítimos de utilidad pública pueden abogar por un reembolso inferior al valor comercial total, debe procurarse un equilibrio justo entre las exigencias del interés general de la sociedad y los imperativos de los derechos fundamentales de la persona, equilibrio que se altera si la persona afectada tuvo que sufrir una carga excesiva y especial. Se deduce de ella que, si bien existen excepciones a la regla del reembolso equivalente al pleno valor de mercado, en los supuestos de expropiaciones por causa de utilidad pública solo una indemnización íntegra puede ser considerada razonablemente proporcionada al valor del bien. Invoca también la jurisprudencia del Tribunal Supremo recaída tras la modificación de la Ley 6/1998, por la Ley 10/2003, que obligaba a valorar los sistemas generales no adscritos conforme a su clasificación urbanística, y la interpretación que de ésta ha realizado el citado Tribunal amparándose en el principio de constitucional de indemnidad. Trae asimismo colación las modificaciones normativas posteriores a la aprobación de la Ley 8/2007 que vienen a evidenciar la insuficiencia del método de capitalización para obtener el valor real del bien. Así, mientras que la Ley 8/2007 establecía que el tipo de capitalización inicialmente fijado por ésta podía ser modificado por las leyes de presupuestos, la modificación operada por el Real Decreto-ley 6/2010, de 9 de abril, supone remitir al reglamento la modificación del tipo de capitalización aplicable cuando el resultado de las valoraciones se aleje de forma significativa respeto de los precios de mercado del suelo rural sin expectativas urbanísticas, lo que finalmente se ha llevado a efecto por el Real Decreto 1492/2011, de 24 de octubre. Ello viene a demostrar que incluso el legislador era consciente de que una valoración calculada por el método del art. 22 de la Ley 8/2007 podía estar alejada de los precios de mercado del suelo rural, pero no hizo uso de esta posibilidad hasta el Reglamento de 2011, cuando habían transcurrido más de cuatro años desde la aprobación de la Ley. Los coeficientes establecidos en la disposición reglamentaria no son, pues, suficientes para obtener el valor de mercado de suelo rural pues excluyen las expectativas, siendo así que la exclusión del método de comparación impide compensar por el valor real del bien.</w:t>
      </w:r>
    </w:p>
    <w:p w:rsidR="00B85568" w:rsidRDefault="00B85568" w:rsidP="00B85568">
      <w:pPr>
        <w:pStyle w:val="TextoNormal"/>
      </w:pPr>
    </w:p>
    <w:p w:rsidR="00B85568" w:rsidRDefault="00B85568" w:rsidP="00B85568">
      <w:pPr>
        <w:pStyle w:val="TextoNormal"/>
      </w:pPr>
      <w:r>
        <w:t>Por ello concluye señalando que los preceptos impugnados vulneran el art. 33.3 CE en los términos en que este último ha sido interpretado por el Tribunal Constitucional, el Tribunal Supremo y el Tribunal Europeo de Derechos Humanos. Afirma, además, que cuando la Sala se refiere a expectativas urbanísticas se refiere al incremento de valor que la expectativa (proximidad a zonas de expansión urbana, actividad inmobiliaria, avances de planeamiento) genera sobre el valor del suelo en el mercado. Es obligación de los poderes públicos evitar la especulación del suelo, pero no a costa de los precios debidos en la expropiación, ya que la administración debe pagar por el suelo lo que cualquier otro que necesitara adquirirlo. En consecuencia entiende la Sala que el coeficiente que imponen el art. 22 de la Ley 8/2007 y su correlativo 23 del texto refundido de la Ley de suelo es claramente insuficiente para que los propietarios puedan obtener esa indemnización íntegra por la pérdida del bien expropiado, y no sólo cuantitativamente sino cualitativamente por cuanto, además, en el segundo párrafo se prohíbe la consideración de expectativas urbanísticas.</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4 de noviembre de 2014, la Sección Tercera acordó oír al Fiscal General del Estado para que, en el plazo de diez días, alegase lo que tuviera por conveniente acerca de la admisibilidad de la cuestión por si fuera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7 de enero de 2015 tuvo entrada en este Tribunal el escrito de alegaciones del Ministerio Fiscal. Tras resumir el contenido del Auto de planteamiento de la cuestión, comienza analizando el cumplimiento de los requisitos procesales. Considera, en primer lugar, que se ha cumplido correctamente el trámite del art. 35.2 de la Ley Orgánica del Tribunal Constitucional. En cuanto al juicio de aplicabilidad, lo entiende correctamente realizado en cuanto a los arts. 23.1 a) y 2 del texto refundido, pero señala que ninguna consideración ha realizado sobre la aplicabilidad al caso de los arts. 12 y 25 de esta disposición legal. Lo mismo señala en lo relativo al juicio de relevancia y en cuanto a las causas o motivos de las dudas de inconstitucionalidad, pues expone las dudas de inconstitucionalidad sobre los dos primeros preceptos citados, pero no así en lo que respecta a los arts. 12, y 25 del texto refundido, por lo que entiende que la cuestión sería inadmisible en lo que atañe a estos últimos. Prosigue exponiendo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la sustitución del método de comparación por el de capitalización de rentas, afirma que el art. 43 LEF,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es notoriamente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Sala de lo Contencioso-Administrativo del Tribunal Superior de Justicia de Castilla-La Mancha plantea cuestión de inconstitucionalidad respecto de los apartados 1 a) y 2 del art. 23, en relación con los arts. 12 y 25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defectuosamente realizado el juicio de aplicabilidad y relevancia de los arts. 12 y 25 de la citada norma legal, mientras que existe una carencia sobrevenida de objeto en cuanto a lo relativo al apartado 1 a) del art. 23 del texto refundido, siendo la duda que atañe al apartado segundo del mismo precepto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lo dispuesto en el art. 35.1 de la Ley Orgánica del Tribunal Constitucional (LOTC), la norma legal cuya constitucionalidad se cuestiona debe ser aplicable al caso, y conforme al art. 35.2 LOTC el órgano judicial debe especificar en qué medida la decisión del proceso depende de la validez de la norma en cuestión. Aunque el razonamiento del juicio de aplicabilidad incluido en el Auto de planteamiento, se dirige a justificar la aplicación de la Ley 8/2007, de 28 de mayo, frente a la Ley 6/1998, que estaba vigente en el momento de iniciarse el procedimiento expropiatorio, lo cierto es que, como señala el Auto proponente con cita de la jurisprudencia que ha interpretado la disposición transitoria tercera del texto refundido, la aprobación por el Consejo de Gobierno del proyecto de singular interés se produjo cuando ya había entrado en vigor el texto refundido de la Ley de suelo que fue publicado en el “BOE” el 26 de junio de 2008, derogando la Ley de suelo. De manera que el juicio de aplicabilidad de la disposición legal a la que pertenecen los preceptos impugnados estaría correctamente realizado.</w:t>
      </w:r>
    </w:p>
    <w:p w:rsidR="00B85568" w:rsidRDefault="00B85568" w:rsidP="00B85568">
      <w:pPr>
        <w:pStyle w:val="TextoNormal"/>
      </w:pPr>
    </w:p>
    <w:p w:rsidR="00B85568" w:rsidRDefault="00B85568" w:rsidP="00B85568">
      <w:pPr>
        <w:pStyle w:val="TextoNormal"/>
      </w:pPr>
      <w:r>
        <w:t>No cabe afirmar lo mismo, sin embargo, en lo que se refiere al juicio de relevancia de los concretos preceptos cuya constitucionalidad se cuestiona. A estos efectos no es baladí recordar que el control del juicio de relevancia en este tipo de proceso constitucional debe atender tanto a si la constitucionalidad afecta a la regla legal en la que debe fundamentarse la resolución, como a si el pronunciamiento sobre la validez condiciona la resolución del juzgador, pues este Tribunal, lejos de realizar un control abstracto, debe limitarse en este proceso al control concreto de la constitucionalidad de la ley [por citar la más reciente, STC 185/2014, de 6 de noviembre, FJ 2 b)].</w:t>
      </w:r>
    </w:p>
    <w:p w:rsidR="00B85568" w:rsidRDefault="00B85568" w:rsidP="00B85568">
      <w:pPr>
        <w:pStyle w:val="TextoNormal"/>
      </w:pPr>
    </w:p>
    <w:p w:rsidR="00B85568" w:rsidRDefault="00B85568" w:rsidP="00B85568">
      <w:pPr>
        <w:pStyle w:val="TextoNormal"/>
      </w:pPr>
      <w:r>
        <w:t xml:space="preserve">Teniendo en cuenta que la inconstitucionalidad del art. 23.1 a y 2) del texto refundido se plantea en relación con el artículo 12 (situaciones básicas del suelo) y 25 (privación de la facultad de participar en las actuaciones urbanizadoras), la Sala debía haber despejado previamente la duda, que manifiesta expresamente en el Auto de planteamiento, relativa a si el justiprecio a considerar vendría dado por la suma de la valoración obtenida por aplicación de los artículos 23 y 25 de esta misma disposición, o sólo a partir del artículo 23. Esto es, si el suelo ha de valorarse sin facultad urbanística alguna derivada del proyecto de singular interés, o bien si debe ser valorado como suelo urbanizable delimitado, lo que trasladado a la terminología del texto refundido sería un suelo en situación básica de rural sometido a una actuación de transformación urbanística. Al no haberlo hecho así el órgano proponente, bien pudiera ocurrir que éste entendiera finalmente que los propietarios no han adquirido la citada facultad, limitándose a aplicar el art. 23 del texto refundido, de manera que la cuestión de inconstitucionalidad planteada sobre el art. 23 en relación con el art. 12 y 25, todos ellos del texto refundido, no sería relevante para el resultado del proceso, pues no determinaría en modo alguno el pronunciamiento de la sentencia. </w:t>
      </w:r>
      <w:r w:rsidRPr="00B85568">
        <w:rPr>
          <w:i/>
        </w:rPr>
        <w:t>Sensu contrario</w:t>
      </w:r>
      <w:r>
        <w:t>, bien podría ocurrir que el pronunciamiento de este Tribunal sobre el art. 23 del texto refundido, partiendo de la base de que la propiedad del suelo no ha incorporado facultad urbanística alguna, tampoco incidiera en el pronunciamiento del órgano judicial por considerar éste, en aplicación de la legalidad ordinaria, que el justiprecio debido debe responder a un suelo cuya propiedad incorpora esta última facultad.</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la presente cuestión de inconstitucionalidad 5975-2014.</w:t>
      </w:r>
    </w:p>
    <w:p w:rsidR="00B85568" w:rsidRDefault="00B85568" w:rsidP="00B85568">
      <w:pPr>
        <w:pStyle w:val="TextoNormal"/>
      </w:pPr>
    </w:p>
    <w:p w:rsidR="00B85568" w:rsidRDefault="00B85568" w:rsidP="00B85568">
      <w:pPr>
        <w:pStyle w:val="TextoNormal"/>
      </w:pPr>
      <w:r>
        <w:t>Madrid, a diecisiete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3" w:name="AUTO_2015_63"/>
      <w:r>
        <w:t>AUTO 63/2015, de 17 de marzo de 2015</w:t>
      </w:r>
    </w:p>
    <w:bookmarkEnd w:id="213"/>
    <w:p w:rsidR="00B85568" w:rsidRDefault="00B85568" w:rsidP="00B85568">
      <w:pPr>
        <w:pStyle w:val="TtuloResolucin"/>
      </w:pPr>
      <w:r>
        <w:t>Pleno</w:t>
      </w:r>
    </w:p>
    <w:p w:rsidR="00B85568" w:rsidRDefault="00B85568" w:rsidP="00B85568">
      <w:pPr>
        <w:pStyle w:val="TextoNormalCentrado"/>
      </w:pPr>
      <w:r>
        <w:t>ECLI:ES:TC:2015:63A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Levanta la suspensión en el recurso de inconstitucionalidad 6513-2014, interpuesto por el Presidente del Gobierno en relación con el artículo 167.1 y disposiciones transitorias quinta y octava de la Ley 2/2014, de 27 de enero, de medidas fiscales, administrativas, financieras y del sector público  de Cataluña.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30 de octubre de 2014, el Abogado del Estado, en representación del Presidente del Gobierno, interpone recurso de inconstitucionalidad contra el art. 167.1 y las disposiciones transitorias quinta y octava de la Ley 2/2014, de 27 de enero, de medidas fiscales, administrativas, financieras y del sector público de Cataluña.</w:t>
      </w:r>
    </w:p>
    <w:p w:rsidR="00B85568" w:rsidRDefault="00B85568" w:rsidP="00B85568">
      <w:pPr>
        <w:pStyle w:val="TextoNormal"/>
      </w:pPr>
    </w:p>
    <w:p w:rsidR="00B85568" w:rsidRDefault="00B85568" w:rsidP="00B85568">
      <w:pPr>
        <w:pStyle w:val="TextoNormal"/>
      </w:pPr>
      <w:r>
        <w:t>El Abogado del Estado invoca el art. 161.2 CE a fin de que se acuerde la suspensión de los preceptos impugnados en el presente recurso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2</w:t>
      </w:r>
      <w:r>
        <w:t>. Mediante providencia de 18 de noviembre de 2014, el Pleno del Tribunal Constitucional acuerda admitir a trámite el presente recurso, dar traslado de la demanda y documentos presentados al Congreso de los Diputados, al Senado y al Gobierno, así como a la Generalitat y al Parlamento de Cataluña, al objeto de que puedan personarse en el proceso y formular las alegaciones que estimen convenientes. Asimismo tiene por invocado el art. 161.2 CE por el Presidente del Gobierno, lo que, a su tenor y conforme dispone el art. 30 de la Ley Orgánica del Tribunal Constitucional (LOTC), produce la suspensión de la vigencia y aplicación de los preceptos impugnados desde la fecha de interposición del recurso —30 de octubre de 2014— para las partes del proceso y desde el día de la publicación de la suspensión en el “Boletín Oficial del Estado” (“BOE”) para los terceros, lo que se comunica a los Presidentes de la Generalitat y el Parlamento de Cataluña. Se ordena también la publicación de la incoación del recurso en el “Boletín Oficial del Estado” y en el “Diari Oficial de la Generalitat de Catalunya”. El recurso se publica en el “BOE”, núm. 281 de 20 de noviembre de 2014.</w:t>
      </w:r>
    </w:p>
    <w:p w:rsidR="00B85568" w:rsidRDefault="00B85568" w:rsidP="00B85568">
      <w:pPr>
        <w:pStyle w:val="TextoNormal"/>
      </w:pPr>
    </w:p>
    <w:p w:rsidR="00B85568" w:rsidRDefault="00B85568" w:rsidP="00B85568">
      <w:pPr>
        <w:pStyle w:val="TextoNormal"/>
      </w:pPr>
      <w:r w:rsidRPr="00B85568">
        <w:rPr>
          <w:rStyle w:val="NumeroAFNegritaCaracter"/>
        </w:rPr>
        <w:t>3</w:t>
      </w:r>
      <w:r>
        <w:t>. Por escritos registrados en el Tribunal Constitucional en 26 y 28 de noviembre de 2014, respectivamente, los Presidentes del Senado y del Congreso de los Diputados comunican el acuerdo de la Mesa de sus respectivas Cámaras de personarse en el proceso ofreciendo su colaboración a los efectos del art. 88.1 LOTC.</w:t>
      </w:r>
    </w:p>
    <w:p w:rsidR="00B85568" w:rsidRDefault="00B85568" w:rsidP="00B85568">
      <w:pPr>
        <w:pStyle w:val="TextoNormal"/>
      </w:pPr>
    </w:p>
    <w:p w:rsidR="00B85568" w:rsidRDefault="00B85568" w:rsidP="00B85568">
      <w:pPr>
        <w:pStyle w:val="TextoNormal"/>
      </w:pPr>
      <w:r w:rsidRPr="00B85568">
        <w:rPr>
          <w:rStyle w:val="NumeroAFNegritaCaracter"/>
        </w:rPr>
        <w:t>4</w:t>
      </w:r>
      <w:r>
        <w:t>. Por escrito registrado en este Tribunal el 12 de diciembre de 2014, la Abogada de la Generalitat de Cataluña, en la representación que legalmente ostenta, comparece en el proceso y formula alegaciones interesando la desestimación del recurso de inconstitucionalidad. Mediante otrosí insta el levantamiento de la suspensión de los preceptos impugnados antes del transcurso del plazo legal de cinco meses, formulando las alegaciones siguientes:</w:t>
      </w:r>
    </w:p>
    <w:p w:rsidR="00B85568" w:rsidRDefault="00B85568" w:rsidP="00B85568">
      <w:pPr>
        <w:pStyle w:val="TextoNormal"/>
      </w:pPr>
    </w:p>
    <w:p w:rsidR="00B85568" w:rsidRDefault="00B85568" w:rsidP="00B85568">
      <w:pPr>
        <w:pStyle w:val="TextoNormal"/>
      </w:pPr>
      <w:r>
        <w:t>a) La Abogada de la Generalitat se refiere en primer lugar al art. 167.1 de la Ley controvertida, que añade un apartado 10 al art. 47 del texto refundido de la Ley de urbanismo de Cataluña, aprobado por Decreto Legislativo 1/2010, de 3 de agosto, conforme al que: “en la explotación de recursos naturales en suelo no urbanizable, en el caso de aprovechamiento de hidrocarburos, no está permitida la utilización de la tecnología de la fracturación hidráulica cuando pueda tener efectos negativos sobre las características geológicas, ambientales, paisajísticas o socioeconómicas de la zona, o en relación con otros ámbitos competenciales de la Generalidad”.</w:t>
      </w:r>
    </w:p>
    <w:p w:rsidR="00B85568" w:rsidRDefault="00B85568" w:rsidP="00B85568">
      <w:pPr>
        <w:pStyle w:val="TextoNormal"/>
      </w:pPr>
    </w:p>
    <w:p w:rsidR="00B85568" w:rsidRDefault="00B85568" w:rsidP="00B85568">
      <w:pPr>
        <w:pStyle w:val="TextoNormal"/>
      </w:pPr>
      <w:r>
        <w:t xml:space="preserve">Según afirma, el indicado precepto no establece una prohibición general del </w:t>
      </w:r>
      <w:r w:rsidRPr="00B85568">
        <w:rPr>
          <w:i/>
        </w:rPr>
        <w:t>fracking</w:t>
      </w:r>
      <w:r>
        <w:t xml:space="preserve"> ni otorga a los órganos urbanísticos autonómicos una potestad discrecional para su denegación; condiciona la autorización a la inexistencia de los efectos negativos sobre los valores (geológicos, paisajísticos, ambientales, socioeconómicos o en relación con ámbitos competenciales de la Generalitat) que la clasificación de los terrenos como suelo no urbanizable trata de proteger. La apreciación de esos efectos negativos no se abandona al libre criterio de los órganos urbanísticos autonómicos; resulta de las regulaciones sectoriales autonómicas y estatales (sobre espacios naturales, aguas, minas, costas, montes, etc.) aplicables en función de la naturaleza y características de los terrenos afectados.</w:t>
      </w:r>
    </w:p>
    <w:p w:rsidR="00B85568" w:rsidRDefault="00B85568" w:rsidP="00B85568">
      <w:pPr>
        <w:pStyle w:val="TextoNormal"/>
      </w:pPr>
    </w:p>
    <w:p w:rsidR="00B85568" w:rsidRDefault="00B85568" w:rsidP="00B85568">
      <w:pPr>
        <w:pStyle w:val="TextoNormal"/>
      </w:pPr>
      <w:r>
        <w:t>El mantenimiento de la suspensión de la vigencia y aplicación del precepto restringiría las potestades urbanísticas autonómicas de control del suelo y pondría en riesgo los valores naturales cuya protección ha querido garantizar la clasificación del suelo como no urbanizable; los daños podrían ser irreversibles si se impide que los órganos urbanísticos autonómicos actúen en defensa y tutela del suelo no urbanizable.</w:t>
      </w:r>
    </w:p>
    <w:p w:rsidR="00B85568" w:rsidRDefault="00B85568" w:rsidP="00B85568">
      <w:pPr>
        <w:pStyle w:val="TextoNormal"/>
      </w:pPr>
    </w:p>
    <w:p w:rsidR="00B85568" w:rsidRDefault="00B85568" w:rsidP="00B85568">
      <w:pPr>
        <w:pStyle w:val="TextoNormal"/>
      </w:pPr>
      <w:r>
        <w:t>Por otra parte, la Abogada de la Generalitat considera que el recurso de inconstitucionalidad plantea un supuesto de concurrencia de competencias, la autonómica sobre urbanismo (art. 149.5 del Estatuto de Autonomía de Cataluña: EAC) y la estatal en materia de energía (apartados 13 y 25 del art. 149.1 CE); competencia esta última que proporciona cobertura a la Ley 34/1998, de 7 de octubre, del sector de hidrocarburos (en adelante, LSH). Consecuentemente, si el órgano urbanístico de la Generalitat denegase la autorización para la utilización de la técnica de la fracturación hidráulica, no por ello quedarían sin efecto las autorizaciones, permisos y concesiones ministeriales que pudieran amparar la exploración, investigación o explotación de hidrocarburos mediante la indicada técnica. El sentido discordante de ambas resoluciones obligaría simplemente a iniciar negociaciones para alcanzar un acuerdo para integrarlas. A falta de acuerdo, podría suscitarse un conflicto judicial ordinario o constitucional para determinar la competencia prevalente y, por tanto, qué decisión debe subsistir, la denegatoria o la autorizatoria. Por tal razón el levantamiento de la suspensión no causaría perjuicios de difícil o imposible reparación al interés general ni al de terceros.</w:t>
      </w:r>
    </w:p>
    <w:p w:rsidR="00B85568" w:rsidRDefault="00B85568" w:rsidP="00B85568">
      <w:pPr>
        <w:pStyle w:val="TextoNormal"/>
      </w:pPr>
    </w:p>
    <w:p w:rsidR="00B85568" w:rsidRDefault="00B85568" w:rsidP="00B85568">
      <w:pPr>
        <w:pStyle w:val="TextoNormal"/>
      </w:pPr>
      <w:r>
        <w:t>b) La Abogada de la Generalitat razona después la solicitud de levantamiento de la suspensión de la vigencia y aplicación de la disposición transitoria octava de la Ley controvertida. Señala que, de conformidad con la STC 193/2013 y en aras de la seguridad jurídica, la disposición adicional vigesimoséptima ha vuelto a permitir la implantación de establecimientos comerciales medianos y grandes en la trama urbana consolidada de los municipios superiores a los 5.000 habitantes (y asimilados o capitales comarcales) y de grandes establecimientos comerciales territoriales en la trama urbana consolidada de municipios de más de 50.000 habitantes (y asimilables o capitales comarcales). Lo ha hecho al declarar vigentes las excepciones a la prohibición general de tal implantación previstas en la redacción primitiva de los apartados 3 y 4 del art. 9 del Decreto-ley catalán 1/2009, de ordenación de los equipamientos comerciales.</w:t>
      </w:r>
    </w:p>
    <w:p w:rsidR="00B85568" w:rsidRDefault="00B85568" w:rsidP="00B85568">
      <w:pPr>
        <w:pStyle w:val="TextoNormal"/>
      </w:pPr>
    </w:p>
    <w:p w:rsidR="00B85568" w:rsidRDefault="00B85568" w:rsidP="00B85568">
      <w:pPr>
        <w:pStyle w:val="TextoNormal"/>
      </w:pPr>
      <w:r>
        <w:t>Ciertamente, la impugnada disposición transitoria octava suspende temporalmente la vigencia de la excepción de implantación de establecimientos fuera de la trama de urbana consolidada prevista en los arts. 3 b) y apartado 4, segundo párrafo, del art. 9 del indicado Decreto-ley. Sin embargo, no por ello está derogando o suprimiendo aquellas excepciones; establece una moratoria durante la tramitación de “un proyecto de ley de comercio, servicios y ferias” con el fin de: 1) ajustar la mermada capacidad económica de los poderes públicos local y autonómico derivada de la crisis económica y financiera con las inversiones en infraestructuras y lucha contra la contaminación que exige el despliegue de este tipo de establecimientos; 2) evitar la masiva localización de grandes y medianos establecimientos comerciales en zonas periféricas y el consecuente éxodo de la oferta comercial hacia los extrarradios que agravaría la progresiva desertización de los centros urbanos y la pérdida del comercio de proximidad, que es el que garantiza la sostenibilidad urbana y permite el acceso de los ciudadanos y consumidores a los servicios y centros de distribución para abastecerse de los productos de uso cotidiano en condiciones de equidad, sin discriminación respecto de los ciudadanos carentes de vehículo propio o movilidad reducida.</w:t>
      </w:r>
    </w:p>
    <w:p w:rsidR="00B85568" w:rsidRDefault="00B85568" w:rsidP="00B85568">
      <w:pPr>
        <w:pStyle w:val="TextoNormal"/>
      </w:pPr>
    </w:p>
    <w:p w:rsidR="00B85568" w:rsidRDefault="00B85568" w:rsidP="00B85568">
      <w:pPr>
        <w:pStyle w:val="TextoNormal"/>
      </w:pPr>
      <w:r>
        <w:t>Frente a los indeseables efectos que la moratoria pretende evitar durante la tramitación del proyecto de ley, ningún perjuicio real y efectivo de imposible y difícil reparación se produce en el interés público del Estado ni en el de terceros. Si hubiera operadores afectados por la moratoria que alegaran daños, sufrirían en todo caso perjuicios de carácter económico y por ello reparables. Debe tenerse en cuenta, de un lado, la solvencia de la Generalitat y, de otro, la posibilidad de identificar a los perjudicados si estos hubieran de ser indemnizados porque el Tribunal Constitucional llegara a declarar la inconstitucionalidad del precepto impugnado (ATC 417/1997).</w:t>
      </w:r>
    </w:p>
    <w:p w:rsidR="00B85568" w:rsidRDefault="00B85568" w:rsidP="00B85568">
      <w:pPr>
        <w:pStyle w:val="TextoNormal"/>
      </w:pPr>
    </w:p>
    <w:p w:rsidR="00B85568" w:rsidRDefault="00B85568" w:rsidP="00B85568">
      <w:pPr>
        <w:pStyle w:val="TextoNormal"/>
      </w:pPr>
      <w:r>
        <w:t>c) En último término, la Abogada de la Generalitat se refiere a la disposición transitoria quinta, cuyo apartado 2 establece que “los bienes integrantes del patrimonio de la entidad gestora de la Seguridad Social que se suprime” —el Instituto Catalán de Asistencia y Servicios Sociales— “se incorporan al patrimonio de la Generalidad y se adscriben al departamento competente en materia de servicios sociales”, subrogándose el departamento competente en materia de servicios sociales “en todos los derechos y obligaciones de los bienes de titularidad de la Tesorería General de la Seguridad Social cuyo uso y gestión hayan sido atribuidos al Instituto Catalán de Asistencia y Servicios Sociales”.</w:t>
      </w:r>
    </w:p>
    <w:p w:rsidR="00B85568" w:rsidRDefault="00B85568" w:rsidP="00B85568">
      <w:pPr>
        <w:pStyle w:val="TextoNormal"/>
      </w:pPr>
    </w:p>
    <w:p w:rsidR="00B85568" w:rsidRDefault="00B85568" w:rsidP="00B85568">
      <w:pPr>
        <w:pStyle w:val="TextoNormal"/>
      </w:pPr>
      <w:r>
        <w:t xml:space="preserve">El recurso de inconstitucionalidad formulado por el Abogado del Estado se ha centrado en este apartado sin aportar razonamiento alguno sobre la eventual inconstitucionalidad de los demás. La Abogada de la Generalitat entiende por ello que a él debe limitarse el enjuiciamiento y, por tanto, que sólo él resulta afectado por la suspensión </w:t>
      </w:r>
      <w:r w:rsidRPr="00B85568">
        <w:rPr>
          <w:i/>
        </w:rPr>
        <w:t>ex</w:t>
      </w:r>
      <w:r>
        <w:t xml:space="preserve"> art. 161.2 CE.</w:t>
      </w:r>
    </w:p>
    <w:p w:rsidR="00B85568" w:rsidRDefault="00B85568" w:rsidP="00B85568">
      <w:pPr>
        <w:pStyle w:val="TextoNormal"/>
      </w:pPr>
    </w:p>
    <w:p w:rsidR="00B85568" w:rsidRDefault="00B85568" w:rsidP="00B85568">
      <w:pPr>
        <w:pStyle w:val="TextoNormal"/>
      </w:pPr>
      <w:r>
        <w:t>Los bienes del Instituto Catalán de Asistencia y Servicios Sociales incorporados al patrimonio de la Generalitat son exclusivamente los que la propia Generalitat había propiamente adscrito a la indicada entidad. Según se infiere del segundo párrafo del apartado 2, los bienes traspasados por el Estado permanecen bajo la titularidad de la Tesorería General de la Seguridad Social como no podía ser de otro modo. La Generalitat se limita a subrogarse a través del Departamento competente en materia de asuntos sociales en los derechos y obligaciones de los bienes de titularidad de la señalada Tesorería cuyo uso y gestión tenía atribuidos el Instituto Catalán de Asistencia y Servicios Sociales. Consecuentemente, el indicado precepto no produce cambio alguno en la titularidad de los bienes de la Tesorería General de la Seguridad Social ni altera su régimen jurídico por lo que el levantamiento de la suspensión no puede producir daños reales y efectivos de difícil o imposible reparación en los intereses generales del Estado.</w:t>
      </w:r>
    </w:p>
    <w:p w:rsidR="00B85568" w:rsidRDefault="00B85568" w:rsidP="00B85568">
      <w:pPr>
        <w:pStyle w:val="TextoNormal"/>
      </w:pPr>
    </w:p>
    <w:p w:rsidR="00B85568" w:rsidRDefault="00B85568" w:rsidP="00B85568">
      <w:pPr>
        <w:pStyle w:val="TextoNormal"/>
      </w:pPr>
      <w:r>
        <w:t>En cambio, el mantenimiento de la suspensión causaría daños irreparables a los intereses públicos autonómicos y a los ciudadanos de Cataluña; pondría en peligro la prestación de los servicios asistenciales que ha gestionado el extinto Instituto Catalán de Asistencia y Servicios Sociales y que ahora ha asumido directamente la Generalitat a través del departamento competente en materia de servicios sociales en razón de una decisión parlamentaria basada en meras razones organizativas.</w:t>
      </w:r>
    </w:p>
    <w:p w:rsidR="00B85568" w:rsidRDefault="00B85568" w:rsidP="00B85568">
      <w:pPr>
        <w:pStyle w:val="TextoNormal"/>
      </w:pPr>
    </w:p>
    <w:p w:rsidR="00B85568" w:rsidRDefault="00B85568" w:rsidP="00B85568">
      <w:pPr>
        <w:pStyle w:val="TextoNormal"/>
      </w:pPr>
      <w:r w:rsidRPr="00B85568">
        <w:rPr>
          <w:rStyle w:val="NumeroAFNegritaCaracter"/>
        </w:rPr>
        <w:t>5</w:t>
      </w:r>
      <w:r>
        <w:t xml:space="preserve">. Por escrito registrado en este Tribunal el 15 de diciembre de 2014, los Letrados del Parlamento de Cataluña, en la representación que legalmente ostentan, comparecen en el proceso y formulan alegaciones interesando la desestimación del recurso de inconstitucionalidad. Mediante </w:t>
      </w:r>
      <w:r w:rsidRPr="00B85568">
        <w:rPr>
          <w:i/>
        </w:rPr>
        <w:t>otrosí</w:t>
      </w:r>
      <w:r>
        <w:t xml:space="preserve"> solicitan el levantamiento de la suspensión de los preceptos impugnados antes de que transcurra el plazo legal de cinco meses, formulando las siguientes alegaciones:</w:t>
      </w:r>
    </w:p>
    <w:p w:rsidR="00B85568" w:rsidRDefault="00B85568" w:rsidP="00B85568">
      <w:pPr>
        <w:pStyle w:val="TextoNormal"/>
      </w:pPr>
    </w:p>
    <w:p w:rsidR="00B85568" w:rsidRDefault="00B85568" w:rsidP="00B85568">
      <w:pPr>
        <w:pStyle w:val="TextoNormal"/>
      </w:pPr>
      <w:r>
        <w:t xml:space="preserve">a) El art. 47.10 del Decreto Legislativo 1/2010, en la redacción dada por el art. 167.1 de la Ley controvertida, no altera ni modifica el sistema de intervención administrativa regulado en la Ley del sector de hidrocarburos. En consonancia con ese sistema ha evitado establecer una prohibición absoluta o incondicionada de la técnica del </w:t>
      </w:r>
      <w:r w:rsidRPr="00B85568">
        <w:rPr>
          <w:i/>
        </w:rPr>
        <w:t>fracking</w:t>
      </w:r>
      <w:r>
        <w:t xml:space="preserve"> en el territorio catalán. El precepto se refiere sólo al suelo no urbanizable para permitir la utilización de la fracturación hidráulica que no produce efectos negativos sobre las características geológicas, ambientales, paisajísticas o socioeconómicas de la zona o en relación con otros ámbitos competenciales de la Generalitat. El mandato de no autorizar la fracturación hidráulica ante estos efectos negativos viene a ser idéntico al que resulta de la legislación básica estatal cuando somete la indicada técnica al procedimiento de evaluación del impacto ambiental, que puede concluir igualmente en una declaración negativa o prohibitiva adoptada directamente por la Comunidad Autónoma (respecto de autorizaciones de ámbito territorial autonómico) o con su informe previo (respecto de la concesión de explotación de yacimientos de hidrocarburos o de almacenamientos subterráneos). Por tal razón, sólo el mantenimiento de la suspensión de este precepto produciría daños de imposible o difícil reparación.</w:t>
      </w:r>
    </w:p>
    <w:p w:rsidR="00B85568" w:rsidRDefault="00B85568" w:rsidP="00B85568">
      <w:pPr>
        <w:pStyle w:val="TextoNormal"/>
      </w:pPr>
    </w:p>
    <w:p w:rsidR="00B85568" w:rsidRDefault="00B85568" w:rsidP="00B85568">
      <w:pPr>
        <w:pStyle w:val="TextoNormal"/>
      </w:pPr>
      <w:r>
        <w:t>b) El mantenimiento de la suspensión de la disposición transitoria octava produciría daños de difícil o imposible reparación como consecuencia de la implantación indiscriminada en todo el territorio de Cataluña de establecimientos comerciales de gran formato y los efectos negativos que ello supondría para la ordenación urbanística, el medio ambiente y la protección del patrimonio histórico y artístico.</w:t>
      </w:r>
    </w:p>
    <w:p w:rsidR="00B85568" w:rsidRDefault="00B85568" w:rsidP="00B85568">
      <w:pPr>
        <w:pStyle w:val="TextoNormal"/>
      </w:pPr>
    </w:p>
    <w:p w:rsidR="00B85568" w:rsidRDefault="00B85568" w:rsidP="00B85568">
      <w:pPr>
        <w:pStyle w:val="TextoNormal"/>
      </w:pPr>
      <w:r>
        <w:t>En cambio, el levantamiento de la suspensión de la vigencia y aplicación del señalado precepto no produciría perjuicios de imposible o difícil reparación a la vista de los intereses confluyentes. Mantendría el régimen jurídico de la implantación de establecimientos comerciales medianos y grandes y de grandes establecimientos territoriales existente desde el 29 de diciembre de 2012. Ello implicaría que la implantación de grandes establecimientos comerciales territoriales seguiría prohibida fuera de la trama urbana consolidada de municipios de más de 50.000 habitantes (o asimilables o capitales comarcales). También la de establecimientos comerciales medianos y grandes fuera de la trama urbana de municipios de más de 5.000 habitantes (o asimilables o capitales comarcales). Ahora bien, tal implantación sería posible en la zona de acceso restringido de las estaciones de tren, puertos y aeropuertos.</w:t>
      </w:r>
    </w:p>
    <w:p w:rsidR="00B85568" w:rsidRDefault="00B85568" w:rsidP="00B85568">
      <w:pPr>
        <w:pStyle w:val="TextoNormal"/>
      </w:pPr>
    </w:p>
    <w:p w:rsidR="00B85568" w:rsidRDefault="00B85568" w:rsidP="00B85568">
      <w:pPr>
        <w:pStyle w:val="TextoNormal"/>
      </w:pPr>
      <w:r>
        <w:t xml:space="preserve">Por todo ello, incluso en el caso de que se acordara la inconstitucionalidad de la disposición transitoria impugnada, no resultará afectado derecho público o general alguno. Los operadores económicos podrían iniciar las gestiones para solicitar las correspondientes licencias de implantación sin que el régimen jurídico en vigor hasta la fecha les hubiera generado perjuicio económico alguno. La declaración de inconstitucionalidad supondría sólo una ampliación </w:t>
      </w:r>
      <w:r w:rsidRPr="00B85568">
        <w:rPr>
          <w:i/>
        </w:rPr>
        <w:t>pro futuro</w:t>
      </w:r>
      <w:r>
        <w:t xml:space="preserve"> de sus expectativas de negocio. El levantamiento de la suspensión no impedirá la recuperación del régimen jurídico incluido en los apartados 3 y 4 del artículo 9 del Decreto-ley catalán 1/2009, que admite la implantación de establecimientos de gran formato, por lo que no pueden producirse perjuicios de imposible o difícil reparación.</w:t>
      </w:r>
    </w:p>
    <w:p w:rsidR="00B85568" w:rsidRDefault="00B85568" w:rsidP="00B85568">
      <w:pPr>
        <w:pStyle w:val="TextoNormal"/>
      </w:pPr>
    </w:p>
    <w:p w:rsidR="00B85568" w:rsidRDefault="00B85568" w:rsidP="00B85568">
      <w:pPr>
        <w:pStyle w:val="TextoNormal"/>
      </w:pPr>
      <w:r>
        <w:t>c) Respecto de la disposición transitoria quinta, los Letrados autonómicos alegan que el recurso del Abogado del Estado nada ha argumentado sobre de los apartados 1 y 3 por lo que “sólo acordando el levantamiento de la suspensión se puede llevar a cabo el fin de la improcedente tacha de inconstitucionalidad”.</w:t>
      </w:r>
    </w:p>
    <w:p w:rsidR="00B85568" w:rsidRDefault="00B85568" w:rsidP="00B85568">
      <w:pPr>
        <w:pStyle w:val="TextoNormal"/>
      </w:pPr>
    </w:p>
    <w:p w:rsidR="00B85568" w:rsidRDefault="00B85568" w:rsidP="00B85568">
      <w:pPr>
        <w:pStyle w:val="TextoNormal"/>
      </w:pPr>
      <w:r>
        <w:t>Con relación al apartado 2, su tenor literal no impediría sostener la interpretación que reclama el recurrente, esto es, que la Generalitat pasa a asumir únicamente el uso y gestión de los bienes de titularidad de la Tesorería General de la Seguridad Social que estaban adscritos al extinto Instituto Catalán de Asistencia y Servicios Sociales. De modo que el precepto impugnado no altera esa titularidad ni su sujeción al régimen jurídico del patrimonio de la indicada Tesorería; la Generalitat de Cataluña queda subrogada tan sólo en los derechos y obligaciones que resultan del uso y gestión. Consecuentemente, sólo el mantenimiento de la suspensión de la vigencia y aplicación de la previsión impugnada produciría perjuicios de imposible o difícil reparación.</w:t>
      </w:r>
    </w:p>
    <w:p w:rsidR="00B85568" w:rsidRDefault="00B85568" w:rsidP="00B85568">
      <w:pPr>
        <w:pStyle w:val="TextoNormal"/>
      </w:pPr>
    </w:p>
    <w:p w:rsidR="00B85568" w:rsidRDefault="00B85568" w:rsidP="00B85568">
      <w:pPr>
        <w:pStyle w:val="TextoNormal"/>
      </w:pPr>
      <w:r w:rsidRPr="00B85568">
        <w:rPr>
          <w:rStyle w:val="NumeroAFNegritaCaracter"/>
        </w:rPr>
        <w:t>6</w:t>
      </w:r>
      <w:r>
        <w:t>. Por acuerdo de 16 de diciembre de 2014, el Pleno concede al Abogado del Estado un plazo de cinco días para exponer lo que considere conveniente acerca del mantenimiento o levantamiento de la suspensión acordada.</w:t>
      </w:r>
    </w:p>
    <w:p w:rsidR="00B85568" w:rsidRDefault="00B85568" w:rsidP="00B85568">
      <w:pPr>
        <w:pStyle w:val="TextoNormal"/>
      </w:pPr>
    </w:p>
    <w:p w:rsidR="00B85568" w:rsidRDefault="00B85568" w:rsidP="00B85568">
      <w:pPr>
        <w:pStyle w:val="TextoNormal"/>
      </w:pPr>
      <w:r w:rsidRPr="00B85568">
        <w:rPr>
          <w:rStyle w:val="NumeroAFNegritaCaracter"/>
        </w:rPr>
        <w:t>7</w:t>
      </w:r>
      <w:r>
        <w:t>. Por escrito registrado el 26 de diciembre de 2014, el Abogado del Estado evacua el trámite conferido interesando el mantenimiento de la suspensión con base en las alegaciones siguientes:</w:t>
      </w:r>
    </w:p>
    <w:p w:rsidR="00B85568" w:rsidRDefault="00B85568" w:rsidP="00B85568">
      <w:pPr>
        <w:pStyle w:val="TextoNormal"/>
      </w:pPr>
    </w:p>
    <w:p w:rsidR="00B85568" w:rsidRDefault="00B85568" w:rsidP="00B85568">
      <w:pPr>
        <w:pStyle w:val="TextoNormal"/>
      </w:pPr>
      <w:r>
        <w:t xml:space="preserve">a) Tras reivindicar el </w:t>
      </w:r>
      <w:r w:rsidRPr="00B85568">
        <w:rPr>
          <w:i/>
        </w:rPr>
        <w:t>fumus boni iuris</w:t>
      </w:r>
      <w:r>
        <w:t xml:space="preserve"> como mecanismo para el aseguramiento provisional de las pretensiones que serán presumiblemente estimadas, el Abogado del Estado razona que el art. 167.1 de la Ley controvertida bloquea la competencia estatal en materia de energía (art. 149.1.25 y 13 CE), lo que justificaría por sí el mantenimiento de la suspensión (AATC 243/1993, 336/2005 y 104/2010).</w:t>
      </w:r>
    </w:p>
    <w:p w:rsidR="00B85568" w:rsidRDefault="00B85568" w:rsidP="00B85568">
      <w:pPr>
        <w:pStyle w:val="TextoNormal"/>
      </w:pPr>
    </w:p>
    <w:p w:rsidR="00B85568" w:rsidRDefault="00B85568" w:rsidP="00B85568">
      <w:pPr>
        <w:pStyle w:val="TextoNormal"/>
      </w:pPr>
      <w:r>
        <w:t>La previsión impugnada transformaría la posibilidad de autorización o concesión de licencia establecida por la legislación básica estatal en un supuesto de hecho verdaderamente excepcional; establecería una prohibición general de la técnica de la fractura hidráulica apuntando una serie de posibles excepciones a través de criterios tan extremadamente genéricos que abren un amplísimo margen de discrecionalidad que supone la derogación práctica del régimen básico de libertad sometido a autorización. La “perversa redacción” del precepto “pretende disfrazar” una “prohibición total y absoluta”, vinculando la autorización a la ausencia de “riesgos enunciados genéricamente” de modo tal que, en realidad, vacía las competencias estatales en materia de hidrocarburos. Se verificaría una “actitud contumaz en impedir en esta materia el ejercicio de las competencias estatales”, habida cuenta de que la STC 106/2014, de 24 de junio, ya ha declarado la inconstitucionalidad de la disposición cántabra que producía los mismos efectos.</w:t>
      </w:r>
    </w:p>
    <w:p w:rsidR="00B85568" w:rsidRDefault="00B85568" w:rsidP="00B85568">
      <w:pPr>
        <w:pStyle w:val="TextoNormal"/>
      </w:pPr>
    </w:p>
    <w:p w:rsidR="00B85568" w:rsidRDefault="00B85568" w:rsidP="00B85568">
      <w:pPr>
        <w:pStyle w:val="TextoNormal"/>
      </w:pPr>
      <w:r>
        <w:t>Respecto de los perjuicios a intereses públicos y privados que resultarían del levantamiento de la suspensión, el Abogado del Estado transcribe literalmente párrafos del informe de 17 de diciembre de 2014 de la Directora General de Política Energética y Minas del Ministerio de Industria, Energía y Turismo “sobre la procedencia de la suspensión de la Ley 2/2014, de 27 de enero, de medidas fiscales, administrativas, financieras y del sector público de Cataluña”, que adjunta como documento núm. 1.</w:t>
      </w:r>
    </w:p>
    <w:p w:rsidR="00B85568" w:rsidRDefault="00B85568" w:rsidP="00B85568">
      <w:pPr>
        <w:pStyle w:val="TextoNormal"/>
      </w:pPr>
    </w:p>
    <w:p w:rsidR="00B85568" w:rsidRDefault="00B85568" w:rsidP="00B85568">
      <w:pPr>
        <w:pStyle w:val="TextoNormal"/>
      </w:pPr>
      <w:r>
        <w:t>Conforme a los párrafos extractados del informe, el mantenimiento de la suspensión no produciría daños medioambientales habida cuenta de que la legislación básica estatal garantiza por sí la máxima protección medioambiental a través de la necesaria declaración de impacto. En cambio, son evidentes los perjuicios que el levantamiento produciría sobre intereses de terceros. Los promotores de solicitudes de permisos situados en Cataluña han realizado inversiones preliminares (para la selección previa de las áreas de interés y la preparación de la documentación necesaria que soporta la instancia, incluyendo la constitución de una garantía económica), pero no podrían llevar a cabo los trabajos proyectados, incluso los que obtuvieron ya el correspondiente permiso. Sobre los titulares de permisos pesa la obligación de realizar trabajos e inversiones mínimas (art. 22 LSH); una obligación que pasaría a ser de imposible cumplimiento. A su vez, el solicitante de un permiso con objetivos no convencionales que esté pendiente de tramitación, se halla en el dilema de desistir de su petición con el consiguiente riesgo de que un competidor asuma su posición en un área de interés geológico o, ante la expectativa de autorización, desarrollar un plan de investigación de imposible cumplimiento. La indefinición del concepto “técnica de fracturación hidráulica” genera el riesgo adicional de interpretaciones extensivas conducentes a la paralización de proyectos de investigación o explotación de hidrocarburos con objetivos y efectos muy diferentes (p. ej. la estimulación de pozo o la recuperación secundaria). El levantamiento de la suspensión produciría costes de oportunidad (los beneficios que habrían resultado de inversiones en otros proyectos) y de improductividad (por la paralización indefinida de los recursos asociados al proyecto). Dentro de la actual coyuntura favorable a la inversión extranjera por parte de compañías especializadas, la indeterminación jurídica podría provocar el desvío de los flujos de inversión a áreas geográficas con marcos regulatorios más estables; flujos que probablemente no se recuperarían. A ello se suma la previsible pérdida de inversiones futuras en el sector ante la percepción de un incremento del riesgo.</w:t>
      </w:r>
    </w:p>
    <w:p w:rsidR="00B85568" w:rsidRDefault="00B85568" w:rsidP="00B85568">
      <w:pPr>
        <w:pStyle w:val="TextoNormal"/>
      </w:pPr>
    </w:p>
    <w:p w:rsidR="00B85568" w:rsidRDefault="00B85568" w:rsidP="00B85568">
      <w:pPr>
        <w:pStyle w:val="TextoNormal"/>
      </w:pPr>
      <w:r>
        <w:t>Por el contrario, el mantenimiento de la suspensión favorece la consecución de los beneficios perseguidos por el legislador básico: seguridad del suministro, crecimiento económico, empleo e ingresos tributarios. España importa más del 99,5 por 100 del gas y del petróleo que consume desde áreas geopolíticamente inestables en su mayor parte. La seguridad del suministro tiene importantes derivaciones estratégicas como ha puesto de manifiesto la reciente crisis Rusia-Ucrania. El crecimiento económico se halla principalmente asociado a las inversiones en infraestructura, creación de empleo e incremento de la competitividad derivada de una reducción del precio de la energía. La consultora Deloitte ha publicado en febrero de 2014 el “análisis del impacto del desarrollo de la explotación y producción de hidrocarburos en la economía española”, encargado por la Asociación de compañías de investigación y explotación de petróleo, que cuantifica los impactos económicos de la explotación de los recursos prospectivos de hidrocarburos en España. No desglosa el impacto, pero indica una contribución de esta actividad al Producto interior bruto (PIB) que alcanzaría unos 44.000 millones de euros en el año de mayor impacto (2014), lo que equivaldría a un 4,3 por 100 del PIB actual. La explotación de hidrocarburos supone unos ingresos para las arcas públicas en forma de ingresos directos (impuesto de sociedades, IVA, cotizaciones sociales, tasas cánones), pero también indirectos gracias a la actividad económica indirecta e inducida que puede generar.</w:t>
      </w:r>
    </w:p>
    <w:p w:rsidR="00B85568" w:rsidRDefault="00B85568" w:rsidP="00B85568">
      <w:pPr>
        <w:pStyle w:val="TextoNormal"/>
      </w:pPr>
    </w:p>
    <w:p w:rsidR="00B85568" w:rsidRDefault="00B85568" w:rsidP="00B85568">
      <w:pPr>
        <w:pStyle w:val="TextoNormal"/>
      </w:pPr>
      <w:r>
        <w:t>b) La disposición transitoria octava también bloquearía una competencia estatal, en este caso la que ampara las Leyes 7/1996, de 15 de enero, de ordenación del comercio minorista y 17/2009, de 23 de diciembre, sobre el libre acceso a las actividades y su ejercicio (art. 149.1.13 CE). Al suspender transitoriamente el régimen de excepciones que se ajusta a la legislación básica estatal, el precepto impugnado incumple la STC 193/2013; no sería otra cosa que la decisión formulada legalmente de infringir la Sentencia constitucional con el fin de enervar su fuerza vinculante a modo de subterfugio para eludir los arts. 87 LOTC y 164 CE.</w:t>
      </w:r>
    </w:p>
    <w:p w:rsidR="00B85568" w:rsidRDefault="00B85568" w:rsidP="00B85568">
      <w:pPr>
        <w:pStyle w:val="TextoNormal"/>
      </w:pPr>
    </w:p>
    <w:p w:rsidR="00B85568" w:rsidRDefault="00B85568" w:rsidP="00B85568">
      <w:pPr>
        <w:pStyle w:val="TextoNormal"/>
      </w:pPr>
      <w:r>
        <w:t>Añade que, como consecuencia de “liberalización de un sector concreto de la actividad económica”, la normativa autonómica no puede siquiera entrar a regular, por lo que quizá también por esta razón hay bloqueo de competencias: “En esto de los horarios comerciales, precisamente, la jurisprudencia constitucional es clara y unánime en relación con la cuestión de la utilización por el Estado de la competencia de legislación básica sobre la base del título competencial del art. 149.1.13 de la CE, pues su cobertura incluye la liberación de los horarios comerciales, o hasta cierto límite, pero como medida uniforme para todo el país”. El Tribunal Constitucional habría reconocido que las bases en materia de “comercio interior y libertad de horarios comerciales” pueden tener carácter agotador y no permitir desarrollo autonómico (STC 225/1993).</w:t>
      </w:r>
    </w:p>
    <w:p w:rsidR="00B85568" w:rsidRDefault="00B85568" w:rsidP="00B85568">
      <w:pPr>
        <w:pStyle w:val="TextoNormal"/>
      </w:pPr>
    </w:p>
    <w:p w:rsidR="00B85568" w:rsidRDefault="00B85568" w:rsidP="00B85568">
      <w:pPr>
        <w:pStyle w:val="TextoNormal"/>
      </w:pPr>
      <w:r>
        <w:t>En cuanto a la ponderación de los perjuicios que podrían resultar del levantamiento de la suspensión, el Abogado del Estado se refiere al informe de 12 de diciembre de 2014 de la Directora General de Comercio Interior del Ministerio de Economía y Competitividad sobre “la conveniencia y necesidad de mantener la suspensión de la Ley 2/2014, de 27 de enero, de medidas fiscales, administrativas, financieras y del sector público de Cataluña”, que adjunta como documento núm. 2. Trae a colación, en primer lugar, datos relativos a la evolución del comercio al por menor en Cataluña en comparación con el resto de España y con otras Comunidades Autónomas. Después se refiere a los perjuicios derivados de medidas legislativas contrarias a la libertad de horarios en la actividad comercial. Concluye que el levantamiento de la suspensión producirá una restricción de libertades de iniciativa económica evidente, lo que conlleva “una disparidad de régimen respecto de otras Comunidades Autónomas, una ruptura de la unidad de mercado al aplicarse en Cataluña un régimen diferente al resto de los comerciantes de España e implicaría un perjuicio económico inmediato para comercios situados en territorio de Cataluña”.</w:t>
      </w:r>
    </w:p>
    <w:p w:rsidR="00B85568" w:rsidRDefault="00B85568" w:rsidP="00B85568">
      <w:pPr>
        <w:pStyle w:val="TextoNormal"/>
      </w:pPr>
    </w:p>
    <w:p w:rsidR="00B85568" w:rsidRDefault="00B85568" w:rsidP="00B85568">
      <w:pPr>
        <w:pStyle w:val="TextoNormal"/>
      </w:pPr>
      <w:r>
        <w:t>c) Respecto de la disposición transitoria quinta, el Abogado del Estado razona que el levantamiento de la suspensión lesiona el interés público estatal; produciría perjuicios patrimoniales de, si no imposible, al menos muy difícil reparación. El precepto impugnado establece que la Generalitat se subroga “en todos los derechos y obligaciones de los bienes de titularidad de la Tesorería General de la Seguridad Social” cuyo uso y gestión tenía atribuidos el extinto Instituto Catalán de Asistencia y Servicios Sociales. Tal subrogación permite a la Administración autonómica contraer nuevas obligaciones frente a terceros. Ello produciría daños en el patrimonio de la indicada Tesorería si la Sentencia definitiva acabase estimando el recurso de inconstitucionalidad. En este caso, “la primera integración en el patrimonio de la Generalidad se habría producido en virtud de ley formal”, lo que “dificultaría (aparte del hecho empírico de cuál fuese el estado de las finanzas autonómicas en ese momento, y la imposibilidad de ejecutar un patrimonio público) la viabilidad de un título” para “ejercitar una acción de indemnización o de arbitrar mecanismos de compensación contra la Generalidad de Cataluña”.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Abogada de la Generalitat de Cataluña y los Letrados del Parlamento de Cataluña solicitan el levantamiento de la suspensión de la vigencia del art. 167.1 y las disposiciones transitorias quinta y octava de la Ley 2/2014, de 27 de enero, de medidas fiscales, administrativas, financieras y del sector público de Cataluña acordada por providencia de 18 de noviembre de 2014 en aplicación de lo dispuesto en los arts. 161.2 CE y 30 LOTC.</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Tras reivindicar el </w:t>
      </w:r>
      <w:r w:rsidRPr="00B85568">
        <w:rPr>
          <w:i/>
        </w:rPr>
        <w:t>fumus boni iuris</w:t>
      </w:r>
      <w:r>
        <w:t xml:space="preserve"> como mecanismo para el aseguramiento provisional de las pretensiones que serán presumiblemente estimadas, el Abogado del Estado razona que debería mantenerse la suspensión del art. 47.10 del texto refundido de la Ley de urbanismo de Cataluña, aprobado por Decreto Legislativo 1/2010, de 3 de agosto, en la redacción dada por el art. 167.1 de la Ley controvertida, porque bloquea el ejercicio de competencias de titularidad estatal. Conforme al indicado precepto, “en la explotación de recursos naturales en suelo no urbanizable, en el caso de aprovechamiento de hidrocarburos, no está permitida la utilización de la tecnología de la fracturación hidráulica cuando pueda tener efectos negativos sobre las características geológicas, ambientales, paisajísticas o socioeconómicas de la zona, o en relación con otros ámbitos competenciales de la Generalidad”.</w:t>
      </w:r>
    </w:p>
    <w:p w:rsidR="00B85568" w:rsidRDefault="00B85568" w:rsidP="00B85568">
      <w:pPr>
        <w:pStyle w:val="TextoNormal"/>
      </w:pPr>
    </w:p>
    <w:p w:rsidR="00B85568" w:rsidRDefault="00B85568" w:rsidP="00B85568">
      <w:pPr>
        <w:pStyle w:val="TextoNormal"/>
      </w:pPr>
      <w:r>
        <w:t>En alguna ocasión este Tribunal ha declarado que un precepto autonómico bloquea el ejercicio de competencias estatales a fin de justificar el mantenimiento de su suspensión sin entrar a examinar la concurrencia de daños acreditados de imposible o difícil reparación derivados del levantamiento. Lo ha hecho muy excepcionalmente cuando la controversia suscitada en el recurso que origina el incidente cautelar excede de las situaciones normales de controversia competencial; situaciones que no tienen que ver con la viabilidad de las pretensiones de la demanda o su apariencia de buen derecho, sino con el efecto mismo de bloqueo del ejercicio de las competencias estatales (ATC 153/2014, de 27 de noviembre, FJ 1).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B85568" w:rsidRDefault="00B85568" w:rsidP="00B85568">
      <w:pPr>
        <w:pStyle w:val="TextoNormal"/>
      </w:pPr>
    </w:p>
    <w:p w:rsidR="00B85568" w:rsidRDefault="00B85568" w:rsidP="00B85568">
      <w:pPr>
        <w:pStyle w:val="TextoNormal"/>
      </w:pPr>
      <w:r>
        <w:t>En el presente caso, el legislador catalán no ha admitido expresamente que el artículo 167.1 responde a la finalidad de dejar en suspenso el ejercicio de las competencias estatales. Corresponde, en consecuencia, examinar si estamos en el supuesto de afectación de una competencia estatal palmariamente reconocida por el bloque de la constitucionalidad.</w:t>
      </w:r>
    </w:p>
    <w:p w:rsidR="00B85568" w:rsidRDefault="00B85568" w:rsidP="00B85568">
      <w:pPr>
        <w:pStyle w:val="TextoNormal"/>
      </w:pPr>
    </w:p>
    <w:p w:rsidR="00B85568" w:rsidRDefault="00B85568" w:rsidP="00B85568">
      <w:pPr>
        <w:pStyle w:val="TextoNormal"/>
      </w:pPr>
      <w:r>
        <w:t xml:space="preserve">Recientemente, este Tribunal ha establecido doctrina en controversias competenciales muy similares. Las SSTC 106/2014, de 24 de junio, FJ 8; y 134/2014, de 22 de julio, FJ 2, han declarado que una “prohibición absoluta e incondicionada de la técnica de la fractura hidráulica en todo el territorio” acordada por el legislador autonómico “contradice de manera radical e insalvable lo dispuesto en el apartado 5 del art. 9 de la Ley del sector de hidrocarburos” (LSH) y, con ello, invade las competencias estatales </w:t>
      </w:r>
      <w:r w:rsidRPr="00B85568">
        <w:rPr>
          <w:i/>
        </w:rPr>
        <w:t>ex</w:t>
      </w:r>
      <w:r>
        <w:t xml:space="preserve"> art. 149.1.13 y 25 CE.</w:t>
      </w:r>
    </w:p>
    <w:p w:rsidR="00B85568" w:rsidRDefault="00B85568" w:rsidP="00B85568">
      <w:pPr>
        <w:pStyle w:val="TextoNormal"/>
      </w:pPr>
    </w:p>
    <w:p w:rsidR="00B85568" w:rsidRDefault="00B85568" w:rsidP="00B85568">
      <w:pPr>
        <w:pStyle w:val="TextoNormal"/>
      </w:pPr>
      <w:r>
        <w:t>Ninguna de las partes de este proceso discute que el art. 9.5 LSH encuentra suficiente cobertura en el art. 149.1.13 y 25 CE. Sin embargo, el tenor literal del art. 47.10 Decreto Legislativo 1/2010 no coincide con la “prohibición incondicional y absoluta” de la técnica de la fractura hidráulica enjuiciada en aquellas Sentencias. Las diferencias de redacción entre el precepto recurrido y los anulados por las SSTC 106/2014 y 134/2014 impiden considerar que el primero contradice las bases estatales de forma tan meridiana que podamos llegar a ratificar la suspensión acordada sin recorrer el cauce ordinario, que empieza por comprobar que el Abogado del Estado ha acreditado suficientemente perjuicios de imposible o difícil reparación para el interés general o de terceros vinculados al levantamiento (por todos, ATC 85/2012, de 8 de mayo).</w:t>
      </w:r>
    </w:p>
    <w:p w:rsidR="00B85568" w:rsidRDefault="00B85568" w:rsidP="00B85568">
      <w:pPr>
        <w:pStyle w:val="TextoNormal"/>
      </w:pPr>
    </w:p>
    <w:p w:rsidR="00B85568" w:rsidRDefault="00B85568" w:rsidP="00B85568">
      <w:pPr>
        <w:pStyle w:val="TextoNormal"/>
      </w:pPr>
      <w:r w:rsidRPr="00B85568">
        <w:rPr>
          <w:rStyle w:val="NumeroAFNegritaCaracter"/>
        </w:rPr>
        <w:t>3</w:t>
      </w:r>
      <w:r>
        <w:t xml:space="preserve">. A los efectos de valorar si el Abogado del Estado ha acreditado adecuadamente los perjuicios de imposible o difícil reparación que acarrearía el levantamiento de la suspensión del art. 47.10 del Decreto Legislativo 1/2010, es preciso aislar con carácter previo una serie de aspectos no controvertidos. En primer lugar, ninguna de las partes de este proceso discute que tanto el art. 9.5 LSH como la exigencia de la previa declaración de impacto ambiental de proyectos que impliquen perforaciones mediante técnicas de fracturación hidráulica [párrafo d) del grupo 2 del anexo I de la Ley 21/2013, de 9 de diciembre, de evaluación ambiental] disponen de plena cobertura competencial (apartados 13 y 25, por un lado, apartado 23, por otro, todos del art. 149.1 CE). No se discute, por tanto, que el legislador catalán está sometido al sistema de libre iniciativa con control previo de requisitos técnicos y medioambientales para la utilización de la indicada técnica, lo que, por otra parte, resulta indubitable a la vista de la precitada doctrina constitucional. En segundo lugar, el precepto recurrido no prohíbe la utilización del </w:t>
      </w:r>
      <w:r w:rsidRPr="00B85568">
        <w:rPr>
          <w:i/>
        </w:rPr>
        <w:t>fracking</w:t>
      </w:r>
      <w:r>
        <w:t>; condiciona su utilización en suelo no urbanizable a la inexistencia de una serie de efectos adversos.</w:t>
      </w:r>
    </w:p>
    <w:p w:rsidR="00B85568" w:rsidRDefault="00B85568" w:rsidP="00B85568">
      <w:pPr>
        <w:pStyle w:val="TextoNormal"/>
      </w:pPr>
    </w:p>
    <w:p w:rsidR="00B85568" w:rsidRDefault="00B85568" w:rsidP="00B85568">
      <w:pPr>
        <w:pStyle w:val="TextoNormal"/>
      </w:pPr>
      <w:r>
        <w:t>Estas apreciaciones preliminares ponen de relieve que el levantamiento de la suspensión pondría en circulación, no una prohibición absoluta e incondicionada de los proyectos de explotación, investigación o explotación que requieran perforaciones mediante técnicas de fracturación hidráulica, sino una norma que debe interpretarse y aplicarse en el marco de la doctrina constitucional y de una legislación estatal cuyo carácter básico nadie discute y está afirmado en la doctrina constitucional. Con ello en modo alguno queremos anticipar la solución de fondo que merezca esta controversia ni sugerir la viabilidad de una interpretación de conformidad a la Constitución que salve eventuales contradicciones con las bases estatales. Queremos simplemente poner de manifiesto que los perjuicios de imposible o difícil reparación cuya acreditación corresponde al Abogado del Estado deben ser los derivados, no de una prohibición absoluta, sino del condicionamiento del otorgamiento de la correspondiente autorización a la apreciación de la ausencia de una serie de efectos adversos.</w:t>
      </w:r>
    </w:p>
    <w:p w:rsidR="00B85568" w:rsidRDefault="00B85568" w:rsidP="00B85568">
      <w:pPr>
        <w:pStyle w:val="TextoNormal"/>
      </w:pPr>
    </w:p>
    <w:p w:rsidR="00B85568" w:rsidRDefault="00B85568" w:rsidP="00B85568">
      <w:pPr>
        <w:pStyle w:val="TextoNormal"/>
      </w:pPr>
      <w:r>
        <w:t>Toda la argumentación del Abogado del Estado gira en torno a los daños en el interés general y de terceros que supondría la radical imposibilidad de solicitar y obtener permiso para desarrollar proyectos que impliquen la utilización de la indicada técnica. Nada se alega respecto de los perjuicios que entrañaría la aplicación de las condiciones que el precepto impugnado impone al otorgamiento. Tales condiciones se valoran conjuntamente como un elenco tan excesivamente abierto que, según se afirma, convierte la decisión autonómica en un ejercicio libérrimo de discrecionalidad. Esos criterios serán o no excesivamente abiertos, compatibles o no con las bases estatales —no es el momento de determinarlo—, pero son en todo caso conceptos jurídicos indeterminados que, en cuanto tales, introducen parámetros reglados, máxime cuando el margen de apreciación inherente a su zona de penumbra está reducido por reglas específicas de la legislación básica estatal y la doctrina constitucional. De modo que no se ha tomado en consideración que en este trámite los perjuicios necesitados de acreditación son los resultantes de un precepto interpretado cabalmente en su contexto y en el marco de la doctrina constitucional, sin que cobren relevancia los juicios subjetivos sobre las intenciones del legislador catalán.</w:t>
      </w:r>
    </w:p>
    <w:p w:rsidR="00B85568" w:rsidRDefault="00B85568" w:rsidP="00B85568">
      <w:pPr>
        <w:pStyle w:val="TextoNormal"/>
      </w:pPr>
    </w:p>
    <w:p w:rsidR="00B85568" w:rsidRDefault="00B85568" w:rsidP="00B85568">
      <w:pPr>
        <w:pStyle w:val="TextoNormal"/>
      </w:pPr>
      <w:r>
        <w:t>Téngase en cuenta que, recientemente, la Ley 3/2015, de 11 de marzo, de medidas fiscales, financieras y administrativas del Parlamento de Cataluña (art. 80.20), ha añadido un nuevo epígrafe 2.2 al anexo I.2.a de la Ley 20/2009, de 4 de diciembre, de prevención y control ambiental de las actividades, conforme al que quedan sometidas a un procedimiento de evaluación de impacto y de licencia ambiental las “instalaciones consistentes en la realización de perforaciones para la exploración e investigación que requieran la aplicación de métodos geofísicos o geoquímicos que incluyan técnicas de fracturación hidráulica, estimulación de pozos u otras técnicas de recuperación secundaria y otros métodos necesarios para su objeto”. La exposición de motivos de la Ley 3/2015 señala que de este modo “los proyectos de exploración o investigación que utilicen la técnica de la fracturación hidráulica (</w:t>
      </w:r>
      <w:r w:rsidRPr="00B85568">
        <w:rPr>
          <w:i/>
        </w:rPr>
        <w:t>fracking</w:t>
      </w:r>
      <w:r>
        <w:t>) se someten a un procedimiento de evaluación de impacto y de autorización ambiental, por razón de su elevada incidencia ambiental”.</w:t>
      </w:r>
    </w:p>
    <w:p w:rsidR="00B85568" w:rsidRDefault="00B85568" w:rsidP="00B85568">
      <w:pPr>
        <w:pStyle w:val="TextoNormal"/>
      </w:pPr>
    </w:p>
    <w:p w:rsidR="00B85568" w:rsidRDefault="00B85568" w:rsidP="00B85568">
      <w:pPr>
        <w:pStyle w:val="TextoNormal"/>
      </w:pPr>
      <w:r>
        <w:t>No corresponde ahora determinar si, y en qué medida, esta reforma incide sobre la controversia competencial suscitada respecto del art. 47.10 del Decreto Legislativo 1/2010. No obstante, sí procede poner de relieve cómo la regulación indicada presupone que el legislador catalán ha asumido que la utilización de la técnica de la fracturación hidráulica con sujeción a determinadas condiciones medioambientales debe autorizarse de acuerdo con la legislación básica estatal. De modo que es aún más evidente la manifiesta insuficiencia de la argumentación del Abogado del Estado en orden a justificar el mantenimiento de la suspensión.</w:t>
      </w:r>
    </w:p>
    <w:p w:rsidR="00B85568" w:rsidRDefault="00B85568" w:rsidP="00B85568">
      <w:pPr>
        <w:pStyle w:val="TextoNormal"/>
      </w:pPr>
    </w:p>
    <w:p w:rsidR="00B85568" w:rsidRDefault="00B85568" w:rsidP="00B85568">
      <w:pPr>
        <w:pStyle w:val="TextoNormal"/>
      </w:pPr>
      <w:r>
        <w:t>Consecuentemente, procede levantar la suspensión del art. 47.10 del Decreto Legislativo 1/2010, en la redacción dada por el art. 167.1 de la Ley 2/2014, de 27 de enero, del Parlamento de Cataluña.</w:t>
      </w:r>
    </w:p>
    <w:p w:rsidR="00B85568" w:rsidRDefault="00B85568" w:rsidP="00B85568">
      <w:pPr>
        <w:pStyle w:val="TextoNormal"/>
      </w:pPr>
    </w:p>
    <w:p w:rsidR="00B85568" w:rsidRDefault="00B85568" w:rsidP="00B85568">
      <w:pPr>
        <w:pStyle w:val="TextoNormal"/>
      </w:pPr>
      <w:r w:rsidRPr="00B85568">
        <w:rPr>
          <w:rStyle w:val="NumeroAFNegritaCaracter"/>
        </w:rPr>
        <w:t>4</w:t>
      </w:r>
      <w:r>
        <w:t>. La Abogada de la Generalitat de Cataluña y los Letrados del Parlamento de Cataluña han pedido el levantamiento de la suspensión de la disposición transitoria octava de la Ley 2/2014, que establece:</w:t>
      </w:r>
    </w:p>
    <w:p w:rsidR="00B85568" w:rsidRDefault="00B85568" w:rsidP="00B85568">
      <w:pPr>
        <w:pStyle w:val="TextoNormal"/>
      </w:pPr>
    </w:p>
    <w:p w:rsidR="00B85568" w:rsidRDefault="00B85568" w:rsidP="00B85568">
      <w:pPr>
        <w:pStyle w:val="TextoNormal"/>
      </w:pPr>
      <w:r>
        <w:t>“En el plazo de un año a contar desde la entrada en vigor de la presente ley, el Gobierno debe presentar al Parlamento un proyecto de ley de comercio, servicios y ferias en el que se valoren adecuadamente los intereses públicos en relación con la normativa de implantación de equipamientos comerciales y la proporcionalidad y no discriminación de las medidas que deben adoptarse. Mientras no se apruebe este proyecto de ley queda suspendida la excepción de implantación de establecimientos fuera de trama urbana consolidada a que se refieren el apartado 3.b y el segundo párrafo del apartado 4 del artículo 9 del Decreto Ley 1/2009, de 22 de diciembre, de ordenación de los equipamientos comerciales.”</w:t>
      </w:r>
    </w:p>
    <w:p w:rsidR="00B85568" w:rsidRDefault="00B85568" w:rsidP="00B85568">
      <w:pPr>
        <w:pStyle w:val="TextoNormal"/>
      </w:pPr>
    </w:p>
    <w:p w:rsidR="00B85568" w:rsidRDefault="00B85568" w:rsidP="00B85568">
      <w:pPr>
        <w:pStyle w:val="TextoNormal"/>
      </w:pPr>
      <w:r>
        <w:t>La Ley controvertida declara “vigentes” los apartados 3 y 4 del Decreto-ley 1/2009, de 22 de diciembre (disposición adicional vigesimoséptima), pero, en razón de la disposición extractada, “la excepción de implantación de establecimientos fuera de trama urbana consolidada” a que se refieren la letra b) del apartado 3 y el segundo párrafo del apartado 4 de aquel Decreto-ley queda suspendida mientras no se apruebe el “proyecto de ley de comercio, servicios y ferias” que el Gobierno debe presentar “en el plazo de un año”.</w:t>
      </w:r>
    </w:p>
    <w:p w:rsidR="00B85568" w:rsidRDefault="00B85568" w:rsidP="00B85568">
      <w:pPr>
        <w:pStyle w:val="TextoNormal"/>
      </w:pPr>
    </w:p>
    <w:p w:rsidR="00B85568" w:rsidRDefault="00B85568" w:rsidP="00B85568">
      <w:pPr>
        <w:pStyle w:val="TextoNormal"/>
      </w:pPr>
      <w:r>
        <w:t>Durante la tramitación del presente incidente cautelar, el Gobierno de Cataluña ha aprobado el Decreto-ley 7/2014, de 23 de diciembre, cuyo artículo único dispone la derogación de “la letra b) del apartado 3 y el segundo párrafo del apartado 4 del artículo 9 del Decreto ley 1/2009, de 22 de diciembre”. Esta previsión deroga de modo implícito, pero inequívoco la disposición transitoria octava de la Ley 2/2014 objeto del presente incidente cautelar.</w:t>
      </w:r>
    </w:p>
    <w:p w:rsidR="00B85568" w:rsidRDefault="00B85568" w:rsidP="00B85568">
      <w:pPr>
        <w:pStyle w:val="TextoNormal"/>
      </w:pPr>
    </w:p>
    <w:p w:rsidR="00B85568" w:rsidRDefault="00B85568" w:rsidP="00B85568">
      <w:pPr>
        <w:pStyle w:val="TextoNormal"/>
      </w:pPr>
      <w:r>
        <w:t>Al desaparecer la disposición transitoria octava de la Ley 2/2014 ha desaparecido lógicamente también en este punto el objeto de la solicitud de levantamiento de la suspensión formulada por la Abogada de la Generalitat de Cataluña y los Letrados del Parlamento de Cataluña; no resulta ya necesario que nos pronunciemos sobre el levantamiento o mantenimiento de la suspensión de una previsión que ha sido ya derogada (AATC 354/1989, de 20 de junio, FJ único, 224/2009, de 27 de julio, FJ 1, 57/2010, de 19 de mayo, FJ único y 244/2013, de 22 de octubre, FJ único).</w:t>
      </w:r>
    </w:p>
    <w:p w:rsidR="00B85568" w:rsidRDefault="00B85568" w:rsidP="00B85568">
      <w:pPr>
        <w:pStyle w:val="TextoNormal"/>
      </w:pPr>
    </w:p>
    <w:p w:rsidR="00B85568" w:rsidRDefault="00B85568" w:rsidP="00B85568">
      <w:pPr>
        <w:pStyle w:val="TextoNormal"/>
      </w:pPr>
      <w:r>
        <w:t>La pérdida de objeto de la solicitud de levantamiento de la suspensión y del correspondiente incidente cautelar no implica, naturalmente, la pérdida de objeto de la impugnación dirigida por el Abogado del Estado contra el precepto sobrevenidamente derogado ni del correspondiente proceso constitucional; habrá de ser la Sentencia resolutoria del recurso la que, a la vista de la doctrina constitucional elaborada a estos efectos, determine si la impugnación ha perdido objeto como consecuencia del artículo único de Decreto-ley 7/2014, de 23 de diciembre, de la Generalitat de Cataluña.</w:t>
      </w:r>
    </w:p>
    <w:p w:rsidR="00B85568" w:rsidRDefault="00B85568" w:rsidP="00B85568">
      <w:pPr>
        <w:pStyle w:val="TextoNormal"/>
      </w:pPr>
    </w:p>
    <w:p w:rsidR="00B85568" w:rsidRDefault="00B85568" w:rsidP="00B85568">
      <w:pPr>
        <w:pStyle w:val="TextoNormal"/>
      </w:pPr>
      <w:r>
        <w:t>En consecuencia, cumple declarar la desaparición sobrevenida del objeto del presente incidente cautelar respecto de la disposición transitoria octava de la Ley 2/2014, de 27 de enero, del Parlamento de Cataluña.</w:t>
      </w:r>
    </w:p>
    <w:p w:rsidR="00B85568" w:rsidRDefault="00B85568" w:rsidP="00B85568">
      <w:pPr>
        <w:pStyle w:val="TextoNormal"/>
      </w:pPr>
    </w:p>
    <w:p w:rsidR="00B85568" w:rsidRDefault="00B85568" w:rsidP="00B85568">
      <w:pPr>
        <w:pStyle w:val="TextoNormal"/>
      </w:pPr>
      <w:r w:rsidRPr="00B85568">
        <w:rPr>
          <w:rStyle w:val="NumeroAFNegritaCaracter"/>
        </w:rPr>
        <w:t>5</w:t>
      </w:r>
      <w:r>
        <w:t>. La Abogada de la Generalitat de Cataluña y los Letrados del Parlamento de Cataluña han pedido el levantamiento de la suspensión de la disposición transitoria quinta de la Ley 2/2014, que establece:</w:t>
      </w:r>
    </w:p>
    <w:p w:rsidR="00B85568" w:rsidRDefault="00B85568" w:rsidP="00B85568">
      <w:pPr>
        <w:pStyle w:val="TextoNormal"/>
      </w:pPr>
    </w:p>
    <w:p w:rsidR="00B85568" w:rsidRDefault="00B85568" w:rsidP="00B85568">
      <w:pPr>
        <w:pStyle w:val="TextoNormal"/>
      </w:pPr>
      <w:r>
        <w:t>“1. Hasta que no se apruebe la relación de puestos de trabajo adaptada a la estructura orgánica que se determine, y se efectúen las correspondientes adaptaciones presupuestarias, la dirección, los órganos y los puestos de trabajo del Instituto Catalán de Asistencia y Servicios Sociales deben seguir subsistiendo y deben ser retribuidos con cargo a los mismos créditos presupuestarios a que se imponían y quedar adscritos al departamento competente en materia de servicios sociales.</w:t>
      </w:r>
    </w:p>
    <w:p w:rsidR="00B85568" w:rsidRDefault="00B85568" w:rsidP="00B85568">
      <w:pPr>
        <w:pStyle w:val="TextoNormal"/>
      </w:pPr>
    </w:p>
    <w:p w:rsidR="00B85568" w:rsidRDefault="00B85568" w:rsidP="00B85568">
      <w:pPr>
        <w:pStyle w:val="TextoNormal"/>
      </w:pPr>
      <w:r>
        <w:t>2. Los bienes integrantes del patrimonio de la entidad gestora de la Seguridad Social que se suprime se incorporan al patrimonio de la Generalitat y se adscriben al departamento competente en materia de servicios sociales. El departamento competente en materia de servicios sociales se subroga en todos los derechos y obligaciones de los bienes de titularidad de la Tesorería General de la Seguridad Social cuyo uso y gestión hayan sido atribuidos al Instituto Catalán de Asistencia y Servicios Sociales.</w:t>
      </w:r>
    </w:p>
    <w:p w:rsidR="00B85568" w:rsidRDefault="00B85568" w:rsidP="00B85568">
      <w:pPr>
        <w:pStyle w:val="TextoNormal"/>
      </w:pPr>
    </w:p>
    <w:p w:rsidR="00B85568" w:rsidRDefault="00B85568" w:rsidP="00B85568">
      <w:pPr>
        <w:pStyle w:val="TextoNormal"/>
      </w:pPr>
      <w:r>
        <w:t>3. Dotaciones presupuestarias y de tesorería.</w:t>
      </w:r>
    </w:p>
    <w:p w:rsidR="00B85568" w:rsidRDefault="00B85568" w:rsidP="00B85568">
      <w:pPr>
        <w:pStyle w:val="TextoNormal"/>
      </w:pPr>
    </w:p>
    <w:p w:rsidR="00B85568" w:rsidRDefault="00B85568" w:rsidP="00B85568">
      <w:pPr>
        <w:pStyle w:val="TextoNormal"/>
      </w:pPr>
      <w:r>
        <w:t>La actual sección presupuestaria 5000 debe mantenerse hasta que finalice este ejercicio presupuestario, sin perjuicio de la adscripción de sus créditos e ingresos a los órganos competentes del departamento competente en materia de servicios sociales.</w:t>
      </w:r>
    </w:p>
    <w:p w:rsidR="00B85568" w:rsidRDefault="00B85568" w:rsidP="00B85568">
      <w:pPr>
        <w:pStyle w:val="TextoNormal"/>
      </w:pPr>
    </w:p>
    <w:p w:rsidR="00B85568" w:rsidRDefault="00B85568" w:rsidP="00B85568">
      <w:pPr>
        <w:pStyle w:val="TextoNormal"/>
      </w:pPr>
      <w:r>
        <w:t>Los ingresos en concepto de prestación de servicios de asistencia social quedan afectados a la financiación de estos servicios.</w:t>
      </w:r>
    </w:p>
    <w:p w:rsidR="00B85568" w:rsidRDefault="00B85568" w:rsidP="00B85568">
      <w:pPr>
        <w:pStyle w:val="TextoNormal"/>
      </w:pPr>
    </w:p>
    <w:p w:rsidR="00B85568" w:rsidRDefault="00B85568" w:rsidP="00B85568">
      <w:pPr>
        <w:pStyle w:val="TextoNormal"/>
      </w:pPr>
      <w:r>
        <w:t>Se mantiene la Tesorería del Instituto Catalán de Asistencia y Servicios Sociales hasta su liquidación, en relación con los pagos de dichos créditos y con los ingresos correspondientes a dicha sección.”</w:t>
      </w:r>
    </w:p>
    <w:p w:rsidR="00B85568" w:rsidRDefault="00B85568" w:rsidP="00B85568">
      <w:pPr>
        <w:pStyle w:val="TextoNormal"/>
      </w:pPr>
    </w:p>
    <w:p w:rsidR="00B85568" w:rsidRDefault="00B85568" w:rsidP="00B85568">
      <w:pPr>
        <w:pStyle w:val="TextoNormal"/>
      </w:pPr>
      <w:r>
        <w:t>Durante la tramitación del presente incidente cautelar, ha entrado en vigor la Ley 3/2015, de 11 de marzo, de medidas fiscales, financieras y administrativas del Parlamento de Cataluña. Su art. 102 da la redacción siguiente al apartado 2 de la disposición transitoria quinta de la Ley 2/2014:</w:t>
      </w:r>
    </w:p>
    <w:p w:rsidR="00B85568" w:rsidRDefault="00B85568" w:rsidP="00B85568">
      <w:pPr>
        <w:pStyle w:val="TextoNormal"/>
      </w:pPr>
    </w:p>
    <w:p w:rsidR="00B85568" w:rsidRDefault="00B85568" w:rsidP="00B85568">
      <w:pPr>
        <w:pStyle w:val="TextoNormal"/>
      </w:pPr>
      <w:r>
        <w:t>“Los bienes integrantes del patrimonio del Instituto Catalán de Asistencia y Servicios Sociales se incorporan al patrimonio de la Generalidad y se adscriben al departamento competente en materia de servicios sociales. Esta adscripción no afecta a los bienes de propiedad de la Tesorería General de la Seguridad Social, que conserva, en cualquier caso, la plena titularidad de los bienes mencionados.”</w:t>
      </w:r>
    </w:p>
    <w:p w:rsidR="00B85568" w:rsidRDefault="00B85568" w:rsidP="00B85568">
      <w:pPr>
        <w:pStyle w:val="TextoNormal"/>
      </w:pPr>
    </w:p>
    <w:p w:rsidR="00B85568" w:rsidRDefault="00B85568" w:rsidP="00B85568">
      <w:pPr>
        <w:pStyle w:val="TextoNormal"/>
      </w:pPr>
      <w:r>
        <w:t>Al desparecer la redacción originaria del apartado 2 de la disposición transitoria quinta de la Ley 2/2014 ha desparecido lógicamente también en este punto el objeto de la solicitud de levantamiento de la suspensión formulada por la Abogada de la Generalitat de Cataluña y los Letrados del Parlamento de Cataluña, según lo razonado en el fundamento jurídico anterior y sin que tampoco en este caso “ello signifique pronunciamiento alguno sobre el fondo del asunto planteado en el presente proceso constitucional” (AATC 354/1989, de 20 de junio, FJ único; 224/2009, de 27 de julio, FJ 1; 57/2010, de 19 de mayo, FJ único, y 244/2013, de 22 de octubre, FJ único).</w:t>
      </w:r>
    </w:p>
    <w:p w:rsidR="00B85568" w:rsidRDefault="00B85568" w:rsidP="00B85568">
      <w:pPr>
        <w:pStyle w:val="TextoNormal"/>
      </w:pPr>
    </w:p>
    <w:p w:rsidR="00B85568" w:rsidRDefault="00B85568" w:rsidP="00B85568">
      <w:pPr>
        <w:pStyle w:val="TextoNormal"/>
      </w:pPr>
      <w:r>
        <w:t>Por otra parte, los apartados 1 y 3 de la disposición transitoria quinta no han sido modificados. Sin embargo, nada alega sobre ellos el Abogado del Estado; ha razonado sólo la inconstitucionalidad del apartado 2, solicitando únicamente respecto de éste el mantenimiento de la suspensión.</w:t>
      </w:r>
    </w:p>
    <w:p w:rsidR="00B85568" w:rsidRDefault="00B85568" w:rsidP="00B85568">
      <w:pPr>
        <w:pStyle w:val="TextoNormal"/>
      </w:pPr>
    </w:p>
    <w:p w:rsidR="00B85568" w:rsidRDefault="00B85568" w:rsidP="00B85568">
      <w:pPr>
        <w:pStyle w:val="TextoNormal"/>
      </w:pPr>
      <w:r>
        <w:t>En consecuencia, cumple declarar la desaparición sobrevenida del objeto del presente incidente cautelar respecto del apartado 2 de la disposición transitoria quinta de la Ley 2/2014, de 27 de enero, así como ordenar el levantamiento de la suspensión de los apartados 1 y 3 de la indicada disposición.</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la desaparición sobrevenida del objeto del incidente sobre el mantenimiento o levantamiento de la suspensión respecto de las disposiciones transitorias quinta, apartado 2, y octava de la Ley 2/2014, de 27 de enero, de medidas fiscales, administrativas, financieras y del sector público de Cataluña.</w:t>
      </w:r>
    </w:p>
    <w:p w:rsidR="00B85568" w:rsidRDefault="00B85568" w:rsidP="00B85568">
      <w:pPr>
        <w:pStyle w:val="TextoNormal"/>
      </w:pPr>
    </w:p>
    <w:p w:rsidR="00B85568" w:rsidRDefault="00B85568" w:rsidP="00B85568">
      <w:pPr>
        <w:pStyle w:val="TextoNormal"/>
      </w:pPr>
      <w:r>
        <w:t>Levantar la suspensión del art. 167.1 y de la disposición transitoria quinta, apartados 1 y 3, de la Ley 2/2014, de 27 de enero, de medidas fiscales, administrativas, financieras y del sector público de Cataluña.</w:t>
      </w:r>
    </w:p>
    <w:p w:rsidR="00B85568" w:rsidRDefault="00B85568" w:rsidP="00B85568">
      <w:pPr>
        <w:pStyle w:val="TextoNormal"/>
      </w:pPr>
    </w:p>
    <w:p w:rsidR="00B85568" w:rsidRDefault="00B85568" w:rsidP="00B85568">
      <w:pPr>
        <w:pStyle w:val="TextoNormal"/>
      </w:pPr>
      <w:r>
        <w:t>Madrid, a diecisiete de marzo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4" w:name="AUTO_2015_64"/>
      <w:r>
        <w:t>AUTO 64/2015, de 7 de abril de 2015</w:t>
      </w:r>
    </w:p>
    <w:bookmarkEnd w:id="214"/>
    <w:p w:rsidR="00B85568" w:rsidRDefault="00B85568" w:rsidP="00B85568">
      <w:pPr>
        <w:pStyle w:val="TtuloResolucin"/>
      </w:pPr>
      <w:r>
        <w:t>Sala Segunda</w:t>
      </w:r>
    </w:p>
    <w:p w:rsidR="00B85568" w:rsidRDefault="00B85568" w:rsidP="00B85568">
      <w:pPr>
        <w:pStyle w:val="TextoNormalCentrado"/>
      </w:pPr>
      <w:r>
        <w:t>ECLI:ES:TC:2015:64A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y don Pedro José González-Trevijano Sánchez.</w:t>
      </w:r>
    </w:p>
    <w:p w:rsidR="00B85568" w:rsidRDefault="00B85568" w:rsidP="00B85568">
      <w:pPr>
        <w:pStyle w:val="SntesisDescriptiva"/>
      </w:pPr>
    </w:p>
    <w:p w:rsidR="00B85568" w:rsidRDefault="00B85568" w:rsidP="00B85568">
      <w:pPr>
        <w:pStyle w:val="SntesisDescriptiva"/>
      </w:pPr>
      <w:r>
        <w:t>Acepta una abstención en el recurso de amparo 2282-2014, contencioso promovido por don Juan Ignacio Medrano Sánchez y otras personas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presente recurso de amparo se impugna Sentencia de 19 de julio de 2013 y Auto de 27 de diciembre de 2013 dictados por el Pleno de la Sala Tercera de lo Contencioso-Administrativo del Tribunal Supremo en el recurso núm. 349-2011 interpuesto contra el acuerdo del Pleno del Consejo General del Poder Judicial de 28 de abril de 2011, por el que se aprueba el Reglamento 2/2011 de la carrera judicial.</w:t>
      </w:r>
    </w:p>
    <w:p w:rsidR="00B85568" w:rsidRDefault="00B85568" w:rsidP="00B85568">
      <w:pPr>
        <w:pStyle w:val="TextoNormal"/>
      </w:pPr>
    </w:p>
    <w:p w:rsidR="00B85568" w:rsidRDefault="00B85568" w:rsidP="00B85568">
      <w:pPr>
        <w:pStyle w:val="TextoNormal"/>
      </w:pPr>
      <w:r>
        <w:t>Mediante escrito fechado el 30 de marzo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349-2011 del que trae causa el presente recurso de amparo núm. 2282-2014.</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Antonio Narváez Rodríguez Magistrado de esta Sección Cuarta del Tribunal Constitucional, la Sala,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349-2011 seguido en la Sala Tercera de lo Contencioso-Administrativo del Tribunal Supremo que dictó la Sentencia de 19 de julio de 2013 y el Auto de 27 de diciembre de 2013, resoluciones que han sido impugnadas en el presente recurso de amparo núm. 2282-2014.</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Antonio Narváez Rodríguez en el recurso de amparo núm. 2282-2014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siete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5" w:name="AUTO_2015_65"/>
      <w:r>
        <w:t>AUTO 65/2015, de 13 de abril de 2015</w:t>
      </w:r>
    </w:p>
    <w:bookmarkEnd w:id="215"/>
    <w:p w:rsidR="00B85568" w:rsidRDefault="00B85568" w:rsidP="00B85568">
      <w:pPr>
        <w:pStyle w:val="TtuloResolucin"/>
      </w:pPr>
      <w:r>
        <w:t>Sala Segunda</w:t>
      </w:r>
    </w:p>
    <w:p w:rsidR="00B85568" w:rsidRDefault="00B85568" w:rsidP="00B85568">
      <w:pPr>
        <w:pStyle w:val="TextoNormalCentrado"/>
      </w:pPr>
      <w:r>
        <w:t>ECLI:ES:TC:2015:65A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el incidente de ejecución de la STC 199/2014, de 15 de diciembre, dictada en el recurso de amparo 11-2013, promovido por don Antonio Cuerda Riezu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el día 13 de febrero de 2015, el Letrado don Antonio Cuerda Riezu, actuando en su propia defensa, formuló incidente de ejecución de la STC 199/2014, de 15 de diciembre.</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de los que trae causa el escrito promoviendo el incidente de ejecución son, en síntesis, los siguientes:</w:t>
      </w:r>
    </w:p>
    <w:p w:rsidR="00B85568" w:rsidRDefault="00B85568" w:rsidP="00B85568">
      <w:pPr>
        <w:pStyle w:val="TextoNormal"/>
      </w:pPr>
    </w:p>
    <w:p w:rsidR="00B85568" w:rsidRDefault="00B85568" w:rsidP="00B85568">
      <w:pPr>
        <w:pStyle w:val="TextoNormal"/>
      </w:pPr>
      <w:r>
        <w:t>a) Por esta Sala Segunda se dictó la STC 199/2014, de 15 de diciembre, en la que, estimando el recurso, acordó otorgar el amparo solicitado, reconociendo el derecho del recurrente a la legalidad en materia sancionadora (art. 25.1 CE) y, en su virtud, restablecer su derecho y a tal fin, anular las resoluciones del Director General de movilidad del Ayuntamiento de Madrid de fecha 24 de marzo de 2010 y 27 de abril de 2011, así como la Sentencia de 17 de septiembre de 2012 y Auto de 16 de noviembre de 2012 del Juzgado de lo Contencioso-Administrativo 24 de Madrid, que las confirman.</w:t>
      </w:r>
    </w:p>
    <w:p w:rsidR="00B85568" w:rsidRDefault="00B85568" w:rsidP="00B85568">
      <w:pPr>
        <w:pStyle w:val="TextoNormal"/>
      </w:pPr>
    </w:p>
    <w:p w:rsidR="00B85568" w:rsidRDefault="00B85568" w:rsidP="00B85568">
      <w:pPr>
        <w:pStyle w:val="TextoNormal"/>
      </w:pPr>
      <w:r>
        <w:t>b) El día 23 de enero de 2015, el demandante solicitó al Juzgado de lo Contencioso-Administrativo núm. 24 de Madrid que se notificara la Sentencia del Tribunal Constitucional al Ayuntamiento de Madrid, para que le repusieran los cuatro puntos del carnet de conducir retirados en su día, le devolvieran la cantidad de 221,80 € con los intereses legales, y por el Juzgado se procediera a la devolución de los dos depósitos constituidos por valor de 25 € con motivo de interponer sendos recursos de reposición.</w:t>
      </w:r>
    </w:p>
    <w:p w:rsidR="00B85568" w:rsidRDefault="00B85568" w:rsidP="00B85568">
      <w:pPr>
        <w:pStyle w:val="TextoNormal"/>
      </w:pPr>
    </w:p>
    <w:p w:rsidR="00B85568" w:rsidRDefault="00B85568" w:rsidP="00B85568">
      <w:pPr>
        <w:pStyle w:val="TextoNormal"/>
      </w:pPr>
      <w:r>
        <w:t>c) Por diligencia de ordenación de fecha 29 de enero de 2015, dictada por la Sra. Secretaria Judicial del Juzgado de lo Contencioso-Administrativo núm. 24 de Madrid, se acordó requerir al Ayuntamiento para la reposición de los puntos y la devolución de la cantidad objeto de sanción, y no dar lugar a la devolución de los depósitos.</w:t>
      </w:r>
    </w:p>
    <w:p w:rsidR="00B85568" w:rsidRDefault="00B85568" w:rsidP="00B85568">
      <w:pPr>
        <w:pStyle w:val="TextoNormal"/>
      </w:pPr>
    </w:p>
    <w:p w:rsidR="00B85568" w:rsidRDefault="00B85568" w:rsidP="00B85568">
      <w:pPr>
        <w:pStyle w:val="TextoNormal"/>
      </w:pPr>
      <w:r w:rsidRPr="00B85568">
        <w:rPr>
          <w:rStyle w:val="NumeroAFNegritaCaracter"/>
        </w:rPr>
        <w:t>3</w:t>
      </w:r>
      <w:r>
        <w:t>. En el escrito promoviendo el incidente de ejecución, el demandante alega en síntesis que la referida diligencia de ordenación del Juzgado de lo Contencioso-Administrativo núm. 24 de Madrid se opone a lo resuelto en la Sentencia, por lo que solicita que se declare la nulidad de las resoluciones que indica, se ordene la devolución de la cantidad de 50 € constituida como depósito para recurrir, y se ordene al Ayuntamiento de Madrid que le reponga los cuatro puntos y le devuelva la cantidad de 221,80 €, más los intereses legales, de conformidad con el art 92.2 de la Ley Orgánica del Tribunal Constitucional.</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16 de febrero de 2015, la Sala Segunda de este Tribunal acordó tener por promovido incidente de ejecución de la Sentencia dictada en este recurso de amparo y dar audiencia al Ministerio Fiscal y al Sr. Letrado del Ayuntamiento de Madrid por plazo de diez días.</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ante el Tribunal Constitucional presentó sus alegaciones mediante escrito registrado el día 13 de marzo de 2015, en el que considera que el incidente debe ser inadmitido por prematuro, pues ha sido planteado sin agotar los recursos e instrumentos disponibles en la vía judicial previa. Subsidiariamente, alega que si se entrase en el fondo y se adoptase la decisión que proceda conforme al sentido del fallo, no existe un esfuerzo argumentativo para justificar la cuantía y procedencia de los intereses legales y que sólo una interpretación favorable a la extensión del fallo constitucional a tal extremo colateral del depósito, podría determinar el acogimiento de la pretensión del recurrente.</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presente incidente de ejecución se dirige contra la diligencia de ordenación de la Secretaria Judicial del Juzgado de lo Contencioso-Administrativo núm. 24 de Madrid de fecha 29 de enero de 2015.</w:t>
      </w:r>
    </w:p>
    <w:p w:rsidR="00B85568" w:rsidRDefault="00B85568" w:rsidP="00B85568">
      <w:pPr>
        <w:pStyle w:val="TextoNormal"/>
      </w:pPr>
    </w:p>
    <w:p w:rsidR="00B85568" w:rsidRDefault="00B85568" w:rsidP="00B85568">
      <w:pPr>
        <w:pStyle w:val="TextoNormal"/>
      </w:pPr>
      <w:r>
        <w:t>Frente a la pretensión de ejecución del actor, el Fiscal opone la inadmisibilidad del incidente por prematuro, puesto que el recurrente no ha agotado los recursos y remedios disponibles en vía judicial ordinaria, impugnando directamente ante este Tribunal la resolución de la Secretaria Judicial.</w:t>
      </w:r>
    </w:p>
    <w:p w:rsidR="00B85568" w:rsidRDefault="00B85568" w:rsidP="00B85568">
      <w:pPr>
        <w:pStyle w:val="TextoNormal"/>
      </w:pPr>
    </w:p>
    <w:p w:rsidR="00B85568" w:rsidRDefault="00B85568" w:rsidP="00B85568">
      <w:pPr>
        <w:pStyle w:val="TextoNormal"/>
      </w:pPr>
      <w:r w:rsidRPr="00B85568">
        <w:rPr>
          <w:rStyle w:val="NumeroAFNegritaCaracter"/>
        </w:rPr>
        <w:t>2</w:t>
      </w:r>
      <w:r>
        <w:t>. El art. 92 de la Ley Orgánica del Tribunal Constitucional (LOTC) establece que este Tribunal podrá resolver las incidencias que se planteen respecto de la ejecución de sus resoluciones y que podrá también declarar la nulidad de cualesquiera resoluciones que contravengan las dictadas en el ejercicio de su jurisdicción, con ocasión de la ejecución de estas.</w:t>
      </w:r>
    </w:p>
    <w:p w:rsidR="00B85568" w:rsidRDefault="00B85568" w:rsidP="00B85568">
      <w:pPr>
        <w:pStyle w:val="TextoNormal"/>
      </w:pPr>
    </w:p>
    <w:p w:rsidR="00B85568" w:rsidRDefault="00B85568" w:rsidP="00B85568">
      <w:pPr>
        <w:pStyle w:val="TextoNormal"/>
      </w:pPr>
      <w:r>
        <w:t>En el presente caso, como indica el Fiscal, el recurrente ha acudido a la vía incidental del art. 92 LOTC sin agotar los recursos e instrumentos disponibles en la vía judicial previa para lograr la ejecución, puesto que impugna la diligencia de ordenación de fecha 29 de enero de 2015, dictada por la Sra. Secretaria Judicial del Juzgado de lo Contencioso-Administrativo núm. 24 de Madrid, frente a la cual cabe, cuanto menos, recurso de reposición, y ello al margen de la existencia de remedios procesales para garantizar la necesaria intervención del Juez, como titular exclusivo de la potestad jurisdiccional de ejecución.</w:t>
      </w:r>
    </w:p>
    <w:p w:rsidR="00B85568" w:rsidRDefault="00B85568" w:rsidP="00B85568">
      <w:pPr>
        <w:pStyle w:val="TextoNormal"/>
      </w:pPr>
    </w:p>
    <w:p w:rsidR="00B85568" w:rsidRDefault="00B85568" w:rsidP="00B85568">
      <w:pPr>
        <w:pStyle w:val="TextoNormal"/>
      </w:pPr>
      <w:r w:rsidRPr="00B85568">
        <w:rPr>
          <w:rStyle w:val="NumeroAFNegritaCaracter"/>
        </w:rPr>
        <w:t>3</w:t>
      </w:r>
      <w:r>
        <w:t>. Los razonamientos precedentes determinan que el presente incidente deba inadmitirse, ya que no se cumplen las exigencias de subsidiariedad de la jurisdicción de amparo, las cuales hemos calificado como esenciales (por todas, STC 185/1990, de 15 de noviembre, FJ 4), y que se concretan en la exigencia del agotamiento de los recursos o acciones judiciales previos establecidos en el ordenamiento jurídico, tanto en el caso de interposición de demanda, como en el de impugnación de la actividad de ejecución a través del incidente del art. 92 LOTC.</w:t>
      </w:r>
    </w:p>
    <w:p w:rsidR="00B85568" w:rsidRDefault="00B85568" w:rsidP="00B85568">
      <w:pPr>
        <w:pStyle w:val="TextoNormal"/>
      </w:pPr>
    </w:p>
    <w:p w:rsidR="00B85568" w:rsidRDefault="00B85568" w:rsidP="00B85568">
      <w:pPr>
        <w:pStyle w:val="TextoNormal"/>
      </w:pPr>
      <w:r>
        <w:t>En consecuencia, debe inadmitirse el incidente de ejecución promovido por don Antonio Cuerda Riezu por no haberse agotado la vía judicial previa.</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el incidente de ejecución de la STC 199/2014, de 15 de diciembre, dictada en el recurso de amparo núm. 11-2013.</w:t>
      </w:r>
    </w:p>
    <w:p w:rsidR="00B85568" w:rsidRDefault="00B85568" w:rsidP="00B85568">
      <w:pPr>
        <w:pStyle w:val="TextoNormal"/>
      </w:pPr>
    </w:p>
    <w:p w:rsidR="00B85568" w:rsidRDefault="00B85568" w:rsidP="00B85568">
      <w:pPr>
        <w:pStyle w:val="TextoNormal"/>
      </w:pPr>
      <w:r>
        <w:t>Madrid, a trece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6" w:name="AUTO_2015_66"/>
      <w:r>
        <w:t>AUTO 66/2015, de 14 de abril de 2015</w:t>
      </w:r>
    </w:p>
    <w:bookmarkEnd w:id="216"/>
    <w:p w:rsidR="00B85568" w:rsidRDefault="00B85568" w:rsidP="00B85568">
      <w:pPr>
        <w:pStyle w:val="TtuloResolucin"/>
      </w:pPr>
      <w:r>
        <w:t>Pleno</w:t>
      </w:r>
    </w:p>
    <w:p w:rsidR="00B85568" w:rsidRDefault="00B85568" w:rsidP="00B85568">
      <w:pPr>
        <w:pStyle w:val="TextoNormalCentrado"/>
      </w:pPr>
      <w:r>
        <w:t>ECLI:ES:TC:2015:66A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5121-2014, planteada por el Juzgado de Primera Instancia núm. 8 de A Coruña en relación con diversos preceptos de la Ley 10/2012, de 20 de noviembre, que regula determinadas tasas en el ámbito de la Administración de Justicia y del Instituto Nacional de Toxicología y Ciencias Forenses.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1 de agosto de 2014 tuvo entrada en el Registro General de este Tribunal un escrito del Juzgado de Primera Instancia núm. 8 de A Coruña por el que se remitió testimonio del Auto de 15 de julio de 2014, por el que se acuerda plantear cuestión de inconstitucionalidad en relación con los arts. 2 e) y 7.1 y 3 de la Ley 10/2012, de 20 de noviembre. Se remite también testimonio de las actuaciones.</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de los que trae causa la cuestión de inconstitucionalidad planteada son los siguientes:</w:t>
      </w:r>
    </w:p>
    <w:p w:rsidR="00B85568" w:rsidRDefault="00B85568" w:rsidP="00B85568">
      <w:pPr>
        <w:pStyle w:val="TextoNormal"/>
      </w:pPr>
    </w:p>
    <w:p w:rsidR="00B85568" w:rsidRDefault="00B85568" w:rsidP="00B85568">
      <w:pPr>
        <w:pStyle w:val="TextoNormal"/>
      </w:pPr>
      <w:r>
        <w:t>a) Se interpuso demanda de juicio monitorio por la que se reclamaba 4.135’60 € en concepto de honorarios por los servicios prestados por el Letrado demandante como contador-partidor en una ejecución de sentencias.</w:t>
      </w:r>
    </w:p>
    <w:p w:rsidR="00B85568" w:rsidRDefault="00B85568" w:rsidP="00B85568">
      <w:pPr>
        <w:pStyle w:val="TextoNormal"/>
      </w:pPr>
    </w:p>
    <w:p w:rsidR="00B85568" w:rsidRDefault="00B85568" w:rsidP="00B85568">
      <w:pPr>
        <w:pStyle w:val="TextoNormal"/>
      </w:pPr>
      <w:r>
        <w:t>b) El Juzgado de Primera Instancia núm. 8 de A Coruña dictó Sentencia el 28 de marzo de 2014 (Sentencia núm. 60/2014) estimando parcialmente la demanda.</w:t>
      </w:r>
    </w:p>
    <w:p w:rsidR="00B85568" w:rsidRDefault="00B85568" w:rsidP="00B85568">
      <w:pPr>
        <w:pStyle w:val="TextoNormal"/>
      </w:pPr>
    </w:p>
    <w:p w:rsidR="00B85568" w:rsidRDefault="00B85568" w:rsidP="00B85568">
      <w:pPr>
        <w:pStyle w:val="TextoNormal"/>
      </w:pPr>
      <w:r>
        <w:t>c) Contra esta Sentencia se interpuso recurso de apelación el 6 de mayo de 2014.</w:t>
      </w:r>
    </w:p>
    <w:p w:rsidR="00B85568" w:rsidRDefault="00B85568" w:rsidP="00B85568">
      <w:pPr>
        <w:pStyle w:val="TextoNormal"/>
      </w:pPr>
    </w:p>
    <w:p w:rsidR="00B85568" w:rsidRDefault="00B85568" w:rsidP="00B85568">
      <w:pPr>
        <w:pStyle w:val="TextoNormal"/>
      </w:pPr>
      <w:r>
        <w:t>d) Por diligencia de ordenación de 7 de mayo de 2014 se requirió a la Procuradora del recurrente para que en el plazo de diez días procediera a consignar el depósito para recurrir y la tasa 696. Por escrito de 13 de mayo de 2014 la procuradora aportó el depósito para recurrir.</w:t>
      </w:r>
    </w:p>
    <w:p w:rsidR="00B85568" w:rsidRDefault="00B85568" w:rsidP="00B85568">
      <w:pPr>
        <w:pStyle w:val="TextoNormal"/>
      </w:pPr>
    </w:p>
    <w:p w:rsidR="00B85568" w:rsidRDefault="00B85568" w:rsidP="00B85568">
      <w:pPr>
        <w:pStyle w:val="TextoNormal"/>
      </w:pPr>
      <w:r>
        <w:t>e) El Juzgado de Primera Instancia núm. 8 de A Coruña dictó providencia el 2 de junio de 2014, cuyo contenido es el siguiente:</w:t>
      </w:r>
    </w:p>
    <w:p w:rsidR="00B85568" w:rsidRDefault="00B85568" w:rsidP="00B85568">
      <w:pPr>
        <w:pStyle w:val="TextoNormal"/>
      </w:pPr>
    </w:p>
    <w:p w:rsidR="00B85568" w:rsidRDefault="00B85568" w:rsidP="00B85568">
      <w:pPr>
        <w:pStyle w:val="TextoNormal"/>
      </w:pPr>
      <w:r>
        <w:t>“Ante la eventual inadmisión del recurso por no haber abonado la tasa por la interposición del recurso de apelación y tras el plazo otorgado para la subsanación del defecto (arts. 2 e), 7 y 8.2 de la Ley 10/2012, por la que regulan determinadas tasas en el ámbito de la Administración de Justicia), óigase a las partes y al Ministerio Fiscal para que en el plazo común e improrrogable de 10 días puedan alegar lo que deseen sobre la pertinencia de plantear la cuestión de inconstitucionalidad, o sobre el fondo de ésta.”</w:t>
      </w:r>
    </w:p>
    <w:p w:rsidR="00B85568" w:rsidRDefault="00B85568" w:rsidP="00B85568">
      <w:pPr>
        <w:pStyle w:val="TextoNormal"/>
      </w:pPr>
    </w:p>
    <w:p w:rsidR="00B85568" w:rsidRDefault="00B85568" w:rsidP="00B85568">
      <w:pPr>
        <w:pStyle w:val="TextoNormal"/>
      </w:pPr>
      <w:r>
        <w:t>f) Las partes, por escritos presentados el 10 y el 20 de junio de 2014, formularon alegaciones por las que adujeron que consideraban pertinente el planteamiento de la cuestión de inconstitucionalidad.</w:t>
      </w:r>
    </w:p>
    <w:p w:rsidR="00B85568" w:rsidRDefault="00B85568" w:rsidP="00B85568">
      <w:pPr>
        <w:pStyle w:val="TextoNormal"/>
      </w:pPr>
    </w:p>
    <w:p w:rsidR="00B85568" w:rsidRDefault="00B85568" w:rsidP="00B85568">
      <w:pPr>
        <w:pStyle w:val="TextoNormal"/>
      </w:pPr>
      <w:r>
        <w:t>g) El Ministerio Fiscal recurrió en reposición la providencia de 2 junio de 2014 al considerar que, al no haber especificado los preceptos constitucionales que considera infringidos por los preceptos legales respecto de los que se planteaba la posibilidad de plantear cuestión de inconstitucionalidad, se infringía el art. 35.2 de la Ley Orgánica del Tribunal Constitucional (LOTC). Junto a ello adujo, además, que, al haber sido abonada la tasa, el recurso debía ser admitido, por lo que norma de cuya constitucionalidad se duda no tendría incidencia sobre la resolución final.</w:t>
      </w:r>
    </w:p>
    <w:p w:rsidR="00B85568" w:rsidRDefault="00B85568" w:rsidP="00B85568">
      <w:pPr>
        <w:pStyle w:val="TextoNormal"/>
      </w:pPr>
    </w:p>
    <w:p w:rsidR="00B85568" w:rsidRDefault="00B85568" w:rsidP="00B85568">
      <w:pPr>
        <w:pStyle w:val="TextoNormal"/>
      </w:pPr>
      <w:r>
        <w:t>h) Por Auto de 11 de julio de 2014 el Juzgado de Primera Instancia núm. 8 de A Coruña desestimó el recurso de reposición. Según se afirma en esta resolución:</w:t>
      </w:r>
    </w:p>
    <w:p w:rsidR="00B85568" w:rsidRDefault="00B85568" w:rsidP="00B85568">
      <w:pPr>
        <w:pStyle w:val="TextoNormal"/>
      </w:pPr>
    </w:p>
    <w:p w:rsidR="00B85568" w:rsidRDefault="00B85568" w:rsidP="00B85568">
      <w:pPr>
        <w:pStyle w:val="TextoNormal"/>
      </w:pPr>
      <w:r>
        <w:t>“[E]n la providencia se indican los preceptos que pueden infringir [</w:t>
      </w:r>
      <w:r w:rsidRPr="00B85568">
        <w:rPr>
          <w:i/>
        </w:rPr>
        <w:t>sic</w:t>
      </w:r>
      <w:r>
        <w:t>] y además que ello puede provocar la inadmisión del recurso planteado, esto es, se citan los preceptos que pueden conculcar la tutela judicial efectiva (presentación de un recurso de apelación) y de qué modo inciden en el procedimiento (la posibilidad de inadmisión). Lo que no va a llevar a cabo este proveyente es una exposición exhaustiva de los motivos que le inducen a pensar en una vulneración constitucional, pues es ello además de ser propio del planteamiento de la cuestión a medio de auto es una decisión que, por pura lógica, no está tomada, y a tal fin se lleva a cabo el trámite de alegaciones previo, y examinadas las mismas pueden difuminarse o corroborarse las dudas de constitucionalidad.”</w:t>
      </w:r>
    </w:p>
    <w:p w:rsidR="00B85568" w:rsidRDefault="00B85568" w:rsidP="00B85568">
      <w:pPr>
        <w:pStyle w:val="TextoNormal"/>
      </w:pPr>
    </w:p>
    <w:p w:rsidR="00B85568" w:rsidRDefault="00B85568" w:rsidP="00B85568">
      <w:pPr>
        <w:pStyle w:val="TextoNormal"/>
      </w:pPr>
      <w:r>
        <w:t>También se rechazó la queja por la que se aducía que la tasa había sido pagada, ya que lo que el recurrente había abonado era el depósito para recurrir, no la tasa.</w:t>
      </w:r>
    </w:p>
    <w:p w:rsidR="00B85568" w:rsidRDefault="00B85568" w:rsidP="00B85568">
      <w:pPr>
        <w:pStyle w:val="TextoNormal"/>
      </w:pPr>
    </w:p>
    <w:p w:rsidR="00B85568" w:rsidRDefault="00B85568" w:rsidP="00B85568">
      <w:pPr>
        <w:pStyle w:val="TextoNormal"/>
      </w:pPr>
      <w:r>
        <w:t>i) El Juzgado de Primera Instancia núm. 8 de A Coruña dictó Auto el 15 de julio de 2014 planteando cuestión de inconstitucionalidad en relación con los arts. 2 e) y 7.1 y 3 de la Ley 10/2012, de 20 de noviembre, por la que se regulan determinadas tasas en el ámbito de la Administración de justicia y del Instituto Nacional de Toxicología y Ciencias Forenses.</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planteamiento parte de constatar que la consecuencia de no aportar el justificante del abono de la tasa si ha habido un previo requerimiento para su subsanación es la inadmisión del recurso. El órgano judicial considera que tal consecuencia puede ser contraria al art. 24.1 CE.</w:t>
      </w:r>
    </w:p>
    <w:p w:rsidR="00B85568" w:rsidRDefault="00B85568" w:rsidP="00B85568">
      <w:pPr>
        <w:pStyle w:val="TextoNormal"/>
      </w:pPr>
    </w:p>
    <w:p w:rsidR="00B85568" w:rsidRDefault="00B85568" w:rsidP="00B85568">
      <w:pPr>
        <w:pStyle w:val="TextoNormal"/>
      </w:pPr>
      <w:r>
        <w:t>Tras comprobar que la norma sobre cuya constitucionalidad se duda tiene rango de ley y, en consecuencia, cumple uno de los requisitos que exige el art. 35.1 LOTC para que proceda plantear cuestión de inconstitucionalidad ante este Tribunal, se entra a analizar si existe una contradicción entre lo establecido en los preceptos que dan lugar al planteamiento de la cuestión y la Constitución. Para ello, el órgano judicial expone, por una parte, la doctrina constitucional sobre el derecho a los recursos como una manifestación del derecho a la tutela judicial efectiva. En este Auto se cita la doctrina constitucional que establece que salvo en materia penal, el derecho al recurso es un derecho de configuración legal y se incorpora al derecho fundamental que consagra en el art. 24.1 CE en la concreta configuración que reciba de las leyes procesales. También se afirma que estas leyes no pueden establecer requisitos arbitrarios o irrazonables para acceder a estos recursos, pues si así lo hicieran vulnerarían esta vertiente del derecho a la tutela judicial efectiva.</w:t>
      </w:r>
    </w:p>
    <w:p w:rsidR="00B85568" w:rsidRDefault="00B85568" w:rsidP="00B85568">
      <w:pPr>
        <w:pStyle w:val="TextoNormal"/>
      </w:pPr>
    </w:p>
    <w:p w:rsidR="00B85568" w:rsidRDefault="00B85568" w:rsidP="00B85568">
      <w:pPr>
        <w:pStyle w:val="TextoNormal"/>
      </w:pPr>
      <w:r>
        <w:t>Por otra parte, el Auto de planteamiento considera que, en principio, es acorde con el derecho a la tutela judicial la imposición de tasas por el ejercicio de la potestad jurisdiccional. No obstante, se entiende también que, de acuerdo con la jurisprudencia constitucional (STC 20/2012, FJ 10), la cuantía de tales tasas no puede ser tan elevada que impida en la práctica el ejercicio del derecho fundamental o lo obstaculicen en un caso concreto en términos irrazonables.</w:t>
      </w:r>
    </w:p>
    <w:p w:rsidR="00B85568" w:rsidRDefault="00B85568" w:rsidP="00B85568">
      <w:pPr>
        <w:pStyle w:val="TextoNormal"/>
      </w:pPr>
    </w:p>
    <w:p w:rsidR="00B85568" w:rsidRDefault="00B85568" w:rsidP="00B85568">
      <w:pPr>
        <w:pStyle w:val="TextoNormal"/>
      </w:pPr>
      <w:r>
        <w:t>Estas consideraciones llevan al órgano judicial a apreciar que los arts. 2 e) y 7.1 y 3 de la Ley 10/2012 pueden infringir el art. 24.1 CE. A su juicio, la tasa que prevén los preceptos cuestionados puede vulnerar el derecho a la tutela judicial efectiva, pues entiende que su exigencia causa al ciudadano un perjuicio patrimonial no resarcible al no poderse reintegrar su importe por ninguna vía, ni siquiera aunque el recurso sea estimado. Esta circunstancia conlleva, a su vez, según se sostiene en el Auto de planteamiento, un trato desigual e irrazonable respecto del otorgado en primera instancia, pues en vía de recurso, al no ser posible la condena en costas a la parte recurrida, no existe la posibilidad de que el recurrente pueda recuperar el pago de la tasa mediante esta condena. Se considera, además, que, a diferencia de lo que ocurre en primera instancia, el recurso se interpone porque se considera “inadecuada” la respuesta obtenida, por lo que se estaría pagando una tasa por el erróneo ejercicio de la potestad jurisdiccional.</w:t>
      </w:r>
    </w:p>
    <w:p w:rsidR="00B85568" w:rsidRDefault="00B85568" w:rsidP="00B85568">
      <w:pPr>
        <w:pStyle w:val="TextoNormal"/>
      </w:pPr>
    </w:p>
    <w:p w:rsidR="00B85568" w:rsidRDefault="00B85568" w:rsidP="00B85568">
      <w:pPr>
        <w:pStyle w:val="TextoNormal"/>
      </w:pPr>
      <w:r>
        <w:t>El órgano judicial fundamenta también el planteamiento de la cuestión de inconstitucionalidad en que en este caso concreto el pago de la tasa supone para el recurrente “una traba que carece de razonabilidad” [si se estimare su recurso obtendría un beneficio de 1784,43 € y para recurrir tiene que pagar una tasa de 804,13€ (un 45 por 100 de la cuantía del recurso] y por ello considera que puede vulnerar el art. 24.1 CE.</w:t>
      </w:r>
    </w:p>
    <w:p w:rsidR="00B85568" w:rsidRDefault="00B85568" w:rsidP="00B85568">
      <w:pPr>
        <w:pStyle w:val="TextoNormal"/>
      </w:pPr>
    </w:p>
    <w:p w:rsidR="00B85568" w:rsidRDefault="00B85568" w:rsidP="00B85568">
      <w:pPr>
        <w:pStyle w:val="TextoNormal"/>
      </w:pPr>
      <w:r>
        <w:t>Con carácter subsidiario se alega que, en el caso de que se considerarse que el establecimiento de la tasa es constitucional, podría no serlo el disponer que su impago determina la inadmisión del recurso en el caso en el que los obligados al pago de la misma sean personas físicas, como ocurre en este supuesto. Se cita la STC 20/2012, FFJJ 9, 10 y 11 en la que se alude a las entidades mercantiles con elevado volumen de facturación.</w:t>
      </w:r>
    </w:p>
    <w:p w:rsidR="00B85568" w:rsidRDefault="00B85568" w:rsidP="00B85568">
      <w:pPr>
        <w:pStyle w:val="TextoNormal"/>
      </w:pPr>
    </w:p>
    <w:p w:rsidR="00B85568" w:rsidRDefault="00B85568" w:rsidP="00B85568">
      <w:pPr>
        <w:pStyle w:val="TextoNormal"/>
      </w:pPr>
      <w:r>
        <w:t>El Auto de planteamiento concluye poniendo de relieve que las normas de cuya inconstitucionalidad se duda son relevantes y determinantes del fallo. El órgano judicial considera que este Tribunal ha efectuado una interpretación flexible del concepto de fallo que permite entender que tiene esta consideración todo pronunciamiento decisivo o imperativo de una resolución judicial aunque no adopte la forma de sentencia, que es lo que sucede en el presente caso en el que la aplicación de la norma cuestionada determinaría la inadmisión del recurso de apelación al no haber justificado el recurrente el pago de la tasa a pesar de haber sido requerido para ello.</w:t>
      </w:r>
    </w:p>
    <w:p w:rsidR="00B85568" w:rsidRDefault="00B85568" w:rsidP="00B85568">
      <w:pPr>
        <w:pStyle w:val="TextoNormal"/>
      </w:pPr>
    </w:p>
    <w:p w:rsidR="00B85568" w:rsidRDefault="00B85568" w:rsidP="00B85568">
      <w:pPr>
        <w:pStyle w:val="TextoNormal"/>
      </w:pPr>
      <w:r>
        <w:t>En virtud de estas consideraciones se acuerda plantear cuestión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la Sección Primera de este Tribunal de 16 de diciembre septiembre de 2014, se acordó oír al Fiscal General del Estado acerca de la admisibilidad de la presente cuestión de inconstitucionalidad, por si fuese notoriamente infundada (art. 37.1 de la Ley Orgánica del Tribunal Constitucional).</w:t>
      </w:r>
    </w:p>
    <w:p w:rsidR="00B85568" w:rsidRDefault="00B85568" w:rsidP="00B85568">
      <w:pPr>
        <w:pStyle w:val="TextoNormal"/>
      </w:pPr>
    </w:p>
    <w:p w:rsidR="00B85568" w:rsidRDefault="00B85568" w:rsidP="00B85568">
      <w:pPr>
        <w:pStyle w:val="TextoNormal"/>
      </w:pPr>
      <w:r w:rsidRPr="00B85568">
        <w:rPr>
          <w:rStyle w:val="NumeroAFNegritaCaracter"/>
        </w:rPr>
        <w:t>5</w:t>
      </w:r>
      <w:r>
        <w:t>. El 22 de enero de 2015, el Fiscal General del Estado presentó en el Registro General de este Tribunal su escrito de alegaciones por el que se interesa la inadmisión de la cuestión por no haberse cumplido correctamente el trámite de audiencia a las partes y al Ministerio Fiscal. Entiende el Fiscal General del Estado que, de acuerdo con la doctrina de este Tribunal, el trámite de audiencia a las partes tiene una singular importancia que no puede minimizarse reduciéndolo a una simple formalidad, pues a través del mismo el órgano judicial puede conocer la opinión de las partes y del Fiscal sobre la pertinencia de plantear cuestión de inconstitucionalidad y tomar en consideración los argumentos alegados para decidir si plantea o no la cuestión de inconstitucionalidad.</w:t>
      </w:r>
    </w:p>
    <w:p w:rsidR="00B85568" w:rsidRDefault="00B85568" w:rsidP="00B85568">
      <w:pPr>
        <w:pStyle w:val="TextoNormal"/>
      </w:pPr>
    </w:p>
    <w:p w:rsidR="00B85568" w:rsidRDefault="00B85568" w:rsidP="00B85568">
      <w:pPr>
        <w:pStyle w:val="TextoNormal"/>
      </w:pPr>
      <w:r>
        <w:t>También pone de manifiesto que, de acuerdo con la jurisprudencia constitucional, para que este trámite pueda cumplir la función que le corresponde es inexcusable que el Juez, al otorgar este trámite de audiencia, identifique con absoluta precisión no solo el precepto o preceptos legales sobre cuya constitucionalidad alberga dudas, sino también el precepto o preceptos de la Constitución que se consideran violados, pues si se omiten estos extremos se habrá incurrido en un defecto procesal que conllevará la inadmisión de la cuestión planteada (cita, entre otros los AATC 35/2013, FJ 4; 221/2013, FJ 3, y 221/2014, FJ 2, y las SSTC 140/2008, FJ 2; 146/2012, FJ 2, y 222/2012, FJ 3).</w:t>
      </w:r>
    </w:p>
    <w:p w:rsidR="00B85568" w:rsidRDefault="00B85568" w:rsidP="00B85568">
      <w:pPr>
        <w:pStyle w:val="TextoNormal"/>
      </w:pPr>
    </w:p>
    <w:p w:rsidR="00B85568" w:rsidRDefault="00B85568" w:rsidP="00B85568">
      <w:pPr>
        <w:pStyle w:val="TextoNormal"/>
      </w:pPr>
      <w:r>
        <w:t>Según el Fiscal General del Estado, la aplicación de la doctrina expuesta al presente caso permite concluir que el órgano judicial no dio cumplimiento satisfactorio al requisito relativo a la identificación precisa de los preceptos legales cuestionados y la de los preceptos constitucionales que se estiman vulnerados. A su juicio, la providencia que otorgó trámite de audiencia a las partes, aunque cita los preceptos legales que se consideran vulnerados, no precisa, sin embargo, si la redacción que se cuestiona es la formulada por la propia Ley 10/2012, de 20 de noviembre, o, por el contrario, la nueva redacción dada por el Real Decreto-ley 3/2013, de 22 de febrero. También pone de manifiesto que el órgano judicial no identifica los concretos apartados del artículo 7 cuestionados, ni siquiera los aspectos concretos del precepto legal de cuya constitucionalidad se duda. Este precepto consta de tres apartados —uno de ellos introducido por el Real Decreto-ley 3/2013, de 22 de febrero—, y no todos sus apartados resultan aplicables al proceso en el que se plantea la cuestión de inconstitucionalidad.</w:t>
      </w:r>
    </w:p>
    <w:p w:rsidR="00B85568" w:rsidRDefault="00B85568" w:rsidP="00B85568">
      <w:pPr>
        <w:pStyle w:val="TextoNormal"/>
      </w:pPr>
    </w:p>
    <w:p w:rsidR="00B85568" w:rsidRDefault="00B85568" w:rsidP="00B85568">
      <w:pPr>
        <w:pStyle w:val="TextoNormal"/>
      </w:pPr>
      <w:r>
        <w:t>El Fiscal General del Estado considera, no obstante, que la principal censura que puede hacerse a la providencia de apertura de trámite de audiencia es la absoluta falta de identificación de los preceptos constitucionales que el órgano judicial estima vulnerados, ya que esta ausencia de identificación impidió a las partes que pudieran conocer, con la suficiente precisión y exactitud, cuál era el alcance de la duda de constitucionalidad que pretendía plantear el órgano judicial. En su opinión, esta omisión incumple la exigencia impuesta por la doctrina constitucional que establece que la duda de constitucionalidad debe desprenderse del contenido de la providencia por la que se lleva a cabo el trámite de audiencia, bien mediante la cita concreta de los preceptos constitucionales que se consideran lesionados, bien mediante una mínima justificación de la duda de constitucionalidad que se pretende plantear (se citan los AATC 221/2014, FJ 2; 206/2014, FJ 2; y 56/2014, FJ 2, 116/2014, FJ 2; y 276/2013, FJ 3).</w:t>
      </w:r>
    </w:p>
    <w:p w:rsidR="00B85568" w:rsidRDefault="00B85568" w:rsidP="00B85568">
      <w:pPr>
        <w:pStyle w:val="TextoNormal"/>
      </w:pPr>
    </w:p>
    <w:p w:rsidR="00B85568" w:rsidRDefault="00B85568" w:rsidP="00B85568">
      <w:pPr>
        <w:pStyle w:val="TextoNormal"/>
      </w:pPr>
      <w:r>
        <w:t>También se pone de manifiesto que el incumplimiento de este requisito fue advertido por el Ministerio Fiscal en su escrito de interposición del recurso contra la providencia de 2 junio de 2014, por la que se otorgó trámite de Audiencia. Este recurso fue desestimado por Auto de 2 de junio de 2014. Se alega también que aunque en este Auto se indica que los preceptos legales cuestionados podían ser contrarios al derecho a la tutela judicial, esta precisión resulta extemporánea y no puede subsanar el defecto en el que incurrió la providencia al haber transcurrido ya el plazo otorgado para efectuar alegaciones. Para subsanar este defecto el órgano judicial hubiera debido dictar una nueva providencia identificando debidamente los preceptos constitucionales que se consideran infringidos, por lo que al no hacerlo así el Fiscal General del Estado considera que el planteamiento de la presente cuestión de inconstitucionalidad incurre en un grave defecto procesal y por ello interesa del Tribunal que acuerde su inadmisión.</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Primera Instancia núm. 8 de A Coruña plantea cuestión de inconstitucionalidad en relación con los arts. 2 e) y 7.1 y 3 de la Ley 10/2012, de 20 de noviembre, al considerar que estos preceptos legales son contrarios al art. 24.1 CE.</w:t>
      </w:r>
    </w:p>
    <w:p w:rsidR="00B85568" w:rsidRDefault="00B85568" w:rsidP="00B85568">
      <w:pPr>
        <w:pStyle w:val="TextoNormal"/>
      </w:pPr>
    </w:p>
    <w:p w:rsidR="00B85568" w:rsidRDefault="00B85568" w:rsidP="00B85568">
      <w:pPr>
        <w:pStyle w:val="TextoNormal"/>
      </w:pPr>
      <w:r>
        <w:t>Como se ha expuesto con detalle en los antecedentes, el Fiscal General del Estado considera que se no se ha cumplido correctamente el trámite de Audiencia a las partes y al Ministerio Fiscal previsto en el art. 35.2 de la Ley Orgánica del Tribunal Constitucional (LOTC), pues la providencia por la que se otorgó este trámite no identificó correctamente los preceptos legales cuestionados ni los preceptos constitucionales que se estimaban vulnerados. Por ello, interesa la inadmisión de la presente cuestión de inconstitucionalidad al entender que no se cumplen los requisitos procesales.</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lo previsto en el art. 37.1 LOTC, este Tribunal puede rechazar, “en trámite de admisión, mediante Auto y sin otra audiencia que la del Fiscal General del Estado, la cuestión de inconstitucionalidad cuando faltaren las condiciones procesales”.</w:t>
      </w:r>
    </w:p>
    <w:p w:rsidR="00B85568" w:rsidRDefault="00B85568" w:rsidP="00B85568">
      <w:pPr>
        <w:pStyle w:val="TextoNormal"/>
      </w:pPr>
    </w:p>
    <w:p w:rsidR="00B85568" w:rsidRDefault="00B85568" w:rsidP="00B85568">
      <w:pPr>
        <w:pStyle w:val="TextoNormal"/>
      </w:pPr>
      <w:r>
        <w:t>En relación con el trámite de audiencia que establece el art. 35.2 LOTC, existe abundante doctrina constitucional que, entre otros muchos, se encuentra recogida en el ATC 221/2014, de 9 de septiembre, FJ 2. En este Auto, que cita reiterada jurisprudencia de este Tribunal, se sostiene que mediante este trámite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por lo que se considera que es “un requisito de todo punto inexcusable, cuya eventual omisión constituye un defecto en el modo de proposición de la cuestión que ha de determinar, tras el trámite previsto en el art. 37.1 LOTC, la inadmisión de la cuestión así suscitada”.</w:t>
      </w:r>
    </w:p>
    <w:p w:rsidR="00B85568" w:rsidRDefault="00B85568" w:rsidP="00B85568">
      <w:pPr>
        <w:pStyle w:val="TextoNormal"/>
      </w:pPr>
    </w:p>
    <w:p w:rsidR="00B85568" w:rsidRDefault="00B85568" w:rsidP="00B85568">
      <w:pPr>
        <w:pStyle w:val="TextoNormal"/>
      </w:pPr>
      <w:r>
        <w:t>Junto a ello, el ATC 221/2014, de 9 septiembre, FJ 2, citando, a su vez, el ATC 456/2007, de 12 de diciembre, FJ 2, sostiene también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 Por esta razón, en el referido ATC 221/2014 se sostiene que, para entender cumplido este trámite, es necesario que “la concreta duda de constitucionalidad que motiva el planteamiento de la cuestión por parte del órgano judicial se desprenda claramente de lo contenido en la providencia por la que se lleva a cabo el trámite de audiencia (por todos, ATC 56/2014, de 25 de febrero, FJ 2), de manera que ‘las partes puedan (i) conocer el planteamiento de la inconstitucionalidad, (ii) situarlo en sus exactos términos y (iii) pronunciarse sobre él’ (AATC 267/2013, de 19 de noviembre, FJ 3; y 116/2014, de 8 de abril, FJ 2)”. De ahí que este Tribunal haya considerado incumplido este trámite, no solo en supuestos en los que no se hacía referencia alguna a los preceptos constitucionales que se consideraban vulnerados, sino también en casos en los que, aunque se citaba genéricamente el precepto constitucional que se consideraba lesionado, resultaba imposible para las partes conocer el planteamiento de la cuestión de inconstitucionalidad en sus exactos términos (AATC 116/2014, de 8 de abril, FJ 2, y 221/2014, de 9 de septiembre, FJ 2).</w:t>
      </w:r>
    </w:p>
    <w:p w:rsidR="00B85568" w:rsidRDefault="00B85568" w:rsidP="00B85568">
      <w:pPr>
        <w:pStyle w:val="TextoNormal"/>
      </w:pPr>
    </w:p>
    <w:p w:rsidR="00B85568" w:rsidRDefault="00B85568" w:rsidP="00B85568">
      <w:pPr>
        <w:pStyle w:val="TextoNormal"/>
      </w:pPr>
      <w:r w:rsidRPr="00B85568">
        <w:rPr>
          <w:rStyle w:val="NumeroAFNegritaCaracter"/>
        </w:rPr>
        <w:t>3</w:t>
      </w:r>
      <w:r>
        <w:t>. La aplicación de la doctrina expuesta al presente caso conlleva que, como sostiene el Fiscal General del Estado, no pueda considerarse debidamente efectuado el trámite de audiencia a las partes y al Ministerio Fiscal que establece el art. 35.2 LOTC, pues en la providencia por la que se abrió este trámite no se explicitó la concreta duda de constitucionalidad que motivó el planteamiento de la cuestión, ni siquiera se indicó los preceptos constitucionales que se estimaban infringidos, sino que únicamente se les otorgó el plazo de diez días para que alegasen “sobre la pertinencia de plantear la cuestión de inconstitucionalidad, o sobre el fondo de esta”.</w:t>
      </w:r>
    </w:p>
    <w:p w:rsidR="00B85568" w:rsidRDefault="00B85568" w:rsidP="00B85568">
      <w:pPr>
        <w:pStyle w:val="TextoNormal"/>
      </w:pPr>
    </w:p>
    <w:p w:rsidR="00B85568" w:rsidRDefault="00B85568" w:rsidP="00B85568">
      <w:pPr>
        <w:pStyle w:val="TextoNormal"/>
      </w:pPr>
      <w:r>
        <w:t>La defectuosa realización del trámite de Audiencia no puede considerarse subsanada porque en el Auto por el que se desestima el recurso de reposición que interpuso el Ministerio Fiscal contra la referida providencia (recurso en el que solicitaba la anulación de la referida providencia, entre otros motivos, por la defectuosa realización del trámite de audiencia) se afirme que la inadmisión del recurso por el impago de la tasa podía “conculcar la tutela judicial efectiva”, pues cuando se dictó este Auto había transcurrido ya el plazo de efectuar alegaciones (la interposición del recurso de reposición —como se pone de manifiesto en el propio Auto que lo resuelve— no tiene carácter suspensivo), por lo que tal alusión no corrige el defecto en el que incurrió la providencia por la que se otorgó trámite de audiencia.</w:t>
      </w:r>
    </w:p>
    <w:p w:rsidR="00B85568" w:rsidRDefault="00B85568" w:rsidP="00B85568">
      <w:pPr>
        <w:pStyle w:val="TextoNormal"/>
      </w:pPr>
    </w:p>
    <w:p w:rsidR="00B85568" w:rsidRDefault="00B85568" w:rsidP="00B85568">
      <w:pPr>
        <w:pStyle w:val="TextoNormal"/>
      </w:pPr>
      <w:r>
        <w:t>En consecuencia, ha de concluirse que la cuestión de inconstitucionalidad planteada por el Juzgado de Primera Instancia núm. 8 de A Coruña no reúne los requisitos procesales para ser admitida a trámite.</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catorce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7" w:name="AUTO_2015_67"/>
      <w:r>
        <w:t>AUTO 67/2015, de 14 de abril de 2015</w:t>
      </w:r>
    </w:p>
    <w:bookmarkEnd w:id="217"/>
    <w:p w:rsidR="00B85568" w:rsidRDefault="00B85568" w:rsidP="00B85568">
      <w:pPr>
        <w:pStyle w:val="TtuloResolucin"/>
      </w:pPr>
      <w:r>
        <w:t>Pleno</w:t>
      </w:r>
    </w:p>
    <w:p w:rsidR="00B85568" w:rsidRDefault="00B85568" w:rsidP="00B85568">
      <w:pPr>
        <w:pStyle w:val="TextoNormalCentrado"/>
      </w:pPr>
      <w:r>
        <w:t>ECLI:ES:TC:2015:67A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el levantamiento parcial de la suspensión en el recurso de inconstitucional 7067-2014, planteado por el Presidente del Gobierno respecto de diversos preceptos de la Ley del Parlamento de Cataluña 3/2014, de 19 de febrero, de horarios comerciales y de medidas para determinadas actividades de promoción. Voto particular.</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día 24 de noviembre de 2014, el Abogado del Estado, en representación del Presidente del Gobierno, interpuso recurso de inconstitucionalidad contra los arts. 1.2 b), 2.1, letras i) y j), 3.1, 3.2 y 16.10 de la Ley del Parlamento de Cataluña 3/2014, de 19 de febrero, de horarios comerciales y de medidas para determinadas actividades de promoción.</w:t>
      </w:r>
    </w:p>
    <w:p w:rsidR="00B85568" w:rsidRDefault="00B85568" w:rsidP="00B85568">
      <w:pPr>
        <w:pStyle w:val="TextoNormal"/>
      </w:pPr>
    </w:p>
    <w:p w:rsidR="00B85568" w:rsidRDefault="00B85568" w:rsidP="00B85568">
      <w:pPr>
        <w:pStyle w:val="TextoNormal"/>
      </w:pPr>
      <w:r>
        <w:t>El Abogado del Estado invocó el art. 161.2 CE a fin de que se acordase la suspensión de la norma impugnada en el presente recurso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2</w:t>
      </w:r>
      <w:r>
        <w:t>. Por providencia de 2 de diciembre de 2014, el Pleno acordó admitir a trámite el recurso y, de conformidad con lo establecido en el art. 34 de la Ley Orgánica del Tribunal Constitucional (LOTC), dar traslado de la demanda al Congreso de los Diputados, al Senado, a la Generalitat de Cataluña y al Parlamento de Cataluña, al objeto de personarse en el proceso y formular alegaciones en el plazo de quince días. Asimismo, se tuvo por invocado por el Presidente del Gobierno el art. 161.2 CE, lo que, a su tenor, produjo la suspensión de la vigencia y aplicación de los preceptos impugnados. Finalmente, se acordó publicar la incoación del recurso de inconstitucionalidad en el “Boletín Oficial del Estado” y en el “Diari Oficial de la Generalitat de Catalunya”.</w:t>
      </w:r>
    </w:p>
    <w:p w:rsidR="00B85568" w:rsidRDefault="00B85568" w:rsidP="00B85568">
      <w:pPr>
        <w:pStyle w:val="TextoNormal"/>
      </w:pPr>
    </w:p>
    <w:p w:rsidR="00B85568" w:rsidRDefault="00B85568" w:rsidP="00B85568">
      <w:pPr>
        <w:pStyle w:val="TextoNormal"/>
      </w:pPr>
      <w:r w:rsidRPr="00B85568">
        <w:rPr>
          <w:rStyle w:val="NumeroAFNegritaCaracter"/>
        </w:rPr>
        <w:t>3</w:t>
      </w:r>
      <w:r>
        <w:t>. El día 10 de diciembre de 2014, el Presidente del Senado comunicó que la Cámara se personaba en el proceso, ofreciendo su colaboración a los efectos del art. 88.1 LOTC. Por su parte, el Presidente del Congreso de los Diputados comunicó el día 11 de diciembre de 2014 el acuerdo de la Mesa de la Cámara en el mismo sentido.</w:t>
      </w:r>
    </w:p>
    <w:p w:rsidR="00B85568" w:rsidRDefault="00B85568" w:rsidP="00B85568">
      <w:pPr>
        <w:pStyle w:val="TextoNormal"/>
      </w:pPr>
    </w:p>
    <w:p w:rsidR="00B85568" w:rsidRDefault="00B85568" w:rsidP="00B85568">
      <w:pPr>
        <w:pStyle w:val="TextoNormal"/>
      </w:pPr>
      <w:r w:rsidRPr="00B85568">
        <w:rPr>
          <w:rStyle w:val="NumeroAFNegritaCaracter"/>
        </w:rPr>
        <w:t>4</w:t>
      </w:r>
      <w:r>
        <w:t>. La Abogada de la Generalitat de Cataluña presentó su escrito de alegaciones el día 30 de diciembre de 2014. En primer otrosí, solicita el levantamiento inmediato de la suspensión de los preceptos impugnados, alegando al respecto lo que se sintetiza seguidamente.</w:t>
      </w:r>
    </w:p>
    <w:p w:rsidR="00B85568" w:rsidRDefault="00B85568" w:rsidP="00B85568">
      <w:pPr>
        <w:pStyle w:val="TextoNormal"/>
      </w:pPr>
    </w:p>
    <w:p w:rsidR="00B85568" w:rsidRDefault="00B85568" w:rsidP="00B85568">
      <w:pPr>
        <w:pStyle w:val="TextoNormal"/>
      </w:pPr>
      <w:r>
        <w:t>a) Resulta necesario preservar los intereses públicos cuya tutela está encomendada a la Generalitat, relativos a la defensa de consumidores y usuarios y a la preservación de un modelo comercial que cohoneste los intereses de consumidores y comerciantes con las exigencias de una ordenación territorial y urbanística sostenible, que postula una ciudad compacta, que favorece el comercio de proximidad y que contribuye a la sostenibilidad ambiental al evitar la contaminación derivada de los desplazamientos, garantizando además la accesibilidad, especialmente en supuestos de movilidad reducida.</w:t>
      </w:r>
    </w:p>
    <w:p w:rsidR="00B85568" w:rsidRDefault="00B85568" w:rsidP="00B85568">
      <w:pPr>
        <w:pStyle w:val="TextoNormal"/>
      </w:pPr>
    </w:p>
    <w:p w:rsidR="00B85568" w:rsidRDefault="00B85568" w:rsidP="00B85568">
      <w:pPr>
        <w:pStyle w:val="TextoNormal"/>
      </w:pPr>
      <w:r>
        <w:t>El mantenimiento de la suspensión comportaría una desregulación, generando el desplazamiento de la demanda a distintas franjas horarias y formatos comerciales y favoreciendo la expansión de grandes centros comerciales periurbanos en detrimento del comercio inserto en los centros urbanos. Esta inercia podría provocar una destrucción prácticamente irreversible del modelo comercial en Cataluña, dado que la destrucción del tejido comercial urbano es de muy difícil regeneración.</w:t>
      </w:r>
    </w:p>
    <w:p w:rsidR="00B85568" w:rsidRDefault="00B85568" w:rsidP="00B85568">
      <w:pPr>
        <w:pStyle w:val="TextoNormal"/>
      </w:pPr>
    </w:p>
    <w:p w:rsidR="00B85568" w:rsidRDefault="00B85568" w:rsidP="00B85568">
      <w:pPr>
        <w:pStyle w:val="TextoNormal"/>
      </w:pPr>
      <w:r>
        <w:t>Esta consideración no es una mera apreciación gubernamental, sino un temor que comparte gran parte del sector comercial catalán, como demuestra la “Declaración del comercio catalán en defensa del modelo propio del país” que se acompaña como documento núm. 4.</w:t>
      </w:r>
    </w:p>
    <w:p w:rsidR="00B85568" w:rsidRDefault="00B85568" w:rsidP="00B85568">
      <w:pPr>
        <w:pStyle w:val="TextoNormal"/>
      </w:pPr>
    </w:p>
    <w:p w:rsidR="00B85568" w:rsidRDefault="00B85568" w:rsidP="00B85568">
      <w:pPr>
        <w:pStyle w:val="TextoNormal"/>
      </w:pPr>
      <w:r>
        <w:t xml:space="preserve">b) Como se desprende del ATC 153/2014, de 27 de mayo, FJ 1, no existe un pronunciamiento del Tribunal que resulte concluyente sobre los límites inequívocos de la competencia estatal </w:t>
      </w:r>
      <w:r w:rsidRPr="00B85568">
        <w:rPr>
          <w:i/>
        </w:rPr>
        <w:t>ex</w:t>
      </w:r>
      <w:r>
        <w:t xml:space="preserve"> art. 149.1.13 CE en materia de horarios comerciales y venta en rebajas.</w:t>
      </w:r>
    </w:p>
    <w:p w:rsidR="00B85568" w:rsidRDefault="00B85568" w:rsidP="00B85568">
      <w:pPr>
        <w:pStyle w:val="TextoNormal"/>
      </w:pPr>
    </w:p>
    <w:p w:rsidR="00B85568" w:rsidRDefault="00B85568" w:rsidP="00B85568">
      <w:pPr>
        <w:pStyle w:val="TextoNormal"/>
      </w:pPr>
      <w:r>
        <w:t>Aun siendo una cuestión de fondo en la que no procede entrar en fase cautelar, aboga, junto al principio de presunción de constitucionalidad de las leyes, en pro del levantamiento de la suspensión.</w:t>
      </w:r>
    </w:p>
    <w:p w:rsidR="00B85568" w:rsidRDefault="00B85568" w:rsidP="00B85568">
      <w:pPr>
        <w:pStyle w:val="TextoNormal"/>
      </w:pPr>
    </w:p>
    <w:p w:rsidR="00B85568" w:rsidRDefault="00B85568" w:rsidP="00B85568">
      <w:pPr>
        <w:pStyle w:val="TextoNormal"/>
      </w:pPr>
      <w:r>
        <w:t>c) Frente a los perjuicios de imposible reparación a los que se ha aludido, el levantamiento de la suspensión no puede causar perjuicio a los intereses del Estado o a los de terceros, dado que los preceptos impugnados no afectan a la demanda comercial, que es la variable que tiene una incidencia efectiva en el volumen de ventas, y con ello en la marcha general de la economía o en el sector comercial en particular.</w:t>
      </w:r>
    </w:p>
    <w:p w:rsidR="00B85568" w:rsidRDefault="00B85568" w:rsidP="00B85568">
      <w:pPr>
        <w:pStyle w:val="TextoNormal"/>
      </w:pPr>
    </w:p>
    <w:p w:rsidR="00B85568" w:rsidRDefault="00B85568" w:rsidP="00B85568">
      <w:pPr>
        <w:pStyle w:val="TextoNormal"/>
      </w:pPr>
      <w:r w:rsidRPr="00B85568">
        <w:rPr>
          <w:rStyle w:val="NumeroAFNegritaCaracter"/>
        </w:rPr>
        <w:t>5</w:t>
      </w:r>
      <w:r>
        <w:t>. Con fecha 17 de diciembre de 2014, se registró en este Tribunal el escrito de la Letrada del Parlamento de Cataluña, personándose en el proceso y solicitando prórroga del plazo para formular alegaciones, prórroga que le fue concedida por ocho días a contar desde la expiración del plazo ordinario, mediante providencia del Pleno de 18 de diciembre de 2014. En el escrito de alegaciones, registrado con fecha 14 de enero de 2015, solicita mediante primer otrosí el levantamiento inmediato de la suspensión de los preceptos impugnados, en atención a las alegaciones que se resumen a continuación.</w:t>
      </w:r>
    </w:p>
    <w:p w:rsidR="00B85568" w:rsidRDefault="00B85568" w:rsidP="00B85568">
      <w:pPr>
        <w:pStyle w:val="TextoNormal"/>
      </w:pPr>
    </w:p>
    <w:p w:rsidR="00B85568" w:rsidRDefault="00B85568" w:rsidP="00B85568">
      <w:pPr>
        <w:pStyle w:val="TextoNormal"/>
      </w:pPr>
      <w:r>
        <w:t>a) El mantenimiento de la suspensión comporta perjuicios inmediatos e irreparables en la estructura comercial catalana y en la conciliación de la vida laboral y familiar de las cerca de 300.000 personas que trabajan en el comercio al detalle, al suponer una desregulación casi completa de los días y horarios de apertura comercial, produciendo el desplazamiento de la demanda a distintas franjas horarias y formatos comerciales y propiciando la expansión de grandes centros comerciales periurbanos en detrimento del comercio inserto en los centros urbanos. Esta inercia podría provocar una destrucción prácticamente irreversible del modelo comercial en Cataluña, dado que la destrucción del tejido comercial urbano es de muy difícil regeneración. Causaría un efecto indeseado, como es el predominio de la posición dominante de los grandes centros comerciales hacia el pequeño comercio.</w:t>
      </w:r>
    </w:p>
    <w:p w:rsidR="00B85568" w:rsidRDefault="00B85568" w:rsidP="00B85568">
      <w:pPr>
        <w:pStyle w:val="TextoNormal"/>
      </w:pPr>
    </w:p>
    <w:p w:rsidR="00B85568" w:rsidRDefault="00B85568" w:rsidP="00B85568">
      <w:pPr>
        <w:pStyle w:val="TextoNormal"/>
      </w:pPr>
      <w:r>
        <w:t>b) Por el contrario, el levantamiento de la suspensión no produce tales perjuicios de imposible o difícil reparación, una vez valorados los intereses confluyentes, porque su efecto sería el mantenimiento de un régimen regulador de los horarios comerciales cuya vigencia, en su mayor parte, se remonta a la Ley catalana 8/2004, de 23 de diciembre, de horarios comerciales, que los preceptos ahora impugnados reproducen en buena parte. Del mismo modo, los períodos de rebajas fueron establecidos por el Decreto 150/1996, de 30 de abril, en virtud de lo establecido por la Ley estatal 7/1996, de 15 de enero, de ordenación del comercio minorista.</w:t>
      </w:r>
    </w:p>
    <w:p w:rsidR="00B85568" w:rsidRDefault="00B85568" w:rsidP="00B85568">
      <w:pPr>
        <w:pStyle w:val="TextoNormal"/>
      </w:pPr>
    </w:p>
    <w:p w:rsidR="00B85568" w:rsidRDefault="00B85568" w:rsidP="00B85568">
      <w:pPr>
        <w:pStyle w:val="TextoNormal"/>
      </w:pPr>
      <w:r>
        <w:t xml:space="preserve">En tanto se resuelve la controversia de fondo, no se ve afectado ningún derecho público o general, ni interés particular o privado, toda vez que los comerciantes podrán establecer el horario de apertura de sus establecimientos de conformidad con los medios materiales y personales disponibles, respetando las condiciones del personal laboral que tengan contratado, y sin que el régimen jurídico en vigor hasta la fecha les haya generado perjuicio económico. A lo sumo, la eventual declaración de inconstitucionalidad producirá un efecto </w:t>
      </w:r>
      <w:r w:rsidRPr="00B85568">
        <w:rPr>
          <w:i/>
        </w:rPr>
        <w:t>pro futuro</w:t>
      </w:r>
      <w:r>
        <w:t xml:space="preserve"> (favorable o desfavorable) en sus expectativas de negocio.</w:t>
      </w:r>
    </w:p>
    <w:p w:rsidR="00B85568" w:rsidRDefault="00B85568" w:rsidP="00B85568">
      <w:pPr>
        <w:pStyle w:val="TextoNormal"/>
      </w:pPr>
    </w:p>
    <w:p w:rsidR="00B85568" w:rsidRDefault="00B85568" w:rsidP="00B85568">
      <w:pPr>
        <w:pStyle w:val="TextoNormal"/>
      </w:pPr>
      <w:r>
        <w:t>El levantamiento de la suspensión de los preceptos impugnados no produce perjuicios de imposible o difícil reparación porque no afecta a la demanda comercial, que es la variable que tiene una incidencia efectiva en el volumen de ventas, y con ello en la marcha general de la economía o en el sector comercial en particular.</w:t>
      </w:r>
    </w:p>
    <w:p w:rsidR="00B85568" w:rsidRDefault="00B85568" w:rsidP="00B85568">
      <w:pPr>
        <w:pStyle w:val="TextoNormal"/>
      </w:pPr>
    </w:p>
    <w:p w:rsidR="00B85568" w:rsidRDefault="00B85568" w:rsidP="00B85568">
      <w:pPr>
        <w:pStyle w:val="TextoNormal"/>
      </w:pPr>
      <w:r w:rsidRPr="00B85568">
        <w:rPr>
          <w:rStyle w:val="NumeroAFNegritaCaracter"/>
        </w:rPr>
        <w:t>6</w:t>
      </w:r>
      <w:r>
        <w:t>. Mediante escrito registrado el 28 de enero de 2015, el Abogado del Estado presentó sus alegaciones sobre la suspensión de la Ley recurrida, interesando la denegación de la solicitud de levantamiento de la suspensión, y su mantenimiento durante toda la pendencia del recurso, en atención a las razones que se resumen a continuación.</w:t>
      </w:r>
    </w:p>
    <w:p w:rsidR="00B85568" w:rsidRDefault="00B85568" w:rsidP="00B85568">
      <w:pPr>
        <w:pStyle w:val="TextoNormal"/>
      </w:pPr>
    </w:p>
    <w:p w:rsidR="00B85568" w:rsidRDefault="00B85568" w:rsidP="00B85568">
      <w:pPr>
        <w:pStyle w:val="TextoNormal"/>
      </w:pPr>
      <w:r>
        <w:t>a) La norma recurrida deroga el Decreto-ley 4/2012, de 30 de octubre, de medidas en materia de horarios comerciales, objeto del recurso de inconstitucionalidad núm. 630-2013, cuya suspensión fue mantenida mediante ATC 146/2013, de 5 de junio, por considerar que la capacidad de bloqueo de una ley autonómica respecto del ejercicio de competencias atribuidas al Estado excede de las situaciones normales de controversia competencial. A diferencia del derogado Decreto-ley 4/2012, la casi idéntica Ley catalana 3/2014 ahora recurrida, con la finalidad de eludir esta doctrina del bloqueo competencial, no declara terminantemente la intención de bloquear el ejercicio de competencias estatales, sino que apela a los efectos irreparables que comportaría la falta de una regulación adecuada en las materias afectadas.</w:t>
      </w:r>
    </w:p>
    <w:p w:rsidR="00B85568" w:rsidRDefault="00B85568" w:rsidP="00B85568">
      <w:pPr>
        <w:pStyle w:val="TextoNormal"/>
      </w:pPr>
    </w:p>
    <w:p w:rsidR="00B85568" w:rsidRDefault="00B85568" w:rsidP="00B85568">
      <w:pPr>
        <w:pStyle w:val="TextoNormal"/>
      </w:pPr>
      <w:r>
        <w:t>El claro paralelismo entre los preceptos derogados y los ahora recurridos produce un doble efecto: mediante la simple sustitución de los preceptos suspendidos por el ATC 146/2013, se perpetúa el efecto de bloqueo sobre la competencia estatal y se incumple dicho Auto, consiguiendo así la vigencia, aunque temporal, de preceptos que el Tribunal había ordenado suspender hasta la resolución de la controversia competencial subyacente.</w:t>
      </w:r>
    </w:p>
    <w:p w:rsidR="00B85568" w:rsidRDefault="00B85568" w:rsidP="00B85568">
      <w:pPr>
        <w:pStyle w:val="TextoNormal"/>
      </w:pPr>
    </w:p>
    <w:p w:rsidR="00B85568" w:rsidRDefault="00B85568" w:rsidP="00B85568">
      <w:pPr>
        <w:pStyle w:val="TextoNormal"/>
      </w:pPr>
      <w:r>
        <w:t>b) No se produce la desregulación y el vacío normativo invocados por la Generalitat y el Parlamento de Cataluña, puesto que la normativa estatal (Ley 1/2004, de 21 de diciembre, de horarios comerciales, la Ley 7/1996, de 15 de enero, de ordenación del comercio minorista, ambas modificadas por el Real Decreto-ley 20/2012, de 13 de julio, de medidas para garantizar la estabilidad presupuestaria y de fomento de la competitividad), regula tanto los horarios como las ventas promocionales (AATC 392/1992, de 29 de octubre, FJ 3; 248/1995, de 19 de diciembre, FJ 2, y 225/2009, de 27 de julio, FJ 8).</w:t>
      </w:r>
    </w:p>
    <w:p w:rsidR="00B85568" w:rsidRDefault="00B85568" w:rsidP="00B85568">
      <w:pPr>
        <w:pStyle w:val="TextoNormal"/>
      </w:pPr>
    </w:p>
    <w:p w:rsidR="00B85568" w:rsidRDefault="00B85568" w:rsidP="00B85568">
      <w:pPr>
        <w:pStyle w:val="TextoNormal"/>
      </w:pPr>
      <w:r>
        <w:t>Lo que en realidad produciría el alzamiento de la suspensión de la norma autonómica sería un supuesto de superposición normativa sobre un mismo supuesto de hecho. Incluso admitiendo a los solos efectos dialécticos que la materia quedara temporalmente sin regulación, la Generalitat y el Parlamento de Cataluña no explicitan los daños que ello produciría sobre el interés general o los intereses privados, ni el principio o precepto constitucional que resultaría afectado.</w:t>
      </w:r>
    </w:p>
    <w:p w:rsidR="00B85568" w:rsidRDefault="00B85568" w:rsidP="00B85568">
      <w:pPr>
        <w:pStyle w:val="TextoNormal"/>
      </w:pPr>
    </w:p>
    <w:p w:rsidR="00B85568" w:rsidRDefault="00B85568" w:rsidP="00B85568">
      <w:pPr>
        <w:pStyle w:val="TextoNormal"/>
      </w:pPr>
      <w:r>
        <w:t>La restricción horaria es una medida que afecta a la libertad de empresa (art. 38 CE). El legislador la puede limitar, pero es perfectamente ejercitable en caso contrario, generando una recuperación de la plena libertad horaria que habilitaría al comerciante a sujetarse al horario que tuviera por conveniente.</w:t>
      </w:r>
    </w:p>
    <w:p w:rsidR="00B85568" w:rsidRDefault="00B85568" w:rsidP="00B85568">
      <w:pPr>
        <w:pStyle w:val="TextoNormal"/>
      </w:pPr>
    </w:p>
    <w:p w:rsidR="00B85568" w:rsidRDefault="00B85568" w:rsidP="00B85568">
      <w:pPr>
        <w:pStyle w:val="TextoNormal"/>
      </w:pPr>
      <w:r>
        <w:t>c) Las alegaciones de la Generalitat y el Parlamento de Cataluña no indican o razonan en qué consiste el modelo comercial de Cataluña, en qué se diferencia del existente en el resto de España, qué razones de interés público justifican su conservación y en qué medida la aplicación de la norma estatal puede afectar a su pervivencia.</w:t>
      </w:r>
    </w:p>
    <w:p w:rsidR="00B85568" w:rsidRDefault="00B85568" w:rsidP="00B85568">
      <w:pPr>
        <w:pStyle w:val="TextoNormal"/>
      </w:pPr>
    </w:p>
    <w:p w:rsidR="00B85568" w:rsidRDefault="00B85568" w:rsidP="00B85568">
      <w:pPr>
        <w:pStyle w:val="TextoNormal"/>
      </w:pPr>
      <w:r>
        <w:t>La conciliación de la vida familiar y profesional de los comerciantes, a la que se alude en dichas alegaciones, no puede resultar ni remotamente afectada por la suspensión de la norma autonómica, puesto que la norma estatal establece unos umbrales de límites horarios dentro de los cuales los comerciantes son enteramente libres para establecer sus horarios, organizar su negocio como lo consideren oportuno y, por tanto, para conciliar su vida personal y familiar como estimen más adecuado.</w:t>
      </w:r>
    </w:p>
    <w:p w:rsidR="00B85568" w:rsidRDefault="00B85568" w:rsidP="00B85568">
      <w:pPr>
        <w:pStyle w:val="TextoNormal"/>
      </w:pPr>
    </w:p>
    <w:p w:rsidR="00B85568" w:rsidRDefault="00B85568" w:rsidP="00B85568">
      <w:pPr>
        <w:pStyle w:val="TextoNormal"/>
      </w:pPr>
      <w:r>
        <w:t>d) El interés público que subyace al mantenimiento de la suspensión se concreta en el fomento, promoción, apoyo y atención al sector comercial, aliviando la regulación horaria para crear un espacio de libertad y autonomía empresarial que permita al comercio adaptarse flexiblemente a las circunstancias, competir con más eficacia, potenciar actividades económicas esenciales como el turismo y equipararse con otras actividades empresariales concurrentes que no sufren restricción horaria (bares, restaurantes, cines…). En definitiva, se trata de facilitar el consumo para potenciar la recuperación económica y el empleo.</w:t>
      </w:r>
    </w:p>
    <w:p w:rsidR="00B85568" w:rsidRDefault="00B85568" w:rsidP="00B85568">
      <w:pPr>
        <w:pStyle w:val="TextoNormal"/>
      </w:pPr>
    </w:p>
    <w:p w:rsidR="00B85568" w:rsidRDefault="00B85568" w:rsidP="00B85568">
      <w:pPr>
        <w:pStyle w:val="TextoNormal"/>
      </w:pPr>
      <w:r>
        <w:t>En 2014, el PIB ha crecido en España un 0,5 por 100 trimestral, habiendo predicho el FMI un crecimiento del 1,7 para 2015, y el Banco de España un avance del 1,3 por 100 en este año y del 2 por 100 el próximo. El consumo de las familias supone el 55 por 100 del PIB, y el turismo el 11 por 100. Es evidente por tanto que el crecimiento del PIB y la recuperación económica dependen en gran medida del consumo, por lo que es ineludible apuntalar su crecimiento.</w:t>
      </w:r>
    </w:p>
    <w:p w:rsidR="00B85568" w:rsidRDefault="00B85568" w:rsidP="00B85568">
      <w:pPr>
        <w:pStyle w:val="TextoNormal"/>
      </w:pPr>
    </w:p>
    <w:p w:rsidR="00B85568" w:rsidRDefault="00B85568" w:rsidP="00B85568">
      <w:pPr>
        <w:pStyle w:val="TextoNormal"/>
      </w:pPr>
      <w:r>
        <w:t>De acuerdo con los datos incluidos en el informe de la Dirección General de Comercio Interior del Ministerio de Industria, Comercio y Turismo, que se adjunta como documento núm. 1, la ampliación de la libertad horaria repercute sobre: el incremento (o menor reducción) de locales destinados al comercio minorista en relación con otras Comunidades Autónomas que aplican regímenes de mayor libertad horaria; el número de empleos en el comercio minorista; la variación del índice de precios al consumo; el incremento del turismo, atraído en gran medida por el comercio (se aporta como documento núm. 2 el Plan de turismo de compras 2015 elaborado por la Secretaría de Estado de Comercio); la necesidad de competir con otras formas de comercio, como el electrónico; y la oportunidad de interaccionar con otras actividades económicas en particular las relativas al ocio y al turismo.</w:t>
      </w:r>
    </w:p>
    <w:p w:rsidR="00B85568" w:rsidRDefault="00B85568" w:rsidP="00B85568">
      <w:pPr>
        <w:pStyle w:val="TextoNormal"/>
      </w:pPr>
    </w:p>
    <w:p w:rsidR="00B85568" w:rsidRDefault="00B85568" w:rsidP="00B85568">
      <w:pPr>
        <w:pStyle w:val="TextoNormal"/>
      </w:pPr>
      <w:r>
        <w:t>La libertad horaria es así un instrumento esencial para estimular y fortalecer el comercio, el consumo, el turismo y, con ello, el crecimiento económico. La pervivencia de limitaciones horarias constituye una rémora al libre ejercicio de la actividad comercial, con las repercusiones antedichas, que puede obstaculizar decisivamente la recuperación económica, produciendo un trascendente daño, si no irreparable, de dificilísima y costosa reparación.</w:t>
      </w:r>
    </w:p>
    <w:p w:rsidR="00B85568" w:rsidRDefault="00B85568" w:rsidP="00B85568">
      <w:pPr>
        <w:pStyle w:val="TextoNormal"/>
      </w:pPr>
    </w:p>
    <w:p w:rsidR="00B85568" w:rsidRDefault="00B85568" w:rsidP="00B85568">
      <w:pPr>
        <w:pStyle w:val="TextoNormal"/>
      </w:pPr>
      <w:r>
        <w:t>Frente a ello, ha de valorarse la reparabilidad de los perjuicios invocados por la Generalitat. La regulación estatal en la materia no limita la facultad del comerciante para organizar su actividad a su criterio en ejercicio de su libertad de empresa, y al no verse afectado este interés particular no puede afirmarse que tal afectación pudiera ser de imposible o difícil reparación. Según relata el aludido informe de la Dirección General de Comercio Interior, en las Comunidades Autónomas que han aplicado mayor libertad horaria la reducción de locales comerciales ha sido menor y el número de empleos en el sector ha crecido más.</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objeto de la presente resolución consiste en determinar si procede levantar o mantener la suspensión de la vigencia y aplicación que afecta a los arts. 1.2 b), 2.1, letras i) y j), 3.1, 3.2 y 16.10 de la Ley del Parlamento de Cataluña 3/2014, de 19 de febrero, de horarios comerciales y de medidas para determinadas actividades de promoción.</w:t>
      </w:r>
    </w:p>
    <w:p w:rsidR="00B85568" w:rsidRDefault="00B85568" w:rsidP="00B85568">
      <w:pPr>
        <w:pStyle w:val="TextoNormal"/>
      </w:pPr>
    </w:p>
    <w:p w:rsidR="00B85568" w:rsidRDefault="00B85568" w:rsidP="00B85568">
      <w:pPr>
        <w:pStyle w:val="TextoNormal"/>
      </w:pPr>
      <w:r>
        <w:t>La doctrina reiterada de este Tribunal señala que la decisión en estos incidentes cautelares requiere ponderar los intereses públicos y privados concernidos, y los perjuicios de imposible o difícil reparación que puedan derivarse del mantenimiento o levantamiento de la suspensión. Esta valoración debe efectuarse mediante el estricto examen de las situaciones de hecho creadas, dejando al margen la viabilidad de las pretensiones que se formulan en la demanda.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w:t>
      </w:r>
    </w:p>
    <w:p w:rsidR="00B85568" w:rsidRDefault="00B85568" w:rsidP="00B85568">
      <w:pPr>
        <w:pStyle w:val="TextoNormal"/>
      </w:pPr>
    </w:p>
    <w:p w:rsidR="00B85568" w:rsidRDefault="00B85568" w:rsidP="00B85568">
      <w:pPr>
        <w:pStyle w:val="TextoNormal"/>
      </w:pPr>
      <w:r>
        <w:t>Así lo hemos recordado, entre tantos otros, en los recientes AATC 205/2014, de 22 de julio, y 265/2014, de 4 de noviembre, añadiendo que se trata de dilucidar si los perjuicios que han sido alegados por el Abogado del Estado, tienen la gravedad y consistencia necesarias como para prevalecer sobre la presunción de legitimidad de la Ley autonómica y los intereses que se vinculan a su aplicación efectiva.</w:t>
      </w:r>
    </w:p>
    <w:p w:rsidR="00B85568" w:rsidRDefault="00B85568" w:rsidP="00B85568">
      <w:pPr>
        <w:pStyle w:val="TextoNormal"/>
      </w:pPr>
    </w:p>
    <w:p w:rsidR="00B85568" w:rsidRDefault="00B85568" w:rsidP="00B85568">
      <w:pPr>
        <w:pStyle w:val="TextoNormal"/>
      </w:pPr>
      <w:r w:rsidRPr="00B85568">
        <w:rPr>
          <w:rStyle w:val="NumeroAFNegritaCaracter"/>
        </w:rPr>
        <w:t>2</w:t>
      </w:r>
      <w:r>
        <w:t>. No obstante, con carácter previo a efectuar la ponderación en los términos que han quedado someramente descritos, debemos pronunciarnos sobre la primera alegación del Abogado del Estado. Como ha quedado expuesto con mayor detalle en los antecedentes, invoca el ATC 146/2013, de 5 de junio, que mantuvo la suspensión de los preceptos del Decreto-ley de Cataluña 4/2012, de 30 de octubre, de medidas en materia de horarios comerciales y determinadas actividades de promoción, que fueron objeto del recurso de inconstitucionalidad núm. 630-2013. A su juicio, el claro paralelismo existente entre el contenido de dichos preceptos suspendidos y los ahora recurridos de la Ley 3/2014, que deroga el Decreto-ley 4/2012, produce un doble efecto: se perpetúa el efecto de bloqueo sobre la competencia estatal y se incumple dicho Auto, consiguiendo así la vigencia, aunque temporal, de preceptos que el Tribunal había ordenado suspender hasta la resolución de la controversia competencial subyacente.</w:t>
      </w:r>
    </w:p>
    <w:p w:rsidR="00B85568" w:rsidRDefault="00B85568" w:rsidP="00B85568">
      <w:pPr>
        <w:pStyle w:val="TextoNormal"/>
      </w:pPr>
    </w:p>
    <w:p w:rsidR="00B85568" w:rsidRDefault="00B85568" w:rsidP="00B85568">
      <w:pPr>
        <w:pStyle w:val="TextoNormal"/>
      </w:pPr>
      <w:r>
        <w:t>El ATC 146/2013 recuerda que “son reiterados los pronunciamientos de este Tribunal sobre el levantamiento de la suspensión de normas autonómicas en materia de horarios comerciales y ventas promocionales (entre otros, AATC 20/2002, de 12 de febrero, 47/2002, de 21 de marzo, 453/2006, de 12 de diciembre)” (FJ 2), debiendo sumarse a los citados el más reciente ATC 153/2014, de 27 de mayo. La decisión de mantener la suspensión adoptada en el ATC 146/2013 se basó en una peculiaridad: “cabe constatar, a partir de una mera lectura de su exposición de motivos y del escrito de alegaciones de la Generalitat de Cataluña en el que solicita el levantamiento anticipado de la suspensión de la norma autonómica, que ésta ha sido dictada con la finalidad de suspender los efectos de la legislación estatal básica” (FJ 2), prosiguiendo un análisis más pormenorizado de estos extremos que, partiendo de que existen supuestos en los que no cabe seguir la doctrina de este Tribunal sobre la necesidad de acreditar o demostrar los perjuicios que conllevaría el levantamiento de la suspensión, condujo a la siguiente conclusión: “la finalidad expuesta en la norma impugnada de ejercer una competencia propia para bloquear el ejercicio por el Estado de las suyas, constituye un supuesto de clara trascendencia constitucional que debe llevarnos al mantenimiento de la suspensión de la norma autonómica impugnada mientras se determina por este Tribunal la conformidad con la distribución competencial de las normativas, estatal y autonómica, impugnadas” (FJ 4).</w:t>
      </w:r>
    </w:p>
    <w:p w:rsidR="00B85568" w:rsidRDefault="00B85568" w:rsidP="00B85568">
      <w:pPr>
        <w:pStyle w:val="TextoNormal"/>
      </w:pPr>
    </w:p>
    <w:p w:rsidR="00B85568" w:rsidRDefault="00B85568" w:rsidP="00B85568">
      <w:pPr>
        <w:pStyle w:val="TextoNormal"/>
      </w:pPr>
      <w:r>
        <w:t>De los preceptos impugnados en el presente proceso, se aprecia que los arts. 1.2 b) y 2.1, letras i) y j), de la Ley del Parlamento de Cataluña 3/2014, reproducen (con diferencias irrelevantes de redacción) el contenido de los arts. 1.2 b) y 2.1, letras i) y j), de la Ley del Parlamento de Cataluña 8/2004, de 23 de diciembre, de horarios comerciales, en la redacción dada por los arts. 1 y 2 del Decreto-ley 4/2012, de 30 de octubre, de medidas en materia de horarios comerciales y determinadas actividades de promoción; lo mismo sucede con el art. 16.10 de la Ley de Cataluña 3/2014 respecto de lo establecido por el art. 5 del citado Decreto-ley 4/2012.</w:t>
      </w:r>
    </w:p>
    <w:p w:rsidR="00B85568" w:rsidRDefault="00B85568" w:rsidP="00B85568">
      <w:pPr>
        <w:pStyle w:val="TextoNormal"/>
      </w:pPr>
    </w:p>
    <w:p w:rsidR="00B85568" w:rsidRDefault="00B85568" w:rsidP="00B85568">
      <w:pPr>
        <w:pStyle w:val="TextoNormal"/>
      </w:pPr>
      <w:r>
        <w:t>Ante la sustancial identidad objetiva entre el contenido de la regulación suspendida mediante el ATC 146/2013 y la que ahora se somete a nuestra consideración, la resolución ha de ser la misma que adoptamos en el citado Auto. De no hacerlo así, como señala el Abogado del Estado, el efecto evidente de esta sucesión normativa sería la vigencia de una regulación cuya suspensión ordenó este Tribunal hasta la resolución de la controversia competencial subyacente, contrariando lo establecido en dicha resolución y menoscabando su eficacia, y este resultado no sería conforme con el obligado cumplimiento de las resoluciones del Tribunal Constitucional, al que están obligados todos los poderes públicos (art. 87.1 LOTC).</w:t>
      </w:r>
    </w:p>
    <w:p w:rsidR="00B85568" w:rsidRDefault="00B85568" w:rsidP="00B85568">
      <w:pPr>
        <w:pStyle w:val="TextoNormal"/>
      </w:pPr>
    </w:p>
    <w:p w:rsidR="00B85568" w:rsidRDefault="00B85568" w:rsidP="00B85568">
      <w:pPr>
        <w:pStyle w:val="TextoNormal"/>
      </w:pPr>
      <w:r w:rsidRPr="00B85568">
        <w:rPr>
          <w:rStyle w:val="NumeroAFNegritaCaracter"/>
        </w:rPr>
        <w:t>3</w:t>
      </w:r>
      <w:r>
        <w:t>. Por el contrario, al no haberse regulado en el precedente Decreto-ley 4/2012 la determinación de los municipios turísticos a los efectos de la aplicación del régimen de horarios comerciales, la conclusión anterior no resulta de aplicación a los apartados 1 y 2 del art. 3 de la Ley del Parlamento de Cataluña 3/2014. Para esta regulación procede en consecuencia entrar en la ponderación propia de este incidente cautelar, examinando si los perjuicios que han sido alegados por el Abogado del Estado, sobre el que pesa la carga de acreditar su existencia y su imposible o difícil reparación, tienen la gravedad y consistencia necesarias como para justificar el mantenimiento de la suspensión.</w:t>
      </w:r>
    </w:p>
    <w:p w:rsidR="00B85568" w:rsidRDefault="00B85568" w:rsidP="00B85568">
      <w:pPr>
        <w:pStyle w:val="TextoNormal"/>
      </w:pPr>
    </w:p>
    <w:p w:rsidR="00B85568" w:rsidRDefault="00B85568" w:rsidP="00B85568">
      <w:pPr>
        <w:pStyle w:val="TextoNormal"/>
      </w:pPr>
      <w:r>
        <w:t>Respecto de las alegaciones del Abogado del Estado que, más que cumplir con esa carga, ponen el acento en rebatir los argumentos de las otras partes procesales, ya hemos señalado que no procede adentrarse en este planteamiento, “porque supone desplazar a la parte demandada la carga de acreditar la existencia de los perjuicios y su imposible o difícil reparación, y como ya hemos señalado, en este trámite procesal tal acreditación atañe al Abogado del Estado” [ATC 122/2013, de 21 de mayo, FJ 3 b)].</w:t>
      </w:r>
    </w:p>
    <w:p w:rsidR="00B85568" w:rsidRDefault="00B85568" w:rsidP="00B85568">
      <w:pPr>
        <w:pStyle w:val="TextoNormal"/>
      </w:pPr>
    </w:p>
    <w:p w:rsidR="00B85568" w:rsidRDefault="00B85568" w:rsidP="00B85568">
      <w:pPr>
        <w:pStyle w:val="TextoNormal"/>
      </w:pPr>
      <w:r>
        <w:t>El resto de las alegaciones contienen argumentos de carácter genérico sobre el conjunto de la regulación impugnada, sin acreditar o razonar suficientemente, a partir de las situaciones concretas que podrían producirse, los perjuicios consistentes en la pérdida de beneficios de los comerciantes y de puestos de trabajo que serían el resultado de aplicar la regulación catalana sobre la determinación de los municipios turísticos al régimen de horarios comerciales. En todo caso, aplicando las mismas pautas analíticas utilizadas en el ATC 153/2014, de 27 de mayo, FJ 2, hemos de partir del informe de la Dirección General de Comercio Interior del Ministerio de Industria, Comercio y Turismo, que expone la evolución en Cataluña de distintas magnitudes en el periodo 2000-2014: reducción del número de establecimientos de comercio al por menor del 12,3 por 100, frente al 5,4 por 100 del conjunto de España; aumento de la ocupación en el comercio minorista del 22 por 100, frente al 23,6 por 100 del conjunto de España; variación del índice de precios de consumo del 49,5 por 100, frente al 44,3 por 100 del conjunto de España. Como puede apreciarse, son datos que abarcan un periodo temporal muy superior al que resulta relevante a los efectos de esta resolución, y en el que se han sucedido normas tanto estatales (Real Decreto-ley 6/2000, de 23 de junio, de medidas urgentes de intensificación de la competencia en mercados de bienes y servicios; y Ley 1/2004, de 21 de diciembre, de horarios comerciales, modificada por el Real Decreto-ley 20/2012, de 13 de julio) como autonómicas (Ley 8/2004, de 23 de diciembre, de horarios comerciales, modificada por el Decreto-ley 4/2012, de 30 de octubre, y Ley 3/2014, de 19 de febrero), de las que resulta una regulación que ha experimentado variaciones significativas en esta materia.</w:t>
      </w:r>
    </w:p>
    <w:p w:rsidR="00B85568" w:rsidRDefault="00B85568" w:rsidP="00B85568">
      <w:pPr>
        <w:pStyle w:val="TextoNormal"/>
      </w:pPr>
    </w:p>
    <w:p w:rsidR="00B85568" w:rsidRDefault="00B85568" w:rsidP="00B85568">
      <w:pPr>
        <w:pStyle w:val="TextoNormal"/>
      </w:pPr>
      <w:r>
        <w:t>A los anteriores datos, las alegaciones del Abogado del Estado y el informe que las acompaña añaden una serie de razones que no se dirigen a acreditar o razonar los perjuicios que se derivarían del levantamiento de la suspensión, como sería de rigor, sino que abundan en las ventajas genéricas de la liberalización, y que son en buena parte coincidentes con las que ya fueron ponderadas en el ATC 153/2014, FJ 2: que otorgan libertad a los comerciantes; que conllevan un aumento del consumo de los turistas principalmente en compras no cotidianas; que la apertura de los comercios en días de ocio incrementa las posibilidades de aumentar las ventas; que España es uno de los países más restrictivos de Europa; y que no tiene sentido mantener una regulación restrictiva de horarios comerciales ante las posibilidades que ofrece el comercio electrónico.</w:t>
      </w:r>
    </w:p>
    <w:p w:rsidR="00B85568" w:rsidRDefault="00B85568" w:rsidP="00B85568">
      <w:pPr>
        <w:pStyle w:val="TextoNormal"/>
      </w:pPr>
    </w:p>
    <w:p w:rsidR="00B85568" w:rsidRDefault="00B85568" w:rsidP="00B85568">
      <w:pPr>
        <w:pStyle w:val="TextoNormal"/>
      </w:pPr>
      <w:r>
        <w:t>Como ya apreciáramos en el ATC 153/2014, nada de lo anterior proporciona base suficiente para acreditar los perjuicios de imposible o difícil reparación que se producirían de aplicarse el régimen de determinación de los municipios turísticos establecido en los apartados 1 y 2 del art. 3 de la Ley del Parlamento de Cataluña 3/2014, al no establecer conexión alguna entre las características del comercio en esta Comunidad Autónoma, los efectos de las mencionadas medidas liberalizadoras y, sobre todo, la importancia de las limitaciones introducidas por estos preceptos.</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Mantener la suspensión de los arts. 1.2 b), 2.1, letras i) y j), y 16.10 de la Ley del Parlamento de Cataluña 3/2014, de 19 de febrero, de horarios comerciales y de medidas para determinadas actividades de promoción.</w:t>
      </w:r>
    </w:p>
    <w:p w:rsidR="00B85568" w:rsidRDefault="00B85568" w:rsidP="00B85568">
      <w:pPr>
        <w:pStyle w:val="TextoNormal"/>
      </w:pPr>
    </w:p>
    <w:p w:rsidR="00B85568" w:rsidRDefault="00B85568" w:rsidP="00B85568">
      <w:pPr>
        <w:pStyle w:val="TextoNormal"/>
      </w:pPr>
      <w:r>
        <w:t>2º Levantar la suspensión de los arts. 3.1 y 3.2 de la misma Ley.</w:t>
      </w:r>
    </w:p>
    <w:p w:rsidR="00B85568" w:rsidRDefault="00B85568" w:rsidP="00B85568">
      <w:pPr>
        <w:pStyle w:val="TextoNormal"/>
      </w:pPr>
    </w:p>
    <w:p w:rsidR="00B85568" w:rsidRDefault="00B85568" w:rsidP="00B85568">
      <w:pPr>
        <w:pStyle w:val="TextoNormal"/>
      </w:pPr>
      <w:r>
        <w:t>Madrid, a catorce de abril de dos mil quince.</w:t>
      </w:r>
    </w:p>
    <w:p w:rsidR="00B85568" w:rsidRDefault="00B85568" w:rsidP="00B85568">
      <w:pPr>
        <w:pStyle w:val="ParrafoNormal"/>
      </w:pPr>
    </w:p>
    <w:p w:rsidR="00B85568" w:rsidRDefault="00B85568" w:rsidP="00B85568">
      <w:pPr>
        <w:pStyle w:val="TextoNormalNegritaCentrado"/>
        <w:keepNext/>
      </w:pPr>
      <w:r>
        <w:t>Voto particular que formula el Magistrado don Fernando Valdés Dal-Ré respecto del Auto dictado en el recurso de inconstitucionalidad núm. 7067-2014, al que se adhieren los Magistrados don Luis Ignacio Ortega Álvarez y don Juan Antonio Xiol Ríos.</w:t>
      </w:r>
    </w:p>
    <w:p w:rsidR="00B85568" w:rsidRDefault="00B85568" w:rsidP="00B85568">
      <w:pPr>
        <w:pStyle w:val="TextoNormalNegritaCentrado"/>
        <w:keepNext/>
      </w:pPr>
    </w:p>
    <w:p w:rsidR="00B85568" w:rsidRDefault="00B85568" w:rsidP="00B85568">
      <w:pPr>
        <w:pStyle w:val="TextoNormal"/>
      </w:pPr>
      <w:r>
        <w:t>En ejercicio de la facultad que me confiere el art. 90 de la Ley Orgánica del Tribunal Constitucional LOTC), y desde el respeto a la decisión mayoritaria, expreso mi discrepancia con la decisión de mantener la suspensión de los arts. 1.2 b), 2.1, letras i) y j), y 16.10 de la Ley del Parlamento de Cataluña 3/2014, de 19 de febrero, de horarios comerciales y de medidas para determinadas actividades de promoción, por las razones manifestadas durante la deliberación, que sucintamente expongo a continuación.</w:t>
      </w:r>
    </w:p>
    <w:p w:rsidR="00B85568" w:rsidRDefault="00B85568" w:rsidP="00B85568">
      <w:pPr>
        <w:pStyle w:val="TextoNormal"/>
      </w:pPr>
    </w:p>
    <w:p w:rsidR="00B85568" w:rsidRDefault="00B85568" w:rsidP="00B85568">
      <w:pPr>
        <w:pStyle w:val="TextoNormal"/>
      </w:pPr>
      <w:r>
        <w:t xml:space="preserve">La </w:t>
      </w:r>
      <w:r w:rsidRPr="00B85568">
        <w:rPr>
          <w:i/>
        </w:rPr>
        <w:t>ratio decidendi</w:t>
      </w:r>
      <w:r>
        <w:t xml:space="preserve"> del ATC 146/2013, de 5 de junio, que se invoca como precedente, se basó una circunstancia singular: la finalidad, explícita en la norma allí concernida (Decreto-ley de Cataluña 4/2012, de 30 de octubre) de ejercer una competencia propia para bloquear el ejercicio por el Estado de las suyas. El Tribunal apreció que tal propósito constituye un supuesto de clara trascendencia constitucional que por sí solo determina el mantenimiento de la suspensión de los preceptos impugnados, sin necesidad de entrar en el juicio de ponderación propio de estos incidentes cautelares.</w:t>
      </w:r>
    </w:p>
    <w:p w:rsidR="00B85568" w:rsidRDefault="00B85568" w:rsidP="00B85568">
      <w:pPr>
        <w:pStyle w:val="TextoNormal"/>
      </w:pPr>
    </w:p>
    <w:p w:rsidR="00B85568" w:rsidRDefault="00B85568" w:rsidP="00B85568">
      <w:pPr>
        <w:pStyle w:val="TextoNormal"/>
      </w:pPr>
      <w:r>
        <w:t>A mi juicio esta doctrina, revestida de un carácter rigurosamente excepcional, no hubiera debido extenderse a la Ley del Parlamento de Cataluña 3/2014, pese a la coincidencia, incluso la identidad, de las disposiciones recurridas en el proceso que dio lugar al ATC 146/2013 con las controvertidas en éste. Porque son de mayor trascendencia las significativas diferencias entre ambas normas, y hubieran primado de haberse otorgado la debida relevancia al principio de presunción de constitucionalidad, que llega a su grado máximo en el caso del legislador, al ser sus decisiones expresión de la voluntad popular (ATC 90/2010, de 14 de julio, FJ 2).</w:t>
      </w:r>
    </w:p>
    <w:p w:rsidR="00B85568" w:rsidRDefault="00B85568" w:rsidP="00B85568">
      <w:pPr>
        <w:pStyle w:val="TextoNormal"/>
      </w:pPr>
    </w:p>
    <w:p w:rsidR="00B85568" w:rsidRDefault="00B85568" w:rsidP="00B85568">
      <w:pPr>
        <w:pStyle w:val="TextoNormal"/>
      </w:pPr>
      <w:r>
        <w:t>En efecto, estamos ante normas emanadas de órganos estatutarios diferentes y adoptadas en períodos legislativos asimismo diferentes: si el Decreto-ley 4/2012 es una disposición legislativa provisional aprobada por el Gobierno de la Generalitat de Cataluña al amparo de lo dispuesto por el art. 64.1 del Estatuto de Autonomía de Cataluña, la norma objeto de este proceso, la Ley 3/2014, es fruto de la decisión legislativa del Parlamento de Cataluña surgido de las elecciones celebradas el 25 de noviembre de 2012.</w:t>
      </w:r>
    </w:p>
    <w:p w:rsidR="00B85568" w:rsidRDefault="00B85568" w:rsidP="00B85568">
      <w:pPr>
        <w:pStyle w:val="TextoNormal"/>
      </w:pPr>
    </w:p>
    <w:p w:rsidR="00B85568" w:rsidRDefault="00B85568" w:rsidP="00B85568">
      <w:pPr>
        <w:pStyle w:val="TextoNormal"/>
      </w:pPr>
      <w:r>
        <w:t>A la anterior distinción formal, y aun con mayor énfasis, hay que añadir que la Ley 3/2014 no expresa la finalidad de suspender o bloquear los efectos de la legislación estatal básica, que era patente en el Decreto-ley 4/2012. Como pone de manifiesto la lectura del preámbulo de la Ley 3/2014, ésta proporciona una justificación de la norma basada en la voluntad de protección del entorno urbano y de los consumidores, finalidades tan legítimas como inequívocamente insertas en el ámbito de las competencias estatutarias de la Generalitat de Cataluña. Sin que ello suponga en modo alguno prejuzgar la controversia de fondo, de haber constreñido nuestra decisión a los elementos objetivos aportados por la norma, dicha justificación de los motivos del legislador catalán, coincidente a grandes rasgos con lo expresado por el Gobierno y el Parlamento de Cataluña en sus alegaciones, hubiera sido suficiente para descartar un propósito de bloqueo de la normativa estatal. El Tribunal no puede, “sin quiebra de toda objetividad en el control que nos corresponde, no ya enjuiciar sino, tan siquiera, introducir en nuestro enjuiciamiento, las intenciones o propósitos con los que se afirme se han aprobado y dictado las leyes, siendo la constitucionalidad o su contrario algo predicable de enunciados jurídico-positivos, sólo de ellos”. Así lo hemos afirmado en la STC 197/2014, de 4 de diciembre, FJ 1, para delimitar los límites objetivos del control de constitucionalidad, y así hubiera procedido confirmarlo ahora para delimitar los límites, igualmente objetivos, del juicio propio de este incidente cautelar.</w:t>
      </w:r>
    </w:p>
    <w:p w:rsidR="00B85568" w:rsidRDefault="00B85568" w:rsidP="00B85568">
      <w:pPr>
        <w:pStyle w:val="TextoNormal"/>
      </w:pPr>
    </w:p>
    <w:p w:rsidR="00B85568" w:rsidRDefault="00B85568" w:rsidP="00B85568">
      <w:pPr>
        <w:pStyle w:val="TextoNormal"/>
      </w:pPr>
      <w:r>
        <w:t>Por los antedichos motivos, la decisión de levantar o mantener la suspensión de los citados preceptos debió basarse en lo razonado en el fundamento jurídico 3 del Auto, al que me remito.</w:t>
      </w:r>
    </w:p>
    <w:p w:rsidR="00B85568" w:rsidRDefault="00B85568" w:rsidP="00B85568">
      <w:pPr>
        <w:pStyle w:val="TextoNormal"/>
      </w:pPr>
    </w:p>
    <w:p w:rsidR="00B85568" w:rsidRDefault="00B85568" w:rsidP="00B85568">
      <w:pPr>
        <w:pStyle w:val="TextoNormal"/>
      </w:pPr>
      <w:r>
        <w:t>Y en tal sentido, emito este Voto particular.</w:t>
      </w:r>
    </w:p>
    <w:p w:rsidR="00B85568" w:rsidRDefault="00B85568" w:rsidP="00B85568">
      <w:pPr>
        <w:pStyle w:val="TextoNormal"/>
      </w:pPr>
    </w:p>
    <w:p w:rsidR="00B85568" w:rsidRDefault="00B85568" w:rsidP="00B85568">
      <w:pPr>
        <w:pStyle w:val="TextoNormal"/>
      </w:pPr>
      <w:r>
        <w:t>Madrid, a catorce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8" w:name="AUTO_2015_68"/>
      <w:r>
        <w:t>AUTO 68/2015, de 14 de abril de 2015</w:t>
      </w:r>
    </w:p>
    <w:bookmarkEnd w:id="218"/>
    <w:p w:rsidR="00B85568" w:rsidRDefault="00B85568" w:rsidP="00B85568">
      <w:pPr>
        <w:pStyle w:val="TtuloResolucin"/>
      </w:pPr>
      <w:r>
        <w:t>Pleno</w:t>
      </w:r>
    </w:p>
    <w:p w:rsidR="00B85568" w:rsidRDefault="00B85568" w:rsidP="00B85568">
      <w:pPr>
        <w:pStyle w:val="TextoNormalCentrado"/>
      </w:pPr>
      <w:r>
        <w:t>ECLI:ES:TC:2015:68A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acumulación de los recursos de inconstitucionalidad 7874-2014 y 21-2015 al 7848-2014, planteados por el Parlamento de Cataluña en relación con diversos preceptos del Real Decreto-ley 13/2014, de 3 de octubre, por el que se adoptan medidas urgentes en relación con el sistema gasista y la titularidad de las centrales nucleares.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el Tribunal Constitucional el día 30 de diciembre de 2014, el Letrado del Parlamento de Cataluña, en la representación que ostenta, interpuso recurso de inconstitucionalidad contra los arts. 2 y 4, apartados, 1 y 3 del Real Decreto-ley 13/2014, de 3 de octubre, por el que se adoptan medidas urgentes en relación con el sistema gasista y la titularidad de las centrales nucleares, publicado el “Boletín Oficial del Estado” núm. 24, de 4 de octubre de 2014. Este recurso fue registrado con el núm. 7848-2014.</w:t>
      </w:r>
    </w:p>
    <w:p w:rsidR="00B85568" w:rsidRDefault="00B85568" w:rsidP="00B85568">
      <w:pPr>
        <w:pStyle w:val="TextoNormal"/>
      </w:pPr>
    </w:p>
    <w:p w:rsidR="00B85568" w:rsidRDefault="00B85568" w:rsidP="00B85568">
      <w:pPr>
        <w:pStyle w:val="TextoNormal"/>
      </w:pPr>
      <w:r>
        <w:t>El mismo día la Generalitat de Cataluña interpuso recurso de inconstitucionalidad contra el referido Real Decreto-ley 13/2014, de 3 de octubre, excepto contra su disposición transitoria. Este recurso fue registrado con el núm. 7874-2014.</w:t>
      </w:r>
    </w:p>
    <w:p w:rsidR="00B85568" w:rsidRDefault="00B85568" w:rsidP="00B85568">
      <w:pPr>
        <w:pStyle w:val="TextoNormal"/>
      </w:pPr>
    </w:p>
    <w:p w:rsidR="00B85568" w:rsidRDefault="00B85568" w:rsidP="00B85568">
      <w:pPr>
        <w:pStyle w:val="TextoNormal"/>
      </w:pPr>
      <w:r>
        <w:t>El 2 de enero de 2014 más de cincuenta Diputados del Grupo Parlamentario Socialista del Congreso de los Diputados interpusieron también recurso de inconstitucionalidad contra el citado Real Decreto-ley 13/2014, de 3 de octubre. Este recurso fue registrado con el núm. 21-2015.</w:t>
      </w:r>
    </w:p>
    <w:p w:rsidR="00B85568" w:rsidRDefault="00B85568" w:rsidP="00B85568">
      <w:pPr>
        <w:pStyle w:val="TextoNormal"/>
      </w:pPr>
    </w:p>
    <w:p w:rsidR="00B85568" w:rsidRDefault="00B85568" w:rsidP="00B85568">
      <w:pPr>
        <w:pStyle w:val="TextoNormal"/>
      </w:pPr>
      <w:r w:rsidRPr="00B85568">
        <w:rPr>
          <w:rStyle w:val="NumeroAFNegritaCaracter"/>
        </w:rPr>
        <w:t>2</w:t>
      </w:r>
      <w:r>
        <w:t>. Todos estos recursos fueron admitidos a trámite por las providencias del Pleno del Tribunal de 3 de febrero de 2015, en las que se acordó, conforme establece el art. 34 de la Ley Orgánica del Tribunal Constitucional (LOTC),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estimasen conveniente. Junto a ello se acordó publicar la incoación de los recursos en el “Boletín Oficial del Estado”, lo que tuvo lugar en el ejemplar publicado el 7 de febrero de 2015 (núm. 33 de ese año).</w:t>
      </w:r>
    </w:p>
    <w:p w:rsidR="00B85568" w:rsidRDefault="00B85568" w:rsidP="00B85568">
      <w:pPr>
        <w:pStyle w:val="TextoNormal"/>
      </w:pPr>
    </w:p>
    <w:p w:rsidR="00B85568" w:rsidRDefault="00B85568" w:rsidP="00B85568">
      <w:pPr>
        <w:pStyle w:val="TextoNormal"/>
      </w:pPr>
      <w:r w:rsidRPr="00B85568">
        <w:rPr>
          <w:rStyle w:val="NumeroAFNegritaCaracter"/>
        </w:rPr>
        <w:t>3</w:t>
      </w:r>
      <w:r>
        <w:t>. El Abogado del Estado, por escritos registrados el 5 de febrero de 2015, en la representación que legalmente ostenta, solicitó que se le tuviera por personado en los referidos recursos de inconstitucionalidad y que se le concediera una prórroga por el máximo legal del plazo concedido para formular alegaciones, habida cuenta del número de asuntos pendientes en esa Abogacía. Por providencias de 6 de febrero 2015, el Pleno acordó incorporar a las actuaciones los mencionados escritos, teniendo por personado al Abogado del Estado en estos procesos constitucionales, a quien se concedió una prórroga de ocho días sobre el plazo inicial para formular alegaciones.</w:t>
      </w:r>
    </w:p>
    <w:p w:rsidR="00B85568" w:rsidRDefault="00B85568" w:rsidP="00B85568">
      <w:pPr>
        <w:pStyle w:val="TextoNormal"/>
      </w:pPr>
    </w:p>
    <w:p w:rsidR="00B85568" w:rsidRDefault="00B85568" w:rsidP="00B85568">
      <w:pPr>
        <w:pStyle w:val="TextoNormal"/>
      </w:pPr>
      <w:r w:rsidRPr="00B85568">
        <w:rPr>
          <w:rStyle w:val="NumeroAFNegritaCaracter"/>
        </w:rPr>
        <w:t>4</w:t>
      </w:r>
      <w:r>
        <w:t>. El Presidente del Senado y del Presidente del Congreso de los Diputados, mediante escritos de 10 de febrero de 2015, registrados en este Tribunal el 11 y 12 de febrero de 2015, respectivamente, comunicaron que las Mesas de esas Cámaras habían acordado darse por personadas en estos procedimientos y ofrecer su colaboración a los efectos de lo previsto en el art. 88.1 LOTC.</w:t>
      </w:r>
    </w:p>
    <w:p w:rsidR="00B85568" w:rsidRDefault="00B85568" w:rsidP="00B85568">
      <w:pPr>
        <w:pStyle w:val="TextoNormal"/>
      </w:pPr>
    </w:p>
    <w:p w:rsidR="00B85568" w:rsidRDefault="00B85568" w:rsidP="00B85568">
      <w:pPr>
        <w:pStyle w:val="TextoNormal"/>
      </w:pPr>
      <w:r w:rsidRPr="00B85568">
        <w:rPr>
          <w:rStyle w:val="NumeroAFNegritaCaracter"/>
        </w:rPr>
        <w:t>5</w:t>
      </w:r>
      <w:r>
        <w:t>. El Pleno, por providencia de 20 de febrero de 2015, acordó oír al Parlamento y al Gobierno de Cataluña, a la Procuradora doña Virginia Aragón Segura, en representación de más de cincuenta Diputados del Grupo Parlamentario Socialista del Congreso de los Diputados, y al Abogado del Estado, para que, en el plazo de diez días, alegasen lo que estimasen conveniente sobre la acumulación al recurso de inconstitucionalidad núm. 7848-2014 de los recursos de inconstitucionalidad núms. 7874-2014 y 21-2015.</w:t>
      </w:r>
    </w:p>
    <w:p w:rsidR="00B85568" w:rsidRDefault="00B85568" w:rsidP="00B85568">
      <w:pPr>
        <w:pStyle w:val="TextoNormal"/>
      </w:pPr>
    </w:p>
    <w:p w:rsidR="00B85568" w:rsidRDefault="00B85568" w:rsidP="00B85568">
      <w:pPr>
        <w:pStyle w:val="TextoNormal"/>
      </w:pPr>
      <w:r>
        <w:t>La representación procesal de los más de cincuenta Diputados del Grupo Parlamentario Socialista del Congreso de los Diputados, el Parlamento y la Generalitat de Cataluña y el Abogado del Estado, por escritos registrados en este Tribunal el 3, 4, 6 y 9 de marzo de 2015, respectivamente, no se opusieron o consideraron procedente la acumulación.</w:t>
      </w:r>
    </w:p>
    <w:p w:rsidR="00B85568" w:rsidRDefault="00B85568" w:rsidP="00B85568">
      <w:pPr>
        <w:pStyle w:val="TextoNormal"/>
      </w:pPr>
    </w:p>
    <w:p w:rsidR="00B85568" w:rsidRDefault="00B85568" w:rsidP="00B85568">
      <w:pPr>
        <w:pStyle w:val="TextoNormal"/>
      </w:pPr>
      <w:r w:rsidRPr="00B85568">
        <w:rPr>
          <w:rStyle w:val="NumeroAFNegritaCaracter"/>
        </w:rPr>
        <w:t>6</w:t>
      </w:r>
      <w:r>
        <w:t>. El Abogado del Estado presentó sus escritos de alegaciones el 9 de marzo de 2015 interesando la desestimación de estos recursos de inconstitucionalidad.</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art. 83 de la Ley Orgánica del Tribunal Constitucional (LOTC) permite,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(AATC 49/2009, de 17 de febrero, FJ 1, 74/2010, de 30 de junio, fundamento jurídico único; 201/2014, de 22 de julio, entre otros muchos).</w:t>
      </w:r>
    </w:p>
    <w:p w:rsidR="00B85568" w:rsidRDefault="00B85568" w:rsidP="00B85568">
      <w:pPr>
        <w:pStyle w:val="TextoNormal"/>
      </w:pPr>
    </w:p>
    <w:p w:rsidR="00B85568" w:rsidRDefault="00B85568" w:rsidP="00B85568">
      <w:pPr>
        <w:pStyle w:val="TextoNormal"/>
      </w:pPr>
      <w:r>
        <w:t>En el presente caso existe entre los recursos de inconstitucionalidad registrados con los números 7848-2014, 7874-2014 y 21-2015 una indudable conexión, pues todos ellos impugnan, en todo o en parte, el Real Decreto-Ley 13/2014, de 3 de octubre, por el que se adoptan medidas urgentes en relación con el sistema gasista y la titularidad de las centrales nucleares y la impugnación se fundamenta en motivos similares. Por ello, conforme a lo establecido en el art. 83 LOTC, procede acordar la unidad de decisión de estos procesos constitucionales.</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Acumular los recursos de inconstitucionalidad núms. 7874-2014 y 21-2015 al recurso de inconstitucionalidad 7848-2014.</w:t>
      </w:r>
    </w:p>
    <w:p w:rsidR="00B85568" w:rsidRDefault="00B85568" w:rsidP="00B85568">
      <w:pPr>
        <w:pStyle w:val="TextoNormal"/>
      </w:pPr>
    </w:p>
    <w:p w:rsidR="00B85568" w:rsidRDefault="00B85568" w:rsidP="00B85568">
      <w:pPr>
        <w:pStyle w:val="TextoNormal"/>
      </w:pPr>
      <w:r>
        <w:t>Madrid, a catorce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19" w:name="AUTO_2015_69"/>
      <w:r>
        <w:t>AUTO 69/2015, de 14 de abril de 2015</w:t>
      </w:r>
    </w:p>
    <w:bookmarkEnd w:id="219"/>
    <w:p w:rsidR="00B85568" w:rsidRDefault="00B85568" w:rsidP="00B85568">
      <w:pPr>
        <w:pStyle w:val="TtuloResolucin"/>
      </w:pPr>
      <w:r>
        <w:t>Pleno</w:t>
      </w:r>
    </w:p>
    <w:p w:rsidR="00B85568" w:rsidRDefault="00B85568" w:rsidP="00B85568">
      <w:pPr>
        <w:pStyle w:val="TextoNormalCentrado"/>
      </w:pPr>
      <w:r>
        <w:t>ECLI:ES:TC:2015:69A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242-2015, planteada por el Juzgado de lo Contencioso-Administrativo núm. 22 de Madrid en relación con el inciso inicial del artículo 48.2 de la Ley  8/2012, de 28 de diciembre, de medidas fiscales y administrativas de la Comunidad de Madrid.</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15 de enero de 2015 tuvo entrada en el Registro General de este Tribunal oficio del Juzgado de lo Contencioso-Administrativo núm. 22 de Madrid remitiendo, junto con el testimonio de las actuaciones (procedimiento abreviado núm. 515-2013), Auto dictado el 31 de julio de 2014, por el que se acuerda plantear cuestión de inconstitucionalidad en relación con el inciso inicial del art. 48.2 de la Ley 8/2012, de 28 de diciembre, de medidas fiscales y administrativas de la Comunidad de Madrid, por posible vulneración del art. 149.1.18 CE en relación con lo dispuesto en el art. 26.2 de la Ley 55/2003, de 16 de diciembre, por la que se aprueba el estatuto marco del personal estatutario de los servicios de salud.</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del planteamiento de la presente cuestión de inconstitucionalidad son, sucintamente expuestos, los siguientes:</w:t>
      </w:r>
    </w:p>
    <w:p w:rsidR="00B85568" w:rsidRDefault="00B85568" w:rsidP="00B85568">
      <w:pPr>
        <w:pStyle w:val="TextoNormal"/>
      </w:pPr>
    </w:p>
    <w:p w:rsidR="00B85568" w:rsidRDefault="00B85568" w:rsidP="00B85568">
      <w:pPr>
        <w:pStyle w:val="TextoNormal"/>
      </w:pPr>
      <w:r>
        <w:t>a) Por la representación procesal de doña J.M.V. se interpuso recurso contencioso-administrativo contra la desestimación por silencio administrativo del recurso de alzada interpuesto contra la resolución de 25 de abril del Director General de recursos humanos del Servicio Madrileño de Salud por la que se acuerda denegar la permanencia de la actora en el servicio activo y procede a declarar la jubilación forzosa de la recurrente.</w:t>
      </w:r>
    </w:p>
    <w:p w:rsidR="00B85568" w:rsidRDefault="00B85568" w:rsidP="00B85568">
      <w:pPr>
        <w:pStyle w:val="TextoNormal"/>
      </w:pPr>
    </w:p>
    <w:p w:rsidR="00B85568" w:rsidRDefault="00B85568" w:rsidP="00B85568">
      <w:pPr>
        <w:pStyle w:val="TextoNormal"/>
      </w:pPr>
      <w:r>
        <w:t>b) Tras dar audiencia a las partes y al Ministerio Fiscal, la Sección Séptima de la Sala de lo Contencioso-Administrativo del Tribunal Superior de Justicia de Madrid decidió por Auto de 18 de octubre declarar competente para el conocimiento de las presentes actuaciones al Juzgado de lo Contencioso-Administrativo al que por turno corresponda.</w:t>
      </w:r>
    </w:p>
    <w:p w:rsidR="00B85568" w:rsidRDefault="00B85568" w:rsidP="00B85568">
      <w:pPr>
        <w:pStyle w:val="TextoNormal"/>
      </w:pPr>
    </w:p>
    <w:p w:rsidR="00B85568" w:rsidRDefault="00B85568" w:rsidP="00B85568">
      <w:pPr>
        <w:pStyle w:val="TextoNormal"/>
      </w:pPr>
      <w:r>
        <w:t>c) Repartido el procedimiento al Juzgado de lo Contencioso-Administrativo núm. 22 de Madrid, éste acordó tramitarlo como procedimiento abreviado. Planteada demanda por la actora en el primer otrosí se afirma que si, por entenderse inaceptables el resto de los motivos de impugnación, el fallo de este pleito se considera dependiente de la validez del art. 48 y la disposición transitoria sexta de la Ley 8/2012, de 28 de diciembre, de medidas fiscales y administrativas de la Comunidad de Madrid, procede que se plantee al Tribunal Constitucional la oportuna cuestión conforme a lo establecido en el art. 163 CE. La demanda se admitió a trámite por decreto de 10 de diciembre de 2013, citando a las partes para la celebración de vista que tuvo lugar el 13 de mayo de 2014.</w:t>
      </w:r>
    </w:p>
    <w:p w:rsidR="00B85568" w:rsidRDefault="00B85568" w:rsidP="00B85568">
      <w:pPr>
        <w:pStyle w:val="TextoNormal"/>
      </w:pPr>
    </w:p>
    <w:p w:rsidR="00B85568" w:rsidRDefault="00B85568" w:rsidP="00B85568">
      <w:pPr>
        <w:pStyle w:val="TextoNormal"/>
      </w:pPr>
      <w:r>
        <w:t>d) Conclusas las actuaciones y declarado el proceso visto para sentencia el órgano judicial dictó providencia de fecha 27 de mayo de 2014 otorgando a las partes y al Ministerio Fiscal un plazo de diez días para alegar lo que estimen oportuno acerca de la pertinencia de plantear cuestión de inconstitucionalidad contra el art. 48.2 de la Ley 8/2012, de 28 de diciembre, de medidas fiscales y administrativas de la Comunidad de Madrid en el inciso que dispone “Podrá prorrogarse la permanencia en el servicio activo como máximo al 30 por 100 del personal que cumpla la edad de jubilación en el año correspondiente”, al estimarlo contrario al art. 149.1.18 CE en relación con lo dispuesto en el art. 26.2 de la Ley 55/2003, de 16 de diciembre, por la que se aprueba el estatuto marco del personal estatutario de los servicios de salud, en la medida en que:</w:t>
      </w:r>
    </w:p>
    <w:p w:rsidR="00B85568" w:rsidRDefault="00B85568" w:rsidP="00B85568">
      <w:pPr>
        <w:pStyle w:val="TextoNormal"/>
      </w:pPr>
    </w:p>
    <w:p w:rsidR="00B85568" w:rsidRDefault="00B85568" w:rsidP="00B85568">
      <w:pPr>
        <w:pStyle w:val="TextoNormal"/>
      </w:pPr>
      <w:r>
        <w:t>1) El art. 149.1.18 CE establece la competencia exclusiva del Estado para establecer las bases del régimen estatutario de los funcionarios públicos, en los términos en los que se ha pronunciado el Tribunal Constitucional (STC 31/2010), extensible al personal sanitario (ATC 201/2008).</w:t>
      </w:r>
    </w:p>
    <w:p w:rsidR="00B85568" w:rsidRDefault="00B85568" w:rsidP="00B85568">
      <w:pPr>
        <w:pStyle w:val="TextoNormal"/>
      </w:pPr>
    </w:p>
    <w:p w:rsidR="00B85568" w:rsidRDefault="00B85568" w:rsidP="00B85568">
      <w:pPr>
        <w:pStyle w:val="TextoNormal"/>
      </w:pPr>
      <w:r>
        <w:t>2) El art. 26.2 de la Ley 55/2003, de 16 de diciembre, por la que se aprueba el estatuto marco del personal estatutario de los servicios de salud constituye norma básica en sentido formal, conforme a la disposición final primera de la misma Ley, por lo que opera como canon de constitucionalidad de la norma autonómica cuestionada.</w:t>
      </w:r>
    </w:p>
    <w:p w:rsidR="00B85568" w:rsidRDefault="00B85568" w:rsidP="00B85568">
      <w:pPr>
        <w:pStyle w:val="TextoNormal"/>
      </w:pPr>
    </w:p>
    <w:p w:rsidR="00B85568" w:rsidRDefault="00B85568" w:rsidP="00B85568">
      <w:pPr>
        <w:pStyle w:val="TextoNormal"/>
      </w:pPr>
      <w:r>
        <w:t>3) En el aspecto material esta norma estatal, al regular el derecho a la prolongación de servicio del personal estatutario de los servicios de salud más allá de la edad de jubilación, no establece ninguna referencia porcentual o numérica apriorística que limite ese derecho, estableciendo como únicos elementos modales las referencias a la capacidad funcional necesarias para ejercer la profesión o desarrollar las actividades correspondientes a su nombramiento y, como único condicionamiento que la prolongación “deberá ser autorizada por el servicio de salud correspondiente, en función de las necesidades de la organización articuladas en el marco de los planes de ordenación de recursos humanos”.</w:t>
      </w:r>
    </w:p>
    <w:p w:rsidR="00B85568" w:rsidRDefault="00B85568" w:rsidP="00B85568">
      <w:pPr>
        <w:pStyle w:val="TextoNormal"/>
      </w:pPr>
    </w:p>
    <w:p w:rsidR="00B85568" w:rsidRDefault="00B85568" w:rsidP="00B85568">
      <w:pPr>
        <w:pStyle w:val="TextoNormal"/>
      </w:pPr>
      <w:r>
        <w:t>4) El legislador autonómico, a través de la regulación cuestionada, ha podido incidir en una materia reservada al legislador estatal, estableciendo una regulación distinta que se aparta de la norma básica del Estado y que podría haber incidido en el ámbito reservado al mismo por el art. 149.1.18 CE, por suponer una quiebra de dicha regulación en la medida en que establece un “porcentaje fijo, insuperable, genérico y futuro de personal al que se pueda reconocer el derecho a la prolongación del servicio que no se contempla en la norma básica estatal. Previsión que afecta además a un derecho subjetivo del citado personal”.</w:t>
      </w:r>
    </w:p>
    <w:p w:rsidR="00B85568" w:rsidRDefault="00B85568" w:rsidP="00B85568">
      <w:pPr>
        <w:pStyle w:val="TextoNormal"/>
      </w:pPr>
    </w:p>
    <w:p w:rsidR="00B85568" w:rsidRDefault="00B85568" w:rsidP="00B85568">
      <w:pPr>
        <w:pStyle w:val="TextoNormal"/>
      </w:pPr>
      <w:r>
        <w:t>5) El legislador autonómico ha podido igualmente vulnerar “la finalidad de las normas básicas estatales de establecer reglas con vocación de aplicación uniforme en todo el territorio nacional que se vería perjudicada si las legislaciones autonómicas pudieran establecer apriorísticamente respecto de los planes de ordenación y antes de los mismos porcentajes diferentes (incluso muy distintos) de personal propio al que pudiera reconocerse derecho a la prolongación del servicio”.</w:t>
      </w:r>
    </w:p>
    <w:p w:rsidR="00B85568" w:rsidRDefault="00B85568" w:rsidP="00B85568">
      <w:pPr>
        <w:pStyle w:val="TextoNormal"/>
      </w:pPr>
    </w:p>
    <w:p w:rsidR="00B85568" w:rsidRDefault="00B85568" w:rsidP="00B85568">
      <w:pPr>
        <w:pStyle w:val="TextoNormal"/>
      </w:pPr>
      <w:r>
        <w:t>6) Igualmente, “el establecimiento de un porcentaje futuro, fijo y apriorístico, en este caso del 30 por ciento, no tiene explicación concreta en la Exposición de motivos y en el articulado de la Ley autonómica, que permitan conectarlo con el único criterio de otorgamiento del derecho que contempla la ley estatal, referido a las necesidades de organización articuladas en el marco de los planes de ordenación de recursos humanos”.</w:t>
      </w:r>
    </w:p>
    <w:p w:rsidR="00B85568" w:rsidRDefault="00B85568" w:rsidP="00B85568">
      <w:pPr>
        <w:pStyle w:val="TextoNormal"/>
      </w:pPr>
    </w:p>
    <w:p w:rsidR="00B85568" w:rsidRDefault="00B85568" w:rsidP="00B85568">
      <w:pPr>
        <w:pStyle w:val="TextoNormal"/>
      </w:pPr>
      <w:r>
        <w:t>7) Además, “el establecimiento por la ley autonómica de un porcentaje del 30 por ciento que no puede rebasarse condiciona el contenido de los planes de ordenación, en la medida en que las necesidades del servicio pudieran exigir que los mismos contemplaran una situación distinta que aconsejara otorgar la prolongación en el servicio activo a un número mayor de solicitantes que el que resulte de ese porcentaje”. Condicionamiento que pudiera ser contrario al único criterio establecido por la norma básica estatal que es el de atender a las necesidades de organización, tal como se definen en los planes de ordenación.</w:t>
      </w:r>
    </w:p>
    <w:p w:rsidR="00B85568" w:rsidRDefault="00B85568" w:rsidP="00B85568">
      <w:pPr>
        <w:pStyle w:val="TextoNormal"/>
      </w:pPr>
    </w:p>
    <w:p w:rsidR="00B85568" w:rsidRDefault="00B85568" w:rsidP="00B85568">
      <w:pPr>
        <w:pStyle w:val="TextoNormal"/>
      </w:pPr>
      <w:r>
        <w:t>8) El plan de ordenación de recursos humanos se atiene al límite porcentual marcado, lo que ha condicionado “la decisión adoptada por la administración en orden a la prolongación en el servicio activo solicitada por la recurrente, en función de los criterios de reorganización del servicio en que se sustenta la decisión administrativa impugnada y que se basan en la limitación al 30 por ciento de los solicitantes, por lo que la decisión del presente proceso pudiera depender de la cuestión de inconstitucionalidad”.</w:t>
      </w:r>
    </w:p>
    <w:p w:rsidR="00B85568" w:rsidRDefault="00B85568" w:rsidP="00B85568">
      <w:pPr>
        <w:pStyle w:val="TextoNormal"/>
      </w:pPr>
    </w:p>
    <w:p w:rsidR="00B85568" w:rsidRDefault="00B85568" w:rsidP="00B85568">
      <w:pPr>
        <w:pStyle w:val="TextoNormal"/>
      </w:pPr>
      <w:r>
        <w:t>e) La representación procesal de la demandante considera procedente el planteamiento de la cuestión, entendiendo también vulnerado el art. 24.1 CE, por cuanto el rango legal de la medida cuestionada excluye la posibilidad de control por la jurisdicción ordinaria. El Letrado de la Comunidad de Madrid se opuso al planteamiento de la cuestión indicando que no había quedado acreditado el juicio de relevancia y señalando que el límite máximo del 30 por 100 que se cuestionaba no condicionaba la validez del fallo, pues no se justificaba que la validez del art. 48.2 “conduzca a la nulidad de la Resolución que deniega la prórroga de jubilación del demandante”. Señala además que el porcentaje cuestionado del 30 por 100 se había elaborado a partir de una previa previsión de jubilaciones para los años 2013 a 2017, tal como se desprende del plan de ordenación de recursos humanos y de las correlativas necesidades de personal. Por su parte el Fiscal consideró cumplidas las exigencias de la Ley Orgánica del Tribunal Constitucional (LOTC) para el planteamiento de la cuestión de inconstitucionalidad.</w:t>
      </w:r>
    </w:p>
    <w:p w:rsidR="00B85568" w:rsidRDefault="00B85568" w:rsidP="00B85568">
      <w:pPr>
        <w:pStyle w:val="TextoNormal"/>
      </w:pPr>
    </w:p>
    <w:p w:rsidR="00B85568" w:rsidRDefault="00B85568" w:rsidP="00B85568">
      <w:pPr>
        <w:pStyle w:val="TextoNormal"/>
      </w:pPr>
      <w:r>
        <w:t>f) Por Auto de 31 de julio de 2014, el Juzgado de lo Contencioso-Administrativo núm. 22 de Madrid acordó promover cuestión de inconstitucionalidad en relación con el inciso inicial del art. 48.2 de la Ley 8/2012, de 28 de diciembre, de medidas fiscales y administrativas de la Comunidad de Madrid, por posible vulneración del art. 149.1.18 CE en relación con lo dispuesto en el art. 26.2 de la Ley 55/2003, de 16 de diciembre, por la que se aprueba el estatuto marco del personal estatutario de los servicios de salud.</w:t>
      </w:r>
    </w:p>
    <w:p w:rsidR="00B85568" w:rsidRDefault="00B85568" w:rsidP="00B85568">
      <w:pPr>
        <w:pStyle w:val="TextoNormal"/>
      </w:pPr>
    </w:p>
    <w:p w:rsidR="00B85568" w:rsidRDefault="00B85568" w:rsidP="00B85568">
      <w:pPr>
        <w:pStyle w:val="TextoNormal"/>
      </w:pPr>
      <w:r w:rsidRPr="00B85568">
        <w:rPr>
          <w:rStyle w:val="NumeroAFNegritaCaracter"/>
        </w:rPr>
        <w:t>3</w:t>
      </w:r>
      <w:r>
        <w:t>. En cuanto al contenido del Auto de promoción, importa destacar lo siguiente:</w:t>
      </w:r>
    </w:p>
    <w:p w:rsidR="00B85568" w:rsidRDefault="00B85568" w:rsidP="00B85568">
      <w:pPr>
        <w:pStyle w:val="TextoNormal"/>
      </w:pPr>
    </w:p>
    <w:p w:rsidR="00B85568" w:rsidRDefault="00B85568" w:rsidP="00B85568">
      <w:pPr>
        <w:pStyle w:val="TextoNormal"/>
      </w:pPr>
      <w:r>
        <w:t>En el apartado denominado hechos, el órgano judicial reproduce el contenido de la providencia por la que se abrió el trámite de audiencia a las partes y al Ministerio Fiscal para señalar a continuación las posiciones mantenidas por la partes en el mencionado trámite.</w:t>
      </w:r>
    </w:p>
    <w:p w:rsidR="00B85568" w:rsidRDefault="00B85568" w:rsidP="00B85568">
      <w:pPr>
        <w:pStyle w:val="TextoNormal"/>
      </w:pPr>
    </w:p>
    <w:p w:rsidR="00B85568" w:rsidRDefault="00B85568" w:rsidP="00B85568">
      <w:pPr>
        <w:pStyle w:val="TextoNormal"/>
      </w:pPr>
      <w:r>
        <w:t>En los fundamentos de derecho expone el contenido de los arts. 163 CE en relación con el art. 35.2 LOTC y el 5.3 de la Ley Orgánica del Poder Judicial. Señala que lo impugnado en el proceso es la resolución de 25 de abril del Director General de recursos humanos del Servicio Madrileño de Salud por la que se acuerda denegar la permanencia de la actora en el servicio activo y la desestimación por silencio administrativo del recurso de alzada interpuesto frente a aquella. Alude también a las pretensiones de la recurrente en el sentido de anular la actuación administrativa impugnada, así como el reconocimiento expreso del derecho a prolongar su situación de servicio activo hasta los 70 años, reincorporándose a su puesto con el abono de las retribuciones que le hubieran correspondido si se hubiera mantenido en servicio activo. Tras lo anterior afirma que “siguiendo un orden lógico se dan por reproducidas las cuestiones suscitadas en la providencia de fecha 24 de mayo de 2014”.</w:t>
      </w:r>
    </w:p>
    <w:p w:rsidR="00B85568" w:rsidRDefault="00B85568" w:rsidP="00B85568">
      <w:pPr>
        <w:pStyle w:val="TextoNormal"/>
      </w:pPr>
    </w:p>
    <w:p w:rsidR="00B85568" w:rsidRDefault="00B85568" w:rsidP="00B85568">
      <w:pPr>
        <w:pStyle w:val="TextoNormal"/>
      </w:pPr>
      <w:r>
        <w:t>Afirma a continuación que el inciso inicial del art. 48.2 de la Ley 8/2012, de 28 de diciembre, de medidas fiscales y administrativas de la Comunidad de Madrid, podría ser contrario al art. 149.1.18 CE, en relación con lo dispuesto en el art. 26.2 de la Ley 55/2003, de 16 de diciembre, por la que se aprueba el estatuto marco del personal estatutario de los servicios de salud. Concluye su razonamiento sosteniendo que “la posibilidad de que el mencionado art. 48 pueda concurrir en inconstitucionalidad, tanto por las razones competenciales, que por vía interpretativa no es posible acomodar la norma la ordenamiento constitucional, y que el Fallo del presente proceso depende de la validez de esta norma, procede el planteamiento de la cuestión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la Sección Segunda de este Tribunal, de fecha 17 de febrero de 2015,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w:t>
      </w:r>
    </w:p>
    <w:p w:rsidR="00B85568" w:rsidRDefault="00B85568" w:rsidP="00B85568">
      <w:pPr>
        <w:pStyle w:val="TextoNormal"/>
      </w:pPr>
    </w:p>
    <w:p w:rsidR="00B85568" w:rsidRDefault="00B85568" w:rsidP="00B85568">
      <w:pPr>
        <w:pStyle w:val="TextoNormal"/>
      </w:pPr>
      <w:r w:rsidRPr="00B85568">
        <w:rPr>
          <w:rStyle w:val="NumeroAFNegritaCaracter"/>
        </w:rPr>
        <w:t>5</w:t>
      </w:r>
      <w:r>
        <w:t>. El 17 de marzo de 2015, el Fiscal General del Estado presentó su escrito de alegaciones sugiriendo la inadmisión a trámite de la cuestión de inconstitucionalidad por entender que no se habían satisfecho adecuadamente los juicios de aplicabilidad y relevancia exigidos por el art. 35 LOTC.</w:t>
      </w:r>
    </w:p>
    <w:p w:rsidR="00B85568" w:rsidRDefault="00B85568" w:rsidP="00B85568">
      <w:pPr>
        <w:pStyle w:val="TextoNormal"/>
      </w:pPr>
    </w:p>
    <w:p w:rsidR="00B85568" w:rsidRDefault="00B85568" w:rsidP="00B85568">
      <w:pPr>
        <w:pStyle w:val="TextoNormal"/>
      </w:pPr>
      <w:r>
        <w:t>Las alegaciones del Fiscal General del Estado aluden pormenorizadamente a los antecedentes de hecho de la cuestión planteada, y al contenido de la providencia de audiencia a las partes y al Ministerio Fiscal, para a continuación citar el precepto cuestionado. Hace referencia a continuación al contenido del Auto de planteamiento para posteriormente señalar que la cuestión que plantea el órgano judicial es si la limitación al 30 por 100 de las prórrogas en el servicio activo para el personal del Servicio de Salud de la Comunidad de Madrid que cumpla la edad de jubilación en el año correspondiente, tal como establece el inciso inicial del art. 48.2 de la Ley 8/2012, de 28 de diciembre, de medidas fiscales y administrativas de la Comunidad de Madrid se ajusta a la norma básica contenida en el art. 26.2 de la Ley 55/2003, de 16 de diciembre, por la que se aprueba el estatuto marco del personal estatutario de los servicios de salud, que no señala un porcentaje máximo de prolongaciones en el servicio activo, sino que se atiene a las necesidades de la organización de los servicios de salud articuladas en los planes de ordenación de recursos humanos, vulnerando con ello el art. 149.1.18 CE.</w:t>
      </w:r>
    </w:p>
    <w:p w:rsidR="00B85568" w:rsidRDefault="00B85568" w:rsidP="00B85568">
      <w:pPr>
        <w:pStyle w:val="TextoNormal"/>
      </w:pPr>
    </w:p>
    <w:p w:rsidR="00B85568" w:rsidRDefault="00B85568" w:rsidP="00B85568">
      <w:pPr>
        <w:pStyle w:val="TextoNormal"/>
      </w:pPr>
      <w:r>
        <w:t>Examina a continuación si la cuestión cumple las condiciones procesales para su admisión, señalando que el trámite de audiencia ha de entenderse adecuadamente formulado, habiéndose explicitado de forma defectuosa el juicio de aplicabilidad y relevancia en el Auto de planteamiento, pues se limita a identificar la pretensión que formula el demandante del recurso y el precepto cuya constitucionalidad se cuestiona en relación con aquellos con los que entraría en contradicción, afirmando de una manera genérica la aplicabilidad en cuanto que da por reproducidos los términos de la providencia de audiencia.</w:t>
      </w:r>
    </w:p>
    <w:p w:rsidR="00B85568" w:rsidRDefault="00B85568" w:rsidP="00B85568">
      <w:pPr>
        <w:pStyle w:val="TextoNormal"/>
      </w:pPr>
    </w:p>
    <w:p w:rsidR="00B85568" w:rsidRDefault="00B85568" w:rsidP="00B85568">
      <w:pPr>
        <w:pStyle w:val="TextoNormal"/>
      </w:pPr>
      <w:r>
        <w:t>El Ministerio público recoge la doctrina constitucional acerca de la necesidad e importancia de la obligación del órgano judicial de realizar el juicio de aplicabilidad y relevancia en su Auto de planteamiento de la cuestión de inconstitucionalidad, incluyendo un pronunciamiento específico teniendo en cuenta las alegaciones formuladas por las partes en el proceso y en el trámite de audiencia del art. 35.2 LOTC. Para el Fiscal, la remisión al contenido de la providencia alude a las diferentes cuestiones que se someten a la consideración de las partes y no al análisis argumental que justifique cómo el fallo del proceso depende de la validez de la norma cuestionada, esquema argumental que ha de figurar en el Auto de planteamiento de la cuestión de inconstitucionalidad, sin que, por lo demás, el mismo pueda deducirse de la providencia.</w:t>
      </w:r>
    </w:p>
    <w:p w:rsidR="00B85568" w:rsidRDefault="00B85568" w:rsidP="00B85568">
      <w:pPr>
        <w:pStyle w:val="TextoNormal"/>
      </w:pPr>
    </w:p>
    <w:p w:rsidR="00B85568" w:rsidRDefault="00B85568" w:rsidP="00B85568">
      <w:pPr>
        <w:pStyle w:val="TextoNormal"/>
      </w:pPr>
      <w:r>
        <w:t>Señala además que la resolución impugnada se fundamentó en la ausencia de los requisitos establecidos en la resolución de 25 de marzo de 2013, de la Dirección General de recursos humanos del Servicio Madrileño de Salud, por la que se procede a la aplicación del plan de ordenación de recursos humanos del Servicio Madrileño de Salud en materia de jubilación forzosa y de prolongación y prórroga de la permanencia en el servicio activo del personal estatutario y no contiene referencia alguna a una posible denegación de la prórroga solicitada al límite del 30 por 100 del personal que cumpla la edad de jubilación en el año correspondiente. Igualmente el Fiscal aprecia en el Auto de planteamiento una falta absoluta de argumentos sobre cómo la limitación de la norma autonómica sería contraria a la Constitución, sin que la aparente contradicción con la base estatal sea motivo suficiente para entenderla debidamente argumentada. Por ello el Fiscal General del Estado concluye que el Auto de planteamiento de la cuestión carece del necesario juicio de relevancia que explique las dudas del órgano judicial sobre la validez constitucional de la norma de la que depende el fallo a dictar en el proceso subyacente. El órgano judicial se ha limitado a referir la pretensión del demandante, copiar el precepto cuestionado y dar por reproducida la providencia por la que se abrió el trámite de audiencia a las partes y al Ministerio Fiscal, de manera que, a juicio del Fiscal General del Estado, hay que concluir que, en este caso, no se han satisfecho suficientemente los juicios de aplicabilidad y relevancia.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Contencioso-Administrativo núm. 22 de Madrid plantea cuestión de inconstitucionalidad en relación con el inciso inicial del art. 48.2 de la Ley 8/2012, de 28 de diciembre, de medidas fiscales y administrativas de la Comunidad de Madrid, por posible vulneración del art. 149.1.18 CE en relación con lo dispuesto en el art. 26.2 de la Ley 55/2003, de 16 de diciembre, por la que se aprueba el estatuto marco del personal estatutario de los servicios de salud.</w:t>
      </w:r>
    </w:p>
    <w:p w:rsidR="00B85568" w:rsidRDefault="00B85568" w:rsidP="00B85568">
      <w:pPr>
        <w:pStyle w:val="TextoNormal"/>
      </w:pPr>
    </w:p>
    <w:p w:rsidR="00B85568" w:rsidRDefault="00B85568" w:rsidP="00B85568">
      <w:pPr>
        <w:pStyle w:val="TextoNormal"/>
      </w:pPr>
      <w:r>
        <w:t>El art. 48 de la Ley 8/2012, del que se cuestiona el inciso inicial de su apartado segundo, dispone lo siguiente:</w:t>
      </w:r>
    </w:p>
    <w:p w:rsidR="00B85568" w:rsidRDefault="00B85568" w:rsidP="00B85568">
      <w:pPr>
        <w:pStyle w:val="TextoNormal"/>
      </w:pPr>
    </w:p>
    <w:p w:rsidR="00B85568" w:rsidRDefault="00B85568" w:rsidP="00B85568">
      <w:pPr>
        <w:pStyle w:val="TextoNormal"/>
      </w:pPr>
      <w:r>
        <w:t>“Artículo 48. Jubilación forzosa del personal estatutario del Servicio Madrileño de Salud.</w:t>
      </w:r>
    </w:p>
    <w:p w:rsidR="00B85568" w:rsidRDefault="00B85568" w:rsidP="00B85568">
      <w:pPr>
        <w:pStyle w:val="TextoNormal"/>
      </w:pPr>
    </w:p>
    <w:p w:rsidR="00B85568" w:rsidRDefault="00B85568" w:rsidP="00B85568">
      <w:pPr>
        <w:pStyle w:val="TextoNormal"/>
      </w:pPr>
      <w:r>
        <w:t>1. La jubilación forzosa del personal estatutario de las Instituciones Sanitarias del Servicio Madrileño de Salud se declarará de oficio cuando el interesado cumpla la edad mínima de jubilación forzosa, de acuerdo con lo establecido en el Texto Refundido de la Ley General de la Seguridad Social, aprobado por Real Decreto Legislativo 1/ 1994, de 20 de junio.</w:t>
      </w:r>
    </w:p>
    <w:p w:rsidR="00B85568" w:rsidRDefault="00B85568" w:rsidP="00B85568">
      <w:pPr>
        <w:pStyle w:val="TextoNormal"/>
      </w:pPr>
    </w:p>
    <w:p w:rsidR="00B85568" w:rsidRDefault="00B85568" w:rsidP="00B85568">
      <w:pPr>
        <w:pStyle w:val="TextoNormal"/>
      </w:pPr>
      <w:r>
        <w:t>2. Podrá prorrogarse la permanencia en el servicio activo como máximo al 30 por 100 del personal que cumpla la edad de jubilación en el año correspondiente, en función de las necesidades de la organización, articuladas en el marco de los planes de ordenación de recursos humanos del Servicio Madrileño de Salud. Las prolongaciones se efectuarán mediante resolución expresa por un período de un año, prorrogables por períodos de igual duración.</w:t>
      </w:r>
    </w:p>
    <w:p w:rsidR="00B85568" w:rsidRDefault="00B85568" w:rsidP="00B85568">
      <w:pPr>
        <w:pStyle w:val="TextoNormal"/>
      </w:pPr>
    </w:p>
    <w:p w:rsidR="00B85568" w:rsidRDefault="00B85568" w:rsidP="00B85568">
      <w:pPr>
        <w:pStyle w:val="TextoNormal"/>
      </w:pPr>
      <w:r>
        <w:t>3. Asimismo, se concederá prolongación en el servicio activo en el supuesto incluido en el art. 26. 3 de la Ley 55/ 2003, de 16 de diciembre, del Estatuto Marco del Personal Estatutario de los Servicios de Salud.”</w:t>
      </w:r>
    </w:p>
    <w:p w:rsidR="00B85568" w:rsidRDefault="00B85568" w:rsidP="00B85568">
      <w:pPr>
        <w:pStyle w:val="TextoNormal"/>
      </w:pPr>
    </w:p>
    <w:p w:rsidR="00B85568" w:rsidRDefault="00B85568" w:rsidP="00B85568">
      <w:pPr>
        <w:pStyle w:val="TextoNormal"/>
      </w:pPr>
      <w:r>
        <w:t>El órgano judicial plantea que el inciso cuestionado es contrario al art. 26.2 de la Ley 55/ 2003, de 16 de diciembre, del estatuto marco del personal estatutario de los servicios de salud, en la medida en que la norma básica no alude a ese límite cuantitativo del 30 por 100 del personal que cumpla la edad de jubilación en el año correspondiente, contradicción que supondría la vulneración del art. 149.1.18 CE a cuyo amparo se ha dictado el precepto estatal.</w:t>
      </w:r>
    </w:p>
    <w:p w:rsidR="00B85568" w:rsidRDefault="00B85568" w:rsidP="00B85568">
      <w:pPr>
        <w:pStyle w:val="TextoNormal"/>
      </w:pPr>
    </w:p>
    <w:p w:rsidR="00B85568" w:rsidRDefault="00B85568" w:rsidP="00B85568">
      <w:pPr>
        <w:pStyle w:val="TextoNormal"/>
      </w:pPr>
      <w:r>
        <w:t>El Fiscal General del Estado, como se ha expuesto en los antecedentes, interesa, en el trámite previsto en el art. 37.1 de la Ley Orgánica del Tribunal Constitucional (LOTC), la inadmisión de la cuestión de inconstitucionalidad por entender que la misma no satisface los juicios de aplicabilidad y relevancia.</w:t>
      </w:r>
    </w:p>
    <w:p w:rsidR="00B85568" w:rsidRDefault="00B85568" w:rsidP="00B85568">
      <w:pPr>
        <w:pStyle w:val="TextoNormal"/>
      </w:pPr>
    </w:p>
    <w:p w:rsidR="00B85568" w:rsidRDefault="00B85568" w:rsidP="00B85568">
      <w:pPr>
        <w:pStyle w:val="TextoNormal"/>
      </w:pPr>
      <w:r w:rsidRPr="00B85568">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 En el presente caso, la cuestión de inconstitucionalidad debe ser inadmitida por la falta de cumplimiento de los requisitos procesales que establece el art. 35.2 LOTC acerca de los debidos juicios de aplicabilidad y relevancia.</w:t>
      </w:r>
    </w:p>
    <w:p w:rsidR="00B85568" w:rsidRDefault="00B85568" w:rsidP="00B85568">
      <w:pPr>
        <w:pStyle w:val="TextoNormal"/>
      </w:pPr>
    </w:p>
    <w:p w:rsidR="00B85568" w:rsidRDefault="00B85568" w:rsidP="00B85568">
      <w:pPr>
        <w:pStyle w:val="TextoNormal"/>
      </w:pPr>
      <w:r w:rsidRPr="00B85568">
        <w:rPr>
          <w:rStyle w:val="NumeroAFNegritaCaracter"/>
        </w:rPr>
        <w:t>3</w:t>
      </w:r>
      <w:r>
        <w:t>. Es constante la doctrina constitucional que señala que corresponde al órgano judicial proponente determinar con claridad que la disposición cuestionada es aplicable a los hechos enjuiciados en el proceso en cuyo seno se suscita, de modo que el control que corresponde efectuar a este Tribunal es meramente externo, sin que pueda sustituirlo en la selección e interpretación de la norma aplicable, lo que se concreta en que este Tribunal “no puede ponderar o revisar tal apreciación del propio órgano judicial sobre las normas que en cada caso estime aplicables, a salvo el supuesto de que el criterio que así se exponga resulte con toda evidencia errado” (STC 87/2014, de 29 de mayo, FJ 2, con cita de otras). Así, siendo la expresada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40/2014, de 11 de marzo, FJ 2 b), con cita de la STC 151/2011, de 29 de septiembre, FJ 3] y se evita que el control de constitucionalidad no se convierta en un control abstracto, para lo que el órgano judicial no tiene legitimación (SSTC 84/2012, de 18 de abril, FJ 2; y 146/2012, de 54 de julio, FJ 3). Así pues, el control que puede hacer este Tribunal está limitado a los supuestos en que la argumentación judicial, sin necesidad de entrar en el fondo, resulte falta de consistencia [SSTC 87/2012, de 18 de abril, FJ 2; 146/2012, de 54 de julio, FJ 3 j), y 60/2013, de 13 de marzo FJ 1 b)].</w:t>
      </w:r>
    </w:p>
    <w:p w:rsidR="00B85568" w:rsidRDefault="00B85568" w:rsidP="00B85568">
      <w:pPr>
        <w:pStyle w:val="TextoNormal"/>
      </w:pPr>
    </w:p>
    <w:p w:rsidR="00B85568" w:rsidRDefault="00B85568" w:rsidP="00B85568">
      <w:pPr>
        <w:pStyle w:val="TextoNormal"/>
      </w:pPr>
      <w:r>
        <w:t>El art. 35.1 LOTC exige que la norma con rango de ley de la que tenga dudas el órgano judicial debe ser “aplicable al caso y de cuya validez dependa el fallo”, mientras que 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Así,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w:t>
      </w:r>
    </w:p>
    <w:p w:rsidR="00B85568" w:rsidRDefault="00B85568" w:rsidP="00B85568">
      <w:pPr>
        <w:pStyle w:val="TextoNormal"/>
      </w:pPr>
    </w:p>
    <w:p w:rsidR="00B85568" w:rsidRDefault="00B85568" w:rsidP="00B85568">
      <w:pPr>
        <w:pStyle w:val="TextoNormal"/>
      </w:pPr>
      <w:r>
        <w:t xml:space="preserve">Ya hemos indicado que es a los Jueces y Tribunales ordinarios que plantean las cuestiones de inconstitucionalidad a los que corresponde comprobar y exteriorizar, </w:t>
      </w:r>
      <w:r w:rsidRPr="00B85568">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(por todos, ATC 164/2014, de 10 de junio, FJ 2, citando la STC 60/2013, de 13 de marzo, FJ 1).</w:t>
      </w:r>
    </w:p>
    <w:p w:rsidR="00B85568" w:rsidRDefault="00B85568" w:rsidP="00B85568">
      <w:pPr>
        <w:pStyle w:val="TextoNormal"/>
      </w:pPr>
    </w:p>
    <w:p w:rsidR="00B85568" w:rsidRDefault="00B85568" w:rsidP="00B85568">
      <w:pPr>
        <w:pStyle w:val="TextoNormal"/>
      </w:pPr>
      <w:r w:rsidRPr="00B85568">
        <w:rPr>
          <w:rStyle w:val="NumeroAFNegritaCaracter"/>
        </w:rPr>
        <w:t>4</w:t>
      </w:r>
      <w:r>
        <w:t>. El Auto de planteamiento no contiene una referencia expresa a los juicios de aplicabilidad y relevancia, pues la única mención a los mismos es la simple afirmación de que “el fallo del presente proceso depende de la validez de esta norma”, si bien en ese Auto se hace una remisión expresa a la providencia por la que abre el trámite de audiencia a las partes y al Ministerio Fiscal en la que se indica que “la decisión adoptada por la administración en orden a la prolongación en el servicio activo solicitada por la recurrente, en función de los criterios de reorganización del servicio en que se sustenta la decisión administrativa impugnada y que se basan en la limitación al 30 por ciento de los solicitantes, por lo que la decisión del presente proceso pudiera depender de la cuestión de inconstitucionalidad”.</w:t>
      </w:r>
    </w:p>
    <w:p w:rsidR="00B85568" w:rsidRDefault="00B85568" w:rsidP="00B85568">
      <w:pPr>
        <w:pStyle w:val="TextoNormal"/>
      </w:pPr>
    </w:p>
    <w:p w:rsidR="00B85568" w:rsidRDefault="00B85568" w:rsidP="00B85568">
      <w:pPr>
        <w:pStyle w:val="TextoNormal"/>
      </w:pPr>
      <w:r>
        <w:t xml:space="preserve">Admitida dicha forma de plantear los debidos juicios de aplicabilidad y relevancia (en el mismo sentido ATC 145/2012, de 16 de julio, FJ 3, </w:t>
      </w:r>
      <w:r w:rsidRPr="00B85568">
        <w:rPr>
          <w:i/>
        </w:rPr>
        <w:t>in fine</w:t>
      </w:r>
      <w:r>
        <w:t>), en la medida en que puede entenderse que están implícitos en la reproducción por el Auto del tenor literal de la providencia por la que se abrió el trámite de audiencia, hemos de considerar que, por lo que hace a la formulación del juicio de aplicabilidad —que la norma resulte aplicable al caso (art. 35.1 LOTC)—, éste puede considerarse correctamente realizado, en tanto se pone de manifiesto que, solicitada la prórroga en el servicio activo, procede la aplicación de lo dispuesto en el art. 48 de la Ley 8/2012, pues es el precepto que establece la regulación de la jubilación forzosa del personal estatutario del Servicio Madrileño de Salud.</w:t>
      </w:r>
    </w:p>
    <w:p w:rsidR="00B85568" w:rsidRDefault="00B85568" w:rsidP="00B85568">
      <w:pPr>
        <w:pStyle w:val="TextoNormal"/>
      </w:pPr>
    </w:p>
    <w:p w:rsidR="00B85568" w:rsidRDefault="00B85568" w:rsidP="00B85568">
      <w:pPr>
        <w:pStyle w:val="TextoNormal"/>
      </w:pPr>
      <w:r>
        <w:t xml:space="preserve">Por el contrario, el requisito relativo a la justificación de que la decisión del proceso </w:t>
      </w:r>
      <w:r w:rsidRPr="00B85568">
        <w:rPr>
          <w:i/>
        </w:rPr>
        <w:t>a quo</w:t>
      </w:r>
      <w:r>
        <w:t xml:space="preserve"> depende de la validez de la norma cuestionada (art. 35.2 LOTC), esto es, el denominado juicio de relevancia, no puede considerarse adecuadamente formulado.</w:t>
      </w:r>
    </w:p>
    <w:p w:rsidR="00B85568" w:rsidRDefault="00B85568" w:rsidP="00B85568">
      <w:pPr>
        <w:pStyle w:val="TextoNormal"/>
      </w:pPr>
    </w:p>
    <w:p w:rsidR="00B85568" w:rsidRDefault="00B85568" w:rsidP="00B85568">
      <w:pPr>
        <w:pStyle w:val="TextoNormal"/>
      </w:pPr>
      <w:r>
        <w:t xml:space="preserve">En el Auto de planteamiento de la cuestión, bien que por remisión a la providencia de 24 de mayo, se afirma que esa limitación del 30 por 100 que se cuestiona es la que ha determinado la decisión administrativa impugnada en el proceso </w:t>
      </w:r>
      <w:r w:rsidRPr="00B85568">
        <w:rPr>
          <w:i/>
        </w:rPr>
        <w:t>a quo</w:t>
      </w:r>
      <w:r>
        <w:t>, siendo, por tanto, relevante para su resolución. Sin embargo los términos en los que el órgano judicial plantea su duda de constitucionalidad carecen de la conexión o vinculación con el objeto del proceso que exige el juicio de relevancia, lo que provoca, como consecuencia, la desnaturalización del carácter concreto del control de constitucionalidad propio de toda cuestión de inconstitucionalidad.</w:t>
      </w:r>
    </w:p>
    <w:p w:rsidR="00B85568" w:rsidRDefault="00B85568" w:rsidP="00B85568">
      <w:pPr>
        <w:pStyle w:val="TextoNormal"/>
      </w:pPr>
    </w:p>
    <w:p w:rsidR="00B85568" w:rsidRDefault="00B85568" w:rsidP="00B85568">
      <w:pPr>
        <w:pStyle w:val="TextoNormal"/>
      </w:pPr>
      <w:r>
        <w:t xml:space="preserve">En efecto, si nos detenemos en los datos objetivos de la situación que se ventila en el proceso </w:t>
      </w:r>
      <w:r w:rsidRPr="00B85568">
        <w:rPr>
          <w:i/>
        </w:rPr>
        <w:t>a quo</w:t>
      </w:r>
      <w:r>
        <w:t>, podemos llegar a la conclusión, como también ha señalado el Fiscal General del Estado, de que el inciso cuestionado carece de la relevancia que el órgano promotor de la cuestión pretende asignarle. Así, la pretensión de la actora es que se declare la disconformidad a derecho con la consiguiente anulación del acto administrativo impugnado, la resolución de 25 de abril del Director General de recursos humanos del Servicio Madrileño de Salud por la que se acuerda denegar la permanencia de la actora en el servicio activo y la desestimación por silencio administrativo del recurso de alzada interpuesto frente a aquella. Dicha resolución se afirma dictada al amparo del art. 48 de la Ley 8/2012 y la resolución de 25 de marzo de 2013, por la que se procede a la aplicación del plan de ordenación de recursos humanos del Servicio Madrileño de Salud en materia de jubilación forzosa y de prolongación y prórroga de la permanencia en el servicio activo del personal estatutario.</w:t>
      </w:r>
    </w:p>
    <w:p w:rsidR="00B85568" w:rsidRDefault="00B85568" w:rsidP="00B85568">
      <w:pPr>
        <w:pStyle w:val="TextoNormal"/>
      </w:pPr>
    </w:p>
    <w:p w:rsidR="00B85568" w:rsidRDefault="00B85568" w:rsidP="00B85568">
      <w:pPr>
        <w:pStyle w:val="TextoNormal"/>
      </w:pPr>
      <w:r>
        <w:t>El mencionado precepto legal regula la posibilidad de prorrogar la permanencia en el servicio activo como máximo al 30 por 100 del personal que cumpla la edad de jubilación en el año correspondiente en función de las necesidades de la organización articuladas en el marco de los planes de ordenación de recursos humanos del Servicio Madrileño de Salud. Según el órgano judicial, el inciso relevante para la resolución del proceso sería el primero, que establece el límite cuantitativo del 30 por 100 del personal que cumpla la edad de jubilación; pero lo cierto es que la Administración sanitaria no ha fundamentado la denegación recurrida en dicho límite cuantitativo sino en el segundo, relativo a las necesidades de la organización articuladas en el marco de los planes de ordenación de recursos humanos del Servicio Madrileño de Salud, extremo que, por lo demás, ya fue puesto de manifiesto por el Letrado de la Comunidad de Madrid en el trámite de audiencia previo al planteamiento de la cuestión, sin que el Auto haga referencia alguna al respecto.</w:t>
      </w:r>
    </w:p>
    <w:p w:rsidR="00B85568" w:rsidRDefault="00B85568" w:rsidP="00B85568">
      <w:pPr>
        <w:pStyle w:val="TextoNormal"/>
      </w:pPr>
    </w:p>
    <w:p w:rsidR="00B85568" w:rsidRDefault="00B85568" w:rsidP="00B85568">
      <w:pPr>
        <w:pStyle w:val="TextoNormal"/>
      </w:pPr>
      <w:r>
        <w:t>Esto es, la causa de la denegación de la petición de prorroga en el servicio activo no es, como parece sostener el órgano judicial, la aplicación del límite del 30 por 100 del personal que cumpla la edad de jubilación, sino, más precisamente, que no existen necesidades organizativas que justifiquen la permanencia en el servicio activo, que es, precisamente, el presupuesto a partir del cual puede operar la posible prórroga, sometida entonces al límite cuantitativo antes mencionado. Sobre esto último nada se argumenta en el Auto, pese a que la Administración ha declarado expresamente que no existen tales necesidades. Como la mera lectura de la resolución impugnada pone de manifiesto, la denegación de la permanencia en el servicio activo de la actora se fundamenta en la valoración de circunstancias expresamente contempladas en el epígrafe 15, jubilación, del plan de ordenación de recursos humanos del Servicio Madrileño de Salud, aprobado por Orden de 22 de marzo de 2013, del Consejero de Sanidad, y en la resolución de 25 de marzo de 2013, de la Dirección General de recursos humanos del Servicio Madrileño de Salud, por la que se procede a la aplicación del plan de ordenación de recursos humanos del Servicio Madrileño de Salud en materia de jubilación forzosa y de prolongación y prórroga de la permanencia en el servicio activo del personal estatutario. Tales circunstancias son: a) necesidad de profesionales en el área funcional correspondiente, respecto a lo que se concluye que la permanencia de la solicitante no es necesaria dentro del marco de la reorganización del servicio; b) relevancia de las técnicas sanitarias que realiza la solicitante, señalando que su área de actividad queda cubierta en el marco de la reorganización del servicio y c) grado de participación en proyectos de mejora de la eficiencia, en la elaboración de guías clínicas y planes estratégicos, respecto de los que se concluye que no hay constancia de participación de la interesada. Estas causas de denegación se reiteran en un informe complementario sobre la jubilación de la demandante, de fecha 9 de mayo de 2014, que obra en los autos y en el que se afirma que no era necesaria la sustitución de dicha profesional al quedar su labor atendida por el resto de los componentes del servicio, sin que la actividad a la que se dedicaba la interesada hubiera quedado afectada por su jubilación. A mayor abundamiento, tal como se desprende del plan de ordenación de recursos humanos del Servicio Madrileño de Salud, en la especialidad de la actora (radiodiagnóstico), estaban previstas, para el período 2013-2017, 58 jubilaciones de un total de 312 efectivos, un 18,59 por 100, mientras que se encontraban en formación en dicha especialidad un total de 159 facultativos, datos ambos que ponen de relieve que el criterio cuantitativo del que duda el órgano judicial no ha sido tenido en cuenta por la Administración sanitaria para dictar la resolución objeto del proces</w:t>
      </w:r>
      <w:r w:rsidRPr="00B85568">
        <w:rPr>
          <w:i/>
        </w:rPr>
        <w:t>o a q</w:t>
      </w:r>
      <w:r>
        <w:t>uo.</w:t>
      </w:r>
    </w:p>
    <w:p w:rsidR="00B85568" w:rsidRDefault="00B85568" w:rsidP="00B85568">
      <w:pPr>
        <w:pStyle w:val="TextoNormal"/>
      </w:pPr>
    </w:p>
    <w:p w:rsidR="00B85568" w:rsidRDefault="00B85568" w:rsidP="00B85568">
      <w:pPr>
        <w:pStyle w:val="TextoNormal"/>
      </w:pPr>
      <w:r>
        <w:t xml:space="preserve">Por ello, aunque se entendiera que el inciso cuestionado es aplicable al caso, únicamente en cuanto que regula la jubilación del personal estatutario de los servicios de salud, lo cierto es que no es el relevante para la resolución del proceso </w:t>
      </w:r>
      <w:r w:rsidRPr="00B85568">
        <w:rPr>
          <w:i/>
        </w:rPr>
        <w:t>a quo</w:t>
      </w:r>
      <w:r>
        <w:t>, con la consecuencia de que el llamado “juicio de relevancia” —o relación entre la norma cuya constitucionalidad se cuestiona por el órgano judicial y el fallo a dictar en el proceso— no puede entenderse adecuadamente formulado, de suerte que lo que pretende el órgano judicial que plantea la presente cuestión de inconstitucionalidad es convertir esta en un juicio de constitucionalidad en abstracto, desligado del proceso a quo, “lo que, cabalmente, no puede constituir nunca el objeto de un procedimiento constitucional de este tipo” (SSTC 147/2012, de 5 de julio, FJ 3, y 6/2010, de 14 de abril, FJ 2, y ATC 57/2014, de 25 de febrero, FJ 4).</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cuestión de inconstitucionalidad núm. 242-2015 planteada por el Juzgado de lo Contencioso-Administrativo núm. 22 de Madrid.</w:t>
      </w:r>
    </w:p>
    <w:p w:rsidR="00B85568" w:rsidRDefault="00B85568" w:rsidP="00B85568">
      <w:pPr>
        <w:pStyle w:val="TextoNormal"/>
      </w:pPr>
    </w:p>
    <w:p w:rsidR="00B85568" w:rsidRDefault="00B85568" w:rsidP="00B85568">
      <w:pPr>
        <w:pStyle w:val="TextoNormal"/>
      </w:pPr>
      <w:r>
        <w:t>Madrid, a catorce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0" w:name="AUTO_2015_70"/>
      <w:r>
        <w:t>AUTO 70/2015, de 14 de abril de 2015</w:t>
      </w:r>
    </w:p>
    <w:bookmarkEnd w:id="220"/>
    <w:p w:rsidR="00B85568" w:rsidRDefault="00B85568" w:rsidP="00B85568">
      <w:pPr>
        <w:pStyle w:val="TtuloResolucin"/>
      </w:pPr>
      <w:r>
        <w:t>Pleno</w:t>
      </w:r>
    </w:p>
    <w:p w:rsidR="00B85568" w:rsidRDefault="00B85568" w:rsidP="00B85568">
      <w:pPr>
        <w:pStyle w:val="TextoNormalCentrado"/>
      </w:pPr>
      <w:r>
        <w:t>ECLI:ES:TC:2015:70A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el conflicto en defensa de la autonomía local 432-2015, planteado por el Consejo Insular de Formentera en relación con el artículo 186.1 de la Ley 4/2014, de 20 de junio, de transportes terrestres y movilidad sostenible de las Illes Balears.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del Tribunal Constitucional el día 23 de enero de 2015, don Luis Pozas Osset, Procurador de los Tribunales, actuando en nombre y representación del Consejo Insular de Formentera plantea conflicto en defensa de la autonomía local contra el art. 186.1 de la Ley 4/2014, de 20 de junio, de transportes terrestres y movilidad sostenible de las Illes Balears.</w:t>
      </w:r>
    </w:p>
    <w:p w:rsidR="00B85568" w:rsidRDefault="00B85568" w:rsidP="00B85568">
      <w:pPr>
        <w:pStyle w:val="TextoNormal"/>
      </w:pPr>
    </w:p>
    <w:p w:rsidR="00B85568" w:rsidRDefault="00B85568" w:rsidP="00B85568">
      <w:pPr>
        <w:pStyle w:val="TextoNormal"/>
      </w:pPr>
      <w:r>
        <w:t>El escrito de interposición del conflicto comienza con una extensa referencia a lo que califica como peculiaridad del Consejo Insular de Formentera en la medida en que reuniría la triple condición de institución de autogobierno de la Comunidad Autónoma, entidad municipal (pues toda la isla es un único municipio) y entidad insular. Esa triple condición hace que se trate de un caso único en el Derecho público español justificativa de un necesario tratamiento diferenciado. Ahora bien, expone la demanda que, al amparo de dicha singularidad, el art. 186.1 de la Ley 4/2014, de 20 de junio, establece una regulación que vulnera la autonomía local constitucionalmente garantizada del Consejo Insular de Formentera y, en concreto, su capacidad para ejercer las competencias propias en materia de transportes y movilidad en igualdad de condiciones que el resto de los Consejos Insulares de la Comunidad Autónoma. Concretamente, se aduce que el referido precepto introduce una tutela discriminatoria para con el Consell Insular de Formentera al prohibir que la isla apruebe planes insulares de servicios de transporte regular de viajeros por carretera como el resto de las islas y al prever que ha de aprobar un plan de movilidad urbana sostenible, que está sometido, de acuerdo con la regulación contenida en los arts. 189 y siguientes de la Ley 4/2014, a informe vinculante de la Consejería competente en materia de movilidad del Gobierno de las Illes Balears, para aquellos aspectos que sean competencia del Gobierno de las Illes Balears. De acuerdo con lo anterior, se considera fundada la lesión de la autonomía local que corresponde a Formentera por el contenido del art. 186. 1 de la Ley 4/2014, de 20 de junio, de transportes terrestres y movilidad sostenible de las Illes Balears.</w:t>
      </w:r>
    </w:p>
    <w:p w:rsidR="00B85568" w:rsidRDefault="00B85568" w:rsidP="00B85568">
      <w:pPr>
        <w:pStyle w:val="TextoNormal"/>
      </w:pPr>
    </w:p>
    <w:p w:rsidR="00B85568" w:rsidRDefault="00B85568" w:rsidP="00B85568">
      <w:pPr>
        <w:pStyle w:val="TextoNormal"/>
      </w:pPr>
      <w:r w:rsidRPr="00B85568">
        <w:rPr>
          <w:rStyle w:val="NumeroAFNegritaCaracter"/>
        </w:rPr>
        <w:t>2</w:t>
      </w:r>
      <w:r>
        <w:t>. El escrito de interposición del conflicto, al exponer los antecedentes de hecho del mismo, pone de manifiesto que se aporta copia de la traducción al castellano del dictamen del Consejo Consultivo de las Illes Balears, emitido el 12 de noviembre de 2014 a propósito de este conflicto en defensa de la autonomía local. Dicho documento tuvo entrada en el Consell Insular de Formentera el 24 de diciembre de 2014 y, dado que es la versión en castellano la que ha de ser tenida en cuenta para enviar al Tribunal Constitucional, el conflicto se ha planteado en plazo.</w:t>
      </w:r>
    </w:p>
    <w:p w:rsidR="00B85568" w:rsidRDefault="00B85568" w:rsidP="00B85568">
      <w:pPr>
        <w:pStyle w:val="TextoNormal"/>
      </w:pPr>
    </w:p>
    <w:p w:rsidR="00B85568" w:rsidRDefault="00B85568" w:rsidP="00B85568">
      <w:pPr>
        <w:pStyle w:val="TextoNormal"/>
      </w:pPr>
      <w:r w:rsidRPr="00B85568">
        <w:rPr>
          <w:rStyle w:val="NumeroAFNegritaCaracter"/>
        </w:rPr>
        <w:t>3</w:t>
      </w:r>
      <w:r>
        <w:t>. Por diligencia de ordenación de la Secretaría de Justicia del Pleno de 4 de febrero de 2015, se dio un plazo de diez días al Procurador don Luis Pozas Osset, en representación del Consejo Insular de Formentera, para que aportase el dictamen emitido por el Consejo Consultivo de las Illes Balears, con su fecha de recepción, toda vez que el documento aportado con la demanda era una traducción de dicho dictamen.</w:t>
      </w:r>
    </w:p>
    <w:p w:rsidR="00B85568" w:rsidRDefault="00B85568" w:rsidP="00B85568">
      <w:pPr>
        <w:pStyle w:val="TextoNormal"/>
      </w:pPr>
    </w:p>
    <w:p w:rsidR="00B85568" w:rsidRDefault="00B85568" w:rsidP="00B85568">
      <w:pPr>
        <w:pStyle w:val="TextoNormal"/>
      </w:pPr>
      <w:r w:rsidRPr="00B85568">
        <w:rPr>
          <w:rStyle w:val="NumeroAFNegritaCaracter"/>
        </w:rPr>
        <w:t>4</w:t>
      </w:r>
      <w:r>
        <w:t>. Con fecha de 11 de febrero de 2015, se presenta en el Registro General del Tribunal Constitucional escrito de remisión del dictamen del Consejo Consultivo de 12 de noviembre de 2014, que tuvo entrada en el Consejo Insular de Formentera el 1 de diciembre de 2014. En este escrito de remisión se pone de manifiesto que el documento aportado inicialmente con la demanda es la versión oficial del dictamen en lengua castellana ya que, de conformidad con el art. 23 de la Ley 5/2010, de 16 de junio, reguladora del Consejo Consultivo de las Illes Balears, la publicación de los dictámenes del Consejo Consultivo ha de hacerse preceptivamente en ambas lenguas oficiales, y sin la versión en castellano no puede entenderse evacuado el trámite de emisión del dictamen preceptivo. Asimismo, se reitera que la versión en castellano es la que debe ser tenida en cuenta para enviar al Tribunal Constitucional. De acuerdo con lo anterior, se concluye que la interposición del conflicto se habría realizado en plazo, ya que la versión en castellano se recibió en el Consell el 24 de diciembre de 2014 y el escrito de interposición del conflicto se presentó en el Registro General del Tribunal Constitucional el 23 de enero de 2015.</w:t>
      </w:r>
    </w:p>
    <w:p w:rsidR="00B85568" w:rsidRDefault="00B85568" w:rsidP="00B85568">
      <w:pPr>
        <w:pStyle w:val="TextoNormal"/>
      </w:pPr>
    </w:p>
    <w:p w:rsidR="00B85568" w:rsidRDefault="00B85568" w:rsidP="00B85568">
      <w:pPr>
        <w:pStyle w:val="TextoNormal"/>
      </w:pPr>
      <w:r>
        <w:t>Finalmente, se pone de manifiesto que el criterio de computar el plazo para la interposición del conflicto a partir de la recepción de la versión en castellano del dictamen del Consejo Consultivo ha sido adoptado, al menos, en los conflictos en defensa de la autonomía local núms. 4570-2014, o 7969-2010 y 259-2011.</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Consejo Insular de Formentera ha planteado ante este Tribunal conflicto en defensa de la autonomía local contra el art. 186.1 de la Ley 4/2014, de 20 de junio, de transportes terrestres y movilidad sostenible de las Illes Balears.</w:t>
      </w:r>
    </w:p>
    <w:p w:rsidR="00B85568" w:rsidRDefault="00B85568" w:rsidP="00B85568">
      <w:pPr>
        <w:pStyle w:val="TextoNormal"/>
      </w:pPr>
    </w:p>
    <w:p w:rsidR="00B85568" w:rsidRDefault="00B85568" w:rsidP="00B85568">
      <w:pPr>
        <w:pStyle w:val="TextoNormal"/>
      </w:pPr>
      <w:r>
        <w:t>El conflicto se fundamenta, en términos generales, en que la regulación cuestionada, al prohibir que la isla de Formentera apruebe planes insulares de servicios de transporte regular de viajeros por carretera como el resto de las islas y al prever que ha de aprobar un plan de movilidad urbana sostenible, que está sometido a informe de la Consejería competente en materia de movilidad del Gobierno de las Illes Balears, y que será vinculante para aquellos aspectos que sean competencia del Gobierno de las Illes Balears, vulnera la autonomía local del Consejo Insular de Formentera.</w:t>
      </w:r>
    </w:p>
    <w:p w:rsidR="00B85568" w:rsidRDefault="00B85568" w:rsidP="00B85568">
      <w:pPr>
        <w:pStyle w:val="TextoNormal"/>
      </w:pPr>
    </w:p>
    <w:p w:rsidR="00B85568" w:rsidRDefault="00B85568" w:rsidP="00B85568">
      <w:pPr>
        <w:pStyle w:val="TextoNormal"/>
      </w:pPr>
      <w:r>
        <w:t xml:space="preserve">El art. 75 </w:t>
      </w:r>
      <w:r w:rsidRPr="00B85568">
        <w:rPr>
          <w:i/>
        </w:rPr>
        <w:t>quinquies</w:t>
      </w:r>
      <w:r>
        <w:t xml:space="preserve">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 El objeto de esta resolución es valorar si el Consejo Insular de Formentera satisface los requisitos necesarios para la interposición del conflicto.</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El plazo para plantear el conflicto en defensa de la autonomía local, está previsto en el art. 75 </w:t>
      </w:r>
      <w:r w:rsidRPr="00B85568">
        <w:rPr>
          <w:i/>
        </w:rPr>
        <w:t>quater</w:t>
      </w:r>
      <w:r>
        <w:t xml:space="preserve">.2 LOTC, que dispone que “dentro del mes siguiente a la recepción del dictamen del Consejo de Estado o del órgano consultivo de la correspondiente Comunidad Autónoma, los municipios o provincias legitimados podrán plantear el conflicto ante el Tribunal Constitucional, acreditando el cumplimiento de los requisitos exigidos en el artículo anterior”. La STC 95/2014, de 12 de junio, FJ 4, ha sintetizado la regulación de los plazos para la interposición del conflicto en defensa de la autonomía local en los términos siguientes: “este Tribunal ha tenido ocasión de pronunciarse reiteradamente sobre la transcendencia que reviste el respeto a los plazos procesales; y en el ATC 419/2003 (confirmado en súplica por el ATC 46/2004, de 10 de febrero, que es citado en la contestación a la demanda), señalamos que el plazo dentro del cual ha de adoptarse el acuerdo de plantear el conflicto en defensa de la autonomía local, no puede iniciarse antes de la publicación de la ley o norma con rango de ley impugnada (FJ 7). No debe olvidarse, en este sentido, que el procedimiento del conflicto en defensa de la autonomía local constituye un acto complejo, integrado por diferentes trámites de carácter separable. Así, de conformidad con lo dispuesto en el art. 75 </w:t>
      </w:r>
      <w:r w:rsidRPr="00B85568">
        <w:rPr>
          <w:i/>
        </w:rPr>
        <w:t>ter</w:t>
      </w:r>
      <w:r>
        <w:t xml:space="preserve"> LOTC, para iniciar la tramitación del conflicto, es necesario el acuerdo del órgano plenario de la Corporación, con el voto de la mayoría absoluta del número legal de miembros de la misma. A partir de esta tramitación previa, la Ley Orgánica contempla dos plazos: 1) uno, de tres meses, contados a partir de la publicación de la ley que se entienda lesiona la autonomía local, para que las corporaciones locales soliciten dictamen del Consejo de Estado u órgano autonómico equivalente (art. 75 </w:t>
      </w:r>
      <w:r w:rsidRPr="00B85568">
        <w:rPr>
          <w:i/>
        </w:rPr>
        <w:t>quater</w:t>
      </w:r>
      <w:r>
        <w:t xml:space="preserve">.1 LOTC); y 2) un plazo de un mes, que se inicia al recibir dicho dictamen jurídico, para plantear el conflicto ante el Tribunal Constitucional (art. 75 </w:t>
      </w:r>
      <w:r w:rsidRPr="00B85568">
        <w:rPr>
          <w:i/>
        </w:rPr>
        <w:t>quater</w:t>
      </w:r>
      <w:r>
        <w:t xml:space="preserve">.2 LOTC)”. Es decir, como reitera la STC 95/2014, en ese mismo FJ 4, “la Ley Orgánica del Tribunal Constitucional, en su art. 75 </w:t>
      </w:r>
      <w:r w:rsidRPr="00B85568">
        <w:rPr>
          <w:i/>
        </w:rPr>
        <w:t>quater</w:t>
      </w:r>
      <w:r>
        <w:t xml:space="preserve"> contempla pues que la publicación oficial de la ley que se estima lesiva de la autonomía local, determina la apertura del plazo para la formalización del conflicto, que se integra de dos actuaciones: solicitud de dictamen al órgano consultivo correspondiente, que se configura como requisito previo a la formalización del conflicto y deberá efectuarse en el plazo de tres meses desde el día de la publicación, y la posterior formalización del conflicto, que habrá de efectuarse en el plazo de un mes desde la recepción del citado dictamen”.</w:t>
      </w:r>
    </w:p>
    <w:p w:rsidR="00B85568" w:rsidRDefault="00B85568" w:rsidP="00B85568">
      <w:pPr>
        <w:pStyle w:val="TextoNormal"/>
      </w:pPr>
    </w:p>
    <w:p w:rsidR="00B85568" w:rsidRDefault="00B85568" w:rsidP="00B85568">
      <w:pPr>
        <w:pStyle w:val="TextoNormal"/>
      </w:pPr>
      <w:r w:rsidRPr="00B85568">
        <w:rPr>
          <w:rStyle w:val="NumeroAFNegritaCaracter"/>
        </w:rPr>
        <w:t>3</w:t>
      </w:r>
      <w:r>
        <w:t xml:space="preserve">. Conforme a la doctrina expuesta, la recepción del dictamen opera como término inicial del plazo preclusivo de un mes para interponer el correspondiente conflicto. Lo que ha de determinarse ahora es si resultaba exigible, a estos efectos, que el dictamen hubiera de ser aportado y estuviera redactado en lengua castellana, tal y como alega el Consejo Insular de Formentera. En cuanto a esto último, ha de tenerse en cuenta que el art. 4 del Estatuto de Autonomía establece la cooficialidad de catalán y castellano en las Illes Balears. En el mismo sentido, el art. 6 de la Ley balear 3/1986, de 19 de abril, de normalización lingüística, dispone que “la lengua catalana, propia de las Illes Balears, tiene, junto con la castellana, el carácter de idioma oficial y, por tanto, ambas son las lenguas del Gobierno de las Illes Balears, del Parlamento, de los consejos insulares y de las corporaciones locales, y en general de las administraciones públicas del ámbito territorial de la comunidad autónoma de las Illes Balears y de las entidades del sector público de ellas dependientes.” Por lo demás, es doctrina consolidada del Tribunal (SSTC 134/1997, de 17 de julio, FJ 2; y 253/2005, de 11 de octubre, FJ 10) que de la declaración de cooficialidad se sigue, por imperativo constitucional y sin necesidad de intermediación normativa alguna, su condición de lengua oficial para todos los poderes públicos, entre los que, en este caso, se encuentran tanto el Consejo Consultivo autonómico como el Consejo Insular de Formentera. Por tanto, el dictamen emitido por el Consejo Consultivo de Baleares en catalán y recibido por el Consejo Insular de Formentera el día 1 de diciembre era perfectamente válido y susceptible de producir los efectos que determina el art. 75 </w:t>
      </w:r>
      <w:r w:rsidRPr="00B85568">
        <w:rPr>
          <w:i/>
        </w:rPr>
        <w:t>quater</w:t>
      </w:r>
      <w:r>
        <w:t xml:space="preserve"> LOTC, esto es, la apertura del plazo de un mes para la interposición del conflicto en defensa de la autonomía local.</w:t>
      </w:r>
    </w:p>
    <w:p w:rsidR="00B85568" w:rsidRDefault="00B85568" w:rsidP="00B85568">
      <w:pPr>
        <w:pStyle w:val="TextoNormal"/>
      </w:pPr>
    </w:p>
    <w:p w:rsidR="00B85568" w:rsidRDefault="00B85568" w:rsidP="00B85568">
      <w:pPr>
        <w:pStyle w:val="TextoNormal"/>
      </w:pPr>
      <w:r w:rsidRPr="00B85568">
        <w:rPr>
          <w:rStyle w:val="NumeroAFNegritaCaracter"/>
        </w:rPr>
        <w:t>4</w:t>
      </w:r>
      <w:r>
        <w:t xml:space="preserve">. A las consideraciones expuestas ha de añadirse, que ningún precepto de la Ley Orgánica del Tribunal Constitucional demanda que, junto con el escrito de promoción del conflicto, se aporte el dictamen del órgano consultivo. El art. 75 </w:t>
      </w:r>
      <w:r w:rsidRPr="00B85568">
        <w:rPr>
          <w:i/>
        </w:rPr>
        <w:t>quater</w:t>
      </w:r>
      <w:r>
        <w:t xml:space="preserve">.2 LOTC se limita a exigir que se acredite tanto que se ha cumplido el requisito de la solicitud de dictamen como que el conflicto se interpone en el mes siguiente al de la recepción del dictamen. Esto es, lo que ha de acreditarse, en rigor, no es el dictamen en sí, sino la fecha en la que el dictamen ha sido válidamente recibido por quien promueve el conflicto. La aportación del dictamen en nada afecta a la admisibilidad del conflicto, pues no viene exigida por la Ley Orgánica del Tribunal Constitucional que únicamente reclama, implícitamente, que se acredite la fecha de recepción, en la medida en que es el </w:t>
      </w:r>
      <w:r w:rsidRPr="00B85568">
        <w:rPr>
          <w:i/>
        </w:rPr>
        <w:t>dies a quo</w:t>
      </w:r>
      <w:r>
        <w:t xml:space="preserve"> para la interposición del conflicto.</w:t>
      </w:r>
    </w:p>
    <w:p w:rsidR="00B85568" w:rsidRDefault="00B85568" w:rsidP="00B85568">
      <w:pPr>
        <w:pStyle w:val="TextoNormal"/>
      </w:pPr>
    </w:p>
    <w:p w:rsidR="00B85568" w:rsidRDefault="00B85568" w:rsidP="00B85568">
      <w:pPr>
        <w:pStyle w:val="TextoNormal"/>
      </w:pPr>
      <w:r>
        <w:t xml:space="preserve">Lo anteriormente expuesto determina que debemos considerar que el plazo de un mes, contado desde la recepción del preceptivo dictamen, al que hace referencia el art. 75 </w:t>
      </w:r>
      <w:r w:rsidRPr="00B85568">
        <w:rPr>
          <w:i/>
        </w:rPr>
        <w:t>quater</w:t>
      </w:r>
      <w:r>
        <w:t>.2 LOTC para interponer el conflicto en defensa de la autonomía local, se inició el día en que dicho dictamen fue recibido por el Consejo Insular de Formentera, esto es, según se afirma en el escrito remitido a este Tribunal el 11 de febrero de 2015, el día 1 de diciembre de 2014. Por tanto, al haberse registrado en este Tribunal el escrito de interposición del conflicto el día 23 de enero de 2014, el conflicto se ha promovido fuera del plazo procesal establecido por la Ley Orgánica del Tribunal Constitucional, debiendo inadmitirse por extemporáneo.</w:t>
      </w:r>
    </w:p>
    <w:p w:rsidR="00B85568" w:rsidRDefault="00B85568" w:rsidP="00B85568">
      <w:pPr>
        <w:pStyle w:val="TextoNormal"/>
      </w:pPr>
    </w:p>
    <w:p w:rsidR="00B85568" w:rsidRDefault="00B85568" w:rsidP="00B85568">
      <w:pPr>
        <w:pStyle w:val="TextoNormal"/>
      </w:pPr>
      <w:r w:rsidRPr="00B85568">
        <w:rPr>
          <w:rStyle w:val="NumeroAFNegritaCaracter"/>
        </w:rPr>
        <w:t>5</w:t>
      </w:r>
      <w:r>
        <w:t xml:space="preserve">. La conclusión anteriormente alcanzada no se enerva con lo alegado por el Consejo Insular de las Illes Balears. Por una parte, el art. 23.2 de la Ley 5/2010, de 16 de junio, reguladora del Consejo Consultivo de las Illes Balears, que establece que “al día siguiente de haberlos recibido el órgano solicitante, los dictámenes y votos particulares serán de público conocimiento, con su texto íntegro en lengua catalana y en lengua castellana y, al menos, por vía telemática”, se refiere a la publicación de los dictámenes en ambas lenguas cooficiales, lo que no ha de confundirse con la remisión del dictamen al órgano solicitante, remisión que conforme lo anteriormente expuesto es válida en cualquiera de las lenguas cooficiales. Por otra parte, en los conflictos en defensa de la autonomía local números 4570-2014, 7969-2010 y 259-2011, el plazo de interposición del conflicto no estaba vinculado a la recepción del dictamen en castellano. En los AATC 236/2014, de 7 de octubre, y 277/2014, de 6 de noviembre), el Tribunal Constitucional no se pronunció sobre la extemporaneidad del conflicto, al concurrir otra causa de inadmisión del conflicto planteado. Concretamente en el ATC 236/2014, de 7 de octubre, FJ 5, se afirmó que “al no cumplirse el requisito exigido por el art. 75 </w:t>
      </w:r>
      <w:r w:rsidRPr="00B85568">
        <w:rPr>
          <w:i/>
        </w:rPr>
        <w:t>ter</w:t>
      </w:r>
      <w:r>
        <w:t xml:space="preserve">.1 a) LOTC en relación con la disposición adicional tercera.1 LOTC para promover el conflicto en defensa de la autonomía local, resulta, además, innecesaria cualquier otra consideración sobre la promoción de un único conflicto contra dos normas (posibilidad, no obstante admitida en la STC 121/2012, de 5 de junio, FJ 4) así como respecto a su planteamiento en el plazo exigido por el art. 75 </w:t>
      </w:r>
      <w:r w:rsidRPr="00B85568">
        <w:rPr>
          <w:i/>
        </w:rPr>
        <w:t>quater</w:t>
      </w:r>
      <w:r>
        <w:t>.2 LOTC”. En los otros supuestos citados tampoco se planteó la cuestión ahora suscitada.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el presente conflicto en defensa de la autonomía local.</w:t>
      </w:r>
    </w:p>
    <w:p w:rsidR="00B85568" w:rsidRDefault="00B85568" w:rsidP="00B85568">
      <w:pPr>
        <w:pStyle w:val="TextoNormal"/>
      </w:pPr>
    </w:p>
    <w:p w:rsidR="00B85568" w:rsidRDefault="00B85568" w:rsidP="00B85568">
      <w:pPr>
        <w:pStyle w:val="TextoNormal"/>
      </w:pPr>
      <w:r>
        <w:t>Madrid, a catorce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1" w:name="AUTO_2015_71"/>
      <w:r>
        <w:t>AUTO 71/2015, de 17 de abril de 2015</w:t>
      </w:r>
    </w:p>
    <w:bookmarkEnd w:id="221"/>
    <w:p w:rsidR="00B85568" w:rsidRDefault="00B85568" w:rsidP="00B85568">
      <w:pPr>
        <w:pStyle w:val="TtuloResolucin"/>
      </w:pPr>
      <w:r>
        <w:t>Sección Cuarta</w:t>
      </w:r>
    </w:p>
    <w:p w:rsidR="00B85568" w:rsidRDefault="00B85568" w:rsidP="00B85568">
      <w:pPr>
        <w:pStyle w:val="TextoNormalCentrado"/>
      </w:pPr>
      <w:r>
        <w:t>ECLI:ES:TC:2015:71A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22" w:name="AUTO_2015_72"/>
      <w:r>
        <w:t>AUTO 72/2015, de 21 de abril de 2015</w:t>
      </w:r>
    </w:p>
    <w:bookmarkEnd w:id="222"/>
    <w:p w:rsidR="00B85568" w:rsidRDefault="00B85568" w:rsidP="00B85568">
      <w:pPr>
        <w:pStyle w:val="TtuloResolucin"/>
      </w:pPr>
      <w:r>
        <w:t>Sección Tercera</w:t>
      </w:r>
    </w:p>
    <w:p w:rsidR="00B85568" w:rsidRDefault="00B85568" w:rsidP="00B85568">
      <w:pPr>
        <w:pStyle w:val="TextoNormalCentrado"/>
      </w:pPr>
      <w:r>
        <w:t>ECLI:ES:TC:2015:72A</w:t>
      </w:r>
    </w:p>
    <w:p w:rsidR="00B85568" w:rsidRDefault="00B85568" w:rsidP="00B85568">
      <w:pPr>
        <w:pStyle w:val="TextoNormalCentrado"/>
      </w:pPr>
    </w:p>
    <w:p w:rsidR="00B85568" w:rsidRDefault="00B85568" w:rsidP="00B85568">
      <w:pPr>
        <w:pStyle w:val="SntesisDescriptiva"/>
      </w:pPr>
      <w:r>
        <w:t>Excms. Srs. doña Adela Asua Batarrita y don Pedro José González-Trevijano Sánchez.</w:t>
      </w:r>
    </w:p>
    <w:p w:rsidR="00B85568" w:rsidRDefault="00B85568" w:rsidP="00B85568">
      <w:pPr>
        <w:pStyle w:val="SntesisDescriptiva"/>
      </w:pPr>
    </w:p>
    <w:p w:rsidR="00B85568" w:rsidRDefault="00B85568" w:rsidP="00B85568">
      <w:pPr>
        <w:pStyle w:val="SntesisDescriptiva"/>
      </w:pPr>
      <w:r>
        <w:t>Acepta una abstención en el recurso de amparo 1355-2013, promovido por don Carlos Falcó y Fernández de Córdova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t>Único. En el recurso de amparo antes referido se impugnan autos de la Sección Primera de la Sala de lo Contencioso-Administrativo del Tribunal Supremo en recurso 2667-2011.</w:t>
      </w:r>
    </w:p>
    <w:p w:rsidR="00B85568" w:rsidRDefault="00B85568" w:rsidP="00B85568">
      <w:pPr>
        <w:pStyle w:val="TextoNormal"/>
      </w:pPr>
    </w:p>
    <w:p w:rsidR="00B85568" w:rsidRDefault="00B85568" w:rsidP="00B85568">
      <w:pPr>
        <w:pStyle w:val="TextoNormal"/>
      </w:pPr>
      <w:r>
        <w:t>Mediante escrito fechado el 20 de abril de 2015,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23 de febrero de 2012, resolución impugnada en el presente recurso de amparo número 1353-2013.</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23 de febrero de 2012, en el recurso de casación número 2667-2011, que ha sido impugnado en el presente recurso de amparo.</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el Magistrado don Juan José González Rivas en el recurso de amparo número 1355-2013, apartándole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veintiuno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3" w:name="AUTO_2015_73"/>
      <w:r>
        <w:t>AUTO 73/2015, de 21 de abril de 2015</w:t>
      </w:r>
    </w:p>
    <w:bookmarkEnd w:id="223"/>
    <w:p w:rsidR="00B85568" w:rsidRDefault="00B85568" w:rsidP="00B85568">
      <w:pPr>
        <w:pStyle w:val="TtuloResolucin"/>
      </w:pPr>
      <w:r>
        <w:t>Sección Segunda</w:t>
      </w:r>
    </w:p>
    <w:p w:rsidR="00B85568" w:rsidRDefault="00B85568" w:rsidP="00B85568">
      <w:pPr>
        <w:pStyle w:val="TextoNormalCentrado"/>
      </w:pPr>
      <w:r>
        <w:t>ECLI:ES:TC:2015:73A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6133-2014, promovido por don Rafael Muñoz Bella en proceso de habeas corpus.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xml:space="preserve">. Por escrito presentado en el Registro General de este Tribunal el 13 de octubre de 2014, don Rafael Muñoz Bella interpuso recurso de amparo contra el Auto de fecha 12 de agosto de 2014, dictado por el Juzgado de Primera Instancia e Instrucción núm. 2 de Parla, en el procedimiento de </w:t>
      </w:r>
      <w:r w:rsidRPr="00B85568">
        <w:rPr>
          <w:i/>
        </w:rPr>
        <w:t>habeas corpus</w:t>
      </w:r>
      <w:r>
        <w:t xml:space="preserve"> núm. 1-2013, que inadmitió a trámite la solicitud de </w:t>
      </w:r>
      <w:r w:rsidRPr="00B85568">
        <w:rPr>
          <w:i/>
        </w:rPr>
        <w:t>habeas corpus</w:t>
      </w:r>
      <w:r>
        <w:t>.</w:t>
      </w:r>
    </w:p>
    <w:p w:rsidR="00B85568" w:rsidRDefault="00B85568" w:rsidP="00B85568">
      <w:pPr>
        <w:pStyle w:val="TextoNormal"/>
      </w:pPr>
    </w:p>
    <w:p w:rsidR="00B85568" w:rsidRDefault="00B85568" w:rsidP="00B85568">
      <w:pPr>
        <w:pStyle w:val="TextoNormal"/>
      </w:pPr>
      <w:r w:rsidRPr="00B85568">
        <w:rPr>
          <w:rStyle w:val="NumeroAFNegritaCaracter"/>
        </w:rPr>
        <w:t>2</w:t>
      </w:r>
      <w:r>
        <w:t>. En síntesis, los hechos de los que trae causa la demanda de amparo son los siguientes:</w:t>
      </w:r>
    </w:p>
    <w:p w:rsidR="00B85568" w:rsidRDefault="00B85568" w:rsidP="00B85568">
      <w:pPr>
        <w:pStyle w:val="TextoNormal"/>
      </w:pPr>
    </w:p>
    <w:p w:rsidR="00B85568" w:rsidRDefault="00B85568" w:rsidP="00B85568">
      <w:pPr>
        <w:pStyle w:val="TextoNormal"/>
      </w:pPr>
      <w:r>
        <w:t xml:space="preserve">a) El demandante fue detenido el 12 de agosto de 2014 por agentes del Cuerpo Nacional de Policía, siéndole designado Abogado del turno de oficio para su defensa. Este solicitó poder acceder al atestado policial con carácter previo a que tuviera lugar la declaración policial. No siendo atendida su petición presentó ese mismo día solicitud de </w:t>
      </w:r>
      <w:r w:rsidRPr="00B85568">
        <w:rPr>
          <w:i/>
        </w:rPr>
        <w:t>habeas corpus</w:t>
      </w:r>
      <w:r>
        <w:t xml:space="preserve"> ante el Juzgado de Primera Instancia e Instrucción núm. 2 de Parla.</w:t>
      </w:r>
    </w:p>
    <w:p w:rsidR="00B85568" w:rsidRDefault="00B85568" w:rsidP="00B85568">
      <w:pPr>
        <w:pStyle w:val="TextoNormal"/>
      </w:pPr>
    </w:p>
    <w:p w:rsidR="00B85568" w:rsidRDefault="00B85568" w:rsidP="00B85568">
      <w:pPr>
        <w:pStyle w:val="TextoNormal"/>
      </w:pPr>
      <w:r>
        <w:t xml:space="preserve">b) En la solicitud de </w:t>
      </w:r>
      <w:r w:rsidRPr="00B85568">
        <w:rPr>
          <w:i/>
        </w:rPr>
        <w:t>habeas corpus</w:t>
      </w:r>
      <w:r>
        <w:t xml:space="preserve">, el Letrado, actuando en defensa del demandante, indicaba que se incumplía el art. 7 de la Directiva 2012/13/UE que posibilita el acceso a los materiales que obran en el expediente a fin de verificar la legalidad de la detención. Añadía que en el modelo de declaración de derechos de las personas detenidas que figura en el anexo I de dicha Directiva se contenía una especificación en dicho sentido, sin que los agentes actuantes hayan facilitado ninguna parte esencial del atestado. Afirmaba que la Directiva se haya en vigor desde el 2 de junio de 2012 y el periodo de trasposición había vencido el 2 de junio de 2014, resultando sus derechos de directa aplicación por los jueces y tribunales nacionales en su condición de jueces comunitarios. Finalizaba su exposición solicitando la admisión a trámite del escrito y que se acordara la estimación del </w:t>
      </w:r>
      <w:r w:rsidRPr="00B85568">
        <w:rPr>
          <w:i/>
        </w:rPr>
        <w:t>habeas corpus</w:t>
      </w:r>
      <w:r>
        <w:t xml:space="preserve"> por vulneración del art. 1 a) de la Ley reguladora.</w:t>
      </w:r>
    </w:p>
    <w:p w:rsidR="00B85568" w:rsidRDefault="00B85568" w:rsidP="00B85568">
      <w:pPr>
        <w:pStyle w:val="TextoNormal"/>
      </w:pPr>
    </w:p>
    <w:p w:rsidR="00B85568" w:rsidRDefault="00B85568" w:rsidP="00B85568">
      <w:pPr>
        <w:pStyle w:val="TextoNormal"/>
      </w:pPr>
      <w:r>
        <w:t xml:space="preserve">c) Por el Juzgado de Primera Instancia e Instrucción núm. 2 de Parla, por Auto de 12 de agosto de 2014, se inadmitió la solicitud de </w:t>
      </w:r>
      <w:r w:rsidRPr="00B85568">
        <w:rPr>
          <w:i/>
        </w:rPr>
        <w:t>habeas corpus</w:t>
      </w:r>
      <w:r>
        <w:t>. En el mismo señalaba que se trataba de una cuestión jurídica. Razonaba que el solicitante omitía que el límite máximo de entrega de los documentos es “el momento en que los motivos de la acusación se presenten a la consideración del tribunal”, situación que todavía no se había producido. Afirmaba que dicho límite se contempla en las consideraciones previas al articulado de la Directiva, en concreto en el número 30, que sitúa el momento en el cual debía procederse a la entrega “a más tardar antes del momento en que una autoridad judicial competente para decidir sobre la legalidad de la detención o privación de libertad”. Añadía que la Directiva 48/2013 ha concretado que debe entenderse por asistencia al detenido y que el art. 530.6 de la Ley de enjuiciamiento criminal (LECrim), que concreta el alcance de la asistencia letrada al detenido, no ha sido derogado ni declarado inconstitucional. Por último justificaba la inadmisión en que se trataba de una cuestión jurídica que puede resolverse en la fase inicial de la admisión del procedimiento.</w:t>
      </w:r>
    </w:p>
    <w:p w:rsidR="00B85568" w:rsidRDefault="00B85568" w:rsidP="00B85568">
      <w:pPr>
        <w:pStyle w:val="TextoNormal"/>
      </w:pPr>
    </w:p>
    <w:p w:rsidR="00B85568" w:rsidRDefault="00B85568" w:rsidP="00B85568">
      <w:pPr>
        <w:pStyle w:val="TextoNormal"/>
      </w:pPr>
      <w:r>
        <w:t>Al pie de dicha resolución se indicaba: “Notifíquese esta resolución a las partes haciendo constar que cabe presentar recurso de reforma ante este Juzgado en plazo de tres días”.</w:t>
      </w:r>
    </w:p>
    <w:p w:rsidR="00B85568" w:rsidRDefault="00B85568" w:rsidP="00B85568">
      <w:pPr>
        <w:pStyle w:val="TextoNormal"/>
      </w:pPr>
    </w:p>
    <w:p w:rsidR="00B85568" w:rsidRDefault="00B85568" w:rsidP="00B85568">
      <w:pPr>
        <w:pStyle w:val="TextoNormal"/>
      </w:pPr>
      <w:r w:rsidRPr="00B85568">
        <w:rPr>
          <w:rStyle w:val="NumeroAFNegritaCaracter"/>
        </w:rPr>
        <w:t>3</w:t>
      </w:r>
      <w:r>
        <w:t>. La demanda de amparo comienza su exposición poniendo de manifiesto la negativa de los agentes de la policía a que el Letrado pudiera acceder al atestado policial y refiriendo, respecto de la solicitud de habeas corpus, que el Jugado “irregularmente inadmitió a trámite la misma mediante Auto de ese mismo día, pese a realizar alegaciones sobre el fondo de la cuestión. Estas alegaciones deberían haberse realizado una vez admitida la solicitud, oído el interesado, dando vista al Ministerio Fiscal y practicadas las oportunas pruebas, para después resolver sobre la misma (STC 32/2014, de 24/2002).”</w:t>
      </w:r>
    </w:p>
    <w:p w:rsidR="00B85568" w:rsidRDefault="00B85568" w:rsidP="00B85568">
      <w:pPr>
        <w:pStyle w:val="TextoNormal"/>
      </w:pPr>
    </w:p>
    <w:p w:rsidR="00B85568" w:rsidRDefault="00B85568" w:rsidP="00B85568">
      <w:pPr>
        <w:pStyle w:val="TextoNormal"/>
      </w:pPr>
      <w:r>
        <w:t xml:space="preserve">A continuación, bajo la rúbrica de “fundamentos de derecho”, entiende que “al inadmitir </w:t>
      </w:r>
      <w:r w:rsidRPr="00B85568">
        <w:rPr>
          <w:i/>
        </w:rPr>
        <w:t>a limine</w:t>
      </w:r>
      <w:r>
        <w:t xml:space="preserve"> la solicitud de habeas corpus, el Juzgado de Primera Instancia e Instrucción núm. 2 de Parla ... ha vulnerado el derecho a la impugnación de la detención (art. 17.4 CE), así como el derecho a la asistencia letrada al detenido (art. 17.3 CE) en relación con el derecho a la libertad (art. 17.1 CE), y el derecho de defensa (art. 24.2 CE) en relación con el derecho a la tutela judicial efectiva (art. 24.1 CE).” </w:t>
      </w:r>
    </w:p>
    <w:p w:rsidR="00B85568" w:rsidRDefault="00B85568" w:rsidP="00B85568">
      <w:pPr>
        <w:pStyle w:val="TextoNormal"/>
      </w:pPr>
      <w:r>
        <w:t xml:space="preserve">Posteriormente dedica el apartado segundo a justificar la especial trascendencia constitucional por el “incumplimiento reiterado de la doctrina del Tribunal Constitucional”, en tanto que no procede la inadmisión </w:t>
      </w:r>
      <w:r w:rsidRPr="00B85568">
        <w:rPr>
          <w:i/>
        </w:rPr>
        <w:t>a limine</w:t>
      </w:r>
      <w:r>
        <w:t xml:space="preserve"> de las solicitudes de </w:t>
      </w:r>
      <w:r w:rsidRPr="00B85568">
        <w:rPr>
          <w:i/>
        </w:rPr>
        <w:t>habeas corpus</w:t>
      </w:r>
      <w:r>
        <w:t>, por tanto “ya existiría un motivo, podríamos decir que formal o procesal, por la forma en que se ha dictado la resolución judicial de inadmisión impugnada, que merecería la admisión a trámite de este recurso”.</w:t>
      </w:r>
    </w:p>
    <w:p w:rsidR="00B85568" w:rsidRDefault="00B85568" w:rsidP="00B85568">
      <w:pPr>
        <w:pStyle w:val="TextoNormal"/>
      </w:pPr>
    </w:p>
    <w:p w:rsidR="00B85568" w:rsidRDefault="00B85568" w:rsidP="00B85568">
      <w:pPr>
        <w:pStyle w:val="TextoNormal"/>
      </w:pPr>
      <w:r>
        <w:t xml:space="preserve">En primer lugar invoca como vulnerado el art. 17.4 CE, en relación con los arts. 17.1, 17.3 y 24.2 CE. Afirma que pese a solicitar “la incoación expresa del procedimiento de </w:t>
      </w:r>
      <w:r w:rsidRPr="00B85568">
        <w:rPr>
          <w:i/>
        </w:rPr>
        <w:t>habeas corpus</w:t>
      </w:r>
      <w:r>
        <w:t xml:space="preserve"> por entender que la detención efectuada era ilegal al no haberse respetado los derechos del detenido”, la solicitud fue inadmitida a trámite realizando “numerosas apreciaciones sobre el fondo del asunto y no sobre, estrictamente, alguno de los supuestos recogidos en el art. 4 LOHC”, contraviniendo reiterada y reciente jurisprudencia del Tribunal. Vulneración cuya trascendencia constitucional, a su juicio, refleja la STC 32/2014, que es citada de modo extenso, y le permite concluir que la “lesión subjetiva a este derecho es evidente por cuanto no se permitió a mi representado impugnar con garantías y en forma la legalidad de su detención. Más grave aún, se incumplió precisamente un procedimiento específico, previsto expresamente en la Constitución Española, que viene a velar por la protección de un derecho fundamental, obligando tal condición protectora por indicativo constitucional a mostrarse un especial cuidado a la hora de acordar las inadmisiones.” Señala que “paradójicamente inadmite el </w:t>
      </w:r>
      <w:r w:rsidRPr="00B85568">
        <w:rPr>
          <w:i/>
        </w:rPr>
        <w:t>habeas corpus</w:t>
      </w:r>
      <w:r>
        <w:t xml:space="preserve"> fundándose en razones de fondo que debería haber apreciado, o no, durante la vida del procedimiento”. Por último, solicita que el Tribunal no agote en este punto la tutela constitucional solicitada y resuelva igualmente sobre el resto de vulneraciones recogidas en este amparo.</w:t>
      </w:r>
    </w:p>
    <w:p w:rsidR="00B85568" w:rsidRDefault="00B85568" w:rsidP="00B85568">
      <w:pPr>
        <w:pStyle w:val="TextoNormal"/>
      </w:pPr>
    </w:p>
    <w:p w:rsidR="00B85568" w:rsidRDefault="00B85568" w:rsidP="00B85568">
      <w:pPr>
        <w:pStyle w:val="TextoNormal"/>
      </w:pPr>
      <w:r>
        <w:t>Seguidamente pasa a exponer el contenido de la Directiva 2012/13/UE, de 22 de mayo, e indica que “el Juzgado de Primera Instancia e Instrucción núm. 2 de Parla, en su Auto 12 de agosto de 2012, obvió el efecto directo de la Directiva e inaplicó el artículo 7 de la misma solicitado por este Letrado”, vulnerando los derechos reconocidos en los arts. 17.1. 17.3. 24.1 y 24.2 CE.</w:t>
      </w:r>
    </w:p>
    <w:p w:rsidR="00B85568" w:rsidRDefault="00B85568" w:rsidP="00B85568">
      <w:pPr>
        <w:pStyle w:val="TextoNormal"/>
      </w:pPr>
    </w:p>
    <w:p w:rsidR="00B85568" w:rsidRDefault="00B85568" w:rsidP="00B85568">
      <w:pPr>
        <w:pStyle w:val="TextoNormal"/>
      </w:pPr>
      <w:r>
        <w:t>Finalmente expone ampliamente las razones por las que a su juicio se ha producido una vulneración del derecho a la asistencia letrada al detenido como garantía del derecho a la libertad (arts. 17.3 y 17 CE), así como del derecho de defensa en relación con el derecho a la tutela judicial efectiva (arts. 24.2 y 24.1 CE), por no haber tenido acceso al atestado.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16 de febrero de 2015, la Sección Segunda del Tribunal Constitucional, acordó inadmitir a trámite el recurso de amparo toda vez que no se habían agotado debidamente todos los medios de impugnación dentro de la vía judicial [arts. 50.1 a) y 44.1 a)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5</w:t>
      </w:r>
      <w:r>
        <w:t xml:space="preserve">. Mediante escrito de 20 de marzo de 2015, el Ministerio Fiscal presentó recurso de súplica frente a la providencia de inadmisión. Considera el Fiscal que la indicación sobre la procedencia del recurso de reforma que se mencionaba en el Auto de inadmisión de </w:t>
      </w:r>
      <w:r w:rsidRPr="00B85568">
        <w:rPr>
          <w:i/>
        </w:rPr>
        <w:t>habeas corpus</w:t>
      </w:r>
      <w:r>
        <w:t xml:space="preserve"> es consecuencia de un evidente error dada la claridad del art. 6, </w:t>
      </w:r>
      <w:r w:rsidRPr="00B85568">
        <w:rPr>
          <w:i/>
        </w:rPr>
        <w:t>in fine</w:t>
      </w:r>
      <w:r>
        <w:t xml:space="preserve">, de la Ley Orgánica de regulación del procedimiento de </w:t>
      </w:r>
      <w:r w:rsidRPr="00B85568">
        <w:rPr>
          <w:i/>
        </w:rPr>
        <w:t>habeas corpus</w:t>
      </w:r>
      <w:r>
        <w:t xml:space="preserve"> (LOHC). La indicación resultaba totalmente superflua (STC 10/2006, FJ 2), por lo que no cabe la inadmisión de la demanda de amparo por falta de agotamiento, en tanto que el recurso de reforma era manifiestamente improcedente, por lo que de haber acudido al mismo hubiera prolongado indebidamente la vía judicial ordinaria “con el riesgo de incurrir la demanda de amparo en extemporaneidad”.</w:t>
      </w:r>
    </w:p>
    <w:p w:rsidR="00B85568" w:rsidRDefault="00B85568" w:rsidP="00B85568">
      <w:pPr>
        <w:pStyle w:val="TextoNormal"/>
      </w:pPr>
    </w:p>
    <w:p w:rsidR="00B85568" w:rsidRDefault="00B85568" w:rsidP="00B85568">
      <w:pPr>
        <w:pStyle w:val="TextoNormal"/>
      </w:pPr>
      <w:r>
        <w:t xml:space="preserve">Afirma que el hecho de no acudir al incidente de nulidad de actuaciones puede erigirse en causa de inadmisión, si bien reconoce que “es precisamente este aspecto concreto el que pudiera plantear algunas dudas razonables, tras la reforma operada por la Ley Orgánica 6/2007, de 24 de mayo”. A tal fin, examina los recursos de amparo interpuestos por el Ministerio Fiscal contra decisiones de inadmisión de </w:t>
      </w:r>
      <w:r w:rsidRPr="00B85568">
        <w:rPr>
          <w:i/>
        </w:rPr>
        <w:t>habeas corpus</w:t>
      </w:r>
      <w:r>
        <w:t xml:space="preserve"> que dieron lugar a las SSTC 12/2014, 21/2014 y 42/2015, señalando que en todos los casos fueron precedidas por la interposición del incidente de nulidad de actuaciones. Apunta, sin embargo que la ausencia del mismo no dio lugar a la inadmisión de las demandas de amparo en las SSTC 32/2014 y 195/2014 que al igual que las anteriormente citadas, otorgaron el amparo sin examinar la concurrencia del mencionado óbice procesal, circunstancia análoga se produjo en las demandas interpuestas antes de la reforma indicada y que terminaron en las SSTC 95/2012 y 88/2011. Considera que existe un alto nivel de inseguridad jurídica que hace que la interposición del incidente no sea razonablemente exigible, STC 216/2013, FJ 2 d) y que convierten en desproporcionada y excesivamente rigurosa la decisión de inadmisión.</w:t>
      </w:r>
    </w:p>
    <w:p w:rsidR="00B85568" w:rsidRDefault="00B85568" w:rsidP="00B85568">
      <w:pPr>
        <w:pStyle w:val="TextoNormal"/>
      </w:pPr>
    </w:p>
    <w:p w:rsidR="00B85568" w:rsidRDefault="00B85568" w:rsidP="00B85568">
      <w:pPr>
        <w:pStyle w:val="TextoNormal"/>
      </w:pPr>
      <w:r>
        <w:t xml:space="preserve">Entiende que varias razones avalan que no se menoscabe el carácter subsidiario del recurso de amparo por el hecho de no acudir al incidente de nulidad de actuaciones: i) el procedimiento de </w:t>
      </w:r>
      <w:r w:rsidRPr="00B85568">
        <w:rPr>
          <w:i/>
        </w:rPr>
        <w:t>habeas corpus</w:t>
      </w:r>
      <w:r>
        <w:t xml:space="preserve"> tiene como objeto específico el enjuiciamiento judicial de la legalidad de la detención gubernativa practicada con el fin de lograr un control judicial inmediato de la misma; ii) el incidente de nulidad de actuaciones tras la reforma operada por la Ley Orgánica 6/2007, conforme a la doctrina constitucional es un instrumento procesal para remediar lesiones que no hayan podido denunciarse antes de recaer la resolución que ponga fin al proceso y siempre que dicha resolución no sea susceptible de recurso, no siendo exigible sino en la medida en que en el caso concretamente contemplado pudiese lograrse con su utilización la reparación de los derechos fundamentales pretendidamente vulnerados (STC 176/2013, FJ 3). Afirma que sea formalmente procedente no puede reprocharse al demandante que no lo plantease cuando resultase materialmente inútil porque comportaba al órgano judicial que se retractase sobre lo que ya había resuelto (SSTC 182/2011, FJ 2; y 104/2011, FJ 4, </w:t>
      </w:r>
      <w:r w:rsidRPr="00B85568">
        <w:rPr>
          <w:i/>
        </w:rPr>
        <w:t>in fine</w:t>
      </w:r>
      <w:r>
        <w:t xml:space="preserve">); iii) en el recurso de amparo la lesión constitucional se imputaba a la inicial actuación policial y la interposición del </w:t>
      </w:r>
      <w:r w:rsidRPr="00B85568">
        <w:rPr>
          <w:i/>
        </w:rPr>
        <w:t>habeas corpus</w:t>
      </w:r>
      <w:r>
        <w:t xml:space="preserve"> era el remedio jurisdiccional idóneo para reparar esta violación, por lo que el órgano judicial tuvo la oportunidad para reparar la violación denunciada. Abunda en ello, a su juicio, que el Juez ofreció una respuesta detallada a la denuncia de ilegalidad de la detención, por lo que acudir al incidente hubiera tenido un carácter reiterativo. La interposición del incidente de nulidad en estas circunstancias no otorgaba al recurrente ninguna “expectativa de prosperabilidad de su denuncia de violación ... solo se hubiera conseguido mantener abierta la vía judicial ordinaria, que estaba abocada a la desestimación de la pretensión”.</w:t>
      </w:r>
    </w:p>
    <w:p w:rsidR="00B85568" w:rsidRDefault="00B85568" w:rsidP="00B85568">
      <w:pPr>
        <w:pStyle w:val="TextoNormal"/>
      </w:pPr>
    </w:p>
    <w:p w:rsidR="00B85568" w:rsidRDefault="00B85568" w:rsidP="00B85568">
      <w:pPr>
        <w:pStyle w:val="TextoNormal"/>
      </w:pPr>
      <w:r w:rsidRPr="00B85568">
        <w:rPr>
          <w:rStyle w:val="NumeroAFNegritaCaracter"/>
        </w:rPr>
        <w:t>6</w:t>
      </w:r>
      <w:r>
        <w:t>. Mediante diligencia de ordenación de 23 de marzo de 2014, la Sección Segunda del Tribunal Constitucional tuvo por interpuesto recurso de súplica por el Ministerio Fiscal y, de conformidad con el art. 50.3 LOTC, acordó dar traslado al recurrente por el plazo de tres días para que alegara lo que estimara pertinente. El recurrente, mediante escrito de 30 de marzo de 2015, se adhirió al recurso de súplica interpuesto por el Ministerio Fiscal, coincidiendo con éste en las razones de impugnación.</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Ministerio Fiscal recurre en súplica la providencia dictada por esta misma Sección en fecha 16 de febrero de 2015, en la cual se acordó no admitir a trámite el presente recurso de amparo por no haber agotado el recurrente todos los medios de impugnación dentro de la vía judicial previa [art. 44.1 a) de la Ley Orgánica del Tribunal Constitucional: LOTC] frente al Auto de 12 de agosto de 2014. Según el Ministerio público, el recurso de reforma no debía ser considerado exigible pues al ser manifiestamente improcedente, existía el riesgo de incurrir la demanda de amparo en extemporaneidad. Y por otra parte, las “dudas razonables” sobre la procedencia del incidente de nulidad convierten en desproporcionada y excesivamente rigurosa la inadmisión en tanto que lo que se denunció fue la legalidad de la actuación administrativa y ya fue objeto de un control judicial inmediato, no siendo reprochable su no interposición al ser materialmente inútil porque comportaba que el órgano judicial se retractase.</w:t>
      </w:r>
    </w:p>
    <w:p w:rsidR="00B85568" w:rsidRDefault="00B85568" w:rsidP="00B85568">
      <w:pPr>
        <w:pStyle w:val="TextoNormal"/>
      </w:pPr>
    </w:p>
    <w:p w:rsidR="00B85568" w:rsidRDefault="00B85568" w:rsidP="00B85568">
      <w:pPr>
        <w:pStyle w:val="TextoNormal"/>
      </w:pPr>
      <w:r>
        <w:t xml:space="preserve">Retomando lo expuesto en los antecedentes de esta resolución, debemos indicar que en el recurso de amparo, inadmitido por la resolución recurrida, se atribuye en primer lugar a la decisión de la policía denegando la consulta del atestado por el Abogado la vulneración del derecho a la asistencia letrada al detenido como garantía de la libertad (art. 17.3 y 17.1 CE), así como el derecho de defensa (art. 24.2 CE) y por otra parte al Juzgado de Primera Instancia e Instrucción núm. 2 de Parla la vulneración del derecho de </w:t>
      </w:r>
      <w:r w:rsidRPr="00B85568">
        <w:rPr>
          <w:i/>
        </w:rPr>
        <w:t>habeas corpus</w:t>
      </w:r>
      <w:r>
        <w:t xml:space="preserve"> por la inadmisión </w:t>
      </w:r>
      <w:r w:rsidRPr="00B85568">
        <w:rPr>
          <w:i/>
        </w:rPr>
        <w:t>a limine</w:t>
      </w:r>
      <w:r>
        <w:t xml:space="preserve"> contraria a reiterada y reciente doctrina jurisprudencial (art. 17.4 CE) y a los derechos contenidos en los arts. 17.1, 17.3, 24.1 y 24.2, que resultan aludidos genéricamente, por actuar </w:t>
      </w:r>
      <w:r w:rsidRPr="00B85568">
        <w:rPr>
          <w:i/>
        </w:rPr>
        <w:t>contra legem</w:t>
      </w:r>
      <w:r>
        <w:t>, al obviar el efecto directo de la Directiva 2012/13/UE, de 22 de mayo, e inaplicar el artículo 7 de la misma.</w:t>
      </w:r>
    </w:p>
    <w:p w:rsidR="00B85568" w:rsidRDefault="00B85568" w:rsidP="00B85568">
      <w:pPr>
        <w:pStyle w:val="TextoNormal"/>
      </w:pPr>
    </w:p>
    <w:p w:rsidR="00B85568" w:rsidRDefault="00B85568" w:rsidP="00B85568">
      <w:pPr>
        <w:pStyle w:val="TextoNormal"/>
      </w:pPr>
      <w:r w:rsidRPr="00B85568">
        <w:rPr>
          <w:rStyle w:val="NumeroAFNegritaCaracter"/>
        </w:rPr>
        <w:t>2</w:t>
      </w:r>
      <w:r>
        <w:t>. Ciertamente, el incidente de nulidad de actuaciones, a partir de la reforma introducida en el art. 241 de la Ley Orgánica del Poder Judicial (LOPJ)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ningún recurso. Así, este precepto exige para la admisibilidad del incidente que la vulneración de que se trate no haya podido denunciarse antes de recaer resolución que ponga fin al proceso y que dicha resolución no sea susceptible de recurso ordinario ni extraordinario. En consecuencia, no será necesario que el recurrente reitere una queja a través de un incidente de nulidad que, por referirse a una vulneración ya denunciada con anterioridad, deviene manifiestamente improcedente a tenor del indicado precepto.</w:t>
      </w:r>
    </w:p>
    <w:p w:rsidR="00B85568" w:rsidRDefault="00B85568" w:rsidP="00B85568">
      <w:pPr>
        <w:pStyle w:val="TextoNormal"/>
      </w:pPr>
    </w:p>
    <w:p w:rsidR="00B85568" w:rsidRDefault="00B85568" w:rsidP="00B85568">
      <w:pPr>
        <w:pStyle w:val="TextoNormal"/>
      </w:pPr>
      <w:r>
        <w:t xml:space="preserve">De lo expuesto resulta que la determinación en cada caso del remedio legalmente posible y, por tanto, exigible a los efectos del debido agotamiento de la vía judicial previa dependerá de la concreta vulneración que el recurrente denuncie en amparo y a que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B85568">
        <w:rPr>
          <w:i/>
        </w:rPr>
        <w:t>causa petendi</w:t>
      </w:r>
      <w:r>
        <w:t xml:space="preserve"> (SSTC 235/1994, de 20 de julio, FJ 1; 26/1995, de 6 de febrero. FJ 3; 124/1999. de 28 de junio, FJ 1; 205/1999, de 8 de noviembre, FJ 4, y 224/2007, de 22 de octubre, FJ 2) sin que sean viables las alteraciones introducidas con ulteriores alegaciones (SSTC 109/1997, de 2 de junio, FJ 1, y 39/1999, de 22 de marzo, FJ 2), dirigidas a completar y. en su caso, reforzar la fundamentación del recurso, mas no a ampliarlo o variarlo sustancialmente (STC 85/1999, de 10 de mayo, FJ 2).</w:t>
      </w:r>
    </w:p>
    <w:p w:rsidR="00B85568" w:rsidRDefault="00B85568" w:rsidP="00B85568">
      <w:pPr>
        <w:pStyle w:val="TextoNormal"/>
      </w:pPr>
    </w:p>
    <w:p w:rsidR="00B85568" w:rsidRDefault="00B85568" w:rsidP="00B85568">
      <w:pPr>
        <w:pStyle w:val="TextoNormal"/>
      </w:pPr>
      <w:r w:rsidRPr="00B85568">
        <w:rPr>
          <w:rStyle w:val="NumeroAFNegritaCaracter"/>
        </w:rPr>
        <w:t>3</w:t>
      </w:r>
      <w:r>
        <w:t xml:space="preserve">. En el supuesto ahora enjuiciado, el Ministerio Fiscal, dispensa la interposición del recurso de reforma pues pese a informar el Auto dicha posibilidad, era manifiestamente improcedente, generando riesgo de extemporaneidad de la demanda y por otra parte al imputarse las lesiones a la actuación policial y ser cuestionada la misma mediante la solicitud de </w:t>
      </w:r>
      <w:r w:rsidRPr="00B85568">
        <w:rPr>
          <w:i/>
        </w:rPr>
        <w:t>habeas corpus</w:t>
      </w:r>
      <w:r>
        <w:t>, el Ministerio público considera correctamente agotada la vía judicial previa al amparo sin necesidad de interponer el incidente de nulidad de actuaciones, avalando dicha tesis las dudas razonables sobre la viabilidad del incidente y las escasas expectativas de éxito que el demandante podía albergar con su interposición.</w:t>
      </w:r>
    </w:p>
    <w:p w:rsidR="00B85568" w:rsidRDefault="00B85568" w:rsidP="00B85568">
      <w:pPr>
        <w:pStyle w:val="TextoNormal"/>
      </w:pPr>
    </w:p>
    <w:p w:rsidR="00B85568" w:rsidRDefault="00B85568" w:rsidP="00B85568">
      <w:pPr>
        <w:pStyle w:val="TextoNormal"/>
      </w:pPr>
      <w:r>
        <w:t xml:space="preserve">Esta Sección, por el contrario, entendió —sin que de su nueva lectura se extraiga ahora otra conclusión distinta— que, pese a que en la demanda se refería a vulneraciones del derecho de defensa, asistencia letrada que se imputaban a la actuación policial, el recurrente atribuía al Auto impugnado lesiones autónomas por no tramitar el procedimiento de </w:t>
      </w:r>
      <w:r w:rsidRPr="00B85568">
        <w:rPr>
          <w:i/>
        </w:rPr>
        <w:t>habeas corpus</w:t>
      </w:r>
      <w:r>
        <w:t xml:space="preserve"> y por resolver razonando contra la primacía del derecho comunitario al inaplicar la Directiva invocada, quejas éstas de carácter autónomo con relación a las apreciadas por la actuación policial y de las que dependía su eventual reparación.</w:t>
      </w:r>
    </w:p>
    <w:p w:rsidR="00B85568" w:rsidRDefault="00B85568" w:rsidP="00B85568">
      <w:pPr>
        <w:pStyle w:val="TextoNormal"/>
      </w:pPr>
    </w:p>
    <w:p w:rsidR="00B85568" w:rsidRDefault="00B85568" w:rsidP="00B85568">
      <w:pPr>
        <w:pStyle w:val="TextoNormal"/>
      </w:pPr>
      <w:r>
        <w:t>Llegados a este punto, puesto que frente al indicado Auto se concedía recurso de reforma, el recurrente bien pudo interponerlo sin que el uso del mismo pudiera generarle — como afirma el Ministerio Fiscal—, riesgo alguno de extemporaneidad de la futura demanda de amparo por recurso manifiestamente improcedente. En tal sentido, hemos afirmado que “hay que considerar en todo caso excusable el error en que pueda incurrir el litigante a la hora de considerar agotada la vía judicial cuando haya sido inducido a tal error por una instrucción o información errónea acerca de los recursos facilitada por el órgano judicial, pues si éste ha ofrecido indicaciones equivocadas sobre los recursos utilizables, el interesado, aun contando con asistencia letrada, podría entender, dada la autoridad inherente a la decisión judicial, que tales indicaciones son ciertas y obrar en consecuencia. De este modo, no es razonable exigir al interesado que contravenga o salve por sí mismo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treinta días siguientes a la notificación de la resolución recaída en el proceso judicial (arts. 43.2 y 44.2 LOTC)” (por todas, STC 55/2012, de 29 de marzo, FJ 2 que cita las SSTC 210/2009, de 26 de noviembre. FJ 2; y STC 241/2006, de 20 de julio, FJ 3, dictada por el Pleno de este Tribunal).</w:t>
      </w:r>
    </w:p>
    <w:p w:rsidR="00B85568" w:rsidRDefault="00B85568" w:rsidP="00B85568">
      <w:pPr>
        <w:pStyle w:val="TextoNormal"/>
      </w:pPr>
    </w:p>
    <w:p w:rsidR="00B85568" w:rsidRDefault="00B85568" w:rsidP="00B85568">
      <w:pPr>
        <w:pStyle w:val="TextoNormal"/>
      </w:pPr>
      <w:r>
        <w:t xml:space="preserve">En todo caso, de no haberse seguido la indicación sobre la viabilidad del recurso de reforma, debió promover el incidente de nulidad de actuaciones, incurriendo en el óbice del art. 44.1 a) LOTC por no haberlo realizado. La falta de agotamiento alcanza también a la queja relativa a la no entrega del atestado por los agentes de policía, pues de haber interpuesto aquel incidente de nulidad y de ser estimado por el Juez, éste podría haber reparado la eventual vulneración derivada de la inadmisión </w:t>
      </w:r>
      <w:r w:rsidRPr="00B85568">
        <w:rPr>
          <w:i/>
        </w:rPr>
        <w:t>a limine</w:t>
      </w:r>
      <w:r>
        <w:t xml:space="preserve"> del procedimiento de </w:t>
      </w:r>
      <w:r w:rsidRPr="00B85568">
        <w:rPr>
          <w:i/>
        </w:rPr>
        <w:t>habeas corpus</w:t>
      </w:r>
      <w:r>
        <w:t xml:space="preserve"> y además atendidas las razones expuestas en el escrito de interposición del incidente, así como las que pudiera haber efectuado el Ministerio Fiscal sobre la aplicabilidad de la mencionada Directiva, reparar en su caso, la queja que a la actuación policial se le atribuía, lo que no ha sucedido debido a la omisión del propio recurrente, frustrando la subsidiariedad del recurso de amparo (AATC 7/2009, de 12 de enero, 177/2009, de 1 de junio, 293/2014 de 10 de diciembre, y STC 104/2011, de 20 de junio).</w:t>
      </w:r>
    </w:p>
    <w:p w:rsidR="00B85568" w:rsidRDefault="00B85568" w:rsidP="00B85568">
      <w:pPr>
        <w:pStyle w:val="TextoNormal"/>
      </w:pPr>
    </w:p>
    <w:p w:rsidR="00B85568" w:rsidRDefault="00B85568" w:rsidP="00B85568">
      <w:pPr>
        <w:pStyle w:val="TextoNormal"/>
      </w:pPr>
      <w:r>
        <w:t xml:space="preserve">Tal conclusión, resulta avalada por el propio proceder en la jurisdicción ordinaria del Ministerio Fiscal en las demandas de amparo que frente a la inadmisión </w:t>
      </w:r>
      <w:r w:rsidRPr="00B85568">
        <w:rPr>
          <w:i/>
        </w:rPr>
        <w:t>ad limine</w:t>
      </w:r>
      <w:r>
        <w:t xml:space="preserve"> de solicitudes de </w:t>
      </w:r>
      <w:r w:rsidRPr="00B85568">
        <w:rPr>
          <w:i/>
        </w:rPr>
        <w:t>habeas corpus</w:t>
      </w:r>
      <w:r>
        <w:t xml:space="preserve"> —como bien reconoce el Ministerio Fiscal—, sin que a ello puede oponerse que en las SSTC 32/2014 y 195/2014, se hubiera otorgado el amparo sin examinar la concurrencia del mencionado óbice procesal, pues ello sería tanto como considerar el silencio fuente de doctrina constitucional. Tampoco puede admitirse que la escasa expectativa de prosperabilidad del incidente de nulidad pueda justificar su no interposición, pues de aceptarse dicho argumento, la subsidiaridad del recurso de amparo quedaría al albur de juicios subjetivos e hipotéticos diluyendo el incidente de nulidad como instrumento idóneo para obtener ante la jurisdicción ordinaria la reparación de las vulneraciones de los derechos fundamentales, convirtiendo en inexigible, por la misma razón, la interposición de cualesquiera recursos no devolutivos.</w:t>
      </w:r>
    </w:p>
    <w:p w:rsidR="00B85568" w:rsidRDefault="00B85568" w:rsidP="00B85568">
      <w:pPr>
        <w:pStyle w:val="TextoNormal"/>
      </w:pPr>
    </w:p>
    <w:p w:rsidR="00B85568" w:rsidRDefault="00B85568" w:rsidP="00B85568">
      <w:pPr>
        <w:pStyle w:val="TextoNormal"/>
      </w:pPr>
      <w:r w:rsidRPr="00B85568">
        <w:rPr>
          <w:rStyle w:val="NumeroAFNegritaCaracter"/>
        </w:rPr>
        <w:t>4</w:t>
      </w:r>
      <w:r>
        <w:t xml:space="preserve">. El recurso de súplica debe ser así desestimado, tanto más cuanto si, siguiendo el razonamiento del Ministerio Fiscal, prescindiéramos de la lesión que se atribuye al Auto de inadmisión del procedimiento de </w:t>
      </w:r>
      <w:r w:rsidRPr="00B85568">
        <w:rPr>
          <w:i/>
        </w:rPr>
        <w:t>habeas corpus</w:t>
      </w:r>
      <w:r>
        <w:t xml:space="preserve"> y consideráramos que lo único impugnado era la actuación de la policía por cercenar el derecho de defensa y asistencia letrada al no facilitar el atestado al Abogado que asistía al recurrente incumpliendo el art. 7 de la Directiva 2012/13/UE.</w:t>
      </w:r>
    </w:p>
    <w:p w:rsidR="00B85568" w:rsidRDefault="00B85568" w:rsidP="00B85568">
      <w:pPr>
        <w:pStyle w:val="TextoNormal"/>
      </w:pPr>
    </w:p>
    <w:p w:rsidR="00B85568" w:rsidRDefault="00B85568" w:rsidP="00B85568">
      <w:pPr>
        <w:pStyle w:val="TextoNormal"/>
      </w:pPr>
      <w:r>
        <w:t>En tal caso, ni se aprecia la existencia de indefensión material por el retraso en la entrega del atestado, ni la misma es justificada por el recurrente, máxime cuando en el propio Auto se le reconoce que tiene derecho a que se le entregue el atestado “a más tardar antes del momento en que una autoridad judicial competente deba decidir sobre la legalidad de la detención o privación de libertad” y que el recurrente tiene el derecho a guardar silencio. No está de más recordar que conforme a nuestra doctrina, para que “una irregularidad procesal o infracción de las normas de procedimiento alcance relevancia constitucional debe producir un perjuicio real y efectivo en las posibilidades de defensa de quien las denuncie” (por todas, STC 130/2002, de 3 de junio, FJ 4).</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16 de febrero de 2015 en el recurso de amparo núm. 6133-2014.</w:t>
      </w:r>
    </w:p>
    <w:p w:rsidR="00B85568" w:rsidRDefault="00B85568" w:rsidP="00B85568">
      <w:pPr>
        <w:pStyle w:val="TextoNormal"/>
      </w:pPr>
    </w:p>
    <w:p w:rsidR="00B85568" w:rsidRDefault="00B85568" w:rsidP="00B85568">
      <w:pPr>
        <w:pStyle w:val="TextoNormal"/>
      </w:pPr>
      <w:r>
        <w:t>Madrid, a veintiuno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4" w:name="AUTO_2015_74"/>
      <w:r>
        <w:t>AUTO 74/2015, de 28 de abril de 2015</w:t>
      </w:r>
    </w:p>
    <w:bookmarkEnd w:id="224"/>
    <w:p w:rsidR="00B85568" w:rsidRDefault="00B85568" w:rsidP="00B85568">
      <w:pPr>
        <w:pStyle w:val="TtuloResolucin"/>
      </w:pPr>
      <w:r>
        <w:t>Pleno</w:t>
      </w:r>
    </w:p>
    <w:p w:rsidR="00B85568" w:rsidRDefault="00B85568" w:rsidP="00B85568">
      <w:pPr>
        <w:pStyle w:val="TextoNormalCentrado"/>
      </w:pPr>
      <w:r>
        <w:t>ECLI:ES:TC:2015:74A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5140-2014, planteada por el Juzgado de Primera Instancia e Instrucción núm. 7 de San Javier (Murcia) en relación con el artículo 1 de la Ley 1/2013, de 14 de mayo, de medidas para reforzar la protección a los deudores hipotecarios, reestructuración de deuda y alquiler social.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de 5 de agosto de 2014 tuvo entrada en el Registro General de este Tribunal Auto del Juzgado de Primera Instancia e Instrucción núm. 7 de San Javier (Murcia), de 25 de julio de 2014, por el que se acuerda plantear cuestión de inconstitucionalidad respecto al art. 1 de la Ley 1/2013, de 14 de mayo, de medidas para reforzar la protección a los deudores hipotecarios, reestructuración de deuda y alquiler social. Al referido Auto se acompaña testimonio del procedimiento correspondiente.</w:t>
      </w:r>
    </w:p>
    <w:p w:rsidR="00B85568" w:rsidRDefault="00B85568" w:rsidP="00B85568">
      <w:pPr>
        <w:pStyle w:val="TextoNormal"/>
      </w:pPr>
    </w:p>
    <w:p w:rsidR="00B85568" w:rsidRDefault="00B85568" w:rsidP="00B85568">
      <w:pPr>
        <w:pStyle w:val="TextoNormal"/>
      </w:pPr>
      <w:r>
        <w:t>El artículo cuestionado dispone lo siguiente:</w:t>
      </w:r>
    </w:p>
    <w:p w:rsidR="00B85568" w:rsidRDefault="00B85568" w:rsidP="00B85568">
      <w:pPr>
        <w:pStyle w:val="TextoNormal"/>
      </w:pPr>
    </w:p>
    <w:p w:rsidR="00B85568" w:rsidRDefault="00B85568" w:rsidP="00B85568">
      <w:pPr>
        <w:pStyle w:val="TextoNormal"/>
      </w:pPr>
      <w:r>
        <w:t>“Artículo 1. Suspensión de los lanzamientos sobre viviendas habituales de colectivos especialmente vulnerables.</w:t>
      </w:r>
    </w:p>
    <w:p w:rsidR="00B85568" w:rsidRDefault="00B85568" w:rsidP="00B85568">
      <w:pPr>
        <w:pStyle w:val="TextoNormal"/>
      </w:pPr>
    </w:p>
    <w:p w:rsidR="00B85568" w:rsidRDefault="00B85568" w:rsidP="00B85568">
      <w:pPr>
        <w:pStyle w:val="TextoNormal"/>
      </w:pPr>
      <w:r>
        <w:t>1. Hasta transcurridos dos años desde la entrada en vigor de esta Ley, no procederá el lanzamiento cuando en un proceso judicial o extrajudicial de ejecución hipotecaria se hubiera adjudicado al acreedor, o a persona que actúe por su cuenta, la vivienda habitual de personas que se encuentren en los supuestos de especial vulnerabilidad y en las circunstancias económicas previstas en este artículo.</w:t>
      </w:r>
    </w:p>
    <w:p w:rsidR="00B85568" w:rsidRDefault="00B85568" w:rsidP="00B85568">
      <w:pPr>
        <w:pStyle w:val="TextoNormal"/>
      </w:pPr>
    </w:p>
    <w:p w:rsidR="00B85568" w:rsidRDefault="00B85568" w:rsidP="00B85568">
      <w:pPr>
        <w:pStyle w:val="TextoNormal"/>
      </w:pPr>
      <w:r>
        <w:t>2. Los supuestos de especial vulnerabilidad a los que se refiere el apartado anterior son:</w:t>
      </w:r>
    </w:p>
    <w:p w:rsidR="00B85568" w:rsidRDefault="00B85568" w:rsidP="00B85568">
      <w:pPr>
        <w:pStyle w:val="TextoNormal"/>
      </w:pPr>
    </w:p>
    <w:p w:rsidR="00B85568" w:rsidRDefault="00B85568" w:rsidP="00B85568">
      <w:pPr>
        <w:pStyle w:val="TextoNormal"/>
      </w:pPr>
      <w:r>
        <w:t>a) Familia numerosa, de conformidad con la legislación vigente.</w:t>
      </w:r>
    </w:p>
    <w:p w:rsidR="00B85568" w:rsidRDefault="00B85568" w:rsidP="00B85568">
      <w:pPr>
        <w:pStyle w:val="TextoNormal"/>
      </w:pPr>
    </w:p>
    <w:p w:rsidR="00B85568" w:rsidRDefault="00B85568" w:rsidP="00B85568">
      <w:pPr>
        <w:pStyle w:val="TextoNormal"/>
      </w:pPr>
      <w:r>
        <w:t>b) Unidad familiar monoparental con dos hijos a cargo.</w:t>
      </w:r>
    </w:p>
    <w:p w:rsidR="00B85568" w:rsidRDefault="00B85568" w:rsidP="00B85568">
      <w:pPr>
        <w:pStyle w:val="TextoNormal"/>
      </w:pPr>
    </w:p>
    <w:p w:rsidR="00B85568" w:rsidRDefault="00B85568" w:rsidP="00B85568">
      <w:pPr>
        <w:pStyle w:val="TextoNormal"/>
      </w:pPr>
      <w:r>
        <w:t>c) Unidad familiar de la que forme parte un menor de tres años.</w:t>
      </w:r>
    </w:p>
    <w:p w:rsidR="00B85568" w:rsidRDefault="00B85568" w:rsidP="00B85568">
      <w:pPr>
        <w:pStyle w:val="TextoNormal"/>
      </w:pPr>
    </w:p>
    <w:p w:rsidR="00B85568" w:rsidRDefault="00B85568" w:rsidP="00B85568">
      <w:pPr>
        <w:pStyle w:val="TextoNormal"/>
      </w:pPr>
      <w:r>
        <w:t>d) Unidad familiar en la que alguno de sus miembros tenga declarada discapacidad superior al 33 por ciento, situación de dependencia o enfermedad que le incapacite acreditadamente de forma permanente para realizar una actividad laboral.</w:t>
      </w:r>
    </w:p>
    <w:p w:rsidR="00B85568" w:rsidRDefault="00B85568" w:rsidP="00B85568">
      <w:pPr>
        <w:pStyle w:val="TextoNormal"/>
      </w:pPr>
    </w:p>
    <w:p w:rsidR="00B85568" w:rsidRDefault="00B85568" w:rsidP="00B85568">
      <w:pPr>
        <w:pStyle w:val="TextoNormal"/>
      </w:pPr>
      <w:r>
        <w:t>e) Unidad familiar en la que el deudor hipotecario se encuentre en situación de desempleo y haya agotado las prestaciones por desempleo.</w:t>
      </w:r>
    </w:p>
    <w:p w:rsidR="00B85568" w:rsidRDefault="00B85568" w:rsidP="00B85568">
      <w:pPr>
        <w:pStyle w:val="TextoNormal"/>
      </w:pPr>
    </w:p>
    <w:p w:rsidR="00B85568" w:rsidRDefault="00B85568" w:rsidP="00B85568">
      <w:pPr>
        <w:pStyle w:val="TextoNormal"/>
      </w:pPr>
      <w:r>
        <w:t>f) Unidad familiar con la que convivan, en la misma vivienda, una o más personas que estén unidas con el titular de la hipoteca o su cónyuge por vínculo de parentesco hasta el tercer grado de consanguinidad o afinidad, y que se encuentren en situación personal de discapacidad, dependencia, enfermedad grave que les incapacite acreditadamente de forma temporal o permanente para realizar una actividad laboral.</w:t>
      </w:r>
    </w:p>
    <w:p w:rsidR="00B85568" w:rsidRDefault="00B85568" w:rsidP="00B85568">
      <w:pPr>
        <w:pStyle w:val="TextoNormal"/>
      </w:pPr>
    </w:p>
    <w:p w:rsidR="00B85568" w:rsidRDefault="00B85568" w:rsidP="00B85568">
      <w:pPr>
        <w:pStyle w:val="TextoNormal"/>
      </w:pPr>
      <w:r>
        <w:t>g) Unidad familiar en que exista una víctima de violencia de género, conforme a lo establecido en la legislación vigente, en el caso de que la vivienda objeto de lanzamiento constituya su domicilio habitual.</w:t>
      </w:r>
    </w:p>
    <w:p w:rsidR="00B85568" w:rsidRDefault="00B85568" w:rsidP="00B85568">
      <w:pPr>
        <w:pStyle w:val="TextoNormal"/>
      </w:pPr>
    </w:p>
    <w:p w:rsidR="00B85568" w:rsidRDefault="00B85568" w:rsidP="00B85568">
      <w:pPr>
        <w:pStyle w:val="TextoNormal"/>
      </w:pPr>
      <w:r>
        <w:t>3. Para que sea de aplicación lo previsto en el apartado 1 deberán concurrir, además de los supuestos de especial vulnerabilidad previstos en el apartado anterior, las circunstancias económicas siguientes:</w:t>
      </w:r>
    </w:p>
    <w:p w:rsidR="00B85568" w:rsidRDefault="00B85568" w:rsidP="00B85568">
      <w:pPr>
        <w:pStyle w:val="TextoNormal"/>
      </w:pPr>
    </w:p>
    <w:p w:rsidR="00B85568" w:rsidRDefault="00B85568" w:rsidP="00B85568">
      <w:pPr>
        <w:pStyle w:val="TextoNormal"/>
      </w:pPr>
      <w:r>
        <w:t>a) Que el conjunto de los ingresos de los miembros de la unidad familiar no supere el límite de tres veces el Indicador Público de Renta de Efectos Múltiples. Dicho límite será de cuatro veces el Indicador Público de Renta de Efectos Múltiples en los supuestos previstos en las letras d) y f) del apartado anterior, y de cinco veces dicho indicador en el caso de que el ejecutado sea persona con parálisis cerebral, con enfermedad mental o con discapacidad intelectual, con un grado de discapacidad reconocido igual o superior al 33 por ciento, o persona con discapacidad física o sensorial, con un grado de discapacidad reconocido igual o superior al 65 por ciento, así como en los casos de enfermedad grave que incapacite acreditadamente, a la persona o a su cuidador, para realizar una actividad laboral.</w:t>
      </w:r>
    </w:p>
    <w:p w:rsidR="00B85568" w:rsidRDefault="00B85568" w:rsidP="00B85568">
      <w:pPr>
        <w:pStyle w:val="TextoNormal"/>
      </w:pPr>
    </w:p>
    <w:p w:rsidR="00B85568" w:rsidRDefault="00B85568" w:rsidP="00B85568">
      <w:pPr>
        <w:pStyle w:val="TextoNormal"/>
      </w:pPr>
      <w:r>
        <w:t>b) Que, en los cuatro años anteriores al momento de la solicitud, la unidad familiar haya sufrido una alteración significativa de sus circunstancias económicas, en términos de esfuerzo de acceso a la vivienda.</w:t>
      </w:r>
    </w:p>
    <w:p w:rsidR="00B85568" w:rsidRDefault="00B85568" w:rsidP="00B85568">
      <w:pPr>
        <w:pStyle w:val="TextoNormal"/>
      </w:pPr>
    </w:p>
    <w:p w:rsidR="00B85568" w:rsidRDefault="00B85568" w:rsidP="00B85568">
      <w:pPr>
        <w:pStyle w:val="TextoNormal"/>
      </w:pPr>
      <w:r>
        <w:t>c) Que la cuota hipotecaria resulte superior al 50 por cien de los ingresos netos que perciba el conjunto de los miembros de la unidad familiar.</w:t>
      </w:r>
    </w:p>
    <w:p w:rsidR="00B85568" w:rsidRDefault="00B85568" w:rsidP="00B85568">
      <w:pPr>
        <w:pStyle w:val="TextoNormal"/>
      </w:pPr>
    </w:p>
    <w:p w:rsidR="00B85568" w:rsidRDefault="00B85568" w:rsidP="00B85568">
      <w:pPr>
        <w:pStyle w:val="TextoNormal"/>
      </w:pPr>
      <w:r>
        <w:t>d) Que se trate de un crédito o préstamo garantizado con hipoteca que recaiga sobre la única vivienda en propiedad del deudor y concedido para la adquisición de la misma.</w:t>
      </w:r>
    </w:p>
    <w:p w:rsidR="00B85568" w:rsidRDefault="00B85568" w:rsidP="00B85568">
      <w:pPr>
        <w:pStyle w:val="TextoNormal"/>
      </w:pPr>
    </w:p>
    <w:p w:rsidR="00B85568" w:rsidRDefault="00B85568" w:rsidP="00B85568">
      <w:pPr>
        <w:pStyle w:val="TextoNormal"/>
      </w:pPr>
      <w:r>
        <w:t>4. A los efectos de lo previsto en este artículo se entenderá:</w:t>
      </w:r>
    </w:p>
    <w:p w:rsidR="00B85568" w:rsidRDefault="00B85568" w:rsidP="00B85568">
      <w:pPr>
        <w:pStyle w:val="TextoNormal"/>
      </w:pPr>
    </w:p>
    <w:p w:rsidR="00B85568" w:rsidRDefault="00B85568" w:rsidP="00B85568">
      <w:pPr>
        <w:pStyle w:val="TextoNormal"/>
      </w:pPr>
      <w:r>
        <w:t>a) Que se ha producido una alteración significativa de las circunstancias económicas cuando el esfuerzo que represente la carga hipotecaria sobre la renta familiar se haya multiplicado por al menos 1,5.</w:t>
      </w:r>
    </w:p>
    <w:p w:rsidR="00B85568" w:rsidRDefault="00B85568" w:rsidP="00B85568">
      <w:pPr>
        <w:pStyle w:val="TextoNormal"/>
      </w:pPr>
    </w:p>
    <w:p w:rsidR="00B85568" w:rsidRDefault="00B85568" w:rsidP="00B85568">
      <w:pPr>
        <w:pStyle w:val="TextoNormal"/>
      </w:pPr>
      <w:r>
        <w:t>b) Por unidad familiar la compuesta por el deudor, su cónyuge no separado legalmente o pareja de hecho inscrita y los hijos, con independencia de su edad, que residan en la vivienda, incluyendo los vinculados por una relación de tutela, guarda o acogimiento familiar.”</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del planteamiento de la presente cuestión de inconstitucionalidad son, sucintamente expuestos, los siguientes:</w:t>
      </w:r>
    </w:p>
    <w:p w:rsidR="00B85568" w:rsidRDefault="00B85568" w:rsidP="00B85568">
      <w:pPr>
        <w:pStyle w:val="TextoNormal"/>
      </w:pPr>
    </w:p>
    <w:p w:rsidR="00B85568" w:rsidRDefault="00B85568" w:rsidP="00B85568">
      <w:pPr>
        <w:pStyle w:val="TextoNormal"/>
      </w:pPr>
      <w:r>
        <w:t>a) Una entidad bancaria interpuso demanda de ejecución dineraria hipotecaria contra un particular ante el Juzgado de Primera Instancia e Instrucción núm. 7 de San Javier (Murcia), a resultas de lo cual el Juzgado dictó Auto de 18 de enero de 2013, en el que se acordaba ordenar la ejecución del título hipotecario, despachar ejecución a favor de la parte ejecutante y requerir al ejecutado de pago, a fin de que efectuara el pago de las cantidades reclamadas. Una vez dictado en el procedimiento de ejecución hipotecaria decreto de 12 de febrero de 2014 por el que se acordaba la adjudicación de la vivienda hipotecada a la entidad bancaria acreedora, se presentó escrito por la representación procesal del deudor hipotecario solicitando la aplicación de las medidas previstas en el art. 1 de la Ley 1/2013, de 14 de mayo. En dicho escrito se solicitaba, en consecuencia, que se procediese a la suspensión del lanzamiento durante un periodo de dos años, acompañando la documentación acreditativa de la especial vulnerabilidad de los interesados al que se refiere el art. 2 y declarando que su unidad familiar está comprendida en el art. 1.2 de la Ley.</w:t>
      </w:r>
    </w:p>
    <w:p w:rsidR="00B85568" w:rsidRDefault="00B85568" w:rsidP="00B85568">
      <w:pPr>
        <w:pStyle w:val="TextoNormal"/>
      </w:pPr>
    </w:p>
    <w:p w:rsidR="00B85568" w:rsidRDefault="00B85568" w:rsidP="00B85568">
      <w:pPr>
        <w:pStyle w:val="TextoNormal"/>
      </w:pPr>
      <w:r>
        <w:t>b) Concluso el procedimiento y dentro del plazo para dictar Sentencia, el órgano judicial dictó providencia de 27 de junio de 2014, por la que acordó oír a las partes y al Ministerio Fiscal para que alegasen sobre la pertinencia de plantear cuestión de inconstitucionalidad en relación con el art. 1.1 de la Ley 1/2013, de 14 de mayo, de medidas para reforzar la protección a los deudores hipotecarios, reestructuración de deuda y alquiler social, por considerar que el mismo podría vulnerar lo dispuesto en los arts. 1 y 14 CE. La parte demandante se opuso al planteamiento de la cuestión de inconstitucionalidad. Finalizado el plazo correspondiente, ni la parte demandada ni el Ministerio Fiscal presentaron alegación alguna, si bien, con fecha de 13 de enero de 2015, el Ministerio Fiscal remitió escrito al Tribunal Constitucional en el que se oponía al planteamiento de la cuestión de inconstitucionalidad.</w:t>
      </w:r>
    </w:p>
    <w:p w:rsidR="00B85568" w:rsidRDefault="00B85568" w:rsidP="00B85568">
      <w:pPr>
        <w:pStyle w:val="TextoNormal"/>
      </w:pPr>
    </w:p>
    <w:p w:rsidR="00B85568" w:rsidRDefault="00B85568" w:rsidP="00B85568">
      <w:pPr>
        <w:pStyle w:val="TextoNormal"/>
      </w:pPr>
      <w:r>
        <w:t>c) El órgano judicial dictó Auto de 25 de julio de 2014 planteando la cuestión de inconstitucionalidad en relación con el art. 1 de la Ley 1/2013, de 14 de mayo, de medidas para reforzar la protección a los deudores hipotecarios, reestructuración de deuda y alquiler social.</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planteamiento de la cuestión de inconstitucionalidad se fundamenta en las consideraciones que seguidamente y de forma resumida se indican:</w:t>
      </w:r>
    </w:p>
    <w:p w:rsidR="00B85568" w:rsidRDefault="00B85568" w:rsidP="00B85568">
      <w:pPr>
        <w:pStyle w:val="TextoNormal"/>
      </w:pPr>
    </w:p>
    <w:p w:rsidR="00B85568" w:rsidRDefault="00B85568" w:rsidP="00B85568">
      <w:pPr>
        <w:pStyle w:val="TextoNormal"/>
      </w:pPr>
      <w:r>
        <w:t>Señala de forma muy sucinta los antecedentes de la cuestión, tras de lo cual pone de manifiesto que para decidir sobre la pretensión del proceso a quo —la solicitud por parte del deudor hipotecario de que se procediese a la suspensión del lanzamiento— debe aplicarse el art. 1 de la Ley 1/2013, precepto que establece los supuestos en los que dicha suspensión puede ser acordada. El órgano judicial afirma tener dudas sobre el respeto de dicha norma al principio de igualdad contenido en los arts. 1 y 14 CE, pues entiende que la Ley no hace depender la concesión de la suspensión de la ejecución sólo de la mayor o menor vulnerabilidad del solicitante, lo que entraría dentro de los parámetros de los arts. 1 y 14 CE, sino que también la hace depender de que la vivienda haya sido adjudicada en un proceso judicial o extrajudicial de ejecución hipotecaria al acreedor o a persona que actúe por su cuenta. Este hecho daría lugar a un trato desigual que no encontraría justificación, porque podría darse el supuesto de dos ejecutados en los que, concurriendo las mismas circunstancias de vulnerabilidad, la concesión o no de la suspensión no dependería de dichas circunstancias sino de la persona física o jurídica que haya adquirido el bien. También se generaría desigualdad desde el punto de vista del adquirente del bien. Si este no es el acreedor o persona que actúe por cuenta del mismo, podrá disfrutar del bien, pero, si es el acreedor, se verá privado del uso del bien durante dos años, sin que exista justificación para dicha diferencia de trato.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17 de marzo de 2015, la Sección Segunda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en este Tribunal el 17 de abril de 2015. Considera que la cuestión de inconstitucionalidad es inadmisible, alegando en síntesis lo siguiente:</w:t>
      </w:r>
    </w:p>
    <w:p w:rsidR="00B85568" w:rsidRDefault="00B85568" w:rsidP="00B85568">
      <w:pPr>
        <w:pStyle w:val="TextoNormal"/>
      </w:pPr>
    </w:p>
    <w:p w:rsidR="00B85568" w:rsidRDefault="00B85568" w:rsidP="00B85568">
      <w:pPr>
        <w:pStyle w:val="TextoNormal"/>
      </w:pPr>
      <w:r>
        <w:t>a) Una vez identificado, prima facie, el precepto legal cuestionado y el contexto legislativo en el que fue aprobado, parte el Fiscal de que la presente cuestión de inconstitucionalidad es idéntica a otra anterior planteada por el mismo órgano judicial que este Tribunal inadmitió por ATC 221/2014, de 9 de septiembre y que los óbices de inadmisibilidad apreciados por el Tribunal en la referida resolución concurren también en la presente cuestión de inconstitucionalidad.</w:t>
      </w:r>
    </w:p>
    <w:p w:rsidR="00B85568" w:rsidRDefault="00B85568" w:rsidP="00B85568">
      <w:pPr>
        <w:pStyle w:val="TextoNormal"/>
      </w:pPr>
    </w:p>
    <w:p w:rsidR="00B85568" w:rsidRDefault="00B85568" w:rsidP="00B85568">
      <w:pPr>
        <w:pStyle w:val="TextoNormal"/>
      </w:pPr>
      <w:r>
        <w:t>Admite el Fiscal que, en una primera aproximación, la providencia del Juzgado de Primera Instancia e Instrucción identifica formalmente, tanto el precepto legal cuestionado, como los preceptos constitucionales que se estiman vulnerados, con mención expresa de los arts. 1 y 14 CE. Sin embargo, a su juicio, esta simple mención no cumplió satisfactoriamente con las exigencias constitucionales, pues se estima que no permitió a las partes conocer, con la suficiente precisión, el verdadero alcance de la duda de constitucionalidad del juez a quo.</w:t>
      </w:r>
    </w:p>
    <w:p w:rsidR="00B85568" w:rsidRDefault="00B85568" w:rsidP="00B85568">
      <w:pPr>
        <w:pStyle w:val="TextoNormal"/>
      </w:pPr>
    </w:p>
    <w:p w:rsidR="00B85568" w:rsidRDefault="00B85568" w:rsidP="00B85568">
      <w:pPr>
        <w:pStyle w:val="TextoNormal"/>
      </w:pPr>
      <w:r>
        <w:t>La resolución judicial realiza una mención genérica a la posible vulneración de los arts. 1 y 14 CE, sin señalar qué aspectos o contenidos concretos de dichos artículos se considerarían vulnerados por la previsión contenida en el art. 1.1 de la Ley 1/2013. De esta manera, el trámite de audiencia no cumplió materialmente el fin para el cual fue establecido, pues no proporcionó a las partes el más mínimo indicio que les permitiera inferir los términos de la duda planteada por el órgano judicial y, por tanto, fijar con precisión su alcance constitucional. En definitiva, a juicio del Fiscal General del Estado, de la providencia de 27 de junio de 2014 del Juzgado de Primera Instancia e Instrucción de San Javier, no se desprendía con claridad la concreta duda de constitucionalidad que motivó el planteamiento de la cuestión por parte del órgano judicial, como exige la doctrina reiterada de este Tribunal.</w:t>
      </w:r>
    </w:p>
    <w:p w:rsidR="00B85568" w:rsidRDefault="00B85568" w:rsidP="00B85568">
      <w:pPr>
        <w:pStyle w:val="TextoNormal"/>
      </w:pPr>
    </w:p>
    <w:p w:rsidR="00B85568" w:rsidRDefault="00B85568" w:rsidP="00B85568">
      <w:pPr>
        <w:pStyle w:val="TextoNormal"/>
      </w:pPr>
      <w:r>
        <w:t>En este sentido, pone de manifiesto el Ministerio Fiscal, se pronunció el citado ATC 221/2014, FJ 2, al estimar que concurría un supuesto de “indeterminación absoluta”. Ello no obstante, el Fiscal General del Estado considera que podría matizarse dicha objeción por la mención adicional que diferencia ambos trámites de audiencia ya que, en el presente caso, el órgano judicial afirmó en la providencia que el art. 1.1. de la Ley 1/2013 “establece un trato diferenciado en función de la adjudicación de la vivienda a la entidad acreedora u otra persona o entidad que actúe por cuenta de otro o bien que sea adjudicataria de un tercero, a pesar de que la situación económica de ejecutado sea la misma”, si bien, a su juicio, esta adición nada aporta sobre qué concreta dimensión o proyección de los preceptos constitucionales invocados se vulneraría, por lo que estima que no se cumplió correctamente con el trámite de audiencia en la misma línea que el citado ATC 221/2014.</w:t>
      </w:r>
    </w:p>
    <w:p w:rsidR="00B85568" w:rsidRDefault="00B85568" w:rsidP="00B85568">
      <w:pPr>
        <w:pStyle w:val="TextoNormal"/>
      </w:pPr>
    </w:p>
    <w:p w:rsidR="00B85568" w:rsidRDefault="00B85568" w:rsidP="00B85568">
      <w:pPr>
        <w:pStyle w:val="TextoNormal"/>
      </w:pPr>
      <w:r>
        <w:t>b) Se señala seguidamente que, pese a que el juicio de aplicabilidad exigido por la doctrina constitucional ha de considerarse cumplido en el Auto de planteamiento de la cuestión,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 (ATC 221/2014, FJ 3). El razonamiento del órgano judicial consiste fundamentalmente en entender que “si el objeto de la ley es la protección de las familias en situación de especial vulnerabilidad, no encuentra encaje constitucional una diferencia de trato no basado en las circunstancias de las familias sino en la persona física o jurídica que finalmente adquiere el bien”. Pues bien, tal argumentación aparecería en opinión del Fiscal totalmente desvinculada de las circunstancias concurrentes del caso sometido a enjuiciamiento, pues en ningún momento del proceso se discutió si la entidad bancaria adjudicataria de la vivienda del ejecutado tenía o no la condición de acreedor o actuaba o no por cuenta de este último. Todo lo contrario, la condición de acreedor de la parte ejecutante resulta plenamente acreditada a la luz de la documentación aportada en la causa. El propio órgano judicial no la discute en su auto de planteamiento como argumento para justificar su duda de constitucionalidad.</w:t>
      </w:r>
    </w:p>
    <w:p w:rsidR="00B85568" w:rsidRDefault="00B85568" w:rsidP="00B85568">
      <w:pPr>
        <w:pStyle w:val="TextoNormal"/>
      </w:pPr>
    </w:p>
    <w:p w:rsidR="00B85568" w:rsidRDefault="00B85568" w:rsidP="00B85568">
      <w:pPr>
        <w:pStyle w:val="TextoNormal"/>
      </w:pPr>
      <w:r>
        <w:t>En definitiva, se estima que la fundamentación de los motivos de inconstitucionalidad de la disposición cuestionada se ha llevado a cabo de un modo abstracto, sin conexión causal con las circunstancias concretas del proceso a quo, desnaturalizando, por tanto, el carácter concreto del control de constitucionalidad propio de toda cuestión de inconstitucionalidad y convirtiéndola en un juicio abstracto, desconectado del caso concreto sometido a enjuiciamiento, como se concluyó también en el ATC 221/2014, FJ 3.</w:t>
      </w:r>
    </w:p>
    <w:p w:rsidR="00B85568" w:rsidRDefault="00B85568" w:rsidP="00B85568">
      <w:pPr>
        <w:pStyle w:val="TextoNormal"/>
      </w:pPr>
    </w:p>
    <w:p w:rsidR="00B85568" w:rsidRDefault="00B85568" w:rsidP="00B85568">
      <w:pPr>
        <w:pStyle w:val="TextoNormal"/>
      </w:pPr>
      <w:r>
        <w:t>Por las razones expuestas el Fiscal General del Estado concluye su escrito solicitando, conforme a lo previsto en el art. 37.1 LOTC, que se dicte resolución acordando la inadmisión de la presente cuestión de inconstitucionalidad.</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presente cuestión de inconstitucionalidad se plantea por el Juzgado de Primera Instancia e Instrucción núm. 7 de San Javier (Murcia), respecto del art. 1 de la Ley 1/2013, de 14 de mayo, de medidas para reforzar la protección a los deudores hipotecarios, reestructuración de deuda y alquiler social, cuyo tenor literal ha sido reproducido en el antecedente primero de esta resolución.</w:t>
      </w:r>
    </w:p>
    <w:p w:rsidR="00B85568" w:rsidRDefault="00B85568" w:rsidP="00B85568">
      <w:pPr>
        <w:pStyle w:val="TextoNormal"/>
      </w:pPr>
    </w:p>
    <w:p w:rsidR="00B85568" w:rsidRDefault="00B85568" w:rsidP="00B85568">
      <w:pPr>
        <w:pStyle w:val="TextoNormal"/>
      </w:pPr>
      <w:r>
        <w:t>Como resulta de la fundamentación del Auto de planteamiento de la cuestión, la duda de constitucionalidad del citado Juzgado reside en la posible vulneración de los arts. 1 y 14 CE. A modo de ver del órgano judicial, la vulneración se produciría porque el art. 1 de la Ley 1/2013 exige para que pueda concederse al deudor hipotecario una moratoria de lanzamiento de la vivienda habitual, que la adjudicación de la vivienda en el procedimiento de ejecución se hubiera realizado a favor del acreedor o persona que actúe por su cuenta, en tanto que dicha moratoria no resulta posible si la adjudicación tiene lugar a favor de un tercero que no ostente esta condición. Tal distinción, a su juicio, no encuentra encaje constitucional, al carecer de toda justificación objetiva y razonable desde la perspectiva de la finalidad de protección de la norma de las unidades familiares especialmente vulnerables, pues la suspensión del lanzamiento no dependería de las concretas circunstancias de vulnerabilidad del ejecutado, sino de la condición de acreedor o no de la persona física o jurídica adjudicataria de la vivienda.</w:t>
      </w:r>
    </w:p>
    <w:p w:rsidR="00B85568" w:rsidRDefault="00B85568" w:rsidP="00B85568">
      <w:pPr>
        <w:pStyle w:val="TextoNormal"/>
      </w:pPr>
    </w:p>
    <w:p w:rsidR="00B85568" w:rsidRDefault="00B85568" w:rsidP="00B85568">
      <w:pPr>
        <w:pStyle w:val="TextoNormal"/>
      </w:pPr>
      <w:r>
        <w:t>El Fiscal General del Estado, según se ha hecho constar también en los antecedentes, se ha opuesto a la admisión de la cuestión de inconstitucionalidad, por incumplimiento de los requisitos procesales (art. 35.2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De acuerdo con lo previsto en el art. 37.1 LOTC, este Tribunal puede rechazar </w:t>
      </w:r>
      <w:r w:rsidRPr="00B85568">
        <w:rPr>
          <w:i/>
        </w:rPr>
        <w:t>a limine</w:t>
      </w:r>
      <w:r>
        <w:t xml:space="preserve"> las cuestiones de inconstitucionalidad, mediante Auto y sin otra audiencia que la del Fiscal General del Estado, cuando faltaren las condiciones procesales.</w:t>
      </w:r>
    </w:p>
    <w:p w:rsidR="00B85568" w:rsidRDefault="00B85568" w:rsidP="00B85568">
      <w:pPr>
        <w:pStyle w:val="TextoNormal"/>
      </w:pPr>
    </w:p>
    <w:p w:rsidR="00B85568" w:rsidRDefault="00B85568" w:rsidP="00B85568">
      <w:pPr>
        <w:pStyle w:val="TextoNormal"/>
      </w:pPr>
      <w:r>
        <w:t>El Fiscal General del Estado pone de manifiesto que el Juzgado de Primera Instancia e Instrucción de San Javier no cumplió debidamente con el trámite de audiencia exigido en el art. 35.2 LOTC, porque de lo señalado en su providencia de 27 de junio de 2014 no se desprendía con claridad la concreta duda de constitucionalidad que motivó el planteamiento de la cuestión, como exige la jurisprudencia de este Tribunal. Para fundamentar dicha afirmación cita el ATC 221/2014, de 9 de septiembre, en el que se acordó la inadmisión de una cuestión de inconstitucionalidad planteada por el mismo órgano judicial sobre el mismo precepto, por los mismos motivos de inconstitucionalidad y en los mismos términos ahora planteados. Ahora bien, como consta en los antecedentes, admite que se podría matizar dicha objeción por las diferencias advertidas en la realización del trámite de audiencia, si bien ello no obsta para que su conclusión sea que no se cumplió debidamente el trámite de audiencia.</w:t>
      </w:r>
    </w:p>
    <w:p w:rsidR="00B85568" w:rsidRDefault="00B85568" w:rsidP="00B85568">
      <w:pPr>
        <w:pStyle w:val="TextoNormal"/>
      </w:pPr>
    </w:p>
    <w:p w:rsidR="00B85568" w:rsidRDefault="00B85568" w:rsidP="00B85568">
      <w:pPr>
        <w:pStyle w:val="TextoNormal"/>
      </w:pPr>
      <w:r>
        <w:t>En el citado ATC 221/2014, a la luz de la doctrina constitucional sobre el trámite de audiencia previsto en el art 35.2 LOTC, afirmamos que “hemos exigido que la concreta duda de constitucionalidad que motiva el planteamiento de la cuestión por parte del órgano judicial se desprenda claramente de lo contenido en la providencia por la que se lleva a cabo el trámite de audiencia”. En este sentido hemos señalado, asimismo, que resulta inexcusable que en el trámite de audiencia del art. 35.2 LOTC se identifiquen con precisión tanto los preceptos legales sobre cuya constitucionalidad se albergan dudas como las normas de la Constitución que se consideren vulneradas (ATC 56/2014, de 25 de febrero, FJ 2), y que “las partes puedan (i) conocer el planteamiento de la inconstitucionalidad, (ii) situarlo en sus exactos términos y (iii) pronunciarse sobre él” (AATC 221/2014, FJ 2; y 116/2014, de 8 de abril, FJ 2). En este caso, en la providencia de 27 de junio de 2014, a diferencia de la providencia sobre la que nos pronunciamos en el ATC 221/2014, el órgano judicial no sólo citó los preceptos constitucionales supuestamente vulnerados sino que, además, expresó la duda de constitucionalidad al señalar que el precepto cuestionado “podría vulnerar lo dispuesto en el art. 1 y 14 de la Constitución Española, puesto que dicho precepto establece un trato diferenciado en función de la adjudicación de la vivienda a la entidad acreedora u otra persona o entidad que actúe por cuenta de otro o bien que sea adjudicataria de un tercero, a pesar de que la situación económica de ejecutado sea la misma”. En consecuencia, podemos considerar que, en este caso, se ha explicitado la duda de constitucionalidad que al respecto alberga el órgano judicial y que se ha cumplido correctamente el trámite de audiencia a las partes y al Ministerio Fiscal.</w:t>
      </w:r>
    </w:p>
    <w:p w:rsidR="00B85568" w:rsidRDefault="00B85568" w:rsidP="00B85568">
      <w:pPr>
        <w:pStyle w:val="TextoNormal"/>
      </w:pPr>
    </w:p>
    <w:p w:rsidR="00B85568" w:rsidRDefault="00B85568" w:rsidP="00B85568">
      <w:pPr>
        <w:pStyle w:val="TextoNormal"/>
      </w:pPr>
      <w:r w:rsidRPr="00B85568">
        <w:rPr>
          <w:rStyle w:val="NumeroAFNegritaCaracter"/>
        </w:rPr>
        <w:t>3</w:t>
      </w:r>
      <w:r>
        <w:t>. En lo que se refiere a la formulación del juicio de aplicabilidad —que la norma resulte aplicable al caso (art. 35.1 LOTC)— puede considerarse correctamente formulado, en tanto se pone de manifiesto que, solicitada la suspensión del lanzamiento durante un periodo de dos años por el deudor hipotecario, procede la aplicación de lo dispuesto en el art. 1 de la Ley 1/2013, pues es el precepto que establece los supuestos en los que dicha suspensión puede ser acordada.</w:t>
      </w:r>
    </w:p>
    <w:p w:rsidR="00B85568" w:rsidRDefault="00B85568" w:rsidP="00B85568">
      <w:pPr>
        <w:pStyle w:val="TextoNormal"/>
      </w:pPr>
    </w:p>
    <w:p w:rsidR="00B85568" w:rsidRDefault="00B85568" w:rsidP="00B85568">
      <w:pPr>
        <w:pStyle w:val="TextoNormal"/>
      </w:pPr>
      <w:r>
        <w:t>No puede decirse lo mismo, en cambio, respecto al juicio de relevancia —que la decisión del proceso a quo dependa de la validez de la norma cuestionada (art. 35.2 LOTC)—. En el Auto del Juzgado de Primera Instancia e Instrucción núm. 7 de San Javier se señala simplemente que el art. 1 de la Ley 1/2013 es “una norma … de cuya validez depende el fallo, la decisión sobre si procede o no acordar la suspensión solicitada”. Aunque en apariencia pudiera considerarse correctamente formulado dicho juicio, ha de coincidirse con el Ministerio Fiscal cuando advierte que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 como afirmamos en el ATC 221/2014, FJ 3.</w:t>
      </w:r>
    </w:p>
    <w:p w:rsidR="00B85568" w:rsidRDefault="00B85568" w:rsidP="00B85568">
      <w:pPr>
        <w:pStyle w:val="TextoNormal"/>
      </w:pPr>
    </w:p>
    <w:p w:rsidR="00B85568" w:rsidRDefault="00B85568" w:rsidP="00B85568">
      <w:pPr>
        <w:pStyle w:val="TextoNormal"/>
      </w:pPr>
      <w:r>
        <w:t>Ha de recordarse que, mediante el juicio de relevancia, el órgano judicial debe probar que el fallo en el proceso principal depende de la norma legal cuya constitucionalidad se cuestiona y que garantiza que el control de constitucionalidad no se convierta en un control abstracto, para lo que el órgano judicial no tiene legitimación (SSTC 84/2012, de 18 de abril, FJ 2; y 146/2012, de 54 de julio, FJ 3; y ATC 116/2014, de 8 de abril, FJ 3). Porque “La cuestión de inconstitucionalidad no es un procedimiento dirigido a discutir en general y en abstracto normas con rango de ley en toda su extensión, función ésta que queda reservada por nuestra Constitución, principalmente, al recurso de inconstitucionalidad” (ATC 243/2013, de 22 de octubre, FJ 3).</w:t>
      </w:r>
    </w:p>
    <w:p w:rsidR="00B85568" w:rsidRDefault="00B85568" w:rsidP="00B85568">
      <w:pPr>
        <w:pStyle w:val="TextoNormal"/>
      </w:pPr>
    </w:p>
    <w:p w:rsidR="00B85568" w:rsidRDefault="00B85568" w:rsidP="00B85568">
      <w:pPr>
        <w:pStyle w:val="TextoNormal"/>
      </w:pPr>
      <w:r>
        <w:t>Efectivamente, y tal y como afirmamos en el citado ATC 221/2014, FJ 3, la hipótesis de contradicción con los arts. 1 y 14 CE que plantea en su Auto nada tiene que ver con el supuesto que se ha de resolver en este caso: que la vivienda de una familia que cumpla con los requisitos para la concesión de la suspensión previstos en el art. 1 de la Ley 1/2013 fuera adjudicada a una persona física o jurídica diferente a la acreedora. En tal hipótesis se generarían, a su modo de ver, desigualdades tanto desde el punto de vista de la familia afectada, como desde el punto de vista del adjudicatario del inmueble. Pero en el caso que ahora enjuiciamos, el Juez de Primera Instancia debe conocer en el proceso a quo de un supuesto al que le resulta de aplicación sin el menor esfuerzo interpretativo lo dispuesto en el precepto objeto de la cuestión de inconstitucionalidad, pues el deudor hipotecario y solicitante de la suspensión del lanzamiento cumple con las condiciones exigidas en el art. 1 de la Ley 1/2013 y su vivienda fue adjudicada en ejecución hipotecaria al acreedor, como también se requiere conforme a dicho artículo. Y, como advierte el Fiscal en su escrito de alegaciones, la condición de acreedora de la entidad bancaria adjudicataria de la vivienda del ejecutado resulta plenamente acreditada a la luz de la documentación aportada en la causa y no fue discutida en ningún momento del proceso. Por último, dicha condición tampoco fue puesta en entredicho por el propio órgano judicial en su Auto de planteamiento como argumento para justificar su duda de constitucionalidad.</w:t>
      </w:r>
    </w:p>
    <w:p w:rsidR="00B85568" w:rsidRDefault="00B85568" w:rsidP="00B85568">
      <w:pPr>
        <w:pStyle w:val="TextoNormal"/>
      </w:pPr>
    </w:p>
    <w:p w:rsidR="00B85568" w:rsidRDefault="00B85568" w:rsidP="00B85568">
      <w:pPr>
        <w:pStyle w:val="TextoNormal"/>
      </w:pPr>
      <w:r>
        <w:t>En definitiva, lo que pretende el órgano judicial que plantea la presente cuestión de inconstitucionalidad es convertir esta en un juicio de constitucionalidad en abstracto, desligado del proceso a quo, “lo que, cabalmente, no puede constituir nunca el objeto de un procedimiento constitucional de este tipo” (SSTC 147/2012, de 5 de julio, FJ 3; y 6/2010, de 14 de abril, FJ 2; y ATC 57/2014, de 25 de febrero, FJ 4).</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veintiocho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5" w:name="AUTO_2015_75"/>
      <w:r>
        <w:t>AUTO 75/2015, de 29 de abril de 2015</w:t>
      </w:r>
    </w:p>
    <w:bookmarkEnd w:id="225"/>
    <w:p w:rsidR="00B85568" w:rsidRDefault="00B85568" w:rsidP="00B85568">
      <w:pPr>
        <w:pStyle w:val="TtuloResolucin"/>
      </w:pPr>
      <w:r>
        <w:t>Sección Primera</w:t>
      </w:r>
    </w:p>
    <w:p w:rsidR="00B85568" w:rsidRDefault="00B85568" w:rsidP="00B85568">
      <w:pPr>
        <w:pStyle w:val="TextoNormalCentrado"/>
      </w:pPr>
      <w:r>
        <w:t>ECLI:ES:TC:2015:75A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y don Juan Antonio Xiol Ríos.</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26" w:name="AUTO_2015_76"/>
      <w:r>
        <w:t>AUTO 76/2015, de 30 de abril de 2015</w:t>
      </w:r>
    </w:p>
    <w:bookmarkEnd w:id="226"/>
    <w:p w:rsidR="00B85568" w:rsidRDefault="00B85568" w:rsidP="00B85568">
      <w:pPr>
        <w:pStyle w:val="TtuloResolucin"/>
      </w:pPr>
      <w:r>
        <w:t>Pleno</w:t>
      </w:r>
    </w:p>
    <w:p w:rsidR="00B85568" w:rsidRDefault="00B85568" w:rsidP="00B85568">
      <w:pPr>
        <w:pStyle w:val="TextoNormalCentrado"/>
      </w:pPr>
      <w:r>
        <w:t>ECLI:ES:TC:2015:76A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6349-2014, planteada por el Juzgado de Primera Instancia núm. 1 de Gandesa en relación con el artículo 451.12 del Código civil de Cataluña. Voto particular.</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Constitucional el día 17 de octubre de 2014, al que acompaña testimonio del correspondiente Auto de 10 de octubre de 2014, el Juzgado de Primera Instancia núm. 1 de Gandesa plantea cuestión de inconstitucionalidad, en relación con el art. 451-12 del Código civil de Cataluña, aprobado por Ley 10/2008, de 10 de julio, del Parlamento de Cataluña, por posible vulneración del art. 149.1.6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cuestión son, sucintamente expuestos, los siguientes:</w:t>
      </w:r>
    </w:p>
    <w:p w:rsidR="00B85568" w:rsidRDefault="00B85568" w:rsidP="00B85568">
      <w:pPr>
        <w:pStyle w:val="TextoNormal"/>
      </w:pPr>
    </w:p>
    <w:p w:rsidR="00B85568" w:rsidRDefault="00B85568" w:rsidP="00B85568">
      <w:pPr>
        <w:pStyle w:val="TextoNormal"/>
      </w:pPr>
      <w:r>
        <w:t>a) Por Sentencia de fecha 7 de abril de 2012, recaída en el procedimiento ordinario núm. 429-2011 del Juzgado de Primera Instancia núm. 1 de Gandesa, fue estimada íntegramente la demanda de impugnación de cláusula de desheredación testamentaria y de reclamación y cuantificación de la legítima, deducida por don Francisco de Borja Ribera Capó contra don Ricard Barlabé Dalmau. En la parte dispositiva de la Sentencia se condenó a este último, en su condición de heredero, a abonar al actor la cuarta parte de la herencia líquida del fallecido don José Ribera Monreal, que alcanza un importe de 64.008,37 €.</w:t>
      </w:r>
    </w:p>
    <w:p w:rsidR="00B85568" w:rsidRDefault="00B85568" w:rsidP="00B85568">
      <w:pPr>
        <w:pStyle w:val="TextoNormal"/>
      </w:pPr>
    </w:p>
    <w:p w:rsidR="00B85568" w:rsidRDefault="00B85568" w:rsidP="00B85568">
      <w:pPr>
        <w:pStyle w:val="TextoNormal"/>
      </w:pPr>
      <w:r>
        <w:t>b) Mediante escrito presentado el día 7 de junio de 2012, don Ricard Barlabé Dalmau manifestó que optaba por satisfacer el importe de la legítima mediante la entrega de bienes de la herencia, conforme a lo dispuesto en el art. 451-11 del Código civil de Cataluña, a cuyo fin emplazó a don Francisco de Borja Ribera Capó a aceptar ante notario la entrega de los bienes inmuebles relacionados en el referido escrito, como pago de la legítima reconocida en la Sentencia anteriormente indicada.</w:t>
      </w:r>
    </w:p>
    <w:p w:rsidR="00B85568" w:rsidRDefault="00B85568" w:rsidP="00B85568">
      <w:pPr>
        <w:pStyle w:val="TextoNormal"/>
      </w:pPr>
    </w:p>
    <w:p w:rsidR="00B85568" w:rsidRDefault="00B85568" w:rsidP="00B85568">
      <w:pPr>
        <w:pStyle w:val="TextoNormal"/>
      </w:pPr>
      <w:r>
        <w:t>c) En fecha 22 de junio del 2012, don Francisco de Borja Ribera Capó solicitó la incoación de expediente de jurisdicción voluntaria, al amparo de lo dispuesto en el art. 451-12.1 del Código civil de Cataluña. En dicho escrito invocó la aplicación al caso del art. 1813 de la Ley de enjuiciamiento civil (LEC) de 1881, manifestó su oposición al ofrecimiento de bienes efectuado por don Ricard Barlabé Dalmau y, de conformidad con lo establecido en el primero de los preceptos citados, interesó la incoación del expediente de jurisdicción voluntaria, que se le tuviera por opuesto a la oferta relativa al pago de su legítima y que, finalmente, se dictará Auto en cuya virtud le fuera atribuido, como pago de su derecho hereditario, el 36,719 por 100 de las fincas registrales núms. 112 y 649 del término de Cubells o, subsidiariamente, la finca registral núm. 112 en su integridad (valorada en 59.565 €) y el resto en dinero, hasta completar el valor de la legítima y el importe de los intereses.</w:t>
      </w:r>
    </w:p>
    <w:p w:rsidR="00B85568" w:rsidRDefault="00B85568" w:rsidP="00B85568">
      <w:pPr>
        <w:pStyle w:val="TextoNormal"/>
      </w:pPr>
    </w:p>
    <w:p w:rsidR="00B85568" w:rsidRDefault="00B85568" w:rsidP="00B85568">
      <w:pPr>
        <w:pStyle w:val="TextoNormal"/>
      </w:pPr>
      <w:r>
        <w:t>d) Por diligencia de ordenación de fecha 11 de diciembre de 2012 se acordó admitir a trámite la solicitud de incoación de expediente de jurisdicción voluntaria —que fue registrado con el núm. 293-2012— y dar traslado a don Ricardo Barlabé Dalmau, por término de veinte días, de la petición formulada por el promotor del expediente.</w:t>
      </w:r>
    </w:p>
    <w:p w:rsidR="00B85568" w:rsidRDefault="00B85568" w:rsidP="00B85568">
      <w:pPr>
        <w:pStyle w:val="TextoNormal"/>
      </w:pPr>
    </w:p>
    <w:p w:rsidR="00B85568" w:rsidRDefault="00B85568" w:rsidP="00B85568">
      <w:pPr>
        <w:pStyle w:val="TextoNormal"/>
      </w:pPr>
      <w:r>
        <w:t>e) Mediante escrito presentado el 19 de febrero de 2013, don Ricardo Barlabé Dalmau se opuso a la pretensión formulada de contrario, pues estimó que los bienes que en su día ofreció son suficientes, en calidad y cantidad, para cubrir el importe de la legítima reconocida a don Francisco de Borja Ribera Capó.</w:t>
      </w:r>
    </w:p>
    <w:p w:rsidR="00B85568" w:rsidRDefault="00B85568" w:rsidP="00B85568">
      <w:pPr>
        <w:pStyle w:val="TextoNormal"/>
      </w:pPr>
    </w:p>
    <w:p w:rsidR="00B85568" w:rsidRDefault="00B85568" w:rsidP="00B85568">
      <w:pPr>
        <w:pStyle w:val="TextoNormal"/>
      </w:pPr>
      <w:r>
        <w:t>f) A la vista de la oposición formulada por don Ricardo Barlabé Dalmau, por Auto de fecha 26 de abril de 2013 el órgano judicial, al amparo de lo dispuesto en el art. 1817 LEC de 1881 acordó lo siguiente: “Hágase contencioso el expediente, sin alterar la situación que tuvieran, al tiempo de ser incoado, los interesados y lo que fuere objeto de él, y se sujetará a las trámites que corresponda, según la cuantía, procediendo a seguir en las presentes actuaciones, en este caso, por el cauce del Procedimiento Ordinario (registrado con el núm. 259-2013) y con testimonio de la presente resolución, que se llevará al Libro de resoluciones definitivas de este Juzgado”. Asimismo, en la referida resolución se señaló, para el día 23 de mayo de 2013, la celebración de la audiencia previa prevista en el art. 414.1 LEC.</w:t>
      </w:r>
    </w:p>
    <w:p w:rsidR="00B85568" w:rsidRDefault="00B85568" w:rsidP="00B85568">
      <w:pPr>
        <w:pStyle w:val="TextoNormal"/>
      </w:pPr>
    </w:p>
    <w:p w:rsidR="00B85568" w:rsidRDefault="00B85568" w:rsidP="00B85568">
      <w:pPr>
        <w:pStyle w:val="TextoNormal"/>
      </w:pPr>
      <w:r>
        <w:t>g) En fecha 8 de mayo de 2013 don Francisco de Borja Ribera Capó interpuso recurso de reposición contra la resolución antes indicada, por considerar improcedente la transformación del primigenio expediente en un procedimiento contencioso. Por ello, interesó la revocación del Auto anteriormente mencionado, la subsiguiente prosecución de las actuaciones por los trámites de jurisdicción voluntaria y la práctica de la prueba pericial, todo ello de conformidad con lo prescrito en el art. 451-12 del Código civil de Cataluña.</w:t>
      </w:r>
    </w:p>
    <w:p w:rsidR="00B85568" w:rsidRDefault="00B85568" w:rsidP="00B85568">
      <w:pPr>
        <w:pStyle w:val="TextoNormal"/>
      </w:pPr>
    </w:p>
    <w:p w:rsidR="00B85568" w:rsidRDefault="00B85568" w:rsidP="00B85568">
      <w:pPr>
        <w:pStyle w:val="TextoNormal"/>
      </w:pPr>
      <w:r>
        <w:t>h) Mediante providencia de fecha 9 de mayo del 2013 se confirió traslado del recurso a la parte contraria y al Ministerio Fiscal. Por escrito de fecha 27 del citado mes y año, don Ricardo Barlabé Dalmau se opuso a la estimación del recurso de reposición. En síntesis, alegó que los expedientes de jurisdicción voluntaria no son aptos para dirimir conflictos entre particulares. Por su parte, el Ministerio Fiscal interesó la confirmación de la resolución recurrida.</w:t>
      </w:r>
    </w:p>
    <w:p w:rsidR="00B85568" w:rsidRDefault="00B85568" w:rsidP="00B85568">
      <w:pPr>
        <w:pStyle w:val="TextoNormal"/>
      </w:pPr>
    </w:p>
    <w:p w:rsidR="00B85568" w:rsidRDefault="00B85568" w:rsidP="00B85568">
      <w:pPr>
        <w:pStyle w:val="TextoNormal"/>
      </w:pPr>
      <w:r>
        <w:t>i) Por providencia de fecha 13 de noviembre de 2013, el órgano judicial acordó, de conformidad con lo dispuesto en el art. 35 de la Ley Orgánica del Tribunal Constitucional (LOTC), oír a las partes y al Ministerio Fiscal por plazo improrrogable de 10 diez días acerca de la posible inconstitucionalidad del art. 451-12 del Código civil de Cataluña. Por escrito de fecha 27 de noviembre de 2013, el Fiscal interpuso recurso de reposición contra la providencia antes indicada, a fin de que se dejara sin efecto y se dictara nueva resolución ajustada a lo establecido en el art. 35.2 LOTC.</w:t>
      </w:r>
    </w:p>
    <w:p w:rsidR="00B85568" w:rsidRDefault="00B85568" w:rsidP="00B85568">
      <w:pPr>
        <w:pStyle w:val="TextoNormal"/>
      </w:pPr>
    </w:p>
    <w:p w:rsidR="00B85568" w:rsidRDefault="00B85568" w:rsidP="00B85568">
      <w:pPr>
        <w:pStyle w:val="TextoNormal"/>
      </w:pPr>
      <w:r>
        <w:t>j) Tras la estimación del recurso interpuesto por el Ministerio Fiscal, acordada por Auto de 18 de junio de 2014, el día 19 del citado mes y año el órgano judicial dictó nuevo Auto, en cuya virtud dispuso oír a las partes y al Ministerio Fiscal sobre la pertinencia de plantear cuestión de inconstitucionalidad respecto del art. 451-12 del Código civil de Cataluña, por su eventual contradicción con el art. 149.1.6 CE. Según se explicita en la referida resolución, la duda de constitucionalidad radica en que el precepto citado en primer lugar contiene una especialidad procesal respecto de lo estatuido en el art. 1817 LEC de 1881, sin que concurra ninguna particularidad del Derecho civil catalán sustantivo que lo justifique.</w:t>
      </w:r>
    </w:p>
    <w:p w:rsidR="00B85568" w:rsidRDefault="00B85568" w:rsidP="00B85568">
      <w:pPr>
        <w:pStyle w:val="TextoNormal"/>
      </w:pPr>
    </w:p>
    <w:p w:rsidR="00B85568" w:rsidRDefault="00B85568" w:rsidP="00B85568">
      <w:pPr>
        <w:pStyle w:val="TextoNormal"/>
      </w:pPr>
      <w:r>
        <w:t>k) Don Ricardo Barlabé Dalmau y el Ministerio Fiscal no se opusieron al planteamiento de la cuestión de constitucionalidad, según consta en los escritos de fecha 1 y 21 de julio del 2014, respectivamente. Por el contrario, don Francisco de Borja Ribera Capó se opuso al planteamiento de la referida cuestión.</w:t>
      </w:r>
    </w:p>
    <w:p w:rsidR="00B85568" w:rsidRDefault="00B85568" w:rsidP="00B85568">
      <w:pPr>
        <w:pStyle w:val="TextoNormal"/>
      </w:pPr>
    </w:p>
    <w:p w:rsidR="00B85568" w:rsidRDefault="00B85568" w:rsidP="00B85568">
      <w:pPr>
        <w:pStyle w:val="TextoNormal"/>
      </w:pPr>
      <w:r w:rsidRPr="00B85568">
        <w:rPr>
          <w:rStyle w:val="NumeroAFNegritaCaracter"/>
        </w:rPr>
        <w:t>3</w:t>
      </w:r>
      <w:r>
        <w:t>. Por Auto de fecha 10 de octubre del 2014, el Juez del Juzgado de Primera Instancia núm.1 de Gandesa planteó cuestión de inconstitucionalidad respecto del art. 451-12 del Código civil de Cataluña. Según razona el órgano judicial, el mencionado artículo contiene una norma procesal, en cuya virtud si el legitimario no se conforma con la adjudicación de bienes con que se pretende satisfacer su legítima, podrá recorrer a la autoridad judicial competente, que deberá decidir con equidad y por el procedimiento de jurisdicción voluntaria. Sin embargo, el art. 1817 LEC de 1881 prevé una solución contraria, puesto que, si se hiciere oposición a la solicitud por alguno que tenga interés en el asunto el expediente, se hará contencioso y se sujetará a los trámites establecidos para el juicio que corresponda según su cuantía. Para el órgano judicial, el derecho sucesorio catalán no presenta ninguna particularidad de naturaleza sustantiva que justifique la alteración de la normativa procesal y, por ello, considera que el precepto autonómico vulnera el art. 149.1.6 CE.</w:t>
      </w:r>
    </w:p>
    <w:p w:rsidR="00B85568" w:rsidRDefault="00B85568" w:rsidP="00B85568">
      <w:pPr>
        <w:pStyle w:val="TextoNormal"/>
      </w:pPr>
    </w:p>
    <w:p w:rsidR="00B85568" w:rsidRDefault="00B85568" w:rsidP="00B85568">
      <w:pPr>
        <w:pStyle w:val="TextoNormal"/>
      </w:pPr>
      <w:r>
        <w:t>En cuanto a la relevancia y aplicabilidad al caso del precepto cuestionado, el órgano proponente considera que dicha norma resulta aplicable al caso, a la vista del contenido de la solicitud formulada por el legitimario. Por otra parte, afirma que de su eventual constitucionalidad dependerá que el procedimiento se desenvuelva por el cauce previsto para los actos de jurisdicción voluntaria o, por el contrario, se sustancie por el procedimiento contencioso que corresponda a su cuantía. Por último, el órgano judicial considera que la cuestión ha sido planteada en el momento procesal oportuno, habida cuenta de que pende resolver un recurso de reposición contra el Auto que convierte en contencioso el expediente de jurisdicción voluntaria inicialmente incoado.</w:t>
      </w:r>
    </w:p>
    <w:p w:rsidR="00B85568" w:rsidRDefault="00B85568" w:rsidP="00B85568">
      <w:pPr>
        <w:pStyle w:val="TextoNormal"/>
      </w:pPr>
    </w:p>
    <w:p w:rsidR="00B85568" w:rsidRDefault="00B85568" w:rsidP="00B85568">
      <w:pPr>
        <w:pStyle w:val="TextoNormal"/>
      </w:pPr>
      <w:r>
        <w:t>Respecto del fondo, el promotor de la cuestión entiende que la competencia exclusiva que se atribuye al Estado en materia procesal tiene por objeto preservar la unidad de la citada normativa. En consecuencia, las posibilidades de innovación por parte de la Comunidad Autónoma se limitan a los casos que necesariamente traigan causa de las peculiaridades de su Derecho sustantivo, es decir, cuando tales peculiaridades requieran de un régimen procesal específico. Descendiendo al caso concreto, el órgano proponente considera que la solución que ofrece el art. 1817 LEC 1881 se opone a la que contempla el precepto cuya constitucionalidad se cuestiona. Para valorar si la especialidad procesal introducida en el art. 451-12 del Código civil de Cataluña se acomoda a la excepción contemplada en el art. 149.1.6 CE, dicho órgano analiza el contenido de los arts. 841, 1057 y 1058 del Código civil y compara lo establecido en dichos preceptos con lo dispuesto en el art. 451-11 del Código civil de Cataluña, en relación con el pago de la legítima. Tras el cotejo de los preceptos citados, considera finalmente que, tanto el Derecho civil común como el Derecho civil catalán permiten que el heredero o la persona autorizada para efectuar la partición hereditaria puedan satisfacer la legítima con dinero o mediante la entrega de bienes. Por ello, concluye que, al no existir especificidad en materia de Derecho sustantivo autonómico, no es dable apreciar la excepción que recoge el art. 149.1.6 CE.</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fecha 16 de diciembre de 2014, la Sección Tercera del Tribunal Constitucional acordó, a los efectos que determina el art. 37.1 LOTC, oír al Fiscal General del Estado para que, en plazo de diez días, alegue lo que considere conveniente acerca de la admisibilidad de la presente cuestión de inconstitucionalidad, en relación con el cumplimiento de los requisitos procesales (art. 35.2 LOTC) y por si fuere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escrito registrado el día 30 de enero de 2015, el Fiscal General del Estado presentó sus alegaciones. En primer lugar, entiende que la duda de constitucionalidad sólo atañe, en los términos en que ha sido planteada la cuestión, al primer apartado del art. 451-12 del Código civil de Cataluña. A continuación, compendia los datos más relevantes en relación con el planteamiento de la presente cuestión de inconstitucionalidad. Más adelante, lleva a cabo un excurso histórico sobre los orígenes del precepto y, posteriormente, sostiene que, en el presente caso, han sido cumplidos los requisitos previstos en el art. 35.2 LOTC en relación con el trámite de audiencia. Sin embargo, afirma que el órgano judicial no respetó el carácter prejudicial de la cuestión de inconstitucionalidad, puesto que, al menos de manera implícita, el Juzgado de Primera Instancia aplicó lo dispuesto en el art. 451-12 del Código civil de Cataluña, al admitir a trámite la solicitud de incoación del expediente de jurisdicción voluntaria formulada don Francisco Borja Ribera Capó. A juicio del Fiscal General del Estado esa decisión determina que carezca de sentido la posterior duda de inconstitucionalidad que el órgano judicial suscita, habida cuenta de que el precepto controvertido ya fue aplicado en ese momento, sin que el órgano judicial albergara dudas sobre su constitucionalidad. Por tanto, de conformidad con una consolidada doctrina constitucional (entre otros, AATC 206/2014, FJ 3; 220/2012, FJ 3; y 184/2009, FJ 2), afirma que el hecho de no respetar el carácter prejudicial de la cuestión de constitucionalidad constituye causa de inadmisión.</w:t>
      </w:r>
    </w:p>
    <w:p w:rsidR="00B85568" w:rsidRDefault="00B85568" w:rsidP="00B85568">
      <w:pPr>
        <w:pStyle w:val="TextoNormal"/>
      </w:pPr>
    </w:p>
    <w:p w:rsidR="00B85568" w:rsidRDefault="00B85568" w:rsidP="00B85568">
      <w:pPr>
        <w:pStyle w:val="TextoNormal"/>
      </w:pPr>
      <w:r>
        <w:t>En segundo término, el Fiscal General del Estado también apunta, como motivo de inadmisión, la incorrecta formulación del juicio de relevancia y aplicabilidad. A este respecto entiende que el órgano judicial formuló una disyuntiva que es más aparente que real, puesto que cuando dictó el Auto de 26 de abril de 2013, por el que resolvió transformar en contencioso el primigenio expediente de jurisdicción voluntaria, ya se decantó por la aplicación del art 1817 LEC de 1881. Siendo así, el planteamiento de la cuestión de inconstitucionalidad se verificó de manera inadecuada, pues dicha cuestión debió suscitarse con anterioridad al dictado del Auto a que se ha hecho mención, puesto que las razones que guiaron al órgano judicial para plantear la cuestión de constitucionalidad antes de resolver el recurso de reposición ya existían en el momento en que optó por transformar el expediente en contencioso. Por ello, considera que el planteamiento de la referida cuestión se inició extemporáneamente y, a su vez, su formulación ha sido incorrecta y desvinculada de las concretas actuaciones procesales llevadas a cabo.</w:t>
      </w:r>
    </w:p>
    <w:p w:rsidR="00B85568" w:rsidRDefault="00B85568" w:rsidP="00B85568">
      <w:pPr>
        <w:pStyle w:val="TextoNormal"/>
      </w:pPr>
    </w:p>
    <w:p w:rsidR="00B85568" w:rsidRDefault="00B85568" w:rsidP="00B85568">
      <w:pPr>
        <w:pStyle w:val="TextoNormal"/>
      </w:pPr>
      <w:r>
        <w:t>Por último, el Fiscal General del Estado estima que la presente cuestión de inconstitucionalidad es notoriamente infundada. La disyuntiva planteada por el órgano judicial parte de una premisa errónea, cual es que el art. 451-12 del Código civil de Cataluña establece una solución radicalmente contraria a la prevista en el art. 1817 LEC de1881, en tanto que obliga a continuar la tramitación del expediente de jurisdicción voluntaria pese a la oposición que pueda suscitarse por alguno de los intervinientes. Sin embargo, del contenido de la norma cuestionada no se infiere lo que el Juez afirma, ya que el citado precepto no fija reglas procesales a las que acomodar la tramitación del expediente, ni establece una pauta específica para los supuestos en que se suscite verdadera oposición. En suma, el contenido del art. 451-12 del Código civil de Cataluña no impone, en cualquier circunstancia, la continuación del expediente de jurisdicción voluntaria, de manera que el órgano judicial tendría que haber sopesado si la discrepancia entre el heredero y el legitimario amerita la transformación del expediente en contencioso, por constituir una verdadera oposición, o, en caso contrario, haber resuelto conforme a lo previsto en el referido artículo. Por otro lado, El Fiscal General del Estado advierte que la propia normativa procesal ofrece ejemplos en que la discrepancia entre los sujetos interesados no determina la transformación del expediente de jurisdicción voluntaria en un procedimiento contencioso. Finalmente, en atención a lo expuesto concluye que el precepto cuestionado no invade las competencias exclusivas del Estado que, en materia procesal, le atribuye el art. 149.1.6 CE.</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Primera Instancia núm. 1 de Gandesa plantea cuestión de inconstitucionalidad en relación con el art. 451-12 del Código civil de Cataluña, por posible vulneración del art. 149.1.6 CE. El precepto cuestionado establece, en su primer apartado, lo siguiente:</w:t>
      </w:r>
    </w:p>
    <w:p w:rsidR="00B85568" w:rsidRDefault="00B85568" w:rsidP="00B85568">
      <w:pPr>
        <w:pStyle w:val="TextoNormal"/>
      </w:pPr>
    </w:p>
    <w:p w:rsidR="00B85568" w:rsidRDefault="00B85568" w:rsidP="00B85568">
      <w:pPr>
        <w:pStyle w:val="TextoNormal"/>
      </w:pPr>
      <w:r>
        <w:t>“Si las personas a que se refiere el artículo 451-11 optan por el pago en bienes y el legitimario no se conforma con los que se le pretendan adjudicar, este podrá recorrer a la autoridad judicial competente, que debe decidir con equidad y por el procedimiento de jurisdicción voluntaria.”</w:t>
      </w:r>
    </w:p>
    <w:p w:rsidR="00B85568" w:rsidRDefault="00B85568" w:rsidP="00B85568">
      <w:pPr>
        <w:pStyle w:val="TextoNormal"/>
      </w:pPr>
    </w:p>
    <w:p w:rsidR="00B85568" w:rsidRDefault="00B85568" w:rsidP="00B85568">
      <w:pPr>
        <w:pStyle w:val="TextoNormal"/>
      </w:pPr>
      <w:r>
        <w:t>El órgano judicial considera que el citado precepto es contrario a lo establecido en el art. 149.1.6 CE, en cuanto que establece una especialidad procesal que se opone a lo instituido en el art. 1817 de la Ley de enjuiciamiento civil (LEC) de 1881 (norma estatal), que no halla justificación en las particularidades sustantivas del Derecho civil catalán.</w:t>
      </w:r>
    </w:p>
    <w:p w:rsidR="00B85568" w:rsidRDefault="00B85568" w:rsidP="00B85568">
      <w:pPr>
        <w:pStyle w:val="TextoNormal"/>
      </w:pPr>
    </w:p>
    <w:p w:rsidR="00B85568" w:rsidRDefault="00B85568" w:rsidP="00B85568">
      <w:pPr>
        <w:pStyle w:val="TextoNormal"/>
      </w:pPr>
      <w:r>
        <w:t>El Fiscal General del Estado, en el trámite previsto en el art. 37.1 de la Ley Orgánica del Tribunal Constitucional (LOTC), se ha opuesto a la admisión de la presente cuestión de inconstitucionalidad por entender que no se ha respetado el carácter prejudicial de la cuestión de constitucionalidad; por no haberse formulado adecuadamente el juicio de relevancia y aplicabilidad exigido por el art. 35 LOTC; y por ser notoriamente infundado su planteamiento.</w:t>
      </w:r>
    </w:p>
    <w:p w:rsidR="00B85568" w:rsidRDefault="00B85568" w:rsidP="00B85568">
      <w:pPr>
        <w:pStyle w:val="TextoNormal"/>
      </w:pPr>
    </w:p>
    <w:p w:rsidR="00B85568" w:rsidRDefault="00B85568" w:rsidP="00B85568">
      <w:pPr>
        <w:pStyle w:val="TextoNormal"/>
      </w:pPr>
      <w:r w:rsidRPr="00B85568">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B85568" w:rsidRDefault="00B85568" w:rsidP="00B85568">
      <w:pPr>
        <w:pStyle w:val="TextoNormal"/>
      </w:pPr>
    </w:p>
    <w:p w:rsidR="00B85568" w:rsidRDefault="00B85568" w:rsidP="00B85568">
      <w:pPr>
        <w:pStyle w:val="TextoNormal"/>
      </w:pPr>
      <w:r w:rsidRPr="00B85568">
        <w:rPr>
          <w:rStyle w:val="NumeroAFNegritaCaracter"/>
        </w:rPr>
        <w:t>3</w:t>
      </w:r>
      <w:r>
        <w:t>. El Fiscal General del Estado denuncia, en primer lugar, la falta de respeto al carácter prejudicial de la cuestión de constitucionalidad, pues tras solicitud de incoación de expediente de jurisdicción voluntaria, por diligencia de ordenación de fecha 11 de diciembre de 2012 se acordó la incoación del referido expediente. Ello ha supuesto que, al menos implícitamente, se haya dado cumplimiento a lo establecido en el primer párrafo del art. 451-12 del Código civil de Cataluña, norma esta sobre la que recae la duda de constitucionalidad. Antes de abordar ese aspecto conviene recordar que, aun cuando la cuestión de inconstitucionalidad no se ha formalizado dentro del plazo para dictar Sentencia, como así lo exige el art. 35.2 LOTC, su planteamiento anticipado no plantea inconveniente alguno a la vista de las circunstancias concurrentes. Como se recoge en el ATC 236/2002, de 26 de noviembre, FJ 4, “el planteamiento anticipado de la cuestión sólo es admisible cuando el proceso se halle en un momento en el que sea posible formular con exhaustiva precisión el juicio de relevancia de la norma con rango de Ley de cuya constitucionalidad duda el órgano jurisdiccional”. Ahora bien,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(ATC 420/2003, de 16 de diciembre, y las numerosas resoluciones allí mencionadas). Esta doctrina resulta de aplicación al presente caso, habida cuenta de que el precepto antes indicado prevé que la discrepancia del legitimario se ha de dirimir por el procedimiento de jurisdicción voluntaria y, por tanto, incorpora un mandato de naturaleza procesal.</w:t>
      </w:r>
    </w:p>
    <w:p w:rsidR="00B85568" w:rsidRDefault="00B85568" w:rsidP="00B85568">
      <w:pPr>
        <w:pStyle w:val="TextoNormal"/>
      </w:pPr>
    </w:p>
    <w:p w:rsidR="00B85568" w:rsidRDefault="00B85568" w:rsidP="00B85568">
      <w:pPr>
        <w:pStyle w:val="TextoNormal"/>
      </w:pPr>
      <w:r>
        <w:t>En relación con la cuestión enunciada al principio de este apartado, hemos de convenir que la falta de respeto al carácter prejudicial de la cuestión de constitucionalidad constituye causa de inadmisión de las cuestiones de inconstitucionalidad, pues “[d]icha actuación entra en clara contradicción con nuestra doctrina al respecto, según la cual (ATC 184/2009, de 15 de junio, FJ 2): ‘Ante esta forma de proceder debemos recordar que la cuestión de inconstitucionalidad presenta en nuestro ordenamiento jurídico carácter prejudicial, de modo que, como ya afirmáramos en los AATC 361/2004, de 21 de septiembre, FJ 4; y 134/2006, de 4 de abril, FJ 2,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(ATC 220/2012, de 27 de noviembre, FJ 3).</w:t>
      </w:r>
    </w:p>
    <w:p w:rsidR="00B85568" w:rsidRDefault="00B85568" w:rsidP="00B85568">
      <w:pPr>
        <w:pStyle w:val="TextoNormal"/>
      </w:pPr>
    </w:p>
    <w:p w:rsidR="00B85568" w:rsidRDefault="00B85568" w:rsidP="00B85568">
      <w:pPr>
        <w:pStyle w:val="TextoNormal"/>
      </w:pPr>
      <w:r>
        <w:t>Ahora bien, en el presente caso la circunstancia advertida en primer lugar por el Fiscal General del Estado no empece el carácter prejudicial de la cuestión de constitucionalidad. Como así se desprende de las actuaciones, el promotor del expediente de jurisdicción voluntaria no se limitó rechazar el ofrecimiento de bienes en pago de su legítima, pues también formuló una propuesta alternativa de entrega de bienes para satisfacer su derecho sucesorio e invocó la aplicación al caso del art. 1813 LEC de 1881, el cual prevé la concesión del trámite de audiencia a favor de la persona que indique el promotor del expediente o de quien así lo solicite por tener interés legítimo. En esa coyuntura, la decisión de admitir a trámite la petición del legitimario y conferir traslado de la referida solicitud a don Ricardo Barlabé Dalmau, por plazo de veinte días, fue congruente con lo interesado por aquél y, lo que es más importante, resultó necesaria para calibrar la aplicabilidad al caso del precepto controvertido, puesto que la eventual aceptación de la propuesta alternativa efectuada por el legitimario habría evitado el pronunciamiento judicial que prevé el primer apartado del art. 451-12 del Código civil de Cataluña, al no existir, en esa hipótesis, controversia alguna que dilucidar. En suma, la admisión a trámite acordada por diligencia de ordenación de fecha 11 de diciembre de 2012 no constituye causa de inadmisión de la presente cuestión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4</w:t>
      </w:r>
      <w:r>
        <w:t>. Distinta respuesta merece el segundo motivo de inadmisión invocado por el Fiscal General del Estado. 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00B85568" w:rsidRDefault="00B85568" w:rsidP="00B85568">
      <w:pPr>
        <w:pStyle w:val="TextoNormal"/>
      </w:pPr>
    </w:p>
    <w:p w:rsidR="00B85568" w:rsidRDefault="00B85568" w:rsidP="00B85568">
      <w:pPr>
        <w:pStyle w:val="TextoNormal"/>
      </w:pPr>
      <w:r>
        <w:t>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(ATC 10/2015, de 20 de enero, FJ 3).</w:t>
      </w:r>
    </w:p>
    <w:p w:rsidR="00B85568" w:rsidRDefault="00B85568" w:rsidP="00B85568">
      <w:pPr>
        <w:pStyle w:val="TextoNormal"/>
      </w:pPr>
    </w:p>
    <w:p w:rsidR="00B85568" w:rsidRDefault="00B85568" w:rsidP="00B85568">
      <w:pPr>
        <w:pStyle w:val="TextoNormal"/>
      </w:pPr>
      <w:r>
        <w:t>Como así se recoge en los antecedentes de esta resolución, una vez evacuado el trámite de audiencia por don Ricardo Barlabé Dalmau, mediante Auto de fecha 26 de abril de 2013 se resolvió transformar en contencioso el primigenio expediente de jurisdicción voluntaria y, a su vez, se acordó aplicar la tramitación establecida para el procedimiento ordinario, todo ello de conformidad con los establecido en el art. 1817 LEC de 1881 y preceptos concordantes. A la vista de las razones consignadas en el Auto de planteamiento, el órgano judicial debió iniciar la tramitación prevista en el art. 35 LOTC tan pronto tuvo conocimiento del contenido del escrito de oposición formulado por aquél, de fecha 19 de febrero de 2013. Sin embargo, el Juez decidió motu proprio que el precepto autonómico era inaplicable al caso, por ser incompatible con lo establecido en la norma estatal traída a colación, de manera que la duda de constitucionalidad que posteriormente refleja el Auto de fecha 14 de octubre de 2014 advino extemporánea.</w:t>
      </w:r>
    </w:p>
    <w:p w:rsidR="00B85568" w:rsidRDefault="00B85568" w:rsidP="00B85568">
      <w:pPr>
        <w:pStyle w:val="TextoNormal"/>
      </w:pPr>
    </w:p>
    <w:p w:rsidR="00B85568" w:rsidRDefault="00B85568" w:rsidP="00B85568">
      <w:pPr>
        <w:pStyle w:val="TextoNormal"/>
      </w:pPr>
      <w:r>
        <w:t>De acuerdo con lo informado por el Fiscal General del Estado, la formulación del juicio de aplicabilidad y relevancia adolece de un vicio originario, habida cuenta de que mediante el dictado del Auto de fecha 26 de abril del 2013 ya se descartó la aplicación al caso del art. 451-12 del Código civil de Cataluña. Por tanto, cabe afirmar que el juicio de relevancia fue incorrectamente formulado, toda vez que el desarrollo argumental tendente a demostrar la vinculación entre la constitucionalidad de la norma y la ulterior decisión judicial sobre el procedimiento a seguir —contencioso o de jurisdicción voluntaria— se sustenta en una disyuntiva ya resuelta con antelación, hasta el extremo de que la cuestión de inconstitucionalidad no se planteó en el seno del expediente de jurisdicción voluntaria inicialmente incoado, sino en el procedimiento ordinario en el que aquél se transformó, al amparo de lo previsto en el art. 1817 LEC de 1881.</w:t>
      </w:r>
    </w:p>
    <w:p w:rsidR="00B85568" w:rsidRDefault="00B85568" w:rsidP="00B85568">
      <w:pPr>
        <w:pStyle w:val="TextoNormal"/>
      </w:pPr>
    </w:p>
    <w:p w:rsidR="00B85568" w:rsidRDefault="00B85568" w:rsidP="00B85568">
      <w:pPr>
        <w:pStyle w:val="TextoNormal"/>
      </w:pPr>
      <w:r>
        <w:t>Por todo ello, a la luz de la doctrina constitucional expuesta hemos de concluir que, en este caso, no se ha satisfecho el juicio de aplicabilidad y relevancia exigido por el art. 35 LOTC, circunstancia que, por sí sola y sin necesidad de entrar en el fondo, determina la inadmisión a trámite de la presente cuestión de inconstitucionalidad, en aplicación de lo dispuesto en el art. 37.1 LOTC.</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cuestión de inconstitucionalidad núm. 6349-2014 planteada por el Juzgado de Primera Instancia núm. 1 de Gandesa.</w:t>
      </w:r>
    </w:p>
    <w:p w:rsidR="00B85568" w:rsidRDefault="00B85568" w:rsidP="00B85568">
      <w:pPr>
        <w:pStyle w:val="TextoNormal"/>
      </w:pPr>
    </w:p>
    <w:p w:rsidR="00B85568" w:rsidRDefault="00B85568" w:rsidP="00B85568">
      <w:pPr>
        <w:pStyle w:val="TextoNormal"/>
      </w:pPr>
      <w:r>
        <w:t>Madrid, a treinta de abril de dos mil quince.</w:t>
      </w:r>
    </w:p>
    <w:p w:rsidR="00B85568" w:rsidRDefault="00B85568" w:rsidP="00B85568">
      <w:pPr>
        <w:pStyle w:val="ParrafoNormal"/>
      </w:pPr>
    </w:p>
    <w:p w:rsidR="00B85568" w:rsidRDefault="00B85568" w:rsidP="00B85568">
      <w:pPr>
        <w:pStyle w:val="TextoNormalNegritaCentrado"/>
        <w:keepNext/>
      </w:pPr>
      <w:r>
        <w:t>Voto particular que formula el Magistrado don Juan Antonio Xiol Ríos al Auto dictado en la cuestión de inconstitucionalidad núm. 6349-2014.</w:t>
      </w:r>
    </w:p>
    <w:p w:rsidR="00B85568" w:rsidRDefault="00B85568" w:rsidP="00B85568">
      <w:pPr>
        <w:pStyle w:val="TextoNormalNegritaCentrado"/>
        <w:keepNext/>
      </w:pPr>
    </w:p>
    <w:p w:rsidR="00B85568" w:rsidRDefault="00B85568" w:rsidP="00B85568">
      <w:pPr>
        <w:pStyle w:val="TextoNormal"/>
      </w:pPr>
      <w:r>
        <w:t>Con el máximo respeto a la opinión mayoritaria de mis compañeros del Pleno del Tribunal Constitucional en la que se sustenta el auto, discrepo de la fundamentación jurídica y del motivo de inadmisión en que se fundamenta aquel. Considero que la causa de inadmisión debió ser el carácter notoriamente infundado de la cuestión y no su falta de relevancia. La diferencia no es baladí, pues el Tribunal —aplicando la primera— debió afirmar la competencia de Cataluña para regular procesalmente la materia, mientras que lo que hace es eludir la cuestión aplicando la segunda.</w:t>
      </w:r>
    </w:p>
    <w:p w:rsidR="00B85568" w:rsidRDefault="00B85568" w:rsidP="00B85568">
      <w:pPr>
        <w:pStyle w:val="TextoNormal"/>
      </w:pPr>
    </w:p>
    <w:p w:rsidR="00B85568" w:rsidRDefault="00B85568" w:rsidP="00B85568">
      <w:pPr>
        <w:pStyle w:val="TextoNormal"/>
      </w:pPr>
      <w:r>
        <w:t>1. El argumento en que se sustenta la opinión mayoritaria (en el sentido de que no se ha colmado el juicio de aplicabilidad y relevancia) estriba en que el órgano judicial ha formulado sus dudas de constitucionalidad —respecto de la posibilidad de convertir el procedimiento de jurisdicción voluntaria en contencioso— cuando ya se había incoado el procedimiento contencioso y, por tanto, la cuestión se había dado por resuelta.</w:t>
      </w:r>
    </w:p>
    <w:p w:rsidR="00B85568" w:rsidRDefault="00B85568" w:rsidP="00B85568">
      <w:pPr>
        <w:pStyle w:val="TextoNormal"/>
      </w:pPr>
    </w:p>
    <w:p w:rsidR="00B85568" w:rsidRDefault="00B85568" w:rsidP="00B85568">
      <w:pPr>
        <w:pStyle w:val="TextoNormal"/>
      </w:pPr>
      <w:r>
        <w:t>Este argumento hubiera resultado irreprochable si la decisión judicial de conversión del procedimiento hubiera adquirido firmeza. Pero la cuestión de inconstitucionalidad se ha suscitado con motivo del recurso de reposición planteado contra el Auto que convertía en contencioso el procedimiento y antes de resolverlo. Esto pone de manifiesto la corrección del juicio de aplicabilidad y relevancia formulado por el Juez. En efecto: la cuestión planteada es relevante para la decisión que se adopte, pues de su resolución depende la decisión del recurso de reposición y, con ello, la suerte misma de si el procedimiento en su conjunto debe continuar por los trámites del procedimiento de jurisdicción voluntaria —solución aplicable de resultar el precepto constitucional— o contencioso —solución aplicable de resultar el precepto inconstitucional—.</w:t>
      </w:r>
    </w:p>
    <w:p w:rsidR="00B85568" w:rsidRDefault="00B85568" w:rsidP="00B85568">
      <w:pPr>
        <w:pStyle w:val="TextoNormal"/>
      </w:pPr>
    </w:p>
    <w:p w:rsidR="00B85568" w:rsidRDefault="00B85568" w:rsidP="00B85568">
      <w:pPr>
        <w:pStyle w:val="TextoNormal"/>
      </w:pPr>
      <w:r>
        <w:t>2. Mi posición respecto de la corrección del juicio de aplicabilidad y relevancia no empece a que comparta una decisión de inadmisión sustentada en el carácter notoriamente infundado de la cuestión. Frente a lo argumentado por el Ministerio Fiscal, considero que el órgano judicial que ha promovido la presente cuestión de inconstitucionalidad parte del presupuesto legal correcto al afirmar que las soluciones procesales aportadas por el art. 451-12.1 del Código civil de Cataluña y el art. 1817 de la Ley de enjuiciamiento civil (LEC) 1881 son diferentes. Ahora bien, tal como especifica el art. 149.1.6 CE, el Estado tiene competencia exclusiva en materia de legislación procesal “sin perjuicio de las necesarias especialidades que en este orden se deriven de las particularidades del derecho sustantivo de las Comunidades Autónomas”.</w:t>
      </w:r>
    </w:p>
    <w:p w:rsidR="00B85568" w:rsidRDefault="00B85568" w:rsidP="00B85568">
      <w:pPr>
        <w:pStyle w:val="TextoNormal"/>
      </w:pPr>
    </w:p>
    <w:p w:rsidR="00B85568" w:rsidRDefault="00B85568" w:rsidP="00B85568">
      <w:pPr>
        <w:pStyle w:val="TextoNormal"/>
      </w:pPr>
      <w:r>
        <w:t>No resulta controvertido que la naturaleza de la legítima en el Código civil catalán, regulada como un derecho de crédito que ostenta el legitimario frente a los herederos, es conceptualmente opuesta a la del derecho civil común, en que se regula como un derecho real que ostenta el legitimario sobre la herencia que lo convierte en un cotitular de los bienes que la componen junto con los herederos. Esta diversa naturaleza implica que el carácter de acción personal para controvertir la calidad de los bienes con que se paga la legítima en el derecho civil catalán resulte diferente a la del derecho civil común, que se configura como una acción real. También lo es la circunstancia establecida en el art. 451.12.1 del Código civil de Cataluña de que la resolución de los eventuales conflictos que surjan sobre este particular debe hacerse “de acuerdo con la equidad”.</w:t>
      </w:r>
    </w:p>
    <w:p w:rsidR="00B85568" w:rsidRDefault="00B85568" w:rsidP="00B85568">
      <w:pPr>
        <w:pStyle w:val="TextoNormal"/>
      </w:pPr>
    </w:p>
    <w:p w:rsidR="00B85568" w:rsidRDefault="00B85568" w:rsidP="00B85568">
      <w:pPr>
        <w:pStyle w:val="TextoNormal"/>
      </w:pPr>
      <w:r>
        <w:t>De ese modo, aunque, como señala el órgano judicial, tanto el Derecho civil catalán como el Derecho civil común contemplan la existencia de un eventual conflicto en lo relativo a la calidad de los bienes con los que se paga la legítima, esta regulación es uno de esos supuestos en que las ostensibles particularidades de derecho sustantivo y de las reglas que deben aplicarse para resolver la acción de que disponen los legitimarios justifican una especialidad en el ámbito procesal que permite apreciar como plenamente constitucional la excepción prevista en el art. 146.1.6 CE.</w:t>
      </w:r>
    </w:p>
    <w:p w:rsidR="00B85568" w:rsidRDefault="00B85568" w:rsidP="00B85568">
      <w:pPr>
        <w:pStyle w:val="TextoNormal"/>
      </w:pPr>
    </w:p>
    <w:p w:rsidR="00B85568" w:rsidRDefault="00B85568" w:rsidP="00B85568">
      <w:pPr>
        <w:pStyle w:val="TextoNormal"/>
      </w:pPr>
      <w:r>
        <w:t>Madrid, a veintiocho de abril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7" w:name="AUTO_2015_77"/>
      <w:r>
        <w:t>AUTO 77/2015, de 7 de mayo de 2015</w:t>
      </w:r>
    </w:p>
    <w:bookmarkEnd w:id="227"/>
    <w:p w:rsidR="00B85568" w:rsidRDefault="00B85568" w:rsidP="00B85568">
      <w:pPr>
        <w:pStyle w:val="TtuloResolucin"/>
      </w:pPr>
      <w:r>
        <w:t>Sala Primera</w:t>
      </w:r>
    </w:p>
    <w:p w:rsidR="00B85568" w:rsidRDefault="00B85568" w:rsidP="00B85568">
      <w:pPr>
        <w:pStyle w:val="TextoNormalCentrado"/>
      </w:pPr>
      <w:r>
        <w:t>ECLI:ES:TC:2015:77A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Rectifica un error material de la Sentencia 77/2015, de 27 de abril, en el recurso de amparo 3303-2013, promovido por don Miguel Andrés Milano Aspe y doña Kelli Marie Angevine.</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registrado en este Tribunal el día 31 de mayo de 2013, doña Patricia Rosch Iglesias, en nombre y representación de don Miguel Andrés Milano Aspe y doña Kelli Marie Angevine, interpuso recurso de amparo contra el Auto de la Sección Novena de la Sala de lo Contencioso-Administrativo del Tribunal Superior de Justicia de Madrid con fecha de 19 de abril de 2013 que inadmitió a trámite el incidente de nulidad de actuaciones promovido contra la Sentencia de la misma Sala y Sección núm. 1010 de fecha 26 de diciembre de 2012, estimatoria del recurso núm. 488-2008 interpuesto por la Comunidad de Madrid contra la resolución del Tribunal Económico-Administrativo Regional de Madrid de fecha 27 de febrero de 2008, estimatoria, a su vez, de la reclamación núm. 28-00472-2007 presentada por los recurrentes en amparo contra la resolución de la Dirección General de Tributos de la Consejería de Economía y Hacienda de la Comunidad de Madrid de fecha 27 de julio de 2006, desestimatoria de la solicitud de devolución de ingresos indebidos en materia de impuesto sobre transmisiones patrimoniales y actos jurídicos documentados.</w:t>
      </w:r>
    </w:p>
    <w:p w:rsidR="00B85568" w:rsidRDefault="00B85568" w:rsidP="00B85568">
      <w:pPr>
        <w:pStyle w:val="TextoNormal"/>
      </w:pPr>
    </w:p>
    <w:p w:rsidR="00B85568" w:rsidRDefault="00B85568" w:rsidP="00B85568">
      <w:pPr>
        <w:pStyle w:val="TextoNormal"/>
      </w:pPr>
      <w:r w:rsidRPr="00B85568">
        <w:rPr>
          <w:rStyle w:val="NumeroAFNegritaCaracter"/>
        </w:rPr>
        <w:t>2</w:t>
      </w:r>
      <w:r>
        <w:t>. Por providencia con fecha de 15 de diciembre de 2014, la Sala Primera de este Tribunal acordó la admisión a trámite del recurso de amparo. Una vez tramitado el correspondiente procedimiento, por Sentencia núm. 77/2015, de 27 de abril, la Sala Primera acordó estimar la demanda de amparo, declarando la vulneración del derecho de los recurrentes en amparo a la igualdad ante el deber de contribuir (arts. 14 y 31.1, CE), en conexión con el principio de protección económica de la familia (art. 39.1 CE). Asimismo, y en orden al restablecimiento de su derecho, declara la nulidad tanto de la Sentencia núm. 1010 de la Sección Novena de la Sala de lo Contencioso-Administrativo del Tribunal Superior de Justicia de Madrid de fecha 26 de diciembre de 2012, dictada en el recurso núm. 488-2008, como de su Auto con fecha de 19 de abril de 2013, con confirmación de la resolución del Tribunal Económico-Administrativo Regional de Madrid de fecha 27 de febrero de 2008, dictada en la reclamación núm. 28-00472-2007.</w:t>
      </w:r>
    </w:p>
    <w:p w:rsidR="00B85568" w:rsidRDefault="00B85568" w:rsidP="00B85568">
      <w:pPr>
        <w:pStyle w:val="TextoNormal"/>
      </w:pPr>
    </w:p>
    <w:p w:rsidR="00B85568" w:rsidRDefault="00B85568" w:rsidP="00B85568">
      <w:pPr>
        <w:pStyle w:val="TextoNormal"/>
      </w:pPr>
      <w:r>
        <w:t>En el párrafo sexto del fundamento jurídico 4 de la citada Sentencia núm. 77/2015, de 27 de abril, se ha deslizado un error material, al constar las expresiones “sobre todo” y “menos irrazonable” que no debían formar parte del cuerpo de la citada resolución. Asimismo, en el apartado segundo del fallo se hace referencia al “fundamento jurídico 6” cuando debía decir al “fundamento jurídico 5”.</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De conformidad con lo dispuesto en el art. 267.3 de la Ley Orgánica 6/1985, de 1 de julio, del Poder Judicial, los errores materiales manifiestos en que incurran las resoluciones judiciales podrán ser rectificados en cualquier momento.</w:t>
      </w:r>
    </w:p>
    <w:p w:rsidR="00B85568" w:rsidRDefault="00B85568" w:rsidP="00B85568">
      <w:pPr>
        <w:pStyle w:val="TextoNormal"/>
      </w:pPr>
    </w:p>
    <w:p w:rsidR="00B85568" w:rsidRDefault="00B85568" w:rsidP="00B85568">
      <w:pPr>
        <w:pStyle w:val="TextoNormal"/>
      </w:pPr>
      <w:r>
        <w:t>Habiéndose verificado la existencia tanto de un error material en el fundamento jurídico 4 de la Sentencia núm. 77/2015, de 27 de abril, consistente en la incorporación de las expresiones “sobre todo” y “menos irrazonable”, como de otro error material en el apartado segundo del fallo al citar “fundamento jurídico 6” cuando debía decir “fundamento jurídico 5”, procede su rectificación mediante la supresión de aquellas expresiones y la corrección de la referencia mencionada, con notificación a las partes del proceso.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Rectificar la Sentencia núm. 77/2015, de 27 de abril, de la Sala Primera de este Tribunal, en el sentido de suprimir de su fundamento jurídico 4 las expresiones “sobre todo” y “menos irrazonable”, y de sustituir en el apartado segundo del fallo la referencia al “fundamento jurídico 6” por la del “fundamento jurídico 5”.</w:t>
      </w:r>
    </w:p>
    <w:p w:rsidR="00B85568" w:rsidRDefault="00B85568" w:rsidP="00B85568">
      <w:pPr>
        <w:pStyle w:val="TextoNormal"/>
      </w:pPr>
    </w:p>
    <w:p w:rsidR="00B85568" w:rsidRDefault="00B85568" w:rsidP="00B85568">
      <w:pPr>
        <w:pStyle w:val="TextoNormal"/>
      </w:pPr>
      <w:r>
        <w:t>Madrid, a siete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8" w:name="AUTO_2015_78"/>
      <w:r>
        <w:t>AUTO 78/2015, de 7 de mayo de 2015</w:t>
      </w:r>
    </w:p>
    <w:bookmarkEnd w:id="228"/>
    <w:p w:rsidR="00B85568" w:rsidRDefault="00B85568" w:rsidP="00B85568">
      <w:pPr>
        <w:pStyle w:val="TtuloResolucin"/>
      </w:pPr>
      <w:r>
        <w:t>Sala Primera</w:t>
      </w:r>
    </w:p>
    <w:p w:rsidR="00B85568" w:rsidRDefault="00B85568" w:rsidP="00B85568">
      <w:pPr>
        <w:pStyle w:val="TextoNormalCentrado"/>
      </w:pPr>
      <w:r>
        <w:t>ECLI:ES:TC:2015:78A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electoral 2512-2015, promovido por el Partido Popular.</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Fiscal ante el Tribunal Constitucional interpone, a través de escrito presentado el 6 de mayo de 2015, recurso de súplica contra la providencia de 5 de mayo por la que se inadmite a trámite el recurso de amparo 2512-2015, interpuesto por el Partido Popular (en adelante, PP), por manifiesta inexistencia de violación de un derecho fundamental tutelable en amparo, interesando que se deje sin efecto dicha providencia.</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de los que trae causa el recurso de amparo electoral son, sucintamente expuestos, los que siguen:</w:t>
      </w:r>
    </w:p>
    <w:p w:rsidR="00B85568" w:rsidRDefault="00B85568" w:rsidP="00B85568">
      <w:pPr>
        <w:pStyle w:val="TextoNormal"/>
      </w:pPr>
    </w:p>
    <w:p w:rsidR="00B85568" w:rsidRDefault="00B85568" w:rsidP="00B85568">
      <w:pPr>
        <w:pStyle w:val="TextoNormal"/>
      </w:pPr>
      <w:r>
        <w:t>Dentro del plazo legalmente previsto, el Partido Popular presentó su candidatura para la circunscripción de Berga (provincia de Barcelona). La presentación se publicó en el “Boletín Oficial de la provincia de Barcelona” el 22 de abril de 2015.</w:t>
      </w:r>
    </w:p>
    <w:p w:rsidR="00B85568" w:rsidRDefault="00B85568" w:rsidP="00B85568">
      <w:pPr>
        <w:pStyle w:val="TextoNormal"/>
      </w:pPr>
    </w:p>
    <w:p w:rsidR="00B85568" w:rsidRDefault="00B85568" w:rsidP="00B85568">
      <w:pPr>
        <w:pStyle w:val="TextoNormal"/>
      </w:pPr>
      <w:r>
        <w:t>El 24 de abril de 2015, la Junta electoral de zona de Berga notificó al representante de la candidatura de dicho partido que había sido apreciada de oficio una irregularidad consistente en la inclusión de un candidato que no cumplía los requisitos para el ejercicio del derecho de sufragio pasivo, por ser de nacionalidad peruana. Al tratarse de una irregularidad subsanable, se les comunicó que, de acuerdo con lo establecido en el art. 47 de la Ley Orgánica del régimen electoral general (en adelante, LOREG), contaban con un plazo de subsanación de dos días, es decir, hasta el día 26 de abril, con la advertencia de que en caso de que no se subsanara, no se proclamaría la candidatura. La representación de esta procedió, entonces, a la subsanación mediante escrito que tuvo entrada en la Junta electoral de zona el mismo día 24 de abril de 2014, retirando de la lista al candidato controvertido, modificando los números de todos los candidatos del número 6 al 14, que pasaron a ocupar un número menos en la candidatura e incluyendo otro nuevo candidato en el puesto número 14 de la lista.</w:t>
      </w:r>
    </w:p>
    <w:p w:rsidR="00B85568" w:rsidRDefault="00B85568" w:rsidP="00B85568">
      <w:pPr>
        <w:pStyle w:val="TextoNormal"/>
      </w:pPr>
    </w:p>
    <w:p w:rsidR="00B85568" w:rsidRDefault="00B85568" w:rsidP="00B85568">
      <w:pPr>
        <w:pStyle w:val="TextoNormal"/>
      </w:pPr>
      <w:r>
        <w:t>El lunes día 27 de abril, una vez transcurrido el plazo legal para la subsanación, la Junta electoral de zona de Berga dicta acuerdo de proclamación de candidaturas, denegándose la proclamación del Partido Popular en dicha circunscripción. Como causa de la denegación se recoge el hecho de que el nuevo candidato incluido en la lista con motivo de la subsanación era también candidato en la candidatura presentada por la formación Unión Progreso y Democracia (UPyD) en la circunscripción de El Ferrol. Dado que la candidatura del Partido Popular no incluía suplentes, al excluirse el nuevo candidato propuesto, la lista adolecía de un defecto numérico por no contar con los candidatos exigidos, de acuerdo con lo dispuesto en el art. 46.3 LOREG.</w:t>
      </w:r>
    </w:p>
    <w:p w:rsidR="00B85568" w:rsidRDefault="00B85568" w:rsidP="00B85568">
      <w:pPr>
        <w:pStyle w:val="TextoNormal"/>
      </w:pPr>
    </w:p>
    <w:p w:rsidR="00B85568" w:rsidRDefault="00B85568" w:rsidP="00B85568">
      <w:pPr>
        <w:pStyle w:val="TextoNormal"/>
      </w:pPr>
      <w:r>
        <w:t>Contra dicho acuerdo se formuló recurso contencioso-electoral ante el Juzgado de lo Contencioso-Administrativo núm. 17 de Barcelona, alegándose la infracción del art. 47 LOREG, por no permitirse a la demandante subsanar dentro de plazo las deficiencias advertidas por la Junta y se invocaba la lesión del art. 23.2 CE. Respecto a este último, se alega que el candidato excluido no tenía constancia de su inclusión como candidato en la candidatura de UPyD en la circunscripción de El Ferrol y, que al conocer este hecho, se puso en contacto con dicha formación política para esclarecer lo sucedido, por lo que se le facilitó por aquella formación un documento para dejar sin efecto la participación en su lista. En este sentido, el partido recurrente aporta un documento fechado el 27 de abril en el que el candidato expone, primero, que forma parte de la candidatura del partido político UPyD por la circunscripción de El Ferrol y, segundo, que en esa misma fecha renunciaba a formar parte de la mencionada candidatura, solicitando ser excluido de la correspondiente lista electoral. Asimismo, aporta una declaración en la que manifestaba que no le había constado formar parte de la candidatura de la formación UPyD por la circunscripción de El Ferrol, hasta el acuerdo de la Junta electoral de Berga; que su relación con dicha formación fue laboral, habiendo finalizado en 2013; que únicamente había prestado su consentimiento expreso a formar parte de la candidatura de la formación del Partido Popular por la circunscripción de Berga; que la expresa renuncia a formar parte de la candidatura de UPyD que constaba en el anterior documento no implicaba la prestación previa de consentimiento por su parte a participar en ella; y que reiteraba su voluntad y consentimiento a formar parte únicamente de la candidatura del PP en el municipio de Berga.</w:t>
      </w:r>
    </w:p>
    <w:p w:rsidR="00B85568" w:rsidRDefault="00B85568" w:rsidP="00B85568">
      <w:pPr>
        <w:pStyle w:val="TextoNormal"/>
      </w:pPr>
    </w:p>
    <w:p w:rsidR="00B85568" w:rsidRDefault="00B85568" w:rsidP="00B85568">
      <w:pPr>
        <w:pStyle w:val="TextoNormal"/>
      </w:pPr>
      <w:r>
        <w:t>El recurso fue desestimado mediante Sentencia de 30 de abril de 2015. En ella, el Juzgado parte de las previsiones de los arts. 46 y 47 LOREG en relación con la presentación y proclamación de candidaturas y con la subsanación de irregularidades. Igualmente, se hace alusión a la doctrina constitucional en la materia. A partir de ahí, señala su coincidencia plena con el dictamen del Ministerio Fiscal, que pone de relieve la existencia de una negligencia manifiesta en la actuación del PP: primero por proponer como candidato a una persona que manifiestamente no tenía derecho a ello; segundo, por sustituir a dicha persona por otra que incurría claramente en la prohibición del art. 46.6 LOREG; y, finalmente, por no incluir suplentes en la lista que pudieran cubrir las hipotéticas vacantes que por cualquier causa se pudieran producir. Por su parte, considera que la Junta electoral de zona cumplió con rigor la exigencia legal del art. 47.2 LOREG, por cuanto una vez advertido el defecto en que incurría la candidatura del primer candidato requirió de subsanación al partido político. En consecuencia, también actuó conforme a la legalidad al no proclamar la candidatura por no haber sido subsanada la irregularidad advertida, pues, en esas condiciones, la candidatura afectada no cumplía con los requisitos legales del art. 47.4 LOREG. Porque —se advierte— “lo que no prevé (la ley) es la existencia de un derecho continuado a subsanar defectos sucesivos y fuera del plazo del art. 47.2”. Por último, el Juzgado de lo Contencioso-Administrativo señala la imposibilidad de entrar en el examen de los documentos aportados por el partido político recurrente el día 27 de abril, pues dichos documentos no se encontraban incorporados en el expediente administrativo y, por lo tanto, no son ni fueron conocidos por la administración electoral en su momento oportuno. A ello se añade que tales circunstancias exceden del ámbito de los hechos objetivos y probados, tratándose de meras manifestaciones posteriores a la resolución de la Junta electoral de zona que no enervan la existencia de una subsanación incorrecta y, por lo tanto, de la persistencia de una situación de incumplimiento de los requisitos legales.</w:t>
      </w:r>
    </w:p>
    <w:p w:rsidR="00B85568" w:rsidRDefault="00B85568" w:rsidP="00B85568">
      <w:pPr>
        <w:pStyle w:val="TextoNormal"/>
      </w:pPr>
    </w:p>
    <w:p w:rsidR="00B85568" w:rsidRDefault="00B85568" w:rsidP="00B85568">
      <w:pPr>
        <w:pStyle w:val="TextoNormal"/>
      </w:pPr>
      <w:r>
        <w:t>Con fecha 2 de mayo de 2015 se presenta recurso de amparo electoral ante este Tribunal, que fue inadmitido a través de providencia de 5 de mayo de 2015, “dada la manifiesta inexistencia de violación de un derecho fundamental tutelable en amparo”.</w:t>
      </w:r>
    </w:p>
    <w:p w:rsidR="00B85568" w:rsidRDefault="00B85568" w:rsidP="00B85568">
      <w:pPr>
        <w:pStyle w:val="TextoNormal"/>
      </w:pPr>
    </w:p>
    <w:p w:rsidR="00B85568" w:rsidRDefault="00B85568" w:rsidP="00B85568">
      <w:pPr>
        <w:pStyle w:val="TextoNormal"/>
      </w:pPr>
      <w:r w:rsidRPr="00B85568">
        <w:rPr>
          <w:rStyle w:val="NumeroAFNegritaCaracter"/>
        </w:rPr>
        <w:t>3</w:t>
      </w:r>
      <w:r>
        <w:t>. El Fiscal interesa que se deje sin efecto la providencia de inadmisión de 5 de mayo de 2015.</w:t>
      </w:r>
    </w:p>
    <w:p w:rsidR="00B85568" w:rsidRDefault="00B85568" w:rsidP="00B85568">
      <w:pPr>
        <w:pStyle w:val="TextoNormal"/>
      </w:pPr>
    </w:p>
    <w:p w:rsidR="00B85568" w:rsidRDefault="00B85568" w:rsidP="00B85568">
      <w:pPr>
        <w:pStyle w:val="TextoNormal"/>
      </w:pPr>
      <w:r>
        <w:t>Comienza su razonamiento haciendo referencia a la doctrina constitucional de aplicación (entre otras, las SSTC 109/2007, de 10 de mayo; 48/2000, de 24 de febrero; 100/2007, de 9 de mayo, y 84/2003, de 8 de mayo), de acuerdo con la cual, “la interpretación de la legalidad ha de ser la más favorable a la eficacia del derecho (art. 23 CE), con un criterio antiformalista favoreciendo la subsanación en plazo de cuantas irregularidades detecte la Administración electoral”. Tal interpretación favorable no habría tenido lugar en este caso.</w:t>
      </w:r>
    </w:p>
    <w:p w:rsidR="00B85568" w:rsidRDefault="00B85568" w:rsidP="00B85568">
      <w:pPr>
        <w:pStyle w:val="TextoNormal"/>
      </w:pPr>
    </w:p>
    <w:p w:rsidR="00B85568" w:rsidRDefault="00B85568" w:rsidP="00B85568">
      <w:pPr>
        <w:pStyle w:val="TextoNormal"/>
      </w:pPr>
      <w:r>
        <w:t>Entiende que, pese a la falta de diligencia del propio recurrente en la presentación del primer candidato —en el que concurría claramente una causa que le impedía participar en la candidatura—, no existió la posibilidad de subsanar la segunda irregularidad en relación con el candidato sustituto. Y en ello —considera el Fiscal— no resulta ajeno el propio funcionamiento de la Junta electoral de zona, que no advirtió al representante de la candidatura de la irregularidad, pese a que a fecha de la presentación del nuevo candidato no había transcurrido todavía el plazo de subsanación.</w:t>
      </w:r>
    </w:p>
    <w:p w:rsidR="00B85568" w:rsidRDefault="00B85568" w:rsidP="00B85568">
      <w:pPr>
        <w:pStyle w:val="TextoNormal"/>
      </w:pPr>
    </w:p>
    <w:p w:rsidR="00B85568" w:rsidRDefault="00B85568" w:rsidP="00B85568">
      <w:pPr>
        <w:pStyle w:val="TextoNormal"/>
      </w:pPr>
      <w:r>
        <w:t>La falta de subsanación cobraría una mayor gravedad, en su opinión, si se tiene en cuenta que esta deja al albur de cualquier candidatura bloquear la de otra formación política, sea intencionadamente o por error. También admite el Fiscal que la doble aparición pudiera deberse a la negligencia del interesado prestando un doble consentimiento. En cualquier caso —concluye— ninguna causa está acreditada.</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6 de mayo de 2015, la Sección Primera acuerda unir a las actuaciones el escrito presentado por el Ministerio Fiscal y conceder de plazo hasta las 12 horas del día 7 de ese mismo mes y año, a fin de que las partes aleguen lo que estimen pertinente.</w:t>
      </w:r>
    </w:p>
    <w:p w:rsidR="00B85568" w:rsidRDefault="00B85568" w:rsidP="00B85568">
      <w:pPr>
        <w:pStyle w:val="TextoNormal"/>
      </w:pPr>
    </w:p>
    <w:p w:rsidR="00B85568" w:rsidRDefault="00B85568" w:rsidP="00B85568">
      <w:pPr>
        <w:pStyle w:val="TextoNormal"/>
      </w:pPr>
      <w:r w:rsidRPr="00B85568">
        <w:rPr>
          <w:rStyle w:val="NumeroAFNegritaCaracter"/>
        </w:rPr>
        <w:t>5</w:t>
      </w:r>
      <w:r>
        <w:t>. Por escrito de 7 de mayo de 2015, el Partido Popular manifiesta su adhesión al recurso de súplica presentado por el Ministerio Fiscal, solicitando su estimación y la admisión del recurso, reiterando la solicitud de amparo formulada.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Fiscal ante el Tribunal Constitucional interpone recurso de súplica contra la providencia de 5 de mayo por la que se inadmite a trámite el recurso de amparo 2512-2015, interpuesto por el Partido Popular, por manifiesta inexistencia de violación de un derecho fundamental tutelable en amparo, interesando que se deje sin efecto dicha resolución al considerar que “pudiera haberse afectado el derecho del art. 23.2 CE en relación con el art. 24.1 CE”. No obstante, hay que advertir que respecto a este último derecho nada se alega.</w:t>
      </w:r>
    </w:p>
    <w:p w:rsidR="00B85568" w:rsidRDefault="00B85568" w:rsidP="00B85568">
      <w:pPr>
        <w:pStyle w:val="TextoNormal"/>
      </w:pPr>
    </w:p>
    <w:p w:rsidR="00B85568" w:rsidRDefault="00B85568" w:rsidP="00B85568">
      <w:pPr>
        <w:pStyle w:val="TextoNormal"/>
      </w:pPr>
      <w:r w:rsidRPr="00B85568">
        <w:rPr>
          <w:rStyle w:val="NumeroAFNegritaCaracter"/>
        </w:rPr>
        <w:t>2</w:t>
      </w:r>
      <w:r>
        <w:t>. Asume en su recurso las quejas planteadas en el escrito de demanda, en el sentido de que la Junta electoral debió indicar al representante de la candidatura que se había producido una nueva irregularidad al tratar de subsanar la primera, permitiéndole otra subsanación, pues al incluir al nuevo candidato todavía no había concluido el plazo de dos días otorgado conforme a la ley para proceder a la subsanación. Al no hacerlo, habría vulnerado los derechos contenidos en el art. 23 CE del partido recurrente.</w:t>
      </w:r>
    </w:p>
    <w:p w:rsidR="00B85568" w:rsidRDefault="00B85568" w:rsidP="00B85568">
      <w:pPr>
        <w:pStyle w:val="TextoNormal"/>
      </w:pPr>
    </w:p>
    <w:p w:rsidR="00B85568" w:rsidRDefault="00B85568" w:rsidP="00B85568">
      <w:pPr>
        <w:pStyle w:val="TextoNormal"/>
      </w:pPr>
      <w:r>
        <w:t>Al respecto, hay que señalar que la doctrina constitucional en esta materia, como señala el Fiscal, resulta sumamente estricta en cuanto a la obligación de colaboración y diligencia de las juntas electorales. Según se pone de manifiesto en la STC 73/1986, de 3 de junio, FJ 2, la Ley busca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Y ello, porque existe una consolidada doctrina constitucional que sostiene que, en principio, los errores e irregularidades cometidos en la presentación de las candidaturas son subsanables y, en consecuencia, las juntas electorales han de ofrecer la oportunidad de que los defectos en los que incurran las candidaturas puedan ser corregidos (entre otras, SSTC 96/2007, de 8 de mayo, FJ 5; y 115/2007, de 10 de mayo, FJ 4), con independencia de que las deficiencias advertidas sean o no fruto de la ignorancia o de la negligencia de quienes presentaron la candidatura sin cumplir, en todos sus extremos, las prevenciones legales (STC 59/1987, de 19 de mayo, FJ 3). Por ello, el Tribunal Constitucional ha declarado que el incumplimiento de este deber por parte de las juntas electorales supone ignorar una garantía dispuesta en la ley para la efectividad del derecho de sufragio pasivo, “que resultará así afectado negativamente” (SSTC 59/1987, de 19 de mayo, FJ 3 y 162/2011, de 2 de noviembre FJ 4).</w:t>
      </w:r>
    </w:p>
    <w:p w:rsidR="00B85568" w:rsidRDefault="00B85568" w:rsidP="00B85568">
      <w:pPr>
        <w:pStyle w:val="TextoNormal"/>
      </w:pPr>
    </w:p>
    <w:p w:rsidR="00B85568" w:rsidRDefault="00B85568" w:rsidP="00B85568">
      <w:pPr>
        <w:pStyle w:val="TextoNormal"/>
      </w:pPr>
      <w:r>
        <w:t>Sin embargo, es necesario destacar que esa jurisprudencia ha sido acuñada para los casos en los que no se advierte por parte de la Junta electoral correspondiente acerca de la existencia de deficiencias en la candidatura, impidiendo que el representante de esta pueda proceder a su reparación en el plazo legalmente establecido. En este caso, en cambio, la Junta electoral de zona actuó como debía. Detectada la deficiencia, se lo comunicó al representante de la candidatura, así como a los representantes de las demás formaciones que habían presentado una candidatura defectuosa, otorgando a todos ellos el plazo legalmente previsto para la subsanación. Una vez transcurrido este, se reunió nuevamente para revisar la documentación aportada por las distintas formaciones requeridas para la subsanación, denegando la proclamación a aquellas que no habían subsanado o que subsanaron defectuosamente, como fue el caso del partido hoy recurrente en amparo.</w:t>
      </w:r>
    </w:p>
    <w:p w:rsidR="00B85568" w:rsidRDefault="00B85568" w:rsidP="00B85568">
      <w:pPr>
        <w:pStyle w:val="TextoNormal"/>
      </w:pPr>
    </w:p>
    <w:p w:rsidR="00B85568" w:rsidRDefault="00B85568" w:rsidP="00B85568">
      <w:pPr>
        <w:pStyle w:val="TextoNormal"/>
      </w:pPr>
      <w:r>
        <w:t>La exigencia de colaboración de la Junta electoral de zona con las candidatura, en los términos en que la plantea el recurso de súplica, resulta desproporcionada, pues no existe un derecho del recurrente “a subsanar defectos sucesivos”, como señala el Juzgado de lo Contencioso-Administrativo en su resolución, o a que la Junta electoral se reúna cuándo a él le convenga (en este caso, durante el periodo de tiempo que duraba el plazo de subsanación de irregularidades).</w:t>
      </w:r>
    </w:p>
    <w:p w:rsidR="00B85568" w:rsidRDefault="00B85568" w:rsidP="00B85568">
      <w:pPr>
        <w:pStyle w:val="TextoNormal"/>
      </w:pPr>
    </w:p>
    <w:p w:rsidR="00B85568" w:rsidRDefault="00B85568" w:rsidP="00B85568">
      <w:pPr>
        <w:pStyle w:val="TextoNormal"/>
      </w:pPr>
      <w:r>
        <w:t>Centrada así la cuestión, carece de sentido realizar —como hace el Fiscal— suposiciones acerca de las causas que pudieron dar lugar a la inclusión del candidato excluido en otra candidatura, pues en nada afectan a la existencia de una subsanación incorrecta. En cualquier caso, este parece olvidar, de un lado, que tal inclusión requiere, según lo establecido en el art. 46.2 de la Ley Orgánica del régimen electoral general (LOREG), de la “declaración de aceptación de la candidatura” por parte del candidato, declaración que, por exigencia de ese mismo precepto legal, ha de acompañar al escrito de presentación de la misma. Y, de otro, que la posible indagación sobre esas causas más bien apunta en sentido contrario a lo pretendido por el partido recurrente, conforme a la documentación aportada por este, a la que hacemos referencia en los antecedentes de esta resolución. Debe recordarse, además, que la no proclamación de la candidatura del partido recurrente se debió a otra falta de diligencia de este, pues no incluyó suplentes en la lista, lo que determinó que, al excluirse el nuevo candidato propuesto, aquella adoleciera de un defecto numérico por no contar con los candidatos exigidos, de acuerdo con lo dispuesto en el art. 46.3 LOREG.</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5 de mayo de 2015, mediante la que esta misma Sala acordó la inadmisión del recurso de amparo electoral núm. 2512-2015.</w:t>
      </w:r>
    </w:p>
    <w:p w:rsidR="00B85568" w:rsidRDefault="00B85568" w:rsidP="00B85568">
      <w:pPr>
        <w:pStyle w:val="TextoNormal"/>
      </w:pPr>
    </w:p>
    <w:p w:rsidR="00B85568" w:rsidRDefault="00B85568" w:rsidP="00B85568">
      <w:pPr>
        <w:pStyle w:val="TextoNormal"/>
      </w:pPr>
      <w:r>
        <w:t>Madrid, a siete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29" w:name="AUTO_2015_79"/>
      <w:r>
        <w:t>AUTO 79/2015, de 7 de mayo de 2015</w:t>
      </w:r>
    </w:p>
    <w:bookmarkEnd w:id="229"/>
    <w:p w:rsidR="00B85568" w:rsidRDefault="00B85568" w:rsidP="00B85568">
      <w:pPr>
        <w:pStyle w:val="TtuloResolucin"/>
      </w:pPr>
      <w:r>
        <w:t>Sala Primera</w:t>
      </w:r>
    </w:p>
    <w:p w:rsidR="00B85568" w:rsidRDefault="00B85568" w:rsidP="00B85568">
      <w:pPr>
        <w:pStyle w:val="TextoNormalCentrado"/>
      </w:pPr>
      <w:r>
        <w:t>ECLI:ES:TC:2015:79A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electoral 2515-2015, promovido por Ganemos-Izquierda Unida-Los Verdes.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que tuvo entrada en el Registro General de este Tribunal el 2 de mayo de 2015, la Procuradora de los Tribunales doña Natalia Martín de Vidales Llorente, en nombre y representación de la coalición electoral Ganemos-Izquierda Unida-Los Verdes, de la federación extremeña de partidos Izquierda Unida-Verdes y del partido político Ganemos, presentó recurso de amparo electoral contra la Sentencia dictada el 1 de mayo de 2015 por el Juzgado de lo Contencioso-Administrativo núm. 2 de Cáceres (procedimiento contencioso-electoral núm. 65-2015), por la que se estimó parcialmente la demanda contencioso-administrativa interpuesta por los recurrentes contra el acuerdo de proclamación de candidaturas de 27 de abril de 2015, adoptado por la Junta electoral de zona de Plasencia, por el que se excluían determinadas candidaturas presentadas por los recurrentes en diversas localidades de la provincia de Cáceres.</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relevantes para la resolución de la demanda de amparo son los siguientes:</w:t>
      </w:r>
    </w:p>
    <w:p w:rsidR="00B85568" w:rsidRDefault="00B85568" w:rsidP="00B85568">
      <w:pPr>
        <w:pStyle w:val="TextoNormal"/>
      </w:pPr>
    </w:p>
    <w:p w:rsidR="00B85568" w:rsidRDefault="00B85568" w:rsidP="00B85568">
      <w:pPr>
        <w:pStyle w:val="TextoNormal"/>
      </w:pPr>
      <w:r>
        <w:t>a) Los partidos políticos Izquierda Unida, Ganemos y Los Verdes suscribieron un pacto de coalición electoral el 9 de abril de 2015 para concurrir a las elecciones locales de 24 de mayo de 2015, especificando que el ámbito de la coalición electoral (cuyo nombre es Ganemos-Izquierda Unida-Los Verdes, pudiendo incluir el del municipio) es el de Extremadura, en todas sus circunscripciones electorales. Dicho pacto fue remitido a la Junta electoral central. Asimismo decidieron dichos partidos, en un acuerdo posterior de la comisión política de la coalición fechado el 11 de abril de 2015, permitir que en la circunscripción electoral de Malpartida de Plasencia (Cáceres) pudieran presentar candidaturas separadas tanto Ganemos como Izquierda Unida, no presentando en tal caso candidaturas la coalición. Este acuerdo de 11 de abril de 2015 no fue remitido a la Junta electoral central.</w:t>
      </w:r>
    </w:p>
    <w:p w:rsidR="00B85568" w:rsidRDefault="00B85568" w:rsidP="00B85568">
      <w:pPr>
        <w:pStyle w:val="TextoNormal"/>
      </w:pPr>
    </w:p>
    <w:p w:rsidR="00B85568" w:rsidRDefault="00B85568" w:rsidP="00B85568">
      <w:pPr>
        <w:pStyle w:val="TextoNormal"/>
      </w:pPr>
      <w:r>
        <w:t>b) Las candidaturas presentadas por la coalición en los municipios de Cáceres, así como las presentadas separadamente en Malpartida de Plasencia por Ganemos (“Ganemos Chinatos”) y por Izquierda Unida-Los Verdes, fueron publicadas en el “Boletín Oficial de la Provincia” de Cáceres el 22 de abril de 2015.</w:t>
      </w:r>
    </w:p>
    <w:p w:rsidR="00B85568" w:rsidRDefault="00B85568" w:rsidP="00B85568">
      <w:pPr>
        <w:pStyle w:val="TextoNormal"/>
      </w:pPr>
    </w:p>
    <w:p w:rsidR="00B85568" w:rsidRDefault="00B85568" w:rsidP="00B85568">
      <w:pPr>
        <w:pStyle w:val="TextoNormal"/>
      </w:pPr>
      <w:r>
        <w:t>c) La Junta electoral de zona de Plasencia dictó acuerdo el 27 de abril de 2015 por el cual se lleva a cabo la proclamación definitiva de las candidaturas y que, en relación con la coalición recurrente, acuerda denegar la proclamación de las candidaturas presentadas a las circunscripciones electorales que se indican; por lo que se refiere a Cabezuela del Valle, Guijo de Granadilla, Jaraiz de la Vera, Montehermoso y Santibañez el Bajo, porque se presentan candidaturas solo por Izquierda Unida-Los Verdes (sin Ganemos), cuando en el pacto de coalición electoral de 9 de abril de 2015 habían acordado que el ámbito de la coalición electoral es el de Extremadura, en todas sus circunscripciones electorales, sin prever la posibilidad de presentarse separadamente en ninguna circunscripción; y por lo que se refiere a Malpartida de Plasencia, porque se presentan, por un lado, una candidatura por Ganemos (“Ganemos Chinatos”) y otra por Izquierda Unida-Los Verdes, lo que igualmente sería contrario al referido pacto de coalición electoral de 9 de abril de 2015.</w:t>
      </w:r>
    </w:p>
    <w:p w:rsidR="00B85568" w:rsidRDefault="00B85568" w:rsidP="00B85568">
      <w:pPr>
        <w:pStyle w:val="TextoNormal"/>
      </w:pPr>
    </w:p>
    <w:p w:rsidR="00B85568" w:rsidRDefault="00B85568" w:rsidP="00B85568">
      <w:pPr>
        <w:pStyle w:val="TextoNormal"/>
      </w:pPr>
      <w:r>
        <w:t>d) Interpuesto recurso contencioso-electoral por la coalición demandante de amparo contra el referido acuerdo de 27 de abril de 2015 de la Junta electoral de zona de Plasencia, fue parcialmente estimado por la Sentencia del Juzgado de lo Contencioso-Administrativo núm. 2 de Cáceres de 1 de mayo de 2015. La Sentencia ordena proclamar las candidaturas presentadas en Cabezuela del Valle, Guijo de Granadilla, Jaraiz de la Vera, Montehermoso y Santibañez el Bajo, si bien con el nombre de la coalición Ganemos-Izquierda Unida-Los Verdes, y desestima las pretensiones formuladas con respecto a las candidaturas excluidas en Malpartida de Plasencia, exclusión que declara conforme a Derecho.</w:t>
      </w:r>
    </w:p>
    <w:p w:rsidR="00B85568" w:rsidRDefault="00B85568" w:rsidP="00B85568">
      <w:pPr>
        <w:pStyle w:val="TextoNormal"/>
      </w:pPr>
    </w:p>
    <w:p w:rsidR="00B85568" w:rsidRDefault="00B85568" w:rsidP="00B85568">
      <w:pPr>
        <w:pStyle w:val="TextoNormal"/>
      </w:pPr>
      <w:r>
        <w:t>El Juzgado razona que, por lo que se refiere a la exclusión de las candidaturas presentadas en Cabezuela del Valle, Guijo de Granadilla, Jaraiz de la Vera y Santibañez el Bajo, se aprecia que las candidaturas son presentadas por el representante de la coalición Ganemos-Izquierda Unida-Los Verdes, utilizando sus siglas y símbolos, pero presentándolas sólo como formación Izquierda Unida-Los Verdes; esta irregularidad debió ser apreciada de oficio por la Junta electoral de zona de Plasencia, otorgando plazo de subsanación (art. 47.2 de la Ley Orgánica del régimen electoral general: LOREG); al no hacerlo así, el Juzgado estima que procede proclamar estas candidaturas, bajo el nombre de la coalición (Ganemos-Izquierda Unida-Los Verdes), como acepta subsidiariamente esta en su recurso. Por lo que atañe a la exclusión de la candidatura presentada en Montehermoso, advierte el Juzgado que en esta circunscripción sí se ha presentado la coalición como tal (y no los partidos que la integran por separado), si bien añadiendo el localismo “Montehermoso”, lo cual es perfectamente conforme a las previsiones del pacto de coalición electoral suscrito el 9 de abril de 2015.</w:t>
      </w:r>
    </w:p>
    <w:p w:rsidR="00B85568" w:rsidRDefault="00B85568" w:rsidP="00B85568">
      <w:pPr>
        <w:pStyle w:val="TextoNormal"/>
      </w:pPr>
    </w:p>
    <w:p w:rsidR="00B85568" w:rsidRDefault="00B85568" w:rsidP="00B85568">
      <w:pPr>
        <w:pStyle w:val="TextoNormal"/>
      </w:pPr>
      <w:r>
        <w:t>En cambio, por lo que se refiere a la exclusión de la candidatura presentada en Malpartida de Plasencia, el Juzgado considera que esta exclusión resulta conforme a Derecho. El Juzgado constata que en esta circunscripción se presentan, por un lado, una candidatura por Ganemos (“Ganemos Chinatos”) y otra por Izquierda Unida-Los Verdes, lo que resulta contrario al referido pacto de coalición electoral de 9 de abril de 2015, remitido a la Junta electoral central y validado por esta el siguiente 15 de abril, conforme al cual el ámbito de la coalición electoral es el de Extremadura, en todas sus circunscripciones electorales, sin prever la posibilidad de presentarse separadamente los partidos integrantes de la misma en ninguna circunscripción. Ha de estarse, por ello, a lo dispuesto en el art. 44.2 LOREG, a cuyo tenor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o coordinación”. Las coaliciones electorales así constituidas válidamente pueden presentar candidaturas según el art. 44 LOREG. El posterior acuerdo de los integrantes de la coalición, fechado el 11 de abril de 2015, que modifica el anterior pacto de coalición determinando, en relación con la localidad de Malpartida de Plasencia, no presentar candidatura la coalición y permitir que presenten candidaturas por separado tanto Ganemos como Izquierda Unida, no fue comunicado a la Junta Electoral Central ni por tanto validado por esta, por lo que no puede desplegar efectos, concluye el órgano judicial.</w:t>
      </w:r>
    </w:p>
    <w:p w:rsidR="00B85568" w:rsidRDefault="00B85568" w:rsidP="00B85568">
      <w:pPr>
        <w:pStyle w:val="TextoNormal"/>
      </w:pPr>
    </w:p>
    <w:p w:rsidR="00B85568" w:rsidRDefault="00B85568" w:rsidP="00B85568">
      <w:pPr>
        <w:pStyle w:val="TextoNormal"/>
      </w:pPr>
      <w:r>
        <w:t>e) Contra la anterior Sentencia, en lo que se refiere a la exclusión de la proclamación de las candidaturas presentadas en la circunscripción de Malpartida de Plasencia, interponen los demandantes de amparo recurso de amparo electoral fundado en la vulneración del derecho de sufragio pasivo (art. 23.2 CE) e interesando que se declare la nulidad de la Sentencia recurrida en dicho extremo y se proclamen las candidaturas “Ganemos Chinatos” e “Izquierda Unida-Los Verdes” en Malpartida de Plasencia o, subsidiariamente, que se conceda plazo para subsanación de irregularidades a las formaciones políticas demandantes.</w:t>
      </w:r>
    </w:p>
    <w:p w:rsidR="00B85568" w:rsidRDefault="00B85568" w:rsidP="00B85568">
      <w:pPr>
        <w:pStyle w:val="TextoNormal"/>
      </w:pPr>
    </w:p>
    <w:p w:rsidR="00B85568" w:rsidRDefault="00B85568" w:rsidP="00B85568">
      <w:pPr>
        <w:pStyle w:val="TextoNormal"/>
      </w:pPr>
      <w:r w:rsidRPr="00B85568">
        <w:rPr>
          <w:rStyle w:val="NumeroAFNegritaCaracter"/>
        </w:rPr>
        <w:t>3</w:t>
      </w:r>
      <w:r>
        <w:t>. La demanda de amparo justifica la especial trascendencia constitucional del recurso por referencia al supuesto f) del fundamento jurídico 2 de la STC 155/2009, de 25 de junio, por entender que la Sentencia impugnada incurre en negativa manifiesta del deber de acatamiento de la doctrina del Tribunal Constitucional (art. 5 de Ley Orgánica del Poder Judicial) en relación con la subsanación de las irregularidades que puedan afectar a las listas electorales, citando a tal efecto las SSTC 73/1986, 59/1987, 86/1997, 95/1991, 113/1991, 157/1991 y 84/2003, entre otras.</w:t>
      </w:r>
    </w:p>
    <w:p w:rsidR="00B85568" w:rsidRDefault="00B85568" w:rsidP="00B85568">
      <w:pPr>
        <w:pStyle w:val="TextoNormal"/>
      </w:pPr>
    </w:p>
    <w:p w:rsidR="00B85568" w:rsidRDefault="00B85568" w:rsidP="00B85568">
      <w:pPr>
        <w:pStyle w:val="TextoNormal"/>
      </w:pPr>
      <w:r>
        <w:t>Por lo que se refiere a la vulneración del derecho de sufragio pasivo (art. 23.2 CE) en que se fundamenta la demanda de amparo, los demandantes sostienen que la exclusión de la proclamación de las candidaturas presentadas en la circunscripción de Malpartida de Plasencia vulnera el art. 23.2 CE, contraviniendo la citada doctrina del Tribunal Constitucional en materia de subsanación de irregularidades en la presentación de candidaturas, según la cual los errores e irregularidades cometidos en la presentación de las candidaturas son subsanables y, en consecuencia, las juntas electorales competentes han de ofrecer la oportunidad de que las candidaturas en las que se hayan detectado irregularidades puedan ser subsanadas.</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5 de mayo de 2015, la Sala Primera de este Tribunal acordó no admitir a trámite el recurso,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B85568" w:rsidRDefault="00B85568" w:rsidP="00B85568">
      <w:pPr>
        <w:pStyle w:val="TextoNormal"/>
      </w:pPr>
    </w:p>
    <w:p w:rsidR="00B85568" w:rsidRDefault="00B85568" w:rsidP="00B85568">
      <w:pPr>
        <w:pStyle w:val="TextoNormal"/>
      </w:pPr>
      <w:r w:rsidRPr="00B85568">
        <w:rPr>
          <w:rStyle w:val="NumeroAFNegritaCaracter"/>
        </w:rPr>
        <w:t>5</w:t>
      </w:r>
      <w:r>
        <w:t>. Contra la referida providencia de inadmisión interpone recurso de súplica el Ministerio Fiscal, solicitando que se deje sin efecto por entender que en el presente caso concurren circunstancias que permiten considerar que existe apariencia de lesión del derecho de sufragio pasivo que garantiza el art. 23.2 CE, el cual guarda, a su vez, estrecha relación con el derecho de sufragio activo reconocido a los electores por el art. 23.1 CE.</w:t>
      </w:r>
    </w:p>
    <w:p w:rsidR="00B85568" w:rsidRDefault="00B85568" w:rsidP="00B85568">
      <w:pPr>
        <w:pStyle w:val="TextoNormal"/>
      </w:pPr>
    </w:p>
    <w:p w:rsidR="00B85568" w:rsidRDefault="00B85568" w:rsidP="00B85568">
      <w:pPr>
        <w:pStyle w:val="TextoNormal"/>
      </w:pPr>
      <w:r>
        <w:t>Considera el Ministerio Fiscal que el art. 44.2 LOREG no establece ninguna prohibición de modificación del convenio de coalición electoral que suscriban los partidos o federaciones, por lo que la cuestión estriba en dilucidar si es necesaria la comunicación a la Junta Electoral Central de la modificación del pacto de coalición. De estimarse necesaria la comunicación a la Junta Electoral Central (como lo entiende la Sentencia recurrida en amparo) del nuevo pacto en el sentido de no presentar la coalición electoral Ganemos-Izquierda Unida-Los Verdes candidatura en Malpartida de Plasencia y permitir que presenten candidaturas por separado en dicha circunscripción tanto Ganemos como Izquierda Unida, habría que entender, según el Ministerio Fiscal, que la Junta electoral de zona de Plasencia debió conceder a la coalición electoral, conforme a lo previsto en el art. 47.2 LOREG y la doctrina constitucional en materia de subsanación de irregularidades en la presentación de candidaturas (cita por todas la STC 164/2011), trámite de subsanación para corregir ese defecto de falta de notificación del pacto a la Junta Electoral Central o, alternativamente, presentar su candidatura como coalición en la circunscripción de Malpartida de Plasencia.</w:t>
      </w:r>
    </w:p>
    <w:p w:rsidR="00B85568" w:rsidRDefault="00B85568" w:rsidP="00B85568">
      <w:pPr>
        <w:pStyle w:val="TextoNormal"/>
      </w:pPr>
    </w:p>
    <w:p w:rsidR="00B85568" w:rsidRDefault="00B85568" w:rsidP="00B85568">
      <w:pPr>
        <w:pStyle w:val="TextoNormal"/>
      </w:pPr>
      <w:r w:rsidRPr="00B85568">
        <w:rPr>
          <w:rStyle w:val="NumeroAFNegritaCaracter"/>
        </w:rPr>
        <w:t>6</w:t>
      </w:r>
      <w:r>
        <w:t>. La Secretaría de Justicia de la Sala Primera de este Tribunal, por diligencia de ordenación de 6 de mayo de 2015, acordó dar traslado del recurso de súplica del Ministerio Fiscal para alegaciones a los demandantes. Estos se adhirieron en todos sus términos a los argumentos esgrimidos en dicho recurso, por escrito registrado en este Tribunal al día siguiente, solicitando que se deje sin efecto la providencia de inadmisión, se admita a trámite la demanda de amparo electoral y se estime la misma, ordenando la proclamación de las candidaturas “Ganemos Chinatos” e “Izquierda Unida-Los Verdes” por la circunscripción de Malpartida de Plasencia o, subsidiariamente, permitiendo a las formaciones políticas demandantes que subsanen el defecto advertido, ya sea validando el acuerdo firmado el 11 de abril de 2015, ya sea presentando candidatura la coalición electoral en dicha circunscripción.</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Ministerio Fiscal ha recurrido en súplica la providencia de esta Sala de 5 de mayo de 2015, en la que se acordó no admitir a trámite el recurso de amparo promovido por la coalición electoral Ganemos-Izquierda Unida-Los Verdes, la federación extremeña de partidos Izquierda Unida-Verdes y el partido político Ganemos, por apreciar la manifiesta inexistencia de violación del derecho fundamental de sufragio pasivo (art. 23.2 CE) que se alega en la demanda de amparo.</w:t>
      </w:r>
    </w:p>
    <w:p w:rsidR="00B85568" w:rsidRDefault="00B85568" w:rsidP="00B85568">
      <w:pPr>
        <w:pStyle w:val="TextoNormal"/>
      </w:pPr>
    </w:p>
    <w:p w:rsidR="00B85568" w:rsidRDefault="00B85568" w:rsidP="00B85568">
      <w:pPr>
        <w:pStyle w:val="TextoNormal"/>
      </w:pPr>
      <w:r>
        <w:t>Sostiene el Ministerio Fiscal que sí se cumple en el presente asunto el requisito subjetivo de apariencia de lesión del derecho de sufragio pasivo que garantiza el art. 23.2 CE alegado en la demanda de amparo (estrechamente relacionado con el derecho de sufragio activo reconocido por el art. 23.1 CE), por lo que solicita que se deje sin efecto la providencia de inadmisión de 5 de mayo de 2015. Los demandantes de amparo se han adherido al recurso de súplica del Ministerio Fiscal.</w:t>
      </w:r>
    </w:p>
    <w:p w:rsidR="00B85568" w:rsidRDefault="00B85568" w:rsidP="00B85568">
      <w:pPr>
        <w:pStyle w:val="TextoNormal"/>
      </w:pPr>
    </w:p>
    <w:p w:rsidR="00B85568" w:rsidRDefault="00B85568" w:rsidP="00B85568">
      <w:pPr>
        <w:pStyle w:val="TextoNormal"/>
      </w:pPr>
      <w:r w:rsidRPr="00B85568">
        <w:rPr>
          <w:rStyle w:val="NumeroAFNegritaCaracter"/>
        </w:rPr>
        <w:t>2</w:t>
      </w:r>
      <w:r>
        <w:t>. Este Tribunal Constitucional tiene establecida una consolidada doctrina en materia de subsanación de irregularidades en la presentación de candidaturas ante la Administración electoral, según la cual los errores e irregularidades cometidos en la presentación de candidaturas son en principio subsanables y, en consecuencia, las juntas electorales han de ofrecer la oportunidad de que las candidaturas en las que se han detectado lo hagan, conforme al trámite previsto en el art. 47.2 de la Ley Orgánica del régimen electoral general (LOREG).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 (SSTC 73/1986, de 3 de junio, FJ 1; 67/1987, de 21 de mayo, FJ 3; 73/1995, de 12 de mayo, FJ 3; 80/2002, de 8 de abril, FJ 7, y 115/2007, de 10 de mayo, FJ 4, entre otras muchas).</w:t>
      </w:r>
    </w:p>
    <w:p w:rsidR="00B85568" w:rsidRDefault="00B85568" w:rsidP="00B85568">
      <w:pPr>
        <w:pStyle w:val="TextoNormal"/>
      </w:pPr>
    </w:p>
    <w:p w:rsidR="00B85568" w:rsidRDefault="00B85568" w:rsidP="00B85568">
      <w:pPr>
        <w:pStyle w:val="TextoNormal"/>
      </w:pPr>
      <w:r>
        <w:t>La ineficacia jurídica del acto de presentación de la candidatura que incumpla los requisitos establecidos en la Ley (art. 47.4 LOREG) procede, ciertamente, de un defecto en el que incurrieron quienes la presentaron, mas no quiere la Ley Orgánica del régimen electoral general que tal irregularidad depare la exclusión de las candidaturas sin que antes se haga posible, mediante su identificación y advertencia de oficio por la Administración electoral, la oportuna subsanación, siempre, claro está, que ello sea materialmente factible (SSTC 73/1986, de 3 de junio, FJ 1; 59/1987, de 19 de mayo, FJ 3; 86/1987, de 1 de junio, FJ 4; 24/1989, de 2 de febrero, FJ 95/1991, de 7 de mayo, FJ 2; 113/1991, de 20 de mayo, FJ 3; 175/1991, de 16 de septiembre, FJ 2, y 84/2003, de 8 de mayo, FJ 5, entre otras).</w:t>
      </w:r>
    </w:p>
    <w:p w:rsidR="00B85568" w:rsidRDefault="00B85568" w:rsidP="00B85568">
      <w:pPr>
        <w:pStyle w:val="TextoNormal"/>
      </w:pPr>
    </w:p>
    <w:p w:rsidR="00B85568" w:rsidRDefault="00B85568" w:rsidP="00B85568">
      <w:pPr>
        <w:pStyle w:val="TextoNormal"/>
      </w:pPr>
      <w:r w:rsidRPr="00B85568">
        <w:rPr>
          <w:rStyle w:val="NumeroAFNegritaCaracter"/>
        </w:rPr>
        <w:t>3</w:t>
      </w:r>
      <w:r>
        <w:t>. El principio de subsanación de irregularidades en la presentación de candidaturas ante la Administración electoral no resulta aplicable al caso que nos ocupa, pues no estamos ante un supuesto de irregularidades subsanables conforme al trámite previsto en el art. 47.2 LOREG.</w:t>
      </w:r>
    </w:p>
    <w:p w:rsidR="00B85568" w:rsidRDefault="00B85568" w:rsidP="00B85568">
      <w:pPr>
        <w:pStyle w:val="TextoNormal"/>
      </w:pPr>
    </w:p>
    <w:p w:rsidR="00B85568" w:rsidRDefault="00B85568" w:rsidP="00B85568">
      <w:pPr>
        <w:pStyle w:val="TextoNormal"/>
      </w:pPr>
      <w:r>
        <w:t>Como ha quedado expuesto en los antecedentes, lo sucedido en el presente caso es que en la circunscripción de Malpartida de Plasencia se presentan, por un lado, una candidatura por el partido Ganemos (“Ganemos Chinatos”), presentada por el representante de este partido político y otra por la formación Izquierda Unida-Los Verdes (presentada por el representante de la coalición Ganemos-Izquierda Unida-Los Verdes, que es a su vez representante de Izquierda Unida), lo que contradice el pacto de coalición electoral suscrito por Izquierda Unida, Ganemos y Los Verdes el 9 de abril de 2015, conforme al cual el ámbito de la coalición electoral es el de Extremadura, en todas sus circunscripciones electorales, sin prever la posibilidad de presentarse separadamente los partidos integrantes de la misma en ninguna circunscripción de esa Comunidad Autónoma.</w:t>
      </w:r>
    </w:p>
    <w:p w:rsidR="00B85568" w:rsidRDefault="00B85568" w:rsidP="00B85568">
      <w:pPr>
        <w:pStyle w:val="TextoNormal"/>
      </w:pPr>
    </w:p>
    <w:p w:rsidR="00B85568" w:rsidRDefault="00B85568" w:rsidP="00B85568">
      <w:pPr>
        <w:pStyle w:val="TextoNormal"/>
      </w:pPr>
      <w:r>
        <w:t>Dicho pacto de coalición fue oportunamente comunicado a la Junta Electoral Central según lo dispuesto en el art. 44.2 LOREG, lo que permitía a la coalición electoral presentar candidaturas en los municipios extremeños, conforme a lo previsto en el 44.1 b) LOREG. Pero no les permitía presentar candidaturas separadas de los partidos integrantes de la coalición en ninguna circunscripción electoral extremeña, como hicieron en Malpartida de Plasencia presentando dos candidaturas distintas, una por el partido Ganemos (“Ganemos Chinatos”) y otra por la formación Izquierda Unida-Los Verdes.</w:t>
      </w:r>
    </w:p>
    <w:p w:rsidR="00B85568" w:rsidRDefault="00B85568" w:rsidP="00B85568">
      <w:pPr>
        <w:pStyle w:val="TextoNormal"/>
      </w:pPr>
    </w:p>
    <w:p w:rsidR="00B85568" w:rsidRDefault="00B85568" w:rsidP="00B85568">
      <w:pPr>
        <w:pStyle w:val="TextoNormal"/>
      </w:pPr>
      <w:r>
        <w:t>La pretensión de los demandantes de amparo de hacer valer el posterior acuerdo de la comisión política de la coalición de fecha 11 de abril de 2015, que modifica el pacto de coalición de 9 de abril de 2015 acordando, en relación con la localidad de Malpartida de Plasencia, no presentar candidatura la coalición y permitir que presentasen candidaturas por separado tanto Ganemos como Izquierda Unida, carece de sustento legal, pues ese acuerdo posterior no fue comunicado a la Junta Electoral Central conforme a lo exigido por el art. 44.2 LOREG, ausencia de comunicación que los demandantes no discuten. En consecuencia, de conformidad con lo dispuesto en los arts. 44.1 b) y 44.2 LOREG era la coalición electoral Ganemos-Izquierda Unida-Los Verdes la que podía presentar candidatos en Malpartida de Plasencia (con esa denominación y pudiendo incluir el nombre del municipio), pero nunca podían hacerlo por separado los partidos integrantes de la coalición (ni tampoco cabía, claro está, la posibilidad de concurrir en la misma circunscripción candidaturas de la coalición y de los partidos integrantes de la misma, por vedarlo el art 44.3 LOREG, como señala la STC 154/2003, de 17 de julio, FJ 8).</w:t>
      </w:r>
    </w:p>
    <w:p w:rsidR="00B85568" w:rsidRDefault="00B85568" w:rsidP="00B85568">
      <w:pPr>
        <w:pStyle w:val="TextoNormal"/>
      </w:pPr>
    </w:p>
    <w:p w:rsidR="00B85568" w:rsidRDefault="00B85568" w:rsidP="00B85568">
      <w:pPr>
        <w:pStyle w:val="TextoNormal"/>
      </w:pPr>
      <w:r>
        <w:t>El incumplimiento de lo dispuesto en el art. 44.2 LOREG no puede entenderse como un requisito subsanable a efectos de la aplicación de la citada doctrina constitucional, pues se refiere a un requisito anterior a la presentación de las candidaturas, como es la comunicación a la Junta Electoral Central del pacto de coalición en los diez días siguientes a la convocatoria de las elecciones, trámite ya precluido. En efecto, el pacto de coalición de 9 de abril de 2015, comunicado a la Junta Electoral Central el siguiente 10 de abril, no permite a la coalición electoral presentar candidaturas separadas de los partidos integrantes de la coalición en ninguna circunscripción electoral extremeña, y el posterior acuerdo de los integrantes de la coalición fechado el 11 de abril de 2015, que modifica el anterior pacto de coalición, acordando no presentar la coalición su candidatura en Malpartida de Plasencia y permitir que presenten candidaturas por separado tanto Ganemos como Izquierda Unida en dicha circunscripción, no fue comunicado a la Junta Electoral Central como exige el art. 44.2 LOREG, por lo que no puede desplegar efectos conforme a lo previsto art. 44.1.b) LOREG. Y no cabe pretender, como sostiene el Ministerio Fiscal, que debió otorgarse a la coalición demandante plazo de subsanación con arreglo al art. 47.2 LOREG, toda vez que a la fecha de publicación de las candidaturas presentadas ya había transcurrido el plazo de días establecido en el art. 44.2 LOREG para comunicar a la Junta Electoral Central los pactos de coalición.</w:t>
      </w:r>
    </w:p>
    <w:p w:rsidR="00B85568" w:rsidRDefault="00B85568" w:rsidP="00B85568">
      <w:pPr>
        <w:pStyle w:val="TextoNormal"/>
      </w:pPr>
    </w:p>
    <w:p w:rsidR="00B85568" w:rsidRDefault="00B85568" w:rsidP="00B85568">
      <w:pPr>
        <w:pStyle w:val="TextoNormal"/>
      </w:pPr>
      <w:r>
        <w:t>En definitiva, examinados los argumentos del recurso de súplica interpuesto por el Ministerio Fiscal debe desestimarse el mismo y confirmarse la decisión de no admisión del recurso de amparo electoral, dada la manifiesta inexistencia de vulneración de un derecho fundamental tutelable en amparo, vulneración que, de acuerdo con el art. 44.1 de la Ley Orgánica del Tribunal Constitucional, es condición para que este Tribunal pueda ejercer dicha tutela.</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inadmisión de 5 de mayo de 2015.</w:t>
      </w:r>
    </w:p>
    <w:p w:rsidR="00B85568" w:rsidRDefault="00B85568" w:rsidP="00B85568">
      <w:pPr>
        <w:pStyle w:val="TextoNormal"/>
      </w:pPr>
    </w:p>
    <w:p w:rsidR="00B85568" w:rsidRDefault="00B85568" w:rsidP="00B85568">
      <w:pPr>
        <w:pStyle w:val="TextoNormal"/>
      </w:pPr>
      <w:r>
        <w:t>Madrid, a siete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0" w:name="AUTO_2015_80"/>
      <w:r>
        <w:t>AUTO 80/2015, de 7 de mayo de 2015</w:t>
      </w:r>
    </w:p>
    <w:bookmarkEnd w:id="230"/>
    <w:p w:rsidR="00B85568" w:rsidRDefault="00B85568" w:rsidP="00B85568">
      <w:pPr>
        <w:pStyle w:val="TtuloResolucin"/>
      </w:pPr>
      <w:r>
        <w:t>Sala Primera</w:t>
      </w:r>
    </w:p>
    <w:p w:rsidR="00B85568" w:rsidRDefault="00B85568" w:rsidP="00B85568">
      <w:pPr>
        <w:pStyle w:val="TextoNormalCentrado"/>
      </w:pPr>
      <w:r>
        <w:t>ECLI:ES:TC:2015:80A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electoral 2516-2015, promovido por Ciudadanos-Partido de la Ciudadanía.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presentado en el Registro General de este Tribunal el 3 de mayo de 2015, don Iván Moreno Rueda, representante de la candidatura Ciudadanos-Partido de la Ciudadanía, interpuso recurso de amparo electoral contra la Sentencia de 1 de mayo de 2015, del Juzgado de lo Contencioso-Administrativo núm. 17 de Madrid, dictada en el procedimiento 190-2015. Dicha Sentencia, estimando el recurso contencioso-electoral planteado por la Confederación nacional de agrupaciones políticas independientes (3VÍA o 3VÍA-CAPI), anuló el acuerdo de la Junta electoral de Navalcarnero, publicado en el “Boletín Oficial de la Comunidad de Madrid”, núm. 99, de 28 de abril de 2015, en la parte que proclamó la candidatura presentada para el municipio de Móstoles de Ciudadanos-Partido de la Ciudadanía.</w:t>
      </w:r>
    </w:p>
    <w:p w:rsidR="00B85568" w:rsidRDefault="00B85568" w:rsidP="00B85568">
      <w:pPr>
        <w:pStyle w:val="TextoNormal"/>
      </w:pPr>
    </w:p>
    <w:p w:rsidR="00B85568" w:rsidRDefault="00B85568" w:rsidP="00B85568">
      <w:pPr>
        <w:pStyle w:val="TextoNormal"/>
      </w:pPr>
      <w:r>
        <w:t>En el recurso de amparo se aduce, en síntesis, que la Sentencia impugnada ha vulnerado el derecho de participación en los asuntos públicos (art. 23.1 CE). Alegan los recurrentes que la candidatura inicialmente presentada fue fruto de un acuerdo entre dos fuerzas políticas por el que se decidió no solo qué candidatos se presentaban, sino también en el orden en el que lo hacían. Sostiene esta parte procesal que al romperse ese acuerdo y renunciar algunos de esos candidatos a presentarse en la candidatura presentada por Ciudadanos-Partido de la Ciudadanía, y que optaron por presentarse en la candidatura presentada por Tercera Vía, hubo que recomponer esta candidatura. Según se afirma en la demanda de amparo, en este caso la alteración de la candidatura se justifica en el pluralismo político (art. 1.1 CE), pues de otro modo, la opción política que se separó y que concurre a las elecciones con su propia candidatura, condicionaría la lista de la formación política que abandonó, que son los ahora recurrentes. Tal forma de proceder la consideran lesiva del derecho que garantiza el art. 23.1 CE.</w:t>
      </w:r>
    </w:p>
    <w:p w:rsidR="00B85568" w:rsidRDefault="00B85568" w:rsidP="00B85568">
      <w:pPr>
        <w:pStyle w:val="TextoNormal"/>
      </w:pPr>
    </w:p>
    <w:p w:rsidR="00B85568" w:rsidRDefault="00B85568" w:rsidP="00B85568">
      <w:pPr>
        <w:pStyle w:val="TextoNormal"/>
      </w:pPr>
      <w:r w:rsidRPr="00B85568">
        <w:rPr>
          <w:rStyle w:val="NumeroAFNegritaCaracter"/>
        </w:rPr>
        <w:t>2</w:t>
      </w:r>
      <w:r>
        <w:t>. Mediante providencia de 5 de mayo de 2015, la Sala Primera acordó no admitir a trámite la demanda, con arreglo a lo previsto en el art. 50.1 a) de la Ley Orgánica del Tribunal Constitucional (LOTC), dada la manifiesta inexistencia de violación de un derecho fundamental tutelable en amparo.</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escrito de 6 de mayo de 2015, el Ministerio Fiscal presentó recurso de súplica frente a la citada providencia de inadmisión.</w:t>
      </w:r>
    </w:p>
    <w:p w:rsidR="00B85568" w:rsidRDefault="00B85568" w:rsidP="00B85568">
      <w:pPr>
        <w:pStyle w:val="TextoNormal"/>
      </w:pPr>
    </w:p>
    <w:p w:rsidR="00B85568" w:rsidRDefault="00B85568" w:rsidP="00B85568">
      <w:pPr>
        <w:pStyle w:val="TextoNormal"/>
      </w:pPr>
      <w:r>
        <w:t>Tras recordar la doctrina constitucional general sobre el art. 23.2 CE, y admitir que la propia parte recurrente en amparo ha reconocido en su demanda que alteraron el orden de los candidatos en la lista presentada, destaca el Ministerio Fiscal que haya sido el órgano judicial el que apreciara una circunstancia que reputó invalidante —alteración de las listas no justificadas por la paridad—, que no había sido específicamente alegada y que no había resultado relevante para la propia Junta electoral de zona, hasta el punto de que dio por buena la nueva lista con la consiguiente proclamación de la candidatura el 28 de abril de 2015.</w:t>
      </w:r>
    </w:p>
    <w:p w:rsidR="00B85568" w:rsidRDefault="00B85568" w:rsidP="00B85568">
      <w:pPr>
        <w:pStyle w:val="TextoNormal"/>
      </w:pPr>
    </w:p>
    <w:p w:rsidR="00B85568" w:rsidRDefault="00B85568" w:rsidP="00B85568">
      <w:pPr>
        <w:pStyle w:val="TextoNormal"/>
      </w:pPr>
      <w:r>
        <w:t>Considera el Ministerio Fiscal que en este caso se ha producido una modificación incorrecta de la lista; no obstante pone también de manifiesto que no se ha dado lugar a la posible subsanación de las alteraciones producidas. De todo ello parece deducir que la decisión judicial no guarda adecuada proporción. Cita en su apoyo la STC 96/2007, que a su juicio, sería aplicable al presente supuesto. Por ello el Ministerio Fiscal reprocha al órgano judicial, no tanto la constatación de las irregularidades en la configuración de la lista —que se plasmaron en numerosas alteraciones en el orden de los candidatos—, sino que no se otorgara un nuevo plazo de subsanación.</w:t>
      </w:r>
    </w:p>
    <w:p w:rsidR="00B85568" w:rsidRDefault="00B85568" w:rsidP="00B85568">
      <w:pPr>
        <w:pStyle w:val="TextoNormal"/>
      </w:pPr>
    </w:p>
    <w:p w:rsidR="00B85568" w:rsidRDefault="00B85568" w:rsidP="00B85568">
      <w:pPr>
        <w:pStyle w:val="TextoNormal"/>
      </w:pPr>
      <w:r>
        <w:t>Por último, con cita del ATC 17/2010, de 4 de febrero, considera que existió lesión del derecho fundamental de la parte recurrente, solicita la estimación del recurso de súplica, que se deje sin efecto la providencia de inadmisión 5 de mayo de 2015, y que se dicte en su lugar la que se estime pertinente, en orden a la admisión o no del recurso de amparo interpuesto.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diligencia de ordenación de 6 de mayo de 2015, la Sala Primera del Tribunal Constitucional tuvo por recibido el recurso del Ministerio Fiscal y, de conformidad con el art. 50.3 LOTC, acordó dar traslado al recurrente para que alegara hasta la 12 horas del día 7 de mayo de 2015, lo que estimara oportuno. El recurrente, mediante escrito de 7 de mayo de 2015 formuló sus alegaciones adhiriéndose a los argumentos esgrimidos por el Ministerio Fiscal en su recurso de súplica.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Como se ha indicado en los antecedentes, el Ministerio Fiscal ha recurrido en suplica la providencia de la Sala Primera de 5 de mayo de 2015, por la que se acordó no admitir a trámite el presente recurso de amparo, dada la manifiesta inexistencia de violación de un derecho fundamental tutelable en amparo [art. 50.1 a) de la Ley Orgánica del Tribunal Constitucional: LOTC].</w:t>
      </w:r>
    </w:p>
    <w:p w:rsidR="00B85568" w:rsidRDefault="00B85568" w:rsidP="00B85568">
      <w:pPr>
        <w:pStyle w:val="TextoNormal"/>
      </w:pPr>
    </w:p>
    <w:p w:rsidR="00B85568" w:rsidRDefault="00B85568" w:rsidP="00B85568">
      <w:pPr>
        <w:pStyle w:val="TextoNormal"/>
      </w:pPr>
      <w:r>
        <w:t>El Ministerio Fiscal aduce, en primer lugar, que el órgano judicial apreció una circunstancia que reputó invalidante —alteración de las listas no justificadas por la paridad—, que no había sido específicamente alegada y que no había resultado relevante para la propia Junta electoral de zona. Esta afirmación no puede compartirse. En las actuaciones obrantes se puede constatar que el órgano judicial, al realizar las afirmaciones que ahora el Ministerio Fiscal combate, no hizo otra cosa que dar respuesta a las pretensiones planteadas por quien actuó como recurrente en el proceso electoral —Confederación nacional de agrupaciones políticas independientes— que en su impugnación de la proclamación de la candidatura recurrente en amparo, puso de manifiesto las irregularidades en las que incurría. En definitiva, el órgano judicial tenía la obligación de dar respuesta tales pretensiones en su deber de dictar una resolución congruente.</w:t>
      </w:r>
    </w:p>
    <w:p w:rsidR="00B85568" w:rsidRDefault="00B85568" w:rsidP="00B85568">
      <w:pPr>
        <w:pStyle w:val="TextoNormal"/>
      </w:pPr>
    </w:p>
    <w:p w:rsidR="00B85568" w:rsidRDefault="00B85568" w:rsidP="00B85568">
      <w:pPr>
        <w:pStyle w:val="TextoNormal"/>
      </w:pPr>
      <w:r w:rsidRPr="00B85568">
        <w:rPr>
          <w:rStyle w:val="NumeroAFNegritaCaracter"/>
        </w:rPr>
        <w:t>2</w:t>
      </w:r>
      <w:r>
        <w:t>. También sostiene el Ministerio Fiscal que, al no haber dado trámite de subsanación a la formación política recurrente, no se ha respetado el derecho fundamental que consagra el art. 23.2 CE. Esta queja tampoco puede prosperar. El problema que se plantea en este caso no es, como sostiene el Fiscal, que no se otorgara a esta formación política trámite de subsanación de los errores en los que había incurrido la candidatura que había presentado. Este trámite se le otorgó y en cumplimiento del mismo, esta formación política alteró el orden de candidatos por entender que, al haberse roto el acuerdo que llevó a las formaciones políticas que inicialmente iban a concurrir en la misma candidatura, podía recomponer de nuevo la lista. Es esta actuación la que los recurrentes consideran legitimada en el principio de pluralismo político (art.1.1 CE) y amparada por el derecho fundamental que consagra el art. 23 CE y la que el órgano judicial, por el contrario, consideró contraria al art. 48.1 de la Ley Orgánica del régimen electoral general (LOREG) y determinó la anulación de la proclamación de la candidatura.</w:t>
      </w:r>
    </w:p>
    <w:p w:rsidR="00B85568" w:rsidRDefault="00B85568" w:rsidP="00B85568">
      <w:pPr>
        <w:pStyle w:val="TextoNormal"/>
      </w:pPr>
    </w:p>
    <w:p w:rsidR="00B85568" w:rsidRDefault="00B85568" w:rsidP="00B85568">
      <w:pPr>
        <w:pStyle w:val="TextoNormal"/>
      </w:pPr>
      <w:r>
        <w:t>La Sentencia recurrida en amparo apreció que la formación política recurrente no había subsanado debidamente los defectos en los que incurría la candidatura presentada, al utilizar este trámite para modificarla. Según se sostiene en esta resolución judicial, las modificaciones introducidas excedieron de la función que es propia del trámite de subsanación, pues no se limitaron a sustituir a los candidatos que habían renunciado, ni a cumplir las exigencias que se derivan de la paridad, respetando, en lo que fuera posible, el orden inicial de la candidatura, sino que se llevó a cabo una alteración del orden de los candidatos que no resultaba necesaria para corregir los defectos en los que la referida candidatura incurría. Por ello, el Juzgado de lo Contencioso-Administrativo estimó que la lista resultante como consecuencia de la subsanación era contraria a lo establecido en el art. 48 LOREG y anuló la candidatura por este motivo.</w:t>
      </w:r>
    </w:p>
    <w:p w:rsidR="00B85568" w:rsidRDefault="00B85568" w:rsidP="00B85568">
      <w:pPr>
        <w:pStyle w:val="TextoNormal"/>
      </w:pPr>
    </w:p>
    <w:p w:rsidR="00B85568" w:rsidRDefault="00B85568" w:rsidP="00B85568">
      <w:pPr>
        <w:pStyle w:val="TextoNormal"/>
      </w:pPr>
      <w:r>
        <w:t>Frente a tales argumentos la demanda de amparo se limita a sostener que “el proceder de esta parte al alterar el orden de las listas estaba condicionado por las renuncias y por el significado político de las mismas”, pues, según se alega, la candidatura inicialmente presentada era fruto de la negociación de dos fuerzas políticas que pretendían concurrir conjuntamente a las elecciones. Entienden los recurrentes que como esta expectativa se frustró finalmente al haber decidido la otra formación política concurrir a las elecciones por separado, es perfectamente legítimo que hayan podido recomponer la candidatura, invocando, como se ha indicado, el principio de pluralismo político (art. 1.1 CE) y el derecho fundamental a participar en los asuntos públicos (art. 23 CE).</w:t>
      </w:r>
    </w:p>
    <w:p w:rsidR="00B85568" w:rsidRDefault="00B85568" w:rsidP="00B85568">
      <w:pPr>
        <w:pStyle w:val="TextoNormal"/>
      </w:pPr>
    </w:p>
    <w:p w:rsidR="00B85568" w:rsidRDefault="00B85568" w:rsidP="00B85568">
      <w:pPr>
        <w:pStyle w:val="TextoNormal"/>
      </w:pPr>
      <w:r>
        <w:t>Esta conclusión, sin embargo, como se sostiene en la Sentencia impugnada, no es acorde con lo dispuesto en el art. 48 LOREG, que establece que “[l]as candidaturas no pueden ser objeto de modificación una vez presentadas, salvo en el plazo habilitado para la subsanación de las irregularidades previsto en el artículo anterior y solo por fallecimiento o renuncia del titular o como consecuencia del propio trámite de subsanación”, por lo que las circunstancias que hayan podido determinar la renuncia de los candidatos no constituye una excepción al principio de inmodificabilidad de las candidaturas que consagra este precepto legal. Es más, tales cuestiones son ajenas al proceso electoral, que debe limitarse a verificar que las candidaturas proclamadas respetan las exigencias establecidas en la legislación electoral sin entrar a valorar otro tipo de consideraciones.</w:t>
      </w:r>
    </w:p>
    <w:p w:rsidR="00B85568" w:rsidRDefault="00B85568" w:rsidP="00B85568">
      <w:pPr>
        <w:pStyle w:val="TextoNormal"/>
      </w:pPr>
    </w:p>
    <w:p w:rsidR="00B85568" w:rsidRDefault="00B85568" w:rsidP="00B85568">
      <w:pPr>
        <w:pStyle w:val="TextoNormal"/>
      </w:pPr>
      <w:r>
        <w:t>Debe tenerse en cuenta que de acuerdo con la doctrina de este Tribunal “los derechos de participación reconocidos en el art. 23 CE han de ejercerse en el marco establecido por la LOREG, que los desarrolla y concreta, de modo que los límites establecidos en ella no pueden enervarse ni alterarse por la vía de la interpretación más favorable al derecho fundamental pues, si así fuera, quedaría en manos del intérprete, y no en las del legislador (a quien la Constitución, en sus arts. 53.1, 23.2 y 81.1, atribuye tal potestad) la fijación de los contornos del derecho” (STC 74/1995, de 12 de mayo, fundamento único, en el mismo sentido 146/1999, de 27 de julio, FJ 2; 155/2003 de 17 de julio, FJ 4, y 170/2007, de 18 de julio, FJ 5).</w:t>
      </w:r>
    </w:p>
    <w:p w:rsidR="00B85568" w:rsidRDefault="00B85568" w:rsidP="00B85568">
      <w:pPr>
        <w:pStyle w:val="TextoNormal"/>
      </w:pPr>
    </w:p>
    <w:p w:rsidR="00B85568" w:rsidRDefault="00B85568" w:rsidP="00B85568">
      <w:pPr>
        <w:pStyle w:val="TextoNormal"/>
      </w:pPr>
      <w:r>
        <w:t>Por todo ello, no puede apreciarse que la Sentencia impugnada, al apreciar que la formación política recurrente no se ha limitado a sustituir a los candidatos que habían renunciado o que no cumplían la regla de la paridad, sino que ha aprovechado esta vía para alterar el orden de los candidatos, haya vulnerado los derechos que consagra el art. 23 CE, pues, conforme ha señalado a este Tribunal, “la imposibilidad de alterar el orden de los candidatos una vez presentada la lista ni afecta al contenido esencial de los derechos fundamentales en juego ni resulta inconstitucional por ningún otro motivo”. (STC 74/1995, de 12 de mayo, en el mismo sentido STC 61/1987, de 20 de mayo, FJ 2).</w:t>
      </w:r>
    </w:p>
    <w:p w:rsidR="00B85568" w:rsidRDefault="00B85568" w:rsidP="00B85568">
      <w:pPr>
        <w:pStyle w:val="TextoNormal"/>
      </w:pPr>
    </w:p>
    <w:p w:rsidR="00B85568" w:rsidRDefault="00B85568" w:rsidP="00B85568">
      <w:pPr>
        <w:pStyle w:val="TextoNormal"/>
      </w:pPr>
      <w:r w:rsidRPr="00B85568">
        <w:rPr>
          <w:rStyle w:val="NumeroAFNegritaCaracter"/>
        </w:rPr>
        <w:t>3</w:t>
      </w:r>
      <w:r>
        <w:t>. Debe indicarse, además, que si bien del derecho que garantiza el art. 23.2 CE se deriva el deber de la Administración electoral de otorgar un plazo para que puedan corregirse los errores o irregularidades en las que hayan incurrido las candidaturas que se hayan presentada, una vez otorgado este trámite, la Administración electoral no está obligada a otorgar un nuevo plazo de subsanación con el fin de reparar los posibles errores o irregularidades en los que se haya incurrido al cumplir este trámite, pues el art. 23.2 CE no garantiza un derecho indefinido a la subsanación. Como hemos afirmado, por todas, en la STC 73/1995, de 12 de mayo, FJ 3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Tal naturaleza requiere en todos los partícipes una extremada diligencia, cuya falta determina la imposibilidad de alegar con éxito supuestas vulneraciones de derechos derivados del art. 23 de la Constitución, que no habrían existido de mediar esa activa diligencia” (STC 67/1987, FJ 2).</w:t>
      </w:r>
    </w:p>
    <w:p w:rsidR="00B85568" w:rsidRDefault="00B85568" w:rsidP="00B85568">
      <w:pPr>
        <w:pStyle w:val="TextoNormal"/>
      </w:pPr>
    </w:p>
    <w:p w:rsidR="00B85568" w:rsidRDefault="00B85568" w:rsidP="00B85568">
      <w:pPr>
        <w:pStyle w:val="TextoNormal"/>
      </w:pPr>
      <w:r>
        <w:t>En definitiva, en el presente caso, la no proclamación de la candidatura de la formación política recurrente es solo imputable a su propia falta de diligencia que, en lugar de sustituir a los candidatos que habían renunciado o que no cumplían las exigencias de la paridad y corregir, de este modo, los errores en los que incurría la candidatura presentada, aprovecho este trámite para alterar el orden de los candidatos, vulnerando de este modo el art. 48 LOREG.</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5 de mayo de 2015.</w:t>
      </w:r>
    </w:p>
    <w:p w:rsidR="00B85568" w:rsidRDefault="00B85568" w:rsidP="00B85568">
      <w:pPr>
        <w:pStyle w:val="TextoNormal"/>
      </w:pPr>
    </w:p>
    <w:p w:rsidR="00B85568" w:rsidRDefault="00B85568" w:rsidP="00B85568">
      <w:pPr>
        <w:pStyle w:val="TextoNormal"/>
      </w:pPr>
      <w:r>
        <w:t>Madrid, a siete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1" w:name="AUTO_2015_81"/>
      <w:r>
        <w:t>AUTO 81/2015, de 7 de mayo de 2015</w:t>
      </w:r>
    </w:p>
    <w:bookmarkEnd w:id="231"/>
    <w:p w:rsidR="00B85568" w:rsidRDefault="00B85568" w:rsidP="00B85568">
      <w:pPr>
        <w:pStyle w:val="TtuloResolucin"/>
      </w:pPr>
      <w:r>
        <w:t>Sala Primera</w:t>
      </w:r>
    </w:p>
    <w:p w:rsidR="00B85568" w:rsidRDefault="00B85568" w:rsidP="00B85568">
      <w:pPr>
        <w:pStyle w:val="TextoNormalCentrado"/>
      </w:pPr>
      <w:r>
        <w:t>ECLI:ES:TC:2015:81A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electoral 2517-2015, promovido por Agrupación Electoral Gozón Puede.</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Fiscal ante el Tribunal Constitucional interpone, a través de escrito presentado el 6 de mayo de 2015, recurso de súplica contra la providencia de la Sala Primera de fecha 5 de mayo por la que se inadmite a trámite el recurso de amparo núm. 2517-2015, interpuesto por la agrupación electoral Gozón Puede, por manifiesta inexistencia de violación de un derecho fundamental tutelable en amparo, interesando que se deje sin efecto dicha providencia.</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de los que trae causa el recurso de amparo electoral son, sucintamente expuestos, los que siguen:</w:t>
      </w:r>
    </w:p>
    <w:p w:rsidR="00B85568" w:rsidRDefault="00B85568" w:rsidP="00B85568">
      <w:pPr>
        <w:pStyle w:val="TextoNormal"/>
      </w:pPr>
    </w:p>
    <w:p w:rsidR="00B85568" w:rsidRDefault="00B85568" w:rsidP="00B85568">
      <w:pPr>
        <w:pStyle w:val="TextoNormal"/>
      </w:pPr>
      <w:r>
        <w:t>La agrupación electoral Gozón Puede presentó ante el Ayuntamiento de Gozón por medio de su representante legal en fecha 20 de abril de 2015 un documento con 611 firmas de vecinos con la finalidad de dar cumplimiento a lo dispuesto en el art. 187.3 de la Ley Orgánica del régimen electoral general (LOREG), en cuanto a la presentación de firmas por parte de las agrupaciones electorales que deseen concurrir a los comicios. En el mismo día, el Secretario de la corporación certificó que, a excepción de los casos allí mencionados (39), la mayoría de los firmantes se hallaban inscritos en el censo electoral del municipio. El Secretario indicó que el documento de 38 páginas contenía la expresión de apoyo de los ciudadanos a la Agrupación electoral en los siguientes términos: “De acuerdo con la legislación vigente (art. 187.3 de la Ley Orgánica 5/1985, de 19 de junio, de régimen electoral general), doy mi soporte a la Agrupación de Electores Gozón Puede, para que pueda presentarse en el concejo de Gozón en las elecciones municipales de 24 de mayo de 2015”. Asimismo, hace constar el fedatario local que las 38 hojas del documento contienen 611 firmas de apoyo, con expresión del nombre y apellidos de los electores y su número de DNI, con la mención “No se aporta fotocopia del DNI de los firmantes”.</w:t>
      </w:r>
    </w:p>
    <w:p w:rsidR="00B85568" w:rsidRDefault="00B85568" w:rsidP="00B85568">
      <w:pPr>
        <w:pStyle w:val="TextoNormal"/>
      </w:pPr>
    </w:p>
    <w:p w:rsidR="00B85568" w:rsidRDefault="00B85568" w:rsidP="00B85568">
      <w:pPr>
        <w:pStyle w:val="TextoNormal"/>
      </w:pPr>
      <w:r>
        <w:t>En fecha 22 de abril de 2015, la Junta electoral de zona de Avilés requiere a la agrupación recurrente para que subsane, en el plazo de cuarenta y ocho horas, el defecto consistente en no haberse autenticado las firmas. De acuerdo con la disposición legal aplicable, “las firmas … deberán ser autenticadas notarialmente o por el Secretario de la Corporación Municipal correspondiente”. Se explicita en la comunicación de la Junta electoral de zona que para subsanar el defecto indicado, debe procederse a “autenticar por Notario o por el Secretario del Ayuntamiento las firmas que aparecen en las hojas, cotejándolas con las fotocopias del DNI, que deben aportarse ante el mismo”. Seguidamente se advierte que “en caso de que no se subsanen los defectos indicados no podrá ser proclamada la candidatura presentada por la Agrupación de Electores Gozón Puede”.</w:t>
      </w:r>
    </w:p>
    <w:p w:rsidR="00B85568" w:rsidRDefault="00B85568" w:rsidP="00B85568">
      <w:pPr>
        <w:pStyle w:val="TextoNormal"/>
      </w:pPr>
    </w:p>
    <w:p w:rsidR="00B85568" w:rsidRDefault="00B85568" w:rsidP="00B85568">
      <w:pPr>
        <w:pStyle w:val="TextoNormal"/>
      </w:pPr>
      <w:r>
        <w:t>El 27 de abril de 2015, se presenta otro escrito ante el Ayuntamiento, acompañado de la fotocopia del DNI requerida por la Junta electoral de zona de hasta 73 del total de 611 firmantes. De nuevo, el Secretario del Ayuntamiento emite certificación de este extremo a los efectos oportunos.</w:t>
      </w:r>
    </w:p>
    <w:p w:rsidR="00B85568" w:rsidRDefault="00B85568" w:rsidP="00B85568">
      <w:pPr>
        <w:pStyle w:val="TextoNormal"/>
      </w:pPr>
    </w:p>
    <w:p w:rsidR="00B85568" w:rsidRDefault="00B85568" w:rsidP="00B85568">
      <w:pPr>
        <w:pStyle w:val="TextoNormal"/>
      </w:pPr>
      <w:r>
        <w:t>Según revela el acta de la Junta electoral de zona de 27 de abril de 2015, después de deliberar sobre los asuntos que componen el orden del día se acuerda: “Se deniega la proclamación de la candidatura presentada por la Agrupación de Electores Gozón Puede, por no haberse subsanado el defecto de la falta de autenticación legal de las firmas de los avalistas que se acompañaron con la candidatura. Solamente se han presentado 73 firmas autenticadas en el día de hoy por el Secretario del Ayuntamiento, por lo que las mismas son insuficientes para cumplir el baremo que establece el art. 187.3 LOREG”. A pesar de que no se indica expresamente, según los datos estadísticos Padrón 2014 del Instituto Nacional de Estadística, Gozón tiene una población de 10.675 habitantes por lo que le correspondería la aplicación del apartado c) del baremo mencionado: “c) en los (municipios) comprendidos entre 10.001 y 50.000 habitantes al menos 500 firmas” (paréntesis añadido).</w:t>
      </w:r>
    </w:p>
    <w:p w:rsidR="00B85568" w:rsidRDefault="00B85568" w:rsidP="00B85568">
      <w:pPr>
        <w:pStyle w:val="TextoNormal"/>
      </w:pPr>
    </w:p>
    <w:p w:rsidR="00B85568" w:rsidRDefault="00B85568" w:rsidP="00B85568">
      <w:pPr>
        <w:pStyle w:val="TextoNormal"/>
      </w:pPr>
      <w:r>
        <w:t>En la misma fecha, se presentó ante la citada Junta Electoral un escrito de alegaciones firmado por don José Manuel Montero Prieto, representante legal de la agrupación de electores donde, sin discutirse los hechos, se expresa entre otras cosas que “A ningún partido político se le exige para presentarse a unas elecciones la aportación de firmas de electores. Es por tanto un agravio comparativo, urge suprimir el requisito de recogida y autenticación de firmas para la presentación de las candidaturas por parte de agrupaciones de electores, por innecesario en un sistema democrático”.</w:t>
      </w:r>
    </w:p>
    <w:p w:rsidR="00B85568" w:rsidRDefault="00B85568" w:rsidP="00B85568">
      <w:pPr>
        <w:pStyle w:val="TextoNormal"/>
      </w:pPr>
    </w:p>
    <w:p w:rsidR="00B85568" w:rsidRDefault="00B85568" w:rsidP="00B85568">
      <w:pPr>
        <w:pStyle w:val="TextoNormal"/>
      </w:pPr>
      <w:r>
        <w:t>En fecha 30 de abril de 2015, se interpuso recurso contencioso-electoral contra el citado acuerdo de la Junta electoral de zona, cuyo conocimiento correspondió al Juzgado de lo Contencioso-Administrativo núm. 3 de Oviedo. En fecha 1 de mayo, se dicta la Sentencia 87/2015 que desestima el recurso electoral. La Sentencia examina cada una de las alegaciones presentadas por la recurrente y descarta la aplicación del derecho procedimental del art. 35 f) de la Ley 30/1992 al caso y que sea atendible la pretensión de que las agrupaciones de electores puedan presentar lista de avalista de la candidatura sin el soporte documental necesario para proceder a la autenticación de las firmas. La Sentencia desestima el recurso y confirma pues la no proclamación de candidatura acordada por la Junta electoral de zona de Avilés.</w:t>
      </w:r>
    </w:p>
    <w:p w:rsidR="00B85568" w:rsidRDefault="00B85568" w:rsidP="00B85568">
      <w:pPr>
        <w:pStyle w:val="TextoNormal"/>
      </w:pPr>
    </w:p>
    <w:p w:rsidR="00B85568" w:rsidRDefault="00B85568" w:rsidP="00B85568">
      <w:pPr>
        <w:pStyle w:val="TextoNormal"/>
      </w:pPr>
      <w:r>
        <w:t>Con fecha 2 de mayo de 2015 se presenta recurso de amparo electoral ante este Tribunal, que, después de su examen, fue inadmitido a trámite mediante providencia de la Sala Primera de 5 de mayo de 2015, “dada la manifiesta inexistencia de violación de un derecho fundamental tutelable en amparo”.</w:t>
      </w:r>
    </w:p>
    <w:p w:rsidR="00B85568" w:rsidRDefault="00B85568" w:rsidP="00B85568">
      <w:pPr>
        <w:pStyle w:val="TextoNormal"/>
      </w:pPr>
    </w:p>
    <w:p w:rsidR="00B85568" w:rsidRDefault="00B85568" w:rsidP="00B85568">
      <w:pPr>
        <w:pStyle w:val="TextoNormal"/>
      </w:pPr>
      <w:r w:rsidRPr="00B85568">
        <w:rPr>
          <w:rStyle w:val="NumeroAFNegritaCaracter"/>
        </w:rPr>
        <w:t>3</w:t>
      </w:r>
      <w:r>
        <w:t>. El Fiscal interesa por escrito de interposición de recurso de súplica de fecha 6 de mayo de 2015 que se deje sin efecto la providencia de inadmisión de 5 de mayo de 2015 y que se repongan las actuaciones al momento anterior a dictarse dicha providencia.</w:t>
      </w:r>
    </w:p>
    <w:p w:rsidR="00B85568" w:rsidRDefault="00B85568" w:rsidP="00B85568">
      <w:pPr>
        <w:pStyle w:val="TextoNormal"/>
      </w:pPr>
    </w:p>
    <w:p w:rsidR="00B85568" w:rsidRDefault="00B85568" w:rsidP="00B85568">
      <w:pPr>
        <w:pStyle w:val="TextoNormal"/>
      </w:pPr>
      <w:r>
        <w:t>Señala en su escrito que ni de la ley, ni de la jurisprudencia constitucional (se cita la STC 81/1987, de 25 de mayo) se deriva la exigencia de una “forma concreta de autenticación que pudiera resultar esencial para la corrección del proceso electoral”. Se añade a ello que la ley tampoco exige que las firmas de los avalistas se aporten debidamente autenticadas.</w:t>
      </w:r>
    </w:p>
    <w:p w:rsidR="00B85568" w:rsidRDefault="00B85568" w:rsidP="00B85568">
      <w:pPr>
        <w:pStyle w:val="TextoNormal"/>
      </w:pPr>
    </w:p>
    <w:p w:rsidR="00B85568" w:rsidRDefault="00B85568" w:rsidP="00B85568">
      <w:pPr>
        <w:pStyle w:val="TextoNormal"/>
      </w:pPr>
      <w:r>
        <w:t xml:space="preserve">Para fundamentar el razonamiento se refiere a la instrucción de la Junta electoral central 7-2011, de 15 de septiembre, relativa al procedimiento de acreditación de firmas de apoyo de candidaturas al Congreso de los Diputados, al Senado y al Parlamento Europeo, en la que no se exige aportar copia del DNI de los firmantes de los avales, sino que acuerda la remisión de éstos a la oficina del censo electoral para que realice el trámite de autenticación. De acuerdo con la misma —y, pese a reconocer que la Ley Orgánica del régimen electoral general no se refiere respecto a estos procesos electorales a la necesidad de autentificar las firmas en su art. 169.3, como sí lo dispone, en cambio, para la presentación de candidaturas en las elecciones municipales </w:t>
      </w:r>
      <w:r w:rsidRPr="00B85568">
        <w:rPr>
          <w:i/>
        </w:rPr>
        <w:t>ex</w:t>
      </w:r>
      <w:r>
        <w:t xml:space="preserve"> art. 187.3—, concluye que si la Junta no exige a las agrupaciones electorales que deseen participar en los referidos procesos electorales copia del DNI, no resulta razonable que se exija para las elecciones municipales. Por otra parte, se añade, la propia Administración electoral dispone de un órgano que permite contrastar las firmas de los avalistas, como es la oficina del censo electoral.</w:t>
      </w:r>
    </w:p>
    <w:p w:rsidR="00B85568" w:rsidRDefault="00B85568" w:rsidP="00B85568">
      <w:pPr>
        <w:pStyle w:val="TextoNormal"/>
      </w:pPr>
    </w:p>
    <w:p w:rsidR="00B85568" w:rsidRDefault="00B85568" w:rsidP="00B85568">
      <w:pPr>
        <w:pStyle w:val="TextoNormal"/>
      </w:pPr>
      <w:r>
        <w:t>Tampoco el Real Decreto 605/1999, de 16 de abril, de regulación complementaria de los procesos electorales, ni la Orden 529/2014, de 28 de marzo del Ministerio del Interior prevén dicha exigencia. En la misma dirección indicaría, en su opinión, la STC 87/1999, de 25 de mayo, por alusión al principio antiformalista.</w:t>
      </w:r>
    </w:p>
    <w:p w:rsidR="00B85568" w:rsidRDefault="00B85568" w:rsidP="00B85568">
      <w:pPr>
        <w:pStyle w:val="TextoNormal"/>
      </w:pPr>
    </w:p>
    <w:p w:rsidR="00B85568" w:rsidRDefault="00B85568" w:rsidP="00B85568">
      <w:pPr>
        <w:pStyle w:val="TextoNormal"/>
      </w:pPr>
      <w:r>
        <w:t>Se entiende que la Administración electoral dispone de los elementos necesarios para la autenticación de las firmas, dada la colaboración que debe existir entre las distintas Administraciones y, por ello, puede cotejar las firmas a través de un organismo público como la oficina del censo electoral, siendo factible su remisión a esta por parte del Secretario Municipal [se cita, al respecto, el art. 35 f) de la Ley 30/1992, de 25 de noviembre].</w:t>
      </w:r>
    </w:p>
    <w:p w:rsidR="00B85568" w:rsidRDefault="00B85568" w:rsidP="00B85568">
      <w:pPr>
        <w:pStyle w:val="TextoNormal"/>
      </w:pPr>
    </w:p>
    <w:p w:rsidR="00B85568" w:rsidRDefault="00B85568" w:rsidP="00B85568">
      <w:pPr>
        <w:pStyle w:val="TextoNormal"/>
      </w:pPr>
      <w:r>
        <w:t>En definitiva, se entiende que la interpretación de la legalidad aplicable en este caso fue rigorista y, por tanto, contraria al principio de interpretación más favorable del derecho fundamental de participación política del art. 23.2 CE.</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6 de mayo de 2015, la Sección Primera acuerda unir a las actuaciones el escrito presentado por el Ministerio Fiscal y, a tenor de lo establecido en el art. 93.2 de la Ley Orgánica del Tribunal Constitucional, conceder plazo hasta las 12:00 del día 7 de mayo a fin de que las partes aleguen lo que estimen pertinente.</w:t>
      </w:r>
    </w:p>
    <w:p w:rsidR="00B85568" w:rsidRDefault="00B85568" w:rsidP="00B85568">
      <w:pPr>
        <w:pStyle w:val="TextoNormal"/>
      </w:pPr>
    </w:p>
    <w:p w:rsidR="00B85568" w:rsidRDefault="00B85568" w:rsidP="00B85568">
      <w:pPr>
        <w:pStyle w:val="TextoNormal"/>
      </w:pPr>
      <w:r w:rsidRPr="00B85568">
        <w:rPr>
          <w:rStyle w:val="NumeroAFNegritaCaracter"/>
        </w:rPr>
        <w:t>5</w:t>
      </w:r>
      <w:r>
        <w:t>. Por escrito de fecha 7 de mayo de 2015 la Agrupación Electoral Gozón Puede manifiesta su conformidad absoluta con el recurso de súplica interpuesto, entendiéndose con ello su adhesión al mismo.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Fiscal ante el Tribunal Constitucional interpone recurso de súplica contra la providencia de 5 de mayo por la que se inadmite a trámite el recurso de amparo 2517-2015, interpuesto por la agrupación electoral Gozón Puede, por manifiesta inexistencia de violación de un derecho fundamental tutelable en amparo, interesando que se deje sin efecto dicha resolución al considerar que la interpretación de la legalidad aplicada por el Juzgado de lo Contencioso-Administrativo núm. 3 de Oviedo fue rigorista y, por ello, contraria al derecho fundamental de participación política del art. 23.2 CE.</w:t>
      </w:r>
    </w:p>
    <w:p w:rsidR="00B85568" w:rsidRDefault="00B85568" w:rsidP="00B85568">
      <w:pPr>
        <w:pStyle w:val="TextoNormal"/>
      </w:pPr>
    </w:p>
    <w:p w:rsidR="00B85568" w:rsidRDefault="00B85568" w:rsidP="00B85568">
      <w:pPr>
        <w:pStyle w:val="TextoNormal"/>
      </w:pPr>
      <w:r w:rsidRPr="00B85568">
        <w:rPr>
          <w:rStyle w:val="NumeroAFNegritaCaracter"/>
        </w:rPr>
        <w:t>2</w:t>
      </w:r>
      <w:r>
        <w:t>. Se señala en su escrito, de forma sintética que: a) la normativa de desarrollo de la previsión del art. 169.3 de la Ley Orgánica del régimen electoral general  (instrucción de la Junta electoral central 7/2011 de 15 de septiembre), determina que no será preciso la aportación de fotocopia del DNI (apartado quinto punto 3 de la instrucción relativo al procedimiento de recogida de firmas). De ello se inferiría que no resulta razonable exigir la aportación de la fotocopia del documento tampoco en el caso de las elecciones locales. b) que la autenticación de firmas no debe necesariamente aportarse con la presentación de la candidatura y que puede hacerla el Secretario de la corporación mediante el acceso a datos obrantes en registros públicos.</w:t>
      </w:r>
    </w:p>
    <w:p w:rsidR="00B85568" w:rsidRDefault="00B85568" w:rsidP="00B85568">
      <w:pPr>
        <w:pStyle w:val="TextoNormal"/>
      </w:pPr>
    </w:p>
    <w:p w:rsidR="00B85568" w:rsidRDefault="00B85568" w:rsidP="00B85568">
      <w:pPr>
        <w:pStyle w:val="TextoNormal"/>
      </w:pPr>
      <w:r>
        <w:t>Por su parte, la Agrupación electoral Gozón Puede sostiene que el hecho que la Ley no recoja expresamente la forma de autenticar las firmas de los avalistas de las agrupaciones electorales implica que la Junta electoral no puede exigir la aportación de fotocopia del DNI sin incurrir en una absoluta y grave arbitrariedad.</w:t>
      </w:r>
    </w:p>
    <w:p w:rsidR="00B85568" w:rsidRDefault="00B85568" w:rsidP="00B85568">
      <w:pPr>
        <w:pStyle w:val="TextoNormal"/>
      </w:pPr>
    </w:p>
    <w:p w:rsidR="00B85568" w:rsidRDefault="00B85568" w:rsidP="00B85568">
      <w:pPr>
        <w:pStyle w:val="TextoNormal"/>
      </w:pPr>
      <w:r w:rsidRPr="00B85568">
        <w:rPr>
          <w:rStyle w:val="NumeroAFNegritaCaracter"/>
        </w:rPr>
        <w:t>3</w:t>
      </w:r>
      <w:r>
        <w:t>. El Fiscal argumenta, en primer término, que el art. 169.3 de la Ley Orgánica del régimen electoral general (LOREG) no requiere la autenticación de las firmas. Sin embargo, teniendo razón en dicha apreciación, debe ponerse de manifiesto, frente a las consecuencias que pretende deducir de la misma, que la LOREG regula en apartados distintos las elecciones a diputados y senadores (título II. Disposiciones especiales para las elecciones de Diputados y Senadores; arts. 154 a 175) y las elecciones municipales (título III. Disposiciones especiales para las elecciones municipales; arts. 176 a 200), exigiendo en relación con estas últimas la autenticación de firmas para la presentación de candidaturas por agrupaciones electorales (art. 187.3). De modo que el legislador ha querido distinguir entre unos y otros procesos electorales en lo que respecta al requisito de autentificación de firmas que ahora nos ocupa, sin que sean indistintamente intercambiales las previsiones legales de unos procesos electorales a otros.</w:t>
      </w:r>
    </w:p>
    <w:p w:rsidR="00B85568" w:rsidRDefault="00B85568" w:rsidP="00B85568">
      <w:pPr>
        <w:pStyle w:val="TextoNormal"/>
      </w:pPr>
    </w:p>
    <w:p w:rsidR="00B85568" w:rsidRDefault="00B85568" w:rsidP="00B85568">
      <w:pPr>
        <w:pStyle w:val="TextoNormal"/>
      </w:pPr>
      <w:r>
        <w:t>Así pues, los arts. 169.3 y 187.3 LOREG regulan de forma diferente el requisito de las firmas de aval para unas elecciones y otras. Distinción que ha establecido el legislador de acuerdo con la amplia libertad de configuración normativa que le confiere el art. 23 CE y que obedece, como habrá ocasión de poner de relieve más adelante, a la distinta entidad y característica de unos y otros procesos electorales.</w:t>
      </w:r>
    </w:p>
    <w:p w:rsidR="00B85568" w:rsidRDefault="00B85568" w:rsidP="00B85568">
      <w:pPr>
        <w:pStyle w:val="TextoNormal"/>
      </w:pPr>
    </w:p>
    <w:p w:rsidR="00B85568" w:rsidRDefault="00B85568" w:rsidP="00B85568">
      <w:pPr>
        <w:pStyle w:val="TextoNormal"/>
      </w:pPr>
      <w:r>
        <w:t>En modo alguno resulta ocioso recordar al respecto que el derecho de acceso a los cargos públicos es un derecho de configuración legal y que es el legislador orgánico el que configura el ejercicio del derecho fundamental de acceder en condiciones de igualdad a los cargos públicos con los requisitos que señalen las leyes. La Ley Orgánica del régimen electoral general es, por tanto, la norma que articula, en palabras de su preámbulo, “el procedimiento de emanación de la voluntad mayoritaria del pueblo en las diversas instancias representativas en que se articula el Estado Español”, de modo que “[e]l contenido concreto de este derecho fundamental dependerá, por tanto, de la normativa que lo regule, y por ello los cambios que se produzcan en esta regulación pueden incidir en el contenido de este derecho o en las condiciones de su ejercicio” (STC 124/2011, de 14 de julio, FJ 3).</w:t>
      </w:r>
    </w:p>
    <w:p w:rsidR="00B85568" w:rsidRDefault="00B85568" w:rsidP="00B85568">
      <w:pPr>
        <w:pStyle w:val="TextoNormal"/>
      </w:pPr>
    </w:p>
    <w:p w:rsidR="00B85568" w:rsidRDefault="00B85568" w:rsidP="00B85568">
      <w:pPr>
        <w:pStyle w:val="TextoNormal"/>
      </w:pPr>
      <w:r w:rsidRPr="00B85568">
        <w:rPr>
          <w:rStyle w:val="NumeroAFNegritaCaracter"/>
        </w:rPr>
        <w:t>4</w:t>
      </w:r>
      <w:r>
        <w:t xml:space="preserve">. Asimismo debe subrayarse, frente a lo que sostiene el Ministerio Fiscal, que no resulta aplicable al caso el Real Decreto 605/1999, de 16 de abril, de regulación complementaria de los procesos electorales, puesto que su objeto es completamente distinto a la cuestión ahora debatida, limitándose a introducir modificaciones en aspectos puntuales del proceso electoral referidos a la infraestructura material que la votación requiere, al régimen de dietas y gratificaciones de los miembros de las juntas electorales provinciales y de zona y del personal a su servicio, a la solicitud de voto por correo del personal embarcado y a la jornada electoral, entre otros. E igual acontece, </w:t>
      </w:r>
      <w:r w:rsidRPr="00B85568">
        <w:rPr>
          <w:i/>
        </w:rPr>
        <w:t>ratione materiae</w:t>
      </w:r>
      <w:r>
        <w:t>, con la Orden INT/529/2014, que tiene por objeto la modificación de los modelos de papeletas, sobres, actas y demás impresos a utilizar en el desarrollo de un proceso electoral. Así pues, del silencio del Decreto y de la Orden Ministerial no puede inferirse que la autenticación de las firmas de quienes avalan la candidatura de una agrupación en las elecciones locales resulte innecesaria.</w:t>
      </w:r>
    </w:p>
    <w:p w:rsidR="00B85568" w:rsidRDefault="00B85568" w:rsidP="00B85568">
      <w:pPr>
        <w:pStyle w:val="TextoNormal"/>
      </w:pPr>
    </w:p>
    <w:p w:rsidR="00B85568" w:rsidRDefault="00B85568" w:rsidP="00B85568">
      <w:pPr>
        <w:pStyle w:val="TextoNormal"/>
      </w:pPr>
      <w:r>
        <w:t>Es cierto, en cambio, que en desarrollo del art. 169.3 LOREG, la Junta Electoral Central ha dictado la Instrucción 7/2011, de 15 de septiembre. Pero esta Instrucción tiene por objeto el procedimiento de acreditación de firmas de apoyo de candidatos a las elecciones al Congreso de los Diputados, al Senado y al Parlamento Europeo, por lo que, con base en la misma argumentación antes expuesta, ha de concluirse que no es aplicable a las presentes elecciones locales, cuya sustantividad procedimental ampara la Ley.</w:t>
      </w:r>
    </w:p>
    <w:p w:rsidR="00B85568" w:rsidRDefault="00B85568" w:rsidP="00B85568">
      <w:pPr>
        <w:pStyle w:val="TextoNormal"/>
      </w:pPr>
    </w:p>
    <w:p w:rsidR="00B85568" w:rsidRDefault="00B85568" w:rsidP="00B85568">
      <w:pPr>
        <w:pStyle w:val="TextoNormal"/>
      </w:pPr>
      <w:r>
        <w:t>Sin embargo, y por estar referidos al proceso electoral ahora concernido, no resulta en modo alguno ocioso traer a colación el acuerdo de la Junta Electoral Central, de 11 de febrero de 2015 (expediente núm. 281-1981), sobre consultas en relación con la recogida y presentación de firmas de avales para las agrupaciones de electores en relación con la presentación de candidatura en las elecciones locales y la interpretación del art. 187.3 LOREG, así como el acuerdo de 14 de abril de 2011 (expediente núm. 282-1974), sobre consulta sobre el procedimiento de constitución de agrupaciones de electores. En ambos casos, la Junta Electoral Central considera necesaria la aportación de las fotocopias de los DNI para que el Secretario de la corporación municipal pueda proceder al cotejo de las firmas de los ciudadanos que avalan la agrupación electoral.</w:t>
      </w:r>
    </w:p>
    <w:p w:rsidR="00B85568" w:rsidRDefault="00B85568" w:rsidP="00B85568">
      <w:pPr>
        <w:pStyle w:val="TextoNormal"/>
      </w:pPr>
    </w:p>
    <w:p w:rsidR="00B85568" w:rsidRDefault="00B85568" w:rsidP="00B85568">
      <w:pPr>
        <w:pStyle w:val="TextoNormal"/>
      </w:pPr>
      <w:r>
        <w:t>La diferencia entre unos y otros procesos electorales por lo que se refiere a la autentificación de firmas de avalistas de candidaturas electorales obedece, sin duda, al muy distinto número de circunscripciones en unas y otras elecciones. En efecto, el número reducido de circunscripciones en las elecciones a las Cortes Generales y al Parlamento Europeo, frente al bastante más numeroso de circunscripciones en las elecciones municipales, justifica que pueda exigirse en aquéllas y no en éstas el mecanismo de auxilio de la Oficina del Censo Electoral, puesto que el número de firmas a comprobar es considerablemente bastante más manejable en las elecciones a las Cortes Generales y al Parlamento Europeo.</w:t>
      </w:r>
    </w:p>
    <w:p w:rsidR="00B85568" w:rsidRDefault="00B85568" w:rsidP="00B85568">
      <w:pPr>
        <w:pStyle w:val="TextoNormal"/>
      </w:pPr>
    </w:p>
    <w:p w:rsidR="00B85568" w:rsidRDefault="00B85568" w:rsidP="00B85568">
      <w:pPr>
        <w:pStyle w:val="TextoNormal"/>
      </w:pPr>
      <w:r w:rsidRPr="00B85568">
        <w:rPr>
          <w:rStyle w:val="NumeroAFNegritaCaracter"/>
        </w:rPr>
        <w:t>5</w:t>
      </w:r>
      <w:r>
        <w:t>. Llegados a este extremo, nuestro examen debe circunscribirse exclusivamente a ponderar si los criterios legales y su interpretación administrativa y jurisdiccional han de reputarse en este caso como desproporcionados o rigoristas, lesivos en definitiva del derecho de sufragio pasivo (art. 23.2 CE). Y ha de descartarse tal conclusión, pues, aunque no es necesariamente la única posible, no puede estimarse vulneradora del citado derecho fundamental la interpretación sostenida por la Administración electoral y ratificada por el órgano judicial de requerir en las elecciones locales, a la vista de la dicción del art. 187.3 LOREG, la aportación de copia del DNI de los avalistas de las candidaturas presentadas por las agrupaciones locales, al objeto de que por el Secretario de la Corporación municipal se pueda proceder en este caso a cotejar su autenticidad (STC 87/1999, de 25 de mayo, FJ 5), en evitación de eventuales fraudes que se podrán irrogar al proceso electoral.</w:t>
      </w:r>
    </w:p>
    <w:p w:rsidR="00B85568" w:rsidRDefault="00B85568" w:rsidP="00B85568">
      <w:pPr>
        <w:pStyle w:val="TextoNormal"/>
      </w:pPr>
    </w:p>
    <w:p w:rsidR="00B85568" w:rsidRDefault="00B85568" w:rsidP="00B85568">
      <w:pPr>
        <w:pStyle w:val="TextoNormal"/>
      </w:pPr>
      <w:r>
        <w:t>En otras palabras, no puede considerase rigorista ni desproporcionado exigir que para que las agrupaciones electorales puedan presentar candidaturas en las elecciones municipales acompañen, además del número de firmas de los inscritos en el censo electoral que exige el art. 187.3 LOREG, fotocopia de los DNI de los firmantes. Ciertamente, esta exigencia no la establece expresamente el referido precepto legal, pero en el mismo sí se establece que estas firmas deben ser autentificadas notarialmente o por el Secretario de la Corporación municipal correspondiente. A efectos de cumplir este deber, requerir a las candidaturas que presente copia de dicho documento no puede considerarse ni rigorista ni desproporcionada, pues a través de la misma lo que se pretende es comprobar que la firma presentada corresponde a quien dice ser el firmante, que es lo que exige el requisito de autenticación establecido por el art. 187.3 LOREG. Se trata, además, de un requisito que cualquier ciudadano interesado en avalar una candidatura electoral puede cumplir fácilmente y la presentación del mismo agiliza en gran medida el proceso de autentificación de firmas en el marco de un proceso electoral caracterizado, como hemos declarado con reiteración, por las notas de perentoriedad y celeridad, así como por el debido deber de diligencia de los actores electorales.</w:t>
      </w:r>
    </w:p>
    <w:p w:rsidR="00B85568" w:rsidRDefault="00B85568" w:rsidP="00B85568">
      <w:pPr>
        <w:pStyle w:val="TextoNormal"/>
      </w:pPr>
    </w:p>
    <w:p w:rsidR="00B85568" w:rsidRDefault="00B85568" w:rsidP="00B85568">
      <w:pPr>
        <w:pStyle w:val="TextoNormal"/>
      </w:pPr>
      <w:r>
        <w:t>Y, por último, para alcanzar la finalidad perseguida con la referida exigencia deviene insuficiente, como se razona en la Sentencia recaída en el proceso contencioso-electoral frente a la pretensión de la agrupación actora, la remisión al padrón municipal, pues, además de otras consideraciones en las que no es preciso ahora detenerse, no siempre el padrón cuenta con fotocopia del DNI o con la firma auténtica del ciudadano instando la inscripción, ya que la constancia del documento no es obligatorio en todos los casos o puede tratarse de inscripciones padronales de oficio.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5 de mayo de 2015.</w:t>
      </w:r>
    </w:p>
    <w:p w:rsidR="00B85568" w:rsidRDefault="00B85568" w:rsidP="00B85568">
      <w:pPr>
        <w:pStyle w:val="TextoNormal"/>
      </w:pPr>
    </w:p>
    <w:p w:rsidR="00B85568" w:rsidRDefault="00B85568" w:rsidP="00B85568">
      <w:pPr>
        <w:pStyle w:val="TextoNormal"/>
      </w:pPr>
      <w:r>
        <w:t>Madrid, a siete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2" w:name="AUTO_2015_82"/>
      <w:r>
        <w:t>AUTO 82/2015, de 11 de mayo de 2015</w:t>
      </w:r>
    </w:p>
    <w:bookmarkEnd w:id="232"/>
    <w:p w:rsidR="00B85568" w:rsidRDefault="00B85568" w:rsidP="00B85568">
      <w:pPr>
        <w:pStyle w:val="TtuloResolucin"/>
      </w:pPr>
      <w:r>
        <w:t>Sección Segunda</w:t>
      </w:r>
    </w:p>
    <w:p w:rsidR="00B85568" w:rsidRDefault="00B85568" w:rsidP="00B85568">
      <w:pPr>
        <w:pStyle w:val="TextoNormalCentrado"/>
      </w:pPr>
      <w:r>
        <w:t>ECLI:ES:TC:2015:82A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SntesisDescriptiva"/>
      </w:pPr>
      <w:r>
        <w:t>Se declara incompetente para enjuiciar la impugnación de la resolución de la Comisión Central de Asistencia Jurídica Gratuita de 5 de noviembre, dictada en el recurso de amparo 5145-2014, promovido por don Víctor Javier Suárez Ruiz.</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recibido en este Tribunal el 5 de agosto de 2014, el Magistrado-Juez Decano de Granada remitió escrito de don Víctor Javier Suarez Ruiz por el que solicitaba el beneficio de justicia gratuita para la interposición de recurso de amparo.</w:t>
      </w:r>
    </w:p>
    <w:p w:rsidR="00B85568" w:rsidRDefault="00B85568" w:rsidP="00B85568">
      <w:pPr>
        <w:pStyle w:val="TextoNormal"/>
      </w:pPr>
    </w:p>
    <w:p w:rsidR="00B85568" w:rsidRDefault="00B85568" w:rsidP="00B85568">
      <w:pPr>
        <w:pStyle w:val="TextoNormal"/>
      </w:pPr>
      <w:r w:rsidRPr="00B85568">
        <w:rPr>
          <w:rStyle w:val="NumeroAFNegritaCaracter"/>
        </w:rPr>
        <w:t>2</w:t>
      </w:r>
      <w:r>
        <w:t>. Por diligencia de 5 de noviembre de 2014, la Secretaría de la Sala Primera de este Tribunal remitió oficio al Ilustre Colegios de Abogados de Madrid para que informara sobre el estado de la solicitud de don Víctor Javier Suarez Ruiz.</w:t>
      </w:r>
    </w:p>
    <w:p w:rsidR="00B85568" w:rsidRDefault="00B85568" w:rsidP="00B85568">
      <w:pPr>
        <w:pStyle w:val="TextoNormal"/>
      </w:pPr>
    </w:p>
    <w:p w:rsidR="00B85568" w:rsidRDefault="00B85568" w:rsidP="00B85568">
      <w:pPr>
        <w:pStyle w:val="TextoNormal"/>
      </w:pPr>
      <w:r>
        <w:t>El mismo día 5 de noviembre de 2014 se recibe resolución de la Comisión Central de Asistencia Jurídica Gratuita denegando el beneficio de justicia gratuita al solicitante por constar signos externos que indicaban que don Víctor Javier Suarez Ruiz dispone de medios económicos que superan el límite fijado en la ley.</w:t>
      </w:r>
    </w:p>
    <w:p w:rsidR="00B85568" w:rsidRDefault="00B85568" w:rsidP="00B85568">
      <w:pPr>
        <w:pStyle w:val="TextoNormal"/>
      </w:pPr>
    </w:p>
    <w:p w:rsidR="00B85568" w:rsidRDefault="00B85568" w:rsidP="00B85568">
      <w:pPr>
        <w:pStyle w:val="TextoNormal"/>
      </w:pPr>
      <w:r w:rsidRPr="00B85568">
        <w:rPr>
          <w:rStyle w:val="NumeroAFNegritaCaracter"/>
        </w:rPr>
        <w:t>3</w:t>
      </w:r>
      <w:r>
        <w:t>. La Comisión Central de Asistencia Jurídica Gratuita comunicó a este Tribunal, mediante resolución de 19 de noviembre de 2014, que la denegación antes señalada había sido impugnada por el solicitante, por lo que remitía el expediente al Decanato de los Juzgados de Madrid, interesando se dictara auto manteniendo o revocando la decisión adoptada.</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diligencia de ordenación de 27 de enero de 2015, se tuvieron por recibidos del Juzgado de Primera Instancia núm. 11 de Madrid, testimonio del procedimiento de impugnación de resoluciones de justicia gratuita núm. 1565-2014, en el que dicho Juzgado se declaraba incompetente, y se acordó otorgar un plazo de tres días al recurrente y al Abogado para que se pronunciaran sobre la competencia de este Tribunal en orden a conocer de la impugnación a la que se refiere el art. 20 de la Ley 1/1996, de 10 de enero, de asistencia jurídica gratuita.</w:t>
      </w:r>
    </w:p>
    <w:p w:rsidR="00B85568" w:rsidRDefault="00B85568" w:rsidP="00B85568">
      <w:pPr>
        <w:pStyle w:val="TextoNormal"/>
      </w:pPr>
    </w:p>
    <w:p w:rsidR="00B85568" w:rsidRDefault="00B85568" w:rsidP="00B85568">
      <w:pPr>
        <w:pStyle w:val="TextoNormal"/>
      </w:pPr>
      <w:r w:rsidRPr="00B85568">
        <w:rPr>
          <w:rStyle w:val="NumeroAFNegritaCaracter"/>
        </w:rPr>
        <w:t>5</w:t>
      </w:r>
      <w:r>
        <w:t>. El Abogado del Estado, mediante escrito que tuvo entrada en el Registro General de este Tribunal el 2 de febrero de 2015, solicitó que se dictara Auto declarando la incompetencia del Tribunal Constitucional para resolver la impugnación promovida por el recurrente contra la resolución de la Comisión central de Asistencia Jurídica Gratuita y que se devolvieran al Juzgado que por turno corresponda las actuaciones del procedimiento impugnatorio de la citada resolución.</w:t>
      </w:r>
    </w:p>
    <w:p w:rsidR="00B85568" w:rsidRDefault="00B85568" w:rsidP="00B85568">
      <w:pPr>
        <w:pStyle w:val="TextoNormal"/>
      </w:pPr>
    </w:p>
    <w:p w:rsidR="00B85568" w:rsidRDefault="00B85568" w:rsidP="00B85568">
      <w:pPr>
        <w:pStyle w:val="TextoNormal"/>
      </w:pPr>
      <w:r>
        <w:t>Explica el Abogado del Estado que el actor solicitó la asistencia jurídica gratuita en momento anterior a la interposición del recurso de amparo. Por tanto, con cita de la doctrina establecida por el Tribunal en el ATC 46/2013, de 21 de febrero, estima que procede que el Tribunal declare su incompetencia para resolver la impugnación.</w:t>
      </w:r>
    </w:p>
    <w:p w:rsidR="00B85568" w:rsidRDefault="00B85568" w:rsidP="00B85568">
      <w:pPr>
        <w:pStyle w:val="TextoNormal"/>
      </w:pPr>
    </w:p>
    <w:p w:rsidR="00B85568" w:rsidRDefault="00B85568" w:rsidP="00B85568">
      <w:pPr>
        <w:pStyle w:val="TextoNormal"/>
      </w:pPr>
      <w:r w:rsidRPr="00B85568">
        <w:rPr>
          <w:rStyle w:val="NumeroAFNegritaCaracter"/>
        </w:rPr>
        <w:t>6</w:t>
      </w:r>
      <w:r>
        <w:t>. Don Víctor Javier Suarez Ruiz presentó escrito de alegaciones el 10 de febrero de 2015, solicitando que el Tribunal se declara incompetente para conocer de la impugnación sobre su solicitud de asistencia jurídica gratuita, puesto que tal petición se produjo con anterioridad a la interposición del recurso de amparo.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Como se ha indicado en los antecedentes de esta resolución, el actor manifestó su intención de interponer recurso de amparo, solicitando que se le concediera el beneficio de asistencia jurídica gratuita. Efectuada dicha solicitud ante el Ilustre Colegio de Abogados de Madrid, la referida corporación dio traslado del expediente a la Comisión Central de Asistencia Jurídica Gratuita, sin designación provisional de Abogado de oficio, por considerar que no cumplía con los requisitos legales. La citada comisión dictó resolución con fecha 5 de noviembre de 2014, denegando el beneficio de justicia gratuita al solicitante por constar signos externos que indican dispone de medios económicos que superan el límite fijado en la ley. Dicha resolución fue impugnada por el actor a través de la vía prevista en el art. 20 de la Ley 1/1996, sin embargo, el Juzgado de Primera Instancia núm. 11 de Madrid, al que por turno de reparto había correspondido conocer de la misma, remitió las diligencias relativas al expediente de impugnación a este Tribunal, al referirse a una solicitud de asistencia jurídica gratuita instada para un recurso de amparo.</w:t>
      </w:r>
    </w:p>
    <w:p w:rsidR="00B85568" w:rsidRDefault="00B85568" w:rsidP="00B85568">
      <w:pPr>
        <w:pStyle w:val="TextoNormal"/>
      </w:pPr>
    </w:p>
    <w:p w:rsidR="00B85568" w:rsidRDefault="00B85568" w:rsidP="00B85568">
      <w:pPr>
        <w:pStyle w:val="TextoNormal"/>
      </w:pPr>
      <w:r w:rsidRPr="00B85568">
        <w:rPr>
          <w:rStyle w:val="NumeroAFNegritaCaracter"/>
        </w:rPr>
        <w:t>2</w:t>
      </w:r>
      <w:r>
        <w:t>. Este Tribunal ha resuelto supuestos análogos al que nos ocupa en los AATC 120/2011, de 19 de septiembre, 54/2012, de 26 de marzo, 80/2012, de 7 de mayo, 112/2012, de 31 de mayo, y 212/2012, de 13 de noviembre, en los que ha recordado que el Tribunal Constitucional será competente para resolver este tipo de impugnaciones solamente cuando la insuficiencia económica del solicitante se ocasione después de haber interpuesto el recurso de amparo.</w:t>
      </w:r>
    </w:p>
    <w:p w:rsidR="00B85568" w:rsidRDefault="00B85568" w:rsidP="00B85568">
      <w:pPr>
        <w:pStyle w:val="TextoNormal"/>
      </w:pPr>
    </w:p>
    <w:p w:rsidR="00B85568" w:rsidRDefault="00B85568" w:rsidP="00B85568">
      <w:pPr>
        <w:pStyle w:val="TextoNormal"/>
      </w:pPr>
      <w:r>
        <w:t>En este sentido, debe recordarse que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B85568" w:rsidRDefault="00B85568" w:rsidP="00B85568">
      <w:pPr>
        <w:pStyle w:val="TextoNormal"/>
      </w:pPr>
    </w:p>
    <w:p w:rsidR="00B85568" w:rsidRDefault="00B85568" w:rsidP="00B85568">
      <w:pPr>
        <w:pStyle w:val="TextoNormal"/>
      </w:pPr>
      <w:r>
        <w:t>Pues bien, como se señalaba en el ATC 120/2011, de 19 de septiembre, FJ 2,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B85568" w:rsidRDefault="00B85568" w:rsidP="00B85568">
      <w:pPr>
        <w:pStyle w:val="TextoNormal"/>
      </w:pPr>
    </w:p>
    <w:p w:rsidR="00B85568" w:rsidRDefault="00B85568" w:rsidP="00B85568">
      <w:pPr>
        <w:pStyle w:val="TextoNormal"/>
      </w:pPr>
      <w:r w:rsidRPr="00B85568">
        <w:rPr>
          <w:rStyle w:val="NumeroAFNegritaCaracter"/>
        </w:rPr>
        <w:t>3</w:t>
      </w:r>
      <w:r>
        <w:t>. En el presente caso, la solicitud de nombramiento de Abogado y Procurador del turno de oficio se efectuó en el escrito por el que se anunciaba la intención de la interposición del recurso de amparo. Por consiguiente, resulta claro que la situación de insuficiencia económica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al solicitante.</w:t>
      </w:r>
    </w:p>
    <w:p w:rsidR="00B85568" w:rsidRDefault="00B85568" w:rsidP="00B85568">
      <w:pPr>
        <w:pStyle w:val="TextoNormal"/>
      </w:pPr>
    </w:p>
    <w:p w:rsidR="00B85568" w:rsidRDefault="00B85568" w:rsidP="00B85568">
      <w:pPr>
        <w:pStyle w:val="TextoNormal"/>
      </w:pPr>
      <w:r>
        <w:t>En consecuencia, procede devolver las actuaciones para la resolución de la impugnación al Juzgado de Primera instancia núm. 11 de Madrid al que por reparto correspondió su resolución, de conformidad con lo previsto en el art. 20, párrafo segundo, de la Ley de asistencia jurídica gratuita.</w:t>
      </w:r>
    </w:p>
    <w:p w:rsidR="00B85568" w:rsidRDefault="00B85568" w:rsidP="00B85568">
      <w:pPr>
        <w:pStyle w:val="TextoNormal"/>
      </w:pPr>
    </w:p>
    <w:p w:rsidR="00B85568" w:rsidRDefault="00B85568" w:rsidP="00B85568">
      <w:pPr>
        <w:pStyle w:val="TextoNormal"/>
      </w:pPr>
      <w:r>
        <w:t>Todo ello, de acuerdo con lo previsto en los arts. 9 y 10 del acuerdo del Pleno del Tribunal Constitucional de 18 de junio de 1996 y el art. 4.1 de la Ley Orgánica del Tribunal Constitucional.</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Declararse incompetente para el enjuiciamiento de la impugnación de la resolución de la Comisión Central de Asistencia Jurídica Gratuita de 5 de noviembre de 2014, formulada por don Víctor Javier Suarez Ruiz.</w:t>
      </w:r>
    </w:p>
    <w:p w:rsidR="00B85568" w:rsidRDefault="00B85568" w:rsidP="00B85568">
      <w:pPr>
        <w:pStyle w:val="TextoNormal"/>
      </w:pPr>
    </w:p>
    <w:p w:rsidR="00B85568" w:rsidRDefault="00B85568" w:rsidP="00B85568">
      <w:pPr>
        <w:pStyle w:val="TextoNormal"/>
      </w:pPr>
      <w:r>
        <w:t>2º Devolver al Juzgado de Primera instancia núm. 11 de Madrid las actuaciones que en su día fueron remitidas a este Tribunal.</w:t>
      </w:r>
    </w:p>
    <w:p w:rsidR="00B85568" w:rsidRDefault="00B85568" w:rsidP="00B85568">
      <w:pPr>
        <w:pStyle w:val="TextoNormal"/>
      </w:pPr>
    </w:p>
    <w:p w:rsidR="00B85568" w:rsidRDefault="00B85568" w:rsidP="00B85568">
      <w:pPr>
        <w:pStyle w:val="TextoNormal"/>
      </w:pPr>
      <w:r>
        <w:t>Madrid, a once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3" w:name="AUTO_2015_83"/>
      <w:r>
        <w:t>AUTO 83/2015, de 12 de mayo de 2015</w:t>
      </w:r>
    </w:p>
    <w:bookmarkEnd w:id="233"/>
    <w:p w:rsidR="00B85568" w:rsidRDefault="00B85568" w:rsidP="00B85568">
      <w:pPr>
        <w:pStyle w:val="TtuloResolucin"/>
      </w:pPr>
      <w:r>
        <w:t>Pleno</w:t>
      </w:r>
    </w:p>
    <w:p w:rsidR="00B85568" w:rsidRDefault="00B85568" w:rsidP="00B85568">
      <w:pPr>
        <w:pStyle w:val="TextoNormalCentrado"/>
      </w:pPr>
      <w:r>
        <w:t>ECLI:ES:TC:2015:83A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Juan Antonio Xiol Ríos, don Pedro José González-Trevijano Sánchez y don Antonio Narváez Rodríguez.</w:t>
      </w:r>
    </w:p>
    <w:p w:rsidR="00B85568" w:rsidRDefault="00B85568" w:rsidP="00B85568">
      <w:pPr>
        <w:pStyle w:val="SntesisDescriptiva"/>
      </w:pPr>
    </w:p>
    <w:p w:rsidR="00B85568" w:rsidRDefault="00B85568" w:rsidP="00B85568">
      <w:pPr>
        <w:pStyle w:val="SntesisDescriptiva"/>
      </w:pPr>
      <w:r>
        <w:t>Acepta dos abstenciones en el recurso de amparo 2341-2012, promovido por don Marcus August Baier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registrado en este Tribunal el 20 de abril de 2012, la Procuradora de los Tribunales doña Alicia Hernández Villa, en nombre y representación de don Marcus August Baier, con la asistencia del Letrado don Esteban Hernández Thiel, interpuso demanda de amparo contra la Sentencia de la Sección Cuarta de la Sala de lo Contencioso-Administrativo del Tribunal Supremo, de 28 de febrero de 2012, que desestimó el recurso de casación núm. 2360-2011 promovido contra la Sentencia de la Sección Tercera de la Sala de lo Contencioso-Administrativo de la Audiencia Nacional, de 17 de febrero de 2011, que resultó desestimatoria del recurso contencioso-administrativo (procedimiento ordinario núm. 515-2009) interpuesto contra resolución del Secretario de Estado de Justicia, de 23 de julio de 2009, que desestimó la reclamación indemnizatoria por prisión indebida.</w:t>
      </w:r>
    </w:p>
    <w:p w:rsidR="00B85568" w:rsidRDefault="00B85568" w:rsidP="00B85568">
      <w:pPr>
        <w:pStyle w:val="TextoNormal"/>
      </w:pPr>
    </w:p>
    <w:p w:rsidR="00B85568" w:rsidRDefault="00B85568" w:rsidP="00B85568">
      <w:pPr>
        <w:pStyle w:val="TextoNormal"/>
      </w:pPr>
      <w:r w:rsidRPr="00B85568">
        <w:rPr>
          <w:rStyle w:val="NumeroAFNegritaCaracter"/>
        </w:rPr>
        <w:t>2</w:t>
      </w:r>
      <w:r>
        <w:t>. La Sala Segunda de este Tribunal, por providencia de 23 de mayo de 2013, acordó admitir a trámite la demanda.</w:t>
      </w:r>
    </w:p>
    <w:p w:rsidR="00B85568" w:rsidRDefault="00B85568" w:rsidP="00B85568">
      <w:pPr>
        <w:pStyle w:val="TextoNormal"/>
      </w:pPr>
    </w:p>
    <w:p w:rsidR="00B85568" w:rsidRDefault="00B85568" w:rsidP="00B85568">
      <w:pPr>
        <w:pStyle w:val="TextoNormal"/>
      </w:pPr>
      <w:r w:rsidRPr="00B85568">
        <w:rPr>
          <w:rStyle w:val="NumeroAFNegritaCaracter"/>
        </w:rPr>
        <w:t>3</w:t>
      </w:r>
      <w:r>
        <w:t>. Los Magistrados don Santiago Martínez-Vares García y don Ricardo Enríquez Sancho, mediante escritos de fecha 24 de abril de 2015 y 27 de abril de 2015, respectivamente, comunicaron a los efectos oportunos su propósito de abstenerse de intervenir en el mencionado recurso de amparo, de conformidad con los arts. 219.11 de la Ley Orgánica del Poder Judicial y 80 de la Ley Orgánica del Tribunal Constitucional, por haber formado parte de la Sección Cuarta de la Sala de lo Contencioso-Administrativo del Tribunal Supremo, que desestimó el recurso de casación núm. 2360-2011 mediante la Sentencia de 28 de febrero de 2012, que es objeto de impugnación en el presente proceso de amparo.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Vista la comunicación efectuada por don Santiago Martínez-Vares García y don Ricardo Enríquez Sancho, Magistrados de este Tribunal, el Pleno, en virtud de lo previsto en el art. 219.11 de la Ley Orgánica del Poder Judicial, supletoria en este punto de la Ley Orgánica del Tribunal Constitucional (art. 80), estima justificada la causa de abstención manifestada, puesto que los mencionados Magistrados formaron parte de la Sección Cuarta de la Sala de lo Contencioso-Administrativo del Tribunal Supremo que, resolviendo el recurso de casación núm. 2360-2011, dictó la Sentencia de 28 de febrero de 2012 que es objeto de impugnación en el presente proceso de amparo.</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justificada la abstención formulada por los Magistrados don Santiago Martínez-Vares García y don Ricardo Enríquez Sancho en el recurso de amparo núm. 2341-2012, quienes quedarán apartados definitivamente del conocimiento del referido recurso y de todas sus incidencias.</w:t>
      </w:r>
    </w:p>
    <w:p w:rsidR="00B85568" w:rsidRDefault="00B85568" w:rsidP="00B85568">
      <w:pPr>
        <w:pStyle w:val="TextoNormal"/>
      </w:pPr>
    </w:p>
    <w:p w:rsidR="00B85568" w:rsidRDefault="00B85568" w:rsidP="00B85568">
      <w:pPr>
        <w:pStyle w:val="TextoNormal"/>
      </w:pPr>
      <w:r>
        <w:t>Madrid, a doce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4" w:name="AUTO_2015_84"/>
      <w:r>
        <w:t>AUTO 84/2015, de 12 de mayo de 2015</w:t>
      </w:r>
    </w:p>
    <w:bookmarkEnd w:id="234"/>
    <w:p w:rsidR="00B85568" w:rsidRDefault="00B85568" w:rsidP="00B85568">
      <w:pPr>
        <w:pStyle w:val="TtuloResolucin"/>
      </w:pPr>
      <w:r>
        <w:t>Pleno</w:t>
      </w:r>
    </w:p>
    <w:p w:rsidR="00B85568" w:rsidRDefault="00B85568" w:rsidP="00B85568">
      <w:pPr>
        <w:pStyle w:val="TextoNormalCentrado"/>
      </w:pPr>
      <w:r>
        <w:t>ECLI:ES:TC:2015:84A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450-2015, planteada por el Juzgado de Primera Instancia núm. 1 de Catarroja (Valencia) en relación con el artículo 129 de la Ley hipotecaria, en la redacción dada por la Ley 1/2000, de 7 de enero, de enjuiciamiento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día 26 de enero de 2015 tuvo entrada en el Registro General de este Tribunal escrito del Juzgado de Primera Instancia núm. 1 de Catarroja (Valencia), al que se acompaña, además del testimonio del correspondiente procedimiento, Auto de planteamiento de cuestión de inconstitucionalidad “acerca de si el párrafo segundo del artículo 129 de la Ley Hipotecaria, desarrollado por los arts. 234 a 236-o del Reglamento Hipotecario, es inconstitucional” por ser tales preceptos contrarios a los arts. 117.3 y 24.1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presente cuestión de inconstitucionalidad son, en síntesis, los siguientes:</w:t>
      </w:r>
    </w:p>
    <w:p w:rsidR="00B85568" w:rsidRDefault="00B85568" w:rsidP="00B85568">
      <w:pPr>
        <w:pStyle w:val="TextoNormal"/>
      </w:pPr>
    </w:p>
    <w:p w:rsidR="00B85568" w:rsidRDefault="00B85568" w:rsidP="00B85568">
      <w:pPr>
        <w:pStyle w:val="TextoNormal"/>
      </w:pPr>
      <w:r>
        <w:t>a) Mediante escritura pública otorgada el 23 de febrero de 2006, la entidad Banco Español de Crédito, S.A., concedió a dos personas un préstamo con garantía hipotecaria sobre determinada finca sita en la localidad de Alfafar (figuraba asimismo una tercera persona, que fue liberada mediante novación operada en el año 2011).</w:t>
      </w:r>
    </w:p>
    <w:p w:rsidR="00B85568" w:rsidRDefault="00B85568" w:rsidP="00B85568">
      <w:pPr>
        <w:pStyle w:val="TextoNormal"/>
      </w:pPr>
    </w:p>
    <w:p w:rsidR="00B85568" w:rsidRDefault="00B85568" w:rsidP="00B85568">
      <w:pPr>
        <w:pStyle w:val="TextoNormal"/>
      </w:pPr>
      <w:r>
        <w:t>b) Ante el impago de la deuda, y haciendo uso de la cláusula pactada de vencimiento anticipado, la entidad acreedora, el día 7 de septiembre de 2012, instó la iniciación del procedimiento de venta extrajudicial del bien hipotecado ante un notario de Valencia (art. 129 de la Ley hipotecaria). La subasta de la finca hipotecada se anunció en los correspondientes diarios oficiales el 19 de noviembre de 2012, teniendo lugar el 10 de enero de 2013 y adjudicándose el remate a la sociedad acreedora, que fue el único postor. La escritura de adjudicación se otorgó el 29 de enero de 2013.</w:t>
      </w:r>
    </w:p>
    <w:p w:rsidR="00B85568" w:rsidRDefault="00B85568" w:rsidP="00B85568">
      <w:pPr>
        <w:pStyle w:val="TextoNormal"/>
      </w:pPr>
    </w:p>
    <w:p w:rsidR="00B85568" w:rsidRDefault="00B85568" w:rsidP="00B85568">
      <w:pPr>
        <w:pStyle w:val="TextoNormal"/>
      </w:pPr>
      <w:r>
        <w:t>c) El 23 de septiembre de 2013, la entidad Banco Santander, S.A., sucesora de la adjudicataria, presentó demanda de juicio verbal, ejercitando la acción prevista en el artículo 250.1.7 de la Ley de enjuiciamiento civil, interesando que se dictara sentencia por la que se le otorgara la plena posesión del inmueble, requiriendo a los demandados para que procedieran al desalojo de la finca en el plazo previsto, con apercibimiento de lanzamiento en caso de incumplimiento.</w:t>
      </w:r>
    </w:p>
    <w:p w:rsidR="00B85568" w:rsidRDefault="00B85568" w:rsidP="00B85568">
      <w:pPr>
        <w:pStyle w:val="TextoNormal"/>
      </w:pPr>
    </w:p>
    <w:p w:rsidR="00B85568" w:rsidRDefault="00B85568" w:rsidP="00B85568">
      <w:pPr>
        <w:pStyle w:val="TextoNormal"/>
      </w:pPr>
      <w:r>
        <w:t>d) Celebrada la vista en fecha 12 de febrero de 2014, a la que no asistieron los demandados, citados por edictos, se acordó por providencia de 25 de marzo de 2014, con suspensión del plazo para dictar sentencia, dar traslado a las partes y al Ministerio Fiscal a fin de que alegaran acerca de la posible inconstitucionalidad del artículo “129 de la Ley Hipotecaria y 234 y siguientes del Reglamento Hipotecario reguladores de la ejecución hipotecaria extrajudicial (actualmente denominada venta extrajudicial tras la reforma operada por la Ley 1/2013)”.</w:t>
      </w:r>
    </w:p>
    <w:p w:rsidR="00B85568" w:rsidRDefault="00B85568" w:rsidP="00B85568">
      <w:pPr>
        <w:pStyle w:val="TextoNormal"/>
      </w:pPr>
    </w:p>
    <w:p w:rsidR="00B85568" w:rsidRDefault="00B85568" w:rsidP="00B85568">
      <w:pPr>
        <w:pStyle w:val="TextoNormal"/>
      </w:pPr>
      <w:r>
        <w:t>e) El Ministerio Fiscal interpuso contra la anterior resolución recurso de reposición denunciando el incumplimiento de los requisitos procesales del trámite de audiencia del art. 35.2 de la Ley Orgánica del Tribunal Constitucional (LOTC). El Auto de 13 de mayo de 2014 estimó el recurso, dejando sin efecto la providencia recurrida.</w:t>
      </w:r>
    </w:p>
    <w:p w:rsidR="00B85568" w:rsidRDefault="00B85568" w:rsidP="00B85568">
      <w:pPr>
        <w:pStyle w:val="TextoNormal"/>
      </w:pPr>
    </w:p>
    <w:p w:rsidR="00B85568" w:rsidRDefault="00B85568" w:rsidP="00B85568">
      <w:pPr>
        <w:pStyle w:val="TextoNormal"/>
      </w:pPr>
      <w:r>
        <w:t>f) El día 21 de mayo de 2014, el juzgador dictó nueva providencia, dando traslado a las partes y al Ministerio Fiscal a fin de que alegaran acerca de la posible inconstitucionalidad del “artículo 129 de la Ley Hipotecaria (en la redacción dada por la Ley de Enjuiciamiento Civil del año 2000, previa a la reforma operada por la Ley 1/2013) y 234 y siguientes del Reglamento Hipotecario, reguladores de la venta extrajudicial del bien hipotecado”, en relación, decía, con los arts. 117 y 24 CE.</w:t>
      </w:r>
    </w:p>
    <w:p w:rsidR="00B85568" w:rsidRDefault="00B85568" w:rsidP="00B85568">
      <w:pPr>
        <w:pStyle w:val="TextoNormal"/>
      </w:pPr>
    </w:p>
    <w:p w:rsidR="00B85568" w:rsidRDefault="00B85568" w:rsidP="00B85568">
      <w:pPr>
        <w:pStyle w:val="TextoNormal"/>
      </w:pPr>
      <w:r>
        <w:t>La providencia recordaba que la Sala de lo Civil del Tribunal Supremo se pronunció sobre la cuestión antes de la reforma operada en el mencionado art.129 por la Ley de enjuiciamiento civil (LEC) de 2000 (SSTS 402/1998, de 4 de mayo; 703/2008, de 14 de julio, y 373/2009, de 25 de mayo, entre otras) y que este Tribunal Constitucional ha sentado que la titularidad de la potestad de ejecución corresponde exclusivamente a los órganos judiciales, como una manifestación típica de la potestad jurisdiccional que la Constitución les ha conferido en su artículo 117.3. Por ello, proseguía, surge la necesidad de plantear la cuestión de inconstitucionalidad al descansar “el derecho del demandante, en virtud del cual pide la tutela sumaria de su derecho real inscrito por la vía del artículo 250.1.7 LEC, en la adjudicación del bien que tuvo lugar precisamente por la vía del procedimiento regulado en los citados preceptos de la Ley Hipotecaria y del Reglamento Hipotecario. Partiendo de dicha circunstancia, es evidente que si se estimara que el procedimiento seguido para que la entidad bancaria adquiriera la propiedad del bien inmueble es inconstitucional, ello conllevaría la nulidad del mismo, evidenciándose así la notable repercusión e importancia que para la resolución del presente procedimiento representa la cuestión de inconstitucionalidad que, en su caso, podría elevarse al Tribunal Constitucional”. En ese sentido, concluía, siguiendo los argumentos de las sentencias antes mencionadas, “existen serias dudas de inconstitucionalidad de los preceptos mencionados puesto que sustraen a la competencia de los órganos jurisdiccionales la ejecución del bien inmueble hipotecado, disponiendo así de lo que son normas imperativas de derecho público, sustraídas por ello al ámbito de disposición de las partes. Estas dudas sólo pueden ser resueltas, al tratarse ya de una norma postconstitucional, a diferencia de las examinadas por el Tribunal Supremo en las resoluciones citadas, por el Tribunal Constitucional a través de una eventual cuestión de inconstitucionalidad”.</w:t>
      </w:r>
    </w:p>
    <w:p w:rsidR="00B85568" w:rsidRDefault="00B85568" w:rsidP="00B85568">
      <w:pPr>
        <w:pStyle w:val="TextoNormal"/>
      </w:pPr>
    </w:p>
    <w:p w:rsidR="00B85568" w:rsidRDefault="00B85568" w:rsidP="00B85568">
      <w:pPr>
        <w:pStyle w:val="TextoNormal"/>
      </w:pPr>
      <w:r>
        <w:t>g) El Ministerio Fiscal, mediante escrito de 11 de junio de 2014, informó que se cumplían los requisitos procesales exigidos por el art. 35 LOTC.</w:t>
      </w:r>
    </w:p>
    <w:p w:rsidR="00B85568" w:rsidRDefault="00B85568" w:rsidP="00B85568">
      <w:pPr>
        <w:pStyle w:val="TextoNormal"/>
      </w:pPr>
    </w:p>
    <w:p w:rsidR="00B85568" w:rsidRDefault="00B85568" w:rsidP="00B85568">
      <w:pPr>
        <w:pStyle w:val="TextoNormal"/>
      </w:pPr>
      <w:r>
        <w:t>h) La entidad demandante no formuló alegaciones. Tampoco lo hicieron los demandados, que, como se dijo, no comparecieron en el proceso judicial.</w:t>
      </w:r>
    </w:p>
    <w:p w:rsidR="00B85568" w:rsidRDefault="00B85568" w:rsidP="00B85568">
      <w:pPr>
        <w:pStyle w:val="TextoNormal"/>
      </w:pPr>
    </w:p>
    <w:p w:rsidR="00B85568" w:rsidRDefault="00B85568" w:rsidP="00B85568">
      <w:pPr>
        <w:pStyle w:val="TextoNormal"/>
      </w:pPr>
      <w:r>
        <w:t>i) Evacuado el trámite de audiencia, se dictó en fecha 14 de enero de 2015 el Auto de planteamiento de la presente cuestión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3</w:t>
      </w:r>
      <w:r>
        <w:t>. En la fundamentación del Auto de planteamiento se señala: i) que el procedimiento cuestionado lesiona el principio de exclusividad e integridad de jurisdicción (art. 117 CE); ii) que desviar parte de las ejecuciones hipotecarias del cauce judicial no resulta compatible con la concepción constitucional de la ejecución, como poder reservado a la jurisdicción, sin que pueda oponerse a esta reserva como excepción que tal ejecución tiene su origen en un contrato, puesto que no cabe disponer de las normas imperativas de Derecho público; iii) que el control notarial de legalidad de la tramitación del procedimiento extrajudicial controvertido, materia sujeta a reserva de ley, no ha sido establecido, faltando por tanto una habilitación legal; iv) que el notario carece de jurisdicción y, por consecuencia, de cuantas facultades traen causa de aquélla, entre ellas la fiscalización del procedimiento y la legalidad de su desenvolvimiento, lo que incluye la garantía de los derechos de defensa de las partes; v) que las garantías constitucionales que acompañan al Juez no son igualmente predicables del notario, más cuando ese procedimiento extrajudicial provoca que los mismos funcionarios que han autorizado los títulos por los cuales se ha de despachar la ejecución sean los encargados de enjuiciarlos y de despacharla; vi) que, en particular, en relación con el caso de autos, en la escritura de 29 de enero de 2013 no consta en modo alguno de qué forma se atribuyó la competencia al notario actuante, lo que impide comprobar si se observó el mecanismo reglamentariamente previsto.</w:t>
      </w:r>
    </w:p>
    <w:p w:rsidR="00B85568" w:rsidRDefault="00B85568" w:rsidP="00B85568">
      <w:pPr>
        <w:pStyle w:val="TextoNormal"/>
      </w:pPr>
    </w:p>
    <w:p w:rsidR="00B85568" w:rsidRDefault="00B85568" w:rsidP="00B85568">
      <w:pPr>
        <w:pStyle w:val="TextoNormal"/>
      </w:pPr>
      <w:r>
        <w:t>En suma, lo que el notario realiza es una actividad jurisdiccional y eso es lo que precisamente impide el art. 117.3 CE al recoger el principio de exclusividad.</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17 de marzo de 2015,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el 17 de abril de 2015. Considera que la cuestión de inconstitucionalidad es inadmisible por falta de requisitos procesales y por ser notoriamente infundada, alegando en síntesis:</w:t>
      </w:r>
    </w:p>
    <w:p w:rsidR="00B85568" w:rsidRDefault="00B85568" w:rsidP="00B85568">
      <w:pPr>
        <w:pStyle w:val="TextoNormal"/>
      </w:pPr>
    </w:p>
    <w:p w:rsidR="00B85568" w:rsidRDefault="00B85568" w:rsidP="00B85568">
      <w:pPr>
        <w:pStyle w:val="TextoNormal"/>
      </w:pPr>
      <w:r>
        <w:t>a) El Juez no cumplió inicialmente —en la providencia de 25 de marzo de 2014— los requisitos que configuran el trámite de audiencia del art. 35.2 LOTC, dado que no hacía mención alguna de los preceptos constitucionales que estimaba vulnerados. Si bien ese defecto se subsanó tras la estimación del recurso de reposición interpuesto por el Ministerio Fiscal y a través de la posterior providencia de 21 de mayo de 2014, la invocación del art. 24 CE que contiene esa nueva resolución también merece censura por ser demasiado genérica y no identificar mínimamente la duda de constitucionalidad, esto es, el aspecto o aspectos concretos del derecho a la tutela judicial efectiva que se considerarían vulnerados. Nos situamos por ello, afirma, dentro del concepto de “indeterminación absoluta” elaborado por la jurisprudencia constitucional (ATC 221/2014, de 9 de septiembre, FJ 2).</w:t>
      </w:r>
    </w:p>
    <w:p w:rsidR="00B85568" w:rsidRDefault="00B85568" w:rsidP="00B85568">
      <w:pPr>
        <w:pStyle w:val="TextoNormal"/>
      </w:pPr>
    </w:p>
    <w:p w:rsidR="00B85568" w:rsidRDefault="00B85568" w:rsidP="00B85568">
      <w:pPr>
        <w:pStyle w:val="TextoNormal"/>
      </w:pPr>
      <w:r>
        <w:t>Esa circunstancia se confirmaría, a su modo ver, tras la lectura del Auto de planteamiento de la cuestión de inconstitucionalidad, que tampoco precisa la vertiente del derecho a la tutela judicial efectiva potencialmente comprometido, centrando en realidad la argumentación en la vulneración del art. 117.3 CE. En consecuencia, a su juicio, no se ha elaborado adecuadamente la duda de constitucionalidad respecto del art. 24.1 CE y no se ha cumplido correctamente, en lo que a dicha previsión constitucional concierne, el trámite de audiencia del art. 35.2 CE.</w:t>
      </w:r>
    </w:p>
    <w:p w:rsidR="00B85568" w:rsidRDefault="00B85568" w:rsidP="00B85568">
      <w:pPr>
        <w:pStyle w:val="TextoNormal"/>
      </w:pPr>
    </w:p>
    <w:p w:rsidR="00B85568" w:rsidRDefault="00B85568" w:rsidP="00B85568">
      <w:pPr>
        <w:pStyle w:val="TextoNormal"/>
      </w:pPr>
      <w:r>
        <w:t>b) En segundo lugar, el Auto de planteamiento de la cuestión formula de manera incorrecta los juicios de aplicabilidad y relevancia, provocando que aquélla resulte notoriamente infundada. El órgano judicial incurre en una transmutación radical del objeto del proceso judicial, dado que éste no versaba sobre la nulidad de las actuaciones llevadas a cabo en el precedente procedimiento de venta extrajudicial ante Notario, ni tampoco sobre la validez de la cláusula de la escritura de préstamo hipotecario relativa al pacto de venta extrajudicial del bien hipotecado, sino exclusivamente sobre la efectividad del derecho real (propiedad) inscrito a favor de la entidad demandante, así como sobre sus efectos frente a quienes se oponían al mismo o perturbaban su ejercicio sin disponer de título inscrito que legitimara su oposición o perturbación, en los términos que establece el art. 250.1.7 LEC, en relación el art. 41 de la Ley hipotecaria.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Primera Instancia núm. 1 de Catarroja (Valencia) plantea cuestión de inconstitucionalidad “acerca de si el párrafo segundo del artículo 129 de la Ley Hipotecaria, desarrollado por los arts. 234 a) 236 o) del Reglamento Hipotecario, es inconstitucional” por ser tales preceptos contrarios a los arts. 117.3 y 24.1 CE.</w:t>
      </w:r>
    </w:p>
    <w:p w:rsidR="00B85568" w:rsidRDefault="00B85568" w:rsidP="00B85568">
      <w:pPr>
        <w:pStyle w:val="TextoNormal"/>
      </w:pPr>
    </w:p>
    <w:p w:rsidR="00B85568" w:rsidRDefault="00B85568" w:rsidP="00B85568">
      <w:pPr>
        <w:pStyle w:val="TextoNormal"/>
      </w:pPr>
      <w:r>
        <w:t>El Fiscal General del Estado, según se ha hecho constar en los antecedentes de esta resolución, interesa la inadmisión de la cuestión por incumplimiento de los requisitos procesales y por ser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Del contenido del Auto de planteamiento se desprende que el órgano judicial sitúa su duda de constitucionalidad en la redacción dada a aquel precepto legal por la disposición final 9.4 de la Ley 1/2000, de 7 de enero, de enjuiciamiento civil, previa por tanto a la actualmente vigente, derivada del art. 3.3 de la Ley 1/2013, de 14 de mayo, de medidas para reforzar la protección a los deudores hipotecarios, reestructuración de deuda y alquiler social, pero posterior sin embargo a la redacción preconstitucional del indicado art. 129 de la Ley hipotecaria, que contenía una equívoca referencia al “procedimiento ejecutivo extrajudicial”, que dio lugar a posiciones doctrinales y, especialmente, jurisprudenciales a favor y en contra de la constitucionalidad del precepto, como recogiera nuestra STC 224/2006, de 6 de julio, FJ 5.</w:t>
      </w:r>
    </w:p>
    <w:p w:rsidR="00B85568" w:rsidRDefault="00B85568" w:rsidP="00B85568">
      <w:pPr>
        <w:pStyle w:val="TextoNormal"/>
      </w:pPr>
    </w:p>
    <w:p w:rsidR="00B85568" w:rsidRDefault="00B85568" w:rsidP="00B85568">
      <w:pPr>
        <w:pStyle w:val="TextoNormal"/>
      </w:pPr>
      <w:r>
        <w:t>El precepto de la Ley hipotecaria cuestionado, en la redacción ofrecida por la Ley 1/2000, de 7 de enero, sometida a consideración del Tribunal al constituir la versión vigente en la fecha de otorgamiento de la escritura pública de adjudicación de la finca hipotecada, disponía lo siguiente:</w:t>
      </w:r>
    </w:p>
    <w:p w:rsidR="00B85568" w:rsidRDefault="00B85568" w:rsidP="00B85568">
      <w:pPr>
        <w:pStyle w:val="TextoNormal"/>
      </w:pPr>
    </w:p>
    <w:p w:rsidR="00B85568" w:rsidRDefault="00B85568" w:rsidP="00B85568">
      <w:pPr>
        <w:pStyle w:val="TextoNormal"/>
      </w:pPr>
      <w:r>
        <w:t>“La acción hipotecaria podrá ejercitarse directamente contra los bienes hipotecados sujetando su ejercicio a lo dispuesto en el Título IV del Libro III de la Ley de Enjuiciamiento Civil, con las especialidades que se establecen en su Capítulo V. Además, en la escritura de constitución de la hipoteca podrá pactarse la venta extrajudicial del bien hipotecado, conforme al art. 1858 del Código Civil, para el caso de falta de cumplimiento de la obligación garantizada. La venta extrajudicial se realizará por medio de notario, con las formalidades establecidas en el Reglamento Hipotecario.”</w:t>
      </w:r>
    </w:p>
    <w:p w:rsidR="00B85568" w:rsidRDefault="00B85568" w:rsidP="00B85568">
      <w:pPr>
        <w:pStyle w:val="TextoNormal"/>
      </w:pPr>
    </w:p>
    <w:p w:rsidR="00B85568" w:rsidRDefault="00B85568" w:rsidP="00B85568">
      <w:pPr>
        <w:pStyle w:val="TextoNormal"/>
      </w:pPr>
      <w:r>
        <w:t>La disposición final 9.4 antes citada, como puede advertirse en la transcripción que viene de hacerse, limitó a un único párrafo los dos que el art. 129 de la Ley hipotecaria contenía en su redacción precedente, de suerte que dicha previsión reproducida es la cuestionada y un mero error del juzgador la alusión al “segundo párrafo” del art. 129 de la Ley hipotecaria. Un error que, no obstante, no entorpece la identificación de la norma sometida a nuestro examen, que se precisa en el Auto de planteamiento de la cuestión por referencia a la redacción dada en aquella Ley 1/2000, de 7 de enero, al igual que hiciera previamente la providencia de 21 de mayo de 2014, dictada en cumplimiento de lo dispuesto en el art. 35.2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3</w:t>
      </w:r>
      <w:r>
        <w:t xml:space="preserve">. De acuerdo con lo previsto en el art. 37.1 LOTC, este Tribunal puede rechazar </w:t>
      </w:r>
      <w:r w:rsidRPr="00B85568">
        <w:rPr>
          <w:i/>
        </w:rPr>
        <w:t>a limine</w:t>
      </w:r>
      <w:r>
        <w:t xml:space="preserve"> las cuestiones de inconstitucionalidad, mediante Auto y sin otra audiencia que la del Fiscal General del Estado, cuando faltaren las condiciones procesales.</w:t>
      </w:r>
    </w:p>
    <w:p w:rsidR="00B85568" w:rsidRDefault="00B85568" w:rsidP="00B85568">
      <w:pPr>
        <w:pStyle w:val="TextoNormal"/>
      </w:pPr>
    </w:p>
    <w:p w:rsidR="00B85568" w:rsidRDefault="00B85568" w:rsidP="00B85568">
      <w:pPr>
        <w:pStyle w:val="TextoNormal"/>
      </w:pPr>
      <w:r>
        <w:t>El Fiscal General del Estado pone de manifiesto que el Juzgado de Primera Instancia núm. 1 de Catarroja no cumplió debidamente con el trámite de audiencia exigido en el art. 35.2 LOTC en lo que afecta al art. 24.1 CE, habida cuenta que de lo señalado en su providencia de 21 de mayo de 2014 no se desprendía con claridad la concreta duda de constitucionalidad que motivó el planteamiento de la cuestión, como exige la jurisprudencia de este Tribunal.</w:t>
      </w:r>
    </w:p>
    <w:p w:rsidR="00B85568" w:rsidRDefault="00B85568" w:rsidP="00B85568">
      <w:pPr>
        <w:pStyle w:val="TextoNormal"/>
      </w:pPr>
    </w:p>
    <w:p w:rsidR="00B85568" w:rsidRDefault="00B85568" w:rsidP="00B85568">
      <w:pPr>
        <w:pStyle w:val="TextoNormal"/>
      </w:pPr>
      <w:r>
        <w:t>Para fundamentar dicha afirmación cita el ATC 221/2014, de 9 de septiembre, que en su fundamento jurídico 2, a la luz de la doctrina constitucional sobre el trámite de audiencia previsto en el art 35.2 LOTC, declaró:</w:t>
      </w:r>
    </w:p>
    <w:p w:rsidR="00B85568" w:rsidRDefault="00B85568" w:rsidP="00B85568">
      <w:pPr>
        <w:pStyle w:val="TextoNormal"/>
      </w:pPr>
    </w:p>
    <w:p w:rsidR="00B85568" w:rsidRDefault="00B85568" w:rsidP="00B85568">
      <w:pPr>
        <w:pStyle w:val="TextoNormal"/>
      </w:pPr>
      <w:r>
        <w:t xml:space="preserve">“[H]emos exigido que la concreta duda de constitucionalidad que motiva el planteamiento de la cuestión por parte del órgano judicial se desprenda claramente de lo contenido en la providencia por la que se lleva a cabo el trámite de audiencia (por todos, ATC 56/2014, de 25 de febrero, FJ 2), de manera que ‘las partes puedan (i) conocer el planteamiento de la inconstitucionalidad, (ii) situarlo en sus exactos términos y (iii) pronunciarse sobre él’ (AATC 267/2013, de 19 de noviembre, FJ 3; y 116/2014, de 8 de abril, FJ 2). Teniendo en cuenta la finalidad de este trámite, lo hemos considerado incumplido en los supuestos que hemos denominado de </w:t>
      </w:r>
      <w:r w:rsidRPr="00B85568">
        <w:rPr>
          <w:i/>
        </w:rPr>
        <w:t>indeterminación absoluta</w:t>
      </w:r>
      <w:r>
        <w:t>, en los que, a pesar de la cita genérica del precepto constitucional lesionado, resulta imposible para las partes conocer el planteamiento de la cuestión de inconstitucionalidad en sus exactos términos (ATC 116/2014, de 8 de abril, FJ 2).”</w:t>
      </w:r>
    </w:p>
    <w:p w:rsidR="00B85568" w:rsidRDefault="00B85568" w:rsidP="00B85568">
      <w:pPr>
        <w:pStyle w:val="TextoNormal"/>
      </w:pPr>
    </w:p>
    <w:p w:rsidR="00B85568" w:rsidRDefault="00B85568" w:rsidP="00B85568">
      <w:pPr>
        <w:pStyle w:val="TextoNormal"/>
      </w:pPr>
      <w:r>
        <w:t>Y esto es precisamente lo que ocurre en este caso. La providencia por la que se llevó a cabo el trámite de audiencia exigido en el art. 35.2 LOTC no contenía un razonamiento mínimamente elaborado de por qué el art. 129 de la Ley hipotecaria vulneraría el art. 24.1 CE, ni menos aún precisaba en cuál de las vertientes o derechos que lo integran podría recaer la supuesta lesión. Únicamente explicita la duda desde el prisma del art. 117.3 CE, en tanto que la potestad de ejecución que corresponde a los órganos judiciales podría quedar comprometida en ese procedimiento extrajudicial, para indicar a continuación la necesidad de plantear la cuestión ante el Tribunal Constitucional (por ese exclusivo motivo y por ser postconstitucional la versión normativa sometida a debate, a diferencia de lo que ocurriera en el pasado cuando se pronunció el Tribunal Supremo sobre la regulación precedente a la reforma operada por la Ley 1/2000, de 7 enero, en las Sentencias que cita la providencia de 21 de mayo de 2014). Esto así, dadas las múltiples dimensiones en las que puede actualizarse el art. 24.1 CE, su mera cita no permitía conocer a las partes en qué consistía la duda de constitucionalidad planteada y, por tanto, la misma, por sí sola, no puede considerarse en este caso suficiente para estimar alcanzada la finalidad del trámite que ahora analizamos.</w:t>
      </w:r>
    </w:p>
    <w:p w:rsidR="00B85568" w:rsidRDefault="00B85568" w:rsidP="00B85568">
      <w:pPr>
        <w:pStyle w:val="TextoNormal"/>
      </w:pPr>
    </w:p>
    <w:p w:rsidR="00B85568" w:rsidRDefault="00B85568" w:rsidP="00B85568">
      <w:pPr>
        <w:pStyle w:val="TextoNormal"/>
      </w:pPr>
      <w:r>
        <w:t>De todo lo dicho cabe concluir que, en lo concerniente al art. 24.1 CE, no se ha cumplido correctamente con el trámite de audiencia a las partes y al Ministerio Fiscal y que, por tanto, no se ha conseguido el resultado perseguido por la Ley Orgánica del Tribunal Constitucional.</w:t>
      </w:r>
    </w:p>
    <w:p w:rsidR="00B85568" w:rsidRDefault="00B85568" w:rsidP="00B85568">
      <w:pPr>
        <w:pStyle w:val="TextoNormal"/>
      </w:pPr>
    </w:p>
    <w:p w:rsidR="00B85568" w:rsidRDefault="00B85568" w:rsidP="00B85568">
      <w:pPr>
        <w:pStyle w:val="TextoNormal"/>
      </w:pPr>
      <w:r w:rsidRPr="00B85568">
        <w:rPr>
          <w:rStyle w:val="NumeroAFNegritaCaracter"/>
        </w:rPr>
        <w:t>4</w:t>
      </w:r>
      <w:r>
        <w:t>. El juicio de aplicabilidad, que se concreta en que la norma resulte aplicable al caso (art. 35.1 LOTC), asimismo objetado por el Fiscal General del Estado, tampoco puede considerarse correctamente formulado.</w:t>
      </w:r>
    </w:p>
    <w:p w:rsidR="00B85568" w:rsidRDefault="00B85568" w:rsidP="00B85568">
      <w:pPr>
        <w:pStyle w:val="TextoNormal"/>
      </w:pPr>
    </w:p>
    <w:p w:rsidR="00B85568" w:rsidRDefault="00B85568" w:rsidP="00B85568">
      <w:pPr>
        <w:pStyle w:val="TextoNormal"/>
      </w:pPr>
      <w:r>
        <w:t>Es doctrina constitucional reiterada sobre este presupuesto de la cuestión de inconstitucionalidad que corresponde al órgano judicial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43/2015, de 2 de marzo, FJ 3).</w:t>
      </w:r>
    </w:p>
    <w:p w:rsidR="00B85568" w:rsidRDefault="00B85568" w:rsidP="00B85568">
      <w:pPr>
        <w:pStyle w:val="TextoNormal"/>
      </w:pPr>
    </w:p>
    <w:p w:rsidR="00B85568" w:rsidRDefault="00B85568" w:rsidP="00B85568">
      <w:pPr>
        <w:pStyle w:val="TextoNormal"/>
      </w:pPr>
      <w:r>
        <w:t>En la presente cuestión, dice el órgano judicial que surge la necesidad de plantear la cuestión al descansar “el derecho del demandante, en virtud del cual pide la tutela sumaria de su derecho real inscrito por la vía del artículo 250.1.7 LEC, en la adjudicación del bien que tuvo lugar precisamente por la vía del procedimiento regulado en los citados preceptos de la Ley Hipotecaria y del Reglamento Hipotecario. Partiendo de dicha circunstancia, es evidente que si se estimara que el procedimiento seguido para que la entidad bancaria adquiriera la propiedad del bien inmueble es inconstitucional, ello conllevaría la nulidad del mismo, evidenciándose así la notable repercusión e importancia que para la resolución del presente procedimiento representa la cuestión de inconstitucionalidad que, en su caso, podría elevarse al Tribunal Constitucional”.</w:t>
      </w:r>
    </w:p>
    <w:p w:rsidR="00B85568" w:rsidRDefault="00B85568" w:rsidP="00B85568">
      <w:pPr>
        <w:pStyle w:val="TextoNormal"/>
      </w:pPr>
    </w:p>
    <w:p w:rsidR="00B85568" w:rsidRDefault="00B85568" w:rsidP="00B85568">
      <w:pPr>
        <w:pStyle w:val="TextoNormal"/>
      </w:pPr>
      <w:r>
        <w:t xml:space="preserve">Como con acierto señala el Fiscal General del Estado, desde el prisma de la aplicabilidad de la norma y por ser manifiestamente errada, tal tesis no puede acogerse. El proceso </w:t>
      </w:r>
      <w:r w:rsidRPr="00B85568">
        <w:rPr>
          <w:i/>
        </w:rPr>
        <w:t>a quo</w:t>
      </w:r>
      <w:r>
        <w:t xml:space="preserve"> sustancia una acción sobre derechos reales inscritos en relación con la finca subastada e hipotecada, en la que el banco demandante sostiene que, careciendo la parte demandada de título alguno que la habilite para ocupar el inmueble en el que permanece, debe procederse a la entrega de la posesión que le corresponde, con desalojo voluntario o en su defecto lanzamiento. No se trata, por tanto, de una demanda en la que se solicite la declaración de nulidad del procedimiento de venta extrajudicial tramitado en su día, ya por estar viciado alguno de los actos que lo perfilan ya por no concurrir sus condiciones o premisas imprescindibles (referidas al valor de tasación de la finca, a la estipulación o pacto de sujeción al procedimiento en la escritura, a la certeza y exigibilidad del crédito, a la cuantía de las obligaciones que garantice la hipoteca, a la competencia notarial, al procedimiento de subasta, precio del remate o deuda pendiente por todos los conceptos, a la adjudicación, formalización de la escritura pública o inscripciones registrales practicadas, etc.). Antes al contrario, sólo se litiga en defensa de la efectividad de los derechos reales inscritos. No está en duda, por tanto, la competencia jurisdiccional en la ejecución del bien inmueble hipotecado, por lo que no puede cuestionarse en sede de dicho juicio verbal la norma hipotecaria que dio lugar al procedimiento de venta extrajudicial y a la adjudicación del bien al Banco demandante en el proceso </w:t>
      </w:r>
      <w:r w:rsidRPr="00B85568">
        <w:rPr>
          <w:i/>
        </w:rPr>
        <w:t>a quo</w:t>
      </w:r>
      <w:r>
        <w:t>.</w:t>
      </w:r>
    </w:p>
    <w:p w:rsidR="00B85568" w:rsidRDefault="00B85568" w:rsidP="00B85568">
      <w:pPr>
        <w:pStyle w:val="TextoNormal"/>
      </w:pPr>
    </w:p>
    <w:p w:rsidR="00B85568" w:rsidRDefault="00B85568" w:rsidP="00B85568">
      <w:pPr>
        <w:pStyle w:val="TextoNormal"/>
      </w:pPr>
      <w:r>
        <w:t>Enunciada la misma idea en otros términos, en el juicio verbal en curso resulta inequívocamente inaplicable el art. 129 de la Ley hipotecaria. No se debate si éste atribuye o no una facultad que debería estar sometida al control judicial por hallarnos ante una verdadera ejecución procesal. Esto es, no se enjuicia si la enajenación del objeto hipotecado por el cauce controvertido está incluida dentro del concepto constitucional de potestad jurisdiccional, que consiste en juzgar y hacer ejecutar lo juzgado y corresponde exclusivamente a los Juzgados y Tribunales determinados por las leyes (art. 117.3 CE), o si, por el contrario, arbitra únicamente un medio para resolver conflictos entre particulares, sin impedir alternativamente el acceso a un procedimiento judicial para hacer efectivo el crédito garantizado por hipoteca. Sólo se sustancian las consecuencias de la titularidad registral del bien, canalizada a través de una acción real procedente de los derechos inscritos instada contra quienes, sin título inscrito, se oponen a los derechos asociados a dicha titularidad o perturban su ejercicio.</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cuestión de inconstitucionalidad núm. 450-2015, planteada por el Juzgado de Primera Instancia núm. 1 de Catarroja (Valencia).</w:t>
      </w:r>
    </w:p>
    <w:p w:rsidR="00B85568" w:rsidRDefault="00B85568" w:rsidP="00B85568">
      <w:pPr>
        <w:pStyle w:val="TextoNormal"/>
      </w:pPr>
    </w:p>
    <w:p w:rsidR="00B85568" w:rsidRDefault="00B85568" w:rsidP="00B85568">
      <w:pPr>
        <w:pStyle w:val="TextoNormal"/>
      </w:pPr>
      <w:r>
        <w:t>Madrid, a doce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5" w:name="AUTO_2015_85"/>
      <w:r>
        <w:t>AUTO 85/2015, de 14 de mayo de 2015</w:t>
      </w:r>
    </w:p>
    <w:bookmarkEnd w:id="235"/>
    <w:p w:rsidR="00B85568" w:rsidRDefault="00B85568" w:rsidP="00B85568">
      <w:pPr>
        <w:pStyle w:val="TtuloResolucin"/>
      </w:pPr>
      <w:r>
        <w:t>Sección Cuarta</w:t>
      </w:r>
    </w:p>
    <w:p w:rsidR="00B85568" w:rsidRDefault="00B85568" w:rsidP="00B85568">
      <w:pPr>
        <w:pStyle w:val="TextoNormalCentrado"/>
      </w:pPr>
      <w:r>
        <w:t>ECLI:ES:TC:2015:85A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36" w:name="AUTO_2015_86"/>
      <w:r>
        <w:t>AUTO 86/2015, de 18 de mayo de 2015</w:t>
      </w:r>
    </w:p>
    <w:bookmarkEnd w:id="236"/>
    <w:p w:rsidR="00B85568" w:rsidRDefault="00B85568" w:rsidP="00B85568">
      <w:pPr>
        <w:pStyle w:val="TtuloResolucin"/>
      </w:pPr>
      <w:r>
        <w:t>Sección Segunda</w:t>
      </w:r>
    </w:p>
    <w:p w:rsidR="00B85568" w:rsidRDefault="00B85568" w:rsidP="00B85568">
      <w:pPr>
        <w:pStyle w:val="TextoNormalCentrado"/>
      </w:pPr>
      <w:r>
        <w:t>ECLI:ES:TC:2015:86A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2146-2014, promovido por don David Ros Leal.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el 25 de marzo de 2015 en el Registro General de este Tribunal el Fiscal ante el Tribunal Constitucional interpone recurso de súplica contra la providencia de la Sección Segunda de 16 de febrero de 2015 que acordó la inadmisión del recurso de amparo núm. 2146-2014.</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de los que trae causa el recurso de súplica son, sucintamente expuestos, los siguientes:</w:t>
      </w:r>
    </w:p>
    <w:p w:rsidR="00B85568" w:rsidRDefault="00B85568" w:rsidP="00B85568">
      <w:pPr>
        <w:pStyle w:val="TextoNormal"/>
      </w:pPr>
    </w:p>
    <w:p w:rsidR="00B85568" w:rsidRDefault="00B85568" w:rsidP="00B85568">
      <w:pPr>
        <w:pStyle w:val="TextoNormal"/>
      </w:pPr>
      <w:r>
        <w:t xml:space="preserve">a) La empresa </w:t>
      </w:r>
      <w:r w:rsidRPr="00B85568">
        <w:rPr>
          <w:i/>
        </w:rPr>
        <w:t>The chic corporation worldwide</w:t>
      </w:r>
      <w:r>
        <w:t>, S.L., subarrienda a don David Ros Leal —luego recurrente en amparo— un local sito en un centro comercial de la localidad de Cartagena. El contrato indica como domicilio de don David Ros Leal la calle Platería núm. 31 de la ciudad de Murcia tanto en su encabezamiento como en la cláusula 24, en este caso a efectos de comunicaciones. Don David, siendo poseedor del local en razón del señalado contrato, deja de desarrollar su actividad comercial dentro de él. Ante el impago de las rentas comprometidas, ambas partes emprenden sin éxito negociaciones amistosas.</w:t>
      </w:r>
    </w:p>
    <w:p w:rsidR="00B85568" w:rsidRDefault="00B85568" w:rsidP="00B85568">
      <w:pPr>
        <w:pStyle w:val="TextoNormal"/>
      </w:pPr>
    </w:p>
    <w:p w:rsidR="00B85568" w:rsidRDefault="00B85568" w:rsidP="00B85568">
      <w:pPr>
        <w:pStyle w:val="TextoNormal"/>
      </w:pPr>
      <w:r>
        <w:t>b) El 6 de marzo de 2013 la indicada mercantil interpone demanda de desahucio acumulando la reclamación de rentas frente a don David Ros Leal que recae en el Juzgado de primera instancia núm. 4 de Cartagena y que es admitida por decreto del Secretario judicial de 15 de mayo de 2013 con requerimiento al demandado de desalojo de la finca subarrendada, enervación del desahucio mediante el pago de las cantidades adeudadas o comparecencia y oposición a la demanda. En su escrito de demanda, la mercantil indica como domicilio del demandado el local subarrendado en Cartagena. Se intenta sin éxito la notificación de la demanda en el local señalado. La diligencia negativa de requerimiento hace constar que los empleados de un local comercial cercano afirman que el interesado se marchó del domicilio hace meses, al final de verano, y que se deja nota informativa. Se reitera después la notificación mediante edicto en el tablón de anuncios del Juzgado. Transcurrido el plazo concedido sin que la parte demandada compareciese o formulase oposición, el decreto de 12 de junio de 2013, notificado también por edictos, da por terminado el juicio de desahucio con traslado al demandante para que inste el despacho de ejecución. El lanzamiento judicial se produce a las 11:15 h. del 14 de junio de 2013. La diligencia judicial hace constar que “tras reiteradas llamadas a la puerta, nadie responde ni franquea la entrada, procediendo el cerrajero … a la apertura y descerrajamiento del local… El local se encuentra en estado de abandono, se aprecia una losa rota, no se aprecian más deterioros ni desperfectos”.</w:t>
      </w:r>
    </w:p>
    <w:p w:rsidR="00B85568" w:rsidRDefault="00B85568" w:rsidP="00B85568">
      <w:pPr>
        <w:pStyle w:val="TextoNormal"/>
      </w:pPr>
    </w:p>
    <w:p w:rsidR="00B85568" w:rsidRDefault="00B85568" w:rsidP="00B85568">
      <w:pPr>
        <w:pStyle w:val="TextoNormal"/>
      </w:pPr>
      <w:r>
        <w:t xml:space="preserve">c) El 23 de julio de 2013 </w:t>
      </w:r>
      <w:r w:rsidRPr="00B85568">
        <w:rPr>
          <w:i/>
        </w:rPr>
        <w:t>The chic corporation worldwide</w:t>
      </w:r>
      <w:r>
        <w:t>, S.L., interpone demanda ejecutiva reclamando 61.348,63 € más 18.404,59 € en concepto de intereses y costas de ejecución. La indicada demanda señala como domicilio del demandado la dirección de la ciudad de Murcia que figuraba en el contrato de subarrendamiento como domicilio a efectos de comunicaciones. Por Auto de 6 de noviembre de 2013, notificado al recurrente el 10 de diciembre siguiente, el Juzgado de Primera Instancia núm. 4 de Cartagena dicta orden general de ejecución del título judicial (decreto de 12 de junio de 2013 de desahucio 226-2013). Por decreto de 4 de diciembre de 2013, notificado al demandado el 11 del mismo mes, el Secretario Judicial ordena el embargo de saldos para cubrir la suma de 79.753,22 €.</w:t>
      </w:r>
    </w:p>
    <w:p w:rsidR="00B85568" w:rsidRDefault="00B85568" w:rsidP="00B85568">
      <w:pPr>
        <w:pStyle w:val="TextoNormal"/>
      </w:pPr>
    </w:p>
    <w:p w:rsidR="00B85568" w:rsidRDefault="00B85568" w:rsidP="00B85568">
      <w:pPr>
        <w:pStyle w:val="TextoNormal"/>
      </w:pPr>
      <w:r>
        <w:t>d) El 20 de diciembre de 2013, don David Ros Leal presenta escrito instando la nulidad del decreto de 15 de mayo de 2013 y las actuaciones posteriores del procedimiento de desahucio y del sucesivo de ejecución. El Juzgado lo desestima por Auto de 6 de marzo de 2014. Señala que el plazo para pedir la nulidad de actuaciones es de veinte días contados a partir de la notificación de la resolución o desde el momento en que se tiene conocimiento del defecto. Razona que el recurrente ostentaba el goce y disfrute del local al que se refería el proceso de desahucio por lo que tenía (o debía tener) conocimiento de ese proceso por lo menos a partir del momento en que se procedió a la apertura y descerrajamiento del local con entrega de las llaves y la posesión a la ejecutante. Habiendo transcurrido más de medio año desde el lanzamiento frente al demandado y la consiguiente pérdida de posesión, ha precluido el plazo para el planteamiento del incidente de nulidad de actuaciones. Añade que el recurrente no ha alegado ni demostrado la fuerza mayor que podría permitir entender prorrogado el plazo para solicitar la nulidad de actuaciones (art. 134 de la Ley de enjuiciamiento civil).</w:t>
      </w:r>
    </w:p>
    <w:p w:rsidR="00B85568" w:rsidRDefault="00B85568" w:rsidP="00B85568">
      <w:pPr>
        <w:pStyle w:val="TextoNormal"/>
      </w:pPr>
    </w:p>
    <w:p w:rsidR="00B85568" w:rsidRDefault="00B85568" w:rsidP="00B85568">
      <w:pPr>
        <w:pStyle w:val="TextoNormal"/>
      </w:pPr>
      <w:r>
        <w:t xml:space="preserve">e) El 3 de abril de 2014 tiene entrada en el Registro General del Tribunal Constitucional escrito del Procurador de los Tribunales don Jorge Deleito García en nombre y representación de don David Ros Leal y bajo la dirección letrada de don Pedro Luis Sáez López. El decreto del Secretario Judicial de 15 de mayo de 2013 y las actuaciones sucesivas vulnerarían el derecho fundamental a la tutela judicial efectiva (art. 24.1 CE) en su vertiente de acceso al proceso. El juicio verbal se tramitó sin audiencia del hoy recurrente en amparo porque el único intento de notificación de la demanda se realizó sin éxito en el local subarrendado objeto de las actuaciones, sin que el órgano judicial tuviera en cuenta que en el contrato de subarriendo incorporado a las actuaciones figuraba otro domicilio. De este modo, se incumpliría la doctrina constitucional sobre actos de notificación y emplazamiento (SSTC 191/2003, de 27 de octubre; 117/2005, de 9 de mayo; 21/2006, de 30 de enero; 150/2008, de 17 de noviembre, y 197/2013, de 2 de diciembre). A su vez, el Auto de 6 de marzo de 2014 desestimatorio del incidente de nulidad de actuaciones por extemporaneidad vulneraría el derecho fundamental a la tutela judicial efectiva (art. 24 CE) al aplicar e interpretar las normas procesales de modo erróneo, ilógico y arbitrario. Según el indicado Auto, el </w:t>
      </w:r>
      <w:r w:rsidRPr="00B85568">
        <w:rPr>
          <w:i/>
        </w:rPr>
        <w:t>dies a quo</w:t>
      </w:r>
      <w:r>
        <w:t xml:space="preserve"> del plazo para la formulación del incidente se correspondía con la fecha del lanzamiento habida cuenta de que el demandante conocía o debía conocer el proceso de desahucio al encontrarse en la situación de goce y disfrute del local. Según la demanda, ello entraría en contradicción con datos resultantes de las actuaciones, en particular, que el recurrente había cambiado de domicilio y que su local se hallaba en estado de abandono.</w:t>
      </w:r>
    </w:p>
    <w:p w:rsidR="00B85568" w:rsidRDefault="00B85568" w:rsidP="00B85568">
      <w:pPr>
        <w:pStyle w:val="TextoNormal"/>
      </w:pPr>
    </w:p>
    <w:p w:rsidR="00B85568" w:rsidRDefault="00B85568" w:rsidP="00B85568">
      <w:pPr>
        <w:pStyle w:val="TextoNormal"/>
      </w:pPr>
      <w:r>
        <w:t>f) Por providencia de 16 de febrero de 2015, la Sección Segunda del Tribunal Constitucional acuerda inadmitir a trámite el recurso de amparo dada la manifiesta inexistencia de violación de un derecho fundamental tutelable en amparo; violación que, de acuerdo con el art. 44.1 de la Ley Orgánica del Tribunal Constitucional (LOTC), es condición para que el Tribunal pueda ejercer dicha tutela.</w:t>
      </w:r>
    </w:p>
    <w:p w:rsidR="00B85568" w:rsidRDefault="00B85568" w:rsidP="00B85568">
      <w:pPr>
        <w:pStyle w:val="TextoNormal"/>
      </w:pPr>
    </w:p>
    <w:p w:rsidR="00B85568" w:rsidRDefault="00B85568" w:rsidP="00B85568">
      <w:pPr>
        <w:pStyle w:val="TextoNormal"/>
      </w:pPr>
      <w:r w:rsidRPr="00B85568">
        <w:rPr>
          <w:rStyle w:val="NumeroAFNegritaCaracter"/>
        </w:rPr>
        <w:t>3</w:t>
      </w:r>
      <w:r>
        <w:t>. En su recurso de súplica, el Ministerio Final razona, con las necesarias cautelas derivadas del presente momento procesal, que el examen del recurso de amparo no permite descartar que el Decreto del Secretario Judicial de 15 de mayo de 2013 y las actuaciones sucesivas hayan vulnerado el derecho a la tutela judicial efectiva (art. 24.1 CE) del demandante de amparo; lesión que el Auto de 6 de marzo de 2014 habría dejado de reparar al desestimar el incidente de nulidad de actuaciones. La actuación del órgano judicial estaría en contradicción con el deber judicial de diligencia en la localización y averiguación del domicilio real de los demandados (STC 30/2014, de 24 de febrero). Se acordó la notificación de la demanda de desahucio y el requerimiento de pago al recurrente en amparo en el domicilio indicado por la entidad actora, que coincidía con el lugar de ubicación del local subarrendado. Resultando negativa la diligencia de emplazamiento, el órgano judicial no habría llevado a cabo la más mínima diligencia de averiguación del domicilio real del demandante de amparo, limitándose a acordar la práctica del emplazamiento y requerimiento de pago por medio de edictos y ello pese a constar en las actuaciones judiciales copia del contrato de subarriendo cuya cláusula vigésimo cuarta indicaba otro domicilio para la práctica de notificaciones. Por todo lo cual, el Ministerio Fiscal solicita que se deje sin efecto la providencia de 16 de febrero de 2015 por la que se inadmitió el recurso de amparo ante la manifiesta inexistencia de violación de un derecho fundamental.</w:t>
      </w:r>
    </w:p>
    <w:p w:rsidR="00B85568" w:rsidRDefault="00B85568" w:rsidP="00B85568">
      <w:pPr>
        <w:pStyle w:val="TextoNormal"/>
      </w:pPr>
    </w:p>
    <w:p w:rsidR="00B85568" w:rsidRDefault="00B85568" w:rsidP="00B85568">
      <w:pPr>
        <w:pStyle w:val="TextoNormal"/>
      </w:pPr>
      <w:r w:rsidRPr="00B85568">
        <w:rPr>
          <w:rStyle w:val="NumeroAFNegritaCaracter"/>
        </w:rPr>
        <w:t>4</w:t>
      </w:r>
      <w:r>
        <w:t>. Por diligencia de ordenación de 30 de marzo de 2015, el Secretario de Justicia de la Sala Primera del Tribunal Constitucional tiene por recibido el escrito del Ministerio Fiscal y acuerda dar trasladado al demandante de amparo para que alegue lo que estime conveniente de conformidad con el art. 93.2 LOTC.</w:t>
      </w:r>
    </w:p>
    <w:p w:rsidR="00B85568" w:rsidRDefault="00B85568" w:rsidP="00B85568">
      <w:pPr>
        <w:pStyle w:val="TextoNormal"/>
      </w:pPr>
    </w:p>
    <w:p w:rsidR="00B85568" w:rsidRDefault="00B85568" w:rsidP="00B85568">
      <w:pPr>
        <w:pStyle w:val="TextoNormal"/>
      </w:pPr>
      <w:r w:rsidRPr="00B85568">
        <w:rPr>
          <w:rStyle w:val="NumeroAFNegritaCaracter"/>
        </w:rPr>
        <w:t>5</w:t>
      </w:r>
      <w:r>
        <w:t>. El 9 de abril de 2015 tiene entrada en el Registro General de este Tribunal escrito del Procurador don Jorge Deleito García en nombre y representación de don David Ros Leal adhiriéndose a los fundamentos y solicitud del recurso de súplica presentado por el Ministerio Fiscal.</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Ministerio Fiscal razona que el Decreto de 15 de mayo de 2013 dictado en el juicio verbal de desahucio tramitado con núm. 226-2013 en el Juzgado de Primera Instancia núm. 4 de Cartagena y las actuaciones posteriores podrían vulnerar el art. 24.1 CE por incumplir la doctrina constitucional sobre actos de notificación y emplazamiento. Nada dice sobre el Auto de 6 de marzo de 2014 desestimatorio del incidente de nulidad de actuaciones, salvo que dejó de reparar aquella vulneración.</w:t>
      </w:r>
    </w:p>
    <w:p w:rsidR="00B85568" w:rsidRDefault="00B85568" w:rsidP="00B85568">
      <w:pPr>
        <w:pStyle w:val="TextoNormal"/>
      </w:pPr>
    </w:p>
    <w:p w:rsidR="00B85568" w:rsidRDefault="00B85568" w:rsidP="00B85568">
      <w:pPr>
        <w:pStyle w:val="TextoNormal"/>
      </w:pPr>
      <w:r>
        <w:t>El demandante de amparo dirige al señalado Auto un reproche autónomo; habría vulnerado su derecho fundamental a la tutela judicial efectiva (art. 24.1 CE) por aplicar e interpretar las normas procesales de modo erróneo, ilógico y arbitrario. Corresponde abordar en primer término esta queja.</w:t>
      </w:r>
    </w:p>
    <w:p w:rsidR="00B85568" w:rsidRDefault="00B85568" w:rsidP="00B85568">
      <w:pPr>
        <w:pStyle w:val="TextoNormal"/>
      </w:pPr>
    </w:p>
    <w:p w:rsidR="00B85568" w:rsidRDefault="00B85568" w:rsidP="00B85568">
      <w:pPr>
        <w:pStyle w:val="TextoNormal"/>
      </w:pPr>
      <w:r>
        <w:t>El Auto de 6 de marzo de 2014 se apoya en varios elementos fácticos para inferir que el recurrente conocía o debía conocer extraprocesalmente el proceso de desahucio instado contra él, apreciando la extemporaneidad del incidente de nulidad de actuaciones. Transcurrió más de medio año desde que el recurrente perdió la posesión del local que tenía arrendado como consecuencia del lanzamiento y la efectiva apertura. Se afirma por ello que se superó con creces el plazo de veinte días para formular el incidente; el recurrente en amparo, en tanto que poseedor del local, debía conocer el juicio verbal de desahucio entablado contra él como mínimo a partir del descerrajamiento. Se añade que el recurrente no ha alegado ni demostrado la fuerza mayor que podría permitir entender prorrogado el plazo para solicitar la nulidad de actuaciones.</w:t>
      </w:r>
    </w:p>
    <w:p w:rsidR="00B85568" w:rsidRDefault="00B85568" w:rsidP="00B85568">
      <w:pPr>
        <w:pStyle w:val="TextoNormal"/>
      </w:pPr>
    </w:p>
    <w:p w:rsidR="00B85568" w:rsidRDefault="00B85568" w:rsidP="00B85568">
      <w:pPr>
        <w:pStyle w:val="TextoNormal"/>
      </w:pPr>
      <w:r>
        <w:t>La valoración de la prueba pertenece a la esfera competencial reservada a los órganos integrados en el poder judicial. El Tribunal Constitucional carece de facultades para apreciar, subrogándose en las funciones de los Tribunales ordinarios, el material probatorio ante ellos aportado. De ahí que el Auto de 6 de marzo de 2014, al desestimar el incidente de nulidad de actuaciones por entender que hacía meses que el recurrente debía conocer el juicio de desahucio, se ajustó al canon de razonabilidad que impone el derecho a la tutela judicial efectiva (por todas, STC 37/1995, de 7 de febrero, FJ 5).</w:t>
      </w:r>
    </w:p>
    <w:p w:rsidR="00B85568" w:rsidRDefault="00B85568" w:rsidP="00B85568">
      <w:pPr>
        <w:pStyle w:val="TextoNormal"/>
      </w:pPr>
    </w:p>
    <w:p w:rsidR="00B85568" w:rsidRDefault="00B85568" w:rsidP="00B85568">
      <w:pPr>
        <w:pStyle w:val="TextoNormal"/>
      </w:pPr>
      <w:r>
        <w:t>A su vez, el recurrente en amparo, al coadyuvar a la producción del resultado dañoso a través de la falta de diligencia en el cuidado de los derechos propios, no puede dirigir una queja de indefensión material a las actuaciones del juicio verbal de desahucio (por todas, STC 31/2012, de 12 de marzo, FJ 3), por más que, en efecto, se produjeran irregularidades formales que de otro modo pudieran reputarse vulneradoras del art. 24.1 CE, tal como afirma el Ministerio Fiscal. Hay que tener en cuenta que el recurso de amparo carece en todo caso de la especial trascendencia constitucional exigida como condición de admisibilidad [art. 50.1 b) de la Ley Orgánica del Tribunal Constitucional]. El Tribunal Constitucional ha dispuesto recientemente de varias ocasiones para fijar doctrina sobre el art. 24.1 CE en relación con problemas de emplazamiento y notificaciones edictales (SSTC 122/2013, de 20 de mayo, 30/2014, de 24 de febrero, 169/2014, de 22 de octubre, y 137/2014, de 8 de septiembre), sin que entreveamos en este caso circunstancias justificativas de una resolución de fondo en razón de su especial trascendencia constitucional. Procede en consecuencia desestimar el recurso de súplica.</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16 de febrero de 2015.</w:t>
      </w:r>
    </w:p>
    <w:p w:rsidR="00B85568" w:rsidRDefault="00B85568" w:rsidP="00B85568">
      <w:pPr>
        <w:pStyle w:val="TextoNormal"/>
      </w:pPr>
    </w:p>
    <w:p w:rsidR="00B85568" w:rsidRDefault="00B85568" w:rsidP="00B85568">
      <w:pPr>
        <w:pStyle w:val="TextoNormal"/>
      </w:pPr>
      <w:r>
        <w:t>Madrid, a dieciocho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7" w:name="AUTO_2015_87"/>
      <w:r>
        <w:t>AUTO 87/2015, de 18 de mayo de 2015</w:t>
      </w:r>
    </w:p>
    <w:bookmarkEnd w:id="237"/>
    <w:p w:rsidR="00B85568" w:rsidRDefault="00B85568" w:rsidP="00B85568">
      <w:pPr>
        <w:pStyle w:val="TtuloResolucin"/>
      </w:pPr>
      <w:r>
        <w:t>Sección Segunda</w:t>
      </w:r>
    </w:p>
    <w:p w:rsidR="00B85568" w:rsidRDefault="00B85568" w:rsidP="00B85568">
      <w:pPr>
        <w:pStyle w:val="TextoNormalCentrado"/>
      </w:pPr>
      <w:r>
        <w:t>ECLI:ES:TC:2015:87A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6009-2014, promovido por don Eufemiano Díaz Hernández y doña María de la Peña Armas Padilla, en proceso hipotecario.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el 5 de marzo de 2015 en el Registro General de este Tribunal el Fiscal ante el Tribunal Constitucional interpone recurso de súplica contra la providencia de la Sección Segunda de 2 de febrero de 2015 que acordó la inadmisión del recurso de amparo núm. 6009-2014.</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relevantes en este proceso son, sucintamente expuestos, los siguientes:</w:t>
      </w:r>
    </w:p>
    <w:p w:rsidR="00B85568" w:rsidRDefault="00B85568" w:rsidP="00B85568">
      <w:pPr>
        <w:pStyle w:val="TextoNormal"/>
      </w:pPr>
    </w:p>
    <w:p w:rsidR="00B85568" w:rsidRDefault="00B85568" w:rsidP="00B85568">
      <w:pPr>
        <w:pStyle w:val="TextoNormal"/>
      </w:pPr>
      <w:r>
        <w:t>a) El 7 de octubre de 2014 tiene entrada en el Registro General del Tribunal Constitucional escrito de la Procuradora de los Tribunales doña Esther-Josefina Rodríguez Pérez en nombre y representación de don Eufemiano Díaz Hernández y doña María de la Peña Armas Padilla bajo la asistencia letrada del Abogado don Rafael Sancho Verdugo por el que se interpone recurso de amparo contra resoluciones dictadas en el procedimiento de ejecución hipotecaria núm. 980-2011 del Juzgado de Primera Instancia núm. 2 de Santa Cruz de Tenerife. La diligencia de ordenación de 22 de marzo de 2013 infringiría el art. 24.1 CE por acordar edictalmente el requerimiento de pago a los ejecutados sin que el Juzgado agotara los medios a su alcance para notificar personalmente la resolución en el domicilio de los ejecutados. La diligencia de ordenación de 2 de mayo de 2014 —que señala fecha para la celebración de la subasta de la vivienda—, fue ya comunicada personalmente en el domicilio de los ejecutados. No obstante, la notificación fue recogida por la empleada del hogar que, desconociendo el paradero de los ejecutados —ausentes por varios días—, no pudo comunicarles la recepción de la diligencia de ordenación. De modo que los recurrentes, según afirman, sólo tuvieron conocimiento del procedimiento a su regreso el 17 de junio de 2014. Ello no lo habría tenido en cuenta la providencia de 22 de julio de 2014 al inadmitir el incidente de nulidad de actuaciones declarando que “puesto que no se recurrió en el plazo conferido la diligencia de ordenación de fecha de 2 de mayo de 2014 notificada en legal forma el 8 de mayo de 2014”.</w:t>
      </w:r>
    </w:p>
    <w:p w:rsidR="00B85568" w:rsidRDefault="00B85568" w:rsidP="00B85568">
      <w:pPr>
        <w:pStyle w:val="TextoNormal"/>
      </w:pPr>
    </w:p>
    <w:p w:rsidR="00B85568" w:rsidRDefault="00B85568" w:rsidP="00B85568">
      <w:pPr>
        <w:pStyle w:val="TextoNormal"/>
      </w:pPr>
      <w:r>
        <w:t>El escrito incluye un apartado sobre “especial trascendencia constitucional del recurso de amparo”. Allí razona que la especial trascendencia “reside, de una parte, en la infracción del derecho de los ejecutados reconocido en el art. 24.1 CE, al acordarse por el Juzgado, mediante diligencia de ordenación del 22 de marzo de 2013, la notificación y requerimiento del pago edictalmente, sin haber agotado todos los medios a su alcance para notificarles y requerirles personalmente”; y “de otra parte, respecto de la providencia de 22 de julio de 2014, en el valor jurídico que deba reconocerse a la notificación no personal realizada el día 8 de mayo de 2014, en el domicilio de mis mandantes y en la persona de la empleada del hogar”. La demanda afirma que “la interpretación de la juzgadora es contraria a la mantenida por ese Tribunal Constitucional sobre la obligación de los órganos judiciales de agotar todos los medios a su alcance para notificar a la parte ejecutada la existencia del procedimiento seguido contra ella”.</w:t>
      </w:r>
    </w:p>
    <w:p w:rsidR="00B85568" w:rsidRDefault="00B85568" w:rsidP="00B85568">
      <w:pPr>
        <w:pStyle w:val="TextoNormal"/>
      </w:pPr>
    </w:p>
    <w:p w:rsidR="00B85568" w:rsidRDefault="00B85568" w:rsidP="00B85568">
      <w:pPr>
        <w:pStyle w:val="TextoNormal"/>
      </w:pPr>
      <w:r>
        <w:t>b) Por providencia de 2 de febrero de 2015, la Sección Segunda del Tribunal Constitucional acuerda inadmitir a trámite el recurso de amparo por no satisfacer la carga de justificar la especial trascendencia constitucional del recurso (art. 49.1 de la Ley Orgánica del Tribunal Constitucional: LOTC), lo que, conforme a reiterada jurisprudencia constitucional, requiere de una argumentación específica y suficiente (STC 69/2011, de 16 de mayo, FFJJ 2 y 3, y jurisprudencia allí citada).</w:t>
      </w:r>
    </w:p>
    <w:p w:rsidR="00B85568" w:rsidRDefault="00B85568" w:rsidP="00B85568">
      <w:pPr>
        <w:pStyle w:val="TextoNormal"/>
      </w:pPr>
    </w:p>
    <w:p w:rsidR="00B85568" w:rsidRDefault="00B85568" w:rsidP="00B85568">
      <w:pPr>
        <w:pStyle w:val="TextoNormal"/>
      </w:pPr>
      <w:r w:rsidRPr="00B85568">
        <w:rPr>
          <w:rStyle w:val="NumeroAFNegritaCaracter"/>
        </w:rPr>
        <w:t>3</w:t>
      </w:r>
      <w:r>
        <w:t>. En su recurso de súplica, el Ministerio Fiscal solicita que se deje sin efecto la providencia de inadmisión y que se repongan las actuaciones al momento anterior a fin de que la Sección vuelva a decidir sobre la admisión de la demanda de amparo. Apoyándose en votos particulares de los Magistrados don Eugenio Gay Montalvo (al ATC 108/2008) y don Fernando Valdés Dal-Ré (al ATC 28/2013) afirma que la justificación de la especial trascendencia constitucional puede llegar a inferirse de los argumentos de la demanda. Sobre esta base, considera que los recurrentes han cumplido la carga de justificar la especial trascendencia constitucional del recurso. Señala en primer término que la demanda de amparo reproduce el fundamento jurídico 4 de la STC 28/2010, donde se destaca “la especial trascendencia constitucional de los actos de comunicación del órgano judicial con las partes, en particular el emplazamiento, citación o notificación a quien ha de ser o puede ser parte en el procedimiento”. Indica en segundo lugar que la demanda contiene un apartado específico sobre esta condición de admisibilidad; allí se afirma que la interpretación de la juzgadora es contraria a la mantenida por el Tribunal Constitucional. Los recurrentes no lo mencionan expresamente, pero este argumento sería fácilmente reconducible al supuesto f) del fundamento jurídico 2 de la STC 155/1999 (negativa manifiesta del deber de acatamiento de la doctrina constitucional). A su vez, no podría perderse de vista que la actuación del órgano judicial tiene lugar en el contexto de un nuevo marco normativo como consecuencia de la redacción dada a los arts. 161 y 686 de la Ley de enjuiciamiento civil por la Ley 13/2009. Este nuevo marco normativo dotaría de especial trascendencia al recurso tal como reconoció la STC 122/2013, FJ 2.</w:t>
      </w:r>
    </w:p>
    <w:p w:rsidR="00B85568" w:rsidRDefault="00B85568" w:rsidP="00B85568">
      <w:pPr>
        <w:pStyle w:val="TextoNormal"/>
      </w:pPr>
    </w:p>
    <w:p w:rsidR="00B85568" w:rsidRDefault="00B85568" w:rsidP="00B85568">
      <w:pPr>
        <w:pStyle w:val="TextoNormal"/>
      </w:pPr>
      <w:r w:rsidRPr="00B85568">
        <w:rPr>
          <w:rStyle w:val="NumeroAFNegritaCaracter"/>
        </w:rPr>
        <w:t>4</w:t>
      </w:r>
      <w:r>
        <w:t>. Por diligencia de ordenación de 9 de marzo de 2015, el Secretario de Justicia de la Sala Primera del Tribunal Constitucional tiene por recibido el escrito del Ministerio Fiscal y acuerda dar trasladado a los demandantes de amparo para que aleguen lo que estimen conveniente de conformidad con el art. 93.2 LOTC.</w:t>
      </w:r>
    </w:p>
    <w:p w:rsidR="00B85568" w:rsidRDefault="00B85568" w:rsidP="00B85568">
      <w:pPr>
        <w:pStyle w:val="TextoNormal"/>
      </w:pPr>
    </w:p>
    <w:p w:rsidR="00B85568" w:rsidRDefault="00B85568" w:rsidP="00B85568">
      <w:pPr>
        <w:pStyle w:val="TextoNormal"/>
      </w:pPr>
      <w:r w:rsidRPr="00B85568">
        <w:rPr>
          <w:rStyle w:val="NumeroAFNegritaCaracter"/>
        </w:rPr>
        <w:t>5</w:t>
      </w:r>
      <w:r>
        <w:t>. El 25 de marzo de 2015 tiene entrada en el Registro General de este Tribunal escrito de la Procuradora de los Tribunales Esther-Josefina Rodríguez Pérez en representación de los demandantes de amparo adhiriéndose al recurso de súplica presentado por el Ministerio Fiscal.</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 xml:space="preserve">Único. Quien recurra en amparo “ha de satisfacer necesariamente, de acuerdo con lo dispuesto en el art. 49.1 </w:t>
      </w:r>
      <w:r w:rsidRPr="00B85568">
        <w:rPr>
          <w:i/>
        </w:rPr>
        <w:t>in fine</w:t>
      </w:r>
      <w:r>
        <w:t xml:space="preserve"> LOTC, la carga de justificar en la demanda la especial trascendencia constitucional del recurso” (STC 155/2009, de 25 de junio, FJ 2, citando los AATC 188/2008, de 21 de julio, 289/2008 y 290/2008, de 22 de septiembre). Este requisito se configura como una carga procesal de la parte e “instrumento de colaboración con la Justicia constitucional”; “el legislador ha querido que la valoración del Tribunal acerca de la especial trascendencia constitucional de cada recurso venga siempre precedida de la iniciativa y apreciaciones de la parte, recogidas en su escrito de demanda” (STC 69/2011, de 16 de mayo, FJ 3). La carga de justificar esta especial trascendencia consiste en un “esfuerzo argumental” (ATC 154/2010, de 15 de noviembre, FJ 4) que ponga en conexión las vulneraciones constitucionales alegadas con los criterios del art. 50.1 b) de la Ley Orgánica del Tribunal Constitucional (LOTC), explicitando la “proyección objetiva del amparo solicitado” y traduciendo en el plano formal (art. 49.1 LOTC) la exigencia material de la especial trascendencia constitucional del asunto (ATC 264/2009, de 16 de noviembre, FJ único).</w:t>
      </w:r>
    </w:p>
    <w:p w:rsidR="00B85568" w:rsidRDefault="00B85568" w:rsidP="00B85568">
      <w:pPr>
        <w:pStyle w:val="TextoNormal"/>
      </w:pPr>
    </w:p>
    <w:p w:rsidR="00B85568" w:rsidRDefault="00B85568" w:rsidP="00B85568">
      <w:pPr>
        <w:pStyle w:val="TextoNormal"/>
      </w:pPr>
      <w:r>
        <w:t>Por esta razón, no basta razonar la existencia de la vulneración de un derecho fundamental (SSTC 17/2011, de 28 de febrero, FJ 2; 69/2011, de 16 de mayo, FJ 3; 143/2011, de 26 de septiembre, FJ 2;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w:t>
      </w:r>
    </w:p>
    <w:p w:rsidR="00B85568" w:rsidRDefault="00B85568" w:rsidP="00B85568">
      <w:pPr>
        <w:pStyle w:val="TextoNormal"/>
      </w:pPr>
    </w:p>
    <w:p w:rsidR="00B85568" w:rsidRDefault="00B85568" w:rsidP="00B85568">
      <w:pPr>
        <w:pStyle w:val="TextoNormal"/>
      </w:pPr>
      <w:r>
        <w:t>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w:t>
      </w:r>
    </w:p>
    <w:p w:rsidR="00B85568" w:rsidRDefault="00B85568" w:rsidP="00B85568">
      <w:pPr>
        <w:pStyle w:val="TextoNormal"/>
      </w:pPr>
    </w:p>
    <w:p w:rsidR="00B85568" w:rsidRDefault="00B85568" w:rsidP="00B85568">
      <w:pPr>
        <w:pStyle w:val="TextoNormal"/>
      </w:pPr>
      <w:r>
        <w:t xml:space="preserve">A su vez, y por la misma razón, no cabe entender cumplida esta carga argumental por el hecho de que pueda apreciarse que el recurso de amparo reviste efectivamente especial trascendencia constitucional: “Si se elude esta carga formal, no cabe trasladársela al Tribunal Constitucional, para que éste supla las deficiencias en que incurre la demanda a través de un ejercicio intelectual del que resulten las razones por las que el recurrente parece que entiende que sus pretensiones tienen una dimensión objetiva” (STC 176/2012, de 15 de octubre, FJ 4). Además, “razonando de este modo, acaban confundiéndose dos requisitos que la Ley Orgánica del Tribunal Constitucional diferencia y quiere mantener separados: la justificación de la especial trascendencia constitucional del recurso (art. 49.1 </w:t>
      </w:r>
      <w:r w:rsidRPr="00B85568">
        <w:rPr>
          <w:i/>
        </w:rPr>
        <w:t>in fine</w:t>
      </w:r>
      <w:r>
        <w:t xml:space="preserve"> LOTC), por un lado, y la existencia misma de tal especial trascendencia [art. 50.1 b) LOTC], por otro”; si “considerásemos que para tener por cumplido el primer requisito basta hallar la proyección objetiva que verdaderamente tiene el recurso, estaríamos soslayando la exigencia del art. 49.1 </w:t>
      </w:r>
      <w:r w:rsidRPr="00B85568">
        <w:rPr>
          <w:i/>
        </w:rPr>
        <w:t>in fine</w:t>
      </w:r>
      <w:r>
        <w:t xml:space="preserve"> LOTC, como si fuera una indicación legal puramente superflua que nada añade a lo dispuesto en el apartado 1 b) del artículo siguiente” (STC 176/2012, de 15 de octubre, FJ 4). En definitiva, no cabe eludir el hecho de que un recurso no justifica su especial trascendencia constitucional mediante la vía de subrayar las razones por las que podría tenerla efectivamente.</w:t>
      </w:r>
    </w:p>
    <w:p w:rsidR="00B85568" w:rsidRDefault="00B85568" w:rsidP="00B85568">
      <w:pPr>
        <w:pStyle w:val="TextoNormal"/>
      </w:pPr>
    </w:p>
    <w:p w:rsidR="00B85568" w:rsidRDefault="00B85568" w:rsidP="00B85568">
      <w:pPr>
        <w:pStyle w:val="TextoNormal"/>
      </w:pPr>
      <w:r>
        <w:t>A la vista de esta doctrina, es claro que no puede inferirse el cumplimiento de esta carga procesal a partir del interés objetivo que, a juicio del Ministerio Fiscal, tendría una resolución de fondo del presente recurso de amparo. A su vez, los argumentos de la demanda en orden a justificar su especial trascendencia constitucional —reproducidos en los antecedentes— no despegan en modo alguno de las vulneraciones denunciadas; no dan razón alguna por la que una decisión de fondo sería objetivamente relevante para la interpretación y general eficacia de la Constitución. Procede en consecuencia desestimar el recurso de súplica.</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la Sección Segunda de 2 de febrero de 2015.</w:t>
      </w:r>
    </w:p>
    <w:p w:rsidR="00B85568" w:rsidRDefault="00B85568" w:rsidP="00B85568">
      <w:pPr>
        <w:pStyle w:val="TextoNormal"/>
      </w:pPr>
    </w:p>
    <w:p w:rsidR="00B85568" w:rsidRDefault="00B85568" w:rsidP="00B85568">
      <w:pPr>
        <w:pStyle w:val="TextoNormal"/>
      </w:pPr>
      <w:r>
        <w:t>Madrid, a dieciocho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8" w:name="AUTO_2015_88"/>
      <w:r>
        <w:t>AUTO 88/2015, de 25 de mayo de 2015</w:t>
      </w:r>
    </w:p>
    <w:bookmarkEnd w:id="238"/>
    <w:p w:rsidR="00B85568" w:rsidRDefault="00B85568" w:rsidP="00B85568">
      <w:pPr>
        <w:pStyle w:val="TtuloResolucin"/>
      </w:pPr>
      <w:r>
        <w:t>Sala Primera</w:t>
      </w:r>
    </w:p>
    <w:p w:rsidR="00B85568" w:rsidRDefault="00B85568" w:rsidP="00B85568">
      <w:pPr>
        <w:pStyle w:val="TextoNormalCentrado"/>
      </w:pPr>
      <w:r>
        <w:t>ECLI:ES:TC:2015:88A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Declara que no se ha producido funcionamiento anormal en la tramitación del recurso de amparo 1453-2013, promovido por don Christian Johnson en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27 de noviembre de 2014 el Procurador de los Tribunales don José Carlos Romero García en nombre y representación de don Christian Johnson, bajo la dirección letrada de don Miquel Nadal Borras, presenta escrito solicitando que este Tribunal dicte resolución por la que declare expresamente un funcionamiento anormal por dilaciones indebidas en la tramitación del recurso de amparo núm. 1453-2013 promovido en su día por su representado.</w:t>
      </w:r>
    </w:p>
    <w:p w:rsidR="00B85568" w:rsidRDefault="00B85568" w:rsidP="00B85568">
      <w:pPr>
        <w:pStyle w:val="TextoNormal"/>
      </w:pPr>
    </w:p>
    <w:p w:rsidR="00B85568" w:rsidRDefault="00B85568" w:rsidP="00B85568">
      <w:pPr>
        <w:pStyle w:val="TextoNormal"/>
      </w:pPr>
      <w:r w:rsidRPr="00B85568">
        <w:rPr>
          <w:rStyle w:val="NumeroAFNegritaCaracter"/>
        </w:rPr>
        <w:t>2</w:t>
      </w:r>
      <w:r>
        <w:t>. Esa petición tiene su origen en los siguientes antecedentes:</w:t>
      </w:r>
    </w:p>
    <w:p w:rsidR="00B85568" w:rsidRDefault="00B85568" w:rsidP="00B85568">
      <w:pPr>
        <w:pStyle w:val="TextoNormal"/>
      </w:pPr>
    </w:p>
    <w:p w:rsidR="00B85568" w:rsidRDefault="00B85568" w:rsidP="00B85568">
      <w:pPr>
        <w:pStyle w:val="TextoNormal"/>
      </w:pPr>
      <w:r>
        <w:t>a) El 12 de marzo 2013 tiene entrada en el Registro General del Tribunal Constitucional escrito por el que el Procurador de los Tribunales don José Carlos Romero García en nombre y representación de don Christian Johnson, bajo la dirección letrada de don Darío García Aznar, “prepara y/o anuncia” el recurso de amparo contra el Auto de la Sala de lo Penal del Tribunal Supremo de 21 de febrero de 2013 dictado en el recurso de casación núm. 1342-2012 y la Sentencia de la Sección Vigesimoprimera de la Audiencia Provincial de Barcelona, de lo penal, de 20 de abril de 2012 en el rollo núm. 12-2011.</w:t>
      </w:r>
    </w:p>
    <w:p w:rsidR="00B85568" w:rsidRDefault="00B85568" w:rsidP="00B85568">
      <w:pPr>
        <w:pStyle w:val="TextoNormal"/>
      </w:pPr>
    </w:p>
    <w:p w:rsidR="00B85568" w:rsidRDefault="00B85568" w:rsidP="00B85568">
      <w:pPr>
        <w:pStyle w:val="TextoNormal"/>
      </w:pPr>
      <w:r>
        <w:t>b) Por diligencia de ordenación de 19 de marzo de 2013 el Secretario de Justicia de la Sala Primera del Tribunal Constitucional tiene por recibido el anterior escrito con los documentos adjuntos y ordena su notificación al Ministerio Fiscal y a la representación del demandante.</w:t>
      </w:r>
    </w:p>
    <w:p w:rsidR="00B85568" w:rsidRDefault="00B85568" w:rsidP="00B85568">
      <w:pPr>
        <w:pStyle w:val="TextoNormal"/>
      </w:pPr>
    </w:p>
    <w:p w:rsidR="00B85568" w:rsidRDefault="00B85568" w:rsidP="00B85568">
      <w:pPr>
        <w:pStyle w:val="TextoNormal"/>
      </w:pPr>
      <w:r>
        <w:t>c) Por diligencia de ordenación de 2 de abril de 2013 el Secretario de Justicia de la Sala Primera del Tribunal Constitucional libra despacho al Colegio de Abogados de Madrid para que designe al recurrente nuevo Letrado del turno de oficio.</w:t>
      </w:r>
    </w:p>
    <w:p w:rsidR="00B85568" w:rsidRDefault="00B85568" w:rsidP="00B85568">
      <w:pPr>
        <w:pStyle w:val="TextoNormal"/>
      </w:pPr>
    </w:p>
    <w:p w:rsidR="00B85568" w:rsidRDefault="00B85568" w:rsidP="00B85568">
      <w:pPr>
        <w:pStyle w:val="TextoNormal"/>
      </w:pPr>
      <w:r>
        <w:t>d) El 8 de abril de 2013 tiene entrada escrito de don Christian Johnson suscrito por el Abogado don Miquel Nadal Borras por el que anuncia su intención de interponer recurso de amparo contra las resoluciones judiciales precitadas a la vez que solicita el nombramiento de Procurador de los Tribunales de Madrid por el servicio del turno de oficio, “continuando el Abogado designado desde Barcelona con la asistencia letrada que firma conmigo”.</w:t>
      </w:r>
    </w:p>
    <w:p w:rsidR="00B85568" w:rsidRDefault="00B85568" w:rsidP="00B85568">
      <w:pPr>
        <w:pStyle w:val="TextoNormal"/>
      </w:pPr>
    </w:p>
    <w:p w:rsidR="00B85568" w:rsidRDefault="00B85568" w:rsidP="00B85568">
      <w:pPr>
        <w:pStyle w:val="TextoNormal"/>
      </w:pPr>
      <w:r>
        <w:t>e) Por diligencia de ordenación de 10 de abril de 2013 el Secretario de Justicia de la Sala Primera del Tribunal Constitucional tiene por recibido el precedente escrito con los documentos adjuntos, hace constar que el Procurador don José Carlos Romero García continúa ostentando la representación de don Christian Johnson y concede plazo de diez días para que el citado Procurador aclare cuál de los Letrados que han suscrito escritos anunciando la interposición del recurso de amparo (don Darío García Aznar y don Miquel Nadal Borrás) va a asumir la defensa.</w:t>
      </w:r>
    </w:p>
    <w:p w:rsidR="00B85568" w:rsidRDefault="00B85568" w:rsidP="00B85568">
      <w:pPr>
        <w:pStyle w:val="TextoNormal"/>
      </w:pPr>
    </w:p>
    <w:p w:rsidR="00B85568" w:rsidRDefault="00B85568" w:rsidP="00B85568">
      <w:pPr>
        <w:pStyle w:val="TextoNormal"/>
      </w:pPr>
      <w:r>
        <w:t>f) El 19 de abril de 2013 tiene entrada en el Registro General del Tribunal Constitucional escrito por el que el Ilustre Colegio de Abogados de Madrid comunica la designación del Procurador don José Carlos Romero García y del Abogado don José Luis Sanz López para la representación y defensa, respectivamente, de don Christian Johnson ante el Tribunal Constitucional.</w:t>
      </w:r>
    </w:p>
    <w:p w:rsidR="00B85568" w:rsidRDefault="00B85568" w:rsidP="00B85568">
      <w:pPr>
        <w:pStyle w:val="TextoNormal"/>
      </w:pPr>
    </w:p>
    <w:p w:rsidR="00B85568" w:rsidRDefault="00B85568" w:rsidP="00B85568">
      <w:pPr>
        <w:pStyle w:val="TextoNormal"/>
      </w:pPr>
      <w:r>
        <w:t>g) El 22 de abril de 2013 tiene entrada en el Registro General del Tribunal Constitucional escrito por el que el Procurador de los Tribunales don José Carlos Romero García en nombre y representación de don Christian Johnson aclara que el Abogado don Miquel Nadal Borras asumirá la defensa y solicita plazo de treinta días para formalizar el recurso de amparo constitucional.</w:t>
      </w:r>
    </w:p>
    <w:p w:rsidR="00B85568" w:rsidRDefault="00B85568" w:rsidP="00B85568">
      <w:pPr>
        <w:pStyle w:val="TextoNormal"/>
      </w:pPr>
    </w:p>
    <w:p w:rsidR="00B85568" w:rsidRDefault="00B85568" w:rsidP="00B85568">
      <w:pPr>
        <w:pStyle w:val="TextoNormal"/>
      </w:pPr>
      <w:r>
        <w:t>h) Por diligencia de ordenación de 23 de abril de 2013 el Secretario de Justicia de la Sala Primera del Tribunal Constitucional tiene por recibido el precedente escrito con los documentos adjuntos y concede plazo de treinta días al Procurador don José Carlos Romero García para que, bajo la dirección letrada de don Miquel Nadal Borras, formalice la correspondiente demanda de amparo.</w:t>
      </w:r>
    </w:p>
    <w:p w:rsidR="00B85568" w:rsidRDefault="00B85568" w:rsidP="00B85568">
      <w:pPr>
        <w:pStyle w:val="TextoNormal"/>
      </w:pPr>
    </w:p>
    <w:p w:rsidR="00B85568" w:rsidRDefault="00B85568" w:rsidP="00B85568">
      <w:pPr>
        <w:pStyle w:val="TextoNormal"/>
      </w:pPr>
      <w:r>
        <w:t>i) El 31 de mayo de 2013 tiene entrada en el Registro General del Tribunal Constitucional escrito por el que el Procurador de los Tribunales don José Carlos Romero García en nombre y representación de don Christian Johnson, bajo la dirección letrada del Abogado don Miquel Nadal Borras, interpone recurso de amparo contra las resoluciones judiciales precitadas.</w:t>
      </w:r>
    </w:p>
    <w:p w:rsidR="00B85568" w:rsidRDefault="00B85568" w:rsidP="00B85568">
      <w:pPr>
        <w:pStyle w:val="TextoNormal"/>
      </w:pPr>
    </w:p>
    <w:p w:rsidR="00B85568" w:rsidRDefault="00B85568" w:rsidP="00B85568">
      <w:pPr>
        <w:pStyle w:val="TextoNormal"/>
      </w:pPr>
      <w:r>
        <w:t>j) Por providencia de 17 de noviembre de 2014, notificada a la representación del demandante el 21 del mismo mes, la Sección acuerda inadmitir el recurso por falta de invocación en el proceso previo de la vulneración denunciada [art. 44.1 c) de la Ley Orgánica del Tribunal Constitucional: LOTC] respecto del primer motivo alegado y por la manifiesta inexistencia de violación de un derecho fundamental tutelable en amparo (art. 44.1 LOTC) en lo atinente a las demás quejas.</w:t>
      </w:r>
    </w:p>
    <w:p w:rsidR="00B85568" w:rsidRDefault="00B85568" w:rsidP="00B85568">
      <w:pPr>
        <w:pStyle w:val="TextoNormal"/>
      </w:pPr>
    </w:p>
    <w:p w:rsidR="00B85568" w:rsidRDefault="00B85568" w:rsidP="00B85568">
      <w:pPr>
        <w:pStyle w:val="TextoNormal"/>
      </w:pPr>
      <w:r w:rsidRPr="00B85568">
        <w:rPr>
          <w:rStyle w:val="NumeroAFNegritaCaracter"/>
        </w:rPr>
        <w:t>3</w:t>
      </w:r>
      <w:r>
        <w:t>. El escrito presentado por la representación de don Christian Johnson el 27 de noviembre de 2014 solicita la declaración de funcionamiento anormal en la tramitación de su recurso de amparo en virtud del art. 139.5 de la Ley 30/1992, de 26 de noviembre, de régimen jurídico de las Administraciones públicas y del procedimiento administrativo común. El Tribunal Constitucional habría incurrido en dilaciones indebidas al tardar más de nueve meses en tramitar el recurso de amparo desde su formalización el 31 de mayo de 2013 hasta la notificación de la providencia de inadmisión el 21 de noviembre de 2014. Teniendo en cuenta que la Ley Orgánica del Tribunal Constitucional no exige la motivación de la indicada providencia, resultaría evidente que el tiempo transcurrido sería excesivo; exceso que habría causado perjuicios al recurrente al retrasar la interposición del correspondiente recurso ante el Tribunal Europeo de Derechos Humanos. Añade que el Tribunal Constitucional debería declarar su anormal funcionamiento en dos meses a la vista de que tal es el plazo que el Real Decreto 429/1993, de 26 de marzo, concede para emitir dictamen sobre reclamaciones de responsabilidad patrimonial dirigidas contra Administraciones públicas.</w:t>
      </w:r>
    </w:p>
    <w:p w:rsidR="00B85568" w:rsidRDefault="00B85568" w:rsidP="00B85568">
      <w:pPr>
        <w:pStyle w:val="TextoNormal"/>
      </w:pPr>
    </w:p>
    <w:p w:rsidR="00B85568" w:rsidRDefault="00B85568" w:rsidP="00B85568">
      <w:pPr>
        <w:pStyle w:val="TextoNormal"/>
      </w:pPr>
      <w:r w:rsidRPr="00B85568">
        <w:rPr>
          <w:rStyle w:val="NumeroAFNegritaCaracter"/>
        </w:rPr>
        <w:t>4</w:t>
      </w:r>
      <w:r>
        <w:t>. La Sala Primera, por providencia de 16 de febrero de 2015,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00B85568" w:rsidRDefault="00B85568" w:rsidP="00B85568">
      <w:pPr>
        <w:pStyle w:val="TextoNormal"/>
      </w:pPr>
    </w:p>
    <w:p w:rsidR="00B85568" w:rsidRDefault="00B85568" w:rsidP="00B85568">
      <w:pPr>
        <w:pStyle w:val="TextoNormal"/>
      </w:pPr>
      <w:r w:rsidRPr="00B85568">
        <w:rPr>
          <w:rStyle w:val="NumeroAFNegritaCaracter"/>
        </w:rPr>
        <w:t>5</w:t>
      </w:r>
      <w:r>
        <w:t>. El 9 de marzo de 2015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(AATC 194/2010 y 209/2014). Descarta después la concurrencia de tal anormal funcionamiento por las siguientes razones: el examen de admisibilidad no se reduce a la apreciación rutinaria de una causa de inadmisión porque conlleva una carga de trabajo para la que no sirve de medida la mayor o menor extensión de la providencia (AATC 194/2010 y 209/2014); el número de recursos de amparo presentados sigue siendo muy abultado; y el demandante en ningún momento presentó escritos dirigidos a denunciar una posible dilación indebida por parte del Tribunal Constitucional; no se dan las circunstancias que han llevado en otro caso a apreciar la anormalidad del funcionamiento del Tribunal (extravío del recurso de amparo, escritos reiterados del demandante solicitando la reactividad del recurso y retraso de treinta meses entre la solicitud y la reconstrucción del expediente).</w:t>
      </w:r>
    </w:p>
    <w:p w:rsidR="00B85568" w:rsidRDefault="00B85568" w:rsidP="00B85568">
      <w:pPr>
        <w:pStyle w:val="TextoNormal"/>
      </w:pPr>
    </w:p>
    <w:p w:rsidR="00B85568" w:rsidRDefault="00B85568" w:rsidP="00B85568">
      <w:pPr>
        <w:pStyle w:val="TextoNormal"/>
      </w:pPr>
      <w:r w:rsidRPr="00B85568">
        <w:rPr>
          <w:rStyle w:val="NumeroAFNegritaCaracter"/>
        </w:rPr>
        <w:t>6</w:t>
      </w:r>
      <w:r>
        <w:t>. El 20 de marzo de 2015 el Fiscal ante el Tribunal Constitucional presenta escrito por el que considera rechazable la solicitud de declaración de funcionamiento anormal. Tras recordar la doctrina constitucional al respecto (ATC 194/2010), afirma que el recurrente sólo ha denunciado las supuestas dilaciones indebidas tras la providencia de inadmisión, incumpliendo el deber de cooperación con el Tribunal Constitucional. Destaca que el actor señala los nueve meses como tiempo máximo para el pronunciamiento de inadmisión, sin que alcance a comprenderse entonces que dejara transcurrir otros ocho meses sin hacer ver al Tribunal la urgencia de la resolución solicitada. A su vez, a la vista de los motivos de la inadmisión, es claro que el Tribunal Constitucional ha tenido que examinar con detalle la causa penal seguida contra el recurrente para advertir la realidad de una posible invocación temporánea de la vulneración denunciada así como para descartar la lesión del derecho a la presunción de inocencia.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objeto de esta resolución es realizar una declaración sobre la existencia de un eventual funcionamiento anormal del Tribunal Constitucional en la tramitación del recurso de amparo núm. 1453-2013.</w:t>
      </w:r>
    </w:p>
    <w:p w:rsidR="00B85568" w:rsidRDefault="00B85568" w:rsidP="00B85568">
      <w:pPr>
        <w:pStyle w:val="TextoNormal"/>
      </w:pPr>
    </w:p>
    <w:p w:rsidR="00B85568" w:rsidRDefault="00B85568" w:rsidP="00B85568">
      <w:pPr>
        <w:pStyle w:val="TextoNormal"/>
      </w:pPr>
      <w:r w:rsidRPr="00B85568">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B85568" w:rsidRDefault="00B85568" w:rsidP="00B85568">
      <w:pPr>
        <w:pStyle w:val="TextoNormal"/>
      </w:pPr>
    </w:p>
    <w:p w:rsidR="00B85568" w:rsidRDefault="00B85568" w:rsidP="00B85568">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y 296/2014, de 15 de diciembre).</w:t>
      </w:r>
    </w:p>
    <w:p w:rsidR="00B85568" w:rsidRDefault="00B85568" w:rsidP="00B85568">
      <w:pPr>
        <w:pStyle w:val="TextoNormal"/>
      </w:pPr>
    </w:p>
    <w:p w:rsidR="00B85568" w:rsidRDefault="00B85568" w:rsidP="00B85568">
      <w:pPr>
        <w:pStyle w:val="TextoNormal"/>
      </w:pPr>
      <w:r>
        <w:t>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o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00B85568" w:rsidRDefault="00B85568" w:rsidP="00B85568">
      <w:pPr>
        <w:pStyle w:val="TextoNormal"/>
      </w:pPr>
    </w:p>
    <w:p w:rsidR="00B85568" w:rsidRDefault="00B85568" w:rsidP="00B85568">
      <w:pPr>
        <w:pStyle w:val="TextoNormal"/>
      </w:pPr>
      <w:r>
        <w:t>El transcurso de tiempo desde la entrada en el Registro General de este Tribunal de la demanda de amparo hasta la notificación de la providencia de inadmisión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como ha ocurrido en el presente caso.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que no se ha producido funcionamiento anormal en la tramitación del recurso de amparo núm. 1453-2013.</w:t>
      </w:r>
    </w:p>
    <w:p w:rsidR="00B85568" w:rsidRDefault="00B85568" w:rsidP="00B85568">
      <w:pPr>
        <w:pStyle w:val="TextoNormal"/>
      </w:pPr>
    </w:p>
    <w:p w:rsidR="00B85568" w:rsidRDefault="00B85568" w:rsidP="00B85568">
      <w:pPr>
        <w:pStyle w:val="TextoNormal"/>
      </w:pPr>
      <w:r>
        <w:t>Madrid, a veinticinco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39" w:name="AUTO_2015_89"/>
      <w:r>
        <w:t>AUTO 89/2015, de 25 de mayo de 2015</w:t>
      </w:r>
    </w:p>
    <w:bookmarkEnd w:id="239"/>
    <w:p w:rsidR="00B85568" w:rsidRDefault="00B85568" w:rsidP="00B85568">
      <w:pPr>
        <w:pStyle w:val="TtuloResolucin"/>
      </w:pPr>
      <w:r>
        <w:t>Sección Segunda</w:t>
      </w:r>
    </w:p>
    <w:p w:rsidR="00B85568" w:rsidRDefault="00B85568" w:rsidP="00B85568">
      <w:pPr>
        <w:pStyle w:val="TextoNormalCentrado"/>
      </w:pPr>
      <w:r>
        <w:t>ECLI:ES:TC:2015:89A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40" w:name="AUTO_2015_90"/>
      <w:r>
        <w:t>AUTO 90/2015, de 25 de mayo de 2015</w:t>
      </w:r>
    </w:p>
    <w:bookmarkEnd w:id="240"/>
    <w:p w:rsidR="00B85568" w:rsidRDefault="00B85568" w:rsidP="00B85568">
      <w:pPr>
        <w:pStyle w:val="TtuloResolucin"/>
      </w:pPr>
      <w:r>
        <w:t>Sala Segunda</w:t>
      </w:r>
    </w:p>
    <w:p w:rsidR="00B85568" w:rsidRDefault="00B85568" w:rsidP="00B85568">
      <w:pPr>
        <w:pStyle w:val="TextoNormalCentrado"/>
      </w:pPr>
      <w:r>
        <w:t>ECLI:ES:TC:2015:90A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suspensión en el recurso de amparo 1250-2014, promovido por don Oumar Fall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24 de junio de 2014, don Oumar Fall, representado por el Procurador de los Tribunales don Enrique Auberson Quintana-Lacci y asistido por el Letrado don Óscar Encinas Fernández, interpuso recurso de amparo contra el Auto de 13 de enero de 2014 dictado por la Sala de lo Contencioso-Administrativo del Tribunal Superior de Justicia de Andalucía, con sede en Málaga, en recurso de queja 7-2013, que desestimaba el recurso de queja interpuesto contra el Auto de fecha 19 de septiembre de 2013 dictado por el Juzgado de lo Contencioso-Administrativo núm. 3 de Málaga en procedimiento abreviado núm. 107-2013. La demanda de amparo solicita que se dicte Sentencia declarando que se ha vulnerado el derecho del recurrente a la tutela judicial efectiva y que se anulen las resoluciones judiciales impugnadas.</w:t>
      </w:r>
    </w:p>
    <w:p w:rsidR="00B85568" w:rsidRDefault="00B85568" w:rsidP="00B85568">
      <w:pPr>
        <w:pStyle w:val="TextoNormal"/>
      </w:pPr>
    </w:p>
    <w:p w:rsidR="00B85568" w:rsidRDefault="00B85568" w:rsidP="00B85568">
      <w:pPr>
        <w:pStyle w:val="TextoNormal"/>
      </w:pPr>
      <w:r w:rsidRPr="00B85568">
        <w:rPr>
          <w:rStyle w:val="NumeroAFNegritaCaracter"/>
        </w:rPr>
        <w:t>2</w:t>
      </w:r>
      <w:r>
        <w:t>. Por otrosí en el escrito de demanda, y de conformidad a lo dispuesto en el art. 56 de la Ley Orgánica del Tribunal Constitucional (LOTC), el recurrente solicitó la suspensión de la resolución impugnada. Alegaba que debe suspenderse la ejecución inmediata de la expulsión administrativa y todo ello a fin de no hacer plenamente ineficaz la resolución que en este recurso pueda dictarse, caso de otorgarse el amparo.</w:t>
      </w:r>
    </w:p>
    <w:p w:rsidR="00B85568" w:rsidRDefault="00B85568" w:rsidP="00B85568">
      <w:pPr>
        <w:pStyle w:val="TextoNormal"/>
      </w:pPr>
    </w:p>
    <w:p w:rsidR="00B85568" w:rsidRDefault="00B85568" w:rsidP="00B85568">
      <w:pPr>
        <w:pStyle w:val="TextoNormal"/>
      </w:pPr>
      <w:r w:rsidRPr="00B85568">
        <w:rPr>
          <w:rStyle w:val="NumeroAFNegritaCaracter"/>
        </w:rPr>
        <w:t>3</w:t>
      </w:r>
      <w:r>
        <w:t>. La Sección Tercera de la Sala Segunda de este Tribunal acordó la admisión a trámite de la demanda de amparo,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B85568" w:rsidRDefault="00B85568" w:rsidP="00B85568">
      <w:pPr>
        <w:pStyle w:val="TextoNormal"/>
      </w:pPr>
    </w:p>
    <w:p w:rsidR="00B85568" w:rsidRDefault="00B85568" w:rsidP="00B85568">
      <w:pPr>
        <w:pStyle w:val="TextoNormal"/>
      </w:pPr>
      <w:r w:rsidRPr="00B85568">
        <w:rPr>
          <w:rStyle w:val="NumeroAFNegritaCaracter"/>
        </w:rPr>
        <w:t>4</w:t>
      </w:r>
      <w:r>
        <w:t>. En su escrito de alegaciones, presentado el 24 de abril de 2015, la parte recurrente reproduce lo aducido en la demanda y añade que con la posible suspensión cautelar de la ejecución de la expulsión, no se produce ningún perjuicio a la Administración dado que, de ser desestimado finalmente el amparo, aquella podrá proceder a la expulsión del recurrente por estar preso en un centro penitenciario.</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presentó escrito de alegaciones en fecha 30 de abril de 2015 en el que interesa la suspensión de la resolución recurrida en la demanda de amparo, alegando en síntesis: i) en los casos de expulsión de extranjeros, como expresaron los AATC 82/1999, de 12 de abril, 356/2008, de 10 de noviembre, y 156/2010, de 15 de noviembre, la efectividad de las resoluciones como las ahora impugnadas, por las que se declara procedente la expulsión del actor, con la consiguiente salida del territorio nacional, podría convertir en ilusoria una eventual concesión del amparo; y ii) no parece que una suspensión de la resolución judicial recurrida pueda originar una perturbación grave de los intereses generales ni de los derechos fundamentales o libertades públicas de un tercero.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facultad de este Tribunal Constitucional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doctrina que se reitera en los AATC 27/2015, de 16 de febrero, FJ 2, y 50/2015, de 2 de marzo, FJ 1.</w:t>
      </w:r>
    </w:p>
    <w:p w:rsidR="00B85568" w:rsidRDefault="00B85568" w:rsidP="00B85568">
      <w:pPr>
        <w:pStyle w:val="TextoNormal"/>
      </w:pPr>
    </w:p>
    <w:p w:rsidR="00B85568" w:rsidRDefault="00B85568" w:rsidP="00B85568">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necesariamente.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(por todos, AATC 90/2014, de 27 de marzo, FJ 1, y 59/2015, de 16 de marzo, FJ 1).</w:t>
      </w:r>
    </w:p>
    <w:p w:rsidR="00B85568" w:rsidRDefault="00B85568" w:rsidP="00B85568">
      <w:pPr>
        <w:pStyle w:val="TextoNormal"/>
      </w:pPr>
    </w:p>
    <w:p w:rsidR="00B85568" w:rsidRDefault="00B85568" w:rsidP="00B85568">
      <w:pPr>
        <w:pStyle w:val="TextoNormal"/>
      </w:pPr>
      <w:r w:rsidRPr="00B85568">
        <w:rPr>
          <w:rStyle w:val="NumeroAFNegritaCaracter"/>
        </w:rPr>
        <w:t>2</w:t>
      </w:r>
      <w:r>
        <w:t>.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AATC 66/2012, de 16 de abril, FJ 2, y 116/2013, de 20 de mayo, FJ 2, entre otros).</w:t>
      </w:r>
    </w:p>
    <w:p w:rsidR="00B85568" w:rsidRDefault="00B85568" w:rsidP="00B85568">
      <w:pPr>
        <w:pStyle w:val="TextoNormal"/>
      </w:pPr>
    </w:p>
    <w:p w:rsidR="00B85568" w:rsidRDefault="00B85568" w:rsidP="00B85568">
      <w:pPr>
        <w:pStyle w:val="TextoNormal"/>
      </w:pPr>
      <w:r w:rsidRPr="00B85568">
        <w:rPr>
          <w:rStyle w:val="NumeroAFNegritaCaracter"/>
        </w:rPr>
        <w:t>3</w:t>
      </w:r>
      <w:r>
        <w:t>. En el presente caso, en aplicación de lo expuesto, y conforme también solicita el Ministerio Fiscal, resulta procedente acordar la suspensión de la expulsión del territorio nacional del recurrente, atendiendo al conjunto de circunstancias concurrentes, toda vez que tampoco cabe apreciar que dicha suspensión pueda originar una perturbación grave de los intereses generales ni de los derechos fundamentales o libertades públicas de un tercero.</w:t>
      </w:r>
    </w:p>
    <w:p w:rsidR="00B85568" w:rsidRDefault="00B85568" w:rsidP="00B85568">
      <w:pPr>
        <w:pStyle w:val="TextoNormal"/>
      </w:pPr>
    </w:p>
    <w:p w:rsidR="00B85568" w:rsidRDefault="00B85568" w:rsidP="00B85568">
      <w:pPr>
        <w:pStyle w:val="TextoNormal"/>
      </w:pPr>
      <w:r w:rsidRPr="00B85568">
        <w:rPr>
          <w:rStyle w:val="NumeroAFNegritaCaracter"/>
        </w:rPr>
        <w:t>4</w:t>
      </w:r>
      <w:r>
        <w:t>. Los razonamientos expuestos, y sin que ello suponga prejuzgar la cuestión de fondo planteada, conducen a conceder la suspensión interesada.</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Suspender la ejecución de la resolución de la Subdelegación del Gobierno en Málaga de 26 de febrero de 2013, que impone a la parte recurrente la sanción de expulsión del territorio nacional, así como de los Autos recurridos de fecha 19 de septiembre de 2013 dictado por el Juzgado de lo Contencioso-Administrativo núm. 3 de Málaga y de 13 de enero de 2014 dictado por la Sala de lo Contencioso-Administrativo del Tribunal Superior de Justicia de Andalucía, con sede en Málaga.</w:t>
      </w:r>
    </w:p>
    <w:p w:rsidR="00B85568" w:rsidRDefault="00B85568" w:rsidP="00B85568">
      <w:pPr>
        <w:pStyle w:val="TextoNormal"/>
      </w:pPr>
    </w:p>
    <w:p w:rsidR="00B85568" w:rsidRDefault="00B85568" w:rsidP="00B85568">
      <w:pPr>
        <w:pStyle w:val="TextoNormal"/>
      </w:pPr>
      <w:r>
        <w:t>Madrid, a veinticinco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41" w:name="AUTO_2015_91"/>
      <w:r>
        <w:t>AUTO 91/2015, de 25 de mayo de 2015</w:t>
      </w:r>
    </w:p>
    <w:bookmarkEnd w:id="241"/>
    <w:p w:rsidR="00B85568" w:rsidRDefault="00B85568" w:rsidP="00B85568">
      <w:pPr>
        <w:pStyle w:val="TtuloResolucin"/>
      </w:pPr>
      <w:r>
        <w:t>Sección Segunda</w:t>
      </w:r>
    </w:p>
    <w:p w:rsidR="00B85568" w:rsidRDefault="00B85568" w:rsidP="00B85568">
      <w:pPr>
        <w:pStyle w:val="TextoNormalCentrado"/>
      </w:pPr>
      <w:r>
        <w:t>ECLI:ES:TC:2015:91A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42" w:name="AUTO_2015_92"/>
      <w:r>
        <w:t>AUTO 92/2015, de 25 de mayo de 2015</w:t>
      </w:r>
    </w:p>
    <w:bookmarkEnd w:id="242"/>
    <w:p w:rsidR="00B85568" w:rsidRDefault="00B85568" w:rsidP="00B85568">
      <w:pPr>
        <w:pStyle w:val="TtuloResolucin"/>
      </w:pPr>
      <w:r>
        <w:t>Sala Segunda</w:t>
      </w:r>
    </w:p>
    <w:p w:rsidR="00B85568" w:rsidRDefault="00B85568" w:rsidP="00B85568">
      <w:pPr>
        <w:pStyle w:val="TextoNormalCentrado"/>
      </w:pPr>
      <w:r>
        <w:t>ECLI:ES:TC:2015:92A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Mantiene la suspensión acordada por providencia en el recurso de amparo 3719-2014, promovido por don Juan Blas López Rodríguez en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presentado en el Registro General de este Tribunal el 11 de junio de 2014, don Juan Blas López Rodríguez, representado por el Procurador de los Tribunales don Antonio González Sánchez y asistido por el Letrado don Juan López Rueda, interpuso recurso de amparo contra el Auto dictado por la Sección Tercera de la Audiencia Provincial de Huelva, de 2 de mayo de 2014, en rollo de apelación núm. 199-2014 y contra el dictado por el Juzgado de lo Penal núm. 4 de Huelva, de 20 de diciembre de 2013, en ejecutoria núm. 445-2008. Consideraba que dichas resoluciones judiciales al denegar su solicitud de prescripción de la pena a la que había sido condenado, vulneraban su derecho a la tutela judicial efectiva, art. 24 CE, en relación con el art. 17 CE, y el principio de legalidad penal, art. 25 CE.</w:t>
      </w:r>
    </w:p>
    <w:p w:rsidR="00B85568" w:rsidRDefault="00B85568" w:rsidP="00B85568">
      <w:pPr>
        <w:pStyle w:val="TextoNormal"/>
      </w:pPr>
    </w:p>
    <w:p w:rsidR="00B85568" w:rsidRDefault="00B85568" w:rsidP="00B85568">
      <w:pPr>
        <w:pStyle w:val="TextoNormal"/>
      </w:pPr>
      <w:r w:rsidRPr="00B85568">
        <w:rPr>
          <w:rStyle w:val="NumeroAFNegritaCaracter"/>
        </w:rPr>
        <w:t>2</w:t>
      </w:r>
      <w:r>
        <w:t>. Sucintamente expuestos, los hechos relevantes para resolver la pretensión suspensiva son los siguientes:</w:t>
      </w:r>
    </w:p>
    <w:p w:rsidR="00B85568" w:rsidRDefault="00B85568" w:rsidP="00B85568">
      <w:pPr>
        <w:pStyle w:val="TextoNormal"/>
      </w:pPr>
    </w:p>
    <w:p w:rsidR="00B85568" w:rsidRDefault="00B85568" w:rsidP="00B85568">
      <w:pPr>
        <w:pStyle w:val="TextoNormal"/>
      </w:pPr>
      <w:r>
        <w:t>Con fecha 27 de marzo de 2007, el demandante de amparo fue condenado por el Juzgado de lo Penal núm. 4 de Huelva, como autor de un delito de atentado a agente de la autoridad y de un delito de lesiones con uso de instrumento peligroso, por hechos cometidos el 24 de junio de 2003, imponiéndosele penas de tres años y dos años de prisión, respectivamente. El fallo fue confirmado en apelación mediante Sentencia de 27 de junio de 2008 por la Audiencia Provincial de Huelva.</w:t>
      </w:r>
    </w:p>
    <w:p w:rsidR="00B85568" w:rsidRDefault="00B85568" w:rsidP="00B85568">
      <w:pPr>
        <w:pStyle w:val="TextoNormal"/>
      </w:pPr>
    </w:p>
    <w:p w:rsidR="00B85568" w:rsidRDefault="00B85568" w:rsidP="00B85568">
      <w:pPr>
        <w:pStyle w:val="TextoNormal"/>
      </w:pPr>
      <w:r>
        <w:t>El 31 de julio de 2008, se dictó Auto por el que declaraba firme la condena, abriéndose con ella la ejecutoria núm. 445-2008. Desde ese momento, la ejecutoria cuenta con los siguientes hechos procesales:</w:t>
      </w:r>
    </w:p>
    <w:p w:rsidR="00B85568" w:rsidRDefault="00B85568" w:rsidP="00B85568">
      <w:pPr>
        <w:pStyle w:val="TextoNormal"/>
      </w:pPr>
    </w:p>
    <w:p w:rsidR="00B85568" w:rsidRDefault="00B85568" w:rsidP="00B85568">
      <w:pPr>
        <w:pStyle w:val="TextoNormal"/>
      </w:pPr>
      <w:r>
        <w:t>El 1 de octubre de 2008, habiendo informado el Fiscal desfavorablemente a la concesión de la suspensión ordinaria de la condena, se dicta Auto denegando la señalada suspensión y acordando el cumplimiento de las penas impuestas. Recurrida dicha decisión, el Juzgado dicta Auto desestimatorio de la reforma, si bien acuerda el examen forense del penado para valoración de la eventual aplicación del art. 87 del Código penal (CP). El 15 de octubre de 2009, habiendo informado el Fiscal en forma desfavorable también a la concesión de este beneficio del art. 87 CP, se dicta Auto denegatorio de la suspensión extraordinaria. Decisión confirmada por la Audiencia.</w:t>
      </w:r>
    </w:p>
    <w:p w:rsidR="00B85568" w:rsidRDefault="00B85568" w:rsidP="00B85568">
      <w:pPr>
        <w:pStyle w:val="TextoNormal"/>
      </w:pPr>
    </w:p>
    <w:p w:rsidR="00B85568" w:rsidRDefault="00B85568" w:rsidP="00B85568">
      <w:pPr>
        <w:pStyle w:val="TextoNormal"/>
      </w:pPr>
      <w:r>
        <w:t>El 25 de octubre de 2011, el recurrente solicita la suspensión de la ejecución de la pena, al estar “pendiente de presentar la solicitud de indulto”. Petición denegada por Auto de 23 de marzo de 2011; decisión confirmada por la Audiencia Provincial. El 8 de marzo de 2013 se dicta providencia de orden de detención e ingreso en prisión del penado.</w:t>
      </w:r>
    </w:p>
    <w:p w:rsidR="00B85568" w:rsidRDefault="00B85568" w:rsidP="00B85568">
      <w:pPr>
        <w:pStyle w:val="TextoNormal"/>
      </w:pPr>
    </w:p>
    <w:p w:rsidR="00B85568" w:rsidRDefault="00B85568" w:rsidP="00B85568">
      <w:pPr>
        <w:pStyle w:val="TextoNormal"/>
      </w:pPr>
      <w:r>
        <w:t>El 11 de marzo de 2013, el recurrente solicitó aplazamiento del ingreso en prisión, que le es denegado por providencia de esa misma fecha. El 11 de julio de 2013 se emite requisitoria para la detención e ingreso en prisión del penado. El 27 de septiembre de 2013, el Consejo de Ministros le deniega el indulto. El 2 de diciembre de 2013, se dicta Auto de rebeldía procesal; el 4 de diciembre de 2013 se deja sin efecto la declaración de rebeldía, al haberse hallado al demandante.</w:t>
      </w:r>
    </w:p>
    <w:p w:rsidR="00B85568" w:rsidRDefault="00B85568" w:rsidP="00B85568">
      <w:pPr>
        <w:pStyle w:val="TextoNormal"/>
      </w:pPr>
    </w:p>
    <w:p w:rsidR="00B85568" w:rsidRDefault="00B85568" w:rsidP="00B85568">
      <w:pPr>
        <w:pStyle w:val="TextoNormal"/>
      </w:pPr>
      <w:r>
        <w:t>El 11 de diciembre de 2013, el recurrente solicita la prescripción de las penas a las que fue condenado. Petición denegada por los Autos ahora impugnados en amparo.</w:t>
      </w:r>
    </w:p>
    <w:p w:rsidR="00B85568" w:rsidRDefault="00B85568" w:rsidP="00B85568">
      <w:pPr>
        <w:pStyle w:val="TextoNormal"/>
      </w:pPr>
    </w:p>
    <w:p w:rsidR="00B85568" w:rsidRDefault="00B85568" w:rsidP="00B85568">
      <w:pPr>
        <w:pStyle w:val="TextoNormal"/>
      </w:pPr>
      <w:r w:rsidRPr="00B85568">
        <w:rPr>
          <w:rStyle w:val="NumeroAFNegritaCaracter"/>
        </w:rPr>
        <w:t>3</w:t>
      </w:r>
      <w:r>
        <w:t>. En la demanda de amparo se alega que las resoluciones judiciales impugnadas han vulnerado los derechos a la tutela judicial efectiva y a la libertad (arts. 24.1 y 17.1 CE), así como el principio de legalidad penal (art. 25.1 CE). Sostiene que el hecho de denegarle la prescripción de las penas impuestas “no supera el canon constitucional (de motivación) exigible, al ser manifiestamente incoherente con la norma que regula la prescripción de la pena”. Considera que las resoluciones impugnadas, al fundar la interrupción del plazo en que se han venido realizando actuaciones con contenido —y no de puro trámite— en orden a las sucesivas peticiones de suspensión de la condena por parte del reo, vienen a fijar causas de interrupción que no prevé el art. 134 CP, el cual sólo establece como tales la fecha de firmeza de la Sentencia y el quebrantamiento de la condena, si hubiere comenzado a cumplirse. Cita, en apoyo de su tesis, las SSTC 97/2010, 109/2013 y 192/2013.</w:t>
      </w:r>
    </w:p>
    <w:p w:rsidR="00B85568" w:rsidRDefault="00B85568" w:rsidP="00B85568">
      <w:pPr>
        <w:pStyle w:val="TextoNormal"/>
      </w:pPr>
    </w:p>
    <w:p w:rsidR="00B85568" w:rsidRDefault="00B85568" w:rsidP="00B85568">
      <w:pPr>
        <w:pStyle w:val="TextoNormal"/>
      </w:pPr>
      <w:r>
        <w:t xml:space="preserve">Por </w:t>
      </w:r>
      <w:r w:rsidRPr="00B85568">
        <w:rPr>
          <w:i/>
        </w:rPr>
        <w:t>otrosí</w:t>
      </w:r>
      <w:r>
        <w:t>,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27 de abril de 2015, la Sección Tercera de este Tribunal acordó la admisión a trámite de la demanda de amparo, así como, a tenor de lo establecido en el art. 51 LOTC, requerir atentamente, tanto a la Sección Tercera de la Audiencia Provincial de Huelva, como al Juzgado de lo Penal núm. 4 de Huelva, para que remitieran testimonio de las actuaciones y emplazase a quienes fueron parte en el procedimiento, a excepción del demandante de amparo, para que pudieran comparecer en el presente proceso de amparo. Asimismo, debido a la urgencia excepcional a que se refiere el art. 56.3 LOTC, toda vez que la ejecución de la pena produciría un perjuicio de imposible o muy difícil reparación que haría perder su finalidad al recurso de amparo, se acordó la suspensión cautelar de la ejecución de la pena.</w:t>
      </w:r>
    </w:p>
    <w:p w:rsidR="00B85568" w:rsidRDefault="00B85568" w:rsidP="00B85568">
      <w:pPr>
        <w:pStyle w:val="TextoNormal"/>
      </w:pPr>
    </w:p>
    <w:p w:rsidR="00B85568" w:rsidRDefault="00B85568" w:rsidP="00B85568">
      <w:pPr>
        <w:pStyle w:val="TextoNormal"/>
      </w:pPr>
      <w:r>
        <w:t>Mediante otra providencia de la misma fecha se acordó formar la correspondiente pieza para la tramitación del incidente sobre suspensión y, de conformidad con lo previsto en el art. 56.4 LOTC, conceder un plazo común de tres días al Ministerio Fiscal y al recurrente en amparo, para que alegaran lo que estimasen pertinente en relación con la petición de suspensión formulada.</w:t>
      </w:r>
    </w:p>
    <w:p w:rsidR="00B85568" w:rsidRDefault="00B85568" w:rsidP="00B85568">
      <w:pPr>
        <w:pStyle w:val="TextoNormal"/>
      </w:pPr>
    </w:p>
    <w:p w:rsidR="00B85568" w:rsidRDefault="00B85568" w:rsidP="00B85568">
      <w:pPr>
        <w:pStyle w:val="TextoNormal"/>
      </w:pPr>
      <w:r w:rsidRPr="00B85568">
        <w:rPr>
          <w:rStyle w:val="NumeroAFNegritaCaracter"/>
        </w:rPr>
        <w:t>5</w:t>
      </w:r>
      <w:r>
        <w:t>. La representación procesal del recurrente, mediante escrito presentado el 8 de mayo de 2015, reitera su petición de que este Tribunal proceda a suspender el cumplimiento de la condena pendiente de ejecución.</w:t>
      </w:r>
    </w:p>
    <w:p w:rsidR="00B85568" w:rsidRDefault="00B85568" w:rsidP="00B85568">
      <w:pPr>
        <w:pStyle w:val="TextoNormal"/>
      </w:pPr>
    </w:p>
    <w:p w:rsidR="00B85568" w:rsidRDefault="00B85568" w:rsidP="00B85568">
      <w:pPr>
        <w:pStyle w:val="TextoNormal"/>
      </w:pPr>
      <w:r w:rsidRPr="00B85568">
        <w:rPr>
          <w:rStyle w:val="NumeroAFNegritaCaracter"/>
        </w:rPr>
        <w:t>6</w:t>
      </w:r>
      <w:r>
        <w:t>. En su escrito de alegaciones, presentado el 11 de mayo de 2015, el Ministerio Fiscal considera que debe acordarse la suspensión de las penas privativas de libertad y sus accesorias.</w:t>
      </w:r>
    </w:p>
    <w:p w:rsidR="00B85568" w:rsidRDefault="00B85568" w:rsidP="00B85568">
      <w:pPr>
        <w:pStyle w:val="TextoNormal"/>
      </w:pPr>
    </w:p>
    <w:p w:rsidR="00B85568" w:rsidRDefault="00B85568" w:rsidP="00B85568">
      <w:pPr>
        <w:pStyle w:val="TextoNormal"/>
      </w:pPr>
      <w:r>
        <w:t>Con extensa cita del ATC 19/2014, de 27 de enero, considera que, puesto que el recurrente ha sido condenado a penas privativas de libertad que en su conjunto suman cinco años y que los hechos objeto de debate acaecieron en 2003, la suspensión de la pena no acarrearía una perturbación grave de los intereses generales ni de los derechos fundamentales de la víctima.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B85568" w:rsidRDefault="00B85568" w:rsidP="00B85568">
      <w:pPr>
        <w:pStyle w:val="TextoNormal"/>
      </w:pPr>
    </w:p>
    <w:p w:rsidR="00B85568" w:rsidRDefault="00B85568" w:rsidP="00B85568">
      <w:pPr>
        <w:pStyle w:val="TextoNormal"/>
      </w:pPr>
      <w:r>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B85568" w:rsidRDefault="00B85568" w:rsidP="00B85568">
      <w:pPr>
        <w:pStyle w:val="TextoNormal"/>
      </w:pPr>
    </w:p>
    <w:p w:rsidR="00B85568" w:rsidRDefault="00B85568" w:rsidP="00B85568">
      <w:pPr>
        <w:pStyle w:val="TextoNormal"/>
      </w:pPr>
      <w:r w:rsidRPr="00B85568">
        <w:rPr>
          <w:rStyle w:val="NumeroAFNegritaCaracter"/>
        </w:rPr>
        <w:t>2</w:t>
      </w:r>
      <w:r>
        <w:t>. Conforme ha quedado expuesto, el recurrente en amparo impugna el Auto dictado por la Sección Tercera de la Audiencia Provincial de Huelva, de 2 de mayo de 2014, en rollo de apelación núm. 199-2014 y el dictado por el Juzgado de lo Penal núm. 4 de Huelva, de 20 de diciembre de 2013, en ejecutoria núm. 445-2008. Consideraba que dichas resoluciones judiciales al denegar su solicitud de prescripción de la pena a la que había sido condenado, vulneran su derecho a la tutela judicial efectiva, art. 24 CE, en relación con el art. 17 CE, y el principio de legalidad penal, art. 25 CE.</w:t>
      </w:r>
    </w:p>
    <w:p w:rsidR="00B85568" w:rsidRDefault="00B85568" w:rsidP="00B85568">
      <w:pPr>
        <w:pStyle w:val="TextoNormal"/>
      </w:pPr>
    </w:p>
    <w:p w:rsidR="00B85568" w:rsidRDefault="00B85568" w:rsidP="00B85568">
      <w:pPr>
        <w:pStyle w:val="TextoNormal"/>
      </w:pPr>
      <w:r>
        <w:t>Este Tribunal, como se ha recordado, por todos, en el ATC 19/2014, de 27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w:t>
      </w:r>
    </w:p>
    <w:p w:rsidR="00B85568" w:rsidRDefault="00B85568" w:rsidP="00B85568">
      <w:pPr>
        <w:pStyle w:val="TextoNormal"/>
      </w:pPr>
    </w:p>
    <w:p w:rsidR="00B85568" w:rsidRDefault="00B85568" w:rsidP="00B85568">
      <w:pPr>
        <w:pStyle w:val="TextoNormal"/>
      </w:pPr>
      <w:r>
        <w:t>En el citado ATC 19/2014, de 27 de enero, recordábamos que “en relación con la suspensión de la ejecución de las penas privativas de libertad, este Tribunal ha asumido, como criterio de ponderación prioritario, el relativo a la gravedad de la pena, de manera que la directriz principal a tener en cuenta es si la pena se sitúa por encima o debajo del umbral de los cinco años (AATC 16/2009, de 26 de enero; 18/2011, de 28 de febrero, FJ 2, y 61/2013, de 27 de febrero; FJ 2), puesto que ésa es la frontera establecida por el legislador para diferenciar las penas graves de las menos graves, conforme a lo dispuesto en el art. 33 del Código penal (ATC 44/2012, de 12 de marzo, FJ 2)."</w:t>
      </w:r>
    </w:p>
    <w:p w:rsidR="00B85568" w:rsidRDefault="00B85568" w:rsidP="00B85568">
      <w:pPr>
        <w:pStyle w:val="TextoNormal"/>
      </w:pPr>
    </w:p>
    <w:p w:rsidR="00B85568" w:rsidRDefault="00B85568" w:rsidP="00B85568">
      <w:pPr>
        <w:pStyle w:val="TextoNormal"/>
      </w:pPr>
      <w:r w:rsidRPr="00B85568">
        <w:rPr>
          <w:rStyle w:val="NumeroAFNegritaCaracter"/>
        </w:rPr>
        <w:t>3</w:t>
      </w:r>
      <w:r>
        <w:t>. En definitiva, en aplicación de la jurisprudencia citada y a la vista de las circunstancias concretas del presente caso, procede, de acuerdo a lo manifestado por el Ministerio Fiscal en sus alegaciones, mantener la suspensión de la ejecución de la penas privativas de libertad y sus accesorias, acordada por este Tribunal en la providencia de 27 de abril de 2015. En efecto, la duración de las penas privativas de libertad a la que ha sido condenado el recurrente (tres años de prisión por un delito de atentado a agente de la autoridad y dos años de prisión por un delito de lesiones) están dentro de los márgenes que este Tribunal ha considerado susceptible de ser suspendidas; además, como acertadamente ha destacado el Ministerio Fiscal, los hechos objeto de enjuiciamiento acaecieron en junio de 2003, por lo que la suspensión de la ejecución de las penas privativas de libertad a las que fue condenado el demandante de amparo no ocasionan una perturbación grave a los intereses generales.</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Mantener la suspensión de la ejecución de las penas privativas de libertad y las penas accesorias acordada por providencia de 27 de abril de 2015.</w:t>
      </w:r>
    </w:p>
    <w:p w:rsidR="00B85568" w:rsidRDefault="00B85568" w:rsidP="00B85568">
      <w:pPr>
        <w:pStyle w:val="TextoNormal"/>
      </w:pPr>
    </w:p>
    <w:p w:rsidR="00B85568" w:rsidRDefault="00B85568" w:rsidP="00B85568">
      <w:pPr>
        <w:pStyle w:val="TextoNormal"/>
      </w:pPr>
      <w:r>
        <w:t>Madrid, a veinticinco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43" w:name="AUTO_2015_93"/>
      <w:r>
        <w:t>AUTO 93/2015, de 25 de mayo de 2015</w:t>
      </w:r>
    </w:p>
    <w:bookmarkEnd w:id="243"/>
    <w:p w:rsidR="00B85568" w:rsidRDefault="00B85568" w:rsidP="00B85568">
      <w:pPr>
        <w:pStyle w:val="TtuloResolucin"/>
      </w:pPr>
      <w:r>
        <w:t>Sección Segunda</w:t>
      </w:r>
    </w:p>
    <w:p w:rsidR="00B85568" w:rsidRDefault="00B85568" w:rsidP="00B85568">
      <w:pPr>
        <w:pStyle w:val="TextoNormalCentrado"/>
      </w:pPr>
      <w:r>
        <w:t>ECLI:ES:TC:2015:93A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44" w:name="AUTO_2015_94"/>
      <w:r>
        <w:t>AUTO 94/2015, de 25 de mayo de 2015</w:t>
      </w:r>
    </w:p>
    <w:bookmarkEnd w:id="244"/>
    <w:p w:rsidR="00B85568" w:rsidRDefault="00B85568" w:rsidP="00B85568">
      <w:pPr>
        <w:pStyle w:val="TtuloResolucin"/>
      </w:pPr>
      <w:r>
        <w:t>Sala Primera</w:t>
      </w:r>
    </w:p>
    <w:p w:rsidR="00B85568" w:rsidRDefault="00B85568" w:rsidP="00B85568">
      <w:pPr>
        <w:pStyle w:val="TextoNormalCentrado"/>
      </w:pPr>
      <w:r>
        <w:t>ECLI:ES:TC:2015:94A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Acuerda la suspensión en el recurso de amparo 5251-2014, promovido por don Florentino Renedo García y otra persona en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Procuradora de los Tribunales doña María de los Ángeles Gáldiz de la Plaza, en nombre y representación de don Florentino Renedo García y doña Rosa María Bahillo Lomas, y bajo la dirección del Letrado don Miguel Polvorosa Mies, interpuso recurso de amparo contra la Sentencia de la Sección Primera de la Audiencia Provincial de Palencia de 22 de julio de 2014, por la que se desestima el recurso de apelación núm. 15-2014, interpuesto contra la Sentencia del Juzgado de lo Penal núm. 1 de Palencia de 4 de noviembre de 2013, dictada en el procedimiento abreviado núm. 27-2012, en la que se condena a los recurrentes por un delito de estafa a sendas penas de un año y tres meses de prisión, la accesoria de inhabilitación especial para el ejercicio del derecho de sufragio pasivo durante el tiempo de la condena, pago de las costas y a que indemnicen a las víctimas en la cantidad de 28.338,5 € más los gastos que se hayan derivado del sobreprecio de la vivienda adquirida a determinar en ejecución de sentencia y a los intereses legales.</w:t>
      </w:r>
    </w:p>
    <w:p w:rsidR="00B85568" w:rsidRDefault="00B85568" w:rsidP="00B85568">
      <w:pPr>
        <w:pStyle w:val="TextoNormal"/>
      </w:pPr>
    </w:p>
    <w:p w:rsidR="00B85568" w:rsidRDefault="00B85568" w:rsidP="00B85568">
      <w:pPr>
        <w:pStyle w:val="TextoNormal"/>
      </w:pPr>
      <w:r>
        <w:t>En la demanda de amparo se solicita por otrosí la suspensión de la resolución judicial impugnada tanto en lo relativo a la pena privativa de libertad, por ser inferior a los dos años; como en lo relativo a los pronunciamiento de contenido económico.</w:t>
      </w:r>
    </w:p>
    <w:p w:rsidR="00B85568" w:rsidRDefault="00B85568" w:rsidP="00B85568">
      <w:pPr>
        <w:pStyle w:val="TextoNormal"/>
      </w:pPr>
    </w:p>
    <w:p w:rsidR="00B85568" w:rsidRDefault="00B85568" w:rsidP="00B85568">
      <w:pPr>
        <w:pStyle w:val="TextoNormal"/>
      </w:pPr>
      <w:r w:rsidRPr="00B85568">
        <w:rPr>
          <w:rStyle w:val="NumeroAFNegritaCaracter"/>
        </w:rPr>
        <w:t>2</w:t>
      </w:r>
      <w:r>
        <w:t>. La Sala Primera de este Tribunal, por sendas providencias de 13 de abril de 2015,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la suspensión.</w:t>
      </w:r>
    </w:p>
    <w:p w:rsidR="00B85568" w:rsidRDefault="00B85568" w:rsidP="00B85568">
      <w:pPr>
        <w:pStyle w:val="TextoNormal"/>
      </w:pPr>
    </w:p>
    <w:p w:rsidR="00B85568" w:rsidRDefault="00B85568" w:rsidP="00B85568">
      <w:pPr>
        <w:pStyle w:val="TextoNormal"/>
      </w:pPr>
      <w:r w:rsidRPr="00B85568">
        <w:rPr>
          <w:rStyle w:val="NumeroAFNegritaCaracter"/>
        </w:rPr>
        <w:t>3</w:t>
      </w:r>
      <w:r>
        <w:t>. El Ministerio Fiscal, por escrito registrado el 24 de abril de 2015, presentó alegaciones en las que, enunciando la jurisprudencia de este Tribunal sobre el particular, interesó la suspensión de la pena privativa de libertad, argumentando que si se compara la duración de la pena privativa de libertad impuesta, que es de prisión de un año y tres meses, con el tiempo que normalmente se consume en la tramitación de un recurso de amparo, la denegación de la suspensión causaría a la recurrente un perjuicio irreparable. Por el contrario, considera que no debe accederse a suspender la condena al pago de las costas procesales y la responsabilidad civil por su carácter de consecuencia jurídica de carácter económico que no es de una cuantía excesiva y no haberse alegado siquiera dificultad alguna para hacer frente a los mismos.</w:t>
      </w:r>
    </w:p>
    <w:p w:rsidR="00B85568" w:rsidRDefault="00B85568" w:rsidP="00B85568">
      <w:pPr>
        <w:pStyle w:val="TextoNormal"/>
      </w:pPr>
    </w:p>
    <w:p w:rsidR="00B85568" w:rsidRDefault="00B85568" w:rsidP="00B85568">
      <w:pPr>
        <w:pStyle w:val="TextoNormal"/>
      </w:pPr>
      <w:r w:rsidRPr="00B85568">
        <w:rPr>
          <w:rStyle w:val="NumeroAFNegritaCaracter"/>
        </w:rPr>
        <w:t>4</w:t>
      </w:r>
      <w:r>
        <w:t>. Los recurrentes, por escrito registrado el 20 de abril de 2015, presentaron alegaciones poniendo de manifiesto que la suspensión de las penas de un año y tres meses de prisión y la accesoria de inhabilitación especial y los pronunciamientos de contenido económico no suponen una perturbación grave de los intereses generales y su cumplimiento podría hacer perder la finalidad del recurso de amparo.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00B85568" w:rsidRDefault="00B85568" w:rsidP="00B85568">
      <w:pPr>
        <w:pStyle w:val="TextoNormal"/>
      </w:pPr>
    </w:p>
    <w:p w:rsidR="00B85568" w:rsidRDefault="00B85568" w:rsidP="00B85568">
      <w:pPr>
        <w:pStyle w:val="TextoNormal"/>
      </w:pPr>
      <w:r>
        <w:t>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00B85568" w:rsidRDefault="00B85568" w:rsidP="00B85568">
      <w:pPr>
        <w:pStyle w:val="TextoNormal"/>
      </w:pPr>
    </w:p>
    <w:p w:rsidR="00B85568" w:rsidRDefault="00B85568" w:rsidP="00B85568">
      <w:pPr>
        <w:pStyle w:val="TextoNormal"/>
      </w:pPr>
      <w:r w:rsidRPr="00B85568">
        <w:rPr>
          <w:rStyle w:val="NumeroAFNegritaCaracter"/>
        </w:rPr>
        <w:t>2</w:t>
      </w:r>
      <w:r>
        <w:t>. En cuanto a las penas de privación de libertad, este Tribunal ha afirmado que procede, en principio, acordar su suspensión al afectar a un bien de imposible o muy difícil restitución, pero destacando que este criterio general tampoco es absoluto, ya que en estos supuestos deben ponderarse otras circunstancias relevantes, significativamente la duración y gravedad de la pena impuesta porque en ella se expresa la reprobación que el ordenamiento asigna al hecho delictivo y, por consiguiente, la magnitud del interés general en su ejecución. Del mismo modo, este Tribunal también ha afirmado que la suspensión de la pena privativa de libertad debe conllevar la suspensión de las penas accesorias de inhabilitación que lleven a aparejadas (ATC 58/2012, de 26 de marzo, FJ 2).</w:t>
      </w:r>
    </w:p>
    <w:p w:rsidR="00B85568" w:rsidRDefault="00B85568" w:rsidP="00B85568">
      <w:pPr>
        <w:pStyle w:val="TextoNormal"/>
      </w:pPr>
    </w:p>
    <w:p w:rsidR="00B85568" w:rsidRDefault="00B85568" w:rsidP="00B85568">
      <w:pPr>
        <w:pStyle w:val="TextoNormal"/>
      </w:pPr>
      <w:r>
        <w:t>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00B85568" w:rsidRDefault="00B85568" w:rsidP="00B85568">
      <w:pPr>
        <w:pStyle w:val="TextoNormal"/>
      </w:pPr>
    </w:p>
    <w:p w:rsidR="00B85568" w:rsidRDefault="00B85568" w:rsidP="00B85568">
      <w:pPr>
        <w:pStyle w:val="TextoNormal"/>
      </w:pPr>
      <w:r w:rsidRPr="00B85568">
        <w:rPr>
          <w:rStyle w:val="NumeroAFNegritaCaracter"/>
        </w:rPr>
        <w:t>3</w:t>
      </w:r>
      <w:r>
        <w:t>. Los recurrentes solicitan la suspensión de la Sentencia impugnada, en primer lugar, respecto de las penas de prisión de un año y tres meses y su accesoria de inhabilitación especial para el ejercicio del derecho de sufragio pasivo durante ese mismo tiempo.</w:t>
      </w:r>
    </w:p>
    <w:p w:rsidR="00B85568" w:rsidRDefault="00B85568" w:rsidP="00B85568">
      <w:pPr>
        <w:pStyle w:val="TextoNormal"/>
      </w:pPr>
    </w:p>
    <w:p w:rsidR="00B85568" w:rsidRDefault="00B85568" w:rsidP="00B85568">
      <w:pPr>
        <w:pStyle w:val="TextoNormal"/>
      </w:pPr>
      <w:r>
        <w:t>Conforme las alegaciones del Ministerio Fiscal, debe acordarse la suspensión de la pena privativa de libertad y su accesoria de inhabilitación especial. Su ejecución puede ocasionar al recurrente perjuicios irreparables que harían perder al amparo su finalidad, tanto por afectar al valor fundamental de la libertad como porque si se compara la duración de tales penas —un año y tres meses— con el tiempo que requiere la tramitación de un proceso de amparo como el presente, la no suspensión de su ejecución ocasionaría un perjuicio irreparable, que privaría en parte o, incluso, en todo de eficacia a un eventual fallo estimatorio. Por otra parte, el acceder a la suspensión pretendida no ocasiona una lesión específica y grave de un interés constitucionalmente protegido —más allá de aquél que de por sí produce la no ejecución de un fallo judicial—, ni de derechos fundamentales o libertades públicas de tercero.</w:t>
      </w:r>
    </w:p>
    <w:p w:rsidR="00B85568" w:rsidRDefault="00B85568" w:rsidP="00B85568">
      <w:pPr>
        <w:pStyle w:val="TextoNormal"/>
      </w:pPr>
    </w:p>
    <w:p w:rsidR="00B85568" w:rsidRDefault="00B85568" w:rsidP="00B85568">
      <w:pPr>
        <w:pStyle w:val="TextoNormal"/>
      </w:pPr>
      <w:r>
        <w:t>Los recurrentes también han solicitado la suspensión de la condena en costas y el pago de las responsabilidades civiles sin desarrollar ningún específico argumento para sustentar la procedencia de esta solicitud. De ese modo, tal como también ha interesado el Ministerio Fiscal, no procede acceder a esta petición. Los recurrentes no han cumplido la carga procesal que les incumbe de alegar y acreditar la concurrencia de un perjuicio irreparable derivado de la ejecución de estos pronunciamientos económicos que, por su propia naturaleza, no son irreparables.</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Suspender la ejecución de la Sentencia del Juzgado de lo Penal núm. 1 de Palencia de 4 de noviembre de 2013, dictada en el procedimiento abreviado 27-2012, exclusivamente en lo relativo a las penas de prisión de un año y tres meses y a las accesorias de inhabilitación especial para el derecho de sufragio pasivo durante el tiempo de la condena impuestas a los recurrentes.</w:t>
      </w:r>
    </w:p>
    <w:p w:rsidR="00B85568" w:rsidRDefault="00B85568" w:rsidP="00B85568">
      <w:pPr>
        <w:pStyle w:val="TextoNormal"/>
      </w:pPr>
    </w:p>
    <w:p w:rsidR="00B85568" w:rsidRDefault="00B85568" w:rsidP="00B85568">
      <w:pPr>
        <w:pStyle w:val="TextoNormal"/>
      </w:pPr>
      <w:r>
        <w:t>Madrid, a veinticinco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45" w:name="AUTO_2015_95"/>
      <w:r>
        <w:t>AUTO 95/2015, de 25 de mayo de 2015</w:t>
      </w:r>
    </w:p>
    <w:bookmarkEnd w:id="245"/>
    <w:p w:rsidR="00B85568" w:rsidRDefault="00B85568" w:rsidP="00B85568">
      <w:pPr>
        <w:pStyle w:val="TtuloResolucin"/>
      </w:pPr>
      <w:r>
        <w:t>Sala Segunda</w:t>
      </w:r>
    </w:p>
    <w:p w:rsidR="00B85568" w:rsidRDefault="00B85568" w:rsidP="00B85568">
      <w:pPr>
        <w:pStyle w:val="TextoNormalCentrado"/>
      </w:pPr>
      <w:r>
        <w:t>ECLI:ES:TC:2015:95A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Deniega la suspensión y acuerda la anotación preventiva de la demanda en el recurso de amparo 5290-2014, promovido por NCG División Grupo Inmobiliario, S.L., en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día 2 de septiembre de 2014, tuvo entrada en el Registro General de este Tribunal Constitucional un escrito del Procurador de los Tribunales don Rafael Silva López, actuando en nombre y representación de la entidad NCG División Grupo Inmobiliario, S.L., por el que interponía recurso de amparo contra la Sentencia del Juzgado de lo Penal núm. 1 de Santiago de Compostela, de 6 de marzo de 2013 y contra el Auto del mismo Juzgado, de 26 de mayo de 2014, declarando no haber lugar al incidente de nulidad promovido contra dicha Sentencia.</w:t>
      </w:r>
    </w:p>
    <w:p w:rsidR="00B85568" w:rsidRDefault="00B85568" w:rsidP="00B85568">
      <w:pPr>
        <w:pStyle w:val="TextoNormal"/>
      </w:pPr>
    </w:p>
    <w:p w:rsidR="00B85568" w:rsidRDefault="00B85568" w:rsidP="00B85568">
      <w:pPr>
        <w:pStyle w:val="TextoNormal"/>
      </w:pPr>
      <w:r w:rsidRPr="00B85568">
        <w:rPr>
          <w:rStyle w:val="NumeroAFNegritaCaracter"/>
        </w:rPr>
        <w:t>2</w:t>
      </w:r>
      <w:r>
        <w:t>. Los hechos relevantes para resolver la pretensión de suspensión formulada por la demandante, son los siguientes:</w:t>
      </w:r>
    </w:p>
    <w:p w:rsidR="00B85568" w:rsidRDefault="00B85568" w:rsidP="00B85568">
      <w:pPr>
        <w:pStyle w:val="TextoNormal"/>
      </w:pPr>
    </w:p>
    <w:p w:rsidR="00B85568" w:rsidRDefault="00B85568" w:rsidP="00B85568">
      <w:pPr>
        <w:pStyle w:val="TextoNormal"/>
      </w:pPr>
      <w:r>
        <w:t>a) El Juzgado de lo Penal núm. 1 de Santiago de Compostela dictó Sentencia el 6 de marzo de 2013 en las actuaciones del proceso abreviado núm. 362-2012, con la siguiente dispositiva: “Que condeno a José Guillermo López Torrado, como responsable de un delito del art. 245-2 C.P. que absorbe unas coacciones a 6 meses/multa con cuota diaria de 4 €. Igualmente le condeno como autor de un delito del art. 457 C.P. a 12 meses/multa con cuota diaria de 4 €. En ambos casos en caso de impago tendrá lugar la responsabilidad del art. 53 C.P. El condenado indemnizará a Ramón Filgueira Pérez en la cantidad que se determine en ejecución de sentencia. Se declaran nulas las escrituras, inscripciones registrales, cargas y gravámenes sobre la finca y casa posteriores a la compra de 12-5-2008. El condenado pagará todas las costas”.</w:t>
      </w:r>
    </w:p>
    <w:p w:rsidR="00B85568" w:rsidRDefault="00B85568" w:rsidP="00B85568">
      <w:pPr>
        <w:pStyle w:val="TextoNormal"/>
      </w:pPr>
    </w:p>
    <w:p w:rsidR="00B85568" w:rsidRDefault="00B85568" w:rsidP="00B85568">
      <w:pPr>
        <w:pStyle w:val="TextoNormal"/>
      </w:pPr>
      <w:r>
        <w:t>En el bloque de hechos probados se identifica el inmueble sobre el que se acuerda la nulidad de las escrituras e inscripciones, como “la finca llamada Agro Novo de Arriba, sita en el Lugar de La Iglesia de Abanqueiro (Boiro) y la casa sita en dicha finca”. La fecha de referencia (12 de mayo de 2008), es la de su venta mediante documento privado por los entonces propietarios don José Guillermo y su hermano Carlos, a don Ramón Filgueira. Y el motivo de la nulidad, las operaciones de compraventa que se hubieren realizado en tiempo posterior por el acusado con terceros, usurpando para ello la condición de propietario del inmueble que ya no tenía.</w:t>
      </w:r>
    </w:p>
    <w:p w:rsidR="00B85568" w:rsidRDefault="00B85568" w:rsidP="00B85568">
      <w:pPr>
        <w:pStyle w:val="TextoNormal"/>
      </w:pPr>
    </w:p>
    <w:p w:rsidR="00B85568" w:rsidRDefault="00B85568" w:rsidP="00B85568">
      <w:pPr>
        <w:pStyle w:val="TextoNormal"/>
      </w:pPr>
      <w:r>
        <w:t>b) Esta Sentencia fue recurrida en apelación por el acusado don José Guillermo López Torrado, alegando error en la valoración de la prueba de cargo, en relación con la vulneración del derecho a la presunción de inocencia (art. 24.2 CE); la ausencia de bases para el cálculo de la indemnización civil; además de solicitar la no condena en costas.</w:t>
      </w:r>
    </w:p>
    <w:p w:rsidR="00B85568" w:rsidRDefault="00B85568" w:rsidP="00B85568">
      <w:pPr>
        <w:pStyle w:val="TextoNormal"/>
      </w:pPr>
    </w:p>
    <w:p w:rsidR="00B85568" w:rsidRDefault="00B85568" w:rsidP="00B85568">
      <w:pPr>
        <w:pStyle w:val="TextoNormal"/>
      </w:pPr>
      <w:r>
        <w:t>La Sección Sexta de la Audiencia Provincial de A Coruña (rollo núm. 322-2013), dictó Sentencia el 30 de diciembre de 2013, desestimando el recurso.</w:t>
      </w:r>
    </w:p>
    <w:p w:rsidR="00B85568" w:rsidRDefault="00B85568" w:rsidP="00B85568">
      <w:pPr>
        <w:pStyle w:val="TextoNormal"/>
      </w:pPr>
    </w:p>
    <w:p w:rsidR="00B85568" w:rsidRDefault="00B85568" w:rsidP="00B85568">
      <w:pPr>
        <w:pStyle w:val="TextoNormal"/>
      </w:pPr>
      <w:r>
        <w:t>Sobre los pronunciamientos civiles de la resolución recurrida, la Audiencia precisa que nada se ha cuestionado en el recurso acerca de la restitución posesoria, lo que si bien impide su revisión en segunda instancia, merece la siguiente consideración de la Sala, formulada entre paréntesis: “… se ignora cómo pretenden imponerse pronunciamientos cancelatorios sin inscribirse el derecho dominical contradictorio, carente de título apto para ello, o sin que hayan podido defenderse los titulares de derechos inscritos o de anotaciones relativos a la finca”.</w:t>
      </w:r>
    </w:p>
    <w:p w:rsidR="00B85568" w:rsidRDefault="00B85568" w:rsidP="00B85568">
      <w:pPr>
        <w:pStyle w:val="TextoNormal"/>
      </w:pPr>
    </w:p>
    <w:p w:rsidR="00B85568" w:rsidRDefault="00B85568" w:rsidP="00B85568">
      <w:pPr>
        <w:pStyle w:val="TextoNormal"/>
      </w:pPr>
      <w:r>
        <w:t>c) Con fecha 13 de marzo de 2014 se formalizó por la Procuradora de los Tribunales doña María Jesús Fernández Rial, actuando en nombre y representación de la entidad NCG División Grupo Inmobiliario, S.L., escrito solicitando al Juzgado de lo Penal núm. 1 de Santiago de Compostela la nulidad de su Sentencia de 6 de marzo de 2013, por declarar ésta la “nulidad de escrituras, inscripciones, cargas y gravámenes sobre la finca y casa objeto de juicio”.</w:t>
      </w:r>
    </w:p>
    <w:p w:rsidR="00B85568" w:rsidRDefault="00B85568" w:rsidP="00B85568">
      <w:pPr>
        <w:pStyle w:val="TextoNormal"/>
      </w:pPr>
    </w:p>
    <w:p w:rsidR="00B85568" w:rsidRDefault="00B85568" w:rsidP="00B85568">
      <w:pPr>
        <w:pStyle w:val="TextoNormal"/>
      </w:pPr>
      <w:r>
        <w:t>En el escrito se indica que el 4 de marzo anterior la recurrente había recibido una comunicación del referido Juzgado de lo Penal, actuando como órgano de ejecución, para que en el plazo de cinco días entregara las llaves de la vivienda “sita en el lugar de la Iglesia de Abarqueiro, Boiro e inscrita con el núm. 22.801 en el Registro de la Propiedad de Noia …, al haber sido declarada la nulidad de las escrituras, inscripciones registrales, cargas y gravámenes posteriores a la compra de 12 de mayo de 2008 en virtud de Sentencia dictada en fecha 6 de marzo de 2013 por el Juzgado de lo Penal núm. 1 de Santiago de Compostela”.</w:t>
      </w:r>
    </w:p>
    <w:p w:rsidR="00B85568" w:rsidRDefault="00B85568" w:rsidP="00B85568">
      <w:pPr>
        <w:pStyle w:val="TextoNormal"/>
      </w:pPr>
    </w:p>
    <w:p w:rsidR="00B85568" w:rsidRDefault="00B85568" w:rsidP="00B85568">
      <w:pPr>
        <w:pStyle w:val="TextoNormal"/>
      </w:pPr>
      <w:r>
        <w:t>Ante este requerimiento, se afirma en el mismo escrito que la recurrente resultó adjudicataria de la vivienda (y del terreno en el que se enclava, que juntos componen un único inmueble) en el proceso de ejecución hipotecaria núm. 58-2011 seguido ante el Juzgado de Primera Instancia núm. 2 de Ribeira, a resultas de la cesión de remate efectuada a su favor por la ejecutante NCG Banco, S.A. (la cual, como aparece en las actuaciones, previamente solicitó su adjudicación al no presentarse licitadores en la subasta realizada al efecto el 29 de septiembre de 2011). Se aportó con el escrito de nulidad, copia del Decreto de adjudicación de la Secretaría del Juzgado de Primera Instancia, de 25 de marzo de 2013, donde se indica que el título de ejecución es la escritura pública otorgada el 15 de mayo de 2008 en formalización del préstamo con garantía hipotecaria concedido por la entidad Nova Caixa Galicia, a don José Guillermo López Torrado, préstamo posteriormente impagado.</w:t>
      </w:r>
    </w:p>
    <w:p w:rsidR="00B85568" w:rsidRDefault="00B85568" w:rsidP="00B85568">
      <w:pPr>
        <w:pStyle w:val="TextoNormal"/>
      </w:pPr>
    </w:p>
    <w:p w:rsidR="00B85568" w:rsidRDefault="00B85568" w:rsidP="00B85568">
      <w:pPr>
        <w:pStyle w:val="TextoNormal"/>
      </w:pPr>
      <w:r>
        <w:t>La aquí recurrente alega entonces como fundamento de la nulidad, la vulneración del derecho fundamental a la tutela judicial efectiva (art. 24.1 CE), al haber sufrido indefensión en el proceso penal al que no fue llamado y donde se acordó la nulidad de escrituras y actos registrales ya mencionados, “pronunciamiento contrario a sus derechos e intereses legítimos”.</w:t>
      </w:r>
    </w:p>
    <w:p w:rsidR="00B85568" w:rsidRDefault="00B85568" w:rsidP="00B85568">
      <w:pPr>
        <w:pStyle w:val="TextoNormal"/>
      </w:pPr>
    </w:p>
    <w:p w:rsidR="00B85568" w:rsidRDefault="00B85568" w:rsidP="00B85568">
      <w:pPr>
        <w:pStyle w:val="TextoNormal"/>
      </w:pPr>
      <w:r>
        <w:t>d) El Juzgado de lo Penal núm. 1 de Santiago de Compostela dictó Auto el 26 de mayo de 2014, acordando no haber lugar a declarar la nulidad “de las actuaciones que han derivado en esta ejecutoria 61/2014, que se tramitan en este órgano”.</w:t>
      </w:r>
    </w:p>
    <w:p w:rsidR="00B85568" w:rsidRDefault="00B85568" w:rsidP="00B85568">
      <w:pPr>
        <w:pStyle w:val="TextoNormal"/>
      </w:pPr>
    </w:p>
    <w:p w:rsidR="00B85568" w:rsidRDefault="00B85568" w:rsidP="00B85568">
      <w:pPr>
        <w:pStyle w:val="TextoNormal"/>
      </w:pPr>
      <w:r>
        <w:t>Sin negar que el inmueble al que se refiere el escrito de la recurrente sea el mismo sobre el que su Sentencia acordó la nulidad notarial y registral, señala el Juzgado que “según la documentación presentada por la solicitante, la adjudicación de la vivienda se hace efectiva en fecha 25 de marzo de 2013, fecha posterior a la sentencia que pretende que se declare nula. En fecha 20 de enero de 2014, la vivienda figuraba inscrita en el Registro a favor de Diana María Maneiro Santos, verificándose en la nota simple informativa del Registro de la Propiedad de Noia. La sentencia de la Audiencia Provincial es de 30 de diciembre de 2013. Emplear el incidente de nulidad, con exclusivos fines particulares denota, cuando menos, un abuso de derecho. Deducimos que la pretensión no es susceptible de nulidad, ya que se pretende exclusivamente modificar el contenido de una sentencia que ya ha adquirido firmeza”.</w:t>
      </w:r>
    </w:p>
    <w:p w:rsidR="00B85568" w:rsidRDefault="00B85568" w:rsidP="00B85568">
      <w:pPr>
        <w:pStyle w:val="TextoNormal"/>
      </w:pPr>
    </w:p>
    <w:p w:rsidR="00B85568" w:rsidRDefault="00B85568" w:rsidP="00B85568">
      <w:pPr>
        <w:pStyle w:val="TextoNormal"/>
      </w:pPr>
      <w:r>
        <w:t>e) Notificada esta resolución, el 4 de junio de 2014 se presentó un escrito por la misma representación procesal solicitando la aclaración del Auto de 26 de mayo. Esta petición fue desestimada por nuevo Auto del Juzgado, de fecha 18 de junio de 2014.</w:t>
      </w:r>
    </w:p>
    <w:p w:rsidR="00B85568" w:rsidRDefault="00B85568" w:rsidP="00B85568">
      <w:pPr>
        <w:pStyle w:val="TextoNormal"/>
      </w:pPr>
    </w:p>
    <w:p w:rsidR="00B85568" w:rsidRDefault="00B85568" w:rsidP="00B85568">
      <w:pPr>
        <w:pStyle w:val="TextoNormal"/>
      </w:pPr>
      <w:r w:rsidRPr="00B85568">
        <w:rPr>
          <w:rStyle w:val="NumeroAFNegritaCaracter"/>
        </w:rPr>
        <w:t>3</w:t>
      </w:r>
      <w:r>
        <w:t>. En la demanda de amparo se atribuye a la Sentencia y Auto denegatorio de la nulidad de actuaciones, la vulneración de los siguientes derechos fundamentales: (</w:t>
      </w:r>
      <w:r w:rsidRPr="00B85568">
        <w:rPr>
          <w:i/>
        </w:rPr>
        <w:t>i</w:t>
      </w:r>
      <w:r>
        <w:t>) a la tutela judicial efectiva sin padecer indefensión (art. 24.1 CE), por no haber tenido la oportunidad la entidad recurrente de haber sido oída en las actuaciones del proceso abreviado núm. 362-2012 del Juzgado de lo Penal núm. 1 de Santiago de Compostela, pese a figurar desde el 2 de junio de 2008 como titular de un derecho real de hipoteca del inmueble sobre el que se pronuncia la Sentencia, la finca registral núm. 22.801 del Registro de la Propiedad de Noia, y adquirir además su propiedad en vía judicial; (</w:t>
      </w:r>
      <w:r w:rsidRPr="00B85568">
        <w:rPr>
          <w:i/>
        </w:rPr>
        <w:t>ii</w:t>
      </w:r>
      <w:r>
        <w:t>) al juez ordinario predeterminado por la ley (art. 24.2 CE), pues el Juez de lo Penal carecía “manifiestamente de jurisdicción” para declarar la nulidad de los actos celebrados respecto de dicha finca, al tener dicho pronunciamiento naturaleza y eficacia civil; por resultar ajeno además a los hechos delictivos enjuiciados en ese proceso, en los que no aparece siquiera como responsable civil la entidad recurrente ni la anterior acreedora hipotecaria de la finca, NCG Banco, S.A.; y porque tampoco cabe la restitución de bienes que hayan sido adquiridos de manera irreivindicable según las leyes; y (</w:t>
      </w:r>
      <w:r w:rsidRPr="00B85568">
        <w:rPr>
          <w:i/>
        </w:rPr>
        <w:t>iii</w:t>
      </w:r>
      <w:r>
        <w:t>) a un proceso con todas las garantías (art. 24.2 CE), queja que se califica como una consecuencia de las dos lesiones ya denunciadas, insistiendo en que por no haber sido parte la recurrente en el proceso penal se le ocasionó indefensión, dictándose un pronunciamiento radicalmente nulo por su naturaleza.</w:t>
      </w:r>
    </w:p>
    <w:p w:rsidR="00B85568" w:rsidRDefault="00B85568" w:rsidP="00B85568">
      <w:pPr>
        <w:pStyle w:val="TextoNormal"/>
      </w:pPr>
    </w:p>
    <w:p w:rsidR="00B85568" w:rsidRDefault="00B85568" w:rsidP="00B85568">
      <w:pPr>
        <w:pStyle w:val="TextoNormal"/>
      </w:pPr>
      <w:r w:rsidRPr="00B85568">
        <w:rPr>
          <w:rStyle w:val="NumeroAFNegritaCaracter"/>
        </w:rPr>
        <w:t>4</w:t>
      </w:r>
      <w:r>
        <w:t>. Por medio de un otrosí en la demanda, se solicitó la suspensión de la ejecución de la Sentencia firme del Juzgado de 6 de marzo de 2013, en el pronunciamiento ya indicado por el que se acuerda la nulidad de las escrituras e inscripciones registrales sobre la finca de autos, medida que se solicita por razones “de urgencia excepcional” con carácter previo o, en su defecto simultáneamente a resolver el Tribunal la admisión a trámite del recurso de amparo, “sin audiencia de ninguna otra parte”, con base en el art. 56.6 de la Ley Orgánica del Tribunal Constitucional (LOTC).</w:t>
      </w:r>
    </w:p>
    <w:p w:rsidR="00B85568" w:rsidRDefault="00B85568" w:rsidP="00B85568">
      <w:pPr>
        <w:pStyle w:val="TextoNormal"/>
      </w:pPr>
    </w:p>
    <w:p w:rsidR="00B85568" w:rsidRDefault="00B85568" w:rsidP="00B85568">
      <w:pPr>
        <w:pStyle w:val="TextoNormal"/>
      </w:pPr>
      <w:r>
        <w:t xml:space="preserve">Señala la recurrente que tras la notificación de la providencia del Juzgado de lo Penal de 4 de marzo de 2013, ya citada, por la que se le concedía el plazo de cinco días para la entrega de llaves de la casa, el mismo órgano judicial ha dictado otra providencia el 2 de julio de 2014 reiterando el mismo requerimiento, de modo que si no se decreta la suspensión interesada “podría llegar a ser completamente ilusoria … la efectividad de la tutela que se insta en amparo”. Se añade que “[d]e mantenerse vigente y eficaz el pronunciamiento de declaración de nulidad”, se privaría a la recurrente de su derecho de propiedad sobre la finca registral núm. 22.801, con vulneración “de otro derecho constitucional”. Si pierde la posesión del inmueble, prosigue, podría dar lugar a su ocupación por terceros, “con posibilidad incluso de que se diese lugar a eventuales adquisiciones </w:t>
      </w:r>
      <w:r w:rsidRPr="00B85568">
        <w:rPr>
          <w:i/>
        </w:rPr>
        <w:t>a non domino</w:t>
      </w:r>
      <w:r>
        <w:t>, máxime si se dispone la cancelación registral del título de dominio” de la recurrente, “privando de sentido y eficacia a una posterior Sentencia de este Alto Tribunal Constitucional”.</w:t>
      </w:r>
    </w:p>
    <w:p w:rsidR="00B85568" w:rsidRDefault="00B85568" w:rsidP="00B85568">
      <w:pPr>
        <w:pStyle w:val="TextoNormal"/>
      </w:pPr>
    </w:p>
    <w:p w:rsidR="00B85568" w:rsidRDefault="00B85568" w:rsidP="00B85568">
      <w:pPr>
        <w:pStyle w:val="TextoNormal"/>
      </w:pPr>
      <w:r>
        <w:t>Cita en su apoyo el ATC de 23 de febrero de 2009, que acordó la suspensión en un caso en el que podía producirse la transmisión del bien de modo irrecuperable, lo que determinaría la imposibilidad de reparar el perjuicio. En esta línea cita también el ATC de 5 de mayo de 1997. Y precisa por otro lado que la adopción de la suspensión de la ejecución “no perturbaría ni dañaría interés alguno constitucionalmente protegido, ni se afectaría a derecho alguno de tercero”, como prevé el art. 56.2 LOTC, ofreciendo constituir la caución en garantía que este Tribunal decidiera fijar.</w:t>
      </w:r>
    </w:p>
    <w:p w:rsidR="00B85568" w:rsidRDefault="00B85568" w:rsidP="00B85568">
      <w:pPr>
        <w:pStyle w:val="TextoNormal"/>
      </w:pPr>
    </w:p>
    <w:p w:rsidR="00B85568" w:rsidRDefault="00B85568" w:rsidP="00B85568">
      <w:pPr>
        <w:pStyle w:val="TextoNormal"/>
      </w:pPr>
      <w:r>
        <w:t xml:space="preserve">Finalmente, en orden a fundamentar la urgencia de la suspensión, el escrito de demanda señala que “existe un riego claro y manifiesto de que pueda llegar a tomar posesión de la finca registral núm. 22.801 … un tercero cuya posición jurídica pueda resultar irreivindicable …, consolidándose una auténtica adquisición </w:t>
      </w:r>
      <w:r w:rsidRPr="00B85568">
        <w:rPr>
          <w:i/>
        </w:rPr>
        <w:t>a non domino</w:t>
      </w:r>
      <w:r>
        <w:t xml:space="preserve"> del inmueble”, con cita en este punto del ATC de 25 de febrero de 2011. Termina solicitando que si no se acuerda la suspensión con carácter previo a admitirse el recurso, se haga en todo caso al mismo tiempo en que se adopta esta última decisión.</w:t>
      </w:r>
    </w:p>
    <w:p w:rsidR="00B85568" w:rsidRDefault="00B85568" w:rsidP="00B85568">
      <w:pPr>
        <w:pStyle w:val="TextoNormal"/>
      </w:pPr>
    </w:p>
    <w:p w:rsidR="00B85568" w:rsidRDefault="00B85568" w:rsidP="00B85568">
      <w:pPr>
        <w:pStyle w:val="TextoNormal"/>
      </w:pPr>
      <w:r w:rsidRPr="00B85568">
        <w:rPr>
          <w:rStyle w:val="NumeroAFNegritaCaracter"/>
        </w:rPr>
        <w:t>5</w:t>
      </w:r>
      <w:r>
        <w:t>. Por providencia de 15 de abril de 2015, la Sección Cuarta de este Tribunal acordó admitir a trámite el recurso de amparo interpuesto por la mercantil recurrente, “apreciando en el mismo una especial trascendencia constitucional (art. 50.1 LOTC) porque el recurso plantea un problema o afecta a una faceta de un derecho fundamental sobre el que no hay doctrina de este Tribunal [STC 155/2009, FJ 2 a)]”. Asimismo y en lo que aquí importa, la providencia decidió: “de conformidad con la solicitud de la parte actora”, que se formara pieza separada de suspensión.</w:t>
      </w:r>
    </w:p>
    <w:p w:rsidR="00B85568" w:rsidRDefault="00B85568" w:rsidP="00B85568">
      <w:pPr>
        <w:pStyle w:val="TextoNormal"/>
      </w:pPr>
    </w:p>
    <w:p w:rsidR="00B85568" w:rsidRDefault="00B85568" w:rsidP="00B85568">
      <w:pPr>
        <w:pStyle w:val="TextoNormal"/>
      </w:pPr>
      <w:r w:rsidRPr="00B85568">
        <w:rPr>
          <w:rStyle w:val="NumeroAFNegritaCaracter"/>
        </w:rPr>
        <w:t>6</w:t>
      </w:r>
      <w:r>
        <w:t>. En la misma fecha, la Sección Cuarta del Tribunal dictó otra providencia por la que: “ha acordado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B85568" w:rsidRDefault="00B85568" w:rsidP="00B85568">
      <w:pPr>
        <w:pStyle w:val="TextoNormal"/>
      </w:pPr>
    </w:p>
    <w:p w:rsidR="00B85568" w:rsidRDefault="00B85568" w:rsidP="00B85568">
      <w:pPr>
        <w:pStyle w:val="TextoNormal"/>
      </w:pPr>
      <w:r w:rsidRPr="00B85568">
        <w:rPr>
          <w:rStyle w:val="NumeroAFNegritaCaracter"/>
        </w:rPr>
        <w:t>7</w:t>
      </w:r>
      <w:r>
        <w:t>. Por escrito registrado el 27 de abril de 2015, la representación procesal de la entidad recurrente formuló alegaciones en la pieza de suspensión, en el sentido de ratificarse en la solicitud efectuada e insistiendo en los argumentos que sostienen dicha pretensión. Con carácter previo a esta exposición, se informa que con posterioridad a la presentación de la demanda ha tenido lugar un cambio de denominación de la empresa, pasando a llamarse Abanca Corporación, División Inmobiliaria, S.L., acompañando con dicho escrito copia de la escritura pública de cambio de denominación, otorgada en fecha 28 de enero de 2015 ante Notario de A Coruña.</w:t>
      </w:r>
    </w:p>
    <w:p w:rsidR="00B85568" w:rsidRDefault="00B85568" w:rsidP="00B85568">
      <w:pPr>
        <w:pStyle w:val="TextoNormal"/>
      </w:pPr>
    </w:p>
    <w:p w:rsidR="00B85568" w:rsidRDefault="00B85568" w:rsidP="00B85568">
      <w:pPr>
        <w:pStyle w:val="TextoNormal"/>
      </w:pPr>
      <w:r w:rsidRPr="00B85568">
        <w:rPr>
          <w:rStyle w:val="NumeroAFNegritaCaracter"/>
        </w:rPr>
        <w:t>8</w:t>
      </w:r>
      <w:r>
        <w:t>. Con fecha 28 de abril de 2015, el Ministerio Fiscal presentó escrito interesando se accediera a la solicitud de suspensión. Luego de hacer cumplida cita de doctrina del Tribunal acerca del carácter restrictivo de la medida de suspensión ejecutiva de los actos impugnados, sin perjuicio de tener en cuenta aquellas situaciones que justifican un equilibrio entre los intereses en juego, incluso tratándose de condenas de contenido patrimonial, se centra la Fiscalía en las particularidades del caso. Advierte, en primer lugar, que la declaración de nulidad de la Sentencia del Juzgado de lo Penal, por su carácter genérico e indiscriminado, “afecta claramente a los derechos que exhibe el recurrente en amparo …, ya que aparece como titular registral de la finca y lo es por decisión de un órgano judicial, que se lo adjudicó en la ejecución acordada en un procedimiento hipotecari[o]”. Segundo, e inmediatamente dicho lo anterior, en cuanto al alcance del control que ha de llevarse a cabo por este Tribunal entiende que “no procede en este trámite decidir sobre la validez o no del título, si no que lo procedente es comprobar los efectos inmediatos que la decisión del Juez de lo penal de declarar nulos diversos actos y títulos, puede tener y si esa eficacia podría devenir en irreparable en el caso de que se otorgara el amparo a la sociedad recurrente”.</w:t>
      </w:r>
    </w:p>
    <w:p w:rsidR="00B85568" w:rsidRDefault="00B85568" w:rsidP="00B85568">
      <w:pPr>
        <w:pStyle w:val="TextoNormal"/>
      </w:pPr>
    </w:p>
    <w:p w:rsidR="00B85568" w:rsidRDefault="00B85568" w:rsidP="00B85568">
      <w:pPr>
        <w:pStyle w:val="TextoNormal"/>
      </w:pPr>
      <w:r>
        <w:t xml:space="preserve">Y como conclusión de las dos premisas, sostiene el Ministerio Público en su escrito que “es procedente la suspensión solicitada”, pues frente a la apariencia de posible reparación indemnizatoria del perjuicio, “lo cierto es que esa vía resarcitoria es extremadamente complicada de transitar, que convierte en la práctica a los derechos del recurrente en irreparables o de muy difícil reparación, si llegara a otorgarse el amparo. Tampoco es desdeñable [considerar] que la declaración de nulidad permitiría a los antiguos titulares registrales a disponer de los inmuebles dando entrada a posibles terceros adquirentes, que amparados por su buena fe, devengan en inatacables, cuando en la práctica, mediante la anotación de la demanda se podría conseguir mantener el </w:t>
      </w:r>
      <w:r w:rsidRPr="00B85568">
        <w:rPr>
          <w:i/>
        </w:rPr>
        <w:t>status</w:t>
      </w:r>
      <w:r>
        <w:t xml:space="preserve"> actual de la finca hasta la completa resolución del recurso de amparo”.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De acuerdo a lo señalado recientemente en el ATC 198/2014, de 21 de julio, FJ 1: “Como regla general, el apartado 1 del art. 56 de la Ley Orgánica del Tribunal Constitucional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w:t>
      </w:r>
    </w:p>
    <w:p w:rsidR="00B85568" w:rsidRDefault="00B85568" w:rsidP="00B85568">
      <w:pPr>
        <w:pStyle w:val="TextoNormal"/>
      </w:pPr>
    </w:p>
    <w:p w:rsidR="00B85568" w:rsidRDefault="00B85568" w:rsidP="00B85568">
      <w:pPr>
        <w:pStyle w:val="TextoNormal"/>
      </w:pPr>
      <w:r w:rsidRPr="00B85568">
        <w:rPr>
          <w:rStyle w:val="NumeroAFNegritaCaracter"/>
        </w:rPr>
        <w:t>2</w:t>
      </w:r>
      <w:r>
        <w:t>. De manera más específica, tratándose como aquí sucede de la suspensión de resoluciones judiciales con efectos de naturaleza patrimonial, nuestra doctrina ha establecido que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En efecto, en relación con resoluciones judiciales cuya ejecución conlleva el desalojo de una vivienda o local, hemos declarado en diversas ocasiones, AATC 225/2000, de 2 de octubre, FJ 2; 187/2001, de 2 de julio, FFJJ 2 y 3; 210/2001, de 16 de julio, FJ 3; o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como acontece en el presente caso, por lo cual resulta procedente el mantenimiento de la medida cautelar de suspensión del lanzamiento de la demandante de amparo de la vivienda que ocupa...” [ATC 18/2012, de 30 de enero, FJ 3; en el mismo sentido, AATC 81/2012; de 7 de mayo, FJ 2; 103/2012, de 21 de mayo, FJ 1; 287/2013, de 16 de diciembre, FJ 1; 175/2014, de 23 de junio, FJ 1, y 59/2015, de 16 de marzo, FJ 2].</w:t>
      </w:r>
    </w:p>
    <w:p w:rsidR="00B85568" w:rsidRDefault="00B85568" w:rsidP="00B85568">
      <w:pPr>
        <w:pStyle w:val="TextoNormal"/>
      </w:pPr>
    </w:p>
    <w:p w:rsidR="00B85568" w:rsidRDefault="00B85568" w:rsidP="00B85568">
      <w:pPr>
        <w:pStyle w:val="TextoNormal"/>
      </w:pPr>
      <w:r>
        <w:t>Asimismo, en cuanto a la carga de acreditar la realidad del perjuicio irreparable o de muy difícil reparación, tenemos dicho: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36/2007, de 12 de febrero, FJ 2,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[AATC 199/2010, de 21 de diciembre, FJ 3; y 81/2012, de 7 de mayo, FJ 3. En su aplicación últimamente, AATC 175/2014, de 23 de junio, FJ 2, y 29/2015, de 16 de febrero, FJ 2 b)].</w:t>
      </w:r>
    </w:p>
    <w:p w:rsidR="00B85568" w:rsidRDefault="00B85568" w:rsidP="00B85568">
      <w:pPr>
        <w:pStyle w:val="TextoNormal"/>
      </w:pPr>
    </w:p>
    <w:p w:rsidR="00B85568" w:rsidRDefault="00B85568" w:rsidP="00B85568">
      <w:pPr>
        <w:pStyle w:val="TextoNormal"/>
      </w:pPr>
      <w:r w:rsidRPr="00B85568">
        <w:rPr>
          <w:rStyle w:val="NumeroAFNegritaCaracter"/>
        </w:rPr>
        <w:t>3</w:t>
      </w:r>
      <w:r>
        <w:t>. Los postulados de la anterior doctrina, puestos en relación con las circunstancias del presente caso, conducen a desestimar la solicitud de suspensión planteada:</w:t>
      </w:r>
    </w:p>
    <w:p w:rsidR="00B85568" w:rsidRDefault="00B85568" w:rsidP="00B85568">
      <w:pPr>
        <w:pStyle w:val="TextoNormal"/>
      </w:pPr>
    </w:p>
    <w:p w:rsidR="00B85568" w:rsidRDefault="00B85568" w:rsidP="00B85568">
      <w:pPr>
        <w:pStyle w:val="TextoNormal"/>
      </w:pPr>
      <w:r>
        <w:t>a) Ante todo, ha de precisarse que no nos encontramos ante un proceso de ejecución que hubiere de paralizarse porque en él está prevista la realización forzosa del bien, lo que podría conllevar su adquisición por un tercero en condiciones que lo hagan irreivindicable. De manera distinta, se trata de un pronunciamiento de nulidad de escrituras e inscripciones registrales previamente practicadas, en cuya virtud la mercantil aquí recurrente obtuvo la propiedad del inmueble ya identificado por cesión del remate efectuado a su favor por la entidad bancaria ejecutante, en un proceso civil de ejecución hipotecaria.</w:t>
      </w:r>
    </w:p>
    <w:p w:rsidR="00B85568" w:rsidRDefault="00B85568" w:rsidP="00B85568">
      <w:pPr>
        <w:pStyle w:val="TextoNormal"/>
      </w:pPr>
    </w:p>
    <w:p w:rsidR="00B85568" w:rsidRDefault="00B85568" w:rsidP="00B85568">
      <w:pPr>
        <w:pStyle w:val="TextoNormal"/>
      </w:pPr>
      <w:r>
        <w:t>b) El perjuicio que se deriva de la efectividad del pronunciamiento que se quiere suspender, por tanto, no se antoja irreversible o de difícil reparación, pues no lo es la sola pérdida de la propiedad del bien que produce aquella nulidad; situación que por sí misma no es tenida en cuenta ni por el legislador orgánico ni por la doctrina de este Tribunal para conceder la suspensión de resoluciones judiciales firmes. Por lo demás, resulta evidente que no conforma el objeto del presente recurso de amparo dilucidar a quién ha de tenerse por legítimo dueño de la finca, de entre las distintas personas que aparecen con derechos sobre ella en las notas y certificaciones registrales que obran en las actuaciones y en la propia Sentencia y auto de nulidad impugnados.</w:t>
      </w:r>
    </w:p>
    <w:p w:rsidR="00B85568" w:rsidRDefault="00B85568" w:rsidP="00B85568">
      <w:pPr>
        <w:pStyle w:val="TextoNormal"/>
      </w:pPr>
    </w:p>
    <w:p w:rsidR="00B85568" w:rsidRDefault="00B85568" w:rsidP="00B85568">
      <w:pPr>
        <w:pStyle w:val="TextoNormal"/>
      </w:pPr>
      <w:r>
        <w:t>La demanda y el escrito posterior de alegaciones deducido en esta pieza separada, no han acreditado que exista la imposibilidad de reparación, limitándose a señalar que existe un riesgo de que el inmueble pueda ser transmitido a terceros de buena fe en el futuro, sin determinar en qué términos. Con arreglo a esta falta de acreditación del daño que le resultaba exigible a la recurrente, se deniega lo solicitado.</w:t>
      </w:r>
    </w:p>
    <w:p w:rsidR="00B85568" w:rsidRDefault="00B85568" w:rsidP="00B85568">
      <w:pPr>
        <w:pStyle w:val="TextoNormal"/>
      </w:pPr>
    </w:p>
    <w:p w:rsidR="00B85568" w:rsidRDefault="00B85568" w:rsidP="00B85568">
      <w:pPr>
        <w:pStyle w:val="TextoNormal"/>
      </w:pPr>
      <w:r w:rsidRPr="00B85568">
        <w:rPr>
          <w:rStyle w:val="NumeroAFNegritaCaracter"/>
        </w:rPr>
        <w:t>4</w:t>
      </w:r>
      <w:r>
        <w:t xml:space="preserve">. Sin perjuicio de lo que se resuelve, el escrito del Ministerio Fiscal advierte que como consecuencia de la nulidad de la adjudicación del bien inmueble a la entidad recurrente, el condenado por la Sentencia firme del Juzgado de lo Penal, don José Guillermo López Torrado y su hermano Carlos, a la sazón anteriores propietarios de la finca, podrían gracias a ello colocarse en posición de intentar una nueva venta a un tercero, en condiciones que lo hicieran irreivindicable. Más allá de que la materialización de esta hipótesis fuere más o menos factible, existe en todo caso un modo de evitar cualquier riesgo de transmisión del bien a un tercero de buena fe, como sería la medida de anotación preventiva de la demanda de amparo. Medida que el propio Ministerio Fiscal, de hecho, menciona como colofón de sus alegaciones, indicando que a través de ella “se podría conseguir mantener el </w:t>
      </w:r>
      <w:r w:rsidRPr="00B85568">
        <w:rPr>
          <w:i/>
        </w:rPr>
        <w:t>status</w:t>
      </w:r>
      <w:r>
        <w:t xml:space="preserve"> actual de la finca hasta la completa resolución del recurso de amparo”.</w:t>
      </w:r>
    </w:p>
    <w:p w:rsidR="00B85568" w:rsidRDefault="00B85568" w:rsidP="00B85568">
      <w:pPr>
        <w:pStyle w:val="TextoNormal"/>
      </w:pPr>
    </w:p>
    <w:p w:rsidR="00B85568" w:rsidRDefault="00B85568" w:rsidP="00B85568">
      <w:pPr>
        <w:pStyle w:val="TextoNormal"/>
      </w:pPr>
      <w:r>
        <w:t>En tal sentido, no cabe duda de que “este Tribunal está facultado para acordar la anotación preventiva de la demanda de amparo en el Registro de la Propiedad a fin de garantizar los derechos de los demandantes de amparo frente a eventuales actos de disposición, mediante el anuncio registral frente a terceros de la pendencia del proceso constitucional con sus eventuales consecuencias sobre los derechos inscritos. Se trata de una medida cautelar que este Tribunal, de conformidad con el art. 56 LOTC, puede adoptar de oficio o a instancia de parte, con fundamento en el art. 42.1 de la Ley hipotecaria (AATC 274/2002, de 18 de diciembre; 257/2003, de 14 de julio; 230/2007, de 7 de mayo, FJ 3; y 415/2007, de 5 de noviembre, FJ 4) y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B85568" w:rsidRDefault="00B85568" w:rsidP="00B85568">
      <w:pPr>
        <w:pStyle w:val="TextoNormal"/>
      </w:pPr>
    </w:p>
    <w:p w:rsidR="00B85568" w:rsidRDefault="00B85568" w:rsidP="00B85568">
      <w:pPr>
        <w:pStyle w:val="TextoNormal"/>
      </w:pPr>
      <w:r>
        <w:t>Procede por tanto acceder a este pedimento del Ministerio público, debiendo practicarse la anotación de la demanda de amparo del presente recurso en relación con el bien inmueble ya varias veces identificado (finca registral núm. 22.801 del Registro de la Propiedad de Noia), a los fines indicados por nuestra doctrina.</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Denegar la suspensión de la ejecución de la Sentencia del Juzgado de lo Penal núm. 1 de Santiago de Compostela, de 6 de marzo de 2013, en el inciso por el que declara la nulidad “de las escrituras, inscripciones registrales, cargas y gravámenes sobre la finca y casa posteriores a la compra de 12-5-2008”.</w:t>
      </w:r>
    </w:p>
    <w:p w:rsidR="00B85568" w:rsidRDefault="00B85568" w:rsidP="00B85568">
      <w:pPr>
        <w:pStyle w:val="TextoNormal"/>
      </w:pPr>
    </w:p>
    <w:p w:rsidR="00B85568" w:rsidRDefault="00B85568" w:rsidP="00B85568">
      <w:pPr>
        <w:pStyle w:val="TextoNormal"/>
      </w:pPr>
      <w:r>
        <w:t>2º Acordar la anotación preventiva de la demanda de amparo en el Registro de la Propiedad de Noia, a cuyo efecto el Juzgado de lo Penal habrá de expedir el mandamiento oportuno para que pueda practicarse la misma, en relación con el inmueble al que se refieren las presentes actuaciones, de acuerdo con la legislación procesal e hipotecaria.</w:t>
      </w:r>
    </w:p>
    <w:p w:rsidR="00B85568" w:rsidRDefault="00B85568" w:rsidP="00B85568">
      <w:pPr>
        <w:pStyle w:val="TextoNormal"/>
      </w:pPr>
    </w:p>
    <w:p w:rsidR="00B85568" w:rsidRDefault="00B85568" w:rsidP="00B85568">
      <w:pPr>
        <w:pStyle w:val="TextoNormal"/>
      </w:pPr>
      <w:r>
        <w:t>Madrid, a veinticinco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46" w:name="AUTO_2015_96"/>
      <w:r>
        <w:t>AUTO 96/2015, de 25 de mayo de 2015</w:t>
      </w:r>
    </w:p>
    <w:bookmarkEnd w:id="246"/>
    <w:p w:rsidR="00B85568" w:rsidRDefault="00B85568" w:rsidP="00B85568">
      <w:pPr>
        <w:pStyle w:val="TtuloResolucin"/>
      </w:pPr>
      <w:r>
        <w:t>Sección Segunda</w:t>
      </w:r>
    </w:p>
    <w:p w:rsidR="00B85568" w:rsidRDefault="00B85568" w:rsidP="00B85568">
      <w:pPr>
        <w:pStyle w:val="TextoNormalCentrado"/>
      </w:pPr>
      <w:r>
        <w:t>ECLI:ES:TC:2015:96A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47" w:name="AUTO_2015_97"/>
      <w:r>
        <w:t>AUTO 97/2015, de 26 de mayo de 2015</w:t>
      </w:r>
    </w:p>
    <w:bookmarkEnd w:id="247"/>
    <w:p w:rsidR="00B85568" w:rsidRDefault="00B85568" w:rsidP="00B85568">
      <w:pPr>
        <w:pStyle w:val="TtuloResolucin"/>
      </w:pPr>
      <w:r>
        <w:t>Pleno</w:t>
      </w:r>
    </w:p>
    <w:p w:rsidR="00B85568" w:rsidRDefault="00B85568" w:rsidP="00B85568">
      <w:pPr>
        <w:pStyle w:val="TextoNormalCentrado"/>
      </w:pPr>
      <w:r>
        <w:t>ECLI:ES:TC:2015:97A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952-2015, planteada por la Sala de lo Contencioso-Administrativo del Tribunal Superior de Justicia de Canarias en relación con la disposición transitoria séptima de la Ley del Parlamento de Canarias 4/1999, de 15 de marzo, del patrimonio histórico.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19 de febrero de 2015 tuvo entrada en el Registro General de este Tribunal oficio de la Sección Segunda de la Sala de lo Contencioso-Administrativo del Tribunal Superior de Justicia de Canarias remitiendo, junto con el testimonio de las actuaciones (recurso de apelación núm. 44-2014), Auto dictado el 20 de enero de 2015, por el que se acuerda plantear cuestión de inconstitucionalidad en relación con la disposición transitoria séptima de la Ley 4/1999, de 15 de marzo, del patrimonio histórico de Canarias por posible vulneración de los arts. 149.1.8 y 149.1.18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del planteamiento de la presente cuestión de inconstitucionalidad son, sucintamente expuestos, los siguientes:</w:t>
      </w:r>
    </w:p>
    <w:p w:rsidR="00B85568" w:rsidRDefault="00B85568" w:rsidP="00B85568">
      <w:pPr>
        <w:pStyle w:val="TextoNormal"/>
      </w:pPr>
    </w:p>
    <w:p w:rsidR="00B85568" w:rsidRDefault="00B85568" w:rsidP="00B85568">
      <w:pPr>
        <w:pStyle w:val="TextoNormal"/>
      </w:pPr>
      <w:r>
        <w:t>a) Por el coordinador general del área de cultura, patrimonio histórico y museos del Cabildo Insular de Tenerife se dictó resolución de fecha 2 de junio de 2011, en relación con la retirada de las instalaciones eléctricas ubicadas en los alrededores de la denominada casona de Santa Catalina, inmueble ubicado en el conjunto histórico de Tacoronte, con motivo de la finalización de las obras de restauración llevadas a cabo en el citado inmueble. La citada resolución reitera requerimientos ya anteriormente formulados a la mercantil Endesa Distribución Eléctrica, S.L., con objeto de que en el plazo de diez días, proceda a la retirada de los elementos ubicados en la mencionada casona de Santa Catalina, en la medida en los mismos incumplen las previsiones de la Ley 4/1999, de 15 de marzo, del patrimonio histórico de Canarias. Igualmente apercibe a la mercantil citada que el incumplimiento del requerimiento implicará la comisión de una infracción administrativa conforme al art. 96 de la mencionada Ley 4/1999.</w:t>
      </w:r>
    </w:p>
    <w:p w:rsidR="00B85568" w:rsidRDefault="00B85568" w:rsidP="00B85568">
      <w:pPr>
        <w:pStyle w:val="TextoNormal"/>
      </w:pPr>
    </w:p>
    <w:p w:rsidR="00B85568" w:rsidRDefault="00B85568" w:rsidP="00B85568">
      <w:pPr>
        <w:pStyle w:val="TextoNormal"/>
      </w:pPr>
      <w:r>
        <w:t>b) Contra la citada resolución interpuso recurso de alzada Endesa Distribución Eléctrica, S.L., invocando la aplicación al caso de las previsiones de la Ley 54/1997, de 27 de noviembre, del sector eléctrico, y solicitando la declaración de nulidad de pleno derecho de la disposición impugnada.</w:t>
      </w:r>
    </w:p>
    <w:p w:rsidR="00B85568" w:rsidRDefault="00B85568" w:rsidP="00B85568">
      <w:pPr>
        <w:pStyle w:val="TextoNormal"/>
      </w:pPr>
    </w:p>
    <w:p w:rsidR="00B85568" w:rsidRDefault="00B85568" w:rsidP="00B85568">
      <w:pPr>
        <w:pStyle w:val="TextoNormal"/>
      </w:pPr>
      <w:r>
        <w:t>c) Por Decreto de 20 de enero de 2012 el Presidente del Cabildo Insular desestimó el recurso de alzada, levantó la suspensión cautelar que pesaba sobre la resolución inicial y ordenó a Endesa Distribución Eléctrica, S.L., el cumplimiento de la resolución de fecha 2 de junio de 2011, relativa a la retirada de los elementos ubicados en los alrededores de la Casona de Santa Catalina, señalando expresamente que el incumplimiento del mencionado requerimiento implicará la comisión de una infracción administrativa según el art. 96 de la Ley 4/1999.</w:t>
      </w:r>
    </w:p>
    <w:p w:rsidR="00B85568" w:rsidRDefault="00B85568" w:rsidP="00B85568">
      <w:pPr>
        <w:pStyle w:val="TextoNormal"/>
      </w:pPr>
    </w:p>
    <w:p w:rsidR="00B85568" w:rsidRDefault="00B85568" w:rsidP="00B85568">
      <w:pPr>
        <w:pStyle w:val="TextoNormal"/>
      </w:pPr>
      <w:r>
        <w:t>d) Endesa Distribución Eléctrica, S.L., interpuso recurso contencioso-administrativo contra el Decreto de 20 de enero de 2012. Recurso desestimado por Sentencia del Juzgado de lo Contencioso-Administrativo núm. 3 de Tenerife que, en lo que ahora importa, entiende que no resulta de aplicación al caso la Ley 54/1997, de 27 de noviembre, del sector eléctrico, ni tampoco la disposición transitoria séptima de la Ley 4/1999, de 15 de marzo, del patrimonio histórico de Canarias, sino que la actuación administrativa impugnada se amparaba en lo dispuesto en el art. 34.3 de la misma Ley 4/1999, que establece una prohibición legal de instalaciones eléctricas aéreas y adosadas a las fachadas en los conjuntos históricos.</w:t>
      </w:r>
    </w:p>
    <w:p w:rsidR="00B85568" w:rsidRDefault="00B85568" w:rsidP="00B85568">
      <w:pPr>
        <w:pStyle w:val="TextoNormal"/>
      </w:pPr>
    </w:p>
    <w:p w:rsidR="00B85568" w:rsidRDefault="00B85568" w:rsidP="00B85568">
      <w:pPr>
        <w:pStyle w:val="TextoNormal"/>
      </w:pPr>
      <w:r>
        <w:t>e) Contra la citada Sentencia planteo Endesa Distribución Eléctrica, S.L., recurso de apelación, cuyo conocimiento correspondió a la Sección Segunda de la Sala de lo Contencioso-Administrativo del Tribunal Superior de Justicia de Canarias. Dicha Sección, concluso el procedimiento y antes de dictar sentencia, dictó una providencia de fecha 5 de noviembre de 2014 otorgando a las partes y al Ministerio Fiscal un plazo de diez días para alegar lo que estimasen oportuno acerca de la pertinencia de plantear cuestión de inconstitucionalidad contra la disposición transitoria séptima de la Ley 4/1999, de 15 de marzo, del patrimonio histórico de Canarias, “en lo referido a las compañías suministradoras de electricidad y la traslación a éstas de los costes derivados de la retirada de cables y conducciones aparentes de las fechas de edificios y conjuntos históricos y su conducción subterránea”.</w:t>
      </w:r>
    </w:p>
    <w:p w:rsidR="00B85568" w:rsidRDefault="00B85568" w:rsidP="00B85568">
      <w:pPr>
        <w:pStyle w:val="TextoNormal"/>
      </w:pPr>
    </w:p>
    <w:p w:rsidR="00B85568" w:rsidRDefault="00B85568" w:rsidP="00B85568">
      <w:pPr>
        <w:pStyle w:val="TextoNormal"/>
      </w:pPr>
      <w:r>
        <w:t>Según la providencia, “la ley canaria parece contravenir normativa básica estatal, en concreto lo dispuesto en el artículo 58.2 de la Ley 54/1997, de 27 de noviembre, del sector eléctrico, según el cual ‘la variación del tendido de una línea como consecuencia de proyectos o planes aprobados por la administración comportará el pago del coste de dicha variación’ ”. Respecto al juicio de relevancia, la providencia indica que “es evidente que resulta aplicable la disposición transitoria séptima, que se refiere a los tendidos eléctricos preexistentes a la declaración de conjunto histórico y no el artículo 34 de la Ley que prohíbe el nuevo tendido de cables en fachadas dentro del ámbito de los recintos de los conjuntos históricos”, añadiendo que, “aunque expresamente la resolución impugnada no se refiera a la repercusión de los costes del soterramiento, esta cuestión fue planteada por la apelante en la vía administrativa y fue desestimada en la resolución impugnada”. La providencia alude además a que la colisión normativa no puede ser salvada con el argumento de que la normativa básica estatal sólo se refiere a la variación de tendidos eléctricos, como consecuencia de proyectos o planes aprobados por la Administración porque a esa interpretación literal que deja fuera la variación consecuencia de una declaración de conjunto histórico es contraria a la doctrina del Tribunal Supremo en la materia. Recuerda la providencia, por último, la doctrina constitucional que obliga a los tribunales a plantear una cuestión de inconstitucionalidad sobre las normas autonómicas cuando entran en colisión con las normas básicas, así como que “aunque la norma vigente aplicable al caso haya sido derogada, la necesidad de un pronunciamiento sobre estas cuestiones resulta inalterada, al ser sustituida por un precepto idéntico (artículo 59 de la Ley 24/2013, de 26 de diciembre)”.</w:t>
      </w:r>
    </w:p>
    <w:p w:rsidR="00B85568" w:rsidRDefault="00B85568" w:rsidP="00B85568">
      <w:pPr>
        <w:pStyle w:val="TextoNormal"/>
      </w:pPr>
    </w:p>
    <w:p w:rsidR="00B85568" w:rsidRDefault="00B85568" w:rsidP="00B85568">
      <w:pPr>
        <w:pStyle w:val="TextoNormal"/>
      </w:pPr>
      <w:r>
        <w:t>f) El Fiscal señaló que la disposición transitoria séptima de la Ley 4/1999 no resultaba de aplicación, siendo prevalentes el art. 58.2 de la Ley 54/1997 y su trasunto, el art. 59 de la Ley 24/2013; por ello considera que no hay conflicto de leyes y que no procede el planteamiento de la cuestión de inconstitucionalidad. La representación procesal de la actora considera que la disposición transitoria séptima de la Ley 4/1999 resulta aplicable al caso, destacando la existencia de una colisión entre la misma y el art. 58.2 de la Ley 54/1997 y sus disposiciones de desarrollo. El Letrado del Cabildo Insular de Tenerife reitera la falta de relevancia de la norma cuestionada, tal como ya puso de manifiesto en su escrito de oposición al recurso de apelación, señalando, además, que el art. 58.2 de la Ley 54/1997 no es de aplicación al supuesto de hecho concreto, así como que la resolución impugnada no hace referencia alguna a los posibles costes a asumir. De ello resulta que el precepto sobre el que versa la cuestión no es el que fundamenta la actuación administrativa, pues, a su juicio, sería el art. 34.3 de la Ley 4/1999.</w:t>
      </w:r>
    </w:p>
    <w:p w:rsidR="00B85568" w:rsidRDefault="00B85568" w:rsidP="00B85568">
      <w:pPr>
        <w:pStyle w:val="TextoNormal"/>
      </w:pPr>
    </w:p>
    <w:p w:rsidR="00B85568" w:rsidRDefault="00B85568" w:rsidP="00B85568">
      <w:pPr>
        <w:pStyle w:val="TextoNormal"/>
      </w:pPr>
      <w:r>
        <w:t>g) El órgano judicial dictó Auto de fecha 20 de enero de 2015 en el que acuerda plantear cuestión de inconstitucionalidad en relación con la disposición transitoria séptima de la Ley 4/1999, de 15 de marzo, del patrimonio histórico de Canarias.</w:t>
      </w:r>
    </w:p>
    <w:p w:rsidR="00B85568" w:rsidRDefault="00B85568" w:rsidP="00B85568">
      <w:pPr>
        <w:pStyle w:val="TextoNormal"/>
      </w:pPr>
    </w:p>
    <w:p w:rsidR="00B85568" w:rsidRDefault="00B85568" w:rsidP="00B85568">
      <w:pPr>
        <w:pStyle w:val="TextoNormal"/>
      </w:pPr>
      <w:r w:rsidRPr="00B85568">
        <w:rPr>
          <w:rStyle w:val="NumeroAFNegritaCaracter"/>
        </w:rPr>
        <w:t>3</w:t>
      </w:r>
      <w:r>
        <w:t>. En cuanto al contenido del Auto de promoción importa destacar lo siguiente:</w:t>
      </w:r>
    </w:p>
    <w:p w:rsidR="00B85568" w:rsidRDefault="00B85568" w:rsidP="00B85568">
      <w:pPr>
        <w:pStyle w:val="TextoNormal"/>
      </w:pPr>
    </w:p>
    <w:p w:rsidR="00B85568" w:rsidRDefault="00B85568" w:rsidP="00B85568">
      <w:pPr>
        <w:pStyle w:val="TextoNormal"/>
      </w:pPr>
      <w:r>
        <w:t>En el apartado denominado antecedentes de hechos alude a la providencia por la que se da audiencia a las partes y al Ministerio Fiscal acerca de la procedencia de plantear la cuestión de inconstitucionalidad. Señala asimismo que la parte apelante parece entender innecesario el planteamiento de la cuestión porque entiende que debe aplicarse la norma estatal básica desplazando la norma autonómica y en parecidos términos se expresa el Ministerio público. Menciona asimismo que la administración demandada se opone al planteamiento de la cuestión, “por no ser relevante la norma cuestionada para la decisión del pleito, no ser aplicable al caso del traslado de tendidos eléctricos por declaración sobrevenida de conjuntos históricos la norma estatal y defender la competencia autonómica en materia de protección del patrimonio histórico”.</w:t>
      </w:r>
    </w:p>
    <w:p w:rsidR="00B85568" w:rsidRDefault="00B85568" w:rsidP="00B85568">
      <w:pPr>
        <w:pStyle w:val="TextoNormal"/>
      </w:pPr>
    </w:p>
    <w:p w:rsidR="00B85568" w:rsidRDefault="00B85568" w:rsidP="00B85568">
      <w:pPr>
        <w:pStyle w:val="TextoNormal"/>
      </w:pPr>
      <w:r>
        <w:t>En los fundamentos de derecho expone que la cuestión de inconstitucionalidad se formula respecto de la disposición transitoria séptima de la Ley 4/1999, de 15 de marzo, del patrimonio histórico de Canarias, por la que se determina que las compañías suministradoras de electricidad deberán ejecutar a su costa la retirada de cables y conducciones aparentes de las fachadas de edificios en los conjuntos históricos y su conducción subterránea. Este precepto chocaría, a juicio del órgano judicial, con lo establecido en el art. 58 de la Ley 54/1997, de 27 de noviembre, del sector eléctrico, según el cual “la variación del tendido de una línea como consecuencia de proyectos o planes aprobados por la administración comportará el pago del coste de dicha variación”. Afirma que este último tiene carácter básico y se dicta al amparo de las competencias estatales de los arts. 149.1.8 y 149.1.18 CE.</w:t>
      </w:r>
    </w:p>
    <w:p w:rsidR="00B85568" w:rsidRDefault="00B85568" w:rsidP="00B85568">
      <w:pPr>
        <w:pStyle w:val="TextoNormal"/>
      </w:pPr>
    </w:p>
    <w:p w:rsidR="00B85568" w:rsidRDefault="00B85568" w:rsidP="00B85568">
      <w:pPr>
        <w:pStyle w:val="TextoNormal"/>
      </w:pPr>
      <w:r>
        <w:t>Alude a continuación a los motivos por los que la Administración demandada no considera que la disposición transitoria séptima de la Ley 4/1999 sea una norma relevante a los efectos de decidir sobre el presente caso. Respecto al argumento de que la norma aplicable es la prohibición genérica de colocar cables aparentes en las fachadas de los edificios de los conjuntos históricos contenida en el artículo 34.3 de la misma norma, por lo que el pronunciamiento de la sentencia ha de versar acerca de si es válido el requerimiento formulado de retirada de cables aparentes sobre fachadas de edificios históricos, indica que la administración demandada se aparta de la cuestiones decididas en la resolución administrativa, en la que no se habla de una instalación ejecutada contraviniendo las condiciones de la autorización, sino que se fundamenta el requerimiento de retirada de los cables en la disposición transitoria séptima de la Ley 4/1999 que se cita expresamente. Señala además que “se alega por la administración demandada que la resolución no se pronuncia sobre quién debe asumir los costes de soterramiento de las líneas. Este argumento niega lo evidente. La compañía eléctrica discutió este punto durante la tramitación administrativa y es expresamente resuelto en el fundamento jurídico quinto de la resolución impugnada, aplicando la disposición transitoria séptima de la Ley 4/1999”.</w:t>
      </w:r>
    </w:p>
    <w:p w:rsidR="00B85568" w:rsidRDefault="00B85568" w:rsidP="00B85568">
      <w:pPr>
        <w:pStyle w:val="TextoNormal"/>
      </w:pPr>
    </w:p>
    <w:p w:rsidR="00B85568" w:rsidRDefault="00B85568" w:rsidP="00B85568">
      <w:pPr>
        <w:pStyle w:val="TextoNormal"/>
      </w:pPr>
      <w:r>
        <w:t>Rechaza igualmente la alegación de la falta de colisión entre la norma autonómica y la estatal, porque ésta se refiere a los supuestos en los que la variación del tendido es consecuencia de proyectos o planes aprobados por la Administración, no pudiendo calificarse como tal la declaración de un conjunto histórico. Para el Auto no es admisible esta interpretación literal, “puesto que el sentido de la norma es que toda modificación de los tendidos eléctricos autorizados que devenga necesaria por una decisión de la administración serán soportados por ésta”. Señala que en ese sentido se pronuncia la STS de 21 de octubre de 1999 que, aunque refiriéndose a una norma anterior sobre patrimonio histórico, considera aplicable idéntica norma a un supuesto en el que se impone una variación de tendido eléctrico como consecuencia de la declaración de conjunto histórico.</w:t>
      </w:r>
    </w:p>
    <w:p w:rsidR="00B85568" w:rsidRDefault="00B85568" w:rsidP="00B85568">
      <w:pPr>
        <w:pStyle w:val="TextoNormal"/>
      </w:pPr>
    </w:p>
    <w:p w:rsidR="00B85568" w:rsidRDefault="00B85568" w:rsidP="00B85568">
      <w:pPr>
        <w:pStyle w:val="TextoNormal"/>
      </w:pPr>
      <w:r>
        <w:t>En respuesta a la alegación de que no es aplicable la normativa básica, dada la exclusividad de la competencia autonómica sobre patrimonio histórico, indica que esa cuestión no se discute aquí sino “que norma debe regular las consecuencias derivadas de las cargas impuestas en virtud del ejercicio de las competencias en materia de patrimonio histórico y cuando éstas son indemnizables”. A juicio del órgano judicial esta materia afecta a la privación de bienes y derechos de los particulares en virtud de un acto imperativo de la administración, lo que entra dentro del ámbito de la legislación sobre expropiación forzosa de competencia exclusiva estatal.</w:t>
      </w:r>
    </w:p>
    <w:p w:rsidR="00B85568" w:rsidRDefault="00B85568" w:rsidP="00B85568">
      <w:pPr>
        <w:pStyle w:val="TextoNormal"/>
      </w:pPr>
    </w:p>
    <w:p w:rsidR="00B85568" w:rsidRDefault="00B85568" w:rsidP="00B85568">
      <w:pPr>
        <w:pStyle w:val="TextoNormal"/>
      </w:pPr>
      <w:r>
        <w:t>El Auto menciona que la ley estatal sobre patrimonio histórico contiene un mandato similar al de la norma autonómica, pero no se pronuncia sobre quien ha de asumir los costes, “pero existiendo una legislación específica para el sector eléctrico, ésta debe ser aplicada por esa normativa básica, desplazando a la normativa autonómica”.</w:t>
      </w:r>
    </w:p>
    <w:p w:rsidR="00B85568" w:rsidRDefault="00B85568" w:rsidP="00B85568">
      <w:pPr>
        <w:pStyle w:val="TextoNormal"/>
      </w:pPr>
    </w:p>
    <w:p w:rsidR="00B85568" w:rsidRDefault="00B85568" w:rsidP="00B85568">
      <w:pPr>
        <w:pStyle w:val="TextoNormal"/>
      </w:pPr>
      <w:r>
        <w:t>Finaliza el Auto descartando que, como solicitaba la apelante, sea posible aplicar directamente la normativa básica y estimar el recurso pues no resulta posible conforme a la doctrina constitucional.</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la Sección Segunda de este Tribunal, de fecha 14 de abril de 2015,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en relación con el cumplimiento de los requisitos procesales.</w:t>
      </w:r>
    </w:p>
    <w:p w:rsidR="00B85568" w:rsidRDefault="00B85568" w:rsidP="00B85568">
      <w:pPr>
        <w:pStyle w:val="TextoNormal"/>
      </w:pPr>
    </w:p>
    <w:p w:rsidR="00B85568" w:rsidRDefault="00B85568" w:rsidP="00B85568">
      <w:pPr>
        <w:pStyle w:val="TextoNormal"/>
      </w:pPr>
      <w:r w:rsidRPr="00B85568">
        <w:rPr>
          <w:rStyle w:val="NumeroAFNegritaCaracter"/>
        </w:rPr>
        <w:t>5</w:t>
      </w:r>
      <w:r>
        <w:t>. El 8 de mayo de 2015 la Fiscal General del Estado presentó su escrito de alegaciones sugiriendo la inadmisión a trámite de la cuestión de inconstitucionalidad por entender que no se habían satisfecho adecuadamente los juicios de aplicabilidad y relevancia exigidos por el art. 35 LOTC.</w:t>
      </w:r>
    </w:p>
    <w:p w:rsidR="00B85568" w:rsidRDefault="00B85568" w:rsidP="00B85568">
      <w:pPr>
        <w:pStyle w:val="TextoNormal"/>
      </w:pPr>
    </w:p>
    <w:p w:rsidR="00B85568" w:rsidRDefault="00B85568" w:rsidP="00B85568">
      <w:pPr>
        <w:pStyle w:val="TextoNormal"/>
      </w:pPr>
      <w:r>
        <w:t xml:space="preserve">Las alegaciones de la Fiscal General del Estado aluden pormenorizadamente a los antecedentes de hecho de la cuestión planteada y al contenido de la providencia de audiencia a las partes y al Ministerio Fiscal, para a continuación citar el precepto cuestionado y transcribir el Auto de planteamiento de la cuestión. Señala que, como cuestión inicial, es necesario examinar la concurrencia de posibles óbices procesales. A su juicio existen algunas deficiencias en cuanto a la identificación del precepto legal cuestionado y de las disposiciones constitucionales afectadas. En cuanto a lo primero estima que la duda ha de limitarse a la expresión “repercutiendo los costes”, ya que no parece cuestionarse la posibilidad de que la Administración requiera a la compañía la retirada del cableado ni que pueda ejecutarla por sí misma en caso desatención del requerimiento, mientras que, respecto a los preceptos constitucionales de contraste, estima que no se identifican con precisión y considera discutible que sean vulnerados por la norma autonómica. No obstante, la Fiscal General del Estado entiende que la deficiencia más grave atañe al juicio de relevancia y al prematuro planteamiento de la cuestión, pues es previo a la necesidad de aplicación del precepto que se cuestiona. Tras mencionar el modo en que el órgano proponente de la cuestión formula el juicio de relevancia, señala que las disposiciones impugnadas en el proceso </w:t>
      </w:r>
      <w:r w:rsidRPr="00B85568">
        <w:rPr>
          <w:i/>
        </w:rPr>
        <w:t>a quo</w:t>
      </w:r>
      <w:r>
        <w:t xml:space="preserve"> no se pronuncian acerca de la obligación de la compañía eléctrica de la obligación de asumir los costes del retirado del cableado, por lo que, en puridad, no habiéndose tomado decisión administrativa más que sobre el requerimiento de retirada, el inciso cuestionado no ha sido aplicado. Máxime si se tiene en cuenta que sólo entraría en vigor si, una vez declarado procedente el requerimiento, la compañía requerida no lo acata e incumple y la Administración se ve obligada a ejecutar por sí misma la retirada de cables y conducciones y su instalación subterránea.</w:t>
      </w:r>
    </w:p>
    <w:p w:rsidR="00B85568" w:rsidRDefault="00B85568" w:rsidP="00B85568">
      <w:pPr>
        <w:pStyle w:val="TextoNormal"/>
      </w:pPr>
    </w:p>
    <w:p w:rsidR="00B85568" w:rsidRDefault="00B85568" w:rsidP="00B85568">
      <w:pPr>
        <w:pStyle w:val="TextoNormal"/>
      </w:pPr>
      <w:r>
        <w:t>Para eso debe determinarse antes si el requerimiento es procedente, lo que, desde diversas perspectivas ha sido cuestionado, por la compañía eléctrica en el proceso a quo. Esa cuestión puede ser resuelta al margen del inciso cuya inconstitucionalidad se pretende ya que, a juicio de la Fiscal, se plantean dos hipótesis. Si los requerimientos no son procedentes, la aplicación del inciso cuestionado no se produciría en ningún caso. Si el requerimiento es procedente, serían, a su vez, dos las posibilidades. La primera es que la compañía la cumplimente, en cuyo caso no entraría en juego la regla de que la Administración ejecute a su costa, sin perjuicio de la posibilidad de la compañía de reclamar los costes asumidos si entiende que no le corresponden, de acuerdo con la normativa de competencia estatal. La segunda es que la mercantil no los retire, en cuyo caso surgiría la aplicación del precepto cuestionado si la Administración ejecuta y será entonces el momento de determinar qué norma debe regular las consecuencias derivadas de las cargas impuestas en virtud del ejercicio de las competencias en materia de patrimonio histórico y cuándo éstas son indemnizables.</w:t>
      </w:r>
    </w:p>
    <w:p w:rsidR="00B85568" w:rsidRDefault="00B85568" w:rsidP="00B85568">
      <w:pPr>
        <w:pStyle w:val="TextoNormal"/>
      </w:pPr>
    </w:p>
    <w:p w:rsidR="00B85568" w:rsidRDefault="00B85568" w:rsidP="00B85568">
      <w:pPr>
        <w:pStyle w:val="TextoNormal"/>
      </w:pPr>
      <w:r>
        <w:t>Por tanto, según la Fiscal General del Estado, no se está, por tanto, en el momento procesal oportuno pues no es el momento de la aplicación del inciso cuestionado.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Sección Segunda de la Sala de lo Contencioso-Administrativo del Tribunal Superior de Justicia de Canarias plantea cuestión de inconstitucionalidad en relación con la disposición transitoria séptima de la Ley 4/1999, de 15 de marzo, del patrimonio histórico de Canarias, por posible vulneración de los arts. 149.1.8 y 149.1.18 CE.</w:t>
      </w:r>
    </w:p>
    <w:p w:rsidR="00B85568" w:rsidRDefault="00B85568" w:rsidP="00B85568">
      <w:pPr>
        <w:pStyle w:val="TextoNormal"/>
      </w:pPr>
    </w:p>
    <w:p w:rsidR="00B85568" w:rsidRDefault="00B85568" w:rsidP="00B85568">
      <w:pPr>
        <w:pStyle w:val="TextoNormal"/>
      </w:pPr>
      <w:r>
        <w:t>El precepto cuestionado dispone lo siguiente:</w:t>
      </w:r>
    </w:p>
    <w:p w:rsidR="00B85568" w:rsidRDefault="00B85568" w:rsidP="00B85568">
      <w:pPr>
        <w:pStyle w:val="TextoNormal"/>
      </w:pPr>
    </w:p>
    <w:p w:rsidR="00B85568" w:rsidRDefault="00B85568" w:rsidP="00B85568">
      <w:pPr>
        <w:pStyle w:val="TextoNormal"/>
      </w:pPr>
      <w:r>
        <w:t>“Disposición transitoria séptima.</w:t>
      </w:r>
    </w:p>
    <w:p w:rsidR="00B85568" w:rsidRDefault="00B85568" w:rsidP="00B85568">
      <w:pPr>
        <w:pStyle w:val="TextoNormal"/>
      </w:pPr>
    </w:p>
    <w:p w:rsidR="00B85568" w:rsidRDefault="00B85568" w:rsidP="00B85568">
      <w:pPr>
        <w:pStyle w:val="TextoNormal"/>
      </w:pPr>
      <w:r>
        <w:t>1. En el plazo de un año, los comerciantes y entidades mercantiles procederán a retirar los rótulos, carteles, anuncios y demás soportes publicitarios de las fachadas y cubiertas de los Conjuntos Históricos, sustituyéndolos por otros rótulos ajustados a lo dispuesto en el artículo 34. 4 de esta Ley. Transcurrido dicho plazo, los Ayuntamientos y, en su defecto, los Cabildos Insulares procederán a retirar dichos elementos, aplicando la correspondiente sanción, como infracción de carácter leve, de conformidad con lo previsto en el Título VI de esta Ley.</w:t>
      </w:r>
    </w:p>
    <w:p w:rsidR="00B85568" w:rsidRDefault="00B85568" w:rsidP="00B85568">
      <w:pPr>
        <w:pStyle w:val="TextoNormal"/>
      </w:pPr>
    </w:p>
    <w:p w:rsidR="00B85568" w:rsidRDefault="00B85568" w:rsidP="00B85568">
      <w:pPr>
        <w:pStyle w:val="TextoNormal"/>
      </w:pPr>
      <w:r>
        <w:t>2. En el mismo plazo las compañías suministradoras de electricidad y telefonía deberán acordar con los Ayuntamientos el modo y forma en que llevarán a cabo la retirada de cables y conducciones aparentes de las fachadas de edificios en los Conjuntos Históricos y su conducción subterránea, que se llevará a cabo junto con la del alumbrado público en el plazo máximo de tres años a partir de la entrada en vigor de esta Ley. A partir de dicha fecha, los Cabildos Insulares, y en su defecto la Administración Pública de la Comunidad Autónoma, podrán proceder a ejecutar la retirada de dichas conducciones y su instalación subterránea, repercutiendo los costos en las compañías suministradoras, con imposición de sanción, correspondiente a una infracción de carácter grave.”</w:t>
      </w:r>
    </w:p>
    <w:p w:rsidR="00B85568" w:rsidRDefault="00B85568" w:rsidP="00B85568">
      <w:pPr>
        <w:pStyle w:val="TextoNormal"/>
      </w:pPr>
    </w:p>
    <w:p w:rsidR="00B85568" w:rsidRDefault="00B85568" w:rsidP="00B85568">
      <w:pPr>
        <w:pStyle w:val="TextoNormal"/>
      </w:pPr>
      <w:r>
        <w:t xml:space="preserve">El órgano judicial plantea que el precepto cuestionado vulnera los arts. 149.1.8 y 149.1.18 CE, a cuyo amparo entiende dictadas las previsiones del art 58.2 de la Ley 54/1997, de 27 de noviembre, del sector eléctrico, según el cual “la variación del tendido de una línea como consecuencia de proyectos o planes aprobados por la administración comportará el pago del coste de dicha variación”, así como las de su equivalente art. 59 de la Ley 24/2013, de 26 de diciembre, del sector eléctrico, que ha derogado al anterior. El supuesto discutido en el proceso </w:t>
      </w:r>
      <w:r w:rsidRPr="00B85568">
        <w:rPr>
          <w:i/>
        </w:rPr>
        <w:t>a quo</w:t>
      </w:r>
      <w:r>
        <w:t xml:space="preserve"> se refiere a un requerimiento formulado por el Consejo Insular de Tenerife a una compañía eléctrica en relación con la retirada de las instalaciones eléctricas ubicadas en los alrededores de la denominada Casona de Santa Catalina, inmueble ubicado en el conjunto histórico de Tacoronte, con motivo de la finalización de las obras de restauración llevadas a cabo en el citado inmueble. Para el órgano judicial la norma cuestionada, en la medida en que determina quien ha de correr con los costes derivados del cumplimiento de obligaciones impuestas en el ejercicio de las competencias en materia de patrimonio histórico, entraría en contradicción con la norma estatal que, a su juicio, establece que toda modificación de los tendidos eléctricos que devenga necesaria por una decisión de la Administración han de ser soportados por ésta.</w:t>
      </w:r>
    </w:p>
    <w:p w:rsidR="00B85568" w:rsidRDefault="00B85568" w:rsidP="00B85568">
      <w:pPr>
        <w:pStyle w:val="TextoNormal"/>
      </w:pPr>
    </w:p>
    <w:p w:rsidR="00B85568" w:rsidRDefault="00B85568" w:rsidP="00B85568">
      <w:pPr>
        <w:pStyle w:val="TextoNormal"/>
      </w:pPr>
      <w:r>
        <w:t>La Fiscal General del Estado, como se ha expuesto en los antecedentes, interesa, en el trámite previsto en el art. 37.1 de la Ley Orgánica del Tribunal Constitucional (LOTC), la inadmisión de la cuestión de inconstitucionalidad por entender que la misma no satisface el juicio de aplicabilidad.</w:t>
      </w:r>
    </w:p>
    <w:p w:rsidR="00B85568" w:rsidRDefault="00B85568" w:rsidP="00B85568">
      <w:pPr>
        <w:pStyle w:val="TextoNormal"/>
      </w:pPr>
    </w:p>
    <w:p w:rsidR="00B85568" w:rsidRDefault="00B85568" w:rsidP="00B85568">
      <w:pPr>
        <w:pStyle w:val="TextoNormal"/>
      </w:pPr>
      <w:r w:rsidRPr="00B85568">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 En el presente caso la cuestión de inconstitucionalidad debe ser inadmitida por la falta de cumplimiento del requisito procesal que establece el art. 35 LOTC acerca del debido juicio de aplicabilidad.</w:t>
      </w:r>
    </w:p>
    <w:p w:rsidR="00B85568" w:rsidRDefault="00B85568" w:rsidP="00B85568">
      <w:pPr>
        <w:pStyle w:val="TextoNormal"/>
      </w:pPr>
    </w:p>
    <w:p w:rsidR="00B85568" w:rsidRDefault="00B85568" w:rsidP="00B85568">
      <w:pPr>
        <w:pStyle w:val="TextoNormal"/>
      </w:pPr>
      <w:r>
        <w:t>El cumplimiento del juicios de aplicabilidad y, por tanto, de relevancia requeridos por el art. 35 LOTC exige, en primer lugar, introducir algunas precisiones en cuanto a la delimitación concreta del objeto de la presente cuestión. Pese a que el órgano judicial ha cuestionado la disposición transitoria séptima de la Ley 4/1999 en su totalidad, resulta que, atendiendo a lo discutido en el proceso a quo, la norma sería aplicable únicamente en su apartado segundo y, más específicamente, como ha señalado la Fiscal General del Estado, en lo relativo a la retirada del tendido eléctrico por el cabildo insular repercutiendo los costos en las compañías suministradoras, esto es el inciso “con la consiguiente repercusión del coste a la compañía eléctrica”.</w:t>
      </w:r>
    </w:p>
    <w:p w:rsidR="00B85568" w:rsidRDefault="00B85568" w:rsidP="00B85568">
      <w:pPr>
        <w:pStyle w:val="TextoNormal"/>
      </w:pPr>
    </w:p>
    <w:p w:rsidR="00B85568" w:rsidRDefault="00B85568" w:rsidP="00B85568">
      <w:pPr>
        <w:pStyle w:val="TextoNormal"/>
      </w:pPr>
      <w:r w:rsidRPr="00B85568">
        <w:rPr>
          <w:rStyle w:val="NumeroAFNegritaCaracter"/>
        </w:rPr>
        <w:t>3</w:t>
      </w:r>
      <w:r>
        <w:t>. Delimitado el objeto de la cuestión en tales términos hemos de recordar también que la aplicabilidad al caso de la norma cuestionada es, en principio, materia de legalidad ordinaria, atribuida a los órganos jurisdiccionales en el juicio de aplicabilidad de las normas. Es constante la doctrina constitucional que señala que corresponde al órgano judicial proponente determinar con claridad que la disposición cuestionada es aplicable a los hechos enjuiciados en el proceso en cuyo seno se suscita, de modo que el control que corresponde efectuar a este Tribunal es meramente externo, sin que pueda sustituirlo en la selección e interpretación de la norma aplicable. De este modo, según nuestra doctrina, “el control por parte de este Tribunal de la selección de la norma aplicable 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y 126/1994, de 25 de abril, FJ 5). Sin embargo, siendo la expresada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40/2014, de 11 de marzo, FJ 2 b), con cita de la STC 151/2011, de 29 de septiembre, FJ 3] y se evita que el control de constitucionalidad no se convierta en un control abstracto, para lo que el órgano judicial no tiene legitimación (SSTC 84/2012, de 18 de abril, FJ 2, y 146/2012, de 54 de julio, FJ 3). Así pues, el control que puede hacer este Tribunal está limitado a los supuestos en que la argumentación judicial, sin necesidad de entrar en el fondo, resulte falta de consistencia [SSTC 87/2012, de 18 de abril, FJ 2; 146/2012, de 54 de julio, FJ 3 j), y 60/2013, de 13 de marzo FJ 1 b)].</w:t>
      </w:r>
    </w:p>
    <w:p w:rsidR="00B85568" w:rsidRDefault="00B85568" w:rsidP="00B85568">
      <w:pPr>
        <w:pStyle w:val="TextoNormal"/>
      </w:pPr>
    </w:p>
    <w:p w:rsidR="00B85568" w:rsidRDefault="00B85568" w:rsidP="00B85568">
      <w:pPr>
        <w:pStyle w:val="TextoNormal"/>
      </w:pPr>
      <w:r w:rsidRPr="00B85568">
        <w:rPr>
          <w:rStyle w:val="NumeroAFNegritaCaracter"/>
        </w:rPr>
        <w:t>4</w:t>
      </w:r>
      <w:r>
        <w:t>. Siendo, por tanto, responsabilidad del órgano judicial cuestionante la expresión del juicio de aplicabilidad debemos centrar nuestra atención en el Auto de planteamiento de la cuestión de inconstitucionalidad.</w:t>
      </w:r>
    </w:p>
    <w:p w:rsidR="00B85568" w:rsidRDefault="00B85568" w:rsidP="00B85568">
      <w:pPr>
        <w:pStyle w:val="TextoNormal"/>
      </w:pPr>
    </w:p>
    <w:p w:rsidR="00B85568" w:rsidRDefault="00B85568" w:rsidP="00B85568">
      <w:pPr>
        <w:pStyle w:val="TextoNormal"/>
      </w:pPr>
      <w:r>
        <w:t>Dicho Auto dedica gran parte de su argumentación a descartar las objeciones planteadas por el Cabildo Insular de Tenerife acerca de la inaplicabilidad al caso de la disposición transitoria séptima de la Ley 4/1999, pero no realiza argumentación alguna tendente a explicar las razones que le llevan a entender que la citada norma, en el concreto inciso que cuestiona, es la aplicable al caso y, por tanto, también la relevante para decidir el proceso sometido a su consideración. Las únicas referencias implícitas a dicho juicio de aplicabilidad se encuentran en dos afirmaciones del Auto según las cuales “se fundamenta el requerimiento de retirada de los cables en la Disposición Transitoria Séptima de la Ley 4/1999 que se cita expresamente” y que “La compañía eléctrica discutió este punto durante la tramitación administrativa y es expresamente resuelto en el fundamento jurídico quinto de la resolución impugnada, aplicando la disposición transitoria séptima de la Ley 4/1999”.</w:t>
      </w:r>
    </w:p>
    <w:p w:rsidR="00B85568" w:rsidRDefault="00B85568" w:rsidP="00B85568">
      <w:pPr>
        <w:pStyle w:val="TextoNormal"/>
      </w:pPr>
    </w:p>
    <w:p w:rsidR="00B85568" w:rsidRDefault="00B85568" w:rsidP="00B85568">
      <w:pPr>
        <w:pStyle w:val="TextoNormal"/>
      </w:pPr>
      <w:r>
        <w:t xml:space="preserve">De hecho, tanto el tenor literal de la norma cuestionada como el examen del expediente administrativo que obra en autos se desprende que, como también ha advertido el Ministerio Fiscal, el inciso legal que ahora se cuestiona no ha sido aplicado por la resolución administrativa controvertida en el proceso a quo. En lo que interesa a los efectos de la presente cuestión, el precepto legal habilita, transcurrido un plazo de tres años a partir de la entrada en vigor de la Ley 4/1999, a los cabildos insulares y en su defecto a la Administración pública de la Comunidad Autónoma de Canarias, a ejecutar la retirada de cables y conducciones aparentes de las fachadas de edificios en los conjuntos históricos y su conducción subterránea, repercutiendo los costos en las compañías suministradoras. Es claro que, conforme a su tenor literal, esa eventual repercusión de costes a las compañías suministradoras en la que el órgano judicial ha centrado su duda de constitucionalidad, precisa de un presupuesto previo, la retirada de los cables y conducciones por alguna de las Administraciones públicas canarias con competencias en la materia de protección del patrimonio histórico en inmuebles que ya estuvieran protegidos a la entrada en vigor de la Ley 4/1999. Esto es, en el régimen que diseña la disposición transitoria séptima, la repercusión de costes por la retirada del cableado, que es lo discutido en el proceso </w:t>
      </w:r>
      <w:r w:rsidRPr="00B85568">
        <w:rPr>
          <w:i/>
        </w:rPr>
        <w:t>a quo</w:t>
      </w:r>
      <w:r>
        <w:t>, derivaría, en su caso, de la previa negativa de la compañía a realizar las obras necesarias para la adecuada protección de los bienes integrantes del patrimonio histórico y de la consecuente realización de dichas obras por las Administraciones competentes, circunstancia que es evidente que aquí no se ha producido.</w:t>
      </w:r>
    </w:p>
    <w:p w:rsidR="00B85568" w:rsidRDefault="00B85568" w:rsidP="00B85568">
      <w:pPr>
        <w:pStyle w:val="TextoNormal"/>
      </w:pPr>
    </w:p>
    <w:p w:rsidR="00B85568" w:rsidRDefault="00B85568" w:rsidP="00B85568">
      <w:pPr>
        <w:pStyle w:val="TextoNormal"/>
      </w:pPr>
      <w:r>
        <w:t xml:space="preserve">Tal como se desprende del expediente que obra en autos, la actuación administrativa impugnada consiste en el requerimiento a la compañía eléctrica para que proceda a la retirada de las instalaciones que afectan a un inmueble protegido, apercibiéndole de que, si no lo hace incurrirá en la correspondiente infracción administrativa. Requerimiento respecto al cual, como ha señalado la Fiscal General del Estado, hubiera debido determinarse, en primer lugar, su procedencia, en la medida en que, tal como razona el órgano judicial, su desatención es presupuesto de la aplicación del inciso que ahora cuestiona. Además, ni en la resolución inicial del coordinador general del área de cultura, patrimonio histórico y museos del Cabildo Insular de Tenerife ni en el posterior Decreto de 20 de enero de 2012 en el que el Presidente del Cabildo Insular desestimó el recurso de alzada interpuesto contra la anterior, se decide nada respecto a la cuestión de los costes de la retirada de las instalaciones a los que alude la disposición transitoria séptima de la Ley 4/1999 ni tampoco a su previa retirada de las mismas por parte de la Administración insular. En la resolución impugnada en el proceso </w:t>
      </w:r>
      <w:r w:rsidRPr="00B85568">
        <w:rPr>
          <w:i/>
        </w:rPr>
        <w:t>a quo</w:t>
      </w:r>
      <w:r>
        <w:t>, el Decreto de 20 de enero de 2012 del Presidente del Cabildo Insular de Tenerife, la cita de la disposición transitoria séptima se produce en el considerando tercero y en un contexto en el que se exponen las distintas normas de la Ley autonómica que prohíben la instalación de cables y conducciones en las fachadas, sin que la misma fundamente la decisión de requerir a la compañía eléctrica y apercibirla de las consecuencias derivadas de su incumplimiento. Por su parte, la resolución de 2 de junio de 2011 del Coordinador general del área de cultura, patrimonio histórico y museos del Cabildo insular de Tenerife menciona expresamente, en ese mismo contexto expositivo de las distintas normas que prohíben la instalación de cables y conducciones en las fachadas, la norma ahora cuestionada en el considerando tercero y, posteriormente, en el considerando quinto, hace, sin citarla, una referencia expresa a su contenido aludiendo a las conclusiones ya alcanzadas en las actuaciones administrativas previas y en el que la mención a la actuación del Cabildo insular y a la consiguiente repercusión de costes, se vincula expresamente a la desatención del requerimiento formulado por la Administración.</w:t>
      </w:r>
    </w:p>
    <w:p w:rsidR="00B85568" w:rsidRDefault="00B85568" w:rsidP="00B85568">
      <w:pPr>
        <w:pStyle w:val="TextoNormal"/>
      </w:pPr>
    </w:p>
    <w:p w:rsidR="00B85568" w:rsidRDefault="00B85568" w:rsidP="00B85568">
      <w:pPr>
        <w:pStyle w:val="TextoNormal"/>
      </w:pPr>
      <w:r>
        <w:t>En suma, como ha apuntado la Fiscal General del Estado, en este caso, no se ha satisfecho suficientemente el juicio de aplicabilidad exigido por el art. 35 LOTC pues ello hubiera exigido determinar previamente la procedencia del requerimiento formulado por el Cabildo Insular a la compañía eléctrica, requerimiento que constituye el objeto del proceso a quo, así como que, de apreciar procedente dicho requerimiento, se hubiera producido la efectiva retirada del cableado por parte de la Administración, con la consiguiente pretensión de repercusión del coste frente a la compañía eléctrica, lo que tampoco ha acontecido aquí.</w:t>
      </w:r>
    </w:p>
    <w:p w:rsidR="00B85568" w:rsidRDefault="00B85568" w:rsidP="00B85568">
      <w:pPr>
        <w:pStyle w:val="TextoNormal"/>
      </w:pPr>
    </w:p>
    <w:p w:rsidR="00B85568" w:rsidRDefault="00B85568" w:rsidP="00B85568">
      <w:pPr>
        <w:pStyle w:val="TextoNormal"/>
      </w:pPr>
      <w:r w:rsidRPr="00B85568">
        <w:rPr>
          <w:rStyle w:val="NumeroAFNegritaCaracter"/>
        </w:rPr>
        <w:t>5</w:t>
      </w:r>
      <w:r>
        <w:t>. Por tanto, la defectuosa formulación del juicio de aplicabilidad que se aprecia en el presente caso y que no puede subsanarse por este Tribunal en sustitución del órgano judicial determina la inadmisión a trámite de la cuestión en aplicación de lo dispuesto en el art. 37.1 LOTC.</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cuestión de inconstitucionalidad núm. 952-2015 planteada por la Sección Segunda de la Sala de lo Contencioso-Administrativo del Tribunal Superior de Justicia de Canarias.</w:t>
      </w:r>
    </w:p>
    <w:p w:rsidR="00B85568" w:rsidRDefault="00B85568" w:rsidP="00B85568">
      <w:pPr>
        <w:pStyle w:val="TextoNormal"/>
      </w:pPr>
    </w:p>
    <w:p w:rsidR="00B85568" w:rsidRDefault="00B85568" w:rsidP="00B85568">
      <w:pPr>
        <w:pStyle w:val="TextoNormal"/>
      </w:pPr>
      <w:r>
        <w:t>Madrid, a veintiséis de mayo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48" w:name="AUTO_2015_98"/>
      <w:r>
        <w:t>AUTO 98/2015, de 1 de junio de 2015</w:t>
      </w:r>
    </w:p>
    <w:bookmarkEnd w:id="248"/>
    <w:p w:rsidR="00B85568" w:rsidRDefault="00B85568" w:rsidP="00B85568">
      <w:pPr>
        <w:pStyle w:val="TtuloResolucin"/>
      </w:pPr>
      <w:r>
        <w:t>Sección Segunda</w:t>
      </w:r>
    </w:p>
    <w:p w:rsidR="00B85568" w:rsidRDefault="00B85568" w:rsidP="00B85568">
      <w:pPr>
        <w:pStyle w:val="TextoNormalCentrado"/>
      </w:pPr>
      <w:r>
        <w:t>ECLI:ES:TC:2015:98A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2105-2014, promovido por don Njie en pleito civil.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presentado en el Registro General de este Tribunal el 2 de abril de 2014 la representación de los demandantes de amparo planteó demanda de amparo contra el Auto de 7 de febrero de 2014, dictado por el Juzgado de Primera Instancia núm. 2 de Fuengirola, en el juicio verbal de desahucio núm. 846-2012, que declaró no haber lugar al incidente de nulidad de actuaciones suscitado por los demandantes.</w:t>
      </w:r>
    </w:p>
    <w:p w:rsidR="00B85568" w:rsidRDefault="00B85568" w:rsidP="00B85568">
      <w:pPr>
        <w:pStyle w:val="TextoNormal"/>
      </w:pPr>
    </w:p>
    <w:p w:rsidR="00B85568" w:rsidRDefault="00B85568" w:rsidP="00B85568">
      <w:pPr>
        <w:pStyle w:val="TextoNormal"/>
      </w:pPr>
      <w:r w:rsidRPr="00B85568">
        <w:rPr>
          <w:rStyle w:val="NumeroAFNegritaCaracter"/>
        </w:rPr>
        <w:t>2</w:t>
      </w:r>
      <w:r>
        <w:t>. En síntesis, los hechos de los que trae causa la demanda son, sucintamente expuestos, lo siguientes:</w:t>
      </w:r>
    </w:p>
    <w:p w:rsidR="00B85568" w:rsidRDefault="00B85568" w:rsidP="00B85568">
      <w:pPr>
        <w:pStyle w:val="TextoNormal"/>
      </w:pPr>
    </w:p>
    <w:p w:rsidR="00B85568" w:rsidRDefault="00B85568" w:rsidP="00B85568">
      <w:pPr>
        <w:pStyle w:val="TextoNormal"/>
      </w:pPr>
      <w:r>
        <w:t>a) Por la Caja de Ahorros del Mediterráneo se interpuso demanda de desahucio y de reclamación de rentas contra los ahora demandantes de amparo, acompañando como documento núm. 1, un contrato de arrendamiento con opción de compra celebrado entre las partes, en el que se indicaba que el domicilio de los recurrentes estaba en la calle Las Viñas. Por Decreto del Secretario judicial de 10 de septiembre de 2012, se admitió a trámite la demanda, dando lugar al juicio verbal de desahucio núm. 846-2012, citando a las partes a la celebración del juicio, señalando el lanzamiento para el día 5 de marzo de 2013 para el caso, entre otros, que no se opusieran a la demanda.</w:t>
      </w:r>
    </w:p>
    <w:p w:rsidR="00B85568" w:rsidRDefault="00B85568" w:rsidP="00B85568">
      <w:pPr>
        <w:pStyle w:val="TextoNormal"/>
      </w:pPr>
    </w:p>
    <w:p w:rsidR="00B85568" w:rsidRDefault="00B85568" w:rsidP="00B85568">
      <w:pPr>
        <w:pStyle w:val="TextoNormal"/>
      </w:pPr>
      <w:r>
        <w:t>Intentada infructuosamente la notificación en el edificio La Noria, Avda. de Mijas, de la localidad de Fuengirola el 15 de octubre de 2012, se dictó Decreto por el Secretario judicial el 9 de enero de 2013, dando por terminado el procedimiento y manteniendo la fecha del lanzamiento. En la diligencia de notificación del Decreto a los recurrentes el 4 de marzo de 2013, se hace constar que “la parte informa que ha solicitado la suspensión del señalamiento ante el Juzgado de Primera Instancia 2 Fuengirola”. En fecha 6 de marzo de 2013, se dictó diligencia de ordenación acordando la suspensión de la diligencia de lanzamiento a instancia del ejecutante.</w:t>
      </w:r>
    </w:p>
    <w:p w:rsidR="00B85568" w:rsidRDefault="00B85568" w:rsidP="00B85568">
      <w:pPr>
        <w:pStyle w:val="TextoNormal"/>
      </w:pPr>
    </w:p>
    <w:p w:rsidR="00B85568" w:rsidRDefault="00B85568" w:rsidP="00B85568">
      <w:pPr>
        <w:pStyle w:val="TextoNormal"/>
      </w:pPr>
      <w:r>
        <w:t>b) El 12 de septiembre de 2013 Caja de Ahorros del Mediterráneo interpuso demanda de ejecución del Decreto del Secretario judicial de 9 de enero de 2013 por la cantidad de 6.215,44 € correspondientes a las rentas debidas a la fecha de demanda, más las devengadas hasta la fecha por cantidad de 9.624,72 €. Por Auto de 16 de octubre de 2013, el Juzgado de Primera Instancia núm. 2 de Fuengirola, acordó despachar ejecución contra los recurrentes. Posteriormente por Decreto del Secretario judicial de 7 de noviembre de 2013 se decidió el embargo sobre los bienes de los ejecutados. Consta diligencia del Secretario judicial, de fecha 15 de noviembre, por la que se le notifica a don Njie la resolución de 16 de octubre de 2013, con entrega de copia literal.</w:t>
      </w:r>
    </w:p>
    <w:p w:rsidR="00B85568" w:rsidRDefault="00B85568" w:rsidP="00B85568">
      <w:pPr>
        <w:pStyle w:val="TextoNormal"/>
      </w:pPr>
    </w:p>
    <w:p w:rsidR="00B85568" w:rsidRDefault="00B85568" w:rsidP="00B85568">
      <w:pPr>
        <w:pStyle w:val="TextoNormal"/>
      </w:pPr>
      <w:r>
        <w:t>c) En fecha 17 de diciembre de 2013, los recurrentes, a través de su representación procesal presentan escrito interesando la nulidad de las actuaciones. A través de dicho escrito cuestionaban el emplazamiento por edictos al existir otro domicilio en las actuaciones, que la propia entidad ejecutante conocía porque “a la actora le constaba que los demandados no vivían en el domicilio señalado en la demanda porque desde mucho antes de la presentación de la demanda de desahucio el contrato de arrendamiento había quedado resuelto y las llaves de la vivienda habían sido entregadas a la actora en la sucursal de la caja de ahorros”.</w:t>
      </w:r>
    </w:p>
    <w:p w:rsidR="00B85568" w:rsidRDefault="00B85568" w:rsidP="00B85568">
      <w:pPr>
        <w:pStyle w:val="TextoNormal"/>
      </w:pPr>
    </w:p>
    <w:p w:rsidR="00B85568" w:rsidRDefault="00B85568" w:rsidP="00B85568">
      <w:pPr>
        <w:pStyle w:val="TextoNormal"/>
      </w:pPr>
      <w:r>
        <w:t>d) En fecha 7 de febrero de 2014 se dictó Auto por el Juzgado de Primera Instancia núm. 2 de Fuengirola, en el procedimiento de juicio verbal de desahucio por falta de pago núm. 846-2012, instado por Caja de Ahorros del Mediterráneo contra los demandantes de amparo, por el que se declaraba no haber lugar a la nulidad interesada por los demandantes. En la fundamentación jurídica, se indicaba:</w:t>
      </w:r>
    </w:p>
    <w:p w:rsidR="00B85568" w:rsidRDefault="00B85568" w:rsidP="00B85568">
      <w:pPr>
        <w:pStyle w:val="TextoNormal"/>
      </w:pPr>
    </w:p>
    <w:p w:rsidR="00B85568" w:rsidRDefault="00B85568" w:rsidP="00B85568">
      <w:pPr>
        <w:pStyle w:val="TextoNormal"/>
      </w:pPr>
      <w:r>
        <w:t>“El incidente de nulidad de actuaciones, es un incidente de carácter excepcional y cuya admisión es de carácter restrictivo, pues se exige para su admisión ciertos requisitos temporales establecidos en el art. 228 LEC, primero que el defecto de forma causante de indefensión, no haya podido ser denunciado antes de que recaiga resolución que ponga fin al proceso y siempre y cuando dicha resolución no sea susceptible de recurso ordinario y extraordinario, pues conforme establece el art. 227.1 LEC, la nulidad se hará valer a través de los recursos establecidos contra la resolución de que se trate. Requisitos que no se cumplen en este caso, pues el auto despachando ejecución fue debidamente notificado en fecha de 13 de noviembre de 2013, auto en que se le otorgaba un plazo de diez días para oponerse, oposición en la que la parte podía haber alegado la nulidad que ahora solicita vía de incidente excepcional y que no es procedente. En segundo lugar los actos de comunicación realizados en el procedimiento de desahucio de donde procede la presente ejecución, se realizaron por el Juzgado cumpliendo la ley pues el art. 155.3 LEC establece si no se ha designado expresamente otro domicilio para notificaciones, se entenderá que éste es la vivienda arrendada, y dado que en el propio contrato de arrendamiento se establece como domicilio a efectos de notificaciones el designado en el exponiendo primero del contrato, cual es el de la vivienda arrendada, las comunicaciones efectuadas en la misma se ajustan a lo establecido legalmente sin que ninguna nulidad causante de indefensión pueda alegarse.”</w:t>
      </w:r>
    </w:p>
    <w:p w:rsidR="00B85568" w:rsidRDefault="00B85568" w:rsidP="00B85568">
      <w:pPr>
        <w:pStyle w:val="TextoNormal"/>
      </w:pPr>
    </w:p>
    <w:p w:rsidR="00B85568" w:rsidRDefault="00B85568" w:rsidP="00B85568">
      <w:pPr>
        <w:pStyle w:val="TextoNormal"/>
      </w:pPr>
      <w:r>
        <w:t>e) En la demanda se alegaba, sustancialmente, que el órgano judicial procedió a emplazar por edictos a los demandados sin haber agotado todas las posibilidades que tenía a su alcance para lograr el emplazamiento personal de los mismos, en tanto que intentado infructuosamente el emplazamiento en el edificio La Noria, Avda. de Mijas de la localidad de Fuengirola, y pese a constar en la documentación que se acompañaba con la demanda de desahucio por falta de pago —en concreto en el contrato de arrendamiento—, otro domicilio en la misma localidad, precisamente en el inmueble cuya propiedad consta inscrita en el Registro de la Propiedad a nombre de los demandados, se acudió al emplazamiento edictal.</w:t>
      </w:r>
    </w:p>
    <w:p w:rsidR="00B85568" w:rsidRDefault="00B85568" w:rsidP="00B85568">
      <w:pPr>
        <w:pStyle w:val="TextoNormal"/>
      </w:pPr>
    </w:p>
    <w:p w:rsidR="00B85568" w:rsidRDefault="00B85568" w:rsidP="00B85568">
      <w:pPr>
        <w:pStyle w:val="TextoNormal"/>
      </w:pPr>
      <w:r>
        <w:t>Afirma que los actores presentaron el 12 de septiembre de 2013 demanda de ejecución contra los demandados, volviendo a señalar como domicilio el situado en el Edificio La Noria, pese a conocer que los demandados no vivían en el domicilio señalado en la demanda porque “desde mucho antes de la presentación de la demanda de desahucio el contrato de arrendamiento había quedado resuelto y las llaves de la vivienda habían sido entregadas a la actora en la sucursal de la caja de ahorros del Mediterráneo”.</w:t>
      </w:r>
    </w:p>
    <w:p w:rsidR="00B85568" w:rsidRDefault="00B85568" w:rsidP="00B85568">
      <w:pPr>
        <w:pStyle w:val="TextoNormal"/>
      </w:pPr>
    </w:p>
    <w:p w:rsidR="00B85568" w:rsidRDefault="00B85568" w:rsidP="00B85568">
      <w:pPr>
        <w:pStyle w:val="TextoNormal"/>
      </w:pPr>
      <w:r>
        <w:t>En relación con el Auto declarando no haber lugar al incidente de nulidad de actuaciones afirma que la motivación expuesta es errónea. Entiende que una vez admitido a trámite el incidente no puede desestimarlo con base en que no procediera su admisión. Considera que comete además un error al decir que el Auto despachando ejecución fue notificado el 13 de noviembre de 2013, cuando claramente se observa en la notificación del Auto que lo fue el 15 de noviembre de 2013. A mayor abundamiento entiende que el incidente de nulidad de actuaciones está adecuadamente planteado dentro de los veinte días desde que tuvo conocimiento de la existencia de la infracción, pues el superior principio de protección constitucional del derecho a la tutela judicial efectiva no permite una interpretación restrictiva del mismo que impida al justiciable el planteamiento del incidente de nulidad de actuaciones contra el Decreto del Secretario judicial de 9 de enero de 2013 que era firme y que es la resolución que da lugar al desahucio tras haberse cometido graves irregularidades en la tramitación procedimental. Reitera que no puede oponerse la extemporaneidad, porque lo que impugna el justiciable es el procedimiento de desahucio, y por eso el Juez de instancia dicta su Auto en el procedimiento de desahucio. En fin, afirma que es contrario al art. 24.1 CE sostener que como el justiciable no ha recurrido el Auto despachando ejecución, no puede denunciar las irregularidades existentes en el procedimiento de desahucio en el plazo de veinte días hábiles desde que conoció la existencia de las infracciones procesales.</w:t>
      </w:r>
    </w:p>
    <w:p w:rsidR="00B85568" w:rsidRDefault="00B85568" w:rsidP="00B85568">
      <w:pPr>
        <w:pStyle w:val="TextoNormal"/>
      </w:pPr>
    </w:p>
    <w:p w:rsidR="00B85568" w:rsidRDefault="00B85568" w:rsidP="00B85568">
      <w:pPr>
        <w:pStyle w:val="TextoNormal"/>
      </w:pPr>
      <w:r>
        <w:t>A continuación invoca como vulnerado el derecho a la tutela judicial efectiva sin indefensión (art. 24.1 CE), al haberse procedido al emplazamiento edictal infringiendo la doctrina reiterada del Tribunal Constitucional sobre la práctica de las notificaciones edictales. Y justifica la especial trascendencia constitucional porque el órgano judicial se aparta claramente de la doctrina del Tribunal Constitucional en relación con el emplazamiento edictal, sin haber agotado las posibilidades de emplazamiento personal.</w:t>
      </w:r>
    </w:p>
    <w:p w:rsidR="00B85568" w:rsidRDefault="00B85568" w:rsidP="00B85568">
      <w:pPr>
        <w:pStyle w:val="TextoNormal"/>
      </w:pPr>
    </w:p>
    <w:p w:rsidR="00B85568" w:rsidRDefault="00B85568" w:rsidP="00B85568">
      <w:pPr>
        <w:pStyle w:val="TextoNormal"/>
      </w:pPr>
      <w:r>
        <w:t>Finalmente solicita que se declare la nulidad del Auto impugnado y que se retrotraigan las actuaciones al momento anterior al emplazamiento de los demandados en los Autos de juicio verbal de desahucio, por ser nulas las actuaciones practicadas desde ese momento.</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providencia de 2 de febrero de 2015, la Sección Segunda del Tribunal Constitucional, acordó inadmitir a trámite el recurso de amparo por no apreciar en el mismo la especial trascendencia constitucional que, como condición para su admisión, requiere el art. 50.1 b)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escrito de 5 de marzo de 2015, el Ministerio Fiscal presentó recurso de súplica frente a la providencia de inadmisión. Tras sintetizar la demanda de amparo, expone que los demandantes han justificado la especial trascendencia constitucional.</w:t>
      </w:r>
    </w:p>
    <w:p w:rsidR="00B85568" w:rsidRDefault="00B85568" w:rsidP="00B85568">
      <w:pPr>
        <w:pStyle w:val="TextoNormal"/>
      </w:pPr>
    </w:p>
    <w:p w:rsidR="00B85568" w:rsidRDefault="00B85568" w:rsidP="00B85568">
      <w:pPr>
        <w:pStyle w:val="TextoNormal"/>
      </w:pPr>
      <w:r>
        <w:t>A continuación, en relación con la causa de inadmisión apreciada en la providencia recurrida, indica que la especial trascendencia constitucional derivaría del nuevo marco normativo surgido con la aprobación de la Ley 19/2009, de 23 de noviembre que dio nueva redacción al art. 155.3 de la Ley de enjuiciamiento civil (LEC), siendo este nuevo marco normativo el que dota de especial trascendencia al amparo. A tal efecto, trae a colación la STC 30/2014 que abordó, desde la óptica constitucional, el examen de la referida Ley 19/2009, con cita de la STC 122/2013. Añade que la práctica judicial pone de manifiesto la existencia de una interpretación y aplicación de los nuevos preceptos legales de modo contrario a la tradicional doctrina sobre los emplazamientos edictales, indicando que se viene denunciando dicho incumplimiento en los recursos de amparo núms. 3869-2013, 200-2014, 6009-2014 y 6076-2014. Afirma que es este nuevo marco normativo, el que dota de especial trascendencia constitucional al recurso, tal y como reitera la reciente resolución de admisión del recurso de amparo núm. 6076-2014, de la Sección Tercera de este Tribunal, de fecha 18 de febrero de 2015. Considera que además la especial trascendencia constitucional derivaría de la repercusión social y económica que han adquirido en los últimos tiempos las ejecuciones hipotecarias y los desahucios como consecuencia de la crisis económica y la necesidad de reforzar la protección jurídica efectiva de los ejecutados y/o demandados en este tipo de procedimientos “dada la situación de inferioridad en que se encuentran, como se viene reclamando desde las instancias europeas”, situación está que permitiría incluir el recurso de amparo en el supuesto g) del fundamento jurídico 2 de la STC 155/2009.</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diligencia de ordenación de 9 de marzo de 2014, la Sección Segunda del Tribunal Constitucional tuvo por interpuesto recurso de súplica por el Ministerio Fiscal y, de conformidad con el art. 50.3 LOTC, acordó dar traslado al recurrente por el plazo de tres días para que alegara lo que estimara pertinente. El recurrente, mediante escrito de 20 de marzo de 2015, se adhirió al recurso de súplica interpuesto por el Ministerio Fiscal, coincidiendo sustancialmente con éste en las razones de impugnación.</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Ministerio Fiscal recurre en súplica la providencia dictada por esta misma Sección en fecha de 2 de febrero de 2015, en la cual se acordó no admitir a trámite el presente recurso de amparo por no apreciar especial trascendencia constitucional. Según el Ministerio público, tal y como se ha expuesto, además de haber justificado el demandante la especial trascendencia constitucional, concurrirían varios supuestos de especial trascendencia constitucional en relación con el defectuoso emplazamiento edictal: i) la práctica judicial sería contraria a la doctrina constitucional sobre el carácter supletorio y excepcional del emplazamiento edictal –citando a tal fin cuatro recursos de amparo interpuestos por la misma razón-; ii) además existe un nuevo marco normativo en orden a la regulación de las comunicaciones en procesos de desahucio —art. 164 de la Ley de enjuiciamiento civil (LEC), tras la reforma operada por la Ley 19/2009, de 23 de noviembre—; iii) y, finalmente concurre el supuesto de repercusión social y económica derivado del aumento de las ejecuciones hipotecarias y los desahucios.</w:t>
      </w:r>
    </w:p>
    <w:p w:rsidR="00B85568" w:rsidRDefault="00B85568" w:rsidP="00B85568">
      <w:pPr>
        <w:pStyle w:val="TextoNormal"/>
      </w:pPr>
    </w:p>
    <w:p w:rsidR="00B85568" w:rsidRDefault="00B85568" w:rsidP="00B85568">
      <w:pPr>
        <w:pStyle w:val="TextoNormal"/>
      </w:pPr>
      <w:r>
        <w:t xml:space="preserve">Retomando lo expuesto en los antecedentes de esta resolución, debemos indicar que el recurso de amparo se dirige contra el Auto por el que se declara no haber lugar a la nulidad planteada por los demandantes, quienes consideran que dicha resolución judicial ha vulnerado el derecho fundamental reconocido en el art. 24.1 CE, bien porque a su juicio no es posible declarar improcedente por extemporáneo el incidente de nulidad una vez admitido a trámite, bien porque el Auto incurre en un error respecto a la fecha de la notificación del despacho de la ejecución —que se produce el 15 de noviembre de 2013 y no el 13 de noviembre—, o en fin, por considerar que el incidente se presentó en plazo, pues el </w:t>
      </w:r>
      <w:r w:rsidRPr="00B85568">
        <w:rPr>
          <w:i/>
        </w:rPr>
        <w:t>dies a quo</w:t>
      </w:r>
      <w:r>
        <w:t xml:space="preserve"> debía computarse desde el Decreto del Secretario judicial de 9 de enero de 2013. En el suplico de la demanda se pretende que se declare su nulidad, y a su vez, se anulen todas las actuaciones practicadas hasta el momento anterior al emplazamiento de los demandados.</w:t>
      </w:r>
    </w:p>
    <w:p w:rsidR="00B85568" w:rsidRDefault="00B85568" w:rsidP="00B85568">
      <w:pPr>
        <w:pStyle w:val="TextoNormal"/>
      </w:pPr>
    </w:p>
    <w:p w:rsidR="00B85568" w:rsidRDefault="00B85568" w:rsidP="00B85568">
      <w:pPr>
        <w:pStyle w:val="TextoNormal"/>
      </w:pPr>
      <w:r w:rsidRPr="00B85568">
        <w:rPr>
          <w:rStyle w:val="NumeroAFNegritaCaracter"/>
        </w:rPr>
        <w:t>2</w:t>
      </w:r>
      <w:r>
        <w:t>. Este Tribunal ha venido distinguiendo entre la justificación de la especial trascendencia constitucional, que es un requisito procesal de la demanda, y la existencia misma de la especial trascendencia constitucional, que es una apreciación que corresponde al Tribunal (por todas, STC 54/2015, de 16 de marzo). La providencia recurrida inadmite la demanda exclusivamente por falta de especial trascendencia constitucional y no por el incumplimiento de la carga procesal de justificar la especial trascendencia constitucional, por lo que no procede entrar a examinar aquellas alegaciones del Ministerio Fiscal relativas al cumplimiento por el demandante de la referida carga, en modo alguno cuestionado por la providencia recurrida.</w:t>
      </w:r>
    </w:p>
    <w:p w:rsidR="00B85568" w:rsidRDefault="00B85568" w:rsidP="00B85568">
      <w:pPr>
        <w:pStyle w:val="TextoNormal"/>
      </w:pPr>
    </w:p>
    <w:p w:rsidR="00B85568" w:rsidRDefault="00B85568" w:rsidP="00B85568">
      <w:pPr>
        <w:pStyle w:val="TextoNormal"/>
      </w:pPr>
      <w:r>
        <w:t xml:space="preserve">En relación con la especial trascendencia constitucional de esta demanda de amparo, conviene recordar que hemos declarado, entre otras muchas, en la STC 127/2013, de 3 de junio, FJ 2, citada por la STC 54/2015,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(entre otras, STC 95/2010, de 15 de noviembre, FJ 4)”. También recientemente hemos afirmado que “esta exigencia, por otra parte, ha sido considerada por el Tribunal Europeo de Derechos Humanos como respetuosa con las garantías del art. 6.1 del Convenio europeo para la protección de los derechos humanos y de las libertades fundamentales (STEDH de 20 de enero de 2015, caso </w:t>
      </w:r>
      <w:r w:rsidRPr="00B85568">
        <w:rPr>
          <w:i/>
        </w:rPr>
        <w:t>Arribas Anton contra España</w:t>
      </w:r>
      <w:r>
        <w:t xml:space="preserve">, §§ 50-52)” (ATC 44/2015, de 25 de febrero, FJ 1), así como que “constituye una exigencia de certeza que este Tribunal explicite el cumplimiento de este requisito, haciendo así recognoscibles los criterios de aplicación empleados al respecto por este Tribunal” (STC 9/2015, de 2 de febrero, FJ 3, y STEDH, caso </w:t>
      </w:r>
      <w:r w:rsidRPr="00B85568">
        <w:rPr>
          <w:i/>
        </w:rPr>
        <w:t>Arribas Antón c. España</w:t>
      </w:r>
      <w:r>
        <w:t>).</w:t>
      </w:r>
    </w:p>
    <w:p w:rsidR="00B85568" w:rsidRDefault="00B85568" w:rsidP="00B85568">
      <w:pPr>
        <w:pStyle w:val="TextoNormal"/>
      </w:pPr>
    </w:p>
    <w:p w:rsidR="00B85568" w:rsidRDefault="00B85568" w:rsidP="00B85568">
      <w:pPr>
        <w:pStyle w:val="TextoNormal"/>
      </w:pPr>
      <w:r w:rsidRPr="00B85568">
        <w:rPr>
          <w:rStyle w:val="NumeroAFNegritaCaracter"/>
        </w:rPr>
        <w:t>3</w:t>
      </w:r>
      <w:r>
        <w:t>. Expuesto lo anterior, queda claro que la queja se dirige frente al Auto por el que se declara no haber lugar al incidente de nulidad, al que le atribuye la vulneración del derecho fundamental a la tutela judicial efectiva, por lo que el encuadre constitucional adecuado, conforme a reiterada doctrina constitucional, es el derecho de acceso al recurso. De este modo, solo en el caso de que la inadmisión del incidente de nulidad hubiera vulnerado el derecho de acceso al recurso, podríamos resolver bien la retroacción de actuaciones para que por parte del órgano judicial se dicte otra resolución respetuosa con el derecho invocado (SSTC 314/2005, de 12 de diciembre, FJ 3; 57/2006, 27 de febrero, FJ 2; 248/2006, de 24 de julio, FJ 3), preservando de este modo la subsidiariedad del recurso de amparo, o bien, entrar a examinar la existencia o no de indefensión generada por el emplazamiento edictal, valorando en este sentido las consideraciones efectuadas en el Auto relativas a la interpretación del art. 155.3 LEC. Ahora bien, en caso de que el incidente de nulidad se hubiera interpuesto defectuosamente, o bien fuera de los casos legalmente establecidos, el derecho al acceso al recurso no se vería comprometido. Al propio tiempo quedaría vedada la posibilidad de examinar la corrección constitucional del emplazamiento edictal, al existir un defectuoso agotamiento de la vía jurisdiccional (ATC 205/2005, de 10 de mayo, FJ 2). Y, en fin, decaerían las eventuales causas de trascendencia constitucional vinculadas a los defectos de emplazamiento por edictos en procedimientos de desahucio, como el entablado entre las partes, distinto —debemos precisar— del procedimiento de ejecución hipotecaria objeto del recurso de amparo núm. 6076-2014, admitido por la Sección Tercera de este Tribunal y al que alude el Ministerio Fiscal en apoyo de su pretensión.</w:t>
      </w:r>
    </w:p>
    <w:p w:rsidR="00B85568" w:rsidRDefault="00B85568" w:rsidP="00B85568">
      <w:pPr>
        <w:pStyle w:val="TextoNormal"/>
      </w:pPr>
    </w:p>
    <w:p w:rsidR="00B85568" w:rsidRDefault="00B85568" w:rsidP="00B85568">
      <w:pPr>
        <w:pStyle w:val="TextoNormal"/>
      </w:pPr>
      <w:r>
        <w:t>Por tanto, la trascendencia constitucional de la demanda, esto es, si el contenido del recurso justifica una decisión sobre el fondo, atendiendo, conforme al art. 50.1 b) de la Ley Orgánica del Tribunal Constitucional (LOTC), a “su importancia para la interpretación de la Constitución, para su aplicación o para su general eficacia y para la determinación del contenido y alcance de los derechos fundamentales”, la debemos entroncar con la regularidad constitucional de la decisión por la que se aprecian causas de inadmisión del incidente de nulidad, que no guarda relación ni con el carácter supletorio y excepcional del emplazamiento edictal, ni con el nuevo marco normativo en orden a la regulación de las comunicaciones en procesos de desahucio, o en fin, con la repercusión social y económica derivada del aumento de las ejecuciones hipotecarias y los desahucios, y la necesidad de reforzar la protección jurídica efectiva de los ejecutados y/o demandados en este tipo de procedimientos “dada la situación de inferioridad en que se encuentran”, aspectos estos, en los que sustenta la trascendencia constitucional el Ministerio Fiscal.</w:t>
      </w:r>
    </w:p>
    <w:p w:rsidR="00B85568" w:rsidRDefault="00B85568" w:rsidP="00B85568">
      <w:pPr>
        <w:pStyle w:val="TextoNormal"/>
      </w:pPr>
    </w:p>
    <w:p w:rsidR="00B85568" w:rsidRDefault="00B85568" w:rsidP="00B85568">
      <w:pPr>
        <w:pStyle w:val="TextoNormal"/>
      </w:pPr>
      <w:r>
        <w:t>Esa desvinculación de la especial trascendencia constitucional respecto a la problemática asociada a los juicios de desahucio se aprecia aun con mayor intensidad si tomamos en consideración que los propios demandantes de amparo —según indicaron en el incidente de nulidad y reiteraron en la demanda de amparo—, no vivían en el domicilio señalado en la demanda mucho tiempo antes de la presentación de la demanda de desahucio, al haber resuelto el contrato de arrendamiento y entregado las llaves de la vivienda en una de las sucursales de la Caja de Ahorros del Mediterráneo; por tanto el objeto de la ejecución quedaba circunscrito al despacho de ejecución respecto de las cantidades reclamadas.</w:t>
      </w:r>
    </w:p>
    <w:p w:rsidR="00B85568" w:rsidRDefault="00B85568" w:rsidP="00B85568">
      <w:pPr>
        <w:pStyle w:val="TextoNormal"/>
      </w:pPr>
    </w:p>
    <w:p w:rsidR="00B85568" w:rsidRDefault="00B85568" w:rsidP="00B85568">
      <w:pPr>
        <w:pStyle w:val="TextoNormal"/>
      </w:pPr>
      <w:r>
        <w:t>Precisado lo anterior y vinculada la decisión sobre el fondo al derecho de acceso a los recursos, debe indicarse que ni el Ministerio Fiscal ni los recurrentes aportan razones por las que quepa apreciar que la demanda tenga especial trascendencia constitucional en relación con el referido derecho; tampoco es posible apreciar al respecto ninguno de los casos en los que el recurso de amparo tiene especial trascendencia constitucional conforme a nuestra doctrina (STC 155/2009, de 25 de junio, FJ 2). En tal sentido debemos admitir que el razonamiento del Auto impugnado que inadmite el incidente de nulidad por no cumplirse con el requisito temporal —tomando como fecha de notificación del Auto despachando ejecución en fecha de 13 de noviembre de 2013—, o por considerar que se podía haber opuesto al despacho de la ejecución en el plazo de los diez días concedidos —recuérdese que la ejecución quedó circunscrita a la reclamación de cantidades económicas—, puede ser cuestionado por los demandantes desde el prisma del derecho de acceso al recurso, por considerar que el mismo se encuentra incurso en error patente o en irrazonabilidad; sin embargo, dicha perspectiva del derecho mencionado no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B85568" w:rsidRDefault="00B85568" w:rsidP="00B85568">
      <w:pPr>
        <w:pStyle w:val="TextoNormal"/>
      </w:pPr>
    </w:p>
    <w:p w:rsidR="00B85568" w:rsidRDefault="00B85568" w:rsidP="00B85568">
      <w:pPr>
        <w:pStyle w:val="TextoNormal"/>
      </w:pPr>
      <w:r>
        <w:t>El recurso de súplica debe ser así desestimado por carecer la demanda de especial trascendencia constitucional.</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Ministerio Fiscal y, en consecuencia, confirmar en su integridad la providencia de 2 de febrero de 2015 en el recurso de amparo núm. 2105-2014.</w:t>
      </w:r>
    </w:p>
    <w:p w:rsidR="00B85568" w:rsidRDefault="00B85568" w:rsidP="00B85568">
      <w:pPr>
        <w:pStyle w:val="TextoNormal"/>
      </w:pPr>
    </w:p>
    <w:p w:rsidR="00B85568" w:rsidRDefault="00B85568" w:rsidP="00B85568">
      <w:pPr>
        <w:pStyle w:val="TextoNormal"/>
      </w:pPr>
      <w:r>
        <w:t>Madrid, a uno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49" w:name="AUTO_2015_99"/>
      <w:r>
        <w:t>AUTO 99/2015, de 1 de junio de 2015</w:t>
      </w:r>
    </w:p>
    <w:bookmarkEnd w:id="249"/>
    <w:p w:rsidR="00B85568" w:rsidRDefault="00B85568" w:rsidP="00B85568">
      <w:pPr>
        <w:pStyle w:val="TtuloResolucin"/>
      </w:pPr>
      <w:r>
        <w:t>Sección Tercera</w:t>
      </w:r>
    </w:p>
    <w:p w:rsidR="00B85568" w:rsidRDefault="00B85568" w:rsidP="00B85568">
      <w:pPr>
        <w:pStyle w:val="TextoNormalCentrado"/>
      </w:pPr>
      <w:r>
        <w:t>ECLI:ES:TC:2015:99A</w:t>
      </w:r>
    </w:p>
    <w:p w:rsidR="00B85568" w:rsidRDefault="00B85568" w:rsidP="00B85568">
      <w:pPr>
        <w:pStyle w:val="TextoNormalCentrado"/>
      </w:pPr>
    </w:p>
    <w:p w:rsidR="00B85568" w:rsidRDefault="00B85568" w:rsidP="00B85568">
      <w:pPr>
        <w:pStyle w:val="SntesisDescriptiva"/>
      </w:pPr>
      <w:r>
        <w:t>Excms. Srs. doña Adela Asua Batarrita, don Juan José González Rivas y don Pedro José González-Trevijano Sánchez.</w:t>
      </w:r>
    </w:p>
    <w:p w:rsidR="00B85568" w:rsidRDefault="00B85568" w:rsidP="00B85568">
      <w:pPr>
        <w:pStyle w:val="SntesisDescriptiva"/>
      </w:pPr>
    </w:p>
    <w:p w:rsidR="00B85568" w:rsidRDefault="00B85568" w:rsidP="00B85568">
      <w:pPr>
        <w:pStyle w:val="SntesisDescriptiva"/>
      </w:pPr>
      <w:r>
        <w:t>Estima el recurso de súplica del Ministerio Fiscal sobre inadmisión del recurso de amparo 3564-2014, promovido por el Sindicato Andaluz de Funcionarios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el día 5 de junio de 2014, el Procurador de los Tribunales don Víctor García Montes Redondo, en nombre y representación del Sindicato Andaluz de Funcionarios y bajo la asistencia de la Abogada doña Laura Muñoz de Bustillo González, interpuso recurso de amparo, que fue registrado con el núm. 3564-2014, contra la Sentencia de fecha 9 de abril de 2014, dictada por la Sala de lo Contencioso-Administrativo (Sección Séptima) del Tribunal Supremo, en cuya virtud se estima el recurso casación núm. 767-2013, interpuesto por la Junta de Andalucía contra la Sentencia, de fecha 5 de diciembre de 2012, dictada por la Sala de lo Contencioso-Administrativo del Tribunal Superior de Justicia de Andalucía (sede de Sevilla), en el procedimiento ordinario núm. 403-2011, promovido por el recurrente en amparo contra el Decreto 104-2011, de la Junta de Andalucía, de 19 de abril, por el que se aprueban los estatutos de la Agencia de Medio Ambiente y Agua de Andalucía (en adelante, Decreto 104-2011). La Sentencia citada en último lugar declaró la nulidad de la disposición adicional segunda del citado Decreto, relativa al régimen de integración del personal laboral en la empresa Gestión Medioambiental, S.A., por vulnerar lo dispuesto en los arts. 14 y 23.2 CE. Por su parte, la Sentencia dictada en casación revocó el pronunciamiento judicial antes indicado.</w:t>
      </w:r>
    </w:p>
    <w:p w:rsidR="00B85568" w:rsidRDefault="00B85568" w:rsidP="00B85568">
      <w:pPr>
        <w:pStyle w:val="TextoNormal"/>
      </w:pPr>
    </w:p>
    <w:p w:rsidR="00B85568" w:rsidRDefault="00B85568" w:rsidP="00B85568">
      <w:pPr>
        <w:pStyle w:val="TextoNormal"/>
      </w:pPr>
      <w:r>
        <w:t>En síntesis, en la demanda de amparo el sindicato recurrente atribuye al Tribunal Supremo la vulneración de los preceptos constitucionales a que se ha hecho mención en el párrafo anterior, por cuanto la Sentencia dictada por ese órgano judicial revoca la dictada en la instancia y, por ello, convalida el mecanismo establecido en la referida disposición adicional para el acceso a la condición de empleado público por parte del personal que fue contratado conforme a Derecho privado, concretamente el personal laboral de la empresa Gestión Medioambiental, S.A., cuya integración en la Agencia de Medio Ambiente y Agua de Andalucía prevé la norma combatida, sin respetar los principios de igualdad, mérito y capacidad que rigen el acceso al empleo público.</w:t>
      </w:r>
    </w:p>
    <w:p w:rsidR="00B85568" w:rsidRDefault="00B85568" w:rsidP="00B85568">
      <w:pPr>
        <w:pStyle w:val="TextoNormal"/>
      </w:pPr>
    </w:p>
    <w:p w:rsidR="00B85568" w:rsidRDefault="00B85568" w:rsidP="00B85568">
      <w:pPr>
        <w:pStyle w:val="TextoNormal"/>
      </w:pPr>
      <w:r w:rsidRPr="00B85568">
        <w:rPr>
          <w:rStyle w:val="NumeroAFNegritaCaracter"/>
        </w:rPr>
        <w:t>2</w:t>
      </w:r>
      <w:r>
        <w:t>. Por providencia de fecha 4 de febrero de 2015, la Sección Tercera de este Tribunal acordó inadmitir a trámite la demanda de amparo, conforme a lo previsto en el art. 50.1 a) en relación con el art. 44.1 a) de la Ley Orgánica del Tribunal Constitucional (LOTC), dado que el recurrente no había agotado debidamente los medios de impugnación dentro de la vía judicial, al no haber interpuesto incidente de nulidad de actuaciones previsto en el art. 241.1 de la Ley Orgánica del Poder Judicial.</w:t>
      </w:r>
    </w:p>
    <w:p w:rsidR="00B85568" w:rsidRDefault="00B85568" w:rsidP="00B85568">
      <w:pPr>
        <w:pStyle w:val="TextoNormal"/>
      </w:pPr>
    </w:p>
    <w:p w:rsidR="00B85568" w:rsidRDefault="00B85568" w:rsidP="00B85568">
      <w:pPr>
        <w:pStyle w:val="TextoNormal"/>
      </w:pPr>
      <w:r w:rsidRPr="00B85568">
        <w:rPr>
          <w:rStyle w:val="NumeroAFNegritaCaracter"/>
        </w:rPr>
        <w:t>3</w:t>
      </w:r>
      <w:r>
        <w:t>. Por escrito de fecha 5 de marzo de 2015, el Ministerio Fiscal presentó recurso de súplica contra la anterior resolución. Afirma el Fiscal que en el recurso de amparo se alega la vulneración de los arts. 14 y 23. 2 CE, motivo este que fue invocado desde la interposición del recurso contencioso-administrativo y abordado en las sucesivas instancias judiciales. Por ello, tanto el Tribunal Supremo como el Tribunal Superior de Justicia de Andalucía han tenido ocasión de pronunciarse sobre los derechos fundamentales invocados en amparo por el sindicato demandante, por lo que, de acuerdo a la doctrina estatuida en la STC 216/2013, de 19 de diciembre, FJ 2, en el presente supuesto no resulta necesaria la interposición del incidente de nulidad de actuaciones para entender correctamente agotada la vía judicial. En virtud de lo expuesto, el Fiscal interesa que se deje sin efecto la providencia recurrida, sin perjuicio de que se adopte la resolución procedente sobre la admisión o no del recurso de amparo por otros motivos.</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fecha 6 de marzo de 2015, la Sección Tercera de este Tribunal acordó unir a las actuaciones el recurso de súplica interpuesto por el Ministerio Fiscal contra la providencia de inadmisión, de fecha 4 de febrero de 2015, y conforme a lo establecido en el art. 93.2 LOTC, se confirió traslado al demandante para que, en el plazo no superior a tres días, alegue lo que estime oportuno.</w:t>
      </w:r>
    </w:p>
    <w:p w:rsidR="00B85568" w:rsidRDefault="00B85568" w:rsidP="00B85568">
      <w:pPr>
        <w:pStyle w:val="TextoNormal"/>
      </w:pPr>
    </w:p>
    <w:p w:rsidR="00B85568" w:rsidRDefault="00B85568" w:rsidP="00B85568">
      <w:pPr>
        <w:pStyle w:val="TextoNormal"/>
      </w:pPr>
      <w:r w:rsidRPr="00B85568">
        <w:rPr>
          <w:rStyle w:val="NumeroAFNegritaCaracter"/>
        </w:rPr>
        <w:t>5</w:t>
      </w:r>
      <w:r>
        <w:t>. Mediante escrito presentado el día 20 de marzo del 2015, el sindicato demandante de amparo se adhirió al recurso interpuesto por el Ministerio Fiscal. En resumen, el recurrente aduce que la lesión de los derechos fundamentales invocada en la demanda de amparo fue oportunamente introducida en las sucesivas instancias judiciales y, por ello, los órganos judiciales se pronunciaron sobre esa temática. Siendo así, y conforme a la doctrina establecida en la STC 216/2013 ya citada, no resultaría preceptiva la interposición del incidente de nulidad de actuaciones para entender consumada la vía judicial. Es más, para el caso de haber interpuesto el referido incidente, bien podría haberse inadmitido el recurso de amparo por extemporaneidad, al haberse prolongado indebidamente el procedimiento judicial.</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Fiscal recurrente sostiene que, en el presente caso, no resulta necesaria la interposición del incidente de nulidad de actuaciones, habida cuenta de que la eventual lesión de los derechos invocados en la demanda de amparo ha sido contemplada en las sucesivas instancias judiciales, todo ello de conformidad con la doctrina recogida en la STC 216/2013, de 19 de diciembre, FJ 2. El sindicato demandante se adhiere al recurso formulado por el Fiscal.</w:t>
      </w:r>
    </w:p>
    <w:p w:rsidR="00B85568" w:rsidRDefault="00B85568" w:rsidP="00B85568">
      <w:pPr>
        <w:pStyle w:val="TextoNormal"/>
      </w:pPr>
    </w:p>
    <w:p w:rsidR="00B85568" w:rsidRDefault="00B85568" w:rsidP="00B85568">
      <w:pPr>
        <w:pStyle w:val="TextoNormal"/>
      </w:pPr>
      <w:r w:rsidRPr="00B85568">
        <w:rPr>
          <w:rStyle w:val="NumeroAFNegritaCaracter"/>
        </w:rPr>
        <w:t>2</w:t>
      </w:r>
      <w:r>
        <w:t>. Previamente a resolver sobre recurso de súplica que nos pende, procede dilucidar cuál es el contenido y alcance de la pretensión realmente deducida en la demanda de amparo. Al principio del escrito de demanda, el sindicato recurrente basa la interposición del recurso de amparo en los arts. 43 y 44 de la Ley Orgánica del Tribunal Constitucional (LOTC). Sin embargo, en el apartado correspondiente a los “fundamentos de derecho” atribuye exclusivamente la vulneración de los arts. 14 y 23.2 CE a la Sentencia dictada por el Tribunal Supremo y, a su vez, la argumentación que ofrece para justificar el cumplimiento de los requisitos procesales se funda en el art. 44 LOTC. En cuanto al fondo, las razones por las que el demandante considera que se ha producido lesión de los derechos fundamentales indicados son las siguientes: a) La Sentencia, de fecha 5 de diciembre de 2012, dictada por la Sala de lo Contencioso-Administrativo del Tribunal Superior de Andalucía, consideró que la disposición adicional segunda del Decreto 104/2011 vulnera los arts. 14 y 23.2 CE, en tanto que dicha norma articula un sistema de acceso directo a la condición de empleado público, sin tener en cuenta los principios de igualdad, mérito y capacidad (FJ 8); b) La referida Sentencia consideró que la vulneración apreciada tiene una clara repercusión en los funcionarios y el personal laboral fijo de la Junta de Andalucía, tanto en lo concerniente al acceso al empleo público en condiciones de igualdad como en lo relativo al mantenimiento en dicha situación sin perturbaciones ilegitimas (FJ 9); c) Sin embargo, la Sentencia de fecha 9 de abril de 2014, dictada por la Sala Tercera del Tribunal Supremo, descartó que la disposición adicional segunda objeto de impugnación lesionara los derechos fundamentales arriba indicados, pues ni repercute negativamente en el derecho a la acceso a la función pública de los miembros del sindicato demandante, dado que ya son funcionarios de carrera o personal laboral fijo de la Junta de Andalucía, ni tampoco afecta a su derecho a la promoción profesional (FJ 5). En suma, conforme al discurso seguido por el recurrente la Sentencia recaída en la instancia reparó la lesión originada por la disposición adicional impugnada, mientras que la Sala Tercera del Tribunal Supremo invalidó dicha reparación y perpetuó la inconstitucionalidad del precepto impugnado.</w:t>
      </w:r>
    </w:p>
    <w:p w:rsidR="00B85568" w:rsidRDefault="00B85568" w:rsidP="00B85568">
      <w:pPr>
        <w:pStyle w:val="TextoNormal"/>
      </w:pPr>
    </w:p>
    <w:p w:rsidR="00B85568" w:rsidRDefault="00B85568" w:rsidP="00B85568">
      <w:pPr>
        <w:pStyle w:val="TextoNormal"/>
      </w:pPr>
      <w:r w:rsidRPr="00B85568">
        <w:rPr>
          <w:rStyle w:val="NumeroAFNegritaCaracter"/>
        </w:rPr>
        <w:t>3</w:t>
      </w:r>
      <w:r>
        <w:t>. De acuerdo al planteamiento anteriormente expuesto cumple decir que, aun cuando el demandante atribuye a la Sentencia dictada por el Tribunal Supremo la lesión antes mencionada, lo cierto es que el principal reproche que le dirige consiste en haber dejado sin efecto lo resuelto por el Tribunal de instancia, que consideró que la disposición autonómica vulnera los arts. 14 y 23 CE. Este Tribunal ha afirmado que “como ya precisamos en la temprana STC 6/1981, de 16 de marzo, FJ 2, que ahora es preciso traer a colación, ‘cuando el objeto del amparo es un acto administrativo, las decisiones producidas en esta vía judicial no han de ser objeto de impugnación por la sola razón de no haber estimada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Ésta ha de ser, consiguientemente, la clave del entendimiento del juego diferenciado de los arts. 43 LOTC y 44 LOTC” (ATC 175/2009, de 1 de junio, FJ 1).</w:t>
      </w:r>
    </w:p>
    <w:p w:rsidR="00B85568" w:rsidRDefault="00B85568" w:rsidP="00B85568">
      <w:pPr>
        <w:pStyle w:val="TextoNormal"/>
      </w:pPr>
    </w:p>
    <w:p w:rsidR="00B85568" w:rsidRDefault="00B85568" w:rsidP="00B85568">
      <w:pPr>
        <w:pStyle w:val="TextoNormal"/>
      </w:pPr>
      <w:r>
        <w:t>De acuerdo a la doctrina expuesta, por más que el recurrente atribuya al Tribunal Supremo la lesión de los derechos fundamentales sustantivos invocados en la demanda, lo cierto es que el recurso de amparo debe quedar sujeto al régimen jurídico establecido en el art. 43 LOTC, pues la lesión aducida por aquél dimana directamente de una disposición del órgano ejecutivo de la Comunidad Autónoma de Andalucía, —esa fue la pretensión esgrimida en el recurso contencioso-administrativo—, sin que del contenido de la demanda de amparo se infiera la existencia lesión autónoma por parte del órgano judicial citado, más allá de la censura por la falta reparación de la violación constitucional atribuida a la disposición administrativa.</w:t>
      </w:r>
    </w:p>
    <w:p w:rsidR="00B85568" w:rsidRDefault="00B85568" w:rsidP="00B85568">
      <w:pPr>
        <w:pStyle w:val="TextoNormal"/>
      </w:pPr>
    </w:p>
    <w:p w:rsidR="00B85568" w:rsidRDefault="00B85568" w:rsidP="00B85568">
      <w:pPr>
        <w:pStyle w:val="TextoNormal"/>
      </w:pPr>
      <w:r w:rsidRPr="00B85568">
        <w:rPr>
          <w:rStyle w:val="NumeroAFNegritaCaracter"/>
        </w:rPr>
        <w:t>4</w:t>
      </w:r>
      <w:r>
        <w:t>. Conforme a lo expuesto en el anterior fundamento jurídico, cumple afirmar que no nos hallamos ante una eventual lesión que no haya podido denunciarse con anterioridad a la resolución que puso fin al proceso, —como así lo exige el art. 241.1 LOPJ para considerar procedente la interposición de incidente de nulidad de actuaciones—, pues, a la vista de lo expuesto, la pretensión relativa a la vulneración de los arts. 14 y 23.2 CE fue suscitada por el sindicato demandante desde el inicio del procedimiento judicial y, por su parte, los órganos judiciales intervinientes resolvieron de manera dispar al respecto. Por tanto, procede estimar recurso de súplica del Ministerio Fiscal y dejar sin efecto la providencia de la Sección Tercera de este Tribunal, de fecha 4 de febrero de 2015, lo cual no afecta ni condiciona la decisión final que corresponda adoptar sobre la admisibilidad del recurso de amparo, que habrá de decidir expresamente esta Sección en nueva providencia (art. 50.1 LOTC).</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el recurso de súplica interpuesto por el Fiscal y, en consecuencia, dejar sin efecto la providencia de 4 de febrero de 2015.</w:t>
      </w:r>
    </w:p>
    <w:p w:rsidR="00B85568" w:rsidRDefault="00B85568" w:rsidP="00B85568">
      <w:pPr>
        <w:pStyle w:val="TextoNormal"/>
      </w:pPr>
    </w:p>
    <w:p w:rsidR="00B85568" w:rsidRDefault="00B85568" w:rsidP="00B85568">
      <w:pPr>
        <w:pStyle w:val="TextoNormal"/>
      </w:pPr>
      <w:r>
        <w:t>Madrid, a uno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50" w:name="AUTO_2015_100"/>
      <w:r>
        <w:t>AUTO 100/2015, de 8 de junio de 2015</w:t>
      </w:r>
    </w:p>
    <w:bookmarkEnd w:id="250"/>
    <w:p w:rsidR="00B85568" w:rsidRDefault="00B85568" w:rsidP="00B85568">
      <w:pPr>
        <w:pStyle w:val="TtuloResolucin"/>
      </w:pPr>
      <w:r>
        <w:t>Sala Segunda</w:t>
      </w:r>
    </w:p>
    <w:p w:rsidR="00B85568" w:rsidRDefault="00B85568" w:rsidP="00B85568">
      <w:pPr>
        <w:pStyle w:val="TextoNormalCentrado"/>
      </w:pPr>
      <w:r>
        <w:t>ECLI:ES:TC:2015:100A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Pedro José González-Trevijano Sánchez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51" w:name="AUTO_2015_101"/>
      <w:r>
        <w:t>AUTO 101/2015, de 9 de junio de 2015</w:t>
      </w:r>
    </w:p>
    <w:bookmarkEnd w:id="251"/>
    <w:p w:rsidR="00B85568" w:rsidRDefault="00B85568" w:rsidP="00B85568">
      <w:pPr>
        <w:pStyle w:val="TtuloResolucin"/>
      </w:pPr>
      <w:r>
        <w:t>Pleno</w:t>
      </w:r>
    </w:p>
    <w:p w:rsidR="00B85568" w:rsidRDefault="00B85568" w:rsidP="00B85568">
      <w:pPr>
        <w:pStyle w:val="TextoNormalCentrado"/>
      </w:pPr>
      <w:r>
        <w:t>ECLI:ES:TC:2015:101A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4913-2014, planteada por el Tribunal Superior de Justicia de las Illes Balears en relación con el artículo 9.3 del Decreto-ley del Gobierno de las Illes Balears 5/2012, de 1 de junio, de medidas urgentes en materia de personal y administrativas para la reducción del déficit público del sector público de la Comunidad Autónoma y de otras instituciones autonómicas.</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día 25 de julio de 2014 tuvo entrada en el Registro General de este Tribunal un escrito de la Sala de lo Contencioso-Administrativo del Tribunal Superior de Justicia de las Islas Baleares, al que se acompaña, junto con el testimonio del procedimiento correspondiente, el Auto de 20 de junio de 2014, por el que se acuerda plantear una cuestión de inconstitucionalidad respecto al art. 9.3 del Decreto-ley del Gobierno de las Illes Balears 5/2012, de 1 de junio, de medidas urgentes en materia de personal y administrativas para la reducción del déficit público del sector público de la Comunidad Autónoma de las Islas Baleares y de otras instituciones autonómicas, por posible vulneración del art. 86.1 CE.</w:t>
      </w:r>
    </w:p>
    <w:p w:rsidR="00B85568" w:rsidRDefault="00B85568" w:rsidP="00B85568">
      <w:pPr>
        <w:pStyle w:val="TextoNormal"/>
      </w:pPr>
    </w:p>
    <w:p w:rsidR="00B85568" w:rsidRDefault="00B85568" w:rsidP="00B85568">
      <w:pPr>
        <w:pStyle w:val="TextoNormal"/>
      </w:pPr>
      <w:r>
        <w:t>El precepto cuestionado, esto es, el art. 9.3 del Decreto-ley del Gobierno de las Illes Balears 5/2012, resulta del siguiente tenor:</w:t>
      </w:r>
    </w:p>
    <w:p w:rsidR="00B85568" w:rsidRDefault="00B85568" w:rsidP="00B85568">
      <w:pPr>
        <w:pStyle w:val="TextoNormal"/>
      </w:pPr>
    </w:p>
    <w:p w:rsidR="00B85568" w:rsidRDefault="00B85568" w:rsidP="00B85568">
      <w:pPr>
        <w:pStyle w:val="TextoNormal"/>
      </w:pPr>
      <w:r>
        <w:t>“Se mantienen las autorizaciones de prolongación en el servicio activo vigentes a la entrada en vigor del presente decreto-ley, que se entenderán concedidas por anualidades a contar desde la fecha de jubilación o, en el caso de personal docente, hasta la finalización del curso escolar. A partir de la entrada en vigor del presente decreto-ley, y una vez finalizada la correspondiente anualidad o curso escolar, estas autorizaciones sólo se podrán prorrogar en los casos y de la manera que se indican en los apartados 1 a) y 2 anteriores del presente artículo.”</w:t>
      </w:r>
    </w:p>
    <w:p w:rsidR="00B85568" w:rsidRDefault="00B85568" w:rsidP="00B85568">
      <w:pPr>
        <w:pStyle w:val="TextoNormal"/>
      </w:pPr>
    </w:p>
    <w:p w:rsidR="00B85568" w:rsidRDefault="00B85568" w:rsidP="00B85568">
      <w:pPr>
        <w:pStyle w:val="TextoNormal"/>
      </w:pPr>
      <w:r>
        <w:t>Los apartados 1, letra a) y 2 del mismo art. 9 del Decreto-ley del Gobierno de Illes Balears 5/2012, a los que se hace referencia en el precepto cuestionado, disponen, respectivamente, lo que sigue:</w:t>
      </w:r>
    </w:p>
    <w:p w:rsidR="00B85568" w:rsidRDefault="00B85568" w:rsidP="00B85568">
      <w:pPr>
        <w:pStyle w:val="TextoNormal"/>
      </w:pPr>
    </w:p>
    <w:p w:rsidR="00B85568" w:rsidRDefault="00B85568" w:rsidP="00B85568">
      <w:pPr>
        <w:pStyle w:val="TextoNormal"/>
      </w:pPr>
      <w:r>
        <w:t>1. “De acuerdo con el artículo 67.3 de la Ley 7/2007, de 12 de abril, del Estatuto Básico del Empleado Público, solo se podrá autorizar la prolongación en la permanencia en el servicio activo en los siguientes supuestos:</w:t>
      </w:r>
    </w:p>
    <w:p w:rsidR="00B85568" w:rsidRDefault="00B85568" w:rsidP="00B85568">
      <w:pPr>
        <w:pStyle w:val="TextoNormal"/>
      </w:pPr>
    </w:p>
    <w:p w:rsidR="00B85568" w:rsidRDefault="00B85568" w:rsidP="00B85568">
      <w:pPr>
        <w:pStyle w:val="TextoNormal"/>
      </w:pPr>
      <w:r>
        <w:t>a) En todo caso, cuando la persona interesada no haya cumplido el periodo mínimo de cotización para causar derecho a la pensión de jubilación, y por el tiempo indispensable para completar este periodo”.</w:t>
      </w:r>
    </w:p>
    <w:p w:rsidR="00B85568" w:rsidRDefault="00B85568" w:rsidP="00B85568">
      <w:pPr>
        <w:pStyle w:val="TextoNormal"/>
      </w:pPr>
    </w:p>
    <w:p w:rsidR="00B85568" w:rsidRDefault="00B85568" w:rsidP="00B85568">
      <w:pPr>
        <w:pStyle w:val="TextoNormal"/>
      </w:pPr>
      <w:r>
        <w:t>…</w:t>
      </w:r>
    </w:p>
    <w:p w:rsidR="00B85568" w:rsidRDefault="00B85568" w:rsidP="00B85568">
      <w:pPr>
        <w:pStyle w:val="TextoNormal"/>
      </w:pPr>
    </w:p>
    <w:p w:rsidR="00B85568" w:rsidRDefault="00B85568" w:rsidP="00B85568">
      <w:pPr>
        <w:pStyle w:val="TextoNormal"/>
      </w:pPr>
      <w:r>
        <w:t>2. “En los casos a los que se refieren las letras a) y b) del apartado anterior, la concesión de la autorización se efectuará por el correspondiente plazo indispensable, a solicitud de la persona interesada, presentada con una antelación mínima de dos meses antes de la fecha de jubilación.”</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del planteamiento de la presente cuestión de inconstitucionalidad son, sucintamente expuestos, los siguientes:</w:t>
      </w:r>
    </w:p>
    <w:p w:rsidR="00B85568" w:rsidRDefault="00B85568" w:rsidP="00B85568">
      <w:pPr>
        <w:pStyle w:val="TextoNormal"/>
      </w:pPr>
    </w:p>
    <w:p w:rsidR="00B85568" w:rsidRDefault="00B85568" w:rsidP="00B85568">
      <w:pPr>
        <w:pStyle w:val="TextoNormal"/>
      </w:pPr>
      <w:r>
        <w:t>a) La presente cuestión trae causa de un recurso contencioso-administrativo, registrado como procedimiento ordinario núm. 306-2012 y seguido ante la Sala de lo Contencioso-Administrativo del Tribunal Superior de Justicia de las Islas Baleares, en el que la parte recurrente —que venía ocupando en comisión de servicio el puesto de trabajo de Jefe del Departamento Contencioso y Constitucional de la Abogacía de la Administración de las Comunidad Autónoma de las Islas Baleares— impugna la resolución del Conseller del Govern balear de 4 de junio de 2012, por la que, en aplicación de lo previsto en el art. 9.3 del Decreto-ley Balear 5/2012, fue declarada su jubilación forzosa con efectos desde el día 20 de junio del mismo año, fecha en la que el demandante cumplía 66 años de edad.</w:t>
      </w:r>
    </w:p>
    <w:p w:rsidR="00B85568" w:rsidRDefault="00B85568" w:rsidP="00B85568">
      <w:pPr>
        <w:pStyle w:val="TextoNormal"/>
      </w:pPr>
    </w:p>
    <w:p w:rsidR="00B85568" w:rsidRDefault="00B85568" w:rsidP="00B85568">
      <w:pPr>
        <w:pStyle w:val="TextoNormal"/>
      </w:pPr>
      <w:r>
        <w:t>La actora pretende la nulidad de la resolución impugnada argumentando —con invocación de los arts. 9.3, 14, 23.2, 33.3, y 35.1 CE— que el art. 9.3 del Decreto-ley balear 5/2012 es inconstitucional, aduciendo al respecto que la medida de no prorrogar ha afectado a un reducido número de personas y que su efectividad en la fecha de cada cumpleaños la asimila a una ley singular o autoaplicativa. Por ello, en la demanda del recurso, solicitó en su momento de la Sala de instancia que planteara la cuestión de inconstitucionalidad, en referencia al mencionado art. 9.3 del Decreto-ley 5/2012.</w:t>
      </w:r>
    </w:p>
    <w:p w:rsidR="00B85568" w:rsidRDefault="00B85568" w:rsidP="00B85568">
      <w:pPr>
        <w:pStyle w:val="TextoNormal"/>
      </w:pPr>
    </w:p>
    <w:p w:rsidR="00B85568" w:rsidRDefault="00B85568" w:rsidP="00B85568">
      <w:pPr>
        <w:pStyle w:val="TextoNormal"/>
      </w:pPr>
      <w:r>
        <w:t>b) Concluso el procedimiento y dentro del plazo para dictar Sentencia, el órgano judicial dictó providencia de 6 de mayo de 2014, por la que acordó oír a las partes y al Ministerio Fiscal para que alegasen sobre la pertinencia de plantear cuestión de inconstitucionalidad en relación con el art. 9.3 del Decreto-ley balear 5/2012, de 1 de junio, de medidas urgentes en materia de personal y administrativas para la reducción del déficit público del sector público de la Comunidad Autónoma de las Islas Baleares y de otras instituciones autonómicas, por su posible incompatibilidad con el art. 86.1 CE. La Abogada de la Comunidad Autónoma de las Islas Baleares solicitó a la Sala que acordara no plantear la cuestión de inconstitucionalidad, pues, a su modo de ver, ninguna vulneración de lo dispuesto en el art. 86.1 CE cabía predicar del Decreto-ley 5/2012, incluyendo lo dispuesto en su art. 9.3.</w:t>
      </w:r>
    </w:p>
    <w:p w:rsidR="00B85568" w:rsidRDefault="00B85568" w:rsidP="00B85568">
      <w:pPr>
        <w:pStyle w:val="TextoNormal"/>
      </w:pPr>
    </w:p>
    <w:p w:rsidR="00B85568" w:rsidRDefault="00B85568" w:rsidP="00B85568">
      <w:pPr>
        <w:pStyle w:val="TextoNormal"/>
      </w:pPr>
      <w:r>
        <w:t>Por el contrario, la parte demandante mostró su acuerdo con el planteamiento de la cuestión, al considerar que el precepto cuestionado era contrario al art. 86.1 CE, tanto por no concurrir en este caso el presupuesto de hecho habilitante, como por afectar a los derechos contenidos en los arts. 14, 23.2 y 35.1 CE. Asimismo, entendió que la norma cuestionada había vulnerado el derecho del demandante a no ser privado de sus bienes y derechos en términos que no fueran los señalados por el art. 33.3 CE. Por último, se afirmaba también que la norma infringe el orden constitucional de distribución de competencias expresado en el art. 149.1.18 CE, con infracción, tanto de lo dispuesto en la normativa básica estatal aplicable (art. 67.3 de la Ley 7/2007, de 12 de abril, del estatuto básico del empleado público y la norma reglamentaria que lo desarrolla), como de lo dispuesto en el art. 60.2 de la Ley 3/2007, de 27 de marzo, de función pública de las Islas Baleares, que, con carácter general, dispone que “la jubilación se rige por la normativa estatal que resulte de aplicación”.</w:t>
      </w:r>
    </w:p>
    <w:p w:rsidR="00B85568" w:rsidRDefault="00B85568" w:rsidP="00B85568">
      <w:pPr>
        <w:pStyle w:val="TextoNormal"/>
      </w:pPr>
    </w:p>
    <w:p w:rsidR="00B85568" w:rsidRDefault="00B85568" w:rsidP="00B85568">
      <w:pPr>
        <w:pStyle w:val="TextoNormal"/>
      </w:pPr>
      <w:r>
        <w:t>Finalmente, el Ministerio Fiscal no se opuso al planteamiento de la cuestión de inconstitucionalidad, al entender que concurrían los presupuestos que exige el art. 35 de la Ley Orgánica del Tribunal Constitucional (LOTC).</w:t>
      </w:r>
    </w:p>
    <w:p w:rsidR="00B85568" w:rsidRDefault="00B85568" w:rsidP="00B85568">
      <w:pPr>
        <w:pStyle w:val="TextoNormal"/>
      </w:pPr>
    </w:p>
    <w:p w:rsidR="00B85568" w:rsidRDefault="00B85568" w:rsidP="00B85568">
      <w:pPr>
        <w:pStyle w:val="TextoNormal"/>
      </w:pPr>
      <w:r>
        <w:t>c) La Sala de lo Contencioso-Administrativo del Tribunal Superior de Justicia de las Islas Baleares dictó Auto de 20 de junio de 2014 por el que planteó la cuestión de inconstitucionalidad en relación con el art. 9.3 del Decreto-ley Balear 5/2012, de 1 de junio, de medidas urgentes en materia de personal y administrativas para la reducción del déficit público del sector público de la Comunidad Autónoma de las Islas Baleares y de otras instituciones autonómicas, por posible vulneración del art. 86.1 CE.</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planteamiento de la cuestión de inconstitucionalidad se fundamenta en las consideraciones que, seguidamente y de forma resumida, se señalan:</w:t>
      </w:r>
    </w:p>
    <w:p w:rsidR="00B85568" w:rsidRDefault="00B85568" w:rsidP="00B85568">
      <w:pPr>
        <w:pStyle w:val="TextoNormal"/>
      </w:pPr>
    </w:p>
    <w:p w:rsidR="00B85568" w:rsidRDefault="00B85568" w:rsidP="00B85568">
      <w:pPr>
        <w:pStyle w:val="TextoNormal"/>
      </w:pPr>
      <w:r>
        <w:t>Se indica que las actuaciones tienen su origen en el recurso interpuesto por quien venía ocupando en comisión de servicio el puesto de trabajo de Jefe del Departamento Contencioso y Constitucional de la Abogacía de la Administración de la Comunidad Autónoma de las Islas Baleares, yendo dirigida contra la resolución del Conseller del Govern balear de 4 de junio de 2012, por la que se declaró su jubilación forzosa en aplicación de lo previsto en el art. 9.3 del Decreto-ley Balear 5/2012, convalidado por resolución del Parlament de Illes Balears en sesión celebrada el día 19 de junio de 2012.</w:t>
      </w:r>
    </w:p>
    <w:p w:rsidR="00B85568" w:rsidRDefault="00B85568" w:rsidP="00B85568">
      <w:pPr>
        <w:pStyle w:val="TextoNormal"/>
      </w:pPr>
    </w:p>
    <w:p w:rsidR="00B85568" w:rsidRDefault="00B85568" w:rsidP="00B85568">
      <w:pPr>
        <w:pStyle w:val="TextoNormal"/>
      </w:pPr>
      <w:r>
        <w:t>Entiende la Sala que la resolución impugnada es consecuencia de la aplicación por parte de la Administración demandada, de lo previsto en el art. 9.3 del Decreto-ley balear 5/2012 y, por tanto, el citado precepto ha de considerarse norma aplicable y de cuya validez depende el fallo.</w:t>
      </w:r>
    </w:p>
    <w:p w:rsidR="00B85568" w:rsidRDefault="00B85568" w:rsidP="00B85568">
      <w:pPr>
        <w:pStyle w:val="TextoNormal"/>
      </w:pPr>
    </w:p>
    <w:p w:rsidR="00B85568" w:rsidRDefault="00B85568" w:rsidP="00B85568">
      <w:pPr>
        <w:pStyle w:val="TextoNormal"/>
      </w:pPr>
      <w:r>
        <w:t>Sobre su posible inconstitucionalidad, señala el órgano judicial que, de acuerdo con los parámetros interpretativos que suministra la doctrina constitucional, la disposición aprobada por el Govern por la vía del decreto-ley esgrime un contexto de austeridad derivado de la crisis económica previsible y que, como tal, al menos en cuanto se refiere a la medida que ha afectado al demandante y aproximadamente a otros veinte funcionarios más, bien pudo tramitarse como una ley ordinaria con todas las garantías y con el mismo impacto. De esta manera, duda el órgano jurisdiccional de que el decreto-ley de referencia cumpla las exigencias derivadas del art. 86.1 CE, ya que en el preámbulo del mismo —y sobre cada contenido material regulado— debería contenerse una justificación sobre las circunstancias de extraordinaria y urgente necesidad que llevaron a su aprobación, cosa que no ocurre. Esa justificación tampoco se encontraría, ni en el expediente de elaboración, ni tampoco en el debate parlamentario de convalidación de la norma.</w:t>
      </w:r>
    </w:p>
    <w:p w:rsidR="00B85568" w:rsidRDefault="00B85568" w:rsidP="00B85568">
      <w:pPr>
        <w:pStyle w:val="TextoNormal"/>
      </w:pPr>
    </w:p>
    <w:p w:rsidR="00B85568" w:rsidRDefault="00B85568" w:rsidP="00B85568">
      <w:pPr>
        <w:pStyle w:val="TextoNormal"/>
      </w:pPr>
      <w:r>
        <w:t>En lo que se refiere específicamente al art. 9.3 del Decreto-ley balear 5/2012, el Tribunal que plantea la cuestión ofrece una argumentación un tanto críptica, en la que viene a sostener que la urgencia y necesidad no se habría intentado justificar por el Govern en relación con la medida contenida en dicho artículo y que, además, resulta dudosa su concurrencia, pues el puesto vacante dejado por el recurrente tras su jubilación lo ocupó otro Abogado, de manera que no se produjo una reducción del gasto público.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7 de octubre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en este Tribunal el día 29 de octubre de 2014, alegando en síntesis lo siguiente:</w:t>
      </w:r>
    </w:p>
    <w:p w:rsidR="00B85568" w:rsidRDefault="00B85568" w:rsidP="00B85568">
      <w:pPr>
        <w:pStyle w:val="TextoNormal"/>
      </w:pPr>
    </w:p>
    <w:p w:rsidR="00B85568" w:rsidRDefault="00B85568" w:rsidP="00B85568">
      <w:pPr>
        <w:pStyle w:val="TextoNormal"/>
      </w:pPr>
      <w:r>
        <w:t>a) Una vez repasadas las razones que han llevado a la Sala de lo Contencioso-Administrativo del Tribunal Superior de Justicia de Illes Balears a plantear la presente cuestión de inconstitucionalidad, se reproducen los motivos recogidos en la exposición de motivos del Decreto-ley Balear 5/2012 que determinaron su aprobación, para señalar, a continuación, que los presupuestos procesales del planteamiento se han cumplimentado adecuadamente por el órgano judicial, identificando el precepto legal cuestionado y el precepto constitucional que podría vulnerar, deduciéndose de lo razonado en su Auto que el objeto de este proceso se circunscribe a si el citado Decreto-ley cumple con las previsiones normativas recogidas en el apartado primero del art. 86 CE. Igualmente, se habría cumplido con los requisitos de audiencia a las partes y al Ministerio Fiscal y de realizar adecuadamente los juicios de aplicabilidad y de relevancia de la norma legal cuestionada.</w:t>
      </w:r>
    </w:p>
    <w:p w:rsidR="00B85568" w:rsidRDefault="00B85568" w:rsidP="00B85568">
      <w:pPr>
        <w:pStyle w:val="TextoNormal"/>
      </w:pPr>
    </w:p>
    <w:p w:rsidR="00B85568" w:rsidRDefault="00B85568" w:rsidP="00B85568">
      <w:pPr>
        <w:pStyle w:val="TextoNormal"/>
      </w:pPr>
      <w:r>
        <w:t>b) A continuación, ofrece el Fiscal sus razones acerca de si la presente cuestión de inconstitucionalidad ha de considerarse notoriamente infundada, toda vez que el traslado conferido lo fue a efectos de informar sobre tal particular. A tal objeto realiza, primero, un breve repaso a lo dispuesto por este Tribunal en relación con la posibilidad de inadmitir, mediante resolución motivada, las cuestiones de inconstitucionalidad que resulten notoriamente infundadas. Seguidamente, se refiere a la doctrina constitucional sobre los requisitos que resultan exigibles a la legislación de urgencia.</w:t>
      </w:r>
    </w:p>
    <w:p w:rsidR="00B85568" w:rsidRDefault="00B85568" w:rsidP="00B85568">
      <w:pPr>
        <w:pStyle w:val="TextoNormal"/>
      </w:pPr>
    </w:p>
    <w:p w:rsidR="00B85568" w:rsidRDefault="00B85568" w:rsidP="00B85568">
      <w:pPr>
        <w:pStyle w:val="TextoNormal"/>
      </w:pPr>
      <w:r>
        <w:t>Conforme a dicha doctrina, parte el Ministerio Fiscal de que el examen de la concurrencia del presupuesto habilitante de la “extraordinaria y urgente necesidad” ha de llevarse a cabo siempre mediante la valoración conjunta de todos aquellos factores que determinaron que el Gobierno, en este caso el autonómico balear, dictara la disposición legal excepcional. Procede, entonces, a examinar lo dispuesto en la exposición de motivos y en el debate de convalidación del Decreto-ley impugnado, destacando de su contenido las motivaciones relativas a la crisis económica y a la necesidad de adoptar medidas para atajarla. Asimismo, se detiene en la documentación aportada al procedimiento judicial, en la que aparecen varios informes del Govern explicativos de las causas y finalidades del plan económico-financiero de reequilibrio de la Comunidad Autónoma de las Islas Baleares de 30 de abril de 2012, que incluye un conjunto de medidas tendentes a la reducción del déficit público del sector público autonómico, mediante la reducción del gasto y el aumento de los ingresos públicos; dicho plan ha dado origen a la aprobación de diversas disposiciones normativas con aquella finalidad, entre las que figura el Decreto-ley 5/2012, de 1 de junio.</w:t>
      </w:r>
    </w:p>
    <w:p w:rsidR="00B85568" w:rsidRDefault="00B85568" w:rsidP="00B85568">
      <w:pPr>
        <w:pStyle w:val="TextoNormal"/>
      </w:pPr>
    </w:p>
    <w:p w:rsidR="00B85568" w:rsidRDefault="00B85568" w:rsidP="00B85568">
      <w:pPr>
        <w:pStyle w:val="TextoNormal"/>
      </w:pPr>
      <w:r>
        <w:t>De acuerdo con las razones aportadas por el Gobierno balear, subraya el Fiscal que la citada norma es consecuencia del plan económico-financiero y responde a la finalidad y cumplimiento de los objetivos de estabilidad presupuestaria previstos en el mismo, al contener medidas correctoras del gasto incluidas en aquel plan.</w:t>
      </w:r>
    </w:p>
    <w:p w:rsidR="00B85568" w:rsidRDefault="00B85568" w:rsidP="00B85568">
      <w:pPr>
        <w:pStyle w:val="TextoNormal"/>
      </w:pPr>
    </w:p>
    <w:p w:rsidR="00B85568" w:rsidRDefault="00B85568" w:rsidP="00B85568">
      <w:pPr>
        <w:pStyle w:val="TextoNormal"/>
      </w:pPr>
      <w:r>
        <w:t>En definitiva, para el Fiscal General del Estado la gravedad de la crisis económica que padecía la Comunidad Autónoma de las Islas Baleares, la necesidad de cumplir, en el ámbito de sus competencias, las obligaciones contraídas en el Consejo de Política Fiscal y Financiera con la aprobación del plan económico-financiero 2012-2014, le hace llegar a la conclusión de que la justificación de la existencia de una situación de extraordinaria y urgente necesidad en este caso no resulta “abusiva o arbitraria”, sino que encaja dentro de los supuestos en que este Tribunal ha considerado legítima la utilización del decreto-ley, esto es, “todos aquellos casos en que hay que alcanzar los objetivos marcados para la gobernación del país que, por circunstancias difíciles o imposibles de prever, requieren una acción normativa inmediata o en que las coyunturas económicas exigen una rápida respuesta” (ATC 43/2014, FJ 4).</w:t>
      </w:r>
    </w:p>
    <w:p w:rsidR="00B85568" w:rsidRDefault="00B85568" w:rsidP="00B85568">
      <w:pPr>
        <w:pStyle w:val="TextoNormal"/>
      </w:pPr>
    </w:p>
    <w:p w:rsidR="00B85568" w:rsidRDefault="00B85568" w:rsidP="00B85568">
      <w:pPr>
        <w:pStyle w:val="TextoNormal"/>
      </w:pPr>
      <w:r>
        <w:t>El Govern, además, habría expuesto debidamente (tanto en la exposición de motivos de la norma, como en el debate parlamentario de convalidación) “las circunstancias de especial coyuntura económica” que justificarían la urgencia y la necesidad de las medidas que contiene el Decreto-ley balear 5/2012 y, en concreto, la prevista en el precepto cuestionado (art. 9.3).</w:t>
      </w:r>
    </w:p>
    <w:p w:rsidR="00B85568" w:rsidRDefault="00B85568" w:rsidP="00B85568">
      <w:pPr>
        <w:pStyle w:val="TextoNormal"/>
      </w:pPr>
    </w:p>
    <w:p w:rsidR="00B85568" w:rsidRDefault="00B85568" w:rsidP="00B85568">
      <w:pPr>
        <w:pStyle w:val="TextoNormal"/>
      </w:pPr>
      <w:r>
        <w:t>c) Se plantea, por último, si concurre el requisito de la necesaria conexión entre la situación de urgencia definida y la medida concreta adoptada para subvenir a ella. Al respecto, recuerda que este Tribunal ha afirmado un doble criterio o perspectiva para valorar la existencia de esta conexión, de sentido exigible a las disposiciones incluidas en el Decreto-ley: “por un lado que, por su contenido, guarden relación con la situación que se trata de afrontar y, por otro, que, por su estructura, modifiquen de manera instantánea la situación jurídica existente” [ATC 43/2014, FJ 4 b)]. Partiendo de este punto, señala que la revocación de la prolongación en el servicio público más allá de la edad reglamentaria de jubilación contenida en el art. 9.3 del Decreto-ley balear 5/2012 no debe ser considerada aisladamente, sino en relación con todas las demás medidas recogidas en el citado Decreto-ley. Desde esa perspectiva, se entiende satisfecha la exigencia de conexión de sentido y de eficacia inmediata de la medida prevista en dicho precepto, pues produce sus efectos de manera instantánea, aunque, en el caso concreto, se difiera al momento del día del cumpleaños del recurrente. Asimismo, se recuerda que este Tribunal ya declaró conforme a la Constitución las medidas que inciden en las situaciones de prolongación de servicio activo más allá de la edad de jubilación (entre otros, ATC 133/2014).</w:t>
      </w:r>
    </w:p>
    <w:p w:rsidR="00B85568" w:rsidRDefault="00B85568" w:rsidP="00B85568">
      <w:pPr>
        <w:pStyle w:val="TextoNormal"/>
      </w:pPr>
    </w:p>
    <w:p w:rsidR="00B85568" w:rsidRDefault="00B85568" w:rsidP="00B85568">
      <w:pPr>
        <w:pStyle w:val="TextoNormal"/>
      </w:pPr>
      <w:r>
        <w:t>De todo lo dicho, concluye el Fiscal General del Estado que el Decreto-ley impugnado no vulnera lo dispuesto en el art. 86.1 CE en relación con el presupuesto de hecho habilitante.</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presente cuestión de inconstitucionalidad se plantea por la Sala de lo Contencioso-Administrativo del Tribunal Superior de Justicia de Illes Balears, respecto del art. 9.3 del Decreto-ley del Govern de Illes Balears 5/2012, de 1 de junio, de medidas urgentes en materia de personal y administrativas para la reducción del déficit público del sector público de la Comunidad Autónoma de las Islas Baleares y de otras instituciones autonómicas, cuyo tenor literal ha sido reproducido en el antecedente primero de esta resolución.</w:t>
      </w:r>
    </w:p>
    <w:p w:rsidR="00B85568" w:rsidRDefault="00B85568" w:rsidP="00B85568">
      <w:pPr>
        <w:pStyle w:val="TextoNormal"/>
      </w:pPr>
    </w:p>
    <w:p w:rsidR="00B85568" w:rsidRDefault="00B85568" w:rsidP="00B85568">
      <w:pPr>
        <w:pStyle w:val="TextoNormal"/>
      </w:pPr>
      <w:r>
        <w:t>Como resulta de la fundamentación del Auto de planteamiento de la cuestión, la duda de constitucionalidad del citado Tribunal reside, en esencia, en la posible contradicción del art. 9.3 del Decreto-ley balear 5/2012 con el art. 86.1 CE, en tanto que el Decreto-ley, en el que se integra, se habría aprobado sin que concurriera el presupuesto de hecho habilitante exigido por el citado precepto constitucional, esto es, sin que existiera una situación de “extraordinaria y urgente necesidad”.</w:t>
      </w:r>
    </w:p>
    <w:p w:rsidR="00B85568" w:rsidRDefault="00B85568" w:rsidP="00B85568">
      <w:pPr>
        <w:pStyle w:val="TextoNormal"/>
      </w:pPr>
    </w:p>
    <w:p w:rsidR="00B85568" w:rsidRDefault="00B85568" w:rsidP="00B85568">
      <w:pPr>
        <w:pStyle w:val="TextoNormal"/>
      </w:pPr>
      <w:r>
        <w:t>El Fiscal General del Estado, según se ha hecho constar también en los antecedentes, considera cumplidos los presupuestos procesales del planteamiento de la cuestión de inconstitucionalidad, pero —con apoyo en la jurisprudencia de este Tribunal— descarta la inconstitucionalidad de la norma cuestionada.</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De acuerdo con lo previsto en el art. 37.1 de la Ley Orgánica del Tribunal Constitucional (LOTC), este Tribunal puede rechazar </w:t>
      </w:r>
      <w:r w:rsidRPr="00B85568">
        <w:rPr>
          <w:i/>
        </w:rPr>
        <w:t>a limine</w:t>
      </w:r>
      <w:r>
        <w:t xml:space="preserve"> las cuestiones de inconstitucionalidad, mediante Auto y sin otra audiencia que la del Fiscal General del Estado, si faltaren las condiciones procesales o fueran notoriamente infundadas. Al respecto, ha de coincidirse con el Ministerio Fiscal en que, si bien los presupuestos procesales del planteamiento de la presente cuestión de inconstitucionalidad han sido debidamente cumplimentados, no así, en cambio, el juicio sobre su viabilidad desde la perspectiva de fondo de las dudas que somete a este Tribunal.</w:t>
      </w:r>
    </w:p>
    <w:p w:rsidR="00B85568" w:rsidRDefault="00B85568" w:rsidP="00B85568">
      <w:pPr>
        <w:pStyle w:val="TextoNormal"/>
      </w:pPr>
    </w:p>
    <w:p w:rsidR="00B85568" w:rsidRDefault="00B85568" w:rsidP="00B85568">
      <w:pPr>
        <w:pStyle w:val="TextoNormal"/>
      </w:pPr>
      <w:r>
        <w:t>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00B85568" w:rsidRDefault="00B85568" w:rsidP="00B85568">
      <w:pPr>
        <w:pStyle w:val="TextoNormal"/>
      </w:pPr>
    </w:p>
    <w:p w:rsidR="00B85568" w:rsidRDefault="00B85568" w:rsidP="00B85568">
      <w:pPr>
        <w:pStyle w:val="TextoNormal"/>
      </w:pPr>
      <w:r>
        <w:t>Al respecto, hay que advertir, con carácter previo, que el Tribunal Superior de Justicia no identifica correctamente “el precepto constitucional que se supone infringido” (art. 35.2 CE), pues se refiere en su Auto —y así lo hizo también en el trámite de audiencia a las partes— exclusivamente al art. 86.1 CE y no al art. 49 del Estatuto de Autonomía de las Illes Balears (en adelante, EAIB), que es la norma que atribuye al Gobierno Balear la potestad de dictar decretos-leyes y que, de acuerdo con lo previsto en el art. 28.1 LOTC, ha de servir en este caso como principal parámetro de constitucionalidad. No obstante, esta objeción tiene un carácter menor y no puede determinar la inadmisión de la cuestión de inconstitucionalidad, en tanto que lo que se cuestiona por el órgano jurisdiccional es, concretamente, la concurrencia del presupuesto de hecho habilitante de la “extraordinaria y urgente necesidad”, requisito que viene igualmente exigido en el art. 49.1 del citado Estatuto de Autonomía. Por ello, la duda de constitucionalidad resulta clara, siendo razonable, por otro lado, que el órgano jurisdiccional promotor de la cuestión haga referencia a la doctrina de este Tribunal en relación con el art. 86.1 CE, dado que, en el momento en que planteó la cuestión, todavía este Tribunal no había fijado doctrina constitucional específica sobre los decretos-leyes autonómicos, cosa que hemos hecho en la reciente STC 93/2015, de 14 de mayo, en la que, luego de confirmar que los Estatutos de Autonomía pueden prever esta fuente normativa de origen gubernamental con rango legal, consideramos que, en virtud del principio democrático (art. 1.1 CE), debe entenderse que los límites formales y materiales que afectan al decreto-ley autonómico son, como mínimo, los que la Constitución impone al real decreto-ley estatal (art. 86.1); el Estatuto de Autonomía correspondiente puede sólo añadir “cautelas o exclusiones adicionales” con el fin de “preservar más intensamente la posición del parlamento autonómico”. Ello implica que el presupuesto de la “extraordinaria y urgente necesidad”, a que hace referencia el art. 49 EAIB debe interpretarse a la luz de la doctrina constitucional sobre el art. 86.1 CE.</w:t>
      </w:r>
    </w:p>
    <w:p w:rsidR="00B85568" w:rsidRDefault="00B85568" w:rsidP="00B85568">
      <w:pPr>
        <w:pStyle w:val="TextoNormal"/>
      </w:pPr>
    </w:p>
    <w:p w:rsidR="00B85568" w:rsidRDefault="00B85568" w:rsidP="00B85568">
      <w:pPr>
        <w:pStyle w:val="TextoNormal"/>
      </w:pPr>
      <w:r w:rsidRPr="00B85568">
        <w:rPr>
          <w:rStyle w:val="NumeroAFNegritaCaracter"/>
        </w:rPr>
        <w:t>3</w:t>
      </w:r>
      <w:r>
        <w:t>. Así, conforme a nuestra doctrina, tanto la reiteradamente acuñada para los reales decretos-leyes estatales como la reciente referida a los decretos-leyes autonómicos, la apreciación de la concurrencia de circunstancias de extraordinaria y urgente necesidad constituye un juicio político o de oportunidad que corresponde en este caso al Govern, en primer término, y, posteriormente, a la Cámara legislativa balear en el ejercicio de la función de control parlamentario, “no siendo posible un control por parte de este Tribunal de esa valoración que permita una revisión de fondo del juicio político, más allá de la constatación de que no se trata de una decisión abusiva o arbitraria” (ATC 179/2011, de 13 de diciembre, FJ 6; o SSTC 332/2005, de 15 de diciembre, FJ 6; 170/2012, de 4 de octubre, FJ 6, y 237/2012, de 13 de diciembre, FJ 4). En concreto, hemos afirmado que ese control externo que compete a este Tribunal alcanza a la constatación de las dos siguientes exigencias: a) por un lado, el requisito de que la definición por los órganos políticos de una situación de extraordinaria y urgente necesidad “sea explícita y razonada”, siendo criterio de la jurisprudencia constitucional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y b) la necesidad de que “exista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(por todas, SSTC 137/2011, de 14 de septiembre, FJ 4; 1/2012, de 13 de enero, FJ 6, y 39/2013, de 14 de febrero, FFJJ 5 y 6).</w:t>
      </w:r>
    </w:p>
    <w:p w:rsidR="00B85568" w:rsidRDefault="00B85568" w:rsidP="00B85568">
      <w:pPr>
        <w:pStyle w:val="TextoNormal"/>
      </w:pPr>
    </w:p>
    <w:p w:rsidR="00B85568" w:rsidRDefault="00B85568" w:rsidP="00B85568">
      <w:pPr>
        <w:pStyle w:val="TextoNormal"/>
      </w:pPr>
      <w:r w:rsidRPr="00B85568">
        <w:rPr>
          <w:rStyle w:val="NumeroAFNegritaCaracter"/>
        </w:rPr>
        <w:t>4</w:t>
      </w:r>
      <w:r>
        <w:t>. Recordado lo anterior, y entrando ya de lleno en el fondo de la cuestión, hay que señalar que, de los razonamientos expuestos en el Auto de planteamiento, se deduce que para la Sala de lo Contencioso-Administrativo balear, el Decreto-ley 5/2012 no cumple con las exigencias derivadas del art. 86.1 CE en relación con el presupuesto de hecho habilitante de la “extraordinaria y urgente necesidad” (que, según acabamos de ver, se derivan igualmente de lo dispuesto en el art. 49.1 EAIB). Esgrime el órgano jurisdiccional que dicha necesidad no viene justificada, ni en el preámbulo de la norma, ni en el expediente de elaboración, ni tampoco en el debate parlamentario de convalidación. Esa falta de justificación afectaría también al contenido del artículo 9.3, que es el precepto aquí cuestionado.</w:t>
      </w:r>
    </w:p>
    <w:p w:rsidR="00B85568" w:rsidRDefault="00B85568" w:rsidP="00B85568">
      <w:pPr>
        <w:pStyle w:val="TextoNormal"/>
      </w:pPr>
    </w:p>
    <w:p w:rsidR="00B85568" w:rsidRDefault="00B85568" w:rsidP="00B85568">
      <w:pPr>
        <w:pStyle w:val="TextoNormal"/>
      </w:pPr>
      <w:r>
        <w:t>a) Pues bien, en relación con la primera exigencia, relativa a que se justifique por los órganos políticos la existencia de una situación de extraordinaria y urgente necesidad , hay que destacar que el citado preámbulo hace mención a la grave y complicada situación económica internacional, española y de las Islas Baleares en particular, que ha provocado “variaciones en las previsiones de crecimiento de nuestra economía, a lo que hay que añadir unos objetivos de déficit público muy estrictos para todas las comunidades autónomas, fijados inicialmente en un 1,5 por 100 para el año 2012 y en un 1,1 por 100 para el año 2013 —porcentaje, este último, que se reduce al 0,5 por 100 en el Programa de Estabilidad Presupuestaria del Reino de España presentado recientemente por el Estado español ante la Unión Europea—, que requieren adoptar medidas adicionales de control del gasto público, para conseguir la estabilidad presupuestaria exigida por la normativa vigente, en el marco constitucional y comunitario”.</w:t>
      </w:r>
    </w:p>
    <w:p w:rsidR="00B85568" w:rsidRDefault="00B85568" w:rsidP="00B85568">
      <w:pPr>
        <w:pStyle w:val="TextoNormal"/>
      </w:pPr>
    </w:p>
    <w:p w:rsidR="00B85568" w:rsidRDefault="00B85568" w:rsidP="00B85568">
      <w:pPr>
        <w:pStyle w:val="TextoNormal"/>
      </w:pPr>
      <w:r>
        <w:t>Además —se señala—, complementa estas medidas el plan económico-financiero de reequilibrio 2012-2014 formulado por la Comunidad Autónoma en el mes de abril de 2012, presentado a la Administración del Estado en cumplimiento de la legislación sobre estabilidad presupuestaria antes citada, plan que fue considerado idóneo por el Consejo de Política Fiscal y Financiera en la sesión del día 17 de mayo de 2012.</w:t>
      </w:r>
    </w:p>
    <w:p w:rsidR="00B85568" w:rsidRDefault="00B85568" w:rsidP="00B85568">
      <w:pPr>
        <w:pStyle w:val="TextoNormal"/>
      </w:pPr>
    </w:p>
    <w:p w:rsidR="00B85568" w:rsidRDefault="00B85568" w:rsidP="00B85568">
      <w:pPr>
        <w:pStyle w:val="TextoNormal"/>
      </w:pPr>
      <w:r>
        <w:t>b) En relación con la segunda exigencia, la relativa a la necesidad de que exista una conexión de sentido entre las medidas adoptadas y la situación a la que se pretende hacer frente, se pone de relieve que las medidas contenidas en el Decreto-ley se suman a otras ya adoptadas en la Comunidad Autónoma por ley y por el Estado mediante reales decretos-leyes en los ámbitos educativo y sanitario, en ejercicio —este último— de sus competencias para establecer las bases y coordinar la planificación general de la actividad económica.</w:t>
      </w:r>
    </w:p>
    <w:p w:rsidR="00B85568" w:rsidRDefault="00B85568" w:rsidP="00B85568">
      <w:pPr>
        <w:pStyle w:val="TextoNormal"/>
      </w:pPr>
    </w:p>
    <w:p w:rsidR="00B85568" w:rsidRDefault="00B85568" w:rsidP="00B85568">
      <w:pPr>
        <w:pStyle w:val="TextoNormal"/>
      </w:pPr>
      <w:r>
        <w:t>Se aclara, pues, que de lo que se trata con las medidas adoptadas es de aminorar el gasto público, haciendo una especial incidencia en el gasto de personal, a través de la reducción de determinadas ventajas que los empleados públicos han venido obteniendo en momentos históricos diferentes al actual.</w:t>
      </w:r>
    </w:p>
    <w:p w:rsidR="00B85568" w:rsidRDefault="00B85568" w:rsidP="00B85568">
      <w:pPr>
        <w:pStyle w:val="TextoNormal"/>
      </w:pPr>
    </w:p>
    <w:p w:rsidR="00B85568" w:rsidRDefault="00B85568" w:rsidP="00B85568">
      <w:pPr>
        <w:pStyle w:val="TextoNormal"/>
      </w:pPr>
      <w:r>
        <w:t>Las medidas contenidas en el Decreto-ley de referencia, sigue el preámbulo, se ordenan todas hacia el mismo fin: “se adoptan medidas estructurales de racionalidad y de eficiencia en la gestión de los recursos humanos del sector público, de modo que se implanten de una manera efectiva los principales instrumentos de ordenación de estos recursos”. Se afirma, asimismo, que resulta necesario aprobar de manera urgente los instrumentos normativos que permitan la aplicación efectiva de las medidas previstas en el citado plan de ajuste aprobado en cumplimiento del acuerdo de la Comisión Delegada del Gobierno para asuntos económicos de 22 de marzo de 2012, para la puesta en funcionamiento del mecanismo de financiación para el pago a los proveedores de las comunidades autónomas y en el plan económico-financiero de reequilibrio. Por todo ello, estima el Govern que “la situación de emergencia económica en la que nos encontramos determina que se verifique el presupuesto de hecho consistente en la existencia de una situación de extraordinaria y urgente necesidad, lo que permite que el Gobierno de las Illes Balears pueda dictar medidas legislativas provisionales mediante un decreto-ley, de conformidad con lo dispuesto en el artículo 49 del Estatuto de Autonomía de las Illes Balears, teniendo en cuenta la imposibilidad de demorar la entrada en vigor de las medidas en cuestión durante el tiempo que se prolonga la tramitación legislativa ordinaria”.</w:t>
      </w:r>
    </w:p>
    <w:p w:rsidR="00B85568" w:rsidRDefault="00B85568" w:rsidP="00B85568">
      <w:pPr>
        <w:pStyle w:val="TextoNormal"/>
      </w:pPr>
    </w:p>
    <w:p w:rsidR="00B85568" w:rsidRDefault="00B85568" w:rsidP="00B85568">
      <w:pPr>
        <w:pStyle w:val="TextoNormal"/>
      </w:pPr>
      <w:r>
        <w:t>De acuerdo con todo ello se aprueba el Decreto-ley, que contiene un conjunto de normas que incluyen medidas, generales y específicas, aplicables al personal funcionario y laboral dependiente de los servicios generales de la administración de esta Comunidad Autónoma que pretenden dar respuesta a un contexto de crisis económica y de déficit presupuestario que es necesario corregir. Y es en el expresado contexto económico y de déficit presupuestario, en el que se enmarca el citado Decreto-ley 5/2012. Precisamente, para superar tal situación se ha venido haciendo uso de la legislación de urgencia, habiendo tenido ocasión este Tribunal de afirmar su adecuación a lo dispuesto en el art. 86.1 CE en no pocos casos (entre otras y entre las más recientes, las SSTC 47/2015 y 48/2015, todas ellas de 5 de marzo).</w:t>
      </w:r>
    </w:p>
    <w:p w:rsidR="00B85568" w:rsidRDefault="00B85568" w:rsidP="00B85568">
      <w:pPr>
        <w:pStyle w:val="TextoNormal"/>
      </w:pPr>
    </w:p>
    <w:p w:rsidR="00B85568" w:rsidRDefault="00B85568" w:rsidP="00B85568">
      <w:pPr>
        <w:pStyle w:val="TextoNormal"/>
      </w:pPr>
      <w:r w:rsidRPr="00B85568">
        <w:rPr>
          <w:rStyle w:val="NumeroAFNegritaCaracter"/>
        </w:rPr>
        <w:t>5</w:t>
      </w:r>
      <w:r>
        <w:t>. Por tanto, al igual que ya afirmó este Tribunal en el ATC 43/2014, de 12 de febrero, [FJ 4 A) a)], ha de concluirse aquí que, a la vista de los elementos examinados, puede considerarse satisfecho el requisito de que el Govern Balear haya explicado las razones de extraordinaria y urgente necesidad que han motivado la adopción de las distintas medidas incluidas en el Decreto-ley impugnado, entre ellas, la relativa a la limitación de las prórrogas de jubilación contenida en su artículo 9.3. Y ello porque, aunque no se haga mención específica a esta última por parte del Govern, tal medida se integra sin dificultad entre aquellas que se refieren a la disminución de gastos en materia del personal de los servicios generales de la Administración de la Comunidad Autónoma, medidas que, en pura lógica, están ordenadas a minimizar los efectos de la crisis y al cumplimiento de los rigurosos objetivos del déficit público. La justificación de su inclusión en el Decreto-ley balear 5/2012 no se basa en fórmulas o expresiones ambiguas y abstractas, de imposible control constitucional, sino que la argumentación gubernamental se construye sobre datos constatables relativos a la grave situación económica y a la necesidad de cumplir con los citados objetivos, mediante los que se trata de acreditar la situación de excepcionalidad y urgencia que legitima la utilización de este instrumento legislativo como vía para incorporar con inmediatez las medidas cuestionadas.</w:t>
      </w:r>
    </w:p>
    <w:p w:rsidR="00B85568" w:rsidRDefault="00B85568" w:rsidP="00B85568">
      <w:pPr>
        <w:pStyle w:val="TextoNormal"/>
      </w:pPr>
    </w:p>
    <w:p w:rsidR="00B85568" w:rsidRDefault="00B85568" w:rsidP="00B85568">
      <w:pPr>
        <w:pStyle w:val="TextoNormal"/>
      </w:pPr>
      <w:r>
        <w:t>Del mismo modo, también hemos declarado en otros pronunciamientos que el decreto-ley representa un instrumento constitucionalmente lícito para el tratamiento de “coyunturas económicas problemáticas”, situación en la que puede ubicarse la que el Decreto-ley balear 5/2012 pretende afrontar y que, como se ha visto, se encarga de describir en su preámbulo (SSTC 23/1993, de 21 de enero, FJ 5; 189/2005, de 7 de julio, FJ 3; 329/2005, de 15 de diciembre, FJ 5, y 31/2011, de 17 de marzo, FJ 4).</w:t>
      </w:r>
    </w:p>
    <w:p w:rsidR="00B85568" w:rsidRDefault="00B85568" w:rsidP="00B85568">
      <w:pPr>
        <w:pStyle w:val="TextoNormal"/>
      </w:pPr>
    </w:p>
    <w:p w:rsidR="00B85568" w:rsidRDefault="00B85568" w:rsidP="00B85568">
      <w:pPr>
        <w:pStyle w:val="TextoNormal"/>
      </w:pPr>
      <w:r>
        <w:t>Además, en relación con la argumentación sostenida en el Auto de planteamiento de la cuestión de que no ha quedado justificada la extraordinaria y urgente necesidad de la concreta medida adoptada, que guarda relación con el objeto del proceso judicial de referencia, ya hemos tenido ocasión de declarar con reiteración que “en un conjunto sistemático de medidas tan variadas y heterogéneas como las del Decreto-ley objeto de la impugnación, no es fácil aislar uno u otro precepto que, en cuanto forman parte de un conjunto sistemático de medidas, adquieren sentido en su visión global, y no desde una perspectiva meramente aislada, desde la cual podría ser más cuestionable su justificación”, concluyendo que “en cuanto incluidas en un conjunto de medidas, de cuya urgencia y necesidad no se ha dudado, no cabe negar la existencia de presupuesto habilitante también para los concretos preceptos impugnados”. [SSTC 23/1993, de 21 de enero, FJ 5, y 93/2015, de 14 de mayo, FJ 7 b)].</w:t>
      </w:r>
    </w:p>
    <w:p w:rsidR="00B85568" w:rsidRDefault="00B85568" w:rsidP="00B85568">
      <w:pPr>
        <w:pStyle w:val="TextoNormal"/>
      </w:pPr>
    </w:p>
    <w:p w:rsidR="00B85568" w:rsidRDefault="00B85568" w:rsidP="00B85568">
      <w:pPr>
        <w:pStyle w:val="TextoNormal"/>
      </w:pPr>
      <w:r>
        <w:t>En conclusión, de acuerdo con todo lo antedicho, dentro del juicio político o de oportunidad que corresponde al Gobierno de las Illes Balears y a su Parlamento, sin apreciarse abuso o arbitrariedad, hemos de afirmar que el Decreto-ley balear 5/2012 satisface las exigencias requeridas por la jurisprudencia constitucional de haber explicitado y razonado la existencia de una situación de extraordinaria y urgente necesidad, así como la conexión de sentido existente entre esa situación y las medidas adoptadas, entre ellas, la contenida en el precepto que es objeto de esta cuestión de inconstitucionalidad.</w:t>
      </w:r>
    </w:p>
    <w:p w:rsidR="00B85568" w:rsidRDefault="00B85568" w:rsidP="00B85568">
      <w:pPr>
        <w:pStyle w:val="TextoNormal"/>
      </w:pPr>
    </w:p>
    <w:p w:rsidR="00B85568" w:rsidRDefault="00B85568" w:rsidP="00B85568">
      <w:pPr>
        <w:pStyle w:val="TextoNormal"/>
      </w:pPr>
      <w:r>
        <w:t xml:space="preserve">Por tal razón, ha de ser rechazada </w:t>
      </w:r>
      <w:r w:rsidRPr="00B85568">
        <w:rPr>
          <w:i/>
        </w:rPr>
        <w:t>ab initio</w:t>
      </w:r>
      <w:r>
        <w:t xml:space="preserve"> la pretendida vulneración del art. 86.1 CE (o del art. 49.1 EAIB que, según hemos advertido anteriormente, debería haberse invocado también) y declararse, consecuentemente, que la presente cuestión de inconstitucionalidad resulta manifiestamente infundada.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 núm. 4913-2014.</w:t>
      </w:r>
    </w:p>
    <w:p w:rsidR="00B85568" w:rsidRDefault="00B85568" w:rsidP="00B85568">
      <w:pPr>
        <w:pStyle w:val="TextoNormal"/>
      </w:pPr>
    </w:p>
    <w:p w:rsidR="00B85568" w:rsidRDefault="00B85568" w:rsidP="00B85568">
      <w:pPr>
        <w:pStyle w:val="TextoNormal"/>
      </w:pPr>
      <w:r>
        <w:t>Madrid, a nueve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52" w:name="AUTO_2015_102"/>
      <w:r>
        <w:t>AUTO 102/2015, de 9 de junio de 2015</w:t>
      </w:r>
    </w:p>
    <w:bookmarkEnd w:id="252"/>
    <w:p w:rsidR="00B85568" w:rsidRDefault="00B85568" w:rsidP="00B85568">
      <w:pPr>
        <w:pStyle w:val="TtuloResolucin"/>
      </w:pPr>
      <w:r>
        <w:t>Pleno</w:t>
      </w:r>
    </w:p>
    <w:p w:rsidR="00B85568" w:rsidRDefault="00B85568" w:rsidP="00B85568">
      <w:pPr>
        <w:pStyle w:val="TextoNormalCentrado"/>
      </w:pPr>
      <w:r>
        <w:t>ECLI:ES:TC:2015:102A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Desestima el recurso de súplica interpuesto por el Consejo Insular de Formentera frente al Auto 70/2015, de 14 de abril por el que se inadmite a trámite el conflicto en defensa de la autonomía local 432-2015.</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del Tribunal Constitucional el día 23 de enero de 2015, don Luis Pozas Osset, Procurador de los Tribunales, actuando en nombre y representación del Consejo Insular de Formentera plantea conflicto en defensa de la autonomía local contra el art. 186.1 de la Ley 4/2014, de 20 de junio, de transportes terrestres y movilidad sostenible de las Illes Balears.</w:t>
      </w:r>
    </w:p>
    <w:p w:rsidR="00B85568" w:rsidRDefault="00B85568" w:rsidP="00B85568">
      <w:pPr>
        <w:pStyle w:val="TextoNormal"/>
      </w:pPr>
    </w:p>
    <w:p w:rsidR="00B85568" w:rsidRDefault="00B85568" w:rsidP="00B85568">
      <w:pPr>
        <w:pStyle w:val="TextoNormal"/>
      </w:pPr>
      <w:r>
        <w:t>El escrito de interposición del conflicto se fundamenta en lo que califica como peculiaridad del Consejo Insular de Formentera en la medida en que reuniría la triple condición de institución de autogobierno de la Comunidad Autónoma, entidad municipal (pues toda la isla es un único municipio) y entidad insular, peculiaridad que la haría deudora de un necesario tratamiento diferenciado. Ahora bien, expone la demanda que, al amparo de dicha singularidad, el art. 186.1 de la Ley 4/2014, de 20 de junio, establece una regulación que vulnera la autonomía local constitucionalmente garantizada del Consejo Insular de Formentera y, en concreto, su capacidad para ejercer las competencias propias en materia de transportes y movilidad en igualdad de condiciones que el resto de los Consejos Insulares de la Comunidad Autónoma, al prohibir que la isla de Formentera apruebe planes insulares de servicios de transporte regular de viajeros por carretera como el resto de las islas y al prever que ha de aprobar un plan de movilidad urbana sostenible, que está sometido a informe de la Consejería competente en materia de movilidad del Gobierno de las Illes Balears, y que será vinculante para aquellos aspectos que sean competencia del Gobierno de las Illes Balears.</w:t>
      </w:r>
    </w:p>
    <w:p w:rsidR="00B85568" w:rsidRDefault="00B85568" w:rsidP="00B85568">
      <w:pPr>
        <w:pStyle w:val="TextoNormal"/>
      </w:pPr>
    </w:p>
    <w:p w:rsidR="00B85568" w:rsidRDefault="00B85568" w:rsidP="00B85568">
      <w:pPr>
        <w:pStyle w:val="TextoNormal"/>
      </w:pPr>
      <w:r>
        <w:t>Por otra parte, el escrito de interposición del conflicto pone de manifiesto que se aporta “copia de la traducción al castellano” del dictamen del Consejo Consultivo de las Illes Balears, emitido el 12 de noviembre de 2014 a propósito de este conflicto en defensa de la autonomía local y que tuvo entrada en el Consell Insular de Formentera el 24 de diciembre de 2014 y, dado que es la versión en castellano la que ha de ser tenida en cuenta para enviar al Tribunal Constitucional, el conflicto se ha planteado en plazo.</w:t>
      </w:r>
    </w:p>
    <w:p w:rsidR="00B85568" w:rsidRDefault="00B85568" w:rsidP="00B85568">
      <w:pPr>
        <w:pStyle w:val="TextoNormal"/>
      </w:pPr>
    </w:p>
    <w:p w:rsidR="00B85568" w:rsidRDefault="00B85568" w:rsidP="00B85568">
      <w:pPr>
        <w:pStyle w:val="TextoNormal"/>
      </w:pPr>
      <w:r>
        <w:t>Tras ser solicitado por este Tribunal, se presenta en el Registro General del Tribunal Constitucional escrito de remisión del referido dictamen del Consejo Consultivo, que tuvo entrada en el Consejo Insular de Formentera el 1 de diciembre de 2014. En este escrito de remisión se pone de manifiesto que el documento aportado inicialmente con la demanda es la versión oficial del dictamen en lengua castellana ya que, de conformidad con el art. 23 de la Ley 5/2010, de 16 de junio, reguladora del Consejo Consultivo de las Illes Balears, la publicación de los dictámenes del Consejo Consultivo ha de hacerse preceptivamente en ambas lenguas oficiales, y sin la versión en castellano no puede entenderse evacuado el trámite de emisión del dictamen preceptivo. Asimismo, se reitera que la versión en castellano es la que debe ser tenida en cuenta para enviar al Tribunal Constitucional. De acuerdo con lo anterior, se concluye que la interposición del conflicto se habría realizado en plazo, ya que la versión en castellano se recibió en el Consell el 24 de diciembre de 2014 y el escrito de interposición del conflicto se presentó en el Registro General del Tribunal Constitucional el 23 de enero de 2015.</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El Pleno de este Tribunal, por Auto de 14 de abril de 2015, acordó inadmitir a trámite el presente conflicto en defensa de la autonomía local (art. 75 </w:t>
      </w:r>
      <w:r w:rsidRPr="00B85568">
        <w:rPr>
          <w:i/>
        </w:rPr>
        <w:t>quinquies</w:t>
      </w:r>
      <w:r>
        <w:t xml:space="preserve">.1 de la Ley Orgánica del Tribunal Constitucional: LOTC), por haberse promovido fuera del plazo procesal establecido en el art. 75 </w:t>
      </w:r>
      <w:r w:rsidRPr="00B85568">
        <w:rPr>
          <w:i/>
        </w:rPr>
        <w:t>quater</w:t>
      </w:r>
      <w:r>
        <w:t>.2 LOTC.</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escrito presentado en el Registro General de este Tribunal el día 23 de abril de 2015 el Procurador de los Tribunales don Luis Pozas Osset, actuando en nombre y representación del Consejo Insular de Formentera, interpuso recurso de súplica contra el referido Auto de 14 de abril de 2015, con la argumentación que a continuación se resume.</w:t>
      </w:r>
    </w:p>
    <w:p w:rsidR="00B85568" w:rsidRDefault="00B85568" w:rsidP="00B85568">
      <w:pPr>
        <w:pStyle w:val="TextoNormal"/>
      </w:pPr>
    </w:p>
    <w:p w:rsidR="00B85568" w:rsidRDefault="00B85568" w:rsidP="00B85568">
      <w:pPr>
        <w:pStyle w:val="TextoNormal"/>
      </w:pPr>
      <w:r>
        <w:t>Tras sintetizar las razones de inadmisión del conflicto, fundamenta la interposición del recurso en que “de la obligación del Consejo Consultivo de emitir los dictámenes en ambas lenguas se derivaba el hecho de que los mismos no se podían entender emitidos a todos los efectos hasta que se recibiera la segunda de las versiones”, sobre todo cuando el documento que debía producir efectos fuera del territorio no podía producir efectos extraterritorialmente sin la correspondiente traducción y en este supuesto en que es necesaria la versión oficial y auténtica del texto. Se alega que, de la regulación prevista en el art. 23.2 de la Ley 5/2010, de 16 de junio, reguladora del Consejo Consultivo de las Illes Balears, se deriva que los dictámenes han de ser emitidos, para ser eficaces, en las dos lenguas obligatoriamente. Dicha interpretación del referido precepto se infiere, considera el recurrente, de los antecedentes parlamentarios de la norma de acuerdo con la cual la voluntad del legislador es la de imponer la doble versión en la emisión de los dictámenes, garantizando así, a su juicio, el principio de seguridad jurídica (art. 9.3 CE).</w:t>
      </w:r>
    </w:p>
    <w:p w:rsidR="00B85568" w:rsidRDefault="00B85568" w:rsidP="00B85568">
      <w:pPr>
        <w:pStyle w:val="TextoNormal"/>
      </w:pPr>
    </w:p>
    <w:p w:rsidR="00B85568" w:rsidRDefault="00B85568" w:rsidP="00B85568">
      <w:pPr>
        <w:pStyle w:val="TextoNormal"/>
      </w:pPr>
      <w:r>
        <w:t xml:space="preserve">A ello añade que conforme a la doctrina constitucional sobre el derecho a la tutela judicial efectiva, es desproporcionado e injustificado inadmitir el conflicto en defensa de la autonomía local sobre la base de una “interpretación que </w:t>
      </w:r>
      <w:r w:rsidRPr="00B85568">
        <w:rPr>
          <w:i/>
        </w:rPr>
        <w:t>ex ante</w:t>
      </w:r>
      <w:r>
        <w:t xml:space="preserve"> no podía ser pacífica, al no existir … pronunciamientos previos en el sentido de clarificar que no es necesario aportar el informe preceptivo conjuntamente con el escrito de interposición. Y menos aun cuando es un dictamen emitido en una lengua que no es oficial en la sede del Tribunal donde ha de producir efectos”. Asimismo, se considera que el Dictamen fue comunicado en dos ocasiones y si la segunda era irrelevante no era necesaria su comunicación de forma que es más razonable que, conforme a lo previsto en el art. 36.3 de la Ley 30/1992, de 26 de noviembre, de régimen jurídico de las Administraciones públicas y del procedimiento administrativo común, mientras no se cuente con la versión oficial y preceptiva en castellano no puede comenzar el cómputo del plazo previsto en el art. 75 </w:t>
      </w:r>
      <w:r w:rsidRPr="00B85568">
        <w:rPr>
          <w:i/>
        </w:rPr>
        <w:t>quater</w:t>
      </w:r>
      <w:r>
        <w:t>.2 LOTC.</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La representación procesal del Consejo Insular de Formentera interpone recurso de súplica contra el Auto del Pleno de este Tribunal, de 14 de abril de 2015, por el que se inadmitió a trámite el conflicto en defensa de la autonomía local núm. 432-2015 planteado contra el art. 186.1 de la Ley 4/2014, de 20 de junio, de transportes terrestres y movilidad sostenible de las Illes Balears.</w:t>
      </w:r>
    </w:p>
    <w:p w:rsidR="00B85568" w:rsidRDefault="00B85568" w:rsidP="00B85568">
      <w:pPr>
        <w:pStyle w:val="TextoNormal"/>
      </w:pPr>
    </w:p>
    <w:p w:rsidR="00B85568" w:rsidRDefault="00B85568" w:rsidP="00B85568">
      <w:pPr>
        <w:pStyle w:val="TextoNormal"/>
      </w:pPr>
      <w:r>
        <w:t xml:space="preserve">La decisión de inadmisión se fundó en que el conflicto se había promovido fuera del plazo procesal establecido en el art. 75 </w:t>
      </w:r>
      <w:r w:rsidRPr="00B85568">
        <w:rPr>
          <w:i/>
        </w:rPr>
        <w:t>quater</w:t>
      </w:r>
      <w:r>
        <w:t xml:space="preserve">.2 de la Ley Orgánica del Tribunal Constitucional (LOTC), que dispone que “dentro del mes siguiente a la recepción del dictamen del Consejo de Estado o del órgano consultivo de la correspondiente Comunidad Autónoma, los municipios o provincias legitimados podrán plantear el conflicto ante el Tribunal Constitucional, acreditando el cumplimiento de los requisitos exigidos en el artículo anterior y alegándose los fundamentos jurídicos en que se apoya”. De acuerdo con el referido precepto, la recepción del dictamen opera como término inicial del plazo preclusivo de un mes para interponer el correspondiente conflicto. Atendiendo a que, conforme a la doctrina constitucional, de la declaración de cooficialidad se sigue, por imperativo constitucional y sin necesidad de intermediación normativa alguna, su condición de lengua oficial para todos los poderes públicos, entre los que, en este caso, se encuentran tanto el Consejo Consultivo autonómico como el Consejo Insular de Formentera, el dictamen emitido por el Consejo Consultivo de Baleares en catalán y recibido por el Consejo Insular de Formentera el día 1 de diciembre era perfectamente válido y susceptible de producir los efectos que determina el art. 75 </w:t>
      </w:r>
      <w:r w:rsidRPr="00B85568">
        <w:rPr>
          <w:i/>
        </w:rPr>
        <w:t>quater</w:t>
      </w:r>
      <w:r>
        <w:t xml:space="preserve"> LOTC, esto es, la apertura del plazo de un mes para la interposición del conflicto en defensa de la autonomía local. Teniendo en cuenta que el conflicto se formuló el 23 de enero de 2015, se inadmitió el conflicto por extemporáneo.</w:t>
      </w:r>
    </w:p>
    <w:p w:rsidR="00B85568" w:rsidRDefault="00B85568" w:rsidP="00B85568">
      <w:pPr>
        <w:pStyle w:val="TextoNormal"/>
      </w:pPr>
    </w:p>
    <w:p w:rsidR="00B85568" w:rsidRDefault="00B85568" w:rsidP="00B85568">
      <w:pPr>
        <w:pStyle w:val="TextoNormal"/>
      </w:pPr>
      <w:r w:rsidRPr="00B85568">
        <w:rPr>
          <w:rStyle w:val="NumeroAFNegritaCaracter"/>
        </w:rPr>
        <w:t>2</w:t>
      </w:r>
      <w:r>
        <w:t xml:space="preserve">. La representación procesal del Consejo Insular de Formentera manifiesta su disconformidad con tal decisión en cuanto sostiene, en los términos en los que se ha recogido en los antecedentes, que de la interpretación del art. 23.2 de la Ley 5/2010, de 16 de junio, reguladora del Consejo Consultivo de las Illes Balears se infiere que los dictámenes han de ser emitidos, para ser eficaces en las dos lenguas obligatoriamente, y que el cómputo del plazo previsto en el art. 75 </w:t>
      </w:r>
      <w:r w:rsidRPr="00B85568">
        <w:rPr>
          <w:i/>
        </w:rPr>
        <w:t>quater</w:t>
      </w:r>
      <w:r>
        <w:t>.2 LOTC no comienza hasta que se emite la versión oficial y preceptiva en castellano, conforme, dispone el art. 36.3 de la Ley 30/1992, de 26 de noviembre, de régimen jurídico de las Administraciones públicas y del procedimiento administrativo común, por lo que el conflicto habría sido planteado en plazo. A ello añade que, a su juicio, no es una interpretación pacífica que no sea necesario aportar el informe preceptivo conjuntamente con el escrito de interposición del conflicto en defensa de la autonomía local.</w:t>
      </w:r>
    </w:p>
    <w:p w:rsidR="00B85568" w:rsidRDefault="00B85568" w:rsidP="00B85568">
      <w:pPr>
        <w:pStyle w:val="TextoNormal"/>
      </w:pPr>
    </w:p>
    <w:p w:rsidR="00B85568" w:rsidRDefault="00B85568" w:rsidP="00B85568">
      <w:pPr>
        <w:pStyle w:val="TextoNormal"/>
      </w:pPr>
      <w:r>
        <w:t>El examen de los argumentos que se contienen en el recurso de súplica conduce a su desestimación, por cuanto vienen, sustancialmente, a reproducir los alegatos ya expuestos en el escrito de planteamiento del conflicto, sin desvirtuar en ningún momento las razones por las que en el mencionado Auto de 14 de abril de 2015 se acordó la inadmisión del conflicto en defensa de la autonomía local.</w:t>
      </w:r>
    </w:p>
    <w:p w:rsidR="00B85568" w:rsidRDefault="00B85568" w:rsidP="00B85568">
      <w:pPr>
        <w:pStyle w:val="TextoNormal"/>
      </w:pPr>
    </w:p>
    <w:p w:rsidR="00B85568" w:rsidRDefault="00B85568" w:rsidP="00B85568">
      <w:pPr>
        <w:pStyle w:val="TextoNormal"/>
      </w:pPr>
      <w:r w:rsidRPr="00B85568">
        <w:rPr>
          <w:rStyle w:val="NumeroAFNegritaCaracter"/>
        </w:rPr>
        <w:t>3</w:t>
      </w:r>
      <w:r>
        <w:t>. El recurso se fundamenta, en primer lugar, en la interpretación dada por el recurrente al art. 23.2 de la Ley 5/2010, de 16 de junio, reguladora del Consejo Consultivo de las Illes Balears, que establece que “al día siguiente de haberlos recibido el órgano solicitante, los dictámenes y votos particulares serán de público conocimiento, con su texto íntegro en lengua catalana y en lengua castellana y, al menos, por vía telemática”. Dicha previsión contiene un mandato dirigido al Consejo Consultivo sobre la forma de publicación de sus dictámenes, no sobre los efectos que los mismos tienen para los órganos solicitantes.</w:t>
      </w:r>
    </w:p>
    <w:p w:rsidR="00B85568" w:rsidRDefault="00B85568" w:rsidP="00B85568">
      <w:pPr>
        <w:pStyle w:val="TextoNormal"/>
      </w:pPr>
    </w:p>
    <w:p w:rsidR="00B85568" w:rsidRDefault="00B85568" w:rsidP="00B85568">
      <w:pPr>
        <w:pStyle w:val="TextoNormal"/>
      </w:pPr>
      <w:r>
        <w:t xml:space="preserve">En relación con dicha cuestión ha de tenerse en cuenta que el art. 4 del Estatuto de Autonomía establece la cooficialidad de catalán y castellano en las Illes Balears. En el mismo sentido, el art. 6 de la Ley del Parlamento de las Illes Balears 3/1986, de 19 de abril, de normalización lingüística, dispone que “la lengua catalana, propia de las Illes Balears, tiene, junto con la castellana, el carácter de idioma oficial y, por tanto, ambas son las lenguas del Gobierno de las Illes Balears, del Parlamento, de los consejos insulares y de las corporaciones locales, y en general de las administraciones públicas del ámbito territorial de la comunidad autónoma de las Illes Balears y de las entidades del sector público de ellas dependientes.” Por lo demás, es doctrina consolidada del Tribunal (SSTC 134/1997, de 17 de julio, FJ 2; y 253/2005, de 11 de octubre, FJ 10) que de la declaración de cooficialidad se sigue, por imperativo constitucional y sin necesidad de intermediación normativa alguna, la condición de lengua oficial del catalán para todos los poderes públicos, entre los que, en este caso, se encuentran tanto el Consejo Consultivo autonómico como el Consejo Insular de Formentera. Por tanto, el dictamen emitido por el Consejo Consultivo de Baleares en catalán y recibido por el Consejo Insular de Formentera el día 1 de diciembre era perfectamente válido y susceptible de producir los efectos que determina el art. 75 </w:t>
      </w:r>
      <w:r w:rsidRPr="00B85568">
        <w:rPr>
          <w:i/>
        </w:rPr>
        <w:t>quater</w:t>
      </w:r>
      <w:r>
        <w:t xml:space="preserve"> LOTC, esto es, la apertura del plazo de un mes para la interposición del conflicto en defensa de la autonomía local.</w:t>
      </w:r>
    </w:p>
    <w:p w:rsidR="00B85568" w:rsidRDefault="00B85568" w:rsidP="00B85568">
      <w:pPr>
        <w:pStyle w:val="TextoNormal"/>
      </w:pPr>
    </w:p>
    <w:p w:rsidR="00B85568" w:rsidRDefault="00B85568" w:rsidP="00B85568">
      <w:pPr>
        <w:pStyle w:val="TextoNormal"/>
      </w:pPr>
      <w:r>
        <w:t>A mayor abundamiento, ha de tenerse en cuenta que la dicción del art. 23.2 de la Ley 5/2010, se refiere a la publicación de los dictámenes en ambas lenguas cooficiales, lo que no ha de confundirse con la remisión del dictamen al órgano solicitante, remisión que, según lo que establece el propio precepto, es anterior a la publicación y que, conforme lo anteriormente expuesto es válida en cualquiera de las lenguas cooficiales.</w:t>
      </w:r>
    </w:p>
    <w:p w:rsidR="00B85568" w:rsidRDefault="00B85568" w:rsidP="00B85568">
      <w:pPr>
        <w:pStyle w:val="TextoNormal"/>
      </w:pPr>
    </w:p>
    <w:p w:rsidR="00B85568" w:rsidRDefault="00B85568" w:rsidP="00B85568">
      <w:pPr>
        <w:pStyle w:val="TextoNormal"/>
      </w:pPr>
      <w:r>
        <w:t xml:space="preserve">En segundo lugar, como ya hemos manifestado en otras ocasiones, este Tribunal, a la hora de admitir o inadmitir los recursos constitucionales que se interpongan ante el mismo, debe regirse únicamente por su propia Ley Orgánica (SSTC 192/2000, de 13 de julio, FJ 3; y 148/2012, de 5 de julio, FJ 2 a). Partiendo de dicha premisa, en relación con el conflicto en defensa de la autonomía local, hemos de reiterar que ningún precepto de la Ley Orgánica del Tribunal Constitucional demanda que, junto con el escrito de promoción del conflicto, se aporte el dictamen del órgano consultivo. El art. 75 </w:t>
      </w:r>
      <w:r w:rsidRPr="00B85568">
        <w:rPr>
          <w:i/>
        </w:rPr>
        <w:t>quater</w:t>
      </w:r>
      <w:r>
        <w:t xml:space="preserve">.2 LOTC se limita a exigir que se acredite tanto que se ha cumplido el requisito de la solicitud de dictamen como que el conflicto se interpone en el mes siguiente al de la recepción del dictamen. Esto es, lo que ha de acreditarse, en rigor, no es el dictamen en sí, sino la fecha en la que el dictamen ha sido válidamente recibido por quien promueve el conflicto. La aportación del dictamen en nada afecta a la admisibilidad del conflicto, pues no viene exigida por la Ley Orgánica del Tribunal Constitucional que únicamente reclama, implícitamente, que se acredite la fecha de recepción, en la medida en que es el </w:t>
      </w:r>
      <w:r w:rsidRPr="00B85568">
        <w:rPr>
          <w:i/>
        </w:rPr>
        <w:t>dies a quo</w:t>
      </w:r>
      <w:r>
        <w:t xml:space="preserve"> para la interposición del conflicto (ATC 70/2015, FJ 4).</w:t>
      </w:r>
    </w:p>
    <w:p w:rsidR="00B85568" w:rsidRDefault="00B85568" w:rsidP="00B85568">
      <w:pPr>
        <w:pStyle w:val="TextoNormal"/>
      </w:pPr>
    </w:p>
    <w:p w:rsidR="00B85568" w:rsidRDefault="00B85568" w:rsidP="00B85568">
      <w:pPr>
        <w:pStyle w:val="TextoNormal"/>
      </w:pPr>
      <w:r>
        <w:t xml:space="preserve">En definitiva, y a pesar de lo manifestado por la representación procesal del Consejo Insular de Formentera, no cabe otra interpretación del tenor literal del art. 75 </w:t>
      </w:r>
      <w:r w:rsidRPr="00B85568">
        <w:rPr>
          <w:i/>
        </w:rPr>
        <w:t>quater</w:t>
      </w:r>
      <w:r>
        <w:t xml:space="preserve"> 2 LOTC que la expuesta, sin que pueda forzarse la interpretación del referido precepto para exigir otro requisito para la interposición del conflicto en defensa de la autonomía local que no esté previsto en la LOTC.</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interpuesto por el Consejo Insular de Formentera contra el Auto del Pleno de este Tribunal de 14 de abril de 2015 por el que se inadmite a trámite el conflicto en defensa de la autonomía local núm. 432-2015.</w:t>
      </w:r>
    </w:p>
    <w:p w:rsidR="00B85568" w:rsidRDefault="00B85568" w:rsidP="00B85568">
      <w:pPr>
        <w:pStyle w:val="TextoNormal"/>
      </w:pPr>
    </w:p>
    <w:p w:rsidR="00B85568" w:rsidRDefault="00B85568" w:rsidP="00B85568">
      <w:pPr>
        <w:pStyle w:val="TextoNormal"/>
      </w:pPr>
      <w:r>
        <w:t>Madrid, a nueve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53" w:name="AUTO_2015_103"/>
      <w:r>
        <w:t>AUTO 103/2015, de 9 de junio de 2015</w:t>
      </w:r>
    </w:p>
    <w:bookmarkEnd w:id="253"/>
    <w:p w:rsidR="00B85568" w:rsidRDefault="00B85568" w:rsidP="00B85568">
      <w:pPr>
        <w:pStyle w:val="TtuloResolucin"/>
      </w:pPr>
      <w:r>
        <w:t>Pleno</w:t>
      </w:r>
    </w:p>
    <w:p w:rsidR="00B85568" w:rsidRDefault="00B85568" w:rsidP="00B85568">
      <w:pPr>
        <w:pStyle w:val="TextoNormalCentrado"/>
      </w:pPr>
      <w:r>
        <w:t>ECLI:ES:TC:2015:103A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907-2015, planteada por el Juzgado de lo Contencioso-Administrativo núm. 7 de Murcia en relación con el artículo 12 de la Ley de la Asamblea Regional de Murcia 5/2012, de 29 de junio, de ajuste presupuestario y de medidas en materia de función pública.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Con fecha 17 de febrero de 2015 tuvo entrada en el Registro General de este Tribunal oficio del Juzgado de lo Contencioso-Administrativo núm. 7 de Murcia remitiendo, junto con el testimonio de las actuaciones (procedimiento abreviado núm. 350-2013), Auto dictado el 9 de febrero de 2015, por el que se acuerda plantear cuestión de inconstitucionalidad en relación con el art. 12 de la Ley de la Asamblea Regional de Murcia 5/2012, de 29 de junio, de ajuste presupuestario y de medidas en materia de función pública, por posible vulneración del art. 149.1.18 CE, en relación con lo dispuesto en el art. 26.2 de la Ley 55/2003, de 16 de diciembre, por la que se aprueba el estatuto marco del personal estatutario de los servicios de salud.</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relevantes para la presente cuestión de inconstitucionalidad son, en síntesis, los siguientes:</w:t>
      </w:r>
    </w:p>
    <w:p w:rsidR="00B85568" w:rsidRDefault="00B85568" w:rsidP="00B85568">
      <w:pPr>
        <w:pStyle w:val="TextoNormal"/>
      </w:pPr>
    </w:p>
    <w:p w:rsidR="00B85568" w:rsidRDefault="00B85568" w:rsidP="00B85568">
      <w:pPr>
        <w:pStyle w:val="TextoNormal"/>
      </w:pPr>
      <w:r>
        <w:t>a) Por la representación procesal de don J.L.P., que ostentaba la condición de personal estatutario sanitario fijo del Servicio Murciano de Salud, se interpuso recurso contencioso-administrativo contra la orden de la Consejera de Sanidad y Política Social de Murcia de 12 de agosto de 2013, que desestima el recurso de alzada interpuesto contra la resolución de 26 de abril de 2013 del Director Gerente del Servicio Murciano de Salud por la que se acuerda denegar la solicitud de prórroga de permanencia del demandante en el servicio activo y, en consecuencia, procede a declarar su jubilación forzosa por cumplimiento de la edad de 65 años.</w:t>
      </w:r>
    </w:p>
    <w:p w:rsidR="00B85568" w:rsidRDefault="00B85568" w:rsidP="00B85568">
      <w:pPr>
        <w:pStyle w:val="TextoNormal"/>
      </w:pPr>
    </w:p>
    <w:p w:rsidR="00B85568" w:rsidRDefault="00B85568" w:rsidP="00B85568">
      <w:pPr>
        <w:pStyle w:val="TextoNormal"/>
      </w:pPr>
      <w:r>
        <w:t>b) Correspondió conocer del recurso al Juzgado de lo Contencioso-Administrativo núm. 7 de Murcia, que acordó tramitarlo como procedimiento abreviado (núm. 350-2013). Conclusas las actuaciones y declarado el proceso visto para sentencia, el órgano judicial dictó providencia de fecha 5 de enero de 2015 otorgando a las partes y al Ministerio Fiscal un plazo de diez días (art. 35.2 de la Ley Orgánica del Tribunal Constitucional: LOTC) para alegar lo que estimasen oportuno acerca de la pertinencia de plantear cuestión de inconstitucionalidad sobre el art. 12 de la Ley de Murcia 5/2012, al estimarlo contrario al art. 149.1.18 CE en relación con lo dispuesto en el art. 26.2 de la Ley 55/2003, de 16 de diciembre, por la que se aprueba el estatuto marco del personal estatutario de los servicios de salud (inconstitucionalidad mediata o indirecta), en la medida en que:</w:t>
      </w:r>
    </w:p>
    <w:p w:rsidR="00B85568" w:rsidRDefault="00B85568" w:rsidP="00B85568">
      <w:pPr>
        <w:pStyle w:val="TextoNormal"/>
      </w:pPr>
    </w:p>
    <w:p w:rsidR="00B85568" w:rsidRDefault="00B85568" w:rsidP="00B85568">
      <w:pPr>
        <w:pStyle w:val="TextoNormal"/>
      </w:pPr>
      <w:r>
        <w:t>i) El art. 149.1.18 CE establece la competencia exclusiva del Estado para establecer las bases del régimen estatutario de los funcionarios públicos, que incluye al personal estatutario de los Servicios de salud.</w:t>
      </w:r>
    </w:p>
    <w:p w:rsidR="00B85568" w:rsidRDefault="00B85568" w:rsidP="00B85568">
      <w:pPr>
        <w:pStyle w:val="TextoNormal"/>
      </w:pPr>
    </w:p>
    <w:p w:rsidR="00B85568" w:rsidRDefault="00B85568" w:rsidP="00B85568">
      <w:pPr>
        <w:pStyle w:val="TextoNormal"/>
      </w:pPr>
      <w:r>
        <w:t>ii) El art. 26.2 de la Ley 55/2003, por la que se aprueba el estatuto marco del personal estatutario de los servicios de salud, constituye norma básica a estos efectos, por lo que opera como canon de constitucionalidad de la norma autonómica cuestionada. Esta norma estatal básica, al regular el derecho a la prolongación de servicio del personal estatutario de los servicios de salud más allá de la edad de jubilación (65 años), establece dos únicos condicionamientos para que el Servicio de salud correspondiente autorice la prolongación de la permanencia en el servicio activo: que el interesado conserve la capacidad funcional necesaria para ejercer la profesión o desarrollar las actividades correspondientes a su nombramiento; que esa permanencia se justifique “en función de las necesidades de la organización articuladas en el marco de los planes de ordenación de recursos humanos”.</w:t>
      </w:r>
    </w:p>
    <w:p w:rsidR="00B85568" w:rsidRDefault="00B85568" w:rsidP="00B85568">
      <w:pPr>
        <w:pStyle w:val="TextoNormal"/>
      </w:pPr>
    </w:p>
    <w:p w:rsidR="00B85568" w:rsidRDefault="00B85568" w:rsidP="00B85568">
      <w:pPr>
        <w:pStyle w:val="TextoNormal"/>
      </w:pPr>
      <w:r>
        <w:t>iii) El legislador autonómico, a través de la regulación cuestionada, ha podido incidir en una materia reservada al legislador estatal por el art. 149.1.18 CE, estableciendo una regulación distinta que se aparta de la norma básica del Estado. Supondría una quiebra de dicha regulación, en la medida en que no contempla para el personal estatutario del Servicio Murciano de Salud que la prolongación de la permanencia en el servicio activo de este personal, tras cumplir los 65 años, deba ser autorizada por el Servicio de Salud en función de las necesidades de la organización articuladas “en el marco de los planes de ordenación de recursos humanos”. Resulta especialmente relevante que en el Servicio Murciano de Salud no exista dicho plan, instrumento básico de planificación global de recursos humanos en los servicios de salud, según el art. 13 de la Ley 55/2003, por la que se aprueba el estatuto marco del personal estatutario de dichos servicios.</w:t>
      </w:r>
    </w:p>
    <w:p w:rsidR="00B85568" w:rsidRDefault="00B85568" w:rsidP="00B85568">
      <w:pPr>
        <w:pStyle w:val="TextoNormal"/>
      </w:pPr>
    </w:p>
    <w:p w:rsidR="00B85568" w:rsidRDefault="00B85568" w:rsidP="00B85568">
      <w:pPr>
        <w:pStyle w:val="TextoNormal"/>
      </w:pPr>
      <w:r>
        <w:t xml:space="preserve">c) En el trámite de alegaciones la representación procesal del demandante en el proceso </w:t>
      </w:r>
      <w:r w:rsidRPr="00B85568">
        <w:rPr>
          <w:i/>
        </w:rPr>
        <w:t>a quo</w:t>
      </w:r>
      <w:r>
        <w:t xml:space="preserve"> consideró innecesario el planteamiento de la cuestión, entendiendo que debe aplicarse directamente el art. 26.2 de la Ley 55/2003, conforme al principio de prevalencia de la ley estatal.</w:t>
      </w:r>
    </w:p>
    <w:p w:rsidR="00B85568" w:rsidRDefault="00B85568" w:rsidP="00B85568">
      <w:pPr>
        <w:pStyle w:val="TextoNormal"/>
      </w:pPr>
    </w:p>
    <w:p w:rsidR="00B85568" w:rsidRDefault="00B85568" w:rsidP="00B85568">
      <w:pPr>
        <w:pStyle w:val="TextoNormal"/>
      </w:pPr>
      <w:r>
        <w:t>El Letrado de la Comunidad Autónoma se opuso al planteamiento de la cuestión aduciendo que la norma autonómica es plenamente conforme a la Constitución, por no ser contraria a la legislación básica estatal, sino mero desarrollo de esta.</w:t>
      </w:r>
    </w:p>
    <w:p w:rsidR="00B85568" w:rsidRDefault="00B85568" w:rsidP="00B85568">
      <w:pPr>
        <w:pStyle w:val="TextoNormal"/>
      </w:pPr>
    </w:p>
    <w:p w:rsidR="00B85568" w:rsidRDefault="00B85568" w:rsidP="00B85568">
      <w:pPr>
        <w:pStyle w:val="TextoNormal"/>
      </w:pPr>
      <w:r>
        <w:t>El Ministerio Fiscal, si bien no formula oposición expresa al planteamiento de la cuestión, sí advierte que el Tribunal Constitucional ha inadmitido ya cuestiones de inconstitucionalidad similares, promovidas en relación con la normativa de otra Comunidad Autónoma sobre prolongación de la permanencia en el servicio activo del personal estatutario.</w:t>
      </w:r>
    </w:p>
    <w:p w:rsidR="00B85568" w:rsidRDefault="00B85568" w:rsidP="00B85568">
      <w:pPr>
        <w:pStyle w:val="TextoNormal"/>
      </w:pPr>
    </w:p>
    <w:p w:rsidR="00B85568" w:rsidRDefault="00B85568" w:rsidP="00B85568">
      <w:pPr>
        <w:pStyle w:val="TextoNormal"/>
      </w:pPr>
      <w:r>
        <w:t>d) Por Auto de 9 de febrero de 2015, el Juzgado de lo Contencioso-Administrativo núm. 7 de Murcia acordó promover cuestión de inconstitucionalidad en relación con el art. 12 de la Ley de Murcia 5/2012, por incurrir en posible inconstitucionalidad mediata o indirecta, al vulnerar el art. 149.1.18 CE en relación con lo dispuesto en el art. 26.2 de la Ley 55/2003, por la que se aprueba el estatuto marco del personal estatutario de los servicios de salud, en su aplicación al personal estatutario del Servicio Murciano de Salud.</w:t>
      </w:r>
    </w:p>
    <w:p w:rsidR="00B85568" w:rsidRDefault="00B85568" w:rsidP="00B85568">
      <w:pPr>
        <w:pStyle w:val="TextoNormal"/>
      </w:pPr>
    </w:p>
    <w:p w:rsidR="00B85568" w:rsidRDefault="00B85568" w:rsidP="00B85568">
      <w:pPr>
        <w:pStyle w:val="TextoNormal"/>
      </w:pPr>
      <w:r w:rsidRPr="00B85568">
        <w:rPr>
          <w:rStyle w:val="NumeroAFNegritaCaracter"/>
        </w:rPr>
        <w:t>3</w:t>
      </w:r>
      <w:r>
        <w:t>. El citado Auto fundamenta el planteamiento de la cuestión de inconstitucionalidad en las consideraciones que seguidamente se indican:</w:t>
      </w:r>
    </w:p>
    <w:p w:rsidR="00B85568" w:rsidRDefault="00B85568" w:rsidP="00B85568">
      <w:pPr>
        <w:pStyle w:val="TextoNormal"/>
      </w:pPr>
    </w:p>
    <w:p w:rsidR="00B85568" w:rsidRDefault="00B85568" w:rsidP="00B85568">
      <w:pPr>
        <w:pStyle w:val="TextoNormal"/>
      </w:pPr>
      <w:r>
        <w:t xml:space="preserve">a) Tras exponer los antecedentes de hecho de la cuestión y lo referente al cumplimiento del trámite de audiencia (art. 35.2 LOTC), el órgano judicial explicita en el Auto de planteamiento el juicio de aplicabilidad y relevancia de la norma de cuya constitucionalidad duda. Razona a tal efecto que lo impugnado en el proceso </w:t>
      </w:r>
      <w:r w:rsidRPr="00B85568">
        <w:rPr>
          <w:i/>
        </w:rPr>
        <w:t>a quo</w:t>
      </w:r>
      <w:r>
        <w:t xml:space="preserve"> es la resolución de 26 de abril de 2013 del Director Gerente del Servicio Murciano de Salud, por la que se acuerda denegar la solicitud de prórroga de permanencia del demandante en el servicio activo hasta los 70 años; procediendo en consecuencia a declarar su jubilación forzosa por cumplimiento de la edad de 65 años, en aplicación de lo dispuesto por el art. 12 de la Ley de Murcia 5/2012. Dicha resolución fue confirmada en alzada por la orden de la Consejera de Sanidad y Política Social de 12 de agosto de 2013, asimismo impugnada. Afirma el órgano judicial que “en este caso no existe la más mínima duda de ese juicio de relevancia. La resolución administrativa recurrida tiene fundamento expreso en dicha norma”.</w:t>
      </w:r>
    </w:p>
    <w:p w:rsidR="00B85568" w:rsidRDefault="00B85568" w:rsidP="00B85568">
      <w:pPr>
        <w:pStyle w:val="TextoNormal"/>
      </w:pPr>
    </w:p>
    <w:p w:rsidR="00B85568" w:rsidRDefault="00B85568" w:rsidP="00B85568">
      <w:pPr>
        <w:pStyle w:val="TextoNormal"/>
      </w:pPr>
      <w:r>
        <w:t>b) Pasa a continuación el Juzgado a exponer las razones en que se funda su duda sobre la constitucionalidad del art. 12 de la Ley de Murcia 5/2012. Afirma que la norma autonómica cuestionada puede incurrir en posible inconstitucionalidad mediata por vulnerar el art. 149.1.18 CE, que establece la competencia exclusiva del Estado para establecer las bases del régimen estatutario de los funcionarios públicos (lo que incluye al personal estatutario de los servicios de salud), en relación con lo dispuesto en el art. 26.2 de la Ley 55/2003. Este último precepto legal constituye norma básica a estos efectos, tanto en sentido formal (porque así lo establece la disposición final primera de la Ley 55/2003), como en sentido material pues, al determinar la jubilación la pérdida de la condición de funcionario, forma parte de las bases del régimen estatutario de los funcionarios públicos.</w:t>
      </w:r>
    </w:p>
    <w:p w:rsidR="00B85568" w:rsidRDefault="00B85568" w:rsidP="00B85568">
      <w:pPr>
        <w:pStyle w:val="TextoNormal"/>
      </w:pPr>
    </w:p>
    <w:p w:rsidR="00B85568" w:rsidRDefault="00B85568" w:rsidP="00B85568">
      <w:pPr>
        <w:pStyle w:val="TextoNormal"/>
      </w:pPr>
      <w:r>
        <w:t>Según el órgano judicial el art. 12 de la Ley de Murcia 5/2012 contradice de manera insalvable la normativa básica estatal, en la medida en que no contempla para el personal estatutario del Servicio Murciano de Salud que la prolongación de la permanencia en el servicio activo de este personal, tras cumplir los 65 años, deba ser autorizada por el Servicio de Salud en función de las necesidades de la organización articuladas “en el marco de los planes de ordenación de recursos humanos”, siendo así que en el Servicio Murciano de Salud no existe dicho plan o instrumento equiparable. Ello es determinante, según el Juzgado, porque es justamente el plan de ordenación de recursos humanos lo que permite, como establece la norma básica (art. 26.2 de la Ley 55/2003), fiscalizar los motivos organizativos o asistenciales que justifiquen tanto la concesión como la denegación de la prolongación de la permanencia en el servicio del personal estatutario de los servicios de salud.</w:t>
      </w:r>
    </w:p>
    <w:p w:rsidR="00B85568" w:rsidRDefault="00B85568" w:rsidP="00B85568">
      <w:pPr>
        <w:pStyle w:val="TextoNormal"/>
      </w:pPr>
    </w:p>
    <w:p w:rsidR="00B85568" w:rsidRDefault="00B85568" w:rsidP="00B85568">
      <w:pPr>
        <w:pStyle w:val="TextoNormal"/>
      </w:pPr>
      <w:r>
        <w:t>c) Añade el Juzgado que no desconoce los AATC 85/2013, 125/2013, 127/2013, 128/2013 y 155/2013, que inadmiten por notoriamente infundadas cuestiones de inconstitucionalidad promovidas por el Tribunal Superior de Justicia de Cataluña en relación con la disposición transitoria novena de la Ley del Parlamento de Cataluña 5/2012, respecto a la prolongación de la permanencia en el servicio activo del personal estatutario del Servicio Catalán de Salud. Considera que esa doctrina no es aplicable al presente caso, porque en aquel supuesto el Tribunal Constitucional viene a considerar que la norma catalana cuestionada constituye un desarrollo en su ámbito de la norma básica (art. 26.2 de la Ley 55/2003) conforme con ella; no altera la regla establecida por la base estatal, en la medida en que ha de aplicarse en un marco previamente determinado por el legislador autonómico en la disposición adicional decimotercera de la propia Ley 5/2012, que se refiere expresamente a las causas previstas en el plan de ordenación de recursos humanos del Instituto Catalán de la Salud. Por el contrario en el Servicio Murciano de Salud no existe plan de ordenación de recursos humanos, ni consta que exista otro instrumento de planificación general equiparable.</w:t>
      </w:r>
    </w:p>
    <w:p w:rsidR="00B85568" w:rsidRDefault="00B85568" w:rsidP="00B85568">
      <w:pPr>
        <w:pStyle w:val="TextoNormal"/>
      </w:pPr>
    </w:p>
    <w:p w:rsidR="00B85568" w:rsidRDefault="00B85568" w:rsidP="00B85568">
      <w:pPr>
        <w:pStyle w:val="TextoNormal"/>
      </w:pPr>
      <w:r>
        <w:t>d) Concluye el órgano judicial promotor de la cuestión señalado que, de acuerdo con la doctrina constitucional que cita (SSTC 66/2011, 159/2012, 187/2012 y 173/2013), no puede dejar de aplicar el art. 12 de la Ley de Murcia 5/2012 por razón de su posible contradicción con la Constitución, aplicando la Ley estatal y desplazando el precepto legal autonómico; debe plantear la cuestión de inconstitucionalidad respecto de la Ley autonómica, por entenderla contradictoria con la normativa estatal básica.</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14 de abril de 2015, la Sección Segunda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La Fiscal General del Estado evacuó el trámite conferido mediante escrito registrado en este Tribunal el 8 de mayo de 2015. Considera que la cuestión de inconstitucionalidad es inadmisible por ser notoriamente infundada, alegando en síntesis lo siguiente:</w:t>
      </w:r>
    </w:p>
    <w:p w:rsidR="00B85568" w:rsidRDefault="00B85568" w:rsidP="00B85568">
      <w:pPr>
        <w:pStyle w:val="TextoNormal"/>
      </w:pPr>
    </w:p>
    <w:p w:rsidR="00B85568" w:rsidRDefault="00B85568" w:rsidP="00B85568">
      <w:pPr>
        <w:pStyle w:val="TextoNormal"/>
      </w:pPr>
      <w:r>
        <w:t>La duda de constitucionalidad que se plantea consiste en que la norma autonómica contradice la base estatal, constituida por el art. 26.2 de la Ley 55/2003, por la que se aprueba el estatuto marco del personal estatutario de los servicios de salud. Esto supone que nos hallaríamos ante un supuesto de inconstitucionalidad mediata o indirecta, tal como ya apreciara este Tribunal en el ATC 85/2013 sobre supuesto sustancialmente idéntico al presente. Ciertamente ha de afirmarse el carácter básico de la norma estatal (así lo declaró el citado Auto en su fundamento jurídico 5) con la cual, a juicio del órgano judicial promotor de la cuestión, entraría en contradicción la norma autonómica.</w:t>
      </w:r>
    </w:p>
    <w:p w:rsidR="00B85568" w:rsidRDefault="00B85568" w:rsidP="00B85568">
      <w:pPr>
        <w:pStyle w:val="TextoNormal"/>
      </w:pPr>
    </w:p>
    <w:p w:rsidR="00B85568" w:rsidRDefault="00B85568" w:rsidP="00B85568">
      <w:pPr>
        <w:pStyle w:val="TextoNormal"/>
      </w:pPr>
      <w:r>
        <w:t>Sostiene que tanto la base estatal como el precepto autonómico cuestionado recogen la posibilidad de que al personal estatutario, cumpliendo una serie de requisitos, le sea autorizada por el Servicio de salud correspondiente la prolongación de permanencia en el servicio activo, en función de “las necesidades de organización articuladas en el marco de los planes de ordenación de recursos humanos” (art. 26.2 de la Ley 55/2003); o, como dice el art. 12 de la Ley de Murcia 5/2012, “por causas derivadas de la planificación y racionalización de los recursos humanos”. Tanto la denegación como la autorización de prolongación en el servicio activo habrán de acordarse mediante una resolución administrativa motivada, en atención a la planificación y racionalización de los recursos humanos de la Administración sanitaria; en este caso del Servicio Murciano de Salud. La finalidad de la prolongación en el servicio activo responde así a necesidades de personal derivadas de la organización y adecuada prestación del Servicio público de salud. De todo ello concluye que el sistema de prolongación en el servicio activo del personal estatutario de los servicios de salud es regulado de manera semejante, si no igual, tanto por la norma legal estatal como por la autonómica cuestionada.</w:t>
      </w:r>
    </w:p>
    <w:p w:rsidR="00B85568" w:rsidRDefault="00B85568" w:rsidP="00B85568">
      <w:pPr>
        <w:pStyle w:val="TextoNormal"/>
      </w:pPr>
    </w:p>
    <w:p w:rsidR="00B85568" w:rsidRDefault="00B85568" w:rsidP="00B85568">
      <w:pPr>
        <w:pStyle w:val="TextoNormal"/>
      </w:pPr>
      <w:r>
        <w:t xml:space="preserve">El hecho de que en el Servicio Murciano de Salud no exista plan de ordenación de recursos humanos no puede suponer, a juicio de la Fiscal General del Estado, que la presente cuestión deba merecer respuesta distinta a la que ya se dio por este Tribunal (en el citado ATC 85/2013 y pronunciamientos ulteriores en el mismo sentido) a cuestiones planteadas en relación con la normativa autonómica catalana sobre prolongación de permanencia en el servicio activo del personal estatutario. La norma autonómica cuestionada establece que las decisiones sobre la prolongación en el servicio activo se tomarán atendiendo a razones “derivadas de la planificación y racionalización de los recursos humanos”, criterios estos a los que responden los planes de ordenación de recursos humanos relativos a las necesidades de personal de los organismos públicos. La referida previsión de art. 12 de la Ley de Murcia 5/2012 coincide pues con la función y finalidad a la que responden los planes de recursos humanos a los que se refiere el art. 26.2 de la Ley 55/2003, por lo que la norma autonómica no entra en contradicción con la normativa básica. La ausencia formal de dicho plan en el Servicio Murciano de Salud, podría servir al órgano judicial, en todo caso, para pronunciarse sobre la solución legal a dar a la cuestión controvertida, como lo han hecho otros órganos judiciales de la Región de Murcia en resoluciones aportadas por el demandante en el proceso </w:t>
      </w:r>
      <w:r w:rsidRPr="00B85568">
        <w:rPr>
          <w:i/>
        </w:rPr>
        <w:t>a quo</w:t>
      </w:r>
      <w:r>
        <w:t>, pero no para plantear una cuestión de inconstitucionalidad como la suscitada en el presente caso, concluye la Fiscal General del Estado.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Contencioso-Administrativo núm. 7 de Murcia plantea cuestión de inconstitucionalidad en relación con el art. 12 de la Ley de la Asamblea Regional de Murcia 5/2012, de 29 de junio, de ajuste presupuestario y de medidas en materia de función pública; entiende que este precepto incurre en inconstitucionalidad mediata o indirecta, al vulnerar el art. 149.1.18 CE por contradecir lo dispuesto con carácter básico en el art. 26.2 de la Ley 55/2003, de 16 de diciembre, por la que se aprueba el estatuto marco del personal estatutario de los servicios de salud, en su aplicación al personal estatutario del Servicio Murciano de Salud.</w:t>
      </w:r>
    </w:p>
    <w:p w:rsidR="00B85568" w:rsidRDefault="00B85568" w:rsidP="00B85568">
      <w:pPr>
        <w:pStyle w:val="TextoNormal"/>
      </w:pPr>
    </w:p>
    <w:p w:rsidR="00B85568" w:rsidRDefault="00B85568" w:rsidP="00B85568">
      <w:pPr>
        <w:pStyle w:val="TextoNormal"/>
      </w:pPr>
      <w:r>
        <w:t>La cuestión ha de entenderse referida al apartado 1 del art. 12 de la Ley de Murcia 5/2012, referido a personal estatutario del Servicio Murciano de Salud (pues el apartado 2, que se refiere al personal docente, no resulta de aplicación al presente caso). El aludido apartado establece lo siguiente:</w:t>
      </w:r>
    </w:p>
    <w:p w:rsidR="00B85568" w:rsidRDefault="00B85568" w:rsidP="00B85568">
      <w:pPr>
        <w:pStyle w:val="TextoNormal"/>
      </w:pPr>
    </w:p>
    <w:p w:rsidR="00B85568" w:rsidRDefault="00B85568" w:rsidP="00B85568">
      <w:pPr>
        <w:pStyle w:val="TextoNormal"/>
      </w:pPr>
      <w:r>
        <w:t>“Artículo 12. Prolongación de la permanencia en el servicio activo.</w:t>
      </w:r>
    </w:p>
    <w:p w:rsidR="00B85568" w:rsidRDefault="00B85568" w:rsidP="00B85568">
      <w:pPr>
        <w:pStyle w:val="TextoNormal"/>
      </w:pPr>
    </w:p>
    <w:p w:rsidR="00B85568" w:rsidRDefault="00B85568" w:rsidP="00B85568">
      <w:pPr>
        <w:pStyle w:val="TextoNormal"/>
      </w:pPr>
      <w:r>
        <w:t>1. Como medida coyuntural y por razones de contención del gasto público, durante los dos años siguientes a la entrada en vigor de esta ley, no se concederán nuevas prolongaciones de permanencia en el servicio activo a los funcionarios de la Administración regional y al personal estatutario del Servicio Murciano de Salud y finalizarán las prolongaciones ya autorizadas en el plazo máximo de 9 meses, salvo que sea necesario causar derecho a la pensión de jubilación o en los casos en que, excepcionalmente, mediante acuerdo del Consejo de Gobierno, a propuesta del Consejero de Economía y Hacienda, se determine por causas derivadas de la planificación y racionalización de los recursos humanos o en aquellos supuestos en que la adecuada prestación del servicio público haga imprescindible la permanencia en el servicio activo y así se acredite.”</w:t>
      </w:r>
    </w:p>
    <w:p w:rsidR="00B85568" w:rsidRDefault="00B85568" w:rsidP="00B85568">
      <w:pPr>
        <w:pStyle w:val="TextoNormal"/>
      </w:pPr>
    </w:p>
    <w:p w:rsidR="00B85568" w:rsidRDefault="00B85568" w:rsidP="00B85568">
      <w:pPr>
        <w:pStyle w:val="TextoNormal"/>
      </w:pPr>
      <w:r>
        <w:t>Por su parte, el precepto legal estatal básico, que el órgano judicial entiende infringido, es el art. 26.2 de la Ley 55/2003, que dispone lo siguiente:</w:t>
      </w:r>
    </w:p>
    <w:p w:rsidR="00B85568" w:rsidRDefault="00B85568" w:rsidP="00B85568">
      <w:pPr>
        <w:pStyle w:val="TextoNormal"/>
      </w:pPr>
    </w:p>
    <w:p w:rsidR="00B85568" w:rsidRDefault="00B85568" w:rsidP="00B85568">
      <w:pPr>
        <w:pStyle w:val="TextoNormal"/>
      </w:pPr>
      <w:r>
        <w:t>“Artículo 26. Jubilación.</w:t>
      </w:r>
    </w:p>
    <w:p w:rsidR="00B85568" w:rsidRDefault="00B85568" w:rsidP="00B85568">
      <w:pPr>
        <w:pStyle w:val="TextoNormal"/>
      </w:pPr>
    </w:p>
    <w:p w:rsidR="00B85568" w:rsidRDefault="00B85568" w:rsidP="00B85568">
      <w:pPr>
        <w:pStyle w:val="TextoNormal"/>
      </w:pPr>
      <w:r>
        <w:t>…</w:t>
      </w:r>
    </w:p>
    <w:p w:rsidR="00B85568" w:rsidRDefault="00B85568" w:rsidP="00B85568">
      <w:pPr>
        <w:pStyle w:val="TextoNormal"/>
      </w:pPr>
    </w:p>
    <w:p w:rsidR="00B85568" w:rsidRDefault="00B85568" w:rsidP="00B85568">
      <w:pPr>
        <w:pStyle w:val="TextoNormal"/>
      </w:pPr>
      <w:r>
        <w:t>2. 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00B85568" w:rsidRDefault="00B85568" w:rsidP="00B85568">
      <w:pPr>
        <w:pStyle w:val="TextoNormal"/>
      </w:pPr>
    </w:p>
    <w:p w:rsidR="00B85568" w:rsidRDefault="00B85568" w:rsidP="00B85568">
      <w:pPr>
        <w:pStyle w:val="TextoNormal"/>
      </w:pPr>
      <w:r>
        <w:t>El órgano judicial promotor de la cuestión estima, como se ha expuesto, que el art. 12.1 de la Ley de Murcia 5/2012 no respeta la normativa básica dictada por el Estado al amparo del título competencial del art. 149.1.18 CE; en este caso, el transcrito art. 26.2 de la Ley 55/2003. Tal vulneración se produciría porque el precepto autonómico cuestionado omite la exigencia de la norma básica estatal de que las resoluciones acerca de la prolongación de la permanencia en el servicio activo del personal de los servicios de salud se adopten en función de las necesidades de la organización articuladas en el marco previamente definido de los planes de ordenación de recursos humanos; siendo así que en el Servicio Murciano de Salud no existe tal plan o instrumento equiparable. Esta carencia resulta determinante, según el Juzgado, porque es justamente el plan de ordenación de recursos humanos lo que permite, como establece la norma básica estatal, fiscalizar los motivos organizativos o asistenciales que justifiquen tanto la concesión como la denegación de la prolongación de la permanencia en el servicio activo del personal estatutario de los servicios de salud.</w:t>
      </w:r>
    </w:p>
    <w:p w:rsidR="00B85568" w:rsidRDefault="00B85568" w:rsidP="00B85568">
      <w:pPr>
        <w:pStyle w:val="TextoNormal"/>
      </w:pPr>
    </w:p>
    <w:p w:rsidR="00B85568" w:rsidRDefault="00B85568" w:rsidP="00B85568">
      <w:pPr>
        <w:pStyle w:val="TextoNormal"/>
      </w:pPr>
      <w:r>
        <w:t>La Fiscal General del Estado, según se ha hecho constar en los antecedentes de esta resolución, se ha opuesto a la admisión de la cuestión de inconstitucionalidad, por considerarla notoriamente infundada (art. 37.1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2</w:t>
      </w:r>
      <w:r>
        <w:t>. De acuerdo con el art. 37.1 LOTC este Tribunal puede rechazar en trámite de admisión y mediante Auto, sin otra audiencia que la del Fiscal General del Estado, la cuestión de inconstitucionalidad cuando faltaren las condiciones procesales o fuere notoriamente infundada. Tal acontece en el presente caso, toda vez que la cuestión planteada resulta notoriamente infundada en el significado que a esta noción le viene dando la doctrina de este Tribunal (por todos, AATC 71/2008, de 26 de febrero, FJ 2; y 32/2009, de 27 de enero, FJ 3; 177/2014, de 24 de junio, FJ 5; y 301/2014, de 16 de diciembre, FJ 2), en atención a las razones que seguidamente pasamos a exponer.</w:t>
      </w:r>
    </w:p>
    <w:p w:rsidR="00B85568" w:rsidRDefault="00B85568" w:rsidP="00B85568">
      <w:pPr>
        <w:pStyle w:val="TextoNormal"/>
      </w:pPr>
    </w:p>
    <w:p w:rsidR="00B85568" w:rsidRDefault="00B85568" w:rsidP="00B85568">
      <w:pPr>
        <w:pStyle w:val="TextoNormal"/>
      </w:pPr>
      <w:r>
        <w:t xml:space="preserve">La duda planteada por el órgano judicial tiene, como en los casos examinados en los AATC 85/2013, de 23 de abril, 125/2013, 127/2013 y 128/2013, de 21 de mayo todos ellos y 155/2013, de 9 de julio, carácter netamente competencial; lo que se sostiene es que el precepto autonómico cuestionado, el art. 12.1 de la Ley de Murcia 5/2012, contradice lo dispuesto en la normativa básica estatal </w:t>
      </w:r>
      <w:r w:rsidRPr="00B85568">
        <w:rPr>
          <w:i/>
        </w:rPr>
        <w:t>ex</w:t>
      </w:r>
      <w:r>
        <w:t xml:space="preserve"> art. 149.1.18 CE, en este caso el art. 26.2 de la Ley 55/2003, que operaría como canon de constitucionalidad. La ley autonómica cuestionada no habría respetado la exigencia contenida en el citado art. 26.2 de la Ley 55/2003 que, como presupuesto legal, exigiría que la denegación o autorización de la prolongación de la permanencia en el servicio activo del personal estatutario de los Servicios de salud se resuelva “en función de las necesidades de la organización articuladas en el marco de los planes de ordenación de recursos humanos”.</w:t>
      </w:r>
    </w:p>
    <w:p w:rsidR="00B85568" w:rsidRDefault="00B85568" w:rsidP="00B85568">
      <w:pPr>
        <w:pStyle w:val="TextoNormal"/>
      </w:pPr>
    </w:p>
    <w:p w:rsidR="00B85568" w:rsidRDefault="00B85568" w:rsidP="00B85568">
      <w:pPr>
        <w:pStyle w:val="TextoNormal"/>
      </w:pPr>
      <w:r>
        <w:t>Se trata de un supuesto de inconstitucionalidad de carácter mediato o indirecto (por todas, STC 246/2012, de 20 de diciembre, FJ 8, y las allí citadas, así como ATC 85/2013, FJ 5); la norma autonómica sería contraria al orden de distribución de competencias precisamente por infringir la normativa estatal básica. Para que dicha vulneración exista será necesaria, como hemos declarado en la citada doctrina, la concurrencia de dos circunstancias: que la norma estatal que se afirma infringida por la Ley autonómica sea, en el doble sentido material y formal, una norma básica; dictada, por tanto, legítimamente al amparo del correspondiente título competencial que la Constitución haya reservado al Estado. En segundo lugar, que esa contradicción entre ambas normas, estatal y autonómica, sea efectiva e insalvable por vía interpretativa.</w:t>
      </w:r>
    </w:p>
    <w:p w:rsidR="00B85568" w:rsidRDefault="00B85568" w:rsidP="00B85568">
      <w:pPr>
        <w:pStyle w:val="TextoNormal"/>
      </w:pPr>
    </w:p>
    <w:p w:rsidR="00B85568" w:rsidRDefault="00B85568" w:rsidP="00B85568">
      <w:pPr>
        <w:pStyle w:val="TextoNormal"/>
      </w:pPr>
      <w:r w:rsidRPr="00B85568">
        <w:rPr>
          <w:rStyle w:val="NumeroAFNegritaCaracter"/>
        </w:rPr>
        <w:t>3</w:t>
      </w:r>
      <w:r>
        <w:t>. Para dar adecuada respuesta a la cuestión planteada hemos de partir de la doctrina sentada en el citado ATC 85/2013, FFJJ 5 a 7, reiterada en los posteriores AATC 125/2013, 127/2013, 128/2013, y 155/2013, que inadmiten por notoriamente infundadas cuestiones de inconstitucionalidad promovidas por el Tribunal Superior de Justicia de Cataluña en relación con la norma catalana reguladora de la prolongación de la permanencia en el servicio activo del personal estatutario del Servicio Catalán de Salud; en términos muy semejantes a la regulación murciana que en el presente caso se enjuicia, como acertadamente advierte en sus alegaciones la Fiscal General del Estado.</w:t>
      </w:r>
    </w:p>
    <w:p w:rsidR="00B85568" w:rsidRDefault="00B85568" w:rsidP="00B85568">
      <w:pPr>
        <w:pStyle w:val="TextoNormal"/>
      </w:pPr>
    </w:p>
    <w:p w:rsidR="00B85568" w:rsidRDefault="00B85568" w:rsidP="00B85568">
      <w:pPr>
        <w:pStyle w:val="TextoNormal"/>
      </w:pPr>
      <w:r>
        <w:t>En dichos AATC se parte del carácter funcionarial del personal estatutario de los servicios de salud, lo que determina el encuadramiento competencial de las cuestiones relativas a su jubilación en el ámbito material del “estatuto de los funcionarios públicos”, en cuanto que la jubilación es una de las causas de pérdida de la condición de personal estatutario [art. 21 e) de la Ley 55/2003]. A tenor de lo dispuesto en el art. 149.1.18 CE, el Estado tiene atribuida la competencia exclusiva para el establecimiento de las bases del régimen estatutario de los funcionarios públicos y, por tanto, también de los aspectos relativos a su jubilación. El art. 26.2 de la Ley 55/2003 es así formal y materialmente básico, deduciéndose del mismo una regla general que categóricamente establece la jubilación forzosa del personal estatutario al cumplir los 65 años de edad, momento en que “se declarará la jubilación forzosa” (art. 26.2, inciso primero); se añade una posibilidad excepcional de prolongar la permanencia en servicio activo (como máximo hasta los 70 años) supeditada a varios condicionantes, tal como resulta del inciso segundo del mismo precepto. Entre ellos, por lo que al presente caso importa, figura la autorización por el Servicio de salud correspondiente en función de las necesidades de la organización articuladas en un plan de ordenación de recursos humanos, erigido así en instrumento definidor de las necesidades de la organización sanitaria. De este modo, como apunta la Fiscal General del Estado, la finalidad de la prolongación de la permanencia en el servicio activo responde a las necesidades de personal derivadas de la organización y de la adecuada prestación del servicio público sanitario a la población.</w:t>
      </w:r>
    </w:p>
    <w:p w:rsidR="00B85568" w:rsidRDefault="00B85568" w:rsidP="00B85568">
      <w:pPr>
        <w:pStyle w:val="TextoNormal"/>
      </w:pPr>
    </w:p>
    <w:p w:rsidR="00B85568" w:rsidRDefault="00B85568" w:rsidP="00B85568">
      <w:pPr>
        <w:pStyle w:val="TextoNormal"/>
      </w:pPr>
      <w:r>
        <w:t>En todo caso, el régimen de prolongación en el servicio activo no opera de forma automática sino que exige una autorización (o denegación) del Servicio de Salud correspondiente motivada “en función de las necesidades de la organización articuladas en el marco de los planes de ordenación de recursos humanos”. Requiere pues la existencia de razones de interés general de carácter organizativo y asistencial que aconsejen seguir contando con determinado personal; tales razones han de explicitarse en la resolución autorizatoria o denegatoria de la solicitud de prórroga en el servicio activo.</w:t>
      </w:r>
    </w:p>
    <w:p w:rsidR="00B85568" w:rsidRDefault="00B85568" w:rsidP="00B85568">
      <w:pPr>
        <w:pStyle w:val="TextoNormal"/>
      </w:pPr>
    </w:p>
    <w:p w:rsidR="00B85568" w:rsidRDefault="00B85568" w:rsidP="00B85568">
      <w:pPr>
        <w:pStyle w:val="TextoNormal"/>
      </w:pPr>
      <w:r>
        <w:t>La base estatal (art. 26.2 de la Ley 55/2003) establece una regla con vocación de aplicación uniforme en todo el territorio nacional; dejando siempre un margen de actuación a las Administraciones competentes para adecuar tal aplicación a las necesidades existentes. Esas necesidades organizativas pueden verse moduladas en un contexto de restricción y racionalización del gasto público.</w:t>
      </w:r>
    </w:p>
    <w:p w:rsidR="00B85568" w:rsidRDefault="00B85568" w:rsidP="00B85568">
      <w:pPr>
        <w:pStyle w:val="TextoNormal"/>
      </w:pPr>
    </w:p>
    <w:p w:rsidR="00B85568" w:rsidRDefault="00B85568" w:rsidP="00B85568">
      <w:pPr>
        <w:pStyle w:val="TextoNormal"/>
      </w:pPr>
      <w:r>
        <w:t>Directa relación con esta previsión básica guarda el cuestionado art. 12.1 de la Ley de Murcia 5/2012, antes trascrito. Este precepto, en el mismo sentido que expresa el art. 26.2 de la Ley 55/2003, requiere de la existencia de razones de interés general de carácter organizativo y asistencial que aconsejen seguir contando con determinado personal. Exige que las autorizaciones sobre prolongación de la permanencia en el servicio activo del personal estatutario del Servicio Murciano de Salud se determinen “por causas derivadas de la planificación y racionalización de los recursos humanos o en aquellos supuestos en que la adecuada prestación del servicio público haga imprescindible la permanencia en el servicio activo y así se acrediten”.</w:t>
      </w:r>
    </w:p>
    <w:p w:rsidR="00B85568" w:rsidRDefault="00B85568" w:rsidP="00B85568">
      <w:pPr>
        <w:pStyle w:val="TextoNormal"/>
      </w:pPr>
    </w:p>
    <w:p w:rsidR="00B85568" w:rsidRDefault="00B85568" w:rsidP="00B85568">
      <w:pPr>
        <w:pStyle w:val="TextoNormal"/>
      </w:pPr>
      <w:r>
        <w:t>Aunque el precepto autonómico cuestionado no se refiera expresamente al “plan de ordenación de recursos humanos”, con esta concreta denominación que emplea el art. 26.2 de la Ley 55/2003, sí se refiere, con el mismo sentido y finalidad, a instrumentos de “planificación y racionalización de los recursos humanos”; no cabe pues apreciar que exista contradicción con la base estatal. El art. 12.1 de la Ley de Murcia 5/2012 no altera la regla establecida por el art. 26.2 de la Ley 55/2003, sino que constituye un desarrollo de la norma básica conforme con la misma. En suma, no es posible apreciar la efectiva contradicción entre la norma estatal y la autonómica de la que, en los términos expuestos en el Auto de planteamiento de la cuestión, se derivaría la pretendida vulneración del orden constitucional de distribución de competencias, lo que priva del necesario fundamento a la cuestión de inconstitucionalidad.</w:t>
      </w:r>
    </w:p>
    <w:p w:rsidR="00B85568" w:rsidRDefault="00B85568" w:rsidP="00B85568">
      <w:pPr>
        <w:pStyle w:val="TextoNormal"/>
      </w:pPr>
    </w:p>
    <w:p w:rsidR="00B85568" w:rsidRDefault="00B85568" w:rsidP="00B85568">
      <w:pPr>
        <w:pStyle w:val="TextoNormal"/>
      </w:pPr>
      <w:r>
        <w:t xml:space="preserve">Problema distinto es que en el Servicio Murciano de Salud no se haya aprobado un plan de ordenación de recursos humanos o instrumento de planificación de personal equiparable, según afirma el órgano judicial promotor de la presente cuestión; ello afectaría a la aplicación de la norma legal en el caso concreto, no a su validez. La tacha de inconstitucionalidad que el órgano judicial aprecia en su Auto de planteamiento sería imputable, en su caso, a la interpretación y aplicación que el Servicio Murciano de Salud, demandado en el proceso </w:t>
      </w:r>
      <w:r w:rsidRPr="00B85568">
        <w:rPr>
          <w:i/>
        </w:rPr>
        <w:t>a quo</w:t>
      </w:r>
      <w:r>
        <w:t>, haya hecho de lo dispuesto en el art. 12 de la Ley de Murcia 5/2012, como acertadamente apunta la Fiscal General del Estado, pero no a este precepto. La cuestión de inconstitucionalidad resulta así notoriamente infundada (art. 37.1 LOTC), en el específico significado que la reiterada doctrina de este Tribunal viene dando a esta noción.</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cuestión de inconstitucionalidad núm. 907-2015, planteada por el Juzgado de lo Contencioso-Administrativo núm. 7 de Murcia.</w:t>
      </w:r>
    </w:p>
    <w:p w:rsidR="00B85568" w:rsidRDefault="00B85568" w:rsidP="00B85568">
      <w:pPr>
        <w:pStyle w:val="TextoNormal"/>
      </w:pPr>
    </w:p>
    <w:p w:rsidR="00B85568" w:rsidRDefault="00B85568" w:rsidP="00B85568">
      <w:pPr>
        <w:pStyle w:val="TextoNormal"/>
      </w:pPr>
      <w:r>
        <w:t>Madrid, a nueve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54" w:name="AUTO_2015_104"/>
      <w:r>
        <w:t>AUTO 104/2015, de 12 de junio de 2015</w:t>
      </w:r>
    </w:p>
    <w:bookmarkEnd w:id="254"/>
    <w:p w:rsidR="00B85568" w:rsidRDefault="00B85568" w:rsidP="00B85568">
      <w:pPr>
        <w:pStyle w:val="TtuloResolucin"/>
      </w:pPr>
      <w:r>
        <w:t>Sección Tercera</w:t>
      </w:r>
    </w:p>
    <w:p w:rsidR="00B85568" w:rsidRDefault="00B85568" w:rsidP="00B85568">
      <w:pPr>
        <w:pStyle w:val="TextoNormalCentrado"/>
      </w:pPr>
      <w:r>
        <w:t>ECLI:ES:TC:2015:104A</w:t>
      </w:r>
    </w:p>
    <w:p w:rsidR="00B85568" w:rsidRDefault="00B85568" w:rsidP="00B85568">
      <w:pPr>
        <w:pStyle w:val="TextoNormalCentrado"/>
      </w:pPr>
    </w:p>
    <w:p w:rsidR="00B85568" w:rsidRDefault="00B85568" w:rsidP="00B85568">
      <w:pPr>
        <w:pStyle w:val="SntesisDescriptiva"/>
      </w:pPr>
      <w:r>
        <w:t>Excms. Srs. doña Adela Asua Batarrita, don Juan José González Rivas y don Pedro José González-Trevijano Sánchez.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55" w:name="AUTO_2015_105"/>
      <w:r>
        <w:t>AUTO 105/2015, de 12 de junio de 2015</w:t>
      </w:r>
    </w:p>
    <w:bookmarkEnd w:id="255"/>
    <w:p w:rsidR="00B85568" w:rsidRDefault="00B85568" w:rsidP="00B85568">
      <w:pPr>
        <w:pStyle w:val="TtuloResolucin"/>
      </w:pPr>
      <w:r>
        <w:t>Sección Tercera</w:t>
      </w:r>
    </w:p>
    <w:p w:rsidR="00B85568" w:rsidRDefault="00B85568" w:rsidP="00B85568">
      <w:pPr>
        <w:pStyle w:val="TextoNormalCentrado"/>
      </w:pPr>
      <w:r>
        <w:t>ECLI:ES:TC:2015:105A</w:t>
      </w:r>
    </w:p>
    <w:p w:rsidR="00B85568" w:rsidRDefault="00B85568" w:rsidP="00B85568">
      <w:pPr>
        <w:pStyle w:val="TextoNormalCentrado"/>
      </w:pPr>
    </w:p>
    <w:p w:rsidR="00B85568" w:rsidRDefault="00B85568" w:rsidP="00B85568">
      <w:pPr>
        <w:pStyle w:val="SntesisDescriptiva"/>
      </w:pPr>
      <w:r>
        <w:t>Excms. Srs. doña Adela Asua Batarrita, don Juan José González Rivas y don Pedro José González-Trevijano Sánchez.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56" w:name="AUTO_2015_106"/>
      <w:r>
        <w:t>AUTO 106/2015, de 15 de junio de 2015</w:t>
      </w:r>
    </w:p>
    <w:bookmarkEnd w:id="256"/>
    <w:p w:rsidR="00B85568" w:rsidRDefault="00B85568" w:rsidP="00B85568">
      <w:pPr>
        <w:pStyle w:val="TtuloResolucin"/>
      </w:pPr>
      <w:r>
        <w:t>Sección Tercera</w:t>
      </w:r>
    </w:p>
    <w:p w:rsidR="00B85568" w:rsidRDefault="00B85568" w:rsidP="00B85568">
      <w:pPr>
        <w:pStyle w:val="TextoNormalCentrado"/>
      </w:pPr>
      <w:r>
        <w:t>ECLI:ES:TC:2015:106A</w:t>
      </w:r>
    </w:p>
    <w:p w:rsidR="00B85568" w:rsidRDefault="00B85568" w:rsidP="00B85568">
      <w:pPr>
        <w:pStyle w:val="TextoNormalCentrado"/>
      </w:pPr>
    </w:p>
    <w:p w:rsidR="00B85568" w:rsidRDefault="00B85568" w:rsidP="00B85568">
      <w:pPr>
        <w:pStyle w:val="SntesisDescriptiva"/>
      </w:pPr>
      <w:r>
        <w:t>Excms. Srs. doña Adela Asua Batarrita, don Juan José González Rivas y don Pedro José González-Trevijano Sánchez.</w:t>
      </w:r>
    </w:p>
    <w:p w:rsidR="00B85568" w:rsidRDefault="00B85568" w:rsidP="00B85568">
      <w:pPr>
        <w:pStyle w:val="SntesisDescriptiva"/>
      </w:pPr>
    </w:p>
    <w:p w:rsidR="00B85568" w:rsidRDefault="00B85568" w:rsidP="00B85568">
      <w:pPr>
        <w:pStyle w:val="SntesisDescriptiva"/>
      </w:pPr>
      <w:r>
        <w:t>Estima el recurso de súplica del Ministerio Fiscal sobre inadmisión del recurso de amparo 4692-2014, promovido por don Francisco de Paula Martorell de la Capilla en causa penal.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presentado en el Registro General de este Tribunal el 16 de julio de 2014, don Francisco de Paula Martorell de la Capilla, representado por la Procuradora de los Tribunales, doña María Ángeles López Santacruz y asistido por la Letrada doña María del Carmen Martorell Jorba, interpuso recurso de amparo contra la Sentencia de 2 de diciembre de 2013 de la Sección Octava de la Audiencia Provincial de Barcelona, dictada en rollo de apelación núm. 10-2012 y contra el Auto de 24 de abril de 2014, dictado por la Sala de lo Penal del Tribunal Supremo en recurso de casación núm. 233-2014.</w:t>
      </w:r>
    </w:p>
    <w:p w:rsidR="00B85568" w:rsidRDefault="00B85568" w:rsidP="00B85568">
      <w:pPr>
        <w:pStyle w:val="TextoNormal"/>
      </w:pPr>
    </w:p>
    <w:p w:rsidR="00B85568" w:rsidRDefault="00B85568" w:rsidP="00B85568">
      <w:pPr>
        <w:pStyle w:val="TextoNormal"/>
      </w:pPr>
      <w:r w:rsidRPr="00B85568">
        <w:rPr>
          <w:rStyle w:val="NumeroAFNegritaCaracter"/>
        </w:rPr>
        <w:t>2</w:t>
      </w:r>
      <w:r>
        <w:t>. Sucintamente expuestos, los hechos relevantes para resolver la presente súplica son los siguientes:</w:t>
      </w:r>
    </w:p>
    <w:p w:rsidR="00B85568" w:rsidRDefault="00B85568" w:rsidP="00B85568">
      <w:pPr>
        <w:pStyle w:val="TextoNormal"/>
      </w:pPr>
    </w:p>
    <w:p w:rsidR="00B85568" w:rsidRDefault="00B85568" w:rsidP="00B85568">
      <w:pPr>
        <w:pStyle w:val="TextoNormal"/>
      </w:pPr>
      <w:r>
        <w:t>El recurrente en amparo fue condenado por la Audiencia Provincial de Barcelona, mediante Sentencia de 2 de diciembre de 2013, como autor responsable de un delito continuado de violación, sobre la persona de su hija menor de edad, sin la concurrencia de circunstancias modificativas, a la pena de 15 años de prisión e inhabilitación absoluta durante el tiempo de la condena. Igualmente se acordó la prohibición de aproximación a la víctima. La Sentencia condenatoria fue recurrida en casación al entenderse vulnerado el derecho a la presunción de inocencia por insuficiencia probatoria. Alegaba el recurrente que la prueba de cargo fundamental es la declaración de la víctima, y que esta declaración no puede ser considerada prueba de cargo suficiente.</w:t>
      </w:r>
    </w:p>
    <w:p w:rsidR="00B85568" w:rsidRDefault="00B85568" w:rsidP="00B85568">
      <w:pPr>
        <w:pStyle w:val="TextoNormal"/>
      </w:pPr>
    </w:p>
    <w:p w:rsidR="00B85568" w:rsidRDefault="00B85568" w:rsidP="00B85568">
      <w:pPr>
        <w:pStyle w:val="TextoNormal"/>
      </w:pPr>
      <w:r>
        <w:t>Mediante Auto de 24 de abril de 2014, el Tribunal Supremo acordó no haber lugar a la admisión del recurso de casación formalizado. Consideró el Tribunal Supremo que la declaración de la víctima responde a las exigencias constitucionales impuestas por la jurisprudencia del Tribunal Constitucional para poder considerar aquella como prueba de cargo suficiente, añadiendo que existen pruebas testificales y periciales que vendrían a corroborar la declaración de la víctima.</w:t>
      </w:r>
    </w:p>
    <w:p w:rsidR="00B85568" w:rsidRDefault="00B85568" w:rsidP="00B85568">
      <w:pPr>
        <w:pStyle w:val="TextoNormal"/>
      </w:pPr>
    </w:p>
    <w:p w:rsidR="00B85568" w:rsidRDefault="00B85568" w:rsidP="00B85568">
      <w:pPr>
        <w:pStyle w:val="TextoNormal"/>
      </w:pPr>
      <w:r w:rsidRPr="00B85568">
        <w:rPr>
          <w:rStyle w:val="NumeroAFNegritaCaracter"/>
        </w:rPr>
        <w:t>3</w:t>
      </w:r>
      <w:r>
        <w:t>. En la demanda de amparo se alega que las resoluciones judiciales impugnadas vulneraron su derecho a la presunción de inocencia, art. 24.2 CE. Consideraba que el órgano judicial hizo gala de un “voluntarismo activo y reconstructivo” al construir el discurso de la Sentencia, supliendo inaceptablemente la profunda y evidente ausencia de datos corroborativos mínimos que conecten los hechos denunciados con un resultado probatorio y que otorguen veracidad al principal testimonio de cargo que, a su vez, es valorado como prueba directa y determinante de la condena. Asimismo, alegaba la vulneración del derecho a la tutela judicial efectiva, art. 24.1 CE, en la vertiente del derecho de todo condenado a que el fallo condenatorio y la pena sean sometidos a un tribunal superior.</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2 de diciembre de 2014, la Sección Tercera de este Tribunal acordó la inadmisión a trámite de la demanda de amparo, con arreglo a lo previsto en el art. 50.1 a) de la Ley Orgánica del Tribunal Constitucional (LOTC), en relación con el art. 44.1 a) LOTC, toda vez que el recurrente no había agotado debidamente todos los medios impugnatorios dentro de la vía judicial.</w:t>
      </w:r>
    </w:p>
    <w:p w:rsidR="00B85568" w:rsidRDefault="00B85568" w:rsidP="00B85568">
      <w:pPr>
        <w:pStyle w:val="TextoNormal"/>
      </w:pPr>
    </w:p>
    <w:p w:rsidR="00B85568" w:rsidRDefault="00B85568" w:rsidP="00B85568">
      <w:pPr>
        <w:pStyle w:val="TextoNormal"/>
      </w:pPr>
      <w:r w:rsidRPr="00B85568">
        <w:rPr>
          <w:rStyle w:val="NumeroAFNegritaCaracter"/>
        </w:rPr>
        <w:t>5</w:t>
      </w:r>
      <w:r>
        <w:t>. El Ministerio Fiscal, mediante escrito de 24 de diciembre de 2014, interpuso recurso de súplica frente a la citada providencia.</w:t>
      </w:r>
    </w:p>
    <w:p w:rsidR="00B85568" w:rsidRDefault="00B85568" w:rsidP="00B85568">
      <w:pPr>
        <w:pStyle w:val="TextoNormal"/>
      </w:pPr>
    </w:p>
    <w:p w:rsidR="00B85568" w:rsidRDefault="00B85568" w:rsidP="00B85568">
      <w:pPr>
        <w:pStyle w:val="TextoNormal"/>
      </w:pPr>
      <w:r>
        <w:t xml:space="preserve">Estima procedente una reconsideración de la decisión de inadmisión del presente recurso de amparo por entender que, si bien dicha decisión se revela totalmente ajustada respecto del segundo motivo de amparo alegado en la demanda, esto es, la vulneración del derecho fundamental a la doble instancia penal </w:t>
      </w:r>
      <w:r w:rsidRPr="00B85568">
        <w:rPr>
          <w:i/>
        </w:rPr>
        <w:t>ex</w:t>
      </w:r>
      <w:r>
        <w:t xml:space="preserve"> art. 24.2 CE, puesto que, en efecto, dicha vulneración no fue ni invocada ni se sometió a la posibilidad de subsanación por la jurisdicción ordinaria, como hubiera sido procedente, a través de la promoción del oportuno incidente de nulidad del art. 241.1 de la Ley Orgánica del Poder Judicial; lo cierto es que la promoción del incidente de nulidad no se estima fuese requerible y hasta hubiera podido tildarse de manifiestamente improcedente respecto de la vulneración principal que sostiene la representación procesal del recurrente respecto de la presunción de inocencia del art. 24.2 CE, en la medida en que en lo sustancial —más allá de apreciaciones formalistas— fue efectivamente alegada en el recurso de casación interpuesto contra la Sentencia de la Audiencia Provincial de Barcelona.</w:t>
      </w:r>
    </w:p>
    <w:p w:rsidR="00B85568" w:rsidRDefault="00B85568" w:rsidP="00B85568">
      <w:pPr>
        <w:pStyle w:val="TextoNormal"/>
      </w:pPr>
    </w:p>
    <w:p w:rsidR="00B85568" w:rsidRDefault="00B85568" w:rsidP="00B85568">
      <w:pPr>
        <w:pStyle w:val="TextoNormal"/>
      </w:pPr>
      <w:r>
        <w:t>Por ello, el Fiscal interesa que se deje sin efecto la providencia de inadmisión reseñada, sin perjuicio de adopción de la resolución procedente en orden a la admisión o no, por otras causas, del recurso de amparo interpuesto.</w:t>
      </w:r>
    </w:p>
    <w:p w:rsidR="00B85568" w:rsidRDefault="00B85568" w:rsidP="00B85568">
      <w:pPr>
        <w:pStyle w:val="TextoNormal"/>
      </w:pPr>
    </w:p>
    <w:p w:rsidR="00B85568" w:rsidRDefault="00B85568" w:rsidP="00B85568">
      <w:pPr>
        <w:pStyle w:val="TextoNormal"/>
      </w:pPr>
      <w:r w:rsidRPr="00B85568">
        <w:rPr>
          <w:rStyle w:val="NumeroAFNegritaCaracter"/>
        </w:rPr>
        <w:t>6</w:t>
      </w:r>
      <w:r>
        <w:t>. Mediante diligencia de ordenación de 5 de enero de 2015, se dio traslado a la parte recurrente en amparo para que, de conformidad con el art. 93.2 LOTC, efectuara las alegaciones oportunas en el término de tres días.</w:t>
      </w:r>
    </w:p>
    <w:p w:rsidR="00B85568" w:rsidRDefault="00B85568" w:rsidP="00B85568">
      <w:pPr>
        <w:pStyle w:val="TextoNormal"/>
      </w:pPr>
    </w:p>
    <w:p w:rsidR="00B85568" w:rsidRDefault="00B85568" w:rsidP="00B85568">
      <w:pPr>
        <w:pStyle w:val="TextoNormal"/>
      </w:pPr>
      <w:r w:rsidRPr="00B85568">
        <w:rPr>
          <w:rStyle w:val="NumeroAFNegritaCaracter"/>
        </w:rPr>
        <w:t>7</w:t>
      </w:r>
      <w:r>
        <w:t>. Mediante escrito de 13 de enero de 2015, la parte recurrente se adhirió al recurso planteado por el Ministerio Fiscal.</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El Ministerio Fiscal ha interpuesto el presente recurso de súplica por considerar que el recurso de amparo interpuesto en su día por el recurrente no debió ser inadmitido —al menos en su totalidad— por la inadecuada falta de agotamiento de la vía judicial previa. Explicaba que, al haber sido planteados dos motivos en el recurso de amparo —uno referido al derecho a la presunción de inocencia y el otro en relación al acceso a la segunda instancia penal— solamente el último era merecedor de la respuesta que el Tribunal dio a ambos.</w:t>
      </w:r>
    </w:p>
    <w:p w:rsidR="00B85568" w:rsidRDefault="00B85568" w:rsidP="00B85568">
      <w:pPr>
        <w:pStyle w:val="TextoNormal"/>
      </w:pPr>
    </w:p>
    <w:p w:rsidR="00B85568" w:rsidRDefault="00B85568" w:rsidP="00B85568">
      <w:pPr>
        <w:pStyle w:val="TextoNormal"/>
      </w:pPr>
      <w:r>
        <w:t>Por tanto, la única discrepancia planteada en realidad por el Ministerio Fiscal es si la articulación procesal del motivo referido a la supuesta vulneración del derecho a la presunción de inocencia fue correcta o, como estimó esta Sección, debió haber planteado, frente al Auto de inadmisión del recurso de casación, incidente de nulidad para así, dar la oportunidad al Tribunal Supremo de reconsiderar su decisión de inadmisión y poder dar una respuesta de fondo sobre el derecho a la presunción de inocencia planteado.</w:t>
      </w:r>
    </w:p>
    <w:p w:rsidR="00B85568" w:rsidRDefault="00B85568" w:rsidP="00B85568">
      <w:pPr>
        <w:pStyle w:val="TextoNormal"/>
      </w:pPr>
    </w:p>
    <w:p w:rsidR="00B85568" w:rsidRDefault="00B85568" w:rsidP="00B85568">
      <w:pPr>
        <w:pStyle w:val="TextoNormal"/>
      </w:pPr>
      <w:r>
        <w:t>En el presente caso, es de destacar que el Tribunal Supremo, a pesar de inadmitir el recurso de casación planteado por la parte recurrente, entró a valorar la queja sobre la presunción de inocencia, dando respuesta de fondo suficiente sobre la misma en el Auto recurrido en amparo. Debe compartirse el criterio manifestado por el Ministerio Fiscal cuando considera que, respecto de este motivo la vía judicial previa, debe estimarse bien agotada. Procede, por tanto, dejar sin efecto la providencia de inadmisión de 2 de diciembre de 2014.</w:t>
      </w:r>
    </w:p>
    <w:p w:rsidR="00B85568" w:rsidRDefault="00B85568" w:rsidP="00B85568">
      <w:pPr>
        <w:pStyle w:val="TextoNormal"/>
      </w:pPr>
    </w:p>
    <w:p w:rsidR="00B85568" w:rsidRDefault="00B85568" w:rsidP="00B85568">
      <w:pPr>
        <w:pStyle w:val="TextoNormal"/>
      </w:pPr>
      <w:r>
        <w:t>Ahora bien, como advertimos, por todos, en el ATC 268/2013, de 19 de noviembre, FJ 2, el recurso de súplica previsto en el art. 50.3 de la Ley Orgánica del Tribunal Constitucional (correspondiente al artículo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pero nuestra decisión debe detenerse aquí, dejando pendiente el estudio y decisión sobre la admisión o inadmisión del recurso de amparo. Por tanto, procede reponer las actuaciones al momento anterior a dictarse la providencia anulada (AATC 13/2003, de 20 de enero; 182/2003, de 2 de julio, y 48/2006, de 14 de febrero).</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Estimar el recurso de súplica interpuesto por el Ministerio Fiscal y, en consecuencia:</w:t>
      </w:r>
    </w:p>
    <w:p w:rsidR="00B85568" w:rsidRDefault="00B85568" w:rsidP="00B85568">
      <w:pPr>
        <w:pStyle w:val="TextoNormal"/>
      </w:pPr>
    </w:p>
    <w:p w:rsidR="00B85568" w:rsidRDefault="00B85568" w:rsidP="00B85568">
      <w:pPr>
        <w:pStyle w:val="TextoNormal"/>
      </w:pPr>
      <w:r>
        <w:t>1º Dejar sin efecto la providencia de 2 de diciembre de 2014 que declaró la inadmisión del presente recurso de amparo.</w:t>
      </w:r>
    </w:p>
    <w:p w:rsidR="00B85568" w:rsidRDefault="00B85568" w:rsidP="00B85568">
      <w:pPr>
        <w:pStyle w:val="TextoNormal"/>
      </w:pPr>
    </w:p>
    <w:p w:rsidR="00B85568" w:rsidRDefault="00B85568" w:rsidP="00B85568">
      <w:pPr>
        <w:pStyle w:val="TextoNormal"/>
      </w:pPr>
      <w:r>
        <w:t>2º Reponer las actuaciones al momento anterior a dictarse la providencia anulada.</w:t>
      </w:r>
    </w:p>
    <w:p w:rsidR="00B85568" w:rsidRDefault="00B85568" w:rsidP="00B85568">
      <w:pPr>
        <w:pStyle w:val="TextoNormal"/>
      </w:pPr>
    </w:p>
    <w:p w:rsidR="00B85568" w:rsidRDefault="00B85568" w:rsidP="00B85568">
      <w:pPr>
        <w:pStyle w:val="TextoNormal"/>
      </w:pPr>
      <w:r>
        <w:t>Madrid, a quince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57" w:name="AUTO_2015_107"/>
      <w:r>
        <w:t>AUTO 107/2015, de 17 de junio de 2015</w:t>
      </w:r>
    </w:p>
    <w:bookmarkEnd w:id="257"/>
    <w:p w:rsidR="00B85568" w:rsidRDefault="00B85568" w:rsidP="00B85568">
      <w:pPr>
        <w:pStyle w:val="TtuloResolucin"/>
      </w:pPr>
      <w:r>
        <w:t>Sección Segunda</w:t>
      </w:r>
    </w:p>
    <w:p w:rsidR="00B85568" w:rsidRDefault="00B85568" w:rsidP="00B85568">
      <w:pPr>
        <w:pStyle w:val="TextoNormalCentrado"/>
      </w:pPr>
      <w:r>
        <w:t>ECLI:ES:TC:2015:107A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58" w:name="AUTO_2015_108"/>
      <w:r>
        <w:t>AUTO 108/2015, de 22 de junio de 2015</w:t>
      </w:r>
    </w:p>
    <w:bookmarkEnd w:id="258"/>
    <w:p w:rsidR="00B85568" w:rsidRDefault="00B85568" w:rsidP="00B85568">
      <w:pPr>
        <w:pStyle w:val="TtuloResolucin"/>
      </w:pPr>
      <w:r>
        <w:t>Sala Segunda</w:t>
      </w:r>
    </w:p>
    <w:p w:rsidR="00B85568" w:rsidRDefault="00B85568" w:rsidP="00B85568">
      <w:pPr>
        <w:pStyle w:val="TextoNormalCentrado"/>
      </w:pPr>
      <w:r>
        <w:t>ECLI:ES:TC:2015:108A</w:t>
      </w:r>
    </w:p>
    <w:p w:rsidR="00B85568" w:rsidRDefault="00B85568" w:rsidP="00B85568">
      <w:pPr>
        <w:pStyle w:val="TextoNormalCentrado"/>
      </w:pPr>
    </w:p>
    <w:p w:rsidR="00B85568" w:rsidRDefault="00B85568" w:rsidP="00B85568">
      <w:pPr>
        <w:pStyle w:val="SntesisDescriptiva"/>
      </w:pPr>
      <w:r>
        <w:t>Excms. Srs. doña Adela Asua Batarrita, don Fernando Valdés Dal-Ré, don Juan José González Rivas,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Acuerda la extinción, por pérdida de objeto, del recurso de amparo 9701-2009, promovido por don Chek Faal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presentado en el Registro General de este Tribunal el día 18 de noviembre de 2009, don Julio García Latorre, Letrado del Ilustre Colegio de Abogados de Madrid con núm. 51.585, en nombre de don Chek Faal, interpuso recurso de amparo contra el Auto de 6 de octubre de 2009, dictado por el Juzgado de lo Contencioso-Administrativo núm. 17 de Madrid que desestimaba el recurso de súplica interpuesto frente a la providencia de señalamiento de vista en el procedimiento abreviado núm. 720-2009, sobre caducidad de expediente de expulsión, alegando que con el señalamiento de la vista para el día 12 de abril de 2012 se vulneraba su derecho a no padecer dilaciones indebidas del art. 24.2 CE. Mediante “otrosí digo” incluido en el mismo escrito, se solicitaba el nombramiento de procurador de oficio, designándose a doña María Jesús Bejarano Sánchez para que asumiera la representación procesal del recurrente.</w:t>
      </w:r>
    </w:p>
    <w:p w:rsidR="00B85568" w:rsidRDefault="00B85568" w:rsidP="00B85568">
      <w:pPr>
        <w:pStyle w:val="TextoNormal"/>
      </w:pPr>
    </w:p>
    <w:p w:rsidR="00B85568" w:rsidRDefault="00B85568" w:rsidP="00B85568">
      <w:pPr>
        <w:pStyle w:val="TextoNormal"/>
      </w:pPr>
      <w:r w:rsidRPr="00B85568">
        <w:rPr>
          <w:rStyle w:val="NumeroAFNegritaCaracter"/>
        </w:rPr>
        <w:t>2</w:t>
      </w:r>
      <w:r>
        <w:t>. Solicitado testimonio de las actuaciones judiciales del procedimiento contencioso-administrativo, el Juzgado de lo Contencioso-Administrativo núm. 17 de Madrid, remitió copia del Auto dictado el 15 de noviembre de 2010 en el que, oídas las partes, declaraba terminado el procedimiento “por reconocimiento en vía administrativa de las pretensiones de la parte recurrente”. En esa misma resolución se ordenaba el archivo del recurso y se dejaba “sin efecto la vista señalada para el próximo 12 de abril de 2012, a las 12:25 horas de su mañana”.</w:t>
      </w:r>
    </w:p>
    <w:p w:rsidR="00B85568" w:rsidRDefault="00B85568" w:rsidP="00B85568">
      <w:pPr>
        <w:pStyle w:val="TextoNormal"/>
      </w:pPr>
    </w:p>
    <w:p w:rsidR="00B85568" w:rsidRDefault="00B85568" w:rsidP="00B85568">
      <w:pPr>
        <w:pStyle w:val="TextoNormal"/>
      </w:pPr>
      <w:r w:rsidRPr="00B85568">
        <w:rPr>
          <w:rStyle w:val="NumeroAFNegritaCaracter"/>
        </w:rPr>
        <w:t>3</w:t>
      </w:r>
      <w:r>
        <w:t>. La Sala Segunda, mediante providencia de 11 de mayo de 2015 acordó dar audiencia a las partes y al Ministerio Fiscal para que alegaran en relación a la posible pérdida de objeto del recurso de amparo.</w:t>
      </w:r>
    </w:p>
    <w:p w:rsidR="00B85568" w:rsidRDefault="00B85568" w:rsidP="00B85568">
      <w:pPr>
        <w:pStyle w:val="TextoNormal"/>
      </w:pPr>
    </w:p>
    <w:p w:rsidR="00B85568" w:rsidRDefault="00B85568" w:rsidP="00B85568">
      <w:pPr>
        <w:pStyle w:val="TextoNormal"/>
      </w:pPr>
      <w:r w:rsidRPr="00B85568">
        <w:rPr>
          <w:rStyle w:val="NumeroAFNegritaCaracter"/>
        </w:rPr>
        <w:t>4</w:t>
      </w:r>
      <w:r>
        <w:t>. La parte recurrente ha manifestado su conformidad con la declaración de pérdida de objeto del recurso, mediante escrito de 27 de mayo de 2015.</w:t>
      </w:r>
    </w:p>
    <w:p w:rsidR="00B85568" w:rsidRDefault="00B85568" w:rsidP="00B85568">
      <w:pPr>
        <w:pStyle w:val="TextoNormal"/>
      </w:pPr>
    </w:p>
    <w:p w:rsidR="00B85568" w:rsidRDefault="00B85568" w:rsidP="00B85568">
      <w:pPr>
        <w:pStyle w:val="TextoNormal"/>
      </w:pPr>
      <w:r w:rsidRPr="00B85568">
        <w:rPr>
          <w:rStyle w:val="NumeroAFNegritaCaracter"/>
        </w:rPr>
        <w:t>5</w:t>
      </w:r>
      <w:r>
        <w:t>. El Ministerio Fiscal evacuó el trámite de alegaciones conferido mediante escrito registrado en fecha 3 de junio de 2015. Considera el Ministerio Fiscal que el recurso ha perdido objeto, conforme a la doctrina del Tribunal, al haber existido satisfacción extraprocesal de la pretensión ejercitada en la vía judicial, por lo que procede el archivo del presente recurso de amparo.</w:t>
      </w:r>
    </w:p>
    <w:p w:rsidR="00B85568" w:rsidRDefault="00B85568" w:rsidP="00B85568">
      <w:pPr>
        <w:pStyle w:val="TextoNormal"/>
      </w:pPr>
    </w:p>
    <w:p w:rsidR="00B85568" w:rsidRDefault="00B85568" w:rsidP="00B85568">
      <w:pPr>
        <w:pStyle w:val="TextoNormal"/>
      </w:pPr>
      <w:r w:rsidRPr="00B85568">
        <w:rPr>
          <w:rStyle w:val="NumeroAFNegritaCaracter"/>
        </w:rPr>
        <w:t>6</w:t>
      </w:r>
      <w:r>
        <w:t>. El Abogado del Estado presentó su escrito de alegaciones el 8 de junio de 2015, en el que se muestra igualmente conforme con la declaración de pérdida de objeto y consiguiente archivo del procedimiento.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y AATC 43/1985, de 23 de enero, 189/1997, de 3 de junio; 139/1998, de 16 de junio, y 243/2007, de 21 de mayo, por todos), debiendo ser distinguida de la propia inexistencia originaria del objeto (SSTC 300/1993, de 20 de octubre, FJ 3, y 305/2000, citada, FJ 9).</w:t>
      </w:r>
    </w:p>
    <w:p w:rsidR="00B85568" w:rsidRDefault="00B85568" w:rsidP="00B85568">
      <w:pPr>
        <w:pStyle w:val="TextoNormal"/>
      </w:pPr>
    </w:p>
    <w:p w:rsidR="00B85568" w:rsidRDefault="00B85568" w:rsidP="00B85568">
      <w:pPr>
        <w:pStyle w:val="TextoNormal"/>
      </w:pPr>
      <w:r>
        <w:t>En este sentido, como ya señaláramos en el ATC 287/2008, de 22 de septiembre, recaído en un recurso de amparo sustancialmente idéntico al que ahora nos ocupa,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de la Ley Orgánica del Tribunal Constitucional: LOTC), cuando dicha pretensión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00B85568" w:rsidRDefault="00B85568" w:rsidP="00B85568">
      <w:pPr>
        <w:pStyle w:val="TextoNormal"/>
      </w:pPr>
    </w:p>
    <w:p w:rsidR="00B85568" w:rsidRDefault="00B85568" w:rsidP="00B85568">
      <w:pPr>
        <w:pStyle w:val="TextoNormal"/>
      </w:pPr>
      <w:r>
        <w:t>Del análisis de la documentación obrante en autos se desprende que el Auto dictado en la vía judicial de 15 de noviembre de 2010, dando por terminado el proceso contencioso-administrativo por satisfacción extraprocesal de la pretensión en él ejercitada, dejó sin efecto el señalamiento de la vista del procedimiento abreviado para el día 12 de abril de 2012,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la extinción del recurso de amparo núm. 9701-2009 por pérdida de objeto.</w:t>
      </w:r>
    </w:p>
    <w:p w:rsidR="00B85568" w:rsidRDefault="00B85568" w:rsidP="00B85568">
      <w:pPr>
        <w:pStyle w:val="TextoNormal"/>
      </w:pPr>
    </w:p>
    <w:p w:rsidR="00B85568" w:rsidRDefault="00B85568" w:rsidP="00B85568">
      <w:pPr>
        <w:pStyle w:val="TextoNormal"/>
      </w:pPr>
      <w:r>
        <w:t>Madrid, a veintidós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59" w:name="AUTO_2015_109"/>
      <w:r>
        <w:t>AUTO 109/2015, de 22 de junio de 2015</w:t>
      </w:r>
    </w:p>
    <w:bookmarkEnd w:id="259"/>
    <w:p w:rsidR="00B85568" w:rsidRDefault="00B85568" w:rsidP="00B85568">
      <w:pPr>
        <w:pStyle w:val="TtuloResolucin"/>
      </w:pPr>
      <w:r>
        <w:t>Sala Primera</w:t>
      </w:r>
    </w:p>
    <w:p w:rsidR="00B85568" w:rsidRDefault="00B85568" w:rsidP="00B85568">
      <w:pPr>
        <w:pStyle w:val="TextoNormalCentrado"/>
      </w:pPr>
      <w:r>
        <w:t>ECLI:ES:TC:2015:109A</w:t>
      </w:r>
    </w:p>
    <w:p w:rsidR="00B85568" w:rsidRDefault="00B85568" w:rsidP="00B85568">
      <w:pPr>
        <w:pStyle w:val="TextoNormalCentrado"/>
      </w:pPr>
    </w:p>
    <w:p w:rsidR="00B85568" w:rsidRDefault="00B85568" w:rsidP="00B85568">
      <w:pPr>
        <w:pStyle w:val="SntesisDescriptiva"/>
      </w:pPr>
      <w:r>
        <w:t>Excms. Srs. don Francisco Pérez de los Cobos Orihuel, doña Encarnación Roca Trías, don Andrés Ollero Tassara, don Santiago Martínez-Vares García y don Juan Antonio Xiol Ríos.</w:t>
      </w:r>
    </w:p>
    <w:p w:rsidR="00B85568" w:rsidRDefault="00B85568" w:rsidP="00B85568">
      <w:pPr>
        <w:pStyle w:val="SntesisDescriptiva"/>
      </w:pPr>
    </w:p>
    <w:p w:rsidR="00B85568" w:rsidRDefault="00B85568" w:rsidP="00B85568">
      <w:pPr>
        <w:pStyle w:val="SntesisDescriptiva"/>
      </w:pPr>
      <w:r>
        <w:t>Declara que no se ha producido funcionamiento anormal en la tramitación del recurso de amparo 6208-2011, promovido por don Óscar Antón Miguel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20 de enero de 2014, don Oscar Antón Miguel en nombre propio y de los sucesores de don Julio García Esteban, bajo su propia dirección letrada, presenta escrito con relación a un posible funcionamiento anormal en la tramitación del recurso de amparo núm. 6208-2011. Solicita que este Tribunal tenga por interrumpida la prescripción de la reclamación de responsabilidad patrimonial, suspenda la tramitación de tal reclamación hasta que se pronuncie el Tribunal Europeo de Derechos Humanos y comunique la decisión acordada a la parte recurrente, dando la posibilidad de alegar, añadir documentación justificativa y proponer prueba.</w:t>
      </w:r>
    </w:p>
    <w:p w:rsidR="00B85568" w:rsidRDefault="00B85568" w:rsidP="00B85568">
      <w:pPr>
        <w:pStyle w:val="TextoNormal"/>
      </w:pPr>
    </w:p>
    <w:p w:rsidR="00B85568" w:rsidRDefault="00B85568" w:rsidP="00B85568">
      <w:pPr>
        <w:pStyle w:val="TextoNormal"/>
      </w:pPr>
      <w:r w:rsidRPr="00B85568">
        <w:rPr>
          <w:rStyle w:val="NumeroAFNegritaCaracter"/>
        </w:rPr>
        <w:t>2</w:t>
      </w:r>
      <w:r>
        <w:t>. Para la resolución de este asunto, son relevantes los siguientes antecedentes:</w:t>
      </w:r>
    </w:p>
    <w:p w:rsidR="00B85568" w:rsidRDefault="00B85568" w:rsidP="00B85568">
      <w:pPr>
        <w:pStyle w:val="TextoNormal"/>
      </w:pPr>
    </w:p>
    <w:p w:rsidR="00B85568" w:rsidRDefault="00B85568" w:rsidP="00B85568">
      <w:pPr>
        <w:pStyle w:val="TextoNormal"/>
      </w:pPr>
      <w:r>
        <w:t>a) El 7 de abril de 2004, la Procuradora de los Tribunales doña Sonia Alonso Triana, en representación de don Julio García Esteban, interpone recurso contencioso-administrativo contra la desestimación por silencio de una reclamación de responsabilidad patrimonial contra la Administración de la Comunidad Autónoma de Castilla y León.</w:t>
      </w:r>
    </w:p>
    <w:p w:rsidR="00B85568" w:rsidRDefault="00B85568" w:rsidP="00B85568">
      <w:pPr>
        <w:pStyle w:val="TextoNormal"/>
      </w:pPr>
    </w:p>
    <w:p w:rsidR="00B85568" w:rsidRDefault="00B85568" w:rsidP="00B85568">
      <w:pPr>
        <w:pStyle w:val="TextoNormal"/>
      </w:pPr>
      <w:r>
        <w:t>b) El 18 de febrero de 2011, habiendo fallecido don Julio García Esteban, quien le representaba en el proceso de referencia, la Procuradora doña Sonia Alonso Triana, recibe notificación mediante Lexnet de la Sentencia 330/2011, de 7 de febrero, de la Sección Tercera del Tribunal Superior de Justicia de Castilla y León, desestimatoria de la reclamación de responsabilidad patrimonial.</w:t>
      </w:r>
    </w:p>
    <w:p w:rsidR="00B85568" w:rsidRDefault="00B85568" w:rsidP="00B85568">
      <w:pPr>
        <w:pStyle w:val="TextoNormal"/>
      </w:pPr>
    </w:p>
    <w:p w:rsidR="00B85568" w:rsidRDefault="00B85568" w:rsidP="00B85568">
      <w:pPr>
        <w:pStyle w:val="TextoNormal"/>
      </w:pPr>
      <w:r>
        <w:t>c) El 5 de abril de 2011, don Oscar Antón Miguel —promotor de la presente pieza separada de responsabilidad patrimonial— presenta en nombre propio y en el de los sucesores de don Julio García Esteban recurso de amparo —tramitado con núm. 2002-2011— contra la citada Sentencia de 7 de febrero de 2011. El recurrente considera que la demanda se presenta dentro del plazo de treinta días (art. 44.2 de la Ley Orgánica del Tribunal Constitucional: LOTC), computado a partir de la notificación de la Sentencia a la Procuradora doña Sonia Alonso Triana. En el marco de este procedimiento, el recurrente admitió que sólo después de interponer el recurso de amparo tuvo conocimiento de que el agotamiento de la vía judicial ordinaria exigía la formulación previa del incidente de nulidad de actuaciones.</w:t>
      </w:r>
    </w:p>
    <w:p w:rsidR="00B85568" w:rsidRDefault="00B85568" w:rsidP="00B85568">
      <w:pPr>
        <w:pStyle w:val="TextoNormal"/>
      </w:pPr>
    </w:p>
    <w:p w:rsidR="00B85568" w:rsidRDefault="00B85568" w:rsidP="00B85568">
      <w:pPr>
        <w:pStyle w:val="TextoNormal"/>
      </w:pPr>
      <w:r>
        <w:t>d) El 5 de mayo de 2011, don Oscar Antón Miguel en nombre propio y en el de los sucesores de don Julio García Esteban formula incidente de nulidad de actuaciones contra la indicada Sentencia de 7 de febrero de 2011. Afirma que tuvo conocimiento de la Sentencia a través de su suegra, viuda de don Julio García Esteban, el 4 de abril de 2011; que ese mismo día solicitó y obtuvo del Ilustre Colegio de Abogados de Madrid la habilitación para recurrir en amparo en su calidad de Licenciado en Derecho y que presentó a tiempo el incidente de nulidad de actuaciones al día siguiente, último de los veinte previstos en el art. 241 de la Ley Orgánica del Poder Judicial (LOPJ), contados a partir del 4 de abril.</w:t>
      </w:r>
    </w:p>
    <w:p w:rsidR="00B85568" w:rsidRDefault="00B85568" w:rsidP="00B85568">
      <w:pPr>
        <w:pStyle w:val="TextoNormal"/>
      </w:pPr>
    </w:p>
    <w:p w:rsidR="00B85568" w:rsidRDefault="00B85568" w:rsidP="00B85568">
      <w:pPr>
        <w:pStyle w:val="TextoNormal"/>
      </w:pPr>
      <w:r>
        <w:t>e) Por providencia de 4 de julio de 2011, este Tribunal inadmite el recurso de amparo núm. 2002/2011 por “no haber concluido el proceso abierto en la vía judicial” [art. 44.1 a), en relación con el art. 50.1 a) LOTC].</w:t>
      </w:r>
    </w:p>
    <w:p w:rsidR="00B85568" w:rsidRDefault="00B85568" w:rsidP="00B85568">
      <w:pPr>
        <w:pStyle w:val="TextoNormal"/>
      </w:pPr>
    </w:p>
    <w:p w:rsidR="00B85568" w:rsidRDefault="00B85568" w:rsidP="00B85568">
      <w:pPr>
        <w:pStyle w:val="TextoNormal"/>
      </w:pPr>
      <w:r>
        <w:t>f) Por providencia de 27 de septiembre de 2011, el Tribunal Superior de Justicia de Castilla y León inadmite el incidente de nulidad de actuaciones por resultar extemporáneo. Desde la fecha de la notificación de la Sentencia hasta la formulación del incidente transcurrieron con creces los veinte días previstos en el art. 241.1 LOPJ. El Tribunal considera que el retraso en el planteamiento del señalado incidente entronca con la circunstancia de que don Oscar Antón Miguel desconocía la reforma de la Ley Orgánica del Tribunal Constitucional y de la Ley Orgánica del Poder Judicial y, con ello, la exigencia de agotamiento de todos los medios de impugnación para formular el recurso de amparo, circunstancia que ha admitido el propio recurrente. Este afirma haber tenido conocimiento sólo recientemente del “defecto causante de indefensión”, pero según el órgano judicial tal es un “dato huérfano de prueba y totalmente contradictorio” con el “hecho narrado” de la notificación en forma a la representación procesal. La providencia añade que, en realidad, el incidente plantea una revisión del fondo de la Sentencia recurrida.</w:t>
      </w:r>
    </w:p>
    <w:p w:rsidR="00B85568" w:rsidRDefault="00B85568" w:rsidP="00B85568">
      <w:pPr>
        <w:pStyle w:val="TextoNormal"/>
      </w:pPr>
    </w:p>
    <w:p w:rsidR="00B85568" w:rsidRDefault="00B85568" w:rsidP="00B85568">
      <w:pPr>
        <w:pStyle w:val="TextoNormal"/>
      </w:pPr>
      <w:r>
        <w:t xml:space="preserve">g) El 16 de noviembre de 2011, don Oscar Antón Miguel en nombre propio y en el de los sucesores de don Julio García Esteban presenta un segundo recurso de amparo —tramitado con núm. 6208-2011— contra la providencia de 27 de septiembre de 2011 y la Sentencia de 7 de febrero de 2011, ambas del Tribunal Superior de Justicia de Castilla y León. Don Oscar Antón Miguel vuelve a afirmar que el 4 de abril de 2011 tuvo conocimiento de la Sentencia de 7 de febrero anterior al encontrarla en la casa de Burgos de su suegra, viuda de don Julio García Esteban; ese mismo día solicitó y obtuvo del Ilustre Colegio de Abogados de Madrid la habilitación para recurrir en amparo en su calidad de Licenciado en Derecho. Interpuesto al día siguiente el primer recurso de amparo, presentó el incidente de nulidad de actuaciones el último día del plazo. El Tribunal Superior de Justicia de Castilla y León, al inadmitir el incidente de nulidad de actuaciones por extemporaneidad adoptando como </w:t>
      </w:r>
      <w:r w:rsidRPr="00B85568">
        <w:rPr>
          <w:i/>
        </w:rPr>
        <w:t>dies a quo</w:t>
      </w:r>
      <w:r>
        <w:t xml:space="preserve"> la fecha de la notificación de la Sentencia a la Procuradora doña Sonia Alonso Triana, habría pues vulnerado el art. 24.1 CE. El recurso imputa otras vulneraciones del derecho fundamental a la tutela judicial efectiva a la Sentencia de 7 de febrero de 2011.</w:t>
      </w:r>
    </w:p>
    <w:p w:rsidR="00B85568" w:rsidRDefault="00B85568" w:rsidP="00B85568">
      <w:pPr>
        <w:pStyle w:val="TextoNormal"/>
      </w:pPr>
    </w:p>
    <w:p w:rsidR="00B85568" w:rsidRDefault="00B85568" w:rsidP="00B85568">
      <w:pPr>
        <w:pStyle w:val="TextoNormal"/>
      </w:pPr>
      <w:r>
        <w:t>h) El 25 de febrero de 2013, este Tribunal dicta providencia, notificada al recurrente el 6 de marzo siguiente, por la que inadmite el segundo recurso de amparo —núm. 6208/2011— porque “no se han agotado debidamente todos los medios de impugnación dentro de la vía judicial” [art. 44.1 a) en relación con el art. 50.1 a), ambos LOTC].</w:t>
      </w:r>
    </w:p>
    <w:p w:rsidR="00B85568" w:rsidRDefault="00B85568" w:rsidP="00B85568">
      <w:pPr>
        <w:pStyle w:val="TextoNormal"/>
      </w:pPr>
    </w:p>
    <w:p w:rsidR="00B85568" w:rsidRDefault="00B85568" w:rsidP="00B85568">
      <w:pPr>
        <w:pStyle w:val="TextoNormal"/>
      </w:pPr>
      <w:r>
        <w:t>i) El 6 de septiembre de 2013, el actual promotor de la pieza separada de responsabilidad patrimonial, presenta demanda ante el Tribunal Europeo de Derechos Humanos por infracción del Convenio Europeo de Derechos Humanos.</w:t>
      </w:r>
    </w:p>
    <w:p w:rsidR="00B85568" w:rsidRDefault="00B85568" w:rsidP="00B85568">
      <w:pPr>
        <w:pStyle w:val="TextoNormal"/>
      </w:pPr>
    </w:p>
    <w:p w:rsidR="00B85568" w:rsidRDefault="00B85568" w:rsidP="00B85568">
      <w:pPr>
        <w:pStyle w:val="TextoNormal"/>
      </w:pPr>
      <w:r>
        <w:t>j) El 29 de diciembre de 2014, don Oscar Antón Miguel recibe comunicación de la resolución del Tribunal Europeo de Derechos Humanos por la que se rechaza de plano el recurso.</w:t>
      </w:r>
    </w:p>
    <w:p w:rsidR="00B85568" w:rsidRDefault="00B85568" w:rsidP="00B85568">
      <w:pPr>
        <w:pStyle w:val="TextoNormal"/>
      </w:pPr>
    </w:p>
    <w:p w:rsidR="00B85568" w:rsidRDefault="00B85568" w:rsidP="00B85568">
      <w:pPr>
        <w:pStyle w:val="TextoNormal"/>
      </w:pPr>
      <w:r>
        <w:t>k) El 15 de enero de 2015, el actual promotor de la presente pieza separada, formula petición al Tribunal Europeo de Derechos Humanos de revisión excepcional de su resolución de inadmisión a fin de que reconsidere la indefensión y errores padecidos.</w:t>
      </w:r>
    </w:p>
    <w:p w:rsidR="00B85568" w:rsidRDefault="00B85568" w:rsidP="00B85568">
      <w:pPr>
        <w:pStyle w:val="TextoNormal"/>
      </w:pPr>
    </w:p>
    <w:p w:rsidR="00B85568" w:rsidRDefault="00B85568" w:rsidP="00B85568">
      <w:pPr>
        <w:pStyle w:val="TextoNormal"/>
      </w:pPr>
      <w:r w:rsidRPr="00B85568">
        <w:rPr>
          <w:rStyle w:val="NumeroAFNegritaCaracter"/>
        </w:rPr>
        <w:t>3</w:t>
      </w:r>
      <w:r>
        <w:t xml:space="preserve">. El escrito promotor de la presente pieza razona en primer término que el “error judicial” debe considerarse una forma especial de anormal funcionamiento que puede fundar la responsabilidad patrimonial del Tribunal Constitucional </w:t>
      </w:r>
      <w:r w:rsidRPr="00B85568">
        <w:rPr>
          <w:i/>
        </w:rPr>
        <w:t>ex</w:t>
      </w:r>
      <w:r>
        <w:t xml:space="preserve"> art. 139.5 de la Ley 30/1992, de 26 de noviembre, de régimen jurídico de las Administraciones públicas y del procedimiento administrativo común (LPC). La inadmisión </w:t>
      </w:r>
      <w:r w:rsidRPr="00B85568">
        <w:rPr>
          <w:i/>
        </w:rPr>
        <w:t>a limine</w:t>
      </w:r>
      <w:r>
        <w:t xml:space="preserve"> del recurso de amparo expresaría tal anormalidad al comportar “la omisión de fases probatorias esenciales y de requisitos insalvables de motivación por más que la propia Ley permita el dudoso efectivo de la Providencia sucintamente motivada”. También por dejar de reparar la vulneración atribuida a la providencia del Tribunal Superior de Justicia de Castilla y León; este habría inadmitido el incidente de nulidad de actuaciones sin que de las actuaciones pudiera desprenderse el conocimiento extraprocesal anterior al 4 de abril de 2011, sin aplicar las reglas de flexibilidad, buena fe, </w:t>
      </w:r>
      <w:r w:rsidRPr="00B85568">
        <w:rPr>
          <w:i/>
        </w:rPr>
        <w:t>iura novit curia</w:t>
      </w:r>
      <w:r>
        <w:t xml:space="preserve">, carga probatoria inquisitorial y </w:t>
      </w:r>
      <w:r w:rsidRPr="00B85568">
        <w:rPr>
          <w:i/>
        </w:rPr>
        <w:t>favor actionis</w:t>
      </w:r>
      <w:r>
        <w:t xml:space="preserve"> y sin tener en cuenta que el grado de pericia exigible a quienes comparecen haciendo valer su calidad de Licenciados en Derecho no es la que tienen los profesionales especializados en materia constitucional. Del mismo modo, el Tribunal Constitucional habría incurrido en la señalada anormalidad al dejar de reparar las vulneraciones imputadas a la Sentencia de 7 de febrero de 2011 del Tribunal Superior de Justicia de Castilla y León por no atenerse al sistema de fuentes, incurrir en incongruencia, desconsiderar el valor de documento público del expediente administrativo y la falta de valoración de la testifical, entre otras.</w:t>
      </w:r>
    </w:p>
    <w:p w:rsidR="00B85568" w:rsidRDefault="00B85568" w:rsidP="00B85568">
      <w:pPr>
        <w:pStyle w:val="TextoNormal"/>
      </w:pPr>
    </w:p>
    <w:p w:rsidR="00B85568" w:rsidRDefault="00B85568" w:rsidP="00B85568">
      <w:pPr>
        <w:pStyle w:val="TextoNormal"/>
      </w:pPr>
      <w:r>
        <w:t>El escrito considera, además, que el tiempo transcurrido entre la formulación del recurso contencioso-administrativo y la inadmisión del recurso es tan amplio que la Administración de justicia y el Tribunal Constitucional habrían incurrido en responsabilidad solidaria o corresponsabilidad por funcionamiento anormal.</w:t>
      </w:r>
    </w:p>
    <w:p w:rsidR="00B85568" w:rsidRDefault="00B85568" w:rsidP="00B85568">
      <w:pPr>
        <w:pStyle w:val="TextoNormal"/>
      </w:pPr>
    </w:p>
    <w:p w:rsidR="00B85568" w:rsidRDefault="00B85568" w:rsidP="00B85568">
      <w:pPr>
        <w:pStyle w:val="TextoNormal"/>
      </w:pPr>
      <w:r>
        <w:t>En último término, se solicita que este Tribunal tenga por interrumpida la prescripción de la reclamación de responsabilidad patrimonial, suspenda la tramitación de la presente pieza hasta que se pronuncie el Tribunal Europeo de Derechos Humanos sobre la revisión excepcional ante la Gran Sala y comunique la decisión acordada a la parte recurrente, dando la posibilidad de alegar, añadir documentación justificativa y proponer prueba. El escrito incluye una serie de consideraciones sobre el incidente de nulidad de actuaciones (“todos los recursos no devolutivos deberían ser conocidos por órgano distinto”) y el art. 139.5 LPC (“¿no estaría atribuyéndose por una ley ordinaria una nueva función al Tribunal Constitucional?”, “¿resultaría constitucional dejar fuera la posibilidad de recurrir los casos de error judicial?”).</w:t>
      </w:r>
    </w:p>
    <w:p w:rsidR="00B85568" w:rsidRDefault="00B85568" w:rsidP="00B85568">
      <w:pPr>
        <w:pStyle w:val="TextoNormal"/>
      </w:pPr>
    </w:p>
    <w:p w:rsidR="00B85568" w:rsidRDefault="00B85568" w:rsidP="00B85568">
      <w:pPr>
        <w:pStyle w:val="TextoNormal"/>
      </w:pPr>
      <w:r w:rsidRPr="00B85568">
        <w:rPr>
          <w:rStyle w:val="NumeroAFNegritaCaracter"/>
        </w:rPr>
        <w:t>4</w:t>
      </w:r>
      <w:r>
        <w:t>. Por escrito presentado en el registro general de este Tribunal el 20 de mayo de 2015, el Abogado del Estado se opone a la declaración de anormalidad en el funcionamiento del Tribunal Constitucional. Afirma que el trámite dado al Tribunal se refiere exclusivamente a la eventual anormalidad de su funcionamiento, por lo que corresponde centrarse sólo en las alegaciones sobre el tiempo de duración de la tramitación del recurso de amparo. Razona que transcurrieron menos de cuatro meses entre la presentación de la primera demanda de amparo —tramitada con núm. 2002/2011— y la providencia de inadmisión. A su vez, desde la interposición del segundo recurso de amparo —tramitado con núm. 6208-2011— hasta la providencia de inadmisión de 25 de febrero de 2013, el demandante no denunció una posible dilación indebida. Debe tenerse en cuenta, además, que esta demanda de amparo es una continuación de la anterior así como el abultado número de asuntos que en los últimos años ingresan en el Tribunal Constitucional.</w:t>
      </w:r>
    </w:p>
    <w:p w:rsidR="00B85568" w:rsidRDefault="00B85568" w:rsidP="00B85568">
      <w:pPr>
        <w:pStyle w:val="TextoNormal"/>
      </w:pPr>
    </w:p>
    <w:p w:rsidR="00B85568" w:rsidRDefault="00B85568" w:rsidP="00B85568">
      <w:pPr>
        <w:pStyle w:val="TextoNormal"/>
      </w:pPr>
      <w:r w:rsidRPr="00B85568">
        <w:rPr>
          <w:rStyle w:val="NumeroAFNegritaCaracter"/>
        </w:rPr>
        <w:t>5</w:t>
      </w:r>
      <w:r>
        <w:t>. El 1 de junio de 2015 tiene entrada en el registro general de este Tribunal escrito del Fiscal ante el Tribunal Constitucional interesando la declaración de que no se ha producido funcionamiento anormal en la tramitación del recurso de amparo 6208-2011. El Fiscal se refiere a tres contenidos diferenciados del escrito del recurrente. En primer lugar, una impugnación indirecta de la providencia de inadmisión de 25 de febrero de 2013. En segundo lugar, la afirmación de que la Administración de justicia y el Tribunal Constitucional habrían incurrido en responsabilidad solidaria por dilaciones indebidas. En tercer lugar, las peticiones relativas al incidente de nulidad de actuaciones y determinadas medidas de suspensión.</w:t>
      </w:r>
    </w:p>
    <w:p w:rsidR="00B85568" w:rsidRDefault="00B85568" w:rsidP="00B85568">
      <w:pPr>
        <w:pStyle w:val="TextoNormal"/>
      </w:pPr>
    </w:p>
    <w:p w:rsidR="00B85568" w:rsidRDefault="00B85568" w:rsidP="00B85568">
      <w:pPr>
        <w:pStyle w:val="TextoNormal"/>
      </w:pPr>
      <w:r>
        <w:t>Respecto de la primera cuestión planteada, el Ministerio Fiscal razona que el presente procedimiento no está configurado para impugnar indirectamente una resolución del Tribunal Constitucional; resolución que, sujeta únicamente a los recursos que prevé la Ley Orgánica del Tribunal Constitucional, ha devenido ya firme (ATC 234/2013, de 21 de octubre). A su vez, la providencia de inadmisión se ajusta a la Ley Orgánica del Tribunal Constitucional (arts. 86.1 y 50.3) al expresar las causas de inadmisión acompañada de una sucinta explicación. Aunque no cabe revisar ahora las resoluciones impugnadas, el Fiscal añade incidentalmente que estas se acomodarían a la doctrina constitucional sobre el art. 24 CE (SSTC 65/2011, de 16 de mayo; 111/2000, de 5 de mayo, y 56/2006, de 27 de febrero, y ATC 300/2014, de 15 de diciembre).</w:t>
      </w:r>
    </w:p>
    <w:p w:rsidR="00B85568" w:rsidRDefault="00B85568" w:rsidP="00B85568">
      <w:pPr>
        <w:pStyle w:val="TextoNormal"/>
      </w:pPr>
    </w:p>
    <w:p w:rsidR="00B85568" w:rsidRDefault="00B85568" w:rsidP="00B85568">
      <w:pPr>
        <w:pStyle w:val="TextoNormal"/>
      </w:pPr>
      <w:r>
        <w:t>Respecto de la segunda cuestión, el Ministerio Fiscal destaca que el tiempo empleado por el Tribunal para inadmitir el recurso de amparo 6208-2011 (quince meses) es análogo al utilizado en otros casos en que el Tribunal Constitucional ha descartado el funcionamiento anormal (AATC 106/2012, de 22 de mayo; 64/2014, de 10 de marzo; 126/2014, de 5 de mayo, y 173/2014, de 23 de junio). Añade consideraciones relativas a la doctrina constitucional que rechaza la equivalencia entre el incumplimiento de los plazos procesales y las dilaciones indebidas; estas sólo podrían llegar a declararse si el interesado hubiera colaborado con el órgano judicial, denunciando el retraso a fin de remediarlo (ATC 126/2014).</w:t>
      </w:r>
    </w:p>
    <w:p w:rsidR="00B85568" w:rsidRDefault="00B85568" w:rsidP="00B85568">
      <w:pPr>
        <w:pStyle w:val="TextoNormal"/>
      </w:pPr>
    </w:p>
    <w:p w:rsidR="00B85568" w:rsidRDefault="00B85568" w:rsidP="00B85568">
      <w:pPr>
        <w:pStyle w:val="TextoNormal"/>
      </w:pPr>
      <w:r>
        <w:t>En cuanto al tercer aspecto de los planteados por el recurrente, el Ministerio Fiscal se refiere a la doctrina constitucional sobre la nueva configuración del incidente de nulidad de actuaciones (AATC 194/2010, de 2 de diciembre, y 164/2014, de 10 de diciembre), insistiendo en que el Tribunal Constitucional, al dictar la providencia de 25 de febrero de 2013, agotó su jurisdicción respecto del recurso de amparo. Consecuentemente, corresponde apreciar la falta de jurisdicción prevista en el art. 4.2 LOTC, lo que hace inviable declaraciones al margen del concreto contenido de este incidente. En cualquier caso, recuerda el criterio general según el cual no procede la suspensión de las resoluciones judiciales con efectos meramente patrimoniales o económicos (ATC 254/2009, de 28 de octubre).</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objeto de esta resolución es realizar una declaración sobre la existencia de un eventual funcionamiento anormal del Tribunal Constitucional en la tramitación del recurso de amparo núm. 6208-2011.</w:t>
      </w:r>
    </w:p>
    <w:p w:rsidR="00B85568" w:rsidRDefault="00B85568" w:rsidP="00B85568">
      <w:pPr>
        <w:pStyle w:val="TextoNormal"/>
      </w:pPr>
    </w:p>
    <w:p w:rsidR="00B85568" w:rsidRDefault="00B85568" w:rsidP="00B85568">
      <w:pPr>
        <w:pStyle w:val="TextoNormal"/>
      </w:pPr>
      <w:r w:rsidRPr="00B85568">
        <w:rPr>
          <w:rStyle w:val="NumeroAFNegritaCaracter"/>
        </w:rPr>
        <w:t>2</w:t>
      </w:r>
      <w:r>
        <w:t>. El promotor de la presente pieza separada, don Oscar Antón Miguel, ha volcado en su escrito de 20 de enero de 2015 alegaciones de muy diverso signo que requieren en primer término que acotemos adecuadamente el objeto de este procedimiento, teniendo en cuenta que corresponde al propio Tribunal Constitucional delimitar “el ámbito de su jurisdicción”, pudiendo “apreciar de oficio o a instancia de parte su competencia o incompetencia” (art. 4.2 de la Ley Orgánica del Tribunal Constitucional: LOTC).</w:t>
      </w:r>
    </w:p>
    <w:p w:rsidR="00B85568" w:rsidRDefault="00B85568" w:rsidP="00B85568">
      <w:pPr>
        <w:pStyle w:val="TextoNormal"/>
      </w:pPr>
    </w:p>
    <w:p w:rsidR="00B85568" w:rsidRDefault="00B85568" w:rsidP="00B85568">
      <w:pPr>
        <w:pStyle w:val="TextoNormal"/>
      </w:pPr>
      <w:r>
        <w:t>La declaración jurisdiccional que nos encomienda el art. 139.5 de la Ley 30/1992, de 26 de noviembre, de régimen jurídico de las Administraciones públicas y del procedimiento administrativo común (LPC), constituye un trámite previo a la eventual fijación por parte del Consejo de Ministros de una indemnización por la existencia de “un funcionamiento anormal en la tramitación de los recursos de amparo o de las cuestiones de inconstitucionalidad”. Instada la declaración por quien en su momento interpuso el recurso de amparo, este Tribunal no puede emitir más pronunciamiento que el relacionado con la existencia o inexistencia de un funcionamiento anormal en la tramitación de esa demanda de amparo. Ello implica que esta pieza separada no puede servir para replantear las vulneraciones denunciadas ni provocar la revisión de decisiones firmes del Tribunal Constitucional. En general, quedan al margen de ella cualesquiera otras cuestiones, como las relacionadas con la eventual anormalidad funcional verificada en otros procesos tramitados en este Tribunal o en la jurisdicción ordinaria.</w:t>
      </w:r>
    </w:p>
    <w:p w:rsidR="00B85568" w:rsidRDefault="00B85568" w:rsidP="00B85568">
      <w:pPr>
        <w:pStyle w:val="TextoNormal"/>
      </w:pPr>
    </w:p>
    <w:p w:rsidR="00B85568" w:rsidRDefault="00B85568" w:rsidP="00B85568">
      <w:pPr>
        <w:pStyle w:val="TextoNormal"/>
      </w:pPr>
      <w:r>
        <w:t>El promotor de este incidente reitera las alegaciones vertidas en el recurso de amparo núm. 6208-2011, que fue inadmitido mediante providencia de 25 de febrero de 2013 por ser evidente que no se agotaron correctamente todos los medios de impugnación dentro de la vía judicial ordinaria [art. 44.1 a) en relación con el art. 50.1 a), ambos LOTC]. Tales alegaciones desbordan claramente el contenido material de la declaración regulada en el art. 139.5 LPC. A su vez, transcurrido el plazo de tres días desde la notificación de la providencia de inadmisión al Ministerio Fiscal sin que éste interpusiera el recurso de súplica (art. 50.3 LOTC), la indicada providencia devino firme e inatacable (ATC 234/2013, de 21 de octubre, FJ 1). En consecuencia, no cabe examinar ahora las vulneraciones denunciadas en la demanda de amparo.</w:t>
      </w:r>
    </w:p>
    <w:p w:rsidR="00B85568" w:rsidRDefault="00B85568" w:rsidP="00B85568">
      <w:pPr>
        <w:pStyle w:val="TextoNormal"/>
      </w:pPr>
    </w:p>
    <w:p w:rsidR="00B85568" w:rsidRDefault="00B85568" w:rsidP="00B85568">
      <w:pPr>
        <w:pStyle w:val="TextoNormal"/>
      </w:pPr>
      <w:r>
        <w:t>Desbordan igualmente el ámbito de la declaración prevista en el art. 139.5 LPC y quedan, por tanto, al margen de este incidente los reproches que el recurrente dirige al régimen jurídico de la providencia de inadmisión (art. 50.3 LOTC), el incidente de nulidad de actuaciones (art. 241 de la Ley Orgánica del Poder Judicial LOPJ) y la responsabilidad patrimonial del Tribunal Constitucional (art. 139.5 LPC); igualmente, sus consideraciones sobre la interrupción de la prescripción de la reclamación resarcitoria y los recursos interpuestos ante el Tribunal Europeo de Derechos Humanos.</w:t>
      </w:r>
    </w:p>
    <w:p w:rsidR="00B85568" w:rsidRDefault="00B85568" w:rsidP="00B85568">
      <w:pPr>
        <w:pStyle w:val="TextoNormal"/>
      </w:pPr>
    </w:p>
    <w:p w:rsidR="00B85568" w:rsidRDefault="00B85568" w:rsidP="00B85568">
      <w:pPr>
        <w:pStyle w:val="TextoNormal"/>
      </w:pPr>
      <w:r>
        <w:t>Centrado así el presente procedimiento en las alegaciones relativas a las eventuales dilaciones que pudieran fundar la responsabilidad patrimonial, corresponde aún la siguiente acotación sucesiva. El recurrente se limita a afirmar que el tiempo transcurrido entre la formulación del recurso contencioso-administrativo ante el Tribunal Superior de Justicia de Castilla y León y la inadmisión del recurso de amparo es tan amplio que la Administración de justicia y el Tribunal Constitucional habrían incurrido en responsabilidad solidaria o corresponsabilidad por funcionamiento anormal. El Tribunal Constitucional carece de competencia para pronunciarse sobre “el funcionamiento anormal de la Administración de Justicia” (arts. 292 LOPJ y 139.5 LOTC), por lo que nuestro enjuiciamiento habrá de limitarse a verificar las eventuales dilaciones producidas en la tramitación del recurso de amparo núm. 6208-2011.</w:t>
      </w:r>
    </w:p>
    <w:p w:rsidR="00B85568" w:rsidRDefault="00B85568" w:rsidP="00B85568">
      <w:pPr>
        <w:pStyle w:val="TextoNormal"/>
      </w:pPr>
    </w:p>
    <w:p w:rsidR="00B85568" w:rsidRDefault="00B85568" w:rsidP="00B85568">
      <w:pPr>
        <w:pStyle w:val="TextoNormal"/>
      </w:pPr>
      <w:r w:rsidRPr="00B85568">
        <w:rPr>
          <w:rStyle w:val="NumeroAFNegritaCaracter"/>
        </w:rPr>
        <w:t>3</w:t>
      </w:r>
      <w:r>
        <w:t>. Las “dilaciones indebidas” constituyen una especie del funcionamiento anormal que puede llegar a fundar la responsabilidad patrimonial sobre la que debemos pronunciarnos necesariamente con carácter previo con arreglo al art. 139.5 LPC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B85568" w:rsidRDefault="00B85568" w:rsidP="00B85568">
      <w:pPr>
        <w:pStyle w:val="TextoNormal"/>
      </w:pPr>
    </w:p>
    <w:p w:rsidR="00B85568" w:rsidRDefault="00B85568" w:rsidP="00B85568">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asimismo por el juego de otros criterios como la complejidad del litigio, los márgenes ordinarios de duración en supuestos del mismo tipo o el interés que en aquél arriesga el demandante de amparo, su conducta procesal y la de las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y 296/2014, de 15 de diciembre).</w:t>
      </w:r>
    </w:p>
    <w:p w:rsidR="00B85568" w:rsidRDefault="00B85568" w:rsidP="00B85568">
      <w:pPr>
        <w:pStyle w:val="TextoNormal"/>
      </w:pPr>
    </w:p>
    <w:p w:rsidR="00B85568" w:rsidRDefault="00B85568" w:rsidP="00B85568">
      <w:pPr>
        <w:pStyle w:val="TextoNormal"/>
      </w:pPr>
      <w:r>
        <w:t>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o que, tras un lustro de reducción constante del número de nuevos asuntos ingresados en este Tribunal (desde 2006, cuando alcanzó el máximo de 11.741, hasta 2011, cuando esa cifra bajó a los 7.192), se haya invertido la tendencia en los años 2012 y 2013 (7.292 y 7.573 asuntos nuevos, respectivamente), tal como resulta de las memorias anuales elaboradas por este Tribunal.</w:t>
      </w:r>
    </w:p>
    <w:p w:rsidR="00B85568" w:rsidRDefault="00B85568" w:rsidP="00B85568">
      <w:pPr>
        <w:pStyle w:val="TextoNormal"/>
      </w:pPr>
    </w:p>
    <w:p w:rsidR="00B85568" w:rsidRDefault="00B85568" w:rsidP="00B85568">
      <w:pPr>
        <w:pStyle w:val="TextoNormal"/>
      </w:pPr>
      <w:r>
        <w:t>Desde la entrada en el Registro General de este Tribunal de la demanda de amparo —16 de noviembre de 2011— hasta la notificación de la providencia de inadmisión —6 de marzo de 2013— transcurrieron poco más de quince meses; lo que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B85568" w:rsidRDefault="00B85568" w:rsidP="00B85568">
      <w:pPr>
        <w:pStyle w:val="TextoNormal"/>
      </w:pPr>
    </w:p>
    <w:p w:rsidR="00B85568" w:rsidRDefault="00B85568" w:rsidP="00B85568">
      <w:pPr>
        <w:pStyle w:val="TextoNormal"/>
      </w:pPr>
      <w:r>
        <w:t>Por todo lo expuesto, la Sala</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Declarar que no se ha producido funcionamiento anormal en la tramitación del recurso de amparo núm. 6208-2011.</w:t>
      </w:r>
    </w:p>
    <w:p w:rsidR="00B85568" w:rsidRDefault="00B85568" w:rsidP="00B85568">
      <w:pPr>
        <w:pStyle w:val="TextoNormal"/>
      </w:pPr>
    </w:p>
    <w:p w:rsidR="00B85568" w:rsidRDefault="00B85568" w:rsidP="00B85568">
      <w:pPr>
        <w:pStyle w:val="TextoNormal"/>
      </w:pPr>
      <w:r>
        <w:t>Madrid, a veintidós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60" w:name="AUTO_2015_110"/>
      <w:r>
        <w:t>AUTO 110/2015, de 22 de junio de 2015</w:t>
      </w:r>
    </w:p>
    <w:bookmarkEnd w:id="260"/>
    <w:p w:rsidR="00B85568" w:rsidRDefault="00B85568" w:rsidP="00B85568">
      <w:pPr>
        <w:pStyle w:val="TtuloResolucin"/>
      </w:pPr>
      <w:r>
        <w:t>Sección Segunda</w:t>
      </w:r>
    </w:p>
    <w:p w:rsidR="00B85568" w:rsidRDefault="00B85568" w:rsidP="00B85568">
      <w:pPr>
        <w:pStyle w:val="TextoNormalCentrado"/>
      </w:pPr>
      <w:r>
        <w:t>ECLI:ES:TC:2015:110A</w:t>
      </w:r>
    </w:p>
    <w:p w:rsidR="00B85568" w:rsidRDefault="00B85568" w:rsidP="00B85568">
      <w:pPr>
        <w:pStyle w:val="TextoNormalCentrado"/>
      </w:pPr>
    </w:p>
    <w:p w:rsidR="00B85568" w:rsidRDefault="00B85568" w:rsidP="00B85568">
      <w:pPr>
        <w:pStyle w:val="SntesisDescriptiva"/>
      </w:pPr>
      <w:r>
        <w:t>Excms. Srs. don Andrés Ollero Tassara y don Santiago Martínez-Vares García.</w:t>
      </w:r>
    </w:p>
    <w:p w:rsidR="00B85568" w:rsidRDefault="00B85568" w:rsidP="00B85568">
      <w:pPr>
        <w:pStyle w:val="SntesisDescriptiva"/>
      </w:pPr>
    </w:p>
    <w:p w:rsidR="00B85568" w:rsidRDefault="00B85568" w:rsidP="00B85568">
      <w:pPr>
        <w:pStyle w:val="SntesisDescriptiva"/>
      </w:pPr>
      <w:r>
        <w:t>Desestima el recurso de súplica del Ministerio Fiscal sobre inadmisión del recurso de amparo 3759-2013, promovido por don José Juan Arroyo Luelmo en proceso contencioso-administrativo.</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Por escrito presentado en el Registro General de este Tribunal el 18 de junio de 2013, don José Juan Arroyo Luelmo solicitaba la anulación de las resoluciones de Director Gerente del INVIFAS y de la Sentencia de 12 de febrero de 2103 de la Sala de lo Contencioso-Administrativo del Tribunal Superior de Justicia de Cataluña y el Auto de 7 de mayo de 2013 que desestimaba el correspondiente incidente de nulidad, porque, a su juicio, vulneraban su derecho fundamental a la tutela judicial efectiva, art. 24 CE.</w:t>
      </w:r>
    </w:p>
    <w:p w:rsidR="00B85568" w:rsidRDefault="00B85568" w:rsidP="00B85568">
      <w:pPr>
        <w:pStyle w:val="TextoNormal"/>
      </w:pPr>
    </w:p>
    <w:p w:rsidR="00B85568" w:rsidRDefault="00B85568" w:rsidP="00B85568">
      <w:pPr>
        <w:pStyle w:val="TextoNormal"/>
      </w:pPr>
      <w:r w:rsidRPr="00B85568">
        <w:rPr>
          <w:rStyle w:val="NumeroAFNegritaCaracter"/>
        </w:rPr>
        <w:t>2</w:t>
      </w:r>
      <w:r>
        <w:t>. Mediante providencia de 13 de abril de 2015, la Sección Segunda del Tribunal Constitucional, acordó inadmitir el recurso presentado por don José Juan Arroyo Luelmo de conformidad con lo dispuesto en el art. 50.1 a) de la Ley Orgánica del Tribunal Constitucional (LOTC), en relación con su art. 44.1 a), al considerarse que no se habían agotado debidamente todos los medios de impugnación dentro de la vía judicial.</w:t>
      </w:r>
    </w:p>
    <w:p w:rsidR="00B85568" w:rsidRDefault="00B85568" w:rsidP="00B85568">
      <w:pPr>
        <w:pStyle w:val="TextoNormal"/>
      </w:pPr>
    </w:p>
    <w:p w:rsidR="00B85568" w:rsidRDefault="00B85568" w:rsidP="00B85568">
      <w:pPr>
        <w:pStyle w:val="TextoNormal"/>
      </w:pPr>
      <w:r w:rsidRPr="00B85568">
        <w:rPr>
          <w:rStyle w:val="NumeroAFNegritaCaracter"/>
        </w:rPr>
        <w:t>3</w:t>
      </w:r>
      <w:r>
        <w:t>. Mediante escrito de 20 de mayo de 2015, el Ministerio Fiscal presentó recurso de súplica frente a la providencia de inadmisión.</w:t>
      </w:r>
    </w:p>
    <w:p w:rsidR="00B85568" w:rsidRDefault="00B85568" w:rsidP="00B85568">
      <w:pPr>
        <w:pStyle w:val="TextoNormal"/>
      </w:pPr>
    </w:p>
    <w:p w:rsidR="00B85568" w:rsidRDefault="00B85568" w:rsidP="00B85568">
      <w:pPr>
        <w:pStyle w:val="TextoNormal"/>
      </w:pPr>
      <w:r>
        <w:t>Explica el Ministerio Fiscal que la Sentencia impugnada se dictó en única instancia y en materia de personal, de conformidad con lo previsto en el art. 10. 1. i) en relación con el art. 9 c) y 13 a) y c) de la Ley reguladora de la jurisdicción contencioso-administrativa (LJCA), dado que el recurso se interpuso contra un acto del Director Gerente del Instituto para la Vivienda, organismo autónomo del Ministerio de Defensa, con competencia en el territorio nacional de nivel orgánico inferior a Ministro o a Secretario de Estado. Por ello, considera que la indicación de la procedencia del recurso de casación contra una sentencia dictada en única instancia por la Sala de lo Contencioso-Administrativo del Tribunal Superior de Justicia de Cataluña, es contraria a lo establecido en el art. 86.2 a) LJCA.</w:t>
      </w:r>
    </w:p>
    <w:p w:rsidR="00B85568" w:rsidRDefault="00B85568" w:rsidP="00B85568">
      <w:pPr>
        <w:pStyle w:val="TextoNormal"/>
      </w:pPr>
    </w:p>
    <w:p w:rsidR="00B85568" w:rsidRDefault="00B85568" w:rsidP="00B85568">
      <w:pPr>
        <w:pStyle w:val="TextoNormal"/>
      </w:pPr>
      <w:r>
        <w:t>Considera el Fiscal, en síntesis, que la instrucción de recursos que la Sentencia impugnada en amparo ofrecía era errónea y que, por lo tanto, la parte recurrente no tiene la obligación de seguir tal instrucción de recursos si considera que el recurso ofrecido no se ajusta a Derecho. Para justificar su posición cita la STC 241/2006, y concluye afirmado que no es posible hacer recaer en el recurrente la carga de atender a una posible indicación errónea sobre la procedencia de un recurso que contradice lo previsto en la ley, en orden a salvaguardar el presupuesto procesal del agotamiento de los medios de impugnación.</w:t>
      </w:r>
    </w:p>
    <w:p w:rsidR="00B85568" w:rsidRDefault="00B85568" w:rsidP="00B85568">
      <w:pPr>
        <w:pStyle w:val="TextoNormal"/>
      </w:pPr>
    </w:p>
    <w:p w:rsidR="00B85568" w:rsidRDefault="00B85568" w:rsidP="00B85568">
      <w:pPr>
        <w:pStyle w:val="TextoNormal"/>
      </w:pPr>
      <w:r>
        <w:t>Solicita por ello que se deje sin efecto la providencia de 13 de abril de 2015, sin perjuicio de cualquier otra valoración que el Tribunal pueda realizar en cuanto a la admisibilidad del recurso de amparo.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diligencia de ordenación de 25 de mayo de 2015, la Sección Segunda del Tribunal Constitucional tuvo por recibido el recurso del Ministerio Fiscal y, de conformidad con el art. 50.3 LOTC, acordó dar traslado al recurrente por el plazo de tres días para alegara lo que estimara oportuno.</w:t>
      </w:r>
    </w:p>
    <w:p w:rsidR="00B85568" w:rsidRDefault="00B85568" w:rsidP="00B85568">
      <w:pPr>
        <w:pStyle w:val="TextoNormal"/>
      </w:pPr>
    </w:p>
    <w:p w:rsidR="00B85568" w:rsidRDefault="00B85568" w:rsidP="00B85568">
      <w:pPr>
        <w:pStyle w:val="TextoNormal"/>
      </w:pPr>
      <w:r w:rsidRPr="00B85568">
        <w:rPr>
          <w:rStyle w:val="NumeroAFNegritaCaracter"/>
        </w:rPr>
        <w:t>5</w:t>
      </w:r>
      <w:r>
        <w:t>. El recurrente, mediante escrito de 1 de junio de 2015, manifestó que agotó correctamente la vía judicial previa y que no acudió al recurso de casación ofrecido por el Tribunal Superior de Justicia de Cataluña, por considerarlo un error del órgano judicial puesto que al tratarse el asunto de un tema de personal, la Ley reguladora de la jurisdicción contencioso-administrativa no prevé tal recurso en estos supuestos.</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t>Único. Como se ha señalado en los antecedentes, el recurso de amparo interpuesto por don José Juan Arroyo Luelmo contra las resoluciones de Director Gerente del INVIFAS y contra la Sentencia de 12 de febrero de 2103 de la Sala de lo Contencioso-Administrativo del Tribunal Superior de Justicia de Cataluña y el Auto que desestimaba el correspondiente incidente de nulidad, fue inadmitido mediante providencia de la Sección Segunda de este Tribunal Constitucional de fecha 13 de abril de 2015, de conformidad con lo dispuesto en el art. 50.1 a) de la Ley Orgánica del Tribunal Constitucional (LOTC), en relación con su art. 44.1 a), al considerarse que no se habían agotado debidamente todos los medios de impugnación dentro de la vía judicial.</w:t>
      </w:r>
    </w:p>
    <w:p w:rsidR="00B85568" w:rsidRDefault="00B85568" w:rsidP="00B85568">
      <w:pPr>
        <w:pStyle w:val="TextoNormal"/>
      </w:pPr>
    </w:p>
    <w:p w:rsidR="00B85568" w:rsidRDefault="00B85568" w:rsidP="00B85568">
      <w:pPr>
        <w:pStyle w:val="TextoNormal"/>
      </w:pPr>
      <w:r>
        <w:t>La Sentencia que se recurría en amparo contenía una clara instrucción de recursos informando a la parte de que frente a la misma cabía interponer recurso de casación en el plazo de diez días desde su notificación. El recurrente, ignorando tal información, interpuso, en virtud de los arts. 214 y 215 de la Ley de enjuiciamiento civil, procedimiento de subsanación de errores materiales y de complemento de Sentencia. Tal solicitud fue resuelta como un incidente de nulidad, desestimando las peticiones del recurrente.</w:t>
      </w:r>
    </w:p>
    <w:p w:rsidR="00B85568" w:rsidRDefault="00B85568" w:rsidP="00B85568">
      <w:pPr>
        <w:pStyle w:val="TextoNormal"/>
      </w:pPr>
    </w:p>
    <w:p w:rsidR="00B85568" w:rsidRDefault="00B85568" w:rsidP="00B85568">
      <w:pPr>
        <w:pStyle w:val="TextoNormal"/>
      </w:pPr>
      <w:r>
        <w:t>Es cierto, como pone de manifiesto el Ministerio Fiscal en su recurso de súplica, que el recurrente no está obligado a seguir una instrucción de recurso si considera que es errónea, pero también lo es que, de acuerdo con la doctrina establecida en la STC 241/2006, ningún perjuicio en cuanto al correcto agotamiento de la vía judicial previa conllevará el obedecer la instrucción de recursos ofrecida por un órgano judicial, aunque la misma sea equivocada. Ahora bien, el demandante de amparo que bajo su responsabilidad decide desatender la instrucción de recurso ofrecida, adquiere la carga de argumentar en la demanda de amparo las razones que le llevaron a adoptar tal decisión, a efectos de justificar el cumplimiento del requisito de agotamiento de todos los medios de impugnación en la vía judicial, art. 44.1 a) LOTC. En el presente caso, el recurrente guardó silencio en la demanda de amparo acerca de la viabilidad o no del recurso de casación ofrecido; las dudas sobre la procedencia o no de tal recurso deberían haber sido argumentadas en la demanda de amparo en base a dos principios, el deber de diligencia de la parte para velar por sus propios intereses y el deber de colaboración con el Tribunal a la hora de exponer el cumplimiento de los requisitos procesales del recurso de amparo.</w:t>
      </w:r>
    </w:p>
    <w:p w:rsidR="00B85568" w:rsidRDefault="00B85568" w:rsidP="00B85568">
      <w:pPr>
        <w:pStyle w:val="TextoNormal"/>
      </w:pPr>
    </w:p>
    <w:p w:rsidR="00B85568" w:rsidRDefault="00B85568" w:rsidP="00B85568">
      <w:pPr>
        <w:pStyle w:val="TextoNormal"/>
      </w:pPr>
      <w:r>
        <w:t>Por lo dicho, procede desestimar el recurso planteado por el Ministerio Fiscal y confirmar la providencia impugnada.</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Desestimar el recurso de súplica planteado por el Ministerio Fiscal.</w:t>
      </w:r>
    </w:p>
    <w:p w:rsidR="00B85568" w:rsidRDefault="00B85568" w:rsidP="00B85568">
      <w:pPr>
        <w:pStyle w:val="TextoNormal"/>
      </w:pPr>
    </w:p>
    <w:p w:rsidR="00B85568" w:rsidRDefault="00B85568" w:rsidP="00B85568">
      <w:pPr>
        <w:pStyle w:val="TextoNormal"/>
      </w:pPr>
      <w:r>
        <w:t>Madrid, a veintidós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61" w:name="AUTO_2015_111"/>
      <w:r>
        <w:t>AUTO 111/2015, de 23 de junio de 2015</w:t>
      </w:r>
    </w:p>
    <w:bookmarkEnd w:id="261"/>
    <w:p w:rsidR="00B85568" w:rsidRDefault="00B85568" w:rsidP="00B85568">
      <w:pPr>
        <w:pStyle w:val="TtuloResolucin"/>
      </w:pPr>
      <w:r>
        <w:t>Pleno</w:t>
      </w:r>
    </w:p>
    <w:p w:rsidR="00B85568" w:rsidRDefault="00B85568" w:rsidP="00B85568">
      <w:pPr>
        <w:pStyle w:val="TextoNormalCentrado"/>
      </w:pPr>
      <w:r>
        <w:t>ECLI:ES:TC:2015:111A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5880-2014, planteada por la Sala de lo Contencioso-Administrativo de la Audiencia Nacional en relación con el artículo 191.6 de la Ley 58/2003, de 17 de diciembre, general tributaria.</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xml:space="preserve">. El día 1 de octubre de 2014 tuvo entrada en el Registro General de este Tribunal escrito de la Sala de lo Contencioso-Administrativo, Sección Sexta, de la Audiencia Nacional, al que se acompaña, junto al testimonio del correspondiente procedimiento, el Auto de 11 de julio de 2014, mediante el que se acuerda elevar a este Tribunal cuestión de inconstitucionalidad respecto del art. 191.6 de la Ley 58/2003, de 17 de diciembre, general tributaria (LGT en lo que sigue), en relación con el art. 191.1.4 párrafo y 191.2 </w:t>
      </w:r>
      <w:r w:rsidRPr="00B85568">
        <w:rPr>
          <w:i/>
        </w:rPr>
        <w:t>in fine</w:t>
      </w:r>
      <w:r>
        <w:t>, del mismo texto legal, por posible vulneración de los arts. 14, 31.1, 9.3 y 25.1 CE.</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 la presente cuestión de inconstitucionalidad son, en síntesis, los siguientes:</w:t>
      </w:r>
    </w:p>
    <w:p w:rsidR="00B85568" w:rsidRDefault="00B85568" w:rsidP="00B85568">
      <w:pPr>
        <w:pStyle w:val="TextoNormal"/>
      </w:pPr>
    </w:p>
    <w:p w:rsidR="00B85568" w:rsidRDefault="00B85568" w:rsidP="00B85568">
      <w:pPr>
        <w:pStyle w:val="TextoNormal"/>
      </w:pPr>
      <w:r>
        <w:t>a) Mediante acuerdo de 22 de febrero de 2005, la Dependencia de Gestión Tributaria de Agencia Estatal de Administración Tributaria (AEAT) de Lleida, impuso a la entidad POMPEU 6, S.L., una sanción de 230.445,88 €. La sanción se debe a la conducta consistente en diferir conscientemente el impuesto sobre el valor añadido (IVA) repercutido, del tercer al cuarto trimestre del ejercicio 2003. La sanción se califica como leve.</w:t>
      </w:r>
    </w:p>
    <w:p w:rsidR="00B85568" w:rsidRDefault="00B85568" w:rsidP="00B85568">
      <w:pPr>
        <w:pStyle w:val="TextoNormal"/>
      </w:pPr>
    </w:p>
    <w:p w:rsidR="00B85568" w:rsidRDefault="00B85568" w:rsidP="00B85568">
      <w:pPr>
        <w:pStyle w:val="TextoNormal"/>
      </w:pPr>
      <w:r>
        <w:t>La entidad recurrió la sanción alegando falta de culpabilidad y desproporción del importe de la misma, dado que la conducta había consistido en un retraso en la declaración del IVA repercutido y devengado en el tercer trimestre de 2003 (con fecha 31 julio 2003, fecha de la escritura de transmisión del inmueble que da origen al IVA repercutido) y que fue declarado por el sujeto pasivo en el cuarto trimestre del ejercicio, por ser dicho trimestre el que comenzaba en la fecha de la factura de la venta de un inmueble, el 1 de octubre de 2003. Fue esta discordancia entre las fechas —de transmisión del inmueble y de factura— lo que motivó la correspondiente regularización inspectora y la imposición de la sanción correspondiente, al entender la inspección de tributos que dicha declaración debía haberse realizado en el tercer trimestre de 2003, y no en el cuarto.</w:t>
      </w:r>
    </w:p>
    <w:p w:rsidR="00B85568" w:rsidRDefault="00B85568" w:rsidP="00B85568">
      <w:pPr>
        <w:pStyle w:val="TextoNormal"/>
      </w:pPr>
    </w:p>
    <w:p w:rsidR="00B85568" w:rsidRDefault="00B85568" w:rsidP="00B85568">
      <w:pPr>
        <w:pStyle w:val="TextoNormal"/>
      </w:pPr>
      <w:r>
        <w:t>La vía administrativa quedó agotada mediante la resolución del Tribunal Económico Administrativo Central, de 24 de mayo de 2012, que desestimó en su integridad las pretensiones.</w:t>
      </w:r>
    </w:p>
    <w:p w:rsidR="00B85568" w:rsidRDefault="00B85568" w:rsidP="00B85568">
      <w:pPr>
        <w:pStyle w:val="TextoNormal"/>
      </w:pPr>
    </w:p>
    <w:p w:rsidR="00B85568" w:rsidRDefault="00B85568" w:rsidP="00B85568">
      <w:pPr>
        <w:pStyle w:val="TextoNormal"/>
      </w:pPr>
      <w:r>
        <w:t>Frente a la anterior resolución la representación procesal de la entidad interpuso recurso contencioso-administrativo ante la Sala que promueve la presente cuestión de inconstitucionalidad, alegando falta de proporcionalidad de la sanción, e inexistencia de culpabilidad.</w:t>
      </w:r>
    </w:p>
    <w:p w:rsidR="00B85568" w:rsidRDefault="00B85568" w:rsidP="00B85568">
      <w:pPr>
        <w:pStyle w:val="TextoNormal"/>
      </w:pPr>
    </w:p>
    <w:p w:rsidR="00B85568" w:rsidRDefault="00B85568" w:rsidP="00B85568">
      <w:pPr>
        <w:pStyle w:val="TextoNormal"/>
      </w:pPr>
      <w:r>
        <w:t xml:space="preserve">b) Concluso el procedimiento y dentro del plazo para dictar sentencia, el día 17 de marzo de 2014 la Sala de lo Contencioso-Administrativo de la Audiencia Nacional dictó providencia acordando oír a las partes y al Ministerio Fiscal, en el plazo de diez días, acerca de la pertinencia de plantear una cuestión de inconstitucionalidad acerca del artículo 191.6 de la Ley general tributaria 58/2003, de 17 de diciembre (LGT), en relación con el art. 191.1.4 párrafo y 191.2 </w:t>
      </w:r>
      <w:r w:rsidRPr="00B85568">
        <w:rPr>
          <w:i/>
        </w:rPr>
        <w:t>in fine</w:t>
      </w:r>
      <w:r>
        <w:t>, del mismo texto legal, por posible vulneración de los arts. 31.1, 9.3 y 25.1 CE.</w:t>
      </w:r>
    </w:p>
    <w:p w:rsidR="00B85568" w:rsidRDefault="00B85568" w:rsidP="00B85568">
      <w:pPr>
        <w:pStyle w:val="TextoNormal"/>
      </w:pPr>
    </w:p>
    <w:p w:rsidR="00B85568" w:rsidRDefault="00B85568" w:rsidP="00B85568">
      <w:pPr>
        <w:pStyle w:val="TextoNormal"/>
      </w:pPr>
      <w:r>
        <w:t xml:space="preserve">c) La representación del demandante manifestó su oposición al planteamiento de la cuestión de inconstitucionalidad. Comienza recalcando que en este caso se ha conculcado efectivamente el principio de proporcionalidad al imponer una sanción en un supuesto en el que se ha realizado efectivamente el ingreso de la deuda tributaria incluso antes de haberle sido exigido su pago por la propia Administración. Por ello en general coincide con la conculcación de los preceptos constitucionales a que se refiere la providencia. En este sentido, se insiste en que se pretende penalizar la conducta de la entidad con el mismo gravamen que habría correspondido a la conducta, completamente distinta, del que jamás ingresa la deuda tributaria, siendo así que el perjuicio en uno y otro caso es sustancialmente diferente. Considera que una interpretación justa del art. 191.2 LGT </w:t>
      </w:r>
      <w:r w:rsidRPr="00B85568">
        <w:rPr>
          <w:i/>
        </w:rPr>
        <w:t>in fine</w:t>
      </w:r>
      <w:r>
        <w:t xml:space="preserve"> requeriría tener en cuenta que se establece como criterio general un tipo sancionador fijo de 50 por 100 para aquellas infracciones que supongan dejar de ingresar una deuda tributaria que no supere los 3.000 €. Por consiguiente, dado que la base para el cálculo de la sanción se corresponde con la suma dejada de ingresar, al establecer ese tipo del 50 por 100 el legislador estaba pensando en una sanción que, a lo sumo, podría alcanzar la cantidad de 1.500 €, absolutamente dispar con la que se prevé como sanción en el presente caso, que representa un 10.000 por 100 más. Concluye que la propia Sala promotora de la cuestión podría haber realizado una aplicación de los preceptos de la Ley general tributaria coherente con el principio de proporcionalidad, revisando así la interpretación realizada por la Administración tributaria.</w:t>
      </w:r>
    </w:p>
    <w:p w:rsidR="00B85568" w:rsidRDefault="00B85568" w:rsidP="00B85568">
      <w:pPr>
        <w:pStyle w:val="TextoNormal"/>
      </w:pPr>
    </w:p>
    <w:p w:rsidR="00B85568" w:rsidRDefault="00B85568" w:rsidP="00B85568">
      <w:pPr>
        <w:pStyle w:val="TextoNormal"/>
      </w:pPr>
      <w:r>
        <w:t>El Abogado del Estado, mediante escrito de 10 de abril de 2014, manifestó igualmente su oposición al planteamiento de la cuestión considerando correcta la imposición de la sanción sobre la cantidad dejada de ingresar en el periodo correspondiente, cantidad que se ingresa disfrazada como de otro en la práctica conocida como “decalaje”.</w:t>
      </w:r>
    </w:p>
    <w:p w:rsidR="00B85568" w:rsidRDefault="00B85568" w:rsidP="00B85568">
      <w:pPr>
        <w:pStyle w:val="TextoNormal"/>
      </w:pPr>
    </w:p>
    <w:p w:rsidR="00B85568" w:rsidRDefault="00B85568" w:rsidP="00B85568">
      <w:pPr>
        <w:pStyle w:val="TextoNormal"/>
      </w:pPr>
      <w:r>
        <w:t>El Ministerio Fiscal, mediante escrito de 11 de junio de 2014, considera que, limitado el informe a la pertinencia de plantear la cuestión de inconstitucionalidad, y sin que proceda a entrar en el fondo del asunto, el necesario juicio de relevancia que ha de hacerse está correctamente planteado, correspondiendo a la Sala resolver sobre el planteamiento de la cuestión en los términos previstos en el art. 35 de la Ley Orgánica del Tribunal Constitucional (LOTC).</w:t>
      </w:r>
    </w:p>
    <w:p w:rsidR="00B85568" w:rsidRDefault="00B85568" w:rsidP="00B85568">
      <w:pPr>
        <w:pStyle w:val="TextoNormal"/>
      </w:pPr>
    </w:p>
    <w:p w:rsidR="00B85568" w:rsidRDefault="00B85568" w:rsidP="00B85568">
      <w:pPr>
        <w:pStyle w:val="TextoNormal"/>
      </w:pPr>
      <w:r>
        <w:t xml:space="preserve">d) El órgano judicial dictó Auto de 11 de julio de 2014, planteando cuestión de inconstitucionalidad sobre el art. 191.6 de la Ley general tributaria 58/2003, de 17 de diciembre, en relación con el art. 191.1.4 párrafo y 191.2 </w:t>
      </w:r>
      <w:r w:rsidRPr="00B85568">
        <w:rPr>
          <w:i/>
        </w:rPr>
        <w:t>in fine</w:t>
      </w:r>
      <w:r>
        <w:t>, del mismo texto legal, por posible vulneración de los arts. 31.1, 9.3 y 25.1 CE.</w:t>
      </w:r>
    </w:p>
    <w:p w:rsidR="00B85568" w:rsidRDefault="00B85568" w:rsidP="00B85568">
      <w:pPr>
        <w:pStyle w:val="TextoNormal"/>
      </w:pPr>
    </w:p>
    <w:p w:rsidR="00B85568" w:rsidRDefault="00B85568" w:rsidP="00B85568">
      <w:pPr>
        <w:pStyle w:val="TextoNormal"/>
      </w:pPr>
      <w:r w:rsidRPr="00B85568">
        <w:rPr>
          <w:rStyle w:val="NumeroAFNegritaCaracter"/>
        </w:rPr>
        <w:t>3</w:t>
      </w:r>
      <w:r>
        <w:t>. El Auto de 11 de junio de 2014 fundamenta el planteamiento de la cuestión de inconstitucionalidad en las consideraciones que seguidamente, y de forma resumida, se indican:</w:t>
      </w:r>
    </w:p>
    <w:p w:rsidR="00B85568" w:rsidRDefault="00B85568" w:rsidP="00B85568">
      <w:pPr>
        <w:pStyle w:val="TextoNormal"/>
      </w:pPr>
    </w:p>
    <w:p w:rsidR="00B85568" w:rsidRDefault="00B85568" w:rsidP="00B85568">
      <w:pPr>
        <w:pStyle w:val="TextoNormal"/>
      </w:pPr>
      <w:r>
        <w:t>a) Comienza el razonamiento del Auto exponiendo de manera breve el asunto que motiva el planteamiento de la cuestión.</w:t>
      </w:r>
    </w:p>
    <w:p w:rsidR="00B85568" w:rsidRDefault="00B85568" w:rsidP="00B85568">
      <w:pPr>
        <w:pStyle w:val="TextoNormal"/>
      </w:pPr>
    </w:p>
    <w:p w:rsidR="00B85568" w:rsidRDefault="00B85568" w:rsidP="00B85568">
      <w:pPr>
        <w:pStyle w:val="TextoNormal"/>
      </w:pPr>
      <w:r>
        <w:t>La entidad POMPEU 6, S. L., fue sancionada en virtud del art. 191.6 LGT por haber incurrido en un retraso en la declaración del IVA correspondiente a una compraventa de un inmueble. Dicha compraventa se formalizó en escritura de fecha 31 de julio de 2003 (tercer trimestre del año), si bien la factura de la venta del inmueble es de 1 de octubre de 2003 (cuarto trimestre). La entidad declaró el IVA devengado en el cuarto trimestre del ejercicio. La Administración tributaria consideró que había que estar a la fecha de escritura, de manera que debería haberse declarado en el tercer trimestre, y no en el cuarto. A consecuencia de lo anterior la Dependencia de Gestión Tributaria de Agencia Estatal de Administración Tributaria (AEAT) de Lleida, en aplicación del citado art. 191.6 LGT dictó acuerdo sancionador 22 de febrero de 2005, en cuantía de 230.445,88 €, correspondiente al 50 por 100 de la cuota cuya declaración e ingreso se había producido en el cuarto trimestre del año en lugar de, como habría sido correcto, en el tercero.</w:t>
      </w:r>
    </w:p>
    <w:p w:rsidR="00B85568" w:rsidRDefault="00B85568" w:rsidP="00B85568">
      <w:pPr>
        <w:pStyle w:val="TextoNormal"/>
      </w:pPr>
    </w:p>
    <w:p w:rsidR="00B85568" w:rsidRDefault="00B85568" w:rsidP="00B85568">
      <w:pPr>
        <w:pStyle w:val="TextoNormal"/>
      </w:pPr>
      <w:r>
        <w:t>b) Relatados así los hechos, se refiere el Auto a la práctica conocida como “decalaje” en el IVA, consistente en el retraso en la declaración del impuesto repercutido y devengado por parte del sujeto pasivo. Tras exponer la conducta descrita en el art. 191.6 LGT, en conexión con el art. 27.4 LGT, se refiere a las Sentencias del Tribunal Supremo de 27 de septiembre de 2010 (recurso 308-2008); de 7 de noviembre de 2011 (recurso 74-2010) y 18 de noviembre de 2010 (recurso 261-2007), afirmando a continuación que dicha jurisprudencia “no ha concretado expresamente los términos o parámetros sobre los que debe fijarse la base sancionadora”. A continuación, cita las Sentencias de esta misma Sala de la Audiencia Nacional, de 21 noviembre 2013 (recurso 278-2012) y de 17 diciembre 2013 (recurso 486-2012), en las que se consideró sancionable la citada conducta pero considerando aplicable la sanción no sobre la cuota, sino sobre la cuantía de los intereses de demora correspondientes al retraso.</w:t>
      </w:r>
    </w:p>
    <w:p w:rsidR="00B85568" w:rsidRDefault="00B85568" w:rsidP="00B85568">
      <w:pPr>
        <w:pStyle w:val="TextoNormal"/>
      </w:pPr>
    </w:p>
    <w:p w:rsidR="00B85568" w:rsidRDefault="00B85568" w:rsidP="00B85568">
      <w:pPr>
        <w:pStyle w:val="TextoNormal"/>
      </w:pPr>
      <w:r>
        <w:t xml:space="preserve">c) Centra la duda de constitucionalidad en la desproporción que supone la cuantía de la sanción, que alcanza el 50 por 100 de la cuota, en los casos en no se cumplen los requisitos para la regularización tributaria previstos en el artículo 27. Su apartado cuarto dispone que, para que pueda ser aplicable el recargo en lugar de la sanción, las autoliquidaciones extemporáneas deberán identificar expresamente el período impositivo de liquidación al que se refieren y deberán contener únicamente los datos relativos a dicho periodo. En estos casos, la Administración tributaria tiene en cuenta como base sancionadora la que resulta del artículo 191.1 </w:t>
      </w:r>
      <w:r w:rsidRPr="00B85568">
        <w:rPr>
          <w:i/>
        </w:rPr>
        <w:t>in fine</w:t>
      </w:r>
      <w:r>
        <w:t>, que dispone que la base de la sanción sea la cuantía no ingresada en la autoliquidación como consecuencia de la comisión de la infracción.</w:t>
      </w:r>
    </w:p>
    <w:p w:rsidR="00B85568" w:rsidRDefault="00B85568" w:rsidP="00B85568">
      <w:pPr>
        <w:pStyle w:val="TextoNormal"/>
      </w:pPr>
    </w:p>
    <w:p w:rsidR="00B85568" w:rsidRDefault="00B85568" w:rsidP="00B85568">
      <w:pPr>
        <w:pStyle w:val="TextoNormal"/>
      </w:pPr>
      <w:r>
        <w:t>Se refiere a continuación a la doctrina del Tribunal Constitucional, en relación con la posibilidad de controlar la constitucionalidad de las normas legales; en concreto a la STC 61/1997 en cuyo fundamento jurídico 12 se refería que para entender que una norma es desproporcionada ha de concurrir un desequilibrio patente y excesivo o irrazonable entre la sanción y la finalidad de la norma a partir de las pautas axiológicas constitucionalmente indiscutibles. De esta manera, para entender que la norma es desproporcionada deberá concurrir tal desequilibrio, o lo que es lo mismo, un patente derroche inútil de coacción que convierte a la norma en arbitraria y que socava los principios elementales de justicia inherentes a la dignidad de la persona y al estado de derecho, o una actividad pública arbitraria y no respetuosa con la dignidad de la persona.</w:t>
      </w:r>
    </w:p>
    <w:p w:rsidR="00B85568" w:rsidRDefault="00B85568" w:rsidP="00B85568">
      <w:pPr>
        <w:pStyle w:val="TextoNormal"/>
      </w:pPr>
    </w:p>
    <w:p w:rsidR="00B85568" w:rsidRDefault="00B85568" w:rsidP="00B85568">
      <w:pPr>
        <w:pStyle w:val="TextoNormal"/>
      </w:pPr>
      <w:r>
        <w:t>d) Con base en lo anterior considera que resulta desproporcionado el resultado toda vez que una interpretación conjunta del art. 191.6 LGT en relación con el apartado primero del mismo precepto puede ocasionar que quien no ha regularizado la deuda tributaria en los términos del art. 27.4 LGT pueda verse sujeto a la misma sanción, o parecida en su cuantía, que quien no ha realizado ingreso alguno.</w:t>
      </w:r>
    </w:p>
    <w:p w:rsidR="00B85568" w:rsidRDefault="00B85568" w:rsidP="00B85568">
      <w:pPr>
        <w:pStyle w:val="TextoNormal"/>
      </w:pPr>
    </w:p>
    <w:p w:rsidR="00B85568" w:rsidRDefault="00B85568" w:rsidP="00B85568">
      <w:pPr>
        <w:pStyle w:val="TextoNormal"/>
      </w:pPr>
      <w:r>
        <w:t>Se concluye haciendo hincapié en que la aplicación del art. 191.6 sobre el criterio fijado en el art. 191.1.4 para determinar la base sancionadora y sobre un tipo único del 50 por 100 que no admite graduación, puede ser contraria al principio de igualdad al poderse sancionar con la misma cuantía a quienes regularizan tardíamente incumpliendo las obligaciones formales del art. 27.4 LGT, frente a quien no realiza ingreso alguno, añadiendo la patente desproporción entre la gravedad de la conducta y la cuantía sancionadora, lo que puede suponer a su vez arbitrariedad.</w:t>
      </w:r>
    </w:p>
    <w:p w:rsidR="00B85568" w:rsidRDefault="00B85568" w:rsidP="00B85568">
      <w:pPr>
        <w:pStyle w:val="TextoNormal"/>
      </w:pPr>
    </w:p>
    <w:p w:rsidR="00B85568" w:rsidRDefault="00B85568" w:rsidP="00B85568">
      <w:pPr>
        <w:pStyle w:val="TextoNormal"/>
      </w:pPr>
      <w:r>
        <w:t xml:space="preserve">En concreto, la duda de inconstitucionalidad se plantea respecto del art. 191.6 LGT, en relación con el art. 191.1.4 párrafo y 191.2 </w:t>
      </w:r>
      <w:r w:rsidRPr="00B85568">
        <w:rPr>
          <w:i/>
        </w:rPr>
        <w:t>in fine</w:t>
      </w:r>
      <w:r>
        <w:t>, del mismo texto legal, por posible vulneración del principio de proporcionalidad de las sanciones administrativas del art. 25.1 CE, en relación con el principio de interdicción de la arbitrariedad del art. 9.3 CE y el principio de igualdad del art. 14 en relación con el art. 31.1 CE.</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14 de abril de 2015, la Sección Segunda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5</w:t>
      </w:r>
      <w:r>
        <w:t>. El Fiscal General del Estado evacuó el trámite conferido mediante escrito registrado el 20 de mayo de 2015, en el que considera que la cuestión de inconstitucionalidad es inadmisible por entender que carecen manifiestamente de fundamento las dudas suscitadas por el órgano judicial que la ha promovido, alegando en síntesis lo siguiente:</w:t>
      </w:r>
    </w:p>
    <w:p w:rsidR="00B85568" w:rsidRDefault="00B85568" w:rsidP="00B85568">
      <w:pPr>
        <w:pStyle w:val="TextoNormal"/>
      </w:pPr>
    </w:p>
    <w:p w:rsidR="00B85568" w:rsidRDefault="00B85568" w:rsidP="00B85568">
      <w:pPr>
        <w:pStyle w:val="TextoNormal"/>
      </w:pPr>
      <w:r>
        <w:t>a) Tras recoger de forma sucinta los antecedentes del presente asunto, destaca la identidad entre la presente cuestión de inconstitucionalidad y la número 4430-2014, planteada por la misma Sección Sexta de la Sala de lo Contencioso-Administrativo de la Audiencia Nacional, por Auto de 3 de junio de 2014 con respecto de los mismos preceptos de la Ley general tributaria y denunciando la infracción de los mismos preceptos constitucionales. Sobre la cuestión de inconstitucionalidad 4430-2014 el mismo Fiscal alegó acerca de su inadmisión, siendo las alegaciones acogidas por el Pleno del Tribunal Constitucional en su ATC 20/2015, de 3 de febrero, que procedió a inadmitir la cuestión de inconstitucionalidad por ser notoriamente infundada. Anuncia así que en lo que sigue reproducirá las alegaciones hechas en la anterior.</w:t>
      </w:r>
    </w:p>
    <w:p w:rsidR="00B85568" w:rsidRDefault="00B85568" w:rsidP="00B85568">
      <w:pPr>
        <w:pStyle w:val="TextoNormal"/>
      </w:pPr>
    </w:p>
    <w:p w:rsidR="00B85568" w:rsidRDefault="00B85568" w:rsidP="00B85568">
      <w:pPr>
        <w:pStyle w:val="TextoNormal"/>
      </w:pPr>
      <w:r>
        <w:t>b) Comienza destacando el escrito que el Tribunal que plantea la cuestión ya había resuelto el problema: la posible falta de proporcionalidad de la sanción que resulta de aplicar a los supuestos de infracción del art. 196.1 LGT, que contempla el denominado “decalaje” o ingreso de la deuda tributaria fuera del plazo reglamentariamente establecido y lo dispuesto en el art. 191.1.4, que se refiere a la base sobre la que se aplicará sanción. En concreto, dicho problema había sido resuelto mediante una interpretación de este precepto legal conforme con el principio de proporcionalidad de las sanciones tributarias, lo que se llevó a cabo en las Sentencias dictadas por el mismo Tribunal de 21 de noviembre de 2013 (recurso núm. 278-2012) y de 17 de diciembre de 2013 (recurso núm. 486-2012). En ellas se interpretaba que si bien de acuerdo con la jurisprudencia del Tribunal Supremo no es posible en los supuestos a los que se refiere el art. 191.6 aplicar el régimen de recargos del art. 27.4 LGT, ya que no existe una regularización tácita, sin embargo, en estos casos la base de la sanción debe ser la cantidad efectiva dejada de ingresar, “que se limita a los intereses por el retraso en efectuar el ingreso, a lo que debe añadir el recargo por la extemporaneidad de la declaración y sobre la suma de estos dos importes aplicar el tipo sancionador correspondiente. De lo contrario se produciría una clara desproporción entre lo dejado de ingresar y la cuantía que constituye objeto de sanción”.</w:t>
      </w:r>
    </w:p>
    <w:p w:rsidR="00B85568" w:rsidRDefault="00B85568" w:rsidP="00B85568">
      <w:pPr>
        <w:pStyle w:val="TextoNormal"/>
      </w:pPr>
    </w:p>
    <w:p w:rsidR="00B85568" w:rsidRDefault="00B85568" w:rsidP="00B85568">
      <w:pPr>
        <w:pStyle w:val="TextoNormal"/>
      </w:pPr>
      <w:r>
        <w:t xml:space="preserve">Pese a las citadas Sentencias, se formaliza la presente cuestión de inconstitucionalidad sin que en el Auto de planteamiento el Tribunal </w:t>
      </w:r>
      <w:r w:rsidRPr="00B85568">
        <w:rPr>
          <w:i/>
        </w:rPr>
        <w:t>a quo</w:t>
      </w:r>
      <w:r>
        <w:t xml:space="preserve"> exprese un razonamiento que justifique suficientemente su cambio de criterio acerca de la imposibilidad de que las normas reciban una interpretación conforme al principio de proporcionalidad.</w:t>
      </w:r>
    </w:p>
    <w:p w:rsidR="00B85568" w:rsidRDefault="00B85568" w:rsidP="00B85568">
      <w:pPr>
        <w:pStyle w:val="TextoNormal"/>
      </w:pPr>
    </w:p>
    <w:p w:rsidR="00B85568" w:rsidRDefault="00B85568" w:rsidP="00B85568">
      <w:pPr>
        <w:pStyle w:val="TextoNormal"/>
      </w:pPr>
      <w:r>
        <w:t>Es doctrina del Tribunal Constitucional que el enjuiciamiento de la constitucionalidad de las normas legales ha de hacerse siempre desde un principio favorable a su mantenimiento en el ordenamiento jurídico, el cual debe producirse cuando es posible una interpretación de la norma respetuosa con los preceptos constitucionales.</w:t>
      </w:r>
    </w:p>
    <w:p w:rsidR="00B85568" w:rsidRDefault="00B85568" w:rsidP="00B85568">
      <w:pPr>
        <w:pStyle w:val="TextoNormal"/>
      </w:pPr>
    </w:p>
    <w:p w:rsidR="00B85568" w:rsidRDefault="00B85568" w:rsidP="00B85568">
      <w:pPr>
        <w:pStyle w:val="TextoNormal"/>
      </w:pPr>
      <w:r>
        <w:t xml:space="preserve">En el presente caso, el Tribunal </w:t>
      </w:r>
      <w:r w:rsidRPr="00B85568">
        <w:rPr>
          <w:i/>
        </w:rPr>
        <w:t>a quo</w:t>
      </w:r>
      <w:r>
        <w:t xml:space="preserve"> ha rechazado, al plantear la cuestión de inconstitucionalidad, la posibilidad de interpretar las normas cuestionadas, en particular el art 191.6, en relación con el art 191.1 párrafo 4, de manera conforme a la Constitución, sin justificar las razones por las que, modificando su criterio, considera que no cabe esa interpretación conforme con el principio de proporcionalidad de las sanciones tributarias.</w:t>
      </w:r>
    </w:p>
    <w:p w:rsidR="00B85568" w:rsidRDefault="00B85568" w:rsidP="00B85568">
      <w:pPr>
        <w:pStyle w:val="TextoNormal"/>
      </w:pPr>
    </w:p>
    <w:p w:rsidR="00B85568" w:rsidRDefault="00B85568" w:rsidP="00B85568">
      <w:pPr>
        <w:pStyle w:val="TextoNormal"/>
      </w:pPr>
      <w:r>
        <w:t>Lo anterior le lleva a concluir que, desde esta perspectiva, la cuestión planteada no está debidamente fundada.</w:t>
      </w:r>
    </w:p>
    <w:p w:rsidR="00B85568" w:rsidRDefault="00B85568" w:rsidP="00B85568">
      <w:pPr>
        <w:pStyle w:val="TextoNormal"/>
      </w:pPr>
    </w:p>
    <w:p w:rsidR="00B85568" w:rsidRDefault="00B85568" w:rsidP="00B85568">
      <w:pPr>
        <w:pStyle w:val="TextoNormal"/>
      </w:pPr>
      <w:r>
        <w:t>c) Sin perjuicio de lo anterior, examina si las concretas dudas de inconstitucionalidad pudieran considerarse fundadas, comenzando con la posible infracción del art. 14 en relación con el art. 31.1 CE.</w:t>
      </w:r>
    </w:p>
    <w:p w:rsidR="00B85568" w:rsidRDefault="00B85568" w:rsidP="00B85568">
      <w:pPr>
        <w:pStyle w:val="TextoNormal"/>
      </w:pPr>
    </w:p>
    <w:p w:rsidR="00B85568" w:rsidRDefault="00B85568" w:rsidP="00B85568">
      <w:pPr>
        <w:pStyle w:val="TextoNormal"/>
      </w:pPr>
      <w:r>
        <w:t xml:space="preserve">No se aprecia en este caso vulneración alguna del principio de igualdad porque no concurre el presupuesto consistente en que los términos de comparación ofrecidos sean idénticos. En el Auto se contrastan supuestos de infracción leve y grave, sin que se invoque en la cuestión planteada ningún trato discriminatorio o desigual para los mismos. Tampoco se constata que exista ningún trato igualitario de conductas infractoras distintas, dado que, como reconoce el propio Tribunal </w:t>
      </w:r>
      <w:r w:rsidRPr="00B85568">
        <w:rPr>
          <w:i/>
        </w:rPr>
        <w:t>a quo</w:t>
      </w:r>
      <w:r>
        <w:t xml:space="preserve"> en su Auto de planteamiento, las infracciones graves no tienen un régimen sancionador idéntico al de las leves; el art. 191.3 y 4 LGT prevé, respectivamente, tipos sancionadores diferentes, que van del 50 al 100 por 100 en el caso de las infracciones graves y del 50 a 150 por 100 en el caso de infracciones muy graves, de suerte que no cabe afirmar que se hace de igual condición a conductas de diferente antijuridicidad.</w:t>
      </w:r>
    </w:p>
    <w:p w:rsidR="00B85568" w:rsidRDefault="00B85568" w:rsidP="00B85568">
      <w:pPr>
        <w:pStyle w:val="TextoNormal"/>
      </w:pPr>
    </w:p>
    <w:p w:rsidR="00B85568" w:rsidRDefault="00B85568" w:rsidP="00B85568">
      <w:pPr>
        <w:pStyle w:val="TextoNormal"/>
      </w:pPr>
      <w:r>
        <w:t>Añade a lo anterior que en este caso no entraría en juego el art. 31.1 CE sino el art. 14 CE, toda vez que lo que se denuncia es un trato diferente en relación con el presupuesto legal, y no desigualdad en relación con la capacidad económica y la progresividad, citando en ese sentido el ATC 261/2013, de 15 de julio, FJ 3.</w:t>
      </w:r>
    </w:p>
    <w:p w:rsidR="00B85568" w:rsidRDefault="00B85568" w:rsidP="00B85568">
      <w:pPr>
        <w:pStyle w:val="TextoNormal"/>
      </w:pPr>
    </w:p>
    <w:p w:rsidR="00B85568" w:rsidRDefault="00B85568" w:rsidP="00B85568">
      <w:pPr>
        <w:pStyle w:val="TextoNormal"/>
      </w:pPr>
      <w:r>
        <w:t>d) Se refiere a continuación a la pretendida infracción del principio de interdicción de la arbitrariedad y del principio de legalidad sancionadora (arts. 9.3 y 25.1 CE), destacando que en realidad el planteamiento que se hace por el Tribunal se articula sobre la base de que conductas infractoras de distinta gravedad puedan ser sancionadas de igual modo.</w:t>
      </w:r>
    </w:p>
    <w:p w:rsidR="00B85568" w:rsidRDefault="00B85568" w:rsidP="00B85568">
      <w:pPr>
        <w:pStyle w:val="TextoNormal"/>
      </w:pPr>
    </w:p>
    <w:p w:rsidR="00B85568" w:rsidRDefault="00B85568" w:rsidP="00B85568">
      <w:pPr>
        <w:pStyle w:val="TextoNormal"/>
      </w:pPr>
      <w:r>
        <w:t xml:space="preserve">Tras recoger de forma sucinta la argumentación del Tribunal </w:t>
      </w:r>
      <w:r w:rsidRPr="00B85568">
        <w:rPr>
          <w:i/>
        </w:rPr>
        <w:t>a quo</w:t>
      </w:r>
      <w:r>
        <w:t>, se refiere a la doctrina del Tribunal Constitucional que ha venido a establecer que el principio de proporcionalidad no es un canon de constitucionalidad autónomo, sino que debe ser puesto en conexión con otros preceptos constitucionales.</w:t>
      </w:r>
    </w:p>
    <w:p w:rsidR="00B85568" w:rsidRDefault="00B85568" w:rsidP="00B85568">
      <w:pPr>
        <w:pStyle w:val="TextoNormal"/>
      </w:pPr>
    </w:p>
    <w:p w:rsidR="00B85568" w:rsidRDefault="00B85568" w:rsidP="00B85568">
      <w:pPr>
        <w:pStyle w:val="TextoNormal"/>
      </w:pPr>
      <w:r>
        <w:t>En este caso, la arbitrariedad de las normas cuestionadas se basa en que los artículos citados establecerían una sanción para las conductas de no ingreso en plazo de los tributos conocidas con la denominación de “decalaje” que resultaría desproporcionada en relación con su propia gravedad. Insiste nuevamente en que la Sala de lo Contencioso-Administrativo que plantea la cuestión ya había resuelto la citada cuestión de inconstitucionalidad de la falta de proporcionalidad precisamente, realizando una interpretación del art. 191.1 párrafo 4 conforme a dicho principio, lo que privaría a la cuestión ahora suscitada de todo fundamento.</w:t>
      </w:r>
    </w:p>
    <w:p w:rsidR="00B85568" w:rsidRDefault="00B85568" w:rsidP="00B85568">
      <w:pPr>
        <w:pStyle w:val="TextoNormal"/>
      </w:pPr>
    </w:p>
    <w:p w:rsidR="00B85568" w:rsidRDefault="00B85568" w:rsidP="00B85568">
      <w:pPr>
        <w:pStyle w:val="TextoNormal"/>
      </w:pPr>
      <w:r>
        <w:t>Pero es que incluso prescindiendo de la citada interpretación conforme, el art. 191.1.4 que establece las normas cuestionadas para las conductas definidas en el art. 191.6 no puede ser considerado arbitrario por desproporcionado. En efecto, en aquellos casos en los que el contribuyente no observa lo dispuesto en el art. 27.4 LGT, no cabe hablar de regularización auténtica, existiendo un grado de ocultación que impide a la administración conocer en base a la autoliquidación presentada con posterioridad la realidad tributaria sin necesidad de comprobación o investigación. Ello justifica que se trate de una conducta antijurídica cuya gravedad ha sido valorada por el legislador para disuadir este tipo de ocultaciones.</w:t>
      </w:r>
    </w:p>
    <w:p w:rsidR="00B85568" w:rsidRDefault="00B85568" w:rsidP="00B85568">
      <w:pPr>
        <w:pStyle w:val="TextoNormal"/>
      </w:pPr>
    </w:p>
    <w:p w:rsidR="00B85568" w:rsidRDefault="00B85568" w:rsidP="00B85568">
      <w:pPr>
        <w:pStyle w:val="TextoNormal"/>
      </w:pPr>
      <w:r>
        <w:t>No han quedado por tanto acreditadas la falta de justificación lógica y razonable de dicha regulación, de suerte que las dudas de constitucionalidad de las normas cuestionadas carecen notoriamente de fundamento.</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xml:space="preserve">. La presente cuestión de inconstitucionalidad se plantea por la Sala de lo Contencioso-Administrativo, Sección Sexta, de la Audiencia Nacional, respecto del art. 191.6 de la Ley 58/2003, de 17 de diciembre, general tributaria (LGT en lo que sigue), en relación con el art. 191.1.4 párrafo y 191.2 </w:t>
      </w:r>
      <w:r w:rsidRPr="00B85568">
        <w:rPr>
          <w:i/>
        </w:rPr>
        <w:t>in fine</w:t>
      </w:r>
      <w:r>
        <w:t>, del mismo texto legal.</w:t>
      </w:r>
    </w:p>
    <w:p w:rsidR="00B85568" w:rsidRDefault="00B85568" w:rsidP="00B85568">
      <w:pPr>
        <w:pStyle w:val="TextoNormal"/>
      </w:pPr>
    </w:p>
    <w:p w:rsidR="00B85568" w:rsidRDefault="00B85568" w:rsidP="00B85568">
      <w:pPr>
        <w:pStyle w:val="TextoNormal"/>
      </w:pPr>
      <w:r>
        <w:t>El art. 191.6 LGT tiene el siguiente tenor:</w:t>
      </w:r>
    </w:p>
    <w:p w:rsidR="00B85568" w:rsidRDefault="00B85568" w:rsidP="00B85568">
      <w:pPr>
        <w:pStyle w:val="TextoNormal"/>
      </w:pPr>
    </w:p>
    <w:p w:rsidR="00B85568" w:rsidRDefault="00B85568" w:rsidP="00B85568">
      <w:pPr>
        <w:pStyle w:val="TextoNormal"/>
      </w:pPr>
      <w:r>
        <w:t>“No obstante lo dispuesto en los apartados anteriores, siempre constituirá infracción leve la falta de ingreso en plazo de tributos o pagos a cuenta que hubieran sido incluidos o regularizados por el mismo obligado tributario en una autoliquidación presentada con posterioridad sin cumplir los requisitos establecidos en el apartado 4 del artículo 27 de esta ley para la aplicación de los recargos por declaración extemporánea sin requerimiento previo.</w:t>
      </w:r>
    </w:p>
    <w:p w:rsidR="00B85568" w:rsidRDefault="00B85568" w:rsidP="00B85568">
      <w:pPr>
        <w:pStyle w:val="TextoNormal"/>
      </w:pPr>
    </w:p>
    <w:p w:rsidR="00B85568" w:rsidRDefault="00B85568" w:rsidP="00B85568">
      <w:pPr>
        <w:pStyle w:val="TextoNormal"/>
      </w:pPr>
      <w:r>
        <w:t>Lo previsto en este apartado no será aplicable cuando la autoliquidación presentada incluya ingresos correspondientes a conceptos y períodos impositivos respecto a los que se hubiera notificado previamente un requerimiento de la Administración tributaria.”</w:t>
      </w:r>
    </w:p>
    <w:p w:rsidR="00B85568" w:rsidRDefault="00B85568" w:rsidP="00B85568">
      <w:pPr>
        <w:pStyle w:val="TextoNormal"/>
      </w:pPr>
    </w:p>
    <w:p w:rsidR="00B85568" w:rsidRDefault="00B85568" w:rsidP="00B85568">
      <w:pPr>
        <w:pStyle w:val="TextoNormal"/>
      </w:pPr>
      <w:r>
        <w:t>Por su parte, el art. 191.1.4 párrafo, establece:</w:t>
      </w:r>
    </w:p>
    <w:p w:rsidR="00B85568" w:rsidRDefault="00B85568" w:rsidP="00B85568">
      <w:pPr>
        <w:pStyle w:val="TextoNormal"/>
      </w:pPr>
    </w:p>
    <w:p w:rsidR="00B85568" w:rsidRDefault="00B85568" w:rsidP="00B85568">
      <w:pPr>
        <w:pStyle w:val="TextoNormal"/>
      </w:pPr>
      <w:r>
        <w:t>“La base de la sanción será la cuantía no ingresada en la autoliquidación como consecuencia de la comisión de la infracción.”</w:t>
      </w:r>
    </w:p>
    <w:p w:rsidR="00B85568" w:rsidRDefault="00B85568" w:rsidP="00B85568">
      <w:pPr>
        <w:pStyle w:val="TextoNormal"/>
      </w:pPr>
    </w:p>
    <w:p w:rsidR="00B85568" w:rsidRDefault="00B85568" w:rsidP="00B85568">
      <w:pPr>
        <w:pStyle w:val="TextoNormal"/>
      </w:pPr>
      <w:r>
        <w:t xml:space="preserve">Finalmente, el art. 191.2, </w:t>
      </w:r>
      <w:r w:rsidRPr="00B85568">
        <w:rPr>
          <w:i/>
        </w:rPr>
        <w:t>in fine</w:t>
      </w:r>
      <w:r>
        <w:t xml:space="preserve"> establece:</w:t>
      </w:r>
    </w:p>
    <w:p w:rsidR="00B85568" w:rsidRDefault="00B85568" w:rsidP="00B85568">
      <w:pPr>
        <w:pStyle w:val="TextoNormal"/>
      </w:pPr>
    </w:p>
    <w:p w:rsidR="00B85568" w:rsidRDefault="00B85568" w:rsidP="00B85568">
      <w:pPr>
        <w:pStyle w:val="TextoNormal"/>
      </w:pPr>
      <w:r>
        <w:t>“La sanción por infracción leve consistirá en multa pecuniaria proporcional del 50 por ciento.”</w:t>
      </w:r>
    </w:p>
    <w:p w:rsidR="00B85568" w:rsidRDefault="00B85568" w:rsidP="00B85568">
      <w:pPr>
        <w:pStyle w:val="TextoNormal"/>
      </w:pPr>
    </w:p>
    <w:p w:rsidR="00B85568" w:rsidRDefault="00B85568" w:rsidP="00B85568">
      <w:pPr>
        <w:pStyle w:val="TextoNormal"/>
      </w:pPr>
      <w:r>
        <w:t xml:space="preserve">Como resulta de la fundamentación del Auto de planteamiento, la duda de constitucionalidad del órgano promotor se centra en la posible vulneración de los arts. 14, 31.1, 9.3 y 25.1 CE. Concretamente, considera el órgano judicial que la aplicación de la sanción prevista en el art. 191.6 LGT, sobre la base fijada en el art. 191.1.4 y con un tipo sancionador único del 50 por 100 que no admite graduación (art. 191.2 </w:t>
      </w:r>
      <w:r w:rsidRPr="00B85568">
        <w:rPr>
          <w:i/>
        </w:rPr>
        <w:t>in fine</w:t>
      </w:r>
      <w:r>
        <w:t xml:space="preserve"> LGT) puede vulnerar, de una parte, el principio de igualdad (art. 14 en relación con el art. 31.1 CE) al poderse sancionar con la misma cuantía a quienes regularizan tardíamente incumpliendo las obligaciones formales del art. 27.4 LGT, frente a quien no realiza ingreso alguno y, de otra, el principio de proporcionalidad de las sanciones administrativas del art. 25.1 CE, en relación con el principio de interdicción de la arbitrariedad del art. 9.3 CE.</w:t>
      </w:r>
    </w:p>
    <w:p w:rsidR="00B85568" w:rsidRDefault="00B85568" w:rsidP="00B85568">
      <w:pPr>
        <w:pStyle w:val="TextoNormal"/>
      </w:pPr>
    </w:p>
    <w:p w:rsidR="00B85568" w:rsidRDefault="00B85568" w:rsidP="00B85568">
      <w:pPr>
        <w:pStyle w:val="TextoNormal"/>
      </w:pPr>
      <w:r>
        <w:t>El Fiscal General del Estado, por las razones que constan en los antecedentes, se opone a la admisión a trámite de la cuestión de inconstitucionalidad por estimarla notoriamente infundada (art. 37.1 de la Ley Orgánica del Tribunal Constitucional: LOTC).</w:t>
      </w:r>
    </w:p>
    <w:p w:rsidR="00B85568" w:rsidRDefault="00B85568" w:rsidP="00B85568">
      <w:pPr>
        <w:pStyle w:val="TextoNormal"/>
      </w:pPr>
    </w:p>
    <w:p w:rsidR="00B85568" w:rsidRDefault="00B85568" w:rsidP="00B85568">
      <w:pPr>
        <w:pStyle w:val="TextoNormal"/>
      </w:pPr>
      <w:r w:rsidRPr="00B85568">
        <w:rPr>
          <w:rStyle w:val="NumeroAFNegritaCaracter"/>
        </w:rPr>
        <w:t>2</w:t>
      </w:r>
      <w:r>
        <w:t>. En el ATC 20/2015, de 3 de febrero, hemos resuelto la cuestión de inconstitucionalidad registrada con el número 4430-2014, cuyos fundamentos son similares a la presente, habiendo sido promovida por el mismo órgano jurisdiccional.</w:t>
      </w:r>
    </w:p>
    <w:p w:rsidR="00B85568" w:rsidRDefault="00B85568" w:rsidP="00B85568">
      <w:pPr>
        <w:pStyle w:val="TextoNormal"/>
      </w:pPr>
    </w:p>
    <w:p w:rsidR="00B85568" w:rsidRDefault="00B85568" w:rsidP="00B85568">
      <w:pPr>
        <w:pStyle w:val="TextoNormal"/>
      </w:pPr>
      <w:r>
        <w:t>Por tanto, debemos alcanzar en este caso la misma conclusión de inadmisión, por manifiestamente infundada, a partir de las siguientes consideraciones:</w:t>
      </w:r>
    </w:p>
    <w:p w:rsidR="00B85568" w:rsidRDefault="00B85568" w:rsidP="00B85568">
      <w:pPr>
        <w:pStyle w:val="TextoNormal"/>
      </w:pPr>
    </w:p>
    <w:p w:rsidR="00B85568" w:rsidRDefault="00B85568" w:rsidP="00B85568">
      <w:pPr>
        <w:pStyle w:val="TextoNormal"/>
      </w:pPr>
      <w:r>
        <w:t>a) En primer lugar, el órgano judicial duda de que el art. 191.6 LGT sea respetuoso con el principio de igualdad (art. 14 en relación con el art. 31.1 CE), al poder llegar a sancionar con la misma cuantía fijada por una misma base y tipo del 50 por 100 a quien regulariza tardíamente incumpliendo las obligaciones formales del art. 27.4 LGT y a quien no realiza ingreso alguno de la deuda tributaria.</w:t>
      </w:r>
    </w:p>
    <w:p w:rsidR="00B85568" w:rsidRDefault="00B85568" w:rsidP="00B85568">
      <w:pPr>
        <w:pStyle w:val="TextoNormal"/>
      </w:pPr>
    </w:p>
    <w:p w:rsidR="00B85568" w:rsidRDefault="00B85568" w:rsidP="00B85568">
      <w:pPr>
        <w:pStyle w:val="TextoNormal"/>
      </w:pPr>
      <w:r>
        <w:t>La duda no tiene fundamento desde la perspectiva planteada, ya que incluso si resultara que dos conductas diferentes (regularización tardía o falta de ingreso) pudieran recibir una misma sanción, ello carecería en sí mismo de relevancia desde la perspectiva del principio de igualdad protegido en el art. 14 CE.</w:t>
      </w:r>
    </w:p>
    <w:p w:rsidR="00B85568" w:rsidRDefault="00B85568" w:rsidP="00B85568">
      <w:pPr>
        <w:pStyle w:val="TextoNormal"/>
      </w:pPr>
    </w:p>
    <w:p w:rsidR="00B85568" w:rsidRDefault="00B85568" w:rsidP="00B85568">
      <w:pPr>
        <w:pStyle w:val="TextoNormal"/>
      </w:pPr>
      <w:r>
        <w:t>Como afirmamos en el citado ATC 20/2015, con cita de doctrina anterior,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Lo que prohíbe el principio de igualdad son, en suma, las desigualdades que resulten artificiosas o injustificadas por no venir fundadas en criterios objetivos y razonables, según juicios de valor generalmente aceptados. Para que sea constitucionalmente lícita la diferencia de trato, las consecuencias jurídicas que se deriven de tal distinción deben ser proporcionadas a la finalidad perseguida, de suerte que se eviten resultados excesivamente gravosos o desmedidos’ [entre otras, STC 21/2002, de 28 de enero, FJ 4; con cita de las SSTC 76/1990, de 26 de abril, FJ 9; y 289/2000, de 30 de noviembre, FJ 6)]. Por lo tanto, el distinto trato que la ley pueda otorgar ante situaciones iguales debe tener una justificación objetiva y razonable y, además, superar un juicio de proporcionalidad sobre la relación existente entre la medida adoptada, el resultado producido y la finalidad pretendida (SSTC 22/1981, de 2 de julio, FJ 3; 2/1983, de 24 de enero, FJ 4; 209/1987, de 22 de diciembre, FJ 3; 20/1991, de 31 de enero, FJ 2; 176/1993, de 27 de mayo, FJ 2; 117/1998, de 2 de junio, FJ 8; y 39/2002, de 14 de febrero, FJ 4, por todas). Ahora bien, también hemos reiterado que la desigualdad por indiferenciación no está protegida constitucionalmente, de manera que el art. 14 CE se limita a prohibir la distinción infundada o discriminatoria, pero no consagra un derecho a la desigualdad de trato, ni ampara la falta de distinción de la norma, no existiendo en consecuencia un derecho subjetivo al trato normativo desigual (STC 183/2014, de 6 de noviembre, FJ 3, con cita de las SSTC 38/2014, de 11 de marzo, FJ 6; y 198/2012, de 6 de noviembre, FJ 13)” (ATC 20/2015, FJ 3).</w:t>
      </w:r>
    </w:p>
    <w:p w:rsidR="00B85568" w:rsidRDefault="00B85568" w:rsidP="00B85568">
      <w:pPr>
        <w:pStyle w:val="TextoNormal"/>
      </w:pPr>
    </w:p>
    <w:p w:rsidR="00B85568" w:rsidRDefault="00B85568" w:rsidP="00B85568">
      <w:pPr>
        <w:pStyle w:val="TextoNormal"/>
      </w:pPr>
      <w:r>
        <w:t>b) El órgano judicial duda también de la compatibilidad entre el art. 191.6 LGT y los arts. 9.3 y 25.1 CE, por existir una gran desproporción entre la gravedad de la conducta —ingreso fuera de plazo sin cumplir los requisitos formales del art. 27.4 LGT— y la cuantía sancionadora (art. 25.1 CE). Con ello se incurre a su vez en arbitrariedad, al poder ser sancionada de forma igual una infracción leve que la infracción grave consistente en la falta de ingreso alguno (art. 9.3 CE).</w:t>
      </w:r>
    </w:p>
    <w:p w:rsidR="00B85568" w:rsidRDefault="00B85568" w:rsidP="00B85568">
      <w:pPr>
        <w:pStyle w:val="TextoNormal"/>
      </w:pPr>
    </w:p>
    <w:p w:rsidR="00B85568" w:rsidRDefault="00B85568" w:rsidP="00B85568">
      <w:pPr>
        <w:pStyle w:val="TextoNormal"/>
      </w:pPr>
      <w:r>
        <w:t>Sentado que el principio de proporcionalidad “no constituye en nuestro ordenamiento constitucional un canon de constitucionalidad autónomo cuya alegación pueda producirse de forma aislada respecto de otros preceptos constitucionales” (STC 161/1997, de 2 de octubre, FJ 8), afirmamos en el ATC 20/2015 que “cuando se aduce la existencia de un trato desproporcionado, debe primero alegarse en qué medida se afecta, además, al contenido de otros derechos constitucionales, pues sólo cuando la desproporción suponga vulneración de dichos derechos cabrá, en su caso, declarar la inconstitucionalidad de la norma (SSTC 55/1996, de 28 de marzo, FJ 3; y 136/1999, de 20 de julio, FJ 22). Incluso allí donde se encuentran efectivamente involucrados derechos fundamentales, como ocurre en el ámbito del art. 25.1 CE, hemos insistido en que el punto de partida del análisis es la potestad exclusiva del legislador para configurar el sistema de infracciones y sanciones atendiendo a los bienes jurídicamente protegidos de suerte que la proporción entre las conductas que se pretenden evitar y las sanciones con las que intenta conseguirlo es puramente un ‘juicio de oportunidad’, que corresponde realizar al legislador, estando el juicio de constitucionalidad limitado ‘a verificar que la norma penal no produzca un patente derroche inútil de coacción que convierte la norma en arbitraria y que socava los principios elementales de justicia inherentes a la dignidad de la persona y al Estado de Derecho” (STC 60/2010, de 7 de octubre, FJ 7 a), con cita de las SSTC 127/2009, de 26 de mayo, FJ 8; 136/1999, de 20 de julio, FJ 23; 55/1996, de 28 de marzo, FFJJ 6 y ss., y 161/1997, de 2 de octubre, FFJJ 9 y ss.; entre otras)’ ” (ATC 20/2015, FJ 4).</w:t>
      </w:r>
    </w:p>
    <w:p w:rsidR="00B85568" w:rsidRDefault="00B85568" w:rsidP="00B85568">
      <w:pPr>
        <w:pStyle w:val="TextoNormal"/>
      </w:pPr>
    </w:p>
    <w:p w:rsidR="00B85568" w:rsidRDefault="00B85568" w:rsidP="00B85568">
      <w:pPr>
        <w:pStyle w:val="TextoNormal"/>
      </w:pPr>
      <w:r>
        <w:t>Lo anterior nos permitió recordar, en el mismo fundamento, que es función primordial de los Tribunales ordinarios determinar si se ha respetado la garantía del art. 25.1 CE en el plano aplicativo; sin que corresponda a este Tribunal pronunciarse sobre si resulta oportuna o adecuada, en abstracto, la decisión del legislador de sancionar la conducta descrita en el art. 191.6 LGT con una cuantía fija del 50 por 100 de la cuota. En ese sentido es de destacar, como pone de manifiesto el Fiscal General del Estado en su escrito, que el órgano promotor de la cuestión había resuelto ya la duda de constitucionalidad llevando a cabo una interpretación de los preceptos legales ahora cuestionados conforme con el principio de proporcionalidad de las sanciones tributarias. El motivo debe considerarse también infundado.</w:t>
      </w:r>
    </w:p>
    <w:p w:rsidR="00B85568" w:rsidRDefault="00B85568" w:rsidP="00B85568">
      <w:pPr>
        <w:pStyle w:val="TextoNormal"/>
      </w:pPr>
    </w:p>
    <w:p w:rsidR="00B85568" w:rsidRDefault="00B85568" w:rsidP="00B85568">
      <w:pPr>
        <w:pStyle w:val="TextoNormal"/>
      </w:pPr>
      <w:r>
        <w:t>c) Carece finalmente también de fundamento, afirmamos en el ATC 20/2015, FJ 5, el reproche de arbitrariedad en sentido estricto (art. 9.3 CE), sin perjuicio de que “debe recordarse que una eventual actuación arbitraria de la Administración tributaria en modo alguno convierte a la norma legal en arbitraria, siendo precisamente función de los órganos judiciales del orden contencioso-administrativo controlar dicha actuación y, por lo que se refiere en concreto a este supuesto, verificar que se cumple efectivamente el tipo infractor del art. 191.6 LGT y que el art. 25.1 CE ha sido respetado en el plano aplicativo (SSTC 199/2014, de 15 de diciembre, FJ 3; y 218/2005, de 12 de septiembre, FJ 3)”.</w:t>
      </w:r>
    </w:p>
    <w:p w:rsidR="00B85568" w:rsidRDefault="00B85568" w:rsidP="00B85568">
      <w:pPr>
        <w:pStyle w:val="TextoNormal"/>
      </w:pPr>
    </w:p>
    <w:p w:rsidR="00B85568" w:rsidRDefault="00B85568" w:rsidP="00B85568">
      <w:pPr>
        <w:pStyle w:val="TextoNormal"/>
      </w:pPr>
      <w:r>
        <w:t>La finalidad de la cuestión de inconstitucionalidad no es, en fin, “resolver controversias interpretativas sobre el alcance de determinado precepto legal, cuestión esta extramuros de la jurisdicción constitucional y para la que el ordenamiento jurídico dispone de otros cauces (ATC 255/2013, de 5 de noviembre, FJ 4, con cita de otros muchos)” (ATC 20/2015, FJ 5).</w:t>
      </w:r>
    </w:p>
    <w:p w:rsidR="00B85568" w:rsidRDefault="00B85568" w:rsidP="00B85568">
      <w:pPr>
        <w:pStyle w:val="TextoNormal"/>
      </w:pPr>
    </w:p>
    <w:p w:rsidR="00B85568" w:rsidRDefault="00B85568" w:rsidP="00B85568">
      <w:pPr>
        <w:pStyle w:val="TextoNormal"/>
      </w:pPr>
      <w:r>
        <w:t>Los razonamientos precedentes permiten concluir, al igual que hicimos en el citado ATC 20/2015, que no cabe apreciar la pretendida contradicción de las disposiciones cuestionadas con la Constitución, por lo que resulta procedente declarar en este momento procesal, de conformidad con lo alegado por el Fiscal General del Estado, que la cuestión resulta notoriamente infundada (art. 37.1 LOTC) y ha de ser por ello inadmitida.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veintitrés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62" w:name="AUTO_2015_112"/>
      <w:r>
        <w:t>AUTO 112/2015, de 23 de junio de 2015</w:t>
      </w:r>
    </w:p>
    <w:bookmarkEnd w:id="262"/>
    <w:p w:rsidR="00B85568" w:rsidRDefault="00B85568" w:rsidP="00B85568">
      <w:pPr>
        <w:pStyle w:val="TtuloResolucin"/>
      </w:pPr>
      <w:r>
        <w:t>Pleno</w:t>
      </w:r>
    </w:p>
    <w:p w:rsidR="00B85568" w:rsidRDefault="00B85568" w:rsidP="00B85568">
      <w:pPr>
        <w:pStyle w:val="TextoNormalCentrado"/>
      </w:pPr>
      <w:r>
        <w:t>ECLI:ES:TC:2015:112A</w:t>
      </w:r>
    </w:p>
    <w:p w:rsidR="00B85568" w:rsidRDefault="00B85568" w:rsidP="00B85568">
      <w:pPr>
        <w:pStyle w:val="TextoNormalCentrado"/>
      </w:pPr>
    </w:p>
    <w:p w:rsidR="00B85568" w:rsidRDefault="00B85568" w:rsidP="00B85568">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B85568" w:rsidRDefault="00B85568" w:rsidP="00B85568">
      <w:pPr>
        <w:pStyle w:val="SntesisDescriptiva"/>
      </w:pPr>
    </w:p>
    <w:p w:rsidR="00B85568" w:rsidRDefault="00B85568" w:rsidP="00B85568">
      <w:pPr>
        <w:pStyle w:val="SntesisDescriptiva"/>
      </w:pPr>
      <w:r>
        <w:t>Inadmite a trámite la cuestión de inconstitucionalidad 374-2015, planteada por el Juzgado de lo Social núm. 33 de Barcelona en relación con el epígrafe e) de la disposición adicional tercera de la Ley 40/2007, de 4 de diciembre, de medidas en materia de Seguridad Social.</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21 de enero de 2015 tuvo entrada en el Registro General de este Tribunal un escrito del Juzgado de lo Social núm. 33 de Barcelona, al que se acompaña, junto con el testimonio del procedimiento sobre Seguridad Social núm. 130-2014, el Auto de 13 de enero de 2015, por el que se acuerda plantear cuestión de inconstitucionalidad en relación con el epígrafe e) de la disposición adicional tercera de la Ley 40/2007. Este precepto establece:</w:t>
      </w:r>
    </w:p>
    <w:p w:rsidR="00B85568" w:rsidRDefault="00B85568" w:rsidP="00B85568">
      <w:pPr>
        <w:pStyle w:val="TextoNormal"/>
      </w:pPr>
    </w:p>
    <w:p w:rsidR="00B85568" w:rsidRDefault="00B85568" w:rsidP="00B85568">
      <w:pPr>
        <w:pStyle w:val="TextoNormal"/>
      </w:pPr>
      <w:r>
        <w:t>“Para acceder a la pensión regulada en la presente disposición, la correspondiente solicitud deberá ser presentada en el plazo improrrogable de los doce meses siguientes a la entrada en vigor de esta Ley. La pensión reconocida tendrá efectos económicos desde el día primero de 2007, siempre que se cumplan todos los requisitos previstos en esta disposición.”</w:t>
      </w:r>
    </w:p>
    <w:p w:rsidR="00B85568" w:rsidRDefault="00B85568" w:rsidP="00B85568">
      <w:pPr>
        <w:pStyle w:val="TextoNormal"/>
      </w:pPr>
    </w:p>
    <w:p w:rsidR="00B85568" w:rsidRDefault="00B85568" w:rsidP="00B85568">
      <w:pPr>
        <w:pStyle w:val="TextoNormal"/>
      </w:pPr>
      <w:r>
        <w:t>A juicio del órgano jurisdiccional que promueve esta cuestión el referido precepto puede ser contrario al principio de igualdad ante la ley (art. 14 CE) y suponer una discriminación indirecta por razón de sexo prohibida en el mismo precepto constitucional.</w:t>
      </w:r>
    </w:p>
    <w:p w:rsidR="00B85568" w:rsidRDefault="00B85568" w:rsidP="00B85568">
      <w:pPr>
        <w:pStyle w:val="TextoNormal"/>
      </w:pPr>
    </w:p>
    <w:p w:rsidR="00B85568" w:rsidRDefault="00B85568" w:rsidP="00B85568">
      <w:pPr>
        <w:pStyle w:val="TextoNormal"/>
      </w:pPr>
      <w:r w:rsidRPr="00B85568">
        <w:rPr>
          <w:rStyle w:val="NumeroAFNegritaCaracter"/>
        </w:rPr>
        <w:t>2</w:t>
      </w:r>
      <w:r>
        <w:t>. Los antecedentes de hecho del planteamiento de la presente cuestión de inconstitucionalidad son los siguientes:</w:t>
      </w:r>
    </w:p>
    <w:p w:rsidR="00B85568" w:rsidRDefault="00B85568" w:rsidP="00B85568">
      <w:pPr>
        <w:pStyle w:val="TextoNormal"/>
      </w:pPr>
    </w:p>
    <w:p w:rsidR="00B85568" w:rsidRDefault="00B85568" w:rsidP="00B85568">
      <w:pPr>
        <w:pStyle w:val="TextoNormal"/>
      </w:pPr>
      <w:r>
        <w:t xml:space="preserve">a) La actora en el proceso a </w:t>
      </w:r>
      <w:r w:rsidRPr="00B85568">
        <w:rPr>
          <w:i/>
        </w:rPr>
        <w:t>quo</w:t>
      </w:r>
      <w:r>
        <w:t>, cuando murió su pareja de hecho, solicitó pensión de viudedad al Instituto Nacional de la Seguridad Social (INSS). Por resolución de 25 de noviembre de 2002 le fue denegada por falta de vínculo conyugal y por imposibilidad de haberlo contraído (se encontraba legalmente separada pero no divorciada).</w:t>
      </w:r>
    </w:p>
    <w:p w:rsidR="00B85568" w:rsidRDefault="00B85568" w:rsidP="00B85568">
      <w:pPr>
        <w:pStyle w:val="TextoNormal"/>
      </w:pPr>
    </w:p>
    <w:p w:rsidR="00B85568" w:rsidRDefault="00B85568" w:rsidP="00B85568">
      <w:pPr>
        <w:pStyle w:val="TextoNormal"/>
      </w:pPr>
      <w:r>
        <w:t>b) Con fecha de 2 de julio de 2013 la actora formuló nueva solicitud de pensión de viudedad al Instituto Nacional de la Seguridad Social. Por resolución de 3 de julio de 2013 se le denegó la pensión de viudedad porque, al derivar el fallecimiento de un accidente de trabajo y tener la empresa concertada la cobertura de dicha contingencia con una mutua de accidentes de trabajo y enfermedades profesionales, era a la mutua a quien le correspondía su reconocimiento.</w:t>
      </w:r>
    </w:p>
    <w:p w:rsidR="00B85568" w:rsidRDefault="00B85568" w:rsidP="00B85568">
      <w:pPr>
        <w:pStyle w:val="TextoNormal"/>
      </w:pPr>
    </w:p>
    <w:p w:rsidR="00B85568" w:rsidRDefault="00B85568" w:rsidP="00B85568">
      <w:pPr>
        <w:pStyle w:val="TextoNormal"/>
      </w:pPr>
      <w:r>
        <w:t>c) El 9 de septiembre de 2013 la mutua denegó la pensión de viudedad por no haberse presentado la solicitud en el plazo previsto en el apartado e) de la Ley 40/2007, de 4 de diciembre, de medidas en materia de Seguridad Social (doce meses desde la entrada en vigor de esa Ley).</w:t>
      </w:r>
    </w:p>
    <w:p w:rsidR="00B85568" w:rsidRDefault="00B85568" w:rsidP="00B85568">
      <w:pPr>
        <w:pStyle w:val="TextoNormal"/>
      </w:pPr>
    </w:p>
    <w:p w:rsidR="00B85568" w:rsidRDefault="00B85568" w:rsidP="00B85568">
      <w:pPr>
        <w:pStyle w:val="TextoNormal"/>
      </w:pPr>
      <w:r>
        <w:t>d) El 7 de febrero de 2014, la actora presentó su reclamación en la vía judicial formulando demanda frente a la mutua de accidentes de trabajo, el Instituto Nacional de la Seguridad Social y la Tesorería General de la Seguridad Social, que dio lugar a los autos núm. 130/2014 sobre Seguridad Social seguidos ante el Juzgado de lo Social núm. 33 de Barcelona.</w:t>
      </w:r>
    </w:p>
    <w:p w:rsidR="00B85568" w:rsidRDefault="00B85568" w:rsidP="00B85568">
      <w:pPr>
        <w:pStyle w:val="TextoNormal"/>
      </w:pPr>
    </w:p>
    <w:p w:rsidR="00B85568" w:rsidRDefault="00B85568" w:rsidP="00B85568">
      <w:pPr>
        <w:pStyle w:val="TextoNormal"/>
      </w:pPr>
      <w:r>
        <w:t>e) Celebrado el juicio, y habiendo interesado la actora, tanto en su demanda como en el acto del juicio, la promoción de cuestión de inconstitucionalidad respecto de la exigencia contenida en el epígrafe e) de la disposición adicional tercera de la Ley 40/2007, de medidas en materia de Seguridad Social, por providencia de 1 de diciembre de 2014, el órgano judicial confirió un plazo común de diez días a todas las partes y al Ministerio Fiscal para que pudieran realizar alegaciones respecto a la pertinencia del planteamiento de cuestión de constitucionalidad sobre la mencionada norma. Según se expuso en la referida providencia, el precepto podía ser contrario al art. 14 CE, por dos motivos: vulnerar el principio de igualdad ante la ley y por contener una discriminación indirecta por razón de sexo. Entiende el órgano judicial que establecer un plazo improrrogable de doce meses desde la entrada en vigor de la Ley para solicitar la pensión extraordinaria de viudedad regulada en esa disposición, podría carecer de justificación objetiva y razonable, pues, con carácter general, el derecho al reconocimiento de la pensión de viudedad es imprescriptible. También considera que, al ser las beneficiarias de la pensión de viudedad reclamada mayoritariamente mujeres y ser ellas las que soportarían el impacto negativo de la exigencia del referido plazo, el establecimiento del referido plazo conlleva, como se ha señalado, una discriminación indirecta por razón de sexo (art. 14 CE en relación con el art. 39.1 CE).</w:t>
      </w:r>
    </w:p>
    <w:p w:rsidR="00B85568" w:rsidRDefault="00B85568" w:rsidP="00B85568">
      <w:pPr>
        <w:pStyle w:val="TextoNormal"/>
      </w:pPr>
    </w:p>
    <w:p w:rsidR="00B85568" w:rsidRDefault="00B85568" w:rsidP="00B85568">
      <w:pPr>
        <w:pStyle w:val="TextoNormal"/>
      </w:pPr>
      <w:r>
        <w:t>f) El Fiscal presentó su escrito de alegaciones el 16 de diciembre de 2014. Entiende el Ministerio Fiscal que en ese trámite sus alegaciones deben limitarse a verificar si la norma sobre cuya constitucionalidad se duda es determinante para la resolución del recurso, sin que le corresponda examinar si incurre o no en las infracciones constitucionales a las que se refiere la providencia, pues considera que sobre tales extremos será, en su caso, el Fiscal General del Estado el que deba pronunciarse. A juicio del Fiscal, la disposición adicional tercera e) de la Ley 40/2007 es determinante para la resolución del recurso, pues ha sido su aplicación la que ha conllevado que no se le haya reconocido el derecho a la pensión que regula la referida disposición adicional.</w:t>
      </w:r>
    </w:p>
    <w:p w:rsidR="00B85568" w:rsidRDefault="00B85568" w:rsidP="00B85568">
      <w:pPr>
        <w:pStyle w:val="TextoNormal"/>
      </w:pPr>
    </w:p>
    <w:p w:rsidR="00B85568" w:rsidRDefault="00B85568" w:rsidP="00B85568">
      <w:pPr>
        <w:pStyle w:val="TextoNormal"/>
      </w:pPr>
      <w:r>
        <w:t>g) Por escrito presentado el 17 de diciembre, el Letrado de la Administración de la Seguridad Social, actuando en representación del Instituto Nacional de la Seguridad Social, formuló alegaciones por las que se opuso al planteamiento de la cuestión de inconstitucionalidad. En su opinión el plazo que establece el apartado e) de la disposición adicional tercera de la Ley 40/2007 para solicitar la pensión de viudedad que regula esa disposición adicional es un requisito de acceso, y además constituye una regla excepcional, de carácter retroactivo y especialísima, mientras que la regla de imprescriptibilidad del derecho al reconocimiento a las prestaciones de muerte y supervivencia prevista en el art. 178 de la Ley general de la Seguridad Social (LGSS) es una regla general. Por ello considera que en este caso no puede apreciarse la vulneración del principio de igualdad, pues no existe un término de comparación valido con el que poder efectuar el juicio de igualdad. También niega la existencia de una discriminación indirecta, al tratarse de un requisito neutro que no tiene efecto excluyente para ningún grupo social.</w:t>
      </w:r>
    </w:p>
    <w:p w:rsidR="00B85568" w:rsidRDefault="00B85568" w:rsidP="00B85568">
      <w:pPr>
        <w:pStyle w:val="TextoNormal"/>
      </w:pPr>
    </w:p>
    <w:p w:rsidR="00B85568" w:rsidRDefault="00B85568" w:rsidP="00B85568">
      <w:pPr>
        <w:pStyle w:val="TextoNormal"/>
      </w:pPr>
      <w:r>
        <w:t>h) Por diligencia de 19 de diciembre de 2014, el Juzgado de lo Social núm. 33 de Barcelona hizo constar que habiendo transcurrido el plazo otorgado a las partes en la providencia de 1 de diciembre de 2014 a fin de efectuar alegaciones, se había verificado por el Ministerio Fiscal y el Instituto Nacional de la Seguridad Social (INSS), sin que lo hubiesen hecho el resto de las partes.</w:t>
      </w:r>
    </w:p>
    <w:p w:rsidR="00B85568" w:rsidRDefault="00B85568" w:rsidP="00B85568">
      <w:pPr>
        <w:pStyle w:val="TextoNormal"/>
      </w:pPr>
    </w:p>
    <w:p w:rsidR="00B85568" w:rsidRDefault="00B85568" w:rsidP="00B85568">
      <w:pPr>
        <w:pStyle w:val="TextoNormal"/>
      </w:pPr>
      <w:r w:rsidRPr="00B85568">
        <w:rPr>
          <w:rStyle w:val="NumeroAFNegritaCaracter"/>
        </w:rPr>
        <w:t>3</w:t>
      </w:r>
      <w:r>
        <w:t>. En el Auto de planteamiento de la cuestión de inconstitucionalidad, de 13 de enero de 2015, el órgano judicial proponente, tras exponer los antecedentes de hecho, identificar el precepto cuestionado y justificar la relevancia del mismo para la resolución del proceso, efectúa las consideraciones en las que fundamenta la posible inconstitucionalidad de la norma cuestionada.</w:t>
      </w:r>
    </w:p>
    <w:p w:rsidR="00B85568" w:rsidRDefault="00B85568" w:rsidP="00B85568">
      <w:pPr>
        <w:pStyle w:val="TextoNormal"/>
      </w:pPr>
    </w:p>
    <w:p w:rsidR="00B85568" w:rsidRDefault="00B85568" w:rsidP="00B85568">
      <w:pPr>
        <w:pStyle w:val="TextoNormal"/>
      </w:pPr>
      <w:r>
        <w:t xml:space="preserve">Entiende el órgano judicial que el precepto cuestionado podría vulnerar el art. 14 CE, por ser contrario al derecho a la igualdad ante la ley y por no respetar la prohibición de discriminación que establece el citado precepto constitucional. Según se sostiene en el Auto de planteamiento, carece de justificación objetiva y razonable establecer un plazo improrrogable de doce meses para poder solicitar la pensión de viudedad que regula la disposición adicional tercera de la Ley, cuando, con carácter general y respecto a la prestación de viudedad </w:t>
      </w:r>
      <w:r w:rsidRPr="00B85568">
        <w:rPr>
          <w:i/>
        </w:rPr>
        <w:t>ex</w:t>
      </w:r>
      <w:r>
        <w:t xml:space="preserve"> art. 178 de la Ley general de la Seguridad Social (Real Decreto Legislativo 1/1994), se establece que el derecho al reconocimiento de las prestaciones por muerte y supervivencia (excepto el auxilio por defunción) es imprescriptible.</w:t>
      </w:r>
    </w:p>
    <w:p w:rsidR="00B85568" w:rsidRDefault="00B85568" w:rsidP="00B85568">
      <w:pPr>
        <w:pStyle w:val="TextoNormal"/>
      </w:pPr>
    </w:p>
    <w:p w:rsidR="00B85568" w:rsidRDefault="00B85568" w:rsidP="00B85568">
      <w:pPr>
        <w:pStyle w:val="TextoNormal"/>
      </w:pPr>
      <w:r>
        <w:t>Se señala también que en la STC 41/2013, de 14 de febrero, se estimó la cuestión de inconstitucionalidad planteada por ese mismo Juzgado, declarando la inconstitucionalidad de otra exigencia contenida en la misma disposición adicional, a saber, la prevista en el epígrafe c) relativa a “que el causante y el beneficiario hubieran tenido hijos comunes”, indicándose al respecto que, como se señaló en la referida Sentencia, el requisito temporal previsto en el epígrafe e), ni fue entonces cuestionado, ni podría extenderse a él la declaración de inconstitucionalidad y nulidad de la letra c). Por ello considera que la indicada Sentencia no puede ser óbice para que este nuevo epígrafe pueda ser sometido al necesario enjuiciamiento constitucional.</w:t>
      </w:r>
    </w:p>
    <w:p w:rsidR="00B85568" w:rsidRDefault="00B85568" w:rsidP="00B85568">
      <w:pPr>
        <w:pStyle w:val="TextoNormal"/>
      </w:pPr>
    </w:p>
    <w:p w:rsidR="00B85568" w:rsidRDefault="00B85568" w:rsidP="00B85568">
      <w:pPr>
        <w:pStyle w:val="TextoNormal"/>
      </w:pPr>
      <w:r>
        <w:t>Tras referirse a la doctrina constitucional relativa al principio de igualdad ante la ley, el órgano judicial aprecia que el requisito temporal cuestionado provoca una diferencia de trato contraria al art. 14 CE, en tanto que solo en los casos en que el hecho causante se haya producido antes del 1 de enero de 2008 entra en juego la exigencia de que la prestación sea solicitada en el plazo de doce meses. Y tal exigencia (contraria a la regla general de la imprescriptibilidad), a su juicio, no resultara objetivamente justificada ni supera el juicio de proporcionalidad. El órgano judicial considera relevante, a estos efectos, constatar que ni la exposición de motivos de la Ley 40/2007, ni la propia disposición adicional tercera, expresan las razones a las que obedece este requisito. Entiende, además, que no puede servir como justificación el carácter excepcional de la propia prestación, pues tal excepcionalidad debe vincularse, exclusivamente, a la posibilidad de acceder retroactivamente a una prestación de nueva creación (pensión de viudedad de parejas de hecho en determinadas situaciones), pero no puede conducir a romper con la regla general de la imprescriptibilidad. Tampoco le parece aceptable la justificación ofrecida por la representación letrada del INSS relativa a la seguridad jurídica (sobre la base de que la acreditación de situaciones pretéritas resulta más que dudosa), pues el control de la acreditación de convivencia marital que ha de hacerse es el mismo en estos casos que en el resto. Se rechaza, asimismo, la alegación del INSS relativa a que la supresión de la exigencia discutida convertiría en general una norma que es excepcional, pues, según se sostiene en el Auto de planteamiento, la excepcionalidad de la norma ni nace ni se justifica por el plazo perentorio de solicitud, sino por la finalidad a la que responde, esto es, la atención de concretas situaciones de necesidad acaecidas antes del 1 de enero de 2008, que el legislador ha considerado merecedoras de protección por tratarse de uniones de hecho dotadas de estabilidad y permanencia. Tampoco, a juicio del órgano judicial, puede basarse la norma en una justificación económica o de sostenibilidad del sistema, pues tal justificación fue rechazada en la STC 41/2003 con relación al requisito de los “hijos comunes” que allí fue analizado.</w:t>
      </w:r>
    </w:p>
    <w:p w:rsidR="00B85568" w:rsidRDefault="00B85568" w:rsidP="00B85568">
      <w:pPr>
        <w:pStyle w:val="TextoNormal"/>
      </w:pPr>
    </w:p>
    <w:p w:rsidR="00B85568" w:rsidRDefault="00B85568" w:rsidP="00B85568">
      <w:pPr>
        <w:pStyle w:val="TextoNormal"/>
      </w:pPr>
      <w:r>
        <w:t>También se sostiene que la norma cuestionada podría vulnerar el art. 14 CE en relación con el art. 39.1 CE (protección social, económica y jurídica de la familia), al producir una discriminación (indirecta) por razón de sexo. Se considera que esta norma tiene un impacto negativo de género, pues el 92 por 100 de las pensiones de viudedad del sistema de Seguridad Social es percibido por mujeres. Por ello se sostiene que la restricción al acceso a la pensión de viudedad derivada del requisito temporal controvertido impactaría mayormente en el sexo femenino.</w:t>
      </w:r>
    </w:p>
    <w:p w:rsidR="00B85568" w:rsidRDefault="00B85568" w:rsidP="00B85568">
      <w:pPr>
        <w:pStyle w:val="TextoNormal"/>
      </w:pPr>
    </w:p>
    <w:p w:rsidR="00B85568" w:rsidRDefault="00B85568" w:rsidP="00B85568">
      <w:pPr>
        <w:pStyle w:val="TextoNormal"/>
      </w:pPr>
      <w:r>
        <w:t>En el Auto de planteamiento se afirma, por último, que en este caso no es posible la acomodación constitucional de la exigencia cuestionada por la vía interpretativa, por lo que no queda otra opción que el planteamiento de la presente cuestión de inconstitucionalidad.</w:t>
      </w:r>
    </w:p>
    <w:p w:rsidR="00B85568" w:rsidRDefault="00B85568" w:rsidP="00B85568">
      <w:pPr>
        <w:pStyle w:val="TextoNormal"/>
      </w:pPr>
    </w:p>
    <w:p w:rsidR="00B85568" w:rsidRDefault="00B85568" w:rsidP="00B85568">
      <w:pPr>
        <w:pStyle w:val="TextoNormal"/>
      </w:pPr>
      <w:r w:rsidRPr="00B85568">
        <w:rPr>
          <w:rStyle w:val="NumeroAFNegritaCaracter"/>
        </w:rPr>
        <w:t>4</w:t>
      </w:r>
      <w:r>
        <w:t>. Por providencia de la Sección Primera de este Tribunal, de17 de marzo de 2015, se acordó oír al Fiscal General del Estado acerca de la admisibilidad de la presente cuestión de inconstitucionalidad, por si fuese notoriamente infundada (art. 37.1 de la Ley Orgánica del Tribunal Constitucional).</w:t>
      </w:r>
    </w:p>
    <w:p w:rsidR="00B85568" w:rsidRDefault="00B85568" w:rsidP="00B85568">
      <w:pPr>
        <w:pStyle w:val="TextoNormal"/>
      </w:pPr>
    </w:p>
    <w:p w:rsidR="00B85568" w:rsidRDefault="00B85568" w:rsidP="00B85568">
      <w:pPr>
        <w:pStyle w:val="TextoNormal"/>
      </w:pPr>
      <w:r w:rsidRPr="00B85568">
        <w:rPr>
          <w:rStyle w:val="NumeroAFNegritaCaracter"/>
        </w:rPr>
        <w:t>5</w:t>
      </w:r>
      <w:r>
        <w:t>. Por escrito registrado en este Tribunal el 20 de abril de 2015 la Fiscal General del Estado presentó su escrito de alegaciones por el que interesa la inadmisión de la cuestión por ser notoriamente infundada.</w:t>
      </w:r>
    </w:p>
    <w:p w:rsidR="00B85568" w:rsidRDefault="00B85568" w:rsidP="00B85568">
      <w:pPr>
        <w:pStyle w:val="TextoNormal"/>
      </w:pPr>
    </w:p>
    <w:p w:rsidR="00B85568" w:rsidRDefault="00B85568" w:rsidP="00B85568">
      <w:pPr>
        <w:pStyle w:val="TextoNormal"/>
      </w:pPr>
      <w:r>
        <w:t>La Fiscal General, tras exponer de forma sintética la doctrina constitucional sobre el principio de igualdad, se pronuncia, en primer lugar, sobre si el precepto cuestionado podría ser contrario a este principio. A su juicio, la diferencia de trato que el órgano judicial denuncia no es entre uniones matrimoniales y no matrimoniales (diferencia de trato, por otra parte, que considera que, de acuerdo con la doctrina constitucional, no sería contraria al derecho que consagra el art. 14 CE), sino entre quienes solicitan la pensión de viudedad prevista en el régimen general, derecho cuyo reconocimiento es imprescriptible (art. 178 LGSS), y quienes solicitan la pensión de viudedad que regula la disposición adicional tercera de la Ley 40/2007, que solo podrán tener derecho a la misma si la solicitan en el plazo de doce meses que regula el apartado e) de la referida disposición adicional.</w:t>
      </w:r>
    </w:p>
    <w:p w:rsidR="00B85568" w:rsidRDefault="00B85568" w:rsidP="00B85568">
      <w:pPr>
        <w:pStyle w:val="TextoNormal"/>
      </w:pPr>
    </w:p>
    <w:p w:rsidR="00B85568" w:rsidRDefault="00B85568" w:rsidP="00B85568">
      <w:pPr>
        <w:pStyle w:val="TextoNormal"/>
      </w:pPr>
      <w:r>
        <w:t>A juicio de la Fiscal General del Estado esta diferencia no es contraria al art. 14 CE, pues considera que el distinto trato se encuentra justificado en que la pensión de viudedad que puede solicitarse en virtud de lo dispuesto en la disposición adicional tercera de la ley 40/2007 tiene carácter excepcional. Este precepto, al reconocer el derecho a la pensión de viudedad, cuando se hubiera producido el hecho causante de la misma con anterioridad a la entrada en vigor de la norma, a quienes hubieran sido pareja de hecho con el causante y cumplieran los demás requisitos previstos en la norma, está estableciendo una “ampliación retroactiva” del derecho a la pensión de viudedad; derecho que tiene su origen en la propia norma y por ello le corresponde al legislador definir el alcance del mismo. Según se aduce, el establecer que esta pensión solo puede solicitarse en el plazo improrrogable de los doce meses siguientes a la entrada en vigor de la norma se justifica en la necesidad de proteger los intereses objetivos amparados por la Seguridad Social, que podrían verse perjudicados si no se estableciera un plazo máximo “para aflorar” situaciones jurídicas pretéritas y con ello, disponer de seguridad y fijeza en orden a realizar los complejos cálculos actuariales que permiten la sostenibilidad del sistema. Entiende la Fiscal General que el sometimiento del ejercicio del derecho al plazo de caducidad de un año, no es un requisito artificioso o injustificado, pues se funda en un criterio objetivo y razonable, como es la sostenibilidad del sistema de Seguridad Social condicionada por la previsibilidad de las cargas.</w:t>
      </w:r>
    </w:p>
    <w:p w:rsidR="00B85568" w:rsidRDefault="00B85568" w:rsidP="00B85568">
      <w:pPr>
        <w:pStyle w:val="TextoNormal"/>
      </w:pPr>
    </w:p>
    <w:p w:rsidR="00B85568" w:rsidRDefault="00B85568" w:rsidP="00B85568">
      <w:pPr>
        <w:pStyle w:val="TextoNormal"/>
      </w:pPr>
      <w:r>
        <w:t>Tampoco considera la Fiscal General del Estado que el precepto impugnado puede constituir una discriminación indirecta por razón de sexo por el hecho de que el 92 por 100 de las pensiones del sistema de Seguridad Social sean percibidas por mujeres. Según sostiene la Fiscal General en sus alegaciones, este planteamiento no dejar de ser algún modo interesado, ya que viene a confrontar las consecuencias que para los incluidos en un determinado “grupo social” acarrea el incumplimiento de un requisito para el ejercicio de un derecho con un colectivo absolutamente heterogéneo que engloba tanto a las uniones matrimoniales como no matrimoniales y en este último caso, tanto aquellas en las que el hecho causante es posterior a la ley 40/2007, como aquellas en las que fue anterior, pero los beneficiarios de la pensión ejercitaron el derecho en el plazo concedido. Por todo ello se considera que el único término de comparación que puede deducirse de lo expuesto en el Auto de planteamiento es el que enfrenta a aquellos supérstites de uniones extramatrimoniales que diligentemente ejercieron su derecho en el plazo concedido (ya fueran hombres o mujeres) y aquellos otros —como sucedió en el proceso subyacente— que hicieron dejación de su derecho cuando el ordenamiento jurídico les facultaba para reclamarla.</w:t>
      </w:r>
    </w:p>
    <w:p w:rsidR="00B85568" w:rsidRDefault="00B85568" w:rsidP="00B85568">
      <w:pPr>
        <w:pStyle w:val="TextoNormal"/>
      </w:pPr>
    </w:p>
    <w:p w:rsidR="00B85568" w:rsidRDefault="00B85568" w:rsidP="00B85568">
      <w:pPr>
        <w:pStyle w:val="TextoNormal"/>
      </w:pPr>
      <w:r>
        <w:t>Por todo ello, la Fiscal General del Estado considera que la norma cuestionada no vulnera el principio de igualdad ni ha originado discriminación alguna por razón de sexo y, en consecuencia, interesa que se dicte un Auto inadmitiendo la presente cuestión de inconstitucionalidad por ser notoriamente infundada.</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El Juzgado de lo Social núm. 33 de Barcelona ha planteado cuestión de inconstitucionalidad en relación con el epígrafe e) de la disposición adicional tercera de la Ley 40/2007, en el que se establece:</w:t>
      </w:r>
    </w:p>
    <w:p w:rsidR="00B85568" w:rsidRDefault="00B85568" w:rsidP="00B85568">
      <w:pPr>
        <w:pStyle w:val="TextoNormal"/>
      </w:pPr>
    </w:p>
    <w:p w:rsidR="00B85568" w:rsidRDefault="00B85568" w:rsidP="00B85568">
      <w:pPr>
        <w:pStyle w:val="TextoNormal"/>
      </w:pPr>
      <w:r>
        <w:t>“Para acceder a la pensión regulada en la presente disposición, la correspondiente solicitud deberá ser presentada en el plazo improrrogable de los doce meses siguientes a la entrada en vigor de esta Ley. La pensión reconocida tendrá efectos económicos desde el día primero de 2007, siempre que se cumplan todos los requisitos previstos en esta disposición.”</w:t>
      </w:r>
    </w:p>
    <w:p w:rsidR="00B85568" w:rsidRDefault="00B85568" w:rsidP="00B85568">
      <w:pPr>
        <w:pStyle w:val="TextoNormal"/>
      </w:pPr>
    </w:p>
    <w:p w:rsidR="00B85568" w:rsidRDefault="00B85568" w:rsidP="00B85568">
      <w:pPr>
        <w:pStyle w:val="TextoNormal"/>
      </w:pPr>
      <w:r>
        <w:t>A juicio del órgano jurisdiccional que promueve esta cuestión este precepto puede ser contrario al principio de igualdad ante la ley que garantiza el art. 14 CE y puede conllevar una discriminación indirecta por razón de sexo e infringir también por este motivo el referido precepto constitucional.</w:t>
      </w:r>
    </w:p>
    <w:p w:rsidR="00B85568" w:rsidRDefault="00B85568" w:rsidP="00B85568">
      <w:pPr>
        <w:pStyle w:val="TextoNormal"/>
      </w:pPr>
    </w:p>
    <w:p w:rsidR="00B85568" w:rsidRDefault="00B85568" w:rsidP="00B85568">
      <w:pPr>
        <w:pStyle w:val="TextoNormal"/>
      </w:pPr>
      <w:r>
        <w:t>La Fiscal General del Estado ha interesado la inadmisión de la cuestión de inconstitucionalidad planteada al considerarla notoriamente infundada.</w:t>
      </w:r>
    </w:p>
    <w:p w:rsidR="00B85568" w:rsidRDefault="00B85568" w:rsidP="00B85568">
      <w:pPr>
        <w:pStyle w:val="TextoNormal"/>
      </w:pPr>
    </w:p>
    <w:p w:rsidR="00B85568" w:rsidRDefault="00B85568" w:rsidP="00B85568">
      <w:pPr>
        <w:pStyle w:val="TextoNormal"/>
      </w:pPr>
      <w:r w:rsidRPr="00B85568">
        <w:rPr>
          <w:rStyle w:val="NumeroAFNegritaCaracter"/>
        </w:rPr>
        <w:t>2</w:t>
      </w:r>
      <w:r>
        <w:t>. El art. 37.1 de la Ley Orgánica del Tribunal Constitucional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B85568" w:rsidRDefault="00B85568" w:rsidP="00B85568">
      <w:pPr>
        <w:pStyle w:val="TextoNormal"/>
      </w:pPr>
    </w:p>
    <w:p w:rsidR="00B85568" w:rsidRDefault="00B85568" w:rsidP="00B85568">
      <w:pPr>
        <w:pStyle w:val="TextoNormal"/>
      </w:pPr>
      <w:r>
        <w:t>El concepto de cuestión notoriamente infundada, como sostiene, entre otros muchos, el ATC 37/2015, de 17 de febrero, FJ 2,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w:t>
      </w:r>
    </w:p>
    <w:p w:rsidR="00B85568" w:rsidRDefault="00B85568" w:rsidP="00B85568">
      <w:pPr>
        <w:pStyle w:val="TextoNormal"/>
      </w:pPr>
    </w:p>
    <w:p w:rsidR="00B85568" w:rsidRDefault="00B85568" w:rsidP="00B85568">
      <w:pPr>
        <w:pStyle w:val="TextoNormal"/>
      </w:pPr>
      <w:r>
        <w:t>En el presente caso la cuestión planteada ha de considerarse notoriamente infundada por las razones que se van a exponer a continuación.</w:t>
      </w:r>
    </w:p>
    <w:p w:rsidR="00B85568" w:rsidRDefault="00B85568" w:rsidP="00B85568">
      <w:pPr>
        <w:pStyle w:val="TextoNormal"/>
      </w:pPr>
    </w:p>
    <w:p w:rsidR="00B85568" w:rsidRDefault="00B85568" w:rsidP="00B85568">
      <w:pPr>
        <w:pStyle w:val="TextoNormal"/>
      </w:pPr>
      <w:r w:rsidRPr="00B85568">
        <w:rPr>
          <w:rStyle w:val="NumeroAFNegritaCaracter"/>
        </w:rPr>
        <w:t>3</w:t>
      </w:r>
      <w:r>
        <w:t>. De acuerdo con la doctrina de este Tribunal, (entre otras muchas STC 41/2013, de 14 de febrero, FJ 6)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De ahí que, como sigue afirmando la citada STC 41/2013, de 14 de febrero, FJ 6, “para que sea constitucionalmente lícita la diferencia de trato es necesario que las consecuencias jurídicas que se deriven de tal distinción sean proporcionadas a la finalidad perseguida, de suerte que se eviten resultados excesivamente gravosos o desmedidos”.</w:t>
      </w:r>
    </w:p>
    <w:p w:rsidR="00B85568" w:rsidRDefault="00B85568" w:rsidP="00B85568">
      <w:pPr>
        <w:pStyle w:val="TextoNormal"/>
      </w:pPr>
    </w:p>
    <w:p w:rsidR="00B85568" w:rsidRDefault="00B85568" w:rsidP="00B85568">
      <w:pPr>
        <w:pStyle w:val="TextoNormal"/>
      </w:pPr>
      <w:r>
        <w:t>Por todo ello, este Tribunal ha sostenido reiteradamente (entre otras muchas, en la citada STC 41/2013, de 14 de febrero, FJ 6) que “el principio de igualdad en la ley no sólo exige que la diferencia de trato resulte objetivamente justificada, sino también que supere un juicio de proporcionalidad sobre la relación existente entre la medida adoptada, el resultado producido y la finalidad pretendida”.</w:t>
      </w:r>
    </w:p>
    <w:p w:rsidR="00B85568" w:rsidRDefault="00B85568" w:rsidP="00B85568">
      <w:pPr>
        <w:pStyle w:val="TextoNormal"/>
      </w:pPr>
    </w:p>
    <w:p w:rsidR="00B85568" w:rsidRDefault="00B85568" w:rsidP="00B85568">
      <w:pPr>
        <w:pStyle w:val="TextoNormal"/>
      </w:pPr>
      <w:r>
        <w:t>Por otra parte, debe tenerse en cuenta, que, de acuerdo con la jurisprudencia de este Tribunal (entre otras muchas, STC 88/1991, de 25 de febrero, FJ 3), “[l]a desigualdad de trato entre diversas situaciones derivada únicamente de un cambio normativo, y producida tan sólo por la diferencia de las fechas en que cada una de ellas tuvo lugar, no encierra discriminación alguna, y no es contraria al principio de igualdad ante la Ley”. Por esta razón, la citada STC 88/1991, de 25 de febrero, FJ 3, consideró que “[e]l hecho de que en el sistema de Seguridad Social se introduzcan mejoras en favor de los beneficiarios (como fue en 1972 el establecimiento de la imprescriptibilidad del derecho al reconocimiento de las prestaciones de supervivencia, hasta entonces prescriptible), no significa que se lesione aquel precepto constitucional en relación con quienes no pudieron beneficiarse de la mejora en cuestión, ni que, para no vulnerar el art. 14 de la Constitución, el legislador, y si éste no lo ha hecho así el intérprete, deban consagrar ineludiblemente la retroactividad de la mejora. Ha de recordarse el amplio margen que tiene el legislador a la hora de configurar el sistema de Seguridad Social (SSTC 65/1987, 134/1987 y 97/1990)”. De ahí que este Tribunal haya declarado en la STC 38/1995, de 13 de febrero, FJ 4 que “[e]l principio de igualdad no exige que la ley creadora de un nuevo derecho, y sobre todo de un derecho de carácter prestacional, haya de tener una retroactividad ilimitada en el tiempo y ni siquiera retroactividad alguna (AATC 790/1988 y 1172/1988)”.</w:t>
      </w:r>
    </w:p>
    <w:p w:rsidR="00B85568" w:rsidRDefault="00B85568" w:rsidP="00B85568">
      <w:pPr>
        <w:pStyle w:val="TextoNormal"/>
      </w:pPr>
    </w:p>
    <w:p w:rsidR="00B85568" w:rsidRDefault="00B85568" w:rsidP="00B85568">
      <w:pPr>
        <w:pStyle w:val="TextoNormal"/>
      </w:pPr>
      <w:r w:rsidRPr="00B85568">
        <w:rPr>
          <w:rStyle w:val="NumeroAFNegritaCaracter"/>
        </w:rPr>
        <w:t>4</w:t>
      </w:r>
      <w:r>
        <w:t>. La aplicación de la doctrina expuesta al presente caso determina que no pueda apreciarse que el precepto cuestionado vulnere el principio de igualdad. En contra de lo que se sostiene en el Auto de planteamiento, las situaciones que se comparan no pueden considerarse iguales, por lo que no concurre el primer requisito para considerar vulnerado el referido principio constitucional.</w:t>
      </w:r>
    </w:p>
    <w:p w:rsidR="00B85568" w:rsidRDefault="00B85568" w:rsidP="00B85568">
      <w:pPr>
        <w:pStyle w:val="TextoNormal"/>
      </w:pPr>
    </w:p>
    <w:p w:rsidR="00B85568" w:rsidRDefault="00B85568" w:rsidP="00B85568">
      <w:pPr>
        <w:pStyle w:val="TextoNormal"/>
      </w:pPr>
      <w:r>
        <w:t>A efectos de tener derecho a una pensión de viudedad, la situación de quienes hubieran mantenido una relación de pareja de hecho con alguien que falleció antes de entrar en vigor la Ley 40/2007, no es la misma que la de aquellos que estaban unidos matrimonialmente o que, siendo pareja de hecho, el fallecimiento del causante se produjo con posterioridad a la entrada en vigor de la referida norma. En el primer caso, porque como reiteradamente ha afirmado este Tribunal “el matrimonio y la convivencia extramatrimonial no son realidades equivalentes” (SSTC 184/1990, de 15 de noviembre, FJ 3; 41 /2013, de 14 de febrero, FJ 3; 93/2013, de 23 de abril, FJ 5, y 92/2014, de 10 de junio FJ 5) y en el segundo, porque es, precisamente, la existencia de un cambio normativo —el que reconoce el derecho a ser beneficiario de la pensión de viudedad—, lo que conlleva que la situación jurídica de las parejas de hecho haya cambiado tras la entrada en vigor de la norma que reconoce el derecho a percibir esta prestación.</w:t>
      </w:r>
    </w:p>
    <w:p w:rsidR="00B85568" w:rsidRDefault="00B85568" w:rsidP="00B85568">
      <w:pPr>
        <w:pStyle w:val="TextoNormal"/>
      </w:pPr>
    </w:p>
    <w:p w:rsidR="00B85568" w:rsidRDefault="00B85568" w:rsidP="00B85568">
      <w:pPr>
        <w:pStyle w:val="TextoNormal"/>
      </w:pPr>
      <w:r>
        <w:t>La disposición adicional tercera de Ley 40/2007, de 4 de diciembre, de medidas en materia de Seguridad Social, establece, con carácter excepcional, una pensión de viudedad a la que pueden acceder los supérstites de parejas de hecho cuando el fallecimiento del causante hubiere tenido lugar antes de su entrada en vigor y se cumplan los requisitos que en esta norma establece; requisitos entre los que se encuentra el ahora cuestionado —haberla solicitado en el plazo improrrogable de doce meses desde su entrada en vigor—. Se trata, por tanto, de una pensión para “casos especiales”, tal y como el título de esta disposición indica, que excepcionalmente reconoce el derecho a percibir esta pensión a quienes, de acuerdo con el régimen general previsto en la propia norma, carecerían del mismo por haberse producido el hecho causante de la pensión con anterioridad a su entrada en vigor. Es, precisamente, esta circunstancia temporal —el carácter retroactivo que reconoce al derecho a percibir la pensión que regula—, lo que determina que el supuesto de hecho regulado en esta disposición adicional sea diferente que el que se deriva del régimen general previsto en la Ley. Debe tenerse en cuenta que, como ha establecido, entre otras muchas, la STC 88/1991, de 25 de abril, FJ 2, “el principio de igualdad ante la Ley no exige que todas las situaciones, con independencia del tiempo en que se originaron o en que se produjeron sus efectos, deban recibir un tratamiento igual por parte de la Ley, puesto que con ello se incidiría en el círculo de competencias atribuido constitucionalmente al legislador y, en definitiva, en la natural y necesaria evolución del ordenamiento jurídico (STC 119/1987).”</w:t>
      </w:r>
    </w:p>
    <w:p w:rsidR="00B85568" w:rsidRDefault="00B85568" w:rsidP="00B85568">
      <w:pPr>
        <w:pStyle w:val="TextoNormal"/>
      </w:pPr>
    </w:p>
    <w:p w:rsidR="00B85568" w:rsidRDefault="00B85568" w:rsidP="00B85568">
      <w:pPr>
        <w:pStyle w:val="TextoNormal"/>
      </w:pPr>
      <w:r>
        <w:t>Por todo ello hay concluir que no es contrario al principio de igualdad que el legislador, en virtud del amplio margen de configuración que tiene para regular las prestaciones en materia de seguridad social (SSTC 88/1991, de 25 de abril, 41/2013, de 14 de febrero, y 92/2014, de 10 de junio, entre otras muchas), haya establecido un plazo improrrogable de doce meses para poder solicitar la pensión que regula la disposición adicional tercera de la Ley 40/2007, de 4 de diciembre.</w:t>
      </w:r>
    </w:p>
    <w:p w:rsidR="00B85568" w:rsidRDefault="00B85568" w:rsidP="00B85568">
      <w:pPr>
        <w:pStyle w:val="TextoNormal"/>
      </w:pPr>
    </w:p>
    <w:p w:rsidR="00B85568" w:rsidRDefault="00B85568" w:rsidP="00B85568">
      <w:pPr>
        <w:pStyle w:val="TextoNormal"/>
      </w:pPr>
      <w:r w:rsidRPr="00B85568">
        <w:rPr>
          <w:rStyle w:val="NumeroAFNegritaCaracter"/>
        </w:rPr>
        <w:t>5</w:t>
      </w:r>
      <w:r>
        <w:t>. Por todo ello, las dudas de constitucionalidad planteadas en relación con el apartado e) de la disposición adicional tercera de la Ley de la Ley 40/2007, de 4 de diciembre, de medidas en materia de Seguridad Social han de considerarse, a los efectos previstos en el art. 37.1 de la Ley Orgánica del Tribunal Constitucional, notoriamente infundadas. Procede, en consecuencia, declarar la inadmisión a trámite de la cuestión de inconstitucionalidad presentada.</w:t>
      </w:r>
    </w:p>
    <w:p w:rsidR="00B85568" w:rsidRDefault="00B85568" w:rsidP="00B85568">
      <w:pPr>
        <w:pStyle w:val="TextoNormal"/>
      </w:pPr>
    </w:p>
    <w:p w:rsidR="00B85568" w:rsidRDefault="00B85568" w:rsidP="00B85568">
      <w:pPr>
        <w:pStyle w:val="TextoNormal"/>
      </w:pPr>
      <w:r>
        <w:t>Por todo lo expuesto, el Pleno</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Inadmitir a trámite la presente cuestión de inconstitucionalidad.</w:t>
      </w:r>
    </w:p>
    <w:p w:rsidR="00B85568" w:rsidRDefault="00B85568" w:rsidP="00B85568">
      <w:pPr>
        <w:pStyle w:val="TextoNormal"/>
      </w:pPr>
    </w:p>
    <w:p w:rsidR="00B85568" w:rsidRDefault="00B85568" w:rsidP="00B85568">
      <w:pPr>
        <w:pStyle w:val="TextoNormal"/>
      </w:pPr>
      <w:r>
        <w:t>Madrid, a veintitrés de junio de dos mil quince.</w:t>
      </w:r>
    </w:p>
    <w:p w:rsidR="00B85568" w:rsidRDefault="00B85568">
      <w:pPr>
        <w:spacing w:after="160" w:line="259" w:lineRule="auto"/>
        <w:rPr>
          <w:rFonts w:ascii="Times New Roman" w:eastAsia="Times New Roman" w:hAnsi="Times New Roman" w:cs="Times New Roman"/>
          <w:sz w:val="24"/>
          <w:szCs w:val="24"/>
          <w:lang w:eastAsia="es-ES"/>
        </w:rPr>
      </w:pPr>
      <w:r>
        <w:br w:type="page"/>
      </w:r>
    </w:p>
    <w:p w:rsidR="00B85568" w:rsidRDefault="00B85568" w:rsidP="00B85568">
      <w:pPr>
        <w:pStyle w:val="TtuloResolucin"/>
      </w:pPr>
      <w:bookmarkStart w:id="263" w:name="AUTO_2015_113"/>
      <w:r>
        <w:t>AUTO 113/2015, de 26 de junio de 2015</w:t>
      </w:r>
    </w:p>
    <w:bookmarkEnd w:id="263"/>
    <w:p w:rsidR="00B85568" w:rsidRDefault="00B85568" w:rsidP="00B85568">
      <w:pPr>
        <w:pStyle w:val="TtuloResolucin"/>
      </w:pPr>
      <w:r>
        <w:t>Sección Cuarta</w:t>
      </w:r>
    </w:p>
    <w:p w:rsidR="00B85568" w:rsidRDefault="00B85568" w:rsidP="00B85568">
      <w:pPr>
        <w:pStyle w:val="TextoNormalCentrado"/>
      </w:pPr>
      <w:r>
        <w:t>ECLI:ES:TC:2015:113A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TtuloResolucin"/>
      </w:pPr>
      <w:r>
        <w:t>*Este auto no incorpora doctrina constitucional.</w:t>
      </w:r>
    </w:p>
    <w:p w:rsidR="00B85568" w:rsidRDefault="00B85568">
      <w:pPr>
        <w:spacing w:after="160" w:line="259" w:lineRule="auto"/>
        <w:rPr>
          <w:rFonts w:ascii="Times New Roman" w:eastAsia="Times New Roman" w:hAnsi="Times New Roman" w:cs="Times New Roman"/>
          <w:b/>
          <w:sz w:val="24"/>
          <w:szCs w:val="24"/>
          <w:lang w:eastAsia="es-ES"/>
        </w:rPr>
      </w:pPr>
      <w:r>
        <w:br w:type="page"/>
      </w:r>
    </w:p>
    <w:p w:rsidR="00B85568" w:rsidRDefault="00B85568" w:rsidP="00B85568">
      <w:pPr>
        <w:pStyle w:val="TtuloResolucin"/>
      </w:pPr>
      <w:bookmarkStart w:id="264" w:name="AUTO_2015_114"/>
      <w:r>
        <w:t>AUTO 114/2015, de 26 de junio de 2015</w:t>
      </w:r>
    </w:p>
    <w:bookmarkEnd w:id="264"/>
    <w:p w:rsidR="00B85568" w:rsidRDefault="00B85568" w:rsidP="00B85568">
      <w:pPr>
        <w:pStyle w:val="TtuloResolucin"/>
      </w:pPr>
      <w:r>
        <w:t>Sección Cuarta</w:t>
      </w:r>
    </w:p>
    <w:p w:rsidR="00B85568" w:rsidRDefault="00B85568" w:rsidP="00B85568">
      <w:pPr>
        <w:pStyle w:val="TextoNormalCentrado"/>
      </w:pPr>
      <w:r>
        <w:t>ECLI:ES:TC:2015:114A</w:t>
      </w:r>
    </w:p>
    <w:p w:rsidR="00B85568" w:rsidRDefault="00B85568" w:rsidP="00B85568">
      <w:pPr>
        <w:pStyle w:val="TextoNormalCentrado"/>
      </w:pPr>
    </w:p>
    <w:p w:rsidR="00B85568" w:rsidRDefault="00B85568" w:rsidP="00B85568">
      <w:pPr>
        <w:pStyle w:val="SntesisDescriptiva"/>
      </w:pPr>
      <w:r>
        <w:t>Excms. Srs. don Fernando Valdés Dal-Ré, don Ricardo Enríquez Sancho y don Antonio Narváez Rodríguez.</w:t>
      </w:r>
    </w:p>
    <w:p w:rsidR="00B85568" w:rsidRDefault="00B85568" w:rsidP="00B85568">
      <w:pPr>
        <w:pStyle w:val="SntesisDescriptiva"/>
      </w:pPr>
    </w:p>
    <w:p w:rsidR="00B85568" w:rsidRDefault="00B85568" w:rsidP="00B85568">
      <w:pPr>
        <w:pStyle w:val="SntesisDescriptiva"/>
      </w:pPr>
      <w:r>
        <w:t>Declararse incompetente para el enjuiciamiento de la impugnación de la resolución de la Comisión Central de Asistencia Jurídica Gratuita para el recurso de amparo, promovida por doña María Huguet Gómez.</w:t>
      </w:r>
    </w:p>
    <w:p w:rsidR="00B85568" w:rsidRDefault="00B85568" w:rsidP="00B85568">
      <w:pPr>
        <w:pStyle w:val="SntesisDescriptiva"/>
      </w:pPr>
    </w:p>
    <w:p w:rsidR="00B85568" w:rsidRDefault="00B85568" w:rsidP="00B85568">
      <w:pPr>
        <w:pStyle w:val="SntesisDescriptiva"/>
      </w:pPr>
    </w:p>
    <w:p w:rsidR="00B85568" w:rsidRDefault="00B85568" w:rsidP="00B85568">
      <w:pPr>
        <w:pStyle w:val="SntesisDescriptiva"/>
      </w:pPr>
    </w:p>
    <w:p w:rsidR="00B85568" w:rsidRDefault="00B85568" w:rsidP="00B85568">
      <w:pPr>
        <w:pStyle w:val="TextoNormalNegritaCentrado"/>
      </w:pPr>
      <w:r>
        <w:t>AUTO</w:t>
      </w:r>
    </w:p>
    <w:p w:rsidR="00B85568" w:rsidRDefault="00B85568" w:rsidP="00B85568">
      <w:pPr>
        <w:pStyle w:val="TextoNormalNegritaCentrado"/>
      </w:pPr>
    </w:p>
    <w:p w:rsidR="00B85568" w:rsidRDefault="00B85568" w:rsidP="00B85568">
      <w:pPr>
        <w:pStyle w:val="TextoNormalNegritaCentrado"/>
        <w:keepNext/>
      </w:pPr>
      <w:r>
        <w:t>I. Antecedentes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Mediante escrito que tuvo entrada en este Tribunal el 23 de septiembre de 2014, doña María Teresa Huguet Gómez manifestó su intención de interponer recurso de amparo contra la providencia de 25 de agosto de 2014, que confirmó el Auto de 3 de febrero de 2014 del Juzgado de Primera Instancia e Instrucción núm. 2 de Barbastro, de sobreseimiento y archivo de las actuaciones seguidas en el procedimiento de diligencias previas núm.833-2013.</w:t>
      </w:r>
    </w:p>
    <w:p w:rsidR="00B85568" w:rsidRDefault="00B85568" w:rsidP="00B85568">
      <w:pPr>
        <w:pStyle w:val="TextoNormal"/>
      </w:pPr>
    </w:p>
    <w:p w:rsidR="00B85568" w:rsidRDefault="00B85568" w:rsidP="00B85568">
      <w:pPr>
        <w:pStyle w:val="TextoNormal"/>
      </w:pPr>
      <w:r w:rsidRPr="00B85568">
        <w:rPr>
          <w:rStyle w:val="NumeroAFNegritaCaracter"/>
        </w:rPr>
        <w:t>2</w:t>
      </w:r>
      <w:r>
        <w:t>. Por diligencia de ordenación de la Secretaría de Justicia de la Sección Cuarta de la Sala Segunda de este Tribunal, de 30 de septiembre de 2014, se solicitó, si procediera, la designación de Abogado y Procurador del turno de oficio al Ilustre Colegio de Abogados de Madrid. Tras los correspondientes trámites, la Comisión central de asistencia jurídica gratuita dictó resolución de 19 de enero de 2015 denegando el derecho solicitado para el presente procedimiento de amparo, al apreciarse signos externos en el expediente que indicarían que la recurrente dispone de medios económicos que superan el límite fijado por la Ley 1/1996, de 10 de enero, de asistencia jurídica gratuita.</w:t>
      </w:r>
    </w:p>
    <w:p w:rsidR="00B85568" w:rsidRDefault="00B85568" w:rsidP="00B85568">
      <w:pPr>
        <w:pStyle w:val="TextoNormal"/>
      </w:pPr>
    </w:p>
    <w:p w:rsidR="00B85568" w:rsidRDefault="00B85568" w:rsidP="00B85568">
      <w:pPr>
        <w:pStyle w:val="TextoNormal"/>
      </w:pPr>
      <w:r>
        <w:t>La interesada impugnó la resolución denegatoria del beneficio. La Comisión central de asistencia jurídica gratuita puso ese hecho en conocimiento de este Tribunal a través de oficio registrado el día 25 de marzo de 2015, en el que señalaba que daba traslado del expediente al Decanato de los Juzgados de Madrid para su resolución.</w:t>
      </w:r>
    </w:p>
    <w:p w:rsidR="00B85568" w:rsidRDefault="00B85568" w:rsidP="00B85568">
      <w:pPr>
        <w:pStyle w:val="TextoNormal"/>
      </w:pPr>
    </w:p>
    <w:p w:rsidR="00B85568" w:rsidRDefault="00B85568" w:rsidP="00B85568">
      <w:pPr>
        <w:pStyle w:val="TextoNormal"/>
      </w:pPr>
      <w:r w:rsidRPr="00B85568">
        <w:rPr>
          <w:rStyle w:val="NumeroAFNegritaCaracter"/>
        </w:rPr>
        <w:t>3</w:t>
      </w:r>
      <w:r>
        <w:t>. Turnada dicha impugnación al Juzgado de Instrucción núm. 44 de Madrid, por Auto de 16 de abril de 2015 resolvió declararse incompetente para conocer de la impugnación de la denegación de beneficio. Contra el mismo no se interpuso recurso alguno.</w:t>
      </w:r>
    </w:p>
    <w:p w:rsidR="00B85568" w:rsidRDefault="00B85568" w:rsidP="00B85568">
      <w:pPr>
        <w:pStyle w:val="TextoNormal"/>
      </w:pPr>
    </w:p>
    <w:p w:rsidR="00B85568" w:rsidRDefault="00B85568" w:rsidP="00B85568">
      <w:pPr>
        <w:pStyle w:val="TextoNormal"/>
      </w:pPr>
      <w:r w:rsidRPr="00B85568">
        <w:rPr>
          <w:rStyle w:val="NumeroAFNegritaCaracter"/>
        </w:rPr>
        <w:t>4</w:t>
      </w:r>
      <w:r>
        <w:t>. Mediante providencia de 6 de mayo de 2015, la Sección Cuarta de este Tribunal tuvo por recibido el expediente, remitido por la Comisión central de asistencia jurídica gratuita, y acordó conceder un plazo de tres días, tanto al recurrente como al Abogado del Estado, para que se pronunciaran sobre la competencia de este Tribunal en orden a conocer de la impugnación a la que se refiere el art. 20 de la Ley 1/1996, de 10 de enero, de asistencia jurídica gratuita.</w:t>
      </w:r>
    </w:p>
    <w:p w:rsidR="00B85568" w:rsidRDefault="00B85568" w:rsidP="00B85568">
      <w:pPr>
        <w:pStyle w:val="TextoNormal"/>
      </w:pPr>
    </w:p>
    <w:p w:rsidR="00B85568" w:rsidRDefault="00B85568" w:rsidP="00B85568">
      <w:pPr>
        <w:pStyle w:val="TextoNormal"/>
      </w:pPr>
      <w:r w:rsidRPr="00B85568">
        <w:rPr>
          <w:rStyle w:val="NumeroAFNegritaCaracter"/>
        </w:rPr>
        <w:t>5</w:t>
      </w:r>
      <w:r>
        <w:t>. El Abogado del Estado evacuó el trámite en escrito que tuvo entrada en el Registro General de este Tribunal el 13 de mayo de 2015. Considera que es incompetente el Tribunal Constitucional para resolver la impugnación promovida, al no tratarse de una insuficiencia económica sobrevenida tras la interposición del recurso de amparo.</w:t>
      </w:r>
    </w:p>
    <w:p w:rsidR="00B85568" w:rsidRDefault="00B85568" w:rsidP="00B85568">
      <w:pPr>
        <w:pStyle w:val="TextoNormal"/>
      </w:pPr>
    </w:p>
    <w:p w:rsidR="00B85568" w:rsidRDefault="00B85568" w:rsidP="00B85568">
      <w:pPr>
        <w:pStyle w:val="TextoNormal"/>
      </w:pPr>
      <w:r>
        <w:t>Recuerda que la insuficiencia económica sobrevenida “con posterioridad a la interposición del recurso de amparo” es el único supuesto en el que correspondería al Tribunal Constitucional resolver la impugnación del acto denegatorio de asistencia jurídica gratuita (cita los AATC 138/1997, de 7 de mayo; 204/1997, de 4 de junio; 120/2011, de 19 de septiembre; 54/2012, de 26 de marzo; 80/2012, de 7 de mayo; 112/2012, de 31 de mayo, y 95/2013, de 7 de mayo). Por tanto, de conformidad con los arts. 9 y 10 del acuerdo plenario de 18 de junio de 1996, en consonancia con lo dispuesto en el art. 20 de la Ley 1/1996, de 10 de enero, procede a su juicio que el Tribunal declare su incompetencia para resolver la impugnación.</w:t>
      </w:r>
    </w:p>
    <w:p w:rsidR="00B85568" w:rsidRDefault="00B85568" w:rsidP="00B85568">
      <w:pPr>
        <w:pStyle w:val="TextoNormal"/>
      </w:pPr>
    </w:p>
    <w:p w:rsidR="00B85568" w:rsidRDefault="00B85568" w:rsidP="00B85568">
      <w:pPr>
        <w:pStyle w:val="TextoNormal"/>
      </w:pPr>
      <w:r w:rsidRPr="00B85568">
        <w:rPr>
          <w:rStyle w:val="NumeroAFNegritaCaracter"/>
        </w:rPr>
        <w:t>6</w:t>
      </w:r>
      <w:r>
        <w:t>. La recurrente no presentó escrito de alegaciones, según se hace constar en diligencia de 10 de junio de 2015.</w:t>
      </w:r>
    </w:p>
    <w:p w:rsidR="00B85568" w:rsidRDefault="00B85568" w:rsidP="00B85568">
      <w:pPr>
        <w:pStyle w:val="TextoNormal"/>
      </w:pPr>
    </w:p>
    <w:p w:rsidR="00B85568" w:rsidRDefault="00B85568" w:rsidP="00B85568">
      <w:pPr>
        <w:pStyle w:val="TextoNormalNegritaCentrado"/>
        <w:keepNext/>
      </w:pPr>
      <w:r>
        <w:t>II. Fundamentos jurídicos</w:t>
      </w:r>
    </w:p>
    <w:p w:rsidR="00B85568" w:rsidRDefault="00B85568" w:rsidP="00B85568">
      <w:pPr>
        <w:pStyle w:val="TextoNormalNegritaCentrado"/>
        <w:keepNext/>
      </w:pPr>
    </w:p>
    <w:p w:rsidR="00B85568" w:rsidRDefault="00B85568" w:rsidP="00B85568">
      <w:pPr>
        <w:pStyle w:val="TextoNormal"/>
      </w:pPr>
      <w:r w:rsidRPr="00B85568">
        <w:rPr>
          <w:rStyle w:val="NumeroAFNegritaCaracter"/>
        </w:rPr>
        <w:t>1</w:t>
      </w:r>
      <w:r>
        <w:t>. En los AATC 120/2011, de 19 de septiembre; 54/2012, de 26 de marzo; 80/2012, de 7 de mayo; 112/2012, de 31 de mayo, y 95/2013, de 7 de mayo, hemos establecido que el Tribunal Constitucional es competente para resolver este tipo de impugnaciones solamente cuando la insuficiencia económica del solicitante se ocasione después de haber interpuesto el recurso de amparo.</w:t>
      </w:r>
    </w:p>
    <w:p w:rsidR="00B85568" w:rsidRDefault="00B85568" w:rsidP="00B85568">
      <w:pPr>
        <w:pStyle w:val="TextoNormal"/>
      </w:pPr>
    </w:p>
    <w:p w:rsidR="00B85568" w:rsidRDefault="00B85568" w:rsidP="00B85568">
      <w:pPr>
        <w:pStyle w:val="TextoNormal"/>
      </w:pPr>
      <w:r>
        <w:t>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B85568" w:rsidRDefault="00B85568" w:rsidP="00B85568">
      <w:pPr>
        <w:pStyle w:val="TextoNormal"/>
      </w:pPr>
    </w:p>
    <w:p w:rsidR="00B85568" w:rsidRDefault="00B85568" w:rsidP="00B85568">
      <w:pPr>
        <w:pStyle w:val="TextoNormal"/>
      </w:pPr>
      <w:r>
        <w:t>Pues bien, como se señalaba en el ATC 120/2011, de 19 de septiembre, FJ 2,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B85568" w:rsidRDefault="00B85568" w:rsidP="00B85568">
      <w:pPr>
        <w:pStyle w:val="TextoNormal"/>
      </w:pPr>
    </w:p>
    <w:p w:rsidR="00B85568" w:rsidRDefault="00B85568" w:rsidP="00B85568">
      <w:pPr>
        <w:pStyle w:val="TextoNormal"/>
      </w:pPr>
      <w:r w:rsidRPr="00B85568">
        <w:rPr>
          <w:rStyle w:val="NumeroAFNegritaCaracter"/>
        </w:rPr>
        <w:t>2</w:t>
      </w:r>
      <w:r>
        <w:t>. En el presente asunto el debate sobre la suficiencia o insuficiencia económica y el derecho al beneficio tiene ocasión a raíz de la solicitud de designación, en su caso, de Abogado y Procurador del turno de oficio, que tuvo lugar al tiempo de anunciarse la intención de interponer el recurso de amparo, como concretase la diligencia de ordenación de la Secretaría de Justicia de la Sección Cuarta de la Sala Segunda de este Tribunal, de 30 de septiembre de 2014. Una solicitud resuelta en sentido denegatorio por la Comisión central de asistencia jurídica gratuita, en resolución de 19 de enero de 2015, y turnada después, cuando fue impugnada, al Juzgado de Instrucción núm. 44 de Madrid. No existe, en consecuencia, ningún elemento que suscite la cuestión relativa a la insuficiencia económica de la recurrente por razones sobrevenidas a la interposición del recurso de amparo, lo que conlleva, como se acaba de indicar, que este Tribunal carezca de competencia para resolver la impugnación formulada contra la resolución de la Comisión central de asistencia jurídica gratuita que denegó el beneficio.</w:t>
      </w:r>
    </w:p>
    <w:p w:rsidR="00B85568" w:rsidRDefault="00B85568" w:rsidP="00B85568">
      <w:pPr>
        <w:pStyle w:val="TextoNormal"/>
      </w:pPr>
    </w:p>
    <w:p w:rsidR="00B85568" w:rsidRDefault="00B85568" w:rsidP="00B85568">
      <w:pPr>
        <w:pStyle w:val="TextoNormal"/>
      </w:pPr>
      <w:r>
        <w:t>Por todo lo expuesto, la Sección</w:t>
      </w:r>
    </w:p>
    <w:p w:rsidR="00B85568" w:rsidRDefault="00B85568" w:rsidP="00B85568">
      <w:pPr>
        <w:pStyle w:val="TextoNormal"/>
      </w:pPr>
    </w:p>
    <w:p w:rsidR="00B85568" w:rsidRDefault="00B85568" w:rsidP="00B85568">
      <w:pPr>
        <w:pStyle w:val="TextoNormalCentrado"/>
      </w:pPr>
      <w:r>
        <w:t>ACUERDA</w:t>
      </w:r>
    </w:p>
    <w:p w:rsidR="00B85568" w:rsidRDefault="00B85568" w:rsidP="00B85568">
      <w:pPr>
        <w:pStyle w:val="TextoNormalCentrado"/>
      </w:pPr>
    </w:p>
    <w:p w:rsidR="00B85568" w:rsidRDefault="00B85568" w:rsidP="00B85568">
      <w:pPr>
        <w:pStyle w:val="TextoNormal"/>
      </w:pPr>
      <w:r>
        <w:t>1º Declararse incompetente para el enjuiciamiento de la impugnación de la resolución de la Comisión central de asistencia jurídica gratuita para el recurso de amparo núm. 5684-2014, formulada por doña María Huguet Gómez.</w:t>
      </w:r>
    </w:p>
    <w:p w:rsidR="00B85568" w:rsidRDefault="00B85568" w:rsidP="00B85568">
      <w:pPr>
        <w:pStyle w:val="TextoNormal"/>
      </w:pPr>
    </w:p>
    <w:p w:rsidR="00B85568" w:rsidRDefault="00B85568" w:rsidP="00B85568">
      <w:pPr>
        <w:pStyle w:val="TextoNormal"/>
      </w:pPr>
      <w:r>
        <w:t>2º Remitir al Juzgado de Instrucción núm. 44 de Madrid las actuaciones en su día recibidas por este Tribunal de la Comisión central de asistencia jurídica gratuita, notificando a ésta la presente resolución.</w:t>
      </w:r>
    </w:p>
    <w:p w:rsidR="00B85568" w:rsidRDefault="00B85568" w:rsidP="00B85568">
      <w:pPr>
        <w:pStyle w:val="TextoNormal"/>
      </w:pPr>
    </w:p>
    <w:p w:rsidR="00B85568" w:rsidRDefault="00B85568" w:rsidP="00DD47EB">
      <w:pPr>
        <w:pStyle w:val="TextoNormal"/>
      </w:pPr>
      <w:r>
        <w:t>Madrid, a veintiséis de junio de dos mil quince.</w:t>
      </w:r>
    </w:p>
    <w:p w:rsidR="00DD47EB" w:rsidRDefault="00DD47EB">
      <w:pPr>
        <w:spacing w:after="160" w:line="259" w:lineRule="auto"/>
        <w:rPr>
          <w:rFonts w:ascii="Times New Roman" w:eastAsia="Times New Roman" w:hAnsi="Times New Roman" w:cs="Times New Roman"/>
          <w:sz w:val="24"/>
          <w:szCs w:val="24"/>
          <w:lang w:eastAsia="es-ES"/>
        </w:rPr>
      </w:pPr>
      <w:r>
        <w:br w:type="page"/>
      </w:r>
    </w:p>
    <w:p w:rsidR="00DD47EB" w:rsidRDefault="00DD47EB" w:rsidP="00B85568">
      <w:pPr>
        <w:pStyle w:val="ParrafoNormal"/>
      </w:pPr>
    </w:p>
    <w:p w:rsidR="00DD47EB" w:rsidRDefault="00DD47EB" w:rsidP="00DD47EB">
      <w:pPr>
        <w:pStyle w:val="TextoNormal"/>
      </w:pPr>
    </w:p>
    <w:p w:rsidR="00DD47EB" w:rsidRDefault="00DD47EB" w:rsidP="00DD47EB">
      <w:pPr>
        <w:pStyle w:val="TextoNormal"/>
      </w:pPr>
    </w:p>
    <w:p w:rsidR="00DD47EB" w:rsidRDefault="00DD47EB" w:rsidP="00DD47EB">
      <w:pPr>
        <w:pStyle w:val="TextoNormal"/>
      </w:pPr>
    </w:p>
    <w:p w:rsidR="00DD47EB" w:rsidRDefault="00DD47EB" w:rsidP="00DD47EB">
      <w:pPr>
        <w:pStyle w:val="Ttulondice"/>
        <w:suppressAutoHyphens/>
      </w:pPr>
      <w:r>
        <w:t>3. ÍNDICE DE DISPOSICIONES CON FUERZA DE LEY IMPUGNADAS</w:t>
      </w: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pPr>
    </w:p>
    <w:p w:rsidR="00DD47EB" w:rsidRDefault="00DD47EB" w:rsidP="00DD47EB">
      <w:pPr>
        <w:pStyle w:val="TextoNormal"/>
      </w:pPr>
      <w:bookmarkStart w:id="265" w:name="INDICE22802"/>
      <w:bookmarkEnd w:id="265"/>
    </w:p>
    <w:p w:rsidR="00DD47EB" w:rsidRDefault="00DD47EB" w:rsidP="00DD47EB">
      <w:pPr>
        <w:pStyle w:val="TextoIndiceNivel2"/>
        <w:suppressAutoHyphens/>
      </w:pPr>
      <w:r>
        <w:t>A) Disposiciones con fuerza de ley del Estado</w:t>
      </w:r>
    </w:p>
    <w:p w:rsidR="00DD47EB" w:rsidRDefault="00DD47EB" w:rsidP="00DD47EB">
      <w:pPr>
        <w:pStyle w:val="TextoIndiceNivel2"/>
      </w:pPr>
    </w:p>
    <w:p w:rsidR="00DD47EB" w:rsidRDefault="00DD47EB" w:rsidP="00DD47EB">
      <w:pPr>
        <w:pStyle w:val="TextoNormalNegritaCursivandice"/>
      </w:pPr>
      <w:r>
        <w:t>Real Decreto Legislativo 1/1994, de 20 de junio. Texto refundido de la Ley general de la Seguridad Social</w:t>
      </w:r>
    </w:p>
    <w:p w:rsidR="00DD47EB" w:rsidRDefault="00DD47EB" w:rsidP="00DD47EB">
      <w:pPr>
        <w:pStyle w:val="SangriaFrancesaArticulo"/>
      </w:pPr>
      <w:r w:rsidRPr="00DD47EB">
        <w:rPr>
          <w:rStyle w:val="TextoNormalNegritaCaracter"/>
        </w:rPr>
        <w:t>Artículo 174.2.1, segundo inciso</w:t>
      </w:r>
      <w:r>
        <w:t xml:space="preserve"> (redactado por la Ley 40/2007, de 4 de diciembre)</w:t>
      </w:r>
      <w:r w:rsidRPr="00DD47EB">
        <w:rPr>
          <w:rStyle w:val="TextoNormalNegritaCaracter"/>
        </w:rPr>
        <w:t>.</w:t>
      </w:r>
      <w:r w:rsidRPr="00DD47EB">
        <w:rPr>
          <w:rStyle w:val="TextoNormalCaracter"/>
        </w:rPr>
        <w:t>-</w:t>
      </w:r>
      <w:r>
        <w:t xml:space="preserve"> Sentencia </w:t>
      </w:r>
      <w:hyperlink w:anchor="SENTENCIA_2015_79" w:history="1">
        <w:r w:rsidRPr="00DD47EB">
          <w:rPr>
            <w:rStyle w:val="TextoNormalCaracter"/>
          </w:rPr>
          <w:t>79/2015</w:t>
        </w:r>
      </w:hyperlink>
      <w:r>
        <w:t>.</w:t>
      </w:r>
    </w:p>
    <w:p w:rsidR="00DD47EB" w:rsidRDefault="00DD47EB" w:rsidP="00DD47EB">
      <w:pPr>
        <w:pStyle w:val="SangriaFrancesaArticulo"/>
      </w:pPr>
      <w:r w:rsidRPr="00DD47EB">
        <w:rPr>
          <w:rStyle w:val="TextoNormalNegritaCaracter"/>
        </w:rPr>
        <w:t>Disposición adicional séptima, apartado 1 regla 3 a)</w:t>
      </w:r>
      <w:r>
        <w:t xml:space="preserve"> (redactado por la Ley Orgánica 3/2007, de 22 de marzo)</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w:t>
      </w:r>
    </w:p>
    <w:p w:rsidR="00DD47EB" w:rsidRDefault="00DD47EB" w:rsidP="00DD47EB">
      <w:pPr>
        <w:pStyle w:val="SangriaFrancesaArticulo"/>
      </w:pPr>
      <w:r w:rsidRPr="00DD47EB">
        <w:rPr>
          <w:rStyle w:val="TextoNormalNegritaCaracter"/>
        </w:rPr>
        <w:t>Disposición adicional séptima, apartado 1 regla 3 b)</w:t>
      </w:r>
      <w:r>
        <w:t xml:space="preserve"> (redactado por el Real Decreto-ley 15/1998, de 27 de noviembre)</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w:t>
      </w:r>
    </w:p>
    <w:p w:rsidR="00DD47EB" w:rsidRDefault="00DD47EB" w:rsidP="00DD47EB">
      <w:pPr>
        <w:pStyle w:val="SangriaFrancesaArticulo"/>
      </w:pPr>
    </w:p>
    <w:p w:rsidR="00DD47EB" w:rsidRDefault="00DD47EB" w:rsidP="00DD47EB">
      <w:pPr>
        <w:pStyle w:val="TextoNormalNegritaCursivandice"/>
      </w:pPr>
      <w:r>
        <w:t>Ley Orgánica 10/1995, de 23 de noviembre. Código penal</w:t>
      </w:r>
    </w:p>
    <w:p w:rsidR="00DD47EB" w:rsidRDefault="00DD47EB" w:rsidP="00DD47EB">
      <w:pPr>
        <w:pStyle w:val="SangriaFrancesaArticulo"/>
      </w:pPr>
      <w:r w:rsidRPr="00DD47EB">
        <w:rPr>
          <w:rStyle w:val="TextoNormalNegritaCaracter"/>
        </w:rPr>
        <w:t>Artículo 623.1 párrafo segundo.</w:t>
      </w:r>
      <w:r w:rsidRPr="00DD47EB">
        <w:rPr>
          <w:rStyle w:val="TextoNormalCaracter"/>
        </w:rPr>
        <w:t>-</w:t>
      </w:r>
      <w:r>
        <w:t xml:space="preserve"> Sentencias </w:t>
      </w:r>
      <w:hyperlink w:anchor="SENTENCIA_2015_3" w:history="1">
        <w:r w:rsidRPr="00DD47EB">
          <w:rPr>
            <w:rStyle w:val="TextoNormalCaracter"/>
          </w:rPr>
          <w:t>3/2015</w:t>
        </w:r>
      </w:hyperlink>
      <w:r>
        <w:t xml:space="preserve">; </w:t>
      </w:r>
      <w:hyperlink w:anchor="SENTENCIA_2015_4" w:history="1">
        <w:r w:rsidRPr="00DD47EB">
          <w:rPr>
            <w:rStyle w:val="TextoNormalCaracter"/>
          </w:rPr>
          <w:t>4/2015</w:t>
        </w:r>
      </w:hyperlink>
      <w:r>
        <w:t>.</w:t>
      </w:r>
    </w:p>
    <w:p w:rsidR="00DD47EB" w:rsidRDefault="00DD47EB" w:rsidP="00DD47EB">
      <w:pPr>
        <w:pStyle w:val="SangriaFrancesaArticulo"/>
      </w:pPr>
    </w:p>
    <w:p w:rsidR="00DD47EB" w:rsidRDefault="00DD47EB" w:rsidP="00DD47EB">
      <w:pPr>
        <w:pStyle w:val="TextoNormalNegritaCursivandice"/>
      </w:pPr>
      <w:r>
        <w:t>Real Decreto-ley 15/1998, de 27 de noviembre. Medidas urgentes para la mejora del mercado de trabajo en relación con el trabajo a tiempo parcial y el fomento de su estabilidad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w:t>
      </w:r>
    </w:p>
    <w:p w:rsidR="00DD47EB" w:rsidRDefault="00DD47EB" w:rsidP="00DD47EB">
      <w:pPr>
        <w:pStyle w:val="SangriaFrancesaArticulo"/>
      </w:pPr>
    </w:p>
    <w:p w:rsidR="00DD47EB" w:rsidRDefault="00DD47EB" w:rsidP="00DD47EB">
      <w:pPr>
        <w:pStyle w:val="TextoNormalNegritaCursivandice"/>
      </w:pPr>
      <w:r>
        <w:t>Real Decreto Legislativo 5/2000, de 4 de agosto. Texto refundido de la Ley sobre infracciones y sanciones en el orden social</w:t>
      </w:r>
    </w:p>
    <w:p w:rsidR="00DD47EB" w:rsidRDefault="00DD47EB" w:rsidP="00DD47EB">
      <w:pPr>
        <w:pStyle w:val="SangriaFrancesaArticulo"/>
      </w:pPr>
      <w:r w:rsidRPr="00DD47EB">
        <w:rPr>
          <w:rStyle w:val="TextoNormalNegritaCaracter"/>
        </w:rPr>
        <w:t>Artículo 48.5</w:t>
      </w:r>
      <w:r>
        <w:t xml:space="preserve"> (redactado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xml:space="preserve"> (anula).</w:t>
      </w:r>
    </w:p>
    <w:p w:rsidR="00DD47EB" w:rsidRDefault="00DD47EB" w:rsidP="00DD47EB">
      <w:pPr>
        <w:pStyle w:val="SangriaFrancesaArticulo"/>
      </w:pPr>
    </w:p>
    <w:p w:rsidR="00DD47EB" w:rsidRDefault="00DD47EB" w:rsidP="00DD47EB">
      <w:pPr>
        <w:pStyle w:val="TextoNormalNegritaCursivandice"/>
      </w:pPr>
      <w:r>
        <w:t>Ley 56/2003, de 16 de diciembre. Empleo</w:t>
      </w:r>
    </w:p>
    <w:p w:rsidR="00DD47EB" w:rsidRDefault="00DD47EB" w:rsidP="00DD47EB">
      <w:pPr>
        <w:pStyle w:val="SangriaFrancesaArticulo"/>
      </w:pPr>
      <w:r w:rsidRPr="00DD47EB">
        <w:rPr>
          <w:rStyle w:val="TextoNormalNegritaCaracter"/>
        </w:rPr>
        <w:t xml:space="preserve">Artículo 27.4 párrafo 2 inciso </w:t>
      </w:r>
      <w:r w:rsidRPr="00DD47EB">
        <w:rPr>
          <w:rStyle w:val="TextoNormalNegritaCursivaCaracter"/>
        </w:rPr>
        <w:t>in fine</w:t>
      </w:r>
      <w:r>
        <w:t xml:space="preserve"> </w:t>
      </w:r>
      <w:r w:rsidRPr="00DD47EB">
        <w:rPr>
          <w:rStyle w:val="TextoNormalCaracter"/>
        </w:rPr>
        <w:t>(redactado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xml:space="preserve"> (anula).</w:t>
      </w:r>
    </w:p>
    <w:p w:rsidR="00DD47EB" w:rsidRDefault="00DD47EB" w:rsidP="00DD47EB">
      <w:pPr>
        <w:pStyle w:val="SangriaFrancesaArticulo"/>
      </w:pPr>
    </w:p>
    <w:p w:rsidR="00DD47EB" w:rsidRDefault="00DD47EB" w:rsidP="00DD47EB">
      <w:pPr>
        <w:pStyle w:val="TextoNormalNegritaCursivandice"/>
      </w:pPr>
      <w:r>
        <w:t>Ley 58/2003, de 17 de diciembre. General tributaria</w:t>
      </w:r>
    </w:p>
    <w:p w:rsidR="00DD47EB" w:rsidRDefault="00DD47EB" w:rsidP="00DD47EB">
      <w:pPr>
        <w:pStyle w:val="SangriaFrancesaArticulo"/>
      </w:pPr>
      <w:r w:rsidRPr="00DD47EB">
        <w:rPr>
          <w:rStyle w:val="TextoNormalNegritaCaracter"/>
        </w:rPr>
        <w:t>Artículo 191.1.4.</w:t>
      </w:r>
      <w:r w:rsidRPr="00DD47EB">
        <w:rPr>
          <w:rStyle w:val="TextoNormalCaracter"/>
        </w:rPr>
        <w:t>-</w:t>
      </w:r>
      <w:r>
        <w:t xml:space="preserve"> Autos </w:t>
      </w:r>
      <w:hyperlink w:anchor="AUTO_2015_20" w:history="1">
        <w:r w:rsidRPr="00DD47EB">
          <w:rPr>
            <w:rStyle w:val="TextoNormalCaracter"/>
          </w:rPr>
          <w:t>20/2015</w:t>
        </w:r>
      </w:hyperlink>
      <w:r>
        <w:t xml:space="preserve">; </w:t>
      </w:r>
      <w:hyperlink w:anchor="AUTO_2015_111" w:history="1">
        <w:r w:rsidRPr="00DD47EB">
          <w:rPr>
            <w:rStyle w:val="TextoNormalCaracter"/>
          </w:rPr>
          <w:t>111/2015</w:t>
        </w:r>
      </w:hyperlink>
      <w:r>
        <w:t>.</w:t>
      </w:r>
    </w:p>
    <w:p w:rsidR="00DD47EB" w:rsidRDefault="00DD47EB" w:rsidP="00DD47EB">
      <w:pPr>
        <w:pStyle w:val="SangriaFrancesaArticulo"/>
      </w:pPr>
      <w:r w:rsidRPr="00DD47EB">
        <w:rPr>
          <w:rStyle w:val="TextoNormalNegritaCaracter"/>
        </w:rPr>
        <w:t xml:space="preserve">Artículo 191.2 </w:t>
      </w:r>
      <w:r w:rsidRPr="00DD47EB">
        <w:rPr>
          <w:rStyle w:val="TextoNormalNegritaCursivaCaracter"/>
        </w:rPr>
        <w:t>in fine</w:t>
      </w:r>
      <w:r w:rsidRPr="00DD47EB">
        <w:rPr>
          <w:rStyle w:val="TextoNormalNegritaCaracter"/>
        </w:rPr>
        <w:t>.</w:t>
      </w:r>
      <w:r w:rsidRPr="00DD47EB">
        <w:rPr>
          <w:rStyle w:val="TextoNormalCaracter"/>
        </w:rPr>
        <w:t>-</w:t>
      </w:r>
      <w:r>
        <w:t xml:space="preserve"> Autos </w:t>
      </w:r>
      <w:hyperlink w:anchor="AUTO_2015_20" w:history="1">
        <w:r w:rsidRPr="00DD47EB">
          <w:rPr>
            <w:rStyle w:val="TextoNormalCaracter"/>
          </w:rPr>
          <w:t>20/2015</w:t>
        </w:r>
      </w:hyperlink>
      <w:r>
        <w:t xml:space="preserve">; </w:t>
      </w:r>
      <w:hyperlink w:anchor="AUTO_2015_111" w:history="1">
        <w:r w:rsidRPr="00DD47EB">
          <w:rPr>
            <w:rStyle w:val="TextoNormalCaracter"/>
          </w:rPr>
          <w:t>111/2015</w:t>
        </w:r>
      </w:hyperlink>
      <w:r>
        <w:t>.</w:t>
      </w:r>
    </w:p>
    <w:p w:rsidR="00DD47EB" w:rsidRDefault="00DD47EB" w:rsidP="00DD47EB">
      <w:pPr>
        <w:pStyle w:val="SangriaFrancesaArticulo"/>
      </w:pPr>
      <w:r w:rsidRPr="00DD47EB">
        <w:rPr>
          <w:rStyle w:val="TextoNormalNegritaCaracter"/>
        </w:rPr>
        <w:t>Artículo 191.6.</w:t>
      </w:r>
      <w:r w:rsidRPr="00DD47EB">
        <w:rPr>
          <w:rStyle w:val="TextoNormalCaracter"/>
        </w:rPr>
        <w:t>-</w:t>
      </w:r>
      <w:r>
        <w:t xml:space="preserve"> Autos </w:t>
      </w:r>
      <w:hyperlink w:anchor="AUTO_2015_20" w:history="1">
        <w:r w:rsidRPr="00DD47EB">
          <w:rPr>
            <w:rStyle w:val="TextoNormalCaracter"/>
          </w:rPr>
          <w:t>20/2015</w:t>
        </w:r>
      </w:hyperlink>
      <w:r>
        <w:t xml:space="preserve">; </w:t>
      </w:r>
      <w:hyperlink w:anchor="AUTO_2015_111" w:history="1">
        <w:r w:rsidRPr="00DD47EB">
          <w:rPr>
            <w:rStyle w:val="TextoNormalCaracter"/>
          </w:rPr>
          <w:t>111/2015</w:t>
        </w:r>
      </w:hyperlink>
      <w:r>
        <w:t>.</w:t>
      </w:r>
    </w:p>
    <w:p w:rsidR="00DD47EB" w:rsidRDefault="00DD47EB" w:rsidP="00DD47EB">
      <w:pPr>
        <w:pStyle w:val="SangriaFrancesaArticulo"/>
      </w:pPr>
    </w:p>
    <w:p w:rsidR="00DD47EB" w:rsidRDefault="00DD47EB" w:rsidP="00DD47EB">
      <w:pPr>
        <w:pStyle w:val="TextoNormalNegritaCursivandice"/>
      </w:pPr>
      <w:r>
        <w:t>Ley 2/2004, de 27 de diciembre. Presupuestos generales del Estado para 2005</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Disposición adicional vigesimoctava.</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Disposición adicional trigésima.</w:t>
      </w:r>
      <w:r w:rsidRPr="00DD47EB">
        <w:rPr>
          <w:rStyle w:val="TextoNormalCaracter"/>
        </w:rPr>
        <w:t>-</w:t>
      </w:r>
      <w:r>
        <w:t xml:space="preserve"> Sentencia </w:t>
      </w:r>
      <w:hyperlink w:anchor="SENTENCIA_2015_44" w:history="1">
        <w:r w:rsidRPr="00DD47EB">
          <w:rPr>
            <w:rStyle w:val="TextoNormalCaracter"/>
          </w:rPr>
          <w:t>44/2015</w:t>
        </w:r>
      </w:hyperlink>
      <w:r>
        <w:t xml:space="preserve"> (anula).</w:t>
      </w:r>
    </w:p>
    <w:p w:rsidR="00DD47EB" w:rsidRDefault="00DD47EB" w:rsidP="00DD47EB">
      <w:pPr>
        <w:pStyle w:val="SangriaFrancesaArticulo"/>
      </w:pPr>
      <w:r w:rsidRPr="00DD47EB">
        <w:rPr>
          <w:rStyle w:val="TextoNormalNegritaCaracter"/>
        </w:rPr>
        <w:t>Disposición adicional trigésimo primera.</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Disposición adicional trigésimo cuarta.</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Disposición adicional trigésimo novena.</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Disposición adicional cuadragésima.</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Disposición adicional cuadragésimo octava.</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12.</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13.</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14.</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15.</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16.</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17.</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19.</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20.</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Disposición adicional cuadragésimo octava.</w:t>
      </w:r>
      <w:r w:rsidRPr="00DD47EB">
        <w:rPr>
          <w:rStyle w:val="TextoNormalCaracter"/>
        </w:rPr>
        <w:t>-</w:t>
      </w:r>
      <w:r>
        <w:t xml:space="preserve"> Sentencia </w:t>
      </w:r>
      <w:hyperlink w:anchor="SENTENCIA_2015_62" w:history="1">
        <w:r w:rsidRPr="00DD47EB">
          <w:rPr>
            <w:rStyle w:val="TextoNormalCaracter"/>
          </w:rPr>
          <w:t>62/2015</w:t>
        </w:r>
      </w:hyperlink>
      <w:r>
        <w:t>.</w:t>
      </w:r>
    </w:p>
    <w:p w:rsidR="00DD47EB" w:rsidRDefault="00DD47EB" w:rsidP="00DD47EB">
      <w:pPr>
        <w:pStyle w:val="SangriaFrancesaArticulo"/>
      </w:pPr>
      <w:r w:rsidRPr="00DD47EB">
        <w:rPr>
          <w:rStyle w:val="TextoNormalNegritaCaracter"/>
        </w:rPr>
        <w:t>Sección 18.</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21.</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22.</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23.</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24.</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27.</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Anexo I.</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25.</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r w:rsidRPr="00DD47EB">
        <w:rPr>
          <w:rStyle w:val="TextoNormalNegritaCaracter"/>
        </w:rPr>
        <w:t>Sección 26.</w:t>
      </w:r>
      <w:r w:rsidRPr="00DD47EB">
        <w:rPr>
          <w:rStyle w:val="TextoNormalCaracter"/>
        </w:rPr>
        <w:t>-</w:t>
      </w:r>
      <w:r>
        <w:t xml:space="preserve"> Sentencia </w:t>
      </w:r>
      <w:hyperlink w:anchor="SENTENCIA_2015_44" w:history="1">
        <w:r w:rsidRPr="00DD47EB">
          <w:rPr>
            <w:rStyle w:val="TextoNormalCaracter"/>
          </w:rPr>
          <w:t>44/2015</w:t>
        </w:r>
      </w:hyperlink>
      <w:r>
        <w:t>.</w:t>
      </w:r>
    </w:p>
    <w:p w:rsidR="00DD47EB" w:rsidRDefault="00DD47EB" w:rsidP="00DD47EB">
      <w:pPr>
        <w:pStyle w:val="SangriaFrancesaArticulo"/>
      </w:pPr>
    </w:p>
    <w:p w:rsidR="00DD47EB" w:rsidRDefault="00DD47EB" w:rsidP="00DD47EB">
      <w:pPr>
        <w:pStyle w:val="TextoNormalNegritaCursivandice"/>
      </w:pPr>
      <w:r>
        <w:t>Ley Orgánica 3/2007, de 22 de marzo. Igualdad efectiva de mujeres y hombres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w:t>
      </w:r>
    </w:p>
    <w:p w:rsidR="00DD47EB" w:rsidRDefault="00DD47EB" w:rsidP="00DD47EB">
      <w:pPr>
        <w:pStyle w:val="SangriaFrancesaArticulo"/>
      </w:pPr>
    </w:p>
    <w:p w:rsidR="00DD47EB" w:rsidRDefault="00DD47EB" w:rsidP="00DD47EB">
      <w:pPr>
        <w:pStyle w:val="TextoNormalNegritaCursivandice"/>
      </w:pPr>
      <w:r>
        <w:t>Ley 8/2007, de 28 de mayo. Ley de suelo</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Auto </w:t>
      </w:r>
      <w:hyperlink w:anchor="AUTO_2015_36" w:history="1">
        <w:r w:rsidRPr="00DD47EB">
          <w:rPr>
            <w:rStyle w:val="TextoNormalCaracter"/>
          </w:rPr>
          <w:t>36/2015</w:t>
        </w:r>
      </w:hyperlink>
      <w:r>
        <w:t>.</w:t>
      </w:r>
    </w:p>
    <w:p w:rsidR="00DD47EB" w:rsidRDefault="00DD47EB" w:rsidP="00DD47EB">
      <w:pPr>
        <w:pStyle w:val="SangriaFrancesaArticulo"/>
      </w:pPr>
      <w:r w:rsidRPr="00DD47EB">
        <w:rPr>
          <w:rStyle w:val="TextoNormalNegritaCaracter"/>
        </w:rPr>
        <w:t>Artículo 21.2.</w:t>
      </w:r>
      <w:r w:rsidRPr="00DD47EB">
        <w:rPr>
          <w:rStyle w:val="TextoNormalCaracter"/>
        </w:rPr>
        <w:t>-</w:t>
      </w:r>
      <w:r>
        <w:t xml:space="preserve"> Auto </w:t>
      </w:r>
      <w:hyperlink w:anchor="AUTO_2015_36" w:history="1">
        <w:r w:rsidRPr="00DD47EB">
          <w:rPr>
            <w:rStyle w:val="TextoNormalCaracter"/>
          </w:rPr>
          <w:t>36/2015</w:t>
        </w:r>
      </w:hyperlink>
      <w:r>
        <w:t>.</w:t>
      </w:r>
    </w:p>
    <w:p w:rsidR="00DD47EB" w:rsidRDefault="00DD47EB" w:rsidP="00DD47EB">
      <w:pPr>
        <w:pStyle w:val="SangriaFrancesaArticulo"/>
      </w:pPr>
      <w:r w:rsidRPr="00DD47EB">
        <w:rPr>
          <w:rStyle w:val="TextoNormalNegritaCaracter"/>
        </w:rPr>
        <w:t>Artículo 22.1 a).</w:t>
      </w:r>
      <w:r w:rsidRPr="00DD47EB">
        <w:rPr>
          <w:rStyle w:val="TextoNormalCaracter"/>
        </w:rPr>
        <w:t>-</w:t>
      </w:r>
      <w:r>
        <w:t xml:space="preserve"> Sentencias </w:t>
      </w:r>
      <w:hyperlink w:anchor="SENTENCIA_2015_43" w:history="1">
        <w:r w:rsidRPr="00DD47EB">
          <w:rPr>
            <w:rStyle w:val="TextoNormalCaracter"/>
          </w:rPr>
          <w:t>43/2015</w:t>
        </w:r>
      </w:hyperlink>
      <w:r>
        <w:t xml:space="preserve">; </w:t>
      </w:r>
      <w:hyperlink w:anchor="SENTENCIA_2015_56" w:history="1">
        <w:r w:rsidRPr="00DD47EB">
          <w:rPr>
            <w:rStyle w:val="TextoNormalCaracter"/>
          </w:rPr>
          <w:t>56/2015</w:t>
        </w:r>
      </w:hyperlink>
      <w:r>
        <w:t>.</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w:t>
      </w:r>
      <w:hyperlink w:anchor="AUTO_2015_21" w:history="1">
        <w:r w:rsidRPr="00DD47EB">
          <w:rPr>
            <w:rStyle w:val="TextoNormalCaracter"/>
          </w:rPr>
          <w:t>21/2015</w:t>
        </w:r>
      </w:hyperlink>
      <w:r>
        <w:t xml:space="preserve">; </w:t>
      </w:r>
      <w:hyperlink w:anchor="AUTO_2015_22" w:history="1">
        <w:r w:rsidRPr="00DD47EB">
          <w:rPr>
            <w:rStyle w:val="TextoNormalCaracter"/>
          </w:rPr>
          <w:t>22/2015</w:t>
        </w:r>
      </w:hyperlink>
      <w:r>
        <w:t xml:space="preserve">; </w:t>
      </w:r>
      <w:hyperlink w:anchor="AUTO_2015_36" w:history="1">
        <w:r w:rsidRPr="00DD47EB">
          <w:rPr>
            <w:rStyle w:val="TextoNormalCaracter"/>
          </w:rPr>
          <w:t>36/2015</w:t>
        </w:r>
      </w:hyperlink>
      <w:r>
        <w:t xml:space="preserve">; </w:t>
      </w:r>
      <w:hyperlink w:anchor="AUTO_2015_38" w:history="1">
        <w:r w:rsidRPr="00DD47EB">
          <w:rPr>
            <w:rStyle w:val="TextoNormalCaracter"/>
          </w:rPr>
          <w:t>38/2015</w:t>
        </w:r>
      </w:hyperlink>
      <w:r>
        <w:t>.</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Sentencias </w:t>
      </w:r>
      <w:hyperlink w:anchor="SENTENCIA_2015_43" w:history="1">
        <w:r w:rsidRPr="00DD47EB">
          <w:rPr>
            <w:rStyle w:val="TextoNormalCaracter"/>
          </w:rPr>
          <w:t>43/2015</w:t>
        </w:r>
      </w:hyperlink>
      <w:r>
        <w:t xml:space="preserve">; </w:t>
      </w:r>
      <w:hyperlink w:anchor="SENTENCIA_2015_56" w:history="1">
        <w:r w:rsidRPr="00DD47EB">
          <w:rPr>
            <w:rStyle w:val="TextoNormalCaracter"/>
          </w:rPr>
          <w:t>56/2015</w:t>
        </w:r>
      </w:hyperlink>
      <w:r>
        <w:t>.</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w:t>
      </w:r>
      <w:hyperlink w:anchor="AUTO_2015_21" w:history="1">
        <w:r w:rsidRPr="00DD47EB">
          <w:rPr>
            <w:rStyle w:val="TextoNormalCaracter"/>
          </w:rPr>
          <w:t>21/2015</w:t>
        </w:r>
      </w:hyperlink>
      <w:r>
        <w:t xml:space="preserve">; </w:t>
      </w:r>
      <w:hyperlink w:anchor="AUTO_2015_22" w:history="1">
        <w:r w:rsidRPr="00DD47EB">
          <w:rPr>
            <w:rStyle w:val="TextoNormalCaracter"/>
          </w:rPr>
          <w:t>22/2015</w:t>
        </w:r>
      </w:hyperlink>
      <w:r>
        <w:t xml:space="preserve">; </w:t>
      </w:r>
      <w:hyperlink w:anchor="AUTO_2015_36" w:history="1">
        <w:r w:rsidRPr="00DD47EB">
          <w:rPr>
            <w:rStyle w:val="TextoNormalCaracter"/>
          </w:rPr>
          <w:t>36/2015</w:t>
        </w:r>
      </w:hyperlink>
      <w:r>
        <w:t xml:space="preserve">; </w:t>
      </w:r>
      <w:hyperlink w:anchor="AUTO_2015_38" w:history="1">
        <w:r w:rsidRPr="00DD47EB">
          <w:rPr>
            <w:rStyle w:val="TextoNormalCaracter"/>
          </w:rPr>
          <w:t>38/2015</w:t>
        </w:r>
      </w:hyperlink>
      <w:r>
        <w:t>.</w:t>
      </w:r>
    </w:p>
    <w:p w:rsidR="00DD47EB" w:rsidRDefault="00DD47EB" w:rsidP="00DD47EB">
      <w:pPr>
        <w:pStyle w:val="SangriaIzquierdaArticulo"/>
      </w:pPr>
    </w:p>
    <w:p w:rsidR="00DD47EB" w:rsidRDefault="00DD47EB" w:rsidP="00DD47EB">
      <w:pPr>
        <w:pStyle w:val="TextoNormalNegritaCursivandice"/>
      </w:pPr>
      <w:r>
        <w:t>Real Decreto Legislativo 1/2007, de 16 de noviembre. Texto refundido de la Ley general para la defensa de los consumidores y usuarios y otras leyes complementarias</w:t>
      </w:r>
    </w:p>
    <w:p w:rsidR="00DD47EB" w:rsidRDefault="00DD47EB" w:rsidP="00DD47EB">
      <w:pPr>
        <w:pStyle w:val="SangriaFrancesaArticulo"/>
      </w:pPr>
      <w:r w:rsidRPr="00DD47EB">
        <w:rPr>
          <w:rStyle w:val="TextoNormalNegritaCaracter"/>
        </w:rPr>
        <w:t>Artículo 50.1.</w:t>
      </w:r>
      <w:r w:rsidRPr="00DD47EB">
        <w:rPr>
          <w:rStyle w:val="TextoNormalCaracter"/>
        </w:rPr>
        <w:t>-</w:t>
      </w:r>
      <w:r>
        <w:t xml:space="preserve"> Sentencia </w:t>
      </w:r>
      <w:hyperlink w:anchor="SENTENCIA_2015_10" w:history="1">
        <w:r w:rsidRPr="00DD47EB">
          <w:rPr>
            <w:rStyle w:val="TextoNormalCaracter"/>
          </w:rPr>
          <w:t>10/2015</w:t>
        </w:r>
      </w:hyperlink>
      <w:r>
        <w:t xml:space="preserve"> (anula).</w:t>
      </w:r>
    </w:p>
    <w:p w:rsidR="00DD47EB" w:rsidRDefault="00DD47EB" w:rsidP="00DD47EB">
      <w:pPr>
        <w:pStyle w:val="SangriaFrancesaArticulo"/>
      </w:pPr>
    </w:p>
    <w:p w:rsidR="00DD47EB" w:rsidRDefault="00DD47EB" w:rsidP="00DD47EB">
      <w:pPr>
        <w:pStyle w:val="TextoNormalNegritaCursivandice"/>
      </w:pPr>
      <w:r>
        <w:t>Ley 40/2007, de 4 de diciembre. Medidas en materia de Seguridad Social</w:t>
      </w:r>
    </w:p>
    <w:p w:rsidR="00DD47EB" w:rsidRDefault="00DD47EB" w:rsidP="00DD47EB">
      <w:pPr>
        <w:pStyle w:val="SangriaFrancesaArticulo"/>
      </w:pPr>
      <w:r w:rsidRPr="00DD47EB">
        <w:rPr>
          <w:rStyle w:val="TextoNormalNegritaCaracter"/>
        </w:rPr>
        <w:t>Disposición adicional tercera, apartado e).</w:t>
      </w:r>
      <w:r w:rsidRPr="00DD47EB">
        <w:rPr>
          <w:rStyle w:val="TextoNormalCaracter"/>
        </w:rPr>
        <w:t>-</w:t>
      </w:r>
      <w:r>
        <w:t xml:space="preserve"> Auto </w:t>
      </w:r>
      <w:hyperlink w:anchor="AUTO_2015_112" w:history="1">
        <w:r w:rsidRPr="00DD47EB">
          <w:rPr>
            <w:rStyle w:val="TextoNormalCaracter"/>
          </w:rPr>
          <w:t>112/2015</w:t>
        </w:r>
      </w:hyperlink>
      <w:r>
        <w:t>.</w:t>
      </w:r>
    </w:p>
    <w:p w:rsidR="00DD47EB" w:rsidRDefault="00DD47EB" w:rsidP="00DD47EB">
      <w:pPr>
        <w:pStyle w:val="SangriaFrancesaArticulo"/>
      </w:pPr>
    </w:p>
    <w:p w:rsidR="00DD47EB" w:rsidRDefault="00DD47EB" w:rsidP="00DD47EB">
      <w:pPr>
        <w:pStyle w:val="TextoNormalNegritaCursivandice"/>
      </w:pPr>
      <w:r>
        <w:t>Real Decreto Legislativo 2/2008, de 20 de junio. Texto refundido de la Ley de suelo</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Autos </w:t>
      </w:r>
      <w:hyperlink w:anchor="AUTO_2015_36" w:history="1">
        <w:r w:rsidRPr="00DD47EB">
          <w:rPr>
            <w:rStyle w:val="TextoNormalCaracter"/>
          </w:rPr>
          <w:t>36/2015</w:t>
        </w:r>
      </w:hyperlink>
      <w:r>
        <w:t xml:space="preserve">; </w:t>
      </w:r>
      <w:hyperlink w:anchor="AUTO_2015_62" w:history="1">
        <w:r w:rsidRPr="00DD47EB">
          <w:rPr>
            <w:rStyle w:val="TextoNormalCaracter"/>
          </w:rPr>
          <w:t>62/2015</w:t>
        </w:r>
      </w:hyperlink>
      <w:r>
        <w:t>.</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Auto </w:t>
      </w:r>
      <w:hyperlink w:anchor="AUTO_2015_36" w:history="1">
        <w:r w:rsidRPr="00DD47EB">
          <w:rPr>
            <w:rStyle w:val="TextoNormalCaracter"/>
          </w:rPr>
          <w:t>36/2015</w:t>
        </w:r>
      </w:hyperlink>
      <w:r>
        <w:t>.</w:t>
      </w:r>
    </w:p>
    <w:p w:rsidR="00DD47EB" w:rsidRDefault="00DD47EB" w:rsidP="00DD47EB">
      <w:pPr>
        <w:pStyle w:val="SangriaFrancesaArticulo"/>
      </w:pPr>
      <w:r w:rsidRPr="00DD47EB">
        <w:rPr>
          <w:rStyle w:val="TextoNormalNegritaCaracter"/>
        </w:rPr>
        <w:t>Artículo 23.1 a).</w:t>
      </w:r>
      <w:r w:rsidRPr="00DD47EB">
        <w:rPr>
          <w:rStyle w:val="TextoNormalCaracter"/>
        </w:rPr>
        <w:t>-</w:t>
      </w:r>
      <w:r>
        <w:t xml:space="preserve"> Sentencia </w:t>
      </w:r>
      <w:hyperlink w:anchor="SENTENCIA_2015_43" w:history="1">
        <w:r w:rsidRPr="00DD47EB">
          <w:rPr>
            <w:rStyle w:val="TextoNormalCaracter"/>
          </w:rPr>
          <w:t>43/2015</w:t>
        </w:r>
      </w:hyperlink>
      <w:r>
        <w:t>.</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w:t>
      </w:r>
      <w:hyperlink w:anchor="AUTO_2015_21" w:history="1">
        <w:r w:rsidRPr="00DD47EB">
          <w:rPr>
            <w:rStyle w:val="TextoNormalCaracter"/>
          </w:rPr>
          <w:t>21/2015</w:t>
        </w:r>
      </w:hyperlink>
      <w:r>
        <w:t xml:space="preserve">; </w:t>
      </w:r>
      <w:hyperlink w:anchor="AUTO_2015_22" w:history="1">
        <w:r w:rsidRPr="00DD47EB">
          <w:rPr>
            <w:rStyle w:val="TextoNormalCaracter"/>
          </w:rPr>
          <w:t>22/2015</w:t>
        </w:r>
      </w:hyperlink>
      <w:r>
        <w:t xml:space="preserve">; </w:t>
      </w:r>
      <w:hyperlink w:anchor="AUTO_2015_36" w:history="1">
        <w:r w:rsidRPr="00DD47EB">
          <w:rPr>
            <w:rStyle w:val="TextoNormalCaracter"/>
          </w:rPr>
          <w:t>36/2015</w:t>
        </w:r>
      </w:hyperlink>
      <w:r>
        <w:t xml:space="preserve">; </w:t>
      </w:r>
      <w:hyperlink w:anchor="AUTO_2015_38" w:history="1">
        <w:r w:rsidRPr="00DD47EB">
          <w:rPr>
            <w:rStyle w:val="TextoNormalCaracter"/>
          </w:rPr>
          <w:t>38/2015</w:t>
        </w:r>
      </w:hyperlink>
      <w:r>
        <w:t xml:space="preserve">; </w:t>
      </w:r>
      <w:hyperlink w:anchor="AUTO_2015_62" w:history="1">
        <w:r w:rsidRPr="00DD47EB">
          <w:rPr>
            <w:rStyle w:val="TextoNormalCaracter"/>
          </w:rPr>
          <w:t>62/2015</w:t>
        </w:r>
      </w:hyperlink>
      <w:r>
        <w:t>.</w:t>
      </w:r>
    </w:p>
    <w:p w:rsidR="00DD47EB" w:rsidRDefault="00DD47EB" w:rsidP="00DD47EB">
      <w:pPr>
        <w:pStyle w:val="SangriaFrancesaArticulo"/>
      </w:pPr>
      <w:r w:rsidRPr="00DD47EB">
        <w:rPr>
          <w:rStyle w:val="TextoNormalNegritaCaracter"/>
        </w:rPr>
        <w:t>Artículo 23.1 a) párrafo 3.</w:t>
      </w:r>
      <w:r w:rsidRPr="00DD47EB">
        <w:rPr>
          <w:rStyle w:val="TextoNormalCaracter"/>
        </w:rPr>
        <w:t>-</w:t>
      </w:r>
      <w:r>
        <w:t xml:space="preserve"> Sentencia </w:t>
      </w:r>
      <w:hyperlink w:anchor="SENTENCIA_2015_56" w:history="1">
        <w:r w:rsidRPr="00DD47EB">
          <w:rPr>
            <w:rStyle w:val="TextoNormalCaracter"/>
          </w:rPr>
          <w:t>56/2015</w:t>
        </w:r>
      </w:hyperlink>
      <w:r>
        <w:t>.</w:t>
      </w:r>
    </w:p>
    <w:p w:rsidR="00DD47EB" w:rsidRDefault="00DD47EB" w:rsidP="00DD47EB">
      <w:pPr>
        <w:pStyle w:val="SangriaFrancesaArticulo"/>
      </w:pPr>
      <w:r w:rsidRPr="00DD47EB">
        <w:rPr>
          <w:rStyle w:val="TextoNormalNegritaCaracter"/>
        </w:rPr>
        <w:t>Artículo 23.2.</w:t>
      </w:r>
      <w:r w:rsidRPr="00DD47EB">
        <w:rPr>
          <w:rStyle w:val="TextoNormalCaracter"/>
        </w:rPr>
        <w:t>-</w:t>
      </w:r>
      <w:r>
        <w:t xml:space="preserve"> Sentencias </w:t>
      </w:r>
      <w:hyperlink w:anchor="SENTENCIA_2015_43" w:history="1">
        <w:r w:rsidRPr="00DD47EB">
          <w:rPr>
            <w:rStyle w:val="TextoNormalCaracter"/>
          </w:rPr>
          <w:t>43/2015</w:t>
        </w:r>
      </w:hyperlink>
      <w:r>
        <w:t xml:space="preserve">; </w:t>
      </w:r>
      <w:hyperlink w:anchor="SENTENCIA_2015_56" w:history="1">
        <w:r w:rsidRPr="00DD47EB">
          <w:rPr>
            <w:rStyle w:val="TextoNormalCaracter"/>
          </w:rPr>
          <w:t>56/2015</w:t>
        </w:r>
      </w:hyperlink>
      <w:r>
        <w:t>.</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w:t>
      </w:r>
      <w:hyperlink w:anchor="AUTO_2015_21" w:history="1">
        <w:r w:rsidRPr="00DD47EB">
          <w:rPr>
            <w:rStyle w:val="TextoNormalCaracter"/>
          </w:rPr>
          <w:t>21/2015</w:t>
        </w:r>
      </w:hyperlink>
      <w:r>
        <w:t xml:space="preserve">; </w:t>
      </w:r>
      <w:hyperlink w:anchor="AUTO_2015_22" w:history="1">
        <w:r w:rsidRPr="00DD47EB">
          <w:rPr>
            <w:rStyle w:val="TextoNormalCaracter"/>
          </w:rPr>
          <w:t>22/2015</w:t>
        </w:r>
      </w:hyperlink>
      <w:r>
        <w:t xml:space="preserve">; </w:t>
      </w:r>
      <w:hyperlink w:anchor="AUTO_2015_36" w:history="1">
        <w:r w:rsidRPr="00DD47EB">
          <w:rPr>
            <w:rStyle w:val="TextoNormalCaracter"/>
          </w:rPr>
          <w:t>36/2015</w:t>
        </w:r>
      </w:hyperlink>
      <w:r>
        <w:t xml:space="preserve">; </w:t>
      </w:r>
      <w:hyperlink w:anchor="AUTO_2015_38" w:history="1">
        <w:r w:rsidRPr="00DD47EB">
          <w:rPr>
            <w:rStyle w:val="TextoNormalCaracter"/>
          </w:rPr>
          <w:t>38/2015</w:t>
        </w:r>
      </w:hyperlink>
      <w:r>
        <w:t xml:space="preserve">; </w:t>
      </w:r>
      <w:hyperlink w:anchor="AUTO_2015_62" w:history="1">
        <w:r w:rsidRPr="00DD47EB">
          <w:rPr>
            <w:rStyle w:val="TextoNormalCaracter"/>
          </w:rPr>
          <w:t>62/2015</w:t>
        </w:r>
      </w:hyperlink>
      <w:r>
        <w:t>.</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Auto </w:t>
      </w:r>
      <w:hyperlink w:anchor="AUTO_2015_62" w:history="1">
        <w:r w:rsidRPr="00DD47EB">
          <w:rPr>
            <w:rStyle w:val="TextoNormalCaracter"/>
          </w:rPr>
          <w:t>62/2015</w:t>
        </w:r>
      </w:hyperlink>
      <w:r>
        <w:t>.</w:t>
      </w:r>
    </w:p>
    <w:p w:rsidR="00DD47EB" w:rsidRDefault="00DD47EB" w:rsidP="00DD47EB">
      <w:pPr>
        <w:pStyle w:val="SangriaFrancesaArticulo"/>
      </w:pPr>
    </w:p>
    <w:p w:rsidR="00DD47EB" w:rsidRDefault="00DD47EB" w:rsidP="00DD47EB">
      <w:pPr>
        <w:pStyle w:val="TextoNormalNegritaCursivandice"/>
      </w:pPr>
      <w:r>
        <w:t>Real Decreto-ley 2/2011, de 18 de febrero. Reforzamiento del sistema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7" w:history="1">
        <w:r w:rsidRPr="00DD47EB">
          <w:rPr>
            <w:rStyle w:val="TextoNormalCaracter"/>
          </w:rPr>
          <w:t>47/2015</w:t>
        </w:r>
      </w:hyperlink>
      <w:r>
        <w:t>.</w:t>
      </w:r>
    </w:p>
    <w:p w:rsidR="00DD47EB" w:rsidRDefault="00DD47EB" w:rsidP="00DD47EB">
      <w:pPr>
        <w:pStyle w:val="SangriaFrancesaArticulo"/>
      </w:pPr>
    </w:p>
    <w:p w:rsidR="00DD47EB" w:rsidRDefault="00DD47EB" w:rsidP="00DD47EB">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29" w:history="1">
        <w:r w:rsidRPr="00DD47EB">
          <w:rPr>
            <w:rStyle w:val="TextoNormalCaracter"/>
          </w:rPr>
          <w:t>29/2015</w:t>
        </w:r>
      </w:hyperlink>
      <w:r>
        <w:t xml:space="preserve"> (anula).</w:t>
      </w:r>
    </w:p>
    <w:p w:rsidR="00DD47EB" w:rsidRDefault="00DD47EB" w:rsidP="00DD47EB">
      <w:pPr>
        <w:pStyle w:val="SangriaFrancesaArticulo"/>
      </w:pPr>
    </w:p>
    <w:p w:rsidR="00DD47EB" w:rsidRDefault="00DD47EB" w:rsidP="00DD47EB">
      <w:pPr>
        <w:pStyle w:val="TextoNormalNegritaCursivandice"/>
      </w:pPr>
      <w:r>
        <w:t>Ley 35/2011, de 4 de octubre. Titularidad compartida de las explotaciones agrarias</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11" w:history="1">
        <w:r w:rsidRPr="00DD47EB">
          <w:rPr>
            <w:rStyle w:val="TextoNormalCaracter"/>
          </w:rPr>
          <w:t>11/2015</w:t>
        </w:r>
      </w:hyperlink>
      <w:r>
        <w:t>.</w:t>
      </w:r>
    </w:p>
    <w:p w:rsidR="00DD47EB" w:rsidRDefault="00DD47EB" w:rsidP="00DD47EB">
      <w:pPr>
        <w:pStyle w:val="SangriaFrancesaArticulo"/>
      </w:pPr>
    </w:p>
    <w:p w:rsidR="00DD47EB" w:rsidRDefault="00DD47EB" w:rsidP="00DD47EB">
      <w:pPr>
        <w:pStyle w:val="TextoNormalNegritaCursivandice"/>
      </w:pPr>
      <w:r>
        <w:t>Real Decreto-ley 1/2012, de 27 de enero. Suspensión de los procedimientos de preasignación de retribución y supresión de los incentivos económicos para nuevas instalaciones de producción de energía eléctrica a partir de cogeneración, fuentes de energía renovables y residuos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8" w:history="1">
        <w:r w:rsidRPr="00DD47EB">
          <w:rPr>
            <w:rStyle w:val="TextoNormalCaracter"/>
          </w:rPr>
          <w:t>48/2015</w:t>
        </w:r>
      </w:hyperlink>
      <w:r>
        <w:t xml:space="preserve">; </w:t>
      </w:r>
      <w:hyperlink w:anchor="SENTENCIA_2015_106" w:history="1">
        <w:r w:rsidRPr="00DD47EB">
          <w:rPr>
            <w:rStyle w:val="TextoNormalCaracter"/>
          </w:rPr>
          <w:t>106/2015</w:t>
        </w:r>
      </w:hyperlink>
      <w:r>
        <w:t>.</w:t>
      </w:r>
    </w:p>
    <w:p w:rsidR="00DD47EB" w:rsidRDefault="00DD47EB" w:rsidP="00DD47EB">
      <w:pPr>
        <w:pStyle w:val="SangriaFrancesaArticulo"/>
      </w:pPr>
      <w:r w:rsidRPr="00DD47EB">
        <w:rPr>
          <w:rStyle w:val="TextoNormalNegritaCaracter"/>
        </w:rPr>
        <w:t>Artículos 1 a 4.</w:t>
      </w:r>
      <w:r w:rsidRPr="00DD47EB">
        <w:rPr>
          <w:rStyle w:val="TextoNormalCaracter"/>
        </w:rPr>
        <w:t>-</w:t>
      </w:r>
      <w:r>
        <w:t xml:space="preserve"> Sentencia </w:t>
      </w:r>
      <w:hyperlink w:anchor="SENTENCIA_2015_105" w:history="1">
        <w:r w:rsidRPr="00DD47EB">
          <w:rPr>
            <w:rStyle w:val="TextoNormalCaracter"/>
          </w:rPr>
          <w:t>105/2015</w:t>
        </w:r>
      </w:hyperlink>
      <w:r>
        <w:t>.</w:t>
      </w:r>
    </w:p>
    <w:p w:rsidR="00DD47EB" w:rsidRDefault="00DD47EB" w:rsidP="00DD47EB">
      <w:pPr>
        <w:pStyle w:val="SangriaFrancesaArticulo"/>
      </w:pPr>
      <w:r w:rsidRPr="00DD47EB">
        <w:rPr>
          <w:rStyle w:val="TextoNormalNegritaCaracter"/>
        </w:rPr>
        <w:t>Disposición derogatoria única.</w:t>
      </w:r>
      <w:r w:rsidRPr="00DD47EB">
        <w:rPr>
          <w:rStyle w:val="TextoNormalCaracter"/>
        </w:rPr>
        <w:t>-</w:t>
      </w:r>
      <w:r>
        <w:t xml:space="preserve"> Sentencia </w:t>
      </w:r>
      <w:hyperlink w:anchor="SENTENCIA_2015_105" w:history="1">
        <w:r w:rsidRPr="00DD47EB">
          <w:rPr>
            <w:rStyle w:val="TextoNormalCaracter"/>
          </w:rPr>
          <w:t>105/2015</w:t>
        </w:r>
      </w:hyperlink>
      <w:r>
        <w:t>.</w:t>
      </w:r>
    </w:p>
    <w:p w:rsidR="00DD47EB" w:rsidRDefault="00DD47EB" w:rsidP="00DD47EB">
      <w:pPr>
        <w:pStyle w:val="SangriaFrancesaArticulo"/>
      </w:pPr>
    </w:p>
    <w:p w:rsidR="00DD47EB" w:rsidRDefault="00DD47EB" w:rsidP="00DD47EB">
      <w:pPr>
        <w:pStyle w:val="TextoNormalNegritaCursivandice"/>
      </w:pPr>
      <w:r>
        <w:t>Real Decreto-ley 3/2012, de 10 de febrero. Medidas urgentes para la reforma del mercado laboral</w:t>
      </w:r>
    </w:p>
    <w:p w:rsidR="00DD47EB" w:rsidRDefault="00DD47EB" w:rsidP="00DD47EB">
      <w:pPr>
        <w:pStyle w:val="SangriaFrancesaArticulo"/>
      </w:pPr>
      <w:r w:rsidRPr="00DD47EB">
        <w:rPr>
          <w:rStyle w:val="TextoNormalNegritaCaracter"/>
        </w:rPr>
        <w:t>Capítulo IV.</w:t>
      </w:r>
      <w:r w:rsidRPr="00DD47EB">
        <w:rPr>
          <w:rStyle w:val="TextoNormalCaracter"/>
        </w:rPr>
        <w:t>-</w:t>
      </w:r>
      <w:r>
        <w:t xml:space="preserve"> Auto </w:t>
      </w:r>
      <w:hyperlink w:anchor="AUTO_2015_35" w:history="1">
        <w:r w:rsidRPr="00DD47EB">
          <w:rPr>
            <w:rStyle w:val="TextoNormalCaracter"/>
          </w:rPr>
          <w:t>35/2015</w:t>
        </w:r>
      </w:hyperlink>
      <w:r>
        <w:t>.</w:t>
      </w:r>
    </w:p>
    <w:p w:rsidR="00DD47EB" w:rsidRDefault="00DD47EB" w:rsidP="00DD47EB">
      <w:pPr>
        <w:pStyle w:val="SangriaFrancesaArticulo"/>
      </w:pPr>
      <w:r w:rsidRPr="00DD47EB">
        <w:rPr>
          <w:rStyle w:val="TextoNormalNegritaCaracter"/>
        </w:rPr>
        <w:t>Artículo 18.7.</w:t>
      </w:r>
      <w:r w:rsidRPr="00DD47EB">
        <w:rPr>
          <w:rStyle w:val="TextoNormalCaracter"/>
        </w:rPr>
        <w:t>-</w:t>
      </w:r>
      <w:r>
        <w:t xml:space="preserve"> Auto </w:t>
      </w:r>
      <w:hyperlink w:anchor="AUTO_2015_35" w:history="1">
        <w:r w:rsidRPr="00DD47EB">
          <w:rPr>
            <w:rStyle w:val="TextoNormalCaracter"/>
          </w:rPr>
          <w:t>35/2015</w:t>
        </w:r>
      </w:hyperlink>
      <w:r>
        <w:t>.</w:t>
      </w:r>
    </w:p>
    <w:p w:rsidR="00DD47EB" w:rsidRDefault="00DD47EB" w:rsidP="00DD47EB">
      <w:pPr>
        <w:pStyle w:val="SangriaFrancesaArticulo"/>
      </w:pPr>
      <w:r w:rsidRPr="00DD47EB">
        <w:rPr>
          <w:rStyle w:val="TextoNormalNegritaCaracter"/>
        </w:rPr>
        <w:t>Artículo 18.8.</w:t>
      </w:r>
      <w:r w:rsidRPr="00DD47EB">
        <w:rPr>
          <w:rStyle w:val="TextoNormalCaracter"/>
        </w:rPr>
        <w:t>-</w:t>
      </w:r>
      <w:r>
        <w:t xml:space="preserve"> Auto </w:t>
      </w:r>
      <w:hyperlink w:anchor="AUTO_2015_35" w:history="1">
        <w:r w:rsidRPr="00DD47EB">
          <w:rPr>
            <w:rStyle w:val="TextoNormalCaracter"/>
          </w:rPr>
          <w:t>35/2015</w:t>
        </w:r>
      </w:hyperlink>
      <w:r>
        <w:t>.</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Auto </w:t>
      </w:r>
      <w:hyperlink w:anchor="AUTO_2015_35" w:history="1">
        <w:r w:rsidRPr="00DD47EB">
          <w:rPr>
            <w:rStyle w:val="TextoNormalCaracter"/>
          </w:rPr>
          <w:t>35/2015</w:t>
        </w:r>
      </w:hyperlink>
      <w:r>
        <w:t>.</w:t>
      </w:r>
    </w:p>
    <w:p w:rsidR="00DD47EB" w:rsidRDefault="00DD47EB" w:rsidP="00DD47EB">
      <w:pPr>
        <w:pStyle w:val="SangriaFrancesaArticulo"/>
      </w:pPr>
    </w:p>
    <w:p w:rsidR="00DD47EB" w:rsidRDefault="00DD47EB" w:rsidP="00DD47EB">
      <w:pPr>
        <w:pStyle w:val="TextoNormalNegritaCursivandice"/>
      </w:pPr>
      <w:r>
        <w:t>Ley 3/2012, de 6 de julio. Medidas urgentes para la reforma del mercado laboral</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r w:rsidRPr="00DD47EB">
        <w:rPr>
          <w:rStyle w:val="TextoNormalNegritaCaracter"/>
        </w:rPr>
        <w:t>Artículo 4.3.1.</w:t>
      </w:r>
      <w:r w:rsidRPr="00DD47EB">
        <w:rPr>
          <w:rStyle w:val="TextoNormalCaracter"/>
        </w:rPr>
        <w:t>-</w:t>
      </w:r>
      <w:r>
        <w:t xml:space="preserve"> Sentencia </w:t>
      </w:r>
      <w:hyperlink w:anchor="SENTENCIA_2015_140" w:history="1">
        <w:r w:rsidRPr="00DD47EB">
          <w:rPr>
            <w:rStyle w:val="TextoNormalCaracter"/>
          </w:rPr>
          <w:t>140/2015</w:t>
        </w:r>
      </w:hyperlink>
      <w:r>
        <w:t>.</w:t>
      </w:r>
    </w:p>
    <w:p w:rsidR="00DD47EB" w:rsidRDefault="00DD47EB" w:rsidP="00DD47EB">
      <w:pPr>
        <w:pStyle w:val="SangriaFrancesaArticulo"/>
      </w:pPr>
      <w:r w:rsidRPr="00DD47EB">
        <w:rPr>
          <w:rStyle w:val="TextoNormalNegritaCaracter"/>
        </w:rPr>
        <w:t>Artículo 12.1.</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r w:rsidRPr="00DD47EB">
        <w:rPr>
          <w:rStyle w:val="TextoNormalNegritaCaracter"/>
        </w:rPr>
        <w:t>Artículo 14.1.</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r w:rsidRPr="00DD47EB">
        <w:rPr>
          <w:rStyle w:val="TextoNormalNegritaCaracter"/>
        </w:rPr>
        <w:t>Artículo 14.2.</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r w:rsidRPr="00DD47EB">
        <w:rPr>
          <w:rStyle w:val="TextoNormalNegritaCaracter"/>
        </w:rPr>
        <w:t>Artículo 18.3.</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r w:rsidRPr="00DD47EB">
        <w:rPr>
          <w:rStyle w:val="TextoNormalNegritaCaracter"/>
        </w:rPr>
        <w:t>Artículo 18.7.</w:t>
      </w:r>
      <w:r w:rsidRPr="00DD47EB">
        <w:rPr>
          <w:rStyle w:val="TextoNormalCaracter"/>
        </w:rPr>
        <w:t>-</w:t>
      </w:r>
      <w:r>
        <w:t xml:space="preserve"> Autos </w:t>
      </w:r>
      <w:hyperlink w:anchor="AUTO_2015_33" w:history="1">
        <w:r w:rsidRPr="00DD47EB">
          <w:rPr>
            <w:rStyle w:val="TextoNormalCaracter"/>
          </w:rPr>
          <w:t>33/2015</w:t>
        </w:r>
      </w:hyperlink>
      <w:r>
        <w:t xml:space="preserve">; </w:t>
      </w:r>
      <w:hyperlink w:anchor="AUTO_2015_34" w:history="1">
        <w:r w:rsidRPr="00DD47EB">
          <w:rPr>
            <w:rStyle w:val="TextoNormalCaracter"/>
          </w:rPr>
          <w:t>34/2015</w:t>
        </w:r>
      </w:hyperlink>
      <w:r>
        <w:t>.</w:t>
      </w:r>
    </w:p>
    <w:p w:rsidR="00DD47EB" w:rsidRDefault="00DD47EB" w:rsidP="00DD47EB">
      <w:pPr>
        <w:pStyle w:val="SangriaFrancesaArticulo"/>
      </w:pPr>
      <w:r w:rsidRPr="00DD47EB">
        <w:rPr>
          <w:rStyle w:val="TextoNormalNegritaCaracter"/>
        </w:rPr>
        <w:t>Artículo 18.8.</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IzquierdaArticulo"/>
      </w:pPr>
      <w:r>
        <w:t xml:space="preserve">Autos </w:t>
      </w:r>
      <w:hyperlink w:anchor="AUTO_2015_33" w:history="1">
        <w:r w:rsidRPr="00DD47EB">
          <w:rPr>
            <w:rStyle w:val="TextoNormalCaracter"/>
          </w:rPr>
          <w:t>33/2015</w:t>
        </w:r>
      </w:hyperlink>
      <w:r>
        <w:t xml:space="preserve">; </w:t>
      </w:r>
      <w:hyperlink w:anchor="AUTO_2015_34" w:history="1">
        <w:r w:rsidRPr="00DD47EB">
          <w:rPr>
            <w:rStyle w:val="TextoNormalCaracter"/>
          </w:rPr>
          <w:t>34/2015</w:t>
        </w:r>
      </w:hyperlink>
      <w:r>
        <w:t>.</w:t>
      </w:r>
    </w:p>
    <w:p w:rsidR="00DD47EB" w:rsidRDefault="00DD47EB" w:rsidP="00DD47EB">
      <w:pPr>
        <w:pStyle w:val="SangriaFrancesaArticulo"/>
      </w:pPr>
      <w:r w:rsidRPr="00DD47EB">
        <w:rPr>
          <w:rStyle w:val="TextoNormalNegritaCaracter"/>
        </w:rPr>
        <w:t>Artículo 23.1.</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Autos </w:t>
      </w:r>
      <w:hyperlink w:anchor="AUTO_2015_33" w:history="1">
        <w:r w:rsidRPr="00DD47EB">
          <w:rPr>
            <w:rStyle w:val="TextoNormalCaracter"/>
          </w:rPr>
          <w:t>33/2015</w:t>
        </w:r>
      </w:hyperlink>
      <w:r>
        <w:t xml:space="preserve">; </w:t>
      </w:r>
      <w:hyperlink w:anchor="AUTO_2015_34" w:history="1">
        <w:r w:rsidRPr="00DD47EB">
          <w:rPr>
            <w:rStyle w:val="TextoNormalCaracter"/>
          </w:rPr>
          <w:t>34/2015</w:t>
        </w:r>
      </w:hyperlink>
      <w:r>
        <w:t>.</w:t>
      </w:r>
    </w:p>
    <w:p w:rsidR="00DD47EB" w:rsidRDefault="00DD47EB" w:rsidP="00DD47EB">
      <w:pPr>
        <w:pStyle w:val="SangriaFrancesaArticulo"/>
      </w:pPr>
      <w:r w:rsidRPr="00DD47EB">
        <w:rPr>
          <w:rStyle w:val="TextoNormalNegritaCaracter"/>
        </w:rPr>
        <w:t>Disposición final cuarta, apartado 2.</w:t>
      </w:r>
      <w:r w:rsidRPr="00DD47EB">
        <w:rPr>
          <w:rStyle w:val="TextoNormalCaracter"/>
        </w:rPr>
        <w:t>-</w:t>
      </w:r>
      <w:r>
        <w:t xml:space="preserve"> Sentencia </w:t>
      </w:r>
      <w:hyperlink w:anchor="SENTENCIA_2015_8" w:history="1">
        <w:r w:rsidRPr="00DD47EB">
          <w:rPr>
            <w:rStyle w:val="TextoNormalCaracter"/>
          </w:rPr>
          <w:t>8/2015</w:t>
        </w:r>
      </w:hyperlink>
      <w:r>
        <w:t>.</w:t>
      </w:r>
    </w:p>
    <w:p w:rsidR="00DD47EB" w:rsidRDefault="00DD47EB" w:rsidP="00DD47EB">
      <w:pPr>
        <w:pStyle w:val="SangriaFrancesaArticulo"/>
      </w:pPr>
    </w:p>
    <w:p w:rsidR="00DD47EB" w:rsidRDefault="00DD47EB" w:rsidP="00DD47EB">
      <w:pPr>
        <w:pStyle w:val="TextoNormalNegritaCursivandice"/>
      </w:pPr>
      <w:r>
        <w:t>Real Decreto-ley 20/2012, de 13 de julio. Medidas para garantizar la estabilidad presupuestaria y de fomento de la competitividad</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Sentencias </w:t>
      </w:r>
      <w:hyperlink w:anchor="SENTENCIA_2015_81" w:history="1">
        <w:r w:rsidRPr="00DD47EB">
          <w:rPr>
            <w:rStyle w:val="TextoNormalCaracter"/>
          </w:rPr>
          <w:t>81/2015</w:t>
        </w:r>
      </w:hyperlink>
      <w:r>
        <w:t xml:space="preserve">; </w:t>
      </w:r>
      <w:hyperlink w:anchor="SENTENCIA_2015_83" w:history="1">
        <w:r w:rsidRPr="00DD47EB">
          <w:rPr>
            <w:rStyle w:val="TextoNormalCaracter"/>
          </w:rPr>
          <w:t>83/2015</w:t>
        </w:r>
      </w:hyperlink>
      <w:r>
        <w:t xml:space="preserve">; </w:t>
      </w:r>
      <w:hyperlink w:anchor="SENTENCIA_2015_97" w:history="1">
        <w:r w:rsidRPr="00DD47EB">
          <w:rPr>
            <w:rStyle w:val="TextoNormalCaracter"/>
          </w:rPr>
          <w:t>97/2015</w:t>
        </w:r>
      </w:hyperlink>
      <w:r>
        <w:t xml:space="preserve">; </w:t>
      </w:r>
      <w:hyperlink w:anchor="SENTENCIA_2015_100" w:history="1">
        <w:r w:rsidRPr="00DD47EB">
          <w:rPr>
            <w:rStyle w:val="TextoNormalCaracter"/>
          </w:rPr>
          <w:t>100/2015</w:t>
        </w:r>
      </w:hyperlink>
      <w:r>
        <w:t xml:space="preserve">; </w:t>
      </w:r>
      <w:hyperlink w:anchor="SENTENCIA_2015_113" w:history="1">
        <w:r w:rsidRPr="00DD47EB">
          <w:rPr>
            <w:rStyle w:val="TextoNormalCaracter"/>
          </w:rPr>
          <w:t>113/2015</w:t>
        </w:r>
      </w:hyperlink>
      <w:r>
        <w:t xml:space="preserve">; </w:t>
      </w:r>
      <w:hyperlink w:anchor="SENTENCIA_2015_114" w:history="1">
        <w:r w:rsidRPr="00DD47EB">
          <w:rPr>
            <w:rStyle w:val="TextoNormalCaracter"/>
          </w:rPr>
          <w:t>114/2015</w:t>
        </w:r>
      </w:hyperlink>
      <w:r>
        <w:t xml:space="preserve">; </w:t>
      </w:r>
      <w:hyperlink w:anchor="SENTENCIA_2015_141" w:history="1">
        <w:r w:rsidRPr="00DD47EB">
          <w:rPr>
            <w:rStyle w:val="TextoNormalCaracter"/>
          </w:rPr>
          <w:t>141/2015</w:t>
        </w:r>
      </w:hyperlink>
      <w:r>
        <w:t>.</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Autos </w:t>
      </w:r>
      <w:hyperlink w:anchor="AUTO_2015_9" w:history="1">
        <w:r w:rsidRPr="00DD47EB">
          <w:rPr>
            <w:rStyle w:val="TextoNormalCaracter"/>
          </w:rPr>
          <w:t>9/2015</w:t>
        </w:r>
      </w:hyperlink>
      <w:r>
        <w:t xml:space="preserve">; </w:t>
      </w:r>
      <w:hyperlink w:anchor="AUTO_2015_10" w:history="1">
        <w:r w:rsidRPr="00DD47EB">
          <w:rPr>
            <w:rStyle w:val="TextoNormalCaracter"/>
          </w:rPr>
          <w:t>10/2015</w:t>
        </w:r>
      </w:hyperlink>
      <w:r>
        <w:t>.</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Autos </w:t>
      </w:r>
      <w:hyperlink w:anchor="AUTO_2015_9" w:history="1">
        <w:r w:rsidRPr="00DD47EB">
          <w:rPr>
            <w:rStyle w:val="TextoNormalCaracter"/>
          </w:rPr>
          <w:t>9/2015</w:t>
        </w:r>
      </w:hyperlink>
      <w:r>
        <w:t xml:space="preserve">; </w:t>
      </w:r>
      <w:hyperlink w:anchor="AUTO_2015_10" w:history="1">
        <w:r w:rsidRPr="00DD47EB">
          <w:rPr>
            <w:rStyle w:val="TextoNormalCaracter"/>
          </w:rPr>
          <w:t>10/2015</w:t>
        </w:r>
      </w:hyperlink>
      <w:r>
        <w:t>.</w:t>
      </w:r>
    </w:p>
    <w:p w:rsidR="00DD47EB" w:rsidRDefault="00DD47EB" w:rsidP="00DD47EB">
      <w:pPr>
        <w:pStyle w:val="SangriaFrancesaArticulo"/>
      </w:pPr>
      <w:r w:rsidRPr="00DD47EB">
        <w:rPr>
          <w:rStyle w:val="TextoNormalNegritaCaracter"/>
        </w:rPr>
        <w:t>Artículo 38.</w:t>
      </w:r>
      <w:r w:rsidRPr="00DD47EB">
        <w:rPr>
          <w:rStyle w:val="TextoNormalCaracter"/>
        </w:rPr>
        <w:t>-</w:t>
      </w:r>
      <w:r>
        <w:t xml:space="preserve"> Sentencia </w:t>
      </w:r>
      <w:hyperlink w:anchor="SENTENCIA_2015_136" w:history="1">
        <w:r w:rsidRPr="00DD47EB">
          <w:rPr>
            <w:rStyle w:val="TextoNormalCaracter"/>
          </w:rPr>
          <w:t>136/2015</w:t>
        </w:r>
      </w:hyperlink>
      <w:r>
        <w:t xml:space="preserve"> (anula).</w:t>
      </w:r>
    </w:p>
    <w:p w:rsidR="00DD47EB" w:rsidRDefault="00DD47EB" w:rsidP="00DD47EB">
      <w:pPr>
        <w:pStyle w:val="SangriaFrancesaArticulo"/>
      </w:pPr>
      <w:r w:rsidRPr="00DD47EB">
        <w:rPr>
          <w:rStyle w:val="TextoNormalNegritaCaracter"/>
        </w:rPr>
        <w:t>Disposición adicional decimoquinta.</w:t>
      </w:r>
      <w:r w:rsidRPr="00DD47EB">
        <w:rPr>
          <w:rStyle w:val="TextoNormalCaracter"/>
        </w:rPr>
        <w:t>-</w:t>
      </w:r>
      <w:r>
        <w:t xml:space="preserve"> Sentencia </w:t>
      </w:r>
      <w:hyperlink w:anchor="SENTENCIA_2015_136" w:history="1">
        <w:r w:rsidRPr="00DD47EB">
          <w:rPr>
            <w:rStyle w:val="TextoNormalCaracter"/>
          </w:rPr>
          <w:t>136/2015</w:t>
        </w:r>
      </w:hyperlink>
      <w:r>
        <w:t xml:space="preserve"> (anula).</w:t>
      </w:r>
    </w:p>
    <w:p w:rsidR="00DD47EB" w:rsidRDefault="00DD47EB" w:rsidP="00DD47EB">
      <w:pPr>
        <w:pStyle w:val="SangriaFrancesaArticulo"/>
      </w:pPr>
    </w:p>
    <w:p w:rsidR="00DD47EB" w:rsidRDefault="00DD47EB" w:rsidP="00DD47EB">
      <w:pPr>
        <w:pStyle w:val="TextoNormalNegritaCursivandice"/>
      </w:pPr>
      <w:r>
        <w:t>Ley 10/2012, de 20 de noviembre. Se regulan determinadas tasas en el ámbito de la Administración de justicia y del Instituto Nacional de Toxicología y Ciencias Forenses</w:t>
      </w:r>
    </w:p>
    <w:p w:rsidR="00DD47EB" w:rsidRDefault="00DD47EB" w:rsidP="00DD47EB">
      <w:pPr>
        <w:pStyle w:val="SangriaFrancesaArticulo"/>
      </w:pPr>
      <w:r w:rsidRPr="00DD47EB">
        <w:rPr>
          <w:rStyle w:val="TextoNormalNegritaCaracter"/>
        </w:rPr>
        <w:t>Artículo 2 e)</w:t>
      </w:r>
      <w:r>
        <w:t xml:space="preserve"> (redactado por el Real Decreto-ley 3/2013, de 22 de febrero)</w:t>
      </w:r>
      <w:r w:rsidRPr="00DD47EB">
        <w:rPr>
          <w:rStyle w:val="TextoNormalNegritaCaracter"/>
        </w:rPr>
        <w:t>.</w:t>
      </w:r>
      <w:r w:rsidRPr="00DD47EB">
        <w:rPr>
          <w:rStyle w:val="TextoNormalCaracter"/>
        </w:rPr>
        <w:t>-</w:t>
      </w:r>
      <w:r>
        <w:t xml:space="preserve"> Auto </w:t>
      </w:r>
      <w:hyperlink w:anchor="AUTO_2015_66" w:history="1">
        <w:r w:rsidRPr="00DD47EB">
          <w:rPr>
            <w:rStyle w:val="TextoNormalCaracter"/>
          </w:rPr>
          <w:t>66/2015</w:t>
        </w:r>
      </w:hyperlink>
      <w:r>
        <w:t>.</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Auto </w:t>
      </w:r>
      <w:hyperlink w:anchor="AUTO_2015_66" w:history="1">
        <w:r w:rsidRPr="00DD47EB">
          <w:rPr>
            <w:rStyle w:val="TextoNormalCaracter"/>
          </w:rPr>
          <w:t>66/2015</w:t>
        </w:r>
      </w:hyperlink>
      <w:r>
        <w:t>.</w:t>
      </w:r>
    </w:p>
    <w:p w:rsidR="00DD47EB" w:rsidRDefault="00DD47EB" w:rsidP="00DD47EB">
      <w:pPr>
        <w:pStyle w:val="SangriaFrancesaArticulo"/>
      </w:pPr>
      <w:r w:rsidRPr="00DD47EB">
        <w:rPr>
          <w:rStyle w:val="TextoNormalNegritaCaracter"/>
        </w:rPr>
        <w:t>Artículo 7.3.</w:t>
      </w:r>
      <w:r w:rsidRPr="00DD47EB">
        <w:rPr>
          <w:rStyle w:val="TextoNormalCaracter"/>
        </w:rPr>
        <w:t>-</w:t>
      </w:r>
      <w:r>
        <w:t xml:space="preserve"> Auto </w:t>
      </w:r>
      <w:hyperlink w:anchor="AUTO_2015_66" w:history="1">
        <w:r w:rsidRPr="00DD47EB">
          <w:rPr>
            <w:rStyle w:val="TextoNormalCaracter"/>
          </w:rPr>
          <w:t>66/2015</w:t>
        </w:r>
      </w:hyperlink>
      <w:r>
        <w:t>.</w:t>
      </w:r>
    </w:p>
    <w:p w:rsidR="00DD47EB" w:rsidRDefault="00DD47EB" w:rsidP="00DD47EB">
      <w:pPr>
        <w:pStyle w:val="SangriaFrancesaArticulo"/>
      </w:pPr>
    </w:p>
    <w:p w:rsidR="00DD47EB" w:rsidRDefault="00DD47EB" w:rsidP="00DD47EB">
      <w:pPr>
        <w:pStyle w:val="TextoNormalNegritaCursivandice"/>
      </w:pPr>
      <w:r>
        <w:t>Real Decreto-ley 28/2012, de 30 de noviembre. Medidas de consolidación y garantía del sistema de la Seguridad Social</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Sentencias </w:t>
      </w:r>
      <w:hyperlink w:anchor="SENTENCIA_2015_49" w:history="1">
        <w:r w:rsidRPr="00DD47EB">
          <w:rPr>
            <w:rStyle w:val="TextoNormalCaracter"/>
          </w:rPr>
          <w:t>49/2015</w:t>
        </w:r>
      </w:hyperlink>
      <w:r>
        <w:t xml:space="preserve">; </w:t>
      </w:r>
      <w:hyperlink w:anchor="SENTENCIA_2015_95" w:history="1">
        <w:r w:rsidRPr="00DD47EB">
          <w:rPr>
            <w:rStyle w:val="TextoNormalCaracter"/>
          </w:rPr>
          <w:t>95/2015</w:t>
        </w:r>
      </w:hyperlink>
      <w:r>
        <w:t xml:space="preserve">; </w:t>
      </w:r>
      <w:hyperlink w:anchor="SENTENCIA_2015_109" w:history="1">
        <w:r w:rsidRPr="00DD47EB">
          <w:rPr>
            <w:rStyle w:val="TextoNormalCaracter"/>
          </w:rPr>
          <w:t>109/2015</w:t>
        </w:r>
      </w:hyperlink>
      <w:r>
        <w:t xml:space="preserve">; </w:t>
      </w:r>
      <w:hyperlink w:anchor="SENTENCIA_2015_116" w:history="1">
        <w:r w:rsidRPr="00DD47EB">
          <w:rPr>
            <w:rStyle w:val="TextoNormalCaracter"/>
          </w:rPr>
          <w:t>116/2015</w:t>
        </w:r>
      </w:hyperlink>
      <w:r>
        <w:t xml:space="preserve">; </w:t>
      </w:r>
      <w:hyperlink w:anchor="SENTENCIA_2015_117" w:history="1">
        <w:r w:rsidRPr="00DD47EB">
          <w:rPr>
            <w:rStyle w:val="TextoNormalCaracter"/>
          </w:rPr>
          <w:t>117/2015</w:t>
        </w:r>
      </w:hyperlink>
      <w:r>
        <w:t xml:space="preserve">; </w:t>
      </w:r>
      <w:hyperlink w:anchor="SENTENCIA_2015_118" w:history="1">
        <w:r w:rsidRPr="00DD47EB">
          <w:rPr>
            <w:rStyle w:val="TextoNormalCaracter"/>
          </w:rPr>
          <w:t>118/2015</w:t>
        </w:r>
      </w:hyperlink>
      <w:r>
        <w:t xml:space="preserve">; </w:t>
      </w:r>
      <w:hyperlink w:anchor="SENTENCIA_2015_119" w:history="1">
        <w:r w:rsidRPr="00DD47EB">
          <w:rPr>
            <w:rStyle w:val="TextoNormalCaracter"/>
          </w:rPr>
          <w:t>119/2015</w:t>
        </w:r>
      </w:hyperlink>
      <w:r>
        <w:t xml:space="preserve">; </w:t>
      </w:r>
      <w:hyperlink w:anchor="SENTENCIA_2015_120" w:history="1">
        <w:r w:rsidRPr="00DD47EB">
          <w:rPr>
            <w:rStyle w:val="TextoNormalCaracter"/>
          </w:rPr>
          <w:t>120/2015</w:t>
        </w:r>
      </w:hyperlink>
      <w:r>
        <w:t xml:space="preserve">; </w:t>
      </w:r>
      <w:hyperlink w:anchor="SENTENCIA_2015_121" w:history="1">
        <w:r w:rsidRPr="00DD47EB">
          <w:rPr>
            <w:rStyle w:val="TextoNormalCaracter"/>
          </w:rPr>
          <w:t>121/2015</w:t>
        </w:r>
      </w:hyperlink>
      <w:r>
        <w:t xml:space="preserve">; </w:t>
      </w:r>
      <w:hyperlink w:anchor="SENTENCIA_2015_122" w:history="1">
        <w:r w:rsidRPr="00DD47EB">
          <w:rPr>
            <w:rStyle w:val="TextoNormalCaracter"/>
          </w:rPr>
          <w:t>122/2015</w:t>
        </w:r>
      </w:hyperlink>
      <w:r>
        <w:t xml:space="preserve">; </w:t>
      </w:r>
      <w:hyperlink w:anchor="SENTENCIA_2015_123" w:history="1">
        <w:r w:rsidRPr="00DD47EB">
          <w:rPr>
            <w:rStyle w:val="TextoNormalCaracter"/>
          </w:rPr>
          <w:t>123/2015</w:t>
        </w:r>
      </w:hyperlink>
      <w:r>
        <w:t xml:space="preserve">; </w:t>
      </w:r>
      <w:hyperlink w:anchor="SENTENCIA_2015_125" w:history="1">
        <w:r w:rsidRPr="00DD47EB">
          <w:rPr>
            <w:rStyle w:val="TextoNormalCaracter"/>
          </w:rPr>
          <w:t>125/2015</w:t>
        </w:r>
      </w:hyperlink>
      <w:r>
        <w:t xml:space="preserve">; </w:t>
      </w:r>
      <w:hyperlink w:anchor="SENTENCIA_2015_126" w:history="1">
        <w:r w:rsidRPr="00DD47EB">
          <w:rPr>
            <w:rStyle w:val="TextoNormalCaracter"/>
          </w:rPr>
          <w:t>126/2015</w:t>
        </w:r>
      </w:hyperlink>
      <w:r>
        <w:t xml:space="preserve">; </w:t>
      </w:r>
      <w:hyperlink w:anchor="SENTENCIA_2015_127" w:history="1">
        <w:r w:rsidRPr="00DD47EB">
          <w:rPr>
            <w:rStyle w:val="TextoNormalCaracter"/>
          </w:rPr>
          <w:t>127/2015</w:t>
        </w:r>
      </w:hyperlink>
      <w:r>
        <w:t xml:space="preserve">; </w:t>
      </w:r>
      <w:hyperlink w:anchor="SENTENCIA_2015_128" w:history="1">
        <w:r w:rsidRPr="00DD47EB">
          <w:rPr>
            <w:rStyle w:val="TextoNormalCaracter"/>
          </w:rPr>
          <w:t>128/2015</w:t>
        </w:r>
      </w:hyperlink>
      <w:r>
        <w:t xml:space="preserve">; </w:t>
      </w:r>
      <w:hyperlink w:anchor="SENTENCIA_2015_129" w:history="1">
        <w:r w:rsidRPr="00DD47EB">
          <w:rPr>
            <w:rStyle w:val="TextoNormalCaracter"/>
          </w:rPr>
          <w:t>129/2015</w:t>
        </w:r>
      </w:hyperlink>
      <w:r>
        <w:t xml:space="preserve">;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w:t>
      </w:r>
      <w:hyperlink w:anchor="SENTENCIA_2015_132" w:history="1">
        <w:r w:rsidRPr="00DD47EB">
          <w:rPr>
            <w:rStyle w:val="TextoNormalCaracter"/>
          </w:rPr>
          <w:t>132/2015</w:t>
        </w:r>
      </w:hyperlink>
      <w:r>
        <w:t xml:space="preserve">; </w:t>
      </w:r>
      <w:hyperlink w:anchor="SENTENCIA_2015_133" w:history="1">
        <w:r w:rsidRPr="00DD47EB">
          <w:rPr>
            <w:rStyle w:val="TextoNormalCaracter"/>
          </w:rPr>
          <w:t>133/2015</w:t>
        </w:r>
      </w:hyperlink>
      <w:r>
        <w:t xml:space="preserve">; </w:t>
      </w:r>
      <w:hyperlink w:anchor="SENTENCIA_2015_134" w:history="1">
        <w:r w:rsidRPr="00DD47EB">
          <w:rPr>
            <w:rStyle w:val="TextoNormalCaracter"/>
          </w:rPr>
          <w:t>134/2015</w:t>
        </w:r>
      </w:hyperlink>
      <w:r>
        <w:t xml:space="preserve">; </w:t>
      </w:r>
      <w:hyperlink w:anchor="SENTENCIA_2015_135" w:history="1">
        <w:r w:rsidRPr="00DD47EB">
          <w:rPr>
            <w:rStyle w:val="TextoNormalCaracter"/>
          </w:rPr>
          <w:t>135/2015</w:t>
        </w:r>
      </w:hyperlink>
      <w:r>
        <w:t xml:space="preserve">; </w:t>
      </w:r>
      <w:hyperlink w:anchor="SENTENCIA_2015_144" w:history="1">
        <w:r w:rsidRPr="00DD47EB">
          <w:rPr>
            <w:rStyle w:val="TextoNormalCaracter"/>
          </w:rPr>
          <w:t>144/2015</w:t>
        </w:r>
      </w:hyperlink>
      <w:r>
        <w:t>.</w:t>
      </w:r>
    </w:p>
    <w:p w:rsidR="00DD47EB" w:rsidRDefault="00DD47EB" w:rsidP="00DD47EB">
      <w:pPr>
        <w:pStyle w:val="SangriaFrancesaArticulo"/>
      </w:pPr>
    </w:p>
    <w:p w:rsidR="00DD47EB" w:rsidRDefault="00DD47EB" w:rsidP="00DD47EB">
      <w:pPr>
        <w:pStyle w:val="TextoNormalNegritaCursivandice"/>
      </w:pPr>
      <w:r>
        <w:t>Ley 16/2012, de 27 de diciembre. Diversas medidas tributarias dirigidas a la consolidación de las finanzas públicas y al impulso de la actividad económica</w:t>
      </w:r>
    </w:p>
    <w:p w:rsidR="00DD47EB" w:rsidRDefault="00DD47EB" w:rsidP="00DD47EB">
      <w:pPr>
        <w:pStyle w:val="SangriaFrancesaArticulo"/>
      </w:pPr>
      <w:r w:rsidRPr="00DD47EB">
        <w:rPr>
          <w:rStyle w:val="TextoNormalNegritaCaracter"/>
        </w:rPr>
        <w:t>Artículo 19.</w:t>
      </w:r>
      <w:r w:rsidRPr="00DD47EB">
        <w:rPr>
          <w:rStyle w:val="TextoNormalCaracter"/>
        </w:rPr>
        <w:t>-</w:t>
      </w:r>
      <w:r>
        <w:t xml:space="preserve"> Sentencias </w:t>
      </w:r>
      <w:hyperlink w:anchor="SENTENCIA_2015_26" w:history="1">
        <w:r w:rsidRPr="00DD47EB">
          <w:rPr>
            <w:rStyle w:val="TextoNormalCaracter"/>
          </w:rPr>
          <w:t>26/2015</w:t>
        </w:r>
      </w:hyperlink>
      <w:r>
        <w:t xml:space="preserve">; </w:t>
      </w:r>
      <w:hyperlink w:anchor="SENTENCIA_2015_59" w:history="1">
        <w:r w:rsidRPr="00DD47EB">
          <w:rPr>
            <w:rStyle w:val="TextoNormalCaracter"/>
          </w:rPr>
          <w:t>59/2015</w:t>
        </w:r>
      </w:hyperlink>
      <w:r>
        <w:t xml:space="preserve">; </w:t>
      </w:r>
      <w:hyperlink w:anchor="SENTENCIA_2015_73" w:history="1">
        <w:r w:rsidRPr="00DD47EB">
          <w:rPr>
            <w:rStyle w:val="TextoNormalCaracter"/>
          </w:rPr>
          <w:t>73/2015</w:t>
        </w:r>
      </w:hyperlink>
      <w:r>
        <w:t>.</w:t>
      </w:r>
    </w:p>
    <w:p w:rsidR="00DD47EB" w:rsidRDefault="00DD47EB" w:rsidP="00DD47EB">
      <w:pPr>
        <w:pStyle w:val="SangriaFrancesaArticulo"/>
      </w:pPr>
    </w:p>
    <w:p w:rsidR="00DD47EB" w:rsidRDefault="00DD47EB" w:rsidP="00DD47EB">
      <w:pPr>
        <w:pStyle w:val="TextoNormalNegritaCursivandice"/>
      </w:pPr>
      <w:r>
        <w:t>Real Decreto-ley 2/2013, de 1 de febrero. Medidas urgentes en el sistema eléctrico y en el sector financiero</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28" w:history="1">
        <w:r w:rsidRPr="00DD47EB">
          <w:rPr>
            <w:rStyle w:val="TextoNormalCaracter"/>
          </w:rPr>
          <w:t>28/2015</w:t>
        </w:r>
      </w:hyperlink>
      <w:r>
        <w:t>.</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28" w:history="1">
        <w:r w:rsidRPr="00DD47EB">
          <w:rPr>
            <w:rStyle w:val="TextoNormalCaracter"/>
          </w:rPr>
          <w:t>28/2015</w:t>
        </w:r>
      </w:hyperlink>
      <w:r>
        <w:t>.</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28" w:history="1">
        <w:r w:rsidRPr="00DD47EB">
          <w:rPr>
            <w:rStyle w:val="TextoNormalCaracter"/>
          </w:rPr>
          <w:t>28/2015</w:t>
        </w:r>
      </w:hyperlink>
      <w:r>
        <w:t>.</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28" w:history="1">
        <w:r w:rsidRPr="00DD47EB">
          <w:rPr>
            <w:rStyle w:val="TextoNormalCaracter"/>
          </w:rPr>
          <w:t>28/2015</w:t>
        </w:r>
      </w:hyperlink>
      <w:r>
        <w:t>.</w:t>
      </w:r>
    </w:p>
    <w:p w:rsidR="00DD47EB" w:rsidRDefault="00DD47EB" w:rsidP="00DD47EB">
      <w:pPr>
        <w:pStyle w:val="SangriaFrancesaArticulo"/>
      </w:pPr>
      <w:r w:rsidRPr="00DD47EB">
        <w:rPr>
          <w:rStyle w:val="TextoNormalNegritaCaracter"/>
        </w:rPr>
        <w:t>Disposición adicional única.</w:t>
      </w:r>
      <w:r w:rsidRPr="00DD47EB">
        <w:rPr>
          <w:rStyle w:val="TextoNormalCaracter"/>
        </w:rPr>
        <w:t>-</w:t>
      </w:r>
      <w:r>
        <w:t xml:space="preserve"> Sentencia </w:t>
      </w:r>
      <w:hyperlink w:anchor="SENTENCIA_2015_28" w:history="1">
        <w:r w:rsidRPr="00DD47EB">
          <w:rPr>
            <w:rStyle w:val="TextoNormalCaracter"/>
          </w:rPr>
          <w:t>28/2015</w:t>
        </w:r>
      </w:hyperlink>
      <w:r>
        <w:t>.</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28" w:history="1">
        <w:r w:rsidRPr="00DD47EB">
          <w:rPr>
            <w:rStyle w:val="TextoNormalCaracter"/>
          </w:rPr>
          <w:t>28/2015</w:t>
        </w:r>
      </w:hyperlink>
      <w:r>
        <w:t>.</w:t>
      </w:r>
    </w:p>
    <w:p w:rsidR="00DD47EB" w:rsidRDefault="00DD47EB" w:rsidP="00DD47EB">
      <w:pPr>
        <w:pStyle w:val="SangriaFrancesaArticulo"/>
      </w:pPr>
    </w:p>
    <w:p w:rsidR="00DD47EB" w:rsidRDefault="00DD47EB" w:rsidP="00DD47EB">
      <w:pPr>
        <w:pStyle w:val="TextoNormalNegritaCursivandice"/>
      </w:pPr>
      <w:r>
        <w:t>Real Decreto-ley 6/2013, de 22 de marzo. Protección a los titulares de determinados productos de ahorro e inversión y otras medidas de carácter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2" w:history="1">
        <w:r w:rsidRPr="00DD47EB">
          <w:rPr>
            <w:rStyle w:val="TextoNormalCaracter"/>
          </w:rPr>
          <w:t>12/2015</w:t>
        </w:r>
      </w:hyperlink>
      <w:r>
        <w:t>.</w:t>
      </w:r>
    </w:p>
    <w:p w:rsidR="00DD47EB" w:rsidRDefault="00DD47EB" w:rsidP="00DD47EB">
      <w:pPr>
        <w:pStyle w:val="SangriaFrancesaArticulo"/>
      </w:pPr>
    </w:p>
    <w:p w:rsidR="00DD47EB" w:rsidRDefault="00DD47EB" w:rsidP="00DD47EB">
      <w:pPr>
        <w:pStyle w:val="TextoNormalNegritaCursivandice"/>
      </w:pPr>
      <w:r>
        <w:t>Ley 1/2013, de 14 de mayo. Medidas para reforzar la protección a los deudores hipotecarios, reestructuración de deuda y alquiler social</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Auto </w:t>
      </w:r>
      <w:hyperlink w:anchor="AUTO_2015_74" w:history="1">
        <w:r w:rsidRPr="00DD47EB">
          <w:rPr>
            <w:rStyle w:val="TextoNormalCaracter"/>
          </w:rPr>
          <w:t>74/2015</w:t>
        </w:r>
      </w:hyperlink>
      <w:r>
        <w:t>.</w:t>
      </w:r>
    </w:p>
    <w:p w:rsidR="00DD47EB" w:rsidRDefault="00DD47EB" w:rsidP="00DD47EB">
      <w:pPr>
        <w:pStyle w:val="SangriaFrancesaArticulo"/>
      </w:pPr>
    </w:p>
    <w:p w:rsidR="00DD47EB" w:rsidRDefault="00DD47EB" w:rsidP="00DD47EB">
      <w:pPr>
        <w:pStyle w:val="TextoNormalNegritaCursivandice"/>
      </w:pPr>
      <w:r>
        <w:t>Real Decreto-ley 11/2013, de 2 de agosto. Protección de los trabajadores a tiempo parcial y otras medidas urgentes en el orden económico y social</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27" w:history="1">
        <w:r w:rsidRPr="00DD47EB">
          <w:rPr>
            <w:rStyle w:val="TextoNormalCaracter"/>
          </w:rPr>
          <w:t>27/2015</w:t>
        </w:r>
      </w:hyperlink>
      <w:r>
        <w:t xml:space="preserve"> (anula).</w:t>
      </w:r>
    </w:p>
    <w:p w:rsidR="00DD47EB" w:rsidRDefault="00DD47EB" w:rsidP="00DD47EB">
      <w:pPr>
        <w:pStyle w:val="SangriaFrancesaArticulo"/>
      </w:pPr>
      <w:r w:rsidRPr="00DD47EB">
        <w:rPr>
          <w:rStyle w:val="TextoNormalNegritaCaracter"/>
        </w:rPr>
        <w:t>Artículo 8.5.</w:t>
      </w:r>
      <w:r w:rsidRPr="00DD47EB">
        <w:rPr>
          <w:rStyle w:val="TextoNormalCaracter"/>
        </w:rPr>
        <w:t>-</w:t>
      </w:r>
      <w:r>
        <w:t xml:space="preserve"> Sentencia </w:t>
      </w:r>
      <w:hyperlink w:anchor="SENTENCIA_2015_27" w:history="1">
        <w:r w:rsidRPr="00DD47EB">
          <w:rPr>
            <w:rStyle w:val="TextoNormalCaracter"/>
          </w:rPr>
          <w:t>27/2015</w:t>
        </w:r>
      </w:hyperlink>
      <w:r>
        <w:t xml:space="preserve"> (anula).</w:t>
      </w:r>
    </w:p>
    <w:p w:rsidR="00DD47EB" w:rsidRDefault="00DD47EB" w:rsidP="00DD47EB">
      <w:pPr>
        <w:pStyle w:val="SangriaFrancesaArticulo"/>
      </w:pPr>
    </w:p>
    <w:p w:rsidR="00DD47EB" w:rsidRDefault="00DD47EB" w:rsidP="00DD47EB">
      <w:pPr>
        <w:pStyle w:val="TextoNormalNegritaCursivandice"/>
      </w:pPr>
      <w:r>
        <w:t>Ley 13/2013, de 2 de agosto. Fomento de la integración de cooperativas y de otras entidades asociativas de carácter agroalimentario</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85" w:history="1">
        <w:r w:rsidRPr="00DD47EB">
          <w:rPr>
            <w:rStyle w:val="TextoNormalCaracter"/>
          </w:rPr>
          <w:t>85/2015</w:t>
        </w:r>
      </w:hyperlink>
      <w:r>
        <w:t xml:space="preserve"> (anula).</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85" w:history="1">
        <w:r w:rsidRPr="00DD47EB">
          <w:rPr>
            <w:rStyle w:val="TextoNormalCaracter"/>
          </w:rPr>
          <w:t>85/2015</w:t>
        </w:r>
      </w:hyperlink>
      <w:r>
        <w:t xml:space="preserve"> (anula).</w:t>
      </w:r>
    </w:p>
    <w:p w:rsidR="00DD47EB" w:rsidRDefault="00DD47EB" w:rsidP="00DD47EB">
      <w:pPr>
        <w:pStyle w:val="SangriaFrancesaArticulo"/>
      </w:pPr>
      <w:r w:rsidRPr="00DD47EB">
        <w:rPr>
          <w:rStyle w:val="TextoNormalNegritaCaracter"/>
        </w:rPr>
        <w:t>Artículo 5.3 expresión "por el Ministerio".</w:t>
      </w:r>
      <w:r w:rsidRPr="00DD47EB">
        <w:rPr>
          <w:rStyle w:val="TextoNormalCaracter"/>
        </w:rPr>
        <w:t>-</w:t>
      </w:r>
      <w:r>
        <w:t xml:space="preserve"> Sentencia </w:t>
      </w:r>
      <w:hyperlink w:anchor="SENTENCIA_2015_85" w:history="1">
        <w:r w:rsidRPr="00DD47EB">
          <w:rPr>
            <w:rStyle w:val="TextoNormalCaracter"/>
          </w:rPr>
          <w:t>85/2015</w:t>
        </w:r>
      </w:hyperlink>
      <w:r>
        <w:t xml:space="preserve"> (anula).</w:t>
      </w:r>
    </w:p>
    <w:p w:rsidR="00DD47EB" w:rsidRDefault="00DD47EB" w:rsidP="00DD47EB">
      <w:pPr>
        <w:pStyle w:val="SangriaFrancesaArticulo"/>
      </w:pPr>
      <w:r w:rsidRPr="00DD47EB">
        <w:rPr>
          <w:rStyle w:val="TextoNormalNegritaCaracter"/>
        </w:rPr>
        <w:t>Artículo 5.4 expresión "al Ministerio".</w:t>
      </w:r>
      <w:r w:rsidRPr="00DD47EB">
        <w:rPr>
          <w:rStyle w:val="TextoNormalCaracter"/>
        </w:rPr>
        <w:t>-</w:t>
      </w:r>
      <w:r>
        <w:t xml:space="preserve"> Sentencia </w:t>
      </w:r>
      <w:hyperlink w:anchor="SENTENCIA_2015_85" w:history="1">
        <w:r w:rsidRPr="00DD47EB">
          <w:rPr>
            <w:rStyle w:val="TextoNormalCaracter"/>
          </w:rPr>
          <w:t>85/2015</w:t>
        </w:r>
      </w:hyperlink>
      <w:r>
        <w:t xml:space="preserve"> (anula).</w:t>
      </w:r>
    </w:p>
    <w:p w:rsidR="00DD47EB" w:rsidRDefault="00DD47EB" w:rsidP="00DD47EB">
      <w:pPr>
        <w:pStyle w:val="SangriaFrancesaArticulo"/>
      </w:pPr>
    </w:p>
    <w:p w:rsidR="00DD47EB" w:rsidRDefault="00DD47EB" w:rsidP="00DD47EB">
      <w:pPr>
        <w:pStyle w:val="TextoNormalNegritaCursivandice"/>
      </w:pPr>
      <w:r>
        <w:t>Ley 21/2013, de 9 de diciembre. Evaluación ambiental</w:t>
      </w:r>
    </w:p>
    <w:p w:rsidR="00DD47EB" w:rsidRDefault="00DD47EB" w:rsidP="00DD47EB">
      <w:pPr>
        <w:pStyle w:val="SangriaFrancesaArticulo"/>
      </w:pPr>
      <w:r w:rsidRPr="00DD47EB">
        <w:rPr>
          <w:rStyle w:val="TextoNormalNegritaCaracter"/>
        </w:rPr>
        <w:t>Disposición adicional decimoquinta.</w:t>
      </w:r>
      <w:r w:rsidRPr="00DD47EB">
        <w:rPr>
          <w:rStyle w:val="TextoNormalCaracter"/>
        </w:rPr>
        <w:t>-</w:t>
      </w:r>
      <w:r>
        <w:t xml:space="preserve"> Sentencia </w:t>
      </w:r>
      <w:hyperlink w:anchor="SENTENCIA_2015_13" w:history="1">
        <w:r w:rsidRPr="00DD47EB">
          <w:rPr>
            <w:rStyle w:val="TextoNormalCaracter"/>
          </w:rPr>
          <w:t>13/2015</w:t>
        </w:r>
      </w:hyperlink>
      <w:r>
        <w:t xml:space="preserve"> (anula).</w:t>
      </w:r>
    </w:p>
    <w:p w:rsidR="00DD47EB" w:rsidRDefault="00DD47EB" w:rsidP="00DD47EB">
      <w:pPr>
        <w:pStyle w:val="SangriaFrancesaArticulo"/>
      </w:pPr>
      <w:r w:rsidRPr="00DD47EB">
        <w:rPr>
          <w:rStyle w:val="TextoNormalNegritaCaracter"/>
        </w:rPr>
        <w:t>Disposición transitoria segunda.</w:t>
      </w:r>
      <w:r w:rsidRPr="00DD47EB">
        <w:rPr>
          <w:rStyle w:val="TextoNormalCaracter"/>
        </w:rPr>
        <w:t>-</w:t>
      </w:r>
      <w:r>
        <w:t xml:space="preserve"> Sentencia </w:t>
      </w:r>
      <w:hyperlink w:anchor="SENTENCIA_2015_13" w:history="1">
        <w:r w:rsidRPr="00DD47EB">
          <w:rPr>
            <w:rStyle w:val="TextoNormalCaracter"/>
          </w:rPr>
          <w:t>13/2015</w:t>
        </w:r>
      </w:hyperlink>
      <w:r>
        <w:t xml:space="preserve"> (anula).</w:t>
      </w:r>
    </w:p>
    <w:p w:rsidR="00DD47EB" w:rsidRDefault="00DD47EB" w:rsidP="00DD47EB">
      <w:pPr>
        <w:pStyle w:val="SangriaFrancesaArticulo"/>
      </w:pPr>
      <w:r w:rsidRPr="00DD47EB">
        <w:rPr>
          <w:rStyle w:val="TextoNormalNegritaCaracter"/>
        </w:rPr>
        <w:t>Disposición derogatoria única, apartado tercero.</w:t>
      </w:r>
      <w:r w:rsidRPr="00DD47EB">
        <w:rPr>
          <w:rStyle w:val="TextoNormalCaracter"/>
        </w:rPr>
        <w:t>-</w:t>
      </w:r>
      <w:r>
        <w:t xml:space="preserve"> Sentencia </w:t>
      </w:r>
      <w:hyperlink w:anchor="SENTENCIA_2015_13" w:history="1">
        <w:r w:rsidRPr="00DD47EB">
          <w:rPr>
            <w:rStyle w:val="TextoNormalCaracter"/>
          </w:rPr>
          <w:t>13/2015</w:t>
        </w:r>
      </w:hyperlink>
      <w:r>
        <w:t xml:space="preserve"> (anula).</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3" w:history="1">
        <w:r w:rsidRPr="00DD47EB">
          <w:rPr>
            <w:rStyle w:val="TextoNormalCaracter"/>
          </w:rPr>
          <w:t>13/2015</w:t>
        </w:r>
      </w:hyperlink>
      <w:r>
        <w:t xml:space="preserve"> (anula).</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13" w:history="1">
        <w:r w:rsidRPr="00DD47EB">
          <w:rPr>
            <w:rStyle w:val="TextoNormalCaracter"/>
          </w:rPr>
          <w:t>13/2015</w:t>
        </w:r>
      </w:hyperlink>
      <w:r>
        <w:t xml:space="preserve"> (anula).</w:t>
      </w:r>
    </w:p>
    <w:p w:rsidR="00DD47EB" w:rsidRDefault="00DD47EB" w:rsidP="00DD47EB">
      <w:pPr>
        <w:pStyle w:val="SangriaFrancesaArticulo"/>
      </w:pPr>
      <w:r w:rsidRPr="00DD47EB">
        <w:rPr>
          <w:rStyle w:val="TextoNormalNegritaCaracter"/>
        </w:rPr>
        <w:t>Disposición final cuarta.</w:t>
      </w:r>
      <w:r w:rsidRPr="00DD47EB">
        <w:rPr>
          <w:rStyle w:val="TextoNormalCaracter"/>
        </w:rPr>
        <w:t>-</w:t>
      </w:r>
      <w:r>
        <w:t xml:space="preserve"> Sentencia </w:t>
      </w:r>
      <w:hyperlink w:anchor="SENTENCIA_2015_13" w:history="1">
        <w:r w:rsidRPr="00DD47EB">
          <w:rPr>
            <w:rStyle w:val="TextoNormalCaracter"/>
          </w:rPr>
          <w:t>13/2015</w:t>
        </w:r>
      </w:hyperlink>
      <w:r>
        <w:t>.</w:t>
      </w:r>
    </w:p>
    <w:p w:rsidR="00DD47EB" w:rsidRDefault="00DD47EB" w:rsidP="00DD47EB">
      <w:pPr>
        <w:pStyle w:val="SangriaFrancesaArticulo"/>
      </w:pPr>
      <w:r w:rsidRPr="00DD47EB">
        <w:rPr>
          <w:rStyle w:val="TextoNormalNegritaCaracter"/>
        </w:rPr>
        <w:t>Disposición final quinta.</w:t>
      </w:r>
      <w:r w:rsidRPr="00DD47EB">
        <w:rPr>
          <w:rStyle w:val="TextoNormalCaracter"/>
        </w:rPr>
        <w:t>-</w:t>
      </w:r>
      <w:r>
        <w:t xml:space="preserve"> Sentencia </w:t>
      </w:r>
      <w:hyperlink w:anchor="SENTENCIA_2015_13" w:history="1">
        <w:r w:rsidRPr="00DD47EB">
          <w:rPr>
            <w:rStyle w:val="TextoNormalCaracter"/>
          </w:rPr>
          <w:t>13/2015</w:t>
        </w:r>
      </w:hyperlink>
      <w:r>
        <w:t>.</w:t>
      </w:r>
    </w:p>
    <w:p w:rsidR="00DD47EB" w:rsidRDefault="00DD47EB" w:rsidP="00DD47EB">
      <w:pPr>
        <w:pStyle w:val="SangriaFrancesaArticulo"/>
      </w:pPr>
    </w:p>
    <w:p w:rsidR="00DD47EB" w:rsidRDefault="00DD47EB" w:rsidP="00DD47EB">
      <w:pPr>
        <w:pStyle w:val="TextoNormalNegritaCursivandice"/>
      </w:pPr>
      <w:r>
        <w:t>Real Decreto-ley 13/2014, de 3 de octubre. Adopta medidas urgentes en relación con el sistema gasista y la titularidad de centrales nucleares</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Auto </w:t>
      </w:r>
      <w:hyperlink w:anchor="AUTO_2015_68" w:history="1">
        <w:r w:rsidRPr="00DD47EB">
          <w:rPr>
            <w:rStyle w:val="TextoNormalCaracter"/>
          </w:rPr>
          <w:t>68/2015</w:t>
        </w:r>
      </w:hyperlink>
      <w:r>
        <w:t>.</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Auto </w:t>
      </w:r>
      <w:hyperlink w:anchor="AUTO_2015_68" w:history="1">
        <w:r w:rsidRPr="00DD47EB">
          <w:rPr>
            <w:rStyle w:val="TextoNormalCaracter"/>
          </w:rPr>
          <w:t>68/2015</w:t>
        </w:r>
      </w:hyperlink>
      <w:r>
        <w:t>.</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Auto </w:t>
      </w:r>
      <w:hyperlink w:anchor="AUTO_2015_68" w:history="1">
        <w:r w:rsidRPr="00DD47EB">
          <w:rPr>
            <w:rStyle w:val="TextoNormalCaracter"/>
          </w:rPr>
          <w:t>68/2015</w:t>
        </w:r>
      </w:hyperlink>
      <w:r>
        <w:t>.</w:t>
      </w:r>
    </w:p>
    <w:p w:rsidR="00DD47EB" w:rsidRDefault="00DD47EB" w:rsidP="00DD47EB">
      <w:pPr>
        <w:pStyle w:val="SangriaFrancesaArticulo"/>
      </w:pPr>
    </w:p>
    <w:p w:rsidR="00DD47EB" w:rsidRDefault="00DD47EB" w:rsidP="00DD47EB">
      <w:pPr>
        <w:pStyle w:val="TextoNormalNegritaCursivandice"/>
      </w:pPr>
      <w:r>
        <w:t>Ley 18/2014, de 15 de octubre. Aprobación de medidas urgentes para el crecimiento, la competitividad y la eficiencia</w:t>
      </w:r>
    </w:p>
    <w:p w:rsidR="00DD47EB" w:rsidRDefault="00DD47EB" w:rsidP="00DD47EB">
      <w:pPr>
        <w:pStyle w:val="SangriaFrancesaArticulo"/>
      </w:pPr>
      <w:r w:rsidRPr="00DD47EB">
        <w:rPr>
          <w:rStyle w:val="TextoNormalNegritaCaracter"/>
        </w:rPr>
        <w:t>Artículo 124.</w:t>
      </w:r>
      <w:r w:rsidRPr="00DD47EB">
        <w:rPr>
          <w:rStyle w:val="TextoNormalCaracter"/>
        </w:rPr>
        <w:t>-</w:t>
      </w:r>
      <w:r>
        <w:t xml:space="preserve"> Sentencia </w:t>
      </w:r>
      <w:hyperlink w:anchor="SENTENCIA_2015_102" w:history="1">
        <w:r w:rsidRPr="00DD47EB">
          <w:rPr>
            <w:rStyle w:val="TextoNormalCaracter"/>
          </w:rPr>
          <w:t>102/2015</w:t>
        </w:r>
      </w:hyperlink>
      <w:r>
        <w:t>.</w:t>
      </w:r>
    </w:p>
    <w:p w:rsidR="00DD47EB" w:rsidRDefault="00DD47EB" w:rsidP="00DD47EB">
      <w:pPr>
        <w:pStyle w:val="TextoNormal"/>
      </w:pPr>
    </w:p>
    <w:p w:rsidR="00DD47EB" w:rsidRDefault="00DD47EB" w:rsidP="00DD47EB">
      <w:pPr>
        <w:pStyle w:val="SangriaFrancesaArticulo"/>
      </w:pPr>
      <w:bookmarkStart w:id="266" w:name="INDICE22806"/>
    </w:p>
    <w:bookmarkEnd w:id="266"/>
    <w:p w:rsidR="00DD47EB" w:rsidRDefault="00DD47EB" w:rsidP="00DD47EB">
      <w:pPr>
        <w:pStyle w:val="TextoIndiceNivel2"/>
        <w:suppressAutoHyphens/>
      </w:pPr>
      <w:r>
        <w:t>B) Disposiciones con fuerza de ley de las Comunidades Autónomas</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B.1) Andalucía</w:t>
      </w:r>
    </w:p>
    <w:p w:rsidR="00DD47EB" w:rsidRDefault="00DD47EB" w:rsidP="00DD47EB">
      <w:pPr>
        <w:pStyle w:val="TextoNormalNegritaCentrado"/>
      </w:pPr>
    </w:p>
    <w:p w:rsidR="00DD47EB" w:rsidRDefault="00DD47EB" w:rsidP="00DD47EB">
      <w:pPr>
        <w:pStyle w:val="TextoNormalNegritaCursivandice"/>
      </w:pPr>
      <w:r>
        <w:t>Ley del Parlamento de Andalucía 1/2010, de 8 de marzo. Derecho a la vivienda en Andalucía</w:t>
      </w:r>
    </w:p>
    <w:p w:rsidR="00DD47EB" w:rsidRDefault="00DD47EB" w:rsidP="00DD47EB">
      <w:pPr>
        <w:pStyle w:val="SangriaFrancesaArticulo"/>
      </w:pPr>
      <w:r w:rsidRPr="00DD47EB">
        <w:rPr>
          <w:rStyle w:val="TextoNormalNegritaCaracter"/>
        </w:rPr>
        <w:t>Artículo 1.3</w:t>
      </w:r>
      <w:r>
        <w:t xml:space="preserve"> (redactado por la Ley del Parlamento de Andalucía 4/2013, de 1 de octubre)</w:t>
      </w:r>
      <w:r w:rsidRPr="00DD47EB">
        <w:rPr>
          <w:rStyle w:val="TextoNormalNegritaCaracter"/>
        </w:rPr>
        <w:t>.</w:t>
      </w:r>
      <w:r w:rsidRPr="00DD47EB">
        <w:rPr>
          <w:rStyle w:val="TextoNormalCaracter"/>
        </w:rPr>
        <w:t>-</w:t>
      </w:r>
      <w:r>
        <w:t xml:space="preserve"> Auto </w:t>
      </w:r>
      <w:hyperlink w:anchor="AUTO_2015_32" w:history="1">
        <w:r w:rsidRPr="00DD47EB">
          <w:rPr>
            <w:rStyle w:val="TextoNormalCaracter"/>
          </w:rPr>
          <w:t>32/2015</w:t>
        </w:r>
      </w:hyperlink>
      <w:r>
        <w:t>.</w:t>
      </w:r>
    </w:p>
    <w:p w:rsidR="00DD47EB" w:rsidRDefault="00DD47EB" w:rsidP="00DD47EB">
      <w:pPr>
        <w:pStyle w:val="SangriaFrancesaArticulo"/>
      </w:pPr>
      <w:r w:rsidRPr="00DD47EB">
        <w:rPr>
          <w:rStyle w:val="TextoNormalNegritaCaracter"/>
        </w:rPr>
        <w:t>Artículo 1.3 inciso 1</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xml:space="preserve"> (anula).</w:t>
      </w:r>
    </w:p>
    <w:p w:rsidR="00DD47EB" w:rsidRDefault="00DD47EB" w:rsidP="00DD47EB">
      <w:pPr>
        <w:pStyle w:val="SangriaFrancesaArticulo"/>
      </w:pPr>
      <w:r w:rsidRPr="00DD47EB">
        <w:rPr>
          <w:rStyle w:val="TextoNormalNegritaCaracter"/>
        </w:rPr>
        <w:t>Artículo 25</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xml:space="preserve"> (interpreta).</w:t>
      </w:r>
    </w:p>
    <w:p w:rsidR="00DD47EB" w:rsidRDefault="00DD47EB" w:rsidP="00DD47EB">
      <w:pPr>
        <w:pStyle w:val="SangriaFrancesaArticulo"/>
      </w:pPr>
      <w:r w:rsidRPr="00DD47EB">
        <w:rPr>
          <w:rStyle w:val="TextoNormalNegritaCaracter"/>
        </w:rPr>
        <w:t>Artículo 25.5</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xml:space="preserve"> (anula).</w:t>
      </w:r>
    </w:p>
    <w:p w:rsidR="00DD47EB" w:rsidRDefault="00DD47EB" w:rsidP="00DD47EB">
      <w:pPr>
        <w:pStyle w:val="SangriaFrancesaArticulo"/>
      </w:pPr>
      <w:r w:rsidRPr="00DD47EB">
        <w:rPr>
          <w:rStyle w:val="TextoNormalNegritaCaracter"/>
        </w:rPr>
        <w:t>Artículo 25.6</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xml:space="preserve"> (anula).</w:t>
      </w:r>
    </w:p>
    <w:p w:rsidR="00DD47EB" w:rsidRDefault="00DD47EB" w:rsidP="00DD47EB">
      <w:pPr>
        <w:pStyle w:val="SangriaFrancesaArticulo"/>
      </w:pPr>
      <w:r w:rsidRPr="00DD47EB">
        <w:rPr>
          <w:rStyle w:val="TextoNormalNegritaCaracter"/>
        </w:rPr>
        <w:t>Artículo 53.1 a)</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xml:space="preserve"> (anula).</w:t>
      </w:r>
    </w:p>
    <w:p w:rsidR="00DD47EB" w:rsidRDefault="00DD47EB" w:rsidP="00DD47EB">
      <w:pPr>
        <w:pStyle w:val="SangriaFrancesaArticulo"/>
      </w:pPr>
    </w:p>
    <w:p w:rsidR="00DD47EB" w:rsidRDefault="00DD47EB" w:rsidP="00DD47EB">
      <w:pPr>
        <w:pStyle w:val="TextoNormalNegritaCursivandice"/>
      </w:pPr>
      <w:r>
        <w:t>Decreto-ley de la Junta de Andalucía 6/2013, de 9 de abril. Medidas para asegurar el cumplimiento de la función social de la vivienda</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93" w:history="1">
        <w:r w:rsidRPr="00DD47EB">
          <w:rPr>
            <w:rStyle w:val="TextoNormalCaracter"/>
          </w:rPr>
          <w:t>93/2015</w:t>
        </w:r>
      </w:hyperlink>
      <w:r>
        <w:t xml:space="preserve"> (anula).</w:t>
      </w:r>
    </w:p>
    <w:p w:rsidR="00DD47EB" w:rsidRDefault="00DD47EB" w:rsidP="00DD47EB">
      <w:pPr>
        <w:pStyle w:val="SangriaFrancesaArticulo"/>
      </w:pPr>
    </w:p>
    <w:p w:rsidR="00DD47EB" w:rsidRDefault="00DD47EB" w:rsidP="00DD47EB">
      <w:pPr>
        <w:pStyle w:val="TextoNormalNegritaCursivandice"/>
      </w:pPr>
      <w:r>
        <w:t>Ley del Parlamento de Andalucía 4/2013, de 1 de octubre. Medidas para asegurar el cumplimiento de la función social de la vivienda</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Auto </w:t>
      </w:r>
      <w:hyperlink w:anchor="AUTO_2015_32" w:history="1">
        <w:r w:rsidRPr="00DD47EB">
          <w:rPr>
            <w:rStyle w:val="TextoNormalCaracter"/>
          </w:rPr>
          <w:t>32/2015</w:t>
        </w:r>
      </w:hyperlink>
      <w:r>
        <w:t>.</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Auto </w:t>
      </w:r>
      <w:hyperlink w:anchor="AUTO_2015_32" w:history="1">
        <w:r w:rsidRPr="00DD47EB">
          <w:rPr>
            <w:rStyle w:val="TextoNormalCaracter"/>
          </w:rPr>
          <w:t>32/2015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B.2) Asturias</w:t>
      </w:r>
    </w:p>
    <w:p w:rsidR="00DD47EB" w:rsidRDefault="00DD47EB" w:rsidP="00DD47EB">
      <w:pPr>
        <w:pStyle w:val="TextoNormalNegritaCentrado"/>
      </w:pPr>
    </w:p>
    <w:p w:rsidR="00DD47EB" w:rsidRDefault="00DD47EB" w:rsidP="00DD47EB">
      <w:pPr>
        <w:pStyle w:val="TextoNormalNegritaCursivandice"/>
      </w:pPr>
      <w:r>
        <w:t>Ley de la Junta General del Principado de Asturias 3/2012, de 28 de diciembre.  Presupuestos generales para 2013</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108" w:history="1">
        <w:r w:rsidRPr="00DD47EB">
          <w:rPr>
            <w:rStyle w:val="TextoNormalCaracter"/>
          </w:rPr>
          <w:t>108/2015</w:t>
        </w:r>
      </w:hyperlink>
      <w:r>
        <w:t xml:space="preserve"> (anula).</w:t>
      </w:r>
    </w:p>
    <w:p w:rsidR="00DD47EB" w:rsidRDefault="00DD47EB" w:rsidP="00DD47EB">
      <w:pPr>
        <w:pStyle w:val="SangriaFrancesaArticulo"/>
      </w:pPr>
      <w:r w:rsidRPr="00DD47EB">
        <w:rPr>
          <w:rStyle w:val="TextoNormalNegritaCaracter"/>
        </w:rPr>
        <w:t>Disposición final séptima.</w:t>
      </w:r>
      <w:r w:rsidRPr="00DD47EB">
        <w:rPr>
          <w:rStyle w:val="TextoNormalCaracter"/>
        </w:rPr>
        <w:t>-</w:t>
      </w:r>
      <w:r>
        <w:t xml:space="preserve"> Sentencia </w:t>
      </w:r>
      <w:hyperlink w:anchor="SENTENCIA_2015_108" w:history="1">
        <w:r w:rsidRPr="00DD47EB">
          <w:rPr>
            <w:rStyle w:val="TextoNormalCaracter"/>
          </w:rPr>
          <w:t>108/2015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B.3) Baleares</w:t>
      </w:r>
    </w:p>
    <w:p w:rsidR="00DD47EB" w:rsidRDefault="00DD47EB" w:rsidP="00DD47EB">
      <w:pPr>
        <w:pStyle w:val="TextoNormalNegritaCentrado"/>
      </w:pPr>
    </w:p>
    <w:p w:rsidR="00DD47EB" w:rsidRDefault="00DD47EB" w:rsidP="00DD47EB">
      <w:pPr>
        <w:pStyle w:val="TextoNormalNegritaCursivandice"/>
      </w:pPr>
      <w:r>
        <w:t>Ley del Parlamento de las Illes Balears 7/1998, de 12 de noviembre. Ordenación farmacéutica</w:t>
      </w:r>
    </w:p>
    <w:p w:rsidR="00DD47EB" w:rsidRDefault="00DD47EB" w:rsidP="00DD47EB">
      <w:pPr>
        <w:pStyle w:val="SangriaFrancesaArticulo"/>
      </w:pPr>
      <w:r w:rsidRPr="00DD47EB">
        <w:rPr>
          <w:rStyle w:val="TextoNormalNegritaCaracter"/>
        </w:rPr>
        <w:t>Artículo 24.5 inciso 1.</w:t>
      </w:r>
      <w:r w:rsidRPr="00DD47EB">
        <w:rPr>
          <w:rStyle w:val="TextoNormalCaracter"/>
        </w:rPr>
        <w:t>-</w:t>
      </w:r>
      <w:r>
        <w:t xml:space="preserve"> Sentencia </w:t>
      </w:r>
      <w:hyperlink w:anchor="SENTENCIA_2015_41" w:history="1">
        <w:r w:rsidRPr="00DD47EB">
          <w:rPr>
            <w:rStyle w:val="TextoNormalCaracter"/>
          </w:rPr>
          <w:t>41/2015</w:t>
        </w:r>
      </w:hyperlink>
      <w:r>
        <w:t xml:space="preserve"> (declara inconstitucional).</w:t>
      </w:r>
    </w:p>
    <w:p w:rsidR="00DD47EB" w:rsidRDefault="00DD47EB" w:rsidP="00DD47EB">
      <w:pPr>
        <w:pStyle w:val="SangriaFrancesaArticulo"/>
      </w:pPr>
    </w:p>
    <w:p w:rsidR="00DD47EB" w:rsidRDefault="00DD47EB" w:rsidP="00DD47EB">
      <w:pPr>
        <w:pStyle w:val="TextoNormalNegritaCursivandice"/>
      </w:pPr>
      <w:r>
        <w:t>Decreto-ley del Gobierno de las Illes Balears 5/2012, de 1 de junio. Medidas urgentes en materia de personal y administrativas para la reducción del déficit público del sector público de la comunidad autónoma de las Illes Balears y de otras instituciones autonómicas</w:t>
      </w:r>
    </w:p>
    <w:p w:rsidR="00DD47EB" w:rsidRDefault="00DD47EB" w:rsidP="00DD47EB">
      <w:pPr>
        <w:pStyle w:val="SangriaFrancesaArticulo"/>
      </w:pPr>
      <w:r w:rsidRPr="00DD47EB">
        <w:rPr>
          <w:rStyle w:val="TextoNormalNegritaCaracter"/>
        </w:rPr>
        <w:t>Artículo 9.3.</w:t>
      </w:r>
      <w:r w:rsidRPr="00DD47EB">
        <w:rPr>
          <w:rStyle w:val="TextoNormalCaracter"/>
        </w:rPr>
        <w:t>-</w:t>
      </w:r>
      <w:r>
        <w:t xml:space="preserve"> Auto </w:t>
      </w:r>
      <w:hyperlink w:anchor="AUTO_2015_101" w:history="1">
        <w:r w:rsidRPr="00DD47EB">
          <w:rPr>
            <w:rStyle w:val="TextoNormalCaracter"/>
          </w:rPr>
          <w:t>101/2015</w:t>
        </w:r>
      </w:hyperlink>
      <w:r>
        <w:t>.</w:t>
      </w:r>
    </w:p>
    <w:p w:rsidR="00DD47EB" w:rsidRDefault="00DD47EB" w:rsidP="00DD47EB">
      <w:pPr>
        <w:pStyle w:val="SangriaFrancesaArticulo"/>
      </w:pPr>
    </w:p>
    <w:p w:rsidR="00DD47EB" w:rsidRDefault="00DD47EB" w:rsidP="00DD47EB">
      <w:pPr>
        <w:pStyle w:val="TextoNormalNegritaCursivandice"/>
      </w:pPr>
      <w:r>
        <w:t>Ley del Parlamento de las Illes Balears 4/2014, de 20 de junio. Transportes terrestres y movilidad sostenible de las Illes Balears</w:t>
      </w:r>
    </w:p>
    <w:p w:rsidR="00DD47EB" w:rsidRDefault="00DD47EB" w:rsidP="00DD47EB">
      <w:pPr>
        <w:pStyle w:val="SangriaFrancesaArticulo"/>
      </w:pPr>
      <w:r w:rsidRPr="00DD47EB">
        <w:rPr>
          <w:rStyle w:val="TextoNormalNegritaCaracter"/>
        </w:rPr>
        <w:t>Artículo 186.1.</w:t>
      </w:r>
      <w:r w:rsidRPr="00DD47EB">
        <w:rPr>
          <w:rStyle w:val="TextoNormalCaracter"/>
        </w:rPr>
        <w:t>-</w:t>
      </w:r>
      <w:r>
        <w:t xml:space="preserve"> Autos </w:t>
      </w:r>
      <w:hyperlink w:anchor="AUTO_2015_70" w:history="1">
        <w:r w:rsidRPr="00DD47EB">
          <w:rPr>
            <w:rStyle w:val="TextoNormalCaracter"/>
          </w:rPr>
          <w:t>70/2015</w:t>
        </w:r>
      </w:hyperlink>
      <w:r>
        <w:t xml:space="preserve">; </w:t>
      </w:r>
      <w:hyperlink w:anchor="AUTO_2015_102" w:history="1">
        <w:r w:rsidRPr="00DD47EB">
          <w:rPr>
            <w:rStyle w:val="TextoNormalCaracter"/>
          </w:rPr>
          <w:t>102/2015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B.4) Canarias</w:t>
      </w:r>
    </w:p>
    <w:p w:rsidR="00DD47EB" w:rsidRDefault="00DD47EB" w:rsidP="00DD47EB">
      <w:pPr>
        <w:pStyle w:val="TextoNormalNegritaCentrado"/>
      </w:pPr>
    </w:p>
    <w:p w:rsidR="00DD47EB" w:rsidRDefault="00DD47EB" w:rsidP="00DD47EB">
      <w:pPr>
        <w:pStyle w:val="TextoNormalNegritaCursivandice"/>
      </w:pPr>
      <w:r>
        <w:t>Decreto Legislativo del Gobierno de Canarias 1/2000, de 8 mayo. Texto refundido de las leyes de ordenación del territorio y de espacios naturales protegidos</w:t>
      </w:r>
    </w:p>
    <w:p w:rsidR="00DD47EB" w:rsidRDefault="00DD47EB" w:rsidP="00DD47EB">
      <w:pPr>
        <w:pStyle w:val="SangriaFrancesaArticulo"/>
      </w:pPr>
      <w:r w:rsidRPr="00DD47EB">
        <w:rPr>
          <w:rStyle w:val="TextoNormalNegritaCaracter"/>
        </w:rPr>
        <w:t>Disposición adicional decimocuarta</w:t>
      </w:r>
      <w:r>
        <w:t xml:space="preserve"> (redactada por la Ley del Parlamento de Canarias 7/2009, de 6 de mayo)</w:t>
      </w:r>
      <w:r w:rsidRPr="00DD47EB">
        <w:rPr>
          <w:rStyle w:val="TextoNormalNegritaCaracter"/>
        </w:rPr>
        <w:t>.</w:t>
      </w:r>
      <w:r w:rsidRPr="00DD47EB">
        <w:rPr>
          <w:rStyle w:val="TextoNormalCaracter"/>
        </w:rPr>
        <w:t>-</w:t>
      </w:r>
      <w:r>
        <w:t xml:space="preserve"> Auto </w:t>
      </w:r>
      <w:hyperlink w:anchor="AUTO_2015_28" w:history="1">
        <w:r w:rsidRPr="00DD47EB">
          <w:rPr>
            <w:rStyle w:val="TextoNormalCaracter"/>
          </w:rPr>
          <w:t>28/2015</w:t>
        </w:r>
      </w:hyperlink>
      <w:r>
        <w:t>.</w:t>
      </w:r>
    </w:p>
    <w:p w:rsidR="00DD47EB" w:rsidRDefault="00DD47EB" w:rsidP="00DD47EB">
      <w:pPr>
        <w:pStyle w:val="SangriaFrancesaArticulo"/>
      </w:pPr>
    </w:p>
    <w:p w:rsidR="00DD47EB" w:rsidRDefault="00DD47EB" w:rsidP="00DD47EB">
      <w:pPr>
        <w:pStyle w:val="TextoNormalNegritaCursivandice"/>
      </w:pPr>
      <w:r>
        <w:t>Ley del Parlamento de Canarias 7/2009, de 6 de mayo. Modificación del texto refundido de las leyes de ordenación del territorio de Canarias y de espacios naturales de Canarias sobre declaración y ordenación de áreas urbanas en el litoral canario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28" w:history="1">
        <w:r w:rsidRPr="00DD47EB">
          <w:rPr>
            <w:rStyle w:val="TextoNormalCaracter"/>
          </w:rPr>
          <w:t>28/2015</w:t>
        </w:r>
      </w:hyperlink>
      <w:r>
        <w:t>.</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5" w:history="1">
        <w:r w:rsidRPr="00DD47EB">
          <w:rPr>
            <w:rStyle w:val="TextoNormalCaracter"/>
          </w:rPr>
          <w:t>5/2015</w:t>
        </w:r>
      </w:hyperlink>
      <w:r>
        <w:t xml:space="preserve"> (anula).</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5" w:history="1">
        <w:r w:rsidRPr="00DD47EB">
          <w:rPr>
            <w:rStyle w:val="TextoNormalCaracter"/>
          </w:rPr>
          <w:t>5/2015</w:t>
        </w:r>
      </w:hyperlink>
      <w:r>
        <w:t xml:space="preserve"> (anula).</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5" w:history="1">
        <w:r w:rsidRPr="00DD47EB">
          <w:rPr>
            <w:rStyle w:val="TextoNormalCaracter"/>
          </w:rPr>
          <w:t>5/2015</w:t>
        </w:r>
      </w:hyperlink>
      <w:r>
        <w:t>.</w:t>
      </w:r>
    </w:p>
    <w:p w:rsidR="00DD47EB" w:rsidRDefault="00DD47EB" w:rsidP="00DD47EB">
      <w:pPr>
        <w:pStyle w:val="SangriaFrancesaArticulo"/>
      </w:pPr>
      <w:r w:rsidRPr="00DD47EB">
        <w:rPr>
          <w:rStyle w:val="TextoNormalNegritaCaracter"/>
        </w:rPr>
        <w:t>Artículo 3 apartado 1.</w:t>
      </w:r>
      <w:r w:rsidRPr="00DD47EB">
        <w:rPr>
          <w:rStyle w:val="TextoNormalCaracter"/>
        </w:rPr>
        <w:t>-</w:t>
      </w:r>
      <w:r>
        <w:t xml:space="preserve"> Sentencia </w:t>
      </w:r>
      <w:hyperlink w:anchor="SENTENCIA_2015_5" w:history="1">
        <w:r w:rsidRPr="00DD47EB">
          <w:rPr>
            <w:rStyle w:val="TextoNormalCaracter"/>
          </w:rPr>
          <w:t>5/2015</w:t>
        </w:r>
      </w:hyperlink>
      <w:r>
        <w:t>.</w:t>
      </w:r>
    </w:p>
    <w:p w:rsidR="00DD47EB" w:rsidRDefault="00DD47EB" w:rsidP="00DD47EB">
      <w:pPr>
        <w:pStyle w:val="SangriaFrancesaArticulo"/>
      </w:pPr>
      <w:r w:rsidRPr="00DD47EB">
        <w:rPr>
          <w:rStyle w:val="TextoNormalNegritaCaracter"/>
        </w:rPr>
        <w:t>Artículo 3 apartado 2.</w:t>
      </w:r>
      <w:r w:rsidRPr="00DD47EB">
        <w:rPr>
          <w:rStyle w:val="TextoNormalCaracter"/>
        </w:rPr>
        <w:t>-</w:t>
      </w:r>
      <w:r>
        <w:t xml:space="preserve"> Sentencia </w:t>
      </w:r>
      <w:hyperlink w:anchor="SENTENCIA_2015_5" w:history="1">
        <w:r w:rsidRPr="00DD47EB">
          <w:rPr>
            <w:rStyle w:val="TextoNormalCaracter"/>
          </w:rPr>
          <w:t>5/2015</w:t>
        </w:r>
      </w:hyperlink>
      <w:r>
        <w:t xml:space="preserve"> (anula).</w:t>
      </w:r>
    </w:p>
    <w:p w:rsidR="00DD47EB" w:rsidRDefault="00DD47EB" w:rsidP="00DD47EB">
      <w:pPr>
        <w:pStyle w:val="SangriaFrancesaArticulo"/>
      </w:pPr>
      <w:r w:rsidRPr="00DD47EB">
        <w:rPr>
          <w:rStyle w:val="TextoNormalNegritaCaracter"/>
        </w:rPr>
        <w:t>Artículo 3 apartado 3.</w:t>
      </w:r>
      <w:r w:rsidRPr="00DD47EB">
        <w:rPr>
          <w:rStyle w:val="TextoNormalCaracter"/>
        </w:rPr>
        <w:t>-</w:t>
      </w:r>
      <w:r>
        <w:t xml:space="preserve"> Sentencia </w:t>
      </w:r>
      <w:hyperlink w:anchor="SENTENCIA_2015_5" w:history="1">
        <w:r w:rsidRPr="00DD47EB">
          <w:rPr>
            <w:rStyle w:val="TextoNormalCaracter"/>
          </w:rPr>
          <w:t>5/2015</w:t>
        </w:r>
      </w:hyperlink>
      <w:r>
        <w:t xml:space="preserve"> (anula).</w:t>
      </w:r>
    </w:p>
    <w:p w:rsidR="00DD47EB" w:rsidRDefault="00DD47EB" w:rsidP="00DD47EB">
      <w:pPr>
        <w:pStyle w:val="SangriaFrancesaArticulo"/>
      </w:pPr>
    </w:p>
    <w:p w:rsidR="00DD47EB" w:rsidRDefault="00DD47EB" w:rsidP="00DD47EB">
      <w:pPr>
        <w:pStyle w:val="TextoNormalNegritaCursivandice"/>
      </w:pPr>
      <w:r>
        <w:t>Ley del Parlamento de Canarias 11/2010, de 30 de diciembre. Presupuestos generales de la Comunidad Autónoma de Canarias para 2011</w:t>
      </w:r>
    </w:p>
    <w:p w:rsidR="00DD47EB" w:rsidRDefault="00DD47EB" w:rsidP="00DD47EB">
      <w:pPr>
        <w:pStyle w:val="SangriaFrancesaArticulo"/>
      </w:pPr>
      <w:r w:rsidRPr="00DD47EB">
        <w:rPr>
          <w:rStyle w:val="TextoNormalNegritaCaracter"/>
        </w:rPr>
        <w:t>Disposición adicional trigésimo quinta.</w:t>
      </w:r>
      <w:r w:rsidRPr="00DD47EB">
        <w:rPr>
          <w:rStyle w:val="TextoNormalCaracter"/>
        </w:rPr>
        <w:t>-</w:t>
      </w:r>
      <w:r>
        <w:t xml:space="preserve"> Auto </w:t>
      </w:r>
      <w:hyperlink w:anchor="AUTO_2015_37" w:history="1">
        <w:r w:rsidRPr="00DD47EB">
          <w:rPr>
            <w:rStyle w:val="TextoNormalCaracter"/>
          </w:rPr>
          <w:t>37/2015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B.5) Cantabria</w:t>
      </w:r>
    </w:p>
    <w:p w:rsidR="00DD47EB" w:rsidRDefault="00DD47EB" w:rsidP="00DD47EB">
      <w:pPr>
        <w:pStyle w:val="TextoNormalNegritaCentrado"/>
      </w:pPr>
    </w:p>
    <w:p w:rsidR="00DD47EB" w:rsidRDefault="00DD47EB" w:rsidP="00DD47EB">
      <w:pPr>
        <w:pStyle w:val="TextoNormalNegritaCursivandice"/>
      </w:pPr>
      <w:r>
        <w:t>Ley del Parlamento de Cantabria 2/2004, de 27 de septiembre. Plan de ordenación del litoral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2" w:history="1">
        <w:r w:rsidRPr="00DD47EB">
          <w:rPr>
            <w:rStyle w:val="TextoNormalCaracter"/>
          </w:rPr>
          <w:t>92/2015</w:t>
        </w:r>
      </w:hyperlink>
      <w:r>
        <w:t>.</w:t>
      </w:r>
    </w:p>
    <w:p w:rsidR="00DD47EB" w:rsidRDefault="00DD47EB" w:rsidP="00DD47EB">
      <w:pPr>
        <w:pStyle w:val="SangriaFrancesaArticulo"/>
      </w:pPr>
      <w:r w:rsidRPr="00DD47EB">
        <w:rPr>
          <w:rStyle w:val="TextoNormalNegritaCaracter"/>
        </w:rPr>
        <w:t>Artículos 1 a 26.</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Artículo 27.1.</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Artículos 28 a 74.</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Artículo 45.3.</w:t>
      </w:r>
      <w:r w:rsidRPr="00DD47EB">
        <w:rPr>
          <w:rStyle w:val="TextoNormalCaracter"/>
        </w:rPr>
        <w:t>-</w:t>
      </w:r>
      <w:r>
        <w:t xml:space="preserve"> Sentencia </w:t>
      </w:r>
      <w:hyperlink w:anchor="SENTENCIA_2015_57" w:history="1">
        <w:r w:rsidRPr="00DD47EB">
          <w:rPr>
            <w:rStyle w:val="TextoNormalCaracter"/>
          </w:rPr>
          <w:t>57/2015</w:t>
        </w:r>
      </w:hyperlink>
      <w:r>
        <w:t xml:space="preserve"> (anula).</w:t>
      </w:r>
    </w:p>
    <w:p w:rsidR="00DD47EB" w:rsidRDefault="00DD47EB" w:rsidP="00DD47EB">
      <w:pPr>
        <w:pStyle w:val="SangriaFrancesaArticulo"/>
      </w:pPr>
      <w:r w:rsidRPr="00DD47EB">
        <w:rPr>
          <w:rStyle w:val="TextoNormalNegritaCaracter"/>
        </w:rPr>
        <w:t>Artículo 51.3 expresión "en cuyo caso sus determinaciones prevalecerán sobre las de este Plan".</w:t>
      </w:r>
      <w:r w:rsidRPr="00DD47EB">
        <w:rPr>
          <w:rStyle w:val="TextoNormalCaracter"/>
        </w:rPr>
        <w:t>-</w:t>
      </w:r>
      <w:r>
        <w:t xml:space="preserve"> Sentencia </w:t>
      </w:r>
      <w:hyperlink w:anchor="SENTENCIA_2015_57" w:history="1">
        <w:r w:rsidRPr="00DD47EB">
          <w:rPr>
            <w:rStyle w:val="TextoNormalCaracter"/>
          </w:rPr>
          <w:t>57/2015</w:t>
        </w:r>
      </w:hyperlink>
      <w:r>
        <w:t xml:space="preserve"> (anula).</w:t>
      </w:r>
    </w:p>
    <w:p w:rsidR="00DD47EB" w:rsidRDefault="00DD47EB" w:rsidP="00DD47EB">
      <w:pPr>
        <w:pStyle w:val="SangriaFrancesaArticulo"/>
      </w:pPr>
      <w:r w:rsidRPr="00DD47EB">
        <w:rPr>
          <w:rStyle w:val="TextoNormalNegritaCaracter"/>
        </w:rPr>
        <w:t>Artículo 51.3 expresión "y con independencia de la clasificación urbanística".</w:t>
      </w:r>
      <w:r w:rsidRPr="00DD47EB">
        <w:rPr>
          <w:rStyle w:val="TextoNormalCaracter"/>
        </w:rPr>
        <w:t>-</w:t>
      </w:r>
      <w:r>
        <w:t xml:space="preserve"> Sentencia </w:t>
      </w:r>
      <w:hyperlink w:anchor="SENTENCIA_2015_57" w:history="1">
        <w:r w:rsidRPr="00DD47EB">
          <w:rPr>
            <w:rStyle w:val="TextoNormalCaracter"/>
          </w:rPr>
          <w:t>57/2015</w:t>
        </w:r>
      </w:hyperlink>
      <w:r>
        <w:t xml:space="preserve"> (anula).</w:t>
      </w:r>
    </w:p>
    <w:p w:rsidR="00DD47EB" w:rsidRDefault="00DD47EB" w:rsidP="00DD47EB">
      <w:pPr>
        <w:pStyle w:val="SangriaFrancesaArticulo"/>
      </w:pPr>
      <w:r w:rsidRPr="00DD47EB">
        <w:rPr>
          <w:rStyle w:val="TextoNormalNegritaCaracter"/>
        </w:rPr>
        <w:t>Disposiciones adicionales primera a tercera.</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Disposiciones transitorias primera a séptima.</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Disposición transitoria octava, apartado 2.</w:t>
      </w:r>
      <w:r w:rsidRPr="00DD47EB">
        <w:rPr>
          <w:rStyle w:val="TextoNormalCaracter"/>
        </w:rPr>
        <w:t>-</w:t>
      </w:r>
      <w:r>
        <w:t xml:space="preserve"> Sentencia </w:t>
      </w:r>
      <w:hyperlink w:anchor="SENTENCIA_2015_57" w:history="1">
        <w:r w:rsidRPr="00DD47EB">
          <w:rPr>
            <w:rStyle w:val="TextoNormalCaracter"/>
          </w:rPr>
          <w:t>57/2015</w:t>
        </w:r>
      </w:hyperlink>
      <w:r>
        <w:t xml:space="preserve"> (anula).</w:t>
      </w:r>
    </w:p>
    <w:p w:rsidR="00DD47EB" w:rsidRDefault="00DD47EB" w:rsidP="00DD47EB">
      <w:pPr>
        <w:pStyle w:val="SangriaFrancesaArticulo"/>
      </w:pPr>
      <w:r w:rsidRPr="00DD47EB">
        <w:rPr>
          <w:rStyle w:val="TextoNormalNegritaCaracter"/>
        </w:rPr>
        <w:t>Disposiciones transitorias décima a duodécima.</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Disposición derogatoria única, apartado 2.</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Disposiciones finales primera a tercera.</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Anexo I.</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SangriaFrancesaArticulo"/>
      </w:pPr>
      <w:r w:rsidRPr="00DD47EB">
        <w:rPr>
          <w:rStyle w:val="TextoNormalNegritaCaracter"/>
        </w:rPr>
        <w:t>Anexo III.</w:t>
      </w:r>
      <w:r w:rsidRPr="00DD47EB">
        <w:rPr>
          <w:rStyle w:val="TextoNormalCaracter"/>
        </w:rPr>
        <w:t>-</w:t>
      </w:r>
      <w:r>
        <w:t xml:space="preserve"> Sentencia </w:t>
      </w:r>
      <w:hyperlink w:anchor="SENTENCIA_2015_57" w:history="1">
        <w:r w:rsidRPr="00DD47EB">
          <w:rPr>
            <w:rStyle w:val="TextoNormalCaracter"/>
          </w:rPr>
          <w:t>57/2015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B.6) Castilla-La Mancha</w:t>
      </w:r>
    </w:p>
    <w:p w:rsidR="00DD47EB" w:rsidRDefault="00DD47EB" w:rsidP="00DD47EB">
      <w:pPr>
        <w:pStyle w:val="TextoNormalNegritaCentrado"/>
      </w:pPr>
    </w:p>
    <w:p w:rsidR="00DD47EB" w:rsidRDefault="00DD47EB" w:rsidP="00DD47EB">
      <w:pPr>
        <w:pStyle w:val="TextoNormalNegritaCursivandice"/>
      </w:pPr>
      <w:r>
        <w:t>Ley de las Cortes de Castilla-La Mancha 4/2014, de 21 de julio. Reforma de la Ley 5/1986, de 23 de diciembre, Electoral de Castilla-La Mancha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5" w:history="1">
        <w:r w:rsidRPr="00DD47EB">
          <w:rPr>
            <w:rStyle w:val="TextoNormalCaracter"/>
          </w:rPr>
          <w:t>15/2015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B.7) Castilla y León</w:t>
      </w:r>
    </w:p>
    <w:p w:rsidR="00DD47EB" w:rsidRDefault="00DD47EB" w:rsidP="00DD47EB">
      <w:pPr>
        <w:pStyle w:val="TextoNormalNegritaCentrado"/>
      </w:pPr>
    </w:p>
    <w:p w:rsidR="00DD47EB" w:rsidRDefault="00DD47EB" w:rsidP="00DD47EB">
      <w:pPr>
        <w:pStyle w:val="TextoNormalNegritaCursivandice"/>
      </w:pPr>
      <w:r>
        <w:t>Ley de las Cortes de Castilla y León 5/2010, de 28 de mayo. Modificación de la Ley 4/2000, de 27 de junio, de declaración del Parque Natural de Fuentes Carrionas y Fuente Cobre-Montaña Palentina (Palencia)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0" w:history="1">
        <w:r w:rsidRPr="00DD47EB">
          <w:rPr>
            <w:rStyle w:val="TextoNormalCaracter"/>
          </w:rPr>
          <w:t>50/2015</w:t>
        </w:r>
      </w:hyperlink>
      <w:r>
        <w:t xml:space="preserve"> (anula).</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B.8) Cataluña</w:t>
      </w:r>
    </w:p>
    <w:p w:rsidR="00DD47EB" w:rsidRDefault="00DD47EB" w:rsidP="00DD47EB">
      <w:pPr>
        <w:pStyle w:val="TextoNormalNegritaCentrado"/>
      </w:pPr>
    </w:p>
    <w:p w:rsidR="00DD47EB" w:rsidRDefault="00DD47EB" w:rsidP="00DD47EB">
      <w:pPr>
        <w:pStyle w:val="TextoNormalNegritaCursivandice"/>
      </w:pPr>
      <w:r>
        <w:t>Ley del Parlamento de Cataluña 10/2008, de 10 de julio. Código civil de Cataluña, libro cuarto relativo a las sucesiones</w:t>
      </w:r>
    </w:p>
    <w:p w:rsidR="00DD47EB" w:rsidRDefault="00DD47EB" w:rsidP="00DD47EB">
      <w:pPr>
        <w:pStyle w:val="SangriaFrancesaArticulo"/>
      </w:pPr>
      <w:r w:rsidRPr="00DD47EB">
        <w:rPr>
          <w:rStyle w:val="TextoNormalNegritaCaracter"/>
        </w:rPr>
        <w:t>Artículo 451.12.</w:t>
      </w:r>
      <w:r w:rsidRPr="00DD47EB">
        <w:rPr>
          <w:rStyle w:val="TextoNormalCaracter"/>
        </w:rPr>
        <w:t>-</w:t>
      </w:r>
      <w:r>
        <w:t xml:space="preserve"> Auto </w:t>
      </w:r>
      <w:hyperlink w:anchor="AUTO_2015_76" w:history="1">
        <w:r w:rsidRPr="00DD47EB">
          <w:rPr>
            <w:rStyle w:val="TextoNormalCaracter"/>
          </w:rPr>
          <w:t>76/2015</w:t>
        </w:r>
      </w:hyperlink>
      <w:r>
        <w:t>.</w:t>
      </w:r>
    </w:p>
    <w:p w:rsidR="00DD47EB" w:rsidRDefault="00DD47EB" w:rsidP="00DD47EB">
      <w:pPr>
        <w:pStyle w:val="SangriaFrancesaArticulo"/>
      </w:pPr>
    </w:p>
    <w:p w:rsidR="00DD47EB" w:rsidRDefault="00DD47EB" w:rsidP="00DD47EB">
      <w:pPr>
        <w:pStyle w:val="TextoNormalNegritaCursivandice"/>
      </w:pPr>
      <w:r>
        <w:t>Ley del Parlamento de Cataluña 24/2009, de 23 de diciembre. Síndic de Greuges</w:t>
      </w:r>
    </w:p>
    <w:p w:rsidR="00DD47EB" w:rsidRDefault="00DD47EB" w:rsidP="00DD47EB">
      <w:pPr>
        <w:pStyle w:val="SangriaFrancesaArticulo"/>
      </w:pPr>
      <w:r w:rsidRPr="00DD47EB">
        <w:rPr>
          <w:rStyle w:val="TextoNormalNegritaCaracter"/>
        </w:rPr>
        <w:t>Título VIII, capítulo I expresión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1 b).</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26 b) expresión "la administración local".</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26 c) expresión "o a la administración local".</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68.1.</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68.2.</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Artículos 68 a 77.</w:t>
      </w:r>
      <w:r w:rsidRPr="00DD47EB">
        <w:rPr>
          <w:rStyle w:val="TextoNormalCaracter"/>
        </w:rPr>
        <w:t>-</w:t>
      </w:r>
      <w:r>
        <w:t xml:space="preserve"> Sentencia </w:t>
      </w:r>
      <w:hyperlink w:anchor="SENTENCIA_2015_46" w:history="1">
        <w:r w:rsidRPr="00DD47EB">
          <w:rPr>
            <w:rStyle w:val="TextoNormalCaracter"/>
          </w:rPr>
          <w:t>46/2015</w:t>
        </w:r>
      </w:hyperlink>
      <w:r>
        <w:t>.</w:t>
      </w:r>
    </w:p>
    <w:p w:rsidR="00DD47EB" w:rsidRDefault="00DD47EB" w:rsidP="00DD47EB">
      <w:pPr>
        <w:pStyle w:val="SangriaFrancesaArticulo"/>
      </w:pPr>
      <w:r w:rsidRPr="00DD47EB">
        <w:rPr>
          <w:rStyle w:val="TextoNormalNegritaCaracter"/>
        </w:rPr>
        <w:t>Artículo 69.1 expresión "como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69.2.</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70 expresión "en su condición de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71 a).</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71 b).</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71 c).</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71 d).</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71 expresión "como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72.1.</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72.1 expresión "como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72.2.</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73 expresión "como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73.1.</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r w:rsidRPr="00DD47EB">
        <w:rPr>
          <w:rStyle w:val="TextoNormalNegritaCaracter"/>
        </w:rPr>
        <w:t>Artículo 74.</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75.</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76.1 expresión "como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77.1 expresión "como autoridad catalana".</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77.5 c).</w:t>
      </w:r>
      <w:r w:rsidRPr="00DD47EB">
        <w:rPr>
          <w:rStyle w:val="TextoNormalCaracter"/>
        </w:rPr>
        <w:t>-</w:t>
      </w:r>
      <w:r>
        <w:t xml:space="preserve"> Sentencia </w:t>
      </w:r>
      <w:hyperlink w:anchor="SENTENCIA_2015_46" w:history="1">
        <w:r w:rsidRPr="00DD47EB">
          <w:rPr>
            <w:rStyle w:val="TextoNormalCaracter"/>
          </w:rPr>
          <w:t>46/2015</w:t>
        </w:r>
      </w:hyperlink>
      <w:r>
        <w:t xml:space="preserve"> (anula).</w:t>
      </w:r>
    </w:p>
    <w:p w:rsidR="00DD47EB" w:rsidRDefault="00DD47EB" w:rsidP="00DD47EB">
      <w:pPr>
        <w:pStyle w:val="SangriaFrancesaArticulo"/>
      </w:pPr>
      <w:r w:rsidRPr="00DD47EB">
        <w:rPr>
          <w:rStyle w:val="TextoNormalNegritaCaracter"/>
        </w:rPr>
        <w:t>Artículo 78.</w:t>
      </w:r>
      <w:r w:rsidRPr="00DD47EB">
        <w:rPr>
          <w:rStyle w:val="TextoNormalCaracter"/>
        </w:rPr>
        <w:t>-</w:t>
      </w:r>
      <w:r>
        <w:t xml:space="preserve"> Sentencia </w:t>
      </w:r>
      <w:hyperlink w:anchor="SENTENCIA_2015_46" w:history="1">
        <w:r w:rsidRPr="00DD47EB">
          <w:rPr>
            <w:rStyle w:val="TextoNormalCaracter"/>
          </w:rPr>
          <w:t>46/2015</w:t>
        </w:r>
      </w:hyperlink>
      <w:r>
        <w:t xml:space="preserve"> (interpreta).</w:t>
      </w:r>
    </w:p>
    <w:p w:rsidR="00DD47EB" w:rsidRDefault="00DD47EB" w:rsidP="00DD47EB">
      <w:pPr>
        <w:pStyle w:val="SangriaFrancesaArticulo"/>
      </w:pPr>
    </w:p>
    <w:p w:rsidR="00DD47EB" w:rsidRDefault="00DD47EB" w:rsidP="00DD47EB">
      <w:pPr>
        <w:pStyle w:val="TextoNormalNegritaCursivandice"/>
      </w:pPr>
      <w:r>
        <w:t>Decreto-ley de la Generalitat de Cataluña 5/2012, de 18 de diciembre. Impuesto sobre los depósitos en las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7" w:history="1">
        <w:r w:rsidRPr="00DD47EB">
          <w:rPr>
            <w:rStyle w:val="TextoNormalCaracter"/>
          </w:rPr>
          <w:t>107/2015</w:t>
        </w:r>
      </w:hyperlink>
      <w:r>
        <w:t xml:space="preserve"> (anula).</w:t>
      </w:r>
    </w:p>
    <w:p w:rsidR="00DD47EB" w:rsidRDefault="00DD47EB" w:rsidP="00DD47EB">
      <w:pPr>
        <w:pStyle w:val="SangriaFrancesaArticulo"/>
      </w:pPr>
    </w:p>
    <w:p w:rsidR="00DD47EB" w:rsidRDefault="00DD47EB" w:rsidP="00DD47EB">
      <w:pPr>
        <w:pStyle w:val="TextoNormalNegritaCursivandice"/>
      </w:pPr>
      <w:r>
        <w:t>Decreto-ley de la Generalitat de Cataluña 6/2013, de 23 de diciembre. Modifica la Ley 22/2010, de 20 de julio, del Código de consumo de Cataluña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23" w:history="1">
        <w:r w:rsidRPr="00DD47EB">
          <w:rPr>
            <w:rStyle w:val="TextoNormalCaracter"/>
          </w:rPr>
          <w:t>23/2015</w:t>
        </w:r>
      </w:hyperlink>
      <w:r>
        <w:t>.</w:t>
      </w:r>
    </w:p>
    <w:p w:rsidR="00DD47EB" w:rsidRDefault="00DD47EB" w:rsidP="00DD47EB">
      <w:pPr>
        <w:pStyle w:val="SangriaFrancesaArticulo"/>
      </w:pPr>
    </w:p>
    <w:p w:rsidR="00DD47EB" w:rsidRDefault="00DD47EB" w:rsidP="00DD47EB">
      <w:pPr>
        <w:pStyle w:val="TextoNormalNegritaCursivandice"/>
      </w:pPr>
      <w:r>
        <w:t>Ley del Parlamento de Cataluña 2/2014, de 27 de enero. Medidas fiscales, administrativas, financieras y del sector público</w:t>
      </w:r>
    </w:p>
    <w:p w:rsidR="00DD47EB" w:rsidRDefault="00DD47EB" w:rsidP="00DD47EB">
      <w:pPr>
        <w:pStyle w:val="SangriaFrancesaArticulo"/>
      </w:pPr>
      <w:r w:rsidRPr="00DD47EB">
        <w:rPr>
          <w:rStyle w:val="TextoNormalNegritaCaracter"/>
        </w:rPr>
        <w:t>Artículo 167.1.</w:t>
      </w:r>
      <w:r w:rsidRPr="00DD47EB">
        <w:rPr>
          <w:rStyle w:val="TextoNormalCaracter"/>
        </w:rPr>
        <w:t>-</w:t>
      </w:r>
      <w:r>
        <w:t xml:space="preserve"> Auto </w:t>
      </w:r>
      <w:hyperlink w:anchor="AUTO_2015_63" w:history="1">
        <w:r w:rsidRPr="00DD47EB">
          <w:rPr>
            <w:rStyle w:val="TextoNormalCaracter"/>
          </w:rPr>
          <w:t>63/2015</w:t>
        </w:r>
      </w:hyperlink>
      <w:r>
        <w:t>.</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Auto </w:t>
      </w:r>
      <w:hyperlink w:anchor="AUTO_2015_63" w:history="1">
        <w:r w:rsidRPr="00DD47EB">
          <w:rPr>
            <w:rStyle w:val="TextoNormalCaracter"/>
          </w:rPr>
          <w:t>63/2015</w:t>
        </w:r>
      </w:hyperlink>
      <w:r>
        <w:t>.</w:t>
      </w:r>
    </w:p>
    <w:p w:rsidR="00DD47EB" w:rsidRDefault="00DD47EB" w:rsidP="00DD47EB">
      <w:pPr>
        <w:pStyle w:val="SangriaFrancesaArticulo"/>
      </w:pPr>
      <w:r w:rsidRPr="00DD47EB">
        <w:rPr>
          <w:rStyle w:val="TextoNormalNegritaCaracter"/>
        </w:rPr>
        <w:t>Disposición transitoria octava.</w:t>
      </w:r>
      <w:r w:rsidRPr="00DD47EB">
        <w:rPr>
          <w:rStyle w:val="TextoNormalCaracter"/>
        </w:rPr>
        <w:t>-</w:t>
      </w:r>
      <w:r>
        <w:t xml:space="preserve"> Auto </w:t>
      </w:r>
      <w:hyperlink w:anchor="AUTO_2015_63" w:history="1">
        <w:r w:rsidRPr="00DD47EB">
          <w:rPr>
            <w:rStyle w:val="TextoNormalCaracter"/>
          </w:rPr>
          <w:t>63/2015</w:t>
        </w:r>
      </w:hyperlink>
      <w:r>
        <w:t>.</w:t>
      </w:r>
    </w:p>
    <w:p w:rsidR="00DD47EB" w:rsidRDefault="00DD47EB" w:rsidP="00DD47EB">
      <w:pPr>
        <w:pStyle w:val="SangriaFrancesaArticulo"/>
      </w:pPr>
    </w:p>
    <w:p w:rsidR="00DD47EB" w:rsidRDefault="00DD47EB" w:rsidP="00DD47EB">
      <w:pPr>
        <w:pStyle w:val="TextoNormalNegritaCursivandice"/>
      </w:pPr>
      <w:r>
        <w:t>Ley del Parlamento de Cataluña 3/2014, de 19 de febrero. Horarios comerciales y de medidas para determinadas actividades de promoción</w:t>
      </w:r>
    </w:p>
    <w:p w:rsidR="00DD47EB" w:rsidRDefault="00DD47EB" w:rsidP="00DD47EB">
      <w:pPr>
        <w:pStyle w:val="SangriaFrancesaArticulo"/>
      </w:pPr>
      <w:r w:rsidRPr="00DD47EB">
        <w:rPr>
          <w:rStyle w:val="TextoNormalNegritaCaracter"/>
        </w:rPr>
        <w:t>Artículo 1.2 b).</w:t>
      </w:r>
      <w:r w:rsidRPr="00DD47EB">
        <w:rPr>
          <w:rStyle w:val="TextoNormalCaracter"/>
        </w:rPr>
        <w:t>-</w:t>
      </w:r>
      <w:r>
        <w:t xml:space="preserve"> Auto </w:t>
      </w:r>
      <w:hyperlink w:anchor="AUTO_2015_67" w:history="1">
        <w:r w:rsidRPr="00DD47EB">
          <w:rPr>
            <w:rStyle w:val="TextoNormalCaracter"/>
          </w:rPr>
          <w:t>67/2015</w:t>
        </w:r>
      </w:hyperlink>
      <w:r>
        <w:t>.</w:t>
      </w:r>
    </w:p>
    <w:p w:rsidR="00DD47EB" w:rsidRDefault="00DD47EB" w:rsidP="00DD47EB">
      <w:pPr>
        <w:pStyle w:val="SangriaFrancesaArticulo"/>
      </w:pPr>
      <w:r w:rsidRPr="00DD47EB">
        <w:rPr>
          <w:rStyle w:val="TextoNormalNegritaCaracter"/>
        </w:rPr>
        <w:t>Artículo 2 i).</w:t>
      </w:r>
      <w:r w:rsidRPr="00DD47EB">
        <w:rPr>
          <w:rStyle w:val="TextoNormalCaracter"/>
        </w:rPr>
        <w:t>-</w:t>
      </w:r>
      <w:r>
        <w:t xml:space="preserve"> Auto </w:t>
      </w:r>
      <w:hyperlink w:anchor="AUTO_2015_67" w:history="1">
        <w:r w:rsidRPr="00DD47EB">
          <w:rPr>
            <w:rStyle w:val="TextoNormalCaracter"/>
          </w:rPr>
          <w:t>67/2015</w:t>
        </w:r>
      </w:hyperlink>
      <w:r>
        <w:t>.</w:t>
      </w:r>
    </w:p>
    <w:p w:rsidR="00DD47EB" w:rsidRDefault="00DD47EB" w:rsidP="00DD47EB">
      <w:pPr>
        <w:pStyle w:val="SangriaFrancesaArticulo"/>
      </w:pPr>
      <w:r w:rsidRPr="00DD47EB">
        <w:rPr>
          <w:rStyle w:val="TextoNormalNegritaCaracter"/>
        </w:rPr>
        <w:t>Artículo 2 j).</w:t>
      </w:r>
      <w:r w:rsidRPr="00DD47EB">
        <w:rPr>
          <w:rStyle w:val="TextoNormalCaracter"/>
        </w:rPr>
        <w:t>-</w:t>
      </w:r>
      <w:r>
        <w:t xml:space="preserve"> Auto </w:t>
      </w:r>
      <w:hyperlink w:anchor="AUTO_2015_67" w:history="1">
        <w:r w:rsidRPr="00DD47EB">
          <w:rPr>
            <w:rStyle w:val="TextoNormalCaracter"/>
          </w:rPr>
          <w:t>67/2015</w:t>
        </w:r>
      </w:hyperlink>
      <w:r>
        <w:t>.</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Auto </w:t>
      </w:r>
      <w:hyperlink w:anchor="AUTO_2015_67" w:history="1">
        <w:r w:rsidRPr="00DD47EB">
          <w:rPr>
            <w:rStyle w:val="TextoNormalCaracter"/>
          </w:rPr>
          <w:t>67/2015</w:t>
        </w:r>
      </w:hyperlink>
      <w:r>
        <w:t>.</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Auto </w:t>
      </w:r>
      <w:hyperlink w:anchor="AUTO_2015_67" w:history="1">
        <w:r w:rsidRPr="00DD47EB">
          <w:rPr>
            <w:rStyle w:val="TextoNormalCaracter"/>
          </w:rPr>
          <w:t>67/2015</w:t>
        </w:r>
      </w:hyperlink>
      <w:r>
        <w:t>.</w:t>
      </w:r>
    </w:p>
    <w:p w:rsidR="00DD47EB" w:rsidRDefault="00DD47EB" w:rsidP="00DD47EB">
      <w:pPr>
        <w:pStyle w:val="SangriaFrancesaArticulo"/>
      </w:pPr>
      <w:r w:rsidRPr="00DD47EB">
        <w:rPr>
          <w:rStyle w:val="TextoNormalNegritaCaracter"/>
        </w:rPr>
        <w:t>Artículo 16.10.</w:t>
      </w:r>
      <w:r w:rsidRPr="00DD47EB">
        <w:rPr>
          <w:rStyle w:val="TextoNormalCaracter"/>
        </w:rPr>
        <w:t>-</w:t>
      </w:r>
      <w:r>
        <w:t xml:space="preserve"> Auto </w:t>
      </w:r>
      <w:hyperlink w:anchor="AUTO_2015_67" w:history="1">
        <w:r w:rsidRPr="00DD47EB">
          <w:rPr>
            <w:rStyle w:val="TextoNormalCaracter"/>
          </w:rPr>
          <w:t>67/2015</w:t>
        </w:r>
      </w:hyperlink>
      <w:r>
        <w:t>.</w:t>
      </w:r>
    </w:p>
    <w:p w:rsidR="00DD47EB" w:rsidRDefault="00DD47EB" w:rsidP="00DD47EB">
      <w:pPr>
        <w:pStyle w:val="SangriaFrancesaArticulo"/>
      </w:pPr>
    </w:p>
    <w:p w:rsidR="00DD47EB" w:rsidRDefault="00DD47EB" w:rsidP="00DD47EB">
      <w:pPr>
        <w:pStyle w:val="TextoNormalNegritaCursivandice"/>
      </w:pPr>
      <w:r>
        <w:t>Ley del Parlamento de Cataluña 4/2014, de 4 de abril. Impuesto sobre los depósitos en las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1" w:history="1">
        <w:r w:rsidRPr="00DD47EB">
          <w:rPr>
            <w:rStyle w:val="TextoNormalCaracter"/>
          </w:rPr>
          <w:t>111/2015</w:t>
        </w:r>
      </w:hyperlink>
      <w:r>
        <w:t xml:space="preserve"> (anula).</w:t>
      </w:r>
    </w:p>
    <w:p w:rsidR="00DD47EB" w:rsidRDefault="00DD47EB" w:rsidP="00DD47EB">
      <w:pPr>
        <w:pStyle w:val="SangriaFrancesaArticulo"/>
      </w:pPr>
    </w:p>
    <w:p w:rsidR="00DD47EB" w:rsidRDefault="00DD47EB" w:rsidP="00DD47EB">
      <w:pPr>
        <w:pStyle w:val="TextoNormalNegritaCursivandice"/>
      </w:pPr>
      <w:r>
        <w:t>Ley del Parlamento de Cataluña 10/2014, de 26 de septiembre. Consultas populares no referendarias y otras formas de participación ciudadana</w:t>
      </w:r>
    </w:p>
    <w:p w:rsidR="00DD47EB" w:rsidRDefault="00DD47EB" w:rsidP="00DD47EB">
      <w:pPr>
        <w:pStyle w:val="SangriaFrancesaArticulo"/>
      </w:pPr>
      <w:r w:rsidRPr="00DD47EB">
        <w:rPr>
          <w:rStyle w:val="TextoNormalNegritaCaracter"/>
        </w:rPr>
        <w:t>Artículo 3.3 incisos 1 y 2.</w:t>
      </w:r>
      <w:r w:rsidRPr="00DD47EB">
        <w:rPr>
          <w:rStyle w:val="TextoNormalCaracter"/>
        </w:rPr>
        <w:t>-</w:t>
      </w:r>
      <w:r>
        <w:t xml:space="preserve"> Sentencia </w:t>
      </w:r>
      <w:hyperlink w:anchor="SENTENCIA_2015_31" w:history="1">
        <w:r w:rsidRPr="00DD47EB">
          <w:rPr>
            <w:rStyle w:val="TextoNormalCaracter"/>
          </w:rPr>
          <w:t>31/2015</w:t>
        </w:r>
      </w:hyperlink>
      <w:r>
        <w:t xml:space="preserve"> (anula).</w:t>
      </w:r>
    </w:p>
    <w:p w:rsidR="00DD47EB" w:rsidRDefault="00DD47EB" w:rsidP="00DD47EB">
      <w:pPr>
        <w:pStyle w:val="SangriaFrancesaArticulo"/>
      </w:pPr>
      <w:r w:rsidRPr="00DD47EB">
        <w:rPr>
          <w:rStyle w:val="TextoNormalNegritaCaracter"/>
        </w:rPr>
        <w:t>Artículos 3 a 39.</w:t>
      </w:r>
      <w:r w:rsidRPr="00DD47EB">
        <w:rPr>
          <w:rStyle w:val="TextoNormalCaracter"/>
        </w:rPr>
        <w:t>-</w:t>
      </w:r>
      <w:r>
        <w:t xml:space="preserve"> Sentencia </w:t>
      </w:r>
      <w:hyperlink w:anchor="SENTENCIA_2015_31" w:history="1">
        <w:r w:rsidRPr="00DD47EB">
          <w:rPr>
            <w:rStyle w:val="TextoNormalCaracter"/>
          </w:rPr>
          <w:t>31/2015</w:t>
        </w:r>
      </w:hyperlink>
      <w:r>
        <w:t>.</w:t>
      </w:r>
    </w:p>
    <w:p w:rsidR="00DD47EB" w:rsidRDefault="00DD47EB" w:rsidP="00DD47EB">
      <w:pPr>
        <w:pStyle w:val="SangriaFrancesaArticulo"/>
      </w:pPr>
      <w:r w:rsidRPr="00DD47EB">
        <w:rPr>
          <w:rStyle w:val="TextoNormalNegritaCaracter"/>
        </w:rPr>
        <w:t>Artículo 16 apartados 4 a 9.</w:t>
      </w:r>
      <w:r w:rsidRPr="00DD47EB">
        <w:rPr>
          <w:rStyle w:val="TextoNormalCaracter"/>
        </w:rPr>
        <w:t>-</w:t>
      </w:r>
      <w:r>
        <w:t xml:space="preserve"> Sentencia </w:t>
      </w:r>
      <w:hyperlink w:anchor="SENTENCIA_2015_31" w:history="1">
        <w:r w:rsidRPr="00DD47EB">
          <w:rPr>
            <w:rStyle w:val="TextoNormalCaracter"/>
          </w:rPr>
          <w:t>31/2015</w:t>
        </w:r>
      </w:hyperlink>
      <w:r>
        <w:t xml:space="preserve"> (anula).</w:t>
      </w:r>
    </w:p>
    <w:p w:rsidR="00DD47EB" w:rsidRDefault="00DD47EB" w:rsidP="00DD47EB">
      <w:pPr>
        <w:pStyle w:val="SangriaFrancesaArticulo"/>
      </w:pPr>
      <w:r w:rsidRPr="00DD47EB">
        <w:rPr>
          <w:rStyle w:val="TextoNormalNegritaCaracter"/>
        </w:rPr>
        <w:t>Disposición transitoria primera.</w:t>
      </w:r>
      <w:r w:rsidRPr="00DD47EB">
        <w:rPr>
          <w:rStyle w:val="TextoNormalCaracter"/>
        </w:rPr>
        <w:t>-</w:t>
      </w:r>
      <w:r>
        <w:t xml:space="preserve"> Sentencia </w:t>
      </w:r>
      <w:hyperlink w:anchor="SENTENCIA_2015_31" w:history="1">
        <w:r w:rsidRPr="00DD47EB">
          <w:rPr>
            <w:rStyle w:val="TextoNormalCaracter"/>
          </w:rPr>
          <w:t>31/2015</w:t>
        </w:r>
      </w:hyperlink>
      <w:r>
        <w:t>.</w:t>
      </w:r>
    </w:p>
    <w:p w:rsidR="00DD47EB" w:rsidRDefault="00DD47EB" w:rsidP="00DD47EB">
      <w:pPr>
        <w:pStyle w:val="SangriaFrancesaArticulo"/>
      </w:pPr>
      <w:r w:rsidRPr="00DD47EB">
        <w:rPr>
          <w:rStyle w:val="TextoNormalNegritaCaracter"/>
        </w:rPr>
        <w:t>Disposición transitoria segunda.</w:t>
      </w:r>
      <w:r w:rsidRPr="00DD47EB">
        <w:rPr>
          <w:rStyle w:val="TextoNormalCaracter"/>
        </w:rPr>
        <w:t>-</w:t>
      </w:r>
      <w:r>
        <w:t xml:space="preserve"> Sentencia </w:t>
      </w:r>
      <w:hyperlink w:anchor="SENTENCIA_2015_31" w:history="1">
        <w:r w:rsidRPr="00DD47EB">
          <w:rPr>
            <w:rStyle w:val="TextoNormalCaracter"/>
          </w:rPr>
          <w:t>31/2015</w:t>
        </w:r>
      </w:hyperlink>
      <w:r>
        <w:t>.</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31" w:history="1">
        <w:r w:rsidRPr="00DD47EB">
          <w:rPr>
            <w:rStyle w:val="TextoNormalCaracter"/>
          </w:rPr>
          <w:t>31/2015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B.9) Extremadura</w:t>
      </w:r>
    </w:p>
    <w:p w:rsidR="00DD47EB" w:rsidRDefault="00DD47EB" w:rsidP="00DD47EB">
      <w:pPr>
        <w:pStyle w:val="TextoNormalNegritaCentrado"/>
      </w:pPr>
    </w:p>
    <w:p w:rsidR="00DD47EB" w:rsidRDefault="00DD47EB" w:rsidP="00DD47EB">
      <w:pPr>
        <w:pStyle w:val="TextoNormalNegritaCursivandice"/>
      </w:pPr>
      <w:r>
        <w:t>Ley de la Asamblea de Extremadura 7/1997, de 29 de mayo. Medidas fiscales sobre la producción y transporte de energía que incidan sobre el medio ambiente</w:t>
      </w:r>
    </w:p>
    <w:p w:rsidR="00DD47EB" w:rsidRDefault="00DD47EB" w:rsidP="00DD47EB">
      <w:pPr>
        <w:pStyle w:val="SangriaFrancesaArticulo"/>
      </w:pPr>
      <w:r w:rsidRPr="00DD47EB">
        <w:rPr>
          <w:rStyle w:val="TextoNormalNegritaCaracter"/>
        </w:rPr>
        <w:t>Artículo 2 a)</w:t>
      </w:r>
      <w:r>
        <w:t xml:space="preserve"> (redactado por la Ley de la Asamblea de Extremadura 8/2005, de 27 de diciembre)</w:t>
      </w:r>
      <w:r w:rsidRPr="00DD47EB">
        <w:rPr>
          <w:rStyle w:val="TextoNormalNegritaCaracter"/>
        </w:rPr>
        <w:t>.</w:t>
      </w:r>
      <w:r w:rsidRPr="00DD47EB">
        <w:rPr>
          <w:rStyle w:val="TextoNormalCaracter"/>
        </w:rPr>
        <w:t>-</w:t>
      </w:r>
      <w:r>
        <w:t xml:space="preserve"> Sentencia </w:t>
      </w:r>
      <w:hyperlink w:anchor="SENTENCIA_2015_22" w:history="1">
        <w:r w:rsidRPr="00DD47EB">
          <w:rPr>
            <w:rStyle w:val="TextoNormalCaracter"/>
          </w:rPr>
          <w:t>22/2015</w:t>
        </w:r>
      </w:hyperlink>
      <w:r>
        <w:t xml:space="preserve"> (anula).</w:t>
      </w:r>
    </w:p>
    <w:p w:rsidR="00DD47EB" w:rsidRDefault="00DD47EB" w:rsidP="00DD47EB">
      <w:pPr>
        <w:pStyle w:val="SangriaFrancesaArticulo"/>
      </w:pPr>
      <w:r w:rsidRPr="00DD47EB">
        <w:rPr>
          <w:rStyle w:val="TextoNormalNegritaCaracter"/>
        </w:rPr>
        <w:t>Artículo 6</w:t>
      </w:r>
      <w:r>
        <w:t xml:space="preserve"> (redactada por la Ley de la Asamblea de Extremadura 8/2005, de 27 de diciembre)</w:t>
      </w:r>
      <w:r w:rsidRPr="00DD47EB">
        <w:rPr>
          <w:rStyle w:val="TextoNormalNegritaCaracter"/>
        </w:rPr>
        <w:t>.</w:t>
      </w:r>
      <w:r w:rsidRPr="00DD47EB">
        <w:rPr>
          <w:rStyle w:val="TextoNormalCaracter"/>
        </w:rPr>
        <w:t>-</w:t>
      </w:r>
      <w:r>
        <w:t xml:space="preserve"> Sentencia </w:t>
      </w:r>
      <w:hyperlink w:anchor="SENTENCIA_2015_22" w:history="1">
        <w:r w:rsidRPr="00DD47EB">
          <w:rPr>
            <w:rStyle w:val="TextoNormalCaracter"/>
          </w:rPr>
          <w:t>22/2015</w:t>
        </w:r>
      </w:hyperlink>
      <w:r>
        <w:t xml:space="preserve"> (anula).</w:t>
      </w:r>
    </w:p>
    <w:p w:rsidR="00DD47EB" w:rsidRDefault="00DD47EB" w:rsidP="00DD47EB">
      <w:pPr>
        <w:pStyle w:val="SangriaFrancesaArticulo"/>
      </w:pPr>
      <w:r w:rsidRPr="00DD47EB">
        <w:rPr>
          <w:rStyle w:val="TextoNormalNegritaCaracter"/>
        </w:rPr>
        <w:t>Artículo 8</w:t>
      </w:r>
      <w:r>
        <w:t xml:space="preserve"> (redactado por la Ley de la Asamblea de Extremadura 8/2005, de 27 de diciembre)</w:t>
      </w:r>
      <w:r w:rsidRPr="00DD47EB">
        <w:rPr>
          <w:rStyle w:val="TextoNormalNegritaCaracter"/>
        </w:rPr>
        <w:t>.</w:t>
      </w:r>
      <w:r w:rsidRPr="00DD47EB">
        <w:rPr>
          <w:rStyle w:val="TextoNormalCaracter"/>
        </w:rPr>
        <w:t>-</w:t>
      </w:r>
      <w:r>
        <w:t xml:space="preserve"> Sentencia </w:t>
      </w:r>
      <w:hyperlink w:anchor="SENTENCIA_2015_22" w:history="1">
        <w:r w:rsidRPr="00DD47EB">
          <w:rPr>
            <w:rStyle w:val="TextoNormalCaracter"/>
          </w:rPr>
          <w:t>22/2015</w:t>
        </w:r>
      </w:hyperlink>
      <w:r>
        <w:t xml:space="preserve"> (anula).</w:t>
      </w:r>
    </w:p>
    <w:p w:rsidR="00DD47EB" w:rsidRDefault="00DD47EB" w:rsidP="00DD47EB">
      <w:pPr>
        <w:pStyle w:val="SangriaFrancesaArticulo"/>
      </w:pPr>
    </w:p>
    <w:p w:rsidR="00DD47EB" w:rsidRDefault="00DD47EB" w:rsidP="00DD47EB">
      <w:pPr>
        <w:pStyle w:val="TextoNormalNegritaCursivandice"/>
      </w:pPr>
      <w:r>
        <w:t>Ley de la Asamblea de Extremadura 8/2005, de 27 de diciembre. Reforma de tributos propios de la Comunidad Autónoma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2" w:history="1">
        <w:r w:rsidRPr="00DD47EB">
          <w:rPr>
            <w:rStyle w:val="TextoNormalCaracter"/>
          </w:rPr>
          <w:t>22/2015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B.10) Madrid</w:t>
      </w:r>
    </w:p>
    <w:p w:rsidR="00DD47EB" w:rsidRDefault="00DD47EB" w:rsidP="00DD47EB">
      <w:pPr>
        <w:pStyle w:val="TextoNormalNegritaCentrado"/>
      </w:pPr>
    </w:p>
    <w:p w:rsidR="00DD47EB" w:rsidRDefault="00DD47EB" w:rsidP="00DD47EB">
      <w:pPr>
        <w:pStyle w:val="TextoNormalNegritaCursivandice"/>
      </w:pPr>
      <w:r>
        <w:t>Ley de la Asamblea de Madrid 12/2001, de 21 de diciembre. Ordenación sanitaria de la Comunidad de Madrid</w:t>
      </w:r>
    </w:p>
    <w:p w:rsidR="00DD47EB" w:rsidRDefault="00DD47EB" w:rsidP="00DD47EB">
      <w:pPr>
        <w:pStyle w:val="SangriaFrancesaArticulo"/>
      </w:pPr>
      <w:r w:rsidRPr="00DD47EB">
        <w:rPr>
          <w:rStyle w:val="TextoNormalNegritaCaracter"/>
        </w:rPr>
        <w:t>Artículo 88.2</w:t>
      </w:r>
      <w:r>
        <w:t xml:space="preserve"> (redactado por la Ley de la Asamblea de Madrid 8/2012, de 28 de diciembre)</w:t>
      </w:r>
      <w:r w:rsidRPr="00DD47EB">
        <w:rPr>
          <w:rStyle w:val="TextoNormalNegritaCaracter"/>
        </w:rPr>
        <w:t>.</w:t>
      </w:r>
      <w:r w:rsidRPr="00DD47EB">
        <w:rPr>
          <w:rStyle w:val="TextoNormalCaracter"/>
        </w:rPr>
        <w:t>-</w:t>
      </w:r>
      <w:r>
        <w:t xml:space="preserve"> Sentencia </w:t>
      </w:r>
      <w:hyperlink w:anchor="SENTENCIA_2015_84" w:history="1">
        <w:r w:rsidRPr="00DD47EB">
          <w:rPr>
            <w:rStyle w:val="TextoNormalCaracter"/>
          </w:rPr>
          <w:t>84/2015</w:t>
        </w:r>
      </w:hyperlink>
      <w:r>
        <w:t xml:space="preserve"> (anula).</w:t>
      </w:r>
    </w:p>
    <w:p w:rsidR="00DD47EB" w:rsidRDefault="00DD47EB" w:rsidP="00DD47EB">
      <w:pPr>
        <w:pStyle w:val="SangriaFrancesaArticulo"/>
      </w:pPr>
    </w:p>
    <w:p w:rsidR="00DD47EB" w:rsidRDefault="00DD47EB" w:rsidP="00DD47EB">
      <w:pPr>
        <w:pStyle w:val="TextoNormalNegritaCursivandice"/>
      </w:pPr>
      <w:r>
        <w:t>Ley de la Asamblea de Madrid 6/2011, de 28 de diciembre. Medidas fiscales y administrativas</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103" w:history="1">
        <w:r w:rsidRPr="00DD47EB">
          <w:rPr>
            <w:rStyle w:val="TextoNormalCaracter"/>
          </w:rPr>
          <w:t>103/2015</w:t>
        </w:r>
      </w:hyperlink>
      <w:r>
        <w:t>.</w:t>
      </w:r>
    </w:p>
    <w:p w:rsidR="00DD47EB" w:rsidRDefault="00DD47EB" w:rsidP="00DD47EB">
      <w:pPr>
        <w:pStyle w:val="SangriaFrancesaArticulo"/>
      </w:pPr>
    </w:p>
    <w:p w:rsidR="00DD47EB" w:rsidRDefault="00DD47EB" w:rsidP="00DD47EB">
      <w:pPr>
        <w:pStyle w:val="TextoNormalNegritaCursivandice"/>
      </w:pPr>
      <w:r>
        <w:t>Ley de la Asamblea de Madrid 8/2012, de 28 de diciembre. Medidas fiscales y administrativas</w:t>
      </w:r>
    </w:p>
    <w:p w:rsidR="00DD47EB" w:rsidRDefault="00DD47EB" w:rsidP="00DD47EB">
      <w:pPr>
        <w:pStyle w:val="SangriaFrancesaArticulo"/>
      </w:pPr>
      <w:r w:rsidRPr="00DD47EB">
        <w:rPr>
          <w:rStyle w:val="TextoNormalNegritaCaracter"/>
        </w:rPr>
        <w:t>Artículo 48.2.</w:t>
      </w:r>
      <w:r w:rsidRPr="00DD47EB">
        <w:rPr>
          <w:rStyle w:val="TextoNormalCaracter"/>
        </w:rPr>
        <w:t>-</w:t>
      </w:r>
      <w:r>
        <w:t xml:space="preserve"> Auto </w:t>
      </w:r>
      <w:hyperlink w:anchor="AUTO_2015_69" w:history="1">
        <w:r w:rsidRPr="00DD47EB">
          <w:rPr>
            <w:rStyle w:val="TextoNormalCaracter"/>
          </w:rPr>
          <w:t>69/2015</w:t>
        </w:r>
      </w:hyperlink>
      <w:r>
        <w:t>.</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 </w:t>
      </w:r>
      <w:hyperlink w:anchor="SENTENCIA_2015_84" w:history="1">
        <w:r w:rsidRPr="00DD47EB">
          <w:rPr>
            <w:rStyle w:val="TextoNormalCaracter"/>
          </w:rPr>
          <w:t>84/2015</w:t>
        </w:r>
      </w:hyperlink>
      <w:r>
        <w:t>.</w:t>
      </w:r>
    </w:p>
    <w:p w:rsidR="00DD47EB" w:rsidRDefault="00DD47EB" w:rsidP="00DD47EB">
      <w:pPr>
        <w:pStyle w:val="SangriaFrancesaArticulo"/>
      </w:pPr>
      <w:r w:rsidRPr="00DD47EB">
        <w:rPr>
          <w:rStyle w:val="TextoNormalNegritaCaracter"/>
        </w:rPr>
        <w:t>Artículo 63.</w:t>
      </w:r>
      <w:r w:rsidRPr="00DD47EB">
        <w:rPr>
          <w:rStyle w:val="TextoNormalCaracter"/>
        </w:rPr>
        <w:t>-</w:t>
      </w:r>
      <w:r>
        <w:t xml:space="preserve"> Sentencia </w:t>
      </w:r>
      <w:hyperlink w:anchor="SENTENCIA_2015_84" w:history="1">
        <w:r w:rsidRPr="00DD47EB">
          <w:rPr>
            <w:rStyle w:val="TextoNormalCaracter"/>
          </w:rPr>
          <w:t>84/2015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B.11) Murcia</w:t>
      </w:r>
    </w:p>
    <w:p w:rsidR="00DD47EB" w:rsidRDefault="00DD47EB" w:rsidP="00DD47EB">
      <w:pPr>
        <w:pStyle w:val="TextoNormalNegritaCentrado"/>
      </w:pPr>
    </w:p>
    <w:p w:rsidR="00DD47EB" w:rsidRDefault="00DD47EB" w:rsidP="00DD47EB">
      <w:pPr>
        <w:pStyle w:val="TextoNormalNegritaCursivandice"/>
      </w:pPr>
      <w:r>
        <w:t>Ley de la Asamblea Regional de Murcia 5/2012, de 29 de junio. Ajuste presupuestario y de medidas en materia de función pública</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Auto </w:t>
      </w:r>
      <w:hyperlink w:anchor="AUTO_2015_103" w:history="1">
        <w:r w:rsidRPr="00DD47EB">
          <w:rPr>
            <w:rStyle w:val="TextoNormalCaracter"/>
          </w:rPr>
          <w:t>103/2015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B.12) Navarra</w:t>
      </w:r>
    </w:p>
    <w:p w:rsidR="00DD47EB" w:rsidRDefault="00DD47EB" w:rsidP="00DD47EB">
      <w:pPr>
        <w:pStyle w:val="TextoNormalNegritaCentrado"/>
      </w:pPr>
    </w:p>
    <w:p w:rsidR="00DD47EB" w:rsidRDefault="00DD47EB" w:rsidP="00DD47EB">
      <w:pPr>
        <w:pStyle w:val="TextoNormalNegritaCursivandice"/>
      </w:pPr>
      <w:r>
        <w:t>Ley Foral del Parlamento de Navarra 25/2013, de 2 de julio. Modifica la Ley Foral 28/2012, de 28 de diciembre, por la que se crea, con efectos para el año 2012, un complemento personal transitorio por pérdida de poder adquisitivo</w:t>
      </w:r>
    </w:p>
    <w:p w:rsidR="00DD47EB" w:rsidRDefault="00DD47EB" w:rsidP="00DD47EB">
      <w:pPr>
        <w:pStyle w:val="SangriaFrancesaArticulo"/>
      </w:pPr>
      <w:r w:rsidRPr="00DD47EB">
        <w:rPr>
          <w:rStyle w:val="TextoNormalNegritaCaracter"/>
        </w:rPr>
        <w:t>Artículo único.</w:t>
      </w:r>
      <w:r w:rsidRPr="00DD47EB">
        <w:rPr>
          <w:rStyle w:val="TextoNormalCaracter"/>
        </w:rPr>
        <w:t>-</w:t>
      </w:r>
      <w:r>
        <w:t xml:space="preserve"> Sentencia </w:t>
      </w:r>
      <w:hyperlink w:anchor="SENTENCIA_2015_94" w:history="1">
        <w:r w:rsidRPr="00DD47EB">
          <w:rPr>
            <w:rStyle w:val="TextoNormalCaracter"/>
          </w:rPr>
          <w:t>94/2015</w:t>
        </w:r>
      </w:hyperlink>
      <w:r>
        <w:t xml:space="preserve"> (anula).</w:t>
      </w:r>
    </w:p>
    <w:p w:rsidR="00DD47EB" w:rsidRDefault="00DD47EB" w:rsidP="00DD47EB">
      <w:pPr>
        <w:pStyle w:val="SangriaFrancesaArticulo"/>
      </w:pPr>
    </w:p>
    <w:p w:rsidR="00DD47EB" w:rsidRDefault="00DD47EB" w:rsidP="00DD47EB">
      <w:pPr>
        <w:pStyle w:val="TextoNormalNegritaCursivandice"/>
      </w:pPr>
      <w:r>
        <w:t>Ley Foral del Parlamento de Navarra 2/2014, de 17 de febrero. Órganos rectores de determinadas fundaciones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 w:history="1">
        <w:r w:rsidRPr="00DD47EB">
          <w:rPr>
            <w:rStyle w:val="TextoNormalCaracter"/>
          </w:rPr>
          <w:t>14/2015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B.13) País Vasco</w:t>
      </w:r>
    </w:p>
    <w:p w:rsidR="00DD47EB" w:rsidRDefault="00DD47EB" w:rsidP="00DD47EB">
      <w:pPr>
        <w:pStyle w:val="TextoNormalNegritaCentrado"/>
      </w:pPr>
    </w:p>
    <w:p w:rsidR="00DD47EB" w:rsidRDefault="00DD47EB" w:rsidP="00DD47EB">
      <w:pPr>
        <w:pStyle w:val="TextoNormalNegritaCursivandice"/>
      </w:pPr>
      <w:r>
        <w:t>Ley del Parlamento Vasco 2/2009, de 23 de diciembre. Aprueba los Presupuestos Generales de la Comunidad Autónoma de Euskadi para el ejercicio 2010</w:t>
      </w:r>
    </w:p>
    <w:p w:rsidR="00DD47EB" w:rsidRDefault="00DD47EB" w:rsidP="00DD47EB">
      <w:pPr>
        <w:pStyle w:val="SangriaFrancesaArticulo"/>
      </w:pPr>
      <w:r w:rsidRPr="00DD47EB">
        <w:rPr>
          <w:rStyle w:val="TextoNormalNegritaCaracter"/>
        </w:rPr>
        <w:t>Artículo 23 bis.</w:t>
      </w:r>
      <w:r w:rsidRPr="00DD47EB">
        <w:rPr>
          <w:rStyle w:val="TextoNormalCaracter"/>
        </w:rPr>
        <w:t>-</w:t>
      </w:r>
      <w:r>
        <w:t xml:space="preserve"> Sentencia </w:t>
      </w:r>
      <w:hyperlink w:anchor="SENTENCIA_2015_143" w:history="1">
        <w:r w:rsidRPr="00DD47EB">
          <w:rPr>
            <w:rStyle w:val="TextoNormalCaracter"/>
          </w:rPr>
          <w:t>143/2015</w:t>
        </w:r>
      </w:hyperlink>
      <w:r>
        <w:t>.</w:t>
      </w:r>
    </w:p>
    <w:p w:rsidR="00DD47EB" w:rsidRDefault="00DD47EB" w:rsidP="00DD47EB">
      <w:pPr>
        <w:pStyle w:val="SangriaFrancesaArticulo"/>
      </w:pPr>
      <w:r w:rsidRPr="00DD47EB">
        <w:rPr>
          <w:rStyle w:val="TextoNormalNegritaCaracter"/>
        </w:rPr>
        <w:t>Artículo 23.9</w:t>
      </w:r>
      <w:r>
        <w:t xml:space="preserve"> (redactado por la Ley del Parlamento Vasco 3/2010, de 24 de junio)</w:t>
      </w:r>
      <w:r w:rsidRPr="00DD47EB">
        <w:rPr>
          <w:rStyle w:val="TextoNormalNegritaCaracter"/>
        </w:rPr>
        <w:t>.</w:t>
      </w:r>
      <w:r w:rsidRPr="00DD47EB">
        <w:rPr>
          <w:rStyle w:val="TextoNormalCaracter"/>
        </w:rPr>
        <w:t>-</w:t>
      </w:r>
      <w:r>
        <w:t xml:space="preserve"> Sentencia </w:t>
      </w:r>
      <w:hyperlink w:anchor="SENTENCIA_2015_143" w:history="1">
        <w:r w:rsidRPr="00DD47EB">
          <w:rPr>
            <w:rStyle w:val="TextoNormalCaracter"/>
          </w:rPr>
          <w:t>143/2015</w:t>
        </w:r>
      </w:hyperlink>
      <w:r>
        <w:t xml:space="preserve"> (anula).</w:t>
      </w:r>
    </w:p>
    <w:p w:rsidR="00DD47EB" w:rsidRDefault="00DD47EB" w:rsidP="00DD47EB">
      <w:pPr>
        <w:pStyle w:val="SangriaFrancesaArticulo"/>
      </w:pPr>
    </w:p>
    <w:p w:rsidR="00DD47EB" w:rsidRDefault="00DD47EB" w:rsidP="00DD47EB">
      <w:pPr>
        <w:pStyle w:val="TextoNormalNegritaCursivandice"/>
      </w:pPr>
      <w:r>
        <w:t>Ley del Parlamento Vasco 3/2010, de 24 de junio. Modifica la Ley por la que se aprueban los Presupuestos Generales de la Comunidad Autónoma de Euskadi para el ejercicio 2010</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3" w:history="1">
        <w:r w:rsidRPr="00DD47EB">
          <w:rPr>
            <w:rStyle w:val="TextoNormalCaracter"/>
          </w:rPr>
          <w:t>143/2015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B.14) Valencia</w:t>
      </w:r>
    </w:p>
    <w:p w:rsidR="00DD47EB" w:rsidRDefault="00DD47EB" w:rsidP="00DD47EB">
      <w:pPr>
        <w:pStyle w:val="TextoNormalNegritaCentrado"/>
      </w:pPr>
    </w:p>
    <w:p w:rsidR="00DD47EB" w:rsidRDefault="00DD47EB" w:rsidP="00DD47EB">
      <w:pPr>
        <w:pStyle w:val="TextoNormalNegritaCursivandice"/>
      </w:pPr>
      <w:r>
        <w:t>Ley de las Cortes Valencianas 13/1997, de 23 de diciembre. Regulación del tramo autonómico del impuesto sobre la renta de las personas físicas y restantes tributos cedidos</w:t>
      </w:r>
    </w:p>
    <w:p w:rsidR="00DD47EB" w:rsidRDefault="00DD47EB" w:rsidP="00DD47EB">
      <w:pPr>
        <w:pStyle w:val="SangriaFrancesaArticulo"/>
      </w:pPr>
      <w:r w:rsidRPr="00DD47EB">
        <w:rPr>
          <w:rStyle w:val="TextoNormalNegritaCaracter"/>
        </w:rPr>
        <w:t>Artículo 12 bis a) expresión "que tengan su residencia habitual en la Comunitat Valenciana"</w:t>
      </w:r>
      <w:r>
        <w:t xml:space="preserve"> (redactado por la Ley de las Cortes Valencianas 10/2006, de 26 de diciembre)</w:t>
      </w:r>
      <w:r w:rsidRPr="00DD47EB">
        <w:rPr>
          <w:rStyle w:val="TextoNormalNegritaCaracter"/>
        </w:rPr>
        <w:t>.</w:t>
      </w:r>
      <w:r w:rsidRPr="00DD47EB">
        <w:rPr>
          <w:rStyle w:val="TextoNormalCaracter"/>
        </w:rPr>
        <w:t>-</w:t>
      </w:r>
      <w:r>
        <w:t xml:space="preserve"> Sentencia </w:t>
      </w:r>
      <w:hyperlink w:anchor="SENTENCIA_2015_60" w:history="1">
        <w:r w:rsidRPr="00DD47EB">
          <w:rPr>
            <w:rStyle w:val="TextoNormalCaracter"/>
          </w:rPr>
          <w:t>60/2015</w:t>
        </w:r>
      </w:hyperlink>
      <w:r>
        <w:t xml:space="preserve"> (anula).</w:t>
      </w:r>
    </w:p>
    <w:p w:rsidR="00DD47EB" w:rsidRDefault="00DD47EB" w:rsidP="00DD47EB">
      <w:pPr>
        <w:pStyle w:val="SangriaFrancesaArticulo"/>
      </w:pPr>
    </w:p>
    <w:p w:rsidR="00DD47EB" w:rsidRDefault="00DD47EB" w:rsidP="00DD47EB">
      <w:pPr>
        <w:pStyle w:val="TextoNormalNegritaCursivandice"/>
      </w:pPr>
      <w:r>
        <w:t>Ley de las Cortes Valencianas 10/2006, de 26 de diciembre. Medidas fiscales, de gestión administrativa y financiera, y de organización de la Generalitat</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60" w:history="1">
        <w:r w:rsidRPr="00DD47EB">
          <w:rPr>
            <w:rStyle w:val="TextoNormalCaracter"/>
          </w:rPr>
          <w:t>60/2015</w:t>
        </w:r>
      </w:hyperlink>
      <w:r>
        <w:t>.</w:t>
      </w:r>
    </w:p>
    <w:p w:rsidR="00DD47EB" w:rsidRDefault="00DD47EB" w:rsidP="00DD47EB">
      <w:pPr>
        <w:pStyle w:val="SangriaFrancesaArticulo"/>
      </w:pPr>
    </w:p>
    <w:p w:rsidR="00DD47EB" w:rsidRDefault="00DD47EB" w:rsidP="00DD47EB">
      <w:pPr>
        <w:pStyle w:val="TextoNormalNegritaCursivandice"/>
      </w:pPr>
      <w:r>
        <w:t>Decreto-ley de la Generalitat Valenciana 1/2012, de 5 de enero. Medidas urgentes para la reducción del déficit en la Comunidad Valenciana</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04" w:history="1">
        <w:r w:rsidRPr="00DD47EB">
          <w:rPr>
            <w:rStyle w:val="TextoNormalCaracter"/>
          </w:rPr>
          <w:t>104/2015</w:t>
        </w:r>
      </w:hyperlink>
      <w:r>
        <w:t>.</w:t>
      </w:r>
    </w:p>
    <w:p w:rsidR="00DD47EB" w:rsidRDefault="00DD47EB" w:rsidP="00DD47EB">
      <w:pPr>
        <w:pStyle w:val="SangriaFrancesaArticulo"/>
      </w:pPr>
      <w:r w:rsidRPr="00DD47EB">
        <w:rPr>
          <w:rStyle w:val="TextoNormalNegritaCaracter"/>
        </w:rPr>
        <w:t>Artículos 1 a 15.</w:t>
      </w:r>
      <w:r w:rsidRPr="00DD47EB">
        <w:rPr>
          <w:rStyle w:val="TextoNormalCaracter"/>
        </w:rPr>
        <w:t>-</w:t>
      </w:r>
      <w:r>
        <w:t xml:space="preserve"> Sentencia </w:t>
      </w:r>
      <w:hyperlink w:anchor="SENTENCIA_2015_104" w:history="1">
        <w:r w:rsidRPr="00DD47EB">
          <w:rPr>
            <w:rStyle w:val="TextoNormalCaracter"/>
          </w:rPr>
          <w:t>104/2015</w:t>
        </w:r>
      </w:hyperlink>
      <w:r>
        <w:t>.</w:t>
      </w:r>
    </w:p>
    <w:p w:rsidR="00DD47EB" w:rsidRDefault="00DD47EB" w:rsidP="00DD47EB">
      <w:pPr>
        <w:pStyle w:val="SangriaFrancesaArticulo"/>
      </w:pPr>
    </w:p>
    <w:p w:rsidR="00DD47EB" w:rsidRDefault="00DD47EB" w:rsidP="00DD47EB">
      <w:pPr>
        <w:pStyle w:val="TextoNormalNegritaCursivandice"/>
      </w:pPr>
      <w:r>
        <w:t>Ley de las Cortes Valencianas 5/2013, de 23 de diciembre. Medidas fiscales, de gestión Administrativa y financiera, y de organización de la Generalitat</w:t>
      </w:r>
    </w:p>
    <w:p w:rsidR="00DD47EB" w:rsidRDefault="00DD47EB" w:rsidP="00DD47EB">
      <w:pPr>
        <w:pStyle w:val="SangriaFrancesaArticulo"/>
      </w:pPr>
      <w:r w:rsidRPr="00DD47EB">
        <w:rPr>
          <w:rStyle w:val="TextoNormalNegritaCaracter"/>
        </w:rPr>
        <w:t>Artículo 161.</w:t>
      </w:r>
      <w:r w:rsidRPr="00DD47EB">
        <w:rPr>
          <w:rStyle w:val="TextoNormalCaracter"/>
        </w:rPr>
        <w:t>-</w:t>
      </w:r>
      <w:r>
        <w:t xml:space="preserve"> Sentencia </w:t>
      </w:r>
      <w:hyperlink w:anchor="SENTENCIA_2015_30" w:history="1">
        <w:r w:rsidRPr="00DD47EB">
          <w:rPr>
            <w:rStyle w:val="TextoNormalCaracter"/>
          </w:rPr>
          <w:t>30/2015</w:t>
        </w:r>
      </w:hyperlink>
      <w:r>
        <w:t xml:space="preserve"> (anula).</w:t>
      </w:r>
    </w:p>
    <w:p w:rsidR="00DD47EB" w:rsidRDefault="00DD47EB">
      <w:pPr>
        <w:spacing w:after="160" w:line="259" w:lineRule="auto"/>
        <w:rPr>
          <w:rFonts w:ascii="Times New Roman" w:eastAsia="Times New Roman" w:hAnsi="Times New Roman" w:cs="Times New Roman"/>
          <w:sz w:val="24"/>
          <w:szCs w:val="24"/>
          <w:lang w:eastAsia="es-ES"/>
        </w:rPr>
      </w:pPr>
      <w:r>
        <w:br w:type="page"/>
      </w:r>
    </w:p>
    <w:p w:rsidR="00DD47EB" w:rsidRDefault="00DD47EB" w:rsidP="00DD47EB">
      <w:pPr>
        <w:pStyle w:val="SangriaFrancesaArticulo"/>
      </w:pPr>
    </w:p>
    <w:p w:rsidR="00DD47EB" w:rsidRDefault="00DD47EB" w:rsidP="00DD47EB">
      <w:pPr>
        <w:pStyle w:val="TextoNormal"/>
      </w:pPr>
    </w:p>
    <w:p w:rsidR="00DD47EB" w:rsidRDefault="00DD47EB" w:rsidP="00DD47EB">
      <w:pPr>
        <w:pStyle w:val="TextoNormal"/>
      </w:pPr>
    </w:p>
    <w:p w:rsidR="00DD47EB" w:rsidRDefault="00DD47EB" w:rsidP="00DD47EB">
      <w:pPr>
        <w:pStyle w:val="TextoNormal"/>
      </w:pPr>
    </w:p>
    <w:p w:rsidR="00DD47EB" w:rsidRDefault="00DD47EB" w:rsidP="00DD47EB">
      <w:pPr>
        <w:pStyle w:val="Ttulondice"/>
        <w:suppressAutoHyphens/>
      </w:pPr>
      <w:r>
        <w:t>4. ÍNDICE DE DISPOSICIONES GENERALES IMPUGNADAS</w:t>
      </w: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pPr>
    </w:p>
    <w:p w:rsidR="00DD47EB" w:rsidRDefault="00DD47EB" w:rsidP="00DD47EB">
      <w:pPr>
        <w:pStyle w:val="TextoNormal"/>
      </w:pPr>
      <w:bookmarkStart w:id="267" w:name="INDICE22803"/>
      <w:bookmarkEnd w:id="267"/>
    </w:p>
    <w:p w:rsidR="00DD47EB" w:rsidRDefault="00DD47EB" w:rsidP="00DD47EB">
      <w:pPr>
        <w:pStyle w:val="TextoIndiceNivel2"/>
        <w:suppressAutoHyphens/>
      </w:pPr>
      <w:r>
        <w:t>A) Disposiciones del Estado</w:t>
      </w:r>
    </w:p>
    <w:p w:rsidR="00DD47EB" w:rsidRDefault="00DD47EB" w:rsidP="00DD47EB">
      <w:pPr>
        <w:pStyle w:val="TextoIndiceNivel2"/>
      </w:pPr>
    </w:p>
    <w:p w:rsidR="00DD47EB" w:rsidRDefault="00DD47EB" w:rsidP="00DD47EB">
      <w:pPr>
        <w:pStyle w:val="TextoNormalNegritaCursivandice"/>
      </w:pPr>
      <w:r>
        <w:t>Real Decreto 1721/2007, de 21 de diciembre. Régimen de las becas y ayudas al estudio personalizadas</w:t>
      </w:r>
    </w:p>
    <w:p w:rsidR="00DD47EB" w:rsidRDefault="00DD47EB" w:rsidP="00DD47EB">
      <w:pPr>
        <w:pStyle w:val="SangriaFrancesaArticulo"/>
      </w:pPr>
      <w:r w:rsidRPr="00DD47EB">
        <w:rPr>
          <w:rStyle w:val="TextoNormalNegritaCaracter"/>
        </w:rPr>
        <w:t>Artículo 1.4</w:t>
      </w:r>
      <w:r>
        <w:t xml:space="preserve"> (inciso sobre ayudas destinadas a cursar estudios en Comunidad Autónoma distinta a la del domicilio familiar del estudiante)</w:t>
      </w:r>
      <w:r w:rsidRPr="00DD47EB">
        <w:rPr>
          <w:rStyle w:val="TextoNormalNegritaCaracter"/>
        </w:rPr>
        <w:t>.</w:t>
      </w:r>
      <w:r w:rsidRPr="00DD47EB">
        <w:rPr>
          <w:rStyle w:val="TextoNormalCaracter"/>
        </w:rPr>
        <w:t>-</w:t>
      </w:r>
      <w:r>
        <w:t xml:space="preserve"> Sentencia </w:t>
      </w:r>
      <w:hyperlink w:anchor="SENTENCIA_2015_25" w:history="1">
        <w:r w:rsidRPr="00DD47EB">
          <w:rPr>
            <w:rStyle w:val="TextoNormalCaracter"/>
          </w:rPr>
          <w:t>25/2015</w:t>
        </w:r>
      </w:hyperlink>
      <w:r>
        <w:t xml:space="preserve"> (anula).</w:t>
      </w:r>
    </w:p>
    <w:p w:rsidR="00DD47EB" w:rsidRDefault="00DD47EB" w:rsidP="00DD47EB">
      <w:pPr>
        <w:pStyle w:val="SangriaFrancesaArticulo"/>
      </w:pPr>
      <w:r w:rsidRPr="00DD47EB">
        <w:rPr>
          <w:rStyle w:val="TextoNormalNegritaCaracter"/>
        </w:rPr>
        <w:t>Artículo 41.4.</w:t>
      </w:r>
      <w:r w:rsidRPr="00DD47EB">
        <w:rPr>
          <w:rStyle w:val="TextoNormalCaracter"/>
        </w:rPr>
        <w:t>-</w:t>
      </w:r>
      <w:r>
        <w:t xml:space="preserve"> Sentencia </w:t>
      </w:r>
      <w:hyperlink w:anchor="SENTENCIA_2015_25" w:history="1">
        <w:r w:rsidRPr="00DD47EB">
          <w:rPr>
            <w:rStyle w:val="TextoNormalCaracter"/>
          </w:rPr>
          <w:t>25/2015</w:t>
        </w:r>
      </w:hyperlink>
      <w:r>
        <w:t>.</w:t>
      </w:r>
    </w:p>
    <w:p w:rsidR="00DD47EB" w:rsidRDefault="00DD47EB" w:rsidP="00DD47EB">
      <w:pPr>
        <w:pStyle w:val="SangriaFrancesaArticulo"/>
      </w:pPr>
      <w:r w:rsidRPr="00DD47EB">
        <w:rPr>
          <w:rStyle w:val="TextoNormalNegritaCaracter"/>
        </w:rPr>
        <w:t>Disposición adicional cuarta.</w:t>
      </w:r>
      <w:r w:rsidRPr="00DD47EB">
        <w:rPr>
          <w:rStyle w:val="TextoNormalCaracter"/>
        </w:rPr>
        <w:t>-</w:t>
      </w:r>
      <w:r>
        <w:t xml:space="preserve"> Sentencia </w:t>
      </w:r>
      <w:hyperlink w:anchor="SENTENCIA_2015_25" w:history="1">
        <w:r w:rsidRPr="00DD47EB">
          <w:rPr>
            <w:rStyle w:val="TextoNormalCaracter"/>
          </w:rPr>
          <w:t>25/2015</w:t>
        </w:r>
      </w:hyperlink>
      <w:r>
        <w:t>.</w:t>
      </w:r>
    </w:p>
    <w:p w:rsidR="00DD47EB" w:rsidRDefault="00DD47EB" w:rsidP="00DD47EB">
      <w:pPr>
        <w:pStyle w:val="SangriaFrancesaArticulo"/>
      </w:pPr>
    </w:p>
    <w:p w:rsidR="00DD47EB" w:rsidRDefault="00DD47EB" w:rsidP="00DD47EB">
      <w:pPr>
        <w:pStyle w:val="TextoNormalNegritaCursivandice"/>
      </w:pPr>
      <w:r>
        <w:t>Real Decreto 34/2008, de 18 de enero. Regulación de los certificados de profesionalidad</w:t>
      </w:r>
    </w:p>
    <w:p w:rsidR="00DD47EB" w:rsidRDefault="00DD47EB" w:rsidP="00DD47EB">
      <w:pPr>
        <w:pStyle w:val="SangriaFrancesaArticulo"/>
      </w:pPr>
      <w:r w:rsidRPr="00DD47EB">
        <w:rPr>
          <w:rStyle w:val="TextoNormalNegritaCaracter"/>
        </w:rPr>
        <w:t>Artículo 10.5</w:t>
      </w:r>
      <w:r>
        <w:t xml:space="preserve"> (redactado por el Real Decreto 189/2013, de 15 de marzo)</w:t>
      </w:r>
      <w:r w:rsidRPr="00DD47EB">
        <w:rPr>
          <w:rStyle w:val="TextoNormalNegritaCaracter"/>
        </w:rPr>
        <w:t>.</w:t>
      </w:r>
      <w:r w:rsidRPr="00DD47EB">
        <w:rPr>
          <w:rStyle w:val="TextoNormalCaracter"/>
        </w:rPr>
        <w:t>-</w:t>
      </w:r>
      <w:r>
        <w:t xml:space="preserve"> Sentencia </w:t>
      </w:r>
      <w:hyperlink w:anchor="SENTENCIA_2015_61" w:history="1">
        <w:r w:rsidRPr="00DD47EB">
          <w:rPr>
            <w:rStyle w:val="TextoNormalCaracter"/>
          </w:rPr>
          <w:t>61/2015</w:t>
        </w:r>
      </w:hyperlink>
      <w:r>
        <w:t xml:space="preserve"> (declara vulnerado el orden competencial).</w:t>
      </w:r>
    </w:p>
    <w:p w:rsidR="00DD47EB" w:rsidRDefault="00DD47EB" w:rsidP="00DD47EB">
      <w:pPr>
        <w:pStyle w:val="SangriaFrancesaArticulo"/>
      </w:pPr>
      <w:r w:rsidRPr="00DD47EB">
        <w:rPr>
          <w:rStyle w:val="TextoNormalNegritaCaracter"/>
        </w:rPr>
        <w:t>Artículo 12.bis.4 párrafo 3</w:t>
      </w:r>
      <w:r>
        <w:t xml:space="preserve"> (redactado por el Real Decreto 189/2013, de 15 de marzo)</w:t>
      </w:r>
      <w:r w:rsidRPr="00DD47EB">
        <w:rPr>
          <w:rStyle w:val="TextoNormalNegritaCaracter"/>
        </w:rPr>
        <w:t>.</w:t>
      </w:r>
      <w:r w:rsidRPr="00DD47EB">
        <w:rPr>
          <w:rStyle w:val="TextoNormalCaracter"/>
        </w:rPr>
        <w:t>-</w:t>
      </w:r>
      <w:r>
        <w:t xml:space="preserve"> Sentencia </w:t>
      </w:r>
      <w:hyperlink w:anchor="SENTENCIA_2015_61" w:history="1">
        <w:r w:rsidRPr="00DD47EB">
          <w:rPr>
            <w:rStyle w:val="TextoNormalCaracter"/>
          </w:rPr>
          <w:t>61/2015</w:t>
        </w:r>
      </w:hyperlink>
      <w:r>
        <w:t xml:space="preserve"> (declara vulnerado el orden competencial).</w:t>
      </w:r>
    </w:p>
    <w:p w:rsidR="00DD47EB" w:rsidRDefault="00DD47EB" w:rsidP="00DD47EB">
      <w:pPr>
        <w:pStyle w:val="SangriaFrancesaArticulo"/>
      </w:pPr>
      <w:r w:rsidRPr="00DD47EB">
        <w:rPr>
          <w:rStyle w:val="TextoNormalNegritaCaracter"/>
        </w:rPr>
        <w:t>Artículo 19.2 párrafo 2</w:t>
      </w:r>
      <w:r>
        <w:t xml:space="preserve"> (redactado por el Real Decreto 189/2013, de 15 de marzo)</w:t>
      </w:r>
      <w:r w:rsidRPr="00DD47EB">
        <w:rPr>
          <w:rStyle w:val="TextoNormalNegritaCaracter"/>
        </w:rPr>
        <w:t>.</w:t>
      </w:r>
      <w:r w:rsidRPr="00DD47EB">
        <w:rPr>
          <w:rStyle w:val="TextoNormalCaracter"/>
        </w:rPr>
        <w:t>-</w:t>
      </w:r>
      <w:r>
        <w:t xml:space="preserve"> Sentencia </w:t>
      </w:r>
      <w:hyperlink w:anchor="SENTENCIA_2015_61" w:history="1">
        <w:r w:rsidRPr="00DD47EB">
          <w:rPr>
            <w:rStyle w:val="TextoNormalCaracter"/>
          </w:rPr>
          <w:t>61/2015</w:t>
        </w:r>
      </w:hyperlink>
      <w:r>
        <w:t xml:space="preserve"> (declara vulnerado el orden competencial).</w:t>
      </w:r>
    </w:p>
    <w:p w:rsidR="00DD47EB" w:rsidRDefault="00DD47EB" w:rsidP="00DD47EB">
      <w:pPr>
        <w:pStyle w:val="SangriaFrancesaArticulo"/>
      </w:pPr>
    </w:p>
    <w:p w:rsidR="00DD47EB" w:rsidRDefault="00DD47EB" w:rsidP="00DD47EB">
      <w:pPr>
        <w:pStyle w:val="TextoNormalNegritaCursivandice"/>
      </w:pPr>
      <w:r>
        <w:t>Real Decreto 975/2009, de 12 de junio. Gestión de los residuos de las industrias extractivas y de protección y rehabilitación del espacio afectado por actividades mineras</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17.2.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18.1 b) apartado 1.</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18.1 b) apartado 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19.3.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19.4.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22.3.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24.2.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27.3.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28.</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30.3.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32.2.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32.3.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32.4.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33.3.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33.4.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36.</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37.4 párrafo segundo.</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38.2.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42.2.</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42.3.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42.4.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43.3.</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43.4.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44.</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Artículo 46.</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Disposición adicional cuarta.</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Disposición transitoria segunda.</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r w:rsidRPr="00DD47EB">
        <w:rPr>
          <w:rStyle w:val="TextoNormalNegritaCaracter"/>
        </w:rPr>
        <w:t>Anexo III.</w:t>
      </w:r>
      <w:r w:rsidRPr="00DD47EB">
        <w:rPr>
          <w:rStyle w:val="TextoNormalCaracter"/>
        </w:rPr>
        <w:t>-</w:t>
      </w:r>
      <w:r>
        <w:t xml:space="preserve"> Sentencia </w:t>
      </w:r>
      <w:hyperlink w:anchor="SENTENCIA_2015_45" w:history="1">
        <w:r w:rsidRPr="00DD47EB">
          <w:rPr>
            <w:rStyle w:val="TextoNormalCaracter"/>
          </w:rPr>
          <w:t>45/2015</w:t>
        </w:r>
      </w:hyperlink>
      <w:r>
        <w:t>.</w:t>
      </w:r>
    </w:p>
    <w:p w:rsidR="00DD47EB" w:rsidRDefault="00DD47EB" w:rsidP="00DD47EB">
      <w:pPr>
        <w:pStyle w:val="SangriaFrancesaArticulo"/>
      </w:pPr>
    </w:p>
    <w:p w:rsidR="00DD47EB" w:rsidRDefault="00DD47EB" w:rsidP="00DD47EB">
      <w:pPr>
        <w:pStyle w:val="TextoNormalNegritaCursivandice"/>
      </w:pPr>
      <w:r>
        <w:t>Real Decreto 804/2011, de 10 de junio. Se regula la ordenación zootécnica, sanitaria y de bienestar animal de las explotaciones equinas y se establece el plan sanitario equino</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58" w:history="1">
        <w:r w:rsidRPr="00DD47EB">
          <w:rPr>
            <w:rStyle w:val="TextoNormalCaracter"/>
          </w:rPr>
          <w:t>58/2015</w:t>
        </w:r>
      </w:hyperlink>
      <w:r>
        <w:t>.</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58" w:history="1">
        <w:r w:rsidRPr="00DD47EB">
          <w:rPr>
            <w:rStyle w:val="TextoNormalCaracter"/>
          </w:rPr>
          <w:t>58/2015</w:t>
        </w:r>
      </w:hyperlink>
      <w:r>
        <w:t>.</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58" w:history="1">
        <w:r w:rsidRPr="00DD47EB">
          <w:rPr>
            <w:rStyle w:val="TextoNormalCaracter"/>
          </w:rPr>
          <w:t>58/2015</w:t>
        </w:r>
      </w:hyperlink>
      <w:r>
        <w:t>.</w:t>
      </w:r>
    </w:p>
    <w:p w:rsidR="00DD47EB" w:rsidRDefault="00DD47EB" w:rsidP="00DD47EB">
      <w:pPr>
        <w:pStyle w:val="SangriaFrancesaArticulo"/>
      </w:pPr>
      <w:r w:rsidRPr="00DD47EB">
        <w:rPr>
          <w:rStyle w:val="TextoNormalNegritaCaracter"/>
        </w:rPr>
        <w:t>Artículo 8.2.</w:t>
      </w:r>
      <w:r w:rsidRPr="00DD47EB">
        <w:rPr>
          <w:rStyle w:val="TextoNormalCaracter"/>
        </w:rPr>
        <w:t>-</w:t>
      </w:r>
      <w:r>
        <w:t xml:space="preserve"> Sentencia </w:t>
      </w:r>
      <w:hyperlink w:anchor="SENTENCIA_2015_58" w:history="1">
        <w:r w:rsidRPr="00DD47EB">
          <w:rPr>
            <w:rStyle w:val="TextoNormalCaracter"/>
          </w:rPr>
          <w:t>58/2015</w:t>
        </w:r>
      </w:hyperlink>
      <w:r>
        <w:t>.</w:t>
      </w:r>
    </w:p>
    <w:p w:rsidR="00DD47EB" w:rsidRDefault="00DD47EB" w:rsidP="00DD47EB">
      <w:pPr>
        <w:pStyle w:val="SangriaFrancesaArticulo"/>
      </w:pPr>
      <w:r w:rsidRPr="00DD47EB">
        <w:rPr>
          <w:rStyle w:val="TextoNormalNegritaCaracter"/>
        </w:rPr>
        <w:t>Anexo III.</w:t>
      </w:r>
      <w:r w:rsidRPr="00DD47EB">
        <w:rPr>
          <w:rStyle w:val="TextoNormalCaracter"/>
        </w:rPr>
        <w:t>-</w:t>
      </w:r>
      <w:r>
        <w:t xml:space="preserve"> Sentencia </w:t>
      </w:r>
      <w:hyperlink w:anchor="SENTENCIA_2015_58" w:history="1">
        <w:r w:rsidRPr="00DD47EB">
          <w:rPr>
            <w:rStyle w:val="TextoNormalCaracter"/>
          </w:rPr>
          <w:t>58/2015</w:t>
        </w:r>
      </w:hyperlink>
      <w:r>
        <w:t>.</w:t>
      </w:r>
    </w:p>
    <w:p w:rsidR="00DD47EB" w:rsidRDefault="00DD47EB" w:rsidP="00DD47EB">
      <w:pPr>
        <w:pStyle w:val="SangriaFrancesaArticulo"/>
      </w:pPr>
      <w:r w:rsidRPr="00DD47EB">
        <w:rPr>
          <w:rStyle w:val="TextoNormalNegritaCaracter"/>
        </w:rPr>
        <w:t>Anexo IV.</w:t>
      </w:r>
      <w:r w:rsidRPr="00DD47EB">
        <w:rPr>
          <w:rStyle w:val="TextoNormalCaracter"/>
        </w:rPr>
        <w:t>-</w:t>
      </w:r>
      <w:r>
        <w:t xml:space="preserve"> Sentencia </w:t>
      </w:r>
      <w:hyperlink w:anchor="SENTENCIA_2015_58" w:history="1">
        <w:r w:rsidRPr="00DD47EB">
          <w:rPr>
            <w:rStyle w:val="TextoNormalCaracter"/>
          </w:rPr>
          <w:t>58/2015</w:t>
        </w:r>
      </w:hyperlink>
      <w:r>
        <w:t>.</w:t>
      </w:r>
    </w:p>
    <w:p w:rsidR="00DD47EB" w:rsidRDefault="00DD47EB" w:rsidP="00DD47EB">
      <w:pPr>
        <w:pStyle w:val="SangriaFrancesaArticulo"/>
      </w:pPr>
    </w:p>
    <w:p w:rsidR="00DD47EB" w:rsidRDefault="00DD47EB" w:rsidP="00DD47EB">
      <w:pPr>
        <w:pStyle w:val="TextoNormalNegritaCursivandice"/>
      </w:pPr>
      <w:r>
        <w:t>Real Decreto 189/2013, de 15 de marzo. Modifica el Real Decreto 34/2008, de 18 de enero, por el que se regulan los certificados de profesionalidad y los reales decretos por los que se establecen certificados de profesionalidad dictados en su aplicación</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61" w:history="1">
        <w:r w:rsidRPr="00DD47EB">
          <w:rPr>
            <w:rStyle w:val="TextoNormalCaracter"/>
          </w:rPr>
          <w:t>61/2015</w:t>
        </w:r>
      </w:hyperlink>
      <w:r>
        <w:t>.</w:t>
      </w:r>
    </w:p>
    <w:p w:rsidR="00DD47EB" w:rsidRDefault="00DD47EB" w:rsidP="00DD47EB">
      <w:pPr>
        <w:pStyle w:val="TextoNormal"/>
      </w:pPr>
    </w:p>
    <w:p w:rsidR="00DD47EB" w:rsidRDefault="00DD47EB" w:rsidP="00DD47EB">
      <w:pPr>
        <w:pStyle w:val="SangriaFrancesaArticulo"/>
      </w:pPr>
      <w:bookmarkStart w:id="268" w:name="INDICE22824"/>
    </w:p>
    <w:bookmarkEnd w:id="268"/>
    <w:p w:rsidR="00DD47EB" w:rsidRDefault="00DD47EB" w:rsidP="00DD47EB">
      <w:pPr>
        <w:pStyle w:val="TextoIndiceNivel2"/>
        <w:suppressAutoHyphens/>
      </w:pPr>
      <w:r>
        <w:t>B) Disposiciones de las Comunidades y Ciudades Autónomas</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B.1) Canarias</w:t>
      </w:r>
    </w:p>
    <w:p w:rsidR="00DD47EB" w:rsidRDefault="00DD47EB" w:rsidP="00DD47EB">
      <w:pPr>
        <w:pStyle w:val="TextoNormalNegritaCentrado"/>
      </w:pPr>
    </w:p>
    <w:p w:rsidR="00DD47EB" w:rsidRDefault="00DD47EB" w:rsidP="00DD47EB">
      <w:pPr>
        <w:pStyle w:val="TextoNormalNegritaCursivandice"/>
      </w:pPr>
      <w:r>
        <w:t>Decreto del Gobierno de Canarias 95/2014, de 25 de septiembre. Reglamento de las consultas a la ciudadanía en asuntos de interés general de competencia de la Comunidad Autónoma de Canarias</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137" w:history="1">
        <w:r w:rsidRPr="00DD47EB">
          <w:rPr>
            <w:rStyle w:val="TextoNormalCaracter"/>
          </w:rPr>
          <w:t>137/2015</w:t>
        </w:r>
      </w:hyperlink>
      <w:r>
        <w:t>.</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37" w:history="1">
        <w:r w:rsidRPr="00DD47EB">
          <w:rPr>
            <w:rStyle w:val="TextoNormalCaracter"/>
          </w:rPr>
          <w:t>137/2015</w:t>
        </w:r>
      </w:hyperlink>
      <w:r>
        <w:t>.</w:t>
      </w:r>
    </w:p>
    <w:p w:rsidR="00DD47EB" w:rsidRDefault="00DD47EB" w:rsidP="00DD47EB">
      <w:pPr>
        <w:pStyle w:val="SangriaFrancesaArticulo"/>
      </w:pPr>
      <w:r w:rsidRPr="00DD47EB">
        <w:rPr>
          <w:rStyle w:val="TextoNormalNegritaCaracter"/>
        </w:rPr>
        <w:t>Artículos 9 a 26.</w:t>
      </w:r>
      <w:r w:rsidRPr="00DD47EB">
        <w:rPr>
          <w:rStyle w:val="TextoNormalCaracter"/>
        </w:rPr>
        <w:t>-</w:t>
      </w:r>
      <w:r>
        <w:t xml:space="preserve"> Sentencia </w:t>
      </w:r>
      <w:hyperlink w:anchor="SENTENCIA_2015_137" w:history="1">
        <w:r w:rsidRPr="00DD47EB">
          <w:rPr>
            <w:rStyle w:val="TextoNormalCaracter"/>
          </w:rPr>
          <w:t>137/2015</w:t>
        </w:r>
      </w:hyperlink>
      <w:r>
        <w:t xml:space="preserve"> (anula).</w:t>
      </w:r>
    </w:p>
    <w:p w:rsidR="00DD47EB" w:rsidRDefault="00DD47EB" w:rsidP="00DD47EB">
      <w:pPr>
        <w:pStyle w:val="SangriaFrancesaArticulo"/>
      </w:pPr>
      <w:r w:rsidRPr="00DD47EB">
        <w:rPr>
          <w:rStyle w:val="TextoNormalNegritaCaracter"/>
        </w:rPr>
        <w:t>Disposición adicional.</w:t>
      </w:r>
      <w:r w:rsidRPr="00DD47EB">
        <w:rPr>
          <w:rStyle w:val="TextoNormalCaracter"/>
        </w:rPr>
        <w:t>-</w:t>
      </w:r>
      <w:r>
        <w:t xml:space="preserve"> Sentencia </w:t>
      </w:r>
      <w:hyperlink w:anchor="SENTENCIA_2015_137" w:history="1">
        <w:r w:rsidRPr="00DD47EB">
          <w:rPr>
            <w:rStyle w:val="TextoNormalCaracter"/>
          </w:rPr>
          <w:t>137/2015</w:t>
        </w:r>
      </w:hyperlink>
      <w:r>
        <w:t>.</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137" w:history="1">
        <w:r w:rsidRPr="00DD47EB">
          <w:rPr>
            <w:rStyle w:val="TextoNormalCaracter"/>
          </w:rPr>
          <w:t>137/2015</w:t>
        </w:r>
      </w:hyperlink>
      <w:r>
        <w:t>.</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37" w:history="1">
        <w:r w:rsidRPr="00DD47EB">
          <w:rPr>
            <w:rStyle w:val="TextoNormalCaracter"/>
          </w:rPr>
          <w:t>137/2015</w:t>
        </w:r>
      </w:hyperlink>
      <w:r>
        <w:t>.</w:t>
      </w:r>
    </w:p>
    <w:p w:rsidR="00DD47EB" w:rsidRDefault="00DD47EB" w:rsidP="00DD47EB">
      <w:pPr>
        <w:pStyle w:val="SangriaFrancesaArticulo"/>
      </w:pPr>
    </w:p>
    <w:p w:rsidR="00DD47EB" w:rsidRDefault="00DD47EB" w:rsidP="00DD47EB">
      <w:pPr>
        <w:pStyle w:val="TextoNormalNegritaCursivandice"/>
      </w:pPr>
      <w:r>
        <w:t>Decreto del Gobierno de Canarias 107/2014, de 2 de octubre. Se convoca consulta ciudadana mediante pregunta directa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7" w:history="1">
        <w:r w:rsidRPr="00DD47EB">
          <w:rPr>
            <w:rStyle w:val="TextoNormalCaracter"/>
          </w:rPr>
          <w:t>147/2015</w:t>
        </w:r>
      </w:hyperlink>
      <w:r>
        <w:t xml:space="preserve"> (anula).</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B.2) Cataluña</w:t>
      </w:r>
    </w:p>
    <w:p w:rsidR="00DD47EB" w:rsidRDefault="00DD47EB" w:rsidP="00DD47EB">
      <w:pPr>
        <w:pStyle w:val="TextoNormalNegritaCentrado"/>
      </w:pPr>
    </w:p>
    <w:p w:rsidR="00DD47EB" w:rsidRDefault="00DD47EB" w:rsidP="00DD47EB">
      <w:pPr>
        <w:pStyle w:val="TextoNormalNegritaCursivandice"/>
      </w:pPr>
      <w:r>
        <w:t>Acuerdo de la Mesa del Parlamento de Cataluña de 20 de marzo de 2012. Desestimación de la reconsideración de la resolución de 20 de marzo de 2012 por la que se acordó dejar sin efecto el acuerdo de 29 de noviembre de 2011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 de la Mesa del Parlamento de Cataluña de 27 de marzo de 2012. Desestimación de la reconsideración de la resolución de 20 de marzo de 2012 por la que se acordó dejar sin efecto el acuerdo de 29 de noviembre de 2011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 de la Mesa del Parlamento de Cataluña de 10 de abril de 2012. Toma nota del escrito de 28 de marzo de 2012 y rechazo a la solicitud de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xml:space="preserve"> (anula).</w:t>
      </w:r>
    </w:p>
    <w:p w:rsidR="00DD47EB" w:rsidRDefault="00DD47EB" w:rsidP="00DD47EB">
      <w:pPr>
        <w:pStyle w:val="SangriaFrancesaArticulo"/>
      </w:pPr>
    </w:p>
    <w:p w:rsidR="00DD47EB" w:rsidRDefault="00DD47EB" w:rsidP="00DD47EB">
      <w:pPr>
        <w:pStyle w:val="TextoNormalNegritaCursivandice"/>
      </w:pPr>
      <w:r>
        <w:t>Decreto de la Generalitat de Cataluña 129/2014, de 27 de septiembre. Convocatoria de la consulta popular no referendaria sobre el futuro político de Cataluña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32" w:history="1">
        <w:r w:rsidRPr="00DD47EB">
          <w:rPr>
            <w:rStyle w:val="TextoNormalCaracter"/>
          </w:rPr>
          <w:t>32/2015</w:t>
        </w:r>
      </w:hyperlink>
      <w:r>
        <w:t xml:space="preserve"> (anula).</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B.3) Galicia</w:t>
      </w:r>
    </w:p>
    <w:p w:rsidR="00DD47EB" w:rsidRDefault="00DD47EB" w:rsidP="00DD47EB">
      <w:pPr>
        <w:pStyle w:val="TextoNormalNegritaCentrado"/>
      </w:pPr>
    </w:p>
    <w:p w:rsidR="00DD47EB" w:rsidRDefault="00DD47EB" w:rsidP="00DD47EB">
      <w:pPr>
        <w:pStyle w:val="TextoNormalNegritaCursivandice"/>
      </w:pPr>
      <w:r>
        <w:t>Resolución de la Junta de Galicia 30 de diciembre de 2010. Acuerdo del Consejo de  la Junta de Galicia, por el que se aprueba el  catálogo priorizado de productos farmacéuticos  de la Comunidad Autónoma de Galicia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6" w:history="1">
        <w:r w:rsidRPr="00DD47EB">
          <w:rPr>
            <w:rStyle w:val="TextoNormalCaracter"/>
          </w:rPr>
          <w:t>6/2015</w:t>
        </w:r>
      </w:hyperlink>
      <w:r>
        <w:t>.</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B.4) Madrid</w:t>
      </w:r>
    </w:p>
    <w:p w:rsidR="00DD47EB" w:rsidRDefault="00DD47EB" w:rsidP="00DD47EB">
      <w:pPr>
        <w:pStyle w:val="TextoNormalNegritaCentrado"/>
      </w:pPr>
    </w:p>
    <w:p w:rsidR="00DD47EB" w:rsidRDefault="00DD47EB" w:rsidP="00DD47EB">
      <w:pPr>
        <w:pStyle w:val="TextoNormalNegritaCursivandice"/>
      </w:pPr>
      <w:r>
        <w:t>Acuerdos de la Mesa de la Asamblea de Madrid de 29 de abril y de 3 de junio de 2013. Inadmisión a trámite de las solicitudes de comparecencia 206/13 y 207/13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 w:history="1">
        <w:r w:rsidRPr="00DD47EB">
          <w:rPr>
            <w:rStyle w:val="TextoNormalCaracter"/>
          </w:rPr>
          <w:t>1/2015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Acuerdos de la Mesa de la Asamblea de Madrid de 6 de mayo y de 3 de junio de 2013. Inadmisión a trámite las preguntas de respuesta oral en Pleno 465/2013 y 466/2013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 w:history="1">
        <w:r w:rsidRPr="00DD47EB">
          <w:rPr>
            <w:rStyle w:val="TextoNormalCaracter"/>
          </w:rPr>
          <w:t>1/2015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Acuerdos de la Mesa de la Asamblea de Madrid de 13 de mayo y de 10 de junio de 2013. Inadmisión a trámite de la proposición no de ley 63/2013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 w:history="1">
        <w:r w:rsidRPr="00DD47EB">
          <w:rPr>
            <w:rStyle w:val="TextoNormalCaracter"/>
          </w:rPr>
          <w:t>1/2015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Acuerdos de la Mesa de la Asamblea de Madrid de 17 de junio de 2013 y de 24 de septiembre de 2013. Inadmisión de la proposición no de ley 87-2013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Acuerdos de la Mesa de la Asamblea de Madrid de 17 de junio de 2013 y de 24 de septiembre de 2013. Inadmisión de las comparecencias 767-2013, 768-2013 y 769-2013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Acuerdos de la Mesa de la Asamblea de Madrid de 11 de julio de 2013 y de 30 de septiembre de 2013. Inadmisión de la pregunta de respuesta escrita 1041-2013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w:t>
      </w:r>
    </w:p>
    <w:p w:rsidR="00DD47EB" w:rsidRDefault="00DD47EB" w:rsidP="00DD47EB">
      <w:pPr>
        <w:pStyle w:val="SangriaFrancesaArticulo"/>
      </w:pPr>
    </w:p>
    <w:p w:rsidR="00DD47EB" w:rsidRDefault="00DD47EB" w:rsidP="00DD47EB">
      <w:pPr>
        <w:pStyle w:val="TextoNormalNegritaCursivandice"/>
      </w:pPr>
      <w:r>
        <w:t>Acuerdos de la Mesa de la Asamblea de Madrid de 26 de agosto de 2013 y de 30 de septiembre de 2013. Inadmisión de la comparecencia 895-2013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xml:space="preserve"> (anula).</w:t>
      </w:r>
    </w:p>
    <w:p w:rsidR="00DD47EB" w:rsidRDefault="00DD47EB" w:rsidP="00DD47EB">
      <w:pPr>
        <w:pStyle w:val="SangriaFrancesaArticulo"/>
      </w:pPr>
    </w:p>
    <w:p w:rsidR="00DD47EB" w:rsidRDefault="00DD47EB" w:rsidP="00DD47EB">
      <w:pPr>
        <w:pStyle w:val="TextoNormalNegritaCursivandice"/>
      </w:pPr>
      <w:r>
        <w:t>Acuerdos de la Mesa de la Asamblea de Madrid de 26 de agosto de 2013 y de 30 de septiembre de 2013. Inadmisión de la comparecencia 925-2013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xml:space="preserve"> (anula).</w:t>
      </w:r>
    </w:p>
    <w:p w:rsidR="00DD47EB" w:rsidRDefault="00DD47EB">
      <w:pPr>
        <w:spacing w:after="160" w:line="259" w:lineRule="auto"/>
        <w:rPr>
          <w:rFonts w:ascii="Times New Roman" w:eastAsia="Times New Roman" w:hAnsi="Times New Roman" w:cs="Times New Roman"/>
          <w:sz w:val="24"/>
          <w:szCs w:val="24"/>
          <w:lang w:eastAsia="es-ES"/>
        </w:rPr>
      </w:pPr>
      <w:r>
        <w:br w:type="page"/>
      </w:r>
    </w:p>
    <w:p w:rsidR="00DD47EB" w:rsidRDefault="00DD47EB" w:rsidP="00DD47EB">
      <w:pPr>
        <w:pStyle w:val="SangriaFrancesaArticulo"/>
      </w:pPr>
    </w:p>
    <w:p w:rsidR="00DD47EB" w:rsidRDefault="00DD47EB" w:rsidP="00DD47EB">
      <w:pPr>
        <w:pStyle w:val="TextoNormal"/>
      </w:pPr>
    </w:p>
    <w:p w:rsidR="00DD47EB" w:rsidRDefault="00DD47EB" w:rsidP="00DD47EB">
      <w:pPr>
        <w:pStyle w:val="TextoNormal"/>
      </w:pPr>
    </w:p>
    <w:p w:rsidR="00DD47EB" w:rsidRDefault="00DD47EB" w:rsidP="00DD47EB">
      <w:pPr>
        <w:pStyle w:val="TextoNormal"/>
      </w:pPr>
    </w:p>
    <w:p w:rsidR="00DD47EB" w:rsidRDefault="00DD47EB" w:rsidP="00DD47EB">
      <w:pPr>
        <w:pStyle w:val="Ttulondice"/>
        <w:suppressAutoHyphens/>
      </w:pPr>
      <w:r>
        <w:t>5. ÍNDICE DE DISPOSICIONES CITADAS</w:t>
      </w: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pPr>
    </w:p>
    <w:p w:rsidR="00DD47EB" w:rsidRDefault="00DD47EB" w:rsidP="00DD47EB">
      <w:pPr>
        <w:pStyle w:val="TextoNormal"/>
      </w:pPr>
      <w:bookmarkStart w:id="269" w:name="INDICE22804"/>
      <w:bookmarkEnd w:id="269"/>
    </w:p>
    <w:p w:rsidR="00DD47EB" w:rsidRDefault="00DD47EB" w:rsidP="00DD47EB">
      <w:pPr>
        <w:pStyle w:val="TextoIndiceNivel2"/>
        <w:suppressAutoHyphens/>
      </w:pPr>
      <w:r>
        <w:t>A) Constitución</w:t>
      </w:r>
    </w:p>
    <w:p w:rsidR="00DD47EB" w:rsidRDefault="00DD47EB" w:rsidP="00DD47EB">
      <w:pPr>
        <w:pStyle w:val="TextoIndiceNivel2"/>
      </w:pPr>
    </w:p>
    <w:p w:rsidR="00DD47EB" w:rsidRDefault="00DD47EB" w:rsidP="00DD47EB">
      <w:pPr>
        <w:pStyle w:val="TextoNormalNegritaCursivandice"/>
      </w:pPr>
      <w:r>
        <w:t>Constitución española, de 27 de diciembre de 1978</w:t>
      </w:r>
    </w:p>
    <w:p w:rsidR="00DD47EB" w:rsidRDefault="00DD47EB" w:rsidP="00DD47EB">
      <w:pPr>
        <w:pStyle w:val="SangriaFrancesaArticulo"/>
      </w:pPr>
      <w:r w:rsidRPr="00DD47EB">
        <w:rPr>
          <w:rStyle w:val="TextoNormalNegritaCaracter"/>
        </w:rPr>
        <w:t>Título I.</w:t>
      </w:r>
      <w:r w:rsidRPr="00DD47EB">
        <w:rPr>
          <w:rStyle w:val="TextoNormalCaracter"/>
        </w:rPr>
        <w:t>-</w:t>
      </w:r>
      <w:r>
        <w:t xml:space="preserve"> Sentencias </w:t>
      </w:r>
      <w:hyperlink w:anchor="SENTENCIA_2015_48" w:history="1">
        <w:r w:rsidRPr="00DD47EB">
          <w:rPr>
            <w:rStyle w:val="TextoNormalCaracter"/>
          </w:rPr>
          <w:t>48/2015</w:t>
        </w:r>
      </w:hyperlink>
      <w:r>
        <w:t xml:space="preserve">, f. 3; </w:t>
      </w:r>
      <w:hyperlink w:anchor="SENTENCIA_2015_49" w:history="1">
        <w:r w:rsidRPr="00DD47EB">
          <w:rPr>
            <w:rStyle w:val="TextoNormalCaracter"/>
          </w:rPr>
          <w:t>49/2015</w:t>
        </w:r>
      </w:hyperlink>
      <w:r>
        <w:t xml:space="preserve">, f. 4, VP; </w:t>
      </w:r>
      <w:hyperlink w:anchor="SENTENCIA_2015_81" w:history="1">
        <w:r w:rsidRPr="00DD47EB">
          <w:rPr>
            <w:rStyle w:val="TextoNormalCaracter"/>
          </w:rPr>
          <w:t>81/2015</w:t>
        </w:r>
      </w:hyperlink>
      <w:r>
        <w:t xml:space="preserve">, f. 6; </w:t>
      </w:r>
      <w:hyperlink w:anchor="SENTENCIA_2015_93" w:history="1">
        <w:r w:rsidRPr="00DD47EB">
          <w:rPr>
            <w:rStyle w:val="TextoNormalCaracter"/>
          </w:rPr>
          <w:t>93/2015</w:t>
        </w:r>
      </w:hyperlink>
      <w:r>
        <w:t xml:space="preserve">, ff. 4, 5, 12; </w:t>
      </w:r>
      <w:hyperlink w:anchor="SENTENCIA_2015_104" w:history="1">
        <w:r w:rsidRPr="00DD47EB">
          <w:rPr>
            <w:rStyle w:val="TextoNormalCaracter"/>
          </w:rPr>
          <w:t>104/2015</w:t>
        </w:r>
      </w:hyperlink>
      <w:r>
        <w:t xml:space="preserve">, f. 8, VP; </w:t>
      </w:r>
      <w:hyperlink w:anchor="SENTENCIA_2015_105" w:history="1">
        <w:r w:rsidRPr="00DD47EB">
          <w:rPr>
            <w:rStyle w:val="TextoNormalCaracter"/>
          </w:rPr>
          <w:t>105/2015</w:t>
        </w:r>
      </w:hyperlink>
      <w:r>
        <w:t>, f. 1.</w:t>
      </w:r>
    </w:p>
    <w:p w:rsidR="00DD47EB" w:rsidRDefault="00DD47EB" w:rsidP="00DD47EB">
      <w:pPr>
        <w:pStyle w:val="SangriaIzquierdaArticulo"/>
      </w:pPr>
      <w:r>
        <w:t xml:space="preserve">Auto </w:t>
      </w:r>
      <w:hyperlink w:anchor="AUTO_2015_35" w:history="1">
        <w:r w:rsidRPr="00DD47EB">
          <w:rPr>
            <w:rStyle w:val="TextoNormalCaracter"/>
          </w:rPr>
          <w:t>35/2015</w:t>
        </w:r>
      </w:hyperlink>
      <w:r>
        <w:t>, f. 3.</w:t>
      </w:r>
    </w:p>
    <w:p w:rsidR="00DD47EB" w:rsidRDefault="00DD47EB" w:rsidP="00DD47EB">
      <w:pPr>
        <w:pStyle w:val="SangriaFrancesaArticulo"/>
      </w:pPr>
      <w:r w:rsidRPr="00DD47EB">
        <w:rPr>
          <w:rStyle w:val="TextoNormalNegritaCaracter"/>
        </w:rPr>
        <w:t>Título I, capítulo II.</w:t>
      </w:r>
      <w:r w:rsidRPr="00DD47EB">
        <w:rPr>
          <w:rStyle w:val="TextoNormalCaracter"/>
        </w:rPr>
        <w:t>-</w:t>
      </w:r>
      <w:r>
        <w:t xml:space="preserve"> Sentencia </w:t>
      </w:r>
      <w:hyperlink w:anchor="SENTENCIA_2015_8" w:history="1">
        <w:r w:rsidRPr="00DD47EB">
          <w:rPr>
            <w:rStyle w:val="TextoNormalCaracter"/>
          </w:rPr>
          <w:t>8/2015</w:t>
        </w:r>
      </w:hyperlink>
      <w:r>
        <w:t>, f. 2.</w:t>
      </w:r>
    </w:p>
    <w:p w:rsidR="00DD47EB" w:rsidRDefault="00DD47EB" w:rsidP="00DD47EB">
      <w:pPr>
        <w:pStyle w:val="SangriaFrancesaArticulo"/>
      </w:pPr>
      <w:r w:rsidRPr="00DD47EB">
        <w:rPr>
          <w:rStyle w:val="TextoNormalNegritaCaracter"/>
        </w:rPr>
        <w:t>Título VIII.</w:t>
      </w:r>
      <w:r w:rsidRPr="00DD47EB">
        <w:rPr>
          <w:rStyle w:val="TextoNormalCaracter"/>
        </w:rPr>
        <w:t>-</w:t>
      </w:r>
      <w:r>
        <w:t xml:space="preserve"> Sentencias </w:t>
      </w:r>
      <w:hyperlink w:anchor="SENTENCIA_2015_81" w:history="1">
        <w:r w:rsidRPr="00DD47EB">
          <w:rPr>
            <w:rStyle w:val="TextoNormalCaracter"/>
          </w:rPr>
          <w:t>81/2015</w:t>
        </w:r>
      </w:hyperlink>
      <w:r>
        <w:t xml:space="preserve">, f. 6; </w:t>
      </w:r>
      <w:hyperlink w:anchor="SENTENCIA_2015_93" w:history="1">
        <w:r w:rsidRPr="00DD47EB">
          <w:rPr>
            <w:rStyle w:val="TextoNormalCaracter"/>
          </w:rPr>
          <w:t>93/2015</w:t>
        </w:r>
      </w:hyperlink>
      <w:r>
        <w:t>, ff. 3, 4, VP II.</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140" w:history="1">
        <w:r w:rsidRPr="00DD47EB">
          <w:rPr>
            <w:rStyle w:val="TextoNormalCaracter"/>
          </w:rPr>
          <w:t>140/2015</w:t>
        </w:r>
      </w:hyperlink>
      <w:r>
        <w:t>, f. 2.</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Auto </w:t>
      </w:r>
      <w:hyperlink w:anchor="AUTO_2015_74" w:history="1">
        <w:r w:rsidRPr="00DD47EB">
          <w:rPr>
            <w:rStyle w:val="TextoNormalCaracter"/>
          </w:rPr>
          <w:t>74/2015</w:t>
        </w:r>
      </w:hyperlink>
      <w:r>
        <w:t>, ff. 1 a 3.</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Sentencias </w:t>
      </w:r>
      <w:hyperlink w:anchor="SENTENCIA_2015_8" w:history="1">
        <w:r w:rsidRPr="00DD47EB">
          <w:rPr>
            <w:rStyle w:val="TextoNormalCaracter"/>
          </w:rPr>
          <w:t>8/2015</w:t>
        </w:r>
      </w:hyperlink>
      <w:r>
        <w:t xml:space="preserve">, f. 2; </w:t>
      </w:r>
      <w:hyperlink w:anchor="SENTENCIA_2015_15" w:history="1">
        <w:r w:rsidRPr="00DD47EB">
          <w:rPr>
            <w:rStyle w:val="TextoNormalCaracter"/>
          </w:rPr>
          <w:t>15/2015</w:t>
        </w:r>
      </w:hyperlink>
      <w:r>
        <w:t xml:space="preserve">, ff. 3, 6; </w:t>
      </w:r>
      <w:hyperlink w:anchor="SENTENCIA_2015_24" w:history="1">
        <w:r w:rsidRPr="00DD47EB">
          <w:rPr>
            <w:rStyle w:val="TextoNormalCaracter"/>
          </w:rPr>
          <w:t>24/2015</w:t>
        </w:r>
      </w:hyperlink>
      <w:r>
        <w:t xml:space="preserve">, f. 4; </w:t>
      </w:r>
      <w:hyperlink w:anchor="SENTENCIA_2015_31" w:history="1">
        <w:r w:rsidRPr="00DD47EB">
          <w:rPr>
            <w:rStyle w:val="TextoNormalCaracter"/>
          </w:rPr>
          <w:t>31/2015</w:t>
        </w:r>
      </w:hyperlink>
      <w:r>
        <w:t xml:space="preserve">, f. 3; </w:t>
      </w:r>
      <w:hyperlink w:anchor="SENTENCIA_2015_49" w:history="1">
        <w:r w:rsidRPr="00DD47EB">
          <w:rPr>
            <w:rStyle w:val="TextoNormalCaracter"/>
          </w:rPr>
          <w:t>49/2015</w:t>
        </w:r>
      </w:hyperlink>
      <w:r>
        <w:t xml:space="preserve">, VP; </w:t>
      </w:r>
      <w:hyperlink w:anchor="SENTENCIA_2015_57" w:history="1">
        <w:r w:rsidRPr="00DD47EB">
          <w:rPr>
            <w:rStyle w:val="TextoNormalCaracter"/>
          </w:rPr>
          <w:t>57/2015</w:t>
        </w:r>
      </w:hyperlink>
      <w:r>
        <w:t xml:space="preserve">, f. 18; </w:t>
      </w:r>
      <w:hyperlink w:anchor="SENTENCIA_2015_65" w:history="1">
        <w:r w:rsidRPr="00DD47EB">
          <w:rPr>
            <w:rStyle w:val="TextoNormalCaracter"/>
          </w:rPr>
          <w:t>65/2015</w:t>
        </w:r>
      </w:hyperlink>
      <w:r>
        <w:t xml:space="preserve">, f. 3; </w:t>
      </w:r>
      <w:hyperlink w:anchor="SENTENCIA_2015_92" w:history="1">
        <w:r w:rsidRPr="00DD47EB">
          <w:rPr>
            <w:rStyle w:val="TextoNormalCaracter"/>
          </w:rPr>
          <w:t>92/2015</w:t>
        </w:r>
      </w:hyperlink>
      <w:r>
        <w:t xml:space="preserve">, f. 11; </w:t>
      </w:r>
      <w:hyperlink w:anchor="SENTENCIA_2015_93" w:history="1">
        <w:r w:rsidRPr="00DD47EB">
          <w:rPr>
            <w:rStyle w:val="TextoNormalCaracter"/>
          </w:rPr>
          <w:t>93/2015</w:t>
        </w:r>
      </w:hyperlink>
      <w:r>
        <w:t xml:space="preserve">, ff. 4, 5, 7, 12, 13; </w:t>
      </w:r>
      <w:hyperlink w:anchor="SENTENCIA_2015_95" w:history="1">
        <w:r w:rsidRPr="00DD47EB">
          <w:rPr>
            <w:rStyle w:val="TextoNormalCaracter"/>
          </w:rPr>
          <w:t>95/2015</w:t>
        </w:r>
      </w:hyperlink>
      <w:r>
        <w:t xml:space="preserve">, f. 2; </w:t>
      </w:r>
      <w:hyperlink w:anchor="SENTENCIA_2015_107" w:history="1">
        <w:r w:rsidRPr="00DD47EB">
          <w:rPr>
            <w:rStyle w:val="TextoNormalCaracter"/>
          </w:rPr>
          <w:t>107/2015</w:t>
        </w:r>
      </w:hyperlink>
      <w:r>
        <w:t xml:space="preserve">, ff. 2, 3; </w:t>
      </w:r>
      <w:hyperlink w:anchor="SENTENCIA_2015_147" w:history="1">
        <w:r w:rsidRPr="00DD47EB">
          <w:rPr>
            <w:rStyle w:val="TextoNormalCaracter"/>
          </w:rPr>
          <w:t>147/2015</w:t>
        </w:r>
      </w:hyperlink>
      <w:r>
        <w:t>, f. 1.</w:t>
      </w:r>
    </w:p>
    <w:p w:rsidR="00DD47EB" w:rsidRDefault="00DD47EB" w:rsidP="00DD47EB">
      <w:pPr>
        <w:pStyle w:val="SangriaIzquierdaArticulo"/>
      </w:pPr>
      <w:r>
        <w:t xml:space="preserve">Autos </w:t>
      </w:r>
      <w:hyperlink w:anchor="AUTO_2015_80" w:history="1">
        <w:r w:rsidRPr="00DD47EB">
          <w:rPr>
            <w:rStyle w:val="TextoNormalCaracter"/>
          </w:rPr>
          <w:t>80/2015</w:t>
        </w:r>
      </w:hyperlink>
      <w:r>
        <w:t xml:space="preserve">, f. 2; </w:t>
      </w:r>
      <w:hyperlink w:anchor="AUTO_2015_101" w:history="1">
        <w:r w:rsidRPr="00DD47EB">
          <w:rPr>
            <w:rStyle w:val="TextoNormalCaracter"/>
          </w:rPr>
          <w:t>101/2015</w:t>
        </w:r>
      </w:hyperlink>
      <w:r>
        <w:t>, f. 2.</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Sentencias </w:t>
      </w:r>
      <w:hyperlink w:anchor="SENTENCIA_2015_31" w:history="1">
        <w:r w:rsidRPr="00DD47EB">
          <w:rPr>
            <w:rStyle w:val="TextoNormalCaracter"/>
          </w:rPr>
          <w:t>31/2015</w:t>
        </w:r>
      </w:hyperlink>
      <w:r>
        <w:t xml:space="preserve">, f. 5; </w:t>
      </w:r>
      <w:hyperlink w:anchor="SENTENCIA_2015_32" w:history="1">
        <w:r w:rsidRPr="00DD47EB">
          <w:rPr>
            <w:rStyle w:val="TextoNormalCaracter"/>
          </w:rPr>
          <w:t>32/2015</w:t>
        </w:r>
      </w:hyperlink>
      <w:r>
        <w:t xml:space="preserve">, f. 1; </w:t>
      </w:r>
      <w:hyperlink w:anchor="SENTENCIA_2015_65" w:history="1">
        <w:r w:rsidRPr="00DD47EB">
          <w:rPr>
            <w:rStyle w:val="TextoNormalCaracter"/>
          </w:rPr>
          <w:t>65/2015</w:t>
        </w:r>
      </w:hyperlink>
      <w:r>
        <w:t xml:space="preserve">, VP II; </w:t>
      </w:r>
      <w:hyperlink w:anchor="SENTENCIA_2015_138" w:history="1">
        <w:r w:rsidRPr="00DD47EB">
          <w:rPr>
            <w:rStyle w:val="TextoNormalCaracter"/>
          </w:rPr>
          <w:t>138/2015</w:t>
        </w:r>
      </w:hyperlink>
      <w:r>
        <w:t>, ff. 1, 4.</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19" w:history="1">
        <w:r w:rsidRPr="00DD47EB">
          <w:rPr>
            <w:rStyle w:val="TextoNormalCaracter"/>
          </w:rPr>
          <w:t>19/2015</w:t>
        </w:r>
      </w:hyperlink>
      <w:r>
        <w:t>, f. 2.</w:t>
      </w:r>
    </w:p>
    <w:p w:rsidR="00DD47EB" w:rsidRDefault="00DD47EB" w:rsidP="00DD47EB">
      <w:pPr>
        <w:pStyle w:val="SangriaIzquierdaArticulo"/>
      </w:pPr>
      <w:r>
        <w:t xml:space="preserve">Auto </w:t>
      </w:r>
      <w:hyperlink w:anchor="AUTO_2015_35" w:history="1">
        <w:r w:rsidRPr="00DD47EB">
          <w:rPr>
            <w:rStyle w:val="TextoNormalCaracter"/>
          </w:rPr>
          <w:t>35/2015</w:t>
        </w:r>
      </w:hyperlink>
      <w:r>
        <w:t>, ff. 1, 3.</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Sentencias </w:t>
      </w:r>
      <w:hyperlink w:anchor="SENTENCIA_2015_13" w:history="1">
        <w:r w:rsidRPr="00DD47EB">
          <w:rPr>
            <w:rStyle w:val="TextoNormalCaracter"/>
          </w:rPr>
          <w:t>13/2015</w:t>
        </w:r>
      </w:hyperlink>
      <w:r>
        <w:t xml:space="preserve">, f. 1; </w:t>
      </w:r>
      <w:hyperlink w:anchor="SENTENCIA_2015_15" w:history="1">
        <w:r w:rsidRPr="00DD47EB">
          <w:rPr>
            <w:rStyle w:val="TextoNormalCaracter"/>
          </w:rPr>
          <w:t>15/2015</w:t>
        </w:r>
      </w:hyperlink>
      <w:r>
        <w:t xml:space="preserve">, ff. 3, 5; </w:t>
      </w:r>
      <w:hyperlink w:anchor="SENTENCIA_2015_32" w:history="1">
        <w:r w:rsidRPr="00DD47EB">
          <w:rPr>
            <w:rStyle w:val="TextoNormalCaracter"/>
          </w:rPr>
          <w:t>32/2015</w:t>
        </w:r>
      </w:hyperlink>
      <w:r>
        <w:t xml:space="preserve">, f. 1; </w:t>
      </w:r>
      <w:hyperlink w:anchor="SENTENCIA_2015_46" w:history="1">
        <w:r w:rsidRPr="00DD47EB">
          <w:rPr>
            <w:rStyle w:val="TextoNormalCaracter"/>
          </w:rPr>
          <w:t>46/2015</w:t>
        </w:r>
      </w:hyperlink>
      <w:r>
        <w:t xml:space="preserve">, f. 1; </w:t>
      </w:r>
      <w:hyperlink w:anchor="SENTENCIA_2015_93" w:history="1">
        <w:r w:rsidRPr="00DD47EB">
          <w:rPr>
            <w:rStyle w:val="TextoNormalCaracter"/>
          </w:rPr>
          <w:t>93/2015</w:t>
        </w:r>
      </w:hyperlink>
      <w:r>
        <w:t xml:space="preserve">, VP I; </w:t>
      </w:r>
      <w:hyperlink w:anchor="SENTENCIA_2015_138" w:history="1">
        <w:r w:rsidRPr="00DD47EB">
          <w:rPr>
            <w:rStyle w:val="TextoNormalCaracter"/>
          </w:rPr>
          <w:t>138/2015</w:t>
        </w:r>
      </w:hyperlink>
      <w:r>
        <w:t>, ff. 1, 4.</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28" w:history="1">
        <w:r w:rsidRPr="00DD47EB">
          <w:rPr>
            <w:rStyle w:val="TextoNormalCaracter"/>
          </w:rPr>
          <w:t>28/2015</w:t>
        </w:r>
      </w:hyperlink>
      <w:r>
        <w:t>, f. 1.</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8" w:history="1">
        <w:r w:rsidRPr="00DD47EB">
          <w:rPr>
            <w:rStyle w:val="TextoNormalCaracter"/>
          </w:rPr>
          <w:t>8/2015</w:t>
        </w:r>
      </w:hyperlink>
      <w:r>
        <w:t>, ff. 2, 6.</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Sentencias </w:t>
      </w:r>
      <w:hyperlink w:anchor="SENTENCIA_2015_28" w:history="1">
        <w:r w:rsidRPr="00DD47EB">
          <w:rPr>
            <w:rStyle w:val="TextoNormalCaracter"/>
          </w:rPr>
          <w:t>28/2015</w:t>
        </w:r>
      </w:hyperlink>
      <w:r>
        <w:t xml:space="preserve">, f. 2; </w:t>
      </w:r>
      <w:hyperlink w:anchor="SENTENCIA_2015_45" w:history="1">
        <w:r w:rsidRPr="00DD47EB">
          <w:rPr>
            <w:rStyle w:val="TextoNormalCaracter"/>
          </w:rPr>
          <w:t>45/2015</w:t>
        </w:r>
      </w:hyperlink>
      <w:r>
        <w:t xml:space="preserve">, f. 1; </w:t>
      </w:r>
      <w:hyperlink w:anchor="SENTENCIA_2015_53" w:history="1">
        <w:r w:rsidRPr="00DD47EB">
          <w:rPr>
            <w:rStyle w:val="TextoNormalCaracter"/>
          </w:rPr>
          <w:t>53/2015</w:t>
        </w:r>
      </w:hyperlink>
      <w:r>
        <w:t>, f. 1.</w:t>
      </w:r>
    </w:p>
    <w:p w:rsidR="00DD47EB" w:rsidRDefault="00DD47EB" w:rsidP="00DD47EB">
      <w:pPr>
        <w:pStyle w:val="SangriaFrancesaArticulo"/>
      </w:pPr>
      <w:r w:rsidRPr="00DD47EB">
        <w:rPr>
          <w:rStyle w:val="TextoNormalNegritaCaracter"/>
        </w:rPr>
        <w:t>Artículo 9.1.</w:t>
      </w:r>
      <w:r w:rsidRPr="00DD47EB">
        <w:rPr>
          <w:rStyle w:val="TextoNormalCaracter"/>
        </w:rPr>
        <w:t>-</w:t>
      </w:r>
      <w:r>
        <w:t xml:space="preserve"> Sentencias </w:t>
      </w:r>
      <w:hyperlink w:anchor="SENTENCIA_2015_28" w:history="1">
        <w:r w:rsidRPr="00DD47EB">
          <w:rPr>
            <w:rStyle w:val="TextoNormalCaracter"/>
          </w:rPr>
          <w:t>28/2015</w:t>
        </w:r>
      </w:hyperlink>
      <w:r>
        <w:t xml:space="preserve">, f. 1; </w:t>
      </w:r>
      <w:hyperlink w:anchor="SENTENCIA_2015_31" w:history="1">
        <w:r w:rsidRPr="00DD47EB">
          <w:rPr>
            <w:rStyle w:val="TextoNormalCaracter"/>
          </w:rPr>
          <w:t>31/2015</w:t>
        </w:r>
      </w:hyperlink>
      <w:r>
        <w:t xml:space="preserve">, f. 5; </w:t>
      </w:r>
      <w:hyperlink w:anchor="SENTENCIA_2015_32" w:history="1">
        <w:r w:rsidRPr="00DD47EB">
          <w:rPr>
            <w:rStyle w:val="TextoNormalCaracter"/>
          </w:rPr>
          <w:t>32/2015</w:t>
        </w:r>
      </w:hyperlink>
      <w:r>
        <w:t xml:space="preserve">, f. 1; </w:t>
      </w:r>
      <w:hyperlink w:anchor="SENTENCIA_2015_145" w:history="1">
        <w:r w:rsidRPr="00DD47EB">
          <w:rPr>
            <w:rStyle w:val="TextoNormalCaracter"/>
          </w:rPr>
          <w:t>145/2015</w:t>
        </w:r>
      </w:hyperlink>
      <w:r>
        <w:t>, VP II.</w:t>
      </w:r>
    </w:p>
    <w:p w:rsidR="00DD47EB" w:rsidRDefault="00DD47EB" w:rsidP="00DD47EB">
      <w:pPr>
        <w:pStyle w:val="SangriaFrancesaArticulo"/>
      </w:pPr>
      <w:r w:rsidRPr="00DD47EB">
        <w:rPr>
          <w:rStyle w:val="TextoNormalNegritaCaracter"/>
        </w:rPr>
        <w:t>Artículo 9.2.</w:t>
      </w:r>
      <w:r w:rsidRPr="00DD47EB">
        <w:rPr>
          <w:rStyle w:val="TextoNormalCaracter"/>
        </w:rPr>
        <w:t>-</w:t>
      </w:r>
      <w:r>
        <w:t xml:space="preserve"> Sentencias </w:t>
      </w:r>
      <w:hyperlink w:anchor="SENTENCIA_2015_8" w:history="1">
        <w:r w:rsidRPr="00DD47EB">
          <w:rPr>
            <w:rStyle w:val="TextoNormalCaracter"/>
          </w:rPr>
          <w:t>8/2015</w:t>
        </w:r>
      </w:hyperlink>
      <w:r>
        <w:t xml:space="preserve">, ff. 2, 10; </w:t>
      </w:r>
      <w:hyperlink w:anchor="SENTENCIA_2015_31" w:history="1">
        <w:r w:rsidRPr="00DD47EB">
          <w:rPr>
            <w:rStyle w:val="TextoNormalCaracter"/>
          </w:rPr>
          <w:t>31/2015</w:t>
        </w:r>
      </w:hyperlink>
      <w:r>
        <w:t xml:space="preserve">, ff. 2, 4, 5; </w:t>
      </w:r>
      <w:hyperlink w:anchor="SENTENCIA_2015_103" w:history="1">
        <w:r w:rsidRPr="00DD47EB">
          <w:rPr>
            <w:rStyle w:val="TextoNormalCaracter"/>
          </w:rPr>
          <w:t>103/2015</w:t>
        </w:r>
      </w:hyperlink>
      <w:r>
        <w:t xml:space="preserve">, f. 9; </w:t>
      </w:r>
      <w:hyperlink w:anchor="SENTENCIA_2015_110" w:history="1">
        <w:r w:rsidRPr="00DD47EB">
          <w:rPr>
            <w:rStyle w:val="TextoNormalCaracter"/>
          </w:rPr>
          <w:t>110/2015</w:t>
        </w:r>
      </w:hyperlink>
      <w:r>
        <w:t xml:space="preserve">, f. 8; </w:t>
      </w:r>
      <w:hyperlink w:anchor="SENTENCIA_2015_137" w:history="1">
        <w:r w:rsidRPr="00DD47EB">
          <w:rPr>
            <w:rStyle w:val="TextoNormalCaracter"/>
          </w:rPr>
          <w:t>137/2015</w:t>
        </w:r>
      </w:hyperlink>
      <w:r>
        <w:t>, ff. 1, 3, 4.</w:t>
      </w:r>
    </w:p>
    <w:p w:rsidR="00DD47EB" w:rsidRDefault="00DD47EB" w:rsidP="00DD47EB">
      <w:pPr>
        <w:pStyle w:val="SangriaFrancesaArticulo"/>
      </w:pPr>
      <w:r w:rsidRPr="00DD47EB">
        <w:rPr>
          <w:rStyle w:val="TextoNormalNegritaCaracter"/>
        </w:rPr>
        <w:t>Artículo 9.3.</w:t>
      </w:r>
      <w:r w:rsidRPr="00DD47EB">
        <w:rPr>
          <w:rStyle w:val="TextoNormalCaracter"/>
        </w:rPr>
        <w:t>-</w:t>
      </w:r>
      <w:r>
        <w:t xml:space="preserve"> Sentencias </w:t>
      </w:r>
      <w:hyperlink w:anchor="SENTENCIA_2015_7" w:history="1">
        <w:r w:rsidRPr="00DD47EB">
          <w:rPr>
            <w:rStyle w:val="TextoNormalCaracter"/>
          </w:rPr>
          <w:t>7/2015</w:t>
        </w:r>
      </w:hyperlink>
      <w:r>
        <w:t xml:space="preserve">, VP; </w:t>
      </w:r>
      <w:hyperlink w:anchor="SENTENCIA_2015_13" w:history="1">
        <w:r w:rsidRPr="00DD47EB">
          <w:rPr>
            <w:rStyle w:val="TextoNormalCaracter"/>
          </w:rPr>
          <w:t>13/2015</w:t>
        </w:r>
      </w:hyperlink>
      <w:r>
        <w:t xml:space="preserve">, f. 1; </w:t>
      </w:r>
      <w:hyperlink w:anchor="SENTENCIA_2015_25" w:history="1">
        <w:r w:rsidRPr="00DD47EB">
          <w:rPr>
            <w:rStyle w:val="TextoNormalCaracter"/>
          </w:rPr>
          <w:t>25/2015</w:t>
        </w:r>
      </w:hyperlink>
      <w:r>
        <w:t xml:space="preserve">, VP I; </w:t>
      </w:r>
      <w:hyperlink w:anchor="SENTENCIA_2015_28" w:history="1">
        <w:r w:rsidRPr="00DD47EB">
          <w:rPr>
            <w:rStyle w:val="TextoNormalCaracter"/>
          </w:rPr>
          <w:t>28/2015</w:t>
        </w:r>
      </w:hyperlink>
      <w:r>
        <w:t xml:space="preserve">, f. 1; </w:t>
      </w:r>
      <w:hyperlink w:anchor="SENTENCIA_2015_44" w:history="1">
        <w:r w:rsidRPr="00DD47EB">
          <w:rPr>
            <w:rStyle w:val="TextoNormalCaracter"/>
          </w:rPr>
          <w:t>44/2015</w:t>
        </w:r>
      </w:hyperlink>
      <w:r>
        <w:t xml:space="preserve">, ff. 2 a 4; </w:t>
      </w:r>
      <w:hyperlink w:anchor="SENTENCIA_2015_47" w:history="1">
        <w:r w:rsidRPr="00DD47EB">
          <w:rPr>
            <w:rStyle w:val="TextoNormalCaracter"/>
          </w:rPr>
          <w:t>47/2015</w:t>
        </w:r>
      </w:hyperlink>
      <w:r>
        <w:t xml:space="preserve">, ff. 1, 2; </w:t>
      </w:r>
      <w:hyperlink w:anchor="SENTENCIA_2015_48" w:history="1">
        <w:r w:rsidRPr="00DD47EB">
          <w:rPr>
            <w:rStyle w:val="TextoNormalCaracter"/>
          </w:rPr>
          <w:t>48/2015</w:t>
        </w:r>
      </w:hyperlink>
      <w:r>
        <w:t xml:space="preserve">, ff. 1, 2, VP; </w:t>
      </w:r>
      <w:hyperlink w:anchor="SENTENCIA_2015_49" w:history="1">
        <w:r w:rsidRPr="00DD47EB">
          <w:rPr>
            <w:rStyle w:val="TextoNormalCaracter"/>
          </w:rPr>
          <w:t>49/2015</w:t>
        </w:r>
      </w:hyperlink>
      <w:r>
        <w:t xml:space="preserve">, ff. 1, 4, 5, VP; </w:t>
      </w:r>
      <w:hyperlink w:anchor="SENTENCIA_2015_50" w:history="1">
        <w:r w:rsidRPr="00DD47EB">
          <w:rPr>
            <w:rStyle w:val="TextoNormalCaracter"/>
          </w:rPr>
          <w:t>50/2015</w:t>
        </w:r>
      </w:hyperlink>
      <w:r>
        <w:t xml:space="preserve">, ff. 1, 6; </w:t>
      </w:r>
      <w:hyperlink w:anchor="SENTENCIA_2015_57" w:history="1">
        <w:r w:rsidRPr="00DD47EB">
          <w:rPr>
            <w:rStyle w:val="TextoNormalCaracter"/>
          </w:rPr>
          <w:t>57/2015</w:t>
        </w:r>
      </w:hyperlink>
      <w:r>
        <w:t xml:space="preserve">, f. 12, 18; </w:t>
      </w:r>
      <w:hyperlink w:anchor="SENTENCIA_2015_60" w:history="1">
        <w:r w:rsidRPr="00DD47EB">
          <w:rPr>
            <w:rStyle w:val="TextoNormalCaracter"/>
          </w:rPr>
          <w:t>60/2015</w:t>
        </w:r>
      </w:hyperlink>
      <w:r>
        <w:t xml:space="preserve">, f. 6; </w:t>
      </w:r>
      <w:hyperlink w:anchor="SENTENCIA_2015_73" w:history="1">
        <w:r w:rsidRPr="00DD47EB">
          <w:rPr>
            <w:rStyle w:val="TextoNormalCaracter"/>
          </w:rPr>
          <w:t>73/2015</w:t>
        </w:r>
      </w:hyperlink>
      <w:r>
        <w:t xml:space="preserve">, f. 3; </w:t>
      </w:r>
      <w:hyperlink w:anchor="SENTENCIA_2015_84" w:history="1">
        <w:r w:rsidRPr="00DD47EB">
          <w:rPr>
            <w:rStyle w:val="TextoNormalCaracter"/>
          </w:rPr>
          <w:t>84/2015</w:t>
        </w:r>
      </w:hyperlink>
      <w:r>
        <w:t xml:space="preserve">, ff. 2, 3, 5, 6; </w:t>
      </w:r>
      <w:hyperlink w:anchor="SENTENCIA_2015_95" w:history="1">
        <w:r w:rsidRPr="00DD47EB">
          <w:rPr>
            <w:rStyle w:val="TextoNormalCaracter"/>
          </w:rPr>
          <w:t>95/2015</w:t>
        </w:r>
      </w:hyperlink>
      <w:r>
        <w:t xml:space="preserve">, ff. 1, 2, 6, VP; </w:t>
      </w:r>
      <w:hyperlink w:anchor="SENTENCIA_2015_97" w:history="1">
        <w:r w:rsidRPr="00DD47EB">
          <w:rPr>
            <w:rStyle w:val="TextoNormalCaracter"/>
          </w:rPr>
          <w:t>97/2015</w:t>
        </w:r>
      </w:hyperlink>
      <w:r>
        <w:t xml:space="preserve">, ff. 1 a 3; </w:t>
      </w:r>
      <w:hyperlink w:anchor="SENTENCIA_2015_100" w:history="1">
        <w:r w:rsidRPr="00DD47EB">
          <w:rPr>
            <w:rStyle w:val="TextoNormalCaracter"/>
          </w:rPr>
          <w:t>100/2015</w:t>
        </w:r>
      </w:hyperlink>
      <w:r>
        <w:t xml:space="preserve">, f. 3; </w:t>
      </w:r>
      <w:hyperlink w:anchor="SENTENCIA_2015_102" w:history="1">
        <w:r w:rsidRPr="00DD47EB">
          <w:rPr>
            <w:rStyle w:val="TextoNormalCaracter"/>
          </w:rPr>
          <w:t>102/2015</w:t>
        </w:r>
      </w:hyperlink>
      <w:r>
        <w:t xml:space="preserve">, f. 1; </w:t>
      </w:r>
      <w:hyperlink w:anchor="SENTENCIA_2015_105" w:history="1">
        <w:r w:rsidRPr="00DD47EB">
          <w:rPr>
            <w:rStyle w:val="TextoNormalCaracter"/>
          </w:rPr>
          <w:t>105/2015</w:t>
        </w:r>
      </w:hyperlink>
      <w:r>
        <w:t xml:space="preserve">, ff. 1, 2; </w:t>
      </w:r>
      <w:hyperlink w:anchor="SENTENCIA_2015_106" w:history="1">
        <w:r w:rsidRPr="00DD47EB">
          <w:rPr>
            <w:rStyle w:val="TextoNormalCaracter"/>
          </w:rPr>
          <w:t>106/2015</w:t>
        </w:r>
      </w:hyperlink>
      <w:r>
        <w:t xml:space="preserve">, ff. 1 a 3; </w:t>
      </w:r>
      <w:hyperlink w:anchor="SENTENCIA_2015_109" w:history="1">
        <w:r w:rsidRPr="00DD47EB">
          <w:rPr>
            <w:rStyle w:val="TextoNormalCaracter"/>
          </w:rPr>
          <w:t>109/2015</w:t>
        </w:r>
      </w:hyperlink>
      <w:r>
        <w:t xml:space="preserve">, ff. 1, 2; </w:t>
      </w:r>
      <w:hyperlink w:anchor="SENTENCIA_2015_110" w:history="1">
        <w:r w:rsidRPr="00DD47EB">
          <w:rPr>
            <w:rStyle w:val="TextoNormalCaracter"/>
          </w:rPr>
          <w:t>110/2015</w:t>
        </w:r>
      </w:hyperlink>
      <w:r>
        <w:t xml:space="preserve">, ff. 1, 2; </w:t>
      </w:r>
      <w:hyperlink w:anchor="SENTENCIA_2015_113" w:history="1">
        <w:r w:rsidRPr="00DD47EB">
          <w:rPr>
            <w:rStyle w:val="TextoNormalCaracter"/>
          </w:rPr>
          <w:t>113/2015</w:t>
        </w:r>
      </w:hyperlink>
      <w:r>
        <w:t xml:space="preserve">, ff. 1 a 3; </w:t>
      </w:r>
      <w:hyperlink w:anchor="SENTENCIA_2015_114" w:history="1">
        <w:r w:rsidRPr="00DD47EB">
          <w:rPr>
            <w:rStyle w:val="TextoNormalCaracter"/>
          </w:rPr>
          <w:t>114/2015</w:t>
        </w:r>
      </w:hyperlink>
      <w:r>
        <w:t xml:space="preserve">, ff. 1 a 3; </w:t>
      </w:r>
      <w:hyperlink w:anchor="SENTENCIA_2015_116" w:history="1">
        <w:r w:rsidRPr="00DD47EB">
          <w:rPr>
            <w:rStyle w:val="TextoNormalCaracter"/>
          </w:rPr>
          <w:t>116/2015</w:t>
        </w:r>
      </w:hyperlink>
      <w:r>
        <w:t xml:space="preserve">, ff. 1, 2; </w:t>
      </w:r>
      <w:hyperlink w:anchor="SENTENCIA_2015_117" w:history="1">
        <w:r w:rsidRPr="00DD47EB">
          <w:rPr>
            <w:rStyle w:val="TextoNormalCaracter"/>
          </w:rPr>
          <w:t>117/2015</w:t>
        </w:r>
      </w:hyperlink>
      <w:r>
        <w:t xml:space="preserve">, ff. 1 a 3; </w:t>
      </w:r>
      <w:hyperlink w:anchor="SENTENCIA_2015_118" w:history="1">
        <w:r w:rsidRPr="00DD47EB">
          <w:rPr>
            <w:rStyle w:val="TextoNormalCaracter"/>
          </w:rPr>
          <w:t>118/2015</w:t>
        </w:r>
      </w:hyperlink>
      <w:r>
        <w:t xml:space="preserve">, ff. 1, 2; </w:t>
      </w:r>
      <w:hyperlink w:anchor="SENTENCIA_2015_119" w:history="1">
        <w:r w:rsidRPr="00DD47EB">
          <w:rPr>
            <w:rStyle w:val="TextoNormalCaracter"/>
          </w:rPr>
          <w:t>119/2015</w:t>
        </w:r>
      </w:hyperlink>
      <w:r>
        <w:t xml:space="preserve">, ff. 1, 2; </w:t>
      </w:r>
      <w:hyperlink w:anchor="SENTENCIA_2015_120" w:history="1">
        <w:r w:rsidRPr="00DD47EB">
          <w:rPr>
            <w:rStyle w:val="TextoNormalCaracter"/>
          </w:rPr>
          <w:t>120/2015</w:t>
        </w:r>
      </w:hyperlink>
      <w:r>
        <w:t xml:space="preserve">, ff. 1, 2; </w:t>
      </w:r>
      <w:hyperlink w:anchor="SENTENCIA_2015_121" w:history="1">
        <w:r w:rsidRPr="00DD47EB">
          <w:rPr>
            <w:rStyle w:val="TextoNormalCaracter"/>
          </w:rPr>
          <w:t>121/2015</w:t>
        </w:r>
      </w:hyperlink>
      <w:r>
        <w:t xml:space="preserve">, ff. 1, 2; </w:t>
      </w:r>
      <w:hyperlink w:anchor="SENTENCIA_2015_122" w:history="1">
        <w:r w:rsidRPr="00DD47EB">
          <w:rPr>
            <w:rStyle w:val="TextoNormalCaracter"/>
          </w:rPr>
          <w:t>122/2015</w:t>
        </w:r>
      </w:hyperlink>
      <w:r>
        <w:t xml:space="preserve">, ff. 1, 2; </w:t>
      </w:r>
      <w:hyperlink w:anchor="SENTENCIA_2015_123" w:history="1">
        <w:r w:rsidRPr="00DD47EB">
          <w:rPr>
            <w:rStyle w:val="TextoNormalCaracter"/>
          </w:rPr>
          <w:t>123/2015</w:t>
        </w:r>
      </w:hyperlink>
      <w:r>
        <w:t xml:space="preserve">, ff. 1, 2; </w:t>
      </w:r>
      <w:hyperlink w:anchor="SENTENCIA_2015_125" w:history="1">
        <w:r w:rsidRPr="00DD47EB">
          <w:rPr>
            <w:rStyle w:val="TextoNormalCaracter"/>
          </w:rPr>
          <w:t>125/2015</w:t>
        </w:r>
      </w:hyperlink>
      <w:r>
        <w:t xml:space="preserve">, ff. 1, 2; </w:t>
      </w:r>
      <w:hyperlink w:anchor="SENTENCIA_2015_126" w:history="1">
        <w:r w:rsidRPr="00DD47EB">
          <w:rPr>
            <w:rStyle w:val="TextoNormalCaracter"/>
          </w:rPr>
          <w:t>126/2015</w:t>
        </w:r>
      </w:hyperlink>
      <w:r>
        <w:t xml:space="preserve">, ff. 1, 2; </w:t>
      </w:r>
      <w:hyperlink w:anchor="SENTENCIA_2015_127" w:history="1">
        <w:r w:rsidRPr="00DD47EB">
          <w:rPr>
            <w:rStyle w:val="TextoNormalCaracter"/>
          </w:rPr>
          <w:t>127/2015</w:t>
        </w:r>
      </w:hyperlink>
      <w:r>
        <w:t xml:space="preserve">, ff. 1, 2; </w:t>
      </w:r>
      <w:hyperlink w:anchor="SENTENCIA_2015_128" w:history="1">
        <w:r w:rsidRPr="00DD47EB">
          <w:rPr>
            <w:rStyle w:val="TextoNormalCaracter"/>
          </w:rPr>
          <w:t>128/2015</w:t>
        </w:r>
      </w:hyperlink>
      <w:r>
        <w:t xml:space="preserve">, ff. 1, 2; </w:t>
      </w:r>
      <w:hyperlink w:anchor="SENTENCIA_2015_129" w:history="1">
        <w:r w:rsidRPr="00DD47EB">
          <w:rPr>
            <w:rStyle w:val="TextoNormalCaracter"/>
          </w:rPr>
          <w:t>129/2015</w:t>
        </w:r>
      </w:hyperlink>
      <w:r>
        <w:t xml:space="preserve">, ff. 1, 2;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ff. 1, 2; </w:t>
      </w:r>
      <w:hyperlink w:anchor="SENTENCIA_2015_132" w:history="1">
        <w:r w:rsidRPr="00DD47EB">
          <w:rPr>
            <w:rStyle w:val="TextoNormalCaracter"/>
          </w:rPr>
          <w:t>132/2015</w:t>
        </w:r>
      </w:hyperlink>
      <w:r>
        <w:t xml:space="preserve">, ff. 1, 2; </w:t>
      </w:r>
      <w:hyperlink w:anchor="SENTENCIA_2015_133" w:history="1">
        <w:r w:rsidRPr="00DD47EB">
          <w:rPr>
            <w:rStyle w:val="TextoNormalCaracter"/>
          </w:rPr>
          <w:t>133/2015</w:t>
        </w:r>
      </w:hyperlink>
      <w:r>
        <w:t xml:space="preserve">, ff. 1, 2; </w:t>
      </w:r>
      <w:hyperlink w:anchor="SENTENCIA_2015_134" w:history="1">
        <w:r w:rsidRPr="00DD47EB">
          <w:rPr>
            <w:rStyle w:val="TextoNormalCaracter"/>
          </w:rPr>
          <w:t>134/2015</w:t>
        </w:r>
      </w:hyperlink>
      <w:r>
        <w:t xml:space="preserve">, ff. 1, 2; </w:t>
      </w:r>
      <w:hyperlink w:anchor="SENTENCIA_2015_135" w:history="1">
        <w:r w:rsidRPr="00DD47EB">
          <w:rPr>
            <w:rStyle w:val="TextoNormalCaracter"/>
          </w:rPr>
          <w:t>135/2015</w:t>
        </w:r>
      </w:hyperlink>
      <w:r>
        <w:t xml:space="preserve">, ff. 1, 2; </w:t>
      </w:r>
      <w:hyperlink w:anchor="SENTENCIA_2015_137" w:history="1">
        <w:r w:rsidRPr="00DD47EB">
          <w:rPr>
            <w:rStyle w:val="TextoNormalCaracter"/>
          </w:rPr>
          <w:t>137/2015</w:t>
        </w:r>
      </w:hyperlink>
      <w:r>
        <w:t xml:space="preserve">, f. 1; </w:t>
      </w:r>
      <w:hyperlink w:anchor="SENTENCIA_2015_140" w:history="1">
        <w:r w:rsidRPr="00DD47EB">
          <w:rPr>
            <w:rStyle w:val="TextoNormalCaracter"/>
          </w:rPr>
          <w:t>140/2015</w:t>
        </w:r>
      </w:hyperlink>
      <w:r>
        <w:t xml:space="preserve">, ff. 1, 2, VP; </w:t>
      </w:r>
      <w:hyperlink w:anchor="SENTENCIA_2015_141" w:history="1">
        <w:r w:rsidRPr="00DD47EB">
          <w:rPr>
            <w:rStyle w:val="TextoNormalCaracter"/>
          </w:rPr>
          <w:t>141/2015</w:t>
        </w:r>
      </w:hyperlink>
      <w:r>
        <w:t xml:space="preserve">, ff. 1, 2; </w:t>
      </w:r>
      <w:hyperlink w:anchor="SENTENCIA_2015_144" w:history="1">
        <w:r w:rsidRPr="00DD47EB">
          <w:rPr>
            <w:rStyle w:val="TextoNormalCaracter"/>
          </w:rPr>
          <w:t>144/2015</w:t>
        </w:r>
      </w:hyperlink>
      <w:r>
        <w:t>, ff. 1, 2, VP.</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 1; </w:t>
      </w:r>
      <w:hyperlink w:anchor="AUTO_2015_10" w:history="1">
        <w:r w:rsidRPr="00DD47EB">
          <w:rPr>
            <w:rStyle w:val="TextoNormalCaracter"/>
          </w:rPr>
          <w:t>10/2015</w:t>
        </w:r>
      </w:hyperlink>
      <w:r>
        <w:t xml:space="preserve">, f. 1; </w:t>
      </w:r>
      <w:hyperlink w:anchor="AUTO_2015_20" w:history="1">
        <w:r w:rsidRPr="00DD47EB">
          <w:rPr>
            <w:rStyle w:val="TextoNormalCaracter"/>
          </w:rPr>
          <w:t>20/2015</w:t>
        </w:r>
      </w:hyperlink>
      <w:r>
        <w:t xml:space="preserve">, ff. 1, 4; </w:t>
      </w:r>
      <w:hyperlink w:anchor="AUTO_2015_33" w:history="1">
        <w:r w:rsidRPr="00DD47EB">
          <w:rPr>
            <w:rStyle w:val="TextoNormalCaracter"/>
          </w:rPr>
          <w:t>33/2015</w:t>
        </w:r>
      </w:hyperlink>
      <w:r>
        <w:t xml:space="preserve">, ff. 1, 2, 4, 5; </w:t>
      </w:r>
      <w:hyperlink w:anchor="AUTO_2015_34" w:history="1">
        <w:r w:rsidRPr="00DD47EB">
          <w:rPr>
            <w:rStyle w:val="TextoNormalCaracter"/>
          </w:rPr>
          <w:t>34/2015</w:t>
        </w:r>
      </w:hyperlink>
      <w:r>
        <w:t xml:space="preserve">, ff. 1, 2, 4, 5; </w:t>
      </w:r>
      <w:hyperlink w:anchor="AUTO_2015_35" w:history="1">
        <w:r w:rsidRPr="00DD47EB">
          <w:rPr>
            <w:rStyle w:val="TextoNormalCaracter"/>
          </w:rPr>
          <w:t>35/2015</w:t>
        </w:r>
      </w:hyperlink>
      <w:r>
        <w:t xml:space="preserve">, ff. 1, 3; </w:t>
      </w:r>
      <w:hyperlink w:anchor="AUTO_2015_111" w:history="1">
        <w:r w:rsidRPr="00DD47EB">
          <w:rPr>
            <w:rStyle w:val="TextoNormalCaracter"/>
          </w:rPr>
          <w:t>111/2015</w:t>
        </w:r>
      </w:hyperlink>
      <w:r>
        <w:t>, ff. 1, 2.</w:t>
      </w:r>
    </w:p>
    <w:p w:rsidR="00DD47EB" w:rsidRDefault="00DD47EB" w:rsidP="00DD47EB">
      <w:pPr>
        <w:pStyle w:val="SangriaFrancesaArticulo"/>
      </w:pPr>
      <w:r w:rsidRPr="00DD47EB">
        <w:rPr>
          <w:rStyle w:val="TextoNormalNegritaCaracter"/>
        </w:rPr>
        <w:t>Artículo 9.3</w:t>
      </w:r>
      <w:r>
        <w:t xml:space="preserve"> (interdicción de la arbitrariedad de los poderes públicos)</w:t>
      </w:r>
      <w:r w:rsidRPr="00DD47EB">
        <w:rPr>
          <w:rStyle w:val="TextoNormalNegritaCaracter"/>
        </w:rPr>
        <w:t>.</w:t>
      </w:r>
      <w:r w:rsidRPr="00DD47EB">
        <w:rPr>
          <w:rStyle w:val="TextoNormalCaracter"/>
        </w:rPr>
        <w:t>-</w:t>
      </w:r>
      <w:r>
        <w:t xml:space="preserve"> Sentencias </w:t>
      </w:r>
      <w:hyperlink w:anchor="SENTENCIA_2015_15" w:history="1">
        <w:r w:rsidRPr="00DD47EB">
          <w:rPr>
            <w:rStyle w:val="TextoNormalCaracter"/>
          </w:rPr>
          <w:t>15/2015</w:t>
        </w:r>
      </w:hyperlink>
      <w:r>
        <w:t xml:space="preserve">, ff. 3, 4; </w:t>
      </w:r>
      <w:hyperlink w:anchor="SENTENCIA_2015_28" w:history="1">
        <w:r w:rsidRPr="00DD47EB">
          <w:rPr>
            <w:rStyle w:val="TextoNormalCaracter"/>
          </w:rPr>
          <w:t>28/2015</w:t>
        </w:r>
      </w:hyperlink>
      <w:r>
        <w:t xml:space="preserve">, f. 1; </w:t>
      </w:r>
      <w:hyperlink w:anchor="SENTENCIA_2015_44" w:history="1">
        <w:r w:rsidRPr="00DD47EB">
          <w:rPr>
            <w:rStyle w:val="TextoNormalCaracter"/>
          </w:rPr>
          <w:t>44/2015</w:t>
        </w:r>
      </w:hyperlink>
      <w:r>
        <w:t xml:space="preserve">, ff. 4, 5; </w:t>
      </w:r>
      <w:hyperlink w:anchor="SENTENCIA_2015_47" w:history="1">
        <w:r w:rsidRPr="00DD47EB">
          <w:rPr>
            <w:rStyle w:val="TextoNormalCaracter"/>
          </w:rPr>
          <w:t>47/2015</w:t>
        </w:r>
      </w:hyperlink>
      <w:r>
        <w:t xml:space="preserve">, f. 2; </w:t>
      </w:r>
      <w:hyperlink w:anchor="SENTENCIA_2015_59" w:history="1">
        <w:r w:rsidRPr="00DD47EB">
          <w:rPr>
            <w:rStyle w:val="TextoNormalCaracter"/>
          </w:rPr>
          <w:t>59/2015</w:t>
        </w:r>
      </w:hyperlink>
      <w:r>
        <w:t xml:space="preserve">, f. 1; </w:t>
      </w:r>
      <w:hyperlink w:anchor="SENTENCIA_2015_73" w:history="1">
        <w:r w:rsidRPr="00DD47EB">
          <w:rPr>
            <w:rStyle w:val="TextoNormalCaracter"/>
          </w:rPr>
          <w:t>73/2015</w:t>
        </w:r>
      </w:hyperlink>
      <w:r>
        <w:t xml:space="preserve">, f. 1; </w:t>
      </w:r>
      <w:hyperlink w:anchor="SENTENCIA_2015_100" w:history="1">
        <w:r w:rsidRPr="00DD47EB">
          <w:rPr>
            <w:rStyle w:val="TextoNormalCaracter"/>
          </w:rPr>
          <w:t>100/2015</w:t>
        </w:r>
      </w:hyperlink>
      <w:r>
        <w:t xml:space="preserve">, f. 1; </w:t>
      </w:r>
      <w:hyperlink w:anchor="SENTENCIA_2015_102" w:history="1">
        <w:r w:rsidRPr="00DD47EB">
          <w:rPr>
            <w:rStyle w:val="TextoNormalCaracter"/>
          </w:rPr>
          <w:t>102/2015</w:t>
        </w:r>
      </w:hyperlink>
      <w:r>
        <w:t xml:space="preserve">, f. 4; </w:t>
      </w:r>
      <w:hyperlink w:anchor="SENTENCIA_2015_110" w:history="1">
        <w:r w:rsidRPr="00DD47EB">
          <w:rPr>
            <w:rStyle w:val="TextoNormalCaracter"/>
          </w:rPr>
          <w:t>110/2015</w:t>
        </w:r>
      </w:hyperlink>
      <w:r>
        <w:t>, ff. 2, 5, 9, VP.</w:t>
      </w:r>
    </w:p>
    <w:p w:rsidR="00DD47EB" w:rsidRDefault="00DD47EB" w:rsidP="00DD47EB">
      <w:pPr>
        <w:pStyle w:val="SangriaIzquierdaArticulo"/>
      </w:pPr>
      <w:r>
        <w:t xml:space="preserve">Autos </w:t>
      </w:r>
      <w:hyperlink w:anchor="AUTO_2015_20" w:history="1">
        <w:r w:rsidRPr="00DD47EB">
          <w:rPr>
            <w:rStyle w:val="TextoNormalCaracter"/>
          </w:rPr>
          <w:t>20/2015</w:t>
        </w:r>
      </w:hyperlink>
      <w:r>
        <w:t xml:space="preserve">, ff. 1, 4, 5; </w:t>
      </w:r>
      <w:hyperlink w:anchor="AUTO_2015_33" w:history="1">
        <w:r w:rsidRPr="00DD47EB">
          <w:rPr>
            <w:rStyle w:val="TextoNormalCaracter"/>
          </w:rPr>
          <w:t>33/2015</w:t>
        </w:r>
      </w:hyperlink>
      <w:r>
        <w:t xml:space="preserve">, ff. 4, 5; </w:t>
      </w:r>
      <w:hyperlink w:anchor="AUTO_2015_34" w:history="1">
        <w:r w:rsidRPr="00DD47EB">
          <w:rPr>
            <w:rStyle w:val="TextoNormalCaracter"/>
          </w:rPr>
          <w:t>34/2015</w:t>
        </w:r>
      </w:hyperlink>
      <w:r>
        <w:t xml:space="preserve">, ff. 4, 5; </w:t>
      </w:r>
      <w:hyperlink w:anchor="AUTO_2015_35" w:history="1">
        <w:r w:rsidRPr="00DD47EB">
          <w:rPr>
            <w:rStyle w:val="TextoNormalCaracter"/>
          </w:rPr>
          <w:t>35/2015</w:t>
        </w:r>
      </w:hyperlink>
      <w:r>
        <w:t xml:space="preserve">, f. 3; </w:t>
      </w:r>
      <w:hyperlink w:anchor="AUTO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9.3</w:t>
      </w:r>
      <w:r>
        <w:t xml:space="preserve"> (irretroactividad)</w:t>
      </w:r>
      <w:r w:rsidRPr="00DD47EB">
        <w:rPr>
          <w:rStyle w:val="TextoNormalNegritaCaracter"/>
        </w:rPr>
        <w:t>.</w:t>
      </w:r>
      <w:r w:rsidRPr="00DD47EB">
        <w:rPr>
          <w:rStyle w:val="TextoNormalCaracter"/>
        </w:rPr>
        <w:t>-</w:t>
      </w:r>
      <w:r>
        <w:t xml:space="preserve"> Sentencias </w:t>
      </w:r>
      <w:hyperlink w:anchor="SENTENCIA_2015_28" w:history="1">
        <w:r w:rsidRPr="00DD47EB">
          <w:rPr>
            <w:rStyle w:val="TextoNormalCaracter"/>
          </w:rPr>
          <w:t>28/2015</w:t>
        </w:r>
      </w:hyperlink>
      <w:r>
        <w:t xml:space="preserve">, f. 1; </w:t>
      </w:r>
      <w:hyperlink w:anchor="SENTENCIA_2015_47" w:history="1">
        <w:r w:rsidRPr="00DD47EB">
          <w:rPr>
            <w:rStyle w:val="TextoNormalCaracter"/>
          </w:rPr>
          <w:t>47/2015</w:t>
        </w:r>
      </w:hyperlink>
      <w:r>
        <w:t xml:space="preserve">, f. 1; </w:t>
      </w:r>
      <w:hyperlink w:anchor="SENTENCIA_2015_73" w:history="1">
        <w:r w:rsidRPr="00DD47EB">
          <w:rPr>
            <w:rStyle w:val="TextoNormalCaracter"/>
          </w:rPr>
          <w:t>73/2015</w:t>
        </w:r>
      </w:hyperlink>
      <w:r>
        <w:t xml:space="preserve">, ff. 1, 3; </w:t>
      </w:r>
      <w:hyperlink w:anchor="SENTENCIA_2015_83" w:history="1">
        <w:r w:rsidRPr="00DD47EB">
          <w:rPr>
            <w:rStyle w:val="TextoNormalCaracter"/>
          </w:rPr>
          <w:t>83/2015</w:t>
        </w:r>
      </w:hyperlink>
      <w:r>
        <w:t xml:space="preserve">, ff. 1 a 3; </w:t>
      </w:r>
      <w:hyperlink w:anchor="SENTENCIA_2015_100" w:history="1">
        <w:r w:rsidRPr="00DD47EB">
          <w:rPr>
            <w:rStyle w:val="TextoNormalCaracter"/>
          </w:rPr>
          <w:t>100/2015</w:t>
        </w:r>
      </w:hyperlink>
      <w:r>
        <w:t xml:space="preserve">, f. 2; </w:t>
      </w:r>
      <w:hyperlink w:anchor="SENTENCIA_2015_102" w:history="1">
        <w:r w:rsidRPr="00DD47EB">
          <w:rPr>
            <w:rStyle w:val="TextoNormalCaracter"/>
          </w:rPr>
          <w:t>102/2015</w:t>
        </w:r>
      </w:hyperlink>
      <w:r>
        <w:t xml:space="preserve">, f. 4; </w:t>
      </w:r>
      <w:hyperlink w:anchor="SENTENCIA_2015_116" w:history="1">
        <w:r w:rsidRPr="00DD47EB">
          <w:rPr>
            <w:rStyle w:val="TextoNormalCaracter"/>
          </w:rPr>
          <w:t>116/2015</w:t>
        </w:r>
      </w:hyperlink>
      <w:r>
        <w:t xml:space="preserve">, f. 2; </w:t>
      </w:r>
      <w:hyperlink w:anchor="SENTENCIA_2015_118" w:history="1">
        <w:r w:rsidRPr="00DD47EB">
          <w:rPr>
            <w:rStyle w:val="TextoNormalCaracter"/>
          </w:rPr>
          <w:t>118/2015</w:t>
        </w:r>
      </w:hyperlink>
      <w:r>
        <w:t xml:space="preserve">, f. 2; </w:t>
      </w:r>
      <w:hyperlink w:anchor="SENTENCIA_2015_122" w:history="1">
        <w:r w:rsidRPr="00DD47EB">
          <w:rPr>
            <w:rStyle w:val="TextoNormalCaracter"/>
          </w:rPr>
          <w:t>122/2015</w:t>
        </w:r>
      </w:hyperlink>
      <w:r>
        <w:t xml:space="preserve">, f. 2; </w:t>
      </w:r>
      <w:hyperlink w:anchor="SENTENCIA_2015_123" w:history="1">
        <w:r w:rsidRPr="00DD47EB">
          <w:rPr>
            <w:rStyle w:val="TextoNormalCaracter"/>
          </w:rPr>
          <w:t>123/2015</w:t>
        </w:r>
      </w:hyperlink>
      <w:r>
        <w:t xml:space="preserve">, f. 2; </w:t>
      </w:r>
      <w:hyperlink w:anchor="SENTENCIA_2015_125" w:history="1">
        <w:r w:rsidRPr="00DD47EB">
          <w:rPr>
            <w:rStyle w:val="TextoNormalCaracter"/>
          </w:rPr>
          <w:t>125/2015</w:t>
        </w:r>
      </w:hyperlink>
      <w:r>
        <w:t xml:space="preserve">, f. 2; </w:t>
      </w:r>
      <w:hyperlink w:anchor="SENTENCIA_2015_127" w:history="1">
        <w:r w:rsidRPr="00DD47EB">
          <w:rPr>
            <w:rStyle w:val="TextoNormalCaracter"/>
          </w:rPr>
          <w:t>127/2015</w:t>
        </w:r>
      </w:hyperlink>
      <w:r>
        <w:t xml:space="preserve">, f. 2; </w:t>
      </w:r>
      <w:hyperlink w:anchor="SENTENCIA_2015_128" w:history="1">
        <w:r w:rsidRPr="00DD47EB">
          <w:rPr>
            <w:rStyle w:val="TextoNormalCaracter"/>
          </w:rPr>
          <w:t>128/2015</w:t>
        </w:r>
      </w:hyperlink>
      <w:r>
        <w:t xml:space="preserve">, f. 2; </w:t>
      </w:r>
      <w:hyperlink w:anchor="SENTENCIA_2015_129" w:history="1">
        <w:r w:rsidRPr="00DD47EB">
          <w:rPr>
            <w:rStyle w:val="TextoNormalCaracter"/>
          </w:rPr>
          <w:t>129/2015</w:t>
        </w:r>
      </w:hyperlink>
      <w:r>
        <w:t xml:space="preserve">;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f. 2; </w:t>
      </w:r>
      <w:hyperlink w:anchor="SENTENCIA_2015_132" w:history="1">
        <w:r w:rsidRPr="00DD47EB">
          <w:rPr>
            <w:rStyle w:val="TextoNormalCaracter"/>
          </w:rPr>
          <w:t>132/2015</w:t>
        </w:r>
      </w:hyperlink>
      <w:r>
        <w:t xml:space="preserve">, f. 2; </w:t>
      </w:r>
      <w:hyperlink w:anchor="SENTENCIA_2015_133" w:history="1">
        <w:r w:rsidRPr="00DD47EB">
          <w:rPr>
            <w:rStyle w:val="TextoNormalCaracter"/>
          </w:rPr>
          <w:t>133/2015</w:t>
        </w:r>
      </w:hyperlink>
      <w:r>
        <w:t xml:space="preserve">, f. 2; </w:t>
      </w:r>
      <w:hyperlink w:anchor="SENTENCIA_2015_134" w:history="1">
        <w:r w:rsidRPr="00DD47EB">
          <w:rPr>
            <w:rStyle w:val="TextoNormalCaracter"/>
          </w:rPr>
          <w:t>134/2015</w:t>
        </w:r>
      </w:hyperlink>
      <w:r>
        <w:t xml:space="preserve">, f. 2; </w:t>
      </w:r>
      <w:hyperlink w:anchor="SENTENCIA_2015_135" w:history="1">
        <w:r w:rsidRPr="00DD47EB">
          <w:rPr>
            <w:rStyle w:val="TextoNormalCaracter"/>
          </w:rPr>
          <w:t>135/2015</w:t>
        </w:r>
      </w:hyperlink>
      <w:r>
        <w:t>, f. 2.</w:t>
      </w:r>
    </w:p>
    <w:p w:rsidR="00DD47EB" w:rsidRDefault="00DD47EB" w:rsidP="00DD47EB">
      <w:pPr>
        <w:pStyle w:val="SangriaFrancesaArticulo"/>
      </w:pPr>
      <w:r w:rsidRPr="00DD47EB">
        <w:rPr>
          <w:rStyle w:val="TextoNormalNegritaCaracter"/>
        </w:rPr>
        <w:t>Artículo 9.3</w:t>
      </w:r>
      <w:r>
        <w:t xml:space="preserve"> (jerarquía normativa)</w:t>
      </w:r>
      <w:r w:rsidRPr="00DD47EB">
        <w:rPr>
          <w:rStyle w:val="TextoNormalNegritaCaracter"/>
        </w:rPr>
        <w:t>.</w:t>
      </w:r>
      <w:r w:rsidRPr="00DD47EB">
        <w:rPr>
          <w:rStyle w:val="TextoNormalCaracter"/>
        </w:rPr>
        <w:t>-</w:t>
      </w:r>
      <w:r>
        <w:t xml:space="preserve"> Sentencia </w:t>
      </w:r>
      <w:hyperlink w:anchor="SENTENCIA_2015_28" w:history="1">
        <w:r w:rsidRPr="00DD47EB">
          <w:rPr>
            <w:rStyle w:val="TextoNormalCaracter"/>
          </w:rPr>
          <w:t>28/2015</w:t>
        </w:r>
      </w:hyperlink>
      <w:r>
        <w:t>, f. 1.</w:t>
      </w:r>
    </w:p>
    <w:p w:rsidR="00DD47EB" w:rsidRDefault="00DD47EB" w:rsidP="00DD47EB">
      <w:pPr>
        <w:pStyle w:val="SangriaFrancesaArticulo"/>
      </w:pPr>
      <w:r w:rsidRPr="00DD47EB">
        <w:rPr>
          <w:rStyle w:val="TextoNormalNegritaCaracter"/>
        </w:rPr>
        <w:t>Artículo 9.3</w:t>
      </w:r>
      <w:r>
        <w:t xml:space="preserve"> (seguridad jurídica)</w:t>
      </w:r>
      <w:r w:rsidRPr="00DD47EB">
        <w:rPr>
          <w:rStyle w:val="TextoNormalNegritaCaracter"/>
        </w:rPr>
        <w:t>.</w:t>
      </w:r>
      <w:r w:rsidRPr="00DD47EB">
        <w:rPr>
          <w:rStyle w:val="TextoNormalCaracter"/>
        </w:rPr>
        <w:t>-</w:t>
      </w:r>
      <w:r>
        <w:t xml:space="preserve"> Sentencias </w:t>
      </w:r>
      <w:hyperlink w:anchor="SENTENCIA_2015_3" w:history="1">
        <w:r w:rsidRPr="00DD47EB">
          <w:rPr>
            <w:rStyle w:val="TextoNormalCaracter"/>
          </w:rPr>
          <w:t>3/2015</w:t>
        </w:r>
      </w:hyperlink>
      <w:r>
        <w:t xml:space="preserve">, ff. 1, 3; </w:t>
      </w:r>
      <w:hyperlink w:anchor="SENTENCIA_2015_4" w:history="1">
        <w:r w:rsidRPr="00DD47EB">
          <w:rPr>
            <w:rStyle w:val="TextoNormalCaracter"/>
          </w:rPr>
          <w:t>4/2015</w:t>
        </w:r>
      </w:hyperlink>
      <w:r>
        <w:t xml:space="preserve">, f. 1; </w:t>
      </w:r>
      <w:hyperlink w:anchor="SENTENCIA_2015_7" w:history="1">
        <w:r w:rsidRPr="00DD47EB">
          <w:rPr>
            <w:rStyle w:val="TextoNormalCaracter"/>
          </w:rPr>
          <w:t>7/2015</w:t>
        </w:r>
      </w:hyperlink>
      <w:r>
        <w:t xml:space="preserve">, f. 1; </w:t>
      </w:r>
      <w:hyperlink w:anchor="SENTENCIA_2015_8" w:history="1">
        <w:r w:rsidRPr="00DD47EB">
          <w:rPr>
            <w:rStyle w:val="TextoNormalCaracter"/>
          </w:rPr>
          <w:t>8/2015</w:t>
        </w:r>
      </w:hyperlink>
      <w:r>
        <w:t xml:space="preserve">, f. 7; </w:t>
      </w:r>
      <w:hyperlink w:anchor="SENTENCIA_2015_16" w:history="1">
        <w:r w:rsidRPr="00DD47EB">
          <w:rPr>
            <w:rStyle w:val="TextoNormalCaracter"/>
          </w:rPr>
          <w:t>16/2015</w:t>
        </w:r>
      </w:hyperlink>
      <w:r>
        <w:t xml:space="preserve">, f. 1; </w:t>
      </w:r>
      <w:hyperlink w:anchor="SENTENCIA_2015_22" w:history="1">
        <w:r w:rsidRPr="00DD47EB">
          <w:rPr>
            <w:rStyle w:val="TextoNormalCaracter"/>
          </w:rPr>
          <w:t>22/2015</w:t>
        </w:r>
      </w:hyperlink>
      <w:r>
        <w:t xml:space="preserve">, f. 5; </w:t>
      </w:r>
      <w:hyperlink w:anchor="SENTENCIA_2015_28" w:history="1">
        <w:r w:rsidRPr="00DD47EB">
          <w:rPr>
            <w:rStyle w:val="TextoNormalCaracter"/>
          </w:rPr>
          <w:t>28/2015</w:t>
        </w:r>
      </w:hyperlink>
      <w:r>
        <w:t xml:space="preserve">, f. 1; </w:t>
      </w:r>
      <w:hyperlink w:anchor="SENTENCIA_2015_34" w:history="1">
        <w:r w:rsidRPr="00DD47EB">
          <w:rPr>
            <w:rStyle w:val="TextoNormalCaracter"/>
          </w:rPr>
          <w:t>34/2015</w:t>
        </w:r>
      </w:hyperlink>
      <w:r>
        <w:t xml:space="preserve">, f. 1; </w:t>
      </w:r>
      <w:hyperlink w:anchor="SENTENCIA_2015_36" w:history="1">
        <w:r w:rsidRPr="00DD47EB">
          <w:rPr>
            <w:rStyle w:val="TextoNormalCaracter"/>
          </w:rPr>
          <w:t>36/2015</w:t>
        </w:r>
      </w:hyperlink>
      <w:r>
        <w:t xml:space="preserve">, f. 1; </w:t>
      </w:r>
      <w:hyperlink w:anchor="SENTENCIA_2015_44" w:history="1">
        <w:r w:rsidRPr="00DD47EB">
          <w:rPr>
            <w:rStyle w:val="TextoNormalCaracter"/>
          </w:rPr>
          <w:t>44/2015</w:t>
        </w:r>
      </w:hyperlink>
      <w:r>
        <w:t xml:space="preserve">, f. 3; </w:t>
      </w:r>
      <w:hyperlink w:anchor="SENTENCIA_2015_47" w:history="1">
        <w:r w:rsidRPr="00DD47EB">
          <w:rPr>
            <w:rStyle w:val="TextoNormalCaracter"/>
          </w:rPr>
          <w:t>47/2015</w:t>
        </w:r>
      </w:hyperlink>
      <w:r>
        <w:t xml:space="preserve">, ff. 1, 2; </w:t>
      </w:r>
      <w:hyperlink w:anchor="SENTENCIA_2015_81" w:history="1">
        <w:r w:rsidRPr="00DD47EB">
          <w:rPr>
            <w:rStyle w:val="TextoNormalCaracter"/>
          </w:rPr>
          <w:t>81/2015</w:t>
        </w:r>
      </w:hyperlink>
      <w:r>
        <w:t xml:space="preserve">, f. 8; </w:t>
      </w:r>
      <w:hyperlink w:anchor="SENTENCIA_2015_102" w:history="1">
        <w:r w:rsidRPr="00DD47EB">
          <w:rPr>
            <w:rStyle w:val="TextoNormalCaracter"/>
          </w:rPr>
          <w:t>102/2015</w:t>
        </w:r>
      </w:hyperlink>
      <w:r>
        <w:t xml:space="preserve">, ff. 4, 5; </w:t>
      </w:r>
      <w:hyperlink w:anchor="SENTENCIA_2015_103" w:history="1">
        <w:r w:rsidRPr="00DD47EB">
          <w:rPr>
            <w:rStyle w:val="TextoNormalCaracter"/>
          </w:rPr>
          <w:t>103/2015</w:t>
        </w:r>
      </w:hyperlink>
      <w:r>
        <w:t xml:space="preserve">, ff. 1, 3, 8, 9; </w:t>
      </w:r>
      <w:hyperlink w:anchor="SENTENCIA_2015_104" w:history="1">
        <w:r w:rsidRPr="00DD47EB">
          <w:rPr>
            <w:rStyle w:val="TextoNormalCaracter"/>
          </w:rPr>
          <w:t>104/2015</w:t>
        </w:r>
      </w:hyperlink>
      <w:r>
        <w:t xml:space="preserve">, f. 12; </w:t>
      </w:r>
      <w:hyperlink w:anchor="SENTENCIA_2015_105" w:history="1">
        <w:r w:rsidRPr="00DD47EB">
          <w:rPr>
            <w:rStyle w:val="TextoNormalCaracter"/>
          </w:rPr>
          <w:t>105/2015</w:t>
        </w:r>
      </w:hyperlink>
      <w:r>
        <w:t xml:space="preserve">, f. 1; </w:t>
      </w:r>
      <w:hyperlink w:anchor="SENTENCIA_2015_107" w:history="1">
        <w:r w:rsidRPr="00DD47EB">
          <w:rPr>
            <w:rStyle w:val="TextoNormalCaracter"/>
          </w:rPr>
          <w:t>107/2015</w:t>
        </w:r>
      </w:hyperlink>
      <w:r>
        <w:t xml:space="preserve">, f. 1; </w:t>
      </w:r>
      <w:hyperlink w:anchor="SENTENCIA_2015_109" w:history="1">
        <w:r w:rsidRPr="00DD47EB">
          <w:rPr>
            <w:rStyle w:val="TextoNormalCaracter"/>
          </w:rPr>
          <w:t>109/2015</w:t>
        </w:r>
      </w:hyperlink>
      <w:r>
        <w:t xml:space="preserve">, VP; </w:t>
      </w:r>
      <w:hyperlink w:anchor="SENTENCIA_2015_116" w:history="1">
        <w:r w:rsidRPr="00DD47EB">
          <w:rPr>
            <w:rStyle w:val="TextoNormalCaracter"/>
          </w:rPr>
          <w:t>116/2015</w:t>
        </w:r>
      </w:hyperlink>
      <w:r>
        <w:t xml:space="preserve">, VP; </w:t>
      </w:r>
      <w:hyperlink w:anchor="SENTENCIA_2015_125" w:history="1">
        <w:r w:rsidRPr="00DD47EB">
          <w:rPr>
            <w:rStyle w:val="TextoNormalCaracter"/>
          </w:rPr>
          <w:t>125/2015</w:t>
        </w:r>
      </w:hyperlink>
      <w:r>
        <w:t xml:space="preserve">, VP; </w:t>
      </w:r>
      <w:hyperlink w:anchor="SENTENCIA_2015_127" w:history="1">
        <w:r w:rsidRPr="00DD47EB">
          <w:rPr>
            <w:rStyle w:val="TextoNormalCaracter"/>
          </w:rPr>
          <w:t>127/2015</w:t>
        </w:r>
      </w:hyperlink>
      <w:r>
        <w:t xml:space="preserve">, VP; </w:t>
      </w:r>
      <w:hyperlink w:anchor="SENTENCIA_2015_129" w:history="1">
        <w:r w:rsidRPr="00DD47EB">
          <w:rPr>
            <w:rStyle w:val="TextoNormalCaracter"/>
          </w:rPr>
          <w:t>129/2015</w:t>
        </w:r>
      </w:hyperlink>
      <w:r>
        <w:t xml:space="preserve">, VP;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VP; </w:t>
      </w:r>
      <w:hyperlink w:anchor="SENTENCIA_2015_133" w:history="1">
        <w:r w:rsidRPr="00DD47EB">
          <w:rPr>
            <w:rStyle w:val="TextoNormalCaracter"/>
          </w:rPr>
          <w:t>133/2015</w:t>
        </w:r>
      </w:hyperlink>
      <w:r>
        <w:t xml:space="preserve">, VP; </w:t>
      </w:r>
      <w:hyperlink w:anchor="SENTENCIA_2015_134" w:history="1">
        <w:r w:rsidRPr="00DD47EB">
          <w:rPr>
            <w:rStyle w:val="TextoNormalCaracter"/>
          </w:rPr>
          <w:t>134/2015</w:t>
        </w:r>
      </w:hyperlink>
      <w:r>
        <w:t xml:space="preserve">, VP; </w:t>
      </w:r>
      <w:hyperlink w:anchor="SENTENCIA_2015_135" w:history="1">
        <w:r w:rsidRPr="00DD47EB">
          <w:rPr>
            <w:rStyle w:val="TextoNormalCaracter"/>
          </w:rPr>
          <w:t>135/2015</w:t>
        </w:r>
      </w:hyperlink>
      <w:r>
        <w:t xml:space="preserve">, VP; </w:t>
      </w:r>
      <w:hyperlink w:anchor="SENTENCIA_2015_146" w:history="1">
        <w:r w:rsidRPr="00DD47EB">
          <w:rPr>
            <w:rStyle w:val="TextoNormalCaracter"/>
          </w:rPr>
          <w:t>146/2015</w:t>
        </w:r>
      </w:hyperlink>
      <w:r>
        <w:t>, f. 2.</w:t>
      </w:r>
    </w:p>
    <w:p w:rsidR="00DD47EB" w:rsidRDefault="00DD47EB" w:rsidP="00DD47EB">
      <w:pPr>
        <w:pStyle w:val="SangriaFrancesaArticulo"/>
      </w:pPr>
      <w:r w:rsidRPr="00DD47EB">
        <w:rPr>
          <w:rStyle w:val="TextoNormalNegritaCaracter"/>
        </w:rPr>
        <w:t>Artículo 10.1.</w:t>
      </w:r>
      <w:r w:rsidRPr="00DD47EB">
        <w:rPr>
          <w:rStyle w:val="TextoNormalCaracter"/>
        </w:rPr>
        <w:t>-</w:t>
      </w:r>
      <w:r>
        <w:t xml:space="preserve"> Sentencias </w:t>
      </w:r>
      <w:hyperlink w:anchor="SENTENCIA_2015_49" w:history="1">
        <w:r w:rsidRPr="00DD47EB">
          <w:rPr>
            <w:rStyle w:val="TextoNormalCaracter"/>
          </w:rPr>
          <w:t>49/2015</w:t>
        </w:r>
      </w:hyperlink>
      <w:r>
        <w:t xml:space="preserve">, VP; </w:t>
      </w:r>
      <w:hyperlink w:anchor="SENTENCIA_2015_65" w:history="1">
        <w:r w:rsidRPr="00DD47EB">
          <w:rPr>
            <w:rStyle w:val="TextoNormalCaracter"/>
          </w:rPr>
          <w:t>65/2015</w:t>
        </w:r>
      </w:hyperlink>
      <w:r>
        <w:t xml:space="preserve">, f. 3; </w:t>
      </w:r>
      <w:hyperlink w:anchor="SENTENCIA_2015_66" w:history="1">
        <w:r w:rsidRPr="00DD47EB">
          <w:rPr>
            <w:rStyle w:val="TextoNormalCaracter"/>
          </w:rPr>
          <w:t>66/2015</w:t>
        </w:r>
      </w:hyperlink>
      <w:r>
        <w:t>, f. 3.</w:t>
      </w:r>
    </w:p>
    <w:p w:rsidR="00DD47EB" w:rsidRDefault="00DD47EB" w:rsidP="00DD47EB">
      <w:pPr>
        <w:pStyle w:val="SangriaFrancesaArticulo"/>
      </w:pPr>
      <w:r w:rsidRPr="00DD47EB">
        <w:rPr>
          <w:rStyle w:val="TextoNormalNegritaCaracter"/>
        </w:rPr>
        <w:t>Artículo 10.2.</w:t>
      </w:r>
      <w:r w:rsidRPr="00DD47EB">
        <w:rPr>
          <w:rStyle w:val="TextoNormalCaracter"/>
        </w:rPr>
        <w:t>-</w:t>
      </w:r>
      <w:r>
        <w:t xml:space="preserve"> Sentencias </w:t>
      </w:r>
      <w:hyperlink w:anchor="SENTENCIA_2015_53" w:history="1">
        <w:r w:rsidRPr="00DD47EB">
          <w:rPr>
            <w:rStyle w:val="TextoNormalCaracter"/>
          </w:rPr>
          <w:t>53/2015</w:t>
        </w:r>
      </w:hyperlink>
      <w:r>
        <w:t xml:space="preserve">, f. 1; </w:t>
      </w:r>
      <w:hyperlink w:anchor="SENTENCIA_2015_66" w:history="1">
        <w:r w:rsidRPr="00DD47EB">
          <w:rPr>
            <w:rStyle w:val="TextoNormalCaracter"/>
          </w:rPr>
          <w:t>66/2015</w:t>
        </w:r>
      </w:hyperlink>
      <w:r>
        <w:t xml:space="preserve">, f. 3;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31" w:history="1">
        <w:r w:rsidRPr="00DD47EB">
          <w:rPr>
            <w:rStyle w:val="TextoNormalCaracter"/>
          </w:rPr>
          <w:t>31/2015</w:t>
        </w:r>
      </w:hyperlink>
      <w:r>
        <w:t>, f. 2.</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Sentencias </w:t>
      </w:r>
      <w:hyperlink w:anchor="SENTENCIA_2015_32" w:history="1">
        <w:r w:rsidRPr="00DD47EB">
          <w:rPr>
            <w:rStyle w:val="TextoNormalCaracter"/>
          </w:rPr>
          <w:t>32/2015</w:t>
        </w:r>
      </w:hyperlink>
      <w:r>
        <w:t xml:space="preserve">, f. 1; </w:t>
      </w:r>
      <w:hyperlink w:anchor="SENTENCIA_2015_147" w:history="1">
        <w:r w:rsidRPr="00DD47EB">
          <w:rPr>
            <w:rStyle w:val="TextoNormalCaracter"/>
          </w:rPr>
          <w:t>147/2015</w:t>
        </w:r>
      </w:hyperlink>
      <w:r>
        <w:t>, f. 1.</w:t>
      </w:r>
    </w:p>
    <w:p w:rsidR="00DD47EB" w:rsidRDefault="00DD47EB" w:rsidP="00DD47EB">
      <w:pPr>
        <w:pStyle w:val="SangriaFrancesaArticulo"/>
      </w:pPr>
      <w:r w:rsidRPr="00DD47EB">
        <w:rPr>
          <w:rStyle w:val="TextoNormalNegritaCaracter"/>
        </w:rPr>
        <w:t>Artículo 13.2.</w:t>
      </w:r>
      <w:r w:rsidRPr="00DD47EB">
        <w:rPr>
          <w:rStyle w:val="TextoNormalCaracter"/>
        </w:rPr>
        <w:t>-</w:t>
      </w:r>
      <w:r>
        <w:t xml:space="preserve"> Sentencias </w:t>
      </w:r>
      <w:hyperlink w:anchor="SENTENCIA_2015_5" w:history="1">
        <w:r w:rsidRPr="00DD47EB">
          <w:rPr>
            <w:rStyle w:val="TextoNormalCaracter"/>
          </w:rPr>
          <w:t>5/2015</w:t>
        </w:r>
      </w:hyperlink>
      <w:r>
        <w:t xml:space="preserve">, f. 2; </w:t>
      </w:r>
      <w:hyperlink w:anchor="SENTENCIA_2015_31" w:history="1">
        <w:r w:rsidRPr="00DD47EB">
          <w:rPr>
            <w:rStyle w:val="TextoNormalCaracter"/>
          </w:rPr>
          <w:t>31/2015</w:t>
        </w:r>
      </w:hyperlink>
      <w:r>
        <w:t xml:space="preserve">, f. 2; </w:t>
      </w:r>
      <w:hyperlink w:anchor="SENTENCIA_2015_137" w:history="1">
        <w:r w:rsidRPr="00DD47EB">
          <w:rPr>
            <w:rStyle w:val="TextoNormalCaracter"/>
          </w:rPr>
          <w:t>137/2015</w:t>
        </w:r>
      </w:hyperlink>
      <w:r>
        <w:t>, f. 1.</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Sentencias </w:t>
      </w:r>
      <w:hyperlink w:anchor="SENTENCIA_2015_7" w:history="1">
        <w:r w:rsidRPr="00DD47EB">
          <w:rPr>
            <w:rStyle w:val="TextoNormalCaracter"/>
          </w:rPr>
          <w:t>7/2015</w:t>
        </w:r>
      </w:hyperlink>
      <w:r>
        <w:t xml:space="preserve">, f. 4, VP; </w:t>
      </w:r>
      <w:hyperlink w:anchor="SENTENCIA_2015_8" w:history="1">
        <w:r w:rsidRPr="00DD47EB">
          <w:rPr>
            <w:rStyle w:val="TextoNormalCaracter"/>
          </w:rPr>
          <w:t>8/2015</w:t>
        </w:r>
      </w:hyperlink>
      <w:r>
        <w:t xml:space="preserve">, ff. 1, 3, 8 a 10; </w:t>
      </w:r>
      <w:hyperlink w:anchor="SENTENCIA_2015_15" w:history="1">
        <w:r w:rsidRPr="00DD47EB">
          <w:rPr>
            <w:rStyle w:val="TextoNormalCaracter"/>
          </w:rPr>
          <w:t>15/2015</w:t>
        </w:r>
      </w:hyperlink>
      <w:r>
        <w:t xml:space="preserve">, f. 3; </w:t>
      </w:r>
      <w:hyperlink w:anchor="SENTENCIA_2015_19" w:history="1">
        <w:r w:rsidRPr="00DD47EB">
          <w:rPr>
            <w:rStyle w:val="TextoNormalCaracter"/>
          </w:rPr>
          <w:t>19/2015</w:t>
        </w:r>
      </w:hyperlink>
      <w:r>
        <w:t xml:space="preserve">, f. 1; </w:t>
      </w:r>
      <w:hyperlink w:anchor="SENTENCIA_2015_41" w:history="1">
        <w:r w:rsidRPr="00DD47EB">
          <w:rPr>
            <w:rStyle w:val="TextoNormalCaracter"/>
          </w:rPr>
          <w:t>41/2015</w:t>
        </w:r>
      </w:hyperlink>
      <w:r>
        <w:t xml:space="preserve">, ff. 1, 4; </w:t>
      </w:r>
      <w:hyperlink w:anchor="SENTENCIA_2015_44" w:history="1">
        <w:r w:rsidRPr="00DD47EB">
          <w:rPr>
            <w:rStyle w:val="TextoNormalCaracter"/>
          </w:rPr>
          <w:t>44/2015</w:t>
        </w:r>
      </w:hyperlink>
      <w:r>
        <w:t xml:space="preserve">, f. 4; </w:t>
      </w:r>
      <w:hyperlink w:anchor="SENTENCIA_2015_47" w:history="1">
        <w:r w:rsidRPr="00DD47EB">
          <w:rPr>
            <w:rStyle w:val="TextoNormalCaracter"/>
          </w:rPr>
          <w:t>47/2015</w:t>
        </w:r>
      </w:hyperlink>
      <w:r>
        <w:t xml:space="preserve">, f. 2; </w:t>
      </w:r>
      <w:hyperlink w:anchor="SENTENCIA_2015_60" w:history="1">
        <w:r w:rsidRPr="00DD47EB">
          <w:rPr>
            <w:rStyle w:val="TextoNormalCaracter"/>
          </w:rPr>
          <w:t>60/2015</w:t>
        </w:r>
      </w:hyperlink>
      <w:r>
        <w:t xml:space="preserve">, ff. 1, 3 a 5; </w:t>
      </w:r>
      <w:hyperlink w:anchor="SENTENCIA_2015_66" w:history="1">
        <w:r w:rsidRPr="00DD47EB">
          <w:rPr>
            <w:rStyle w:val="TextoNormalCaracter"/>
          </w:rPr>
          <w:t>66/2015</w:t>
        </w:r>
      </w:hyperlink>
      <w:r>
        <w:t xml:space="preserve">, ff. 1, 3, 4, 6; </w:t>
      </w:r>
      <w:hyperlink w:anchor="SENTENCIA_2015_66" w:history="1">
        <w:r w:rsidRPr="00DD47EB">
          <w:rPr>
            <w:rStyle w:val="TextoNormalCaracter"/>
          </w:rPr>
          <w:t>66/2015</w:t>
        </w:r>
      </w:hyperlink>
      <w:r>
        <w:t xml:space="preserve">, f. 3; </w:t>
      </w:r>
      <w:hyperlink w:anchor="SENTENCIA_2015_75" w:history="1">
        <w:r w:rsidRPr="00DD47EB">
          <w:rPr>
            <w:rStyle w:val="TextoNormalCaracter"/>
          </w:rPr>
          <w:t>75/2015</w:t>
        </w:r>
      </w:hyperlink>
      <w:r>
        <w:t xml:space="preserve">, ff. 1, 4; </w:t>
      </w:r>
      <w:hyperlink w:anchor="SENTENCIA_2015_77" w:history="1">
        <w:r w:rsidRPr="00DD47EB">
          <w:rPr>
            <w:rStyle w:val="TextoNormalCaracter"/>
          </w:rPr>
          <w:t>77/2015</w:t>
        </w:r>
      </w:hyperlink>
      <w:r>
        <w:t xml:space="preserve">, ff. 3, 4; </w:t>
      </w:r>
      <w:hyperlink w:anchor="SENTENCIA_2015_79" w:history="1">
        <w:r w:rsidRPr="00DD47EB">
          <w:rPr>
            <w:rStyle w:val="TextoNormalCaracter"/>
          </w:rPr>
          <w:t>79/2015</w:t>
        </w:r>
      </w:hyperlink>
      <w:r>
        <w:t xml:space="preserve">, ff. 1, 4; </w:t>
      </w:r>
      <w:hyperlink w:anchor="SENTENCIA_2015_84" w:history="1">
        <w:r w:rsidRPr="00DD47EB">
          <w:rPr>
            <w:rStyle w:val="TextoNormalCaracter"/>
          </w:rPr>
          <w:t>84/2015</w:t>
        </w:r>
      </w:hyperlink>
      <w:r>
        <w:t xml:space="preserve">, ff. 2, 7; </w:t>
      </w:r>
      <w:hyperlink w:anchor="SENTENCIA_2015_104" w:history="1">
        <w:r w:rsidRPr="00DD47EB">
          <w:rPr>
            <w:rStyle w:val="TextoNormalCaracter"/>
          </w:rPr>
          <w:t>104/2015</w:t>
        </w:r>
      </w:hyperlink>
      <w:r>
        <w:t xml:space="preserve">, ff. 1, 3, 13; </w:t>
      </w:r>
      <w:hyperlink w:anchor="SENTENCIA_2015_110" w:history="1">
        <w:r w:rsidRPr="00DD47EB">
          <w:rPr>
            <w:rStyle w:val="TextoNormalCaracter"/>
          </w:rPr>
          <w:t>110/2015</w:t>
        </w:r>
      </w:hyperlink>
      <w:r>
        <w:t xml:space="preserve">, ff. 1, 2, 4, 8, VP; </w:t>
      </w:r>
      <w:hyperlink w:anchor="SENTENCIA_2015_124" w:history="1">
        <w:r w:rsidRPr="00DD47EB">
          <w:rPr>
            <w:rStyle w:val="TextoNormalCaracter"/>
          </w:rPr>
          <w:t>124/2015</w:t>
        </w:r>
      </w:hyperlink>
      <w:r>
        <w:t xml:space="preserve">, f. 1; </w:t>
      </w:r>
      <w:hyperlink w:anchor="SENTENCIA_2015_136" w:history="1">
        <w:r w:rsidRPr="00DD47EB">
          <w:rPr>
            <w:rStyle w:val="TextoNormalCaracter"/>
          </w:rPr>
          <w:t>136/2015</w:t>
        </w:r>
      </w:hyperlink>
      <w:r>
        <w:t xml:space="preserve">, f. 1; </w:t>
      </w:r>
      <w:hyperlink w:anchor="SENTENCIA_2015_139" w:history="1">
        <w:r w:rsidRPr="00DD47EB">
          <w:rPr>
            <w:rStyle w:val="TextoNormalCaracter"/>
          </w:rPr>
          <w:t>139/2015</w:t>
        </w:r>
      </w:hyperlink>
      <w:r>
        <w:t xml:space="preserve">, f. 1; </w:t>
      </w:r>
      <w:hyperlink w:anchor="SENTENCIA_2015_140" w:history="1">
        <w:r w:rsidRPr="00DD47EB">
          <w:rPr>
            <w:rStyle w:val="TextoNormalCaracter"/>
          </w:rPr>
          <w:t>140/2015</w:t>
        </w:r>
      </w:hyperlink>
      <w:r>
        <w:t xml:space="preserve">, ff. 1, 2, VP; </w:t>
      </w:r>
      <w:hyperlink w:anchor="SENTENCIA_2015_145" w:history="1">
        <w:r w:rsidRPr="00DD47EB">
          <w:rPr>
            <w:rStyle w:val="TextoNormalCaracter"/>
          </w:rPr>
          <w:t>145/2015</w:t>
        </w:r>
      </w:hyperlink>
      <w:r>
        <w:t>, VP III.</w:t>
      </w:r>
    </w:p>
    <w:p w:rsidR="00DD47EB" w:rsidRDefault="00DD47EB" w:rsidP="00DD47EB">
      <w:pPr>
        <w:pStyle w:val="SangriaIzquierdaArticulo"/>
      </w:pPr>
      <w:r>
        <w:t xml:space="preserve">Autos </w:t>
      </w:r>
      <w:hyperlink w:anchor="AUTO_2015_20" w:history="1">
        <w:r w:rsidRPr="00DD47EB">
          <w:rPr>
            <w:rStyle w:val="TextoNormalCaracter"/>
          </w:rPr>
          <w:t>20/2015</w:t>
        </w:r>
      </w:hyperlink>
      <w:r>
        <w:t xml:space="preserve">, ff. 1, 3; </w:t>
      </w:r>
      <w:hyperlink w:anchor="AUTO_2015_33" w:history="1">
        <w:r w:rsidRPr="00DD47EB">
          <w:rPr>
            <w:rStyle w:val="TextoNormalCaracter"/>
          </w:rPr>
          <w:t>33/2015</w:t>
        </w:r>
      </w:hyperlink>
      <w:r>
        <w:t xml:space="preserve">, ff. 1, 2, 4, 5; </w:t>
      </w:r>
      <w:hyperlink w:anchor="AUTO_2015_34" w:history="1">
        <w:r w:rsidRPr="00DD47EB">
          <w:rPr>
            <w:rStyle w:val="TextoNormalCaracter"/>
          </w:rPr>
          <w:t>34/2015</w:t>
        </w:r>
      </w:hyperlink>
      <w:r>
        <w:t xml:space="preserve">, ff. 1, 2, 4, 5; </w:t>
      </w:r>
      <w:hyperlink w:anchor="AUTO_2015_74" w:history="1">
        <w:r w:rsidRPr="00DD47EB">
          <w:rPr>
            <w:rStyle w:val="TextoNormalCaracter"/>
          </w:rPr>
          <w:t>74/2015</w:t>
        </w:r>
      </w:hyperlink>
      <w:r>
        <w:t xml:space="preserve">, ff. 1 a 3; </w:t>
      </w:r>
      <w:hyperlink w:anchor="AUTO_2015_99" w:history="1">
        <w:r w:rsidRPr="00DD47EB">
          <w:rPr>
            <w:rStyle w:val="TextoNormalCaracter"/>
          </w:rPr>
          <w:t>99/2015</w:t>
        </w:r>
      </w:hyperlink>
      <w:r>
        <w:t xml:space="preserve">, ff. 2 a 4; </w:t>
      </w:r>
      <w:hyperlink w:anchor="AUTO_2015_111" w:history="1">
        <w:r w:rsidRPr="00DD47EB">
          <w:rPr>
            <w:rStyle w:val="TextoNormalCaracter"/>
          </w:rPr>
          <w:t>111/2015</w:t>
        </w:r>
      </w:hyperlink>
      <w:r>
        <w:t xml:space="preserve">, f. 1; </w:t>
      </w:r>
      <w:hyperlink w:anchor="AUTO_2015_112" w:history="1">
        <w:r w:rsidRPr="00DD47EB">
          <w:rPr>
            <w:rStyle w:val="TextoNormalCaracter"/>
          </w:rPr>
          <w:t>112/2015</w:t>
        </w:r>
      </w:hyperlink>
      <w:r>
        <w:t>, f. 3.</w:t>
      </w:r>
    </w:p>
    <w:p w:rsidR="00DD47EB" w:rsidRDefault="00DD47EB" w:rsidP="00DD47EB">
      <w:pPr>
        <w:pStyle w:val="SangriaFrancesaArticulo"/>
      </w:pPr>
      <w:r w:rsidRPr="00DD47EB">
        <w:rPr>
          <w:rStyle w:val="TextoNormalNegritaCaracter"/>
        </w:rPr>
        <w:t>Artículo 14</w:t>
      </w:r>
      <w:r>
        <w:t xml:space="preserve"> (discriminación por circunstancias personales o sociales)</w:t>
      </w:r>
      <w:r w:rsidRPr="00DD47EB">
        <w:rPr>
          <w:rStyle w:val="TextoNormalNegritaCaracter"/>
        </w:rPr>
        <w:t>.</w:t>
      </w:r>
      <w:r w:rsidRPr="00DD47EB">
        <w:rPr>
          <w:rStyle w:val="TextoNormalCaracter"/>
        </w:rPr>
        <w:t>-</w:t>
      </w:r>
      <w:r>
        <w:t xml:space="preserve"> Sentencia </w:t>
      </w:r>
      <w:hyperlink w:anchor="SENTENCIA_2015_66" w:history="1">
        <w:r w:rsidRPr="00DD47EB">
          <w:rPr>
            <w:rStyle w:val="TextoNormalCaracter"/>
          </w:rPr>
          <w:t>66/2015</w:t>
        </w:r>
      </w:hyperlink>
      <w:r>
        <w:t>, f. 1.</w:t>
      </w:r>
    </w:p>
    <w:p w:rsidR="00DD47EB" w:rsidRDefault="00DD47EB" w:rsidP="00DD47EB">
      <w:pPr>
        <w:pStyle w:val="SangriaFrancesaArticulo"/>
      </w:pPr>
      <w:r w:rsidRPr="00DD47EB">
        <w:rPr>
          <w:rStyle w:val="TextoNormalNegritaCaracter"/>
        </w:rPr>
        <w:t>Artículo 14</w:t>
      </w:r>
      <w:r>
        <w:t xml:space="preserve"> (discriminación por sexo)</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 ff. 2, 6, 10, 11, VP.</w:t>
      </w:r>
    </w:p>
    <w:p w:rsidR="00DD47EB" w:rsidRDefault="00DD47EB" w:rsidP="00DD47EB">
      <w:pPr>
        <w:pStyle w:val="SangriaFrancesaArticulo"/>
      </w:pPr>
      <w:r w:rsidRPr="00DD47EB">
        <w:rPr>
          <w:rStyle w:val="TextoNormalNegritaCaracter"/>
        </w:rPr>
        <w:t>Artículo 14</w:t>
      </w:r>
      <w:r>
        <w:t xml:space="preserve"> (igualdad en la aplicación de la ley)</w:t>
      </w:r>
      <w:r w:rsidRPr="00DD47EB">
        <w:rPr>
          <w:rStyle w:val="TextoNormalNegritaCaracter"/>
        </w:rPr>
        <w:t>.</w:t>
      </w:r>
      <w:r w:rsidRPr="00DD47EB">
        <w:rPr>
          <w:rStyle w:val="TextoNormalCaracter"/>
        </w:rPr>
        <w:t>-</w:t>
      </w:r>
      <w:r>
        <w:t xml:space="preserve"> Sentencias </w:t>
      </w:r>
      <w:hyperlink w:anchor="SENTENCIA_2015_7" w:history="1">
        <w:r w:rsidRPr="00DD47EB">
          <w:rPr>
            <w:rStyle w:val="TextoNormalCaracter"/>
          </w:rPr>
          <w:t>7/2015</w:t>
        </w:r>
      </w:hyperlink>
      <w:r>
        <w:t xml:space="preserve">, f. 1, VP; </w:t>
      </w:r>
      <w:hyperlink w:anchor="SENTENCIA_2015_16" w:history="1">
        <w:r w:rsidRPr="00DD47EB">
          <w:rPr>
            <w:rStyle w:val="TextoNormalCaracter"/>
          </w:rPr>
          <w:t>16/2015</w:t>
        </w:r>
      </w:hyperlink>
      <w:r>
        <w:t xml:space="preserve">, ff. 1, 4; </w:t>
      </w:r>
      <w:hyperlink w:anchor="SENTENCIA_2015_17" w:history="1">
        <w:r w:rsidRPr="00DD47EB">
          <w:rPr>
            <w:rStyle w:val="TextoNormalCaracter"/>
          </w:rPr>
          <w:t>17/2015</w:t>
        </w:r>
      </w:hyperlink>
      <w:r>
        <w:t xml:space="preserve">, f. 1, VP; </w:t>
      </w:r>
      <w:hyperlink w:anchor="SENTENCIA_2015_20" w:history="1">
        <w:r w:rsidRPr="00DD47EB">
          <w:rPr>
            <w:rStyle w:val="TextoNormalCaracter"/>
          </w:rPr>
          <w:t>20/2015</w:t>
        </w:r>
      </w:hyperlink>
      <w:r>
        <w:t xml:space="preserve">, f. 1, VP; </w:t>
      </w:r>
      <w:hyperlink w:anchor="SENTENCIA_2015_21" w:history="1">
        <w:r w:rsidRPr="00DD47EB">
          <w:rPr>
            <w:rStyle w:val="TextoNormalCaracter"/>
          </w:rPr>
          <w:t>21/2015</w:t>
        </w:r>
      </w:hyperlink>
      <w:r>
        <w:t xml:space="preserve">, f. 1; </w:t>
      </w:r>
      <w:hyperlink w:anchor="SENTENCIA_2015_36" w:history="1">
        <w:r w:rsidRPr="00DD47EB">
          <w:rPr>
            <w:rStyle w:val="TextoNormalCaracter"/>
          </w:rPr>
          <w:t>36/2015</w:t>
        </w:r>
      </w:hyperlink>
      <w:r>
        <w:t xml:space="preserve">, ff. 1, 4; </w:t>
      </w:r>
      <w:hyperlink w:anchor="SENTENCIA_2015_37" w:history="1">
        <w:r w:rsidRPr="00DD47EB">
          <w:rPr>
            <w:rStyle w:val="TextoNormalCaracter"/>
          </w:rPr>
          <w:t>37/2015</w:t>
        </w:r>
      </w:hyperlink>
      <w:r>
        <w:t xml:space="preserve">, f. 1; </w:t>
      </w:r>
      <w:hyperlink w:anchor="SENTENCIA_2015_38" w:history="1">
        <w:r w:rsidRPr="00DD47EB">
          <w:rPr>
            <w:rStyle w:val="TextoNormalCaracter"/>
          </w:rPr>
          <w:t>38/2015</w:t>
        </w:r>
      </w:hyperlink>
      <w:r>
        <w:t xml:space="preserve">, f. 1; </w:t>
      </w:r>
      <w:hyperlink w:anchor="SENTENCIA_2015_40" w:history="1">
        <w:r w:rsidRPr="00DD47EB">
          <w:rPr>
            <w:rStyle w:val="TextoNormalCaracter"/>
          </w:rPr>
          <w:t>40/2015</w:t>
        </w:r>
      </w:hyperlink>
      <w:r>
        <w:t xml:space="preserve">, ff. 1, 4; </w:t>
      </w:r>
      <w:hyperlink w:anchor="SENTENCIA_2015_44" w:history="1">
        <w:r w:rsidRPr="00DD47EB">
          <w:rPr>
            <w:rStyle w:val="TextoNormalCaracter"/>
          </w:rPr>
          <w:t>44/2015</w:t>
        </w:r>
      </w:hyperlink>
      <w:r>
        <w:t xml:space="preserve">, f. 4; </w:t>
      </w:r>
      <w:hyperlink w:anchor="SENTENCIA_2015_52" w:history="1">
        <w:r w:rsidRPr="00DD47EB">
          <w:rPr>
            <w:rStyle w:val="TextoNormalCaracter"/>
          </w:rPr>
          <w:t>52/2015</w:t>
        </w:r>
      </w:hyperlink>
      <w:r>
        <w:t xml:space="preserve">, f. 1; </w:t>
      </w:r>
      <w:hyperlink w:anchor="SENTENCIA_2015_64" w:history="1">
        <w:r w:rsidRPr="00DD47EB">
          <w:rPr>
            <w:rStyle w:val="TextoNormalCaracter"/>
          </w:rPr>
          <w:t>64/2015</w:t>
        </w:r>
      </w:hyperlink>
      <w:r>
        <w:t xml:space="preserve">, f. 1; </w:t>
      </w:r>
      <w:hyperlink w:anchor="SENTENCIA_2015_69" w:history="1">
        <w:r w:rsidRPr="00DD47EB">
          <w:rPr>
            <w:rStyle w:val="TextoNormalCaracter"/>
          </w:rPr>
          <w:t>69/2015</w:t>
        </w:r>
      </w:hyperlink>
      <w:r>
        <w:t xml:space="preserve">, ff. 1, 4; </w:t>
      </w:r>
      <w:hyperlink w:anchor="SENTENCIA_2015_77" w:history="1">
        <w:r w:rsidRPr="00DD47EB">
          <w:rPr>
            <w:rStyle w:val="TextoNormalCaracter"/>
          </w:rPr>
          <w:t>77/2015</w:t>
        </w:r>
      </w:hyperlink>
      <w:r>
        <w:t xml:space="preserve">, VP; </w:t>
      </w:r>
      <w:hyperlink w:anchor="SENTENCIA_2015_78" w:history="1">
        <w:r w:rsidRPr="00DD47EB">
          <w:rPr>
            <w:rStyle w:val="TextoNormalCaracter"/>
          </w:rPr>
          <w:t>78/2015</w:t>
        </w:r>
      </w:hyperlink>
      <w:r>
        <w:t xml:space="preserve">, ff. 1, 4; </w:t>
      </w:r>
      <w:hyperlink w:anchor="SENTENCIA_2015_80" w:history="1">
        <w:r w:rsidRPr="00DD47EB">
          <w:rPr>
            <w:rStyle w:val="TextoNormalCaracter"/>
          </w:rPr>
          <w:t>80/2015</w:t>
        </w:r>
      </w:hyperlink>
      <w:r>
        <w:t xml:space="preserve">, ff. 1, 4; </w:t>
      </w:r>
      <w:hyperlink w:anchor="SENTENCIA_2015_82" w:history="1">
        <w:r w:rsidRPr="00DD47EB">
          <w:rPr>
            <w:rStyle w:val="TextoNormalCaracter"/>
          </w:rPr>
          <w:t>82/2015</w:t>
        </w:r>
      </w:hyperlink>
      <w:r>
        <w:t xml:space="preserve">, ff 1, 4; </w:t>
      </w:r>
      <w:hyperlink w:anchor="SENTENCIA_2015_143" w:history="1">
        <w:r w:rsidRPr="00DD47EB">
          <w:rPr>
            <w:rStyle w:val="TextoNormalCaracter"/>
          </w:rPr>
          <w:t>143/2015</w:t>
        </w:r>
      </w:hyperlink>
      <w:r>
        <w:t>, f. 3.</w:t>
      </w:r>
    </w:p>
    <w:p w:rsidR="00DD47EB" w:rsidRDefault="00DD47EB" w:rsidP="00DD47EB">
      <w:pPr>
        <w:pStyle w:val="SangriaFrancesaArticulo"/>
      </w:pPr>
      <w:r w:rsidRPr="00DD47EB">
        <w:rPr>
          <w:rStyle w:val="TextoNormalNegritaCaracter"/>
        </w:rPr>
        <w:t>Artículo 14</w:t>
      </w:r>
      <w:r>
        <w:t xml:space="preserve"> (igualdad en la ley)</w:t>
      </w:r>
      <w:r w:rsidRPr="00DD47EB">
        <w:rPr>
          <w:rStyle w:val="TextoNormalNegritaCaracter"/>
        </w:rPr>
        <w:t>.</w:t>
      </w:r>
      <w:r w:rsidRPr="00DD47EB">
        <w:rPr>
          <w:rStyle w:val="TextoNormalCaracter"/>
        </w:rPr>
        <w:t>-</w:t>
      </w:r>
      <w:r>
        <w:t xml:space="preserve"> Sentencias </w:t>
      </w:r>
      <w:hyperlink w:anchor="SENTENCIA_2015_47" w:history="1">
        <w:r w:rsidRPr="00DD47EB">
          <w:rPr>
            <w:rStyle w:val="TextoNormalCaracter"/>
          </w:rPr>
          <w:t>47/2015</w:t>
        </w:r>
      </w:hyperlink>
      <w:r>
        <w:t xml:space="preserve">, f. 1; </w:t>
      </w:r>
      <w:hyperlink w:anchor="SENTENCIA_2015_77" w:history="1">
        <w:r w:rsidRPr="00DD47EB">
          <w:rPr>
            <w:rStyle w:val="TextoNormalCaracter"/>
          </w:rPr>
          <w:t>77/2015</w:t>
        </w:r>
      </w:hyperlink>
      <w:r>
        <w:t xml:space="preserve">, ff. 1, 2, VP; </w:t>
      </w:r>
      <w:hyperlink w:anchor="SENTENCIA_2015_110" w:history="1">
        <w:r w:rsidRPr="00DD47EB">
          <w:rPr>
            <w:rStyle w:val="TextoNormalCaracter"/>
          </w:rPr>
          <w:t>110/2015</w:t>
        </w:r>
      </w:hyperlink>
      <w:r>
        <w:t xml:space="preserve">, ff. 2, 4, 9, VP; </w:t>
      </w:r>
      <w:hyperlink w:anchor="SENTENCIA_2015_143" w:history="1">
        <w:r w:rsidRPr="00DD47EB">
          <w:rPr>
            <w:rStyle w:val="TextoNormalCaracter"/>
          </w:rPr>
          <w:t>143/2015</w:t>
        </w:r>
      </w:hyperlink>
      <w:r>
        <w:t>, f. 3.</w:t>
      </w:r>
    </w:p>
    <w:p w:rsidR="00DD47EB" w:rsidRDefault="00DD47EB" w:rsidP="00DD47EB">
      <w:pPr>
        <w:pStyle w:val="SangriaIzquierdaArticulo"/>
      </w:pPr>
      <w:r>
        <w:t xml:space="preserve">Autos </w:t>
      </w:r>
      <w:hyperlink w:anchor="AUTO_2015_111" w:history="1">
        <w:r w:rsidRPr="00DD47EB">
          <w:rPr>
            <w:rStyle w:val="TextoNormalCaracter"/>
          </w:rPr>
          <w:t>111/2015</w:t>
        </w:r>
      </w:hyperlink>
      <w:r>
        <w:t xml:space="preserve">, f. 2; </w:t>
      </w:r>
      <w:hyperlink w:anchor="AUTO_2015_112" w:history="1">
        <w:r w:rsidRPr="00DD47EB">
          <w:rPr>
            <w:rStyle w:val="TextoNormalCaracter"/>
          </w:rPr>
          <w:t>112/2015</w:t>
        </w:r>
      </w:hyperlink>
      <w:r>
        <w:t>, f. 1.</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145" w:history="1">
        <w:r w:rsidRPr="00DD47EB">
          <w:rPr>
            <w:rStyle w:val="TextoNormalCaracter"/>
          </w:rPr>
          <w:t>145/2015</w:t>
        </w:r>
      </w:hyperlink>
      <w:r>
        <w:t>, VP I, VP III.</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145" w:history="1">
        <w:r w:rsidRPr="00DD47EB">
          <w:rPr>
            <w:rStyle w:val="TextoNormalCaracter"/>
          </w:rPr>
          <w:t>145/2015</w:t>
        </w:r>
      </w:hyperlink>
      <w:r>
        <w:t>, VP I, VP II, VP III.</w:t>
      </w:r>
    </w:p>
    <w:p w:rsidR="00DD47EB" w:rsidRDefault="00DD47EB" w:rsidP="00DD47EB">
      <w:pPr>
        <w:pStyle w:val="SangriaFrancesaArticulo"/>
      </w:pPr>
      <w:r w:rsidRPr="00DD47EB">
        <w:rPr>
          <w:rStyle w:val="TextoNormalNegritaCaracter"/>
        </w:rPr>
        <w:t>Artículo 16.1.</w:t>
      </w:r>
      <w:r w:rsidRPr="00DD47EB">
        <w:rPr>
          <w:rStyle w:val="TextoNormalCaracter"/>
        </w:rPr>
        <w:t>-</w:t>
      </w:r>
      <w:r>
        <w:t xml:space="preserve"> Sentencia </w:t>
      </w:r>
      <w:hyperlink w:anchor="SENTENCIA_2015_145" w:history="1">
        <w:r w:rsidRPr="00DD47EB">
          <w:rPr>
            <w:rStyle w:val="TextoNormalCaracter"/>
          </w:rPr>
          <w:t>145/2015</w:t>
        </w:r>
      </w:hyperlink>
      <w:r>
        <w:t>, ff. 1, 2, 4 a 6, VP I, VP II.</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Autos </w:t>
      </w:r>
      <w:hyperlink w:anchor="AUTO_2015_18" w:history="1">
        <w:r w:rsidRPr="00DD47EB">
          <w:rPr>
            <w:rStyle w:val="TextoNormalCaracter"/>
          </w:rPr>
          <w:t>18/2015</w:t>
        </w:r>
      </w:hyperlink>
      <w:r>
        <w:t xml:space="preserve">, f. único; </w:t>
      </w:r>
      <w:hyperlink w:anchor="AUTO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17.1.</w:t>
      </w:r>
      <w:r w:rsidRPr="00DD47EB">
        <w:rPr>
          <w:rStyle w:val="TextoNormalCaracter"/>
        </w:rPr>
        <w:t>-</w:t>
      </w:r>
      <w:r>
        <w:t xml:space="preserve"> Sentencias </w:t>
      </w:r>
      <w:hyperlink w:anchor="SENTENCIA_2015_42" w:history="1">
        <w:r w:rsidRPr="00DD47EB">
          <w:rPr>
            <w:rStyle w:val="TextoNormalCaracter"/>
          </w:rPr>
          <w:t>42/2015</w:t>
        </w:r>
      </w:hyperlink>
      <w:r>
        <w:t xml:space="preserve">, ff. 1 a 5; </w:t>
      </w:r>
      <w:hyperlink w:anchor="SENTENCIA_2015_63" w:history="1">
        <w:r w:rsidRPr="00DD47EB">
          <w:rPr>
            <w:rStyle w:val="TextoNormalCaracter"/>
          </w:rPr>
          <w:t>63/2015</w:t>
        </w:r>
      </w:hyperlink>
      <w:r>
        <w:t>, ff. 1, 3, 5, VP.</w:t>
      </w:r>
    </w:p>
    <w:p w:rsidR="00DD47EB" w:rsidRDefault="00DD47EB" w:rsidP="00DD47EB">
      <w:pPr>
        <w:pStyle w:val="SangriaIzquierdaArticulo"/>
      </w:pPr>
      <w:r>
        <w:t xml:space="preserve">Auto </w:t>
      </w:r>
      <w:hyperlink w:anchor="AUTO_2015_73" w:history="1">
        <w:r w:rsidRPr="00DD47EB">
          <w:rPr>
            <w:rStyle w:val="TextoNormalCaracter"/>
          </w:rPr>
          <w:t>73/2015</w:t>
        </w:r>
      </w:hyperlink>
      <w:r>
        <w:t>, f. 1.</w:t>
      </w:r>
    </w:p>
    <w:p w:rsidR="00DD47EB" w:rsidRDefault="00DD47EB" w:rsidP="00DD47EB">
      <w:pPr>
        <w:pStyle w:val="SangriaFrancesaArticulo"/>
      </w:pPr>
      <w:r w:rsidRPr="00DD47EB">
        <w:rPr>
          <w:rStyle w:val="TextoNormalNegritaCaracter"/>
        </w:rPr>
        <w:t>Artículo 17.3.</w:t>
      </w:r>
      <w:r w:rsidRPr="00DD47EB">
        <w:rPr>
          <w:rStyle w:val="TextoNormalCaracter"/>
        </w:rPr>
        <w:t>-</w:t>
      </w:r>
      <w:r>
        <w:t xml:space="preserve"> Auto </w:t>
      </w:r>
      <w:hyperlink w:anchor="AUTO_2015_73" w:history="1">
        <w:r w:rsidRPr="00DD47EB">
          <w:rPr>
            <w:rStyle w:val="TextoNormalCaracter"/>
          </w:rPr>
          <w:t>73/2015</w:t>
        </w:r>
      </w:hyperlink>
      <w:r>
        <w:t>, f. 1.</w:t>
      </w:r>
    </w:p>
    <w:p w:rsidR="00DD47EB" w:rsidRDefault="00DD47EB" w:rsidP="00DD47EB">
      <w:pPr>
        <w:pStyle w:val="SangriaFrancesaArticulo"/>
      </w:pPr>
      <w:r w:rsidRPr="00DD47EB">
        <w:rPr>
          <w:rStyle w:val="TextoNormalNegritaCaracter"/>
        </w:rPr>
        <w:t>Artículo 17.4.</w:t>
      </w:r>
      <w:r w:rsidRPr="00DD47EB">
        <w:rPr>
          <w:rStyle w:val="TextoNormalCaracter"/>
        </w:rPr>
        <w:t>-</w:t>
      </w:r>
      <w:r>
        <w:t xml:space="preserve"> Sentencia </w:t>
      </w:r>
      <w:hyperlink w:anchor="SENTENCIA_2015_42" w:history="1">
        <w:r w:rsidRPr="00DD47EB">
          <w:rPr>
            <w:rStyle w:val="TextoNormalCaracter"/>
          </w:rPr>
          <w:t>42/2015</w:t>
        </w:r>
      </w:hyperlink>
      <w:r>
        <w:t>, ff. 1 a 5.</w:t>
      </w:r>
    </w:p>
    <w:p w:rsidR="00DD47EB" w:rsidRDefault="00DD47EB" w:rsidP="00DD47EB">
      <w:pPr>
        <w:pStyle w:val="SangriaIzquierdaArticulo"/>
      </w:pPr>
      <w:r>
        <w:t xml:space="preserve">Auto </w:t>
      </w:r>
      <w:hyperlink w:anchor="AUTO_2015_73" w:history="1">
        <w:r w:rsidRPr="00DD47EB">
          <w:rPr>
            <w:rStyle w:val="TextoNormalCaracter"/>
          </w:rPr>
          <w:t>73/2015</w:t>
        </w:r>
      </w:hyperlink>
      <w:r>
        <w:t>, f. 1.</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Sentencias </w:t>
      </w:r>
      <w:hyperlink w:anchor="SENTENCIA_2015_32" w:history="1">
        <w:r w:rsidRPr="00DD47EB">
          <w:rPr>
            <w:rStyle w:val="TextoNormalCaracter"/>
          </w:rPr>
          <w:t>32/2015</w:t>
        </w:r>
      </w:hyperlink>
      <w:r>
        <w:t xml:space="preserve">, f. 1; </w:t>
      </w:r>
      <w:hyperlink w:anchor="SENTENCIA_2015_54" w:history="1">
        <w:r w:rsidRPr="00DD47EB">
          <w:rPr>
            <w:rStyle w:val="TextoNormalCaracter"/>
          </w:rPr>
          <w:t>54/2015</w:t>
        </w:r>
      </w:hyperlink>
      <w:r>
        <w:t>, f. 5.</w:t>
      </w:r>
    </w:p>
    <w:p w:rsidR="00DD47EB" w:rsidRDefault="00DD47EB" w:rsidP="00DD47EB">
      <w:pPr>
        <w:pStyle w:val="SangriaFrancesaArticulo"/>
      </w:pPr>
      <w:r w:rsidRPr="00DD47EB">
        <w:rPr>
          <w:rStyle w:val="TextoNormalNegritaCaracter"/>
        </w:rPr>
        <w:t>Artículo 18.1.</w:t>
      </w:r>
      <w:r w:rsidRPr="00DD47EB">
        <w:rPr>
          <w:rStyle w:val="TextoNormalCaracter"/>
        </w:rPr>
        <w:t>-</w:t>
      </w:r>
      <w:r>
        <w:t xml:space="preserve"> Sentencias </w:t>
      </w:r>
      <w:hyperlink w:anchor="SENTENCIA_2015_18" w:history="1">
        <w:r w:rsidRPr="00DD47EB">
          <w:rPr>
            <w:rStyle w:val="TextoNormalCaracter"/>
          </w:rPr>
          <w:t>18/2015</w:t>
        </w:r>
      </w:hyperlink>
      <w:r>
        <w:t xml:space="preserve">, ff. 1, 3 a 7; </w:t>
      </w:r>
      <w:hyperlink w:anchor="SENTENCIA_2015_65" w:history="1">
        <w:r w:rsidRPr="00DD47EB">
          <w:rPr>
            <w:rStyle w:val="TextoNormalCaracter"/>
          </w:rPr>
          <w:t>65/2015</w:t>
        </w:r>
      </w:hyperlink>
      <w:r>
        <w:t>, ff. 1, 3.</w:t>
      </w:r>
    </w:p>
    <w:p w:rsidR="00DD47EB" w:rsidRDefault="00DD47EB" w:rsidP="00DD47EB">
      <w:pPr>
        <w:pStyle w:val="SangriaFrancesaArticulo"/>
      </w:pPr>
      <w:r w:rsidRPr="00DD47EB">
        <w:rPr>
          <w:rStyle w:val="TextoNormalNegritaCaracter"/>
        </w:rPr>
        <w:t>Artículo 18.2.</w:t>
      </w:r>
      <w:r w:rsidRPr="00DD47EB">
        <w:rPr>
          <w:rStyle w:val="TextoNormalCaracter"/>
        </w:rPr>
        <w:t>-</w:t>
      </w:r>
      <w:r>
        <w:t xml:space="preserve"> Sentencia </w:t>
      </w:r>
      <w:hyperlink w:anchor="SENTENCIA_2015_54" w:history="1">
        <w:r w:rsidRPr="00DD47EB">
          <w:rPr>
            <w:rStyle w:val="TextoNormalCaracter"/>
          </w:rPr>
          <w:t>54/2015</w:t>
        </w:r>
      </w:hyperlink>
      <w:r>
        <w:t>, ff. 1, 2, 5, 6, 8, 10.</w:t>
      </w:r>
    </w:p>
    <w:p w:rsidR="00DD47EB" w:rsidRDefault="00DD47EB" w:rsidP="00DD47EB">
      <w:pPr>
        <w:pStyle w:val="SangriaFrancesaArticulo"/>
      </w:pPr>
      <w:r w:rsidRPr="00DD47EB">
        <w:rPr>
          <w:rStyle w:val="TextoNormalNegritaCaracter"/>
        </w:rPr>
        <w:t>Artículo 18.3.</w:t>
      </w:r>
      <w:r w:rsidRPr="00DD47EB">
        <w:rPr>
          <w:rStyle w:val="TextoNormalCaracter"/>
        </w:rPr>
        <w:t>-</w:t>
      </w:r>
      <w:r>
        <w:t xml:space="preserve"> Sentencia </w:t>
      </w:r>
      <w:hyperlink w:anchor="SENTENCIA_2015_54" w:history="1">
        <w:r w:rsidRPr="00DD47EB">
          <w:rPr>
            <w:rStyle w:val="TextoNormalCaracter"/>
          </w:rPr>
          <w:t>54/2015</w:t>
        </w:r>
      </w:hyperlink>
      <w:r>
        <w:t>, ff. 1, 2, 6.</w:t>
      </w:r>
    </w:p>
    <w:p w:rsidR="00DD47EB" w:rsidRDefault="00DD47EB" w:rsidP="00DD47EB">
      <w:pPr>
        <w:pStyle w:val="SangriaFrancesaArticulo"/>
      </w:pPr>
      <w:r w:rsidRPr="00DD47EB">
        <w:rPr>
          <w:rStyle w:val="TextoNormalNegritaCaracter"/>
        </w:rPr>
        <w:t>Artículo 18.4.</w:t>
      </w:r>
      <w:r w:rsidRPr="00DD47EB">
        <w:rPr>
          <w:rStyle w:val="TextoNormalCaracter"/>
        </w:rPr>
        <w:t>-</w:t>
      </w:r>
      <w:r>
        <w:t xml:space="preserve"> Sentencia </w:t>
      </w:r>
      <w:hyperlink w:anchor="SENTENCIA_2015_31" w:history="1">
        <w:r w:rsidRPr="00DD47EB">
          <w:rPr>
            <w:rStyle w:val="TextoNormalCaracter"/>
          </w:rPr>
          <w:t>31/2015</w:t>
        </w:r>
      </w:hyperlink>
      <w:r>
        <w:t>, ff. 2, 11.</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Sentencia </w:t>
      </w:r>
      <w:hyperlink w:anchor="SENTENCIA_2015_65" w:history="1">
        <w:r w:rsidRPr="00DD47EB">
          <w:rPr>
            <w:rStyle w:val="TextoNormalCaracter"/>
          </w:rPr>
          <w:t>65/2015</w:t>
        </w:r>
      </w:hyperlink>
      <w:r>
        <w:t>, f. 2, VP I.</w:t>
      </w:r>
    </w:p>
    <w:p w:rsidR="00DD47EB" w:rsidRDefault="00DD47EB" w:rsidP="00DD47EB">
      <w:pPr>
        <w:pStyle w:val="SangriaFrancesaArticulo"/>
      </w:pPr>
      <w:r w:rsidRPr="00DD47EB">
        <w:rPr>
          <w:rStyle w:val="TextoNormalNegritaCaracter"/>
        </w:rPr>
        <w:t>Artículo 20.1.</w:t>
      </w:r>
      <w:r w:rsidRPr="00DD47EB">
        <w:rPr>
          <w:rStyle w:val="TextoNormalCaracter"/>
        </w:rPr>
        <w:t>-</w:t>
      </w:r>
      <w:r>
        <w:t xml:space="preserve"> Sentencia </w:t>
      </w:r>
      <w:hyperlink w:anchor="SENTENCIA_2015_65" w:history="1">
        <w:r w:rsidRPr="00DD47EB">
          <w:rPr>
            <w:rStyle w:val="TextoNormalCaracter"/>
          </w:rPr>
          <w:t>65/2015</w:t>
        </w:r>
      </w:hyperlink>
      <w:r>
        <w:t>, f. 4.</w:t>
      </w:r>
    </w:p>
    <w:p w:rsidR="00DD47EB" w:rsidRDefault="00DD47EB" w:rsidP="00DD47EB">
      <w:pPr>
        <w:pStyle w:val="SangriaFrancesaArticulo"/>
      </w:pPr>
      <w:r w:rsidRPr="00DD47EB">
        <w:rPr>
          <w:rStyle w:val="TextoNormalNegritaCaracter"/>
        </w:rPr>
        <w:t>Artículo 20.1 a).</w:t>
      </w:r>
      <w:r w:rsidRPr="00DD47EB">
        <w:rPr>
          <w:rStyle w:val="TextoNormalCaracter"/>
        </w:rPr>
        <w:t>-</w:t>
      </w:r>
      <w:r>
        <w:t xml:space="preserve"> Sentencias </w:t>
      </w:r>
      <w:hyperlink w:anchor="SENTENCIA_2015_24" w:history="1">
        <w:r w:rsidRPr="00DD47EB">
          <w:rPr>
            <w:rStyle w:val="TextoNormalCaracter"/>
          </w:rPr>
          <w:t>24/2015</w:t>
        </w:r>
      </w:hyperlink>
      <w:r>
        <w:t xml:space="preserve">, f. 4; </w:t>
      </w:r>
      <w:hyperlink w:anchor="SENTENCIA_2015_65" w:history="1">
        <w:r w:rsidRPr="00DD47EB">
          <w:rPr>
            <w:rStyle w:val="TextoNormalCaracter"/>
          </w:rPr>
          <w:t>65/2015</w:t>
        </w:r>
      </w:hyperlink>
      <w:r>
        <w:t>, ff. 1 a 5, VP II.</w:t>
      </w:r>
    </w:p>
    <w:p w:rsidR="00DD47EB" w:rsidRDefault="00DD47EB" w:rsidP="00DD47EB">
      <w:pPr>
        <w:pStyle w:val="SangriaFrancesaArticulo"/>
      </w:pPr>
      <w:r w:rsidRPr="00DD47EB">
        <w:rPr>
          <w:rStyle w:val="TextoNormalNegritaCaracter"/>
        </w:rPr>
        <w:t>Artículo 20.1 d).</w:t>
      </w:r>
      <w:r w:rsidRPr="00DD47EB">
        <w:rPr>
          <w:rStyle w:val="TextoNormalCaracter"/>
        </w:rPr>
        <w:t>-</w:t>
      </w:r>
      <w:r>
        <w:t xml:space="preserve"> Sentencias </w:t>
      </w:r>
      <w:hyperlink w:anchor="SENTENCIA_2015_18" w:history="1">
        <w:r w:rsidRPr="00DD47EB">
          <w:rPr>
            <w:rStyle w:val="TextoNormalCaracter"/>
          </w:rPr>
          <w:t>18/2015</w:t>
        </w:r>
      </w:hyperlink>
      <w:r>
        <w:t xml:space="preserve">, ff. 1, 3 a 7; </w:t>
      </w:r>
      <w:hyperlink w:anchor="SENTENCIA_2015_25" w:history="1">
        <w:r w:rsidRPr="00DD47EB">
          <w:rPr>
            <w:rStyle w:val="TextoNormalCaracter"/>
          </w:rPr>
          <w:t>25/2015</w:t>
        </w:r>
      </w:hyperlink>
      <w:r>
        <w:t xml:space="preserve">, VP II; </w:t>
      </w:r>
      <w:hyperlink w:anchor="SENTENCIA_2015_65" w:history="1">
        <w:r w:rsidRPr="00DD47EB">
          <w:rPr>
            <w:rStyle w:val="TextoNormalCaracter"/>
          </w:rPr>
          <w:t>65/2015</w:t>
        </w:r>
      </w:hyperlink>
      <w:r>
        <w:t>, ff. 1, 2.</w:t>
      </w:r>
    </w:p>
    <w:p w:rsidR="00DD47EB" w:rsidRDefault="00DD47EB" w:rsidP="00DD47EB">
      <w:pPr>
        <w:pStyle w:val="SangriaFrancesaArticulo"/>
      </w:pPr>
      <w:r w:rsidRPr="00DD47EB">
        <w:rPr>
          <w:rStyle w:val="TextoNormalNegritaCaracter"/>
        </w:rPr>
        <w:t>Artículo 20.4.</w:t>
      </w:r>
      <w:r w:rsidRPr="00DD47EB">
        <w:rPr>
          <w:rStyle w:val="TextoNormalCaracter"/>
        </w:rPr>
        <w:t>-</w:t>
      </w:r>
      <w:r>
        <w:t xml:space="preserve"> Sentencias </w:t>
      </w:r>
      <w:hyperlink w:anchor="SENTENCIA_2015_18" w:history="1">
        <w:r w:rsidRPr="00DD47EB">
          <w:rPr>
            <w:rStyle w:val="TextoNormalCaracter"/>
          </w:rPr>
          <w:t>18/2015</w:t>
        </w:r>
      </w:hyperlink>
      <w:r>
        <w:t xml:space="preserve">, f. 5; </w:t>
      </w:r>
      <w:hyperlink w:anchor="SENTENCIA_2015_65" w:history="1">
        <w:r w:rsidRPr="00DD47EB">
          <w:rPr>
            <w:rStyle w:val="TextoNormalCaracter"/>
          </w:rPr>
          <w:t>65/2015</w:t>
        </w:r>
      </w:hyperlink>
      <w:r>
        <w:t>, ff. 1, 3.</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24" w:history="1">
        <w:r w:rsidRPr="00DD47EB">
          <w:rPr>
            <w:rStyle w:val="TextoNormalCaracter"/>
          </w:rPr>
          <w:t>24/2015</w:t>
        </w:r>
      </w:hyperlink>
      <w:r>
        <w:t>, ff. 1, 3 a 5.</w:t>
      </w:r>
    </w:p>
    <w:p w:rsidR="00DD47EB" w:rsidRDefault="00DD47EB" w:rsidP="00DD47EB">
      <w:pPr>
        <w:pStyle w:val="SangriaFrancesaArticulo"/>
      </w:pPr>
      <w:r w:rsidRPr="00DD47EB">
        <w:rPr>
          <w:rStyle w:val="TextoNormalNegritaCaracter"/>
        </w:rPr>
        <w:t>Artículo 21.2.</w:t>
      </w:r>
      <w:r w:rsidRPr="00DD47EB">
        <w:rPr>
          <w:rStyle w:val="TextoNormalCaracter"/>
        </w:rPr>
        <w:t>-</w:t>
      </w:r>
      <w:r>
        <w:t xml:space="preserve"> Sentencia </w:t>
      </w:r>
      <w:hyperlink w:anchor="SENTENCIA_2015_24" w:history="1">
        <w:r w:rsidRPr="00DD47EB">
          <w:rPr>
            <w:rStyle w:val="TextoNormalCaracter"/>
          </w:rPr>
          <w:t>24/2015</w:t>
        </w:r>
      </w:hyperlink>
      <w:r>
        <w:t>, ff. 1, 3, 4.</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Sentencias </w:t>
      </w:r>
      <w:hyperlink w:anchor="SENTENCIA_2015_1" w:history="1">
        <w:r w:rsidRPr="00DD47EB">
          <w:rPr>
            <w:rStyle w:val="TextoNormalCaracter"/>
          </w:rPr>
          <w:t>1/2015</w:t>
        </w:r>
      </w:hyperlink>
      <w:r>
        <w:t xml:space="preserve">, ff. 1, 2; </w:t>
      </w:r>
      <w:hyperlink w:anchor="SENTENCIA_2015_12" w:history="1">
        <w:r w:rsidRPr="00DD47EB">
          <w:rPr>
            <w:rStyle w:val="TextoNormalCaracter"/>
          </w:rPr>
          <w:t>12/2015</w:t>
        </w:r>
      </w:hyperlink>
      <w:r>
        <w:t xml:space="preserve">, VP I; </w:t>
      </w:r>
      <w:hyperlink w:anchor="SENTENCIA_2015_19" w:history="1">
        <w:r w:rsidRPr="00DD47EB">
          <w:rPr>
            <w:rStyle w:val="TextoNormalCaracter"/>
          </w:rPr>
          <w:t>19/2015</w:t>
        </w:r>
      </w:hyperlink>
      <w:r>
        <w:t xml:space="preserve">, f. 2; </w:t>
      </w:r>
      <w:hyperlink w:anchor="SENTENCIA_2015_23" w:history="1">
        <w:r w:rsidRPr="00DD47EB">
          <w:rPr>
            <w:rStyle w:val="TextoNormalCaracter"/>
          </w:rPr>
          <w:t>23/2015</w:t>
        </w:r>
      </w:hyperlink>
      <w:r>
        <w:t xml:space="preserve">, ff. 1, 2, 8; </w:t>
      </w:r>
      <w:hyperlink w:anchor="SENTENCIA_2015_31" w:history="1">
        <w:r w:rsidRPr="00DD47EB">
          <w:rPr>
            <w:rStyle w:val="TextoNormalCaracter"/>
          </w:rPr>
          <w:t>31/2015</w:t>
        </w:r>
      </w:hyperlink>
      <w:r>
        <w:t xml:space="preserve">, f. 6; </w:t>
      </w:r>
      <w:hyperlink w:anchor="SENTENCIA_2015_32" w:history="1">
        <w:r w:rsidRPr="00DD47EB">
          <w:rPr>
            <w:rStyle w:val="TextoNormalCaracter"/>
          </w:rPr>
          <w:t>32/2015</w:t>
        </w:r>
      </w:hyperlink>
      <w:r>
        <w:t xml:space="preserve">, f. 1; </w:t>
      </w:r>
      <w:hyperlink w:anchor="SENTENCIA_2015_137" w:history="1">
        <w:r w:rsidRPr="00DD47EB">
          <w:rPr>
            <w:rStyle w:val="TextoNormalCaracter"/>
          </w:rPr>
          <w:t>137/2015</w:t>
        </w:r>
      </w:hyperlink>
      <w:r>
        <w:t xml:space="preserve">, f. 4; </w:t>
      </w:r>
      <w:hyperlink w:anchor="SENTENCIA_2015_138" w:history="1">
        <w:r w:rsidRPr="00DD47EB">
          <w:rPr>
            <w:rStyle w:val="TextoNormalCaracter"/>
          </w:rPr>
          <w:t>138/2015</w:t>
        </w:r>
      </w:hyperlink>
      <w:r>
        <w:t xml:space="preserve">, f. 1; </w:t>
      </w:r>
      <w:hyperlink w:anchor="SENTENCIA_2015_147" w:history="1">
        <w:r w:rsidRPr="00DD47EB">
          <w:rPr>
            <w:rStyle w:val="TextoNormalCaracter"/>
          </w:rPr>
          <w:t>147/2015</w:t>
        </w:r>
      </w:hyperlink>
      <w:r>
        <w:t>, ff. 1, 4.</w:t>
      </w:r>
    </w:p>
    <w:p w:rsidR="00DD47EB" w:rsidRDefault="00DD47EB" w:rsidP="00DD47EB">
      <w:pPr>
        <w:pStyle w:val="SangriaIzquierdaArticulo"/>
      </w:pPr>
      <w:r>
        <w:t xml:space="preserve">Autos </w:t>
      </w:r>
      <w:hyperlink w:anchor="AUTO_2015_78" w:history="1">
        <w:r w:rsidRPr="00DD47EB">
          <w:rPr>
            <w:rStyle w:val="TextoNormalCaracter"/>
          </w:rPr>
          <w:t>78/2015</w:t>
        </w:r>
      </w:hyperlink>
      <w:r>
        <w:t xml:space="preserve">, f. 2; </w:t>
      </w:r>
      <w:hyperlink w:anchor="AUTO_2015_80" w:history="1">
        <w:r w:rsidRPr="00DD47EB">
          <w:rPr>
            <w:rStyle w:val="TextoNormalCaracter"/>
          </w:rPr>
          <w:t>80/2015</w:t>
        </w:r>
      </w:hyperlink>
      <w:r>
        <w:t xml:space="preserve">, ff. 2, 3; </w:t>
      </w:r>
      <w:hyperlink w:anchor="AUTO_2015_81" w:history="1">
        <w:r w:rsidRPr="00DD47EB">
          <w:rPr>
            <w:rStyle w:val="TextoNormalCaracter"/>
          </w:rPr>
          <w:t>81/2015</w:t>
        </w:r>
      </w:hyperlink>
      <w:r>
        <w:t xml:space="preserve">, f. 3; </w:t>
      </w:r>
      <w:hyperlink w:anchor="AUTO_2015_99" w:history="1">
        <w:r w:rsidRPr="00DD47EB">
          <w:rPr>
            <w:rStyle w:val="TextoNormalCaracter"/>
          </w:rPr>
          <w:t>99/2015</w:t>
        </w:r>
      </w:hyperlink>
      <w:r>
        <w:t>, f. 3.</w:t>
      </w:r>
    </w:p>
    <w:p w:rsidR="00DD47EB" w:rsidRDefault="00DD47EB" w:rsidP="00DD47EB">
      <w:pPr>
        <w:pStyle w:val="SangriaFrancesaArticulo"/>
      </w:pPr>
      <w:r w:rsidRPr="00DD47EB">
        <w:rPr>
          <w:rStyle w:val="TextoNormalNegritaCaracter"/>
        </w:rPr>
        <w:t>Artículo 23.1.</w:t>
      </w:r>
      <w:r w:rsidRPr="00DD47EB">
        <w:rPr>
          <w:rStyle w:val="TextoNormalCaracter"/>
        </w:rPr>
        <w:t>-</w:t>
      </w:r>
      <w:r>
        <w:t xml:space="preserve"> Sentencias </w:t>
      </w:r>
      <w:hyperlink w:anchor="SENTENCIA_2015_1" w:history="1">
        <w:r w:rsidRPr="00DD47EB">
          <w:rPr>
            <w:rStyle w:val="TextoNormalCaracter"/>
          </w:rPr>
          <w:t>1/2015</w:t>
        </w:r>
      </w:hyperlink>
      <w:r>
        <w:t xml:space="preserve">, ff. 1 a 3; </w:t>
      </w:r>
      <w:hyperlink w:anchor="SENTENCIA_2015_19" w:history="1">
        <w:r w:rsidRPr="00DD47EB">
          <w:rPr>
            <w:rStyle w:val="TextoNormalCaracter"/>
          </w:rPr>
          <w:t>19/2015</w:t>
        </w:r>
      </w:hyperlink>
      <w:r>
        <w:t xml:space="preserve">, ff. 1 a 5, VP; </w:t>
      </w:r>
      <w:hyperlink w:anchor="SENTENCIA_2015_23" w:history="1">
        <w:r w:rsidRPr="00DD47EB">
          <w:rPr>
            <w:rStyle w:val="TextoNormalCaracter"/>
          </w:rPr>
          <w:t>23/2015</w:t>
        </w:r>
      </w:hyperlink>
      <w:r>
        <w:t xml:space="preserve">, ff. 1 a 3; </w:t>
      </w:r>
      <w:hyperlink w:anchor="SENTENCIA_2015_31" w:history="1">
        <w:r w:rsidRPr="00DD47EB">
          <w:rPr>
            <w:rStyle w:val="TextoNormalCaracter"/>
          </w:rPr>
          <w:t>31/2015</w:t>
        </w:r>
      </w:hyperlink>
      <w:r>
        <w:t xml:space="preserve">, ff. 2 a 10; </w:t>
      </w:r>
      <w:hyperlink w:anchor="SENTENCIA_2015_32" w:history="1">
        <w:r w:rsidRPr="00DD47EB">
          <w:rPr>
            <w:rStyle w:val="TextoNormalCaracter"/>
          </w:rPr>
          <w:t>32/2015</w:t>
        </w:r>
      </w:hyperlink>
      <w:r>
        <w:t xml:space="preserve">, f. 3; </w:t>
      </w:r>
      <w:hyperlink w:anchor="SENTENCIA_2015_86" w:history="1">
        <w:r w:rsidRPr="00DD47EB">
          <w:rPr>
            <w:rStyle w:val="TextoNormalCaracter"/>
          </w:rPr>
          <w:t>86/2015</w:t>
        </w:r>
      </w:hyperlink>
      <w:r>
        <w:t xml:space="preserve">, f. 1; </w:t>
      </w:r>
      <w:hyperlink w:anchor="SENTENCIA_2015_137" w:history="1">
        <w:r w:rsidRPr="00DD47EB">
          <w:rPr>
            <w:rStyle w:val="TextoNormalCaracter"/>
          </w:rPr>
          <w:t>137/2015</w:t>
        </w:r>
      </w:hyperlink>
      <w:r>
        <w:t xml:space="preserve">, ff. 1, 3 a 5, 7, 8; </w:t>
      </w:r>
      <w:hyperlink w:anchor="SENTENCIA_2015_147" w:history="1">
        <w:r w:rsidRPr="00DD47EB">
          <w:rPr>
            <w:rStyle w:val="TextoNormalCaracter"/>
          </w:rPr>
          <w:t>147/2015</w:t>
        </w:r>
      </w:hyperlink>
      <w:r>
        <w:t>, f. 4.</w:t>
      </w:r>
    </w:p>
    <w:p w:rsidR="00DD47EB" w:rsidRDefault="00DD47EB" w:rsidP="00DD47EB">
      <w:pPr>
        <w:pStyle w:val="SangriaIzquierdaArticulo"/>
      </w:pPr>
      <w:r>
        <w:t xml:space="preserve">Autos </w:t>
      </w:r>
      <w:hyperlink w:anchor="AUTO_2015_53" w:history="1">
        <w:r w:rsidRPr="00DD47EB">
          <w:rPr>
            <w:rStyle w:val="TextoNormalCaracter"/>
          </w:rPr>
          <w:t>53/2015</w:t>
        </w:r>
      </w:hyperlink>
      <w:r>
        <w:t xml:space="preserve">, f. 4; </w:t>
      </w:r>
      <w:hyperlink w:anchor="AUTO_2015_79" w:history="1">
        <w:r w:rsidRPr="00DD47EB">
          <w:rPr>
            <w:rStyle w:val="TextoNormalCaracter"/>
          </w:rPr>
          <w:t>79/2015</w:t>
        </w:r>
      </w:hyperlink>
      <w:r>
        <w:t>, f. 1.</w:t>
      </w:r>
    </w:p>
    <w:p w:rsidR="00DD47EB" w:rsidRDefault="00DD47EB" w:rsidP="00DD47EB">
      <w:pPr>
        <w:pStyle w:val="SangriaFrancesaArticulo"/>
      </w:pPr>
      <w:r w:rsidRPr="00DD47EB">
        <w:rPr>
          <w:rStyle w:val="TextoNormalNegritaCaracter"/>
        </w:rPr>
        <w:t>Artículo 23.2.</w:t>
      </w:r>
      <w:r w:rsidRPr="00DD47EB">
        <w:rPr>
          <w:rStyle w:val="TextoNormalCaracter"/>
        </w:rPr>
        <w:t>-</w:t>
      </w:r>
      <w:r>
        <w:t xml:space="preserve"> Sentencias </w:t>
      </w:r>
      <w:hyperlink w:anchor="SENTENCIA_2015_1" w:history="1">
        <w:r w:rsidRPr="00DD47EB">
          <w:rPr>
            <w:rStyle w:val="TextoNormalCaracter"/>
          </w:rPr>
          <w:t>1/2015</w:t>
        </w:r>
      </w:hyperlink>
      <w:r>
        <w:t xml:space="preserve">, ff. 1, 3 a 5, 7; </w:t>
      </w:r>
      <w:hyperlink w:anchor="SENTENCIA_2015_8" w:history="1">
        <w:r w:rsidRPr="00DD47EB">
          <w:rPr>
            <w:rStyle w:val="TextoNormalCaracter"/>
          </w:rPr>
          <w:t>8/2015</w:t>
        </w:r>
      </w:hyperlink>
      <w:r>
        <w:t xml:space="preserve">, ff. 1, 9, 10; </w:t>
      </w:r>
      <w:hyperlink w:anchor="SENTENCIA_2015_15" w:history="1">
        <w:r w:rsidRPr="00DD47EB">
          <w:rPr>
            <w:rStyle w:val="TextoNormalCaracter"/>
          </w:rPr>
          <w:t>15/2015</w:t>
        </w:r>
      </w:hyperlink>
      <w:r>
        <w:t xml:space="preserve">, ff. 3, 6; </w:t>
      </w:r>
      <w:hyperlink w:anchor="SENTENCIA_2015_23" w:history="1">
        <w:r w:rsidRPr="00DD47EB">
          <w:rPr>
            <w:rStyle w:val="TextoNormalCaracter"/>
          </w:rPr>
          <w:t>23/2015</w:t>
        </w:r>
      </w:hyperlink>
      <w:r>
        <w:t xml:space="preserve">, ff. 1, 3, 5, 8; </w:t>
      </w:r>
      <w:hyperlink w:anchor="SENTENCIA_2015_23" w:history="1">
        <w:r w:rsidRPr="00DD47EB">
          <w:rPr>
            <w:rStyle w:val="TextoNormalCaracter"/>
          </w:rPr>
          <w:t>23/2015</w:t>
        </w:r>
      </w:hyperlink>
      <w:r>
        <w:t xml:space="preserve">, f. 3; </w:t>
      </w:r>
      <w:hyperlink w:anchor="SENTENCIA_2015_81" w:history="1">
        <w:r w:rsidRPr="00DD47EB">
          <w:rPr>
            <w:rStyle w:val="TextoNormalCaracter"/>
          </w:rPr>
          <w:t>81/2015</w:t>
        </w:r>
      </w:hyperlink>
      <w:r>
        <w:t xml:space="preserve">, f. 6; </w:t>
      </w:r>
      <w:hyperlink w:anchor="SENTENCIA_2015_86" w:history="1">
        <w:r w:rsidRPr="00DD47EB">
          <w:rPr>
            <w:rStyle w:val="TextoNormalCaracter"/>
          </w:rPr>
          <w:t>86/2015</w:t>
        </w:r>
      </w:hyperlink>
      <w:r>
        <w:t>, ff. 1 a 4, 6.</w:t>
      </w:r>
    </w:p>
    <w:p w:rsidR="00DD47EB" w:rsidRDefault="00DD47EB" w:rsidP="00DD47EB">
      <w:pPr>
        <w:pStyle w:val="SangriaIzquierdaArticulo"/>
      </w:pPr>
      <w:r>
        <w:t xml:space="preserve">Autos </w:t>
      </w:r>
      <w:hyperlink w:anchor="AUTO_2015_43" w:history="1">
        <w:r w:rsidRPr="00DD47EB">
          <w:rPr>
            <w:rStyle w:val="TextoNormalCaracter"/>
          </w:rPr>
          <w:t>43/2015</w:t>
        </w:r>
      </w:hyperlink>
      <w:r>
        <w:t xml:space="preserve">, f. único; </w:t>
      </w:r>
      <w:hyperlink w:anchor="AUTO_2015_78" w:history="1">
        <w:r w:rsidRPr="00DD47EB">
          <w:rPr>
            <w:rStyle w:val="TextoNormalCaracter"/>
          </w:rPr>
          <w:t>78/2015</w:t>
        </w:r>
      </w:hyperlink>
      <w:r>
        <w:t xml:space="preserve">, f. 1; </w:t>
      </w:r>
      <w:hyperlink w:anchor="AUTO_2015_79" w:history="1">
        <w:r w:rsidRPr="00DD47EB">
          <w:rPr>
            <w:rStyle w:val="TextoNormalCaracter"/>
          </w:rPr>
          <w:t>79/2015</w:t>
        </w:r>
      </w:hyperlink>
      <w:r>
        <w:t xml:space="preserve">, ff. 1, 2; </w:t>
      </w:r>
      <w:hyperlink w:anchor="AUTO_2015_80" w:history="1">
        <w:r w:rsidRPr="00DD47EB">
          <w:rPr>
            <w:rStyle w:val="TextoNormalCaracter"/>
          </w:rPr>
          <w:t>80/2015</w:t>
        </w:r>
      </w:hyperlink>
      <w:r>
        <w:t xml:space="preserve">, ff. 2, 3; </w:t>
      </w:r>
      <w:hyperlink w:anchor="AUTO_2015_81" w:history="1">
        <w:r w:rsidRPr="00DD47EB">
          <w:rPr>
            <w:rStyle w:val="TextoNormalCaracter"/>
          </w:rPr>
          <w:t>81/2015</w:t>
        </w:r>
      </w:hyperlink>
      <w:r>
        <w:t xml:space="preserve">, ff. 1, 5; </w:t>
      </w:r>
      <w:hyperlink w:anchor="AUTO_2015_99" w:history="1">
        <w:r w:rsidRPr="00DD47EB">
          <w:rPr>
            <w:rStyle w:val="TextoNormalCaracter"/>
          </w:rPr>
          <w:t>99/2015</w:t>
        </w:r>
      </w:hyperlink>
      <w:r>
        <w:t>, ff. 2, 4.</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Sentencias </w:t>
      </w:r>
      <w:hyperlink w:anchor="SENTENCIA_2015_7" w:history="1">
        <w:r w:rsidRPr="00DD47EB">
          <w:rPr>
            <w:rStyle w:val="TextoNormalCaracter"/>
          </w:rPr>
          <w:t>7/2015</w:t>
        </w:r>
      </w:hyperlink>
      <w:r>
        <w:t xml:space="preserve">, f. 4, VP; </w:t>
      </w:r>
      <w:hyperlink w:anchor="SENTENCIA_2015_9" w:history="1">
        <w:r w:rsidRPr="00DD47EB">
          <w:rPr>
            <w:rStyle w:val="TextoNormalCaracter"/>
          </w:rPr>
          <w:t>9/2015</w:t>
        </w:r>
      </w:hyperlink>
      <w:r>
        <w:t xml:space="preserve">, f. 5; </w:t>
      </w:r>
      <w:hyperlink w:anchor="SENTENCIA_2015_12" w:history="1">
        <w:r w:rsidRPr="00DD47EB">
          <w:rPr>
            <w:rStyle w:val="TextoNormalCaracter"/>
          </w:rPr>
          <w:t>12/2015</w:t>
        </w:r>
      </w:hyperlink>
      <w:r>
        <w:t xml:space="preserve">, VP I; </w:t>
      </w:r>
      <w:hyperlink w:anchor="SENTENCIA_2015_28" w:history="1">
        <w:r w:rsidRPr="00DD47EB">
          <w:rPr>
            <w:rStyle w:val="TextoNormalCaracter"/>
          </w:rPr>
          <w:t>28/2015</w:t>
        </w:r>
      </w:hyperlink>
      <w:r>
        <w:t xml:space="preserve">, ff. 1, 2; </w:t>
      </w:r>
      <w:hyperlink w:anchor="SENTENCIA_2015_39" w:history="1">
        <w:r w:rsidRPr="00DD47EB">
          <w:rPr>
            <w:rStyle w:val="TextoNormalCaracter"/>
          </w:rPr>
          <w:t>39/2015</w:t>
        </w:r>
      </w:hyperlink>
      <w:r>
        <w:t xml:space="preserve">, f. 3; </w:t>
      </w:r>
      <w:hyperlink w:anchor="SENTENCIA_2015_53" w:history="1">
        <w:r w:rsidRPr="00DD47EB">
          <w:rPr>
            <w:rStyle w:val="TextoNormalCaracter"/>
          </w:rPr>
          <w:t>53/2015</w:t>
        </w:r>
      </w:hyperlink>
      <w:r>
        <w:t xml:space="preserve">, ff. 1, 3; </w:t>
      </w:r>
      <w:hyperlink w:anchor="SENTENCIA_2015_54" w:history="1">
        <w:r w:rsidRPr="00DD47EB">
          <w:rPr>
            <w:rStyle w:val="TextoNormalCaracter"/>
          </w:rPr>
          <w:t>54/2015</w:t>
        </w:r>
      </w:hyperlink>
      <w:r>
        <w:t xml:space="preserve">, f. 7; </w:t>
      </w:r>
      <w:hyperlink w:anchor="SENTENCIA_2015_63" w:history="1">
        <w:r w:rsidRPr="00DD47EB">
          <w:rPr>
            <w:rStyle w:val="TextoNormalCaracter"/>
          </w:rPr>
          <w:t>63/2015</w:t>
        </w:r>
      </w:hyperlink>
      <w:r>
        <w:t xml:space="preserve">, VP; </w:t>
      </w:r>
      <w:hyperlink w:anchor="SENTENCIA_2015_77" w:history="1">
        <w:r w:rsidRPr="00DD47EB">
          <w:rPr>
            <w:rStyle w:val="TextoNormalCaracter"/>
          </w:rPr>
          <w:t>77/2015</w:t>
        </w:r>
      </w:hyperlink>
      <w:r>
        <w:t xml:space="preserve">, VP; </w:t>
      </w:r>
      <w:hyperlink w:anchor="SENTENCIA_2015_90" w:history="1">
        <w:r w:rsidRPr="00DD47EB">
          <w:rPr>
            <w:rStyle w:val="TextoNormalCaracter"/>
          </w:rPr>
          <w:t>90/2015</w:t>
        </w:r>
      </w:hyperlink>
      <w:r>
        <w:t xml:space="preserve">, ff. 1 a 4; </w:t>
      </w:r>
      <w:hyperlink w:anchor="SENTENCIA_2015_96" w:history="1">
        <w:r w:rsidRPr="00DD47EB">
          <w:rPr>
            <w:rStyle w:val="TextoNormalCaracter"/>
          </w:rPr>
          <w:t>96/2015</w:t>
        </w:r>
      </w:hyperlink>
      <w:r>
        <w:t xml:space="preserve">, f. 1; </w:t>
      </w:r>
      <w:hyperlink w:anchor="SENTENCIA_2015_112" w:history="1">
        <w:r w:rsidRPr="00DD47EB">
          <w:rPr>
            <w:rStyle w:val="TextoNormalCaracter"/>
          </w:rPr>
          <w:t>112/2015</w:t>
        </w:r>
      </w:hyperlink>
      <w:r>
        <w:t xml:space="preserve">, f. 4; </w:t>
      </w:r>
      <w:hyperlink w:anchor="SENTENCIA_2015_124" w:history="1">
        <w:r w:rsidRPr="00DD47EB">
          <w:rPr>
            <w:rStyle w:val="TextoNormalCaracter"/>
          </w:rPr>
          <w:t>124/2015</w:t>
        </w:r>
      </w:hyperlink>
      <w:r>
        <w:t>, f. 5.</w:t>
      </w:r>
    </w:p>
    <w:p w:rsidR="00DD47EB" w:rsidRDefault="00DD47EB" w:rsidP="00DD47EB">
      <w:pPr>
        <w:pStyle w:val="SangriaIzquierdaArticulo"/>
      </w:pPr>
      <w:r>
        <w:t xml:space="preserve">Autos </w:t>
      </w:r>
      <w:hyperlink w:anchor="AUTO_2015_13" w:history="1">
        <w:r w:rsidRPr="00DD47EB">
          <w:rPr>
            <w:rStyle w:val="TextoNormalCaracter"/>
          </w:rPr>
          <w:t>13/2015</w:t>
        </w:r>
      </w:hyperlink>
      <w:r>
        <w:t xml:space="preserve">, f. 2; </w:t>
      </w:r>
      <w:hyperlink w:anchor="AUTO_2015_16" w:history="1">
        <w:r w:rsidRPr="00DD47EB">
          <w:rPr>
            <w:rStyle w:val="TextoNormalCaracter"/>
          </w:rPr>
          <w:t>16/2015</w:t>
        </w:r>
      </w:hyperlink>
      <w:r>
        <w:t xml:space="preserve">, f. único; </w:t>
      </w:r>
      <w:hyperlink w:anchor="AUTO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24.1.</w:t>
      </w:r>
      <w:r w:rsidRPr="00DD47EB">
        <w:rPr>
          <w:rStyle w:val="TextoNormalCaracter"/>
        </w:rPr>
        <w:t>-</w:t>
      </w:r>
      <w:r>
        <w:t xml:space="preserve"> Sentencias </w:t>
      </w:r>
      <w:hyperlink w:anchor="SENTENCIA_2015_2" w:history="1">
        <w:r w:rsidRPr="00DD47EB">
          <w:rPr>
            <w:rStyle w:val="TextoNormalCaracter"/>
          </w:rPr>
          <w:t>2/2015</w:t>
        </w:r>
      </w:hyperlink>
      <w:r>
        <w:t xml:space="preserve">, ff. 1, 8; </w:t>
      </w:r>
      <w:hyperlink w:anchor="SENTENCIA_2015_7" w:history="1">
        <w:r w:rsidRPr="00DD47EB">
          <w:rPr>
            <w:rStyle w:val="TextoNormalCaracter"/>
          </w:rPr>
          <w:t>7/2015</w:t>
        </w:r>
      </w:hyperlink>
      <w:r>
        <w:t xml:space="preserve">, ff. 1 a 3, VP; </w:t>
      </w:r>
      <w:hyperlink w:anchor="SENTENCIA_2015_8" w:history="1">
        <w:r w:rsidRPr="00DD47EB">
          <w:rPr>
            <w:rStyle w:val="TextoNormalCaracter"/>
          </w:rPr>
          <w:t>8/2015</w:t>
        </w:r>
      </w:hyperlink>
      <w:r>
        <w:t xml:space="preserve">, ff. 1, 3 a 5, 7; </w:t>
      </w:r>
      <w:hyperlink w:anchor="SENTENCIA_2015_9" w:history="1">
        <w:r w:rsidRPr="00DD47EB">
          <w:rPr>
            <w:rStyle w:val="TextoNormalCaracter"/>
          </w:rPr>
          <w:t>9/2015</w:t>
        </w:r>
      </w:hyperlink>
      <w:r>
        <w:t xml:space="preserve">, ff. 2 a 5; </w:t>
      </w:r>
      <w:hyperlink w:anchor="SENTENCIA_2015_13" w:history="1">
        <w:r w:rsidRPr="00DD47EB">
          <w:rPr>
            <w:rStyle w:val="TextoNormalCaracter"/>
          </w:rPr>
          <w:t>13/2015</w:t>
        </w:r>
      </w:hyperlink>
      <w:r>
        <w:t xml:space="preserve">, f. 1; </w:t>
      </w:r>
      <w:hyperlink w:anchor="SENTENCIA_2015_16" w:history="1">
        <w:r w:rsidRPr="00DD47EB">
          <w:rPr>
            <w:rStyle w:val="TextoNormalCaracter"/>
          </w:rPr>
          <w:t>16/2015</w:t>
        </w:r>
      </w:hyperlink>
      <w:r>
        <w:t xml:space="preserve">, ff. 1 a 3, VP; </w:t>
      </w:r>
      <w:hyperlink w:anchor="SENTENCIA_2015_17" w:history="1">
        <w:r w:rsidRPr="00DD47EB">
          <w:rPr>
            <w:rStyle w:val="TextoNormalCaracter"/>
          </w:rPr>
          <w:t>17/2015</w:t>
        </w:r>
      </w:hyperlink>
      <w:r>
        <w:t xml:space="preserve">, ff. 1, 2, VP; </w:t>
      </w:r>
      <w:hyperlink w:anchor="SENTENCIA_2015_18" w:history="1">
        <w:r w:rsidRPr="00DD47EB">
          <w:rPr>
            <w:rStyle w:val="TextoNormalCaracter"/>
          </w:rPr>
          <w:t>18/2015</w:t>
        </w:r>
      </w:hyperlink>
      <w:r>
        <w:t xml:space="preserve">, f. 3; </w:t>
      </w:r>
      <w:hyperlink w:anchor="SENTENCIA_2015_20" w:history="1">
        <w:r w:rsidRPr="00DD47EB">
          <w:rPr>
            <w:rStyle w:val="TextoNormalCaracter"/>
          </w:rPr>
          <w:t>20/2015</w:t>
        </w:r>
      </w:hyperlink>
      <w:r>
        <w:t xml:space="preserve">, ff. 1, 2, VP; </w:t>
      </w:r>
      <w:hyperlink w:anchor="SENTENCIA_2015_24" w:history="1">
        <w:r w:rsidRPr="00DD47EB">
          <w:rPr>
            <w:rStyle w:val="TextoNormalCaracter"/>
          </w:rPr>
          <w:t>24/2015</w:t>
        </w:r>
      </w:hyperlink>
      <w:r>
        <w:t xml:space="preserve">, f. 3; </w:t>
      </w:r>
      <w:hyperlink w:anchor="SENTENCIA_2015_33" w:history="1">
        <w:r w:rsidRPr="00DD47EB">
          <w:rPr>
            <w:rStyle w:val="TextoNormalCaracter"/>
          </w:rPr>
          <w:t>33/2015</w:t>
        </w:r>
      </w:hyperlink>
      <w:r>
        <w:t xml:space="preserve">, ff. 1, 3, 6; </w:t>
      </w:r>
      <w:hyperlink w:anchor="SENTENCIA_2015_34" w:history="1">
        <w:r w:rsidRPr="00DD47EB">
          <w:rPr>
            <w:rStyle w:val="TextoNormalCaracter"/>
          </w:rPr>
          <w:t>34/2015</w:t>
        </w:r>
      </w:hyperlink>
      <w:r>
        <w:t xml:space="preserve">, ff. 1 a 3, VP; </w:t>
      </w:r>
      <w:hyperlink w:anchor="SENTENCIA_2015_35" w:history="1">
        <w:r w:rsidRPr="00DD47EB">
          <w:rPr>
            <w:rStyle w:val="TextoNormalCaracter"/>
          </w:rPr>
          <w:t>35/2015</w:t>
        </w:r>
      </w:hyperlink>
      <w:r>
        <w:t xml:space="preserve">, ff. 1 a 3, VP; </w:t>
      </w:r>
      <w:hyperlink w:anchor="SENTENCIA_2015_36" w:history="1">
        <w:r w:rsidRPr="00DD47EB">
          <w:rPr>
            <w:rStyle w:val="TextoNormalCaracter"/>
          </w:rPr>
          <w:t>36/2015</w:t>
        </w:r>
      </w:hyperlink>
      <w:r>
        <w:t xml:space="preserve">, ff. 1 a 3; </w:t>
      </w:r>
      <w:hyperlink w:anchor="SENTENCIA_2015_37" w:history="1">
        <w:r w:rsidRPr="00DD47EB">
          <w:rPr>
            <w:rStyle w:val="TextoNormalCaracter"/>
          </w:rPr>
          <w:t>37/2015</w:t>
        </w:r>
      </w:hyperlink>
      <w:r>
        <w:t xml:space="preserve">, ff. 1, 2; </w:t>
      </w:r>
      <w:hyperlink w:anchor="SENTENCIA_2015_38" w:history="1">
        <w:r w:rsidRPr="00DD47EB">
          <w:rPr>
            <w:rStyle w:val="TextoNormalCaracter"/>
          </w:rPr>
          <w:t>38/2015</w:t>
        </w:r>
      </w:hyperlink>
      <w:r>
        <w:t xml:space="preserve">, ff. 1, 2; </w:t>
      </w:r>
      <w:hyperlink w:anchor="SENTENCIA_2015_39" w:history="1">
        <w:r w:rsidRPr="00DD47EB">
          <w:rPr>
            <w:rStyle w:val="TextoNormalCaracter"/>
          </w:rPr>
          <w:t>39/2015</w:t>
        </w:r>
      </w:hyperlink>
      <w:r>
        <w:t xml:space="preserve">, ff. 1, 3, 4; </w:t>
      </w:r>
      <w:hyperlink w:anchor="SENTENCIA_2015_40" w:history="1">
        <w:r w:rsidRPr="00DD47EB">
          <w:rPr>
            <w:rStyle w:val="TextoNormalCaracter"/>
          </w:rPr>
          <w:t>40/2015</w:t>
        </w:r>
      </w:hyperlink>
      <w:r>
        <w:t xml:space="preserve">, ff. 1 a 3; </w:t>
      </w:r>
      <w:hyperlink w:anchor="SENTENCIA_2015_50" w:history="1">
        <w:r w:rsidRPr="00DD47EB">
          <w:rPr>
            <w:rStyle w:val="TextoNormalCaracter"/>
          </w:rPr>
          <w:t>50/2015</w:t>
        </w:r>
      </w:hyperlink>
      <w:r>
        <w:t xml:space="preserve">, ff. 1, 2, 8; </w:t>
      </w:r>
      <w:hyperlink w:anchor="SENTENCIA_2015_51" w:history="1">
        <w:r w:rsidRPr="00DD47EB">
          <w:rPr>
            <w:rStyle w:val="TextoNormalCaracter"/>
          </w:rPr>
          <w:t>51/2015</w:t>
        </w:r>
      </w:hyperlink>
      <w:r>
        <w:t xml:space="preserve">, ff. 1, 2; </w:t>
      </w:r>
      <w:hyperlink w:anchor="SENTENCIA_2015_52" w:history="1">
        <w:r w:rsidRPr="00DD47EB">
          <w:rPr>
            <w:rStyle w:val="TextoNormalCaracter"/>
          </w:rPr>
          <w:t>52/2015</w:t>
        </w:r>
      </w:hyperlink>
      <w:r>
        <w:t xml:space="preserve">, ff. 1, 2; </w:t>
      </w:r>
      <w:hyperlink w:anchor="SENTENCIA_2015_53" w:history="1">
        <w:r w:rsidRPr="00DD47EB">
          <w:rPr>
            <w:rStyle w:val="TextoNormalCaracter"/>
          </w:rPr>
          <w:t>53/2015</w:t>
        </w:r>
      </w:hyperlink>
      <w:r>
        <w:t xml:space="preserve">, ff. 2, 3, VP; </w:t>
      </w:r>
      <w:hyperlink w:anchor="SENTENCIA_2015_55" w:history="1">
        <w:r w:rsidRPr="00DD47EB">
          <w:rPr>
            <w:rStyle w:val="TextoNormalCaracter"/>
          </w:rPr>
          <w:t>55/2015</w:t>
        </w:r>
      </w:hyperlink>
      <w:r>
        <w:t xml:space="preserve">, ff. 1 a 3, 5; </w:t>
      </w:r>
      <w:hyperlink w:anchor="SENTENCIA_2015_63" w:history="1">
        <w:r w:rsidRPr="00DD47EB">
          <w:rPr>
            <w:rStyle w:val="TextoNormalCaracter"/>
          </w:rPr>
          <w:t>63/2015</w:t>
        </w:r>
      </w:hyperlink>
      <w:r>
        <w:t xml:space="preserve">, ff. 1, 2, 5; </w:t>
      </w:r>
      <w:hyperlink w:anchor="SENTENCIA_2015_64" w:history="1">
        <w:r w:rsidRPr="00DD47EB">
          <w:rPr>
            <w:rStyle w:val="TextoNormalCaracter"/>
          </w:rPr>
          <w:t>64/2015</w:t>
        </w:r>
      </w:hyperlink>
      <w:r>
        <w:t xml:space="preserve">, ff. 1, 2; </w:t>
      </w:r>
      <w:hyperlink w:anchor="SENTENCIA_2015_67" w:history="1">
        <w:r w:rsidRPr="00DD47EB">
          <w:rPr>
            <w:rStyle w:val="TextoNormalCaracter"/>
          </w:rPr>
          <w:t>67/2015</w:t>
        </w:r>
      </w:hyperlink>
      <w:r>
        <w:t xml:space="preserve">, ff. 1 a 3, VP; </w:t>
      </w:r>
      <w:hyperlink w:anchor="SENTENCIA_2015_68" w:history="1">
        <w:r w:rsidRPr="00DD47EB">
          <w:rPr>
            <w:rStyle w:val="TextoNormalCaracter"/>
          </w:rPr>
          <w:t>68/2015</w:t>
        </w:r>
      </w:hyperlink>
      <w:r>
        <w:t xml:space="preserve">, ff. 1, 2, VP; </w:t>
      </w:r>
      <w:hyperlink w:anchor="SENTENCIA_2015_69" w:history="1">
        <w:r w:rsidRPr="00DD47EB">
          <w:rPr>
            <w:rStyle w:val="TextoNormalCaracter"/>
          </w:rPr>
          <w:t>69/2015</w:t>
        </w:r>
      </w:hyperlink>
      <w:r>
        <w:t xml:space="preserve">, ff. 1 a 3, VP; </w:t>
      </w:r>
      <w:hyperlink w:anchor="SENTENCIA_2015_70" w:history="1">
        <w:r w:rsidRPr="00DD47EB">
          <w:rPr>
            <w:rStyle w:val="TextoNormalCaracter"/>
          </w:rPr>
          <w:t>70/2015</w:t>
        </w:r>
      </w:hyperlink>
      <w:r>
        <w:t xml:space="preserve">, ff. 1, 2, VP; </w:t>
      </w:r>
      <w:hyperlink w:anchor="SENTENCIA_2015_71" w:history="1">
        <w:r w:rsidRPr="00DD47EB">
          <w:rPr>
            <w:rStyle w:val="TextoNormalCaracter"/>
          </w:rPr>
          <w:t>71/2015</w:t>
        </w:r>
      </w:hyperlink>
      <w:r>
        <w:t xml:space="preserve">, ff. 1, 2, VP; </w:t>
      </w:r>
      <w:hyperlink w:anchor="SENTENCIA_2015_72" w:history="1">
        <w:r w:rsidRPr="00DD47EB">
          <w:rPr>
            <w:rStyle w:val="TextoNormalCaracter"/>
          </w:rPr>
          <w:t>72/2015</w:t>
        </w:r>
      </w:hyperlink>
      <w:r>
        <w:t xml:space="preserve">, ff. 1 a 3; </w:t>
      </w:r>
      <w:hyperlink w:anchor="SENTENCIA_2015_74" w:history="1">
        <w:r w:rsidRPr="00DD47EB">
          <w:rPr>
            <w:rStyle w:val="TextoNormalCaracter"/>
          </w:rPr>
          <w:t>74/2015</w:t>
        </w:r>
      </w:hyperlink>
      <w:r>
        <w:t xml:space="preserve">, f. 1; </w:t>
      </w:r>
      <w:hyperlink w:anchor="SENTENCIA_2015_75" w:history="1">
        <w:r w:rsidRPr="00DD47EB">
          <w:rPr>
            <w:rStyle w:val="TextoNormalCaracter"/>
          </w:rPr>
          <w:t>75/2015</w:t>
        </w:r>
      </w:hyperlink>
      <w:r>
        <w:t xml:space="preserve">, ff. 1, 2, 3, VP; </w:t>
      </w:r>
      <w:hyperlink w:anchor="SENTENCIA_2015_76" w:history="1">
        <w:r w:rsidRPr="00DD47EB">
          <w:rPr>
            <w:rStyle w:val="TextoNormalCaracter"/>
          </w:rPr>
          <w:t>76/2015</w:t>
        </w:r>
      </w:hyperlink>
      <w:r>
        <w:t xml:space="preserve">, ff. 1, 2; </w:t>
      </w:r>
      <w:hyperlink w:anchor="SENTENCIA_2015_77" w:history="1">
        <w:r w:rsidRPr="00DD47EB">
          <w:rPr>
            <w:rStyle w:val="TextoNormalCaracter"/>
          </w:rPr>
          <w:t>77/2015</w:t>
        </w:r>
      </w:hyperlink>
      <w:r>
        <w:t xml:space="preserve">, VP; </w:t>
      </w:r>
      <w:hyperlink w:anchor="SENTENCIA_2015_78" w:history="1">
        <w:r w:rsidRPr="00DD47EB">
          <w:rPr>
            <w:rStyle w:val="TextoNormalCaracter"/>
          </w:rPr>
          <w:t>78/2015</w:t>
        </w:r>
      </w:hyperlink>
      <w:r>
        <w:t xml:space="preserve">, ff. 1 a 3, VP; </w:t>
      </w:r>
      <w:hyperlink w:anchor="SENTENCIA_2015_79" w:history="1">
        <w:r w:rsidRPr="00DD47EB">
          <w:rPr>
            <w:rStyle w:val="TextoNormalCaracter"/>
          </w:rPr>
          <w:t>79/2015</w:t>
        </w:r>
      </w:hyperlink>
      <w:r>
        <w:t xml:space="preserve">, ff. 1, 4; </w:t>
      </w:r>
      <w:hyperlink w:anchor="SENTENCIA_2015_80" w:history="1">
        <w:r w:rsidRPr="00DD47EB">
          <w:rPr>
            <w:rStyle w:val="TextoNormalCaracter"/>
          </w:rPr>
          <w:t>80/2015</w:t>
        </w:r>
      </w:hyperlink>
      <w:r>
        <w:t xml:space="preserve">, ff. 1 a 3; </w:t>
      </w:r>
      <w:hyperlink w:anchor="SENTENCIA_2015_82" w:history="1">
        <w:r w:rsidRPr="00DD47EB">
          <w:rPr>
            <w:rStyle w:val="TextoNormalCaracter"/>
          </w:rPr>
          <w:t>82/2015</w:t>
        </w:r>
      </w:hyperlink>
      <w:r>
        <w:t xml:space="preserve">, ff. 1 a 3; </w:t>
      </w:r>
      <w:hyperlink w:anchor="SENTENCIA_2015_86" w:history="1">
        <w:r w:rsidRPr="00DD47EB">
          <w:rPr>
            <w:rStyle w:val="TextoNormalCaracter"/>
          </w:rPr>
          <w:t>86/2015</w:t>
        </w:r>
      </w:hyperlink>
      <w:r>
        <w:t xml:space="preserve">, ff. 1 a 3; </w:t>
      </w:r>
      <w:hyperlink w:anchor="SENTENCIA_2015_89" w:history="1">
        <w:r w:rsidRPr="00DD47EB">
          <w:rPr>
            <w:rStyle w:val="TextoNormalCaracter"/>
          </w:rPr>
          <w:t>89/2015</w:t>
        </w:r>
      </w:hyperlink>
      <w:r>
        <w:t xml:space="preserve">, ff. 1, 3, 6; </w:t>
      </w:r>
      <w:hyperlink w:anchor="SENTENCIA_2015_90" w:history="1">
        <w:r w:rsidRPr="00DD47EB">
          <w:rPr>
            <w:rStyle w:val="TextoNormalCaracter"/>
          </w:rPr>
          <w:t>90/2015</w:t>
        </w:r>
      </w:hyperlink>
      <w:r>
        <w:t xml:space="preserve">, f. 3; </w:t>
      </w:r>
      <w:hyperlink w:anchor="SENTENCIA_2015_91" w:history="1">
        <w:r w:rsidRPr="00DD47EB">
          <w:rPr>
            <w:rStyle w:val="TextoNormalCaracter"/>
          </w:rPr>
          <w:t>91/2015</w:t>
        </w:r>
      </w:hyperlink>
      <w:r>
        <w:t xml:space="preserve">, ff. 1, 3; </w:t>
      </w:r>
      <w:hyperlink w:anchor="SENTENCIA_2015_96" w:history="1">
        <w:r w:rsidRPr="00DD47EB">
          <w:rPr>
            <w:rStyle w:val="TextoNormalCaracter"/>
          </w:rPr>
          <w:t>96/2015</w:t>
        </w:r>
      </w:hyperlink>
      <w:r>
        <w:t xml:space="preserve">, f. 3; </w:t>
      </w:r>
      <w:hyperlink w:anchor="SENTENCIA_2015_98" w:history="1">
        <w:r w:rsidRPr="00DD47EB">
          <w:rPr>
            <w:rStyle w:val="TextoNormalCaracter"/>
          </w:rPr>
          <w:t>98/2015</w:t>
        </w:r>
      </w:hyperlink>
      <w:r>
        <w:t xml:space="preserve">, ff. 1, 4; </w:t>
      </w:r>
      <w:hyperlink w:anchor="SENTENCIA_2015_99" w:history="1">
        <w:r w:rsidRPr="00DD47EB">
          <w:rPr>
            <w:rStyle w:val="TextoNormalCaracter"/>
          </w:rPr>
          <w:t>99/2015</w:t>
        </w:r>
      </w:hyperlink>
      <w:r>
        <w:t xml:space="preserve">, ff. 1, 3, 4; </w:t>
      </w:r>
      <w:hyperlink w:anchor="SENTENCIA_2015_101" w:history="1">
        <w:r w:rsidRPr="00DD47EB">
          <w:rPr>
            <w:rStyle w:val="TextoNormalCaracter"/>
          </w:rPr>
          <w:t>101/2015</w:t>
        </w:r>
      </w:hyperlink>
      <w:r>
        <w:t xml:space="preserve">, ff. 1 a 6; </w:t>
      </w:r>
      <w:hyperlink w:anchor="SENTENCIA_2015_112" w:history="1">
        <w:r w:rsidRPr="00DD47EB">
          <w:rPr>
            <w:rStyle w:val="TextoNormalCaracter"/>
          </w:rPr>
          <w:t>112/2015</w:t>
        </w:r>
      </w:hyperlink>
      <w:r>
        <w:t xml:space="preserve">, ff. 1, 3, 5, 6, 8; </w:t>
      </w:r>
      <w:hyperlink w:anchor="SENTENCIA_2015_115" w:history="1">
        <w:r w:rsidRPr="00DD47EB">
          <w:rPr>
            <w:rStyle w:val="TextoNormalCaracter"/>
          </w:rPr>
          <w:t>115/2015</w:t>
        </w:r>
      </w:hyperlink>
      <w:r>
        <w:t xml:space="preserve">, ff. 1, 3 a 5; </w:t>
      </w:r>
      <w:hyperlink w:anchor="SENTENCIA_2015_124" w:history="1">
        <w:r w:rsidRPr="00DD47EB">
          <w:rPr>
            <w:rStyle w:val="TextoNormalCaracter"/>
          </w:rPr>
          <w:t>124/2015</w:t>
        </w:r>
      </w:hyperlink>
      <w:r>
        <w:t xml:space="preserve">, ff. 1, 3; </w:t>
      </w:r>
      <w:hyperlink w:anchor="SENTENCIA_2015_139" w:history="1">
        <w:r w:rsidRPr="00DD47EB">
          <w:rPr>
            <w:rStyle w:val="TextoNormalCaracter"/>
          </w:rPr>
          <w:t>139/2015</w:t>
        </w:r>
      </w:hyperlink>
      <w:r>
        <w:t xml:space="preserve">, ff. 1, 2; </w:t>
      </w:r>
      <w:hyperlink w:anchor="SENTENCIA_2015_140" w:history="1">
        <w:r w:rsidRPr="00DD47EB">
          <w:rPr>
            <w:rStyle w:val="TextoNormalCaracter"/>
          </w:rPr>
          <w:t>140/2015</w:t>
        </w:r>
      </w:hyperlink>
      <w:r>
        <w:t xml:space="preserve">, ff. 1, 2; </w:t>
      </w:r>
      <w:hyperlink w:anchor="SENTENCIA_2015_142" w:history="1">
        <w:r w:rsidRPr="00DD47EB">
          <w:rPr>
            <w:rStyle w:val="TextoNormalCaracter"/>
          </w:rPr>
          <w:t>142/2015</w:t>
        </w:r>
      </w:hyperlink>
      <w:r>
        <w:t xml:space="preserve">, ff. 1, 3, 4; </w:t>
      </w:r>
      <w:hyperlink w:anchor="SENTENCIA_2015_145" w:history="1">
        <w:r w:rsidRPr="00DD47EB">
          <w:rPr>
            <w:rStyle w:val="TextoNormalCaracter"/>
          </w:rPr>
          <w:t>145/2015</w:t>
        </w:r>
      </w:hyperlink>
      <w:r>
        <w:t>, ff. 1, 2.</w:t>
      </w:r>
    </w:p>
    <w:p w:rsidR="00DD47EB" w:rsidRDefault="00DD47EB" w:rsidP="00DD47EB">
      <w:pPr>
        <w:pStyle w:val="SangriaIzquierdaArticulo"/>
      </w:pPr>
      <w:r>
        <w:t xml:space="preserve">Autos </w:t>
      </w:r>
      <w:hyperlink w:anchor="AUTO_2015_16" w:history="1">
        <w:r w:rsidRPr="00DD47EB">
          <w:rPr>
            <w:rStyle w:val="TextoNormalCaracter"/>
          </w:rPr>
          <w:t>16/2015</w:t>
        </w:r>
      </w:hyperlink>
      <w:r>
        <w:t xml:space="preserve">, f. único; </w:t>
      </w:r>
      <w:hyperlink w:anchor="AUTO_2015_24" w:history="1">
        <w:r w:rsidRPr="00DD47EB">
          <w:rPr>
            <w:rStyle w:val="TextoNormalCaracter"/>
          </w:rPr>
          <w:t>24/2015</w:t>
        </w:r>
      </w:hyperlink>
      <w:r>
        <w:t xml:space="preserve">, f. único; </w:t>
      </w:r>
      <w:hyperlink w:anchor="AUTO_2015_26" w:history="1">
        <w:r w:rsidRPr="00DD47EB">
          <w:rPr>
            <w:rStyle w:val="TextoNormalCaracter"/>
          </w:rPr>
          <w:t>26/2015</w:t>
        </w:r>
      </w:hyperlink>
      <w:r>
        <w:t xml:space="preserve">, f. 1; </w:t>
      </w:r>
      <w:hyperlink w:anchor="AUTO_2015_33" w:history="1">
        <w:r w:rsidRPr="00DD47EB">
          <w:rPr>
            <w:rStyle w:val="TextoNormalCaracter"/>
          </w:rPr>
          <w:t>33/2015</w:t>
        </w:r>
      </w:hyperlink>
      <w:r>
        <w:t xml:space="preserve">, ff. 1, 2, 4, 5; </w:t>
      </w:r>
      <w:hyperlink w:anchor="AUTO_2015_34" w:history="1">
        <w:r w:rsidRPr="00DD47EB">
          <w:rPr>
            <w:rStyle w:val="TextoNormalCaracter"/>
          </w:rPr>
          <w:t>34/2015</w:t>
        </w:r>
      </w:hyperlink>
      <w:r>
        <w:t xml:space="preserve">, ff. 1, 2, 4, 5; </w:t>
      </w:r>
      <w:hyperlink w:anchor="AUTO_2015_35" w:history="1">
        <w:r w:rsidRPr="00DD47EB">
          <w:rPr>
            <w:rStyle w:val="TextoNormalCaracter"/>
          </w:rPr>
          <w:t>35/2015</w:t>
        </w:r>
      </w:hyperlink>
      <w:r>
        <w:t xml:space="preserve">, ff. 1, 3; </w:t>
      </w:r>
      <w:hyperlink w:anchor="AUTO_2015_43" w:history="1">
        <w:r w:rsidRPr="00DD47EB">
          <w:rPr>
            <w:rStyle w:val="TextoNormalCaracter"/>
          </w:rPr>
          <w:t>43/2015</w:t>
        </w:r>
      </w:hyperlink>
      <w:r>
        <w:t xml:space="preserve">, f. único; </w:t>
      </w:r>
      <w:hyperlink w:anchor="AUTO_2015_45" w:history="1">
        <w:r w:rsidRPr="00DD47EB">
          <w:rPr>
            <w:rStyle w:val="TextoNormalCaracter"/>
          </w:rPr>
          <w:t>45/2015</w:t>
        </w:r>
      </w:hyperlink>
      <w:r>
        <w:t xml:space="preserve">, f. único; </w:t>
      </w:r>
      <w:hyperlink w:anchor="AUTO_2015_49" w:history="1">
        <w:r w:rsidRPr="00DD47EB">
          <w:rPr>
            <w:rStyle w:val="TextoNormalCaracter"/>
          </w:rPr>
          <w:t>49/2015</w:t>
        </w:r>
      </w:hyperlink>
      <w:r>
        <w:t xml:space="preserve">, f. 4; </w:t>
      </w:r>
      <w:hyperlink w:anchor="AUTO_2015_66" w:history="1">
        <w:r w:rsidRPr="00DD47EB">
          <w:rPr>
            <w:rStyle w:val="TextoNormalCaracter"/>
          </w:rPr>
          <w:t>66/2015</w:t>
        </w:r>
      </w:hyperlink>
      <w:r>
        <w:t xml:space="preserve">, f. 1; </w:t>
      </w:r>
      <w:hyperlink w:anchor="AUTO_2015_73" w:history="1">
        <w:r w:rsidRPr="00DD47EB">
          <w:rPr>
            <w:rStyle w:val="TextoNormalCaracter"/>
          </w:rPr>
          <w:t>73/2015</w:t>
        </w:r>
      </w:hyperlink>
      <w:r>
        <w:t xml:space="preserve">, f. 1; </w:t>
      </w:r>
      <w:hyperlink w:anchor="AUTO_2015_78" w:history="1">
        <w:r w:rsidRPr="00DD47EB">
          <w:rPr>
            <w:rStyle w:val="TextoNormalCaracter"/>
          </w:rPr>
          <w:t>78/2015</w:t>
        </w:r>
      </w:hyperlink>
      <w:r>
        <w:t xml:space="preserve">, f. 1; </w:t>
      </w:r>
      <w:hyperlink w:anchor="AUTO_2015_84" w:history="1">
        <w:r w:rsidRPr="00DD47EB">
          <w:rPr>
            <w:rStyle w:val="TextoNormalCaracter"/>
          </w:rPr>
          <w:t>84/2015</w:t>
        </w:r>
      </w:hyperlink>
      <w:r>
        <w:t xml:space="preserve">, ff. 1, 3; </w:t>
      </w:r>
      <w:hyperlink w:anchor="AUTO_2015_86" w:history="1">
        <w:r w:rsidRPr="00DD47EB">
          <w:rPr>
            <w:rStyle w:val="TextoNormalCaracter"/>
          </w:rPr>
          <w:t>86/2015</w:t>
        </w:r>
      </w:hyperlink>
      <w:r>
        <w:t xml:space="preserve">, f. único; </w:t>
      </w:r>
      <w:hyperlink w:anchor="AUTO_2015_98" w:history="1">
        <w:r w:rsidRPr="00DD47EB">
          <w:rPr>
            <w:rStyle w:val="TextoNormalCaracter"/>
          </w:rPr>
          <w:t>98/2015</w:t>
        </w:r>
      </w:hyperlink>
      <w:r>
        <w:t>, f. 1.</w:t>
      </w:r>
    </w:p>
    <w:p w:rsidR="00DD47EB" w:rsidRDefault="00DD47EB" w:rsidP="00DD47EB">
      <w:pPr>
        <w:pStyle w:val="SangriaFrancesaArticulo"/>
      </w:pPr>
      <w:r w:rsidRPr="00DD47EB">
        <w:rPr>
          <w:rStyle w:val="TextoNormalNegritaCaracter"/>
        </w:rPr>
        <w:t>Artículo 24.2.</w:t>
      </w:r>
      <w:r w:rsidRPr="00DD47EB">
        <w:rPr>
          <w:rStyle w:val="TextoNormalCaracter"/>
        </w:rPr>
        <w:t>-</w:t>
      </w:r>
      <w:r>
        <w:t xml:space="preserve"> Sentencias </w:t>
      </w:r>
      <w:hyperlink w:anchor="SENTENCIA_2015_33" w:history="1">
        <w:r w:rsidRPr="00DD47EB">
          <w:rPr>
            <w:rStyle w:val="TextoNormalCaracter"/>
          </w:rPr>
          <w:t>33/2015</w:t>
        </w:r>
      </w:hyperlink>
      <w:r>
        <w:t xml:space="preserve">, ff. 1, 4, 6; </w:t>
      </w:r>
      <w:hyperlink w:anchor="SENTENCIA_2015_54" w:history="1">
        <w:r w:rsidRPr="00DD47EB">
          <w:rPr>
            <w:rStyle w:val="TextoNormalCaracter"/>
          </w:rPr>
          <w:t>54/2015</w:t>
        </w:r>
      </w:hyperlink>
      <w:r>
        <w:t xml:space="preserve">, ff. 2, 4, 7, 8, 10; </w:t>
      </w:r>
      <w:hyperlink w:anchor="SENTENCIA_2015_55" w:history="1">
        <w:r w:rsidRPr="00DD47EB">
          <w:rPr>
            <w:rStyle w:val="TextoNormalCaracter"/>
          </w:rPr>
          <w:t>55/2015</w:t>
        </w:r>
      </w:hyperlink>
      <w:r>
        <w:t xml:space="preserve">, ff. 2, 4, 5; </w:t>
      </w:r>
      <w:hyperlink w:anchor="SENTENCIA_2015_65" w:history="1">
        <w:r w:rsidRPr="00DD47EB">
          <w:rPr>
            <w:rStyle w:val="TextoNormalCaracter"/>
          </w:rPr>
          <w:t>65/2015</w:t>
        </w:r>
      </w:hyperlink>
      <w:r>
        <w:t>, f. 5.</w:t>
      </w:r>
    </w:p>
    <w:p w:rsidR="00DD47EB" w:rsidRDefault="00DD47EB" w:rsidP="00DD47EB">
      <w:pPr>
        <w:pStyle w:val="SangriaIzquierdaArticulo"/>
      </w:pPr>
      <w:r>
        <w:t xml:space="preserve">Auto </w:t>
      </w:r>
      <w:hyperlink w:anchor="AUTO_2015_73" w:history="1">
        <w:r w:rsidRPr="00DD47EB">
          <w:rPr>
            <w:rStyle w:val="TextoNormalCaracter"/>
          </w:rPr>
          <w:t>73/2015</w:t>
        </w:r>
      </w:hyperlink>
      <w:r>
        <w:t>, f. 1.</w:t>
      </w:r>
    </w:p>
    <w:p w:rsidR="00DD47EB" w:rsidRDefault="00DD47EB" w:rsidP="00DD47EB">
      <w:pPr>
        <w:pStyle w:val="SangriaFrancesaArticulo"/>
      </w:pPr>
      <w:r w:rsidRPr="00DD47EB">
        <w:rPr>
          <w:rStyle w:val="TextoNormalNegritaCaracter"/>
        </w:rPr>
        <w:t>Artículo 24.2</w:t>
      </w:r>
      <w:r>
        <w:t xml:space="preserve"> (derecho a la defensa)</w:t>
      </w:r>
      <w:r w:rsidRPr="00DD47EB">
        <w:rPr>
          <w:rStyle w:val="TextoNormalNegritaCaracter"/>
        </w:rPr>
        <w:t>.</w:t>
      </w:r>
      <w:r w:rsidRPr="00DD47EB">
        <w:rPr>
          <w:rStyle w:val="TextoNormalCaracter"/>
        </w:rPr>
        <w:t>-</w:t>
      </w:r>
      <w:r>
        <w:t xml:space="preserve"> Auto </w:t>
      </w:r>
      <w:hyperlink w:anchor="AUTO_2015_73" w:history="1">
        <w:r w:rsidRPr="00DD47EB">
          <w:rPr>
            <w:rStyle w:val="TextoNormalCaracter"/>
          </w:rPr>
          <w:t>73/2015</w:t>
        </w:r>
      </w:hyperlink>
      <w:r>
        <w:t>, f. 1.</w:t>
      </w:r>
    </w:p>
    <w:p w:rsidR="00DD47EB" w:rsidRDefault="00DD47EB" w:rsidP="00DD47EB">
      <w:pPr>
        <w:pStyle w:val="SangriaFrancesaArticulo"/>
      </w:pPr>
      <w:r w:rsidRPr="00DD47EB">
        <w:rPr>
          <w:rStyle w:val="TextoNormalNegritaCaracter"/>
        </w:rPr>
        <w:t>Artículo 24.2</w:t>
      </w:r>
      <w:r>
        <w:t xml:space="preserve"> (derecho a la presunción de inocencia)</w:t>
      </w:r>
      <w:r w:rsidRPr="00DD47EB">
        <w:rPr>
          <w:rStyle w:val="TextoNormalNegritaCaracter"/>
        </w:rPr>
        <w:t>.</w:t>
      </w:r>
      <w:r w:rsidRPr="00DD47EB">
        <w:rPr>
          <w:rStyle w:val="TextoNormalCaracter"/>
        </w:rPr>
        <w:t>-</w:t>
      </w:r>
      <w:r>
        <w:t xml:space="preserve"> Sentencias </w:t>
      </w:r>
      <w:hyperlink w:anchor="SENTENCIA_2015_2" w:history="1">
        <w:r w:rsidRPr="00DD47EB">
          <w:rPr>
            <w:rStyle w:val="TextoNormalCaracter"/>
          </w:rPr>
          <w:t>2/2015</w:t>
        </w:r>
      </w:hyperlink>
      <w:r>
        <w:t xml:space="preserve">, ff. 1, 2, 10; </w:t>
      </w:r>
      <w:hyperlink w:anchor="SENTENCIA_2015_3" w:history="1">
        <w:r w:rsidRPr="00DD47EB">
          <w:rPr>
            <w:rStyle w:val="TextoNormalCaracter"/>
          </w:rPr>
          <w:t>3/2015</w:t>
        </w:r>
      </w:hyperlink>
      <w:r>
        <w:t xml:space="preserve">, ff. 1, 3; </w:t>
      </w:r>
      <w:hyperlink w:anchor="SENTENCIA_2015_4" w:history="1">
        <w:r w:rsidRPr="00DD47EB">
          <w:rPr>
            <w:rStyle w:val="TextoNormalCaracter"/>
          </w:rPr>
          <w:t>4/2015</w:t>
        </w:r>
      </w:hyperlink>
      <w:r>
        <w:t xml:space="preserve">, f. 1; </w:t>
      </w:r>
      <w:hyperlink w:anchor="SENTENCIA_2015_21" w:history="1">
        <w:r w:rsidRPr="00DD47EB">
          <w:rPr>
            <w:rStyle w:val="TextoNormalCaracter"/>
          </w:rPr>
          <w:t>21/2015</w:t>
        </w:r>
      </w:hyperlink>
      <w:r>
        <w:t xml:space="preserve">, f. 1; </w:t>
      </w:r>
      <w:hyperlink w:anchor="SENTENCIA_2015_54" w:history="1">
        <w:r w:rsidRPr="00DD47EB">
          <w:rPr>
            <w:rStyle w:val="TextoNormalCaracter"/>
          </w:rPr>
          <w:t>54/2015</w:t>
        </w:r>
      </w:hyperlink>
      <w:r>
        <w:t xml:space="preserve">, f. 1; </w:t>
      </w:r>
      <w:hyperlink w:anchor="SENTENCIA_2015_55" w:history="1">
        <w:r w:rsidRPr="00DD47EB">
          <w:rPr>
            <w:rStyle w:val="TextoNormalCaracter"/>
          </w:rPr>
          <w:t>55/2015</w:t>
        </w:r>
      </w:hyperlink>
      <w:r>
        <w:t xml:space="preserve">, ff. 1, 2, 4, 5; </w:t>
      </w:r>
      <w:hyperlink w:anchor="SENTENCIA_2015_112" w:history="1">
        <w:r w:rsidRPr="00DD47EB">
          <w:rPr>
            <w:rStyle w:val="TextoNormalCaracter"/>
          </w:rPr>
          <w:t>112/2015</w:t>
        </w:r>
      </w:hyperlink>
      <w:r>
        <w:t>, ff. 1, 7.</w:t>
      </w:r>
    </w:p>
    <w:p w:rsidR="00DD47EB" w:rsidRDefault="00DD47EB" w:rsidP="00DD47EB">
      <w:pPr>
        <w:pStyle w:val="SangriaFrancesaArticulo"/>
      </w:pPr>
      <w:r w:rsidRPr="00DD47EB">
        <w:rPr>
          <w:rStyle w:val="TextoNormalNegritaCaracter"/>
        </w:rPr>
        <w:t>Artículo 24.2</w:t>
      </w:r>
      <w:r>
        <w:t xml:space="preserve"> (derecho a un proceso con todas las garantías)</w:t>
      </w:r>
      <w:r w:rsidRPr="00DD47EB">
        <w:rPr>
          <w:rStyle w:val="TextoNormalNegritaCaracter"/>
        </w:rPr>
        <w:t>.</w:t>
      </w:r>
      <w:r w:rsidRPr="00DD47EB">
        <w:rPr>
          <w:rStyle w:val="TextoNormalCaracter"/>
        </w:rPr>
        <w:t>-</w:t>
      </w:r>
      <w:r>
        <w:t xml:space="preserve"> Sentencias </w:t>
      </w:r>
      <w:hyperlink w:anchor="SENTENCIA_2015_54" w:history="1">
        <w:r w:rsidRPr="00DD47EB">
          <w:rPr>
            <w:rStyle w:val="TextoNormalCaracter"/>
          </w:rPr>
          <w:t>54/2015</w:t>
        </w:r>
      </w:hyperlink>
      <w:r>
        <w:t xml:space="preserve">, f. 1; </w:t>
      </w:r>
      <w:hyperlink w:anchor="SENTENCIA_2015_99" w:history="1">
        <w:r w:rsidRPr="00DD47EB">
          <w:rPr>
            <w:rStyle w:val="TextoNormalCaracter"/>
          </w:rPr>
          <w:t>99/2015</w:t>
        </w:r>
      </w:hyperlink>
      <w:r>
        <w:t xml:space="preserve">, f. 5; </w:t>
      </w:r>
      <w:hyperlink w:anchor="SENTENCIA_2015_112" w:history="1">
        <w:r w:rsidRPr="00DD47EB">
          <w:rPr>
            <w:rStyle w:val="TextoNormalCaracter"/>
          </w:rPr>
          <w:t>112/2015</w:t>
        </w:r>
      </w:hyperlink>
      <w:r>
        <w:t>, f. 1.</w:t>
      </w:r>
    </w:p>
    <w:p w:rsidR="00DD47EB" w:rsidRDefault="00DD47EB" w:rsidP="00DD47EB">
      <w:pPr>
        <w:pStyle w:val="SangriaIzquierdaArticulo"/>
      </w:pPr>
      <w:r>
        <w:t xml:space="preserve">Auto </w:t>
      </w:r>
      <w:hyperlink w:anchor="AUTO_2015_26" w:history="1">
        <w:r w:rsidRPr="00DD47EB">
          <w:rPr>
            <w:rStyle w:val="TextoNormalCaracter"/>
          </w:rPr>
          <w:t>26/2015</w:t>
        </w:r>
      </w:hyperlink>
      <w:r>
        <w:t>, f. 1.</w:t>
      </w:r>
    </w:p>
    <w:p w:rsidR="00DD47EB" w:rsidRDefault="00DD47EB" w:rsidP="00DD47EB">
      <w:pPr>
        <w:pStyle w:val="SangriaFrancesaArticulo"/>
      </w:pPr>
      <w:r w:rsidRPr="00DD47EB">
        <w:rPr>
          <w:rStyle w:val="TextoNormalNegritaCaracter"/>
        </w:rPr>
        <w:t>Artículo 24.2</w:t>
      </w:r>
      <w:r>
        <w:t xml:space="preserve"> (derecho a un proceso sin dilaciones)</w:t>
      </w:r>
      <w:r w:rsidRPr="00DD47EB">
        <w:rPr>
          <w:rStyle w:val="TextoNormalNegritaCaracter"/>
        </w:rPr>
        <w:t>.</w:t>
      </w:r>
      <w:r w:rsidRPr="00DD47EB">
        <w:rPr>
          <w:rStyle w:val="TextoNormalCaracter"/>
        </w:rPr>
        <w:t>-</w:t>
      </w:r>
      <w:r>
        <w:t xml:space="preserve"> Sentencias </w:t>
      </w:r>
      <w:hyperlink w:anchor="SENTENCIA_2015_74" w:history="1">
        <w:r w:rsidRPr="00DD47EB">
          <w:rPr>
            <w:rStyle w:val="TextoNormalCaracter"/>
          </w:rPr>
          <w:t>74/2015</w:t>
        </w:r>
      </w:hyperlink>
      <w:r>
        <w:t xml:space="preserve">, ff. 1, 4, 6; </w:t>
      </w:r>
      <w:hyperlink w:anchor="SENTENCIA_2015_87" w:history="1">
        <w:r w:rsidRPr="00DD47EB">
          <w:rPr>
            <w:rStyle w:val="TextoNormalCaracter"/>
          </w:rPr>
          <w:t>87/2015</w:t>
        </w:r>
      </w:hyperlink>
      <w:r>
        <w:t xml:space="preserve">, ff. 1, 5; </w:t>
      </w:r>
      <w:hyperlink w:anchor="SENTENCIA_2015_88" w:history="1">
        <w:r w:rsidRPr="00DD47EB">
          <w:rPr>
            <w:rStyle w:val="TextoNormalCaracter"/>
          </w:rPr>
          <w:t>88/2015</w:t>
        </w:r>
      </w:hyperlink>
      <w:r>
        <w:t>, ff. 1, 4.</w:t>
      </w:r>
    </w:p>
    <w:p w:rsidR="00DD47EB" w:rsidRDefault="00DD47EB" w:rsidP="00DD47EB">
      <w:pPr>
        <w:pStyle w:val="SangriaFrancesaArticulo"/>
      </w:pPr>
      <w:r w:rsidRPr="00DD47EB">
        <w:rPr>
          <w:rStyle w:val="TextoNormalNegritaCaracter"/>
        </w:rPr>
        <w:t>Artículo 24.2</w:t>
      </w:r>
      <w:r>
        <w:t xml:space="preserve"> (derecho al juez ordinario predeterminado por la ley)</w:t>
      </w:r>
      <w:r w:rsidRPr="00DD47EB">
        <w:rPr>
          <w:rStyle w:val="TextoNormalNegritaCaracter"/>
        </w:rPr>
        <w:t>.</w:t>
      </w:r>
      <w:r w:rsidRPr="00DD47EB">
        <w:rPr>
          <w:rStyle w:val="TextoNormalCaracter"/>
        </w:rPr>
        <w:t>-</w:t>
      </w:r>
      <w:r>
        <w:t xml:space="preserve"> Sentencias </w:t>
      </w:r>
      <w:hyperlink w:anchor="SENTENCIA_2015_9" w:history="1">
        <w:r w:rsidRPr="00DD47EB">
          <w:rPr>
            <w:rStyle w:val="TextoNormalCaracter"/>
          </w:rPr>
          <w:t>9/2015</w:t>
        </w:r>
      </w:hyperlink>
      <w:r>
        <w:t xml:space="preserve">, f. 1; </w:t>
      </w:r>
      <w:hyperlink w:anchor="SENTENCIA_2015_99" w:history="1">
        <w:r w:rsidRPr="00DD47EB">
          <w:rPr>
            <w:rStyle w:val="TextoNormalCaracter"/>
          </w:rPr>
          <w:t>99/2015</w:t>
        </w:r>
      </w:hyperlink>
      <w:r>
        <w:t>, ff. 1, 5.</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Sentencias </w:t>
      </w:r>
      <w:hyperlink w:anchor="SENTENCIA_2015_10" w:history="1">
        <w:r w:rsidRPr="00DD47EB">
          <w:rPr>
            <w:rStyle w:val="TextoNormalCaracter"/>
          </w:rPr>
          <w:t>10/2015</w:t>
        </w:r>
      </w:hyperlink>
      <w:r>
        <w:t xml:space="preserve">, f. 1; </w:t>
      </w:r>
      <w:hyperlink w:anchor="SENTENCIA_2015_21" w:history="1">
        <w:r w:rsidRPr="00DD47EB">
          <w:rPr>
            <w:rStyle w:val="TextoNormalCaracter"/>
          </w:rPr>
          <w:t>21/2015</w:t>
        </w:r>
      </w:hyperlink>
      <w:r>
        <w:t xml:space="preserve">, f. 3; </w:t>
      </w:r>
      <w:hyperlink w:anchor="SENTENCIA_2015_63" w:history="1">
        <w:r w:rsidRPr="00DD47EB">
          <w:rPr>
            <w:rStyle w:val="TextoNormalCaracter"/>
          </w:rPr>
          <w:t>63/2015</w:t>
        </w:r>
      </w:hyperlink>
      <w:r>
        <w:t>, VP.</w:t>
      </w:r>
    </w:p>
    <w:p w:rsidR="00DD47EB" w:rsidRDefault="00DD47EB" w:rsidP="00DD47EB">
      <w:pPr>
        <w:pStyle w:val="SangriaIzquierdaArticulo"/>
      </w:pPr>
      <w:r>
        <w:t xml:space="preserve">Autos </w:t>
      </w:r>
      <w:hyperlink w:anchor="AUTO_2015_26" w:history="1">
        <w:r w:rsidRPr="00DD47EB">
          <w:rPr>
            <w:rStyle w:val="TextoNormalCaracter"/>
          </w:rPr>
          <w:t>26/2015</w:t>
        </w:r>
      </w:hyperlink>
      <w:r>
        <w:t xml:space="preserve">, f. 1; </w:t>
      </w:r>
      <w:hyperlink w:anchor="AUTO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25.1.</w:t>
      </w:r>
      <w:r w:rsidRPr="00DD47EB">
        <w:rPr>
          <w:rStyle w:val="TextoNormalCaracter"/>
        </w:rPr>
        <w:t>-</w:t>
      </w:r>
      <w:r>
        <w:t xml:space="preserve"> Sentencias </w:t>
      </w:r>
      <w:hyperlink w:anchor="SENTENCIA_2015_2" w:history="1">
        <w:r w:rsidRPr="00DD47EB">
          <w:rPr>
            <w:rStyle w:val="TextoNormalCaracter"/>
          </w:rPr>
          <w:t>2/2015</w:t>
        </w:r>
      </w:hyperlink>
      <w:r>
        <w:t xml:space="preserve">, ff. 1, 8 a 10; </w:t>
      </w:r>
      <w:hyperlink w:anchor="SENTENCIA_2015_3" w:history="1">
        <w:r w:rsidRPr="00DD47EB">
          <w:rPr>
            <w:rStyle w:val="TextoNormalCaracter"/>
          </w:rPr>
          <w:t>3/2015</w:t>
        </w:r>
      </w:hyperlink>
      <w:r>
        <w:t xml:space="preserve">, ff. 1, 3; </w:t>
      </w:r>
      <w:hyperlink w:anchor="SENTENCIA_2015_4" w:history="1">
        <w:r w:rsidRPr="00DD47EB">
          <w:rPr>
            <w:rStyle w:val="TextoNormalCaracter"/>
          </w:rPr>
          <w:t>4/2015</w:t>
        </w:r>
      </w:hyperlink>
      <w:r>
        <w:t xml:space="preserve">, f. 1; </w:t>
      </w:r>
      <w:hyperlink w:anchor="SENTENCIA_2015_10" w:history="1">
        <w:r w:rsidRPr="00DD47EB">
          <w:rPr>
            <w:rStyle w:val="TextoNormalCaracter"/>
          </w:rPr>
          <w:t>10/2015</w:t>
        </w:r>
      </w:hyperlink>
      <w:r>
        <w:t xml:space="preserve">, ff. 1, 3; </w:t>
      </w:r>
      <w:hyperlink w:anchor="SENTENCIA_2015_21" w:history="1">
        <w:r w:rsidRPr="00DD47EB">
          <w:rPr>
            <w:rStyle w:val="TextoNormalCaracter"/>
          </w:rPr>
          <w:t>21/2015</w:t>
        </w:r>
      </w:hyperlink>
      <w:r>
        <w:t xml:space="preserve">, f. 1; </w:t>
      </w:r>
      <w:hyperlink w:anchor="SENTENCIA_2015_54" w:history="1">
        <w:r w:rsidRPr="00DD47EB">
          <w:rPr>
            <w:rStyle w:val="TextoNormalCaracter"/>
          </w:rPr>
          <w:t>54/2015</w:t>
        </w:r>
      </w:hyperlink>
      <w:r>
        <w:t xml:space="preserve">, f. 7; </w:t>
      </w:r>
      <w:hyperlink w:anchor="SENTENCIA_2015_63" w:history="1">
        <w:r w:rsidRPr="00DD47EB">
          <w:rPr>
            <w:rStyle w:val="TextoNormalCaracter"/>
          </w:rPr>
          <w:t>63/2015</w:t>
        </w:r>
      </w:hyperlink>
      <w:r>
        <w:t xml:space="preserve">, ff. 1, 3, 5; </w:t>
      </w:r>
      <w:hyperlink w:anchor="SENTENCIA_2015_65" w:history="1">
        <w:r w:rsidRPr="00DD47EB">
          <w:rPr>
            <w:rStyle w:val="TextoNormalCaracter"/>
          </w:rPr>
          <w:t>65/2015</w:t>
        </w:r>
      </w:hyperlink>
      <w:r>
        <w:t xml:space="preserve">, f. 3; </w:t>
      </w:r>
      <w:hyperlink w:anchor="SENTENCIA_2015_146" w:history="1">
        <w:r w:rsidRPr="00DD47EB">
          <w:rPr>
            <w:rStyle w:val="TextoNormalCaracter"/>
          </w:rPr>
          <w:t>146/2015</w:t>
        </w:r>
      </w:hyperlink>
      <w:r>
        <w:t>, ff. 1 a 4, VP.</w:t>
      </w:r>
    </w:p>
    <w:p w:rsidR="00DD47EB" w:rsidRDefault="00DD47EB" w:rsidP="00DD47EB">
      <w:pPr>
        <w:pStyle w:val="SangriaIzquierdaArticulo"/>
      </w:pPr>
      <w:r>
        <w:t xml:space="preserve">Autos </w:t>
      </w:r>
      <w:hyperlink w:anchor="AUTO_2015_20" w:history="1">
        <w:r w:rsidRPr="00DD47EB">
          <w:rPr>
            <w:rStyle w:val="TextoNormalCaracter"/>
          </w:rPr>
          <w:t>20/2015</w:t>
        </w:r>
      </w:hyperlink>
      <w:r>
        <w:t xml:space="preserve">, ff. 1, 4, 5; </w:t>
      </w:r>
      <w:hyperlink w:anchor="AUTO_2015_111" w:history="1">
        <w:r w:rsidRPr="00DD47EB">
          <w:rPr>
            <w:rStyle w:val="TextoNormalCaracter"/>
          </w:rPr>
          <w:t>111/2015</w:t>
        </w:r>
      </w:hyperlink>
      <w:r>
        <w:t>, ff. 1, 2.</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 </w:t>
      </w:r>
      <w:hyperlink w:anchor="SENTENCIA_2015_25" w:history="1">
        <w:r w:rsidRPr="00DD47EB">
          <w:rPr>
            <w:rStyle w:val="TextoNormalCaracter"/>
          </w:rPr>
          <w:t>25/2015</w:t>
        </w:r>
      </w:hyperlink>
      <w:r>
        <w:t>, f. 3, VP II.</w:t>
      </w:r>
    </w:p>
    <w:p w:rsidR="00DD47EB" w:rsidRDefault="00DD47EB" w:rsidP="00DD47EB">
      <w:pPr>
        <w:pStyle w:val="SangriaFrancesaArticulo"/>
      </w:pPr>
      <w:r w:rsidRPr="00DD47EB">
        <w:rPr>
          <w:rStyle w:val="TextoNormalNegritaCaracter"/>
        </w:rPr>
        <w:t>Artículo 27.5.</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27.7.</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28.1.</w:t>
      </w:r>
      <w:r w:rsidRPr="00DD47EB">
        <w:rPr>
          <w:rStyle w:val="TextoNormalCaracter"/>
        </w:rPr>
        <w:t>-</w:t>
      </w:r>
      <w:r>
        <w:t xml:space="preserve"> Sentencias </w:t>
      </w:r>
      <w:hyperlink w:anchor="SENTENCIA_2015_8" w:history="1">
        <w:r w:rsidRPr="00DD47EB">
          <w:rPr>
            <w:rStyle w:val="TextoNormalCaracter"/>
          </w:rPr>
          <w:t>8/2015</w:t>
        </w:r>
      </w:hyperlink>
      <w:r>
        <w:t xml:space="preserve">, ff. 1, 2, 4 a 6, 10; </w:t>
      </w:r>
      <w:hyperlink w:anchor="SENTENCIA_2015_13" w:history="1">
        <w:r w:rsidRPr="00DD47EB">
          <w:rPr>
            <w:rStyle w:val="TextoNormalCaracter"/>
          </w:rPr>
          <w:t>13/2015</w:t>
        </w:r>
      </w:hyperlink>
      <w:r>
        <w:t xml:space="preserve">, f. 5; </w:t>
      </w:r>
      <w:hyperlink w:anchor="SENTENCIA_2015_104" w:history="1">
        <w:r w:rsidRPr="00DD47EB">
          <w:rPr>
            <w:rStyle w:val="TextoNormalCaracter"/>
          </w:rPr>
          <w:t>104/2015</w:t>
        </w:r>
      </w:hyperlink>
      <w:r>
        <w:t>, ff. 4, 8, VP.</w:t>
      </w:r>
    </w:p>
    <w:p w:rsidR="00DD47EB" w:rsidRDefault="00DD47EB" w:rsidP="00DD47EB">
      <w:pPr>
        <w:pStyle w:val="SangriaFrancesaArticulo"/>
      </w:pPr>
      <w:r w:rsidRPr="00DD47EB">
        <w:rPr>
          <w:rStyle w:val="TextoNormalNegritaCaracter"/>
        </w:rPr>
        <w:t>Artículo 28.2.</w:t>
      </w:r>
      <w:r w:rsidRPr="00DD47EB">
        <w:rPr>
          <w:rStyle w:val="TextoNormalCaracter"/>
        </w:rPr>
        <w:t>-</w:t>
      </w:r>
      <w:r>
        <w:t xml:space="preserve"> Sentencia </w:t>
      </w:r>
      <w:hyperlink w:anchor="SENTENCIA_2015_8" w:history="1">
        <w:r w:rsidRPr="00DD47EB">
          <w:rPr>
            <w:rStyle w:val="TextoNormalCaracter"/>
          </w:rPr>
          <w:t>8/2015</w:t>
        </w:r>
      </w:hyperlink>
      <w:r>
        <w:t>, f. 2.</w:t>
      </w:r>
    </w:p>
    <w:p w:rsidR="00DD47EB" w:rsidRDefault="00DD47EB" w:rsidP="00DD47EB">
      <w:pPr>
        <w:pStyle w:val="SangriaFrancesaArticulo"/>
      </w:pPr>
      <w:r w:rsidRPr="00DD47EB">
        <w:rPr>
          <w:rStyle w:val="TextoNormalNegritaCaracter"/>
        </w:rPr>
        <w:t>Artículo 30.</w:t>
      </w:r>
      <w:r w:rsidRPr="00DD47EB">
        <w:rPr>
          <w:rStyle w:val="TextoNormalCaracter"/>
        </w:rPr>
        <w:t>-</w:t>
      </w:r>
      <w:r>
        <w:t xml:space="preserve"> Sentencia </w:t>
      </w:r>
      <w:hyperlink w:anchor="SENTENCIA_2015_145" w:history="1">
        <w:r w:rsidRPr="00DD47EB">
          <w:rPr>
            <w:rStyle w:val="TextoNormalCaracter"/>
          </w:rPr>
          <w:t>145/2015</w:t>
        </w:r>
      </w:hyperlink>
      <w:r>
        <w:t>, VP II.</w:t>
      </w:r>
    </w:p>
    <w:p w:rsidR="00DD47EB" w:rsidRDefault="00DD47EB" w:rsidP="00DD47EB">
      <w:pPr>
        <w:pStyle w:val="SangriaFrancesaArticulo"/>
      </w:pPr>
      <w:r w:rsidRPr="00DD47EB">
        <w:rPr>
          <w:rStyle w:val="TextoNormalNegritaCaracter"/>
        </w:rPr>
        <w:t>Artículo 30.2.</w:t>
      </w:r>
      <w:r w:rsidRPr="00DD47EB">
        <w:rPr>
          <w:rStyle w:val="TextoNormalCaracter"/>
        </w:rPr>
        <w:t>-</w:t>
      </w:r>
      <w:r>
        <w:t xml:space="preserve"> Sentencia </w:t>
      </w:r>
      <w:hyperlink w:anchor="SENTENCIA_2015_145" w:history="1">
        <w:r w:rsidRPr="00DD47EB">
          <w:rPr>
            <w:rStyle w:val="TextoNormalCaracter"/>
          </w:rPr>
          <w:t>145/2015</w:t>
        </w:r>
      </w:hyperlink>
      <w:r>
        <w:t>, f. 4, VP I, VP II.</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xml:space="preserve">, f. 2; </w:t>
      </w:r>
      <w:hyperlink w:anchor="SENTENCIA_2015_104" w:history="1">
        <w:r w:rsidRPr="00DD47EB">
          <w:rPr>
            <w:rStyle w:val="TextoNormalCaracter"/>
          </w:rPr>
          <w:t>104/2015</w:t>
        </w:r>
      </w:hyperlink>
      <w:r>
        <w:t xml:space="preserve">, ff. 4, 9; </w:t>
      </w:r>
      <w:hyperlink w:anchor="SENTENCIA_2015_136" w:history="1">
        <w:r w:rsidRPr="00DD47EB">
          <w:rPr>
            <w:rStyle w:val="TextoNormalCaracter"/>
          </w:rPr>
          <w:t>136/2015</w:t>
        </w:r>
      </w:hyperlink>
      <w:r>
        <w:t>, f. 1.</w:t>
      </w:r>
    </w:p>
    <w:p w:rsidR="00DD47EB" w:rsidRDefault="00DD47EB" w:rsidP="00DD47EB">
      <w:pPr>
        <w:pStyle w:val="SangriaFrancesaArticulo"/>
      </w:pPr>
      <w:r w:rsidRPr="00DD47EB">
        <w:rPr>
          <w:rStyle w:val="TextoNormalNegritaCaracter"/>
        </w:rPr>
        <w:t>Artículo 31.1.</w:t>
      </w:r>
      <w:r w:rsidRPr="00DD47EB">
        <w:rPr>
          <w:rStyle w:val="TextoNormalCaracter"/>
        </w:rPr>
        <w:t>-</w:t>
      </w:r>
      <w:r>
        <w:t xml:space="preserve"> Sentencias </w:t>
      </w:r>
      <w:hyperlink w:anchor="SENTENCIA_2015_26" w:history="1">
        <w:r w:rsidRPr="00DD47EB">
          <w:rPr>
            <w:rStyle w:val="TextoNormalCaracter"/>
          </w:rPr>
          <w:t>26/2015</w:t>
        </w:r>
      </w:hyperlink>
      <w:r>
        <w:t xml:space="preserve">, ff. 2, 4, VP; </w:t>
      </w:r>
      <w:hyperlink w:anchor="SENTENCIA_2015_30" w:history="1">
        <w:r w:rsidRPr="00DD47EB">
          <w:rPr>
            <w:rStyle w:val="TextoNormalCaracter"/>
          </w:rPr>
          <w:t>30/2015</w:t>
        </w:r>
      </w:hyperlink>
      <w:r>
        <w:t xml:space="preserve">, f. 2; </w:t>
      </w:r>
      <w:hyperlink w:anchor="SENTENCIA_2015_44" w:history="1">
        <w:r w:rsidRPr="00DD47EB">
          <w:rPr>
            <w:rStyle w:val="TextoNormalCaracter"/>
          </w:rPr>
          <w:t>44/2015</w:t>
        </w:r>
      </w:hyperlink>
      <w:r>
        <w:t xml:space="preserve">, f. 5; </w:t>
      </w:r>
      <w:hyperlink w:anchor="SENTENCIA_2015_59" w:history="1">
        <w:r w:rsidRPr="00DD47EB">
          <w:rPr>
            <w:rStyle w:val="TextoNormalCaracter"/>
          </w:rPr>
          <w:t>59/2015</w:t>
        </w:r>
      </w:hyperlink>
      <w:r>
        <w:t xml:space="preserve">, f. 3; </w:t>
      </w:r>
      <w:hyperlink w:anchor="SENTENCIA_2015_60" w:history="1">
        <w:r w:rsidRPr="00DD47EB">
          <w:rPr>
            <w:rStyle w:val="TextoNormalCaracter"/>
          </w:rPr>
          <w:t>60/2015</w:t>
        </w:r>
      </w:hyperlink>
      <w:r>
        <w:t xml:space="preserve">, ff. 1, 3 a 5; </w:t>
      </w:r>
      <w:hyperlink w:anchor="SENTENCIA_2015_62" w:history="1">
        <w:r w:rsidRPr="00DD47EB">
          <w:rPr>
            <w:rStyle w:val="TextoNormalCaracter"/>
          </w:rPr>
          <w:t>62/2015</w:t>
        </w:r>
      </w:hyperlink>
      <w:r>
        <w:t xml:space="preserve">, f. 3; </w:t>
      </w:r>
      <w:hyperlink w:anchor="SENTENCIA_2015_73" w:history="1">
        <w:r w:rsidRPr="00DD47EB">
          <w:rPr>
            <w:rStyle w:val="TextoNormalCaracter"/>
          </w:rPr>
          <w:t>73/2015</w:t>
        </w:r>
      </w:hyperlink>
      <w:r>
        <w:t xml:space="preserve">, f. 1; </w:t>
      </w:r>
      <w:hyperlink w:anchor="SENTENCIA_2015_77" w:history="1">
        <w:r w:rsidRPr="00DD47EB">
          <w:rPr>
            <w:rStyle w:val="TextoNormalCaracter"/>
          </w:rPr>
          <w:t>77/2015</w:t>
        </w:r>
      </w:hyperlink>
      <w:r>
        <w:t xml:space="preserve">, ff. 3, 4; </w:t>
      </w:r>
      <w:hyperlink w:anchor="SENTENCIA_2015_102" w:history="1">
        <w:r w:rsidRPr="00DD47EB">
          <w:rPr>
            <w:rStyle w:val="TextoNormalCaracter"/>
          </w:rPr>
          <w:t>102/2015</w:t>
        </w:r>
      </w:hyperlink>
      <w:r>
        <w:t xml:space="preserve">, f. 4; </w:t>
      </w:r>
      <w:hyperlink w:anchor="SENTENCIA_2015_107" w:history="1">
        <w:r w:rsidRPr="00DD47EB">
          <w:rPr>
            <w:rStyle w:val="TextoNormalCaracter"/>
          </w:rPr>
          <w:t>107/2015</w:t>
        </w:r>
      </w:hyperlink>
      <w:r>
        <w:t xml:space="preserve">, f. 2; </w:t>
      </w:r>
      <w:hyperlink w:anchor="SENTENCIA_2015_136" w:history="1">
        <w:r w:rsidRPr="00DD47EB">
          <w:rPr>
            <w:rStyle w:val="TextoNormalCaracter"/>
          </w:rPr>
          <w:t>136/2015</w:t>
        </w:r>
      </w:hyperlink>
      <w:r>
        <w:t>, f. 2.</w:t>
      </w:r>
    </w:p>
    <w:p w:rsidR="00DD47EB" w:rsidRDefault="00DD47EB" w:rsidP="00DD47EB">
      <w:pPr>
        <w:pStyle w:val="SangriaIzquierdaArticulo"/>
      </w:pPr>
      <w:r>
        <w:t xml:space="preserve">Autos </w:t>
      </w:r>
      <w:hyperlink w:anchor="AUTO_2015_20" w:history="1">
        <w:r w:rsidRPr="00DD47EB">
          <w:rPr>
            <w:rStyle w:val="TextoNormalCaracter"/>
          </w:rPr>
          <w:t>20/2015</w:t>
        </w:r>
      </w:hyperlink>
      <w:r>
        <w:t xml:space="preserve">, ff. 1, 3; </w:t>
      </w:r>
      <w:hyperlink w:anchor="AUTO_2015_111" w:history="1">
        <w:r w:rsidRPr="00DD47EB">
          <w:rPr>
            <w:rStyle w:val="TextoNormalCaracter"/>
          </w:rPr>
          <w:t>111/2015</w:t>
        </w:r>
      </w:hyperlink>
      <w:r>
        <w:t>, ff. 1, 2.</w:t>
      </w:r>
    </w:p>
    <w:p w:rsidR="00DD47EB" w:rsidRDefault="00DD47EB" w:rsidP="00DD47EB">
      <w:pPr>
        <w:pStyle w:val="SangriaFrancesaArticulo"/>
      </w:pPr>
      <w:r w:rsidRPr="00DD47EB">
        <w:rPr>
          <w:rStyle w:val="TextoNormalNegritaCaracter"/>
        </w:rPr>
        <w:t>Artículo 31.2.</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f. 3.</w:t>
      </w:r>
    </w:p>
    <w:p w:rsidR="00DD47EB" w:rsidRDefault="00DD47EB" w:rsidP="00DD47EB">
      <w:pPr>
        <w:pStyle w:val="SangriaFrancesaArticulo"/>
      </w:pPr>
      <w:r w:rsidRPr="00DD47EB">
        <w:rPr>
          <w:rStyle w:val="TextoNormalNegritaCaracter"/>
        </w:rPr>
        <w:t>Artículo 31.3.</w:t>
      </w:r>
      <w:r w:rsidRPr="00DD47EB">
        <w:rPr>
          <w:rStyle w:val="TextoNormalCaracter"/>
        </w:rPr>
        <w:t>-</w:t>
      </w:r>
      <w:r>
        <w:t xml:space="preserve"> Sentencias </w:t>
      </w:r>
      <w:hyperlink w:anchor="SENTENCIA_2015_26" w:history="1">
        <w:r w:rsidRPr="00DD47EB">
          <w:rPr>
            <w:rStyle w:val="TextoNormalCaracter"/>
          </w:rPr>
          <w:t>26/2015</w:t>
        </w:r>
      </w:hyperlink>
      <w:r>
        <w:t xml:space="preserve">, VP;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xml:space="preserve">, f. 3; </w:t>
      </w:r>
      <w:hyperlink w:anchor="SENTENCIA_2015_107" w:history="1">
        <w:r w:rsidRPr="00DD47EB">
          <w:rPr>
            <w:rStyle w:val="TextoNormalCaracter"/>
          </w:rPr>
          <w:t>107/2015</w:t>
        </w:r>
      </w:hyperlink>
      <w:r>
        <w:t xml:space="preserve">, f. 2; </w:t>
      </w:r>
      <w:hyperlink w:anchor="SENTENCIA_2015_108" w:history="1">
        <w:r w:rsidRPr="00DD47EB">
          <w:rPr>
            <w:rStyle w:val="TextoNormalCaracter"/>
          </w:rPr>
          <w:t>108/2015</w:t>
        </w:r>
      </w:hyperlink>
      <w:r>
        <w:t xml:space="preserve">, f. 3; </w:t>
      </w:r>
      <w:hyperlink w:anchor="SENTENCIA_2015_136" w:history="1">
        <w:r w:rsidRPr="00DD47EB">
          <w:rPr>
            <w:rStyle w:val="TextoNormalCaracter"/>
          </w:rPr>
          <w:t>136/2015</w:t>
        </w:r>
      </w:hyperlink>
      <w:r>
        <w:t>, f. 1.</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Sentencias </w:t>
      </w:r>
      <w:hyperlink w:anchor="SENTENCIA_2015_5" w:history="1">
        <w:r w:rsidRPr="00DD47EB">
          <w:rPr>
            <w:rStyle w:val="TextoNormalCaracter"/>
          </w:rPr>
          <w:t>5/2015</w:t>
        </w:r>
      </w:hyperlink>
      <w:r>
        <w:t xml:space="preserve">, f. 5; </w:t>
      </w:r>
      <w:hyperlink w:anchor="SENTENCIA_2015_28" w:history="1">
        <w:r w:rsidRPr="00DD47EB">
          <w:rPr>
            <w:rStyle w:val="TextoNormalCaracter"/>
          </w:rPr>
          <w:t>28/2015</w:t>
        </w:r>
      </w:hyperlink>
      <w:r>
        <w:t xml:space="preserve">, ff. 1, 2; </w:t>
      </w:r>
      <w:hyperlink w:anchor="SENTENCIA_2015_93" w:history="1">
        <w:r w:rsidRPr="00DD47EB">
          <w:rPr>
            <w:rStyle w:val="TextoNormalCaracter"/>
          </w:rPr>
          <w:t>93/2015</w:t>
        </w:r>
      </w:hyperlink>
      <w:r>
        <w:t xml:space="preserve">, ff. 1, 2, 12 a 14, VP II; </w:t>
      </w:r>
      <w:hyperlink w:anchor="SENTENCIA_2015_109" w:history="1">
        <w:r w:rsidRPr="00DD47EB">
          <w:rPr>
            <w:rStyle w:val="TextoNormalCaracter"/>
          </w:rPr>
          <w:t>109/2015</w:t>
        </w:r>
      </w:hyperlink>
      <w:r>
        <w:t xml:space="preserve">, ff. 1, 2; </w:t>
      </w:r>
      <w:hyperlink w:anchor="SENTENCIA_2015_116" w:history="1">
        <w:r w:rsidRPr="00DD47EB">
          <w:rPr>
            <w:rStyle w:val="TextoNormalCaracter"/>
          </w:rPr>
          <w:t>116/2015</w:t>
        </w:r>
      </w:hyperlink>
      <w:r>
        <w:t xml:space="preserve">, ff. 1, 2; </w:t>
      </w:r>
      <w:hyperlink w:anchor="SENTENCIA_2015_117" w:history="1">
        <w:r w:rsidRPr="00DD47EB">
          <w:rPr>
            <w:rStyle w:val="TextoNormalCaracter"/>
          </w:rPr>
          <w:t>117/2015</w:t>
        </w:r>
      </w:hyperlink>
      <w:r>
        <w:t xml:space="preserve">, ff. 1, 2, 4; </w:t>
      </w:r>
      <w:hyperlink w:anchor="SENTENCIA_2015_118" w:history="1">
        <w:r w:rsidRPr="00DD47EB">
          <w:rPr>
            <w:rStyle w:val="TextoNormalCaracter"/>
          </w:rPr>
          <w:t>118/2015</w:t>
        </w:r>
      </w:hyperlink>
      <w:r>
        <w:t xml:space="preserve">, ff. 1, 2; </w:t>
      </w:r>
      <w:hyperlink w:anchor="SENTENCIA_2015_119" w:history="1">
        <w:r w:rsidRPr="00DD47EB">
          <w:rPr>
            <w:rStyle w:val="TextoNormalCaracter"/>
          </w:rPr>
          <w:t>119/2015</w:t>
        </w:r>
      </w:hyperlink>
      <w:r>
        <w:t xml:space="preserve">, ff. 1, 2; </w:t>
      </w:r>
      <w:hyperlink w:anchor="SENTENCIA_2015_120" w:history="1">
        <w:r w:rsidRPr="00DD47EB">
          <w:rPr>
            <w:rStyle w:val="TextoNormalCaracter"/>
          </w:rPr>
          <w:t>120/2015</w:t>
        </w:r>
      </w:hyperlink>
      <w:r>
        <w:t xml:space="preserve">, ff. 1, 2; </w:t>
      </w:r>
      <w:hyperlink w:anchor="SENTENCIA_2015_121" w:history="1">
        <w:r w:rsidRPr="00DD47EB">
          <w:rPr>
            <w:rStyle w:val="TextoNormalCaracter"/>
          </w:rPr>
          <w:t>121/2015</w:t>
        </w:r>
      </w:hyperlink>
      <w:r>
        <w:t xml:space="preserve">, ff. 1, 2; </w:t>
      </w:r>
      <w:hyperlink w:anchor="SENTENCIA_2015_122" w:history="1">
        <w:r w:rsidRPr="00DD47EB">
          <w:rPr>
            <w:rStyle w:val="TextoNormalCaracter"/>
          </w:rPr>
          <w:t>122/2015</w:t>
        </w:r>
      </w:hyperlink>
      <w:r>
        <w:t xml:space="preserve">, ff. 1, 2; </w:t>
      </w:r>
      <w:hyperlink w:anchor="SENTENCIA_2015_123" w:history="1">
        <w:r w:rsidRPr="00DD47EB">
          <w:rPr>
            <w:rStyle w:val="TextoNormalCaracter"/>
          </w:rPr>
          <w:t>123/2015</w:t>
        </w:r>
      </w:hyperlink>
      <w:r>
        <w:t xml:space="preserve">, ff. 1, 2; </w:t>
      </w:r>
      <w:hyperlink w:anchor="SENTENCIA_2015_125" w:history="1">
        <w:r w:rsidRPr="00DD47EB">
          <w:rPr>
            <w:rStyle w:val="TextoNormalCaracter"/>
          </w:rPr>
          <w:t>125/2015</w:t>
        </w:r>
      </w:hyperlink>
      <w:r>
        <w:t xml:space="preserve">, ff. 1, 2; </w:t>
      </w:r>
      <w:hyperlink w:anchor="SENTENCIA_2015_126" w:history="1">
        <w:r w:rsidRPr="00DD47EB">
          <w:rPr>
            <w:rStyle w:val="TextoNormalCaracter"/>
          </w:rPr>
          <w:t>126/2015</w:t>
        </w:r>
      </w:hyperlink>
      <w:r>
        <w:t xml:space="preserve">, ff. 1, 2; </w:t>
      </w:r>
      <w:hyperlink w:anchor="SENTENCIA_2015_127" w:history="1">
        <w:r w:rsidRPr="00DD47EB">
          <w:rPr>
            <w:rStyle w:val="TextoNormalCaracter"/>
          </w:rPr>
          <w:t>127/2015</w:t>
        </w:r>
      </w:hyperlink>
      <w:r>
        <w:t xml:space="preserve">, ff. 1, 2; </w:t>
      </w:r>
      <w:hyperlink w:anchor="SENTENCIA_2015_128" w:history="1">
        <w:r w:rsidRPr="00DD47EB">
          <w:rPr>
            <w:rStyle w:val="TextoNormalCaracter"/>
          </w:rPr>
          <w:t>128/2015</w:t>
        </w:r>
      </w:hyperlink>
      <w:r>
        <w:t xml:space="preserve">, ff. 1, 2; </w:t>
      </w:r>
      <w:hyperlink w:anchor="SENTENCIA_2015_129" w:history="1">
        <w:r w:rsidRPr="00DD47EB">
          <w:rPr>
            <w:rStyle w:val="TextoNormalCaracter"/>
          </w:rPr>
          <w:t>129/2015</w:t>
        </w:r>
      </w:hyperlink>
      <w:r>
        <w:t xml:space="preserve">, ff. 1, 2;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ff. 1, 2; </w:t>
      </w:r>
      <w:hyperlink w:anchor="SENTENCIA_2015_132" w:history="1">
        <w:r w:rsidRPr="00DD47EB">
          <w:rPr>
            <w:rStyle w:val="TextoNormalCaracter"/>
          </w:rPr>
          <w:t>132/2015</w:t>
        </w:r>
      </w:hyperlink>
      <w:r>
        <w:t xml:space="preserve">, ff. 1, 2; </w:t>
      </w:r>
      <w:hyperlink w:anchor="SENTENCIA_2015_133" w:history="1">
        <w:r w:rsidRPr="00DD47EB">
          <w:rPr>
            <w:rStyle w:val="TextoNormalCaracter"/>
          </w:rPr>
          <w:t>133/2015</w:t>
        </w:r>
      </w:hyperlink>
      <w:r>
        <w:t xml:space="preserve">, ff. 1, 2; </w:t>
      </w:r>
      <w:hyperlink w:anchor="SENTENCIA_2015_134" w:history="1">
        <w:r w:rsidRPr="00DD47EB">
          <w:rPr>
            <w:rStyle w:val="TextoNormalCaracter"/>
          </w:rPr>
          <w:t>134/2015</w:t>
        </w:r>
      </w:hyperlink>
      <w:r>
        <w:t xml:space="preserve">, ff. 1, 2; </w:t>
      </w:r>
      <w:hyperlink w:anchor="SENTENCIA_2015_135" w:history="1">
        <w:r w:rsidRPr="00DD47EB">
          <w:rPr>
            <w:rStyle w:val="TextoNormalCaracter"/>
          </w:rPr>
          <w:t>135/2015</w:t>
        </w:r>
      </w:hyperlink>
      <w:r>
        <w:t xml:space="preserve">, ff. 1, 2; </w:t>
      </w:r>
      <w:hyperlink w:anchor="SENTENCIA_2015_144" w:history="1">
        <w:r w:rsidRPr="00DD47EB">
          <w:rPr>
            <w:rStyle w:val="TextoNormalCaracter"/>
          </w:rPr>
          <w:t>144/2015</w:t>
        </w:r>
      </w:hyperlink>
      <w:r>
        <w:t>, ff. 1, 2.</w:t>
      </w:r>
    </w:p>
    <w:p w:rsidR="00DD47EB" w:rsidRDefault="00DD47EB" w:rsidP="00DD47EB">
      <w:pPr>
        <w:pStyle w:val="SangriaFrancesaArticulo"/>
      </w:pPr>
      <w:r w:rsidRPr="00DD47EB">
        <w:rPr>
          <w:rStyle w:val="TextoNormalNegritaCaracter"/>
        </w:rPr>
        <w:t>Artículo 33. 2.</w:t>
      </w:r>
      <w:r w:rsidRPr="00DD47EB">
        <w:rPr>
          <w:rStyle w:val="TextoNormalCaracter"/>
        </w:rPr>
        <w:t>-</w:t>
      </w:r>
      <w:r>
        <w:t xml:space="preserve"> Sentencia </w:t>
      </w:r>
      <w:hyperlink w:anchor="SENTENCIA_2015_5" w:history="1">
        <w:r w:rsidRPr="00DD47EB">
          <w:rPr>
            <w:rStyle w:val="TextoNormalCaracter"/>
          </w:rPr>
          <w:t>5/2015</w:t>
        </w:r>
      </w:hyperlink>
      <w:r>
        <w:t>, f. 4.</w:t>
      </w:r>
    </w:p>
    <w:p w:rsidR="00DD47EB" w:rsidRDefault="00DD47EB" w:rsidP="00DD47EB">
      <w:pPr>
        <w:pStyle w:val="SangriaFrancesaArticulo"/>
      </w:pPr>
      <w:r w:rsidRPr="00DD47EB">
        <w:rPr>
          <w:rStyle w:val="TextoNormalNegritaCaracter"/>
        </w:rPr>
        <w:t>Artículo 33.1.</w:t>
      </w:r>
      <w:r w:rsidRPr="00DD47EB">
        <w:rPr>
          <w:rStyle w:val="TextoNormalCaracter"/>
        </w:rPr>
        <w:t>-</w:t>
      </w:r>
      <w:r>
        <w:t xml:space="preserve"> Sentencia </w:t>
      </w:r>
      <w:hyperlink w:anchor="SENTENCIA_2015_5" w:history="1">
        <w:r w:rsidRPr="00DD47EB">
          <w:rPr>
            <w:rStyle w:val="TextoNormalCaracter"/>
          </w:rPr>
          <w:t>5/2015</w:t>
        </w:r>
      </w:hyperlink>
      <w:r>
        <w:t>, f. 4.</w:t>
      </w:r>
    </w:p>
    <w:p w:rsidR="00DD47EB" w:rsidRDefault="00DD47EB" w:rsidP="00DD47EB">
      <w:pPr>
        <w:pStyle w:val="SangriaFrancesaArticulo"/>
      </w:pPr>
      <w:r w:rsidRPr="00DD47EB">
        <w:rPr>
          <w:rStyle w:val="TextoNormalNegritaCaracter"/>
        </w:rPr>
        <w:t>Artículo 33.2.</w:t>
      </w:r>
      <w:r w:rsidRPr="00DD47EB">
        <w:rPr>
          <w:rStyle w:val="TextoNormalCaracter"/>
        </w:rPr>
        <w:t>-</w:t>
      </w:r>
      <w:r>
        <w:t xml:space="preserve"> Sentencias </w:t>
      </w:r>
      <w:hyperlink w:anchor="SENTENCIA_2015_57" w:history="1">
        <w:r w:rsidRPr="00DD47EB">
          <w:rPr>
            <w:rStyle w:val="TextoNormalCaracter"/>
          </w:rPr>
          <w:t>57/2015</w:t>
        </w:r>
      </w:hyperlink>
      <w:r>
        <w:t xml:space="preserve">, f. 17; </w:t>
      </w:r>
      <w:hyperlink w:anchor="SENTENCIA_2015_92" w:history="1">
        <w:r w:rsidRPr="00DD47EB">
          <w:rPr>
            <w:rStyle w:val="TextoNormalCaracter"/>
          </w:rPr>
          <w:t>92/2015</w:t>
        </w:r>
      </w:hyperlink>
      <w:r>
        <w:t>, f. 7.</w:t>
      </w:r>
    </w:p>
    <w:p w:rsidR="00DD47EB" w:rsidRDefault="00DD47EB" w:rsidP="00DD47EB">
      <w:pPr>
        <w:pStyle w:val="SangriaFrancesaArticulo"/>
      </w:pPr>
      <w:r w:rsidRPr="00DD47EB">
        <w:rPr>
          <w:rStyle w:val="TextoNormalNegritaCaracter"/>
        </w:rPr>
        <w:t>Artículo 33.3.</w:t>
      </w:r>
      <w:r w:rsidRPr="00DD47EB">
        <w:rPr>
          <w:rStyle w:val="TextoNormalCaracter"/>
        </w:rPr>
        <w:t>-</w:t>
      </w:r>
      <w:r>
        <w:t xml:space="preserve"> Sentencias </w:t>
      </w:r>
      <w:hyperlink w:anchor="SENTENCIA_2015_43" w:history="1">
        <w:r w:rsidRPr="00DD47EB">
          <w:rPr>
            <w:rStyle w:val="TextoNormalCaracter"/>
          </w:rPr>
          <w:t>43/2015</w:t>
        </w:r>
      </w:hyperlink>
      <w:r>
        <w:t xml:space="preserve">, ff. 1, 3 a 5; </w:t>
      </w:r>
      <w:hyperlink w:anchor="SENTENCIA_2015_44" w:history="1">
        <w:r w:rsidRPr="00DD47EB">
          <w:rPr>
            <w:rStyle w:val="TextoNormalCaracter"/>
          </w:rPr>
          <w:t>44/2015</w:t>
        </w:r>
      </w:hyperlink>
      <w:r>
        <w:t xml:space="preserve">, f. 3; </w:t>
      </w:r>
      <w:hyperlink w:anchor="SENTENCIA_2015_49" w:history="1">
        <w:r w:rsidRPr="00DD47EB">
          <w:rPr>
            <w:rStyle w:val="TextoNormalCaracter"/>
          </w:rPr>
          <w:t>49/2015</w:t>
        </w:r>
      </w:hyperlink>
      <w:r>
        <w:t xml:space="preserve">, ff. 1, 6; </w:t>
      </w:r>
      <w:hyperlink w:anchor="SENTENCIA_2015_56" w:history="1">
        <w:r w:rsidRPr="00DD47EB">
          <w:rPr>
            <w:rStyle w:val="TextoNormalCaracter"/>
          </w:rPr>
          <w:t>56/2015</w:t>
        </w:r>
      </w:hyperlink>
      <w:r>
        <w:t xml:space="preserve">, ff. 1, 3; </w:t>
      </w:r>
      <w:hyperlink w:anchor="SENTENCIA_2015_97" w:history="1">
        <w:r w:rsidRPr="00DD47EB">
          <w:rPr>
            <w:rStyle w:val="TextoNormalCaracter"/>
          </w:rPr>
          <w:t>97/2015</w:t>
        </w:r>
      </w:hyperlink>
      <w:r>
        <w:t xml:space="preserve">, ff. 2, 3; </w:t>
      </w:r>
      <w:hyperlink w:anchor="SENTENCIA_2015_100" w:history="1">
        <w:r w:rsidRPr="00DD47EB">
          <w:rPr>
            <w:rStyle w:val="TextoNormalCaracter"/>
          </w:rPr>
          <w:t>100/2015</w:t>
        </w:r>
      </w:hyperlink>
      <w:r>
        <w:t xml:space="preserve">, ff. 2, 3; </w:t>
      </w:r>
      <w:hyperlink w:anchor="SENTENCIA_2015_104" w:history="1">
        <w:r w:rsidRPr="00DD47EB">
          <w:rPr>
            <w:rStyle w:val="TextoNormalCaracter"/>
          </w:rPr>
          <w:t>104/2015</w:t>
        </w:r>
      </w:hyperlink>
      <w:r>
        <w:t xml:space="preserve">, ff. 1, 12; </w:t>
      </w:r>
      <w:hyperlink w:anchor="SENTENCIA_2015_113" w:history="1">
        <w:r w:rsidRPr="00DD47EB">
          <w:rPr>
            <w:rStyle w:val="TextoNormalCaracter"/>
          </w:rPr>
          <w:t>113/2015</w:t>
        </w:r>
      </w:hyperlink>
      <w:r>
        <w:t xml:space="preserve">, f. 3; </w:t>
      </w:r>
      <w:hyperlink w:anchor="SENTENCIA_2015_141" w:history="1">
        <w:r w:rsidRPr="00DD47EB">
          <w:rPr>
            <w:rStyle w:val="TextoNormalCaracter"/>
          </w:rPr>
          <w:t>141/2015</w:t>
        </w:r>
      </w:hyperlink>
      <w:r>
        <w:t>, f. 2.</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 3; </w:t>
      </w:r>
      <w:hyperlink w:anchor="AUTO_2015_21" w:history="1">
        <w:r w:rsidRPr="00DD47EB">
          <w:rPr>
            <w:rStyle w:val="TextoNormalCaracter"/>
          </w:rPr>
          <w:t>21/2015</w:t>
        </w:r>
      </w:hyperlink>
      <w:r>
        <w:t xml:space="preserve">, f. 3; </w:t>
      </w:r>
      <w:hyperlink w:anchor="AUTO_2015_61" w:history="1">
        <w:r w:rsidRPr="00DD47EB">
          <w:rPr>
            <w:rStyle w:val="TextoNormalCaracter"/>
          </w:rPr>
          <w:t>61/2015</w:t>
        </w:r>
      </w:hyperlink>
      <w:r>
        <w:t>, f. 3.</w:t>
      </w:r>
    </w:p>
    <w:p w:rsidR="00DD47EB" w:rsidRDefault="00DD47EB" w:rsidP="00DD47EB">
      <w:pPr>
        <w:pStyle w:val="SangriaFrancesaArticulo"/>
      </w:pPr>
      <w:r w:rsidRPr="00DD47EB">
        <w:rPr>
          <w:rStyle w:val="TextoNormalNegritaCaracter"/>
        </w:rPr>
        <w:t>Artículo 35.</w:t>
      </w:r>
      <w:r w:rsidRPr="00DD47EB">
        <w:rPr>
          <w:rStyle w:val="TextoNormalCaracter"/>
        </w:rPr>
        <w:t>-</w:t>
      </w:r>
      <w:r>
        <w:t xml:space="preserve"> Sentencias </w:t>
      </w:r>
      <w:hyperlink w:anchor="SENTENCIA_2015_8" w:history="1">
        <w:r w:rsidRPr="00DD47EB">
          <w:rPr>
            <w:rStyle w:val="TextoNormalCaracter"/>
          </w:rPr>
          <w:t>8/2015</w:t>
        </w:r>
      </w:hyperlink>
      <w:r>
        <w:t xml:space="preserve">, f. 7; </w:t>
      </w:r>
      <w:hyperlink w:anchor="SENTENCIA_2015_104" w:history="1">
        <w:r w:rsidRPr="00DD47EB">
          <w:rPr>
            <w:rStyle w:val="TextoNormalCaracter"/>
          </w:rPr>
          <w:t>104/2015</w:t>
        </w:r>
      </w:hyperlink>
      <w:r>
        <w:t>, ff. 1, 10.</w:t>
      </w:r>
    </w:p>
    <w:p w:rsidR="00DD47EB" w:rsidRDefault="00DD47EB" w:rsidP="00DD47EB">
      <w:pPr>
        <w:pStyle w:val="SangriaIzquierdaArticulo"/>
      </w:pPr>
      <w:r>
        <w:t xml:space="preserve">Autos </w:t>
      </w:r>
      <w:hyperlink w:anchor="AUTO_2015_33" w:history="1">
        <w:r w:rsidRPr="00DD47EB">
          <w:rPr>
            <w:rStyle w:val="TextoNormalCaracter"/>
          </w:rPr>
          <w:t>33/2015</w:t>
        </w:r>
      </w:hyperlink>
      <w:r>
        <w:t xml:space="preserve">, ff. 4, 5; </w:t>
      </w:r>
      <w:hyperlink w:anchor="AUTO_2015_34" w:history="1">
        <w:r w:rsidRPr="00DD47EB">
          <w:rPr>
            <w:rStyle w:val="TextoNormalCaracter"/>
          </w:rPr>
          <w:t>34/2015</w:t>
        </w:r>
      </w:hyperlink>
      <w:r>
        <w:t xml:space="preserve">, f. 4; </w:t>
      </w:r>
      <w:hyperlink w:anchor="AUTO_2015_35" w:history="1">
        <w:r w:rsidRPr="00DD47EB">
          <w:rPr>
            <w:rStyle w:val="TextoNormalCaracter"/>
          </w:rPr>
          <w:t>35/2015</w:t>
        </w:r>
      </w:hyperlink>
      <w:r>
        <w:t>, f. 3.</w:t>
      </w:r>
    </w:p>
    <w:p w:rsidR="00DD47EB" w:rsidRDefault="00DD47EB" w:rsidP="00DD47EB">
      <w:pPr>
        <w:pStyle w:val="SangriaFrancesaArticulo"/>
      </w:pPr>
      <w:r w:rsidRPr="00DD47EB">
        <w:rPr>
          <w:rStyle w:val="TextoNormalNegritaCaracter"/>
        </w:rPr>
        <w:t>Artículo 35.1.</w:t>
      </w:r>
      <w:r w:rsidRPr="00DD47EB">
        <w:rPr>
          <w:rStyle w:val="TextoNormalCaracter"/>
        </w:rPr>
        <w:t>-</w:t>
      </w:r>
      <w:r>
        <w:t xml:space="preserve"> Sentencias </w:t>
      </w:r>
      <w:hyperlink w:anchor="SENTENCIA_2015_8" w:history="1">
        <w:r w:rsidRPr="00DD47EB">
          <w:rPr>
            <w:rStyle w:val="TextoNormalCaracter"/>
          </w:rPr>
          <w:t>8/2015</w:t>
        </w:r>
      </w:hyperlink>
      <w:r>
        <w:t xml:space="preserve">, ff. 1, 3 a 5, 7 a 10; </w:t>
      </w:r>
      <w:hyperlink w:anchor="SENTENCIA_2015_104" w:history="1">
        <w:r w:rsidRPr="00DD47EB">
          <w:rPr>
            <w:rStyle w:val="TextoNormalCaracter"/>
          </w:rPr>
          <w:t>104/2015</w:t>
        </w:r>
      </w:hyperlink>
      <w:r>
        <w:t xml:space="preserve">, f. 10; </w:t>
      </w:r>
      <w:hyperlink w:anchor="SENTENCIA_2015_140" w:history="1">
        <w:r w:rsidRPr="00DD47EB">
          <w:rPr>
            <w:rStyle w:val="TextoNormalCaracter"/>
          </w:rPr>
          <w:t>140/2015</w:t>
        </w:r>
      </w:hyperlink>
      <w:r>
        <w:t>, ff. 1, 2, VP.</w:t>
      </w:r>
    </w:p>
    <w:p w:rsidR="00DD47EB" w:rsidRDefault="00DD47EB" w:rsidP="00DD47EB">
      <w:pPr>
        <w:pStyle w:val="SangriaIzquierdaArticulo"/>
      </w:pPr>
      <w:r>
        <w:t xml:space="preserve">Autos </w:t>
      </w:r>
      <w:hyperlink w:anchor="AUTO_2015_33" w:history="1">
        <w:r w:rsidRPr="00DD47EB">
          <w:rPr>
            <w:rStyle w:val="TextoNormalCaracter"/>
          </w:rPr>
          <w:t>33/2015</w:t>
        </w:r>
      </w:hyperlink>
      <w:r>
        <w:t xml:space="preserve">, ff. 1, 2, 5, VP; </w:t>
      </w:r>
      <w:hyperlink w:anchor="AUTO_2015_34" w:history="1">
        <w:r w:rsidRPr="00DD47EB">
          <w:rPr>
            <w:rStyle w:val="TextoNormalCaracter"/>
          </w:rPr>
          <w:t>34/2015</w:t>
        </w:r>
      </w:hyperlink>
      <w:r>
        <w:t xml:space="preserve">, ff. 1, 2, 5, VP; </w:t>
      </w:r>
      <w:hyperlink w:anchor="AUTO_2015_35" w:history="1">
        <w:r w:rsidRPr="00DD47EB">
          <w:rPr>
            <w:rStyle w:val="TextoNormalCaracter"/>
          </w:rPr>
          <w:t>35/2015</w:t>
        </w:r>
      </w:hyperlink>
      <w:r>
        <w:t>, ff. 1, 3, VP.</w:t>
      </w:r>
    </w:p>
    <w:p w:rsidR="00DD47EB" w:rsidRDefault="00DD47EB" w:rsidP="00DD47EB">
      <w:pPr>
        <w:pStyle w:val="SangriaFrancesaArticulo"/>
      </w:pPr>
      <w:r w:rsidRPr="00DD47EB">
        <w:rPr>
          <w:rStyle w:val="TextoNormalNegritaCaracter"/>
        </w:rPr>
        <w:t>Artículo 35.2.</w:t>
      </w:r>
      <w:r w:rsidRPr="00DD47EB">
        <w:rPr>
          <w:rStyle w:val="TextoNormalCaracter"/>
        </w:rPr>
        <w:t>-</w:t>
      </w:r>
      <w:r>
        <w:t xml:space="preserve"> Sentencia </w:t>
      </w:r>
      <w:hyperlink w:anchor="SENTENCIA_2015_8" w:history="1">
        <w:r w:rsidRPr="00DD47EB">
          <w:rPr>
            <w:rStyle w:val="TextoNormalCaracter"/>
          </w:rPr>
          <w:t>8/2015</w:t>
        </w:r>
      </w:hyperlink>
      <w:r>
        <w:t>, f. 2.</w:t>
      </w:r>
    </w:p>
    <w:p w:rsidR="00DD47EB" w:rsidRDefault="00DD47EB" w:rsidP="00DD47EB">
      <w:pPr>
        <w:pStyle w:val="SangriaIzquierdaArticulo"/>
      </w:pPr>
      <w:r>
        <w:t xml:space="preserve">Autos </w:t>
      </w:r>
      <w:hyperlink w:anchor="AUTO_2015_33" w:history="1">
        <w:r w:rsidRPr="00DD47EB">
          <w:rPr>
            <w:rStyle w:val="TextoNormalCaracter"/>
          </w:rPr>
          <w:t>33/2015</w:t>
        </w:r>
      </w:hyperlink>
      <w:r>
        <w:t xml:space="preserve">, f. 5; </w:t>
      </w:r>
      <w:hyperlink w:anchor="AUTO_2015_34" w:history="1">
        <w:r w:rsidRPr="00DD47EB">
          <w:rPr>
            <w:rStyle w:val="TextoNormalCaracter"/>
          </w:rPr>
          <w:t>34/2015</w:t>
        </w:r>
      </w:hyperlink>
      <w:r>
        <w:t xml:space="preserve">, ff. 4, 5; </w:t>
      </w:r>
      <w:hyperlink w:anchor="AUTO_2015_35" w:history="1">
        <w:r w:rsidRPr="00DD47EB">
          <w:rPr>
            <w:rStyle w:val="TextoNormalCaracter"/>
          </w:rPr>
          <w:t>35/2015</w:t>
        </w:r>
      </w:hyperlink>
      <w:r>
        <w:t xml:space="preserve">, f. 3; </w:t>
      </w:r>
      <w:hyperlink w:anchor="AUTO_2015_101" w:history="1">
        <w:r w:rsidRPr="00DD47EB">
          <w:rPr>
            <w:rStyle w:val="TextoNormalCaracter"/>
          </w:rPr>
          <w:t>101/2015</w:t>
        </w:r>
      </w:hyperlink>
      <w:r>
        <w:t>, f. 2.</w:t>
      </w:r>
    </w:p>
    <w:p w:rsidR="00DD47EB" w:rsidRDefault="00DD47EB" w:rsidP="00DD47EB">
      <w:pPr>
        <w:pStyle w:val="SangriaFrancesaArticulo"/>
      </w:pPr>
      <w:r w:rsidRPr="00DD47EB">
        <w:rPr>
          <w:rStyle w:val="TextoNormalNegritaCaracter"/>
        </w:rPr>
        <w:t>Artículo 37.</w:t>
      </w:r>
      <w:r w:rsidRPr="00DD47EB">
        <w:rPr>
          <w:rStyle w:val="TextoNormalCaracter"/>
        </w:rPr>
        <w:t>-</w:t>
      </w:r>
      <w:r>
        <w:t xml:space="preserve"> Sentencia </w:t>
      </w:r>
      <w:hyperlink w:anchor="SENTENCIA_2015_8" w:history="1">
        <w:r w:rsidRPr="00DD47EB">
          <w:rPr>
            <w:rStyle w:val="TextoNormalCaracter"/>
          </w:rPr>
          <w:t>8/2015</w:t>
        </w:r>
      </w:hyperlink>
      <w:r>
        <w:t>, f. 10.</w:t>
      </w:r>
    </w:p>
    <w:p w:rsidR="00DD47EB" w:rsidRDefault="00DD47EB" w:rsidP="00DD47EB">
      <w:pPr>
        <w:pStyle w:val="SangriaFrancesaArticulo"/>
      </w:pPr>
      <w:r w:rsidRPr="00DD47EB">
        <w:rPr>
          <w:rStyle w:val="TextoNormalNegritaCaracter"/>
        </w:rPr>
        <w:t>Artículo 37.1.</w:t>
      </w:r>
      <w:r w:rsidRPr="00DD47EB">
        <w:rPr>
          <w:rStyle w:val="TextoNormalCaracter"/>
        </w:rPr>
        <w:t>-</w:t>
      </w:r>
      <w:r>
        <w:t xml:space="preserve"> Sentencias </w:t>
      </w:r>
      <w:hyperlink w:anchor="SENTENCIA_2015_8" w:history="1">
        <w:r w:rsidRPr="00DD47EB">
          <w:rPr>
            <w:rStyle w:val="TextoNormalCaracter"/>
          </w:rPr>
          <w:t>8/2015</w:t>
        </w:r>
      </w:hyperlink>
      <w:r>
        <w:t xml:space="preserve">, ff. 1 a 6, 10; </w:t>
      </w:r>
      <w:hyperlink w:anchor="SENTENCIA_2015_104" w:history="1">
        <w:r w:rsidRPr="00DD47EB">
          <w:rPr>
            <w:rStyle w:val="TextoNormalCaracter"/>
          </w:rPr>
          <w:t>104/2015</w:t>
        </w:r>
      </w:hyperlink>
      <w:r>
        <w:t xml:space="preserve">, f. 8, VP; </w:t>
      </w:r>
      <w:hyperlink w:anchor="SENTENCIA_2015_140" w:history="1">
        <w:r w:rsidRPr="00DD47EB">
          <w:rPr>
            <w:rStyle w:val="TextoNormalCaracter"/>
          </w:rPr>
          <w:t>140/2015</w:t>
        </w:r>
      </w:hyperlink>
      <w:r>
        <w:t>, ff. 1, 2, VP.</w:t>
      </w:r>
    </w:p>
    <w:p w:rsidR="00DD47EB" w:rsidRDefault="00DD47EB" w:rsidP="00DD47EB">
      <w:pPr>
        <w:pStyle w:val="SangriaFrancesaArticulo"/>
      </w:pPr>
      <w:r w:rsidRPr="00DD47EB">
        <w:rPr>
          <w:rStyle w:val="TextoNormalNegritaCaracter"/>
        </w:rPr>
        <w:t>Artículo 37.2.</w:t>
      </w:r>
      <w:r w:rsidRPr="00DD47EB">
        <w:rPr>
          <w:rStyle w:val="TextoNormalCaracter"/>
        </w:rPr>
        <w:t>-</w:t>
      </w:r>
      <w:r>
        <w:t xml:space="preserve"> Sentencia </w:t>
      </w:r>
      <w:hyperlink w:anchor="SENTENCIA_2015_8" w:history="1">
        <w:r w:rsidRPr="00DD47EB">
          <w:rPr>
            <w:rStyle w:val="TextoNormalCaracter"/>
          </w:rPr>
          <w:t>8/2015</w:t>
        </w:r>
      </w:hyperlink>
      <w:r>
        <w:t>, f. 2.</w:t>
      </w:r>
    </w:p>
    <w:p w:rsidR="00DD47EB" w:rsidRDefault="00DD47EB" w:rsidP="00DD47EB">
      <w:pPr>
        <w:pStyle w:val="SangriaFrancesaArticulo"/>
      </w:pPr>
      <w:r w:rsidRPr="00DD47EB">
        <w:rPr>
          <w:rStyle w:val="TextoNormalNegritaCaracter"/>
        </w:rPr>
        <w:t>Artículo 38.</w:t>
      </w:r>
      <w:r w:rsidRPr="00DD47EB">
        <w:rPr>
          <w:rStyle w:val="TextoNormalCaracter"/>
        </w:rPr>
        <w:t>-</w:t>
      </w:r>
      <w:r>
        <w:t xml:space="preserve"> Sentencias </w:t>
      </w:r>
      <w:hyperlink w:anchor="SENTENCIA_2015_8" w:history="1">
        <w:r w:rsidRPr="00DD47EB">
          <w:rPr>
            <w:rStyle w:val="TextoNormalCaracter"/>
          </w:rPr>
          <w:t>8/2015</w:t>
        </w:r>
      </w:hyperlink>
      <w:r>
        <w:t xml:space="preserve">, ff. 4, 5; </w:t>
      </w:r>
      <w:hyperlink w:anchor="SENTENCIA_2015_11" w:history="1">
        <w:r w:rsidRPr="00DD47EB">
          <w:rPr>
            <w:rStyle w:val="TextoNormalCaracter"/>
          </w:rPr>
          <w:t>11/2015</w:t>
        </w:r>
      </w:hyperlink>
      <w:r>
        <w:t>, ff. 4, 5.</w:t>
      </w:r>
    </w:p>
    <w:p w:rsidR="00DD47EB" w:rsidRDefault="00DD47EB" w:rsidP="00DD47EB">
      <w:pPr>
        <w:pStyle w:val="SangriaFrancesaArticulo"/>
      </w:pPr>
      <w:r w:rsidRPr="00DD47EB">
        <w:rPr>
          <w:rStyle w:val="TextoNormalNegritaCaracter"/>
        </w:rPr>
        <w:t>Artículo 39.</w:t>
      </w:r>
      <w:r w:rsidRPr="00DD47EB">
        <w:rPr>
          <w:rStyle w:val="TextoNormalCaracter"/>
        </w:rPr>
        <w:t>-</w:t>
      </w:r>
      <w:r>
        <w:t xml:space="preserve"> Sentencias </w:t>
      </w:r>
      <w:hyperlink w:anchor="SENTENCIA_2015_77" w:history="1">
        <w:r w:rsidRPr="00DD47EB">
          <w:rPr>
            <w:rStyle w:val="TextoNormalCaracter"/>
          </w:rPr>
          <w:t>77/2015</w:t>
        </w:r>
      </w:hyperlink>
      <w:r>
        <w:t xml:space="preserve">, ff. 1, 2, VP; </w:t>
      </w:r>
      <w:hyperlink w:anchor="SENTENCIA_2015_110" w:history="1">
        <w:r w:rsidRPr="00DD47EB">
          <w:rPr>
            <w:rStyle w:val="TextoNormalCaracter"/>
          </w:rPr>
          <w:t>110/2015</w:t>
        </w:r>
      </w:hyperlink>
      <w:r>
        <w:t>, f. 8.</w:t>
      </w:r>
    </w:p>
    <w:p w:rsidR="00DD47EB" w:rsidRDefault="00DD47EB" w:rsidP="00DD47EB">
      <w:pPr>
        <w:pStyle w:val="SangriaFrancesaArticulo"/>
      </w:pPr>
      <w:r w:rsidRPr="00DD47EB">
        <w:rPr>
          <w:rStyle w:val="TextoNormalNegritaCaracter"/>
        </w:rPr>
        <w:t>Artículo 39.1.</w:t>
      </w:r>
      <w:r w:rsidRPr="00DD47EB">
        <w:rPr>
          <w:rStyle w:val="TextoNormalCaracter"/>
        </w:rPr>
        <w:t>-</w:t>
      </w:r>
      <w:r>
        <w:t xml:space="preserve"> Sentencias </w:t>
      </w:r>
      <w:hyperlink w:anchor="SENTENCIA_2015_60" w:history="1">
        <w:r w:rsidRPr="00DD47EB">
          <w:rPr>
            <w:rStyle w:val="TextoNormalCaracter"/>
          </w:rPr>
          <w:t>60/2015</w:t>
        </w:r>
      </w:hyperlink>
      <w:r>
        <w:t xml:space="preserve">, f. 3; </w:t>
      </w:r>
      <w:hyperlink w:anchor="SENTENCIA_2015_77" w:history="1">
        <w:r w:rsidRPr="00DD47EB">
          <w:rPr>
            <w:rStyle w:val="TextoNormalCaracter"/>
          </w:rPr>
          <w:t>77/2015</w:t>
        </w:r>
      </w:hyperlink>
      <w:r>
        <w:t>, ff. 1, 3, 4, VP.</w:t>
      </w:r>
    </w:p>
    <w:p w:rsidR="00DD47EB" w:rsidRDefault="00DD47EB" w:rsidP="00DD47EB">
      <w:pPr>
        <w:pStyle w:val="SangriaFrancesaArticulo"/>
      </w:pPr>
      <w:r w:rsidRPr="00DD47EB">
        <w:rPr>
          <w:rStyle w:val="TextoNormalNegritaCaracter"/>
        </w:rPr>
        <w:t>Artículo 40.1.</w:t>
      </w:r>
      <w:r w:rsidRPr="00DD47EB">
        <w:rPr>
          <w:rStyle w:val="TextoNormalCaracter"/>
        </w:rPr>
        <w:t>-</w:t>
      </w:r>
      <w:r>
        <w:t xml:space="preserve"> Sentencias </w:t>
      </w:r>
      <w:hyperlink w:anchor="SENTENCIA_2015_8" w:history="1">
        <w:r w:rsidRPr="00DD47EB">
          <w:rPr>
            <w:rStyle w:val="TextoNormalCaracter"/>
          </w:rPr>
          <w:t>8/2015</w:t>
        </w:r>
      </w:hyperlink>
      <w:r>
        <w:t xml:space="preserve">, ff. 3 a 5; </w:t>
      </w:r>
      <w:hyperlink w:anchor="SENTENCIA_2015_49" w:history="1">
        <w:r w:rsidRPr="00DD47EB">
          <w:rPr>
            <w:rStyle w:val="TextoNormalCaracter"/>
          </w:rPr>
          <w:t>49/2015</w:t>
        </w:r>
      </w:hyperlink>
      <w:r>
        <w:t xml:space="preserve">, VP; </w:t>
      </w:r>
      <w:hyperlink w:anchor="SENTENCIA_2015_104" w:history="1">
        <w:r w:rsidRPr="00DD47EB">
          <w:rPr>
            <w:rStyle w:val="TextoNormalCaracter"/>
          </w:rPr>
          <w:t>104/2015</w:t>
        </w:r>
      </w:hyperlink>
      <w:r>
        <w:t xml:space="preserve">, f. 10; </w:t>
      </w:r>
      <w:hyperlink w:anchor="SENTENCIA_2015_140" w:history="1">
        <w:r w:rsidRPr="00DD47EB">
          <w:rPr>
            <w:rStyle w:val="TextoNormalCaracter"/>
          </w:rPr>
          <w:t>140/2015</w:t>
        </w:r>
      </w:hyperlink>
      <w:r>
        <w:t>, f. 2.</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Sentencias </w:t>
      </w:r>
      <w:hyperlink w:anchor="SENTENCIA_2015_49" w:history="1">
        <w:r w:rsidRPr="00DD47EB">
          <w:rPr>
            <w:rStyle w:val="TextoNormalCaracter"/>
          </w:rPr>
          <w:t>49/2015</w:t>
        </w:r>
      </w:hyperlink>
      <w:r>
        <w:t xml:space="preserve">, f. 5, VP; </w:t>
      </w:r>
      <w:hyperlink w:anchor="SENTENCIA_2015_79" w:history="1">
        <w:r w:rsidRPr="00DD47EB">
          <w:rPr>
            <w:rStyle w:val="TextoNormalCaracter"/>
          </w:rPr>
          <w:t>79/2015</w:t>
        </w:r>
      </w:hyperlink>
      <w:r>
        <w:t xml:space="preserve">, ff. 1, 4; </w:t>
      </w:r>
      <w:hyperlink w:anchor="SENTENCIA_2015_84" w:history="1">
        <w:r w:rsidRPr="00DD47EB">
          <w:rPr>
            <w:rStyle w:val="TextoNormalCaracter"/>
          </w:rPr>
          <w:t>84/2015</w:t>
        </w:r>
      </w:hyperlink>
      <w:r>
        <w:t xml:space="preserve">, ff. 2, 7; </w:t>
      </w:r>
      <w:hyperlink w:anchor="SENTENCIA_2015_95" w:history="1">
        <w:r w:rsidRPr="00DD47EB">
          <w:rPr>
            <w:rStyle w:val="TextoNormalCaracter"/>
          </w:rPr>
          <w:t>95/2015</w:t>
        </w:r>
      </w:hyperlink>
      <w:r>
        <w:t xml:space="preserve">, f. 2; </w:t>
      </w:r>
      <w:hyperlink w:anchor="SENTENCIA_2015_110" w:history="1">
        <w:r w:rsidRPr="00DD47EB">
          <w:rPr>
            <w:rStyle w:val="TextoNormalCaracter"/>
          </w:rPr>
          <w:t>110/2015</w:t>
        </w:r>
      </w:hyperlink>
      <w:r>
        <w:t>, ff. 5, 8.</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xml:space="preserve">, f. 3; </w:t>
      </w:r>
      <w:hyperlink w:anchor="SENTENCIA_2015_84" w:history="1">
        <w:r w:rsidRPr="00DD47EB">
          <w:rPr>
            <w:rStyle w:val="TextoNormalCaracter"/>
          </w:rPr>
          <w:t>84/2015</w:t>
        </w:r>
      </w:hyperlink>
      <w:r>
        <w:t xml:space="preserve">, ff. 2, 8; </w:t>
      </w:r>
      <w:hyperlink w:anchor="SENTENCIA_2015_145" w:history="1">
        <w:r w:rsidRPr="00DD47EB">
          <w:rPr>
            <w:rStyle w:val="TextoNormalCaracter"/>
          </w:rPr>
          <w:t>145/2015</w:t>
        </w:r>
      </w:hyperlink>
      <w:r>
        <w:t>, VP I, VP III.</w:t>
      </w:r>
    </w:p>
    <w:p w:rsidR="00DD47EB" w:rsidRDefault="00DD47EB" w:rsidP="00DD47EB">
      <w:pPr>
        <w:pStyle w:val="SangriaFrancesaArticulo"/>
      </w:pPr>
      <w:r w:rsidRPr="00DD47EB">
        <w:rPr>
          <w:rStyle w:val="TextoNormalNegritaCaracter"/>
        </w:rPr>
        <w:t>Artículo 43.1.</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43.2.</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xml:space="preserve">, f. 3;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Sentencias </w:t>
      </w:r>
      <w:hyperlink w:anchor="SENTENCIA_2015_5" w:history="1">
        <w:r w:rsidRPr="00DD47EB">
          <w:rPr>
            <w:rStyle w:val="TextoNormalCaracter"/>
          </w:rPr>
          <w:t>5/2015</w:t>
        </w:r>
      </w:hyperlink>
      <w:r>
        <w:t xml:space="preserve">, f. 4; </w:t>
      </w:r>
      <w:hyperlink w:anchor="SENTENCIA_2015_13" w:history="1">
        <w:r w:rsidRPr="00DD47EB">
          <w:rPr>
            <w:rStyle w:val="TextoNormalCaracter"/>
          </w:rPr>
          <w:t>13/2015</w:t>
        </w:r>
      </w:hyperlink>
      <w:r>
        <w:t xml:space="preserve">, f. 6; </w:t>
      </w:r>
      <w:hyperlink w:anchor="SENTENCIA_2015_57" w:history="1">
        <w:r w:rsidRPr="00DD47EB">
          <w:rPr>
            <w:rStyle w:val="TextoNormalCaracter"/>
          </w:rPr>
          <w:t>57/2015</w:t>
        </w:r>
      </w:hyperlink>
      <w:r>
        <w:t>, f. 4.</w:t>
      </w:r>
    </w:p>
    <w:p w:rsidR="00DD47EB" w:rsidRDefault="00DD47EB" w:rsidP="00DD47EB">
      <w:pPr>
        <w:pStyle w:val="SangriaFrancesaArticulo"/>
      </w:pPr>
      <w:r w:rsidRPr="00DD47EB">
        <w:rPr>
          <w:rStyle w:val="TextoNormalNegritaCaracter"/>
        </w:rPr>
        <w:t>Artículo 45.2.</w:t>
      </w:r>
      <w:r w:rsidRPr="00DD47EB">
        <w:rPr>
          <w:rStyle w:val="TextoNormalCaracter"/>
        </w:rPr>
        <w:t>-</w:t>
      </w:r>
      <w:r>
        <w:t xml:space="preserve"> Sentencias </w:t>
      </w:r>
      <w:hyperlink w:anchor="SENTENCIA_2015_45" w:history="1">
        <w:r w:rsidRPr="00DD47EB">
          <w:rPr>
            <w:rStyle w:val="TextoNormalCaracter"/>
          </w:rPr>
          <w:t>45/2015</w:t>
        </w:r>
      </w:hyperlink>
      <w:r>
        <w:t xml:space="preserve">, ff. 5, 6; </w:t>
      </w:r>
      <w:hyperlink w:anchor="SENTENCIA_2015_92" w:history="1">
        <w:r w:rsidRPr="00DD47EB">
          <w:rPr>
            <w:rStyle w:val="TextoNormalCaracter"/>
          </w:rPr>
          <w:t>92/2015</w:t>
        </w:r>
      </w:hyperlink>
      <w:r>
        <w:t>, f. 7.</w:t>
      </w:r>
    </w:p>
    <w:p w:rsidR="00DD47EB" w:rsidRDefault="00DD47EB" w:rsidP="00DD47EB">
      <w:pPr>
        <w:pStyle w:val="SangriaFrancesaArticulo"/>
      </w:pPr>
      <w:r w:rsidRPr="00DD47EB">
        <w:rPr>
          <w:rStyle w:val="TextoNormalNegritaCaracter"/>
        </w:rPr>
        <w:t>Artículo 47.</w:t>
      </w:r>
      <w:r w:rsidRPr="00DD47EB">
        <w:rPr>
          <w:rStyle w:val="TextoNormalCaracter"/>
        </w:rPr>
        <w:t>-</w:t>
      </w:r>
      <w:r>
        <w:t xml:space="preserve"> Sentencias </w:t>
      </w:r>
      <w:hyperlink w:anchor="SENTENCIA_2015_39" w:history="1">
        <w:r w:rsidRPr="00DD47EB">
          <w:rPr>
            <w:rStyle w:val="TextoNormalCaracter"/>
          </w:rPr>
          <w:t>39/2015</w:t>
        </w:r>
      </w:hyperlink>
      <w:r>
        <w:t xml:space="preserve">, f. 3; </w:t>
      </w:r>
      <w:hyperlink w:anchor="SENTENCIA_2015_43" w:history="1">
        <w:r w:rsidRPr="00DD47EB">
          <w:rPr>
            <w:rStyle w:val="TextoNormalCaracter"/>
          </w:rPr>
          <w:t>43/2015</w:t>
        </w:r>
      </w:hyperlink>
      <w:r>
        <w:t xml:space="preserve">, f. 1; </w:t>
      </w:r>
      <w:hyperlink w:anchor="SENTENCIA_2015_57" w:history="1">
        <w:r w:rsidRPr="00DD47EB">
          <w:rPr>
            <w:rStyle w:val="TextoNormalCaracter"/>
          </w:rPr>
          <w:t>57/2015</w:t>
        </w:r>
      </w:hyperlink>
      <w:r>
        <w:t xml:space="preserve">, f. 17; </w:t>
      </w:r>
      <w:hyperlink w:anchor="SENTENCIA_2015_92" w:history="1">
        <w:r w:rsidRPr="00DD47EB">
          <w:rPr>
            <w:rStyle w:val="TextoNormalCaracter"/>
          </w:rPr>
          <w:t>92/2015</w:t>
        </w:r>
      </w:hyperlink>
      <w:r>
        <w:t xml:space="preserve">, f. 7; </w:t>
      </w:r>
      <w:hyperlink w:anchor="SENTENCIA_2015_93" w:history="1">
        <w:r w:rsidRPr="00DD47EB">
          <w:rPr>
            <w:rStyle w:val="TextoNormalCaracter"/>
          </w:rPr>
          <w:t>93/2015</w:t>
        </w:r>
      </w:hyperlink>
      <w:r>
        <w:t>, f. 9.</w:t>
      </w:r>
    </w:p>
    <w:p w:rsidR="00DD47EB" w:rsidRDefault="00DD47EB" w:rsidP="00DD47EB">
      <w:pPr>
        <w:pStyle w:val="SangriaFrancesaArticulo"/>
      </w:pPr>
      <w:r w:rsidRPr="00DD47EB">
        <w:rPr>
          <w:rStyle w:val="TextoNormalNegritaCaracter"/>
        </w:rPr>
        <w:t>Artículo 48.</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50.</w:t>
      </w:r>
      <w:r w:rsidRPr="00DD47EB">
        <w:rPr>
          <w:rStyle w:val="TextoNormalCaracter"/>
        </w:rPr>
        <w:t>-</w:t>
      </w:r>
      <w:r>
        <w:t xml:space="preserve"> Sentencias </w:t>
      </w:r>
      <w:hyperlink w:anchor="SENTENCIA_2015_49" w:history="1">
        <w:r w:rsidRPr="00DD47EB">
          <w:rPr>
            <w:rStyle w:val="TextoNormalCaracter"/>
          </w:rPr>
          <w:t>49/2015</w:t>
        </w:r>
      </w:hyperlink>
      <w:r>
        <w:t xml:space="preserve">, ff. 1, 2, 5, VP; </w:t>
      </w:r>
      <w:hyperlink w:anchor="SENTENCIA_2015_95" w:history="1">
        <w:r w:rsidRPr="00DD47EB">
          <w:rPr>
            <w:rStyle w:val="TextoNormalCaracter"/>
          </w:rPr>
          <w:t>95/2015</w:t>
        </w:r>
      </w:hyperlink>
      <w:r>
        <w:t xml:space="preserve">, f. 2; </w:t>
      </w:r>
      <w:hyperlink w:anchor="SENTENCIA_2015_135" w:history="1">
        <w:r w:rsidRPr="00DD47EB">
          <w:rPr>
            <w:rStyle w:val="TextoNormalCaracter"/>
          </w:rPr>
          <w:t>135/2015</w:t>
        </w:r>
      </w:hyperlink>
      <w:r>
        <w:t xml:space="preserve">, f. 2; </w:t>
      </w:r>
      <w:hyperlink w:anchor="SENTENCIA_2015_144" w:history="1">
        <w:r w:rsidRPr="00DD47EB">
          <w:rPr>
            <w:rStyle w:val="TextoNormalCaracter"/>
          </w:rPr>
          <w:t>144/2015</w:t>
        </w:r>
      </w:hyperlink>
      <w:r>
        <w:t>, f. 2.</w:t>
      </w:r>
    </w:p>
    <w:p w:rsidR="00DD47EB" w:rsidRDefault="00DD47EB" w:rsidP="00DD47EB">
      <w:pPr>
        <w:pStyle w:val="SangriaFrancesaArticulo"/>
      </w:pPr>
      <w:r w:rsidRPr="00DD47EB">
        <w:rPr>
          <w:rStyle w:val="TextoNormalNegritaCaracter"/>
        </w:rPr>
        <w:t>Artículo 51.</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51.1.</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xml:space="preserve">, f. 3;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53.1.</w:t>
      </w:r>
      <w:r w:rsidRPr="00DD47EB">
        <w:rPr>
          <w:rStyle w:val="TextoNormalCaracter"/>
        </w:rPr>
        <w:t>-</w:t>
      </w:r>
      <w:r>
        <w:t xml:space="preserve"> Sentencias </w:t>
      </w:r>
      <w:hyperlink w:anchor="SENTENCIA_2015_8" w:history="1">
        <w:r w:rsidRPr="00DD47EB">
          <w:rPr>
            <w:rStyle w:val="TextoNormalCaracter"/>
          </w:rPr>
          <w:t>8/2015</w:t>
        </w:r>
      </w:hyperlink>
      <w:r>
        <w:t xml:space="preserve">, f. 2; </w:t>
      </w:r>
      <w:hyperlink w:anchor="SENTENCIA_2015_93" w:history="1">
        <w:r w:rsidRPr="00DD47EB">
          <w:rPr>
            <w:rStyle w:val="TextoNormalCaracter"/>
          </w:rPr>
          <w:t>93/2015</w:t>
        </w:r>
      </w:hyperlink>
      <w:r>
        <w:t xml:space="preserve">, f. 13; </w:t>
      </w:r>
      <w:hyperlink w:anchor="SENTENCIA_2015_137" w:history="1">
        <w:r w:rsidRPr="00DD47EB">
          <w:rPr>
            <w:rStyle w:val="TextoNormalCaracter"/>
          </w:rPr>
          <w:t>137/2015</w:t>
        </w:r>
      </w:hyperlink>
      <w:r>
        <w:t xml:space="preserve">, f. 3; </w:t>
      </w:r>
      <w:hyperlink w:anchor="SENTENCIA_2015_145" w:history="1">
        <w:r w:rsidRPr="00DD47EB">
          <w:rPr>
            <w:rStyle w:val="TextoNormalCaracter"/>
          </w:rPr>
          <w:t>145/2015</w:t>
        </w:r>
      </w:hyperlink>
      <w:r>
        <w:t>, VP II.</w:t>
      </w:r>
    </w:p>
    <w:p w:rsidR="00DD47EB" w:rsidRDefault="00DD47EB" w:rsidP="00DD47EB">
      <w:pPr>
        <w:pStyle w:val="SangriaIzquierdaArticulo"/>
      </w:pPr>
      <w:r>
        <w:t xml:space="preserve">Auto </w:t>
      </w:r>
      <w:hyperlink w:anchor="AUTO_2015_80" w:history="1">
        <w:r w:rsidRPr="00DD47EB">
          <w:rPr>
            <w:rStyle w:val="TextoNormalCaracter"/>
          </w:rPr>
          <w:t>80/2015</w:t>
        </w:r>
      </w:hyperlink>
      <w:r>
        <w:t>, f. 2.</w:t>
      </w:r>
    </w:p>
    <w:p w:rsidR="00DD47EB" w:rsidRDefault="00DD47EB" w:rsidP="00DD47EB">
      <w:pPr>
        <w:pStyle w:val="SangriaFrancesaArticulo"/>
      </w:pPr>
      <w:r w:rsidRPr="00DD47EB">
        <w:rPr>
          <w:rStyle w:val="TextoNormalNegritaCaracter"/>
        </w:rPr>
        <w:t>Artículo 53.2.</w:t>
      </w:r>
      <w:r w:rsidRPr="00DD47EB">
        <w:rPr>
          <w:rStyle w:val="TextoNormalCaracter"/>
        </w:rPr>
        <w:t>-</w:t>
      </w:r>
      <w:r>
        <w:t xml:space="preserve"> Sentencias </w:t>
      </w:r>
      <w:hyperlink w:anchor="SENTENCIA_2015_53" w:history="1">
        <w:r w:rsidRPr="00DD47EB">
          <w:rPr>
            <w:rStyle w:val="TextoNormalCaracter"/>
          </w:rPr>
          <w:t>53/2015</w:t>
        </w:r>
      </w:hyperlink>
      <w:r>
        <w:t xml:space="preserve">, f. 1; </w:t>
      </w:r>
      <w:hyperlink w:anchor="SENTENCIA_2015_91" w:history="1">
        <w:r w:rsidRPr="00DD47EB">
          <w:rPr>
            <w:rStyle w:val="TextoNormalCaracter"/>
          </w:rPr>
          <w:t>91/2015</w:t>
        </w:r>
      </w:hyperlink>
      <w:r>
        <w:t xml:space="preserve">, f. 3; </w:t>
      </w:r>
      <w:hyperlink w:anchor="SENTENCIA_2015_96" w:history="1">
        <w:r w:rsidRPr="00DD47EB">
          <w:rPr>
            <w:rStyle w:val="TextoNormalCaracter"/>
          </w:rPr>
          <w:t>96/2015</w:t>
        </w:r>
      </w:hyperlink>
      <w:r>
        <w:t xml:space="preserve">, f. 3; </w:t>
      </w:r>
      <w:hyperlink w:anchor="SENTENCIA_2015_98" w:history="1">
        <w:r w:rsidRPr="00DD47EB">
          <w:rPr>
            <w:rStyle w:val="TextoNormalCaracter"/>
          </w:rPr>
          <w:t>98/2015</w:t>
        </w:r>
      </w:hyperlink>
      <w:r>
        <w:t xml:space="preserve">, f. 4; </w:t>
      </w:r>
      <w:hyperlink w:anchor="SENTENCIA_2015_142" w:history="1">
        <w:r w:rsidRPr="00DD47EB">
          <w:rPr>
            <w:rStyle w:val="TextoNormalCaracter"/>
          </w:rPr>
          <w:t>142/2015</w:t>
        </w:r>
      </w:hyperlink>
      <w:r>
        <w:t xml:space="preserve">, f. 4; </w:t>
      </w:r>
      <w:hyperlink w:anchor="SENTENCIA_2015_145" w:history="1">
        <w:r w:rsidRPr="00DD47EB">
          <w:rPr>
            <w:rStyle w:val="TextoNormalCaracter"/>
          </w:rPr>
          <w:t>145/2015</w:t>
        </w:r>
      </w:hyperlink>
      <w:r>
        <w:t>, VP I, VP II.</w:t>
      </w:r>
    </w:p>
    <w:p w:rsidR="00DD47EB" w:rsidRDefault="00DD47EB" w:rsidP="00DD47EB">
      <w:pPr>
        <w:pStyle w:val="SangriaIzquierdaArticulo"/>
      </w:pPr>
      <w:r>
        <w:t xml:space="preserve">Auto </w:t>
      </w:r>
      <w:hyperlink w:anchor="AUTO_2015_73" w:history="1">
        <w:r w:rsidRPr="00DD47EB">
          <w:rPr>
            <w:rStyle w:val="TextoNormalCaracter"/>
          </w:rPr>
          <w:t>73/2015</w:t>
        </w:r>
      </w:hyperlink>
      <w:r>
        <w:t>, f. 2.</w:t>
      </w:r>
    </w:p>
    <w:p w:rsidR="00DD47EB" w:rsidRDefault="00DD47EB" w:rsidP="00DD47EB">
      <w:pPr>
        <w:pStyle w:val="SangriaFrancesaArticulo"/>
      </w:pPr>
      <w:r w:rsidRPr="00DD47EB">
        <w:rPr>
          <w:rStyle w:val="TextoNormalNegritaCaracter"/>
        </w:rPr>
        <w:t>Artículo 53.3.</w:t>
      </w:r>
      <w:r w:rsidRPr="00DD47EB">
        <w:rPr>
          <w:rStyle w:val="TextoNormalCaracter"/>
        </w:rPr>
        <w:t>-</w:t>
      </w:r>
      <w:r>
        <w:t xml:space="preserve"> Sentencias </w:t>
      </w:r>
      <w:hyperlink w:anchor="SENTENCIA_2015_49" w:history="1">
        <w:r w:rsidRPr="00DD47EB">
          <w:rPr>
            <w:rStyle w:val="TextoNormalCaracter"/>
          </w:rPr>
          <w:t>49/2015</w:t>
        </w:r>
      </w:hyperlink>
      <w:r>
        <w:t xml:space="preserve">, VP; </w:t>
      </w:r>
      <w:hyperlink w:anchor="SENTENCIA_2015_77" w:history="1">
        <w:r w:rsidRPr="00DD47EB">
          <w:rPr>
            <w:rStyle w:val="TextoNormalCaracter"/>
          </w:rPr>
          <w:t>77/2015</w:t>
        </w:r>
      </w:hyperlink>
      <w:r>
        <w:t>, f. 1.</w:t>
      </w:r>
    </w:p>
    <w:p w:rsidR="00DD47EB" w:rsidRDefault="00DD47EB" w:rsidP="00DD47EB">
      <w:pPr>
        <w:pStyle w:val="SangriaFrancesaArticulo"/>
      </w:pPr>
      <w:r w:rsidRPr="00DD47EB">
        <w:rPr>
          <w:rStyle w:val="TextoNormalNegritaCaracter"/>
        </w:rPr>
        <w:t>Artículo 54.</w:t>
      </w:r>
      <w:r w:rsidRPr="00DD47EB">
        <w:rPr>
          <w:rStyle w:val="TextoNormalCaracter"/>
        </w:rPr>
        <w:t>-</w:t>
      </w:r>
      <w:r>
        <w:t xml:space="preserve"> Sentencia </w:t>
      </w:r>
      <w:hyperlink w:anchor="SENTENCIA_2015_46" w:history="1">
        <w:r w:rsidRPr="00DD47EB">
          <w:rPr>
            <w:rStyle w:val="TextoNormalCaracter"/>
          </w:rPr>
          <w:t>46/2015</w:t>
        </w:r>
      </w:hyperlink>
      <w:r>
        <w:t>, ff. 1, 3, 4.</w:t>
      </w:r>
    </w:p>
    <w:p w:rsidR="00DD47EB" w:rsidRDefault="00DD47EB" w:rsidP="00DD47EB">
      <w:pPr>
        <w:pStyle w:val="SangriaFrancesaArticulo"/>
      </w:pPr>
      <w:r w:rsidRPr="00DD47EB">
        <w:rPr>
          <w:rStyle w:val="TextoNormalNegritaCaracter"/>
        </w:rPr>
        <w:t>Artículo 66.1.</w:t>
      </w:r>
      <w:r w:rsidRPr="00DD47EB">
        <w:rPr>
          <w:rStyle w:val="TextoNormalCaracter"/>
        </w:rPr>
        <w:t>-</w:t>
      </w:r>
      <w:r>
        <w:t xml:space="preserve"> Sentencias </w:t>
      </w:r>
      <w:hyperlink w:anchor="SENTENCIA_2015_12" w:history="1">
        <w:r w:rsidRPr="00DD47EB">
          <w:rPr>
            <w:rStyle w:val="TextoNormalCaracter"/>
          </w:rPr>
          <w:t>12/2015</w:t>
        </w:r>
      </w:hyperlink>
      <w:r>
        <w:t xml:space="preserve">, VP I; </w:t>
      </w:r>
      <w:hyperlink w:anchor="SENTENCIA_2015_104" w:history="1">
        <w:r w:rsidRPr="00DD47EB">
          <w:rPr>
            <w:rStyle w:val="TextoNormalCaracter"/>
          </w:rPr>
          <w:t>104/2015</w:t>
        </w:r>
      </w:hyperlink>
      <w:r>
        <w:t xml:space="preserve">, f. 6; </w:t>
      </w:r>
      <w:hyperlink w:anchor="SENTENCIA_2015_107" w:history="1">
        <w:r w:rsidRPr="00DD47EB">
          <w:rPr>
            <w:rStyle w:val="TextoNormalCaracter"/>
          </w:rPr>
          <w:t>107/2015</w:t>
        </w:r>
      </w:hyperlink>
      <w:r>
        <w:t>, f. 3.</w:t>
      </w:r>
    </w:p>
    <w:p w:rsidR="00DD47EB" w:rsidRDefault="00DD47EB" w:rsidP="00DD47EB">
      <w:pPr>
        <w:pStyle w:val="SangriaFrancesaArticulo"/>
      </w:pPr>
      <w:r w:rsidRPr="00DD47EB">
        <w:rPr>
          <w:rStyle w:val="TextoNormalNegritaCaracter"/>
        </w:rPr>
        <w:t>Artículo 66.2.</w:t>
      </w:r>
      <w:r w:rsidRPr="00DD47EB">
        <w:rPr>
          <w:rStyle w:val="TextoNormalCaracter"/>
        </w:rPr>
        <w:t>-</w:t>
      </w:r>
      <w:r>
        <w:t xml:space="preserve"> Sentencias </w:t>
      </w:r>
      <w:hyperlink w:anchor="SENTENCIA_2015_44" w:history="1">
        <w:r w:rsidRPr="00DD47EB">
          <w:rPr>
            <w:rStyle w:val="TextoNormalCaracter"/>
          </w:rPr>
          <w:t>44/2015</w:t>
        </w:r>
      </w:hyperlink>
      <w:r>
        <w:t xml:space="preserve">, ff. 2, 3; </w:t>
      </w:r>
      <w:hyperlink w:anchor="SENTENCIA_2015_46" w:history="1">
        <w:r w:rsidRPr="00DD47EB">
          <w:rPr>
            <w:rStyle w:val="TextoNormalCaracter"/>
          </w:rPr>
          <w:t>46/2015</w:t>
        </w:r>
      </w:hyperlink>
      <w:r>
        <w:t xml:space="preserve">, ff. 1, 3; </w:t>
      </w:r>
      <w:hyperlink w:anchor="SENTENCIA_2015_59" w:history="1">
        <w:r w:rsidRPr="00DD47EB">
          <w:rPr>
            <w:rStyle w:val="TextoNormalCaracter"/>
          </w:rPr>
          <w:t>59/2015</w:t>
        </w:r>
      </w:hyperlink>
      <w:r>
        <w:t>, ff. 5, 6.</w:t>
      </w:r>
    </w:p>
    <w:p w:rsidR="00DD47EB" w:rsidRDefault="00DD47EB" w:rsidP="00DD47EB">
      <w:pPr>
        <w:pStyle w:val="SangriaFrancesaArticulo"/>
      </w:pPr>
      <w:r w:rsidRPr="00DD47EB">
        <w:rPr>
          <w:rStyle w:val="TextoNormalNegritaCaracter"/>
        </w:rPr>
        <w:t>Artículo 68.</w:t>
      </w:r>
      <w:r w:rsidRPr="00DD47EB">
        <w:rPr>
          <w:rStyle w:val="TextoNormalCaracter"/>
        </w:rPr>
        <w:t>-</w:t>
      </w:r>
      <w:r>
        <w:t xml:space="preserve"> Sentencias </w:t>
      </w:r>
      <w:hyperlink w:anchor="SENTENCIA_2015_15" w:history="1">
        <w:r w:rsidRPr="00DD47EB">
          <w:rPr>
            <w:rStyle w:val="TextoNormalCaracter"/>
          </w:rPr>
          <w:t>15/2015</w:t>
        </w:r>
      </w:hyperlink>
      <w:r>
        <w:t xml:space="preserve">, f. 6; </w:t>
      </w:r>
      <w:hyperlink w:anchor="SENTENCIA_2015_31" w:history="1">
        <w:r w:rsidRPr="00DD47EB">
          <w:rPr>
            <w:rStyle w:val="TextoNormalCaracter"/>
          </w:rPr>
          <w:t>31/2015</w:t>
        </w:r>
      </w:hyperlink>
      <w:r>
        <w:t>, f. 3.</w:t>
      </w:r>
    </w:p>
    <w:p w:rsidR="00DD47EB" w:rsidRDefault="00DD47EB" w:rsidP="00DD47EB">
      <w:pPr>
        <w:pStyle w:val="SangriaFrancesaArticulo"/>
      </w:pPr>
      <w:r w:rsidRPr="00DD47EB">
        <w:rPr>
          <w:rStyle w:val="TextoNormalNegritaCaracter"/>
        </w:rPr>
        <w:t>Artículo 68.1.</w:t>
      </w:r>
      <w:r w:rsidRPr="00DD47EB">
        <w:rPr>
          <w:rStyle w:val="TextoNormalCaracter"/>
        </w:rPr>
        <w:t>-</w:t>
      </w:r>
      <w:r>
        <w:t xml:space="preserve"> Sentencia </w:t>
      </w:r>
      <w:hyperlink w:anchor="SENTENCIA_2015_15" w:history="1">
        <w:r w:rsidRPr="00DD47EB">
          <w:rPr>
            <w:rStyle w:val="TextoNormalCaracter"/>
          </w:rPr>
          <w:t>15/2015</w:t>
        </w:r>
      </w:hyperlink>
      <w:r>
        <w:t>, f. 3.</w:t>
      </w:r>
    </w:p>
    <w:p w:rsidR="00DD47EB" w:rsidRDefault="00DD47EB" w:rsidP="00DD47EB">
      <w:pPr>
        <w:pStyle w:val="SangriaFrancesaArticulo"/>
      </w:pPr>
      <w:r w:rsidRPr="00DD47EB">
        <w:rPr>
          <w:rStyle w:val="TextoNormalNegritaCaracter"/>
        </w:rPr>
        <w:t>Artículo 69.</w:t>
      </w:r>
      <w:r w:rsidRPr="00DD47EB">
        <w:rPr>
          <w:rStyle w:val="TextoNormalCaracter"/>
        </w:rPr>
        <w:t>-</w:t>
      </w:r>
      <w:r>
        <w:t xml:space="preserve"> Sentencia </w:t>
      </w:r>
      <w:hyperlink w:anchor="SENTENCIA_2015_31" w:history="1">
        <w:r w:rsidRPr="00DD47EB">
          <w:rPr>
            <w:rStyle w:val="TextoNormalCaracter"/>
          </w:rPr>
          <w:t>31/2015</w:t>
        </w:r>
      </w:hyperlink>
      <w:r>
        <w:t>, f. 3.</w:t>
      </w:r>
    </w:p>
    <w:p w:rsidR="00DD47EB" w:rsidRDefault="00DD47EB" w:rsidP="00DD47EB">
      <w:pPr>
        <w:pStyle w:val="SangriaFrancesaArticulo"/>
      </w:pPr>
      <w:r w:rsidRPr="00DD47EB">
        <w:rPr>
          <w:rStyle w:val="TextoNormalNegritaCaracter"/>
        </w:rPr>
        <w:t>Artículo 69.1.</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Artículo 72.1.</w:t>
      </w:r>
      <w:r w:rsidRPr="00DD47EB">
        <w:rPr>
          <w:rStyle w:val="TextoNormalCaracter"/>
        </w:rPr>
        <w:t>-</w:t>
      </w:r>
      <w:r>
        <w:t xml:space="preserve"> Sentencias </w:t>
      </w:r>
      <w:hyperlink w:anchor="SENTENCIA_2015_44" w:history="1">
        <w:r w:rsidRPr="00DD47EB">
          <w:rPr>
            <w:rStyle w:val="TextoNormalCaracter"/>
          </w:rPr>
          <w:t>44/2015</w:t>
        </w:r>
      </w:hyperlink>
      <w:r>
        <w:t xml:space="preserve">, f. 3; </w:t>
      </w:r>
      <w:hyperlink w:anchor="SENTENCIA_2015_81" w:history="1">
        <w:r w:rsidRPr="00DD47EB">
          <w:rPr>
            <w:rStyle w:val="TextoNormalCaracter"/>
          </w:rPr>
          <w:t>81/2015</w:t>
        </w:r>
      </w:hyperlink>
      <w:r>
        <w:t>, f. 1.</w:t>
      </w:r>
    </w:p>
    <w:p w:rsidR="00DD47EB" w:rsidRDefault="00DD47EB" w:rsidP="00DD47EB">
      <w:pPr>
        <w:pStyle w:val="SangriaFrancesaArticulo"/>
      </w:pPr>
      <w:r w:rsidRPr="00DD47EB">
        <w:rPr>
          <w:rStyle w:val="TextoNormalNegritaCaracter"/>
        </w:rPr>
        <w:t>Artículo 81.</w:t>
      </w:r>
      <w:r w:rsidRPr="00DD47EB">
        <w:rPr>
          <w:rStyle w:val="TextoNormalCaracter"/>
        </w:rPr>
        <w:t>-</w:t>
      </w:r>
      <w:r>
        <w:t xml:space="preserve"> Sentencias </w:t>
      </w:r>
      <w:hyperlink w:anchor="SENTENCIA_2015_31" w:history="1">
        <w:r w:rsidRPr="00DD47EB">
          <w:rPr>
            <w:rStyle w:val="TextoNormalCaracter"/>
          </w:rPr>
          <w:t>31/2015</w:t>
        </w:r>
      </w:hyperlink>
      <w:r>
        <w:t xml:space="preserve">, f. 6; </w:t>
      </w:r>
      <w:hyperlink w:anchor="SENTENCIA_2015_32" w:history="1">
        <w:r w:rsidRPr="00DD47EB">
          <w:rPr>
            <w:rStyle w:val="TextoNormalCaracter"/>
          </w:rPr>
          <w:t>32/2015</w:t>
        </w:r>
      </w:hyperlink>
      <w:r>
        <w:t xml:space="preserve">, f. 1; </w:t>
      </w:r>
      <w:hyperlink w:anchor="SENTENCIA_2015_138" w:history="1">
        <w:r w:rsidRPr="00DD47EB">
          <w:rPr>
            <w:rStyle w:val="TextoNormalCaracter"/>
          </w:rPr>
          <w:t>138/2015</w:t>
        </w:r>
      </w:hyperlink>
      <w:r>
        <w:t xml:space="preserve">, f. 1; </w:t>
      </w:r>
      <w:hyperlink w:anchor="SENTENCIA_2015_147" w:history="1">
        <w:r w:rsidRPr="00DD47EB">
          <w:rPr>
            <w:rStyle w:val="TextoNormalCaracter"/>
          </w:rPr>
          <w:t>147/2015</w:t>
        </w:r>
      </w:hyperlink>
      <w:r>
        <w:t>, ff. 1, 4.</w:t>
      </w:r>
    </w:p>
    <w:p w:rsidR="00DD47EB" w:rsidRDefault="00DD47EB" w:rsidP="00DD47EB">
      <w:pPr>
        <w:pStyle w:val="SangriaFrancesaArticulo"/>
      </w:pPr>
      <w:r w:rsidRPr="00DD47EB">
        <w:rPr>
          <w:rStyle w:val="TextoNormalNegritaCaracter"/>
        </w:rPr>
        <w:t>Artículo 81.1.</w:t>
      </w:r>
      <w:r w:rsidRPr="00DD47EB">
        <w:rPr>
          <w:rStyle w:val="TextoNormalCaracter"/>
        </w:rPr>
        <w:t>-</w:t>
      </w:r>
      <w:r>
        <w:t xml:space="preserve"> Sentencias </w:t>
      </w:r>
      <w:hyperlink w:anchor="SENTENCIA_2015_24" w:history="1">
        <w:r w:rsidRPr="00DD47EB">
          <w:rPr>
            <w:rStyle w:val="TextoNormalCaracter"/>
          </w:rPr>
          <w:t>24/2015</w:t>
        </w:r>
      </w:hyperlink>
      <w:r>
        <w:t xml:space="preserve">, f. 3; </w:t>
      </w:r>
      <w:hyperlink w:anchor="SENTENCIA_2015_31" w:history="1">
        <w:r w:rsidRPr="00DD47EB">
          <w:rPr>
            <w:rStyle w:val="TextoNormalCaracter"/>
          </w:rPr>
          <w:t>31/2015</w:t>
        </w:r>
      </w:hyperlink>
      <w:r>
        <w:t xml:space="preserve">, ff. 2, 6, 9, 10; </w:t>
      </w:r>
      <w:hyperlink w:anchor="SENTENCIA_2015_32" w:history="1">
        <w:r w:rsidRPr="00DD47EB">
          <w:rPr>
            <w:rStyle w:val="TextoNormalCaracter"/>
          </w:rPr>
          <w:t>32/2015</w:t>
        </w:r>
      </w:hyperlink>
      <w:r>
        <w:t xml:space="preserve">, f. 3; </w:t>
      </w:r>
      <w:hyperlink w:anchor="SENTENCIA_2015_137" w:history="1">
        <w:r w:rsidRPr="00DD47EB">
          <w:rPr>
            <w:rStyle w:val="TextoNormalCaracter"/>
          </w:rPr>
          <w:t>137/2015</w:t>
        </w:r>
      </w:hyperlink>
      <w:r>
        <w:t xml:space="preserve">, ff. 1, 4, 7; </w:t>
      </w:r>
      <w:hyperlink w:anchor="SENTENCIA_2015_147" w:history="1">
        <w:r w:rsidRPr="00DD47EB">
          <w:rPr>
            <w:rStyle w:val="TextoNormalCaracter"/>
          </w:rPr>
          <w:t>147/2015</w:t>
        </w:r>
      </w:hyperlink>
      <w:r>
        <w:t>, f. 4.</w:t>
      </w:r>
    </w:p>
    <w:p w:rsidR="00DD47EB" w:rsidRDefault="00DD47EB" w:rsidP="00DD47EB">
      <w:pPr>
        <w:pStyle w:val="SangriaIzquierdaArticulo"/>
      </w:pPr>
      <w:r>
        <w:t xml:space="preserve">Auto </w:t>
      </w:r>
      <w:hyperlink w:anchor="AUTO_2015_80" w:history="1">
        <w:r w:rsidRPr="00DD47EB">
          <w:rPr>
            <w:rStyle w:val="TextoNormalCaracter"/>
          </w:rPr>
          <w:t>80/2015</w:t>
        </w:r>
      </w:hyperlink>
      <w:r>
        <w:t>, f. 2.</w:t>
      </w:r>
    </w:p>
    <w:p w:rsidR="00DD47EB" w:rsidRDefault="00DD47EB" w:rsidP="00DD47EB">
      <w:pPr>
        <w:pStyle w:val="SangriaFrancesaArticulo"/>
      </w:pPr>
      <w:r w:rsidRPr="00DD47EB">
        <w:rPr>
          <w:rStyle w:val="TextoNormalNegritaCaracter"/>
        </w:rPr>
        <w:t>Artículo 86.</w:t>
      </w:r>
      <w:r w:rsidRPr="00DD47EB">
        <w:rPr>
          <w:rStyle w:val="TextoNormalCaracter"/>
        </w:rPr>
        <w:t>-</w:t>
      </w:r>
      <w:r>
        <w:t xml:space="preserve"> Sentencias </w:t>
      </w:r>
      <w:hyperlink w:anchor="SENTENCIA_2015_12" w:history="1">
        <w:r w:rsidRPr="00DD47EB">
          <w:rPr>
            <w:rStyle w:val="TextoNormalCaracter"/>
          </w:rPr>
          <w:t>12/2015</w:t>
        </w:r>
      </w:hyperlink>
      <w:r>
        <w:t xml:space="preserve">, f. 1, VP I; </w:t>
      </w:r>
      <w:hyperlink w:anchor="SENTENCIA_2015_13" w:history="1">
        <w:r w:rsidRPr="00DD47EB">
          <w:rPr>
            <w:rStyle w:val="TextoNormalCaracter"/>
          </w:rPr>
          <w:t>13/2015</w:t>
        </w:r>
      </w:hyperlink>
      <w:r>
        <w:t xml:space="preserve">, f. 4; </w:t>
      </w:r>
      <w:hyperlink w:anchor="SENTENCIA_2015_47" w:history="1">
        <w:r w:rsidRPr="00DD47EB">
          <w:rPr>
            <w:rStyle w:val="TextoNormalCaracter"/>
          </w:rPr>
          <w:t>47/2015</w:t>
        </w:r>
      </w:hyperlink>
      <w:r>
        <w:t xml:space="preserve">, f. 4; </w:t>
      </w:r>
      <w:hyperlink w:anchor="SENTENCIA_2015_48" w:history="1">
        <w:r w:rsidRPr="00DD47EB">
          <w:rPr>
            <w:rStyle w:val="TextoNormalCaracter"/>
          </w:rPr>
          <w:t>48/2015</w:t>
        </w:r>
      </w:hyperlink>
      <w:r>
        <w:t xml:space="preserve">, f. 2; </w:t>
      </w:r>
      <w:hyperlink w:anchor="SENTENCIA_2015_81" w:history="1">
        <w:r w:rsidRPr="00DD47EB">
          <w:rPr>
            <w:rStyle w:val="TextoNormalCaracter"/>
          </w:rPr>
          <w:t>81/2015</w:t>
        </w:r>
      </w:hyperlink>
      <w:r>
        <w:t xml:space="preserve">, f. 4; </w:t>
      </w:r>
      <w:hyperlink w:anchor="SENTENCIA_2015_93" w:history="1">
        <w:r w:rsidRPr="00DD47EB">
          <w:rPr>
            <w:rStyle w:val="TextoNormalCaracter"/>
          </w:rPr>
          <w:t>93/2015</w:t>
        </w:r>
      </w:hyperlink>
      <w:r>
        <w:t xml:space="preserve">, ff. 4, 12; </w:t>
      </w:r>
      <w:hyperlink w:anchor="SENTENCIA_2015_104" w:history="1">
        <w:r w:rsidRPr="00DD47EB">
          <w:rPr>
            <w:rStyle w:val="TextoNormalCaracter"/>
          </w:rPr>
          <w:t>104/2015</w:t>
        </w:r>
      </w:hyperlink>
      <w:r>
        <w:t xml:space="preserve">, ff. 4, 6, 9; </w:t>
      </w:r>
      <w:hyperlink w:anchor="SENTENCIA_2015_107" w:history="1">
        <w:r w:rsidRPr="00DD47EB">
          <w:rPr>
            <w:rStyle w:val="TextoNormalCaracter"/>
          </w:rPr>
          <w:t>107/2015</w:t>
        </w:r>
      </w:hyperlink>
      <w:r>
        <w:t xml:space="preserve">, ff. 1, 2;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Artículo 86.1.</w:t>
      </w:r>
      <w:r w:rsidRPr="00DD47EB">
        <w:rPr>
          <w:rStyle w:val="TextoNormalCaracter"/>
        </w:rPr>
        <w:t>-</w:t>
      </w:r>
      <w:r>
        <w:t xml:space="preserve"> Sentencias </w:t>
      </w:r>
      <w:hyperlink w:anchor="SENTENCIA_2015_8" w:history="1">
        <w:r w:rsidRPr="00DD47EB">
          <w:rPr>
            <w:rStyle w:val="TextoNormalCaracter"/>
          </w:rPr>
          <w:t>8/2015</w:t>
        </w:r>
      </w:hyperlink>
      <w:r>
        <w:t xml:space="preserve">, f. 8; </w:t>
      </w:r>
      <w:hyperlink w:anchor="SENTENCIA_2015_12" w:history="1">
        <w:r w:rsidRPr="00DD47EB">
          <w:rPr>
            <w:rStyle w:val="TextoNormalCaracter"/>
          </w:rPr>
          <w:t>12/2015</w:t>
        </w:r>
      </w:hyperlink>
      <w:r>
        <w:t xml:space="preserve">, ff. 1, 3, 4, 6, VP I, VP II; </w:t>
      </w:r>
      <w:hyperlink w:anchor="SENTENCIA_2015_27" w:history="1">
        <w:r w:rsidRPr="00DD47EB">
          <w:rPr>
            <w:rStyle w:val="TextoNormalCaracter"/>
          </w:rPr>
          <w:t>27/2015</w:t>
        </w:r>
      </w:hyperlink>
      <w:r>
        <w:t xml:space="preserve">, ff. 1 a 3, 6, 7; </w:t>
      </w:r>
      <w:hyperlink w:anchor="SENTENCIA_2015_28" w:history="1">
        <w:r w:rsidRPr="00DD47EB">
          <w:rPr>
            <w:rStyle w:val="TextoNormalCaracter"/>
          </w:rPr>
          <w:t>28/2015</w:t>
        </w:r>
      </w:hyperlink>
      <w:r>
        <w:t xml:space="preserve">, ff. 1 a 3; </w:t>
      </w:r>
      <w:hyperlink w:anchor="SENTENCIA_2015_29" w:history="1">
        <w:r w:rsidRPr="00DD47EB">
          <w:rPr>
            <w:rStyle w:val="TextoNormalCaracter"/>
          </w:rPr>
          <w:t>29/2015</w:t>
        </w:r>
      </w:hyperlink>
      <w:r>
        <w:t xml:space="preserve">, ff. 1, 3, 5, 6; </w:t>
      </w:r>
      <w:hyperlink w:anchor="SENTENCIA_2015_44" w:history="1">
        <w:r w:rsidRPr="00DD47EB">
          <w:rPr>
            <w:rStyle w:val="TextoNormalCaracter"/>
          </w:rPr>
          <w:t>44/2015</w:t>
        </w:r>
      </w:hyperlink>
      <w:r>
        <w:t xml:space="preserve">, f. 5; </w:t>
      </w:r>
      <w:hyperlink w:anchor="SENTENCIA_2015_47" w:history="1">
        <w:r w:rsidRPr="00DD47EB">
          <w:rPr>
            <w:rStyle w:val="TextoNormalCaracter"/>
          </w:rPr>
          <w:t>47/2015</w:t>
        </w:r>
      </w:hyperlink>
      <w:r>
        <w:t xml:space="preserve">, ff. 1 a 3, 6; </w:t>
      </w:r>
      <w:hyperlink w:anchor="SENTENCIA_2015_48" w:history="1">
        <w:r w:rsidRPr="00DD47EB">
          <w:rPr>
            <w:rStyle w:val="TextoNormalCaracter"/>
          </w:rPr>
          <w:t>48/2015</w:t>
        </w:r>
      </w:hyperlink>
      <w:r>
        <w:t xml:space="preserve">, ff. 1 a 3, VP; </w:t>
      </w:r>
      <w:hyperlink w:anchor="SENTENCIA_2015_62" w:history="1">
        <w:r w:rsidRPr="00DD47EB">
          <w:rPr>
            <w:rStyle w:val="TextoNormalCaracter"/>
          </w:rPr>
          <w:t>62/2015</w:t>
        </w:r>
      </w:hyperlink>
      <w:r>
        <w:t xml:space="preserve">, f. 3; </w:t>
      </w:r>
      <w:hyperlink w:anchor="SENTENCIA_2015_81" w:history="1">
        <w:r w:rsidRPr="00DD47EB">
          <w:rPr>
            <w:rStyle w:val="TextoNormalCaracter"/>
          </w:rPr>
          <w:t>81/2015</w:t>
        </w:r>
      </w:hyperlink>
      <w:r>
        <w:t xml:space="preserve">, ff. 2 a 4, 6, 8; </w:t>
      </w:r>
      <w:hyperlink w:anchor="SENTENCIA_2015_93" w:history="1">
        <w:r w:rsidRPr="00DD47EB">
          <w:rPr>
            <w:rStyle w:val="TextoNormalCaracter"/>
          </w:rPr>
          <w:t>93/2015</w:t>
        </w:r>
      </w:hyperlink>
      <w:r>
        <w:t xml:space="preserve">, ff. 4, 5, 7, 12, 13; </w:t>
      </w:r>
      <w:hyperlink w:anchor="SENTENCIA_2015_95" w:history="1">
        <w:r w:rsidRPr="00DD47EB">
          <w:rPr>
            <w:rStyle w:val="TextoNormalCaracter"/>
          </w:rPr>
          <w:t>95/2015</w:t>
        </w:r>
      </w:hyperlink>
      <w:r>
        <w:t xml:space="preserve">, ff. 1 a 5; </w:t>
      </w:r>
      <w:hyperlink w:anchor="SENTENCIA_2015_104" w:history="1">
        <w:r w:rsidRPr="00DD47EB">
          <w:rPr>
            <w:rStyle w:val="TextoNormalCaracter"/>
          </w:rPr>
          <w:t>104/2015</w:t>
        </w:r>
      </w:hyperlink>
      <w:r>
        <w:t xml:space="preserve">, ff. 1, 4 a 8, VP; </w:t>
      </w:r>
      <w:hyperlink w:anchor="SENTENCIA_2015_105" w:history="1">
        <w:r w:rsidRPr="00DD47EB">
          <w:rPr>
            <w:rStyle w:val="TextoNormalCaracter"/>
          </w:rPr>
          <w:t>105/2015</w:t>
        </w:r>
      </w:hyperlink>
      <w:r>
        <w:t xml:space="preserve">, ff. 1, 2; </w:t>
      </w:r>
      <w:hyperlink w:anchor="SENTENCIA_2015_106" w:history="1">
        <w:r w:rsidRPr="00DD47EB">
          <w:rPr>
            <w:rStyle w:val="TextoNormalCaracter"/>
          </w:rPr>
          <w:t>106/2015</w:t>
        </w:r>
      </w:hyperlink>
      <w:r>
        <w:t xml:space="preserve">, ff. 1, 2; </w:t>
      </w:r>
      <w:hyperlink w:anchor="SENTENCIA_2015_107" w:history="1">
        <w:r w:rsidRPr="00DD47EB">
          <w:rPr>
            <w:rStyle w:val="TextoNormalCaracter"/>
          </w:rPr>
          <w:t>107/2015</w:t>
        </w:r>
      </w:hyperlink>
      <w:r>
        <w:t xml:space="preserve">, ff. 2, 3; </w:t>
      </w:r>
      <w:hyperlink w:anchor="SENTENCIA_2015_136" w:history="1">
        <w:r w:rsidRPr="00DD47EB">
          <w:rPr>
            <w:rStyle w:val="TextoNormalCaracter"/>
          </w:rPr>
          <w:t>136/2015</w:t>
        </w:r>
      </w:hyperlink>
      <w:r>
        <w:t>, ff. 1 a 3, 4, 6.</w:t>
      </w:r>
    </w:p>
    <w:p w:rsidR="00DD47EB" w:rsidRDefault="00DD47EB" w:rsidP="00DD47EB">
      <w:pPr>
        <w:pStyle w:val="SangriaIzquierdaArticulo"/>
      </w:pPr>
      <w:r>
        <w:t xml:space="preserve">Autos </w:t>
      </w:r>
      <w:hyperlink w:anchor="AUTO_2015_35" w:history="1">
        <w:r w:rsidRPr="00DD47EB">
          <w:rPr>
            <w:rStyle w:val="TextoNormalCaracter"/>
          </w:rPr>
          <w:t>35/2015</w:t>
        </w:r>
      </w:hyperlink>
      <w:r>
        <w:t xml:space="preserve">, ff. 1, 3; </w:t>
      </w:r>
      <w:hyperlink w:anchor="AUTO_2015_51" w:history="1">
        <w:r w:rsidRPr="00DD47EB">
          <w:rPr>
            <w:rStyle w:val="TextoNormalCaracter"/>
          </w:rPr>
          <w:t>51/2015</w:t>
        </w:r>
      </w:hyperlink>
      <w:r>
        <w:t xml:space="preserve">, f. único; </w:t>
      </w:r>
      <w:hyperlink w:anchor="AUTO_2015_55" w:history="1">
        <w:r w:rsidRPr="00DD47EB">
          <w:rPr>
            <w:rStyle w:val="TextoNormalCaracter"/>
          </w:rPr>
          <w:t>55/2015</w:t>
        </w:r>
      </w:hyperlink>
      <w:r>
        <w:t xml:space="preserve">, f. 2; </w:t>
      </w:r>
      <w:hyperlink w:anchor="AUTO_2015_101" w:history="1">
        <w:r w:rsidRPr="00DD47EB">
          <w:rPr>
            <w:rStyle w:val="TextoNormalCaracter"/>
          </w:rPr>
          <w:t>101/2015</w:t>
        </w:r>
      </w:hyperlink>
      <w:r>
        <w:t>, ff. 1, 2, 4, 5.</w:t>
      </w:r>
    </w:p>
    <w:p w:rsidR="00DD47EB" w:rsidRDefault="00DD47EB" w:rsidP="00DD47EB">
      <w:pPr>
        <w:pStyle w:val="SangriaFrancesaArticulo"/>
      </w:pPr>
      <w:r w:rsidRPr="00DD47EB">
        <w:rPr>
          <w:rStyle w:val="TextoNormalNegritaCaracter"/>
        </w:rPr>
        <w:t>Artículo 86.2.</w:t>
      </w:r>
      <w:r w:rsidRPr="00DD47EB">
        <w:rPr>
          <w:rStyle w:val="TextoNormalCaracter"/>
        </w:rPr>
        <w:t>-</w:t>
      </w:r>
      <w:r>
        <w:t xml:space="preserve"> Sentencias </w:t>
      </w:r>
      <w:hyperlink w:anchor="SENTENCIA_2015_12" w:history="1">
        <w:r w:rsidRPr="00DD47EB">
          <w:rPr>
            <w:rStyle w:val="TextoNormalCaracter"/>
          </w:rPr>
          <w:t>12/2015</w:t>
        </w:r>
      </w:hyperlink>
      <w:r>
        <w:t xml:space="preserve">, VP I; </w:t>
      </w:r>
      <w:hyperlink w:anchor="SENTENCIA_2015_48" w:history="1">
        <w:r w:rsidRPr="00DD47EB">
          <w:rPr>
            <w:rStyle w:val="TextoNormalCaracter"/>
          </w:rPr>
          <w:t>48/2015</w:t>
        </w:r>
      </w:hyperlink>
      <w:r>
        <w:t xml:space="preserve">, f. 3; </w:t>
      </w:r>
      <w:hyperlink w:anchor="SENTENCIA_2015_81" w:history="1">
        <w:r w:rsidRPr="00DD47EB">
          <w:rPr>
            <w:rStyle w:val="TextoNormalCaracter"/>
          </w:rPr>
          <w:t>81/2015</w:t>
        </w:r>
      </w:hyperlink>
      <w:r>
        <w:t xml:space="preserve">, f. 2; </w:t>
      </w:r>
      <w:hyperlink w:anchor="SENTENCIA_2015_95" w:history="1">
        <w:r w:rsidRPr="00DD47EB">
          <w:rPr>
            <w:rStyle w:val="TextoNormalCaracter"/>
          </w:rPr>
          <w:t>95/2015</w:t>
        </w:r>
      </w:hyperlink>
      <w:r>
        <w:t xml:space="preserve">, f. 3; </w:t>
      </w:r>
      <w:hyperlink w:anchor="SENTENCIA_2015_104" w:history="1">
        <w:r w:rsidRPr="00DD47EB">
          <w:rPr>
            <w:rStyle w:val="TextoNormalCaracter"/>
          </w:rPr>
          <w:t>104/2015</w:t>
        </w:r>
      </w:hyperlink>
      <w:r>
        <w:t>, f. 6.</w:t>
      </w:r>
    </w:p>
    <w:p w:rsidR="00DD47EB" w:rsidRDefault="00DD47EB" w:rsidP="00DD47EB">
      <w:pPr>
        <w:pStyle w:val="SangriaFrancesaArticulo"/>
      </w:pPr>
      <w:r w:rsidRPr="00DD47EB">
        <w:rPr>
          <w:rStyle w:val="TextoNormalNegritaCaracter"/>
        </w:rPr>
        <w:t>Artículo 86.3.</w:t>
      </w:r>
      <w:r w:rsidRPr="00DD47EB">
        <w:rPr>
          <w:rStyle w:val="TextoNormalCaracter"/>
        </w:rPr>
        <w:t>-</w:t>
      </w:r>
      <w:r>
        <w:t xml:space="preserve"> Sentencias </w:t>
      </w:r>
      <w:hyperlink w:anchor="SENTENCIA_2015_12" w:history="1">
        <w:r w:rsidRPr="00DD47EB">
          <w:rPr>
            <w:rStyle w:val="TextoNormalCaracter"/>
          </w:rPr>
          <w:t>12/2015</w:t>
        </w:r>
      </w:hyperlink>
      <w:r>
        <w:t xml:space="preserve">, VP I; </w:t>
      </w:r>
      <w:hyperlink w:anchor="SENTENCIA_2015_13" w:history="1">
        <w:r w:rsidRPr="00DD47EB">
          <w:rPr>
            <w:rStyle w:val="TextoNormalCaracter"/>
          </w:rPr>
          <w:t>13/2015</w:t>
        </w:r>
      </w:hyperlink>
      <w:r>
        <w:t xml:space="preserve">, f. 4; </w:t>
      </w:r>
      <w:hyperlink w:anchor="SENTENCIA_2015_27" w:history="1">
        <w:r w:rsidRPr="00DD47EB">
          <w:rPr>
            <w:rStyle w:val="TextoNormalCaracter"/>
          </w:rPr>
          <w:t>27/2015</w:t>
        </w:r>
      </w:hyperlink>
      <w:r>
        <w:t>, f. 2.</w:t>
      </w:r>
    </w:p>
    <w:p w:rsidR="00DD47EB" w:rsidRDefault="00DD47EB" w:rsidP="00DD47EB">
      <w:pPr>
        <w:pStyle w:val="SangriaFrancesaArticulo"/>
      </w:pPr>
      <w:r w:rsidRPr="00DD47EB">
        <w:rPr>
          <w:rStyle w:val="TextoNormalNegritaCaracter"/>
        </w:rPr>
        <w:t>Artículo 87.</w:t>
      </w:r>
      <w:r w:rsidRPr="00DD47EB">
        <w:rPr>
          <w:rStyle w:val="TextoNormalCaracter"/>
        </w:rPr>
        <w:t>-</w:t>
      </w:r>
      <w:r>
        <w:t xml:space="preserve"> Sentencias </w:t>
      </w:r>
      <w:hyperlink w:anchor="SENTENCIA_2015_19" w:history="1">
        <w:r w:rsidRPr="00DD47EB">
          <w:rPr>
            <w:rStyle w:val="TextoNormalCaracter"/>
          </w:rPr>
          <w:t>19/2015</w:t>
        </w:r>
      </w:hyperlink>
      <w:r>
        <w:t xml:space="preserve">, VP; </w:t>
      </w:r>
      <w:hyperlink w:anchor="SENTENCIA_2015_59" w:history="1">
        <w:r w:rsidRPr="00DD47EB">
          <w:rPr>
            <w:rStyle w:val="TextoNormalCaracter"/>
          </w:rPr>
          <w:t>59/2015</w:t>
        </w:r>
      </w:hyperlink>
      <w:r>
        <w:t>, ff. 5, 6.</w:t>
      </w:r>
    </w:p>
    <w:p w:rsidR="00DD47EB" w:rsidRDefault="00DD47EB" w:rsidP="00DD47EB">
      <w:pPr>
        <w:pStyle w:val="SangriaFrancesaArticulo"/>
      </w:pPr>
      <w:r w:rsidRPr="00DD47EB">
        <w:rPr>
          <w:rStyle w:val="TextoNormalNegritaCaracter"/>
        </w:rPr>
        <w:t>Artículo 87.1.</w:t>
      </w:r>
      <w:r w:rsidRPr="00DD47EB">
        <w:rPr>
          <w:rStyle w:val="TextoNormalCaracter"/>
        </w:rPr>
        <w:t>-</w:t>
      </w:r>
      <w:r>
        <w:t xml:space="preserve"> Sentencias </w:t>
      </w:r>
      <w:hyperlink w:anchor="SENTENCIA_2015_12" w:history="1">
        <w:r w:rsidRPr="00DD47EB">
          <w:rPr>
            <w:rStyle w:val="TextoNormalCaracter"/>
          </w:rPr>
          <w:t>12/2015</w:t>
        </w:r>
      </w:hyperlink>
      <w:r>
        <w:t xml:space="preserve">, VP I; </w:t>
      </w:r>
      <w:hyperlink w:anchor="SENTENCIA_2015_19" w:history="1">
        <w:r w:rsidRPr="00DD47EB">
          <w:rPr>
            <w:rStyle w:val="TextoNormalCaracter"/>
          </w:rPr>
          <w:t>19/2015</w:t>
        </w:r>
      </w:hyperlink>
      <w:r>
        <w:t xml:space="preserve">, VP; </w:t>
      </w:r>
      <w:hyperlink w:anchor="SENTENCIA_2015_81" w:history="1">
        <w:r w:rsidRPr="00DD47EB">
          <w:rPr>
            <w:rStyle w:val="TextoNormalCaracter"/>
          </w:rPr>
          <w:t>81/2015</w:t>
        </w:r>
      </w:hyperlink>
      <w:r>
        <w:t xml:space="preserve">, f. 5; </w:t>
      </w:r>
      <w:hyperlink w:anchor="SENTENCIA_2015_104" w:history="1">
        <w:r w:rsidRPr="00DD47EB">
          <w:rPr>
            <w:rStyle w:val="TextoNormalCaracter"/>
          </w:rPr>
          <w:t>104/2015</w:t>
        </w:r>
      </w:hyperlink>
      <w:r>
        <w:t>, f. 6.</w:t>
      </w:r>
    </w:p>
    <w:p w:rsidR="00DD47EB" w:rsidRDefault="00DD47EB" w:rsidP="00DD47EB">
      <w:pPr>
        <w:pStyle w:val="SangriaFrancesaArticulo"/>
      </w:pPr>
      <w:r w:rsidRPr="00DD47EB">
        <w:rPr>
          <w:rStyle w:val="TextoNormalNegritaCaracter"/>
        </w:rPr>
        <w:t>Artículo 87.2.</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87.3.</w:t>
      </w:r>
      <w:r w:rsidRPr="00DD47EB">
        <w:rPr>
          <w:rStyle w:val="TextoNormalCaracter"/>
        </w:rPr>
        <w:t>-</w:t>
      </w:r>
      <w:r>
        <w:t xml:space="preserve"> Sentencias </w:t>
      </w:r>
      <w:hyperlink w:anchor="SENTENCIA_2015_19" w:history="1">
        <w:r w:rsidRPr="00DD47EB">
          <w:rPr>
            <w:rStyle w:val="TextoNormalCaracter"/>
          </w:rPr>
          <w:t>19/2015</w:t>
        </w:r>
      </w:hyperlink>
      <w:r>
        <w:t xml:space="preserve">, ff. 2, VP; </w:t>
      </w:r>
      <w:hyperlink w:anchor="SENTENCIA_2015_31" w:history="1">
        <w:r w:rsidRPr="00DD47EB">
          <w:rPr>
            <w:rStyle w:val="TextoNormalCaracter"/>
          </w:rPr>
          <w:t>31/2015</w:t>
        </w:r>
      </w:hyperlink>
      <w:r>
        <w:t xml:space="preserve">, f. 3;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f. 3.</w:t>
      </w:r>
    </w:p>
    <w:p w:rsidR="00DD47EB" w:rsidRDefault="00DD47EB" w:rsidP="00DD47EB">
      <w:pPr>
        <w:pStyle w:val="SangriaFrancesaArticulo"/>
      </w:pPr>
      <w:r w:rsidRPr="00DD47EB">
        <w:rPr>
          <w:rStyle w:val="TextoNormalNegritaCaracter"/>
        </w:rPr>
        <w:t>Artículo 88.</w:t>
      </w:r>
      <w:r w:rsidRPr="00DD47EB">
        <w:rPr>
          <w:rStyle w:val="TextoNormalCaracter"/>
        </w:rPr>
        <w:t>-</w:t>
      </w:r>
      <w:r>
        <w:t xml:space="preserve"> Sentencias </w:t>
      </w:r>
      <w:hyperlink w:anchor="SENTENCIA_2015_19" w:history="1">
        <w:r w:rsidRPr="00DD47EB">
          <w:rPr>
            <w:rStyle w:val="TextoNormalCaracter"/>
          </w:rPr>
          <w:t>19/2015</w:t>
        </w:r>
      </w:hyperlink>
      <w:r>
        <w:t xml:space="preserve">, VP; </w:t>
      </w:r>
      <w:hyperlink w:anchor="SENTENCIA_2015_81" w:history="1">
        <w:r w:rsidRPr="00DD47EB">
          <w:rPr>
            <w:rStyle w:val="TextoNormalCaracter"/>
          </w:rPr>
          <w:t>81/2015</w:t>
        </w:r>
      </w:hyperlink>
      <w:r>
        <w:t xml:space="preserve">, f. 5; </w:t>
      </w:r>
      <w:hyperlink w:anchor="SENTENCIA_2015_84" w:history="1">
        <w:r w:rsidRPr="00DD47EB">
          <w:rPr>
            <w:rStyle w:val="TextoNormalCaracter"/>
          </w:rPr>
          <w:t>84/2015</w:t>
        </w:r>
      </w:hyperlink>
      <w:r>
        <w:t>, f. 4.</w:t>
      </w:r>
    </w:p>
    <w:p w:rsidR="00DD47EB" w:rsidRDefault="00DD47EB" w:rsidP="00DD47EB">
      <w:pPr>
        <w:pStyle w:val="SangriaFrancesaArticulo"/>
      </w:pPr>
      <w:r w:rsidRPr="00DD47EB">
        <w:rPr>
          <w:rStyle w:val="TextoNormalNegritaCaracter"/>
        </w:rPr>
        <w:t>Artículo 89.</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92.</w:t>
      </w:r>
      <w:r w:rsidRPr="00DD47EB">
        <w:rPr>
          <w:rStyle w:val="TextoNormalCaracter"/>
        </w:rPr>
        <w:t>-</w:t>
      </w:r>
      <w:r>
        <w:t xml:space="preserve"> Sentencias </w:t>
      </w:r>
      <w:hyperlink w:anchor="SENTENCIA_2015_138" w:history="1">
        <w:r w:rsidRPr="00DD47EB">
          <w:rPr>
            <w:rStyle w:val="TextoNormalCaracter"/>
          </w:rPr>
          <w:t>138/2015</w:t>
        </w:r>
      </w:hyperlink>
      <w:r>
        <w:t xml:space="preserve">, f. 1; </w:t>
      </w:r>
      <w:hyperlink w:anchor="SENTENCIA_2015_147" w:history="1">
        <w:r w:rsidRPr="00DD47EB">
          <w:rPr>
            <w:rStyle w:val="TextoNormalCaracter"/>
          </w:rPr>
          <w:t>147/2015</w:t>
        </w:r>
      </w:hyperlink>
      <w:r>
        <w:t>, f. 1.</w:t>
      </w:r>
    </w:p>
    <w:p w:rsidR="00DD47EB" w:rsidRDefault="00DD47EB" w:rsidP="00DD47EB">
      <w:pPr>
        <w:pStyle w:val="SangriaFrancesaArticulo"/>
      </w:pPr>
      <w:r w:rsidRPr="00DD47EB">
        <w:rPr>
          <w:rStyle w:val="TextoNormalNegritaCaracter"/>
        </w:rPr>
        <w:t>Artículo 92.1.</w:t>
      </w:r>
      <w:r w:rsidRPr="00DD47EB">
        <w:rPr>
          <w:rStyle w:val="TextoNormalCaracter"/>
        </w:rPr>
        <w:t>-</w:t>
      </w:r>
      <w:r>
        <w:t xml:space="preserve"> Sentencia </w:t>
      </w:r>
      <w:hyperlink w:anchor="SENTENCIA_2015_31" w:history="1">
        <w:r w:rsidRPr="00DD47EB">
          <w:rPr>
            <w:rStyle w:val="TextoNormalCaracter"/>
          </w:rPr>
          <w:t>31/2015</w:t>
        </w:r>
      </w:hyperlink>
      <w:r>
        <w:t>, ff. 3, 5.</w:t>
      </w:r>
    </w:p>
    <w:p w:rsidR="00DD47EB" w:rsidRDefault="00DD47EB" w:rsidP="00DD47EB">
      <w:pPr>
        <w:pStyle w:val="SangriaFrancesaArticulo"/>
      </w:pPr>
      <w:r w:rsidRPr="00DD47EB">
        <w:rPr>
          <w:rStyle w:val="TextoNormalNegritaCaracter"/>
        </w:rPr>
        <w:t>Artículo 92.3.</w:t>
      </w:r>
      <w:r w:rsidRPr="00DD47EB">
        <w:rPr>
          <w:rStyle w:val="TextoNormalCaracter"/>
        </w:rPr>
        <w:t>-</w:t>
      </w:r>
      <w:r>
        <w:t xml:space="preserve"> Sentencias </w:t>
      </w:r>
      <w:hyperlink w:anchor="SENTENCIA_2015_31" w:history="1">
        <w:r w:rsidRPr="00DD47EB">
          <w:rPr>
            <w:rStyle w:val="TextoNormalCaracter"/>
          </w:rPr>
          <w:t>31/2015</w:t>
        </w:r>
      </w:hyperlink>
      <w:r>
        <w:t xml:space="preserve">, ff. 1, 5, 6, 9, 10; </w:t>
      </w:r>
      <w:hyperlink w:anchor="SENTENCIA_2015_32" w:history="1">
        <w:r w:rsidRPr="00DD47EB">
          <w:rPr>
            <w:rStyle w:val="TextoNormalCaracter"/>
          </w:rPr>
          <w:t>32/2015</w:t>
        </w:r>
      </w:hyperlink>
      <w:r>
        <w:t xml:space="preserve">, ff. 1, 3; </w:t>
      </w:r>
      <w:hyperlink w:anchor="SENTENCIA_2015_137" w:history="1">
        <w:r w:rsidRPr="00DD47EB">
          <w:rPr>
            <w:rStyle w:val="TextoNormalCaracter"/>
          </w:rPr>
          <w:t>137/2015</w:t>
        </w:r>
      </w:hyperlink>
      <w:r>
        <w:t xml:space="preserve">, ff. 1, 4, 7; </w:t>
      </w:r>
      <w:hyperlink w:anchor="SENTENCIA_2015_147" w:history="1">
        <w:r w:rsidRPr="00DD47EB">
          <w:rPr>
            <w:rStyle w:val="TextoNormalCaracter"/>
          </w:rPr>
          <w:t>147/2015</w:t>
        </w:r>
      </w:hyperlink>
      <w:r>
        <w:t>, f. 4.</w:t>
      </w:r>
    </w:p>
    <w:p w:rsidR="00DD47EB" w:rsidRDefault="00DD47EB" w:rsidP="00DD47EB">
      <w:pPr>
        <w:pStyle w:val="SangriaFrancesaArticulo"/>
      </w:pPr>
      <w:r w:rsidRPr="00DD47EB">
        <w:rPr>
          <w:rStyle w:val="TextoNormalNegritaCaracter"/>
        </w:rPr>
        <w:t>Artículo 96.</w:t>
      </w:r>
      <w:r w:rsidRPr="00DD47EB">
        <w:rPr>
          <w:rStyle w:val="TextoNormalCaracter"/>
        </w:rPr>
        <w:t>-</w:t>
      </w:r>
      <w:r>
        <w:t xml:space="preserve"> Sentencia </w:t>
      </w:r>
      <w:hyperlink w:anchor="SENTENCIA_2015_28" w:history="1">
        <w:r w:rsidRPr="00DD47EB">
          <w:rPr>
            <w:rStyle w:val="TextoNormalCaracter"/>
          </w:rPr>
          <w:t>28/2015</w:t>
        </w:r>
      </w:hyperlink>
      <w:r>
        <w:t>, ff. 1, 2.</w:t>
      </w:r>
    </w:p>
    <w:p w:rsidR="00DD47EB" w:rsidRDefault="00DD47EB" w:rsidP="00DD47EB">
      <w:pPr>
        <w:pStyle w:val="SangriaFrancesaArticulo"/>
      </w:pPr>
      <w:r w:rsidRPr="00DD47EB">
        <w:rPr>
          <w:rStyle w:val="TextoNormalNegritaCaracter"/>
        </w:rPr>
        <w:t>Artículo 96.1.</w:t>
      </w:r>
      <w:r w:rsidRPr="00DD47EB">
        <w:rPr>
          <w:rStyle w:val="TextoNormalCaracter"/>
        </w:rPr>
        <w:t>-</w:t>
      </w:r>
      <w:r>
        <w:t xml:space="preserve"> Sentencias </w:t>
      </w:r>
      <w:hyperlink w:anchor="SENTENCIA_2015_84" w:history="1">
        <w:r w:rsidRPr="00DD47EB">
          <w:rPr>
            <w:rStyle w:val="TextoNormalCaracter"/>
          </w:rPr>
          <w:t>84/2015</w:t>
        </w:r>
      </w:hyperlink>
      <w:r>
        <w:t xml:space="preserve">, f. 6;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97.</w:t>
      </w:r>
      <w:r w:rsidRPr="00DD47EB">
        <w:rPr>
          <w:rStyle w:val="TextoNormalCaracter"/>
        </w:rPr>
        <w:t>-</w:t>
      </w:r>
      <w:r>
        <w:t xml:space="preserve"> Sentencia </w:t>
      </w:r>
      <w:hyperlink w:anchor="SENTENCIA_2015_81" w:history="1">
        <w:r w:rsidRPr="00DD47EB">
          <w:rPr>
            <w:rStyle w:val="TextoNormalCaracter"/>
          </w:rPr>
          <w:t>81/2015</w:t>
        </w:r>
      </w:hyperlink>
      <w:r>
        <w:t>, f. 2.</w:t>
      </w:r>
    </w:p>
    <w:p w:rsidR="00DD47EB" w:rsidRDefault="00DD47EB" w:rsidP="00DD47EB">
      <w:pPr>
        <w:pStyle w:val="SangriaFrancesaArticulo"/>
      </w:pPr>
      <w:r w:rsidRPr="00DD47EB">
        <w:rPr>
          <w:rStyle w:val="TextoNormalNegritaCaracter"/>
        </w:rPr>
        <w:t>Artículo 103.</w:t>
      </w:r>
      <w:r w:rsidRPr="00DD47EB">
        <w:rPr>
          <w:rStyle w:val="TextoNormalCaracter"/>
        </w:rPr>
        <w:t>-</w:t>
      </w:r>
      <w:r>
        <w:t xml:space="preserve"> Sentencias </w:t>
      </w:r>
      <w:hyperlink w:anchor="SENTENCIA_2015_28" w:history="1">
        <w:r w:rsidRPr="00DD47EB">
          <w:rPr>
            <w:rStyle w:val="TextoNormalCaracter"/>
          </w:rPr>
          <w:t>28/2015</w:t>
        </w:r>
      </w:hyperlink>
      <w:r>
        <w:t xml:space="preserve">, f. 1; </w:t>
      </w:r>
      <w:hyperlink w:anchor="SENTENCIA_2015_57" w:history="1">
        <w:r w:rsidRPr="00DD47EB">
          <w:rPr>
            <w:rStyle w:val="TextoNormalCaracter"/>
          </w:rPr>
          <w:t>57/2015</w:t>
        </w:r>
      </w:hyperlink>
      <w:r>
        <w:t>, f. 12.</w:t>
      </w:r>
    </w:p>
    <w:p w:rsidR="00DD47EB" w:rsidRDefault="00DD47EB" w:rsidP="00DD47EB">
      <w:pPr>
        <w:pStyle w:val="SangriaFrancesaArticulo"/>
      </w:pPr>
      <w:r w:rsidRPr="00DD47EB">
        <w:rPr>
          <w:rStyle w:val="TextoNormalNegritaCaracter"/>
        </w:rPr>
        <w:t>Artículo 103.1.</w:t>
      </w:r>
      <w:r w:rsidRPr="00DD47EB">
        <w:rPr>
          <w:rStyle w:val="TextoNormalCaracter"/>
        </w:rPr>
        <w:t>-</w:t>
      </w:r>
      <w:r>
        <w:t xml:space="preserve"> Sentencias </w:t>
      </w:r>
      <w:hyperlink w:anchor="SENTENCIA_2015_28" w:history="1">
        <w:r w:rsidRPr="00DD47EB">
          <w:rPr>
            <w:rStyle w:val="TextoNormalCaracter"/>
          </w:rPr>
          <w:t>28/2015</w:t>
        </w:r>
      </w:hyperlink>
      <w:r>
        <w:t xml:space="preserve">, ff. 1, 2; </w:t>
      </w:r>
      <w:hyperlink w:anchor="SENTENCIA_2015_31" w:history="1">
        <w:r w:rsidRPr="00DD47EB">
          <w:rPr>
            <w:rStyle w:val="TextoNormalCaracter"/>
          </w:rPr>
          <w:t>31/2015</w:t>
        </w:r>
      </w:hyperlink>
      <w:r>
        <w:t xml:space="preserve">, f. 8;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103.3.</w:t>
      </w:r>
      <w:r w:rsidRPr="00DD47EB">
        <w:rPr>
          <w:rStyle w:val="TextoNormalCaracter"/>
        </w:rPr>
        <w:t>-</w:t>
      </w:r>
      <w:r>
        <w:t xml:space="preserve"> Sentencias </w:t>
      </w:r>
      <w:hyperlink w:anchor="SENTENCIA_2015_8" w:history="1">
        <w:r w:rsidRPr="00DD47EB">
          <w:rPr>
            <w:rStyle w:val="TextoNormalCaracter"/>
          </w:rPr>
          <w:t>8/2015</w:t>
        </w:r>
      </w:hyperlink>
      <w:r>
        <w:t xml:space="preserve">, ff. 1, 9, 10; </w:t>
      </w:r>
      <w:hyperlink w:anchor="SENTENCIA_2015_81" w:history="1">
        <w:r w:rsidRPr="00DD47EB">
          <w:rPr>
            <w:rStyle w:val="TextoNormalCaracter"/>
          </w:rPr>
          <w:t>81/2015</w:t>
        </w:r>
      </w:hyperlink>
      <w:r>
        <w:t xml:space="preserve">, f. 6; </w:t>
      </w:r>
      <w:hyperlink w:anchor="SENTENCIA_2015_104" w:history="1">
        <w:r w:rsidRPr="00DD47EB">
          <w:rPr>
            <w:rStyle w:val="TextoNormalCaracter"/>
          </w:rPr>
          <w:t>104/2015</w:t>
        </w:r>
      </w:hyperlink>
      <w:r>
        <w:t>, f. 12.</w:t>
      </w:r>
    </w:p>
    <w:p w:rsidR="00DD47EB" w:rsidRDefault="00DD47EB" w:rsidP="00DD47EB">
      <w:pPr>
        <w:pStyle w:val="SangriaFrancesaArticulo"/>
      </w:pPr>
      <w:r w:rsidRPr="00DD47EB">
        <w:rPr>
          <w:rStyle w:val="TextoNormalNegritaCaracter"/>
        </w:rPr>
        <w:t>Artículo 105 a).</w:t>
      </w:r>
      <w:r w:rsidRPr="00DD47EB">
        <w:rPr>
          <w:rStyle w:val="TextoNormalCaracter"/>
        </w:rPr>
        <w:t>-</w:t>
      </w:r>
      <w:r>
        <w:t xml:space="preserve"> Sentencias </w:t>
      </w:r>
      <w:hyperlink w:anchor="SENTENCIA_2015_12" w:history="1">
        <w:r w:rsidRPr="00DD47EB">
          <w:rPr>
            <w:rStyle w:val="TextoNormalCaracter"/>
          </w:rPr>
          <w:t>12/2015</w:t>
        </w:r>
      </w:hyperlink>
      <w:r>
        <w:t xml:space="preserve">, VP I;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105 c).</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106.</w:t>
      </w:r>
      <w:r w:rsidRPr="00DD47EB">
        <w:rPr>
          <w:rStyle w:val="TextoNormalCaracter"/>
        </w:rPr>
        <w:t>-</w:t>
      </w:r>
      <w:r>
        <w:t xml:space="preserve"> Sentencia </w:t>
      </w:r>
      <w:hyperlink w:anchor="SENTENCIA_2015_12" w:history="1">
        <w:r w:rsidRPr="00DD47EB">
          <w:rPr>
            <w:rStyle w:val="TextoNormalCaracter"/>
          </w:rPr>
          <w:t>12/2015</w:t>
        </w:r>
      </w:hyperlink>
      <w:r>
        <w:t>, VP I.</w:t>
      </w:r>
    </w:p>
    <w:p w:rsidR="00DD47EB" w:rsidRDefault="00DD47EB" w:rsidP="00DD47EB">
      <w:pPr>
        <w:pStyle w:val="SangriaFrancesaArticulo"/>
      </w:pPr>
      <w:r w:rsidRPr="00DD47EB">
        <w:rPr>
          <w:rStyle w:val="TextoNormalNegritaCaracter"/>
        </w:rPr>
        <w:t>Artículo 106.1.</w:t>
      </w:r>
      <w:r w:rsidRPr="00DD47EB">
        <w:rPr>
          <w:rStyle w:val="TextoNormalCaracter"/>
        </w:rPr>
        <w:t>-</w:t>
      </w:r>
      <w:r>
        <w:t xml:space="preserve"> Sentencias </w:t>
      </w:r>
      <w:hyperlink w:anchor="SENTENCIA_2015_24" w:history="1">
        <w:r w:rsidRPr="00DD47EB">
          <w:rPr>
            <w:rStyle w:val="TextoNormalCaracter"/>
          </w:rPr>
          <w:t>24/2015</w:t>
        </w:r>
      </w:hyperlink>
      <w:r>
        <w:t xml:space="preserve">, f. 3;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117.</w:t>
      </w:r>
      <w:r w:rsidRPr="00DD47EB">
        <w:rPr>
          <w:rStyle w:val="TextoNormalCaracter"/>
        </w:rPr>
        <w:t>-</w:t>
      </w:r>
      <w:r>
        <w:t xml:space="preserve"> Sentencias </w:t>
      </w:r>
      <w:hyperlink w:anchor="SENTENCIA_2015_50" w:history="1">
        <w:r w:rsidRPr="00DD47EB">
          <w:rPr>
            <w:rStyle w:val="TextoNormalCaracter"/>
          </w:rPr>
          <w:t>50/2015</w:t>
        </w:r>
      </w:hyperlink>
      <w:r>
        <w:t xml:space="preserve">, f. 2; </w:t>
      </w:r>
      <w:hyperlink w:anchor="SENTENCIA_2015_53" w:history="1">
        <w:r w:rsidRPr="00DD47EB">
          <w:rPr>
            <w:rStyle w:val="TextoNormalCaracter"/>
          </w:rPr>
          <w:t>53/2015</w:t>
        </w:r>
      </w:hyperlink>
      <w:r>
        <w:t>, f. 1.</w:t>
      </w:r>
    </w:p>
    <w:p w:rsidR="00DD47EB" w:rsidRDefault="00DD47EB" w:rsidP="00DD47EB">
      <w:pPr>
        <w:pStyle w:val="SangriaFrancesaArticulo"/>
      </w:pPr>
      <w:r w:rsidRPr="00DD47EB">
        <w:rPr>
          <w:rStyle w:val="TextoNormalNegritaCaracter"/>
        </w:rPr>
        <w:t>Artículo 117.1.</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r w:rsidRPr="00DD47EB">
        <w:rPr>
          <w:rStyle w:val="TextoNormalNegritaCaracter"/>
        </w:rPr>
        <w:t>Artículo 117.3.</w:t>
      </w:r>
      <w:r w:rsidRPr="00DD47EB">
        <w:rPr>
          <w:rStyle w:val="TextoNormalCaracter"/>
        </w:rPr>
        <w:t>-</w:t>
      </w:r>
      <w:r>
        <w:t xml:space="preserve"> Sentencias </w:t>
      </w:r>
      <w:hyperlink w:anchor="SENTENCIA_2015_2" w:history="1">
        <w:r w:rsidRPr="00DD47EB">
          <w:rPr>
            <w:rStyle w:val="TextoNormalCaracter"/>
          </w:rPr>
          <w:t>2/2015</w:t>
        </w:r>
      </w:hyperlink>
      <w:r>
        <w:t xml:space="preserve">, f. 4; </w:t>
      </w:r>
      <w:hyperlink w:anchor="SENTENCIA_2015_7" w:history="1">
        <w:r w:rsidRPr="00DD47EB">
          <w:rPr>
            <w:rStyle w:val="TextoNormalCaracter"/>
          </w:rPr>
          <w:t>7/2015</w:t>
        </w:r>
      </w:hyperlink>
      <w:r>
        <w:t xml:space="preserve">, f. 2, VP; </w:t>
      </w:r>
      <w:hyperlink w:anchor="SENTENCIA_2015_9" w:history="1">
        <w:r w:rsidRPr="00DD47EB">
          <w:rPr>
            <w:rStyle w:val="TextoNormalCaracter"/>
          </w:rPr>
          <w:t>9/2015</w:t>
        </w:r>
      </w:hyperlink>
      <w:r>
        <w:t xml:space="preserve">, f. 4; </w:t>
      </w:r>
      <w:hyperlink w:anchor="SENTENCIA_2015_16" w:history="1">
        <w:r w:rsidRPr="00DD47EB">
          <w:rPr>
            <w:rStyle w:val="TextoNormalCaracter"/>
          </w:rPr>
          <w:t>16/2015</w:t>
        </w:r>
      </w:hyperlink>
      <w:r>
        <w:t xml:space="preserve">, f. 3; </w:t>
      </w:r>
      <w:hyperlink w:anchor="SENTENCIA_2015_24" w:history="1">
        <w:r w:rsidRPr="00DD47EB">
          <w:rPr>
            <w:rStyle w:val="TextoNormalCaracter"/>
          </w:rPr>
          <w:t>24/2015</w:t>
        </w:r>
      </w:hyperlink>
      <w:r>
        <w:t xml:space="preserve">, f. 3; </w:t>
      </w:r>
      <w:hyperlink w:anchor="SENTENCIA_2015_34" w:history="1">
        <w:r w:rsidRPr="00DD47EB">
          <w:rPr>
            <w:rStyle w:val="TextoNormalCaracter"/>
          </w:rPr>
          <w:t>34/2015</w:t>
        </w:r>
      </w:hyperlink>
      <w:r>
        <w:t xml:space="preserve">, f. 3; </w:t>
      </w:r>
      <w:hyperlink w:anchor="SENTENCIA_2015_35" w:history="1">
        <w:r w:rsidRPr="00DD47EB">
          <w:rPr>
            <w:rStyle w:val="TextoNormalCaracter"/>
          </w:rPr>
          <w:t>35/2015</w:t>
        </w:r>
      </w:hyperlink>
      <w:r>
        <w:t xml:space="preserve">, f. 3; </w:t>
      </w:r>
      <w:hyperlink w:anchor="SENTENCIA_2015_36" w:history="1">
        <w:r w:rsidRPr="00DD47EB">
          <w:rPr>
            <w:rStyle w:val="TextoNormalCaracter"/>
          </w:rPr>
          <w:t>36/2015</w:t>
        </w:r>
      </w:hyperlink>
      <w:r>
        <w:t xml:space="preserve">, f. 3; </w:t>
      </w:r>
      <w:hyperlink w:anchor="SENTENCIA_2015_39" w:history="1">
        <w:r w:rsidRPr="00DD47EB">
          <w:rPr>
            <w:rStyle w:val="TextoNormalCaracter"/>
          </w:rPr>
          <w:t>39/2015</w:t>
        </w:r>
      </w:hyperlink>
      <w:r>
        <w:t xml:space="preserve">, f. 5; </w:t>
      </w:r>
      <w:hyperlink w:anchor="SENTENCIA_2015_40" w:history="1">
        <w:r w:rsidRPr="00DD47EB">
          <w:rPr>
            <w:rStyle w:val="TextoNormalCaracter"/>
          </w:rPr>
          <w:t>40/2015</w:t>
        </w:r>
      </w:hyperlink>
      <w:r>
        <w:t xml:space="preserve">, ff. 2, 3; </w:t>
      </w:r>
      <w:hyperlink w:anchor="SENTENCIA_2015_50" w:history="1">
        <w:r w:rsidRPr="00DD47EB">
          <w:rPr>
            <w:rStyle w:val="TextoNormalCaracter"/>
          </w:rPr>
          <w:t>50/2015</w:t>
        </w:r>
      </w:hyperlink>
      <w:r>
        <w:t xml:space="preserve">, ff. 1, 2, 8; </w:t>
      </w:r>
      <w:hyperlink w:anchor="SENTENCIA_2015_53" w:history="1">
        <w:r w:rsidRPr="00DD47EB">
          <w:rPr>
            <w:rStyle w:val="TextoNormalCaracter"/>
          </w:rPr>
          <w:t>53/2015</w:t>
        </w:r>
      </w:hyperlink>
      <w:r>
        <w:t xml:space="preserve">, f. 3; </w:t>
      </w:r>
      <w:hyperlink w:anchor="SENTENCIA_2015_63" w:history="1">
        <w:r w:rsidRPr="00DD47EB">
          <w:rPr>
            <w:rStyle w:val="TextoNormalCaracter"/>
          </w:rPr>
          <w:t>63/2015</w:t>
        </w:r>
      </w:hyperlink>
      <w:r>
        <w:t xml:space="preserve">, VP; </w:t>
      </w:r>
      <w:hyperlink w:anchor="SENTENCIA_2015_67" w:history="1">
        <w:r w:rsidRPr="00DD47EB">
          <w:rPr>
            <w:rStyle w:val="TextoNormalCaracter"/>
          </w:rPr>
          <w:t>67/2015</w:t>
        </w:r>
      </w:hyperlink>
      <w:r>
        <w:t xml:space="preserve">, f. 3; </w:t>
      </w:r>
      <w:hyperlink w:anchor="SENTENCIA_2015_69" w:history="1">
        <w:r w:rsidRPr="00DD47EB">
          <w:rPr>
            <w:rStyle w:val="TextoNormalCaracter"/>
          </w:rPr>
          <w:t>69/2015</w:t>
        </w:r>
      </w:hyperlink>
      <w:r>
        <w:t xml:space="preserve">, f. 3; </w:t>
      </w:r>
      <w:hyperlink w:anchor="SENTENCIA_2015_70" w:history="1">
        <w:r w:rsidRPr="00DD47EB">
          <w:rPr>
            <w:rStyle w:val="TextoNormalCaracter"/>
          </w:rPr>
          <w:t>70/2015</w:t>
        </w:r>
      </w:hyperlink>
      <w:r>
        <w:t xml:space="preserve">, f. 2; </w:t>
      </w:r>
      <w:hyperlink w:anchor="SENTENCIA_2015_72" w:history="1">
        <w:r w:rsidRPr="00DD47EB">
          <w:rPr>
            <w:rStyle w:val="TextoNormalCaracter"/>
          </w:rPr>
          <w:t>72/2015</w:t>
        </w:r>
      </w:hyperlink>
      <w:r>
        <w:t xml:space="preserve">, f. 3; </w:t>
      </w:r>
      <w:hyperlink w:anchor="SENTENCIA_2015_75" w:history="1">
        <w:r w:rsidRPr="00DD47EB">
          <w:rPr>
            <w:rStyle w:val="TextoNormalCaracter"/>
          </w:rPr>
          <w:t>75/2015</w:t>
        </w:r>
      </w:hyperlink>
      <w:r>
        <w:t xml:space="preserve">, ff. 2, 3; </w:t>
      </w:r>
      <w:hyperlink w:anchor="SENTENCIA_2015_76" w:history="1">
        <w:r w:rsidRPr="00DD47EB">
          <w:rPr>
            <w:rStyle w:val="TextoNormalCaracter"/>
          </w:rPr>
          <w:t>76/2015</w:t>
        </w:r>
      </w:hyperlink>
      <w:r>
        <w:t xml:space="preserve">, f. 2; </w:t>
      </w:r>
      <w:hyperlink w:anchor="SENTENCIA_2015_77" w:history="1">
        <w:r w:rsidRPr="00DD47EB">
          <w:rPr>
            <w:rStyle w:val="TextoNormalCaracter"/>
          </w:rPr>
          <w:t>77/2015</w:t>
        </w:r>
      </w:hyperlink>
      <w:r>
        <w:t xml:space="preserve">, f. 3; </w:t>
      </w:r>
      <w:hyperlink w:anchor="SENTENCIA_2015_78" w:history="1">
        <w:r w:rsidRPr="00DD47EB">
          <w:rPr>
            <w:rStyle w:val="TextoNormalCaracter"/>
          </w:rPr>
          <w:t>78/2015</w:t>
        </w:r>
      </w:hyperlink>
      <w:r>
        <w:t xml:space="preserve">, f. 3; </w:t>
      </w:r>
      <w:hyperlink w:anchor="SENTENCIA_2015_79" w:history="1">
        <w:r w:rsidRPr="00DD47EB">
          <w:rPr>
            <w:rStyle w:val="TextoNormalCaracter"/>
          </w:rPr>
          <w:t>79/2015</w:t>
        </w:r>
      </w:hyperlink>
      <w:r>
        <w:t xml:space="preserve">, f. 4; </w:t>
      </w:r>
      <w:hyperlink w:anchor="SENTENCIA_2015_80" w:history="1">
        <w:r w:rsidRPr="00DD47EB">
          <w:rPr>
            <w:rStyle w:val="TextoNormalCaracter"/>
          </w:rPr>
          <w:t>80/2015</w:t>
        </w:r>
      </w:hyperlink>
      <w:r>
        <w:t xml:space="preserve">, f. 3; </w:t>
      </w:r>
      <w:hyperlink w:anchor="SENTENCIA_2015_82" w:history="1">
        <w:r w:rsidRPr="00DD47EB">
          <w:rPr>
            <w:rStyle w:val="TextoNormalCaracter"/>
          </w:rPr>
          <w:t>82/2015</w:t>
        </w:r>
      </w:hyperlink>
      <w:r>
        <w:t xml:space="preserve">, f. 3; </w:t>
      </w:r>
      <w:hyperlink w:anchor="SENTENCIA_2015_90" w:history="1">
        <w:r w:rsidRPr="00DD47EB">
          <w:rPr>
            <w:rStyle w:val="TextoNormalCaracter"/>
          </w:rPr>
          <w:t>90/2015</w:t>
        </w:r>
      </w:hyperlink>
      <w:r>
        <w:t xml:space="preserve">, f. 3; </w:t>
      </w:r>
      <w:hyperlink w:anchor="SENTENCIA_2015_99" w:history="1">
        <w:r w:rsidRPr="00DD47EB">
          <w:rPr>
            <w:rStyle w:val="TextoNormalCaracter"/>
          </w:rPr>
          <w:t>99/2015</w:t>
        </w:r>
      </w:hyperlink>
      <w:r>
        <w:t xml:space="preserve">, f. 4; </w:t>
      </w:r>
      <w:hyperlink w:anchor="SENTENCIA_2015_124" w:history="1">
        <w:r w:rsidRPr="00DD47EB">
          <w:rPr>
            <w:rStyle w:val="TextoNormalCaracter"/>
          </w:rPr>
          <w:t>124/2015</w:t>
        </w:r>
      </w:hyperlink>
      <w:r>
        <w:t xml:space="preserve">, f. 3; </w:t>
      </w:r>
      <w:hyperlink w:anchor="SENTENCIA_2015_146" w:history="1">
        <w:r w:rsidRPr="00DD47EB">
          <w:rPr>
            <w:rStyle w:val="TextoNormalCaracter"/>
          </w:rPr>
          <w:t>146/2015</w:t>
        </w:r>
      </w:hyperlink>
      <w:r>
        <w:t>, f. 2.</w:t>
      </w:r>
    </w:p>
    <w:p w:rsidR="00DD47EB" w:rsidRDefault="00DD47EB" w:rsidP="00DD47EB">
      <w:pPr>
        <w:pStyle w:val="SangriaIzquierdaArticulo"/>
      </w:pPr>
      <w:r>
        <w:t xml:space="preserve">Autos </w:t>
      </w:r>
      <w:hyperlink w:anchor="AUTO_2015_59" w:history="1">
        <w:r w:rsidRPr="00DD47EB">
          <w:rPr>
            <w:rStyle w:val="TextoNormalCaracter"/>
          </w:rPr>
          <w:t>59/2015</w:t>
        </w:r>
      </w:hyperlink>
      <w:r>
        <w:t xml:space="preserve">, f. 1; </w:t>
      </w:r>
      <w:hyperlink w:anchor="AUTO_2015_84" w:history="1">
        <w:r w:rsidRPr="00DD47EB">
          <w:rPr>
            <w:rStyle w:val="TextoNormalCaracter"/>
          </w:rPr>
          <w:t>84/2015</w:t>
        </w:r>
      </w:hyperlink>
      <w:r>
        <w:t xml:space="preserve">, ff. 1, 3, 4; </w:t>
      </w:r>
      <w:hyperlink w:anchor="AUTO_2015_94" w:history="1">
        <w:r w:rsidRPr="00DD47EB">
          <w:rPr>
            <w:rStyle w:val="TextoNormalCaracter"/>
          </w:rPr>
          <w:t>94/2015</w:t>
        </w:r>
      </w:hyperlink>
      <w:r>
        <w:t>, f. 1.</w:t>
      </w:r>
    </w:p>
    <w:p w:rsidR="00DD47EB" w:rsidRDefault="00DD47EB" w:rsidP="00DD47EB">
      <w:pPr>
        <w:pStyle w:val="SangriaFrancesaArticulo"/>
      </w:pPr>
      <w:r w:rsidRPr="00DD47EB">
        <w:rPr>
          <w:rStyle w:val="TextoNormalNegritaCaracter"/>
        </w:rPr>
        <w:t>Artículo 118.</w:t>
      </w:r>
      <w:r w:rsidRPr="00DD47EB">
        <w:rPr>
          <w:rStyle w:val="TextoNormalCaracter"/>
        </w:rPr>
        <w:t>-</w:t>
      </w:r>
      <w:r>
        <w:t xml:space="preserve"> Sentencias </w:t>
      </w:r>
      <w:hyperlink w:anchor="SENTENCIA_2015_50" w:history="1">
        <w:r w:rsidRPr="00DD47EB">
          <w:rPr>
            <w:rStyle w:val="TextoNormalCaracter"/>
          </w:rPr>
          <w:t>50/2015</w:t>
        </w:r>
      </w:hyperlink>
      <w:r>
        <w:t xml:space="preserve">, f. 8; </w:t>
      </w:r>
      <w:hyperlink w:anchor="SENTENCIA_2015_63" w:history="1">
        <w:r w:rsidRPr="00DD47EB">
          <w:rPr>
            <w:rStyle w:val="TextoNormalCaracter"/>
          </w:rPr>
          <w:t>63/2015</w:t>
        </w:r>
      </w:hyperlink>
      <w:r>
        <w:t>, f. 5, VP.</w:t>
      </w:r>
    </w:p>
    <w:p w:rsidR="00DD47EB" w:rsidRDefault="00DD47EB" w:rsidP="00DD47EB">
      <w:pPr>
        <w:pStyle w:val="SangriaFrancesaArticulo"/>
      </w:pPr>
      <w:r w:rsidRPr="00DD47EB">
        <w:rPr>
          <w:rStyle w:val="TextoNormalNegritaCaracter"/>
        </w:rPr>
        <w:t>Artículo 119.</w:t>
      </w:r>
      <w:r w:rsidRPr="00DD47EB">
        <w:rPr>
          <w:rStyle w:val="TextoNormalCaracter"/>
        </w:rPr>
        <w:t>-</w:t>
      </w:r>
      <w:r>
        <w:t xml:space="preserve"> Sentencias </w:t>
      </w:r>
      <w:hyperlink w:anchor="SENTENCIA_2015_90" w:history="1">
        <w:r w:rsidRPr="00DD47EB">
          <w:rPr>
            <w:rStyle w:val="TextoNormalCaracter"/>
          </w:rPr>
          <w:t>90/2015</w:t>
        </w:r>
      </w:hyperlink>
      <w:r>
        <w:t xml:space="preserve">, ff. 3, 4; </w:t>
      </w:r>
      <w:hyperlink w:anchor="SENTENCIA_2015_124" w:history="1">
        <w:r w:rsidRPr="00DD47EB">
          <w:rPr>
            <w:rStyle w:val="TextoNormalCaracter"/>
          </w:rPr>
          <w:t>124/2015</w:t>
        </w:r>
      </w:hyperlink>
      <w:r>
        <w:t xml:space="preserve">, ff. 1, 3, 5; </w:t>
      </w:r>
      <w:hyperlink w:anchor="SENTENCIA_2015_124" w:history="1">
        <w:r w:rsidRPr="00DD47EB">
          <w:rPr>
            <w:rStyle w:val="TextoNormalCaracter"/>
          </w:rPr>
          <w:t>124/2015</w:t>
        </w:r>
      </w:hyperlink>
      <w:r>
        <w:t>, f. 3.</w:t>
      </w:r>
    </w:p>
    <w:p w:rsidR="00DD47EB" w:rsidRDefault="00DD47EB" w:rsidP="00DD47EB">
      <w:pPr>
        <w:pStyle w:val="SangriaIzquierdaArticulo"/>
      </w:pPr>
      <w:r>
        <w:t xml:space="preserve">Auto </w:t>
      </w:r>
      <w:hyperlink w:anchor="AUTO_2015_13" w:history="1">
        <w:r w:rsidRPr="00DD47EB">
          <w:rPr>
            <w:rStyle w:val="TextoNormalCaracter"/>
          </w:rPr>
          <w:t>13/2015</w:t>
        </w:r>
      </w:hyperlink>
      <w:r>
        <w:t>, f. 2.</w:t>
      </w:r>
    </w:p>
    <w:p w:rsidR="00DD47EB" w:rsidRDefault="00DD47EB" w:rsidP="00DD47EB">
      <w:pPr>
        <w:pStyle w:val="SangriaFrancesaArticulo"/>
      </w:pPr>
      <w:r w:rsidRPr="00DD47EB">
        <w:rPr>
          <w:rStyle w:val="TextoNormalNegritaCaracter"/>
        </w:rPr>
        <w:t>Artículo 120.3.</w:t>
      </w:r>
      <w:r w:rsidRPr="00DD47EB">
        <w:rPr>
          <w:rStyle w:val="TextoNormalCaracter"/>
        </w:rPr>
        <w:t>-</w:t>
      </w:r>
      <w:r>
        <w:t xml:space="preserve"> Sentencias </w:t>
      </w:r>
      <w:hyperlink w:anchor="SENTENCIA_2015_33" w:history="1">
        <w:r w:rsidRPr="00DD47EB">
          <w:rPr>
            <w:rStyle w:val="TextoNormalCaracter"/>
          </w:rPr>
          <w:t>33/2015</w:t>
        </w:r>
      </w:hyperlink>
      <w:r>
        <w:t xml:space="preserve">, f. 3; </w:t>
      </w:r>
      <w:hyperlink w:anchor="SENTENCIA_2015_112" w:history="1">
        <w:r w:rsidRPr="00DD47EB">
          <w:rPr>
            <w:rStyle w:val="TextoNormalCaracter"/>
          </w:rPr>
          <w:t>112/2015</w:t>
        </w:r>
      </w:hyperlink>
      <w:r>
        <w:t>, ff. 5, 8.</w:t>
      </w:r>
    </w:p>
    <w:p w:rsidR="00DD47EB" w:rsidRDefault="00DD47EB" w:rsidP="00DD47EB">
      <w:pPr>
        <w:pStyle w:val="SangriaFrancesaArticulo"/>
      </w:pPr>
      <w:r w:rsidRPr="00DD47EB">
        <w:rPr>
          <w:rStyle w:val="TextoNormalNegritaCaracter"/>
        </w:rPr>
        <w:t>Artículo 123.</w:t>
      </w:r>
      <w:r w:rsidRPr="00DD47EB">
        <w:rPr>
          <w:rStyle w:val="TextoNormalCaracter"/>
        </w:rPr>
        <w:t>-</w:t>
      </w:r>
      <w:r>
        <w:t xml:space="preserve"> Sentencias </w:t>
      </w:r>
      <w:hyperlink w:anchor="SENTENCIA_2015_7" w:history="1">
        <w:r w:rsidRPr="00DD47EB">
          <w:rPr>
            <w:rStyle w:val="TextoNormalCaracter"/>
          </w:rPr>
          <w:t>7/2015</w:t>
        </w:r>
      </w:hyperlink>
      <w:r>
        <w:t xml:space="preserve">, f. 2; </w:t>
      </w:r>
      <w:hyperlink w:anchor="SENTENCIA_2015_16" w:history="1">
        <w:r w:rsidRPr="00DD47EB">
          <w:rPr>
            <w:rStyle w:val="TextoNormalCaracter"/>
          </w:rPr>
          <w:t>16/2015</w:t>
        </w:r>
      </w:hyperlink>
      <w:r>
        <w:t xml:space="preserve">, f. 2;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0" w:history="1">
        <w:r w:rsidRPr="00DD47EB">
          <w:rPr>
            <w:rStyle w:val="TextoNormalCaracter"/>
          </w:rPr>
          <w:t>70/2015</w:t>
        </w:r>
      </w:hyperlink>
      <w:r>
        <w:t xml:space="preserve">, f. 2; </w:t>
      </w:r>
      <w:hyperlink w:anchor="SENTENCIA_2015_71" w:history="1">
        <w:r w:rsidRPr="00DD47EB">
          <w:rPr>
            <w:rStyle w:val="TextoNormalCaracter"/>
          </w:rPr>
          <w:t>71/2015</w:t>
        </w:r>
      </w:hyperlink>
      <w:r>
        <w:t xml:space="preserve">, ff. 1,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Artículo 123.1.</w:t>
      </w:r>
      <w:r w:rsidRPr="00DD47EB">
        <w:rPr>
          <w:rStyle w:val="TextoNormalCaracter"/>
        </w:rPr>
        <w:t>-</w:t>
      </w:r>
      <w:r>
        <w:t xml:space="preserve"> Sentencias </w:t>
      </w:r>
      <w:hyperlink w:anchor="SENTENCIA_2015_7" w:history="1">
        <w:r w:rsidRPr="00DD47EB">
          <w:rPr>
            <w:rStyle w:val="TextoNormalCaracter"/>
          </w:rPr>
          <w:t>7/2015</w:t>
        </w:r>
      </w:hyperlink>
      <w:r>
        <w:t xml:space="preserve">, f. 2; </w:t>
      </w:r>
      <w:hyperlink w:anchor="SENTENCIA_2015_24" w:history="1">
        <w:r w:rsidRPr="00DD47EB">
          <w:rPr>
            <w:rStyle w:val="TextoNormalCaracter"/>
          </w:rPr>
          <w:t>24/2015</w:t>
        </w:r>
      </w:hyperlink>
      <w:r>
        <w:t>, f. 3.</w:t>
      </w:r>
    </w:p>
    <w:p w:rsidR="00DD47EB" w:rsidRDefault="00DD47EB" w:rsidP="00DD47EB">
      <w:pPr>
        <w:pStyle w:val="SangriaFrancesaArticulo"/>
      </w:pPr>
      <w:r w:rsidRPr="00DD47EB">
        <w:rPr>
          <w:rStyle w:val="TextoNormalNegritaCaracter"/>
        </w:rPr>
        <w:t>Artículo 125.</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128.1.</w:t>
      </w:r>
      <w:r w:rsidRPr="00DD47EB">
        <w:rPr>
          <w:rStyle w:val="TextoNormalCaracter"/>
        </w:rPr>
        <w:t>-</w:t>
      </w:r>
      <w:r>
        <w:t xml:space="preserve"> Sentencia </w:t>
      </w:r>
      <w:hyperlink w:anchor="SENTENCIA_2015_13" w:history="1">
        <w:r w:rsidRPr="00DD47EB">
          <w:rPr>
            <w:rStyle w:val="TextoNormalCaracter"/>
          </w:rPr>
          <w:t>13/2015</w:t>
        </w:r>
      </w:hyperlink>
      <w:r>
        <w:t>, f. 6.</w:t>
      </w:r>
    </w:p>
    <w:p w:rsidR="00DD47EB" w:rsidRDefault="00DD47EB" w:rsidP="00DD47EB">
      <w:pPr>
        <w:pStyle w:val="SangriaFrancesaArticulo"/>
      </w:pPr>
      <w:r w:rsidRPr="00DD47EB">
        <w:rPr>
          <w:rStyle w:val="TextoNormalNegritaCaracter"/>
        </w:rPr>
        <w:t>Artículo 129.1.</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129.2.</w:t>
      </w:r>
      <w:r w:rsidRPr="00DD47EB">
        <w:rPr>
          <w:rStyle w:val="TextoNormalCaracter"/>
        </w:rPr>
        <w:t>-</w:t>
      </w:r>
      <w:r>
        <w:t xml:space="preserve"> Sentencia </w:t>
      </w:r>
      <w:hyperlink w:anchor="SENTENCIA_2015_8" w:history="1">
        <w:r w:rsidRPr="00DD47EB">
          <w:rPr>
            <w:rStyle w:val="TextoNormalCaracter"/>
          </w:rPr>
          <w:t>8/2015</w:t>
        </w:r>
      </w:hyperlink>
      <w:r>
        <w:t>, f. 2.</w:t>
      </w:r>
    </w:p>
    <w:p w:rsidR="00DD47EB" w:rsidRDefault="00DD47EB" w:rsidP="00DD47EB">
      <w:pPr>
        <w:pStyle w:val="SangriaFrancesaArticulo"/>
      </w:pPr>
      <w:r w:rsidRPr="00DD47EB">
        <w:rPr>
          <w:rStyle w:val="TextoNormalNegritaCaracter"/>
        </w:rPr>
        <w:t>Artículo 131.</w:t>
      </w:r>
      <w:r w:rsidRPr="00DD47EB">
        <w:rPr>
          <w:rStyle w:val="TextoNormalCaracter"/>
        </w:rPr>
        <w:t>-</w:t>
      </w:r>
      <w:r>
        <w:t xml:space="preserve"> Sentencia </w:t>
      </w:r>
      <w:hyperlink w:anchor="SENTENCIA_2015_11" w:history="1">
        <w:r w:rsidRPr="00DD47EB">
          <w:rPr>
            <w:rStyle w:val="TextoNormalCaracter"/>
          </w:rPr>
          <w:t>11/2015</w:t>
        </w:r>
      </w:hyperlink>
      <w:r>
        <w:t>, ff. 4, 5.</w:t>
      </w:r>
    </w:p>
    <w:p w:rsidR="00DD47EB" w:rsidRDefault="00DD47EB" w:rsidP="00DD47EB">
      <w:pPr>
        <w:pStyle w:val="SangriaFrancesaArticulo"/>
      </w:pPr>
      <w:r w:rsidRPr="00DD47EB">
        <w:rPr>
          <w:rStyle w:val="TextoNormalNegritaCaracter"/>
        </w:rPr>
        <w:t>Artículo 131.1.</w:t>
      </w:r>
      <w:r w:rsidRPr="00DD47EB">
        <w:rPr>
          <w:rStyle w:val="TextoNormalCaracter"/>
        </w:rPr>
        <w:t>-</w:t>
      </w:r>
      <w:r>
        <w:t xml:space="preserve"> Sentencia </w:t>
      </w:r>
      <w:hyperlink w:anchor="SENTENCIA_2015_26" w:history="1">
        <w:r w:rsidRPr="00DD47EB">
          <w:rPr>
            <w:rStyle w:val="TextoNormalCaracter"/>
          </w:rPr>
          <w:t>26/2015</w:t>
        </w:r>
      </w:hyperlink>
      <w:r>
        <w:t>, ff. 2, 4.</w:t>
      </w:r>
    </w:p>
    <w:p w:rsidR="00DD47EB" w:rsidRDefault="00DD47EB" w:rsidP="00DD47EB">
      <w:pPr>
        <w:pStyle w:val="SangriaFrancesaArticulo"/>
      </w:pPr>
      <w:r w:rsidRPr="00DD47EB">
        <w:rPr>
          <w:rStyle w:val="TextoNormalNegritaCaracter"/>
        </w:rPr>
        <w:t>Artículo 131.2.</w:t>
      </w:r>
      <w:r w:rsidRPr="00DD47EB">
        <w:rPr>
          <w:rStyle w:val="TextoNormalCaracter"/>
        </w:rPr>
        <w:t>-</w:t>
      </w:r>
      <w:r>
        <w:t xml:space="preserve"> Sentencia </w:t>
      </w:r>
      <w:hyperlink w:anchor="SENTENCIA_2015_31" w:history="1">
        <w:r w:rsidRPr="00DD47EB">
          <w:rPr>
            <w:rStyle w:val="TextoNormalCaracter"/>
          </w:rPr>
          <w:t>31/2015</w:t>
        </w:r>
      </w:hyperlink>
      <w:r>
        <w:t>, f. 4.</w:t>
      </w:r>
    </w:p>
    <w:p w:rsidR="00DD47EB" w:rsidRDefault="00DD47EB" w:rsidP="00DD47EB">
      <w:pPr>
        <w:pStyle w:val="SangriaFrancesaArticulo"/>
      </w:pPr>
      <w:r w:rsidRPr="00DD47EB">
        <w:rPr>
          <w:rStyle w:val="TextoNormalNegritaCaracter"/>
        </w:rPr>
        <w:t>Artículo 132.</w:t>
      </w:r>
      <w:r w:rsidRPr="00DD47EB">
        <w:rPr>
          <w:rStyle w:val="TextoNormalCaracter"/>
        </w:rPr>
        <w:t>-</w:t>
      </w:r>
      <w:r>
        <w:t xml:space="preserve"> Sentencias </w:t>
      </w:r>
      <w:hyperlink w:anchor="SENTENCIA_2015_5" w:history="1">
        <w:r w:rsidRPr="00DD47EB">
          <w:rPr>
            <w:rStyle w:val="TextoNormalCaracter"/>
          </w:rPr>
          <w:t>5/2015</w:t>
        </w:r>
      </w:hyperlink>
      <w:r>
        <w:t xml:space="preserve">, f. 1; </w:t>
      </w:r>
      <w:hyperlink w:anchor="SENTENCIA_2015_13" w:history="1">
        <w:r w:rsidRPr="00DD47EB">
          <w:rPr>
            <w:rStyle w:val="TextoNormalCaracter"/>
          </w:rPr>
          <w:t>13/2015</w:t>
        </w:r>
      </w:hyperlink>
      <w:r>
        <w:t>, ff. 2, 6.</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132.2.</w:t>
      </w:r>
      <w:r w:rsidRPr="00DD47EB">
        <w:rPr>
          <w:rStyle w:val="TextoNormalCaracter"/>
        </w:rPr>
        <w:t>-</w:t>
      </w:r>
      <w:r>
        <w:t xml:space="preserve"> Sentencia </w:t>
      </w:r>
      <w:hyperlink w:anchor="SENTENCIA_2015_5" w:history="1">
        <w:r w:rsidRPr="00DD47EB">
          <w:rPr>
            <w:rStyle w:val="TextoNormalCaracter"/>
          </w:rPr>
          <w:t>5/2015</w:t>
        </w:r>
      </w:hyperlink>
      <w:r>
        <w:t>, f. 4.</w:t>
      </w:r>
    </w:p>
    <w:p w:rsidR="00DD47EB" w:rsidRDefault="00DD47EB" w:rsidP="00DD47EB">
      <w:pPr>
        <w:pStyle w:val="SangriaFrancesaArticulo"/>
      </w:pPr>
      <w:r w:rsidRPr="00DD47EB">
        <w:rPr>
          <w:rStyle w:val="TextoNormalNegritaCaracter"/>
        </w:rPr>
        <w:t>Artículo 133.</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xml:space="preserve">, VP; </w:t>
      </w:r>
      <w:hyperlink w:anchor="SENTENCIA_2015_107" w:history="1">
        <w:r w:rsidRPr="00DD47EB">
          <w:rPr>
            <w:rStyle w:val="TextoNormalCaracter"/>
          </w:rPr>
          <w:t>107/2015</w:t>
        </w:r>
      </w:hyperlink>
      <w:r>
        <w:t xml:space="preserve">, f. 1; </w:t>
      </w:r>
      <w:hyperlink w:anchor="SENTENCIA_2015_111" w:history="1">
        <w:r w:rsidRPr="00DD47EB">
          <w:rPr>
            <w:rStyle w:val="TextoNormalCaracter"/>
          </w:rPr>
          <w:t>111/2015</w:t>
        </w:r>
      </w:hyperlink>
      <w:r>
        <w:t>, f. 1.</w:t>
      </w:r>
    </w:p>
    <w:p w:rsidR="00DD47EB" w:rsidRDefault="00DD47EB" w:rsidP="00DD47EB">
      <w:pPr>
        <w:pStyle w:val="SangriaFrancesaArticulo"/>
      </w:pPr>
      <w:r w:rsidRPr="00DD47EB">
        <w:rPr>
          <w:rStyle w:val="TextoNormalNegritaCaracter"/>
        </w:rPr>
        <w:t>Artículo 133.1.</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44" w:history="1">
        <w:r w:rsidRPr="00DD47EB">
          <w:rPr>
            <w:rStyle w:val="TextoNormalCaracter"/>
          </w:rPr>
          <w:t>44/2015</w:t>
        </w:r>
      </w:hyperlink>
      <w:r>
        <w:t xml:space="preserve">, f. 5; </w:t>
      </w:r>
      <w:hyperlink w:anchor="SENTENCIA_2015_59" w:history="1">
        <w:r w:rsidRPr="00DD47EB">
          <w:rPr>
            <w:rStyle w:val="TextoNormalCaracter"/>
          </w:rPr>
          <w:t>59/2015</w:t>
        </w:r>
      </w:hyperlink>
      <w:r>
        <w:t xml:space="preserve">, f. 3; </w:t>
      </w:r>
      <w:hyperlink w:anchor="SENTENCIA_2015_62" w:history="1">
        <w:r w:rsidRPr="00DD47EB">
          <w:rPr>
            <w:rStyle w:val="TextoNormalCaracter"/>
          </w:rPr>
          <w:t>62/2015</w:t>
        </w:r>
      </w:hyperlink>
      <w:r>
        <w:t>, f. 3.</w:t>
      </w:r>
    </w:p>
    <w:p w:rsidR="00DD47EB" w:rsidRDefault="00DD47EB" w:rsidP="00DD47EB">
      <w:pPr>
        <w:pStyle w:val="SangriaFrancesaArticulo"/>
      </w:pPr>
      <w:r w:rsidRPr="00DD47EB">
        <w:rPr>
          <w:rStyle w:val="TextoNormalNegritaCaracter"/>
        </w:rPr>
        <w:t>Artículo 133.2.</w:t>
      </w:r>
      <w:r w:rsidRPr="00DD47EB">
        <w:rPr>
          <w:rStyle w:val="TextoNormalCaracter"/>
        </w:rPr>
        <w:t>-</w:t>
      </w:r>
      <w:r>
        <w:t xml:space="preserve"> Sentencias </w:t>
      </w:r>
      <w:hyperlink w:anchor="SENTENCIA_2015_22" w:history="1">
        <w:r w:rsidRPr="00DD47EB">
          <w:rPr>
            <w:rStyle w:val="TextoNormalCaracter"/>
          </w:rPr>
          <w:t>22/2015</w:t>
        </w:r>
      </w:hyperlink>
      <w:r>
        <w:t xml:space="preserve">, ff. 2, 5; </w:t>
      </w:r>
      <w:hyperlink w:anchor="SENTENCIA_2015_26" w:history="1">
        <w:r w:rsidRPr="00DD47EB">
          <w:rPr>
            <w:rStyle w:val="TextoNormalCaracter"/>
          </w:rPr>
          <w:t>26/2015</w:t>
        </w:r>
      </w:hyperlink>
      <w:r>
        <w:t xml:space="preserve">, ff. 2, 4, 5, VP; </w:t>
      </w:r>
      <w:hyperlink w:anchor="SENTENCIA_2015_30" w:history="1">
        <w:r w:rsidRPr="00DD47EB">
          <w:rPr>
            <w:rStyle w:val="TextoNormalCaracter"/>
          </w:rPr>
          <w:t>30/2015</w:t>
        </w:r>
      </w:hyperlink>
      <w:r>
        <w:t xml:space="preserve">, ff. 3, 4; </w:t>
      </w:r>
      <w:hyperlink w:anchor="SENTENCIA_2015_59" w:history="1">
        <w:r w:rsidRPr="00DD47EB">
          <w:rPr>
            <w:rStyle w:val="TextoNormalCaracter"/>
          </w:rPr>
          <w:t>59/2015</w:t>
        </w:r>
      </w:hyperlink>
      <w:r>
        <w:t xml:space="preserve">, f. 1; </w:t>
      </w:r>
      <w:hyperlink w:anchor="SENTENCIA_2015_102" w:history="1">
        <w:r w:rsidRPr="00DD47EB">
          <w:rPr>
            <w:rStyle w:val="TextoNormalCaracter"/>
          </w:rPr>
          <w:t>102/2015</w:t>
        </w:r>
      </w:hyperlink>
      <w:r>
        <w:t xml:space="preserve">, f. 2; </w:t>
      </w:r>
      <w:hyperlink w:anchor="SENTENCIA_2015_108" w:history="1">
        <w:r w:rsidRPr="00DD47EB">
          <w:rPr>
            <w:rStyle w:val="TextoNormalCaracter"/>
          </w:rPr>
          <w:t>108/2015</w:t>
        </w:r>
      </w:hyperlink>
      <w:r>
        <w:t xml:space="preserve">, f. 5; </w:t>
      </w:r>
      <w:hyperlink w:anchor="SENTENCIA_2015_111" w:history="1">
        <w:r w:rsidRPr="00DD47EB">
          <w:rPr>
            <w:rStyle w:val="TextoNormalCaracter"/>
          </w:rPr>
          <w:t>111/2015</w:t>
        </w:r>
      </w:hyperlink>
      <w:r>
        <w:t>, f. 3.</w:t>
      </w:r>
    </w:p>
    <w:p w:rsidR="00DD47EB" w:rsidRDefault="00DD47EB" w:rsidP="00DD47EB">
      <w:pPr>
        <w:pStyle w:val="SangriaFrancesaArticulo"/>
      </w:pPr>
      <w:r w:rsidRPr="00DD47EB">
        <w:rPr>
          <w:rStyle w:val="TextoNormalNegritaCaracter"/>
        </w:rPr>
        <w:t>Artículo 134.</w:t>
      </w:r>
      <w:r w:rsidRPr="00DD47EB">
        <w:rPr>
          <w:rStyle w:val="TextoNormalCaracter"/>
        </w:rPr>
        <w:t>-</w:t>
      </w:r>
      <w:r>
        <w:t xml:space="preserve"> Sentencias </w:t>
      </w:r>
      <w:hyperlink w:anchor="SENTENCIA_2015_44" w:history="1">
        <w:r w:rsidRPr="00DD47EB">
          <w:rPr>
            <w:rStyle w:val="TextoNormalCaracter"/>
          </w:rPr>
          <w:t>44/2015</w:t>
        </w:r>
      </w:hyperlink>
      <w:r>
        <w:t xml:space="preserve">, ff. 3, 5; </w:t>
      </w:r>
      <w:hyperlink w:anchor="SENTENCIA_2015_62" w:history="1">
        <w:r w:rsidRPr="00DD47EB">
          <w:rPr>
            <w:rStyle w:val="TextoNormalCaracter"/>
          </w:rPr>
          <w:t>62/2015</w:t>
        </w:r>
      </w:hyperlink>
      <w:r>
        <w:t xml:space="preserve">, f. 3; </w:t>
      </w:r>
      <w:hyperlink w:anchor="SENTENCIA_2015_73" w:history="1">
        <w:r w:rsidRPr="00DD47EB">
          <w:rPr>
            <w:rStyle w:val="TextoNormalCaracter"/>
          </w:rPr>
          <w:t>73/2015</w:t>
        </w:r>
      </w:hyperlink>
      <w:r>
        <w:t xml:space="preserve">, f. 4; </w:t>
      </w:r>
      <w:hyperlink w:anchor="SENTENCIA_2015_108" w:history="1">
        <w:r w:rsidRPr="00DD47EB">
          <w:rPr>
            <w:rStyle w:val="TextoNormalCaracter"/>
          </w:rPr>
          <w:t>108/2015</w:t>
        </w:r>
      </w:hyperlink>
      <w:r>
        <w:t>, f. 3.</w:t>
      </w:r>
    </w:p>
    <w:p w:rsidR="00DD47EB" w:rsidRDefault="00DD47EB" w:rsidP="00DD47EB">
      <w:pPr>
        <w:pStyle w:val="SangriaIzquierdaArticulo"/>
      </w:pPr>
      <w:r>
        <w:t xml:space="preserve">Auto </w:t>
      </w:r>
      <w:hyperlink w:anchor="AUTO_2015_37" w:history="1">
        <w:r w:rsidRPr="00DD47EB">
          <w:rPr>
            <w:rStyle w:val="TextoNormalCaracter"/>
          </w:rPr>
          <w:t>37/2015</w:t>
        </w:r>
      </w:hyperlink>
      <w:r>
        <w:t>, f. 3.</w:t>
      </w:r>
    </w:p>
    <w:p w:rsidR="00DD47EB" w:rsidRDefault="00DD47EB" w:rsidP="00DD47EB">
      <w:pPr>
        <w:pStyle w:val="SangriaFrancesaArticulo"/>
      </w:pPr>
      <w:r w:rsidRPr="00DD47EB">
        <w:rPr>
          <w:rStyle w:val="TextoNormalNegritaCaracter"/>
        </w:rPr>
        <w:t>Artículo 134.1.</w:t>
      </w:r>
      <w:r w:rsidRPr="00DD47EB">
        <w:rPr>
          <w:rStyle w:val="TextoNormalCaracter"/>
        </w:rPr>
        <w:t>-</w:t>
      </w:r>
      <w:r>
        <w:t xml:space="preserve"> Sentencia </w:t>
      </w:r>
      <w:hyperlink w:anchor="SENTENCIA_2015_44" w:history="1">
        <w:r w:rsidRPr="00DD47EB">
          <w:rPr>
            <w:rStyle w:val="TextoNormalCaracter"/>
          </w:rPr>
          <w:t>44/2015</w:t>
        </w:r>
      </w:hyperlink>
      <w:r>
        <w:t>, f. 4.</w:t>
      </w:r>
    </w:p>
    <w:p w:rsidR="00DD47EB" w:rsidRDefault="00DD47EB" w:rsidP="00DD47EB">
      <w:pPr>
        <w:pStyle w:val="SangriaFrancesaArticulo"/>
      </w:pPr>
      <w:r w:rsidRPr="00DD47EB">
        <w:rPr>
          <w:rStyle w:val="TextoNormalNegritaCaracter"/>
        </w:rPr>
        <w:t>Artículo 134.2.</w:t>
      </w:r>
      <w:r w:rsidRPr="00DD47EB">
        <w:rPr>
          <w:rStyle w:val="TextoNormalCaracter"/>
        </w:rPr>
        <w:t>-</w:t>
      </w:r>
      <w:r>
        <w:t xml:space="preserve"> Sentencias </w:t>
      </w:r>
      <w:hyperlink w:anchor="SENTENCIA_2015_44" w:history="1">
        <w:r w:rsidRPr="00DD47EB">
          <w:rPr>
            <w:rStyle w:val="TextoNormalCaracter"/>
          </w:rPr>
          <w:t>44/2015</w:t>
        </w:r>
      </w:hyperlink>
      <w:r>
        <w:t xml:space="preserve">, ff. 2, 3; </w:t>
      </w:r>
      <w:hyperlink w:anchor="SENTENCIA_2015_108" w:history="1">
        <w:r w:rsidRPr="00DD47EB">
          <w:rPr>
            <w:rStyle w:val="TextoNormalCaracter"/>
          </w:rPr>
          <w:t>108/2015</w:t>
        </w:r>
      </w:hyperlink>
      <w:r>
        <w:t>, f. 3.</w:t>
      </w:r>
    </w:p>
    <w:p w:rsidR="00DD47EB" w:rsidRDefault="00DD47EB" w:rsidP="00DD47EB">
      <w:pPr>
        <w:pStyle w:val="SangriaIzquierdaArticulo"/>
      </w:pPr>
      <w:r>
        <w:t xml:space="preserve">Auto </w:t>
      </w:r>
      <w:hyperlink w:anchor="AUTO_2015_37" w:history="1">
        <w:r w:rsidRPr="00DD47EB">
          <w:rPr>
            <w:rStyle w:val="TextoNormalCaracter"/>
          </w:rPr>
          <w:t>37/2015</w:t>
        </w:r>
      </w:hyperlink>
      <w:r>
        <w:t>, ff. 1, 3.</w:t>
      </w:r>
    </w:p>
    <w:p w:rsidR="00DD47EB" w:rsidRDefault="00DD47EB" w:rsidP="00DD47EB">
      <w:pPr>
        <w:pStyle w:val="SangriaFrancesaArticulo"/>
      </w:pPr>
      <w:r w:rsidRPr="00DD47EB">
        <w:rPr>
          <w:rStyle w:val="TextoNormalNegritaCaracter"/>
        </w:rPr>
        <w:t>Artículo 134.5.</w:t>
      </w:r>
      <w:r w:rsidRPr="00DD47EB">
        <w:rPr>
          <w:rStyle w:val="TextoNormalCaracter"/>
        </w:rPr>
        <w:t>-</w:t>
      </w:r>
      <w:r>
        <w:t xml:space="preserve"> Sentencia </w:t>
      </w:r>
      <w:hyperlink w:anchor="SENTENCIA_2015_81" w:history="1">
        <w:r w:rsidRPr="00DD47EB">
          <w:rPr>
            <w:rStyle w:val="TextoNormalCaracter"/>
          </w:rPr>
          <w:t>81/2015</w:t>
        </w:r>
      </w:hyperlink>
      <w:r>
        <w:t>, f. 8.</w:t>
      </w:r>
    </w:p>
    <w:p w:rsidR="00DD47EB" w:rsidRDefault="00DD47EB" w:rsidP="00DD47EB">
      <w:pPr>
        <w:pStyle w:val="SangriaFrancesaArticulo"/>
      </w:pPr>
      <w:r w:rsidRPr="00DD47EB">
        <w:rPr>
          <w:rStyle w:val="TextoNormalNegritaCaracter"/>
        </w:rPr>
        <w:t>Artículo 134.6.</w:t>
      </w:r>
      <w:r w:rsidRPr="00DD47EB">
        <w:rPr>
          <w:rStyle w:val="TextoNormalCaracter"/>
        </w:rPr>
        <w:t>-</w:t>
      </w:r>
      <w:r>
        <w:t xml:space="preserve"> Sentencias </w:t>
      </w:r>
      <w:hyperlink w:anchor="SENTENCIA_2015_44" w:history="1">
        <w:r w:rsidRPr="00DD47EB">
          <w:rPr>
            <w:rStyle w:val="TextoNormalCaracter"/>
          </w:rPr>
          <w:t>44/2015</w:t>
        </w:r>
      </w:hyperlink>
      <w:r>
        <w:t xml:space="preserve">, f. 4; </w:t>
      </w:r>
      <w:hyperlink w:anchor="SENTENCIA_2015_73" w:history="1">
        <w:r w:rsidRPr="00DD47EB">
          <w:rPr>
            <w:rStyle w:val="TextoNormalCaracter"/>
          </w:rPr>
          <w:t>73/2015</w:t>
        </w:r>
      </w:hyperlink>
      <w:r>
        <w:t>, ff. 1, 3, 4.</w:t>
      </w:r>
    </w:p>
    <w:p w:rsidR="00DD47EB" w:rsidRDefault="00DD47EB" w:rsidP="00DD47EB">
      <w:pPr>
        <w:pStyle w:val="SangriaFrancesaArticulo"/>
      </w:pPr>
      <w:r w:rsidRPr="00DD47EB">
        <w:rPr>
          <w:rStyle w:val="TextoNormalNegritaCaracter"/>
        </w:rPr>
        <w:t>Artículo 134.7.</w:t>
      </w:r>
      <w:r w:rsidRPr="00DD47EB">
        <w:rPr>
          <w:rStyle w:val="TextoNormalCaracter"/>
        </w:rPr>
        <w:t>-</w:t>
      </w:r>
      <w:r>
        <w:t xml:space="preserve"> Sentencias </w:t>
      </w:r>
      <w:hyperlink w:anchor="SENTENCIA_2015_44" w:history="1">
        <w:r w:rsidRPr="00DD47EB">
          <w:rPr>
            <w:rStyle w:val="TextoNormalCaracter"/>
          </w:rPr>
          <w:t>44/2015</w:t>
        </w:r>
      </w:hyperlink>
      <w:r>
        <w:t xml:space="preserve">, ff. 3 a 5; </w:t>
      </w:r>
      <w:hyperlink w:anchor="SENTENCIA_2015_62" w:history="1">
        <w:r w:rsidRPr="00DD47EB">
          <w:rPr>
            <w:rStyle w:val="TextoNormalCaracter"/>
          </w:rPr>
          <w:t>62/2015</w:t>
        </w:r>
      </w:hyperlink>
      <w:r>
        <w:t xml:space="preserve">, ff. 1 a 3; </w:t>
      </w:r>
      <w:hyperlink w:anchor="SENTENCIA_2015_108" w:history="1">
        <w:r w:rsidRPr="00DD47EB">
          <w:rPr>
            <w:rStyle w:val="TextoNormalCaracter"/>
          </w:rPr>
          <w:t>108/2015</w:t>
        </w:r>
      </w:hyperlink>
      <w:r>
        <w:t xml:space="preserve">, ff. 1 a 3; </w:t>
      </w:r>
      <w:hyperlink w:anchor="SENTENCIA_2015_108" w:history="1">
        <w:r w:rsidRPr="00DD47EB">
          <w:rPr>
            <w:rStyle w:val="TextoNormalCaracter"/>
          </w:rPr>
          <w:t>108/2015</w:t>
        </w:r>
      </w:hyperlink>
      <w:r>
        <w:t>, f. 3.</w:t>
      </w:r>
    </w:p>
    <w:p w:rsidR="00DD47EB" w:rsidRDefault="00DD47EB" w:rsidP="00DD47EB">
      <w:pPr>
        <w:pStyle w:val="SangriaFrancesaArticulo"/>
      </w:pPr>
      <w:r w:rsidRPr="00DD47EB">
        <w:rPr>
          <w:rStyle w:val="TextoNormalNegritaCaracter"/>
        </w:rPr>
        <w:t>Artículo 135.</w:t>
      </w:r>
      <w:r w:rsidRPr="00DD47EB">
        <w:rPr>
          <w:rStyle w:val="TextoNormalCaracter"/>
        </w:rPr>
        <w:t>-</w:t>
      </w:r>
      <w:r>
        <w:t xml:space="preserve"> Sentencias </w:t>
      </w:r>
      <w:hyperlink w:anchor="SENTENCIA_2015_73" w:history="1">
        <w:r w:rsidRPr="00DD47EB">
          <w:rPr>
            <w:rStyle w:val="TextoNormalCaracter"/>
          </w:rPr>
          <w:t>73/2015</w:t>
        </w:r>
      </w:hyperlink>
      <w:r>
        <w:t xml:space="preserve">, f. 4; </w:t>
      </w:r>
      <w:hyperlink w:anchor="SENTENCIA_2015_94" w:history="1">
        <w:r w:rsidRPr="00DD47EB">
          <w:rPr>
            <w:rStyle w:val="TextoNormalCaracter"/>
          </w:rPr>
          <w:t>94/2015</w:t>
        </w:r>
      </w:hyperlink>
      <w:r>
        <w:t xml:space="preserve">, ff. 1, 3; </w:t>
      </w:r>
      <w:hyperlink w:anchor="SENTENCIA_2015_102" w:history="1">
        <w:r w:rsidRPr="00DD47EB">
          <w:rPr>
            <w:rStyle w:val="TextoNormalCaracter"/>
          </w:rPr>
          <w:t>102/2015</w:t>
        </w:r>
      </w:hyperlink>
      <w:r>
        <w:t>, ff. 1, 6.</w:t>
      </w:r>
    </w:p>
    <w:p w:rsidR="00DD47EB" w:rsidRDefault="00DD47EB" w:rsidP="00DD47EB">
      <w:pPr>
        <w:pStyle w:val="SangriaFrancesaArticulo"/>
      </w:pPr>
      <w:r w:rsidRPr="00DD47EB">
        <w:rPr>
          <w:rStyle w:val="TextoNormalNegritaCaracter"/>
        </w:rPr>
        <w:t>Artículo 135.1.</w:t>
      </w:r>
      <w:r w:rsidRPr="00DD47EB">
        <w:rPr>
          <w:rStyle w:val="TextoNormalCaracter"/>
        </w:rPr>
        <w:t>-</w:t>
      </w:r>
      <w:r>
        <w:t xml:space="preserve"> Sentencia </w:t>
      </w:r>
      <w:hyperlink w:anchor="SENTENCIA_2015_102" w:history="1">
        <w:r w:rsidRPr="00DD47EB">
          <w:rPr>
            <w:rStyle w:val="TextoNormalCaracter"/>
          </w:rPr>
          <w:t>102/2015</w:t>
        </w:r>
      </w:hyperlink>
      <w:r>
        <w:t>, f. 6.</w:t>
      </w:r>
    </w:p>
    <w:p w:rsidR="00DD47EB" w:rsidRDefault="00DD47EB" w:rsidP="00DD47EB">
      <w:pPr>
        <w:pStyle w:val="SangriaFrancesaArticulo"/>
      </w:pPr>
      <w:r w:rsidRPr="00DD47EB">
        <w:rPr>
          <w:rStyle w:val="TextoNormalNegritaCaracter"/>
        </w:rPr>
        <w:t>Artículo 135.2.</w:t>
      </w:r>
      <w:r w:rsidRPr="00DD47EB">
        <w:rPr>
          <w:rStyle w:val="TextoNormalCaracter"/>
        </w:rPr>
        <w:t>-</w:t>
      </w:r>
      <w:r>
        <w:t xml:space="preserve"> Sentencia </w:t>
      </w:r>
      <w:hyperlink w:anchor="SENTENCIA_2015_102" w:history="1">
        <w:r w:rsidRPr="00DD47EB">
          <w:rPr>
            <w:rStyle w:val="TextoNormalCaracter"/>
          </w:rPr>
          <w:t>102/2015</w:t>
        </w:r>
      </w:hyperlink>
      <w:r>
        <w:t>, f. 6.</w:t>
      </w:r>
    </w:p>
    <w:p w:rsidR="00DD47EB" w:rsidRDefault="00DD47EB" w:rsidP="00DD47EB">
      <w:pPr>
        <w:pStyle w:val="SangriaFrancesaArticulo"/>
      </w:pPr>
      <w:r w:rsidRPr="00DD47EB">
        <w:rPr>
          <w:rStyle w:val="TextoNormalNegritaCaracter"/>
        </w:rPr>
        <w:t>Artículo 135.4.</w:t>
      </w:r>
      <w:r w:rsidRPr="00DD47EB">
        <w:rPr>
          <w:rStyle w:val="TextoNormalCaracter"/>
        </w:rPr>
        <w:t>-</w:t>
      </w:r>
      <w:r>
        <w:t xml:space="preserve"> Sentencia </w:t>
      </w:r>
      <w:hyperlink w:anchor="SENTENCIA_2015_102" w:history="1">
        <w:r w:rsidRPr="00DD47EB">
          <w:rPr>
            <w:rStyle w:val="TextoNormalCaracter"/>
          </w:rPr>
          <w:t>102/2015</w:t>
        </w:r>
      </w:hyperlink>
      <w:r>
        <w:t>, f. 6.</w:t>
      </w:r>
    </w:p>
    <w:p w:rsidR="00DD47EB" w:rsidRDefault="00DD47EB" w:rsidP="00DD47EB">
      <w:pPr>
        <w:pStyle w:val="SangriaFrancesaArticulo"/>
      </w:pPr>
      <w:r w:rsidRPr="00DD47EB">
        <w:rPr>
          <w:rStyle w:val="TextoNormalNegritaCaracter"/>
        </w:rPr>
        <w:t>Artículo 137.</w:t>
      </w:r>
      <w:r w:rsidRPr="00DD47EB">
        <w:rPr>
          <w:rStyle w:val="TextoNormalCaracter"/>
        </w:rPr>
        <w:t>-</w:t>
      </w:r>
      <w:r>
        <w:t xml:space="preserve"> Sentencias </w:t>
      </w:r>
      <w:hyperlink w:anchor="SENTENCIA_2015_13" w:history="1">
        <w:r w:rsidRPr="00DD47EB">
          <w:rPr>
            <w:rStyle w:val="TextoNormalCaracter"/>
          </w:rPr>
          <w:t>13/2015</w:t>
        </w:r>
      </w:hyperlink>
      <w:r>
        <w:t xml:space="preserve">, f. 1; </w:t>
      </w:r>
      <w:hyperlink w:anchor="SENTENCIA_2015_15" w:history="1">
        <w:r w:rsidRPr="00DD47EB">
          <w:rPr>
            <w:rStyle w:val="TextoNormalCaracter"/>
          </w:rPr>
          <w:t>15/2015</w:t>
        </w:r>
      </w:hyperlink>
      <w:r>
        <w:t xml:space="preserve">, ff. 3, 5; </w:t>
      </w:r>
      <w:hyperlink w:anchor="SENTENCIA_2015_46" w:history="1">
        <w:r w:rsidRPr="00DD47EB">
          <w:rPr>
            <w:rStyle w:val="TextoNormalCaracter"/>
          </w:rPr>
          <w:t>46/2015</w:t>
        </w:r>
      </w:hyperlink>
      <w:r>
        <w:t xml:space="preserve">, f. 1; </w:t>
      </w:r>
      <w:hyperlink w:anchor="SENTENCIA_2015_57" w:history="1">
        <w:r w:rsidRPr="00DD47EB">
          <w:rPr>
            <w:rStyle w:val="TextoNormalCaracter"/>
          </w:rPr>
          <w:t>57/2015</w:t>
        </w:r>
      </w:hyperlink>
      <w:r>
        <w:t xml:space="preserve">, ff. 5, 7, 11, 12; </w:t>
      </w:r>
      <w:hyperlink w:anchor="SENTENCIA_2015_92" w:history="1">
        <w:r w:rsidRPr="00DD47EB">
          <w:rPr>
            <w:rStyle w:val="TextoNormalCaracter"/>
          </w:rPr>
          <w:t>92/2015</w:t>
        </w:r>
      </w:hyperlink>
      <w:r>
        <w:t xml:space="preserve">, f. 4; </w:t>
      </w:r>
      <w:hyperlink w:anchor="SENTENCIA_2015_103" w:history="1">
        <w:r w:rsidRPr="00DD47EB">
          <w:rPr>
            <w:rStyle w:val="TextoNormalCaracter"/>
          </w:rPr>
          <w:t>103/2015</w:t>
        </w:r>
      </w:hyperlink>
      <w:r>
        <w:t>, f. 10.</w:t>
      </w:r>
    </w:p>
    <w:p w:rsidR="00DD47EB" w:rsidRDefault="00DD47EB" w:rsidP="00DD47EB">
      <w:pPr>
        <w:pStyle w:val="SangriaFrancesaArticulo"/>
      </w:pPr>
      <w:r w:rsidRPr="00DD47EB">
        <w:rPr>
          <w:rStyle w:val="TextoNormalNegritaCaracter"/>
        </w:rPr>
        <w:t>Artículo 137.7.</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138.</w:t>
      </w:r>
      <w:r w:rsidRPr="00DD47EB">
        <w:rPr>
          <w:rStyle w:val="TextoNormalCaracter"/>
        </w:rPr>
        <w:t>-</w:t>
      </w:r>
      <w:r>
        <w:t xml:space="preserve"> Sentencia </w:t>
      </w:r>
      <w:hyperlink w:anchor="SENTENCIA_2015_28" w:history="1">
        <w:r w:rsidRPr="00DD47EB">
          <w:rPr>
            <w:rStyle w:val="TextoNormalCaracter"/>
          </w:rPr>
          <w:t>28/2015</w:t>
        </w:r>
      </w:hyperlink>
      <w:r>
        <w:t>, f. 1.</w:t>
      </w:r>
    </w:p>
    <w:p w:rsidR="00DD47EB" w:rsidRDefault="00DD47EB" w:rsidP="00DD47EB">
      <w:pPr>
        <w:pStyle w:val="SangriaFrancesaArticulo"/>
      </w:pPr>
      <w:r w:rsidRPr="00DD47EB">
        <w:rPr>
          <w:rStyle w:val="TextoNormalNegritaCaracter"/>
        </w:rPr>
        <w:t>Artículo 138.1.</w:t>
      </w:r>
      <w:r w:rsidRPr="00DD47EB">
        <w:rPr>
          <w:rStyle w:val="TextoNormalCaracter"/>
        </w:rPr>
        <w:t>-</w:t>
      </w:r>
      <w:r>
        <w:t xml:space="preserve"> Sentencia </w:t>
      </w:r>
      <w:hyperlink w:anchor="SENTENCIA_2015_106" w:history="1">
        <w:r w:rsidRPr="00DD47EB">
          <w:rPr>
            <w:rStyle w:val="TextoNormalCaracter"/>
          </w:rPr>
          <w:t>106/2015</w:t>
        </w:r>
      </w:hyperlink>
      <w:r>
        <w:t>, ff. 1, 3.</w:t>
      </w:r>
    </w:p>
    <w:p w:rsidR="00DD47EB" w:rsidRDefault="00DD47EB" w:rsidP="00DD47EB">
      <w:pPr>
        <w:pStyle w:val="SangriaFrancesaArticulo"/>
      </w:pPr>
      <w:r w:rsidRPr="00DD47EB">
        <w:rPr>
          <w:rStyle w:val="TextoNormalNegritaCaracter"/>
        </w:rPr>
        <w:t>Artículo 139.</w:t>
      </w:r>
      <w:r w:rsidRPr="00DD47EB">
        <w:rPr>
          <w:rStyle w:val="TextoNormalCaracter"/>
        </w:rPr>
        <w:t>-</w:t>
      </w:r>
      <w:r>
        <w:t xml:space="preserve"> Sentencia </w:t>
      </w:r>
      <w:hyperlink w:anchor="SENTENCIA_2015_136" w:history="1">
        <w:r w:rsidRPr="00DD47EB">
          <w:rPr>
            <w:rStyle w:val="TextoNormalCaracter"/>
          </w:rPr>
          <w:t>136/2015</w:t>
        </w:r>
      </w:hyperlink>
      <w:r>
        <w:t>, f. 1.</w:t>
      </w:r>
    </w:p>
    <w:p w:rsidR="00DD47EB" w:rsidRDefault="00DD47EB" w:rsidP="00DD47EB">
      <w:pPr>
        <w:pStyle w:val="SangriaFrancesaArticulo"/>
      </w:pPr>
      <w:r w:rsidRPr="00DD47EB">
        <w:rPr>
          <w:rStyle w:val="TextoNormalNegritaCaracter"/>
        </w:rPr>
        <w:t>Artículo 139.1.</w:t>
      </w:r>
      <w:r w:rsidRPr="00DD47EB">
        <w:rPr>
          <w:rStyle w:val="TextoNormalCaracter"/>
        </w:rPr>
        <w:t>-</w:t>
      </w:r>
      <w:r>
        <w:t xml:space="preserve"> Sentencia </w:t>
      </w:r>
      <w:hyperlink w:anchor="SENTENCIA_2015_60" w:history="1">
        <w:r w:rsidRPr="00DD47EB">
          <w:rPr>
            <w:rStyle w:val="TextoNormalCaracter"/>
          </w:rPr>
          <w:t>60/2015</w:t>
        </w:r>
      </w:hyperlink>
      <w:r>
        <w:t>, ff. 1, 3.</w:t>
      </w:r>
    </w:p>
    <w:p w:rsidR="00DD47EB" w:rsidRDefault="00DD47EB" w:rsidP="00DD47EB">
      <w:pPr>
        <w:pStyle w:val="SangriaFrancesaArticulo"/>
      </w:pPr>
      <w:r w:rsidRPr="00DD47EB">
        <w:rPr>
          <w:rStyle w:val="TextoNormalNegritaCaracter"/>
        </w:rPr>
        <w:t>Artículo 140.</w:t>
      </w:r>
      <w:r w:rsidRPr="00DD47EB">
        <w:rPr>
          <w:rStyle w:val="TextoNormalCaracter"/>
        </w:rPr>
        <w:t>-</w:t>
      </w:r>
      <w:r>
        <w:t xml:space="preserve"> Sentencias </w:t>
      </w:r>
      <w:hyperlink w:anchor="SENTENCIA_2015_31" w:history="1">
        <w:r w:rsidRPr="00DD47EB">
          <w:rPr>
            <w:rStyle w:val="TextoNormalCaracter"/>
          </w:rPr>
          <w:t>31/2015</w:t>
        </w:r>
      </w:hyperlink>
      <w:r>
        <w:t xml:space="preserve">, f. 3; </w:t>
      </w:r>
      <w:hyperlink w:anchor="SENTENCIA_2015_57" w:history="1">
        <w:r w:rsidRPr="00DD47EB">
          <w:rPr>
            <w:rStyle w:val="TextoNormalCaracter"/>
          </w:rPr>
          <w:t>57/2015</w:t>
        </w:r>
      </w:hyperlink>
      <w:r>
        <w:t xml:space="preserve">, ff. 5, 7, 11, 12; </w:t>
      </w:r>
      <w:hyperlink w:anchor="SENTENCIA_2015_92" w:history="1">
        <w:r w:rsidRPr="00DD47EB">
          <w:rPr>
            <w:rStyle w:val="TextoNormalCaracter"/>
          </w:rPr>
          <w:t>92/2015</w:t>
        </w:r>
      </w:hyperlink>
      <w:r>
        <w:t xml:space="preserve">, f. 4; </w:t>
      </w:r>
      <w:hyperlink w:anchor="SENTENCIA_2015_103" w:history="1">
        <w:r w:rsidRPr="00DD47EB">
          <w:rPr>
            <w:rStyle w:val="TextoNormalCaracter"/>
          </w:rPr>
          <w:t>103/2015</w:t>
        </w:r>
      </w:hyperlink>
      <w:r>
        <w:t>, f. 10.</w:t>
      </w:r>
    </w:p>
    <w:p w:rsidR="00DD47EB" w:rsidRDefault="00DD47EB" w:rsidP="00DD47EB">
      <w:pPr>
        <w:pStyle w:val="SangriaFrancesaArticulo"/>
      </w:pPr>
      <w:r w:rsidRPr="00DD47EB">
        <w:rPr>
          <w:rStyle w:val="TextoNormalNegritaCaracter"/>
        </w:rPr>
        <w:t>Artículo 141.</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xml:space="preserve">, f. 4; </w:t>
      </w:r>
      <w:hyperlink w:anchor="SENTENCIA_2015_103" w:history="1">
        <w:r w:rsidRPr="00DD47EB">
          <w:rPr>
            <w:rStyle w:val="TextoNormalCaracter"/>
          </w:rPr>
          <w:t>103/2015</w:t>
        </w:r>
      </w:hyperlink>
      <w:r>
        <w:t>, f. 10.</w:t>
      </w:r>
    </w:p>
    <w:p w:rsidR="00DD47EB" w:rsidRDefault="00DD47EB" w:rsidP="00DD47EB">
      <w:pPr>
        <w:pStyle w:val="SangriaFrancesaArticulo"/>
      </w:pPr>
      <w:r w:rsidRPr="00DD47EB">
        <w:rPr>
          <w:rStyle w:val="TextoNormalNegritaCaracter"/>
        </w:rPr>
        <w:t>Artículo 147.</w:t>
      </w:r>
      <w:r w:rsidRPr="00DD47EB">
        <w:rPr>
          <w:rStyle w:val="TextoNormalCaracter"/>
        </w:rPr>
        <w:t>-</w:t>
      </w:r>
      <w:r>
        <w:t xml:space="preserve"> Sentencia </w:t>
      </w:r>
      <w:hyperlink w:anchor="SENTENCIA_2015_93" w:history="1">
        <w:r w:rsidRPr="00DD47EB">
          <w:rPr>
            <w:rStyle w:val="TextoNormalCaracter"/>
          </w:rPr>
          <w:t>93/2015</w:t>
        </w:r>
      </w:hyperlink>
      <w:r>
        <w:t>, f. 5.</w:t>
      </w:r>
    </w:p>
    <w:p w:rsidR="00DD47EB" w:rsidRDefault="00DD47EB" w:rsidP="00DD47EB">
      <w:pPr>
        <w:pStyle w:val="SangriaFrancesaArticulo"/>
      </w:pPr>
      <w:r w:rsidRPr="00DD47EB">
        <w:rPr>
          <w:rStyle w:val="TextoNormalNegritaCaracter"/>
        </w:rPr>
        <w:t>Artículo 147.1.</w:t>
      </w:r>
      <w:r w:rsidRPr="00DD47EB">
        <w:rPr>
          <w:rStyle w:val="TextoNormalCaracter"/>
        </w:rPr>
        <w:t>-</w:t>
      </w:r>
      <w:r>
        <w:t xml:space="preserve"> Sentencia </w:t>
      </w:r>
      <w:hyperlink w:anchor="SENTENCIA_2015_93" w:history="1">
        <w:r w:rsidRPr="00DD47EB">
          <w:rPr>
            <w:rStyle w:val="TextoNormalCaracter"/>
          </w:rPr>
          <w:t>93/2015</w:t>
        </w:r>
      </w:hyperlink>
      <w:r>
        <w:t>, f. 3.</w:t>
      </w:r>
    </w:p>
    <w:p w:rsidR="00DD47EB" w:rsidRDefault="00DD47EB" w:rsidP="00DD47EB">
      <w:pPr>
        <w:pStyle w:val="SangriaFrancesaArticulo"/>
      </w:pPr>
      <w:r w:rsidRPr="00DD47EB">
        <w:rPr>
          <w:rStyle w:val="TextoNormalNegritaCaracter"/>
        </w:rPr>
        <w:t>Artículo 147.2 c).</w:t>
      </w:r>
      <w:r w:rsidRPr="00DD47EB">
        <w:rPr>
          <w:rStyle w:val="TextoNormalCaracter"/>
        </w:rPr>
        <w:t>-</w:t>
      </w:r>
      <w:r>
        <w:t xml:space="preserve"> Sentencias </w:t>
      </w:r>
      <w:hyperlink w:anchor="SENTENCIA_2015_15" w:history="1">
        <w:r w:rsidRPr="00DD47EB">
          <w:rPr>
            <w:rStyle w:val="TextoNormalCaracter"/>
          </w:rPr>
          <w:t>15/2015</w:t>
        </w:r>
      </w:hyperlink>
      <w:r>
        <w:t xml:space="preserve">, f. 5; </w:t>
      </w:r>
      <w:hyperlink w:anchor="SENTENCIA_2015_93" w:history="1">
        <w:r w:rsidRPr="00DD47EB">
          <w:rPr>
            <w:rStyle w:val="TextoNormalCaracter"/>
          </w:rPr>
          <w:t>93/2015</w:t>
        </w:r>
      </w:hyperlink>
      <w:r>
        <w:t>, f. 3.</w:t>
      </w:r>
    </w:p>
    <w:p w:rsidR="00DD47EB" w:rsidRDefault="00DD47EB" w:rsidP="00DD47EB">
      <w:pPr>
        <w:pStyle w:val="SangriaFrancesaArticulo"/>
      </w:pPr>
      <w:r w:rsidRPr="00DD47EB">
        <w:rPr>
          <w:rStyle w:val="TextoNormalNegritaCaracter"/>
        </w:rPr>
        <w:t>Artículo 148.1.3.</w:t>
      </w:r>
      <w:r w:rsidRPr="00DD47EB">
        <w:rPr>
          <w:rStyle w:val="TextoNormalCaracter"/>
        </w:rPr>
        <w:t>-</w:t>
      </w:r>
      <w:r>
        <w:t xml:space="preserve"> Sentencias </w:t>
      </w:r>
      <w:hyperlink w:anchor="SENTENCIA_2015_5" w:history="1">
        <w:r w:rsidRPr="00DD47EB">
          <w:rPr>
            <w:rStyle w:val="TextoNormalCaracter"/>
          </w:rPr>
          <w:t>5/2015</w:t>
        </w:r>
      </w:hyperlink>
      <w:r>
        <w:t xml:space="preserve">, f. 4; </w:t>
      </w:r>
      <w:hyperlink w:anchor="SENTENCIA_2015_29" w:history="1">
        <w:r w:rsidRPr="00DD47EB">
          <w:rPr>
            <w:rStyle w:val="TextoNormalCaracter"/>
          </w:rPr>
          <w:t>29/2015</w:t>
        </w:r>
      </w:hyperlink>
      <w:r>
        <w:t>, ff. 1, 3.</w:t>
      </w:r>
    </w:p>
    <w:p w:rsidR="00DD47EB" w:rsidRDefault="00DD47EB" w:rsidP="00DD47EB">
      <w:pPr>
        <w:pStyle w:val="SangriaFrancesaArticulo"/>
      </w:pPr>
      <w:r w:rsidRPr="00DD47EB">
        <w:rPr>
          <w:rStyle w:val="TextoNormalNegritaCaracter"/>
        </w:rPr>
        <w:t>Artículo 149.1.</w:t>
      </w:r>
      <w:r w:rsidRPr="00DD47EB">
        <w:rPr>
          <w:rStyle w:val="TextoNormalCaracter"/>
        </w:rPr>
        <w:t>-</w:t>
      </w:r>
      <w:r>
        <w:t xml:space="preserve"> Sentencia </w:t>
      </w:r>
      <w:hyperlink w:anchor="SENTENCIA_2015_58" w:history="1">
        <w:r w:rsidRPr="00DD47EB">
          <w:rPr>
            <w:rStyle w:val="TextoNormalCaracter"/>
          </w:rPr>
          <w:t>58/2015</w:t>
        </w:r>
      </w:hyperlink>
      <w:r>
        <w:t>, f. 2.</w:t>
      </w:r>
    </w:p>
    <w:p w:rsidR="00DD47EB" w:rsidRDefault="00DD47EB" w:rsidP="00DD47EB">
      <w:pPr>
        <w:pStyle w:val="SangriaFrancesaArticulo"/>
      </w:pPr>
      <w:r w:rsidRPr="00DD47EB">
        <w:rPr>
          <w:rStyle w:val="TextoNormalNegritaCaracter"/>
        </w:rPr>
        <w:t>Artículo 149.1.1.</w:t>
      </w:r>
      <w:r w:rsidRPr="00DD47EB">
        <w:rPr>
          <w:rStyle w:val="TextoNormalCaracter"/>
        </w:rPr>
        <w:t>-</w:t>
      </w:r>
      <w:r>
        <w:t xml:space="preserve"> Sentencias </w:t>
      </w:r>
      <w:hyperlink w:anchor="SENTENCIA_2015_5" w:history="1">
        <w:r w:rsidRPr="00DD47EB">
          <w:rPr>
            <w:rStyle w:val="TextoNormalCaracter"/>
          </w:rPr>
          <w:t>5/2015</w:t>
        </w:r>
      </w:hyperlink>
      <w:r>
        <w:t xml:space="preserve">, ff. 1, 4, 5; </w:t>
      </w:r>
      <w:hyperlink w:anchor="SENTENCIA_2015_6" w:history="1">
        <w:r w:rsidRPr="00DD47EB">
          <w:rPr>
            <w:rStyle w:val="TextoNormalCaracter"/>
          </w:rPr>
          <w:t>6/2015</w:t>
        </w:r>
      </w:hyperlink>
      <w:r>
        <w:t xml:space="preserve">, ff. 1, 2; </w:t>
      </w:r>
      <w:hyperlink w:anchor="SENTENCIA_2015_8" w:history="1">
        <w:r w:rsidRPr="00DD47EB">
          <w:rPr>
            <w:rStyle w:val="TextoNormalCaracter"/>
          </w:rPr>
          <w:t>8/2015</w:t>
        </w:r>
      </w:hyperlink>
      <w:r>
        <w:t xml:space="preserve">, ff. 2, 10; </w:t>
      </w:r>
      <w:hyperlink w:anchor="SENTENCIA_2015_25" w:history="1">
        <w:r w:rsidRPr="00DD47EB">
          <w:rPr>
            <w:rStyle w:val="TextoNormalCaracter"/>
          </w:rPr>
          <w:t>25/2015</w:t>
        </w:r>
      </w:hyperlink>
      <w:r>
        <w:t xml:space="preserve">, VP II; </w:t>
      </w:r>
      <w:hyperlink w:anchor="SENTENCIA_2015_31" w:history="1">
        <w:r w:rsidRPr="00DD47EB">
          <w:rPr>
            <w:rStyle w:val="TextoNormalCaracter"/>
          </w:rPr>
          <w:t>31/2015</w:t>
        </w:r>
      </w:hyperlink>
      <w:r>
        <w:t xml:space="preserve">, ff. 2, 9; </w:t>
      </w:r>
      <w:hyperlink w:anchor="SENTENCIA_2015_32" w:history="1">
        <w:r w:rsidRPr="00DD47EB">
          <w:rPr>
            <w:rStyle w:val="TextoNormalCaracter"/>
          </w:rPr>
          <w:t>32/2015</w:t>
        </w:r>
      </w:hyperlink>
      <w:r>
        <w:t xml:space="preserve">, f. 3; </w:t>
      </w:r>
      <w:hyperlink w:anchor="SENTENCIA_2015_57" w:history="1">
        <w:r w:rsidRPr="00DD47EB">
          <w:rPr>
            <w:rStyle w:val="TextoNormalCaracter"/>
          </w:rPr>
          <w:t>57/2015</w:t>
        </w:r>
      </w:hyperlink>
      <w:r>
        <w:t xml:space="preserve">, ff. 5, 7, 11, 12; </w:t>
      </w:r>
      <w:hyperlink w:anchor="SENTENCIA_2015_93" w:history="1">
        <w:r w:rsidRPr="00DD47EB">
          <w:rPr>
            <w:rStyle w:val="TextoNormalCaracter"/>
          </w:rPr>
          <w:t>93/2015</w:t>
        </w:r>
      </w:hyperlink>
      <w:r>
        <w:t xml:space="preserve">, ff. 1, 2, 14, 15; </w:t>
      </w:r>
      <w:hyperlink w:anchor="SENTENCIA_2015_137" w:history="1">
        <w:r w:rsidRPr="00DD47EB">
          <w:rPr>
            <w:rStyle w:val="TextoNormalCaracter"/>
          </w:rPr>
          <w:t>137/2015</w:t>
        </w:r>
      </w:hyperlink>
      <w:r>
        <w:t xml:space="preserve">, ff. 1, 7; </w:t>
      </w:r>
      <w:hyperlink w:anchor="SENTENCIA_2015_138" w:history="1">
        <w:r w:rsidRPr="00DD47EB">
          <w:rPr>
            <w:rStyle w:val="TextoNormalCaracter"/>
          </w:rPr>
          <w:t>138/2015</w:t>
        </w:r>
      </w:hyperlink>
      <w:r>
        <w:t xml:space="preserve">, f. 1; </w:t>
      </w:r>
      <w:hyperlink w:anchor="SENTENCIA_2015_147" w:history="1">
        <w:r w:rsidRPr="00DD47EB">
          <w:rPr>
            <w:rStyle w:val="TextoNormalCaracter"/>
          </w:rPr>
          <w:t>147/2015</w:t>
        </w:r>
      </w:hyperlink>
      <w:r>
        <w:t>, f. 4.</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149.1.3.</w:t>
      </w:r>
      <w:r w:rsidRPr="00DD47EB">
        <w:rPr>
          <w:rStyle w:val="TextoNormalCaracter"/>
        </w:rPr>
        <w:t>-</w:t>
      </w:r>
      <w:r>
        <w:t xml:space="preserve"> Sentencia </w:t>
      </w:r>
      <w:hyperlink w:anchor="SENTENCIA_2015_46" w:history="1">
        <w:r w:rsidRPr="00DD47EB">
          <w:rPr>
            <w:rStyle w:val="TextoNormalCaracter"/>
          </w:rPr>
          <w:t>46/2015</w:t>
        </w:r>
      </w:hyperlink>
      <w:r>
        <w:t>, ff. 1, 4 a 6.</w:t>
      </w:r>
    </w:p>
    <w:p w:rsidR="00DD47EB" w:rsidRDefault="00DD47EB" w:rsidP="00DD47EB">
      <w:pPr>
        <w:pStyle w:val="SangriaFrancesaArticulo"/>
      </w:pPr>
      <w:r w:rsidRPr="00DD47EB">
        <w:rPr>
          <w:rStyle w:val="TextoNormalNegritaCaracter"/>
        </w:rPr>
        <w:t>Artículo 149.1.6.</w:t>
      </w:r>
      <w:r w:rsidRPr="00DD47EB">
        <w:rPr>
          <w:rStyle w:val="TextoNormalCaracter"/>
        </w:rPr>
        <w:t>-</w:t>
      </w:r>
      <w:r>
        <w:t xml:space="preserve"> Sentencias </w:t>
      </w:r>
      <w:hyperlink w:anchor="SENTENCIA_2015_14" w:history="1">
        <w:r w:rsidRPr="00DD47EB">
          <w:rPr>
            <w:rStyle w:val="TextoNormalCaracter"/>
          </w:rPr>
          <w:t>14/2015</w:t>
        </w:r>
      </w:hyperlink>
      <w:r>
        <w:t xml:space="preserve">, f. 1; </w:t>
      </w:r>
      <w:hyperlink w:anchor="SENTENCIA_2015_93" w:history="1">
        <w:r w:rsidRPr="00DD47EB">
          <w:rPr>
            <w:rStyle w:val="TextoNormalCaracter"/>
          </w:rPr>
          <w:t>93/2015</w:t>
        </w:r>
      </w:hyperlink>
      <w:r>
        <w:t>, f. 18, VP II, VP III.</w:t>
      </w:r>
    </w:p>
    <w:p w:rsidR="00DD47EB" w:rsidRDefault="00DD47EB" w:rsidP="00DD47EB">
      <w:pPr>
        <w:pStyle w:val="SangriaIzquierdaArticulo"/>
      </w:pPr>
      <w:r>
        <w:t xml:space="preserve">Auto </w:t>
      </w:r>
      <w:hyperlink w:anchor="AUTO_2015_76" w:history="1">
        <w:r w:rsidRPr="00DD47EB">
          <w:rPr>
            <w:rStyle w:val="TextoNormalCaracter"/>
          </w:rPr>
          <w:t>76/2015</w:t>
        </w:r>
      </w:hyperlink>
      <w:r>
        <w:t>, f. 1, VP.</w:t>
      </w:r>
    </w:p>
    <w:p w:rsidR="00DD47EB" w:rsidRDefault="00DD47EB" w:rsidP="00DD47EB">
      <w:pPr>
        <w:pStyle w:val="SangriaFrancesaArticulo"/>
      </w:pPr>
      <w:r w:rsidRPr="00DD47EB">
        <w:rPr>
          <w:rStyle w:val="TextoNormalNegritaCaracter"/>
        </w:rPr>
        <w:t>Artículo 149.1.7.</w:t>
      </w:r>
      <w:r w:rsidRPr="00DD47EB">
        <w:rPr>
          <w:rStyle w:val="TextoNormalCaracter"/>
        </w:rPr>
        <w:t>-</w:t>
      </w:r>
      <w:r>
        <w:t xml:space="preserve"> Sentencias </w:t>
      </w:r>
      <w:hyperlink w:anchor="SENTENCIA_2015_8" w:history="1">
        <w:r w:rsidRPr="00DD47EB">
          <w:rPr>
            <w:rStyle w:val="TextoNormalCaracter"/>
          </w:rPr>
          <w:t>8/2015</w:t>
        </w:r>
      </w:hyperlink>
      <w:r>
        <w:t xml:space="preserve">, f. 2; </w:t>
      </w:r>
      <w:hyperlink w:anchor="SENTENCIA_2015_61" w:history="1">
        <w:r w:rsidRPr="00DD47EB">
          <w:rPr>
            <w:rStyle w:val="TextoNormalCaracter"/>
          </w:rPr>
          <w:t>61/2015</w:t>
        </w:r>
      </w:hyperlink>
      <w:r>
        <w:t>, ff. 2, 5.</w:t>
      </w:r>
    </w:p>
    <w:p w:rsidR="00DD47EB" w:rsidRDefault="00DD47EB" w:rsidP="00DD47EB">
      <w:pPr>
        <w:pStyle w:val="SangriaFrancesaArticulo"/>
      </w:pPr>
      <w:r w:rsidRPr="00DD47EB">
        <w:rPr>
          <w:rStyle w:val="TextoNormalNegritaCaracter"/>
        </w:rPr>
        <w:t>Artículo 149.1.8.</w:t>
      </w:r>
      <w:r w:rsidRPr="00DD47EB">
        <w:rPr>
          <w:rStyle w:val="TextoNormalCaracter"/>
        </w:rPr>
        <w:t>-</w:t>
      </w:r>
      <w:r>
        <w:t xml:space="preserve"> Sentencias </w:t>
      </w:r>
      <w:hyperlink w:anchor="SENTENCIA_2015_5" w:history="1">
        <w:r w:rsidRPr="00DD47EB">
          <w:rPr>
            <w:rStyle w:val="TextoNormalCaracter"/>
          </w:rPr>
          <w:t>5/2015</w:t>
        </w:r>
      </w:hyperlink>
      <w:r>
        <w:t xml:space="preserve">, f. 1; </w:t>
      </w:r>
      <w:hyperlink w:anchor="SENTENCIA_2015_11" w:history="1">
        <w:r w:rsidRPr="00DD47EB">
          <w:rPr>
            <w:rStyle w:val="TextoNormalCaracter"/>
          </w:rPr>
          <w:t>11/2015</w:t>
        </w:r>
      </w:hyperlink>
      <w:r>
        <w:t xml:space="preserve">, ff. 3, 4; </w:t>
      </w:r>
      <w:hyperlink w:anchor="SENTENCIA_2015_57" w:history="1">
        <w:r w:rsidRPr="00DD47EB">
          <w:rPr>
            <w:rStyle w:val="TextoNormalCaracter"/>
          </w:rPr>
          <w:t>57/2015</w:t>
        </w:r>
      </w:hyperlink>
      <w:r>
        <w:t xml:space="preserve">, ff. 12, 14; </w:t>
      </w:r>
      <w:hyperlink w:anchor="SENTENCIA_2015_93" w:history="1">
        <w:r w:rsidRPr="00DD47EB">
          <w:rPr>
            <w:rStyle w:val="TextoNormalCaracter"/>
          </w:rPr>
          <w:t>93/2015</w:t>
        </w:r>
      </w:hyperlink>
      <w:r>
        <w:t>, ff. 1, 2, 14, 15, 18, VP II.</w:t>
      </w:r>
    </w:p>
    <w:p w:rsidR="00DD47EB" w:rsidRDefault="00DD47EB" w:rsidP="00DD47EB">
      <w:pPr>
        <w:pStyle w:val="SangriaIzquierdaArticulo"/>
      </w:pPr>
      <w:r>
        <w:t xml:space="preserve">Autos </w:t>
      </w:r>
      <w:hyperlink w:anchor="AUTO_2015_28" w:history="1">
        <w:r w:rsidRPr="00DD47EB">
          <w:rPr>
            <w:rStyle w:val="TextoNormalCaracter"/>
          </w:rPr>
          <w:t>28/2015</w:t>
        </w:r>
      </w:hyperlink>
      <w:r>
        <w:t xml:space="preserve">, f. único; </w:t>
      </w:r>
      <w:hyperlink w:anchor="AUTO_2015_97" w:history="1">
        <w:r w:rsidRPr="00DD47EB">
          <w:rPr>
            <w:rStyle w:val="TextoNormalCaracter"/>
          </w:rPr>
          <w:t>97/2015</w:t>
        </w:r>
      </w:hyperlink>
      <w:r>
        <w:t>, f. 1.</w:t>
      </w:r>
    </w:p>
    <w:p w:rsidR="00DD47EB" w:rsidRDefault="00DD47EB" w:rsidP="00DD47EB">
      <w:pPr>
        <w:pStyle w:val="SangriaFrancesaArticulo"/>
      </w:pPr>
      <w:r w:rsidRPr="00DD47EB">
        <w:rPr>
          <w:rStyle w:val="TextoNormalNegritaCaracter"/>
        </w:rPr>
        <w:t>Artículo 149.1.11.</w:t>
      </w:r>
      <w:r w:rsidRPr="00DD47EB">
        <w:rPr>
          <w:rStyle w:val="TextoNormalCaracter"/>
        </w:rPr>
        <w:t>-</w:t>
      </w:r>
      <w:r>
        <w:t xml:space="preserve"> Sentencias </w:t>
      </w:r>
      <w:hyperlink w:anchor="SENTENCIA_2015_11" w:history="1">
        <w:r w:rsidRPr="00DD47EB">
          <w:rPr>
            <w:rStyle w:val="TextoNormalCaracter"/>
          </w:rPr>
          <w:t>11/2015</w:t>
        </w:r>
      </w:hyperlink>
      <w:r>
        <w:t xml:space="preserve">, ff. 4, 5; </w:t>
      </w:r>
      <w:hyperlink w:anchor="SENTENCIA_2015_14" w:history="1">
        <w:r w:rsidRPr="00DD47EB">
          <w:rPr>
            <w:rStyle w:val="TextoNormalCaracter"/>
          </w:rPr>
          <w:t>14/2015</w:t>
        </w:r>
      </w:hyperlink>
      <w:r>
        <w:t xml:space="preserve">, f. 1; </w:t>
      </w:r>
      <w:hyperlink w:anchor="SENTENCIA_2015_45" w:history="1">
        <w:r w:rsidRPr="00DD47EB">
          <w:rPr>
            <w:rStyle w:val="TextoNormalCaracter"/>
          </w:rPr>
          <w:t>45/2015</w:t>
        </w:r>
      </w:hyperlink>
      <w:r>
        <w:t xml:space="preserve">, ff. 1, 3, 6; </w:t>
      </w:r>
      <w:hyperlink w:anchor="SENTENCIA_2015_47" w:history="1">
        <w:r w:rsidRPr="00DD47EB">
          <w:rPr>
            <w:rStyle w:val="TextoNormalCaracter"/>
          </w:rPr>
          <w:t>47/2015</w:t>
        </w:r>
      </w:hyperlink>
      <w:r>
        <w:t xml:space="preserve">, ff. 1, 6; </w:t>
      </w:r>
      <w:hyperlink w:anchor="SENTENCIA_2015_93" w:history="1">
        <w:r w:rsidRPr="00DD47EB">
          <w:rPr>
            <w:rStyle w:val="TextoNormalCaracter"/>
          </w:rPr>
          <w:t>93/2015</w:t>
        </w:r>
      </w:hyperlink>
      <w:r>
        <w:t>, f. 18.</w:t>
      </w:r>
    </w:p>
    <w:p w:rsidR="00DD47EB" w:rsidRDefault="00DD47EB" w:rsidP="00DD47EB">
      <w:pPr>
        <w:pStyle w:val="SangriaFrancesaArticulo"/>
      </w:pPr>
      <w:r w:rsidRPr="00DD47EB">
        <w:rPr>
          <w:rStyle w:val="TextoNormalNegritaCaracter"/>
        </w:rPr>
        <w:t>Artículo 149.1.13.</w:t>
      </w:r>
      <w:r w:rsidRPr="00DD47EB">
        <w:rPr>
          <w:rStyle w:val="TextoNormalCaracter"/>
        </w:rPr>
        <w:t>-</w:t>
      </w:r>
      <w:r>
        <w:t xml:space="preserve"> Sentencias </w:t>
      </w:r>
      <w:hyperlink w:anchor="SENTENCIA_2015_11" w:history="1">
        <w:r w:rsidRPr="00DD47EB">
          <w:rPr>
            <w:rStyle w:val="TextoNormalCaracter"/>
          </w:rPr>
          <w:t>11/2015</w:t>
        </w:r>
      </w:hyperlink>
      <w:r>
        <w:t xml:space="preserve">, ff. 3 a 8; </w:t>
      </w:r>
      <w:hyperlink w:anchor="SENTENCIA_2015_14" w:history="1">
        <w:r w:rsidRPr="00DD47EB">
          <w:rPr>
            <w:rStyle w:val="TextoNormalCaracter"/>
          </w:rPr>
          <w:t>14/2015</w:t>
        </w:r>
      </w:hyperlink>
      <w:r>
        <w:t xml:space="preserve">, f. 1; </w:t>
      </w:r>
      <w:hyperlink w:anchor="SENTENCIA_2015_26" w:history="1">
        <w:r w:rsidRPr="00DD47EB">
          <w:rPr>
            <w:rStyle w:val="TextoNormalCaracter"/>
          </w:rPr>
          <w:t>26/2015</w:t>
        </w:r>
      </w:hyperlink>
      <w:r>
        <w:t xml:space="preserve">, f. 2; </w:t>
      </w:r>
      <w:hyperlink w:anchor="SENTENCIA_2015_45" w:history="1">
        <w:r w:rsidRPr="00DD47EB">
          <w:rPr>
            <w:rStyle w:val="TextoNormalCaracter"/>
          </w:rPr>
          <w:t>45/2015</w:t>
        </w:r>
      </w:hyperlink>
      <w:r>
        <w:t xml:space="preserve">, ff. 3, 6; </w:t>
      </w:r>
      <w:hyperlink w:anchor="SENTENCIA_2015_47" w:history="1">
        <w:r w:rsidRPr="00DD47EB">
          <w:rPr>
            <w:rStyle w:val="TextoNormalCaracter"/>
          </w:rPr>
          <w:t>47/2015</w:t>
        </w:r>
      </w:hyperlink>
      <w:r>
        <w:t xml:space="preserve">, ff. 1, 6; </w:t>
      </w:r>
      <w:hyperlink w:anchor="SENTENCIA_2015_58" w:history="1">
        <w:r w:rsidRPr="00DD47EB">
          <w:rPr>
            <w:rStyle w:val="TextoNormalCaracter"/>
          </w:rPr>
          <w:t>58/2015</w:t>
        </w:r>
      </w:hyperlink>
      <w:r>
        <w:t xml:space="preserve">, f. 2; </w:t>
      </w:r>
      <w:hyperlink w:anchor="SENTENCIA_2015_81" w:history="1">
        <w:r w:rsidRPr="00DD47EB">
          <w:rPr>
            <w:rStyle w:val="TextoNormalCaracter"/>
          </w:rPr>
          <w:t>81/2015</w:t>
        </w:r>
      </w:hyperlink>
      <w:r>
        <w:t xml:space="preserve">, ff. 6, 7; </w:t>
      </w:r>
      <w:hyperlink w:anchor="SENTENCIA_2015_85" w:history="1">
        <w:r w:rsidRPr="00DD47EB">
          <w:rPr>
            <w:rStyle w:val="TextoNormalCaracter"/>
          </w:rPr>
          <w:t>85/2015</w:t>
        </w:r>
      </w:hyperlink>
      <w:r>
        <w:t xml:space="preserve">, ff. 1, 2, 4; </w:t>
      </w:r>
      <w:hyperlink w:anchor="SENTENCIA_2015_93" w:history="1">
        <w:r w:rsidRPr="00DD47EB">
          <w:rPr>
            <w:rStyle w:val="TextoNormalCaracter"/>
          </w:rPr>
          <w:t>93/2015</w:t>
        </w:r>
      </w:hyperlink>
      <w:r>
        <w:t xml:space="preserve">, ff. 1, 2, 16 a 18, VP I, VP II, VP III; </w:t>
      </w:r>
      <w:hyperlink w:anchor="SENTENCIA_2015_94" w:history="1">
        <w:r w:rsidRPr="00DD47EB">
          <w:rPr>
            <w:rStyle w:val="TextoNormalCaracter"/>
          </w:rPr>
          <w:t>94/2015</w:t>
        </w:r>
      </w:hyperlink>
      <w:r>
        <w:t xml:space="preserve">, ff. 1, 3 a 5; </w:t>
      </w:r>
      <w:hyperlink w:anchor="SENTENCIA_2015_111" w:history="1">
        <w:r w:rsidRPr="00DD47EB">
          <w:rPr>
            <w:rStyle w:val="TextoNormalCaracter"/>
          </w:rPr>
          <w:t>111/2015</w:t>
        </w:r>
      </w:hyperlink>
      <w:r>
        <w:t xml:space="preserve">, f. 1; </w:t>
      </w:r>
      <w:hyperlink w:anchor="SENTENCIA_2015_143" w:history="1">
        <w:r w:rsidRPr="00DD47EB">
          <w:rPr>
            <w:rStyle w:val="TextoNormalCaracter"/>
          </w:rPr>
          <w:t>143/2015</w:t>
        </w:r>
      </w:hyperlink>
      <w:r>
        <w:t>, ff. 1, 3.</w:t>
      </w:r>
    </w:p>
    <w:p w:rsidR="00DD47EB" w:rsidRDefault="00DD47EB" w:rsidP="00DD47EB">
      <w:pPr>
        <w:pStyle w:val="SangriaIzquierdaArticulo"/>
      </w:pPr>
      <w:r>
        <w:t xml:space="preserve">Auto </w:t>
      </w:r>
      <w:hyperlink w:anchor="AUTO_2015_63" w:history="1">
        <w:r w:rsidRPr="00DD47EB">
          <w:rPr>
            <w:rStyle w:val="TextoNormalCaracter"/>
          </w:rPr>
          <w:t>63/2015</w:t>
        </w:r>
      </w:hyperlink>
      <w:r>
        <w:t>, ff. 2, 3.</w:t>
      </w:r>
    </w:p>
    <w:p w:rsidR="00DD47EB" w:rsidRDefault="00DD47EB" w:rsidP="00DD47EB">
      <w:pPr>
        <w:pStyle w:val="SangriaFrancesaArticulo"/>
      </w:pPr>
      <w:r w:rsidRPr="00DD47EB">
        <w:rPr>
          <w:rStyle w:val="TextoNormalNegritaCaracter"/>
        </w:rPr>
        <w:t>Artículo 149.1.14.</w:t>
      </w:r>
      <w:r w:rsidRPr="00DD47EB">
        <w:rPr>
          <w:rStyle w:val="TextoNormalCaracter"/>
        </w:rPr>
        <w:t>-</w:t>
      </w:r>
      <w:r>
        <w:t xml:space="preserve"> Sentencias </w:t>
      </w:r>
      <w:hyperlink w:anchor="SENTENCIA_2015_26" w:history="1">
        <w:r w:rsidRPr="00DD47EB">
          <w:rPr>
            <w:rStyle w:val="TextoNormalCaracter"/>
          </w:rPr>
          <w:t>26/2015</w:t>
        </w:r>
      </w:hyperlink>
      <w:r>
        <w:t xml:space="preserve">, ff. 2, 4; </w:t>
      </w:r>
      <w:hyperlink w:anchor="SENTENCIA_2015_30" w:history="1">
        <w:r w:rsidRPr="00DD47EB">
          <w:rPr>
            <w:rStyle w:val="TextoNormalCaracter"/>
          </w:rPr>
          <w:t>30/2015</w:t>
        </w:r>
      </w:hyperlink>
      <w:r>
        <w:t xml:space="preserve">, f. 2; </w:t>
      </w:r>
      <w:hyperlink w:anchor="SENTENCIA_2015_59" w:history="1">
        <w:r w:rsidRPr="00DD47EB">
          <w:rPr>
            <w:rStyle w:val="TextoNormalCaracter"/>
          </w:rPr>
          <w:t>59/2015</w:t>
        </w:r>
      </w:hyperlink>
      <w:r>
        <w:t xml:space="preserve">, f. 3; </w:t>
      </w:r>
      <w:hyperlink w:anchor="SENTENCIA_2015_93" w:history="1">
        <w:r w:rsidRPr="00DD47EB">
          <w:rPr>
            <w:rStyle w:val="TextoNormalCaracter"/>
          </w:rPr>
          <w:t>93/2015</w:t>
        </w:r>
      </w:hyperlink>
      <w:r>
        <w:t xml:space="preserve">, f. 18; </w:t>
      </w:r>
      <w:hyperlink w:anchor="SENTENCIA_2015_111" w:history="1">
        <w:r w:rsidRPr="00DD47EB">
          <w:rPr>
            <w:rStyle w:val="TextoNormalCaracter"/>
          </w:rPr>
          <w:t>111/2015</w:t>
        </w:r>
      </w:hyperlink>
      <w:r>
        <w:t>, f. 1.</w:t>
      </w:r>
    </w:p>
    <w:p w:rsidR="00DD47EB" w:rsidRDefault="00DD47EB" w:rsidP="00DD47EB">
      <w:pPr>
        <w:pStyle w:val="SangriaFrancesaArticulo"/>
      </w:pPr>
      <w:r w:rsidRPr="00DD47EB">
        <w:rPr>
          <w:rStyle w:val="TextoNormalNegritaCaracter"/>
        </w:rPr>
        <w:t>Artículo 149.1.15.</w:t>
      </w:r>
      <w:r w:rsidRPr="00DD47EB">
        <w:rPr>
          <w:rStyle w:val="TextoNormalCaracter"/>
        </w:rPr>
        <w:t>-</w:t>
      </w:r>
      <w:r>
        <w:t xml:space="preserve"> Sentencia </w:t>
      </w:r>
      <w:hyperlink w:anchor="SENTENCIA_2015_25" w:history="1">
        <w:r w:rsidRPr="00DD47EB">
          <w:rPr>
            <w:rStyle w:val="TextoNormalCaracter"/>
          </w:rPr>
          <w:t>25/2015</w:t>
        </w:r>
      </w:hyperlink>
      <w:r>
        <w:t>, VP I.</w:t>
      </w:r>
    </w:p>
    <w:p w:rsidR="00DD47EB" w:rsidRDefault="00DD47EB" w:rsidP="00DD47EB">
      <w:pPr>
        <w:pStyle w:val="SangriaFrancesaArticulo"/>
      </w:pPr>
      <w:r w:rsidRPr="00DD47EB">
        <w:rPr>
          <w:rStyle w:val="TextoNormalNegritaCaracter"/>
        </w:rPr>
        <w:t>Artículo 149.1.16.</w:t>
      </w:r>
      <w:r w:rsidRPr="00DD47EB">
        <w:rPr>
          <w:rStyle w:val="TextoNormalCaracter"/>
        </w:rPr>
        <w:t>-</w:t>
      </w:r>
      <w:r>
        <w:t xml:space="preserve"> Sentencias </w:t>
      </w:r>
      <w:hyperlink w:anchor="SENTENCIA_2015_6" w:history="1">
        <w:r w:rsidRPr="00DD47EB">
          <w:rPr>
            <w:rStyle w:val="TextoNormalCaracter"/>
          </w:rPr>
          <w:t>6/2015</w:t>
        </w:r>
      </w:hyperlink>
      <w:r>
        <w:t xml:space="preserve">, ff. 1, 2; </w:t>
      </w:r>
      <w:hyperlink w:anchor="SENTENCIA_2015_44" w:history="1">
        <w:r w:rsidRPr="00DD47EB">
          <w:rPr>
            <w:rStyle w:val="TextoNormalCaracter"/>
          </w:rPr>
          <w:t>44/2015</w:t>
        </w:r>
      </w:hyperlink>
      <w:r>
        <w:t xml:space="preserve">, f. 5; </w:t>
      </w:r>
      <w:hyperlink w:anchor="SENTENCIA_2015_58" w:history="1">
        <w:r w:rsidRPr="00DD47EB">
          <w:rPr>
            <w:rStyle w:val="TextoNormalCaracter"/>
          </w:rPr>
          <w:t>58/2015</w:t>
        </w:r>
      </w:hyperlink>
      <w:r>
        <w:t xml:space="preserve">, ff. 1 a 3, VP; </w:t>
      </w:r>
      <w:hyperlink w:anchor="SENTENCIA_2015_62" w:history="1">
        <w:r w:rsidRPr="00DD47EB">
          <w:rPr>
            <w:rStyle w:val="TextoNormalCaracter"/>
          </w:rPr>
          <w:t>62/2015</w:t>
        </w:r>
      </w:hyperlink>
      <w:r>
        <w:t xml:space="preserve">, f. 3; </w:t>
      </w:r>
      <w:hyperlink w:anchor="SENTENCIA_2015_84" w:history="1">
        <w:r w:rsidRPr="00DD47EB">
          <w:rPr>
            <w:rStyle w:val="TextoNormalCaracter"/>
          </w:rPr>
          <w:t>84/2015</w:t>
        </w:r>
      </w:hyperlink>
      <w:r>
        <w:t xml:space="preserve">, ff. 2, 7, 8; </w:t>
      </w:r>
      <w:hyperlink w:anchor="SENTENCIA_2015_85" w:history="1">
        <w:r w:rsidRPr="00DD47EB">
          <w:rPr>
            <w:rStyle w:val="TextoNormalCaracter"/>
          </w:rPr>
          <w:t>85/2015</w:t>
        </w:r>
      </w:hyperlink>
      <w:r>
        <w:t xml:space="preserve">, f. 2;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149.1.17.</w:t>
      </w:r>
      <w:r w:rsidRPr="00DD47EB">
        <w:rPr>
          <w:rStyle w:val="TextoNormalCaracter"/>
        </w:rPr>
        <w:t>-</w:t>
      </w:r>
      <w:r>
        <w:t xml:space="preserve"> Sentencias </w:t>
      </w:r>
      <w:hyperlink w:anchor="SENTENCIA_2015_6" w:history="1">
        <w:r w:rsidRPr="00DD47EB">
          <w:rPr>
            <w:rStyle w:val="TextoNormalCaracter"/>
          </w:rPr>
          <w:t>6/2015</w:t>
        </w:r>
      </w:hyperlink>
      <w:r>
        <w:t xml:space="preserve">, ff. 1, 2; </w:t>
      </w:r>
      <w:hyperlink w:anchor="SENTENCIA_2015_61" w:history="1">
        <w:r w:rsidRPr="00DD47EB">
          <w:rPr>
            <w:rStyle w:val="TextoNormalCaracter"/>
          </w:rPr>
          <w:t>61/2015</w:t>
        </w:r>
      </w:hyperlink>
      <w:r>
        <w:t xml:space="preserve">, f. 1; </w:t>
      </w:r>
      <w:hyperlink w:anchor="SENTENCIA_2015_84" w:history="1">
        <w:r w:rsidRPr="00DD47EB">
          <w:rPr>
            <w:rStyle w:val="TextoNormalCaracter"/>
          </w:rPr>
          <w:t>84/2015</w:t>
        </w:r>
      </w:hyperlink>
      <w:r>
        <w:t>, ff. 2, 7.</w:t>
      </w:r>
    </w:p>
    <w:p w:rsidR="00DD47EB" w:rsidRDefault="00DD47EB" w:rsidP="00DD47EB">
      <w:pPr>
        <w:pStyle w:val="SangriaFrancesaArticulo"/>
      </w:pPr>
      <w:r w:rsidRPr="00DD47EB">
        <w:rPr>
          <w:rStyle w:val="TextoNormalNegritaCaracter"/>
        </w:rPr>
        <w:t>Artículo 149.1.18.</w:t>
      </w:r>
      <w:r w:rsidRPr="00DD47EB">
        <w:rPr>
          <w:rStyle w:val="TextoNormalCaracter"/>
        </w:rPr>
        <w:t>-</w:t>
      </w:r>
      <w:r>
        <w:t xml:space="preserve"> Sentencias </w:t>
      </w:r>
      <w:hyperlink w:anchor="SENTENCIA_2015_11" w:history="1">
        <w:r w:rsidRPr="00DD47EB">
          <w:rPr>
            <w:rStyle w:val="TextoNormalCaracter"/>
          </w:rPr>
          <w:t>11/2015</w:t>
        </w:r>
      </w:hyperlink>
      <w:r>
        <w:t xml:space="preserve">, f. 3; </w:t>
      </w:r>
      <w:hyperlink w:anchor="SENTENCIA_2015_31" w:history="1">
        <w:r w:rsidRPr="00DD47EB">
          <w:rPr>
            <w:rStyle w:val="TextoNormalCaracter"/>
          </w:rPr>
          <w:t>31/2015</w:t>
        </w:r>
      </w:hyperlink>
      <w:r>
        <w:t xml:space="preserve">, ff. 2, 6, 10; </w:t>
      </w:r>
      <w:hyperlink w:anchor="SENTENCIA_2015_32" w:history="1">
        <w:r w:rsidRPr="00DD47EB">
          <w:rPr>
            <w:rStyle w:val="TextoNormalCaracter"/>
          </w:rPr>
          <w:t>32/2015</w:t>
        </w:r>
      </w:hyperlink>
      <w:r>
        <w:t xml:space="preserve">, f. 1; </w:t>
      </w:r>
      <w:hyperlink w:anchor="SENTENCIA_2015_45" w:history="1">
        <w:r w:rsidRPr="00DD47EB">
          <w:rPr>
            <w:rStyle w:val="TextoNormalCaracter"/>
          </w:rPr>
          <w:t>45/2015</w:t>
        </w:r>
      </w:hyperlink>
      <w:r>
        <w:t xml:space="preserve">, ff. 2, 3, 6; </w:t>
      </w:r>
      <w:hyperlink w:anchor="SENTENCIA_2015_57" w:history="1">
        <w:r w:rsidRPr="00DD47EB">
          <w:rPr>
            <w:rStyle w:val="TextoNormalCaracter"/>
          </w:rPr>
          <w:t>57/2015</w:t>
        </w:r>
      </w:hyperlink>
      <w:r>
        <w:t xml:space="preserve">, ff. 5, 7, 12; </w:t>
      </w:r>
      <w:hyperlink w:anchor="SENTENCIA_2015_81" w:history="1">
        <w:r w:rsidRPr="00DD47EB">
          <w:rPr>
            <w:rStyle w:val="TextoNormalCaracter"/>
          </w:rPr>
          <w:t>81/2015</w:t>
        </w:r>
      </w:hyperlink>
      <w:r>
        <w:t xml:space="preserve">, f. 7; </w:t>
      </w:r>
      <w:hyperlink w:anchor="SENTENCIA_2015_84" w:history="1">
        <w:r w:rsidRPr="00DD47EB">
          <w:rPr>
            <w:rStyle w:val="TextoNormalCaracter"/>
          </w:rPr>
          <w:t>84/2015</w:t>
        </w:r>
      </w:hyperlink>
      <w:r>
        <w:t xml:space="preserve">, ff. 2, 5, 6; </w:t>
      </w:r>
      <w:hyperlink w:anchor="SENTENCIA_2015_93" w:history="1">
        <w:r w:rsidRPr="00DD47EB">
          <w:rPr>
            <w:rStyle w:val="TextoNormalCaracter"/>
          </w:rPr>
          <w:t>93/2015</w:t>
        </w:r>
      </w:hyperlink>
      <w:r>
        <w:t xml:space="preserve">, VP II; </w:t>
      </w:r>
      <w:hyperlink w:anchor="SENTENCIA_2015_94" w:history="1">
        <w:r w:rsidRPr="00DD47EB">
          <w:rPr>
            <w:rStyle w:val="TextoNormalCaracter"/>
          </w:rPr>
          <w:t>94/2015</w:t>
        </w:r>
      </w:hyperlink>
      <w:r>
        <w:t xml:space="preserve">, f. 3; </w:t>
      </w:r>
      <w:hyperlink w:anchor="SENTENCIA_2015_103" w:history="1">
        <w:r w:rsidRPr="00DD47EB">
          <w:rPr>
            <w:rStyle w:val="TextoNormalCaracter"/>
          </w:rPr>
          <w:t>103/2015</w:t>
        </w:r>
      </w:hyperlink>
      <w:r>
        <w:t xml:space="preserve">, ff. 1, 3, 7; </w:t>
      </w:r>
      <w:hyperlink w:anchor="SENTENCIA_2015_137" w:history="1">
        <w:r w:rsidRPr="00DD47EB">
          <w:rPr>
            <w:rStyle w:val="TextoNormalCaracter"/>
          </w:rPr>
          <w:t>137/2015</w:t>
        </w:r>
      </w:hyperlink>
      <w:r>
        <w:t xml:space="preserve">, ff. 1, 4; </w:t>
      </w:r>
      <w:hyperlink w:anchor="SENTENCIA_2015_138" w:history="1">
        <w:r w:rsidRPr="00DD47EB">
          <w:rPr>
            <w:rStyle w:val="TextoNormalCaracter"/>
          </w:rPr>
          <w:t>138/2015</w:t>
        </w:r>
      </w:hyperlink>
      <w:r>
        <w:t>, f. 1.</w:t>
      </w:r>
    </w:p>
    <w:p w:rsidR="00DD47EB" w:rsidRDefault="00DD47EB" w:rsidP="00DD47EB">
      <w:pPr>
        <w:pStyle w:val="SangriaIzquierdaArticulo"/>
      </w:pPr>
      <w:r>
        <w:t xml:space="preserve">Autos </w:t>
      </w:r>
      <w:hyperlink w:anchor="AUTO_2015_37" w:history="1">
        <w:r w:rsidRPr="00DD47EB">
          <w:rPr>
            <w:rStyle w:val="TextoNormalCaracter"/>
          </w:rPr>
          <w:t>37/2015</w:t>
        </w:r>
      </w:hyperlink>
      <w:r>
        <w:t xml:space="preserve">, ff. 1, 4; </w:t>
      </w:r>
      <w:hyperlink w:anchor="AUTO_2015_69" w:history="1">
        <w:r w:rsidRPr="00DD47EB">
          <w:rPr>
            <w:rStyle w:val="TextoNormalCaracter"/>
          </w:rPr>
          <w:t>69/2015</w:t>
        </w:r>
      </w:hyperlink>
      <w:r>
        <w:t xml:space="preserve">, f. 1; </w:t>
      </w:r>
      <w:hyperlink w:anchor="AUTO_2015_97" w:history="1">
        <w:r w:rsidRPr="00DD47EB">
          <w:rPr>
            <w:rStyle w:val="TextoNormalCaracter"/>
          </w:rPr>
          <w:t>97/2015</w:t>
        </w:r>
      </w:hyperlink>
      <w:r>
        <w:t xml:space="preserve">, f. 1; </w:t>
      </w:r>
      <w:hyperlink w:anchor="AUTO_2015_103" w:history="1">
        <w:r w:rsidRPr="00DD47EB">
          <w:rPr>
            <w:rStyle w:val="TextoNormalCaracter"/>
          </w:rPr>
          <w:t>103/2015</w:t>
        </w:r>
      </w:hyperlink>
      <w:r>
        <w:t>, ff. 1 a 3.</w:t>
      </w:r>
    </w:p>
    <w:p w:rsidR="00DD47EB" w:rsidRDefault="00DD47EB" w:rsidP="00DD47EB">
      <w:pPr>
        <w:pStyle w:val="SangriaFrancesaArticulo"/>
      </w:pPr>
      <w:r w:rsidRPr="00DD47EB">
        <w:rPr>
          <w:rStyle w:val="TextoNormalNegritaCaracter"/>
        </w:rPr>
        <w:t>Artículo 149.1.22.</w:t>
      </w:r>
      <w:r w:rsidRPr="00DD47EB">
        <w:rPr>
          <w:rStyle w:val="TextoNormalCaracter"/>
        </w:rPr>
        <w:t>-</w:t>
      </w:r>
      <w:r>
        <w:t xml:space="preserve"> Sentencia </w:t>
      </w:r>
      <w:hyperlink w:anchor="SENTENCIA_2015_13" w:history="1">
        <w:r w:rsidRPr="00DD47EB">
          <w:rPr>
            <w:rStyle w:val="TextoNormalCaracter"/>
          </w:rPr>
          <w:t>13/2015</w:t>
        </w:r>
      </w:hyperlink>
      <w:r>
        <w:t>, ff. 1, 5.</w:t>
      </w:r>
    </w:p>
    <w:p w:rsidR="00DD47EB" w:rsidRDefault="00DD47EB" w:rsidP="00DD47EB">
      <w:pPr>
        <w:pStyle w:val="SangriaFrancesaArticulo"/>
      </w:pPr>
      <w:r w:rsidRPr="00DD47EB">
        <w:rPr>
          <w:rStyle w:val="TextoNormalNegritaCaracter"/>
        </w:rPr>
        <w:t>Artículo 149.1.23.</w:t>
      </w:r>
      <w:r w:rsidRPr="00DD47EB">
        <w:rPr>
          <w:rStyle w:val="TextoNormalCaracter"/>
        </w:rPr>
        <w:t>-</w:t>
      </w:r>
      <w:r>
        <w:t xml:space="preserve"> Sentencias </w:t>
      </w:r>
      <w:hyperlink w:anchor="SENTENCIA_2015_5" w:history="1">
        <w:r w:rsidRPr="00DD47EB">
          <w:rPr>
            <w:rStyle w:val="TextoNormalCaracter"/>
          </w:rPr>
          <w:t>5/2015</w:t>
        </w:r>
      </w:hyperlink>
      <w:r>
        <w:t xml:space="preserve">, ff. 1, 4, 5; </w:t>
      </w:r>
      <w:hyperlink w:anchor="SENTENCIA_2015_45" w:history="1">
        <w:r w:rsidRPr="00DD47EB">
          <w:rPr>
            <w:rStyle w:val="TextoNormalCaracter"/>
          </w:rPr>
          <w:t>45/2015</w:t>
        </w:r>
      </w:hyperlink>
      <w:r>
        <w:t xml:space="preserve">, ff. 1, 3, 5, 6; </w:t>
      </w:r>
      <w:hyperlink w:anchor="SENTENCIA_2015_57" w:history="1">
        <w:r w:rsidRPr="00DD47EB">
          <w:rPr>
            <w:rStyle w:val="TextoNormalCaracter"/>
          </w:rPr>
          <w:t>57/2015</w:t>
        </w:r>
      </w:hyperlink>
      <w:r>
        <w:t>, ff. 3, 7, 11.</w:t>
      </w:r>
    </w:p>
    <w:p w:rsidR="00DD47EB" w:rsidRDefault="00DD47EB" w:rsidP="00DD47EB">
      <w:pPr>
        <w:pStyle w:val="SangriaIzquierdaArticulo"/>
      </w:pPr>
      <w:r>
        <w:t xml:space="preserve">Autos </w:t>
      </w:r>
      <w:hyperlink w:anchor="AUTO_2015_28" w:history="1">
        <w:r w:rsidRPr="00DD47EB">
          <w:rPr>
            <w:rStyle w:val="TextoNormalCaracter"/>
          </w:rPr>
          <w:t>28/2015</w:t>
        </w:r>
      </w:hyperlink>
      <w:r>
        <w:t xml:space="preserve">, f. único; </w:t>
      </w:r>
      <w:hyperlink w:anchor="AUTO_2015_63" w:history="1">
        <w:r w:rsidRPr="00DD47EB">
          <w:rPr>
            <w:rStyle w:val="TextoNormalCaracter"/>
          </w:rPr>
          <w:t>63/2015</w:t>
        </w:r>
      </w:hyperlink>
      <w:r>
        <w:t>, f. 3.</w:t>
      </w:r>
    </w:p>
    <w:p w:rsidR="00DD47EB" w:rsidRDefault="00DD47EB" w:rsidP="00DD47EB">
      <w:pPr>
        <w:pStyle w:val="SangriaFrancesaArticulo"/>
      </w:pPr>
      <w:r w:rsidRPr="00DD47EB">
        <w:rPr>
          <w:rStyle w:val="TextoNormalNegritaCaracter"/>
        </w:rPr>
        <w:t>Artículo 149.1.25.</w:t>
      </w:r>
      <w:r w:rsidRPr="00DD47EB">
        <w:rPr>
          <w:rStyle w:val="TextoNormalCaracter"/>
        </w:rPr>
        <w:t>-</w:t>
      </w:r>
      <w:r>
        <w:t xml:space="preserve"> Sentencia </w:t>
      </w:r>
      <w:hyperlink w:anchor="SENTENCIA_2015_45" w:history="1">
        <w:r w:rsidRPr="00DD47EB">
          <w:rPr>
            <w:rStyle w:val="TextoNormalCaracter"/>
          </w:rPr>
          <w:t>45/2015</w:t>
        </w:r>
      </w:hyperlink>
      <w:r>
        <w:t>, ff. 1, 3, 6.</w:t>
      </w:r>
    </w:p>
    <w:p w:rsidR="00DD47EB" w:rsidRDefault="00DD47EB" w:rsidP="00DD47EB">
      <w:pPr>
        <w:pStyle w:val="SangriaIzquierdaArticulo"/>
      </w:pPr>
      <w:r>
        <w:t xml:space="preserve">Auto </w:t>
      </w:r>
      <w:hyperlink w:anchor="AUTO_2015_63" w:history="1">
        <w:r w:rsidRPr="00DD47EB">
          <w:rPr>
            <w:rStyle w:val="TextoNormalCaracter"/>
          </w:rPr>
          <w:t>63/2015</w:t>
        </w:r>
      </w:hyperlink>
      <w:r>
        <w:t>, ff. 2, 3.</w:t>
      </w:r>
    </w:p>
    <w:p w:rsidR="00DD47EB" w:rsidRDefault="00DD47EB" w:rsidP="00DD47EB">
      <w:pPr>
        <w:pStyle w:val="SangriaFrancesaArticulo"/>
      </w:pPr>
      <w:r w:rsidRPr="00DD47EB">
        <w:rPr>
          <w:rStyle w:val="TextoNormalNegritaCaracter"/>
        </w:rPr>
        <w:t>Artículo 149.1.27.</w:t>
      </w:r>
      <w:r w:rsidRPr="00DD47EB">
        <w:rPr>
          <w:rStyle w:val="TextoNormalCaracter"/>
        </w:rPr>
        <w:t>-</w:t>
      </w:r>
      <w:r>
        <w:t xml:space="preserve"> Sentencia </w:t>
      </w:r>
      <w:hyperlink w:anchor="SENTENCIA_2015_25" w:history="1">
        <w:r w:rsidRPr="00DD47EB">
          <w:rPr>
            <w:rStyle w:val="TextoNormalCaracter"/>
          </w:rPr>
          <w:t>25/2015</w:t>
        </w:r>
      </w:hyperlink>
      <w:r>
        <w:t>, VP II.</w:t>
      </w:r>
    </w:p>
    <w:p w:rsidR="00DD47EB" w:rsidRDefault="00DD47EB" w:rsidP="00DD47EB">
      <w:pPr>
        <w:pStyle w:val="SangriaFrancesaArticulo"/>
      </w:pPr>
      <w:r w:rsidRPr="00DD47EB">
        <w:rPr>
          <w:rStyle w:val="TextoNormalNegritaCaracter"/>
        </w:rPr>
        <w:t>Artículo 149.1.29.</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149.1.30.</w:t>
      </w:r>
      <w:r w:rsidRPr="00DD47EB">
        <w:rPr>
          <w:rStyle w:val="TextoNormalCaracter"/>
        </w:rPr>
        <w:t>-</w:t>
      </w:r>
      <w:r>
        <w:t xml:space="preserve"> Sentencias </w:t>
      </w:r>
      <w:hyperlink w:anchor="SENTENCIA_2015_25" w:history="1">
        <w:r w:rsidRPr="00DD47EB">
          <w:rPr>
            <w:rStyle w:val="TextoNormalCaracter"/>
          </w:rPr>
          <w:t>25/2015</w:t>
        </w:r>
      </w:hyperlink>
      <w:r>
        <w:t xml:space="preserve">, f. 3, VP II; </w:t>
      </w:r>
      <w:hyperlink w:anchor="SENTENCIA_2015_61" w:history="1">
        <w:r w:rsidRPr="00DD47EB">
          <w:rPr>
            <w:rStyle w:val="TextoNormalCaracter"/>
          </w:rPr>
          <w:t>61/2015</w:t>
        </w:r>
      </w:hyperlink>
      <w:r>
        <w:t>, f. 2.</w:t>
      </w:r>
    </w:p>
    <w:p w:rsidR="00DD47EB" w:rsidRDefault="00DD47EB" w:rsidP="00DD47EB">
      <w:pPr>
        <w:pStyle w:val="SangriaFrancesaArticulo"/>
      </w:pPr>
      <w:r w:rsidRPr="00DD47EB">
        <w:rPr>
          <w:rStyle w:val="TextoNormalNegritaCaracter"/>
        </w:rPr>
        <w:t>Artículo 149.1.31.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149.1.32.</w:t>
      </w:r>
      <w:r w:rsidRPr="00DD47EB">
        <w:rPr>
          <w:rStyle w:val="TextoNormalCaracter"/>
        </w:rPr>
        <w:t>-</w:t>
      </w:r>
      <w:r>
        <w:t xml:space="preserve"> Sentencias </w:t>
      </w:r>
      <w:hyperlink w:anchor="SENTENCIA_2015_31" w:history="1">
        <w:r w:rsidRPr="00DD47EB">
          <w:rPr>
            <w:rStyle w:val="TextoNormalCaracter"/>
          </w:rPr>
          <w:t>31/2015</w:t>
        </w:r>
      </w:hyperlink>
      <w:r>
        <w:t xml:space="preserve">, ff. 2, 5, 6, 8, 9; </w:t>
      </w:r>
      <w:hyperlink w:anchor="SENTENCIA_2015_32" w:history="1">
        <w:r w:rsidRPr="00DD47EB">
          <w:rPr>
            <w:rStyle w:val="TextoNormalCaracter"/>
          </w:rPr>
          <w:t>32/2015</w:t>
        </w:r>
      </w:hyperlink>
      <w:r>
        <w:t xml:space="preserve">, ff. 1, 3; </w:t>
      </w:r>
      <w:hyperlink w:anchor="SENTENCIA_2015_137" w:history="1">
        <w:r w:rsidRPr="00DD47EB">
          <w:rPr>
            <w:rStyle w:val="TextoNormalCaracter"/>
          </w:rPr>
          <w:t>137/2015</w:t>
        </w:r>
      </w:hyperlink>
      <w:r>
        <w:t xml:space="preserve">, ff. 1, 3, 4, 7; </w:t>
      </w:r>
      <w:hyperlink w:anchor="SENTENCIA_2015_138" w:history="1">
        <w:r w:rsidRPr="00DD47EB">
          <w:rPr>
            <w:rStyle w:val="TextoNormalCaracter"/>
          </w:rPr>
          <w:t>138/2015</w:t>
        </w:r>
      </w:hyperlink>
      <w:r>
        <w:t xml:space="preserve">, ff. 1, 3; </w:t>
      </w:r>
      <w:hyperlink w:anchor="SENTENCIA_2015_147" w:history="1">
        <w:r w:rsidRPr="00DD47EB">
          <w:rPr>
            <w:rStyle w:val="TextoNormalCaracter"/>
          </w:rPr>
          <w:t>147/2015</w:t>
        </w:r>
      </w:hyperlink>
      <w:r>
        <w:t>, ff. 1, 4.</w:t>
      </w:r>
    </w:p>
    <w:p w:rsidR="00DD47EB" w:rsidRDefault="00DD47EB" w:rsidP="00DD47EB">
      <w:pPr>
        <w:pStyle w:val="SangriaFrancesaArticulo"/>
      </w:pPr>
      <w:r w:rsidRPr="00DD47EB">
        <w:rPr>
          <w:rStyle w:val="TextoNormalNegritaCaracter"/>
        </w:rPr>
        <w:t>Artículo 149.18.</w:t>
      </w:r>
      <w:r w:rsidRPr="00DD47EB">
        <w:rPr>
          <w:rStyle w:val="TextoNormalCaracter"/>
        </w:rPr>
        <w:t>-</w:t>
      </w:r>
      <w:r>
        <w:t xml:space="preserve"> Sentencia </w:t>
      </w:r>
      <w:hyperlink w:anchor="SENTENCIA_2015_103" w:history="1">
        <w:r w:rsidRPr="00DD47EB">
          <w:rPr>
            <w:rStyle w:val="TextoNormalCaracter"/>
          </w:rPr>
          <w:t>103/2015</w:t>
        </w:r>
      </w:hyperlink>
      <w:r>
        <w:t>, f. 8.</w:t>
      </w:r>
    </w:p>
    <w:p w:rsidR="00DD47EB" w:rsidRDefault="00DD47EB" w:rsidP="00DD47EB">
      <w:pPr>
        <w:pStyle w:val="SangriaFrancesaArticulo"/>
      </w:pPr>
      <w:r w:rsidRPr="00DD47EB">
        <w:rPr>
          <w:rStyle w:val="TextoNormalNegritaCaracter"/>
        </w:rPr>
        <w:t>Artículo 150.3.</w:t>
      </w:r>
      <w:r w:rsidRPr="00DD47EB">
        <w:rPr>
          <w:rStyle w:val="TextoNormalCaracter"/>
        </w:rPr>
        <w:t>-</w:t>
      </w:r>
      <w:r>
        <w:t xml:space="preserve"> Sentencias </w:t>
      </w:r>
      <w:hyperlink w:anchor="SENTENCIA_2015_26" w:history="1">
        <w:r w:rsidRPr="00DD47EB">
          <w:rPr>
            <w:rStyle w:val="TextoNormalCaracter"/>
          </w:rPr>
          <w:t>26/2015</w:t>
        </w:r>
      </w:hyperlink>
      <w:r>
        <w:t xml:space="preserve">, f. 5; </w:t>
      </w:r>
      <w:hyperlink w:anchor="SENTENCIA_2015_73" w:history="1">
        <w:r w:rsidRPr="00DD47EB">
          <w:rPr>
            <w:rStyle w:val="TextoNormalCaracter"/>
          </w:rPr>
          <w:t>73/2015</w:t>
        </w:r>
      </w:hyperlink>
      <w:r>
        <w:t xml:space="preserve">, f. 1; </w:t>
      </w:r>
      <w:hyperlink w:anchor="SENTENCIA_2015_81" w:history="1">
        <w:r w:rsidRPr="00DD47EB">
          <w:rPr>
            <w:rStyle w:val="TextoNormalCaracter"/>
          </w:rPr>
          <w:t>81/2015</w:t>
        </w:r>
      </w:hyperlink>
      <w:r>
        <w:t>, f. 6.</w:t>
      </w:r>
    </w:p>
    <w:p w:rsidR="00DD47EB" w:rsidRDefault="00DD47EB" w:rsidP="00DD47EB">
      <w:pPr>
        <w:pStyle w:val="SangriaFrancesaArticulo"/>
      </w:pPr>
      <w:r w:rsidRPr="00DD47EB">
        <w:rPr>
          <w:rStyle w:val="TextoNormalNegritaCaracter"/>
        </w:rPr>
        <w:t>Artículo 151.</w:t>
      </w:r>
      <w:r w:rsidRPr="00DD47EB">
        <w:rPr>
          <w:rStyle w:val="TextoNormalCaracter"/>
        </w:rPr>
        <w:t>-</w:t>
      </w:r>
      <w:r>
        <w:t xml:space="preserve"> Sentencia </w:t>
      </w:r>
      <w:hyperlink w:anchor="SENTENCIA_2015_31" w:history="1">
        <w:r w:rsidRPr="00DD47EB">
          <w:rPr>
            <w:rStyle w:val="TextoNormalCaracter"/>
          </w:rPr>
          <w:t>31/2015</w:t>
        </w:r>
      </w:hyperlink>
      <w:r>
        <w:t>, ff. 5, 6.</w:t>
      </w:r>
    </w:p>
    <w:p w:rsidR="00DD47EB" w:rsidRDefault="00DD47EB" w:rsidP="00DD47EB">
      <w:pPr>
        <w:pStyle w:val="SangriaFrancesaArticulo"/>
      </w:pPr>
      <w:r w:rsidRPr="00DD47EB">
        <w:rPr>
          <w:rStyle w:val="TextoNormalNegritaCaracter"/>
        </w:rPr>
        <w:t>Artículo 151.1.</w:t>
      </w:r>
      <w:r w:rsidRPr="00DD47EB">
        <w:rPr>
          <w:rStyle w:val="TextoNormalCaracter"/>
        </w:rPr>
        <w:t>-</w:t>
      </w:r>
      <w:r>
        <w:t xml:space="preserve"> Sentencia </w:t>
      </w:r>
      <w:hyperlink w:anchor="SENTENCIA_2015_31" w:history="1">
        <w:r w:rsidRPr="00DD47EB">
          <w:rPr>
            <w:rStyle w:val="TextoNormalCaracter"/>
          </w:rPr>
          <w:t>31/2015</w:t>
        </w:r>
      </w:hyperlink>
      <w:r>
        <w:t>, f. 5.</w:t>
      </w:r>
    </w:p>
    <w:p w:rsidR="00DD47EB" w:rsidRDefault="00DD47EB" w:rsidP="00DD47EB">
      <w:pPr>
        <w:pStyle w:val="SangriaFrancesaArticulo"/>
      </w:pPr>
      <w:r w:rsidRPr="00DD47EB">
        <w:rPr>
          <w:rStyle w:val="TextoNormalNegritaCaracter"/>
        </w:rPr>
        <w:t>Artículo 151.2.</w:t>
      </w:r>
      <w:r w:rsidRPr="00DD47EB">
        <w:rPr>
          <w:rStyle w:val="TextoNormalCaracter"/>
        </w:rPr>
        <w:t>-</w:t>
      </w:r>
      <w:r>
        <w:t xml:space="preserve"> Sentencia </w:t>
      </w:r>
      <w:hyperlink w:anchor="SENTENCIA_2015_31" w:history="1">
        <w:r w:rsidRPr="00DD47EB">
          <w:rPr>
            <w:rStyle w:val="TextoNormalCaracter"/>
          </w:rPr>
          <w:t>31/2015</w:t>
        </w:r>
      </w:hyperlink>
      <w:r>
        <w:t>, f. 5.</w:t>
      </w:r>
    </w:p>
    <w:p w:rsidR="00DD47EB" w:rsidRDefault="00DD47EB" w:rsidP="00DD47EB">
      <w:pPr>
        <w:pStyle w:val="SangriaFrancesaArticulo"/>
      </w:pPr>
      <w:r w:rsidRPr="00DD47EB">
        <w:rPr>
          <w:rStyle w:val="TextoNormalNegritaCaracter"/>
        </w:rPr>
        <w:t>Artículo 152.</w:t>
      </w:r>
      <w:r w:rsidRPr="00DD47EB">
        <w:rPr>
          <w:rStyle w:val="TextoNormalCaracter"/>
        </w:rPr>
        <w:t>-</w:t>
      </w:r>
      <w:r>
        <w:t xml:space="preserve"> Sentencias </w:t>
      </w:r>
      <w:hyperlink w:anchor="SENTENCIA_2015_28" w:history="1">
        <w:r w:rsidRPr="00DD47EB">
          <w:rPr>
            <w:rStyle w:val="TextoNormalCaracter"/>
          </w:rPr>
          <w:t>28/2015</w:t>
        </w:r>
      </w:hyperlink>
      <w:r>
        <w:t xml:space="preserve">, ff. 1, 2; </w:t>
      </w:r>
      <w:hyperlink w:anchor="SENTENCIA_2015_31" w:history="1">
        <w:r w:rsidRPr="00DD47EB">
          <w:rPr>
            <w:rStyle w:val="TextoNormalCaracter"/>
          </w:rPr>
          <w:t>31/2015</w:t>
        </w:r>
      </w:hyperlink>
      <w:r>
        <w:t>, f. 6.</w:t>
      </w:r>
    </w:p>
    <w:p w:rsidR="00DD47EB" w:rsidRDefault="00DD47EB" w:rsidP="00DD47EB">
      <w:pPr>
        <w:pStyle w:val="SangriaFrancesaArticulo"/>
      </w:pPr>
      <w:r w:rsidRPr="00DD47EB">
        <w:rPr>
          <w:rStyle w:val="TextoNormalNegritaCaracter"/>
        </w:rPr>
        <w:t>Artículo 152.1.</w:t>
      </w:r>
      <w:r w:rsidRPr="00DD47EB">
        <w:rPr>
          <w:rStyle w:val="TextoNormalCaracter"/>
        </w:rPr>
        <w:t>-</w:t>
      </w:r>
      <w:r>
        <w:t xml:space="preserve"> Sentencias </w:t>
      </w:r>
      <w:hyperlink w:anchor="SENTENCIA_2015_15" w:history="1">
        <w:r w:rsidRPr="00DD47EB">
          <w:rPr>
            <w:rStyle w:val="TextoNormalCaracter"/>
          </w:rPr>
          <w:t>15/2015</w:t>
        </w:r>
      </w:hyperlink>
      <w:r>
        <w:t xml:space="preserve">, ff. 3, 5 a 8; </w:t>
      </w:r>
      <w:hyperlink w:anchor="SENTENCIA_2015_31" w:history="1">
        <w:r w:rsidRPr="00DD47EB">
          <w:rPr>
            <w:rStyle w:val="TextoNormalCaracter"/>
          </w:rPr>
          <w:t>31/2015</w:t>
        </w:r>
      </w:hyperlink>
      <w:r>
        <w:t>, f. 3.</w:t>
      </w:r>
    </w:p>
    <w:p w:rsidR="00DD47EB" w:rsidRDefault="00DD47EB" w:rsidP="00DD47EB">
      <w:pPr>
        <w:pStyle w:val="SangriaFrancesaArticulo"/>
      </w:pPr>
      <w:r w:rsidRPr="00DD47EB">
        <w:rPr>
          <w:rStyle w:val="TextoNormalNegritaCaracter"/>
        </w:rPr>
        <w:t>Artículo 152.2.</w:t>
      </w:r>
      <w:r w:rsidRPr="00DD47EB">
        <w:rPr>
          <w:rStyle w:val="TextoNormalCaracter"/>
        </w:rPr>
        <w:t>-</w:t>
      </w:r>
      <w:r>
        <w:t xml:space="preserve"> Sentencia </w:t>
      </w:r>
      <w:hyperlink w:anchor="SENTENCIA_2015_31" w:history="1">
        <w:r w:rsidRPr="00DD47EB">
          <w:rPr>
            <w:rStyle w:val="TextoNormalCaracter"/>
          </w:rPr>
          <w:t>31/2015</w:t>
        </w:r>
      </w:hyperlink>
      <w:r>
        <w:t>, f. 5.</w:t>
      </w:r>
    </w:p>
    <w:p w:rsidR="00DD47EB" w:rsidRDefault="00DD47EB" w:rsidP="00DD47EB">
      <w:pPr>
        <w:pStyle w:val="SangriaFrancesaArticulo"/>
      </w:pPr>
      <w:r w:rsidRPr="00DD47EB">
        <w:rPr>
          <w:rStyle w:val="TextoNormalNegritaCaracter"/>
        </w:rPr>
        <w:t>Artículo 153 a).</w:t>
      </w:r>
      <w:r w:rsidRPr="00DD47EB">
        <w:rPr>
          <w:rStyle w:val="TextoNormalCaracter"/>
        </w:rPr>
        <w:t>-</w:t>
      </w:r>
      <w:r>
        <w:t xml:space="preserve"> Sentencias </w:t>
      </w:r>
      <w:hyperlink w:anchor="SENTENCIA_2015_15" w:history="1">
        <w:r w:rsidRPr="00DD47EB">
          <w:rPr>
            <w:rStyle w:val="TextoNormalCaracter"/>
          </w:rPr>
          <w:t>15/2015</w:t>
        </w:r>
      </w:hyperlink>
      <w:r>
        <w:t xml:space="preserve">, ff. 3, 5; </w:t>
      </w:r>
      <w:hyperlink w:anchor="SENTENCIA_2015_93" w:history="1">
        <w:r w:rsidRPr="00DD47EB">
          <w:rPr>
            <w:rStyle w:val="TextoNormalCaracter"/>
          </w:rPr>
          <w:t>93/2015</w:t>
        </w:r>
      </w:hyperlink>
      <w:r>
        <w:t>, f. 3.</w:t>
      </w:r>
    </w:p>
    <w:p w:rsidR="00DD47EB" w:rsidRDefault="00DD47EB" w:rsidP="00DD47EB">
      <w:pPr>
        <w:pStyle w:val="SangriaFrancesaArticulo"/>
      </w:pPr>
      <w:r w:rsidRPr="00DD47EB">
        <w:rPr>
          <w:rStyle w:val="TextoNormalNegritaCaracter"/>
        </w:rPr>
        <w:t>Artículo 156.</w:t>
      </w:r>
      <w:r w:rsidRPr="00DD47EB">
        <w:rPr>
          <w:rStyle w:val="TextoNormalCaracter"/>
        </w:rPr>
        <w:t>-</w:t>
      </w:r>
      <w:r>
        <w:t xml:space="preserve"> Sentencia </w:t>
      </w:r>
      <w:hyperlink w:anchor="SENTENCIA_2015_94" w:history="1">
        <w:r w:rsidRPr="00DD47EB">
          <w:rPr>
            <w:rStyle w:val="TextoNormalCaracter"/>
          </w:rPr>
          <w:t>94/2015</w:t>
        </w:r>
      </w:hyperlink>
      <w:r>
        <w:t>, ff. 1, 3.</w:t>
      </w:r>
    </w:p>
    <w:p w:rsidR="00DD47EB" w:rsidRDefault="00DD47EB" w:rsidP="00DD47EB">
      <w:pPr>
        <w:pStyle w:val="SangriaFrancesaArticulo"/>
      </w:pPr>
      <w:r w:rsidRPr="00DD47EB">
        <w:rPr>
          <w:rStyle w:val="TextoNormalNegritaCaracter"/>
        </w:rPr>
        <w:t>Artículo 156.1.</w:t>
      </w:r>
      <w:r w:rsidRPr="00DD47EB">
        <w:rPr>
          <w:rStyle w:val="TextoNormalCaracter"/>
        </w:rPr>
        <w:t>-</w:t>
      </w:r>
      <w:r>
        <w:t xml:space="preserve"> Sentencias </w:t>
      </w:r>
      <w:hyperlink w:anchor="SENTENCIA_2015_22" w:history="1">
        <w:r w:rsidRPr="00DD47EB">
          <w:rPr>
            <w:rStyle w:val="TextoNormalCaracter"/>
          </w:rPr>
          <w:t>22/2015</w:t>
        </w:r>
      </w:hyperlink>
      <w:r>
        <w:t xml:space="preserve">, ff. 2, 5; </w:t>
      </w:r>
      <w:hyperlink w:anchor="SENTENCIA_2015_26" w:history="1">
        <w:r w:rsidRPr="00DD47EB">
          <w:rPr>
            <w:rStyle w:val="TextoNormalCaracter"/>
          </w:rPr>
          <w:t>26/2015</w:t>
        </w:r>
      </w:hyperlink>
      <w:r>
        <w:t xml:space="preserve">, ff. 2, 5, 6, VP; </w:t>
      </w:r>
      <w:hyperlink w:anchor="SENTENCIA_2015_59" w:history="1">
        <w:r w:rsidRPr="00DD47EB">
          <w:rPr>
            <w:rStyle w:val="TextoNormalCaracter"/>
          </w:rPr>
          <w:t>59/2015</w:t>
        </w:r>
      </w:hyperlink>
      <w:r>
        <w:t xml:space="preserve">, ff. 1, 3; </w:t>
      </w:r>
      <w:hyperlink w:anchor="SENTENCIA_2015_81" w:history="1">
        <w:r w:rsidRPr="00DD47EB">
          <w:rPr>
            <w:rStyle w:val="TextoNormalCaracter"/>
          </w:rPr>
          <w:t>81/2015</w:t>
        </w:r>
      </w:hyperlink>
      <w:r>
        <w:t xml:space="preserve">, f. 6; </w:t>
      </w:r>
      <w:hyperlink w:anchor="SENTENCIA_2015_94" w:history="1">
        <w:r w:rsidRPr="00DD47EB">
          <w:rPr>
            <w:rStyle w:val="TextoNormalCaracter"/>
          </w:rPr>
          <w:t>94/2015</w:t>
        </w:r>
      </w:hyperlink>
      <w:r>
        <w:t xml:space="preserve">, f. 3; </w:t>
      </w:r>
      <w:hyperlink w:anchor="SENTENCIA_2015_143" w:history="1">
        <w:r w:rsidRPr="00DD47EB">
          <w:rPr>
            <w:rStyle w:val="TextoNormalCaracter"/>
          </w:rPr>
          <w:t>143/2015</w:t>
        </w:r>
      </w:hyperlink>
      <w:r>
        <w:t>, ff. 1, 3.</w:t>
      </w:r>
    </w:p>
    <w:p w:rsidR="00DD47EB" w:rsidRDefault="00DD47EB" w:rsidP="00DD47EB">
      <w:pPr>
        <w:pStyle w:val="SangriaFrancesaArticulo"/>
      </w:pPr>
      <w:r w:rsidRPr="00DD47EB">
        <w:rPr>
          <w:rStyle w:val="TextoNormalNegritaCaracter"/>
        </w:rPr>
        <w:t>Artículo 157.</w:t>
      </w:r>
      <w:r w:rsidRPr="00DD47EB">
        <w:rPr>
          <w:rStyle w:val="TextoNormalCaracter"/>
        </w:rPr>
        <w:t>-</w:t>
      </w:r>
      <w:r>
        <w:t xml:space="preserve"> Sentencia </w:t>
      </w:r>
      <w:hyperlink w:anchor="SENTENCIA_2015_111" w:history="1">
        <w:r w:rsidRPr="00DD47EB">
          <w:rPr>
            <w:rStyle w:val="TextoNormalCaracter"/>
          </w:rPr>
          <w:t>111/2015</w:t>
        </w:r>
      </w:hyperlink>
      <w:r>
        <w:t>, f. 1.</w:t>
      </w:r>
    </w:p>
    <w:p w:rsidR="00DD47EB" w:rsidRDefault="00DD47EB" w:rsidP="00DD47EB">
      <w:pPr>
        <w:pStyle w:val="SangriaFrancesaArticulo"/>
      </w:pPr>
      <w:r w:rsidRPr="00DD47EB">
        <w:rPr>
          <w:rStyle w:val="TextoNormalNegritaCaracter"/>
        </w:rPr>
        <w:t>Artículo 157.1 b).</w:t>
      </w:r>
      <w:r w:rsidRPr="00DD47EB">
        <w:rPr>
          <w:rStyle w:val="TextoNormalCaracter"/>
        </w:rPr>
        <w:t>-</w:t>
      </w:r>
      <w:r>
        <w:t xml:space="preserve"> Sentencias </w:t>
      </w:r>
      <w:hyperlink w:anchor="SENTENCIA_2015_26" w:history="1">
        <w:r w:rsidRPr="00DD47EB">
          <w:rPr>
            <w:rStyle w:val="TextoNormalCaracter"/>
          </w:rPr>
          <w:t>26/2015</w:t>
        </w:r>
      </w:hyperlink>
      <w:r>
        <w:t xml:space="preserve">, f. 5; </w:t>
      </w:r>
      <w:hyperlink w:anchor="SENTENCIA_2015_59" w:history="1">
        <w:r w:rsidRPr="00DD47EB">
          <w:rPr>
            <w:rStyle w:val="TextoNormalCaracter"/>
          </w:rPr>
          <w:t>59/2015</w:t>
        </w:r>
      </w:hyperlink>
      <w:r>
        <w:t>, f. 1.</w:t>
      </w:r>
    </w:p>
    <w:p w:rsidR="00DD47EB" w:rsidRDefault="00DD47EB" w:rsidP="00DD47EB">
      <w:pPr>
        <w:pStyle w:val="SangriaFrancesaArticulo"/>
      </w:pPr>
      <w:r w:rsidRPr="00DD47EB">
        <w:rPr>
          <w:rStyle w:val="TextoNormalNegritaCaracter"/>
        </w:rPr>
        <w:t>Artículo 157.3.</w:t>
      </w:r>
      <w:r w:rsidRPr="00DD47EB">
        <w:rPr>
          <w:rStyle w:val="TextoNormalCaracter"/>
        </w:rPr>
        <w:t>-</w:t>
      </w:r>
      <w:r>
        <w:t xml:space="preserve"> Sentencias </w:t>
      </w:r>
      <w:hyperlink w:anchor="SENTENCIA_2015_22" w:history="1">
        <w:r w:rsidRPr="00DD47EB">
          <w:rPr>
            <w:rStyle w:val="TextoNormalCaracter"/>
          </w:rPr>
          <w:t>22/2015</w:t>
        </w:r>
      </w:hyperlink>
      <w:r>
        <w:t xml:space="preserve">, ff. 2, 5; </w:t>
      </w:r>
      <w:hyperlink w:anchor="SENTENCIA_2015_26" w:history="1">
        <w:r w:rsidRPr="00DD47EB">
          <w:rPr>
            <w:rStyle w:val="TextoNormalCaracter"/>
          </w:rPr>
          <w:t>26/2015</w:t>
        </w:r>
      </w:hyperlink>
      <w:r>
        <w:t xml:space="preserve">, ff. 2, 4, 5, VP; </w:t>
      </w:r>
      <w:hyperlink w:anchor="SENTENCIA_2015_30" w:history="1">
        <w:r w:rsidRPr="00DD47EB">
          <w:rPr>
            <w:rStyle w:val="TextoNormalCaracter"/>
          </w:rPr>
          <w:t>30/2015</w:t>
        </w:r>
      </w:hyperlink>
      <w:r>
        <w:t xml:space="preserve">, ff. 2 a 4, VP; </w:t>
      </w:r>
      <w:hyperlink w:anchor="SENTENCIA_2015_59" w:history="1">
        <w:r w:rsidRPr="00DD47EB">
          <w:rPr>
            <w:rStyle w:val="TextoNormalCaracter"/>
          </w:rPr>
          <w:t>59/2015</w:t>
        </w:r>
      </w:hyperlink>
      <w:r>
        <w:t xml:space="preserve">, f. 3; </w:t>
      </w:r>
      <w:hyperlink w:anchor="SENTENCIA_2015_73" w:history="1">
        <w:r w:rsidRPr="00DD47EB">
          <w:rPr>
            <w:rStyle w:val="TextoNormalCaracter"/>
          </w:rPr>
          <w:t>73/2015</w:t>
        </w:r>
      </w:hyperlink>
      <w:r>
        <w:t xml:space="preserve">, ff. 1, 3; </w:t>
      </w:r>
      <w:hyperlink w:anchor="SENTENCIA_2015_102" w:history="1">
        <w:r w:rsidRPr="00DD47EB">
          <w:rPr>
            <w:rStyle w:val="TextoNormalCaracter"/>
          </w:rPr>
          <w:t>102/2015</w:t>
        </w:r>
      </w:hyperlink>
      <w:r>
        <w:t xml:space="preserve">, f. 2; </w:t>
      </w:r>
      <w:hyperlink w:anchor="SENTENCIA_2015_107" w:history="1">
        <w:r w:rsidRPr="00DD47EB">
          <w:rPr>
            <w:rStyle w:val="TextoNormalCaracter"/>
          </w:rPr>
          <w:t>107/2015</w:t>
        </w:r>
      </w:hyperlink>
      <w:r>
        <w:t xml:space="preserve">, f. 1; </w:t>
      </w:r>
      <w:hyperlink w:anchor="SENTENCIA_2015_108" w:history="1">
        <w:r w:rsidRPr="00DD47EB">
          <w:rPr>
            <w:rStyle w:val="TextoNormalCaracter"/>
          </w:rPr>
          <w:t>108/2015</w:t>
        </w:r>
      </w:hyperlink>
      <w:r>
        <w:t xml:space="preserve">, f. 5; </w:t>
      </w:r>
      <w:hyperlink w:anchor="SENTENCIA_2015_111" w:history="1">
        <w:r w:rsidRPr="00DD47EB">
          <w:rPr>
            <w:rStyle w:val="TextoNormalCaracter"/>
          </w:rPr>
          <w:t>111/2015</w:t>
        </w:r>
      </w:hyperlink>
      <w:r>
        <w:t>, f. 3.</w:t>
      </w:r>
    </w:p>
    <w:p w:rsidR="00DD47EB" w:rsidRDefault="00DD47EB" w:rsidP="00DD47EB">
      <w:pPr>
        <w:pStyle w:val="SangriaFrancesaArticulo"/>
      </w:pPr>
      <w:r w:rsidRPr="00DD47EB">
        <w:rPr>
          <w:rStyle w:val="TextoNormalNegritaCaracter"/>
        </w:rPr>
        <w:t>Artículo 161.1.</w:t>
      </w:r>
      <w:r w:rsidRPr="00DD47EB">
        <w:rPr>
          <w:rStyle w:val="TextoNormalCaracter"/>
        </w:rPr>
        <w:t>-</w:t>
      </w:r>
      <w:r>
        <w:t xml:space="preserve"> Sentencia </w:t>
      </w:r>
      <w:hyperlink w:anchor="SENTENCIA_2015_81" w:history="1">
        <w:r w:rsidRPr="00DD47EB">
          <w:rPr>
            <w:rStyle w:val="TextoNormalCaracter"/>
          </w:rPr>
          <w:t>81/2015</w:t>
        </w:r>
      </w:hyperlink>
      <w:r>
        <w:t>, f. 2.</w:t>
      </w:r>
    </w:p>
    <w:p w:rsidR="00DD47EB" w:rsidRDefault="00DD47EB" w:rsidP="00DD47EB">
      <w:pPr>
        <w:pStyle w:val="SangriaFrancesaArticulo"/>
      </w:pPr>
      <w:r w:rsidRPr="00DD47EB">
        <w:rPr>
          <w:rStyle w:val="TextoNormalNegritaCaracter"/>
        </w:rPr>
        <w:t>Artículo 161.1 a).</w:t>
      </w:r>
      <w:r w:rsidRPr="00DD47EB">
        <w:rPr>
          <w:rStyle w:val="TextoNormalCaracter"/>
        </w:rPr>
        <w:t>-</w:t>
      </w:r>
      <w:r>
        <w:t xml:space="preserve"> Sentencias </w:t>
      </w:r>
      <w:hyperlink w:anchor="SENTENCIA_2015_7" w:history="1">
        <w:r w:rsidRPr="00DD47EB">
          <w:rPr>
            <w:rStyle w:val="TextoNormalCaracter"/>
          </w:rPr>
          <w:t>7/2015</w:t>
        </w:r>
      </w:hyperlink>
      <w:r>
        <w:t xml:space="preserve">, VP;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161.1 b).</w:t>
      </w:r>
      <w:r w:rsidRPr="00DD47EB">
        <w:rPr>
          <w:rStyle w:val="TextoNormalCaracter"/>
        </w:rPr>
        <w:t>-</w:t>
      </w:r>
      <w:r>
        <w:t xml:space="preserve"> Sentencias </w:t>
      </w:r>
      <w:hyperlink w:anchor="SENTENCIA_2015_24" w:history="1">
        <w:r w:rsidRPr="00DD47EB">
          <w:rPr>
            <w:rStyle w:val="TextoNormalCaracter"/>
          </w:rPr>
          <w:t>24/2015</w:t>
        </w:r>
      </w:hyperlink>
      <w:r>
        <w:t xml:space="preserve">, f. 3; </w:t>
      </w:r>
      <w:hyperlink w:anchor="SENTENCIA_2015_92" w:history="1">
        <w:r w:rsidRPr="00DD47EB">
          <w:rPr>
            <w:rStyle w:val="TextoNormalCaracter"/>
          </w:rPr>
          <w:t>92/2015</w:t>
        </w:r>
      </w:hyperlink>
      <w:r>
        <w:t>, f. 2.</w:t>
      </w:r>
    </w:p>
    <w:p w:rsidR="00DD47EB" w:rsidRDefault="00DD47EB" w:rsidP="00DD47EB">
      <w:pPr>
        <w:pStyle w:val="SangriaIzquierdaArticulo"/>
      </w:pPr>
      <w:r>
        <w:t xml:space="preserve">Autos </w:t>
      </w:r>
      <w:hyperlink w:anchor="AUTO_2015_1" w:history="1">
        <w:r w:rsidRPr="00DD47EB">
          <w:rPr>
            <w:rStyle w:val="TextoNormalCaracter"/>
          </w:rPr>
          <w:t>1/2015</w:t>
        </w:r>
      </w:hyperlink>
      <w:r>
        <w:t xml:space="preserve">, f. único; </w:t>
      </w:r>
      <w:hyperlink w:anchor="AUTO_2015_12" w:history="1">
        <w:r w:rsidRPr="00DD47EB">
          <w:rPr>
            <w:rStyle w:val="TextoNormalCaracter"/>
          </w:rPr>
          <w:t>12/2015</w:t>
        </w:r>
      </w:hyperlink>
      <w:r>
        <w:t xml:space="preserve">, f. único; </w:t>
      </w:r>
      <w:hyperlink w:anchor="AUTO_2015_39" w:history="1">
        <w:r w:rsidRPr="00DD47EB">
          <w:rPr>
            <w:rStyle w:val="TextoNormalCaracter"/>
          </w:rPr>
          <w:t>39/2015</w:t>
        </w:r>
      </w:hyperlink>
      <w:r>
        <w:t xml:space="preserve">, f. único; </w:t>
      </w:r>
      <w:hyperlink w:anchor="AUTO_2015_40" w:history="1">
        <w:r w:rsidRPr="00DD47EB">
          <w:rPr>
            <w:rStyle w:val="TextoNormalCaracter"/>
          </w:rPr>
          <w:t>40/2015</w:t>
        </w:r>
      </w:hyperlink>
      <w:r>
        <w:t xml:space="preserve">, f. único; </w:t>
      </w:r>
      <w:hyperlink w:anchor="AUTO_2015_41" w:history="1">
        <w:r w:rsidRPr="00DD47EB">
          <w:rPr>
            <w:rStyle w:val="TextoNormalCaracter"/>
          </w:rPr>
          <w:t>41/2015</w:t>
        </w:r>
      </w:hyperlink>
      <w:r>
        <w:t xml:space="preserve">, f. único; </w:t>
      </w:r>
      <w:hyperlink w:anchor="AUTO_2015_71" w:history="1">
        <w:r w:rsidRPr="00DD47EB">
          <w:rPr>
            <w:rStyle w:val="TextoNormalCaracter"/>
          </w:rPr>
          <w:t>71/2015</w:t>
        </w:r>
      </w:hyperlink>
      <w:r>
        <w:t xml:space="preserve">, f. único; </w:t>
      </w:r>
      <w:hyperlink w:anchor="AUTO_2015_85" w:history="1">
        <w:r w:rsidRPr="00DD47EB">
          <w:rPr>
            <w:rStyle w:val="TextoNormalCaracter"/>
          </w:rPr>
          <w:t>85/2015</w:t>
        </w:r>
      </w:hyperlink>
      <w:r>
        <w:t xml:space="preserve">, f. único; </w:t>
      </w:r>
      <w:hyperlink w:anchor="AUTO_2015_104" w:history="1">
        <w:r w:rsidRPr="00DD47EB">
          <w:rPr>
            <w:rStyle w:val="TextoNormalCaracter"/>
          </w:rPr>
          <w:t>104/2015</w:t>
        </w:r>
      </w:hyperlink>
      <w:r>
        <w:t xml:space="preserve">, f. único; </w:t>
      </w:r>
      <w:hyperlink w:anchor="AUTO_2015_105" w:history="1">
        <w:r w:rsidRPr="00DD47EB">
          <w:rPr>
            <w:rStyle w:val="TextoNormalCaracter"/>
          </w:rPr>
          <w:t>105/2015</w:t>
        </w:r>
      </w:hyperlink>
      <w:r>
        <w:t xml:space="preserve">, f. único; </w:t>
      </w:r>
      <w:hyperlink w:anchor="AUTO_2015_113" w:history="1">
        <w:r w:rsidRPr="00DD47EB">
          <w:rPr>
            <w:rStyle w:val="TextoNormalCaracter"/>
          </w:rPr>
          <w:t>113/2015</w:t>
        </w:r>
      </w:hyperlink>
      <w:r>
        <w:t>, f. único.</w:t>
      </w:r>
    </w:p>
    <w:p w:rsidR="00DD47EB" w:rsidRDefault="00DD47EB" w:rsidP="00DD47EB">
      <w:pPr>
        <w:pStyle w:val="SangriaFrancesaArticulo"/>
      </w:pPr>
      <w:r w:rsidRPr="00DD47EB">
        <w:rPr>
          <w:rStyle w:val="TextoNormalNegritaCaracter"/>
        </w:rPr>
        <w:t>Artículo 161.1 c).</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161.1 d).</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161.2.</w:t>
      </w:r>
      <w:r w:rsidRPr="00DD47EB">
        <w:rPr>
          <w:rStyle w:val="TextoNormalCaracter"/>
        </w:rPr>
        <w:t>-</w:t>
      </w:r>
      <w:r>
        <w:t xml:space="preserve"> Sentencias </w:t>
      </w:r>
      <w:hyperlink w:anchor="SENTENCIA_2015_15" w:history="1">
        <w:r w:rsidRPr="00DD47EB">
          <w:rPr>
            <w:rStyle w:val="TextoNormalCaracter"/>
          </w:rPr>
          <w:t>15/2015</w:t>
        </w:r>
      </w:hyperlink>
      <w:r>
        <w:t xml:space="preserve">, f. 1; </w:t>
      </w:r>
      <w:hyperlink w:anchor="SENTENCIA_2015_32" w:history="1">
        <w:r w:rsidRPr="00DD47EB">
          <w:rPr>
            <w:rStyle w:val="TextoNormalCaracter"/>
          </w:rPr>
          <w:t>32/2015</w:t>
        </w:r>
      </w:hyperlink>
      <w:r>
        <w:t xml:space="preserve">, ff. 1, 2; </w:t>
      </w:r>
      <w:hyperlink w:anchor="SENTENCIA_2015_92" w:history="1">
        <w:r w:rsidRPr="00DD47EB">
          <w:rPr>
            <w:rStyle w:val="TextoNormalCaracter"/>
          </w:rPr>
          <w:t>92/2015</w:t>
        </w:r>
      </w:hyperlink>
      <w:r>
        <w:t xml:space="preserve">, f. 2; </w:t>
      </w:r>
      <w:hyperlink w:anchor="SENTENCIA_2015_137" w:history="1">
        <w:r w:rsidRPr="00DD47EB">
          <w:rPr>
            <w:rStyle w:val="TextoNormalCaracter"/>
          </w:rPr>
          <w:t>137/2015</w:t>
        </w:r>
      </w:hyperlink>
      <w:r>
        <w:t>, f. 1.</w:t>
      </w:r>
    </w:p>
    <w:p w:rsidR="00DD47EB" w:rsidRDefault="00DD47EB" w:rsidP="00DD47EB">
      <w:pPr>
        <w:pStyle w:val="SangriaIzquierdaArticulo"/>
      </w:pPr>
      <w:r>
        <w:t xml:space="preserve">Autos </w:t>
      </w:r>
      <w:hyperlink w:anchor="AUTO_2015_32" w:history="1">
        <w:r w:rsidRPr="00DD47EB">
          <w:rPr>
            <w:rStyle w:val="TextoNormalCaracter"/>
          </w:rPr>
          <w:t>32/2015</w:t>
        </w:r>
      </w:hyperlink>
      <w:r>
        <w:t xml:space="preserve">, f. 1; </w:t>
      </w:r>
      <w:hyperlink w:anchor="AUTO_2015_63" w:history="1">
        <w:r w:rsidRPr="00DD47EB">
          <w:rPr>
            <w:rStyle w:val="TextoNormalCaracter"/>
          </w:rPr>
          <w:t>63/2015</w:t>
        </w:r>
      </w:hyperlink>
      <w:r>
        <w:t>, f. 1.</w:t>
      </w:r>
    </w:p>
    <w:p w:rsidR="00DD47EB" w:rsidRDefault="00DD47EB" w:rsidP="00DD47EB">
      <w:pPr>
        <w:pStyle w:val="SangriaFrancesaArticulo"/>
      </w:pPr>
      <w:r w:rsidRPr="00DD47EB">
        <w:rPr>
          <w:rStyle w:val="TextoNormalNegritaCaracter"/>
        </w:rPr>
        <w:t>Artículo 163.</w:t>
      </w:r>
      <w:r w:rsidRPr="00DD47EB">
        <w:rPr>
          <w:rStyle w:val="TextoNormalCaracter"/>
        </w:rPr>
        <w:t>-</w:t>
      </w:r>
      <w:r>
        <w:t xml:space="preserve"> Sentencias </w:t>
      </w:r>
      <w:hyperlink w:anchor="SENTENCIA_2015_4" w:history="1">
        <w:r w:rsidRPr="00DD47EB">
          <w:rPr>
            <w:rStyle w:val="TextoNormalCaracter"/>
          </w:rPr>
          <w:t>4/2015</w:t>
        </w:r>
      </w:hyperlink>
      <w:r>
        <w:t xml:space="preserve">, f. 2; </w:t>
      </w:r>
      <w:hyperlink w:anchor="SENTENCIA_2015_10" w:history="1">
        <w:r w:rsidRPr="00DD47EB">
          <w:rPr>
            <w:rStyle w:val="TextoNormalCaracter"/>
          </w:rPr>
          <w:t>10/2015</w:t>
        </w:r>
      </w:hyperlink>
      <w:r>
        <w:t xml:space="preserve">, f. 2; </w:t>
      </w:r>
      <w:hyperlink w:anchor="SENTENCIA_2015_50" w:history="1">
        <w:r w:rsidRPr="00DD47EB">
          <w:rPr>
            <w:rStyle w:val="TextoNormalCaracter"/>
          </w:rPr>
          <w:t>50/2015</w:t>
        </w:r>
      </w:hyperlink>
      <w:r>
        <w:t xml:space="preserve">, f. 2; </w:t>
      </w:r>
      <w:hyperlink w:anchor="SENTENCIA_2015_79" w:history="1">
        <w:r w:rsidRPr="00DD47EB">
          <w:rPr>
            <w:rStyle w:val="TextoNormalCaracter"/>
          </w:rPr>
          <w:t>79/2015</w:t>
        </w:r>
      </w:hyperlink>
      <w:r>
        <w:t xml:space="preserve">, ff. 2, 3; </w:t>
      </w:r>
      <w:hyperlink w:anchor="SENTENCIA_2015_83" w:history="1">
        <w:r w:rsidRPr="00DD47EB">
          <w:rPr>
            <w:rStyle w:val="TextoNormalCaracter"/>
          </w:rPr>
          <w:t>83/2015</w:t>
        </w:r>
      </w:hyperlink>
      <w:r>
        <w:t xml:space="preserve">, f. 3; </w:t>
      </w:r>
      <w:hyperlink w:anchor="SENTENCIA_2015_97" w:history="1">
        <w:r w:rsidRPr="00DD47EB">
          <w:rPr>
            <w:rStyle w:val="TextoNormalCaracter"/>
          </w:rPr>
          <w:t>97/2015</w:t>
        </w:r>
      </w:hyperlink>
      <w:r>
        <w:t xml:space="preserve">, f. 3; </w:t>
      </w:r>
      <w:hyperlink w:anchor="SENTENCIA_2015_100" w:history="1">
        <w:r w:rsidRPr="00DD47EB">
          <w:rPr>
            <w:rStyle w:val="TextoNormalCaracter"/>
          </w:rPr>
          <w:t>100/2015</w:t>
        </w:r>
      </w:hyperlink>
      <w:r>
        <w:t xml:space="preserve">, f. 3; </w:t>
      </w:r>
      <w:hyperlink w:anchor="SENTENCIA_2015_141" w:history="1">
        <w:r w:rsidRPr="00DD47EB">
          <w:rPr>
            <w:rStyle w:val="TextoNormalCaracter"/>
          </w:rPr>
          <w:t>141/2015</w:t>
        </w:r>
      </w:hyperlink>
      <w:r>
        <w:t>, f. 2.</w:t>
      </w:r>
    </w:p>
    <w:p w:rsidR="00DD47EB" w:rsidRDefault="00DD47EB" w:rsidP="00DD47EB">
      <w:pPr>
        <w:pStyle w:val="SangriaIzquierdaArticulo"/>
      </w:pPr>
      <w:r>
        <w:t xml:space="preserve">Auto </w:t>
      </w:r>
      <w:hyperlink w:anchor="AUTO_2015_69" w:history="1">
        <w:r w:rsidRPr="00DD47EB">
          <w:rPr>
            <w:rStyle w:val="TextoNormalCaracter"/>
          </w:rPr>
          <w:t>69/2015</w:t>
        </w:r>
      </w:hyperlink>
      <w:r>
        <w:t>, f. 3.</w:t>
      </w:r>
    </w:p>
    <w:p w:rsidR="00DD47EB" w:rsidRDefault="00DD47EB" w:rsidP="00DD47EB">
      <w:pPr>
        <w:pStyle w:val="SangriaFrancesaArticulo"/>
      </w:pPr>
      <w:r w:rsidRPr="00DD47EB">
        <w:rPr>
          <w:rStyle w:val="TextoNormalNegritaCaracter"/>
        </w:rPr>
        <w:t>Artículo 164.1.</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167.3.</w:t>
      </w:r>
      <w:r w:rsidRPr="00DD47EB">
        <w:rPr>
          <w:rStyle w:val="TextoNormalCaracter"/>
        </w:rPr>
        <w:t>-</w:t>
      </w:r>
      <w:r>
        <w:t xml:space="preserve"> Sentencia </w:t>
      </w:r>
      <w:hyperlink w:anchor="SENTENCIA_2015_31" w:history="1">
        <w:r w:rsidRPr="00DD47EB">
          <w:rPr>
            <w:rStyle w:val="TextoNormalCaracter"/>
          </w:rPr>
          <w:t>31/2015</w:t>
        </w:r>
      </w:hyperlink>
      <w:r>
        <w:t>, f. 5.</w:t>
      </w:r>
    </w:p>
    <w:p w:rsidR="00DD47EB" w:rsidRDefault="00DD47EB" w:rsidP="00DD47EB">
      <w:pPr>
        <w:pStyle w:val="SangriaFrancesaArticulo"/>
      </w:pPr>
      <w:r w:rsidRPr="00DD47EB">
        <w:rPr>
          <w:rStyle w:val="TextoNormalNegritaCaracter"/>
        </w:rPr>
        <w:t>Artículo 168.</w:t>
      </w:r>
      <w:r w:rsidRPr="00DD47EB">
        <w:rPr>
          <w:rStyle w:val="TextoNormalCaracter"/>
        </w:rPr>
        <w:t>-</w:t>
      </w:r>
      <w:r>
        <w:t xml:space="preserve"> Sentencias </w:t>
      </w:r>
      <w:hyperlink w:anchor="SENTENCIA_2015_32" w:history="1">
        <w:r w:rsidRPr="00DD47EB">
          <w:rPr>
            <w:rStyle w:val="TextoNormalCaracter"/>
          </w:rPr>
          <w:t>32/2015</w:t>
        </w:r>
      </w:hyperlink>
      <w:r>
        <w:t xml:space="preserve">, f. 1; </w:t>
      </w:r>
      <w:hyperlink w:anchor="SENTENCIA_2015_138" w:history="1">
        <w:r w:rsidRPr="00DD47EB">
          <w:rPr>
            <w:rStyle w:val="TextoNormalCaracter"/>
          </w:rPr>
          <w:t>138/2015</w:t>
        </w:r>
      </w:hyperlink>
      <w:r>
        <w:t>, ff. 1, 4.</w:t>
      </w:r>
    </w:p>
    <w:p w:rsidR="00DD47EB" w:rsidRDefault="00DD47EB" w:rsidP="00DD47EB">
      <w:pPr>
        <w:pStyle w:val="SangriaFrancesaArticulo"/>
      </w:pPr>
      <w:r w:rsidRPr="00DD47EB">
        <w:rPr>
          <w:rStyle w:val="TextoNormalNegritaCaracter"/>
        </w:rPr>
        <w:t>Artículo 168.3.</w:t>
      </w:r>
      <w:r w:rsidRPr="00DD47EB">
        <w:rPr>
          <w:rStyle w:val="TextoNormalCaracter"/>
        </w:rPr>
        <w:t>-</w:t>
      </w:r>
      <w:r>
        <w:t xml:space="preserve"> Sentencia </w:t>
      </w:r>
      <w:hyperlink w:anchor="SENTENCIA_2015_31" w:history="1">
        <w:r w:rsidRPr="00DD47EB">
          <w:rPr>
            <w:rStyle w:val="TextoNormalCaracter"/>
          </w:rPr>
          <w:t>31/2015</w:t>
        </w:r>
      </w:hyperlink>
      <w:r>
        <w:t>, f. 5.</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13" w:history="1">
        <w:r w:rsidRPr="00DD47EB">
          <w:rPr>
            <w:rStyle w:val="TextoNormalCaracter"/>
          </w:rPr>
          <w:t>13/2015</w:t>
        </w:r>
      </w:hyperlink>
      <w:r>
        <w:t>, f. 5.</w:t>
      </w:r>
    </w:p>
    <w:p w:rsidR="00DD47EB" w:rsidRDefault="00DD47EB" w:rsidP="00DD47EB">
      <w:pPr>
        <w:pStyle w:val="SangriaFrancesaArticulo"/>
      </w:pPr>
      <w:r w:rsidRPr="00DD47EB">
        <w:rPr>
          <w:rStyle w:val="TextoNormalNegritaCaracter"/>
        </w:rPr>
        <w:t>Disposición transitoria cuarta.</w:t>
      </w:r>
      <w:r w:rsidRPr="00DD47EB">
        <w:rPr>
          <w:rStyle w:val="TextoNormalCaracter"/>
        </w:rPr>
        <w:t>-</w:t>
      </w:r>
      <w:r>
        <w:t xml:space="preserve"> Sentencia </w:t>
      </w:r>
      <w:hyperlink w:anchor="SENTENCIA_2015_31" w:history="1">
        <w:r w:rsidRPr="00DD47EB">
          <w:rPr>
            <w:rStyle w:val="TextoNormalCaracter"/>
          </w:rPr>
          <w:t>31/2015</w:t>
        </w:r>
      </w:hyperlink>
      <w:r>
        <w:t>, f. 5.</w:t>
      </w:r>
    </w:p>
    <w:p w:rsidR="00DD47EB" w:rsidRDefault="00DD47EB" w:rsidP="00DD47EB">
      <w:pPr>
        <w:pStyle w:val="TextoNormal"/>
      </w:pPr>
    </w:p>
    <w:p w:rsidR="00DD47EB" w:rsidRDefault="00DD47EB" w:rsidP="00DD47EB">
      <w:pPr>
        <w:pStyle w:val="SangriaFrancesaArticulo"/>
      </w:pPr>
      <w:bookmarkStart w:id="270" w:name="INDICE22843"/>
    </w:p>
    <w:bookmarkEnd w:id="270"/>
    <w:p w:rsidR="00DD47EB" w:rsidRDefault="00DD47EB" w:rsidP="00DD47EB">
      <w:pPr>
        <w:pStyle w:val="TextoIndiceNivel2"/>
        <w:suppressAutoHyphens/>
      </w:pPr>
      <w:r>
        <w:t>B) Tribunal Constitucional</w:t>
      </w:r>
    </w:p>
    <w:p w:rsidR="00DD47EB" w:rsidRDefault="00DD47EB" w:rsidP="00DD47EB">
      <w:pPr>
        <w:pStyle w:val="TextoIndiceNivel2"/>
      </w:pPr>
    </w:p>
    <w:p w:rsidR="00DD47EB" w:rsidRDefault="00DD47EB" w:rsidP="00DD47EB">
      <w:pPr>
        <w:pStyle w:val="TextoNormalNegritaCursivandice"/>
      </w:pPr>
      <w:r>
        <w:t>Ley Orgánica 2/1979, de 3 de octubre. Tribunal Constitucional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 w:history="1">
        <w:r w:rsidRPr="00DD47EB">
          <w:rPr>
            <w:rStyle w:val="TextoNormalCaracter"/>
          </w:rPr>
          <w:t>14/2015</w:t>
        </w:r>
      </w:hyperlink>
      <w:r>
        <w:t>, f. 2.</w:t>
      </w:r>
    </w:p>
    <w:p w:rsidR="00DD47EB" w:rsidRDefault="00DD47EB" w:rsidP="00DD47EB">
      <w:pPr>
        <w:pStyle w:val="SangriaIzquierdaArticulo"/>
      </w:pPr>
      <w:r>
        <w:t xml:space="preserve">Auto </w:t>
      </w:r>
      <w:hyperlink w:anchor="AUTO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Título IV, capítulo IV.</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Título V.</w:t>
      </w:r>
      <w:r w:rsidRPr="00DD47EB">
        <w:rPr>
          <w:rStyle w:val="TextoNormalCaracter"/>
        </w:rPr>
        <w:t>-</w:t>
      </w:r>
      <w:r>
        <w:t xml:space="preserve"> Sentencias </w:t>
      </w:r>
      <w:hyperlink w:anchor="SENTENCIA_2015_32" w:history="1">
        <w:r w:rsidRPr="00DD47EB">
          <w:rPr>
            <w:rStyle w:val="TextoNormalCaracter"/>
          </w:rPr>
          <w:t>32/2015</w:t>
        </w:r>
      </w:hyperlink>
      <w:r>
        <w:t xml:space="preserve">, f. 2; </w:t>
      </w:r>
      <w:hyperlink w:anchor="SENTENCIA_2015_137" w:history="1">
        <w:r w:rsidRPr="00DD47EB">
          <w:rPr>
            <w:rStyle w:val="TextoNormalCaracter"/>
          </w:rPr>
          <w:t>137/2015</w:t>
        </w:r>
      </w:hyperlink>
      <w:r>
        <w:t xml:space="preserve">, ff. 1, 2; </w:t>
      </w:r>
      <w:hyperlink w:anchor="SENTENCIA_2015_138" w:history="1">
        <w:r w:rsidRPr="00DD47EB">
          <w:rPr>
            <w:rStyle w:val="TextoNormalCaracter"/>
          </w:rPr>
          <w:t>138/2015</w:t>
        </w:r>
      </w:hyperlink>
      <w:r>
        <w:t>, f. 1.</w:t>
      </w:r>
    </w:p>
    <w:p w:rsidR="00DD47EB" w:rsidRDefault="00DD47EB" w:rsidP="00DD47EB">
      <w:pPr>
        <w:pStyle w:val="SangriaFrancesaArticulo"/>
      </w:pPr>
      <w:r w:rsidRPr="00DD47EB">
        <w:rPr>
          <w:rStyle w:val="TextoNormalNegritaCaracter"/>
        </w:rPr>
        <w:t>Título V, artículo 76.</w:t>
      </w:r>
      <w:r w:rsidRPr="00DD47EB">
        <w:rPr>
          <w:rStyle w:val="TextoNormalCaracter"/>
        </w:rPr>
        <w:t>-</w:t>
      </w:r>
      <w:r>
        <w:t xml:space="preserve"> Sentencia </w:t>
      </w:r>
      <w:hyperlink w:anchor="SENTENCIA_2015_147" w:history="1">
        <w:r w:rsidRPr="00DD47EB">
          <w:rPr>
            <w:rStyle w:val="TextoNormalCaracter"/>
          </w:rPr>
          <w:t>147/2015</w:t>
        </w:r>
      </w:hyperlink>
      <w:r>
        <w:t>, ff. 1, 2.</w:t>
      </w:r>
    </w:p>
    <w:p w:rsidR="00DD47EB" w:rsidRDefault="00DD47EB" w:rsidP="00DD47EB">
      <w:pPr>
        <w:pStyle w:val="SangriaFrancesaArticulo"/>
      </w:pPr>
      <w:r w:rsidRPr="00DD47EB">
        <w:rPr>
          <w:rStyle w:val="TextoNormalNegritaCaracter"/>
        </w:rPr>
        <w:t>Título V, artículo 77.</w:t>
      </w:r>
      <w:r w:rsidRPr="00DD47EB">
        <w:rPr>
          <w:rStyle w:val="TextoNormalCaracter"/>
        </w:rPr>
        <w:t>-</w:t>
      </w:r>
      <w:r>
        <w:t xml:space="preserve"> Sentencia </w:t>
      </w:r>
      <w:hyperlink w:anchor="SENTENCIA_2015_147" w:history="1">
        <w:r w:rsidRPr="00DD47EB">
          <w:rPr>
            <w:rStyle w:val="TextoNormalCaracter"/>
          </w:rPr>
          <w:t>147/2015</w:t>
        </w:r>
      </w:hyperlink>
      <w:r>
        <w:t>, ff. 1, 2.</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81" w:history="1">
        <w:r w:rsidRPr="00DD47EB">
          <w:rPr>
            <w:rStyle w:val="TextoNormalCaracter"/>
          </w:rPr>
          <w:t>81/2015</w:t>
        </w:r>
      </w:hyperlink>
      <w:r>
        <w:t>, f. 2.</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24" w:history="1">
        <w:r w:rsidRPr="00DD47EB">
          <w:rPr>
            <w:rStyle w:val="TextoNormalCaracter"/>
          </w:rPr>
          <w:t>24/2015</w:t>
        </w:r>
      </w:hyperlink>
      <w:r>
        <w:t>, f. 2.</w:t>
      </w:r>
    </w:p>
    <w:p w:rsidR="00DD47EB" w:rsidRDefault="00DD47EB" w:rsidP="00DD47EB">
      <w:pPr>
        <w:pStyle w:val="SangriaFrancesaArticulo"/>
      </w:pPr>
      <w:r w:rsidRPr="00DD47EB">
        <w:rPr>
          <w:rStyle w:val="TextoNormalNegritaCaracter"/>
        </w:rPr>
        <w:t>Artículo 2.1 a).</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Auto </w:t>
      </w:r>
      <w:hyperlink w:anchor="AUTO_2015_82" w:history="1">
        <w:r w:rsidRPr="00DD47EB">
          <w:rPr>
            <w:rStyle w:val="TextoNormalCaracter"/>
          </w:rPr>
          <w:t>82/2015</w:t>
        </w:r>
      </w:hyperlink>
      <w:r>
        <w:t>, f. 3.</w:t>
      </w:r>
    </w:p>
    <w:p w:rsidR="00DD47EB" w:rsidRDefault="00DD47EB" w:rsidP="00DD47EB">
      <w:pPr>
        <w:pStyle w:val="SangriaFrancesaArticulo"/>
      </w:pPr>
      <w:r w:rsidRPr="00DD47EB">
        <w:rPr>
          <w:rStyle w:val="TextoNormalNegritaCaracter"/>
        </w:rPr>
        <w:t>Artículo 4.2</w:t>
      </w:r>
      <w:r>
        <w:t xml:space="preserve"> (redactado por la Ley Orgánica 6/2007, de 24 de mayo)</w:t>
      </w:r>
      <w:r w:rsidRPr="00DD47EB">
        <w:rPr>
          <w:rStyle w:val="TextoNormalNegritaCaracter"/>
        </w:rPr>
        <w:t>.</w:t>
      </w:r>
      <w:r w:rsidRPr="00DD47EB">
        <w:rPr>
          <w:rStyle w:val="TextoNormalCaracter"/>
        </w:rPr>
        <w:t>-</w:t>
      </w:r>
      <w:r>
        <w:t xml:space="preserve"> Auto </w:t>
      </w:r>
      <w:hyperlink w:anchor="AUTO_2015_109" w:history="1">
        <w:r w:rsidRPr="00DD47EB">
          <w:rPr>
            <w:rStyle w:val="TextoNormalCaracter"/>
          </w:rPr>
          <w:t>109/2015</w:t>
        </w:r>
      </w:hyperlink>
      <w:r>
        <w:t>, f. 2.</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 </w:t>
      </w:r>
      <w:hyperlink w:anchor="SENTENCIA_2015_81" w:history="1">
        <w:r w:rsidRPr="00DD47EB">
          <w:rPr>
            <w:rStyle w:val="TextoNormalCaracter"/>
          </w:rPr>
          <w:t>81/2015</w:t>
        </w:r>
      </w:hyperlink>
      <w:r>
        <w:t>, f. 2.</w:t>
      </w:r>
    </w:p>
    <w:p w:rsidR="00DD47EB" w:rsidRDefault="00DD47EB" w:rsidP="00DD47EB">
      <w:pPr>
        <w:pStyle w:val="SangriaFrancesaArticulo"/>
      </w:pPr>
      <w:r w:rsidRPr="00DD47EB">
        <w:rPr>
          <w:rStyle w:val="TextoNormalNegritaCaracter"/>
        </w:rPr>
        <w:t>Artículo 27.1.</w:t>
      </w:r>
      <w:r w:rsidRPr="00DD47EB">
        <w:rPr>
          <w:rStyle w:val="TextoNormalCaracter"/>
        </w:rPr>
        <w:t>-</w:t>
      </w:r>
      <w:r>
        <w:t xml:space="preserve"> Sentencia </w:t>
      </w:r>
      <w:hyperlink w:anchor="SENTENCIA_2015_59" w:history="1">
        <w:r w:rsidRPr="00DD47EB">
          <w:rPr>
            <w:rStyle w:val="TextoNormalCaracter"/>
          </w:rPr>
          <w:t>59/2015</w:t>
        </w:r>
      </w:hyperlink>
      <w:r>
        <w:t>, f. 4.</w:t>
      </w:r>
    </w:p>
    <w:p w:rsidR="00DD47EB" w:rsidRDefault="00DD47EB" w:rsidP="00DD47EB">
      <w:pPr>
        <w:pStyle w:val="SangriaFrancesaArticulo"/>
      </w:pPr>
      <w:r w:rsidRPr="00DD47EB">
        <w:rPr>
          <w:rStyle w:val="TextoNormalNegritaCaracter"/>
        </w:rPr>
        <w:t>Artículo 28.</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28.1.</w:t>
      </w:r>
      <w:r w:rsidRPr="00DD47EB">
        <w:rPr>
          <w:rStyle w:val="TextoNormalCaracter"/>
        </w:rPr>
        <w:t>-</w:t>
      </w:r>
      <w:r>
        <w:t xml:space="preserve"> Auto </w:t>
      </w:r>
      <w:hyperlink w:anchor="AUTO_2015_101" w:history="1">
        <w:r w:rsidRPr="00DD47EB">
          <w:rPr>
            <w:rStyle w:val="TextoNormalCaracter"/>
          </w:rPr>
          <w:t>101/2015</w:t>
        </w:r>
      </w:hyperlink>
      <w:r>
        <w:t>, f. 2.</w:t>
      </w:r>
    </w:p>
    <w:p w:rsidR="00DD47EB" w:rsidRDefault="00DD47EB" w:rsidP="00DD47EB">
      <w:pPr>
        <w:pStyle w:val="SangriaFrancesaArticulo"/>
      </w:pPr>
      <w:r w:rsidRPr="00DD47EB">
        <w:rPr>
          <w:rStyle w:val="TextoNormalNegritaCaracter"/>
        </w:rPr>
        <w:t>Artículo 30.</w:t>
      </w:r>
      <w:r w:rsidRPr="00DD47EB">
        <w:rPr>
          <w:rStyle w:val="TextoNormalCaracter"/>
        </w:rPr>
        <w:t>-</w:t>
      </w:r>
      <w:r>
        <w:t xml:space="preserve"> Sentencia </w:t>
      </w:r>
      <w:hyperlink w:anchor="SENTENCIA_2015_15" w:history="1">
        <w:r w:rsidRPr="00DD47EB">
          <w:rPr>
            <w:rStyle w:val="TextoNormalCaracter"/>
          </w:rPr>
          <w:t>15/2015</w:t>
        </w:r>
      </w:hyperlink>
      <w:r>
        <w:t>, f. 1.</w:t>
      </w:r>
    </w:p>
    <w:p w:rsidR="00DD47EB" w:rsidRDefault="00DD47EB" w:rsidP="00DD47EB">
      <w:pPr>
        <w:pStyle w:val="SangriaIzquierdaArticulo"/>
      </w:pPr>
      <w:r>
        <w:t xml:space="preserve">Autos </w:t>
      </w:r>
      <w:hyperlink w:anchor="AUTO_2015_32" w:history="1">
        <w:r w:rsidRPr="00DD47EB">
          <w:rPr>
            <w:rStyle w:val="TextoNormalCaracter"/>
          </w:rPr>
          <w:t>32/2015</w:t>
        </w:r>
      </w:hyperlink>
      <w:r>
        <w:t xml:space="preserve">, f. 1; </w:t>
      </w:r>
      <w:hyperlink w:anchor="AUTO_2015_63" w:history="1">
        <w:r w:rsidRPr="00DD47EB">
          <w:rPr>
            <w:rStyle w:val="TextoNormalCaracter"/>
          </w:rPr>
          <w:t>63/2015</w:t>
        </w:r>
      </w:hyperlink>
      <w:r>
        <w:t>, f. 1.</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94" w:history="1">
        <w:r w:rsidRPr="00DD47EB">
          <w:rPr>
            <w:rStyle w:val="TextoNormalCaracter"/>
          </w:rPr>
          <w:t>94/2015</w:t>
        </w:r>
      </w:hyperlink>
      <w:r>
        <w:t>, f. 2.</w:t>
      </w:r>
    </w:p>
    <w:p w:rsidR="00DD47EB" w:rsidRDefault="00DD47EB" w:rsidP="00DD47EB">
      <w:pPr>
        <w:pStyle w:val="SangriaFrancesaArticulo"/>
      </w:pPr>
      <w:r w:rsidRPr="00DD47EB">
        <w:rPr>
          <w:rStyle w:val="TextoNormalNegritaCaracter"/>
        </w:rPr>
        <w:t>Artículo 32.2.</w:t>
      </w:r>
      <w:r w:rsidRPr="00DD47EB">
        <w:rPr>
          <w:rStyle w:val="TextoNormalCaracter"/>
        </w:rPr>
        <w:t>-</w:t>
      </w:r>
      <w:r>
        <w:t xml:space="preserve"> Sentencia </w:t>
      </w:r>
      <w:hyperlink w:anchor="SENTENCIA_2015_59" w:history="1">
        <w:r w:rsidRPr="00DD47EB">
          <w:rPr>
            <w:rStyle w:val="TextoNormalCaracter"/>
          </w:rPr>
          <w:t>59/2015</w:t>
        </w:r>
      </w:hyperlink>
      <w:r>
        <w:t>, f. 4.</w:t>
      </w:r>
    </w:p>
    <w:p w:rsidR="00DD47EB" w:rsidRDefault="00DD47EB" w:rsidP="00DD47EB">
      <w:pPr>
        <w:pStyle w:val="SangriaFrancesaArticulo"/>
      </w:pPr>
      <w:r w:rsidRPr="00DD47EB">
        <w:rPr>
          <w:rStyle w:val="TextoNormalNegritaCaracter"/>
        </w:rPr>
        <w:t>Artículo 33.1.</w:t>
      </w:r>
      <w:r w:rsidRPr="00DD47EB">
        <w:rPr>
          <w:rStyle w:val="TextoNormalCaracter"/>
        </w:rPr>
        <w:t>-</w:t>
      </w:r>
      <w:r>
        <w:t xml:space="preserve"> Sentencias </w:t>
      </w:r>
      <w:hyperlink w:anchor="SENTENCIA_2015_14" w:history="1">
        <w:r w:rsidRPr="00DD47EB">
          <w:rPr>
            <w:rStyle w:val="TextoNormalCaracter"/>
          </w:rPr>
          <w:t>14/2015</w:t>
        </w:r>
      </w:hyperlink>
      <w:r>
        <w:t xml:space="preserve">, f. 2; </w:t>
      </w:r>
      <w:hyperlink w:anchor="SENTENCIA_2015_103" w:history="1">
        <w:r w:rsidRPr="00DD47EB">
          <w:rPr>
            <w:rStyle w:val="TextoNormalCaracter"/>
          </w:rPr>
          <w:t>103/2015</w:t>
        </w:r>
      </w:hyperlink>
      <w:r>
        <w:t>, f. 2.</w:t>
      </w:r>
    </w:p>
    <w:p w:rsidR="00DD47EB" w:rsidRDefault="00DD47EB" w:rsidP="00DD47EB">
      <w:pPr>
        <w:pStyle w:val="SangriaFrancesaArticulo"/>
      </w:pPr>
      <w:r w:rsidRPr="00DD47EB">
        <w:rPr>
          <w:rStyle w:val="TextoNormalNegritaCaracter"/>
        </w:rPr>
        <w:t>Artículo 33.2</w:t>
      </w:r>
      <w:r>
        <w:t xml:space="preserve"> (redactado por la Ley Orgánica 1/2000, de 7 de enero)</w:t>
      </w:r>
      <w:r w:rsidRPr="00DD47EB">
        <w:rPr>
          <w:rStyle w:val="TextoNormalNegritaCaracter"/>
        </w:rPr>
        <w:t>.</w:t>
      </w:r>
      <w:r w:rsidRPr="00DD47EB">
        <w:rPr>
          <w:rStyle w:val="TextoNormalCaracter"/>
        </w:rPr>
        <w:t>-</w:t>
      </w:r>
      <w:r>
        <w:t xml:space="preserve"> Sentencia </w:t>
      </w:r>
      <w:hyperlink w:anchor="SENTENCIA_2015_14" w:history="1">
        <w:r w:rsidRPr="00DD47EB">
          <w:rPr>
            <w:rStyle w:val="TextoNormalCaracter"/>
          </w:rPr>
          <w:t>14/2015</w:t>
        </w:r>
      </w:hyperlink>
      <w:r>
        <w:t>, f. 2.</w:t>
      </w:r>
    </w:p>
    <w:p w:rsidR="00DD47EB" w:rsidRDefault="00DD47EB" w:rsidP="00DD47EB">
      <w:pPr>
        <w:pStyle w:val="SangriaFrancesaArticulo"/>
      </w:pPr>
      <w:r w:rsidRPr="00DD47EB">
        <w:rPr>
          <w:rStyle w:val="TextoNormalNegritaCaracter"/>
        </w:rPr>
        <w:t>Artículo 33.2 a)</w:t>
      </w:r>
      <w:r>
        <w:t xml:space="preserve"> (redactado por la Ley Orgánica 1/2000, de 7 de enero)</w:t>
      </w:r>
      <w:r w:rsidRPr="00DD47EB">
        <w:rPr>
          <w:rStyle w:val="TextoNormalNegritaCaracter"/>
        </w:rPr>
        <w:t>.</w:t>
      </w:r>
      <w:r w:rsidRPr="00DD47EB">
        <w:rPr>
          <w:rStyle w:val="TextoNormalCaracter"/>
        </w:rPr>
        <w:t>-</w:t>
      </w:r>
      <w:r>
        <w:t xml:space="preserve"> Sentencia </w:t>
      </w:r>
      <w:hyperlink w:anchor="SENTENCIA_2015_14" w:history="1">
        <w:r w:rsidRPr="00DD47EB">
          <w:rPr>
            <w:rStyle w:val="TextoNormalCaracter"/>
          </w:rPr>
          <w:t>14/2015</w:t>
        </w:r>
      </w:hyperlink>
      <w:r>
        <w:t>, f. 2.</w:t>
      </w:r>
    </w:p>
    <w:p w:rsidR="00DD47EB" w:rsidRDefault="00DD47EB" w:rsidP="00DD47EB">
      <w:pPr>
        <w:pStyle w:val="SangriaFrancesaArticulo"/>
      </w:pPr>
      <w:r w:rsidRPr="00DD47EB">
        <w:rPr>
          <w:rStyle w:val="TextoNormalNegritaCaracter"/>
        </w:rPr>
        <w:t>Artículo 33.2 b)</w:t>
      </w:r>
      <w:r>
        <w:t xml:space="preserve"> (redactado por la Ley Orgánica 1/2000, de 7 de enero)</w:t>
      </w:r>
      <w:r w:rsidRPr="00DD47EB">
        <w:rPr>
          <w:rStyle w:val="TextoNormalNegritaCaracter"/>
        </w:rPr>
        <w:t>.</w:t>
      </w:r>
      <w:r w:rsidRPr="00DD47EB">
        <w:rPr>
          <w:rStyle w:val="TextoNormalCaracter"/>
        </w:rPr>
        <w:t>-</w:t>
      </w:r>
      <w:r>
        <w:t xml:space="preserve"> Sentencia </w:t>
      </w:r>
      <w:hyperlink w:anchor="SENTENCIA_2015_14" w:history="1">
        <w:r w:rsidRPr="00DD47EB">
          <w:rPr>
            <w:rStyle w:val="TextoNormalCaracter"/>
          </w:rPr>
          <w:t>14/2015</w:t>
        </w:r>
      </w:hyperlink>
      <w:r>
        <w:t>, f. 2.</w:t>
      </w:r>
    </w:p>
    <w:p w:rsidR="00DD47EB" w:rsidRDefault="00DD47EB" w:rsidP="00DD47EB">
      <w:pPr>
        <w:pStyle w:val="SangriaFrancesaArticulo"/>
      </w:pPr>
      <w:r w:rsidRPr="00DD47EB">
        <w:rPr>
          <w:rStyle w:val="TextoNormalNegritaCaracter"/>
        </w:rPr>
        <w:t>Artículo 33.2 c)</w:t>
      </w:r>
      <w:r>
        <w:t xml:space="preserve"> (redactado por la Ley Orgánica 1/2000, de 7 de enero)</w:t>
      </w:r>
      <w:r w:rsidRPr="00DD47EB">
        <w:rPr>
          <w:rStyle w:val="TextoNormalNegritaCaracter"/>
        </w:rPr>
        <w:t>.</w:t>
      </w:r>
      <w:r w:rsidRPr="00DD47EB">
        <w:rPr>
          <w:rStyle w:val="TextoNormalCaracter"/>
        </w:rPr>
        <w:t>-</w:t>
      </w:r>
      <w:r>
        <w:t xml:space="preserve"> Sentencia </w:t>
      </w:r>
      <w:hyperlink w:anchor="SENTENCIA_2015_14" w:history="1">
        <w:r w:rsidRPr="00DD47EB">
          <w:rPr>
            <w:rStyle w:val="TextoNormalCaracter"/>
          </w:rPr>
          <w:t>14/2015</w:t>
        </w:r>
      </w:hyperlink>
      <w:r>
        <w:t>, f. 2.</w:t>
      </w:r>
    </w:p>
    <w:p w:rsidR="00DD47EB" w:rsidRDefault="00DD47EB" w:rsidP="00DD47EB">
      <w:pPr>
        <w:pStyle w:val="SangriaFrancesaArticulo"/>
      </w:pPr>
      <w:r w:rsidRPr="00DD47EB">
        <w:rPr>
          <w:rStyle w:val="TextoNormalNegritaCaracter"/>
        </w:rPr>
        <w:t>Artículo 35.</w:t>
      </w:r>
      <w:r w:rsidRPr="00DD47EB">
        <w:rPr>
          <w:rStyle w:val="TextoNormalCaracter"/>
        </w:rPr>
        <w:t>-</w:t>
      </w:r>
      <w:r>
        <w:t xml:space="preserve"> Sentencias </w:t>
      </w:r>
      <w:hyperlink w:anchor="SENTENCIA_2015_3" w:history="1">
        <w:r w:rsidRPr="00DD47EB">
          <w:rPr>
            <w:rStyle w:val="TextoNormalCaracter"/>
          </w:rPr>
          <w:t>3/2015</w:t>
        </w:r>
      </w:hyperlink>
      <w:r>
        <w:t xml:space="preserve">, f. 2; </w:t>
      </w:r>
      <w:hyperlink w:anchor="SENTENCIA_2015_4" w:history="1">
        <w:r w:rsidRPr="00DD47EB">
          <w:rPr>
            <w:rStyle w:val="TextoNormalCaracter"/>
          </w:rPr>
          <w:t>4/2015</w:t>
        </w:r>
      </w:hyperlink>
      <w:r>
        <w:t xml:space="preserve">, f. 2; </w:t>
      </w:r>
      <w:hyperlink w:anchor="SENTENCIA_2015_10" w:history="1">
        <w:r w:rsidRPr="00DD47EB">
          <w:rPr>
            <w:rStyle w:val="TextoNormalCaracter"/>
          </w:rPr>
          <w:t>10/2015</w:t>
        </w:r>
      </w:hyperlink>
      <w:r>
        <w:t xml:space="preserve">, f. 2; </w:t>
      </w:r>
      <w:hyperlink w:anchor="SENTENCIA_2015_50" w:history="1">
        <w:r w:rsidRPr="00DD47EB">
          <w:rPr>
            <w:rStyle w:val="TextoNormalCaracter"/>
          </w:rPr>
          <w:t>50/2015</w:t>
        </w:r>
      </w:hyperlink>
      <w:r>
        <w:t xml:space="preserve">, f. 2; </w:t>
      </w:r>
      <w:hyperlink w:anchor="SENTENCIA_2015_79" w:history="1">
        <w:r w:rsidRPr="00DD47EB">
          <w:rPr>
            <w:rStyle w:val="TextoNormalCaracter"/>
          </w:rPr>
          <w:t>79/2015</w:t>
        </w:r>
      </w:hyperlink>
      <w:r>
        <w:t xml:space="preserve">, ff. 1, 2; </w:t>
      </w:r>
      <w:hyperlink w:anchor="SENTENCIA_2015_110" w:history="1">
        <w:r w:rsidRPr="00DD47EB">
          <w:rPr>
            <w:rStyle w:val="TextoNormalCaracter"/>
          </w:rPr>
          <w:t>110/2015</w:t>
        </w:r>
      </w:hyperlink>
      <w:r>
        <w:t>, f. 3.</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ff. 1, 4; </w:t>
      </w:r>
      <w:hyperlink w:anchor="AUTO_2015_10" w:history="1">
        <w:r w:rsidRPr="00DD47EB">
          <w:rPr>
            <w:rStyle w:val="TextoNormalCaracter"/>
          </w:rPr>
          <w:t>10/2015</w:t>
        </w:r>
      </w:hyperlink>
      <w:r>
        <w:t xml:space="preserve">, ff. 1, 4; </w:t>
      </w:r>
      <w:hyperlink w:anchor="AUTO_2015_16" w:history="1">
        <w:r w:rsidRPr="00DD47EB">
          <w:rPr>
            <w:rStyle w:val="TextoNormalCaracter"/>
          </w:rPr>
          <w:t>16/2015</w:t>
        </w:r>
      </w:hyperlink>
      <w:r>
        <w:t xml:space="preserve">, f. único; </w:t>
      </w:r>
      <w:hyperlink w:anchor="AUTO_2015_76" w:history="1">
        <w:r w:rsidRPr="00DD47EB">
          <w:rPr>
            <w:rStyle w:val="TextoNormalCaracter"/>
          </w:rPr>
          <w:t>76/2015</w:t>
        </w:r>
      </w:hyperlink>
      <w:r>
        <w:t xml:space="preserve">, ff. 1, 4; </w:t>
      </w:r>
      <w:hyperlink w:anchor="AUTO_2015_97" w:history="1">
        <w:r w:rsidRPr="00DD47EB">
          <w:rPr>
            <w:rStyle w:val="TextoNormalCaracter"/>
          </w:rPr>
          <w:t>97/2015</w:t>
        </w:r>
      </w:hyperlink>
      <w:r>
        <w:t>, ff. 2, 4.</w:t>
      </w:r>
    </w:p>
    <w:p w:rsidR="00DD47EB" w:rsidRDefault="00DD47EB" w:rsidP="00DD47EB">
      <w:pPr>
        <w:pStyle w:val="SangriaFrancesaArticulo"/>
      </w:pPr>
      <w:r w:rsidRPr="00DD47EB">
        <w:rPr>
          <w:rStyle w:val="TextoNormalNegritaCaracter"/>
        </w:rPr>
        <w:t>Artículo 35.1.</w:t>
      </w:r>
      <w:r w:rsidRPr="00DD47EB">
        <w:rPr>
          <w:rStyle w:val="TextoNormalCaracter"/>
        </w:rPr>
        <w:t>-</w:t>
      </w:r>
      <w:r>
        <w:t xml:space="preserve"> Sentencias </w:t>
      </w:r>
      <w:hyperlink w:anchor="SENTENCIA_2015_4" w:history="1">
        <w:r w:rsidRPr="00DD47EB">
          <w:rPr>
            <w:rStyle w:val="TextoNormalCaracter"/>
          </w:rPr>
          <w:t>4/2015</w:t>
        </w:r>
      </w:hyperlink>
      <w:r>
        <w:t xml:space="preserve">, f. 2; </w:t>
      </w:r>
      <w:hyperlink w:anchor="SENTENCIA_2015_10" w:history="1">
        <w:r w:rsidRPr="00DD47EB">
          <w:rPr>
            <w:rStyle w:val="TextoNormalCaracter"/>
          </w:rPr>
          <w:t>10/2015</w:t>
        </w:r>
      </w:hyperlink>
      <w:r>
        <w:t xml:space="preserve">, f. 1; </w:t>
      </w:r>
      <w:hyperlink w:anchor="SENTENCIA_2015_41" w:history="1">
        <w:r w:rsidRPr="00DD47EB">
          <w:rPr>
            <w:rStyle w:val="TextoNormalCaracter"/>
          </w:rPr>
          <w:t>41/2015</w:t>
        </w:r>
      </w:hyperlink>
      <w:r>
        <w:t xml:space="preserve">, f. 3; </w:t>
      </w:r>
      <w:hyperlink w:anchor="SENTENCIA_2015_43" w:history="1">
        <w:r w:rsidRPr="00DD47EB">
          <w:rPr>
            <w:rStyle w:val="TextoNormalCaracter"/>
          </w:rPr>
          <w:t>43/2015</w:t>
        </w:r>
      </w:hyperlink>
      <w:r>
        <w:t xml:space="preserve">, f. 2; </w:t>
      </w:r>
      <w:hyperlink w:anchor="SENTENCIA_2015_56" w:history="1">
        <w:r w:rsidRPr="00DD47EB">
          <w:rPr>
            <w:rStyle w:val="TextoNormalCaracter"/>
          </w:rPr>
          <w:t>56/2015</w:t>
        </w:r>
      </w:hyperlink>
      <w:r>
        <w:t xml:space="preserve">, f. 2; </w:t>
      </w:r>
      <w:hyperlink w:anchor="SENTENCIA_2015_79" w:history="1">
        <w:r w:rsidRPr="00DD47EB">
          <w:rPr>
            <w:rStyle w:val="TextoNormalCaracter"/>
          </w:rPr>
          <w:t>79/2015</w:t>
        </w:r>
      </w:hyperlink>
      <w:r>
        <w:t xml:space="preserve">, f. 3; </w:t>
      </w:r>
      <w:hyperlink w:anchor="SENTENCIA_2015_83" w:history="1">
        <w:r w:rsidRPr="00DD47EB">
          <w:rPr>
            <w:rStyle w:val="TextoNormalCaracter"/>
          </w:rPr>
          <w:t>83/2015</w:t>
        </w:r>
      </w:hyperlink>
      <w:r>
        <w:t>, f. 3.</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 2; </w:t>
      </w:r>
      <w:hyperlink w:anchor="AUTO_2015_21" w:history="1">
        <w:r w:rsidRPr="00DD47EB">
          <w:rPr>
            <w:rStyle w:val="TextoNormalCaracter"/>
          </w:rPr>
          <w:t>21/2015</w:t>
        </w:r>
      </w:hyperlink>
      <w:r>
        <w:t xml:space="preserve">, f. 2; </w:t>
      </w:r>
      <w:hyperlink w:anchor="AUTO_2015_22" w:history="1">
        <w:r w:rsidRPr="00DD47EB">
          <w:rPr>
            <w:rStyle w:val="TextoNormalCaracter"/>
          </w:rPr>
          <w:t>22/2015</w:t>
        </w:r>
      </w:hyperlink>
      <w:r>
        <w:t xml:space="preserve">, f. 2; </w:t>
      </w:r>
      <w:hyperlink w:anchor="AUTO_2015_33" w:history="1">
        <w:r w:rsidRPr="00DD47EB">
          <w:rPr>
            <w:rStyle w:val="TextoNormalCaracter"/>
          </w:rPr>
          <w:t>33/2015</w:t>
        </w:r>
      </w:hyperlink>
      <w:r>
        <w:t xml:space="preserve">, f. 2; </w:t>
      </w:r>
      <w:hyperlink w:anchor="AUTO_2015_34" w:history="1">
        <w:r w:rsidRPr="00DD47EB">
          <w:rPr>
            <w:rStyle w:val="TextoNormalCaracter"/>
          </w:rPr>
          <w:t>34/2015</w:t>
        </w:r>
      </w:hyperlink>
      <w:r>
        <w:t xml:space="preserve">, f. 2; </w:t>
      </w:r>
      <w:hyperlink w:anchor="AUTO_2015_35" w:history="1">
        <w:r w:rsidRPr="00DD47EB">
          <w:rPr>
            <w:rStyle w:val="TextoNormalCaracter"/>
          </w:rPr>
          <w:t>35/2015</w:t>
        </w:r>
      </w:hyperlink>
      <w:r>
        <w:t xml:space="preserve">, f. 2; </w:t>
      </w:r>
      <w:hyperlink w:anchor="AUTO_2015_36" w:history="1">
        <w:r w:rsidRPr="00DD47EB">
          <w:rPr>
            <w:rStyle w:val="TextoNormalCaracter"/>
          </w:rPr>
          <w:t>36/2015</w:t>
        </w:r>
      </w:hyperlink>
      <w:r>
        <w:t xml:space="preserve">, f. 2; </w:t>
      </w:r>
      <w:hyperlink w:anchor="AUTO_2015_38" w:history="1">
        <w:r w:rsidRPr="00DD47EB">
          <w:rPr>
            <w:rStyle w:val="TextoNormalCaracter"/>
          </w:rPr>
          <w:t>38/2015</w:t>
        </w:r>
      </w:hyperlink>
      <w:r>
        <w:t xml:space="preserve">, f. 2; </w:t>
      </w:r>
      <w:hyperlink w:anchor="AUTO_2015_61" w:history="1">
        <w:r w:rsidRPr="00DD47EB">
          <w:rPr>
            <w:rStyle w:val="TextoNormalCaracter"/>
          </w:rPr>
          <w:t>61/2015</w:t>
        </w:r>
      </w:hyperlink>
      <w:r>
        <w:t xml:space="preserve">, f. 2; </w:t>
      </w:r>
      <w:hyperlink w:anchor="AUTO_2015_62" w:history="1">
        <w:r w:rsidRPr="00DD47EB">
          <w:rPr>
            <w:rStyle w:val="TextoNormalCaracter"/>
          </w:rPr>
          <w:t>62/2015</w:t>
        </w:r>
      </w:hyperlink>
      <w:r>
        <w:t xml:space="preserve">, f. 2; </w:t>
      </w:r>
      <w:hyperlink w:anchor="AUTO_2015_69" w:history="1">
        <w:r w:rsidRPr="00DD47EB">
          <w:rPr>
            <w:rStyle w:val="TextoNormalCaracter"/>
          </w:rPr>
          <w:t>69/2015</w:t>
        </w:r>
      </w:hyperlink>
      <w:r>
        <w:t xml:space="preserve">, ff. 3, 4; </w:t>
      </w:r>
      <w:hyperlink w:anchor="AUTO_2015_74" w:history="1">
        <w:r w:rsidRPr="00DD47EB">
          <w:rPr>
            <w:rStyle w:val="TextoNormalCaracter"/>
          </w:rPr>
          <w:t>74/2015</w:t>
        </w:r>
      </w:hyperlink>
      <w:r>
        <w:t xml:space="preserve">, ff. 2, 3; </w:t>
      </w:r>
      <w:hyperlink w:anchor="AUTO_2015_84" w:history="1">
        <w:r w:rsidRPr="00DD47EB">
          <w:rPr>
            <w:rStyle w:val="TextoNormalCaracter"/>
          </w:rPr>
          <w:t>84/2015</w:t>
        </w:r>
      </w:hyperlink>
      <w:r>
        <w:t>, f. 4.</w:t>
      </w:r>
    </w:p>
    <w:p w:rsidR="00DD47EB" w:rsidRDefault="00DD47EB" w:rsidP="00DD47EB">
      <w:pPr>
        <w:pStyle w:val="SangriaFrancesaArticulo"/>
      </w:pPr>
      <w:r w:rsidRPr="00DD47EB">
        <w:rPr>
          <w:rStyle w:val="TextoNormalNegritaCaracter"/>
        </w:rPr>
        <w:t>Artículo 35.2.</w:t>
      </w:r>
      <w:r w:rsidRPr="00DD47EB">
        <w:rPr>
          <w:rStyle w:val="TextoNormalCaracter"/>
        </w:rPr>
        <w:t>-</w:t>
      </w:r>
      <w:r>
        <w:t xml:space="preserve"> Sentencias </w:t>
      </w:r>
      <w:hyperlink w:anchor="SENTENCIA_2015_4" w:history="1">
        <w:r w:rsidRPr="00DD47EB">
          <w:rPr>
            <w:rStyle w:val="TextoNormalCaracter"/>
          </w:rPr>
          <w:t>4/2015</w:t>
        </w:r>
      </w:hyperlink>
      <w:r>
        <w:t xml:space="preserve">, f. 2; </w:t>
      </w:r>
      <w:hyperlink w:anchor="SENTENCIA_2015_41" w:history="1">
        <w:r w:rsidRPr="00DD47EB">
          <w:rPr>
            <w:rStyle w:val="TextoNormalCaracter"/>
          </w:rPr>
          <w:t>41/2015</w:t>
        </w:r>
      </w:hyperlink>
      <w:r>
        <w:t xml:space="preserve">, f. 3; </w:t>
      </w:r>
      <w:hyperlink w:anchor="SENTENCIA_2015_50" w:history="1">
        <w:r w:rsidRPr="00DD47EB">
          <w:rPr>
            <w:rStyle w:val="TextoNormalCaracter"/>
          </w:rPr>
          <w:t>50/2015</w:t>
        </w:r>
      </w:hyperlink>
      <w:r>
        <w:t xml:space="preserve">, f. 2; </w:t>
      </w:r>
      <w:hyperlink w:anchor="SENTENCIA_2015_56" w:history="1">
        <w:r w:rsidRPr="00DD47EB">
          <w:rPr>
            <w:rStyle w:val="TextoNormalCaracter"/>
          </w:rPr>
          <w:t>56/2015</w:t>
        </w:r>
      </w:hyperlink>
      <w:r>
        <w:t xml:space="preserve">, f. 2; </w:t>
      </w:r>
      <w:hyperlink w:anchor="SENTENCIA_2015_79" w:history="1">
        <w:r w:rsidRPr="00DD47EB">
          <w:rPr>
            <w:rStyle w:val="TextoNormalCaracter"/>
          </w:rPr>
          <w:t>79/2015</w:t>
        </w:r>
      </w:hyperlink>
      <w:r>
        <w:t xml:space="preserve">, f. 3; </w:t>
      </w:r>
      <w:hyperlink w:anchor="SENTENCIA_2015_95" w:history="1">
        <w:r w:rsidRPr="00DD47EB">
          <w:rPr>
            <w:rStyle w:val="TextoNormalCaracter"/>
          </w:rPr>
          <w:t>95/2015</w:t>
        </w:r>
      </w:hyperlink>
      <w:r>
        <w:t>, f. 2.</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 2; </w:t>
      </w:r>
      <w:hyperlink w:anchor="AUTO_2015_33" w:history="1">
        <w:r w:rsidRPr="00DD47EB">
          <w:rPr>
            <w:rStyle w:val="TextoNormalCaracter"/>
          </w:rPr>
          <w:t>33/2015</w:t>
        </w:r>
      </w:hyperlink>
      <w:r>
        <w:t xml:space="preserve">, f. 2; </w:t>
      </w:r>
      <w:hyperlink w:anchor="AUTO_2015_34" w:history="1">
        <w:r w:rsidRPr="00DD47EB">
          <w:rPr>
            <w:rStyle w:val="TextoNormalCaracter"/>
          </w:rPr>
          <w:t>34/2015</w:t>
        </w:r>
      </w:hyperlink>
      <w:r>
        <w:t xml:space="preserve">, f. 2; </w:t>
      </w:r>
      <w:hyperlink w:anchor="AUTO_2015_52" w:history="1">
        <w:r w:rsidRPr="00DD47EB">
          <w:rPr>
            <w:rStyle w:val="TextoNormalCaracter"/>
          </w:rPr>
          <w:t>52/2015</w:t>
        </w:r>
      </w:hyperlink>
      <w:r>
        <w:t xml:space="preserve">, f. único; </w:t>
      </w:r>
      <w:hyperlink w:anchor="AUTO_2015_61" w:history="1">
        <w:r w:rsidRPr="00DD47EB">
          <w:rPr>
            <w:rStyle w:val="TextoNormalCaracter"/>
          </w:rPr>
          <w:t>61/2015</w:t>
        </w:r>
      </w:hyperlink>
      <w:r>
        <w:t xml:space="preserve">, f. 2; </w:t>
      </w:r>
      <w:hyperlink w:anchor="AUTO_2015_84" w:history="1">
        <w:r w:rsidRPr="00DD47EB">
          <w:rPr>
            <w:rStyle w:val="TextoNormalCaracter"/>
          </w:rPr>
          <w:t>84/2015</w:t>
        </w:r>
      </w:hyperlink>
      <w:r>
        <w:t>, ff. 2, 3.</w:t>
      </w:r>
    </w:p>
    <w:p w:rsidR="00DD47EB" w:rsidRDefault="00DD47EB" w:rsidP="00DD47EB">
      <w:pPr>
        <w:pStyle w:val="SangriaFrancesaArticulo"/>
      </w:pPr>
      <w:r w:rsidRPr="00DD47EB">
        <w:rPr>
          <w:rStyle w:val="TextoNormalNegritaCaracter"/>
        </w:rPr>
        <w:t>Artículo 35.2</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43" w:history="1">
        <w:r w:rsidRPr="00DD47EB">
          <w:rPr>
            <w:rStyle w:val="TextoNormalCaracter"/>
          </w:rPr>
          <w:t>43/2015</w:t>
        </w:r>
      </w:hyperlink>
      <w:r>
        <w:t>, ff. 2, 2.</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 3; </w:t>
      </w:r>
      <w:hyperlink w:anchor="AUTO_2015_10" w:history="1">
        <w:r w:rsidRPr="00DD47EB">
          <w:rPr>
            <w:rStyle w:val="TextoNormalCaracter"/>
          </w:rPr>
          <w:t>10/2015</w:t>
        </w:r>
      </w:hyperlink>
      <w:r>
        <w:t xml:space="preserve">, f. 3; </w:t>
      </w:r>
      <w:hyperlink w:anchor="AUTO_2015_22" w:history="1">
        <w:r w:rsidRPr="00DD47EB">
          <w:rPr>
            <w:rStyle w:val="TextoNormalCaracter"/>
          </w:rPr>
          <w:t>22/2015</w:t>
        </w:r>
      </w:hyperlink>
      <w:r>
        <w:t xml:space="preserve">, f. 2; </w:t>
      </w:r>
      <w:hyperlink w:anchor="AUTO_2015_38" w:history="1">
        <w:r w:rsidRPr="00DD47EB">
          <w:rPr>
            <w:rStyle w:val="TextoNormalCaracter"/>
          </w:rPr>
          <w:t>38/2015</w:t>
        </w:r>
      </w:hyperlink>
      <w:r>
        <w:t xml:space="preserve">, f. 2; </w:t>
      </w:r>
      <w:hyperlink w:anchor="AUTO_2015_62" w:history="1">
        <w:r w:rsidRPr="00DD47EB">
          <w:rPr>
            <w:rStyle w:val="TextoNormalCaracter"/>
          </w:rPr>
          <w:t>62/2015</w:t>
        </w:r>
      </w:hyperlink>
      <w:r>
        <w:t xml:space="preserve">, f. 2; </w:t>
      </w:r>
      <w:hyperlink w:anchor="AUTO_2015_66" w:history="1">
        <w:r w:rsidRPr="00DD47EB">
          <w:rPr>
            <w:rStyle w:val="TextoNormalCaracter"/>
          </w:rPr>
          <w:t>66/2015</w:t>
        </w:r>
      </w:hyperlink>
      <w:r>
        <w:t xml:space="preserve">, ff. 1 a 3; </w:t>
      </w:r>
      <w:hyperlink w:anchor="AUTO_2015_69" w:history="1">
        <w:r w:rsidRPr="00DD47EB">
          <w:rPr>
            <w:rStyle w:val="TextoNormalCaracter"/>
          </w:rPr>
          <w:t>69/2015</w:t>
        </w:r>
      </w:hyperlink>
      <w:r>
        <w:t xml:space="preserve">, ff. 2 a 4; </w:t>
      </w:r>
      <w:hyperlink w:anchor="AUTO_2015_74" w:history="1">
        <w:r w:rsidRPr="00DD47EB">
          <w:rPr>
            <w:rStyle w:val="TextoNormalCaracter"/>
          </w:rPr>
          <w:t>74/2015</w:t>
        </w:r>
      </w:hyperlink>
      <w:r>
        <w:t xml:space="preserve">, ff. 1 a 3; </w:t>
      </w:r>
      <w:hyperlink w:anchor="AUTO_2015_76" w:history="1">
        <w:r w:rsidRPr="00DD47EB">
          <w:rPr>
            <w:rStyle w:val="TextoNormalCaracter"/>
          </w:rPr>
          <w:t>76/2015</w:t>
        </w:r>
      </w:hyperlink>
      <w:r>
        <w:t>, ff. 3, 4.</w:t>
      </w:r>
    </w:p>
    <w:p w:rsidR="00DD47EB" w:rsidRDefault="00DD47EB" w:rsidP="00DD47EB">
      <w:pPr>
        <w:pStyle w:val="SangriaFrancesaArticulo"/>
      </w:pPr>
      <w:r w:rsidRPr="00DD47EB">
        <w:rPr>
          <w:rStyle w:val="TextoNormalNegritaCaracter"/>
        </w:rPr>
        <w:t>Artículo 37.1.</w:t>
      </w:r>
      <w:r w:rsidRPr="00DD47EB">
        <w:rPr>
          <w:rStyle w:val="TextoNormalCaracter"/>
        </w:rPr>
        <w:t>-</w:t>
      </w:r>
      <w:r>
        <w:t xml:space="preserve"> Sentencias </w:t>
      </w:r>
      <w:hyperlink w:anchor="SENTENCIA_2015_10" w:history="1">
        <w:r w:rsidRPr="00DD47EB">
          <w:rPr>
            <w:rStyle w:val="TextoNormalCaracter"/>
          </w:rPr>
          <w:t>10/2015</w:t>
        </w:r>
      </w:hyperlink>
      <w:r>
        <w:t xml:space="preserve">, f. 2; </w:t>
      </w:r>
      <w:hyperlink w:anchor="SENTENCIA_2015_43" w:history="1">
        <w:r w:rsidRPr="00DD47EB">
          <w:rPr>
            <w:rStyle w:val="TextoNormalCaracter"/>
          </w:rPr>
          <w:t>43/2015</w:t>
        </w:r>
      </w:hyperlink>
      <w:r>
        <w:t xml:space="preserve">, f. 2; </w:t>
      </w:r>
      <w:hyperlink w:anchor="SENTENCIA_2015_50" w:history="1">
        <w:r w:rsidRPr="00DD47EB">
          <w:rPr>
            <w:rStyle w:val="TextoNormalCaracter"/>
          </w:rPr>
          <w:t>50/2015</w:t>
        </w:r>
      </w:hyperlink>
      <w:r>
        <w:t xml:space="preserve">, f. 2; </w:t>
      </w:r>
      <w:hyperlink w:anchor="SENTENCIA_2015_56" w:history="1">
        <w:r w:rsidRPr="00DD47EB">
          <w:rPr>
            <w:rStyle w:val="TextoNormalCaracter"/>
          </w:rPr>
          <w:t>56/2015</w:t>
        </w:r>
      </w:hyperlink>
      <w:r>
        <w:t xml:space="preserve">, f. 2; </w:t>
      </w:r>
      <w:hyperlink w:anchor="SENTENCIA_2015_79" w:history="1">
        <w:r w:rsidRPr="00DD47EB">
          <w:rPr>
            <w:rStyle w:val="TextoNormalCaracter"/>
          </w:rPr>
          <w:t>79/2015</w:t>
        </w:r>
      </w:hyperlink>
      <w:r>
        <w:t xml:space="preserve">, ff. 2, 5; </w:t>
      </w:r>
      <w:hyperlink w:anchor="SENTENCIA_2015_110" w:history="1">
        <w:r w:rsidRPr="00DD47EB">
          <w:rPr>
            <w:rStyle w:val="TextoNormalCaracter"/>
          </w:rPr>
          <w:t>110/2015</w:t>
        </w:r>
      </w:hyperlink>
      <w:r>
        <w:t>, f. 3.</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 2; </w:t>
      </w:r>
      <w:hyperlink w:anchor="AUTO_2015_9" w:history="1">
        <w:r w:rsidRPr="00DD47EB">
          <w:rPr>
            <w:rStyle w:val="TextoNormalCaracter"/>
          </w:rPr>
          <w:t>9/2015</w:t>
        </w:r>
      </w:hyperlink>
      <w:r>
        <w:t xml:space="preserve">, ff. 1, 2, 4; </w:t>
      </w:r>
      <w:hyperlink w:anchor="AUTO_2015_10" w:history="1">
        <w:r w:rsidRPr="00DD47EB">
          <w:rPr>
            <w:rStyle w:val="TextoNormalCaracter"/>
          </w:rPr>
          <w:t>10/2015</w:t>
        </w:r>
      </w:hyperlink>
      <w:r>
        <w:t xml:space="preserve">, ff. 1, 2, 4; </w:t>
      </w:r>
      <w:hyperlink w:anchor="AUTO_2015_20" w:history="1">
        <w:r w:rsidRPr="00DD47EB">
          <w:rPr>
            <w:rStyle w:val="TextoNormalCaracter"/>
          </w:rPr>
          <w:t>20/2015</w:t>
        </w:r>
      </w:hyperlink>
      <w:r>
        <w:t xml:space="preserve">, ff. 1, 5; </w:t>
      </w:r>
      <w:hyperlink w:anchor="AUTO_2015_21" w:history="1">
        <w:r w:rsidRPr="00DD47EB">
          <w:rPr>
            <w:rStyle w:val="TextoNormalCaracter"/>
          </w:rPr>
          <w:t>21/2015</w:t>
        </w:r>
      </w:hyperlink>
      <w:r>
        <w:t xml:space="preserve">, f. 2; </w:t>
      </w:r>
      <w:hyperlink w:anchor="AUTO_2015_33" w:history="1">
        <w:r w:rsidRPr="00DD47EB">
          <w:rPr>
            <w:rStyle w:val="TextoNormalCaracter"/>
          </w:rPr>
          <w:t>33/2015</w:t>
        </w:r>
      </w:hyperlink>
      <w:r>
        <w:t xml:space="preserve">, ff. 1, 2, 6; </w:t>
      </w:r>
      <w:hyperlink w:anchor="AUTO_2015_34" w:history="1">
        <w:r w:rsidRPr="00DD47EB">
          <w:rPr>
            <w:rStyle w:val="TextoNormalCaracter"/>
          </w:rPr>
          <w:t>34/2015</w:t>
        </w:r>
      </w:hyperlink>
      <w:r>
        <w:t xml:space="preserve">, ff. 1, 2, 6; </w:t>
      </w:r>
      <w:hyperlink w:anchor="AUTO_2015_35" w:history="1">
        <w:r w:rsidRPr="00DD47EB">
          <w:rPr>
            <w:rStyle w:val="TextoNormalCaracter"/>
          </w:rPr>
          <w:t>35/2015</w:t>
        </w:r>
      </w:hyperlink>
      <w:r>
        <w:t xml:space="preserve">, ff. 1 a 3; </w:t>
      </w:r>
      <w:hyperlink w:anchor="AUTO_2015_36" w:history="1">
        <w:r w:rsidRPr="00DD47EB">
          <w:rPr>
            <w:rStyle w:val="TextoNormalCaracter"/>
          </w:rPr>
          <w:t>36/2015</w:t>
        </w:r>
      </w:hyperlink>
      <w:r>
        <w:t xml:space="preserve">, f. 2; </w:t>
      </w:r>
      <w:hyperlink w:anchor="AUTO_2015_37" w:history="1">
        <w:r w:rsidRPr="00DD47EB">
          <w:rPr>
            <w:rStyle w:val="TextoNormalCaracter"/>
          </w:rPr>
          <w:t>37/2015</w:t>
        </w:r>
      </w:hyperlink>
      <w:r>
        <w:t xml:space="preserve">, f. 2; </w:t>
      </w:r>
      <w:hyperlink w:anchor="AUTO_2015_52" w:history="1">
        <w:r w:rsidRPr="00DD47EB">
          <w:rPr>
            <w:rStyle w:val="TextoNormalCaracter"/>
          </w:rPr>
          <w:t>52/2015</w:t>
        </w:r>
      </w:hyperlink>
      <w:r>
        <w:t xml:space="preserve">, f. único; </w:t>
      </w:r>
      <w:hyperlink w:anchor="AUTO_2015_60" w:history="1">
        <w:r w:rsidRPr="00DD47EB">
          <w:rPr>
            <w:rStyle w:val="TextoNormalCaracter"/>
          </w:rPr>
          <w:t>60/2015</w:t>
        </w:r>
      </w:hyperlink>
      <w:r>
        <w:t xml:space="preserve">, f. único; </w:t>
      </w:r>
      <w:hyperlink w:anchor="AUTO_2015_61" w:history="1">
        <w:r w:rsidRPr="00DD47EB">
          <w:rPr>
            <w:rStyle w:val="TextoNormalCaracter"/>
          </w:rPr>
          <w:t>61/2015</w:t>
        </w:r>
      </w:hyperlink>
      <w:r>
        <w:t xml:space="preserve">, f. 2; </w:t>
      </w:r>
      <w:hyperlink w:anchor="AUTO_2015_66" w:history="1">
        <w:r w:rsidRPr="00DD47EB">
          <w:rPr>
            <w:rStyle w:val="TextoNormalCaracter"/>
          </w:rPr>
          <w:t>66/2015</w:t>
        </w:r>
      </w:hyperlink>
      <w:r>
        <w:t xml:space="preserve">, f. 2; </w:t>
      </w:r>
      <w:hyperlink w:anchor="AUTO_2015_69" w:history="1">
        <w:r w:rsidRPr="00DD47EB">
          <w:rPr>
            <w:rStyle w:val="TextoNormalCaracter"/>
          </w:rPr>
          <w:t>69/2015</w:t>
        </w:r>
      </w:hyperlink>
      <w:r>
        <w:t xml:space="preserve">, ff. 1, 2; </w:t>
      </w:r>
      <w:hyperlink w:anchor="AUTO_2015_74" w:history="1">
        <w:r w:rsidRPr="00DD47EB">
          <w:rPr>
            <w:rStyle w:val="TextoNormalCaracter"/>
          </w:rPr>
          <w:t>74/2015</w:t>
        </w:r>
      </w:hyperlink>
      <w:r>
        <w:t xml:space="preserve">, f. 2; </w:t>
      </w:r>
      <w:hyperlink w:anchor="AUTO_2015_76" w:history="1">
        <w:r w:rsidRPr="00DD47EB">
          <w:rPr>
            <w:rStyle w:val="TextoNormalCaracter"/>
          </w:rPr>
          <w:t>76/2015</w:t>
        </w:r>
      </w:hyperlink>
      <w:r>
        <w:t xml:space="preserve">, ff. 1, 2, 4; </w:t>
      </w:r>
      <w:hyperlink w:anchor="AUTO_2015_84" w:history="1">
        <w:r w:rsidRPr="00DD47EB">
          <w:rPr>
            <w:rStyle w:val="TextoNormalCaracter"/>
          </w:rPr>
          <w:t>84/2015</w:t>
        </w:r>
      </w:hyperlink>
      <w:r>
        <w:t xml:space="preserve">, f. 3; </w:t>
      </w:r>
      <w:hyperlink w:anchor="AUTO_2015_97" w:history="1">
        <w:r w:rsidRPr="00DD47EB">
          <w:rPr>
            <w:rStyle w:val="TextoNormalCaracter"/>
          </w:rPr>
          <w:t>97/2015</w:t>
        </w:r>
      </w:hyperlink>
      <w:r>
        <w:t xml:space="preserve">, ff. 1, 2, 5; </w:t>
      </w:r>
      <w:hyperlink w:anchor="AUTO_2015_101" w:history="1">
        <w:r w:rsidRPr="00DD47EB">
          <w:rPr>
            <w:rStyle w:val="TextoNormalCaracter"/>
          </w:rPr>
          <w:t>101/2015</w:t>
        </w:r>
      </w:hyperlink>
      <w:r>
        <w:t xml:space="preserve">, f. 2; </w:t>
      </w:r>
      <w:hyperlink w:anchor="AUTO_2015_103" w:history="1">
        <w:r w:rsidRPr="00DD47EB">
          <w:rPr>
            <w:rStyle w:val="TextoNormalCaracter"/>
          </w:rPr>
          <w:t>103/2015</w:t>
        </w:r>
      </w:hyperlink>
      <w:r>
        <w:t xml:space="preserve">, ff. 1 a 3; </w:t>
      </w:r>
      <w:hyperlink w:anchor="AUTO_2015_111" w:history="1">
        <w:r w:rsidRPr="00DD47EB">
          <w:rPr>
            <w:rStyle w:val="TextoNormalCaracter"/>
          </w:rPr>
          <w:t>111/2015</w:t>
        </w:r>
      </w:hyperlink>
      <w:r>
        <w:t xml:space="preserve">, ff. 1, 2; </w:t>
      </w:r>
      <w:hyperlink w:anchor="AUTO_2015_112" w:history="1">
        <w:r w:rsidRPr="00DD47EB">
          <w:rPr>
            <w:rStyle w:val="TextoNormalCaracter"/>
          </w:rPr>
          <w:t>112/2015</w:t>
        </w:r>
      </w:hyperlink>
      <w:r>
        <w:t>, ff. 1, 4.</w:t>
      </w:r>
    </w:p>
    <w:p w:rsidR="00DD47EB" w:rsidRDefault="00DD47EB" w:rsidP="00DD47EB">
      <w:pPr>
        <w:pStyle w:val="SangriaFrancesaArticulo"/>
      </w:pPr>
      <w:r w:rsidRPr="00DD47EB">
        <w:rPr>
          <w:rStyle w:val="TextoNormalNegritaCaracter"/>
        </w:rPr>
        <w:t>Artículo 37.2</w:t>
      </w:r>
      <w:r>
        <w:t xml:space="preserve"> (redactado por la Ley Orgánica 6/2007, de 24 de mayo)</w:t>
      </w:r>
      <w:r w:rsidRPr="00DD47EB">
        <w:rPr>
          <w:rStyle w:val="TextoNormalNegritaCaracter"/>
        </w:rPr>
        <w:t>.</w:t>
      </w:r>
      <w:r w:rsidRPr="00DD47EB">
        <w:rPr>
          <w:rStyle w:val="TextoNormalCaracter"/>
        </w:rPr>
        <w:t>-</w:t>
      </w:r>
      <w:r>
        <w:t xml:space="preserve"> Autos </w:t>
      </w:r>
      <w:hyperlink w:anchor="AUTO_2015_33" w:history="1">
        <w:r w:rsidRPr="00DD47EB">
          <w:rPr>
            <w:rStyle w:val="TextoNormalCaracter"/>
          </w:rPr>
          <w:t>33/2015</w:t>
        </w:r>
      </w:hyperlink>
      <w:r>
        <w:t xml:space="preserve">, f. 2; </w:t>
      </w:r>
      <w:hyperlink w:anchor="AUTO_2015_34" w:history="1">
        <w:r w:rsidRPr="00DD47EB">
          <w:rPr>
            <w:rStyle w:val="TextoNormalCaracter"/>
          </w:rPr>
          <w:t>34/2015</w:t>
        </w:r>
      </w:hyperlink>
      <w:r>
        <w:t>.</w:t>
      </w:r>
    </w:p>
    <w:p w:rsidR="00DD47EB" w:rsidRDefault="00DD47EB" w:rsidP="00DD47EB">
      <w:pPr>
        <w:pStyle w:val="SangriaFrancesaArticulo"/>
      </w:pPr>
      <w:r w:rsidRPr="00DD47EB">
        <w:rPr>
          <w:rStyle w:val="TextoNormalNegritaCaracter"/>
        </w:rPr>
        <w:t>Artículo 38.1.</w:t>
      </w:r>
      <w:r w:rsidRPr="00DD47EB">
        <w:rPr>
          <w:rStyle w:val="TextoNormalCaracter"/>
        </w:rPr>
        <w:t>-</w:t>
      </w:r>
      <w:r>
        <w:t xml:space="preserve"> 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39.1.</w:t>
      </w:r>
      <w:r w:rsidRPr="00DD47EB">
        <w:rPr>
          <w:rStyle w:val="TextoNormalCaracter"/>
        </w:rPr>
        <w:t>-</w:t>
      </w:r>
      <w:r>
        <w:t xml:space="preserve"> Sentencias </w:t>
      </w:r>
      <w:hyperlink w:anchor="SENTENCIA_2015_13" w:history="1">
        <w:r w:rsidRPr="00DD47EB">
          <w:rPr>
            <w:rStyle w:val="TextoNormalCaracter"/>
          </w:rPr>
          <w:t>13/2015</w:t>
        </w:r>
      </w:hyperlink>
      <w:r>
        <w:t xml:space="preserve">, f. 5; </w:t>
      </w:r>
      <w:hyperlink w:anchor="SENTENCIA_2015_15" w:history="1">
        <w:r w:rsidRPr="00DD47EB">
          <w:rPr>
            <w:rStyle w:val="TextoNormalCaracter"/>
          </w:rPr>
          <w:t>15/2015</w:t>
        </w:r>
      </w:hyperlink>
      <w:r>
        <w:t xml:space="preserve">, f. 2; </w:t>
      </w:r>
      <w:hyperlink w:anchor="SENTENCIA_2015_83" w:history="1">
        <w:r w:rsidRPr="00DD47EB">
          <w:rPr>
            <w:rStyle w:val="TextoNormalCaracter"/>
          </w:rPr>
          <w:t>83/2015</w:t>
        </w:r>
      </w:hyperlink>
      <w:r>
        <w:t xml:space="preserve">, f. 2; </w:t>
      </w:r>
      <w:hyperlink w:anchor="SENTENCIA_2015_94" w:history="1">
        <w:r w:rsidRPr="00DD47EB">
          <w:rPr>
            <w:rStyle w:val="TextoNormalCaracter"/>
          </w:rPr>
          <w:t>94/2015</w:t>
        </w:r>
      </w:hyperlink>
      <w:r>
        <w:t xml:space="preserve">, f. 6; </w:t>
      </w:r>
      <w:hyperlink w:anchor="SENTENCIA_2015_137" w:history="1">
        <w:r w:rsidRPr="00DD47EB">
          <w:rPr>
            <w:rStyle w:val="TextoNormalCaracter"/>
          </w:rPr>
          <w:t>137/2015</w:t>
        </w:r>
      </w:hyperlink>
      <w:r>
        <w:t xml:space="preserve">, ff. 3, 8; </w:t>
      </w:r>
      <w:hyperlink w:anchor="SENTENCIA_2015_147" w:history="1">
        <w:r w:rsidRPr="00DD47EB">
          <w:rPr>
            <w:rStyle w:val="TextoNormalCaracter"/>
          </w:rPr>
          <w:t>147/2015</w:t>
        </w:r>
      </w:hyperlink>
      <w:r>
        <w:t>, f. 4.</w:t>
      </w:r>
    </w:p>
    <w:p w:rsidR="00DD47EB" w:rsidRDefault="00DD47EB" w:rsidP="00DD47EB">
      <w:pPr>
        <w:pStyle w:val="SangriaFrancesaArticulo"/>
      </w:pPr>
      <w:r w:rsidRPr="00DD47EB">
        <w:rPr>
          <w:rStyle w:val="TextoNormalNegritaCaracter"/>
        </w:rPr>
        <w:t>Artículo 40.</w:t>
      </w:r>
      <w:r w:rsidRPr="00DD47EB">
        <w:rPr>
          <w:rStyle w:val="TextoNormalCaracter"/>
        </w:rPr>
        <w:t>-</w:t>
      </w:r>
      <w:r>
        <w:t xml:space="preserve"> Sentencia </w:t>
      </w:r>
      <w:hyperlink w:anchor="SENTENCIA_2015_28" w:history="1">
        <w:r w:rsidRPr="00DD47EB">
          <w:rPr>
            <w:rStyle w:val="TextoNormalCaracter"/>
          </w:rPr>
          <w:t>28/2015</w:t>
        </w:r>
      </w:hyperlink>
      <w:r>
        <w:t>, f. 2.</w:t>
      </w:r>
    </w:p>
    <w:p w:rsidR="00DD47EB" w:rsidRDefault="00DD47EB" w:rsidP="00DD47EB">
      <w:pPr>
        <w:pStyle w:val="SangriaFrancesaArticulo"/>
      </w:pPr>
      <w:r w:rsidRPr="00DD47EB">
        <w:rPr>
          <w:rStyle w:val="TextoNormalNegritaCaracter"/>
        </w:rPr>
        <w:t>Artículo 40.1.</w:t>
      </w:r>
      <w:r w:rsidRPr="00DD47EB">
        <w:rPr>
          <w:rStyle w:val="TextoNormalCaracter"/>
        </w:rPr>
        <w:t>-</w:t>
      </w:r>
      <w:r>
        <w:t xml:space="preserve"> Sentencias </w:t>
      </w:r>
      <w:hyperlink w:anchor="SENTENCIA_2015_27" w:history="1">
        <w:r w:rsidRPr="00DD47EB">
          <w:rPr>
            <w:rStyle w:val="TextoNormalCaracter"/>
          </w:rPr>
          <w:t>27/2015</w:t>
        </w:r>
      </w:hyperlink>
      <w:r>
        <w:t xml:space="preserve">, f. 7; </w:t>
      </w:r>
      <w:hyperlink w:anchor="SENTENCIA_2015_47" w:history="1">
        <w:r w:rsidRPr="00DD47EB">
          <w:rPr>
            <w:rStyle w:val="TextoNormalCaracter"/>
          </w:rPr>
          <w:t>47/2015</w:t>
        </w:r>
      </w:hyperlink>
      <w:r>
        <w:t xml:space="preserve">, f. 2; </w:t>
      </w:r>
      <w:hyperlink w:anchor="SENTENCIA_2015_60" w:history="1">
        <w:r w:rsidRPr="00DD47EB">
          <w:rPr>
            <w:rStyle w:val="TextoNormalCaracter"/>
          </w:rPr>
          <w:t>60/2015</w:t>
        </w:r>
      </w:hyperlink>
      <w:r>
        <w:t xml:space="preserve">, f. 6; </w:t>
      </w:r>
      <w:hyperlink w:anchor="SENTENCIA_2015_105" w:history="1">
        <w:r w:rsidRPr="00DD47EB">
          <w:rPr>
            <w:rStyle w:val="TextoNormalCaracter"/>
          </w:rPr>
          <w:t>105/2015</w:t>
        </w:r>
      </w:hyperlink>
      <w:r>
        <w:t xml:space="preserve">, f. 2; </w:t>
      </w:r>
      <w:hyperlink w:anchor="SENTENCIA_2015_106" w:history="1">
        <w:r w:rsidRPr="00DD47EB">
          <w:rPr>
            <w:rStyle w:val="TextoNormalCaracter"/>
          </w:rPr>
          <w:t>106/2015</w:t>
        </w:r>
      </w:hyperlink>
      <w:r>
        <w:t xml:space="preserve">, f. 2; </w:t>
      </w:r>
      <w:hyperlink w:anchor="SENTENCIA_2015_136" w:history="1">
        <w:r w:rsidRPr="00DD47EB">
          <w:rPr>
            <w:rStyle w:val="TextoNormalCaracter"/>
          </w:rPr>
          <w:t>136/2015</w:t>
        </w:r>
      </w:hyperlink>
      <w:r>
        <w:t xml:space="preserve">, f. 2; </w:t>
      </w:r>
      <w:hyperlink w:anchor="SENTENCIA_2015_143" w:history="1">
        <w:r w:rsidRPr="00DD47EB">
          <w:rPr>
            <w:rStyle w:val="TextoNormalCaracter"/>
          </w:rPr>
          <w:t>143/2015</w:t>
        </w:r>
      </w:hyperlink>
      <w:r>
        <w:t>, f. 3.</w:t>
      </w:r>
    </w:p>
    <w:p w:rsidR="00DD47EB" w:rsidRDefault="00DD47EB" w:rsidP="00DD47EB">
      <w:pPr>
        <w:pStyle w:val="SangriaFrancesaArticulo"/>
      </w:pPr>
      <w:r w:rsidRPr="00DD47EB">
        <w:rPr>
          <w:rStyle w:val="TextoNormalNegritaCaracter"/>
        </w:rPr>
        <w:t>Artículo 40.2.</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Sentencias </w:t>
      </w:r>
      <w:hyperlink w:anchor="SENTENCIA_2015_53" w:history="1">
        <w:r w:rsidRPr="00DD47EB">
          <w:rPr>
            <w:rStyle w:val="TextoNormalCaracter"/>
          </w:rPr>
          <w:t>53/2015</w:t>
        </w:r>
      </w:hyperlink>
      <w:r>
        <w:t xml:space="preserve">, f. 1; </w:t>
      </w:r>
      <w:hyperlink w:anchor="SENTENCIA_2015_54" w:history="1">
        <w:r w:rsidRPr="00DD47EB">
          <w:rPr>
            <w:rStyle w:val="TextoNormalCaracter"/>
          </w:rPr>
          <w:t>54/2015</w:t>
        </w:r>
      </w:hyperlink>
      <w:r>
        <w:t>, f. 4.</w:t>
      </w:r>
    </w:p>
    <w:p w:rsidR="00DD47EB" w:rsidRDefault="00DD47EB" w:rsidP="00DD47EB">
      <w:pPr>
        <w:pStyle w:val="SangriaFrancesaArticulo"/>
      </w:pPr>
      <w:r w:rsidRPr="00DD47EB">
        <w:rPr>
          <w:rStyle w:val="TextoNormalNegritaCaracter"/>
        </w:rPr>
        <w:t>Artículo 41.3.</w:t>
      </w:r>
      <w:r w:rsidRPr="00DD47EB">
        <w:rPr>
          <w:rStyle w:val="TextoNormalCaracter"/>
        </w:rPr>
        <w:t>-</w:t>
      </w:r>
      <w:r>
        <w:t xml:space="preserve"> Autos </w:t>
      </w:r>
      <w:hyperlink w:anchor="AUTO_2015_1" w:history="1">
        <w:r w:rsidRPr="00DD47EB">
          <w:rPr>
            <w:rStyle w:val="TextoNormalCaracter"/>
          </w:rPr>
          <w:t>1/2015</w:t>
        </w:r>
      </w:hyperlink>
      <w:r>
        <w:t xml:space="preserve">, f. único; </w:t>
      </w:r>
      <w:hyperlink w:anchor="AUTO_2015_12" w:history="1">
        <w:r w:rsidRPr="00DD47EB">
          <w:rPr>
            <w:rStyle w:val="TextoNormalCaracter"/>
          </w:rPr>
          <w:t>12/2015</w:t>
        </w:r>
      </w:hyperlink>
      <w:r>
        <w:t xml:space="preserve">, f. único; </w:t>
      </w:r>
      <w:hyperlink w:anchor="AUTO_2015_39" w:history="1">
        <w:r w:rsidRPr="00DD47EB">
          <w:rPr>
            <w:rStyle w:val="TextoNormalCaracter"/>
          </w:rPr>
          <w:t>39/2015</w:t>
        </w:r>
      </w:hyperlink>
      <w:r>
        <w:t xml:space="preserve">, f. único; </w:t>
      </w:r>
      <w:hyperlink w:anchor="AUTO_2015_40" w:history="1">
        <w:r w:rsidRPr="00DD47EB">
          <w:rPr>
            <w:rStyle w:val="TextoNormalCaracter"/>
          </w:rPr>
          <w:t>40/2015</w:t>
        </w:r>
      </w:hyperlink>
      <w:r>
        <w:t xml:space="preserve">, f. único; </w:t>
      </w:r>
      <w:hyperlink w:anchor="AUTO_2015_41" w:history="1">
        <w:r w:rsidRPr="00DD47EB">
          <w:rPr>
            <w:rStyle w:val="TextoNormalCaracter"/>
          </w:rPr>
          <w:t>41/2015</w:t>
        </w:r>
      </w:hyperlink>
      <w:r>
        <w:t xml:space="preserve">, f. único; </w:t>
      </w:r>
      <w:hyperlink w:anchor="AUTO_2015_71" w:history="1">
        <w:r w:rsidRPr="00DD47EB">
          <w:rPr>
            <w:rStyle w:val="TextoNormalCaracter"/>
          </w:rPr>
          <w:t>71/2015</w:t>
        </w:r>
      </w:hyperlink>
      <w:r>
        <w:t xml:space="preserve">, f. único; </w:t>
      </w:r>
      <w:hyperlink w:anchor="AUTO_2015_85" w:history="1">
        <w:r w:rsidRPr="00DD47EB">
          <w:rPr>
            <w:rStyle w:val="TextoNormalCaracter"/>
          </w:rPr>
          <w:t>85/2015</w:t>
        </w:r>
      </w:hyperlink>
      <w:r>
        <w:t xml:space="preserve">, f. único; </w:t>
      </w:r>
      <w:hyperlink w:anchor="AUTO_2015_104" w:history="1">
        <w:r w:rsidRPr="00DD47EB">
          <w:rPr>
            <w:rStyle w:val="TextoNormalCaracter"/>
          </w:rPr>
          <w:t>104/2015</w:t>
        </w:r>
      </w:hyperlink>
      <w:r>
        <w:t xml:space="preserve">, f. único; </w:t>
      </w:r>
      <w:hyperlink w:anchor="AUTO_2015_105" w:history="1">
        <w:r w:rsidRPr="00DD47EB">
          <w:rPr>
            <w:rStyle w:val="TextoNormalCaracter"/>
          </w:rPr>
          <w:t>105/2015</w:t>
        </w:r>
      </w:hyperlink>
      <w:r>
        <w:t xml:space="preserve">, f. único; </w:t>
      </w:r>
      <w:hyperlink w:anchor="AUTO_2015_108" w:history="1">
        <w:r w:rsidRPr="00DD47EB">
          <w:rPr>
            <w:rStyle w:val="TextoNormalCaracter"/>
          </w:rPr>
          <w:t>108/2015</w:t>
        </w:r>
      </w:hyperlink>
      <w:r>
        <w:t xml:space="preserve">, f. único; </w:t>
      </w:r>
      <w:hyperlink w:anchor="AUTO_2015_113" w:history="1">
        <w:r w:rsidRPr="00DD47EB">
          <w:rPr>
            <w:rStyle w:val="TextoNormalCaracter"/>
          </w:rPr>
          <w:t>113/2015</w:t>
        </w:r>
      </w:hyperlink>
      <w:r>
        <w:t>, f. único.</w:t>
      </w:r>
    </w:p>
    <w:p w:rsidR="00DD47EB" w:rsidRDefault="00DD47EB" w:rsidP="00DD47EB">
      <w:pPr>
        <w:pStyle w:val="SangriaFrancesaArticulo"/>
      </w:pPr>
      <w:r w:rsidRPr="00DD47EB">
        <w:rPr>
          <w:rStyle w:val="TextoNormalNegritaCaracter"/>
        </w:rPr>
        <w:t>Artículos 41 a 46.</w:t>
      </w:r>
      <w:r w:rsidRPr="00DD47EB">
        <w:rPr>
          <w:rStyle w:val="TextoNormalCaracter"/>
        </w:rPr>
        <w:t>-</w:t>
      </w:r>
      <w:r>
        <w:t xml:space="preserve"> Sentencia </w:t>
      </w:r>
      <w:hyperlink w:anchor="SENTENCIA_2015_124" w:history="1">
        <w:r w:rsidRPr="00DD47EB">
          <w:rPr>
            <w:rStyle w:val="TextoNormalCaracter"/>
          </w:rPr>
          <w:t>124/2015</w:t>
        </w:r>
      </w:hyperlink>
      <w:r>
        <w:t>, f. 2.</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Sentencias </w:t>
      </w:r>
      <w:hyperlink w:anchor="SENTENCIA_2015_1" w:history="1">
        <w:r w:rsidRPr="00DD47EB">
          <w:rPr>
            <w:rStyle w:val="TextoNormalCaracter"/>
          </w:rPr>
          <w:t>1/2015</w:t>
        </w:r>
      </w:hyperlink>
      <w:r>
        <w:t xml:space="preserve">, f. 2; </w:t>
      </w:r>
      <w:hyperlink w:anchor="SENTENCIA_2015_23" w:history="1">
        <w:r w:rsidRPr="00DD47EB">
          <w:rPr>
            <w:rStyle w:val="TextoNormalCaracter"/>
          </w:rPr>
          <w:t>23/2015</w:t>
        </w:r>
      </w:hyperlink>
      <w:r>
        <w:t xml:space="preserve">, ff. 2,3; </w:t>
      </w:r>
      <w:hyperlink w:anchor="SENTENCIA_2015_54" w:history="1">
        <w:r w:rsidRPr="00DD47EB">
          <w:rPr>
            <w:rStyle w:val="TextoNormalCaracter"/>
          </w:rPr>
          <w:t>54/2015</w:t>
        </w:r>
      </w:hyperlink>
      <w:r>
        <w:t>, f. 4.</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Sentencias </w:t>
      </w:r>
      <w:hyperlink w:anchor="SENTENCIA_2015_24" w:history="1">
        <w:r w:rsidRPr="00DD47EB">
          <w:rPr>
            <w:rStyle w:val="TextoNormalCaracter"/>
          </w:rPr>
          <w:t>24/2015</w:t>
        </w:r>
      </w:hyperlink>
      <w:r>
        <w:t xml:space="preserve">, f. 1; </w:t>
      </w:r>
      <w:hyperlink w:anchor="SENTENCIA_2015_54" w:history="1">
        <w:r w:rsidRPr="00DD47EB">
          <w:rPr>
            <w:rStyle w:val="TextoNormalCaracter"/>
          </w:rPr>
          <w:t>54/2015</w:t>
        </w:r>
      </w:hyperlink>
      <w:r>
        <w:t xml:space="preserve">, f. 4; </w:t>
      </w:r>
      <w:hyperlink w:anchor="SENTENCIA_2015_145" w:history="1">
        <w:r w:rsidRPr="00DD47EB">
          <w:rPr>
            <w:rStyle w:val="TextoNormalCaracter"/>
          </w:rPr>
          <w:t>145/2015</w:t>
        </w:r>
      </w:hyperlink>
      <w:r>
        <w:t>, f. 2.</w:t>
      </w:r>
    </w:p>
    <w:p w:rsidR="00DD47EB" w:rsidRDefault="00DD47EB" w:rsidP="00DD47EB">
      <w:pPr>
        <w:pStyle w:val="SangriaFrancesaArticulo"/>
      </w:pPr>
      <w:r w:rsidRPr="00DD47EB">
        <w:rPr>
          <w:rStyle w:val="TextoNormalNegritaCaracter"/>
        </w:rPr>
        <w:t>Artículo 43</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IzquierdaArticulo"/>
      </w:pPr>
      <w:r>
        <w:t xml:space="preserve">Autos </w:t>
      </w:r>
      <w:hyperlink w:anchor="AUTO_2015_82" w:history="1">
        <w:r w:rsidRPr="00DD47EB">
          <w:rPr>
            <w:rStyle w:val="TextoNormalCaracter"/>
          </w:rPr>
          <w:t>82/2015</w:t>
        </w:r>
      </w:hyperlink>
      <w:r>
        <w:t xml:space="preserve">, f. 2; </w:t>
      </w:r>
      <w:hyperlink w:anchor="AUTO_2015_99" w:history="1">
        <w:r w:rsidRPr="00DD47EB">
          <w:rPr>
            <w:rStyle w:val="TextoNormalCaracter"/>
          </w:rPr>
          <w:t>99/2015</w:t>
        </w:r>
      </w:hyperlink>
      <w:r>
        <w:t>, ff. 2, 3.</w:t>
      </w:r>
    </w:p>
    <w:p w:rsidR="00DD47EB" w:rsidRDefault="00DD47EB" w:rsidP="00DD47EB">
      <w:pPr>
        <w:pStyle w:val="SangriaFrancesaArticulo"/>
      </w:pPr>
      <w:r w:rsidRPr="00DD47EB">
        <w:rPr>
          <w:rStyle w:val="TextoNormalNegritaCaracter"/>
        </w:rPr>
        <w:t>Artículo 43.2.</w:t>
      </w:r>
      <w:r w:rsidRPr="00DD47EB">
        <w:rPr>
          <w:rStyle w:val="TextoNormalCaracter"/>
        </w:rPr>
        <w:t>-</w:t>
      </w:r>
      <w:r>
        <w:t xml:space="preserve"> Sentencia </w:t>
      </w:r>
      <w:hyperlink w:anchor="SENTENCIA_2015_145" w:history="1">
        <w:r w:rsidRPr="00DD47EB">
          <w:rPr>
            <w:rStyle w:val="TextoNormalCaracter"/>
          </w:rPr>
          <w:t>145/2015</w:t>
        </w:r>
      </w:hyperlink>
      <w:r>
        <w:t>, f. 2.</w:t>
      </w:r>
    </w:p>
    <w:p w:rsidR="00DD47EB" w:rsidRDefault="00DD47EB" w:rsidP="00DD47EB">
      <w:pPr>
        <w:pStyle w:val="SangriaFrancesaArticulo"/>
      </w:pPr>
      <w:r w:rsidRPr="00DD47EB">
        <w:rPr>
          <w:rStyle w:val="TextoNormalNegritaCaracter"/>
        </w:rPr>
        <w:t>Artículo 43.2</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IzquierdaArticulo"/>
      </w:pPr>
      <w:r>
        <w:t xml:space="preserve">Auto </w:t>
      </w:r>
      <w:hyperlink w:anchor="AUTO_2015_73" w:history="1">
        <w:r w:rsidRPr="00DD47EB">
          <w:rPr>
            <w:rStyle w:val="TextoNormalCaracter"/>
          </w:rPr>
          <w:t>73/2015</w:t>
        </w:r>
      </w:hyperlink>
      <w:r>
        <w:t>, f. 3.</w:t>
      </w:r>
    </w:p>
    <w:p w:rsidR="00DD47EB" w:rsidRDefault="00DD47EB" w:rsidP="00DD47EB">
      <w:pPr>
        <w:pStyle w:val="SangriaFrancesaArticulo"/>
      </w:pPr>
      <w:r w:rsidRPr="00DD47EB">
        <w:rPr>
          <w:rStyle w:val="TextoNormalNegritaCaracter"/>
        </w:rPr>
        <w:t>Artículo 44.</w:t>
      </w:r>
      <w:r w:rsidRPr="00DD47EB">
        <w:rPr>
          <w:rStyle w:val="TextoNormalCaracter"/>
        </w:rPr>
        <w:t>-</w:t>
      </w:r>
      <w:r>
        <w:t xml:space="preserve"> Sentencias </w:t>
      </w:r>
      <w:hyperlink w:anchor="SENTENCIA_2015_54" w:history="1">
        <w:r w:rsidRPr="00DD47EB">
          <w:rPr>
            <w:rStyle w:val="TextoNormalCaracter"/>
          </w:rPr>
          <w:t>54/2015</w:t>
        </w:r>
      </w:hyperlink>
      <w:r>
        <w:t xml:space="preserve">, f. 4; </w:t>
      </w:r>
      <w:hyperlink w:anchor="SENTENCIA_2015_145" w:history="1">
        <w:r w:rsidRPr="00DD47EB">
          <w:rPr>
            <w:rStyle w:val="TextoNormalCaracter"/>
          </w:rPr>
          <w:t>145/2015</w:t>
        </w:r>
      </w:hyperlink>
      <w:r>
        <w:t>, f. 2.</w:t>
      </w:r>
    </w:p>
    <w:p w:rsidR="00DD47EB" w:rsidRDefault="00DD47EB" w:rsidP="00DD47EB">
      <w:pPr>
        <w:pStyle w:val="SangriaFrancesaArticulo"/>
      </w:pPr>
      <w:r w:rsidRPr="00DD47EB">
        <w:rPr>
          <w:rStyle w:val="TextoNormalNegritaCaracter"/>
        </w:rPr>
        <w:t>Artículo 44</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IzquierdaArticulo"/>
      </w:pPr>
      <w:r>
        <w:t xml:space="preserve">Autos </w:t>
      </w:r>
      <w:hyperlink w:anchor="AUTO_2015_82" w:history="1">
        <w:r w:rsidRPr="00DD47EB">
          <w:rPr>
            <w:rStyle w:val="TextoNormalCaracter"/>
          </w:rPr>
          <w:t>82/2015</w:t>
        </w:r>
      </w:hyperlink>
      <w:r>
        <w:t xml:space="preserve">, f. 2; </w:t>
      </w:r>
      <w:hyperlink w:anchor="AUTO_2015_99" w:history="1">
        <w:r w:rsidRPr="00DD47EB">
          <w:rPr>
            <w:rStyle w:val="TextoNormalCaracter"/>
          </w:rPr>
          <w:t>99/2015</w:t>
        </w:r>
      </w:hyperlink>
      <w:r>
        <w:t>, ff. 2, 3.</w:t>
      </w:r>
    </w:p>
    <w:p w:rsidR="00DD47EB" w:rsidRDefault="00DD47EB" w:rsidP="00DD47EB">
      <w:pPr>
        <w:pStyle w:val="SangriaFrancesaArticulo"/>
      </w:pPr>
      <w:r w:rsidRPr="00DD47EB">
        <w:rPr>
          <w:rStyle w:val="TextoNormalNegritaCaracter"/>
        </w:rPr>
        <w:t>Artículo 44.1</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FrancesaArticulo"/>
      </w:pPr>
      <w:r w:rsidRPr="00DD47EB">
        <w:rPr>
          <w:rStyle w:val="TextoNormalNegritaCaracter"/>
        </w:rPr>
        <w:t>Artículo 44.1 a).</w:t>
      </w:r>
      <w:r w:rsidRPr="00DD47EB">
        <w:rPr>
          <w:rStyle w:val="TextoNormalCaracter"/>
        </w:rPr>
        <w:t>-</w:t>
      </w:r>
      <w:r>
        <w:t xml:space="preserve"> Sentencias </w:t>
      </w:r>
      <w:hyperlink w:anchor="SENTENCIA_2015_63" w:history="1">
        <w:r w:rsidRPr="00DD47EB">
          <w:rPr>
            <w:rStyle w:val="TextoNormalCaracter"/>
          </w:rPr>
          <w:t>63/2015</w:t>
        </w:r>
      </w:hyperlink>
      <w:r>
        <w:t xml:space="preserve">, f. 2; </w:t>
      </w:r>
      <w:hyperlink w:anchor="SENTENCIA_2015_145" w:history="1">
        <w:r w:rsidRPr="00DD47EB">
          <w:rPr>
            <w:rStyle w:val="TextoNormalCaracter"/>
          </w:rPr>
          <w:t>145/2015</w:t>
        </w:r>
      </w:hyperlink>
      <w:r>
        <w:t>, f. 2.</w:t>
      </w:r>
    </w:p>
    <w:p w:rsidR="00DD47EB" w:rsidRDefault="00DD47EB" w:rsidP="00DD47EB">
      <w:pPr>
        <w:pStyle w:val="SangriaFrancesaArticulo"/>
      </w:pPr>
      <w:r w:rsidRPr="00DD47EB">
        <w:rPr>
          <w:rStyle w:val="TextoNormalNegritaCaracter"/>
        </w:rPr>
        <w:t>Artículo 44.1 a)</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IzquierdaArticulo"/>
      </w:pPr>
      <w:r>
        <w:t xml:space="preserve">Autos </w:t>
      </w:r>
      <w:hyperlink w:anchor="AUTO_2015_73" w:history="1">
        <w:r w:rsidRPr="00DD47EB">
          <w:rPr>
            <w:rStyle w:val="TextoNormalCaracter"/>
          </w:rPr>
          <w:t>73/2015</w:t>
        </w:r>
      </w:hyperlink>
      <w:r>
        <w:t xml:space="preserve">, ff. 1, 3; </w:t>
      </w:r>
      <w:hyperlink w:anchor="AUTO_2015_109" w:history="1">
        <w:r w:rsidRPr="00DD47EB">
          <w:rPr>
            <w:rStyle w:val="TextoNormalCaracter"/>
          </w:rPr>
          <w:t>109/2015</w:t>
        </w:r>
      </w:hyperlink>
      <w:r>
        <w:t xml:space="preserve">, f. 2; </w:t>
      </w:r>
      <w:hyperlink w:anchor="AUTO_2015_110" w:history="1">
        <w:r w:rsidRPr="00DD47EB">
          <w:rPr>
            <w:rStyle w:val="TextoNormalCaracter"/>
          </w:rPr>
          <w:t>110/2015</w:t>
        </w:r>
      </w:hyperlink>
      <w:r>
        <w:t>, f. único.</w:t>
      </w:r>
    </w:p>
    <w:p w:rsidR="00DD47EB" w:rsidRDefault="00DD47EB" w:rsidP="00DD47EB">
      <w:pPr>
        <w:pStyle w:val="SangriaFrancesaArticulo"/>
      </w:pPr>
      <w:r w:rsidRPr="00DD47EB">
        <w:rPr>
          <w:rStyle w:val="TextoNormalNegritaCaracter"/>
        </w:rPr>
        <w:t>Artículo 44.1 b).</w:t>
      </w:r>
      <w:r w:rsidRPr="00DD47EB">
        <w:rPr>
          <w:rStyle w:val="TextoNormalCaracter"/>
        </w:rPr>
        <w:t>-</w:t>
      </w:r>
      <w:r>
        <w:t xml:space="preserve"> Sentencia </w:t>
      </w:r>
      <w:hyperlink w:anchor="SENTENCIA_2015_89" w:history="1">
        <w:r w:rsidRPr="00DD47EB">
          <w:rPr>
            <w:rStyle w:val="TextoNormalCaracter"/>
          </w:rPr>
          <w:t>89/2015</w:t>
        </w:r>
      </w:hyperlink>
      <w:r>
        <w:t>, f. 5.</w:t>
      </w:r>
    </w:p>
    <w:p w:rsidR="00DD47EB" w:rsidRDefault="00DD47EB" w:rsidP="00DD47EB">
      <w:pPr>
        <w:pStyle w:val="SangriaFrancesaArticulo"/>
      </w:pPr>
      <w:r w:rsidRPr="00DD47EB">
        <w:rPr>
          <w:rStyle w:val="TextoNormalNegritaCaracter"/>
        </w:rPr>
        <w:t>Artículo 44.1 c).</w:t>
      </w:r>
      <w:r w:rsidRPr="00DD47EB">
        <w:rPr>
          <w:rStyle w:val="TextoNormalCaracter"/>
        </w:rPr>
        <w:t>-</w:t>
      </w:r>
      <w:r>
        <w:t xml:space="preserve"> Sentencia </w:t>
      </w:r>
      <w:hyperlink w:anchor="SENTENCIA_2015_2" w:history="1">
        <w:r w:rsidRPr="00DD47EB">
          <w:rPr>
            <w:rStyle w:val="TextoNormalCaracter"/>
          </w:rPr>
          <w:t>2/2015</w:t>
        </w:r>
      </w:hyperlink>
      <w:r>
        <w:t>, f. 2.</w:t>
      </w:r>
    </w:p>
    <w:p w:rsidR="00DD47EB" w:rsidRDefault="00DD47EB" w:rsidP="00DD47EB">
      <w:pPr>
        <w:pStyle w:val="SangriaFrancesaArticulo"/>
      </w:pPr>
      <w:r w:rsidRPr="00DD47EB">
        <w:rPr>
          <w:rStyle w:val="TextoNormalNegritaCaracter"/>
        </w:rPr>
        <w:t>Artículo 44.1 c)</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FrancesaArticulo"/>
      </w:pPr>
      <w:r w:rsidRPr="00DD47EB">
        <w:rPr>
          <w:rStyle w:val="TextoNormalNegritaCaracter"/>
        </w:rPr>
        <w:t>Artículo 44.2.</w:t>
      </w:r>
      <w:r w:rsidRPr="00DD47EB">
        <w:rPr>
          <w:rStyle w:val="TextoNormalCaracter"/>
        </w:rPr>
        <w:t>-</w:t>
      </w:r>
      <w:r>
        <w:t xml:space="preserve"> Sentencia </w:t>
      </w:r>
      <w:hyperlink w:anchor="SENTENCIA_2015_54" w:history="1">
        <w:r w:rsidRPr="00DD47EB">
          <w:rPr>
            <w:rStyle w:val="TextoNormalCaracter"/>
          </w:rPr>
          <w:t>54/2015</w:t>
        </w:r>
      </w:hyperlink>
      <w:r>
        <w:t>, f. 3.</w:t>
      </w:r>
    </w:p>
    <w:p w:rsidR="00DD47EB" w:rsidRDefault="00DD47EB" w:rsidP="00DD47EB">
      <w:pPr>
        <w:pStyle w:val="SangriaIzquierdaArticulo"/>
      </w:pPr>
      <w:r>
        <w:t xml:space="preserve">Auto </w:t>
      </w:r>
      <w:hyperlink w:anchor="AUTO_2015_49" w:history="1">
        <w:r w:rsidRPr="00DD47EB">
          <w:rPr>
            <w:rStyle w:val="TextoNormalCaracter"/>
          </w:rPr>
          <w:t>49/2015</w:t>
        </w:r>
      </w:hyperlink>
      <w:r>
        <w:t>, f. 4.</w:t>
      </w:r>
    </w:p>
    <w:p w:rsidR="00DD47EB" w:rsidRDefault="00DD47EB" w:rsidP="00DD47EB">
      <w:pPr>
        <w:pStyle w:val="SangriaFrancesaArticulo"/>
      </w:pPr>
      <w:r w:rsidRPr="00DD47EB">
        <w:rPr>
          <w:rStyle w:val="TextoNormalNegritaCaracter"/>
        </w:rPr>
        <w:t>Artículo 44.2</w:t>
      </w:r>
      <w:r>
        <w:t xml:space="preserve"> (redactado por la Ley Orgánica 6/2007, de 24 de mayo)</w:t>
      </w:r>
      <w:r w:rsidRPr="00DD47EB">
        <w:rPr>
          <w:rStyle w:val="TextoNormalNegritaCaracter"/>
        </w:rPr>
        <w:t>.</w:t>
      </w:r>
      <w:r w:rsidRPr="00DD47EB">
        <w:rPr>
          <w:rStyle w:val="TextoNormalCaracter"/>
        </w:rPr>
        <w:t>-</w:t>
      </w:r>
      <w:r>
        <w:t xml:space="preserve"> Sentencias </w:t>
      </w:r>
      <w:hyperlink w:anchor="SENTENCIA_2015_39" w:history="1">
        <w:r w:rsidRPr="00DD47EB">
          <w:rPr>
            <w:rStyle w:val="TextoNormalCaracter"/>
          </w:rPr>
          <w:t>39/2015</w:t>
        </w:r>
      </w:hyperlink>
      <w:r>
        <w:t xml:space="preserve">, f. 2; </w:t>
      </w:r>
      <w:hyperlink w:anchor="SENTENCIA_2015_77" w:history="1">
        <w:r w:rsidRPr="00DD47EB">
          <w:rPr>
            <w:rStyle w:val="TextoNormalCaracter"/>
          </w:rPr>
          <w:t>77/2015</w:t>
        </w:r>
      </w:hyperlink>
      <w:r>
        <w:t>, f. 1.</w:t>
      </w:r>
    </w:p>
    <w:p w:rsidR="00DD47EB" w:rsidRDefault="00DD47EB" w:rsidP="00DD47EB">
      <w:pPr>
        <w:pStyle w:val="SangriaIzquierdaArticulo"/>
      </w:pPr>
      <w:r>
        <w:t xml:space="preserve">Auto </w:t>
      </w:r>
      <w:hyperlink w:anchor="AUTO_2015_73" w:history="1">
        <w:r w:rsidRPr="00DD47EB">
          <w:rPr>
            <w:rStyle w:val="TextoNormalCaracter"/>
          </w:rPr>
          <w:t>73/2015</w:t>
        </w:r>
      </w:hyperlink>
      <w:r>
        <w:t>, f. 3.</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54" w:history="1">
        <w:r w:rsidRPr="00DD47EB">
          <w:rPr>
            <w:rStyle w:val="TextoNormalCaracter"/>
          </w:rPr>
          <w:t>54/2015</w:t>
        </w:r>
      </w:hyperlink>
      <w:r>
        <w:t>, f. 4.</w:t>
      </w:r>
    </w:p>
    <w:p w:rsidR="00DD47EB" w:rsidRDefault="00DD47EB" w:rsidP="00DD47EB">
      <w:pPr>
        <w:pStyle w:val="SangriaFrancesaArticulo"/>
      </w:pPr>
      <w:r w:rsidRPr="00DD47EB">
        <w:rPr>
          <w:rStyle w:val="TextoNormalNegritaCaracter"/>
        </w:rPr>
        <w:t>Artículo 46.</w:t>
      </w:r>
      <w:r w:rsidRPr="00DD47EB">
        <w:rPr>
          <w:rStyle w:val="TextoNormalCaracter"/>
        </w:rPr>
        <w:t>-</w:t>
      </w:r>
      <w:r>
        <w:t xml:space="preserve"> Sentencia </w:t>
      </w:r>
      <w:hyperlink w:anchor="SENTENCIA_2015_54" w:history="1">
        <w:r w:rsidRPr="00DD47EB">
          <w:rPr>
            <w:rStyle w:val="TextoNormalCaracter"/>
          </w:rPr>
          <w:t>54/2015</w:t>
        </w:r>
      </w:hyperlink>
      <w:r>
        <w:t>, f. 4.</w:t>
      </w:r>
    </w:p>
    <w:p w:rsidR="00DD47EB" w:rsidRDefault="00DD47EB" w:rsidP="00DD47EB">
      <w:pPr>
        <w:pStyle w:val="SangriaFrancesaArticulo"/>
      </w:pPr>
      <w:r w:rsidRPr="00DD47EB">
        <w:rPr>
          <w:rStyle w:val="TextoNormalNegritaCaracter"/>
        </w:rPr>
        <w:t>Artículo 49.</w:t>
      </w:r>
      <w:r w:rsidRPr="00DD47EB">
        <w:rPr>
          <w:rStyle w:val="TextoNormalCaracter"/>
        </w:rPr>
        <w:t>-</w:t>
      </w:r>
      <w:r>
        <w:t xml:space="preserve"> Sentencias </w:t>
      </w:r>
      <w:hyperlink w:anchor="SENTENCIA_2015_54" w:history="1">
        <w:r w:rsidRPr="00DD47EB">
          <w:rPr>
            <w:rStyle w:val="TextoNormalCaracter"/>
          </w:rPr>
          <w:t>54/2015</w:t>
        </w:r>
      </w:hyperlink>
      <w:r>
        <w:t xml:space="preserve">, f. 4; </w:t>
      </w:r>
      <w:hyperlink w:anchor="SENTENCIA_2015_124" w:history="1">
        <w:r w:rsidRPr="00DD47EB">
          <w:rPr>
            <w:rStyle w:val="TextoNormalCaracter"/>
          </w:rPr>
          <w:t>124/2015</w:t>
        </w:r>
      </w:hyperlink>
      <w:r>
        <w:t>, f. 2.</w:t>
      </w:r>
    </w:p>
    <w:p w:rsidR="00DD47EB" w:rsidRDefault="00DD47EB" w:rsidP="00DD47EB">
      <w:pPr>
        <w:pStyle w:val="SangriaFrancesaArticulo"/>
      </w:pPr>
      <w:r w:rsidRPr="00DD47EB">
        <w:rPr>
          <w:rStyle w:val="TextoNormalNegritaCaracter"/>
        </w:rPr>
        <w:t>Artículo 49.1.</w:t>
      </w:r>
      <w:r w:rsidRPr="00DD47EB">
        <w:rPr>
          <w:rStyle w:val="TextoNormalCaracter"/>
        </w:rPr>
        <w:t>-</w:t>
      </w:r>
      <w:r>
        <w:t xml:space="preserve"> Sentencias </w:t>
      </w:r>
      <w:hyperlink w:anchor="SENTENCIA_2015_1" w:history="1">
        <w:r w:rsidRPr="00DD47EB">
          <w:rPr>
            <w:rStyle w:val="TextoNormalCaracter"/>
          </w:rPr>
          <w:t>1/2015</w:t>
        </w:r>
      </w:hyperlink>
      <w:r>
        <w:t xml:space="preserve">, ff. 1, 2; </w:t>
      </w:r>
      <w:hyperlink w:anchor="SENTENCIA_2015_23" w:history="1">
        <w:r w:rsidRPr="00DD47EB">
          <w:rPr>
            <w:rStyle w:val="TextoNormalCaracter"/>
          </w:rPr>
          <w:t>23/2015</w:t>
        </w:r>
      </w:hyperlink>
      <w:r>
        <w:t xml:space="preserve">, ff. 1, 2; </w:t>
      </w:r>
      <w:hyperlink w:anchor="SENTENCIA_2015_24" w:history="1">
        <w:r w:rsidRPr="00DD47EB">
          <w:rPr>
            <w:rStyle w:val="TextoNormalCaracter"/>
          </w:rPr>
          <w:t>24/2015</w:t>
        </w:r>
      </w:hyperlink>
      <w:r>
        <w:t xml:space="preserve">, ff. 2, 3; </w:t>
      </w:r>
      <w:hyperlink w:anchor="SENTENCIA_2015_54" w:history="1">
        <w:r w:rsidRPr="00DD47EB">
          <w:rPr>
            <w:rStyle w:val="TextoNormalCaracter"/>
          </w:rPr>
          <w:t>54/2015</w:t>
        </w:r>
      </w:hyperlink>
      <w:r>
        <w:t xml:space="preserve">, f. 4; </w:t>
      </w:r>
      <w:hyperlink w:anchor="SENTENCIA_2015_96" w:history="1">
        <w:r w:rsidRPr="00DD47EB">
          <w:rPr>
            <w:rStyle w:val="TextoNormalCaracter"/>
          </w:rPr>
          <w:t>96/2015</w:t>
        </w:r>
      </w:hyperlink>
      <w:r>
        <w:t xml:space="preserve">, f. 1; </w:t>
      </w:r>
      <w:hyperlink w:anchor="SENTENCIA_2015_115" w:history="1">
        <w:r w:rsidRPr="00DD47EB">
          <w:rPr>
            <w:rStyle w:val="TextoNormalCaracter"/>
          </w:rPr>
          <w:t>115/2015</w:t>
        </w:r>
      </w:hyperlink>
      <w:r>
        <w:t xml:space="preserve">, f. 2; </w:t>
      </w:r>
      <w:hyperlink w:anchor="SENTENCIA_2015_124" w:history="1">
        <w:r w:rsidRPr="00DD47EB">
          <w:rPr>
            <w:rStyle w:val="TextoNormalCaracter"/>
          </w:rPr>
          <w:t>124/2015</w:t>
        </w:r>
      </w:hyperlink>
      <w:r>
        <w:t xml:space="preserve">, f. 2; </w:t>
      </w:r>
      <w:hyperlink w:anchor="SENTENCIA_2015_145" w:history="1">
        <w:r w:rsidRPr="00DD47EB">
          <w:rPr>
            <w:rStyle w:val="TextoNormalCaracter"/>
          </w:rPr>
          <w:t>145/2015</w:t>
        </w:r>
      </w:hyperlink>
      <w:r>
        <w:t>, f. 3.</w:t>
      </w:r>
    </w:p>
    <w:p w:rsidR="00DD47EB" w:rsidRDefault="00DD47EB" w:rsidP="00DD47EB">
      <w:pPr>
        <w:pStyle w:val="SangriaIzquierdaArticulo"/>
      </w:pPr>
      <w:r>
        <w:t xml:space="preserve">Auto </w:t>
      </w:r>
      <w:hyperlink w:anchor="AUTO_2015_31" w:history="1">
        <w:r w:rsidRPr="00DD47EB">
          <w:rPr>
            <w:rStyle w:val="TextoNormalCaracter"/>
          </w:rPr>
          <w:t>31/2015</w:t>
        </w:r>
      </w:hyperlink>
      <w:r>
        <w:t>, f. 2.</w:t>
      </w:r>
    </w:p>
    <w:p w:rsidR="00DD47EB" w:rsidRDefault="00DD47EB" w:rsidP="00DD47EB">
      <w:pPr>
        <w:pStyle w:val="SangriaFrancesaArticulo"/>
      </w:pPr>
      <w:r w:rsidRPr="00DD47EB">
        <w:rPr>
          <w:rStyle w:val="TextoNormalNegritaCaracter"/>
        </w:rPr>
        <w:t>Artículo 49.1</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IzquierdaArticulo"/>
      </w:pPr>
      <w:r>
        <w:t xml:space="preserve">Autos </w:t>
      </w:r>
      <w:hyperlink w:anchor="AUTO_2015_31" w:history="1">
        <w:r w:rsidRPr="00DD47EB">
          <w:rPr>
            <w:rStyle w:val="TextoNormalCaracter"/>
          </w:rPr>
          <w:t>31/2015</w:t>
        </w:r>
      </w:hyperlink>
      <w:r>
        <w:t xml:space="preserve">, f. 2; </w:t>
      </w:r>
      <w:hyperlink w:anchor="AUTO_2015_87" w:history="1">
        <w:r w:rsidRPr="00DD47EB">
          <w:rPr>
            <w:rStyle w:val="TextoNormalCaracter"/>
          </w:rPr>
          <w:t>87/2015</w:t>
        </w:r>
      </w:hyperlink>
      <w:r>
        <w:t>, f. único.</w:t>
      </w:r>
    </w:p>
    <w:p w:rsidR="00DD47EB" w:rsidRDefault="00DD47EB" w:rsidP="00DD47EB">
      <w:pPr>
        <w:pStyle w:val="SangriaFrancesaArticulo"/>
      </w:pPr>
      <w:r w:rsidRPr="00DD47EB">
        <w:rPr>
          <w:rStyle w:val="TextoNormalNegritaCaracter"/>
        </w:rPr>
        <w:t xml:space="preserve">Artículo 49.1 </w:t>
      </w:r>
      <w:r w:rsidRPr="00DD47EB">
        <w:rPr>
          <w:rStyle w:val="TextoNormalNegritaCursivaCaracter"/>
        </w:rPr>
        <w:t>in fine</w:t>
      </w:r>
      <w:r>
        <w:t xml:space="preserve"> </w:t>
      </w:r>
      <w:r w:rsidRPr="00DD47EB">
        <w:rPr>
          <w:rStyle w:val="TextoNormalCaracter"/>
        </w:rPr>
        <w:t>(redactado por la Ley Orgánica 6/2007, de 24 de mayo)</w:t>
      </w:r>
      <w:r w:rsidRPr="00DD47EB">
        <w:rPr>
          <w:rStyle w:val="TextoNormalNegritaCaracter"/>
        </w:rPr>
        <w:t>.</w:t>
      </w:r>
      <w:r w:rsidRPr="00DD47EB">
        <w:rPr>
          <w:rStyle w:val="TextoNormalCaracter"/>
        </w:rPr>
        <w:t>-</w:t>
      </w:r>
      <w:r>
        <w:t xml:space="preserve"> Sentencia </w:t>
      </w:r>
      <w:hyperlink w:anchor="SENTENCIA_2015_145" w:history="1">
        <w:r w:rsidRPr="00DD47EB">
          <w:rPr>
            <w:rStyle w:val="TextoNormalCaracter"/>
          </w:rPr>
          <w:t>145/2015</w:t>
        </w:r>
      </w:hyperlink>
      <w:r>
        <w:t>, f. 3.</w:t>
      </w:r>
    </w:p>
    <w:p w:rsidR="00DD47EB" w:rsidRDefault="00DD47EB" w:rsidP="00DD47EB">
      <w:pPr>
        <w:pStyle w:val="SangriaIzquierdaArticulo"/>
      </w:pPr>
      <w:r>
        <w:t xml:space="preserve">Auto </w:t>
      </w:r>
      <w:hyperlink w:anchor="AUTO_2015_87" w:history="1">
        <w:r w:rsidRPr="00DD47EB">
          <w:rPr>
            <w:rStyle w:val="TextoNormalCaracter"/>
          </w:rPr>
          <w:t>87/2015</w:t>
        </w:r>
      </w:hyperlink>
      <w:r>
        <w:t>, f. único.</w:t>
      </w:r>
    </w:p>
    <w:p w:rsidR="00DD47EB" w:rsidRDefault="00DD47EB" w:rsidP="00DD47EB">
      <w:pPr>
        <w:pStyle w:val="SangriaFrancesaArticulo"/>
      </w:pPr>
      <w:r w:rsidRPr="00DD47EB">
        <w:rPr>
          <w:rStyle w:val="TextoNormalNegritaCaracter"/>
        </w:rPr>
        <w:t>Artículo 50.</w:t>
      </w:r>
      <w:r w:rsidRPr="00DD47EB">
        <w:rPr>
          <w:rStyle w:val="TextoNormalCaracter"/>
        </w:rPr>
        <w:t>-</w:t>
      </w:r>
      <w:r>
        <w:t xml:space="preserve"> Auto </w:t>
      </w:r>
      <w:hyperlink w:anchor="AUTO_2015_57" w:history="1">
        <w:r w:rsidRPr="00DD47EB">
          <w:rPr>
            <w:rStyle w:val="TextoNormalCaracter"/>
          </w:rPr>
          <w:t>57/2015</w:t>
        </w:r>
      </w:hyperlink>
      <w:r>
        <w:t>, f. único.</w:t>
      </w:r>
    </w:p>
    <w:p w:rsidR="00DD47EB" w:rsidRDefault="00DD47EB" w:rsidP="00DD47EB">
      <w:pPr>
        <w:pStyle w:val="SangriaFrancesaArticulo"/>
      </w:pPr>
      <w:r w:rsidRPr="00DD47EB">
        <w:rPr>
          <w:rStyle w:val="TextoNormalNegritaCaracter"/>
        </w:rPr>
        <w:t>Artículo 50.1.</w:t>
      </w:r>
      <w:r w:rsidRPr="00DD47EB">
        <w:rPr>
          <w:rStyle w:val="TextoNormalCaracter"/>
        </w:rPr>
        <w:t>-</w:t>
      </w:r>
      <w:r>
        <w:t xml:space="preserve"> Sentencias </w:t>
      </w:r>
      <w:hyperlink w:anchor="SENTENCIA_2015_1" w:history="1">
        <w:r w:rsidRPr="00DD47EB">
          <w:rPr>
            <w:rStyle w:val="TextoNormalCaracter"/>
          </w:rPr>
          <w:t>1/2015</w:t>
        </w:r>
      </w:hyperlink>
      <w:r>
        <w:t xml:space="preserve">, f. 1; </w:t>
      </w:r>
      <w:hyperlink w:anchor="SENTENCIA_2015_23" w:history="1">
        <w:r w:rsidRPr="00DD47EB">
          <w:rPr>
            <w:rStyle w:val="TextoNormalCaracter"/>
          </w:rPr>
          <w:t>23/2015</w:t>
        </w:r>
      </w:hyperlink>
      <w:r>
        <w:t xml:space="preserve">, f. 1; </w:t>
      </w:r>
      <w:hyperlink w:anchor="SENTENCIA_2015_98" w:history="1">
        <w:r w:rsidRPr="00DD47EB">
          <w:rPr>
            <w:rStyle w:val="TextoNormalCaracter"/>
          </w:rPr>
          <w:t>98/2015</w:t>
        </w:r>
      </w:hyperlink>
      <w:r>
        <w:t>, f. 2.</w:t>
      </w:r>
    </w:p>
    <w:p w:rsidR="00DD47EB" w:rsidRDefault="00DD47EB" w:rsidP="00DD47EB">
      <w:pPr>
        <w:pStyle w:val="SangriaFrancesaArticulo"/>
      </w:pPr>
      <w:r w:rsidRPr="00DD47EB">
        <w:rPr>
          <w:rStyle w:val="TextoNormalNegritaCaracter"/>
        </w:rPr>
        <w:t>Artículo 50.1</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IzquierdaArticulo"/>
      </w:pPr>
      <w:r>
        <w:t xml:space="preserve">Autos </w:t>
      </w:r>
      <w:hyperlink w:anchor="AUTO_2015_88" w:history="1">
        <w:r w:rsidRPr="00DD47EB">
          <w:rPr>
            <w:rStyle w:val="TextoNormalCaracter"/>
          </w:rPr>
          <w:t>88/2015</w:t>
        </w:r>
      </w:hyperlink>
      <w:r>
        <w:t xml:space="preserve">, f. 2; </w:t>
      </w:r>
      <w:hyperlink w:anchor="AUTO_2015_99" w:history="1">
        <w:r w:rsidRPr="00DD47EB">
          <w:rPr>
            <w:rStyle w:val="TextoNormalCaracter"/>
          </w:rPr>
          <w:t>99/2015</w:t>
        </w:r>
      </w:hyperlink>
      <w:r>
        <w:t xml:space="preserve">, f. 4; </w:t>
      </w:r>
      <w:hyperlink w:anchor="AUTO_2015_109" w:history="1">
        <w:r w:rsidRPr="00DD47EB">
          <w:rPr>
            <w:rStyle w:val="TextoNormalCaracter"/>
          </w:rPr>
          <w:t>109/2015</w:t>
        </w:r>
      </w:hyperlink>
      <w:r>
        <w:t>, f. 3.</w:t>
      </w:r>
    </w:p>
    <w:p w:rsidR="00DD47EB" w:rsidRDefault="00DD47EB" w:rsidP="00DD47EB">
      <w:pPr>
        <w:pStyle w:val="SangriaFrancesaArticulo"/>
      </w:pPr>
      <w:r w:rsidRPr="00DD47EB">
        <w:rPr>
          <w:rStyle w:val="TextoNormalNegritaCaracter"/>
        </w:rPr>
        <w:t>Artículo 50.1 a).</w:t>
      </w:r>
      <w:r w:rsidRPr="00DD47EB">
        <w:rPr>
          <w:rStyle w:val="TextoNormalCaracter"/>
        </w:rPr>
        <w:t>-</w:t>
      </w:r>
      <w:r>
        <w:t xml:space="preserve"> Sentencias </w:t>
      </w:r>
      <w:hyperlink w:anchor="SENTENCIA_2015_54" w:history="1">
        <w:r w:rsidRPr="00DD47EB">
          <w:rPr>
            <w:rStyle w:val="TextoNormalCaracter"/>
          </w:rPr>
          <w:t>54/2015</w:t>
        </w:r>
      </w:hyperlink>
      <w:r>
        <w:t xml:space="preserve">, f. 4; </w:t>
      </w:r>
      <w:hyperlink w:anchor="SENTENCIA_2015_63" w:history="1">
        <w:r w:rsidRPr="00DD47EB">
          <w:rPr>
            <w:rStyle w:val="TextoNormalCaracter"/>
          </w:rPr>
          <w:t>63/2015</w:t>
        </w:r>
      </w:hyperlink>
      <w:r>
        <w:t xml:space="preserve">, f. 2; </w:t>
      </w:r>
      <w:hyperlink w:anchor="SENTENCIA_2015_77" w:history="1">
        <w:r w:rsidRPr="00DD47EB">
          <w:rPr>
            <w:rStyle w:val="TextoNormalCaracter"/>
          </w:rPr>
          <w:t>77/2015</w:t>
        </w:r>
      </w:hyperlink>
      <w:r>
        <w:t xml:space="preserve">, f. 1; </w:t>
      </w:r>
      <w:hyperlink w:anchor="SENTENCIA_2015_124" w:history="1">
        <w:r w:rsidRPr="00DD47EB">
          <w:rPr>
            <w:rStyle w:val="TextoNormalCaracter"/>
          </w:rPr>
          <w:t>124/2015</w:t>
        </w:r>
      </w:hyperlink>
      <w:r>
        <w:t xml:space="preserve">, f. 2; </w:t>
      </w:r>
      <w:hyperlink w:anchor="SENTENCIA_2015_145" w:history="1">
        <w:r w:rsidRPr="00DD47EB">
          <w:rPr>
            <w:rStyle w:val="TextoNormalCaracter"/>
          </w:rPr>
          <w:t>145/2015</w:t>
        </w:r>
      </w:hyperlink>
      <w:r>
        <w:t>, ff. 2, 3.</w:t>
      </w:r>
    </w:p>
    <w:p w:rsidR="00DD47EB" w:rsidRDefault="00DD47EB" w:rsidP="00DD47EB">
      <w:pPr>
        <w:pStyle w:val="SangriaFrancesaArticulo"/>
      </w:pPr>
      <w:r w:rsidRPr="00DD47EB">
        <w:rPr>
          <w:rStyle w:val="TextoNormalNegritaCaracter"/>
        </w:rPr>
        <w:t>Artículo 50.1 a)</w:t>
      </w:r>
      <w:r>
        <w:t xml:space="preserve"> (redactado por la Ley Orgánica 6/2007, de 24 de mayo)</w:t>
      </w:r>
      <w:r w:rsidRPr="00DD47EB">
        <w:rPr>
          <w:rStyle w:val="TextoNormalNegritaCaracter"/>
        </w:rPr>
        <w:t>.</w:t>
      </w:r>
      <w:r w:rsidRPr="00DD47EB">
        <w:rPr>
          <w:rStyle w:val="TextoNormalCaracter"/>
        </w:rPr>
        <w:t>-</w:t>
      </w:r>
      <w:r>
        <w:t xml:space="preserve"> Autos </w:t>
      </w:r>
      <w:hyperlink w:anchor="AUTO_2015_26" w:history="1">
        <w:r w:rsidRPr="00DD47EB">
          <w:rPr>
            <w:rStyle w:val="TextoNormalCaracter"/>
          </w:rPr>
          <w:t>26/2015</w:t>
        </w:r>
      </w:hyperlink>
      <w:r>
        <w:t xml:space="preserve">, f. único; </w:t>
      </w:r>
      <w:hyperlink w:anchor="AUTO_2015_80" w:history="1">
        <w:r w:rsidRPr="00DD47EB">
          <w:rPr>
            <w:rStyle w:val="TextoNormalCaracter"/>
          </w:rPr>
          <w:t>80/2015</w:t>
        </w:r>
      </w:hyperlink>
      <w:r>
        <w:t xml:space="preserve">, f. 1; </w:t>
      </w:r>
      <w:hyperlink w:anchor="AUTO_2015_109" w:history="1">
        <w:r w:rsidRPr="00DD47EB">
          <w:rPr>
            <w:rStyle w:val="TextoNormalCaracter"/>
          </w:rPr>
          <w:t>109/2015</w:t>
        </w:r>
      </w:hyperlink>
      <w:r>
        <w:t xml:space="preserve">, f. 2; </w:t>
      </w:r>
      <w:hyperlink w:anchor="AUTO_2015_110" w:history="1">
        <w:r w:rsidRPr="00DD47EB">
          <w:rPr>
            <w:rStyle w:val="TextoNormalCaracter"/>
          </w:rPr>
          <w:t>110/2015</w:t>
        </w:r>
      </w:hyperlink>
      <w:r>
        <w:t>, f. único.</w:t>
      </w:r>
    </w:p>
    <w:p w:rsidR="00DD47EB" w:rsidRDefault="00DD47EB" w:rsidP="00DD47EB">
      <w:pPr>
        <w:pStyle w:val="SangriaFrancesaArticulo"/>
      </w:pPr>
      <w:r w:rsidRPr="00DD47EB">
        <w:rPr>
          <w:rStyle w:val="TextoNormalNegritaCaracter"/>
        </w:rPr>
        <w:t>Artículo 50.1 b).</w:t>
      </w:r>
      <w:r w:rsidRPr="00DD47EB">
        <w:rPr>
          <w:rStyle w:val="TextoNormalCaracter"/>
        </w:rPr>
        <w:t>-</w:t>
      </w:r>
      <w:r>
        <w:t xml:space="preserve"> Sentencias </w:t>
      </w:r>
      <w:hyperlink w:anchor="SENTENCIA_2015_1" w:history="1">
        <w:r w:rsidRPr="00DD47EB">
          <w:rPr>
            <w:rStyle w:val="TextoNormalCaracter"/>
          </w:rPr>
          <w:t>1/2015</w:t>
        </w:r>
      </w:hyperlink>
      <w:r>
        <w:t xml:space="preserve">, f. 2; </w:t>
      </w:r>
      <w:hyperlink w:anchor="SENTENCIA_2015_23" w:history="1">
        <w:r w:rsidRPr="00DD47EB">
          <w:rPr>
            <w:rStyle w:val="TextoNormalCaracter"/>
          </w:rPr>
          <w:t>23/2015</w:t>
        </w:r>
      </w:hyperlink>
      <w:r>
        <w:t xml:space="preserve">, f. 2; </w:t>
      </w:r>
      <w:hyperlink w:anchor="SENTENCIA_2015_24" w:history="1">
        <w:r w:rsidRPr="00DD47EB">
          <w:rPr>
            <w:rStyle w:val="TextoNormalCaracter"/>
          </w:rPr>
          <w:t>24/2015</w:t>
        </w:r>
      </w:hyperlink>
      <w:r>
        <w:t xml:space="preserve">, f. 2; </w:t>
      </w:r>
      <w:hyperlink w:anchor="SENTENCIA_2015_54" w:history="1">
        <w:r w:rsidRPr="00DD47EB">
          <w:rPr>
            <w:rStyle w:val="TextoNormalCaracter"/>
          </w:rPr>
          <w:t>54/2015</w:t>
        </w:r>
      </w:hyperlink>
      <w:r>
        <w:t xml:space="preserve">, f. 4; </w:t>
      </w:r>
      <w:hyperlink w:anchor="SENTENCIA_2015_65" w:history="1">
        <w:r w:rsidRPr="00DD47EB">
          <w:rPr>
            <w:rStyle w:val="TextoNormalCaracter"/>
          </w:rPr>
          <w:t>65/2015</w:t>
        </w:r>
      </w:hyperlink>
      <w:r>
        <w:t xml:space="preserve">, f. 1; </w:t>
      </w:r>
      <w:hyperlink w:anchor="SENTENCIA_2015_74" w:history="1">
        <w:r w:rsidRPr="00DD47EB">
          <w:rPr>
            <w:rStyle w:val="TextoNormalCaracter"/>
          </w:rPr>
          <w:t>74/2015</w:t>
        </w:r>
      </w:hyperlink>
      <w:r>
        <w:t xml:space="preserve">, f. 2; </w:t>
      </w:r>
      <w:hyperlink w:anchor="SENTENCIA_2015_86" w:history="1">
        <w:r w:rsidRPr="00DD47EB">
          <w:rPr>
            <w:rStyle w:val="TextoNormalCaracter"/>
          </w:rPr>
          <w:t>86/2015</w:t>
        </w:r>
      </w:hyperlink>
      <w:r>
        <w:t xml:space="preserve">, f. 3; </w:t>
      </w:r>
      <w:hyperlink w:anchor="SENTENCIA_2015_87" w:history="1">
        <w:r w:rsidRPr="00DD47EB">
          <w:rPr>
            <w:rStyle w:val="TextoNormalCaracter"/>
          </w:rPr>
          <w:t>87/2015</w:t>
        </w:r>
      </w:hyperlink>
      <w:r>
        <w:t xml:space="preserve">, f. 3; </w:t>
      </w:r>
      <w:hyperlink w:anchor="SENTENCIA_2015_88" w:history="1">
        <w:r w:rsidRPr="00DD47EB">
          <w:rPr>
            <w:rStyle w:val="TextoNormalCaracter"/>
          </w:rPr>
          <w:t>88/2015</w:t>
        </w:r>
      </w:hyperlink>
      <w:r>
        <w:t xml:space="preserve">, f. 2; </w:t>
      </w:r>
      <w:hyperlink w:anchor="SENTENCIA_2015_96" w:history="1">
        <w:r w:rsidRPr="00DD47EB">
          <w:rPr>
            <w:rStyle w:val="TextoNormalCaracter"/>
          </w:rPr>
          <w:t>96/2015</w:t>
        </w:r>
      </w:hyperlink>
      <w:r>
        <w:t xml:space="preserve">, f. 1; </w:t>
      </w:r>
      <w:hyperlink w:anchor="SENTENCIA_2015_98" w:history="1">
        <w:r w:rsidRPr="00DD47EB">
          <w:rPr>
            <w:rStyle w:val="TextoNormalCaracter"/>
          </w:rPr>
          <w:t>98/2015</w:t>
        </w:r>
      </w:hyperlink>
      <w:r>
        <w:t xml:space="preserve">, ff. 1 a 3; </w:t>
      </w:r>
      <w:hyperlink w:anchor="SENTENCIA_2015_115" w:history="1">
        <w:r w:rsidRPr="00DD47EB">
          <w:rPr>
            <w:rStyle w:val="TextoNormalCaracter"/>
          </w:rPr>
          <w:t>115/2015</w:t>
        </w:r>
      </w:hyperlink>
      <w:r>
        <w:t xml:space="preserve">, f. 2; </w:t>
      </w:r>
      <w:hyperlink w:anchor="SENTENCIA_2015_124" w:history="1">
        <w:r w:rsidRPr="00DD47EB">
          <w:rPr>
            <w:rStyle w:val="TextoNormalCaracter"/>
          </w:rPr>
          <w:t>124/2015</w:t>
        </w:r>
      </w:hyperlink>
      <w:r>
        <w:t xml:space="preserve">, f. 2; </w:t>
      </w:r>
      <w:hyperlink w:anchor="SENTENCIA_2015_145" w:history="1">
        <w:r w:rsidRPr="00DD47EB">
          <w:rPr>
            <w:rStyle w:val="TextoNormalCaracter"/>
          </w:rPr>
          <w:t>145/2015</w:t>
        </w:r>
      </w:hyperlink>
      <w:r>
        <w:t>, f. 3.</w:t>
      </w:r>
    </w:p>
    <w:p w:rsidR="00DD47EB" w:rsidRDefault="00DD47EB" w:rsidP="00DD47EB">
      <w:pPr>
        <w:pStyle w:val="SangriaFrancesaArticulo"/>
      </w:pPr>
      <w:r w:rsidRPr="00DD47EB">
        <w:rPr>
          <w:rStyle w:val="TextoNormalNegritaCaracter"/>
        </w:rPr>
        <w:t>Artículo 50.1 b)</w:t>
      </w:r>
      <w:r>
        <w:t xml:space="preserve"> (redactado por la Ley Orgánica 6/2007, de 24 de mayo)</w:t>
      </w:r>
      <w:r w:rsidRPr="00DD47EB">
        <w:rPr>
          <w:rStyle w:val="TextoNormalNegritaCaracter"/>
        </w:rPr>
        <w:t>.</w:t>
      </w:r>
      <w:r w:rsidRPr="00DD47EB">
        <w:rPr>
          <w:rStyle w:val="TextoNormalCaracter"/>
        </w:rPr>
        <w:t>-</w:t>
      </w:r>
      <w:r>
        <w:t xml:space="preserve"> Sentencias </w:t>
      </w:r>
      <w:hyperlink w:anchor="SENTENCIA_2015_21" w:history="1">
        <w:r w:rsidRPr="00DD47EB">
          <w:rPr>
            <w:rStyle w:val="TextoNormalCaracter"/>
          </w:rPr>
          <w:t>21/2015</w:t>
        </w:r>
      </w:hyperlink>
      <w:r>
        <w:t xml:space="preserve">, ff. 1, 2; </w:t>
      </w:r>
      <w:hyperlink w:anchor="SENTENCIA_2015_77" w:history="1">
        <w:r w:rsidRPr="00DD47EB">
          <w:rPr>
            <w:rStyle w:val="TextoNormalCaracter"/>
          </w:rPr>
          <w:t>77/2015</w:t>
        </w:r>
      </w:hyperlink>
      <w:r>
        <w:t xml:space="preserve">, f. 1; </w:t>
      </w:r>
      <w:hyperlink w:anchor="SENTENCIA_2015_91" w:history="1">
        <w:r w:rsidRPr="00DD47EB">
          <w:rPr>
            <w:rStyle w:val="TextoNormalCaracter"/>
          </w:rPr>
          <w:t>91/2015</w:t>
        </w:r>
      </w:hyperlink>
      <w:r>
        <w:t xml:space="preserve">, f. 2; </w:t>
      </w:r>
      <w:hyperlink w:anchor="SENTENCIA_2015_142" w:history="1">
        <w:r w:rsidRPr="00DD47EB">
          <w:rPr>
            <w:rStyle w:val="TextoNormalCaracter"/>
          </w:rPr>
          <w:t>142/2015</w:t>
        </w:r>
      </w:hyperlink>
      <w:r>
        <w:t>, f. 2.</w:t>
      </w:r>
    </w:p>
    <w:p w:rsidR="00DD47EB" w:rsidRDefault="00DD47EB" w:rsidP="00DD47EB">
      <w:pPr>
        <w:pStyle w:val="SangriaIzquierdaArticulo"/>
      </w:pPr>
      <w:r>
        <w:t xml:space="preserve">Autos </w:t>
      </w:r>
      <w:hyperlink w:anchor="AUTO_2015_44" w:history="1">
        <w:r w:rsidRPr="00DD47EB">
          <w:rPr>
            <w:rStyle w:val="TextoNormalCaracter"/>
          </w:rPr>
          <w:t>44/2015</w:t>
        </w:r>
      </w:hyperlink>
      <w:r>
        <w:t xml:space="preserve">, f. 1; </w:t>
      </w:r>
      <w:hyperlink w:anchor="AUTO_2015_86" w:history="1">
        <w:r w:rsidRPr="00DD47EB">
          <w:rPr>
            <w:rStyle w:val="TextoNormalCaracter"/>
          </w:rPr>
          <w:t>86/2015</w:t>
        </w:r>
      </w:hyperlink>
      <w:r>
        <w:t xml:space="preserve">, f. único; </w:t>
      </w:r>
      <w:hyperlink w:anchor="AUTO_2015_87" w:history="1">
        <w:r w:rsidRPr="00DD47EB">
          <w:rPr>
            <w:rStyle w:val="TextoNormalCaracter"/>
          </w:rPr>
          <w:t>87/2015</w:t>
        </w:r>
      </w:hyperlink>
      <w:r>
        <w:t xml:space="preserve">, f. único; </w:t>
      </w:r>
      <w:hyperlink w:anchor="AUTO_2015_98" w:history="1">
        <w:r w:rsidRPr="00DD47EB">
          <w:rPr>
            <w:rStyle w:val="TextoNormalCaracter"/>
          </w:rPr>
          <w:t>98/2015</w:t>
        </w:r>
      </w:hyperlink>
      <w:r>
        <w:t>, ff. 2, 3.</w:t>
      </w:r>
    </w:p>
    <w:p w:rsidR="00DD47EB" w:rsidRDefault="00DD47EB" w:rsidP="00DD47EB">
      <w:pPr>
        <w:pStyle w:val="SangriaFrancesaArticulo"/>
      </w:pPr>
      <w:r w:rsidRPr="00DD47EB">
        <w:rPr>
          <w:rStyle w:val="TextoNormalNegritaCaracter"/>
        </w:rPr>
        <w:t>Artículo 50.2.</w:t>
      </w:r>
      <w:r w:rsidRPr="00DD47EB">
        <w:rPr>
          <w:rStyle w:val="TextoNormalCaracter"/>
        </w:rPr>
        <w:t>-</w:t>
      </w:r>
      <w:r>
        <w:t xml:space="preserve"> Auto </w:t>
      </w:r>
      <w:hyperlink w:anchor="AUTO_2015_106" w:history="1">
        <w:r w:rsidRPr="00DD47EB">
          <w:rPr>
            <w:rStyle w:val="TextoNormalCaracter"/>
          </w:rPr>
          <w:t>106/2015</w:t>
        </w:r>
      </w:hyperlink>
      <w:r>
        <w:t>, f. único.</w:t>
      </w:r>
    </w:p>
    <w:p w:rsidR="00DD47EB" w:rsidRDefault="00DD47EB" w:rsidP="00DD47EB">
      <w:pPr>
        <w:pStyle w:val="SangriaFrancesaArticulo"/>
      </w:pPr>
      <w:r w:rsidRPr="00DD47EB">
        <w:rPr>
          <w:rStyle w:val="TextoNormalNegritaCaracter"/>
        </w:rPr>
        <w:t>Artículo 50.3.</w:t>
      </w:r>
      <w:r w:rsidRPr="00DD47EB">
        <w:rPr>
          <w:rStyle w:val="TextoNormalCaracter"/>
        </w:rPr>
        <w:t>-</w:t>
      </w:r>
      <w:r>
        <w:t xml:space="preserve"> Autos </w:t>
      </w:r>
      <w:hyperlink w:anchor="AUTO_2015_49" w:history="1">
        <w:r w:rsidRPr="00DD47EB">
          <w:rPr>
            <w:rStyle w:val="TextoNormalCaracter"/>
          </w:rPr>
          <w:t>49/2015</w:t>
        </w:r>
      </w:hyperlink>
      <w:r>
        <w:t xml:space="preserve">, f. 1; </w:t>
      </w:r>
      <w:hyperlink w:anchor="AUTO_2015_57" w:history="1">
        <w:r w:rsidRPr="00DD47EB">
          <w:rPr>
            <w:rStyle w:val="TextoNormalCaracter"/>
          </w:rPr>
          <w:t>57/2015</w:t>
        </w:r>
      </w:hyperlink>
      <w:r>
        <w:t>, f. único.</w:t>
      </w:r>
    </w:p>
    <w:p w:rsidR="00DD47EB" w:rsidRDefault="00DD47EB" w:rsidP="00DD47EB">
      <w:pPr>
        <w:pStyle w:val="SangriaFrancesaArticulo"/>
      </w:pPr>
      <w:r w:rsidRPr="00DD47EB">
        <w:rPr>
          <w:rStyle w:val="TextoNormalNegritaCaracter"/>
        </w:rPr>
        <w:t>Artículo 50.3</w:t>
      </w:r>
      <w:r>
        <w:t xml:space="preserve"> (redactado por la Ley Orgánica 6/2007, de 24 de mayo)</w:t>
      </w:r>
      <w:r w:rsidRPr="00DD47EB">
        <w:rPr>
          <w:rStyle w:val="TextoNormalNegritaCaracter"/>
        </w:rPr>
        <w:t>.</w:t>
      </w:r>
      <w:r w:rsidRPr="00DD47EB">
        <w:rPr>
          <w:rStyle w:val="TextoNormalCaracter"/>
        </w:rPr>
        <w:t>-</w:t>
      </w:r>
      <w:r>
        <w:t xml:space="preserve"> Autos </w:t>
      </w:r>
      <w:hyperlink w:anchor="AUTO_2015_106" w:history="1">
        <w:r w:rsidRPr="00DD47EB">
          <w:rPr>
            <w:rStyle w:val="TextoNormalCaracter"/>
          </w:rPr>
          <w:t>106/2015</w:t>
        </w:r>
      </w:hyperlink>
      <w:r>
        <w:t xml:space="preserve">, f. único; </w:t>
      </w:r>
      <w:hyperlink w:anchor="AUTO_2015_109" w:history="1">
        <w:r w:rsidRPr="00DD47EB">
          <w:rPr>
            <w:rStyle w:val="TextoNormalCaracter"/>
          </w:rPr>
          <w:t>109/2015</w:t>
        </w:r>
      </w:hyperlink>
      <w:r>
        <w:t>, f. 2.</w:t>
      </w:r>
    </w:p>
    <w:p w:rsidR="00DD47EB" w:rsidRDefault="00DD47EB" w:rsidP="00DD47EB">
      <w:pPr>
        <w:pStyle w:val="SangriaFrancesaArticulo"/>
      </w:pPr>
      <w:r w:rsidRPr="00DD47EB">
        <w:rPr>
          <w:rStyle w:val="TextoNormalNegritaCaracter"/>
        </w:rPr>
        <w:t>Artículo 55.</w:t>
      </w:r>
      <w:r w:rsidRPr="00DD47EB">
        <w:rPr>
          <w:rStyle w:val="TextoNormalCaracter"/>
        </w:rPr>
        <w:t>-</w:t>
      </w:r>
      <w:r>
        <w:t xml:space="preserve"> Sentencia </w:t>
      </w:r>
      <w:hyperlink w:anchor="SENTENCIA_2015_77" w:history="1">
        <w:r w:rsidRPr="00DD47EB">
          <w:rPr>
            <w:rStyle w:val="TextoNormalCaracter"/>
          </w:rPr>
          <w:t>77/2015</w:t>
        </w:r>
      </w:hyperlink>
      <w:r>
        <w:t>, f. 5.</w:t>
      </w:r>
    </w:p>
    <w:p w:rsidR="00DD47EB" w:rsidRDefault="00DD47EB" w:rsidP="00DD47EB">
      <w:pPr>
        <w:pStyle w:val="SangriaFrancesaArticulo"/>
      </w:pPr>
      <w:r w:rsidRPr="00DD47EB">
        <w:rPr>
          <w:rStyle w:val="TextoNormalNegritaCaracter"/>
        </w:rPr>
        <w:t>Artículo 55.1.</w:t>
      </w:r>
      <w:r w:rsidRPr="00DD47EB">
        <w:rPr>
          <w:rStyle w:val="TextoNormalCaracter"/>
        </w:rPr>
        <w:t>-</w:t>
      </w:r>
      <w:r>
        <w:t xml:space="preserve"> Sentencias </w:t>
      </w:r>
      <w:hyperlink w:anchor="SENTENCIA_2015_89" w:history="1">
        <w:r w:rsidRPr="00DD47EB">
          <w:rPr>
            <w:rStyle w:val="TextoNormalCaracter"/>
          </w:rPr>
          <w:t>89/2015</w:t>
        </w:r>
      </w:hyperlink>
      <w:r>
        <w:t xml:space="preserve">, f. 6; </w:t>
      </w:r>
      <w:hyperlink w:anchor="SENTENCIA_2015_145" w:history="1">
        <w:r w:rsidRPr="00DD47EB">
          <w:rPr>
            <w:rStyle w:val="TextoNormalCaracter"/>
          </w:rPr>
          <w:t>145/2015</w:t>
        </w:r>
      </w:hyperlink>
      <w:r>
        <w:t>, f. 6.</w:t>
      </w:r>
    </w:p>
    <w:p w:rsidR="00DD47EB" w:rsidRDefault="00DD47EB" w:rsidP="00DD47EB">
      <w:pPr>
        <w:pStyle w:val="SangriaFrancesaArticulo"/>
      </w:pPr>
      <w:r w:rsidRPr="00DD47EB">
        <w:rPr>
          <w:rStyle w:val="TextoNormalNegritaCaracter"/>
        </w:rPr>
        <w:t>Artículo 55.1</w:t>
      </w:r>
      <w:r>
        <w:t xml:space="preserve"> (redactado por la Ley Orgánica 6/2007, de 24 de mayo)</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5.</w:t>
      </w:r>
    </w:p>
    <w:p w:rsidR="00DD47EB" w:rsidRDefault="00DD47EB" w:rsidP="00DD47EB">
      <w:pPr>
        <w:pStyle w:val="SangriaFrancesaArticulo"/>
      </w:pPr>
      <w:r w:rsidRPr="00DD47EB">
        <w:rPr>
          <w:rStyle w:val="TextoNormalNegritaCaracter"/>
        </w:rPr>
        <w:t>Artículo 55.1 a).</w:t>
      </w:r>
      <w:r w:rsidRPr="00DD47EB">
        <w:rPr>
          <w:rStyle w:val="TextoNormalCaracter"/>
        </w:rPr>
        <w:t>-</w:t>
      </w:r>
      <w:r>
        <w:t xml:space="preserve"> Sentencias </w:t>
      </w:r>
      <w:hyperlink w:anchor="SENTENCIA_2015_24" w:history="1">
        <w:r w:rsidRPr="00DD47EB">
          <w:rPr>
            <w:rStyle w:val="TextoNormalCaracter"/>
          </w:rPr>
          <w:t>24/2015</w:t>
        </w:r>
      </w:hyperlink>
      <w:r>
        <w:t xml:space="preserve">, f. 3; </w:t>
      </w:r>
      <w:hyperlink w:anchor="SENTENCIA_2015_77" w:history="1">
        <w:r w:rsidRPr="00DD47EB">
          <w:rPr>
            <w:rStyle w:val="TextoNormalCaracter"/>
          </w:rPr>
          <w:t>77/2015</w:t>
        </w:r>
      </w:hyperlink>
      <w:r>
        <w:t>, f. 5.</w:t>
      </w:r>
    </w:p>
    <w:p w:rsidR="00DD47EB" w:rsidRDefault="00DD47EB" w:rsidP="00DD47EB">
      <w:pPr>
        <w:pStyle w:val="SangriaIzquierdaArticulo"/>
      </w:pPr>
      <w:r>
        <w:t xml:space="preserve">Auto </w:t>
      </w:r>
      <w:hyperlink w:anchor="AUTO_2015_29" w:history="1">
        <w:r w:rsidRPr="00DD47EB">
          <w:rPr>
            <w:rStyle w:val="TextoNormalCaracter"/>
          </w:rPr>
          <w:t>29/2015</w:t>
        </w:r>
      </w:hyperlink>
      <w:r>
        <w:t>, f. 3.</w:t>
      </w:r>
    </w:p>
    <w:p w:rsidR="00DD47EB" w:rsidRDefault="00DD47EB" w:rsidP="00DD47EB">
      <w:pPr>
        <w:pStyle w:val="SangriaFrancesaArticulo"/>
      </w:pPr>
      <w:r w:rsidRPr="00DD47EB">
        <w:rPr>
          <w:rStyle w:val="TextoNormalNegritaCaracter"/>
        </w:rPr>
        <w:t>Artículo 55.2</w:t>
      </w:r>
      <w:r>
        <w:t xml:space="preserve"> (redactado por la Ley Orgánica 6/2007, de 24 de mayo)</w:t>
      </w:r>
      <w:r w:rsidRPr="00DD47EB">
        <w:rPr>
          <w:rStyle w:val="TextoNormalNegritaCaracter"/>
        </w:rPr>
        <w:t>.</w:t>
      </w:r>
      <w:r w:rsidRPr="00DD47EB">
        <w:rPr>
          <w:rStyle w:val="TextoNormalCaracter"/>
        </w:rPr>
        <w:t>-</w:t>
      </w:r>
      <w:r>
        <w:t xml:space="preserve"> Auto </w:t>
      </w:r>
      <w:hyperlink w:anchor="AUTO_2015_16" w:history="1">
        <w:r w:rsidRPr="00DD47EB">
          <w:rPr>
            <w:rStyle w:val="TextoNormalCaracter"/>
          </w:rPr>
          <w:t>16/2015</w:t>
        </w:r>
      </w:hyperlink>
      <w:r>
        <w:t>, f. único.</w:t>
      </w:r>
    </w:p>
    <w:p w:rsidR="00DD47EB" w:rsidRDefault="00DD47EB" w:rsidP="00DD47EB">
      <w:pPr>
        <w:pStyle w:val="SangriaFrancesaArticulo"/>
      </w:pPr>
      <w:r w:rsidRPr="00DD47EB">
        <w:rPr>
          <w:rStyle w:val="TextoNormalNegritaCaracter"/>
        </w:rPr>
        <w:t>Artículo 56.</w:t>
      </w:r>
      <w:r w:rsidRPr="00DD47EB">
        <w:rPr>
          <w:rStyle w:val="TextoNormalCaracter"/>
        </w:rPr>
        <w:t>-</w:t>
      </w:r>
      <w:r>
        <w:t xml:space="preserve"> Autos </w:t>
      </w:r>
      <w:hyperlink w:anchor="AUTO_2015_7" w:history="1">
        <w:r w:rsidRPr="00DD47EB">
          <w:rPr>
            <w:rStyle w:val="TextoNormalCaracter"/>
          </w:rPr>
          <w:t>7/2015</w:t>
        </w:r>
      </w:hyperlink>
      <w:r>
        <w:t xml:space="preserve">, f. 1; </w:t>
      </w:r>
      <w:hyperlink w:anchor="AUTO_2015_27" w:history="1">
        <w:r w:rsidRPr="00DD47EB">
          <w:rPr>
            <w:rStyle w:val="TextoNormalCaracter"/>
          </w:rPr>
          <w:t>27/2015</w:t>
        </w:r>
      </w:hyperlink>
      <w:r>
        <w:t xml:space="preserve">, f. 2; </w:t>
      </w:r>
      <w:hyperlink w:anchor="AUTO_2015_29" w:history="1">
        <w:r w:rsidRPr="00DD47EB">
          <w:rPr>
            <w:rStyle w:val="TextoNormalCaracter"/>
          </w:rPr>
          <w:t>29/2015</w:t>
        </w:r>
      </w:hyperlink>
      <w:r>
        <w:t xml:space="preserve">, ff. 3, 4; </w:t>
      </w:r>
      <w:hyperlink w:anchor="AUTO_2015_50" w:history="1">
        <w:r w:rsidRPr="00DD47EB">
          <w:rPr>
            <w:rStyle w:val="TextoNormalCaracter"/>
          </w:rPr>
          <w:t>50/2015</w:t>
        </w:r>
      </w:hyperlink>
      <w:r>
        <w:t xml:space="preserve">, f. 1; </w:t>
      </w:r>
      <w:hyperlink w:anchor="AUTO_2015_59" w:history="1">
        <w:r w:rsidRPr="00DD47EB">
          <w:rPr>
            <w:rStyle w:val="TextoNormalCaracter"/>
          </w:rPr>
          <w:t>59/2015</w:t>
        </w:r>
      </w:hyperlink>
      <w:r>
        <w:t xml:space="preserve">, f. 3; </w:t>
      </w:r>
      <w:hyperlink w:anchor="AUTO_2015_90" w:history="1">
        <w:r w:rsidRPr="00DD47EB">
          <w:rPr>
            <w:rStyle w:val="TextoNormalCaracter"/>
          </w:rPr>
          <w:t>90/2015</w:t>
        </w:r>
      </w:hyperlink>
      <w:r>
        <w:t xml:space="preserve">, f. 1; </w:t>
      </w:r>
      <w:hyperlink w:anchor="AUTO_2015_95" w:history="1">
        <w:r w:rsidRPr="00DD47EB">
          <w:rPr>
            <w:rStyle w:val="TextoNormalCaracter"/>
          </w:rPr>
          <w:t>95/2015</w:t>
        </w:r>
      </w:hyperlink>
      <w:r>
        <w:t>, f. 4.</w:t>
      </w:r>
    </w:p>
    <w:p w:rsidR="00DD47EB" w:rsidRDefault="00DD47EB" w:rsidP="00DD47EB">
      <w:pPr>
        <w:pStyle w:val="SangriaFrancesaArticulo"/>
      </w:pPr>
      <w:r w:rsidRPr="00DD47EB">
        <w:rPr>
          <w:rStyle w:val="TextoNormalNegritaCaracter"/>
        </w:rPr>
        <w:t>Artículo 56.1.</w:t>
      </w:r>
      <w:r w:rsidRPr="00DD47EB">
        <w:rPr>
          <w:rStyle w:val="TextoNormalCaracter"/>
        </w:rPr>
        <w:t>-</w:t>
      </w:r>
      <w:r>
        <w:t xml:space="preserve"> Auto </w:t>
      </w:r>
      <w:hyperlink w:anchor="AUTO_2015_59" w:history="1">
        <w:r w:rsidRPr="00DD47EB">
          <w:rPr>
            <w:rStyle w:val="TextoNormalCaracter"/>
          </w:rPr>
          <w:t>59/2015</w:t>
        </w:r>
      </w:hyperlink>
      <w:r>
        <w:t>, f. 1.</w:t>
      </w:r>
    </w:p>
    <w:p w:rsidR="00DD47EB" w:rsidRDefault="00DD47EB" w:rsidP="00DD47EB">
      <w:pPr>
        <w:pStyle w:val="SangriaFrancesaArticulo"/>
      </w:pPr>
      <w:r w:rsidRPr="00DD47EB">
        <w:rPr>
          <w:rStyle w:val="TextoNormalNegritaCaracter"/>
        </w:rPr>
        <w:t>Artículo 56.1</w:t>
      </w:r>
      <w:r>
        <w:t xml:space="preserve"> (redactado por la Ley Orgánica 6/2007, de 24 de mayo)</w:t>
      </w:r>
      <w:r w:rsidRPr="00DD47EB">
        <w:rPr>
          <w:rStyle w:val="TextoNormalNegritaCaracter"/>
        </w:rPr>
        <w:t>.</w:t>
      </w:r>
      <w:r w:rsidRPr="00DD47EB">
        <w:rPr>
          <w:rStyle w:val="TextoNormalCaracter"/>
        </w:rPr>
        <w:t>-</w:t>
      </w:r>
      <w:r>
        <w:t xml:space="preserve"> Autos </w:t>
      </w:r>
      <w:hyperlink w:anchor="AUTO_2015_29" w:history="1">
        <w:r w:rsidRPr="00DD47EB">
          <w:rPr>
            <w:rStyle w:val="TextoNormalCaracter"/>
          </w:rPr>
          <w:t>29/2015</w:t>
        </w:r>
      </w:hyperlink>
      <w:r>
        <w:t xml:space="preserve">, f. 1; </w:t>
      </w:r>
      <w:hyperlink w:anchor="AUTO_2015_92" w:history="1">
        <w:r w:rsidRPr="00DD47EB">
          <w:rPr>
            <w:rStyle w:val="TextoNormalCaracter"/>
          </w:rPr>
          <w:t>92/2015</w:t>
        </w:r>
      </w:hyperlink>
      <w:r>
        <w:t xml:space="preserve">, f. 1; </w:t>
      </w:r>
      <w:hyperlink w:anchor="AUTO_2015_94" w:history="1">
        <w:r w:rsidRPr="00DD47EB">
          <w:rPr>
            <w:rStyle w:val="TextoNormalCaracter"/>
          </w:rPr>
          <w:t>94/2015</w:t>
        </w:r>
      </w:hyperlink>
      <w:r>
        <w:t xml:space="preserve">, f. 1; </w:t>
      </w:r>
      <w:hyperlink w:anchor="AUTO_2015_95" w:history="1">
        <w:r w:rsidRPr="00DD47EB">
          <w:rPr>
            <w:rStyle w:val="TextoNormalCaracter"/>
          </w:rPr>
          <w:t>95/2015</w:t>
        </w:r>
      </w:hyperlink>
      <w:r>
        <w:t>, f. 1.</w:t>
      </w:r>
    </w:p>
    <w:p w:rsidR="00DD47EB" w:rsidRDefault="00DD47EB" w:rsidP="00DD47EB">
      <w:pPr>
        <w:pStyle w:val="SangriaFrancesaArticulo"/>
      </w:pPr>
      <w:r w:rsidRPr="00DD47EB">
        <w:rPr>
          <w:rStyle w:val="TextoNormalNegritaCaracter"/>
        </w:rPr>
        <w:t>Artículo 56.2.</w:t>
      </w:r>
      <w:r w:rsidRPr="00DD47EB">
        <w:rPr>
          <w:rStyle w:val="TextoNormalCaracter"/>
        </w:rPr>
        <w:t>-</w:t>
      </w:r>
      <w:r>
        <w:t xml:space="preserve"> Auto </w:t>
      </w:r>
      <w:hyperlink w:anchor="AUTO_2015_50" w:history="1">
        <w:r w:rsidRPr="00DD47EB">
          <w:rPr>
            <w:rStyle w:val="TextoNormalCaracter"/>
          </w:rPr>
          <w:t>50/2015</w:t>
        </w:r>
      </w:hyperlink>
      <w:r>
        <w:t>, f. 1.</w:t>
      </w:r>
    </w:p>
    <w:p w:rsidR="00DD47EB" w:rsidRDefault="00DD47EB" w:rsidP="00DD47EB">
      <w:pPr>
        <w:pStyle w:val="SangriaFrancesaArticulo"/>
      </w:pPr>
      <w:r w:rsidRPr="00DD47EB">
        <w:rPr>
          <w:rStyle w:val="TextoNormalNegritaCaracter"/>
        </w:rPr>
        <w:t>Artículo 56.2</w:t>
      </w:r>
      <w:r>
        <w:t xml:space="preserve"> (redactado por la Ley Orgánica 6/2007, de 24 de mayo)</w:t>
      </w:r>
      <w:r w:rsidRPr="00DD47EB">
        <w:rPr>
          <w:rStyle w:val="TextoNormalNegritaCaracter"/>
        </w:rPr>
        <w:t>.</w:t>
      </w:r>
      <w:r w:rsidRPr="00DD47EB">
        <w:rPr>
          <w:rStyle w:val="TextoNormalCaracter"/>
        </w:rPr>
        <w:t>-</w:t>
      </w:r>
      <w:r>
        <w:t xml:space="preserve"> Autos </w:t>
      </w:r>
      <w:hyperlink w:anchor="AUTO_2015_7" w:history="1">
        <w:r w:rsidRPr="00DD47EB">
          <w:rPr>
            <w:rStyle w:val="TextoNormalCaracter"/>
          </w:rPr>
          <w:t>7/2015</w:t>
        </w:r>
      </w:hyperlink>
      <w:r>
        <w:t xml:space="preserve">, f. 1; </w:t>
      </w:r>
      <w:hyperlink w:anchor="AUTO_2015_27" w:history="1">
        <w:r w:rsidRPr="00DD47EB">
          <w:rPr>
            <w:rStyle w:val="TextoNormalCaracter"/>
          </w:rPr>
          <w:t>27/2015</w:t>
        </w:r>
      </w:hyperlink>
      <w:r>
        <w:t xml:space="preserve">, f. 2; </w:t>
      </w:r>
      <w:hyperlink w:anchor="AUTO_2015_29" w:history="1">
        <w:r w:rsidRPr="00DD47EB">
          <w:rPr>
            <w:rStyle w:val="TextoNormalCaracter"/>
          </w:rPr>
          <w:t>29/2015</w:t>
        </w:r>
      </w:hyperlink>
      <w:r>
        <w:t xml:space="preserve">, f. 1; </w:t>
      </w:r>
      <w:hyperlink w:anchor="AUTO_2015_92" w:history="1">
        <w:r w:rsidRPr="00DD47EB">
          <w:rPr>
            <w:rStyle w:val="TextoNormalCaracter"/>
          </w:rPr>
          <w:t>92/2015</w:t>
        </w:r>
      </w:hyperlink>
      <w:r>
        <w:t xml:space="preserve">, f. 1; </w:t>
      </w:r>
      <w:hyperlink w:anchor="AUTO_2015_94" w:history="1">
        <w:r w:rsidRPr="00DD47EB">
          <w:rPr>
            <w:rStyle w:val="TextoNormalCaracter"/>
          </w:rPr>
          <w:t>94/2015</w:t>
        </w:r>
      </w:hyperlink>
      <w:r>
        <w:t xml:space="preserve">, f. 1; </w:t>
      </w:r>
      <w:hyperlink w:anchor="AUTO_2015_95" w:history="1">
        <w:r w:rsidRPr="00DD47EB">
          <w:rPr>
            <w:rStyle w:val="TextoNormalCaracter"/>
          </w:rPr>
          <w:t>95/2015</w:t>
        </w:r>
      </w:hyperlink>
      <w:r>
        <w:t>, f. 1.</w:t>
      </w:r>
    </w:p>
    <w:p w:rsidR="00DD47EB" w:rsidRDefault="00DD47EB" w:rsidP="00DD47EB">
      <w:pPr>
        <w:pStyle w:val="SangriaFrancesaArticulo"/>
      </w:pPr>
      <w:r w:rsidRPr="00DD47EB">
        <w:rPr>
          <w:rStyle w:val="TextoNormalNegritaCaracter"/>
        </w:rPr>
        <w:t>Artículo 56.3.</w:t>
      </w:r>
      <w:r w:rsidRPr="00DD47EB">
        <w:rPr>
          <w:rStyle w:val="TextoNormalCaracter"/>
        </w:rPr>
        <w:t>-</w:t>
      </w:r>
      <w:r>
        <w:t xml:space="preserve"> Auto </w:t>
      </w:r>
      <w:hyperlink w:anchor="AUTO_2015_50" w:history="1">
        <w:r w:rsidRPr="00DD47EB">
          <w:rPr>
            <w:rStyle w:val="TextoNormalCaracter"/>
          </w:rPr>
          <w:t>50/2015</w:t>
        </w:r>
      </w:hyperlink>
      <w:r>
        <w:t>, f. 1.</w:t>
      </w:r>
    </w:p>
    <w:p w:rsidR="00DD47EB" w:rsidRDefault="00DD47EB" w:rsidP="00DD47EB">
      <w:pPr>
        <w:pStyle w:val="SangriaFrancesaArticulo"/>
      </w:pPr>
      <w:r w:rsidRPr="00DD47EB">
        <w:rPr>
          <w:rStyle w:val="TextoNormalNegritaCaracter"/>
        </w:rPr>
        <w:t>Artículo 56.3</w:t>
      </w:r>
      <w:r>
        <w:t xml:space="preserve"> (redactado por la Ley Orgánica 6/2007, de 24 de mayo)</w:t>
      </w:r>
      <w:r w:rsidRPr="00DD47EB">
        <w:rPr>
          <w:rStyle w:val="TextoNormalNegritaCaracter"/>
        </w:rPr>
        <w:t>.</w:t>
      </w:r>
      <w:r w:rsidRPr="00DD47EB">
        <w:rPr>
          <w:rStyle w:val="TextoNormalCaracter"/>
        </w:rPr>
        <w:t>-</w:t>
      </w:r>
      <w:r>
        <w:t xml:space="preserve"> Auto </w:t>
      </w:r>
      <w:hyperlink w:anchor="AUTO_2015_7" w:history="1">
        <w:r w:rsidRPr="00DD47EB">
          <w:rPr>
            <w:rStyle w:val="TextoNormalCaracter"/>
          </w:rPr>
          <w:t>7/2015</w:t>
        </w:r>
      </w:hyperlink>
      <w:r>
        <w:t>, f. 1.</w:t>
      </w:r>
    </w:p>
    <w:p w:rsidR="00DD47EB" w:rsidRDefault="00DD47EB" w:rsidP="00DD47EB">
      <w:pPr>
        <w:pStyle w:val="SangriaFrancesaArticulo"/>
      </w:pPr>
      <w:r w:rsidRPr="00DD47EB">
        <w:rPr>
          <w:rStyle w:val="TextoNormalNegritaCaracter"/>
        </w:rPr>
        <w:t>Artículo 59.</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Artículos 62 a 67.</w:t>
      </w:r>
      <w:r w:rsidRPr="00DD47EB">
        <w:rPr>
          <w:rStyle w:val="TextoNormalCaracter"/>
        </w:rPr>
        <w:t>-</w:t>
      </w:r>
      <w:r>
        <w:t xml:space="preserve"> Sentencias </w:t>
      </w:r>
      <w:hyperlink w:anchor="SENTENCIA_2015_137" w:history="1">
        <w:r w:rsidRPr="00DD47EB">
          <w:rPr>
            <w:rStyle w:val="TextoNormalCaracter"/>
          </w:rPr>
          <w:t>137/2015</w:t>
        </w:r>
      </w:hyperlink>
      <w:r>
        <w:t xml:space="preserve">, f. 2; </w:t>
      </w:r>
      <w:hyperlink w:anchor="SENTENCIA_2015_147" w:history="1">
        <w:r w:rsidRPr="00DD47EB">
          <w:rPr>
            <w:rStyle w:val="TextoNormalCaracter"/>
          </w:rPr>
          <w:t>147/2015</w:t>
        </w:r>
      </w:hyperlink>
      <w:r>
        <w:t>, f. 2.</w:t>
      </w:r>
    </w:p>
    <w:p w:rsidR="00DD47EB" w:rsidRDefault="00DD47EB" w:rsidP="00DD47EB">
      <w:pPr>
        <w:pStyle w:val="SangriaFrancesaArticulo"/>
      </w:pPr>
      <w:r w:rsidRPr="00DD47EB">
        <w:rPr>
          <w:rStyle w:val="TextoNormalNegritaCaracter"/>
        </w:rPr>
        <w:t>Artículo 63.</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63.3.</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64.</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65.</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66.</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67.</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75 bis</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75 quater</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IzquierdaArticulo"/>
      </w:pPr>
      <w:r>
        <w:t xml:space="preserve">Autos </w:t>
      </w:r>
      <w:hyperlink w:anchor="AUTO_2015_70" w:history="1">
        <w:r w:rsidRPr="00DD47EB">
          <w:rPr>
            <w:rStyle w:val="TextoNormalCaracter"/>
          </w:rPr>
          <w:t>70/2015</w:t>
        </w:r>
      </w:hyperlink>
      <w:r>
        <w:t xml:space="preserve">, ff. 2, 3; </w:t>
      </w:r>
      <w:hyperlink w:anchor="AUTO_2015_102" w:history="1">
        <w:r w:rsidRPr="00DD47EB">
          <w:rPr>
            <w:rStyle w:val="TextoNormalCaracter"/>
          </w:rPr>
          <w:t>102/2015</w:t>
        </w:r>
      </w:hyperlink>
      <w:r>
        <w:t>, ff. 1, 3.</w:t>
      </w:r>
    </w:p>
    <w:p w:rsidR="00DD47EB" w:rsidRDefault="00DD47EB" w:rsidP="00DD47EB">
      <w:pPr>
        <w:pStyle w:val="SangriaFrancesaArticulo"/>
      </w:pPr>
      <w:r w:rsidRPr="00DD47EB">
        <w:rPr>
          <w:rStyle w:val="TextoNormalNegritaCaracter"/>
        </w:rPr>
        <w:t>Artículo 75 quater, apartado 1.</w:t>
      </w:r>
      <w:r w:rsidRPr="00DD47EB">
        <w:rPr>
          <w:rStyle w:val="TextoNormalCaracter"/>
        </w:rPr>
        <w:t>-</w:t>
      </w:r>
      <w:r>
        <w:t xml:space="preserve"> Auto </w:t>
      </w:r>
      <w:hyperlink w:anchor="AUTO_2015_70" w:history="1">
        <w:r w:rsidRPr="00DD47EB">
          <w:rPr>
            <w:rStyle w:val="TextoNormalCaracter"/>
          </w:rPr>
          <w:t>70/2015</w:t>
        </w:r>
      </w:hyperlink>
      <w:r>
        <w:t>, f. 2.</w:t>
      </w:r>
    </w:p>
    <w:p w:rsidR="00DD47EB" w:rsidRDefault="00DD47EB" w:rsidP="00DD47EB">
      <w:pPr>
        <w:pStyle w:val="SangriaFrancesaArticulo"/>
      </w:pPr>
      <w:r w:rsidRPr="00DD47EB">
        <w:rPr>
          <w:rStyle w:val="TextoNormalNegritaCaracter"/>
        </w:rPr>
        <w:t>Artículo 75 quater, apartado 2</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IzquierdaArticulo"/>
      </w:pPr>
      <w:r>
        <w:t xml:space="preserve">Autos </w:t>
      </w:r>
      <w:hyperlink w:anchor="AUTO_2015_70" w:history="1">
        <w:r w:rsidRPr="00DD47EB">
          <w:rPr>
            <w:rStyle w:val="TextoNormalCaracter"/>
          </w:rPr>
          <w:t>70/2015</w:t>
        </w:r>
      </w:hyperlink>
      <w:r>
        <w:t xml:space="preserve">, ff. 2, 4, 5; </w:t>
      </w:r>
      <w:hyperlink w:anchor="AUTO_2015_102" w:history="1">
        <w:r w:rsidRPr="00DD47EB">
          <w:rPr>
            <w:rStyle w:val="TextoNormalCaracter"/>
          </w:rPr>
          <w:t>102/2015</w:t>
        </w:r>
      </w:hyperlink>
      <w:r>
        <w:t>, ff. 1 a 3.</w:t>
      </w:r>
    </w:p>
    <w:p w:rsidR="00DD47EB" w:rsidRDefault="00DD47EB" w:rsidP="00DD47EB">
      <w:pPr>
        <w:pStyle w:val="SangriaFrancesaArticulo"/>
      </w:pPr>
      <w:r w:rsidRPr="00DD47EB">
        <w:rPr>
          <w:rStyle w:val="TextoNormalNegritaCaracter"/>
        </w:rPr>
        <w:t>Artículo 75 quinquies</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IzquierdaArticulo"/>
      </w:pPr>
      <w:r>
        <w:t xml:space="preserve">Auto </w:t>
      </w:r>
      <w:hyperlink w:anchor="AUTO_2015_70" w:history="1">
        <w:r w:rsidRPr="00DD47EB">
          <w:rPr>
            <w:rStyle w:val="TextoNormalCaracter"/>
          </w:rPr>
          <w:t>70/2015</w:t>
        </w:r>
      </w:hyperlink>
      <w:r>
        <w:t>, f. 1.</w:t>
      </w:r>
    </w:p>
    <w:p w:rsidR="00DD47EB" w:rsidRDefault="00DD47EB" w:rsidP="00DD47EB">
      <w:pPr>
        <w:pStyle w:val="SangriaFrancesaArticulo"/>
      </w:pPr>
      <w:r w:rsidRPr="00DD47EB">
        <w:rPr>
          <w:rStyle w:val="TextoNormalNegritaCaracter"/>
        </w:rPr>
        <w:t>Artículo 75 quinquies, apartado 1</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75 ter</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IzquierdaArticulo"/>
      </w:pPr>
      <w:r>
        <w:t xml:space="preserve">Auto </w:t>
      </w:r>
      <w:hyperlink w:anchor="AUTO_2015_70" w:history="1">
        <w:r w:rsidRPr="00DD47EB">
          <w:rPr>
            <w:rStyle w:val="TextoNormalCaracter"/>
          </w:rPr>
          <w:t>70/2015</w:t>
        </w:r>
      </w:hyperlink>
      <w:r>
        <w:t>, f. 2.</w:t>
      </w:r>
    </w:p>
    <w:p w:rsidR="00DD47EB" w:rsidRDefault="00DD47EB" w:rsidP="00DD47EB">
      <w:pPr>
        <w:pStyle w:val="SangriaFrancesaArticulo"/>
      </w:pPr>
      <w:r w:rsidRPr="00DD47EB">
        <w:rPr>
          <w:rStyle w:val="TextoNormalNegritaCaracter"/>
        </w:rPr>
        <w:t>Artículo 75 ter 1 a)</w:t>
      </w:r>
      <w:r>
        <w:t xml:space="preserve"> (redactado por la Ley Orgánica 7/1999, de 21 de abril)</w:t>
      </w:r>
      <w:r w:rsidRPr="00DD47EB">
        <w:rPr>
          <w:rStyle w:val="TextoNormalNegritaCaracter"/>
        </w:rPr>
        <w:t>.</w:t>
      </w:r>
      <w:r w:rsidRPr="00DD47EB">
        <w:rPr>
          <w:rStyle w:val="TextoNormalCaracter"/>
        </w:rPr>
        <w:t>-</w:t>
      </w:r>
      <w:r>
        <w:t xml:space="preserve"> Auto </w:t>
      </w:r>
      <w:hyperlink w:anchor="AUTO_2015_70" w:history="1">
        <w:r w:rsidRPr="00DD47EB">
          <w:rPr>
            <w:rStyle w:val="TextoNormalCaracter"/>
          </w:rPr>
          <w:t>70/2015</w:t>
        </w:r>
      </w:hyperlink>
      <w:r>
        <w:t>, f. 5.</w:t>
      </w:r>
    </w:p>
    <w:p w:rsidR="00DD47EB" w:rsidRDefault="00DD47EB" w:rsidP="00DD47EB">
      <w:pPr>
        <w:pStyle w:val="SangriaFrancesaArticulo"/>
      </w:pPr>
      <w:r w:rsidRPr="00DD47EB">
        <w:rPr>
          <w:rStyle w:val="TextoNormalNegritaCaracter"/>
        </w:rPr>
        <w:t>Artículo 75 ter 1 b)</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75 ter, apartado 2</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75 ter, apartado 3</w:t>
      </w:r>
      <w:r>
        <w:t xml:space="preserve"> (redactado por la Ley Orgánica 7/1999, de 21 de abril</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r w:rsidRPr="00DD47EB">
        <w:rPr>
          <w:rStyle w:val="TextoNormalNegritaCaracter"/>
        </w:rPr>
        <w:t>Artículo 76.</w:t>
      </w:r>
      <w:r w:rsidRPr="00DD47EB">
        <w:rPr>
          <w:rStyle w:val="TextoNormalCaracter"/>
        </w:rPr>
        <w:t>-</w:t>
      </w:r>
      <w:r>
        <w:t xml:space="preserve"> Sentencias </w:t>
      </w:r>
      <w:hyperlink w:anchor="SENTENCIA_2015_32" w:history="1">
        <w:r w:rsidRPr="00DD47EB">
          <w:rPr>
            <w:rStyle w:val="TextoNormalCaracter"/>
          </w:rPr>
          <w:t>32/2015</w:t>
        </w:r>
      </w:hyperlink>
      <w:r>
        <w:t xml:space="preserve">, ff. 1, 2; </w:t>
      </w:r>
      <w:hyperlink w:anchor="SENTENCIA_2015_137" w:history="1">
        <w:r w:rsidRPr="00DD47EB">
          <w:rPr>
            <w:rStyle w:val="TextoNormalCaracter"/>
          </w:rPr>
          <w:t>137/2015</w:t>
        </w:r>
      </w:hyperlink>
      <w:r>
        <w:t>, ff. 1, 2.</w:t>
      </w:r>
    </w:p>
    <w:p w:rsidR="00DD47EB" w:rsidRDefault="00DD47EB" w:rsidP="00DD47EB">
      <w:pPr>
        <w:pStyle w:val="SangriaFrancesaArticulo"/>
      </w:pPr>
      <w:r w:rsidRPr="00DD47EB">
        <w:rPr>
          <w:rStyle w:val="TextoNormalNegritaCaracter"/>
        </w:rPr>
        <w:t>Artículo 77.</w:t>
      </w:r>
      <w:r w:rsidRPr="00DD47EB">
        <w:rPr>
          <w:rStyle w:val="TextoNormalCaracter"/>
        </w:rPr>
        <w:t>-</w:t>
      </w:r>
      <w:r>
        <w:t xml:space="preserve"> Sentencias </w:t>
      </w:r>
      <w:hyperlink w:anchor="SENTENCIA_2015_32" w:history="1">
        <w:r w:rsidRPr="00DD47EB">
          <w:rPr>
            <w:rStyle w:val="TextoNormalCaracter"/>
          </w:rPr>
          <w:t>32/2015</w:t>
        </w:r>
      </w:hyperlink>
      <w:r>
        <w:t xml:space="preserve">, ff. 1, 2; </w:t>
      </w:r>
      <w:hyperlink w:anchor="SENTENCIA_2015_137" w:history="1">
        <w:r w:rsidRPr="00DD47EB">
          <w:rPr>
            <w:rStyle w:val="TextoNormalCaracter"/>
          </w:rPr>
          <w:t>137/2015</w:t>
        </w:r>
      </w:hyperlink>
      <w:r>
        <w:t>, ff. 1, 2.</w:t>
      </w:r>
    </w:p>
    <w:p w:rsidR="00DD47EB" w:rsidRDefault="00DD47EB" w:rsidP="00DD47EB">
      <w:pPr>
        <w:pStyle w:val="SangriaFrancesaArticulo"/>
      </w:pPr>
      <w:r w:rsidRPr="00DD47EB">
        <w:rPr>
          <w:rStyle w:val="TextoNormalNegritaCaracter"/>
        </w:rPr>
        <w:t>Artículo 77.1.</w:t>
      </w:r>
      <w:r w:rsidRPr="00DD47EB">
        <w:rPr>
          <w:rStyle w:val="TextoNormalCaracter"/>
        </w:rPr>
        <w:t>-</w:t>
      </w:r>
      <w:r>
        <w:t xml:space="preserve"> Sentencia </w:t>
      </w:r>
      <w:hyperlink w:anchor="SENTENCIA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80.</w:t>
      </w:r>
      <w:r w:rsidRPr="00DD47EB">
        <w:rPr>
          <w:rStyle w:val="TextoNormalCaracter"/>
        </w:rPr>
        <w:t>-</w:t>
      </w:r>
      <w:r>
        <w:t xml:space="preserve"> Sentencia </w:t>
      </w:r>
      <w:hyperlink w:anchor="SENTENCIA_2015_103" w:history="1">
        <w:r w:rsidRPr="00DD47EB">
          <w:rPr>
            <w:rStyle w:val="TextoNormalCaracter"/>
          </w:rPr>
          <w:t>103/2015</w:t>
        </w:r>
      </w:hyperlink>
      <w:r>
        <w:t>, f. 2.</w:t>
      </w:r>
    </w:p>
    <w:p w:rsidR="00DD47EB" w:rsidRDefault="00DD47EB" w:rsidP="00DD47EB">
      <w:pPr>
        <w:pStyle w:val="SangriaIzquierdaArticulo"/>
      </w:pPr>
      <w:r>
        <w:t xml:space="preserve">Autos </w:t>
      </w:r>
      <w:hyperlink w:anchor="AUTO_2015_1" w:history="1">
        <w:r w:rsidRPr="00DD47EB">
          <w:rPr>
            <w:rStyle w:val="TextoNormalCaracter"/>
          </w:rPr>
          <w:t>1/2015</w:t>
        </w:r>
      </w:hyperlink>
      <w:r>
        <w:t xml:space="preserve">, f. único; </w:t>
      </w:r>
      <w:hyperlink w:anchor="AUTO_2015_2" w:history="1">
        <w:r w:rsidRPr="00DD47EB">
          <w:rPr>
            <w:rStyle w:val="TextoNormalCaracter"/>
          </w:rPr>
          <w:t>2/2015</w:t>
        </w:r>
      </w:hyperlink>
      <w:r>
        <w:t xml:space="preserve">, f. único; </w:t>
      </w:r>
      <w:hyperlink w:anchor="AUTO_2015_3" w:history="1">
        <w:r w:rsidRPr="00DD47EB">
          <w:rPr>
            <w:rStyle w:val="TextoNormalCaracter"/>
          </w:rPr>
          <w:t>3/2015</w:t>
        </w:r>
      </w:hyperlink>
      <w:r>
        <w:t xml:space="preserve">, f. único; </w:t>
      </w:r>
      <w:hyperlink w:anchor="AUTO_2015_4" w:history="1">
        <w:r w:rsidRPr="00DD47EB">
          <w:rPr>
            <w:rStyle w:val="TextoNormalCaracter"/>
          </w:rPr>
          <w:t>4/2015</w:t>
        </w:r>
      </w:hyperlink>
      <w:r>
        <w:t xml:space="preserve">, f. único; </w:t>
      </w:r>
      <w:hyperlink w:anchor="AUTO_2015_5" w:history="1">
        <w:r w:rsidRPr="00DD47EB">
          <w:rPr>
            <w:rStyle w:val="TextoNormalCaracter"/>
          </w:rPr>
          <w:t>5/2015</w:t>
        </w:r>
      </w:hyperlink>
      <w:r>
        <w:t xml:space="preserve">, f. único; </w:t>
      </w:r>
      <w:hyperlink w:anchor="AUTO_2015_11" w:history="1">
        <w:r w:rsidRPr="00DD47EB">
          <w:rPr>
            <w:rStyle w:val="TextoNormalCaracter"/>
          </w:rPr>
          <w:t>11/2015</w:t>
        </w:r>
      </w:hyperlink>
      <w:r>
        <w:t xml:space="preserve">, f. único; </w:t>
      </w:r>
      <w:hyperlink w:anchor="AUTO_2015_12" w:history="1">
        <w:r w:rsidRPr="00DD47EB">
          <w:rPr>
            <w:rStyle w:val="TextoNormalCaracter"/>
          </w:rPr>
          <w:t>12/2015</w:t>
        </w:r>
      </w:hyperlink>
      <w:r>
        <w:t xml:space="preserve">, f. único; </w:t>
      </w:r>
      <w:hyperlink w:anchor="AUTO_2015_13" w:history="1">
        <w:r w:rsidRPr="00DD47EB">
          <w:rPr>
            <w:rStyle w:val="TextoNormalCaracter"/>
          </w:rPr>
          <w:t>13/2015</w:t>
        </w:r>
      </w:hyperlink>
      <w:r>
        <w:t xml:space="preserve">, f. 3; </w:t>
      </w:r>
      <w:hyperlink w:anchor="AUTO_2015_14" w:history="1">
        <w:r w:rsidRPr="00DD47EB">
          <w:rPr>
            <w:rStyle w:val="TextoNormalCaracter"/>
          </w:rPr>
          <w:t>14/2015</w:t>
        </w:r>
      </w:hyperlink>
      <w:r>
        <w:t xml:space="preserve">, f. único; </w:t>
      </w:r>
      <w:hyperlink w:anchor="AUTO_2015_15" w:history="1">
        <w:r w:rsidRPr="00DD47EB">
          <w:rPr>
            <w:rStyle w:val="TextoNormalCaracter"/>
          </w:rPr>
          <w:t>15/2015</w:t>
        </w:r>
      </w:hyperlink>
      <w:r>
        <w:t xml:space="preserve">, f. único; </w:t>
      </w:r>
      <w:hyperlink w:anchor="AUTO_2015_19" w:history="1">
        <w:r w:rsidRPr="00DD47EB">
          <w:rPr>
            <w:rStyle w:val="TextoNormalCaracter"/>
          </w:rPr>
          <w:t>19/2015</w:t>
        </w:r>
      </w:hyperlink>
      <w:r>
        <w:t xml:space="preserve">, f. único; </w:t>
      </w:r>
      <w:hyperlink w:anchor="AUTO_2015_25" w:history="1">
        <w:r w:rsidRPr="00DD47EB">
          <w:rPr>
            <w:rStyle w:val="TextoNormalCaracter"/>
          </w:rPr>
          <w:t>25/2015</w:t>
        </w:r>
      </w:hyperlink>
      <w:r>
        <w:t xml:space="preserve">, f. único; </w:t>
      </w:r>
      <w:hyperlink w:anchor="AUTO_2015_30" w:history="1">
        <w:r w:rsidRPr="00DD47EB">
          <w:rPr>
            <w:rStyle w:val="TextoNormalCaracter"/>
          </w:rPr>
          <w:t>30/2015</w:t>
        </w:r>
      </w:hyperlink>
      <w:r>
        <w:t xml:space="preserve">, f. único; </w:t>
      </w:r>
      <w:hyperlink w:anchor="AUTO_2015_39" w:history="1">
        <w:r w:rsidRPr="00DD47EB">
          <w:rPr>
            <w:rStyle w:val="TextoNormalCaracter"/>
          </w:rPr>
          <w:t>39/2015</w:t>
        </w:r>
      </w:hyperlink>
      <w:r>
        <w:t xml:space="preserve">, f. único; </w:t>
      </w:r>
      <w:hyperlink w:anchor="AUTO_2015_40" w:history="1">
        <w:r w:rsidRPr="00DD47EB">
          <w:rPr>
            <w:rStyle w:val="TextoNormalCaracter"/>
          </w:rPr>
          <w:t>40/2015</w:t>
        </w:r>
      </w:hyperlink>
      <w:r>
        <w:t xml:space="preserve">, f. único; </w:t>
      </w:r>
      <w:hyperlink w:anchor="AUTO_2015_41" w:history="1">
        <w:r w:rsidRPr="00DD47EB">
          <w:rPr>
            <w:rStyle w:val="TextoNormalCaracter"/>
          </w:rPr>
          <w:t>41/2015</w:t>
        </w:r>
      </w:hyperlink>
      <w:r>
        <w:t xml:space="preserve">, f. único; </w:t>
      </w:r>
      <w:hyperlink w:anchor="AUTO_2015_42" w:history="1">
        <w:r w:rsidRPr="00DD47EB">
          <w:rPr>
            <w:rStyle w:val="TextoNormalCaracter"/>
          </w:rPr>
          <w:t>42/2015</w:t>
        </w:r>
      </w:hyperlink>
      <w:r>
        <w:t xml:space="preserve">, f. único; </w:t>
      </w:r>
      <w:hyperlink w:anchor="AUTO_2015_46" w:history="1">
        <w:r w:rsidRPr="00DD47EB">
          <w:rPr>
            <w:rStyle w:val="TextoNormalCaracter"/>
          </w:rPr>
          <w:t>46/2015</w:t>
        </w:r>
      </w:hyperlink>
      <w:r>
        <w:t xml:space="preserve">, f. único; </w:t>
      </w:r>
      <w:hyperlink w:anchor="AUTO_2015_47" w:history="1">
        <w:r w:rsidRPr="00DD47EB">
          <w:rPr>
            <w:rStyle w:val="TextoNormalCaracter"/>
          </w:rPr>
          <w:t>47/2015</w:t>
        </w:r>
      </w:hyperlink>
      <w:r>
        <w:t xml:space="preserve">, f. único; </w:t>
      </w:r>
      <w:hyperlink w:anchor="AUTO_2015_48" w:history="1">
        <w:r w:rsidRPr="00DD47EB">
          <w:rPr>
            <w:rStyle w:val="TextoNormalCaracter"/>
          </w:rPr>
          <w:t>48/2015</w:t>
        </w:r>
      </w:hyperlink>
      <w:r>
        <w:t xml:space="preserve">, f. único; </w:t>
      </w:r>
      <w:hyperlink w:anchor="AUTO_2015_58" w:history="1">
        <w:r w:rsidRPr="00DD47EB">
          <w:rPr>
            <w:rStyle w:val="TextoNormalCaracter"/>
          </w:rPr>
          <w:t>58/2015</w:t>
        </w:r>
      </w:hyperlink>
      <w:r>
        <w:t xml:space="preserve">, f. único; </w:t>
      </w:r>
      <w:hyperlink w:anchor="AUTO_2015_64" w:history="1">
        <w:r w:rsidRPr="00DD47EB">
          <w:rPr>
            <w:rStyle w:val="TextoNormalCaracter"/>
          </w:rPr>
          <w:t>64/2015</w:t>
        </w:r>
      </w:hyperlink>
      <w:r>
        <w:t xml:space="preserve">, f. único; </w:t>
      </w:r>
      <w:hyperlink w:anchor="AUTO_2015_71" w:history="1">
        <w:r w:rsidRPr="00DD47EB">
          <w:rPr>
            <w:rStyle w:val="TextoNormalCaracter"/>
          </w:rPr>
          <w:t>71/2015</w:t>
        </w:r>
      </w:hyperlink>
      <w:r>
        <w:t xml:space="preserve">, f. único; </w:t>
      </w:r>
      <w:hyperlink w:anchor="AUTO_2015_72" w:history="1">
        <w:r w:rsidRPr="00DD47EB">
          <w:rPr>
            <w:rStyle w:val="TextoNormalCaracter"/>
          </w:rPr>
          <w:t>72/2015</w:t>
        </w:r>
      </w:hyperlink>
      <w:r>
        <w:t xml:space="preserve">, f. único; </w:t>
      </w:r>
      <w:hyperlink w:anchor="AUTO_2015_75" w:history="1">
        <w:r w:rsidRPr="00DD47EB">
          <w:rPr>
            <w:rStyle w:val="TextoNormalCaracter"/>
          </w:rPr>
          <w:t>75/2015</w:t>
        </w:r>
      </w:hyperlink>
      <w:r>
        <w:t xml:space="preserve">, f. único; </w:t>
      </w:r>
      <w:hyperlink w:anchor="AUTO_2015_83" w:history="1">
        <w:r w:rsidRPr="00DD47EB">
          <w:rPr>
            <w:rStyle w:val="TextoNormalCaracter"/>
          </w:rPr>
          <w:t>83/2015</w:t>
        </w:r>
      </w:hyperlink>
      <w:r>
        <w:t xml:space="preserve">, f. único; </w:t>
      </w:r>
      <w:hyperlink w:anchor="AUTO_2015_85" w:history="1">
        <w:r w:rsidRPr="00DD47EB">
          <w:rPr>
            <w:rStyle w:val="TextoNormalCaracter"/>
          </w:rPr>
          <w:t>85/2015</w:t>
        </w:r>
      </w:hyperlink>
      <w:r>
        <w:t xml:space="preserve">, f. único; </w:t>
      </w:r>
      <w:hyperlink w:anchor="AUTO_2015_89" w:history="1">
        <w:r w:rsidRPr="00DD47EB">
          <w:rPr>
            <w:rStyle w:val="TextoNormalCaracter"/>
          </w:rPr>
          <w:t>89/2015</w:t>
        </w:r>
      </w:hyperlink>
      <w:r>
        <w:t xml:space="preserve">, f. único; </w:t>
      </w:r>
      <w:hyperlink w:anchor="AUTO_2015_91" w:history="1">
        <w:r w:rsidRPr="00DD47EB">
          <w:rPr>
            <w:rStyle w:val="TextoNormalCaracter"/>
          </w:rPr>
          <w:t>91/2015</w:t>
        </w:r>
      </w:hyperlink>
      <w:r>
        <w:t xml:space="preserve">, f. único; </w:t>
      </w:r>
      <w:hyperlink w:anchor="AUTO_2015_93" w:history="1">
        <w:r w:rsidRPr="00DD47EB">
          <w:rPr>
            <w:rStyle w:val="TextoNormalCaracter"/>
          </w:rPr>
          <w:t>93/2015</w:t>
        </w:r>
      </w:hyperlink>
      <w:r>
        <w:t xml:space="preserve">, f. único; </w:t>
      </w:r>
      <w:hyperlink w:anchor="AUTO_2015_96" w:history="1">
        <w:r w:rsidRPr="00DD47EB">
          <w:rPr>
            <w:rStyle w:val="TextoNormalCaracter"/>
          </w:rPr>
          <w:t>96/2015</w:t>
        </w:r>
      </w:hyperlink>
      <w:r>
        <w:t xml:space="preserve">, f. único; </w:t>
      </w:r>
      <w:hyperlink w:anchor="AUTO_2015_104" w:history="1">
        <w:r w:rsidRPr="00DD47EB">
          <w:rPr>
            <w:rStyle w:val="TextoNormalCaracter"/>
          </w:rPr>
          <w:t>104/2015</w:t>
        </w:r>
      </w:hyperlink>
      <w:r>
        <w:t xml:space="preserve">, f. único; </w:t>
      </w:r>
      <w:hyperlink w:anchor="AUTO_2015_105" w:history="1">
        <w:r w:rsidRPr="00DD47EB">
          <w:rPr>
            <w:rStyle w:val="TextoNormalCaracter"/>
          </w:rPr>
          <w:t>105/2015</w:t>
        </w:r>
      </w:hyperlink>
      <w:r>
        <w:t xml:space="preserve">, f. único; </w:t>
      </w:r>
      <w:hyperlink w:anchor="AUTO_2015_107" w:history="1">
        <w:r w:rsidRPr="00DD47EB">
          <w:rPr>
            <w:rStyle w:val="TextoNormalCaracter"/>
          </w:rPr>
          <w:t>107/2015</w:t>
        </w:r>
      </w:hyperlink>
      <w:r>
        <w:t xml:space="preserve">, f. único; </w:t>
      </w:r>
      <w:hyperlink w:anchor="AUTO_2015_108" w:history="1">
        <w:r w:rsidRPr="00DD47EB">
          <w:rPr>
            <w:rStyle w:val="TextoNormalCaracter"/>
          </w:rPr>
          <w:t>108/2015</w:t>
        </w:r>
      </w:hyperlink>
      <w:r>
        <w:t xml:space="preserve">, f. único; </w:t>
      </w:r>
      <w:hyperlink w:anchor="AUTO_2015_113" w:history="1">
        <w:r w:rsidRPr="00DD47EB">
          <w:rPr>
            <w:rStyle w:val="TextoNormalCaracter"/>
          </w:rPr>
          <w:t>113/2015</w:t>
        </w:r>
      </w:hyperlink>
      <w:r>
        <w:t>, f. único.</w:t>
      </w:r>
    </w:p>
    <w:p w:rsidR="00DD47EB" w:rsidRDefault="00DD47EB" w:rsidP="00DD47EB">
      <w:pPr>
        <w:pStyle w:val="SangriaFrancesaArticulo"/>
      </w:pPr>
      <w:r w:rsidRPr="00DD47EB">
        <w:rPr>
          <w:rStyle w:val="TextoNormalNegritaCaracter"/>
        </w:rPr>
        <w:t>Artículo 83.</w:t>
      </w:r>
      <w:r w:rsidRPr="00DD47EB">
        <w:rPr>
          <w:rStyle w:val="TextoNormalCaracter"/>
        </w:rPr>
        <w:t>-</w:t>
      </w:r>
      <w:r>
        <w:t xml:space="preserve"> Autos </w:t>
      </w:r>
      <w:hyperlink w:anchor="AUTO_2015_56" w:history="1">
        <w:r w:rsidRPr="00DD47EB">
          <w:rPr>
            <w:rStyle w:val="TextoNormalCaracter"/>
          </w:rPr>
          <w:t>56/2015</w:t>
        </w:r>
      </w:hyperlink>
      <w:r>
        <w:t xml:space="preserve">, f. único; </w:t>
      </w:r>
      <w:hyperlink w:anchor="AUTO_2015_68" w:history="1">
        <w:r w:rsidRPr="00DD47EB">
          <w:rPr>
            <w:rStyle w:val="TextoNormalCaracter"/>
          </w:rPr>
          <w:t>68/2015</w:t>
        </w:r>
      </w:hyperlink>
      <w:r>
        <w:t xml:space="preserve">, f. único; </w:t>
      </w:r>
      <w:hyperlink w:anchor="AUTO_2015_100" w:history="1">
        <w:r w:rsidRPr="00DD47EB">
          <w:rPr>
            <w:rStyle w:val="TextoNormalCaracter"/>
          </w:rPr>
          <w:t>100/2015</w:t>
        </w:r>
      </w:hyperlink>
      <w:r>
        <w:t>, f. único.</w:t>
      </w:r>
    </w:p>
    <w:p w:rsidR="00DD47EB" w:rsidRDefault="00DD47EB" w:rsidP="00DD47EB">
      <w:pPr>
        <w:pStyle w:val="SangriaFrancesaArticulo"/>
      </w:pPr>
      <w:r w:rsidRPr="00DD47EB">
        <w:rPr>
          <w:rStyle w:val="TextoNormalNegritaCaracter"/>
        </w:rPr>
        <w:t>Artículo 85.2.</w:t>
      </w:r>
      <w:r w:rsidRPr="00DD47EB">
        <w:rPr>
          <w:rStyle w:val="TextoNormalCaracter"/>
        </w:rPr>
        <w:t>-</w:t>
      </w:r>
      <w:r>
        <w:t xml:space="preserve"> Sentencia </w:t>
      </w:r>
      <w:hyperlink w:anchor="SENTENCIA_2015_103" w:history="1">
        <w:r w:rsidRPr="00DD47EB">
          <w:rPr>
            <w:rStyle w:val="TextoNormalCaracter"/>
          </w:rPr>
          <w:t>103/2015</w:t>
        </w:r>
      </w:hyperlink>
      <w:r>
        <w:t>, f. 2.</w:t>
      </w:r>
    </w:p>
    <w:p w:rsidR="00DD47EB" w:rsidRDefault="00DD47EB" w:rsidP="00DD47EB">
      <w:pPr>
        <w:pStyle w:val="SangriaFrancesaArticulo"/>
      </w:pPr>
      <w:r w:rsidRPr="00DD47EB">
        <w:rPr>
          <w:rStyle w:val="TextoNormalNegritaCaracter"/>
        </w:rPr>
        <w:t>Artículo 86.</w:t>
      </w:r>
      <w:r w:rsidRPr="00DD47EB">
        <w:rPr>
          <w:rStyle w:val="TextoNormalCaracter"/>
        </w:rPr>
        <w:t>-</w:t>
      </w:r>
      <w:r>
        <w:t xml:space="preserve"> Autos </w:t>
      </w:r>
      <w:hyperlink w:anchor="AUTO_2015_1" w:history="1">
        <w:r w:rsidRPr="00DD47EB">
          <w:rPr>
            <w:rStyle w:val="TextoNormalCaracter"/>
          </w:rPr>
          <w:t>1/2015</w:t>
        </w:r>
      </w:hyperlink>
      <w:r>
        <w:t xml:space="preserve">, f. único; </w:t>
      </w:r>
      <w:hyperlink w:anchor="AUTO_2015_12" w:history="1">
        <w:r w:rsidRPr="00DD47EB">
          <w:rPr>
            <w:rStyle w:val="TextoNormalCaracter"/>
          </w:rPr>
          <w:t>12/2015</w:t>
        </w:r>
      </w:hyperlink>
      <w:r>
        <w:t xml:space="preserve">, f. único; </w:t>
      </w:r>
      <w:hyperlink w:anchor="AUTO_2015_25" w:history="1">
        <w:r w:rsidRPr="00DD47EB">
          <w:rPr>
            <w:rStyle w:val="TextoNormalCaracter"/>
          </w:rPr>
          <w:t>25/2015</w:t>
        </w:r>
      </w:hyperlink>
      <w:r>
        <w:t xml:space="preserve">, f. único; </w:t>
      </w:r>
      <w:hyperlink w:anchor="AUTO_2015_39" w:history="1">
        <w:r w:rsidRPr="00DD47EB">
          <w:rPr>
            <w:rStyle w:val="TextoNormalCaracter"/>
          </w:rPr>
          <w:t>39/2015</w:t>
        </w:r>
      </w:hyperlink>
      <w:r>
        <w:t xml:space="preserve">, f. único; </w:t>
      </w:r>
      <w:hyperlink w:anchor="AUTO_2015_40" w:history="1">
        <w:r w:rsidRPr="00DD47EB">
          <w:rPr>
            <w:rStyle w:val="TextoNormalCaracter"/>
          </w:rPr>
          <w:t>40/2015</w:t>
        </w:r>
      </w:hyperlink>
      <w:r>
        <w:t xml:space="preserve">, f. único; </w:t>
      </w:r>
      <w:hyperlink w:anchor="AUTO_2015_41" w:history="1">
        <w:r w:rsidRPr="00DD47EB">
          <w:rPr>
            <w:rStyle w:val="TextoNormalCaracter"/>
          </w:rPr>
          <w:t>41/2015</w:t>
        </w:r>
      </w:hyperlink>
      <w:r>
        <w:t xml:space="preserve">, f. único; </w:t>
      </w:r>
      <w:hyperlink w:anchor="AUTO_2015_71" w:history="1">
        <w:r w:rsidRPr="00DD47EB">
          <w:rPr>
            <w:rStyle w:val="TextoNormalCaracter"/>
          </w:rPr>
          <w:t>71/2015</w:t>
        </w:r>
      </w:hyperlink>
      <w:r>
        <w:t xml:space="preserve">, f. único; </w:t>
      </w:r>
      <w:hyperlink w:anchor="AUTO_2015_85" w:history="1">
        <w:r w:rsidRPr="00DD47EB">
          <w:rPr>
            <w:rStyle w:val="TextoNormalCaracter"/>
          </w:rPr>
          <w:t>85/2015</w:t>
        </w:r>
      </w:hyperlink>
      <w:r>
        <w:t xml:space="preserve">, f. único; </w:t>
      </w:r>
      <w:hyperlink w:anchor="AUTO_2015_104" w:history="1">
        <w:r w:rsidRPr="00DD47EB">
          <w:rPr>
            <w:rStyle w:val="TextoNormalCaracter"/>
          </w:rPr>
          <w:t>104/2015</w:t>
        </w:r>
      </w:hyperlink>
      <w:r>
        <w:t xml:space="preserve">, f. único; </w:t>
      </w:r>
      <w:hyperlink w:anchor="AUTO_2015_105" w:history="1">
        <w:r w:rsidRPr="00DD47EB">
          <w:rPr>
            <w:rStyle w:val="TextoNormalCaracter"/>
          </w:rPr>
          <w:t>105/2015</w:t>
        </w:r>
      </w:hyperlink>
      <w:r>
        <w:t xml:space="preserve">, f. único; </w:t>
      </w:r>
      <w:hyperlink w:anchor="AUTO_2015_113" w:history="1">
        <w:r w:rsidRPr="00DD47EB">
          <w:rPr>
            <w:rStyle w:val="TextoNormalCaracter"/>
          </w:rPr>
          <w:t>113/2015</w:t>
        </w:r>
      </w:hyperlink>
      <w:r>
        <w:t>, f. único.</w:t>
      </w:r>
    </w:p>
    <w:p w:rsidR="00DD47EB" w:rsidRDefault="00DD47EB" w:rsidP="00DD47EB">
      <w:pPr>
        <w:pStyle w:val="SangriaFrancesaArticulo"/>
      </w:pPr>
      <w:r w:rsidRPr="00DD47EB">
        <w:rPr>
          <w:rStyle w:val="TextoNormalNegritaCaracter"/>
        </w:rPr>
        <w:t>Artículo 86.1.</w:t>
      </w:r>
      <w:r w:rsidRPr="00DD47EB">
        <w:rPr>
          <w:rStyle w:val="TextoNormalCaracter"/>
        </w:rPr>
        <w:t>-</w:t>
      </w:r>
      <w:r>
        <w:t xml:space="preserve"> Autos </w:t>
      </w:r>
      <w:hyperlink w:anchor="AUTO_2015_46" w:history="1">
        <w:r w:rsidRPr="00DD47EB">
          <w:rPr>
            <w:rStyle w:val="TextoNormalCaracter"/>
          </w:rPr>
          <w:t>46/2015</w:t>
        </w:r>
      </w:hyperlink>
      <w:r>
        <w:t xml:space="preserve">, f. único; </w:t>
      </w:r>
      <w:hyperlink w:anchor="AUTO_2015_47" w:history="1">
        <w:r w:rsidRPr="00DD47EB">
          <w:rPr>
            <w:rStyle w:val="TextoNormalCaracter"/>
          </w:rPr>
          <w:t>47/2015</w:t>
        </w:r>
      </w:hyperlink>
      <w:r>
        <w:t xml:space="preserve">, f. único; </w:t>
      </w:r>
      <w:hyperlink w:anchor="AUTO_2015_51" w:history="1">
        <w:r w:rsidRPr="00DD47EB">
          <w:rPr>
            <w:rStyle w:val="TextoNormalCaracter"/>
          </w:rPr>
          <w:t>51/2015</w:t>
        </w:r>
      </w:hyperlink>
      <w:r>
        <w:t xml:space="preserve">, f. único; </w:t>
      </w:r>
      <w:hyperlink w:anchor="AUTO_2015_58" w:history="1">
        <w:r w:rsidRPr="00DD47EB">
          <w:rPr>
            <w:rStyle w:val="TextoNormalCaracter"/>
          </w:rPr>
          <w:t>58/2015</w:t>
        </w:r>
      </w:hyperlink>
      <w:r>
        <w:t xml:space="preserve">, f. único; </w:t>
      </w:r>
      <w:hyperlink w:anchor="AUTO_2015_107" w:history="1">
        <w:r w:rsidRPr="00DD47EB">
          <w:rPr>
            <w:rStyle w:val="TextoNormalCaracter"/>
          </w:rPr>
          <w:t>107/2015</w:t>
        </w:r>
      </w:hyperlink>
      <w:r>
        <w:t xml:space="preserve">, f. único; </w:t>
      </w:r>
      <w:hyperlink w:anchor="AUTO_2015_108" w:history="1">
        <w:r w:rsidRPr="00DD47EB">
          <w:rPr>
            <w:rStyle w:val="TextoNormalCaracter"/>
          </w:rPr>
          <w:t>108/2015</w:t>
        </w:r>
      </w:hyperlink>
      <w:r>
        <w:t>, f. único.</w:t>
      </w:r>
    </w:p>
    <w:p w:rsidR="00DD47EB" w:rsidRDefault="00DD47EB" w:rsidP="00DD47EB">
      <w:pPr>
        <w:pStyle w:val="SangriaFrancesaArticulo"/>
      </w:pPr>
      <w:r w:rsidRPr="00DD47EB">
        <w:rPr>
          <w:rStyle w:val="TextoNormalNegritaCaracter"/>
        </w:rPr>
        <w:t>Artículo 86.1</w:t>
      </w:r>
      <w:r>
        <w:t xml:space="preserve"> (redactado por la Ley Orgánica 6/1988, de 9 de junio)</w:t>
      </w:r>
      <w:r w:rsidRPr="00DD47EB">
        <w:rPr>
          <w:rStyle w:val="TextoNormalNegritaCaracter"/>
        </w:rPr>
        <w:t>.</w:t>
      </w:r>
      <w:r w:rsidRPr="00DD47EB">
        <w:rPr>
          <w:rStyle w:val="TextoNormalCaracter"/>
        </w:rPr>
        <w:t>-</w:t>
      </w:r>
      <w:r>
        <w:t xml:space="preserve"> Autos </w:t>
      </w:r>
      <w:hyperlink w:anchor="AUTO_2015_3" w:history="1">
        <w:r w:rsidRPr="00DD47EB">
          <w:rPr>
            <w:rStyle w:val="TextoNormalCaracter"/>
          </w:rPr>
          <w:t>3/2015</w:t>
        </w:r>
      </w:hyperlink>
      <w:r>
        <w:t xml:space="preserve">, f. único; </w:t>
      </w:r>
      <w:hyperlink w:anchor="AUTO_2015_11" w:history="1">
        <w:r w:rsidRPr="00DD47EB">
          <w:rPr>
            <w:rStyle w:val="TextoNormalCaracter"/>
          </w:rPr>
          <w:t>11/2015</w:t>
        </w:r>
      </w:hyperlink>
      <w:r>
        <w:t xml:space="preserve">, f. único; </w:t>
      </w:r>
      <w:hyperlink w:anchor="AUTO_2015_19" w:history="1">
        <w:r w:rsidRPr="00DD47EB">
          <w:rPr>
            <w:rStyle w:val="TextoNormalCaracter"/>
          </w:rPr>
          <w:t>19/2015</w:t>
        </w:r>
      </w:hyperlink>
      <w:r>
        <w:t xml:space="preserve">, f. único; </w:t>
      </w:r>
      <w:hyperlink w:anchor="AUTO_2015_30" w:history="1">
        <w:r w:rsidRPr="00DD47EB">
          <w:rPr>
            <w:rStyle w:val="TextoNormalCaracter"/>
          </w:rPr>
          <w:t>30/2015</w:t>
        </w:r>
      </w:hyperlink>
      <w:r>
        <w:t xml:space="preserve">, f. único; </w:t>
      </w:r>
      <w:hyperlink w:anchor="AUTO_2015_75" w:history="1">
        <w:r w:rsidRPr="00DD47EB">
          <w:rPr>
            <w:rStyle w:val="TextoNormalCaracter"/>
          </w:rPr>
          <w:t>75/2015</w:t>
        </w:r>
      </w:hyperlink>
      <w:r>
        <w:t xml:space="preserve">, f. único; </w:t>
      </w:r>
      <w:hyperlink w:anchor="AUTO_2015_89" w:history="1">
        <w:r w:rsidRPr="00DD47EB">
          <w:rPr>
            <w:rStyle w:val="TextoNormalCaracter"/>
          </w:rPr>
          <w:t>89/2015</w:t>
        </w:r>
      </w:hyperlink>
      <w:r>
        <w:t xml:space="preserve">, f. único; </w:t>
      </w:r>
      <w:hyperlink w:anchor="AUTO_2015_91" w:history="1">
        <w:r w:rsidRPr="00DD47EB">
          <w:rPr>
            <w:rStyle w:val="TextoNormalCaracter"/>
          </w:rPr>
          <w:t>91/2015</w:t>
        </w:r>
      </w:hyperlink>
      <w:r>
        <w:t xml:space="preserve">, f. único; </w:t>
      </w:r>
      <w:hyperlink w:anchor="AUTO_2015_93" w:history="1">
        <w:r w:rsidRPr="00DD47EB">
          <w:rPr>
            <w:rStyle w:val="TextoNormalCaracter"/>
          </w:rPr>
          <w:t>93/2015</w:t>
        </w:r>
      </w:hyperlink>
      <w:r>
        <w:t xml:space="preserve">, f. único; </w:t>
      </w:r>
      <w:hyperlink w:anchor="AUTO_2015_96" w:history="1">
        <w:r w:rsidRPr="00DD47EB">
          <w:rPr>
            <w:rStyle w:val="TextoNormalCaracter"/>
          </w:rPr>
          <w:t>96/2015</w:t>
        </w:r>
      </w:hyperlink>
      <w:r>
        <w:t>, f. único.</w:t>
      </w:r>
    </w:p>
    <w:p w:rsidR="00DD47EB" w:rsidRDefault="00DD47EB" w:rsidP="00DD47EB">
      <w:pPr>
        <w:pStyle w:val="SangriaFrancesaArticulo"/>
      </w:pPr>
      <w:r w:rsidRPr="00DD47EB">
        <w:rPr>
          <w:rStyle w:val="TextoNormalNegritaCaracter"/>
        </w:rPr>
        <w:t>Artículo 87.1.</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IzquierdaArticulo"/>
      </w:pPr>
      <w:r>
        <w:t xml:space="preserve">Auto </w:t>
      </w:r>
      <w:hyperlink w:anchor="AUTO_2015_67" w:history="1">
        <w:r w:rsidRPr="00DD47EB">
          <w:rPr>
            <w:rStyle w:val="TextoNormalCaracter"/>
          </w:rPr>
          <w:t>67/2015</w:t>
        </w:r>
      </w:hyperlink>
      <w:r>
        <w:t>, f. 2.</w:t>
      </w:r>
    </w:p>
    <w:p w:rsidR="00DD47EB" w:rsidRDefault="00DD47EB" w:rsidP="00DD47EB">
      <w:pPr>
        <w:pStyle w:val="SangriaFrancesaArticulo"/>
      </w:pPr>
      <w:r w:rsidRPr="00DD47EB">
        <w:rPr>
          <w:rStyle w:val="TextoNormalNegritaCaracter"/>
        </w:rPr>
        <w:t>Artículo 89.</w:t>
      </w:r>
      <w:r w:rsidRPr="00DD47EB">
        <w:rPr>
          <w:rStyle w:val="TextoNormalCaracter"/>
        </w:rPr>
        <w:t>-</w:t>
      </w:r>
      <w:r>
        <w:t xml:space="preserve"> Sentencia </w:t>
      </w:r>
      <w:hyperlink w:anchor="SENTENCIA_2015_89" w:history="1">
        <w:r w:rsidRPr="00DD47EB">
          <w:rPr>
            <w:rStyle w:val="TextoNormalCaracter"/>
          </w:rPr>
          <w:t>89/2015</w:t>
        </w:r>
      </w:hyperlink>
      <w:r>
        <w:t>, f. 5.</w:t>
      </w:r>
    </w:p>
    <w:p w:rsidR="00DD47EB" w:rsidRDefault="00DD47EB" w:rsidP="00DD47EB">
      <w:pPr>
        <w:pStyle w:val="SangriaFrancesaArticulo"/>
      </w:pPr>
      <w:r w:rsidRPr="00DD47EB">
        <w:rPr>
          <w:rStyle w:val="TextoNormalNegritaCaracter"/>
        </w:rPr>
        <w:t>Artículo 89.1.</w:t>
      </w:r>
      <w:r w:rsidRPr="00DD47EB">
        <w:rPr>
          <w:rStyle w:val="TextoNormalCaracter"/>
        </w:rPr>
        <w:t>-</w:t>
      </w:r>
      <w:r>
        <w:t xml:space="preserve"> Auto </w:t>
      </w:r>
      <w:hyperlink w:anchor="AUTO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90.</w:t>
      </w:r>
      <w:r w:rsidRPr="00DD47EB">
        <w:rPr>
          <w:rStyle w:val="TextoNormalCaracter"/>
        </w:rPr>
        <w:t>-</w:t>
      </w:r>
      <w:r>
        <w:t xml:space="preserve"> Auto </w:t>
      </w:r>
      <w:hyperlink w:anchor="AUTO_2015_67" w:history="1">
        <w:r w:rsidRPr="00DD47EB">
          <w:rPr>
            <w:rStyle w:val="TextoNormalCaracter"/>
          </w:rPr>
          <w:t>67/2015</w:t>
        </w:r>
      </w:hyperlink>
      <w:r>
        <w:t>, VP.</w:t>
      </w:r>
    </w:p>
    <w:p w:rsidR="00DD47EB" w:rsidRDefault="00DD47EB" w:rsidP="00DD47EB">
      <w:pPr>
        <w:pStyle w:val="SangriaFrancesaArticulo"/>
      </w:pPr>
      <w:r w:rsidRPr="00DD47EB">
        <w:rPr>
          <w:rStyle w:val="TextoNormalNegritaCaracter"/>
        </w:rPr>
        <w:t>Artículo 90.2.</w:t>
      </w:r>
      <w:r w:rsidRPr="00DD47EB">
        <w:rPr>
          <w:rStyle w:val="TextoNormalCaracter"/>
        </w:rPr>
        <w:t>-</w:t>
      </w:r>
      <w:r>
        <w:t xml:space="preserve"> Sentencias </w:t>
      </w:r>
      <w:hyperlink w:anchor="SENTENCIA_2015_6" w:history="1">
        <w:r w:rsidRPr="00DD47EB">
          <w:rPr>
            <w:rStyle w:val="TextoNormalCaracter"/>
          </w:rPr>
          <w:t>6/2015</w:t>
        </w:r>
      </w:hyperlink>
      <w:r>
        <w:t xml:space="preserve">, VP; </w:t>
      </w:r>
      <w:hyperlink w:anchor="SENTENCIA_2015_12" w:history="1">
        <w:r w:rsidRPr="00DD47EB">
          <w:rPr>
            <w:rStyle w:val="TextoNormalCaracter"/>
          </w:rPr>
          <w:t>12/2015</w:t>
        </w:r>
      </w:hyperlink>
      <w:r>
        <w:t xml:space="preserve">, VP I; </w:t>
      </w:r>
      <w:hyperlink w:anchor="SENTENCIA_2015_25" w:history="1">
        <w:r w:rsidRPr="00DD47EB">
          <w:rPr>
            <w:rStyle w:val="TextoNormalCaracter"/>
          </w:rPr>
          <w:t>25/2015</w:t>
        </w:r>
      </w:hyperlink>
      <w:r>
        <w:t xml:space="preserve">, VP I, VP II; </w:t>
      </w:r>
      <w:hyperlink w:anchor="SENTENCIA_2015_48" w:history="1">
        <w:r w:rsidRPr="00DD47EB">
          <w:rPr>
            <w:rStyle w:val="TextoNormalCaracter"/>
          </w:rPr>
          <w:t>48/2015</w:t>
        </w:r>
      </w:hyperlink>
      <w:r>
        <w:t xml:space="preserve">, VP; </w:t>
      </w:r>
      <w:hyperlink w:anchor="SENTENCIA_2015_58" w:history="1">
        <w:r w:rsidRPr="00DD47EB">
          <w:rPr>
            <w:rStyle w:val="TextoNormalCaracter"/>
          </w:rPr>
          <w:t>58/2015</w:t>
        </w:r>
      </w:hyperlink>
      <w:r>
        <w:t xml:space="preserve">, VP; </w:t>
      </w:r>
      <w:hyperlink w:anchor="SENTENCIA_2015_63" w:history="1">
        <w:r w:rsidRPr="00DD47EB">
          <w:rPr>
            <w:rStyle w:val="TextoNormalCaracter"/>
          </w:rPr>
          <w:t>63/2015</w:t>
        </w:r>
      </w:hyperlink>
      <w:r>
        <w:t xml:space="preserve">, VP; </w:t>
      </w:r>
      <w:hyperlink w:anchor="SENTENCIA_2015_65" w:history="1">
        <w:r w:rsidRPr="00DD47EB">
          <w:rPr>
            <w:rStyle w:val="TextoNormalCaracter"/>
          </w:rPr>
          <w:t>65/2015</w:t>
        </w:r>
      </w:hyperlink>
      <w:r>
        <w:t xml:space="preserve">, VP I; </w:t>
      </w:r>
      <w:hyperlink w:anchor="SENTENCIA_2015_71" w:history="1">
        <w:r w:rsidRPr="00DD47EB">
          <w:rPr>
            <w:rStyle w:val="TextoNormalCaracter"/>
          </w:rPr>
          <w:t>71/2015</w:t>
        </w:r>
      </w:hyperlink>
      <w:r>
        <w:t xml:space="preserve">, VP; </w:t>
      </w:r>
      <w:hyperlink w:anchor="SENTENCIA_2015_93" w:history="1">
        <w:r w:rsidRPr="00DD47EB">
          <w:rPr>
            <w:rStyle w:val="TextoNormalCaracter"/>
          </w:rPr>
          <w:t>93/2015</w:t>
        </w:r>
      </w:hyperlink>
      <w:r>
        <w:t xml:space="preserve">, VP I, VP II; </w:t>
      </w:r>
      <w:hyperlink w:anchor="SENTENCIA_2015_145" w:history="1">
        <w:r w:rsidRPr="00DD47EB">
          <w:rPr>
            <w:rStyle w:val="TextoNormalCaracter"/>
          </w:rPr>
          <w:t>145/2015</w:t>
        </w:r>
      </w:hyperlink>
      <w:r>
        <w:t xml:space="preserve">, VP I, VP II;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90.2</w:t>
      </w:r>
      <w:r>
        <w:t xml:space="preserve"> (redactado por la Ley Orgánica 6/2007, de 24 de mayo)</w:t>
      </w:r>
      <w:r w:rsidRPr="00DD47EB">
        <w:rPr>
          <w:rStyle w:val="TextoNormalNegritaCaracter"/>
        </w:rPr>
        <w:t>.</w:t>
      </w:r>
      <w:r w:rsidRPr="00DD47EB">
        <w:rPr>
          <w:rStyle w:val="TextoNormalCaracter"/>
        </w:rPr>
        <w:t>-</w:t>
      </w:r>
      <w:r>
        <w:t xml:space="preserve"> Sentencias </w:t>
      </w:r>
      <w:hyperlink w:anchor="SENTENCIA_2015_17" w:history="1">
        <w:r w:rsidRPr="00DD47EB">
          <w:rPr>
            <w:rStyle w:val="TextoNormalCaracter"/>
          </w:rPr>
          <w:t>17/2015</w:t>
        </w:r>
      </w:hyperlink>
      <w:r>
        <w:t xml:space="preserve">, VP; </w:t>
      </w:r>
      <w:hyperlink w:anchor="SENTENCIA_2015_19" w:history="1">
        <w:r w:rsidRPr="00DD47EB">
          <w:rPr>
            <w:rStyle w:val="TextoNormalCaracter"/>
          </w:rPr>
          <w:t>19/2015</w:t>
        </w:r>
      </w:hyperlink>
      <w:r>
        <w:t xml:space="preserve">, VP; </w:t>
      </w:r>
      <w:hyperlink w:anchor="SENTENCIA_2015_20" w:history="1">
        <w:r w:rsidRPr="00DD47EB">
          <w:rPr>
            <w:rStyle w:val="TextoNormalCaracter"/>
          </w:rPr>
          <w:t>20/2015</w:t>
        </w:r>
      </w:hyperlink>
      <w:r>
        <w:t xml:space="preserve">, VP; </w:t>
      </w:r>
      <w:hyperlink w:anchor="SENTENCIA_2015_68" w:history="1">
        <w:r w:rsidRPr="00DD47EB">
          <w:rPr>
            <w:rStyle w:val="TextoNormalCaracter"/>
          </w:rPr>
          <w:t>68/2015</w:t>
        </w:r>
      </w:hyperlink>
      <w:r>
        <w:t xml:space="preserve">, VP; </w:t>
      </w:r>
      <w:hyperlink w:anchor="SENTENCIA_2015_77" w:history="1">
        <w:r w:rsidRPr="00DD47EB">
          <w:rPr>
            <w:rStyle w:val="TextoNormalCaracter"/>
          </w:rPr>
          <w:t>77/2015</w:t>
        </w:r>
      </w:hyperlink>
      <w:r>
        <w:t>, VP.</w:t>
      </w:r>
    </w:p>
    <w:p w:rsidR="00DD47EB" w:rsidRDefault="00DD47EB" w:rsidP="00DD47EB">
      <w:pPr>
        <w:pStyle w:val="SangriaFrancesaArticulo"/>
      </w:pPr>
      <w:r w:rsidRPr="00DD47EB">
        <w:rPr>
          <w:rStyle w:val="TextoNormalNegritaCaracter"/>
        </w:rPr>
        <w:t>Artículo 92</w:t>
      </w:r>
      <w:r>
        <w:t xml:space="preserve"> (redactado por la Ley Orgánica 6/2007, de 24 de mayo)</w:t>
      </w:r>
      <w:r w:rsidRPr="00DD47EB">
        <w:rPr>
          <w:rStyle w:val="TextoNormalNegritaCaracter"/>
        </w:rPr>
        <w:t>.</w:t>
      </w:r>
      <w:r w:rsidRPr="00DD47EB">
        <w:rPr>
          <w:rStyle w:val="TextoNormalCaracter"/>
        </w:rPr>
        <w:t>-</w:t>
      </w:r>
      <w:r>
        <w:t xml:space="preserve"> Auto </w:t>
      </w:r>
      <w:hyperlink w:anchor="AUTO_2015_65" w:history="1">
        <w:r w:rsidRPr="00DD47EB">
          <w:rPr>
            <w:rStyle w:val="TextoNormalCaracter"/>
          </w:rPr>
          <w:t>65/2015</w:t>
        </w:r>
      </w:hyperlink>
      <w:r>
        <w:t>, ff. 2, 3.</w:t>
      </w:r>
    </w:p>
    <w:p w:rsidR="00DD47EB" w:rsidRDefault="00DD47EB" w:rsidP="00DD47EB">
      <w:pPr>
        <w:pStyle w:val="SangriaFrancesaArticulo"/>
      </w:pPr>
      <w:r w:rsidRPr="00DD47EB">
        <w:rPr>
          <w:rStyle w:val="TextoNormalNegritaCaracter"/>
        </w:rPr>
        <w:t>Artículo 93.1.</w:t>
      </w:r>
      <w:r w:rsidRPr="00DD47EB">
        <w:rPr>
          <w:rStyle w:val="TextoNormalCaracter"/>
        </w:rPr>
        <w:t>-</w:t>
      </w:r>
      <w:r>
        <w:t xml:space="preserve"> Autos </w:t>
      </w:r>
      <w:hyperlink w:anchor="AUTO_2015_17" w:history="1">
        <w:r w:rsidRPr="00DD47EB">
          <w:rPr>
            <w:rStyle w:val="TextoNormalCaracter"/>
          </w:rPr>
          <w:t>17/2015</w:t>
        </w:r>
      </w:hyperlink>
      <w:r>
        <w:t xml:space="preserve">, f. único; </w:t>
      </w:r>
      <w:hyperlink w:anchor="AUTO_2015_55" w:history="1">
        <w:r w:rsidRPr="00DD47EB">
          <w:rPr>
            <w:rStyle w:val="TextoNormalCaracter"/>
          </w:rPr>
          <w:t>55/2015</w:t>
        </w:r>
      </w:hyperlink>
      <w:r>
        <w:t>, f. 1.</w:t>
      </w:r>
    </w:p>
    <w:p w:rsidR="00DD47EB" w:rsidRDefault="00DD47EB" w:rsidP="00DD47EB">
      <w:pPr>
        <w:pStyle w:val="SangriaFrancesaArticulo"/>
      </w:pPr>
      <w:r w:rsidRPr="00DD47EB">
        <w:rPr>
          <w:rStyle w:val="TextoNormalNegritaCaracter"/>
        </w:rPr>
        <w:t>Artículo 93.2.</w:t>
      </w:r>
      <w:r w:rsidRPr="00DD47EB">
        <w:rPr>
          <w:rStyle w:val="TextoNormalCaracter"/>
        </w:rPr>
        <w:t>-</w:t>
      </w:r>
      <w:r>
        <w:t xml:space="preserve"> Autos </w:t>
      </w:r>
      <w:hyperlink w:anchor="AUTO_2015_49" w:history="1">
        <w:r w:rsidRPr="00DD47EB">
          <w:rPr>
            <w:rStyle w:val="TextoNormalCaracter"/>
          </w:rPr>
          <w:t>49/2015</w:t>
        </w:r>
      </w:hyperlink>
      <w:r>
        <w:t xml:space="preserve">, f. 1; </w:t>
      </w:r>
      <w:hyperlink w:anchor="AUTO_2015_57" w:history="1">
        <w:r w:rsidRPr="00DD47EB">
          <w:rPr>
            <w:rStyle w:val="TextoNormalCaracter"/>
          </w:rPr>
          <w:t>57/2015</w:t>
        </w:r>
      </w:hyperlink>
      <w:r>
        <w:t>, f. único.</w:t>
      </w:r>
    </w:p>
    <w:p w:rsidR="00DD47EB" w:rsidRDefault="00DD47EB" w:rsidP="00DD47EB">
      <w:pPr>
        <w:pStyle w:val="SangriaFrancesaArticulo"/>
      </w:pPr>
      <w:r w:rsidRPr="00DD47EB">
        <w:rPr>
          <w:rStyle w:val="TextoNormalNegritaCaracter"/>
        </w:rPr>
        <w:t>Disposición adicional tercera, apartado 1.</w:t>
      </w:r>
      <w:r w:rsidRPr="00DD47EB">
        <w:rPr>
          <w:rStyle w:val="TextoNormalCaracter"/>
        </w:rPr>
        <w:t>-</w:t>
      </w:r>
      <w:r>
        <w:t xml:space="preserve"> Auto </w:t>
      </w:r>
      <w:hyperlink w:anchor="AUTO_2015_70" w:history="1">
        <w:r w:rsidRPr="00DD47EB">
          <w:rPr>
            <w:rStyle w:val="TextoNormalCaracter"/>
          </w:rPr>
          <w:t>70/2015</w:t>
        </w:r>
      </w:hyperlink>
      <w:r>
        <w:t>, f. 5.</w:t>
      </w:r>
    </w:p>
    <w:p w:rsidR="00DD47EB" w:rsidRDefault="00DD47EB" w:rsidP="00DD47EB">
      <w:pPr>
        <w:pStyle w:val="SangriaFrancesaArticulo"/>
      </w:pPr>
    </w:p>
    <w:p w:rsidR="00DD47EB" w:rsidRDefault="00DD47EB" w:rsidP="00DD47EB">
      <w:pPr>
        <w:pStyle w:val="TextoNormalNegritaCursivandice"/>
      </w:pPr>
      <w:r>
        <w:t>Ley Orgánica 6/1988, de 9 de junio. Modifica los artículos 50 y 86 de la Ley Orgánica 2/1979, de 3 de octubre, del Tribunal Constitucional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Autos </w:t>
      </w:r>
      <w:hyperlink w:anchor="AUTO_2015_75" w:history="1">
        <w:r w:rsidRPr="00DD47EB">
          <w:rPr>
            <w:rStyle w:val="TextoNormalCaracter"/>
          </w:rPr>
          <w:t>75/2015</w:t>
        </w:r>
      </w:hyperlink>
      <w:r>
        <w:t xml:space="preserve">, f. único; </w:t>
      </w:r>
      <w:hyperlink w:anchor="AUTO_2015_89" w:history="1">
        <w:r w:rsidRPr="00DD47EB">
          <w:rPr>
            <w:rStyle w:val="TextoNormalCaracter"/>
          </w:rPr>
          <w:t>89/2015</w:t>
        </w:r>
      </w:hyperlink>
      <w:r>
        <w:t xml:space="preserve">, f. único; </w:t>
      </w:r>
      <w:hyperlink w:anchor="AUTO_2015_91" w:history="1">
        <w:r w:rsidRPr="00DD47EB">
          <w:rPr>
            <w:rStyle w:val="TextoNormalCaracter"/>
          </w:rPr>
          <w:t>91/2015</w:t>
        </w:r>
      </w:hyperlink>
      <w:r>
        <w:t xml:space="preserve">, f. único; </w:t>
      </w:r>
      <w:hyperlink w:anchor="AUTO_2015_93" w:history="1">
        <w:r w:rsidRPr="00DD47EB">
          <w:rPr>
            <w:rStyle w:val="TextoNormalCaracter"/>
          </w:rPr>
          <w:t>93/2015</w:t>
        </w:r>
      </w:hyperlink>
      <w:r>
        <w:t xml:space="preserve">, f. único; </w:t>
      </w:r>
      <w:hyperlink w:anchor="AUTO_2015_96" w:history="1">
        <w:r w:rsidRPr="00DD47EB">
          <w:rPr>
            <w:rStyle w:val="TextoNormalCaracter"/>
          </w:rPr>
          <w:t>96/2015</w:t>
        </w:r>
      </w:hyperlink>
      <w:r>
        <w:t>, f. único.</w:t>
      </w:r>
    </w:p>
    <w:p w:rsidR="00DD47EB" w:rsidRDefault="00DD47EB" w:rsidP="00DD47EB">
      <w:pPr>
        <w:pStyle w:val="SangriaFrancesaArticulo"/>
      </w:pPr>
    </w:p>
    <w:p w:rsidR="00DD47EB" w:rsidRDefault="00DD47EB" w:rsidP="00DD47EB">
      <w:pPr>
        <w:pStyle w:val="TextoNormalNegritaCursivandice"/>
      </w:pPr>
      <w:r>
        <w:t>Acuerdo del Pleno del Tribunal Constitucional, de 18 de junio de 1996. Asistencia jurídica gratuita en los procesos de amparo constitucional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Capítulo III, sección 1.</w:t>
      </w:r>
      <w:r w:rsidRPr="00DD47EB">
        <w:rPr>
          <w:rStyle w:val="TextoNormalCaracter"/>
        </w:rPr>
        <w:t>-</w:t>
      </w:r>
      <w:r>
        <w:t xml:space="preserve"> Auto </w:t>
      </w:r>
      <w:hyperlink w:anchor="AUTO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Capítulo III, sección 2.</w:t>
      </w:r>
      <w:r w:rsidRPr="00DD47EB">
        <w:rPr>
          <w:rStyle w:val="TextoNormalCaracter"/>
        </w:rPr>
        <w:t>-</w:t>
      </w:r>
      <w:r>
        <w:t xml:space="preserve"> Auto </w:t>
      </w:r>
      <w:hyperlink w:anchor="AUTO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Autos </w:t>
      </w:r>
      <w:hyperlink w:anchor="AUTO_2015_82" w:history="1">
        <w:r w:rsidRPr="00DD47EB">
          <w:rPr>
            <w:rStyle w:val="TextoNormalCaracter"/>
          </w:rPr>
          <w:t>82/2015</w:t>
        </w:r>
      </w:hyperlink>
      <w:r>
        <w:t xml:space="preserve">, f. 2; </w:t>
      </w:r>
      <w:hyperlink w:anchor="AUTO_2015_114" w:history="1">
        <w:r w:rsidRPr="00DD47EB">
          <w:rPr>
            <w:rStyle w:val="TextoNormalCaracter"/>
          </w:rPr>
          <w:t>114/2015</w:t>
        </w:r>
      </w:hyperlink>
      <w:r>
        <w:t>, f. 1.</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Auto </w:t>
      </w:r>
      <w:hyperlink w:anchor="AUTO_2015_13" w:history="1">
        <w:r w:rsidRPr="00DD47EB">
          <w:rPr>
            <w:rStyle w:val="TextoNormalCaracter"/>
          </w:rPr>
          <w:t>13/2015</w:t>
        </w:r>
      </w:hyperlink>
      <w:r>
        <w:t>, f. 2.</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Auto </w:t>
      </w:r>
      <w:hyperlink w:anchor="AUTO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Artículos 8 a 10.</w:t>
      </w:r>
      <w:r w:rsidRPr="00DD47EB">
        <w:rPr>
          <w:rStyle w:val="TextoNormalCaracter"/>
        </w:rPr>
        <w:t>-</w:t>
      </w:r>
      <w:r>
        <w:t xml:space="preserve"> Auto </w:t>
      </w:r>
      <w:hyperlink w:anchor="AUTO_2015_13" w:history="1">
        <w:r w:rsidRPr="00DD47EB">
          <w:rPr>
            <w:rStyle w:val="TextoNormalCaracter"/>
          </w:rPr>
          <w:t>13/2015</w:t>
        </w:r>
      </w:hyperlink>
      <w:r>
        <w:t>, f. 2.</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Auto </w:t>
      </w:r>
      <w:hyperlink w:anchor="AUTO_2015_82" w:history="1">
        <w:r w:rsidRPr="00DD47EB">
          <w:rPr>
            <w:rStyle w:val="TextoNormalCaracter"/>
          </w:rPr>
          <w:t>82/2015</w:t>
        </w:r>
      </w:hyperlink>
      <w:r>
        <w:t>, ff. 2, 3.</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Auto </w:t>
      </w:r>
      <w:hyperlink w:anchor="AUTO_2015_82" w:history="1">
        <w:r w:rsidRPr="00DD47EB">
          <w:rPr>
            <w:rStyle w:val="TextoNormalCaracter"/>
          </w:rPr>
          <w:t>82/2015</w:t>
        </w:r>
      </w:hyperlink>
      <w:r>
        <w:t>, ff. 2, 3.</w:t>
      </w:r>
    </w:p>
    <w:p w:rsidR="00DD47EB" w:rsidRDefault="00DD47EB" w:rsidP="00DD47EB">
      <w:pPr>
        <w:pStyle w:val="SangriaFrancesaArticulo"/>
      </w:pPr>
    </w:p>
    <w:p w:rsidR="00DD47EB" w:rsidRDefault="00DD47EB" w:rsidP="00DD47EB">
      <w:pPr>
        <w:pStyle w:val="TextoNormalNegritaCursivandice"/>
      </w:pPr>
      <w:r>
        <w:t>Ley Orgánica 7/1999, de 21 de abril. Modificación de la Ley Orgánica 2/1979, de 3 de octubre, del Tribunal Constitucional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IzquierdaArticulo"/>
      </w:pPr>
      <w:r>
        <w:t xml:space="preserve">Autos </w:t>
      </w:r>
      <w:hyperlink w:anchor="AUTO_2015_70" w:history="1">
        <w:r w:rsidRPr="00DD47EB">
          <w:rPr>
            <w:rStyle w:val="TextoNormalCaracter"/>
          </w:rPr>
          <w:t>70/2015</w:t>
        </w:r>
      </w:hyperlink>
      <w:r>
        <w:t xml:space="preserve">, ff. 2 a 5; </w:t>
      </w:r>
      <w:hyperlink w:anchor="AUTO_2015_102" w:history="1">
        <w:r w:rsidRPr="00DD47EB">
          <w:rPr>
            <w:rStyle w:val="TextoNormalCaracter"/>
          </w:rPr>
          <w:t>102/2015</w:t>
        </w:r>
      </w:hyperlink>
      <w:r>
        <w:t>, f. 1.</w:t>
      </w:r>
    </w:p>
    <w:p w:rsidR="00DD47EB" w:rsidRDefault="00DD47EB" w:rsidP="00DD47EB">
      <w:pPr>
        <w:pStyle w:val="SangriaIzquierdaArticulo"/>
      </w:pPr>
    </w:p>
    <w:p w:rsidR="00DD47EB" w:rsidRDefault="00DD47EB" w:rsidP="00DD47EB">
      <w:pPr>
        <w:pStyle w:val="TextoNormalNegritaCursivandice"/>
      </w:pPr>
      <w:r>
        <w:t>Ley Orgánica 1/2000, de 7 de enero. Modificación de la Ley Orgánica 2/1979, de 3 de octubre, del Tribunal Constitucional</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4" w:history="1">
        <w:r w:rsidRPr="00DD47EB">
          <w:rPr>
            <w:rStyle w:val="TextoNormalCaracter"/>
          </w:rPr>
          <w:t>14/2015</w:t>
        </w:r>
      </w:hyperlink>
      <w:r>
        <w:t>, f. 2.</w:t>
      </w:r>
    </w:p>
    <w:p w:rsidR="00DD47EB" w:rsidRDefault="00DD47EB" w:rsidP="00DD47EB">
      <w:pPr>
        <w:pStyle w:val="SangriaFrancesaArticulo"/>
      </w:pPr>
    </w:p>
    <w:p w:rsidR="00DD47EB" w:rsidRDefault="00DD47EB" w:rsidP="00DD47EB">
      <w:pPr>
        <w:pStyle w:val="TextoNormalNegritaCursivandice"/>
      </w:pPr>
      <w:r>
        <w:t>Ley Orgánica 6/2007, de 24 de mayo. Modificación de la Ley Orgánica 2/1979, de 3 de octubre, del Tribunal Constitucional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91" w:history="1">
        <w:r w:rsidRPr="00DD47EB">
          <w:rPr>
            <w:rStyle w:val="TextoNormalCaracter"/>
          </w:rPr>
          <w:t>91/2015</w:t>
        </w:r>
      </w:hyperlink>
      <w:r>
        <w:t xml:space="preserve">, f. 2; </w:t>
      </w:r>
      <w:hyperlink w:anchor="SENTENCIA_2015_96" w:history="1">
        <w:r w:rsidRPr="00DD47EB">
          <w:rPr>
            <w:rStyle w:val="TextoNormalCaracter"/>
          </w:rPr>
          <w:t>96/2015</w:t>
        </w:r>
      </w:hyperlink>
      <w:r>
        <w:t xml:space="preserve">, f. 2; </w:t>
      </w:r>
      <w:hyperlink w:anchor="SENTENCIA_2015_98" w:history="1">
        <w:r w:rsidRPr="00DD47EB">
          <w:rPr>
            <w:rStyle w:val="TextoNormalCaracter"/>
          </w:rPr>
          <w:t>98/2015</w:t>
        </w:r>
      </w:hyperlink>
      <w:r>
        <w:t xml:space="preserve">, f. 3; </w:t>
      </w:r>
      <w:hyperlink w:anchor="SENTENCIA_2015_101" w:history="1">
        <w:r w:rsidRPr="00DD47EB">
          <w:rPr>
            <w:rStyle w:val="TextoNormalCaracter"/>
          </w:rPr>
          <w:t>101/2015</w:t>
        </w:r>
      </w:hyperlink>
      <w:r>
        <w:t xml:space="preserve">, f. 2; </w:t>
      </w:r>
      <w:hyperlink w:anchor="SENTENCIA_2015_142" w:history="1">
        <w:r w:rsidRPr="00DD47EB">
          <w:rPr>
            <w:rStyle w:val="TextoNormalCaracter"/>
          </w:rPr>
          <w:t>142/2015</w:t>
        </w:r>
      </w:hyperlink>
      <w:r>
        <w:t>, f. 2.</w:t>
      </w:r>
    </w:p>
    <w:p w:rsidR="00DD47EB" w:rsidRDefault="00DD47EB" w:rsidP="00DD47EB">
      <w:pPr>
        <w:pStyle w:val="SangriaIzquierdaArticulo"/>
      </w:pPr>
      <w:r>
        <w:t xml:space="preserve">Autos </w:t>
      </w:r>
      <w:hyperlink w:anchor="AUTO_2015_16" w:history="1">
        <w:r w:rsidRPr="00DD47EB">
          <w:rPr>
            <w:rStyle w:val="TextoNormalCaracter"/>
          </w:rPr>
          <w:t>16/2015</w:t>
        </w:r>
      </w:hyperlink>
      <w:r>
        <w:t xml:space="preserve">, f. único; </w:t>
      </w:r>
      <w:hyperlink w:anchor="AUTO_2015_65" w:history="1">
        <w:r w:rsidRPr="00DD47EB">
          <w:rPr>
            <w:rStyle w:val="TextoNormalCaracter"/>
          </w:rPr>
          <w:t>65/2015</w:t>
        </w:r>
      </w:hyperlink>
      <w:r>
        <w:t xml:space="preserve">, ff. 2, 3; </w:t>
      </w:r>
      <w:hyperlink w:anchor="AUTO_2015_66" w:history="1">
        <w:r w:rsidRPr="00DD47EB">
          <w:rPr>
            <w:rStyle w:val="TextoNormalCaracter"/>
          </w:rPr>
          <w:t>66/2015</w:t>
        </w:r>
      </w:hyperlink>
      <w:r>
        <w:t xml:space="preserve">, ff. 1 a 3; </w:t>
      </w:r>
      <w:hyperlink w:anchor="AUTO_2015_69" w:history="1">
        <w:r w:rsidRPr="00DD47EB">
          <w:rPr>
            <w:rStyle w:val="TextoNormalCaracter"/>
          </w:rPr>
          <w:t>69/2015</w:t>
        </w:r>
      </w:hyperlink>
      <w:r>
        <w:t xml:space="preserve">, ff. 2 a 4; </w:t>
      </w:r>
      <w:hyperlink w:anchor="AUTO_2015_73" w:history="1">
        <w:r w:rsidRPr="00DD47EB">
          <w:rPr>
            <w:rStyle w:val="TextoNormalCaracter"/>
          </w:rPr>
          <w:t>73/2015</w:t>
        </w:r>
      </w:hyperlink>
      <w:r>
        <w:t xml:space="preserve">, ff. 1 a 3; </w:t>
      </w:r>
      <w:hyperlink w:anchor="AUTO_2015_74" w:history="1">
        <w:r w:rsidRPr="00DD47EB">
          <w:rPr>
            <w:rStyle w:val="TextoNormalCaracter"/>
          </w:rPr>
          <w:t>74/2015</w:t>
        </w:r>
      </w:hyperlink>
      <w:r>
        <w:t xml:space="preserve">, ff. 1 a 3; </w:t>
      </w:r>
      <w:hyperlink w:anchor="AUTO_2015_76" w:history="1">
        <w:r w:rsidRPr="00DD47EB">
          <w:rPr>
            <w:rStyle w:val="TextoNormalCaracter"/>
          </w:rPr>
          <w:t>76/2015</w:t>
        </w:r>
      </w:hyperlink>
      <w:r>
        <w:t xml:space="preserve">, ff. 3, 4; </w:t>
      </w:r>
      <w:hyperlink w:anchor="AUTO_2015_80" w:history="1">
        <w:r w:rsidRPr="00DD47EB">
          <w:rPr>
            <w:rStyle w:val="TextoNormalCaracter"/>
          </w:rPr>
          <w:t>80/2015</w:t>
        </w:r>
      </w:hyperlink>
      <w:r>
        <w:t xml:space="preserve">, f. 1; </w:t>
      </w:r>
      <w:hyperlink w:anchor="AUTO_2015_82" w:history="1">
        <w:r w:rsidRPr="00DD47EB">
          <w:rPr>
            <w:rStyle w:val="TextoNormalCaracter"/>
          </w:rPr>
          <w:t>82/2015</w:t>
        </w:r>
      </w:hyperlink>
      <w:r>
        <w:t xml:space="preserve">, f. 2; </w:t>
      </w:r>
      <w:hyperlink w:anchor="AUTO_2015_86" w:history="1">
        <w:r w:rsidRPr="00DD47EB">
          <w:rPr>
            <w:rStyle w:val="TextoNormalCaracter"/>
          </w:rPr>
          <w:t>86/2015</w:t>
        </w:r>
      </w:hyperlink>
      <w:r>
        <w:t xml:space="preserve">, f. único; </w:t>
      </w:r>
      <w:hyperlink w:anchor="AUTO_2015_87" w:history="1">
        <w:r w:rsidRPr="00DD47EB">
          <w:rPr>
            <w:rStyle w:val="TextoNormalCaracter"/>
          </w:rPr>
          <w:t>87/2015</w:t>
        </w:r>
      </w:hyperlink>
      <w:r>
        <w:t xml:space="preserve">, f. único; </w:t>
      </w:r>
      <w:hyperlink w:anchor="AUTO_2015_92" w:history="1">
        <w:r w:rsidRPr="00DD47EB">
          <w:rPr>
            <w:rStyle w:val="TextoNormalCaracter"/>
          </w:rPr>
          <w:t>92/2015</w:t>
        </w:r>
      </w:hyperlink>
      <w:r>
        <w:t xml:space="preserve">, f. 1; </w:t>
      </w:r>
      <w:hyperlink w:anchor="AUTO_2015_94" w:history="1">
        <w:r w:rsidRPr="00DD47EB">
          <w:rPr>
            <w:rStyle w:val="TextoNormalCaracter"/>
          </w:rPr>
          <w:t>94/2015</w:t>
        </w:r>
      </w:hyperlink>
      <w:r>
        <w:t xml:space="preserve">, f. 1; </w:t>
      </w:r>
      <w:hyperlink w:anchor="AUTO_2015_95" w:history="1">
        <w:r w:rsidRPr="00DD47EB">
          <w:rPr>
            <w:rStyle w:val="TextoNormalCaracter"/>
          </w:rPr>
          <w:t>95/2015</w:t>
        </w:r>
      </w:hyperlink>
      <w:r>
        <w:t xml:space="preserve">, f. 1; </w:t>
      </w:r>
      <w:hyperlink w:anchor="AUTO_2015_98" w:history="1">
        <w:r w:rsidRPr="00DD47EB">
          <w:rPr>
            <w:rStyle w:val="TextoNormalCaracter"/>
          </w:rPr>
          <w:t>98/2015</w:t>
        </w:r>
      </w:hyperlink>
      <w:r>
        <w:t xml:space="preserve">, f. 2; </w:t>
      </w:r>
      <w:hyperlink w:anchor="AUTO_2015_99" w:history="1">
        <w:r w:rsidRPr="00DD47EB">
          <w:rPr>
            <w:rStyle w:val="TextoNormalCaracter"/>
          </w:rPr>
          <w:t>99/2015</w:t>
        </w:r>
      </w:hyperlink>
      <w:r>
        <w:t xml:space="preserve">, ff. 2 a 4; </w:t>
      </w:r>
      <w:hyperlink w:anchor="AUTO_2015_106" w:history="1">
        <w:r w:rsidRPr="00DD47EB">
          <w:rPr>
            <w:rStyle w:val="TextoNormalCaracter"/>
          </w:rPr>
          <w:t>106/2015</w:t>
        </w:r>
      </w:hyperlink>
      <w:r>
        <w:t xml:space="preserve">, f. único; </w:t>
      </w:r>
      <w:hyperlink w:anchor="AUTO_2015_109" w:history="1">
        <w:r w:rsidRPr="00DD47EB">
          <w:rPr>
            <w:rStyle w:val="TextoNormalCaracter"/>
          </w:rPr>
          <w:t>109/2015</w:t>
        </w:r>
      </w:hyperlink>
      <w:r>
        <w:t xml:space="preserve">, ff. 2, 3; </w:t>
      </w:r>
      <w:hyperlink w:anchor="AUTO_2015_110" w:history="1">
        <w:r w:rsidRPr="00DD47EB">
          <w:rPr>
            <w:rStyle w:val="TextoNormalCaracter"/>
          </w:rPr>
          <w:t>110/2015</w:t>
        </w:r>
      </w:hyperlink>
      <w:r>
        <w:t>, f. único.</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86" w:history="1">
        <w:r w:rsidRPr="00DD47EB">
          <w:rPr>
            <w:rStyle w:val="TextoNormalCaracter"/>
          </w:rPr>
          <w:t>86/2015</w:t>
        </w:r>
      </w:hyperlink>
      <w:r>
        <w:t>, f. 3.</w:t>
      </w:r>
    </w:p>
    <w:p w:rsidR="00DD47EB" w:rsidRDefault="00DD47EB" w:rsidP="00DD47EB">
      <w:pPr>
        <w:pStyle w:val="TextoNormal"/>
      </w:pPr>
    </w:p>
    <w:p w:rsidR="00DD47EB" w:rsidRDefault="00DD47EB" w:rsidP="00DD47EB">
      <w:pPr>
        <w:pStyle w:val="SangriaFrancesaArticulo"/>
      </w:pPr>
      <w:bookmarkStart w:id="271" w:name="INDICE22844"/>
    </w:p>
    <w:bookmarkEnd w:id="271"/>
    <w:p w:rsidR="00DD47EB" w:rsidRDefault="00DD47EB" w:rsidP="00DD47EB">
      <w:pPr>
        <w:pStyle w:val="TextoIndiceNivel2"/>
        <w:suppressAutoHyphens/>
      </w:pPr>
      <w:r>
        <w:t>C) Cortes Generales</w:t>
      </w:r>
    </w:p>
    <w:p w:rsidR="00DD47EB" w:rsidRDefault="00DD47EB" w:rsidP="00DD47EB">
      <w:pPr>
        <w:pStyle w:val="TextoIndiceNivel2"/>
      </w:pPr>
    </w:p>
    <w:p w:rsidR="00DD47EB" w:rsidRDefault="00DD47EB" w:rsidP="00DD47EB">
      <w:pPr>
        <w:pStyle w:val="TextoNormalNegritaCursivandice"/>
      </w:pPr>
      <w:r>
        <w:t>Reglamento del Congreso de los Diputados, de 10 de febrero de 1982</w:t>
      </w:r>
    </w:p>
    <w:p w:rsidR="00DD47EB" w:rsidRDefault="00DD47EB" w:rsidP="00DD47EB">
      <w:pPr>
        <w:pStyle w:val="SangriaFrancesaArticulo"/>
      </w:pPr>
      <w:r w:rsidRPr="00DD47EB">
        <w:rPr>
          <w:rStyle w:val="TextoNormalNegritaCaracter"/>
        </w:rPr>
        <w:t>Artículo 69.</w:t>
      </w:r>
      <w:r w:rsidRPr="00DD47EB">
        <w:rPr>
          <w:rStyle w:val="TextoNormalCaracter"/>
        </w:rPr>
        <w:t>-</w:t>
      </w:r>
      <w:r>
        <w:t xml:space="preserve"> Sentencia </w:t>
      </w:r>
      <w:hyperlink w:anchor="SENTENCIA_2015_44" w:history="1">
        <w:r w:rsidRPr="00DD47EB">
          <w:rPr>
            <w:rStyle w:val="TextoNormalCaracter"/>
          </w:rPr>
          <w:t>44/2015</w:t>
        </w:r>
      </w:hyperlink>
      <w:r>
        <w:t>, f. 2.</w:t>
      </w:r>
    </w:p>
    <w:p w:rsidR="00DD47EB" w:rsidRDefault="00DD47EB" w:rsidP="00DD47EB">
      <w:pPr>
        <w:pStyle w:val="SangriaFrancesaArticulo"/>
      </w:pPr>
      <w:r w:rsidRPr="00DD47EB">
        <w:rPr>
          <w:rStyle w:val="TextoNormalNegritaCaracter"/>
        </w:rPr>
        <w:t>Artículo 72.1.</w:t>
      </w:r>
      <w:r w:rsidRPr="00DD47EB">
        <w:rPr>
          <w:rStyle w:val="TextoNormalCaracter"/>
        </w:rPr>
        <w:t>-</w:t>
      </w:r>
      <w:r>
        <w:t xml:space="preserve"> Sentencia </w:t>
      </w:r>
      <w:hyperlink w:anchor="SENTENCIA_2015_44" w:history="1">
        <w:r w:rsidRPr="00DD47EB">
          <w:rPr>
            <w:rStyle w:val="TextoNormalCaracter"/>
          </w:rPr>
          <w:t>44/2015</w:t>
        </w:r>
      </w:hyperlink>
      <w:r>
        <w:t>, f. 2.</w:t>
      </w:r>
    </w:p>
    <w:p w:rsidR="00DD47EB" w:rsidRDefault="00DD47EB" w:rsidP="00DD47EB">
      <w:pPr>
        <w:pStyle w:val="SangriaFrancesaArticulo"/>
      </w:pPr>
      <w:r w:rsidRPr="00DD47EB">
        <w:rPr>
          <w:rStyle w:val="TextoNormalNegritaCaracter"/>
        </w:rPr>
        <w:t>Artículo 93.</w:t>
      </w:r>
      <w:r w:rsidRPr="00DD47EB">
        <w:rPr>
          <w:rStyle w:val="TextoNormalCaracter"/>
        </w:rPr>
        <w:t>-</w:t>
      </w:r>
      <w:r>
        <w:t xml:space="preserve"> Sentencia </w:t>
      </w:r>
      <w:hyperlink w:anchor="SENTENCIA_2015_81" w:history="1">
        <w:r w:rsidRPr="00DD47EB">
          <w:rPr>
            <w:rStyle w:val="TextoNormalCaracter"/>
          </w:rPr>
          <w:t>81/2015</w:t>
        </w:r>
      </w:hyperlink>
      <w:r>
        <w:t>, f. 5.</w:t>
      </w:r>
    </w:p>
    <w:p w:rsidR="00DD47EB" w:rsidRDefault="00DD47EB" w:rsidP="00DD47EB">
      <w:pPr>
        <w:pStyle w:val="SangriaFrancesaArticulo"/>
      </w:pPr>
      <w:r w:rsidRPr="00DD47EB">
        <w:rPr>
          <w:rStyle w:val="TextoNormalNegritaCaracter"/>
        </w:rPr>
        <w:t>Artículo 133.</w:t>
      </w:r>
      <w:r w:rsidRPr="00DD47EB">
        <w:rPr>
          <w:rStyle w:val="TextoNormalCaracter"/>
        </w:rPr>
        <w:t>-</w:t>
      </w:r>
      <w:r>
        <w:t xml:space="preserve"> Sentencia </w:t>
      </w:r>
      <w:hyperlink w:anchor="SENTENCIA_2015_44" w:history="1">
        <w:r w:rsidRPr="00DD47EB">
          <w:rPr>
            <w:rStyle w:val="TextoNormalCaracter"/>
          </w:rPr>
          <w:t>44/2015</w:t>
        </w:r>
      </w:hyperlink>
      <w:r>
        <w:t>, f. 4.</w:t>
      </w:r>
    </w:p>
    <w:p w:rsidR="00DD47EB" w:rsidRDefault="00DD47EB" w:rsidP="00DD47EB">
      <w:pPr>
        <w:pStyle w:val="SangriaFrancesaArticulo"/>
      </w:pPr>
      <w:r w:rsidRPr="00DD47EB">
        <w:rPr>
          <w:rStyle w:val="TextoNormalNegritaCaracter"/>
        </w:rPr>
        <w:t>Artículo 133.3.</w:t>
      </w:r>
      <w:r w:rsidRPr="00DD47EB">
        <w:rPr>
          <w:rStyle w:val="TextoNormalCaracter"/>
        </w:rPr>
        <w:t>-</w:t>
      </w:r>
      <w:r>
        <w:t xml:space="preserve"> Sentencia </w:t>
      </w:r>
      <w:hyperlink w:anchor="SENTENCIA_2015_44" w:history="1">
        <w:r w:rsidRPr="00DD47EB">
          <w:rPr>
            <w:rStyle w:val="TextoNormalCaracter"/>
          </w:rPr>
          <w:t>44/2015</w:t>
        </w:r>
      </w:hyperlink>
      <w:r>
        <w:t>, f. 4.</w:t>
      </w:r>
    </w:p>
    <w:p w:rsidR="00DD47EB" w:rsidRDefault="00DD47EB" w:rsidP="00DD47EB">
      <w:pPr>
        <w:pStyle w:val="SangriaFrancesaArticulo"/>
      </w:pPr>
      <w:r w:rsidRPr="00DD47EB">
        <w:rPr>
          <w:rStyle w:val="TextoNormalNegritaCaracter"/>
        </w:rPr>
        <w:t>Artículo 150.</w:t>
      </w:r>
      <w:r w:rsidRPr="00DD47EB">
        <w:rPr>
          <w:rStyle w:val="TextoNormalCaracter"/>
        </w:rPr>
        <w:t>-</w:t>
      </w:r>
      <w:r>
        <w:t xml:space="preserve"> Sentencia </w:t>
      </w:r>
      <w:hyperlink w:anchor="SENTENCIA_2015_81" w:history="1">
        <w:r w:rsidRPr="00DD47EB">
          <w:rPr>
            <w:rStyle w:val="TextoNormalCaracter"/>
          </w:rPr>
          <w:t>81/2015</w:t>
        </w:r>
      </w:hyperlink>
      <w:r>
        <w:t>, f. 5.</w:t>
      </w:r>
    </w:p>
    <w:p w:rsidR="00DD47EB" w:rsidRDefault="00DD47EB" w:rsidP="00DD47EB">
      <w:pPr>
        <w:pStyle w:val="SangriaFrancesaArticulo"/>
      </w:pPr>
      <w:r w:rsidRPr="00DD47EB">
        <w:rPr>
          <w:rStyle w:val="TextoNormalNegritaCaracter"/>
        </w:rPr>
        <w:t>Artículo 168.</w:t>
      </w:r>
      <w:r w:rsidRPr="00DD47EB">
        <w:rPr>
          <w:rStyle w:val="TextoNormalCaracter"/>
        </w:rPr>
        <w:t>-</w:t>
      </w:r>
      <w:r>
        <w:t xml:space="preserve"> Sentencia </w:t>
      </w:r>
      <w:hyperlink w:anchor="SENTENCIA_2015_73" w:history="1">
        <w:r w:rsidRPr="00DD47EB">
          <w:rPr>
            <w:rStyle w:val="TextoNormalCaracter"/>
          </w:rPr>
          <w:t>73/2015</w:t>
        </w:r>
      </w:hyperlink>
      <w:r>
        <w:t>, f. 1.</w:t>
      </w:r>
    </w:p>
    <w:p w:rsidR="00DD47EB" w:rsidRDefault="00DD47EB" w:rsidP="00DD47EB">
      <w:pPr>
        <w:pStyle w:val="SangriaFrancesaArticulo"/>
      </w:pPr>
    </w:p>
    <w:p w:rsidR="00DD47EB" w:rsidRDefault="00DD47EB" w:rsidP="00DD47EB">
      <w:pPr>
        <w:pStyle w:val="TextoNormalNegritaCursivandice"/>
      </w:pPr>
      <w:r>
        <w:t>Reglamento del Senado de 3 de mayo de 1994. Texto refundido</w:t>
      </w:r>
    </w:p>
    <w:p w:rsidR="00DD47EB" w:rsidRDefault="00DD47EB" w:rsidP="00DD47EB">
      <w:pPr>
        <w:pStyle w:val="SangriaFrancesaArticulo"/>
      </w:pPr>
      <w:r w:rsidRPr="00DD47EB">
        <w:rPr>
          <w:rStyle w:val="TextoNormalNegritaCaracter"/>
        </w:rPr>
        <w:t>Artículo 36.2.</w:t>
      </w:r>
      <w:r w:rsidRPr="00DD47EB">
        <w:rPr>
          <w:rStyle w:val="TextoNormalCaracter"/>
        </w:rPr>
        <w:t>-</w:t>
      </w:r>
      <w:r>
        <w:t xml:space="preserve"> Sentencia </w:t>
      </w:r>
      <w:hyperlink w:anchor="SENTENCIA_2015_59" w:history="1">
        <w:r w:rsidRPr="00DD47EB">
          <w:rPr>
            <w:rStyle w:val="TextoNormalCaracter"/>
          </w:rPr>
          <w:t>59/2015</w:t>
        </w:r>
      </w:hyperlink>
      <w:r>
        <w:t>, f. 6.</w:t>
      </w:r>
    </w:p>
    <w:p w:rsidR="00DD47EB" w:rsidRDefault="00DD47EB" w:rsidP="00DD47EB">
      <w:pPr>
        <w:pStyle w:val="SangriaFrancesaArticulo"/>
      </w:pPr>
      <w:r w:rsidRPr="00DD47EB">
        <w:rPr>
          <w:rStyle w:val="TextoNormalNegritaCaracter"/>
        </w:rPr>
        <w:t>Artículo 141.</w:t>
      </w:r>
      <w:r w:rsidRPr="00DD47EB">
        <w:rPr>
          <w:rStyle w:val="TextoNormalCaracter"/>
        </w:rPr>
        <w:t>-</w:t>
      </w:r>
      <w:r>
        <w:t xml:space="preserve"> Sentencia </w:t>
      </w:r>
      <w:hyperlink w:anchor="SENTENCIA_2015_73" w:history="1">
        <w:r w:rsidRPr="00DD47EB">
          <w:rPr>
            <w:rStyle w:val="TextoNormalCaracter"/>
          </w:rPr>
          <w:t>73/2015</w:t>
        </w:r>
      </w:hyperlink>
      <w:r>
        <w:t>, f. 1.</w:t>
      </w:r>
    </w:p>
    <w:p w:rsidR="00DD47EB" w:rsidRDefault="00DD47EB" w:rsidP="00DD47EB">
      <w:pPr>
        <w:pStyle w:val="SangriaFrancesaArticulo"/>
      </w:pPr>
      <w:r w:rsidRPr="00DD47EB">
        <w:rPr>
          <w:rStyle w:val="TextoNormalNegritaCaracter"/>
        </w:rPr>
        <w:t>Artículo 151.</w:t>
      </w:r>
      <w:r w:rsidRPr="00DD47EB">
        <w:rPr>
          <w:rStyle w:val="TextoNormalCaracter"/>
        </w:rPr>
        <w:t>-</w:t>
      </w:r>
      <w:r>
        <w:t xml:space="preserve"> Sentencia </w:t>
      </w:r>
      <w:hyperlink w:anchor="SENTENCIA_2015_73" w:history="1">
        <w:r w:rsidRPr="00DD47EB">
          <w:rPr>
            <w:rStyle w:val="TextoNormalCaracter"/>
          </w:rPr>
          <w:t>73/2015</w:t>
        </w:r>
      </w:hyperlink>
      <w:r>
        <w:t>, f. 4.</w:t>
      </w:r>
    </w:p>
    <w:p w:rsidR="00DD47EB" w:rsidRDefault="00DD47EB" w:rsidP="00DD47EB">
      <w:pPr>
        <w:pStyle w:val="SangriaFrancesaArticulo"/>
      </w:pPr>
    </w:p>
    <w:p w:rsidR="00DD47EB" w:rsidRDefault="00DD47EB" w:rsidP="00DD47EB">
      <w:pPr>
        <w:pStyle w:val="TextoNormalNegritaCursivandice"/>
      </w:pPr>
      <w:r>
        <w:t>Resolución de 25 de enero de 2012, de las Mesas del Congreso de los Diputados y del Senado. Modifica el reglamento de organización y funcionamiento del Defensor del Pueblo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TextoNormal"/>
      </w:pPr>
    </w:p>
    <w:p w:rsidR="00DD47EB" w:rsidRDefault="00DD47EB" w:rsidP="00DD47EB">
      <w:pPr>
        <w:pStyle w:val="SangriaFrancesaArticulo"/>
      </w:pPr>
      <w:bookmarkStart w:id="272" w:name="INDICE22845"/>
    </w:p>
    <w:bookmarkEnd w:id="272"/>
    <w:p w:rsidR="00DD47EB" w:rsidRDefault="00DD47EB" w:rsidP="00DD47EB">
      <w:pPr>
        <w:pStyle w:val="TextoIndiceNivel2"/>
        <w:suppressAutoHyphens/>
      </w:pPr>
      <w:r>
        <w:t>D) Leyes Orgánicas</w:t>
      </w:r>
    </w:p>
    <w:p w:rsidR="00DD47EB" w:rsidRDefault="00DD47EB" w:rsidP="00DD47EB">
      <w:pPr>
        <w:pStyle w:val="TextoIndiceNivel2"/>
      </w:pPr>
    </w:p>
    <w:p w:rsidR="00DD47EB" w:rsidRDefault="00DD47EB" w:rsidP="00DD47EB">
      <w:pPr>
        <w:pStyle w:val="TextoNormalNegritaCursivandice"/>
      </w:pPr>
      <w:r>
        <w:t>Ley Orgánica 2/1980, de 18 de enero. Regulación de las distintas modalidades de referéndum</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1" w:history="1">
        <w:r w:rsidRPr="00DD47EB">
          <w:rPr>
            <w:rStyle w:val="TextoNormalCaracter"/>
          </w:rPr>
          <w:t>31/2015</w:t>
        </w:r>
      </w:hyperlink>
      <w:r>
        <w:t xml:space="preserve">, ff. 6, 10; </w:t>
      </w:r>
      <w:hyperlink w:anchor="SENTENCIA_2015_137" w:history="1">
        <w:r w:rsidRPr="00DD47EB">
          <w:rPr>
            <w:rStyle w:val="TextoNormalCaracter"/>
          </w:rPr>
          <w:t>137/2015</w:t>
        </w:r>
      </w:hyperlink>
      <w:r>
        <w:t>, ff. 1, 4.</w:t>
      </w:r>
    </w:p>
    <w:p w:rsidR="00DD47EB" w:rsidRDefault="00DD47EB" w:rsidP="00DD47EB">
      <w:pPr>
        <w:pStyle w:val="SangriaFrancesaArticulo"/>
      </w:pPr>
      <w:r w:rsidRPr="00DD47EB">
        <w:rPr>
          <w:rStyle w:val="TextoNormalNegritaCaracter"/>
        </w:rPr>
        <w:t>Artículo 11.1.</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Disposición adicional.</w:t>
      </w:r>
      <w:r w:rsidRPr="00DD47EB">
        <w:rPr>
          <w:rStyle w:val="TextoNormalCaracter"/>
        </w:rPr>
        <w:t>-</w:t>
      </w:r>
      <w:r>
        <w:t xml:space="preserve"> Sentencias </w:t>
      </w:r>
      <w:hyperlink w:anchor="SENTENCIA_2015_31" w:history="1">
        <w:r w:rsidRPr="00DD47EB">
          <w:rPr>
            <w:rStyle w:val="TextoNormalCaracter"/>
          </w:rPr>
          <w:t>31/2015</w:t>
        </w:r>
      </w:hyperlink>
      <w:r>
        <w:t xml:space="preserve">, ff. 2, 6, 10; </w:t>
      </w:r>
      <w:hyperlink w:anchor="SENTENCIA_2015_137" w:history="1">
        <w:r w:rsidRPr="00DD47EB">
          <w:rPr>
            <w:rStyle w:val="TextoNormalCaracter"/>
          </w:rPr>
          <w:t>137/2015</w:t>
        </w:r>
      </w:hyperlink>
      <w:r>
        <w:t>, f. 4.</w:t>
      </w:r>
    </w:p>
    <w:p w:rsidR="00DD47EB" w:rsidRDefault="00DD47EB" w:rsidP="00DD47EB">
      <w:pPr>
        <w:pStyle w:val="SangriaFrancesaArticulo"/>
      </w:pPr>
    </w:p>
    <w:p w:rsidR="00DD47EB" w:rsidRDefault="00DD47EB" w:rsidP="00DD47EB">
      <w:pPr>
        <w:pStyle w:val="TextoNormalNegritaCursivandice"/>
      </w:pPr>
      <w:r>
        <w:t>Ley Orgánica 8/1980, de 22 de septiembre. Financiación de las Comunidades Autónomas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6" w:history="1">
        <w:r w:rsidRPr="00DD47EB">
          <w:rPr>
            <w:rStyle w:val="TextoNormalCaracter"/>
          </w:rPr>
          <w:t>26/2015</w:t>
        </w:r>
      </w:hyperlink>
      <w:r>
        <w:t xml:space="preserve">, ff. 2, 5, 6; </w:t>
      </w:r>
      <w:hyperlink w:anchor="SENTENCIA_2015_30" w:history="1">
        <w:r w:rsidRPr="00DD47EB">
          <w:rPr>
            <w:rStyle w:val="TextoNormalCaracter"/>
          </w:rPr>
          <w:t>30/2015</w:t>
        </w:r>
      </w:hyperlink>
      <w:r>
        <w:t xml:space="preserve">, f. 3; </w:t>
      </w:r>
      <w:hyperlink w:anchor="SENTENCIA_2015_73" w:history="1">
        <w:r w:rsidRPr="00DD47EB">
          <w:rPr>
            <w:rStyle w:val="TextoNormalCaracter"/>
          </w:rPr>
          <w:t>73/2015</w:t>
        </w:r>
      </w:hyperlink>
      <w:r>
        <w:t xml:space="preserve">, f. 3; </w:t>
      </w:r>
      <w:hyperlink w:anchor="SENTENCIA_2015_108" w:history="1">
        <w:r w:rsidRPr="00DD47EB">
          <w:rPr>
            <w:rStyle w:val="TextoNormalCaracter"/>
          </w:rPr>
          <w:t>108/2015</w:t>
        </w:r>
      </w:hyperlink>
      <w:r>
        <w:t xml:space="preserve">, f. 3; </w:t>
      </w:r>
      <w:hyperlink w:anchor="SENTENCIA_2015_136" w:history="1">
        <w:r w:rsidRPr="00DD47EB">
          <w:rPr>
            <w:rStyle w:val="TextoNormalCaracter"/>
          </w:rPr>
          <w:t>136/2015</w:t>
        </w:r>
      </w:hyperlink>
      <w:r>
        <w:t xml:space="preserve">, f. 1; </w:t>
      </w:r>
      <w:hyperlink w:anchor="SENTENCIA_2015_143" w:history="1">
        <w:r w:rsidRPr="00DD47EB">
          <w:rPr>
            <w:rStyle w:val="TextoNormalCaracter"/>
          </w:rPr>
          <w:t>143/2015</w:t>
        </w:r>
      </w:hyperlink>
      <w:r>
        <w:t>, f. 3.</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73" w:history="1">
        <w:r w:rsidRPr="00DD47EB">
          <w:rPr>
            <w:rStyle w:val="TextoNormalCaracter"/>
          </w:rPr>
          <w:t>73/2015</w:t>
        </w:r>
      </w:hyperlink>
      <w:r>
        <w:t>, f. 1.</w:t>
      </w:r>
    </w:p>
    <w:p w:rsidR="00DD47EB" w:rsidRDefault="00DD47EB" w:rsidP="00DD47EB">
      <w:pPr>
        <w:pStyle w:val="SangriaFrancesaArticulo"/>
      </w:pPr>
      <w:r w:rsidRPr="00DD47EB">
        <w:rPr>
          <w:rStyle w:val="TextoNormalNegritaCaracter"/>
        </w:rPr>
        <w:t>Artículo 2.1 b).</w:t>
      </w:r>
      <w:r w:rsidRPr="00DD47EB">
        <w:rPr>
          <w:rStyle w:val="TextoNormalCaracter"/>
        </w:rPr>
        <w:t>-</w:t>
      </w:r>
      <w:r>
        <w:t xml:space="preserve"> Sentencia </w:t>
      </w:r>
      <w:hyperlink w:anchor="SENTENCIA_2015_143" w:history="1">
        <w:r w:rsidRPr="00DD47EB">
          <w:rPr>
            <w:rStyle w:val="TextoNormalCaracter"/>
          </w:rPr>
          <w:t>143/2015</w:t>
        </w:r>
      </w:hyperlink>
      <w:r>
        <w:t>, f. 3.</w:t>
      </w:r>
    </w:p>
    <w:p w:rsidR="00DD47EB" w:rsidRDefault="00DD47EB" w:rsidP="00DD47EB">
      <w:pPr>
        <w:pStyle w:val="SangriaFrancesaArticulo"/>
      </w:pPr>
      <w:r w:rsidRPr="00DD47EB">
        <w:rPr>
          <w:rStyle w:val="TextoNormalNegritaCaracter"/>
        </w:rPr>
        <w:t>Artículo 2.1 g).</w:t>
      </w:r>
      <w:r w:rsidRPr="00DD47EB">
        <w:rPr>
          <w:rStyle w:val="TextoNormalCaracter"/>
        </w:rPr>
        <w:t>-</w:t>
      </w:r>
      <w:r>
        <w:t xml:space="preserve"> Sentencia </w:t>
      </w:r>
      <w:hyperlink w:anchor="SENTENCIA_2015_102" w:history="1">
        <w:r w:rsidRPr="00DD47EB">
          <w:rPr>
            <w:rStyle w:val="TextoNormalCaracter"/>
          </w:rPr>
          <w:t>102/2015</w:t>
        </w:r>
      </w:hyperlink>
      <w:r>
        <w:t>, ff. 1, 6.</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f. 3.</w:t>
      </w:r>
    </w:p>
    <w:p w:rsidR="00DD47EB" w:rsidRDefault="00DD47EB" w:rsidP="00DD47EB">
      <w:pPr>
        <w:pStyle w:val="SangriaFrancesaArticulo"/>
      </w:pPr>
      <w:r w:rsidRPr="00DD47EB">
        <w:rPr>
          <w:rStyle w:val="TextoNormalNegritaCaracter"/>
        </w:rPr>
        <w:t>Artículo 6</w:t>
      </w:r>
      <w:r>
        <w:t xml:space="preserve"> (redactado por la Ley Orgánica 3/2009, de 18 de diciembre)</w:t>
      </w:r>
      <w:r w:rsidRPr="00DD47EB">
        <w:rPr>
          <w:rStyle w:val="TextoNormalNegritaCaracter"/>
        </w:rPr>
        <w:t>.</w:t>
      </w:r>
      <w:r w:rsidRPr="00DD47EB">
        <w:rPr>
          <w:rStyle w:val="TextoNormalCaracter"/>
        </w:rPr>
        <w:t>-</w:t>
      </w:r>
      <w:r>
        <w:t xml:space="preserve"> Sentencia </w:t>
      </w:r>
      <w:hyperlink w:anchor="SENTENCIA_2015_22" w:history="1">
        <w:r w:rsidRPr="00DD47EB">
          <w:rPr>
            <w:rStyle w:val="TextoNormalCaracter"/>
          </w:rPr>
          <w:t>22/2015</w:t>
        </w:r>
      </w:hyperlink>
      <w:r>
        <w:t>, f. 1.</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Sentencias </w:t>
      </w:r>
      <w:hyperlink w:anchor="SENTENCIA_2015_26" w:history="1">
        <w:r w:rsidRPr="00DD47EB">
          <w:rPr>
            <w:rStyle w:val="TextoNormalCaracter"/>
          </w:rPr>
          <w:t>26/2015</w:t>
        </w:r>
      </w:hyperlink>
      <w:r>
        <w:t xml:space="preserve">, ff. 1 a 6, VP; </w:t>
      </w:r>
      <w:hyperlink w:anchor="SENTENCIA_2015_30" w:history="1">
        <w:r w:rsidRPr="00DD47EB">
          <w:rPr>
            <w:rStyle w:val="TextoNormalCaracter"/>
          </w:rPr>
          <w:t>30/2015</w:t>
        </w:r>
      </w:hyperlink>
      <w:r>
        <w:t xml:space="preserve">, ff. 1 a 4, VP; </w:t>
      </w:r>
      <w:hyperlink w:anchor="SENTENCIA_2015_59" w:history="1">
        <w:r w:rsidRPr="00DD47EB">
          <w:rPr>
            <w:rStyle w:val="TextoNormalCaracter"/>
          </w:rPr>
          <w:t>59/2015</w:t>
        </w:r>
      </w:hyperlink>
      <w:r>
        <w:t xml:space="preserve">, ff. 1, 3; </w:t>
      </w:r>
      <w:hyperlink w:anchor="SENTENCIA_2015_73" w:history="1">
        <w:r w:rsidRPr="00DD47EB">
          <w:rPr>
            <w:rStyle w:val="TextoNormalCaracter"/>
          </w:rPr>
          <w:t>73/2015</w:t>
        </w:r>
      </w:hyperlink>
      <w:r>
        <w:t xml:space="preserve">, ff. 1, 3, 4; </w:t>
      </w:r>
      <w:hyperlink w:anchor="SENTENCIA_2015_102" w:history="1">
        <w:r w:rsidRPr="00DD47EB">
          <w:rPr>
            <w:rStyle w:val="TextoNormalCaracter"/>
          </w:rPr>
          <w:t>102/2015</w:t>
        </w:r>
      </w:hyperlink>
      <w:r>
        <w:t xml:space="preserve">, ff. 1 a 3, 6; </w:t>
      </w:r>
      <w:hyperlink w:anchor="SENTENCIA_2015_107" w:history="1">
        <w:r w:rsidRPr="00DD47EB">
          <w:rPr>
            <w:rStyle w:val="TextoNormalCaracter"/>
          </w:rPr>
          <w:t>107/2015</w:t>
        </w:r>
      </w:hyperlink>
      <w:r>
        <w:t xml:space="preserve">, f. 1; </w:t>
      </w:r>
      <w:hyperlink w:anchor="SENTENCIA_2015_108" w:history="1">
        <w:r w:rsidRPr="00DD47EB">
          <w:rPr>
            <w:rStyle w:val="TextoNormalCaracter"/>
          </w:rPr>
          <w:t>108/2015</w:t>
        </w:r>
      </w:hyperlink>
      <w:r>
        <w:t xml:space="preserve">, ff. 1 a 3, 5; </w:t>
      </w:r>
      <w:hyperlink w:anchor="SENTENCIA_2015_111" w:history="1">
        <w:r w:rsidRPr="00DD47EB">
          <w:rPr>
            <w:rStyle w:val="TextoNormalCaracter"/>
          </w:rPr>
          <w:t>111/2015</w:t>
        </w:r>
      </w:hyperlink>
      <w:r>
        <w:t>, ff. 1 a 3.</w:t>
      </w:r>
    </w:p>
    <w:p w:rsidR="00DD47EB" w:rsidRDefault="00DD47EB" w:rsidP="00DD47EB">
      <w:pPr>
        <w:pStyle w:val="SangriaFrancesaArticulo"/>
      </w:pPr>
      <w:r w:rsidRPr="00DD47EB">
        <w:rPr>
          <w:rStyle w:val="TextoNormalNegritaCaracter"/>
        </w:rPr>
        <w:t>Artículo 6.3.</w:t>
      </w:r>
      <w:r w:rsidRPr="00DD47EB">
        <w:rPr>
          <w:rStyle w:val="TextoNormalCaracter"/>
        </w:rPr>
        <w:t>-</w:t>
      </w:r>
      <w:r>
        <w:t xml:space="preserve"> Sentencias </w:t>
      </w:r>
      <w:hyperlink w:anchor="SENTENCIA_2015_22" w:history="1">
        <w:r w:rsidRPr="00DD47EB">
          <w:rPr>
            <w:rStyle w:val="TextoNormalCaracter"/>
          </w:rPr>
          <w:t>22/2015</w:t>
        </w:r>
      </w:hyperlink>
      <w:r>
        <w:t xml:space="preserve">, ff. 1 a 5; </w:t>
      </w:r>
      <w:hyperlink w:anchor="SENTENCIA_2015_30" w:history="1">
        <w:r w:rsidRPr="00DD47EB">
          <w:rPr>
            <w:rStyle w:val="TextoNormalCaracter"/>
          </w:rPr>
          <w:t>30/2015</w:t>
        </w:r>
      </w:hyperlink>
      <w:r>
        <w:t>, f. 4.</w:t>
      </w:r>
    </w:p>
    <w:p w:rsidR="00DD47EB" w:rsidRDefault="00DD47EB" w:rsidP="00DD47EB">
      <w:pPr>
        <w:pStyle w:val="SangriaFrancesaArticulo"/>
      </w:pPr>
      <w:r w:rsidRPr="00DD47EB">
        <w:rPr>
          <w:rStyle w:val="TextoNormalNegritaCaracter"/>
        </w:rPr>
        <w:t>Artículo 11 c).</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r w:rsidRPr="00DD47EB">
        <w:rPr>
          <w:rStyle w:val="TextoNormalNegritaCaracter"/>
        </w:rPr>
        <w:t>Artículo 11 d).</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21 b).</w:t>
      </w:r>
      <w:r w:rsidRPr="00DD47EB">
        <w:rPr>
          <w:rStyle w:val="TextoNormalCaracter"/>
        </w:rPr>
        <w:t>-</w:t>
      </w:r>
      <w:r>
        <w:t xml:space="preserve"> Sentencia </w:t>
      </w:r>
      <w:hyperlink w:anchor="SENTENCIA_2015_94" w:history="1">
        <w:r w:rsidRPr="00DD47EB">
          <w:rPr>
            <w:rStyle w:val="TextoNormalCaracter"/>
          </w:rPr>
          <w:t>94/2015</w:t>
        </w:r>
      </w:hyperlink>
      <w:r>
        <w:t>, f. 3.</w:t>
      </w:r>
    </w:p>
    <w:p w:rsidR="00DD47EB" w:rsidRDefault="00DD47EB" w:rsidP="00DD47EB">
      <w:pPr>
        <w:pStyle w:val="SangriaFrancesaArticulo"/>
      </w:pPr>
      <w:r w:rsidRPr="00DD47EB">
        <w:rPr>
          <w:rStyle w:val="TextoNormalNegritaCaracter"/>
        </w:rPr>
        <w:t>Artículo 21.1.</w:t>
      </w:r>
      <w:r w:rsidRPr="00DD47EB">
        <w:rPr>
          <w:rStyle w:val="TextoNormalCaracter"/>
        </w:rPr>
        <w:t>-</w:t>
      </w:r>
      <w:r>
        <w:t xml:space="preserve"> Sentencia </w:t>
      </w:r>
      <w:hyperlink w:anchor="SENTENCIA_2015_108" w:history="1">
        <w:r w:rsidRPr="00DD47EB">
          <w:rPr>
            <w:rStyle w:val="TextoNormalCaracter"/>
          </w:rPr>
          <w:t>108/2015</w:t>
        </w:r>
      </w:hyperlink>
      <w:r>
        <w:t>, f. 3.</w:t>
      </w:r>
    </w:p>
    <w:p w:rsidR="00DD47EB" w:rsidRDefault="00DD47EB" w:rsidP="00DD47EB">
      <w:pPr>
        <w:pStyle w:val="SangriaIzquierdaArticulo"/>
      </w:pPr>
      <w:r>
        <w:t xml:space="preserve">Auto </w:t>
      </w:r>
      <w:hyperlink w:anchor="AUTO_2015_37" w:history="1">
        <w:r w:rsidRPr="00DD47EB">
          <w:rPr>
            <w:rStyle w:val="TextoNormalCaracter"/>
          </w:rPr>
          <w:t>37/2015</w:t>
        </w:r>
      </w:hyperlink>
      <w:r>
        <w:t>, f. 3.</w:t>
      </w:r>
    </w:p>
    <w:p w:rsidR="00DD47EB" w:rsidRDefault="00DD47EB" w:rsidP="00DD47EB">
      <w:pPr>
        <w:pStyle w:val="SangriaIzquierdaArticulo"/>
      </w:pPr>
    </w:p>
    <w:p w:rsidR="00DD47EB" w:rsidRDefault="00DD47EB" w:rsidP="00DD47EB">
      <w:pPr>
        <w:pStyle w:val="TextoNormalNegritaCursivandice"/>
      </w:pPr>
      <w:r>
        <w:t>Ley Orgánica 3/1981, de 6 de abril. Defensor del Pueblo</w:t>
      </w:r>
    </w:p>
    <w:p w:rsidR="00DD47EB" w:rsidRDefault="00DD47EB" w:rsidP="00DD47EB">
      <w:pPr>
        <w:pStyle w:val="SangriaFrancesaArticulo"/>
      </w:pPr>
      <w:r w:rsidRPr="00DD47EB">
        <w:rPr>
          <w:rStyle w:val="TextoNormalNegritaCaracter"/>
        </w:rPr>
        <w:t>Artículo 25.1.</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Disposición final única</w:t>
      </w:r>
      <w:r>
        <w:t xml:space="preserve"> (redactada por la Ley Orgánica 6/1985, de 1 de julio)</w:t>
      </w:r>
      <w:r w:rsidRPr="00DD47EB">
        <w:rPr>
          <w:rStyle w:val="TextoNormalNegritaCaracter"/>
        </w:rPr>
        <w:t>.</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p>
    <w:p w:rsidR="00DD47EB" w:rsidRDefault="00DD47EB" w:rsidP="00DD47EB">
      <w:pPr>
        <w:pStyle w:val="TextoNormalNegritaCursivandice"/>
      </w:pPr>
      <w:r>
        <w:t>Ley Orgánica 9/1983, de 15 de julio. Normas reguladoras del derecho de reunión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4" w:history="1">
        <w:r w:rsidRPr="00DD47EB">
          <w:rPr>
            <w:rStyle w:val="TextoNormalCaracter"/>
          </w:rPr>
          <w:t>24/2015</w:t>
        </w:r>
      </w:hyperlink>
      <w:r>
        <w:t>, f. 3.</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24" w:history="1">
        <w:r w:rsidRPr="00DD47EB">
          <w:rPr>
            <w:rStyle w:val="TextoNormalCaracter"/>
          </w:rPr>
          <w:t>24/2015</w:t>
        </w:r>
      </w:hyperlink>
      <w:r>
        <w:t>, f. 1.</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24" w:history="1">
        <w:r w:rsidRPr="00DD47EB">
          <w:rPr>
            <w:rStyle w:val="TextoNormalCaracter"/>
          </w:rPr>
          <w:t>24/2015</w:t>
        </w:r>
      </w:hyperlink>
      <w:r>
        <w:t>, ff. 1 a 3.</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24" w:history="1">
        <w:r w:rsidRPr="00DD47EB">
          <w:rPr>
            <w:rStyle w:val="TextoNormalCaracter"/>
          </w:rPr>
          <w:t>24/2015</w:t>
        </w:r>
      </w:hyperlink>
      <w:r>
        <w:t>, ff. 1, 3.</w:t>
      </w:r>
    </w:p>
    <w:p w:rsidR="00DD47EB" w:rsidRDefault="00DD47EB" w:rsidP="00DD47EB">
      <w:pPr>
        <w:pStyle w:val="SangriaFrancesaArticulo"/>
      </w:pPr>
    </w:p>
    <w:p w:rsidR="00DD47EB" w:rsidRDefault="00DD47EB" w:rsidP="00DD47EB">
      <w:pPr>
        <w:pStyle w:val="TextoNormalNegritaCursivandice"/>
      </w:pPr>
      <w:r>
        <w:t>Ley Orgánica 6/1984, de 24 de mayo. Regula del procedimiento de Habeas Corpus</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42" w:history="1">
        <w:r w:rsidRPr="00DD47EB">
          <w:rPr>
            <w:rStyle w:val="TextoNormalCaracter"/>
          </w:rPr>
          <w:t>42/2015</w:t>
        </w:r>
      </w:hyperlink>
      <w:r>
        <w:t>, ff. 2 a 4.</w:t>
      </w:r>
    </w:p>
    <w:p w:rsidR="00DD47EB" w:rsidRDefault="00DD47EB" w:rsidP="00DD47EB">
      <w:pPr>
        <w:pStyle w:val="SangriaFrancesaArticulo"/>
      </w:pPr>
      <w:r w:rsidRPr="00DD47EB">
        <w:rPr>
          <w:rStyle w:val="TextoNormalNegritaCaracter"/>
        </w:rPr>
        <w:t>Artículo 1 a).</w:t>
      </w:r>
      <w:r w:rsidRPr="00DD47EB">
        <w:rPr>
          <w:rStyle w:val="TextoNormalCaracter"/>
        </w:rPr>
        <w:t>-</w:t>
      </w:r>
      <w:r>
        <w:t xml:space="preserve"> Sentencia </w:t>
      </w:r>
      <w:hyperlink w:anchor="SENTENCIA_2015_42" w:history="1">
        <w:r w:rsidRPr="00DD47EB">
          <w:rPr>
            <w:rStyle w:val="TextoNormalCaracter"/>
          </w:rPr>
          <w:t>42/2015</w:t>
        </w:r>
      </w:hyperlink>
      <w:r>
        <w:t>, f. 4.</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42" w:history="1">
        <w:r w:rsidRPr="00DD47EB">
          <w:rPr>
            <w:rStyle w:val="TextoNormalCaracter"/>
          </w:rPr>
          <w:t>42/2015</w:t>
        </w:r>
      </w:hyperlink>
      <w:r>
        <w:t>, ff. 1 a 4.</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42" w:history="1">
        <w:r w:rsidRPr="00DD47EB">
          <w:rPr>
            <w:rStyle w:val="TextoNormalCaracter"/>
          </w:rPr>
          <w:t>42/2015</w:t>
        </w:r>
      </w:hyperlink>
      <w:r>
        <w:t>, f. 1.</w:t>
      </w:r>
    </w:p>
    <w:p w:rsidR="00DD47EB" w:rsidRDefault="00DD47EB" w:rsidP="00DD47EB">
      <w:pPr>
        <w:pStyle w:val="SangriaFrancesaArticulo"/>
      </w:pPr>
    </w:p>
    <w:p w:rsidR="00DD47EB" w:rsidRDefault="00DD47EB" w:rsidP="00DD47EB">
      <w:pPr>
        <w:pStyle w:val="TextoNormalNegritaCursivandice"/>
      </w:pPr>
      <w:r>
        <w:t>Ley Orgánica 5/1985, de 19 de junio. Régimen electoral general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1" w:history="1">
        <w:r w:rsidRPr="00DD47EB">
          <w:rPr>
            <w:rStyle w:val="TextoNormalCaracter"/>
          </w:rPr>
          <w:t>31/2015</w:t>
        </w:r>
      </w:hyperlink>
      <w:r>
        <w:t xml:space="preserve">, f. 8; </w:t>
      </w:r>
      <w:hyperlink w:anchor="SENTENCIA_2015_137" w:history="1">
        <w:r w:rsidRPr="00DD47EB">
          <w:rPr>
            <w:rStyle w:val="TextoNormalCaracter"/>
          </w:rPr>
          <w:t>137/2015</w:t>
        </w:r>
      </w:hyperlink>
      <w:r>
        <w:t>, ff. 1, 4, 6.</w:t>
      </w:r>
    </w:p>
    <w:p w:rsidR="00DD47EB" w:rsidRDefault="00DD47EB" w:rsidP="00DD47EB">
      <w:pPr>
        <w:pStyle w:val="SangriaIzquierdaArticulo"/>
      </w:pPr>
      <w:r>
        <w:t xml:space="preserve">Autos </w:t>
      </w:r>
      <w:hyperlink w:anchor="AUTO_2015_79" w:history="1">
        <w:r w:rsidRPr="00DD47EB">
          <w:rPr>
            <w:rStyle w:val="TextoNormalCaracter"/>
          </w:rPr>
          <w:t>79/2015</w:t>
        </w:r>
      </w:hyperlink>
      <w:r>
        <w:t xml:space="preserve">, f. 2; </w:t>
      </w:r>
      <w:hyperlink w:anchor="AUTO_2015_80" w:history="1">
        <w:r w:rsidRPr="00DD47EB">
          <w:rPr>
            <w:rStyle w:val="TextoNormalCaracter"/>
          </w:rPr>
          <w:t>80/2015</w:t>
        </w:r>
      </w:hyperlink>
      <w:r>
        <w:t xml:space="preserve">, f. 2; </w:t>
      </w:r>
      <w:hyperlink w:anchor="AUTO_2015_81" w:history="1">
        <w:r w:rsidRPr="00DD47EB">
          <w:rPr>
            <w:rStyle w:val="TextoNormalCaracter"/>
          </w:rPr>
          <w:t>81/2015</w:t>
        </w:r>
      </w:hyperlink>
      <w:r>
        <w:t>, f. 3.</w:t>
      </w:r>
    </w:p>
    <w:p w:rsidR="00DD47EB" w:rsidRDefault="00DD47EB" w:rsidP="00DD47EB">
      <w:pPr>
        <w:pStyle w:val="SangriaFrancesaArticulo"/>
      </w:pPr>
      <w:r w:rsidRPr="00DD47EB">
        <w:rPr>
          <w:rStyle w:val="TextoNormalNegritaCaracter"/>
        </w:rPr>
        <w:t>Título II.</w:t>
      </w:r>
      <w:r w:rsidRPr="00DD47EB">
        <w:rPr>
          <w:rStyle w:val="TextoNormalCaracter"/>
        </w:rPr>
        <w:t>-</w:t>
      </w:r>
      <w:r>
        <w:t xml:space="preserve"> Auto </w:t>
      </w:r>
      <w:hyperlink w:anchor="AUTO_2015_81" w:history="1">
        <w:r w:rsidRPr="00DD47EB">
          <w:rPr>
            <w:rStyle w:val="TextoNormalCaracter"/>
          </w:rPr>
          <w:t>81/2015</w:t>
        </w:r>
      </w:hyperlink>
      <w:r>
        <w:t>, f. 3.</w:t>
      </w:r>
    </w:p>
    <w:p w:rsidR="00DD47EB" w:rsidRDefault="00DD47EB" w:rsidP="00DD47EB">
      <w:pPr>
        <w:pStyle w:val="SangriaFrancesaArticulo"/>
      </w:pPr>
      <w:r w:rsidRPr="00DD47EB">
        <w:rPr>
          <w:rStyle w:val="TextoNormalNegritaCaracter"/>
        </w:rPr>
        <w:t>Título III.</w:t>
      </w:r>
      <w:r w:rsidRPr="00DD47EB">
        <w:rPr>
          <w:rStyle w:val="TextoNormalCaracter"/>
        </w:rPr>
        <w:t>-</w:t>
      </w:r>
      <w:r>
        <w:t xml:space="preserve"> Auto </w:t>
      </w:r>
      <w:hyperlink w:anchor="AUTO_2015_81" w:history="1">
        <w:r w:rsidRPr="00DD47EB">
          <w:rPr>
            <w:rStyle w:val="TextoNormalCaracter"/>
          </w:rPr>
          <w:t>81/2015</w:t>
        </w:r>
      </w:hyperlink>
      <w:r>
        <w:t>, f. 3.</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44.1.</w:t>
      </w:r>
      <w:r w:rsidRPr="00DD47EB">
        <w:rPr>
          <w:rStyle w:val="TextoNormalCaracter"/>
        </w:rPr>
        <w:t>-</w:t>
      </w:r>
      <w:r>
        <w:t xml:space="preserve"> Auto </w:t>
      </w:r>
      <w:hyperlink w:anchor="AUTO_2015_79" w:history="1">
        <w:r w:rsidRPr="00DD47EB">
          <w:rPr>
            <w:rStyle w:val="TextoNormalCaracter"/>
          </w:rPr>
          <w:t>79/2015</w:t>
        </w:r>
      </w:hyperlink>
      <w:r>
        <w:t>, f. 3.</w:t>
      </w:r>
    </w:p>
    <w:p w:rsidR="00DD47EB" w:rsidRDefault="00DD47EB" w:rsidP="00DD47EB">
      <w:pPr>
        <w:pStyle w:val="SangriaFrancesaArticulo"/>
      </w:pPr>
      <w:r w:rsidRPr="00DD47EB">
        <w:rPr>
          <w:rStyle w:val="TextoNormalNegritaCaracter"/>
        </w:rPr>
        <w:t>Artículo 44.1 b).</w:t>
      </w:r>
      <w:r w:rsidRPr="00DD47EB">
        <w:rPr>
          <w:rStyle w:val="TextoNormalCaracter"/>
        </w:rPr>
        <w:t>-</w:t>
      </w:r>
      <w:r>
        <w:t xml:space="preserve"> Auto </w:t>
      </w:r>
      <w:hyperlink w:anchor="AUTO_2015_79" w:history="1">
        <w:r w:rsidRPr="00DD47EB">
          <w:rPr>
            <w:rStyle w:val="TextoNormalCaracter"/>
          </w:rPr>
          <w:t>79/2015</w:t>
        </w:r>
      </w:hyperlink>
      <w:r>
        <w:t>, f. 3.</w:t>
      </w:r>
    </w:p>
    <w:p w:rsidR="00DD47EB" w:rsidRDefault="00DD47EB" w:rsidP="00DD47EB">
      <w:pPr>
        <w:pStyle w:val="SangriaFrancesaArticulo"/>
      </w:pPr>
      <w:r w:rsidRPr="00DD47EB">
        <w:rPr>
          <w:rStyle w:val="TextoNormalNegritaCaracter"/>
        </w:rPr>
        <w:t>Artículo 44.2.</w:t>
      </w:r>
      <w:r w:rsidRPr="00DD47EB">
        <w:rPr>
          <w:rStyle w:val="TextoNormalCaracter"/>
        </w:rPr>
        <w:t>-</w:t>
      </w:r>
      <w:r>
        <w:t xml:space="preserve"> Auto </w:t>
      </w:r>
      <w:hyperlink w:anchor="AUTO_2015_79" w:history="1">
        <w:r w:rsidRPr="00DD47EB">
          <w:rPr>
            <w:rStyle w:val="TextoNormalCaracter"/>
          </w:rPr>
          <w:t>79/2015</w:t>
        </w:r>
      </w:hyperlink>
      <w:r>
        <w:t>, f. 3.</w:t>
      </w:r>
    </w:p>
    <w:p w:rsidR="00DD47EB" w:rsidRDefault="00DD47EB" w:rsidP="00DD47EB">
      <w:pPr>
        <w:pStyle w:val="SangriaFrancesaArticulo"/>
      </w:pPr>
      <w:r w:rsidRPr="00DD47EB">
        <w:rPr>
          <w:rStyle w:val="TextoNormalNegritaCaracter"/>
        </w:rPr>
        <w:t>Artículo 44.3.</w:t>
      </w:r>
      <w:r w:rsidRPr="00DD47EB">
        <w:rPr>
          <w:rStyle w:val="TextoNormalCaracter"/>
        </w:rPr>
        <w:t>-</w:t>
      </w:r>
      <w:r>
        <w:t xml:space="preserve"> Auto </w:t>
      </w:r>
      <w:hyperlink w:anchor="AUTO_2015_79" w:history="1">
        <w:r w:rsidRPr="00DD47EB">
          <w:rPr>
            <w:rStyle w:val="TextoNormalCaracter"/>
          </w:rPr>
          <w:t>79/2015</w:t>
        </w:r>
      </w:hyperlink>
      <w:r>
        <w:t>, f. 3.</w:t>
      </w:r>
    </w:p>
    <w:p w:rsidR="00DD47EB" w:rsidRDefault="00DD47EB" w:rsidP="00DD47EB">
      <w:pPr>
        <w:pStyle w:val="SangriaFrancesaArticulo"/>
      </w:pPr>
      <w:r w:rsidRPr="00DD47EB">
        <w:rPr>
          <w:rStyle w:val="TextoNormalNegritaCaracter"/>
        </w:rPr>
        <w:t>Artículo 46.</w:t>
      </w:r>
      <w:r w:rsidRPr="00DD47EB">
        <w:rPr>
          <w:rStyle w:val="TextoNormalCaracter"/>
        </w:rPr>
        <w:t>-</w:t>
      </w:r>
      <w:r>
        <w:t xml:space="preserve"> Sentencia </w:t>
      </w:r>
      <w:hyperlink w:anchor="SENTENCIA_2015_86" w:history="1">
        <w:r w:rsidRPr="00DD47EB">
          <w:rPr>
            <w:rStyle w:val="TextoNormalCaracter"/>
          </w:rPr>
          <w:t>86/2015</w:t>
        </w:r>
      </w:hyperlink>
      <w:r>
        <w:t>, f. 4.</w:t>
      </w:r>
    </w:p>
    <w:p w:rsidR="00DD47EB" w:rsidRDefault="00DD47EB" w:rsidP="00DD47EB">
      <w:pPr>
        <w:pStyle w:val="SangriaFrancesaArticulo"/>
      </w:pPr>
      <w:r w:rsidRPr="00DD47EB">
        <w:rPr>
          <w:rStyle w:val="TextoNormalNegritaCaracter"/>
        </w:rPr>
        <w:t>Artículo 46.2.</w:t>
      </w:r>
      <w:r w:rsidRPr="00DD47EB">
        <w:rPr>
          <w:rStyle w:val="TextoNormalCaracter"/>
        </w:rPr>
        <w:t>-</w:t>
      </w:r>
      <w:r>
        <w:t xml:space="preserve"> Auto </w:t>
      </w:r>
      <w:hyperlink w:anchor="AUTO_2015_78" w:history="1">
        <w:r w:rsidRPr="00DD47EB">
          <w:rPr>
            <w:rStyle w:val="TextoNormalCaracter"/>
          </w:rPr>
          <w:t>78/2015</w:t>
        </w:r>
      </w:hyperlink>
      <w:r>
        <w:t>, f. 2.</w:t>
      </w:r>
    </w:p>
    <w:p w:rsidR="00DD47EB" w:rsidRDefault="00DD47EB" w:rsidP="00DD47EB">
      <w:pPr>
        <w:pStyle w:val="SangriaFrancesaArticulo"/>
      </w:pPr>
      <w:r w:rsidRPr="00DD47EB">
        <w:rPr>
          <w:rStyle w:val="TextoNormalNegritaCaracter"/>
        </w:rPr>
        <w:t>Artículo 46.3.</w:t>
      </w:r>
      <w:r w:rsidRPr="00DD47EB">
        <w:rPr>
          <w:rStyle w:val="TextoNormalCaracter"/>
        </w:rPr>
        <w:t>-</w:t>
      </w:r>
      <w:r>
        <w:t xml:space="preserve"> Auto </w:t>
      </w:r>
      <w:hyperlink w:anchor="AUTO_2015_78" w:history="1">
        <w:r w:rsidRPr="00DD47EB">
          <w:rPr>
            <w:rStyle w:val="TextoNormalCaracter"/>
          </w:rPr>
          <w:t>78/2015</w:t>
        </w:r>
      </w:hyperlink>
      <w:r>
        <w:t>, f. 2.</w:t>
      </w:r>
    </w:p>
    <w:p w:rsidR="00DD47EB" w:rsidRDefault="00DD47EB" w:rsidP="00DD47EB">
      <w:pPr>
        <w:pStyle w:val="SangriaFrancesaArticulo"/>
      </w:pPr>
      <w:r w:rsidRPr="00DD47EB">
        <w:rPr>
          <w:rStyle w:val="TextoNormalNegritaCaracter"/>
        </w:rPr>
        <w:t>Artículo 47.2.</w:t>
      </w:r>
      <w:r w:rsidRPr="00DD47EB">
        <w:rPr>
          <w:rStyle w:val="TextoNormalCaracter"/>
        </w:rPr>
        <w:t>-</w:t>
      </w:r>
      <w:r>
        <w:t xml:space="preserve"> Sentencia </w:t>
      </w:r>
      <w:hyperlink w:anchor="SENTENCIA_2015_86" w:history="1">
        <w:r w:rsidRPr="00DD47EB">
          <w:rPr>
            <w:rStyle w:val="TextoNormalCaracter"/>
          </w:rPr>
          <w:t>86/2015</w:t>
        </w:r>
      </w:hyperlink>
      <w:r>
        <w:t>, ff. 4, 5.</w:t>
      </w:r>
    </w:p>
    <w:p w:rsidR="00DD47EB" w:rsidRDefault="00DD47EB" w:rsidP="00DD47EB">
      <w:pPr>
        <w:pStyle w:val="SangriaIzquierdaArticulo"/>
      </w:pPr>
      <w:r>
        <w:t xml:space="preserve">Auto </w:t>
      </w:r>
      <w:hyperlink w:anchor="AUTO_2015_79" w:history="1">
        <w:r w:rsidRPr="00DD47EB">
          <w:rPr>
            <w:rStyle w:val="TextoNormalCaracter"/>
          </w:rPr>
          <w:t>79/2015</w:t>
        </w:r>
      </w:hyperlink>
      <w:r>
        <w:t>, ff. 2, 3.</w:t>
      </w:r>
    </w:p>
    <w:p w:rsidR="00DD47EB" w:rsidRDefault="00DD47EB" w:rsidP="00DD47EB">
      <w:pPr>
        <w:pStyle w:val="SangriaFrancesaArticulo"/>
      </w:pPr>
      <w:r w:rsidRPr="00DD47EB">
        <w:rPr>
          <w:rStyle w:val="TextoNormalNegritaCaracter"/>
        </w:rPr>
        <w:t>Artículo 47.4.</w:t>
      </w:r>
      <w:r w:rsidRPr="00DD47EB">
        <w:rPr>
          <w:rStyle w:val="TextoNormalCaracter"/>
        </w:rPr>
        <w:t>-</w:t>
      </w:r>
      <w:r>
        <w:t xml:space="preserve"> Sentencia </w:t>
      </w:r>
      <w:hyperlink w:anchor="SENTENCIA_2015_86" w:history="1">
        <w:r w:rsidRPr="00DD47EB">
          <w:rPr>
            <w:rStyle w:val="TextoNormalCaracter"/>
          </w:rPr>
          <w:t>86/2015</w:t>
        </w:r>
      </w:hyperlink>
      <w:r>
        <w:t>, f. 4.</w:t>
      </w:r>
    </w:p>
    <w:p w:rsidR="00DD47EB" w:rsidRDefault="00DD47EB" w:rsidP="00DD47EB">
      <w:pPr>
        <w:pStyle w:val="SangriaIzquierdaArticulo"/>
      </w:pPr>
      <w:r>
        <w:t xml:space="preserve">Auto </w:t>
      </w:r>
      <w:hyperlink w:anchor="AUTO_2015_79" w:history="1">
        <w:r w:rsidRPr="00DD47EB">
          <w:rPr>
            <w:rStyle w:val="TextoNormalCaracter"/>
          </w:rPr>
          <w:t>79/2015</w:t>
        </w:r>
      </w:hyperlink>
      <w:r>
        <w:t>, f. 2.</w:t>
      </w:r>
    </w:p>
    <w:p w:rsidR="00DD47EB" w:rsidRDefault="00DD47EB" w:rsidP="00DD47EB">
      <w:pPr>
        <w:pStyle w:val="SangriaFrancesaArticulo"/>
      </w:pPr>
      <w:r w:rsidRPr="00DD47EB">
        <w:rPr>
          <w:rStyle w:val="TextoNormalNegritaCaracter"/>
        </w:rPr>
        <w:t>Artículo 48.</w:t>
      </w:r>
      <w:r w:rsidRPr="00DD47EB">
        <w:rPr>
          <w:rStyle w:val="TextoNormalCaracter"/>
        </w:rPr>
        <w:t>-</w:t>
      </w:r>
      <w:r>
        <w:t xml:space="preserve"> Auto </w:t>
      </w:r>
      <w:hyperlink w:anchor="AUTO_2015_80" w:history="1">
        <w:r w:rsidRPr="00DD47EB">
          <w:rPr>
            <w:rStyle w:val="TextoNormalCaracter"/>
          </w:rPr>
          <w:t>80/2015</w:t>
        </w:r>
      </w:hyperlink>
      <w:r>
        <w:t>, ff. 2, 3.</w:t>
      </w:r>
    </w:p>
    <w:p w:rsidR="00DD47EB" w:rsidRDefault="00DD47EB" w:rsidP="00DD47EB">
      <w:pPr>
        <w:pStyle w:val="SangriaFrancesaArticulo"/>
      </w:pPr>
      <w:r w:rsidRPr="00DD47EB">
        <w:rPr>
          <w:rStyle w:val="TextoNormalNegritaCaracter"/>
        </w:rPr>
        <w:t>Artículo 48.1.</w:t>
      </w:r>
      <w:r w:rsidRPr="00DD47EB">
        <w:rPr>
          <w:rStyle w:val="TextoNormalCaracter"/>
        </w:rPr>
        <w:t>-</w:t>
      </w:r>
      <w:r>
        <w:t xml:space="preserve"> Auto </w:t>
      </w:r>
      <w:hyperlink w:anchor="AUTO_2015_80" w:history="1">
        <w:r w:rsidRPr="00DD47EB">
          <w:rPr>
            <w:rStyle w:val="TextoNormalCaracter"/>
          </w:rPr>
          <w:t>80/2015</w:t>
        </w:r>
      </w:hyperlink>
      <w:r>
        <w:t>, f. 2.</w:t>
      </w:r>
    </w:p>
    <w:p w:rsidR="00DD47EB" w:rsidRDefault="00DD47EB" w:rsidP="00DD47EB">
      <w:pPr>
        <w:pStyle w:val="SangriaFrancesaArticulo"/>
      </w:pPr>
      <w:r w:rsidRPr="00DD47EB">
        <w:rPr>
          <w:rStyle w:val="TextoNormalNegritaCaracter"/>
        </w:rPr>
        <w:t>Artículo 70.</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84.</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95.</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154 a 175.</w:t>
      </w:r>
      <w:r w:rsidRPr="00DD47EB">
        <w:rPr>
          <w:rStyle w:val="TextoNormalCaracter"/>
        </w:rPr>
        <w:t>-</w:t>
      </w:r>
      <w:r>
        <w:t xml:space="preserve"> Auto </w:t>
      </w:r>
      <w:hyperlink w:anchor="AUTO_2015_81" w:history="1">
        <w:r w:rsidRPr="00DD47EB">
          <w:rPr>
            <w:rStyle w:val="TextoNormalCaracter"/>
          </w:rPr>
          <w:t>81/2015</w:t>
        </w:r>
      </w:hyperlink>
      <w:r>
        <w:t>, f. 3.</w:t>
      </w:r>
    </w:p>
    <w:p w:rsidR="00DD47EB" w:rsidRDefault="00DD47EB" w:rsidP="00DD47EB">
      <w:pPr>
        <w:pStyle w:val="SangriaFrancesaArticulo"/>
      </w:pPr>
      <w:r w:rsidRPr="00DD47EB">
        <w:rPr>
          <w:rStyle w:val="TextoNormalNegritaCaracter"/>
        </w:rPr>
        <w:t>Artículo 162.2.</w:t>
      </w:r>
      <w:r w:rsidRPr="00DD47EB">
        <w:rPr>
          <w:rStyle w:val="TextoNormalCaracter"/>
        </w:rPr>
        <w:t>-</w:t>
      </w:r>
      <w:r>
        <w:t xml:space="preserve"> Sentencia </w:t>
      </w:r>
      <w:hyperlink w:anchor="SENTENCIA_2015_15" w:history="1">
        <w:r w:rsidRPr="00DD47EB">
          <w:rPr>
            <w:rStyle w:val="TextoNormalCaracter"/>
          </w:rPr>
          <w:t>15/2015</w:t>
        </w:r>
      </w:hyperlink>
      <w:r>
        <w:t>, f. 2.</w:t>
      </w:r>
    </w:p>
    <w:p w:rsidR="00DD47EB" w:rsidRDefault="00DD47EB" w:rsidP="00DD47EB">
      <w:pPr>
        <w:pStyle w:val="SangriaFrancesaArticulo"/>
      </w:pPr>
      <w:r w:rsidRPr="00DD47EB">
        <w:rPr>
          <w:rStyle w:val="TextoNormalNegritaCaracter"/>
        </w:rPr>
        <w:t>Artículo 169.3.</w:t>
      </w:r>
      <w:r w:rsidRPr="00DD47EB">
        <w:rPr>
          <w:rStyle w:val="TextoNormalCaracter"/>
        </w:rPr>
        <w:t>-</w:t>
      </w:r>
      <w:r>
        <w:t xml:space="preserve"> Auto </w:t>
      </w:r>
      <w:hyperlink w:anchor="AUTO_2015_81" w:history="1">
        <w:r w:rsidRPr="00DD47EB">
          <w:rPr>
            <w:rStyle w:val="TextoNormalCaracter"/>
          </w:rPr>
          <w:t>81/2015</w:t>
        </w:r>
      </w:hyperlink>
      <w:r>
        <w:t>, ff. 2 a 4.</w:t>
      </w:r>
    </w:p>
    <w:p w:rsidR="00DD47EB" w:rsidRDefault="00DD47EB" w:rsidP="00DD47EB">
      <w:pPr>
        <w:pStyle w:val="SangriaFrancesaArticulo"/>
      </w:pPr>
      <w:r w:rsidRPr="00DD47EB">
        <w:rPr>
          <w:rStyle w:val="TextoNormalNegritaCaracter"/>
        </w:rPr>
        <w:t>Artículos 176 a 200.</w:t>
      </w:r>
      <w:r w:rsidRPr="00DD47EB">
        <w:rPr>
          <w:rStyle w:val="TextoNormalCaracter"/>
        </w:rPr>
        <w:t>-</w:t>
      </w:r>
      <w:r>
        <w:t xml:space="preserve"> Auto </w:t>
      </w:r>
      <w:hyperlink w:anchor="AUTO_2015_81" w:history="1">
        <w:r w:rsidRPr="00DD47EB">
          <w:rPr>
            <w:rStyle w:val="TextoNormalCaracter"/>
          </w:rPr>
          <w:t>81/2015</w:t>
        </w:r>
      </w:hyperlink>
      <w:r>
        <w:t>, f. 3.</w:t>
      </w:r>
    </w:p>
    <w:p w:rsidR="00DD47EB" w:rsidRDefault="00DD47EB" w:rsidP="00DD47EB">
      <w:pPr>
        <w:pStyle w:val="SangriaFrancesaArticulo"/>
      </w:pPr>
      <w:r w:rsidRPr="00DD47EB">
        <w:rPr>
          <w:rStyle w:val="TextoNormalNegritaCaracter"/>
        </w:rPr>
        <w:t>Artículo 184 a).</w:t>
      </w:r>
      <w:r w:rsidRPr="00DD47EB">
        <w:rPr>
          <w:rStyle w:val="TextoNormalCaracter"/>
        </w:rPr>
        <w:t>-</w:t>
      </w:r>
      <w:r>
        <w:t xml:space="preserve"> Sentencia </w:t>
      </w:r>
      <w:hyperlink w:anchor="SENTENCIA_2015_86" w:history="1">
        <w:r w:rsidRPr="00DD47EB">
          <w:rPr>
            <w:rStyle w:val="TextoNormalCaracter"/>
          </w:rPr>
          <w:t>86/2015</w:t>
        </w:r>
      </w:hyperlink>
      <w:r>
        <w:t>, f. 5.</w:t>
      </w:r>
    </w:p>
    <w:p w:rsidR="00DD47EB" w:rsidRDefault="00DD47EB" w:rsidP="00DD47EB">
      <w:pPr>
        <w:pStyle w:val="SangriaFrancesaArticulo"/>
      </w:pPr>
      <w:r w:rsidRPr="00DD47EB">
        <w:rPr>
          <w:rStyle w:val="TextoNormalNegritaCaracter"/>
        </w:rPr>
        <w:t>Artículo 187.3.</w:t>
      </w:r>
      <w:r w:rsidRPr="00DD47EB">
        <w:rPr>
          <w:rStyle w:val="TextoNormalCaracter"/>
        </w:rPr>
        <w:t>-</w:t>
      </w:r>
      <w:r>
        <w:t xml:space="preserve"> Auto </w:t>
      </w:r>
      <w:hyperlink w:anchor="AUTO_2015_81" w:history="1">
        <w:r w:rsidRPr="00DD47EB">
          <w:rPr>
            <w:rStyle w:val="TextoNormalCaracter"/>
          </w:rPr>
          <w:t>81/2015</w:t>
        </w:r>
      </w:hyperlink>
      <w:r>
        <w:t>, ff. 3 a 5.</w:t>
      </w:r>
    </w:p>
    <w:p w:rsidR="00DD47EB" w:rsidRDefault="00DD47EB" w:rsidP="00DD47EB">
      <w:pPr>
        <w:pStyle w:val="SangriaFrancesaArticulo"/>
      </w:pPr>
      <w:r w:rsidRPr="00DD47EB">
        <w:rPr>
          <w:rStyle w:val="TextoNormalNegritaCaracter"/>
        </w:rPr>
        <w:t>Disposición adicional primera, apartado 2.</w:t>
      </w:r>
      <w:r w:rsidRPr="00DD47EB">
        <w:rPr>
          <w:rStyle w:val="TextoNormalCaracter"/>
        </w:rPr>
        <w:t>-</w:t>
      </w:r>
      <w:r>
        <w:t xml:space="preserve"> Sentencia </w:t>
      </w:r>
      <w:hyperlink w:anchor="SENTENCIA_2015_15" w:history="1">
        <w:r w:rsidRPr="00DD47EB">
          <w:rPr>
            <w:rStyle w:val="TextoNormalCaracter"/>
          </w:rPr>
          <w:t>15/2015</w:t>
        </w:r>
      </w:hyperlink>
      <w:r>
        <w:t>, f. 2.</w:t>
      </w:r>
    </w:p>
    <w:p w:rsidR="00DD47EB" w:rsidRDefault="00DD47EB" w:rsidP="00DD47EB">
      <w:pPr>
        <w:pStyle w:val="SangriaFrancesaArticulo"/>
      </w:pPr>
    </w:p>
    <w:p w:rsidR="00DD47EB" w:rsidRDefault="00DD47EB" w:rsidP="00DD47EB">
      <w:pPr>
        <w:pStyle w:val="TextoNormalNegritaCursivandice"/>
      </w:pPr>
      <w:r>
        <w:t>Ley Orgánica 6/1985, de 1 de julio. Poder judicial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6" w:history="1">
        <w:r w:rsidRPr="00DD47EB">
          <w:rPr>
            <w:rStyle w:val="TextoNormalCaracter"/>
          </w:rPr>
          <w:t>46/2015</w:t>
        </w:r>
      </w:hyperlink>
      <w:r>
        <w:t xml:space="preserve">, f. 4; </w:t>
      </w:r>
      <w:hyperlink w:anchor="SENTENCIA_2015_103" w:history="1">
        <w:r w:rsidRPr="00DD47EB">
          <w:rPr>
            <w:rStyle w:val="TextoNormalCaracter"/>
          </w:rPr>
          <w:t>103/2015</w:t>
        </w:r>
      </w:hyperlink>
      <w:r>
        <w:t>, f. 2.</w:t>
      </w:r>
    </w:p>
    <w:p w:rsidR="00DD47EB" w:rsidRDefault="00DD47EB" w:rsidP="00DD47EB">
      <w:pPr>
        <w:pStyle w:val="SangriaIzquierdaArticulo"/>
      </w:pPr>
      <w:r>
        <w:t xml:space="preserve">Autos </w:t>
      </w:r>
      <w:hyperlink w:anchor="AUTO_2015_1" w:history="1">
        <w:r w:rsidRPr="00DD47EB">
          <w:rPr>
            <w:rStyle w:val="TextoNormalCaracter"/>
          </w:rPr>
          <w:t>1/2015</w:t>
        </w:r>
      </w:hyperlink>
      <w:r>
        <w:t xml:space="preserve">, f. único; </w:t>
      </w:r>
      <w:hyperlink w:anchor="AUTO_2015_12" w:history="1">
        <w:r w:rsidRPr="00DD47EB">
          <w:rPr>
            <w:rStyle w:val="TextoNormalCaracter"/>
          </w:rPr>
          <w:t>12/2015</w:t>
        </w:r>
      </w:hyperlink>
      <w:r>
        <w:t xml:space="preserve">, f. único; </w:t>
      </w:r>
      <w:hyperlink w:anchor="AUTO_2015_25" w:history="1">
        <w:r w:rsidRPr="00DD47EB">
          <w:rPr>
            <w:rStyle w:val="TextoNormalCaracter"/>
          </w:rPr>
          <w:t>25/2015</w:t>
        </w:r>
      </w:hyperlink>
      <w:r>
        <w:t xml:space="preserve">, f. único; </w:t>
      </w:r>
      <w:hyperlink w:anchor="AUTO_2015_39" w:history="1">
        <w:r w:rsidRPr="00DD47EB">
          <w:rPr>
            <w:rStyle w:val="TextoNormalCaracter"/>
          </w:rPr>
          <w:t>39/2015</w:t>
        </w:r>
      </w:hyperlink>
      <w:r>
        <w:t xml:space="preserve">, f. único; </w:t>
      </w:r>
      <w:hyperlink w:anchor="AUTO_2015_40" w:history="1">
        <w:r w:rsidRPr="00DD47EB">
          <w:rPr>
            <w:rStyle w:val="TextoNormalCaracter"/>
          </w:rPr>
          <w:t>40/2015</w:t>
        </w:r>
      </w:hyperlink>
      <w:r>
        <w:t xml:space="preserve">, f. único; </w:t>
      </w:r>
      <w:hyperlink w:anchor="AUTO_2015_41" w:history="1">
        <w:r w:rsidRPr="00DD47EB">
          <w:rPr>
            <w:rStyle w:val="TextoNormalCaracter"/>
          </w:rPr>
          <w:t>41/2015</w:t>
        </w:r>
      </w:hyperlink>
      <w:r>
        <w:t xml:space="preserve">, f. único; </w:t>
      </w:r>
      <w:hyperlink w:anchor="AUTO_2015_71" w:history="1">
        <w:r w:rsidRPr="00DD47EB">
          <w:rPr>
            <w:rStyle w:val="TextoNormalCaracter"/>
          </w:rPr>
          <w:t>71/2015</w:t>
        </w:r>
      </w:hyperlink>
      <w:r>
        <w:t xml:space="preserve">, f. único; </w:t>
      </w:r>
      <w:hyperlink w:anchor="AUTO_2015_85" w:history="1">
        <w:r w:rsidRPr="00DD47EB">
          <w:rPr>
            <w:rStyle w:val="TextoNormalCaracter"/>
          </w:rPr>
          <w:t>85/2015</w:t>
        </w:r>
      </w:hyperlink>
      <w:r>
        <w:t xml:space="preserve">, f. único; </w:t>
      </w:r>
      <w:hyperlink w:anchor="AUTO_2015_104" w:history="1">
        <w:r w:rsidRPr="00DD47EB">
          <w:rPr>
            <w:rStyle w:val="TextoNormalCaracter"/>
          </w:rPr>
          <w:t>104/2015</w:t>
        </w:r>
      </w:hyperlink>
      <w:r>
        <w:t xml:space="preserve">, f. único; </w:t>
      </w:r>
      <w:hyperlink w:anchor="AUTO_2015_105" w:history="1">
        <w:r w:rsidRPr="00DD47EB">
          <w:rPr>
            <w:rStyle w:val="TextoNormalCaracter"/>
          </w:rPr>
          <w:t>105/2015</w:t>
        </w:r>
      </w:hyperlink>
      <w:r>
        <w:t xml:space="preserve">, f. único; </w:t>
      </w:r>
      <w:hyperlink w:anchor="AUTO_2015_113" w:history="1">
        <w:r w:rsidRPr="00DD47EB">
          <w:rPr>
            <w:rStyle w:val="TextoNormalCaracter"/>
          </w:rPr>
          <w:t>113/2015</w:t>
        </w:r>
      </w:hyperlink>
      <w:r>
        <w:t>, f. único.</w:t>
      </w:r>
    </w:p>
    <w:p w:rsidR="00DD47EB" w:rsidRDefault="00DD47EB" w:rsidP="00DD47EB">
      <w:pPr>
        <w:pStyle w:val="SangriaFrancesaArticulo"/>
      </w:pPr>
      <w:r w:rsidRPr="00DD47EB">
        <w:rPr>
          <w:rStyle w:val="TextoNormalNegritaCaracter"/>
        </w:rPr>
        <w:t>Artículo 5.1.</w:t>
      </w:r>
      <w:r w:rsidRPr="00DD47EB">
        <w:rPr>
          <w:rStyle w:val="TextoNormalCaracter"/>
        </w:rPr>
        <w:t>-</w:t>
      </w:r>
      <w:r>
        <w:t xml:space="preserve"> Auto </w:t>
      </w:r>
      <w:hyperlink w:anchor="AUTO_2015_44" w:history="1">
        <w:r w:rsidRPr="00DD47EB">
          <w:rPr>
            <w:rStyle w:val="TextoNormalCaracter"/>
          </w:rPr>
          <w:t>44/2015</w:t>
        </w:r>
      </w:hyperlink>
      <w:r>
        <w:t>, f. 2.</w:t>
      </w:r>
    </w:p>
    <w:p w:rsidR="00DD47EB" w:rsidRDefault="00DD47EB" w:rsidP="00DD47EB">
      <w:pPr>
        <w:pStyle w:val="SangriaFrancesaArticulo"/>
      </w:pPr>
      <w:r w:rsidRPr="00DD47EB">
        <w:rPr>
          <w:rStyle w:val="TextoNormalNegritaCaracter"/>
        </w:rPr>
        <w:t>Artículo 11.1.</w:t>
      </w:r>
      <w:r w:rsidRPr="00DD47EB">
        <w:rPr>
          <w:rStyle w:val="TextoNormalCaracter"/>
        </w:rPr>
        <w:t>-</w:t>
      </w:r>
      <w:r>
        <w:t xml:space="preserve"> Sentencia </w:t>
      </w:r>
      <w:hyperlink w:anchor="SENTENCIA_2015_63" w:history="1">
        <w:r w:rsidRPr="00DD47EB">
          <w:rPr>
            <w:rStyle w:val="TextoNormalCaracter"/>
          </w:rPr>
          <w:t>63/2015</w:t>
        </w:r>
      </w:hyperlink>
      <w:r>
        <w:t>, VP.</w:t>
      </w:r>
    </w:p>
    <w:p w:rsidR="00DD47EB" w:rsidRDefault="00DD47EB" w:rsidP="00DD47EB">
      <w:pPr>
        <w:pStyle w:val="SangriaFrancesaArticulo"/>
      </w:pPr>
      <w:r w:rsidRPr="00DD47EB">
        <w:rPr>
          <w:rStyle w:val="TextoNormalNegritaCaracter"/>
        </w:rPr>
        <w:t>Artículo 11.2.</w:t>
      </w:r>
      <w:r w:rsidRPr="00DD47EB">
        <w:rPr>
          <w:rStyle w:val="TextoNormalCaracter"/>
        </w:rPr>
        <w:t>-</w:t>
      </w:r>
      <w:r>
        <w:t xml:space="preserve"> Sentencia </w:t>
      </w:r>
      <w:hyperlink w:anchor="SENTENCIA_2015_63" w:history="1">
        <w:r w:rsidRPr="00DD47EB">
          <w:rPr>
            <w:rStyle w:val="TextoNormalCaracter"/>
          </w:rPr>
          <w:t>63/2015</w:t>
        </w:r>
      </w:hyperlink>
      <w:r>
        <w:t>, VP.</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 </w:t>
      </w:r>
      <w:hyperlink w:anchor="SENTENCIA_2015_93" w:history="1">
        <w:r w:rsidRPr="00DD47EB">
          <w:rPr>
            <w:rStyle w:val="TextoNormalCaracter"/>
          </w:rPr>
          <w:t>93/2015</w:t>
        </w:r>
      </w:hyperlink>
      <w:r>
        <w:t>, VP II.</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Auto </w:t>
      </w:r>
      <w:hyperlink w:anchor="AUTO_2015_48" w:history="1">
        <w:r w:rsidRPr="00DD47EB">
          <w:rPr>
            <w:rStyle w:val="TextoNormalCaracter"/>
          </w:rPr>
          <w:t>48/2015</w:t>
        </w:r>
      </w:hyperlink>
      <w:r>
        <w:t>, f. único.</w:t>
      </w:r>
    </w:p>
    <w:p w:rsidR="00DD47EB" w:rsidRDefault="00DD47EB" w:rsidP="00DD47EB">
      <w:pPr>
        <w:pStyle w:val="SangriaFrancesaArticulo"/>
      </w:pPr>
      <w:r w:rsidRPr="00DD47EB">
        <w:rPr>
          <w:rStyle w:val="TextoNormalNegritaCaracter"/>
        </w:rPr>
        <w:t>Artículo 80.</w:t>
      </w:r>
      <w:r w:rsidRPr="00DD47EB">
        <w:rPr>
          <w:rStyle w:val="TextoNormalCaracter"/>
        </w:rPr>
        <w:t>-</w:t>
      </w:r>
      <w:r>
        <w:t xml:space="preserve"> Auto </w:t>
      </w:r>
      <w:hyperlink w:anchor="AUTO_2015_6" w:history="1">
        <w:r w:rsidRPr="00DD47EB">
          <w:rPr>
            <w:rStyle w:val="TextoNormalCaracter"/>
          </w:rPr>
          <w:t>6/2015</w:t>
        </w:r>
      </w:hyperlink>
      <w:r>
        <w:t>, f. único.</w:t>
      </w:r>
    </w:p>
    <w:p w:rsidR="00DD47EB" w:rsidRDefault="00DD47EB" w:rsidP="00DD47EB">
      <w:pPr>
        <w:pStyle w:val="SangriaFrancesaArticulo"/>
      </w:pPr>
      <w:r w:rsidRPr="00DD47EB">
        <w:rPr>
          <w:rStyle w:val="TextoNormalNegritaCaracter"/>
        </w:rPr>
        <w:t>Artículo 165.</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219.11.</w:t>
      </w:r>
      <w:r w:rsidRPr="00DD47EB">
        <w:rPr>
          <w:rStyle w:val="TextoNormalCaracter"/>
        </w:rPr>
        <w:t>-</w:t>
      </w:r>
      <w:r>
        <w:t xml:space="preserve"> Autos </w:t>
      </w:r>
      <w:hyperlink w:anchor="AUTO_2015_42" w:history="1">
        <w:r w:rsidRPr="00DD47EB">
          <w:rPr>
            <w:rStyle w:val="TextoNormalCaracter"/>
          </w:rPr>
          <w:t>42/2015</w:t>
        </w:r>
      </w:hyperlink>
      <w:r>
        <w:t xml:space="preserve">, f. único; </w:t>
      </w:r>
      <w:hyperlink w:anchor="AUTO_2015_48" w:history="1">
        <w:r w:rsidRPr="00DD47EB">
          <w:rPr>
            <w:rStyle w:val="TextoNormalCaracter"/>
          </w:rPr>
          <w:t>48/2015</w:t>
        </w:r>
      </w:hyperlink>
      <w:r>
        <w:t>, f. único.</w:t>
      </w:r>
    </w:p>
    <w:p w:rsidR="00DD47EB" w:rsidRDefault="00DD47EB" w:rsidP="00DD47EB">
      <w:pPr>
        <w:pStyle w:val="SangriaFrancesaArticulo"/>
      </w:pPr>
      <w:r w:rsidRPr="00DD47EB">
        <w:rPr>
          <w:rStyle w:val="TextoNormalNegritaCaracter"/>
        </w:rPr>
        <w:t>Artículo 219.11</w:t>
      </w:r>
      <w:r>
        <w:t xml:space="preserve"> (redactado por la Ley Orgánica 19/2003, de 23 de diciembre)</w:t>
      </w:r>
      <w:r w:rsidRPr="00DD47EB">
        <w:rPr>
          <w:rStyle w:val="TextoNormalNegritaCaracter"/>
        </w:rPr>
        <w:t>.</w:t>
      </w:r>
      <w:r w:rsidRPr="00DD47EB">
        <w:rPr>
          <w:rStyle w:val="TextoNormalCaracter"/>
        </w:rPr>
        <w:t>-</w:t>
      </w:r>
      <w:r>
        <w:t xml:space="preserve"> Autos </w:t>
      </w:r>
      <w:hyperlink w:anchor="AUTO_2015_2" w:history="1">
        <w:r w:rsidRPr="00DD47EB">
          <w:rPr>
            <w:rStyle w:val="TextoNormalCaracter"/>
          </w:rPr>
          <w:t>2/2015</w:t>
        </w:r>
      </w:hyperlink>
      <w:r>
        <w:t xml:space="preserve">, f. único; </w:t>
      </w:r>
      <w:hyperlink w:anchor="AUTO_2015_4" w:history="1">
        <w:r w:rsidRPr="00DD47EB">
          <w:rPr>
            <w:rStyle w:val="TextoNormalCaracter"/>
          </w:rPr>
          <w:t>4/2015</w:t>
        </w:r>
      </w:hyperlink>
      <w:r>
        <w:t xml:space="preserve">, f. único; </w:t>
      </w:r>
      <w:hyperlink w:anchor="AUTO_2015_5" w:history="1">
        <w:r w:rsidRPr="00DD47EB">
          <w:rPr>
            <w:rStyle w:val="TextoNormalCaracter"/>
          </w:rPr>
          <w:t>5/2015</w:t>
        </w:r>
      </w:hyperlink>
      <w:r>
        <w:t xml:space="preserve">, f. único; </w:t>
      </w:r>
      <w:hyperlink w:anchor="AUTO_2015_72" w:history="1">
        <w:r w:rsidRPr="00DD47EB">
          <w:rPr>
            <w:rStyle w:val="TextoNormalCaracter"/>
          </w:rPr>
          <w:t>72/2015</w:t>
        </w:r>
      </w:hyperlink>
      <w:r>
        <w:t xml:space="preserve">, f. único; </w:t>
      </w:r>
      <w:hyperlink w:anchor="AUTO_2015_83" w:history="1">
        <w:r w:rsidRPr="00DD47EB">
          <w:rPr>
            <w:rStyle w:val="TextoNormalCaracter"/>
          </w:rPr>
          <w:t>83/2015</w:t>
        </w:r>
      </w:hyperlink>
      <w:r>
        <w:t>, f. único.</w:t>
      </w:r>
    </w:p>
    <w:p w:rsidR="00DD47EB" w:rsidRDefault="00DD47EB" w:rsidP="00DD47EB">
      <w:pPr>
        <w:pStyle w:val="SangriaFrancesaArticulo"/>
      </w:pPr>
      <w:r w:rsidRPr="00DD47EB">
        <w:rPr>
          <w:rStyle w:val="TextoNormalNegritaCaracter"/>
        </w:rPr>
        <w:t>Artículo 219.13.</w:t>
      </w:r>
      <w:r w:rsidRPr="00DD47EB">
        <w:rPr>
          <w:rStyle w:val="TextoNormalCaracter"/>
        </w:rPr>
        <w:t>-</w:t>
      </w:r>
      <w:r>
        <w:t xml:space="preserve"> Autos </w:t>
      </w:r>
      <w:hyperlink w:anchor="AUTO_2015_6" w:history="1">
        <w:r w:rsidRPr="00DD47EB">
          <w:rPr>
            <w:rStyle w:val="TextoNormalCaracter"/>
          </w:rPr>
          <w:t>6/2015</w:t>
        </w:r>
      </w:hyperlink>
      <w:r>
        <w:t xml:space="preserve">, f. único; </w:t>
      </w:r>
      <w:hyperlink w:anchor="AUTO_2015_14" w:history="1">
        <w:r w:rsidRPr="00DD47EB">
          <w:rPr>
            <w:rStyle w:val="TextoNormalCaracter"/>
          </w:rPr>
          <w:t>14/2015</w:t>
        </w:r>
      </w:hyperlink>
      <w:r>
        <w:t xml:space="preserve">, f. único; </w:t>
      </w:r>
      <w:hyperlink w:anchor="AUTO_2015_15" w:history="1">
        <w:r w:rsidRPr="00DD47EB">
          <w:rPr>
            <w:rStyle w:val="TextoNormalCaracter"/>
          </w:rPr>
          <w:t>15/2015</w:t>
        </w:r>
      </w:hyperlink>
      <w:r>
        <w:t xml:space="preserve">, f. único; </w:t>
      </w:r>
      <w:hyperlink w:anchor="AUTO_2015_64" w:history="1">
        <w:r w:rsidRPr="00DD47EB">
          <w:rPr>
            <w:rStyle w:val="TextoNormalCaracter"/>
          </w:rPr>
          <w:t>64/2015</w:t>
        </w:r>
      </w:hyperlink>
      <w:r>
        <w:t>, f. único.</w:t>
      </w:r>
    </w:p>
    <w:p w:rsidR="00DD47EB" w:rsidRDefault="00DD47EB" w:rsidP="00DD47EB">
      <w:pPr>
        <w:pStyle w:val="SangriaFrancesaArticulo"/>
      </w:pPr>
      <w:r w:rsidRPr="00DD47EB">
        <w:rPr>
          <w:rStyle w:val="TextoNormalNegritaCaracter"/>
        </w:rPr>
        <w:t>Artículo 219.16.</w:t>
      </w:r>
      <w:r w:rsidRPr="00DD47EB">
        <w:rPr>
          <w:rStyle w:val="TextoNormalCaracter"/>
        </w:rPr>
        <w:t>-</w:t>
      </w:r>
      <w:r>
        <w:t xml:space="preserve"> Autos </w:t>
      </w:r>
      <w:hyperlink w:anchor="AUTO_2015_6" w:history="1">
        <w:r w:rsidRPr="00DD47EB">
          <w:rPr>
            <w:rStyle w:val="TextoNormalCaracter"/>
          </w:rPr>
          <w:t>6/2015</w:t>
        </w:r>
      </w:hyperlink>
      <w:r>
        <w:t xml:space="preserve">, f. único; </w:t>
      </w:r>
      <w:hyperlink w:anchor="AUTO_2015_14" w:history="1">
        <w:r w:rsidRPr="00DD47EB">
          <w:rPr>
            <w:rStyle w:val="TextoNormalCaracter"/>
          </w:rPr>
          <w:t>14/2015</w:t>
        </w:r>
      </w:hyperlink>
      <w:r>
        <w:t xml:space="preserve">, f. único; </w:t>
      </w:r>
      <w:hyperlink w:anchor="AUTO_2015_15" w:history="1">
        <w:r w:rsidRPr="00DD47EB">
          <w:rPr>
            <w:rStyle w:val="TextoNormalCaracter"/>
          </w:rPr>
          <w:t>15/2015</w:t>
        </w:r>
      </w:hyperlink>
      <w:r>
        <w:t xml:space="preserve">, f. único; </w:t>
      </w:r>
      <w:hyperlink w:anchor="AUTO_2015_64" w:history="1">
        <w:r w:rsidRPr="00DD47EB">
          <w:rPr>
            <w:rStyle w:val="TextoNormalCaracter"/>
          </w:rPr>
          <w:t>64/2015</w:t>
        </w:r>
      </w:hyperlink>
      <w:r>
        <w:t>, f. único.</w:t>
      </w:r>
    </w:p>
    <w:p w:rsidR="00DD47EB" w:rsidRDefault="00DD47EB" w:rsidP="00DD47EB">
      <w:pPr>
        <w:pStyle w:val="SangriaFrancesaArticulo"/>
      </w:pPr>
      <w:r w:rsidRPr="00DD47EB">
        <w:rPr>
          <w:rStyle w:val="TextoNormalNegritaCaracter"/>
        </w:rPr>
        <w:t>Artículo 230</w:t>
      </w:r>
      <w:r>
        <w:t xml:space="preserve"> (redactado por la Ley Orgánica 16/1994, de 8 de noviembre)</w:t>
      </w:r>
      <w:r w:rsidRPr="00DD47EB">
        <w:rPr>
          <w:rStyle w:val="TextoNormalNegritaCaracter"/>
        </w:rPr>
        <w:t>.</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241</w:t>
      </w:r>
      <w:r>
        <w:t xml:space="preserve"> (redactado por la Ley Orgánica 19/2003, de 23 de diciembre)</w:t>
      </w:r>
      <w:r w:rsidRPr="00DD47EB">
        <w:rPr>
          <w:rStyle w:val="TextoNormalNegritaCaracter"/>
        </w:rPr>
        <w:t>.</w:t>
      </w:r>
      <w:r w:rsidRPr="00DD47EB">
        <w:rPr>
          <w:rStyle w:val="TextoNormalCaracter"/>
        </w:rPr>
        <w:t>-</w:t>
      </w:r>
      <w:r>
        <w:t xml:space="preserve"> Sentencias </w:t>
      </w:r>
      <w:hyperlink w:anchor="SENTENCIA_2015_63" w:history="1">
        <w:r w:rsidRPr="00DD47EB">
          <w:rPr>
            <w:rStyle w:val="TextoNormalCaracter"/>
          </w:rPr>
          <w:t>63/2015</w:t>
        </w:r>
      </w:hyperlink>
      <w:r>
        <w:t xml:space="preserve">, f. 2; </w:t>
      </w:r>
      <w:hyperlink w:anchor="SENTENCIA_2015_77" w:history="1">
        <w:r w:rsidRPr="00DD47EB">
          <w:rPr>
            <w:rStyle w:val="TextoNormalCaracter"/>
          </w:rPr>
          <w:t>77/2015</w:t>
        </w:r>
      </w:hyperlink>
      <w:r>
        <w:t>, f. 1.</w:t>
      </w:r>
    </w:p>
    <w:p w:rsidR="00DD47EB" w:rsidRDefault="00DD47EB" w:rsidP="00DD47EB">
      <w:pPr>
        <w:pStyle w:val="SangriaFrancesaArticulo"/>
      </w:pPr>
      <w:r w:rsidRPr="00DD47EB">
        <w:rPr>
          <w:rStyle w:val="TextoNormalNegritaCaracter"/>
        </w:rPr>
        <w:t>Artículo 241</w:t>
      </w:r>
      <w:r>
        <w:t xml:space="preserve"> (redactado por la Ley Orgánica 6/2007, de 24 de mayo)</w:t>
      </w:r>
      <w:r w:rsidRPr="00DD47EB">
        <w:rPr>
          <w:rStyle w:val="TextoNormalNegritaCaracter"/>
        </w:rPr>
        <w:t>.</w:t>
      </w:r>
      <w:r w:rsidRPr="00DD47EB">
        <w:rPr>
          <w:rStyle w:val="TextoNormalCaracter"/>
        </w:rPr>
        <w:t>-</w:t>
      </w:r>
      <w:r>
        <w:t xml:space="preserve"> Sentencias </w:t>
      </w:r>
      <w:hyperlink w:anchor="SENTENCIA_2015_91" w:history="1">
        <w:r w:rsidRPr="00DD47EB">
          <w:rPr>
            <w:rStyle w:val="TextoNormalCaracter"/>
          </w:rPr>
          <w:t>91/2015</w:t>
        </w:r>
      </w:hyperlink>
      <w:r>
        <w:t xml:space="preserve">, f. 2; </w:t>
      </w:r>
      <w:hyperlink w:anchor="SENTENCIA_2015_101" w:history="1">
        <w:r w:rsidRPr="00DD47EB">
          <w:rPr>
            <w:rStyle w:val="TextoNormalCaracter"/>
          </w:rPr>
          <w:t>101/2015</w:t>
        </w:r>
      </w:hyperlink>
      <w:r>
        <w:t>, f. 2.</w:t>
      </w:r>
    </w:p>
    <w:p w:rsidR="00DD47EB" w:rsidRDefault="00DD47EB" w:rsidP="00DD47EB">
      <w:pPr>
        <w:pStyle w:val="SangriaIzquierdaArticulo"/>
      </w:pPr>
      <w:r>
        <w:t xml:space="preserve">Autos </w:t>
      </w:r>
      <w:hyperlink w:anchor="AUTO_2015_73" w:history="1">
        <w:r w:rsidRPr="00DD47EB">
          <w:rPr>
            <w:rStyle w:val="TextoNormalCaracter"/>
          </w:rPr>
          <w:t>73/2015</w:t>
        </w:r>
      </w:hyperlink>
      <w:r>
        <w:t xml:space="preserve">, f. 2; </w:t>
      </w:r>
      <w:hyperlink w:anchor="AUTO_2015_109" w:history="1">
        <w:r w:rsidRPr="00DD47EB">
          <w:rPr>
            <w:rStyle w:val="TextoNormalCaracter"/>
          </w:rPr>
          <w:t>109/2015</w:t>
        </w:r>
      </w:hyperlink>
      <w:r>
        <w:t>, f. 2.</w:t>
      </w:r>
    </w:p>
    <w:p w:rsidR="00DD47EB" w:rsidRDefault="00DD47EB" w:rsidP="00DD47EB">
      <w:pPr>
        <w:pStyle w:val="SangriaFrancesaArticulo"/>
      </w:pPr>
      <w:r w:rsidRPr="00DD47EB">
        <w:rPr>
          <w:rStyle w:val="TextoNormalNegritaCaracter"/>
        </w:rPr>
        <w:t>Artículo 241.1.</w:t>
      </w:r>
      <w:r w:rsidRPr="00DD47EB">
        <w:rPr>
          <w:rStyle w:val="TextoNormalCaracter"/>
        </w:rPr>
        <w:t>-</w:t>
      </w:r>
      <w:r>
        <w:t xml:space="preserve"> Sentencias </w:t>
      </w:r>
      <w:hyperlink w:anchor="SENTENCIA_2015_18" w:history="1">
        <w:r w:rsidRPr="00DD47EB">
          <w:rPr>
            <w:rStyle w:val="TextoNormalCaracter"/>
          </w:rPr>
          <w:t>18/2015</w:t>
        </w:r>
      </w:hyperlink>
      <w:r>
        <w:t xml:space="preserve">, f. 2; </w:t>
      </w:r>
      <w:hyperlink w:anchor="SENTENCIA_2015_91" w:history="1">
        <w:r w:rsidRPr="00DD47EB">
          <w:rPr>
            <w:rStyle w:val="TextoNormalCaracter"/>
          </w:rPr>
          <w:t>91/2015</w:t>
        </w:r>
      </w:hyperlink>
      <w:r>
        <w:t xml:space="preserve">, ff. 2, 3; </w:t>
      </w:r>
      <w:hyperlink w:anchor="SENTENCIA_2015_96" w:history="1">
        <w:r w:rsidRPr="00DD47EB">
          <w:rPr>
            <w:rStyle w:val="TextoNormalCaracter"/>
          </w:rPr>
          <w:t>96/2015</w:t>
        </w:r>
      </w:hyperlink>
      <w:r>
        <w:t xml:space="preserve">, ff. 2, 3; </w:t>
      </w:r>
      <w:hyperlink w:anchor="SENTENCIA_2015_98" w:history="1">
        <w:r w:rsidRPr="00DD47EB">
          <w:rPr>
            <w:rStyle w:val="TextoNormalCaracter"/>
          </w:rPr>
          <w:t>98/2015</w:t>
        </w:r>
      </w:hyperlink>
      <w:r>
        <w:t xml:space="preserve">, f. 3; </w:t>
      </w:r>
      <w:hyperlink w:anchor="SENTENCIA_2015_142" w:history="1">
        <w:r w:rsidRPr="00DD47EB">
          <w:rPr>
            <w:rStyle w:val="TextoNormalCaracter"/>
          </w:rPr>
          <w:t>142/2015</w:t>
        </w:r>
      </w:hyperlink>
      <w:r>
        <w:t xml:space="preserve">, f. 3; </w:t>
      </w:r>
      <w:hyperlink w:anchor="SENTENCIA_2015_145" w:history="1">
        <w:r w:rsidRPr="00DD47EB">
          <w:rPr>
            <w:rStyle w:val="TextoNormalCaracter"/>
          </w:rPr>
          <w:t>145/2015</w:t>
        </w:r>
      </w:hyperlink>
      <w:r>
        <w:t>, f. 2.</w:t>
      </w:r>
    </w:p>
    <w:p w:rsidR="00DD47EB" w:rsidRDefault="00DD47EB" w:rsidP="00DD47EB">
      <w:pPr>
        <w:pStyle w:val="SangriaIzquierdaArticulo"/>
      </w:pPr>
      <w:r>
        <w:t xml:space="preserve">Auto </w:t>
      </w:r>
      <w:hyperlink w:anchor="AUTO_2015_49" w:history="1">
        <w:r w:rsidRPr="00DD47EB">
          <w:rPr>
            <w:rStyle w:val="TextoNormalCaracter"/>
          </w:rPr>
          <w:t>49/2015</w:t>
        </w:r>
      </w:hyperlink>
      <w:r>
        <w:t>, f. 1.</w:t>
      </w:r>
    </w:p>
    <w:p w:rsidR="00DD47EB" w:rsidRDefault="00DD47EB" w:rsidP="00DD47EB">
      <w:pPr>
        <w:pStyle w:val="SangriaFrancesaArticulo"/>
      </w:pPr>
      <w:r w:rsidRPr="00DD47EB">
        <w:rPr>
          <w:rStyle w:val="TextoNormalNegritaCaracter"/>
        </w:rPr>
        <w:t>Artículo 241.1</w:t>
      </w:r>
      <w:r>
        <w:t xml:space="preserve"> (redactado por la Ley Orgánica 19/2003 de 23 de diciembre)</w:t>
      </w:r>
      <w:r w:rsidRPr="00DD47EB">
        <w:rPr>
          <w:rStyle w:val="TextoNormalNegritaCaracter"/>
        </w:rPr>
        <w:t>.</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FrancesaArticulo"/>
      </w:pPr>
      <w:r w:rsidRPr="00DD47EB">
        <w:rPr>
          <w:rStyle w:val="TextoNormalNegritaCaracter"/>
        </w:rPr>
        <w:t>Artículo 241.1</w:t>
      </w:r>
      <w:r>
        <w:t xml:space="preserve"> (redactado por la Ley Orgánica 6/2007, de 24 de mayo)</w:t>
      </w:r>
      <w:r w:rsidRPr="00DD47EB">
        <w:rPr>
          <w:rStyle w:val="TextoNormalNegritaCaracter"/>
        </w:rPr>
        <w:t>.</w:t>
      </w:r>
      <w:r w:rsidRPr="00DD47EB">
        <w:rPr>
          <w:rStyle w:val="TextoNormalCaracter"/>
        </w:rPr>
        <w:t>-</w:t>
      </w:r>
      <w:r>
        <w:t xml:space="preserve"> Auto </w:t>
      </w:r>
      <w:hyperlink w:anchor="AUTO_2015_99" w:history="1">
        <w:r w:rsidRPr="00DD47EB">
          <w:rPr>
            <w:rStyle w:val="TextoNormalCaracter"/>
          </w:rPr>
          <w:t>99/2015</w:t>
        </w:r>
      </w:hyperlink>
      <w:r>
        <w:t>, f. 4.</w:t>
      </w:r>
    </w:p>
    <w:p w:rsidR="00DD47EB" w:rsidRDefault="00DD47EB" w:rsidP="00DD47EB">
      <w:pPr>
        <w:pStyle w:val="SangriaFrancesaArticulo"/>
      </w:pPr>
      <w:r w:rsidRPr="00DD47EB">
        <w:rPr>
          <w:rStyle w:val="TextoNormalNegritaCaracter"/>
        </w:rPr>
        <w:t>Artículo 241.1.1.</w:t>
      </w:r>
      <w:r w:rsidRPr="00DD47EB">
        <w:rPr>
          <w:rStyle w:val="TextoNormalCaracter"/>
        </w:rPr>
        <w:t>-</w:t>
      </w:r>
      <w:r>
        <w:t xml:space="preserve"> Sentencia </w:t>
      </w:r>
      <w:hyperlink w:anchor="SENTENCIA_2015_91" w:history="1">
        <w:r w:rsidRPr="00DD47EB">
          <w:rPr>
            <w:rStyle w:val="TextoNormalCaracter"/>
          </w:rPr>
          <w:t>91/2015</w:t>
        </w:r>
      </w:hyperlink>
      <w:r>
        <w:t>, f. 1.</w:t>
      </w:r>
    </w:p>
    <w:p w:rsidR="00DD47EB" w:rsidRDefault="00DD47EB" w:rsidP="00DD47EB">
      <w:pPr>
        <w:pStyle w:val="SangriaFrancesaArticulo"/>
      </w:pPr>
      <w:r w:rsidRPr="00DD47EB">
        <w:rPr>
          <w:rStyle w:val="TextoNormalNegritaCaracter"/>
        </w:rPr>
        <w:t>Artículo 248.4.</w:t>
      </w:r>
      <w:r w:rsidRPr="00DD47EB">
        <w:rPr>
          <w:rStyle w:val="TextoNormalCaracter"/>
        </w:rPr>
        <w:t>-</w:t>
      </w:r>
      <w:r>
        <w:t xml:space="preserve"> Sentencia </w:t>
      </w:r>
      <w:hyperlink w:anchor="SENTENCIA_2015_54" w:history="1">
        <w:r w:rsidRPr="00DD47EB">
          <w:rPr>
            <w:rStyle w:val="TextoNormalCaracter"/>
          </w:rPr>
          <w:t>54/2015</w:t>
        </w:r>
      </w:hyperlink>
      <w:r>
        <w:t>, f. 3.</w:t>
      </w:r>
    </w:p>
    <w:p w:rsidR="00DD47EB" w:rsidRDefault="00DD47EB" w:rsidP="00DD47EB">
      <w:pPr>
        <w:pStyle w:val="SangriaFrancesaArticulo"/>
      </w:pPr>
      <w:r w:rsidRPr="00DD47EB">
        <w:rPr>
          <w:rStyle w:val="TextoNormalNegritaCaracter"/>
        </w:rPr>
        <w:t>Artículo 267.3</w:t>
      </w:r>
      <w:r>
        <w:t xml:space="preserve"> (redactado por la Ley Orgánica 19/2003, de 23 de diciembre)</w:t>
      </w:r>
      <w:r w:rsidRPr="00DD47EB">
        <w:rPr>
          <w:rStyle w:val="TextoNormalNegritaCaracter"/>
        </w:rPr>
        <w:t>.</w:t>
      </w:r>
      <w:r w:rsidRPr="00DD47EB">
        <w:rPr>
          <w:rStyle w:val="TextoNormalCaracter"/>
        </w:rPr>
        <w:t>-</w:t>
      </w:r>
      <w:r>
        <w:t xml:space="preserve"> Auto </w:t>
      </w:r>
      <w:hyperlink w:anchor="AUTO_2015_77" w:history="1">
        <w:r w:rsidRPr="00DD47EB">
          <w:rPr>
            <w:rStyle w:val="TextoNormalCaracter"/>
          </w:rPr>
          <w:t>77/2015</w:t>
        </w:r>
      </w:hyperlink>
      <w:r>
        <w:t>, f. único.</w:t>
      </w:r>
    </w:p>
    <w:p w:rsidR="00DD47EB" w:rsidRDefault="00DD47EB" w:rsidP="00DD47EB">
      <w:pPr>
        <w:pStyle w:val="SangriaFrancesaArticulo"/>
      </w:pPr>
      <w:r w:rsidRPr="00DD47EB">
        <w:rPr>
          <w:rStyle w:val="TextoNormalNegritaCaracter"/>
        </w:rPr>
        <w:t>Artículo 292.</w:t>
      </w:r>
      <w:r w:rsidRPr="00DD47EB">
        <w:rPr>
          <w:rStyle w:val="TextoNormalCaracter"/>
        </w:rPr>
        <w:t>-</w:t>
      </w:r>
      <w:r>
        <w:t xml:space="preserve"> Auto </w:t>
      </w:r>
      <w:hyperlink w:anchor="AUTO_2015_109" w:history="1">
        <w:r w:rsidRPr="00DD47EB">
          <w:rPr>
            <w:rStyle w:val="TextoNormalCaracter"/>
          </w:rPr>
          <w:t>109/2015</w:t>
        </w:r>
      </w:hyperlink>
      <w:r>
        <w:t>, f. 2.</w:t>
      </w:r>
    </w:p>
    <w:p w:rsidR="00DD47EB" w:rsidRDefault="00DD47EB" w:rsidP="00DD47EB">
      <w:pPr>
        <w:pStyle w:val="SangriaFrancesaArticulo"/>
      </w:pPr>
      <w:r w:rsidRPr="00DD47EB">
        <w:rPr>
          <w:rStyle w:val="TextoNormalNegritaCaracter"/>
        </w:rPr>
        <w:t>Artículo 453.1.</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454.1.</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478 d).</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478 f).</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p>
    <w:p w:rsidR="00DD47EB" w:rsidRDefault="00DD47EB" w:rsidP="00DD47EB">
      <w:pPr>
        <w:pStyle w:val="TextoNormalNegritaCursivandice"/>
      </w:pPr>
      <w:r>
        <w:t>Ley Orgánica 16/1994, de 8 de noviembre. Reforma la Ley Orgánica 6/1985, de 1 de julio, del Poder judicial</w:t>
      </w:r>
    </w:p>
    <w:p w:rsidR="00DD47EB" w:rsidRDefault="00DD47EB" w:rsidP="00DD47EB">
      <w:pPr>
        <w:pStyle w:val="SangriaFrancesaArticulo"/>
      </w:pPr>
      <w:r w:rsidRPr="00DD47EB">
        <w:rPr>
          <w:rStyle w:val="TextoNormalNegritaCaracter"/>
        </w:rPr>
        <w:t>Artículo 8.2.</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p>
    <w:p w:rsidR="00DD47EB" w:rsidRDefault="00DD47EB" w:rsidP="00DD47EB">
      <w:pPr>
        <w:pStyle w:val="TextoNormalNegritaCursivandice"/>
      </w:pPr>
      <w:r>
        <w:t>Ley Orgánica 5/1995, de 22 de mayo. Tribunal del Jurado</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12" w:history="1">
        <w:r w:rsidRPr="00DD47EB">
          <w:rPr>
            <w:rStyle w:val="TextoNormalCaracter"/>
          </w:rPr>
          <w:t>112/2015</w:t>
        </w:r>
      </w:hyperlink>
      <w:r>
        <w:t>, f. 5.</w:t>
      </w:r>
    </w:p>
    <w:p w:rsidR="00DD47EB" w:rsidRDefault="00DD47EB" w:rsidP="00DD47EB">
      <w:pPr>
        <w:pStyle w:val="SangriaFrancesaArticulo"/>
      </w:pPr>
      <w:r w:rsidRPr="00DD47EB">
        <w:rPr>
          <w:rStyle w:val="TextoNormalNegritaCaracter"/>
        </w:rPr>
        <w:t>Artículo 61.1 d).</w:t>
      </w:r>
      <w:r w:rsidRPr="00DD47EB">
        <w:rPr>
          <w:rStyle w:val="TextoNormalCaracter"/>
        </w:rPr>
        <w:t>-</w:t>
      </w:r>
      <w:r>
        <w:t xml:space="preserve"> Sentencia </w:t>
      </w:r>
      <w:hyperlink w:anchor="SENTENCIA_2015_112" w:history="1">
        <w:r w:rsidRPr="00DD47EB">
          <w:rPr>
            <w:rStyle w:val="TextoNormalCaracter"/>
          </w:rPr>
          <w:t>112/2015</w:t>
        </w:r>
      </w:hyperlink>
      <w:r>
        <w:t>, f. 5.</w:t>
      </w:r>
    </w:p>
    <w:p w:rsidR="00DD47EB" w:rsidRDefault="00DD47EB" w:rsidP="00DD47EB">
      <w:pPr>
        <w:pStyle w:val="SangriaFrancesaArticulo"/>
      </w:pPr>
      <w:r w:rsidRPr="00DD47EB">
        <w:rPr>
          <w:rStyle w:val="TextoNormalNegritaCaracter"/>
        </w:rPr>
        <w:t>Artículo 63.1 d).</w:t>
      </w:r>
      <w:r w:rsidRPr="00DD47EB">
        <w:rPr>
          <w:rStyle w:val="TextoNormalCaracter"/>
        </w:rPr>
        <w:t>-</w:t>
      </w:r>
      <w:r>
        <w:t xml:space="preserve"> Sentencia </w:t>
      </w:r>
      <w:hyperlink w:anchor="SENTENCIA_2015_112" w:history="1">
        <w:r w:rsidRPr="00DD47EB">
          <w:rPr>
            <w:rStyle w:val="TextoNormalCaracter"/>
          </w:rPr>
          <w:t>112/2015</w:t>
        </w:r>
      </w:hyperlink>
      <w:r>
        <w:t>, f. 6.</w:t>
      </w:r>
    </w:p>
    <w:p w:rsidR="00DD47EB" w:rsidRDefault="00DD47EB" w:rsidP="00DD47EB">
      <w:pPr>
        <w:pStyle w:val="SangriaFrancesaArticulo"/>
      </w:pPr>
    </w:p>
    <w:p w:rsidR="00DD47EB" w:rsidRDefault="00DD47EB" w:rsidP="00DD47EB">
      <w:pPr>
        <w:pStyle w:val="TextoNormalNegritaCursivandice"/>
      </w:pPr>
      <w:r>
        <w:t>Ley Orgánica 10/1995, de 23 de noviembre. Código penal</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63" w:history="1">
        <w:r w:rsidRPr="00DD47EB">
          <w:rPr>
            <w:rStyle w:val="TextoNormalCaracter"/>
          </w:rPr>
          <w:t>63/2015</w:t>
        </w:r>
      </w:hyperlink>
      <w:r>
        <w:t>, VP.</w:t>
      </w:r>
    </w:p>
    <w:p w:rsidR="00DD47EB" w:rsidRDefault="00DD47EB" w:rsidP="00DD47EB">
      <w:pPr>
        <w:pStyle w:val="SangriaFrancesaArticulo"/>
      </w:pPr>
      <w:r w:rsidRPr="00DD47EB">
        <w:rPr>
          <w:rStyle w:val="TextoNormalNegritaCaracter"/>
        </w:rPr>
        <w:t>Artículo 37.1.</w:t>
      </w:r>
      <w:r w:rsidRPr="00DD47EB">
        <w:rPr>
          <w:rStyle w:val="TextoNormalCaracter"/>
        </w:rPr>
        <w:t>-</w:t>
      </w:r>
      <w:r>
        <w:t xml:space="preserve"> Sentencia </w:t>
      </w:r>
      <w:hyperlink w:anchor="SENTENCIA_2015_4" w:history="1">
        <w:r w:rsidRPr="00DD47EB">
          <w:rPr>
            <w:rStyle w:val="TextoNormalCaracter"/>
          </w:rPr>
          <w:t>4/2015</w:t>
        </w:r>
      </w:hyperlink>
      <w:r>
        <w:t>, f. 2.</w:t>
      </w:r>
    </w:p>
    <w:p w:rsidR="00DD47EB" w:rsidRDefault="00DD47EB" w:rsidP="00DD47EB">
      <w:pPr>
        <w:pStyle w:val="SangriaFrancesaArticulo"/>
      </w:pPr>
      <w:r w:rsidRPr="00DD47EB">
        <w:rPr>
          <w:rStyle w:val="TextoNormalNegritaCaracter"/>
        </w:rPr>
        <w:t>Artículo 58.1.</w:t>
      </w:r>
      <w:r w:rsidRPr="00DD47EB">
        <w:rPr>
          <w:rStyle w:val="TextoNormalCaracter"/>
        </w:rPr>
        <w:t>-</w:t>
      </w:r>
      <w:r>
        <w:t xml:space="preserve"> Sentencia </w:t>
      </w:r>
      <w:hyperlink w:anchor="SENTENCIA_2015_63" w:history="1">
        <w:r w:rsidRPr="00DD47EB">
          <w:rPr>
            <w:rStyle w:val="TextoNormalCaracter"/>
          </w:rPr>
          <w:t>63/2015</w:t>
        </w:r>
      </w:hyperlink>
      <w:r>
        <w:t>, VP.</w:t>
      </w:r>
    </w:p>
    <w:p w:rsidR="00DD47EB" w:rsidRDefault="00DD47EB" w:rsidP="00DD47EB">
      <w:pPr>
        <w:pStyle w:val="SangriaFrancesaArticulo"/>
      </w:pPr>
      <w:r w:rsidRPr="00DD47EB">
        <w:rPr>
          <w:rStyle w:val="TextoNormalNegritaCaracter"/>
        </w:rPr>
        <w:t>Artículo 80.</w:t>
      </w:r>
      <w:r w:rsidRPr="00DD47EB">
        <w:rPr>
          <w:rStyle w:val="TextoNormalCaracter"/>
        </w:rPr>
        <w:t>-</w:t>
      </w:r>
      <w:r>
        <w:t xml:space="preserve"> Sentencia </w:t>
      </w:r>
      <w:hyperlink w:anchor="SENTENCIA_2015_63" w:history="1">
        <w:r w:rsidRPr="00DD47EB">
          <w:rPr>
            <w:rStyle w:val="TextoNormalCaracter"/>
          </w:rPr>
          <w:t>63/2015</w:t>
        </w:r>
      </w:hyperlink>
      <w:r>
        <w:t>, f. 5, VP.</w:t>
      </w:r>
    </w:p>
    <w:p w:rsidR="00DD47EB" w:rsidRDefault="00DD47EB" w:rsidP="00DD47EB">
      <w:pPr>
        <w:pStyle w:val="SangriaFrancesaArticulo"/>
      </w:pPr>
      <w:r w:rsidRPr="00DD47EB">
        <w:rPr>
          <w:rStyle w:val="TextoNormalNegritaCaracter"/>
        </w:rPr>
        <w:t>Artículo 88.</w:t>
      </w:r>
      <w:r w:rsidRPr="00DD47EB">
        <w:rPr>
          <w:rStyle w:val="TextoNormalCaracter"/>
        </w:rPr>
        <w:t>-</w:t>
      </w:r>
      <w:r>
        <w:t xml:space="preserve"> Sentencia </w:t>
      </w:r>
      <w:hyperlink w:anchor="SENTENCIA_2015_63" w:history="1">
        <w:r w:rsidRPr="00DD47EB">
          <w:rPr>
            <w:rStyle w:val="TextoNormalCaracter"/>
          </w:rPr>
          <w:t>63/2015</w:t>
        </w:r>
      </w:hyperlink>
      <w:r>
        <w:t>, ff. 4, 5, VP.</w:t>
      </w:r>
    </w:p>
    <w:p w:rsidR="00DD47EB" w:rsidRDefault="00DD47EB" w:rsidP="00DD47EB">
      <w:pPr>
        <w:pStyle w:val="SangriaFrancesaArticulo"/>
      </w:pPr>
      <w:r w:rsidRPr="00DD47EB">
        <w:rPr>
          <w:rStyle w:val="TextoNormalNegritaCaracter"/>
        </w:rPr>
        <w:t>Artículo 134.</w:t>
      </w:r>
      <w:r w:rsidRPr="00DD47EB">
        <w:rPr>
          <w:rStyle w:val="TextoNormalCaracter"/>
        </w:rPr>
        <w:t>-</w:t>
      </w:r>
      <w:r>
        <w:t xml:space="preserve"> Sentencia </w:t>
      </w:r>
      <w:hyperlink w:anchor="SENTENCIA_2015_63" w:history="1">
        <w:r w:rsidRPr="00DD47EB">
          <w:rPr>
            <w:rStyle w:val="TextoNormalCaracter"/>
          </w:rPr>
          <w:t>63/2015</w:t>
        </w:r>
      </w:hyperlink>
      <w:r>
        <w:t>, ff. 4, 5, VP.</w:t>
      </w:r>
    </w:p>
    <w:p w:rsidR="00DD47EB" w:rsidRDefault="00DD47EB" w:rsidP="00DD47EB">
      <w:pPr>
        <w:pStyle w:val="SangriaFrancesaArticulo"/>
      </w:pPr>
      <w:r w:rsidRPr="00DD47EB">
        <w:rPr>
          <w:rStyle w:val="TextoNormalNegritaCaracter"/>
        </w:rPr>
        <w:t>Artículo 208.</w:t>
      </w:r>
      <w:r w:rsidRPr="00DD47EB">
        <w:rPr>
          <w:rStyle w:val="TextoNormalCaracter"/>
        </w:rPr>
        <w:t>-</w:t>
      </w:r>
      <w:r>
        <w:t xml:space="preserve"> Sentencia </w:t>
      </w:r>
      <w:hyperlink w:anchor="SENTENCIA_2015_65" w:history="1">
        <w:r w:rsidRPr="00DD47EB">
          <w:rPr>
            <w:rStyle w:val="TextoNormalCaracter"/>
          </w:rPr>
          <w:t>65/2015</w:t>
        </w:r>
      </w:hyperlink>
      <w:r>
        <w:t>, f. 1.</w:t>
      </w:r>
    </w:p>
    <w:p w:rsidR="00DD47EB" w:rsidRDefault="00DD47EB" w:rsidP="00DD47EB">
      <w:pPr>
        <w:pStyle w:val="SangriaFrancesaArticulo"/>
      </w:pPr>
      <w:r w:rsidRPr="00DD47EB">
        <w:rPr>
          <w:rStyle w:val="TextoNormalNegritaCaracter"/>
        </w:rPr>
        <w:t>Artículo 209.</w:t>
      </w:r>
      <w:r w:rsidRPr="00DD47EB">
        <w:rPr>
          <w:rStyle w:val="TextoNormalCaracter"/>
        </w:rPr>
        <w:t>-</w:t>
      </w:r>
      <w:r>
        <w:t xml:space="preserve"> Sentencia </w:t>
      </w:r>
      <w:hyperlink w:anchor="SENTENCIA_2015_65" w:history="1">
        <w:r w:rsidRPr="00DD47EB">
          <w:rPr>
            <w:rStyle w:val="TextoNormalCaracter"/>
          </w:rPr>
          <w:t>65/2015</w:t>
        </w:r>
      </w:hyperlink>
      <w:r>
        <w:t>, f. 1.</w:t>
      </w:r>
    </w:p>
    <w:p w:rsidR="00DD47EB" w:rsidRDefault="00DD47EB" w:rsidP="00DD47EB">
      <w:pPr>
        <w:pStyle w:val="SangriaFrancesaArticulo"/>
      </w:pPr>
      <w:r w:rsidRPr="00DD47EB">
        <w:rPr>
          <w:rStyle w:val="TextoNormalNegritaCaracter"/>
        </w:rPr>
        <w:t>Artículo 211.</w:t>
      </w:r>
      <w:r w:rsidRPr="00DD47EB">
        <w:rPr>
          <w:rStyle w:val="TextoNormalCaracter"/>
        </w:rPr>
        <w:t>-</w:t>
      </w:r>
      <w:r>
        <w:t xml:space="preserve"> Sentencia </w:t>
      </w:r>
      <w:hyperlink w:anchor="SENTENCIA_2015_65" w:history="1">
        <w:r w:rsidRPr="00DD47EB">
          <w:rPr>
            <w:rStyle w:val="TextoNormalCaracter"/>
          </w:rPr>
          <w:t>65/2015</w:t>
        </w:r>
      </w:hyperlink>
      <w:r>
        <w:t>, f. 1.</w:t>
      </w:r>
    </w:p>
    <w:p w:rsidR="00DD47EB" w:rsidRDefault="00DD47EB" w:rsidP="00DD47EB">
      <w:pPr>
        <w:pStyle w:val="SangriaFrancesaArticulo"/>
      </w:pPr>
      <w:r w:rsidRPr="00DD47EB">
        <w:rPr>
          <w:rStyle w:val="TextoNormalNegritaCaracter"/>
        </w:rPr>
        <w:t>Artículo 285.1.</w:t>
      </w:r>
      <w:r w:rsidRPr="00DD47EB">
        <w:rPr>
          <w:rStyle w:val="TextoNormalCaracter"/>
        </w:rPr>
        <w:t>-</w:t>
      </w:r>
      <w:r>
        <w:t xml:space="preserve"> Sentencia </w:t>
      </w:r>
      <w:hyperlink w:anchor="SENTENCIA_2015_2" w:history="1">
        <w:r w:rsidRPr="00DD47EB">
          <w:rPr>
            <w:rStyle w:val="TextoNormalCaracter"/>
          </w:rPr>
          <w:t>2/2015</w:t>
        </w:r>
      </w:hyperlink>
      <w:r>
        <w:t>, ff. 1, 3, 4, 7 a 9.</w:t>
      </w:r>
    </w:p>
    <w:p w:rsidR="00DD47EB" w:rsidRDefault="00DD47EB" w:rsidP="00DD47EB">
      <w:pPr>
        <w:pStyle w:val="SangriaFrancesaArticulo"/>
      </w:pPr>
      <w:r w:rsidRPr="00DD47EB">
        <w:rPr>
          <w:rStyle w:val="TextoNormalNegritaCaracter"/>
        </w:rPr>
        <w:t>Artículo 368.</w:t>
      </w:r>
      <w:r w:rsidRPr="00DD47EB">
        <w:rPr>
          <w:rStyle w:val="TextoNormalCaracter"/>
        </w:rPr>
        <w:t>-</w:t>
      </w:r>
      <w:r>
        <w:t xml:space="preserve"> Sentencia </w:t>
      </w:r>
      <w:hyperlink w:anchor="SENTENCIA_2015_33" w:history="1">
        <w:r w:rsidRPr="00DD47EB">
          <w:rPr>
            <w:rStyle w:val="TextoNormalCaracter"/>
          </w:rPr>
          <w:t>33/2015</w:t>
        </w:r>
      </w:hyperlink>
      <w:r>
        <w:t>, f. 1.</w:t>
      </w:r>
    </w:p>
    <w:p w:rsidR="00DD47EB" w:rsidRDefault="00DD47EB" w:rsidP="00DD47EB">
      <w:pPr>
        <w:pStyle w:val="SangriaFrancesaArticulo"/>
      </w:pPr>
      <w:r w:rsidRPr="00DD47EB">
        <w:rPr>
          <w:rStyle w:val="TextoNormalNegritaCaracter"/>
        </w:rPr>
        <w:t>Artículo 369.1.2ª.</w:t>
      </w:r>
      <w:r w:rsidRPr="00DD47EB">
        <w:rPr>
          <w:rStyle w:val="TextoNormalCaracter"/>
        </w:rPr>
        <w:t>-</w:t>
      </w:r>
      <w:r>
        <w:t xml:space="preserve"> Sentencia </w:t>
      </w:r>
      <w:hyperlink w:anchor="SENTENCIA_2015_33" w:history="1">
        <w:r w:rsidRPr="00DD47EB">
          <w:rPr>
            <w:rStyle w:val="TextoNormalCaracter"/>
          </w:rPr>
          <w:t>33/2015</w:t>
        </w:r>
      </w:hyperlink>
      <w:r>
        <w:t>, f. 1.</w:t>
      </w:r>
    </w:p>
    <w:p w:rsidR="00DD47EB" w:rsidRDefault="00DD47EB" w:rsidP="00DD47EB">
      <w:pPr>
        <w:pStyle w:val="SangriaFrancesaArticulo"/>
      </w:pPr>
      <w:r w:rsidRPr="00DD47EB">
        <w:rPr>
          <w:rStyle w:val="TextoNormalNegritaCaracter"/>
        </w:rPr>
        <w:t>Artículo 369.1.6ª.</w:t>
      </w:r>
      <w:r w:rsidRPr="00DD47EB">
        <w:rPr>
          <w:rStyle w:val="TextoNormalCaracter"/>
        </w:rPr>
        <w:t>-</w:t>
      </w:r>
      <w:r>
        <w:t xml:space="preserve"> Sentencia </w:t>
      </w:r>
      <w:hyperlink w:anchor="SENTENCIA_2015_33" w:history="1">
        <w:r w:rsidRPr="00DD47EB">
          <w:rPr>
            <w:rStyle w:val="TextoNormalCaracter"/>
          </w:rPr>
          <w:t>33/2015</w:t>
        </w:r>
      </w:hyperlink>
      <w:r>
        <w:t>, f. 1.</w:t>
      </w:r>
    </w:p>
    <w:p w:rsidR="00DD47EB" w:rsidRDefault="00DD47EB" w:rsidP="00DD47EB">
      <w:pPr>
        <w:pStyle w:val="SangriaFrancesaArticulo"/>
      </w:pPr>
      <w:r w:rsidRPr="00DD47EB">
        <w:rPr>
          <w:rStyle w:val="TextoNormalNegritaCaracter"/>
        </w:rPr>
        <w:t>Artículo 369.1.10ª.</w:t>
      </w:r>
      <w:r w:rsidRPr="00DD47EB">
        <w:rPr>
          <w:rStyle w:val="TextoNormalCaracter"/>
        </w:rPr>
        <w:t>-</w:t>
      </w:r>
      <w:r>
        <w:t xml:space="preserve"> Sentencia </w:t>
      </w:r>
      <w:hyperlink w:anchor="SENTENCIA_2015_33" w:history="1">
        <w:r w:rsidRPr="00DD47EB">
          <w:rPr>
            <w:rStyle w:val="TextoNormalCaracter"/>
          </w:rPr>
          <w:t>33/2015</w:t>
        </w:r>
      </w:hyperlink>
      <w:r>
        <w:t>, f. 1.</w:t>
      </w:r>
    </w:p>
    <w:p w:rsidR="00DD47EB" w:rsidRDefault="00DD47EB" w:rsidP="00DD47EB">
      <w:pPr>
        <w:pStyle w:val="SangriaFrancesaArticulo"/>
      </w:pPr>
      <w:r w:rsidRPr="00DD47EB">
        <w:rPr>
          <w:rStyle w:val="TextoNormalNegritaCaracter"/>
        </w:rPr>
        <w:t>Artículo 370.3.</w:t>
      </w:r>
      <w:r w:rsidRPr="00DD47EB">
        <w:rPr>
          <w:rStyle w:val="TextoNormalCaracter"/>
        </w:rPr>
        <w:t>-</w:t>
      </w:r>
      <w:r>
        <w:t xml:space="preserve"> Sentencia </w:t>
      </w:r>
      <w:hyperlink w:anchor="SENTENCIA_2015_33" w:history="1">
        <w:r w:rsidRPr="00DD47EB">
          <w:rPr>
            <w:rStyle w:val="TextoNormalCaracter"/>
          </w:rPr>
          <w:t>33/2015</w:t>
        </w:r>
      </w:hyperlink>
      <w:r>
        <w:t>, f. 1.</w:t>
      </w:r>
    </w:p>
    <w:p w:rsidR="00DD47EB" w:rsidRDefault="00DD47EB" w:rsidP="00DD47EB">
      <w:pPr>
        <w:pStyle w:val="SangriaFrancesaArticulo"/>
      </w:pPr>
      <w:r w:rsidRPr="00DD47EB">
        <w:rPr>
          <w:rStyle w:val="TextoNormalNegritaCaracter"/>
        </w:rPr>
        <w:t>Artículo 379.2.</w:t>
      </w:r>
      <w:r w:rsidRPr="00DD47EB">
        <w:rPr>
          <w:rStyle w:val="TextoNormalCaracter"/>
        </w:rPr>
        <w:t>-</w:t>
      </w:r>
      <w:r>
        <w:t xml:space="preserve"> Auto </w:t>
      </w:r>
      <w:hyperlink w:anchor="AUTO_2015_26" w:history="1">
        <w:r w:rsidRPr="00DD47EB">
          <w:rPr>
            <w:rStyle w:val="TextoNormalCaracter"/>
          </w:rPr>
          <w:t>26/2015</w:t>
        </w:r>
      </w:hyperlink>
      <w:r>
        <w:t>, f. 1.</w:t>
      </w:r>
    </w:p>
    <w:p w:rsidR="00DD47EB" w:rsidRDefault="00DD47EB" w:rsidP="00DD47EB">
      <w:pPr>
        <w:pStyle w:val="SangriaFrancesaArticulo"/>
      </w:pPr>
      <w:r w:rsidRPr="00DD47EB">
        <w:rPr>
          <w:rStyle w:val="TextoNormalNegritaCaracter"/>
        </w:rPr>
        <w:t>Artículo 390.1.</w:t>
      </w:r>
      <w:r w:rsidRPr="00DD47EB">
        <w:rPr>
          <w:rStyle w:val="TextoNormalCaracter"/>
        </w:rPr>
        <w:t>-</w:t>
      </w:r>
      <w:r>
        <w:t xml:space="preserve"> Sentencia </w:t>
      </w:r>
      <w:hyperlink w:anchor="SENTENCIA_2015_146" w:history="1">
        <w:r w:rsidRPr="00DD47EB">
          <w:rPr>
            <w:rStyle w:val="TextoNormalCaracter"/>
          </w:rPr>
          <w:t>146/2015</w:t>
        </w:r>
      </w:hyperlink>
      <w:r>
        <w:t>, f. 1.</w:t>
      </w:r>
    </w:p>
    <w:p w:rsidR="00DD47EB" w:rsidRDefault="00DD47EB" w:rsidP="00DD47EB">
      <w:pPr>
        <w:pStyle w:val="SangriaFrancesaArticulo"/>
      </w:pPr>
      <w:r w:rsidRPr="00DD47EB">
        <w:rPr>
          <w:rStyle w:val="TextoNormalNegritaCaracter"/>
        </w:rPr>
        <w:t>Artículo 390.1.2º.</w:t>
      </w:r>
      <w:r w:rsidRPr="00DD47EB">
        <w:rPr>
          <w:rStyle w:val="TextoNormalCaracter"/>
        </w:rPr>
        <w:t>-</w:t>
      </w:r>
      <w:r>
        <w:t xml:space="preserve"> Sentencia </w:t>
      </w:r>
      <w:hyperlink w:anchor="SENTENCIA_2015_146" w:history="1">
        <w:r w:rsidRPr="00DD47EB">
          <w:rPr>
            <w:rStyle w:val="TextoNormalCaracter"/>
          </w:rPr>
          <w:t>146/2015</w:t>
        </w:r>
      </w:hyperlink>
      <w:r>
        <w:t>, f. 1, VP.</w:t>
      </w:r>
    </w:p>
    <w:p w:rsidR="00DD47EB" w:rsidRDefault="00DD47EB" w:rsidP="00DD47EB">
      <w:pPr>
        <w:pStyle w:val="SangriaFrancesaArticulo"/>
      </w:pPr>
      <w:r w:rsidRPr="00DD47EB">
        <w:rPr>
          <w:rStyle w:val="TextoNormalNegritaCaracter"/>
        </w:rPr>
        <w:t>Artículo 390.2.</w:t>
      </w:r>
      <w:r w:rsidRPr="00DD47EB">
        <w:rPr>
          <w:rStyle w:val="TextoNormalCaracter"/>
        </w:rPr>
        <w:t>-</w:t>
      </w:r>
      <w:r>
        <w:t xml:space="preserve"> Sentencia </w:t>
      </w:r>
      <w:hyperlink w:anchor="SENTENCIA_2015_146" w:history="1">
        <w:r w:rsidRPr="00DD47EB">
          <w:rPr>
            <w:rStyle w:val="TextoNormalCaracter"/>
          </w:rPr>
          <w:t>146/2015</w:t>
        </w:r>
      </w:hyperlink>
      <w:r>
        <w:t>, f. 1.</w:t>
      </w:r>
    </w:p>
    <w:p w:rsidR="00DD47EB" w:rsidRDefault="00DD47EB" w:rsidP="00DD47EB">
      <w:pPr>
        <w:pStyle w:val="SangriaFrancesaArticulo"/>
      </w:pPr>
      <w:r w:rsidRPr="00DD47EB">
        <w:rPr>
          <w:rStyle w:val="TextoNormalNegritaCaracter"/>
        </w:rPr>
        <w:t>Artículo 392.</w:t>
      </w:r>
      <w:r w:rsidRPr="00DD47EB">
        <w:rPr>
          <w:rStyle w:val="TextoNormalCaracter"/>
        </w:rPr>
        <w:t>-</w:t>
      </w:r>
      <w:r>
        <w:t xml:space="preserve"> Sentencia </w:t>
      </w:r>
      <w:hyperlink w:anchor="SENTENCIA_2015_146" w:history="1">
        <w:r w:rsidRPr="00DD47EB">
          <w:rPr>
            <w:rStyle w:val="TextoNormalCaracter"/>
          </w:rPr>
          <w:t>146/2015</w:t>
        </w:r>
      </w:hyperlink>
      <w:r>
        <w:t>, f. 1.</w:t>
      </w:r>
    </w:p>
    <w:p w:rsidR="00DD47EB" w:rsidRDefault="00DD47EB" w:rsidP="00DD47EB">
      <w:pPr>
        <w:pStyle w:val="SangriaFrancesaArticulo"/>
      </w:pPr>
      <w:r w:rsidRPr="00DD47EB">
        <w:rPr>
          <w:rStyle w:val="TextoNormalNegritaCaracter"/>
        </w:rPr>
        <w:t>Artículo 392.1.</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395.</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623.1 párrafo segundo.</w:t>
      </w:r>
      <w:r w:rsidRPr="00DD47EB">
        <w:rPr>
          <w:rStyle w:val="TextoNormalCaracter"/>
        </w:rPr>
        <w:t>-</w:t>
      </w:r>
      <w:r>
        <w:t xml:space="preserve"> Sentencias </w:t>
      </w:r>
      <w:hyperlink w:anchor="SENTENCIA_2015_3" w:history="1">
        <w:r w:rsidRPr="00DD47EB">
          <w:rPr>
            <w:rStyle w:val="TextoNormalCaracter"/>
          </w:rPr>
          <w:t>3/2015</w:t>
        </w:r>
      </w:hyperlink>
      <w:r>
        <w:t xml:space="preserve">, ff. 1, 3; </w:t>
      </w:r>
      <w:hyperlink w:anchor="SENTENCIA_2015_4" w:history="1">
        <w:r w:rsidRPr="00DD47EB">
          <w:rPr>
            <w:rStyle w:val="TextoNormalCaracter"/>
          </w:rPr>
          <w:t>4/2015</w:t>
        </w:r>
      </w:hyperlink>
      <w:r>
        <w:t>, ff. 1, 2.</w:t>
      </w:r>
    </w:p>
    <w:p w:rsidR="00DD47EB" w:rsidRDefault="00DD47EB" w:rsidP="00DD47EB">
      <w:pPr>
        <w:pStyle w:val="SangriaFrancesaArticulo"/>
      </w:pPr>
    </w:p>
    <w:p w:rsidR="00DD47EB" w:rsidRDefault="00DD47EB" w:rsidP="00DD47EB">
      <w:pPr>
        <w:pStyle w:val="TextoNormalNegritaCursivandice"/>
      </w:pPr>
      <w:r>
        <w:t>Ley Orgánica 6/1999, de 6 de abril. Transferencia de competencias a la Comunidad Autónoma de Galicia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 1.</w:t>
      </w:r>
    </w:p>
    <w:p w:rsidR="00DD47EB" w:rsidRDefault="00DD47EB" w:rsidP="00DD47EB">
      <w:pPr>
        <w:pStyle w:val="SangriaFrancesaArticulo"/>
      </w:pPr>
    </w:p>
    <w:p w:rsidR="00DD47EB" w:rsidRDefault="00DD47EB" w:rsidP="00DD47EB">
      <w:pPr>
        <w:pStyle w:val="TextoNormalNegritaCursivandice"/>
      </w:pPr>
      <w:r>
        <w:t>Ley Orgánica 15/1999, de 13 de diciembre. Protección de datos de carácter personal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5" w:history="1">
        <w:r w:rsidRPr="00DD47EB">
          <w:rPr>
            <w:rStyle w:val="TextoNormalCaracter"/>
          </w:rPr>
          <w:t>85/2015</w:t>
        </w:r>
      </w:hyperlink>
      <w:r>
        <w:t>, f. 5.</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31" w:history="1">
        <w:r w:rsidRPr="00DD47EB">
          <w:rPr>
            <w:rStyle w:val="TextoNormalCaracter"/>
          </w:rPr>
          <w:t>31/2015</w:t>
        </w:r>
      </w:hyperlink>
      <w:r>
        <w:t>, f. 11.</w:t>
      </w:r>
    </w:p>
    <w:p w:rsidR="00DD47EB" w:rsidRDefault="00DD47EB" w:rsidP="00DD47EB">
      <w:pPr>
        <w:pStyle w:val="SangriaFrancesaArticulo"/>
      </w:pPr>
    </w:p>
    <w:p w:rsidR="00DD47EB" w:rsidRDefault="00DD47EB" w:rsidP="00DD47EB">
      <w:pPr>
        <w:pStyle w:val="TextoNormalNegritaCursivandice"/>
      </w:pPr>
      <w:r>
        <w:t>Ley Orgánica 1/2001, de 26 de marzo. Modifica la Ley Orgánica 13/1982, de 10 de agosto, de reintegración y amejoramiento del régimen foral de Navarra</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81" w:history="1">
        <w:r w:rsidRPr="00DD47EB">
          <w:rPr>
            <w:rStyle w:val="TextoNormalCaracter"/>
          </w:rPr>
          <w:t>81/2015</w:t>
        </w:r>
      </w:hyperlink>
      <w:r>
        <w:t>, f. 7.</w:t>
      </w:r>
    </w:p>
    <w:p w:rsidR="00DD47EB" w:rsidRDefault="00DD47EB" w:rsidP="00DD47EB">
      <w:pPr>
        <w:pStyle w:val="SangriaFrancesaArticulo"/>
      </w:pPr>
      <w:r w:rsidRPr="00DD47EB">
        <w:rPr>
          <w:rStyle w:val="TextoNormalNegritaCaracter"/>
        </w:rPr>
        <w:t>Artículo 49.1 b).</w:t>
      </w:r>
      <w:r w:rsidRPr="00DD47EB">
        <w:rPr>
          <w:rStyle w:val="TextoNormalCaracter"/>
        </w:rPr>
        <w:t>-</w:t>
      </w:r>
      <w:r>
        <w:t xml:space="preserve"> Sentencia </w:t>
      </w:r>
      <w:hyperlink w:anchor="SENTENCIA_2015_81" w:history="1">
        <w:r w:rsidRPr="00DD47EB">
          <w:rPr>
            <w:rStyle w:val="TextoNormalCaracter"/>
          </w:rPr>
          <w:t>81/2015</w:t>
        </w:r>
      </w:hyperlink>
      <w:r>
        <w:t>, f. 7.</w:t>
      </w:r>
    </w:p>
    <w:p w:rsidR="00DD47EB" w:rsidRDefault="00DD47EB" w:rsidP="00DD47EB">
      <w:pPr>
        <w:pStyle w:val="SangriaFrancesaArticulo"/>
      </w:pPr>
      <w:r w:rsidRPr="00DD47EB">
        <w:rPr>
          <w:rStyle w:val="TextoNormalNegritaCaracter"/>
        </w:rPr>
        <w:t>Artículo 64.</w:t>
      </w:r>
      <w:r w:rsidRPr="00DD47EB">
        <w:rPr>
          <w:rStyle w:val="TextoNormalCaracter"/>
        </w:rPr>
        <w:t>-</w:t>
      </w:r>
      <w:r>
        <w:t xml:space="preserve"> Sentencia </w:t>
      </w:r>
      <w:hyperlink w:anchor="SENTENCIA_2015_81" w:history="1">
        <w:r w:rsidRPr="00DD47EB">
          <w:rPr>
            <w:rStyle w:val="TextoNormalCaracter"/>
          </w:rPr>
          <w:t>81/2015</w:t>
        </w:r>
      </w:hyperlink>
      <w:r>
        <w:t>, f. 7.</w:t>
      </w:r>
    </w:p>
    <w:p w:rsidR="00DD47EB" w:rsidRDefault="00DD47EB" w:rsidP="00DD47EB">
      <w:pPr>
        <w:pStyle w:val="SangriaFrancesaArticulo"/>
      </w:pPr>
    </w:p>
    <w:p w:rsidR="00DD47EB" w:rsidRDefault="00DD47EB" w:rsidP="00DD47EB">
      <w:pPr>
        <w:pStyle w:val="TextoNormalNegritaCursivandice"/>
      </w:pPr>
      <w:r>
        <w:t>Ley Orgánica 6/2001, de 21 de diciembre. Universidades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6.</w:t>
      </w:r>
    </w:p>
    <w:p w:rsidR="00DD47EB" w:rsidRDefault="00DD47EB" w:rsidP="00DD47EB">
      <w:pPr>
        <w:pStyle w:val="SangriaFrancesaArticulo"/>
      </w:pPr>
      <w:r w:rsidRPr="00DD47EB">
        <w:rPr>
          <w:rStyle w:val="TextoNormalNegritaCaracter"/>
        </w:rPr>
        <w:t>Artículo 45</w:t>
      </w:r>
      <w:r>
        <w:t xml:space="preserve"> (redactado por la Ley Orgánica 4/2007, de 12 de abril)</w:t>
      </w:r>
      <w:r w:rsidRPr="00DD47EB">
        <w:rPr>
          <w:rStyle w:val="TextoNormalNegritaCaracter"/>
        </w:rPr>
        <w:t>.</w:t>
      </w:r>
      <w:r w:rsidRPr="00DD47EB">
        <w:rPr>
          <w:rStyle w:val="TextoNormalCaracter"/>
        </w:rPr>
        <w:t>-</w:t>
      </w:r>
      <w:r>
        <w:t xml:space="preserve"> Sentencia </w:t>
      </w:r>
      <w:hyperlink w:anchor="SENTENCIA_2015_25" w:history="1">
        <w:r w:rsidRPr="00DD47EB">
          <w:rPr>
            <w:rStyle w:val="TextoNormalCaracter"/>
          </w:rPr>
          <w:t>25/2015</w:t>
        </w:r>
      </w:hyperlink>
      <w:r>
        <w:t>, ff. 2, 4.</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25" w:history="1">
        <w:r w:rsidRPr="00DD47EB">
          <w:rPr>
            <w:rStyle w:val="TextoNormalCaracter"/>
          </w:rPr>
          <w:t>25/2015</w:t>
        </w:r>
      </w:hyperlink>
      <w:r>
        <w:t>, f. 6, VP I.</w:t>
      </w:r>
    </w:p>
    <w:p w:rsidR="00DD47EB" w:rsidRDefault="00DD47EB" w:rsidP="00DD47EB">
      <w:pPr>
        <w:pStyle w:val="SangriaFrancesaArticulo"/>
      </w:pPr>
    </w:p>
    <w:p w:rsidR="00DD47EB" w:rsidRDefault="00DD47EB" w:rsidP="00DD47EB">
      <w:pPr>
        <w:pStyle w:val="TextoNormalNegritaCursivandice"/>
      </w:pPr>
      <w:r>
        <w:t>Ley Orgánica 5/2002, de 19 de junio. Cualificaciones y formación profesional</w:t>
      </w:r>
    </w:p>
    <w:p w:rsidR="00DD47EB" w:rsidRDefault="00DD47EB" w:rsidP="00DD47EB">
      <w:pPr>
        <w:pStyle w:val="SangriaFrancesaArticulo"/>
      </w:pPr>
      <w:r w:rsidRPr="00DD47EB">
        <w:rPr>
          <w:rStyle w:val="TextoNormalNegritaCaracter"/>
        </w:rPr>
        <w:t>Artículo 8.4.</w:t>
      </w:r>
      <w:r w:rsidRPr="00DD47EB">
        <w:rPr>
          <w:rStyle w:val="TextoNormalCaracter"/>
        </w:rPr>
        <w:t>-</w:t>
      </w:r>
      <w:r>
        <w:t xml:space="preserve"> Sentencia </w:t>
      </w:r>
      <w:hyperlink w:anchor="SENTENCIA_2015_61" w:history="1">
        <w:r w:rsidRPr="00DD47EB">
          <w:rPr>
            <w:rStyle w:val="TextoNormalCaracter"/>
          </w:rPr>
          <w:t>61/2015</w:t>
        </w:r>
      </w:hyperlink>
      <w:r>
        <w:t>, f. 2.</w:t>
      </w:r>
    </w:p>
    <w:p w:rsidR="00DD47EB" w:rsidRDefault="00DD47EB" w:rsidP="00DD47EB">
      <w:pPr>
        <w:pStyle w:val="SangriaFrancesaArticulo"/>
      </w:pPr>
    </w:p>
    <w:p w:rsidR="00DD47EB" w:rsidRDefault="00DD47EB" w:rsidP="00DD47EB">
      <w:pPr>
        <w:pStyle w:val="TextoNormalNegritaCursivandice"/>
      </w:pPr>
      <w:r>
        <w:t>Ley Orgánica 19/2003, de 23 de diciembre. Modificación de la Ley Orgánica 6/1985, de 1 de julio, del Poder Judicial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Autos </w:t>
      </w:r>
      <w:hyperlink w:anchor="AUTO_2015_72" w:history="1">
        <w:r w:rsidRPr="00DD47EB">
          <w:rPr>
            <w:rStyle w:val="TextoNormalCaracter"/>
          </w:rPr>
          <w:t>72/2015</w:t>
        </w:r>
      </w:hyperlink>
      <w:r>
        <w:t xml:space="preserve">, f. único; </w:t>
      </w:r>
      <w:hyperlink w:anchor="AUTO_2015_77" w:history="1">
        <w:r w:rsidRPr="00DD47EB">
          <w:rPr>
            <w:rStyle w:val="TextoNormalCaracter"/>
          </w:rPr>
          <w:t>77/2015</w:t>
        </w:r>
      </w:hyperlink>
      <w:r>
        <w:t xml:space="preserve">, f. único; </w:t>
      </w:r>
      <w:hyperlink w:anchor="AUTO_2015_83" w:history="1">
        <w:r w:rsidRPr="00DD47EB">
          <w:rPr>
            <w:rStyle w:val="TextoNormalCaracter"/>
          </w:rPr>
          <w:t>83/2015</w:t>
        </w:r>
      </w:hyperlink>
      <w:r>
        <w:t>, f. único.</w:t>
      </w:r>
    </w:p>
    <w:p w:rsidR="00DD47EB" w:rsidRDefault="00DD47EB" w:rsidP="00DD47EB">
      <w:pPr>
        <w:pStyle w:val="SangriaFrancesaArticulo"/>
      </w:pPr>
    </w:p>
    <w:p w:rsidR="00DD47EB" w:rsidRDefault="00DD47EB" w:rsidP="00DD47EB">
      <w:pPr>
        <w:pStyle w:val="TextoNormalNegritaCursivandice"/>
      </w:pPr>
      <w:r>
        <w:t>Ley Orgánica 2/2006, de 3 de mayo. Educación</w:t>
      </w:r>
    </w:p>
    <w:p w:rsidR="00DD47EB" w:rsidRDefault="00DD47EB" w:rsidP="00DD47EB">
      <w:pPr>
        <w:pStyle w:val="SangriaFrancesaArticulo"/>
      </w:pPr>
      <w:r w:rsidRPr="00DD47EB">
        <w:rPr>
          <w:rStyle w:val="TextoNormalNegritaCaracter"/>
        </w:rPr>
        <w:t>Artículo 83.</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r w:rsidRPr="00DD47EB">
        <w:rPr>
          <w:rStyle w:val="TextoNormalNegritaCaracter"/>
        </w:rPr>
        <w:t>Artículo 83.3.</w:t>
      </w:r>
      <w:r w:rsidRPr="00DD47EB">
        <w:rPr>
          <w:rStyle w:val="TextoNormalCaracter"/>
        </w:rPr>
        <w:t>-</w:t>
      </w:r>
      <w:r>
        <w:t xml:space="preserve"> Sentencia </w:t>
      </w:r>
      <w:hyperlink w:anchor="SENTENCIA_2015_25" w:history="1">
        <w:r w:rsidRPr="00DD47EB">
          <w:rPr>
            <w:rStyle w:val="TextoNormalCaracter"/>
          </w:rPr>
          <w:t>25/2015</w:t>
        </w:r>
      </w:hyperlink>
      <w:r>
        <w:t>, f. 4.</w:t>
      </w:r>
    </w:p>
    <w:p w:rsidR="00DD47EB" w:rsidRDefault="00DD47EB" w:rsidP="00DD47EB">
      <w:pPr>
        <w:pStyle w:val="SangriaFrancesaArticulo"/>
      </w:pPr>
    </w:p>
    <w:p w:rsidR="00DD47EB" w:rsidRDefault="00DD47EB" w:rsidP="00DD47EB">
      <w:pPr>
        <w:pStyle w:val="TextoNormalNegritaCursivandice"/>
      </w:pPr>
      <w:r>
        <w:t>Ley Orgánica 3/2007, de 22 de marzo. Igualdad efectiva de mujeres y hombres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1, VP.</w:t>
      </w:r>
    </w:p>
    <w:p w:rsidR="00DD47EB" w:rsidRDefault="00DD47EB" w:rsidP="00DD47EB">
      <w:pPr>
        <w:pStyle w:val="SangriaFrancesaArticulo"/>
      </w:pPr>
      <w:r w:rsidRPr="00DD47EB">
        <w:rPr>
          <w:rStyle w:val="TextoNormalNegritaCaracter"/>
        </w:rPr>
        <w:t>Artículo 30.</w:t>
      </w:r>
      <w:r w:rsidRPr="00DD47EB">
        <w:rPr>
          <w:rStyle w:val="TextoNormalCaracter"/>
        </w:rPr>
        <w:t>-</w:t>
      </w:r>
      <w:r>
        <w:t xml:space="preserve"> Sentencia </w:t>
      </w:r>
      <w:hyperlink w:anchor="SENTENCIA_2015_11" w:history="1">
        <w:r w:rsidRPr="00DD47EB">
          <w:rPr>
            <w:rStyle w:val="TextoNormalCaracter"/>
          </w:rPr>
          <w:t>11/2015</w:t>
        </w:r>
      </w:hyperlink>
      <w:r>
        <w:t>, f. 2.</w:t>
      </w:r>
    </w:p>
    <w:p w:rsidR="00DD47EB" w:rsidRDefault="00DD47EB" w:rsidP="00DD47EB">
      <w:pPr>
        <w:pStyle w:val="SangriaFrancesaArticulo"/>
      </w:pPr>
    </w:p>
    <w:p w:rsidR="00DD47EB" w:rsidRDefault="00DD47EB" w:rsidP="00DD47EB">
      <w:pPr>
        <w:pStyle w:val="TextoNormalNegritaCursivandice"/>
      </w:pPr>
      <w:r>
        <w:t>Ley Orgánica 4/2007, de 12 de abril. Modificación de la Ley Orgánica 6/2001, de 21 de diciembre. Universidades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p>
    <w:p w:rsidR="00DD47EB" w:rsidRDefault="00DD47EB" w:rsidP="00DD47EB">
      <w:pPr>
        <w:pStyle w:val="TextoNormalNegritaCursivandice"/>
      </w:pPr>
      <w:r>
        <w:t>Ley Orgánica 1/2009, de 3 de noviembre. Complementaria de la Ley de reforma de la legislación procesal para la implantación de la nueva oficina judicial, por la que se modifica la Ley Orgánica 6/1985, de 1 de julio, del Poder Judicial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6" w:history="1">
        <w:r w:rsidRPr="00DD47EB">
          <w:rPr>
            <w:rStyle w:val="TextoNormalCaracter"/>
          </w:rPr>
          <w:t>46/2015</w:t>
        </w:r>
      </w:hyperlink>
      <w:r>
        <w:t>, ff. 1, 4.</w:t>
      </w:r>
    </w:p>
    <w:p w:rsidR="00DD47EB" w:rsidRDefault="00DD47EB" w:rsidP="00DD47EB">
      <w:pPr>
        <w:pStyle w:val="SangriaFrancesaArticulo"/>
      </w:pPr>
    </w:p>
    <w:p w:rsidR="00DD47EB" w:rsidRDefault="00DD47EB" w:rsidP="00DD47EB">
      <w:pPr>
        <w:pStyle w:val="TextoNormalNegritaCursivandice"/>
      </w:pPr>
      <w:r>
        <w:t>Ley Orgánica 3/2009, de 18 de diciembre. Modificación de la Ley Orgánica 8/1980, de 22 de septiembre. Financiación de las Comunidades Autónomas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2" w:history="1">
        <w:r w:rsidRPr="00DD47EB">
          <w:rPr>
            <w:rStyle w:val="TextoNormalCaracter"/>
          </w:rPr>
          <w:t>22/2015</w:t>
        </w:r>
      </w:hyperlink>
      <w:r>
        <w:t>, f. 1.</w:t>
      </w:r>
    </w:p>
    <w:p w:rsidR="00DD47EB" w:rsidRDefault="00DD47EB" w:rsidP="00DD47EB">
      <w:pPr>
        <w:pStyle w:val="SangriaFrancesaArticulo"/>
      </w:pPr>
    </w:p>
    <w:p w:rsidR="00DD47EB" w:rsidRDefault="00DD47EB" w:rsidP="00DD47EB">
      <w:pPr>
        <w:pStyle w:val="TextoNormalNegritaCursivandice"/>
      </w:pPr>
      <w:r>
        <w:t>Ley Orgánica 2/2012, de 27 de abril. Estabilidad presupuestaria y sostenibilidad financiera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4" w:history="1">
        <w:r w:rsidRPr="00DD47EB">
          <w:rPr>
            <w:rStyle w:val="TextoNormalCaracter"/>
          </w:rPr>
          <w:t>44/2015</w:t>
        </w:r>
      </w:hyperlink>
      <w:r>
        <w:t xml:space="preserve">, f. 3; </w:t>
      </w:r>
      <w:hyperlink w:anchor="SENTENCIA_2015_81" w:history="1">
        <w:r w:rsidRPr="00DD47EB">
          <w:rPr>
            <w:rStyle w:val="TextoNormalCaracter"/>
          </w:rPr>
          <w:t>81/2015</w:t>
        </w:r>
      </w:hyperlink>
      <w:r>
        <w:t xml:space="preserve">, ff. 3, 4; </w:t>
      </w:r>
      <w:hyperlink w:anchor="SENTENCIA_2015_94" w:history="1">
        <w:r w:rsidRPr="00DD47EB">
          <w:rPr>
            <w:rStyle w:val="TextoNormalCaracter"/>
          </w:rPr>
          <w:t>94/2015</w:t>
        </w:r>
      </w:hyperlink>
      <w:r>
        <w:t>, ff. 2, 4.</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102" w:history="1">
        <w:r w:rsidRPr="00DD47EB">
          <w:rPr>
            <w:rStyle w:val="TextoNormalCaracter"/>
          </w:rPr>
          <w:t>102/2015</w:t>
        </w:r>
      </w:hyperlink>
      <w:r>
        <w:t>, f. 1.</w:t>
      </w:r>
    </w:p>
    <w:p w:rsidR="00DD47EB" w:rsidRDefault="00DD47EB" w:rsidP="00DD47EB">
      <w:pPr>
        <w:pStyle w:val="TextoNormal"/>
      </w:pPr>
    </w:p>
    <w:p w:rsidR="00DD47EB" w:rsidRDefault="00DD47EB" w:rsidP="00DD47EB">
      <w:pPr>
        <w:pStyle w:val="SangriaFrancesaArticulo"/>
      </w:pPr>
      <w:bookmarkStart w:id="273" w:name="INDICE22846"/>
    </w:p>
    <w:bookmarkEnd w:id="273"/>
    <w:p w:rsidR="00DD47EB" w:rsidRDefault="00DD47EB" w:rsidP="00DD47EB">
      <w:pPr>
        <w:pStyle w:val="TextoIndiceNivel2"/>
        <w:suppressAutoHyphens/>
      </w:pPr>
      <w:r>
        <w:t>E) Leyes de las Cortes Generales</w:t>
      </w:r>
    </w:p>
    <w:p w:rsidR="00DD47EB" w:rsidRDefault="00DD47EB" w:rsidP="00DD47EB">
      <w:pPr>
        <w:pStyle w:val="TextoIndiceNivel2"/>
      </w:pPr>
    </w:p>
    <w:p w:rsidR="00DD47EB" w:rsidRDefault="00DD47EB" w:rsidP="00DD47EB">
      <w:pPr>
        <w:pStyle w:val="TextoNormalNegritaCursivandice"/>
      </w:pPr>
      <w:r>
        <w:t>Ley 8/1980, de 10 de marzo. Estatuto de los trabajadores</w:t>
      </w:r>
    </w:p>
    <w:p w:rsidR="00DD47EB" w:rsidRDefault="00DD47EB" w:rsidP="00DD47EB">
      <w:pPr>
        <w:pStyle w:val="SangriaFrancesaArticulo"/>
      </w:pPr>
      <w:r w:rsidRPr="00DD47EB">
        <w:rPr>
          <w:rStyle w:val="TextoNormalNegritaCaracter"/>
        </w:rPr>
        <w:t>Artículo 41</w:t>
      </w:r>
      <w:r>
        <w:t xml:space="preserve"> (redactado por la Ley 11/1994 de 19 de  mayo)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49.9</w:t>
      </w:r>
      <w:r>
        <w:t xml:space="preserve"> (redactado por la Ley 11/1994, de 19 de mayo)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Artículo 51</w:t>
      </w:r>
      <w:r>
        <w:t xml:space="preserve"> (redactado por la Ley 11/1994, de 19 de mayo)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p>
    <w:p w:rsidR="00DD47EB" w:rsidRDefault="00DD47EB" w:rsidP="00DD47EB">
      <w:pPr>
        <w:pStyle w:val="TextoNormalNegritaCursivandice"/>
      </w:pPr>
      <w:r>
        <w:t>Ley 23/1982, de 16 de junio. Reguladora del Patrimonio Nacional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4" w:history="1">
        <w:r w:rsidRPr="00DD47EB">
          <w:rPr>
            <w:rStyle w:val="TextoNormalCaracter"/>
          </w:rPr>
          <w:t>114/2015</w:t>
        </w:r>
      </w:hyperlink>
      <w:r>
        <w:t>, f. 2.</w:t>
      </w:r>
    </w:p>
    <w:p w:rsidR="00DD47EB" w:rsidRDefault="00DD47EB" w:rsidP="00DD47EB">
      <w:pPr>
        <w:pStyle w:val="SangriaFrancesaArticulo"/>
      </w:pPr>
    </w:p>
    <w:p w:rsidR="00DD47EB" w:rsidRDefault="00DD47EB" w:rsidP="00DD47EB">
      <w:pPr>
        <w:pStyle w:val="TextoNormalNegritaCursivandice"/>
      </w:pPr>
      <w:r>
        <w:t>Ley 12/1983, de 14 de octubre. Proceso autonómico</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73" w:history="1">
        <w:r w:rsidRPr="00DD47EB">
          <w:rPr>
            <w:rStyle w:val="TextoNormalCaracter"/>
          </w:rPr>
          <w:t>73/2015</w:t>
        </w:r>
      </w:hyperlink>
      <w:r>
        <w:t>, f. 1.</w:t>
      </w:r>
    </w:p>
    <w:p w:rsidR="00DD47EB" w:rsidRDefault="00DD47EB" w:rsidP="00DD47EB">
      <w:pPr>
        <w:pStyle w:val="SangriaFrancesaArticulo"/>
      </w:pPr>
    </w:p>
    <w:p w:rsidR="00DD47EB" w:rsidRDefault="00DD47EB" w:rsidP="00DD47EB">
      <w:pPr>
        <w:pStyle w:val="TextoNormalNegritaCursivandice"/>
      </w:pPr>
      <w:r>
        <w:t>Ley 7/1985, de 2 de abril. Reguladora de bases del régimen local</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18.1 f).</w:t>
      </w:r>
      <w:r w:rsidRPr="00DD47EB">
        <w:rPr>
          <w:rStyle w:val="TextoNormalCaracter"/>
        </w:rPr>
        <w:t>-</w:t>
      </w:r>
      <w:r>
        <w:t xml:space="preserve"> Sentencia </w:t>
      </w:r>
      <w:hyperlink w:anchor="SENTENCIA_2015_31" w:history="1">
        <w:r w:rsidRPr="00DD47EB">
          <w:rPr>
            <w:rStyle w:val="TextoNormalCaracter"/>
          </w:rPr>
          <w:t>31/2015</w:t>
        </w:r>
      </w:hyperlink>
      <w:r>
        <w:t>, f. 10.</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 </w:t>
      </w:r>
      <w:hyperlink w:anchor="SENTENCIA_2015_57" w:history="1">
        <w:r w:rsidRPr="00DD47EB">
          <w:rPr>
            <w:rStyle w:val="TextoNormalCaracter"/>
          </w:rPr>
          <w:t>57/2015</w:t>
        </w:r>
      </w:hyperlink>
      <w:r>
        <w:t>, f. 5.</w:t>
      </w:r>
    </w:p>
    <w:p w:rsidR="00DD47EB" w:rsidRDefault="00DD47EB" w:rsidP="00DD47EB">
      <w:pPr>
        <w:pStyle w:val="SangriaFrancesaArticulo"/>
      </w:pPr>
      <w:r w:rsidRPr="00DD47EB">
        <w:rPr>
          <w:rStyle w:val="TextoNormalNegritaCaracter"/>
        </w:rPr>
        <w:t>Artículo 25 d).</w:t>
      </w:r>
      <w:r w:rsidRPr="00DD47EB">
        <w:rPr>
          <w:rStyle w:val="TextoNormalCaracter"/>
        </w:rPr>
        <w:t>-</w:t>
      </w:r>
      <w:r>
        <w:t xml:space="preserve"> Sentencia </w:t>
      </w:r>
      <w:hyperlink w:anchor="SENTENCIA_2015_57" w:history="1">
        <w:r w:rsidRPr="00DD47EB">
          <w:rPr>
            <w:rStyle w:val="TextoNormalCaracter"/>
          </w:rPr>
          <w:t>57/2015</w:t>
        </w:r>
      </w:hyperlink>
      <w:r>
        <w:t>, f. 5.</w:t>
      </w:r>
    </w:p>
    <w:p w:rsidR="00DD47EB" w:rsidRDefault="00DD47EB" w:rsidP="00DD47EB">
      <w:pPr>
        <w:pStyle w:val="SangriaFrancesaArticulo"/>
      </w:pPr>
      <w:r w:rsidRPr="00DD47EB">
        <w:rPr>
          <w:rStyle w:val="TextoNormalNegritaCaracter"/>
        </w:rPr>
        <w:t>Artículo 25 f).</w:t>
      </w:r>
      <w:r w:rsidRPr="00DD47EB">
        <w:rPr>
          <w:rStyle w:val="TextoNormalCaracter"/>
        </w:rPr>
        <w:t>-</w:t>
      </w:r>
      <w:r>
        <w:t xml:space="preserve"> Sentencia </w:t>
      </w:r>
      <w:hyperlink w:anchor="SENTENCIA_2015_57" w:history="1">
        <w:r w:rsidRPr="00DD47EB">
          <w:rPr>
            <w:rStyle w:val="TextoNormalCaracter"/>
          </w:rPr>
          <w:t>57/2015</w:t>
        </w:r>
      </w:hyperlink>
      <w:r>
        <w:t>, f. 5.</w:t>
      </w:r>
    </w:p>
    <w:p w:rsidR="00DD47EB" w:rsidRDefault="00DD47EB" w:rsidP="00DD47EB">
      <w:pPr>
        <w:pStyle w:val="SangriaFrancesaArticulo"/>
      </w:pPr>
      <w:r w:rsidRPr="00DD47EB">
        <w:rPr>
          <w:rStyle w:val="TextoNormalNegritaCaracter"/>
        </w:rPr>
        <w:t>Artículo 25.2 a)</w:t>
      </w:r>
      <w:r>
        <w:t xml:space="preserve"> (redactado por la Ley 27/2013, de 27 de diciembre)</w:t>
      </w:r>
      <w:r w:rsidRPr="00DD47EB">
        <w:rPr>
          <w:rStyle w:val="TextoNormalNegritaCaracter"/>
        </w:rPr>
        <w:t>.</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25.2 b)</w:t>
      </w:r>
      <w:r>
        <w:t xml:space="preserve"> (redactado por la Ley 27/2013, de 27 de diciembre)</w:t>
      </w:r>
      <w:r w:rsidRPr="00DD47EB">
        <w:rPr>
          <w:rStyle w:val="TextoNormalNegritaCaracter"/>
        </w:rPr>
        <w:t>.</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25.2 c).</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57.</w:t>
      </w:r>
      <w:r w:rsidRPr="00DD47EB">
        <w:rPr>
          <w:rStyle w:val="TextoNormalCaracter"/>
        </w:rPr>
        <w:t>-</w:t>
      </w:r>
      <w:r>
        <w:t xml:space="preserve"> Sentencia </w:t>
      </w:r>
      <w:hyperlink w:anchor="SENTENCIA_2015_103" w:history="1">
        <w:r w:rsidRPr="00DD47EB">
          <w:rPr>
            <w:rStyle w:val="TextoNormalCaracter"/>
          </w:rPr>
          <w:t>103/2015</w:t>
        </w:r>
      </w:hyperlink>
      <w:r>
        <w:t>, f. 8.</w:t>
      </w:r>
    </w:p>
    <w:p w:rsidR="00DD47EB" w:rsidRDefault="00DD47EB" w:rsidP="00DD47EB">
      <w:pPr>
        <w:pStyle w:val="SangriaFrancesaArticulo"/>
      </w:pPr>
      <w:r w:rsidRPr="00DD47EB">
        <w:rPr>
          <w:rStyle w:val="TextoNormalNegritaCaracter"/>
        </w:rPr>
        <w:t>Artículo 58.2.</w:t>
      </w:r>
      <w:r w:rsidRPr="00DD47EB">
        <w:rPr>
          <w:rStyle w:val="TextoNormalCaracter"/>
        </w:rPr>
        <w:t>-</w:t>
      </w:r>
      <w:r>
        <w:t xml:space="preserve"> Sentencia </w:t>
      </w:r>
      <w:hyperlink w:anchor="SENTENCIA_2015_57" w:history="1">
        <w:r w:rsidRPr="00DD47EB">
          <w:rPr>
            <w:rStyle w:val="TextoNormalCaracter"/>
          </w:rPr>
          <w:t>57/2015</w:t>
        </w:r>
      </w:hyperlink>
      <w:r>
        <w:t>, f. 10.</w:t>
      </w:r>
    </w:p>
    <w:p w:rsidR="00DD47EB" w:rsidRDefault="00DD47EB" w:rsidP="00DD47EB">
      <w:pPr>
        <w:pStyle w:val="SangriaFrancesaArticulo"/>
      </w:pPr>
      <w:r w:rsidRPr="00DD47EB">
        <w:rPr>
          <w:rStyle w:val="TextoNormalNegritaCaracter"/>
        </w:rPr>
        <w:t>Artículo 58.2 inciso 2.</w:t>
      </w:r>
      <w:r w:rsidRPr="00DD47EB">
        <w:rPr>
          <w:rStyle w:val="TextoNormalCaracter"/>
        </w:rPr>
        <w:t>-</w:t>
      </w:r>
      <w:r>
        <w:t xml:space="preserve"> Sentencia </w:t>
      </w:r>
      <w:hyperlink w:anchor="SENTENCIA_2015_57" w:history="1">
        <w:r w:rsidRPr="00DD47EB">
          <w:rPr>
            <w:rStyle w:val="TextoNormalCaracter"/>
          </w:rPr>
          <w:t>57/2015</w:t>
        </w:r>
      </w:hyperlink>
      <w:r>
        <w:t>, f. 6.</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Sentencias </w:t>
      </w:r>
      <w:hyperlink w:anchor="SENTENCIA_2015_31" w:history="1">
        <w:r w:rsidRPr="00DD47EB">
          <w:rPr>
            <w:rStyle w:val="TextoNormalCaracter"/>
          </w:rPr>
          <w:t>31/2015</w:t>
        </w:r>
      </w:hyperlink>
      <w:r>
        <w:t xml:space="preserve">, ff. 2, 6, 10; </w:t>
      </w:r>
      <w:hyperlink w:anchor="SENTENCIA_2015_137" w:history="1">
        <w:r w:rsidRPr="00DD47EB">
          <w:rPr>
            <w:rStyle w:val="TextoNormalCaracter"/>
          </w:rPr>
          <w:t>137/2015</w:t>
        </w:r>
      </w:hyperlink>
      <w:r>
        <w:t>, f. 4.</w:t>
      </w:r>
    </w:p>
    <w:p w:rsidR="00DD47EB" w:rsidRDefault="00DD47EB" w:rsidP="00DD47EB">
      <w:pPr>
        <w:pStyle w:val="SangriaFrancesaArticulo"/>
      </w:pPr>
      <w:r w:rsidRPr="00DD47EB">
        <w:rPr>
          <w:rStyle w:val="TextoNormalNegritaCaracter"/>
        </w:rPr>
        <w:t>Artículo 85.</w:t>
      </w:r>
      <w:r w:rsidRPr="00DD47EB">
        <w:rPr>
          <w:rStyle w:val="TextoNormalCaracter"/>
        </w:rPr>
        <w:t>-</w:t>
      </w:r>
      <w:r>
        <w:t xml:space="preserve"> Sentencia </w:t>
      </w:r>
      <w:hyperlink w:anchor="SENTENCIA_2015_103" w:history="1">
        <w:r w:rsidRPr="00DD47EB">
          <w:rPr>
            <w:rStyle w:val="TextoNormalCaracter"/>
          </w:rPr>
          <w:t>103/2015</w:t>
        </w:r>
      </w:hyperlink>
      <w:r>
        <w:t>, f. 5.</w:t>
      </w:r>
    </w:p>
    <w:p w:rsidR="00DD47EB" w:rsidRDefault="00DD47EB" w:rsidP="00DD47EB">
      <w:pPr>
        <w:pStyle w:val="SangriaFrancesaArticulo"/>
      </w:pPr>
    </w:p>
    <w:p w:rsidR="00DD47EB" w:rsidRDefault="00DD47EB" w:rsidP="00DD47EB">
      <w:pPr>
        <w:pStyle w:val="TextoNormalNegritaCursivandice"/>
      </w:pPr>
      <w:r>
        <w:t>Ley 31/1985, de 2 de agosto. Órganos rectores de las cajas de ahorro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p>
    <w:p w:rsidR="00DD47EB" w:rsidRDefault="00DD47EB" w:rsidP="00DD47EB">
      <w:pPr>
        <w:pStyle w:val="TextoNormalNegritaCursivandice"/>
      </w:pPr>
      <w:r>
        <w:t>Ley 36/1985, de 6 de noviembre. Regulación de las relaciones entre la Institución del Defensor del Pueblo y las figuras similares en las distintas Comunidades Autónomas</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p>
    <w:p w:rsidR="00DD47EB" w:rsidRDefault="00DD47EB" w:rsidP="00DD47EB">
      <w:pPr>
        <w:pStyle w:val="TextoNormalNegritaCursivandice"/>
      </w:pPr>
      <w:r>
        <w:t>Ley 14/1986, de 25 de abril. General de sanidad</w:t>
      </w:r>
    </w:p>
    <w:p w:rsidR="00DD47EB" w:rsidRDefault="00DD47EB" w:rsidP="00DD47EB">
      <w:pPr>
        <w:pStyle w:val="SangriaFrancesaArticulo"/>
      </w:pPr>
      <w:r w:rsidRPr="00DD47EB">
        <w:rPr>
          <w:rStyle w:val="TextoNormalNegritaCaracter"/>
        </w:rPr>
        <w:t>Artículo 67.</w:t>
      </w:r>
      <w:r w:rsidRPr="00DD47EB">
        <w:rPr>
          <w:rStyle w:val="TextoNormalCaracter"/>
        </w:rPr>
        <w:t>-</w:t>
      </w:r>
      <w:r>
        <w:t xml:space="preserve"> Sentencia </w:t>
      </w:r>
      <w:hyperlink w:anchor="SENTENCIA_2015_84" w:history="1">
        <w:r w:rsidRPr="00DD47EB">
          <w:rPr>
            <w:rStyle w:val="TextoNormalCaracter"/>
          </w:rPr>
          <w:t>84/2015</w:t>
        </w:r>
      </w:hyperlink>
      <w:r>
        <w:t>, f. 7.</w:t>
      </w:r>
    </w:p>
    <w:p w:rsidR="00DD47EB" w:rsidRDefault="00DD47EB" w:rsidP="00DD47EB">
      <w:pPr>
        <w:pStyle w:val="SangriaFrancesaArticulo"/>
      </w:pPr>
      <w:r w:rsidRPr="00DD47EB">
        <w:rPr>
          <w:rStyle w:val="TextoNormalNegritaCaracter"/>
        </w:rPr>
        <w:t>Artículo 90.</w:t>
      </w:r>
      <w:r w:rsidRPr="00DD47EB">
        <w:rPr>
          <w:rStyle w:val="TextoNormalCaracter"/>
        </w:rPr>
        <w:t>-</w:t>
      </w:r>
      <w:r>
        <w:t xml:space="preserve"> Sentencia </w:t>
      </w:r>
      <w:hyperlink w:anchor="SENTENCIA_2015_84" w:history="1">
        <w:r w:rsidRPr="00DD47EB">
          <w:rPr>
            <w:rStyle w:val="TextoNormalCaracter"/>
          </w:rPr>
          <w:t>84/2015</w:t>
        </w:r>
      </w:hyperlink>
      <w:r>
        <w:t>, f. 7.</w:t>
      </w:r>
    </w:p>
    <w:p w:rsidR="00DD47EB" w:rsidRDefault="00DD47EB" w:rsidP="00DD47EB">
      <w:pPr>
        <w:pStyle w:val="SangriaFrancesaArticulo"/>
      </w:pPr>
      <w:r w:rsidRPr="00DD47EB">
        <w:rPr>
          <w:rStyle w:val="TextoNormalNegritaCaracter"/>
        </w:rPr>
        <w:t>Artículo 103.2.</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p>
    <w:p w:rsidR="00DD47EB" w:rsidRDefault="00DD47EB" w:rsidP="00DD47EB">
      <w:pPr>
        <w:pStyle w:val="TextoNormalNegritaCursivandice"/>
      </w:pPr>
      <w:r>
        <w:t>Ley 29/1987, de 18 de diciembre. Impuesto sobre sucesiones y donaciones</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5 a).</w:t>
      </w:r>
      <w:r w:rsidRPr="00DD47EB">
        <w:rPr>
          <w:rStyle w:val="TextoNormalCaracter"/>
        </w:rPr>
        <w:t>-</w:t>
      </w:r>
      <w:r>
        <w:t xml:space="preserve"> Sentencia </w:t>
      </w:r>
      <w:hyperlink w:anchor="SENTENCIA_2015_60" w:history="1">
        <w:r w:rsidRPr="00DD47EB">
          <w:rPr>
            <w:rStyle w:val="TextoNormalCaracter"/>
          </w:rPr>
          <w:t>60/2015</w:t>
        </w:r>
      </w:hyperlink>
      <w:r>
        <w:t>, ff. 2, 5.</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Sentencia </w:t>
      </w:r>
      <w:hyperlink w:anchor="SENTENCIA_2015_60" w:history="1">
        <w:r w:rsidRPr="00DD47EB">
          <w:rPr>
            <w:rStyle w:val="TextoNormalCaracter"/>
          </w:rPr>
          <w:t>60/2015</w:t>
        </w:r>
      </w:hyperlink>
      <w:r>
        <w:t>, f. 3.</w:t>
      </w:r>
    </w:p>
    <w:p w:rsidR="00DD47EB" w:rsidRDefault="00DD47EB" w:rsidP="00DD47EB">
      <w:pPr>
        <w:pStyle w:val="SangriaFrancesaArticulo"/>
      </w:pPr>
      <w:r w:rsidRPr="00DD47EB">
        <w:rPr>
          <w:rStyle w:val="TextoNormalNegritaCaracter"/>
        </w:rPr>
        <w:t>Artículo 20.2 a).</w:t>
      </w:r>
      <w:r w:rsidRPr="00DD47EB">
        <w:rPr>
          <w:rStyle w:val="TextoNormalCaracter"/>
        </w:rPr>
        <w:t>-</w:t>
      </w:r>
      <w:r>
        <w:t xml:space="preserve"> Sentencia </w:t>
      </w:r>
      <w:hyperlink w:anchor="SENTENCIA_2015_60" w:history="1">
        <w:r w:rsidRPr="00DD47EB">
          <w:rPr>
            <w:rStyle w:val="TextoNormalCaracter"/>
          </w:rPr>
          <w:t>60/2015</w:t>
        </w:r>
      </w:hyperlink>
      <w:r>
        <w:t>, ff. 2, 3, 6.</w:t>
      </w:r>
    </w:p>
    <w:p w:rsidR="00DD47EB" w:rsidRDefault="00DD47EB" w:rsidP="00DD47EB">
      <w:pPr>
        <w:pStyle w:val="SangriaFrancesaArticulo"/>
      </w:pPr>
    </w:p>
    <w:p w:rsidR="00DD47EB" w:rsidRDefault="00DD47EB" w:rsidP="00DD47EB">
      <w:pPr>
        <w:pStyle w:val="TextoNormalNegritaCursivandice"/>
      </w:pPr>
      <w:r>
        <w:t>Ley 22/1988, de 28 de julio. Costas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ff. 1, 2, 4.</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5" w:history="1">
        <w:r w:rsidRPr="00DD47EB">
          <w:rPr>
            <w:rStyle w:val="TextoNormalCaracter"/>
          </w:rPr>
          <w:t>5/2015</w:t>
        </w:r>
      </w:hyperlink>
      <w:r>
        <w:t>, f. 6.</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5" w:history="1">
        <w:r w:rsidRPr="00DD47EB">
          <w:rPr>
            <w:rStyle w:val="TextoNormalCaracter"/>
          </w:rPr>
          <w:t>5/2015</w:t>
        </w:r>
      </w:hyperlink>
      <w:r>
        <w:t>, f. 6.</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5" w:history="1">
        <w:r w:rsidRPr="00DD47EB">
          <w:rPr>
            <w:rStyle w:val="TextoNormalCaracter"/>
          </w:rPr>
          <w:t>5/2015</w:t>
        </w:r>
      </w:hyperlink>
      <w:r>
        <w:t>, ff. 2 a 4.</w:t>
      </w:r>
    </w:p>
    <w:p w:rsidR="00DD47EB" w:rsidRDefault="00DD47EB" w:rsidP="00DD47EB">
      <w:pPr>
        <w:pStyle w:val="SangriaFrancesaArticulo"/>
      </w:pPr>
      <w:r w:rsidRPr="00DD47EB">
        <w:rPr>
          <w:rStyle w:val="TextoNormalNegritaCaracter"/>
        </w:rPr>
        <w:t>Disposición transitoria tercera, apartado 1.</w:t>
      </w:r>
      <w:r w:rsidRPr="00DD47EB">
        <w:rPr>
          <w:rStyle w:val="TextoNormalCaracter"/>
        </w:rPr>
        <w:t>-</w:t>
      </w:r>
      <w:r>
        <w:t xml:space="preserve"> Sentencia </w:t>
      </w:r>
      <w:hyperlink w:anchor="SENTENCIA_2015_5" w:history="1">
        <w:r w:rsidRPr="00DD47EB">
          <w:rPr>
            <w:rStyle w:val="TextoNormalCaracter"/>
          </w:rPr>
          <w:t>5/2015</w:t>
        </w:r>
      </w:hyperlink>
      <w:r>
        <w:t>, ff. 3, 5.</w:t>
      </w:r>
    </w:p>
    <w:p w:rsidR="00DD47EB" w:rsidRDefault="00DD47EB" w:rsidP="00DD47EB">
      <w:pPr>
        <w:pStyle w:val="SangriaFrancesaArticulo"/>
      </w:pPr>
      <w:r w:rsidRPr="00DD47EB">
        <w:rPr>
          <w:rStyle w:val="TextoNormalNegritaCaracter"/>
        </w:rPr>
        <w:t>Disposición transitoria tercera, apartado 2.</w:t>
      </w:r>
      <w:r w:rsidRPr="00DD47EB">
        <w:rPr>
          <w:rStyle w:val="TextoNormalCaracter"/>
        </w:rPr>
        <w:t>-</w:t>
      </w:r>
      <w:r>
        <w:t xml:space="preserve"> Sentencia </w:t>
      </w:r>
      <w:hyperlink w:anchor="SENTENCIA_2015_5" w:history="1">
        <w:r w:rsidRPr="00DD47EB">
          <w:rPr>
            <w:rStyle w:val="TextoNormalCaracter"/>
          </w:rPr>
          <w:t>5/2015</w:t>
        </w:r>
      </w:hyperlink>
      <w:r>
        <w:t>, f. 3.</w:t>
      </w:r>
    </w:p>
    <w:p w:rsidR="00DD47EB" w:rsidRDefault="00DD47EB" w:rsidP="00DD47EB">
      <w:pPr>
        <w:pStyle w:val="SangriaFrancesaArticulo"/>
      </w:pPr>
      <w:r w:rsidRPr="00DD47EB">
        <w:rPr>
          <w:rStyle w:val="TextoNormalNegritaCaracter"/>
        </w:rPr>
        <w:t>Disposición transitoria tercera, apartado 3.</w:t>
      </w:r>
      <w:r w:rsidRPr="00DD47EB">
        <w:rPr>
          <w:rStyle w:val="TextoNormalCaracter"/>
        </w:rPr>
        <w:t>-</w:t>
      </w:r>
      <w:r>
        <w:t xml:space="preserve"> Sentencia </w:t>
      </w:r>
      <w:hyperlink w:anchor="SENTENCIA_2015_5" w:history="1">
        <w:r w:rsidRPr="00DD47EB">
          <w:rPr>
            <w:rStyle w:val="TextoNormalCaracter"/>
          </w:rPr>
          <w:t>5/2015</w:t>
        </w:r>
      </w:hyperlink>
      <w:r>
        <w:t>, ff. 2, 5.</w:t>
      </w:r>
    </w:p>
    <w:p w:rsidR="00DD47EB" w:rsidRDefault="00DD47EB" w:rsidP="00DD47EB">
      <w:pPr>
        <w:pStyle w:val="SangriaFrancesaArticulo"/>
      </w:pPr>
    </w:p>
    <w:p w:rsidR="00DD47EB" w:rsidRDefault="00DD47EB" w:rsidP="00DD47EB">
      <w:pPr>
        <w:pStyle w:val="TextoNormalNegritaCursivandice"/>
      </w:pPr>
      <w:r>
        <w:t>Ley 24/1988, de 28 de julio. Mercado de valores</w:t>
      </w:r>
    </w:p>
    <w:p w:rsidR="00DD47EB" w:rsidRDefault="00DD47EB" w:rsidP="00DD47EB">
      <w:pPr>
        <w:pStyle w:val="SangriaFrancesaArticulo"/>
      </w:pPr>
      <w:r w:rsidRPr="00DD47EB">
        <w:rPr>
          <w:rStyle w:val="TextoNormalNegritaCaracter"/>
        </w:rPr>
        <w:t>Artículo 81.</w:t>
      </w:r>
      <w:r w:rsidRPr="00DD47EB">
        <w:rPr>
          <w:rStyle w:val="TextoNormalCaracter"/>
        </w:rPr>
        <w:t>-</w:t>
      </w:r>
      <w:r>
        <w:t xml:space="preserve"> Sentencia </w:t>
      </w:r>
      <w:hyperlink w:anchor="SENTENCIA_2015_2" w:history="1">
        <w:r w:rsidRPr="00DD47EB">
          <w:rPr>
            <w:rStyle w:val="TextoNormalCaracter"/>
          </w:rPr>
          <w:t>2/2015</w:t>
        </w:r>
      </w:hyperlink>
      <w:r>
        <w:t>, ff. 1, 9.</w:t>
      </w:r>
    </w:p>
    <w:p w:rsidR="00DD47EB" w:rsidRDefault="00DD47EB" w:rsidP="00DD47EB">
      <w:pPr>
        <w:pStyle w:val="SangriaFrancesaArticulo"/>
      </w:pPr>
    </w:p>
    <w:p w:rsidR="00DD47EB" w:rsidRDefault="00DD47EB" w:rsidP="00DD47EB">
      <w:pPr>
        <w:pStyle w:val="TextoNormalNegritaCursivandice"/>
      </w:pPr>
      <w:r>
        <w:t>Ley 4/1989, de 27 de marzo. Conservación de los espacios naturales y de la flora y fauna silvestres</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57" w:history="1">
        <w:r w:rsidRPr="00DD47EB">
          <w:rPr>
            <w:rStyle w:val="TextoNormalCaracter"/>
          </w:rPr>
          <w:t>57/2015</w:t>
        </w:r>
      </w:hyperlink>
      <w:r>
        <w:t>, f. 3.</w:t>
      </w:r>
    </w:p>
    <w:p w:rsidR="00DD47EB" w:rsidRDefault="00DD47EB" w:rsidP="00DD47EB">
      <w:pPr>
        <w:pStyle w:val="SangriaFrancesaArticulo"/>
      </w:pPr>
    </w:p>
    <w:p w:rsidR="00DD47EB" w:rsidRDefault="00DD47EB" w:rsidP="00DD47EB">
      <w:pPr>
        <w:pStyle w:val="TextoNormalNegritaCursivandice"/>
      </w:pPr>
      <w:r>
        <w:t>Ley 18/1989, de 25 de julio. Bases sobre tráfico, circulación de vehículos a motor y seguridad vial</w:t>
      </w:r>
    </w:p>
    <w:p w:rsidR="00DD47EB" w:rsidRDefault="00DD47EB" w:rsidP="00DD47EB">
      <w:pPr>
        <w:pStyle w:val="SangriaFrancesaArticulo"/>
      </w:pPr>
      <w:r w:rsidRPr="00DD47EB">
        <w:rPr>
          <w:rStyle w:val="TextoNormalNegritaCaracter"/>
        </w:rPr>
        <w:t>Artículo 72.3.</w:t>
      </w:r>
      <w:r w:rsidRPr="00DD47EB">
        <w:rPr>
          <w:rStyle w:val="TextoNormalCaracter"/>
        </w:rPr>
        <w:t>-</w:t>
      </w:r>
      <w:r>
        <w:t xml:space="preserve"> Sentencia </w:t>
      </w:r>
      <w:hyperlink w:anchor="SENTENCIA_2015_21" w:history="1">
        <w:r w:rsidRPr="00DD47EB">
          <w:rPr>
            <w:rStyle w:val="TextoNormalCaracter"/>
          </w:rPr>
          <w:t>21/2015</w:t>
        </w:r>
      </w:hyperlink>
      <w:r>
        <w:t>, f. 3.</w:t>
      </w:r>
    </w:p>
    <w:p w:rsidR="00DD47EB" w:rsidRDefault="00DD47EB" w:rsidP="00DD47EB">
      <w:pPr>
        <w:pStyle w:val="SangriaFrancesaArticulo"/>
      </w:pPr>
    </w:p>
    <w:p w:rsidR="00DD47EB" w:rsidRDefault="00DD47EB" w:rsidP="00DD47EB">
      <w:pPr>
        <w:pStyle w:val="TextoNormalNegritaCursivandice"/>
      </w:pPr>
      <w:r>
        <w:t>Ley 25/1990, de 20 de diciembre. Medicamento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4" w:history="1">
        <w:r w:rsidRPr="00DD47EB">
          <w:rPr>
            <w:rStyle w:val="TextoNormalCaracter"/>
          </w:rPr>
          <w:t>44/2015</w:t>
        </w:r>
      </w:hyperlink>
      <w:r>
        <w:t xml:space="preserve">, ff. 3, 5; </w:t>
      </w:r>
      <w:hyperlink w:anchor="SENTENCIA_2015_62" w:history="1">
        <w:r w:rsidRPr="00DD47EB">
          <w:rPr>
            <w:rStyle w:val="TextoNormalCaracter"/>
          </w:rPr>
          <w:t>62/2015</w:t>
        </w:r>
      </w:hyperlink>
      <w:r>
        <w:t>, f. 1.</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f. 3.</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r w:rsidRPr="00DD47EB">
        <w:rPr>
          <w:rStyle w:val="TextoNormalNegritaCaracter"/>
        </w:rPr>
        <w:t>Artículo 88.1 d).</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94.1.</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r w:rsidRPr="00DD47EB">
        <w:rPr>
          <w:rStyle w:val="TextoNormalNegritaCaracter"/>
        </w:rPr>
        <w:t>Disposición adicional novena</w:t>
      </w:r>
      <w:r>
        <w:t xml:space="preserve"> (redactada por la Ley 2/2004, de 27 de diciembre)</w:t>
      </w:r>
      <w:r w:rsidRPr="00DD47EB">
        <w:rPr>
          <w:rStyle w:val="TextoNormalNegritaCaracter"/>
        </w:rPr>
        <w:t>.</w:t>
      </w:r>
      <w:r w:rsidRPr="00DD47EB">
        <w:rPr>
          <w:rStyle w:val="TextoNormalCaracter"/>
        </w:rPr>
        <w:t>-</w:t>
      </w:r>
      <w:r>
        <w:t xml:space="preserve"> Sentencias </w:t>
      </w:r>
      <w:hyperlink w:anchor="SENTENCIA_2015_44" w:history="1">
        <w:r w:rsidRPr="00DD47EB">
          <w:rPr>
            <w:rStyle w:val="TextoNormalCaracter"/>
          </w:rPr>
          <w:t>44/2015</w:t>
        </w:r>
      </w:hyperlink>
      <w:r>
        <w:t xml:space="preserve">, ff. 3, 5; </w:t>
      </w:r>
      <w:hyperlink w:anchor="SENTENCIA_2015_62" w:history="1">
        <w:r w:rsidRPr="00DD47EB">
          <w:rPr>
            <w:rStyle w:val="TextoNormalCaracter"/>
          </w:rPr>
          <w:t>62/2015</w:t>
        </w:r>
      </w:hyperlink>
      <w:r>
        <w:t>, ff. 1, 2.</w:t>
      </w:r>
    </w:p>
    <w:p w:rsidR="00DD47EB" w:rsidRDefault="00DD47EB" w:rsidP="00DD47EB">
      <w:pPr>
        <w:pStyle w:val="SangriaFrancesaArticulo"/>
      </w:pPr>
      <w:r w:rsidRPr="00DD47EB">
        <w:rPr>
          <w:rStyle w:val="TextoNormalNegritaCaracter"/>
        </w:rPr>
        <w:t>Disposición adicional novena</w:t>
      </w:r>
      <w:r>
        <w:t xml:space="preserve"> (redactada por la Ley 29/2006, de 26 de julio)</w:t>
      </w:r>
      <w:r w:rsidRPr="00DD47EB">
        <w:rPr>
          <w:rStyle w:val="TextoNormalNegritaCaracter"/>
        </w:rPr>
        <w:t>.</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f. 2.</w:t>
      </w:r>
    </w:p>
    <w:p w:rsidR="00DD47EB" w:rsidRDefault="00DD47EB" w:rsidP="00DD47EB">
      <w:pPr>
        <w:pStyle w:val="SangriaFrancesaArticulo"/>
      </w:pPr>
    </w:p>
    <w:p w:rsidR="00DD47EB" w:rsidRDefault="00DD47EB" w:rsidP="00DD47EB">
      <w:pPr>
        <w:pStyle w:val="TextoNormalNegritaCursivandice"/>
      </w:pPr>
      <w:r>
        <w:t>Ley 30/1992, de 26 de noviembre. Régimen jurídico de las Administraciones públicas y del procedimiento administrativo común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4" w:history="1">
        <w:r w:rsidRPr="00DD47EB">
          <w:rPr>
            <w:rStyle w:val="TextoNormalCaracter"/>
          </w:rPr>
          <w:t>24/2015</w:t>
        </w:r>
      </w:hyperlink>
      <w:r>
        <w:t>, f. 3.</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03" w:history="1">
        <w:r w:rsidRPr="00DD47EB">
          <w:rPr>
            <w:rStyle w:val="TextoNormalCaracter"/>
          </w:rPr>
          <w:t>103/2015</w:t>
        </w:r>
      </w:hyperlink>
      <w:r>
        <w:t>, f. 8.</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103" w:history="1">
        <w:r w:rsidRPr="00DD47EB">
          <w:rPr>
            <w:rStyle w:val="TextoNormalCaracter"/>
          </w:rPr>
          <w:t>103/2015</w:t>
        </w:r>
      </w:hyperlink>
      <w:r>
        <w:t>, f. 8.</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103" w:history="1">
        <w:r w:rsidRPr="00DD47EB">
          <w:rPr>
            <w:rStyle w:val="TextoNormalCaracter"/>
          </w:rPr>
          <w:t>103/2015</w:t>
        </w:r>
      </w:hyperlink>
      <w:r>
        <w:t>, f. 8.</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103" w:history="1">
        <w:r w:rsidRPr="00DD47EB">
          <w:rPr>
            <w:rStyle w:val="TextoNormalCaracter"/>
          </w:rPr>
          <w:t>103/2015</w:t>
        </w:r>
      </w:hyperlink>
      <w:r>
        <w:t>, ff. 5, 8.</w:t>
      </w:r>
    </w:p>
    <w:p w:rsidR="00DD47EB" w:rsidRDefault="00DD47EB" w:rsidP="00DD47EB">
      <w:pPr>
        <w:pStyle w:val="SangriaFrancesaArticulo"/>
      </w:pPr>
      <w:r w:rsidRPr="00DD47EB">
        <w:rPr>
          <w:rStyle w:val="TextoNormalNegritaCaracter"/>
        </w:rPr>
        <w:t>Artículo 15.4.</w:t>
      </w:r>
      <w:r w:rsidRPr="00DD47EB">
        <w:rPr>
          <w:rStyle w:val="TextoNormalCaracter"/>
        </w:rPr>
        <w:t>-</w:t>
      </w:r>
      <w:r>
        <w:t xml:space="preserve"> Sentencia </w:t>
      </w:r>
      <w:hyperlink w:anchor="SENTENCIA_2015_103" w:history="1">
        <w:r w:rsidRPr="00DD47EB">
          <w:rPr>
            <w:rStyle w:val="TextoNormalCaracter"/>
          </w:rPr>
          <w:t>103/2015</w:t>
        </w:r>
      </w:hyperlink>
      <w:r>
        <w:t>, f. 8.</w:t>
      </w:r>
    </w:p>
    <w:p w:rsidR="00DD47EB" w:rsidRDefault="00DD47EB" w:rsidP="00DD47EB">
      <w:pPr>
        <w:pStyle w:val="SangriaFrancesaArticulo"/>
      </w:pPr>
      <w:r w:rsidRPr="00DD47EB">
        <w:rPr>
          <w:rStyle w:val="TextoNormalNegritaCaracter"/>
        </w:rPr>
        <w:t>Artículo 34.</w:t>
      </w:r>
      <w:r w:rsidRPr="00DD47EB">
        <w:rPr>
          <w:rStyle w:val="TextoNormalCaracter"/>
        </w:rPr>
        <w:t>-</w:t>
      </w:r>
      <w:r>
        <w:t xml:space="preserve"> Sentencia </w:t>
      </w:r>
      <w:hyperlink w:anchor="SENTENCIA_2015_57" w:history="1">
        <w:r w:rsidRPr="00DD47EB">
          <w:rPr>
            <w:rStyle w:val="TextoNormalCaracter"/>
          </w:rPr>
          <w:t>57/2015</w:t>
        </w:r>
      </w:hyperlink>
      <w:r>
        <w:t>, f. 23.</w:t>
      </w:r>
    </w:p>
    <w:p w:rsidR="00DD47EB" w:rsidRDefault="00DD47EB" w:rsidP="00DD47EB">
      <w:pPr>
        <w:pStyle w:val="SangriaFrancesaArticulo"/>
      </w:pPr>
      <w:r w:rsidRPr="00DD47EB">
        <w:rPr>
          <w:rStyle w:val="TextoNormalNegritaCaracter"/>
        </w:rPr>
        <w:t>Artículo 36.3.</w:t>
      </w:r>
      <w:r w:rsidRPr="00DD47EB">
        <w:rPr>
          <w:rStyle w:val="TextoNormalCaracter"/>
        </w:rPr>
        <w:t>-</w:t>
      </w:r>
      <w:r>
        <w:t xml:space="preserve"> Auto </w:t>
      </w:r>
      <w:hyperlink w:anchor="AUTO_2015_102" w:history="1">
        <w:r w:rsidRPr="00DD47EB">
          <w:rPr>
            <w:rStyle w:val="TextoNormalCaracter"/>
          </w:rPr>
          <w:t>102/2015</w:t>
        </w:r>
      </w:hyperlink>
      <w:r>
        <w:t>, f. 2.</w:t>
      </w:r>
    </w:p>
    <w:p w:rsidR="00DD47EB" w:rsidRDefault="00DD47EB" w:rsidP="00DD47EB">
      <w:pPr>
        <w:pStyle w:val="SangriaFrancesaArticulo"/>
      </w:pPr>
      <w:r w:rsidRPr="00DD47EB">
        <w:rPr>
          <w:rStyle w:val="TextoNormalNegritaCaracter"/>
        </w:rPr>
        <w:t>Artículo 71 bis.</w:t>
      </w:r>
      <w:r w:rsidRPr="00DD47EB">
        <w:rPr>
          <w:rStyle w:val="TextoNormalCaracter"/>
        </w:rPr>
        <w:t>-</w:t>
      </w:r>
      <w:r>
        <w:t xml:space="preserve"> Sentencia </w:t>
      </w:r>
      <w:hyperlink w:anchor="SENTENCIA_2015_5" w:history="1">
        <w:r w:rsidRPr="00DD47EB">
          <w:rPr>
            <w:rStyle w:val="TextoNormalCaracter"/>
          </w:rPr>
          <w:t>5/2015</w:t>
        </w:r>
      </w:hyperlink>
      <w:r>
        <w:t>, f. 3.</w:t>
      </w:r>
    </w:p>
    <w:p w:rsidR="00DD47EB" w:rsidRDefault="00DD47EB" w:rsidP="00DD47EB">
      <w:pPr>
        <w:pStyle w:val="SangriaFrancesaArticulo"/>
      </w:pPr>
      <w:r w:rsidRPr="00DD47EB">
        <w:rPr>
          <w:rStyle w:val="TextoNormalNegritaCaracter"/>
        </w:rPr>
        <w:t>Artículo 129.4.</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139.5.</w:t>
      </w:r>
      <w:r w:rsidRPr="00DD47EB">
        <w:rPr>
          <w:rStyle w:val="TextoNormalCaracter"/>
        </w:rPr>
        <w:t>-</w:t>
      </w:r>
      <w:r>
        <w:t xml:space="preserve"> Auto </w:t>
      </w:r>
      <w:hyperlink w:anchor="AUTO_2015_88" w:history="1">
        <w:r w:rsidRPr="00DD47EB">
          <w:rPr>
            <w:rStyle w:val="TextoNormalCaracter"/>
          </w:rPr>
          <w:t>88/2015</w:t>
        </w:r>
      </w:hyperlink>
      <w:r>
        <w:t>, f. 2.</w:t>
      </w:r>
    </w:p>
    <w:p w:rsidR="00DD47EB" w:rsidRDefault="00DD47EB" w:rsidP="00DD47EB">
      <w:pPr>
        <w:pStyle w:val="SangriaFrancesaArticulo"/>
      </w:pPr>
      <w:r w:rsidRPr="00DD47EB">
        <w:rPr>
          <w:rStyle w:val="TextoNormalNegritaCaracter"/>
        </w:rPr>
        <w:t>Artículo 139.5</w:t>
      </w:r>
      <w:r>
        <w:t xml:space="preserve"> (redactado por la Ley 13/2009, de 3 de noviembre)</w:t>
      </w:r>
      <w:r w:rsidRPr="00DD47EB">
        <w:rPr>
          <w:rStyle w:val="TextoNormalNegritaCaracter"/>
        </w:rPr>
        <w:t>.</w:t>
      </w:r>
      <w:r w:rsidRPr="00DD47EB">
        <w:rPr>
          <w:rStyle w:val="TextoNormalCaracter"/>
        </w:rPr>
        <w:t>-</w:t>
      </w:r>
      <w:r>
        <w:t xml:space="preserve"> Auto </w:t>
      </w:r>
      <w:hyperlink w:anchor="AUTO_2015_109" w:history="1">
        <w:r w:rsidRPr="00DD47EB">
          <w:rPr>
            <w:rStyle w:val="TextoNormalCaracter"/>
          </w:rPr>
          <w:t>109/2015</w:t>
        </w:r>
      </w:hyperlink>
      <w:r>
        <w:t>, f. 2.</w:t>
      </w:r>
    </w:p>
    <w:p w:rsidR="00DD47EB" w:rsidRDefault="00DD47EB" w:rsidP="00DD47EB">
      <w:pPr>
        <w:pStyle w:val="SangriaFrancesaArticulo"/>
      </w:pPr>
    </w:p>
    <w:p w:rsidR="00DD47EB" w:rsidRDefault="00DD47EB" w:rsidP="00DD47EB">
      <w:pPr>
        <w:pStyle w:val="TextoNormalNegritaCursivandice"/>
      </w:pPr>
      <w:r>
        <w:t>Ley 38/1992, de 28 de diciembre. Impuestos especiales</w:t>
      </w:r>
    </w:p>
    <w:p w:rsidR="00DD47EB" w:rsidRDefault="00DD47EB" w:rsidP="00DD47EB">
      <w:pPr>
        <w:pStyle w:val="SangriaFrancesaArticulo"/>
      </w:pPr>
      <w:r w:rsidRPr="00DD47EB">
        <w:rPr>
          <w:rStyle w:val="TextoNormalNegritaCaracter"/>
        </w:rPr>
        <w:t>Artículo 30.</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f. 2.</w:t>
      </w:r>
    </w:p>
    <w:p w:rsidR="00DD47EB" w:rsidRDefault="00DD47EB" w:rsidP="00DD47EB">
      <w:pPr>
        <w:pStyle w:val="SangriaFrancesaArticulo"/>
      </w:pPr>
    </w:p>
    <w:p w:rsidR="00DD47EB" w:rsidRDefault="00DD47EB" w:rsidP="00DD47EB">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p>
    <w:p w:rsidR="00DD47EB" w:rsidRDefault="00DD47EB" w:rsidP="00DD47EB">
      <w:pPr>
        <w:pStyle w:val="TextoNormalNegritaCursivandice"/>
      </w:pPr>
      <w:r>
        <w:t>Ley 13/1994, de 1 de junio. Autonomía del Banco de España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19/1995, de 4 de julio. Modernización de las explotaciones agrarias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 w:history="1">
        <w:r w:rsidRPr="00DD47EB">
          <w:rPr>
            <w:rStyle w:val="TextoNormalCaracter"/>
          </w:rPr>
          <w:t>11/2015</w:t>
        </w:r>
      </w:hyperlink>
      <w:r>
        <w:t>, f. 5.</w:t>
      </w:r>
    </w:p>
    <w:p w:rsidR="00DD47EB" w:rsidRDefault="00DD47EB" w:rsidP="00DD47EB">
      <w:pPr>
        <w:pStyle w:val="SangriaFrancesaArticulo"/>
      </w:pPr>
      <w:r w:rsidRPr="00DD47EB">
        <w:rPr>
          <w:rStyle w:val="TextoNormalNegritaCaracter"/>
        </w:rPr>
        <w:t>Artículo 12.1.</w:t>
      </w:r>
      <w:r w:rsidRPr="00DD47EB">
        <w:rPr>
          <w:rStyle w:val="TextoNormalCaracter"/>
        </w:rPr>
        <w:t>-</w:t>
      </w:r>
      <w:r>
        <w:t xml:space="preserve"> Sentencia </w:t>
      </w:r>
      <w:hyperlink w:anchor="SENTENCIA_2015_11" w:history="1">
        <w:r w:rsidRPr="00DD47EB">
          <w:rPr>
            <w:rStyle w:val="TextoNormalCaracter"/>
          </w:rPr>
          <w:t>11/2015</w:t>
        </w:r>
      </w:hyperlink>
      <w:r>
        <w:t>, f. 6.</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 </w:t>
      </w:r>
      <w:hyperlink w:anchor="SENTENCIA_2015_11" w:history="1">
        <w:r w:rsidRPr="00DD47EB">
          <w:rPr>
            <w:rStyle w:val="TextoNormalCaracter"/>
          </w:rPr>
          <w:t>11/2015</w:t>
        </w:r>
      </w:hyperlink>
      <w:r>
        <w:t>, f. 6.</w:t>
      </w:r>
    </w:p>
    <w:p w:rsidR="00DD47EB" w:rsidRDefault="00DD47EB" w:rsidP="00DD47EB">
      <w:pPr>
        <w:pStyle w:val="SangriaFrancesaArticulo"/>
      </w:pPr>
      <w:r w:rsidRPr="00DD47EB">
        <w:rPr>
          <w:rStyle w:val="TextoNormalNegritaCaracter"/>
        </w:rPr>
        <w:t>Artículo 12.3.</w:t>
      </w:r>
      <w:r w:rsidRPr="00DD47EB">
        <w:rPr>
          <w:rStyle w:val="TextoNormalCaracter"/>
        </w:rPr>
        <w:t>-</w:t>
      </w:r>
      <w:r>
        <w:t xml:space="preserve"> Sentencia </w:t>
      </w:r>
      <w:hyperlink w:anchor="SENTENCIA_2015_11" w:history="1">
        <w:r w:rsidRPr="00DD47EB">
          <w:rPr>
            <w:rStyle w:val="TextoNormalCaracter"/>
          </w:rPr>
          <w:t>11/2015</w:t>
        </w:r>
      </w:hyperlink>
      <w:r>
        <w:t>, f. 6.</w:t>
      </w:r>
    </w:p>
    <w:p w:rsidR="00DD47EB" w:rsidRDefault="00DD47EB" w:rsidP="00DD47EB">
      <w:pPr>
        <w:pStyle w:val="SangriaFrancesaArticulo"/>
      </w:pPr>
    </w:p>
    <w:p w:rsidR="00DD47EB" w:rsidRDefault="00DD47EB" w:rsidP="00DD47EB">
      <w:pPr>
        <w:pStyle w:val="TextoNormalNegritaCursivandice"/>
      </w:pPr>
      <w:r>
        <w:t>Ley 1/1996, de 10 de enero. Asistencia jurídica gratuita</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90" w:history="1">
        <w:r w:rsidRPr="00DD47EB">
          <w:rPr>
            <w:rStyle w:val="TextoNormalCaracter"/>
          </w:rPr>
          <w:t>90/2015</w:t>
        </w:r>
      </w:hyperlink>
      <w:r>
        <w:t>, f. 2.</w:t>
      </w:r>
    </w:p>
    <w:p w:rsidR="00DD47EB" w:rsidRDefault="00DD47EB" w:rsidP="00DD47EB">
      <w:pPr>
        <w:pStyle w:val="SangriaFrancesaArticulo"/>
      </w:pPr>
      <w:r w:rsidRPr="00DD47EB">
        <w:rPr>
          <w:rStyle w:val="TextoNormalNegritaCaracter"/>
        </w:rPr>
        <w:t>Artículos 2 a 5.</w:t>
      </w:r>
      <w:r w:rsidRPr="00DD47EB">
        <w:rPr>
          <w:rStyle w:val="TextoNormalCaracter"/>
        </w:rPr>
        <w:t>-</w:t>
      </w:r>
      <w:r>
        <w:t xml:space="preserve"> Autos </w:t>
      </w:r>
      <w:hyperlink w:anchor="AUTO_2015_82" w:history="1">
        <w:r w:rsidRPr="00DD47EB">
          <w:rPr>
            <w:rStyle w:val="TextoNormalCaracter"/>
          </w:rPr>
          <w:t>82/2015</w:t>
        </w:r>
      </w:hyperlink>
      <w:r>
        <w:t xml:space="preserve">, f. 2; </w:t>
      </w:r>
      <w:hyperlink w:anchor="AUTO_2015_114" w:history="1">
        <w:r w:rsidRPr="00DD47EB">
          <w:rPr>
            <w:rStyle w:val="TextoNormalCaracter"/>
          </w:rPr>
          <w:t>114/2015</w:t>
        </w:r>
      </w:hyperlink>
      <w:r>
        <w:t>, f. 1.</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Sentencias </w:t>
      </w:r>
      <w:hyperlink w:anchor="SENTENCIA_2015_90" w:history="1">
        <w:r w:rsidRPr="00DD47EB">
          <w:rPr>
            <w:rStyle w:val="TextoNormalCaracter"/>
          </w:rPr>
          <w:t>90/2015</w:t>
        </w:r>
      </w:hyperlink>
      <w:r>
        <w:t xml:space="preserve">, f. 4; </w:t>
      </w:r>
      <w:hyperlink w:anchor="SENTENCIA_2015_124" w:history="1">
        <w:r w:rsidRPr="00DD47EB">
          <w:rPr>
            <w:rStyle w:val="TextoNormalCaracter"/>
          </w:rPr>
          <w:t>124/2015</w:t>
        </w:r>
      </w:hyperlink>
      <w:r>
        <w:t>, f. 4.</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124" w:history="1">
        <w:r w:rsidRPr="00DD47EB">
          <w:rPr>
            <w:rStyle w:val="TextoNormalCaracter"/>
          </w:rPr>
          <w:t>124/2015</w:t>
        </w:r>
      </w:hyperlink>
      <w:r>
        <w:t>, f. 4.</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Autos </w:t>
      </w:r>
      <w:hyperlink w:anchor="AUTO_2015_82" w:history="1">
        <w:r w:rsidRPr="00DD47EB">
          <w:rPr>
            <w:rStyle w:val="TextoNormalCaracter"/>
          </w:rPr>
          <w:t>82/2015</w:t>
        </w:r>
      </w:hyperlink>
      <w:r>
        <w:t xml:space="preserve">, f. 2; </w:t>
      </w:r>
      <w:hyperlink w:anchor="AUTO_2015_114" w:history="1">
        <w:r w:rsidRPr="00DD47EB">
          <w:rPr>
            <w:rStyle w:val="TextoNormalCaracter"/>
          </w:rPr>
          <w:t>114/2015</w:t>
        </w:r>
      </w:hyperlink>
      <w:r>
        <w:t>, f. 1.</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Sentencias </w:t>
      </w:r>
      <w:hyperlink w:anchor="SENTENCIA_2015_90" w:history="1">
        <w:r w:rsidRPr="00DD47EB">
          <w:rPr>
            <w:rStyle w:val="TextoNormalCaracter"/>
          </w:rPr>
          <w:t>90/2015</w:t>
        </w:r>
      </w:hyperlink>
      <w:r>
        <w:t xml:space="preserve">, f. 4; </w:t>
      </w:r>
      <w:hyperlink w:anchor="SENTENCIA_2015_124" w:history="1">
        <w:r w:rsidRPr="00DD47EB">
          <w:rPr>
            <w:rStyle w:val="TextoNormalCaracter"/>
          </w:rPr>
          <w:t>124/2015</w:t>
        </w:r>
      </w:hyperlink>
      <w:r>
        <w:t>, f. 4.</w:t>
      </w:r>
    </w:p>
    <w:p w:rsidR="00DD47EB" w:rsidRDefault="00DD47EB" w:rsidP="00DD47EB">
      <w:pPr>
        <w:pStyle w:val="SangriaFrancesaArticulo"/>
      </w:pPr>
      <w:r w:rsidRPr="00DD47EB">
        <w:rPr>
          <w:rStyle w:val="TextoNormalNegritaCaracter"/>
        </w:rPr>
        <w:t>Artículo 8.2.</w:t>
      </w:r>
      <w:r w:rsidRPr="00DD47EB">
        <w:rPr>
          <w:rStyle w:val="TextoNormalCaracter"/>
        </w:rPr>
        <w:t>-</w:t>
      </w:r>
      <w:r>
        <w:t xml:space="preserve"> Sentencias </w:t>
      </w:r>
      <w:hyperlink w:anchor="SENTENCIA_2015_90" w:history="1">
        <w:r w:rsidRPr="00DD47EB">
          <w:rPr>
            <w:rStyle w:val="TextoNormalCaracter"/>
          </w:rPr>
          <w:t>90/2015</w:t>
        </w:r>
      </w:hyperlink>
      <w:r>
        <w:t xml:space="preserve">, f. 4; </w:t>
      </w:r>
      <w:hyperlink w:anchor="SENTENCIA_2015_124" w:history="1">
        <w:r w:rsidRPr="00DD47EB">
          <w:rPr>
            <w:rStyle w:val="TextoNormalCaracter"/>
          </w:rPr>
          <w:t>124/2015</w:t>
        </w:r>
      </w:hyperlink>
      <w:r>
        <w:t>, f. 4.</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Auto </w:t>
      </w:r>
      <w:hyperlink w:anchor="AUTO_2015_13" w:history="1">
        <w:r w:rsidRPr="00DD47EB">
          <w:rPr>
            <w:rStyle w:val="TextoNormalCaracter"/>
          </w:rPr>
          <w:t>13/2015</w:t>
        </w:r>
      </w:hyperlink>
      <w:r>
        <w:t>, f. 1.</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Autos </w:t>
      </w:r>
      <w:hyperlink w:anchor="AUTO_2015_13" w:history="1">
        <w:r w:rsidRPr="00DD47EB">
          <w:rPr>
            <w:rStyle w:val="TextoNormalCaracter"/>
          </w:rPr>
          <w:t>13/2015</w:t>
        </w:r>
      </w:hyperlink>
      <w:r>
        <w:t xml:space="preserve">, f. 1; </w:t>
      </w:r>
      <w:hyperlink w:anchor="AUTO_2015_82" w:history="1">
        <w:r w:rsidRPr="00DD47EB">
          <w:rPr>
            <w:rStyle w:val="TextoNormalCaracter"/>
          </w:rPr>
          <w:t>82/2015</w:t>
        </w:r>
      </w:hyperlink>
      <w:r>
        <w:t xml:space="preserve">, ff. 1, 2; </w:t>
      </w:r>
      <w:hyperlink w:anchor="AUTO_2015_114" w:history="1">
        <w:r w:rsidRPr="00DD47EB">
          <w:rPr>
            <w:rStyle w:val="TextoNormalCaracter"/>
          </w:rPr>
          <w:t>114/2015</w:t>
        </w:r>
      </w:hyperlink>
      <w:r>
        <w:t>, f. 1.</w:t>
      </w:r>
    </w:p>
    <w:p w:rsidR="00DD47EB" w:rsidRDefault="00DD47EB" w:rsidP="00DD47EB">
      <w:pPr>
        <w:pStyle w:val="SangriaFrancesaArticulo"/>
      </w:pPr>
      <w:r w:rsidRPr="00DD47EB">
        <w:rPr>
          <w:rStyle w:val="TextoNormalNegritaCaracter"/>
        </w:rPr>
        <w:t>Artículo 20 párrafo 2.</w:t>
      </w:r>
      <w:r w:rsidRPr="00DD47EB">
        <w:rPr>
          <w:rStyle w:val="TextoNormalCaracter"/>
        </w:rPr>
        <w:t>-</w:t>
      </w:r>
      <w:r>
        <w:t xml:space="preserve"> Auto </w:t>
      </w:r>
      <w:hyperlink w:anchor="AUTO_2015_82" w:history="1">
        <w:r w:rsidRPr="00DD47EB">
          <w:rPr>
            <w:rStyle w:val="TextoNormalCaracter"/>
          </w:rPr>
          <w:t>82/2015</w:t>
        </w:r>
      </w:hyperlink>
      <w:r>
        <w:t>, f. 3.</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Auto </w:t>
      </w:r>
      <w:hyperlink w:anchor="AUTO_2015_13" w:history="1">
        <w:r w:rsidRPr="00DD47EB">
          <w:rPr>
            <w:rStyle w:val="TextoNormalCaracter"/>
          </w:rPr>
          <w:t>13/2015</w:t>
        </w:r>
      </w:hyperlink>
      <w:r>
        <w:t>, f. 1.</w:t>
      </w:r>
    </w:p>
    <w:p w:rsidR="00DD47EB" w:rsidRDefault="00DD47EB" w:rsidP="00DD47EB">
      <w:pPr>
        <w:pStyle w:val="SangriaFrancesaArticulo"/>
      </w:pPr>
    </w:p>
    <w:p w:rsidR="00DD47EB" w:rsidRDefault="00DD47EB" w:rsidP="00DD47EB">
      <w:pPr>
        <w:pStyle w:val="TextoNormalNegritaCursivandice"/>
      </w:pPr>
      <w:r>
        <w:t>Ley 13/1996, de 30 de diciembre. Medidas fiscales, administrativas y del orden social</w:t>
      </w:r>
    </w:p>
    <w:p w:rsidR="00DD47EB" w:rsidRDefault="00DD47EB" w:rsidP="00DD47EB">
      <w:pPr>
        <w:pStyle w:val="SangriaFrancesaArticulo"/>
      </w:pPr>
      <w:r w:rsidRPr="00DD47EB">
        <w:rPr>
          <w:rStyle w:val="TextoNormalNegritaCaracter"/>
        </w:rPr>
        <w:t>Artículo 169.4.</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p>
    <w:p w:rsidR="00DD47EB" w:rsidRDefault="00DD47EB" w:rsidP="00DD47EB">
      <w:pPr>
        <w:pStyle w:val="TextoNormalNegritaCursivandice"/>
      </w:pPr>
      <w:r>
        <w:t>Ley 6/1997, de 14 de abril. Organización y funcionamiento de la Administración General del Estado</w:t>
      </w:r>
    </w:p>
    <w:p w:rsidR="00DD47EB" w:rsidRDefault="00DD47EB" w:rsidP="00DD47EB">
      <w:pPr>
        <w:pStyle w:val="SangriaFrancesaArticulo"/>
      </w:pPr>
      <w:r w:rsidRPr="00DD47EB">
        <w:rPr>
          <w:rStyle w:val="TextoNormalNegritaCaracter"/>
        </w:rPr>
        <w:t>Artículo 53.1.</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53.2.</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55. 1.</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Disposición adicional decimosegunda.</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p>
    <w:p w:rsidR="00DD47EB" w:rsidRDefault="00DD47EB" w:rsidP="00DD47EB">
      <w:pPr>
        <w:pStyle w:val="TextoNormalNegritaCursivandice"/>
      </w:pPr>
      <w:r>
        <w:t>Ley 15/1997, de 25 de abril. Habilitación de nuevas formas de gestión del Sistema Nacional de Salud</w:t>
      </w:r>
    </w:p>
    <w:p w:rsidR="00DD47EB" w:rsidRDefault="00DD47EB" w:rsidP="00DD47EB">
      <w:pPr>
        <w:pStyle w:val="SangriaFrancesaArticulo"/>
      </w:pPr>
      <w:r w:rsidRPr="00DD47EB">
        <w:rPr>
          <w:rStyle w:val="TextoNormalNegritaCaracter"/>
        </w:rPr>
        <w:t>Artículo único.</w:t>
      </w:r>
      <w:r w:rsidRPr="00DD47EB">
        <w:rPr>
          <w:rStyle w:val="TextoNormalCaracter"/>
        </w:rPr>
        <w:t>-</w:t>
      </w:r>
      <w:r>
        <w:t xml:space="preserve"> Sentencia </w:t>
      </w:r>
      <w:hyperlink w:anchor="SENTENCIA_2015_84" w:history="1">
        <w:r w:rsidRPr="00DD47EB">
          <w:rPr>
            <w:rStyle w:val="TextoNormalCaracter"/>
          </w:rPr>
          <w:t>84/2015</w:t>
        </w:r>
      </w:hyperlink>
      <w:r>
        <w:t>, ff. 1, 5, 7, 8.</w:t>
      </w:r>
    </w:p>
    <w:p w:rsidR="00DD47EB" w:rsidRDefault="00DD47EB" w:rsidP="00DD47EB">
      <w:pPr>
        <w:pStyle w:val="SangriaFrancesaArticulo"/>
      </w:pPr>
    </w:p>
    <w:p w:rsidR="00DD47EB" w:rsidRDefault="00DD47EB" w:rsidP="00DD47EB">
      <w:pPr>
        <w:pStyle w:val="TextoNormalNegritaCursivandice"/>
      </w:pPr>
      <w:r>
        <w:t>Ley 24/1997, de 15 de julio. Consolidación y racionalización del sistema de Seguridad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9" w:history="1">
        <w:r w:rsidRPr="00DD47EB">
          <w:rPr>
            <w:rStyle w:val="TextoNormalCaracter"/>
          </w:rPr>
          <w:t>49/2015</w:t>
        </w:r>
      </w:hyperlink>
      <w:r>
        <w:t>, f. 2, VP.</w:t>
      </w:r>
    </w:p>
    <w:p w:rsidR="00DD47EB" w:rsidRDefault="00DD47EB" w:rsidP="00DD47EB">
      <w:pPr>
        <w:pStyle w:val="SangriaFrancesaArticulo"/>
      </w:pPr>
    </w:p>
    <w:p w:rsidR="00DD47EB" w:rsidRDefault="00DD47EB" w:rsidP="00DD47EB">
      <w:pPr>
        <w:pStyle w:val="TextoNormalNegritaCursivandice"/>
      </w:pPr>
      <w:r>
        <w:t>Ley 50/1997, de 27 de noviembre. Gobierno</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Sentencia </w:t>
      </w:r>
      <w:hyperlink w:anchor="SENTENCIA_2015_84" w:history="1">
        <w:r w:rsidRPr="00DD47EB">
          <w:rPr>
            <w:rStyle w:val="TextoNormalCaracter"/>
          </w:rPr>
          <w:t>84/2015</w:t>
        </w:r>
      </w:hyperlink>
      <w:r>
        <w:t>, f. 4.</w:t>
      </w:r>
    </w:p>
    <w:p w:rsidR="00DD47EB" w:rsidRDefault="00DD47EB" w:rsidP="00DD47EB">
      <w:pPr>
        <w:pStyle w:val="SangriaFrancesaArticulo"/>
      </w:pPr>
    </w:p>
    <w:p w:rsidR="00DD47EB" w:rsidRDefault="00DD47EB" w:rsidP="00DD47EB">
      <w:pPr>
        <w:pStyle w:val="TextoNormalNegritaCursivandice"/>
      </w:pPr>
      <w:r>
        <w:t>Ley 54/1997, de 27 de noviembre. Sector eléctrico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8" w:history="1">
        <w:r w:rsidRPr="00DD47EB">
          <w:rPr>
            <w:rStyle w:val="TextoNormalCaracter"/>
          </w:rPr>
          <w:t>28/2015</w:t>
        </w:r>
      </w:hyperlink>
      <w:r>
        <w:t xml:space="preserve">, f. 2; </w:t>
      </w:r>
      <w:hyperlink w:anchor="SENTENCIA_2015_136" w:history="1">
        <w:r w:rsidRPr="00DD47EB">
          <w:rPr>
            <w:rStyle w:val="TextoNormalCaracter"/>
          </w:rPr>
          <w:t>136/2015</w:t>
        </w:r>
      </w:hyperlink>
      <w:r>
        <w:t>, ff. 1, 4, 6.</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Sentencia </w:t>
      </w:r>
      <w:hyperlink w:anchor="SENTENCIA_2015_136" w:history="1">
        <w:r w:rsidRPr="00DD47EB">
          <w:rPr>
            <w:rStyle w:val="TextoNormalCaracter"/>
          </w:rPr>
          <w:t>136/2015</w:t>
        </w:r>
      </w:hyperlink>
      <w:r>
        <w:t>, ff. 1, 6.</w:t>
      </w:r>
    </w:p>
    <w:p w:rsidR="00DD47EB" w:rsidRDefault="00DD47EB" w:rsidP="00DD47EB">
      <w:pPr>
        <w:pStyle w:val="SangriaFrancesaArticulo"/>
      </w:pPr>
      <w:r w:rsidRPr="00DD47EB">
        <w:rPr>
          <w:rStyle w:val="TextoNormalNegritaCaracter"/>
        </w:rPr>
        <w:t>Artículo 17.1.</w:t>
      </w:r>
      <w:r w:rsidRPr="00DD47EB">
        <w:rPr>
          <w:rStyle w:val="TextoNormalCaracter"/>
        </w:rPr>
        <w:t>-</w:t>
      </w:r>
      <w:r>
        <w:t xml:space="preserve"> Sentencia </w:t>
      </w:r>
      <w:hyperlink w:anchor="SENTENCIA_2015_136" w:history="1">
        <w:r w:rsidRPr="00DD47EB">
          <w:rPr>
            <w:rStyle w:val="TextoNormalCaracter"/>
          </w:rPr>
          <w:t>136/2015</w:t>
        </w:r>
      </w:hyperlink>
      <w:r>
        <w:t>, f. 6.</w:t>
      </w:r>
    </w:p>
    <w:p w:rsidR="00DD47EB" w:rsidRDefault="00DD47EB" w:rsidP="00DD47EB">
      <w:pPr>
        <w:pStyle w:val="SangriaFrancesaArticulo"/>
      </w:pPr>
      <w:r w:rsidRPr="00DD47EB">
        <w:rPr>
          <w:rStyle w:val="TextoNormalNegritaCaracter"/>
        </w:rPr>
        <w:t>Artículo 17.3.</w:t>
      </w:r>
      <w:r w:rsidRPr="00DD47EB">
        <w:rPr>
          <w:rStyle w:val="TextoNormalCaracter"/>
        </w:rPr>
        <w:t>-</w:t>
      </w:r>
      <w:r>
        <w:t xml:space="preserve"> Sentencia </w:t>
      </w:r>
      <w:hyperlink w:anchor="SENTENCIA_2015_136" w:history="1">
        <w:r w:rsidRPr="00DD47EB">
          <w:rPr>
            <w:rStyle w:val="TextoNormalCaracter"/>
          </w:rPr>
          <w:t>136/2015</w:t>
        </w:r>
      </w:hyperlink>
      <w:r>
        <w:t>, f. 6.</w:t>
      </w:r>
    </w:p>
    <w:p w:rsidR="00DD47EB" w:rsidRDefault="00DD47EB" w:rsidP="00DD47EB">
      <w:pPr>
        <w:pStyle w:val="SangriaFrancesaArticulo"/>
      </w:pPr>
      <w:r w:rsidRPr="00DD47EB">
        <w:rPr>
          <w:rStyle w:val="TextoNormalNegritaCaracter"/>
        </w:rPr>
        <w:t>Artículo 17.4</w:t>
      </w:r>
      <w:r>
        <w:t xml:space="preserve"> (redactado por el Real Decreto-ley 20/2012, de 13 de julio)</w:t>
      </w:r>
      <w:r w:rsidRPr="00DD47EB">
        <w:rPr>
          <w:rStyle w:val="TextoNormalNegritaCaracter"/>
        </w:rPr>
        <w:t>.</w:t>
      </w:r>
      <w:r w:rsidRPr="00DD47EB">
        <w:rPr>
          <w:rStyle w:val="TextoNormalCaracter"/>
        </w:rPr>
        <w:t>-</w:t>
      </w:r>
      <w:r>
        <w:t xml:space="preserve"> Sentencia </w:t>
      </w:r>
      <w:hyperlink w:anchor="SENTENCIA_2015_136" w:history="1">
        <w:r w:rsidRPr="00DD47EB">
          <w:rPr>
            <w:rStyle w:val="TextoNormalCaracter"/>
          </w:rPr>
          <w:t>136/2015</w:t>
        </w:r>
      </w:hyperlink>
      <w:r>
        <w:t>, ff. 1, 2, 4, 6.</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 </w:t>
      </w:r>
      <w:hyperlink w:anchor="SENTENCIA_2015_136" w:history="1">
        <w:r w:rsidRPr="00DD47EB">
          <w:rPr>
            <w:rStyle w:val="TextoNormalCaracter"/>
          </w:rPr>
          <w:t>136/2015</w:t>
        </w:r>
      </w:hyperlink>
      <w:r>
        <w:t>, f. 1.</w:t>
      </w:r>
    </w:p>
    <w:p w:rsidR="00DD47EB" w:rsidRDefault="00DD47EB" w:rsidP="00DD47EB">
      <w:pPr>
        <w:pStyle w:val="SangriaFrancesaArticulo"/>
      </w:pPr>
      <w:r w:rsidRPr="00DD47EB">
        <w:rPr>
          <w:rStyle w:val="TextoNormalNegritaCaracter"/>
        </w:rPr>
        <w:t>Artículo 18.2 b).</w:t>
      </w:r>
      <w:r w:rsidRPr="00DD47EB">
        <w:rPr>
          <w:rStyle w:val="TextoNormalCaracter"/>
        </w:rPr>
        <w:t>-</w:t>
      </w:r>
      <w:r>
        <w:t xml:space="preserve"> Sentencia </w:t>
      </w:r>
      <w:hyperlink w:anchor="SENTENCIA_2015_136" w:history="1">
        <w:r w:rsidRPr="00DD47EB">
          <w:rPr>
            <w:rStyle w:val="TextoNormalCaracter"/>
          </w:rPr>
          <w:t>136/2015</w:t>
        </w:r>
      </w:hyperlink>
      <w:r>
        <w:t>, f. 6.</w:t>
      </w:r>
    </w:p>
    <w:p w:rsidR="00DD47EB" w:rsidRDefault="00DD47EB" w:rsidP="00DD47EB">
      <w:pPr>
        <w:pStyle w:val="SangriaFrancesaArticulo"/>
      </w:pPr>
      <w:r w:rsidRPr="00DD47EB">
        <w:rPr>
          <w:rStyle w:val="TextoNormalNegritaCaracter"/>
        </w:rPr>
        <w:t>Artículo 18.3.</w:t>
      </w:r>
      <w:r w:rsidRPr="00DD47EB">
        <w:rPr>
          <w:rStyle w:val="TextoNormalCaracter"/>
        </w:rPr>
        <w:t>-</w:t>
      </w:r>
      <w:r>
        <w:t xml:space="preserve"> Sentencia </w:t>
      </w:r>
      <w:hyperlink w:anchor="SENTENCIA_2015_136" w:history="1">
        <w:r w:rsidRPr="00DD47EB">
          <w:rPr>
            <w:rStyle w:val="TextoNormalCaracter"/>
          </w:rPr>
          <w:t>136/2015</w:t>
        </w:r>
      </w:hyperlink>
      <w:r>
        <w:t>, f. 6.</w:t>
      </w:r>
    </w:p>
    <w:p w:rsidR="00DD47EB" w:rsidRDefault="00DD47EB" w:rsidP="00DD47EB">
      <w:pPr>
        <w:pStyle w:val="SangriaFrancesaArticulo"/>
      </w:pPr>
      <w:r w:rsidRPr="00DD47EB">
        <w:rPr>
          <w:rStyle w:val="TextoNormalNegritaCaracter"/>
        </w:rPr>
        <w:t>Artículo 18.5</w:t>
      </w:r>
      <w:r>
        <w:t xml:space="preserve"> (redactado por el Real Decreto-ley 20/2012, de 13 de julio)</w:t>
      </w:r>
      <w:r w:rsidRPr="00DD47EB">
        <w:rPr>
          <w:rStyle w:val="TextoNormalNegritaCaracter"/>
        </w:rPr>
        <w:t>.</w:t>
      </w:r>
      <w:r w:rsidRPr="00DD47EB">
        <w:rPr>
          <w:rStyle w:val="TextoNormalCaracter"/>
        </w:rPr>
        <w:t>-</w:t>
      </w:r>
      <w:r>
        <w:t xml:space="preserve"> Sentencia </w:t>
      </w:r>
      <w:hyperlink w:anchor="SENTENCIA_2015_136" w:history="1">
        <w:r w:rsidRPr="00DD47EB">
          <w:rPr>
            <w:rStyle w:val="TextoNormalCaracter"/>
          </w:rPr>
          <w:t>136/2015</w:t>
        </w:r>
      </w:hyperlink>
      <w:r>
        <w:t>, ff. 1, 2, 4, 6.</w:t>
      </w:r>
    </w:p>
    <w:p w:rsidR="00DD47EB" w:rsidRDefault="00DD47EB" w:rsidP="00DD47EB">
      <w:pPr>
        <w:pStyle w:val="SangriaFrancesaArticulo"/>
      </w:pPr>
      <w:r w:rsidRPr="00DD47EB">
        <w:rPr>
          <w:rStyle w:val="TextoNormalNegritaCaracter"/>
        </w:rPr>
        <w:t>Artículo 30.4</w:t>
      </w:r>
      <w:r>
        <w:t xml:space="preserve"> (redactado por el Real Decreto-ley 9/2013, de 12 de julio)</w:t>
      </w:r>
      <w:r w:rsidRPr="00DD47EB">
        <w:rPr>
          <w:rStyle w:val="TextoNormalNegritaCaracter"/>
        </w:rPr>
        <w:t>.</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Artículo 30.7</w:t>
      </w:r>
      <w:r>
        <w:t xml:space="preserve"> (redactado por la Ley 15/2012, de 27 de diciembre)</w:t>
      </w:r>
      <w:r w:rsidRPr="00DD47EB">
        <w:rPr>
          <w:rStyle w:val="TextoNormalNegritaCaracter"/>
        </w:rPr>
        <w:t>.</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Artículo 58.2.</w:t>
      </w:r>
      <w:r w:rsidRPr="00DD47EB">
        <w:rPr>
          <w:rStyle w:val="TextoNormalCaracter"/>
        </w:rPr>
        <w:t>-</w:t>
      </w:r>
      <w:r>
        <w:t xml:space="preserve"> Auto </w:t>
      </w:r>
      <w:hyperlink w:anchor="AUTO_2015_97" w:history="1">
        <w:r w:rsidRPr="00DD47EB">
          <w:rPr>
            <w:rStyle w:val="TextoNormalCaracter"/>
          </w:rPr>
          <w:t>97/2015</w:t>
        </w:r>
      </w:hyperlink>
      <w:r>
        <w:t>, f. 1.</w:t>
      </w:r>
    </w:p>
    <w:p w:rsidR="00DD47EB" w:rsidRDefault="00DD47EB" w:rsidP="00DD47EB">
      <w:pPr>
        <w:pStyle w:val="SangriaFrancesaArticulo"/>
      </w:pPr>
      <w:r w:rsidRPr="00DD47EB">
        <w:rPr>
          <w:rStyle w:val="TextoNormalNegritaCaracter"/>
        </w:rPr>
        <w:t>Disposición adicional decimoquinta</w:t>
      </w:r>
      <w:r>
        <w:t xml:space="preserve"> (redactada por el Real Decreto-ley 20/2012, de 13 de julio)</w:t>
      </w:r>
      <w:r w:rsidRPr="00DD47EB">
        <w:rPr>
          <w:rStyle w:val="TextoNormalNegritaCaracter"/>
        </w:rPr>
        <w:t>.</w:t>
      </w:r>
      <w:r w:rsidRPr="00DD47EB">
        <w:rPr>
          <w:rStyle w:val="TextoNormalCaracter"/>
        </w:rPr>
        <w:t>-</w:t>
      </w:r>
      <w:r>
        <w:t xml:space="preserve"> Sentencia </w:t>
      </w:r>
      <w:hyperlink w:anchor="SENTENCIA_2015_136" w:history="1">
        <w:r w:rsidRPr="00DD47EB">
          <w:rPr>
            <w:rStyle w:val="TextoNormalCaracter"/>
          </w:rPr>
          <w:t>136/2015</w:t>
        </w:r>
      </w:hyperlink>
      <w:r>
        <w:t>, ff. 1, 6.</w:t>
      </w:r>
    </w:p>
    <w:p w:rsidR="00DD47EB" w:rsidRDefault="00DD47EB" w:rsidP="00DD47EB">
      <w:pPr>
        <w:pStyle w:val="SangriaFrancesaArticulo"/>
      </w:pPr>
    </w:p>
    <w:p w:rsidR="00DD47EB" w:rsidRDefault="00DD47EB" w:rsidP="00DD47EB">
      <w:pPr>
        <w:pStyle w:val="TextoNormalNegritaCursivandice"/>
      </w:pPr>
      <w:r>
        <w:t>Ley 6/1998, de 13 de abril. Régimen del suelo y valoraciones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3" w:history="1">
        <w:r w:rsidRPr="00DD47EB">
          <w:rPr>
            <w:rStyle w:val="TextoNormalCaracter"/>
          </w:rPr>
          <w:t>43/2015</w:t>
        </w:r>
      </w:hyperlink>
      <w:r>
        <w:t>, f. 5.</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ff. 2, 3; </w:t>
      </w:r>
      <w:hyperlink w:anchor="AUTO_2015_21" w:history="1">
        <w:r w:rsidRPr="00DD47EB">
          <w:rPr>
            <w:rStyle w:val="TextoNormalCaracter"/>
          </w:rPr>
          <w:t>21/2015</w:t>
        </w:r>
      </w:hyperlink>
      <w:r>
        <w:t xml:space="preserve">, f. 3; </w:t>
      </w:r>
      <w:hyperlink w:anchor="AUTO_2015_22" w:history="1">
        <w:r w:rsidRPr="00DD47EB">
          <w:rPr>
            <w:rStyle w:val="TextoNormalCaracter"/>
          </w:rPr>
          <w:t>22/2015</w:t>
        </w:r>
      </w:hyperlink>
      <w:r>
        <w:t xml:space="preserve">, f. 2; </w:t>
      </w:r>
      <w:hyperlink w:anchor="AUTO_2015_38" w:history="1">
        <w:r w:rsidRPr="00DD47EB">
          <w:rPr>
            <w:rStyle w:val="TextoNormalCaracter"/>
          </w:rPr>
          <w:t>38/2015</w:t>
        </w:r>
      </w:hyperlink>
      <w:r>
        <w:t xml:space="preserve">, f. 2; </w:t>
      </w:r>
      <w:hyperlink w:anchor="AUTO_2015_61" w:history="1">
        <w:r w:rsidRPr="00DD47EB">
          <w:rPr>
            <w:rStyle w:val="TextoNormalCaracter"/>
          </w:rPr>
          <w:t>61/2015</w:t>
        </w:r>
      </w:hyperlink>
      <w:r>
        <w:t xml:space="preserve">, f. 2; </w:t>
      </w:r>
      <w:hyperlink w:anchor="AUTO_2015_62" w:history="1">
        <w:r w:rsidRPr="00DD47EB">
          <w:rPr>
            <w:rStyle w:val="TextoNormalCaracter"/>
          </w:rPr>
          <w:t>62/2015</w:t>
        </w:r>
      </w:hyperlink>
      <w:r>
        <w:t>, f. 2.</w:t>
      </w:r>
    </w:p>
    <w:p w:rsidR="00DD47EB" w:rsidRDefault="00DD47EB" w:rsidP="00DD47EB">
      <w:pPr>
        <w:pStyle w:val="SangriaIzquierdaArticulo"/>
      </w:pPr>
    </w:p>
    <w:p w:rsidR="00DD47EB" w:rsidRDefault="00DD47EB" w:rsidP="00DD47EB">
      <w:pPr>
        <w:pStyle w:val="TextoNormalNegritaCursivandice"/>
      </w:pPr>
      <w:r>
        <w:t>Ley 10/1998, de 21 de abril. Residuos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ff. 2 a 4.</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p>
    <w:p w:rsidR="00DD47EB" w:rsidRDefault="00DD47EB" w:rsidP="00DD47EB">
      <w:pPr>
        <w:pStyle w:val="TextoNormalNegritaCursivandice"/>
      </w:pPr>
      <w:r>
        <w:t>Ley 29/1998, de 13 de julio. Jurisdicción contencioso-administrativa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7" w:history="1">
        <w:r w:rsidRPr="00DD47EB">
          <w:rPr>
            <w:rStyle w:val="TextoNormalCaracter"/>
          </w:rPr>
          <w:t>7/2015</w:t>
        </w:r>
      </w:hyperlink>
      <w:r>
        <w:t xml:space="preserve">, f. 2, VP; </w:t>
      </w:r>
      <w:hyperlink w:anchor="SENTENCIA_2015_16" w:history="1">
        <w:r w:rsidRPr="00DD47EB">
          <w:rPr>
            <w:rStyle w:val="TextoNormalCaracter"/>
          </w:rPr>
          <w:t>16/2015</w:t>
        </w:r>
      </w:hyperlink>
      <w:r>
        <w:t xml:space="preserve">, f. 2, VP; </w:t>
      </w:r>
      <w:hyperlink w:anchor="SENTENCIA_2015_34" w:history="1">
        <w:r w:rsidRPr="00DD47EB">
          <w:rPr>
            <w:rStyle w:val="TextoNormalCaracter"/>
          </w:rPr>
          <w:t>34/2015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Artículo 88.1.</w:t>
      </w:r>
      <w:r w:rsidRPr="00DD47EB">
        <w:rPr>
          <w:rStyle w:val="TextoNormalCaracter"/>
        </w:rPr>
        <w:t>-</w:t>
      </w:r>
      <w:r>
        <w:t xml:space="preserve"> Sentencia </w:t>
      </w:r>
      <w:hyperlink w:anchor="SENTENCIA_2015_7" w:history="1">
        <w:r w:rsidRPr="00DD47EB">
          <w:rPr>
            <w:rStyle w:val="TextoNormalCaracter"/>
          </w:rPr>
          <w:t>7/2015</w:t>
        </w:r>
      </w:hyperlink>
      <w:r>
        <w:t>, f. 2.</w:t>
      </w:r>
    </w:p>
    <w:p w:rsidR="00DD47EB" w:rsidRDefault="00DD47EB" w:rsidP="00DD47EB">
      <w:pPr>
        <w:pStyle w:val="SangriaFrancesaArticulo"/>
      </w:pPr>
      <w:r w:rsidRPr="00DD47EB">
        <w:rPr>
          <w:rStyle w:val="TextoNormalNegritaCaracter"/>
        </w:rPr>
        <w:t>Artículo 88.1 d).</w:t>
      </w:r>
      <w:r w:rsidRPr="00DD47EB">
        <w:rPr>
          <w:rStyle w:val="TextoNormalCaracter"/>
        </w:rPr>
        <w:t>-</w:t>
      </w:r>
      <w:r>
        <w:t xml:space="preserve"> Auto </w:t>
      </w:r>
      <w:hyperlink w:anchor="AUTO_2015_49" w:history="1">
        <w:r w:rsidRPr="00DD47EB">
          <w:rPr>
            <w:rStyle w:val="TextoNormalCaracter"/>
          </w:rPr>
          <w:t>49/2015</w:t>
        </w:r>
      </w:hyperlink>
      <w:r>
        <w:t>, f. 4.</w:t>
      </w:r>
    </w:p>
    <w:p w:rsidR="00DD47EB" w:rsidRDefault="00DD47EB" w:rsidP="00DD47EB">
      <w:pPr>
        <w:pStyle w:val="SangriaFrancesaArticulo"/>
      </w:pPr>
      <w:r w:rsidRPr="00DD47EB">
        <w:rPr>
          <w:rStyle w:val="TextoNormalNegritaCaracter"/>
        </w:rPr>
        <w:t>Artículo 89.1.</w:t>
      </w:r>
      <w:r w:rsidRPr="00DD47EB">
        <w:rPr>
          <w:rStyle w:val="TextoNormalCaracter"/>
        </w:rPr>
        <w:t>-</w:t>
      </w:r>
      <w:r>
        <w:t xml:space="preserve"> Sentencias </w:t>
      </w:r>
      <w:hyperlink w:anchor="SENTENCIA_2015_7" w:history="1">
        <w:r w:rsidRPr="00DD47EB">
          <w:rPr>
            <w:rStyle w:val="TextoNormalCaracter"/>
          </w:rPr>
          <w:t>7/2015</w:t>
        </w:r>
      </w:hyperlink>
      <w:r>
        <w:t xml:space="preserve">, f. 2, VP; </w:t>
      </w:r>
      <w:hyperlink w:anchor="SENTENCIA_2015_16" w:history="1">
        <w:r w:rsidRPr="00DD47EB">
          <w:rPr>
            <w:rStyle w:val="TextoNormalCaracter"/>
          </w:rPr>
          <w:t>16/2015</w:t>
        </w:r>
      </w:hyperlink>
      <w:r>
        <w:t xml:space="preserve">, f. 2, VP;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r w:rsidRPr="00DD47EB">
        <w:rPr>
          <w:rStyle w:val="TextoNormalNegritaCaracter"/>
        </w:rPr>
        <w:t>Artículo 89.2.</w:t>
      </w:r>
      <w:r w:rsidRPr="00DD47EB">
        <w:rPr>
          <w:rStyle w:val="TextoNormalCaracter"/>
        </w:rPr>
        <w:t>-</w:t>
      </w:r>
      <w:r>
        <w:t xml:space="preserve"> Sentencia </w:t>
      </w:r>
      <w:hyperlink w:anchor="SENTENCIA_2015_7" w:history="1">
        <w:r w:rsidRPr="00DD47EB">
          <w:rPr>
            <w:rStyle w:val="TextoNormalCaracter"/>
          </w:rPr>
          <w:t>7/2015</w:t>
        </w:r>
      </w:hyperlink>
      <w:r>
        <w:t>, f. 2.</w:t>
      </w:r>
    </w:p>
    <w:p w:rsidR="00DD47EB" w:rsidRDefault="00DD47EB" w:rsidP="00DD47EB">
      <w:pPr>
        <w:pStyle w:val="SangriaFrancesaArticulo"/>
      </w:pPr>
      <w:r w:rsidRPr="00DD47EB">
        <w:rPr>
          <w:rStyle w:val="TextoNormalNegritaCaracter"/>
        </w:rPr>
        <w:t>Artículo 92.1.</w:t>
      </w:r>
      <w:r w:rsidRPr="00DD47EB">
        <w:rPr>
          <w:rStyle w:val="TextoNormalCaracter"/>
        </w:rPr>
        <w:t>-</w:t>
      </w:r>
      <w:r>
        <w:t xml:space="preserve"> Sentencias </w:t>
      </w:r>
      <w:hyperlink w:anchor="SENTENCIA_2015_7" w:history="1">
        <w:r w:rsidRPr="00DD47EB">
          <w:rPr>
            <w:rStyle w:val="TextoNormalCaracter"/>
          </w:rPr>
          <w:t>7/2015</w:t>
        </w:r>
      </w:hyperlink>
      <w:r>
        <w:t xml:space="preserve">, VP; </w:t>
      </w:r>
      <w:hyperlink w:anchor="SENTENCIA_2015_16" w:history="1">
        <w:r w:rsidRPr="00DD47EB">
          <w:rPr>
            <w:rStyle w:val="TextoNormalCaracter"/>
          </w:rPr>
          <w:t>16/2015</w:t>
        </w:r>
      </w:hyperlink>
      <w:r>
        <w:t>, VP.</w:t>
      </w:r>
    </w:p>
    <w:p w:rsidR="00DD47EB" w:rsidRDefault="00DD47EB" w:rsidP="00DD47EB">
      <w:pPr>
        <w:pStyle w:val="SangriaFrancesaArticulo"/>
      </w:pPr>
      <w:r w:rsidRPr="00DD47EB">
        <w:rPr>
          <w:rStyle w:val="TextoNormalNegritaCaracter"/>
        </w:rPr>
        <w:t>Artículo 100.7.</w:t>
      </w:r>
      <w:r w:rsidRPr="00DD47EB">
        <w:rPr>
          <w:rStyle w:val="TextoNormalCaracter"/>
        </w:rPr>
        <w:t>-</w:t>
      </w:r>
      <w:r>
        <w:t xml:space="preserve"> Sentencias </w:t>
      </w:r>
      <w:hyperlink w:anchor="SENTENCIA_2015_16" w:history="1">
        <w:r w:rsidRPr="00DD47EB">
          <w:rPr>
            <w:rStyle w:val="TextoNormalCaracter"/>
          </w:rPr>
          <w:t>16/2015</w:t>
        </w:r>
      </w:hyperlink>
      <w:r>
        <w:t xml:space="preserve">, f. 3; </w:t>
      </w:r>
      <w:hyperlink w:anchor="SENTENCIA_2015_34" w:history="1">
        <w:r w:rsidRPr="00DD47EB">
          <w:rPr>
            <w:rStyle w:val="TextoNormalCaracter"/>
          </w:rPr>
          <w:t>34/2015</w:t>
        </w:r>
      </w:hyperlink>
      <w:r>
        <w:t xml:space="preserve">, f. 3; </w:t>
      </w:r>
      <w:hyperlink w:anchor="SENTENCIA_2015_35" w:history="1">
        <w:r w:rsidRPr="00DD47EB">
          <w:rPr>
            <w:rStyle w:val="TextoNormalCaracter"/>
          </w:rPr>
          <w:t>35/2015</w:t>
        </w:r>
      </w:hyperlink>
      <w:r>
        <w:t xml:space="preserve">, f. 3; </w:t>
      </w:r>
      <w:hyperlink w:anchor="SENTENCIA_2015_40" w:history="1">
        <w:r w:rsidRPr="00DD47EB">
          <w:rPr>
            <w:rStyle w:val="TextoNormalCaracter"/>
          </w:rPr>
          <w:t>40/2015</w:t>
        </w:r>
      </w:hyperlink>
      <w:r>
        <w:t xml:space="preserve">, f. 3; </w:t>
      </w:r>
      <w:hyperlink w:anchor="SENTENCIA_2015_53" w:history="1">
        <w:r w:rsidRPr="00DD47EB">
          <w:rPr>
            <w:rStyle w:val="TextoNormalCaracter"/>
          </w:rPr>
          <w:t>53/2015</w:t>
        </w:r>
      </w:hyperlink>
      <w:r>
        <w:t xml:space="preserve">, f. 3; </w:t>
      </w:r>
      <w:hyperlink w:anchor="SENTENCIA_2015_67" w:history="1">
        <w:r w:rsidRPr="00DD47EB">
          <w:rPr>
            <w:rStyle w:val="TextoNormalCaracter"/>
          </w:rPr>
          <w:t>67/2015</w:t>
        </w:r>
      </w:hyperlink>
      <w:r>
        <w:t xml:space="preserve">, f. 3; </w:t>
      </w:r>
      <w:hyperlink w:anchor="SENTENCIA_2015_69" w:history="1">
        <w:r w:rsidRPr="00DD47EB">
          <w:rPr>
            <w:rStyle w:val="TextoNormalCaracter"/>
          </w:rPr>
          <w:t>69/2015</w:t>
        </w:r>
      </w:hyperlink>
      <w:r>
        <w:t xml:space="preserve">, f. 3; </w:t>
      </w:r>
      <w:hyperlink w:anchor="SENTENCIA_2015_70" w:history="1">
        <w:r w:rsidRPr="00DD47EB">
          <w:rPr>
            <w:rStyle w:val="TextoNormalCaracter"/>
          </w:rPr>
          <w:t>70/2015</w:t>
        </w:r>
      </w:hyperlink>
      <w:r>
        <w:t xml:space="preserve">, f. 2; </w:t>
      </w:r>
      <w:hyperlink w:anchor="SENTENCIA_2015_72" w:history="1">
        <w:r w:rsidRPr="00DD47EB">
          <w:rPr>
            <w:rStyle w:val="TextoNormalCaracter"/>
          </w:rPr>
          <w:t>72/2015</w:t>
        </w:r>
      </w:hyperlink>
      <w:r>
        <w:t xml:space="preserve">, f. 3; </w:t>
      </w:r>
      <w:hyperlink w:anchor="SENTENCIA_2015_75" w:history="1">
        <w:r w:rsidRPr="00DD47EB">
          <w:rPr>
            <w:rStyle w:val="TextoNormalCaracter"/>
          </w:rPr>
          <w:t>75/2015</w:t>
        </w:r>
      </w:hyperlink>
      <w:r>
        <w:t xml:space="preserve">, f. 3; </w:t>
      </w:r>
      <w:hyperlink w:anchor="SENTENCIA_2015_78" w:history="1">
        <w:r w:rsidRPr="00DD47EB">
          <w:rPr>
            <w:rStyle w:val="TextoNormalCaracter"/>
          </w:rPr>
          <w:t>78/2015</w:t>
        </w:r>
      </w:hyperlink>
      <w:r>
        <w:t xml:space="preserve">, f. 3; </w:t>
      </w:r>
      <w:hyperlink w:anchor="SENTENCIA_2015_80" w:history="1">
        <w:r w:rsidRPr="00DD47EB">
          <w:rPr>
            <w:rStyle w:val="TextoNormalCaracter"/>
          </w:rPr>
          <w:t>80/2015</w:t>
        </w:r>
      </w:hyperlink>
      <w:r>
        <w:t xml:space="preserve">, f. 3; </w:t>
      </w:r>
      <w:hyperlink w:anchor="SENTENCIA_2015_82" w:history="1">
        <w:r w:rsidRPr="00DD47EB">
          <w:rPr>
            <w:rStyle w:val="TextoNormalCaracter"/>
          </w:rPr>
          <w:t>82/2015</w:t>
        </w:r>
      </w:hyperlink>
      <w:r>
        <w:t>, f. 3.</w:t>
      </w:r>
    </w:p>
    <w:p w:rsidR="00DD47EB" w:rsidRDefault="00DD47EB" w:rsidP="00DD47EB">
      <w:pPr>
        <w:pStyle w:val="SangriaFrancesaArticulo"/>
      </w:pPr>
      <w:r w:rsidRPr="00DD47EB">
        <w:rPr>
          <w:rStyle w:val="TextoNormalNegritaCaracter"/>
        </w:rPr>
        <w:t>Artículo 103.4.</w:t>
      </w:r>
      <w:r w:rsidRPr="00DD47EB">
        <w:rPr>
          <w:rStyle w:val="TextoNormalCaracter"/>
        </w:rPr>
        <w:t>-</w:t>
      </w:r>
      <w:r>
        <w:t xml:space="preserve"> Sentencia </w:t>
      </w:r>
      <w:hyperlink w:anchor="SENTENCIA_2015_50" w:history="1">
        <w:r w:rsidRPr="00DD47EB">
          <w:rPr>
            <w:rStyle w:val="TextoNormalCaracter"/>
          </w:rPr>
          <w:t>50/2015</w:t>
        </w:r>
      </w:hyperlink>
      <w:r>
        <w:t>, f. 2.</w:t>
      </w:r>
    </w:p>
    <w:p w:rsidR="00DD47EB" w:rsidRDefault="00DD47EB" w:rsidP="00DD47EB">
      <w:pPr>
        <w:pStyle w:val="SangriaFrancesaArticulo"/>
      </w:pPr>
      <w:r w:rsidRPr="00DD47EB">
        <w:rPr>
          <w:rStyle w:val="TextoNormalNegritaCaracter"/>
        </w:rPr>
        <w:t>Artículo 105.2.</w:t>
      </w:r>
      <w:r w:rsidRPr="00DD47EB">
        <w:rPr>
          <w:rStyle w:val="TextoNormalCaracter"/>
        </w:rPr>
        <w:t>-</w:t>
      </w:r>
      <w:r>
        <w:t xml:space="preserve"> Sentencia </w:t>
      </w:r>
      <w:hyperlink w:anchor="SENTENCIA_2015_50" w:history="1">
        <w:r w:rsidRPr="00DD47EB">
          <w:rPr>
            <w:rStyle w:val="TextoNormalCaracter"/>
          </w:rPr>
          <w:t>50/2015</w:t>
        </w:r>
      </w:hyperlink>
      <w:r>
        <w:t>, f. 2.</w:t>
      </w:r>
    </w:p>
    <w:p w:rsidR="00DD47EB" w:rsidRDefault="00DD47EB" w:rsidP="00DD47EB">
      <w:pPr>
        <w:pStyle w:val="SangriaFrancesaArticulo"/>
      </w:pPr>
      <w:r w:rsidRPr="00DD47EB">
        <w:rPr>
          <w:rStyle w:val="TextoNormalNegritaCaracter"/>
        </w:rPr>
        <w:t>Artículo 109.</w:t>
      </w:r>
      <w:r w:rsidRPr="00DD47EB">
        <w:rPr>
          <w:rStyle w:val="TextoNormalCaracter"/>
        </w:rPr>
        <w:t>-</w:t>
      </w:r>
      <w:r>
        <w:t xml:space="preserve"> Sentencia </w:t>
      </w:r>
      <w:hyperlink w:anchor="SENTENCIA_2015_50" w:history="1">
        <w:r w:rsidRPr="00DD47EB">
          <w:rPr>
            <w:rStyle w:val="TextoNormalCaracter"/>
          </w:rPr>
          <w:t>50/2015</w:t>
        </w:r>
      </w:hyperlink>
      <w:r>
        <w:t>, f. 2, VP.</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 </w:t>
      </w:r>
      <w:hyperlink w:anchor="SENTENCIA_2015_24" w:history="1">
        <w:r w:rsidRPr="00DD47EB">
          <w:rPr>
            <w:rStyle w:val="TextoNormalCaracter"/>
          </w:rPr>
          <w:t>24/2015</w:t>
        </w:r>
      </w:hyperlink>
      <w:r>
        <w:t>, ff. 1, 3.</w:t>
      </w:r>
    </w:p>
    <w:p w:rsidR="00DD47EB" w:rsidRDefault="00DD47EB" w:rsidP="00DD47EB">
      <w:pPr>
        <w:pStyle w:val="SangriaFrancesaArticulo"/>
      </w:pPr>
      <w:r w:rsidRPr="00DD47EB">
        <w:rPr>
          <w:rStyle w:val="TextoNormalNegritaCaracter"/>
        </w:rPr>
        <w:t>Artículo 127.2.</w:t>
      </w:r>
      <w:r w:rsidRPr="00DD47EB">
        <w:rPr>
          <w:rStyle w:val="TextoNormalCaracter"/>
        </w:rPr>
        <w:t>-</w:t>
      </w:r>
      <w:r>
        <w:t xml:space="preserve"> Sentencia </w:t>
      </w:r>
      <w:hyperlink w:anchor="SENTENCIA_2015_7" w:history="1">
        <w:r w:rsidRPr="00DD47EB">
          <w:rPr>
            <w:rStyle w:val="TextoNormalCaracter"/>
          </w:rPr>
          <w:t>7/2015</w:t>
        </w:r>
      </w:hyperlink>
      <w:r>
        <w:t>, VP.</w:t>
      </w:r>
    </w:p>
    <w:p w:rsidR="00DD47EB" w:rsidRDefault="00DD47EB" w:rsidP="00DD47EB">
      <w:pPr>
        <w:pStyle w:val="SangriaFrancesaArticulo"/>
      </w:pPr>
    </w:p>
    <w:p w:rsidR="00DD47EB" w:rsidRDefault="00DD47EB" w:rsidP="00DD47EB">
      <w:pPr>
        <w:pStyle w:val="TextoNormalNegritaCursivandice"/>
      </w:pPr>
      <w:r>
        <w:t>Ley 34/1998, de 7 de octubre. Sector de hidrocarburos</w:t>
      </w:r>
    </w:p>
    <w:p w:rsidR="00DD47EB" w:rsidRDefault="00DD47EB" w:rsidP="00DD47EB">
      <w:pPr>
        <w:pStyle w:val="SangriaFrancesaArticulo"/>
      </w:pPr>
      <w:r w:rsidRPr="00DD47EB">
        <w:rPr>
          <w:rStyle w:val="TextoNormalNegritaCaracter"/>
        </w:rPr>
        <w:t>Artículo 9.5.</w:t>
      </w:r>
      <w:r w:rsidRPr="00DD47EB">
        <w:rPr>
          <w:rStyle w:val="TextoNormalCaracter"/>
        </w:rPr>
        <w:t>-</w:t>
      </w:r>
      <w:r>
        <w:t xml:space="preserve"> Auto </w:t>
      </w:r>
      <w:hyperlink w:anchor="AUTO_2015_63" w:history="1">
        <w:r w:rsidRPr="00DD47EB">
          <w:rPr>
            <w:rStyle w:val="TextoNormalCaracter"/>
          </w:rPr>
          <w:t>63/2015</w:t>
        </w:r>
      </w:hyperlink>
      <w:r>
        <w:t>, ff. 2, 3.</w:t>
      </w:r>
    </w:p>
    <w:p w:rsidR="00DD47EB" w:rsidRDefault="00DD47EB" w:rsidP="00DD47EB">
      <w:pPr>
        <w:pStyle w:val="SangriaFrancesaArticulo"/>
      </w:pPr>
    </w:p>
    <w:p w:rsidR="00DD47EB" w:rsidRDefault="00DD47EB" w:rsidP="00DD47EB">
      <w:pPr>
        <w:pStyle w:val="TextoNormalNegritaCursivandice"/>
      </w:pPr>
      <w:r>
        <w:t>Ley 4/1999, de 13 de enero. Modificación de la Ley 30/1992, de 26 de noviembre, de  régimen jurídico de las Administraciones públicas y del procedimiento administrativo común</w:t>
      </w:r>
    </w:p>
    <w:p w:rsidR="00DD47EB" w:rsidRDefault="00DD47EB" w:rsidP="00DD47EB">
      <w:pPr>
        <w:pStyle w:val="SangriaFrancesaArticulo"/>
      </w:pPr>
      <w:r w:rsidRPr="00DD47EB">
        <w:rPr>
          <w:rStyle w:val="TextoNormalNegritaCaracter"/>
        </w:rPr>
        <w:t>Artículo 43.2.</w:t>
      </w:r>
      <w:r w:rsidRPr="00DD47EB">
        <w:rPr>
          <w:rStyle w:val="TextoNormalCaracter"/>
        </w:rPr>
        <w:t>-</w:t>
      </w:r>
      <w:r>
        <w:t xml:space="preserve"> Sentencia </w:t>
      </w:r>
      <w:hyperlink w:anchor="SENTENCIA_2015_29" w:history="1">
        <w:r w:rsidRPr="00DD47EB">
          <w:rPr>
            <w:rStyle w:val="TextoNormalCaracter"/>
          </w:rPr>
          <w:t>29/2015</w:t>
        </w:r>
      </w:hyperlink>
      <w:r>
        <w:t>, f. 5.</w:t>
      </w:r>
    </w:p>
    <w:p w:rsidR="00DD47EB" w:rsidRDefault="00DD47EB" w:rsidP="00DD47EB">
      <w:pPr>
        <w:pStyle w:val="SangriaFrancesaArticulo"/>
      </w:pPr>
    </w:p>
    <w:p w:rsidR="00DD47EB" w:rsidRDefault="00DD47EB" w:rsidP="00DD47EB">
      <w:pPr>
        <w:pStyle w:val="TextoNormalNegritaCursivandice"/>
      </w:pPr>
      <w:r>
        <w:t>Ley 41/1999, de 12 de noviembre. Sistemas de pagos y de liquidación de valores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18</w:t>
      </w:r>
      <w:r>
        <w:t xml:space="preserve"> (redactado por la Ley 16/2009, de 13 de noviembre)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18</w:t>
      </w:r>
      <w:r>
        <w:t xml:space="preserve"> (redactado por la Ley 2/2004, de 27 de diciembre)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1/2000, de 7 de enero. Enjuiciamiento civil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93" w:history="1">
        <w:r w:rsidRPr="00DD47EB">
          <w:rPr>
            <w:rStyle w:val="TextoNormalCaracter"/>
          </w:rPr>
          <w:t>93/2015</w:t>
        </w:r>
      </w:hyperlink>
      <w:r>
        <w:t xml:space="preserve">, VP II; </w:t>
      </w:r>
      <w:hyperlink w:anchor="SENTENCIA_2015_103" w:history="1">
        <w:r w:rsidRPr="00DD47EB">
          <w:rPr>
            <w:rStyle w:val="TextoNormalCaracter"/>
          </w:rPr>
          <w:t>103/2015</w:t>
        </w:r>
      </w:hyperlink>
      <w:r>
        <w:t>, f. 2.</w:t>
      </w:r>
    </w:p>
    <w:p w:rsidR="00DD47EB" w:rsidRDefault="00DD47EB" w:rsidP="00DD47EB">
      <w:pPr>
        <w:pStyle w:val="SangriaIzquierdaArticulo"/>
      </w:pPr>
      <w:r>
        <w:t xml:space="preserve">Autos </w:t>
      </w:r>
      <w:hyperlink w:anchor="AUTO_2015_1" w:history="1">
        <w:r w:rsidRPr="00DD47EB">
          <w:rPr>
            <w:rStyle w:val="TextoNormalCaracter"/>
          </w:rPr>
          <w:t>1/2015</w:t>
        </w:r>
      </w:hyperlink>
      <w:r>
        <w:t xml:space="preserve">, f. único; </w:t>
      </w:r>
      <w:hyperlink w:anchor="AUTO_2015_12" w:history="1">
        <w:r w:rsidRPr="00DD47EB">
          <w:rPr>
            <w:rStyle w:val="TextoNormalCaracter"/>
          </w:rPr>
          <w:t>12/2015</w:t>
        </w:r>
      </w:hyperlink>
      <w:r>
        <w:t xml:space="preserve">, f. único; </w:t>
      </w:r>
      <w:hyperlink w:anchor="AUTO_2015_25" w:history="1">
        <w:r w:rsidRPr="00DD47EB">
          <w:rPr>
            <w:rStyle w:val="TextoNormalCaracter"/>
          </w:rPr>
          <w:t>25/2015</w:t>
        </w:r>
      </w:hyperlink>
      <w:r>
        <w:t xml:space="preserve">, f. único; </w:t>
      </w:r>
      <w:hyperlink w:anchor="AUTO_2015_32" w:history="1">
        <w:r w:rsidRPr="00DD47EB">
          <w:rPr>
            <w:rStyle w:val="TextoNormalCaracter"/>
          </w:rPr>
          <w:t>32/2015</w:t>
        </w:r>
      </w:hyperlink>
      <w:r>
        <w:t xml:space="preserve">, f. 2; </w:t>
      </w:r>
      <w:hyperlink w:anchor="AUTO_2015_39" w:history="1">
        <w:r w:rsidRPr="00DD47EB">
          <w:rPr>
            <w:rStyle w:val="TextoNormalCaracter"/>
          </w:rPr>
          <w:t>39/2015</w:t>
        </w:r>
      </w:hyperlink>
      <w:r>
        <w:t xml:space="preserve">, f. único; </w:t>
      </w:r>
      <w:hyperlink w:anchor="AUTO_2015_40" w:history="1">
        <w:r w:rsidRPr="00DD47EB">
          <w:rPr>
            <w:rStyle w:val="TextoNormalCaracter"/>
          </w:rPr>
          <w:t>40/2015</w:t>
        </w:r>
      </w:hyperlink>
      <w:r>
        <w:t xml:space="preserve">, f. único; </w:t>
      </w:r>
      <w:hyperlink w:anchor="AUTO_2015_41" w:history="1">
        <w:r w:rsidRPr="00DD47EB">
          <w:rPr>
            <w:rStyle w:val="TextoNormalCaracter"/>
          </w:rPr>
          <w:t>41/2015</w:t>
        </w:r>
      </w:hyperlink>
      <w:r>
        <w:t xml:space="preserve">, f. único; </w:t>
      </w:r>
      <w:hyperlink w:anchor="AUTO_2015_71" w:history="1">
        <w:r w:rsidRPr="00DD47EB">
          <w:rPr>
            <w:rStyle w:val="TextoNormalCaracter"/>
          </w:rPr>
          <w:t>71/2015</w:t>
        </w:r>
      </w:hyperlink>
      <w:r>
        <w:t xml:space="preserve">, f. único; </w:t>
      </w:r>
      <w:hyperlink w:anchor="AUTO_2015_84" w:history="1">
        <w:r w:rsidRPr="00DD47EB">
          <w:rPr>
            <w:rStyle w:val="TextoNormalCaracter"/>
          </w:rPr>
          <w:t>84/2015</w:t>
        </w:r>
      </w:hyperlink>
      <w:r>
        <w:t xml:space="preserve">, ff. 2, 3; </w:t>
      </w:r>
      <w:hyperlink w:anchor="AUTO_2015_85" w:history="1">
        <w:r w:rsidRPr="00DD47EB">
          <w:rPr>
            <w:rStyle w:val="TextoNormalCaracter"/>
          </w:rPr>
          <w:t>85/2015</w:t>
        </w:r>
      </w:hyperlink>
      <w:r>
        <w:t xml:space="preserve">, f. único; </w:t>
      </w:r>
      <w:hyperlink w:anchor="AUTO_2015_104" w:history="1">
        <w:r w:rsidRPr="00DD47EB">
          <w:rPr>
            <w:rStyle w:val="TextoNormalCaracter"/>
          </w:rPr>
          <w:t>104/2015</w:t>
        </w:r>
      </w:hyperlink>
      <w:r>
        <w:t xml:space="preserve">, f. único; </w:t>
      </w:r>
      <w:hyperlink w:anchor="AUTO_2015_105" w:history="1">
        <w:r w:rsidRPr="00DD47EB">
          <w:rPr>
            <w:rStyle w:val="TextoNormalCaracter"/>
          </w:rPr>
          <w:t>105/2015</w:t>
        </w:r>
      </w:hyperlink>
      <w:r>
        <w:t xml:space="preserve">, f. único; </w:t>
      </w:r>
      <w:hyperlink w:anchor="AUTO_2015_113" w:history="1">
        <w:r w:rsidRPr="00DD47EB">
          <w:rPr>
            <w:rStyle w:val="TextoNormalCaracter"/>
          </w:rPr>
          <w:t>113/2015</w:t>
        </w:r>
      </w:hyperlink>
      <w:r>
        <w:t>, f. único.</w:t>
      </w:r>
    </w:p>
    <w:p w:rsidR="00DD47EB" w:rsidRDefault="00DD47EB" w:rsidP="00DD47EB">
      <w:pPr>
        <w:pStyle w:val="SangriaFrancesaArticulo"/>
      </w:pPr>
      <w:r w:rsidRPr="00DD47EB">
        <w:rPr>
          <w:rStyle w:val="TextoNormalNegritaCaracter"/>
        </w:rPr>
        <w:t>Libro III, título IV.</w:t>
      </w:r>
      <w:r w:rsidRPr="00DD47EB">
        <w:rPr>
          <w:rStyle w:val="TextoNormalCaracter"/>
        </w:rPr>
        <w:t>-</w:t>
      </w:r>
      <w:r>
        <w:t xml:space="preserve"> Auto </w:t>
      </w:r>
      <w:hyperlink w:anchor="AUTO_2015_84" w:history="1">
        <w:r w:rsidRPr="00DD47EB">
          <w:rPr>
            <w:rStyle w:val="TextoNormalCaracter"/>
          </w:rPr>
          <w:t>84/2015</w:t>
        </w:r>
      </w:hyperlink>
      <w:r>
        <w:t>, f. 2.</w:t>
      </w:r>
    </w:p>
    <w:p w:rsidR="00DD47EB" w:rsidRDefault="00DD47EB" w:rsidP="00DD47EB">
      <w:pPr>
        <w:pStyle w:val="SangriaFrancesaArticulo"/>
      </w:pPr>
      <w:r w:rsidRPr="00DD47EB">
        <w:rPr>
          <w:rStyle w:val="TextoNormalNegritaCaracter"/>
        </w:rPr>
        <w:t>Capítulo V.</w:t>
      </w:r>
      <w:r w:rsidRPr="00DD47EB">
        <w:rPr>
          <w:rStyle w:val="TextoNormalCaracter"/>
        </w:rPr>
        <w:t>-</w:t>
      </w:r>
      <w:r>
        <w:t xml:space="preserve"> Auto </w:t>
      </w:r>
      <w:hyperlink w:anchor="AUTO_2015_84" w:history="1">
        <w:r w:rsidRPr="00DD47EB">
          <w:rPr>
            <w:rStyle w:val="TextoNormalCaracter"/>
          </w:rPr>
          <w:t>84/2015</w:t>
        </w:r>
      </w:hyperlink>
      <w:r>
        <w:t>, f. 2.</w:t>
      </w:r>
    </w:p>
    <w:p w:rsidR="00DD47EB" w:rsidRDefault="00DD47EB" w:rsidP="00DD47EB">
      <w:pPr>
        <w:pStyle w:val="SangriaFrancesaArticulo"/>
      </w:pPr>
      <w:r w:rsidRPr="00DD47EB">
        <w:rPr>
          <w:rStyle w:val="TextoNormalNegritaCaracter"/>
        </w:rPr>
        <w:t>Artículo 19.1.</w:t>
      </w:r>
      <w:r w:rsidRPr="00DD47EB">
        <w:rPr>
          <w:rStyle w:val="TextoNormalCaracter"/>
        </w:rPr>
        <w:t>-</w:t>
      </w:r>
      <w:r>
        <w:t xml:space="preserve"> Autos </w:t>
      </w:r>
      <w:hyperlink w:anchor="AUTO_2015_3" w:history="1">
        <w:r w:rsidRPr="00DD47EB">
          <w:rPr>
            <w:rStyle w:val="TextoNormalCaracter"/>
          </w:rPr>
          <w:t>3/2015</w:t>
        </w:r>
      </w:hyperlink>
      <w:r>
        <w:t xml:space="preserve">, f. único; </w:t>
      </w:r>
      <w:hyperlink w:anchor="AUTO_2015_11" w:history="1">
        <w:r w:rsidRPr="00DD47EB">
          <w:rPr>
            <w:rStyle w:val="TextoNormalCaracter"/>
          </w:rPr>
          <w:t>11/2015</w:t>
        </w:r>
      </w:hyperlink>
      <w:r>
        <w:t xml:space="preserve">, f. único; </w:t>
      </w:r>
      <w:hyperlink w:anchor="AUTO_2015_19" w:history="1">
        <w:r w:rsidRPr="00DD47EB">
          <w:rPr>
            <w:rStyle w:val="TextoNormalCaracter"/>
          </w:rPr>
          <w:t>19/2015</w:t>
        </w:r>
      </w:hyperlink>
      <w:r>
        <w:t xml:space="preserve">, f. único; </w:t>
      </w:r>
      <w:hyperlink w:anchor="AUTO_2015_30" w:history="1">
        <w:r w:rsidRPr="00DD47EB">
          <w:rPr>
            <w:rStyle w:val="TextoNormalCaracter"/>
          </w:rPr>
          <w:t>30/2015</w:t>
        </w:r>
      </w:hyperlink>
      <w:r>
        <w:t xml:space="preserve">, f. único; </w:t>
      </w:r>
      <w:hyperlink w:anchor="AUTO_2015_46" w:history="1">
        <w:r w:rsidRPr="00DD47EB">
          <w:rPr>
            <w:rStyle w:val="TextoNormalCaracter"/>
          </w:rPr>
          <w:t>46/2015</w:t>
        </w:r>
      </w:hyperlink>
      <w:r>
        <w:t xml:space="preserve">, f. único; </w:t>
      </w:r>
      <w:hyperlink w:anchor="AUTO_2015_47" w:history="1">
        <w:r w:rsidRPr="00DD47EB">
          <w:rPr>
            <w:rStyle w:val="TextoNormalCaracter"/>
          </w:rPr>
          <w:t>47/2015</w:t>
        </w:r>
      </w:hyperlink>
      <w:r>
        <w:t xml:space="preserve">, f. único; </w:t>
      </w:r>
      <w:hyperlink w:anchor="AUTO_2015_58" w:history="1">
        <w:r w:rsidRPr="00DD47EB">
          <w:rPr>
            <w:rStyle w:val="TextoNormalCaracter"/>
          </w:rPr>
          <w:t>58/2015</w:t>
        </w:r>
      </w:hyperlink>
      <w:r>
        <w:t xml:space="preserve">, f. único; </w:t>
      </w:r>
      <w:hyperlink w:anchor="AUTO_2015_75" w:history="1">
        <w:r w:rsidRPr="00DD47EB">
          <w:rPr>
            <w:rStyle w:val="TextoNormalCaracter"/>
          </w:rPr>
          <w:t>75/2015</w:t>
        </w:r>
      </w:hyperlink>
      <w:r>
        <w:t xml:space="preserve">, f. único; </w:t>
      </w:r>
      <w:hyperlink w:anchor="AUTO_2015_89" w:history="1">
        <w:r w:rsidRPr="00DD47EB">
          <w:rPr>
            <w:rStyle w:val="TextoNormalCaracter"/>
          </w:rPr>
          <w:t>89/2015</w:t>
        </w:r>
      </w:hyperlink>
      <w:r>
        <w:t xml:space="preserve">, f. único; </w:t>
      </w:r>
      <w:hyperlink w:anchor="AUTO_2015_91" w:history="1">
        <w:r w:rsidRPr="00DD47EB">
          <w:rPr>
            <w:rStyle w:val="TextoNormalCaracter"/>
          </w:rPr>
          <w:t>91/2015</w:t>
        </w:r>
      </w:hyperlink>
      <w:r>
        <w:t xml:space="preserve">, f. único; </w:t>
      </w:r>
      <w:hyperlink w:anchor="AUTO_2015_93" w:history="1">
        <w:r w:rsidRPr="00DD47EB">
          <w:rPr>
            <w:rStyle w:val="TextoNormalCaracter"/>
          </w:rPr>
          <w:t>93/2015</w:t>
        </w:r>
      </w:hyperlink>
      <w:r>
        <w:t xml:space="preserve">, f. único; </w:t>
      </w:r>
      <w:hyperlink w:anchor="AUTO_2015_96" w:history="1">
        <w:r w:rsidRPr="00DD47EB">
          <w:rPr>
            <w:rStyle w:val="TextoNormalCaracter"/>
          </w:rPr>
          <w:t>96/2015</w:t>
        </w:r>
      </w:hyperlink>
      <w:r>
        <w:t xml:space="preserve">, f. único; </w:t>
      </w:r>
      <w:hyperlink w:anchor="AUTO_2015_107" w:history="1">
        <w:r w:rsidRPr="00DD47EB">
          <w:rPr>
            <w:rStyle w:val="TextoNormalCaracter"/>
          </w:rPr>
          <w:t>107/2015</w:t>
        </w:r>
      </w:hyperlink>
      <w:r>
        <w:t>, f. único.</w:t>
      </w:r>
    </w:p>
    <w:p w:rsidR="00DD47EB" w:rsidRDefault="00DD47EB" w:rsidP="00DD47EB">
      <w:pPr>
        <w:pStyle w:val="SangriaFrancesaArticulo"/>
      </w:pPr>
      <w:r w:rsidRPr="00DD47EB">
        <w:rPr>
          <w:rStyle w:val="TextoNormalNegritaCaracter"/>
        </w:rPr>
        <w:t>Artículo 20.2.</w:t>
      </w:r>
      <w:r w:rsidRPr="00DD47EB">
        <w:rPr>
          <w:rStyle w:val="TextoNormalCaracter"/>
        </w:rPr>
        <w:t>-</w:t>
      </w:r>
      <w:r>
        <w:t xml:space="preserve"> Autos </w:t>
      </w:r>
      <w:hyperlink w:anchor="AUTO_2015_3" w:history="1">
        <w:r w:rsidRPr="00DD47EB">
          <w:rPr>
            <w:rStyle w:val="TextoNormalCaracter"/>
          </w:rPr>
          <w:t>3/2015</w:t>
        </w:r>
      </w:hyperlink>
      <w:r>
        <w:t xml:space="preserve">, f. único; </w:t>
      </w:r>
      <w:hyperlink w:anchor="AUTO_2015_11" w:history="1">
        <w:r w:rsidRPr="00DD47EB">
          <w:rPr>
            <w:rStyle w:val="TextoNormalCaracter"/>
          </w:rPr>
          <w:t>11/2015</w:t>
        </w:r>
      </w:hyperlink>
      <w:r>
        <w:t xml:space="preserve">, f. único; </w:t>
      </w:r>
      <w:hyperlink w:anchor="AUTO_2015_19" w:history="1">
        <w:r w:rsidRPr="00DD47EB">
          <w:rPr>
            <w:rStyle w:val="TextoNormalCaracter"/>
          </w:rPr>
          <w:t>19/2015</w:t>
        </w:r>
      </w:hyperlink>
      <w:r>
        <w:t xml:space="preserve">, f. único; </w:t>
      </w:r>
      <w:hyperlink w:anchor="AUTO_2015_30" w:history="1">
        <w:r w:rsidRPr="00DD47EB">
          <w:rPr>
            <w:rStyle w:val="TextoNormalCaracter"/>
          </w:rPr>
          <w:t>30/2015</w:t>
        </w:r>
      </w:hyperlink>
      <w:r>
        <w:t xml:space="preserve">, f. único; </w:t>
      </w:r>
      <w:hyperlink w:anchor="AUTO_2015_46" w:history="1">
        <w:r w:rsidRPr="00DD47EB">
          <w:rPr>
            <w:rStyle w:val="TextoNormalCaracter"/>
          </w:rPr>
          <w:t>46/2015</w:t>
        </w:r>
      </w:hyperlink>
      <w:r>
        <w:t xml:space="preserve">, f. único; </w:t>
      </w:r>
      <w:hyperlink w:anchor="AUTO_2015_47" w:history="1">
        <w:r w:rsidRPr="00DD47EB">
          <w:rPr>
            <w:rStyle w:val="TextoNormalCaracter"/>
          </w:rPr>
          <w:t>47/2015</w:t>
        </w:r>
      </w:hyperlink>
      <w:r>
        <w:t xml:space="preserve">, f. único; </w:t>
      </w:r>
      <w:hyperlink w:anchor="AUTO_2015_58" w:history="1">
        <w:r w:rsidRPr="00DD47EB">
          <w:rPr>
            <w:rStyle w:val="TextoNormalCaracter"/>
          </w:rPr>
          <w:t>58/2015</w:t>
        </w:r>
      </w:hyperlink>
      <w:r>
        <w:t xml:space="preserve">, f. único; </w:t>
      </w:r>
      <w:hyperlink w:anchor="AUTO_2015_75" w:history="1">
        <w:r w:rsidRPr="00DD47EB">
          <w:rPr>
            <w:rStyle w:val="TextoNormalCaracter"/>
          </w:rPr>
          <w:t>75/2015</w:t>
        </w:r>
      </w:hyperlink>
      <w:r>
        <w:t xml:space="preserve">, f. único; </w:t>
      </w:r>
      <w:hyperlink w:anchor="AUTO_2015_89" w:history="1">
        <w:r w:rsidRPr="00DD47EB">
          <w:rPr>
            <w:rStyle w:val="TextoNormalCaracter"/>
          </w:rPr>
          <w:t>89/2015</w:t>
        </w:r>
      </w:hyperlink>
      <w:r>
        <w:t xml:space="preserve">, f. único; </w:t>
      </w:r>
      <w:hyperlink w:anchor="AUTO_2015_91" w:history="1">
        <w:r w:rsidRPr="00DD47EB">
          <w:rPr>
            <w:rStyle w:val="TextoNormalCaracter"/>
          </w:rPr>
          <w:t>91/2015</w:t>
        </w:r>
      </w:hyperlink>
      <w:r>
        <w:t xml:space="preserve">, f. único; </w:t>
      </w:r>
      <w:hyperlink w:anchor="AUTO_2015_93" w:history="1">
        <w:r w:rsidRPr="00DD47EB">
          <w:rPr>
            <w:rStyle w:val="TextoNormalCaracter"/>
          </w:rPr>
          <w:t>93/2015</w:t>
        </w:r>
      </w:hyperlink>
      <w:r>
        <w:t xml:space="preserve">, f. único; </w:t>
      </w:r>
      <w:hyperlink w:anchor="AUTO_2015_96" w:history="1">
        <w:r w:rsidRPr="00DD47EB">
          <w:rPr>
            <w:rStyle w:val="TextoNormalCaracter"/>
          </w:rPr>
          <w:t>96/2015</w:t>
        </w:r>
      </w:hyperlink>
      <w:r>
        <w:t xml:space="preserve">, f. único; </w:t>
      </w:r>
      <w:hyperlink w:anchor="AUTO_2015_107" w:history="1">
        <w:r w:rsidRPr="00DD47EB">
          <w:rPr>
            <w:rStyle w:val="TextoNormalCaracter"/>
          </w:rPr>
          <w:t>107/2015</w:t>
        </w:r>
      </w:hyperlink>
      <w:r>
        <w:t>, f. único.</w:t>
      </w:r>
    </w:p>
    <w:p w:rsidR="00DD47EB" w:rsidRDefault="00DD47EB" w:rsidP="00DD47EB">
      <w:pPr>
        <w:pStyle w:val="SangriaFrancesaArticulo"/>
      </w:pPr>
      <w:r w:rsidRPr="00DD47EB">
        <w:rPr>
          <w:rStyle w:val="TextoNormalNegritaCaracter"/>
        </w:rPr>
        <w:t>Artículo 20.3.</w:t>
      </w:r>
      <w:r w:rsidRPr="00DD47EB">
        <w:rPr>
          <w:rStyle w:val="TextoNormalCaracter"/>
        </w:rPr>
        <w:t>-</w:t>
      </w:r>
      <w:r>
        <w:t xml:space="preserve"> Autos </w:t>
      </w:r>
      <w:hyperlink w:anchor="AUTO_2015_3" w:history="1">
        <w:r w:rsidRPr="00DD47EB">
          <w:rPr>
            <w:rStyle w:val="TextoNormalCaracter"/>
          </w:rPr>
          <w:t>3/2015</w:t>
        </w:r>
      </w:hyperlink>
      <w:r>
        <w:t xml:space="preserve">, f. único; </w:t>
      </w:r>
      <w:hyperlink w:anchor="AUTO_2015_11" w:history="1">
        <w:r w:rsidRPr="00DD47EB">
          <w:rPr>
            <w:rStyle w:val="TextoNormalCaracter"/>
          </w:rPr>
          <w:t>11/2015</w:t>
        </w:r>
      </w:hyperlink>
      <w:r>
        <w:t xml:space="preserve">, f. único; </w:t>
      </w:r>
      <w:hyperlink w:anchor="AUTO_2015_19" w:history="1">
        <w:r w:rsidRPr="00DD47EB">
          <w:rPr>
            <w:rStyle w:val="TextoNormalCaracter"/>
          </w:rPr>
          <w:t>19/2015</w:t>
        </w:r>
      </w:hyperlink>
      <w:r>
        <w:t xml:space="preserve">, f. único; </w:t>
      </w:r>
      <w:hyperlink w:anchor="AUTO_2015_30" w:history="1">
        <w:r w:rsidRPr="00DD47EB">
          <w:rPr>
            <w:rStyle w:val="TextoNormalCaracter"/>
          </w:rPr>
          <w:t>30/2015</w:t>
        </w:r>
      </w:hyperlink>
      <w:r>
        <w:t xml:space="preserve">, f. único; </w:t>
      </w:r>
      <w:hyperlink w:anchor="AUTO_2015_46" w:history="1">
        <w:r w:rsidRPr="00DD47EB">
          <w:rPr>
            <w:rStyle w:val="TextoNormalCaracter"/>
          </w:rPr>
          <w:t>46/2015</w:t>
        </w:r>
      </w:hyperlink>
      <w:r>
        <w:t xml:space="preserve">, f. único; </w:t>
      </w:r>
      <w:hyperlink w:anchor="AUTO_2015_47" w:history="1">
        <w:r w:rsidRPr="00DD47EB">
          <w:rPr>
            <w:rStyle w:val="TextoNormalCaracter"/>
          </w:rPr>
          <w:t>47/2015</w:t>
        </w:r>
      </w:hyperlink>
      <w:r>
        <w:t xml:space="preserve">, f. único; </w:t>
      </w:r>
      <w:hyperlink w:anchor="AUTO_2015_58" w:history="1">
        <w:r w:rsidRPr="00DD47EB">
          <w:rPr>
            <w:rStyle w:val="TextoNormalCaracter"/>
          </w:rPr>
          <w:t>58/2015</w:t>
        </w:r>
      </w:hyperlink>
      <w:r>
        <w:t xml:space="preserve">, f. único; </w:t>
      </w:r>
      <w:hyperlink w:anchor="AUTO_2015_75" w:history="1">
        <w:r w:rsidRPr="00DD47EB">
          <w:rPr>
            <w:rStyle w:val="TextoNormalCaracter"/>
          </w:rPr>
          <w:t>75/2015</w:t>
        </w:r>
      </w:hyperlink>
      <w:r>
        <w:t xml:space="preserve">, f. único; </w:t>
      </w:r>
      <w:hyperlink w:anchor="AUTO_2015_89" w:history="1">
        <w:r w:rsidRPr="00DD47EB">
          <w:rPr>
            <w:rStyle w:val="TextoNormalCaracter"/>
          </w:rPr>
          <w:t>89/2015</w:t>
        </w:r>
      </w:hyperlink>
      <w:r>
        <w:t xml:space="preserve">, f. único; </w:t>
      </w:r>
      <w:hyperlink w:anchor="AUTO_2015_91" w:history="1">
        <w:r w:rsidRPr="00DD47EB">
          <w:rPr>
            <w:rStyle w:val="TextoNormalCaracter"/>
          </w:rPr>
          <w:t>91/2015</w:t>
        </w:r>
      </w:hyperlink>
      <w:r>
        <w:t xml:space="preserve">, f. único; </w:t>
      </w:r>
      <w:hyperlink w:anchor="AUTO_2015_93" w:history="1">
        <w:r w:rsidRPr="00DD47EB">
          <w:rPr>
            <w:rStyle w:val="TextoNormalCaracter"/>
          </w:rPr>
          <w:t>93/2015</w:t>
        </w:r>
      </w:hyperlink>
      <w:r>
        <w:t xml:space="preserve">, f. único; </w:t>
      </w:r>
      <w:hyperlink w:anchor="AUTO_2015_96" w:history="1">
        <w:r w:rsidRPr="00DD47EB">
          <w:rPr>
            <w:rStyle w:val="TextoNormalCaracter"/>
          </w:rPr>
          <w:t>96/2015</w:t>
        </w:r>
      </w:hyperlink>
      <w:r>
        <w:t xml:space="preserve">, f. único; </w:t>
      </w:r>
      <w:hyperlink w:anchor="AUTO_2015_107" w:history="1">
        <w:r w:rsidRPr="00DD47EB">
          <w:rPr>
            <w:rStyle w:val="TextoNormalCaracter"/>
          </w:rPr>
          <w:t>107/2015</w:t>
        </w:r>
      </w:hyperlink>
      <w:r>
        <w:t>, f. único.</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Auto </w:t>
      </w:r>
      <w:hyperlink w:anchor="AUTO_2015_108" w:history="1">
        <w:r w:rsidRPr="00DD47EB">
          <w:rPr>
            <w:rStyle w:val="TextoNormalCaracter"/>
          </w:rPr>
          <w:t>108/2015</w:t>
        </w:r>
      </w:hyperlink>
      <w:r>
        <w:t>, f. único.</w:t>
      </w:r>
    </w:p>
    <w:p w:rsidR="00DD47EB" w:rsidRDefault="00DD47EB" w:rsidP="00DD47EB">
      <w:pPr>
        <w:pStyle w:val="SangriaFrancesaArticulo"/>
      </w:pPr>
      <w:r w:rsidRPr="00DD47EB">
        <w:rPr>
          <w:rStyle w:val="TextoNormalNegritaCaracter"/>
        </w:rPr>
        <w:t>Artículo 22.1.</w:t>
      </w:r>
      <w:r w:rsidRPr="00DD47EB">
        <w:rPr>
          <w:rStyle w:val="TextoNormalCaracter"/>
        </w:rPr>
        <w:t>-</w:t>
      </w:r>
      <w:r>
        <w:t xml:space="preserve"> Auto </w:t>
      </w:r>
      <w:hyperlink w:anchor="AUTO_2015_13" w:history="1">
        <w:r w:rsidRPr="00DD47EB">
          <w:rPr>
            <w:rStyle w:val="TextoNormalCaracter"/>
          </w:rPr>
          <w:t>13/2015</w:t>
        </w:r>
      </w:hyperlink>
      <w:r>
        <w:t>, f. 3.</w:t>
      </w:r>
    </w:p>
    <w:p w:rsidR="00DD47EB" w:rsidRDefault="00DD47EB" w:rsidP="00DD47EB">
      <w:pPr>
        <w:pStyle w:val="SangriaFrancesaArticulo"/>
      </w:pPr>
      <w:r w:rsidRPr="00DD47EB">
        <w:rPr>
          <w:rStyle w:val="TextoNormalNegritaCaracter"/>
        </w:rPr>
        <w:t>Artículo 135.</w:t>
      </w:r>
      <w:r w:rsidRPr="00DD47EB">
        <w:rPr>
          <w:rStyle w:val="TextoNormalCaracter"/>
        </w:rPr>
        <w:t>-</w:t>
      </w:r>
      <w:r>
        <w:t xml:space="preserve"> Sentencia </w:t>
      </w:r>
      <w:hyperlink w:anchor="SENTENCIA_2015_103" w:history="1">
        <w:r w:rsidRPr="00DD47EB">
          <w:rPr>
            <w:rStyle w:val="TextoNormalCaracter"/>
          </w:rPr>
          <w:t>103/2015</w:t>
        </w:r>
      </w:hyperlink>
      <w:r>
        <w:t>, f. 2.</w:t>
      </w:r>
    </w:p>
    <w:p w:rsidR="00DD47EB" w:rsidRDefault="00DD47EB" w:rsidP="00DD47EB">
      <w:pPr>
        <w:pStyle w:val="SangriaFrancesaArticulo"/>
      </w:pPr>
      <w:r w:rsidRPr="00DD47EB">
        <w:rPr>
          <w:rStyle w:val="TextoNormalNegritaCaracter"/>
        </w:rPr>
        <w:t>Artículo 145.2.</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147.</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148.</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155.3.</w:t>
      </w:r>
      <w:r w:rsidRPr="00DD47EB">
        <w:rPr>
          <w:rStyle w:val="TextoNormalCaracter"/>
        </w:rPr>
        <w:t>-</w:t>
      </w:r>
      <w:r>
        <w:t xml:space="preserve"> Auto </w:t>
      </w:r>
      <w:hyperlink w:anchor="AUTO_2015_98" w:history="1">
        <w:r w:rsidRPr="00DD47EB">
          <w:rPr>
            <w:rStyle w:val="TextoNormalCaracter"/>
          </w:rPr>
          <w:t>98/2015</w:t>
        </w:r>
      </w:hyperlink>
      <w:r>
        <w:t>, f. 3.</w:t>
      </w:r>
    </w:p>
    <w:p w:rsidR="00DD47EB" w:rsidRDefault="00DD47EB" w:rsidP="00DD47EB">
      <w:pPr>
        <w:pStyle w:val="SangriaFrancesaArticulo"/>
      </w:pPr>
      <w:r w:rsidRPr="00DD47EB">
        <w:rPr>
          <w:rStyle w:val="TextoNormalNegritaCaracter"/>
        </w:rPr>
        <w:t>Artículo 164</w:t>
      </w:r>
      <w:r>
        <w:t xml:space="preserve"> (redactado por la Ley 19/2009, de 23 de noviembre)</w:t>
      </w:r>
      <w:r w:rsidRPr="00DD47EB">
        <w:rPr>
          <w:rStyle w:val="TextoNormalNegritaCaracter"/>
        </w:rPr>
        <w:t>.</w:t>
      </w:r>
      <w:r w:rsidRPr="00DD47EB">
        <w:rPr>
          <w:rStyle w:val="TextoNormalCaracter"/>
        </w:rPr>
        <w:t>-</w:t>
      </w:r>
      <w:r>
        <w:t xml:space="preserve"> Auto </w:t>
      </w:r>
      <w:hyperlink w:anchor="AUTO_2015_98" w:history="1">
        <w:r w:rsidRPr="00DD47EB">
          <w:rPr>
            <w:rStyle w:val="TextoNormalCaracter"/>
          </w:rPr>
          <w:t>98/2015</w:t>
        </w:r>
      </w:hyperlink>
      <w:r>
        <w:t>, f. 1.</w:t>
      </w:r>
    </w:p>
    <w:p w:rsidR="00DD47EB" w:rsidRDefault="00DD47EB" w:rsidP="00DD47EB">
      <w:pPr>
        <w:pStyle w:val="SangriaFrancesaArticulo"/>
      </w:pPr>
      <w:r w:rsidRPr="00DD47EB">
        <w:rPr>
          <w:rStyle w:val="TextoNormalNegritaCaracter"/>
        </w:rPr>
        <w:t>Artículo 214.</w:t>
      </w:r>
      <w:r w:rsidRPr="00DD47EB">
        <w:rPr>
          <w:rStyle w:val="TextoNormalCaracter"/>
        </w:rPr>
        <w:t>-</w:t>
      </w:r>
      <w:r>
        <w:t xml:space="preserve"> Auto </w:t>
      </w:r>
      <w:hyperlink w:anchor="AUTO_2015_110" w:history="1">
        <w:r w:rsidRPr="00DD47EB">
          <w:rPr>
            <w:rStyle w:val="TextoNormalCaracter"/>
          </w:rPr>
          <w:t>110/2015</w:t>
        </w:r>
      </w:hyperlink>
      <w:r>
        <w:t>, f. único.</w:t>
      </w:r>
    </w:p>
    <w:p w:rsidR="00DD47EB" w:rsidRDefault="00DD47EB" w:rsidP="00DD47EB">
      <w:pPr>
        <w:pStyle w:val="SangriaFrancesaArticulo"/>
      </w:pPr>
      <w:r w:rsidRPr="00DD47EB">
        <w:rPr>
          <w:rStyle w:val="TextoNormalNegritaCaracter"/>
        </w:rPr>
        <w:t>Artículo 215.</w:t>
      </w:r>
      <w:r w:rsidRPr="00DD47EB">
        <w:rPr>
          <w:rStyle w:val="TextoNormalCaracter"/>
        </w:rPr>
        <w:t>-</w:t>
      </w:r>
      <w:r>
        <w:t xml:space="preserve"> Auto </w:t>
      </w:r>
      <w:hyperlink w:anchor="AUTO_2015_110" w:history="1">
        <w:r w:rsidRPr="00DD47EB">
          <w:rPr>
            <w:rStyle w:val="TextoNormalCaracter"/>
          </w:rPr>
          <w:t>110/2015</w:t>
        </w:r>
      </w:hyperlink>
      <w:r>
        <w:t>, f. único.</w:t>
      </w:r>
    </w:p>
    <w:p w:rsidR="00DD47EB" w:rsidRDefault="00DD47EB" w:rsidP="00DD47EB">
      <w:pPr>
        <w:pStyle w:val="SangriaFrancesaArticulo"/>
      </w:pPr>
      <w:r w:rsidRPr="00DD47EB">
        <w:rPr>
          <w:rStyle w:val="TextoNormalNegritaCaracter"/>
        </w:rPr>
        <w:t>Artículo 228</w:t>
      </w:r>
      <w:r>
        <w:t xml:space="preserve"> (redactada por la Ley 13/2009, de 3 de noviembre)</w:t>
      </w:r>
      <w:r w:rsidRPr="00DD47EB">
        <w:rPr>
          <w:rStyle w:val="TextoNormalNegritaCaracter"/>
        </w:rPr>
        <w:t>.</w:t>
      </w:r>
      <w:r w:rsidRPr="00DD47EB">
        <w:rPr>
          <w:rStyle w:val="TextoNormalCaracter"/>
        </w:rPr>
        <w:t>-</w:t>
      </w:r>
      <w:r>
        <w:t xml:space="preserve"> Sentencia </w:t>
      </w:r>
      <w:hyperlink w:anchor="SENTENCIA_2015_98" w:history="1">
        <w:r w:rsidRPr="00DD47EB">
          <w:rPr>
            <w:rStyle w:val="TextoNormalCaracter"/>
          </w:rPr>
          <w:t>98/2015</w:t>
        </w:r>
      </w:hyperlink>
      <w:r>
        <w:t>, f. 3.</w:t>
      </w:r>
    </w:p>
    <w:p w:rsidR="00DD47EB" w:rsidRDefault="00DD47EB" w:rsidP="00DD47EB">
      <w:pPr>
        <w:pStyle w:val="SangriaFrancesaArticulo"/>
      </w:pPr>
      <w:r w:rsidRPr="00DD47EB">
        <w:rPr>
          <w:rStyle w:val="TextoNormalNegritaCaracter"/>
        </w:rPr>
        <w:t>Artículo 228.1.</w:t>
      </w:r>
      <w:r w:rsidRPr="00DD47EB">
        <w:rPr>
          <w:rStyle w:val="TextoNormalCaracter"/>
        </w:rPr>
        <w:t>-</w:t>
      </w:r>
      <w:r>
        <w:t xml:space="preserve"> Sentencia </w:t>
      </w:r>
      <w:hyperlink w:anchor="SENTENCIA_2015_98" w:history="1">
        <w:r w:rsidRPr="00DD47EB">
          <w:rPr>
            <w:rStyle w:val="TextoNormalCaracter"/>
          </w:rPr>
          <w:t>98/2015</w:t>
        </w:r>
      </w:hyperlink>
      <w:r>
        <w:t>, f. 4.</w:t>
      </w:r>
    </w:p>
    <w:p w:rsidR="00DD47EB" w:rsidRDefault="00DD47EB" w:rsidP="00DD47EB">
      <w:pPr>
        <w:pStyle w:val="SangriaFrancesaArticulo"/>
      </w:pPr>
      <w:r w:rsidRPr="00DD47EB">
        <w:rPr>
          <w:rStyle w:val="TextoNormalNegritaCaracter"/>
        </w:rPr>
        <w:t>Artículo 250.1.7.</w:t>
      </w:r>
      <w:r w:rsidRPr="00DD47EB">
        <w:rPr>
          <w:rStyle w:val="TextoNormalCaracter"/>
        </w:rPr>
        <w:t>-</w:t>
      </w:r>
      <w:r>
        <w:t xml:space="preserve"> Auto </w:t>
      </w:r>
      <w:hyperlink w:anchor="AUTO_2015_84" w:history="1">
        <w:r w:rsidRPr="00DD47EB">
          <w:rPr>
            <w:rStyle w:val="TextoNormalCaracter"/>
          </w:rPr>
          <w:t>84/2015</w:t>
        </w:r>
      </w:hyperlink>
      <w:r>
        <w:t>, f. 4.</w:t>
      </w:r>
    </w:p>
    <w:p w:rsidR="00DD47EB" w:rsidRDefault="00DD47EB" w:rsidP="00DD47EB">
      <w:pPr>
        <w:pStyle w:val="SangriaFrancesaArticulo"/>
      </w:pPr>
      <w:r w:rsidRPr="00DD47EB">
        <w:rPr>
          <w:rStyle w:val="TextoNormalNegritaCaracter"/>
        </w:rPr>
        <w:t>Artículo 270.</w:t>
      </w:r>
      <w:r w:rsidRPr="00DD47EB">
        <w:rPr>
          <w:rStyle w:val="TextoNormalCaracter"/>
        </w:rPr>
        <w:t>-</w:t>
      </w:r>
      <w:r>
        <w:t xml:space="preserve"> Auto </w:t>
      </w:r>
      <w:hyperlink w:anchor="AUTO_2015_32" w:history="1">
        <w:r w:rsidRPr="00DD47EB">
          <w:rPr>
            <w:rStyle w:val="TextoNormalCaracter"/>
          </w:rPr>
          <w:t>32/2015</w:t>
        </w:r>
      </w:hyperlink>
      <w:r>
        <w:t>, f. 2.</w:t>
      </w:r>
    </w:p>
    <w:p w:rsidR="00DD47EB" w:rsidRDefault="00DD47EB" w:rsidP="00DD47EB">
      <w:pPr>
        <w:pStyle w:val="SangriaFrancesaArticulo"/>
      </w:pPr>
      <w:r w:rsidRPr="00DD47EB">
        <w:rPr>
          <w:rStyle w:val="TextoNormalNegritaCaracter"/>
        </w:rPr>
        <w:t>Artículo 477</w:t>
      </w:r>
      <w:r>
        <w:t xml:space="preserve"> (redactado por la Ley 37/2011, de 10 de octubre)</w:t>
      </w:r>
      <w:r w:rsidRPr="00DD47EB">
        <w:rPr>
          <w:rStyle w:val="TextoNormalNegritaCaracter"/>
        </w:rPr>
        <w:t>.</w:t>
      </w:r>
      <w:r w:rsidRPr="00DD47EB">
        <w:rPr>
          <w:rStyle w:val="TextoNormalCaracter"/>
        </w:rPr>
        <w:t>-</w:t>
      </w:r>
      <w:r>
        <w:t xml:space="preserve"> Sentencia </w:t>
      </w:r>
      <w:hyperlink w:anchor="SENTENCIA_2015_7" w:history="1">
        <w:r w:rsidRPr="00DD47EB">
          <w:rPr>
            <w:rStyle w:val="TextoNormalCaracter"/>
          </w:rPr>
          <w:t>7/2015</w:t>
        </w:r>
      </w:hyperlink>
      <w:r>
        <w:t>, VP.</w:t>
      </w:r>
    </w:p>
    <w:p w:rsidR="00DD47EB" w:rsidRDefault="00DD47EB" w:rsidP="00DD47EB">
      <w:pPr>
        <w:pStyle w:val="SangriaFrancesaArticulo"/>
      </w:pPr>
      <w:r w:rsidRPr="00DD47EB">
        <w:rPr>
          <w:rStyle w:val="TextoNormalNegritaCaracter"/>
        </w:rPr>
        <w:t>Artículo 553.</w:t>
      </w:r>
      <w:r w:rsidRPr="00DD47EB">
        <w:rPr>
          <w:rStyle w:val="TextoNormalCaracter"/>
        </w:rPr>
        <w:t>-</w:t>
      </w:r>
      <w:r>
        <w:t xml:space="preserve"> Sentencia </w:t>
      </w:r>
      <w:hyperlink w:anchor="SENTENCIA_2015_89" w:history="1">
        <w:r w:rsidRPr="00DD47EB">
          <w:rPr>
            <w:rStyle w:val="TextoNormalCaracter"/>
          </w:rPr>
          <w:t>89/2015</w:t>
        </w:r>
      </w:hyperlink>
      <w:r>
        <w:t>, f. 3.</w:t>
      </w:r>
    </w:p>
    <w:p w:rsidR="00DD47EB" w:rsidRDefault="00DD47EB" w:rsidP="00DD47EB">
      <w:pPr>
        <w:pStyle w:val="SangriaFrancesaArticulo"/>
      </w:pPr>
      <w:r w:rsidRPr="00DD47EB">
        <w:rPr>
          <w:rStyle w:val="TextoNormalNegritaCaracter"/>
        </w:rPr>
        <w:t>Artículo 661.2.</w:t>
      </w:r>
      <w:r w:rsidRPr="00DD47EB">
        <w:rPr>
          <w:rStyle w:val="TextoNormalCaracter"/>
        </w:rPr>
        <w:t>-</w:t>
      </w:r>
      <w:r>
        <w:t xml:space="preserve"> Sentencia </w:t>
      </w:r>
      <w:hyperlink w:anchor="SENTENCIA_2015_93" w:history="1">
        <w:r w:rsidRPr="00DD47EB">
          <w:rPr>
            <w:rStyle w:val="TextoNormalCaracter"/>
          </w:rPr>
          <w:t>93/2015</w:t>
        </w:r>
      </w:hyperlink>
      <w:r>
        <w:t>, VP II.</w:t>
      </w:r>
    </w:p>
    <w:p w:rsidR="00DD47EB" w:rsidRDefault="00DD47EB" w:rsidP="00DD47EB">
      <w:pPr>
        <w:pStyle w:val="SangriaFrancesaArticulo"/>
      </w:pPr>
      <w:r w:rsidRPr="00DD47EB">
        <w:rPr>
          <w:rStyle w:val="TextoNormalNegritaCaracter"/>
        </w:rPr>
        <w:t>Artículo 675.</w:t>
      </w:r>
      <w:r w:rsidRPr="00DD47EB">
        <w:rPr>
          <w:rStyle w:val="TextoNormalCaracter"/>
        </w:rPr>
        <w:t>-</w:t>
      </w:r>
      <w:r>
        <w:t xml:space="preserve"> Sentencia </w:t>
      </w:r>
      <w:hyperlink w:anchor="SENTENCIA_2015_93" w:history="1">
        <w:r w:rsidRPr="00DD47EB">
          <w:rPr>
            <w:rStyle w:val="TextoNormalCaracter"/>
          </w:rPr>
          <w:t>93/2015</w:t>
        </w:r>
      </w:hyperlink>
      <w:r>
        <w:t>, VP II.</w:t>
      </w:r>
    </w:p>
    <w:p w:rsidR="00DD47EB" w:rsidRDefault="00DD47EB" w:rsidP="00DD47EB">
      <w:pPr>
        <w:pStyle w:val="SangriaFrancesaArticulo"/>
      </w:pPr>
      <w:r w:rsidRPr="00DD47EB">
        <w:rPr>
          <w:rStyle w:val="TextoNormalNegritaCaracter"/>
        </w:rPr>
        <w:t>Artículo 682.1.1.</w:t>
      </w:r>
      <w:r w:rsidRPr="00DD47EB">
        <w:rPr>
          <w:rStyle w:val="TextoNormalCaracter"/>
        </w:rPr>
        <w:t>-</w:t>
      </w:r>
      <w:r>
        <w:t xml:space="preserve"> Sentencia </w:t>
      </w:r>
      <w:hyperlink w:anchor="SENTENCIA_2015_39" w:history="1">
        <w:r w:rsidRPr="00DD47EB">
          <w:rPr>
            <w:rStyle w:val="TextoNormalCaracter"/>
          </w:rPr>
          <w:t>39/2015</w:t>
        </w:r>
      </w:hyperlink>
      <w:r>
        <w:t>, f. 4.</w:t>
      </w:r>
    </w:p>
    <w:p w:rsidR="00DD47EB" w:rsidRDefault="00DD47EB" w:rsidP="00DD47EB">
      <w:pPr>
        <w:pStyle w:val="SangriaFrancesaArticulo"/>
      </w:pPr>
      <w:r w:rsidRPr="00DD47EB">
        <w:rPr>
          <w:rStyle w:val="TextoNormalNegritaCaracter"/>
        </w:rPr>
        <w:t>Artículo 682.2.1.</w:t>
      </w:r>
      <w:r w:rsidRPr="00DD47EB">
        <w:rPr>
          <w:rStyle w:val="TextoNormalCaracter"/>
        </w:rPr>
        <w:t>-</w:t>
      </w:r>
      <w:r>
        <w:t xml:space="preserve"> Sentencia </w:t>
      </w:r>
      <w:hyperlink w:anchor="SENTENCIA_2015_39" w:history="1">
        <w:r w:rsidRPr="00DD47EB">
          <w:rPr>
            <w:rStyle w:val="TextoNormalCaracter"/>
          </w:rPr>
          <w:t>39/2015</w:t>
        </w:r>
      </w:hyperlink>
      <w:r>
        <w:t>, ff. 3, 7.</w:t>
      </w:r>
    </w:p>
    <w:p w:rsidR="00DD47EB" w:rsidRDefault="00DD47EB" w:rsidP="00DD47EB">
      <w:pPr>
        <w:pStyle w:val="SangriaFrancesaArticulo"/>
      </w:pPr>
      <w:r w:rsidRPr="00DD47EB">
        <w:rPr>
          <w:rStyle w:val="TextoNormalNegritaCaracter"/>
        </w:rPr>
        <w:t>Artículo 686.3</w:t>
      </w:r>
      <w:r>
        <w:t xml:space="preserve"> (redactado por la Ley 13/2009, de 3 de noviembre)</w:t>
      </w:r>
      <w:r w:rsidRPr="00DD47EB">
        <w:rPr>
          <w:rStyle w:val="TextoNormalNegritaCaracter"/>
        </w:rPr>
        <w:t>.</w:t>
      </w:r>
      <w:r w:rsidRPr="00DD47EB">
        <w:rPr>
          <w:rStyle w:val="TextoNormalCaracter"/>
        </w:rPr>
        <w:t>-</w:t>
      </w:r>
      <w:r>
        <w:t xml:space="preserve"> Sentencia </w:t>
      </w:r>
      <w:hyperlink w:anchor="SENTENCIA_2015_89" w:history="1">
        <w:r w:rsidRPr="00DD47EB">
          <w:rPr>
            <w:rStyle w:val="TextoNormalCaracter"/>
          </w:rPr>
          <w:t>89/2015</w:t>
        </w:r>
      </w:hyperlink>
      <w:r>
        <w:t>, ff. 2, 3.</w:t>
      </w:r>
    </w:p>
    <w:p w:rsidR="00DD47EB" w:rsidRDefault="00DD47EB" w:rsidP="00DD47EB">
      <w:pPr>
        <w:pStyle w:val="SangriaFrancesaArticulo"/>
      </w:pPr>
      <w:r w:rsidRPr="00DD47EB">
        <w:rPr>
          <w:rStyle w:val="TextoNormalNegritaCaracter"/>
        </w:rPr>
        <w:t>Artículo 695.</w:t>
      </w:r>
      <w:r w:rsidRPr="00DD47EB">
        <w:rPr>
          <w:rStyle w:val="TextoNormalCaracter"/>
        </w:rPr>
        <w:t>-</w:t>
      </w:r>
      <w:r>
        <w:t xml:space="preserve"> Sentencia </w:t>
      </w:r>
      <w:hyperlink w:anchor="SENTENCIA_2015_39" w:history="1">
        <w:r w:rsidRPr="00DD47EB">
          <w:rPr>
            <w:rStyle w:val="TextoNormalCaracter"/>
          </w:rPr>
          <w:t>39/2015</w:t>
        </w:r>
      </w:hyperlink>
      <w:r>
        <w:t>, ff. 3, 6.</w:t>
      </w:r>
    </w:p>
    <w:p w:rsidR="00DD47EB" w:rsidRDefault="00DD47EB" w:rsidP="00DD47EB">
      <w:pPr>
        <w:pStyle w:val="SangriaFrancesaArticulo"/>
      </w:pPr>
      <w:r w:rsidRPr="00DD47EB">
        <w:rPr>
          <w:rStyle w:val="TextoNormalNegritaCaracter"/>
        </w:rPr>
        <w:t>Artículo 695.4.</w:t>
      </w:r>
      <w:r w:rsidRPr="00DD47EB">
        <w:rPr>
          <w:rStyle w:val="TextoNormalCaracter"/>
        </w:rPr>
        <w:t>-</w:t>
      </w:r>
      <w:r>
        <w:t xml:space="preserve"> Sentencia </w:t>
      </w:r>
      <w:hyperlink w:anchor="SENTENCIA_2015_39" w:history="1">
        <w:r w:rsidRPr="00DD47EB">
          <w:rPr>
            <w:rStyle w:val="TextoNormalCaracter"/>
          </w:rPr>
          <w:t>39/2015</w:t>
        </w:r>
      </w:hyperlink>
      <w:r>
        <w:t>, f. 2.</w:t>
      </w:r>
    </w:p>
    <w:p w:rsidR="00DD47EB" w:rsidRDefault="00DD47EB" w:rsidP="00DD47EB">
      <w:pPr>
        <w:pStyle w:val="SangriaFrancesaArticulo"/>
      </w:pPr>
      <w:r w:rsidRPr="00DD47EB">
        <w:rPr>
          <w:rStyle w:val="TextoNormalNegritaCaracter"/>
        </w:rPr>
        <w:t>Artículo 698.</w:t>
      </w:r>
      <w:r w:rsidRPr="00DD47EB">
        <w:rPr>
          <w:rStyle w:val="TextoNormalCaracter"/>
        </w:rPr>
        <w:t>-</w:t>
      </w:r>
      <w:r>
        <w:t xml:space="preserve"> Sentencia </w:t>
      </w:r>
      <w:hyperlink w:anchor="SENTENCIA_2015_39" w:history="1">
        <w:r w:rsidRPr="00DD47EB">
          <w:rPr>
            <w:rStyle w:val="TextoNormalCaracter"/>
          </w:rPr>
          <w:t>39/2015</w:t>
        </w:r>
      </w:hyperlink>
      <w:r>
        <w:t>, f. 1.</w:t>
      </w:r>
    </w:p>
    <w:p w:rsidR="00DD47EB" w:rsidRDefault="00DD47EB" w:rsidP="00DD47EB">
      <w:pPr>
        <w:pStyle w:val="SangriaFrancesaArticulo"/>
      </w:pPr>
      <w:r w:rsidRPr="00DD47EB">
        <w:rPr>
          <w:rStyle w:val="TextoNormalNegritaCaracter"/>
        </w:rPr>
        <w:t>Disposición final novena, apartado 4.</w:t>
      </w:r>
      <w:r w:rsidRPr="00DD47EB">
        <w:rPr>
          <w:rStyle w:val="TextoNormalCaracter"/>
        </w:rPr>
        <w:t>-</w:t>
      </w:r>
      <w:r>
        <w:t xml:space="preserve"> Auto </w:t>
      </w:r>
      <w:hyperlink w:anchor="AUTO_2015_84" w:history="1">
        <w:r w:rsidRPr="00DD47EB">
          <w:rPr>
            <w:rStyle w:val="TextoNormalCaracter"/>
          </w:rPr>
          <w:t>84/2015</w:t>
        </w:r>
      </w:hyperlink>
      <w:r>
        <w:t>, f. 2.</w:t>
      </w:r>
    </w:p>
    <w:p w:rsidR="00DD47EB" w:rsidRDefault="00DD47EB" w:rsidP="00DD47EB">
      <w:pPr>
        <w:pStyle w:val="SangriaFrancesaArticulo"/>
      </w:pPr>
    </w:p>
    <w:p w:rsidR="00DD47EB" w:rsidRDefault="00DD47EB" w:rsidP="00DD47EB">
      <w:pPr>
        <w:pStyle w:val="TextoNormalNegritaCursivandice"/>
      </w:pPr>
      <w:r>
        <w:t>Ley 10/2001, de 5 de julio. Plan hidrológico nacional</w:t>
      </w:r>
    </w:p>
    <w:p w:rsidR="00DD47EB" w:rsidRDefault="00DD47EB" w:rsidP="00DD47EB">
      <w:pPr>
        <w:pStyle w:val="SangriaFrancesaArticulo"/>
      </w:pPr>
      <w:r w:rsidRPr="00DD47EB">
        <w:rPr>
          <w:rStyle w:val="TextoNormalNegritaCaracter"/>
        </w:rPr>
        <w:t>En general</w:t>
      </w:r>
      <w:r>
        <w:t xml:space="preserve"> (redactado por el Real Decreto-ley 2/2004, de 18 de junio)</w:t>
      </w:r>
      <w:r w:rsidRPr="00DD47EB">
        <w:rPr>
          <w:rStyle w:val="TextoNormalNegritaCaracter"/>
        </w:rPr>
        <w:t>.</w:t>
      </w:r>
      <w:r w:rsidRPr="00DD47EB">
        <w:rPr>
          <w:rStyle w:val="TextoNormalCaracter"/>
        </w:rPr>
        <w:t>-</w:t>
      </w:r>
      <w:r>
        <w:t xml:space="preserve"> Sentencia </w:t>
      </w:r>
      <w:hyperlink w:anchor="SENTENCIA_2015_13" w:history="1">
        <w:r w:rsidRPr="00DD47EB">
          <w:rPr>
            <w:rStyle w:val="TextoNormalCaracter"/>
          </w:rPr>
          <w:t>13/2015</w:t>
        </w:r>
      </w:hyperlink>
      <w:r>
        <w:t>, f. 4.</w:t>
      </w:r>
    </w:p>
    <w:p w:rsidR="00DD47EB" w:rsidRDefault="00DD47EB" w:rsidP="00DD47EB">
      <w:pPr>
        <w:pStyle w:val="SangriaFrancesaArticulo"/>
      </w:pPr>
      <w:r w:rsidRPr="00DD47EB">
        <w:rPr>
          <w:rStyle w:val="TextoNormalNegritaCaracter"/>
        </w:rPr>
        <w:t>En general</w:t>
      </w:r>
      <w:r>
        <w:t xml:space="preserve"> (redactado por la Ley 11/2005, de 22 de junio)</w:t>
      </w:r>
      <w:r w:rsidRPr="00DD47EB">
        <w:rPr>
          <w:rStyle w:val="TextoNormalNegritaCaracter"/>
        </w:rPr>
        <w:t>.</w:t>
      </w:r>
      <w:r w:rsidRPr="00DD47EB">
        <w:rPr>
          <w:rStyle w:val="TextoNormalCaracter"/>
        </w:rPr>
        <w:t>-</w:t>
      </w:r>
      <w:r>
        <w:t xml:space="preserve"> Sentencia </w:t>
      </w:r>
      <w:hyperlink w:anchor="SENTENCIA_2015_13" w:history="1">
        <w:r w:rsidRPr="00DD47EB">
          <w:rPr>
            <w:rStyle w:val="TextoNormalCaracter"/>
          </w:rPr>
          <w:t>13/2015</w:t>
        </w:r>
      </w:hyperlink>
      <w:r>
        <w:t>, f. 4.</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 </w:t>
      </w:r>
      <w:hyperlink w:anchor="SENTENCIA_2015_13" w:history="1">
        <w:r w:rsidRPr="00DD47EB">
          <w:rPr>
            <w:rStyle w:val="TextoNormalCaracter"/>
          </w:rPr>
          <w:t>13/2015</w:t>
        </w:r>
      </w:hyperlink>
      <w:r>
        <w:t>, f. 5.</w:t>
      </w:r>
    </w:p>
    <w:p w:rsidR="00DD47EB" w:rsidRDefault="00DD47EB" w:rsidP="00DD47EB">
      <w:pPr>
        <w:pStyle w:val="SangriaFrancesaArticulo"/>
      </w:pPr>
      <w:r w:rsidRPr="00DD47EB">
        <w:rPr>
          <w:rStyle w:val="TextoNormalNegritaCaracter"/>
        </w:rPr>
        <w:t>Artículo 45.1 c).</w:t>
      </w:r>
      <w:r w:rsidRPr="00DD47EB">
        <w:rPr>
          <w:rStyle w:val="TextoNormalCaracter"/>
        </w:rPr>
        <w:t>-</w:t>
      </w:r>
      <w:r>
        <w:t xml:space="preserve"> Sentencia </w:t>
      </w:r>
      <w:hyperlink w:anchor="SENTENCIA_2015_13" w:history="1">
        <w:r w:rsidRPr="00DD47EB">
          <w:rPr>
            <w:rStyle w:val="TextoNormalCaracter"/>
          </w:rPr>
          <w:t>13/2015</w:t>
        </w:r>
      </w:hyperlink>
      <w:r>
        <w:t>, f. 7.</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13" w:history="1">
        <w:r w:rsidRPr="00DD47EB">
          <w:rPr>
            <w:rStyle w:val="TextoNormalCaracter"/>
          </w:rPr>
          <w:t>13/2015</w:t>
        </w:r>
      </w:hyperlink>
      <w:r>
        <w:t>, f. 7.</w:t>
      </w:r>
    </w:p>
    <w:p w:rsidR="00DD47EB" w:rsidRDefault="00DD47EB" w:rsidP="00DD47EB">
      <w:pPr>
        <w:pStyle w:val="SangriaFrancesaArticulo"/>
      </w:pPr>
    </w:p>
    <w:p w:rsidR="00DD47EB" w:rsidRDefault="00DD47EB" w:rsidP="00DD47EB">
      <w:pPr>
        <w:pStyle w:val="TextoNormalNegritaCursivandice"/>
      </w:pPr>
      <w:r>
        <w:t>Ley 18/2001, de 12 de diciembre. General de estabilidad presupuestaria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21/2001, de 27 de diciembre.  Medidas fiscales y administrativas del nuevo sistema de financiación de las Comunidades Autónomas de régimen común y ciudades con estatuto de autonomía</w:t>
      </w:r>
    </w:p>
    <w:p w:rsidR="00DD47EB" w:rsidRDefault="00DD47EB" w:rsidP="00DD47EB">
      <w:pPr>
        <w:pStyle w:val="SangriaFrancesaArticulo"/>
      </w:pPr>
      <w:r w:rsidRPr="00DD47EB">
        <w:rPr>
          <w:rStyle w:val="TextoNormalNegritaCaracter"/>
        </w:rPr>
        <w:t>Artículo 17.1 c).</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17.1 d).</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r w:rsidRPr="00DD47EB">
        <w:rPr>
          <w:rStyle w:val="TextoNormalNegritaCaracter"/>
        </w:rPr>
        <w:t>Artículo 24.1.</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40.1 a).</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40.1 c).</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41.1 a).</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p>
    <w:p w:rsidR="00DD47EB" w:rsidRDefault="00DD47EB" w:rsidP="00DD47EB">
      <w:pPr>
        <w:pStyle w:val="TextoNormalNegritaCursivandice"/>
      </w:pPr>
      <w:r>
        <w:t>Ley 23/2001, de 27 de diciembre. Presupuestos generales del Estado para 2002</w:t>
      </w:r>
    </w:p>
    <w:p w:rsidR="00DD47EB" w:rsidRDefault="00DD47EB" w:rsidP="00DD47EB">
      <w:pPr>
        <w:pStyle w:val="SangriaFrancesaArticulo"/>
      </w:pPr>
      <w:r w:rsidRPr="00DD47EB">
        <w:rPr>
          <w:rStyle w:val="TextoNormalNegritaCaracter"/>
        </w:rPr>
        <w:t>Disposición adicional sexta,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52/2002, de 30 de diciembre. Presupuestos generales del Estado para el año 2003</w:t>
      </w:r>
    </w:p>
    <w:p w:rsidR="00DD47EB" w:rsidRDefault="00DD47EB" w:rsidP="00DD47EB">
      <w:pPr>
        <w:pStyle w:val="SangriaFrancesaArticulo"/>
      </w:pPr>
      <w:r w:rsidRPr="00DD47EB">
        <w:rPr>
          <w:rStyle w:val="TextoNormalNegritaCaracter"/>
        </w:rPr>
        <w:t>Disposición adicional quinta,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8/2003, de 24 de abril. Sanidad animal</w:t>
      </w:r>
    </w:p>
    <w:p w:rsidR="00DD47EB" w:rsidRDefault="00DD47EB" w:rsidP="00DD47EB">
      <w:pPr>
        <w:pStyle w:val="SangriaFrancesaArticulo"/>
      </w:pPr>
      <w:r w:rsidRPr="00DD47EB">
        <w:rPr>
          <w:rStyle w:val="TextoNormalNegritaCaracter"/>
        </w:rPr>
        <w:t>Artículo 36.</w:t>
      </w:r>
      <w:r w:rsidRPr="00DD47EB">
        <w:rPr>
          <w:rStyle w:val="TextoNormalCaracter"/>
        </w:rPr>
        <w:t>-</w:t>
      </w:r>
      <w:r>
        <w:t xml:space="preserve"> Sentencia </w:t>
      </w:r>
      <w:hyperlink w:anchor="SENTENCIA_2015_58" w:history="1">
        <w:r w:rsidRPr="00DD47EB">
          <w:rPr>
            <w:rStyle w:val="TextoNormalCaracter"/>
          </w:rPr>
          <w:t>58/2015</w:t>
        </w:r>
      </w:hyperlink>
      <w:r>
        <w:t>, f. 3.</w:t>
      </w:r>
    </w:p>
    <w:p w:rsidR="00DD47EB" w:rsidRDefault="00DD47EB" w:rsidP="00DD47EB">
      <w:pPr>
        <w:pStyle w:val="SangriaFrancesaArticulo"/>
      </w:pPr>
      <w:r w:rsidRPr="00DD47EB">
        <w:rPr>
          <w:rStyle w:val="TextoNormalNegritaCaracter"/>
        </w:rPr>
        <w:t>Artículo 36.2.</w:t>
      </w:r>
      <w:r w:rsidRPr="00DD47EB">
        <w:rPr>
          <w:rStyle w:val="TextoNormalCaracter"/>
        </w:rPr>
        <w:t>-</w:t>
      </w:r>
      <w:r>
        <w:t xml:space="preserve"> Sentencia </w:t>
      </w:r>
      <w:hyperlink w:anchor="SENTENCIA_2015_58" w:history="1">
        <w:r w:rsidRPr="00DD47EB">
          <w:rPr>
            <w:rStyle w:val="TextoNormalCaracter"/>
          </w:rPr>
          <w:t>58/2015</w:t>
        </w:r>
      </w:hyperlink>
      <w:r>
        <w:t>, f. 3.</w:t>
      </w:r>
    </w:p>
    <w:p w:rsidR="00DD47EB" w:rsidRDefault="00DD47EB" w:rsidP="00DD47EB">
      <w:pPr>
        <w:pStyle w:val="SangriaFrancesaArticulo"/>
      </w:pPr>
      <w:r w:rsidRPr="00DD47EB">
        <w:rPr>
          <w:rStyle w:val="TextoNormalNegritaCaracter"/>
        </w:rPr>
        <w:t>Artículo 37.</w:t>
      </w:r>
      <w:r w:rsidRPr="00DD47EB">
        <w:rPr>
          <w:rStyle w:val="TextoNormalCaracter"/>
        </w:rPr>
        <w:t>-</w:t>
      </w:r>
      <w:r>
        <w:t xml:space="preserve"> Sentencia </w:t>
      </w:r>
      <w:hyperlink w:anchor="SENTENCIA_2015_58" w:history="1">
        <w:r w:rsidRPr="00DD47EB">
          <w:rPr>
            <w:rStyle w:val="TextoNormalCaracter"/>
          </w:rPr>
          <w:t>58/2015</w:t>
        </w:r>
      </w:hyperlink>
      <w:r>
        <w:t>, f. 3.</w:t>
      </w:r>
    </w:p>
    <w:p w:rsidR="00DD47EB" w:rsidRDefault="00DD47EB" w:rsidP="00DD47EB">
      <w:pPr>
        <w:pStyle w:val="SangriaFrancesaArticulo"/>
      </w:pPr>
      <w:r w:rsidRPr="00DD47EB">
        <w:rPr>
          <w:rStyle w:val="TextoNormalNegritaCaracter"/>
        </w:rPr>
        <w:t>Artículo 38.</w:t>
      </w:r>
      <w:r w:rsidRPr="00DD47EB">
        <w:rPr>
          <w:rStyle w:val="TextoNormalCaracter"/>
        </w:rPr>
        <w:t>-</w:t>
      </w:r>
      <w:r>
        <w:t xml:space="preserve"> Sentencia </w:t>
      </w:r>
      <w:hyperlink w:anchor="SENTENCIA_2015_58" w:history="1">
        <w:r w:rsidRPr="00DD47EB">
          <w:rPr>
            <w:rStyle w:val="TextoNormalCaracter"/>
          </w:rPr>
          <w:t>58/2015</w:t>
        </w:r>
      </w:hyperlink>
      <w:r>
        <w:t>, f. 5.</w:t>
      </w:r>
    </w:p>
    <w:p w:rsidR="00DD47EB" w:rsidRDefault="00DD47EB" w:rsidP="00DD47EB">
      <w:pPr>
        <w:pStyle w:val="SangriaFrancesaArticulo"/>
      </w:pPr>
      <w:r w:rsidRPr="00DD47EB">
        <w:rPr>
          <w:rStyle w:val="TextoNormalNegritaCaracter"/>
        </w:rPr>
        <w:t>Artículo 39.</w:t>
      </w:r>
      <w:r w:rsidRPr="00DD47EB">
        <w:rPr>
          <w:rStyle w:val="TextoNormalCaracter"/>
        </w:rPr>
        <w:t>-</w:t>
      </w:r>
      <w:r>
        <w:t xml:space="preserve"> Sentencia </w:t>
      </w:r>
      <w:hyperlink w:anchor="SENTENCIA_2015_58" w:history="1">
        <w:r w:rsidRPr="00DD47EB">
          <w:rPr>
            <w:rStyle w:val="TextoNormalCaracter"/>
          </w:rPr>
          <w:t>58/2015</w:t>
        </w:r>
      </w:hyperlink>
      <w:r>
        <w:t>, f. 5.</w:t>
      </w:r>
    </w:p>
    <w:p w:rsidR="00DD47EB" w:rsidRDefault="00DD47EB" w:rsidP="00DD47EB">
      <w:pPr>
        <w:pStyle w:val="SangriaFrancesaArticulo"/>
      </w:pPr>
      <w:r w:rsidRPr="00DD47EB">
        <w:rPr>
          <w:rStyle w:val="TextoNormalNegritaCaracter"/>
        </w:rPr>
        <w:t>Artículo 54.</w:t>
      </w:r>
      <w:r w:rsidRPr="00DD47EB">
        <w:rPr>
          <w:rStyle w:val="TextoNormalCaracter"/>
        </w:rPr>
        <w:t>-</w:t>
      </w:r>
      <w:r>
        <w:t xml:space="preserve"> Sentencia </w:t>
      </w:r>
      <w:hyperlink w:anchor="SENTENCIA_2015_58" w:history="1">
        <w:r w:rsidRPr="00DD47EB">
          <w:rPr>
            <w:rStyle w:val="TextoNormalCaracter"/>
          </w:rPr>
          <w:t>58/2015</w:t>
        </w:r>
      </w:hyperlink>
      <w:r>
        <w:t>, f. 3.</w:t>
      </w:r>
    </w:p>
    <w:p w:rsidR="00DD47EB" w:rsidRDefault="00DD47EB" w:rsidP="00DD47EB">
      <w:pPr>
        <w:pStyle w:val="SangriaFrancesaArticulo"/>
      </w:pPr>
      <w:r w:rsidRPr="00DD47EB">
        <w:rPr>
          <w:rStyle w:val="TextoNormalNegritaCaracter"/>
        </w:rPr>
        <w:t>Disposición final quinta.</w:t>
      </w:r>
      <w:r w:rsidRPr="00DD47EB">
        <w:rPr>
          <w:rStyle w:val="TextoNormalCaracter"/>
        </w:rPr>
        <w:t>-</w:t>
      </w:r>
      <w:r>
        <w:t xml:space="preserve"> Sentencia </w:t>
      </w:r>
      <w:hyperlink w:anchor="SENTENCIA_2015_58" w:history="1">
        <w:r w:rsidRPr="00DD47EB">
          <w:rPr>
            <w:rStyle w:val="TextoNormalCaracter"/>
          </w:rPr>
          <w:t>58/2015</w:t>
        </w:r>
      </w:hyperlink>
      <w:r>
        <w:t>, ff. 3, 5.</w:t>
      </w:r>
    </w:p>
    <w:p w:rsidR="00DD47EB" w:rsidRDefault="00DD47EB" w:rsidP="00DD47EB">
      <w:pPr>
        <w:pStyle w:val="SangriaFrancesaArticulo"/>
      </w:pPr>
    </w:p>
    <w:p w:rsidR="00DD47EB" w:rsidRDefault="00DD47EB" w:rsidP="00DD47EB">
      <w:pPr>
        <w:pStyle w:val="TextoNormalNegritaCursivandice"/>
      </w:pPr>
      <w:r>
        <w:t>Ley 16/2003, de 28 de mayo. Cohesión y calidad del sistema nacional de salud</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84" w:history="1">
        <w:r w:rsidRPr="00DD47EB">
          <w:rPr>
            <w:rStyle w:val="TextoNormalCaracter"/>
          </w:rPr>
          <w:t>84/2015</w:t>
        </w:r>
      </w:hyperlink>
      <w:r>
        <w:t>, ff. 7, 8.</w:t>
      </w:r>
    </w:p>
    <w:p w:rsidR="00DD47EB" w:rsidRDefault="00DD47EB" w:rsidP="00DD47EB">
      <w:pPr>
        <w:pStyle w:val="SangriaFrancesaArticulo"/>
      </w:pPr>
    </w:p>
    <w:p w:rsidR="00DD47EB" w:rsidRDefault="00DD47EB" w:rsidP="00DD47EB">
      <w:pPr>
        <w:pStyle w:val="TextoNormalNegritaCursivandice"/>
      </w:pPr>
      <w:r>
        <w:t>Ley 33/2003, de 3 de noviembre. Patrimonio de las Administraciones públicas</w:t>
      </w:r>
    </w:p>
    <w:p w:rsidR="00DD47EB" w:rsidRDefault="00DD47EB" w:rsidP="00DD47EB">
      <w:pPr>
        <w:pStyle w:val="SangriaFrancesaArticulo"/>
      </w:pPr>
      <w:r w:rsidRPr="00DD47EB">
        <w:rPr>
          <w:rStyle w:val="TextoNormalNegritaCaracter"/>
        </w:rPr>
        <w:t>Artículo 166.</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p>
    <w:p w:rsidR="00DD47EB" w:rsidRDefault="00DD47EB" w:rsidP="00DD47EB">
      <w:pPr>
        <w:pStyle w:val="TextoNormalNegritaCursivandice"/>
      </w:pPr>
      <w:r>
        <w:t>Ley 38/2003, de 17 de noviembre. General de subvenciones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p>
    <w:p w:rsidR="00DD47EB" w:rsidRDefault="00DD47EB" w:rsidP="00DD47EB">
      <w:pPr>
        <w:pStyle w:val="TextoNormalNegritaCursivandice"/>
      </w:pPr>
      <w:r>
        <w:t>Ley 40/2003, de 18 de noviembre. Protección a las familias numerosas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77" w:history="1">
        <w:r w:rsidRPr="00DD47EB">
          <w:rPr>
            <w:rStyle w:val="TextoNormalCaracter"/>
          </w:rPr>
          <w:t>77/2015</w:t>
        </w:r>
      </w:hyperlink>
      <w:r>
        <w:t>, ff. 2, 4.</w:t>
      </w:r>
    </w:p>
    <w:p w:rsidR="00DD47EB" w:rsidRDefault="00DD47EB" w:rsidP="00DD47EB">
      <w:pPr>
        <w:pStyle w:val="SangriaFrancesaArticulo"/>
      </w:pPr>
      <w:r w:rsidRPr="00DD47EB">
        <w:rPr>
          <w:rStyle w:val="TextoNormalNegritaCaracter"/>
        </w:rPr>
        <w:t>Artículo 4.1.3.</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77" w:history="1">
        <w:r w:rsidRPr="00DD47EB">
          <w:rPr>
            <w:rStyle w:val="TextoNormalCaracter"/>
          </w:rPr>
          <w:t>77/2015</w:t>
        </w:r>
      </w:hyperlink>
      <w:r>
        <w:t>, f. 4.</w:t>
      </w:r>
    </w:p>
    <w:p w:rsidR="00DD47EB" w:rsidRDefault="00DD47EB" w:rsidP="00DD47EB">
      <w:pPr>
        <w:pStyle w:val="SangriaFrancesaArticulo"/>
      </w:pPr>
      <w:r w:rsidRPr="00DD47EB">
        <w:rPr>
          <w:rStyle w:val="TextoNormalNegritaCaracter"/>
        </w:rPr>
        <w:t>Artículo 5.1.</w:t>
      </w:r>
      <w:r w:rsidRPr="00DD47EB">
        <w:rPr>
          <w:rStyle w:val="TextoNormalCaracter"/>
        </w:rPr>
        <w:t>-</w:t>
      </w:r>
      <w:r>
        <w:t xml:space="preserve"> Sentencia </w:t>
      </w:r>
      <w:hyperlink w:anchor="SENTENCIA_2015_77" w:history="1">
        <w:r w:rsidRPr="00DD47EB">
          <w:rPr>
            <w:rStyle w:val="TextoNormalCaracter"/>
          </w:rPr>
          <w:t>77/2015</w:t>
        </w:r>
      </w:hyperlink>
      <w:r>
        <w:t>, ff. 2, 4.</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77" w:history="1">
        <w:r w:rsidRPr="00DD47EB">
          <w:rPr>
            <w:rStyle w:val="TextoNormalCaracter"/>
          </w:rPr>
          <w:t>77/2015</w:t>
        </w:r>
      </w:hyperlink>
      <w:r>
        <w:t>, f. 4.</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Sentencia </w:t>
      </w:r>
      <w:hyperlink w:anchor="SENTENCIA_2015_77" w:history="1">
        <w:r w:rsidRPr="00DD47EB">
          <w:rPr>
            <w:rStyle w:val="TextoNormalCaracter"/>
          </w:rPr>
          <w:t>77/2015</w:t>
        </w:r>
      </w:hyperlink>
      <w:r>
        <w:t>, ff. 2, 4.</w:t>
      </w:r>
    </w:p>
    <w:p w:rsidR="00DD47EB" w:rsidRDefault="00DD47EB" w:rsidP="00DD47EB">
      <w:pPr>
        <w:pStyle w:val="SangriaFrancesaArticulo"/>
      </w:pPr>
    </w:p>
    <w:p w:rsidR="00DD47EB" w:rsidRDefault="00DD47EB" w:rsidP="00DD47EB">
      <w:pPr>
        <w:pStyle w:val="TextoNormalNegritaCursivandice"/>
      </w:pPr>
      <w:r>
        <w:t>Ley 43/2003, de 21 de noviembre. Montes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44.3.</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p>
    <w:p w:rsidR="00DD47EB" w:rsidRDefault="00DD47EB" w:rsidP="00DD47EB">
      <w:pPr>
        <w:pStyle w:val="TextoNormalNegritaCursivandice"/>
      </w:pPr>
      <w:r>
        <w:t>Ley 47/2003, de 26 de noviembre. General presupuestaria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2.1 c).</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2.1 e).</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3.2 a).</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3.2 b).</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Artículo 40.</w:t>
      </w:r>
      <w:r w:rsidRPr="00DD47EB">
        <w:rPr>
          <w:rStyle w:val="TextoNormalCaracter"/>
        </w:rPr>
        <w:t>-</w:t>
      </w:r>
      <w:r>
        <w:t xml:space="preserve"> Sentencia </w:t>
      </w:r>
      <w:hyperlink w:anchor="SENTENCIA_2015_44" w:history="1">
        <w:r w:rsidRPr="00DD47EB">
          <w:rPr>
            <w:rStyle w:val="TextoNormalCaracter"/>
          </w:rPr>
          <w:t>44/2015</w:t>
        </w:r>
      </w:hyperlink>
      <w:r>
        <w:t>, f. 4.</w:t>
      </w:r>
    </w:p>
    <w:p w:rsidR="00DD47EB" w:rsidRDefault="00DD47EB" w:rsidP="00DD47EB">
      <w:pPr>
        <w:pStyle w:val="SangriaFrancesaArticulo"/>
      </w:pPr>
      <w:r w:rsidRPr="00DD47EB">
        <w:rPr>
          <w:rStyle w:val="TextoNormalNegritaCaracter"/>
        </w:rPr>
        <w:t>Artículo 40.1.</w:t>
      </w:r>
      <w:r w:rsidRPr="00DD47EB">
        <w:rPr>
          <w:rStyle w:val="TextoNormalCaracter"/>
        </w:rPr>
        <w:t>-</w:t>
      </w:r>
      <w:r>
        <w:t xml:space="preserve"> Sentencia </w:t>
      </w:r>
      <w:hyperlink w:anchor="SENTENCIA_2015_44" w:history="1">
        <w:r w:rsidRPr="00DD47EB">
          <w:rPr>
            <w:rStyle w:val="TextoNormalCaracter"/>
          </w:rPr>
          <w:t>44/2015</w:t>
        </w:r>
      </w:hyperlink>
      <w:r>
        <w:t>, f. 4.</w:t>
      </w:r>
    </w:p>
    <w:p w:rsidR="00DD47EB" w:rsidRDefault="00DD47EB" w:rsidP="00DD47EB">
      <w:pPr>
        <w:pStyle w:val="SangriaFrancesaArticulo"/>
      </w:pPr>
      <w:r w:rsidRPr="00DD47EB">
        <w:rPr>
          <w:rStyle w:val="TextoNormalNegritaCaracter"/>
        </w:rPr>
        <w:t>Artículo 148</w:t>
      </w:r>
      <w:r>
        <w:t xml:space="preserve"> (redactado por la Ley 2/2004, de 27 de diciembre)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55/2003, de 16 de diciembre. Estatuto marco del personal estatutario de los servicios de salud</w:t>
      </w:r>
    </w:p>
    <w:p w:rsidR="00DD47EB" w:rsidRDefault="00DD47EB" w:rsidP="00DD47EB">
      <w:pPr>
        <w:pStyle w:val="SangriaFrancesaArticulo"/>
      </w:pPr>
      <w:r w:rsidRPr="00DD47EB">
        <w:rPr>
          <w:rStyle w:val="TextoNormalNegritaCaracter"/>
        </w:rPr>
        <w:t>Artículo 21 e).</w:t>
      </w:r>
      <w:r w:rsidRPr="00DD47EB">
        <w:rPr>
          <w:rStyle w:val="TextoNormalCaracter"/>
        </w:rPr>
        <w:t>-</w:t>
      </w:r>
      <w:r>
        <w:t xml:space="preserve"> Auto </w:t>
      </w:r>
      <w:hyperlink w:anchor="AUTO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Auto </w:t>
      </w:r>
      <w:hyperlink w:anchor="AUTO_2015_103" w:history="1">
        <w:r w:rsidRPr="00DD47EB">
          <w:rPr>
            <w:rStyle w:val="TextoNormalCaracter"/>
          </w:rPr>
          <w:t>103/2015</w:t>
        </w:r>
      </w:hyperlink>
      <w:r>
        <w:t>, f. 1.</w:t>
      </w:r>
    </w:p>
    <w:p w:rsidR="00DD47EB" w:rsidRDefault="00DD47EB" w:rsidP="00DD47EB">
      <w:pPr>
        <w:pStyle w:val="SangriaFrancesaArticulo"/>
      </w:pPr>
      <w:r w:rsidRPr="00DD47EB">
        <w:rPr>
          <w:rStyle w:val="TextoNormalNegritaCaracter"/>
        </w:rPr>
        <w:t>Artículo 26.2.</w:t>
      </w:r>
      <w:r w:rsidRPr="00DD47EB">
        <w:rPr>
          <w:rStyle w:val="TextoNormalCaracter"/>
        </w:rPr>
        <w:t>-</w:t>
      </w:r>
      <w:r>
        <w:t xml:space="preserve"> Autos </w:t>
      </w:r>
      <w:hyperlink w:anchor="AUTO_2015_69" w:history="1">
        <w:r w:rsidRPr="00DD47EB">
          <w:rPr>
            <w:rStyle w:val="TextoNormalCaracter"/>
          </w:rPr>
          <w:t>69/2015</w:t>
        </w:r>
      </w:hyperlink>
      <w:r>
        <w:t xml:space="preserve">, f. 1; </w:t>
      </w:r>
      <w:hyperlink w:anchor="AUTO_2015_103" w:history="1">
        <w:r w:rsidRPr="00DD47EB">
          <w:rPr>
            <w:rStyle w:val="TextoNormalCaracter"/>
          </w:rPr>
          <w:t>103/2015</w:t>
        </w:r>
      </w:hyperlink>
      <w:r>
        <w:t>, ff. 1 a 3.</w:t>
      </w:r>
    </w:p>
    <w:p w:rsidR="00DD47EB" w:rsidRDefault="00DD47EB" w:rsidP="00DD47EB">
      <w:pPr>
        <w:pStyle w:val="SangriaFrancesaArticulo"/>
      </w:pPr>
      <w:r w:rsidRPr="00DD47EB">
        <w:rPr>
          <w:rStyle w:val="TextoNormalNegritaCaracter"/>
        </w:rPr>
        <w:t>Artículo 26.2 inciso 1.</w:t>
      </w:r>
      <w:r w:rsidRPr="00DD47EB">
        <w:rPr>
          <w:rStyle w:val="TextoNormalCaracter"/>
        </w:rPr>
        <w:t>-</w:t>
      </w:r>
      <w:r>
        <w:t xml:space="preserve"> Auto </w:t>
      </w:r>
      <w:hyperlink w:anchor="AUTO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26.3.</w:t>
      </w:r>
      <w:r w:rsidRPr="00DD47EB">
        <w:rPr>
          <w:rStyle w:val="TextoNormalCaracter"/>
        </w:rPr>
        <w:t>-</w:t>
      </w:r>
      <w:r>
        <w:t xml:space="preserve"> Auto </w:t>
      </w:r>
      <w:hyperlink w:anchor="AUTO_2015_69" w:history="1">
        <w:r w:rsidRPr="00DD47EB">
          <w:rPr>
            <w:rStyle w:val="TextoNormalCaracter"/>
          </w:rPr>
          <w:t>69/2015</w:t>
        </w:r>
      </w:hyperlink>
      <w:r>
        <w:t>, f. 1.</w:t>
      </w:r>
    </w:p>
    <w:p w:rsidR="00DD47EB" w:rsidRDefault="00DD47EB" w:rsidP="00DD47EB">
      <w:pPr>
        <w:pStyle w:val="SangriaFrancesaArticulo"/>
      </w:pPr>
    </w:p>
    <w:p w:rsidR="00DD47EB" w:rsidRDefault="00DD47EB" w:rsidP="00DD47EB">
      <w:pPr>
        <w:pStyle w:val="TextoNormalNegritaCursivandice"/>
      </w:pPr>
      <w:r>
        <w:t>Ley 56/2003, de 16 de diciembre. Empleo</w:t>
      </w:r>
    </w:p>
    <w:p w:rsidR="00DD47EB" w:rsidRDefault="00DD47EB" w:rsidP="00DD47EB">
      <w:pPr>
        <w:pStyle w:val="SangriaFrancesaArticulo"/>
      </w:pPr>
      <w:r w:rsidRPr="00DD47EB">
        <w:rPr>
          <w:rStyle w:val="TextoNormalNegritaCaracter"/>
        </w:rPr>
        <w:t>Artículo 27.4</w:t>
      </w:r>
      <w:r>
        <w:t xml:space="preserve"> (redactado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ff. 1, 5.</w:t>
      </w:r>
    </w:p>
    <w:p w:rsidR="00DD47EB" w:rsidRDefault="00DD47EB" w:rsidP="00DD47EB">
      <w:pPr>
        <w:pStyle w:val="SangriaFrancesaArticulo"/>
      </w:pPr>
      <w:r w:rsidRPr="00DD47EB">
        <w:rPr>
          <w:rStyle w:val="TextoNormalNegritaCaracter"/>
        </w:rPr>
        <w:t xml:space="preserve">Artículo 27.4 párrafo 2 inciso </w:t>
      </w:r>
      <w:r w:rsidRPr="00DD47EB">
        <w:rPr>
          <w:rStyle w:val="TextoNormalNegritaCursivaCaracter"/>
        </w:rPr>
        <w:t>in fine</w:t>
      </w:r>
      <w:r>
        <w:t xml:space="preserve"> </w:t>
      </w:r>
      <w:r w:rsidRPr="00DD47EB">
        <w:rPr>
          <w:rStyle w:val="TextoNormalCaracter"/>
        </w:rPr>
        <w:t>(redactado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f. 7.</w:t>
      </w:r>
    </w:p>
    <w:p w:rsidR="00DD47EB" w:rsidRDefault="00DD47EB" w:rsidP="00DD47EB">
      <w:pPr>
        <w:pStyle w:val="SangriaFrancesaArticulo"/>
      </w:pPr>
    </w:p>
    <w:p w:rsidR="00DD47EB" w:rsidRDefault="00DD47EB" w:rsidP="00DD47EB">
      <w:pPr>
        <w:pStyle w:val="TextoNormalNegritaCursivandice"/>
      </w:pPr>
      <w:r>
        <w:t>Ley 58/2003, de 17 de diciembre. General tributaria</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Auto </w:t>
      </w:r>
      <w:hyperlink w:anchor="AUTO_2015_20" w:history="1">
        <w:r w:rsidRPr="00DD47EB">
          <w:rPr>
            <w:rStyle w:val="TextoNormalCaracter"/>
          </w:rPr>
          <w:t>20/2015</w:t>
        </w:r>
      </w:hyperlink>
      <w:r>
        <w:t>, f. 1.</w:t>
      </w:r>
    </w:p>
    <w:p w:rsidR="00DD47EB" w:rsidRDefault="00DD47EB" w:rsidP="00DD47EB">
      <w:pPr>
        <w:pStyle w:val="SangriaFrancesaArticulo"/>
      </w:pPr>
      <w:r w:rsidRPr="00DD47EB">
        <w:rPr>
          <w:rStyle w:val="TextoNormalNegritaCaracter"/>
        </w:rPr>
        <w:t>Artículo 27.4.</w:t>
      </w:r>
      <w:r w:rsidRPr="00DD47EB">
        <w:rPr>
          <w:rStyle w:val="TextoNormalCaracter"/>
        </w:rPr>
        <w:t>-</w:t>
      </w:r>
      <w:r>
        <w:t xml:space="preserve"> Autos </w:t>
      </w:r>
      <w:hyperlink w:anchor="AUTO_2015_20" w:history="1">
        <w:r w:rsidRPr="00DD47EB">
          <w:rPr>
            <w:rStyle w:val="TextoNormalCaracter"/>
          </w:rPr>
          <w:t>20/2015</w:t>
        </w:r>
      </w:hyperlink>
      <w:r>
        <w:t xml:space="preserve">, ff. 1, 3 a 5; </w:t>
      </w:r>
      <w:hyperlink w:anchor="AUTO_2015_111" w:history="1">
        <w:r w:rsidRPr="00DD47EB">
          <w:rPr>
            <w:rStyle w:val="TextoNormalCaracter"/>
          </w:rPr>
          <w:t>111/2015</w:t>
        </w:r>
      </w:hyperlink>
      <w:r>
        <w:t>, ff. 1, 2.</w:t>
      </w:r>
    </w:p>
    <w:p w:rsidR="00DD47EB" w:rsidRDefault="00DD47EB" w:rsidP="00DD47EB">
      <w:pPr>
        <w:pStyle w:val="SangriaFrancesaArticulo"/>
      </w:pPr>
      <w:r w:rsidRPr="00DD47EB">
        <w:rPr>
          <w:rStyle w:val="TextoNormalNegritaCaracter"/>
        </w:rPr>
        <w:t>Artículo 55.3.</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f. 2.</w:t>
      </w:r>
    </w:p>
    <w:p w:rsidR="00DD47EB" w:rsidRDefault="00DD47EB" w:rsidP="00DD47EB">
      <w:pPr>
        <w:pStyle w:val="SangriaFrancesaArticulo"/>
      </w:pPr>
      <w:r w:rsidRPr="00DD47EB">
        <w:rPr>
          <w:rStyle w:val="TextoNormalNegritaCaracter"/>
        </w:rPr>
        <w:t>Artículo 184.3 b).</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191.</w:t>
      </w:r>
      <w:r w:rsidRPr="00DD47EB">
        <w:rPr>
          <w:rStyle w:val="TextoNormalCaracter"/>
        </w:rPr>
        <w:t>-</w:t>
      </w:r>
      <w:r>
        <w:t xml:space="preserve"> Auto </w:t>
      </w:r>
      <w:hyperlink w:anchor="AUTO_2015_20" w:history="1">
        <w:r w:rsidRPr="00DD47EB">
          <w:rPr>
            <w:rStyle w:val="TextoNormalCaracter"/>
          </w:rPr>
          <w:t>20/2015</w:t>
        </w:r>
      </w:hyperlink>
      <w:r>
        <w:t>, f. 5.</w:t>
      </w:r>
    </w:p>
    <w:p w:rsidR="00DD47EB" w:rsidRDefault="00DD47EB" w:rsidP="00DD47EB">
      <w:pPr>
        <w:pStyle w:val="SangriaFrancesaArticulo"/>
      </w:pPr>
      <w:r w:rsidRPr="00DD47EB">
        <w:rPr>
          <w:rStyle w:val="TextoNormalNegritaCaracter"/>
        </w:rPr>
        <w:t>Artículo 191.1.4.</w:t>
      </w:r>
      <w:r w:rsidRPr="00DD47EB">
        <w:rPr>
          <w:rStyle w:val="TextoNormalCaracter"/>
        </w:rPr>
        <w:t>-</w:t>
      </w:r>
      <w:r>
        <w:t xml:space="preserve"> Autos </w:t>
      </w:r>
      <w:hyperlink w:anchor="AUTO_2015_20" w:history="1">
        <w:r w:rsidRPr="00DD47EB">
          <w:rPr>
            <w:rStyle w:val="TextoNormalCaracter"/>
          </w:rPr>
          <w:t>20/2015</w:t>
        </w:r>
      </w:hyperlink>
      <w:r>
        <w:t xml:space="preserve">, f. 1; </w:t>
      </w:r>
      <w:hyperlink w:anchor="AUTO_2015_111" w:history="1">
        <w:r w:rsidRPr="00DD47EB">
          <w:rPr>
            <w:rStyle w:val="TextoNormalCaracter"/>
          </w:rPr>
          <w:t>111/2015</w:t>
        </w:r>
      </w:hyperlink>
      <w:r>
        <w:t>, f. 1.</w:t>
      </w:r>
    </w:p>
    <w:p w:rsidR="00DD47EB" w:rsidRDefault="00DD47EB" w:rsidP="00DD47EB">
      <w:pPr>
        <w:pStyle w:val="SangriaFrancesaArticulo"/>
      </w:pPr>
      <w:r w:rsidRPr="00DD47EB">
        <w:rPr>
          <w:rStyle w:val="TextoNormalNegritaCaracter"/>
        </w:rPr>
        <w:t>Artículo 191.2 a).</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 xml:space="preserve">Artículo 191.2 </w:t>
      </w:r>
      <w:r w:rsidRPr="00DD47EB">
        <w:rPr>
          <w:rStyle w:val="TextoNormalNegritaCursivaCaracter"/>
        </w:rPr>
        <w:t>in fine</w:t>
      </w:r>
      <w:r w:rsidRPr="00DD47EB">
        <w:rPr>
          <w:rStyle w:val="TextoNormalNegritaCaracter"/>
        </w:rPr>
        <w:t>.</w:t>
      </w:r>
      <w:r w:rsidRPr="00DD47EB">
        <w:rPr>
          <w:rStyle w:val="TextoNormalCaracter"/>
        </w:rPr>
        <w:t>-</w:t>
      </w:r>
      <w:r>
        <w:t xml:space="preserve"> Autos </w:t>
      </w:r>
      <w:hyperlink w:anchor="AUTO_2015_20" w:history="1">
        <w:r w:rsidRPr="00DD47EB">
          <w:rPr>
            <w:rStyle w:val="TextoNormalCaracter"/>
          </w:rPr>
          <w:t>20/2015</w:t>
        </w:r>
      </w:hyperlink>
      <w:r>
        <w:t xml:space="preserve">, f. 1; </w:t>
      </w:r>
      <w:hyperlink w:anchor="AUTO_2015_111" w:history="1">
        <w:r w:rsidRPr="00DD47EB">
          <w:rPr>
            <w:rStyle w:val="TextoNormalCaracter"/>
          </w:rPr>
          <w:t>111/2015</w:t>
        </w:r>
      </w:hyperlink>
      <w:r>
        <w:t>, f. 1.</w:t>
      </w:r>
    </w:p>
    <w:p w:rsidR="00DD47EB" w:rsidRDefault="00DD47EB" w:rsidP="00DD47EB">
      <w:pPr>
        <w:pStyle w:val="SangriaFrancesaArticulo"/>
      </w:pPr>
      <w:r w:rsidRPr="00DD47EB">
        <w:rPr>
          <w:rStyle w:val="TextoNormalNegritaCaracter"/>
        </w:rPr>
        <w:t>Artículo 191.3.</w:t>
      </w:r>
      <w:r w:rsidRPr="00DD47EB">
        <w:rPr>
          <w:rStyle w:val="TextoNormalCaracter"/>
        </w:rPr>
        <w:t>-</w:t>
      </w:r>
      <w:r>
        <w:t xml:space="preserve"> Auto </w:t>
      </w:r>
      <w:hyperlink w:anchor="AUTO_2015_20" w:history="1">
        <w:r w:rsidRPr="00DD47EB">
          <w:rPr>
            <w:rStyle w:val="TextoNormalCaracter"/>
          </w:rPr>
          <w:t>20/2015</w:t>
        </w:r>
      </w:hyperlink>
      <w:r>
        <w:t>, f. 5.</w:t>
      </w:r>
    </w:p>
    <w:p w:rsidR="00DD47EB" w:rsidRDefault="00DD47EB" w:rsidP="00DD47EB">
      <w:pPr>
        <w:pStyle w:val="SangriaFrancesaArticulo"/>
      </w:pPr>
      <w:r w:rsidRPr="00DD47EB">
        <w:rPr>
          <w:rStyle w:val="TextoNormalNegritaCaracter"/>
        </w:rPr>
        <w:t>Artículo 191.3 a).</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191.4.</w:t>
      </w:r>
      <w:r w:rsidRPr="00DD47EB">
        <w:rPr>
          <w:rStyle w:val="TextoNormalCaracter"/>
        </w:rPr>
        <w:t>-</w:t>
      </w:r>
      <w:r>
        <w:t xml:space="preserve"> Auto </w:t>
      </w:r>
      <w:hyperlink w:anchor="AUTO_2015_20" w:history="1">
        <w:r w:rsidRPr="00DD47EB">
          <w:rPr>
            <w:rStyle w:val="TextoNormalCaracter"/>
          </w:rPr>
          <w:t>20/2015</w:t>
        </w:r>
      </w:hyperlink>
      <w:r>
        <w:t>, f. 5.</w:t>
      </w:r>
    </w:p>
    <w:p w:rsidR="00DD47EB" w:rsidRDefault="00DD47EB" w:rsidP="00DD47EB">
      <w:pPr>
        <w:pStyle w:val="SangriaFrancesaArticulo"/>
      </w:pPr>
      <w:r w:rsidRPr="00DD47EB">
        <w:rPr>
          <w:rStyle w:val="TextoNormalNegritaCaracter"/>
        </w:rPr>
        <w:t>Artículo 191.6.</w:t>
      </w:r>
      <w:r w:rsidRPr="00DD47EB">
        <w:rPr>
          <w:rStyle w:val="TextoNormalCaracter"/>
        </w:rPr>
        <w:t>-</w:t>
      </w:r>
      <w:r>
        <w:t xml:space="preserve"> Autos </w:t>
      </w:r>
      <w:hyperlink w:anchor="AUTO_2015_20" w:history="1">
        <w:r w:rsidRPr="00DD47EB">
          <w:rPr>
            <w:rStyle w:val="TextoNormalCaracter"/>
          </w:rPr>
          <w:t>20/2015</w:t>
        </w:r>
      </w:hyperlink>
      <w:r>
        <w:t xml:space="preserve">, ff. 1, 3 a 5; </w:t>
      </w:r>
      <w:hyperlink w:anchor="AUTO_2015_111" w:history="1">
        <w:r w:rsidRPr="00DD47EB">
          <w:rPr>
            <w:rStyle w:val="TextoNormalCaracter"/>
          </w:rPr>
          <w:t>111/2015</w:t>
        </w:r>
      </w:hyperlink>
      <w:r>
        <w:t>, ff. 1, 2.</w:t>
      </w:r>
    </w:p>
    <w:p w:rsidR="00DD47EB" w:rsidRDefault="00DD47EB" w:rsidP="00DD47EB">
      <w:pPr>
        <w:pStyle w:val="SangriaFrancesaArticulo"/>
      </w:pPr>
      <w:r w:rsidRPr="00DD47EB">
        <w:rPr>
          <w:rStyle w:val="TextoNormalNegritaCaracter"/>
        </w:rPr>
        <w:t>Artículo 192.</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192 a).</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193 a).</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193.2 a).</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193.3 a).</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198.</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199.</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200.</w:t>
      </w:r>
      <w:r w:rsidRPr="00DD47EB">
        <w:rPr>
          <w:rStyle w:val="TextoNormalCaracter"/>
        </w:rPr>
        <w:t>-</w:t>
      </w:r>
      <w:r>
        <w:t xml:space="preserve"> Sentencia </w:t>
      </w:r>
      <w:hyperlink w:anchor="SENTENCIA_2015_146" w:history="1">
        <w:r w:rsidRPr="00DD47EB">
          <w:rPr>
            <w:rStyle w:val="TextoNormalCaracter"/>
          </w:rPr>
          <w:t>146/2015</w:t>
        </w:r>
      </w:hyperlink>
      <w:r>
        <w:t>, VP.</w:t>
      </w:r>
    </w:p>
    <w:p w:rsidR="00DD47EB" w:rsidRDefault="00DD47EB" w:rsidP="00DD47EB">
      <w:pPr>
        <w:pStyle w:val="SangriaFrancesaArticulo"/>
      </w:pPr>
      <w:r w:rsidRPr="00DD47EB">
        <w:rPr>
          <w:rStyle w:val="TextoNormalNegritaCaracter"/>
        </w:rPr>
        <w:t>Artículo 201.</w:t>
      </w:r>
      <w:r w:rsidRPr="00DD47EB">
        <w:rPr>
          <w:rStyle w:val="TextoNormalCaracter"/>
        </w:rPr>
        <w:t>-</w:t>
      </w:r>
      <w:r>
        <w:t xml:space="preserve"> Sentencia </w:t>
      </w:r>
      <w:hyperlink w:anchor="SENTENCIA_2015_146" w:history="1">
        <w:r w:rsidRPr="00DD47EB">
          <w:rPr>
            <w:rStyle w:val="TextoNormalCaracter"/>
          </w:rPr>
          <w:t>146/2015</w:t>
        </w:r>
      </w:hyperlink>
      <w:r>
        <w:t>, ff. 1 a 3, VP.</w:t>
      </w:r>
    </w:p>
    <w:p w:rsidR="00DD47EB" w:rsidRDefault="00DD47EB" w:rsidP="00DD47EB">
      <w:pPr>
        <w:pStyle w:val="SangriaFrancesaArticulo"/>
      </w:pPr>
      <w:r w:rsidRPr="00DD47EB">
        <w:rPr>
          <w:rStyle w:val="TextoNormalNegritaCaracter"/>
        </w:rPr>
        <w:t>Artículo 201, apartado 4.</w:t>
      </w:r>
      <w:r w:rsidRPr="00DD47EB">
        <w:rPr>
          <w:rStyle w:val="TextoNormalCaracter"/>
        </w:rPr>
        <w:t>-</w:t>
      </w:r>
      <w:r>
        <w:t xml:space="preserve"> Sentencia </w:t>
      </w:r>
      <w:hyperlink w:anchor="SENTENCIA_2015_146" w:history="1">
        <w:r w:rsidRPr="00DD47EB">
          <w:rPr>
            <w:rStyle w:val="TextoNormalCaracter"/>
          </w:rPr>
          <w:t>146/2015</w:t>
        </w:r>
      </w:hyperlink>
      <w:r>
        <w:t>, f. 3.</w:t>
      </w:r>
    </w:p>
    <w:p w:rsidR="00DD47EB" w:rsidRDefault="00DD47EB" w:rsidP="00DD47EB">
      <w:pPr>
        <w:pStyle w:val="SangriaFrancesaArticulo"/>
      </w:pPr>
      <w:r w:rsidRPr="00DD47EB">
        <w:rPr>
          <w:rStyle w:val="TextoNormalNegritaCaracter"/>
        </w:rPr>
        <w:t>Artículo 201.1.</w:t>
      </w:r>
      <w:r w:rsidRPr="00DD47EB">
        <w:rPr>
          <w:rStyle w:val="TextoNormalCaracter"/>
        </w:rPr>
        <w:t>-</w:t>
      </w:r>
      <w:r>
        <w:t xml:space="preserve"> Sentencia </w:t>
      </w:r>
      <w:hyperlink w:anchor="SENTENCIA_2015_146" w:history="1">
        <w:r w:rsidRPr="00DD47EB">
          <w:rPr>
            <w:rStyle w:val="TextoNormalCaracter"/>
          </w:rPr>
          <w:t>146/2015</w:t>
        </w:r>
      </w:hyperlink>
      <w:r>
        <w:t>, ff. 1, 3, 4, VP.</w:t>
      </w:r>
    </w:p>
    <w:p w:rsidR="00DD47EB" w:rsidRDefault="00DD47EB" w:rsidP="00DD47EB">
      <w:pPr>
        <w:pStyle w:val="SangriaFrancesaArticulo"/>
      </w:pPr>
      <w:r w:rsidRPr="00DD47EB">
        <w:rPr>
          <w:rStyle w:val="TextoNormalNegritaCaracter"/>
        </w:rPr>
        <w:t>Artículo 201.3.</w:t>
      </w:r>
      <w:r w:rsidRPr="00DD47EB">
        <w:rPr>
          <w:rStyle w:val="TextoNormalCaracter"/>
        </w:rPr>
        <w:t>-</w:t>
      </w:r>
      <w:r>
        <w:t xml:space="preserve"> Sentencia </w:t>
      </w:r>
      <w:hyperlink w:anchor="SENTENCIA_2015_146" w:history="1">
        <w:r w:rsidRPr="00DD47EB">
          <w:rPr>
            <w:rStyle w:val="TextoNormalCaracter"/>
          </w:rPr>
          <w:t>146/2015</w:t>
        </w:r>
      </w:hyperlink>
      <w:r>
        <w:t>, ff. 1, 3, 4, VP.</w:t>
      </w:r>
    </w:p>
    <w:p w:rsidR="00DD47EB" w:rsidRDefault="00DD47EB" w:rsidP="00DD47EB">
      <w:pPr>
        <w:pStyle w:val="SangriaFrancesaArticulo"/>
      </w:pPr>
      <w:r w:rsidRPr="00DD47EB">
        <w:rPr>
          <w:rStyle w:val="TextoNormalNegritaCaracter"/>
        </w:rPr>
        <w:t>Artículo 201.5.</w:t>
      </w:r>
      <w:r w:rsidRPr="00DD47EB">
        <w:rPr>
          <w:rStyle w:val="TextoNormalCaracter"/>
        </w:rPr>
        <w:t>-</w:t>
      </w:r>
      <w:r>
        <w:t xml:space="preserve"> Sentencia </w:t>
      </w:r>
      <w:hyperlink w:anchor="SENTENCIA_2015_146" w:history="1">
        <w:r w:rsidRPr="00DD47EB">
          <w:rPr>
            <w:rStyle w:val="TextoNormalCaracter"/>
          </w:rPr>
          <w:t>146/2015</w:t>
        </w:r>
      </w:hyperlink>
      <w:r>
        <w:t>, f. 1, VP.</w:t>
      </w:r>
    </w:p>
    <w:p w:rsidR="00DD47EB" w:rsidRDefault="00DD47EB" w:rsidP="00DD47EB">
      <w:pPr>
        <w:pStyle w:val="SangriaFrancesaArticulo"/>
      </w:pPr>
    </w:p>
    <w:p w:rsidR="00DD47EB" w:rsidRDefault="00DD47EB" w:rsidP="00DD47EB">
      <w:pPr>
        <w:pStyle w:val="TextoNormalNegritaCursivandice"/>
      </w:pPr>
      <w:r>
        <w:t>Ley 61/2003, de 30 de diciembre. Presupuestos generales del Estado para 2004</w:t>
      </w:r>
    </w:p>
    <w:p w:rsidR="00DD47EB" w:rsidRDefault="00DD47EB" w:rsidP="00DD47EB">
      <w:pPr>
        <w:pStyle w:val="SangriaFrancesaArticulo"/>
      </w:pPr>
      <w:r w:rsidRPr="00DD47EB">
        <w:rPr>
          <w:rStyle w:val="TextoNormalNegritaCaracter"/>
        </w:rPr>
        <w:t>Disposición adicional quinta,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1/2004, de 21 de diciembre. Horarios comerciales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7" w:history="1">
        <w:r w:rsidRPr="00DD47EB">
          <w:rPr>
            <w:rStyle w:val="TextoNormalCaracter"/>
          </w:rPr>
          <w:t>67/2015</w:t>
        </w:r>
      </w:hyperlink>
      <w:r>
        <w:t>, f. 3.</w:t>
      </w:r>
    </w:p>
    <w:p w:rsidR="00DD47EB" w:rsidRDefault="00DD47EB" w:rsidP="00DD47EB">
      <w:pPr>
        <w:pStyle w:val="SangriaFrancesaArticulo"/>
      </w:pPr>
    </w:p>
    <w:p w:rsidR="00DD47EB" w:rsidRDefault="00DD47EB" w:rsidP="00DD47EB">
      <w:pPr>
        <w:pStyle w:val="TextoNormalNegritaCursivandice"/>
      </w:pPr>
      <w:r>
        <w:t>Ley 2/2004, de 27 de diciembre. Presupuestos generales del Estado para 2005</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ff. 3, 5.</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44" w:history="1">
        <w:r w:rsidRPr="00DD47EB">
          <w:rPr>
            <w:rStyle w:val="TextoNormalCaracter"/>
          </w:rPr>
          <w:t>44/2015</w:t>
        </w:r>
      </w:hyperlink>
      <w:r>
        <w:t>, ff. 1, 2.</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44" w:history="1">
        <w:r w:rsidRPr="00DD47EB">
          <w:rPr>
            <w:rStyle w:val="TextoNormalCaracter"/>
          </w:rPr>
          <w:t>44/2015</w:t>
        </w:r>
      </w:hyperlink>
      <w:r>
        <w:t>, ff. 1, 2.</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44" w:history="1">
        <w:r w:rsidRPr="00DD47EB">
          <w:rPr>
            <w:rStyle w:val="TextoNormalCaracter"/>
          </w:rPr>
          <w:t>44/2015</w:t>
        </w:r>
      </w:hyperlink>
      <w:r>
        <w:t>, ff. 1, 2.</w:t>
      </w:r>
    </w:p>
    <w:p w:rsidR="00DD47EB" w:rsidRDefault="00DD47EB" w:rsidP="00DD47EB">
      <w:pPr>
        <w:pStyle w:val="SangriaFrancesaArticulo"/>
      </w:pPr>
      <w:r w:rsidRPr="00DD47EB">
        <w:rPr>
          <w:rStyle w:val="TextoNormalNegritaCaracter"/>
        </w:rPr>
        <w:t>Disposición adicional quinta,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r w:rsidRPr="00DD47EB">
        <w:rPr>
          <w:rStyle w:val="TextoNormalNegritaCaracter"/>
        </w:rPr>
        <w:t>Disposición adicional vigesimoctava.</w:t>
      </w:r>
      <w:r w:rsidRPr="00DD47EB">
        <w:rPr>
          <w:rStyle w:val="TextoNormalCaracter"/>
        </w:rPr>
        <w:t>-</w:t>
      </w:r>
      <w:r>
        <w:t xml:space="preserve"> Sentencia </w:t>
      </w:r>
      <w:hyperlink w:anchor="SENTENCIA_2015_44" w:history="1">
        <w:r w:rsidRPr="00DD47EB">
          <w:rPr>
            <w:rStyle w:val="TextoNormalCaracter"/>
          </w:rPr>
          <w:t>44/2015</w:t>
        </w:r>
      </w:hyperlink>
      <w:r>
        <w:t>, ff. 1, 3.</w:t>
      </w:r>
    </w:p>
    <w:p w:rsidR="00DD47EB" w:rsidRDefault="00DD47EB" w:rsidP="00DD47EB">
      <w:pPr>
        <w:pStyle w:val="SangriaFrancesaArticulo"/>
      </w:pPr>
      <w:r w:rsidRPr="00DD47EB">
        <w:rPr>
          <w:rStyle w:val="TextoNormalNegritaCaracter"/>
        </w:rPr>
        <w:t>Disposición adicional trigésima.</w:t>
      </w:r>
      <w:r w:rsidRPr="00DD47EB">
        <w:rPr>
          <w:rStyle w:val="TextoNormalCaracter"/>
        </w:rPr>
        <w:t>-</w:t>
      </w:r>
      <w:r>
        <w:t xml:space="preserve"> Sentencia </w:t>
      </w:r>
      <w:hyperlink w:anchor="SENTENCIA_2015_44" w:history="1">
        <w:r w:rsidRPr="00DD47EB">
          <w:rPr>
            <w:rStyle w:val="TextoNormalCaracter"/>
          </w:rPr>
          <w:t>44/2015</w:t>
        </w:r>
      </w:hyperlink>
      <w:r>
        <w:t>, ff. 1, 3.</w:t>
      </w:r>
    </w:p>
    <w:p w:rsidR="00DD47EB" w:rsidRDefault="00DD47EB" w:rsidP="00DD47EB">
      <w:pPr>
        <w:pStyle w:val="SangriaFrancesaArticulo"/>
      </w:pPr>
      <w:r w:rsidRPr="00DD47EB">
        <w:rPr>
          <w:rStyle w:val="TextoNormalNegritaCaracter"/>
        </w:rPr>
        <w:t>Disposición adicional trigésimo primera.</w:t>
      </w:r>
      <w:r w:rsidRPr="00DD47EB">
        <w:rPr>
          <w:rStyle w:val="TextoNormalCaracter"/>
        </w:rPr>
        <w:t>-</w:t>
      </w:r>
      <w:r>
        <w:t xml:space="preserve"> Sentencia </w:t>
      </w:r>
      <w:hyperlink w:anchor="SENTENCIA_2015_44" w:history="1">
        <w:r w:rsidRPr="00DD47EB">
          <w:rPr>
            <w:rStyle w:val="TextoNormalCaracter"/>
          </w:rPr>
          <w:t>44/2015</w:t>
        </w:r>
      </w:hyperlink>
      <w:r>
        <w:t>, ff. 1, 3.</w:t>
      </w:r>
    </w:p>
    <w:p w:rsidR="00DD47EB" w:rsidRDefault="00DD47EB" w:rsidP="00DD47EB">
      <w:pPr>
        <w:pStyle w:val="SangriaFrancesaArticulo"/>
      </w:pPr>
      <w:r w:rsidRPr="00DD47EB">
        <w:rPr>
          <w:rStyle w:val="TextoNormalNegritaCaracter"/>
        </w:rPr>
        <w:t>Disposición adicional cuadragésimo octava.</w:t>
      </w:r>
      <w:r w:rsidRPr="00DD47EB">
        <w:rPr>
          <w:rStyle w:val="TextoNormalCaracter"/>
        </w:rPr>
        <w:t>-</w:t>
      </w:r>
      <w:r>
        <w:t xml:space="preserve"> Sentencia </w:t>
      </w:r>
      <w:hyperlink w:anchor="SENTENCIA_2015_62" w:history="1">
        <w:r w:rsidRPr="00DD47EB">
          <w:rPr>
            <w:rStyle w:val="TextoNormalCaracter"/>
          </w:rPr>
          <w:t>62/2015</w:t>
        </w:r>
      </w:hyperlink>
      <w:r>
        <w:t>, ff. 1 a 3.</w:t>
      </w:r>
    </w:p>
    <w:p w:rsidR="00DD47EB" w:rsidRDefault="00DD47EB" w:rsidP="00DD47EB">
      <w:pPr>
        <w:pStyle w:val="SangriaFrancesaArticulo"/>
      </w:pPr>
      <w:r w:rsidRPr="00DD47EB">
        <w:rPr>
          <w:rStyle w:val="TextoNormalNegritaCaracter"/>
        </w:rPr>
        <w:t>Sección 12.</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14.</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15.</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Disposición adicional cuadragésima.</w:t>
      </w:r>
      <w:r w:rsidRPr="00DD47EB">
        <w:rPr>
          <w:rStyle w:val="TextoNormalCaracter"/>
        </w:rPr>
        <w:t>-</w:t>
      </w:r>
      <w:r>
        <w:t xml:space="preserve"> Sentencia </w:t>
      </w:r>
      <w:hyperlink w:anchor="SENTENCIA_2015_44" w:history="1">
        <w:r w:rsidRPr="00DD47EB">
          <w:rPr>
            <w:rStyle w:val="TextoNormalCaracter"/>
          </w:rPr>
          <w:t>44/2015</w:t>
        </w:r>
      </w:hyperlink>
      <w:r>
        <w:t>, ff. 1, 3.</w:t>
      </w:r>
    </w:p>
    <w:p w:rsidR="00DD47EB" w:rsidRDefault="00DD47EB" w:rsidP="00DD47EB">
      <w:pPr>
        <w:pStyle w:val="SangriaFrancesaArticulo"/>
      </w:pPr>
      <w:r w:rsidRPr="00DD47EB">
        <w:rPr>
          <w:rStyle w:val="TextoNormalNegritaCaracter"/>
        </w:rPr>
        <w:t>Sección 13.</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16.</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17.</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20.</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Anexo I.</w:t>
      </w:r>
      <w:r w:rsidRPr="00DD47EB">
        <w:rPr>
          <w:rStyle w:val="TextoNormalCaracter"/>
        </w:rPr>
        <w:t>-</w:t>
      </w:r>
      <w:r>
        <w:t xml:space="preserve"> Sentencia </w:t>
      </w:r>
      <w:hyperlink w:anchor="SENTENCIA_2015_44" w:history="1">
        <w:r w:rsidRPr="00DD47EB">
          <w:rPr>
            <w:rStyle w:val="TextoNormalCaracter"/>
          </w:rPr>
          <w:t>44/2015</w:t>
        </w:r>
      </w:hyperlink>
      <w:r>
        <w:t>, ff. 1, 2.</w:t>
      </w:r>
    </w:p>
    <w:p w:rsidR="00DD47EB" w:rsidRDefault="00DD47EB" w:rsidP="00DD47EB">
      <w:pPr>
        <w:pStyle w:val="SangriaFrancesaArticulo"/>
      </w:pPr>
      <w:r w:rsidRPr="00DD47EB">
        <w:rPr>
          <w:rStyle w:val="TextoNormalNegritaCaracter"/>
        </w:rPr>
        <w:t>Sección 18.</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19.</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21.</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22.</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23.</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24.</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25.</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26.</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Sección 27.</w:t>
      </w:r>
      <w:r w:rsidRPr="00DD47EB">
        <w:rPr>
          <w:rStyle w:val="TextoNormalCaracter"/>
        </w:rPr>
        <w:t>-</w:t>
      </w:r>
      <w:r>
        <w:t xml:space="preserve"> Sentencia </w:t>
      </w:r>
      <w:hyperlink w:anchor="SENTENCIA_2015_44" w:history="1">
        <w:r w:rsidRPr="00DD47EB">
          <w:rPr>
            <w:rStyle w:val="TextoNormalCaracter"/>
          </w:rPr>
          <w:t>44/2015</w:t>
        </w:r>
      </w:hyperlink>
      <w:r>
        <w:t>, ff. 1, 4.</w:t>
      </w:r>
    </w:p>
    <w:p w:rsidR="00DD47EB" w:rsidRDefault="00DD47EB" w:rsidP="00DD47EB">
      <w:pPr>
        <w:pStyle w:val="SangriaFrancesaArticulo"/>
      </w:pPr>
      <w:r w:rsidRPr="00DD47EB">
        <w:rPr>
          <w:rStyle w:val="TextoNormalNegritaCaracter"/>
        </w:rPr>
        <w:t>Disposición adicional trigésimo cuarta.</w:t>
      </w:r>
      <w:r w:rsidRPr="00DD47EB">
        <w:rPr>
          <w:rStyle w:val="TextoNormalCaracter"/>
        </w:rPr>
        <w:t>-</w:t>
      </w:r>
      <w:r>
        <w:t xml:space="preserve"> Sentencia </w:t>
      </w:r>
      <w:hyperlink w:anchor="SENTENCIA_2015_44" w:history="1">
        <w:r w:rsidRPr="00DD47EB">
          <w:rPr>
            <w:rStyle w:val="TextoNormalCaracter"/>
          </w:rPr>
          <w:t>44/2015</w:t>
        </w:r>
      </w:hyperlink>
      <w:r>
        <w:t>, ff. 1, 3.</w:t>
      </w:r>
    </w:p>
    <w:p w:rsidR="00DD47EB" w:rsidRDefault="00DD47EB" w:rsidP="00DD47EB">
      <w:pPr>
        <w:pStyle w:val="SangriaFrancesaArticulo"/>
      </w:pPr>
      <w:r w:rsidRPr="00DD47EB">
        <w:rPr>
          <w:rStyle w:val="TextoNormalNegritaCaracter"/>
        </w:rPr>
        <w:t>Disposición adicional trigésimo novena.</w:t>
      </w:r>
      <w:r w:rsidRPr="00DD47EB">
        <w:rPr>
          <w:rStyle w:val="TextoNormalCaracter"/>
        </w:rPr>
        <w:t>-</w:t>
      </w:r>
      <w:r>
        <w:t xml:space="preserve"> Sentencia </w:t>
      </w:r>
      <w:hyperlink w:anchor="SENTENCIA_2015_44" w:history="1">
        <w:r w:rsidRPr="00DD47EB">
          <w:rPr>
            <w:rStyle w:val="TextoNormalCaracter"/>
          </w:rPr>
          <w:t>44/2015</w:t>
        </w:r>
      </w:hyperlink>
      <w:r>
        <w:t>, ff. 1, 3.</w:t>
      </w:r>
    </w:p>
    <w:p w:rsidR="00DD47EB" w:rsidRDefault="00DD47EB" w:rsidP="00DD47EB">
      <w:pPr>
        <w:pStyle w:val="SangriaFrancesaArticulo"/>
      </w:pPr>
      <w:r w:rsidRPr="00DD47EB">
        <w:rPr>
          <w:rStyle w:val="TextoNormalNegritaCaracter"/>
        </w:rPr>
        <w:t>Disposición adicional cuadragésimo octava.</w:t>
      </w:r>
      <w:r w:rsidRPr="00DD47EB">
        <w:rPr>
          <w:rStyle w:val="TextoNormalCaracter"/>
        </w:rPr>
        <w:t>-</w:t>
      </w:r>
      <w:r>
        <w:t xml:space="preserve"> Sentencia </w:t>
      </w:r>
      <w:hyperlink w:anchor="SENTENCIA_2015_44" w:history="1">
        <w:r w:rsidRPr="00DD47EB">
          <w:rPr>
            <w:rStyle w:val="TextoNormalCaracter"/>
          </w:rPr>
          <w:t>44/2015</w:t>
        </w:r>
      </w:hyperlink>
      <w:r>
        <w:t>, ff. 1, 3, 5.</w:t>
      </w:r>
    </w:p>
    <w:p w:rsidR="00DD47EB" w:rsidRDefault="00DD47EB" w:rsidP="00DD47EB">
      <w:pPr>
        <w:pStyle w:val="SangriaFrancesaArticulo"/>
      </w:pPr>
      <w:r w:rsidRPr="00DD47EB">
        <w:rPr>
          <w:rStyle w:val="TextoNormalNegritaCaracter"/>
        </w:rPr>
        <w:t>Sección 31.</w:t>
      </w:r>
      <w:r w:rsidRPr="00DD47EB">
        <w:rPr>
          <w:rStyle w:val="TextoNormalCaracter"/>
        </w:rPr>
        <w:t>-</w:t>
      </w:r>
      <w:r>
        <w:t xml:space="preserve"> Sentencia </w:t>
      </w:r>
      <w:hyperlink w:anchor="SENTENCIA_2015_44" w:history="1">
        <w:r w:rsidRPr="00DD47EB">
          <w:rPr>
            <w:rStyle w:val="TextoNormalCaracter"/>
          </w:rPr>
          <w:t>44/2015</w:t>
        </w:r>
      </w:hyperlink>
      <w:r>
        <w:t>, f. 4.</w:t>
      </w:r>
    </w:p>
    <w:p w:rsidR="00DD47EB" w:rsidRDefault="00DD47EB" w:rsidP="00DD47EB">
      <w:pPr>
        <w:pStyle w:val="SangriaFrancesaArticulo"/>
      </w:pPr>
    </w:p>
    <w:p w:rsidR="00DD47EB" w:rsidRDefault="00DD47EB" w:rsidP="00DD47EB">
      <w:pPr>
        <w:pStyle w:val="TextoNormalNegritaCursivandice"/>
      </w:pPr>
      <w:r>
        <w:t>Ley 11/2005, de 22 de junio. Modificación de la Ley 10/2001, de 5 de julio, del Plan hidrológico nacional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 w:history="1">
        <w:r w:rsidRPr="00DD47EB">
          <w:rPr>
            <w:rStyle w:val="TextoNormalCaracter"/>
          </w:rPr>
          <w:t>13/2015</w:t>
        </w:r>
      </w:hyperlink>
      <w:r>
        <w:t>, f. 4.</w:t>
      </w:r>
    </w:p>
    <w:p w:rsidR="00DD47EB" w:rsidRDefault="00DD47EB" w:rsidP="00DD47EB">
      <w:pPr>
        <w:pStyle w:val="SangriaFrancesaArticulo"/>
      </w:pPr>
      <w:r w:rsidRPr="00DD47EB">
        <w:rPr>
          <w:rStyle w:val="TextoNormalNegritaCaracter"/>
        </w:rPr>
        <w:t>Disposición adicional sexta, apartado 1</w:t>
      </w:r>
      <w:r>
        <w:t xml:space="preserve"> (redactada por la Ley 21/2013, de 9 de diciembre)</w:t>
      </w:r>
      <w:r w:rsidRPr="00DD47EB">
        <w:rPr>
          <w:rStyle w:val="TextoNormalNegritaCaracter"/>
        </w:rPr>
        <w:t>.</w:t>
      </w:r>
      <w:r w:rsidRPr="00DD47EB">
        <w:rPr>
          <w:rStyle w:val="TextoNormalCaracter"/>
        </w:rPr>
        <w:t>-</w:t>
      </w:r>
      <w:r>
        <w:t xml:space="preserve"> Sentencia </w:t>
      </w:r>
      <w:hyperlink w:anchor="SENTENCIA_2015_13" w:history="1">
        <w:r w:rsidRPr="00DD47EB">
          <w:rPr>
            <w:rStyle w:val="TextoNormalCaracter"/>
          </w:rPr>
          <w:t>13/2015</w:t>
        </w:r>
      </w:hyperlink>
      <w:r>
        <w:t>, f. 7.</w:t>
      </w:r>
    </w:p>
    <w:p w:rsidR="00DD47EB" w:rsidRDefault="00DD47EB" w:rsidP="00DD47EB">
      <w:pPr>
        <w:pStyle w:val="SangriaFrancesaArticulo"/>
      </w:pPr>
    </w:p>
    <w:p w:rsidR="00DD47EB" w:rsidRDefault="00DD47EB" w:rsidP="00DD47EB">
      <w:pPr>
        <w:pStyle w:val="TextoNormalNegritaCursivandice"/>
      </w:pPr>
      <w:r>
        <w:t>Ley 30/2005, de 29 de diciembre. Presupuestos Generales del Estado para el año 2006</w:t>
      </w:r>
    </w:p>
    <w:p w:rsidR="00DD47EB" w:rsidRDefault="00DD47EB" w:rsidP="00DD47EB">
      <w:pPr>
        <w:pStyle w:val="SangriaFrancesaArticulo"/>
      </w:pPr>
      <w:r w:rsidRPr="00DD47EB">
        <w:rPr>
          <w:rStyle w:val="TextoNormalNegritaCaracter"/>
        </w:rPr>
        <w:t>Disposición adicional séptima,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27/2006, de 18 de julio. Regula los derechos de acceso a la información, de participación pública y de acceso a la justicia en materia de medio ambiente (incorpora las Directivas 2003/4/CE y 2003/35/CE)</w:t>
      </w:r>
    </w:p>
    <w:p w:rsidR="00DD47EB" w:rsidRDefault="00DD47EB" w:rsidP="00DD47EB">
      <w:pPr>
        <w:pStyle w:val="SangriaFrancesaArticulo"/>
      </w:pPr>
      <w:r w:rsidRPr="00DD47EB">
        <w:rPr>
          <w:rStyle w:val="TextoNormalNegritaCaracter"/>
        </w:rPr>
        <w:t>Artículo 1.1 a).</w:t>
      </w:r>
      <w:r w:rsidRPr="00DD47EB">
        <w:rPr>
          <w:rStyle w:val="TextoNormalCaracter"/>
        </w:rPr>
        <w:t>-</w:t>
      </w:r>
      <w:r>
        <w:t xml:space="preserve"> Sentencia </w:t>
      </w:r>
      <w:hyperlink w:anchor="SENTENCIA_2015_45" w:history="1">
        <w:r w:rsidRPr="00DD47EB">
          <w:rPr>
            <w:rStyle w:val="TextoNormalCaracter"/>
          </w:rPr>
          <w:t>45/2015</w:t>
        </w:r>
      </w:hyperlink>
      <w:r>
        <w:t>, f. 5.</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45" w:history="1">
        <w:r w:rsidRPr="00DD47EB">
          <w:rPr>
            <w:rStyle w:val="TextoNormalCaracter"/>
          </w:rPr>
          <w:t>45/2015</w:t>
        </w:r>
      </w:hyperlink>
      <w:r>
        <w:t>, f. 5.</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45" w:history="1">
        <w:r w:rsidRPr="00DD47EB">
          <w:rPr>
            <w:rStyle w:val="TextoNormalCaracter"/>
          </w:rPr>
          <w:t>45/2015</w:t>
        </w:r>
      </w:hyperlink>
      <w:r>
        <w:t>, f. 5.</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45" w:history="1">
        <w:r w:rsidRPr="00DD47EB">
          <w:rPr>
            <w:rStyle w:val="TextoNormalCaracter"/>
          </w:rPr>
          <w:t>45/2015</w:t>
        </w:r>
      </w:hyperlink>
      <w:r>
        <w:t>, f. 5.</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50" w:history="1">
        <w:r w:rsidRPr="00DD47EB">
          <w:rPr>
            <w:rStyle w:val="TextoNormalCaracter"/>
          </w:rPr>
          <w:t>50/2015</w:t>
        </w:r>
      </w:hyperlink>
      <w:r>
        <w:t>, f. 2.</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50" w:history="1">
        <w:r w:rsidRPr="00DD47EB">
          <w:rPr>
            <w:rStyle w:val="TextoNormalCaracter"/>
          </w:rPr>
          <w:t>50/2015</w:t>
        </w:r>
      </w:hyperlink>
      <w:r>
        <w:t>, f. 2.</w:t>
      </w:r>
    </w:p>
    <w:p w:rsidR="00DD47EB" w:rsidRDefault="00DD47EB" w:rsidP="00DD47EB">
      <w:pPr>
        <w:pStyle w:val="SangriaFrancesaArticulo"/>
      </w:pPr>
    </w:p>
    <w:p w:rsidR="00DD47EB" w:rsidRDefault="00DD47EB" w:rsidP="00DD47EB">
      <w:pPr>
        <w:pStyle w:val="TextoNormalNegritaCursivandice"/>
      </w:pPr>
      <w:r>
        <w:t>Ley 29/2006, de 26 de julio. Garantías y uso racional de los medicamentos y productos sanitarios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f. 1.</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Sentencias </w:t>
      </w:r>
      <w:hyperlink w:anchor="SENTENCIA_2015_62" w:history="1">
        <w:r w:rsidRPr="00DD47EB">
          <w:rPr>
            <w:rStyle w:val="TextoNormalCaracter"/>
          </w:rPr>
          <w:t>62/2015</w:t>
        </w:r>
      </w:hyperlink>
      <w:r>
        <w:t xml:space="preserve">, f. 3;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84.</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84.2 c).</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84.3.</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84.6.</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85.</w:t>
      </w:r>
      <w:r w:rsidRPr="00DD47EB">
        <w:rPr>
          <w:rStyle w:val="TextoNormalCaracter"/>
        </w:rPr>
        <w:t>-</w:t>
      </w:r>
      <w:r>
        <w:t xml:space="preserve"> Sentencia </w:t>
      </w:r>
      <w:hyperlink w:anchor="SENTENCIA_2015_6" w:history="1">
        <w:r w:rsidRPr="00DD47EB">
          <w:rPr>
            <w:rStyle w:val="TextoNormalCaracter"/>
          </w:rPr>
          <w:t>6/2015</w:t>
        </w:r>
      </w:hyperlink>
      <w:r>
        <w:t>, f. 2.</w:t>
      </w:r>
    </w:p>
    <w:p w:rsidR="00DD47EB" w:rsidRDefault="00DD47EB" w:rsidP="00DD47EB">
      <w:pPr>
        <w:pStyle w:val="SangriaFrancesaArticulo"/>
      </w:pPr>
      <w:r w:rsidRPr="00DD47EB">
        <w:rPr>
          <w:rStyle w:val="TextoNormalNegritaCaracter"/>
        </w:rPr>
        <w:t>Artículo 88.</w:t>
      </w:r>
      <w:r w:rsidRPr="00DD47EB">
        <w:rPr>
          <w:rStyle w:val="TextoNormalCaracter"/>
        </w:rPr>
        <w:t>-</w:t>
      </w:r>
      <w:r>
        <w:t xml:space="preserve"> Sentencia </w:t>
      </w:r>
      <w:hyperlink w:anchor="SENTENCIA_2015_6" w:history="1">
        <w:r w:rsidRPr="00DD47EB">
          <w:rPr>
            <w:rStyle w:val="TextoNormalCaracter"/>
          </w:rPr>
          <w:t>6/2015</w:t>
        </w:r>
      </w:hyperlink>
      <w:r>
        <w:t>, f. 2.</w:t>
      </w:r>
    </w:p>
    <w:p w:rsidR="00DD47EB" w:rsidRDefault="00DD47EB" w:rsidP="00DD47EB">
      <w:pPr>
        <w:pStyle w:val="SangriaFrancesaArticulo"/>
      </w:pPr>
      <w:r w:rsidRPr="00DD47EB">
        <w:rPr>
          <w:rStyle w:val="TextoNormalNegritaCaracter"/>
        </w:rPr>
        <w:t>Artículo 88.1.</w:t>
      </w:r>
      <w:r w:rsidRPr="00DD47EB">
        <w:rPr>
          <w:rStyle w:val="TextoNormalCaracter"/>
        </w:rPr>
        <w:t>-</w:t>
      </w:r>
      <w:r>
        <w:t xml:space="preserve"> Sentencia </w:t>
      </w:r>
      <w:hyperlink w:anchor="SENTENCIA_2015_6" w:history="1">
        <w:r w:rsidRPr="00DD47EB">
          <w:rPr>
            <w:rStyle w:val="TextoNormalCaracter"/>
          </w:rPr>
          <w:t>6/2015</w:t>
        </w:r>
      </w:hyperlink>
      <w:r>
        <w:t>, f. 2.</w:t>
      </w:r>
    </w:p>
    <w:p w:rsidR="00DD47EB" w:rsidRDefault="00DD47EB" w:rsidP="00DD47EB">
      <w:pPr>
        <w:pStyle w:val="SangriaFrancesaArticulo"/>
      </w:pPr>
      <w:r w:rsidRPr="00DD47EB">
        <w:rPr>
          <w:rStyle w:val="TextoNormalNegritaCaracter"/>
        </w:rPr>
        <w:t>Disposición adicional sexta.</w:t>
      </w:r>
      <w:r w:rsidRPr="00DD47EB">
        <w:rPr>
          <w:rStyle w:val="TextoNormalCaracter"/>
        </w:rPr>
        <w:t>-</w:t>
      </w:r>
      <w:r>
        <w:t xml:space="preserve"> Sentencias </w:t>
      </w:r>
      <w:hyperlink w:anchor="SENTENCIA_2015_44" w:history="1">
        <w:r w:rsidRPr="00DD47EB">
          <w:rPr>
            <w:rStyle w:val="TextoNormalCaracter"/>
          </w:rPr>
          <w:t>44/2015</w:t>
        </w:r>
      </w:hyperlink>
      <w:r>
        <w:t xml:space="preserve">, f. 5; </w:t>
      </w:r>
      <w:hyperlink w:anchor="SENTENCIA_2015_62" w:history="1">
        <w:r w:rsidRPr="00DD47EB">
          <w:rPr>
            <w:rStyle w:val="TextoNormalCaracter"/>
          </w:rPr>
          <w:t>62/2015</w:t>
        </w:r>
      </w:hyperlink>
      <w:r>
        <w:t>, f. 2.</w:t>
      </w:r>
    </w:p>
    <w:p w:rsidR="00DD47EB" w:rsidRDefault="00DD47EB" w:rsidP="00DD47EB">
      <w:pPr>
        <w:pStyle w:val="SangriaFrancesaArticulo"/>
      </w:pPr>
    </w:p>
    <w:p w:rsidR="00DD47EB" w:rsidRDefault="00DD47EB" w:rsidP="00DD47EB">
      <w:pPr>
        <w:pStyle w:val="TextoNormalNegritaCursivandice"/>
      </w:pPr>
      <w:r>
        <w:t>Ley 36/2006, de 29 de noviembre. Medidas para la prevención del fraude fiscal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42/2006, de 28 de diciembre. Presupuestos generales del Estado para 2007</w:t>
      </w:r>
    </w:p>
    <w:p w:rsidR="00DD47EB" w:rsidRDefault="00DD47EB" w:rsidP="00DD47EB">
      <w:pPr>
        <w:pStyle w:val="SangriaFrancesaArticulo"/>
      </w:pPr>
      <w:r w:rsidRPr="00DD47EB">
        <w:rPr>
          <w:rStyle w:val="TextoNormalNegritaCaracter"/>
        </w:rPr>
        <w:t>Disposición adicional decimotercera,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7/2007, de 12 de abril. Estatuto básico del empleado público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 w:history="1">
        <w:r w:rsidRPr="00DD47EB">
          <w:rPr>
            <w:rStyle w:val="TextoNormalCaracter"/>
          </w:rPr>
          <w:t>8/2015</w:t>
        </w:r>
      </w:hyperlink>
      <w:r>
        <w:t xml:space="preserve">, f. 9; </w:t>
      </w:r>
      <w:hyperlink w:anchor="SENTENCIA_2015_81" w:history="1">
        <w:r w:rsidRPr="00DD47EB">
          <w:rPr>
            <w:rStyle w:val="TextoNormalCaracter"/>
          </w:rPr>
          <w:t>81/2015</w:t>
        </w:r>
      </w:hyperlink>
      <w:r>
        <w:t>, f. 3.</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Auto </w:t>
      </w:r>
      <w:hyperlink w:anchor="AUTO_2015_37" w:history="1">
        <w:r w:rsidRPr="00DD47EB">
          <w:rPr>
            <w:rStyle w:val="TextoNormalCaracter"/>
          </w:rPr>
          <w:t>37/2015</w:t>
        </w:r>
      </w:hyperlink>
      <w:r>
        <w:t>, f. 4.</w:t>
      </w:r>
    </w:p>
    <w:p w:rsidR="00DD47EB" w:rsidRDefault="00DD47EB" w:rsidP="00DD47EB">
      <w:pPr>
        <w:pStyle w:val="SangriaFrancesaArticulo"/>
      </w:pPr>
      <w:r w:rsidRPr="00DD47EB">
        <w:rPr>
          <w:rStyle w:val="TextoNormalNegritaCaracter"/>
        </w:rPr>
        <w:t>Artículo 20.1.</w:t>
      </w:r>
      <w:r w:rsidRPr="00DD47EB">
        <w:rPr>
          <w:rStyle w:val="TextoNormalCaracter"/>
        </w:rPr>
        <w:t>-</w:t>
      </w:r>
      <w:r>
        <w:t xml:space="preserve"> Auto </w:t>
      </w:r>
      <w:hyperlink w:anchor="AUTO_2015_37" w:history="1">
        <w:r w:rsidRPr="00DD47EB">
          <w:rPr>
            <w:rStyle w:val="TextoNormalCaracter"/>
          </w:rPr>
          <w:t>37/2015</w:t>
        </w:r>
      </w:hyperlink>
      <w:r>
        <w:t>, f. 4.</w:t>
      </w:r>
    </w:p>
    <w:p w:rsidR="00DD47EB" w:rsidRDefault="00DD47EB" w:rsidP="00DD47EB">
      <w:pPr>
        <w:pStyle w:val="SangriaFrancesaArticulo"/>
      </w:pPr>
      <w:r w:rsidRPr="00DD47EB">
        <w:rPr>
          <w:rStyle w:val="TextoNormalNegritaCaracter"/>
        </w:rPr>
        <w:t>Artículo 20.3.</w:t>
      </w:r>
      <w:r w:rsidRPr="00DD47EB">
        <w:rPr>
          <w:rStyle w:val="TextoNormalCaracter"/>
        </w:rPr>
        <w:t>-</w:t>
      </w:r>
      <w:r>
        <w:t xml:space="preserve"> Auto </w:t>
      </w:r>
      <w:hyperlink w:anchor="AUTO_2015_37" w:history="1">
        <w:r w:rsidRPr="00DD47EB">
          <w:rPr>
            <w:rStyle w:val="TextoNormalCaracter"/>
          </w:rPr>
          <w:t>37/2015</w:t>
        </w:r>
      </w:hyperlink>
      <w:r>
        <w:t>, f. 4.</w:t>
      </w:r>
    </w:p>
    <w:p w:rsidR="00DD47EB" w:rsidRDefault="00DD47EB" w:rsidP="00DD47EB">
      <w:pPr>
        <w:pStyle w:val="SangriaFrancesaArticulo"/>
      </w:pPr>
      <w:r w:rsidRPr="00DD47EB">
        <w:rPr>
          <w:rStyle w:val="TextoNormalNegritaCaracter"/>
        </w:rPr>
        <w:t>Artículo 22.4.</w:t>
      </w:r>
      <w:r w:rsidRPr="00DD47EB">
        <w:rPr>
          <w:rStyle w:val="TextoNormalCaracter"/>
        </w:rPr>
        <w:t>-</w:t>
      </w:r>
      <w:r>
        <w:t xml:space="preserve"> Sentencia </w:t>
      </w:r>
      <w:hyperlink w:anchor="SENTENCIA_2015_81" w:history="1">
        <w:r w:rsidRPr="00DD47EB">
          <w:rPr>
            <w:rStyle w:val="TextoNormalCaracter"/>
          </w:rPr>
          <w:t>81/2015</w:t>
        </w:r>
      </w:hyperlink>
      <w:r>
        <w:t>, f. 8.</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Auto </w:t>
      </w:r>
      <w:hyperlink w:anchor="AUTO_2015_37" w:history="1">
        <w:r w:rsidRPr="00DD47EB">
          <w:rPr>
            <w:rStyle w:val="TextoNormalCaracter"/>
          </w:rPr>
          <w:t>37/2015</w:t>
        </w:r>
      </w:hyperlink>
      <w:r>
        <w:t>, f. 4.</w:t>
      </w:r>
    </w:p>
    <w:p w:rsidR="00DD47EB" w:rsidRDefault="00DD47EB" w:rsidP="00DD47EB">
      <w:pPr>
        <w:pStyle w:val="SangriaFrancesaArticulo"/>
      </w:pPr>
      <w:r w:rsidRPr="00DD47EB">
        <w:rPr>
          <w:rStyle w:val="TextoNormalNegritaCaracter"/>
        </w:rPr>
        <w:t>Disposición final cuarta, apartado 2.</w:t>
      </w:r>
      <w:r w:rsidRPr="00DD47EB">
        <w:rPr>
          <w:rStyle w:val="TextoNormalCaracter"/>
        </w:rPr>
        <w:t>-</w:t>
      </w:r>
      <w:r>
        <w:t xml:space="preserve"> Auto </w:t>
      </w:r>
      <w:hyperlink w:anchor="AUTO_2015_37" w:history="1">
        <w:r w:rsidRPr="00DD47EB">
          <w:rPr>
            <w:rStyle w:val="TextoNormalCaracter"/>
          </w:rPr>
          <w:t>37/2015</w:t>
        </w:r>
      </w:hyperlink>
      <w:r>
        <w:t>, f. 4.</w:t>
      </w:r>
    </w:p>
    <w:p w:rsidR="00DD47EB" w:rsidRDefault="00DD47EB" w:rsidP="00DD47EB">
      <w:pPr>
        <w:pStyle w:val="SangriaFrancesaArticulo"/>
      </w:pPr>
    </w:p>
    <w:p w:rsidR="00DD47EB" w:rsidRDefault="00DD47EB" w:rsidP="00DD47EB">
      <w:pPr>
        <w:pStyle w:val="TextoNormalNegritaCursivandice"/>
      </w:pPr>
      <w:r>
        <w:t>Ley 8/2007, de 28 de mayo. Ley de suelo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3" w:history="1">
        <w:r w:rsidRPr="00DD47EB">
          <w:rPr>
            <w:rStyle w:val="TextoNormalCaracter"/>
          </w:rPr>
          <w:t>43/2015</w:t>
        </w:r>
      </w:hyperlink>
      <w:r>
        <w:t>, ff. 2, 3.</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ff. 2, 3; </w:t>
      </w:r>
      <w:hyperlink w:anchor="AUTO_2015_21" w:history="1">
        <w:r w:rsidRPr="00DD47EB">
          <w:rPr>
            <w:rStyle w:val="TextoNormalCaracter"/>
          </w:rPr>
          <w:t>21/2015</w:t>
        </w:r>
      </w:hyperlink>
      <w:r>
        <w:t xml:space="preserve">, ff. 2, 3; </w:t>
      </w:r>
      <w:hyperlink w:anchor="AUTO_2015_22" w:history="1">
        <w:r w:rsidRPr="00DD47EB">
          <w:rPr>
            <w:rStyle w:val="TextoNormalCaracter"/>
          </w:rPr>
          <w:t>22/2015</w:t>
        </w:r>
      </w:hyperlink>
      <w:r>
        <w:t xml:space="preserve">, f. 2; </w:t>
      </w:r>
      <w:hyperlink w:anchor="AUTO_2015_36" w:history="1">
        <w:r w:rsidRPr="00DD47EB">
          <w:rPr>
            <w:rStyle w:val="TextoNormalCaracter"/>
          </w:rPr>
          <w:t>36/2015</w:t>
        </w:r>
      </w:hyperlink>
      <w:r>
        <w:t xml:space="preserve">, f. 2; </w:t>
      </w:r>
      <w:hyperlink w:anchor="AUTO_2015_38" w:history="1">
        <w:r w:rsidRPr="00DD47EB">
          <w:rPr>
            <w:rStyle w:val="TextoNormalCaracter"/>
          </w:rPr>
          <w:t>38/2015</w:t>
        </w:r>
      </w:hyperlink>
      <w:r>
        <w:t xml:space="preserve">, f. 2; </w:t>
      </w:r>
      <w:hyperlink w:anchor="AUTO_2015_61" w:history="1">
        <w:r w:rsidRPr="00DD47EB">
          <w:rPr>
            <w:rStyle w:val="TextoNormalCaracter"/>
          </w:rPr>
          <w:t>61/2015</w:t>
        </w:r>
      </w:hyperlink>
      <w:r>
        <w:t xml:space="preserve">, f. 2; </w:t>
      </w:r>
      <w:hyperlink w:anchor="AUTO_2015_62" w:history="1">
        <w:r w:rsidRPr="00DD47EB">
          <w:rPr>
            <w:rStyle w:val="TextoNormalCaracter"/>
          </w:rPr>
          <w:t>62/2015</w:t>
        </w:r>
      </w:hyperlink>
      <w:r>
        <w:t>, f. 2.</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Auto </w:t>
      </w:r>
      <w:hyperlink w:anchor="AUTO_2015_36" w:history="1">
        <w:r w:rsidRPr="00DD47EB">
          <w:rPr>
            <w:rStyle w:val="TextoNormalCaracter"/>
          </w:rPr>
          <w:t>36/2015</w:t>
        </w:r>
      </w:hyperlink>
      <w:r>
        <w:t>, ff. 1, 2.</w:t>
      </w:r>
    </w:p>
    <w:p w:rsidR="00DD47EB" w:rsidRDefault="00DD47EB" w:rsidP="00DD47EB">
      <w:pPr>
        <w:pStyle w:val="SangriaFrancesaArticulo"/>
      </w:pPr>
      <w:r w:rsidRPr="00DD47EB">
        <w:rPr>
          <w:rStyle w:val="TextoNormalNegritaCaracter"/>
        </w:rPr>
        <w:t>Artículo 21.2.</w:t>
      </w:r>
      <w:r w:rsidRPr="00DD47EB">
        <w:rPr>
          <w:rStyle w:val="TextoNormalCaracter"/>
        </w:rPr>
        <w:t>-</w:t>
      </w:r>
      <w:r>
        <w:t xml:space="preserve"> Auto </w:t>
      </w:r>
      <w:hyperlink w:anchor="AUTO_2015_36" w:history="1">
        <w:r w:rsidRPr="00DD47EB">
          <w:rPr>
            <w:rStyle w:val="TextoNormalCaracter"/>
          </w:rPr>
          <w:t>36/2015</w:t>
        </w:r>
      </w:hyperlink>
      <w:r>
        <w:t>, ff. 1, 2.</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43" w:history="1">
        <w:r w:rsidRPr="00DD47EB">
          <w:rPr>
            <w:rStyle w:val="TextoNormalCaracter"/>
          </w:rPr>
          <w:t>43/2015</w:t>
        </w:r>
      </w:hyperlink>
      <w:r>
        <w:t>, ff. 3, 5.</w:t>
      </w:r>
    </w:p>
    <w:p w:rsidR="00DD47EB" w:rsidRDefault="00DD47EB" w:rsidP="00DD47EB">
      <w:pPr>
        <w:pStyle w:val="SangriaIzquierdaArticulo"/>
      </w:pPr>
      <w:r>
        <w:t xml:space="preserve">Auto </w:t>
      </w:r>
      <w:hyperlink w:anchor="AUTO_2015_8" w:history="1">
        <w:r w:rsidRPr="00DD47EB">
          <w:rPr>
            <w:rStyle w:val="TextoNormalCaracter"/>
          </w:rPr>
          <w:t>8/2015</w:t>
        </w:r>
      </w:hyperlink>
      <w:r>
        <w:t>, f. 3.</w:t>
      </w:r>
    </w:p>
    <w:p w:rsidR="00DD47EB" w:rsidRDefault="00DD47EB" w:rsidP="00DD47EB">
      <w:pPr>
        <w:pStyle w:val="SangriaFrancesaArticulo"/>
      </w:pPr>
      <w:r w:rsidRPr="00DD47EB">
        <w:rPr>
          <w:rStyle w:val="TextoNormalNegritaCaracter"/>
        </w:rPr>
        <w:t>Artículo 22.1 a).</w:t>
      </w:r>
      <w:r w:rsidRPr="00DD47EB">
        <w:rPr>
          <w:rStyle w:val="TextoNormalCaracter"/>
        </w:rPr>
        <w:t>-</w:t>
      </w:r>
      <w:r>
        <w:t xml:space="preserve"> Sentencias </w:t>
      </w:r>
      <w:hyperlink w:anchor="SENTENCIA_2015_43" w:history="1">
        <w:r w:rsidRPr="00DD47EB">
          <w:rPr>
            <w:rStyle w:val="TextoNormalCaracter"/>
          </w:rPr>
          <w:t>43/2015</w:t>
        </w:r>
      </w:hyperlink>
      <w:r>
        <w:t xml:space="preserve">, ff. 1, 2, 4; </w:t>
      </w:r>
      <w:hyperlink w:anchor="SENTENCIA_2015_56" w:history="1">
        <w:r w:rsidRPr="00DD47EB">
          <w:rPr>
            <w:rStyle w:val="TextoNormalCaracter"/>
          </w:rPr>
          <w:t>56/2015</w:t>
        </w:r>
      </w:hyperlink>
      <w:r>
        <w:t>, ff. 1 a 3.</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ff. 1, 3; </w:t>
      </w:r>
      <w:hyperlink w:anchor="AUTO_2015_21" w:history="1">
        <w:r w:rsidRPr="00DD47EB">
          <w:rPr>
            <w:rStyle w:val="TextoNormalCaracter"/>
          </w:rPr>
          <w:t>21/2015</w:t>
        </w:r>
      </w:hyperlink>
      <w:r>
        <w:t xml:space="preserve">, ff. 1, 2; </w:t>
      </w:r>
      <w:hyperlink w:anchor="AUTO_2015_22" w:history="1">
        <w:r w:rsidRPr="00DD47EB">
          <w:rPr>
            <w:rStyle w:val="TextoNormalCaracter"/>
          </w:rPr>
          <w:t>22/2015</w:t>
        </w:r>
      </w:hyperlink>
      <w:r>
        <w:t xml:space="preserve">, ff. 1, 3; </w:t>
      </w:r>
      <w:hyperlink w:anchor="AUTO_2015_36" w:history="1">
        <w:r w:rsidRPr="00DD47EB">
          <w:rPr>
            <w:rStyle w:val="TextoNormalCaracter"/>
          </w:rPr>
          <w:t>36/2015</w:t>
        </w:r>
      </w:hyperlink>
      <w:r>
        <w:t xml:space="preserve">, ff. 1 a 3; </w:t>
      </w:r>
      <w:hyperlink w:anchor="AUTO_2015_38" w:history="1">
        <w:r w:rsidRPr="00DD47EB">
          <w:rPr>
            <w:rStyle w:val="TextoNormalCaracter"/>
          </w:rPr>
          <w:t>38/2015</w:t>
        </w:r>
      </w:hyperlink>
      <w:r>
        <w:t xml:space="preserve">, ff. 1, 3; </w:t>
      </w:r>
      <w:hyperlink w:anchor="AUTO_2015_61" w:history="1">
        <w:r w:rsidRPr="00DD47EB">
          <w:rPr>
            <w:rStyle w:val="TextoNormalCaracter"/>
          </w:rPr>
          <w:t>61/2015</w:t>
        </w:r>
      </w:hyperlink>
      <w:r>
        <w:t>, ff. 1, 3.</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Sentencias </w:t>
      </w:r>
      <w:hyperlink w:anchor="SENTENCIA_2015_43" w:history="1">
        <w:r w:rsidRPr="00DD47EB">
          <w:rPr>
            <w:rStyle w:val="TextoNormalCaracter"/>
          </w:rPr>
          <w:t>43/2015</w:t>
        </w:r>
      </w:hyperlink>
      <w:r>
        <w:t xml:space="preserve">, ff. 1, 2; </w:t>
      </w:r>
      <w:hyperlink w:anchor="SENTENCIA_2015_56" w:history="1">
        <w:r w:rsidRPr="00DD47EB">
          <w:rPr>
            <w:rStyle w:val="TextoNormalCaracter"/>
          </w:rPr>
          <w:t>56/2015</w:t>
        </w:r>
      </w:hyperlink>
      <w:r>
        <w:t>, ff. 1 a 3.</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ff. 1, 3; </w:t>
      </w:r>
      <w:hyperlink w:anchor="AUTO_2015_21" w:history="1">
        <w:r w:rsidRPr="00DD47EB">
          <w:rPr>
            <w:rStyle w:val="TextoNormalCaracter"/>
          </w:rPr>
          <w:t>21/2015</w:t>
        </w:r>
      </w:hyperlink>
      <w:r>
        <w:t xml:space="preserve">, ff. 1, 2; </w:t>
      </w:r>
      <w:hyperlink w:anchor="AUTO_2015_22" w:history="1">
        <w:r w:rsidRPr="00DD47EB">
          <w:rPr>
            <w:rStyle w:val="TextoNormalCaracter"/>
          </w:rPr>
          <w:t>22/2015</w:t>
        </w:r>
      </w:hyperlink>
      <w:r>
        <w:t xml:space="preserve">, ff. 1, 3; </w:t>
      </w:r>
      <w:hyperlink w:anchor="AUTO_2015_36" w:history="1">
        <w:r w:rsidRPr="00DD47EB">
          <w:rPr>
            <w:rStyle w:val="TextoNormalCaracter"/>
          </w:rPr>
          <w:t>36/2015</w:t>
        </w:r>
      </w:hyperlink>
      <w:r>
        <w:t xml:space="preserve">, ff. 1, 2; </w:t>
      </w:r>
      <w:hyperlink w:anchor="AUTO_2015_38" w:history="1">
        <w:r w:rsidRPr="00DD47EB">
          <w:rPr>
            <w:rStyle w:val="TextoNormalCaracter"/>
          </w:rPr>
          <w:t>38/2015</w:t>
        </w:r>
      </w:hyperlink>
      <w:r>
        <w:t xml:space="preserve">, ff. 1, 3; </w:t>
      </w:r>
      <w:hyperlink w:anchor="AUTO_2015_61" w:history="1">
        <w:r w:rsidRPr="00DD47EB">
          <w:rPr>
            <w:rStyle w:val="TextoNormalCaracter"/>
          </w:rPr>
          <w:t>61/2015</w:t>
        </w:r>
      </w:hyperlink>
      <w:r>
        <w:t>, ff. 1, 3.</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56" w:history="1">
        <w:r w:rsidRPr="00DD47EB">
          <w:rPr>
            <w:rStyle w:val="TextoNormalCaracter"/>
          </w:rPr>
          <w:t>56/2015</w:t>
        </w:r>
      </w:hyperlink>
      <w:r>
        <w:t>, f. 2.</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 2; </w:t>
      </w:r>
      <w:hyperlink w:anchor="AUTO_2015_38" w:history="1">
        <w:r w:rsidRPr="00DD47EB">
          <w:rPr>
            <w:rStyle w:val="TextoNormalCaracter"/>
          </w:rPr>
          <w:t>38/2015</w:t>
        </w:r>
      </w:hyperlink>
      <w:r>
        <w:t>, f. 2.</w:t>
      </w:r>
    </w:p>
    <w:p w:rsidR="00DD47EB" w:rsidRDefault="00DD47EB" w:rsidP="00DD47EB">
      <w:pPr>
        <w:pStyle w:val="SangriaIzquierdaArticulo"/>
      </w:pPr>
    </w:p>
    <w:p w:rsidR="00DD47EB" w:rsidRDefault="00DD47EB" w:rsidP="00DD47EB">
      <w:pPr>
        <w:pStyle w:val="TextoNormalNegritaCursivandice"/>
      </w:pPr>
      <w:r>
        <w:t>Ley 16/2007, de 4 de julio. Reforma y adaptación de la legislación mercantil en materia contable para su armonización internacional con base en la normativa de la Unión Europea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17/2007, de 4 de julio. Modificación de la Ley 54/1997, de 27 de noviembre del sector eléctrico para adaptarla a la Directiva 2003/54/CE sobre normas comunes para el mercado interior de la electricidad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6" w:history="1">
        <w:r w:rsidRPr="00DD47EB">
          <w:rPr>
            <w:rStyle w:val="TextoNormalCaracter"/>
          </w:rPr>
          <w:t>136/2015</w:t>
        </w:r>
      </w:hyperlink>
      <w:r>
        <w:t>, f. 6.</w:t>
      </w:r>
    </w:p>
    <w:p w:rsidR="00DD47EB" w:rsidRDefault="00DD47EB" w:rsidP="00DD47EB">
      <w:pPr>
        <w:pStyle w:val="SangriaFrancesaArticulo"/>
      </w:pPr>
    </w:p>
    <w:p w:rsidR="00DD47EB" w:rsidRDefault="00DD47EB" w:rsidP="00DD47EB">
      <w:pPr>
        <w:pStyle w:val="TextoNormalNegritaCursivandice"/>
      </w:pPr>
      <w:r>
        <w:t>Ley 20/2007, de 11 de julio. Estatuto del trabajo autónomo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10.</w:t>
      </w:r>
    </w:p>
    <w:p w:rsidR="00DD47EB" w:rsidRDefault="00DD47EB" w:rsidP="00DD47EB">
      <w:pPr>
        <w:pStyle w:val="SangriaFrancesaArticulo"/>
      </w:pPr>
    </w:p>
    <w:p w:rsidR="00DD47EB" w:rsidRDefault="00DD47EB" w:rsidP="00DD47EB">
      <w:pPr>
        <w:pStyle w:val="TextoNormalNegritaCursivandice"/>
      </w:pPr>
      <w:r>
        <w:t>Ley 26/2007, de 23 de octubre. Responsabilidad medioambiental</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45" w:history="1">
        <w:r w:rsidRPr="00DD47EB">
          <w:rPr>
            <w:rStyle w:val="TextoNormalCaracter"/>
          </w:rPr>
          <w:t>45/2015</w:t>
        </w:r>
      </w:hyperlink>
      <w:r>
        <w:t>, f. 4.</w:t>
      </w:r>
    </w:p>
    <w:p w:rsidR="00DD47EB" w:rsidRDefault="00DD47EB" w:rsidP="00DD47EB">
      <w:pPr>
        <w:pStyle w:val="SangriaFrancesaArticulo"/>
      </w:pPr>
    </w:p>
    <w:p w:rsidR="00DD47EB" w:rsidRDefault="00DD47EB" w:rsidP="00DD47EB">
      <w:pPr>
        <w:pStyle w:val="TextoNormalNegritaCursivandice"/>
      </w:pPr>
      <w:r>
        <w:t>Ley 32/2007, de 7 de noviembre. Para el cuidado de los animales, en su explotación, transporte, experimentación y sacrificio</w:t>
      </w:r>
    </w:p>
    <w:p w:rsidR="00DD47EB" w:rsidRDefault="00DD47EB" w:rsidP="00DD47EB">
      <w:pPr>
        <w:pStyle w:val="SangriaFrancesaArticulo"/>
      </w:pPr>
      <w:r w:rsidRPr="00DD47EB">
        <w:rPr>
          <w:rStyle w:val="TextoNormalNegritaCaracter"/>
        </w:rPr>
        <w:t>Disposición sexta.</w:t>
      </w:r>
      <w:r w:rsidRPr="00DD47EB">
        <w:rPr>
          <w:rStyle w:val="TextoNormalCaracter"/>
        </w:rPr>
        <w:t>-</w:t>
      </w:r>
      <w:r>
        <w:t xml:space="preserve"> Sentencia </w:t>
      </w:r>
      <w:hyperlink w:anchor="SENTENCIA_2015_58" w:history="1">
        <w:r w:rsidRPr="00DD47EB">
          <w:rPr>
            <w:rStyle w:val="TextoNormalCaracter"/>
          </w:rPr>
          <w:t>58/2015</w:t>
        </w:r>
      </w:hyperlink>
      <w:r>
        <w:t>, f. 4.</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8" w:history="1">
        <w:r w:rsidRPr="00DD47EB">
          <w:rPr>
            <w:rStyle w:val="TextoNormalCaracter"/>
          </w:rPr>
          <w:t>58/2015</w:t>
        </w:r>
      </w:hyperlink>
      <w:r>
        <w:t>, f. 4 VP.</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58" w:history="1">
        <w:r w:rsidRPr="00DD47EB">
          <w:rPr>
            <w:rStyle w:val="TextoNormalCaracter"/>
          </w:rPr>
          <w:t>58/2015</w:t>
        </w:r>
      </w:hyperlink>
      <w:r>
        <w:t>, f. 4.</w:t>
      </w:r>
    </w:p>
    <w:p w:rsidR="00DD47EB" w:rsidRDefault="00DD47EB" w:rsidP="00DD47EB">
      <w:pPr>
        <w:pStyle w:val="SangriaFrancesaArticulo"/>
      </w:pPr>
    </w:p>
    <w:p w:rsidR="00DD47EB" w:rsidRDefault="00DD47EB" w:rsidP="00DD47EB">
      <w:pPr>
        <w:pStyle w:val="TextoNormalNegritaCursivandice"/>
      </w:pPr>
      <w:r>
        <w:t>Ley 34/2007, de 15 de noviembre. Calidad del aire y protección de la atmósfera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40/2007, de 4 de diciembre. Medidas en materia de Seguridad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10.</w:t>
      </w:r>
    </w:p>
    <w:p w:rsidR="00DD47EB" w:rsidRDefault="00DD47EB" w:rsidP="00DD47EB">
      <w:pPr>
        <w:pStyle w:val="SangriaIzquierdaArticulo"/>
      </w:pPr>
      <w:r>
        <w:t xml:space="preserve">Auto </w:t>
      </w:r>
      <w:hyperlink w:anchor="AUTO_2015_112" w:history="1">
        <w:r w:rsidRPr="00DD47EB">
          <w:rPr>
            <w:rStyle w:val="TextoNormalCaracter"/>
          </w:rPr>
          <w:t>112/2015</w:t>
        </w:r>
      </w:hyperlink>
      <w:r>
        <w:t>, f. 4.</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Auto </w:t>
      </w:r>
      <w:hyperlink w:anchor="AUTO_2015_112" w:history="1">
        <w:r w:rsidRPr="00DD47EB">
          <w:rPr>
            <w:rStyle w:val="TextoNormalCaracter"/>
          </w:rPr>
          <w:t>112/2015</w:t>
        </w:r>
      </w:hyperlink>
      <w:r>
        <w:t>, f. 4.</w:t>
      </w:r>
    </w:p>
    <w:p w:rsidR="00DD47EB" w:rsidRDefault="00DD47EB" w:rsidP="00DD47EB">
      <w:pPr>
        <w:pStyle w:val="SangriaFrancesaArticulo"/>
      </w:pPr>
      <w:r w:rsidRPr="00DD47EB">
        <w:rPr>
          <w:rStyle w:val="TextoNormalNegritaCaracter"/>
        </w:rPr>
        <w:t>Disposición adicional tercera, apartado e).</w:t>
      </w:r>
      <w:r w:rsidRPr="00DD47EB">
        <w:rPr>
          <w:rStyle w:val="TextoNormalCaracter"/>
        </w:rPr>
        <w:t>-</w:t>
      </w:r>
      <w:r>
        <w:t xml:space="preserve"> Auto </w:t>
      </w:r>
      <w:hyperlink w:anchor="AUTO_2015_112" w:history="1">
        <w:r w:rsidRPr="00DD47EB">
          <w:rPr>
            <w:rStyle w:val="TextoNormalCaracter"/>
          </w:rPr>
          <w:t>112/2015</w:t>
        </w:r>
      </w:hyperlink>
      <w:r>
        <w:t>, ff. 1, 4.</w:t>
      </w:r>
    </w:p>
    <w:p w:rsidR="00DD47EB" w:rsidRDefault="00DD47EB" w:rsidP="00DD47EB">
      <w:pPr>
        <w:pStyle w:val="SangriaFrancesaArticulo"/>
      </w:pPr>
    </w:p>
    <w:p w:rsidR="00DD47EB" w:rsidRDefault="00DD47EB" w:rsidP="00DD47EB">
      <w:pPr>
        <w:pStyle w:val="TextoNormalNegritaCursivandice"/>
      </w:pPr>
      <w:r>
        <w:t>Ley 42/2007, de 13 de diciembre. Patrimonio natural y de la biodiversidad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 5.</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45.4.</w:t>
      </w:r>
      <w:r w:rsidRPr="00DD47EB">
        <w:rPr>
          <w:rStyle w:val="TextoNormalCaracter"/>
        </w:rPr>
        <w:t>-</w:t>
      </w:r>
      <w:r>
        <w:t xml:space="preserve"> Sentencia </w:t>
      </w:r>
      <w:hyperlink w:anchor="SENTENCIA_2015_50" w:history="1">
        <w:r w:rsidRPr="00DD47EB">
          <w:rPr>
            <w:rStyle w:val="TextoNormalCaracter"/>
          </w:rPr>
          <w:t>50/2015</w:t>
        </w:r>
      </w:hyperlink>
      <w:r>
        <w:t>, f. 2.</w:t>
      </w:r>
    </w:p>
    <w:p w:rsidR="00DD47EB" w:rsidRDefault="00DD47EB" w:rsidP="00DD47EB">
      <w:pPr>
        <w:pStyle w:val="SangriaFrancesaArticulo"/>
      </w:pPr>
    </w:p>
    <w:p w:rsidR="00DD47EB" w:rsidRDefault="00DD47EB" w:rsidP="00DD47EB">
      <w:pPr>
        <w:pStyle w:val="TextoNormalNegritaCursivandice"/>
      </w:pPr>
      <w:r>
        <w:t>Ley 45/2007, de 13 de diciembre. Desarrollo sostenible del medio rural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 w:history="1">
        <w:r w:rsidRPr="00DD47EB">
          <w:rPr>
            <w:rStyle w:val="TextoNormalCaracter"/>
          </w:rPr>
          <w:t>11/2015</w:t>
        </w:r>
      </w:hyperlink>
      <w:r>
        <w:t>, f. 2.</w:t>
      </w:r>
    </w:p>
    <w:p w:rsidR="00DD47EB" w:rsidRDefault="00DD47EB" w:rsidP="00DD47EB">
      <w:pPr>
        <w:pStyle w:val="SangriaFrancesaArticulo"/>
      </w:pPr>
    </w:p>
    <w:p w:rsidR="00DD47EB" w:rsidRDefault="00DD47EB" w:rsidP="00DD47EB">
      <w:pPr>
        <w:pStyle w:val="TextoNormalNegritaCursivandice"/>
      </w:pPr>
      <w:r>
        <w:t>Ley 51/2007, de 26 de diciembre. Presupuestos generales del Estado para 2008</w:t>
      </w:r>
    </w:p>
    <w:p w:rsidR="00DD47EB" w:rsidRDefault="00DD47EB" w:rsidP="00DD47EB">
      <w:pPr>
        <w:pStyle w:val="SangriaFrancesaArticulo"/>
      </w:pPr>
      <w:r w:rsidRPr="00DD47EB">
        <w:rPr>
          <w:rStyle w:val="TextoNormalNegritaCaracter"/>
        </w:rPr>
        <w:t>Disposición adicional decimocuarta,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2/2008, de 23 de diciembre. Presupuestos Generales del Estado para el año 2009</w:t>
      </w:r>
    </w:p>
    <w:p w:rsidR="00DD47EB" w:rsidRDefault="00DD47EB" w:rsidP="00DD47EB">
      <w:pPr>
        <w:pStyle w:val="SangriaFrancesaArticulo"/>
      </w:pPr>
      <w:r w:rsidRPr="00DD47EB">
        <w:rPr>
          <w:rStyle w:val="TextoNormalNegritaCaracter"/>
        </w:rPr>
        <w:t>Disposición adicional decimosegunda,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4/2008, de 23 de diciembre. Suprime el gravamen del impuesto sobre el patrimonio, se generaliza el sistema de devolución mensual en el impuesto sobre el valor añadido, y se introducen otras modificaciones en la normativa tributaria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f. 2.</w:t>
      </w:r>
    </w:p>
    <w:p w:rsidR="00DD47EB" w:rsidRDefault="00DD47EB" w:rsidP="00DD47EB">
      <w:pPr>
        <w:pStyle w:val="SangriaFrancesaArticulo"/>
      </w:pPr>
    </w:p>
    <w:p w:rsidR="00DD47EB" w:rsidRDefault="00DD47EB" w:rsidP="00DD47EB">
      <w:pPr>
        <w:pStyle w:val="TextoNormalNegritaCursivandice"/>
      </w:pPr>
      <w:r>
        <w:t>Ley 13/2009, de 3 de noviembre. Reforma de la legislación procesal para la implantación de la nueva oficina judicial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55" w:history="1">
        <w:r w:rsidRPr="00DD47EB">
          <w:rPr>
            <w:rStyle w:val="TextoNormalCaracter"/>
          </w:rPr>
          <w:t>55/2015</w:t>
        </w:r>
      </w:hyperlink>
      <w:r>
        <w:t xml:space="preserve">, f. 2; </w:t>
      </w:r>
      <w:hyperlink w:anchor="SENTENCIA_2015_89" w:history="1">
        <w:r w:rsidRPr="00DD47EB">
          <w:rPr>
            <w:rStyle w:val="TextoNormalCaracter"/>
          </w:rPr>
          <w:t>89/2015</w:t>
        </w:r>
      </w:hyperlink>
      <w:r>
        <w:t xml:space="preserve">, f. 2; </w:t>
      </w:r>
      <w:hyperlink w:anchor="SENTENCIA_2015_98" w:history="1">
        <w:r w:rsidRPr="00DD47EB">
          <w:rPr>
            <w:rStyle w:val="TextoNormalCaracter"/>
          </w:rPr>
          <w:t>98/2015</w:t>
        </w:r>
      </w:hyperlink>
      <w:r>
        <w:t>, f. 3.</w:t>
      </w:r>
    </w:p>
    <w:p w:rsidR="00DD47EB" w:rsidRDefault="00DD47EB" w:rsidP="00DD47EB">
      <w:pPr>
        <w:pStyle w:val="SangriaIzquierdaArticulo"/>
      </w:pPr>
      <w:r>
        <w:t xml:space="preserve">Autos </w:t>
      </w:r>
      <w:hyperlink w:anchor="AUTO_2015_88" w:history="1">
        <w:r w:rsidRPr="00DD47EB">
          <w:rPr>
            <w:rStyle w:val="TextoNormalCaracter"/>
          </w:rPr>
          <w:t>88/2015</w:t>
        </w:r>
      </w:hyperlink>
      <w:r>
        <w:t xml:space="preserve">, f. 2; </w:t>
      </w:r>
      <w:hyperlink w:anchor="AUTO_2015_109" w:history="1">
        <w:r w:rsidRPr="00DD47EB">
          <w:rPr>
            <w:rStyle w:val="TextoNormalCaracter"/>
          </w:rPr>
          <w:t>109/2015</w:t>
        </w:r>
      </w:hyperlink>
      <w:r>
        <w:t>, f. 2.</w:t>
      </w:r>
    </w:p>
    <w:p w:rsidR="00DD47EB" w:rsidRDefault="00DD47EB" w:rsidP="00DD47EB">
      <w:pPr>
        <w:pStyle w:val="SangriaFrancesaArticulo"/>
      </w:pPr>
      <w:r w:rsidRPr="00DD47EB">
        <w:rPr>
          <w:rStyle w:val="TextoNormalNegritaCaracter"/>
        </w:rPr>
        <w:t>Artículo 2 apartado 95.</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p>
    <w:p w:rsidR="00DD47EB" w:rsidRDefault="00DD47EB" w:rsidP="00DD47EB">
      <w:pPr>
        <w:pStyle w:val="TextoNormalNegritaCursivandice"/>
      </w:pPr>
      <w:r>
        <w:t>Ley 16/2009, de 13 de noviembre. Servicios de pago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Ley 19/2009, de 23 de noviembre. Medidas de fomento y agilización procesal del alquiler y de la eficiencia energética de los edificios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98" w:history="1">
        <w:r w:rsidRPr="00DD47EB">
          <w:rPr>
            <w:rStyle w:val="TextoNormalCaracter"/>
          </w:rPr>
          <w:t>98/2015</w:t>
        </w:r>
      </w:hyperlink>
      <w:r>
        <w:t>, f. 1.</w:t>
      </w:r>
    </w:p>
    <w:p w:rsidR="00DD47EB" w:rsidRDefault="00DD47EB" w:rsidP="00DD47EB">
      <w:pPr>
        <w:pStyle w:val="SangriaFrancesaArticulo"/>
      </w:pPr>
    </w:p>
    <w:p w:rsidR="00DD47EB" w:rsidRDefault="00DD47EB" w:rsidP="00DD47EB">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2" w:history="1">
        <w:r w:rsidRPr="00DD47EB">
          <w:rPr>
            <w:rStyle w:val="TextoNormalCaracter"/>
          </w:rPr>
          <w:t>102/2015</w:t>
        </w:r>
      </w:hyperlink>
      <w:r>
        <w:t>, f. 6.</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Sentencias </w:t>
      </w:r>
      <w:hyperlink w:anchor="SENTENCIA_2015_26" w:history="1">
        <w:r w:rsidRPr="00DD47EB">
          <w:rPr>
            <w:rStyle w:val="TextoNormalCaracter"/>
          </w:rPr>
          <w:t>26/2015</w:t>
        </w:r>
      </w:hyperlink>
      <w:r>
        <w:t xml:space="preserve">, f. 3; </w:t>
      </w:r>
      <w:hyperlink w:anchor="SENTENCIA_2015_102" w:history="1">
        <w:r w:rsidRPr="00DD47EB">
          <w:rPr>
            <w:rStyle w:val="TextoNormalCaracter"/>
          </w:rPr>
          <w:t>102/2015</w:t>
        </w:r>
      </w:hyperlink>
      <w:r>
        <w:t>, f. 6.</w:t>
      </w:r>
    </w:p>
    <w:p w:rsidR="00DD47EB" w:rsidRDefault="00DD47EB" w:rsidP="00DD47EB">
      <w:pPr>
        <w:pStyle w:val="SangriaFrancesaArticulo"/>
      </w:pPr>
      <w:r w:rsidRPr="00DD47EB">
        <w:rPr>
          <w:rStyle w:val="TextoNormalNegritaCaracter"/>
        </w:rPr>
        <w:t>Artículo 25.1 c).</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27.1.</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32.1.</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32.2 a).</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32.5.</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48.1 a) párrafo primero.</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48.1 d).</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p>
    <w:p w:rsidR="00DD47EB" w:rsidRDefault="00DD47EB" w:rsidP="00DD47EB">
      <w:pPr>
        <w:pStyle w:val="TextoNormalNegritaCursivandice"/>
      </w:pPr>
      <w:r>
        <w:t>Ley 26/2009, de 23 de diciembre. Presupuestos generales del Estado para 2010</w:t>
      </w:r>
    </w:p>
    <w:p w:rsidR="00DD47EB" w:rsidRDefault="00DD47EB" w:rsidP="00DD47EB">
      <w:pPr>
        <w:pStyle w:val="SangriaFrancesaArticulo"/>
      </w:pPr>
      <w:r w:rsidRPr="00DD47EB">
        <w:rPr>
          <w:rStyle w:val="TextoNormalNegritaCaracter"/>
        </w:rPr>
        <w:t>Artículo 22.2 b)</w:t>
      </w:r>
      <w:r>
        <w:t xml:space="preserve"> (redactado por el Real Decreto-ley 8/2010, de 20 de mayo)</w:t>
      </w:r>
      <w:r w:rsidRPr="00DD47EB">
        <w:rPr>
          <w:rStyle w:val="TextoNormalNegritaCaracter"/>
        </w:rPr>
        <w:t>.</w:t>
      </w:r>
      <w:r w:rsidRPr="00DD47EB">
        <w:rPr>
          <w:rStyle w:val="TextoNormalCaracter"/>
        </w:rPr>
        <w:t>-</w:t>
      </w:r>
      <w:r>
        <w:t xml:space="preserve"> Sentencia </w:t>
      </w:r>
      <w:hyperlink w:anchor="SENTENCIA_2015_143" w:history="1">
        <w:r w:rsidRPr="00DD47EB">
          <w:rPr>
            <w:rStyle w:val="TextoNormalCaracter"/>
          </w:rPr>
          <w:t>143/2015</w:t>
        </w:r>
      </w:hyperlink>
      <w:r>
        <w:t>, f. 4.</w:t>
      </w:r>
    </w:p>
    <w:p w:rsidR="00DD47EB" w:rsidRDefault="00DD47EB" w:rsidP="00DD47EB">
      <w:pPr>
        <w:pStyle w:val="SangriaFrancesaArticulo"/>
      </w:pPr>
      <w:r w:rsidRPr="00DD47EB">
        <w:rPr>
          <w:rStyle w:val="TextoNormalNegritaCaracter"/>
        </w:rPr>
        <w:t>Artículo 22.2 b), apartado 4.</w:t>
      </w:r>
      <w:r w:rsidRPr="00DD47EB">
        <w:rPr>
          <w:rStyle w:val="TextoNormalCaracter"/>
        </w:rPr>
        <w:t>-</w:t>
      </w:r>
      <w:r>
        <w:t xml:space="preserve"> Sentencia </w:t>
      </w:r>
      <w:hyperlink w:anchor="SENTENCIA_2015_143" w:history="1">
        <w:r w:rsidRPr="00DD47EB">
          <w:rPr>
            <w:rStyle w:val="TextoNormalCaracter"/>
          </w:rPr>
          <w:t>143/2015</w:t>
        </w:r>
      </w:hyperlink>
      <w:r>
        <w:t>, f. 4.</w:t>
      </w:r>
    </w:p>
    <w:p w:rsidR="00DD47EB" w:rsidRDefault="00DD47EB" w:rsidP="00DD47EB">
      <w:pPr>
        <w:pStyle w:val="SangriaFrancesaArticulo"/>
      </w:pPr>
      <w:r w:rsidRPr="00DD47EB">
        <w:rPr>
          <w:rStyle w:val="TextoNormalNegritaCaracter"/>
        </w:rPr>
        <w:t>Artículo 22.3.</w:t>
      </w:r>
      <w:r w:rsidRPr="00DD47EB">
        <w:rPr>
          <w:rStyle w:val="TextoNormalCaracter"/>
        </w:rPr>
        <w:t>-</w:t>
      </w:r>
      <w:r>
        <w:t xml:space="preserve"> Sentencia </w:t>
      </w:r>
      <w:hyperlink w:anchor="SENTENCIA_2015_143" w:history="1">
        <w:r w:rsidRPr="00DD47EB">
          <w:rPr>
            <w:rStyle w:val="TextoNormalCaracter"/>
          </w:rPr>
          <w:t>143/2015</w:t>
        </w:r>
      </w:hyperlink>
      <w:r>
        <w:t>, f. 4.</w:t>
      </w:r>
    </w:p>
    <w:p w:rsidR="00DD47EB" w:rsidRDefault="00DD47EB" w:rsidP="00DD47EB">
      <w:pPr>
        <w:pStyle w:val="SangriaFrancesaArticulo"/>
      </w:pPr>
    </w:p>
    <w:p w:rsidR="00DD47EB" w:rsidRDefault="00DD47EB" w:rsidP="00DD47EB">
      <w:pPr>
        <w:pStyle w:val="TextoNormalNegritaCursivandice"/>
      </w:pPr>
      <w:r>
        <w:t>Ley 28/2009, de 30 de diciembre. Modificación de la Ley 29/2006, de 26 de julio, de garantías y uso racional de los medicamentos y productos sanitarios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p>
    <w:p w:rsidR="00DD47EB" w:rsidRDefault="00DD47EB" w:rsidP="00DD47EB">
      <w:pPr>
        <w:pStyle w:val="TextoNormalNegritaCursivandice"/>
      </w:pPr>
      <w:r>
        <w:t>Ley 35/2010, de 17 de septiembre. Medidas urgentes para la reforma del mercado de trabajo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ff. 4, 7.</w:t>
      </w:r>
    </w:p>
    <w:p w:rsidR="00DD47EB" w:rsidRDefault="00DD47EB" w:rsidP="00DD47EB">
      <w:pPr>
        <w:pStyle w:val="SangriaFrancesaArticulo"/>
      </w:pPr>
      <w:r w:rsidRPr="00DD47EB">
        <w:rPr>
          <w:rStyle w:val="TextoNormalNegritaCaracter"/>
        </w:rPr>
        <w:t>Exposición de motivos, apartado II, párrafo 12.</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p>
    <w:p w:rsidR="00DD47EB" w:rsidRDefault="00DD47EB" w:rsidP="00DD47EB">
      <w:pPr>
        <w:pStyle w:val="TextoNormalNegritaCursivandice"/>
      </w:pPr>
      <w:r>
        <w:t>Ley 39/2010, de 22 de diciembre. Presupuestos generales del Estado para el año 2011</w:t>
      </w:r>
    </w:p>
    <w:p w:rsidR="00DD47EB" w:rsidRDefault="00DD47EB" w:rsidP="00DD47EB">
      <w:pPr>
        <w:pStyle w:val="SangriaFrancesaArticulo"/>
      </w:pPr>
      <w:r w:rsidRPr="00DD47EB">
        <w:rPr>
          <w:rStyle w:val="TextoNormalNegritaCaracter"/>
        </w:rPr>
        <w:t>Disposición adicional octava, apartado 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Ley 2/2011, de 4 de marzo. Economía sostenible</w:t>
      </w:r>
    </w:p>
    <w:p w:rsidR="00DD47EB" w:rsidRDefault="00DD47EB" w:rsidP="00DD47EB">
      <w:pPr>
        <w:pStyle w:val="SangriaFrancesaArticulo"/>
      </w:pPr>
      <w:r w:rsidRPr="00DD47EB">
        <w:rPr>
          <w:rStyle w:val="TextoNormalNegritaCaracter"/>
        </w:rPr>
        <w:t>Disposición final quincuagésima quinta.</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p>
    <w:p w:rsidR="00DD47EB" w:rsidRDefault="00DD47EB" w:rsidP="00DD47EB">
      <w:pPr>
        <w:pStyle w:val="TextoNormalNegritaCursivandice"/>
      </w:pPr>
      <w:r>
        <w:t>Ley 22/2011, de 28 de julio. Residuos y suelos contaminados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ff. 2, 3.</w:t>
      </w:r>
    </w:p>
    <w:p w:rsidR="00DD47EB" w:rsidRDefault="00DD47EB" w:rsidP="00DD47EB">
      <w:pPr>
        <w:pStyle w:val="SangriaFrancesaArticulo"/>
      </w:pPr>
      <w:r w:rsidRPr="00DD47EB">
        <w:rPr>
          <w:rStyle w:val="TextoNormalNegritaCaracter"/>
        </w:rPr>
        <w:t>Artículo 11.1.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Disposición final séptima.</w:t>
      </w:r>
      <w:r w:rsidRPr="00DD47EB">
        <w:rPr>
          <w:rStyle w:val="TextoNormalCaracter"/>
        </w:rPr>
        <w:t>-</w:t>
      </w:r>
      <w:r>
        <w:t xml:space="preserve"> Sentencia </w:t>
      </w:r>
      <w:hyperlink w:anchor="SENTENCIA_2015_45" w:history="1">
        <w:r w:rsidRPr="00DD47EB">
          <w:rPr>
            <w:rStyle w:val="TextoNormalCaracter"/>
          </w:rPr>
          <w:t>45/2015</w:t>
        </w:r>
      </w:hyperlink>
      <w:r>
        <w:t>, f. 4.</w:t>
      </w:r>
    </w:p>
    <w:p w:rsidR="00DD47EB" w:rsidRDefault="00DD47EB" w:rsidP="00DD47EB">
      <w:pPr>
        <w:pStyle w:val="SangriaFrancesaArticulo"/>
      </w:pPr>
    </w:p>
    <w:p w:rsidR="00DD47EB" w:rsidRDefault="00DD47EB" w:rsidP="00DD47EB">
      <w:pPr>
        <w:pStyle w:val="TextoNormalNegritaCursivandice"/>
      </w:pPr>
      <w:r>
        <w:t>Ley 27/2011, de 1 de agosto. Actualización, adecuación y modernización del sistema de Seguridad Social</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110" w:history="1">
        <w:r w:rsidRPr="00DD47EB">
          <w:rPr>
            <w:rStyle w:val="TextoNormalCaracter"/>
          </w:rPr>
          <w:t>110/2015</w:t>
        </w:r>
      </w:hyperlink>
      <w:r>
        <w:t>, f. 4.</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110" w:history="1">
        <w:r w:rsidRPr="00DD47EB">
          <w:rPr>
            <w:rStyle w:val="TextoNormalCaracter"/>
          </w:rPr>
          <w:t>110/2015</w:t>
        </w:r>
      </w:hyperlink>
      <w:r>
        <w:t>, f. 4.</w:t>
      </w:r>
    </w:p>
    <w:p w:rsidR="00DD47EB" w:rsidRDefault="00DD47EB" w:rsidP="00DD47EB">
      <w:pPr>
        <w:pStyle w:val="SangriaFrancesaArticulo"/>
      </w:pPr>
    </w:p>
    <w:p w:rsidR="00DD47EB" w:rsidRDefault="00DD47EB" w:rsidP="00DD47EB">
      <w:pPr>
        <w:pStyle w:val="TextoNormalNegritaCursivandice"/>
      </w:pPr>
      <w:r>
        <w:t>Ley 35/2011, de 4 de octubre. Titularidad compartida de las explotaciones agrarias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 w:history="1">
        <w:r w:rsidRPr="00DD47EB">
          <w:rPr>
            <w:rStyle w:val="TextoNormalCaracter"/>
          </w:rPr>
          <w:t>11/2015</w:t>
        </w:r>
      </w:hyperlink>
      <w:r>
        <w:t>, f. 5.</w:t>
      </w:r>
    </w:p>
    <w:p w:rsidR="00DD47EB" w:rsidRDefault="00DD47EB" w:rsidP="00DD47EB">
      <w:pPr>
        <w:pStyle w:val="SangriaFrancesaArticulo"/>
      </w:pPr>
      <w:r w:rsidRPr="00DD47EB">
        <w:rPr>
          <w:rStyle w:val="TextoNormalNegritaCaracter"/>
        </w:rPr>
        <w:t>Capítulo IV.</w:t>
      </w:r>
      <w:r w:rsidRPr="00DD47EB">
        <w:rPr>
          <w:rStyle w:val="TextoNormalCaracter"/>
        </w:rPr>
        <w:t>-</w:t>
      </w:r>
      <w:r>
        <w:t xml:space="preserve"> Sentencia </w:t>
      </w:r>
      <w:hyperlink w:anchor="SENTENCIA_2015_11" w:history="1">
        <w:r w:rsidRPr="00DD47EB">
          <w:rPr>
            <w:rStyle w:val="TextoNormalCaracter"/>
          </w:rPr>
          <w:t>11/2015</w:t>
        </w:r>
      </w:hyperlink>
      <w:r>
        <w:t>, f. 3.</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11" w:history="1">
        <w:r w:rsidRPr="00DD47EB">
          <w:rPr>
            <w:rStyle w:val="TextoNormalCaracter"/>
          </w:rPr>
          <w:t>11/2015</w:t>
        </w:r>
      </w:hyperlink>
      <w:r>
        <w:t>, f. 5.</w:t>
      </w:r>
    </w:p>
    <w:p w:rsidR="00DD47EB" w:rsidRDefault="00DD47EB" w:rsidP="00DD47EB">
      <w:pPr>
        <w:pStyle w:val="SangriaFrancesaArticulo"/>
      </w:pPr>
      <w:r w:rsidRPr="00DD47EB">
        <w:rPr>
          <w:rStyle w:val="TextoNormalNegritaCaracter"/>
        </w:rPr>
        <w:t>Preámbulo, párrafo final.</w:t>
      </w:r>
      <w:r w:rsidRPr="00DD47EB">
        <w:rPr>
          <w:rStyle w:val="TextoNormalCaracter"/>
        </w:rPr>
        <w:t>-</w:t>
      </w:r>
      <w:r>
        <w:t xml:space="preserve"> Sentencia </w:t>
      </w:r>
      <w:hyperlink w:anchor="SENTENCIA_2015_11" w:history="1">
        <w:r w:rsidRPr="00DD47EB">
          <w:rPr>
            <w:rStyle w:val="TextoNormalCaracter"/>
          </w:rPr>
          <w:t>11/2015</w:t>
        </w:r>
      </w:hyperlink>
      <w:r>
        <w:t>, f. 2.</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1" w:history="1">
        <w:r w:rsidRPr="00DD47EB">
          <w:rPr>
            <w:rStyle w:val="TextoNormalCaracter"/>
          </w:rPr>
          <w:t>11/2015</w:t>
        </w:r>
      </w:hyperlink>
      <w:r>
        <w:t>, f. 2.</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11" w:history="1">
        <w:r w:rsidRPr="00DD47EB">
          <w:rPr>
            <w:rStyle w:val="TextoNormalCaracter"/>
          </w:rPr>
          <w:t>11/2015</w:t>
        </w:r>
      </w:hyperlink>
      <w:r>
        <w:t>, f. 3.</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1" w:history="1">
        <w:r w:rsidRPr="00DD47EB">
          <w:rPr>
            <w:rStyle w:val="TextoNormalCaracter"/>
          </w:rPr>
          <w:t>11/2015</w:t>
        </w:r>
      </w:hyperlink>
      <w:r>
        <w:t>, f. 3.</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11" w:history="1">
        <w:r w:rsidRPr="00DD47EB">
          <w:rPr>
            <w:rStyle w:val="TextoNormalCaracter"/>
          </w:rPr>
          <w:t>11/2015</w:t>
        </w:r>
      </w:hyperlink>
      <w:r>
        <w:t>, ff. 1 a 3, 6 a 8.</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11" w:history="1">
        <w:r w:rsidRPr="00DD47EB">
          <w:rPr>
            <w:rStyle w:val="TextoNormalCaracter"/>
          </w:rPr>
          <w:t>11/2015</w:t>
        </w:r>
      </w:hyperlink>
      <w:r>
        <w:t>, f. 7.</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 </w:t>
      </w:r>
      <w:hyperlink w:anchor="SENTENCIA_2015_11" w:history="1">
        <w:r w:rsidRPr="00DD47EB">
          <w:rPr>
            <w:rStyle w:val="TextoNormalCaracter"/>
          </w:rPr>
          <w:t>11/2015</w:t>
        </w:r>
      </w:hyperlink>
      <w:r>
        <w:t>, f. 7.</w:t>
      </w:r>
    </w:p>
    <w:p w:rsidR="00DD47EB" w:rsidRDefault="00DD47EB" w:rsidP="00DD47EB">
      <w:pPr>
        <w:pStyle w:val="SangriaFrancesaArticulo"/>
      </w:pPr>
      <w:r w:rsidRPr="00DD47EB">
        <w:rPr>
          <w:rStyle w:val="TextoNormalNegritaCaracter"/>
        </w:rPr>
        <w:t>Artículo 6.3.</w:t>
      </w:r>
      <w:r w:rsidRPr="00DD47EB">
        <w:rPr>
          <w:rStyle w:val="TextoNormalCaracter"/>
        </w:rPr>
        <w:t>-</w:t>
      </w:r>
      <w:r>
        <w:t xml:space="preserve"> Sentencia </w:t>
      </w:r>
      <w:hyperlink w:anchor="SENTENCIA_2015_11" w:history="1">
        <w:r w:rsidRPr="00DD47EB">
          <w:rPr>
            <w:rStyle w:val="TextoNormalCaracter"/>
          </w:rPr>
          <w:t>11/2015</w:t>
        </w:r>
      </w:hyperlink>
      <w:r>
        <w:t>, f. 7.</w:t>
      </w:r>
    </w:p>
    <w:p w:rsidR="00DD47EB" w:rsidRDefault="00DD47EB" w:rsidP="00DD47EB">
      <w:pPr>
        <w:pStyle w:val="SangriaFrancesaArticulo"/>
      </w:pPr>
      <w:r w:rsidRPr="00DD47EB">
        <w:rPr>
          <w:rStyle w:val="TextoNormalNegritaCaracter"/>
        </w:rPr>
        <w:t>Artículo 6.4.</w:t>
      </w:r>
      <w:r w:rsidRPr="00DD47EB">
        <w:rPr>
          <w:rStyle w:val="TextoNormalCaracter"/>
        </w:rPr>
        <w:t>-</w:t>
      </w:r>
      <w:r>
        <w:t xml:space="preserve"> Sentencia </w:t>
      </w:r>
      <w:hyperlink w:anchor="SENTENCIA_2015_11" w:history="1">
        <w:r w:rsidRPr="00DD47EB">
          <w:rPr>
            <w:rStyle w:val="TextoNormalCaracter"/>
          </w:rPr>
          <w:t>11/2015</w:t>
        </w:r>
      </w:hyperlink>
      <w:r>
        <w:t>, f. 7.</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11" w:history="1">
        <w:r w:rsidRPr="00DD47EB">
          <w:rPr>
            <w:rStyle w:val="TextoNormalCaracter"/>
          </w:rPr>
          <w:t>11/2015</w:t>
        </w:r>
      </w:hyperlink>
      <w:r>
        <w:t>, f. 7.</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Sentencia </w:t>
      </w:r>
      <w:hyperlink w:anchor="SENTENCIA_2015_11" w:history="1">
        <w:r w:rsidRPr="00DD47EB">
          <w:rPr>
            <w:rStyle w:val="TextoNormalCaracter"/>
          </w:rPr>
          <w:t>11/2015</w:t>
        </w:r>
      </w:hyperlink>
      <w:r>
        <w:t>, f. 6.</w:t>
      </w:r>
    </w:p>
    <w:p w:rsidR="00DD47EB" w:rsidRDefault="00DD47EB" w:rsidP="00DD47EB">
      <w:pPr>
        <w:pStyle w:val="SangriaFrancesaArticulo"/>
      </w:pPr>
      <w:r w:rsidRPr="00DD47EB">
        <w:rPr>
          <w:rStyle w:val="TextoNormalNegritaCaracter"/>
        </w:rPr>
        <w:t>Artículo 7.4.</w:t>
      </w:r>
      <w:r w:rsidRPr="00DD47EB">
        <w:rPr>
          <w:rStyle w:val="TextoNormalCaracter"/>
        </w:rPr>
        <w:t>-</w:t>
      </w:r>
      <w:r>
        <w:t xml:space="preserve"> Sentencia </w:t>
      </w:r>
      <w:hyperlink w:anchor="SENTENCIA_2015_11" w:history="1">
        <w:r w:rsidRPr="00DD47EB">
          <w:rPr>
            <w:rStyle w:val="TextoNormalCaracter"/>
          </w:rPr>
          <w:t>11/2015</w:t>
        </w:r>
      </w:hyperlink>
      <w:r>
        <w:t>, f. 2.</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11" w:history="1">
        <w:r w:rsidRPr="00DD47EB">
          <w:rPr>
            <w:rStyle w:val="TextoNormalCaracter"/>
          </w:rPr>
          <w:t>11/2015</w:t>
        </w:r>
      </w:hyperlink>
      <w:r>
        <w:t>, f. 6.</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11" w:history="1">
        <w:r w:rsidRPr="00DD47EB">
          <w:rPr>
            <w:rStyle w:val="TextoNormalCaracter"/>
          </w:rPr>
          <w:t>11/2015</w:t>
        </w:r>
      </w:hyperlink>
      <w:r>
        <w:t>, ff. 6, 7.</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11" w:history="1">
        <w:r w:rsidRPr="00DD47EB">
          <w:rPr>
            <w:rStyle w:val="TextoNormalCaracter"/>
          </w:rPr>
          <w:t>11/2015</w:t>
        </w:r>
      </w:hyperlink>
      <w:r>
        <w:t>, ff. 6, 7.</w:t>
      </w:r>
    </w:p>
    <w:p w:rsidR="00DD47EB" w:rsidRDefault="00DD47EB" w:rsidP="00DD47EB">
      <w:pPr>
        <w:pStyle w:val="SangriaFrancesaArticulo"/>
      </w:pPr>
      <w:r w:rsidRPr="00DD47EB">
        <w:rPr>
          <w:rStyle w:val="TextoNormalNegritaCaracter"/>
        </w:rPr>
        <w:t>Artículo 11.2.</w:t>
      </w:r>
      <w:r w:rsidRPr="00DD47EB">
        <w:rPr>
          <w:rStyle w:val="TextoNormalCaracter"/>
        </w:rPr>
        <w:t>-</w:t>
      </w:r>
      <w:r>
        <w:t xml:space="preserve"> Sentencia </w:t>
      </w:r>
      <w:hyperlink w:anchor="SENTENCIA_2015_11" w:history="1">
        <w:r w:rsidRPr="00DD47EB">
          <w:rPr>
            <w:rStyle w:val="TextoNormalCaracter"/>
          </w:rPr>
          <w:t>11/2015</w:t>
        </w:r>
      </w:hyperlink>
      <w:r>
        <w:t>, f. 6.</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11" w:history="1">
        <w:r w:rsidRPr="00DD47EB">
          <w:rPr>
            <w:rStyle w:val="TextoNormalCaracter"/>
          </w:rPr>
          <w:t>11/2015</w:t>
        </w:r>
      </w:hyperlink>
      <w:r>
        <w:t>, f. 7.</w:t>
      </w:r>
    </w:p>
    <w:p w:rsidR="00DD47EB" w:rsidRDefault="00DD47EB" w:rsidP="00DD47EB">
      <w:pPr>
        <w:pStyle w:val="SangriaFrancesaArticulo"/>
      </w:pPr>
      <w:r w:rsidRPr="00DD47EB">
        <w:rPr>
          <w:rStyle w:val="TextoNormalNegritaCaracter"/>
        </w:rPr>
        <w:t>Disposición final cuarta.</w:t>
      </w:r>
      <w:r w:rsidRPr="00DD47EB">
        <w:rPr>
          <w:rStyle w:val="TextoNormalCaracter"/>
        </w:rPr>
        <w:t>-</w:t>
      </w:r>
      <w:r>
        <w:t xml:space="preserve"> Sentencia </w:t>
      </w:r>
      <w:hyperlink w:anchor="SENTENCIA_2015_11" w:history="1">
        <w:r w:rsidRPr="00DD47EB">
          <w:rPr>
            <w:rStyle w:val="TextoNormalCaracter"/>
          </w:rPr>
          <w:t>11/2015</w:t>
        </w:r>
      </w:hyperlink>
      <w:r>
        <w:t>, f. 2.</w:t>
      </w:r>
    </w:p>
    <w:p w:rsidR="00DD47EB" w:rsidRDefault="00DD47EB" w:rsidP="00DD47EB">
      <w:pPr>
        <w:pStyle w:val="SangriaFrancesaArticulo"/>
      </w:pPr>
      <w:r w:rsidRPr="00DD47EB">
        <w:rPr>
          <w:rStyle w:val="TextoNormalNegritaCaracter"/>
        </w:rPr>
        <w:t>Disposición final cuarta, apartado 5.</w:t>
      </w:r>
      <w:r w:rsidRPr="00DD47EB">
        <w:rPr>
          <w:rStyle w:val="TextoNormalCaracter"/>
        </w:rPr>
        <w:t>-</w:t>
      </w:r>
      <w:r>
        <w:t xml:space="preserve"> Sentencia </w:t>
      </w:r>
      <w:hyperlink w:anchor="SENTENCIA_2015_11" w:history="1">
        <w:r w:rsidRPr="00DD47EB">
          <w:rPr>
            <w:rStyle w:val="TextoNormalCaracter"/>
          </w:rPr>
          <w:t>11/2015</w:t>
        </w:r>
      </w:hyperlink>
      <w:r>
        <w:t>, f. 6.</w:t>
      </w:r>
    </w:p>
    <w:p w:rsidR="00DD47EB" w:rsidRDefault="00DD47EB" w:rsidP="00DD47EB">
      <w:pPr>
        <w:pStyle w:val="SangriaFrancesaArticulo"/>
      </w:pPr>
    </w:p>
    <w:p w:rsidR="00DD47EB" w:rsidRDefault="00DD47EB" w:rsidP="00DD47EB">
      <w:pPr>
        <w:pStyle w:val="TextoNormalNegritaCursivandice"/>
      </w:pPr>
      <w:r>
        <w:t>Ley 36/2011, de 10 de octubre. Reguladora de la jurisdicción social</w:t>
      </w:r>
    </w:p>
    <w:p w:rsidR="00DD47EB" w:rsidRDefault="00DD47EB" w:rsidP="00DD47EB">
      <w:pPr>
        <w:pStyle w:val="SangriaFrancesaArticulo"/>
      </w:pPr>
      <w:r w:rsidRPr="00DD47EB">
        <w:rPr>
          <w:rStyle w:val="TextoNormalNegritaCaracter"/>
        </w:rPr>
        <w:t>Artículo 110.1</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138.</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230.1.</w:t>
      </w:r>
      <w:r w:rsidRPr="00DD47EB">
        <w:rPr>
          <w:rStyle w:val="TextoNormalCaracter"/>
        </w:rPr>
        <w:t>-</w:t>
      </w:r>
      <w:r>
        <w:t xml:space="preserve"> Auto </w:t>
      </w:r>
      <w:hyperlink w:anchor="AUTO_2015_16" w:history="1">
        <w:r w:rsidRPr="00DD47EB">
          <w:rPr>
            <w:rStyle w:val="TextoNormalCaracter"/>
          </w:rPr>
          <w:t>16/2015</w:t>
        </w:r>
      </w:hyperlink>
      <w:r>
        <w:t>, f. único.</w:t>
      </w:r>
    </w:p>
    <w:p w:rsidR="00DD47EB" w:rsidRDefault="00DD47EB" w:rsidP="00DD47EB">
      <w:pPr>
        <w:pStyle w:val="SangriaFrancesaArticulo"/>
      </w:pPr>
    </w:p>
    <w:p w:rsidR="00DD47EB" w:rsidRDefault="00DD47EB" w:rsidP="00DD47EB">
      <w:pPr>
        <w:pStyle w:val="TextoNormalNegritaCursivandice"/>
      </w:pPr>
      <w:r>
        <w:t>Ley 2/2012, de 29 de junio. Presupuestos Generales del Estado para el año 2012</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1" w:history="1">
        <w:r w:rsidRPr="00DD47EB">
          <w:rPr>
            <w:rStyle w:val="TextoNormalCaracter"/>
          </w:rPr>
          <w:t>81/2015</w:t>
        </w:r>
      </w:hyperlink>
      <w:r>
        <w:t xml:space="preserve">, f. 8; </w:t>
      </w:r>
      <w:hyperlink w:anchor="SENTENCIA_2015_136" w:history="1">
        <w:r w:rsidRPr="00DD47EB">
          <w:rPr>
            <w:rStyle w:val="TextoNormalCaracter"/>
          </w:rPr>
          <w:t>136/2015</w:t>
        </w:r>
      </w:hyperlink>
      <w:r>
        <w:t xml:space="preserve">, f. 4; </w:t>
      </w:r>
      <w:hyperlink w:anchor="SENTENCIA_2015_143" w:history="1">
        <w:r w:rsidRPr="00DD47EB">
          <w:rPr>
            <w:rStyle w:val="TextoNormalCaracter"/>
          </w:rPr>
          <w:t>143/2015</w:t>
        </w:r>
      </w:hyperlink>
      <w:r>
        <w:t>, f. 4.</w:t>
      </w:r>
    </w:p>
    <w:p w:rsidR="00DD47EB" w:rsidRDefault="00DD47EB" w:rsidP="00DD47EB">
      <w:pPr>
        <w:pStyle w:val="SangriaFrancesaArticulo"/>
      </w:pPr>
      <w:r w:rsidRPr="00DD47EB">
        <w:rPr>
          <w:rStyle w:val="TextoNormalNegritaCaracter"/>
        </w:rPr>
        <w:t>Artículo 22.1.</w:t>
      </w:r>
      <w:r w:rsidRPr="00DD47EB">
        <w:rPr>
          <w:rStyle w:val="TextoNormalCaracter"/>
        </w:rPr>
        <w:t>-</w:t>
      </w:r>
      <w:r>
        <w:t xml:space="preserve"> Sentencias </w:t>
      </w:r>
      <w:hyperlink w:anchor="SENTENCIA_2015_81" w:history="1">
        <w:r w:rsidRPr="00DD47EB">
          <w:rPr>
            <w:rStyle w:val="TextoNormalCaracter"/>
          </w:rPr>
          <w:t>81/2015</w:t>
        </w:r>
      </w:hyperlink>
      <w:r>
        <w:t xml:space="preserve">, f. 1; </w:t>
      </w:r>
      <w:hyperlink w:anchor="SENTENCIA_2015_83" w:history="1">
        <w:r w:rsidRPr="00DD47EB">
          <w:rPr>
            <w:rStyle w:val="TextoNormalCaracter"/>
          </w:rPr>
          <w:t>83/2015</w:t>
        </w:r>
      </w:hyperlink>
      <w:r>
        <w:t xml:space="preserve">, ff. 1, 2; </w:t>
      </w:r>
      <w:hyperlink w:anchor="SENTENCIA_2015_97" w:history="1">
        <w:r w:rsidRPr="00DD47EB">
          <w:rPr>
            <w:rStyle w:val="TextoNormalCaracter"/>
          </w:rPr>
          <w:t>97/2015</w:t>
        </w:r>
      </w:hyperlink>
      <w:r>
        <w:t xml:space="preserve">, ff. 1, 2; </w:t>
      </w:r>
      <w:hyperlink w:anchor="SENTENCIA_2015_100" w:history="1">
        <w:r w:rsidRPr="00DD47EB">
          <w:rPr>
            <w:rStyle w:val="TextoNormalCaracter"/>
          </w:rPr>
          <w:t>100/2015</w:t>
        </w:r>
      </w:hyperlink>
      <w:r>
        <w:t xml:space="preserve">, ff. 1, 2; </w:t>
      </w:r>
      <w:hyperlink w:anchor="SENTENCIA_2015_113" w:history="1">
        <w:r w:rsidRPr="00DD47EB">
          <w:rPr>
            <w:rStyle w:val="TextoNormalCaracter"/>
          </w:rPr>
          <w:t>113/2015</w:t>
        </w:r>
      </w:hyperlink>
      <w:r>
        <w:t xml:space="preserve">, ff. 1, 2; </w:t>
      </w:r>
      <w:hyperlink w:anchor="SENTENCIA_2015_114" w:history="1">
        <w:r w:rsidRPr="00DD47EB">
          <w:rPr>
            <w:rStyle w:val="TextoNormalCaracter"/>
          </w:rPr>
          <w:t>114/2015</w:t>
        </w:r>
      </w:hyperlink>
      <w:r>
        <w:t>, ff. 1, 2.</w:t>
      </w:r>
    </w:p>
    <w:p w:rsidR="00DD47EB" w:rsidRDefault="00DD47EB" w:rsidP="00DD47EB">
      <w:pPr>
        <w:pStyle w:val="SangriaFrancesaArticulo"/>
      </w:pPr>
      <w:r w:rsidRPr="00DD47EB">
        <w:rPr>
          <w:rStyle w:val="TextoNormalNegritaCaracter"/>
        </w:rPr>
        <w:t>Artículo 22.1 a).</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SangriaFrancesaArticulo"/>
      </w:pPr>
      <w:r w:rsidRPr="00DD47EB">
        <w:rPr>
          <w:rStyle w:val="TextoNormalNegritaCaracter"/>
        </w:rPr>
        <w:t>Artículo 22.1 d).</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SangriaFrancesaArticulo"/>
      </w:pPr>
      <w:r w:rsidRPr="00DD47EB">
        <w:rPr>
          <w:rStyle w:val="TextoNormalNegritaCaracter"/>
        </w:rPr>
        <w:t>Artículo 22.1 e).</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SangriaFrancesaArticulo"/>
      </w:pPr>
      <w:r w:rsidRPr="00DD47EB">
        <w:rPr>
          <w:rStyle w:val="TextoNormalNegritaCaracter"/>
        </w:rPr>
        <w:t>Artículo 22.1 f).</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SangriaFrancesaArticulo"/>
      </w:pPr>
      <w:r w:rsidRPr="00DD47EB">
        <w:rPr>
          <w:rStyle w:val="TextoNormalNegritaCaracter"/>
        </w:rPr>
        <w:t>Artículo 22.1 g).</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SangriaFrancesaArticulo"/>
      </w:pPr>
      <w:r w:rsidRPr="00DD47EB">
        <w:rPr>
          <w:rStyle w:val="TextoNormalNegritaCaracter"/>
        </w:rPr>
        <w:t>Artículo 22.1.2.</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Sentencias </w:t>
      </w:r>
      <w:hyperlink w:anchor="SENTENCIA_2015_83" w:history="1">
        <w:r w:rsidRPr="00DD47EB">
          <w:rPr>
            <w:rStyle w:val="TextoNormalCaracter"/>
          </w:rPr>
          <w:t>83/2015</w:t>
        </w:r>
      </w:hyperlink>
      <w:r>
        <w:t xml:space="preserve">, f. 2; </w:t>
      </w:r>
      <w:hyperlink w:anchor="SENTENCIA_2015_114" w:history="1">
        <w:r w:rsidRPr="00DD47EB">
          <w:rPr>
            <w:rStyle w:val="TextoNormalCaracter"/>
          </w:rPr>
          <w:t>114/2015</w:t>
        </w:r>
      </w:hyperlink>
      <w:r>
        <w:t>, f. 2.</w:t>
      </w:r>
    </w:p>
    <w:p w:rsidR="00DD47EB" w:rsidRDefault="00DD47EB" w:rsidP="00DD47EB">
      <w:pPr>
        <w:pStyle w:val="SangriaFrancesaArticulo"/>
      </w:pPr>
    </w:p>
    <w:p w:rsidR="00DD47EB" w:rsidRDefault="00DD47EB" w:rsidP="00DD47EB">
      <w:pPr>
        <w:pStyle w:val="TextoNormalNegritaCursivandice"/>
      </w:pPr>
      <w:r>
        <w:t>Ley 3/2012, de 6 de julio. Medidas urgentes para la reforma del mercado laboral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 w:history="1">
        <w:r w:rsidRPr="00DD47EB">
          <w:rPr>
            <w:rStyle w:val="TextoNormalCaracter"/>
          </w:rPr>
          <w:t>8/2015</w:t>
        </w:r>
      </w:hyperlink>
      <w:r>
        <w:t xml:space="preserve">, ff. 2, 4; </w:t>
      </w:r>
      <w:hyperlink w:anchor="SENTENCIA_2015_110" w:history="1">
        <w:r w:rsidRPr="00DD47EB">
          <w:rPr>
            <w:rStyle w:val="TextoNormalCaracter"/>
          </w:rPr>
          <w:t>110/2015</w:t>
        </w:r>
      </w:hyperlink>
      <w:r>
        <w:t>, f. 4.</w:t>
      </w:r>
    </w:p>
    <w:p w:rsidR="00DD47EB" w:rsidRDefault="00DD47EB" w:rsidP="00DD47EB">
      <w:pPr>
        <w:pStyle w:val="SangriaIzquierdaArticulo"/>
      </w:pPr>
      <w:r>
        <w:t xml:space="preserve">Autos </w:t>
      </w:r>
      <w:hyperlink w:anchor="AUTO_2015_33" w:history="1">
        <w:r w:rsidRPr="00DD47EB">
          <w:rPr>
            <w:rStyle w:val="TextoNormalCaracter"/>
          </w:rPr>
          <w:t>33/2015</w:t>
        </w:r>
      </w:hyperlink>
      <w:r>
        <w:t xml:space="preserve">, ff. 3, 4; </w:t>
      </w:r>
      <w:hyperlink w:anchor="AUTO_2015_34" w:history="1">
        <w:r w:rsidRPr="00DD47EB">
          <w:rPr>
            <w:rStyle w:val="TextoNormalCaracter"/>
          </w:rPr>
          <w:t>34/2015</w:t>
        </w:r>
      </w:hyperlink>
      <w:r>
        <w:t xml:space="preserve">, ff. 3, 4, 5; </w:t>
      </w:r>
      <w:hyperlink w:anchor="AUTO_2015_35" w:history="1">
        <w:r w:rsidRPr="00DD47EB">
          <w:rPr>
            <w:rStyle w:val="TextoNormalCaracter"/>
          </w:rPr>
          <w:t>35/2015</w:t>
        </w:r>
      </w:hyperlink>
      <w:r>
        <w:t>, f. 2.</w:t>
      </w:r>
    </w:p>
    <w:p w:rsidR="00DD47EB" w:rsidRDefault="00DD47EB" w:rsidP="00DD47EB">
      <w:pPr>
        <w:pStyle w:val="SangriaFrancesaArticulo"/>
      </w:pPr>
      <w:r w:rsidRPr="00DD47EB">
        <w:rPr>
          <w:rStyle w:val="TextoNormalNegritaCaracter"/>
        </w:rPr>
        <w:t>Exposición de motivos, apartado I.</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Exposición de motivos, apartado III, párrafo 7.</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Exposición de motivos, apartado IV.</w:t>
      </w:r>
      <w:r w:rsidRPr="00DD47EB">
        <w:rPr>
          <w:rStyle w:val="TextoNormalCaracter"/>
        </w:rPr>
        <w:t>-</w:t>
      </w:r>
      <w:r>
        <w:t xml:space="preserve"> Sentencia </w:t>
      </w:r>
      <w:hyperlink w:anchor="SENTENCIA_2015_8" w:history="1">
        <w:r w:rsidRPr="00DD47EB">
          <w:rPr>
            <w:rStyle w:val="TextoNormalCaracter"/>
          </w:rPr>
          <w:t>8/2015</w:t>
        </w:r>
      </w:hyperlink>
      <w:r>
        <w:t>, f. 5.</w:t>
      </w:r>
    </w:p>
    <w:p w:rsidR="00DD47EB" w:rsidRDefault="00DD47EB" w:rsidP="00DD47EB">
      <w:pPr>
        <w:pStyle w:val="SangriaFrancesaArticulo"/>
      </w:pPr>
      <w:r w:rsidRPr="00DD47EB">
        <w:rPr>
          <w:rStyle w:val="TextoNormalNegritaCaracter"/>
        </w:rPr>
        <w:t>Exposición de motivos, apartado V,  párrafo penúltimo.</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Exposición de motivos, apartado V, párrafo 8.</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Autos </w:t>
      </w:r>
      <w:hyperlink w:anchor="AUTO_2015_33" w:history="1">
        <w:r w:rsidRPr="00DD47EB">
          <w:rPr>
            <w:rStyle w:val="TextoNormalCaracter"/>
          </w:rPr>
          <w:t>33/2015</w:t>
        </w:r>
      </w:hyperlink>
      <w:r>
        <w:t xml:space="preserve">, f. 5; </w:t>
      </w:r>
      <w:hyperlink w:anchor="AUTO_2015_34" w:history="1">
        <w:r w:rsidRPr="00DD47EB">
          <w:rPr>
            <w:rStyle w:val="TextoNormalCaracter"/>
          </w:rPr>
          <w:t>34/2015</w:t>
        </w:r>
      </w:hyperlink>
      <w:r>
        <w:t>, f. 5.</w:t>
      </w:r>
    </w:p>
    <w:p w:rsidR="00DD47EB" w:rsidRDefault="00DD47EB" w:rsidP="00DD47EB">
      <w:pPr>
        <w:pStyle w:val="SangriaFrancesaArticulo"/>
      </w:pPr>
      <w:r w:rsidRPr="00DD47EB">
        <w:rPr>
          <w:rStyle w:val="TextoNormalNegritaCaracter"/>
        </w:rPr>
        <w:t>Artículo 4</w:t>
      </w:r>
      <w:r>
        <w:t xml:space="preserve"> (redactado por el Real Decreto-ley 16/2013, de 20 de diciembre)</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3.</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Sentencias </w:t>
      </w:r>
      <w:hyperlink w:anchor="SENTENCIA_2015_8" w:history="1">
        <w:r w:rsidRPr="00DD47EB">
          <w:rPr>
            <w:rStyle w:val="TextoNormalCaracter"/>
          </w:rPr>
          <w:t>8/2015</w:t>
        </w:r>
      </w:hyperlink>
      <w:r>
        <w:t xml:space="preserve">, ff. 1, 3; </w:t>
      </w:r>
      <w:hyperlink w:anchor="SENTENCIA_2015_140" w:history="1">
        <w:r w:rsidRPr="00DD47EB">
          <w:rPr>
            <w:rStyle w:val="TextoNormalCaracter"/>
          </w:rPr>
          <w:t>140/2015</w:t>
        </w:r>
      </w:hyperlink>
      <w:r>
        <w:t>, f. 2.</w:t>
      </w:r>
    </w:p>
    <w:p w:rsidR="00DD47EB" w:rsidRDefault="00DD47EB" w:rsidP="00DD47EB">
      <w:pPr>
        <w:pStyle w:val="SangriaIzquierdaArticulo"/>
      </w:pPr>
      <w:r>
        <w:t xml:space="preserve">Auto </w:t>
      </w:r>
      <w:hyperlink w:anchor="AUTO_2015_60" w:history="1">
        <w:r w:rsidRPr="00DD47EB">
          <w:rPr>
            <w:rStyle w:val="TextoNormalCaracter"/>
          </w:rPr>
          <w:t>60/2015</w:t>
        </w:r>
      </w:hyperlink>
      <w:r>
        <w:t>, f. único.</w:t>
      </w:r>
    </w:p>
    <w:p w:rsidR="00DD47EB" w:rsidRDefault="00DD47EB" w:rsidP="00DD47EB">
      <w:pPr>
        <w:pStyle w:val="SangriaFrancesaArticulo"/>
      </w:pPr>
      <w:r w:rsidRPr="00DD47EB">
        <w:rPr>
          <w:rStyle w:val="TextoNormalNegritaCaracter"/>
        </w:rPr>
        <w:t>Artículo 4.3.1.</w:t>
      </w:r>
      <w:r w:rsidRPr="00DD47EB">
        <w:rPr>
          <w:rStyle w:val="TextoNormalCaracter"/>
        </w:rPr>
        <w:t>-</w:t>
      </w:r>
      <w:r>
        <w:t xml:space="preserve"> Sentencia </w:t>
      </w:r>
      <w:hyperlink w:anchor="SENTENCIA_2015_140" w:history="1">
        <w:r w:rsidRPr="00DD47EB">
          <w:rPr>
            <w:rStyle w:val="TextoNormalCaracter"/>
          </w:rPr>
          <w:t>140/2015</w:t>
        </w:r>
      </w:hyperlink>
      <w:r>
        <w:t>, f. 1.</w:t>
      </w:r>
    </w:p>
    <w:p w:rsidR="00DD47EB" w:rsidRDefault="00DD47EB" w:rsidP="00DD47EB">
      <w:pPr>
        <w:pStyle w:val="SangriaFrancesaArticulo"/>
      </w:pPr>
      <w:r w:rsidRPr="00DD47EB">
        <w:rPr>
          <w:rStyle w:val="TextoNormalNegritaCaracter"/>
        </w:rPr>
        <w:t>Artículo 12.1.</w:t>
      </w:r>
      <w:r w:rsidRPr="00DD47EB">
        <w:rPr>
          <w:rStyle w:val="TextoNormalCaracter"/>
        </w:rPr>
        <w:t>-</w:t>
      </w:r>
      <w:r>
        <w:t xml:space="preserve"> Sentencia </w:t>
      </w:r>
      <w:hyperlink w:anchor="SENTENCIA_2015_8" w:history="1">
        <w:r w:rsidRPr="00DD47EB">
          <w:rPr>
            <w:rStyle w:val="TextoNormalCaracter"/>
          </w:rPr>
          <w:t>8/2015</w:t>
        </w:r>
      </w:hyperlink>
      <w:r>
        <w:t>, ff. 1, 4.</w:t>
      </w:r>
    </w:p>
    <w:p w:rsidR="00DD47EB" w:rsidRDefault="00DD47EB" w:rsidP="00DD47EB">
      <w:pPr>
        <w:pStyle w:val="SangriaFrancesaArticulo"/>
      </w:pPr>
      <w:r w:rsidRPr="00DD47EB">
        <w:rPr>
          <w:rStyle w:val="TextoNormalNegritaCaracter"/>
        </w:rPr>
        <w:t>Artículo 14.1.</w:t>
      </w:r>
      <w:r w:rsidRPr="00DD47EB">
        <w:rPr>
          <w:rStyle w:val="TextoNormalCaracter"/>
        </w:rPr>
        <w:t>-</w:t>
      </w:r>
      <w:r>
        <w:t xml:space="preserve"> Sentencia </w:t>
      </w:r>
      <w:hyperlink w:anchor="SENTENCIA_2015_8" w:history="1">
        <w:r w:rsidRPr="00DD47EB">
          <w:rPr>
            <w:rStyle w:val="TextoNormalCaracter"/>
          </w:rPr>
          <w:t>8/2015</w:t>
        </w:r>
      </w:hyperlink>
      <w:r>
        <w:t>, ff. 1, 5.</w:t>
      </w:r>
    </w:p>
    <w:p w:rsidR="00DD47EB" w:rsidRDefault="00DD47EB" w:rsidP="00DD47EB">
      <w:pPr>
        <w:pStyle w:val="SangriaFrancesaArticulo"/>
      </w:pPr>
      <w:r w:rsidRPr="00DD47EB">
        <w:rPr>
          <w:rStyle w:val="TextoNormalNegritaCaracter"/>
        </w:rPr>
        <w:t>Artículo 14.2.</w:t>
      </w:r>
      <w:r w:rsidRPr="00DD47EB">
        <w:rPr>
          <w:rStyle w:val="TextoNormalCaracter"/>
        </w:rPr>
        <w:t>-</w:t>
      </w:r>
      <w:r>
        <w:t xml:space="preserve"> Sentencia </w:t>
      </w:r>
      <w:hyperlink w:anchor="SENTENCIA_2015_8" w:history="1">
        <w:r w:rsidRPr="00DD47EB">
          <w:rPr>
            <w:rStyle w:val="TextoNormalCaracter"/>
          </w:rPr>
          <w:t>8/2015</w:t>
        </w:r>
      </w:hyperlink>
      <w:r>
        <w:t>, ff. 1, 6.</w:t>
      </w:r>
    </w:p>
    <w:p w:rsidR="00DD47EB" w:rsidRDefault="00DD47EB" w:rsidP="00DD47EB">
      <w:pPr>
        <w:pStyle w:val="SangriaFrancesaArticulo"/>
      </w:pPr>
      <w:r w:rsidRPr="00DD47EB">
        <w:rPr>
          <w:rStyle w:val="TextoNormalNegritaCaracter"/>
        </w:rPr>
        <w:t>Artículo 14.3.</w:t>
      </w:r>
      <w:r w:rsidRPr="00DD47EB">
        <w:rPr>
          <w:rStyle w:val="TextoNormalCaracter"/>
        </w:rPr>
        <w:t>-</w:t>
      </w:r>
      <w:r>
        <w:t xml:space="preserve"> Sentencia </w:t>
      </w:r>
      <w:hyperlink w:anchor="SENTENCIA_2015_8" w:history="1">
        <w:r w:rsidRPr="00DD47EB">
          <w:rPr>
            <w:rStyle w:val="TextoNormalCaracter"/>
          </w:rPr>
          <w:t>8/2015</w:t>
        </w:r>
      </w:hyperlink>
      <w:r>
        <w:t>, ff. 1, 6.</w:t>
      </w:r>
    </w:p>
    <w:p w:rsidR="00DD47EB" w:rsidRDefault="00DD47EB" w:rsidP="00DD47EB">
      <w:pPr>
        <w:pStyle w:val="SangriaFrancesaArticulo"/>
      </w:pPr>
      <w:r w:rsidRPr="00DD47EB">
        <w:rPr>
          <w:rStyle w:val="TextoNormalNegritaCaracter"/>
        </w:rPr>
        <w:t>Artículo 18.1.</w:t>
      </w:r>
      <w:r w:rsidRPr="00DD47EB">
        <w:rPr>
          <w:rStyle w:val="TextoNormalCaracter"/>
        </w:rPr>
        <w:t>-</w:t>
      </w:r>
      <w:r>
        <w:t xml:space="preserve"> Autos </w:t>
      </w:r>
      <w:hyperlink w:anchor="AUTO_2015_33" w:history="1">
        <w:r w:rsidRPr="00DD47EB">
          <w:rPr>
            <w:rStyle w:val="TextoNormalCaracter"/>
          </w:rPr>
          <w:t>33/2015</w:t>
        </w:r>
      </w:hyperlink>
      <w:r>
        <w:t xml:space="preserve">, VP; </w:t>
      </w:r>
      <w:hyperlink w:anchor="AUTO_2015_34" w:history="1">
        <w:r w:rsidRPr="00DD47EB">
          <w:rPr>
            <w:rStyle w:val="TextoNormalCaracter"/>
          </w:rPr>
          <w:t>34/2015</w:t>
        </w:r>
      </w:hyperlink>
      <w:r>
        <w:t>, VP.</w:t>
      </w:r>
    </w:p>
    <w:p w:rsidR="00DD47EB" w:rsidRDefault="00DD47EB" w:rsidP="00DD47EB">
      <w:pPr>
        <w:pStyle w:val="SangriaFrancesaArticulo"/>
      </w:pPr>
      <w:r w:rsidRPr="00DD47EB">
        <w:rPr>
          <w:rStyle w:val="TextoNormalNegritaCaracter"/>
        </w:rPr>
        <w:t>Artículo 18.2.</w:t>
      </w:r>
      <w:r w:rsidRPr="00DD47EB">
        <w:rPr>
          <w:rStyle w:val="TextoNormalCaracter"/>
        </w:rPr>
        <w:t>-</w:t>
      </w:r>
      <w:r>
        <w:t xml:space="preserve"> Autos </w:t>
      </w:r>
      <w:hyperlink w:anchor="AUTO_2015_33" w:history="1">
        <w:r w:rsidRPr="00DD47EB">
          <w:rPr>
            <w:rStyle w:val="TextoNormalCaracter"/>
          </w:rPr>
          <w:t>33/2015</w:t>
        </w:r>
      </w:hyperlink>
      <w:r>
        <w:t xml:space="preserve">, VP; </w:t>
      </w:r>
      <w:hyperlink w:anchor="AUTO_2015_34" w:history="1">
        <w:r w:rsidRPr="00DD47EB">
          <w:rPr>
            <w:rStyle w:val="TextoNormalCaracter"/>
          </w:rPr>
          <w:t>34/2015</w:t>
        </w:r>
      </w:hyperlink>
      <w:r>
        <w:t>, VP.</w:t>
      </w:r>
    </w:p>
    <w:p w:rsidR="00DD47EB" w:rsidRDefault="00DD47EB" w:rsidP="00DD47EB">
      <w:pPr>
        <w:pStyle w:val="SangriaFrancesaArticulo"/>
      </w:pPr>
      <w:r w:rsidRPr="00DD47EB">
        <w:rPr>
          <w:rStyle w:val="TextoNormalNegritaCaracter"/>
        </w:rPr>
        <w:t>Artículo 18.3.</w:t>
      </w:r>
      <w:r w:rsidRPr="00DD47EB">
        <w:rPr>
          <w:rStyle w:val="TextoNormalCaracter"/>
        </w:rPr>
        <w:t>-</w:t>
      </w:r>
      <w:r>
        <w:t xml:space="preserve"> Sentencia </w:t>
      </w:r>
      <w:hyperlink w:anchor="SENTENCIA_2015_8" w:history="1">
        <w:r w:rsidRPr="00DD47EB">
          <w:rPr>
            <w:rStyle w:val="TextoNormalCaracter"/>
          </w:rPr>
          <w:t>8/2015</w:t>
        </w:r>
      </w:hyperlink>
      <w:r>
        <w:t>, ff. 1, 7.</w:t>
      </w:r>
    </w:p>
    <w:p w:rsidR="00DD47EB" w:rsidRDefault="00DD47EB" w:rsidP="00DD47EB">
      <w:pPr>
        <w:pStyle w:val="SangriaFrancesaArticulo"/>
      </w:pPr>
      <w:r w:rsidRPr="00DD47EB">
        <w:rPr>
          <w:rStyle w:val="TextoNormalNegritaCaracter"/>
        </w:rPr>
        <w:t>Artículo 18.7.</w:t>
      </w:r>
      <w:r w:rsidRPr="00DD47EB">
        <w:rPr>
          <w:rStyle w:val="TextoNormalCaracter"/>
        </w:rPr>
        <w:t>-</w:t>
      </w:r>
      <w:r>
        <w:t xml:space="preserve"> Autos </w:t>
      </w:r>
      <w:hyperlink w:anchor="AUTO_2015_33" w:history="1">
        <w:r w:rsidRPr="00DD47EB">
          <w:rPr>
            <w:rStyle w:val="TextoNormalCaracter"/>
          </w:rPr>
          <w:t>33/2015</w:t>
        </w:r>
      </w:hyperlink>
      <w:r>
        <w:t xml:space="preserve">, ff. 1, 2, 4, 5; </w:t>
      </w:r>
      <w:hyperlink w:anchor="AUTO_2015_34" w:history="1">
        <w:r w:rsidRPr="00DD47EB">
          <w:rPr>
            <w:rStyle w:val="TextoNormalCaracter"/>
          </w:rPr>
          <w:t>34/2015</w:t>
        </w:r>
      </w:hyperlink>
      <w:r>
        <w:t>, f. 2.</w:t>
      </w:r>
    </w:p>
    <w:p w:rsidR="00DD47EB" w:rsidRDefault="00DD47EB" w:rsidP="00DD47EB">
      <w:pPr>
        <w:pStyle w:val="SangriaFrancesaArticulo"/>
      </w:pPr>
      <w:r w:rsidRPr="00DD47EB">
        <w:rPr>
          <w:rStyle w:val="TextoNormalNegritaCaracter"/>
        </w:rPr>
        <w:t>Artículo 18.8.</w:t>
      </w:r>
      <w:r w:rsidRPr="00DD47EB">
        <w:rPr>
          <w:rStyle w:val="TextoNormalCaracter"/>
        </w:rPr>
        <w:t>-</w:t>
      </w:r>
      <w:r>
        <w:t xml:space="preserve"> Sentencia </w:t>
      </w:r>
      <w:hyperlink w:anchor="SENTENCIA_2015_8" w:history="1">
        <w:r w:rsidRPr="00DD47EB">
          <w:rPr>
            <w:rStyle w:val="TextoNormalCaracter"/>
          </w:rPr>
          <w:t>8/2015</w:t>
        </w:r>
      </w:hyperlink>
      <w:r>
        <w:t>, ff. 1, 8.</w:t>
      </w:r>
    </w:p>
    <w:p w:rsidR="00DD47EB" w:rsidRDefault="00DD47EB" w:rsidP="00DD47EB">
      <w:pPr>
        <w:pStyle w:val="SangriaIzquierdaArticulo"/>
      </w:pPr>
      <w:r>
        <w:t xml:space="preserve">Autos </w:t>
      </w:r>
      <w:hyperlink w:anchor="AUTO_2015_33" w:history="1">
        <w:r w:rsidRPr="00DD47EB">
          <w:rPr>
            <w:rStyle w:val="TextoNormalCaracter"/>
          </w:rPr>
          <w:t>33/2015</w:t>
        </w:r>
      </w:hyperlink>
      <w:r>
        <w:t xml:space="preserve">, ff. 1, 2, 5; </w:t>
      </w:r>
      <w:hyperlink w:anchor="AUTO_2015_34" w:history="1">
        <w:r w:rsidRPr="00DD47EB">
          <w:rPr>
            <w:rStyle w:val="TextoNormalCaracter"/>
          </w:rPr>
          <w:t>34/2015</w:t>
        </w:r>
      </w:hyperlink>
      <w:r>
        <w:t>, ff. 1, 2, 5.</w:t>
      </w:r>
    </w:p>
    <w:p w:rsidR="00DD47EB" w:rsidRDefault="00DD47EB" w:rsidP="00DD47EB">
      <w:pPr>
        <w:pStyle w:val="SangriaFrancesaArticulo"/>
      </w:pPr>
      <w:r w:rsidRPr="00DD47EB">
        <w:rPr>
          <w:rStyle w:val="TextoNormalNegritaCaracter"/>
        </w:rPr>
        <w:t>Artículo 18.9.</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23.1.</w:t>
      </w:r>
      <w:r w:rsidRPr="00DD47EB">
        <w:rPr>
          <w:rStyle w:val="TextoNormalCaracter"/>
        </w:rPr>
        <w:t>-</w:t>
      </w:r>
      <w:r>
        <w:t xml:space="preserve"> Sentencia </w:t>
      </w:r>
      <w:hyperlink w:anchor="SENTENCIA_2015_8" w:history="1">
        <w:r w:rsidRPr="00DD47EB">
          <w:rPr>
            <w:rStyle w:val="TextoNormalCaracter"/>
          </w:rPr>
          <w:t>8/2015</w:t>
        </w:r>
      </w:hyperlink>
      <w:r>
        <w:t>, ff. 1, 8.</w:t>
      </w:r>
    </w:p>
    <w:p w:rsidR="00DD47EB" w:rsidRDefault="00DD47EB" w:rsidP="00DD47EB">
      <w:pPr>
        <w:pStyle w:val="SangriaFrancesaArticulo"/>
      </w:pPr>
      <w:r w:rsidRPr="00DD47EB">
        <w:rPr>
          <w:rStyle w:val="TextoNormalNegritaCaracter"/>
        </w:rPr>
        <w:t>Artículo 51.</w:t>
      </w:r>
      <w:r w:rsidRPr="00DD47EB">
        <w:rPr>
          <w:rStyle w:val="TextoNormalCaracter"/>
        </w:rPr>
        <w:t>-</w:t>
      </w:r>
      <w:r>
        <w:t xml:space="preserve"> Sentencia </w:t>
      </w:r>
      <w:hyperlink w:anchor="SENTENCIA_2015_8" w:history="1">
        <w:r w:rsidRPr="00DD47EB">
          <w:rPr>
            <w:rStyle w:val="TextoNormalCaracter"/>
          </w:rPr>
          <w:t>8/2015</w:t>
        </w:r>
      </w:hyperlink>
      <w:r>
        <w:t>, ff. 4, 7.</w:t>
      </w:r>
    </w:p>
    <w:p w:rsidR="00DD47EB" w:rsidRDefault="00DD47EB" w:rsidP="00DD47EB">
      <w:pPr>
        <w:pStyle w:val="SangriaFrancesaArticulo"/>
      </w:pPr>
      <w:r w:rsidRPr="00DD47EB">
        <w:rPr>
          <w:rStyle w:val="TextoNormalNegritaCaracter"/>
        </w:rPr>
        <w:t>Artículo 82.3.</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8" w:history="1">
        <w:r w:rsidRPr="00DD47EB">
          <w:rPr>
            <w:rStyle w:val="TextoNormalCaracter"/>
          </w:rPr>
          <w:t>8/2015</w:t>
        </w:r>
      </w:hyperlink>
      <w:r>
        <w:t>, ff. 1, 9.</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Autos </w:t>
      </w:r>
      <w:hyperlink w:anchor="AUTO_2015_33" w:history="1">
        <w:r w:rsidRPr="00DD47EB">
          <w:rPr>
            <w:rStyle w:val="TextoNormalCaracter"/>
          </w:rPr>
          <w:t>33/2015</w:t>
        </w:r>
      </w:hyperlink>
      <w:r>
        <w:t xml:space="preserve">, ff. 1, 2, 5; </w:t>
      </w:r>
      <w:hyperlink w:anchor="AUTO_2015_34" w:history="1">
        <w:r w:rsidRPr="00DD47EB">
          <w:rPr>
            <w:rStyle w:val="TextoNormalCaracter"/>
          </w:rPr>
          <w:t>34/2015</w:t>
        </w:r>
      </w:hyperlink>
      <w:r>
        <w:t>, f. 2.</w:t>
      </w:r>
    </w:p>
    <w:p w:rsidR="00DD47EB" w:rsidRDefault="00DD47EB" w:rsidP="00DD47EB">
      <w:pPr>
        <w:pStyle w:val="SangriaFrancesaArticulo"/>
      </w:pPr>
      <w:r w:rsidRPr="00DD47EB">
        <w:rPr>
          <w:rStyle w:val="TextoNormalNegritaCaracter"/>
        </w:rPr>
        <w:t>Disposición transitoria quinta, apartado 1.</w:t>
      </w:r>
      <w:r w:rsidRPr="00DD47EB">
        <w:rPr>
          <w:rStyle w:val="TextoNormalCaracter"/>
        </w:rPr>
        <w:t>-</w:t>
      </w:r>
      <w:r>
        <w:t xml:space="preserve"> Autos </w:t>
      </w:r>
      <w:hyperlink w:anchor="AUTO_2015_33" w:history="1">
        <w:r w:rsidRPr="00DD47EB">
          <w:rPr>
            <w:rStyle w:val="TextoNormalCaracter"/>
          </w:rPr>
          <w:t>33/2015</w:t>
        </w:r>
      </w:hyperlink>
      <w:r>
        <w:t xml:space="preserve">, ff. 2, 4; </w:t>
      </w:r>
      <w:hyperlink w:anchor="AUTO_2015_34" w:history="1">
        <w:r w:rsidRPr="00DD47EB">
          <w:rPr>
            <w:rStyle w:val="TextoNormalCaracter"/>
          </w:rPr>
          <w:t>34/2015</w:t>
        </w:r>
      </w:hyperlink>
      <w:r>
        <w:t>, f. 2.</w:t>
      </w:r>
    </w:p>
    <w:p w:rsidR="00DD47EB" w:rsidRDefault="00DD47EB" w:rsidP="00DD47EB">
      <w:pPr>
        <w:pStyle w:val="SangriaFrancesaArticulo"/>
      </w:pPr>
      <w:r w:rsidRPr="00DD47EB">
        <w:rPr>
          <w:rStyle w:val="TextoNormalNegritaCaracter"/>
        </w:rPr>
        <w:t>Disposición transitoria quinta, apartado 2.</w:t>
      </w:r>
      <w:r w:rsidRPr="00DD47EB">
        <w:rPr>
          <w:rStyle w:val="TextoNormalCaracter"/>
        </w:rPr>
        <w:t>-</w:t>
      </w:r>
      <w:r>
        <w:t xml:space="preserve"> Autos </w:t>
      </w:r>
      <w:hyperlink w:anchor="AUTO_2015_33" w:history="1">
        <w:r w:rsidRPr="00DD47EB">
          <w:rPr>
            <w:rStyle w:val="TextoNormalCaracter"/>
          </w:rPr>
          <w:t>33/2015</w:t>
        </w:r>
      </w:hyperlink>
      <w:r>
        <w:t xml:space="preserve">, f. 2; </w:t>
      </w:r>
      <w:hyperlink w:anchor="AUTO_2015_34" w:history="1">
        <w:r w:rsidRPr="00DD47EB">
          <w:rPr>
            <w:rStyle w:val="TextoNormalCaracter"/>
          </w:rPr>
          <w:t>34/2015</w:t>
        </w:r>
      </w:hyperlink>
      <w:r>
        <w:t>, ff. 2, 4.</w:t>
      </w:r>
    </w:p>
    <w:p w:rsidR="00DD47EB" w:rsidRDefault="00DD47EB" w:rsidP="00DD47EB">
      <w:pPr>
        <w:pStyle w:val="SangriaFrancesaArticulo"/>
      </w:pPr>
      <w:r w:rsidRPr="00DD47EB">
        <w:rPr>
          <w:rStyle w:val="TextoNormalNegritaCaracter"/>
        </w:rPr>
        <w:t>Disposición transitoria quinta, apartado 3.</w:t>
      </w:r>
      <w:r w:rsidRPr="00DD47EB">
        <w:rPr>
          <w:rStyle w:val="TextoNormalCaracter"/>
        </w:rPr>
        <w:t>-</w:t>
      </w:r>
      <w:r>
        <w:t xml:space="preserve"> Autos </w:t>
      </w:r>
      <w:hyperlink w:anchor="AUTO_2015_33" w:history="1">
        <w:r w:rsidRPr="00DD47EB">
          <w:rPr>
            <w:rStyle w:val="TextoNormalCaracter"/>
          </w:rPr>
          <w:t>33/2015</w:t>
        </w:r>
      </w:hyperlink>
      <w:r>
        <w:t xml:space="preserve">, f. 2; </w:t>
      </w:r>
      <w:hyperlink w:anchor="AUTO_2015_34" w:history="1">
        <w:r w:rsidRPr="00DD47EB">
          <w:rPr>
            <w:rStyle w:val="TextoNormalCaracter"/>
          </w:rPr>
          <w:t>34/2015</w:t>
        </w:r>
      </w:hyperlink>
      <w:r>
        <w:t>.</w:t>
      </w:r>
    </w:p>
    <w:p w:rsidR="00DD47EB" w:rsidRDefault="00DD47EB" w:rsidP="00DD47EB">
      <w:pPr>
        <w:pStyle w:val="SangriaFrancesaArticulo"/>
      </w:pPr>
      <w:r w:rsidRPr="00DD47EB">
        <w:rPr>
          <w:rStyle w:val="TextoNormalNegritaCaracter"/>
        </w:rPr>
        <w:t>Disposición final cuarta, apartado 2.</w:t>
      </w:r>
      <w:r w:rsidRPr="00DD47EB">
        <w:rPr>
          <w:rStyle w:val="TextoNormalCaracter"/>
        </w:rPr>
        <w:t>-</w:t>
      </w:r>
      <w:r>
        <w:t xml:space="preserve"> Sentencia </w:t>
      </w:r>
      <w:hyperlink w:anchor="SENTENCIA_2015_8" w:history="1">
        <w:r w:rsidRPr="00DD47EB">
          <w:rPr>
            <w:rStyle w:val="TextoNormalCaracter"/>
          </w:rPr>
          <w:t>8/2015</w:t>
        </w:r>
      </w:hyperlink>
      <w:r>
        <w:t>, ff. 1, 10.</w:t>
      </w:r>
    </w:p>
    <w:p w:rsidR="00DD47EB" w:rsidRDefault="00DD47EB" w:rsidP="00DD47EB">
      <w:pPr>
        <w:pStyle w:val="SangriaFrancesaArticulo"/>
      </w:pPr>
      <w:r w:rsidRPr="00DD47EB">
        <w:rPr>
          <w:rStyle w:val="TextoNormalNegritaCaracter"/>
        </w:rPr>
        <w:t>Disposición final quinta.</w:t>
      </w:r>
      <w:r w:rsidRPr="00DD47EB">
        <w:rPr>
          <w:rStyle w:val="TextoNormalCaracter"/>
        </w:rPr>
        <w:t>-</w:t>
      </w:r>
      <w:r>
        <w:t xml:space="preserve"> Sentencia </w:t>
      </w:r>
      <w:hyperlink w:anchor="SENTENCIA_2015_8" w:history="1">
        <w:r w:rsidRPr="00DD47EB">
          <w:rPr>
            <w:rStyle w:val="TextoNormalCaracter"/>
          </w:rPr>
          <w:t>8/2015</w:t>
        </w:r>
      </w:hyperlink>
      <w:r>
        <w:t>, ff. 8, 10.</w:t>
      </w:r>
    </w:p>
    <w:p w:rsidR="00DD47EB" w:rsidRDefault="00DD47EB" w:rsidP="00DD47EB">
      <w:pPr>
        <w:pStyle w:val="SangriaFrancesaArticulo"/>
      </w:pPr>
    </w:p>
    <w:p w:rsidR="00DD47EB" w:rsidRDefault="00DD47EB" w:rsidP="00DD47EB">
      <w:pPr>
        <w:pStyle w:val="TextoNormalNegritaCursivandice"/>
      </w:pPr>
      <w:r>
        <w:t>Ley 8/2012, de 30 de octubre. Saneamiento y venta de los activos inmobiliarios del sector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3" w:history="1">
        <w:r w:rsidRPr="00DD47EB">
          <w:rPr>
            <w:rStyle w:val="TextoNormalCaracter"/>
          </w:rPr>
          <w:t>93/2015</w:t>
        </w:r>
      </w:hyperlink>
      <w:r>
        <w:t>, f. 16.</w:t>
      </w:r>
    </w:p>
    <w:p w:rsidR="00DD47EB" w:rsidRDefault="00DD47EB" w:rsidP="00DD47EB">
      <w:pPr>
        <w:pStyle w:val="SangriaFrancesaArticulo"/>
      </w:pPr>
    </w:p>
    <w:p w:rsidR="00DD47EB" w:rsidRDefault="00DD47EB" w:rsidP="00DD47EB">
      <w:pPr>
        <w:pStyle w:val="TextoNormalNegritaCursivandice"/>
      </w:pPr>
      <w:r>
        <w:t>Ley 9/2012, de 14 de noviembre. Reestructuración y resolución de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2" w:history="1">
        <w:r w:rsidRPr="00DD47EB">
          <w:rPr>
            <w:rStyle w:val="TextoNormalCaracter"/>
          </w:rPr>
          <w:t>12/2015</w:t>
        </w:r>
      </w:hyperlink>
      <w:r>
        <w:t xml:space="preserve">, f. 5; </w:t>
      </w:r>
      <w:hyperlink w:anchor="SENTENCIA_2015_47" w:history="1">
        <w:r w:rsidRPr="00DD47EB">
          <w:rPr>
            <w:rStyle w:val="TextoNormalCaracter"/>
          </w:rPr>
          <w:t>47/2015</w:t>
        </w:r>
      </w:hyperlink>
      <w:r>
        <w:t xml:space="preserve">, f. 2; </w:t>
      </w:r>
      <w:hyperlink w:anchor="SENTENCIA_2015_93" w:history="1">
        <w:r w:rsidRPr="00DD47EB">
          <w:rPr>
            <w:rStyle w:val="TextoNormalCaracter"/>
          </w:rPr>
          <w:t>93/2015</w:t>
        </w:r>
      </w:hyperlink>
      <w:r>
        <w:t>, f. 16.</w:t>
      </w:r>
    </w:p>
    <w:p w:rsidR="00DD47EB" w:rsidRDefault="00DD47EB" w:rsidP="00DD47EB">
      <w:pPr>
        <w:pStyle w:val="SangriaFrancesaArticulo"/>
      </w:pPr>
      <w:r w:rsidRPr="00DD47EB">
        <w:rPr>
          <w:rStyle w:val="TextoNormalNegritaCaracter"/>
        </w:rPr>
        <w:t>Artículo 28.4, inciso 2.</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Artículo 31.4.</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r w:rsidRPr="00DD47EB">
        <w:rPr>
          <w:rStyle w:val="TextoNormalNegritaCaracter"/>
        </w:rPr>
        <w:t>Artículos 52 a 70).</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p>
    <w:p w:rsidR="00DD47EB" w:rsidRDefault="00DD47EB" w:rsidP="00DD47EB">
      <w:pPr>
        <w:pStyle w:val="TextoNormalNegritaCursivandice"/>
      </w:pPr>
      <w:r>
        <w:t>Ley 10/2012, de 20 de noviembre. Se regulan determinadas tasas en el ámbito de la Administración de justicia y del Instituto Nacional de Toxicología y Ciencias Forenses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24" w:history="1">
        <w:r w:rsidRPr="00DD47EB">
          <w:rPr>
            <w:rStyle w:val="TextoNormalCaracter"/>
          </w:rPr>
          <w:t>124/2015</w:t>
        </w:r>
      </w:hyperlink>
      <w:r>
        <w:t>, f. 4.</w:t>
      </w:r>
    </w:p>
    <w:p w:rsidR="00DD47EB" w:rsidRDefault="00DD47EB" w:rsidP="00DD47EB">
      <w:pPr>
        <w:pStyle w:val="SangriaFrancesaArticulo"/>
      </w:pPr>
      <w:r w:rsidRPr="00DD47EB">
        <w:rPr>
          <w:rStyle w:val="TextoNormalNegritaCaracter"/>
        </w:rPr>
        <w:t>Artículo 2 e)</w:t>
      </w:r>
      <w:r>
        <w:t xml:space="preserve"> (redactado por el Real Decreto-ley 3/2013, de 22 de febrero)</w:t>
      </w:r>
      <w:r w:rsidRPr="00DD47EB">
        <w:rPr>
          <w:rStyle w:val="TextoNormalNegritaCaracter"/>
        </w:rPr>
        <w:t>.</w:t>
      </w:r>
      <w:r w:rsidRPr="00DD47EB">
        <w:rPr>
          <w:rStyle w:val="TextoNormalCaracter"/>
        </w:rPr>
        <w:t>-</w:t>
      </w:r>
      <w:r>
        <w:t xml:space="preserve"> Auto </w:t>
      </w:r>
      <w:hyperlink w:anchor="AUTO_2015_66" w:history="1">
        <w:r w:rsidRPr="00DD47EB">
          <w:rPr>
            <w:rStyle w:val="TextoNormalCaracter"/>
          </w:rPr>
          <w:t>66/2015</w:t>
        </w:r>
      </w:hyperlink>
      <w:r>
        <w:t>, f. 1.</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Auto </w:t>
      </w:r>
      <w:hyperlink w:anchor="AUTO_2015_66" w:history="1">
        <w:r w:rsidRPr="00DD47EB">
          <w:rPr>
            <w:rStyle w:val="TextoNormalCaracter"/>
          </w:rPr>
          <w:t>66/2015</w:t>
        </w:r>
      </w:hyperlink>
      <w:r>
        <w:t>, f. 1.</w:t>
      </w:r>
    </w:p>
    <w:p w:rsidR="00DD47EB" w:rsidRDefault="00DD47EB" w:rsidP="00DD47EB">
      <w:pPr>
        <w:pStyle w:val="SangriaFrancesaArticulo"/>
      </w:pPr>
      <w:r w:rsidRPr="00DD47EB">
        <w:rPr>
          <w:rStyle w:val="TextoNormalNegritaCaracter"/>
        </w:rPr>
        <w:t>Artículo 7.3.</w:t>
      </w:r>
      <w:r w:rsidRPr="00DD47EB">
        <w:rPr>
          <w:rStyle w:val="TextoNormalCaracter"/>
        </w:rPr>
        <w:t>-</w:t>
      </w:r>
      <w:r>
        <w:t xml:space="preserve"> Auto </w:t>
      </w:r>
      <w:hyperlink w:anchor="AUTO_2015_66" w:history="1">
        <w:r w:rsidRPr="00DD47EB">
          <w:rPr>
            <w:rStyle w:val="TextoNormalCaracter"/>
          </w:rPr>
          <w:t>66/2015</w:t>
        </w:r>
      </w:hyperlink>
      <w:r>
        <w:t>, f. 1.</w:t>
      </w:r>
    </w:p>
    <w:p w:rsidR="00DD47EB" w:rsidRDefault="00DD47EB" w:rsidP="00DD47EB">
      <w:pPr>
        <w:pStyle w:val="SangriaFrancesaArticulo"/>
      </w:pPr>
    </w:p>
    <w:p w:rsidR="00DD47EB" w:rsidRDefault="00DD47EB" w:rsidP="00DD47EB">
      <w:pPr>
        <w:pStyle w:val="TextoNormalNegritaCursivandice"/>
      </w:pPr>
      <w:r>
        <w:t>Ley 15/2012, de 27 de diciembre. Medidas fiscales para la sostenibilidad energética</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p>
    <w:p w:rsidR="00DD47EB" w:rsidRDefault="00DD47EB" w:rsidP="00DD47EB">
      <w:pPr>
        <w:pStyle w:val="TextoNormalNegritaCursivandice"/>
      </w:pPr>
      <w:r>
        <w:t>Ley 16/2012, de 27 de diciembre. Diversas medidas tributarias dirigidas a la consolidación de las finanzas públicas y al impulso de la actividad económica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6" w:history="1">
        <w:r w:rsidRPr="00DD47EB">
          <w:rPr>
            <w:rStyle w:val="TextoNormalCaracter"/>
          </w:rPr>
          <w:t>26/2015</w:t>
        </w:r>
      </w:hyperlink>
      <w:r>
        <w:t xml:space="preserve">, f. 6, VP; </w:t>
      </w:r>
      <w:hyperlink w:anchor="SENTENCIA_2015_30" w:history="1">
        <w:r w:rsidRPr="00DD47EB">
          <w:rPr>
            <w:rStyle w:val="TextoNormalCaracter"/>
          </w:rPr>
          <w:t>30/2015</w:t>
        </w:r>
      </w:hyperlink>
      <w:r>
        <w:t xml:space="preserve">, ff. 1, 2, VP; </w:t>
      </w:r>
      <w:hyperlink w:anchor="SENTENCIA_2015_73" w:history="1">
        <w:r w:rsidRPr="00DD47EB">
          <w:rPr>
            <w:rStyle w:val="TextoNormalCaracter"/>
          </w:rPr>
          <w:t>73/2015</w:t>
        </w:r>
      </w:hyperlink>
      <w:r>
        <w:t xml:space="preserve">, f. 3; </w:t>
      </w:r>
      <w:hyperlink w:anchor="SENTENCIA_2015_102" w:history="1">
        <w:r w:rsidRPr="00DD47EB">
          <w:rPr>
            <w:rStyle w:val="TextoNormalCaracter"/>
          </w:rPr>
          <w:t>102/2015</w:t>
        </w:r>
      </w:hyperlink>
      <w:r>
        <w:t xml:space="preserve">, ff. 2, 3; </w:t>
      </w:r>
      <w:hyperlink w:anchor="SENTENCIA_2015_107" w:history="1">
        <w:r w:rsidRPr="00DD47EB">
          <w:rPr>
            <w:rStyle w:val="TextoNormalCaracter"/>
          </w:rPr>
          <w:t>107/2015</w:t>
        </w:r>
      </w:hyperlink>
      <w:r>
        <w:t xml:space="preserve">, f. 1; </w:t>
      </w:r>
      <w:hyperlink w:anchor="SENTENCIA_2015_108" w:history="1">
        <w:r w:rsidRPr="00DD47EB">
          <w:rPr>
            <w:rStyle w:val="TextoNormalCaracter"/>
          </w:rPr>
          <w:t>108/2015</w:t>
        </w:r>
      </w:hyperlink>
      <w:r>
        <w:t>, f. 2.</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26" w:history="1">
        <w:r w:rsidRPr="00DD47EB">
          <w:rPr>
            <w:rStyle w:val="TextoNormalCaracter"/>
          </w:rPr>
          <w:t>26/2015</w:t>
        </w:r>
      </w:hyperlink>
      <w:r>
        <w:t>, f. 1.</w:t>
      </w:r>
    </w:p>
    <w:p w:rsidR="00DD47EB" w:rsidRDefault="00DD47EB" w:rsidP="00DD47EB">
      <w:pPr>
        <w:pStyle w:val="SangriaFrancesaArticulo"/>
      </w:pPr>
      <w:r w:rsidRPr="00DD47EB">
        <w:rPr>
          <w:rStyle w:val="TextoNormalNegritaCaracter"/>
        </w:rPr>
        <w:t>Artículo 16.8.</w:t>
      </w:r>
      <w:r w:rsidRPr="00DD47EB">
        <w:rPr>
          <w:rStyle w:val="TextoNormalCaracter"/>
        </w:rPr>
        <w:t>-</w:t>
      </w:r>
      <w:r>
        <w:t xml:space="preserve"> Sentencia </w:t>
      </w:r>
      <w:hyperlink w:anchor="SENTENCIA_2015_26" w:history="1">
        <w:r w:rsidRPr="00DD47EB">
          <w:rPr>
            <w:rStyle w:val="TextoNormalCaracter"/>
          </w:rPr>
          <w:t>26/2015</w:t>
        </w:r>
      </w:hyperlink>
      <w:r>
        <w:t>, f. 4.</w:t>
      </w:r>
    </w:p>
    <w:p w:rsidR="00DD47EB" w:rsidRDefault="00DD47EB" w:rsidP="00DD47EB">
      <w:pPr>
        <w:pStyle w:val="SangriaFrancesaArticulo"/>
      </w:pPr>
      <w:r w:rsidRPr="00DD47EB">
        <w:rPr>
          <w:rStyle w:val="TextoNormalNegritaCaracter"/>
        </w:rPr>
        <w:t>Artículo 19.</w:t>
      </w:r>
      <w:r w:rsidRPr="00DD47EB">
        <w:rPr>
          <w:rStyle w:val="TextoNormalCaracter"/>
        </w:rPr>
        <w:t>-</w:t>
      </w:r>
      <w:r>
        <w:t xml:space="preserve"> Sentencias </w:t>
      </w:r>
      <w:hyperlink w:anchor="SENTENCIA_2015_26" w:history="1">
        <w:r w:rsidRPr="00DD47EB">
          <w:rPr>
            <w:rStyle w:val="TextoNormalCaracter"/>
          </w:rPr>
          <w:t>26/2015</w:t>
        </w:r>
      </w:hyperlink>
      <w:r>
        <w:t xml:space="preserve">, ff. 1 a 3, 5, 6, VP; </w:t>
      </w:r>
      <w:hyperlink w:anchor="SENTENCIA_2015_30" w:history="1">
        <w:r w:rsidRPr="00DD47EB">
          <w:rPr>
            <w:rStyle w:val="TextoNormalCaracter"/>
          </w:rPr>
          <w:t>30/2015</w:t>
        </w:r>
      </w:hyperlink>
      <w:r>
        <w:t xml:space="preserve">, ff. 1, 2, 4, VP; </w:t>
      </w:r>
      <w:hyperlink w:anchor="SENTENCIA_2015_59" w:history="1">
        <w:r w:rsidRPr="00DD47EB">
          <w:rPr>
            <w:rStyle w:val="TextoNormalCaracter"/>
          </w:rPr>
          <w:t>59/2015</w:t>
        </w:r>
      </w:hyperlink>
      <w:r>
        <w:t xml:space="preserve">, ff. 1, 3, 6; </w:t>
      </w:r>
      <w:hyperlink w:anchor="SENTENCIA_2015_73" w:history="1">
        <w:r w:rsidRPr="00DD47EB">
          <w:rPr>
            <w:rStyle w:val="TextoNormalCaracter"/>
          </w:rPr>
          <w:t>73/2015</w:t>
        </w:r>
      </w:hyperlink>
      <w:r>
        <w:t xml:space="preserve">, ff. 1 a 3, VP; </w:t>
      </w:r>
      <w:hyperlink w:anchor="SENTENCIA_2015_102" w:history="1">
        <w:r w:rsidRPr="00DD47EB">
          <w:rPr>
            <w:rStyle w:val="TextoNormalCaracter"/>
          </w:rPr>
          <w:t>102/2015</w:t>
        </w:r>
      </w:hyperlink>
      <w:r>
        <w:t xml:space="preserve">, ff. 2 a 5; </w:t>
      </w:r>
      <w:hyperlink w:anchor="SENTENCIA_2015_108" w:history="1">
        <w:r w:rsidRPr="00DD47EB">
          <w:rPr>
            <w:rStyle w:val="TextoNormalCaracter"/>
          </w:rPr>
          <w:t>108/2015</w:t>
        </w:r>
      </w:hyperlink>
      <w:r>
        <w:t xml:space="preserve">, ff. 2, 4; </w:t>
      </w:r>
      <w:hyperlink w:anchor="SENTENCIA_2015_111" w:history="1">
        <w:r w:rsidRPr="00DD47EB">
          <w:rPr>
            <w:rStyle w:val="TextoNormalCaracter"/>
          </w:rPr>
          <w:t>111/2015</w:t>
        </w:r>
      </w:hyperlink>
      <w:r>
        <w:t>, ff. 1, 2.</w:t>
      </w:r>
    </w:p>
    <w:p w:rsidR="00DD47EB" w:rsidRDefault="00DD47EB" w:rsidP="00DD47EB">
      <w:pPr>
        <w:pStyle w:val="SangriaFrancesaArticulo"/>
      </w:pPr>
      <w:r w:rsidRPr="00DD47EB">
        <w:rPr>
          <w:rStyle w:val="TextoNormalNegritaCaracter"/>
        </w:rPr>
        <w:t>Artículo 19</w:t>
      </w:r>
      <w:r>
        <w:t xml:space="preserve"> (redactado por el Real Decreto-ley 8/2014, de 4 de julio)</w:t>
      </w:r>
      <w:r w:rsidRPr="00DD47EB">
        <w:rPr>
          <w:rStyle w:val="TextoNormalNegritaCaracter"/>
        </w:rPr>
        <w:t>.</w:t>
      </w:r>
      <w:r w:rsidRPr="00DD47EB">
        <w:rPr>
          <w:rStyle w:val="TextoNormalCaracter"/>
        </w:rPr>
        <w:t>-</w:t>
      </w:r>
      <w:r>
        <w:t xml:space="preserve"> Sentencias </w:t>
      </w:r>
      <w:hyperlink w:anchor="SENTENCIA_2015_59" w:history="1">
        <w:r w:rsidRPr="00DD47EB">
          <w:rPr>
            <w:rStyle w:val="TextoNormalCaracter"/>
          </w:rPr>
          <w:t>59/2015</w:t>
        </w:r>
      </w:hyperlink>
      <w:r>
        <w:t xml:space="preserve">, f. 2; </w:t>
      </w:r>
      <w:hyperlink w:anchor="SENTENCIA_2015_102" w:history="1">
        <w:r w:rsidRPr="00DD47EB">
          <w:rPr>
            <w:rStyle w:val="TextoNormalCaracter"/>
          </w:rPr>
          <w:t>102/2015</w:t>
        </w:r>
      </w:hyperlink>
      <w:r>
        <w:t>, ff. 1, 2.</w:t>
      </w:r>
    </w:p>
    <w:p w:rsidR="00DD47EB" w:rsidRDefault="00DD47EB" w:rsidP="00DD47EB">
      <w:pPr>
        <w:pStyle w:val="SangriaFrancesaArticulo"/>
      </w:pPr>
      <w:r w:rsidRPr="00DD47EB">
        <w:rPr>
          <w:rStyle w:val="TextoNormalNegritaCaracter"/>
        </w:rPr>
        <w:t>Artículo 19</w:t>
      </w:r>
      <w:r>
        <w:t xml:space="preserve"> (redactado por la Ley 18/2014, de 15 de octubre)</w:t>
      </w:r>
      <w:r w:rsidRPr="00DD47EB">
        <w:rPr>
          <w:rStyle w:val="TextoNormalNegritaCaracter"/>
        </w:rPr>
        <w:t>.</w:t>
      </w:r>
      <w:r w:rsidRPr="00DD47EB">
        <w:rPr>
          <w:rStyle w:val="TextoNormalCaracter"/>
        </w:rPr>
        <w:t>-</w:t>
      </w:r>
      <w:r>
        <w:t xml:space="preserve"> Sentencias </w:t>
      </w:r>
      <w:hyperlink w:anchor="SENTENCIA_2015_30" w:history="1">
        <w:r w:rsidRPr="00DD47EB">
          <w:rPr>
            <w:rStyle w:val="TextoNormalCaracter"/>
          </w:rPr>
          <w:t>30/2015</w:t>
        </w:r>
      </w:hyperlink>
      <w:r>
        <w:t xml:space="preserve">, f. 4; </w:t>
      </w:r>
      <w:hyperlink w:anchor="SENTENCIA_2015_59" w:history="1">
        <w:r w:rsidRPr="00DD47EB">
          <w:rPr>
            <w:rStyle w:val="TextoNormalCaracter"/>
          </w:rPr>
          <w:t>59/2015</w:t>
        </w:r>
      </w:hyperlink>
      <w:r>
        <w:t xml:space="preserve">, f. 2; </w:t>
      </w:r>
      <w:hyperlink w:anchor="SENTENCIA_2015_102" w:history="1">
        <w:r w:rsidRPr="00DD47EB">
          <w:rPr>
            <w:rStyle w:val="TextoNormalCaracter"/>
          </w:rPr>
          <w:t>102/2015</w:t>
        </w:r>
      </w:hyperlink>
      <w:r>
        <w:t>, f. 1.</w:t>
      </w:r>
    </w:p>
    <w:p w:rsidR="00DD47EB" w:rsidRDefault="00DD47EB" w:rsidP="00DD47EB">
      <w:pPr>
        <w:pStyle w:val="SangriaFrancesaArticulo"/>
      </w:pPr>
      <w:r w:rsidRPr="00DD47EB">
        <w:rPr>
          <w:rStyle w:val="TextoNormalNegritaCaracter"/>
        </w:rPr>
        <w:t>Artículo 19.1.</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30" w:history="1">
        <w:r w:rsidRPr="00DD47EB">
          <w:rPr>
            <w:rStyle w:val="TextoNormalCaracter"/>
          </w:rPr>
          <w:t>30/2015</w:t>
        </w:r>
      </w:hyperlink>
      <w:r>
        <w:t xml:space="preserve">, f. 4; </w:t>
      </w:r>
      <w:hyperlink w:anchor="SENTENCIA_2015_102" w:history="1">
        <w:r w:rsidRPr="00DD47EB">
          <w:rPr>
            <w:rStyle w:val="TextoNormalCaracter"/>
          </w:rPr>
          <w:t>102/2015</w:t>
        </w:r>
      </w:hyperlink>
      <w:r>
        <w:t>, f. 5.</w:t>
      </w:r>
    </w:p>
    <w:p w:rsidR="00DD47EB" w:rsidRDefault="00DD47EB" w:rsidP="00DD47EB">
      <w:pPr>
        <w:pStyle w:val="SangriaFrancesaArticulo"/>
      </w:pPr>
      <w:r w:rsidRPr="00DD47EB">
        <w:rPr>
          <w:rStyle w:val="TextoNormalNegritaCaracter"/>
        </w:rPr>
        <w:t>Artículo 19.2.</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30" w:history="1">
        <w:r w:rsidRPr="00DD47EB">
          <w:rPr>
            <w:rStyle w:val="TextoNormalCaracter"/>
          </w:rPr>
          <w:t>30/2015</w:t>
        </w:r>
      </w:hyperlink>
      <w:r>
        <w:t>, f. 4.</w:t>
      </w:r>
    </w:p>
    <w:p w:rsidR="00DD47EB" w:rsidRDefault="00DD47EB" w:rsidP="00DD47EB">
      <w:pPr>
        <w:pStyle w:val="SangriaFrancesaArticulo"/>
      </w:pPr>
      <w:r w:rsidRPr="00DD47EB">
        <w:rPr>
          <w:rStyle w:val="TextoNormalNegritaCaracter"/>
        </w:rPr>
        <w:t>Artículo 19.3.</w:t>
      </w:r>
      <w:r w:rsidRPr="00DD47EB">
        <w:rPr>
          <w:rStyle w:val="TextoNormalCaracter"/>
        </w:rPr>
        <w:t>-</w:t>
      </w:r>
      <w:r>
        <w:t xml:space="preserve"> Sentencias </w:t>
      </w:r>
      <w:hyperlink w:anchor="SENTENCIA_2015_26" w:history="1">
        <w:r w:rsidRPr="00DD47EB">
          <w:rPr>
            <w:rStyle w:val="TextoNormalCaracter"/>
          </w:rPr>
          <w:t>26/2015</w:t>
        </w:r>
      </w:hyperlink>
      <w:r>
        <w:t xml:space="preserve">, ff. 1, 4; </w:t>
      </w:r>
      <w:hyperlink w:anchor="SENTENCIA_2015_30" w:history="1">
        <w:r w:rsidRPr="00DD47EB">
          <w:rPr>
            <w:rStyle w:val="TextoNormalCaracter"/>
          </w:rPr>
          <w:t>30/2015</w:t>
        </w:r>
      </w:hyperlink>
      <w:r>
        <w:t xml:space="preserve">, f. 2; </w:t>
      </w:r>
      <w:hyperlink w:anchor="SENTENCIA_2015_102" w:history="1">
        <w:r w:rsidRPr="00DD47EB">
          <w:rPr>
            <w:rStyle w:val="TextoNormalCaracter"/>
          </w:rPr>
          <w:t>102/2015</w:t>
        </w:r>
      </w:hyperlink>
      <w:r>
        <w:t xml:space="preserve">, f. 5; </w:t>
      </w:r>
      <w:hyperlink w:anchor="SENTENCIA_2015_108" w:history="1">
        <w:r w:rsidRPr="00DD47EB">
          <w:rPr>
            <w:rStyle w:val="TextoNormalCaracter"/>
          </w:rPr>
          <w:t>108/2015</w:t>
        </w:r>
      </w:hyperlink>
      <w:r>
        <w:t xml:space="preserve">, f. 4;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19.5.</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30" w:history="1">
        <w:r w:rsidRPr="00DD47EB">
          <w:rPr>
            <w:rStyle w:val="TextoNormalCaracter"/>
          </w:rPr>
          <w:t>30/2015</w:t>
        </w:r>
      </w:hyperlink>
      <w:r>
        <w:t xml:space="preserve">, f. 4; </w:t>
      </w:r>
      <w:hyperlink w:anchor="SENTENCIA_2015_102" w:history="1">
        <w:r w:rsidRPr="00DD47EB">
          <w:rPr>
            <w:rStyle w:val="TextoNormalCaracter"/>
          </w:rPr>
          <w:t>102/2015</w:t>
        </w:r>
      </w:hyperlink>
      <w:r>
        <w:t>, f. 5.</w:t>
      </w:r>
    </w:p>
    <w:p w:rsidR="00DD47EB" w:rsidRDefault="00DD47EB" w:rsidP="00DD47EB">
      <w:pPr>
        <w:pStyle w:val="SangriaFrancesaArticulo"/>
      </w:pPr>
      <w:r w:rsidRPr="00DD47EB">
        <w:rPr>
          <w:rStyle w:val="TextoNormalNegritaCaracter"/>
        </w:rPr>
        <w:t>Artículo 19.5</w:t>
      </w:r>
      <w:r>
        <w:t xml:space="preserve"> (redactado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Artículo 19.6.</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30" w:history="1">
        <w:r w:rsidRPr="00DD47EB">
          <w:rPr>
            <w:rStyle w:val="TextoNormalCaracter"/>
          </w:rPr>
          <w:t>30/2015</w:t>
        </w:r>
      </w:hyperlink>
      <w:r>
        <w:t xml:space="preserve">, f. 4; </w:t>
      </w:r>
      <w:hyperlink w:anchor="SENTENCIA_2015_108" w:history="1">
        <w:r w:rsidRPr="00DD47EB">
          <w:rPr>
            <w:rStyle w:val="TextoNormalCaracter"/>
          </w:rPr>
          <w:t>108/2015</w:t>
        </w:r>
      </w:hyperlink>
      <w:r>
        <w:t xml:space="preserve">, f. 4;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19.7.</w:t>
      </w:r>
      <w:r w:rsidRPr="00DD47EB">
        <w:rPr>
          <w:rStyle w:val="TextoNormalCaracter"/>
        </w:rPr>
        <w:t>-</w:t>
      </w:r>
      <w:r>
        <w:t xml:space="preserve"> Sentencias </w:t>
      </w:r>
      <w:hyperlink w:anchor="SENTENCIA_2015_26" w:history="1">
        <w:r w:rsidRPr="00DD47EB">
          <w:rPr>
            <w:rStyle w:val="TextoNormalCaracter"/>
          </w:rPr>
          <w:t>26/2015</w:t>
        </w:r>
      </w:hyperlink>
      <w:r>
        <w:t xml:space="preserve">, ff. 1, 4; </w:t>
      </w:r>
      <w:hyperlink w:anchor="SENTENCIA_2015_30" w:history="1">
        <w:r w:rsidRPr="00DD47EB">
          <w:rPr>
            <w:rStyle w:val="TextoNormalCaracter"/>
          </w:rPr>
          <w:t>30/2015</w:t>
        </w:r>
      </w:hyperlink>
      <w:r>
        <w:t xml:space="preserve">, ff. 2, 4; </w:t>
      </w:r>
      <w:hyperlink w:anchor="SENTENCIA_2015_108" w:history="1">
        <w:r w:rsidRPr="00DD47EB">
          <w:rPr>
            <w:rStyle w:val="TextoNormalCaracter"/>
          </w:rPr>
          <w:t>108/2015</w:t>
        </w:r>
      </w:hyperlink>
      <w:r>
        <w:t xml:space="preserve">, f. 4;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19.7</w:t>
      </w:r>
      <w:r>
        <w:t xml:space="preserve"> (redactado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Artículo 19.8.</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30" w:history="1">
        <w:r w:rsidRPr="00DD47EB">
          <w:rPr>
            <w:rStyle w:val="TextoNormalCaracter"/>
          </w:rPr>
          <w:t>30/2015</w:t>
        </w:r>
      </w:hyperlink>
      <w:r>
        <w:t xml:space="preserve">, ff. 2, 4;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19.8</w:t>
      </w:r>
      <w:r>
        <w:t xml:space="preserve"> (redactado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Artículo 19.9.</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102" w:history="1">
        <w:r w:rsidRPr="00DD47EB">
          <w:rPr>
            <w:rStyle w:val="TextoNormalCaracter"/>
          </w:rPr>
          <w:t>102/2015</w:t>
        </w:r>
      </w:hyperlink>
      <w:r>
        <w:t>, f. 5.</w:t>
      </w:r>
    </w:p>
    <w:p w:rsidR="00DD47EB" w:rsidRDefault="00DD47EB" w:rsidP="00DD47EB">
      <w:pPr>
        <w:pStyle w:val="SangriaFrancesaArticulo"/>
      </w:pPr>
      <w:r w:rsidRPr="00DD47EB">
        <w:rPr>
          <w:rStyle w:val="TextoNormalNegritaCaracter"/>
        </w:rPr>
        <w:t>Artículo 19.9</w:t>
      </w:r>
      <w:r>
        <w:t xml:space="preserve"> (redactado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Artículo 19.10.</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102" w:history="1">
        <w:r w:rsidRPr="00DD47EB">
          <w:rPr>
            <w:rStyle w:val="TextoNormalCaracter"/>
          </w:rPr>
          <w:t>102/2015</w:t>
        </w:r>
      </w:hyperlink>
      <w:r>
        <w:t>, f. 5.</w:t>
      </w:r>
    </w:p>
    <w:p w:rsidR="00DD47EB" w:rsidRDefault="00DD47EB" w:rsidP="00DD47EB">
      <w:pPr>
        <w:pStyle w:val="SangriaFrancesaArticulo"/>
      </w:pPr>
      <w:r w:rsidRPr="00DD47EB">
        <w:rPr>
          <w:rStyle w:val="TextoNormalNegritaCaracter"/>
        </w:rPr>
        <w:t>Artículo 19.10</w:t>
      </w:r>
      <w:r>
        <w:t xml:space="preserve"> (redactado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Artículo 19.11.</w:t>
      </w:r>
      <w:r w:rsidRPr="00DD47EB">
        <w:rPr>
          <w:rStyle w:val="TextoNormalCaracter"/>
        </w:rPr>
        <w:t>-</w:t>
      </w:r>
      <w:r>
        <w:t xml:space="preserve"> Sentencias </w:t>
      </w:r>
      <w:hyperlink w:anchor="SENTENCIA_2015_26" w:history="1">
        <w:r w:rsidRPr="00DD47EB">
          <w:rPr>
            <w:rStyle w:val="TextoNormalCaracter"/>
          </w:rPr>
          <w:t>26/2015</w:t>
        </w:r>
      </w:hyperlink>
      <w:r>
        <w:t xml:space="preserve">, ff. 1, 4; </w:t>
      </w:r>
      <w:hyperlink w:anchor="SENTENCIA_2015_30" w:history="1">
        <w:r w:rsidRPr="00DD47EB">
          <w:rPr>
            <w:rStyle w:val="TextoNormalCaracter"/>
          </w:rPr>
          <w:t>30/2015</w:t>
        </w:r>
      </w:hyperlink>
      <w:r>
        <w:t xml:space="preserve">, ff. 2, 4; </w:t>
      </w:r>
      <w:hyperlink w:anchor="SENTENCIA_2015_102" w:history="1">
        <w:r w:rsidRPr="00DD47EB">
          <w:rPr>
            <w:rStyle w:val="TextoNormalCaracter"/>
          </w:rPr>
          <w:t>102/2015</w:t>
        </w:r>
      </w:hyperlink>
      <w:r>
        <w:t>, f. 5.</w:t>
      </w:r>
    </w:p>
    <w:p w:rsidR="00DD47EB" w:rsidRDefault="00DD47EB" w:rsidP="00DD47EB">
      <w:pPr>
        <w:pStyle w:val="SangriaFrancesaArticulo"/>
      </w:pPr>
      <w:r w:rsidRPr="00DD47EB">
        <w:rPr>
          <w:rStyle w:val="TextoNormalNegritaCaracter"/>
        </w:rPr>
        <w:t>Artículo 19.13.</w:t>
      </w:r>
      <w:r w:rsidRPr="00DD47EB">
        <w:rPr>
          <w:rStyle w:val="TextoNormalCaracter"/>
        </w:rPr>
        <w:t>-</w:t>
      </w:r>
      <w:r>
        <w:t xml:space="preserve"> Sentencias </w:t>
      </w:r>
      <w:hyperlink w:anchor="SENTENCIA_2015_26" w:history="1">
        <w:r w:rsidRPr="00DD47EB">
          <w:rPr>
            <w:rStyle w:val="TextoNormalCaracter"/>
          </w:rPr>
          <w:t>26/2015</w:t>
        </w:r>
      </w:hyperlink>
      <w:r>
        <w:t xml:space="preserve">, ff. 1, 2, 6; </w:t>
      </w:r>
      <w:hyperlink w:anchor="SENTENCIA_2015_59" w:history="1">
        <w:r w:rsidRPr="00DD47EB">
          <w:rPr>
            <w:rStyle w:val="TextoNormalCaracter"/>
          </w:rPr>
          <w:t>59/2015</w:t>
        </w:r>
      </w:hyperlink>
      <w:r>
        <w:t xml:space="preserve">, ff. 1, 3; </w:t>
      </w:r>
      <w:hyperlink w:anchor="SENTENCIA_2015_73" w:history="1">
        <w:r w:rsidRPr="00DD47EB">
          <w:rPr>
            <w:rStyle w:val="TextoNormalCaracter"/>
          </w:rPr>
          <w:t>73/2015</w:t>
        </w:r>
      </w:hyperlink>
      <w:r>
        <w:t xml:space="preserve">, ff. 1, 3; </w:t>
      </w:r>
      <w:hyperlink w:anchor="SENTENCIA_2015_102" w:history="1">
        <w:r w:rsidRPr="00DD47EB">
          <w:rPr>
            <w:rStyle w:val="TextoNormalCaracter"/>
          </w:rPr>
          <w:t>102/2015</w:t>
        </w:r>
      </w:hyperlink>
      <w:r>
        <w:t>, ff. 3, 6.</w:t>
      </w:r>
    </w:p>
    <w:p w:rsidR="00DD47EB" w:rsidRDefault="00DD47EB" w:rsidP="00DD47EB">
      <w:pPr>
        <w:pStyle w:val="SangriaFrancesaArticulo"/>
      </w:pPr>
      <w:r w:rsidRPr="00DD47EB">
        <w:rPr>
          <w:rStyle w:val="TextoNormalNegritaCaracter"/>
        </w:rPr>
        <w:t>Artículo 19.14.</w:t>
      </w:r>
      <w:r w:rsidRPr="00DD47EB">
        <w:rPr>
          <w:rStyle w:val="TextoNormalCaracter"/>
        </w:rPr>
        <w:t>-</w:t>
      </w:r>
      <w:r>
        <w:t xml:space="preserve"> Sentencia </w:t>
      </w:r>
      <w:hyperlink w:anchor="SENTENCIA_2015_102" w:history="1">
        <w:r w:rsidRPr="00DD47EB">
          <w:rPr>
            <w:rStyle w:val="TextoNormalCaracter"/>
          </w:rPr>
          <w:t>102/2015</w:t>
        </w:r>
      </w:hyperlink>
      <w:r>
        <w:t>, f. 6.</w:t>
      </w:r>
    </w:p>
    <w:p w:rsidR="00DD47EB" w:rsidRDefault="00DD47EB" w:rsidP="00DD47EB">
      <w:pPr>
        <w:pStyle w:val="SangriaFrancesaArticulo"/>
      </w:pPr>
      <w:r w:rsidRPr="00DD47EB">
        <w:rPr>
          <w:rStyle w:val="TextoNormalNegritaCaracter"/>
        </w:rPr>
        <w:t>Artículo 19.14</w:t>
      </w:r>
      <w:r>
        <w:t xml:space="preserve"> (redactado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Artículo 19.15</w:t>
      </w:r>
      <w:r>
        <w:t xml:space="preserve"> (redactado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Disposición transitoria única</w:t>
      </w:r>
      <w:r>
        <w:t xml:space="preserve"> (redactada por el Real Decreto-ley 8/2014, de 4 de julio)</w:t>
      </w:r>
      <w:r w:rsidRPr="00DD47EB">
        <w:rPr>
          <w:rStyle w:val="TextoNormalNegritaCaracter"/>
        </w:rPr>
        <w:t>.</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p>
    <w:p w:rsidR="00DD47EB" w:rsidRDefault="00DD47EB" w:rsidP="00DD47EB">
      <w:pPr>
        <w:pStyle w:val="TextoNormalNegritaCursivandice"/>
      </w:pPr>
      <w:r>
        <w:t>Ley 17/2012, de 27 de diciembre. Presupuestos Generales del Estado para el año 2013</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8" w:history="1">
        <w:r w:rsidRPr="00DD47EB">
          <w:rPr>
            <w:rStyle w:val="TextoNormalCaracter"/>
          </w:rPr>
          <w:t>48/2015</w:t>
        </w:r>
      </w:hyperlink>
      <w:r>
        <w:t xml:space="preserve">, f. 2; </w:t>
      </w:r>
      <w:hyperlink w:anchor="SENTENCIA_2015_94" w:history="1">
        <w:r w:rsidRPr="00DD47EB">
          <w:rPr>
            <w:rStyle w:val="TextoNormalCaracter"/>
          </w:rPr>
          <w:t>94/2015</w:t>
        </w:r>
      </w:hyperlink>
      <w:r>
        <w:t>, f. 4.</w:t>
      </w:r>
    </w:p>
    <w:p w:rsidR="00DD47EB" w:rsidRDefault="00DD47EB" w:rsidP="00DD47EB">
      <w:pPr>
        <w:pStyle w:val="SangriaFrancesaArticulo"/>
      </w:pPr>
      <w:r w:rsidRPr="00DD47EB">
        <w:rPr>
          <w:rStyle w:val="TextoNormalNegritaCaracter"/>
        </w:rPr>
        <w:t>Capítulo I.</w:t>
      </w:r>
      <w:r w:rsidRPr="00DD47EB">
        <w:rPr>
          <w:rStyle w:val="TextoNormalCaracter"/>
        </w:rPr>
        <w:t>-</w:t>
      </w:r>
      <w:r>
        <w:t xml:space="preserve"> Sentencia </w:t>
      </w:r>
      <w:hyperlink w:anchor="SENTENCIA_2015_94" w:history="1">
        <w:r w:rsidRPr="00DD47EB">
          <w:rPr>
            <w:rStyle w:val="TextoNormalCaracter"/>
          </w:rPr>
          <w:t>94/2015</w:t>
        </w:r>
      </w:hyperlink>
      <w:r>
        <w:t>, f. 4.</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94" w:history="1">
        <w:r w:rsidRPr="00DD47EB">
          <w:rPr>
            <w:rStyle w:val="TextoNormalCaracter"/>
          </w:rPr>
          <w:t>94/2015</w:t>
        </w:r>
      </w:hyperlink>
      <w:r>
        <w:t>, f. 4.</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Sentencia </w:t>
      </w:r>
      <w:hyperlink w:anchor="SENTENCIA_2015_94" w:history="1">
        <w:r w:rsidRPr="00DD47EB">
          <w:rPr>
            <w:rStyle w:val="TextoNormalCaracter"/>
          </w:rPr>
          <w:t>94/2015</w:t>
        </w:r>
      </w:hyperlink>
      <w:r>
        <w:t>, ff. 1, 3 a 5.</w:t>
      </w:r>
    </w:p>
    <w:p w:rsidR="00DD47EB" w:rsidRDefault="00DD47EB" w:rsidP="00DD47EB">
      <w:pPr>
        <w:pStyle w:val="SangriaFrancesaArticulo"/>
      </w:pPr>
    </w:p>
    <w:p w:rsidR="00DD47EB" w:rsidRDefault="00DD47EB" w:rsidP="00DD47EB">
      <w:pPr>
        <w:pStyle w:val="TextoNormalNegritaCursivandice"/>
      </w:pPr>
      <w:r>
        <w:t>Ley 1/2013, de 14 de mayo. Medidas para reforzar la protección a los deudores hipotecarios, reestructuración de deuda y alquiler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9" w:history="1">
        <w:r w:rsidRPr="00DD47EB">
          <w:rPr>
            <w:rStyle w:val="TextoNormalCaracter"/>
          </w:rPr>
          <w:t>39/2015</w:t>
        </w:r>
      </w:hyperlink>
      <w:r>
        <w:t xml:space="preserve">, f. 2; </w:t>
      </w:r>
      <w:hyperlink w:anchor="SENTENCIA_2015_93" w:history="1">
        <w:r w:rsidRPr="00DD47EB">
          <w:rPr>
            <w:rStyle w:val="TextoNormalCaracter"/>
          </w:rPr>
          <w:t>93/2015</w:t>
        </w:r>
      </w:hyperlink>
      <w:r>
        <w:t>, ff. 2, 11, 17, 18, VP I, VP II, VP III.</w:t>
      </w:r>
    </w:p>
    <w:p w:rsidR="00DD47EB" w:rsidRDefault="00DD47EB" w:rsidP="00DD47EB">
      <w:pPr>
        <w:pStyle w:val="SangriaFrancesaArticulo"/>
      </w:pPr>
      <w:r w:rsidRPr="00DD47EB">
        <w:rPr>
          <w:rStyle w:val="TextoNormalNegritaCaracter"/>
        </w:rPr>
        <w:t>Capítulo I.</w:t>
      </w:r>
      <w:r w:rsidRPr="00DD47EB">
        <w:rPr>
          <w:rStyle w:val="TextoNormalCaracter"/>
        </w:rPr>
        <w:t>-</w:t>
      </w:r>
      <w:r>
        <w:t xml:space="preserve"> Sentencia </w:t>
      </w:r>
      <w:hyperlink w:anchor="SENTENCIA_2015_93" w:history="1">
        <w:r w:rsidRPr="00DD47EB">
          <w:rPr>
            <w:rStyle w:val="TextoNormalCaracter"/>
          </w:rPr>
          <w:t>93/2015</w:t>
        </w:r>
      </w:hyperlink>
      <w:r>
        <w:t>, VP II.</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93" w:history="1">
        <w:r w:rsidRPr="00DD47EB">
          <w:rPr>
            <w:rStyle w:val="TextoNormalCaracter"/>
          </w:rPr>
          <w:t>93/2015</w:t>
        </w:r>
      </w:hyperlink>
      <w:r>
        <w:t>, f. 17, VP II.</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93" w:history="1">
        <w:r w:rsidRPr="00DD47EB">
          <w:rPr>
            <w:rStyle w:val="TextoNormalCaracter"/>
          </w:rPr>
          <w:t>93/2015</w:t>
        </w:r>
      </w:hyperlink>
      <w:r>
        <w:t>, f. 17, VP I.</w:t>
      </w:r>
    </w:p>
    <w:p w:rsidR="00DD47EB" w:rsidRDefault="00DD47EB" w:rsidP="00DD47EB">
      <w:pPr>
        <w:pStyle w:val="SangriaIzquierdaArticulo"/>
      </w:pPr>
      <w:r>
        <w:t xml:space="preserve">Auto </w:t>
      </w:r>
      <w:hyperlink w:anchor="AUTO_2015_74" w:history="1">
        <w:r w:rsidRPr="00DD47EB">
          <w:rPr>
            <w:rStyle w:val="TextoNormalCaracter"/>
          </w:rPr>
          <w:t>74/2015</w:t>
        </w:r>
      </w:hyperlink>
      <w:r>
        <w:t>, ff. 1, 3.</w:t>
      </w:r>
    </w:p>
    <w:p w:rsidR="00DD47EB" w:rsidRDefault="00DD47EB" w:rsidP="00DD47EB">
      <w:pPr>
        <w:pStyle w:val="SangriaFrancesaArticulo"/>
      </w:pPr>
      <w:r w:rsidRPr="00DD47EB">
        <w:rPr>
          <w:rStyle w:val="TextoNormalNegritaCaracter"/>
        </w:rPr>
        <w:t>Artículo 1</w:t>
      </w:r>
      <w:r>
        <w:t xml:space="preserve"> (redactado por el Real Decreto-ley 1/2015, de 27 de febrero)</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f. 18, VP III.</w:t>
      </w:r>
    </w:p>
    <w:p w:rsidR="00DD47EB" w:rsidRDefault="00DD47EB" w:rsidP="00DD47EB">
      <w:pPr>
        <w:pStyle w:val="SangriaFrancesaArticulo"/>
      </w:pPr>
      <w:r w:rsidRPr="00DD47EB">
        <w:rPr>
          <w:rStyle w:val="TextoNormalNegritaCaracter"/>
        </w:rPr>
        <w:t>Artículo 1, párrafo 2.</w:t>
      </w:r>
      <w:r w:rsidRPr="00DD47EB">
        <w:rPr>
          <w:rStyle w:val="TextoNormalCaracter"/>
        </w:rPr>
        <w:t>-</w:t>
      </w:r>
      <w:r>
        <w:t xml:space="preserve"> Sentencia </w:t>
      </w:r>
      <w:hyperlink w:anchor="SENTENCIA_2015_93" w:history="1">
        <w:r w:rsidRPr="00DD47EB">
          <w:rPr>
            <w:rStyle w:val="TextoNormalCaracter"/>
          </w:rPr>
          <w:t>93/2015</w:t>
        </w:r>
      </w:hyperlink>
      <w:r>
        <w:t>, VP II.</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Auto </w:t>
      </w:r>
      <w:hyperlink w:anchor="AUTO_2015_50" w:history="1">
        <w:r w:rsidRPr="00DD47EB">
          <w:rPr>
            <w:rStyle w:val="TextoNormalCaracter"/>
          </w:rPr>
          <w:t>50/2015</w:t>
        </w:r>
      </w:hyperlink>
      <w:r>
        <w:t>, f. 2.</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Auto </w:t>
      </w:r>
      <w:hyperlink w:anchor="AUTO_2015_84" w:history="1">
        <w:r w:rsidRPr="00DD47EB">
          <w:rPr>
            <w:rStyle w:val="TextoNormalCaracter"/>
          </w:rPr>
          <w:t>84/2015</w:t>
        </w:r>
      </w:hyperlink>
      <w:r>
        <w:t>, f. 2.</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93" w:history="1">
        <w:r w:rsidRPr="00DD47EB">
          <w:rPr>
            <w:rStyle w:val="TextoNormalCaracter"/>
          </w:rPr>
          <w:t>93/2015</w:t>
        </w:r>
      </w:hyperlink>
      <w:r>
        <w:t>, ff. 17, 18, VP I.</w:t>
      </w:r>
    </w:p>
    <w:p w:rsidR="00DD47EB" w:rsidRDefault="00DD47EB" w:rsidP="00DD47EB">
      <w:pPr>
        <w:pStyle w:val="SangriaFrancesaArticulo"/>
      </w:pPr>
      <w:r w:rsidRPr="00DD47EB">
        <w:rPr>
          <w:rStyle w:val="TextoNormalNegritaCaracter"/>
        </w:rPr>
        <w:t>Disposición transitoria primera.</w:t>
      </w:r>
      <w:r w:rsidRPr="00DD47EB">
        <w:rPr>
          <w:rStyle w:val="TextoNormalCaracter"/>
        </w:rPr>
        <w:t>-</w:t>
      </w:r>
      <w:r>
        <w:t xml:space="preserve"> Sentencia </w:t>
      </w:r>
      <w:hyperlink w:anchor="SENTENCIA_2015_93" w:history="1">
        <w:r w:rsidRPr="00DD47EB">
          <w:rPr>
            <w:rStyle w:val="TextoNormalCaracter"/>
          </w:rPr>
          <w:t>93/2015</w:t>
        </w:r>
      </w:hyperlink>
      <w:r>
        <w:t>, VP II.</w:t>
      </w:r>
    </w:p>
    <w:p w:rsidR="00DD47EB" w:rsidRDefault="00DD47EB" w:rsidP="00DD47EB">
      <w:pPr>
        <w:pStyle w:val="SangriaFrancesaArticulo"/>
      </w:pPr>
      <w:r w:rsidRPr="00DD47EB">
        <w:rPr>
          <w:rStyle w:val="TextoNormalNegritaCaracter"/>
        </w:rPr>
        <w:t>Disposición transitoria cuarta.</w:t>
      </w:r>
      <w:r w:rsidRPr="00DD47EB">
        <w:rPr>
          <w:rStyle w:val="TextoNormalCaracter"/>
        </w:rPr>
        <w:t>-</w:t>
      </w:r>
      <w:r>
        <w:t xml:space="preserve"> Sentencia </w:t>
      </w:r>
      <w:hyperlink w:anchor="SENTENCIA_2015_39" w:history="1">
        <w:r w:rsidRPr="00DD47EB">
          <w:rPr>
            <w:rStyle w:val="TextoNormalCaracter"/>
          </w:rPr>
          <w:t>39/2015</w:t>
        </w:r>
      </w:hyperlink>
      <w:r>
        <w:t>, f. 7.</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93" w:history="1">
        <w:r w:rsidRPr="00DD47EB">
          <w:rPr>
            <w:rStyle w:val="TextoNormalCaracter"/>
          </w:rPr>
          <w:t>93/2015</w:t>
        </w:r>
      </w:hyperlink>
      <w:r>
        <w:t>, f. 17, VP II.</w:t>
      </w:r>
    </w:p>
    <w:p w:rsidR="00DD47EB" w:rsidRDefault="00DD47EB" w:rsidP="00DD47EB">
      <w:pPr>
        <w:pStyle w:val="SangriaFrancesaArticulo"/>
      </w:pPr>
    </w:p>
    <w:p w:rsidR="00DD47EB" w:rsidRDefault="00DD47EB" w:rsidP="00DD47EB">
      <w:pPr>
        <w:pStyle w:val="TextoNormalNegritaCursivandice"/>
      </w:pPr>
      <w:r>
        <w:t>Ley 2/2013, de 29 de mayo. Protección y uso sostenible del litoral y de modificación de la Ley 22/1988, de 28 de julio, de Costas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ff. 2, 3.</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11.1.</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11.2.</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12.4.</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12.6.</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5" w:history="1">
        <w:r w:rsidRPr="00DD47EB">
          <w:rPr>
            <w:rStyle w:val="TextoNormalCaracter"/>
          </w:rPr>
          <w:t>5/2015</w:t>
        </w:r>
      </w:hyperlink>
      <w:r>
        <w:t>, f. 3.</w:t>
      </w:r>
    </w:p>
    <w:p w:rsidR="00DD47EB" w:rsidRDefault="00DD47EB" w:rsidP="00DD47EB">
      <w:pPr>
        <w:pStyle w:val="SangriaFrancesaArticulo"/>
      </w:pPr>
      <w:r w:rsidRPr="00DD47EB">
        <w:rPr>
          <w:rStyle w:val="TextoNormalNegritaCaracter"/>
        </w:rPr>
        <w:t>Artículo 23.1.</w:t>
      </w:r>
      <w:r w:rsidRPr="00DD47EB">
        <w:rPr>
          <w:rStyle w:val="TextoNormalCaracter"/>
        </w:rPr>
        <w:t>-</w:t>
      </w:r>
      <w:r>
        <w:t xml:space="preserve"> Sentencia </w:t>
      </w:r>
      <w:hyperlink w:anchor="SENTENCIA_2015_5" w:history="1">
        <w:r w:rsidRPr="00DD47EB">
          <w:rPr>
            <w:rStyle w:val="TextoNormalCaracter"/>
          </w:rPr>
          <w:t>5/2015</w:t>
        </w:r>
      </w:hyperlink>
      <w:r>
        <w:t>, f. 4.</w:t>
      </w:r>
    </w:p>
    <w:p w:rsidR="00DD47EB" w:rsidRDefault="00DD47EB" w:rsidP="00DD47EB">
      <w:pPr>
        <w:pStyle w:val="SangriaFrancesaArticulo"/>
      </w:pPr>
      <w:r w:rsidRPr="00DD47EB">
        <w:rPr>
          <w:rStyle w:val="TextoNormalNegritaCaracter"/>
        </w:rPr>
        <w:t>Disposición transitoria.</w:t>
      </w:r>
      <w:r w:rsidRPr="00DD47EB">
        <w:rPr>
          <w:rStyle w:val="TextoNormalCaracter"/>
        </w:rPr>
        <w:t>-</w:t>
      </w:r>
      <w:r>
        <w:t xml:space="preserve"> Sentencia </w:t>
      </w:r>
      <w:hyperlink w:anchor="SENTENCIA_2015_5" w:history="1">
        <w:r w:rsidRPr="00DD47EB">
          <w:rPr>
            <w:rStyle w:val="TextoNormalCaracter"/>
          </w:rPr>
          <w:t>5/2015</w:t>
        </w:r>
      </w:hyperlink>
      <w:r>
        <w:t>, f. 5.</w:t>
      </w:r>
    </w:p>
    <w:p w:rsidR="00DD47EB" w:rsidRDefault="00DD47EB" w:rsidP="00DD47EB">
      <w:pPr>
        <w:pStyle w:val="SangriaFrancesaArticulo"/>
      </w:pPr>
      <w:r w:rsidRPr="00DD47EB">
        <w:rPr>
          <w:rStyle w:val="TextoNormalNegritaCaracter"/>
        </w:rPr>
        <w:t>Disposición transitoria primera.</w:t>
      </w:r>
      <w:r w:rsidRPr="00DD47EB">
        <w:rPr>
          <w:rStyle w:val="TextoNormalCaracter"/>
        </w:rPr>
        <w:t>-</w:t>
      </w:r>
      <w:r>
        <w:t xml:space="preserve"> Sentencia </w:t>
      </w:r>
      <w:hyperlink w:anchor="SENTENCIA_2015_5" w:history="1">
        <w:r w:rsidRPr="00DD47EB">
          <w:rPr>
            <w:rStyle w:val="TextoNormalCaracter"/>
          </w:rPr>
          <w:t>5/2015</w:t>
        </w:r>
      </w:hyperlink>
      <w:r>
        <w:t>, ff. 2, 3, 5.</w:t>
      </w:r>
    </w:p>
    <w:p w:rsidR="00DD47EB" w:rsidRDefault="00DD47EB" w:rsidP="00DD47EB">
      <w:pPr>
        <w:pStyle w:val="SangriaFrancesaArticulo"/>
      </w:pPr>
      <w:r w:rsidRPr="00DD47EB">
        <w:rPr>
          <w:rStyle w:val="TextoNormalNegritaCaracter"/>
        </w:rPr>
        <w:t>Disposición transitoria cuarta.</w:t>
      </w:r>
      <w:r w:rsidRPr="00DD47EB">
        <w:rPr>
          <w:rStyle w:val="TextoNormalCaracter"/>
        </w:rPr>
        <w:t>-</w:t>
      </w:r>
      <w:r>
        <w:t xml:space="preserve"> Sentencia </w:t>
      </w:r>
      <w:hyperlink w:anchor="SENTENCIA_2015_5" w:history="1">
        <w:r w:rsidRPr="00DD47EB">
          <w:rPr>
            <w:rStyle w:val="TextoNormalCaracter"/>
          </w:rPr>
          <w:t>5/2015</w:t>
        </w:r>
      </w:hyperlink>
      <w:r>
        <w:t>, f. 3.</w:t>
      </w:r>
    </w:p>
    <w:p w:rsidR="00DD47EB" w:rsidRDefault="00DD47EB" w:rsidP="00DD47EB">
      <w:pPr>
        <w:pStyle w:val="SangriaFrancesaArticulo"/>
      </w:pPr>
      <w:r w:rsidRPr="00DD47EB">
        <w:rPr>
          <w:rStyle w:val="TextoNormalNegritaCaracter"/>
        </w:rPr>
        <w:t>Disposición transitoria cuarta, apartado 2.</w:t>
      </w:r>
      <w:r w:rsidRPr="00DD47EB">
        <w:rPr>
          <w:rStyle w:val="TextoNormalCaracter"/>
        </w:rPr>
        <w:t>-</w:t>
      </w:r>
      <w:r>
        <w:t xml:space="preserve"> Sentencia </w:t>
      </w:r>
      <w:hyperlink w:anchor="SENTENCIA_2015_5" w:history="1">
        <w:r w:rsidRPr="00DD47EB">
          <w:rPr>
            <w:rStyle w:val="TextoNormalCaracter"/>
          </w:rPr>
          <w:t>5/2015</w:t>
        </w:r>
      </w:hyperlink>
      <w:r>
        <w:t>, ff. 2, 3.</w:t>
      </w:r>
    </w:p>
    <w:p w:rsidR="00DD47EB" w:rsidRDefault="00DD47EB" w:rsidP="00DD47EB">
      <w:pPr>
        <w:pStyle w:val="SangriaFrancesaArticulo"/>
      </w:pPr>
      <w:r w:rsidRPr="00DD47EB">
        <w:rPr>
          <w:rStyle w:val="TextoNormalNegritaCaracter"/>
        </w:rPr>
        <w:t>Disposición transitoria cuarta, apartado 3.</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p>
    <w:p w:rsidR="00DD47EB" w:rsidRDefault="00DD47EB" w:rsidP="00DD47EB">
      <w:pPr>
        <w:pStyle w:val="TextoNormalNegritaCursivandice"/>
      </w:pPr>
      <w:r>
        <w:t>Ley 8/2013, de 26 de junio. Rehabilitación, regeneración y renovación urbanas</w:t>
      </w:r>
    </w:p>
    <w:p w:rsidR="00DD47EB" w:rsidRDefault="00DD47EB" w:rsidP="00DD47EB">
      <w:pPr>
        <w:pStyle w:val="SangriaFrancesaArticulo"/>
      </w:pPr>
      <w:r w:rsidRPr="00DD47EB">
        <w:rPr>
          <w:rStyle w:val="TextoNormalNegritaCaracter"/>
        </w:rPr>
        <w:t>Disposición derogatoria única 6.</w:t>
      </w:r>
      <w:r w:rsidRPr="00DD47EB">
        <w:rPr>
          <w:rStyle w:val="TextoNormalCaracter"/>
        </w:rPr>
        <w:t>-</w:t>
      </w:r>
      <w:r>
        <w:t xml:space="preserve"> Sentencia </w:t>
      </w:r>
      <w:hyperlink w:anchor="SENTENCIA_2015_29" w:history="1">
        <w:r w:rsidRPr="00DD47EB">
          <w:rPr>
            <w:rStyle w:val="TextoNormalCaracter"/>
          </w:rPr>
          <w:t>29/2015</w:t>
        </w:r>
      </w:hyperlink>
      <w:r>
        <w:t>, f. 2.</w:t>
      </w:r>
    </w:p>
    <w:p w:rsidR="00DD47EB" w:rsidRDefault="00DD47EB" w:rsidP="00DD47EB">
      <w:pPr>
        <w:pStyle w:val="SangriaFrancesaArticulo"/>
      </w:pPr>
    </w:p>
    <w:p w:rsidR="00DD47EB" w:rsidRDefault="00DD47EB" w:rsidP="00DD47EB">
      <w:pPr>
        <w:pStyle w:val="TextoNormalNegritaCursivandice"/>
      </w:pPr>
      <w:r>
        <w:t>Ley 11/2013, de 26 de julio. Medidas de apoyo al emprendedor y de estímulo del crecimiento y de la creación de empleo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p>
    <w:p w:rsidR="00DD47EB" w:rsidRDefault="00DD47EB" w:rsidP="00DD47EB">
      <w:pPr>
        <w:pStyle w:val="TextoNormalNegritaCursivandice"/>
      </w:pPr>
      <w:r>
        <w:t>Ley 13/2013, de 2 de agosto. Fomento de la integración de cooperativas y de otras entidades asociativas de carácter agroalimentario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5" w:history="1">
        <w:r w:rsidRPr="00DD47EB">
          <w:rPr>
            <w:rStyle w:val="TextoNormalCaracter"/>
          </w:rPr>
          <w:t>85/2015</w:t>
        </w:r>
      </w:hyperlink>
      <w:r>
        <w:t>, f. 4.</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85" w:history="1">
        <w:r w:rsidRPr="00DD47EB">
          <w:rPr>
            <w:rStyle w:val="TextoNormalCaracter"/>
          </w:rPr>
          <w:t>85/2015</w:t>
        </w:r>
      </w:hyperlink>
      <w:r>
        <w:t>, f. 4.</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85" w:history="1">
        <w:r w:rsidRPr="00DD47EB">
          <w:rPr>
            <w:rStyle w:val="TextoNormalCaracter"/>
          </w:rPr>
          <w:t>85/2015</w:t>
        </w:r>
      </w:hyperlink>
      <w:r>
        <w:t>, f. 4.</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85" w:history="1">
        <w:r w:rsidRPr="00DD47EB">
          <w:rPr>
            <w:rStyle w:val="TextoNormalCaracter"/>
          </w:rPr>
          <w:t>85/2015</w:t>
        </w:r>
      </w:hyperlink>
      <w:r>
        <w:t>, ff. 1, 4.</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85" w:history="1">
        <w:r w:rsidRPr="00DD47EB">
          <w:rPr>
            <w:rStyle w:val="TextoNormalCaracter"/>
          </w:rPr>
          <w:t>85/2015</w:t>
        </w:r>
      </w:hyperlink>
      <w:r>
        <w:t>, f. 4.</w:t>
      </w:r>
    </w:p>
    <w:p w:rsidR="00DD47EB" w:rsidRDefault="00DD47EB" w:rsidP="00DD47EB">
      <w:pPr>
        <w:pStyle w:val="SangriaFrancesaArticulo"/>
      </w:pPr>
      <w:r w:rsidRPr="00DD47EB">
        <w:rPr>
          <w:rStyle w:val="TextoNormalNegritaCaracter"/>
        </w:rPr>
        <w:t>Artículo 3.1 b).</w:t>
      </w:r>
      <w:r w:rsidRPr="00DD47EB">
        <w:rPr>
          <w:rStyle w:val="TextoNormalCaracter"/>
        </w:rPr>
        <w:t>-</w:t>
      </w:r>
      <w:r>
        <w:t xml:space="preserve"> Sentencia </w:t>
      </w:r>
      <w:hyperlink w:anchor="SENTENCIA_2015_85" w:history="1">
        <w:r w:rsidRPr="00DD47EB">
          <w:rPr>
            <w:rStyle w:val="TextoNormalCaracter"/>
          </w:rPr>
          <w:t>85/2015</w:t>
        </w:r>
      </w:hyperlink>
      <w:r>
        <w:t>, f. 1.</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85" w:history="1">
        <w:r w:rsidRPr="00DD47EB">
          <w:rPr>
            <w:rStyle w:val="TextoNormalCaracter"/>
          </w:rPr>
          <w:t>85/2015</w:t>
        </w:r>
      </w:hyperlink>
      <w:r>
        <w:t>, ff. 1, 4.</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85" w:history="1">
        <w:r w:rsidRPr="00DD47EB">
          <w:rPr>
            <w:rStyle w:val="TextoNormalCaracter"/>
          </w:rPr>
          <w:t>85/2015</w:t>
        </w:r>
      </w:hyperlink>
      <w:r>
        <w:t>, ff. 1, 4.</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85" w:history="1">
        <w:r w:rsidRPr="00DD47EB">
          <w:rPr>
            <w:rStyle w:val="TextoNormalCaracter"/>
          </w:rPr>
          <w:t>85/2015</w:t>
        </w:r>
      </w:hyperlink>
      <w:r>
        <w:t>, f. 4.</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85" w:history="1">
        <w:r w:rsidRPr="00DD47EB">
          <w:rPr>
            <w:rStyle w:val="TextoNormalCaracter"/>
          </w:rPr>
          <w:t>85/2015</w:t>
        </w:r>
      </w:hyperlink>
      <w:r>
        <w:t>, ff. 1, 5.</w:t>
      </w:r>
    </w:p>
    <w:p w:rsidR="00DD47EB" w:rsidRDefault="00DD47EB" w:rsidP="00DD47EB">
      <w:pPr>
        <w:pStyle w:val="SangriaFrancesaArticulo"/>
      </w:pPr>
      <w:r w:rsidRPr="00DD47EB">
        <w:rPr>
          <w:rStyle w:val="TextoNormalNegritaCaracter"/>
        </w:rPr>
        <w:t>Artículo 5.3 expresión "por el Ministerio".</w:t>
      </w:r>
      <w:r w:rsidRPr="00DD47EB">
        <w:rPr>
          <w:rStyle w:val="TextoNormalCaracter"/>
        </w:rPr>
        <w:t>-</w:t>
      </w:r>
      <w:r>
        <w:t xml:space="preserve"> Sentencia </w:t>
      </w:r>
      <w:hyperlink w:anchor="SENTENCIA_2015_85" w:history="1">
        <w:r w:rsidRPr="00DD47EB">
          <w:rPr>
            <w:rStyle w:val="TextoNormalCaracter"/>
          </w:rPr>
          <w:t>85/2015</w:t>
        </w:r>
      </w:hyperlink>
      <w:r>
        <w:t>, f. 5.</w:t>
      </w:r>
    </w:p>
    <w:p w:rsidR="00DD47EB" w:rsidRDefault="00DD47EB" w:rsidP="00DD47EB">
      <w:pPr>
        <w:pStyle w:val="SangriaFrancesaArticulo"/>
      </w:pPr>
      <w:r w:rsidRPr="00DD47EB">
        <w:rPr>
          <w:rStyle w:val="TextoNormalNegritaCaracter"/>
        </w:rPr>
        <w:t>Artículo 5.4 expresión "al Ministerio".</w:t>
      </w:r>
      <w:r w:rsidRPr="00DD47EB">
        <w:rPr>
          <w:rStyle w:val="TextoNormalCaracter"/>
        </w:rPr>
        <w:t>-</w:t>
      </w:r>
      <w:r>
        <w:t xml:space="preserve"> Sentencia </w:t>
      </w:r>
      <w:hyperlink w:anchor="SENTENCIA_2015_85" w:history="1">
        <w:r w:rsidRPr="00DD47EB">
          <w:rPr>
            <w:rStyle w:val="TextoNormalCaracter"/>
          </w:rPr>
          <w:t>85/2015</w:t>
        </w:r>
      </w:hyperlink>
      <w:r>
        <w:t>, f. 5.</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85" w:history="1">
        <w:r w:rsidRPr="00DD47EB">
          <w:rPr>
            <w:rStyle w:val="TextoNormalCaracter"/>
          </w:rPr>
          <w:t>85/2015</w:t>
        </w:r>
      </w:hyperlink>
      <w:r>
        <w:t>, f. 4.</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85" w:history="1">
        <w:r w:rsidRPr="00DD47EB">
          <w:rPr>
            <w:rStyle w:val="TextoNormalCaracter"/>
          </w:rPr>
          <w:t>85/2015</w:t>
        </w:r>
      </w:hyperlink>
      <w:r>
        <w:t>, f. 2.</w:t>
      </w:r>
    </w:p>
    <w:p w:rsidR="00DD47EB" w:rsidRDefault="00DD47EB" w:rsidP="00DD47EB">
      <w:pPr>
        <w:pStyle w:val="SangriaFrancesaArticulo"/>
      </w:pPr>
    </w:p>
    <w:p w:rsidR="00DD47EB" w:rsidRDefault="00DD47EB" w:rsidP="00DD47EB">
      <w:pPr>
        <w:pStyle w:val="TextoNormalNegritaCursivandice"/>
      </w:pPr>
      <w:r>
        <w:t>Ley 14/2013, de 27 de septiembre. Apoyo a los emprendedores y su internacionalización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p>
    <w:p w:rsidR="00DD47EB" w:rsidRDefault="00DD47EB" w:rsidP="00DD47EB">
      <w:pPr>
        <w:pStyle w:val="TextoNormalNegritaCursivandice"/>
      </w:pPr>
      <w:r>
        <w:t>Ley 15/2013, de 17 de octubre. Se establece la financiación con cargo a los Presupuestos Generales del Estado de determinados costes del sistema eléctrico, ocasionados por los incentivos económicos para el fomento a la producción de energía eléctrica a partir de fuentes de energías renovables y se concede un crédito extraordinario por importe de 2.200.000.000 de euros en el presupuesto del Ministerio de Industria, Energía y Turismo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p>
    <w:p w:rsidR="00DD47EB" w:rsidRDefault="00DD47EB" w:rsidP="00DD47EB">
      <w:pPr>
        <w:pStyle w:val="TextoNormalNegritaCursivandice"/>
      </w:pPr>
      <w:r>
        <w:t>Ley 17/2013, de 29 de octubre. Garantía del suministro e incremento de la competencia en los sistemas eléctricos insulares y extrapeninsulares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 3.</w:t>
      </w:r>
    </w:p>
    <w:p w:rsidR="00DD47EB" w:rsidRDefault="00DD47EB" w:rsidP="00DD47EB">
      <w:pPr>
        <w:pStyle w:val="SangriaFrancesaArticulo"/>
      </w:pPr>
    </w:p>
    <w:p w:rsidR="00DD47EB" w:rsidRDefault="00DD47EB" w:rsidP="00DD47EB">
      <w:pPr>
        <w:pStyle w:val="TextoNormalNegritaCursivandice"/>
      </w:pPr>
      <w:r>
        <w:t>Ley 21/2013, de 9 de diciembre. Evaluación ambiental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7" w:history="1">
        <w:r w:rsidRPr="00DD47EB">
          <w:rPr>
            <w:rStyle w:val="TextoNormalCaracter"/>
          </w:rPr>
          <w:t>57/2015</w:t>
        </w:r>
      </w:hyperlink>
      <w:r>
        <w:t>, f. 4.</w:t>
      </w:r>
    </w:p>
    <w:p w:rsidR="00DD47EB" w:rsidRDefault="00DD47EB" w:rsidP="00DD47EB">
      <w:pPr>
        <w:pStyle w:val="SangriaFrancesaArticulo"/>
      </w:pPr>
      <w:r w:rsidRPr="00DD47EB">
        <w:rPr>
          <w:rStyle w:val="TextoNormalNegritaCaracter"/>
        </w:rPr>
        <w:t>Disposición adicional decimoquinta.</w:t>
      </w:r>
      <w:r w:rsidRPr="00DD47EB">
        <w:rPr>
          <w:rStyle w:val="TextoNormalCaracter"/>
        </w:rPr>
        <w:t>-</w:t>
      </w:r>
      <w:r>
        <w:t xml:space="preserve"> Sentencia </w:t>
      </w:r>
      <w:hyperlink w:anchor="SENTENCIA_2015_13" w:history="1">
        <w:r w:rsidRPr="00DD47EB">
          <w:rPr>
            <w:rStyle w:val="TextoNormalCaracter"/>
          </w:rPr>
          <w:t>13/2015</w:t>
        </w:r>
      </w:hyperlink>
      <w:r>
        <w:t>, ff. 1, 5.</w:t>
      </w:r>
    </w:p>
    <w:p w:rsidR="00DD47EB" w:rsidRDefault="00DD47EB" w:rsidP="00DD47EB">
      <w:pPr>
        <w:pStyle w:val="SangriaFrancesaArticulo"/>
      </w:pPr>
      <w:r w:rsidRPr="00DD47EB">
        <w:rPr>
          <w:rStyle w:val="TextoNormalNegritaCaracter"/>
        </w:rPr>
        <w:t>Disposición transitoria segunda.</w:t>
      </w:r>
      <w:r w:rsidRPr="00DD47EB">
        <w:rPr>
          <w:rStyle w:val="TextoNormalCaracter"/>
        </w:rPr>
        <w:t>-</w:t>
      </w:r>
      <w:r>
        <w:t xml:space="preserve"> Sentencia </w:t>
      </w:r>
      <w:hyperlink w:anchor="SENTENCIA_2015_13" w:history="1">
        <w:r w:rsidRPr="00DD47EB">
          <w:rPr>
            <w:rStyle w:val="TextoNormalCaracter"/>
          </w:rPr>
          <w:t>13/2015</w:t>
        </w:r>
      </w:hyperlink>
      <w:r>
        <w:t>, ff. 1, 5.</w:t>
      </w:r>
    </w:p>
    <w:p w:rsidR="00DD47EB" w:rsidRDefault="00DD47EB" w:rsidP="00DD47EB">
      <w:pPr>
        <w:pStyle w:val="SangriaFrancesaArticulo"/>
      </w:pPr>
      <w:r w:rsidRPr="00DD47EB">
        <w:rPr>
          <w:rStyle w:val="TextoNormalNegritaCaracter"/>
        </w:rPr>
        <w:t>Disposición derogatoria única, apartado tercero.</w:t>
      </w:r>
      <w:r w:rsidRPr="00DD47EB">
        <w:rPr>
          <w:rStyle w:val="TextoNormalCaracter"/>
        </w:rPr>
        <w:t>-</w:t>
      </w:r>
      <w:r>
        <w:t xml:space="preserve"> Sentencia </w:t>
      </w:r>
      <w:hyperlink w:anchor="SENTENCIA_2015_13" w:history="1">
        <w:r w:rsidRPr="00DD47EB">
          <w:rPr>
            <w:rStyle w:val="TextoNormalCaracter"/>
          </w:rPr>
          <w:t>13/2015</w:t>
        </w:r>
      </w:hyperlink>
      <w:r>
        <w:t>, ff. 1, 5.</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3" w:history="1">
        <w:r w:rsidRPr="00DD47EB">
          <w:rPr>
            <w:rStyle w:val="TextoNormalCaracter"/>
          </w:rPr>
          <w:t>13/2015</w:t>
        </w:r>
      </w:hyperlink>
      <w:r>
        <w:t>, ff. 1, 5.</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13" w:history="1">
        <w:r w:rsidRPr="00DD47EB">
          <w:rPr>
            <w:rStyle w:val="TextoNormalCaracter"/>
          </w:rPr>
          <w:t>13/2015</w:t>
        </w:r>
      </w:hyperlink>
      <w:r>
        <w:t>, ff. 1, 5.</w:t>
      </w:r>
    </w:p>
    <w:p w:rsidR="00DD47EB" w:rsidRDefault="00DD47EB" w:rsidP="00DD47EB">
      <w:pPr>
        <w:pStyle w:val="SangriaFrancesaArticulo"/>
      </w:pPr>
      <w:r w:rsidRPr="00DD47EB">
        <w:rPr>
          <w:rStyle w:val="TextoNormalNegritaCaracter"/>
        </w:rPr>
        <w:t>Disposición final cuarta.</w:t>
      </w:r>
      <w:r w:rsidRPr="00DD47EB">
        <w:rPr>
          <w:rStyle w:val="TextoNormalCaracter"/>
        </w:rPr>
        <w:t>-</w:t>
      </w:r>
      <w:r>
        <w:t xml:space="preserve"> Sentencia </w:t>
      </w:r>
      <w:hyperlink w:anchor="SENTENCIA_2015_13" w:history="1">
        <w:r w:rsidRPr="00DD47EB">
          <w:rPr>
            <w:rStyle w:val="TextoNormalCaracter"/>
          </w:rPr>
          <w:t>13/2015</w:t>
        </w:r>
      </w:hyperlink>
      <w:r>
        <w:t>, ff. 1, 6.</w:t>
      </w:r>
    </w:p>
    <w:p w:rsidR="00DD47EB" w:rsidRDefault="00DD47EB" w:rsidP="00DD47EB">
      <w:pPr>
        <w:pStyle w:val="SangriaFrancesaArticulo"/>
      </w:pPr>
      <w:r w:rsidRPr="00DD47EB">
        <w:rPr>
          <w:rStyle w:val="TextoNormalNegritaCaracter"/>
        </w:rPr>
        <w:t>Disposición final quinta.</w:t>
      </w:r>
      <w:r w:rsidRPr="00DD47EB">
        <w:rPr>
          <w:rStyle w:val="TextoNormalCaracter"/>
        </w:rPr>
        <w:t>-</w:t>
      </w:r>
      <w:r>
        <w:t xml:space="preserve"> Sentencia </w:t>
      </w:r>
      <w:hyperlink w:anchor="SENTENCIA_2015_13" w:history="1">
        <w:r w:rsidRPr="00DD47EB">
          <w:rPr>
            <w:rStyle w:val="TextoNormalCaracter"/>
          </w:rPr>
          <w:t>13/2015</w:t>
        </w:r>
      </w:hyperlink>
      <w:r>
        <w:t>, ff. 1, 5, 7.</w:t>
      </w:r>
    </w:p>
    <w:p w:rsidR="00DD47EB" w:rsidRDefault="00DD47EB" w:rsidP="00DD47EB">
      <w:pPr>
        <w:pStyle w:val="SangriaFrancesaArticulo"/>
      </w:pPr>
      <w:r w:rsidRPr="00DD47EB">
        <w:rPr>
          <w:rStyle w:val="TextoNormalNegritaCaracter"/>
        </w:rPr>
        <w:t>Anexo I, grupo 2 apartado d).</w:t>
      </w:r>
      <w:r w:rsidRPr="00DD47EB">
        <w:rPr>
          <w:rStyle w:val="TextoNormalCaracter"/>
        </w:rPr>
        <w:t>-</w:t>
      </w:r>
      <w:r>
        <w:t xml:space="preserve"> Auto </w:t>
      </w:r>
      <w:hyperlink w:anchor="AUTO_2015_63" w:history="1">
        <w:r w:rsidRPr="00DD47EB">
          <w:rPr>
            <w:rStyle w:val="TextoNormalCaracter"/>
          </w:rPr>
          <w:t>63/2015</w:t>
        </w:r>
      </w:hyperlink>
      <w:r>
        <w:t>, f. 3.</w:t>
      </w:r>
    </w:p>
    <w:p w:rsidR="00DD47EB" w:rsidRDefault="00DD47EB" w:rsidP="00DD47EB">
      <w:pPr>
        <w:pStyle w:val="SangriaFrancesaArticulo"/>
      </w:pPr>
    </w:p>
    <w:p w:rsidR="00DD47EB" w:rsidRDefault="00DD47EB" w:rsidP="00DD47EB">
      <w:pPr>
        <w:pStyle w:val="TextoNormalNegritaCursivandice"/>
      </w:pPr>
      <w:r>
        <w:t>Ley 23/2013, de 23 de diciembre. Reguladora del Factor de Sostenibilidad y del Índice de Revalorización del Sistema de Pensiones de la Seguridad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9" w:history="1">
        <w:r w:rsidRPr="00DD47EB">
          <w:rPr>
            <w:rStyle w:val="TextoNormalCaracter"/>
          </w:rPr>
          <w:t>49/2015</w:t>
        </w:r>
      </w:hyperlink>
      <w:r>
        <w:t>, f. 2.</w:t>
      </w:r>
    </w:p>
    <w:p w:rsidR="00DD47EB" w:rsidRDefault="00DD47EB" w:rsidP="00DD47EB">
      <w:pPr>
        <w:pStyle w:val="SangriaFrancesaArticulo"/>
      </w:pPr>
    </w:p>
    <w:p w:rsidR="00DD47EB" w:rsidRDefault="00DD47EB" w:rsidP="00DD47EB">
      <w:pPr>
        <w:pStyle w:val="TextoNormalNegritaCursivandice"/>
      </w:pPr>
      <w:r>
        <w:t>Ley 24/2013, de 26 de diciembre. Sector eléctrico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8" w:history="1">
        <w:r w:rsidRPr="00DD47EB">
          <w:rPr>
            <w:rStyle w:val="TextoNormalCaracter"/>
          </w:rPr>
          <w:t>28/2015</w:t>
        </w:r>
      </w:hyperlink>
      <w:r>
        <w:t xml:space="preserve">, f. 2; </w:t>
      </w:r>
      <w:hyperlink w:anchor="SENTENCIA_2015_48" w:history="1">
        <w:r w:rsidRPr="00DD47EB">
          <w:rPr>
            <w:rStyle w:val="TextoNormalCaracter"/>
          </w:rPr>
          <w:t>48/2015</w:t>
        </w:r>
      </w:hyperlink>
      <w:r>
        <w:t xml:space="preserve">, ff. 2, 6; </w:t>
      </w:r>
      <w:hyperlink w:anchor="SENTENCIA_2015_105" w:history="1">
        <w:r w:rsidRPr="00DD47EB">
          <w:rPr>
            <w:rStyle w:val="TextoNormalCaracter"/>
          </w:rPr>
          <w:t>105/2015</w:t>
        </w:r>
      </w:hyperlink>
      <w:r>
        <w:t xml:space="preserve">, f. 2;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14.4.</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14.5.</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14.6.</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14.7.</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16.4.</w:t>
      </w:r>
      <w:r w:rsidRPr="00DD47EB">
        <w:rPr>
          <w:rStyle w:val="TextoNormalCaracter"/>
        </w:rPr>
        <w:t>-</w:t>
      </w:r>
      <w:r>
        <w:t xml:space="preserve"> Sentencia </w:t>
      </w:r>
      <w:hyperlink w:anchor="SENTENCIA_2015_136" w:history="1">
        <w:r w:rsidRPr="00DD47EB">
          <w:rPr>
            <w:rStyle w:val="TextoNormalCaracter"/>
          </w:rPr>
          <w:t>136/2015</w:t>
        </w:r>
      </w:hyperlink>
      <w:r>
        <w:t>, ff. 2, 6.</w:t>
      </w:r>
    </w:p>
    <w:p w:rsidR="00DD47EB" w:rsidRDefault="00DD47EB" w:rsidP="00DD47EB">
      <w:pPr>
        <w:pStyle w:val="SangriaFrancesaArticulo"/>
      </w:pPr>
      <w:r w:rsidRPr="00DD47EB">
        <w:rPr>
          <w:rStyle w:val="TextoNormalNegritaCaracter"/>
        </w:rPr>
        <w:t>Artículo 17.5.</w:t>
      </w:r>
      <w:r w:rsidRPr="00DD47EB">
        <w:rPr>
          <w:rStyle w:val="TextoNormalCaracter"/>
        </w:rPr>
        <w:t>-</w:t>
      </w:r>
      <w:r>
        <w:t xml:space="preserve"> Sentencia </w:t>
      </w:r>
      <w:hyperlink w:anchor="SENTENCIA_2015_136" w:history="1">
        <w:r w:rsidRPr="00DD47EB">
          <w:rPr>
            <w:rStyle w:val="TextoNormalCaracter"/>
          </w:rPr>
          <w:t>136/2015</w:t>
        </w:r>
      </w:hyperlink>
      <w:r>
        <w:t>, f. 2.</w:t>
      </w:r>
    </w:p>
    <w:p w:rsidR="00DD47EB" w:rsidRDefault="00DD47EB" w:rsidP="00DD47EB">
      <w:pPr>
        <w:pStyle w:val="SangriaFrancesaArticulo"/>
      </w:pPr>
      <w:r w:rsidRPr="00DD47EB">
        <w:rPr>
          <w:rStyle w:val="TextoNormalNegritaCaracter"/>
        </w:rPr>
        <w:t>Artículo 17.6.</w:t>
      </w:r>
      <w:r w:rsidRPr="00DD47EB">
        <w:rPr>
          <w:rStyle w:val="TextoNormalCaracter"/>
        </w:rPr>
        <w:t>-</w:t>
      </w:r>
      <w:r>
        <w:t xml:space="preserve"> Sentencia </w:t>
      </w:r>
      <w:hyperlink w:anchor="SENTENCIA_2015_136" w:history="1">
        <w:r w:rsidRPr="00DD47EB">
          <w:rPr>
            <w:rStyle w:val="TextoNormalCaracter"/>
          </w:rPr>
          <w:t>136/2015</w:t>
        </w:r>
      </w:hyperlink>
      <w:r>
        <w:t>, f. 6.</w:t>
      </w:r>
    </w:p>
    <w:p w:rsidR="00DD47EB" w:rsidRDefault="00DD47EB" w:rsidP="00DD47EB">
      <w:pPr>
        <w:pStyle w:val="SangriaFrancesaArticulo"/>
      </w:pPr>
      <w:r w:rsidRPr="00DD47EB">
        <w:rPr>
          <w:rStyle w:val="TextoNormalNegritaCaracter"/>
        </w:rPr>
        <w:t>Artículo 59.</w:t>
      </w:r>
      <w:r w:rsidRPr="00DD47EB">
        <w:rPr>
          <w:rStyle w:val="TextoNormalCaracter"/>
        </w:rPr>
        <w:t>-</w:t>
      </w:r>
      <w:r>
        <w:t xml:space="preserve"> Auto </w:t>
      </w:r>
      <w:hyperlink w:anchor="AUTO_2015_97" w:history="1">
        <w:r w:rsidRPr="00DD47EB">
          <w:rPr>
            <w:rStyle w:val="TextoNormalCaracter"/>
          </w:rPr>
          <w:t>97/2015</w:t>
        </w:r>
      </w:hyperlink>
      <w:r>
        <w:t>, f. 1.</w:t>
      </w:r>
    </w:p>
    <w:p w:rsidR="00DD47EB" w:rsidRDefault="00DD47EB" w:rsidP="00DD47EB">
      <w:pPr>
        <w:pStyle w:val="SangriaFrancesaArticulo"/>
      </w:pPr>
      <w:r w:rsidRPr="00DD47EB">
        <w:rPr>
          <w:rStyle w:val="TextoNormalNegritaCaracter"/>
        </w:rPr>
        <w:t>Disposición derogatoria, apartado 1.d).</w:t>
      </w:r>
      <w:r w:rsidRPr="00DD47EB">
        <w:rPr>
          <w:rStyle w:val="TextoNormalCaracter"/>
        </w:rPr>
        <w:t>-</w:t>
      </w:r>
      <w:r>
        <w:t xml:space="preserve"> Sentencia </w:t>
      </w:r>
      <w:hyperlink w:anchor="SENTENCIA_2015_136" w:history="1">
        <w:r w:rsidRPr="00DD47EB">
          <w:rPr>
            <w:rStyle w:val="TextoNormalCaracter"/>
          </w:rPr>
          <w:t>136/2015</w:t>
        </w:r>
      </w:hyperlink>
      <w:r>
        <w:t>, f. 2.</w:t>
      </w:r>
    </w:p>
    <w:p w:rsidR="00DD47EB" w:rsidRDefault="00DD47EB" w:rsidP="00DD47EB">
      <w:pPr>
        <w:pStyle w:val="SangriaFrancesaArticulo"/>
      </w:pPr>
    </w:p>
    <w:p w:rsidR="00DD47EB" w:rsidRDefault="00DD47EB" w:rsidP="00DD47EB">
      <w:pPr>
        <w:pStyle w:val="TextoNormalNegritaCursivandice"/>
      </w:pPr>
      <w:r>
        <w:t>Ley 26/2013, de 27 de diciembre de 2013. Cajas de ahorro y fundaciones bancarias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4" w:history="1">
        <w:r w:rsidRPr="00DD47EB">
          <w:rPr>
            <w:rStyle w:val="TextoNormalCaracter"/>
          </w:rPr>
          <w:t>14/2015</w:t>
        </w:r>
      </w:hyperlink>
      <w:r>
        <w:t xml:space="preserve">, ff. 1, 4 a 6;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Título II.</w:t>
      </w:r>
      <w:r w:rsidRPr="00DD47EB">
        <w:rPr>
          <w:rStyle w:val="TextoNormalCaracter"/>
        </w:rPr>
        <w:t>-</w:t>
      </w:r>
      <w:r>
        <w:t xml:space="preserve"> Sentencia </w:t>
      </w:r>
      <w:hyperlink w:anchor="SENTENCIA_2015_14" w:history="1">
        <w:r w:rsidRPr="00DD47EB">
          <w:rPr>
            <w:rStyle w:val="TextoNormalCaracter"/>
          </w:rPr>
          <w:t>14/2015</w:t>
        </w:r>
      </w:hyperlink>
      <w:r>
        <w:t>, ff. 1, 3, 5.</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4" w:history="1">
        <w:r w:rsidRPr="00DD47EB">
          <w:rPr>
            <w:rStyle w:val="TextoNormalCaracter"/>
          </w:rPr>
          <w:t>14/2015</w:t>
        </w:r>
      </w:hyperlink>
      <w:r>
        <w:t>, f. 2.</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14" w:history="1">
        <w:r w:rsidRPr="00DD47EB">
          <w:rPr>
            <w:rStyle w:val="TextoNormalCaracter"/>
          </w:rPr>
          <w:t>14/2015</w:t>
        </w:r>
      </w:hyperlink>
      <w:r>
        <w:t>, ff. 1, 3, 5.</w:t>
      </w:r>
    </w:p>
    <w:p w:rsidR="00DD47EB" w:rsidRDefault="00DD47EB" w:rsidP="00DD47EB">
      <w:pPr>
        <w:pStyle w:val="SangriaFrancesaArticulo"/>
      </w:pPr>
      <w:r w:rsidRPr="00DD47EB">
        <w:rPr>
          <w:rStyle w:val="TextoNormalNegritaCaracter"/>
        </w:rPr>
        <w:t>Artículo 32.1.</w:t>
      </w:r>
      <w:r w:rsidRPr="00DD47EB">
        <w:rPr>
          <w:rStyle w:val="TextoNormalCaracter"/>
        </w:rPr>
        <w:t>-</w:t>
      </w:r>
      <w:r>
        <w:t xml:space="preserve"> Sentencia </w:t>
      </w:r>
      <w:hyperlink w:anchor="SENTENCIA_2015_14" w:history="1">
        <w:r w:rsidRPr="00DD47EB">
          <w:rPr>
            <w:rStyle w:val="TextoNormalCaracter"/>
          </w:rPr>
          <w:t>14/2015</w:t>
        </w:r>
      </w:hyperlink>
      <w:r>
        <w:t>, f. 3.</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34.</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35.</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36.</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37.</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38.</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39.</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40.</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44.</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46.</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47.</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48.</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Artículo 49.</w:t>
      </w:r>
      <w:r w:rsidRPr="00DD47EB">
        <w:rPr>
          <w:rStyle w:val="TextoNormalCaracter"/>
        </w:rPr>
        <w:t>-</w:t>
      </w:r>
      <w:r>
        <w:t xml:space="preserve"> Sentencia </w:t>
      </w:r>
      <w:hyperlink w:anchor="SENTENCIA_2015_14" w:history="1">
        <w:r w:rsidRPr="00DD47EB">
          <w:rPr>
            <w:rStyle w:val="TextoNormalCaracter"/>
          </w:rPr>
          <w:t>14/2015</w:t>
        </w:r>
      </w:hyperlink>
      <w:r>
        <w:t>, f. 1.</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14" w:history="1">
        <w:r w:rsidRPr="00DD47EB">
          <w:rPr>
            <w:rStyle w:val="TextoNormalCaracter"/>
          </w:rPr>
          <w:t>14/2015</w:t>
        </w:r>
      </w:hyperlink>
      <w:r>
        <w:t>, ff. 3, 5.</w:t>
      </w:r>
    </w:p>
    <w:p w:rsidR="00DD47EB" w:rsidRDefault="00DD47EB" w:rsidP="00DD47EB">
      <w:pPr>
        <w:pStyle w:val="SangriaFrancesaArticulo"/>
      </w:pPr>
    </w:p>
    <w:p w:rsidR="00DD47EB" w:rsidRDefault="00DD47EB" w:rsidP="00DD47EB">
      <w:pPr>
        <w:pStyle w:val="TextoNormalNegritaCursivandice"/>
      </w:pPr>
      <w:r>
        <w:t>Ley 27/2013, de 27 de diciembre. Racionalización y sostenibilidad de la Administración local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2" w:history="1">
        <w:r w:rsidRPr="00DD47EB">
          <w:rPr>
            <w:rStyle w:val="TextoNormalCaracter"/>
          </w:rPr>
          <w:t>92/2015</w:t>
        </w:r>
      </w:hyperlink>
      <w:r>
        <w:t>, f. 4.</w:t>
      </w:r>
    </w:p>
    <w:p w:rsidR="00DD47EB" w:rsidRDefault="00DD47EB" w:rsidP="00DD47EB">
      <w:pPr>
        <w:pStyle w:val="SangriaFrancesaArticulo"/>
      </w:pPr>
    </w:p>
    <w:p w:rsidR="00DD47EB" w:rsidRDefault="00DD47EB" w:rsidP="00DD47EB">
      <w:pPr>
        <w:pStyle w:val="TextoNormalNegritaCursivandice"/>
      </w:pPr>
      <w:r>
        <w:t>Ley 1/2014, de 28 de febrero. Protección de los trabajadores a tiempo parcial y otras medidas urgentes en el orden económico y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 w:history="1">
        <w:r w:rsidRPr="00DD47EB">
          <w:rPr>
            <w:rStyle w:val="TextoNormalCaracter"/>
          </w:rPr>
          <w:t>8/2015</w:t>
        </w:r>
      </w:hyperlink>
      <w:r>
        <w:t xml:space="preserve">, ff. 1, 5; </w:t>
      </w:r>
      <w:hyperlink w:anchor="SENTENCIA_2015_27" w:history="1">
        <w:r w:rsidRPr="00DD47EB">
          <w:rPr>
            <w:rStyle w:val="TextoNormalCaracter"/>
          </w:rPr>
          <w:t>27/2015</w:t>
        </w:r>
      </w:hyperlink>
      <w:r>
        <w:t>, f. 2.</w:t>
      </w:r>
    </w:p>
    <w:p w:rsidR="00DD47EB" w:rsidRDefault="00DD47EB" w:rsidP="00DD47EB">
      <w:pPr>
        <w:pStyle w:val="SangriaFrancesaArticulo"/>
      </w:pPr>
    </w:p>
    <w:p w:rsidR="00DD47EB" w:rsidRDefault="00DD47EB" w:rsidP="00DD47EB">
      <w:pPr>
        <w:pStyle w:val="TextoNormalNegritaCursivandice"/>
      </w:pPr>
      <w:r>
        <w:t>Ley 10/2014, de 26 de junio. Ordenación, supervisión y solvencia de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Artículo 28.</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p>
    <w:p w:rsidR="00DD47EB" w:rsidRDefault="00DD47EB" w:rsidP="00DD47EB">
      <w:pPr>
        <w:pStyle w:val="TextoNormalNegritaCursivandice"/>
      </w:pPr>
      <w:r>
        <w:t>Ley 18/2014, de 15 de octubre. Aprobación de medidas urgentes para el crecimiento, la competitividad y la eficiencia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6" w:history="1">
        <w:r w:rsidRPr="00DD47EB">
          <w:rPr>
            <w:rStyle w:val="TextoNormalCaracter"/>
          </w:rPr>
          <w:t>26/2015</w:t>
        </w:r>
      </w:hyperlink>
      <w:r>
        <w:t xml:space="preserve">, f. 3; </w:t>
      </w:r>
      <w:hyperlink w:anchor="SENTENCIA_2015_30" w:history="1">
        <w:r w:rsidRPr="00DD47EB">
          <w:rPr>
            <w:rStyle w:val="TextoNormalCaracter"/>
          </w:rPr>
          <w:t>30/2015</w:t>
        </w:r>
      </w:hyperlink>
      <w:r>
        <w:t xml:space="preserve">, f. 4, VP; </w:t>
      </w:r>
      <w:hyperlink w:anchor="SENTENCIA_2015_102" w:history="1">
        <w:r w:rsidRPr="00DD47EB">
          <w:rPr>
            <w:rStyle w:val="TextoNormalCaracter"/>
          </w:rPr>
          <w:t>102/2015</w:t>
        </w:r>
      </w:hyperlink>
      <w:r>
        <w:t xml:space="preserve">, ff. 1, 6;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124.</w:t>
      </w:r>
      <w:r w:rsidRPr="00DD47EB">
        <w:rPr>
          <w:rStyle w:val="TextoNormalCaracter"/>
        </w:rPr>
        <w:t>-</w:t>
      </w:r>
      <w:r>
        <w:t xml:space="preserve"> Sentencias </w:t>
      </w:r>
      <w:hyperlink w:anchor="SENTENCIA_2015_30" w:history="1">
        <w:r w:rsidRPr="00DD47EB">
          <w:rPr>
            <w:rStyle w:val="TextoNormalCaracter"/>
          </w:rPr>
          <w:t>30/2015</w:t>
        </w:r>
      </w:hyperlink>
      <w:r>
        <w:t xml:space="preserve">, f. 2; </w:t>
      </w:r>
      <w:hyperlink w:anchor="SENTENCIA_2015_59" w:history="1">
        <w:r w:rsidRPr="00DD47EB">
          <w:rPr>
            <w:rStyle w:val="TextoNormalCaracter"/>
          </w:rPr>
          <w:t>59/2015</w:t>
        </w:r>
      </w:hyperlink>
      <w:r>
        <w:t xml:space="preserve">, f. 2; </w:t>
      </w:r>
      <w:hyperlink w:anchor="SENTENCIA_2015_73" w:history="1">
        <w:r w:rsidRPr="00DD47EB">
          <w:rPr>
            <w:rStyle w:val="TextoNormalCaracter"/>
          </w:rPr>
          <w:t>73/2015</w:t>
        </w:r>
      </w:hyperlink>
      <w:r>
        <w:t xml:space="preserve">, f. 2; </w:t>
      </w:r>
      <w:hyperlink w:anchor="SENTENCIA_2015_102" w:history="1">
        <w:r w:rsidRPr="00DD47EB">
          <w:rPr>
            <w:rStyle w:val="TextoNormalCaracter"/>
          </w:rPr>
          <w:t>102/2015</w:t>
        </w:r>
      </w:hyperlink>
      <w:r>
        <w:t xml:space="preserve">, ff. 1, 3 a 5; </w:t>
      </w:r>
      <w:hyperlink w:anchor="SENTENCIA_2015_108" w:history="1">
        <w:r w:rsidRPr="00DD47EB">
          <w:rPr>
            <w:rStyle w:val="TextoNormalCaracter"/>
          </w:rPr>
          <w:t>108/2015</w:t>
        </w:r>
      </w:hyperlink>
      <w:r>
        <w:t xml:space="preserve">, f. 2;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Disposición transitoria única.</w:t>
      </w:r>
      <w:r w:rsidRPr="00DD47EB">
        <w:rPr>
          <w:rStyle w:val="TextoNormalCaracter"/>
        </w:rPr>
        <w:t>-</w:t>
      </w:r>
      <w:r>
        <w:t xml:space="preserve"> Sentencia </w:t>
      </w:r>
      <w:hyperlink w:anchor="SENTENCIA_2015_102" w:history="1">
        <w:r w:rsidRPr="00DD47EB">
          <w:rPr>
            <w:rStyle w:val="TextoNormalCaracter"/>
          </w:rPr>
          <w:t>102/2015</w:t>
        </w:r>
      </w:hyperlink>
      <w:r>
        <w:t>, f. 6.</w:t>
      </w:r>
    </w:p>
    <w:p w:rsidR="00DD47EB" w:rsidRDefault="00DD47EB" w:rsidP="00DD47EB">
      <w:pPr>
        <w:pStyle w:val="SangriaFrancesaArticulo"/>
      </w:pPr>
      <w:r w:rsidRPr="00DD47EB">
        <w:rPr>
          <w:rStyle w:val="TextoNormalNegritaCaracter"/>
        </w:rPr>
        <w:t>Disposición final quinta.</w:t>
      </w:r>
      <w:r w:rsidRPr="00DD47EB">
        <w:rPr>
          <w:rStyle w:val="TextoNormalCaracter"/>
        </w:rPr>
        <w:t>-</w:t>
      </w:r>
      <w:r>
        <w:t xml:space="preserve"> Sentencia </w:t>
      </w:r>
      <w:hyperlink w:anchor="SENTENCIA_2015_102" w:history="1">
        <w:r w:rsidRPr="00DD47EB">
          <w:rPr>
            <w:rStyle w:val="TextoNormalCaracter"/>
          </w:rPr>
          <w:t>102/2015</w:t>
        </w:r>
      </w:hyperlink>
      <w:r>
        <w:t>, f. 5.</w:t>
      </w:r>
    </w:p>
    <w:p w:rsidR="00DD47EB" w:rsidRDefault="00DD47EB" w:rsidP="00DD47EB">
      <w:pPr>
        <w:pStyle w:val="SangriaFrancesaArticulo"/>
      </w:pPr>
    </w:p>
    <w:p w:rsidR="00DD47EB" w:rsidRDefault="00DD47EB" w:rsidP="00DD47EB">
      <w:pPr>
        <w:pStyle w:val="TextoNormalNegritaCursivandice"/>
      </w:pPr>
      <w:r>
        <w:t>Ley 27/2014, de 27 de noviembre. Impuesto sobre Sociedades</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f. 2.</w:t>
      </w:r>
    </w:p>
    <w:p w:rsidR="00DD47EB" w:rsidRDefault="00DD47EB" w:rsidP="00DD47EB">
      <w:pPr>
        <w:pStyle w:val="SangriaFrancesaArticulo"/>
      </w:pPr>
    </w:p>
    <w:p w:rsidR="00DD47EB" w:rsidRDefault="00DD47EB" w:rsidP="00DD47EB">
      <w:pPr>
        <w:pStyle w:val="TextoNormalNegritaCursivandice"/>
      </w:pPr>
      <w:r>
        <w:t>Ley 36/2014, de 26 de diciembre. Presupuestos Generales del Estado para el año 2015</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0" w:history="1">
        <w:r w:rsidRPr="00DD47EB">
          <w:rPr>
            <w:rStyle w:val="TextoNormalCaracter"/>
          </w:rPr>
          <w:t>100/2015</w:t>
        </w:r>
      </w:hyperlink>
      <w:r>
        <w:t>, f. 3.</w:t>
      </w:r>
    </w:p>
    <w:p w:rsidR="00DD47EB" w:rsidRDefault="00DD47EB" w:rsidP="00DD47EB">
      <w:pPr>
        <w:pStyle w:val="SangriaFrancesaArticulo"/>
      </w:pPr>
      <w:r w:rsidRPr="00DD47EB">
        <w:rPr>
          <w:rStyle w:val="TextoNormalNegritaCaracter"/>
        </w:rPr>
        <w:t>Disposición adicional duodécima.</w:t>
      </w:r>
      <w:r w:rsidRPr="00DD47EB">
        <w:rPr>
          <w:rStyle w:val="TextoNormalCaracter"/>
        </w:rPr>
        <w:t>-</w:t>
      </w:r>
      <w:r>
        <w:t xml:space="preserve"> Sentencias </w:t>
      </w:r>
      <w:hyperlink w:anchor="SENTENCIA_2015_83" w:history="1">
        <w:r w:rsidRPr="00DD47EB">
          <w:rPr>
            <w:rStyle w:val="TextoNormalCaracter"/>
          </w:rPr>
          <w:t>83/2015</w:t>
        </w:r>
      </w:hyperlink>
      <w:r>
        <w:t xml:space="preserve">, f. 3; </w:t>
      </w:r>
      <w:hyperlink w:anchor="SENTENCIA_2015_97" w:history="1">
        <w:r w:rsidRPr="00DD47EB">
          <w:rPr>
            <w:rStyle w:val="TextoNormalCaracter"/>
          </w:rPr>
          <w:t>97/2015</w:t>
        </w:r>
      </w:hyperlink>
      <w:r>
        <w:t xml:space="preserve">, f. 3; </w:t>
      </w:r>
      <w:hyperlink w:anchor="SENTENCIA_2015_100" w:history="1">
        <w:r w:rsidRPr="00DD47EB">
          <w:rPr>
            <w:rStyle w:val="TextoNormalCaracter"/>
          </w:rPr>
          <w:t>100/2015</w:t>
        </w:r>
      </w:hyperlink>
      <w:r>
        <w:t xml:space="preserve">, f. 3; </w:t>
      </w:r>
      <w:hyperlink w:anchor="SENTENCIA_2015_113" w:history="1">
        <w:r w:rsidRPr="00DD47EB">
          <w:rPr>
            <w:rStyle w:val="TextoNormalCaracter"/>
          </w:rPr>
          <w:t>113/2015</w:t>
        </w:r>
      </w:hyperlink>
      <w:r>
        <w:t xml:space="preserve">, f. 3; </w:t>
      </w:r>
      <w:hyperlink w:anchor="SENTENCIA_2015_114" w:history="1">
        <w:r w:rsidRPr="00DD47EB">
          <w:rPr>
            <w:rStyle w:val="TextoNormalCaracter"/>
          </w:rPr>
          <w:t>114/2015</w:t>
        </w:r>
      </w:hyperlink>
      <w:r>
        <w:t xml:space="preserve">, f. 3; </w:t>
      </w:r>
      <w:hyperlink w:anchor="SENTENCIA_2015_141" w:history="1">
        <w:r w:rsidRPr="00DD47EB">
          <w:rPr>
            <w:rStyle w:val="TextoNormalCaracter"/>
          </w:rPr>
          <w:t>141/2015</w:t>
        </w:r>
      </w:hyperlink>
      <w:r>
        <w:t>, f. 2.</w:t>
      </w:r>
    </w:p>
    <w:p w:rsidR="00DD47EB" w:rsidRDefault="00DD47EB" w:rsidP="00DD47EB">
      <w:pPr>
        <w:pStyle w:val="SangriaFrancesaArticulo"/>
      </w:pPr>
      <w:r w:rsidRPr="00DD47EB">
        <w:rPr>
          <w:rStyle w:val="TextoNormalNegritaCaracter"/>
        </w:rPr>
        <w:t>Disposición adicional duodécima, apartado 1.1.</w:t>
      </w:r>
      <w:r w:rsidRPr="00DD47EB">
        <w:rPr>
          <w:rStyle w:val="TextoNormalCaracter"/>
        </w:rPr>
        <w:t>-</w:t>
      </w:r>
      <w:r>
        <w:t xml:space="preserve"> Sentencias </w:t>
      </w:r>
      <w:hyperlink w:anchor="SENTENCIA_2015_83" w:history="1">
        <w:r w:rsidRPr="00DD47EB">
          <w:rPr>
            <w:rStyle w:val="TextoNormalCaracter"/>
          </w:rPr>
          <w:t>83/2015</w:t>
        </w:r>
      </w:hyperlink>
      <w:r>
        <w:t xml:space="preserve">, f. 3; </w:t>
      </w:r>
      <w:hyperlink w:anchor="SENTENCIA_2015_113" w:history="1">
        <w:r w:rsidRPr="00DD47EB">
          <w:rPr>
            <w:rStyle w:val="TextoNormalCaracter"/>
          </w:rPr>
          <w:t>113/2015</w:t>
        </w:r>
      </w:hyperlink>
      <w:r>
        <w:t xml:space="preserve">, f. 3; </w:t>
      </w:r>
      <w:hyperlink w:anchor="SENTENCIA_2015_114" w:history="1">
        <w:r w:rsidRPr="00DD47EB">
          <w:rPr>
            <w:rStyle w:val="TextoNormalCaracter"/>
          </w:rPr>
          <w:t>114/2015</w:t>
        </w:r>
      </w:hyperlink>
      <w:r>
        <w:t>, f. 3.</w:t>
      </w:r>
    </w:p>
    <w:p w:rsidR="00DD47EB" w:rsidRDefault="00DD47EB" w:rsidP="00DD47EB">
      <w:pPr>
        <w:pStyle w:val="SangriaFrancesaArticulo"/>
      </w:pPr>
      <w:r w:rsidRPr="00DD47EB">
        <w:rPr>
          <w:rStyle w:val="TextoNormalNegritaCaracter"/>
        </w:rPr>
        <w:t>Disposición adicional duodécima, apartado 1.2.</w:t>
      </w:r>
      <w:r w:rsidRPr="00DD47EB">
        <w:rPr>
          <w:rStyle w:val="TextoNormalCaracter"/>
        </w:rPr>
        <w:t>-</w:t>
      </w:r>
      <w:r>
        <w:t xml:space="preserve"> Sentencias </w:t>
      </w:r>
      <w:hyperlink w:anchor="SENTENCIA_2015_83" w:history="1">
        <w:r w:rsidRPr="00DD47EB">
          <w:rPr>
            <w:rStyle w:val="TextoNormalCaracter"/>
          </w:rPr>
          <w:t>83/2015</w:t>
        </w:r>
      </w:hyperlink>
      <w:r>
        <w:t xml:space="preserve">, f. 3; </w:t>
      </w:r>
      <w:hyperlink w:anchor="SENTENCIA_2015_100" w:history="1">
        <w:r w:rsidRPr="00DD47EB">
          <w:rPr>
            <w:rStyle w:val="TextoNormalCaracter"/>
          </w:rPr>
          <w:t>100/2015</w:t>
        </w:r>
      </w:hyperlink>
      <w:r>
        <w:t xml:space="preserve">, f. 3; </w:t>
      </w:r>
      <w:hyperlink w:anchor="SENTENCIA_2015_113" w:history="1">
        <w:r w:rsidRPr="00DD47EB">
          <w:rPr>
            <w:rStyle w:val="TextoNormalCaracter"/>
          </w:rPr>
          <w:t>113/2015</w:t>
        </w:r>
      </w:hyperlink>
      <w:r>
        <w:t xml:space="preserve">, f. 3; </w:t>
      </w:r>
      <w:hyperlink w:anchor="SENTENCIA_2015_114" w:history="1">
        <w:r w:rsidRPr="00DD47EB">
          <w:rPr>
            <w:rStyle w:val="TextoNormalCaracter"/>
          </w:rPr>
          <w:t>114/2015</w:t>
        </w:r>
      </w:hyperlink>
      <w:r>
        <w:t>, f. 3.</w:t>
      </w:r>
    </w:p>
    <w:p w:rsidR="00DD47EB" w:rsidRDefault="00DD47EB" w:rsidP="00DD47EB">
      <w:pPr>
        <w:pStyle w:val="SangriaFrancesaArticulo"/>
      </w:pPr>
      <w:r w:rsidRPr="00DD47EB">
        <w:rPr>
          <w:rStyle w:val="TextoNormalNegritaCaracter"/>
        </w:rPr>
        <w:t>Disposición adicional duodécima, apartado 2.</w:t>
      </w:r>
      <w:r w:rsidRPr="00DD47EB">
        <w:rPr>
          <w:rStyle w:val="TextoNormalCaracter"/>
        </w:rPr>
        <w:t>-</w:t>
      </w:r>
      <w:r>
        <w:t xml:space="preserve"> Sentencias </w:t>
      </w:r>
      <w:hyperlink w:anchor="SENTENCIA_2015_83" w:history="1">
        <w:r w:rsidRPr="00DD47EB">
          <w:rPr>
            <w:rStyle w:val="TextoNormalCaracter"/>
          </w:rPr>
          <w:t>83/2015</w:t>
        </w:r>
      </w:hyperlink>
      <w:r>
        <w:t xml:space="preserve">, f. 3; </w:t>
      </w:r>
      <w:hyperlink w:anchor="SENTENCIA_2015_100" w:history="1">
        <w:r w:rsidRPr="00DD47EB">
          <w:rPr>
            <w:rStyle w:val="TextoNormalCaracter"/>
          </w:rPr>
          <w:t>100/2015</w:t>
        </w:r>
      </w:hyperlink>
      <w:r>
        <w:t xml:space="preserve">, f. 3; </w:t>
      </w:r>
      <w:hyperlink w:anchor="SENTENCIA_2015_113" w:history="1">
        <w:r w:rsidRPr="00DD47EB">
          <w:rPr>
            <w:rStyle w:val="TextoNormalCaracter"/>
          </w:rPr>
          <w:t>113/2015</w:t>
        </w:r>
      </w:hyperlink>
      <w:r>
        <w:t xml:space="preserve">, f. 3; </w:t>
      </w:r>
      <w:hyperlink w:anchor="SENTENCIA_2015_114" w:history="1">
        <w:r w:rsidRPr="00DD47EB">
          <w:rPr>
            <w:rStyle w:val="TextoNormalCaracter"/>
          </w:rPr>
          <w:t>114/2015</w:t>
        </w:r>
      </w:hyperlink>
      <w:r>
        <w:t>, f. 3.</w:t>
      </w:r>
    </w:p>
    <w:p w:rsidR="00DD47EB" w:rsidRDefault="00DD47EB" w:rsidP="00DD47EB">
      <w:pPr>
        <w:pStyle w:val="SangriaFrancesaArticulo"/>
      </w:pPr>
      <w:r w:rsidRPr="00DD47EB">
        <w:rPr>
          <w:rStyle w:val="TextoNormalNegritaCaracter"/>
        </w:rPr>
        <w:t>Disposición adicional duodécima, apartados 2.1.</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TextoNormal"/>
      </w:pPr>
    </w:p>
    <w:p w:rsidR="00DD47EB" w:rsidRDefault="00DD47EB" w:rsidP="00DD47EB">
      <w:pPr>
        <w:pStyle w:val="SangriaFrancesaArticulo"/>
      </w:pPr>
      <w:bookmarkStart w:id="274" w:name="INDICE22847"/>
    </w:p>
    <w:bookmarkEnd w:id="274"/>
    <w:p w:rsidR="00DD47EB" w:rsidRDefault="00DD47EB" w:rsidP="00DD47EB">
      <w:pPr>
        <w:pStyle w:val="TextoIndiceNivel2"/>
        <w:suppressAutoHyphens/>
      </w:pPr>
      <w:r>
        <w:t>F) Reales Decretos Legislativos</w:t>
      </w:r>
    </w:p>
    <w:p w:rsidR="00DD47EB" w:rsidRDefault="00DD47EB" w:rsidP="00DD47EB">
      <w:pPr>
        <w:pStyle w:val="TextoIndiceNivel2"/>
      </w:pPr>
    </w:p>
    <w:p w:rsidR="00DD47EB" w:rsidRDefault="00DD47EB" w:rsidP="00DD47EB">
      <w:pPr>
        <w:pStyle w:val="TextoNormalNegritaCursivandice"/>
      </w:pPr>
      <w:r>
        <w:t>Real Decreto Legislativo 1298/1986, de 28 de junio. Adapta las normas legales en materia de establecimientos de crédito al ordenamiento jurídico de la Comunidad Económica Europea</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Sentencias </w:t>
      </w:r>
      <w:hyperlink w:anchor="SENTENCIA_2015_26" w:history="1">
        <w:r w:rsidRPr="00DD47EB">
          <w:rPr>
            <w:rStyle w:val="TextoNormalCaracter"/>
          </w:rPr>
          <w:t>26/2015</w:t>
        </w:r>
      </w:hyperlink>
      <w:r>
        <w:t xml:space="preserve">, f. 1; </w:t>
      </w:r>
      <w:hyperlink w:anchor="SENTENCIA_2015_30" w:history="1">
        <w:r w:rsidRPr="00DD47EB">
          <w:rPr>
            <w:rStyle w:val="TextoNormalCaracter"/>
          </w:rPr>
          <w:t>30/2015</w:t>
        </w:r>
      </w:hyperlink>
      <w:r>
        <w:t xml:space="preserve">, f. 4; </w:t>
      </w:r>
      <w:hyperlink w:anchor="SENTENCIA_2015_111" w:history="1">
        <w:r w:rsidRPr="00DD47EB">
          <w:rPr>
            <w:rStyle w:val="TextoNormalCaracter"/>
          </w:rPr>
          <w:t>111/2015</w:t>
        </w:r>
      </w:hyperlink>
      <w:r>
        <w:t>, f. 2.</w:t>
      </w:r>
    </w:p>
    <w:p w:rsidR="00DD47EB" w:rsidRDefault="00DD47EB" w:rsidP="00DD47EB">
      <w:pPr>
        <w:pStyle w:val="SangriaFrancesaArticulo"/>
      </w:pPr>
    </w:p>
    <w:p w:rsidR="00DD47EB" w:rsidRDefault="00DD47EB" w:rsidP="00DD47EB">
      <w:pPr>
        <w:pStyle w:val="TextoNormalNegritaCursivandice"/>
      </w:pPr>
      <w:r>
        <w:t>Real Decreto Legislativo 1302/1986, de 28 de junio. Evaluación de impacto ambiental</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57" w:history="1">
        <w:r w:rsidRPr="00DD47EB">
          <w:rPr>
            <w:rStyle w:val="TextoNormalCaracter"/>
          </w:rPr>
          <w:t>57/2015</w:t>
        </w:r>
      </w:hyperlink>
      <w:r>
        <w:t>, f. 4.</w:t>
      </w:r>
    </w:p>
    <w:p w:rsidR="00DD47EB" w:rsidRDefault="00DD47EB" w:rsidP="00DD47EB">
      <w:pPr>
        <w:pStyle w:val="SangriaFrancesaArticulo"/>
      </w:pPr>
      <w:r w:rsidRPr="00DD47EB">
        <w:rPr>
          <w:rStyle w:val="TextoNormalNegritaCaracter"/>
        </w:rPr>
        <w:t>Anexo I.</w:t>
      </w:r>
      <w:r w:rsidRPr="00DD47EB">
        <w:rPr>
          <w:rStyle w:val="TextoNormalCaracter"/>
        </w:rPr>
        <w:t>-</w:t>
      </w:r>
      <w:r>
        <w:t xml:space="preserve"> Sentencia </w:t>
      </w:r>
      <w:hyperlink w:anchor="SENTENCIA_2015_57" w:history="1">
        <w:r w:rsidRPr="00DD47EB">
          <w:rPr>
            <w:rStyle w:val="TextoNormalCaracter"/>
          </w:rPr>
          <w:t>57/2015</w:t>
        </w:r>
      </w:hyperlink>
      <w:r>
        <w:t>, f. 3.</w:t>
      </w:r>
    </w:p>
    <w:p w:rsidR="00DD47EB" w:rsidRDefault="00DD47EB" w:rsidP="00DD47EB">
      <w:pPr>
        <w:pStyle w:val="SangriaFrancesaArticulo"/>
      </w:pPr>
    </w:p>
    <w:p w:rsidR="00DD47EB" w:rsidRDefault="00DD47EB" w:rsidP="00DD47EB">
      <w:pPr>
        <w:pStyle w:val="TextoNormalNegritaCursivandice"/>
      </w:pPr>
      <w:r>
        <w:t>Real Decreto Legislativo 670/1987, de 30 de abril. Texto refundido de la Ley de clases pasivas del Estado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9" w:history="1">
        <w:r w:rsidRPr="00DD47EB">
          <w:rPr>
            <w:rStyle w:val="TextoNormalCaracter"/>
          </w:rPr>
          <w:t>49/2015</w:t>
        </w:r>
      </w:hyperlink>
      <w:r>
        <w:t>, f. 5.</w:t>
      </w:r>
    </w:p>
    <w:p w:rsidR="00DD47EB" w:rsidRDefault="00DD47EB" w:rsidP="00DD47EB">
      <w:pPr>
        <w:pStyle w:val="SangriaFrancesaArticulo"/>
      </w:pPr>
      <w:r w:rsidRPr="00DD47EB">
        <w:rPr>
          <w:rStyle w:val="TextoNormalNegritaCaracter"/>
        </w:rPr>
        <w:t>Artículo 21.1 párrafo segundo.</w:t>
      </w:r>
      <w:r w:rsidRPr="00DD47EB">
        <w:rPr>
          <w:rStyle w:val="TextoNormalCaracter"/>
        </w:rPr>
        <w:t>-</w:t>
      </w:r>
      <w:r>
        <w:t xml:space="preserve"> Sentencia </w:t>
      </w:r>
      <w:hyperlink w:anchor="SENTENCIA_2015_95" w:history="1">
        <w:r w:rsidRPr="00DD47EB">
          <w:rPr>
            <w:rStyle w:val="TextoNormalCaracter"/>
          </w:rPr>
          <w:t>95/2015</w:t>
        </w:r>
      </w:hyperlink>
      <w:r>
        <w:t>, f. 4.</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Sentencias </w:t>
      </w:r>
      <w:hyperlink w:anchor="SENTENCIA_2015_49" w:history="1">
        <w:r w:rsidRPr="00DD47EB">
          <w:rPr>
            <w:rStyle w:val="TextoNormalCaracter"/>
          </w:rPr>
          <w:t>49/2015</w:t>
        </w:r>
      </w:hyperlink>
      <w:r>
        <w:t xml:space="preserve">, ff. 2, 3; </w:t>
      </w:r>
      <w:hyperlink w:anchor="SENTENCIA_2015_95" w:history="1">
        <w:r w:rsidRPr="00DD47EB">
          <w:rPr>
            <w:rStyle w:val="TextoNormalCaracter"/>
          </w:rPr>
          <w:t>95/2015</w:t>
        </w:r>
      </w:hyperlink>
      <w:r>
        <w:t>, f. 4.</w:t>
      </w:r>
    </w:p>
    <w:p w:rsidR="00DD47EB" w:rsidRDefault="00DD47EB" w:rsidP="00DD47EB">
      <w:pPr>
        <w:pStyle w:val="SangriaFrancesaArticulo"/>
      </w:pPr>
      <w:r w:rsidRPr="00DD47EB">
        <w:rPr>
          <w:rStyle w:val="TextoNormalNegritaCaracter"/>
        </w:rPr>
        <w:t>Artículo 27.1.</w:t>
      </w:r>
      <w:r w:rsidRPr="00DD47EB">
        <w:rPr>
          <w:rStyle w:val="TextoNormalCaracter"/>
        </w:rPr>
        <w:t>-</w:t>
      </w:r>
      <w:r>
        <w:t xml:space="preserve"> Sentencias </w:t>
      </w:r>
      <w:hyperlink w:anchor="SENTENCIA_2015_49" w:history="1">
        <w:r w:rsidRPr="00DD47EB">
          <w:rPr>
            <w:rStyle w:val="TextoNormalCaracter"/>
          </w:rPr>
          <w:t>49/2015</w:t>
        </w:r>
      </w:hyperlink>
      <w:r>
        <w:t xml:space="preserve">, ff. 2, 3, 5, VP; </w:t>
      </w:r>
      <w:hyperlink w:anchor="SENTENCIA_2015_95" w:history="1">
        <w:r w:rsidRPr="00DD47EB">
          <w:rPr>
            <w:rStyle w:val="TextoNormalCaracter"/>
          </w:rPr>
          <w:t>95/2015</w:t>
        </w:r>
      </w:hyperlink>
      <w:r>
        <w:t xml:space="preserve">, f. 6; </w:t>
      </w:r>
      <w:hyperlink w:anchor="SENTENCIA_2015_109" w:history="1">
        <w:r w:rsidRPr="00DD47EB">
          <w:rPr>
            <w:rStyle w:val="TextoNormalCaracter"/>
          </w:rPr>
          <w:t>109/2015</w:t>
        </w:r>
      </w:hyperlink>
      <w:r>
        <w:t xml:space="preserve">, f. 2; </w:t>
      </w:r>
      <w:hyperlink w:anchor="SENTENCIA_2015_116" w:history="1">
        <w:r w:rsidRPr="00DD47EB">
          <w:rPr>
            <w:rStyle w:val="TextoNormalCaracter"/>
          </w:rPr>
          <w:t>116/2015</w:t>
        </w:r>
      </w:hyperlink>
      <w:r>
        <w:t xml:space="preserve">, f. 2; </w:t>
      </w:r>
      <w:hyperlink w:anchor="SENTENCIA_2015_117" w:history="1">
        <w:r w:rsidRPr="00DD47EB">
          <w:rPr>
            <w:rStyle w:val="TextoNormalCaracter"/>
          </w:rPr>
          <w:t>117/2015</w:t>
        </w:r>
      </w:hyperlink>
      <w:r>
        <w:t xml:space="preserve">, f. 3; </w:t>
      </w:r>
      <w:hyperlink w:anchor="SENTENCIA_2015_118" w:history="1">
        <w:r w:rsidRPr="00DD47EB">
          <w:rPr>
            <w:rStyle w:val="TextoNormalCaracter"/>
          </w:rPr>
          <w:t>118/2015</w:t>
        </w:r>
      </w:hyperlink>
      <w:r>
        <w:t xml:space="preserve">, f. 2; </w:t>
      </w:r>
      <w:hyperlink w:anchor="SENTENCIA_2015_119" w:history="1">
        <w:r w:rsidRPr="00DD47EB">
          <w:rPr>
            <w:rStyle w:val="TextoNormalCaracter"/>
          </w:rPr>
          <w:t>119/2015</w:t>
        </w:r>
      </w:hyperlink>
      <w:r>
        <w:t xml:space="preserve">, f. 2; </w:t>
      </w:r>
      <w:hyperlink w:anchor="SENTENCIA_2015_120" w:history="1">
        <w:r w:rsidRPr="00DD47EB">
          <w:rPr>
            <w:rStyle w:val="TextoNormalCaracter"/>
          </w:rPr>
          <w:t>120/2015</w:t>
        </w:r>
      </w:hyperlink>
      <w:r>
        <w:t xml:space="preserve">, f. 2; </w:t>
      </w:r>
      <w:hyperlink w:anchor="SENTENCIA_2015_121" w:history="1">
        <w:r w:rsidRPr="00DD47EB">
          <w:rPr>
            <w:rStyle w:val="TextoNormalCaracter"/>
          </w:rPr>
          <w:t>121/2015</w:t>
        </w:r>
      </w:hyperlink>
      <w:r>
        <w:t xml:space="preserve">, f. 2; </w:t>
      </w:r>
      <w:hyperlink w:anchor="SENTENCIA_2015_122" w:history="1">
        <w:r w:rsidRPr="00DD47EB">
          <w:rPr>
            <w:rStyle w:val="TextoNormalCaracter"/>
          </w:rPr>
          <w:t>122/2015</w:t>
        </w:r>
      </w:hyperlink>
      <w:r>
        <w:t xml:space="preserve">, f. 2; </w:t>
      </w:r>
      <w:hyperlink w:anchor="SENTENCIA_2015_123" w:history="1">
        <w:r w:rsidRPr="00DD47EB">
          <w:rPr>
            <w:rStyle w:val="TextoNormalCaracter"/>
          </w:rPr>
          <w:t>123/2015</w:t>
        </w:r>
      </w:hyperlink>
      <w:r>
        <w:t xml:space="preserve">, f. 2; </w:t>
      </w:r>
      <w:hyperlink w:anchor="SENTENCIA_2015_125" w:history="1">
        <w:r w:rsidRPr="00DD47EB">
          <w:rPr>
            <w:rStyle w:val="TextoNormalCaracter"/>
          </w:rPr>
          <w:t>125/2015</w:t>
        </w:r>
      </w:hyperlink>
      <w:r>
        <w:t xml:space="preserve">, f. 2; </w:t>
      </w:r>
      <w:hyperlink w:anchor="SENTENCIA_2015_126" w:history="1">
        <w:r w:rsidRPr="00DD47EB">
          <w:rPr>
            <w:rStyle w:val="TextoNormalCaracter"/>
          </w:rPr>
          <w:t>126/2015</w:t>
        </w:r>
      </w:hyperlink>
      <w:r>
        <w:t xml:space="preserve">, f. 2; </w:t>
      </w:r>
      <w:hyperlink w:anchor="SENTENCIA_2015_127" w:history="1">
        <w:r w:rsidRPr="00DD47EB">
          <w:rPr>
            <w:rStyle w:val="TextoNormalCaracter"/>
          </w:rPr>
          <w:t>127/2015</w:t>
        </w:r>
      </w:hyperlink>
      <w:r>
        <w:t xml:space="preserve">, f. 2; </w:t>
      </w:r>
      <w:hyperlink w:anchor="SENTENCIA_2015_128" w:history="1">
        <w:r w:rsidRPr="00DD47EB">
          <w:rPr>
            <w:rStyle w:val="TextoNormalCaracter"/>
          </w:rPr>
          <w:t>128/2015</w:t>
        </w:r>
      </w:hyperlink>
      <w:r>
        <w:t xml:space="preserve">, f. 2; </w:t>
      </w:r>
      <w:hyperlink w:anchor="SENTENCIA_2015_129" w:history="1">
        <w:r w:rsidRPr="00DD47EB">
          <w:rPr>
            <w:rStyle w:val="TextoNormalCaracter"/>
          </w:rPr>
          <w:t>129/2015</w:t>
        </w:r>
      </w:hyperlink>
      <w:r>
        <w:t xml:space="preserve">, f. 2;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f. 2; </w:t>
      </w:r>
      <w:hyperlink w:anchor="SENTENCIA_2015_132" w:history="1">
        <w:r w:rsidRPr="00DD47EB">
          <w:rPr>
            <w:rStyle w:val="TextoNormalCaracter"/>
          </w:rPr>
          <w:t>132/2015</w:t>
        </w:r>
      </w:hyperlink>
      <w:r>
        <w:t xml:space="preserve">, f. 2; </w:t>
      </w:r>
      <w:hyperlink w:anchor="SENTENCIA_2015_133" w:history="1">
        <w:r w:rsidRPr="00DD47EB">
          <w:rPr>
            <w:rStyle w:val="TextoNormalCaracter"/>
          </w:rPr>
          <w:t>133/2015</w:t>
        </w:r>
      </w:hyperlink>
      <w:r>
        <w:t xml:space="preserve">, f. 2; </w:t>
      </w:r>
      <w:hyperlink w:anchor="SENTENCIA_2015_134" w:history="1">
        <w:r w:rsidRPr="00DD47EB">
          <w:rPr>
            <w:rStyle w:val="TextoNormalCaracter"/>
          </w:rPr>
          <w:t>134/2015</w:t>
        </w:r>
      </w:hyperlink>
      <w:r>
        <w:t xml:space="preserve">, f. 2; </w:t>
      </w:r>
      <w:hyperlink w:anchor="SENTENCIA_2015_135" w:history="1">
        <w:r w:rsidRPr="00DD47EB">
          <w:rPr>
            <w:rStyle w:val="TextoNormalCaracter"/>
          </w:rPr>
          <w:t>135/2015</w:t>
        </w:r>
      </w:hyperlink>
      <w:r>
        <w:t>, f. 2.</w:t>
      </w:r>
    </w:p>
    <w:p w:rsidR="00DD47EB" w:rsidRDefault="00DD47EB" w:rsidP="00DD47EB">
      <w:pPr>
        <w:pStyle w:val="SangriaFrancesaArticulo"/>
      </w:pPr>
      <w:r w:rsidRPr="00DD47EB">
        <w:rPr>
          <w:rStyle w:val="TextoNormalNegritaCaracter"/>
        </w:rPr>
        <w:t>Artículo 27.1 párrafo primero.</w:t>
      </w:r>
      <w:r w:rsidRPr="00DD47EB">
        <w:rPr>
          <w:rStyle w:val="TextoNormalCaracter"/>
        </w:rPr>
        <w:t>-</w:t>
      </w:r>
      <w:r>
        <w:t xml:space="preserve"> Sentencia </w:t>
      </w:r>
      <w:hyperlink w:anchor="SENTENCIA_2015_49" w:history="1">
        <w:r w:rsidRPr="00DD47EB">
          <w:rPr>
            <w:rStyle w:val="TextoNormalCaracter"/>
          </w:rPr>
          <w:t>49/2015</w:t>
        </w:r>
      </w:hyperlink>
      <w:r>
        <w:t>, ff. 2, 5.</w:t>
      </w:r>
    </w:p>
    <w:p w:rsidR="00DD47EB" w:rsidRDefault="00DD47EB" w:rsidP="00DD47EB">
      <w:pPr>
        <w:pStyle w:val="SangriaFrancesaArticulo"/>
      </w:pPr>
      <w:r w:rsidRPr="00DD47EB">
        <w:rPr>
          <w:rStyle w:val="TextoNormalNegritaCaracter"/>
        </w:rPr>
        <w:t>Artículo 27.1 párrafo segundo.</w:t>
      </w:r>
      <w:r w:rsidRPr="00DD47EB">
        <w:rPr>
          <w:rStyle w:val="TextoNormalCaracter"/>
        </w:rPr>
        <w:t>-</w:t>
      </w:r>
      <w:r>
        <w:t xml:space="preserve"> Sentencias </w:t>
      </w:r>
      <w:hyperlink w:anchor="SENTENCIA_2015_49" w:history="1">
        <w:r w:rsidRPr="00DD47EB">
          <w:rPr>
            <w:rStyle w:val="TextoNormalCaracter"/>
          </w:rPr>
          <w:t>49/2015</w:t>
        </w:r>
      </w:hyperlink>
      <w:r>
        <w:t xml:space="preserve">, ff. 2, 3, VP; </w:t>
      </w:r>
      <w:hyperlink w:anchor="SENTENCIA_2015_95" w:history="1">
        <w:r w:rsidRPr="00DD47EB">
          <w:rPr>
            <w:rStyle w:val="TextoNormalCaracter"/>
          </w:rPr>
          <w:t>95/2015</w:t>
        </w:r>
      </w:hyperlink>
      <w:r>
        <w:t xml:space="preserve">, f. 1; </w:t>
      </w:r>
      <w:hyperlink w:anchor="SENTENCIA_2015_135" w:history="1">
        <w:r w:rsidRPr="00DD47EB">
          <w:rPr>
            <w:rStyle w:val="TextoNormalCaracter"/>
          </w:rPr>
          <w:t>135/2015</w:t>
        </w:r>
      </w:hyperlink>
      <w:r>
        <w:t xml:space="preserve">, f. 2; </w:t>
      </w:r>
      <w:hyperlink w:anchor="SENTENCIA_2015_144" w:history="1">
        <w:r w:rsidRPr="00DD47EB">
          <w:rPr>
            <w:rStyle w:val="TextoNormalCaracter"/>
          </w:rPr>
          <w:t>144/2015</w:t>
        </w:r>
      </w:hyperlink>
      <w:r>
        <w:t>, f. 2.</w:t>
      </w:r>
    </w:p>
    <w:p w:rsidR="00DD47EB" w:rsidRDefault="00DD47EB" w:rsidP="00DD47EB">
      <w:pPr>
        <w:pStyle w:val="SangriaFrancesaArticulo"/>
      </w:pPr>
    </w:p>
    <w:p w:rsidR="00DD47EB" w:rsidRDefault="00DD47EB" w:rsidP="00DD47EB">
      <w:pPr>
        <w:pStyle w:val="TextoNormalNegritaCursivandice"/>
      </w:pPr>
      <w:r>
        <w:t>Real Decreto Legislativo 1/1992, de 26 de junio. Texto refundido de la Ley sobre el régimen del suelo y ordenación urbana</w:t>
      </w:r>
    </w:p>
    <w:p w:rsidR="00DD47EB" w:rsidRDefault="00DD47EB" w:rsidP="00DD47EB">
      <w:pPr>
        <w:pStyle w:val="SangriaFrancesaArticulo"/>
      </w:pPr>
      <w:r w:rsidRPr="00DD47EB">
        <w:rPr>
          <w:rStyle w:val="TextoNormalNegritaCaracter"/>
        </w:rPr>
        <w:t>Artículo 242.6.</w:t>
      </w:r>
      <w:r w:rsidRPr="00DD47EB">
        <w:rPr>
          <w:rStyle w:val="TextoNormalCaracter"/>
        </w:rPr>
        <w:t>-</w:t>
      </w:r>
      <w:r>
        <w:t xml:space="preserve"> Sentencia </w:t>
      </w:r>
      <w:hyperlink w:anchor="SENTENCIA_2015_29" w:history="1">
        <w:r w:rsidRPr="00DD47EB">
          <w:rPr>
            <w:rStyle w:val="TextoNormalCaracter"/>
          </w:rPr>
          <w:t>29/2015</w:t>
        </w:r>
      </w:hyperlink>
      <w:r>
        <w:t>, ff. 4, 5.</w:t>
      </w:r>
    </w:p>
    <w:p w:rsidR="00DD47EB" w:rsidRDefault="00DD47EB" w:rsidP="00DD47EB">
      <w:pPr>
        <w:pStyle w:val="SangriaFrancesaArticulo"/>
      </w:pPr>
    </w:p>
    <w:p w:rsidR="00DD47EB" w:rsidRDefault="00DD47EB" w:rsidP="00DD47EB">
      <w:pPr>
        <w:pStyle w:val="TextoNormalNegritaCursivandice"/>
      </w:pPr>
      <w:r>
        <w:t>Real Decreto Legislativo 1/1993, de 24 de septiembre. Texto refundido de la Ley del impuesto sobre transmisiones patrimoniales y actos jurídicos documentados</w:t>
      </w:r>
    </w:p>
    <w:p w:rsidR="00DD47EB" w:rsidRDefault="00DD47EB" w:rsidP="00DD47EB">
      <w:pPr>
        <w:pStyle w:val="SangriaFrancesaArticulo"/>
      </w:pPr>
      <w:r w:rsidRPr="00DD47EB">
        <w:rPr>
          <w:rStyle w:val="TextoNormalNegritaCaracter"/>
        </w:rPr>
        <w:t>Artículo 49.1 a).</w:t>
      </w:r>
      <w:r w:rsidRPr="00DD47EB">
        <w:rPr>
          <w:rStyle w:val="TextoNormalCaracter"/>
        </w:rPr>
        <w:t>-</w:t>
      </w:r>
      <w:r>
        <w:t xml:space="preserve"> Sentencia </w:t>
      </w:r>
      <w:hyperlink w:anchor="SENTENCIA_2015_77" w:history="1">
        <w:r w:rsidRPr="00DD47EB">
          <w:rPr>
            <w:rStyle w:val="TextoNormalCaracter"/>
          </w:rPr>
          <w:t>77/2015</w:t>
        </w:r>
      </w:hyperlink>
      <w:r>
        <w:t>, f. 4.</w:t>
      </w:r>
    </w:p>
    <w:p w:rsidR="00DD47EB" w:rsidRDefault="00DD47EB" w:rsidP="00DD47EB">
      <w:pPr>
        <w:pStyle w:val="SangriaFrancesaArticulo"/>
      </w:pPr>
    </w:p>
    <w:p w:rsidR="00DD47EB" w:rsidRDefault="00DD47EB" w:rsidP="00DD47EB">
      <w:pPr>
        <w:pStyle w:val="TextoNormalNegritaCursivandice"/>
      </w:pPr>
      <w:r>
        <w:t>Real Decreto Legislativo 1/1994, de 20 de junio. Texto refundido de la Ley general de la Seguridad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9" w:history="1">
        <w:r w:rsidRPr="00DD47EB">
          <w:rPr>
            <w:rStyle w:val="TextoNormalCaracter"/>
          </w:rPr>
          <w:t>49/2015</w:t>
        </w:r>
      </w:hyperlink>
      <w:r>
        <w:t xml:space="preserve">, f. 5; </w:t>
      </w:r>
      <w:hyperlink w:anchor="SENTENCIA_2015_66" w:history="1">
        <w:r w:rsidRPr="00DD47EB">
          <w:rPr>
            <w:rStyle w:val="TextoNormalCaracter"/>
          </w:rPr>
          <w:t>66/2015</w:t>
        </w:r>
      </w:hyperlink>
      <w:r>
        <w:t xml:space="preserve">, f. 6; </w:t>
      </w:r>
      <w:hyperlink w:anchor="SENTENCIA_2015_110" w:history="1">
        <w:r w:rsidRPr="00DD47EB">
          <w:rPr>
            <w:rStyle w:val="TextoNormalCaracter"/>
          </w:rPr>
          <w:t>110/2015</w:t>
        </w:r>
      </w:hyperlink>
      <w:r>
        <w:t>, f. 4.</w:t>
      </w:r>
    </w:p>
    <w:p w:rsidR="00DD47EB" w:rsidRDefault="00DD47EB" w:rsidP="00DD47EB">
      <w:pPr>
        <w:pStyle w:val="SangriaIzquierdaArticulo"/>
      </w:pPr>
      <w:r>
        <w:t xml:space="preserve">Auto </w:t>
      </w:r>
      <w:hyperlink w:anchor="AUTO_2015_69" w:history="1">
        <w:r w:rsidRPr="00DD47EB">
          <w:rPr>
            <w:rStyle w:val="TextoNormalCaracter"/>
          </w:rPr>
          <w:t>69/2015</w:t>
        </w:r>
      </w:hyperlink>
      <w:r>
        <w:t>, f. 1.</w:t>
      </w:r>
    </w:p>
    <w:p w:rsidR="00DD47EB" w:rsidRDefault="00DD47EB" w:rsidP="00DD47EB">
      <w:pPr>
        <w:pStyle w:val="SangriaFrancesaArticulo"/>
      </w:pPr>
      <w:r w:rsidRPr="00DD47EB">
        <w:rPr>
          <w:rStyle w:val="TextoNormalNegritaCaracter"/>
        </w:rPr>
        <w:t>Articulo 48.</w:t>
      </w:r>
      <w:r w:rsidRPr="00DD47EB">
        <w:rPr>
          <w:rStyle w:val="TextoNormalCaracter"/>
        </w:rPr>
        <w:t>-</w:t>
      </w:r>
      <w:r>
        <w:t xml:space="preserve"> Sentencia </w:t>
      </w:r>
      <w:hyperlink w:anchor="SENTENCIA_2015_49" w:history="1">
        <w:r w:rsidRPr="00DD47EB">
          <w:rPr>
            <w:rStyle w:val="TextoNormalCaracter"/>
          </w:rPr>
          <w:t>49/2015</w:t>
        </w:r>
      </w:hyperlink>
      <w:r>
        <w:t>, ff. 2, 3.</w:t>
      </w:r>
    </w:p>
    <w:p w:rsidR="00DD47EB" w:rsidRDefault="00DD47EB" w:rsidP="00DD47EB">
      <w:pPr>
        <w:pStyle w:val="SangriaFrancesaArticulo"/>
      </w:pPr>
      <w:r w:rsidRPr="00DD47EB">
        <w:rPr>
          <w:rStyle w:val="TextoNormalNegritaCaracter"/>
        </w:rPr>
        <w:t>Artículo 48.</w:t>
      </w:r>
      <w:r w:rsidRPr="00DD47EB">
        <w:rPr>
          <w:rStyle w:val="TextoNormalCaracter"/>
        </w:rPr>
        <w:t>-</w:t>
      </w:r>
      <w:r>
        <w:t xml:space="preserve"> Sentencia </w:t>
      </w:r>
      <w:hyperlink w:anchor="SENTENCIA_2015_95" w:history="1">
        <w:r w:rsidRPr="00DD47EB">
          <w:rPr>
            <w:rStyle w:val="TextoNormalCaracter"/>
          </w:rPr>
          <w:t>95/2015</w:t>
        </w:r>
      </w:hyperlink>
      <w:r>
        <w:t>, f. 4.</w:t>
      </w:r>
    </w:p>
    <w:p w:rsidR="00DD47EB" w:rsidRDefault="00DD47EB" w:rsidP="00DD47EB">
      <w:pPr>
        <w:pStyle w:val="SangriaFrancesaArticulo"/>
      </w:pPr>
      <w:r w:rsidRPr="00DD47EB">
        <w:rPr>
          <w:rStyle w:val="TextoNormalNegritaCaracter"/>
        </w:rPr>
        <w:t>Artículo 48.1.</w:t>
      </w:r>
      <w:r w:rsidRPr="00DD47EB">
        <w:rPr>
          <w:rStyle w:val="TextoNormalCaracter"/>
        </w:rPr>
        <w:t>-</w:t>
      </w:r>
      <w:r>
        <w:t xml:space="preserve"> Sentencia </w:t>
      </w:r>
      <w:hyperlink w:anchor="SENTENCIA_2015_95" w:history="1">
        <w:r w:rsidRPr="00DD47EB">
          <w:rPr>
            <w:rStyle w:val="TextoNormalCaracter"/>
          </w:rPr>
          <w:t>95/2015</w:t>
        </w:r>
      </w:hyperlink>
      <w:r>
        <w:t>, f. 4.</w:t>
      </w:r>
    </w:p>
    <w:p w:rsidR="00DD47EB" w:rsidRDefault="00DD47EB" w:rsidP="00DD47EB">
      <w:pPr>
        <w:pStyle w:val="SangriaFrancesaArticulo"/>
      </w:pPr>
      <w:r w:rsidRPr="00DD47EB">
        <w:rPr>
          <w:rStyle w:val="TextoNormalNegritaCaracter"/>
        </w:rPr>
        <w:t>Artículo 48.1.1.</w:t>
      </w:r>
      <w:r w:rsidRPr="00DD47EB">
        <w:rPr>
          <w:rStyle w:val="TextoNormalCaracter"/>
        </w:rPr>
        <w:t>-</w:t>
      </w:r>
      <w:r>
        <w:t xml:space="preserve"> Sentencias </w:t>
      </w:r>
      <w:hyperlink w:anchor="SENTENCIA_2015_49" w:history="1">
        <w:r w:rsidRPr="00DD47EB">
          <w:rPr>
            <w:rStyle w:val="TextoNormalCaracter"/>
          </w:rPr>
          <w:t>49/2015</w:t>
        </w:r>
      </w:hyperlink>
      <w:r>
        <w:t xml:space="preserve">, ff. 2, 5; </w:t>
      </w:r>
      <w:hyperlink w:anchor="SENTENCIA_2015_95" w:history="1">
        <w:r w:rsidRPr="00DD47EB">
          <w:rPr>
            <w:rStyle w:val="TextoNormalCaracter"/>
          </w:rPr>
          <w:t>95/2015</w:t>
        </w:r>
      </w:hyperlink>
      <w:r>
        <w:t>, f. 4.</w:t>
      </w:r>
    </w:p>
    <w:p w:rsidR="00DD47EB" w:rsidRDefault="00DD47EB" w:rsidP="00DD47EB">
      <w:pPr>
        <w:pStyle w:val="SangriaFrancesaArticulo"/>
      </w:pPr>
      <w:r w:rsidRPr="00DD47EB">
        <w:rPr>
          <w:rStyle w:val="TextoNormalNegritaCaracter"/>
        </w:rPr>
        <w:t>Artículo 48.1.2.</w:t>
      </w:r>
      <w:r w:rsidRPr="00DD47EB">
        <w:rPr>
          <w:rStyle w:val="TextoNormalCaracter"/>
        </w:rPr>
        <w:t>-</w:t>
      </w:r>
      <w:r>
        <w:t xml:space="preserve"> Sentencias </w:t>
      </w:r>
      <w:hyperlink w:anchor="SENTENCIA_2015_49" w:history="1">
        <w:r w:rsidRPr="00DD47EB">
          <w:rPr>
            <w:rStyle w:val="TextoNormalCaracter"/>
          </w:rPr>
          <w:t>49/2015</w:t>
        </w:r>
      </w:hyperlink>
      <w:r>
        <w:t xml:space="preserve">, ff. 2, 3, 5, VP; </w:t>
      </w:r>
      <w:hyperlink w:anchor="SENTENCIA_2015_95" w:history="1">
        <w:r w:rsidRPr="00DD47EB">
          <w:rPr>
            <w:rStyle w:val="TextoNormalCaracter"/>
          </w:rPr>
          <w:t>95/2015</w:t>
        </w:r>
      </w:hyperlink>
      <w:r>
        <w:t xml:space="preserve">, ff. 1, 4, 6; </w:t>
      </w:r>
      <w:hyperlink w:anchor="SENTENCIA_2015_109" w:history="1">
        <w:r w:rsidRPr="00DD47EB">
          <w:rPr>
            <w:rStyle w:val="TextoNormalCaracter"/>
          </w:rPr>
          <w:t>109/2015</w:t>
        </w:r>
      </w:hyperlink>
      <w:r>
        <w:t xml:space="preserve">, f. 2; </w:t>
      </w:r>
      <w:hyperlink w:anchor="SENTENCIA_2015_116" w:history="1">
        <w:r w:rsidRPr="00DD47EB">
          <w:rPr>
            <w:rStyle w:val="TextoNormalCaracter"/>
          </w:rPr>
          <w:t>116/2015</w:t>
        </w:r>
      </w:hyperlink>
      <w:r>
        <w:t xml:space="preserve">, f. 2; </w:t>
      </w:r>
      <w:hyperlink w:anchor="SENTENCIA_2015_117" w:history="1">
        <w:r w:rsidRPr="00DD47EB">
          <w:rPr>
            <w:rStyle w:val="TextoNormalCaracter"/>
          </w:rPr>
          <w:t>117/2015</w:t>
        </w:r>
      </w:hyperlink>
      <w:r>
        <w:t xml:space="preserve">, f. 3; </w:t>
      </w:r>
      <w:hyperlink w:anchor="SENTENCIA_2015_118" w:history="1">
        <w:r w:rsidRPr="00DD47EB">
          <w:rPr>
            <w:rStyle w:val="TextoNormalCaracter"/>
          </w:rPr>
          <w:t>118/2015</w:t>
        </w:r>
      </w:hyperlink>
      <w:r>
        <w:t xml:space="preserve">, f. 2; </w:t>
      </w:r>
      <w:hyperlink w:anchor="SENTENCIA_2015_119" w:history="1">
        <w:r w:rsidRPr="00DD47EB">
          <w:rPr>
            <w:rStyle w:val="TextoNormalCaracter"/>
          </w:rPr>
          <w:t>119/2015</w:t>
        </w:r>
      </w:hyperlink>
      <w:r>
        <w:t xml:space="preserve">, f. 2; </w:t>
      </w:r>
      <w:hyperlink w:anchor="SENTENCIA_2015_120" w:history="1">
        <w:r w:rsidRPr="00DD47EB">
          <w:rPr>
            <w:rStyle w:val="TextoNormalCaracter"/>
          </w:rPr>
          <w:t>120/2015</w:t>
        </w:r>
      </w:hyperlink>
      <w:r>
        <w:t xml:space="preserve">, f. 2; </w:t>
      </w:r>
      <w:hyperlink w:anchor="SENTENCIA_2015_121" w:history="1">
        <w:r w:rsidRPr="00DD47EB">
          <w:rPr>
            <w:rStyle w:val="TextoNormalCaracter"/>
          </w:rPr>
          <w:t>121/2015</w:t>
        </w:r>
      </w:hyperlink>
      <w:r>
        <w:t xml:space="preserve">, f. 2; </w:t>
      </w:r>
      <w:hyperlink w:anchor="SENTENCIA_2015_122" w:history="1">
        <w:r w:rsidRPr="00DD47EB">
          <w:rPr>
            <w:rStyle w:val="TextoNormalCaracter"/>
          </w:rPr>
          <w:t>122/2015</w:t>
        </w:r>
      </w:hyperlink>
      <w:r>
        <w:t xml:space="preserve">, f. 2; </w:t>
      </w:r>
      <w:hyperlink w:anchor="SENTENCIA_2015_123" w:history="1">
        <w:r w:rsidRPr="00DD47EB">
          <w:rPr>
            <w:rStyle w:val="TextoNormalCaracter"/>
          </w:rPr>
          <w:t>123/2015</w:t>
        </w:r>
      </w:hyperlink>
      <w:r>
        <w:t xml:space="preserve">, f. 2; </w:t>
      </w:r>
      <w:hyperlink w:anchor="SENTENCIA_2015_125" w:history="1">
        <w:r w:rsidRPr="00DD47EB">
          <w:rPr>
            <w:rStyle w:val="TextoNormalCaracter"/>
          </w:rPr>
          <w:t>125/2015</w:t>
        </w:r>
      </w:hyperlink>
      <w:r>
        <w:t xml:space="preserve">, f. 2; </w:t>
      </w:r>
      <w:hyperlink w:anchor="SENTENCIA_2015_126" w:history="1">
        <w:r w:rsidRPr="00DD47EB">
          <w:rPr>
            <w:rStyle w:val="TextoNormalCaracter"/>
          </w:rPr>
          <w:t>126/2015</w:t>
        </w:r>
      </w:hyperlink>
      <w:r>
        <w:t xml:space="preserve">, f. 2; </w:t>
      </w:r>
      <w:hyperlink w:anchor="SENTENCIA_2015_127" w:history="1">
        <w:r w:rsidRPr="00DD47EB">
          <w:rPr>
            <w:rStyle w:val="TextoNormalCaracter"/>
          </w:rPr>
          <w:t>127/2015</w:t>
        </w:r>
      </w:hyperlink>
      <w:r>
        <w:t xml:space="preserve">, f. 2; </w:t>
      </w:r>
      <w:hyperlink w:anchor="SENTENCIA_2015_128" w:history="1">
        <w:r w:rsidRPr="00DD47EB">
          <w:rPr>
            <w:rStyle w:val="TextoNormalCaracter"/>
          </w:rPr>
          <w:t>128/2015</w:t>
        </w:r>
      </w:hyperlink>
      <w:r>
        <w:t xml:space="preserve">, f. 2; </w:t>
      </w:r>
      <w:hyperlink w:anchor="SENTENCIA_2015_129" w:history="1">
        <w:r w:rsidRPr="00DD47EB">
          <w:rPr>
            <w:rStyle w:val="TextoNormalCaracter"/>
          </w:rPr>
          <w:t>129/2015</w:t>
        </w:r>
      </w:hyperlink>
      <w:r>
        <w:t xml:space="preserve">, f. 2;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f. 2; </w:t>
      </w:r>
      <w:hyperlink w:anchor="SENTENCIA_2015_132" w:history="1">
        <w:r w:rsidRPr="00DD47EB">
          <w:rPr>
            <w:rStyle w:val="TextoNormalCaracter"/>
          </w:rPr>
          <w:t>132/2015</w:t>
        </w:r>
      </w:hyperlink>
      <w:r>
        <w:t xml:space="preserve">, f. 2; </w:t>
      </w:r>
      <w:hyperlink w:anchor="SENTENCIA_2015_133" w:history="1">
        <w:r w:rsidRPr="00DD47EB">
          <w:rPr>
            <w:rStyle w:val="TextoNormalCaracter"/>
          </w:rPr>
          <w:t>133/2015</w:t>
        </w:r>
      </w:hyperlink>
      <w:r>
        <w:t xml:space="preserve">, f. 2; </w:t>
      </w:r>
      <w:hyperlink w:anchor="SENTENCIA_2015_134" w:history="1">
        <w:r w:rsidRPr="00DD47EB">
          <w:rPr>
            <w:rStyle w:val="TextoNormalCaracter"/>
          </w:rPr>
          <w:t>134/2015</w:t>
        </w:r>
      </w:hyperlink>
      <w:r>
        <w:t xml:space="preserve">, f. 2; </w:t>
      </w:r>
      <w:hyperlink w:anchor="SENTENCIA_2015_135" w:history="1">
        <w:r w:rsidRPr="00DD47EB">
          <w:rPr>
            <w:rStyle w:val="TextoNormalCaracter"/>
          </w:rPr>
          <w:t>135/2015</w:t>
        </w:r>
      </w:hyperlink>
      <w:r>
        <w:t xml:space="preserve">, f. 2; </w:t>
      </w:r>
      <w:hyperlink w:anchor="SENTENCIA_2015_144" w:history="1">
        <w:r w:rsidRPr="00DD47EB">
          <w:rPr>
            <w:rStyle w:val="TextoNormalCaracter"/>
          </w:rPr>
          <w:t>144/2015</w:t>
        </w:r>
      </w:hyperlink>
      <w:r>
        <w:t>, f. 2.</w:t>
      </w:r>
    </w:p>
    <w:p w:rsidR="00DD47EB" w:rsidRDefault="00DD47EB" w:rsidP="00DD47EB">
      <w:pPr>
        <w:pStyle w:val="SangriaFrancesaArticulo"/>
      </w:pPr>
      <w:r w:rsidRPr="00DD47EB">
        <w:rPr>
          <w:rStyle w:val="TextoNormalNegritaCaracter"/>
        </w:rPr>
        <w:t>Artículo 48.2.1.</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r w:rsidRPr="00DD47EB">
        <w:rPr>
          <w:rStyle w:val="TextoNormalNegritaCaracter"/>
        </w:rPr>
        <w:t>Artículo 129.1.</w:t>
      </w:r>
      <w:r w:rsidRPr="00DD47EB">
        <w:rPr>
          <w:rStyle w:val="TextoNormalCaracter"/>
        </w:rPr>
        <w:t>-</w:t>
      </w:r>
      <w:r>
        <w:t xml:space="preserve"> Sentencia </w:t>
      </w:r>
      <w:hyperlink w:anchor="SENTENCIA_2015_84" w:history="1">
        <w:r w:rsidRPr="00DD47EB">
          <w:rPr>
            <w:rStyle w:val="TextoNormalCaracter"/>
          </w:rPr>
          <w:t>84/2015</w:t>
        </w:r>
      </w:hyperlink>
      <w:r>
        <w:t>, f. 7.</w:t>
      </w:r>
    </w:p>
    <w:p w:rsidR="00DD47EB" w:rsidRDefault="00DD47EB" w:rsidP="00DD47EB">
      <w:pPr>
        <w:pStyle w:val="SangriaFrancesaArticulo"/>
      </w:pPr>
      <w:r w:rsidRPr="00DD47EB">
        <w:rPr>
          <w:rStyle w:val="TextoNormalNegritaCaracter"/>
        </w:rPr>
        <w:t>Artículo 140.</w:t>
      </w:r>
      <w:r w:rsidRPr="00DD47EB">
        <w:rPr>
          <w:rStyle w:val="TextoNormalCaracter"/>
        </w:rPr>
        <w:t>-</w:t>
      </w:r>
      <w:r>
        <w:t xml:space="preserve"> Sentencia </w:t>
      </w:r>
      <w:hyperlink w:anchor="SENTENCIA_2015_110" w:history="1">
        <w:r w:rsidRPr="00DD47EB">
          <w:rPr>
            <w:rStyle w:val="TextoNormalCaracter"/>
          </w:rPr>
          <w:t>110/2015</w:t>
        </w:r>
      </w:hyperlink>
      <w:r>
        <w:t>, ff. 1, 4.</w:t>
      </w:r>
    </w:p>
    <w:p w:rsidR="00DD47EB" w:rsidRDefault="00DD47EB" w:rsidP="00DD47EB">
      <w:pPr>
        <w:pStyle w:val="SangriaFrancesaArticulo"/>
      </w:pPr>
      <w:r w:rsidRPr="00DD47EB">
        <w:rPr>
          <w:rStyle w:val="TextoNormalNegritaCaracter"/>
        </w:rPr>
        <w:t>Artículo 140.4</w:t>
      </w:r>
      <w:r>
        <w:t xml:space="preserve"> (redactado por la Ley 27/2011, de 1 de agosto)</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 f. 4.</w:t>
      </w:r>
    </w:p>
    <w:p w:rsidR="00DD47EB" w:rsidRDefault="00DD47EB" w:rsidP="00DD47EB">
      <w:pPr>
        <w:pStyle w:val="SangriaFrancesaArticulo"/>
      </w:pPr>
      <w:r w:rsidRPr="00DD47EB">
        <w:rPr>
          <w:rStyle w:val="TextoNormalNegritaCaracter"/>
        </w:rPr>
        <w:t>Artículo 140.4</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 f. 4.</w:t>
      </w:r>
    </w:p>
    <w:p w:rsidR="00DD47EB" w:rsidRDefault="00DD47EB" w:rsidP="00DD47EB">
      <w:pPr>
        <w:pStyle w:val="SangriaFrancesaArticulo"/>
      </w:pPr>
      <w:r w:rsidRPr="00DD47EB">
        <w:rPr>
          <w:rStyle w:val="TextoNormalNegritaCaracter"/>
        </w:rPr>
        <w:t>Artículo 162.</w:t>
      </w:r>
      <w:r w:rsidRPr="00DD47EB">
        <w:rPr>
          <w:rStyle w:val="TextoNormalCaracter"/>
        </w:rPr>
        <w:t>-</w:t>
      </w:r>
      <w:r>
        <w:t xml:space="preserve"> Sentencia </w:t>
      </w:r>
      <w:hyperlink w:anchor="SENTENCIA_2015_110" w:history="1">
        <w:r w:rsidRPr="00DD47EB">
          <w:rPr>
            <w:rStyle w:val="TextoNormalCaracter"/>
          </w:rPr>
          <w:t>110/2015</w:t>
        </w:r>
      </w:hyperlink>
      <w:r>
        <w:t>, ff. 1, 4.</w:t>
      </w:r>
    </w:p>
    <w:p w:rsidR="00DD47EB" w:rsidRDefault="00DD47EB" w:rsidP="00DD47EB">
      <w:pPr>
        <w:pStyle w:val="SangriaFrancesaArticulo"/>
      </w:pPr>
      <w:r w:rsidRPr="00DD47EB">
        <w:rPr>
          <w:rStyle w:val="TextoNormalNegritaCaracter"/>
        </w:rPr>
        <w:t>Artículo 162.1.1.</w:t>
      </w:r>
      <w:r w:rsidRPr="00DD47EB">
        <w:rPr>
          <w:rStyle w:val="TextoNormalCaracter"/>
        </w:rPr>
        <w:t>-</w:t>
      </w:r>
      <w:r>
        <w:t xml:space="preserve"> Sentencia </w:t>
      </w:r>
      <w:hyperlink w:anchor="SENTENCIA_2015_110" w:history="1">
        <w:r w:rsidRPr="00DD47EB">
          <w:rPr>
            <w:rStyle w:val="TextoNormalCaracter"/>
          </w:rPr>
          <w:t>110/2015</w:t>
        </w:r>
      </w:hyperlink>
      <w:r>
        <w:t>, f. 3.</w:t>
      </w:r>
    </w:p>
    <w:p w:rsidR="00DD47EB" w:rsidRDefault="00DD47EB" w:rsidP="00DD47EB">
      <w:pPr>
        <w:pStyle w:val="SangriaFrancesaArticulo"/>
      </w:pPr>
      <w:r w:rsidRPr="00DD47EB">
        <w:rPr>
          <w:rStyle w:val="TextoNormalNegritaCaracter"/>
        </w:rPr>
        <w:t>Artículo 162.1.1.2</w:t>
      </w:r>
      <w:r>
        <w:t xml:space="preserve"> (redactado por la Ley 27/2011, de 1 de agosto)</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 f. 4.</w:t>
      </w:r>
    </w:p>
    <w:p w:rsidR="00DD47EB" w:rsidRDefault="00DD47EB" w:rsidP="00DD47EB">
      <w:pPr>
        <w:pStyle w:val="SangriaFrancesaArticulo"/>
      </w:pPr>
      <w:r w:rsidRPr="00DD47EB">
        <w:rPr>
          <w:rStyle w:val="TextoNormalNegritaCaracter"/>
        </w:rPr>
        <w:t>Artículo 162.1.1.2</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 f. 4.</w:t>
      </w:r>
    </w:p>
    <w:p w:rsidR="00DD47EB" w:rsidRDefault="00DD47EB" w:rsidP="00DD47EB">
      <w:pPr>
        <w:pStyle w:val="SangriaFrancesaArticulo"/>
      </w:pPr>
      <w:r w:rsidRPr="00DD47EB">
        <w:rPr>
          <w:rStyle w:val="TextoNormalNegritaCaracter"/>
        </w:rPr>
        <w:t>Artículo 162.1.2.</w:t>
      </w:r>
      <w:r w:rsidRPr="00DD47EB">
        <w:rPr>
          <w:rStyle w:val="TextoNormalCaracter"/>
        </w:rPr>
        <w:t>-</w:t>
      </w:r>
      <w:r>
        <w:t xml:space="preserve"> Sentencia </w:t>
      </w:r>
      <w:hyperlink w:anchor="SENTENCIA_2015_110" w:history="1">
        <w:r w:rsidRPr="00DD47EB">
          <w:rPr>
            <w:rStyle w:val="TextoNormalCaracter"/>
          </w:rPr>
          <w:t>110/2015</w:t>
        </w:r>
      </w:hyperlink>
      <w:r>
        <w:t>, f. 3.</w:t>
      </w:r>
    </w:p>
    <w:p w:rsidR="00DD47EB" w:rsidRDefault="00DD47EB" w:rsidP="00DD47EB">
      <w:pPr>
        <w:pStyle w:val="SangriaFrancesaArticulo"/>
      </w:pPr>
      <w:r w:rsidRPr="00DD47EB">
        <w:rPr>
          <w:rStyle w:val="TextoNormalNegritaCaracter"/>
        </w:rPr>
        <w:t>Artículo 174.2.1, segundo inciso</w:t>
      </w:r>
      <w:r>
        <w:t xml:space="preserve"> (redactado por la Ley 40/2007, de 4 de diciembre)</w:t>
      </w:r>
      <w:r w:rsidRPr="00DD47EB">
        <w:rPr>
          <w:rStyle w:val="TextoNormalNegritaCaracter"/>
        </w:rPr>
        <w:t>.</w:t>
      </w:r>
      <w:r w:rsidRPr="00DD47EB">
        <w:rPr>
          <w:rStyle w:val="TextoNormalCaracter"/>
        </w:rPr>
        <w:t>-</w:t>
      </w:r>
      <w:r>
        <w:t xml:space="preserve"> Sentencia </w:t>
      </w:r>
      <w:hyperlink w:anchor="SENTENCIA_2015_79" w:history="1">
        <w:r w:rsidRPr="00DD47EB">
          <w:rPr>
            <w:rStyle w:val="TextoNormalCaracter"/>
          </w:rPr>
          <w:t>79/2015</w:t>
        </w:r>
      </w:hyperlink>
      <w:r>
        <w:t>, ff. 1, 2, 5.</w:t>
      </w:r>
    </w:p>
    <w:p w:rsidR="00DD47EB" w:rsidRDefault="00DD47EB" w:rsidP="00DD47EB">
      <w:pPr>
        <w:pStyle w:val="SangriaFrancesaArticulo"/>
      </w:pPr>
      <w:r w:rsidRPr="00DD47EB">
        <w:rPr>
          <w:rStyle w:val="TextoNormalNegritaCaracter"/>
        </w:rPr>
        <w:t>Artículo 209.4</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215.1.3.</w:t>
      </w:r>
      <w:r w:rsidRPr="00DD47EB">
        <w:rPr>
          <w:rStyle w:val="TextoNormalCaracter"/>
        </w:rPr>
        <w:t>-</w:t>
      </w:r>
      <w:r>
        <w:t xml:space="preserve"> Sentencia </w:t>
      </w:r>
      <w:hyperlink w:anchor="SENTENCIA_2015_66" w:history="1">
        <w:r w:rsidRPr="00DD47EB">
          <w:rPr>
            <w:rStyle w:val="TextoNormalCaracter"/>
          </w:rPr>
          <w:t>66/2015</w:t>
        </w:r>
      </w:hyperlink>
      <w:r>
        <w:t>, f. 6.</w:t>
      </w:r>
    </w:p>
    <w:p w:rsidR="00DD47EB" w:rsidRDefault="00DD47EB" w:rsidP="00DD47EB">
      <w:pPr>
        <w:pStyle w:val="SangriaFrancesaArticulo"/>
      </w:pPr>
      <w:r w:rsidRPr="00DD47EB">
        <w:rPr>
          <w:rStyle w:val="TextoNormalNegritaCaracter"/>
        </w:rPr>
        <w:t>Artículo 231.1.</w:t>
      </w:r>
      <w:r w:rsidRPr="00DD47EB">
        <w:rPr>
          <w:rStyle w:val="TextoNormalCaracter"/>
        </w:rPr>
        <w:t>-</w:t>
      </w:r>
      <w:r>
        <w:t xml:space="preserve"> Sentencia </w:t>
      </w:r>
      <w:hyperlink w:anchor="SENTENCIA_2015_27" w:history="1">
        <w:r w:rsidRPr="00DD47EB">
          <w:rPr>
            <w:rStyle w:val="TextoNormalCaracter"/>
          </w:rPr>
          <w:t>27/2015</w:t>
        </w:r>
      </w:hyperlink>
      <w:r>
        <w:t>, f. 1.</w:t>
      </w:r>
    </w:p>
    <w:p w:rsidR="00DD47EB" w:rsidRDefault="00DD47EB" w:rsidP="00DD47EB">
      <w:pPr>
        <w:pStyle w:val="SangriaFrancesaArticulo"/>
      </w:pPr>
      <w:r w:rsidRPr="00DD47EB">
        <w:rPr>
          <w:rStyle w:val="TextoNormalNegritaCaracter"/>
        </w:rPr>
        <w:t>Disposición adicional séptima.</w:t>
      </w:r>
      <w:r w:rsidRPr="00DD47EB">
        <w:rPr>
          <w:rStyle w:val="TextoNormalCaracter"/>
        </w:rPr>
        <w:t>-</w:t>
      </w:r>
      <w:r>
        <w:t xml:space="preserve"> Sentencia </w:t>
      </w:r>
      <w:hyperlink w:anchor="SENTENCIA_2015_110" w:history="1">
        <w:r w:rsidRPr="00DD47EB">
          <w:rPr>
            <w:rStyle w:val="TextoNormalCaracter"/>
          </w:rPr>
          <w:t>110/2015</w:t>
        </w:r>
      </w:hyperlink>
      <w:r>
        <w:t>, f. 1.</w:t>
      </w:r>
    </w:p>
    <w:p w:rsidR="00DD47EB" w:rsidRDefault="00DD47EB" w:rsidP="00DD47EB">
      <w:pPr>
        <w:pStyle w:val="SangriaFrancesaArticulo"/>
      </w:pPr>
      <w:r w:rsidRPr="00DD47EB">
        <w:rPr>
          <w:rStyle w:val="TextoNormalNegritaCaracter"/>
        </w:rPr>
        <w:t>Disposición adicional séptima, apartado 1 regla 3 a)</w:t>
      </w:r>
      <w:r>
        <w:t xml:space="preserve"> (redactado por la Ley Orgánica 3/2007, de 22 de marzo)</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 ff. 1 a 6, 8, 11, VP.</w:t>
      </w:r>
    </w:p>
    <w:p w:rsidR="00DD47EB" w:rsidRDefault="00DD47EB" w:rsidP="00DD47EB">
      <w:pPr>
        <w:pStyle w:val="SangriaFrancesaArticulo"/>
      </w:pPr>
      <w:r w:rsidRPr="00DD47EB">
        <w:rPr>
          <w:rStyle w:val="TextoNormalNegritaCaracter"/>
        </w:rPr>
        <w:t>Disposición adicional séptima, apartado 1 regla 3 b)</w:t>
      </w:r>
      <w:r>
        <w:t xml:space="preserve"> (redactado por el Real Decreto-ley 15/1998, de 27 de noviembre)</w:t>
      </w:r>
      <w:r w:rsidRPr="00DD47EB">
        <w:rPr>
          <w:rStyle w:val="TextoNormalNegritaCaracter"/>
        </w:rPr>
        <w:t>.</w:t>
      </w:r>
      <w:r w:rsidRPr="00DD47EB">
        <w:rPr>
          <w:rStyle w:val="TextoNormalCaracter"/>
        </w:rPr>
        <w:t>-</w:t>
      </w:r>
      <w:r>
        <w:t xml:space="preserve"> Sentencia </w:t>
      </w:r>
      <w:hyperlink w:anchor="SENTENCIA_2015_110" w:history="1">
        <w:r w:rsidRPr="00DD47EB">
          <w:rPr>
            <w:rStyle w:val="TextoNormalCaracter"/>
          </w:rPr>
          <w:t>110/2015</w:t>
        </w:r>
      </w:hyperlink>
      <w:r>
        <w:t>, ff. 1, 2, 4, 5, 8 a 11, VP.</w:t>
      </w:r>
    </w:p>
    <w:p w:rsidR="00DD47EB" w:rsidRDefault="00DD47EB" w:rsidP="00DD47EB">
      <w:pPr>
        <w:pStyle w:val="SangriaFrancesaArticulo"/>
      </w:pPr>
    </w:p>
    <w:p w:rsidR="00DD47EB" w:rsidRDefault="00DD47EB" w:rsidP="00DD47EB">
      <w:pPr>
        <w:pStyle w:val="TextoNormalNegritaCursivandice"/>
      </w:pPr>
      <w:r>
        <w:t>Real Decreto Legislativo 1/1995, de 24 de marzo. Texto refundido de la Ley del estatuto de los trabajadores</w:t>
      </w:r>
    </w:p>
    <w:p w:rsidR="00DD47EB" w:rsidRDefault="00DD47EB" w:rsidP="00DD47EB">
      <w:pPr>
        <w:pStyle w:val="SangriaFrancesaArticulo"/>
      </w:pPr>
      <w:r w:rsidRPr="00DD47EB">
        <w:rPr>
          <w:rStyle w:val="TextoNormalNegritaCaracter"/>
        </w:rPr>
        <w:t>Título III.</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140" w:history="1">
        <w:r w:rsidRPr="00DD47EB">
          <w:rPr>
            <w:rStyle w:val="TextoNormalCaracter"/>
          </w:rPr>
          <w:t>140/2015</w:t>
        </w:r>
      </w:hyperlink>
      <w:r>
        <w:t>, f. 2.</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Sentencias </w:t>
      </w:r>
      <w:hyperlink w:anchor="SENTENCIA_2015_83" w:history="1">
        <w:r w:rsidRPr="00DD47EB">
          <w:rPr>
            <w:rStyle w:val="TextoNormalCaracter"/>
          </w:rPr>
          <w:t>83/2015</w:t>
        </w:r>
      </w:hyperlink>
      <w:r>
        <w:t xml:space="preserve">, f. 2; </w:t>
      </w:r>
      <w:hyperlink w:anchor="SENTENCIA_2015_114" w:history="1">
        <w:r w:rsidRPr="00DD47EB">
          <w:rPr>
            <w:rStyle w:val="TextoNormalCaracter"/>
          </w:rPr>
          <w:t>114/2015</w:t>
        </w:r>
      </w:hyperlink>
      <w:r>
        <w:t>, f. 2.</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 1; </w:t>
      </w:r>
      <w:hyperlink w:anchor="AUTO_2015_10" w:history="1">
        <w:r w:rsidRPr="00DD47EB">
          <w:rPr>
            <w:rStyle w:val="TextoNormalCaracter"/>
          </w:rPr>
          <w:t>10/2015</w:t>
        </w:r>
      </w:hyperlink>
      <w:r>
        <w:t>, f. 1.</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w:t>
      </w:r>
      <w:r>
        <w:t xml:space="preserve"> (redactado por el Real Decreto-ley 7/2011, de 10 de junio)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w:t>
      </w:r>
      <w:r>
        <w:t xml:space="preserve"> (redactado por la Ley 35/2010,  de 17 de septiembre)</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41.1</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41.2</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41.3</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41.4</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41.5</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41.6</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46.</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47.</w:t>
      </w:r>
      <w:r w:rsidRPr="00DD47EB">
        <w:rPr>
          <w:rStyle w:val="TextoNormalCaracter"/>
        </w:rPr>
        <w:t>-</w:t>
      </w:r>
      <w:r>
        <w:t xml:space="preserve"> Sentencias </w:t>
      </w:r>
      <w:hyperlink w:anchor="SENTENCIA_2015_8" w:history="1">
        <w:r w:rsidRPr="00DD47EB">
          <w:rPr>
            <w:rStyle w:val="TextoNormalCaracter"/>
          </w:rPr>
          <w:t>8/2015</w:t>
        </w:r>
      </w:hyperlink>
      <w:r>
        <w:t xml:space="preserve">, ff. 8, 9;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47</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48.</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49.</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49.9.</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Artículo 50.</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50.1 a).</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51</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ff. 4, 7.</w:t>
      </w:r>
    </w:p>
    <w:p w:rsidR="00DD47EB" w:rsidRDefault="00DD47EB" w:rsidP="00DD47EB">
      <w:pPr>
        <w:pStyle w:val="SangriaFrancesaArticulo"/>
      </w:pPr>
      <w:r w:rsidRPr="00DD47EB">
        <w:rPr>
          <w:rStyle w:val="TextoNormalNegritaCaracter"/>
        </w:rPr>
        <w:t>Artículo 51.1.</w:t>
      </w:r>
      <w:r w:rsidRPr="00DD47EB">
        <w:rPr>
          <w:rStyle w:val="TextoNormalCaracter"/>
        </w:rPr>
        <w:t>-</w:t>
      </w:r>
      <w:r>
        <w:t xml:space="preserve"> Sentencia </w:t>
      </w:r>
      <w:hyperlink w:anchor="SENTENCIA_2015_66" w:history="1">
        <w:r w:rsidRPr="00DD47EB">
          <w:rPr>
            <w:rStyle w:val="TextoNormalCaracter"/>
          </w:rPr>
          <w:t>66/2015</w:t>
        </w:r>
      </w:hyperlink>
      <w:r>
        <w:t>, f. 6.</w:t>
      </w:r>
    </w:p>
    <w:p w:rsidR="00DD47EB" w:rsidRDefault="00DD47EB" w:rsidP="00DD47EB">
      <w:pPr>
        <w:pStyle w:val="SangriaFrancesaArticulo"/>
      </w:pPr>
      <w:r w:rsidRPr="00DD47EB">
        <w:rPr>
          <w:rStyle w:val="TextoNormalNegritaCaracter"/>
        </w:rPr>
        <w:t>Artículo 51.1</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Artículo 51.2</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7.</w:t>
      </w:r>
    </w:p>
    <w:p w:rsidR="00DD47EB" w:rsidRDefault="00DD47EB" w:rsidP="00DD47EB">
      <w:pPr>
        <w:pStyle w:val="SangriaFrancesaArticulo"/>
      </w:pPr>
      <w:r w:rsidRPr="00DD47EB">
        <w:rPr>
          <w:rStyle w:val="TextoNormalNegritaCaracter"/>
        </w:rPr>
        <w:t>Artículo 51.4.</w:t>
      </w:r>
      <w:r w:rsidRPr="00DD47EB">
        <w:rPr>
          <w:rStyle w:val="TextoNormalCaracter"/>
        </w:rPr>
        <w:t>-</w:t>
      </w:r>
      <w:r>
        <w:t xml:space="preserve"> Autos </w:t>
      </w:r>
      <w:hyperlink w:anchor="AUTO_2015_33" w:history="1">
        <w:r w:rsidRPr="00DD47EB">
          <w:rPr>
            <w:rStyle w:val="TextoNormalCaracter"/>
          </w:rPr>
          <w:t>33/2015</w:t>
        </w:r>
      </w:hyperlink>
      <w:r>
        <w:t xml:space="preserve">, f. 4; </w:t>
      </w:r>
      <w:hyperlink w:anchor="AUTO_2015_34" w:history="1">
        <w:r w:rsidRPr="00DD47EB">
          <w:rPr>
            <w:rStyle w:val="TextoNormalCaracter"/>
          </w:rPr>
          <w:t>34/2015</w:t>
        </w:r>
      </w:hyperlink>
      <w:r>
        <w:t xml:space="preserve">, f. 4; </w:t>
      </w:r>
      <w:hyperlink w:anchor="AUTO_2015_35" w:history="1">
        <w:r w:rsidRPr="00DD47EB">
          <w:rPr>
            <w:rStyle w:val="TextoNormalCaracter"/>
          </w:rPr>
          <w:t>35/2015</w:t>
        </w:r>
      </w:hyperlink>
      <w:r>
        <w:t>, f. 3.</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53.1.</w:t>
      </w:r>
      <w:r w:rsidRPr="00DD47EB">
        <w:rPr>
          <w:rStyle w:val="TextoNormalCaracter"/>
        </w:rPr>
        <w:t>-</w:t>
      </w:r>
      <w:r>
        <w:t xml:space="preserve"> Autos </w:t>
      </w:r>
      <w:hyperlink w:anchor="AUTO_2015_33" w:history="1">
        <w:r w:rsidRPr="00DD47EB">
          <w:rPr>
            <w:rStyle w:val="TextoNormalCaracter"/>
          </w:rPr>
          <w:t>33/2015</w:t>
        </w:r>
      </w:hyperlink>
      <w:r>
        <w:t xml:space="preserve">, f. 4; </w:t>
      </w:r>
      <w:hyperlink w:anchor="AUTO_2015_34" w:history="1">
        <w:r w:rsidRPr="00DD47EB">
          <w:rPr>
            <w:rStyle w:val="TextoNormalCaracter"/>
          </w:rPr>
          <w:t>34/2015</w:t>
        </w:r>
      </w:hyperlink>
      <w:r>
        <w:t xml:space="preserve">, f. 4; </w:t>
      </w:r>
      <w:hyperlink w:anchor="AUTO_2015_35" w:history="1">
        <w:r w:rsidRPr="00DD47EB">
          <w:rPr>
            <w:rStyle w:val="TextoNormalCaracter"/>
          </w:rPr>
          <w:t>35/2015</w:t>
        </w:r>
      </w:hyperlink>
      <w:r>
        <w:t>, f. 3.</w:t>
      </w:r>
    </w:p>
    <w:p w:rsidR="00DD47EB" w:rsidRDefault="00DD47EB" w:rsidP="00DD47EB">
      <w:pPr>
        <w:pStyle w:val="SangriaFrancesaArticulo"/>
      </w:pPr>
      <w:r w:rsidRPr="00DD47EB">
        <w:rPr>
          <w:rStyle w:val="TextoNormalNegritaCaracter"/>
        </w:rPr>
        <w:t>Artículo 54.</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55.</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56</w:t>
      </w:r>
      <w:r>
        <w:t xml:space="preserve"> (redactado por el Real Decreto-ley 3/2012, de 10 de febrero)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56</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56</w:t>
      </w:r>
      <w:r>
        <w:t xml:space="preserve"> (redactado por la Ley 45/2002, de 12 de diciembre)</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56.1</w:t>
      </w:r>
      <w:r>
        <w:t xml:space="preserve"> (redactado por el Real Decreto-ley 3/2012, de 10 de febrero)</w:t>
      </w:r>
      <w:r w:rsidRPr="00DD47EB">
        <w:rPr>
          <w:rStyle w:val="TextoNormalNegritaCaracter"/>
        </w:rPr>
        <w:t>.</w:t>
      </w:r>
      <w:r w:rsidRPr="00DD47EB">
        <w:rPr>
          <w:rStyle w:val="TextoNormalCaracter"/>
        </w:rPr>
        <w:t>-</w:t>
      </w:r>
      <w:r>
        <w:t xml:space="preserve"> Autos </w:t>
      </w:r>
      <w:hyperlink w:anchor="AUTO_2015_34" w:history="1">
        <w:r w:rsidRPr="00DD47EB">
          <w:rPr>
            <w:rStyle w:val="TextoNormalCaracter"/>
          </w:rPr>
          <w:t>34/2015</w:t>
        </w:r>
      </w:hyperlink>
      <w:r>
        <w:t xml:space="preserve">, f. 4; </w:t>
      </w:r>
      <w:hyperlink w:anchor="AUTO_2015_35" w:history="1">
        <w:r w:rsidRPr="00DD47EB">
          <w:rPr>
            <w:rStyle w:val="TextoNormalCaracter"/>
          </w:rPr>
          <w:t>35/2015</w:t>
        </w:r>
      </w:hyperlink>
      <w:r>
        <w:t>, ff. 2, 3, VP.</w:t>
      </w:r>
    </w:p>
    <w:p w:rsidR="00DD47EB" w:rsidRDefault="00DD47EB" w:rsidP="00DD47EB">
      <w:pPr>
        <w:pStyle w:val="SangriaFrancesaArticulo"/>
      </w:pPr>
      <w:r w:rsidRPr="00DD47EB">
        <w:rPr>
          <w:rStyle w:val="TextoNormalNegritaCaracter"/>
        </w:rPr>
        <w:t>Artículo 56.1</w:t>
      </w:r>
      <w:r>
        <w:t xml:space="preserve"> (redactado por la Ley 3/2012, de 6 de julio)</w:t>
      </w:r>
      <w:r w:rsidRPr="00DD47EB">
        <w:rPr>
          <w:rStyle w:val="TextoNormalNegritaCaracter"/>
        </w:rPr>
        <w:t>.</w:t>
      </w:r>
      <w:r w:rsidRPr="00DD47EB">
        <w:rPr>
          <w:rStyle w:val="TextoNormalCaracter"/>
        </w:rPr>
        <w:t>-</w:t>
      </w:r>
      <w:r>
        <w:t xml:space="preserve"> Autos </w:t>
      </w:r>
      <w:hyperlink w:anchor="AUTO_2015_33" w:history="1">
        <w:r w:rsidRPr="00DD47EB">
          <w:rPr>
            <w:rStyle w:val="TextoNormalCaracter"/>
          </w:rPr>
          <w:t>33/2015</w:t>
        </w:r>
      </w:hyperlink>
      <w:r>
        <w:t xml:space="preserve">, ff. 2, 4, VP; </w:t>
      </w:r>
      <w:hyperlink w:anchor="AUTO_2015_34" w:history="1">
        <w:r w:rsidRPr="00DD47EB">
          <w:rPr>
            <w:rStyle w:val="TextoNormalCaracter"/>
          </w:rPr>
          <w:t>34/2015</w:t>
        </w:r>
      </w:hyperlink>
      <w:r>
        <w:t>, ff. 2, 4, VP.</w:t>
      </w:r>
    </w:p>
    <w:p w:rsidR="00DD47EB" w:rsidRDefault="00DD47EB" w:rsidP="00DD47EB">
      <w:pPr>
        <w:pStyle w:val="SangriaFrancesaArticulo"/>
      </w:pPr>
      <w:r w:rsidRPr="00DD47EB">
        <w:rPr>
          <w:rStyle w:val="TextoNormalNegritaCaracter"/>
        </w:rPr>
        <w:t>Artículo 56.2</w:t>
      </w:r>
      <w:r>
        <w:t xml:space="preserve"> (redactado por el Real Decreto-ley 3/2012, de 10 de febrero)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IzquierdaArticulo"/>
      </w:pPr>
      <w:r>
        <w:t xml:space="preserve">Auto </w:t>
      </w:r>
      <w:hyperlink w:anchor="AUTO_2015_35" w:history="1">
        <w:r w:rsidRPr="00DD47EB">
          <w:rPr>
            <w:rStyle w:val="TextoNormalCaracter"/>
          </w:rPr>
          <w:t>35/2015</w:t>
        </w:r>
      </w:hyperlink>
      <w:r>
        <w:t>, f. 3, VP.</w:t>
      </w:r>
    </w:p>
    <w:p w:rsidR="00DD47EB" w:rsidRDefault="00DD47EB" w:rsidP="00DD47EB">
      <w:pPr>
        <w:pStyle w:val="SangriaFrancesaArticulo"/>
      </w:pPr>
      <w:r w:rsidRPr="00DD47EB">
        <w:rPr>
          <w:rStyle w:val="TextoNormalNegritaCaracter"/>
        </w:rPr>
        <w:t>Artículo 56.2</w:t>
      </w:r>
      <w:r>
        <w:t xml:space="preserve"> (redactado por la Ley 3/2012, de 6 de julio)</w:t>
      </w:r>
      <w:r w:rsidRPr="00DD47EB">
        <w:rPr>
          <w:rStyle w:val="TextoNormalNegritaCaracter"/>
        </w:rPr>
        <w:t>.</w:t>
      </w:r>
      <w:r w:rsidRPr="00DD47EB">
        <w:rPr>
          <w:rStyle w:val="TextoNormalCaracter"/>
        </w:rPr>
        <w:t>-</w:t>
      </w:r>
      <w:r>
        <w:t xml:space="preserve"> Autos </w:t>
      </w:r>
      <w:hyperlink w:anchor="AUTO_2015_33" w:history="1">
        <w:r w:rsidRPr="00DD47EB">
          <w:rPr>
            <w:rStyle w:val="TextoNormalCaracter"/>
          </w:rPr>
          <w:t>33/2015</w:t>
        </w:r>
      </w:hyperlink>
      <w:r>
        <w:t xml:space="preserve">, f. 5, VP; </w:t>
      </w:r>
      <w:hyperlink w:anchor="AUTO_2015_34" w:history="1">
        <w:r w:rsidRPr="00DD47EB">
          <w:rPr>
            <w:rStyle w:val="TextoNormalCaracter"/>
          </w:rPr>
          <w:t>34/2015</w:t>
        </w:r>
      </w:hyperlink>
      <w:r>
        <w:t>, f. 5, VP.</w:t>
      </w:r>
    </w:p>
    <w:p w:rsidR="00DD47EB" w:rsidRDefault="00DD47EB" w:rsidP="00DD47EB">
      <w:pPr>
        <w:pStyle w:val="SangriaFrancesaArticulo"/>
      </w:pPr>
      <w:r w:rsidRPr="00DD47EB">
        <w:rPr>
          <w:rStyle w:val="TextoNormalNegritaCaracter"/>
        </w:rPr>
        <w:t>Artículo 56.4.</w:t>
      </w:r>
      <w:r w:rsidRPr="00DD47EB">
        <w:rPr>
          <w:rStyle w:val="TextoNormalCaracter"/>
        </w:rPr>
        <w:t>-</w:t>
      </w:r>
      <w:r>
        <w:t xml:space="preserve"> Autos </w:t>
      </w:r>
      <w:hyperlink w:anchor="AUTO_2015_33" w:history="1">
        <w:r w:rsidRPr="00DD47EB">
          <w:rPr>
            <w:rStyle w:val="TextoNormalCaracter"/>
          </w:rPr>
          <w:t>33/2015</w:t>
        </w:r>
      </w:hyperlink>
      <w:r>
        <w:t xml:space="preserve">, f. 5; </w:t>
      </w:r>
      <w:hyperlink w:anchor="AUTO_2015_34" w:history="1">
        <w:r w:rsidRPr="00DD47EB">
          <w:rPr>
            <w:rStyle w:val="TextoNormalCaracter"/>
          </w:rPr>
          <w:t>34/2015</w:t>
        </w:r>
      </w:hyperlink>
      <w:r>
        <w:t xml:space="preserve">, f. 5; </w:t>
      </w:r>
      <w:hyperlink w:anchor="AUTO_2015_35" w:history="1">
        <w:r w:rsidRPr="00DD47EB">
          <w:rPr>
            <w:rStyle w:val="TextoNormalCaracter"/>
          </w:rPr>
          <w:t>35/2015</w:t>
        </w:r>
      </w:hyperlink>
      <w:r>
        <w:t>, f. 3.</w:t>
      </w:r>
    </w:p>
    <w:p w:rsidR="00DD47EB" w:rsidRDefault="00DD47EB" w:rsidP="00DD47EB">
      <w:pPr>
        <w:pStyle w:val="SangriaFrancesaArticulo"/>
      </w:pPr>
      <w:r w:rsidRPr="00DD47EB">
        <w:rPr>
          <w:rStyle w:val="TextoNormalNegritaCaracter"/>
        </w:rPr>
        <w:t>Artículo 57.</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Artículo 82.3</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ff. 4, 5.</w:t>
      </w:r>
    </w:p>
    <w:p w:rsidR="00DD47EB" w:rsidRDefault="00DD47EB" w:rsidP="00DD47EB">
      <w:pPr>
        <w:pStyle w:val="SangriaFrancesaArticulo"/>
      </w:pPr>
      <w:r w:rsidRPr="00DD47EB">
        <w:rPr>
          <w:rStyle w:val="TextoNormalNegritaCaracter"/>
        </w:rPr>
        <w:t>Artículo 82.3 párrafo 5</w:t>
      </w:r>
      <w:r>
        <w:t xml:space="preserve"> (redactado por el Real Decreto-ley 11/2013, de 2 de agosto)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82.3 párrafo 8</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5.</w:t>
      </w:r>
    </w:p>
    <w:p w:rsidR="00DD47EB" w:rsidRDefault="00DD47EB" w:rsidP="00DD47EB">
      <w:pPr>
        <w:pStyle w:val="SangriaFrancesaArticulo"/>
      </w:pPr>
      <w:r w:rsidRPr="00DD47EB">
        <w:rPr>
          <w:rStyle w:val="TextoNormalNegritaCaracter"/>
        </w:rPr>
        <w:t>Artículo 83.2.</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r w:rsidRPr="00DD47EB">
        <w:rPr>
          <w:rStyle w:val="TextoNormalNegritaCaracter"/>
        </w:rPr>
        <w:t>Artículo 83.3.</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r w:rsidRPr="00DD47EB">
        <w:rPr>
          <w:rStyle w:val="TextoNormalNegritaCaracter"/>
        </w:rPr>
        <w:t>Artículo 84.1</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r w:rsidRPr="00DD47EB">
        <w:rPr>
          <w:rStyle w:val="TextoNormalNegritaCaracter"/>
        </w:rPr>
        <w:t>Artículo 84.2</w:t>
      </w:r>
      <w:r>
        <w:t xml:space="preserve"> (redactado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6.</w:t>
      </w:r>
    </w:p>
    <w:p w:rsidR="00DD47EB" w:rsidRDefault="00DD47EB" w:rsidP="00DD47EB">
      <w:pPr>
        <w:pStyle w:val="SangriaFrancesaArticulo"/>
      </w:pPr>
      <w:r w:rsidRPr="00DD47EB">
        <w:rPr>
          <w:rStyle w:val="TextoNormalNegritaCaracter"/>
        </w:rPr>
        <w:t>Artículo 87.1.</w:t>
      </w:r>
      <w:r w:rsidRPr="00DD47EB">
        <w:rPr>
          <w:rStyle w:val="TextoNormalCaracter"/>
        </w:rPr>
        <w:t>-</w:t>
      </w:r>
      <w:r>
        <w:t xml:space="preserve"> Sentencia </w:t>
      </w:r>
      <w:hyperlink w:anchor="SENTENCIA_2015_8" w:history="1">
        <w:r w:rsidRPr="00DD47EB">
          <w:rPr>
            <w:rStyle w:val="TextoNormalCaracter"/>
          </w:rPr>
          <w:t>8/2015</w:t>
        </w:r>
      </w:hyperlink>
      <w:r>
        <w:t>, f. 6.</w:t>
      </w:r>
    </w:p>
    <w:p w:rsidR="00DD47EB" w:rsidRDefault="00DD47EB" w:rsidP="00DD47EB">
      <w:pPr>
        <w:pStyle w:val="SangriaFrancesaArticulo"/>
      </w:pPr>
      <w:r w:rsidRPr="00DD47EB">
        <w:rPr>
          <w:rStyle w:val="TextoNormalNegritaCaracter"/>
        </w:rPr>
        <w:t>Disposición adicional décima</w:t>
      </w:r>
      <w:r>
        <w:t xml:space="preserve"> (redactada por la Ley 3/2012, de 6 de julio)</w:t>
      </w:r>
      <w:r w:rsidRPr="00DD47EB">
        <w:rPr>
          <w:rStyle w:val="TextoNormalNegritaCaracter"/>
        </w:rPr>
        <w:t>.</w:t>
      </w:r>
      <w:r w:rsidRPr="00DD47EB">
        <w:rPr>
          <w:rStyle w:val="TextoNormalCaracter"/>
        </w:rPr>
        <w:t>-</w:t>
      </w:r>
      <w:r>
        <w:t xml:space="preserve"> Sentencia </w:t>
      </w:r>
      <w:hyperlink w:anchor="SENTENCIA_2015_8" w:history="1">
        <w:r w:rsidRPr="00DD47EB">
          <w:rPr>
            <w:rStyle w:val="TextoNormalCaracter"/>
          </w:rPr>
          <w:t>8/2015</w:t>
        </w:r>
      </w:hyperlink>
      <w:r>
        <w:t>, f. 10.</w:t>
      </w:r>
    </w:p>
    <w:p w:rsidR="00DD47EB" w:rsidRDefault="00DD47EB" w:rsidP="00DD47EB">
      <w:pPr>
        <w:pStyle w:val="SangriaFrancesaArticulo"/>
      </w:pPr>
      <w:r w:rsidRPr="00DD47EB">
        <w:rPr>
          <w:rStyle w:val="TextoNormalNegritaCaracter"/>
        </w:rPr>
        <w:t>Disposición adicional vigesimoprimera.</w:t>
      </w:r>
      <w:r w:rsidRPr="00DD47EB">
        <w:rPr>
          <w:rStyle w:val="TextoNormalCaracter"/>
        </w:rPr>
        <w:t>-</w:t>
      </w:r>
      <w:r>
        <w:t xml:space="preserve"> Sentencia </w:t>
      </w:r>
      <w:hyperlink w:anchor="SENTENCIA_2015_8" w:history="1">
        <w:r w:rsidRPr="00DD47EB">
          <w:rPr>
            <w:rStyle w:val="TextoNormalCaracter"/>
          </w:rPr>
          <w:t>8/2015</w:t>
        </w:r>
      </w:hyperlink>
      <w:r>
        <w:t>, f. 9.</w:t>
      </w:r>
    </w:p>
    <w:p w:rsidR="00DD47EB" w:rsidRDefault="00DD47EB" w:rsidP="00DD47EB">
      <w:pPr>
        <w:pStyle w:val="SangriaFrancesaArticulo"/>
      </w:pPr>
      <w:r w:rsidRPr="00DD47EB">
        <w:rPr>
          <w:rStyle w:val="TextoNormalNegritaCaracter"/>
        </w:rPr>
        <w:t>Disposición final decimotercera, apartado 1.</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p>
    <w:p w:rsidR="00DD47EB" w:rsidRDefault="00DD47EB" w:rsidP="00DD47EB">
      <w:pPr>
        <w:pStyle w:val="TextoNormalNegritaCursivandice"/>
      </w:pPr>
      <w:r>
        <w:t>Real Decreto Legislativo 5/2000, de 4 de agosto. Texto refundido de la Ley sobre infracciones y sanciones en el orden social</w:t>
      </w:r>
    </w:p>
    <w:p w:rsidR="00DD47EB" w:rsidRDefault="00DD47EB" w:rsidP="00DD47EB">
      <w:pPr>
        <w:pStyle w:val="SangriaFrancesaArticulo"/>
      </w:pPr>
      <w:r w:rsidRPr="00DD47EB">
        <w:rPr>
          <w:rStyle w:val="TextoNormalNegritaCaracter"/>
        </w:rPr>
        <w:t>Artículo 24</w:t>
      </w:r>
      <w:r>
        <w:t xml:space="preserve"> (redactado por el Real Decreto-ley 11/2003,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f. 4.</w:t>
      </w:r>
    </w:p>
    <w:p w:rsidR="00DD47EB" w:rsidRDefault="00DD47EB" w:rsidP="00DD47EB">
      <w:pPr>
        <w:pStyle w:val="SangriaFrancesaArticulo"/>
      </w:pPr>
      <w:r w:rsidRPr="00DD47EB">
        <w:rPr>
          <w:rStyle w:val="TextoNormalNegritaCaracter"/>
        </w:rPr>
        <w:t>Artículo 24.3.</w:t>
      </w:r>
      <w:r w:rsidRPr="00DD47EB">
        <w:rPr>
          <w:rStyle w:val="TextoNormalCaracter"/>
        </w:rPr>
        <w:t>-</w:t>
      </w:r>
      <w:r>
        <w:t xml:space="preserve"> Sentencia </w:t>
      </w:r>
      <w:hyperlink w:anchor="SENTENCIA_2015_27" w:history="1">
        <w:r w:rsidRPr="00DD47EB">
          <w:rPr>
            <w:rStyle w:val="TextoNormalCaracter"/>
          </w:rPr>
          <w:t>27/2015</w:t>
        </w:r>
      </w:hyperlink>
      <w:r>
        <w:t>, f. 1.</w:t>
      </w:r>
    </w:p>
    <w:p w:rsidR="00DD47EB" w:rsidRDefault="00DD47EB" w:rsidP="00DD47EB">
      <w:pPr>
        <w:pStyle w:val="SangriaFrancesaArticulo"/>
      </w:pPr>
      <w:r w:rsidRPr="00DD47EB">
        <w:rPr>
          <w:rStyle w:val="TextoNormalNegritaCaracter"/>
        </w:rPr>
        <w:t>Artículo 24.3 a).</w:t>
      </w:r>
      <w:r w:rsidRPr="00DD47EB">
        <w:rPr>
          <w:rStyle w:val="TextoNormalCaracter"/>
        </w:rPr>
        <w:t>-</w:t>
      </w:r>
      <w:r>
        <w:t xml:space="preserve"> Sentencia </w:t>
      </w:r>
      <w:hyperlink w:anchor="SENTENCIA_2015_27" w:history="1">
        <w:r w:rsidRPr="00DD47EB">
          <w:rPr>
            <w:rStyle w:val="TextoNormalCaracter"/>
          </w:rPr>
          <w:t>27/2015</w:t>
        </w:r>
      </w:hyperlink>
      <w:r>
        <w:t>, f. 6.</w:t>
      </w:r>
    </w:p>
    <w:p w:rsidR="00DD47EB" w:rsidRDefault="00DD47EB" w:rsidP="00DD47EB">
      <w:pPr>
        <w:pStyle w:val="SangriaFrancesaArticulo"/>
      </w:pPr>
      <w:r w:rsidRPr="00DD47EB">
        <w:rPr>
          <w:rStyle w:val="TextoNormalNegritaCaracter"/>
        </w:rPr>
        <w:t>Artículo 24.3 d).</w:t>
      </w:r>
      <w:r w:rsidRPr="00DD47EB">
        <w:rPr>
          <w:rStyle w:val="TextoNormalCaracter"/>
        </w:rPr>
        <w:t>-</w:t>
      </w:r>
      <w:r>
        <w:t xml:space="preserve"> Sentencia </w:t>
      </w:r>
      <w:hyperlink w:anchor="SENTENCIA_2015_27" w:history="1">
        <w:r w:rsidRPr="00DD47EB">
          <w:rPr>
            <w:rStyle w:val="TextoNormalCaracter"/>
          </w:rPr>
          <w:t>27/2015</w:t>
        </w:r>
      </w:hyperlink>
      <w:r>
        <w:t>, f. 6.</w:t>
      </w:r>
    </w:p>
    <w:p w:rsidR="00DD47EB" w:rsidRDefault="00DD47EB" w:rsidP="00DD47EB">
      <w:pPr>
        <w:pStyle w:val="SangriaFrancesaArticulo"/>
      </w:pPr>
      <w:r w:rsidRPr="00DD47EB">
        <w:rPr>
          <w:rStyle w:val="TextoNormalNegritaCaracter"/>
        </w:rPr>
        <w:t>Artículo 24.4.</w:t>
      </w:r>
      <w:r w:rsidRPr="00DD47EB">
        <w:rPr>
          <w:rStyle w:val="TextoNormalCaracter"/>
        </w:rPr>
        <w:t>-</w:t>
      </w:r>
      <w:r>
        <w:t xml:space="preserve"> Sentencia </w:t>
      </w:r>
      <w:hyperlink w:anchor="SENTENCIA_2015_27" w:history="1">
        <w:r w:rsidRPr="00DD47EB">
          <w:rPr>
            <w:rStyle w:val="TextoNormalCaracter"/>
          </w:rPr>
          <w:t>27/2015</w:t>
        </w:r>
      </w:hyperlink>
      <w:r>
        <w:t>, f. 6.</w:t>
      </w:r>
    </w:p>
    <w:p w:rsidR="00DD47EB" w:rsidRDefault="00DD47EB" w:rsidP="00DD47EB">
      <w:pPr>
        <w:pStyle w:val="SangriaFrancesaArticulo"/>
      </w:pPr>
      <w:r w:rsidRPr="00DD47EB">
        <w:rPr>
          <w:rStyle w:val="TextoNormalNegritaCaracter"/>
        </w:rPr>
        <w:t>Artículo 24.4 a).</w:t>
      </w:r>
      <w:r w:rsidRPr="00DD47EB">
        <w:rPr>
          <w:rStyle w:val="TextoNormalCaracter"/>
        </w:rPr>
        <w:t>-</w:t>
      </w:r>
      <w:r>
        <w:t xml:space="preserve"> Sentencia </w:t>
      </w:r>
      <w:hyperlink w:anchor="SENTENCIA_2015_27" w:history="1">
        <w:r w:rsidRPr="00DD47EB">
          <w:rPr>
            <w:rStyle w:val="TextoNormalCaracter"/>
          </w:rPr>
          <w:t>27/2015</w:t>
        </w:r>
      </w:hyperlink>
      <w:r>
        <w:t>, ff. 1, 5, 6.</w:t>
      </w:r>
    </w:p>
    <w:p w:rsidR="00DD47EB" w:rsidRDefault="00DD47EB" w:rsidP="00DD47EB">
      <w:pPr>
        <w:pStyle w:val="SangriaFrancesaArticulo"/>
      </w:pPr>
      <w:r w:rsidRPr="00DD47EB">
        <w:rPr>
          <w:rStyle w:val="TextoNormalNegritaCaracter"/>
        </w:rPr>
        <w:t>Artículo 24.4 b).</w:t>
      </w:r>
      <w:r w:rsidRPr="00DD47EB">
        <w:rPr>
          <w:rStyle w:val="TextoNormalCaracter"/>
        </w:rPr>
        <w:t>-</w:t>
      </w:r>
      <w:r>
        <w:t xml:space="preserve"> Sentencia </w:t>
      </w:r>
      <w:hyperlink w:anchor="SENTENCIA_2015_27" w:history="1">
        <w:r w:rsidRPr="00DD47EB">
          <w:rPr>
            <w:rStyle w:val="TextoNormalCaracter"/>
          </w:rPr>
          <w:t>27/2015</w:t>
        </w:r>
      </w:hyperlink>
      <w:r>
        <w:t>, ff. 1, 5, 6.</w:t>
      </w:r>
    </w:p>
    <w:p w:rsidR="00DD47EB" w:rsidRDefault="00DD47EB" w:rsidP="00DD47EB">
      <w:pPr>
        <w:pStyle w:val="SangriaFrancesaArticulo"/>
      </w:pPr>
      <w:r w:rsidRPr="00DD47EB">
        <w:rPr>
          <w:rStyle w:val="TextoNormalNegritaCaracter"/>
        </w:rPr>
        <w:t>Artículo 25</w:t>
      </w:r>
      <w:r>
        <w:t xml:space="preserve"> (redactado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f. 4.</w:t>
      </w:r>
    </w:p>
    <w:p w:rsidR="00DD47EB" w:rsidRDefault="00DD47EB" w:rsidP="00DD47EB">
      <w:pPr>
        <w:pStyle w:val="SangriaFrancesaArticulo"/>
      </w:pPr>
      <w:r w:rsidRPr="00DD47EB">
        <w:rPr>
          <w:rStyle w:val="TextoNormalNegritaCaracter"/>
        </w:rPr>
        <w:t>Artículo 25.4.</w:t>
      </w:r>
      <w:r w:rsidRPr="00DD47EB">
        <w:rPr>
          <w:rStyle w:val="TextoNormalCaracter"/>
        </w:rPr>
        <w:t>-</w:t>
      </w:r>
      <w:r>
        <w:t xml:space="preserve"> Sentencia </w:t>
      </w:r>
      <w:hyperlink w:anchor="SENTENCIA_2015_27" w:history="1">
        <w:r w:rsidRPr="00DD47EB">
          <w:rPr>
            <w:rStyle w:val="TextoNormalCaracter"/>
          </w:rPr>
          <w:t>27/2015</w:t>
        </w:r>
      </w:hyperlink>
      <w:r>
        <w:t>, f. 1.</w:t>
      </w:r>
    </w:p>
    <w:p w:rsidR="00DD47EB" w:rsidRDefault="00DD47EB" w:rsidP="00DD47EB">
      <w:pPr>
        <w:pStyle w:val="SangriaFrancesaArticulo"/>
      </w:pPr>
      <w:r w:rsidRPr="00DD47EB">
        <w:rPr>
          <w:rStyle w:val="TextoNormalNegritaCaracter"/>
        </w:rPr>
        <w:t>Artículo 47</w:t>
      </w:r>
      <w:r>
        <w:t xml:space="preserve"> (redactado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f. 4.</w:t>
      </w:r>
    </w:p>
    <w:p w:rsidR="00DD47EB" w:rsidRDefault="00DD47EB" w:rsidP="00DD47EB">
      <w:pPr>
        <w:pStyle w:val="SangriaFrancesaArticulo"/>
      </w:pPr>
      <w:r w:rsidRPr="00DD47EB">
        <w:rPr>
          <w:rStyle w:val="TextoNormalNegritaCaracter"/>
        </w:rPr>
        <w:t>Artículo 47.1 a).</w:t>
      </w:r>
      <w:r w:rsidRPr="00DD47EB">
        <w:rPr>
          <w:rStyle w:val="TextoNormalCaracter"/>
        </w:rPr>
        <w:t>-</w:t>
      </w:r>
      <w:r>
        <w:t xml:space="preserve"> Sentencia </w:t>
      </w:r>
      <w:hyperlink w:anchor="SENTENCIA_2015_27" w:history="1">
        <w:r w:rsidRPr="00DD47EB">
          <w:rPr>
            <w:rStyle w:val="TextoNormalCaracter"/>
          </w:rPr>
          <w:t>27/2015</w:t>
        </w:r>
      </w:hyperlink>
      <w:r>
        <w:t>, f. 6.</w:t>
      </w:r>
    </w:p>
    <w:p w:rsidR="00DD47EB" w:rsidRDefault="00DD47EB" w:rsidP="00DD47EB">
      <w:pPr>
        <w:pStyle w:val="SangriaFrancesaArticulo"/>
      </w:pPr>
      <w:r w:rsidRPr="00DD47EB">
        <w:rPr>
          <w:rStyle w:val="TextoNormalNegritaCaracter"/>
        </w:rPr>
        <w:t>Artículo 48</w:t>
      </w:r>
      <w:r>
        <w:t xml:space="preserve"> (redactado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f. 4.</w:t>
      </w:r>
    </w:p>
    <w:p w:rsidR="00DD47EB" w:rsidRDefault="00DD47EB" w:rsidP="00DD47EB">
      <w:pPr>
        <w:pStyle w:val="SangriaFrancesaArticulo"/>
      </w:pPr>
      <w:r w:rsidRPr="00DD47EB">
        <w:rPr>
          <w:rStyle w:val="TextoNormalNegritaCaracter"/>
        </w:rPr>
        <w:t>Artículo 48.5</w:t>
      </w:r>
      <w:r>
        <w:t xml:space="preserve"> (redactado por el Real Decreto-ley 11/2013, de 2 de agosto)</w:t>
      </w:r>
      <w:r w:rsidRPr="00DD47EB">
        <w:rPr>
          <w:rStyle w:val="TextoNormalNegritaCaracter"/>
        </w:rPr>
        <w:t>.</w:t>
      </w:r>
      <w:r w:rsidRPr="00DD47EB">
        <w:rPr>
          <w:rStyle w:val="TextoNormalCaracter"/>
        </w:rPr>
        <w:t>-</w:t>
      </w:r>
      <w:r>
        <w:t xml:space="preserve"> Sentencia </w:t>
      </w:r>
      <w:hyperlink w:anchor="SENTENCIA_2015_27" w:history="1">
        <w:r w:rsidRPr="00DD47EB">
          <w:rPr>
            <w:rStyle w:val="TextoNormalCaracter"/>
          </w:rPr>
          <w:t>27/2015</w:t>
        </w:r>
      </w:hyperlink>
      <w:r>
        <w:t>, ff. 1, 5.</w:t>
      </w:r>
    </w:p>
    <w:p w:rsidR="00DD47EB" w:rsidRDefault="00DD47EB" w:rsidP="00DD47EB">
      <w:pPr>
        <w:pStyle w:val="SangriaFrancesaArticulo"/>
      </w:pPr>
      <w:r w:rsidRPr="00DD47EB">
        <w:rPr>
          <w:rStyle w:val="TextoNormalNegritaCaracter"/>
        </w:rPr>
        <w:t>Artículo 209.1.</w:t>
      </w:r>
      <w:r w:rsidRPr="00DD47EB">
        <w:rPr>
          <w:rStyle w:val="TextoNormalCaracter"/>
        </w:rPr>
        <w:t>-</w:t>
      </w:r>
      <w:r>
        <w:t xml:space="preserve"> Sentencia </w:t>
      </w:r>
      <w:hyperlink w:anchor="SENTENCIA_2015_27" w:history="1">
        <w:r w:rsidRPr="00DD47EB">
          <w:rPr>
            <w:rStyle w:val="TextoNormalCaracter"/>
          </w:rPr>
          <w:t>27/2015</w:t>
        </w:r>
      </w:hyperlink>
      <w:r>
        <w:t>, f. 5.</w:t>
      </w:r>
    </w:p>
    <w:p w:rsidR="00DD47EB" w:rsidRDefault="00DD47EB" w:rsidP="00DD47EB">
      <w:pPr>
        <w:pStyle w:val="SangriaFrancesaArticulo"/>
      </w:pPr>
      <w:r w:rsidRPr="00DD47EB">
        <w:rPr>
          <w:rStyle w:val="TextoNormalNegritaCaracter"/>
        </w:rPr>
        <w:t>Artículo 215.4.</w:t>
      </w:r>
      <w:r w:rsidRPr="00DD47EB">
        <w:rPr>
          <w:rStyle w:val="TextoNormalCaracter"/>
        </w:rPr>
        <w:t>-</w:t>
      </w:r>
      <w:r>
        <w:t xml:space="preserve"> Sentencia </w:t>
      </w:r>
      <w:hyperlink w:anchor="SENTENCIA_2015_27" w:history="1">
        <w:r w:rsidRPr="00DD47EB">
          <w:rPr>
            <w:rStyle w:val="TextoNormalCaracter"/>
          </w:rPr>
          <w:t>27/2015</w:t>
        </w:r>
      </w:hyperlink>
      <w:r>
        <w:t>, f. 5.</w:t>
      </w:r>
    </w:p>
    <w:p w:rsidR="00DD47EB" w:rsidRDefault="00DD47EB" w:rsidP="00DD47EB">
      <w:pPr>
        <w:pStyle w:val="SangriaFrancesaArticulo"/>
      </w:pPr>
    </w:p>
    <w:p w:rsidR="00DD47EB" w:rsidRDefault="00DD47EB" w:rsidP="00DD47EB">
      <w:pPr>
        <w:pStyle w:val="TextoNormalNegritaCursivandice"/>
      </w:pPr>
      <w:r>
        <w:t>Real Decreto Legislativo 1/2001, de 20 de julio. Texto refundido de la Ley de aguas</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13" w:history="1">
        <w:r w:rsidRPr="00DD47EB">
          <w:rPr>
            <w:rStyle w:val="TextoNormalCaracter"/>
          </w:rPr>
          <w:t>13/2015</w:t>
        </w:r>
      </w:hyperlink>
      <w:r>
        <w:t>, f. 7.</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13" w:history="1">
        <w:r w:rsidRPr="00DD47EB">
          <w:rPr>
            <w:rStyle w:val="TextoNormalCaracter"/>
          </w:rPr>
          <w:t>13/2015</w:t>
        </w:r>
      </w:hyperlink>
      <w:r>
        <w:t>, f. 3.</w:t>
      </w:r>
    </w:p>
    <w:p w:rsidR="00DD47EB" w:rsidRDefault="00DD47EB" w:rsidP="00DD47EB">
      <w:pPr>
        <w:pStyle w:val="SangriaFrancesaArticulo"/>
      </w:pPr>
      <w:r w:rsidRPr="00DD47EB">
        <w:rPr>
          <w:rStyle w:val="TextoNormalNegritaCaracter"/>
        </w:rPr>
        <w:t>Artículo 45.1.</w:t>
      </w:r>
      <w:r w:rsidRPr="00DD47EB">
        <w:rPr>
          <w:rStyle w:val="TextoNormalCaracter"/>
        </w:rPr>
        <w:t>-</w:t>
      </w:r>
      <w:r>
        <w:t xml:space="preserve"> Sentencia </w:t>
      </w:r>
      <w:hyperlink w:anchor="SENTENCIA_2015_13" w:history="1">
        <w:r w:rsidRPr="00DD47EB">
          <w:rPr>
            <w:rStyle w:val="TextoNormalCaracter"/>
          </w:rPr>
          <w:t>13/2015</w:t>
        </w:r>
      </w:hyperlink>
      <w:r>
        <w:t>, f. 6.</w:t>
      </w:r>
    </w:p>
    <w:p w:rsidR="00DD47EB" w:rsidRDefault="00DD47EB" w:rsidP="00DD47EB">
      <w:pPr>
        <w:pStyle w:val="SangriaFrancesaArticulo"/>
      </w:pPr>
      <w:r w:rsidRPr="00DD47EB">
        <w:rPr>
          <w:rStyle w:val="TextoNormalNegritaCaracter"/>
        </w:rPr>
        <w:t>Artículo 45.1 c).</w:t>
      </w:r>
      <w:r w:rsidRPr="00DD47EB">
        <w:rPr>
          <w:rStyle w:val="TextoNormalCaracter"/>
        </w:rPr>
        <w:t>-</w:t>
      </w:r>
      <w:r>
        <w:t xml:space="preserve"> Sentencia </w:t>
      </w:r>
      <w:hyperlink w:anchor="SENTENCIA_2015_13" w:history="1">
        <w:r w:rsidRPr="00DD47EB">
          <w:rPr>
            <w:rStyle w:val="TextoNormalCaracter"/>
          </w:rPr>
          <w:t>13/2015</w:t>
        </w:r>
      </w:hyperlink>
      <w:r>
        <w:t>, f. 6.</w:t>
      </w:r>
    </w:p>
    <w:p w:rsidR="00DD47EB" w:rsidRDefault="00DD47EB" w:rsidP="00DD47EB">
      <w:pPr>
        <w:pStyle w:val="SangriaFrancesaArticulo"/>
      </w:pPr>
      <w:r w:rsidRPr="00DD47EB">
        <w:rPr>
          <w:rStyle w:val="TextoNormalNegritaCaracter"/>
        </w:rPr>
        <w:t>Artículo 72</w:t>
      </w:r>
      <w:r>
        <w:t xml:space="preserve"> (redactado por la Ley 21/2013, de 9 de diciembre)</w:t>
      </w:r>
      <w:r w:rsidRPr="00DD47EB">
        <w:rPr>
          <w:rStyle w:val="TextoNormalNegritaCaracter"/>
        </w:rPr>
        <w:t>.</w:t>
      </w:r>
      <w:r w:rsidRPr="00DD47EB">
        <w:rPr>
          <w:rStyle w:val="TextoNormalCaracter"/>
        </w:rPr>
        <w:t>-</w:t>
      </w:r>
      <w:r>
        <w:t xml:space="preserve"> Sentencia </w:t>
      </w:r>
      <w:hyperlink w:anchor="SENTENCIA_2015_13" w:history="1">
        <w:r w:rsidRPr="00DD47EB">
          <w:rPr>
            <w:rStyle w:val="TextoNormalCaracter"/>
          </w:rPr>
          <w:t>13/2015</w:t>
        </w:r>
      </w:hyperlink>
      <w:r>
        <w:t>, ff. 2, 6.</w:t>
      </w:r>
    </w:p>
    <w:p w:rsidR="00DD47EB" w:rsidRDefault="00DD47EB" w:rsidP="00DD47EB">
      <w:pPr>
        <w:pStyle w:val="SangriaFrancesaArticulo"/>
      </w:pPr>
    </w:p>
    <w:p w:rsidR="00DD47EB" w:rsidRDefault="00DD47EB" w:rsidP="00DD47EB">
      <w:pPr>
        <w:pStyle w:val="TextoNormalNegritaCursivandice"/>
      </w:pPr>
      <w:r>
        <w:t>Real Decreto Legislativo 1/2002, de 29 de noviembre. Texto refundido de la Ley de regulación de los planes y fondos de pensiones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6" w:history="1">
        <w:r w:rsidRPr="00DD47EB">
          <w:rPr>
            <w:rStyle w:val="TextoNormalCaracter"/>
          </w:rPr>
          <w:t>26/2015</w:t>
        </w:r>
      </w:hyperlink>
      <w:r>
        <w:t>, f. 4.</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43" w:history="1">
        <w:r w:rsidRPr="00DD47EB">
          <w:rPr>
            <w:rStyle w:val="TextoNormalCaracter"/>
          </w:rPr>
          <w:t>143/2015</w:t>
        </w:r>
      </w:hyperlink>
      <w:r>
        <w:t>, f. 4.</w:t>
      </w:r>
    </w:p>
    <w:p w:rsidR="00DD47EB" w:rsidRDefault="00DD47EB" w:rsidP="00DD47EB">
      <w:pPr>
        <w:pStyle w:val="SangriaFrancesaArticulo"/>
      </w:pPr>
    </w:p>
    <w:p w:rsidR="00DD47EB" w:rsidRDefault="00DD47EB" w:rsidP="00DD47EB">
      <w:pPr>
        <w:pStyle w:val="TextoNormalNegritaCursivandice"/>
      </w:pPr>
      <w:r>
        <w:t>Real Decreto Legislativo 1/2004, de 5 de marzo. Texto refundido de la Ley del catastro inmobiliario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6.1</w:t>
      </w:r>
      <w:r>
        <w:t xml:space="preserve"> (redactado por la Ley 2/2004, de 27 de diciembre)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6.2</w:t>
      </w:r>
      <w:r>
        <w:t xml:space="preserve"> (redactado por la Ley 2/2004, de 27 de diciembre)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6.2 c)</w:t>
      </w:r>
      <w:r>
        <w:t xml:space="preserve"> (redactado por la Ley 2/2004, de 27 de diciembre)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9</w:t>
      </w:r>
      <w:r>
        <w:t xml:space="preserve"> (redactado por la Ley 2/2004, de 27 de diciembre)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Disposición transitoria primera.</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Disposición transitoria primera</w:t>
      </w:r>
      <w:r>
        <w:t xml:space="preserve"> (redactada por la Ley 16/2007, de 4 de julio)</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Disposición transitoria primera</w:t>
      </w:r>
      <w:r>
        <w:t xml:space="preserve"> (redactada por la Ley 2/2004, de 27 de diciembre)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Disposición transitoria primera</w:t>
      </w:r>
      <w:r>
        <w:t xml:space="preserve"> (redactada por la Ley 34/2007, de 15 de noviembre)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r w:rsidRPr="00DD47EB">
        <w:rPr>
          <w:rStyle w:val="TextoNormalNegritaCaracter"/>
        </w:rPr>
        <w:t>Disposición transitoria primera</w:t>
      </w:r>
      <w:r>
        <w:t xml:space="preserve"> (redactada por la Ley 36/2006, de 29 de noviembre)</w:t>
      </w:r>
      <w:r w:rsidRPr="00DD47EB">
        <w:rPr>
          <w:rStyle w:val="TextoNormalNegritaCaracter"/>
        </w:rPr>
        <w:t>.</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Real Decreto Legislativo 2/2004, de 5 de marzo. Texto refundido de la Ley reguladora de las haciendas locales</w:t>
      </w:r>
    </w:p>
    <w:p w:rsidR="00DD47EB" w:rsidRDefault="00DD47EB" w:rsidP="00DD47EB">
      <w:pPr>
        <w:pStyle w:val="SangriaFrancesaArticulo"/>
      </w:pPr>
      <w:r w:rsidRPr="00DD47EB">
        <w:rPr>
          <w:rStyle w:val="TextoNormalNegritaCaracter"/>
        </w:rPr>
        <w:t>Artículo 20.4.</w:t>
      </w:r>
      <w:r w:rsidRPr="00DD47EB">
        <w:rPr>
          <w:rStyle w:val="TextoNormalCaracter"/>
        </w:rPr>
        <w:t>-</w:t>
      </w:r>
      <w:r>
        <w:t xml:space="preserve"> Sentencia </w:t>
      </w:r>
      <w:hyperlink w:anchor="SENTENCIA_2015_103" w:history="1">
        <w:r w:rsidRPr="00DD47EB">
          <w:rPr>
            <w:rStyle w:val="TextoNormalCaracter"/>
          </w:rPr>
          <w:t>103/2015</w:t>
        </w:r>
      </w:hyperlink>
      <w:r>
        <w:t>, f. 10.</w:t>
      </w:r>
    </w:p>
    <w:p w:rsidR="00DD47EB" w:rsidRDefault="00DD47EB" w:rsidP="00DD47EB">
      <w:pPr>
        <w:pStyle w:val="SangriaFrancesaArticulo"/>
      </w:pPr>
      <w:r w:rsidRPr="00DD47EB">
        <w:rPr>
          <w:rStyle w:val="TextoNormalNegritaCaracter"/>
        </w:rPr>
        <w:t>Artículo 82.</w:t>
      </w:r>
      <w:r w:rsidRPr="00DD47EB">
        <w:rPr>
          <w:rStyle w:val="TextoNormalCaracter"/>
        </w:rPr>
        <w:t>-</w:t>
      </w:r>
      <w:r>
        <w:t xml:space="preserve"> Sentencias </w:t>
      </w:r>
      <w:hyperlink w:anchor="SENTENCIA_2015_26" w:history="1">
        <w:r w:rsidRPr="00DD47EB">
          <w:rPr>
            <w:rStyle w:val="TextoNormalCaracter"/>
          </w:rPr>
          <w:t>26/2015</w:t>
        </w:r>
      </w:hyperlink>
      <w:r>
        <w:t xml:space="preserve">, f. 4; </w:t>
      </w:r>
      <w:hyperlink w:anchor="SENTENCIA_2015_30" w:history="1">
        <w:r w:rsidRPr="00DD47EB">
          <w:rPr>
            <w:rStyle w:val="TextoNormalCaracter"/>
          </w:rPr>
          <w:t>30/2015</w:t>
        </w:r>
      </w:hyperlink>
      <w:r>
        <w:t>, f. 2.</w:t>
      </w:r>
    </w:p>
    <w:p w:rsidR="00DD47EB" w:rsidRDefault="00DD47EB" w:rsidP="00DD47EB">
      <w:pPr>
        <w:pStyle w:val="SangriaFrancesaArticulo"/>
      </w:pPr>
    </w:p>
    <w:p w:rsidR="00DD47EB" w:rsidRDefault="00DD47EB" w:rsidP="00DD47EB">
      <w:pPr>
        <w:pStyle w:val="TextoNormalNegritaCursivandice"/>
      </w:pPr>
      <w:r>
        <w:t>Real Decreto Legislativo 1/2007, de 16 de noviembre. Texto refundido de la Ley general para la defensa de los consumidores y usuarios y otras leyes complementarias</w:t>
      </w:r>
    </w:p>
    <w:p w:rsidR="00DD47EB" w:rsidRDefault="00DD47EB" w:rsidP="00DD47EB">
      <w:pPr>
        <w:pStyle w:val="SangriaFrancesaArticulo"/>
      </w:pPr>
      <w:r w:rsidRPr="00DD47EB">
        <w:rPr>
          <w:rStyle w:val="TextoNormalNegritaCaracter"/>
        </w:rPr>
        <w:t>Artículo 50.1.</w:t>
      </w:r>
      <w:r w:rsidRPr="00DD47EB">
        <w:rPr>
          <w:rStyle w:val="TextoNormalCaracter"/>
        </w:rPr>
        <w:t>-</w:t>
      </w:r>
      <w:r>
        <w:t xml:space="preserve"> Sentencia </w:t>
      </w:r>
      <w:hyperlink w:anchor="SENTENCIA_2015_10" w:history="1">
        <w:r w:rsidRPr="00DD47EB">
          <w:rPr>
            <w:rStyle w:val="TextoNormalCaracter"/>
          </w:rPr>
          <w:t>10/2015</w:t>
        </w:r>
      </w:hyperlink>
      <w:r>
        <w:t>, ff. 1, 3.</w:t>
      </w:r>
    </w:p>
    <w:p w:rsidR="00DD47EB" w:rsidRDefault="00DD47EB" w:rsidP="00DD47EB">
      <w:pPr>
        <w:pStyle w:val="SangriaFrancesaArticulo"/>
      </w:pPr>
    </w:p>
    <w:p w:rsidR="00DD47EB" w:rsidRDefault="00DD47EB" w:rsidP="00DD47EB">
      <w:pPr>
        <w:pStyle w:val="TextoNormalNegritaCursivandice"/>
      </w:pPr>
      <w:r>
        <w:t>Real Decreto Legislativo 2/2007, de 28 de diciembre. Texto refundido de la Ley general de estabilidad presupuestaria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3.</w:t>
      </w:r>
    </w:p>
    <w:p w:rsidR="00DD47EB" w:rsidRDefault="00DD47EB" w:rsidP="00DD47EB">
      <w:pPr>
        <w:pStyle w:val="SangriaFrancesaArticulo"/>
      </w:pPr>
    </w:p>
    <w:p w:rsidR="00DD47EB" w:rsidRDefault="00DD47EB" w:rsidP="00DD47EB">
      <w:pPr>
        <w:pStyle w:val="TextoNormalNegritaCursivandice"/>
      </w:pPr>
      <w:r>
        <w:t>Real Decreto Legislativo 2/2008, de 20 de junio. Texto refundido de la Ley de suelo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3" w:history="1">
        <w:r w:rsidRPr="00DD47EB">
          <w:rPr>
            <w:rStyle w:val="TextoNormalCaracter"/>
          </w:rPr>
          <w:t>43/2015</w:t>
        </w:r>
      </w:hyperlink>
      <w:r>
        <w:t>, ff. 2, 4.</w:t>
      </w:r>
    </w:p>
    <w:p w:rsidR="00DD47EB" w:rsidRDefault="00DD47EB" w:rsidP="00DD47EB">
      <w:pPr>
        <w:pStyle w:val="SangriaIzquierdaArticulo"/>
      </w:pPr>
      <w:r>
        <w:t xml:space="preserve">Autos </w:t>
      </w:r>
      <w:hyperlink w:anchor="AUTO_2015_21" w:history="1">
        <w:r w:rsidRPr="00DD47EB">
          <w:rPr>
            <w:rStyle w:val="TextoNormalCaracter"/>
          </w:rPr>
          <w:t>21/2015</w:t>
        </w:r>
      </w:hyperlink>
      <w:r>
        <w:t xml:space="preserve">, ff. 2, 3; </w:t>
      </w:r>
      <w:hyperlink w:anchor="AUTO_2015_22" w:history="1">
        <w:r w:rsidRPr="00DD47EB">
          <w:rPr>
            <w:rStyle w:val="TextoNormalCaracter"/>
          </w:rPr>
          <w:t>22/2015</w:t>
        </w:r>
      </w:hyperlink>
      <w:r>
        <w:t xml:space="preserve">, f. 2; </w:t>
      </w:r>
      <w:hyperlink w:anchor="AUTO_2015_36" w:history="1">
        <w:r w:rsidRPr="00DD47EB">
          <w:rPr>
            <w:rStyle w:val="TextoNormalCaracter"/>
          </w:rPr>
          <w:t>36/2015</w:t>
        </w:r>
      </w:hyperlink>
      <w:r>
        <w:t xml:space="preserve">, f. 2; </w:t>
      </w:r>
      <w:hyperlink w:anchor="AUTO_2015_62" w:history="1">
        <w:r w:rsidRPr="00DD47EB">
          <w:rPr>
            <w:rStyle w:val="TextoNormalCaracter"/>
          </w:rPr>
          <w:t>62/2015</w:t>
        </w:r>
      </w:hyperlink>
      <w:r>
        <w:t>, f. 2.</w:t>
      </w:r>
    </w:p>
    <w:p w:rsidR="00DD47EB" w:rsidRDefault="00DD47EB" w:rsidP="00DD47EB">
      <w:pPr>
        <w:pStyle w:val="SangriaFrancesaArticulo"/>
      </w:pPr>
      <w:r w:rsidRPr="00DD47EB">
        <w:rPr>
          <w:rStyle w:val="TextoNormalNegritaCaracter"/>
        </w:rPr>
        <w:t>Artículo 8.1 b).</w:t>
      </w:r>
      <w:r w:rsidRPr="00DD47EB">
        <w:rPr>
          <w:rStyle w:val="TextoNormalCaracter"/>
        </w:rPr>
        <w:t>-</w:t>
      </w:r>
      <w:r>
        <w:t xml:space="preserve"> Sentencia </w:t>
      </w:r>
      <w:hyperlink w:anchor="SENTENCIA_2015_29" w:history="1">
        <w:r w:rsidRPr="00DD47EB">
          <w:rPr>
            <w:rStyle w:val="TextoNormalCaracter"/>
          </w:rPr>
          <w:t>29/2015</w:t>
        </w:r>
      </w:hyperlink>
      <w:r>
        <w:t>, ff. 4, 5.</w:t>
      </w:r>
    </w:p>
    <w:p w:rsidR="00DD47EB" w:rsidRDefault="00DD47EB" w:rsidP="00DD47EB">
      <w:pPr>
        <w:pStyle w:val="SangriaFrancesaArticulo"/>
      </w:pPr>
      <w:r w:rsidRPr="00DD47EB">
        <w:rPr>
          <w:rStyle w:val="TextoNormalNegritaCaracter"/>
        </w:rPr>
        <w:t>Artículo 9.7</w:t>
      </w:r>
      <w:r>
        <w:t xml:space="preserve"> (redactado por la Ley 8/2013, de 26 de junio)</w:t>
      </w:r>
      <w:r w:rsidRPr="00DD47EB">
        <w:rPr>
          <w:rStyle w:val="TextoNormalNegritaCaracter"/>
        </w:rPr>
        <w:t>.</w:t>
      </w:r>
      <w:r w:rsidRPr="00DD47EB">
        <w:rPr>
          <w:rStyle w:val="TextoNormalCaracter"/>
        </w:rPr>
        <w:t>-</w:t>
      </w:r>
      <w:r>
        <w:t xml:space="preserve"> Sentencia </w:t>
      </w:r>
      <w:hyperlink w:anchor="SENTENCIA_2015_29" w:history="1">
        <w:r w:rsidRPr="00DD47EB">
          <w:rPr>
            <w:rStyle w:val="TextoNormalCaracter"/>
          </w:rPr>
          <w:t>29/2015</w:t>
        </w:r>
      </w:hyperlink>
      <w:r>
        <w:t>, ff. 2, 5.</w:t>
      </w:r>
    </w:p>
    <w:p w:rsidR="00DD47EB" w:rsidRDefault="00DD47EB" w:rsidP="00DD47EB">
      <w:pPr>
        <w:pStyle w:val="SangriaFrancesaArticulo"/>
      </w:pPr>
      <w:r w:rsidRPr="00DD47EB">
        <w:rPr>
          <w:rStyle w:val="TextoNormalNegritaCaracter"/>
        </w:rPr>
        <w:t>Artículo 9.8</w:t>
      </w:r>
      <w:r>
        <w:t xml:space="preserve"> (redactado por la Ley 8/2013, de 26 de junio)</w:t>
      </w:r>
      <w:r w:rsidRPr="00DD47EB">
        <w:rPr>
          <w:rStyle w:val="TextoNormalNegritaCaracter"/>
        </w:rPr>
        <w:t>.</w:t>
      </w:r>
      <w:r w:rsidRPr="00DD47EB">
        <w:rPr>
          <w:rStyle w:val="TextoNormalCaracter"/>
        </w:rPr>
        <w:t>-</w:t>
      </w:r>
      <w:r>
        <w:t xml:space="preserve"> Sentencia </w:t>
      </w:r>
      <w:hyperlink w:anchor="SENTENCIA_2015_29" w:history="1">
        <w:r w:rsidRPr="00DD47EB">
          <w:rPr>
            <w:rStyle w:val="TextoNormalCaracter"/>
          </w:rPr>
          <w:t>29/2015</w:t>
        </w:r>
      </w:hyperlink>
      <w:r>
        <w:t>, f. 2.</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Autos </w:t>
      </w:r>
      <w:hyperlink w:anchor="AUTO_2015_36" w:history="1">
        <w:r w:rsidRPr="00DD47EB">
          <w:rPr>
            <w:rStyle w:val="TextoNormalCaracter"/>
          </w:rPr>
          <w:t>36/2015</w:t>
        </w:r>
      </w:hyperlink>
      <w:r>
        <w:t xml:space="preserve">, ff. 1, 3; </w:t>
      </w:r>
      <w:hyperlink w:anchor="AUTO_2015_62" w:history="1">
        <w:r w:rsidRPr="00DD47EB">
          <w:rPr>
            <w:rStyle w:val="TextoNormalCaracter"/>
          </w:rPr>
          <w:t>62/2015</w:t>
        </w:r>
      </w:hyperlink>
      <w:r>
        <w:t>, ff. 1, 2.</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Auto </w:t>
      </w:r>
      <w:hyperlink w:anchor="AUTO_2015_36" w:history="1">
        <w:r w:rsidRPr="00DD47EB">
          <w:rPr>
            <w:rStyle w:val="TextoNormalCaracter"/>
          </w:rPr>
          <w:t>36/2015</w:t>
        </w:r>
      </w:hyperlink>
      <w:r>
        <w:t>, ff. 1, 3.</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Sentencias </w:t>
      </w:r>
      <w:hyperlink w:anchor="SENTENCIA_2015_43" w:history="1">
        <w:r w:rsidRPr="00DD47EB">
          <w:rPr>
            <w:rStyle w:val="TextoNormalCaracter"/>
          </w:rPr>
          <w:t>43/2015</w:t>
        </w:r>
      </w:hyperlink>
      <w:r>
        <w:t xml:space="preserve">, ff. 2, 3; </w:t>
      </w:r>
      <w:hyperlink w:anchor="SENTENCIA_2015_56" w:history="1">
        <w:r w:rsidRPr="00DD47EB">
          <w:rPr>
            <w:rStyle w:val="TextoNormalCaracter"/>
          </w:rPr>
          <w:t>56/2015</w:t>
        </w:r>
      </w:hyperlink>
      <w:r>
        <w:t>, f. 2.</w:t>
      </w:r>
    </w:p>
    <w:p w:rsidR="00DD47EB" w:rsidRDefault="00DD47EB" w:rsidP="00DD47EB">
      <w:pPr>
        <w:pStyle w:val="SangriaIzquierdaArticulo"/>
      </w:pPr>
      <w:r>
        <w:t xml:space="preserve">Autos </w:t>
      </w:r>
      <w:hyperlink w:anchor="AUTO_2015_22" w:history="1">
        <w:r w:rsidRPr="00DD47EB">
          <w:rPr>
            <w:rStyle w:val="TextoNormalCaracter"/>
          </w:rPr>
          <w:t>22/2015</w:t>
        </w:r>
      </w:hyperlink>
      <w:r>
        <w:t xml:space="preserve">, f. 2; </w:t>
      </w:r>
      <w:hyperlink w:anchor="AUTO_2015_38" w:history="1">
        <w:r w:rsidRPr="00DD47EB">
          <w:rPr>
            <w:rStyle w:val="TextoNormalCaracter"/>
          </w:rPr>
          <w:t>38/2015</w:t>
        </w:r>
      </w:hyperlink>
      <w:r>
        <w:t xml:space="preserve">, f. 2; </w:t>
      </w:r>
      <w:hyperlink w:anchor="AUTO_2015_62" w:history="1">
        <w:r w:rsidRPr="00DD47EB">
          <w:rPr>
            <w:rStyle w:val="TextoNormalCaracter"/>
          </w:rPr>
          <w:t>62/2015</w:t>
        </w:r>
      </w:hyperlink>
      <w:r>
        <w:t>, f. 2.</w:t>
      </w:r>
    </w:p>
    <w:p w:rsidR="00DD47EB" w:rsidRDefault="00DD47EB" w:rsidP="00DD47EB">
      <w:pPr>
        <w:pStyle w:val="SangriaFrancesaArticulo"/>
      </w:pPr>
      <w:r w:rsidRPr="00DD47EB">
        <w:rPr>
          <w:rStyle w:val="TextoNormalNegritaCaracter"/>
        </w:rPr>
        <w:t>Artículo 23.1 a).</w:t>
      </w:r>
      <w:r w:rsidRPr="00DD47EB">
        <w:rPr>
          <w:rStyle w:val="TextoNormalCaracter"/>
        </w:rPr>
        <w:t>-</w:t>
      </w:r>
      <w:r>
        <w:t xml:space="preserve"> Sentencias </w:t>
      </w:r>
      <w:hyperlink w:anchor="SENTENCIA_2015_43" w:history="1">
        <w:r w:rsidRPr="00DD47EB">
          <w:rPr>
            <w:rStyle w:val="TextoNormalCaracter"/>
          </w:rPr>
          <w:t>43/2015</w:t>
        </w:r>
      </w:hyperlink>
      <w:r>
        <w:t xml:space="preserve">, ff. 1, 4, 5; </w:t>
      </w:r>
      <w:hyperlink w:anchor="SENTENCIA_2015_56" w:history="1">
        <w:r w:rsidRPr="00DD47EB">
          <w:rPr>
            <w:rStyle w:val="TextoNormalCaracter"/>
          </w:rPr>
          <w:t>56/2015</w:t>
        </w:r>
      </w:hyperlink>
      <w:r>
        <w:t>, ff. 1, 3.</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ff. 1, 2; </w:t>
      </w:r>
      <w:hyperlink w:anchor="AUTO_2015_21" w:history="1">
        <w:r w:rsidRPr="00DD47EB">
          <w:rPr>
            <w:rStyle w:val="TextoNormalCaracter"/>
          </w:rPr>
          <w:t>21/2015</w:t>
        </w:r>
      </w:hyperlink>
      <w:r>
        <w:t xml:space="preserve">, ff. 1, 3; </w:t>
      </w:r>
      <w:hyperlink w:anchor="AUTO_2015_22" w:history="1">
        <w:r w:rsidRPr="00DD47EB">
          <w:rPr>
            <w:rStyle w:val="TextoNormalCaracter"/>
          </w:rPr>
          <w:t>22/2015</w:t>
        </w:r>
      </w:hyperlink>
      <w:r>
        <w:t xml:space="preserve">, f.1; </w:t>
      </w:r>
      <w:hyperlink w:anchor="AUTO_2015_36" w:history="1">
        <w:r w:rsidRPr="00DD47EB">
          <w:rPr>
            <w:rStyle w:val="TextoNormalCaracter"/>
          </w:rPr>
          <w:t>36/2015</w:t>
        </w:r>
      </w:hyperlink>
      <w:r>
        <w:t xml:space="preserve">, ff. 1, 3; </w:t>
      </w:r>
      <w:hyperlink w:anchor="AUTO_2015_38" w:history="1">
        <w:r w:rsidRPr="00DD47EB">
          <w:rPr>
            <w:rStyle w:val="TextoNormalCaracter"/>
          </w:rPr>
          <w:t>38/2015</w:t>
        </w:r>
      </w:hyperlink>
      <w:r>
        <w:t xml:space="preserve">, f. 1; </w:t>
      </w:r>
      <w:hyperlink w:anchor="AUTO_2015_61" w:history="1">
        <w:r w:rsidRPr="00DD47EB">
          <w:rPr>
            <w:rStyle w:val="TextoNormalCaracter"/>
          </w:rPr>
          <w:t>61/2015</w:t>
        </w:r>
      </w:hyperlink>
      <w:r>
        <w:t xml:space="preserve">, ff. 1, 2; </w:t>
      </w:r>
      <w:hyperlink w:anchor="AUTO_2015_62" w:history="1">
        <w:r w:rsidRPr="00DD47EB">
          <w:rPr>
            <w:rStyle w:val="TextoNormalCaracter"/>
          </w:rPr>
          <w:t>62/2015</w:t>
        </w:r>
      </w:hyperlink>
      <w:r>
        <w:t>, ff. 1, 2.</w:t>
      </w:r>
    </w:p>
    <w:p w:rsidR="00DD47EB" w:rsidRDefault="00DD47EB" w:rsidP="00DD47EB">
      <w:pPr>
        <w:pStyle w:val="SangriaFrancesaArticulo"/>
      </w:pPr>
      <w:r w:rsidRPr="00DD47EB">
        <w:rPr>
          <w:rStyle w:val="TextoNormalNegritaCaracter"/>
        </w:rPr>
        <w:t>Artículo 23.2.</w:t>
      </w:r>
      <w:r w:rsidRPr="00DD47EB">
        <w:rPr>
          <w:rStyle w:val="TextoNormalCaracter"/>
        </w:rPr>
        <w:t>-</w:t>
      </w:r>
      <w:r>
        <w:t xml:space="preserve"> Sentencias </w:t>
      </w:r>
      <w:hyperlink w:anchor="SENTENCIA_2015_43" w:history="1">
        <w:r w:rsidRPr="00DD47EB">
          <w:rPr>
            <w:rStyle w:val="TextoNormalCaracter"/>
          </w:rPr>
          <w:t>43/2015</w:t>
        </w:r>
      </w:hyperlink>
      <w:r>
        <w:t xml:space="preserve">, ff. 1, 5; </w:t>
      </w:r>
      <w:hyperlink w:anchor="SENTENCIA_2015_56" w:history="1">
        <w:r w:rsidRPr="00DD47EB">
          <w:rPr>
            <w:rStyle w:val="TextoNormalCaracter"/>
          </w:rPr>
          <w:t>56/2015</w:t>
        </w:r>
      </w:hyperlink>
      <w:r>
        <w:t>, ff. 1, 3.</w:t>
      </w:r>
    </w:p>
    <w:p w:rsidR="00DD47EB" w:rsidRDefault="00DD47EB" w:rsidP="00DD47EB">
      <w:pPr>
        <w:pStyle w:val="SangriaIzquierdaArticulo"/>
      </w:pPr>
      <w:r>
        <w:t xml:space="preserve">Autos </w:t>
      </w:r>
      <w:hyperlink w:anchor="AUTO_2015_8" w:history="1">
        <w:r w:rsidRPr="00DD47EB">
          <w:rPr>
            <w:rStyle w:val="TextoNormalCaracter"/>
          </w:rPr>
          <w:t>8/2015</w:t>
        </w:r>
      </w:hyperlink>
      <w:r>
        <w:t xml:space="preserve">, ff. 1, 2; </w:t>
      </w:r>
      <w:hyperlink w:anchor="AUTO_2015_21" w:history="1">
        <w:r w:rsidRPr="00DD47EB">
          <w:rPr>
            <w:rStyle w:val="TextoNormalCaracter"/>
          </w:rPr>
          <w:t>21/2015</w:t>
        </w:r>
      </w:hyperlink>
      <w:r>
        <w:t xml:space="preserve">, ff. 1, 3; </w:t>
      </w:r>
      <w:hyperlink w:anchor="AUTO_2015_22" w:history="1">
        <w:r w:rsidRPr="00DD47EB">
          <w:rPr>
            <w:rStyle w:val="TextoNormalCaracter"/>
          </w:rPr>
          <w:t>22/2015</w:t>
        </w:r>
      </w:hyperlink>
      <w:r>
        <w:t xml:space="preserve">, f. 1; </w:t>
      </w:r>
      <w:hyperlink w:anchor="AUTO_2015_36" w:history="1">
        <w:r w:rsidRPr="00DD47EB">
          <w:rPr>
            <w:rStyle w:val="TextoNormalCaracter"/>
          </w:rPr>
          <w:t>36/2015</w:t>
        </w:r>
      </w:hyperlink>
      <w:r>
        <w:t xml:space="preserve">, ff. 1, 3; </w:t>
      </w:r>
      <w:hyperlink w:anchor="AUTO_2015_38" w:history="1">
        <w:r w:rsidRPr="00DD47EB">
          <w:rPr>
            <w:rStyle w:val="TextoNormalCaracter"/>
          </w:rPr>
          <w:t>38/2015</w:t>
        </w:r>
      </w:hyperlink>
      <w:r>
        <w:t xml:space="preserve">, f. 1; </w:t>
      </w:r>
      <w:hyperlink w:anchor="AUTO_2015_61" w:history="1">
        <w:r w:rsidRPr="00DD47EB">
          <w:rPr>
            <w:rStyle w:val="TextoNormalCaracter"/>
          </w:rPr>
          <w:t>61/2015</w:t>
        </w:r>
      </w:hyperlink>
      <w:r>
        <w:t xml:space="preserve">, ff. 1, 2; </w:t>
      </w:r>
      <w:hyperlink w:anchor="AUTO_2015_62" w:history="1">
        <w:r w:rsidRPr="00DD47EB">
          <w:rPr>
            <w:rStyle w:val="TextoNormalCaracter"/>
          </w:rPr>
          <w:t>62/2015</w:t>
        </w:r>
      </w:hyperlink>
      <w:r>
        <w:t>, ff. 1, 2.</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 </w:t>
      </w:r>
      <w:hyperlink w:anchor="SENTENCIA_2015_43" w:history="1">
        <w:r w:rsidRPr="00DD47EB">
          <w:rPr>
            <w:rStyle w:val="TextoNormalCaracter"/>
          </w:rPr>
          <w:t>43/2015</w:t>
        </w:r>
      </w:hyperlink>
      <w:r>
        <w:t>, f. 3.</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Auto </w:t>
      </w:r>
      <w:hyperlink w:anchor="AUTO_2015_62" w:history="1">
        <w:r w:rsidRPr="00DD47EB">
          <w:rPr>
            <w:rStyle w:val="TextoNormalCaracter"/>
          </w:rPr>
          <w:t>62/2015</w:t>
        </w:r>
      </w:hyperlink>
      <w:r>
        <w:t>, ff. 1, 2.</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43" w:history="1">
        <w:r w:rsidRPr="00DD47EB">
          <w:rPr>
            <w:rStyle w:val="TextoNormalCaracter"/>
          </w:rPr>
          <w:t>43/2015</w:t>
        </w:r>
      </w:hyperlink>
      <w:r>
        <w:t>, f. 2.</w:t>
      </w:r>
    </w:p>
    <w:p w:rsidR="00DD47EB" w:rsidRDefault="00DD47EB" w:rsidP="00DD47EB">
      <w:pPr>
        <w:pStyle w:val="SangriaIzquierdaArticulo"/>
      </w:pPr>
      <w:r>
        <w:t xml:space="preserve">Autos </w:t>
      </w:r>
      <w:hyperlink w:anchor="AUTO_2015_61" w:history="1">
        <w:r w:rsidRPr="00DD47EB">
          <w:rPr>
            <w:rStyle w:val="TextoNormalCaracter"/>
          </w:rPr>
          <w:t>61/2015</w:t>
        </w:r>
      </w:hyperlink>
      <w:r>
        <w:t xml:space="preserve">, f. 2; </w:t>
      </w:r>
      <w:hyperlink w:anchor="AUTO_2015_62" w:history="1">
        <w:r w:rsidRPr="00DD47EB">
          <w:rPr>
            <w:rStyle w:val="TextoNormalCaracter"/>
          </w:rPr>
          <w:t>62/2015</w:t>
        </w:r>
      </w:hyperlink>
      <w:r>
        <w:t>, f. 2.</w:t>
      </w:r>
    </w:p>
    <w:p w:rsidR="00DD47EB" w:rsidRDefault="00DD47EB" w:rsidP="00DD47EB">
      <w:pPr>
        <w:pStyle w:val="SangriaIzquierdaArticulo"/>
      </w:pPr>
    </w:p>
    <w:p w:rsidR="00DD47EB" w:rsidRDefault="00DD47EB" w:rsidP="00DD47EB">
      <w:pPr>
        <w:pStyle w:val="TextoNormalNegritaCursivandice"/>
      </w:pPr>
      <w:r>
        <w:t>Real Decreto Legislativo 3/2011, de 14 de noviembre. Aprueba el texto refundido de la Ley de contratos del sector público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4" w:history="1">
        <w:r w:rsidRPr="00DD47EB">
          <w:rPr>
            <w:rStyle w:val="TextoNormalCaracter"/>
          </w:rPr>
          <w:t>84/2015</w:t>
        </w:r>
      </w:hyperlink>
      <w:r>
        <w:t xml:space="preserve">, f. 1;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Sentencias </w:t>
      </w:r>
      <w:hyperlink w:anchor="SENTENCIA_2015_84" w:history="1">
        <w:r w:rsidRPr="00DD47EB">
          <w:rPr>
            <w:rStyle w:val="TextoNormalCaracter"/>
          </w:rPr>
          <w:t>84/2015</w:t>
        </w:r>
      </w:hyperlink>
      <w:r>
        <w:t xml:space="preserve">, ff. 5, 6; </w:t>
      </w:r>
      <w:hyperlink w:anchor="SENTENCIA_2015_103" w:history="1">
        <w:r w:rsidRPr="00DD47EB">
          <w:rPr>
            <w:rStyle w:val="TextoNormalCaracter"/>
          </w:rPr>
          <w:t>103/2015</w:t>
        </w:r>
      </w:hyperlink>
      <w:r>
        <w:t>, f. 7.</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3.2 e).</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03" w:history="1">
        <w:r w:rsidRPr="00DD47EB">
          <w:rPr>
            <w:rStyle w:val="TextoNormalCaracter"/>
          </w:rPr>
          <w:t>103/2015</w:t>
        </w:r>
      </w:hyperlink>
      <w:r>
        <w:t>, ff. 3, 5.</w:t>
      </w:r>
    </w:p>
    <w:p w:rsidR="00DD47EB" w:rsidRDefault="00DD47EB" w:rsidP="00DD47EB">
      <w:pPr>
        <w:pStyle w:val="SangriaFrancesaArticulo"/>
      </w:pPr>
      <w:r w:rsidRPr="00DD47EB">
        <w:rPr>
          <w:rStyle w:val="TextoNormalNegritaCaracter"/>
        </w:rPr>
        <w:t>Artículo 4 n).</w:t>
      </w:r>
      <w:r w:rsidRPr="00DD47EB">
        <w:rPr>
          <w:rStyle w:val="TextoNormalCaracter"/>
        </w:rPr>
        <w:t>-</w:t>
      </w:r>
      <w:r>
        <w:t xml:space="preserve"> Sentencia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8.1.</w:t>
      </w:r>
      <w:r w:rsidRPr="00DD47EB">
        <w:rPr>
          <w:rStyle w:val="TextoNormalCaracter"/>
        </w:rPr>
        <w:t>-</w:t>
      </w:r>
      <w:r>
        <w:t xml:space="preserve"> Sentencias </w:t>
      </w:r>
      <w:hyperlink w:anchor="SENTENCIA_2015_84" w:history="1">
        <w:r w:rsidRPr="00DD47EB">
          <w:rPr>
            <w:rStyle w:val="TextoNormalCaracter"/>
          </w:rPr>
          <w:t>84/2015</w:t>
        </w:r>
      </w:hyperlink>
      <w:r>
        <w:t xml:space="preserve">, f. 5;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Artículo 8.2.</w:t>
      </w:r>
      <w:r w:rsidRPr="00DD47EB">
        <w:rPr>
          <w:rStyle w:val="TextoNormalCaracter"/>
        </w:rPr>
        <w:t>-</w:t>
      </w:r>
      <w:r>
        <w:t xml:space="preserve"> Sentencias </w:t>
      </w:r>
      <w:hyperlink w:anchor="SENTENCIA_2015_84" w:history="1">
        <w:r w:rsidRPr="00DD47EB">
          <w:rPr>
            <w:rStyle w:val="TextoNormalCaracter"/>
          </w:rPr>
          <w:t>84/2015</w:t>
        </w:r>
      </w:hyperlink>
      <w:r>
        <w:t xml:space="preserve">, f. 5;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84" w:history="1">
        <w:r w:rsidRPr="00DD47EB">
          <w:rPr>
            <w:rStyle w:val="TextoNormalCaracter"/>
          </w:rPr>
          <w:t>84/2015</w:t>
        </w:r>
      </w:hyperlink>
      <w:r>
        <w:t>, f. 6.</w:t>
      </w:r>
    </w:p>
    <w:p w:rsidR="00DD47EB" w:rsidRDefault="00DD47EB" w:rsidP="00DD47EB">
      <w:pPr>
        <w:pStyle w:val="SangriaFrancesaArticulo"/>
      </w:pPr>
      <w:r w:rsidRPr="00DD47EB">
        <w:rPr>
          <w:rStyle w:val="TextoNormalNegritaCaracter"/>
        </w:rPr>
        <w:t>Artículo 19.1 a).</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24.6.</w:t>
      </w:r>
      <w:r w:rsidRPr="00DD47EB">
        <w:rPr>
          <w:rStyle w:val="TextoNormalCaracter"/>
        </w:rPr>
        <w:t>-</w:t>
      </w:r>
      <w:r>
        <w:t xml:space="preserve"> Sentencia </w:t>
      </w:r>
      <w:hyperlink w:anchor="SENTENCIA_2015_103" w:history="1">
        <w:r w:rsidRPr="00DD47EB">
          <w:rPr>
            <w:rStyle w:val="TextoNormalCaracter"/>
          </w:rPr>
          <w:t>103/2015</w:t>
        </w:r>
      </w:hyperlink>
      <w:r>
        <w:t>, ff. 3, 5.</w:t>
      </w:r>
    </w:p>
    <w:p w:rsidR="00DD47EB" w:rsidRDefault="00DD47EB" w:rsidP="00DD47EB">
      <w:pPr>
        <w:pStyle w:val="SangriaFrancesaArticulo"/>
      </w:pPr>
      <w:r w:rsidRPr="00DD47EB">
        <w:rPr>
          <w:rStyle w:val="TextoNormalNegritaCaracter"/>
        </w:rPr>
        <w:t>Artículo 54.</w:t>
      </w:r>
      <w:r w:rsidRPr="00DD47EB">
        <w:rPr>
          <w:rStyle w:val="TextoNormalCaracter"/>
        </w:rPr>
        <w:t>-</w:t>
      </w:r>
      <w:r>
        <w:t xml:space="preserve"> Sentencia </w:t>
      </w:r>
      <w:hyperlink w:anchor="SENTENCIA_2015_84" w:history="1">
        <w:r w:rsidRPr="00DD47EB">
          <w:rPr>
            <w:rStyle w:val="TextoNormalCaracter"/>
          </w:rPr>
          <w:t>84/2015</w:t>
        </w:r>
      </w:hyperlink>
      <w:r>
        <w:t>, f. 6.</w:t>
      </w:r>
    </w:p>
    <w:p w:rsidR="00DD47EB" w:rsidRDefault="00DD47EB" w:rsidP="00DD47EB">
      <w:pPr>
        <w:pStyle w:val="SangriaFrancesaArticulo"/>
      </w:pPr>
      <w:r w:rsidRPr="00DD47EB">
        <w:rPr>
          <w:rStyle w:val="TextoNormalNegritaCaracter"/>
        </w:rPr>
        <w:t>Artículo 74.</w:t>
      </w:r>
      <w:r w:rsidRPr="00DD47EB">
        <w:rPr>
          <w:rStyle w:val="TextoNormalCaracter"/>
        </w:rPr>
        <w:t>-</w:t>
      </w:r>
      <w:r>
        <w:t xml:space="preserve"> Sentencia </w:t>
      </w:r>
      <w:hyperlink w:anchor="SENTENCIA_2015_84" w:history="1">
        <w:r w:rsidRPr="00DD47EB">
          <w:rPr>
            <w:rStyle w:val="TextoNormalCaracter"/>
          </w:rPr>
          <w:t>84/2015</w:t>
        </w:r>
      </w:hyperlink>
      <w:r>
        <w:t>, f. 6.</w:t>
      </w:r>
    </w:p>
    <w:p w:rsidR="00DD47EB" w:rsidRDefault="00DD47EB" w:rsidP="00DD47EB">
      <w:pPr>
        <w:pStyle w:val="SangriaFrancesaArticulo"/>
      </w:pPr>
      <w:r w:rsidRPr="00DD47EB">
        <w:rPr>
          <w:rStyle w:val="TextoNormalNegritaCaracter"/>
        </w:rPr>
        <w:t>Artículo 150.</w:t>
      </w:r>
      <w:r w:rsidRPr="00DD47EB">
        <w:rPr>
          <w:rStyle w:val="TextoNormalCaracter"/>
        </w:rPr>
        <w:t>-</w:t>
      </w:r>
      <w:r>
        <w:t xml:space="preserve"> Sentencia </w:t>
      </w:r>
      <w:hyperlink w:anchor="SENTENCIA_2015_84" w:history="1">
        <w:r w:rsidRPr="00DD47EB">
          <w:rPr>
            <w:rStyle w:val="TextoNormalCaracter"/>
          </w:rPr>
          <w:t>84/2015</w:t>
        </w:r>
      </w:hyperlink>
      <w:r>
        <w:t>, f. 6.</w:t>
      </w:r>
    </w:p>
    <w:p w:rsidR="00DD47EB" w:rsidRDefault="00DD47EB" w:rsidP="00DD47EB">
      <w:pPr>
        <w:pStyle w:val="SangriaFrancesaArticulo"/>
      </w:pPr>
      <w:r w:rsidRPr="00DD47EB">
        <w:rPr>
          <w:rStyle w:val="TextoNormalNegritaCaracter"/>
        </w:rPr>
        <w:t>Artículo 175.</w:t>
      </w:r>
      <w:r w:rsidRPr="00DD47EB">
        <w:rPr>
          <w:rStyle w:val="TextoNormalCaracter"/>
        </w:rPr>
        <w:t>-</w:t>
      </w:r>
      <w:r>
        <w:t xml:space="preserve"> Sentencia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Artículo 275.1.</w:t>
      </w:r>
      <w:r w:rsidRPr="00DD47EB">
        <w:rPr>
          <w:rStyle w:val="TextoNormalCaracter"/>
        </w:rPr>
        <w:t>-</w:t>
      </w:r>
      <w:r>
        <w:t xml:space="preserve"> Sentencia </w:t>
      </w:r>
      <w:hyperlink w:anchor="SENTENCIA_2015_84" w:history="1">
        <w:r w:rsidRPr="00DD47EB">
          <w:rPr>
            <w:rStyle w:val="TextoNormalCaracter"/>
          </w:rPr>
          <w:t>84/2015</w:t>
        </w:r>
      </w:hyperlink>
      <w:r>
        <w:t>, f. 7.</w:t>
      </w:r>
    </w:p>
    <w:p w:rsidR="00DD47EB" w:rsidRDefault="00DD47EB" w:rsidP="00DD47EB">
      <w:pPr>
        <w:pStyle w:val="SangriaFrancesaArticulo"/>
      </w:pPr>
      <w:r w:rsidRPr="00DD47EB">
        <w:rPr>
          <w:rStyle w:val="TextoNormalNegritaCaracter"/>
        </w:rPr>
        <w:t>Artículo 277.</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Disposición adicional vigésima novena.</w:t>
      </w:r>
      <w:r w:rsidRPr="00DD47EB">
        <w:rPr>
          <w:rStyle w:val="TextoNormalCaracter"/>
        </w:rPr>
        <w:t>-</w:t>
      </w:r>
      <w:r>
        <w:t xml:space="preserve"> Sentencia </w:t>
      </w:r>
      <w:hyperlink w:anchor="SENTENCIA_2015_103" w:history="1">
        <w:r w:rsidRPr="00DD47EB">
          <w:rPr>
            <w:rStyle w:val="TextoNormalCaracter"/>
          </w:rPr>
          <w:t>103/2015</w:t>
        </w:r>
      </w:hyperlink>
      <w:r>
        <w:t>, ff. 5, 7.</w:t>
      </w:r>
    </w:p>
    <w:p w:rsidR="00DD47EB" w:rsidRDefault="00DD47EB" w:rsidP="00DD47EB">
      <w:pPr>
        <w:pStyle w:val="SangriaFrancesaArticulo"/>
      </w:pPr>
      <w:r w:rsidRPr="00DD47EB">
        <w:rPr>
          <w:rStyle w:val="TextoNormalNegritaCaracter"/>
        </w:rPr>
        <w:t>Disposición final segunda, apartado 3.</w:t>
      </w:r>
      <w:r w:rsidRPr="00DD47EB">
        <w:rPr>
          <w:rStyle w:val="TextoNormalCaracter"/>
        </w:rPr>
        <w:t>-</w:t>
      </w:r>
      <w:r>
        <w:t xml:space="preserve"> Sentencias </w:t>
      </w:r>
      <w:hyperlink w:anchor="SENTENCIA_2015_84" w:history="1">
        <w:r w:rsidRPr="00DD47EB">
          <w:rPr>
            <w:rStyle w:val="TextoNormalCaracter"/>
          </w:rPr>
          <w:t>84/2015</w:t>
        </w:r>
      </w:hyperlink>
      <w:r>
        <w:t xml:space="preserve">, ff. 5, 6; </w:t>
      </w:r>
      <w:hyperlink w:anchor="SENTENCIA_2015_103" w:history="1">
        <w:r w:rsidRPr="00DD47EB">
          <w:rPr>
            <w:rStyle w:val="TextoNormalCaracter"/>
          </w:rPr>
          <w:t>103/2015</w:t>
        </w:r>
      </w:hyperlink>
      <w:r>
        <w:t>, f. 6.</w:t>
      </w:r>
    </w:p>
    <w:p w:rsidR="00DD47EB" w:rsidRDefault="00DD47EB" w:rsidP="00DD47EB">
      <w:pPr>
        <w:pStyle w:val="TextoNormal"/>
      </w:pPr>
    </w:p>
    <w:p w:rsidR="00DD47EB" w:rsidRDefault="00DD47EB" w:rsidP="00DD47EB">
      <w:pPr>
        <w:pStyle w:val="SangriaFrancesaArticulo"/>
      </w:pPr>
      <w:bookmarkStart w:id="275" w:name="INDICE22848"/>
    </w:p>
    <w:bookmarkEnd w:id="275"/>
    <w:p w:rsidR="00DD47EB" w:rsidRDefault="00DD47EB" w:rsidP="00DD47EB">
      <w:pPr>
        <w:pStyle w:val="TextoIndiceNivel2"/>
        <w:suppressAutoHyphens/>
      </w:pPr>
      <w:r>
        <w:t>G) Reales Decretos-leyes</w:t>
      </w:r>
    </w:p>
    <w:p w:rsidR="00DD47EB" w:rsidRDefault="00DD47EB" w:rsidP="00DD47EB">
      <w:pPr>
        <w:pStyle w:val="TextoIndiceNivel2"/>
      </w:pPr>
    </w:p>
    <w:p w:rsidR="00DD47EB" w:rsidRDefault="00DD47EB" w:rsidP="00DD47EB">
      <w:pPr>
        <w:pStyle w:val="TextoNormalNegritaCursivandice"/>
      </w:pPr>
      <w:r>
        <w:t>Real Decreto-ley 8/1983, de 30 de noviembre. Reconversión y reindustrialización de industrias en general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3" w:history="1">
        <w:r w:rsidRPr="00DD47EB">
          <w:rPr>
            <w:rStyle w:val="TextoNormalCaracter"/>
          </w:rPr>
          <w:t>93/2015</w:t>
        </w:r>
      </w:hyperlink>
      <w:r>
        <w:t>, f. 7.</w:t>
      </w:r>
    </w:p>
    <w:p w:rsidR="00DD47EB" w:rsidRDefault="00DD47EB" w:rsidP="00DD47EB">
      <w:pPr>
        <w:pStyle w:val="SangriaFrancesaArticulo"/>
      </w:pPr>
    </w:p>
    <w:p w:rsidR="00DD47EB" w:rsidRDefault="00DD47EB" w:rsidP="00DD47EB">
      <w:pPr>
        <w:pStyle w:val="TextoNormalNegritaCursivandice"/>
      </w:pPr>
      <w:r>
        <w:t>Real Decreto-ley 15/1998, de 27 de noviembre. Medidas urgentes para la mejora del mercado de trabajo en relación con el trabajo a tiempo parcial y el fomento de su estabilidad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1, VP.</w:t>
      </w:r>
    </w:p>
    <w:p w:rsidR="00DD47EB" w:rsidRDefault="00DD47EB" w:rsidP="00DD47EB">
      <w:pPr>
        <w:pStyle w:val="SangriaFrancesaArticulo"/>
      </w:pPr>
    </w:p>
    <w:p w:rsidR="00DD47EB" w:rsidRDefault="00DD47EB" w:rsidP="00DD47EB">
      <w:pPr>
        <w:pStyle w:val="TextoNormalNegritaCursivandice"/>
      </w:pPr>
      <w:r>
        <w:t>Real Decreto-ley 6/2000, de 23 de junio.  Medidas urgentes de intensificación de la competencia en mercados de bienes y servicios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7" w:history="1">
        <w:r w:rsidRPr="00DD47EB">
          <w:rPr>
            <w:rStyle w:val="TextoNormalCaracter"/>
          </w:rPr>
          <w:t>67/2015</w:t>
        </w:r>
      </w:hyperlink>
      <w:r>
        <w:t>, f. 3.</w:t>
      </w:r>
    </w:p>
    <w:p w:rsidR="00DD47EB" w:rsidRDefault="00DD47EB" w:rsidP="00DD47EB">
      <w:pPr>
        <w:pStyle w:val="SangriaFrancesaArticulo"/>
      </w:pPr>
    </w:p>
    <w:p w:rsidR="00DD47EB" w:rsidRDefault="00DD47EB" w:rsidP="00DD47EB">
      <w:pPr>
        <w:pStyle w:val="TextoNormalNegritaCursivandice"/>
      </w:pPr>
      <w:r>
        <w:t>Real Decreto-ley 7/2000, de 23 de junio. Medidas urgentes en el sector de las telecomunicaciones</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12" w:history="1">
        <w:r w:rsidRPr="00DD47EB">
          <w:rPr>
            <w:rStyle w:val="TextoNormalCaracter"/>
          </w:rPr>
          <w:t>12/2015</w:t>
        </w:r>
      </w:hyperlink>
      <w:r>
        <w:t>, VP I.</w:t>
      </w:r>
    </w:p>
    <w:p w:rsidR="00DD47EB" w:rsidRDefault="00DD47EB" w:rsidP="00DD47EB">
      <w:pPr>
        <w:pStyle w:val="SangriaFrancesaArticulo"/>
      </w:pPr>
      <w:r w:rsidRPr="00DD47EB">
        <w:rPr>
          <w:rStyle w:val="TextoNormalNegritaCaracter"/>
        </w:rPr>
        <w:t>Artículo 8.3.</w:t>
      </w:r>
      <w:r w:rsidRPr="00DD47EB">
        <w:rPr>
          <w:rStyle w:val="TextoNormalCaracter"/>
        </w:rPr>
        <w:t>-</w:t>
      </w:r>
      <w:r>
        <w:t xml:space="preserve"> Sentencia </w:t>
      </w:r>
      <w:hyperlink w:anchor="SENTENCIA_2015_12" w:history="1">
        <w:r w:rsidRPr="00DD47EB">
          <w:rPr>
            <w:rStyle w:val="TextoNormalCaracter"/>
          </w:rPr>
          <w:t>12/2015</w:t>
        </w:r>
      </w:hyperlink>
      <w:r>
        <w:t>, VP I.</w:t>
      </w:r>
    </w:p>
    <w:p w:rsidR="00DD47EB" w:rsidRDefault="00DD47EB" w:rsidP="00DD47EB">
      <w:pPr>
        <w:pStyle w:val="SangriaFrancesaArticulo"/>
      </w:pPr>
    </w:p>
    <w:p w:rsidR="00DD47EB" w:rsidRDefault="00DD47EB" w:rsidP="00DD47EB">
      <w:pPr>
        <w:pStyle w:val="TextoNormalNegritaCursivandice"/>
      </w:pPr>
      <w:r>
        <w:t>Real Decreto-ley 5/2002, de 24 de mayo. Medidas urgentes para la reforma del sistema de protección por desempleo y mejora de la ocupabilidad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Autos </w:t>
      </w:r>
      <w:hyperlink w:anchor="AUTO_2015_33" w:history="1">
        <w:r w:rsidRPr="00DD47EB">
          <w:rPr>
            <w:rStyle w:val="TextoNormalCaracter"/>
          </w:rPr>
          <w:t>33/2015</w:t>
        </w:r>
      </w:hyperlink>
      <w:r>
        <w:t xml:space="preserve">, f. 5; </w:t>
      </w:r>
      <w:hyperlink w:anchor="AUTO_2015_34" w:history="1">
        <w:r w:rsidRPr="00DD47EB">
          <w:rPr>
            <w:rStyle w:val="TextoNormalCaracter"/>
          </w:rPr>
          <w:t>34/2015</w:t>
        </w:r>
      </w:hyperlink>
      <w:r>
        <w:t>, f. 5.</w:t>
      </w:r>
    </w:p>
    <w:p w:rsidR="00DD47EB" w:rsidRDefault="00DD47EB" w:rsidP="00DD47EB">
      <w:pPr>
        <w:pStyle w:val="SangriaFrancesaArticulo"/>
      </w:pPr>
    </w:p>
    <w:p w:rsidR="00DD47EB" w:rsidRDefault="00DD47EB" w:rsidP="00DD47EB">
      <w:pPr>
        <w:pStyle w:val="TextoNormalNegritaCursivandice"/>
      </w:pPr>
      <w:r>
        <w:t>Real Decreto-ley 2/2004, de 18 de junio. Modificación de la Ley 10/2001, de 5 de julio. Plan hidrológico nacional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 w:history="1">
        <w:r w:rsidRPr="00DD47EB">
          <w:rPr>
            <w:rStyle w:val="TextoNormalCaracter"/>
          </w:rPr>
          <w:t>13/2015</w:t>
        </w:r>
      </w:hyperlink>
      <w:r>
        <w:t>, f. 4.</w:t>
      </w:r>
    </w:p>
    <w:p w:rsidR="00DD47EB" w:rsidRDefault="00DD47EB" w:rsidP="00DD47EB">
      <w:pPr>
        <w:pStyle w:val="SangriaFrancesaArticulo"/>
      </w:pPr>
    </w:p>
    <w:p w:rsidR="00DD47EB" w:rsidRDefault="00DD47EB" w:rsidP="00DD47EB">
      <w:pPr>
        <w:pStyle w:val="TextoNormalNegritaCursivandice"/>
      </w:pPr>
      <w:r>
        <w:t>Real Decreto-ley 6/2009, de 30 de abril. Adopción de determinadas medidas en el sector energético y se aprueba el bono social</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48" w:history="1">
        <w:r w:rsidRPr="00DD47EB">
          <w:rPr>
            <w:rStyle w:val="TextoNormalCaracter"/>
          </w:rPr>
          <w:t>48/2015</w:t>
        </w:r>
      </w:hyperlink>
      <w:r>
        <w:t>, ff. 2, 6.</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48" w:history="1">
        <w:r w:rsidRPr="00DD47EB">
          <w:rPr>
            <w:rStyle w:val="TextoNormalCaracter"/>
          </w:rPr>
          <w:t>48/2015</w:t>
        </w:r>
      </w:hyperlink>
      <w:r>
        <w:t>, VP.</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p>
    <w:p w:rsidR="00DD47EB" w:rsidRDefault="00DD47EB" w:rsidP="00DD47EB">
      <w:pPr>
        <w:pStyle w:val="TextoNormalNegritaCursivandice"/>
      </w:pPr>
      <w:r>
        <w:t>Real Decreto-ley 9/2009, de 26 de junio. Reestructuración bancaria y reforzamiento de los recursos propios de las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7" w:history="1">
        <w:r w:rsidRPr="00DD47EB">
          <w:rPr>
            <w:rStyle w:val="TextoNormalCaracter"/>
          </w:rPr>
          <w:t>47/2015</w:t>
        </w:r>
      </w:hyperlink>
      <w:r>
        <w:t>, ff. 2, 6.</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r w:rsidRPr="00DD47EB">
        <w:rPr>
          <w:rStyle w:val="TextoNormalNegritaCaracter"/>
        </w:rPr>
        <w:t>Artículos 6 a 8.</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r w:rsidRPr="00DD47EB">
        <w:rPr>
          <w:rStyle w:val="TextoNormalNegritaCaracter"/>
        </w:rPr>
        <w:t>Artículo 9.8.</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r w:rsidRPr="00DD47EB">
        <w:rPr>
          <w:rStyle w:val="TextoNormalNegritaCaracter"/>
        </w:rPr>
        <w:t>Artículo 12</w:t>
      </w:r>
      <w:r>
        <w:t xml:space="preserve"> (redactado por el Real Decreto-ley 2/2011, de 18 de febrero)</w:t>
      </w:r>
      <w:r w:rsidRPr="00DD47EB">
        <w:rPr>
          <w:rStyle w:val="TextoNormalNegritaCaracter"/>
        </w:rPr>
        <w:t>.</w:t>
      </w:r>
      <w:r w:rsidRPr="00DD47EB">
        <w:rPr>
          <w:rStyle w:val="TextoNormalCaracter"/>
        </w:rPr>
        <w:t>-</w:t>
      </w:r>
      <w:r>
        <w:t xml:space="preserve"> Sentencia </w:t>
      </w:r>
      <w:hyperlink w:anchor="SENTENCIA_2015_47" w:history="1">
        <w:r w:rsidRPr="00DD47EB">
          <w:rPr>
            <w:rStyle w:val="TextoNormalCaracter"/>
          </w:rPr>
          <w:t>47/2015</w:t>
        </w:r>
      </w:hyperlink>
      <w:r>
        <w:t>, ff. 2, 6.</w:t>
      </w:r>
    </w:p>
    <w:p w:rsidR="00DD47EB" w:rsidRDefault="00DD47EB" w:rsidP="00DD47EB">
      <w:pPr>
        <w:pStyle w:val="SangriaFrancesaArticulo"/>
      </w:pPr>
      <w:r w:rsidRPr="00DD47EB">
        <w:rPr>
          <w:rStyle w:val="TextoNormalNegritaCaracter"/>
        </w:rPr>
        <w:t>Artículo 12.1</w:t>
      </w:r>
      <w:r>
        <w:t xml:space="preserve"> (redactado por el Real Decreto-ley 2/2011, de 18 de febrero)</w:t>
      </w:r>
      <w:r w:rsidRPr="00DD47EB">
        <w:rPr>
          <w:rStyle w:val="TextoNormalNegritaCaracter"/>
        </w:rPr>
        <w:t>.</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 xml:space="preserve">Artículo 12.1 </w:t>
      </w:r>
      <w:r w:rsidRPr="00DD47EB">
        <w:rPr>
          <w:rStyle w:val="TextoNormalNegritaCursivaCaracter"/>
        </w:rPr>
        <w:t>in fine</w:t>
      </w:r>
      <w:r>
        <w:t xml:space="preserve"> </w:t>
      </w:r>
      <w:r w:rsidRPr="00DD47EB">
        <w:rPr>
          <w:rStyle w:val="TextoNormalCaracter"/>
        </w:rPr>
        <w:t>(redactado por el Real Decreto-ley 2/2011, de 18 de febrero)</w:t>
      </w:r>
      <w:r w:rsidRPr="00DD47EB">
        <w:rPr>
          <w:rStyle w:val="TextoNormalNegritaCaracter"/>
        </w:rPr>
        <w:t>.</w:t>
      </w:r>
      <w:r w:rsidRPr="00DD47EB">
        <w:rPr>
          <w:rStyle w:val="TextoNormalCaracter"/>
        </w:rPr>
        <w:t>-</w:t>
      </w:r>
      <w:r>
        <w:t xml:space="preserve"> Sentencia </w:t>
      </w:r>
      <w:hyperlink w:anchor="SENTENCIA_2015_47" w:history="1">
        <w:r w:rsidRPr="00DD47EB">
          <w:rPr>
            <w:rStyle w:val="TextoNormalCaracter"/>
          </w:rPr>
          <w:t>47/2015</w:t>
        </w:r>
      </w:hyperlink>
      <w:r>
        <w:t>, ff. 2, 6.</w:t>
      </w:r>
    </w:p>
    <w:p w:rsidR="00DD47EB" w:rsidRDefault="00DD47EB" w:rsidP="00DD47EB">
      <w:pPr>
        <w:pStyle w:val="SangriaFrancesaArticulo"/>
      </w:pPr>
      <w:r w:rsidRPr="00DD47EB">
        <w:rPr>
          <w:rStyle w:val="TextoNormalNegritaCaracter"/>
        </w:rPr>
        <w:t>Artículo 13</w:t>
      </w:r>
      <w:r>
        <w:t xml:space="preserve"> (redactado por el Real Decreto-ley 2/2011, de 18 de febrero)</w:t>
      </w:r>
      <w:r w:rsidRPr="00DD47EB">
        <w:rPr>
          <w:rStyle w:val="TextoNormalNegritaCaracter"/>
        </w:rPr>
        <w:t>.</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p>
    <w:p w:rsidR="00DD47EB" w:rsidRDefault="00DD47EB" w:rsidP="00DD47EB">
      <w:pPr>
        <w:pStyle w:val="TextoNormalNegritaCursivandice"/>
      </w:pPr>
      <w:r>
        <w:t>Real Decreto-ley 4/2010, de 26 de marzo. Racionalización del gasto farmacéutico con cargo al sistema nacional de salud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p>
    <w:p w:rsidR="00DD47EB" w:rsidRDefault="00DD47EB" w:rsidP="00DD47EB">
      <w:pPr>
        <w:pStyle w:val="TextoNormalNegritaCursivandice"/>
      </w:pPr>
      <w:r>
        <w:t>Real Decreto-ley 8/2010, de 20 de mayo. Medidas extraordinarias para la reducción del déficit público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9" w:history="1">
        <w:r w:rsidRPr="00DD47EB">
          <w:rPr>
            <w:rStyle w:val="TextoNormalCaracter"/>
          </w:rPr>
          <w:t>49/2015</w:t>
        </w:r>
      </w:hyperlink>
      <w:r>
        <w:t xml:space="preserve">, f. 2; </w:t>
      </w:r>
      <w:hyperlink w:anchor="SENTENCIA_2015_81" w:history="1">
        <w:r w:rsidRPr="00DD47EB">
          <w:rPr>
            <w:rStyle w:val="TextoNormalCaracter"/>
          </w:rPr>
          <w:t>81/2015</w:t>
        </w:r>
      </w:hyperlink>
      <w:r>
        <w:t xml:space="preserve">, f. 8; </w:t>
      </w:r>
      <w:hyperlink w:anchor="SENTENCIA_2015_95" w:history="1">
        <w:r w:rsidRPr="00DD47EB">
          <w:rPr>
            <w:rStyle w:val="TextoNormalCaracter"/>
          </w:rPr>
          <w:t>95/2015</w:t>
        </w:r>
      </w:hyperlink>
      <w:r>
        <w:t xml:space="preserve">, f. 5; </w:t>
      </w:r>
      <w:hyperlink w:anchor="SENTENCIA_2015_104" w:history="1">
        <w:r w:rsidRPr="00DD47EB">
          <w:rPr>
            <w:rStyle w:val="TextoNormalCaracter"/>
          </w:rPr>
          <w:t>104/2015</w:t>
        </w:r>
      </w:hyperlink>
      <w:r>
        <w:t xml:space="preserve">, f. 8; </w:t>
      </w:r>
      <w:hyperlink w:anchor="SENTENCIA_2015_143" w:history="1">
        <w:r w:rsidRPr="00DD47EB">
          <w:rPr>
            <w:rStyle w:val="TextoNormalCaracter"/>
          </w:rPr>
          <w:t>143/2015</w:t>
        </w:r>
      </w:hyperlink>
      <w:r>
        <w:t>, f. 4.</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143" w:history="1">
        <w:r w:rsidRPr="00DD47EB">
          <w:rPr>
            <w:rStyle w:val="TextoNormalCaracter"/>
          </w:rPr>
          <w:t>143/2015</w:t>
        </w:r>
      </w:hyperlink>
      <w:r>
        <w:t>, f. 4.</w:t>
      </w:r>
    </w:p>
    <w:p w:rsidR="00DD47EB" w:rsidRDefault="00DD47EB" w:rsidP="00DD47EB">
      <w:pPr>
        <w:pStyle w:val="SangriaFrancesaArticulo"/>
      </w:pPr>
      <w:r w:rsidRPr="00DD47EB">
        <w:rPr>
          <w:rStyle w:val="TextoNormalNegritaCaracter"/>
        </w:rPr>
        <w:t>Disposición adicional novena.</w:t>
      </w:r>
      <w:r w:rsidRPr="00DD47EB">
        <w:rPr>
          <w:rStyle w:val="TextoNormalCaracter"/>
        </w:rPr>
        <w:t>-</w:t>
      </w:r>
      <w:r>
        <w:t xml:space="preserve"> Sentencia </w:t>
      </w:r>
      <w:hyperlink w:anchor="SENTENCIA_2015_143" w:history="1">
        <w:r w:rsidRPr="00DD47EB">
          <w:rPr>
            <w:rStyle w:val="TextoNormalCaracter"/>
          </w:rPr>
          <w:t>143/2015</w:t>
        </w:r>
      </w:hyperlink>
      <w:r>
        <w:t>, ff. 1, 3, 4.</w:t>
      </w:r>
    </w:p>
    <w:p w:rsidR="00DD47EB" w:rsidRDefault="00DD47EB" w:rsidP="00DD47EB">
      <w:pPr>
        <w:pStyle w:val="SangriaFrancesaArticulo"/>
      </w:pPr>
    </w:p>
    <w:p w:rsidR="00DD47EB" w:rsidRDefault="00DD47EB" w:rsidP="00DD47EB">
      <w:pPr>
        <w:pStyle w:val="TextoNormalNegritaCursivandice"/>
      </w:pPr>
      <w:r>
        <w:t>Real Decreto-ley 11/2010, de 9 de julio. Órganos de gobierno y otros aspectos del régimen jurídico de las Cajas de Ahorros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 w:history="1">
        <w:r w:rsidRPr="00DD47EB">
          <w:rPr>
            <w:rStyle w:val="TextoNormalCaracter"/>
          </w:rPr>
          <w:t>14/2015</w:t>
        </w:r>
      </w:hyperlink>
      <w:r>
        <w:t>, f. 3.</w:t>
      </w:r>
    </w:p>
    <w:p w:rsidR="00DD47EB" w:rsidRDefault="00DD47EB" w:rsidP="00DD47EB">
      <w:pPr>
        <w:pStyle w:val="SangriaFrancesaArticulo"/>
      </w:pPr>
      <w:r w:rsidRPr="00DD47EB">
        <w:rPr>
          <w:rStyle w:val="TextoNormalNegritaCaracter"/>
        </w:rPr>
        <w:t>Título IV.</w:t>
      </w:r>
      <w:r w:rsidRPr="00DD47EB">
        <w:rPr>
          <w:rStyle w:val="TextoNormalCaracter"/>
        </w:rPr>
        <w:t>-</w:t>
      </w:r>
      <w:r>
        <w:t xml:space="preserve"> Sentencia </w:t>
      </w:r>
      <w:hyperlink w:anchor="SENTENCIA_2015_14" w:history="1">
        <w:r w:rsidRPr="00DD47EB">
          <w:rPr>
            <w:rStyle w:val="TextoNormalCaracter"/>
          </w:rPr>
          <w:t>14/2015</w:t>
        </w:r>
      </w:hyperlink>
      <w:r>
        <w:t>, f. 3.</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47" w:history="1">
        <w:r w:rsidRPr="00DD47EB">
          <w:rPr>
            <w:rStyle w:val="TextoNormalCaracter"/>
          </w:rPr>
          <w:t>47/2015</w:t>
        </w:r>
      </w:hyperlink>
      <w:r>
        <w:t>, f. 6.</w:t>
      </w:r>
    </w:p>
    <w:p w:rsidR="00DD47EB" w:rsidRDefault="00DD47EB" w:rsidP="00DD47EB">
      <w:pPr>
        <w:pStyle w:val="SangriaFrancesaArticulo"/>
      </w:pPr>
    </w:p>
    <w:p w:rsidR="00DD47EB" w:rsidRDefault="00DD47EB" w:rsidP="00DD47EB">
      <w:pPr>
        <w:pStyle w:val="TextoNormalNegritaCursivandice"/>
      </w:pPr>
      <w:r>
        <w:t>Real Decreto-ley 2/2011, de 18 de febrero. Reforzamiento del sistema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7" w:history="1">
        <w:r w:rsidRPr="00DD47EB">
          <w:rPr>
            <w:rStyle w:val="TextoNormalCaracter"/>
          </w:rPr>
          <w:t>47/2015</w:t>
        </w:r>
      </w:hyperlink>
      <w:r>
        <w:t>, ff. 1, 2, 4, 5.</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47" w:history="1">
        <w:r w:rsidRPr="00DD47EB">
          <w:rPr>
            <w:rStyle w:val="TextoNormalCaracter"/>
          </w:rPr>
          <w:t>47/2015</w:t>
        </w:r>
      </w:hyperlink>
      <w:r>
        <w:t>, ff. 4, 5.</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47" w:history="1">
        <w:r w:rsidRPr="00DD47EB">
          <w:rPr>
            <w:rStyle w:val="TextoNormalCaracter"/>
          </w:rPr>
          <w:t>47/2015</w:t>
        </w:r>
      </w:hyperlink>
      <w:r>
        <w:t>, f. 5.</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Ártículo 2.</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47" w:history="1">
        <w:r w:rsidRPr="00DD47EB">
          <w:rPr>
            <w:rStyle w:val="TextoNormalCaracter"/>
          </w:rPr>
          <w:t>47/2015</w:t>
        </w:r>
      </w:hyperlink>
      <w:r>
        <w:t>, ff. 2, 6.</w:t>
      </w:r>
    </w:p>
    <w:p w:rsidR="00DD47EB" w:rsidRDefault="00DD47EB" w:rsidP="00DD47EB">
      <w:pPr>
        <w:pStyle w:val="SangriaFrancesaArticulo"/>
      </w:pPr>
      <w:r w:rsidRPr="00DD47EB">
        <w:rPr>
          <w:rStyle w:val="TextoNormalNegritaCaracter"/>
        </w:rPr>
        <w:t>Disposición adicional quinta.</w:t>
      </w:r>
      <w:r w:rsidRPr="00DD47EB">
        <w:rPr>
          <w:rStyle w:val="TextoNormalCaracter"/>
        </w:rPr>
        <w:t>-</w:t>
      </w:r>
      <w:r>
        <w:t xml:space="preserve"> Sentencia </w:t>
      </w:r>
      <w:hyperlink w:anchor="SENTENCIA_2015_47" w:history="1">
        <w:r w:rsidRPr="00DD47EB">
          <w:rPr>
            <w:rStyle w:val="TextoNormalCaracter"/>
          </w:rPr>
          <w:t>47/2015</w:t>
        </w:r>
      </w:hyperlink>
      <w:r>
        <w:t>, ff. 2, 6.</w:t>
      </w:r>
    </w:p>
    <w:p w:rsidR="00DD47EB" w:rsidRDefault="00DD47EB" w:rsidP="00DD47EB">
      <w:pPr>
        <w:pStyle w:val="SangriaFrancesaArticulo"/>
      </w:pPr>
      <w:r w:rsidRPr="00DD47EB">
        <w:rPr>
          <w:rStyle w:val="TextoNormalNegritaCaracter"/>
        </w:rPr>
        <w:t>Disposición transitoria primera.</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Disposición transitoria cuarta.</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p>
    <w:p w:rsidR="00DD47EB" w:rsidRDefault="00DD47EB" w:rsidP="00DD47EB">
      <w:pPr>
        <w:pStyle w:val="TextoNormalNegritaCursivandice"/>
      </w:pPr>
      <w:r>
        <w:t>Real Decreto-ley 7/2011, de 10 de junio. Medidas urgentes para la reforma de la negociación colectiva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ff. 4, 6.</w:t>
      </w:r>
    </w:p>
    <w:p w:rsidR="00DD47EB" w:rsidRDefault="00DD47EB" w:rsidP="00DD47EB">
      <w:pPr>
        <w:pStyle w:val="SangriaFrancesaArticulo"/>
      </w:pPr>
    </w:p>
    <w:p w:rsidR="00DD47EB" w:rsidRDefault="00DD47EB" w:rsidP="00DD47EB">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9" w:history="1">
        <w:r w:rsidRPr="00DD47EB">
          <w:rPr>
            <w:rStyle w:val="TextoNormalCaracter"/>
          </w:rPr>
          <w:t>29/2015</w:t>
        </w:r>
      </w:hyperlink>
      <w:r>
        <w:t>, ff. 4, 5.</w:t>
      </w:r>
    </w:p>
    <w:p w:rsidR="00DD47EB" w:rsidRDefault="00DD47EB" w:rsidP="00DD47EB">
      <w:pPr>
        <w:pStyle w:val="SangriaFrancesaArticulo"/>
      </w:pPr>
      <w:r w:rsidRPr="00DD47EB">
        <w:rPr>
          <w:rStyle w:val="TextoNormalNegritaCaracter"/>
        </w:rPr>
        <w:t>Capítulo VI.</w:t>
      </w:r>
      <w:r w:rsidRPr="00DD47EB">
        <w:rPr>
          <w:rStyle w:val="TextoNormalCaracter"/>
        </w:rPr>
        <w:t>-</w:t>
      </w:r>
      <w:r>
        <w:t xml:space="preserve"> Sentencia </w:t>
      </w:r>
      <w:hyperlink w:anchor="SENTENCIA_2015_29" w:history="1">
        <w:r w:rsidRPr="00DD47EB">
          <w:rPr>
            <w:rStyle w:val="TextoNormalCaracter"/>
          </w:rPr>
          <w:t>29/2015</w:t>
        </w:r>
      </w:hyperlink>
      <w:r>
        <w:t>, f. 1.</w:t>
      </w:r>
    </w:p>
    <w:p w:rsidR="00DD47EB" w:rsidRDefault="00DD47EB" w:rsidP="00DD47EB">
      <w:pPr>
        <w:pStyle w:val="SangriaFrancesaArticulo"/>
      </w:pPr>
      <w:r w:rsidRPr="00DD47EB">
        <w:rPr>
          <w:rStyle w:val="TextoNormalNegritaCaracter"/>
        </w:rPr>
        <w:t>Exposición de motivos, apartado VI.</w:t>
      </w:r>
      <w:r w:rsidRPr="00DD47EB">
        <w:rPr>
          <w:rStyle w:val="TextoNormalCaracter"/>
        </w:rPr>
        <w:t>-</w:t>
      </w:r>
      <w:r>
        <w:t xml:space="preserve"> Sentencia </w:t>
      </w:r>
      <w:hyperlink w:anchor="SENTENCIA_2015_29" w:history="1">
        <w:r w:rsidRPr="00DD47EB">
          <w:rPr>
            <w:rStyle w:val="TextoNormalCaracter"/>
          </w:rPr>
          <w:t>29/2015</w:t>
        </w:r>
      </w:hyperlink>
      <w:r>
        <w:t>, f. 4.</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29" w:history="1">
        <w:r w:rsidRPr="00DD47EB">
          <w:rPr>
            <w:rStyle w:val="TextoNormalCaracter"/>
          </w:rPr>
          <w:t>29/2015</w:t>
        </w:r>
      </w:hyperlink>
      <w:r>
        <w:t>, ff. 1 a 6.</w:t>
      </w:r>
    </w:p>
    <w:p w:rsidR="00DD47EB" w:rsidRDefault="00DD47EB" w:rsidP="00DD47EB">
      <w:pPr>
        <w:pStyle w:val="SangriaIzquierdaArticulo"/>
      </w:pPr>
      <w:r>
        <w:t xml:space="preserve">Auto </w:t>
      </w:r>
      <w:hyperlink w:anchor="AUTO_2015_51" w:history="1">
        <w:r w:rsidRPr="00DD47EB">
          <w:rPr>
            <w:rStyle w:val="TextoNormalCaracter"/>
          </w:rPr>
          <w:t>51/2015</w:t>
        </w:r>
      </w:hyperlink>
      <w:r>
        <w:t>, f. único.</w:t>
      </w:r>
    </w:p>
    <w:p w:rsidR="00DD47EB" w:rsidRDefault="00DD47EB" w:rsidP="00DD47EB">
      <w:pPr>
        <w:pStyle w:val="SangriaIzquierdaArticulo"/>
      </w:pPr>
    </w:p>
    <w:p w:rsidR="00DD47EB" w:rsidRDefault="00DD47EB" w:rsidP="00DD47EB">
      <w:pPr>
        <w:pStyle w:val="TextoNormalNegritaCursivandice"/>
      </w:pPr>
      <w:r>
        <w:t>Real Decreto-ley 20/2011, de 30 de diciembre. Medidas urgentes en materia presupuestaria, tributaria y financiera para la corrección del déficit público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4" w:history="1">
        <w:r w:rsidRPr="00DD47EB">
          <w:rPr>
            <w:rStyle w:val="TextoNormalCaracter"/>
          </w:rPr>
          <w:t>104/2015</w:t>
        </w:r>
      </w:hyperlink>
      <w:r>
        <w:t>, f. 7.</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49" w:history="1">
        <w:r w:rsidRPr="00DD47EB">
          <w:rPr>
            <w:rStyle w:val="TextoNormalCaracter"/>
          </w:rPr>
          <w:t>49/2015</w:t>
        </w:r>
      </w:hyperlink>
      <w:r>
        <w:t>, f. 2.</w:t>
      </w:r>
    </w:p>
    <w:p w:rsidR="00DD47EB" w:rsidRDefault="00DD47EB" w:rsidP="00DD47EB">
      <w:pPr>
        <w:pStyle w:val="SangriaFrancesaArticulo"/>
      </w:pPr>
    </w:p>
    <w:p w:rsidR="00DD47EB" w:rsidRDefault="00DD47EB" w:rsidP="00DD47EB">
      <w:pPr>
        <w:pStyle w:val="TextoNormalNegritaCursivandice"/>
      </w:pPr>
      <w:r>
        <w:t>Real Decreto-ley 1/2012, de 27 de enero. Suspensión de los procedimientos de preasignación de retribución y supresión de los incentivos económicos para nuevas instalaciones de producción de energía eléctrica a partir de cogeneración, fuentes de energía renovables y residuos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8" w:history="1">
        <w:r w:rsidRPr="00DD47EB">
          <w:rPr>
            <w:rStyle w:val="TextoNormalCaracter"/>
          </w:rPr>
          <w:t>48/2015</w:t>
        </w:r>
      </w:hyperlink>
      <w:r>
        <w:t xml:space="preserve">, ff. 1, 2, 5, 6, VP; </w:t>
      </w:r>
      <w:hyperlink w:anchor="SENTENCIA_2015_105" w:history="1">
        <w:r w:rsidRPr="00DD47EB">
          <w:rPr>
            <w:rStyle w:val="TextoNormalCaracter"/>
          </w:rPr>
          <w:t>105/2015</w:t>
        </w:r>
      </w:hyperlink>
      <w:r>
        <w:t xml:space="preserve">, ff. 1 a 3; </w:t>
      </w:r>
      <w:hyperlink w:anchor="SENTENCIA_2015_106" w:history="1">
        <w:r w:rsidRPr="00DD47EB">
          <w:rPr>
            <w:rStyle w:val="TextoNormalCaracter"/>
          </w:rPr>
          <w:t>106/2015</w:t>
        </w:r>
      </w:hyperlink>
      <w:r>
        <w:t>, ff. 1 a 3.</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Sentencias </w:t>
      </w:r>
      <w:hyperlink w:anchor="SENTENCIA_2015_48" w:history="1">
        <w:r w:rsidRPr="00DD47EB">
          <w:rPr>
            <w:rStyle w:val="TextoNormalCaracter"/>
          </w:rPr>
          <w:t>48/2015</w:t>
        </w:r>
      </w:hyperlink>
      <w:r>
        <w:t xml:space="preserve">, VP; </w:t>
      </w:r>
      <w:hyperlink w:anchor="SENTENCIA_2015_106" w:history="1">
        <w:r w:rsidRPr="00DD47EB">
          <w:rPr>
            <w:rStyle w:val="TextoNormalCaracter"/>
          </w:rPr>
          <w:t>106/2015</w:t>
        </w:r>
      </w:hyperlink>
      <w:r>
        <w:t>, f. 3.</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Sentencias </w:t>
      </w:r>
      <w:hyperlink w:anchor="SENTENCIA_2015_48" w:history="1">
        <w:r w:rsidRPr="00DD47EB">
          <w:rPr>
            <w:rStyle w:val="TextoNormalCaracter"/>
          </w:rPr>
          <w:t>48/2015</w:t>
        </w:r>
      </w:hyperlink>
      <w:r>
        <w:t xml:space="preserve">, f. 1; </w:t>
      </w:r>
      <w:hyperlink w:anchor="SENTENCIA_2015_105" w:history="1">
        <w:r w:rsidRPr="00DD47EB">
          <w:rPr>
            <w:rStyle w:val="TextoNormalCaracter"/>
          </w:rPr>
          <w:t>105/2015</w:t>
        </w:r>
      </w:hyperlink>
      <w:r>
        <w:t xml:space="preserve">, f. 1; </w:t>
      </w:r>
      <w:hyperlink w:anchor="SENTENCIA_2015_106" w:history="1">
        <w:r w:rsidRPr="00DD47EB">
          <w:rPr>
            <w:rStyle w:val="TextoNormalCaracter"/>
          </w:rPr>
          <w:t>106/2015</w:t>
        </w:r>
      </w:hyperlink>
      <w:r>
        <w:t>, f. 1.</w:t>
      </w:r>
    </w:p>
    <w:p w:rsidR="00DD47EB" w:rsidRDefault="00DD47EB" w:rsidP="00DD47EB">
      <w:pPr>
        <w:pStyle w:val="SangriaFrancesaArticulo"/>
      </w:pPr>
      <w:r w:rsidRPr="00DD47EB">
        <w:rPr>
          <w:rStyle w:val="TextoNormalNegritaCaracter"/>
        </w:rPr>
        <w:t>Artículos 1 a 4.</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Artículo 2.1 a).</w:t>
      </w:r>
      <w:r w:rsidRPr="00DD47EB">
        <w:rPr>
          <w:rStyle w:val="TextoNormalCaracter"/>
        </w:rPr>
        <w:t>-</w:t>
      </w:r>
      <w:r>
        <w:t xml:space="preserve"> Sentencia </w:t>
      </w:r>
      <w:hyperlink w:anchor="SENTENCIA_2015_48" w:history="1">
        <w:r w:rsidRPr="00DD47EB">
          <w:rPr>
            <w:rStyle w:val="TextoNormalCaracter"/>
          </w:rPr>
          <w:t>48/2015</w:t>
        </w:r>
      </w:hyperlink>
      <w:r>
        <w:t>, VP.</w:t>
      </w:r>
    </w:p>
    <w:p w:rsidR="00DD47EB" w:rsidRDefault="00DD47EB" w:rsidP="00DD47EB">
      <w:pPr>
        <w:pStyle w:val="SangriaFrancesaArticulo"/>
      </w:pPr>
      <w:r w:rsidRPr="00DD47EB">
        <w:rPr>
          <w:rStyle w:val="TextoNormalNegritaCaracter"/>
        </w:rPr>
        <w:t>Artículo 2.1 b).</w:t>
      </w:r>
      <w:r w:rsidRPr="00DD47EB">
        <w:rPr>
          <w:rStyle w:val="TextoNormalCaracter"/>
        </w:rPr>
        <w:t>-</w:t>
      </w:r>
      <w:r>
        <w:t xml:space="preserve"> Sentencia </w:t>
      </w:r>
      <w:hyperlink w:anchor="SENTENCIA_2015_48" w:history="1">
        <w:r w:rsidRPr="00DD47EB">
          <w:rPr>
            <w:rStyle w:val="TextoNormalCaracter"/>
          </w:rPr>
          <w:t>48/2015</w:t>
        </w:r>
      </w:hyperlink>
      <w:r>
        <w:t>, VP.</w:t>
      </w:r>
    </w:p>
    <w:p w:rsidR="00DD47EB" w:rsidRDefault="00DD47EB" w:rsidP="00DD47EB">
      <w:pPr>
        <w:pStyle w:val="SangriaFrancesaArticulo"/>
      </w:pPr>
      <w:r w:rsidRPr="00DD47EB">
        <w:rPr>
          <w:rStyle w:val="TextoNormalNegritaCaracter"/>
        </w:rPr>
        <w:t>Artículo 2.1 c).</w:t>
      </w:r>
      <w:r w:rsidRPr="00DD47EB">
        <w:rPr>
          <w:rStyle w:val="TextoNormalCaracter"/>
        </w:rPr>
        <w:t>-</w:t>
      </w:r>
      <w:r>
        <w:t xml:space="preserve"> Sentencia </w:t>
      </w:r>
      <w:hyperlink w:anchor="SENTENCIA_2015_48" w:history="1">
        <w:r w:rsidRPr="00DD47EB">
          <w:rPr>
            <w:rStyle w:val="TextoNormalCaracter"/>
          </w:rPr>
          <w:t>48/2015</w:t>
        </w:r>
      </w:hyperlink>
      <w:r>
        <w:t>, VP.</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Sentencias </w:t>
      </w:r>
      <w:hyperlink w:anchor="SENTENCIA_2015_48" w:history="1">
        <w:r w:rsidRPr="00DD47EB">
          <w:rPr>
            <w:rStyle w:val="TextoNormalCaracter"/>
          </w:rPr>
          <w:t>48/2015</w:t>
        </w:r>
      </w:hyperlink>
      <w:r>
        <w:t xml:space="preserve">, f. 1;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Artículo 4.4.</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Disposición adicional única.</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Disposición transitoria única.</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Disposición derogatoria única.</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105" w:history="1">
        <w:r w:rsidRPr="00DD47EB">
          <w:rPr>
            <w:rStyle w:val="TextoNormalCaracter"/>
          </w:rPr>
          <w:t>105/2015</w:t>
        </w:r>
      </w:hyperlink>
      <w:r>
        <w:t>, f. 1.</w:t>
      </w:r>
    </w:p>
    <w:p w:rsidR="00DD47EB" w:rsidRDefault="00DD47EB" w:rsidP="00DD47EB">
      <w:pPr>
        <w:pStyle w:val="SangriaFrancesaArticulo"/>
      </w:pPr>
    </w:p>
    <w:p w:rsidR="00DD47EB" w:rsidRDefault="00DD47EB" w:rsidP="00DD47EB">
      <w:pPr>
        <w:pStyle w:val="TextoNormalNegritaCursivandice"/>
      </w:pPr>
      <w:r>
        <w:t>Real Decreto-ley 2/2012, de 3 de febrero. Saneamiento del sector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8" w:history="1">
        <w:r w:rsidRPr="00DD47EB">
          <w:rPr>
            <w:rStyle w:val="TextoNormalCaracter"/>
          </w:rPr>
          <w:t>48/2015</w:t>
        </w:r>
      </w:hyperlink>
      <w:r>
        <w:t xml:space="preserve">, f. 5; </w:t>
      </w:r>
      <w:hyperlink w:anchor="SENTENCIA_2015_93" w:history="1">
        <w:r w:rsidRPr="00DD47EB">
          <w:rPr>
            <w:rStyle w:val="TextoNormalCaracter"/>
          </w:rPr>
          <w:t>93/2015</w:t>
        </w:r>
      </w:hyperlink>
      <w:r>
        <w:t>, f. 17, VP II.</w:t>
      </w:r>
    </w:p>
    <w:p w:rsidR="00DD47EB" w:rsidRDefault="00DD47EB" w:rsidP="00DD47EB">
      <w:pPr>
        <w:pStyle w:val="SangriaFrancesaArticulo"/>
      </w:pPr>
    </w:p>
    <w:p w:rsidR="00DD47EB" w:rsidRDefault="00DD47EB" w:rsidP="00DD47EB">
      <w:pPr>
        <w:pStyle w:val="TextoNormalNegritaCursivandice"/>
      </w:pPr>
      <w:r>
        <w:t>Real Decreto-ley 3/2012, de 10 de febrero. Medidas urgentes para la reforma del mercado laboral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Autos </w:t>
      </w:r>
      <w:hyperlink w:anchor="AUTO_2015_33" w:history="1">
        <w:r w:rsidRPr="00DD47EB">
          <w:rPr>
            <w:rStyle w:val="TextoNormalCaracter"/>
          </w:rPr>
          <w:t>33/2015</w:t>
        </w:r>
      </w:hyperlink>
      <w:r>
        <w:t xml:space="preserve">, ff. 3 a 5; </w:t>
      </w:r>
      <w:hyperlink w:anchor="AUTO_2015_34" w:history="1">
        <w:r w:rsidRPr="00DD47EB">
          <w:rPr>
            <w:rStyle w:val="TextoNormalCaracter"/>
          </w:rPr>
          <w:t>34/2015</w:t>
        </w:r>
      </w:hyperlink>
      <w:r>
        <w:t xml:space="preserve">, ff. 3 a 5; </w:t>
      </w:r>
      <w:hyperlink w:anchor="AUTO_2015_35" w:history="1">
        <w:r w:rsidRPr="00DD47EB">
          <w:rPr>
            <w:rStyle w:val="TextoNormalCaracter"/>
          </w:rPr>
          <w:t>35/2015</w:t>
        </w:r>
      </w:hyperlink>
      <w:r>
        <w:t>, ff. 2, 3.</w:t>
      </w:r>
    </w:p>
    <w:p w:rsidR="00DD47EB" w:rsidRDefault="00DD47EB" w:rsidP="00DD47EB">
      <w:pPr>
        <w:pStyle w:val="SangriaFrancesaArticulo"/>
      </w:pPr>
      <w:r w:rsidRPr="00DD47EB">
        <w:rPr>
          <w:rStyle w:val="TextoNormalNegritaCaracter"/>
        </w:rPr>
        <w:t>Capítulo IV.</w:t>
      </w:r>
      <w:r w:rsidRPr="00DD47EB">
        <w:rPr>
          <w:rStyle w:val="TextoNormalCaracter"/>
        </w:rPr>
        <w:t>-</w:t>
      </w:r>
      <w:r>
        <w:t xml:space="preserve"> Auto </w:t>
      </w:r>
      <w:hyperlink w:anchor="AUTO_2015_35" w:history="1">
        <w:r w:rsidRPr="00DD47EB">
          <w:rPr>
            <w:rStyle w:val="TextoNormalCaracter"/>
          </w:rPr>
          <w:t>35/2015</w:t>
        </w:r>
      </w:hyperlink>
      <w:r>
        <w:t>, ff. 1, 2.</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Auto </w:t>
      </w:r>
      <w:hyperlink w:anchor="AUTO_2015_35" w:history="1">
        <w:r w:rsidRPr="00DD47EB">
          <w:rPr>
            <w:rStyle w:val="TextoNormalCaracter"/>
          </w:rPr>
          <w:t>35/2015</w:t>
        </w:r>
      </w:hyperlink>
      <w:r>
        <w:t>, f. 3.</w:t>
      </w:r>
    </w:p>
    <w:p w:rsidR="00DD47EB" w:rsidRDefault="00DD47EB" w:rsidP="00DD47EB">
      <w:pPr>
        <w:pStyle w:val="SangriaFrancesaArticulo"/>
      </w:pPr>
      <w:r w:rsidRPr="00DD47EB">
        <w:rPr>
          <w:rStyle w:val="TextoNormalNegritaCaracter"/>
        </w:rPr>
        <w:t>Artículo 18.1.</w:t>
      </w:r>
      <w:r w:rsidRPr="00DD47EB">
        <w:rPr>
          <w:rStyle w:val="TextoNormalCaracter"/>
        </w:rPr>
        <w:t>-</w:t>
      </w:r>
      <w:r>
        <w:t xml:space="preserve"> Auto </w:t>
      </w:r>
      <w:hyperlink w:anchor="AUTO_2015_35" w:history="1">
        <w:r w:rsidRPr="00DD47EB">
          <w:rPr>
            <w:rStyle w:val="TextoNormalCaracter"/>
          </w:rPr>
          <w:t>35/2015</w:t>
        </w:r>
      </w:hyperlink>
      <w:r>
        <w:t>, VP.</w:t>
      </w:r>
    </w:p>
    <w:p w:rsidR="00DD47EB" w:rsidRDefault="00DD47EB" w:rsidP="00DD47EB">
      <w:pPr>
        <w:pStyle w:val="SangriaFrancesaArticulo"/>
      </w:pPr>
      <w:r w:rsidRPr="00DD47EB">
        <w:rPr>
          <w:rStyle w:val="TextoNormalNegritaCaracter"/>
        </w:rPr>
        <w:t>Artículo 18.2.</w:t>
      </w:r>
      <w:r w:rsidRPr="00DD47EB">
        <w:rPr>
          <w:rStyle w:val="TextoNormalCaracter"/>
        </w:rPr>
        <w:t>-</w:t>
      </w:r>
      <w:r>
        <w:t xml:space="preserve"> Auto </w:t>
      </w:r>
      <w:hyperlink w:anchor="AUTO_2015_35" w:history="1">
        <w:r w:rsidRPr="00DD47EB">
          <w:rPr>
            <w:rStyle w:val="TextoNormalCaracter"/>
          </w:rPr>
          <w:t>35/2015</w:t>
        </w:r>
      </w:hyperlink>
      <w:r>
        <w:t>, VP.</w:t>
      </w:r>
    </w:p>
    <w:p w:rsidR="00DD47EB" w:rsidRDefault="00DD47EB" w:rsidP="00DD47EB">
      <w:pPr>
        <w:pStyle w:val="SangriaFrancesaArticulo"/>
      </w:pPr>
      <w:r w:rsidRPr="00DD47EB">
        <w:rPr>
          <w:rStyle w:val="TextoNormalNegritaCaracter"/>
        </w:rPr>
        <w:t>Artículo 18.7.</w:t>
      </w:r>
      <w:r w:rsidRPr="00DD47EB">
        <w:rPr>
          <w:rStyle w:val="TextoNormalCaracter"/>
        </w:rPr>
        <w:t>-</w:t>
      </w:r>
      <w:r>
        <w:t xml:space="preserve"> Auto </w:t>
      </w:r>
      <w:hyperlink w:anchor="AUTO_2015_35" w:history="1">
        <w:r w:rsidRPr="00DD47EB">
          <w:rPr>
            <w:rStyle w:val="TextoNormalCaracter"/>
          </w:rPr>
          <w:t>35/2015</w:t>
        </w:r>
      </w:hyperlink>
      <w:r>
        <w:t>, ff. 1 a 3.</w:t>
      </w:r>
    </w:p>
    <w:p w:rsidR="00DD47EB" w:rsidRDefault="00DD47EB" w:rsidP="00DD47EB">
      <w:pPr>
        <w:pStyle w:val="SangriaFrancesaArticulo"/>
      </w:pPr>
      <w:r w:rsidRPr="00DD47EB">
        <w:rPr>
          <w:rStyle w:val="TextoNormalNegritaCaracter"/>
        </w:rPr>
        <w:t>Artículo 18.8.</w:t>
      </w:r>
      <w:r w:rsidRPr="00DD47EB">
        <w:rPr>
          <w:rStyle w:val="TextoNormalCaracter"/>
        </w:rPr>
        <w:t>-</w:t>
      </w:r>
      <w:r>
        <w:t xml:space="preserve"> Auto </w:t>
      </w:r>
      <w:hyperlink w:anchor="AUTO_2015_35" w:history="1">
        <w:r w:rsidRPr="00DD47EB">
          <w:rPr>
            <w:rStyle w:val="TextoNormalCaracter"/>
          </w:rPr>
          <w:t>35/2015</w:t>
        </w:r>
      </w:hyperlink>
      <w:r>
        <w:t>, ff. 1 a 3.</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Auto </w:t>
      </w:r>
      <w:hyperlink w:anchor="AUTO_2015_35" w:history="1">
        <w:r w:rsidRPr="00DD47EB">
          <w:rPr>
            <w:rStyle w:val="TextoNormalCaracter"/>
          </w:rPr>
          <w:t>35/2015</w:t>
        </w:r>
      </w:hyperlink>
      <w:r>
        <w:t>, ff. 1, 2.</w:t>
      </w:r>
    </w:p>
    <w:p w:rsidR="00DD47EB" w:rsidRDefault="00DD47EB" w:rsidP="00DD47EB">
      <w:pPr>
        <w:pStyle w:val="SangriaFrancesaArticulo"/>
      </w:pPr>
      <w:r w:rsidRPr="00DD47EB">
        <w:rPr>
          <w:rStyle w:val="TextoNormalNegritaCaracter"/>
        </w:rPr>
        <w:t>Disposición transitoria quinta, apartado 1.</w:t>
      </w:r>
      <w:r w:rsidRPr="00DD47EB">
        <w:rPr>
          <w:rStyle w:val="TextoNormalCaracter"/>
        </w:rPr>
        <w:t>-</w:t>
      </w:r>
      <w:r>
        <w:t xml:space="preserve"> Auto </w:t>
      </w:r>
      <w:hyperlink w:anchor="AUTO_2015_35" w:history="1">
        <w:r w:rsidRPr="00DD47EB">
          <w:rPr>
            <w:rStyle w:val="TextoNormalCaracter"/>
          </w:rPr>
          <w:t>35/2015</w:t>
        </w:r>
      </w:hyperlink>
      <w:r>
        <w:t>, ff. 2, 3.</w:t>
      </w:r>
    </w:p>
    <w:p w:rsidR="00DD47EB" w:rsidRDefault="00DD47EB" w:rsidP="00DD47EB">
      <w:pPr>
        <w:pStyle w:val="SangriaFrancesaArticulo"/>
      </w:pPr>
      <w:r w:rsidRPr="00DD47EB">
        <w:rPr>
          <w:rStyle w:val="TextoNormalNegritaCaracter"/>
        </w:rPr>
        <w:t>Disposición transitoria quinta, apartado 2.</w:t>
      </w:r>
      <w:r w:rsidRPr="00DD47EB">
        <w:rPr>
          <w:rStyle w:val="TextoNormalCaracter"/>
        </w:rPr>
        <w:t>-</w:t>
      </w:r>
      <w:r>
        <w:t xml:space="preserve"> Autos </w:t>
      </w:r>
      <w:hyperlink w:anchor="AUTO_2015_33" w:history="1">
        <w:r w:rsidRPr="00DD47EB">
          <w:rPr>
            <w:rStyle w:val="TextoNormalCaracter"/>
          </w:rPr>
          <w:t>33/2015</w:t>
        </w:r>
      </w:hyperlink>
      <w:r>
        <w:t xml:space="preserve">, f. 4; </w:t>
      </w:r>
      <w:hyperlink w:anchor="AUTO_2015_34" w:history="1">
        <w:r w:rsidRPr="00DD47EB">
          <w:rPr>
            <w:rStyle w:val="TextoNormalCaracter"/>
          </w:rPr>
          <w:t>34/2015</w:t>
        </w:r>
      </w:hyperlink>
      <w:r>
        <w:t xml:space="preserve">; </w:t>
      </w:r>
      <w:hyperlink w:anchor="AUTO_2015_35" w:history="1">
        <w:r w:rsidRPr="00DD47EB">
          <w:rPr>
            <w:rStyle w:val="TextoNormalCaracter"/>
          </w:rPr>
          <w:t>35/2015</w:t>
        </w:r>
      </w:hyperlink>
      <w:r>
        <w:t>, ff. 2, 3.</w:t>
      </w:r>
    </w:p>
    <w:p w:rsidR="00DD47EB" w:rsidRDefault="00DD47EB" w:rsidP="00DD47EB">
      <w:pPr>
        <w:pStyle w:val="SangriaFrancesaArticulo"/>
      </w:pPr>
    </w:p>
    <w:p w:rsidR="00DD47EB" w:rsidRDefault="00DD47EB" w:rsidP="00DD47EB">
      <w:pPr>
        <w:pStyle w:val="TextoNormalNegritaCursivandice"/>
      </w:pPr>
      <w:r>
        <w:t>Real Decreto-ley 16/2012, de 20 de abril. Medidas urgentes para garantizar la sostenibilidad del sistema nacional de salud y mejorar la calidad y seguridad de sus prestaciones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p>
    <w:p w:rsidR="00DD47EB" w:rsidRDefault="00DD47EB" w:rsidP="00DD47EB">
      <w:pPr>
        <w:pStyle w:val="TextoNormalNegritaCursivandice"/>
      </w:pPr>
      <w:r>
        <w:t>Real Decreto-ley 18/2012, de 11 de mayo. Saneamiento y venta de los activos inmobiliarios del sector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3" w:history="1">
        <w:r w:rsidRPr="00DD47EB">
          <w:rPr>
            <w:rStyle w:val="TextoNormalCaracter"/>
          </w:rPr>
          <w:t>93/2015</w:t>
        </w:r>
      </w:hyperlink>
      <w:r>
        <w:t>, f. 17, VP II.</w:t>
      </w:r>
    </w:p>
    <w:p w:rsidR="00DD47EB" w:rsidRDefault="00DD47EB" w:rsidP="00DD47EB">
      <w:pPr>
        <w:pStyle w:val="SangriaFrancesaArticulo"/>
      </w:pPr>
    </w:p>
    <w:p w:rsidR="00DD47EB" w:rsidRDefault="00DD47EB" w:rsidP="00DD47EB">
      <w:pPr>
        <w:pStyle w:val="TextoNormalNegritaCursivandice"/>
      </w:pPr>
      <w:r>
        <w:t>Real Decreto-ley 20/2012, de 13 de julio. Medidas para garantizar la estabilidad presupuestaria y de fomento de la competitividad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1" w:history="1">
        <w:r w:rsidRPr="00DD47EB">
          <w:rPr>
            <w:rStyle w:val="TextoNormalCaracter"/>
          </w:rPr>
          <w:t>81/2015</w:t>
        </w:r>
      </w:hyperlink>
      <w:r>
        <w:t xml:space="preserve">, ff. 2, 3, 8; </w:t>
      </w:r>
      <w:hyperlink w:anchor="SENTENCIA_2015_83" w:history="1">
        <w:r w:rsidRPr="00DD47EB">
          <w:rPr>
            <w:rStyle w:val="TextoNormalCaracter"/>
          </w:rPr>
          <w:t>83/2015</w:t>
        </w:r>
      </w:hyperlink>
      <w:r>
        <w:t xml:space="preserve">, ff. 1 a 3; </w:t>
      </w:r>
      <w:hyperlink w:anchor="SENTENCIA_2015_97" w:history="1">
        <w:r w:rsidRPr="00DD47EB">
          <w:rPr>
            <w:rStyle w:val="TextoNormalCaracter"/>
          </w:rPr>
          <w:t>97/2015</w:t>
        </w:r>
      </w:hyperlink>
      <w:r>
        <w:t xml:space="preserve">, ff. 2, 3; </w:t>
      </w:r>
      <w:hyperlink w:anchor="SENTENCIA_2015_100" w:history="1">
        <w:r w:rsidRPr="00DD47EB">
          <w:rPr>
            <w:rStyle w:val="TextoNormalCaracter"/>
          </w:rPr>
          <w:t>100/2015</w:t>
        </w:r>
      </w:hyperlink>
      <w:r>
        <w:t xml:space="preserve">, f. 3; </w:t>
      </w:r>
      <w:hyperlink w:anchor="SENTENCIA_2015_113" w:history="1">
        <w:r w:rsidRPr="00DD47EB">
          <w:rPr>
            <w:rStyle w:val="TextoNormalCaracter"/>
          </w:rPr>
          <w:t>113/2015</w:t>
        </w:r>
      </w:hyperlink>
      <w:r>
        <w:t xml:space="preserve">, ff. 1 a 3; </w:t>
      </w:r>
      <w:hyperlink w:anchor="SENTENCIA_2015_114" w:history="1">
        <w:r w:rsidRPr="00DD47EB">
          <w:rPr>
            <w:rStyle w:val="TextoNormalCaracter"/>
          </w:rPr>
          <w:t>114/2015</w:t>
        </w:r>
      </w:hyperlink>
      <w:r>
        <w:t xml:space="preserve">, ff. 1 a 3; </w:t>
      </w:r>
      <w:hyperlink w:anchor="SENTENCIA_2015_136" w:history="1">
        <w:r w:rsidRPr="00DD47EB">
          <w:rPr>
            <w:rStyle w:val="TextoNormalCaracter"/>
          </w:rPr>
          <w:t>136/2015</w:t>
        </w:r>
      </w:hyperlink>
      <w:r>
        <w:t xml:space="preserve">, ff. 1, 3 a 6; </w:t>
      </w:r>
      <w:hyperlink w:anchor="SENTENCIA_2015_141" w:history="1">
        <w:r w:rsidRPr="00DD47EB">
          <w:rPr>
            <w:rStyle w:val="TextoNormalCaracter"/>
          </w:rPr>
          <w:t>141/2015</w:t>
        </w:r>
      </w:hyperlink>
      <w:r>
        <w:t>, f. 2.</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 4; </w:t>
      </w:r>
      <w:hyperlink w:anchor="AUTO_2015_10" w:history="1">
        <w:r w:rsidRPr="00DD47EB">
          <w:rPr>
            <w:rStyle w:val="TextoNormalCaracter"/>
          </w:rPr>
          <w:t>10/2015</w:t>
        </w:r>
      </w:hyperlink>
      <w:r>
        <w:t xml:space="preserve">, ff. 1, 4; </w:t>
      </w:r>
      <w:hyperlink w:anchor="AUTO_2015_52" w:history="1">
        <w:r w:rsidRPr="00DD47EB">
          <w:rPr>
            <w:rStyle w:val="TextoNormalCaracter"/>
          </w:rPr>
          <w:t>52/2015</w:t>
        </w:r>
      </w:hyperlink>
      <w:r>
        <w:t xml:space="preserve">, f. único; </w:t>
      </w:r>
      <w:hyperlink w:anchor="AUTO_2015_67" w:history="1">
        <w:r w:rsidRPr="00DD47EB">
          <w:rPr>
            <w:rStyle w:val="TextoNormalCaracter"/>
          </w:rPr>
          <w:t>67/2015</w:t>
        </w:r>
      </w:hyperlink>
      <w:r>
        <w:t>, f. 3.</w:t>
      </w:r>
    </w:p>
    <w:p w:rsidR="00DD47EB" w:rsidRDefault="00DD47EB" w:rsidP="00DD47EB">
      <w:pPr>
        <w:pStyle w:val="SangriaFrancesaArticulo"/>
      </w:pPr>
      <w:r w:rsidRPr="00DD47EB">
        <w:rPr>
          <w:rStyle w:val="TextoNormalNegritaCaracter"/>
        </w:rPr>
        <w:t>Título I.</w:t>
      </w:r>
      <w:r w:rsidRPr="00DD47EB">
        <w:rPr>
          <w:rStyle w:val="TextoNormalCaracter"/>
        </w:rPr>
        <w:t>-</w:t>
      </w:r>
      <w:r>
        <w:t xml:space="preserve"> Sentencia </w:t>
      </w:r>
      <w:hyperlink w:anchor="SENTENCIA_2015_104" w:history="1">
        <w:r w:rsidRPr="00DD47EB">
          <w:rPr>
            <w:rStyle w:val="TextoNormalCaracter"/>
          </w:rPr>
          <w:t>104/2015</w:t>
        </w:r>
      </w:hyperlink>
      <w:r>
        <w:t>, f. 3.</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Sentencias </w:t>
      </w:r>
      <w:hyperlink w:anchor="SENTENCIA_2015_81" w:history="1">
        <w:r w:rsidRPr="00DD47EB">
          <w:rPr>
            <w:rStyle w:val="TextoNormalCaracter"/>
          </w:rPr>
          <w:t>81/2015</w:t>
        </w:r>
      </w:hyperlink>
      <w:r>
        <w:t xml:space="preserve">, f. 3; </w:t>
      </w:r>
      <w:hyperlink w:anchor="SENTENCIA_2015_81" w:history="1">
        <w:r w:rsidRPr="00DD47EB">
          <w:rPr>
            <w:rStyle w:val="TextoNormalCaracter"/>
          </w:rPr>
          <w:t>81/2015</w:t>
        </w:r>
      </w:hyperlink>
      <w:r>
        <w:t xml:space="preserve">, ff. 3, 4;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I.</w:t>
      </w:r>
      <w:r w:rsidRPr="00DD47EB">
        <w:rPr>
          <w:rStyle w:val="TextoNormalCaracter"/>
        </w:rPr>
        <w:t>-</w:t>
      </w:r>
      <w:r>
        <w:t xml:space="preserve"> Sentencia </w:t>
      </w:r>
      <w:hyperlink w:anchor="SENTENCIA_2015_81" w:history="1">
        <w:r w:rsidRPr="00DD47EB">
          <w:rPr>
            <w:rStyle w:val="TextoNormalCaracter"/>
          </w:rPr>
          <w:t>81/2015</w:t>
        </w:r>
      </w:hyperlink>
      <w:r>
        <w:t>, ff. 3, 4.</w:t>
      </w:r>
    </w:p>
    <w:p w:rsidR="00DD47EB" w:rsidRDefault="00DD47EB" w:rsidP="00DD47EB">
      <w:pPr>
        <w:pStyle w:val="SangriaFrancesaArticulo"/>
      </w:pPr>
      <w:r w:rsidRPr="00DD47EB">
        <w:rPr>
          <w:rStyle w:val="TextoNormalNegritaCaracter"/>
        </w:rPr>
        <w:t>Preámbulo, apartado II.</w:t>
      </w:r>
      <w:r w:rsidRPr="00DD47EB">
        <w:rPr>
          <w:rStyle w:val="TextoNormalCaracter"/>
        </w:rPr>
        <w:t>-</w:t>
      </w:r>
      <w:r>
        <w:t xml:space="preserve"> Sentencias </w:t>
      </w:r>
      <w:hyperlink w:anchor="SENTENCIA_2015_81" w:history="1">
        <w:r w:rsidRPr="00DD47EB">
          <w:rPr>
            <w:rStyle w:val="TextoNormalCaracter"/>
          </w:rPr>
          <w:t>81/2015</w:t>
        </w:r>
      </w:hyperlink>
      <w:r>
        <w:t xml:space="preserve">, ff. 3, 4;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II, párrafo 1.</w:t>
      </w:r>
      <w:r w:rsidRPr="00DD47EB">
        <w:rPr>
          <w:rStyle w:val="TextoNormalCaracter"/>
        </w:rPr>
        <w:t>-</w:t>
      </w:r>
      <w:r>
        <w:t xml:space="preserve"> Sentencia </w:t>
      </w:r>
      <w:hyperlink w:anchor="SENTENCIA_2015_81" w:history="1">
        <w:r w:rsidRPr="00DD47EB">
          <w:rPr>
            <w:rStyle w:val="TextoNormalCaracter"/>
          </w:rPr>
          <w:t>81/2015</w:t>
        </w:r>
      </w:hyperlink>
      <w:r>
        <w:t>, f. 3.</w:t>
      </w:r>
    </w:p>
    <w:p w:rsidR="00DD47EB" w:rsidRDefault="00DD47EB" w:rsidP="00DD47EB">
      <w:pPr>
        <w:pStyle w:val="SangriaFrancesaArticulo"/>
      </w:pPr>
      <w:r w:rsidRPr="00DD47EB">
        <w:rPr>
          <w:rStyle w:val="TextoNormalNegritaCaracter"/>
        </w:rPr>
        <w:t>Preámbulo, apartado III.</w:t>
      </w:r>
      <w:r w:rsidRPr="00DD47EB">
        <w:rPr>
          <w:rStyle w:val="TextoNormalCaracter"/>
        </w:rPr>
        <w:t>-</w:t>
      </w:r>
      <w:r>
        <w:t xml:space="preserve"> Sentencia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IV.</w:t>
      </w:r>
      <w:r w:rsidRPr="00DD47EB">
        <w:rPr>
          <w:rStyle w:val="TextoNormalCaracter"/>
        </w:rPr>
        <w:t>-</w:t>
      </w:r>
      <w:r>
        <w:t xml:space="preserve"> Sentencia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IX.</w:t>
      </w:r>
      <w:r w:rsidRPr="00DD47EB">
        <w:rPr>
          <w:rStyle w:val="TextoNormalCaracter"/>
        </w:rPr>
        <w:t>-</w:t>
      </w:r>
      <w:r>
        <w:t xml:space="preserve"> Sentencias </w:t>
      </w:r>
      <w:hyperlink w:anchor="SENTENCIA_2015_81" w:history="1">
        <w:r w:rsidRPr="00DD47EB">
          <w:rPr>
            <w:rStyle w:val="TextoNormalCaracter"/>
          </w:rPr>
          <w:t>81/2015</w:t>
        </w:r>
      </w:hyperlink>
      <w:r>
        <w:t xml:space="preserve">, f. 4;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V.</w:t>
      </w:r>
      <w:r w:rsidRPr="00DD47EB">
        <w:rPr>
          <w:rStyle w:val="TextoNormalCaracter"/>
        </w:rPr>
        <w:t>-</w:t>
      </w:r>
      <w:r>
        <w:t xml:space="preserve"> Sentencia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VI.</w:t>
      </w:r>
      <w:r w:rsidRPr="00DD47EB">
        <w:rPr>
          <w:rStyle w:val="TextoNormalCaracter"/>
        </w:rPr>
        <w:t>-</w:t>
      </w:r>
      <w:r>
        <w:t xml:space="preserve"> Sentencia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VII.</w:t>
      </w:r>
      <w:r w:rsidRPr="00DD47EB">
        <w:rPr>
          <w:rStyle w:val="TextoNormalCaracter"/>
        </w:rPr>
        <w:t>-</w:t>
      </w:r>
      <w:r>
        <w:t xml:space="preserve"> Sentencia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Preámbulo, apartado VIII.</w:t>
      </w:r>
      <w:r w:rsidRPr="00DD47EB">
        <w:rPr>
          <w:rStyle w:val="TextoNormalCaracter"/>
        </w:rPr>
        <w:t>-</w:t>
      </w:r>
      <w:r>
        <w:t xml:space="preserve"> Sentencia </w:t>
      </w:r>
      <w:hyperlink w:anchor="SENTENCIA_2015_136" w:history="1">
        <w:r w:rsidRPr="00DD47EB">
          <w:rPr>
            <w:rStyle w:val="TextoNormalCaracter"/>
          </w:rPr>
          <w:t>136/2015</w:t>
        </w:r>
      </w:hyperlink>
      <w:r>
        <w:t>, f. 4.</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Sentencias </w:t>
      </w:r>
      <w:hyperlink w:anchor="SENTENCIA_2015_81" w:history="1">
        <w:r w:rsidRPr="00DD47EB">
          <w:rPr>
            <w:rStyle w:val="TextoNormalCaracter"/>
          </w:rPr>
          <w:t>81/2015</w:t>
        </w:r>
      </w:hyperlink>
      <w:r>
        <w:t xml:space="preserve">, ff. 1, 3, 6, 8; </w:t>
      </w:r>
      <w:hyperlink w:anchor="SENTENCIA_2015_83" w:history="1">
        <w:r w:rsidRPr="00DD47EB">
          <w:rPr>
            <w:rStyle w:val="TextoNormalCaracter"/>
          </w:rPr>
          <w:t>83/2015</w:t>
        </w:r>
      </w:hyperlink>
      <w:r>
        <w:t xml:space="preserve">, ff. 1, 2; </w:t>
      </w:r>
      <w:hyperlink w:anchor="SENTENCIA_2015_94" w:history="1">
        <w:r w:rsidRPr="00DD47EB">
          <w:rPr>
            <w:rStyle w:val="TextoNormalCaracter"/>
          </w:rPr>
          <w:t>94/2015</w:t>
        </w:r>
      </w:hyperlink>
      <w:r>
        <w:t xml:space="preserve">, ff. 1, 4, 5; </w:t>
      </w:r>
      <w:hyperlink w:anchor="SENTENCIA_2015_97" w:history="1">
        <w:r w:rsidRPr="00DD47EB">
          <w:rPr>
            <w:rStyle w:val="TextoNormalCaracter"/>
          </w:rPr>
          <w:t>97/2015</w:t>
        </w:r>
      </w:hyperlink>
      <w:r>
        <w:t xml:space="preserve">, ff. 1, 2; </w:t>
      </w:r>
      <w:hyperlink w:anchor="SENTENCIA_2015_100" w:history="1">
        <w:r w:rsidRPr="00DD47EB">
          <w:rPr>
            <w:rStyle w:val="TextoNormalCaracter"/>
          </w:rPr>
          <w:t>100/2015</w:t>
        </w:r>
      </w:hyperlink>
      <w:r>
        <w:t xml:space="preserve">, ff. 1, 2; </w:t>
      </w:r>
      <w:hyperlink w:anchor="SENTENCIA_2015_113" w:history="1">
        <w:r w:rsidRPr="00DD47EB">
          <w:rPr>
            <w:rStyle w:val="TextoNormalCaracter"/>
          </w:rPr>
          <w:t>113/2015</w:t>
        </w:r>
      </w:hyperlink>
      <w:r>
        <w:t xml:space="preserve">, ff. 1, 2; </w:t>
      </w:r>
      <w:hyperlink w:anchor="SENTENCIA_2015_114" w:history="1">
        <w:r w:rsidRPr="00DD47EB">
          <w:rPr>
            <w:rStyle w:val="TextoNormalCaracter"/>
          </w:rPr>
          <w:t>114/2015</w:t>
        </w:r>
      </w:hyperlink>
      <w:r>
        <w:t xml:space="preserve">, ff. 1, 2; </w:t>
      </w:r>
      <w:hyperlink w:anchor="SENTENCIA_2015_141" w:history="1">
        <w:r w:rsidRPr="00DD47EB">
          <w:rPr>
            <w:rStyle w:val="TextoNormalCaracter"/>
          </w:rPr>
          <w:t>141/2015</w:t>
        </w:r>
      </w:hyperlink>
      <w:r>
        <w:t>, ff. 1, 2.</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 4; </w:t>
      </w:r>
      <w:hyperlink w:anchor="AUTO_2015_10" w:history="1">
        <w:r w:rsidRPr="00DD47EB">
          <w:rPr>
            <w:rStyle w:val="TextoNormalCaracter"/>
          </w:rPr>
          <w:t>10/2015</w:t>
        </w:r>
      </w:hyperlink>
      <w:r>
        <w:t>, f. 4.</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Sentencias </w:t>
      </w:r>
      <w:hyperlink w:anchor="SENTENCIA_2015_83" w:history="1">
        <w:r w:rsidRPr="00DD47EB">
          <w:rPr>
            <w:rStyle w:val="TextoNormalCaracter"/>
          </w:rPr>
          <w:t>83/2015</w:t>
        </w:r>
      </w:hyperlink>
      <w:r>
        <w:t xml:space="preserve">, f. 2; </w:t>
      </w:r>
      <w:hyperlink w:anchor="SENTENCIA_2015_97" w:history="1">
        <w:r w:rsidRPr="00DD47EB">
          <w:rPr>
            <w:rStyle w:val="TextoNormalCaracter"/>
          </w:rPr>
          <w:t>97/2015</w:t>
        </w:r>
      </w:hyperlink>
      <w:r>
        <w:t xml:space="preserve">, ff. 2, 3; </w:t>
      </w:r>
      <w:hyperlink w:anchor="SENTENCIA_2015_100" w:history="1">
        <w:r w:rsidRPr="00DD47EB">
          <w:rPr>
            <w:rStyle w:val="TextoNormalCaracter"/>
          </w:rPr>
          <w:t>100/2015</w:t>
        </w:r>
      </w:hyperlink>
      <w:r>
        <w:t xml:space="preserve">, f. 2; </w:t>
      </w:r>
      <w:hyperlink w:anchor="SENTENCIA_2015_113" w:history="1">
        <w:r w:rsidRPr="00DD47EB">
          <w:rPr>
            <w:rStyle w:val="TextoNormalCaracter"/>
          </w:rPr>
          <w:t>113/2015</w:t>
        </w:r>
      </w:hyperlink>
      <w:r>
        <w:t xml:space="preserve">, f. 2; </w:t>
      </w:r>
      <w:hyperlink w:anchor="SENTENCIA_2015_114" w:history="1">
        <w:r w:rsidRPr="00DD47EB">
          <w:rPr>
            <w:rStyle w:val="TextoNormalCaracter"/>
          </w:rPr>
          <w:t>114/2015</w:t>
        </w:r>
      </w:hyperlink>
      <w:r>
        <w:t>, f. 2.</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ff. 1, 4; </w:t>
      </w:r>
      <w:hyperlink w:anchor="AUTO_2015_10" w:history="1">
        <w:r w:rsidRPr="00DD47EB">
          <w:rPr>
            <w:rStyle w:val="TextoNormalCaracter"/>
          </w:rPr>
          <w:t>10/2015</w:t>
        </w:r>
      </w:hyperlink>
      <w:r>
        <w:t>, ff. 1, 4.</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Autos </w:t>
      </w:r>
      <w:hyperlink w:anchor="AUTO_2015_9" w:history="1">
        <w:r w:rsidRPr="00DD47EB">
          <w:rPr>
            <w:rStyle w:val="TextoNormalCaracter"/>
          </w:rPr>
          <w:t>9/2015</w:t>
        </w:r>
      </w:hyperlink>
      <w:r>
        <w:t xml:space="preserve">, f. 1; </w:t>
      </w:r>
      <w:hyperlink w:anchor="AUTO_2015_10" w:history="1">
        <w:r w:rsidRPr="00DD47EB">
          <w:rPr>
            <w:rStyle w:val="TextoNormalCaracter"/>
          </w:rPr>
          <w:t>10/2015</w:t>
        </w:r>
      </w:hyperlink>
      <w:r>
        <w:t>, f. 1.</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Sentencias </w:t>
      </w:r>
      <w:hyperlink w:anchor="SENTENCIA_2015_83" w:history="1">
        <w:r w:rsidRPr="00DD47EB">
          <w:rPr>
            <w:rStyle w:val="TextoNormalCaracter"/>
          </w:rPr>
          <w:t>83/2015</w:t>
        </w:r>
      </w:hyperlink>
      <w:r>
        <w:t xml:space="preserve">, f. 2; </w:t>
      </w:r>
      <w:hyperlink w:anchor="SENTENCIA_2015_97" w:history="1">
        <w:r w:rsidRPr="00DD47EB">
          <w:rPr>
            <w:rStyle w:val="TextoNormalCaracter"/>
          </w:rPr>
          <w:t>97/2015</w:t>
        </w:r>
      </w:hyperlink>
      <w:r>
        <w:t xml:space="preserve">, ff. 2, 3; </w:t>
      </w:r>
      <w:hyperlink w:anchor="SENTENCIA_2015_100" w:history="1">
        <w:r w:rsidRPr="00DD47EB">
          <w:rPr>
            <w:rStyle w:val="TextoNormalCaracter"/>
          </w:rPr>
          <w:t>100/2015</w:t>
        </w:r>
      </w:hyperlink>
      <w:r>
        <w:t xml:space="preserve">, f. 2; </w:t>
      </w:r>
      <w:hyperlink w:anchor="SENTENCIA_2015_113" w:history="1">
        <w:r w:rsidRPr="00DD47EB">
          <w:rPr>
            <w:rStyle w:val="TextoNormalCaracter"/>
          </w:rPr>
          <w:t>113/2015</w:t>
        </w:r>
      </w:hyperlink>
      <w:r>
        <w:t xml:space="preserve">, f. 2; </w:t>
      </w:r>
      <w:hyperlink w:anchor="SENTENCIA_2015_114" w:history="1">
        <w:r w:rsidRPr="00DD47EB">
          <w:rPr>
            <w:rStyle w:val="TextoNormalCaracter"/>
          </w:rPr>
          <w:t>114/2015</w:t>
        </w:r>
      </w:hyperlink>
      <w:r>
        <w:t>, f. 2.</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ff. 1, 4; </w:t>
      </w:r>
      <w:hyperlink w:anchor="AUTO_2015_10" w:history="1">
        <w:r w:rsidRPr="00DD47EB">
          <w:rPr>
            <w:rStyle w:val="TextoNormalCaracter"/>
          </w:rPr>
          <w:t>10/2015</w:t>
        </w:r>
      </w:hyperlink>
      <w:r>
        <w:t>, ff. 1, 4.</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Sentencias </w:t>
      </w:r>
      <w:hyperlink w:anchor="SENTENCIA_2015_83" w:history="1">
        <w:r w:rsidRPr="00DD47EB">
          <w:rPr>
            <w:rStyle w:val="TextoNormalCaracter"/>
          </w:rPr>
          <w:t>83/2015</w:t>
        </w:r>
      </w:hyperlink>
      <w:r>
        <w:t xml:space="preserve">, f. 2; </w:t>
      </w:r>
      <w:hyperlink w:anchor="SENTENCIA_2015_114" w:history="1">
        <w:r w:rsidRPr="00DD47EB">
          <w:rPr>
            <w:rStyle w:val="TextoNormalCaracter"/>
          </w:rPr>
          <w:t>114/2015</w:t>
        </w:r>
      </w:hyperlink>
      <w:r>
        <w:t>, f. 2.</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Sentencias </w:t>
      </w:r>
      <w:hyperlink w:anchor="SENTENCIA_2015_83" w:history="1">
        <w:r w:rsidRPr="00DD47EB">
          <w:rPr>
            <w:rStyle w:val="TextoNormalCaracter"/>
          </w:rPr>
          <w:t>83/2015</w:t>
        </w:r>
      </w:hyperlink>
      <w:r>
        <w:t xml:space="preserve">, f. 2; </w:t>
      </w:r>
      <w:hyperlink w:anchor="SENTENCIA_2015_114" w:history="1">
        <w:r w:rsidRPr="00DD47EB">
          <w:rPr>
            <w:rStyle w:val="TextoNormalCaracter"/>
          </w:rPr>
          <w:t>114/2015</w:t>
        </w:r>
      </w:hyperlink>
      <w:r>
        <w:t>, f. 2.</w:t>
      </w:r>
    </w:p>
    <w:p w:rsidR="00DD47EB" w:rsidRDefault="00DD47EB" w:rsidP="00DD47EB">
      <w:pPr>
        <w:pStyle w:val="SangriaFrancesaArticulo"/>
      </w:pPr>
      <w:r w:rsidRPr="00DD47EB">
        <w:rPr>
          <w:rStyle w:val="TextoNormalNegritaCaracter"/>
        </w:rPr>
        <w:t>Artículo 38.</w:t>
      </w:r>
      <w:r w:rsidRPr="00DD47EB">
        <w:rPr>
          <w:rStyle w:val="TextoNormalCaracter"/>
        </w:rPr>
        <w:t>-</w:t>
      </w:r>
      <w:r>
        <w:t xml:space="preserve"> Sentencia </w:t>
      </w:r>
      <w:hyperlink w:anchor="SENTENCIA_2015_136" w:history="1">
        <w:r w:rsidRPr="00DD47EB">
          <w:rPr>
            <w:rStyle w:val="TextoNormalCaracter"/>
          </w:rPr>
          <w:t>136/2015</w:t>
        </w:r>
      </w:hyperlink>
      <w:r>
        <w:t>, ff. 1, 2, 5 a 7.</w:t>
      </w:r>
    </w:p>
    <w:p w:rsidR="00DD47EB" w:rsidRDefault="00DD47EB" w:rsidP="00DD47EB">
      <w:pPr>
        <w:pStyle w:val="SangriaFrancesaArticulo"/>
      </w:pPr>
      <w:r w:rsidRPr="00DD47EB">
        <w:rPr>
          <w:rStyle w:val="TextoNormalNegritaCaracter"/>
        </w:rPr>
        <w:t>Disposición adicional decimoquinta.</w:t>
      </w:r>
      <w:r w:rsidRPr="00DD47EB">
        <w:rPr>
          <w:rStyle w:val="TextoNormalCaracter"/>
        </w:rPr>
        <w:t>-</w:t>
      </w:r>
      <w:r>
        <w:t xml:space="preserve"> Sentencia </w:t>
      </w:r>
      <w:hyperlink w:anchor="SENTENCIA_2015_136" w:history="1">
        <w:r w:rsidRPr="00DD47EB">
          <w:rPr>
            <w:rStyle w:val="TextoNormalCaracter"/>
          </w:rPr>
          <w:t>136/2015</w:t>
        </w:r>
      </w:hyperlink>
      <w:r>
        <w:t>, ff. 1, 2, 5 a 7.</w:t>
      </w:r>
    </w:p>
    <w:p w:rsidR="00DD47EB" w:rsidRDefault="00DD47EB" w:rsidP="00DD47EB">
      <w:pPr>
        <w:pStyle w:val="SangriaFrancesaArticulo"/>
      </w:pPr>
      <w:r w:rsidRPr="00DD47EB">
        <w:rPr>
          <w:rStyle w:val="TextoNormalNegritaCaracter"/>
        </w:rPr>
        <w:t>Disposición final decimocuarta, apartado 1.</w:t>
      </w:r>
      <w:r w:rsidRPr="00DD47EB">
        <w:rPr>
          <w:rStyle w:val="TextoNormalCaracter"/>
        </w:rPr>
        <w:t>-</w:t>
      </w:r>
      <w:r>
        <w:t xml:space="preserve"> Sentencia </w:t>
      </w:r>
      <w:hyperlink w:anchor="SENTENCIA_2015_8" w:history="1">
        <w:r w:rsidRPr="00DD47EB">
          <w:rPr>
            <w:rStyle w:val="TextoNormalCaracter"/>
          </w:rPr>
          <w:t>8/2015</w:t>
        </w:r>
      </w:hyperlink>
      <w:r>
        <w:t>, f. 8.</w:t>
      </w:r>
    </w:p>
    <w:p w:rsidR="00DD47EB" w:rsidRDefault="00DD47EB" w:rsidP="00DD47EB">
      <w:pPr>
        <w:pStyle w:val="SangriaFrancesaArticulo"/>
      </w:pPr>
      <w:r w:rsidRPr="00DD47EB">
        <w:rPr>
          <w:rStyle w:val="TextoNormalNegritaCaracter"/>
        </w:rPr>
        <w:t>Disposición final decimoquinta.</w:t>
      </w:r>
      <w:r w:rsidRPr="00DD47EB">
        <w:rPr>
          <w:rStyle w:val="TextoNormalCaracter"/>
        </w:rPr>
        <w:t>-</w:t>
      </w:r>
      <w:r>
        <w:t xml:space="preserve"> Sentencias </w:t>
      </w:r>
      <w:hyperlink w:anchor="SENTENCIA_2015_83" w:history="1">
        <w:r w:rsidRPr="00DD47EB">
          <w:rPr>
            <w:rStyle w:val="TextoNormalCaracter"/>
          </w:rPr>
          <w:t>83/2015</w:t>
        </w:r>
      </w:hyperlink>
      <w:r>
        <w:t xml:space="preserve">, f. 2; </w:t>
      </w:r>
      <w:hyperlink w:anchor="SENTENCIA_2015_100" w:history="1">
        <w:r w:rsidRPr="00DD47EB">
          <w:rPr>
            <w:rStyle w:val="TextoNormalCaracter"/>
          </w:rPr>
          <w:t>100/2015</w:t>
        </w:r>
      </w:hyperlink>
      <w:r>
        <w:t xml:space="preserve">, f. 2; </w:t>
      </w:r>
      <w:hyperlink w:anchor="SENTENCIA_2015_113" w:history="1">
        <w:r w:rsidRPr="00DD47EB">
          <w:rPr>
            <w:rStyle w:val="TextoNormalCaracter"/>
          </w:rPr>
          <w:t>113/2015</w:t>
        </w:r>
      </w:hyperlink>
      <w:r>
        <w:t>, f. 2.</w:t>
      </w:r>
    </w:p>
    <w:p w:rsidR="00DD47EB" w:rsidRDefault="00DD47EB" w:rsidP="00DD47EB">
      <w:pPr>
        <w:pStyle w:val="SangriaFrancesaArticulo"/>
      </w:pPr>
    </w:p>
    <w:p w:rsidR="00DD47EB" w:rsidRDefault="00DD47EB" w:rsidP="00DD47EB">
      <w:pPr>
        <w:pStyle w:val="TextoNormalNegritaCursivandice"/>
      </w:pPr>
      <w:r>
        <w:t>Real Decreto-ley 24/2012, de 31 de agosto. Reestructuración y resolución de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p>
    <w:p w:rsidR="00DD47EB" w:rsidRDefault="00DD47EB" w:rsidP="00DD47EB">
      <w:pPr>
        <w:pStyle w:val="TextoNormalNegritaCursivandice"/>
      </w:pPr>
      <w:r>
        <w:t>Real Decreto-ley 27/2012, de 15 de noviembre. Medidas urgentes para reforzar la protección a los deudores hipotecarios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3" w:history="1">
        <w:r w:rsidRPr="00DD47EB">
          <w:rPr>
            <w:rStyle w:val="TextoNormalCaracter"/>
          </w:rPr>
          <w:t>93/2015</w:t>
        </w:r>
      </w:hyperlink>
      <w:r>
        <w:t>, ff. 11, 16 a 18, VP II, VP III.</w:t>
      </w:r>
    </w:p>
    <w:p w:rsidR="00DD47EB" w:rsidRDefault="00DD47EB" w:rsidP="00DD47EB">
      <w:pPr>
        <w:pStyle w:val="SangriaFrancesaArticulo"/>
      </w:pPr>
    </w:p>
    <w:p w:rsidR="00DD47EB" w:rsidRDefault="00DD47EB" w:rsidP="00DD47EB">
      <w:pPr>
        <w:pStyle w:val="TextoNormalNegritaCursivandice"/>
      </w:pPr>
      <w:r>
        <w:t>Real Decreto-ley 28/2012, de 30 de noviembre. Medidas de consolidación y garantía del sistema de la Seguridad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49" w:history="1">
        <w:r w:rsidRPr="00DD47EB">
          <w:rPr>
            <w:rStyle w:val="TextoNormalCaracter"/>
          </w:rPr>
          <w:t>49/2015</w:t>
        </w:r>
      </w:hyperlink>
      <w:r>
        <w:t xml:space="preserve">, ff. 2, 5; </w:t>
      </w:r>
      <w:hyperlink w:anchor="SENTENCIA_2015_95" w:history="1">
        <w:r w:rsidRPr="00DD47EB">
          <w:rPr>
            <w:rStyle w:val="TextoNormalCaracter"/>
          </w:rPr>
          <w:t>95/2015</w:t>
        </w:r>
      </w:hyperlink>
      <w:r>
        <w:t xml:space="preserve">, ff. 5, 6; </w:t>
      </w:r>
      <w:hyperlink w:anchor="SENTENCIA_2015_109" w:history="1">
        <w:r w:rsidRPr="00DD47EB">
          <w:rPr>
            <w:rStyle w:val="TextoNormalCaracter"/>
          </w:rPr>
          <w:t>109/2015</w:t>
        </w:r>
      </w:hyperlink>
      <w:r>
        <w:t xml:space="preserve">, f. 2; </w:t>
      </w:r>
      <w:hyperlink w:anchor="SENTENCIA_2015_116" w:history="1">
        <w:r w:rsidRPr="00DD47EB">
          <w:rPr>
            <w:rStyle w:val="TextoNormalCaracter"/>
          </w:rPr>
          <w:t>116/2015</w:t>
        </w:r>
      </w:hyperlink>
      <w:r>
        <w:t xml:space="preserve">, f. 2; </w:t>
      </w:r>
      <w:hyperlink w:anchor="SENTENCIA_2015_117" w:history="1">
        <w:r w:rsidRPr="00DD47EB">
          <w:rPr>
            <w:rStyle w:val="TextoNormalCaracter"/>
          </w:rPr>
          <w:t>117/2015</w:t>
        </w:r>
      </w:hyperlink>
      <w:r>
        <w:t xml:space="preserve">, ff. 1, 3; </w:t>
      </w:r>
      <w:hyperlink w:anchor="SENTENCIA_2015_118" w:history="1">
        <w:r w:rsidRPr="00DD47EB">
          <w:rPr>
            <w:rStyle w:val="TextoNormalCaracter"/>
          </w:rPr>
          <w:t>118/2015</w:t>
        </w:r>
      </w:hyperlink>
      <w:r>
        <w:t xml:space="preserve">, ff. 1, 2; </w:t>
      </w:r>
      <w:hyperlink w:anchor="SENTENCIA_2015_119" w:history="1">
        <w:r w:rsidRPr="00DD47EB">
          <w:rPr>
            <w:rStyle w:val="TextoNormalCaracter"/>
          </w:rPr>
          <w:t>119/2015</w:t>
        </w:r>
      </w:hyperlink>
      <w:r>
        <w:t xml:space="preserve">, f. 2; </w:t>
      </w:r>
      <w:hyperlink w:anchor="SENTENCIA_2015_120" w:history="1">
        <w:r w:rsidRPr="00DD47EB">
          <w:rPr>
            <w:rStyle w:val="TextoNormalCaracter"/>
          </w:rPr>
          <w:t>120/2015</w:t>
        </w:r>
      </w:hyperlink>
      <w:r>
        <w:t xml:space="preserve">, f. 2; </w:t>
      </w:r>
      <w:hyperlink w:anchor="SENTENCIA_2015_121" w:history="1">
        <w:r w:rsidRPr="00DD47EB">
          <w:rPr>
            <w:rStyle w:val="TextoNormalCaracter"/>
          </w:rPr>
          <w:t>121/2015</w:t>
        </w:r>
      </w:hyperlink>
      <w:r>
        <w:t xml:space="preserve">, f. 2; </w:t>
      </w:r>
      <w:hyperlink w:anchor="SENTENCIA_2015_122" w:history="1">
        <w:r w:rsidRPr="00DD47EB">
          <w:rPr>
            <w:rStyle w:val="TextoNormalCaracter"/>
          </w:rPr>
          <w:t>122/2015</w:t>
        </w:r>
      </w:hyperlink>
      <w:r>
        <w:t xml:space="preserve">, f. 2; </w:t>
      </w:r>
      <w:hyperlink w:anchor="SENTENCIA_2015_123" w:history="1">
        <w:r w:rsidRPr="00DD47EB">
          <w:rPr>
            <w:rStyle w:val="TextoNormalCaracter"/>
          </w:rPr>
          <w:t>123/2015</w:t>
        </w:r>
      </w:hyperlink>
      <w:r>
        <w:t xml:space="preserve">, f. 2; </w:t>
      </w:r>
      <w:hyperlink w:anchor="SENTENCIA_2015_125" w:history="1">
        <w:r w:rsidRPr="00DD47EB">
          <w:rPr>
            <w:rStyle w:val="TextoNormalCaracter"/>
          </w:rPr>
          <w:t>125/2015</w:t>
        </w:r>
      </w:hyperlink>
      <w:r>
        <w:t xml:space="preserve">, f. 2; </w:t>
      </w:r>
      <w:hyperlink w:anchor="SENTENCIA_2015_126" w:history="1">
        <w:r w:rsidRPr="00DD47EB">
          <w:rPr>
            <w:rStyle w:val="TextoNormalCaracter"/>
          </w:rPr>
          <w:t>126/2015</w:t>
        </w:r>
      </w:hyperlink>
      <w:r>
        <w:t xml:space="preserve">, ff. 1, 2; </w:t>
      </w:r>
      <w:hyperlink w:anchor="SENTENCIA_2015_127" w:history="1">
        <w:r w:rsidRPr="00DD47EB">
          <w:rPr>
            <w:rStyle w:val="TextoNormalCaracter"/>
          </w:rPr>
          <w:t>127/2015</w:t>
        </w:r>
      </w:hyperlink>
      <w:r>
        <w:t xml:space="preserve">, f. 2; </w:t>
      </w:r>
      <w:hyperlink w:anchor="SENTENCIA_2015_128" w:history="1">
        <w:r w:rsidRPr="00DD47EB">
          <w:rPr>
            <w:rStyle w:val="TextoNormalCaracter"/>
          </w:rPr>
          <w:t>128/2015</w:t>
        </w:r>
      </w:hyperlink>
      <w:r>
        <w:t xml:space="preserve">, f. 2; </w:t>
      </w:r>
      <w:hyperlink w:anchor="SENTENCIA_2015_129" w:history="1">
        <w:r w:rsidRPr="00DD47EB">
          <w:rPr>
            <w:rStyle w:val="TextoNormalCaracter"/>
          </w:rPr>
          <w:t>129/2015</w:t>
        </w:r>
      </w:hyperlink>
      <w:r>
        <w:t xml:space="preserve">, f. 2;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f. 2; </w:t>
      </w:r>
      <w:hyperlink w:anchor="SENTENCIA_2015_132" w:history="1">
        <w:r w:rsidRPr="00DD47EB">
          <w:rPr>
            <w:rStyle w:val="TextoNormalCaracter"/>
          </w:rPr>
          <w:t>132/2015</w:t>
        </w:r>
      </w:hyperlink>
      <w:r>
        <w:t xml:space="preserve">, f. 2; </w:t>
      </w:r>
      <w:hyperlink w:anchor="SENTENCIA_2015_133" w:history="1">
        <w:r w:rsidRPr="00DD47EB">
          <w:rPr>
            <w:rStyle w:val="TextoNormalCaracter"/>
          </w:rPr>
          <w:t>133/2015</w:t>
        </w:r>
      </w:hyperlink>
      <w:r>
        <w:t xml:space="preserve">, f. 2; </w:t>
      </w:r>
      <w:hyperlink w:anchor="SENTENCIA_2015_134" w:history="1">
        <w:r w:rsidRPr="00DD47EB">
          <w:rPr>
            <w:rStyle w:val="TextoNormalCaracter"/>
          </w:rPr>
          <w:t>134/2015</w:t>
        </w:r>
      </w:hyperlink>
      <w:r>
        <w:t xml:space="preserve">, f. 2; </w:t>
      </w:r>
      <w:hyperlink w:anchor="SENTENCIA_2015_135" w:history="1">
        <w:r w:rsidRPr="00DD47EB">
          <w:rPr>
            <w:rStyle w:val="TextoNormalCaracter"/>
          </w:rPr>
          <w:t>135/2015</w:t>
        </w:r>
      </w:hyperlink>
      <w:r>
        <w:t xml:space="preserve">, f. 2; </w:t>
      </w:r>
      <w:hyperlink w:anchor="SENTENCIA_2015_144" w:history="1">
        <w:r w:rsidRPr="00DD47EB">
          <w:rPr>
            <w:rStyle w:val="TextoNormalCaracter"/>
          </w:rPr>
          <w:t>144/2015</w:t>
        </w:r>
      </w:hyperlink>
      <w:r>
        <w:t>, f. 2.</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Sentencias </w:t>
      </w:r>
      <w:hyperlink w:anchor="SENTENCIA_2015_49" w:history="1">
        <w:r w:rsidRPr="00DD47EB">
          <w:rPr>
            <w:rStyle w:val="TextoNormalCaracter"/>
          </w:rPr>
          <w:t>49/2015</w:t>
        </w:r>
      </w:hyperlink>
      <w:r>
        <w:t xml:space="preserve">, f. 3, VP; </w:t>
      </w:r>
      <w:hyperlink w:anchor="SENTENCIA_2015_95" w:history="1">
        <w:r w:rsidRPr="00DD47EB">
          <w:rPr>
            <w:rStyle w:val="TextoNormalCaracter"/>
          </w:rPr>
          <w:t>95/2015</w:t>
        </w:r>
      </w:hyperlink>
      <w:r>
        <w:t>, ff. 3, 4.</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Sentencias </w:t>
      </w:r>
      <w:hyperlink w:anchor="SENTENCIA_2015_49" w:history="1">
        <w:r w:rsidRPr="00DD47EB">
          <w:rPr>
            <w:rStyle w:val="TextoNormalCaracter"/>
          </w:rPr>
          <w:t>49/2015</w:t>
        </w:r>
      </w:hyperlink>
      <w:r>
        <w:t xml:space="preserve">, ff. 1, 3, 5, 6, VP; </w:t>
      </w:r>
      <w:hyperlink w:anchor="SENTENCIA_2015_95" w:history="1">
        <w:r w:rsidRPr="00DD47EB">
          <w:rPr>
            <w:rStyle w:val="TextoNormalCaracter"/>
          </w:rPr>
          <w:t>95/2015</w:t>
        </w:r>
      </w:hyperlink>
      <w:r>
        <w:t xml:space="preserve">, ff. 1, 3 a 6; </w:t>
      </w:r>
      <w:hyperlink w:anchor="SENTENCIA_2015_109" w:history="1">
        <w:r w:rsidRPr="00DD47EB">
          <w:rPr>
            <w:rStyle w:val="TextoNormalCaracter"/>
          </w:rPr>
          <w:t>109/2015</w:t>
        </w:r>
      </w:hyperlink>
      <w:r>
        <w:t xml:space="preserve">, ff. 1, 2; </w:t>
      </w:r>
      <w:hyperlink w:anchor="SENTENCIA_2015_116" w:history="1">
        <w:r w:rsidRPr="00DD47EB">
          <w:rPr>
            <w:rStyle w:val="TextoNormalCaracter"/>
          </w:rPr>
          <w:t>116/2015</w:t>
        </w:r>
      </w:hyperlink>
      <w:r>
        <w:t xml:space="preserve">, ff. 1, 2; </w:t>
      </w:r>
      <w:hyperlink w:anchor="SENTENCIA_2015_117" w:history="1">
        <w:r w:rsidRPr="00DD47EB">
          <w:rPr>
            <w:rStyle w:val="TextoNormalCaracter"/>
          </w:rPr>
          <w:t>117/2015</w:t>
        </w:r>
      </w:hyperlink>
      <w:r>
        <w:t xml:space="preserve">, ff. 1, 2, 4; </w:t>
      </w:r>
      <w:hyperlink w:anchor="SENTENCIA_2015_118" w:history="1">
        <w:r w:rsidRPr="00DD47EB">
          <w:rPr>
            <w:rStyle w:val="TextoNormalCaracter"/>
          </w:rPr>
          <w:t>118/2015</w:t>
        </w:r>
      </w:hyperlink>
      <w:r>
        <w:t xml:space="preserve">, ff. 1, 2; </w:t>
      </w:r>
      <w:hyperlink w:anchor="SENTENCIA_2015_119" w:history="1">
        <w:r w:rsidRPr="00DD47EB">
          <w:rPr>
            <w:rStyle w:val="TextoNormalCaracter"/>
          </w:rPr>
          <w:t>119/2015</w:t>
        </w:r>
      </w:hyperlink>
      <w:r>
        <w:t xml:space="preserve">, ff. 1, 2; </w:t>
      </w:r>
      <w:hyperlink w:anchor="SENTENCIA_2015_120" w:history="1">
        <w:r w:rsidRPr="00DD47EB">
          <w:rPr>
            <w:rStyle w:val="TextoNormalCaracter"/>
          </w:rPr>
          <w:t>120/2015</w:t>
        </w:r>
      </w:hyperlink>
      <w:r>
        <w:t xml:space="preserve">, ff. 1, 2; </w:t>
      </w:r>
      <w:hyperlink w:anchor="SENTENCIA_2015_121" w:history="1">
        <w:r w:rsidRPr="00DD47EB">
          <w:rPr>
            <w:rStyle w:val="TextoNormalCaracter"/>
          </w:rPr>
          <w:t>121/2015</w:t>
        </w:r>
      </w:hyperlink>
      <w:r>
        <w:t xml:space="preserve">, ff. 1, 2; </w:t>
      </w:r>
      <w:hyperlink w:anchor="SENTENCIA_2015_122" w:history="1">
        <w:r w:rsidRPr="00DD47EB">
          <w:rPr>
            <w:rStyle w:val="TextoNormalCaracter"/>
          </w:rPr>
          <w:t>122/2015</w:t>
        </w:r>
      </w:hyperlink>
      <w:r>
        <w:t xml:space="preserve">, ff. 1, 2; </w:t>
      </w:r>
      <w:hyperlink w:anchor="SENTENCIA_2015_123" w:history="1">
        <w:r w:rsidRPr="00DD47EB">
          <w:rPr>
            <w:rStyle w:val="TextoNormalCaracter"/>
          </w:rPr>
          <w:t>123/2015</w:t>
        </w:r>
      </w:hyperlink>
      <w:r>
        <w:t xml:space="preserve">, ff. 1, 2; </w:t>
      </w:r>
      <w:hyperlink w:anchor="SENTENCIA_2015_125" w:history="1">
        <w:r w:rsidRPr="00DD47EB">
          <w:rPr>
            <w:rStyle w:val="TextoNormalCaracter"/>
          </w:rPr>
          <w:t>125/2015</w:t>
        </w:r>
      </w:hyperlink>
      <w:r>
        <w:t xml:space="preserve">, ff. 1, 2; </w:t>
      </w:r>
      <w:hyperlink w:anchor="SENTENCIA_2015_126" w:history="1">
        <w:r w:rsidRPr="00DD47EB">
          <w:rPr>
            <w:rStyle w:val="TextoNormalCaracter"/>
          </w:rPr>
          <w:t>126/2015</w:t>
        </w:r>
      </w:hyperlink>
      <w:r>
        <w:t xml:space="preserve">, ff. 1, 2; </w:t>
      </w:r>
      <w:hyperlink w:anchor="SENTENCIA_2015_127" w:history="1">
        <w:r w:rsidRPr="00DD47EB">
          <w:rPr>
            <w:rStyle w:val="TextoNormalCaracter"/>
          </w:rPr>
          <w:t>127/2015</w:t>
        </w:r>
      </w:hyperlink>
      <w:r>
        <w:t xml:space="preserve">, ff. 1, 2; </w:t>
      </w:r>
      <w:hyperlink w:anchor="SENTENCIA_2015_128" w:history="1">
        <w:r w:rsidRPr="00DD47EB">
          <w:rPr>
            <w:rStyle w:val="TextoNormalCaracter"/>
          </w:rPr>
          <w:t>128/2015</w:t>
        </w:r>
      </w:hyperlink>
      <w:r>
        <w:t xml:space="preserve">, ff. 1, 2; </w:t>
      </w:r>
      <w:hyperlink w:anchor="SENTENCIA_2015_129" w:history="1">
        <w:r w:rsidRPr="00DD47EB">
          <w:rPr>
            <w:rStyle w:val="TextoNormalCaracter"/>
          </w:rPr>
          <w:t>129/2015</w:t>
        </w:r>
      </w:hyperlink>
      <w:r>
        <w:t xml:space="preserve">, ff. 1, 2; </w:t>
      </w:r>
      <w:hyperlink w:anchor="SENTENCIA_2015_130" w:history="1">
        <w:r w:rsidRPr="00DD47EB">
          <w:rPr>
            <w:rStyle w:val="TextoNormalCaracter"/>
          </w:rPr>
          <w:t>130/2015</w:t>
        </w:r>
      </w:hyperlink>
      <w:r>
        <w:t xml:space="preserve">; </w:t>
      </w:r>
      <w:hyperlink w:anchor="SENTENCIA_2015_131" w:history="1">
        <w:r w:rsidRPr="00DD47EB">
          <w:rPr>
            <w:rStyle w:val="TextoNormalCaracter"/>
          </w:rPr>
          <w:t>131/2015</w:t>
        </w:r>
      </w:hyperlink>
      <w:r>
        <w:t xml:space="preserve">, ff. 1, 2; </w:t>
      </w:r>
      <w:hyperlink w:anchor="SENTENCIA_2015_132" w:history="1">
        <w:r w:rsidRPr="00DD47EB">
          <w:rPr>
            <w:rStyle w:val="TextoNormalCaracter"/>
          </w:rPr>
          <w:t>132/2015</w:t>
        </w:r>
      </w:hyperlink>
      <w:r>
        <w:t xml:space="preserve">, ff. 1, 2; </w:t>
      </w:r>
      <w:hyperlink w:anchor="SENTENCIA_2015_133" w:history="1">
        <w:r w:rsidRPr="00DD47EB">
          <w:rPr>
            <w:rStyle w:val="TextoNormalCaracter"/>
          </w:rPr>
          <w:t>133/2015</w:t>
        </w:r>
      </w:hyperlink>
      <w:r>
        <w:t xml:space="preserve">, ff. 1, 2; </w:t>
      </w:r>
      <w:hyperlink w:anchor="SENTENCIA_2015_134" w:history="1">
        <w:r w:rsidRPr="00DD47EB">
          <w:rPr>
            <w:rStyle w:val="TextoNormalCaracter"/>
          </w:rPr>
          <w:t>134/2015</w:t>
        </w:r>
      </w:hyperlink>
      <w:r>
        <w:t xml:space="preserve">, ff. 1, 2; </w:t>
      </w:r>
      <w:hyperlink w:anchor="SENTENCIA_2015_135" w:history="1">
        <w:r w:rsidRPr="00DD47EB">
          <w:rPr>
            <w:rStyle w:val="TextoNormalCaracter"/>
          </w:rPr>
          <w:t>135/2015</w:t>
        </w:r>
      </w:hyperlink>
      <w:r>
        <w:t xml:space="preserve">, ff. 1, 2; </w:t>
      </w:r>
      <w:hyperlink w:anchor="SENTENCIA_2015_144" w:history="1">
        <w:r w:rsidRPr="00DD47EB">
          <w:rPr>
            <w:rStyle w:val="TextoNormalCaracter"/>
          </w:rPr>
          <w:t>144/2015</w:t>
        </w:r>
      </w:hyperlink>
      <w:r>
        <w:t>, ff. 1, 2.</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49" w:history="1">
        <w:r w:rsidRPr="00DD47EB">
          <w:rPr>
            <w:rStyle w:val="TextoNormalCaracter"/>
          </w:rPr>
          <w:t>49/2015</w:t>
        </w:r>
      </w:hyperlink>
      <w:r>
        <w:t>, VP.</w:t>
      </w:r>
    </w:p>
    <w:p w:rsidR="00DD47EB" w:rsidRDefault="00DD47EB" w:rsidP="00DD47EB">
      <w:pPr>
        <w:pStyle w:val="SangriaFrancesaArticulo"/>
      </w:pPr>
    </w:p>
    <w:p w:rsidR="00DD47EB" w:rsidRDefault="00DD47EB" w:rsidP="00DD47EB">
      <w:pPr>
        <w:pStyle w:val="TextoNormalNegritaCursivandice"/>
      </w:pPr>
      <w:r>
        <w:t>Real Decreto-ley 1/2013, de 25 de enero. Prorroga el programa de recualificación profesional de las personas que agoten su protección por desempleo y se adoptan otras medidas urgentes para el empleo y la protección social de las personas desempleadas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p>
    <w:p w:rsidR="00DD47EB" w:rsidRDefault="00DD47EB" w:rsidP="00DD47EB">
      <w:pPr>
        <w:pStyle w:val="TextoNormalNegritaCursivandice"/>
      </w:pPr>
      <w:r>
        <w:t>Real Decreto-ley 2/2013, de 1 de febrero. Medidas urgentes en el sistema eléctrico y en el sector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8" w:history="1">
        <w:r w:rsidRPr="00DD47EB">
          <w:rPr>
            <w:rStyle w:val="TextoNormalCaracter"/>
          </w:rPr>
          <w:t>28/2015</w:t>
        </w:r>
      </w:hyperlink>
      <w:r>
        <w:t xml:space="preserve">, ff. 1 a 3; </w:t>
      </w:r>
      <w:hyperlink w:anchor="SENTENCIA_2015_48" w:history="1">
        <w:r w:rsidRPr="00DD47EB">
          <w:rPr>
            <w:rStyle w:val="TextoNormalCaracter"/>
          </w:rPr>
          <w:t>48/2015</w:t>
        </w:r>
      </w:hyperlink>
      <w:r>
        <w:t>, ff. 2, 5.</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Sentencias </w:t>
      </w:r>
      <w:hyperlink w:anchor="SENTENCIA_2015_28" w:history="1">
        <w:r w:rsidRPr="00DD47EB">
          <w:rPr>
            <w:rStyle w:val="TextoNormalCaracter"/>
          </w:rPr>
          <w:t>28/2015</w:t>
        </w:r>
      </w:hyperlink>
      <w:r>
        <w:t xml:space="preserve">, ff. 1, 2;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28" w:history="1">
        <w:r w:rsidRPr="00DD47EB">
          <w:rPr>
            <w:rStyle w:val="TextoNormalCaracter"/>
          </w:rPr>
          <w:t>28/2015</w:t>
        </w:r>
      </w:hyperlink>
      <w:r>
        <w:t>, ff. 1, 2.</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28" w:history="1">
        <w:r w:rsidRPr="00DD47EB">
          <w:rPr>
            <w:rStyle w:val="TextoNormalCaracter"/>
          </w:rPr>
          <w:t>28/2015</w:t>
        </w:r>
      </w:hyperlink>
      <w:r>
        <w:t>, ff. 1, 2.</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 </w:t>
      </w:r>
      <w:hyperlink w:anchor="SENTENCIA_2015_28" w:history="1">
        <w:r w:rsidRPr="00DD47EB">
          <w:rPr>
            <w:rStyle w:val="TextoNormalCaracter"/>
          </w:rPr>
          <w:t>28/2015</w:t>
        </w:r>
      </w:hyperlink>
      <w:r>
        <w:t>, f. 2.</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 </w:t>
      </w:r>
      <w:hyperlink w:anchor="SENTENCIA_2015_28" w:history="1">
        <w:r w:rsidRPr="00DD47EB">
          <w:rPr>
            <w:rStyle w:val="TextoNormalCaracter"/>
          </w:rPr>
          <w:t>28/2015</w:t>
        </w:r>
      </w:hyperlink>
      <w:r>
        <w:t>, f. 2.</w:t>
      </w:r>
    </w:p>
    <w:p w:rsidR="00DD47EB" w:rsidRDefault="00DD47EB" w:rsidP="00DD47EB">
      <w:pPr>
        <w:pStyle w:val="SangriaFrancesaArticulo"/>
      </w:pPr>
      <w:r w:rsidRPr="00DD47EB">
        <w:rPr>
          <w:rStyle w:val="TextoNormalNegritaCaracter"/>
        </w:rPr>
        <w:t>Artículo 2.8.</w:t>
      </w:r>
      <w:r w:rsidRPr="00DD47EB">
        <w:rPr>
          <w:rStyle w:val="TextoNormalCaracter"/>
        </w:rPr>
        <w:t>-</w:t>
      </w:r>
      <w:r>
        <w:t xml:space="preserve"> Sentencia </w:t>
      </w:r>
      <w:hyperlink w:anchor="SENTENCIA_2015_28" w:history="1">
        <w:r w:rsidRPr="00DD47EB">
          <w:rPr>
            <w:rStyle w:val="TextoNormalCaracter"/>
          </w:rPr>
          <w:t>28/2015</w:t>
        </w:r>
      </w:hyperlink>
      <w:r>
        <w:t>, f. 2.</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 </w:t>
      </w:r>
      <w:hyperlink w:anchor="SENTENCIA_2015_28" w:history="1">
        <w:r w:rsidRPr="00DD47EB">
          <w:rPr>
            <w:rStyle w:val="TextoNormalCaracter"/>
          </w:rPr>
          <w:t>28/2015</w:t>
        </w:r>
      </w:hyperlink>
      <w:r>
        <w:t>, f. 2.</w:t>
      </w:r>
    </w:p>
    <w:p w:rsidR="00DD47EB" w:rsidRDefault="00DD47EB" w:rsidP="00DD47EB">
      <w:pPr>
        <w:pStyle w:val="SangriaFrancesaArticulo"/>
      </w:pPr>
      <w:r w:rsidRPr="00DD47EB">
        <w:rPr>
          <w:rStyle w:val="TextoNormalNegritaCaracter"/>
        </w:rPr>
        <w:t>Artículo 2.10.</w:t>
      </w:r>
      <w:r w:rsidRPr="00DD47EB">
        <w:rPr>
          <w:rStyle w:val="TextoNormalCaracter"/>
        </w:rPr>
        <w:t>-</w:t>
      </w:r>
      <w:r>
        <w:t xml:space="preserve"> Sentencia </w:t>
      </w:r>
      <w:hyperlink w:anchor="SENTENCIA_2015_28" w:history="1">
        <w:r w:rsidRPr="00DD47EB">
          <w:rPr>
            <w:rStyle w:val="TextoNormalCaracter"/>
          </w:rPr>
          <w:t>28/2015</w:t>
        </w:r>
      </w:hyperlink>
      <w:r>
        <w:t>, f. 2.</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Sentencias </w:t>
      </w:r>
      <w:hyperlink w:anchor="SENTENCIA_2015_28" w:history="1">
        <w:r w:rsidRPr="00DD47EB">
          <w:rPr>
            <w:rStyle w:val="TextoNormalCaracter"/>
          </w:rPr>
          <w:t>28/2015</w:t>
        </w:r>
      </w:hyperlink>
      <w:r>
        <w:t xml:space="preserve">, ff. 1, 2;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Disposición adicional única.</w:t>
      </w:r>
      <w:r w:rsidRPr="00DD47EB">
        <w:rPr>
          <w:rStyle w:val="TextoNormalCaracter"/>
        </w:rPr>
        <w:t>-</w:t>
      </w:r>
      <w:r>
        <w:t xml:space="preserve"> Sentencias </w:t>
      </w:r>
      <w:hyperlink w:anchor="SENTENCIA_2015_28" w:history="1">
        <w:r w:rsidRPr="00DD47EB">
          <w:rPr>
            <w:rStyle w:val="TextoNormalCaracter"/>
          </w:rPr>
          <w:t>28/2015</w:t>
        </w:r>
      </w:hyperlink>
      <w:r>
        <w:t xml:space="preserve">, ff. 1, 2;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Disposición adicional única, apartado 1.</w:t>
      </w:r>
      <w:r w:rsidRPr="00DD47EB">
        <w:rPr>
          <w:rStyle w:val="TextoNormalCaracter"/>
        </w:rPr>
        <w:t>-</w:t>
      </w:r>
      <w:r>
        <w:t xml:space="preserve"> Sentencia </w:t>
      </w:r>
      <w:hyperlink w:anchor="SENTENCIA_2015_28" w:history="1">
        <w:r w:rsidRPr="00DD47EB">
          <w:rPr>
            <w:rStyle w:val="TextoNormalCaracter"/>
          </w:rPr>
          <w:t>28/2015</w:t>
        </w:r>
      </w:hyperlink>
      <w:r>
        <w:t>, f. 1.</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28" w:history="1">
        <w:r w:rsidRPr="00DD47EB">
          <w:rPr>
            <w:rStyle w:val="TextoNormalCaracter"/>
          </w:rPr>
          <w:t>28/2015</w:t>
        </w:r>
      </w:hyperlink>
      <w:r>
        <w:t>, ff. 1, 2.</w:t>
      </w:r>
    </w:p>
    <w:p w:rsidR="00DD47EB" w:rsidRDefault="00DD47EB" w:rsidP="00DD47EB">
      <w:pPr>
        <w:pStyle w:val="SangriaFrancesaArticulo"/>
      </w:pPr>
    </w:p>
    <w:p w:rsidR="00DD47EB" w:rsidRDefault="00DD47EB" w:rsidP="00DD47EB">
      <w:pPr>
        <w:pStyle w:val="TextoNormalNegritaCursivandice"/>
      </w:pPr>
      <w:r>
        <w:t>Real Decreto-ley 6/2013, de 22 de marzo. Protección a los titulares de determinados productos de ahorro e inversión y otras medidas de carácter financiero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2" w:history="1">
        <w:r w:rsidRPr="00DD47EB">
          <w:rPr>
            <w:rStyle w:val="TextoNormalCaracter"/>
          </w:rPr>
          <w:t>12/2015</w:t>
        </w:r>
      </w:hyperlink>
      <w:r>
        <w:t>, ff. 1, 4, 5, VP I, VP II.</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2" w:history="1">
        <w:r w:rsidRPr="00DD47EB">
          <w:rPr>
            <w:rStyle w:val="TextoNormalCaracter"/>
          </w:rPr>
          <w:t>12/2015</w:t>
        </w:r>
      </w:hyperlink>
      <w:r>
        <w:t>, f. 4, VP II.</w:t>
      </w:r>
    </w:p>
    <w:p w:rsidR="00DD47EB" w:rsidRDefault="00DD47EB" w:rsidP="00DD47EB">
      <w:pPr>
        <w:pStyle w:val="SangriaFrancesaArticulo"/>
      </w:pPr>
      <w:r w:rsidRPr="00DD47EB">
        <w:rPr>
          <w:rStyle w:val="TextoNormalNegritaCaracter"/>
        </w:rPr>
        <w:t>Exposición de motivos, apartado I, párrafo tercero.</w:t>
      </w:r>
      <w:r w:rsidRPr="00DD47EB">
        <w:rPr>
          <w:rStyle w:val="TextoNormalCaracter"/>
        </w:rPr>
        <w:t>-</w:t>
      </w:r>
      <w:r>
        <w:t xml:space="preserve"> Sentencia </w:t>
      </w:r>
      <w:hyperlink w:anchor="SENTENCIA_2015_12" w:history="1">
        <w:r w:rsidRPr="00DD47EB">
          <w:rPr>
            <w:rStyle w:val="TextoNormalCaracter"/>
          </w:rPr>
          <w:t>12/2015</w:t>
        </w:r>
      </w:hyperlink>
      <w:r>
        <w:t>, VP II.</w:t>
      </w:r>
    </w:p>
    <w:p w:rsidR="00DD47EB" w:rsidRDefault="00DD47EB" w:rsidP="00DD47EB">
      <w:pPr>
        <w:pStyle w:val="SangriaFrancesaArticulo"/>
      </w:pPr>
      <w:r w:rsidRPr="00DD47EB">
        <w:rPr>
          <w:rStyle w:val="TextoNormalNegritaCaracter"/>
        </w:rPr>
        <w:t>Exposición de motivos, apartado II, inciso del párrafo tercero.</w:t>
      </w:r>
      <w:r w:rsidRPr="00DD47EB">
        <w:rPr>
          <w:rStyle w:val="TextoNormalCaracter"/>
        </w:rPr>
        <w:t>-</w:t>
      </w:r>
      <w:r>
        <w:t xml:space="preserve"> Sentencia </w:t>
      </w:r>
      <w:hyperlink w:anchor="SENTENCIA_2015_12" w:history="1">
        <w:r w:rsidRPr="00DD47EB">
          <w:rPr>
            <w:rStyle w:val="TextoNormalCaracter"/>
          </w:rPr>
          <w:t>12/2015</w:t>
        </w:r>
      </w:hyperlink>
      <w:r>
        <w:t>, VP II.</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2" w:history="1">
        <w:r w:rsidRPr="00DD47EB">
          <w:rPr>
            <w:rStyle w:val="TextoNormalCaracter"/>
          </w:rPr>
          <w:t>12/2015</w:t>
        </w:r>
      </w:hyperlink>
      <w:r>
        <w:t>, ff. 2 a 6, VP I, VP II.</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12" w:history="1">
        <w:r w:rsidRPr="00DD47EB">
          <w:rPr>
            <w:rStyle w:val="TextoNormalCaracter"/>
          </w:rPr>
          <w:t>12/2015</w:t>
        </w:r>
      </w:hyperlink>
      <w:r>
        <w:t>, VP II.</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derogatoria única.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final cuarta.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final quinta.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r w:rsidRPr="00DD47EB">
        <w:rPr>
          <w:rStyle w:val="TextoNormalNegritaCaracter"/>
        </w:rPr>
        <w:t>Disposición final sexta.</w:t>
      </w:r>
      <w:r w:rsidRPr="00DD47EB">
        <w:rPr>
          <w:rStyle w:val="TextoNormalCaracter"/>
        </w:rPr>
        <w:t>-</w:t>
      </w:r>
      <w:r>
        <w:t xml:space="preserve"> Sentencia </w:t>
      </w:r>
      <w:hyperlink w:anchor="SENTENCIA_2015_12" w:history="1">
        <w:r w:rsidRPr="00DD47EB">
          <w:rPr>
            <w:rStyle w:val="TextoNormalCaracter"/>
          </w:rPr>
          <w:t>12/2015</w:t>
        </w:r>
      </w:hyperlink>
      <w:r>
        <w:t>, f. 2.</w:t>
      </w:r>
    </w:p>
    <w:p w:rsidR="00DD47EB" w:rsidRDefault="00DD47EB" w:rsidP="00DD47EB">
      <w:pPr>
        <w:pStyle w:val="SangriaFrancesaArticulo"/>
      </w:pPr>
    </w:p>
    <w:p w:rsidR="00DD47EB" w:rsidRDefault="00DD47EB" w:rsidP="00DD47EB">
      <w:pPr>
        <w:pStyle w:val="TextoNormalNegritaCursivandice"/>
      </w:pPr>
      <w:r>
        <w:t>Real Decreto-ley 9/2013, de 12 de julio. Adopta medidas urgentes para garantizar la estabilidad financiera del sistema eléctrico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8" w:history="1">
        <w:r w:rsidRPr="00DD47EB">
          <w:rPr>
            <w:rStyle w:val="TextoNormalCaracter"/>
          </w:rPr>
          <w:t>28/2015</w:t>
        </w:r>
      </w:hyperlink>
      <w:r>
        <w:t xml:space="preserve">, f. 2;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28" w:history="1">
        <w:r w:rsidRPr="00DD47EB">
          <w:rPr>
            <w:rStyle w:val="TextoNormalCaracter"/>
          </w:rPr>
          <w:t>28/2015</w:t>
        </w:r>
      </w:hyperlink>
      <w:r>
        <w:t>, f. 2.</w:t>
      </w:r>
    </w:p>
    <w:p w:rsidR="00DD47EB" w:rsidRDefault="00DD47EB" w:rsidP="00DD47EB">
      <w:pPr>
        <w:pStyle w:val="SangriaFrancesaArticulo"/>
      </w:pPr>
    </w:p>
    <w:p w:rsidR="00DD47EB" w:rsidRDefault="00DD47EB" w:rsidP="00DD47EB">
      <w:pPr>
        <w:pStyle w:val="TextoNormalNegritaCursivandice"/>
      </w:pPr>
      <w:r>
        <w:t>Real Decreto-ley 11/2013, de 2 de agosto. Protección de los trabajadores a tiempo parcial y otras medidas urgentes en el orden económico y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r w:rsidRPr="00DD47EB">
        <w:rPr>
          <w:rStyle w:val="TextoNormalNegritaCaracter"/>
        </w:rPr>
        <w:t>Capítulo III.</w:t>
      </w:r>
      <w:r w:rsidRPr="00DD47EB">
        <w:rPr>
          <w:rStyle w:val="TextoNormalCaracter"/>
        </w:rPr>
        <w:t>-</w:t>
      </w:r>
      <w:r>
        <w:t xml:space="preserve"> Sentencia </w:t>
      </w:r>
      <w:hyperlink w:anchor="SENTENCIA_2015_27" w:history="1">
        <w:r w:rsidRPr="00DD47EB">
          <w:rPr>
            <w:rStyle w:val="TextoNormalCaracter"/>
          </w:rPr>
          <w:t>27/2015</w:t>
        </w:r>
      </w:hyperlink>
      <w:r>
        <w:t>, f. 4.</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27" w:history="1">
        <w:r w:rsidRPr="00DD47EB">
          <w:rPr>
            <w:rStyle w:val="TextoNormalCaracter"/>
          </w:rPr>
          <w:t>27/2015</w:t>
        </w:r>
      </w:hyperlink>
      <w:r>
        <w:t>, f. 4.</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27" w:history="1">
        <w:r w:rsidRPr="00DD47EB">
          <w:rPr>
            <w:rStyle w:val="TextoNormalCaracter"/>
          </w:rPr>
          <w:t>27/2015</w:t>
        </w:r>
      </w:hyperlink>
      <w:r>
        <w:t>, ff. 1, 2, 6.</w:t>
      </w:r>
    </w:p>
    <w:p w:rsidR="00DD47EB" w:rsidRDefault="00DD47EB" w:rsidP="00DD47EB">
      <w:pPr>
        <w:pStyle w:val="SangriaFrancesaArticulo"/>
      </w:pPr>
      <w:r w:rsidRPr="00DD47EB">
        <w:rPr>
          <w:rStyle w:val="TextoNormalNegritaCaracter"/>
        </w:rPr>
        <w:t>Artículo 8.5.</w:t>
      </w:r>
      <w:r w:rsidRPr="00DD47EB">
        <w:rPr>
          <w:rStyle w:val="TextoNormalCaracter"/>
        </w:rPr>
        <w:t>-</w:t>
      </w:r>
      <w:r>
        <w:t xml:space="preserve"> Sentencia </w:t>
      </w:r>
      <w:hyperlink w:anchor="SENTENCIA_2015_27" w:history="1">
        <w:r w:rsidRPr="00DD47EB">
          <w:rPr>
            <w:rStyle w:val="TextoNormalCaracter"/>
          </w:rPr>
          <w:t>27/2015</w:t>
        </w:r>
      </w:hyperlink>
      <w:r>
        <w:t>, ff. 1, 2, 5, 6.</w:t>
      </w:r>
    </w:p>
    <w:p w:rsidR="00DD47EB" w:rsidRDefault="00DD47EB" w:rsidP="00DD47EB">
      <w:pPr>
        <w:pStyle w:val="SangriaFrancesaArticulo"/>
      </w:pPr>
      <w:r w:rsidRPr="00DD47EB">
        <w:rPr>
          <w:rStyle w:val="TextoNormalNegritaCaracter"/>
        </w:rPr>
        <w:t>Artículo 9.5.</w:t>
      </w:r>
      <w:r w:rsidRPr="00DD47EB">
        <w:rPr>
          <w:rStyle w:val="TextoNormalCaracter"/>
        </w:rPr>
        <w:t>-</w:t>
      </w:r>
      <w:r>
        <w:t xml:space="preserve"> Sentencia </w:t>
      </w:r>
      <w:hyperlink w:anchor="SENTENCIA_2015_8" w:history="1">
        <w:r w:rsidRPr="00DD47EB">
          <w:rPr>
            <w:rStyle w:val="TextoNormalCaracter"/>
          </w:rPr>
          <w:t>8/2015</w:t>
        </w:r>
      </w:hyperlink>
      <w:r>
        <w:t>, f. 5.</w:t>
      </w:r>
    </w:p>
    <w:p w:rsidR="00DD47EB" w:rsidRDefault="00DD47EB" w:rsidP="00DD47EB">
      <w:pPr>
        <w:pStyle w:val="SangriaFrancesaArticulo"/>
      </w:pPr>
    </w:p>
    <w:p w:rsidR="00DD47EB" w:rsidRDefault="00DD47EB" w:rsidP="00DD47EB">
      <w:pPr>
        <w:pStyle w:val="TextoNormalNegritaCursivandice"/>
      </w:pPr>
      <w:r>
        <w:t>Real Decreto-ley 14/2013, de 29 de noviembre. Medidas urgentes para la adaptación del derecho español a la normativa de la Unión Europea en materia de supervisión y solvencia de entidades financieras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7" w:history="1">
        <w:r w:rsidRPr="00DD47EB">
          <w:rPr>
            <w:rStyle w:val="TextoNormalCaracter"/>
          </w:rPr>
          <w:t>47/2015</w:t>
        </w:r>
      </w:hyperlink>
      <w:r>
        <w:t>, f. 2.</w:t>
      </w:r>
    </w:p>
    <w:p w:rsidR="00DD47EB" w:rsidRDefault="00DD47EB" w:rsidP="00DD47EB">
      <w:pPr>
        <w:pStyle w:val="SangriaFrancesaArticulo"/>
      </w:pPr>
    </w:p>
    <w:p w:rsidR="00DD47EB" w:rsidRDefault="00DD47EB" w:rsidP="00DD47EB">
      <w:pPr>
        <w:pStyle w:val="TextoNormalNegritaCursivandice"/>
      </w:pPr>
      <w:r>
        <w:t>Real Decreto-ley 16/2013, de 20 de diciembre. Medidas para favorecer la contratación estable y mejorar la empleabilidad de los trabajadores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ff. 1, 3.</w:t>
      </w:r>
    </w:p>
    <w:p w:rsidR="00DD47EB" w:rsidRDefault="00DD47EB" w:rsidP="00DD47EB">
      <w:pPr>
        <w:pStyle w:val="SangriaFrancesaArticulo"/>
      </w:pPr>
    </w:p>
    <w:p w:rsidR="00DD47EB" w:rsidRDefault="00DD47EB" w:rsidP="00DD47EB">
      <w:pPr>
        <w:pStyle w:val="TextoNormalNegritaCursivandice"/>
      </w:pPr>
      <w:r>
        <w:t>Real Decreto-ley 8/2014, de 4 de julio. Aprobación de medidas urgentes para el crecimiento, la competitividad y la eficiencia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6" w:history="1">
        <w:r w:rsidRPr="00DD47EB">
          <w:rPr>
            <w:rStyle w:val="TextoNormalCaracter"/>
          </w:rPr>
          <w:t>26/2015</w:t>
        </w:r>
      </w:hyperlink>
      <w:r>
        <w:t xml:space="preserve">, f. 3; </w:t>
      </w:r>
      <w:hyperlink w:anchor="SENTENCIA_2015_30" w:history="1">
        <w:r w:rsidRPr="00DD47EB">
          <w:rPr>
            <w:rStyle w:val="TextoNormalCaracter"/>
          </w:rPr>
          <w:t>30/2015</w:t>
        </w:r>
      </w:hyperlink>
      <w:r>
        <w:t xml:space="preserve">, f. 4, VP; </w:t>
      </w:r>
      <w:hyperlink w:anchor="SENTENCIA_2015_102" w:history="1">
        <w:r w:rsidRPr="00DD47EB">
          <w:rPr>
            <w:rStyle w:val="TextoNormalCaracter"/>
          </w:rPr>
          <w:t>102/2015</w:t>
        </w:r>
      </w:hyperlink>
      <w:r>
        <w:t>, ff. 2, 5, 6.</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r w:rsidRPr="00DD47EB">
        <w:rPr>
          <w:rStyle w:val="TextoNormalNegritaCaracter"/>
        </w:rPr>
        <w:t>Artículo 124.</w:t>
      </w:r>
      <w:r w:rsidRPr="00DD47EB">
        <w:rPr>
          <w:rStyle w:val="TextoNormalCaracter"/>
        </w:rPr>
        <w:t>-</w:t>
      </w:r>
      <w:r>
        <w:t xml:space="preserve"> Sentencias </w:t>
      </w:r>
      <w:hyperlink w:anchor="SENTENCIA_2015_26" w:history="1">
        <w:r w:rsidRPr="00DD47EB">
          <w:rPr>
            <w:rStyle w:val="TextoNormalCaracter"/>
          </w:rPr>
          <w:t>26/2015</w:t>
        </w:r>
      </w:hyperlink>
      <w:r>
        <w:t xml:space="preserve">, f. 3; </w:t>
      </w:r>
      <w:hyperlink w:anchor="SENTENCIA_2015_30" w:history="1">
        <w:r w:rsidRPr="00DD47EB">
          <w:rPr>
            <w:rStyle w:val="TextoNormalCaracter"/>
          </w:rPr>
          <w:t>30/2015</w:t>
        </w:r>
      </w:hyperlink>
      <w:r>
        <w:t xml:space="preserve">, ff. 1, 2; </w:t>
      </w:r>
      <w:hyperlink w:anchor="SENTENCIA_2015_59" w:history="1">
        <w:r w:rsidRPr="00DD47EB">
          <w:rPr>
            <w:rStyle w:val="TextoNormalCaracter"/>
          </w:rPr>
          <w:t>59/2015</w:t>
        </w:r>
      </w:hyperlink>
      <w:r>
        <w:t xml:space="preserve">, f. 2; </w:t>
      </w:r>
      <w:hyperlink w:anchor="SENTENCIA_2015_73" w:history="1">
        <w:r w:rsidRPr="00DD47EB">
          <w:rPr>
            <w:rStyle w:val="TextoNormalCaracter"/>
          </w:rPr>
          <w:t>73/2015</w:t>
        </w:r>
      </w:hyperlink>
      <w:r>
        <w:t xml:space="preserve">, f. 2; </w:t>
      </w:r>
      <w:hyperlink w:anchor="SENTENCIA_2015_102" w:history="1">
        <w:r w:rsidRPr="00DD47EB">
          <w:rPr>
            <w:rStyle w:val="TextoNormalCaracter"/>
          </w:rPr>
          <w:t>102/2015</w:t>
        </w:r>
      </w:hyperlink>
      <w:r>
        <w:t xml:space="preserve">, ff. 1, 2, 5; </w:t>
      </w:r>
      <w:hyperlink w:anchor="SENTENCIA_2015_108" w:history="1">
        <w:r w:rsidRPr="00DD47EB">
          <w:rPr>
            <w:rStyle w:val="TextoNormalCaracter"/>
          </w:rPr>
          <w:t>108/2015</w:t>
        </w:r>
      </w:hyperlink>
      <w:r>
        <w:t>, f. 2.</w:t>
      </w:r>
    </w:p>
    <w:p w:rsidR="00DD47EB" w:rsidRDefault="00DD47EB" w:rsidP="00DD47EB">
      <w:pPr>
        <w:pStyle w:val="SangriaFrancesaArticulo"/>
      </w:pPr>
      <w:r w:rsidRPr="00DD47EB">
        <w:rPr>
          <w:rStyle w:val="TextoNormalNegritaCaracter"/>
        </w:rPr>
        <w:t>Ártículo 124.2.</w:t>
      </w:r>
      <w:r w:rsidRPr="00DD47EB">
        <w:rPr>
          <w:rStyle w:val="TextoNormalCaracter"/>
        </w:rPr>
        <w:t>-</w:t>
      </w:r>
      <w:r>
        <w:t xml:space="preserve"> Sentencia </w:t>
      </w:r>
      <w:hyperlink w:anchor="SENTENCIA_2015_26" w:history="1">
        <w:r w:rsidRPr="00DD47EB">
          <w:rPr>
            <w:rStyle w:val="TextoNormalCaracter"/>
          </w:rPr>
          <w:t>26/2015</w:t>
        </w:r>
      </w:hyperlink>
      <w:r>
        <w:t>, f. 3.</w:t>
      </w:r>
    </w:p>
    <w:p w:rsidR="00DD47EB" w:rsidRDefault="00DD47EB" w:rsidP="00DD47EB">
      <w:pPr>
        <w:pStyle w:val="SangriaFrancesaArticulo"/>
      </w:pPr>
    </w:p>
    <w:p w:rsidR="00DD47EB" w:rsidRDefault="00DD47EB" w:rsidP="00DD47EB">
      <w:pPr>
        <w:pStyle w:val="TextoNormalNegritaCursivandice"/>
      </w:pPr>
      <w:r>
        <w:t>Real Decreto-ley 13/2014, de 3 de octubre. Adopta medidas urgentes en relación con el sistema gasista y la titularidad de centrales nucleares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8" w:history="1">
        <w:r w:rsidRPr="00DD47EB">
          <w:rPr>
            <w:rStyle w:val="TextoNormalCaracter"/>
          </w:rPr>
          <w:t>68/2015</w:t>
        </w:r>
      </w:hyperlink>
      <w:r>
        <w:t>, f. único.</w:t>
      </w:r>
    </w:p>
    <w:p w:rsidR="00DD47EB" w:rsidRDefault="00DD47EB" w:rsidP="00DD47EB">
      <w:pPr>
        <w:pStyle w:val="SangriaFrancesaArticulo"/>
      </w:pPr>
    </w:p>
    <w:p w:rsidR="00DD47EB" w:rsidRDefault="00DD47EB" w:rsidP="00DD47EB">
      <w:pPr>
        <w:pStyle w:val="TextoNormalNegritaCursivandice"/>
      </w:pPr>
      <w:r>
        <w:t>Real Decreto-ley 1/2015, de 27 de febrero. Mecanismo de segunda oportunidad, reducción de carga financiera y otras medidas de orden social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3" w:history="1">
        <w:r w:rsidRPr="00DD47EB">
          <w:rPr>
            <w:rStyle w:val="TextoNormalCaracter"/>
          </w:rPr>
          <w:t>93/2015</w:t>
        </w:r>
      </w:hyperlink>
      <w:r>
        <w:t>, f. 18, VP II, VP III.</w:t>
      </w:r>
    </w:p>
    <w:p w:rsidR="00DD47EB" w:rsidRDefault="00DD47EB" w:rsidP="00DD47EB">
      <w:pPr>
        <w:pStyle w:val="SangriaIzquierdaArticulo"/>
      </w:pPr>
      <w:r>
        <w:t xml:space="preserve">Auto </w:t>
      </w:r>
      <w:hyperlink w:anchor="AUTO_2015_50" w:history="1">
        <w:r w:rsidRPr="00DD47EB">
          <w:rPr>
            <w:rStyle w:val="TextoNormalCaracter"/>
          </w:rPr>
          <w:t>50/2015</w:t>
        </w:r>
      </w:hyperlink>
      <w:r>
        <w:t>, f. 2.</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93" w:history="1">
        <w:r w:rsidRPr="00DD47EB">
          <w:rPr>
            <w:rStyle w:val="TextoNormalCaracter"/>
          </w:rPr>
          <w:t>93/2015</w:t>
        </w:r>
      </w:hyperlink>
      <w:r>
        <w:t>, f. 17.</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93" w:history="1">
        <w:r w:rsidRPr="00DD47EB">
          <w:rPr>
            <w:rStyle w:val="TextoNormalCaracter"/>
          </w:rPr>
          <w:t>93/2015</w:t>
        </w:r>
      </w:hyperlink>
      <w:r>
        <w:t>, ff. 2, 17.</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93" w:history="1">
        <w:r w:rsidRPr="00DD47EB">
          <w:rPr>
            <w:rStyle w:val="TextoNormalCaracter"/>
          </w:rPr>
          <w:t>93/2015</w:t>
        </w:r>
      </w:hyperlink>
      <w:r>
        <w:t>, f. 17.</w:t>
      </w:r>
    </w:p>
    <w:p w:rsidR="00DD47EB" w:rsidRDefault="00DD47EB" w:rsidP="00DD47EB">
      <w:pPr>
        <w:pStyle w:val="TextoNormal"/>
      </w:pPr>
    </w:p>
    <w:p w:rsidR="00DD47EB" w:rsidRDefault="00DD47EB" w:rsidP="00DD47EB">
      <w:pPr>
        <w:pStyle w:val="SangriaFrancesaArticulo"/>
      </w:pPr>
      <w:bookmarkStart w:id="276" w:name="INDICE22849"/>
    </w:p>
    <w:bookmarkEnd w:id="276"/>
    <w:p w:rsidR="00DD47EB" w:rsidRDefault="00DD47EB" w:rsidP="00DD47EB">
      <w:pPr>
        <w:pStyle w:val="TextoIndiceNivel2"/>
        <w:suppressAutoHyphens/>
      </w:pPr>
      <w:r>
        <w:t>H) Reales Decretos y otras disposiciones generales del Estado</w:t>
      </w:r>
    </w:p>
    <w:p w:rsidR="00DD47EB" w:rsidRDefault="00DD47EB" w:rsidP="00DD47EB">
      <w:pPr>
        <w:pStyle w:val="TextoIndiceNivel2"/>
      </w:pPr>
    </w:p>
    <w:p w:rsidR="00DD47EB" w:rsidRDefault="00DD47EB" w:rsidP="00DD47EB">
      <w:pPr>
        <w:pStyle w:val="TextoNormalNegritaCursivandice"/>
      </w:pPr>
      <w:r>
        <w:t>Decreto de 14 de febrero de 1947.Reglamento Hipotecario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84" w:history="1">
        <w:r w:rsidRPr="00DD47EB">
          <w:rPr>
            <w:rStyle w:val="TextoNormalCaracter"/>
          </w:rPr>
          <w:t>84/2015</w:t>
        </w:r>
      </w:hyperlink>
      <w:r>
        <w:t>, f. 4.</w:t>
      </w:r>
    </w:p>
    <w:p w:rsidR="00DD47EB" w:rsidRDefault="00DD47EB" w:rsidP="00DD47EB">
      <w:pPr>
        <w:pStyle w:val="SangriaFrancesaArticulo"/>
      </w:pPr>
      <w:r w:rsidRPr="00DD47EB">
        <w:rPr>
          <w:rStyle w:val="TextoNormalNegritaCaracter"/>
        </w:rPr>
        <w:t>Artículos 234 a 236.</w:t>
      </w:r>
      <w:r w:rsidRPr="00DD47EB">
        <w:rPr>
          <w:rStyle w:val="TextoNormalCaracter"/>
        </w:rPr>
        <w:t>-</w:t>
      </w:r>
      <w:r>
        <w:t xml:space="preserve"> Auto </w:t>
      </w:r>
      <w:hyperlink w:anchor="AUTO_2015_84" w:history="1">
        <w:r w:rsidRPr="00DD47EB">
          <w:rPr>
            <w:rStyle w:val="TextoNormalCaracter"/>
          </w:rPr>
          <w:t>84/2015</w:t>
        </w:r>
      </w:hyperlink>
      <w:r>
        <w:t>, f. 1.</w:t>
      </w:r>
    </w:p>
    <w:p w:rsidR="00DD47EB" w:rsidRDefault="00DD47EB" w:rsidP="00DD47EB">
      <w:pPr>
        <w:pStyle w:val="SangriaFrancesaArticulo"/>
      </w:pPr>
    </w:p>
    <w:p w:rsidR="00DD47EB" w:rsidRDefault="00DD47EB" w:rsidP="00DD47EB">
      <w:pPr>
        <w:pStyle w:val="TextoNormalNegritaCursivandice"/>
      </w:pPr>
      <w:r>
        <w:t>Real Decreto 3195/1980, de 30 de diciembre. Traspaso de servicios del Estado al País Vasco en materia de enseñanza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p>
    <w:p w:rsidR="00DD47EB" w:rsidRDefault="00DD47EB" w:rsidP="00DD47EB">
      <w:pPr>
        <w:pStyle w:val="TextoNormalNegritaCursivandice"/>
      </w:pPr>
      <w:r>
        <w:t>Real Decreto 2089/1984, de 14 de noviembre. Desarrolla la Ley 29/1984, de 2 de agosto, de ayudas a empresas periodísticas y agencias informativas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VP II.</w:t>
      </w:r>
    </w:p>
    <w:p w:rsidR="00DD47EB" w:rsidRDefault="00DD47EB" w:rsidP="00DD47EB">
      <w:pPr>
        <w:pStyle w:val="SangriaFrancesaArticulo"/>
      </w:pPr>
    </w:p>
    <w:p w:rsidR="00DD47EB" w:rsidRDefault="00DD47EB" w:rsidP="00DD47EB">
      <w:pPr>
        <w:pStyle w:val="TextoNormalNegritaCursivandice"/>
      </w:pPr>
      <w:r>
        <w:t>Real Decreto 1014/1985, de 25 de mayo. Traspaso de funciones y servicios del Estado a la Comunidad Autónoma del País Vasco en materia de Universidades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p>
    <w:p w:rsidR="00DD47EB" w:rsidRDefault="00DD47EB" w:rsidP="00DD47EB">
      <w:pPr>
        <w:pStyle w:val="TextoNormalNegritaCursivandice"/>
      </w:pPr>
      <w:r>
        <w:t>Real Decreto 1987/1985, de 24 de septiembre. Normas generales de instalación y funcionamiento de las estaciones ITV</w:t>
      </w:r>
    </w:p>
    <w:p w:rsidR="00DD47EB" w:rsidRDefault="00DD47EB" w:rsidP="00DD47EB">
      <w:pPr>
        <w:pStyle w:val="SangriaFrancesaArticulo"/>
      </w:pPr>
      <w:r w:rsidRPr="00DD47EB">
        <w:rPr>
          <w:rStyle w:val="TextoNormalNegritaCaracter"/>
        </w:rPr>
        <w:t>Artículo 3</w:t>
      </w:r>
      <w:r>
        <w:t xml:space="preserve"> (redactado pore el Real-Decreto ley 7/2000, de 23 de junio)</w:t>
      </w:r>
      <w:r w:rsidRPr="00DD47EB">
        <w:rPr>
          <w:rStyle w:val="TextoNormalNegritaCaracter"/>
        </w:rPr>
        <w:t>.</w:t>
      </w:r>
      <w:r w:rsidRPr="00DD47EB">
        <w:rPr>
          <w:rStyle w:val="TextoNormalCaracter"/>
        </w:rPr>
        <w:t>-</w:t>
      </w:r>
      <w:r>
        <w:t xml:space="preserve"> Sentencia </w:t>
      </w:r>
      <w:hyperlink w:anchor="SENTENCIA_2015_12" w:history="1">
        <w:r w:rsidRPr="00DD47EB">
          <w:rPr>
            <w:rStyle w:val="TextoNormalCaracter"/>
          </w:rPr>
          <w:t>12/2015</w:t>
        </w:r>
      </w:hyperlink>
      <w:r>
        <w:t>, VP I.</w:t>
      </w:r>
    </w:p>
    <w:p w:rsidR="00DD47EB" w:rsidRDefault="00DD47EB" w:rsidP="00DD47EB">
      <w:pPr>
        <w:pStyle w:val="SangriaFrancesaArticulo"/>
      </w:pPr>
      <w:r w:rsidRPr="00DD47EB">
        <w:rPr>
          <w:rStyle w:val="TextoNormalNegritaCaracter"/>
        </w:rPr>
        <w:t>Artículo 13</w:t>
      </w:r>
      <w:r>
        <w:t xml:space="preserve"> (redactado por el Real-Decreto 7/2000, de 23 de junio)</w:t>
      </w:r>
      <w:r w:rsidRPr="00DD47EB">
        <w:rPr>
          <w:rStyle w:val="TextoNormalNegritaCaracter"/>
        </w:rPr>
        <w:t>.</w:t>
      </w:r>
      <w:r w:rsidRPr="00DD47EB">
        <w:rPr>
          <w:rStyle w:val="TextoNormalCaracter"/>
        </w:rPr>
        <w:t>-</w:t>
      </w:r>
      <w:r>
        <w:t xml:space="preserve"> Sentencia </w:t>
      </w:r>
      <w:hyperlink w:anchor="SENTENCIA_2015_12" w:history="1">
        <w:r w:rsidRPr="00DD47EB">
          <w:rPr>
            <w:rStyle w:val="TextoNormalCaracter"/>
          </w:rPr>
          <w:t>12/2015</w:t>
        </w:r>
      </w:hyperlink>
      <w:r>
        <w:t>, VP I.</w:t>
      </w:r>
    </w:p>
    <w:p w:rsidR="00DD47EB" w:rsidRDefault="00DD47EB" w:rsidP="00DD47EB">
      <w:pPr>
        <w:pStyle w:val="SangriaFrancesaArticulo"/>
      </w:pPr>
    </w:p>
    <w:p w:rsidR="00DD47EB" w:rsidRDefault="00DD47EB" w:rsidP="00DD47EB">
      <w:pPr>
        <w:pStyle w:val="TextoNormalNegritaCursivandice"/>
      </w:pPr>
      <w:r>
        <w:t>Real Decreto 496/1987, de 18 de marzo. Aprueba el Reglamento de la Ley 23/1982, de 16 de junio, reguladora del Patrimonio Nacional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4" w:history="1">
        <w:r w:rsidRPr="00DD47EB">
          <w:rPr>
            <w:rStyle w:val="TextoNormalCaracter"/>
          </w:rPr>
          <w:t>114/2015</w:t>
        </w:r>
      </w:hyperlink>
      <w:r>
        <w:t>, f. 2.</w:t>
      </w:r>
    </w:p>
    <w:p w:rsidR="00DD47EB" w:rsidRDefault="00DD47EB" w:rsidP="00DD47EB">
      <w:pPr>
        <w:pStyle w:val="SangriaFrancesaArticulo"/>
      </w:pPr>
    </w:p>
    <w:p w:rsidR="00DD47EB" w:rsidRDefault="00DD47EB" w:rsidP="00DD47EB">
      <w:pPr>
        <w:pStyle w:val="TextoNormalNegritaCursivandice"/>
      </w:pPr>
      <w:r>
        <w:t>Real Decreto 573/1987, de 10 de abril. Determina las funciones de la Agencia Nacional del Tabaco, y se crea la «Compañía Española de Tabaco en Rama, Sociedad Anónima»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3" w:history="1">
        <w:r w:rsidRPr="00DD47EB">
          <w:rPr>
            <w:rStyle w:val="TextoNormalCaracter"/>
          </w:rPr>
          <w:t>83/2015</w:t>
        </w:r>
      </w:hyperlink>
      <w:r>
        <w:t>, f. 2.</w:t>
      </w:r>
    </w:p>
    <w:p w:rsidR="00DD47EB" w:rsidRDefault="00DD47EB" w:rsidP="00DD47EB">
      <w:pPr>
        <w:pStyle w:val="SangriaFrancesaArticulo"/>
      </w:pPr>
    </w:p>
    <w:p w:rsidR="00DD47EB" w:rsidRDefault="00DD47EB" w:rsidP="00DD47EB">
      <w:pPr>
        <w:pStyle w:val="TextoNormalNegritaCursivandice"/>
      </w:pPr>
      <w:r>
        <w:t>Real Decreto 1471/1989, de 1 de diciembre. Reglamento general para desarrollo y ejecución de la Ley 22/1988, de 28 de julio, de costas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ff. 1 a 4.</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Auto </w:t>
      </w:r>
      <w:hyperlink w:anchor="AUTO_2015_28" w:history="1">
        <w:r w:rsidRPr="00DD47EB">
          <w:rPr>
            <w:rStyle w:val="TextoNormalCaracter"/>
          </w:rPr>
          <w:t>28/2015</w:t>
        </w:r>
      </w:hyperlink>
      <w:r>
        <w:t>, f. único.</w:t>
      </w:r>
    </w:p>
    <w:p w:rsidR="00DD47EB" w:rsidRDefault="00DD47EB" w:rsidP="00DD47EB">
      <w:pPr>
        <w:pStyle w:val="SangriaFrancesaArticulo"/>
      </w:pPr>
    </w:p>
    <w:p w:rsidR="00DD47EB" w:rsidRDefault="00DD47EB" w:rsidP="00DD47EB">
      <w:pPr>
        <w:pStyle w:val="TextoNormalNegritaCursivandice"/>
      </w:pPr>
      <w:r>
        <w:t>Real Decreto 2200/1995, de 28 de diciembre. Reglamento de la infraestructura para la calidad y la seguridad industrial</w:t>
      </w:r>
    </w:p>
    <w:p w:rsidR="00DD47EB" w:rsidRDefault="00DD47EB" w:rsidP="00DD47EB">
      <w:pPr>
        <w:pStyle w:val="SangriaFrancesaArticulo"/>
      </w:pPr>
      <w:r w:rsidRPr="00DD47EB">
        <w:rPr>
          <w:rStyle w:val="TextoNormalNegritaCaracter"/>
        </w:rPr>
        <w:t>Capítulo IV.</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p>
    <w:p w:rsidR="00DD47EB" w:rsidRDefault="00DD47EB" w:rsidP="00DD47EB">
      <w:pPr>
        <w:pStyle w:val="TextoNormalNegritaCursivandice"/>
      </w:pPr>
      <w:r>
        <w:t>Real Decreto 205/1996, de 9 de febrero. Se establece un sistema de identificación y registro de los animales de las especies bovina, porcina, ovina y caprina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8" w:history="1">
        <w:r w:rsidRPr="00DD47EB">
          <w:rPr>
            <w:rStyle w:val="TextoNormalCaracter"/>
          </w:rPr>
          <w:t>58/2015</w:t>
        </w:r>
      </w:hyperlink>
      <w:r>
        <w:t>, f. 5.</w:t>
      </w:r>
    </w:p>
    <w:p w:rsidR="00DD47EB" w:rsidRDefault="00DD47EB" w:rsidP="00DD47EB">
      <w:pPr>
        <w:pStyle w:val="SangriaFrancesaArticulo"/>
      </w:pPr>
    </w:p>
    <w:p w:rsidR="00DD47EB" w:rsidRDefault="00DD47EB" w:rsidP="00DD47EB">
      <w:pPr>
        <w:pStyle w:val="TextoNormalNegritaCursivandice"/>
      </w:pPr>
      <w:r>
        <w:t>Real Decreto 605/1999, de 16 de abril. Regulación complementaria de los procesos electorales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81" w:history="1">
        <w:r w:rsidRPr="00DD47EB">
          <w:rPr>
            <w:rStyle w:val="TextoNormalCaracter"/>
          </w:rPr>
          <w:t>81/2015</w:t>
        </w:r>
      </w:hyperlink>
      <w:r>
        <w:t>, f. 4.</w:t>
      </w:r>
    </w:p>
    <w:p w:rsidR="00DD47EB" w:rsidRDefault="00DD47EB" w:rsidP="00DD47EB">
      <w:pPr>
        <w:pStyle w:val="SangriaFrancesaArticulo"/>
      </w:pPr>
    </w:p>
    <w:p w:rsidR="00DD47EB" w:rsidRDefault="00DD47EB" w:rsidP="00DD47EB">
      <w:pPr>
        <w:pStyle w:val="TextoNormalNegritaCursivandice"/>
      </w:pPr>
      <w:r>
        <w:t>Real Decreto 1496/2003, de 28 de noviembre. Reglamento por el que se regulan las obligaciones de facturación y se modifica el Reglamento del impuesto sobre el valor añadido</w:t>
      </w:r>
    </w:p>
    <w:p w:rsidR="00DD47EB" w:rsidRDefault="00DD47EB" w:rsidP="00DD47EB">
      <w:pPr>
        <w:pStyle w:val="SangriaFrancesaArticulo"/>
      </w:pPr>
      <w:r w:rsidRPr="00DD47EB">
        <w:rPr>
          <w:rStyle w:val="TextoNormalNegritaCaracter"/>
        </w:rPr>
        <w:t>Preámbulo, párrafo primero.</w:t>
      </w:r>
      <w:r w:rsidRPr="00DD47EB">
        <w:rPr>
          <w:rStyle w:val="TextoNormalCaracter"/>
        </w:rPr>
        <w:t>-</w:t>
      </w:r>
      <w:r>
        <w:t xml:space="preserve"> Sentencia </w:t>
      </w:r>
      <w:hyperlink w:anchor="SENTENCIA_2015_146" w:history="1">
        <w:r w:rsidRPr="00DD47EB">
          <w:rPr>
            <w:rStyle w:val="TextoNormalCaracter"/>
          </w:rPr>
          <w:t>146/2015</w:t>
        </w:r>
      </w:hyperlink>
      <w:r>
        <w:t>, f. 3.</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46" w:history="1">
        <w:r w:rsidRPr="00DD47EB">
          <w:rPr>
            <w:rStyle w:val="TextoNormalCaracter"/>
          </w:rPr>
          <w:t>146/2015</w:t>
        </w:r>
      </w:hyperlink>
      <w:r>
        <w:t>, f. 3, VP.</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146" w:history="1">
        <w:r w:rsidRPr="00DD47EB">
          <w:rPr>
            <w:rStyle w:val="TextoNormalCaracter"/>
          </w:rPr>
          <w:t>146/2015</w:t>
        </w:r>
      </w:hyperlink>
      <w:r>
        <w:t>, f. 3, VP.</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146" w:history="1">
        <w:r w:rsidRPr="00DD47EB">
          <w:rPr>
            <w:rStyle w:val="TextoNormalCaracter"/>
          </w:rPr>
          <w:t>146/2015</w:t>
        </w:r>
      </w:hyperlink>
      <w:r>
        <w:t>, f. 3.</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146" w:history="1">
        <w:r w:rsidRPr="00DD47EB">
          <w:rPr>
            <w:rStyle w:val="TextoNormalCaracter"/>
          </w:rPr>
          <w:t>146/2015</w:t>
        </w:r>
      </w:hyperlink>
      <w:r>
        <w:t>, f. 3.</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146" w:history="1">
        <w:r w:rsidRPr="00DD47EB">
          <w:rPr>
            <w:rStyle w:val="TextoNormalCaracter"/>
          </w:rPr>
          <w:t>146/2015</w:t>
        </w:r>
      </w:hyperlink>
      <w:r>
        <w:t>, f. 3, VP.</w:t>
      </w:r>
    </w:p>
    <w:p w:rsidR="00DD47EB" w:rsidRDefault="00DD47EB" w:rsidP="00DD47EB">
      <w:pPr>
        <w:pStyle w:val="SangriaFrancesaArticulo"/>
      </w:pPr>
    </w:p>
    <w:p w:rsidR="00DD47EB" w:rsidRDefault="00DD47EB" w:rsidP="00DD47EB">
      <w:pPr>
        <w:pStyle w:val="TextoNormalNegritaCursivandice"/>
      </w:pPr>
      <w:r>
        <w:t>Real Decreto 479/2004, de 26 de marzo. Registro general de explotaciones ganaderas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8" w:history="1">
        <w:r w:rsidRPr="00DD47EB">
          <w:rPr>
            <w:rStyle w:val="TextoNormalCaracter"/>
          </w:rPr>
          <w:t>58/2015</w:t>
        </w:r>
      </w:hyperlink>
      <w:r>
        <w:t>, f. 5.</w:t>
      </w:r>
    </w:p>
    <w:p w:rsidR="00DD47EB" w:rsidRDefault="00DD47EB" w:rsidP="00DD47EB">
      <w:pPr>
        <w:pStyle w:val="SangriaFrancesaArticulo"/>
      </w:pPr>
    </w:p>
    <w:p w:rsidR="00DD47EB" w:rsidRDefault="00DD47EB" w:rsidP="00DD47EB">
      <w:pPr>
        <w:pStyle w:val="TextoNormalNegritaCursivandice"/>
      </w:pPr>
      <w:r>
        <w:t>Real Decreto 1608/2005, de 30 de diciembre. Reglamento orgánico del Cuerpo de secretarios judiciales</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p>
    <w:p w:rsidR="00DD47EB" w:rsidRDefault="00DD47EB" w:rsidP="00DD47EB">
      <w:pPr>
        <w:pStyle w:val="TextoNormalNegritaCursivandice"/>
      </w:pPr>
      <w:r>
        <w:t>Resolución de 23 de junio de 2006, de la Dirección General de Trabajo. Dispone la inscripción en el registro y publicación del IV Convenio colectivo del personal laboral de la Agencia Estatal de Administración Tributaria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7" w:history="1">
        <w:r w:rsidRPr="00DD47EB">
          <w:rPr>
            <w:rStyle w:val="TextoNormalCaracter"/>
          </w:rPr>
          <w:t>97/2015</w:t>
        </w:r>
      </w:hyperlink>
      <w:r>
        <w:t>, f. 3.</w:t>
      </w:r>
    </w:p>
    <w:p w:rsidR="00DD47EB" w:rsidRDefault="00DD47EB" w:rsidP="00DD47EB">
      <w:pPr>
        <w:pStyle w:val="SangriaFrancesaArticulo"/>
      </w:pPr>
    </w:p>
    <w:p w:rsidR="00DD47EB" w:rsidRDefault="00DD47EB" w:rsidP="00DD47EB">
      <w:pPr>
        <w:pStyle w:val="TextoNormalNegritaCursivandice"/>
      </w:pPr>
      <w:r>
        <w:t>Real Decreto 661/2007, de 25 de mayo. Regulación de la actividad de producción de energía eléctrica en régimen especial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8" w:history="1">
        <w:r w:rsidRPr="00DD47EB">
          <w:rPr>
            <w:rStyle w:val="TextoNormalCaracter"/>
          </w:rPr>
          <w:t>28/2015</w:t>
        </w:r>
      </w:hyperlink>
      <w:r>
        <w:t xml:space="preserve">, f. 2;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Artículo 24.4.</w:t>
      </w:r>
      <w:r w:rsidRPr="00DD47EB">
        <w:rPr>
          <w:rStyle w:val="TextoNormalCaracter"/>
        </w:rPr>
        <w:t>-</w:t>
      </w:r>
      <w:r>
        <w:t xml:space="preserve"> Sentencia </w:t>
      </w:r>
      <w:hyperlink w:anchor="SENTENCIA_2015_48" w:history="1">
        <w:r w:rsidRPr="00DD47EB">
          <w:rPr>
            <w:rStyle w:val="TextoNormalCaracter"/>
          </w:rPr>
          <w:t>48/2015</w:t>
        </w:r>
      </w:hyperlink>
      <w:r>
        <w:t>, f. 2.</w:t>
      </w:r>
    </w:p>
    <w:p w:rsidR="00DD47EB" w:rsidRDefault="00DD47EB" w:rsidP="00DD47EB">
      <w:pPr>
        <w:pStyle w:val="SangriaFrancesaArticulo"/>
      </w:pPr>
      <w:r w:rsidRPr="00DD47EB">
        <w:rPr>
          <w:rStyle w:val="TextoNormalNegritaCaracter"/>
        </w:rPr>
        <w:t>Artículo 35.</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r w:rsidRPr="00DD47EB">
        <w:rPr>
          <w:rStyle w:val="TextoNormalNegritaCaracter"/>
        </w:rPr>
        <w:t>Artículo 36.</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r w:rsidRPr="00DD47EB">
        <w:rPr>
          <w:rStyle w:val="TextoNormalNegritaCaracter"/>
        </w:rPr>
        <w:t>Artículo 37.</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r w:rsidRPr="00DD47EB">
        <w:rPr>
          <w:rStyle w:val="TextoNormalNegritaCaracter"/>
        </w:rPr>
        <w:t>Artículo 38.</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r w:rsidRPr="00DD47EB">
        <w:rPr>
          <w:rStyle w:val="TextoNormalNegritaCaracter"/>
        </w:rPr>
        <w:t>Artículo 39.</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r w:rsidRPr="00DD47EB">
        <w:rPr>
          <w:rStyle w:val="TextoNormalNegritaCaracter"/>
        </w:rPr>
        <w:t>Artículo 40.</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p>
    <w:p w:rsidR="00DD47EB" w:rsidRDefault="00DD47EB" w:rsidP="00DD47EB">
      <w:pPr>
        <w:pStyle w:val="TextoNormalNegritaCursivandice"/>
      </w:pPr>
      <w:r>
        <w:t>Real Decreto 1721/2007, de 21 de diciembre. Régimen de las becas y ayudas al estudio personalizadas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ff. 2, 3, 5, 7, VP II.</w:t>
      </w:r>
    </w:p>
    <w:p w:rsidR="00DD47EB" w:rsidRDefault="00DD47EB" w:rsidP="00DD47EB">
      <w:pPr>
        <w:pStyle w:val="SangriaFrancesaArticulo"/>
      </w:pPr>
      <w:r w:rsidRPr="00DD47EB">
        <w:rPr>
          <w:rStyle w:val="TextoNormalNegritaCaracter"/>
        </w:rPr>
        <w:t>Capítulo V.</w:t>
      </w:r>
      <w:r w:rsidRPr="00DD47EB">
        <w:rPr>
          <w:rStyle w:val="TextoNormalCaracter"/>
        </w:rPr>
        <w:t>-</w:t>
      </w:r>
      <w:r>
        <w:t xml:space="preserve"> Sentencia </w:t>
      </w:r>
      <w:hyperlink w:anchor="SENTENCIA_2015_25" w:history="1">
        <w:r w:rsidRPr="00DD47EB">
          <w:rPr>
            <w:rStyle w:val="TextoNormalCaracter"/>
          </w:rPr>
          <w:t>25/2015</w:t>
        </w:r>
      </w:hyperlink>
      <w:r>
        <w:t>, f. 6.</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25" w:history="1">
        <w:r w:rsidRPr="00DD47EB">
          <w:rPr>
            <w:rStyle w:val="TextoNormalCaracter"/>
          </w:rPr>
          <w:t>25/2015</w:t>
        </w:r>
      </w:hyperlink>
      <w:r>
        <w:t>, VP II.</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25" w:history="1">
        <w:r w:rsidRPr="00DD47EB">
          <w:rPr>
            <w:rStyle w:val="TextoNormalCaracter"/>
          </w:rPr>
          <w:t>25/2015</w:t>
        </w:r>
      </w:hyperlink>
      <w:r>
        <w:t>, VP II.</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25" w:history="1">
        <w:r w:rsidRPr="00DD47EB">
          <w:rPr>
            <w:rStyle w:val="TextoNormalCaracter"/>
          </w:rPr>
          <w:t>25/2015</w:t>
        </w:r>
      </w:hyperlink>
      <w:r>
        <w:t>, ff. 2, 6, VP II.</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25" w:history="1">
        <w:r w:rsidRPr="00DD47EB">
          <w:rPr>
            <w:rStyle w:val="TextoNormalCaracter"/>
          </w:rPr>
          <w:t>25/2015</w:t>
        </w:r>
      </w:hyperlink>
      <w:r>
        <w:t>, VP I, VP II.</w:t>
      </w:r>
    </w:p>
    <w:p w:rsidR="00DD47EB" w:rsidRDefault="00DD47EB" w:rsidP="00DD47EB">
      <w:pPr>
        <w:pStyle w:val="SangriaFrancesaArticulo"/>
      </w:pPr>
      <w:r w:rsidRPr="00DD47EB">
        <w:rPr>
          <w:rStyle w:val="TextoNormalNegritaCaracter"/>
        </w:rPr>
        <w:t>Artículo 1.4</w:t>
      </w:r>
      <w:r>
        <w:t xml:space="preserve"> (inciso sobre ayudas destinadas a cursar estudios en Comunidad Autónoma distinta a la del domicilio familiar del estudiante)</w:t>
      </w:r>
      <w:r w:rsidRPr="00DD47EB">
        <w:rPr>
          <w:rStyle w:val="TextoNormalNegritaCaracter"/>
        </w:rPr>
        <w:t>.</w:t>
      </w:r>
      <w:r w:rsidRPr="00DD47EB">
        <w:rPr>
          <w:rStyle w:val="TextoNormalCaracter"/>
        </w:rPr>
        <w:t>-</w:t>
      </w:r>
      <w:r>
        <w:t xml:space="preserve"> Sentencia </w:t>
      </w:r>
      <w:hyperlink w:anchor="SENTENCIA_2015_25" w:history="1">
        <w:r w:rsidRPr="00DD47EB">
          <w:rPr>
            <w:rStyle w:val="TextoNormalCaracter"/>
          </w:rPr>
          <w:t>25/2015</w:t>
        </w:r>
      </w:hyperlink>
      <w:r>
        <w:t>, ff. 1, 2, 4 a 6, VP I.</w:t>
      </w:r>
    </w:p>
    <w:p w:rsidR="00DD47EB" w:rsidRDefault="00DD47EB" w:rsidP="00DD47EB">
      <w:pPr>
        <w:pStyle w:val="SangriaFrancesaArticulo"/>
      </w:pPr>
      <w:r w:rsidRPr="00DD47EB">
        <w:rPr>
          <w:rStyle w:val="TextoNormalNegritaCaracter"/>
        </w:rPr>
        <w:t>Artículos 3 a 38.</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r w:rsidRPr="00DD47EB">
        <w:rPr>
          <w:rStyle w:val="TextoNormalNegritaCaracter"/>
        </w:rPr>
        <w:t>Artículo 40.</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r w:rsidRPr="00DD47EB">
        <w:rPr>
          <w:rStyle w:val="TextoNormalNegritaCaracter"/>
        </w:rPr>
        <w:t>Artículo 41.3.</w:t>
      </w:r>
      <w:r w:rsidRPr="00DD47EB">
        <w:rPr>
          <w:rStyle w:val="TextoNormalCaracter"/>
        </w:rPr>
        <w:t>-</w:t>
      </w:r>
      <w:r>
        <w:t xml:space="preserve"> Sentencia </w:t>
      </w:r>
      <w:hyperlink w:anchor="SENTENCIA_2015_25" w:history="1">
        <w:r w:rsidRPr="00DD47EB">
          <w:rPr>
            <w:rStyle w:val="TextoNormalCaracter"/>
          </w:rPr>
          <w:t>25/2015</w:t>
        </w:r>
      </w:hyperlink>
      <w:r>
        <w:t>, VP I.</w:t>
      </w:r>
    </w:p>
    <w:p w:rsidR="00DD47EB" w:rsidRDefault="00DD47EB" w:rsidP="00DD47EB">
      <w:pPr>
        <w:pStyle w:val="SangriaFrancesaArticulo"/>
      </w:pPr>
      <w:r w:rsidRPr="00DD47EB">
        <w:rPr>
          <w:rStyle w:val="TextoNormalNegritaCaracter"/>
        </w:rPr>
        <w:t>Artículo 41.4.</w:t>
      </w:r>
      <w:r w:rsidRPr="00DD47EB">
        <w:rPr>
          <w:rStyle w:val="TextoNormalCaracter"/>
        </w:rPr>
        <w:t>-</w:t>
      </w:r>
      <w:r>
        <w:t xml:space="preserve"> Sentencia </w:t>
      </w:r>
      <w:hyperlink w:anchor="SENTENCIA_2015_25" w:history="1">
        <w:r w:rsidRPr="00DD47EB">
          <w:rPr>
            <w:rStyle w:val="TextoNormalCaracter"/>
          </w:rPr>
          <w:t>25/2015</w:t>
        </w:r>
      </w:hyperlink>
      <w:r>
        <w:t>, ff. 1, 6.</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r w:rsidRPr="00DD47EB">
        <w:rPr>
          <w:rStyle w:val="TextoNormalNegritaCaracter"/>
        </w:rPr>
        <w:t>Disposición adicional cuarta.</w:t>
      </w:r>
      <w:r w:rsidRPr="00DD47EB">
        <w:rPr>
          <w:rStyle w:val="TextoNormalCaracter"/>
        </w:rPr>
        <w:t>-</w:t>
      </w:r>
      <w:r>
        <w:t xml:space="preserve"> Sentencia </w:t>
      </w:r>
      <w:hyperlink w:anchor="SENTENCIA_2015_25" w:history="1">
        <w:r w:rsidRPr="00DD47EB">
          <w:rPr>
            <w:rStyle w:val="TextoNormalCaracter"/>
          </w:rPr>
          <w:t>25/2015</w:t>
        </w:r>
      </w:hyperlink>
      <w:r>
        <w:t>, ff. 1, 7.</w:t>
      </w:r>
    </w:p>
    <w:p w:rsidR="00DD47EB" w:rsidRDefault="00DD47EB" w:rsidP="00DD47EB">
      <w:pPr>
        <w:pStyle w:val="SangriaFrancesaArticulo"/>
      </w:pPr>
    </w:p>
    <w:p w:rsidR="00DD47EB" w:rsidRDefault="00DD47EB" w:rsidP="00DD47EB">
      <w:pPr>
        <w:pStyle w:val="TextoNormalNegritaCursivandice"/>
      </w:pPr>
      <w:r>
        <w:t>Real Decreto 34/2008, de 18 de enero. Regulación de los certificados de profesionalidad</w:t>
      </w:r>
    </w:p>
    <w:p w:rsidR="00DD47EB" w:rsidRDefault="00DD47EB" w:rsidP="00DD47EB">
      <w:pPr>
        <w:pStyle w:val="SangriaFrancesaArticulo"/>
      </w:pPr>
      <w:r w:rsidRPr="00DD47EB">
        <w:rPr>
          <w:rStyle w:val="TextoNormalNegritaCaracter"/>
        </w:rPr>
        <w:t>Artículo 8.2.</w:t>
      </w:r>
      <w:r w:rsidRPr="00DD47EB">
        <w:rPr>
          <w:rStyle w:val="TextoNormalCaracter"/>
        </w:rPr>
        <w:t>-</w:t>
      </w:r>
      <w:r>
        <w:t xml:space="preserve"> Sentencia </w:t>
      </w:r>
      <w:hyperlink w:anchor="SENTENCIA_2015_61" w:history="1">
        <w:r w:rsidRPr="00DD47EB">
          <w:rPr>
            <w:rStyle w:val="TextoNormalCaracter"/>
          </w:rPr>
          <w:t>61/2015</w:t>
        </w:r>
      </w:hyperlink>
      <w:r>
        <w:t>, f. 2.</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10.2.</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10.3.</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10.5.</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10.5</w:t>
      </w:r>
      <w:r>
        <w:t xml:space="preserve"> (redactado por el Real Decreto 189/2013, de 15 de marzo)</w:t>
      </w:r>
      <w:r w:rsidRPr="00DD47EB">
        <w:rPr>
          <w:rStyle w:val="TextoNormalNegritaCaracter"/>
        </w:rPr>
        <w:t>.</w:t>
      </w:r>
      <w:r w:rsidRPr="00DD47EB">
        <w:rPr>
          <w:rStyle w:val="TextoNormalCaracter"/>
        </w:rPr>
        <w:t>-</w:t>
      </w:r>
      <w:r>
        <w:t xml:space="preserve"> Sentencia </w:t>
      </w:r>
      <w:hyperlink w:anchor="SENTENCIA_2015_61" w:history="1">
        <w:r w:rsidRPr="00DD47EB">
          <w:rPr>
            <w:rStyle w:val="TextoNormalCaracter"/>
          </w:rPr>
          <w:t>61/2015</w:t>
        </w:r>
      </w:hyperlink>
      <w:r>
        <w:t>, f. 1.</w:t>
      </w:r>
    </w:p>
    <w:p w:rsidR="00DD47EB" w:rsidRDefault="00DD47EB" w:rsidP="00DD47EB">
      <w:pPr>
        <w:pStyle w:val="SangriaFrancesaArticulo"/>
      </w:pPr>
      <w:r w:rsidRPr="00DD47EB">
        <w:rPr>
          <w:rStyle w:val="TextoNormalNegritaCaracter"/>
        </w:rPr>
        <w:t>Artículo 10.6.</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10.7.</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12.bis.3.</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 a).</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 b).</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 c).</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 d).</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 e).</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 párrafo 3.</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12.bis.4 párrafo 3</w:t>
      </w:r>
      <w:r>
        <w:t xml:space="preserve"> (redactado por el Real Decreto 189/2013, de 15 de marzo)</w:t>
      </w:r>
      <w:r w:rsidRPr="00DD47EB">
        <w:rPr>
          <w:rStyle w:val="TextoNormalNegritaCaracter"/>
        </w:rPr>
        <w:t>.</w:t>
      </w:r>
      <w:r w:rsidRPr="00DD47EB">
        <w:rPr>
          <w:rStyle w:val="TextoNormalCaracter"/>
        </w:rPr>
        <w:t>-</w:t>
      </w:r>
      <w:r>
        <w:t xml:space="preserve"> Sentencia </w:t>
      </w:r>
      <w:hyperlink w:anchor="SENTENCIA_2015_61" w:history="1">
        <w:r w:rsidRPr="00DD47EB">
          <w:rPr>
            <w:rStyle w:val="TextoNormalCaracter"/>
          </w:rPr>
          <w:t>61/2015</w:t>
        </w:r>
      </w:hyperlink>
      <w:r>
        <w:t>, f. 1.</w:t>
      </w:r>
    </w:p>
    <w:p w:rsidR="00DD47EB" w:rsidRDefault="00DD47EB" w:rsidP="00DD47EB">
      <w:pPr>
        <w:pStyle w:val="SangriaFrancesaArticulo"/>
      </w:pPr>
      <w:r w:rsidRPr="00DD47EB">
        <w:rPr>
          <w:rStyle w:val="TextoNormalNegritaCaracter"/>
        </w:rPr>
        <w:t>Artículo 14.7.</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19.1.</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19.2 párrafo 2.</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19.2 párrafo 2</w:t>
      </w:r>
      <w:r>
        <w:t xml:space="preserve"> (redactado por el Real Decreto 189/2013, de 15 de marzo)</w:t>
      </w:r>
      <w:r w:rsidRPr="00DD47EB">
        <w:rPr>
          <w:rStyle w:val="TextoNormalNegritaCaracter"/>
        </w:rPr>
        <w:t>.</w:t>
      </w:r>
      <w:r w:rsidRPr="00DD47EB">
        <w:rPr>
          <w:rStyle w:val="TextoNormalCaracter"/>
        </w:rPr>
        <w:t>-</w:t>
      </w:r>
      <w:r>
        <w:t xml:space="preserve"> Sentencia </w:t>
      </w:r>
      <w:hyperlink w:anchor="SENTENCIA_2015_61" w:history="1">
        <w:r w:rsidRPr="00DD47EB">
          <w:rPr>
            <w:rStyle w:val="TextoNormalCaracter"/>
          </w:rPr>
          <w:t>61/2015</w:t>
        </w:r>
      </w:hyperlink>
      <w:r>
        <w:t>, f. 1.</w:t>
      </w:r>
    </w:p>
    <w:p w:rsidR="00DD47EB" w:rsidRDefault="00DD47EB" w:rsidP="00DD47EB">
      <w:pPr>
        <w:pStyle w:val="SangriaFrancesaArticulo"/>
      </w:pPr>
    </w:p>
    <w:p w:rsidR="00DD47EB" w:rsidRDefault="00DD47EB" w:rsidP="00DD47EB">
      <w:pPr>
        <w:pStyle w:val="TextoNormalNegritaCursivandice"/>
      </w:pPr>
      <w:r>
        <w:t>Real Decreto 675/2008, de 28 de abril. Establece los umbrales de renta y patrimonio familiar y las cuantías de las becas y ayudas al estudio del Ministerio de Educación, Política Social y Deporte para el curso 2008-2009</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p>
    <w:p w:rsidR="00DD47EB" w:rsidRDefault="00DD47EB" w:rsidP="00DD47EB">
      <w:pPr>
        <w:pStyle w:val="TextoNormalNegritaCursivandice"/>
      </w:pPr>
      <w:r>
        <w:t>Real Decreto 1578/2008, de 26 de septiembre. Retribución de la actividad de producción de energía eléctrica mediante tecnología solar fotovoltaica para instalaciones posteriores a la fecha límite de mantenimiento de la retribución del Real Decreto 661/2007, de 25 de mayo, para dicha tecnología</w:t>
      </w:r>
    </w:p>
    <w:p w:rsidR="00DD47EB" w:rsidRDefault="00DD47EB" w:rsidP="00DD47EB">
      <w:pPr>
        <w:pStyle w:val="SangriaFrancesaArticulo"/>
      </w:pPr>
      <w:r w:rsidRPr="00DD47EB">
        <w:rPr>
          <w:rStyle w:val="TextoNormalNegritaCaracter"/>
        </w:rPr>
        <w:t>Anexo III, artículo 4.</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p>
    <w:p w:rsidR="00DD47EB" w:rsidRDefault="00DD47EB" w:rsidP="00DD47EB">
      <w:pPr>
        <w:pStyle w:val="TextoNormalNegritaCursivandice"/>
      </w:pPr>
      <w:r>
        <w:t>Real Decreto 922/2009, de 29 de mayo. Establece los umbrales de renta y patrimonio familiar y las cuantías de las becas y ayudas al estudio del Ministerio de Educación para el curso 2009-2010</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p>
    <w:p w:rsidR="00DD47EB" w:rsidRDefault="00DD47EB" w:rsidP="00DD47EB">
      <w:pPr>
        <w:pStyle w:val="TextoNormalNegritaCursivandice"/>
      </w:pPr>
      <w:r>
        <w:t>Real Decreto 975/2009, de 12 de junio. Gestión de los residuos de las industrias extractivas y de protección y rehabilitación del espacio afectado por actividades mineras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 4.</w:t>
      </w:r>
    </w:p>
    <w:p w:rsidR="00DD47EB" w:rsidRDefault="00DD47EB" w:rsidP="00DD47EB">
      <w:pPr>
        <w:pStyle w:val="SangriaFrancesaArticulo"/>
      </w:pPr>
      <w:r w:rsidRPr="00DD47EB">
        <w:rPr>
          <w:rStyle w:val="TextoNormalNegritaCaracter"/>
        </w:rPr>
        <w:t>Título I, capítulo III.</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Título I, capítulo IV.</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45" w:history="1">
        <w:r w:rsidRPr="00DD47EB">
          <w:rPr>
            <w:rStyle w:val="TextoNormalCaracter"/>
          </w:rPr>
          <w:t>45/2015</w:t>
        </w:r>
      </w:hyperlink>
      <w:r>
        <w:t>, ff. 3, 5.</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45" w:history="1">
        <w:r w:rsidRPr="00DD47EB">
          <w:rPr>
            <w:rStyle w:val="TextoNormalCaracter"/>
          </w:rPr>
          <w:t>45/2015</w:t>
        </w:r>
      </w:hyperlink>
      <w:r>
        <w:t>, ff. 2, 3, 5, 6.</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45" w:history="1">
        <w:r w:rsidRPr="00DD47EB">
          <w:rPr>
            <w:rStyle w:val="TextoNormalCaracter"/>
          </w:rPr>
          <w:t>45/2015</w:t>
        </w:r>
      </w:hyperlink>
      <w:r>
        <w:t>, ff. 2, 3, 5, 6.</w:t>
      </w:r>
    </w:p>
    <w:p w:rsidR="00DD47EB" w:rsidRDefault="00DD47EB" w:rsidP="00DD47EB">
      <w:pPr>
        <w:pStyle w:val="SangriaFrancesaArticulo"/>
      </w:pPr>
      <w:r w:rsidRPr="00DD47EB">
        <w:rPr>
          <w:rStyle w:val="TextoNormalNegritaCaracter"/>
        </w:rPr>
        <w:t>Artículo 2.3</w:t>
      </w:r>
      <w:r>
        <w:t xml:space="preserve"> (redactado por Real Decreto 777/2012, de 4 de mayo)</w:t>
      </w:r>
      <w:r w:rsidRPr="00DD47EB">
        <w:rPr>
          <w:rStyle w:val="TextoNormalNegritaCaracter"/>
        </w:rPr>
        <w:t>.</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3.4.</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3.7 g).</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5.1.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 xml:space="preserve">Artículo 5.3 </w:t>
      </w:r>
      <w:r>
        <w:t xml:space="preserve"> (redactado por Real Decreto 777/2012, de 4 de mayo)</w:t>
      </w:r>
      <w:r w:rsidRPr="00DD47EB">
        <w:rPr>
          <w:rStyle w:val="TextoNormalNegritaCaracter"/>
        </w:rPr>
        <w:t>.</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5.4.</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5.5.</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5.6.</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5.7.</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6.3.</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12.1.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13 párrafo segundo.</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14 párrafo primero.</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15.4.</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17.2.</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18.1 b) apartado 1.</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18.1 b) apartado 2.</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19.1.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19.3.</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19.4.</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22.3.</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24.2.</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27.1.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27.3.</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28.</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30.3.</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32.2.</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32.3.</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32.4.</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33.3.</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33.4.</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36.</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37.4 párrafo segundo.</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38.2.</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Artículo 41.1.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42.2.</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42.3.</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42.4.</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43.2.</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43.3.</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43.4.</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44.1.</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Artículo 44.2.</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45" w:history="1">
        <w:r w:rsidRPr="00DD47EB">
          <w:rPr>
            <w:rStyle w:val="TextoNormalCaracter"/>
          </w:rPr>
          <w:t>45/2015</w:t>
        </w:r>
      </w:hyperlink>
      <w:r>
        <w:t>, ff. 2, 3.</w:t>
      </w:r>
    </w:p>
    <w:p w:rsidR="00DD47EB" w:rsidRDefault="00DD47EB" w:rsidP="00DD47EB">
      <w:pPr>
        <w:pStyle w:val="SangriaFrancesaArticulo"/>
      </w:pPr>
      <w:r w:rsidRPr="00DD47EB">
        <w:rPr>
          <w:rStyle w:val="TextoNormalNegritaCaracter"/>
        </w:rPr>
        <w:t>Artículo 46.</w:t>
      </w:r>
      <w:r w:rsidRPr="00DD47EB">
        <w:rPr>
          <w:rStyle w:val="TextoNormalCaracter"/>
        </w:rPr>
        <w:t>-</w:t>
      </w:r>
      <w:r>
        <w:t xml:space="preserve"> Sentencia </w:t>
      </w:r>
      <w:hyperlink w:anchor="SENTENCIA_2015_45" w:history="1">
        <w:r w:rsidRPr="00DD47EB">
          <w:rPr>
            <w:rStyle w:val="TextoNormalCaracter"/>
          </w:rPr>
          <w:t>45/2015</w:t>
        </w:r>
      </w:hyperlink>
      <w:r>
        <w:t>, ff. 2, 3, 6.</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45" w:history="1">
        <w:r w:rsidRPr="00DD47EB">
          <w:rPr>
            <w:rStyle w:val="TextoNormalCaracter"/>
          </w:rPr>
          <w:t>45/2015</w:t>
        </w:r>
      </w:hyperlink>
      <w:r>
        <w:t>, ff. 2, 5, 6.</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Disposición adicional cuarta.</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Disposición transitoria segunda.</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45" w:history="1">
        <w:r w:rsidRPr="00DD47EB">
          <w:rPr>
            <w:rStyle w:val="TextoNormalCaracter"/>
          </w:rPr>
          <w:t>45/2015</w:t>
        </w:r>
      </w:hyperlink>
      <w:r>
        <w:t>, ff. 3, 6.</w:t>
      </w:r>
    </w:p>
    <w:p w:rsidR="00DD47EB" w:rsidRDefault="00DD47EB" w:rsidP="00DD47EB">
      <w:pPr>
        <w:pStyle w:val="SangriaFrancesaArticulo"/>
      </w:pPr>
      <w:r w:rsidRPr="00DD47EB">
        <w:rPr>
          <w:rStyle w:val="TextoNormalNegritaCaracter"/>
        </w:rPr>
        <w:t>Disposición final segunda, apartado 1.</w:t>
      </w:r>
      <w:r w:rsidRPr="00DD47EB">
        <w:rPr>
          <w:rStyle w:val="TextoNormalCaracter"/>
        </w:rPr>
        <w:t>-</w:t>
      </w:r>
      <w:r>
        <w:t xml:space="preserve"> Sentencia </w:t>
      </w:r>
      <w:hyperlink w:anchor="SENTENCIA_2015_45" w:history="1">
        <w:r w:rsidRPr="00DD47EB">
          <w:rPr>
            <w:rStyle w:val="TextoNormalCaracter"/>
          </w:rPr>
          <w:t>45/2015</w:t>
        </w:r>
      </w:hyperlink>
      <w:r>
        <w:t>, f. 3.</w:t>
      </w:r>
    </w:p>
    <w:p w:rsidR="00DD47EB" w:rsidRDefault="00DD47EB" w:rsidP="00DD47EB">
      <w:pPr>
        <w:pStyle w:val="SangriaFrancesaArticulo"/>
      </w:pPr>
      <w:r w:rsidRPr="00DD47EB">
        <w:rPr>
          <w:rStyle w:val="TextoNormalNegritaCaracter"/>
        </w:rPr>
        <w:t>Disposición final segunda, apartado 2.</w:t>
      </w:r>
      <w:r w:rsidRPr="00DD47EB">
        <w:rPr>
          <w:rStyle w:val="TextoNormalCaracter"/>
        </w:rPr>
        <w:t>-</w:t>
      </w:r>
      <w:r>
        <w:t xml:space="preserve"> Sentencia </w:t>
      </w:r>
      <w:hyperlink w:anchor="SENTENCIA_2015_45" w:history="1">
        <w:r w:rsidRPr="00DD47EB">
          <w:rPr>
            <w:rStyle w:val="TextoNormalCaracter"/>
          </w:rPr>
          <w:t>45/2015</w:t>
        </w:r>
      </w:hyperlink>
      <w:r>
        <w:t>, f. 3.</w:t>
      </w:r>
    </w:p>
    <w:p w:rsidR="00DD47EB" w:rsidRDefault="00DD47EB" w:rsidP="00DD47EB">
      <w:pPr>
        <w:pStyle w:val="SangriaFrancesaArticulo"/>
      </w:pPr>
      <w:r w:rsidRPr="00DD47EB">
        <w:rPr>
          <w:rStyle w:val="TextoNormalNegritaCaracter"/>
        </w:rPr>
        <w:t>Anexo II, apartado 4 párrafo primero.</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Anexo III.</w:t>
      </w:r>
      <w:r w:rsidRPr="00DD47EB">
        <w:rPr>
          <w:rStyle w:val="TextoNormalCaracter"/>
        </w:rPr>
        <w:t>-</w:t>
      </w:r>
      <w:r>
        <w:t xml:space="preserve"> Sentencia </w:t>
      </w:r>
      <w:hyperlink w:anchor="SENTENCIA_2015_45" w:history="1">
        <w:r w:rsidRPr="00DD47EB">
          <w:rPr>
            <w:rStyle w:val="TextoNormalCaracter"/>
          </w:rPr>
          <w:t>45/2015</w:t>
        </w:r>
      </w:hyperlink>
      <w:r>
        <w:t>, ff. 2, 6.</w:t>
      </w:r>
    </w:p>
    <w:p w:rsidR="00DD47EB" w:rsidRDefault="00DD47EB" w:rsidP="00DD47EB">
      <w:pPr>
        <w:pStyle w:val="SangriaFrancesaArticulo"/>
      </w:pPr>
      <w:r w:rsidRPr="00DD47EB">
        <w:rPr>
          <w:rStyle w:val="TextoNormalNegritaCaracter"/>
        </w:rPr>
        <w:t>Anexo III,  párrafo segundo.</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Anexo III, párrafo sexto.</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Anexo III, párrafo tercero.</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r w:rsidRPr="00DD47EB">
        <w:rPr>
          <w:rStyle w:val="TextoNormalNegritaCaracter"/>
        </w:rPr>
        <w:t>Anexo IV</w:t>
      </w:r>
      <w:r>
        <w:t xml:space="preserve"> (redactado por Real Decreto 777/2012, de 4 de mayo)</w:t>
      </w:r>
      <w:r w:rsidRPr="00DD47EB">
        <w:rPr>
          <w:rStyle w:val="TextoNormalNegritaCaracter"/>
        </w:rPr>
        <w:t>.</w:t>
      </w:r>
      <w:r w:rsidRPr="00DD47EB">
        <w:rPr>
          <w:rStyle w:val="TextoNormalCaracter"/>
        </w:rPr>
        <w:t>-</w:t>
      </w:r>
      <w:r>
        <w:t xml:space="preserve"> Sentencia </w:t>
      </w:r>
      <w:hyperlink w:anchor="SENTENCIA_2015_45" w:history="1">
        <w:r w:rsidRPr="00DD47EB">
          <w:rPr>
            <w:rStyle w:val="TextoNormalCaracter"/>
          </w:rPr>
          <w:t>45/2015</w:t>
        </w:r>
      </w:hyperlink>
      <w:r>
        <w:t>, f. 3.</w:t>
      </w:r>
    </w:p>
    <w:p w:rsidR="00DD47EB" w:rsidRDefault="00DD47EB" w:rsidP="00DD47EB">
      <w:pPr>
        <w:pStyle w:val="SangriaFrancesaArticulo"/>
      </w:pPr>
    </w:p>
    <w:p w:rsidR="00DD47EB" w:rsidRDefault="00DD47EB" w:rsidP="00DD47EB">
      <w:pPr>
        <w:pStyle w:val="TextoNormalNegritaCursivandice"/>
      </w:pPr>
      <w:r>
        <w:t>Resolución de la Dirección General de Trabajo, de 3 de noviembre de 2009. Registra y publica el III Convenio colectivo único para el personal laboral de la Administración General del Estado</w:t>
      </w:r>
    </w:p>
    <w:p w:rsidR="00DD47EB" w:rsidRDefault="00DD47EB" w:rsidP="00DD47EB">
      <w:pPr>
        <w:pStyle w:val="SangriaFrancesaArticulo"/>
      </w:pPr>
      <w:r w:rsidRPr="00DD47EB">
        <w:rPr>
          <w:rStyle w:val="TextoNormalNegritaCaracter"/>
        </w:rPr>
        <w:t>Artículo 1, apartado 2, párrafo 2.</w:t>
      </w:r>
      <w:r w:rsidRPr="00DD47EB">
        <w:rPr>
          <w:rStyle w:val="TextoNormalCaracter"/>
        </w:rPr>
        <w:t>-</w:t>
      </w:r>
      <w:r>
        <w:t xml:space="preserve"> Sentencia </w:t>
      </w:r>
      <w:hyperlink w:anchor="SENTENCIA_2015_97" w:history="1">
        <w:r w:rsidRPr="00DD47EB">
          <w:rPr>
            <w:rStyle w:val="TextoNormalCaracter"/>
          </w:rPr>
          <w:t>97/2015</w:t>
        </w:r>
      </w:hyperlink>
      <w:r>
        <w:t>, f. 3.</w:t>
      </w:r>
    </w:p>
    <w:p w:rsidR="00DD47EB" w:rsidRDefault="00DD47EB" w:rsidP="00DD47EB">
      <w:pPr>
        <w:pStyle w:val="SangriaFrancesaArticulo"/>
      </w:pPr>
      <w:r w:rsidRPr="00DD47EB">
        <w:rPr>
          <w:rStyle w:val="TextoNormalNegritaCaracter"/>
        </w:rPr>
        <w:t>Apartado II.</w:t>
      </w:r>
      <w:r w:rsidRPr="00DD47EB">
        <w:rPr>
          <w:rStyle w:val="TextoNormalCaracter"/>
        </w:rPr>
        <w:t>-</w:t>
      </w:r>
      <w:r>
        <w:t xml:space="preserve"> Sentencia </w:t>
      </w:r>
      <w:hyperlink w:anchor="SENTENCIA_2015_113" w:history="1">
        <w:r w:rsidRPr="00DD47EB">
          <w:rPr>
            <w:rStyle w:val="TextoNormalCaracter"/>
          </w:rPr>
          <w:t>113/2015</w:t>
        </w:r>
      </w:hyperlink>
      <w:r>
        <w:t>, f. 3.</w:t>
      </w:r>
    </w:p>
    <w:p w:rsidR="00DD47EB" w:rsidRDefault="00DD47EB" w:rsidP="00DD47EB">
      <w:pPr>
        <w:pStyle w:val="SangriaFrancesaArticulo"/>
      </w:pPr>
      <w:r w:rsidRPr="00DD47EB">
        <w:rPr>
          <w:rStyle w:val="TextoNormalNegritaCaracter"/>
        </w:rPr>
        <w:t>Artículo 1, apartado 2, párrafo 2.</w:t>
      </w:r>
      <w:r w:rsidRPr="00DD47EB">
        <w:rPr>
          <w:rStyle w:val="TextoNormalCaracter"/>
        </w:rPr>
        <w:t>-</w:t>
      </w:r>
      <w:r>
        <w:t xml:space="preserve"> Sentencia </w:t>
      </w:r>
      <w:hyperlink w:anchor="SENTENCIA_2015_100" w:history="1">
        <w:r w:rsidRPr="00DD47EB">
          <w:rPr>
            <w:rStyle w:val="TextoNormalCaracter"/>
          </w:rPr>
          <w:t>100/2015</w:t>
        </w:r>
      </w:hyperlink>
      <w:r>
        <w:t>, f. 3.</w:t>
      </w:r>
    </w:p>
    <w:p w:rsidR="00DD47EB" w:rsidRDefault="00DD47EB" w:rsidP="00DD47EB">
      <w:pPr>
        <w:pStyle w:val="SangriaFrancesaArticulo"/>
      </w:pPr>
      <w:r w:rsidRPr="00DD47EB">
        <w:rPr>
          <w:rStyle w:val="TextoNormalNegritaCaracter"/>
        </w:rPr>
        <w:t>Apartado III.</w:t>
      </w:r>
      <w:r w:rsidRPr="00DD47EB">
        <w:rPr>
          <w:rStyle w:val="TextoNormalCaracter"/>
        </w:rPr>
        <w:t>-</w:t>
      </w:r>
      <w:r>
        <w:t xml:space="preserve"> Sentencia </w:t>
      </w:r>
      <w:hyperlink w:anchor="SENTENCIA_2015_114" w:history="1">
        <w:r w:rsidRPr="00DD47EB">
          <w:rPr>
            <w:rStyle w:val="TextoNormalCaracter"/>
          </w:rPr>
          <w:t>114/2015</w:t>
        </w:r>
      </w:hyperlink>
      <w:r>
        <w:t>, f. 3.</w:t>
      </w:r>
    </w:p>
    <w:p w:rsidR="00DD47EB" w:rsidRDefault="00DD47EB" w:rsidP="00DD47EB">
      <w:pPr>
        <w:pStyle w:val="SangriaFrancesaArticulo"/>
      </w:pPr>
    </w:p>
    <w:p w:rsidR="00DD47EB" w:rsidRDefault="00DD47EB" w:rsidP="00DD47EB">
      <w:pPr>
        <w:pStyle w:val="TextoNormalNegritaCursivandice"/>
      </w:pPr>
      <w:r>
        <w:t>Real Decreto 557/2010, de 7 de mayo. Establece los umbrales de renta y patrimonio familiar y las cuantías de las becas y ayudas al estudio del Ministerio de Educación para el curso 2010-2011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p>
    <w:p w:rsidR="00DD47EB" w:rsidRDefault="00DD47EB" w:rsidP="00DD47EB">
      <w:pPr>
        <w:pStyle w:val="TextoNormalNegritaCursivandice"/>
      </w:pPr>
      <w:r>
        <w:t>Resolución de 14 de julio de 2010, de la Dirección General de Trabajo. Registra y publica el texto del Convenio colectivo para el personal laboral del Consejo de Administración del Patrimonio Nacional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4" w:history="1">
        <w:r w:rsidRPr="00DD47EB">
          <w:rPr>
            <w:rStyle w:val="TextoNormalCaracter"/>
          </w:rPr>
          <w:t>114/2015</w:t>
        </w:r>
      </w:hyperlink>
      <w:r>
        <w:t>, f. 3.</w:t>
      </w:r>
    </w:p>
    <w:p w:rsidR="00DD47EB" w:rsidRDefault="00DD47EB" w:rsidP="00DD47EB">
      <w:pPr>
        <w:pStyle w:val="SangriaFrancesaArticulo"/>
      </w:pPr>
    </w:p>
    <w:p w:rsidR="00DD47EB" w:rsidRDefault="00DD47EB" w:rsidP="00DD47EB">
      <w:pPr>
        <w:pStyle w:val="TextoNormalNegritaCursivandice"/>
      </w:pPr>
      <w:r>
        <w:t>Real Decreto 708/2011, de 20 de mayo. Establece los umbrales de renta y patrimonio familiar y las cuantías de las becas y ayudas al estudio del Ministerio de Educación para el curso 2011-2012 y modifica parcialmente el Real Decreto 1721/2007, de 21 de diciembre, por el que se establece el régimen de las becas y ayudas al estudio personalizadas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p>
    <w:p w:rsidR="00DD47EB" w:rsidRDefault="00DD47EB" w:rsidP="00DD47EB">
      <w:pPr>
        <w:pStyle w:val="TextoNormalNegritaCursivandice"/>
      </w:pPr>
      <w:r>
        <w:t>Real Decreto 804/2011, de 10 de junio. Se regula la ordenación zootécnica, sanitaria y de bienestar animal de las explotaciones equinas y se establece el plan sanitario equino</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58" w:history="1">
        <w:r w:rsidRPr="00DD47EB">
          <w:rPr>
            <w:rStyle w:val="TextoNormalCaracter"/>
          </w:rPr>
          <w:t>58/2015</w:t>
        </w:r>
      </w:hyperlink>
      <w:r>
        <w:t>, ff. 1, 3.</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58" w:history="1">
        <w:r w:rsidRPr="00DD47EB">
          <w:rPr>
            <w:rStyle w:val="TextoNormalCaracter"/>
          </w:rPr>
          <w:t>58/2015</w:t>
        </w:r>
      </w:hyperlink>
      <w:r>
        <w:t>, ff. 1, 4 VP.</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58" w:history="1">
        <w:r w:rsidRPr="00DD47EB">
          <w:rPr>
            <w:rStyle w:val="TextoNormalCaracter"/>
          </w:rPr>
          <w:t>58/2015</w:t>
        </w:r>
      </w:hyperlink>
      <w:r>
        <w:t>, ff. 1, 5.</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58" w:history="1">
        <w:r w:rsidRPr="00DD47EB">
          <w:rPr>
            <w:rStyle w:val="TextoNormalCaracter"/>
          </w:rPr>
          <w:t>58/2015</w:t>
        </w:r>
      </w:hyperlink>
      <w:r>
        <w:t>, f. 6.</w:t>
      </w:r>
    </w:p>
    <w:p w:rsidR="00DD47EB" w:rsidRDefault="00DD47EB" w:rsidP="00DD47EB">
      <w:pPr>
        <w:pStyle w:val="SangriaFrancesaArticulo"/>
      </w:pPr>
      <w:r w:rsidRPr="00DD47EB">
        <w:rPr>
          <w:rStyle w:val="TextoNormalNegritaCaracter"/>
        </w:rPr>
        <w:t>Artículo 8.2.</w:t>
      </w:r>
      <w:r w:rsidRPr="00DD47EB">
        <w:rPr>
          <w:rStyle w:val="TextoNormalCaracter"/>
        </w:rPr>
        <w:t>-</w:t>
      </w:r>
      <w:r>
        <w:t xml:space="preserve"> Sentencia </w:t>
      </w:r>
      <w:hyperlink w:anchor="SENTENCIA_2015_58" w:history="1">
        <w:r w:rsidRPr="00DD47EB">
          <w:rPr>
            <w:rStyle w:val="TextoNormalCaracter"/>
          </w:rPr>
          <w:t>58/2015</w:t>
        </w:r>
      </w:hyperlink>
      <w:r>
        <w:t>, ff. 1, 6 VP.</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58" w:history="1">
        <w:r w:rsidRPr="00DD47EB">
          <w:rPr>
            <w:rStyle w:val="TextoNormalCaracter"/>
          </w:rPr>
          <w:t>58/2015</w:t>
        </w:r>
      </w:hyperlink>
      <w:r>
        <w:t>, f. 2.</w:t>
      </w:r>
    </w:p>
    <w:p w:rsidR="00DD47EB" w:rsidRDefault="00DD47EB" w:rsidP="00DD47EB">
      <w:pPr>
        <w:pStyle w:val="SangriaFrancesaArticulo"/>
      </w:pPr>
      <w:r w:rsidRPr="00DD47EB">
        <w:rPr>
          <w:rStyle w:val="TextoNormalNegritaCaracter"/>
        </w:rPr>
        <w:t>Anexo II.</w:t>
      </w:r>
      <w:r w:rsidRPr="00DD47EB">
        <w:rPr>
          <w:rStyle w:val="TextoNormalCaracter"/>
        </w:rPr>
        <w:t>-</w:t>
      </w:r>
      <w:r>
        <w:t xml:space="preserve"> Sentencia </w:t>
      </w:r>
      <w:hyperlink w:anchor="SENTENCIA_2015_58" w:history="1">
        <w:r w:rsidRPr="00DD47EB">
          <w:rPr>
            <w:rStyle w:val="TextoNormalCaracter"/>
          </w:rPr>
          <w:t>58/2015</w:t>
        </w:r>
      </w:hyperlink>
      <w:r>
        <w:t>, VP.</w:t>
      </w:r>
    </w:p>
    <w:p w:rsidR="00DD47EB" w:rsidRDefault="00DD47EB" w:rsidP="00DD47EB">
      <w:pPr>
        <w:pStyle w:val="SangriaFrancesaArticulo"/>
      </w:pPr>
      <w:r w:rsidRPr="00DD47EB">
        <w:rPr>
          <w:rStyle w:val="TextoNormalNegritaCaracter"/>
        </w:rPr>
        <w:t>Anexo III.</w:t>
      </w:r>
      <w:r w:rsidRPr="00DD47EB">
        <w:rPr>
          <w:rStyle w:val="TextoNormalCaracter"/>
        </w:rPr>
        <w:t>-</w:t>
      </w:r>
      <w:r>
        <w:t xml:space="preserve"> Sentencia </w:t>
      </w:r>
      <w:hyperlink w:anchor="SENTENCIA_2015_58" w:history="1">
        <w:r w:rsidRPr="00DD47EB">
          <w:rPr>
            <w:rStyle w:val="TextoNormalCaracter"/>
          </w:rPr>
          <w:t>58/2015</w:t>
        </w:r>
      </w:hyperlink>
      <w:r>
        <w:t>, ff. 1, 6 VP.</w:t>
      </w:r>
    </w:p>
    <w:p w:rsidR="00DD47EB" w:rsidRDefault="00DD47EB" w:rsidP="00DD47EB">
      <w:pPr>
        <w:pStyle w:val="SangriaFrancesaArticulo"/>
      </w:pPr>
      <w:r w:rsidRPr="00DD47EB">
        <w:rPr>
          <w:rStyle w:val="TextoNormalNegritaCaracter"/>
        </w:rPr>
        <w:t>Anexo IV.</w:t>
      </w:r>
      <w:r w:rsidRPr="00DD47EB">
        <w:rPr>
          <w:rStyle w:val="TextoNormalCaracter"/>
        </w:rPr>
        <w:t>-</w:t>
      </w:r>
      <w:r>
        <w:t xml:space="preserve"> Sentencia </w:t>
      </w:r>
      <w:hyperlink w:anchor="SENTENCIA_2015_58" w:history="1">
        <w:r w:rsidRPr="00DD47EB">
          <w:rPr>
            <w:rStyle w:val="TextoNormalCaracter"/>
          </w:rPr>
          <w:t>58/2015</w:t>
        </w:r>
      </w:hyperlink>
      <w:r>
        <w:t>, ff. 1, 5.</w:t>
      </w:r>
    </w:p>
    <w:p w:rsidR="00DD47EB" w:rsidRDefault="00DD47EB" w:rsidP="00DD47EB">
      <w:pPr>
        <w:pStyle w:val="SangriaFrancesaArticulo"/>
      </w:pPr>
    </w:p>
    <w:p w:rsidR="00DD47EB" w:rsidRDefault="00DD47EB" w:rsidP="00DD47EB">
      <w:pPr>
        <w:pStyle w:val="TextoNormalNegritaCursivandice"/>
      </w:pPr>
      <w:r>
        <w:t>Orden ITC/2585/2011, de 29 de septiembre. Revisan los peajes de acceso, se establecen los precios de los peajes de acceso supervalle y se actualizan determinadas tarifas y primas de las instalaciones del régimen especial, a partir de 1 de octubre de 2011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8" w:history="1">
        <w:r w:rsidRPr="00DD47EB">
          <w:rPr>
            <w:rStyle w:val="TextoNormalCaracter"/>
          </w:rPr>
          <w:t>48/2015</w:t>
        </w:r>
      </w:hyperlink>
      <w:r>
        <w:t>, f. 6.</w:t>
      </w:r>
    </w:p>
    <w:p w:rsidR="00DD47EB" w:rsidRDefault="00DD47EB" w:rsidP="00DD47EB">
      <w:pPr>
        <w:pStyle w:val="SangriaFrancesaArticulo"/>
      </w:pPr>
    </w:p>
    <w:p w:rsidR="00DD47EB" w:rsidRDefault="00DD47EB" w:rsidP="00DD47EB">
      <w:pPr>
        <w:pStyle w:val="TextoNormalNegritaCursivandice"/>
      </w:pPr>
      <w:r>
        <w:t>Resolución de 16 de diciembre de 2011, de la Dirección general de atención, participación y empleabilidad de estudiantes universitarios. Publicación del convenio de colaboración con la Comunidad Autónoma de Cataluña, para la gestión de las becas y ayudas al estudio correspondientes al curso académico 2011-2012</w:t>
      </w:r>
    </w:p>
    <w:p w:rsidR="00DD47EB" w:rsidRDefault="00DD47EB" w:rsidP="00DD47EB">
      <w:pPr>
        <w:pStyle w:val="SangriaFrancesaArticulo"/>
      </w:pPr>
      <w:r w:rsidRPr="00DD47EB">
        <w:rPr>
          <w:rStyle w:val="TextoNormalNegritaCaracter"/>
        </w:rPr>
        <w:t>Cláusula 8.</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p>
    <w:p w:rsidR="00DD47EB" w:rsidRDefault="00DD47EB" w:rsidP="00DD47EB">
      <w:pPr>
        <w:pStyle w:val="TextoNormalNegritaCursivandice"/>
      </w:pPr>
      <w:r>
        <w:t>Resolución de la Dirección General de Empleo de 30 de enero de 2012. Registra y publica el II Acuerdo para el Empleo y la Negociación Colectiva 2012, 2013 y 2014</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6.</w:t>
      </w:r>
    </w:p>
    <w:p w:rsidR="00DD47EB" w:rsidRDefault="00DD47EB" w:rsidP="00DD47EB">
      <w:pPr>
        <w:pStyle w:val="SangriaFrancesaArticulo"/>
      </w:pPr>
    </w:p>
    <w:p w:rsidR="00DD47EB" w:rsidRDefault="00DD47EB" w:rsidP="00DD47EB">
      <w:pPr>
        <w:pStyle w:val="TextoNormalNegritaCursivandice"/>
      </w:pPr>
      <w:r>
        <w:t>Real Decreto 777/2012, de 4 de mayo. Se modifica el Real Decreto 975/2009, de 12 de junio, sobre gestión de los residuos de las industrias extractivas y de protección y rehabilitación del espacio afectado por las actividades mineras</w:t>
      </w:r>
    </w:p>
    <w:p w:rsidR="00DD47EB" w:rsidRDefault="00DD47EB" w:rsidP="00DD47EB">
      <w:pPr>
        <w:pStyle w:val="SangriaFrancesaArticulo"/>
      </w:pPr>
      <w:r w:rsidRPr="00DD47EB">
        <w:rPr>
          <w:rStyle w:val="TextoNormalNegritaCaracter"/>
        </w:rPr>
        <w:t>Artículo único, apartado 2.</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r w:rsidRPr="00DD47EB">
        <w:rPr>
          <w:rStyle w:val="TextoNormalNegritaCaracter"/>
        </w:rPr>
        <w:t>Anexo IV.</w:t>
      </w:r>
      <w:r w:rsidRPr="00DD47EB">
        <w:rPr>
          <w:rStyle w:val="TextoNormalCaracter"/>
        </w:rPr>
        <w:t>-</w:t>
      </w:r>
      <w:r>
        <w:t xml:space="preserve"> Sentencia </w:t>
      </w:r>
      <w:hyperlink w:anchor="SENTENCIA_2015_45" w:history="1">
        <w:r w:rsidRPr="00DD47EB">
          <w:rPr>
            <w:rStyle w:val="TextoNormalCaracter"/>
          </w:rPr>
          <w:t>45/2015</w:t>
        </w:r>
      </w:hyperlink>
      <w:r>
        <w:t>, f. 3.</w:t>
      </w:r>
    </w:p>
    <w:p w:rsidR="00DD47EB" w:rsidRDefault="00DD47EB" w:rsidP="00DD47EB">
      <w:pPr>
        <w:pStyle w:val="SangriaFrancesaArticulo"/>
      </w:pPr>
      <w:r w:rsidRPr="00DD47EB">
        <w:rPr>
          <w:rStyle w:val="TextoNormalNegritaCaracter"/>
        </w:rPr>
        <w:t>Anexo V.</w:t>
      </w:r>
      <w:r w:rsidRPr="00DD47EB">
        <w:rPr>
          <w:rStyle w:val="TextoNormalCaracter"/>
        </w:rPr>
        <w:t>-</w:t>
      </w:r>
      <w:r>
        <w:t xml:space="preserve"> Sentencia </w:t>
      </w:r>
      <w:hyperlink w:anchor="SENTENCIA_2015_45" w:history="1">
        <w:r w:rsidRPr="00DD47EB">
          <w:rPr>
            <w:rStyle w:val="TextoNormalCaracter"/>
          </w:rPr>
          <w:t>45/2015</w:t>
        </w:r>
      </w:hyperlink>
      <w:r>
        <w:t>, f. 2.</w:t>
      </w:r>
    </w:p>
    <w:p w:rsidR="00DD47EB" w:rsidRDefault="00DD47EB" w:rsidP="00DD47EB">
      <w:pPr>
        <w:pStyle w:val="SangriaFrancesaArticulo"/>
      </w:pPr>
    </w:p>
    <w:p w:rsidR="00DD47EB" w:rsidRDefault="00DD47EB" w:rsidP="00DD47EB">
      <w:pPr>
        <w:pStyle w:val="TextoNormalNegritaCursivandice"/>
      </w:pPr>
      <w:r>
        <w:t>Orden AAA/1408/2012, de 26 de junio. Se regula el Registro de explotaciones agrarias de titularidad compartida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 w:history="1">
        <w:r w:rsidRPr="00DD47EB">
          <w:rPr>
            <w:rStyle w:val="TextoNormalCaracter"/>
          </w:rPr>
          <w:t>11/2015</w:t>
        </w:r>
      </w:hyperlink>
      <w:r>
        <w:t>, f. 2.</w:t>
      </w:r>
    </w:p>
    <w:p w:rsidR="00DD47EB" w:rsidRDefault="00DD47EB" w:rsidP="00DD47EB">
      <w:pPr>
        <w:pStyle w:val="SangriaFrancesaArticulo"/>
      </w:pPr>
    </w:p>
    <w:p w:rsidR="00DD47EB" w:rsidRDefault="00DD47EB" w:rsidP="00DD47EB">
      <w:pPr>
        <w:pStyle w:val="TextoNormalNegritaCursivandice"/>
      </w:pPr>
      <w:r>
        <w:t>Real Decreto 1000/2012, de 29 de junio. Establece los umbrales de renta y patrimonio familiar y las cuantías de las becas y ayudas al estudio, para el curso 2012-2013 y modifica parcialmente el Real Decreto 1721/2007, de 21 de diciembre, por el que se establece el régimen de las becas y ayudas al estudio personalizadas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ff. 2, 4, VP II.</w:t>
      </w:r>
    </w:p>
    <w:p w:rsidR="00DD47EB" w:rsidRDefault="00DD47EB" w:rsidP="00DD47EB">
      <w:pPr>
        <w:pStyle w:val="SangriaFrancesaArticulo"/>
      </w:pPr>
    </w:p>
    <w:p w:rsidR="00DD47EB" w:rsidRDefault="00DD47EB" w:rsidP="00DD47EB">
      <w:pPr>
        <w:pStyle w:val="TextoNormalNegritaCursivandice"/>
      </w:pPr>
      <w:r>
        <w:t>Real Decreto 1483/2012, de 29 de octubre. Reglamento de los procedimientos de despido colectivo y de suspensión de contratos y reducción de jornada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 w:history="1">
        <w:r w:rsidRPr="00DD47EB">
          <w:rPr>
            <w:rStyle w:val="TextoNormalCaracter"/>
          </w:rPr>
          <w:t>8/2015</w:t>
        </w:r>
      </w:hyperlink>
      <w:r>
        <w:t>, f. 1.</w:t>
      </w:r>
    </w:p>
    <w:p w:rsidR="00DD47EB" w:rsidRDefault="00DD47EB" w:rsidP="00DD47EB">
      <w:pPr>
        <w:pStyle w:val="SangriaFrancesaArticulo"/>
      </w:pPr>
    </w:p>
    <w:p w:rsidR="00DD47EB" w:rsidRDefault="00DD47EB" w:rsidP="00DD47EB">
      <w:pPr>
        <w:pStyle w:val="TextoNormalNegritaCursivandice"/>
      </w:pPr>
      <w:r>
        <w:t>Real Decreto 189/2013, de 15 de marzo. Modifica el Real Decreto 34/2008, de 18 de enero, por el que se regulan los certificados de profesionalidad y los reales decretos por los que se establecen certificados de profesionalidad dictados en su aplicación</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61" w:history="1">
        <w:r w:rsidRPr="00DD47EB">
          <w:rPr>
            <w:rStyle w:val="TextoNormalCaracter"/>
          </w:rPr>
          <w:t>61/2015</w:t>
        </w:r>
      </w:hyperlink>
      <w:r>
        <w:t>, f. 1.</w:t>
      </w:r>
    </w:p>
    <w:p w:rsidR="00DD47EB" w:rsidRDefault="00DD47EB" w:rsidP="00DD47EB">
      <w:pPr>
        <w:pStyle w:val="SangriaFrancesaArticulo"/>
      </w:pPr>
    </w:p>
    <w:p w:rsidR="00DD47EB" w:rsidRDefault="00DD47EB" w:rsidP="00DD47EB">
      <w:pPr>
        <w:pStyle w:val="TextoNormalNegritaCursivandice"/>
      </w:pPr>
      <w:r>
        <w:t>Real Decreto 235/2013, de 5 de abril. Se aprueba el procedimiento básico para la certificación de la eficiencia energética de los edificios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 3.</w:t>
      </w:r>
    </w:p>
    <w:p w:rsidR="00DD47EB" w:rsidRDefault="00DD47EB" w:rsidP="00DD47EB">
      <w:pPr>
        <w:pStyle w:val="SangriaFrancesaArticulo"/>
      </w:pPr>
    </w:p>
    <w:p w:rsidR="00DD47EB" w:rsidRDefault="00DD47EB" w:rsidP="00DD47EB">
      <w:pPr>
        <w:pStyle w:val="TextoNormalNegritaCursivandice"/>
      </w:pPr>
      <w:r>
        <w:t>Real Decreto 609/2013, de 2 de agosto. Establece los umbrales de renta y patrimonio familiar y las cuantías de las becas y ayudas al estudio para el curso 2013-2014, y modifica parcialmente el Real Decreto 1721/2007, de 21 de diciembre, por el que se establece el régimen de las becas y ayudas al estudio personalizadas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p>
    <w:p w:rsidR="00DD47EB" w:rsidRDefault="00DD47EB" w:rsidP="00DD47EB">
      <w:pPr>
        <w:pStyle w:val="TextoNormalNegritaCursivandice"/>
      </w:pPr>
      <w:r>
        <w:t>Orden ESS/1897/2013, de 10 de octubre. Desarrolla el Real Decreto 34/2008, de 18 de enero, por el que se regulan los certificados de profesionalidad y los reales decretos por los que se establecen certificados de profesionalidad dictados en su aplicación</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61" w:history="1">
        <w:r w:rsidRPr="00DD47EB">
          <w:rPr>
            <w:rStyle w:val="TextoNormalCaracter"/>
          </w:rPr>
          <w:t>61/2015</w:t>
        </w:r>
      </w:hyperlink>
      <w:r>
        <w:t>, f. 4.</w:t>
      </w:r>
    </w:p>
    <w:p w:rsidR="00DD47EB" w:rsidRDefault="00DD47EB" w:rsidP="00DD47EB">
      <w:pPr>
        <w:pStyle w:val="SangriaFrancesaArticulo"/>
      </w:pPr>
    </w:p>
    <w:p w:rsidR="00DD47EB" w:rsidRDefault="00DD47EB" w:rsidP="00DD47EB">
      <w:pPr>
        <w:pStyle w:val="TextoNormalNegritaCursivandice"/>
      </w:pPr>
      <w:r>
        <w:t>Orden ESS/106/2014, de 31 de enero. Desarrolla las normas legales de cotización a la Seguridad Social, desempleo, protección por cese de actividad, Fondo de Garantía Salarial y formación profesional, contenidas en la Ley 22/2013, de 23 de diciembre, de presupuestos generales del Estado para el año 2014</w:t>
      </w:r>
    </w:p>
    <w:p w:rsidR="00DD47EB" w:rsidRDefault="00DD47EB" w:rsidP="00DD47EB">
      <w:pPr>
        <w:pStyle w:val="SangriaFrancesaArticulo"/>
      </w:pPr>
      <w:r w:rsidRPr="00DD47EB">
        <w:rPr>
          <w:rStyle w:val="TextoNormalNegritaCaracter"/>
        </w:rPr>
        <w:t>Artículo 37.</w:t>
      </w:r>
      <w:r w:rsidRPr="00DD47EB">
        <w:rPr>
          <w:rStyle w:val="TextoNormalCaracter"/>
        </w:rPr>
        <w:t>-</w:t>
      </w:r>
      <w:r>
        <w:t xml:space="preserve"> Sentencia </w:t>
      </w:r>
      <w:hyperlink w:anchor="SENTENCIA_2015_110" w:history="1">
        <w:r w:rsidRPr="00DD47EB">
          <w:rPr>
            <w:rStyle w:val="TextoNormalCaracter"/>
          </w:rPr>
          <w:t>110/2015</w:t>
        </w:r>
      </w:hyperlink>
      <w:r>
        <w:t>, f. 4.</w:t>
      </w:r>
    </w:p>
    <w:p w:rsidR="00DD47EB" w:rsidRDefault="00DD47EB" w:rsidP="00DD47EB">
      <w:pPr>
        <w:pStyle w:val="SangriaFrancesaArticulo"/>
      </w:pPr>
    </w:p>
    <w:p w:rsidR="00DD47EB" w:rsidRDefault="00DD47EB" w:rsidP="00DD47EB">
      <w:pPr>
        <w:pStyle w:val="TextoNormalNegritaCursivandice"/>
      </w:pPr>
      <w:r>
        <w:t>Real Decreto 214/2014, de 28 de marzo. Modifica el Reglamento de la Ley 23/1982, de 16 de junio, reguladora del Patrimonio Nacional, aprobado por el Real Decreto 496/1987, de 18 de marzo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4" w:history="1">
        <w:r w:rsidRPr="00DD47EB">
          <w:rPr>
            <w:rStyle w:val="TextoNormalCaracter"/>
          </w:rPr>
          <w:t>114/2015</w:t>
        </w:r>
      </w:hyperlink>
      <w:r>
        <w:t>, f. 2.</w:t>
      </w:r>
    </w:p>
    <w:p w:rsidR="00DD47EB" w:rsidRDefault="00DD47EB" w:rsidP="00DD47EB">
      <w:pPr>
        <w:pStyle w:val="SangriaFrancesaArticulo"/>
      </w:pPr>
    </w:p>
    <w:p w:rsidR="00DD47EB" w:rsidRDefault="00DD47EB" w:rsidP="00DD47EB">
      <w:pPr>
        <w:pStyle w:val="TextoNormalNegritaCursivandice"/>
      </w:pPr>
      <w:r>
        <w:t>Orden INT/529/2014, de 28 de marzo. Modifica los anexos del Real Decreto 605/1999, de 16 de abril, de regulación complementaria de los procesos electorales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81" w:history="1">
        <w:r w:rsidRPr="00DD47EB">
          <w:rPr>
            <w:rStyle w:val="TextoNormalCaracter"/>
          </w:rPr>
          <w:t>81/2015</w:t>
        </w:r>
      </w:hyperlink>
      <w:r>
        <w:t>, f. 4.</w:t>
      </w:r>
    </w:p>
    <w:p w:rsidR="00DD47EB" w:rsidRDefault="00DD47EB" w:rsidP="00DD47EB">
      <w:pPr>
        <w:pStyle w:val="SangriaFrancesaArticulo"/>
      </w:pPr>
    </w:p>
    <w:p w:rsidR="00DD47EB" w:rsidRDefault="00DD47EB" w:rsidP="00DD47EB">
      <w:pPr>
        <w:pStyle w:val="TextoNormalNegritaCursivandice"/>
      </w:pPr>
      <w:r>
        <w:t>Real Decreto 270/2014, de 11 de abril. Aprueba el Plan Hidrológico de la parte española de la Demarcación Hidrográfica del Tajo</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13" w:history="1">
        <w:r w:rsidRPr="00DD47EB">
          <w:rPr>
            <w:rStyle w:val="TextoNormalCaracter"/>
          </w:rPr>
          <w:t>13/2015</w:t>
        </w:r>
      </w:hyperlink>
      <w:r>
        <w:t>, f. 5.</w:t>
      </w:r>
    </w:p>
    <w:p w:rsidR="00DD47EB" w:rsidRDefault="00DD47EB" w:rsidP="00DD47EB">
      <w:pPr>
        <w:pStyle w:val="SangriaFrancesaArticulo"/>
      </w:pPr>
    </w:p>
    <w:p w:rsidR="00DD47EB" w:rsidRDefault="00DD47EB" w:rsidP="00DD47EB">
      <w:pPr>
        <w:pStyle w:val="TextoNormalNegritaCursivandice"/>
      </w:pPr>
      <w:r>
        <w:t>Real Decreto 413/2014, de 6 de junio.  Regula la actividad de producción de energía eléctrica a partir de fuentes de energía renovables, cogeneración y residuos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8" w:history="1">
        <w:r w:rsidRPr="00DD47EB">
          <w:rPr>
            <w:rStyle w:val="TextoNormalCaracter"/>
          </w:rPr>
          <w:t>28/2015</w:t>
        </w:r>
      </w:hyperlink>
      <w:r>
        <w:t xml:space="preserve">, f. 2; </w:t>
      </w:r>
      <w:hyperlink w:anchor="SENTENCIA_2015_48" w:history="1">
        <w:r w:rsidRPr="00DD47EB">
          <w:rPr>
            <w:rStyle w:val="TextoNormalCaracter"/>
          </w:rPr>
          <w:t>48/2015</w:t>
        </w:r>
      </w:hyperlink>
      <w:r>
        <w:t xml:space="preserve">, f. 2;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11.8.</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Disposición adicional quinta.</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p>
    <w:p w:rsidR="00DD47EB" w:rsidRDefault="00DD47EB" w:rsidP="00DD47EB">
      <w:pPr>
        <w:pStyle w:val="TextoNormalNegritaCursivandice"/>
      </w:pPr>
      <w:r>
        <w:t>Real Decreto 472/2014, de 13 de junio. Establece los umbrales de renta y patrimonio familiar y las cuantías de las becas y ayudas al estudio para el curso 2014-2015, y modifica parcialmente el Real Decreto 1721/2007, de 21 de diciembre, por el que se establece el régimen de las becas y ayudas al estudio personalizadas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5" w:history="1">
        <w:r w:rsidRPr="00DD47EB">
          <w:rPr>
            <w:rStyle w:val="TextoNormalCaracter"/>
          </w:rPr>
          <w:t>25/2015</w:t>
        </w:r>
      </w:hyperlink>
      <w:r>
        <w:t>, f. 2.</w:t>
      </w:r>
    </w:p>
    <w:p w:rsidR="00DD47EB" w:rsidRDefault="00DD47EB" w:rsidP="00DD47EB">
      <w:pPr>
        <w:pStyle w:val="SangriaFrancesaArticulo"/>
      </w:pPr>
      <w:r w:rsidRPr="00DD47EB">
        <w:rPr>
          <w:rStyle w:val="TextoNormalNegritaCaracter"/>
        </w:rPr>
        <w:t>Disposición transitoria segunda.</w:t>
      </w:r>
      <w:r w:rsidRPr="00DD47EB">
        <w:rPr>
          <w:rStyle w:val="TextoNormalCaracter"/>
        </w:rPr>
        <w:t>-</w:t>
      </w:r>
      <w:r>
        <w:t xml:space="preserve"> Sentencia </w:t>
      </w:r>
      <w:hyperlink w:anchor="SENTENCIA_2015_25" w:history="1">
        <w:r w:rsidRPr="00DD47EB">
          <w:rPr>
            <w:rStyle w:val="TextoNormalCaracter"/>
          </w:rPr>
          <w:t>25/2015</w:t>
        </w:r>
      </w:hyperlink>
      <w:r>
        <w:t>, f. 7.</w:t>
      </w:r>
    </w:p>
    <w:p w:rsidR="00DD47EB" w:rsidRDefault="00DD47EB" w:rsidP="00DD47EB">
      <w:pPr>
        <w:pStyle w:val="SangriaFrancesaArticulo"/>
      </w:pPr>
    </w:p>
    <w:p w:rsidR="00DD47EB" w:rsidRDefault="00DD47EB" w:rsidP="00DD47EB">
      <w:pPr>
        <w:pStyle w:val="TextoNormalNegritaCursivandice"/>
      </w:pPr>
      <w:r>
        <w:t>Real Decreto 550/2014, de 27 de junio. Desarrollan los requisitos y el procedimiento para el reconocimiento de las Entidades Asociativas Prioritarias y para su inscripción y baja en el Registro Nacional de Entidades Asociativas Prioritarias, previsto en la Ley 13/2013, de 2 de agosto, de fomento de la integración de cooperativas y de otras entidades asociativas de carácter agroalimentario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5" w:history="1">
        <w:r w:rsidRPr="00DD47EB">
          <w:rPr>
            <w:rStyle w:val="TextoNormalCaracter"/>
          </w:rPr>
          <w:t>85/2015</w:t>
        </w:r>
      </w:hyperlink>
      <w:r>
        <w:t>, f. 4.</w:t>
      </w:r>
    </w:p>
    <w:p w:rsidR="00DD47EB" w:rsidRDefault="00DD47EB" w:rsidP="00DD47EB">
      <w:pPr>
        <w:pStyle w:val="SangriaFrancesaArticulo"/>
      </w:pPr>
    </w:p>
    <w:p w:rsidR="00DD47EB" w:rsidRDefault="00DD47EB" w:rsidP="00DD47EB">
      <w:pPr>
        <w:pStyle w:val="TextoNormalNegritaCursivandice"/>
      </w:pPr>
      <w:r>
        <w:t>Orden IET/1459/2014, de 1 de agosto. Aprueba los parámetros retributivos y establece el mecanismo de asignación del régimen retributivo específico para nuevas instalaciones eólicas y fotovoltaicas en los sistemas eléctricos de los territorios no peninsulares</w:t>
      </w:r>
    </w:p>
    <w:p w:rsidR="00DD47EB" w:rsidRDefault="00DD47EB" w:rsidP="00DD47EB">
      <w:pPr>
        <w:pStyle w:val="SangriaFrancesaArticulo"/>
      </w:pPr>
      <w:r w:rsidRPr="00DD47EB">
        <w:rPr>
          <w:rStyle w:val="TextoNormalNegritaCaracter"/>
        </w:rPr>
        <w:t>Disposición adicional quinta.</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r w:rsidRPr="00DD47EB">
        <w:rPr>
          <w:rStyle w:val="TextoNormalNegritaCaracter"/>
        </w:rPr>
        <w:t>Disposición adicional sexta.</w:t>
      </w:r>
      <w:r w:rsidRPr="00DD47EB">
        <w:rPr>
          <w:rStyle w:val="TextoNormalCaracter"/>
        </w:rPr>
        <w:t>-</w:t>
      </w:r>
      <w:r>
        <w:t xml:space="preserve"> Sentencia </w:t>
      </w:r>
      <w:hyperlink w:anchor="SENTENCIA_2015_106" w:history="1">
        <w:r w:rsidRPr="00DD47EB">
          <w:rPr>
            <w:rStyle w:val="TextoNormalCaracter"/>
          </w:rPr>
          <w:t>106/2015</w:t>
        </w:r>
      </w:hyperlink>
      <w:r>
        <w:t>, f. 2.</w:t>
      </w:r>
    </w:p>
    <w:p w:rsidR="00DD47EB" w:rsidRDefault="00DD47EB" w:rsidP="00DD47EB">
      <w:pPr>
        <w:pStyle w:val="SangriaFrancesaArticulo"/>
      </w:pPr>
    </w:p>
    <w:p w:rsidR="00DD47EB" w:rsidRDefault="00DD47EB" w:rsidP="00DD47EB">
      <w:pPr>
        <w:pStyle w:val="TextoNormalNegritaCursivandice"/>
      </w:pPr>
      <w:r>
        <w:t>Real Decreto 773/2014, de 12 de septiembre. Se aprueban diversas normas reguladoras del trasvase por el acueducto Tajo-Segura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 w:history="1">
        <w:r w:rsidRPr="00DD47EB">
          <w:rPr>
            <w:rStyle w:val="TextoNormalCaracter"/>
          </w:rPr>
          <w:t>13/2015</w:t>
        </w:r>
      </w:hyperlink>
      <w:r>
        <w:t>, f. 6.</w:t>
      </w:r>
    </w:p>
    <w:p w:rsidR="00DD47EB" w:rsidRDefault="00DD47EB" w:rsidP="00DD47EB">
      <w:pPr>
        <w:pStyle w:val="SangriaFrancesaArticulo"/>
      </w:pPr>
    </w:p>
    <w:p w:rsidR="00DD47EB" w:rsidRDefault="00DD47EB" w:rsidP="00DD47EB">
      <w:pPr>
        <w:pStyle w:val="TextoNormalNegritaCursivandice"/>
      </w:pPr>
      <w:r>
        <w:t>Real Decreto 876/2014, de 10 de octubre. Se aprueba el Reglamento General de Costas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ff. 2, 3.</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 </w:t>
      </w:r>
      <w:hyperlink w:anchor="SENTENCIA_2015_5" w:history="1">
        <w:r w:rsidRPr="00DD47EB">
          <w:rPr>
            <w:rStyle w:val="TextoNormalCaracter"/>
          </w:rPr>
          <w:t>5/2015</w:t>
        </w:r>
      </w:hyperlink>
      <w:r>
        <w:t>, f. 6.</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Disposición transitoria decimotercera.</w:t>
      </w:r>
      <w:r w:rsidRPr="00DD47EB">
        <w:rPr>
          <w:rStyle w:val="TextoNormalCaracter"/>
        </w:rPr>
        <w:t>-</w:t>
      </w:r>
      <w:r>
        <w:t xml:space="preserve"> Sentencia </w:t>
      </w:r>
      <w:hyperlink w:anchor="SENTENCIA_2015_5" w:history="1">
        <w:r w:rsidRPr="00DD47EB">
          <w:rPr>
            <w:rStyle w:val="TextoNormalCaracter"/>
          </w:rPr>
          <w:t>5/2015</w:t>
        </w:r>
      </w:hyperlink>
      <w:r>
        <w:t>, f. 7.</w:t>
      </w:r>
    </w:p>
    <w:p w:rsidR="00DD47EB" w:rsidRDefault="00DD47EB" w:rsidP="00DD47EB">
      <w:pPr>
        <w:pStyle w:val="SangriaFrancesaArticulo"/>
      </w:pPr>
    </w:p>
    <w:p w:rsidR="00DD47EB" w:rsidRDefault="00DD47EB" w:rsidP="00DD47EB">
      <w:pPr>
        <w:pStyle w:val="TextoNormalNegritaCursivandice"/>
      </w:pPr>
      <w:r>
        <w:t>Real Decreto 1007/2014, de 5 de diciembre. Se declaran oficiales las cifras de población resultantes de la revisión del Padrón municipal referidas al 1 de enero de 2014</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5" w:history="1">
        <w:r w:rsidRPr="00DD47EB">
          <w:rPr>
            <w:rStyle w:val="TextoNormalCaracter"/>
          </w:rPr>
          <w:t>15/2015</w:t>
        </w:r>
      </w:hyperlink>
      <w:r>
        <w:t>, f. 8.</w:t>
      </w:r>
    </w:p>
    <w:p w:rsidR="00DD47EB" w:rsidRDefault="00DD47EB" w:rsidP="00DD47EB">
      <w:pPr>
        <w:pStyle w:val="SangriaFrancesaArticulo"/>
      </w:pPr>
    </w:p>
    <w:p w:rsidR="00DD47EB" w:rsidRDefault="00DD47EB" w:rsidP="00DD47EB">
      <w:pPr>
        <w:pStyle w:val="TextoNormalNegritaCursivandice"/>
      </w:pPr>
      <w:r>
        <w:t>Resolución conjunta de 29 de diciembre de 2014, de las Secretarías de Estado de Presupuestos y Gastos y de Administraciones Públicas. Instrucciones para la aplicación efectiva, en el ámbito del sector público estatal, de las previsiones de la disposición adicional décima segunda, de la Ley 36/2014, de 26 de diciembre, de Presupuestos Generales del Estado para 2014</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7" w:history="1">
        <w:r w:rsidRPr="00DD47EB">
          <w:rPr>
            <w:rStyle w:val="TextoNormalCaracter"/>
          </w:rPr>
          <w:t>97/2015</w:t>
        </w:r>
      </w:hyperlink>
      <w:r>
        <w:t>, f. 3.</w:t>
      </w:r>
    </w:p>
    <w:p w:rsidR="00DD47EB" w:rsidRDefault="00DD47EB" w:rsidP="00DD47EB">
      <w:pPr>
        <w:pStyle w:val="SangriaFrancesaArticulo"/>
      </w:pPr>
      <w:r w:rsidRPr="00DD47EB">
        <w:rPr>
          <w:rStyle w:val="TextoNormalNegritaCaracter"/>
        </w:rPr>
        <w:t>Apartado III.</w:t>
      </w:r>
      <w:r w:rsidRPr="00DD47EB">
        <w:rPr>
          <w:rStyle w:val="TextoNormalCaracter"/>
        </w:rPr>
        <w:t>-</w:t>
      </w:r>
      <w:r>
        <w:t xml:space="preserve"> Sentencia </w:t>
      </w:r>
      <w:hyperlink w:anchor="SENTENCIA_2015_97" w:history="1">
        <w:r w:rsidRPr="00DD47EB">
          <w:rPr>
            <w:rStyle w:val="TextoNormalCaracter"/>
          </w:rPr>
          <w:t>97/2015</w:t>
        </w:r>
      </w:hyperlink>
      <w:r>
        <w:t>, f. 3.</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0" w:history="1">
        <w:r w:rsidRPr="00DD47EB">
          <w:rPr>
            <w:rStyle w:val="TextoNormalCaracter"/>
          </w:rPr>
          <w:t>100/2015</w:t>
        </w:r>
      </w:hyperlink>
      <w:r>
        <w:t>, f. 3.</w:t>
      </w:r>
    </w:p>
    <w:p w:rsidR="00DD47EB" w:rsidRDefault="00DD47EB" w:rsidP="00DD47EB">
      <w:pPr>
        <w:pStyle w:val="SangriaFrancesaArticulo"/>
      </w:pPr>
      <w:r w:rsidRPr="00DD47EB">
        <w:rPr>
          <w:rStyle w:val="TextoNormalNegritaCaracter"/>
        </w:rPr>
        <w:t>Apartado III.</w:t>
      </w:r>
      <w:r w:rsidRPr="00DD47EB">
        <w:rPr>
          <w:rStyle w:val="TextoNormalCaracter"/>
        </w:rPr>
        <w:t>-</w:t>
      </w:r>
      <w:r>
        <w:t xml:space="preserve"> Sentencia </w:t>
      </w:r>
      <w:hyperlink w:anchor="SENTENCIA_2015_100" w:history="1">
        <w:r w:rsidRPr="00DD47EB">
          <w:rPr>
            <w:rStyle w:val="TextoNormalCaracter"/>
          </w:rPr>
          <w:t>100/2015</w:t>
        </w:r>
      </w:hyperlink>
      <w:r>
        <w:t>, f. 3.</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3" w:history="1">
        <w:r w:rsidRPr="00DD47EB">
          <w:rPr>
            <w:rStyle w:val="TextoNormalCaracter"/>
          </w:rPr>
          <w:t>113/2015</w:t>
        </w:r>
      </w:hyperlink>
      <w:r>
        <w:t>, f. 3.</w:t>
      </w:r>
    </w:p>
    <w:p w:rsidR="00DD47EB" w:rsidRDefault="00DD47EB" w:rsidP="00DD47EB">
      <w:pPr>
        <w:pStyle w:val="SangriaFrancesaArticulo"/>
      </w:pPr>
      <w:r w:rsidRPr="00DD47EB">
        <w:rPr>
          <w:rStyle w:val="TextoNormalNegritaCaracter"/>
        </w:rPr>
        <w:t>Apartado III.</w:t>
      </w:r>
      <w:r w:rsidRPr="00DD47EB">
        <w:rPr>
          <w:rStyle w:val="TextoNormalCaracter"/>
        </w:rPr>
        <w:t>-</w:t>
      </w:r>
      <w:r>
        <w:t xml:space="preserve"> Sentencia </w:t>
      </w:r>
      <w:hyperlink w:anchor="SENTENCIA_2015_83" w:history="1">
        <w:r w:rsidRPr="00DD47EB">
          <w:rPr>
            <w:rStyle w:val="TextoNormalCaracter"/>
          </w:rPr>
          <w:t>83/2015</w:t>
        </w:r>
      </w:hyperlink>
      <w:r>
        <w:t>, f. 3.</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4" w:history="1">
        <w:r w:rsidRPr="00DD47EB">
          <w:rPr>
            <w:rStyle w:val="TextoNormalCaracter"/>
          </w:rPr>
          <w:t>114/2015</w:t>
        </w:r>
      </w:hyperlink>
      <w:r>
        <w:t>, f. 3.</w:t>
      </w:r>
    </w:p>
    <w:p w:rsidR="00DD47EB" w:rsidRDefault="00DD47EB" w:rsidP="00DD47EB">
      <w:pPr>
        <w:pStyle w:val="TextoNormal"/>
      </w:pPr>
    </w:p>
    <w:p w:rsidR="00DD47EB" w:rsidRDefault="00DD47EB" w:rsidP="00DD47EB">
      <w:pPr>
        <w:pStyle w:val="SangriaFrancesaArticulo"/>
      </w:pPr>
      <w:bookmarkStart w:id="277" w:name="INDICE22850"/>
    </w:p>
    <w:bookmarkEnd w:id="277"/>
    <w:p w:rsidR="00DD47EB" w:rsidRDefault="00DD47EB" w:rsidP="00DD47EB">
      <w:pPr>
        <w:pStyle w:val="TextoIndiceNivel2"/>
        <w:suppressAutoHyphens/>
      </w:pPr>
      <w:r>
        <w:t>I) Legislación preconstitucional</w:t>
      </w:r>
    </w:p>
    <w:p w:rsidR="00DD47EB" w:rsidRDefault="00DD47EB" w:rsidP="00DD47EB">
      <w:pPr>
        <w:pStyle w:val="TextoIndiceNivel2"/>
      </w:pPr>
    </w:p>
    <w:p w:rsidR="00DD47EB" w:rsidRDefault="00DD47EB" w:rsidP="00DD47EB">
      <w:pPr>
        <w:pStyle w:val="TextoNormalNegritaCursivandice"/>
      </w:pPr>
      <w:r>
        <w:t>Real Decreto de 3 de febrero de 1881. Ley de enjuiciamiento civil</w:t>
      </w:r>
    </w:p>
    <w:p w:rsidR="00DD47EB" w:rsidRDefault="00DD47EB" w:rsidP="00DD47EB">
      <w:pPr>
        <w:pStyle w:val="SangriaFrancesaArticulo"/>
      </w:pPr>
      <w:r w:rsidRPr="00DD47EB">
        <w:rPr>
          <w:rStyle w:val="TextoNormalNegritaCaracter"/>
        </w:rPr>
        <w:t>Artículo 266.3.</w:t>
      </w:r>
      <w:r w:rsidRPr="00DD47EB">
        <w:rPr>
          <w:rStyle w:val="TextoNormalCaracter"/>
        </w:rPr>
        <w:t>-</w:t>
      </w:r>
      <w:r>
        <w:t xml:space="preserve"> Sentencia </w:t>
      </w:r>
      <w:hyperlink w:anchor="SENTENCIA_2015_115" w:history="1">
        <w:r w:rsidRPr="00DD47EB">
          <w:rPr>
            <w:rStyle w:val="TextoNormalCaracter"/>
          </w:rPr>
          <w:t>115/2015</w:t>
        </w:r>
      </w:hyperlink>
      <w:r>
        <w:t>, ff. 3, 4.</w:t>
      </w:r>
    </w:p>
    <w:p w:rsidR="00DD47EB" w:rsidRDefault="00DD47EB" w:rsidP="00DD47EB">
      <w:pPr>
        <w:pStyle w:val="SangriaFrancesaArticulo"/>
      </w:pPr>
      <w:r w:rsidRPr="00DD47EB">
        <w:rPr>
          <w:rStyle w:val="TextoNormalNegritaCaracter"/>
        </w:rPr>
        <w:t>Artículo 1618.2.</w:t>
      </w:r>
      <w:r w:rsidRPr="00DD47EB">
        <w:rPr>
          <w:rStyle w:val="TextoNormalCaracter"/>
        </w:rPr>
        <w:t>-</w:t>
      </w:r>
      <w:r>
        <w:t xml:space="preserve"> Sentencia </w:t>
      </w:r>
      <w:hyperlink w:anchor="SENTENCIA_2015_115" w:history="1">
        <w:r w:rsidRPr="00DD47EB">
          <w:rPr>
            <w:rStyle w:val="TextoNormalCaracter"/>
          </w:rPr>
          <w:t>115/2015</w:t>
        </w:r>
      </w:hyperlink>
      <w:r>
        <w:t>, f. 3.</w:t>
      </w:r>
    </w:p>
    <w:p w:rsidR="00DD47EB" w:rsidRDefault="00DD47EB" w:rsidP="00DD47EB">
      <w:pPr>
        <w:pStyle w:val="SangriaFrancesaArticulo"/>
      </w:pPr>
      <w:r w:rsidRPr="00DD47EB">
        <w:rPr>
          <w:rStyle w:val="TextoNormalNegritaCaracter"/>
        </w:rPr>
        <w:t>Artículo 1813.</w:t>
      </w:r>
      <w:r w:rsidRPr="00DD47EB">
        <w:rPr>
          <w:rStyle w:val="TextoNormalCaracter"/>
        </w:rPr>
        <w:t>-</w:t>
      </w:r>
      <w:r>
        <w:t xml:space="preserve"> Auto </w:t>
      </w:r>
      <w:hyperlink w:anchor="AUTO_2015_76" w:history="1">
        <w:r w:rsidRPr="00DD47EB">
          <w:rPr>
            <w:rStyle w:val="TextoNormalCaracter"/>
          </w:rPr>
          <w:t>76/2015</w:t>
        </w:r>
      </w:hyperlink>
      <w:r>
        <w:t>, f. 3.</w:t>
      </w:r>
    </w:p>
    <w:p w:rsidR="00DD47EB" w:rsidRDefault="00DD47EB" w:rsidP="00DD47EB">
      <w:pPr>
        <w:pStyle w:val="SangriaFrancesaArticulo"/>
      </w:pPr>
      <w:r w:rsidRPr="00DD47EB">
        <w:rPr>
          <w:rStyle w:val="TextoNormalNegritaCaracter"/>
        </w:rPr>
        <w:t>Artículo 1817.</w:t>
      </w:r>
      <w:r w:rsidRPr="00DD47EB">
        <w:rPr>
          <w:rStyle w:val="TextoNormalCaracter"/>
        </w:rPr>
        <w:t>-</w:t>
      </w:r>
      <w:r>
        <w:t xml:space="preserve"> Auto </w:t>
      </w:r>
      <w:hyperlink w:anchor="AUTO_2015_76" w:history="1">
        <w:r w:rsidRPr="00DD47EB">
          <w:rPr>
            <w:rStyle w:val="TextoNormalCaracter"/>
          </w:rPr>
          <w:t>76/2015</w:t>
        </w:r>
      </w:hyperlink>
      <w:r>
        <w:t>, ff. 1, 4, VP.</w:t>
      </w:r>
    </w:p>
    <w:p w:rsidR="00DD47EB" w:rsidRDefault="00DD47EB" w:rsidP="00DD47EB">
      <w:pPr>
        <w:pStyle w:val="SangriaFrancesaArticulo"/>
      </w:pPr>
    </w:p>
    <w:p w:rsidR="00DD47EB" w:rsidRDefault="00DD47EB" w:rsidP="00DD47EB">
      <w:pPr>
        <w:pStyle w:val="TextoNormalNegritaCursivandice"/>
      </w:pPr>
      <w:r>
        <w:t>Real Decreto de 14 de septiembre de 1882. Ley de enjuiciamiento criminal</w:t>
      </w:r>
    </w:p>
    <w:p w:rsidR="00DD47EB" w:rsidRDefault="00DD47EB" w:rsidP="00DD47EB">
      <w:pPr>
        <w:pStyle w:val="SangriaFrancesaArticulo"/>
      </w:pPr>
      <w:r w:rsidRPr="00DD47EB">
        <w:rPr>
          <w:rStyle w:val="TextoNormalNegritaCaracter"/>
        </w:rPr>
        <w:t>Artículo 279.</w:t>
      </w:r>
      <w:r w:rsidRPr="00DD47EB">
        <w:rPr>
          <w:rStyle w:val="TextoNormalCaracter"/>
        </w:rPr>
        <w:t>-</w:t>
      </w:r>
      <w:r>
        <w:t xml:space="preserve"> Sentencia </w:t>
      </w:r>
      <w:hyperlink w:anchor="SENTENCIA_2015_33" w:history="1">
        <w:r w:rsidRPr="00DD47EB">
          <w:rPr>
            <w:rStyle w:val="TextoNormalCaracter"/>
          </w:rPr>
          <w:t>33/2015</w:t>
        </w:r>
      </w:hyperlink>
      <w:r>
        <w:t>, f. 4.</w:t>
      </w:r>
    </w:p>
    <w:p w:rsidR="00DD47EB" w:rsidRDefault="00DD47EB" w:rsidP="00DD47EB">
      <w:pPr>
        <w:pStyle w:val="SangriaFrancesaArticulo"/>
      </w:pPr>
      <w:r w:rsidRPr="00DD47EB">
        <w:rPr>
          <w:rStyle w:val="TextoNormalNegritaCaracter"/>
        </w:rPr>
        <w:t>Artículo 282.</w:t>
      </w:r>
      <w:r w:rsidRPr="00DD47EB">
        <w:rPr>
          <w:rStyle w:val="TextoNormalCaracter"/>
        </w:rPr>
        <w:t>-</w:t>
      </w:r>
      <w:r>
        <w:t xml:space="preserve"> Sentencia </w:t>
      </w:r>
      <w:hyperlink w:anchor="SENTENCIA_2015_33" w:history="1">
        <w:r w:rsidRPr="00DD47EB">
          <w:rPr>
            <w:rStyle w:val="TextoNormalCaracter"/>
          </w:rPr>
          <w:t>33/2015</w:t>
        </w:r>
      </w:hyperlink>
      <w:r>
        <w:t>, f. 4.</w:t>
      </w:r>
    </w:p>
    <w:p w:rsidR="00DD47EB" w:rsidRDefault="00DD47EB" w:rsidP="00DD47EB">
      <w:pPr>
        <w:pStyle w:val="SangriaFrancesaArticulo"/>
      </w:pPr>
      <w:r w:rsidRPr="00DD47EB">
        <w:rPr>
          <w:rStyle w:val="TextoNormalNegritaCaracter"/>
        </w:rPr>
        <w:t>Artículo 292.</w:t>
      </w:r>
      <w:r w:rsidRPr="00DD47EB">
        <w:rPr>
          <w:rStyle w:val="TextoNormalCaracter"/>
        </w:rPr>
        <w:t>-</w:t>
      </w:r>
      <w:r>
        <w:t xml:space="preserve"> Sentencia </w:t>
      </w:r>
      <w:hyperlink w:anchor="SENTENCIA_2015_33" w:history="1">
        <w:r w:rsidRPr="00DD47EB">
          <w:rPr>
            <w:rStyle w:val="TextoNormalCaracter"/>
          </w:rPr>
          <w:t>33/2015</w:t>
        </w:r>
      </w:hyperlink>
      <w:r>
        <w:t>, f. 4.</w:t>
      </w:r>
    </w:p>
    <w:p w:rsidR="00DD47EB" w:rsidRDefault="00DD47EB" w:rsidP="00DD47EB">
      <w:pPr>
        <w:pStyle w:val="SangriaFrancesaArticulo"/>
      </w:pPr>
      <w:r w:rsidRPr="00DD47EB">
        <w:rPr>
          <w:rStyle w:val="TextoNormalNegritaCaracter"/>
        </w:rPr>
        <w:t>Artículo 714.</w:t>
      </w:r>
      <w:r w:rsidRPr="00DD47EB">
        <w:rPr>
          <w:rStyle w:val="TextoNormalCaracter"/>
        </w:rPr>
        <w:t>-</w:t>
      </w:r>
      <w:r>
        <w:t xml:space="preserve"> Sentencia </w:t>
      </w:r>
      <w:hyperlink w:anchor="SENTENCIA_2015_33" w:history="1">
        <w:r w:rsidRPr="00DD47EB">
          <w:rPr>
            <w:rStyle w:val="TextoNormalCaracter"/>
          </w:rPr>
          <w:t>33/2015</w:t>
        </w:r>
      </w:hyperlink>
      <w:r>
        <w:t>, ff. 4, 6.</w:t>
      </w:r>
    </w:p>
    <w:p w:rsidR="00DD47EB" w:rsidRDefault="00DD47EB" w:rsidP="00DD47EB">
      <w:pPr>
        <w:pStyle w:val="SangriaFrancesaArticulo"/>
      </w:pPr>
      <w:r w:rsidRPr="00DD47EB">
        <w:rPr>
          <w:rStyle w:val="TextoNormalNegritaCaracter"/>
        </w:rPr>
        <w:t>Artículo 730.</w:t>
      </w:r>
      <w:r w:rsidRPr="00DD47EB">
        <w:rPr>
          <w:rStyle w:val="TextoNormalCaracter"/>
        </w:rPr>
        <w:t>-</w:t>
      </w:r>
      <w:r>
        <w:t xml:space="preserve"> Sentencia </w:t>
      </w:r>
      <w:hyperlink w:anchor="SENTENCIA_2015_33" w:history="1">
        <w:r w:rsidRPr="00DD47EB">
          <w:rPr>
            <w:rStyle w:val="TextoNormalCaracter"/>
          </w:rPr>
          <w:t>33/2015</w:t>
        </w:r>
      </w:hyperlink>
      <w:r>
        <w:t>, f. 4.</w:t>
      </w:r>
    </w:p>
    <w:p w:rsidR="00DD47EB" w:rsidRDefault="00DD47EB" w:rsidP="00DD47EB">
      <w:pPr>
        <w:pStyle w:val="SangriaFrancesaArticulo"/>
      </w:pPr>
      <w:r w:rsidRPr="00DD47EB">
        <w:rPr>
          <w:rStyle w:val="TextoNormalNegritaCaracter"/>
        </w:rPr>
        <w:t>Artículo 741.</w:t>
      </w:r>
      <w:r w:rsidRPr="00DD47EB">
        <w:rPr>
          <w:rStyle w:val="TextoNormalCaracter"/>
        </w:rPr>
        <w:t>-</w:t>
      </w:r>
      <w:r>
        <w:t xml:space="preserve"> Sentencias </w:t>
      </w:r>
      <w:hyperlink w:anchor="SENTENCIA_2015_33" w:history="1">
        <w:r w:rsidRPr="00DD47EB">
          <w:rPr>
            <w:rStyle w:val="TextoNormalCaracter"/>
          </w:rPr>
          <w:t>33/2015</w:t>
        </w:r>
      </w:hyperlink>
      <w:r>
        <w:t xml:space="preserve">, f. 4; </w:t>
      </w:r>
      <w:hyperlink w:anchor="SENTENCIA_2015_55" w:history="1">
        <w:r w:rsidRPr="00DD47EB">
          <w:rPr>
            <w:rStyle w:val="TextoNormalCaracter"/>
          </w:rPr>
          <w:t>55/2015</w:t>
        </w:r>
      </w:hyperlink>
      <w:r>
        <w:t>, f. 4.</w:t>
      </w:r>
    </w:p>
    <w:p w:rsidR="00DD47EB" w:rsidRDefault="00DD47EB" w:rsidP="00DD47EB">
      <w:pPr>
        <w:pStyle w:val="SangriaFrancesaArticulo"/>
      </w:pPr>
      <w:r w:rsidRPr="00DD47EB">
        <w:rPr>
          <w:rStyle w:val="TextoNormalNegritaCaracter"/>
        </w:rPr>
        <w:t>Artículo 743</w:t>
      </w:r>
      <w:r>
        <w:t xml:space="preserve"> (redactado por la Ley 13/2009, de 3 de noviembre)</w:t>
      </w:r>
      <w:r w:rsidRPr="00DD47EB">
        <w:rPr>
          <w:rStyle w:val="TextoNormalNegritaCaracter"/>
        </w:rPr>
        <w:t>.</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743.2.</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743.3.</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743.4.</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743.5.</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788.6</w:t>
      </w:r>
      <w:r>
        <w:t xml:space="preserve"> (redactado por la Ley 13/2009, de 3 de noviembre)</w:t>
      </w:r>
      <w:r w:rsidRPr="00DD47EB">
        <w:rPr>
          <w:rStyle w:val="TextoNormalNegritaCaracter"/>
        </w:rPr>
        <w:t>.</w:t>
      </w:r>
      <w:r w:rsidRPr="00DD47EB">
        <w:rPr>
          <w:rStyle w:val="TextoNormalCaracter"/>
        </w:rPr>
        <w:t>-</w:t>
      </w:r>
      <w:r>
        <w:t xml:space="preserve"> Sentencia </w:t>
      </w:r>
      <w:hyperlink w:anchor="SENTENCIA_2015_55" w:history="1">
        <w:r w:rsidRPr="00DD47EB">
          <w:rPr>
            <w:rStyle w:val="TextoNormalCaracter"/>
          </w:rPr>
          <w:t>55/2015</w:t>
        </w:r>
      </w:hyperlink>
      <w:r>
        <w:t>, f. 2.</w:t>
      </w:r>
    </w:p>
    <w:p w:rsidR="00DD47EB" w:rsidRDefault="00DD47EB" w:rsidP="00DD47EB">
      <w:pPr>
        <w:pStyle w:val="SangriaFrancesaArticulo"/>
      </w:pPr>
      <w:r w:rsidRPr="00DD47EB">
        <w:rPr>
          <w:rStyle w:val="TextoNormalNegritaCaracter"/>
        </w:rPr>
        <w:t>Artículo 792.3.</w:t>
      </w:r>
      <w:r w:rsidRPr="00DD47EB">
        <w:rPr>
          <w:rStyle w:val="TextoNormalCaracter"/>
        </w:rPr>
        <w:t>-</w:t>
      </w:r>
      <w:r>
        <w:t xml:space="preserve"> Sentencias </w:t>
      </w:r>
      <w:hyperlink w:anchor="SENTENCIA_2015_91" w:history="1">
        <w:r w:rsidRPr="00DD47EB">
          <w:rPr>
            <w:rStyle w:val="TextoNormalCaracter"/>
          </w:rPr>
          <w:t>91/2015</w:t>
        </w:r>
      </w:hyperlink>
      <w:r>
        <w:t xml:space="preserve">, ff. 1, 3; </w:t>
      </w:r>
      <w:hyperlink w:anchor="SENTENCIA_2015_142" w:history="1">
        <w:r w:rsidRPr="00DD47EB">
          <w:rPr>
            <w:rStyle w:val="TextoNormalCaracter"/>
          </w:rPr>
          <w:t>142/2015</w:t>
        </w:r>
      </w:hyperlink>
      <w:r>
        <w:t>, f. 1.</w:t>
      </w:r>
    </w:p>
    <w:p w:rsidR="00DD47EB" w:rsidRDefault="00DD47EB" w:rsidP="00DD47EB">
      <w:pPr>
        <w:pStyle w:val="SangriaFrancesaArticulo"/>
      </w:pPr>
      <w:r w:rsidRPr="00DD47EB">
        <w:rPr>
          <w:rStyle w:val="TextoNormalNegritaCaracter"/>
        </w:rPr>
        <w:t>Artículo 847.</w:t>
      </w:r>
      <w:r w:rsidRPr="00DD47EB">
        <w:rPr>
          <w:rStyle w:val="TextoNormalCaracter"/>
        </w:rPr>
        <w:t>-</w:t>
      </w:r>
      <w:r>
        <w:t xml:space="preserve"> Sentencias </w:t>
      </w:r>
      <w:hyperlink w:anchor="SENTENCIA_2015_91" w:history="1">
        <w:r w:rsidRPr="00DD47EB">
          <w:rPr>
            <w:rStyle w:val="TextoNormalCaracter"/>
          </w:rPr>
          <w:t>91/2015</w:t>
        </w:r>
      </w:hyperlink>
      <w:r>
        <w:t xml:space="preserve">, ff. 1, 3; </w:t>
      </w:r>
      <w:hyperlink w:anchor="SENTENCIA_2015_142" w:history="1">
        <w:r w:rsidRPr="00DD47EB">
          <w:rPr>
            <w:rStyle w:val="TextoNormalCaracter"/>
          </w:rPr>
          <w:t>142/2015</w:t>
        </w:r>
      </w:hyperlink>
      <w:r>
        <w:t>, f. 4.</w:t>
      </w:r>
    </w:p>
    <w:p w:rsidR="00DD47EB" w:rsidRDefault="00DD47EB" w:rsidP="00DD47EB">
      <w:pPr>
        <w:pStyle w:val="SangriaFrancesaArticulo"/>
      </w:pPr>
      <w:r w:rsidRPr="00DD47EB">
        <w:rPr>
          <w:rStyle w:val="TextoNormalNegritaCaracter"/>
        </w:rPr>
        <w:t>Artículo 900.</w:t>
      </w:r>
      <w:r w:rsidRPr="00DD47EB">
        <w:rPr>
          <w:rStyle w:val="TextoNormalCaracter"/>
        </w:rPr>
        <w:t>-</w:t>
      </w:r>
      <w:r>
        <w:t xml:space="preserve"> Sentencia </w:t>
      </w:r>
      <w:hyperlink w:anchor="SENTENCIA_2015_63" w:history="1">
        <w:r w:rsidRPr="00DD47EB">
          <w:rPr>
            <w:rStyle w:val="TextoNormalCaracter"/>
          </w:rPr>
          <w:t>63/2015</w:t>
        </w:r>
      </w:hyperlink>
      <w:r>
        <w:t>, f. 5.</w:t>
      </w:r>
    </w:p>
    <w:p w:rsidR="00DD47EB" w:rsidRDefault="00DD47EB" w:rsidP="00DD47EB">
      <w:pPr>
        <w:pStyle w:val="SangriaFrancesaArticulo"/>
      </w:pPr>
      <w:r w:rsidRPr="00DD47EB">
        <w:rPr>
          <w:rStyle w:val="TextoNormalNegritaCaracter"/>
        </w:rPr>
        <w:t>Artículo 954.</w:t>
      </w:r>
      <w:r w:rsidRPr="00DD47EB">
        <w:rPr>
          <w:rStyle w:val="TextoNormalCaracter"/>
        </w:rPr>
        <w:t>-</w:t>
      </w:r>
      <w:r>
        <w:t xml:space="preserve"> Sentencias </w:t>
      </w:r>
      <w:hyperlink w:anchor="SENTENCIA_2015_91" w:history="1">
        <w:r w:rsidRPr="00DD47EB">
          <w:rPr>
            <w:rStyle w:val="TextoNormalCaracter"/>
          </w:rPr>
          <w:t>91/2015</w:t>
        </w:r>
      </w:hyperlink>
      <w:r>
        <w:t xml:space="preserve">, ff. 1, 3; </w:t>
      </w:r>
      <w:hyperlink w:anchor="SENTENCIA_2015_142" w:history="1">
        <w:r w:rsidRPr="00DD47EB">
          <w:rPr>
            <w:rStyle w:val="TextoNormalCaracter"/>
          </w:rPr>
          <w:t>142/2015</w:t>
        </w:r>
      </w:hyperlink>
      <w:r>
        <w:t>, f. 4.</w:t>
      </w:r>
    </w:p>
    <w:p w:rsidR="00DD47EB" w:rsidRDefault="00DD47EB" w:rsidP="00DD47EB">
      <w:pPr>
        <w:pStyle w:val="SangriaFrancesaArticulo"/>
      </w:pPr>
    </w:p>
    <w:p w:rsidR="00DD47EB" w:rsidRDefault="00DD47EB" w:rsidP="00DD47EB">
      <w:pPr>
        <w:pStyle w:val="TextoNormalNegritaCursivandice"/>
      </w:pPr>
      <w:r>
        <w:t>Real Decreto de 24 de julio de 1889. Código civil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f. 2.</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7" w:history="1">
        <w:r w:rsidRPr="00DD47EB">
          <w:rPr>
            <w:rStyle w:val="TextoNormalCaracter"/>
          </w:rPr>
          <w:t>7/2015</w:t>
        </w:r>
      </w:hyperlink>
      <w:r>
        <w:t>, f. 2.</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Auto </w:t>
      </w:r>
      <w:hyperlink w:anchor="AUTO_2015_29" w:history="1">
        <w:r w:rsidRPr="00DD47EB">
          <w:rPr>
            <w:rStyle w:val="TextoNormalCaracter"/>
          </w:rPr>
          <w:t>29/2015</w:t>
        </w:r>
      </w:hyperlink>
      <w:r>
        <w:t>, f. 3.</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Sentencia </w:t>
      </w:r>
      <w:hyperlink w:anchor="SENTENCIA_2015_63" w:history="1">
        <w:r w:rsidRPr="00DD47EB">
          <w:rPr>
            <w:rStyle w:val="TextoNormalCaracter"/>
          </w:rPr>
          <w:t>63/2015</w:t>
        </w:r>
      </w:hyperlink>
      <w:r>
        <w:t>, VP.</w:t>
      </w:r>
    </w:p>
    <w:p w:rsidR="00DD47EB" w:rsidRDefault="00DD47EB" w:rsidP="00DD47EB">
      <w:pPr>
        <w:pStyle w:val="SangriaFrancesaArticulo"/>
      </w:pPr>
      <w:r w:rsidRPr="00DD47EB">
        <w:rPr>
          <w:rStyle w:val="TextoNormalNegritaCaracter"/>
        </w:rPr>
        <w:t>Artículo 7.2.</w:t>
      </w:r>
      <w:r w:rsidRPr="00DD47EB">
        <w:rPr>
          <w:rStyle w:val="TextoNormalCaracter"/>
        </w:rPr>
        <w:t>-</w:t>
      </w:r>
      <w:r>
        <w:t xml:space="preserve"> Sentencia </w:t>
      </w:r>
      <w:hyperlink w:anchor="SENTENCIA_2015_63" w:history="1">
        <w:r w:rsidRPr="00DD47EB">
          <w:rPr>
            <w:rStyle w:val="TextoNormalCaracter"/>
          </w:rPr>
          <w:t>63/2015</w:t>
        </w:r>
      </w:hyperlink>
      <w:r>
        <w:t>, VP.</w:t>
      </w:r>
    </w:p>
    <w:p w:rsidR="00DD47EB" w:rsidRDefault="00DD47EB" w:rsidP="00DD47EB">
      <w:pPr>
        <w:pStyle w:val="SangriaFrancesaArticulo"/>
      </w:pPr>
      <w:r w:rsidRPr="00DD47EB">
        <w:rPr>
          <w:rStyle w:val="TextoNormalNegritaCaracter"/>
        </w:rPr>
        <w:t>Artículo 68.</w:t>
      </w:r>
      <w:r w:rsidRPr="00DD47EB">
        <w:rPr>
          <w:rStyle w:val="TextoNormalCaracter"/>
        </w:rPr>
        <w:t>-</w:t>
      </w:r>
      <w:r>
        <w:t xml:space="preserve"> Sentencia </w:t>
      </w:r>
      <w:hyperlink w:anchor="SENTENCIA_2015_79" w:history="1">
        <w:r w:rsidRPr="00DD47EB">
          <w:rPr>
            <w:rStyle w:val="TextoNormalCaracter"/>
          </w:rPr>
          <w:t>79/2015</w:t>
        </w:r>
      </w:hyperlink>
      <w:r>
        <w:t>, f. 4.</w:t>
      </w:r>
    </w:p>
    <w:p w:rsidR="00DD47EB" w:rsidRDefault="00DD47EB" w:rsidP="00DD47EB">
      <w:pPr>
        <w:pStyle w:val="SangriaFrancesaArticulo"/>
      </w:pPr>
      <w:r w:rsidRPr="00DD47EB">
        <w:rPr>
          <w:rStyle w:val="TextoNormalNegritaCaracter"/>
        </w:rPr>
        <w:t>Artículo 97.</w:t>
      </w:r>
      <w:r w:rsidRPr="00DD47EB">
        <w:rPr>
          <w:rStyle w:val="TextoNormalCaracter"/>
        </w:rPr>
        <w:t>-</w:t>
      </w:r>
      <w:r>
        <w:t xml:space="preserve"> Sentencia </w:t>
      </w:r>
      <w:hyperlink w:anchor="SENTENCIA_2015_79" w:history="1">
        <w:r w:rsidRPr="00DD47EB">
          <w:rPr>
            <w:rStyle w:val="TextoNormalCaracter"/>
          </w:rPr>
          <w:t>79/2015</w:t>
        </w:r>
      </w:hyperlink>
      <w:r>
        <w:t>, ff. 1, 4.</w:t>
      </w:r>
    </w:p>
    <w:p w:rsidR="00DD47EB" w:rsidRDefault="00DD47EB" w:rsidP="00DD47EB">
      <w:pPr>
        <w:pStyle w:val="SangriaFrancesaArticulo"/>
      </w:pPr>
      <w:r w:rsidRPr="00DD47EB">
        <w:rPr>
          <w:rStyle w:val="TextoNormalNegritaCaracter"/>
        </w:rPr>
        <w:t>Artículo 142.</w:t>
      </w:r>
      <w:r w:rsidRPr="00DD47EB">
        <w:rPr>
          <w:rStyle w:val="TextoNormalCaracter"/>
        </w:rPr>
        <w:t>-</w:t>
      </w:r>
      <w:r>
        <w:t xml:space="preserve"> Sentencia </w:t>
      </w:r>
      <w:hyperlink w:anchor="SENTENCIA_2015_79" w:history="1">
        <w:r w:rsidRPr="00DD47EB">
          <w:rPr>
            <w:rStyle w:val="TextoNormalCaracter"/>
          </w:rPr>
          <w:t>79/2015</w:t>
        </w:r>
      </w:hyperlink>
      <w:r>
        <w:t>, f. 4.</w:t>
      </w:r>
    </w:p>
    <w:p w:rsidR="00DD47EB" w:rsidRDefault="00DD47EB" w:rsidP="00DD47EB">
      <w:pPr>
        <w:pStyle w:val="SangriaFrancesaArticulo"/>
      </w:pPr>
      <w:r w:rsidRPr="00DD47EB">
        <w:rPr>
          <w:rStyle w:val="TextoNormalNegritaCaracter"/>
        </w:rPr>
        <w:t>Artículo 1257.</w:t>
      </w:r>
      <w:r w:rsidRPr="00DD47EB">
        <w:rPr>
          <w:rStyle w:val="TextoNormalCaracter"/>
        </w:rPr>
        <w:t>-</w:t>
      </w:r>
      <w:r>
        <w:t xml:space="preserve"> Sentencia </w:t>
      </w:r>
      <w:hyperlink w:anchor="SENTENCIA_2015_8" w:history="1">
        <w:r w:rsidRPr="00DD47EB">
          <w:rPr>
            <w:rStyle w:val="TextoNormalCaracter"/>
          </w:rPr>
          <w:t>8/2015</w:t>
        </w:r>
      </w:hyperlink>
      <w:r>
        <w:t>, f. 4.</w:t>
      </w:r>
    </w:p>
    <w:p w:rsidR="00DD47EB" w:rsidRDefault="00DD47EB" w:rsidP="00DD47EB">
      <w:pPr>
        <w:pStyle w:val="SangriaFrancesaArticulo"/>
      </w:pPr>
      <w:r w:rsidRPr="00DD47EB">
        <w:rPr>
          <w:rStyle w:val="TextoNormalNegritaCaracter"/>
        </w:rPr>
        <w:t>Artículo 1518.</w:t>
      </w:r>
      <w:r w:rsidRPr="00DD47EB">
        <w:rPr>
          <w:rStyle w:val="TextoNormalCaracter"/>
        </w:rPr>
        <w:t>-</w:t>
      </w:r>
      <w:r>
        <w:t xml:space="preserve"> Sentencia </w:t>
      </w:r>
      <w:hyperlink w:anchor="SENTENCIA_2015_115" w:history="1">
        <w:r w:rsidRPr="00DD47EB">
          <w:rPr>
            <w:rStyle w:val="TextoNormalCaracter"/>
          </w:rPr>
          <w:t>115/2015</w:t>
        </w:r>
      </w:hyperlink>
      <w:r>
        <w:t>, ff. 3, 4.</w:t>
      </w:r>
    </w:p>
    <w:p w:rsidR="00DD47EB" w:rsidRDefault="00DD47EB" w:rsidP="00DD47EB">
      <w:pPr>
        <w:pStyle w:val="SangriaFrancesaArticulo"/>
      </w:pPr>
    </w:p>
    <w:p w:rsidR="00DD47EB" w:rsidRDefault="00DD47EB" w:rsidP="00DD47EB">
      <w:pPr>
        <w:pStyle w:val="TextoNormalNegritaCursivandice"/>
      </w:pPr>
      <w:r>
        <w:t>Decreto de 8 de febrero de 1946. Texto refundido de la Ley hipotecaria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84" w:history="1">
        <w:r w:rsidRPr="00DD47EB">
          <w:rPr>
            <w:rStyle w:val="TextoNormalCaracter"/>
          </w:rPr>
          <w:t>84/2015</w:t>
        </w:r>
      </w:hyperlink>
      <w:r>
        <w:t>, ff. 2, 4.</w:t>
      </w:r>
    </w:p>
    <w:p w:rsidR="00DD47EB" w:rsidRDefault="00DD47EB" w:rsidP="00DD47EB">
      <w:pPr>
        <w:pStyle w:val="SangriaFrancesaArticulo"/>
      </w:pPr>
      <w:r w:rsidRPr="00DD47EB">
        <w:rPr>
          <w:rStyle w:val="TextoNormalNegritaCaracter"/>
        </w:rPr>
        <w:t>Artículo 42.1.</w:t>
      </w:r>
      <w:r w:rsidRPr="00DD47EB">
        <w:rPr>
          <w:rStyle w:val="TextoNormalCaracter"/>
        </w:rPr>
        <w:t>-</w:t>
      </w:r>
      <w:r>
        <w:t xml:space="preserve"> Autos </w:t>
      </w:r>
      <w:hyperlink w:anchor="AUTO_2015_29" w:history="1">
        <w:r w:rsidRPr="00DD47EB">
          <w:rPr>
            <w:rStyle w:val="TextoNormalCaracter"/>
          </w:rPr>
          <w:t>29/2015</w:t>
        </w:r>
      </w:hyperlink>
      <w:r>
        <w:t xml:space="preserve">, ff. 3, 4; </w:t>
      </w:r>
      <w:hyperlink w:anchor="AUTO_2015_59" w:history="1">
        <w:r w:rsidRPr="00DD47EB">
          <w:rPr>
            <w:rStyle w:val="TextoNormalCaracter"/>
          </w:rPr>
          <w:t>59/2015</w:t>
        </w:r>
      </w:hyperlink>
      <w:r>
        <w:t xml:space="preserve">, f. 3; </w:t>
      </w:r>
      <w:hyperlink w:anchor="AUTO_2015_95" w:history="1">
        <w:r w:rsidRPr="00DD47EB">
          <w:rPr>
            <w:rStyle w:val="TextoNormalCaracter"/>
          </w:rPr>
          <w:t>95/2015</w:t>
        </w:r>
      </w:hyperlink>
      <w:r>
        <w:t>, f. 4.</w:t>
      </w:r>
    </w:p>
    <w:p w:rsidR="00DD47EB" w:rsidRDefault="00DD47EB" w:rsidP="00DD47EB">
      <w:pPr>
        <w:pStyle w:val="SangriaFrancesaArticulo"/>
      </w:pPr>
      <w:r w:rsidRPr="00DD47EB">
        <w:rPr>
          <w:rStyle w:val="TextoNormalNegritaCaracter"/>
        </w:rPr>
        <w:t>Artículo 129.</w:t>
      </w:r>
      <w:r w:rsidRPr="00DD47EB">
        <w:rPr>
          <w:rStyle w:val="TextoNormalCaracter"/>
        </w:rPr>
        <w:t>-</w:t>
      </w:r>
      <w:r>
        <w:t xml:space="preserve"> Auto </w:t>
      </w:r>
      <w:hyperlink w:anchor="AUTO_2015_84" w:history="1">
        <w:r w:rsidRPr="00DD47EB">
          <w:rPr>
            <w:rStyle w:val="TextoNormalCaracter"/>
          </w:rPr>
          <w:t>84/2015</w:t>
        </w:r>
      </w:hyperlink>
      <w:r>
        <w:t>, ff. 2 a 4.</w:t>
      </w:r>
    </w:p>
    <w:p w:rsidR="00DD47EB" w:rsidRDefault="00DD47EB" w:rsidP="00DD47EB">
      <w:pPr>
        <w:pStyle w:val="SangriaFrancesaArticulo"/>
      </w:pPr>
      <w:r w:rsidRPr="00DD47EB">
        <w:rPr>
          <w:rStyle w:val="TextoNormalNegritaCaracter"/>
        </w:rPr>
        <w:t>Artículo 129 párrafo 2.</w:t>
      </w:r>
      <w:r w:rsidRPr="00DD47EB">
        <w:rPr>
          <w:rStyle w:val="TextoNormalCaracter"/>
        </w:rPr>
        <w:t>-</w:t>
      </w:r>
      <w:r>
        <w:t xml:space="preserve"> Auto </w:t>
      </w:r>
      <w:hyperlink w:anchor="AUTO_2015_84" w:history="1">
        <w:r w:rsidRPr="00DD47EB">
          <w:rPr>
            <w:rStyle w:val="TextoNormalCaracter"/>
          </w:rPr>
          <w:t>84/2015</w:t>
        </w:r>
      </w:hyperlink>
      <w:r>
        <w:t>, ff. 1, 2.</w:t>
      </w:r>
    </w:p>
    <w:p w:rsidR="00DD47EB" w:rsidRDefault="00DD47EB" w:rsidP="00DD47EB">
      <w:pPr>
        <w:pStyle w:val="SangriaFrancesaArticulo"/>
      </w:pPr>
      <w:r w:rsidRPr="00DD47EB">
        <w:rPr>
          <w:rStyle w:val="TextoNormalNegritaCaracter"/>
        </w:rPr>
        <w:t>Artículo 131.</w:t>
      </w:r>
      <w:r w:rsidRPr="00DD47EB">
        <w:rPr>
          <w:rStyle w:val="TextoNormalCaracter"/>
        </w:rPr>
        <w:t>-</w:t>
      </w:r>
      <w:r>
        <w:t xml:space="preserve"> Sentencia </w:t>
      </w:r>
      <w:hyperlink w:anchor="SENTENCIA_2015_39" w:history="1">
        <w:r w:rsidRPr="00DD47EB">
          <w:rPr>
            <w:rStyle w:val="TextoNormalCaracter"/>
          </w:rPr>
          <w:t>39/2015</w:t>
        </w:r>
      </w:hyperlink>
      <w:r>
        <w:t>, f. 6.</w:t>
      </w:r>
    </w:p>
    <w:p w:rsidR="00DD47EB" w:rsidRDefault="00DD47EB" w:rsidP="00DD47EB">
      <w:pPr>
        <w:pStyle w:val="SangriaFrancesaArticulo"/>
      </w:pPr>
      <w:r w:rsidRPr="00DD47EB">
        <w:rPr>
          <w:rStyle w:val="TextoNormalNegritaCaracter"/>
        </w:rPr>
        <w:t>Artículo 132.</w:t>
      </w:r>
      <w:r w:rsidRPr="00DD47EB">
        <w:rPr>
          <w:rStyle w:val="TextoNormalCaracter"/>
        </w:rPr>
        <w:t>-</w:t>
      </w:r>
      <w:r>
        <w:t xml:space="preserve"> Sentencia </w:t>
      </w:r>
      <w:hyperlink w:anchor="SENTENCIA_2015_39" w:history="1">
        <w:r w:rsidRPr="00DD47EB">
          <w:rPr>
            <w:rStyle w:val="TextoNormalCaracter"/>
          </w:rPr>
          <w:t>39/2015</w:t>
        </w:r>
      </w:hyperlink>
      <w:r>
        <w:t>, f. 6.</w:t>
      </w:r>
    </w:p>
    <w:p w:rsidR="00DD47EB" w:rsidRDefault="00DD47EB" w:rsidP="00DD47EB">
      <w:pPr>
        <w:pStyle w:val="SangriaFrancesaArticulo"/>
      </w:pPr>
    </w:p>
    <w:p w:rsidR="00DD47EB" w:rsidRDefault="00DD47EB" w:rsidP="00DD47EB">
      <w:pPr>
        <w:pStyle w:val="TextoNormalNegritaCursivandice"/>
      </w:pPr>
      <w:r>
        <w:t>Ley 22/1973, de 21 de julio. Minas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ff. 3, 4, 6.</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45" w:history="1">
        <w:r w:rsidRPr="00DD47EB">
          <w:rPr>
            <w:rStyle w:val="TextoNormalCaracter"/>
          </w:rPr>
          <w:t>45/2015</w:t>
        </w:r>
      </w:hyperlink>
      <w:r>
        <w:t>, f. 4.</w:t>
      </w:r>
    </w:p>
    <w:p w:rsidR="00DD47EB" w:rsidRDefault="00DD47EB" w:rsidP="00DD47EB">
      <w:pPr>
        <w:pStyle w:val="SangriaFrancesaArticulo"/>
      </w:pPr>
      <w:r w:rsidRPr="00DD47EB">
        <w:rPr>
          <w:rStyle w:val="TextoNormalNegritaCaracter"/>
        </w:rPr>
        <w:t>Artículo 117.</w:t>
      </w:r>
      <w:r w:rsidRPr="00DD47EB">
        <w:rPr>
          <w:rStyle w:val="TextoNormalCaracter"/>
        </w:rPr>
        <w:t>-</w:t>
      </w:r>
      <w:r>
        <w:t xml:space="preserve"> Sentencia </w:t>
      </w:r>
      <w:hyperlink w:anchor="SENTENCIA_2015_45" w:history="1">
        <w:r w:rsidRPr="00DD47EB">
          <w:rPr>
            <w:rStyle w:val="TextoNormalCaracter"/>
          </w:rPr>
          <w:t>45/2015</w:t>
        </w:r>
      </w:hyperlink>
      <w:r>
        <w:t>, f. 6.</w:t>
      </w:r>
    </w:p>
    <w:p w:rsidR="00DD47EB" w:rsidRDefault="00DD47EB" w:rsidP="00DD47EB">
      <w:pPr>
        <w:pStyle w:val="SangriaFrancesaArticulo"/>
      </w:pPr>
    </w:p>
    <w:p w:rsidR="00DD47EB" w:rsidRDefault="00DD47EB" w:rsidP="00DD47EB">
      <w:pPr>
        <w:pStyle w:val="TextoNormalNegritaCursivandice"/>
      </w:pPr>
      <w:r>
        <w:t>Decreto 3096/1973, de 14 de septiembre. Texto refundido del Código penal conforme a la Ley 44/1971, de 15 de noviembre</w:t>
      </w:r>
    </w:p>
    <w:p w:rsidR="00DD47EB" w:rsidRDefault="00DD47EB" w:rsidP="00DD47EB">
      <w:pPr>
        <w:pStyle w:val="SangriaFrancesaArticulo"/>
      </w:pPr>
      <w:r w:rsidRPr="00DD47EB">
        <w:rPr>
          <w:rStyle w:val="TextoNormalNegritaCaracter"/>
        </w:rPr>
        <w:t>Artículo 116.</w:t>
      </w:r>
      <w:r w:rsidRPr="00DD47EB">
        <w:rPr>
          <w:rStyle w:val="TextoNormalCaracter"/>
        </w:rPr>
        <w:t>-</w:t>
      </w:r>
      <w:r>
        <w:t xml:space="preserve"> Sentencia </w:t>
      </w:r>
      <w:hyperlink w:anchor="SENTENCIA_2015_63" w:history="1">
        <w:r w:rsidRPr="00DD47EB">
          <w:rPr>
            <w:rStyle w:val="TextoNormalCaracter"/>
          </w:rPr>
          <w:t>63/2015</w:t>
        </w:r>
      </w:hyperlink>
      <w:r>
        <w:t>, f. 5.</w:t>
      </w:r>
    </w:p>
    <w:p w:rsidR="00DD47EB" w:rsidRDefault="00DD47EB" w:rsidP="00DD47EB">
      <w:pPr>
        <w:pStyle w:val="TextoNormal"/>
      </w:pPr>
    </w:p>
    <w:p w:rsidR="00DD47EB" w:rsidRDefault="00DD47EB" w:rsidP="00DD47EB">
      <w:pPr>
        <w:pStyle w:val="SangriaFrancesaArticulo"/>
      </w:pPr>
      <w:bookmarkStart w:id="278" w:name="INDICE22851"/>
    </w:p>
    <w:bookmarkEnd w:id="278"/>
    <w:p w:rsidR="00DD47EB" w:rsidRDefault="00DD47EB" w:rsidP="00DD47EB">
      <w:pPr>
        <w:pStyle w:val="TextoIndiceNivel2"/>
        <w:suppressAutoHyphens/>
      </w:pPr>
      <w:r>
        <w:t>J) Comunidades y Ciudades Autónomas</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 Andalucía</w:t>
      </w:r>
    </w:p>
    <w:p w:rsidR="00DD47EB" w:rsidRDefault="00DD47EB" w:rsidP="00DD47EB">
      <w:pPr>
        <w:pStyle w:val="TextoNormal"/>
      </w:pPr>
    </w:p>
    <w:p w:rsidR="00DD47EB" w:rsidRDefault="00DD47EB" w:rsidP="00DD47EB">
      <w:pPr>
        <w:pStyle w:val="TextoNormalNegritaCentradoSubrayado"/>
        <w:suppressAutoHyphens/>
      </w:pPr>
      <w:r>
        <w:t>J.1.a) Estatuto de Autonomía</w:t>
      </w:r>
    </w:p>
    <w:p w:rsidR="00DD47EB" w:rsidRDefault="00DD47EB" w:rsidP="00DD47EB">
      <w:pPr>
        <w:pStyle w:val="TextoNormalNegritaCentradoSubrayado"/>
      </w:pPr>
    </w:p>
    <w:p w:rsidR="00DD47EB" w:rsidRDefault="00DD47EB" w:rsidP="00DD47EB">
      <w:pPr>
        <w:pStyle w:val="TextoNormalNegritaCursivandice"/>
      </w:pPr>
      <w:r>
        <w:t>Ley Orgánica 2/2007, de 19 de marzo. Reforma del Estatuto de Autonomía de Andalucía</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 </w:t>
      </w:r>
      <w:hyperlink w:anchor="SENTENCIA_2015_93" w:history="1">
        <w:r w:rsidRPr="00DD47EB">
          <w:rPr>
            <w:rStyle w:val="TextoNormalCaracter"/>
          </w:rPr>
          <w:t>93/2015</w:t>
        </w:r>
      </w:hyperlink>
      <w:r>
        <w:t>, f. 14.</w:t>
      </w:r>
    </w:p>
    <w:p w:rsidR="00DD47EB" w:rsidRDefault="00DD47EB" w:rsidP="00DD47EB">
      <w:pPr>
        <w:pStyle w:val="SangriaFrancesaArticulo"/>
      </w:pPr>
      <w:r w:rsidRPr="00DD47EB">
        <w:rPr>
          <w:rStyle w:val="TextoNormalNegritaCaracter"/>
        </w:rPr>
        <w:t>Artículo 55.1.</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56.</w:t>
      </w:r>
      <w:r w:rsidRPr="00DD47EB">
        <w:rPr>
          <w:rStyle w:val="TextoNormalCaracter"/>
        </w:rPr>
        <w:t>-</w:t>
      </w:r>
      <w:r>
        <w:t xml:space="preserve"> Sentencia </w:t>
      </w:r>
      <w:hyperlink w:anchor="SENTENCIA_2015_93" w:history="1">
        <w:r w:rsidRPr="00DD47EB">
          <w:rPr>
            <w:rStyle w:val="TextoNormalCaracter"/>
          </w:rPr>
          <w:t>93/2015</w:t>
        </w:r>
      </w:hyperlink>
      <w:r>
        <w:t>, ff. 15, 16, VP III.</w:t>
      </w:r>
    </w:p>
    <w:p w:rsidR="00DD47EB" w:rsidRDefault="00DD47EB" w:rsidP="00DD47EB">
      <w:pPr>
        <w:pStyle w:val="SangriaFrancesaArticulo"/>
      </w:pPr>
      <w:r w:rsidRPr="00DD47EB">
        <w:rPr>
          <w:rStyle w:val="TextoNormalNegritaCaracter"/>
        </w:rPr>
        <w:t>Artículo 110.</w:t>
      </w:r>
      <w:r w:rsidRPr="00DD47EB">
        <w:rPr>
          <w:rStyle w:val="TextoNormalCaracter"/>
        </w:rPr>
        <w:t>-</w:t>
      </w:r>
      <w:r>
        <w:t xml:space="preserve"> Sentencia </w:t>
      </w:r>
      <w:hyperlink w:anchor="SENTENCIA_2015_93" w:history="1">
        <w:r w:rsidRPr="00DD47EB">
          <w:rPr>
            <w:rStyle w:val="TextoNormalCaracter"/>
          </w:rPr>
          <w:t>93/2015</w:t>
        </w:r>
      </w:hyperlink>
      <w:r>
        <w:t>, ff. 5, 7, 9, 12, 14.</w:t>
      </w:r>
    </w:p>
    <w:p w:rsidR="00DD47EB" w:rsidRDefault="00DD47EB" w:rsidP="00DD47EB">
      <w:pPr>
        <w:pStyle w:val="SangriaFrancesaArticulo"/>
      </w:pPr>
      <w:r w:rsidRPr="00DD47EB">
        <w:rPr>
          <w:rStyle w:val="TextoNormalNegritaCaracter"/>
        </w:rPr>
        <w:t>Artículo 110.1.</w:t>
      </w:r>
      <w:r w:rsidRPr="00DD47EB">
        <w:rPr>
          <w:rStyle w:val="TextoNormalCaracter"/>
        </w:rPr>
        <w:t>-</w:t>
      </w:r>
      <w:r>
        <w:t xml:space="preserve"> Sentencia </w:t>
      </w:r>
      <w:hyperlink w:anchor="SENTENCIA_2015_93" w:history="1">
        <w:r w:rsidRPr="00DD47EB">
          <w:rPr>
            <w:rStyle w:val="TextoNormalCaracter"/>
          </w:rPr>
          <w:t>93/2015</w:t>
        </w:r>
      </w:hyperlink>
      <w:r>
        <w:t>, f. 7.</w:t>
      </w:r>
    </w:p>
    <w:p w:rsidR="00DD47EB" w:rsidRDefault="00DD47EB" w:rsidP="00DD47EB">
      <w:pPr>
        <w:pStyle w:val="TextoNormal"/>
      </w:pPr>
    </w:p>
    <w:p w:rsidR="00DD47EB" w:rsidRDefault="00DD47EB" w:rsidP="00DD47EB">
      <w:pPr>
        <w:pStyle w:val="TextoNormalNegritaCentradoSubrayado"/>
        <w:suppressAutoHyphens/>
      </w:pPr>
      <w:r>
        <w:t>J.1.b)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del Parlamento de Andalucía 10/2003, de 6 de noviembre. Colegios profesionales de Andalucía</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145" w:history="1">
        <w:r w:rsidRPr="00DD47EB">
          <w:rPr>
            <w:rStyle w:val="TextoNormalCaracter"/>
          </w:rPr>
          <w:t>145/2015</w:t>
        </w:r>
      </w:hyperlink>
      <w:r>
        <w:t>, f. 5.</w:t>
      </w:r>
    </w:p>
    <w:p w:rsidR="00DD47EB" w:rsidRDefault="00DD47EB" w:rsidP="00DD47EB">
      <w:pPr>
        <w:pStyle w:val="SangriaFrancesaArticulo"/>
      </w:pPr>
      <w:r w:rsidRPr="00DD47EB">
        <w:rPr>
          <w:rStyle w:val="TextoNormalNegritaCaracter"/>
        </w:rPr>
        <w:t>Artículo 22.2.</w:t>
      </w:r>
      <w:r w:rsidRPr="00DD47EB">
        <w:rPr>
          <w:rStyle w:val="TextoNormalCaracter"/>
        </w:rPr>
        <w:t>-</w:t>
      </w:r>
      <w:r>
        <w:t xml:space="preserve"> Sentencia </w:t>
      </w:r>
      <w:hyperlink w:anchor="SENTENCIA_2015_145" w:history="1">
        <w:r w:rsidRPr="00DD47EB">
          <w:rPr>
            <w:rStyle w:val="TextoNormalCaracter"/>
          </w:rPr>
          <w:t>145/2015</w:t>
        </w:r>
      </w:hyperlink>
      <w:r>
        <w:t>, f. 5.</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145" w:history="1">
        <w:r w:rsidRPr="00DD47EB">
          <w:rPr>
            <w:rStyle w:val="TextoNormalCaracter"/>
          </w:rPr>
          <w:t>145/2015</w:t>
        </w:r>
      </w:hyperlink>
      <w:r>
        <w:t>, f. 5.</w:t>
      </w:r>
    </w:p>
    <w:p w:rsidR="00DD47EB" w:rsidRDefault="00DD47EB" w:rsidP="00DD47EB">
      <w:pPr>
        <w:pStyle w:val="SangriaFrancesaArticulo"/>
      </w:pPr>
    </w:p>
    <w:p w:rsidR="00DD47EB" w:rsidRDefault="00DD47EB" w:rsidP="00DD47EB">
      <w:pPr>
        <w:pStyle w:val="TextoNormalNegritaCursivandice"/>
      </w:pPr>
      <w:r>
        <w:t>Ley del Parlamento de Andalucía 21/2007, de 18 de diciembre. Régimen jurídico y económico de los puertos de Andalucía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 4.</w:t>
      </w:r>
    </w:p>
    <w:p w:rsidR="00DD47EB" w:rsidRDefault="00DD47EB" w:rsidP="00DD47EB">
      <w:pPr>
        <w:pStyle w:val="SangriaFrancesaArticulo"/>
      </w:pPr>
    </w:p>
    <w:p w:rsidR="00DD47EB" w:rsidRDefault="00DD47EB" w:rsidP="00DD47EB">
      <w:pPr>
        <w:pStyle w:val="TextoNormalNegritaCursivandice"/>
      </w:pPr>
      <w:r>
        <w:t>Ley del Parlamento de Andalucía 22/2007, de 18 de diciembre. Farmacia de Andalucía</w:t>
      </w:r>
    </w:p>
    <w:p w:rsidR="00DD47EB" w:rsidRDefault="00DD47EB" w:rsidP="00DD47EB">
      <w:pPr>
        <w:pStyle w:val="SangriaFrancesaArticulo"/>
      </w:pPr>
      <w:r w:rsidRPr="00DD47EB">
        <w:rPr>
          <w:rStyle w:val="TextoNormalNegritaCaracter"/>
        </w:rPr>
        <w:t>Artículo 14.5.</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22.1 b).</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22.2 d).</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p>
    <w:p w:rsidR="00DD47EB" w:rsidRDefault="00DD47EB" w:rsidP="00DD47EB">
      <w:pPr>
        <w:pStyle w:val="TextoNormalNegritaCursivandice"/>
      </w:pPr>
      <w:r>
        <w:t>Ley del Parlamento de Andalucía 1/2010, de 8 de marzo. Derecho a la vivienda en Andalucía</w:t>
      </w:r>
    </w:p>
    <w:p w:rsidR="00DD47EB" w:rsidRDefault="00DD47EB" w:rsidP="00DD47EB">
      <w:pPr>
        <w:pStyle w:val="SangriaFrancesaArticulo"/>
      </w:pPr>
      <w:r w:rsidRPr="00DD47EB">
        <w:rPr>
          <w:rStyle w:val="TextoNormalNegritaCaracter"/>
        </w:rPr>
        <w:t>Artículo 1.3</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ff. 1, 2, 7, 9, 10, 12 a 14, 16.</w:t>
      </w:r>
    </w:p>
    <w:p w:rsidR="00DD47EB" w:rsidRDefault="00DD47EB" w:rsidP="00DD47EB">
      <w:pPr>
        <w:pStyle w:val="SangriaFrancesaArticulo"/>
      </w:pPr>
      <w:r w:rsidRPr="00DD47EB">
        <w:rPr>
          <w:rStyle w:val="TextoNormalNegritaCaracter"/>
        </w:rPr>
        <w:t>Artículo 1.3</w:t>
      </w:r>
      <w:r>
        <w:t xml:space="preserve"> (redactado por la Ley del Parlamento de Andalucía 4/2013, de 1 de octubre)</w:t>
      </w:r>
      <w:r w:rsidRPr="00DD47EB">
        <w:rPr>
          <w:rStyle w:val="TextoNormalNegritaCaracter"/>
        </w:rPr>
        <w:t>.</w:t>
      </w:r>
      <w:r w:rsidRPr="00DD47EB">
        <w:rPr>
          <w:rStyle w:val="TextoNormalCaracter"/>
        </w:rPr>
        <w:t>-</w:t>
      </w:r>
      <w:r>
        <w:t xml:space="preserve"> Auto </w:t>
      </w:r>
      <w:hyperlink w:anchor="AUTO_2015_32" w:history="1">
        <w:r w:rsidRPr="00DD47EB">
          <w:rPr>
            <w:rStyle w:val="TextoNormalCaracter"/>
          </w:rPr>
          <w:t>32/2015</w:t>
        </w:r>
      </w:hyperlink>
      <w:r>
        <w:t>, f. 1.</w:t>
      </w:r>
    </w:p>
    <w:p w:rsidR="00DD47EB" w:rsidRDefault="00DD47EB" w:rsidP="00DD47EB">
      <w:pPr>
        <w:pStyle w:val="SangriaFrancesaArticulo"/>
      </w:pPr>
      <w:r w:rsidRPr="00DD47EB">
        <w:rPr>
          <w:rStyle w:val="TextoNormalNegritaCaracter"/>
        </w:rPr>
        <w:t>Artículo 25</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ff. 1, 2, 7, 9, 10, 12 a 14, 16.</w:t>
      </w:r>
    </w:p>
    <w:p w:rsidR="00DD47EB" w:rsidRDefault="00DD47EB" w:rsidP="00DD47EB">
      <w:pPr>
        <w:pStyle w:val="SangriaFrancesaArticulo"/>
      </w:pPr>
      <w:r w:rsidRPr="00DD47EB">
        <w:rPr>
          <w:rStyle w:val="TextoNormalNegritaCaracter"/>
        </w:rPr>
        <w:t>Artículo 25</w:t>
      </w:r>
      <w:r>
        <w:t xml:space="preserve"> (redactado por la Ley del Parlamento de Andalucía 4/2013, de 1 de octubre)</w:t>
      </w:r>
      <w:r w:rsidRPr="00DD47EB">
        <w:rPr>
          <w:rStyle w:val="TextoNormalNegritaCaracter"/>
        </w:rPr>
        <w:t>.</w:t>
      </w:r>
      <w:r w:rsidRPr="00DD47EB">
        <w:rPr>
          <w:rStyle w:val="TextoNormalCaracter"/>
        </w:rPr>
        <w:t>-</w:t>
      </w:r>
      <w:r>
        <w:t xml:space="preserve"> Auto </w:t>
      </w:r>
      <w:hyperlink w:anchor="AUTO_2015_32" w:history="1">
        <w:r w:rsidRPr="00DD47EB">
          <w:rPr>
            <w:rStyle w:val="TextoNormalCaracter"/>
          </w:rPr>
          <w:t>32/2015</w:t>
        </w:r>
      </w:hyperlink>
      <w:r>
        <w:t>, f. 1.</w:t>
      </w:r>
    </w:p>
    <w:p w:rsidR="00DD47EB" w:rsidRDefault="00DD47EB" w:rsidP="00DD47EB">
      <w:pPr>
        <w:pStyle w:val="SangriaFrancesaArticulo"/>
      </w:pPr>
      <w:r w:rsidRPr="00DD47EB">
        <w:rPr>
          <w:rStyle w:val="TextoNormalNegritaCaracter"/>
        </w:rPr>
        <w:t>Artículo 25.2.</w:t>
      </w:r>
      <w:r w:rsidRPr="00DD47EB">
        <w:rPr>
          <w:rStyle w:val="TextoNormalCaracter"/>
        </w:rPr>
        <w:t>-</w:t>
      </w:r>
      <w:r>
        <w:t xml:space="preserve"> Sentencia </w:t>
      </w:r>
      <w:hyperlink w:anchor="SENTENCIA_2015_93" w:history="1">
        <w:r w:rsidRPr="00DD47EB">
          <w:rPr>
            <w:rStyle w:val="TextoNormalCaracter"/>
          </w:rPr>
          <w:t>93/2015</w:t>
        </w:r>
      </w:hyperlink>
      <w:r>
        <w:t>, f. 13.</w:t>
      </w:r>
    </w:p>
    <w:p w:rsidR="00DD47EB" w:rsidRDefault="00DD47EB" w:rsidP="00DD47EB">
      <w:pPr>
        <w:pStyle w:val="SangriaFrancesaArticulo"/>
      </w:pPr>
      <w:r w:rsidRPr="00DD47EB">
        <w:rPr>
          <w:rStyle w:val="TextoNormalNegritaCaracter"/>
        </w:rPr>
        <w:t>Artículo 25.4 b).</w:t>
      </w:r>
      <w:r w:rsidRPr="00DD47EB">
        <w:rPr>
          <w:rStyle w:val="TextoNormalCaracter"/>
        </w:rPr>
        <w:t>-</w:t>
      </w:r>
      <w:r>
        <w:t xml:space="preserve"> Sentencia </w:t>
      </w:r>
      <w:hyperlink w:anchor="SENTENCIA_2015_93" w:history="1">
        <w:r w:rsidRPr="00DD47EB">
          <w:rPr>
            <w:rStyle w:val="TextoNormalCaracter"/>
          </w:rPr>
          <w:t>93/2015</w:t>
        </w:r>
      </w:hyperlink>
      <w:r>
        <w:t>, f. 13.</w:t>
      </w:r>
    </w:p>
    <w:p w:rsidR="00DD47EB" w:rsidRDefault="00DD47EB" w:rsidP="00DD47EB">
      <w:pPr>
        <w:pStyle w:val="SangriaFrancesaArticulo"/>
      </w:pPr>
      <w:r w:rsidRPr="00DD47EB">
        <w:rPr>
          <w:rStyle w:val="TextoNormalNegritaCaracter"/>
        </w:rPr>
        <w:t>Artículo 25.5.</w:t>
      </w:r>
      <w:r w:rsidRPr="00DD47EB">
        <w:rPr>
          <w:rStyle w:val="TextoNormalCaracter"/>
        </w:rPr>
        <w:t>-</w:t>
      </w:r>
      <w:r>
        <w:t xml:space="preserve"> Sentencia </w:t>
      </w:r>
      <w:hyperlink w:anchor="SENTENCIA_2015_93" w:history="1">
        <w:r w:rsidRPr="00DD47EB">
          <w:rPr>
            <w:rStyle w:val="TextoNormalCaracter"/>
          </w:rPr>
          <w:t>93/2015</w:t>
        </w:r>
      </w:hyperlink>
      <w:r>
        <w:t>, ff. 13, 15, 16.</w:t>
      </w:r>
    </w:p>
    <w:p w:rsidR="00DD47EB" w:rsidRDefault="00DD47EB" w:rsidP="00DD47EB">
      <w:pPr>
        <w:pStyle w:val="SangriaFrancesaArticulo"/>
      </w:pPr>
      <w:r w:rsidRPr="00DD47EB">
        <w:rPr>
          <w:rStyle w:val="TextoNormalNegritaCaracter"/>
        </w:rPr>
        <w:t>Artículo 25.6.</w:t>
      </w:r>
      <w:r w:rsidRPr="00DD47EB">
        <w:rPr>
          <w:rStyle w:val="TextoNormalCaracter"/>
        </w:rPr>
        <w:t>-</w:t>
      </w:r>
      <w:r>
        <w:t xml:space="preserve"> Sentencia </w:t>
      </w:r>
      <w:hyperlink w:anchor="SENTENCIA_2015_93" w:history="1">
        <w:r w:rsidRPr="00DD47EB">
          <w:rPr>
            <w:rStyle w:val="TextoNormalCaracter"/>
          </w:rPr>
          <w:t>93/2015</w:t>
        </w:r>
      </w:hyperlink>
      <w:r>
        <w:t>, ff. 13, 14, 16.</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93" w:history="1">
        <w:r w:rsidRPr="00DD47EB">
          <w:rPr>
            <w:rStyle w:val="TextoNormalCaracter"/>
          </w:rPr>
          <w:t>93/2015</w:t>
        </w:r>
      </w:hyperlink>
      <w:r>
        <w:t>, f. 10.</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93" w:history="1">
        <w:r w:rsidRPr="00DD47EB">
          <w:rPr>
            <w:rStyle w:val="TextoNormalCaracter"/>
          </w:rPr>
          <w:t>93/2015</w:t>
        </w:r>
      </w:hyperlink>
      <w:r>
        <w:t>, ff. 13, 15.</w:t>
      </w:r>
    </w:p>
    <w:p w:rsidR="00DD47EB" w:rsidRDefault="00DD47EB" w:rsidP="00DD47EB">
      <w:pPr>
        <w:pStyle w:val="SangriaFrancesaArticulo"/>
      </w:pPr>
      <w:r w:rsidRPr="00DD47EB">
        <w:rPr>
          <w:rStyle w:val="TextoNormalNegritaCaracter"/>
        </w:rPr>
        <w:t>Artículo 53.1 a)</w:t>
      </w:r>
      <w:r>
        <w:t xml:space="preserve"> (redactado por el Decreto-ley de la Junta de Andalucía 6/2013, de 9 de abril)</w:t>
      </w:r>
      <w:r w:rsidRPr="00DD47EB">
        <w:rPr>
          <w:rStyle w:val="TextoNormalNegritaCaracter"/>
        </w:rPr>
        <w:t>.</w:t>
      </w:r>
      <w:r w:rsidRPr="00DD47EB">
        <w:rPr>
          <w:rStyle w:val="TextoNormalCaracter"/>
        </w:rPr>
        <w:t>-</w:t>
      </w:r>
      <w:r>
        <w:t xml:space="preserve"> Sentencia </w:t>
      </w:r>
      <w:hyperlink w:anchor="SENTENCIA_2015_93" w:history="1">
        <w:r w:rsidRPr="00DD47EB">
          <w:rPr>
            <w:rStyle w:val="TextoNormalCaracter"/>
          </w:rPr>
          <w:t>93/2015</w:t>
        </w:r>
      </w:hyperlink>
      <w:r>
        <w:t>, ff. 1, 2, 7, 9, 10, 12 a 14, 16.</w:t>
      </w:r>
    </w:p>
    <w:p w:rsidR="00DD47EB" w:rsidRDefault="00DD47EB" w:rsidP="00DD47EB">
      <w:pPr>
        <w:pStyle w:val="SangriaFrancesaArticulo"/>
      </w:pPr>
      <w:r w:rsidRPr="00DD47EB">
        <w:rPr>
          <w:rStyle w:val="TextoNormalNegritaCaracter"/>
        </w:rPr>
        <w:t>Artículo 53.1 a)</w:t>
      </w:r>
      <w:r>
        <w:t xml:space="preserve"> (redactado por la Ley del Parlamento de Andalucía 4/2013, de 1 de octubre)</w:t>
      </w:r>
      <w:r w:rsidRPr="00DD47EB">
        <w:rPr>
          <w:rStyle w:val="TextoNormalNegritaCaracter"/>
        </w:rPr>
        <w:t>.</w:t>
      </w:r>
      <w:r w:rsidRPr="00DD47EB">
        <w:rPr>
          <w:rStyle w:val="TextoNormalCaracter"/>
        </w:rPr>
        <w:t>-</w:t>
      </w:r>
      <w:r>
        <w:t xml:space="preserve"> Auto </w:t>
      </w:r>
      <w:hyperlink w:anchor="AUTO_2015_32" w:history="1">
        <w:r w:rsidRPr="00DD47EB">
          <w:rPr>
            <w:rStyle w:val="TextoNormalCaracter"/>
          </w:rPr>
          <w:t>32/2015</w:t>
        </w:r>
      </w:hyperlink>
      <w:r>
        <w:t>, f. 1.</w:t>
      </w:r>
    </w:p>
    <w:p w:rsidR="00DD47EB" w:rsidRDefault="00DD47EB" w:rsidP="00DD47EB">
      <w:pPr>
        <w:pStyle w:val="SangriaFrancesaArticulo"/>
      </w:pPr>
    </w:p>
    <w:p w:rsidR="00DD47EB" w:rsidRDefault="00DD47EB" w:rsidP="00DD47EB">
      <w:pPr>
        <w:pStyle w:val="TextoNormalNegritaCursivandice"/>
      </w:pPr>
      <w:r>
        <w:t>Ley del Parlamento de Andalucía 11/2010, de 3 de diciembre. Medidas fiscales para la reducción del déficit público y para la sostenibilidad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6" w:history="1">
        <w:r w:rsidRPr="00DD47EB">
          <w:rPr>
            <w:rStyle w:val="TextoNormalCaracter"/>
          </w:rPr>
          <w:t>26/2015</w:t>
        </w:r>
      </w:hyperlink>
      <w:r>
        <w:t>, VP.</w:t>
      </w:r>
    </w:p>
    <w:p w:rsidR="00DD47EB" w:rsidRDefault="00DD47EB" w:rsidP="00DD47EB">
      <w:pPr>
        <w:pStyle w:val="SangriaFrancesaArticulo"/>
      </w:pPr>
    </w:p>
    <w:p w:rsidR="00DD47EB" w:rsidRDefault="00DD47EB" w:rsidP="00DD47EB">
      <w:pPr>
        <w:pStyle w:val="TextoNormalNegritaCursivandice"/>
      </w:pPr>
      <w:r>
        <w:t>Decreto-ley de la Junta de Andalucía 6/2013, de 9 de abril. Medidas para asegurar el cumplimiento de la función social de la vivienda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3" w:history="1">
        <w:r w:rsidRPr="00DD47EB">
          <w:rPr>
            <w:rStyle w:val="TextoNormalCaracter"/>
          </w:rPr>
          <w:t>93/2015</w:t>
        </w:r>
      </w:hyperlink>
      <w:r>
        <w:t>, ff. 1, 2, 7, 9, 10, 12, 14, 16 a 18.</w:t>
      </w:r>
    </w:p>
    <w:p w:rsidR="00DD47EB" w:rsidRDefault="00DD47EB" w:rsidP="00DD47EB">
      <w:pPr>
        <w:pStyle w:val="SangriaFrancesaArticulo"/>
      </w:pPr>
      <w:r w:rsidRPr="00DD47EB">
        <w:rPr>
          <w:rStyle w:val="TextoNormalNegritaCaracter"/>
        </w:rPr>
        <w:t>Título VI, capítulo III.</w:t>
      </w:r>
      <w:r w:rsidRPr="00DD47EB">
        <w:rPr>
          <w:rStyle w:val="TextoNormalCaracter"/>
        </w:rPr>
        <w:t>-</w:t>
      </w:r>
      <w:r>
        <w:t xml:space="preserve"> Sentencia </w:t>
      </w:r>
      <w:hyperlink w:anchor="SENTENCIA_2015_93" w:history="1">
        <w:r w:rsidRPr="00DD47EB">
          <w:rPr>
            <w:rStyle w:val="TextoNormalCaracter"/>
          </w:rPr>
          <w:t>93/2015</w:t>
        </w:r>
      </w:hyperlink>
      <w:r>
        <w:t>, ff. 10, 13, 17.</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93" w:history="1">
        <w:r w:rsidRPr="00DD47EB">
          <w:rPr>
            <w:rStyle w:val="TextoNormalCaracter"/>
          </w:rPr>
          <w:t>93/2015</w:t>
        </w:r>
      </w:hyperlink>
      <w:r>
        <w:t>, ff. 8, 9, 13.</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93" w:history="1">
        <w:r w:rsidRPr="00DD47EB">
          <w:rPr>
            <w:rStyle w:val="TextoNormalCaracter"/>
          </w:rPr>
          <w:t>93/2015</w:t>
        </w:r>
      </w:hyperlink>
      <w:r>
        <w:t>, f. 9.</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93" w:history="1">
        <w:r w:rsidRPr="00DD47EB">
          <w:rPr>
            <w:rStyle w:val="TextoNormalCaracter"/>
          </w:rPr>
          <w:t>93/2015</w:t>
        </w:r>
      </w:hyperlink>
      <w:r>
        <w:t>, ff. 1, 7, 9, 13.</w:t>
      </w:r>
    </w:p>
    <w:p w:rsidR="00DD47EB" w:rsidRDefault="00DD47EB" w:rsidP="00DD47EB">
      <w:pPr>
        <w:pStyle w:val="SangriaFrancesaArticulo"/>
      </w:pPr>
      <w:r w:rsidRPr="00DD47EB">
        <w:rPr>
          <w:rStyle w:val="TextoNormalNegritaCaracter"/>
        </w:rPr>
        <w:t>Artículo 44.</w:t>
      </w:r>
      <w:r w:rsidRPr="00DD47EB">
        <w:rPr>
          <w:rStyle w:val="TextoNormalCaracter"/>
        </w:rPr>
        <w:t>-</w:t>
      </w:r>
      <w:r>
        <w:t xml:space="preserve"> Sentencia </w:t>
      </w:r>
      <w:hyperlink w:anchor="SENTENCIA_2015_93" w:history="1">
        <w:r w:rsidRPr="00DD47EB">
          <w:rPr>
            <w:rStyle w:val="TextoNormalCaracter"/>
          </w:rPr>
          <w:t>93/2015</w:t>
        </w:r>
      </w:hyperlink>
      <w:r>
        <w:t>, f. 10.</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93" w:history="1">
        <w:r w:rsidRPr="00DD47EB">
          <w:rPr>
            <w:rStyle w:val="TextoNormalCaracter"/>
          </w:rPr>
          <w:t>93/2015</w:t>
        </w:r>
      </w:hyperlink>
      <w:r>
        <w:t>, f. 10.</w:t>
      </w:r>
    </w:p>
    <w:p w:rsidR="00DD47EB" w:rsidRDefault="00DD47EB" w:rsidP="00DD47EB">
      <w:pPr>
        <w:pStyle w:val="SangriaFrancesaArticulo"/>
      </w:pPr>
      <w:r w:rsidRPr="00DD47EB">
        <w:rPr>
          <w:rStyle w:val="TextoNormalNegritaCaracter"/>
        </w:rPr>
        <w:t>Artículo 46.</w:t>
      </w:r>
      <w:r w:rsidRPr="00DD47EB">
        <w:rPr>
          <w:rStyle w:val="TextoNormalCaracter"/>
        </w:rPr>
        <w:t>-</w:t>
      </w:r>
      <w:r>
        <w:t xml:space="preserve"> Sentencia </w:t>
      </w:r>
      <w:hyperlink w:anchor="SENTENCIA_2015_93" w:history="1">
        <w:r w:rsidRPr="00DD47EB">
          <w:rPr>
            <w:rStyle w:val="TextoNormalCaracter"/>
          </w:rPr>
          <w:t>93/2015</w:t>
        </w:r>
      </w:hyperlink>
      <w:r>
        <w:t>, f. 10.</w:t>
      </w:r>
    </w:p>
    <w:p w:rsidR="00DD47EB" w:rsidRDefault="00DD47EB" w:rsidP="00DD47EB">
      <w:pPr>
        <w:pStyle w:val="SangriaFrancesaArticulo"/>
      </w:pPr>
      <w:r w:rsidRPr="00DD47EB">
        <w:rPr>
          <w:rStyle w:val="TextoNormalNegritaCaracter"/>
        </w:rPr>
        <w:t>Artículo 47.</w:t>
      </w:r>
      <w:r w:rsidRPr="00DD47EB">
        <w:rPr>
          <w:rStyle w:val="TextoNormalCaracter"/>
        </w:rPr>
        <w:t>-</w:t>
      </w:r>
      <w:r>
        <w:t xml:space="preserve"> Sentencia </w:t>
      </w:r>
      <w:hyperlink w:anchor="SENTENCIA_2015_93" w:history="1">
        <w:r w:rsidRPr="00DD47EB">
          <w:rPr>
            <w:rStyle w:val="TextoNormalCaracter"/>
          </w:rPr>
          <w:t>93/2015</w:t>
        </w:r>
      </w:hyperlink>
      <w:r>
        <w:t>, f. 10.</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93" w:history="1">
        <w:r w:rsidRPr="00DD47EB">
          <w:rPr>
            <w:rStyle w:val="TextoNormalCaracter"/>
          </w:rPr>
          <w:t>93/2015</w:t>
        </w:r>
      </w:hyperlink>
      <w:r>
        <w:t>, ff. 1, 2, 8, 9, 16, 18, VP I, VP II, VP III.</w:t>
      </w:r>
    </w:p>
    <w:p w:rsidR="00DD47EB" w:rsidRDefault="00DD47EB" w:rsidP="00DD47EB">
      <w:pPr>
        <w:pStyle w:val="SangriaFrancesaArticulo"/>
      </w:pPr>
      <w:r w:rsidRPr="00DD47EB">
        <w:rPr>
          <w:rStyle w:val="TextoNormalNegritaCaracter"/>
        </w:rPr>
        <w:t>Disposición adicional segunda, apartado 15.</w:t>
      </w:r>
      <w:r w:rsidRPr="00DD47EB">
        <w:rPr>
          <w:rStyle w:val="TextoNormalCaracter"/>
        </w:rPr>
        <w:t>-</w:t>
      </w:r>
      <w:r>
        <w:t xml:space="preserve"> Sentencia </w:t>
      </w:r>
      <w:hyperlink w:anchor="SENTENCIA_2015_93" w:history="1">
        <w:r w:rsidRPr="00DD47EB">
          <w:rPr>
            <w:rStyle w:val="TextoNormalCaracter"/>
          </w:rPr>
          <w:t>93/2015</w:t>
        </w:r>
      </w:hyperlink>
      <w:r>
        <w:t>, VP II.</w:t>
      </w:r>
    </w:p>
    <w:p w:rsidR="00DD47EB" w:rsidRDefault="00DD47EB" w:rsidP="00DD47EB">
      <w:pPr>
        <w:pStyle w:val="SangriaFrancesaArticulo"/>
      </w:pPr>
    </w:p>
    <w:p w:rsidR="00DD47EB" w:rsidRDefault="00DD47EB" w:rsidP="00DD47EB">
      <w:pPr>
        <w:pStyle w:val="TextoNormalNegritaCursivandice"/>
      </w:pPr>
      <w:r>
        <w:t>Ley del Parlamento de Andalucía 4/2013, de 1 de octubre. Medidas para asegurar el cumplimiento de la función social de la vivienda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3" w:history="1">
        <w:r w:rsidRPr="00DD47EB">
          <w:rPr>
            <w:rStyle w:val="TextoNormalCaracter"/>
          </w:rPr>
          <w:t>93/2015</w:t>
        </w:r>
      </w:hyperlink>
      <w:r>
        <w:t>, f. 2.</w:t>
      </w:r>
    </w:p>
    <w:p w:rsidR="00DD47EB" w:rsidRDefault="00DD47EB" w:rsidP="00DD47EB">
      <w:pPr>
        <w:pStyle w:val="SangriaIzquierdaArticulo"/>
      </w:pPr>
      <w:r>
        <w:t xml:space="preserve">Auto </w:t>
      </w:r>
      <w:hyperlink w:anchor="AUTO_2015_32" w:history="1">
        <w:r w:rsidRPr="00DD47EB">
          <w:rPr>
            <w:rStyle w:val="TextoNormalCaracter"/>
          </w:rPr>
          <w:t>32/2015</w:t>
        </w:r>
      </w:hyperlink>
      <w:r>
        <w:t>, f. 3.</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Auto </w:t>
      </w:r>
      <w:hyperlink w:anchor="AUTO_2015_32" w:history="1">
        <w:r w:rsidRPr="00DD47EB">
          <w:rPr>
            <w:rStyle w:val="TextoNormalCaracter"/>
          </w:rPr>
          <w:t>32/2015</w:t>
        </w:r>
      </w:hyperlink>
      <w:r>
        <w:t>, f. 1, VP.</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93" w:history="1">
        <w:r w:rsidRPr="00DD47EB">
          <w:rPr>
            <w:rStyle w:val="TextoNormalCaracter"/>
          </w:rPr>
          <w:t>93/2015</w:t>
        </w:r>
      </w:hyperlink>
      <w:r>
        <w:t>, f. 2.</w:t>
      </w:r>
    </w:p>
    <w:p w:rsidR="00DD47EB" w:rsidRDefault="00DD47EB" w:rsidP="00DD47EB">
      <w:pPr>
        <w:pStyle w:val="SangriaIzquierdaArticulo"/>
      </w:pPr>
      <w:r>
        <w:t xml:space="preserve">Auto </w:t>
      </w:r>
      <w:hyperlink w:anchor="AUTO_2015_32" w:history="1">
        <w:r w:rsidRPr="00DD47EB">
          <w:rPr>
            <w:rStyle w:val="TextoNormalCaracter"/>
          </w:rPr>
          <w:t>32/2015</w:t>
        </w:r>
      </w:hyperlink>
      <w:r>
        <w:t>, f. 1.</w:t>
      </w:r>
    </w:p>
    <w:p w:rsidR="00DD47EB" w:rsidRDefault="00DD47EB" w:rsidP="00DD47EB">
      <w:pPr>
        <w:pStyle w:val="TextoNormal"/>
      </w:pPr>
    </w:p>
    <w:p w:rsidR="00DD47EB" w:rsidRDefault="00DD47EB" w:rsidP="00DD47EB">
      <w:pPr>
        <w:pStyle w:val="TextoNormalNegritaCentradoSubrayado"/>
        <w:suppressAutoHyphens/>
      </w:pPr>
      <w:r>
        <w:t>J.1.c)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Decreto de la Junta de Andalucía 104/2001, de 30 de abril. Regula las existencias mínimas de medicamentos y productos sanitarios en las oficinas de farmacia y almacenes farmacéuticos de distribución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p>
    <w:p w:rsidR="00DD47EB" w:rsidRDefault="00DD47EB" w:rsidP="00DD47EB">
      <w:pPr>
        <w:pStyle w:val="TextoNormalNegritaCursivandice"/>
      </w:pPr>
      <w:r>
        <w:t>Orden de 30 de diciembre de 2005. Adecuación a la legalidad de los Estatutos del Colegio Oficial de Farmacéuticos de Sevilla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p>
    <w:p w:rsidR="00DD47EB" w:rsidRDefault="00DD47EB" w:rsidP="00DD47EB">
      <w:pPr>
        <w:pStyle w:val="TextoNormalNegritaCursivandice"/>
      </w:pPr>
      <w:r>
        <w:t>Decreto de la Junta de Andalucía 104/2011, de 19 de abril. Aprueba los Estatutos de la Agencia de Medio Ambiente y Agua de Andalucía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99" w:history="1">
        <w:r w:rsidRPr="00DD47EB">
          <w:rPr>
            <w:rStyle w:val="TextoNormalCaracter"/>
          </w:rPr>
          <w:t>99/2015</w:t>
        </w:r>
      </w:hyperlink>
      <w:r>
        <w:t>, f. 3.</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Auto </w:t>
      </w:r>
      <w:hyperlink w:anchor="AUTO_2015_99" w:history="1">
        <w:r w:rsidRPr="00DD47EB">
          <w:rPr>
            <w:rStyle w:val="TextoNormalCaracter"/>
          </w:rPr>
          <w:t>99/2015</w:t>
        </w:r>
      </w:hyperlink>
      <w:r>
        <w:t>, f. 2.</w:t>
      </w:r>
    </w:p>
    <w:p w:rsidR="00DD47EB" w:rsidRDefault="00DD47EB" w:rsidP="00DD47EB">
      <w:pPr>
        <w:pStyle w:val="TextoNormal"/>
      </w:pPr>
    </w:p>
    <w:p w:rsidR="00DD47EB" w:rsidRDefault="00DD47EB" w:rsidP="00DD47EB">
      <w:pPr>
        <w:pStyle w:val="TextoNormalNegritaCentradoSubrayado"/>
        <w:suppressAutoHyphens/>
      </w:pPr>
      <w:r>
        <w:t>J.1.d) Normas parlamentarias autonómicas</w:t>
      </w:r>
    </w:p>
    <w:p w:rsidR="00DD47EB" w:rsidRDefault="00DD47EB" w:rsidP="00DD47EB">
      <w:pPr>
        <w:pStyle w:val="TextoNormalNegritaCentradoSubrayado"/>
      </w:pPr>
    </w:p>
    <w:p w:rsidR="00DD47EB" w:rsidRDefault="00DD47EB" w:rsidP="00DD47EB">
      <w:pPr>
        <w:pStyle w:val="TextoNormalNegritaCursivandice"/>
      </w:pPr>
      <w:r>
        <w:t>Reglamento del Parlamento de Andalucía, de 29 de septiembre de 2005</w:t>
      </w:r>
    </w:p>
    <w:p w:rsidR="00DD47EB" w:rsidRDefault="00DD47EB" w:rsidP="00DD47EB">
      <w:pPr>
        <w:pStyle w:val="SangriaFrancesaArticulo"/>
      </w:pPr>
      <w:r w:rsidRPr="00DD47EB">
        <w:rPr>
          <w:rStyle w:val="TextoNormalNegritaCaracter"/>
        </w:rPr>
        <w:t>Artículo 98.</w:t>
      </w:r>
      <w:r w:rsidRPr="00DD47EB">
        <w:rPr>
          <w:rStyle w:val="TextoNormalCaracter"/>
        </w:rPr>
        <w:t>-</w:t>
      </w:r>
      <w:r>
        <w:t xml:space="preserve"> Sentencia </w:t>
      </w:r>
      <w:hyperlink w:anchor="SENTENCIA_2015_93" w:history="1">
        <w:r w:rsidRPr="00DD47EB">
          <w:rPr>
            <w:rStyle w:val="TextoNormalCaracter"/>
          </w:rPr>
          <w:t>93/2015</w:t>
        </w:r>
      </w:hyperlink>
      <w:r>
        <w:t>, f. 9.</w:t>
      </w:r>
    </w:p>
    <w:p w:rsidR="00DD47EB" w:rsidRDefault="00DD47EB" w:rsidP="00DD47EB">
      <w:pPr>
        <w:pStyle w:val="SangriaFrancesaArticulo"/>
      </w:pPr>
      <w:r w:rsidRPr="00DD47EB">
        <w:rPr>
          <w:rStyle w:val="TextoNormalNegritaCaracter"/>
        </w:rPr>
        <w:t>Artículo 112.</w:t>
      </w:r>
      <w:r w:rsidRPr="00DD47EB">
        <w:rPr>
          <w:rStyle w:val="TextoNormalCaracter"/>
        </w:rPr>
        <w:t>-</w:t>
      </w:r>
      <w:r>
        <w:t xml:space="preserve"> Sentencia </w:t>
      </w:r>
      <w:hyperlink w:anchor="SENTENCIA_2015_93" w:history="1">
        <w:r w:rsidRPr="00DD47EB">
          <w:rPr>
            <w:rStyle w:val="TextoNormalCaracter"/>
          </w:rPr>
          <w:t>93/2015</w:t>
        </w:r>
      </w:hyperlink>
      <w:r>
        <w:t>, f. 6.</w:t>
      </w:r>
    </w:p>
    <w:p w:rsidR="00DD47EB" w:rsidRDefault="00DD47EB" w:rsidP="00DD47EB">
      <w:pPr>
        <w:pStyle w:val="SangriaFrancesaArticulo"/>
      </w:pPr>
      <w:r w:rsidRPr="00DD47EB">
        <w:rPr>
          <w:rStyle w:val="TextoNormalNegritaCaracter"/>
        </w:rPr>
        <w:t>Artículo 134.</w:t>
      </w:r>
      <w:r w:rsidRPr="00DD47EB">
        <w:rPr>
          <w:rStyle w:val="TextoNormalCaracter"/>
        </w:rPr>
        <w:t>-</w:t>
      </w:r>
      <w:r>
        <w:t xml:space="preserve"> Sentencia </w:t>
      </w:r>
      <w:hyperlink w:anchor="SENTENCIA_2015_93" w:history="1">
        <w:r w:rsidRPr="00DD47EB">
          <w:rPr>
            <w:rStyle w:val="TextoNormalCaracter"/>
          </w:rPr>
          <w:t>93/2015</w:t>
        </w:r>
      </w:hyperlink>
      <w:r>
        <w:t>, f. 9.</w:t>
      </w:r>
    </w:p>
    <w:p w:rsidR="00DD47EB" w:rsidRDefault="00DD47EB" w:rsidP="00DD47EB">
      <w:pPr>
        <w:pStyle w:val="SangriaFrancesaArticulo"/>
      </w:pPr>
      <w:r w:rsidRPr="00DD47EB">
        <w:rPr>
          <w:rStyle w:val="TextoNormalNegritaCaracter"/>
        </w:rPr>
        <w:t>Artículo 136.</w:t>
      </w:r>
      <w:r w:rsidRPr="00DD47EB">
        <w:rPr>
          <w:rStyle w:val="TextoNormalCaracter"/>
        </w:rPr>
        <w:t>-</w:t>
      </w:r>
      <w:r>
        <w:t xml:space="preserve"> Sentencia </w:t>
      </w:r>
      <w:hyperlink w:anchor="SENTENCIA_2015_93" w:history="1">
        <w:r w:rsidRPr="00DD47EB">
          <w:rPr>
            <w:rStyle w:val="TextoNormalCaracter"/>
          </w:rPr>
          <w:t>93/2015</w:t>
        </w:r>
      </w:hyperlink>
      <w:r>
        <w:t>, f. 9.</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J.2) Aragón</w:t>
      </w:r>
    </w:p>
    <w:p w:rsidR="00DD47EB" w:rsidRDefault="00DD47EB" w:rsidP="00DD47EB">
      <w:pPr>
        <w:pStyle w:val="TextoNormal"/>
      </w:pPr>
    </w:p>
    <w:p w:rsidR="00DD47EB" w:rsidRDefault="00DD47EB" w:rsidP="00DD47EB">
      <w:pPr>
        <w:pStyle w:val="TextoNormalNegritaCentradoSubrayado"/>
        <w:suppressAutoHyphens/>
      </w:pPr>
      <w:r>
        <w:t>J.2.a) Estatuto de Autonomía</w:t>
      </w:r>
    </w:p>
    <w:p w:rsidR="00DD47EB" w:rsidRDefault="00DD47EB" w:rsidP="00DD47EB">
      <w:pPr>
        <w:pStyle w:val="TextoNormalNegritaCentradoSubrayado"/>
      </w:pPr>
    </w:p>
    <w:p w:rsidR="00DD47EB" w:rsidRDefault="00DD47EB" w:rsidP="00DD47EB">
      <w:pPr>
        <w:pStyle w:val="TextoNormalNegritaCursivandice"/>
      </w:pPr>
      <w:r>
        <w:t>Ley Orgánica 5/2007, de 20 de abril. Reforma del Estatuto de Autonomía de Aragón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 w:history="1">
        <w:r w:rsidRPr="00DD47EB">
          <w:rPr>
            <w:rStyle w:val="TextoNormalCaracter"/>
          </w:rPr>
          <w:t>13/2015</w:t>
        </w:r>
      </w:hyperlink>
      <w:r>
        <w:t>, f. 5.</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Sentencia </w:t>
      </w:r>
      <w:hyperlink w:anchor="SENTENCIA_2015_13" w:history="1">
        <w:r w:rsidRPr="00DD47EB">
          <w:rPr>
            <w:rStyle w:val="TextoNormalCaracter"/>
          </w:rPr>
          <w:t>13/2015</w:t>
        </w:r>
      </w:hyperlink>
      <w:r>
        <w:t>, f. 1.</w:t>
      </w:r>
    </w:p>
    <w:p w:rsidR="00DD47EB" w:rsidRDefault="00DD47EB" w:rsidP="00DD47EB">
      <w:pPr>
        <w:pStyle w:val="SangriaFrancesaArticulo"/>
      </w:pPr>
      <w:r w:rsidRPr="00DD47EB">
        <w:rPr>
          <w:rStyle w:val="TextoNormalNegritaCaracter"/>
        </w:rPr>
        <w:t>Artículo 19.</w:t>
      </w:r>
      <w:r w:rsidRPr="00DD47EB">
        <w:rPr>
          <w:rStyle w:val="TextoNormalCaracter"/>
        </w:rPr>
        <w:t>-</w:t>
      </w:r>
      <w:r>
        <w:t xml:space="preserve"> Sentencia </w:t>
      </w:r>
      <w:hyperlink w:anchor="SENTENCIA_2015_13" w:history="1">
        <w:r w:rsidRPr="00DD47EB">
          <w:rPr>
            <w:rStyle w:val="TextoNormalCaracter"/>
          </w:rPr>
          <w:t>13/2015</w:t>
        </w:r>
      </w:hyperlink>
      <w:r>
        <w:t>, ff. 1, 5.</w:t>
      </w:r>
    </w:p>
    <w:p w:rsidR="00DD47EB" w:rsidRDefault="00DD47EB" w:rsidP="00DD47EB">
      <w:pPr>
        <w:pStyle w:val="SangriaFrancesaArticulo"/>
      </w:pPr>
      <w:r w:rsidRPr="00DD47EB">
        <w:rPr>
          <w:rStyle w:val="TextoNormalNegritaCaracter"/>
        </w:rPr>
        <w:t>Artículo 19.3.</w:t>
      </w:r>
      <w:r w:rsidRPr="00DD47EB">
        <w:rPr>
          <w:rStyle w:val="TextoNormalCaracter"/>
        </w:rPr>
        <w:t>-</w:t>
      </w:r>
      <w:r>
        <w:t xml:space="preserve"> Sentencia </w:t>
      </w:r>
      <w:hyperlink w:anchor="SENTENCIA_2015_13" w:history="1">
        <w:r w:rsidRPr="00DD47EB">
          <w:rPr>
            <w:rStyle w:val="TextoNormalCaracter"/>
          </w:rPr>
          <w:t>13/2015</w:t>
        </w:r>
      </w:hyperlink>
      <w:r>
        <w:t>, f. 5.</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13" w:history="1">
        <w:r w:rsidRPr="00DD47EB">
          <w:rPr>
            <w:rStyle w:val="TextoNormalCaracter"/>
          </w:rPr>
          <w:t>13/2015</w:t>
        </w:r>
      </w:hyperlink>
      <w:r>
        <w:t>, f. 1.</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13" w:history="1">
        <w:r w:rsidRPr="00DD47EB">
          <w:rPr>
            <w:rStyle w:val="TextoNormalCaracter"/>
          </w:rPr>
          <w:t>13/2015</w:t>
        </w:r>
      </w:hyperlink>
      <w:r>
        <w:t>, f. 1.</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13" w:history="1">
        <w:r w:rsidRPr="00DD47EB">
          <w:rPr>
            <w:rStyle w:val="TextoNormalCaracter"/>
          </w:rPr>
          <w:t>13/2015</w:t>
        </w:r>
      </w:hyperlink>
      <w:r>
        <w:t>, f. 1.</w:t>
      </w:r>
    </w:p>
    <w:p w:rsidR="00DD47EB" w:rsidRDefault="00DD47EB" w:rsidP="00DD47EB">
      <w:pPr>
        <w:pStyle w:val="SangriaFrancesaArticulo"/>
      </w:pPr>
      <w:r w:rsidRPr="00DD47EB">
        <w:rPr>
          <w:rStyle w:val="TextoNormalNegritaCaracter"/>
        </w:rPr>
        <w:t>Artículo 71.8.</w:t>
      </w:r>
      <w:r w:rsidRPr="00DD47EB">
        <w:rPr>
          <w:rStyle w:val="TextoNormalCaracter"/>
        </w:rPr>
        <w:t>-</w:t>
      </w:r>
      <w:r>
        <w:t xml:space="preserve"> Sentencia </w:t>
      </w:r>
      <w:hyperlink w:anchor="SENTENCIA_2015_13" w:history="1">
        <w:r w:rsidRPr="00DD47EB">
          <w:rPr>
            <w:rStyle w:val="TextoNormalCaracter"/>
          </w:rPr>
          <w:t>13/2015</w:t>
        </w:r>
      </w:hyperlink>
      <w:r>
        <w:t>, f. 1.</w:t>
      </w:r>
    </w:p>
    <w:p w:rsidR="00DD47EB" w:rsidRDefault="00DD47EB" w:rsidP="00DD47EB">
      <w:pPr>
        <w:pStyle w:val="SangriaFrancesaArticulo"/>
      </w:pPr>
      <w:r w:rsidRPr="00DD47EB">
        <w:rPr>
          <w:rStyle w:val="TextoNormalNegritaCaracter"/>
        </w:rPr>
        <w:t>Artículo 72.</w:t>
      </w:r>
      <w:r w:rsidRPr="00DD47EB">
        <w:rPr>
          <w:rStyle w:val="TextoNormalCaracter"/>
        </w:rPr>
        <w:t>-</w:t>
      </w:r>
      <w:r>
        <w:t xml:space="preserve"> Sentencia </w:t>
      </w:r>
      <w:hyperlink w:anchor="SENTENCIA_2015_13" w:history="1">
        <w:r w:rsidRPr="00DD47EB">
          <w:rPr>
            <w:rStyle w:val="TextoNormalCaracter"/>
          </w:rPr>
          <w:t>13/2015</w:t>
        </w:r>
      </w:hyperlink>
      <w:r>
        <w:t>, f. 1.</w:t>
      </w:r>
    </w:p>
    <w:p w:rsidR="00DD47EB" w:rsidRDefault="00DD47EB" w:rsidP="00DD47EB">
      <w:pPr>
        <w:pStyle w:val="SangriaFrancesaArticulo"/>
      </w:pPr>
      <w:r w:rsidRPr="00DD47EB">
        <w:rPr>
          <w:rStyle w:val="TextoNormalNegritaCaracter"/>
        </w:rPr>
        <w:t>Artículo 72.2.</w:t>
      </w:r>
      <w:r w:rsidRPr="00DD47EB">
        <w:rPr>
          <w:rStyle w:val="TextoNormalCaracter"/>
        </w:rPr>
        <w:t>-</w:t>
      </w:r>
      <w:r>
        <w:t xml:space="preserve"> Sentencia </w:t>
      </w:r>
      <w:hyperlink w:anchor="SENTENCIA_2015_13" w:history="1">
        <w:r w:rsidRPr="00DD47EB">
          <w:rPr>
            <w:rStyle w:val="TextoNormalCaracter"/>
          </w:rPr>
          <w:t>13/2015</w:t>
        </w:r>
      </w:hyperlink>
      <w:r>
        <w:t>, f. 5.</w:t>
      </w:r>
    </w:p>
    <w:p w:rsidR="00DD47EB" w:rsidRDefault="00DD47EB" w:rsidP="00DD47EB">
      <w:pPr>
        <w:pStyle w:val="SangriaFrancesaArticulo"/>
      </w:pPr>
      <w:r w:rsidRPr="00DD47EB">
        <w:rPr>
          <w:rStyle w:val="TextoNormalNegritaCaracter"/>
        </w:rPr>
        <w:t>Artículo 72.3.</w:t>
      </w:r>
      <w:r w:rsidRPr="00DD47EB">
        <w:rPr>
          <w:rStyle w:val="TextoNormalCaracter"/>
        </w:rPr>
        <w:t>-</w:t>
      </w:r>
      <w:r>
        <w:t xml:space="preserve"> Sentencia </w:t>
      </w:r>
      <w:hyperlink w:anchor="SENTENCIA_2015_13" w:history="1">
        <w:r w:rsidRPr="00DD47EB">
          <w:rPr>
            <w:rStyle w:val="TextoNormalCaracter"/>
          </w:rPr>
          <w:t>13/2015</w:t>
        </w:r>
      </w:hyperlink>
      <w:r>
        <w:t>, ff. 2, 5, 6.</w:t>
      </w:r>
    </w:p>
    <w:p w:rsidR="00DD47EB" w:rsidRDefault="00DD47EB" w:rsidP="00DD47EB">
      <w:pPr>
        <w:pStyle w:val="SangriaFrancesaArticulo"/>
      </w:pPr>
      <w:r w:rsidRPr="00DD47EB">
        <w:rPr>
          <w:rStyle w:val="TextoNormalNegritaCaracter"/>
        </w:rPr>
        <w:t>Artículo 75.3.</w:t>
      </w:r>
      <w:r w:rsidRPr="00DD47EB">
        <w:rPr>
          <w:rStyle w:val="TextoNormalCaracter"/>
        </w:rPr>
        <w:t>-</w:t>
      </w:r>
      <w:r>
        <w:t xml:space="preserve"> Sentencia </w:t>
      </w:r>
      <w:hyperlink w:anchor="SENTENCIA_2015_13" w:history="1">
        <w:r w:rsidRPr="00DD47EB">
          <w:rPr>
            <w:rStyle w:val="TextoNormalCaracter"/>
          </w:rPr>
          <w:t>13/2015</w:t>
        </w:r>
      </w:hyperlink>
      <w:r>
        <w:t>, f. 1.</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J.3) Asturias</w:t>
      </w:r>
    </w:p>
    <w:p w:rsidR="00DD47EB" w:rsidRDefault="00DD47EB" w:rsidP="00DD47EB">
      <w:pPr>
        <w:pStyle w:val="TextoNormal"/>
      </w:pPr>
    </w:p>
    <w:p w:rsidR="00DD47EB" w:rsidRDefault="00DD47EB" w:rsidP="00DD47EB">
      <w:pPr>
        <w:pStyle w:val="TextoNormalNegritaCentradoSubrayado"/>
        <w:suppressAutoHyphens/>
      </w:pPr>
      <w:r>
        <w:t>J.3.a) Estatuto de Autonomía</w:t>
      </w:r>
    </w:p>
    <w:p w:rsidR="00DD47EB" w:rsidRDefault="00DD47EB" w:rsidP="00DD47EB">
      <w:pPr>
        <w:pStyle w:val="TextoNormalNegritaCentradoSubrayado"/>
      </w:pPr>
    </w:p>
    <w:p w:rsidR="00DD47EB" w:rsidRDefault="00DD47EB" w:rsidP="00DD47EB">
      <w:pPr>
        <w:pStyle w:val="TextoNormalNegritaCursivandice"/>
      </w:pPr>
      <w:r>
        <w:t>Ley Orgánica 7/1981, de 30 de diciembre. Estatuto de Autonomía de Asturias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8" w:history="1">
        <w:r w:rsidRPr="00DD47EB">
          <w:rPr>
            <w:rStyle w:val="TextoNormalCaracter"/>
          </w:rPr>
          <w:t>108/2015</w:t>
        </w:r>
      </w:hyperlink>
      <w:r>
        <w:t>, f. 3.</w:t>
      </w:r>
    </w:p>
    <w:p w:rsidR="00DD47EB" w:rsidRDefault="00DD47EB" w:rsidP="00DD47EB">
      <w:pPr>
        <w:pStyle w:val="SangriaFrancesaArticulo"/>
      </w:pPr>
      <w:r w:rsidRPr="00DD47EB">
        <w:rPr>
          <w:rStyle w:val="TextoNormalNegritaCaracter"/>
        </w:rPr>
        <w:t>Artículo 47.3.</w:t>
      </w:r>
      <w:r w:rsidRPr="00DD47EB">
        <w:rPr>
          <w:rStyle w:val="TextoNormalCaracter"/>
        </w:rPr>
        <w:t>-</w:t>
      </w:r>
      <w:r>
        <w:t xml:space="preserve"> Sentencia </w:t>
      </w:r>
      <w:hyperlink w:anchor="SENTENCIA_2015_108" w:history="1">
        <w:r w:rsidRPr="00DD47EB">
          <w:rPr>
            <w:rStyle w:val="TextoNormalCaracter"/>
          </w:rPr>
          <w:t>108/2015</w:t>
        </w:r>
      </w:hyperlink>
      <w:r>
        <w:t>, f. 3.</w:t>
      </w:r>
    </w:p>
    <w:p w:rsidR="00DD47EB" w:rsidRDefault="00DD47EB" w:rsidP="00DD47EB">
      <w:pPr>
        <w:pStyle w:val="TextoNormal"/>
      </w:pPr>
    </w:p>
    <w:p w:rsidR="00DD47EB" w:rsidRDefault="00DD47EB" w:rsidP="00DD47EB">
      <w:pPr>
        <w:pStyle w:val="TextoNormalNegritaCentradoSubrayado"/>
        <w:suppressAutoHyphens/>
      </w:pPr>
      <w:r>
        <w:t>J.3.b)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 la Junta General del Principado de Asturias 3/2012, de 28 de diciembre.  Presupuestos generales para 2013</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6" w:history="1">
        <w:r w:rsidRPr="00DD47EB">
          <w:rPr>
            <w:rStyle w:val="TextoNormalCaracter"/>
          </w:rPr>
          <w:t>26/2015</w:t>
        </w:r>
      </w:hyperlink>
      <w:r>
        <w:t xml:space="preserve">, VP; </w:t>
      </w:r>
      <w:hyperlink w:anchor="SENTENCIA_2015_102" w:history="1">
        <w:r w:rsidRPr="00DD47EB">
          <w:rPr>
            <w:rStyle w:val="TextoNormalCaracter"/>
          </w:rPr>
          <w:t>102/2015</w:t>
        </w:r>
      </w:hyperlink>
      <w:r>
        <w:t>, f. 3.</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Sentencias </w:t>
      </w:r>
      <w:hyperlink w:anchor="SENTENCIA_2015_102" w:history="1">
        <w:r w:rsidRPr="00DD47EB">
          <w:rPr>
            <w:rStyle w:val="TextoNormalCaracter"/>
          </w:rPr>
          <w:t>102/2015</w:t>
        </w:r>
      </w:hyperlink>
      <w:r>
        <w:t xml:space="preserve">, ff. 2, 3, 6; </w:t>
      </w:r>
      <w:hyperlink w:anchor="SENTENCIA_2015_108" w:history="1">
        <w:r w:rsidRPr="00DD47EB">
          <w:rPr>
            <w:rStyle w:val="TextoNormalCaracter"/>
          </w:rPr>
          <w:t>108/2015</w:t>
        </w:r>
      </w:hyperlink>
      <w:r>
        <w:t>, ff. 1, 2, 5.</w:t>
      </w:r>
    </w:p>
    <w:p w:rsidR="00DD47EB" w:rsidRDefault="00DD47EB" w:rsidP="00DD47EB">
      <w:pPr>
        <w:pStyle w:val="SangriaFrancesaArticulo"/>
      </w:pPr>
      <w:r w:rsidRPr="00DD47EB">
        <w:rPr>
          <w:rStyle w:val="TextoNormalNegritaCaracter"/>
        </w:rPr>
        <w:t>Artículo 41.2.</w:t>
      </w:r>
      <w:r w:rsidRPr="00DD47EB">
        <w:rPr>
          <w:rStyle w:val="TextoNormalCaracter"/>
        </w:rPr>
        <w:t>-</w:t>
      </w:r>
      <w:r>
        <w:t xml:space="preserve"> Sentencia </w:t>
      </w:r>
      <w:hyperlink w:anchor="SENTENCIA_2015_108" w:history="1">
        <w:r w:rsidRPr="00DD47EB">
          <w:rPr>
            <w:rStyle w:val="TextoNormalCaracter"/>
          </w:rPr>
          <w:t>108/2015</w:t>
        </w:r>
      </w:hyperlink>
      <w:r>
        <w:t>, f. 4.</w:t>
      </w:r>
    </w:p>
    <w:p w:rsidR="00DD47EB" w:rsidRDefault="00DD47EB" w:rsidP="00DD47EB">
      <w:pPr>
        <w:pStyle w:val="SangriaFrancesaArticulo"/>
      </w:pPr>
      <w:r w:rsidRPr="00DD47EB">
        <w:rPr>
          <w:rStyle w:val="TextoNormalNegritaCaracter"/>
        </w:rPr>
        <w:t>Artículo 41.4.</w:t>
      </w:r>
      <w:r w:rsidRPr="00DD47EB">
        <w:rPr>
          <w:rStyle w:val="TextoNormalCaracter"/>
        </w:rPr>
        <w:t>-</w:t>
      </w:r>
      <w:r>
        <w:t xml:space="preserve"> Sentencia </w:t>
      </w:r>
      <w:hyperlink w:anchor="SENTENCIA_2015_108" w:history="1">
        <w:r w:rsidRPr="00DD47EB">
          <w:rPr>
            <w:rStyle w:val="TextoNormalCaracter"/>
          </w:rPr>
          <w:t>108/2015</w:t>
        </w:r>
      </w:hyperlink>
      <w:r>
        <w:t>, f. 4.</w:t>
      </w:r>
    </w:p>
    <w:p w:rsidR="00DD47EB" w:rsidRDefault="00DD47EB" w:rsidP="00DD47EB">
      <w:pPr>
        <w:pStyle w:val="SangriaFrancesaArticulo"/>
      </w:pPr>
      <w:r w:rsidRPr="00DD47EB">
        <w:rPr>
          <w:rStyle w:val="TextoNormalNegritaCaracter"/>
        </w:rPr>
        <w:t>Artículo 41.5.</w:t>
      </w:r>
      <w:r w:rsidRPr="00DD47EB">
        <w:rPr>
          <w:rStyle w:val="TextoNormalCaracter"/>
        </w:rPr>
        <w:t>-</w:t>
      </w:r>
      <w:r>
        <w:t xml:space="preserve"> Sentencia </w:t>
      </w:r>
      <w:hyperlink w:anchor="SENTENCIA_2015_108" w:history="1">
        <w:r w:rsidRPr="00DD47EB">
          <w:rPr>
            <w:rStyle w:val="TextoNormalCaracter"/>
          </w:rPr>
          <w:t>108/2015</w:t>
        </w:r>
      </w:hyperlink>
      <w:r>
        <w:t>, f. 4.</w:t>
      </w:r>
    </w:p>
    <w:p w:rsidR="00DD47EB" w:rsidRDefault="00DD47EB" w:rsidP="00DD47EB">
      <w:pPr>
        <w:pStyle w:val="SangriaFrancesaArticulo"/>
      </w:pPr>
      <w:r w:rsidRPr="00DD47EB">
        <w:rPr>
          <w:rStyle w:val="TextoNormalNegritaCaracter"/>
        </w:rPr>
        <w:t>Artículo 41.6.</w:t>
      </w:r>
      <w:r w:rsidRPr="00DD47EB">
        <w:rPr>
          <w:rStyle w:val="TextoNormalCaracter"/>
        </w:rPr>
        <w:t>-</w:t>
      </w:r>
      <w:r>
        <w:t xml:space="preserve"> Sentencia </w:t>
      </w:r>
      <w:hyperlink w:anchor="SENTENCIA_2015_108" w:history="1">
        <w:r w:rsidRPr="00DD47EB">
          <w:rPr>
            <w:rStyle w:val="TextoNormalCaracter"/>
          </w:rPr>
          <w:t>108/2015</w:t>
        </w:r>
      </w:hyperlink>
      <w:r>
        <w:t>, f. 4.</w:t>
      </w:r>
    </w:p>
    <w:p w:rsidR="00DD47EB" w:rsidRDefault="00DD47EB" w:rsidP="00DD47EB">
      <w:pPr>
        <w:pStyle w:val="SangriaFrancesaArticulo"/>
      </w:pPr>
      <w:r w:rsidRPr="00DD47EB">
        <w:rPr>
          <w:rStyle w:val="TextoNormalNegritaCaracter"/>
        </w:rPr>
        <w:t>Disposición final séptima.</w:t>
      </w:r>
      <w:r w:rsidRPr="00DD47EB">
        <w:rPr>
          <w:rStyle w:val="TextoNormalCaracter"/>
        </w:rPr>
        <w:t>-</w:t>
      </w:r>
      <w:r>
        <w:t xml:space="preserve"> Sentencias </w:t>
      </w:r>
      <w:hyperlink w:anchor="SENTENCIA_2015_102" w:history="1">
        <w:r w:rsidRPr="00DD47EB">
          <w:rPr>
            <w:rStyle w:val="TextoNormalCaracter"/>
          </w:rPr>
          <w:t>102/2015</w:t>
        </w:r>
      </w:hyperlink>
      <w:r>
        <w:t xml:space="preserve">, f. 3; </w:t>
      </w:r>
      <w:hyperlink w:anchor="SENTENCIA_2015_108" w:history="1">
        <w:r w:rsidRPr="00DD47EB">
          <w:rPr>
            <w:rStyle w:val="TextoNormalCaracter"/>
          </w:rPr>
          <w:t>108/2015</w:t>
        </w:r>
      </w:hyperlink>
      <w:r>
        <w:t>, ff. 1, 5.</w:t>
      </w:r>
    </w:p>
    <w:p w:rsidR="00DD47EB" w:rsidRDefault="00DD47EB" w:rsidP="00DD47EB">
      <w:pPr>
        <w:pStyle w:val="SangriaFrancesaArticulo"/>
      </w:pPr>
    </w:p>
    <w:p w:rsidR="00DD47EB" w:rsidRDefault="00DD47EB" w:rsidP="00DD47EB">
      <w:pPr>
        <w:pStyle w:val="TextoNormalNegritaCursivandice"/>
      </w:pPr>
      <w:r>
        <w:t>Decreto Legislativo del Consejo de Gobierno del Principado de Asturias 1/2014, de 23 de julio. Aprueba el texto refundido de las disposiciones legales del Principado de Asturias en materia de tributos propios</w:t>
      </w:r>
    </w:p>
    <w:p w:rsidR="00DD47EB" w:rsidRDefault="00DD47EB" w:rsidP="00DD47EB">
      <w:pPr>
        <w:pStyle w:val="SangriaFrancesaArticulo"/>
      </w:pPr>
      <w:r w:rsidRPr="00DD47EB">
        <w:rPr>
          <w:rStyle w:val="TextoNormalNegritaCaracter"/>
        </w:rPr>
        <w:t>Capítulo V.</w:t>
      </w:r>
      <w:r w:rsidRPr="00DD47EB">
        <w:rPr>
          <w:rStyle w:val="TextoNormalCaracter"/>
        </w:rPr>
        <w:t>-</w:t>
      </w:r>
      <w:r>
        <w:t xml:space="preserve"> Sentencia </w:t>
      </w:r>
      <w:hyperlink w:anchor="SENTENCIA_2015_102" w:history="1">
        <w:r w:rsidRPr="00DD47EB">
          <w:rPr>
            <w:rStyle w:val="TextoNormalCaracter"/>
          </w:rPr>
          <w:t>102/2015</w:t>
        </w:r>
      </w:hyperlink>
      <w:r>
        <w:t>, f. 2.</w:t>
      </w:r>
    </w:p>
    <w:p w:rsidR="00DD47EB" w:rsidRDefault="00DD47EB" w:rsidP="00DD47EB">
      <w:pPr>
        <w:pStyle w:val="SangriaFrancesaArticulo"/>
      </w:pPr>
      <w:r w:rsidRPr="00DD47EB">
        <w:rPr>
          <w:rStyle w:val="TextoNormalNegritaCaracter"/>
        </w:rPr>
        <w:t>Artículos 52 a 68.</w:t>
      </w:r>
      <w:r w:rsidRPr="00DD47EB">
        <w:rPr>
          <w:rStyle w:val="TextoNormalCaracter"/>
        </w:rPr>
        <w:t>-</w:t>
      </w:r>
      <w:r>
        <w:t xml:space="preserve"> Sentencia </w:t>
      </w:r>
      <w:hyperlink w:anchor="SENTENCIA_2015_108" w:history="1">
        <w:r w:rsidRPr="00DD47EB">
          <w:rPr>
            <w:rStyle w:val="TextoNormalCaracter"/>
          </w:rPr>
          <w:t>108/2015</w:t>
        </w:r>
      </w:hyperlink>
      <w:r>
        <w:t>, f. 2.</w:t>
      </w:r>
    </w:p>
    <w:p w:rsidR="00DD47EB" w:rsidRDefault="00DD47EB" w:rsidP="00DD47EB">
      <w:pPr>
        <w:pStyle w:val="SangriaFrancesaArticulo"/>
      </w:pPr>
      <w:r w:rsidRPr="00DD47EB">
        <w:rPr>
          <w:rStyle w:val="TextoNormalNegritaCaracter"/>
        </w:rPr>
        <w:t>Disposición derogatoria.</w:t>
      </w:r>
      <w:r w:rsidRPr="00DD47EB">
        <w:rPr>
          <w:rStyle w:val="TextoNormalCaracter"/>
        </w:rPr>
        <w:t>-</w:t>
      </w:r>
      <w:r>
        <w:t xml:space="preserve"> Sentencia </w:t>
      </w:r>
      <w:hyperlink w:anchor="SENTENCIA_2015_108" w:history="1">
        <w:r w:rsidRPr="00DD47EB">
          <w:rPr>
            <w:rStyle w:val="TextoNormalCaracter"/>
          </w:rPr>
          <w:t>108/2015</w:t>
        </w:r>
      </w:hyperlink>
      <w:r>
        <w:t>, f. 2.</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J.4) Baleares</w:t>
      </w:r>
    </w:p>
    <w:p w:rsidR="00DD47EB" w:rsidRDefault="00DD47EB" w:rsidP="00DD47EB">
      <w:pPr>
        <w:pStyle w:val="TextoNormal"/>
      </w:pPr>
    </w:p>
    <w:p w:rsidR="00DD47EB" w:rsidRDefault="00DD47EB" w:rsidP="00DD47EB">
      <w:pPr>
        <w:pStyle w:val="TextoNormalNegritaCentradoSubrayado"/>
        <w:suppressAutoHyphens/>
      </w:pPr>
      <w:r>
        <w:t>J.4.a) Estatuto de Autonomía</w:t>
      </w:r>
    </w:p>
    <w:p w:rsidR="00DD47EB" w:rsidRDefault="00DD47EB" w:rsidP="00DD47EB">
      <w:pPr>
        <w:pStyle w:val="TextoNormalNegritaCentradoSubrayado"/>
      </w:pPr>
    </w:p>
    <w:p w:rsidR="00DD47EB" w:rsidRDefault="00DD47EB" w:rsidP="00DD47EB">
      <w:pPr>
        <w:pStyle w:val="TextoNormalNegritaCursivandice"/>
      </w:pPr>
      <w:r>
        <w:t>Ley Orgánica 1/2007, de 28 de febrero. Reforma del Estatuto de Autonomía de las Illes Balears</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Autos </w:t>
      </w:r>
      <w:hyperlink w:anchor="AUTO_2015_70" w:history="1">
        <w:r w:rsidRPr="00DD47EB">
          <w:rPr>
            <w:rStyle w:val="TextoNormalCaracter"/>
          </w:rPr>
          <w:t>70/2015</w:t>
        </w:r>
      </w:hyperlink>
      <w:r>
        <w:t xml:space="preserve">, f. 3; </w:t>
      </w:r>
      <w:hyperlink w:anchor="AUTO_2015_102" w:history="1">
        <w:r w:rsidRPr="00DD47EB">
          <w:rPr>
            <w:rStyle w:val="TextoNormalCaracter"/>
          </w:rPr>
          <w:t>102/2015</w:t>
        </w:r>
      </w:hyperlink>
      <w:r>
        <w:t>, f. 3.</w:t>
      </w:r>
    </w:p>
    <w:p w:rsidR="00DD47EB" w:rsidRDefault="00DD47EB" w:rsidP="00DD47EB">
      <w:pPr>
        <w:pStyle w:val="SangriaFrancesaArticulo"/>
      </w:pPr>
      <w:r w:rsidRPr="00DD47EB">
        <w:rPr>
          <w:rStyle w:val="TextoNormalNegritaCaracter"/>
        </w:rPr>
        <w:t>Artículo 49.</w:t>
      </w:r>
      <w:r w:rsidRPr="00DD47EB">
        <w:rPr>
          <w:rStyle w:val="TextoNormalCaracter"/>
        </w:rPr>
        <w:t>-</w:t>
      </w:r>
      <w:r>
        <w:t xml:space="preserve"> Auto </w:t>
      </w:r>
      <w:hyperlink w:anchor="AUTO_2015_101" w:history="1">
        <w:r w:rsidRPr="00DD47EB">
          <w:rPr>
            <w:rStyle w:val="TextoNormalCaracter"/>
          </w:rPr>
          <w:t>101/2015</w:t>
        </w:r>
      </w:hyperlink>
      <w:r>
        <w:t>, f. 2.</w:t>
      </w:r>
    </w:p>
    <w:p w:rsidR="00DD47EB" w:rsidRDefault="00DD47EB" w:rsidP="00DD47EB">
      <w:pPr>
        <w:pStyle w:val="SangriaFrancesaArticulo"/>
      </w:pPr>
      <w:r w:rsidRPr="00DD47EB">
        <w:rPr>
          <w:rStyle w:val="TextoNormalNegritaCaracter"/>
        </w:rPr>
        <w:t>Artículo 49.1.</w:t>
      </w:r>
      <w:r w:rsidRPr="00DD47EB">
        <w:rPr>
          <w:rStyle w:val="TextoNormalCaracter"/>
        </w:rPr>
        <w:t>-</w:t>
      </w:r>
      <w:r>
        <w:t xml:space="preserve"> Auto </w:t>
      </w:r>
      <w:hyperlink w:anchor="AUTO_2015_101" w:history="1">
        <w:r w:rsidRPr="00DD47EB">
          <w:rPr>
            <w:rStyle w:val="TextoNormalCaracter"/>
          </w:rPr>
          <w:t>101/2015</w:t>
        </w:r>
      </w:hyperlink>
      <w:r>
        <w:t>, ff. 2, 4, 5.</w:t>
      </w:r>
    </w:p>
    <w:p w:rsidR="00DD47EB" w:rsidRDefault="00DD47EB" w:rsidP="00DD47EB">
      <w:pPr>
        <w:pStyle w:val="TextoNormal"/>
      </w:pPr>
    </w:p>
    <w:p w:rsidR="00DD47EB" w:rsidRDefault="00DD47EB" w:rsidP="00DD47EB">
      <w:pPr>
        <w:pStyle w:val="TextoNormalNegritaCentradoSubrayado"/>
        <w:suppressAutoHyphens/>
      </w:pPr>
      <w:r>
        <w:t>J.4.b)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del Parlamento de las Illes Balears 3/1986, de 19 de abril. Normalización lingüística en la Comunidad Autónoma de las Illes Balears</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Autos </w:t>
      </w:r>
      <w:hyperlink w:anchor="AUTO_2015_70" w:history="1">
        <w:r w:rsidRPr="00DD47EB">
          <w:rPr>
            <w:rStyle w:val="TextoNormalCaracter"/>
          </w:rPr>
          <w:t>70/2015</w:t>
        </w:r>
      </w:hyperlink>
      <w:r>
        <w:t xml:space="preserve">, f. 3; </w:t>
      </w:r>
      <w:hyperlink w:anchor="AUTO_2015_102" w:history="1">
        <w:r w:rsidRPr="00DD47EB">
          <w:rPr>
            <w:rStyle w:val="TextoNormalCaracter"/>
          </w:rPr>
          <w:t>102/2015</w:t>
        </w:r>
      </w:hyperlink>
      <w:r>
        <w:t>, f. 3.</w:t>
      </w:r>
    </w:p>
    <w:p w:rsidR="00DD47EB" w:rsidRDefault="00DD47EB" w:rsidP="00DD47EB">
      <w:pPr>
        <w:pStyle w:val="SangriaFrancesaArticulo"/>
      </w:pPr>
    </w:p>
    <w:p w:rsidR="00DD47EB" w:rsidRDefault="00DD47EB" w:rsidP="00DD47EB">
      <w:pPr>
        <w:pStyle w:val="TextoNormalNegritaCursivandice"/>
      </w:pPr>
      <w:r>
        <w:t>Ley del Parlamento de las Illes Balears 7/1998, de 12 de noviembre. Ordenación farmacéutica</w:t>
      </w:r>
    </w:p>
    <w:p w:rsidR="00DD47EB" w:rsidRDefault="00DD47EB" w:rsidP="00DD47EB">
      <w:pPr>
        <w:pStyle w:val="SangriaFrancesaArticulo"/>
      </w:pPr>
      <w:r w:rsidRPr="00DD47EB">
        <w:rPr>
          <w:rStyle w:val="TextoNormalNegritaCaracter"/>
        </w:rPr>
        <w:t>Artículo 24</w:t>
      </w:r>
      <w:r>
        <w:t xml:space="preserve"> (redactado por el Decreto-ley del Gobierno de las Illes Balears 1/2014, de 14 de noviembre)</w:t>
      </w:r>
      <w:r w:rsidRPr="00DD47EB">
        <w:rPr>
          <w:rStyle w:val="TextoNormalNegritaCaracter"/>
        </w:rPr>
        <w:t>.</w:t>
      </w:r>
      <w:r w:rsidRPr="00DD47EB">
        <w:rPr>
          <w:rStyle w:val="TextoNormalCaracter"/>
        </w:rPr>
        <w:t>-</w:t>
      </w:r>
      <w:r>
        <w:t xml:space="preserve"> Sentencia </w:t>
      </w:r>
      <w:hyperlink w:anchor="SENTENCIA_2015_41" w:history="1">
        <w:r w:rsidRPr="00DD47EB">
          <w:rPr>
            <w:rStyle w:val="TextoNormalCaracter"/>
          </w:rPr>
          <w:t>41/2015</w:t>
        </w:r>
      </w:hyperlink>
      <w:r>
        <w:t>, f. 2.</w:t>
      </w:r>
    </w:p>
    <w:p w:rsidR="00DD47EB" w:rsidRDefault="00DD47EB" w:rsidP="00DD47EB">
      <w:pPr>
        <w:pStyle w:val="SangriaFrancesaArticulo"/>
      </w:pPr>
      <w:r w:rsidRPr="00DD47EB">
        <w:rPr>
          <w:rStyle w:val="TextoNormalNegritaCaracter"/>
        </w:rPr>
        <w:t>Artículo 24.5 inciso 1.</w:t>
      </w:r>
      <w:r w:rsidRPr="00DD47EB">
        <w:rPr>
          <w:rStyle w:val="TextoNormalCaracter"/>
        </w:rPr>
        <w:t>-</w:t>
      </w:r>
      <w:r>
        <w:t xml:space="preserve"> Sentencia </w:t>
      </w:r>
      <w:hyperlink w:anchor="SENTENCIA_2015_41" w:history="1">
        <w:r w:rsidRPr="00DD47EB">
          <w:rPr>
            <w:rStyle w:val="TextoNormalCaracter"/>
          </w:rPr>
          <w:t>41/2015</w:t>
        </w:r>
      </w:hyperlink>
      <w:r>
        <w:t>, ff. 1, 4.</w:t>
      </w:r>
    </w:p>
    <w:p w:rsidR="00DD47EB" w:rsidRDefault="00DD47EB" w:rsidP="00DD47EB">
      <w:pPr>
        <w:pStyle w:val="SangriaFrancesaArticulo"/>
      </w:pPr>
    </w:p>
    <w:p w:rsidR="00DD47EB" w:rsidRDefault="00DD47EB" w:rsidP="00DD47EB">
      <w:pPr>
        <w:pStyle w:val="TextoNormalNegritaCursivandice"/>
      </w:pPr>
      <w:r>
        <w:t>Ley del Parlamento de las Illes Balears 5/2010, de 16 de junio. Regula el Consejo Consultivo de las Illes Balears</w:t>
      </w:r>
    </w:p>
    <w:p w:rsidR="00DD47EB" w:rsidRDefault="00DD47EB" w:rsidP="00DD47EB">
      <w:pPr>
        <w:pStyle w:val="SangriaFrancesaArticulo"/>
      </w:pPr>
      <w:r w:rsidRPr="00DD47EB">
        <w:rPr>
          <w:rStyle w:val="TextoNormalNegritaCaracter"/>
        </w:rPr>
        <w:t>Artículo 23.2.</w:t>
      </w:r>
      <w:r w:rsidRPr="00DD47EB">
        <w:rPr>
          <w:rStyle w:val="TextoNormalCaracter"/>
        </w:rPr>
        <w:t>-</w:t>
      </w:r>
      <w:r>
        <w:t xml:space="preserve"> Autos </w:t>
      </w:r>
      <w:hyperlink w:anchor="AUTO_2015_70" w:history="1">
        <w:r w:rsidRPr="00DD47EB">
          <w:rPr>
            <w:rStyle w:val="TextoNormalCaracter"/>
          </w:rPr>
          <w:t>70/2015</w:t>
        </w:r>
      </w:hyperlink>
      <w:r>
        <w:t xml:space="preserve">, f. 5; </w:t>
      </w:r>
      <w:hyperlink w:anchor="AUTO_2015_102" w:history="1">
        <w:r w:rsidRPr="00DD47EB">
          <w:rPr>
            <w:rStyle w:val="TextoNormalCaracter"/>
          </w:rPr>
          <w:t>102/2015</w:t>
        </w:r>
      </w:hyperlink>
      <w:r>
        <w:t>, ff. 2, 3.</w:t>
      </w:r>
    </w:p>
    <w:p w:rsidR="00DD47EB" w:rsidRDefault="00DD47EB" w:rsidP="00DD47EB">
      <w:pPr>
        <w:pStyle w:val="SangriaFrancesaArticulo"/>
      </w:pPr>
    </w:p>
    <w:p w:rsidR="00DD47EB" w:rsidRDefault="00DD47EB" w:rsidP="00DD47EB">
      <w:pPr>
        <w:pStyle w:val="TextoNormalNegritaCursivandice"/>
      </w:pPr>
      <w:r>
        <w:t>Decreto-ley del Gobierno de las Illes Balears 5/2012, de 1 de junio. Medidas urgentes en materia de personal y administrativas para la reducción del déficit público del sector público de la comunidad autónoma de las Illes Balears y de otras instituciones autonómicas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101" w:history="1">
        <w:r w:rsidRPr="00DD47EB">
          <w:rPr>
            <w:rStyle w:val="TextoNormalCaracter"/>
          </w:rPr>
          <w:t>101/2015</w:t>
        </w:r>
      </w:hyperlink>
      <w:r>
        <w:t>, ff. 1, 4, 5.</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Auto </w:t>
      </w:r>
      <w:hyperlink w:anchor="AUTO_2015_101" w:history="1">
        <w:r w:rsidRPr="00DD47EB">
          <w:rPr>
            <w:rStyle w:val="TextoNormalCaracter"/>
          </w:rPr>
          <w:t>101/2015</w:t>
        </w:r>
      </w:hyperlink>
      <w:r>
        <w:t>, f. 3.</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Auto </w:t>
      </w:r>
      <w:hyperlink w:anchor="AUTO_2015_101" w:history="1">
        <w:r w:rsidRPr="00DD47EB">
          <w:rPr>
            <w:rStyle w:val="TextoNormalCaracter"/>
          </w:rPr>
          <w:t>101/2015</w:t>
        </w:r>
      </w:hyperlink>
      <w:r>
        <w:t>, ff. 4, 5.</w:t>
      </w:r>
    </w:p>
    <w:p w:rsidR="00DD47EB" w:rsidRDefault="00DD47EB" w:rsidP="00DD47EB">
      <w:pPr>
        <w:pStyle w:val="SangriaFrancesaArticulo"/>
      </w:pPr>
      <w:r w:rsidRPr="00DD47EB">
        <w:rPr>
          <w:rStyle w:val="TextoNormalNegritaCaracter"/>
        </w:rPr>
        <w:t>Artículo 9.3.</w:t>
      </w:r>
      <w:r w:rsidRPr="00DD47EB">
        <w:rPr>
          <w:rStyle w:val="TextoNormalCaracter"/>
        </w:rPr>
        <w:t>-</w:t>
      </w:r>
      <w:r>
        <w:t xml:space="preserve"> Auto </w:t>
      </w:r>
      <w:hyperlink w:anchor="AUTO_2015_101" w:history="1">
        <w:r w:rsidRPr="00DD47EB">
          <w:rPr>
            <w:rStyle w:val="TextoNormalCaracter"/>
          </w:rPr>
          <w:t>101/2015</w:t>
        </w:r>
      </w:hyperlink>
      <w:r>
        <w:t>, ff. 1, 4, 5.</w:t>
      </w:r>
    </w:p>
    <w:p w:rsidR="00DD47EB" w:rsidRDefault="00DD47EB" w:rsidP="00DD47EB">
      <w:pPr>
        <w:pStyle w:val="SangriaFrancesaArticulo"/>
      </w:pPr>
    </w:p>
    <w:p w:rsidR="00DD47EB" w:rsidRDefault="00DD47EB" w:rsidP="00DD47EB">
      <w:pPr>
        <w:pStyle w:val="TextoNormalNegritaCursivandice"/>
      </w:pPr>
      <w:r>
        <w:t>Ley del Parlamento de las Illes Balears 4/2014, de 20 de junio. Transportes terrestres y movilidad sostenible de las Illes Balears</w:t>
      </w:r>
    </w:p>
    <w:p w:rsidR="00DD47EB" w:rsidRDefault="00DD47EB" w:rsidP="00DD47EB">
      <w:pPr>
        <w:pStyle w:val="SangriaFrancesaArticulo"/>
      </w:pPr>
      <w:r w:rsidRPr="00DD47EB">
        <w:rPr>
          <w:rStyle w:val="TextoNormalNegritaCaracter"/>
        </w:rPr>
        <w:t>Artículo 186.1.</w:t>
      </w:r>
      <w:r w:rsidRPr="00DD47EB">
        <w:rPr>
          <w:rStyle w:val="TextoNormalCaracter"/>
        </w:rPr>
        <w:t>-</w:t>
      </w:r>
      <w:r>
        <w:t xml:space="preserve"> Autos </w:t>
      </w:r>
      <w:hyperlink w:anchor="AUTO_2015_70" w:history="1">
        <w:r w:rsidRPr="00DD47EB">
          <w:rPr>
            <w:rStyle w:val="TextoNormalCaracter"/>
          </w:rPr>
          <w:t>70/2015</w:t>
        </w:r>
      </w:hyperlink>
      <w:r>
        <w:t xml:space="preserve">, f. 1; </w:t>
      </w:r>
      <w:hyperlink w:anchor="AUTO_2015_102" w:history="1">
        <w:r w:rsidRPr="00DD47EB">
          <w:rPr>
            <w:rStyle w:val="TextoNormalCaracter"/>
          </w:rPr>
          <w:t>102/2015</w:t>
        </w:r>
      </w:hyperlink>
      <w:r>
        <w:t>, f. 1.</w:t>
      </w:r>
    </w:p>
    <w:p w:rsidR="00DD47EB" w:rsidRDefault="00DD47EB" w:rsidP="00DD47EB">
      <w:pPr>
        <w:pStyle w:val="SangriaFrancesaArticulo"/>
      </w:pPr>
    </w:p>
    <w:p w:rsidR="00DD47EB" w:rsidRDefault="00DD47EB" w:rsidP="00DD47EB">
      <w:pPr>
        <w:pStyle w:val="TextoNormalNegritaCursivandice"/>
      </w:pPr>
      <w:r>
        <w:t>Decreto-ley del Gobierno de las Illes Balears 1/2014, de 14 de noviembre. Modificación de la ordenación farmacéutica</w:t>
      </w:r>
    </w:p>
    <w:p w:rsidR="00DD47EB" w:rsidRDefault="00DD47EB" w:rsidP="00DD47EB">
      <w:pPr>
        <w:pStyle w:val="SangriaFrancesaArticulo"/>
      </w:pPr>
      <w:r w:rsidRPr="00DD47EB">
        <w:rPr>
          <w:rStyle w:val="TextoNormalNegritaCaracter"/>
        </w:rPr>
        <w:t>Artículo 1.11.</w:t>
      </w:r>
      <w:r w:rsidRPr="00DD47EB">
        <w:rPr>
          <w:rStyle w:val="TextoNormalCaracter"/>
        </w:rPr>
        <w:t>-</w:t>
      </w:r>
      <w:r>
        <w:t xml:space="preserve"> Sentencia </w:t>
      </w:r>
      <w:hyperlink w:anchor="SENTENCIA_2015_41" w:history="1">
        <w:r w:rsidRPr="00DD47EB">
          <w:rPr>
            <w:rStyle w:val="TextoNormalCaracter"/>
          </w:rPr>
          <w:t>41/2015</w:t>
        </w:r>
      </w:hyperlink>
      <w:r>
        <w:t>, f. 2.</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J.5) Canarias</w:t>
      </w:r>
    </w:p>
    <w:p w:rsidR="00DD47EB" w:rsidRDefault="00DD47EB" w:rsidP="00DD47EB">
      <w:pPr>
        <w:pStyle w:val="TextoNormal"/>
      </w:pPr>
    </w:p>
    <w:p w:rsidR="00DD47EB" w:rsidRDefault="00DD47EB" w:rsidP="00DD47EB">
      <w:pPr>
        <w:pStyle w:val="TextoNormalNegritaCentradoSubrayado"/>
        <w:suppressAutoHyphens/>
      </w:pPr>
      <w:r>
        <w:t>J.5.a) Estatuto de Autonomía</w:t>
      </w:r>
    </w:p>
    <w:p w:rsidR="00DD47EB" w:rsidRDefault="00DD47EB" w:rsidP="00DD47EB">
      <w:pPr>
        <w:pStyle w:val="TextoNormalNegritaCentradoSubrayado"/>
      </w:pPr>
    </w:p>
    <w:p w:rsidR="00DD47EB" w:rsidRDefault="00DD47EB" w:rsidP="00DD47EB">
      <w:pPr>
        <w:pStyle w:val="TextoNormalNegritaCursivandice"/>
      </w:pPr>
      <w:r>
        <w:t>Ley Orgánica 10/1982, de 10 de agosto. Estatuto de Autonomía de Canarias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7" w:history="1">
        <w:r w:rsidRPr="00DD47EB">
          <w:rPr>
            <w:rStyle w:val="TextoNormalCaracter"/>
          </w:rPr>
          <w:t>137/2015</w:t>
        </w:r>
      </w:hyperlink>
      <w:r>
        <w:t>, ff. 1, 6.</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37" w:history="1">
        <w:r w:rsidRPr="00DD47EB">
          <w:rPr>
            <w:rStyle w:val="TextoNormalCaracter"/>
          </w:rPr>
          <w:t>137/2015</w:t>
        </w:r>
      </w:hyperlink>
      <w:r>
        <w:t>, ff. 1, 6.</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Auto </w:t>
      </w:r>
      <w:hyperlink w:anchor="AUTO_2015_37" w:history="1">
        <w:r w:rsidRPr="00DD47EB">
          <w:rPr>
            <w:rStyle w:val="TextoNormalCaracter"/>
          </w:rPr>
          <w:t>37/2015</w:t>
        </w:r>
      </w:hyperlink>
      <w:r>
        <w:t>, f. 3.</w:t>
      </w:r>
    </w:p>
    <w:p w:rsidR="00DD47EB" w:rsidRDefault="00DD47EB" w:rsidP="00DD47EB">
      <w:pPr>
        <w:pStyle w:val="SangriaFrancesaArticulo"/>
      </w:pPr>
      <w:r w:rsidRPr="00DD47EB">
        <w:rPr>
          <w:rStyle w:val="TextoNormalNegritaCaracter"/>
        </w:rPr>
        <w:t>Artículo 30.1.</w:t>
      </w:r>
      <w:r w:rsidRPr="00DD47EB">
        <w:rPr>
          <w:rStyle w:val="TextoNormalCaracter"/>
        </w:rPr>
        <w:t>-</w:t>
      </w:r>
      <w:r>
        <w:t xml:space="preserve"> Sentencia </w:t>
      </w:r>
      <w:hyperlink w:anchor="SENTENCIA_2015_137" w:history="1">
        <w:r w:rsidRPr="00DD47EB">
          <w:rPr>
            <w:rStyle w:val="TextoNormalCaracter"/>
          </w:rPr>
          <w:t>137/2015</w:t>
        </w:r>
      </w:hyperlink>
      <w:r>
        <w:t>, f. 1.</w:t>
      </w:r>
    </w:p>
    <w:p w:rsidR="00DD47EB" w:rsidRDefault="00DD47EB" w:rsidP="00DD47EB">
      <w:pPr>
        <w:pStyle w:val="SangriaFrancesaArticulo"/>
      </w:pPr>
      <w:r w:rsidRPr="00DD47EB">
        <w:rPr>
          <w:rStyle w:val="TextoNormalNegritaCaracter"/>
        </w:rPr>
        <w:t>Artículo 30.15.</w:t>
      </w:r>
      <w:r w:rsidRPr="00DD47EB">
        <w:rPr>
          <w:rStyle w:val="TextoNormalCaracter"/>
        </w:rPr>
        <w:t>-</w:t>
      </w:r>
      <w:r>
        <w:t xml:space="preserve"> Sentencia </w:t>
      </w:r>
      <w:hyperlink w:anchor="SENTENCIA_2015_29" w:history="1">
        <w:r w:rsidRPr="00DD47EB">
          <w:rPr>
            <w:rStyle w:val="TextoNormalCaracter"/>
          </w:rPr>
          <w:t>29/2015</w:t>
        </w:r>
      </w:hyperlink>
      <w:r>
        <w:t>, ff. 1, 3.</w:t>
      </w:r>
    </w:p>
    <w:p w:rsidR="00DD47EB" w:rsidRDefault="00DD47EB" w:rsidP="00DD47EB">
      <w:pPr>
        <w:pStyle w:val="SangriaFrancesaArticulo"/>
      </w:pPr>
      <w:r w:rsidRPr="00DD47EB">
        <w:rPr>
          <w:rStyle w:val="TextoNormalNegritaCaracter"/>
        </w:rPr>
        <w:t>Artículo 30.26.</w:t>
      </w:r>
      <w:r w:rsidRPr="00DD47EB">
        <w:rPr>
          <w:rStyle w:val="TextoNormalCaracter"/>
        </w:rPr>
        <w:t>-</w:t>
      </w:r>
      <w:r>
        <w:t xml:space="preserve"> Sentencia </w:t>
      </w:r>
      <w:hyperlink w:anchor="SENTENCIA_2015_106" w:history="1">
        <w:r w:rsidRPr="00DD47EB">
          <w:rPr>
            <w:rStyle w:val="TextoNormalCaracter"/>
          </w:rPr>
          <w:t>106/2015</w:t>
        </w:r>
      </w:hyperlink>
      <w:r>
        <w:t>, f. 3.</w:t>
      </w:r>
    </w:p>
    <w:p w:rsidR="00DD47EB" w:rsidRDefault="00DD47EB" w:rsidP="00DD47EB">
      <w:pPr>
        <w:pStyle w:val="SangriaFrancesaArticulo"/>
      </w:pPr>
      <w:r w:rsidRPr="00DD47EB">
        <w:rPr>
          <w:rStyle w:val="TextoNormalNegritaCaracter"/>
        </w:rPr>
        <w:t>Artículo 31.1</w:t>
      </w:r>
      <w:r>
        <w:t xml:space="preserve"> (redactado por la Ley Orgánica 4/1996, de 30 de diciembre)</w:t>
      </w:r>
      <w:r w:rsidRPr="00DD47EB">
        <w:rPr>
          <w:rStyle w:val="TextoNormalNegritaCaracter"/>
        </w:rPr>
        <w:t>.</w:t>
      </w:r>
      <w:r w:rsidRPr="00DD47EB">
        <w:rPr>
          <w:rStyle w:val="TextoNormalCaracter"/>
        </w:rPr>
        <w:t>-</w:t>
      </w:r>
      <w:r>
        <w:t xml:space="preserve"> Sentencia </w:t>
      </w:r>
      <w:hyperlink w:anchor="SENTENCIA_2015_11" w:history="1">
        <w:r w:rsidRPr="00DD47EB">
          <w:rPr>
            <w:rStyle w:val="TextoNormalCaracter"/>
          </w:rPr>
          <w:t>11/2015</w:t>
        </w:r>
      </w:hyperlink>
      <w:r>
        <w:t>, ff. 4, 5.</w:t>
      </w:r>
    </w:p>
    <w:p w:rsidR="00DD47EB" w:rsidRDefault="00DD47EB" w:rsidP="00DD47EB">
      <w:pPr>
        <w:pStyle w:val="SangriaFrancesaArticulo"/>
      </w:pPr>
      <w:r w:rsidRPr="00DD47EB">
        <w:rPr>
          <w:rStyle w:val="TextoNormalNegritaCaracter"/>
        </w:rPr>
        <w:t>Artículo 31.4.</w:t>
      </w:r>
      <w:r w:rsidRPr="00DD47EB">
        <w:rPr>
          <w:rStyle w:val="TextoNormalCaracter"/>
        </w:rPr>
        <w:t>-</w:t>
      </w:r>
      <w:r>
        <w:t xml:space="preserve"> Sentencia </w:t>
      </w:r>
      <w:hyperlink w:anchor="SENTENCIA_2015_106" w:history="1">
        <w:r w:rsidRPr="00DD47EB">
          <w:rPr>
            <w:rStyle w:val="TextoNormalCaracter"/>
          </w:rPr>
          <w:t>106/2015</w:t>
        </w:r>
      </w:hyperlink>
      <w:r>
        <w:t>, f. 3.</w:t>
      </w:r>
    </w:p>
    <w:p w:rsidR="00DD47EB" w:rsidRDefault="00DD47EB" w:rsidP="00DD47EB">
      <w:pPr>
        <w:pStyle w:val="SangriaFrancesaArticulo"/>
      </w:pPr>
      <w:r w:rsidRPr="00DD47EB">
        <w:rPr>
          <w:rStyle w:val="TextoNormalNegritaCaracter"/>
        </w:rPr>
        <w:t>Artículo 32.5.</w:t>
      </w:r>
      <w:r w:rsidRPr="00DD47EB">
        <w:rPr>
          <w:rStyle w:val="TextoNormalCaracter"/>
        </w:rPr>
        <w:t>-</w:t>
      </w:r>
      <w:r>
        <w:t xml:space="preserve"> Sentencia </w:t>
      </w:r>
      <w:hyperlink w:anchor="SENTENCIA_2015_137" w:history="1">
        <w:r w:rsidRPr="00DD47EB">
          <w:rPr>
            <w:rStyle w:val="TextoNormalCaracter"/>
          </w:rPr>
          <w:t>137/2015</w:t>
        </w:r>
      </w:hyperlink>
      <w:r>
        <w:t>, ff. 1, 4, 7.</w:t>
      </w:r>
    </w:p>
    <w:p w:rsidR="00DD47EB" w:rsidRDefault="00DD47EB" w:rsidP="00DD47EB">
      <w:pPr>
        <w:pStyle w:val="SangriaFrancesaArticulo"/>
      </w:pPr>
      <w:r w:rsidRPr="00DD47EB">
        <w:rPr>
          <w:rStyle w:val="TextoNormalNegritaCaracter"/>
        </w:rPr>
        <w:t>Artículo 32.6.</w:t>
      </w:r>
      <w:r w:rsidRPr="00DD47EB">
        <w:rPr>
          <w:rStyle w:val="TextoNormalCaracter"/>
        </w:rPr>
        <w:t>-</w:t>
      </w:r>
      <w:r>
        <w:t xml:space="preserve"> Sentencia </w:t>
      </w:r>
      <w:hyperlink w:anchor="SENTENCIA_2015_137" w:history="1">
        <w:r w:rsidRPr="00DD47EB">
          <w:rPr>
            <w:rStyle w:val="TextoNormalCaracter"/>
          </w:rPr>
          <w:t>137/2015</w:t>
        </w:r>
      </w:hyperlink>
      <w:r>
        <w:t>, f. 1.</w:t>
      </w:r>
    </w:p>
    <w:p w:rsidR="00DD47EB" w:rsidRDefault="00DD47EB" w:rsidP="00DD47EB">
      <w:pPr>
        <w:pStyle w:val="SangriaFrancesaArticulo"/>
      </w:pPr>
      <w:r w:rsidRPr="00DD47EB">
        <w:rPr>
          <w:rStyle w:val="TextoNormalNegritaCaracter"/>
        </w:rPr>
        <w:t>Artículo 32.9.</w:t>
      </w:r>
      <w:r w:rsidRPr="00DD47EB">
        <w:rPr>
          <w:rStyle w:val="TextoNormalCaracter"/>
        </w:rPr>
        <w:t>-</w:t>
      </w:r>
      <w:r>
        <w:t xml:space="preserve"> Sentencia </w:t>
      </w:r>
      <w:hyperlink w:anchor="SENTENCIA_2015_106" w:history="1">
        <w:r w:rsidRPr="00DD47EB">
          <w:rPr>
            <w:rStyle w:val="TextoNormalCaracter"/>
          </w:rPr>
          <w:t>106/2015</w:t>
        </w:r>
      </w:hyperlink>
      <w:r>
        <w:t>, ff. 1, 3.</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13" w:history="1">
        <w:r w:rsidRPr="00DD47EB">
          <w:rPr>
            <w:rStyle w:val="TextoNormalCaracter"/>
          </w:rPr>
          <w:t>13/2015</w:t>
        </w:r>
      </w:hyperlink>
      <w:r>
        <w:t>, f. 5.</w:t>
      </w:r>
    </w:p>
    <w:p w:rsidR="00DD47EB" w:rsidRDefault="00DD47EB" w:rsidP="00DD47EB">
      <w:pPr>
        <w:pStyle w:val="SangriaFrancesaArticulo"/>
      </w:pPr>
      <w:r w:rsidRPr="00DD47EB">
        <w:rPr>
          <w:rStyle w:val="TextoNormalNegritaCaracter"/>
        </w:rPr>
        <w:t>Artículo 61.1.</w:t>
      </w:r>
      <w:r w:rsidRPr="00DD47EB">
        <w:rPr>
          <w:rStyle w:val="TextoNormalCaracter"/>
        </w:rPr>
        <w:t>-</w:t>
      </w:r>
      <w:r>
        <w:t xml:space="preserve"> Auto </w:t>
      </w:r>
      <w:hyperlink w:anchor="AUTO_2015_37" w:history="1">
        <w:r w:rsidRPr="00DD47EB">
          <w:rPr>
            <w:rStyle w:val="TextoNormalCaracter"/>
          </w:rPr>
          <w:t>37/2015</w:t>
        </w:r>
      </w:hyperlink>
      <w:r>
        <w:t>, f. 3.</w:t>
      </w:r>
    </w:p>
    <w:p w:rsidR="00DD47EB" w:rsidRDefault="00DD47EB" w:rsidP="00DD47EB">
      <w:pPr>
        <w:pStyle w:val="SangriaFrancesaArticulo"/>
      </w:pPr>
    </w:p>
    <w:p w:rsidR="00DD47EB" w:rsidRDefault="00DD47EB" w:rsidP="00DD47EB">
      <w:pPr>
        <w:pStyle w:val="TextoNormalNegritaCursivandice"/>
      </w:pPr>
      <w:r>
        <w:t>Ley Orgánica 4/1996, de 30 de diciembre. Reforma de la Ley Orgánica 10/1982, de 10 de agosto, de Estatuto de Autonomía de Canarias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7" w:history="1">
        <w:r w:rsidRPr="00DD47EB">
          <w:rPr>
            <w:rStyle w:val="TextoNormalCaracter"/>
          </w:rPr>
          <w:t>147/2015</w:t>
        </w:r>
      </w:hyperlink>
      <w:r>
        <w:t>, f. 1.</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47" w:history="1">
        <w:r w:rsidRPr="00DD47EB">
          <w:rPr>
            <w:rStyle w:val="TextoNormalCaracter"/>
          </w:rPr>
          <w:t>147/2015</w:t>
        </w:r>
      </w:hyperlink>
      <w:r>
        <w:t>, ff. 1, 4.</w:t>
      </w:r>
    </w:p>
    <w:p w:rsidR="00DD47EB" w:rsidRDefault="00DD47EB" w:rsidP="00DD47EB">
      <w:pPr>
        <w:pStyle w:val="SangriaFrancesaArticulo"/>
      </w:pPr>
      <w:r w:rsidRPr="00DD47EB">
        <w:rPr>
          <w:rStyle w:val="TextoNormalNegritaCaracter"/>
        </w:rPr>
        <w:t>Artículo 32.5.</w:t>
      </w:r>
      <w:r w:rsidRPr="00DD47EB">
        <w:rPr>
          <w:rStyle w:val="TextoNormalCaracter"/>
        </w:rPr>
        <w:t>-</w:t>
      </w:r>
      <w:r>
        <w:t xml:space="preserve"> Sentencia </w:t>
      </w:r>
      <w:hyperlink w:anchor="SENTENCIA_2015_147" w:history="1">
        <w:r w:rsidRPr="00DD47EB">
          <w:rPr>
            <w:rStyle w:val="TextoNormalCaracter"/>
          </w:rPr>
          <w:t>147/2015</w:t>
        </w:r>
      </w:hyperlink>
      <w:r>
        <w:t>, ff. 1, 4.</w:t>
      </w:r>
    </w:p>
    <w:p w:rsidR="00DD47EB" w:rsidRDefault="00DD47EB" w:rsidP="00DD47EB">
      <w:pPr>
        <w:pStyle w:val="TextoNormal"/>
      </w:pPr>
    </w:p>
    <w:p w:rsidR="00DD47EB" w:rsidRDefault="00DD47EB" w:rsidP="00DD47EB">
      <w:pPr>
        <w:pStyle w:val="TextoNormalNegritaCentradoSubrayado"/>
        <w:suppressAutoHyphens/>
      </w:pPr>
      <w:r>
        <w:t>J.5.b)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del Parlamento de Canarias 4/1999, de 15 de marzo. Patrimonio Histórico de Canarias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97" w:history="1">
        <w:r w:rsidRPr="00DD47EB">
          <w:rPr>
            <w:rStyle w:val="TextoNormalCaracter"/>
          </w:rPr>
          <w:t>97/2015</w:t>
        </w:r>
      </w:hyperlink>
      <w:r>
        <w:t>, f. 4.</w:t>
      </w:r>
    </w:p>
    <w:p w:rsidR="00DD47EB" w:rsidRDefault="00DD47EB" w:rsidP="00DD47EB">
      <w:pPr>
        <w:pStyle w:val="SangriaFrancesaArticulo"/>
      </w:pPr>
      <w:r w:rsidRPr="00DD47EB">
        <w:rPr>
          <w:rStyle w:val="TextoNormalNegritaCaracter"/>
        </w:rPr>
        <w:t>Título VI.</w:t>
      </w:r>
      <w:r w:rsidRPr="00DD47EB">
        <w:rPr>
          <w:rStyle w:val="TextoNormalCaracter"/>
        </w:rPr>
        <w:t>-</w:t>
      </w:r>
      <w:r>
        <w:t xml:space="preserve"> Auto </w:t>
      </w:r>
      <w:hyperlink w:anchor="AUTO_2015_97" w:history="1">
        <w:r w:rsidRPr="00DD47EB">
          <w:rPr>
            <w:rStyle w:val="TextoNormalCaracter"/>
          </w:rPr>
          <w:t>97/2015</w:t>
        </w:r>
      </w:hyperlink>
      <w:r>
        <w:t>, f. 1.</w:t>
      </w:r>
    </w:p>
    <w:p w:rsidR="00DD47EB" w:rsidRDefault="00DD47EB" w:rsidP="00DD47EB">
      <w:pPr>
        <w:pStyle w:val="SangriaFrancesaArticulo"/>
      </w:pPr>
      <w:r w:rsidRPr="00DD47EB">
        <w:rPr>
          <w:rStyle w:val="TextoNormalNegritaCaracter"/>
        </w:rPr>
        <w:t>Artículo 34.4.</w:t>
      </w:r>
      <w:r w:rsidRPr="00DD47EB">
        <w:rPr>
          <w:rStyle w:val="TextoNormalCaracter"/>
        </w:rPr>
        <w:t>-</w:t>
      </w:r>
      <w:r>
        <w:t xml:space="preserve"> Auto </w:t>
      </w:r>
      <w:hyperlink w:anchor="AUTO_2015_97" w:history="1">
        <w:r w:rsidRPr="00DD47EB">
          <w:rPr>
            <w:rStyle w:val="TextoNormalCaracter"/>
          </w:rPr>
          <w:t>97/2015</w:t>
        </w:r>
      </w:hyperlink>
      <w:r>
        <w:t>, f. 1.</w:t>
      </w:r>
    </w:p>
    <w:p w:rsidR="00DD47EB" w:rsidRDefault="00DD47EB" w:rsidP="00DD47EB">
      <w:pPr>
        <w:pStyle w:val="SangriaFrancesaArticulo"/>
      </w:pPr>
      <w:r w:rsidRPr="00DD47EB">
        <w:rPr>
          <w:rStyle w:val="TextoNormalNegritaCaracter"/>
        </w:rPr>
        <w:t>Disposición transitoria séptima.</w:t>
      </w:r>
      <w:r w:rsidRPr="00DD47EB">
        <w:rPr>
          <w:rStyle w:val="TextoNormalCaracter"/>
        </w:rPr>
        <w:t>-</w:t>
      </w:r>
      <w:r>
        <w:t xml:space="preserve"> Auto </w:t>
      </w:r>
      <w:hyperlink w:anchor="AUTO_2015_97" w:history="1">
        <w:r w:rsidRPr="00DD47EB">
          <w:rPr>
            <w:rStyle w:val="TextoNormalCaracter"/>
          </w:rPr>
          <w:t>97/2015</w:t>
        </w:r>
      </w:hyperlink>
      <w:r>
        <w:t>, ff. 1, 2, 4.</w:t>
      </w:r>
    </w:p>
    <w:p w:rsidR="00DD47EB" w:rsidRDefault="00DD47EB" w:rsidP="00DD47EB">
      <w:pPr>
        <w:pStyle w:val="SangriaFrancesaArticulo"/>
      </w:pPr>
    </w:p>
    <w:p w:rsidR="00DD47EB" w:rsidRDefault="00DD47EB" w:rsidP="00DD47EB">
      <w:pPr>
        <w:pStyle w:val="TextoNormalNegritaCursivandice"/>
      </w:pPr>
      <w:r>
        <w:t>Decreto Legislativo del Gobierno de Canarias 1/2000, de 8 mayo. Texto refundido de las leyes de ordenación del territorio y de espacios naturales protegidos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Disposición adicional decimotercera.</w:t>
      </w:r>
      <w:r w:rsidRPr="00DD47EB">
        <w:rPr>
          <w:rStyle w:val="TextoNormalCaracter"/>
        </w:rPr>
        <w:t>-</w:t>
      </w:r>
      <w:r>
        <w:t xml:space="preserve"> 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Disposición adicional decimocuarta.</w:t>
      </w:r>
      <w:r w:rsidRPr="00DD47EB">
        <w:rPr>
          <w:rStyle w:val="TextoNormalCaracter"/>
        </w:rPr>
        <w:t>-</w:t>
      </w:r>
      <w:r>
        <w:t xml:space="preserve"> 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Disposición adicional decimocuarta</w:t>
      </w:r>
      <w:r>
        <w:t xml:space="preserve"> (redactada por la Ley del Parlamento de Canarias 7/2009, de 6 de mayo)</w:t>
      </w:r>
      <w:r w:rsidRPr="00DD47EB">
        <w:rPr>
          <w:rStyle w:val="TextoNormalNegritaCaracter"/>
        </w:rPr>
        <w:t>.</w:t>
      </w:r>
      <w:r w:rsidRPr="00DD47EB">
        <w:rPr>
          <w:rStyle w:val="TextoNormalCaracter"/>
        </w:rPr>
        <w:t>-</w:t>
      </w:r>
      <w:r>
        <w:t xml:space="preserve"> 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Disposición adicional decimoquinta.</w:t>
      </w:r>
      <w:r w:rsidRPr="00DD47EB">
        <w:rPr>
          <w:rStyle w:val="TextoNormalCaracter"/>
        </w:rPr>
        <w:t>-</w:t>
      </w:r>
      <w:r>
        <w:t xml:space="preserve"> 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Disposición adicional decimoquinta</w:t>
      </w:r>
      <w:r>
        <w:t xml:space="preserve"> (redactada por la Ley del Parlamento de Canarias 7/2009, de 6 de mayo)</w:t>
      </w:r>
      <w:r w:rsidRPr="00DD47EB">
        <w:rPr>
          <w:rStyle w:val="TextoNormalNegritaCaracter"/>
        </w:rPr>
        <w:t>.</w:t>
      </w:r>
      <w:r w:rsidRPr="00DD47EB">
        <w:rPr>
          <w:rStyle w:val="TextoNormalCaracter"/>
        </w:rPr>
        <w:t>-</w:t>
      </w:r>
      <w:r>
        <w:t xml:space="preserve"> Sentencia </w:t>
      </w:r>
      <w:hyperlink w:anchor="SENTENCIA_2015_5" w:history="1">
        <w:r w:rsidRPr="00DD47EB">
          <w:rPr>
            <w:rStyle w:val="TextoNormalCaracter"/>
          </w:rPr>
          <w:t>5/2015</w:t>
        </w:r>
      </w:hyperlink>
      <w:r>
        <w:t>, f. 7.</w:t>
      </w:r>
    </w:p>
    <w:p w:rsidR="00DD47EB" w:rsidRDefault="00DD47EB" w:rsidP="00DD47EB">
      <w:pPr>
        <w:pStyle w:val="SangriaFrancesaArticulo"/>
      </w:pPr>
      <w:r w:rsidRPr="00DD47EB">
        <w:rPr>
          <w:rStyle w:val="TextoNormalNegritaCaracter"/>
        </w:rPr>
        <w:t>Disposición transitoria decimotercera.</w:t>
      </w:r>
      <w:r w:rsidRPr="00DD47EB">
        <w:rPr>
          <w:rStyle w:val="TextoNormalCaracter"/>
        </w:rPr>
        <w:t>-</w:t>
      </w:r>
      <w:r>
        <w:t xml:space="preserve"> Sentencia </w:t>
      </w:r>
      <w:hyperlink w:anchor="SENTENCIA_2015_5" w:history="1">
        <w:r w:rsidRPr="00DD47EB">
          <w:rPr>
            <w:rStyle w:val="TextoNormalCaracter"/>
          </w:rPr>
          <w:t>5/2015</w:t>
        </w:r>
      </w:hyperlink>
      <w:r>
        <w:t>, f. 4.</w:t>
      </w:r>
    </w:p>
    <w:p w:rsidR="00DD47EB" w:rsidRDefault="00DD47EB" w:rsidP="00DD47EB">
      <w:pPr>
        <w:pStyle w:val="SangriaFrancesaArticulo"/>
      </w:pPr>
      <w:r w:rsidRPr="00DD47EB">
        <w:rPr>
          <w:rStyle w:val="TextoNormalNegritaCaracter"/>
        </w:rPr>
        <w:t>Disposición transitoria decimocuarta.</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p>
    <w:p w:rsidR="00DD47EB" w:rsidRDefault="00DD47EB" w:rsidP="00DD47EB">
      <w:pPr>
        <w:pStyle w:val="TextoNormalNegritaCursivandice"/>
      </w:pPr>
      <w:r>
        <w:t>Ley del Parlamento de Canarias 7/2007, de 13 de abril. Canaria de juventud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p>
    <w:p w:rsidR="00DD47EB" w:rsidRDefault="00DD47EB" w:rsidP="00DD47EB">
      <w:pPr>
        <w:pStyle w:val="TextoNormalNegritaCursivandice"/>
      </w:pPr>
      <w:r>
        <w:t>Ley del Parlamento de Canarias 7/2009, de 6 de mayo. Modificación del texto refundido de las leyes de ordenación del territorio de Canarias y de espacios naturales de Canarias sobre declaración y ordenación de áreas urbanas en el litoral canario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 3.</w:t>
      </w:r>
    </w:p>
    <w:p w:rsidR="00DD47EB" w:rsidRDefault="00DD47EB" w:rsidP="00DD47EB">
      <w:pPr>
        <w:pStyle w:val="SangriaIzquierdaArticulo"/>
      </w:pPr>
      <w:r>
        <w:t xml:space="preserve">Auto </w:t>
      </w:r>
      <w:hyperlink w:anchor="AUTO_2015_28" w:history="1">
        <w:r w:rsidRPr="00DD47EB">
          <w:rPr>
            <w:rStyle w:val="TextoNormalCaracter"/>
          </w:rPr>
          <w:t>28/2015</w:t>
        </w:r>
      </w:hyperlink>
      <w:r>
        <w:t>.</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5" w:history="1">
        <w:r w:rsidRPr="00DD47EB">
          <w:rPr>
            <w:rStyle w:val="TextoNormalCaracter"/>
          </w:rPr>
          <w:t>5/2015</w:t>
        </w:r>
      </w:hyperlink>
      <w:r>
        <w:t>, ff. 1, 2, 4, 5, 7.</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5" w:history="1">
        <w:r w:rsidRPr="00DD47EB">
          <w:rPr>
            <w:rStyle w:val="TextoNormalCaracter"/>
          </w:rPr>
          <w:t>5/2015</w:t>
        </w:r>
      </w:hyperlink>
      <w:r>
        <w:t>, ff. 1, 2, 6.</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5" w:history="1">
        <w:r w:rsidRPr="00DD47EB">
          <w:rPr>
            <w:rStyle w:val="TextoNormalCaracter"/>
          </w:rPr>
          <w:t>5/2015</w:t>
        </w:r>
      </w:hyperlink>
      <w:r>
        <w:t>, ff. 1, 2, 7.</w:t>
      </w:r>
    </w:p>
    <w:p w:rsidR="00DD47EB" w:rsidRDefault="00DD47EB" w:rsidP="00DD47EB">
      <w:pPr>
        <w:pStyle w:val="SangriaIzquierdaArticulo"/>
      </w:pPr>
      <w:r>
        <w:t xml:space="preserve">Auto </w:t>
      </w:r>
      <w:hyperlink w:anchor="AUTO_2015_28" w:history="1">
        <w:r w:rsidRPr="00DD47EB">
          <w:rPr>
            <w:rStyle w:val="TextoNormalCaracter"/>
          </w:rPr>
          <w:t>28/2015</w:t>
        </w:r>
      </w:hyperlink>
      <w:r>
        <w:t>, f. único.</w:t>
      </w:r>
    </w:p>
    <w:p w:rsidR="00DD47EB" w:rsidRDefault="00DD47EB" w:rsidP="00DD47EB">
      <w:pPr>
        <w:pStyle w:val="SangriaFrancesaArticulo"/>
      </w:pPr>
      <w:r w:rsidRPr="00DD47EB">
        <w:rPr>
          <w:rStyle w:val="TextoNormalNegritaCaracter"/>
        </w:rPr>
        <w:t>Artículo 3 apartado 1.</w:t>
      </w:r>
      <w:r w:rsidRPr="00DD47EB">
        <w:rPr>
          <w:rStyle w:val="TextoNormalCaracter"/>
        </w:rPr>
        <w:t>-</w:t>
      </w:r>
      <w:r>
        <w:t xml:space="preserve"> Sentencia </w:t>
      </w:r>
      <w:hyperlink w:anchor="SENTENCIA_2015_5" w:history="1">
        <w:r w:rsidRPr="00DD47EB">
          <w:rPr>
            <w:rStyle w:val="TextoNormalCaracter"/>
          </w:rPr>
          <w:t>5/2015</w:t>
        </w:r>
      </w:hyperlink>
      <w:r>
        <w:t>, f. 7.</w:t>
      </w:r>
    </w:p>
    <w:p w:rsidR="00DD47EB" w:rsidRDefault="00DD47EB" w:rsidP="00DD47EB">
      <w:pPr>
        <w:pStyle w:val="SangriaFrancesaArticulo"/>
      </w:pPr>
      <w:r w:rsidRPr="00DD47EB">
        <w:rPr>
          <w:rStyle w:val="TextoNormalNegritaCaracter"/>
        </w:rPr>
        <w:t>Artículo 3 apartado 2.</w:t>
      </w:r>
      <w:r w:rsidRPr="00DD47EB">
        <w:rPr>
          <w:rStyle w:val="TextoNormalCaracter"/>
        </w:rPr>
        <w:t>-</w:t>
      </w:r>
      <w:r>
        <w:t xml:space="preserve"> Sentencia </w:t>
      </w:r>
      <w:hyperlink w:anchor="SENTENCIA_2015_5" w:history="1">
        <w:r w:rsidRPr="00DD47EB">
          <w:rPr>
            <w:rStyle w:val="TextoNormalCaracter"/>
          </w:rPr>
          <w:t>5/2015</w:t>
        </w:r>
      </w:hyperlink>
      <w:r>
        <w:t>, f. 7.</w:t>
      </w:r>
    </w:p>
    <w:p w:rsidR="00DD47EB" w:rsidRDefault="00DD47EB" w:rsidP="00DD47EB">
      <w:pPr>
        <w:pStyle w:val="SangriaFrancesaArticulo"/>
      </w:pPr>
      <w:r w:rsidRPr="00DD47EB">
        <w:rPr>
          <w:rStyle w:val="TextoNormalNegritaCaracter"/>
        </w:rPr>
        <w:t>Artículo 3 apartado 3.</w:t>
      </w:r>
      <w:r w:rsidRPr="00DD47EB">
        <w:rPr>
          <w:rStyle w:val="TextoNormalCaracter"/>
        </w:rPr>
        <w:t>-</w:t>
      </w:r>
      <w:r>
        <w:t xml:space="preserve"> Sentencia </w:t>
      </w:r>
      <w:hyperlink w:anchor="SENTENCIA_2015_5" w:history="1">
        <w:r w:rsidRPr="00DD47EB">
          <w:rPr>
            <w:rStyle w:val="TextoNormalCaracter"/>
          </w:rPr>
          <w:t>5/2015</w:t>
        </w:r>
      </w:hyperlink>
      <w:r>
        <w:t>, f. 7.</w:t>
      </w:r>
    </w:p>
    <w:p w:rsidR="00DD47EB" w:rsidRDefault="00DD47EB" w:rsidP="00DD47EB">
      <w:pPr>
        <w:pStyle w:val="SangriaFrancesaArticulo"/>
      </w:pPr>
    </w:p>
    <w:p w:rsidR="00DD47EB" w:rsidRDefault="00DD47EB" w:rsidP="00DD47EB">
      <w:pPr>
        <w:pStyle w:val="TextoNormalNegritaCursivandice"/>
      </w:pPr>
      <w:r>
        <w:t>Ley del Parlamento de Canarias 5/2010, de 21 de junio. Participación Ciudadana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15.1.</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Sentencia </w:t>
      </w:r>
      <w:hyperlink w:anchor="SENTENCIA_2015_137" w:history="1">
        <w:r w:rsidRPr="00DD47EB">
          <w:rPr>
            <w:rStyle w:val="TextoNormalCaracter"/>
          </w:rPr>
          <w:t>137/2015</w:t>
        </w:r>
      </w:hyperlink>
      <w:r>
        <w:t>, ff. 1, 3.</w:t>
      </w:r>
    </w:p>
    <w:p w:rsidR="00DD47EB" w:rsidRDefault="00DD47EB" w:rsidP="00DD47EB">
      <w:pPr>
        <w:pStyle w:val="SangriaIzquierdaArticulo"/>
      </w:pPr>
      <w:r>
        <w:t xml:space="preserve">Auto </w:t>
      </w:r>
      <w:hyperlink w:anchor="AUTO_2015_53" w:history="1">
        <w:r w:rsidRPr="00DD47EB">
          <w:rPr>
            <w:rStyle w:val="TextoNormalCaracter"/>
          </w:rPr>
          <w:t>53/2015</w:t>
        </w:r>
      </w:hyperlink>
      <w:r>
        <w:t>, f. 1.</w:t>
      </w:r>
    </w:p>
    <w:p w:rsidR="00DD47EB" w:rsidRDefault="00DD47EB" w:rsidP="00DD47EB">
      <w:pPr>
        <w:pStyle w:val="SangriaIzquierdaArticulo"/>
      </w:pPr>
    </w:p>
    <w:p w:rsidR="00DD47EB" w:rsidRDefault="00DD47EB" w:rsidP="00DD47EB">
      <w:pPr>
        <w:pStyle w:val="TextoNormalNegritaCursivandice"/>
      </w:pPr>
      <w:r>
        <w:t>Ley del Parlamento de Canarias 11/2010, de 30 de diciembre. Presupuestos generales de la Comunidad Autónoma de Canarias para 2011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37" w:history="1">
        <w:r w:rsidRPr="00DD47EB">
          <w:rPr>
            <w:rStyle w:val="TextoNormalCaracter"/>
          </w:rPr>
          <w:t>37/2015</w:t>
        </w:r>
      </w:hyperlink>
      <w:r>
        <w:t>, f. 3.</w:t>
      </w:r>
    </w:p>
    <w:p w:rsidR="00DD47EB" w:rsidRDefault="00DD47EB" w:rsidP="00DD47EB">
      <w:pPr>
        <w:pStyle w:val="SangriaFrancesaArticulo"/>
      </w:pPr>
      <w:r w:rsidRPr="00DD47EB">
        <w:rPr>
          <w:rStyle w:val="TextoNormalNegritaCaracter"/>
        </w:rPr>
        <w:t>Disposición adicional trigésimo quinta.</w:t>
      </w:r>
      <w:r w:rsidRPr="00DD47EB">
        <w:rPr>
          <w:rStyle w:val="TextoNormalCaracter"/>
        </w:rPr>
        <w:t>-</w:t>
      </w:r>
      <w:r>
        <w:t xml:space="preserve"> Auto </w:t>
      </w:r>
      <w:hyperlink w:anchor="AUTO_2015_37" w:history="1">
        <w:r w:rsidRPr="00DD47EB">
          <w:rPr>
            <w:rStyle w:val="TextoNormalCaracter"/>
          </w:rPr>
          <w:t>37/2015</w:t>
        </w:r>
      </w:hyperlink>
      <w:r>
        <w:t>, f. 1.</w:t>
      </w:r>
    </w:p>
    <w:p w:rsidR="00DD47EB" w:rsidRDefault="00DD47EB" w:rsidP="00DD47EB">
      <w:pPr>
        <w:pStyle w:val="SangriaFrancesaArticulo"/>
      </w:pPr>
      <w:r w:rsidRPr="00DD47EB">
        <w:rPr>
          <w:rStyle w:val="TextoNormalNegritaCaracter"/>
        </w:rPr>
        <w:t>Disposición adicional trigésimo quinta, apartado 1.</w:t>
      </w:r>
      <w:r w:rsidRPr="00DD47EB">
        <w:rPr>
          <w:rStyle w:val="TextoNormalCaracter"/>
        </w:rPr>
        <w:t>-</w:t>
      </w:r>
      <w:r>
        <w:t xml:space="preserve"> Auto </w:t>
      </w:r>
      <w:hyperlink w:anchor="AUTO_2015_37" w:history="1">
        <w:r w:rsidRPr="00DD47EB">
          <w:rPr>
            <w:rStyle w:val="TextoNormalCaracter"/>
          </w:rPr>
          <w:t>37/2015</w:t>
        </w:r>
      </w:hyperlink>
      <w:r>
        <w:t>, ff. 1, 3.</w:t>
      </w:r>
    </w:p>
    <w:p w:rsidR="00DD47EB" w:rsidRDefault="00DD47EB" w:rsidP="00DD47EB">
      <w:pPr>
        <w:pStyle w:val="SangriaFrancesaArticulo"/>
      </w:pPr>
    </w:p>
    <w:p w:rsidR="00DD47EB" w:rsidRDefault="00DD47EB" w:rsidP="00DD47EB">
      <w:pPr>
        <w:pStyle w:val="TextoNormalNegritaCursivandice"/>
      </w:pPr>
      <w:r>
        <w:t>Ley del Parlamento de Canarias 1/2013, de 25 de abril. Modificación del Texto Refundido de las Leyes de Ordenación del Territorio de Canarias y de Espacios Naturales de Canarias, aprobado por Decreto Legislativo 1/2000, de 8 de mayo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34 c).</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44 bis.</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Artículo 44.4.</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SangriaFrancesaArticulo"/>
      </w:pPr>
      <w:r w:rsidRPr="00DD47EB">
        <w:rPr>
          <w:rStyle w:val="TextoNormalNegritaCaracter"/>
        </w:rPr>
        <w:t>Disposición derogatoria.</w:t>
      </w:r>
      <w:r w:rsidRPr="00DD47EB">
        <w:rPr>
          <w:rStyle w:val="TextoNormalCaracter"/>
        </w:rPr>
        <w:t>-</w:t>
      </w:r>
      <w:r>
        <w:t xml:space="preserve"> Sentencia </w:t>
      </w:r>
      <w:hyperlink w:anchor="SENTENCIA_2015_5" w:history="1">
        <w:r w:rsidRPr="00DD47EB">
          <w:rPr>
            <w:rStyle w:val="TextoNormalCaracter"/>
          </w:rPr>
          <w:t>5/2015</w:t>
        </w:r>
      </w:hyperlink>
      <w:r>
        <w:t>, f. 2.</w:t>
      </w:r>
    </w:p>
    <w:p w:rsidR="00DD47EB" w:rsidRDefault="00DD47EB" w:rsidP="00DD47EB">
      <w:pPr>
        <w:pStyle w:val="TextoNormal"/>
      </w:pPr>
    </w:p>
    <w:p w:rsidR="00DD47EB" w:rsidRDefault="00DD47EB" w:rsidP="00DD47EB">
      <w:pPr>
        <w:pStyle w:val="TextoNormalNegritaCentradoSubrayado"/>
        <w:suppressAutoHyphens/>
      </w:pPr>
      <w:r>
        <w:t>J.5.c)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Acuerdo de la Consejería de Empleo y Asuntos Sociales de la Comunidad Autónoma de Canarias, de 19 de abril de 2004.  Convenio Colectivo de la empresa Instituto Astrofísico de Canarias para los años 2003-2004</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0" w:history="1">
        <w:r w:rsidRPr="00DD47EB">
          <w:rPr>
            <w:rStyle w:val="TextoNormalCaracter"/>
          </w:rPr>
          <w:t>100/2015</w:t>
        </w:r>
      </w:hyperlink>
      <w:r>
        <w:t>, f. 3.</w:t>
      </w:r>
    </w:p>
    <w:p w:rsidR="00DD47EB" w:rsidRDefault="00DD47EB" w:rsidP="00DD47EB">
      <w:pPr>
        <w:pStyle w:val="SangriaFrancesaArticulo"/>
      </w:pPr>
    </w:p>
    <w:p w:rsidR="00DD47EB" w:rsidRDefault="00DD47EB" w:rsidP="00DD47EB">
      <w:pPr>
        <w:pStyle w:val="TextoNormalNegritaCursivandice"/>
      </w:pPr>
      <w:r>
        <w:t>Decreto del Gobierno de Canarias 129/2006, de 26 de septiembre. Aprueba y desarrolla el modelo de carrera profesional del personal diplomado sanitario del Servicio canario de la salud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37" w:history="1">
        <w:r w:rsidRPr="00DD47EB">
          <w:rPr>
            <w:rStyle w:val="TextoNormalCaracter"/>
          </w:rPr>
          <w:t>37/2015</w:t>
        </w:r>
      </w:hyperlink>
      <w:r>
        <w:t>, f. 3.</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Auto </w:t>
      </w:r>
      <w:hyperlink w:anchor="AUTO_2015_37" w:history="1">
        <w:r w:rsidRPr="00DD47EB">
          <w:rPr>
            <w:rStyle w:val="TextoNormalCaracter"/>
          </w:rPr>
          <w:t>37/2015</w:t>
        </w:r>
      </w:hyperlink>
      <w:r>
        <w:t>, f. 3.</w:t>
      </w:r>
    </w:p>
    <w:p w:rsidR="00DD47EB" w:rsidRDefault="00DD47EB" w:rsidP="00DD47EB">
      <w:pPr>
        <w:pStyle w:val="SangriaFrancesaArticulo"/>
      </w:pPr>
    </w:p>
    <w:p w:rsidR="00DD47EB" w:rsidRDefault="00DD47EB" w:rsidP="00DD47EB">
      <w:pPr>
        <w:pStyle w:val="TextoNormalNegritaCursivandice"/>
      </w:pPr>
      <w:r>
        <w:t>Decreto del Gobierno de Canarias 94/2014, de 25 de septiembre. Reglamento de organización y funcionamiento del Registro de participación ciudadana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7" w:history="1">
        <w:r w:rsidRPr="00DD47EB">
          <w:rPr>
            <w:rStyle w:val="TextoNormalCaracter"/>
          </w:rPr>
          <w:t>137/2015</w:t>
        </w:r>
      </w:hyperlink>
      <w:r>
        <w:t>, f. 5.</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9.2 k).</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13.2.</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18.2.</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18.3.</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p>
    <w:p w:rsidR="00DD47EB" w:rsidRDefault="00DD47EB" w:rsidP="00DD47EB">
      <w:pPr>
        <w:pStyle w:val="TextoNormalNegritaCursivandice"/>
      </w:pPr>
      <w:r>
        <w:t>Decreto del Gobierno de Canarias 95/2014, de 25 de septiembre. Reglamento de las consultas a la ciudadanía en asuntos de interés general de competencia de la Comunidad Autónoma de Canarias</w:t>
      </w:r>
    </w:p>
    <w:p w:rsidR="00DD47EB" w:rsidRDefault="00DD47EB" w:rsidP="00DD47EB">
      <w:pPr>
        <w:pStyle w:val="SangriaFrancesaArticulo"/>
      </w:pPr>
      <w:r w:rsidRPr="00DD47EB">
        <w:rPr>
          <w:rStyle w:val="TextoNormalNegritaCaracter"/>
        </w:rPr>
        <w:t>Capítulo I.</w:t>
      </w:r>
      <w:r w:rsidRPr="00DD47EB">
        <w:rPr>
          <w:rStyle w:val="TextoNormalCaracter"/>
        </w:rPr>
        <w:t>-</w:t>
      </w:r>
      <w:r>
        <w:t xml:space="preserve"> Sentencia </w:t>
      </w:r>
      <w:hyperlink w:anchor="SENTENCIA_2015_137" w:history="1">
        <w:r w:rsidRPr="00DD47EB">
          <w:rPr>
            <w:rStyle w:val="TextoNormalCaracter"/>
          </w:rPr>
          <w:t>137/2015</w:t>
        </w:r>
      </w:hyperlink>
      <w:r>
        <w:t>, ff. 3, 7.</w:t>
      </w:r>
    </w:p>
    <w:p w:rsidR="00DD47EB" w:rsidRDefault="00DD47EB" w:rsidP="00DD47EB">
      <w:pPr>
        <w:pStyle w:val="SangriaFrancesaArticulo"/>
      </w:pPr>
      <w:r w:rsidRPr="00DD47EB">
        <w:rPr>
          <w:rStyle w:val="TextoNormalNegritaCaracter"/>
        </w:rPr>
        <w:t>Capitulo II.</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Capítulo III.</w:t>
      </w:r>
      <w:r w:rsidRPr="00DD47EB">
        <w:rPr>
          <w:rStyle w:val="TextoNormalCaracter"/>
        </w:rPr>
        <w:t>-</w:t>
      </w:r>
      <w:r>
        <w:t xml:space="preserve"> Auto </w:t>
      </w:r>
      <w:hyperlink w:anchor="AUTO_2015_53" w:history="1">
        <w:r w:rsidRPr="00DD47EB">
          <w:rPr>
            <w:rStyle w:val="TextoNormalCaracter"/>
          </w:rPr>
          <w:t>53/2015</w:t>
        </w:r>
      </w:hyperlink>
      <w:r>
        <w:t>, ff. 1, 2, 4.</w:t>
      </w:r>
    </w:p>
    <w:p w:rsidR="00DD47EB" w:rsidRDefault="00DD47EB" w:rsidP="00DD47EB">
      <w:pPr>
        <w:pStyle w:val="SangriaFrancesaArticulo"/>
      </w:pPr>
      <w:r w:rsidRPr="00DD47EB">
        <w:rPr>
          <w:rStyle w:val="TextoNormalNegritaCaracter"/>
        </w:rPr>
        <w:t>Disposición primera.</w:t>
      </w:r>
      <w:r w:rsidRPr="00DD47EB">
        <w:rPr>
          <w:rStyle w:val="TextoNormalCaracter"/>
        </w:rPr>
        <w:t>-</w:t>
      </w:r>
      <w:r>
        <w:t xml:space="preserve"> Auto </w:t>
      </w:r>
      <w:hyperlink w:anchor="AUTO_2015_53" w:history="1">
        <w:r w:rsidRPr="00DD47EB">
          <w:rPr>
            <w:rStyle w:val="TextoNormalCaracter"/>
          </w:rPr>
          <w:t>53/2015</w:t>
        </w:r>
      </w:hyperlink>
      <w:r>
        <w:t>, ff. 1, 2, 4.</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37" w:history="1">
        <w:r w:rsidRPr="00DD47EB">
          <w:rPr>
            <w:rStyle w:val="TextoNormalCaracter"/>
          </w:rPr>
          <w:t>137/2015</w:t>
        </w:r>
      </w:hyperlink>
      <w:r>
        <w:t xml:space="preserve">, ff. 2, 3, 5 a 7; </w:t>
      </w:r>
      <w:hyperlink w:anchor="SENTENCIA_2015_147" w:history="1">
        <w:r w:rsidRPr="00DD47EB">
          <w:rPr>
            <w:rStyle w:val="TextoNormalCaracter"/>
          </w:rPr>
          <w:t>147/2015</w:t>
        </w:r>
      </w:hyperlink>
      <w:r>
        <w:t>, ff. 1, 4.</w:t>
      </w:r>
    </w:p>
    <w:p w:rsidR="00DD47EB" w:rsidRDefault="00DD47EB" w:rsidP="00DD47EB">
      <w:pPr>
        <w:pStyle w:val="SangriaFrancesaArticulo"/>
      </w:pPr>
      <w:r w:rsidRPr="00DD47EB">
        <w:rPr>
          <w:rStyle w:val="TextoNormalNegritaCaracter"/>
        </w:rPr>
        <w:t>Capítulo I.</w:t>
      </w:r>
      <w:r w:rsidRPr="00DD47EB">
        <w:rPr>
          <w:rStyle w:val="TextoNormalCaracter"/>
        </w:rPr>
        <w:t>-</w:t>
      </w:r>
      <w:r>
        <w:t xml:space="preserve"> Auto </w:t>
      </w:r>
      <w:hyperlink w:anchor="AUTO_2015_53" w:history="1">
        <w:r w:rsidRPr="00DD47EB">
          <w:rPr>
            <w:rStyle w:val="TextoNormalCaracter"/>
          </w:rPr>
          <w:t>53/2015</w:t>
        </w:r>
      </w:hyperlink>
      <w:r>
        <w:t>, ff. 1, 2, 4.</w:t>
      </w:r>
    </w:p>
    <w:p w:rsidR="00DD47EB" w:rsidRDefault="00DD47EB" w:rsidP="00DD47EB">
      <w:pPr>
        <w:pStyle w:val="SangriaFrancesaArticulo"/>
      </w:pPr>
      <w:r w:rsidRPr="00DD47EB">
        <w:rPr>
          <w:rStyle w:val="TextoNormalNegritaCaracter"/>
        </w:rPr>
        <w:t>Capítulo III.</w:t>
      </w:r>
      <w:r w:rsidRPr="00DD47EB">
        <w:rPr>
          <w:rStyle w:val="TextoNormalCaracter"/>
        </w:rPr>
        <w:t>-</w:t>
      </w:r>
      <w:r>
        <w:t xml:space="preserve"> Sentencia </w:t>
      </w:r>
      <w:hyperlink w:anchor="SENTENCIA_2015_137" w:history="1">
        <w:r w:rsidRPr="00DD47EB">
          <w:rPr>
            <w:rStyle w:val="TextoNormalCaracter"/>
          </w:rPr>
          <w:t>137/2015</w:t>
        </w:r>
      </w:hyperlink>
      <w:r>
        <w:t>, ff. 1, 3 a 8.</w:t>
      </w:r>
    </w:p>
    <w:p w:rsidR="00DD47EB" w:rsidRDefault="00DD47EB" w:rsidP="00DD47EB">
      <w:pPr>
        <w:pStyle w:val="SangriaFrancesaArticulo"/>
      </w:pPr>
      <w:r w:rsidRPr="00DD47EB">
        <w:rPr>
          <w:rStyle w:val="TextoNormalNegritaCaracter"/>
        </w:rPr>
        <w:t>Capítulo III, artículos 9 a 26.</w:t>
      </w:r>
      <w:r w:rsidRPr="00DD47EB">
        <w:rPr>
          <w:rStyle w:val="TextoNormalCaracter"/>
        </w:rPr>
        <w:t>-</w:t>
      </w:r>
      <w:r>
        <w:t xml:space="preserve"> Sentencia </w:t>
      </w:r>
      <w:hyperlink w:anchor="SENTENCIA_2015_147" w:history="1">
        <w:r w:rsidRPr="00DD47EB">
          <w:rPr>
            <w:rStyle w:val="TextoNormalCaracter"/>
          </w:rPr>
          <w:t>147/2015</w:t>
        </w:r>
      </w:hyperlink>
      <w:r>
        <w:t>, f. 4.</w:t>
      </w:r>
    </w:p>
    <w:p w:rsidR="00DD47EB" w:rsidRDefault="00DD47EB" w:rsidP="00DD47EB">
      <w:pPr>
        <w:pStyle w:val="SangriaFrancesaArticulo"/>
      </w:pPr>
      <w:r w:rsidRPr="00DD47EB">
        <w:rPr>
          <w:rStyle w:val="TextoNormalNegritaCaracter"/>
        </w:rPr>
        <w:t>Capítulo IV.</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único.</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137" w:history="1">
        <w:r w:rsidRPr="00DD47EB">
          <w:rPr>
            <w:rStyle w:val="TextoNormalCaracter"/>
          </w:rPr>
          <w:t>137/2015</w:t>
        </w:r>
      </w:hyperlink>
      <w:r>
        <w:t>, ff. 1 a 3, 6, 8.</w:t>
      </w:r>
    </w:p>
    <w:p w:rsidR="00DD47EB" w:rsidRDefault="00DD47EB" w:rsidP="00DD47EB">
      <w:pPr>
        <w:pStyle w:val="SangriaFrancesaArticulo"/>
      </w:pPr>
      <w:r w:rsidRPr="00DD47EB">
        <w:rPr>
          <w:rStyle w:val="TextoNormalNegritaCaracter"/>
        </w:rPr>
        <w:t>Artículo 3 b).</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Artículos 3 y 4.</w:t>
      </w:r>
      <w:r w:rsidRPr="00DD47EB">
        <w:rPr>
          <w:rStyle w:val="TextoNormalCaracter"/>
        </w:rPr>
        <w:t>-</w:t>
      </w:r>
      <w:r>
        <w:t xml:space="preserve"> Auto </w:t>
      </w:r>
      <w:hyperlink w:anchor="AUTO_2015_53" w:history="1">
        <w:r w:rsidRPr="00DD47EB">
          <w:rPr>
            <w:rStyle w:val="TextoNormalCaracter"/>
          </w:rPr>
          <w:t>53/2015</w:t>
        </w:r>
      </w:hyperlink>
      <w:r>
        <w:t>, ff. 1, 2, 4.</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37" w:history="1">
        <w:r w:rsidRPr="00DD47EB">
          <w:rPr>
            <w:rStyle w:val="TextoNormalCaracter"/>
          </w:rPr>
          <w:t>137/2015</w:t>
        </w:r>
      </w:hyperlink>
      <w:r>
        <w:t>, ff. 1, 3, 7.</w:t>
      </w:r>
    </w:p>
    <w:p w:rsidR="00DD47EB" w:rsidRDefault="00DD47EB" w:rsidP="00DD47EB">
      <w:pPr>
        <w:pStyle w:val="SangriaFrancesaArticulo"/>
      </w:pPr>
      <w:r w:rsidRPr="00DD47EB">
        <w:rPr>
          <w:rStyle w:val="TextoNormalNegritaCaracter"/>
        </w:rPr>
        <w:t>Artículos 5 a 8.</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137" w:history="1">
        <w:r w:rsidRPr="00DD47EB">
          <w:rPr>
            <w:rStyle w:val="TextoNormalCaracter"/>
          </w:rPr>
          <w:t>137/2015</w:t>
        </w:r>
      </w:hyperlink>
      <w:r>
        <w:t>, ff. 1, 3, 5.</w:t>
      </w:r>
    </w:p>
    <w:p w:rsidR="00DD47EB" w:rsidRDefault="00DD47EB" w:rsidP="00DD47EB">
      <w:pPr>
        <w:pStyle w:val="SangriaFrancesaArticulo"/>
      </w:pPr>
      <w:r w:rsidRPr="00DD47EB">
        <w:rPr>
          <w:rStyle w:val="TextoNormalNegritaCaracter"/>
        </w:rPr>
        <w:t>Artículos 9 a 26.</w:t>
      </w:r>
      <w:r w:rsidRPr="00DD47EB">
        <w:rPr>
          <w:rStyle w:val="TextoNormalCaracter"/>
        </w:rPr>
        <w:t>-</w:t>
      </w:r>
      <w:r>
        <w:t xml:space="preserve"> Sentencia </w:t>
      </w:r>
      <w:hyperlink w:anchor="SENTENCIA_2015_137" w:history="1">
        <w:r w:rsidRPr="00DD47EB">
          <w:rPr>
            <w:rStyle w:val="TextoNormalCaracter"/>
          </w:rPr>
          <w:t>137/2015</w:t>
        </w:r>
      </w:hyperlink>
      <w:r>
        <w:t>, f. 1.</w:t>
      </w:r>
    </w:p>
    <w:p w:rsidR="00DD47EB" w:rsidRDefault="00DD47EB" w:rsidP="00DD47EB">
      <w:pPr>
        <w:pStyle w:val="SangriaIzquierdaArticulo"/>
      </w:pPr>
      <w:r>
        <w:t xml:space="preserve">Auto </w:t>
      </w:r>
      <w:hyperlink w:anchor="AUTO_2015_53" w:history="1">
        <w:r w:rsidRPr="00DD47EB">
          <w:rPr>
            <w:rStyle w:val="TextoNormalCaracter"/>
          </w:rPr>
          <w:t>53/2015</w:t>
        </w:r>
      </w:hyperlink>
      <w:r>
        <w:t>, ff. 1, 2, 4.</w:t>
      </w:r>
    </w:p>
    <w:p w:rsidR="00DD47EB" w:rsidRDefault="00DD47EB" w:rsidP="00DD47EB">
      <w:pPr>
        <w:pStyle w:val="SangriaFrancesaArticulo"/>
      </w:pPr>
      <w:r w:rsidRPr="00DD47EB">
        <w:rPr>
          <w:rStyle w:val="TextoNormalNegritaCaracter"/>
        </w:rPr>
        <w:t>Artículos 10 a 13.</w:t>
      </w:r>
      <w:r w:rsidRPr="00DD47EB">
        <w:rPr>
          <w:rStyle w:val="TextoNormalCaracter"/>
        </w:rPr>
        <w:t>-</w:t>
      </w:r>
      <w:r>
        <w:t xml:space="preserve"> Sentencia </w:t>
      </w:r>
      <w:r w:rsidRPr="00DD47EB">
        <w:rPr>
          <w:rStyle w:val="TextoNormalCaracter"/>
        </w:rPr>
        <w:fldChar w:fldCharType="begin">
          <w:fldData xml:space="preserve">CNDJ6nn5us4RjIIAqgBLqQsCAAAACAAAABAAAABTAFUATQBBAFIASQBPAFMASQBOAEQASQBDAEUA
UwAAAA==
</w:fldData>
        </w:fldChar>
      </w:r>
      <w:r w:rsidRPr="00DD47EB">
        <w:rPr>
          <w:rStyle w:val="TextoNormalCaracter"/>
        </w:rPr>
        <w:instrText xml:space="preserve"> HY</w:instrText>
      </w:r>
      <w:r w:rsidR="00FD0DC7">
        <w:rPr>
          <w:rStyle w:val="TextoNormalCaracter"/>
        </w:rPr>
        <w:fldChar w:fldCharType="begin"/>
      </w:r>
      <w:r w:rsidR="00FD0DC7">
        <w:rPr>
          <w:rStyle w:val="TextoNormalCaracter"/>
        </w:rPr>
        <w:instrText xml:space="preserve"> PAGEREF SUMARIOSINDICES \h </w:instrText>
      </w:r>
      <w:r w:rsidR="00FD0DC7">
        <w:rPr>
          <w:rStyle w:val="TextoNormalCaracter"/>
        </w:rPr>
      </w:r>
      <w:r w:rsidR="00FD0DC7">
        <w:rPr>
          <w:rStyle w:val="TextoNormalCaracter"/>
        </w:rPr>
        <w:fldChar w:fldCharType="separate"/>
      </w:r>
      <w:r w:rsidR="00AA6B4A">
        <w:rPr>
          <w:rStyle w:val="TextoNormalCaracter"/>
          <w:noProof/>
        </w:rPr>
        <w:instrText>2</w:instrText>
      </w:r>
      <w:r w:rsidR="00FD0DC7">
        <w:rPr>
          <w:rStyle w:val="TextoNormalCaracter"/>
        </w:rPr>
        <w:fldChar w:fldCharType="end"/>
      </w:r>
      <w:r w:rsidRPr="00DD47EB">
        <w:rPr>
          <w:rStyle w:val="TextoNormalCaracter"/>
        </w:rPr>
        <w:instrText xml:space="preserve">PERLINK  \l "SENTENCIA_2015_137" </w:instrText>
      </w:r>
      <w:r w:rsidRPr="00DD47EB">
        <w:rPr>
          <w:rStyle w:val="TextoNormalCaracter"/>
        </w:rPr>
        <w:fldChar w:fldCharType="separate"/>
      </w:r>
      <w:r w:rsidR="00FD0DC7">
        <w:rPr>
          <w:rStyle w:val="TextoNormalCaracter"/>
          <w:b/>
          <w:bCs/>
        </w:rPr>
        <w:t>¡Error! Marcador no definido.</w:t>
      </w:r>
      <w:r w:rsidRPr="00DD47EB">
        <w:rPr>
          <w:rStyle w:val="TextoNormalCaracter"/>
        </w:rPr>
        <w:fldChar w:fldCharType="end"/>
      </w:r>
      <w:r>
        <w:t>, f. 3.</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137" w:history="1">
        <w:r w:rsidRPr="00DD47EB">
          <w:rPr>
            <w:rStyle w:val="TextoNormalCaracter"/>
          </w:rPr>
          <w:t>137/2015</w:t>
        </w:r>
      </w:hyperlink>
      <w:r>
        <w:t>, f. 5.</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12.1.</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14.1.</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14.2 b).</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Artículos 14 a 26.</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15.1.</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15.2.</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15.2 b).</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15.2 f).</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16.1.</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Artículos 18 a 25.</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19.</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21.1.</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21.3.</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24.1.</w:t>
      </w:r>
      <w:r w:rsidRPr="00DD47EB">
        <w:rPr>
          <w:rStyle w:val="TextoNormalCaracter"/>
        </w:rPr>
        <w:t>-</w:t>
      </w:r>
      <w:r>
        <w:t xml:space="preserve"> Sentencia </w:t>
      </w:r>
      <w:hyperlink w:anchor="SENTENCIA_2015_137" w:history="1">
        <w:r w:rsidRPr="00DD47EB">
          <w:rPr>
            <w:rStyle w:val="TextoNormalCaracter"/>
          </w:rPr>
          <w:t>137/2015</w:t>
        </w:r>
      </w:hyperlink>
      <w:r>
        <w:t>, f. 5.</w:t>
      </w:r>
    </w:p>
    <w:p w:rsidR="00DD47EB" w:rsidRDefault="00DD47EB" w:rsidP="00DD47EB">
      <w:pPr>
        <w:pStyle w:val="SangriaFrancesaArticulo"/>
      </w:pPr>
      <w:r w:rsidRPr="00DD47EB">
        <w:rPr>
          <w:rStyle w:val="TextoNormalNegritaCaracter"/>
        </w:rPr>
        <w:t>Artículo 24.2.</w:t>
      </w:r>
      <w:r w:rsidRPr="00DD47EB">
        <w:rPr>
          <w:rStyle w:val="TextoNormalCaracter"/>
        </w:rPr>
        <w:t>-</w:t>
      </w:r>
      <w:r>
        <w:t xml:space="preserve"> Sentencia </w:t>
      </w:r>
      <w:hyperlink w:anchor="SENTENCIA_2015_137" w:history="1">
        <w:r w:rsidRPr="00DD47EB">
          <w:rPr>
            <w:rStyle w:val="TextoNormalCaracter"/>
          </w:rPr>
          <w:t>137/2015</w:t>
        </w:r>
      </w:hyperlink>
      <w:r>
        <w:t>, ff. 5, 6.</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25.1.</w:t>
      </w:r>
      <w:r w:rsidRPr="00DD47EB">
        <w:rPr>
          <w:rStyle w:val="TextoNormalCaracter"/>
        </w:rPr>
        <w:t>-</w:t>
      </w:r>
      <w:r>
        <w:t xml:space="preserve"> Sentencia </w:t>
      </w:r>
      <w:hyperlink w:anchor="SENTENCIA_2015_137" w:history="1">
        <w:r w:rsidRPr="00DD47EB">
          <w:rPr>
            <w:rStyle w:val="TextoNormalCaracter"/>
          </w:rPr>
          <w:t>137/2015</w:t>
        </w:r>
      </w:hyperlink>
      <w:r>
        <w:t>, f. 5.</w:t>
      </w:r>
    </w:p>
    <w:p w:rsidR="00DD47EB" w:rsidRDefault="00DD47EB" w:rsidP="00DD47EB">
      <w:pPr>
        <w:pStyle w:val="SangriaFrancesaArticulo"/>
      </w:pPr>
      <w:r w:rsidRPr="00DD47EB">
        <w:rPr>
          <w:rStyle w:val="TextoNormalNegritaCaracter"/>
        </w:rPr>
        <w:t>Artículo 25.2.</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25.3.</w:t>
      </w:r>
      <w:r w:rsidRPr="00DD47EB">
        <w:rPr>
          <w:rStyle w:val="TextoNormalCaracter"/>
        </w:rPr>
        <w:t>-</w:t>
      </w:r>
      <w:r>
        <w:t xml:space="preserve"> Sentencia </w:t>
      </w:r>
      <w:hyperlink w:anchor="SENTENCIA_2015_137" w:history="1">
        <w:r w:rsidRPr="00DD47EB">
          <w:rPr>
            <w:rStyle w:val="TextoNormalCaracter"/>
          </w:rPr>
          <w:t>137/2015</w:t>
        </w:r>
      </w:hyperlink>
      <w:r>
        <w:t>, f. 6.</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137" w:history="1">
        <w:r w:rsidRPr="00DD47EB">
          <w:rPr>
            <w:rStyle w:val="TextoNormalCaracter"/>
          </w:rPr>
          <w:t>137/2015</w:t>
        </w:r>
      </w:hyperlink>
      <w:r>
        <w:t>, ff. 1, 3, 5, 6.</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 </w:t>
      </w:r>
      <w:hyperlink w:anchor="SENTENCIA_2015_137" w:history="1">
        <w:r w:rsidRPr="00DD47EB">
          <w:rPr>
            <w:rStyle w:val="TextoNormalCaracter"/>
          </w:rPr>
          <w:t>137/2015</w:t>
        </w:r>
      </w:hyperlink>
      <w:r>
        <w:t>, ff. 3, 6.</w:t>
      </w:r>
    </w:p>
    <w:p w:rsidR="00DD47EB" w:rsidRDefault="00DD47EB" w:rsidP="00DD47EB">
      <w:pPr>
        <w:pStyle w:val="SangriaFrancesaArticulo"/>
      </w:pPr>
      <w:r w:rsidRPr="00DD47EB">
        <w:rPr>
          <w:rStyle w:val="TextoNormalNegritaCaracter"/>
        </w:rPr>
        <w:t>Artículo 27.2.</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Disposición adicional única.</w:t>
      </w:r>
      <w:r w:rsidRPr="00DD47EB">
        <w:rPr>
          <w:rStyle w:val="TextoNormalCaracter"/>
        </w:rPr>
        <w:t>-</w:t>
      </w:r>
      <w:r>
        <w:t xml:space="preserve"> Sentencia </w:t>
      </w:r>
      <w:hyperlink w:anchor="SENTENCIA_2015_137" w:history="1">
        <w:r w:rsidRPr="00DD47EB">
          <w:rPr>
            <w:rStyle w:val="TextoNormalCaracter"/>
          </w:rPr>
          <w:t>137/2015</w:t>
        </w:r>
      </w:hyperlink>
      <w:r>
        <w:t>, f. 3.</w:t>
      </w:r>
    </w:p>
    <w:p w:rsidR="00DD47EB" w:rsidRDefault="00DD47EB" w:rsidP="00DD47EB">
      <w:pPr>
        <w:pStyle w:val="SangriaFrancesaArticulo"/>
      </w:pPr>
      <w:r w:rsidRPr="00DD47EB">
        <w:rPr>
          <w:rStyle w:val="TextoNormalNegritaCaracter"/>
        </w:rPr>
        <w:t>Disposición derogatoria única.</w:t>
      </w:r>
      <w:r w:rsidRPr="00DD47EB">
        <w:rPr>
          <w:rStyle w:val="TextoNormalCaracter"/>
        </w:rPr>
        <w:t>-</w:t>
      </w:r>
      <w:r>
        <w:t xml:space="preserve"> Sentencia </w:t>
      </w:r>
      <w:hyperlink w:anchor="SENTENCIA_2015_137" w:history="1">
        <w:r w:rsidRPr="00DD47EB">
          <w:rPr>
            <w:rStyle w:val="TextoNormalCaracter"/>
          </w:rPr>
          <w:t>137/2015</w:t>
        </w:r>
      </w:hyperlink>
      <w:r>
        <w:t>, ff. 1, 3.</w:t>
      </w:r>
    </w:p>
    <w:p w:rsidR="00DD47EB" w:rsidRDefault="00DD47EB" w:rsidP="00DD47EB">
      <w:pPr>
        <w:pStyle w:val="SangriaIzquierdaArticulo"/>
      </w:pPr>
      <w:r>
        <w:t xml:space="preserve">Auto </w:t>
      </w:r>
      <w:hyperlink w:anchor="AUTO_2015_53" w:history="1">
        <w:r w:rsidRPr="00DD47EB">
          <w:rPr>
            <w:rStyle w:val="TextoNormalCaracter"/>
          </w:rPr>
          <w:t>53/2015</w:t>
        </w:r>
      </w:hyperlink>
      <w:r>
        <w:t>, ff. 1, 2, 4.</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137" w:history="1">
        <w:r w:rsidRPr="00DD47EB">
          <w:rPr>
            <w:rStyle w:val="TextoNormalCaracter"/>
          </w:rPr>
          <w:t>137/2015</w:t>
        </w:r>
      </w:hyperlink>
      <w:r>
        <w:t>, ff. 1, 3.</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37" w:history="1">
        <w:r w:rsidRPr="00DD47EB">
          <w:rPr>
            <w:rStyle w:val="TextoNormalCaracter"/>
          </w:rPr>
          <w:t>137/2015</w:t>
        </w:r>
      </w:hyperlink>
      <w:r>
        <w:t>, ff. 1, 3.</w:t>
      </w:r>
    </w:p>
    <w:p w:rsidR="00DD47EB" w:rsidRDefault="00DD47EB" w:rsidP="00DD47EB">
      <w:pPr>
        <w:pStyle w:val="SangriaIzquierdaArticulo"/>
      </w:pPr>
      <w:r>
        <w:t xml:space="preserve">Auto </w:t>
      </w:r>
      <w:hyperlink w:anchor="AUTO_2015_53" w:history="1">
        <w:r w:rsidRPr="00DD47EB">
          <w:rPr>
            <w:rStyle w:val="TextoNormalCaracter"/>
          </w:rPr>
          <w:t>53/2015</w:t>
        </w:r>
      </w:hyperlink>
      <w:r>
        <w:t>, ff. 1, 2, 4.</w:t>
      </w:r>
    </w:p>
    <w:p w:rsidR="00DD47EB" w:rsidRDefault="00DD47EB" w:rsidP="00DD47EB">
      <w:pPr>
        <w:pStyle w:val="SangriaFrancesaArticulo"/>
      </w:pPr>
      <w:r w:rsidRPr="00DD47EB">
        <w:rPr>
          <w:rStyle w:val="TextoNormalNegritaCaracter"/>
        </w:rPr>
        <w:t>Anexo.</w:t>
      </w:r>
      <w:r w:rsidRPr="00DD47EB">
        <w:rPr>
          <w:rStyle w:val="TextoNormalCaracter"/>
        </w:rPr>
        <w:t>-</w:t>
      </w:r>
      <w:r>
        <w:t xml:space="preserve"> Auto </w:t>
      </w:r>
      <w:hyperlink w:anchor="AUTO_2015_53" w:history="1">
        <w:r w:rsidRPr="00DD47EB">
          <w:rPr>
            <w:rStyle w:val="TextoNormalCaracter"/>
          </w:rPr>
          <w:t>53/2015</w:t>
        </w:r>
      </w:hyperlink>
      <w:r>
        <w:t>, ff. 1, 2, 4.</w:t>
      </w:r>
    </w:p>
    <w:p w:rsidR="00DD47EB" w:rsidRDefault="00DD47EB" w:rsidP="00DD47EB">
      <w:pPr>
        <w:pStyle w:val="SangriaFrancesaArticulo"/>
      </w:pPr>
    </w:p>
    <w:p w:rsidR="00DD47EB" w:rsidRDefault="00DD47EB" w:rsidP="00DD47EB">
      <w:pPr>
        <w:pStyle w:val="TextoNormalNegritaCursivandice"/>
      </w:pPr>
      <w:r>
        <w:t>Decreto del Gobierno de Canarias 107/2014, de 2 de octubre. Se convoca consulta ciudadana mediante pregunta directa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Autos </w:t>
      </w:r>
      <w:hyperlink w:anchor="AUTO_2015_53" w:history="1">
        <w:r w:rsidRPr="00DD47EB">
          <w:rPr>
            <w:rStyle w:val="TextoNormalCaracter"/>
          </w:rPr>
          <w:t>53/2015</w:t>
        </w:r>
      </w:hyperlink>
      <w:r>
        <w:t xml:space="preserve">, f. 4; </w:t>
      </w:r>
      <w:hyperlink w:anchor="AUTO_2015_54" w:history="1">
        <w:r w:rsidRPr="00DD47EB">
          <w:rPr>
            <w:rStyle w:val="TextoNormalCaracter"/>
          </w:rPr>
          <w:t>54/2015</w:t>
        </w:r>
      </w:hyperlink>
      <w:r>
        <w:t>, f. único.</w:t>
      </w:r>
    </w:p>
    <w:p w:rsidR="00DD47EB" w:rsidRDefault="00DD47EB" w:rsidP="00DD47EB">
      <w:pPr>
        <w:pStyle w:val="SangriaFrancesaArticulo"/>
      </w:pPr>
      <w:r w:rsidRPr="00DD47EB">
        <w:rPr>
          <w:rStyle w:val="TextoNormalNegritaCaracter"/>
        </w:rPr>
        <w:t>Apartado 3.2.</w:t>
      </w:r>
      <w:r w:rsidRPr="00DD47EB">
        <w:rPr>
          <w:rStyle w:val="TextoNormalCaracter"/>
        </w:rPr>
        <w:t>-</w:t>
      </w:r>
      <w:r>
        <w:t xml:space="preserve"> Sentencia </w:t>
      </w:r>
      <w:hyperlink w:anchor="SENTENCIA_2015_147" w:history="1">
        <w:r w:rsidRPr="00DD47EB">
          <w:rPr>
            <w:rStyle w:val="TextoNormalCaracter"/>
          </w:rPr>
          <w:t>147/2015</w:t>
        </w:r>
      </w:hyperlink>
      <w:r>
        <w:t>, ff. 1, 4.</w:t>
      </w:r>
    </w:p>
    <w:p w:rsidR="00DD47EB" w:rsidRDefault="00DD47EB" w:rsidP="00DD47EB">
      <w:pPr>
        <w:pStyle w:val="SangriaFrancesaArticulo"/>
      </w:pPr>
      <w:r w:rsidRPr="00DD47EB">
        <w:rPr>
          <w:rStyle w:val="TextoNormalNegritaCaracter"/>
        </w:rPr>
        <w:t>Apartados 1, 2, 4 ,5.</w:t>
      </w:r>
      <w:r w:rsidRPr="00DD47EB">
        <w:rPr>
          <w:rStyle w:val="TextoNormalCaracter"/>
        </w:rPr>
        <w:t>-</w:t>
      </w:r>
      <w:r>
        <w:t xml:space="preserve"> Sentencia </w:t>
      </w:r>
      <w:hyperlink w:anchor="SENTENCIA_2015_147" w:history="1">
        <w:r w:rsidRPr="00DD47EB">
          <w:rPr>
            <w:rStyle w:val="TextoNormalCaracter"/>
          </w:rPr>
          <w:t>147/2015</w:t>
        </w:r>
      </w:hyperlink>
      <w:r>
        <w:t>, f. 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7" w:history="1">
        <w:r w:rsidRPr="00DD47EB">
          <w:rPr>
            <w:rStyle w:val="TextoNormalCaracter"/>
          </w:rPr>
          <w:t>147/2015</w:t>
        </w:r>
      </w:hyperlink>
      <w:r>
        <w:t>, ff. 3, 4.</w:t>
      </w:r>
    </w:p>
    <w:p w:rsidR="00DD47EB" w:rsidRDefault="00DD47EB" w:rsidP="00DD47EB">
      <w:pPr>
        <w:pStyle w:val="SangriaFrancesaArticulo"/>
      </w:pPr>
      <w:r w:rsidRPr="00DD47EB">
        <w:rPr>
          <w:rStyle w:val="TextoNormalNegritaCaracter"/>
        </w:rPr>
        <w:t>Apartado 3.</w:t>
      </w:r>
      <w:r w:rsidRPr="00DD47EB">
        <w:rPr>
          <w:rStyle w:val="TextoNormalCaracter"/>
        </w:rPr>
        <w:t>-</w:t>
      </w:r>
      <w:r>
        <w:t xml:space="preserve"> Sentencia </w:t>
      </w:r>
      <w:hyperlink w:anchor="SENTENCIA_2015_147" w:history="1">
        <w:r w:rsidRPr="00DD47EB">
          <w:rPr>
            <w:rStyle w:val="TextoNormalCaracter"/>
          </w:rPr>
          <w:t>147/2015</w:t>
        </w:r>
      </w:hyperlink>
      <w:r>
        <w:t>, f. 1.</w:t>
      </w:r>
    </w:p>
    <w:p w:rsidR="00DD47EB" w:rsidRDefault="00DD47EB" w:rsidP="00DD47EB">
      <w:pPr>
        <w:pStyle w:val="SangriaFrancesaArticulo"/>
      </w:pPr>
      <w:r w:rsidRPr="00DD47EB">
        <w:rPr>
          <w:rStyle w:val="TextoNormalNegritaCaracter"/>
        </w:rPr>
        <w:t>Apartado 3.1.</w:t>
      </w:r>
      <w:r w:rsidRPr="00DD47EB">
        <w:rPr>
          <w:rStyle w:val="TextoNormalCaracter"/>
        </w:rPr>
        <w:t>-</w:t>
      </w:r>
      <w:r>
        <w:t xml:space="preserve"> Sentencia </w:t>
      </w:r>
      <w:hyperlink w:anchor="SENTENCIA_2015_147" w:history="1">
        <w:r w:rsidRPr="00DD47EB">
          <w:rPr>
            <w:rStyle w:val="TextoNormalCaracter"/>
          </w:rPr>
          <w:t>147/2015</w:t>
        </w:r>
      </w:hyperlink>
      <w:r>
        <w:t>, ff. 1, 4.</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147" w:history="1">
        <w:r w:rsidRPr="00DD47EB">
          <w:rPr>
            <w:rStyle w:val="TextoNormalCaracter"/>
          </w:rPr>
          <w:t>147/2015</w:t>
        </w:r>
      </w:hyperlink>
      <w:r>
        <w:t>, f. 1.</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J.6) Cantabria</w:t>
      </w:r>
    </w:p>
    <w:p w:rsidR="00DD47EB" w:rsidRDefault="00DD47EB" w:rsidP="00DD47EB">
      <w:pPr>
        <w:pStyle w:val="TextoNormal"/>
      </w:pPr>
    </w:p>
    <w:p w:rsidR="00DD47EB" w:rsidRDefault="00DD47EB" w:rsidP="00DD47EB">
      <w:pPr>
        <w:pStyle w:val="TextoNormalNegritaCentradoSubrayado"/>
        <w:suppressAutoHyphens/>
      </w:pPr>
      <w:r>
        <w:t>J.6.a) Estatuto de Autonomía</w:t>
      </w:r>
    </w:p>
    <w:p w:rsidR="00DD47EB" w:rsidRDefault="00DD47EB" w:rsidP="00DD47EB">
      <w:pPr>
        <w:pStyle w:val="TextoNormalNegritaCentradoSubrayado"/>
      </w:pPr>
    </w:p>
    <w:p w:rsidR="00DD47EB" w:rsidRDefault="00DD47EB" w:rsidP="00DD47EB">
      <w:pPr>
        <w:pStyle w:val="TextoNormalNegritaCursivandice"/>
      </w:pPr>
      <w:r>
        <w:t>Ley Orgánica 8/1981, de 30 de diciembre. Estatuto de Autonomía de Cantabria</w:t>
      </w:r>
    </w:p>
    <w:p w:rsidR="00DD47EB" w:rsidRDefault="00DD47EB" w:rsidP="00DD47EB">
      <w:pPr>
        <w:pStyle w:val="SangriaFrancesaArticulo"/>
      </w:pPr>
      <w:r w:rsidRPr="00DD47EB">
        <w:rPr>
          <w:rStyle w:val="TextoNormalNegritaCaracter"/>
        </w:rPr>
        <w:t>Artículo 24.3.</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ff. 4, 7, 8.</w:t>
      </w:r>
    </w:p>
    <w:p w:rsidR="00DD47EB" w:rsidRDefault="00DD47EB" w:rsidP="00DD47EB">
      <w:pPr>
        <w:pStyle w:val="SangriaFrancesaArticulo"/>
      </w:pPr>
      <w:r w:rsidRPr="00DD47EB">
        <w:rPr>
          <w:rStyle w:val="TextoNormalNegritaCaracter"/>
        </w:rPr>
        <w:t>Artículo 25.7.</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TextoNormal"/>
      </w:pPr>
    </w:p>
    <w:p w:rsidR="00DD47EB" w:rsidRDefault="00DD47EB" w:rsidP="00DD47EB">
      <w:pPr>
        <w:pStyle w:val="TextoNormalNegritaCentradoSubrayado"/>
        <w:suppressAutoHyphens/>
      </w:pPr>
      <w:r>
        <w:t>J.6.b)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del Parlamento de Cantabria 2/2001, de 25 de junio. Ordenación territorial y régimen urbanístico del suelo de Cantabria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57" w:history="1">
        <w:r w:rsidRPr="00DD47EB">
          <w:rPr>
            <w:rStyle w:val="TextoNormalCaracter"/>
          </w:rPr>
          <w:t>57/2015</w:t>
        </w:r>
      </w:hyperlink>
      <w:r>
        <w:t xml:space="preserve">, ff. 6, 14, 21, 24;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12 e).</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Sentencias </w:t>
      </w:r>
      <w:hyperlink w:anchor="SENTENCIA_2015_57" w:history="1">
        <w:r w:rsidRPr="00DD47EB">
          <w:rPr>
            <w:rStyle w:val="TextoNormalCaracter"/>
          </w:rPr>
          <w:t>57/2015</w:t>
        </w:r>
      </w:hyperlink>
      <w:r>
        <w:t xml:space="preserve">, ff. 1,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16 c).</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16 d).</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Artículo 20.1.</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Sentencias </w:t>
      </w:r>
      <w:hyperlink w:anchor="SENTENCIA_2015_57" w:history="1">
        <w:r w:rsidRPr="00DD47EB">
          <w:rPr>
            <w:rStyle w:val="TextoNormalCaracter"/>
          </w:rPr>
          <w:t>57/2015</w:t>
        </w:r>
      </w:hyperlink>
      <w:r>
        <w:t xml:space="preserve">, f. 18; </w:t>
      </w:r>
      <w:hyperlink w:anchor="SENTENCIA_2015_92" w:history="1">
        <w:r w:rsidRPr="00DD47EB">
          <w:rPr>
            <w:rStyle w:val="TextoNormalCaracter"/>
          </w:rPr>
          <w:t>92/2015</w:t>
        </w:r>
      </w:hyperlink>
      <w:r>
        <w:t>, f. 11.</w:t>
      </w:r>
    </w:p>
    <w:p w:rsidR="00DD47EB" w:rsidRDefault="00DD47EB" w:rsidP="00DD47EB">
      <w:pPr>
        <w:pStyle w:val="SangriaFrancesaArticulo"/>
      </w:pPr>
      <w:r w:rsidRPr="00DD47EB">
        <w:rPr>
          <w:rStyle w:val="TextoNormalNegritaCaracter"/>
        </w:rPr>
        <w:t>Artículo 23 b).</w:t>
      </w:r>
      <w:r w:rsidRPr="00DD47EB">
        <w:rPr>
          <w:rStyle w:val="TextoNormalCaracter"/>
        </w:rPr>
        <w:t>-</w:t>
      </w:r>
      <w:r>
        <w:t xml:space="preserve"> Sentencias </w:t>
      </w:r>
      <w:hyperlink w:anchor="SENTENCIA_2015_57" w:history="1">
        <w:r w:rsidRPr="00DD47EB">
          <w:rPr>
            <w:rStyle w:val="TextoNormalCaracter"/>
          </w:rPr>
          <w:t>57/2015</w:t>
        </w:r>
      </w:hyperlink>
      <w:r>
        <w:t xml:space="preserve">, f. 18; </w:t>
      </w:r>
      <w:hyperlink w:anchor="SENTENCIA_2015_92" w:history="1">
        <w:r w:rsidRPr="00DD47EB">
          <w:rPr>
            <w:rStyle w:val="TextoNormalCaracter"/>
          </w:rPr>
          <w:t>92/2015</w:t>
        </w:r>
      </w:hyperlink>
      <w:r>
        <w:t>, f. 11.</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92" w:history="1">
        <w:r w:rsidRPr="00DD47EB">
          <w:rPr>
            <w:rStyle w:val="TextoNormalCaracter"/>
          </w:rPr>
          <w:t>92/2015</w:t>
        </w:r>
      </w:hyperlink>
      <w:r>
        <w:t>, f. 12.</w:t>
      </w:r>
    </w:p>
    <w:p w:rsidR="00DD47EB" w:rsidRDefault="00DD47EB" w:rsidP="00DD47EB">
      <w:pPr>
        <w:pStyle w:val="SangriaFrancesaArticulo"/>
      </w:pPr>
      <w:r w:rsidRPr="00DD47EB">
        <w:rPr>
          <w:rStyle w:val="TextoNormalNegritaCaracter"/>
        </w:rPr>
        <w:t>Artículo 26</w:t>
      </w:r>
      <w:r>
        <w:t xml:space="preserve"> (redactado por la Ley del Parlamento de Cantabria 2/2004, de 27 de septiembre)</w:t>
      </w:r>
      <w:r w:rsidRPr="00DD47EB">
        <w:rPr>
          <w:rStyle w:val="TextoNormalNegritaCaracter"/>
        </w:rPr>
        <w:t>.</w:t>
      </w:r>
      <w:r w:rsidRPr="00DD47EB">
        <w:rPr>
          <w:rStyle w:val="TextoNormalCaracter"/>
        </w:rPr>
        <w:t>-</w:t>
      </w:r>
      <w:r>
        <w:t xml:space="preserve"> Sentencia </w:t>
      </w:r>
      <w:hyperlink w:anchor="SENTENCIA_2015_57" w:history="1">
        <w:r w:rsidRPr="00DD47EB">
          <w:rPr>
            <w:rStyle w:val="TextoNormalCaracter"/>
          </w:rPr>
          <w:t>57/2015</w:t>
        </w:r>
      </w:hyperlink>
      <w:r>
        <w:t>, f. 21.</w:t>
      </w:r>
    </w:p>
    <w:p w:rsidR="00DD47EB" w:rsidRDefault="00DD47EB" w:rsidP="00DD47EB">
      <w:pPr>
        <w:pStyle w:val="SangriaFrancesaArticulo"/>
      </w:pPr>
      <w:r w:rsidRPr="00DD47EB">
        <w:rPr>
          <w:rStyle w:val="TextoNormalNegritaCaracter"/>
        </w:rPr>
        <w:t>Artículo 26</w:t>
      </w:r>
      <w:r>
        <w:t xml:space="preserve"> (redactado por la Ley del Parlamento de Cantabria 5/2012, de 11 de diciembre)</w:t>
      </w:r>
      <w:r w:rsidRPr="00DD47EB">
        <w:rPr>
          <w:rStyle w:val="TextoNormalNegritaCaracter"/>
        </w:rPr>
        <w:t>.</w:t>
      </w:r>
      <w:r w:rsidRPr="00DD47EB">
        <w:rPr>
          <w:rStyle w:val="TextoNormalCaracter"/>
        </w:rPr>
        <w:t>-</w:t>
      </w:r>
      <w:r>
        <w:t xml:space="preserve"> Sentencia </w:t>
      </w:r>
      <w:hyperlink w:anchor="SENTENCIA_2015_57" w:history="1">
        <w:r w:rsidRPr="00DD47EB">
          <w:rPr>
            <w:rStyle w:val="TextoNormalCaracter"/>
          </w:rPr>
          <w:t>57/2015</w:t>
        </w:r>
      </w:hyperlink>
      <w:r>
        <w:t>, ff. 1, 9, 17.</w:t>
      </w:r>
    </w:p>
    <w:p w:rsidR="00DD47EB" w:rsidRDefault="00DD47EB" w:rsidP="00DD47EB">
      <w:pPr>
        <w:pStyle w:val="SangriaFrancesaArticulo"/>
      </w:pPr>
      <w:r w:rsidRPr="00DD47EB">
        <w:rPr>
          <w:rStyle w:val="TextoNormalNegritaCaracter"/>
        </w:rPr>
        <w:t>Artículo 26.2.</w:t>
      </w:r>
      <w:r w:rsidRPr="00DD47EB">
        <w:rPr>
          <w:rStyle w:val="TextoNormalCaracter"/>
        </w:rPr>
        <w:t>-</w:t>
      </w:r>
      <w:r>
        <w:t xml:space="preserve"> Sentencia </w:t>
      </w:r>
      <w:hyperlink w:anchor="SENTENCIA_2015_57" w:history="1">
        <w:r w:rsidRPr="00DD47EB">
          <w:rPr>
            <w:rStyle w:val="TextoNormalCaracter"/>
          </w:rPr>
          <w:t>57/2015</w:t>
        </w:r>
      </w:hyperlink>
      <w:r>
        <w:t>, f. 21.</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 </w:t>
      </w:r>
      <w:hyperlink w:anchor="SENTENCIA_2015_57" w:history="1">
        <w:r w:rsidRPr="00DD47EB">
          <w:rPr>
            <w:rStyle w:val="TextoNormalCaracter"/>
          </w:rPr>
          <w:t>57/2015</w:t>
        </w:r>
      </w:hyperlink>
      <w:r>
        <w:t>, f. 9.</w:t>
      </w:r>
    </w:p>
    <w:p w:rsidR="00DD47EB" w:rsidRDefault="00DD47EB" w:rsidP="00DD47EB">
      <w:pPr>
        <w:pStyle w:val="SangriaFrancesaArticulo"/>
      </w:pPr>
      <w:r w:rsidRPr="00DD47EB">
        <w:rPr>
          <w:rStyle w:val="TextoNormalNegritaCaracter"/>
        </w:rPr>
        <w:t>Artículo 27.1 d).</w:t>
      </w:r>
      <w:r w:rsidRPr="00DD47EB">
        <w:rPr>
          <w:rStyle w:val="TextoNormalCaracter"/>
        </w:rPr>
        <w:t>-</w:t>
      </w:r>
      <w:r>
        <w:t xml:space="preserve"> Sentencia </w:t>
      </w:r>
      <w:hyperlink w:anchor="SENTENCIA_2015_57" w:history="1">
        <w:r w:rsidRPr="00DD47EB">
          <w:rPr>
            <w:rStyle w:val="TextoNormalCaracter"/>
          </w:rPr>
          <w:t>57/2015</w:t>
        </w:r>
      </w:hyperlink>
      <w:r>
        <w:t>, f. 8.</w:t>
      </w:r>
    </w:p>
    <w:p w:rsidR="00DD47EB" w:rsidRDefault="00DD47EB" w:rsidP="00DD47EB">
      <w:pPr>
        <w:pStyle w:val="SangriaFrancesaArticulo"/>
      </w:pPr>
      <w:r w:rsidRPr="00DD47EB">
        <w:rPr>
          <w:rStyle w:val="TextoNormalNegritaCaracter"/>
        </w:rPr>
        <w:t>Artículo 28.</w:t>
      </w:r>
      <w:r w:rsidRPr="00DD47EB">
        <w:rPr>
          <w:rStyle w:val="TextoNormalCaracter"/>
        </w:rPr>
        <w:t>-</w:t>
      </w:r>
      <w:r>
        <w:t xml:space="preserve"> Sentencia </w:t>
      </w:r>
      <w:hyperlink w:anchor="SENTENCIA_2015_57" w:history="1">
        <w:r w:rsidRPr="00DD47EB">
          <w:rPr>
            <w:rStyle w:val="TextoNormalCaracter"/>
          </w:rPr>
          <w:t>57/2015</w:t>
        </w:r>
      </w:hyperlink>
      <w:r>
        <w:t>, ff. 8 a 10.</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 </w:t>
      </w:r>
      <w:hyperlink w:anchor="SENTENCIA_2015_57" w:history="1">
        <w:r w:rsidRPr="00DD47EB">
          <w:rPr>
            <w:rStyle w:val="TextoNormalCaracter"/>
          </w:rPr>
          <w:t>57/2015</w:t>
        </w:r>
      </w:hyperlink>
      <w:r>
        <w:t>, f. 9.</w:t>
      </w:r>
    </w:p>
    <w:p w:rsidR="00DD47EB" w:rsidRDefault="00DD47EB" w:rsidP="00DD47EB">
      <w:pPr>
        <w:pStyle w:val="SangriaFrancesaArticulo"/>
      </w:pPr>
      <w:r w:rsidRPr="00DD47EB">
        <w:rPr>
          <w:rStyle w:val="TextoNormalNegritaCaracter"/>
        </w:rPr>
        <w:t>Artículo 29.3.</w:t>
      </w:r>
      <w:r w:rsidRPr="00DD47EB">
        <w:rPr>
          <w:rStyle w:val="TextoNormalCaracter"/>
        </w:rPr>
        <w:t>-</w:t>
      </w:r>
      <w:r>
        <w:t xml:space="preserve"> Sentencia </w:t>
      </w:r>
      <w:hyperlink w:anchor="SENTENCIA_2015_57" w:history="1">
        <w:r w:rsidRPr="00DD47EB">
          <w:rPr>
            <w:rStyle w:val="TextoNormalCaracter"/>
          </w:rPr>
          <w:t>57/2015</w:t>
        </w:r>
      </w:hyperlink>
      <w:r>
        <w:t>, f. 21.</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33.2.</w:t>
      </w:r>
      <w:r w:rsidRPr="00DD47EB">
        <w:rPr>
          <w:rStyle w:val="TextoNormalCaracter"/>
        </w:rPr>
        <w:t>-</w:t>
      </w:r>
      <w:r>
        <w:t xml:space="preserve"> Sentencia </w:t>
      </w:r>
      <w:hyperlink w:anchor="SENTENCIA_2015_57" w:history="1">
        <w:r w:rsidRPr="00DD47EB">
          <w:rPr>
            <w:rStyle w:val="TextoNormalCaracter"/>
          </w:rPr>
          <w:t>57/2015</w:t>
        </w:r>
      </w:hyperlink>
      <w:r>
        <w:t>, f. 17.</w:t>
      </w:r>
    </w:p>
    <w:p w:rsidR="00DD47EB" w:rsidRDefault="00DD47EB" w:rsidP="00DD47EB">
      <w:pPr>
        <w:pStyle w:val="SangriaFrancesaArticulo"/>
      </w:pPr>
      <w:r w:rsidRPr="00DD47EB">
        <w:rPr>
          <w:rStyle w:val="TextoNormalNegritaCaracter"/>
        </w:rPr>
        <w:t>Artículo 39.1.</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39.1 inciso final, párrafo segundo.</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40.1.</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44.1 b).</w:t>
      </w:r>
      <w:r w:rsidRPr="00DD47EB">
        <w:rPr>
          <w:rStyle w:val="TextoNormalCaracter"/>
        </w:rPr>
        <w:t>-</w:t>
      </w:r>
      <w:r>
        <w:t xml:space="preserve"> Sentencia </w:t>
      </w:r>
      <w:hyperlink w:anchor="SENTENCIA_2015_57" w:history="1">
        <w:r w:rsidRPr="00DD47EB">
          <w:rPr>
            <w:rStyle w:val="TextoNormalCaracter"/>
          </w:rPr>
          <w:t>57/2015</w:t>
        </w:r>
      </w:hyperlink>
      <w:r>
        <w:t>, f. 16.</w:t>
      </w:r>
    </w:p>
    <w:p w:rsidR="00DD47EB" w:rsidRDefault="00DD47EB" w:rsidP="00DD47EB">
      <w:pPr>
        <w:pStyle w:val="SangriaFrancesaArticulo"/>
      </w:pPr>
      <w:r w:rsidRPr="00DD47EB">
        <w:rPr>
          <w:rStyle w:val="TextoNormalNegritaCaracter"/>
        </w:rPr>
        <w:t>Artículo 59.</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59.1.</w:t>
      </w:r>
      <w:r w:rsidRPr="00DD47EB">
        <w:rPr>
          <w:rStyle w:val="TextoNormalCaracter"/>
        </w:rPr>
        <w:t>-</w:t>
      </w:r>
      <w:r>
        <w:t xml:space="preserve"> Sentencias </w:t>
      </w:r>
      <w:hyperlink w:anchor="SENTENCIA_2015_57" w:history="1">
        <w:r w:rsidRPr="00DD47EB">
          <w:rPr>
            <w:rStyle w:val="TextoNormalCaracter"/>
          </w:rPr>
          <w:t>57/2015</w:t>
        </w:r>
      </w:hyperlink>
      <w:r>
        <w:t xml:space="preserve">, f. 18; </w:t>
      </w:r>
      <w:hyperlink w:anchor="SENTENCIA_2015_92" w:history="1">
        <w:r w:rsidRPr="00DD47EB">
          <w:rPr>
            <w:rStyle w:val="TextoNormalCaracter"/>
          </w:rPr>
          <w:t>92/2015</w:t>
        </w:r>
      </w:hyperlink>
      <w:r>
        <w:t>, f. 11.</w:t>
      </w:r>
    </w:p>
    <w:p w:rsidR="00DD47EB" w:rsidRDefault="00DD47EB" w:rsidP="00DD47EB">
      <w:pPr>
        <w:pStyle w:val="SangriaFrancesaArticulo"/>
      </w:pPr>
      <w:r w:rsidRPr="00DD47EB">
        <w:rPr>
          <w:rStyle w:val="TextoNormalNegritaCaracter"/>
        </w:rPr>
        <w:t>Artículo 72.</w:t>
      </w:r>
      <w:r w:rsidRPr="00DD47EB">
        <w:rPr>
          <w:rStyle w:val="TextoNormalCaracter"/>
        </w:rPr>
        <w:t>-</w:t>
      </w:r>
      <w:r>
        <w:t xml:space="preserve"> Sentencia </w:t>
      </w:r>
      <w:hyperlink w:anchor="SENTENCIA_2015_57" w:history="1">
        <w:r w:rsidRPr="00DD47EB">
          <w:rPr>
            <w:rStyle w:val="TextoNormalCaracter"/>
          </w:rPr>
          <w:t>57/2015</w:t>
        </w:r>
      </w:hyperlink>
      <w:r>
        <w:t>, f. 12.</w:t>
      </w:r>
    </w:p>
    <w:p w:rsidR="00DD47EB" w:rsidRDefault="00DD47EB" w:rsidP="00DD47EB">
      <w:pPr>
        <w:pStyle w:val="SangriaFrancesaArticulo"/>
      </w:pPr>
      <w:r w:rsidRPr="00DD47EB">
        <w:rPr>
          <w:rStyle w:val="TextoNormalNegritaCaracter"/>
        </w:rPr>
        <w:t>Artículo 76.1.</w:t>
      </w:r>
      <w:r w:rsidRPr="00DD47EB">
        <w:rPr>
          <w:rStyle w:val="TextoNormalCaracter"/>
        </w:rPr>
        <w:t>-</w:t>
      </w:r>
      <w:r>
        <w:t xml:space="preserve"> Sentencias </w:t>
      </w:r>
      <w:hyperlink w:anchor="SENTENCIA_2015_57" w:history="1">
        <w:r w:rsidRPr="00DD47EB">
          <w:rPr>
            <w:rStyle w:val="TextoNormalCaracter"/>
          </w:rPr>
          <w:t>57/2015</w:t>
        </w:r>
      </w:hyperlink>
      <w:r>
        <w:t xml:space="preserve">, f. 18; </w:t>
      </w:r>
      <w:hyperlink w:anchor="SENTENCIA_2015_92" w:history="1">
        <w:r w:rsidRPr="00DD47EB">
          <w:rPr>
            <w:rStyle w:val="TextoNormalCaracter"/>
          </w:rPr>
          <w:t>92/2015</w:t>
        </w:r>
      </w:hyperlink>
      <w:r>
        <w:t>, f. 11.</w:t>
      </w:r>
    </w:p>
    <w:p w:rsidR="00DD47EB" w:rsidRDefault="00DD47EB" w:rsidP="00DD47EB">
      <w:pPr>
        <w:pStyle w:val="SangriaFrancesaArticulo"/>
      </w:pPr>
      <w:r w:rsidRPr="00DD47EB">
        <w:rPr>
          <w:rStyle w:val="TextoNormalNegritaCaracter"/>
        </w:rPr>
        <w:t>Artículo 116.</w:t>
      </w:r>
      <w:r w:rsidRPr="00DD47EB">
        <w:rPr>
          <w:rStyle w:val="TextoNormalCaracter"/>
        </w:rPr>
        <w:t>-</w:t>
      </w:r>
      <w:r>
        <w:t xml:space="preserve"> Sentencia </w:t>
      </w:r>
      <w:hyperlink w:anchor="SENTENCIA_2015_57" w:history="1">
        <w:r w:rsidRPr="00DD47EB">
          <w:rPr>
            <w:rStyle w:val="TextoNormalCaracter"/>
          </w:rPr>
          <w:t>57/2015</w:t>
        </w:r>
      </w:hyperlink>
      <w:r>
        <w:t>, f. 20.</w:t>
      </w:r>
    </w:p>
    <w:p w:rsidR="00DD47EB" w:rsidRDefault="00DD47EB" w:rsidP="00DD47EB">
      <w:pPr>
        <w:pStyle w:val="SangriaFrancesaArticulo"/>
      </w:pPr>
      <w:r w:rsidRPr="00DD47EB">
        <w:rPr>
          <w:rStyle w:val="TextoNormalNegritaCaracter"/>
        </w:rPr>
        <w:t>Artículo 229.</w:t>
      </w:r>
      <w:r w:rsidRPr="00DD47EB">
        <w:rPr>
          <w:rStyle w:val="TextoNormalCaracter"/>
        </w:rPr>
        <w:t>-</w:t>
      </w:r>
      <w:r>
        <w:t xml:space="preserve"> Sentencia </w:t>
      </w:r>
      <w:hyperlink w:anchor="SENTENCIA_2015_57" w:history="1">
        <w:r w:rsidRPr="00DD47EB">
          <w:rPr>
            <w:rStyle w:val="TextoNormalCaracter"/>
          </w:rPr>
          <w:t>57/2015</w:t>
        </w:r>
      </w:hyperlink>
      <w:r>
        <w:t>, f. 19.</w:t>
      </w:r>
    </w:p>
    <w:p w:rsidR="00DD47EB" w:rsidRDefault="00DD47EB" w:rsidP="00DD47EB">
      <w:pPr>
        <w:pStyle w:val="SangriaFrancesaArticulo"/>
      </w:pPr>
      <w:r w:rsidRPr="00DD47EB">
        <w:rPr>
          <w:rStyle w:val="TextoNormalNegritaCaracter"/>
        </w:rPr>
        <w:t>Artículo 231.</w:t>
      </w:r>
      <w:r w:rsidRPr="00DD47EB">
        <w:rPr>
          <w:rStyle w:val="TextoNormalCaracter"/>
        </w:rPr>
        <w:t>-</w:t>
      </w:r>
      <w:r>
        <w:t xml:space="preserve"> Sentencia </w:t>
      </w:r>
      <w:hyperlink w:anchor="SENTENCIA_2015_57" w:history="1">
        <w:r w:rsidRPr="00DD47EB">
          <w:rPr>
            <w:rStyle w:val="TextoNormalCaracter"/>
          </w:rPr>
          <w:t>57/2015</w:t>
        </w:r>
      </w:hyperlink>
      <w:r>
        <w:t>, f. 19.</w:t>
      </w:r>
    </w:p>
    <w:p w:rsidR="00DD47EB" w:rsidRDefault="00DD47EB" w:rsidP="00DD47EB">
      <w:pPr>
        <w:pStyle w:val="SangriaFrancesaArticulo"/>
      </w:pPr>
      <w:r w:rsidRPr="00DD47EB">
        <w:rPr>
          <w:rStyle w:val="TextoNormalNegritaCaracter"/>
        </w:rPr>
        <w:t>Artículo 233.</w:t>
      </w:r>
      <w:r w:rsidRPr="00DD47EB">
        <w:rPr>
          <w:rStyle w:val="TextoNormalCaracter"/>
        </w:rPr>
        <w:t>-</w:t>
      </w:r>
      <w:r>
        <w:t xml:space="preserve"> Sentencia </w:t>
      </w:r>
      <w:hyperlink w:anchor="SENTENCIA_2015_57" w:history="1">
        <w:r w:rsidRPr="00DD47EB">
          <w:rPr>
            <w:rStyle w:val="TextoNormalCaracter"/>
          </w:rPr>
          <w:t>57/2015</w:t>
        </w:r>
      </w:hyperlink>
      <w:r>
        <w:t>, f. 19.</w:t>
      </w:r>
    </w:p>
    <w:p w:rsidR="00DD47EB" w:rsidRDefault="00DD47EB" w:rsidP="00DD47EB">
      <w:pPr>
        <w:pStyle w:val="SangriaFrancesaArticulo"/>
      </w:pPr>
      <w:r w:rsidRPr="00DD47EB">
        <w:rPr>
          <w:rStyle w:val="TextoNormalNegritaCaracter"/>
        </w:rPr>
        <w:t>Disposición adicional cuarta.</w:t>
      </w:r>
      <w:r w:rsidRPr="00DD47EB">
        <w:rPr>
          <w:rStyle w:val="TextoNormalCaracter"/>
        </w:rPr>
        <w:t>-</w:t>
      </w:r>
      <w:r>
        <w:t xml:space="preserve"> Sentencias </w:t>
      </w:r>
      <w:hyperlink w:anchor="SENTENCIA_2015_57" w:history="1">
        <w:r w:rsidRPr="00DD47EB">
          <w:rPr>
            <w:rStyle w:val="TextoNormalCaracter"/>
          </w:rPr>
          <w:t>57/2015</w:t>
        </w:r>
      </w:hyperlink>
      <w:r>
        <w:t xml:space="preserve">, ff. 1, 6, 9, 13; </w:t>
      </w:r>
      <w:hyperlink w:anchor="SENTENCIA_2015_92" w:history="1">
        <w:r w:rsidRPr="00DD47EB">
          <w:rPr>
            <w:rStyle w:val="TextoNormalCaracter"/>
          </w:rPr>
          <w:t>92/2015</w:t>
        </w:r>
      </w:hyperlink>
      <w:r>
        <w:t>, f. 4.</w:t>
      </w:r>
    </w:p>
    <w:p w:rsidR="00DD47EB" w:rsidRDefault="00DD47EB" w:rsidP="00DD47EB">
      <w:pPr>
        <w:pStyle w:val="SangriaFrancesaArticulo"/>
      </w:pPr>
      <w:r w:rsidRPr="00DD47EB">
        <w:rPr>
          <w:rStyle w:val="TextoNormalNegritaCaracter"/>
        </w:rPr>
        <w:t>Disposición adicional cuarta, apartado 1.</w:t>
      </w:r>
      <w:r w:rsidRPr="00DD47EB">
        <w:rPr>
          <w:rStyle w:val="TextoNormalCaracter"/>
        </w:rPr>
        <w:t>-</w:t>
      </w:r>
      <w:r>
        <w:t xml:space="preserve"> Sentencia </w:t>
      </w:r>
      <w:hyperlink w:anchor="SENTENCIA_2015_57" w:history="1">
        <w:r w:rsidRPr="00DD47EB">
          <w:rPr>
            <w:rStyle w:val="TextoNormalCaracter"/>
          </w:rPr>
          <w:t>57/2015</w:t>
        </w:r>
      </w:hyperlink>
      <w:r>
        <w:t>, ff. 1, 13.</w:t>
      </w:r>
    </w:p>
    <w:p w:rsidR="00DD47EB" w:rsidRDefault="00DD47EB" w:rsidP="00DD47EB">
      <w:pPr>
        <w:pStyle w:val="SangriaFrancesaArticulo"/>
      </w:pPr>
      <w:r w:rsidRPr="00DD47EB">
        <w:rPr>
          <w:rStyle w:val="TextoNormalNegritaCaracter"/>
        </w:rPr>
        <w:t>Disposición adicional cuarta, apartado 2.</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Disposición adicional cuarta, apartado 3.</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Disposición adicional cuarta, apartado 4.</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Disposición adicional cuarta, apartado 5.</w:t>
      </w:r>
      <w:r w:rsidRPr="00DD47EB">
        <w:rPr>
          <w:rStyle w:val="TextoNormalCaracter"/>
        </w:rPr>
        <w:t>-</w:t>
      </w:r>
      <w:r>
        <w:t xml:space="preserve"> Sentencia </w:t>
      </w:r>
      <w:hyperlink w:anchor="SENTENCIA_2015_57" w:history="1">
        <w:r w:rsidRPr="00DD47EB">
          <w:rPr>
            <w:rStyle w:val="TextoNormalCaracter"/>
          </w:rPr>
          <w:t>57/2015</w:t>
        </w:r>
      </w:hyperlink>
      <w:r>
        <w:t>, ff. 1, 6.</w:t>
      </w:r>
    </w:p>
    <w:p w:rsidR="00DD47EB" w:rsidRDefault="00DD47EB" w:rsidP="00DD47EB">
      <w:pPr>
        <w:pStyle w:val="SangriaFrancesaArticulo"/>
      </w:pPr>
    </w:p>
    <w:p w:rsidR="00DD47EB" w:rsidRDefault="00DD47EB" w:rsidP="00DD47EB">
      <w:pPr>
        <w:pStyle w:val="TextoNormalNegritaCursivandice"/>
      </w:pPr>
      <w:r>
        <w:t>Ley del Parlamento de Cantabria 5/2002, de 24 de julio. Medidas Cautelares Urbanísticas en el ámbito del litoral, de sometimiento de los instrumentos de planificación territorial y urbanística a evaluación ambiental y de régimen urbanístico de los cementerios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7" w:history="1">
        <w:r w:rsidRPr="00DD47EB">
          <w:rPr>
            <w:rStyle w:val="TextoNormalCaracter"/>
          </w:rPr>
          <w:t>57/2015</w:t>
        </w:r>
      </w:hyperlink>
      <w:r>
        <w:t>, f. 3.</w:t>
      </w:r>
    </w:p>
    <w:p w:rsidR="00DD47EB" w:rsidRDefault="00DD47EB" w:rsidP="00DD47EB">
      <w:pPr>
        <w:pStyle w:val="SangriaFrancesaArticulo"/>
      </w:pPr>
    </w:p>
    <w:p w:rsidR="00DD47EB" w:rsidRDefault="00DD47EB" w:rsidP="00DD47EB">
      <w:pPr>
        <w:pStyle w:val="TextoNormalNegritaCursivandice"/>
      </w:pPr>
      <w:r>
        <w:t>Ley del Parlamento de Cantabria 2/2004, de 27 de septiembre. Plan de ordenación del litoral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57" w:history="1">
        <w:r w:rsidRPr="00DD47EB">
          <w:rPr>
            <w:rStyle w:val="TextoNormalCaracter"/>
          </w:rPr>
          <w:t>57/2015</w:t>
        </w:r>
      </w:hyperlink>
      <w:r>
        <w:t xml:space="preserve">, ff. 3, 5, 6, 12, 19 a 21, 24; </w:t>
      </w:r>
      <w:hyperlink w:anchor="SENTENCIA_2015_92" w:history="1">
        <w:r w:rsidRPr="00DD47EB">
          <w:rPr>
            <w:rStyle w:val="TextoNormalCaracter"/>
          </w:rPr>
          <w:t>92/2015</w:t>
        </w:r>
      </w:hyperlink>
      <w:r>
        <w:t>, ff. 1 a 5.</w:t>
      </w:r>
    </w:p>
    <w:p w:rsidR="00DD47EB" w:rsidRDefault="00DD47EB" w:rsidP="00DD47EB">
      <w:pPr>
        <w:pStyle w:val="SangriaFrancesaArticulo"/>
      </w:pPr>
      <w:r w:rsidRPr="00DD47EB">
        <w:rPr>
          <w:rStyle w:val="TextoNormalNegritaCaracter"/>
        </w:rPr>
        <w:t>Título I, capítulo III.</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Título II.</w:t>
      </w:r>
      <w:r w:rsidRPr="00DD47EB">
        <w:rPr>
          <w:rStyle w:val="TextoNormalCaracter"/>
        </w:rPr>
        <w:t>-</w:t>
      </w:r>
      <w:r>
        <w:t xml:space="preserve"> Sentencia </w:t>
      </w:r>
      <w:hyperlink w:anchor="SENTENCIA_2015_57" w:history="1">
        <w:r w:rsidRPr="00DD47EB">
          <w:rPr>
            <w:rStyle w:val="TextoNormalCaracter"/>
          </w:rPr>
          <w:t>57/2015</w:t>
        </w:r>
      </w:hyperlink>
      <w:r>
        <w:t>, ff. 1, 16.</w:t>
      </w:r>
    </w:p>
    <w:p w:rsidR="00DD47EB" w:rsidRDefault="00DD47EB" w:rsidP="00DD47EB">
      <w:pPr>
        <w:pStyle w:val="SangriaFrancesaArticulo"/>
      </w:pPr>
      <w:r w:rsidRPr="00DD47EB">
        <w:rPr>
          <w:rStyle w:val="TextoNormalNegritaCaracter"/>
        </w:rPr>
        <w:t>Título III.</w:t>
      </w:r>
      <w:r w:rsidRPr="00DD47EB">
        <w:rPr>
          <w:rStyle w:val="TextoNormalCaracter"/>
        </w:rPr>
        <w:t>-</w:t>
      </w:r>
      <w:r>
        <w:t xml:space="preserve"> Sentencias </w:t>
      </w:r>
      <w:hyperlink w:anchor="SENTENCIA_2015_57" w:history="1">
        <w:r w:rsidRPr="00DD47EB">
          <w:rPr>
            <w:rStyle w:val="TextoNormalCaracter"/>
          </w:rPr>
          <w:t>57/2015</w:t>
        </w:r>
      </w:hyperlink>
      <w:r>
        <w:t xml:space="preserve">, ff. 1, 17, 18; </w:t>
      </w:r>
      <w:hyperlink w:anchor="SENTENCIA_2015_92" w:history="1">
        <w:r w:rsidRPr="00DD47EB">
          <w:rPr>
            <w:rStyle w:val="TextoNormalCaracter"/>
          </w:rPr>
          <w:t>92/2015</w:t>
        </w:r>
      </w:hyperlink>
      <w:r>
        <w:t>, f. 6.</w:t>
      </w:r>
    </w:p>
    <w:p w:rsidR="00DD47EB" w:rsidRDefault="00DD47EB" w:rsidP="00DD47EB">
      <w:pPr>
        <w:pStyle w:val="SangriaFrancesaArticulo"/>
      </w:pPr>
      <w:r w:rsidRPr="00DD47EB">
        <w:rPr>
          <w:rStyle w:val="TextoNormalNegritaCaracter"/>
        </w:rPr>
        <w:t>Título IV.</w:t>
      </w:r>
      <w:r w:rsidRPr="00DD47EB">
        <w:rPr>
          <w:rStyle w:val="TextoNormalCaracter"/>
        </w:rPr>
        <w:t>-</w:t>
      </w:r>
      <w:r>
        <w:t xml:space="preserve"> Sentencias </w:t>
      </w:r>
      <w:hyperlink w:anchor="SENTENCIA_2015_57" w:history="1">
        <w:r w:rsidRPr="00DD47EB">
          <w:rPr>
            <w:rStyle w:val="TextoNormalCaracter"/>
          </w:rPr>
          <w:t>57/2015</w:t>
        </w:r>
      </w:hyperlink>
      <w:r>
        <w:t xml:space="preserve">, ff. 1, 8 a 10, 18, 25; </w:t>
      </w:r>
      <w:hyperlink w:anchor="SENTENCIA_2015_92" w:history="1">
        <w:r w:rsidRPr="00DD47EB">
          <w:rPr>
            <w:rStyle w:val="TextoNormalCaracter"/>
          </w:rPr>
          <w:t>92/2015</w:t>
        </w:r>
      </w:hyperlink>
      <w:r>
        <w:t>, ff. 6, 11.</w:t>
      </w:r>
    </w:p>
    <w:p w:rsidR="00DD47EB" w:rsidRDefault="00DD47EB" w:rsidP="00DD47EB">
      <w:pPr>
        <w:pStyle w:val="SangriaFrancesaArticulo"/>
      </w:pPr>
      <w:r w:rsidRPr="00DD47EB">
        <w:rPr>
          <w:rStyle w:val="TextoNormalNegritaCaracter"/>
        </w:rPr>
        <w:t>Título V.</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Título VI.</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Título VII.</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92" w:history="1">
        <w:r w:rsidRPr="00DD47EB">
          <w:rPr>
            <w:rStyle w:val="TextoNormalCaracter"/>
          </w:rPr>
          <w:t>92/2015</w:t>
        </w:r>
      </w:hyperlink>
      <w:r>
        <w:t>, f. 8.</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Artículos 1 a 26.</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57" w:history="1">
        <w:r w:rsidRPr="00DD47EB">
          <w:rPr>
            <w:rStyle w:val="TextoNormalCaracter"/>
          </w:rPr>
          <w:t>57/2015</w:t>
        </w:r>
      </w:hyperlink>
      <w:r>
        <w:t>, f. 12.</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57" w:history="1">
        <w:r w:rsidRPr="00DD47EB">
          <w:rPr>
            <w:rStyle w:val="TextoNormalCaracter"/>
          </w:rPr>
          <w:t>57/2015</w:t>
        </w:r>
      </w:hyperlink>
      <w:r>
        <w:t>, f. 12.</w:t>
      </w:r>
    </w:p>
    <w:p w:rsidR="00DD47EB" w:rsidRDefault="00DD47EB" w:rsidP="00DD47EB">
      <w:pPr>
        <w:pStyle w:val="SangriaFrancesaArticulo"/>
      </w:pPr>
      <w:r w:rsidRPr="00DD47EB">
        <w:rPr>
          <w:rStyle w:val="TextoNormalNegritaCaracter"/>
        </w:rPr>
        <w:t>Artículo 3.1 inciso final.</w:t>
      </w:r>
      <w:r w:rsidRPr="00DD47EB">
        <w:rPr>
          <w:rStyle w:val="TextoNormalCaracter"/>
        </w:rPr>
        <w:t>-</w:t>
      </w:r>
      <w:r>
        <w:t xml:space="preserve"> Sentencia </w:t>
      </w:r>
      <w:hyperlink w:anchor="SENTENCIA_2015_57" w:history="1">
        <w:r w:rsidRPr="00DD47EB">
          <w:rPr>
            <w:rStyle w:val="TextoNormalCaracter"/>
          </w:rPr>
          <w:t>57/2015</w:t>
        </w:r>
      </w:hyperlink>
      <w:r>
        <w:t>, f. 12.</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57" w:history="1">
        <w:r w:rsidRPr="00DD47EB">
          <w:rPr>
            <w:rStyle w:val="TextoNormalCaracter"/>
          </w:rPr>
          <w:t>57/2015</w:t>
        </w:r>
      </w:hyperlink>
      <w:r>
        <w:t>, f. 9.</w:t>
      </w:r>
    </w:p>
    <w:p w:rsidR="00DD47EB" w:rsidRDefault="00DD47EB" w:rsidP="00DD47EB">
      <w:pPr>
        <w:pStyle w:val="SangriaFrancesaArticulo"/>
      </w:pPr>
      <w:r w:rsidRPr="00DD47EB">
        <w:rPr>
          <w:rStyle w:val="TextoNormalNegritaCaracter"/>
        </w:rPr>
        <w:t>Artículo 7.1 a).</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7.1 b).</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7.1 c).</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8.1.</w:t>
      </w:r>
      <w:r w:rsidRPr="00DD47EB">
        <w:rPr>
          <w:rStyle w:val="TextoNormalCaracter"/>
        </w:rPr>
        <w:t>-</w:t>
      </w:r>
      <w:r>
        <w:t xml:space="preserve"> Sentencia </w:t>
      </w:r>
      <w:hyperlink w:anchor="SENTENCIA_2015_57" w:history="1">
        <w:r w:rsidRPr="00DD47EB">
          <w:rPr>
            <w:rStyle w:val="TextoNormalCaracter"/>
          </w:rPr>
          <w:t>57/2015</w:t>
        </w:r>
      </w:hyperlink>
      <w:r>
        <w:t>, f. 16.</w:t>
      </w:r>
    </w:p>
    <w:p w:rsidR="00DD47EB" w:rsidRDefault="00DD47EB" w:rsidP="00DD47EB">
      <w:pPr>
        <w:pStyle w:val="SangriaFrancesaArticulo"/>
      </w:pPr>
      <w:r w:rsidRPr="00DD47EB">
        <w:rPr>
          <w:rStyle w:val="TextoNormalNegritaCaracter"/>
        </w:rPr>
        <w:t>Artículo 8.1 d).</w:t>
      </w:r>
      <w:r w:rsidRPr="00DD47EB">
        <w:rPr>
          <w:rStyle w:val="TextoNormalCaracter"/>
        </w:rPr>
        <w:t>-</w:t>
      </w:r>
      <w:r>
        <w:t xml:space="preserve"> Sentencia </w:t>
      </w:r>
      <w:hyperlink w:anchor="SENTENCIA_2015_57" w:history="1">
        <w:r w:rsidRPr="00DD47EB">
          <w:rPr>
            <w:rStyle w:val="TextoNormalCaracter"/>
          </w:rPr>
          <w:t>57/2015</w:t>
        </w:r>
      </w:hyperlink>
      <w:r>
        <w:t>, ff. 1, 13.</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9.1.</w:t>
      </w:r>
      <w:r w:rsidRPr="00DD47EB">
        <w:rPr>
          <w:rStyle w:val="TextoNormalCaracter"/>
        </w:rPr>
        <w:t>-</w:t>
      </w:r>
      <w:r>
        <w:t xml:space="preserve"> Sentencias </w:t>
      </w:r>
      <w:hyperlink w:anchor="SENTENCIA_2015_57" w:history="1">
        <w:r w:rsidRPr="00DD47EB">
          <w:rPr>
            <w:rStyle w:val="TextoNormalCaracter"/>
          </w:rPr>
          <w:t>57/2015</w:t>
        </w:r>
      </w:hyperlink>
      <w:r>
        <w:t xml:space="preserve">, ff. 13, 17, 25; </w:t>
      </w:r>
      <w:hyperlink w:anchor="SENTENCIA_2015_92" w:history="1">
        <w:r w:rsidRPr="00DD47EB">
          <w:rPr>
            <w:rStyle w:val="TextoNormalCaracter"/>
          </w:rPr>
          <w:t>92/2015</w:t>
        </w:r>
      </w:hyperlink>
      <w:r>
        <w:t>, f. 10.</w:t>
      </w:r>
    </w:p>
    <w:p w:rsidR="00DD47EB" w:rsidRDefault="00DD47EB" w:rsidP="00DD47EB">
      <w:pPr>
        <w:pStyle w:val="SangriaFrancesaArticulo"/>
      </w:pPr>
      <w:r w:rsidRPr="00DD47EB">
        <w:rPr>
          <w:rStyle w:val="TextoNormalNegritaCaracter"/>
        </w:rPr>
        <w:t>Artículo 9.1 a).</w:t>
      </w:r>
      <w:r w:rsidRPr="00DD47EB">
        <w:rPr>
          <w:rStyle w:val="TextoNormalCaracter"/>
        </w:rPr>
        <w:t>-</w:t>
      </w:r>
      <w:r>
        <w:t xml:space="preserve"> Sentencias </w:t>
      </w:r>
      <w:hyperlink w:anchor="SENTENCIA_2015_57" w:history="1">
        <w:r w:rsidRPr="00DD47EB">
          <w:rPr>
            <w:rStyle w:val="TextoNormalCaracter"/>
          </w:rPr>
          <w:t>57/2015</w:t>
        </w:r>
      </w:hyperlink>
      <w:r>
        <w:t xml:space="preserve">, ff. 1, 17; </w:t>
      </w:r>
      <w:hyperlink w:anchor="SENTENCIA_2015_92" w:history="1">
        <w:r w:rsidRPr="00DD47EB">
          <w:rPr>
            <w:rStyle w:val="TextoNormalCaracter"/>
          </w:rPr>
          <w:t>92/2015</w:t>
        </w:r>
      </w:hyperlink>
      <w:r>
        <w:t>, ff. 7 a 9.</w:t>
      </w:r>
    </w:p>
    <w:p w:rsidR="00DD47EB" w:rsidRDefault="00DD47EB" w:rsidP="00DD47EB">
      <w:pPr>
        <w:pStyle w:val="SangriaFrancesaArticulo"/>
      </w:pPr>
      <w:r w:rsidRPr="00DD47EB">
        <w:rPr>
          <w:rStyle w:val="TextoNormalNegritaCaracter"/>
        </w:rPr>
        <w:t>Artículo 9.1 b).</w:t>
      </w:r>
      <w:r w:rsidRPr="00DD47EB">
        <w:rPr>
          <w:rStyle w:val="TextoNormalCaracter"/>
        </w:rPr>
        <w:t>-</w:t>
      </w:r>
      <w:r>
        <w:t xml:space="preserve"> Sentencias </w:t>
      </w:r>
      <w:hyperlink w:anchor="SENTENCIA_2015_57" w:history="1">
        <w:r w:rsidRPr="00DD47EB">
          <w:rPr>
            <w:rStyle w:val="TextoNormalCaracter"/>
          </w:rPr>
          <w:t>57/2015</w:t>
        </w:r>
      </w:hyperlink>
      <w:r>
        <w:t xml:space="preserve">, f. 1; </w:t>
      </w:r>
      <w:hyperlink w:anchor="SENTENCIA_2015_92" w:history="1">
        <w:r w:rsidRPr="00DD47EB">
          <w:rPr>
            <w:rStyle w:val="TextoNormalCaracter"/>
          </w:rPr>
          <w:t>92/2015</w:t>
        </w:r>
      </w:hyperlink>
      <w:r>
        <w:t>, f. 9.</w:t>
      </w:r>
    </w:p>
    <w:p w:rsidR="00DD47EB" w:rsidRDefault="00DD47EB" w:rsidP="00DD47EB">
      <w:pPr>
        <w:pStyle w:val="SangriaFrancesaArticulo"/>
      </w:pPr>
      <w:r w:rsidRPr="00DD47EB">
        <w:rPr>
          <w:rStyle w:val="TextoNormalNegritaCaracter"/>
        </w:rPr>
        <w:t>Artículo 9.1 c).</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9.2.</w:t>
      </w:r>
      <w:r w:rsidRPr="00DD47EB">
        <w:rPr>
          <w:rStyle w:val="TextoNormalCaracter"/>
        </w:rPr>
        <w:t>-</w:t>
      </w:r>
      <w:r>
        <w:t xml:space="preserve"> Sentencia </w:t>
      </w:r>
      <w:hyperlink w:anchor="SENTENCIA_2015_57" w:history="1">
        <w:r w:rsidRPr="00DD47EB">
          <w:rPr>
            <w:rStyle w:val="TextoNormalCaracter"/>
          </w:rPr>
          <w:t>57/2015</w:t>
        </w:r>
      </w:hyperlink>
      <w:r>
        <w:t>, ff. 1, 13.</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Sentencias </w:t>
      </w:r>
      <w:hyperlink w:anchor="SENTENCIA_2015_57" w:history="1">
        <w:r w:rsidRPr="00DD47EB">
          <w:rPr>
            <w:rStyle w:val="TextoNormalCaracter"/>
          </w:rPr>
          <w:t>57/2015</w:t>
        </w:r>
      </w:hyperlink>
      <w:r>
        <w:t xml:space="preserve">, ff. 1, 13, 14, 16, 17, 25; </w:t>
      </w:r>
      <w:hyperlink w:anchor="SENTENCIA_2015_92" w:history="1">
        <w:r w:rsidRPr="00DD47EB">
          <w:rPr>
            <w:rStyle w:val="TextoNormalCaracter"/>
          </w:rPr>
          <w:t>92/2015</w:t>
        </w:r>
      </w:hyperlink>
      <w:r>
        <w:t>, f. 10.</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11.1.</w:t>
      </w:r>
      <w:r w:rsidRPr="00DD47EB">
        <w:rPr>
          <w:rStyle w:val="TextoNormalCaracter"/>
        </w:rPr>
        <w:t>-</w:t>
      </w:r>
      <w:r>
        <w:t xml:space="preserve"> Sentencia </w:t>
      </w:r>
      <w:hyperlink w:anchor="SENTENCIA_2015_57" w:history="1">
        <w:r w:rsidRPr="00DD47EB">
          <w:rPr>
            <w:rStyle w:val="TextoNormalCaracter"/>
          </w:rPr>
          <w:t>57/2015</w:t>
        </w:r>
      </w:hyperlink>
      <w:r>
        <w:t>, ff. 1, 14.</w:t>
      </w:r>
    </w:p>
    <w:p w:rsidR="00DD47EB" w:rsidRDefault="00DD47EB" w:rsidP="00DD47EB">
      <w:pPr>
        <w:pStyle w:val="SangriaFrancesaArticulo"/>
      </w:pPr>
      <w:r w:rsidRPr="00DD47EB">
        <w:rPr>
          <w:rStyle w:val="TextoNormalNegritaCaracter"/>
        </w:rPr>
        <w:t>Artículo 11.2.</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Artículos 11 a 16.</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12.5.</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12.6 e).</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12.6 f).</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14.1.</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14.3, inciso.</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Artículos 14 a 22.</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15.3.</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16 a) inciso final.</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20.2.</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Artículos 23 a 44.</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 </w:t>
      </w:r>
      <w:hyperlink w:anchor="SENTENCIA_2015_57" w:history="1">
        <w:r w:rsidRPr="00DD47EB">
          <w:rPr>
            <w:rStyle w:val="TextoNormalCaracter"/>
          </w:rPr>
          <w:t>57/2015</w:t>
        </w:r>
      </w:hyperlink>
      <w:r>
        <w:t>, f. 16.</w:t>
      </w:r>
    </w:p>
    <w:p w:rsidR="00DD47EB" w:rsidRDefault="00DD47EB" w:rsidP="00DD47EB">
      <w:pPr>
        <w:pStyle w:val="SangriaFrancesaArticulo"/>
      </w:pPr>
      <w:r w:rsidRPr="00DD47EB">
        <w:rPr>
          <w:rStyle w:val="TextoNormalNegritaCaracter"/>
        </w:rPr>
        <w:t>Artículo 26.1.</w:t>
      </w:r>
      <w:r w:rsidRPr="00DD47EB">
        <w:rPr>
          <w:rStyle w:val="TextoNormalCaracter"/>
        </w:rPr>
        <w:t>-</w:t>
      </w:r>
      <w:r>
        <w:t xml:space="preserve"> Sentencia </w:t>
      </w:r>
      <w:hyperlink w:anchor="SENTENCIA_2015_57" w:history="1">
        <w:r w:rsidRPr="00DD47EB">
          <w:rPr>
            <w:rStyle w:val="TextoNormalCaracter"/>
          </w:rPr>
          <w:t>57/2015</w:t>
        </w:r>
      </w:hyperlink>
      <w:r>
        <w:t>, f. 8.</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 </w:t>
      </w:r>
      <w:hyperlink w:anchor="SENTENCIA_2015_57" w:history="1">
        <w:r w:rsidRPr="00DD47EB">
          <w:rPr>
            <w:rStyle w:val="TextoNormalCaracter"/>
          </w:rPr>
          <w:t>57/2015</w:t>
        </w:r>
      </w:hyperlink>
      <w:r>
        <w:t>, ff. 16, 20.</w:t>
      </w:r>
    </w:p>
    <w:p w:rsidR="00DD47EB" w:rsidRDefault="00DD47EB" w:rsidP="00DD47EB">
      <w:pPr>
        <w:pStyle w:val="SangriaFrancesaArticulo"/>
      </w:pPr>
      <w:r w:rsidRPr="00DD47EB">
        <w:rPr>
          <w:rStyle w:val="TextoNormalNegritaCaracter"/>
        </w:rPr>
        <w:t>Artículo 27.1.</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Artículo 27.1 b).</w:t>
      </w:r>
      <w:r w:rsidRPr="00DD47EB">
        <w:rPr>
          <w:rStyle w:val="TextoNormalCaracter"/>
        </w:rPr>
        <w:t>-</w:t>
      </w:r>
      <w:r>
        <w:t xml:space="preserve"> Sentencia </w:t>
      </w:r>
      <w:hyperlink w:anchor="SENTENCIA_2015_57" w:history="1">
        <w:r w:rsidRPr="00DD47EB">
          <w:rPr>
            <w:rStyle w:val="TextoNormalCaracter"/>
          </w:rPr>
          <w:t>57/2015</w:t>
        </w:r>
      </w:hyperlink>
      <w:r>
        <w:t>, ff. 16, 26.</w:t>
      </w:r>
    </w:p>
    <w:p w:rsidR="00DD47EB" w:rsidRDefault="00DD47EB" w:rsidP="00DD47EB">
      <w:pPr>
        <w:pStyle w:val="SangriaFrancesaArticulo"/>
      </w:pPr>
      <w:r w:rsidRPr="00DD47EB">
        <w:rPr>
          <w:rStyle w:val="TextoNormalNegritaCaracter"/>
        </w:rPr>
        <w:t>Artículo 27.2</w:t>
      </w:r>
      <w:r>
        <w:t xml:space="preserve"> (redactado por la Ley del Parlamento de Cantabria 8/2013, de 2 de diciembre)</w:t>
      </w:r>
      <w:r w:rsidRPr="00DD47EB">
        <w:rPr>
          <w:rStyle w:val="TextoNormalNegritaCaracter"/>
        </w:rPr>
        <w:t>.</w:t>
      </w:r>
      <w:r w:rsidRPr="00DD47EB">
        <w:rPr>
          <w:rStyle w:val="TextoNormalCaracter"/>
        </w:rPr>
        <w:t>-</w:t>
      </w:r>
      <w:r>
        <w:t xml:space="preserve"> Sentencias </w:t>
      </w:r>
      <w:hyperlink w:anchor="SENTENCIA_2015_57" w:history="1">
        <w:r w:rsidRPr="00DD47EB">
          <w:rPr>
            <w:rStyle w:val="TextoNormalCaracter"/>
          </w:rPr>
          <w:t>57/2015</w:t>
        </w:r>
      </w:hyperlink>
      <w:r>
        <w:t xml:space="preserve">, f. 2; </w:t>
      </w:r>
      <w:hyperlink w:anchor="SENTENCIA_2015_92" w:history="1">
        <w:r w:rsidRPr="00DD47EB">
          <w:rPr>
            <w:rStyle w:val="TextoNormalCaracter"/>
          </w:rPr>
          <w:t>92/2015</w:t>
        </w:r>
      </w:hyperlink>
      <w:r>
        <w:t>, f. 5.</w:t>
      </w:r>
    </w:p>
    <w:p w:rsidR="00DD47EB" w:rsidRDefault="00DD47EB" w:rsidP="00DD47EB">
      <w:pPr>
        <w:pStyle w:val="SangriaFrancesaArticulo"/>
      </w:pPr>
      <w:r w:rsidRPr="00DD47EB">
        <w:rPr>
          <w:rStyle w:val="TextoNormalNegritaCaracter"/>
        </w:rPr>
        <w:t>Artículos 28 a 74.</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 </w:t>
      </w:r>
      <w:hyperlink w:anchor="SENTENCIA_2015_57" w:history="1">
        <w:r w:rsidRPr="00DD47EB">
          <w:rPr>
            <w:rStyle w:val="TextoNormalCaracter"/>
          </w:rPr>
          <w:t>57/2015</w:t>
        </w:r>
      </w:hyperlink>
      <w:r>
        <w:t>, f. 8.</w:t>
      </w:r>
    </w:p>
    <w:p w:rsidR="00DD47EB" w:rsidRDefault="00DD47EB" w:rsidP="00DD47EB">
      <w:pPr>
        <w:pStyle w:val="SangriaFrancesaArticulo"/>
      </w:pPr>
      <w:r w:rsidRPr="00DD47EB">
        <w:rPr>
          <w:rStyle w:val="TextoNormalNegritaCaracter"/>
        </w:rPr>
        <w:t>Artículo 37.</w:t>
      </w:r>
      <w:r w:rsidRPr="00DD47EB">
        <w:rPr>
          <w:rStyle w:val="TextoNormalCaracter"/>
        </w:rPr>
        <w:t>-</w:t>
      </w:r>
      <w:r>
        <w:t xml:space="preserve"> Sentencia </w:t>
      </w:r>
      <w:hyperlink w:anchor="SENTENCIA_2015_57" w:history="1">
        <w:r w:rsidRPr="00DD47EB">
          <w:rPr>
            <w:rStyle w:val="TextoNormalCaracter"/>
          </w:rPr>
          <w:t>57/2015</w:t>
        </w:r>
      </w:hyperlink>
      <w:r>
        <w:t>, f. 16.</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57" w:history="1">
        <w:r w:rsidRPr="00DD47EB">
          <w:rPr>
            <w:rStyle w:val="TextoNormalCaracter"/>
          </w:rPr>
          <w:t>57/2015</w:t>
        </w:r>
      </w:hyperlink>
      <w:r>
        <w:t>, f. 16.</w:t>
      </w:r>
    </w:p>
    <w:p w:rsidR="00DD47EB" w:rsidRDefault="00DD47EB" w:rsidP="00DD47EB">
      <w:pPr>
        <w:pStyle w:val="SangriaFrancesaArticulo"/>
      </w:pPr>
      <w:r w:rsidRPr="00DD47EB">
        <w:rPr>
          <w:rStyle w:val="TextoNormalNegritaCaracter"/>
        </w:rPr>
        <w:t>Artículo 42.2.</w:t>
      </w:r>
      <w:r w:rsidRPr="00DD47EB">
        <w:rPr>
          <w:rStyle w:val="TextoNormalCaracter"/>
        </w:rPr>
        <w:t>-</w:t>
      </w:r>
      <w:r>
        <w:t xml:space="preserve"> Sentencia </w:t>
      </w:r>
      <w:hyperlink w:anchor="SENTENCIA_2015_57" w:history="1">
        <w:r w:rsidRPr="00DD47EB">
          <w:rPr>
            <w:rStyle w:val="TextoNormalCaracter"/>
          </w:rPr>
          <w:t>57/2015</w:t>
        </w:r>
      </w:hyperlink>
      <w:r>
        <w:t>, f. 16.</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92" w:history="1">
        <w:r w:rsidRPr="00DD47EB">
          <w:rPr>
            <w:rStyle w:val="TextoNormalCaracter"/>
          </w:rPr>
          <w:t>92/2015</w:t>
        </w:r>
      </w:hyperlink>
      <w:r>
        <w:t>, f. 7.</w:t>
      </w:r>
    </w:p>
    <w:p w:rsidR="00DD47EB" w:rsidRDefault="00DD47EB" w:rsidP="00DD47EB">
      <w:pPr>
        <w:pStyle w:val="SangriaFrancesaArticulo"/>
      </w:pPr>
      <w:r w:rsidRPr="00DD47EB">
        <w:rPr>
          <w:rStyle w:val="TextoNormalNegritaCaracter"/>
        </w:rPr>
        <w:t>Artículo 45.1.</w:t>
      </w:r>
      <w:r w:rsidRPr="00DD47EB">
        <w:rPr>
          <w:rStyle w:val="TextoNormalCaracter"/>
        </w:rPr>
        <w:t>-</w:t>
      </w:r>
      <w:r>
        <w:t xml:space="preserve"> Sentencia </w:t>
      </w:r>
      <w:hyperlink w:anchor="SENTENCIA_2015_57" w:history="1">
        <w:r w:rsidRPr="00DD47EB">
          <w:rPr>
            <w:rStyle w:val="TextoNormalCaracter"/>
          </w:rPr>
          <w:t>57/2015</w:t>
        </w:r>
      </w:hyperlink>
      <w:r>
        <w:t>, f. 17.</w:t>
      </w:r>
    </w:p>
    <w:p w:rsidR="00DD47EB" w:rsidRDefault="00DD47EB" w:rsidP="00DD47EB">
      <w:pPr>
        <w:pStyle w:val="SangriaFrancesaArticulo"/>
      </w:pPr>
      <w:r w:rsidRPr="00DD47EB">
        <w:rPr>
          <w:rStyle w:val="TextoNormalNegritaCaracter"/>
        </w:rPr>
        <w:t>Artículo 45.2.</w:t>
      </w:r>
      <w:r w:rsidRPr="00DD47EB">
        <w:rPr>
          <w:rStyle w:val="TextoNormalCaracter"/>
        </w:rPr>
        <w:t>-</w:t>
      </w:r>
      <w:r>
        <w:t xml:space="preserve"> Sentencia </w:t>
      </w:r>
      <w:hyperlink w:anchor="SENTENCIA_2015_92" w:history="1">
        <w:r w:rsidRPr="00DD47EB">
          <w:rPr>
            <w:rStyle w:val="TextoNormalCaracter"/>
          </w:rPr>
          <w:t>92/2015</w:t>
        </w:r>
      </w:hyperlink>
      <w:r>
        <w:t>, ff. 5 a 7.</w:t>
      </w:r>
    </w:p>
    <w:p w:rsidR="00DD47EB" w:rsidRDefault="00DD47EB" w:rsidP="00DD47EB">
      <w:pPr>
        <w:pStyle w:val="SangriaFrancesaArticulo"/>
      </w:pPr>
      <w:r w:rsidRPr="00DD47EB">
        <w:rPr>
          <w:rStyle w:val="TextoNormalNegritaCaracter"/>
        </w:rPr>
        <w:t>Artículo 45.2 inciso 1.</w:t>
      </w:r>
      <w:r w:rsidRPr="00DD47EB">
        <w:rPr>
          <w:rStyle w:val="TextoNormalCaracter"/>
        </w:rPr>
        <w:t>-</w:t>
      </w:r>
      <w:r>
        <w:t xml:space="preserve"> Sentencia </w:t>
      </w:r>
      <w:hyperlink w:anchor="SENTENCIA_2015_92" w:history="1">
        <w:r w:rsidRPr="00DD47EB">
          <w:rPr>
            <w:rStyle w:val="TextoNormalCaracter"/>
          </w:rPr>
          <w:t>92/2015</w:t>
        </w:r>
      </w:hyperlink>
      <w:r>
        <w:t>, f. 7.</w:t>
      </w:r>
    </w:p>
    <w:p w:rsidR="00DD47EB" w:rsidRDefault="00DD47EB" w:rsidP="00DD47EB">
      <w:pPr>
        <w:pStyle w:val="SangriaFrancesaArticulo"/>
      </w:pPr>
      <w:r w:rsidRPr="00DD47EB">
        <w:rPr>
          <w:rStyle w:val="TextoNormalNegritaCaracter"/>
        </w:rPr>
        <w:t>Artículo 45.2 inciso final.</w:t>
      </w:r>
      <w:r w:rsidRPr="00DD47EB">
        <w:rPr>
          <w:rStyle w:val="TextoNormalCaracter"/>
        </w:rPr>
        <w:t>-</w:t>
      </w:r>
      <w:r>
        <w:t xml:space="preserve"> Sentencias </w:t>
      </w:r>
      <w:hyperlink w:anchor="SENTENCIA_2015_57" w:history="1">
        <w:r w:rsidRPr="00DD47EB">
          <w:rPr>
            <w:rStyle w:val="TextoNormalCaracter"/>
          </w:rPr>
          <w:t>57/2015</w:t>
        </w:r>
      </w:hyperlink>
      <w:r>
        <w:t xml:space="preserve">, f. 17; </w:t>
      </w:r>
      <w:hyperlink w:anchor="SENTENCIA_2015_92" w:history="1">
        <w:r w:rsidRPr="00DD47EB">
          <w:rPr>
            <w:rStyle w:val="TextoNormalCaracter"/>
          </w:rPr>
          <w:t>92/2015</w:t>
        </w:r>
      </w:hyperlink>
      <w:r>
        <w:t>, f. 7.</w:t>
      </w:r>
    </w:p>
    <w:p w:rsidR="00DD47EB" w:rsidRDefault="00DD47EB" w:rsidP="00DD47EB">
      <w:pPr>
        <w:pStyle w:val="SangriaFrancesaArticulo"/>
      </w:pPr>
      <w:r w:rsidRPr="00DD47EB">
        <w:rPr>
          <w:rStyle w:val="TextoNormalNegritaCaracter"/>
        </w:rPr>
        <w:t>Artículo 45.3.</w:t>
      </w:r>
      <w:r w:rsidRPr="00DD47EB">
        <w:rPr>
          <w:rStyle w:val="TextoNormalCaracter"/>
        </w:rPr>
        <w:t>-</w:t>
      </w:r>
      <w:r>
        <w:t xml:space="preserve"> Sentencia </w:t>
      </w:r>
      <w:hyperlink w:anchor="SENTENCIA_2015_57" w:history="1">
        <w:r w:rsidRPr="00DD47EB">
          <w:rPr>
            <w:rStyle w:val="TextoNormalCaracter"/>
          </w:rPr>
          <w:t>57/2015</w:t>
        </w:r>
      </w:hyperlink>
      <w:r>
        <w:t>, ff. 17, 26.</w:t>
      </w:r>
    </w:p>
    <w:p w:rsidR="00DD47EB" w:rsidRDefault="00DD47EB" w:rsidP="00DD47EB">
      <w:pPr>
        <w:pStyle w:val="SangriaFrancesaArticulo"/>
      </w:pPr>
      <w:r w:rsidRPr="00DD47EB">
        <w:rPr>
          <w:rStyle w:val="TextoNormalNegritaCaracter"/>
        </w:rPr>
        <w:t>Artículo 45.5.</w:t>
      </w:r>
      <w:r w:rsidRPr="00DD47EB">
        <w:rPr>
          <w:rStyle w:val="TextoNormalCaracter"/>
        </w:rPr>
        <w:t>-</w:t>
      </w:r>
      <w:r>
        <w:t xml:space="preserve"> Sentencias </w:t>
      </w:r>
      <w:hyperlink w:anchor="SENTENCIA_2015_57" w:history="1">
        <w:r w:rsidRPr="00DD47EB">
          <w:rPr>
            <w:rStyle w:val="TextoNormalCaracter"/>
          </w:rPr>
          <w:t>57/2015</w:t>
        </w:r>
      </w:hyperlink>
      <w:r>
        <w:t xml:space="preserve">, f. 22; </w:t>
      </w:r>
      <w:hyperlink w:anchor="SENTENCIA_2015_92" w:history="1">
        <w:r w:rsidRPr="00DD47EB">
          <w:rPr>
            <w:rStyle w:val="TextoNormalCaracter"/>
          </w:rPr>
          <w:t>92/2015</w:t>
        </w:r>
      </w:hyperlink>
      <w:r>
        <w:t>, ff. 5 a 7.</w:t>
      </w:r>
    </w:p>
    <w:p w:rsidR="00DD47EB" w:rsidRDefault="00DD47EB" w:rsidP="00DD47EB">
      <w:pPr>
        <w:pStyle w:val="SangriaFrancesaArticulo"/>
      </w:pPr>
      <w:r w:rsidRPr="00DD47EB">
        <w:rPr>
          <w:rStyle w:val="TextoNormalNegritaCaracter"/>
        </w:rPr>
        <w:t>Artículos 45 a 46.</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Artículos 45 a 50.</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46</w:t>
      </w:r>
      <w:r>
        <w:t xml:space="preserve"> (redactado por la Ley del Parlamento de Cantabria 8/2013, de 2 de diciembre)</w:t>
      </w:r>
      <w:r w:rsidRPr="00DD47EB">
        <w:rPr>
          <w:rStyle w:val="TextoNormalNegritaCaracter"/>
        </w:rPr>
        <w:t>.</w:t>
      </w:r>
      <w:r w:rsidRPr="00DD47EB">
        <w:rPr>
          <w:rStyle w:val="TextoNormalCaracter"/>
        </w:rPr>
        <w:t>-</w:t>
      </w:r>
      <w:r>
        <w:t xml:space="preserve"> Sentencias </w:t>
      </w:r>
      <w:hyperlink w:anchor="SENTENCIA_2015_57" w:history="1">
        <w:r w:rsidRPr="00DD47EB">
          <w:rPr>
            <w:rStyle w:val="TextoNormalCaracter"/>
          </w:rPr>
          <w:t>57/2015</w:t>
        </w:r>
      </w:hyperlink>
      <w:r>
        <w:t xml:space="preserve">, f. 2; </w:t>
      </w:r>
      <w:hyperlink w:anchor="SENTENCIA_2015_92" w:history="1">
        <w:r w:rsidRPr="00DD47EB">
          <w:rPr>
            <w:rStyle w:val="TextoNormalCaracter"/>
          </w:rPr>
          <w:t>92/2015</w:t>
        </w:r>
      </w:hyperlink>
      <w:r>
        <w:t>, f. 5.</w:t>
      </w:r>
    </w:p>
    <w:p w:rsidR="00DD47EB" w:rsidRDefault="00DD47EB" w:rsidP="00DD47EB">
      <w:pPr>
        <w:pStyle w:val="SangriaFrancesaArticulo"/>
      </w:pPr>
      <w:r w:rsidRPr="00DD47EB">
        <w:rPr>
          <w:rStyle w:val="TextoNormalNegritaCaracter"/>
        </w:rPr>
        <w:t>Artículo 47.</w:t>
      </w:r>
      <w:r w:rsidRPr="00DD47EB">
        <w:rPr>
          <w:rStyle w:val="TextoNormalCaracter"/>
        </w:rPr>
        <w:t>-</w:t>
      </w:r>
      <w:r>
        <w:t xml:space="preserve"> Sentencia </w:t>
      </w:r>
      <w:hyperlink w:anchor="SENTENCIA_2015_92" w:history="1">
        <w:r w:rsidRPr="00DD47EB">
          <w:rPr>
            <w:rStyle w:val="TextoNormalCaracter"/>
          </w:rPr>
          <w:t>92/2015</w:t>
        </w:r>
      </w:hyperlink>
      <w:r>
        <w:t>, f. 8.</w:t>
      </w:r>
    </w:p>
    <w:p w:rsidR="00DD47EB" w:rsidRDefault="00DD47EB" w:rsidP="00DD47EB">
      <w:pPr>
        <w:pStyle w:val="SangriaFrancesaArticulo"/>
      </w:pPr>
      <w:r w:rsidRPr="00DD47EB">
        <w:rPr>
          <w:rStyle w:val="TextoNormalNegritaCaracter"/>
        </w:rPr>
        <w:t>Artículo 47.2.</w:t>
      </w:r>
      <w:r w:rsidRPr="00DD47EB">
        <w:rPr>
          <w:rStyle w:val="TextoNormalCaracter"/>
        </w:rPr>
        <w:t>-</w:t>
      </w:r>
      <w:r>
        <w:t xml:space="preserve"> Sentencia </w:t>
      </w:r>
      <w:hyperlink w:anchor="SENTENCIA_2015_92" w:history="1">
        <w:r w:rsidRPr="00DD47EB">
          <w:rPr>
            <w:rStyle w:val="TextoNormalCaracter"/>
          </w:rPr>
          <w:t>92/2015</w:t>
        </w:r>
      </w:hyperlink>
      <w:r>
        <w:t>, ff. 5, 6, 8.</w:t>
      </w:r>
    </w:p>
    <w:p w:rsidR="00DD47EB" w:rsidRDefault="00DD47EB" w:rsidP="00DD47EB">
      <w:pPr>
        <w:pStyle w:val="SangriaFrancesaArticulo"/>
      </w:pPr>
      <w:r w:rsidRPr="00DD47EB">
        <w:rPr>
          <w:rStyle w:val="TextoNormalNegritaCaracter"/>
        </w:rPr>
        <w:t>Artículo 47.3.</w:t>
      </w:r>
      <w:r w:rsidRPr="00DD47EB">
        <w:rPr>
          <w:rStyle w:val="TextoNormalCaracter"/>
        </w:rPr>
        <w:t>-</w:t>
      </w:r>
      <w:r>
        <w:t xml:space="preserve"> Sentencias </w:t>
      </w:r>
      <w:hyperlink w:anchor="SENTENCIA_2015_57" w:history="1">
        <w:r w:rsidRPr="00DD47EB">
          <w:rPr>
            <w:rStyle w:val="TextoNormalCaracter"/>
          </w:rPr>
          <w:t>57/2015</w:t>
        </w:r>
      </w:hyperlink>
      <w:r>
        <w:t xml:space="preserve">, ff. 17, 22; </w:t>
      </w:r>
      <w:hyperlink w:anchor="SENTENCIA_2015_92" w:history="1">
        <w:r w:rsidRPr="00DD47EB">
          <w:rPr>
            <w:rStyle w:val="TextoNormalCaracter"/>
          </w:rPr>
          <w:t>92/2015</w:t>
        </w:r>
      </w:hyperlink>
      <w:r>
        <w:t>, ff. 5 a 7.</w:t>
      </w:r>
    </w:p>
    <w:p w:rsidR="00DD47EB" w:rsidRDefault="00DD47EB" w:rsidP="00DD47EB">
      <w:pPr>
        <w:pStyle w:val="SangriaFrancesaArticulo"/>
      </w:pPr>
      <w:r w:rsidRPr="00DD47EB">
        <w:rPr>
          <w:rStyle w:val="TextoNormalNegritaCaracter"/>
        </w:rPr>
        <w:t>Artículos 47 a 48.</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48.1.</w:t>
      </w:r>
      <w:r w:rsidRPr="00DD47EB">
        <w:rPr>
          <w:rStyle w:val="TextoNormalCaracter"/>
        </w:rPr>
        <w:t>-</w:t>
      </w:r>
      <w:r>
        <w:t xml:space="preserve"> Sentencia </w:t>
      </w:r>
      <w:hyperlink w:anchor="SENTENCIA_2015_92" w:history="1">
        <w:r w:rsidRPr="00DD47EB">
          <w:rPr>
            <w:rStyle w:val="TextoNormalCaracter"/>
          </w:rPr>
          <w:t>92/2015</w:t>
        </w:r>
      </w:hyperlink>
      <w:r>
        <w:t>, f. 9.</w:t>
      </w:r>
    </w:p>
    <w:p w:rsidR="00DD47EB" w:rsidRDefault="00DD47EB" w:rsidP="00DD47EB">
      <w:pPr>
        <w:pStyle w:val="SangriaFrancesaArticulo"/>
      </w:pPr>
      <w:r w:rsidRPr="00DD47EB">
        <w:rPr>
          <w:rStyle w:val="TextoNormalNegritaCaracter"/>
        </w:rPr>
        <w:t>Artículo 48.1 a).</w:t>
      </w:r>
      <w:r w:rsidRPr="00DD47EB">
        <w:rPr>
          <w:rStyle w:val="TextoNormalCaracter"/>
        </w:rPr>
        <w:t>-</w:t>
      </w:r>
      <w:r>
        <w:t xml:space="preserve"> Sentencia </w:t>
      </w:r>
      <w:hyperlink w:anchor="SENTENCIA_2015_92" w:history="1">
        <w:r w:rsidRPr="00DD47EB">
          <w:rPr>
            <w:rStyle w:val="TextoNormalCaracter"/>
          </w:rPr>
          <w:t>92/2015</w:t>
        </w:r>
      </w:hyperlink>
      <w:r>
        <w:t>, ff. 5, 6, 9.</w:t>
      </w:r>
    </w:p>
    <w:p w:rsidR="00DD47EB" w:rsidRDefault="00DD47EB" w:rsidP="00DD47EB">
      <w:pPr>
        <w:pStyle w:val="SangriaFrancesaArticulo"/>
      </w:pPr>
      <w:r w:rsidRPr="00DD47EB">
        <w:rPr>
          <w:rStyle w:val="TextoNormalNegritaCaracter"/>
        </w:rPr>
        <w:t>Artículo 48.1 b).</w:t>
      </w:r>
      <w:r w:rsidRPr="00DD47EB">
        <w:rPr>
          <w:rStyle w:val="TextoNormalCaracter"/>
        </w:rPr>
        <w:t>-</w:t>
      </w:r>
      <w:r>
        <w:t xml:space="preserve"> Sentencia </w:t>
      </w:r>
      <w:hyperlink w:anchor="SENTENCIA_2015_92" w:history="1">
        <w:r w:rsidRPr="00DD47EB">
          <w:rPr>
            <w:rStyle w:val="TextoNormalCaracter"/>
          </w:rPr>
          <w:t>92/2015</w:t>
        </w:r>
      </w:hyperlink>
      <w:r>
        <w:t>, ff. 5, 6, 9.</w:t>
      </w:r>
    </w:p>
    <w:p w:rsidR="00DD47EB" w:rsidRDefault="00DD47EB" w:rsidP="00DD47EB">
      <w:pPr>
        <w:pStyle w:val="SangriaFrancesaArticulo"/>
      </w:pPr>
      <w:r w:rsidRPr="00DD47EB">
        <w:rPr>
          <w:rStyle w:val="TextoNormalNegritaCaracter"/>
        </w:rPr>
        <w:t>Artículo 48.1 c).</w:t>
      </w:r>
      <w:r w:rsidRPr="00DD47EB">
        <w:rPr>
          <w:rStyle w:val="TextoNormalCaracter"/>
        </w:rPr>
        <w:t>-</w:t>
      </w:r>
      <w:r>
        <w:t xml:space="preserve"> Sentencia </w:t>
      </w:r>
      <w:hyperlink w:anchor="SENTENCIA_2015_92" w:history="1">
        <w:r w:rsidRPr="00DD47EB">
          <w:rPr>
            <w:rStyle w:val="TextoNormalCaracter"/>
          </w:rPr>
          <w:t>92/2015</w:t>
        </w:r>
      </w:hyperlink>
      <w:r>
        <w:t>, ff. 5, 6, 9.</w:t>
      </w:r>
    </w:p>
    <w:p w:rsidR="00DD47EB" w:rsidRDefault="00DD47EB" w:rsidP="00DD47EB">
      <w:pPr>
        <w:pStyle w:val="SangriaFrancesaArticulo"/>
      </w:pPr>
      <w:r w:rsidRPr="00DD47EB">
        <w:rPr>
          <w:rStyle w:val="TextoNormalNegritaCaracter"/>
        </w:rPr>
        <w:t>Artículo 48.2.</w:t>
      </w:r>
      <w:r w:rsidRPr="00DD47EB">
        <w:rPr>
          <w:rStyle w:val="TextoNormalCaracter"/>
        </w:rPr>
        <w:t>-</w:t>
      </w:r>
      <w:r>
        <w:t xml:space="preserve"> Sentencias </w:t>
      </w:r>
      <w:hyperlink w:anchor="SENTENCIA_2015_57" w:history="1">
        <w:r w:rsidRPr="00DD47EB">
          <w:rPr>
            <w:rStyle w:val="TextoNormalCaracter"/>
          </w:rPr>
          <w:t>57/2015</w:t>
        </w:r>
      </w:hyperlink>
      <w:r>
        <w:t xml:space="preserve">, f. 2; </w:t>
      </w:r>
      <w:hyperlink w:anchor="SENTENCIA_2015_92" w:history="1">
        <w:r w:rsidRPr="00DD47EB">
          <w:rPr>
            <w:rStyle w:val="TextoNormalCaracter"/>
          </w:rPr>
          <w:t>92/2015</w:t>
        </w:r>
      </w:hyperlink>
      <w:r>
        <w:t>, f. 5.</w:t>
      </w:r>
    </w:p>
    <w:p w:rsidR="00DD47EB" w:rsidRDefault="00DD47EB" w:rsidP="00DD47EB">
      <w:pPr>
        <w:pStyle w:val="SangriaFrancesaArticulo"/>
      </w:pPr>
      <w:r w:rsidRPr="00DD47EB">
        <w:rPr>
          <w:rStyle w:val="TextoNormalNegritaCaracter"/>
        </w:rPr>
        <w:t>Artículo 48.3.</w:t>
      </w:r>
      <w:r w:rsidRPr="00DD47EB">
        <w:rPr>
          <w:rStyle w:val="TextoNormalCaracter"/>
        </w:rPr>
        <w:t>-</w:t>
      </w:r>
      <w:r>
        <w:t xml:space="preserve"> Sentencias </w:t>
      </w:r>
      <w:hyperlink w:anchor="SENTENCIA_2015_57" w:history="1">
        <w:r w:rsidRPr="00DD47EB">
          <w:rPr>
            <w:rStyle w:val="TextoNormalCaracter"/>
          </w:rPr>
          <w:t>57/2015</w:t>
        </w:r>
      </w:hyperlink>
      <w:r>
        <w:t xml:space="preserve">, f. 2; </w:t>
      </w:r>
      <w:hyperlink w:anchor="SENTENCIA_2015_92" w:history="1">
        <w:r w:rsidRPr="00DD47EB">
          <w:rPr>
            <w:rStyle w:val="TextoNormalCaracter"/>
          </w:rPr>
          <w:t>92/2015</w:t>
        </w:r>
      </w:hyperlink>
      <w:r>
        <w:t>, f. 5.</w:t>
      </w:r>
    </w:p>
    <w:p w:rsidR="00DD47EB" w:rsidRDefault="00DD47EB" w:rsidP="00DD47EB">
      <w:pPr>
        <w:pStyle w:val="SangriaFrancesaArticulo"/>
      </w:pPr>
      <w:r w:rsidRPr="00DD47EB">
        <w:rPr>
          <w:rStyle w:val="TextoNormalNegritaCaracter"/>
        </w:rPr>
        <w:t>Artículo 48.3 a).</w:t>
      </w:r>
      <w:r w:rsidRPr="00DD47EB">
        <w:rPr>
          <w:rStyle w:val="TextoNormalCaracter"/>
        </w:rPr>
        <w:t>-</w:t>
      </w:r>
      <w:r>
        <w:t xml:space="preserve"> Sentencia </w:t>
      </w:r>
      <w:hyperlink w:anchor="SENTENCIA_2015_92" w:history="1">
        <w:r w:rsidRPr="00DD47EB">
          <w:rPr>
            <w:rStyle w:val="TextoNormalCaracter"/>
          </w:rPr>
          <w:t>92/2015</w:t>
        </w:r>
      </w:hyperlink>
      <w:r>
        <w:t>, f. 5.</w:t>
      </w:r>
    </w:p>
    <w:p w:rsidR="00DD47EB" w:rsidRDefault="00DD47EB" w:rsidP="00DD47EB">
      <w:pPr>
        <w:pStyle w:val="SangriaFrancesaArticulo"/>
      </w:pPr>
      <w:r w:rsidRPr="00DD47EB">
        <w:rPr>
          <w:rStyle w:val="TextoNormalNegritaCaracter"/>
        </w:rPr>
        <w:t>Artículos 49 a 50.</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50.</w:t>
      </w:r>
      <w:r w:rsidRPr="00DD47EB">
        <w:rPr>
          <w:rStyle w:val="TextoNormalCaracter"/>
        </w:rPr>
        <w:t>-</w:t>
      </w:r>
      <w:r>
        <w:t xml:space="preserve"> Sentencias </w:t>
      </w:r>
      <w:hyperlink w:anchor="SENTENCIA_2015_57" w:history="1">
        <w:r w:rsidRPr="00DD47EB">
          <w:rPr>
            <w:rStyle w:val="TextoNormalCaracter"/>
          </w:rPr>
          <w:t>57/2015</w:t>
        </w:r>
      </w:hyperlink>
      <w:r>
        <w:t xml:space="preserve">, ff. 13, 17; </w:t>
      </w:r>
      <w:hyperlink w:anchor="SENTENCIA_2015_92" w:history="1">
        <w:r w:rsidRPr="00DD47EB">
          <w:rPr>
            <w:rStyle w:val="TextoNormalCaracter"/>
          </w:rPr>
          <w:t>92/2015</w:t>
        </w:r>
      </w:hyperlink>
      <w:r>
        <w:t>, ff. 5, 6, 10.</w:t>
      </w:r>
    </w:p>
    <w:p w:rsidR="00DD47EB" w:rsidRDefault="00DD47EB" w:rsidP="00DD47EB">
      <w:pPr>
        <w:pStyle w:val="SangriaFrancesaArticulo"/>
      </w:pPr>
      <w:r w:rsidRPr="00DD47EB">
        <w:rPr>
          <w:rStyle w:val="TextoNormalNegritaCaracter"/>
        </w:rPr>
        <w:t>Artículo 51.1.</w:t>
      </w:r>
      <w:r w:rsidRPr="00DD47EB">
        <w:rPr>
          <w:rStyle w:val="TextoNormalCaracter"/>
        </w:rPr>
        <w:t>-</w:t>
      </w:r>
      <w:r>
        <w:t xml:space="preserve"> Sentencia </w:t>
      </w:r>
      <w:hyperlink w:anchor="SENTENCIA_2015_57" w:history="1">
        <w:r w:rsidRPr="00DD47EB">
          <w:rPr>
            <w:rStyle w:val="TextoNormalCaracter"/>
          </w:rPr>
          <w:t>57/2015</w:t>
        </w:r>
      </w:hyperlink>
      <w:r>
        <w:t>, ff. 1, 8, 9, 18.</w:t>
      </w:r>
    </w:p>
    <w:p w:rsidR="00DD47EB" w:rsidRDefault="00DD47EB" w:rsidP="00DD47EB">
      <w:pPr>
        <w:pStyle w:val="SangriaFrancesaArticulo"/>
      </w:pPr>
      <w:r w:rsidRPr="00DD47EB">
        <w:rPr>
          <w:rStyle w:val="TextoNormalNegritaCaracter"/>
        </w:rPr>
        <w:t>Artículo 51.2.</w:t>
      </w:r>
      <w:r w:rsidRPr="00DD47EB">
        <w:rPr>
          <w:rStyle w:val="TextoNormalCaracter"/>
        </w:rPr>
        <w:t>-</w:t>
      </w:r>
      <w:r>
        <w:t xml:space="preserve"> Sentencia </w:t>
      </w:r>
      <w:hyperlink w:anchor="SENTENCIA_2015_57" w:history="1">
        <w:r w:rsidRPr="00DD47EB">
          <w:rPr>
            <w:rStyle w:val="TextoNormalCaracter"/>
          </w:rPr>
          <w:t>57/2015</w:t>
        </w:r>
      </w:hyperlink>
      <w:r>
        <w:t>, ff. 8, 9.</w:t>
      </w:r>
    </w:p>
    <w:p w:rsidR="00DD47EB" w:rsidRDefault="00DD47EB" w:rsidP="00DD47EB">
      <w:pPr>
        <w:pStyle w:val="SangriaFrancesaArticulo"/>
      </w:pPr>
      <w:r w:rsidRPr="00DD47EB">
        <w:rPr>
          <w:rStyle w:val="TextoNormalNegritaCaracter"/>
        </w:rPr>
        <w:t>Artículo 51.3.</w:t>
      </w:r>
      <w:r w:rsidRPr="00DD47EB">
        <w:rPr>
          <w:rStyle w:val="TextoNormalCaracter"/>
        </w:rPr>
        <w:t>-</w:t>
      </w:r>
      <w:r>
        <w:t xml:space="preserve"> Sentencias </w:t>
      </w:r>
      <w:hyperlink w:anchor="SENTENCIA_2015_57" w:history="1">
        <w:r w:rsidRPr="00DD47EB">
          <w:rPr>
            <w:rStyle w:val="TextoNormalCaracter"/>
          </w:rPr>
          <w:t>57/2015</w:t>
        </w:r>
      </w:hyperlink>
      <w:r>
        <w:t xml:space="preserve">, ff. 8, 10, 11, 13, 18; </w:t>
      </w:r>
      <w:hyperlink w:anchor="SENTENCIA_2015_92" w:history="1">
        <w:r w:rsidRPr="00DD47EB">
          <w:rPr>
            <w:rStyle w:val="TextoNormalCaracter"/>
          </w:rPr>
          <w:t>92/2015</w:t>
        </w:r>
      </w:hyperlink>
      <w:r>
        <w:t>, ff. 5, 6, 11.</w:t>
      </w:r>
    </w:p>
    <w:p w:rsidR="00DD47EB" w:rsidRDefault="00DD47EB" w:rsidP="00DD47EB">
      <w:pPr>
        <w:pStyle w:val="SangriaFrancesaArticulo"/>
      </w:pPr>
      <w:r w:rsidRPr="00DD47EB">
        <w:rPr>
          <w:rStyle w:val="TextoNormalNegritaCaracter"/>
        </w:rPr>
        <w:t>Artículo 51.3 expresión "en cuyo caso sus determinaciones prevalecerán sobre las de este Plan".</w:t>
      </w:r>
      <w:r w:rsidRPr="00DD47EB">
        <w:rPr>
          <w:rStyle w:val="TextoNormalCaracter"/>
        </w:rPr>
        <w:t>-</w:t>
      </w:r>
      <w:r>
        <w:t xml:space="preserve"> Sentencia </w:t>
      </w:r>
      <w:hyperlink w:anchor="SENTENCIA_2015_57" w:history="1">
        <w:r w:rsidRPr="00DD47EB">
          <w:rPr>
            <w:rStyle w:val="TextoNormalCaracter"/>
          </w:rPr>
          <w:t>57/2015</w:t>
        </w:r>
      </w:hyperlink>
      <w:r>
        <w:t>, ff. 9, 18, 26.</w:t>
      </w:r>
    </w:p>
    <w:p w:rsidR="00DD47EB" w:rsidRDefault="00DD47EB" w:rsidP="00DD47EB">
      <w:pPr>
        <w:pStyle w:val="SangriaFrancesaArticulo"/>
      </w:pPr>
      <w:r w:rsidRPr="00DD47EB">
        <w:rPr>
          <w:rStyle w:val="TextoNormalNegritaCaracter"/>
        </w:rPr>
        <w:t>Artículo 51.3 expresión "y con independencia de la clasificación urbanística".</w:t>
      </w:r>
      <w:r w:rsidRPr="00DD47EB">
        <w:rPr>
          <w:rStyle w:val="TextoNormalCaracter"/>
        </w:rPr>
        <w:t>-</w:t>
      </w:r>
      <w:r>
        <w:t xml:space="preserve"> Sentencia </w:t>
      </w:r>
      <w:hyperlink w:anchor="SENTENCIA_2015_57" w:history="1">
        <w:r w:rsidRPr="00DD47EB">
          <w:rPr>
            <w:rStyle w:val="TextoNormalCaracter"/>
          </w:rPr>
          <w:t>57/2015</w:t>
        </w:r>
      </w:hyperlink>
      <w:r>
        <w:t>, ff. 9, 18, 26.</w:t>
      </w:r>
    </w:p>
    <w:p w:rsidR="00DD47EB" w:rsidRDefault="00DD47EB" w:rsidP="00DD47EB">
      <w:pPr>
        <w:pStyle w:val="SangriaFrancesaArticulo"/>
      </w:pPr>
      <w:r w:rsidRPr="00DD47EB">
        <w:rPr>
          <w:rStyle w:val="TextoNormalNegritaCaracter"/>
        </w:rPr>
        <w:t>Artículo 51.4.</w:t>
      </w:r>
      <w:r w:rsidRPr="00DD47EB">
        <w:rPr>
          <w:rStyle w:val="TextoNormalCaracter"/>
        </w:rPr>
        <w:t>-</w:t>
      </w:r>
      <w:r>
        <w:t xml:space="preserve"> Sentencia </w:t>
      </w:r>
      <w:hyperlink w:anchor="SENTENCIA_2015_57" w:history="1">
        <w:r w:rsidRPr="00DD47EB">
          <w:rPr>
            <w:rStyle w:val="TextoNormalCaracter"/>
          </w:rPr>
          <w:t>57/2015</w:t>
        </w:r>
      </w:hyperlink>
      <w:r>
        <w:t>, ff. 8, 11, 18.</w:t>
      </w:r>
    </w:p>
    <w:p w:rsidR="00DD47EB" w:rsidRDefault="00DD47EB" w:rsidP="00DD47EB">
      <w:pPr>
        <w:pStyle w:val="SangriaFrancesaArticulo"/>
      </w:pPr>
      <w:r w:rsidRPr="00DD47EB">
        <w:rPr>
          <w:rStyle w:val="TextoNormalNegritaCaracter"/>
        </w:rPr>
        <w:t>Artículos 51 a 53.</w:t>
      </w:r>
      <w:r w:rsidRPr="00DD47EB">
        <w:rPr>
          <w:rStyle w:val="TextoNormalCaracter"/>
        </w:rPr>
        <w:t>-</w:t>
      </w:r>
      <w:r>
        <w:t xml:space="preserve"> Sentencia </w:t>
      </w:r>
      <w:hyperlink w:anchor="SENTENCIA_2015_57" w:history="1">
        <w:r w:rsidRPr="00DD47EB">
          <w:rPr>
            <w:rStyle w:val="TextoNormalCaracter"/>
          </w:rPr>
          <w:t>57/2015</w:t>
        </w:r>
      </w:hyperlink>
      <w:r>
        <w:t>, f. 8.</w:t>
      </w:r>
    </w:p>
    <w:p w:rsidR="00DD47EB" w:rsidRDefault="00DD47EB" w:rsidP="00DD47EB">
      <w:pPr>
        <w:pStyle w:val="SangriaFrancesaArticulo"/>
      </w:pPr>
      <w:r w:rsidRPr="00DD47EB">
        <w:rPr>
          <w:rStyle w:val="TextoNormalNegritaCaracter"/>
        </w:rPr>
        <w:t>Artículos 51 a 57.</w:t>
      </w:r>
      <w:r w:rsidRPr="00DD47EB">
        <w:rPr>
          <w:rStyle w:val="TextoNormalCaracter"/>
        </w:rPr>
        <w:t>-</w:t>
      </w:r>
      <w:r>
        <w:t xml:space="preserve"> Sentencia </w:t>
      </w:r>
      <w:hyperlink w:anchor="SENTENCIA_2015_57" w:history="1">
        <w:r w:rsidRPr="00DD47EB">
          <w:rPr>
            <w:rStyle w:val="TextoNormalCaracter"/>
          </w:rPr>
          <w:t>57/2015</w:t>
        </w:r>
      </w:hyperlink>
      <w:r>
        <w:t>, ff. 1, 5, 9, 18.</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57" w:history="1">
        <w:r w:rsidRPr="00DD47EB">
          <w:rPr>
            <w:rStyle w:val="TextoNormalCaracter"/>
          </w:rPr>
          <w:t>57/2015</w:t>
        </w:r>
      </w:hyperlink>
      <w:r>
        <w:t>, ff. 8 a 10, 18.</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57" w:history="1">
        <w:r w:rsidRPr="00DD47EB">
          <w:rPr>
            <w:rStyle w:val="TextoNormalCaracter"/>
          </w:rPr>
          <w:t>57/2015</w:t>
        </w:r>
      </w:hyperlink>
      <w:r>
        <w:t>, ff. 8 a 10, 18.</w:t>
      </w:r>
    </w:p>
    <w:p w:rsidR="00DD47EB" w:rsidRDefault="00DD47EB" w:rsidP="00DD47EB">
      <w:pPr>
        <w:pStyle w:val="SangriaFrancesaArticulo"/>
      </w:pPr>
      <w:r w:rsidRPr="00DD47EB">
        <w:rPr>
          <w:rStyle w:val="TextoNormalNegritaCaracter"/>
        </w:rPr>
        <w:t>Artículo 54.</w:t>
      </w:r>
      <w:r w:rsidRPr="00DD47EB">
        <w:rPr>
          <w:rStyle w:val="TextoNormalCaracter"/>
        </w:rPr>
        <w:t>-</w:t>
      </w:r>
      <w:r>
        <w:t xml:space="preserve"> Sentencias </w:t>
      </w:r>
      <w:hyperlink w:anchor="SENTENCIA_2015_57" w:history="1">
        <w:r w:rsidRPr="00DD47EB">
          <w:rPr>
            <w:rStyle w:val="TextoNormalCaracter"/>
          </w:rPr>
          <w:t>57/2015</w:t>
        </w:r>
      </w:hyperlink>
      <w:r>
        <w:t xml:space="preserve">, ff. 8, 9, 11, 18; </w:t>
      </w:r>
      <w:hyperlink w:anchor="SENTENCIA_2015_92" w:history="1">
        <w:r w:rsidRPr="00DD47EB">
          <w:rPr>
            <w:rStyle w:val="TextoNormalCaracter"/>
          </w:rPr>
          <w:t>92/2015</w:t>
        </w:r>
      </w:hyperlink>
      <w:r>
        <w:t>, ff. 5, 6, 11.</w:t>
      </w:r>
    </w:p>
    <w:p w:rsidR="00DD47EB" w:rsidRDefault="00DD47EB" w:rsidP="00DD47EB">
      <w:pPr>
        <w:pStyle w:val="SangriaFrancesaArticulo"/>
      </w:pPr>
      <w:r w:rsidRPr="00DD47EB">
        <w:rPr>
          <w:rStyle w:val="TextoNormalNegritaCaracter"/>
        </w:rPr>
        <w:t>Artículo 54 a).</w:t>
      </w:r>
      <w:r w:rsidRPr="00DD47EB">
        <w:rPr>
          <w:rStyle w:val="TextoNormalCaracter"/>
        </w:rPr>
        <w:t>-</w:t>
      </w:r>
      <w:r>
        <w:t xml:space="preserve"> Sentencia </w:t>
      </w:r>
      <w:hyperlink w:anchor="SENTENCIA_2015_57" w:history="1">
        <w:r w:rsidRPr="00DD47EB">
          <w:rPr>
            <w:rStyle w:val="TextoNormalCaracter"/>
          </w:rPr>
          <w:t>57/2015</w:t>
        </w:r>
      </w:hyperlink>
      <w:r>
        <w:t>, ff. 8, 18.</w:t>
      </w:r>
    </w:p>
    <w:p w:rsidR="00DD47EB" w:rsidRDefault="00DD47EB" w:rsidP="00DD47EB">
      <w:pPr>
        <w:pStyle w:val="SangriaFrancesaArticulo"/>
      </w:pPr>
      <w:r w:rsidRPr="00DD47EB">
        <w:rPr>
          <w:rStyle w:val="TextoNormalNegritaCaracter"/>
        </w:rPr>
        <w:t>Artículo 54 b).</w:t>
      </w:r>
      <w:r w:rsidRPr="00DD47EB">
        <w:rPr>
          <w:rStyle w:val="TextoNormalCaracter"/>
        </w:rPr>
        <w:t>-</w:t>
      </w:r>
      <w:r>
        <w:t xml:space="preserve"> Sentencia </w:t>
      </w:r>
      <w:hyperlink w:anchor="SENTENCIA_2015_57" w:history="1">
        <w:r w:rsidRPr="00DD47EB">
          <w:rPr>
            <w:rStyle w:val="TextoNormalCaracter"/>
          </w:rPr>
          <w:t>57/2015</w:t>
        </w:r>
      </w:hyperlink>
      <w:r>
        <w:t>, ff. 8, 10, 18.</w:t>
      </w:r>
    </w:p>
    <w:p w:rsidR="00DD47EB" w:rsidRDefault="00DD47EB" w:rsidP="00DD47EB">
      <w:pPr>
        <w:pStyle w:val="SangriaFrancesaArticulo"/>
      </w:pPr>
      <w:r w:rsidRPr="00DD47EB">
        <w:rPr>
          <w:rStyle w:val="TextoNormalNegritaCaracter"/>
        </w:rPr>
        <w:t>Artículo 55.</w:t>
      </w:r>
      <w:r w:rsidRPr="00DD47EB">
        <w:rPr>
          <w:rStyle w:val="TextoNormalCaracter"/>
        </w:rPr>
        <w:t>-</w:t>
      </w:r>
      <w:r>
        <w:t xml:space="preserve"> Sentencias </w:t>
      </w:r>
      <w:hyperlink w:anchor="SENTENCIA_2015_57" w:history="1">
        <w:r w:rsidRPr="00DD47EB">
          <w:rPr>
            <w:rStyle w:val="TextoNormalCaracter"/>
          </w:rPr>
          <w:t>57/2015</w:t>
        </w:r>
      </w:hyperlink>
      <w:r>
        <w:t xml:space="preserve">, ff. 11, 18; </w:t>
      </w:r>
      <w:hyperlink w:anchor="SENTENCIA_2015_92" w:history="1">
        <w:r w:rsidRPr="00DD47EB">
          <w:rPr>
            <w:rStyle w:val="TextoNormalCaracter"/>
          </w:rPr>
          <w:t>92/2015</w:t>
        </w:r>
      </w:hyperlink>
      <w:r>
        <w:t>, ff. 5, 6, 11.</w:t>
      </w:r>
    </w:p>
    <w:p w:rsidR="00DD47EB" w:rsidRDefault="00DD47EB" w:rsidP="00DD47EB">
      <w:pPr>
        <w:pStyle w:val="SangriaFrancesaArticulo"/>
      </w:pPr>
      <w:r w:rsidRPr="00DD47EB">
        <w:rPr>
          <w:rStyle w:val="TextoNormalNegritaCaracter"/>
        </w:rPr>
        <w:t>Artículo 55.1.</w:t>
      </w:r>
      <w:r w:rsidRPr="00DD47EB">
        <w:rPr>
          <w:rStyle w:val="TextoNormalCaracter"/>
        </w:rPr>
        <w:t>-</w:t>
      </w:r>
      <w:r>
        <w:t xml:space="preserve"> Sentencia </w:t>
      </w:r>
      <w:hyperlink w:anchor="SENTENCIA_2015_57" w:history="1">
        <w:r w:rsidRPr="00DD47EB">
          <w:rPr>
            <w:rStyle w:val="TextoNormalCaracter"/>
          </w:rPr>
          <w:t>57/2015</w:t>
        </w:r>
      </w:hyperlink>
      <w:r>
        <w:t>, ff. 9, 18.</w:t>
      </w:r>
    </w:p>
    <w:p w:rsidR="00DD47EB" w:rsidRDefault="00DD47EB" w:rsidP="00DD47EB">
      <w:pPr>
        <w:pStyle w:val="SangriaFrancesaArticulo"/>
      </w:pPr>
      <w:r w:rsidRPr="00DD47EB">
        <w:rPr>
          <w:rStyle w:val="TextoNormalNegritaCaracter"/>
        </w:rPr>
        <w:t>Artículo 55.2.</w:t>
      </w:r>
      <w:r w:rsidRPr="00DD47EB">
        <w:rPr>
          <w:rStyle w:val="TextoNormalCaracter"/>
        </w:rPr>
        <w:t>-</w:t>
      </w:r>
      <w:r>
        <w:t xml:space="preserve"> Sentencia </w:t>
      </w:r>
      <w:hyperlink w:anchor="SENTENCIA_2015_57" w:history="1">
        <w:r w:rsidRPr="00DD47EB">
          <w:rPr>
            <w:rStyle w:val="TextoNormalCaracter"/>
          </w:rPr>
          <w:t>57/2015</w:t>
        </w:r>
      </w:hyperlink>
      <w:r>
        <w:t>, f. 9.</w:t>
      </w:r>
    </w:p>
    <w:p w:rsidR="00DD47EB" w:rsidRDefault="00DD47EB" w:rsidP="00DD47EB">
      <w:pPr>
        <w:pStyle w:val="SangriaFrancesaArticulo"/>
      </w:pPr>
      <w:r w:rsidRPr="00DD47EB">
        <w:rPr>
          <w:rStyle w:val="TextoNormalNegritaCaracter"/>
        </w:rPr>
        <w:t>Artículo 56.</w:t>
      </w:r>
      <w:r w:rsidRPr="00DD47EB">
        <w:rPr>
          <w:rStyle w:val="TextoNormalCaracter"/>
        </w:rPr>
        <w:t>-</w:t>
      </w:r>
      <w:r>
        <w:t xml:space="preserve"> Sentencias </w:t>
      </w:r>
      <w:hyperlink w:anchor="SENTENCIA_2015_57" w:history="1">
        <w:r w:rsidRPr="00DD47EB">
          <w:rPr>
            <w:rStyle w:val="TextoNormalCaracter"/>
          </w:rPr>
          <w:t>57/2015</w:t>
        </w:r>
      </w:hyperlink>
      <w:r>
        <w:t xml:space="preserve">, ff. 9, 18; </w:t>
      </w:r>
      <w:hyperlink w:anchor="SENTENCIA_2015_92" w:history="1">
        <w:r w:rsidRPr="00DD47EB">
          <w:rPr>
            <w:rStyle w:val="TextoNormalCaracter"/>
          </w:rPr>
          <w:t>92/2015</w:t>
        </w:r>
      </w:hyperlink>
      <w:r>
        <w:t>, ff. 2, 11.</w:t>
      </w:r>
    </w:p>
    <w:p w:rsidR="00DD47EB" w:rsidRDefault="00DD47EB" w:rsidP="00DD47EB">
      <w:pPr>
        <w:pStyle w:val="SangriaFrancesaArticulo"/>
      </w:pPr>
      <w:r w:rsidRPr="00DD47EB">
        <w:rPr>
          <w:rStyle w:val="TextoNormalNegritaCaracter"/>
        </w:rPr>
        <w:t>Artículo 56.1.</w:t>
      </w:r>
      <w:r w:rsidRPr="00DD47EB">
        <w:rPr>
          <w:rStyle w:val="TextoNormalCaracter"/>
        </w:rPr>
        <w:t>-</w:t>
      </w:r>
      <w:r>
        <w:t xml:space="preserve"> Sentencias </w:t>
      </w:r>
      <w:hyperlink w:anchor="SENTENCIA_2015_57" w:history="1">
        <w:r w:rsidRPr="00DD47EB">
          <w:rPr>
            <w:rStyle w:val="TextoNormalCaracter"/>
          </w:rPr>
          <w:t>57/2015</w:t>
        </w:r>
      </w:hyperlink>
      <w:r>
        <w:t xml:space="preserve">, f. 18; </w:t>
      </w:r>
      <w:hyperlink w:anchor="SENTENCIA_2015_92" w:history="1">
        <w:r w:rsidRPr="00DD47EB">
          <w:rPr>
            <w:rStyle w:val="TextoNormalCaracter"/>
          </w:rPr>
          <w:t>92/2015</w:t>
        </w:r>
      </w:hyperlink>
      <w:r>
        <w:t>, f. 11.</w:t>
      </w:r>
    </w:p>
    <w:p w:rsidR="00DD47EB" w:rsidRDefault="00DD47EB" w:rsidP="00DD47EB">
      <w:pPr>
        <w:pStyle w:val="SangriaFrancesaArticulo"/>
      </w:pPr>
      <w:r w:rsidRPr="00DD47EB">
        <w:rPr>
          <w:rStyle w:val="TextoNormalNegritaCaracter"/>
        </w:rPr>
        <w:t>Artículo 56.2.</w:t>
      </w:r>
      <w:r w:rsidRPr="00DD47EB">
        <w:rPr>
          <w:rStyle w:val="TextoNormalCaracter"/>
        </w:rPr>
        <w:t>-</w:t>
      </w:r>
      <w:r>
        <w:t xml:space="preserve"> Sentencias </w:t>
      </w:r>
      <w:hyperlink w:anchor="SENTENCIA_2015_57" w:history="1">
        <w:r w:rsidRPr="00DD47EB">
          <w:rPr>
            <w:rStyle w:val="TextoNormalCaracter"/>
          </w:rPr>
          <w:t>57/2015</w:t>
        </w:r>
      </w:hyperlink>
      <w:r>
        <w:t xml:space="preserve">, f. 18; </w:t>
      </w:r>
      <w:hyperlink w:anchor="SENTENCIA_2015_92" w:history="1">
        <w:r w:rsidRPr="00DD47EB">
          <w:rPr>
            <w:rStyle w:val="TextoNormalCaracter"/>
          </w:rPr>
          <w:t>92/2015</w:t>
        </w:r>
      </w:hyperlink>
      <w:r>
        <w:t>, ff. 6, 11.</w:t>
      </w:r>
    </w:p>
    <w:p w:rsidR="00DD47EB" w:rsidRDefault="00DD47EB" w:rsidP="00DD47EB">
      <w:pPr>
        <w:pStyle w:val="SangriaFrancesaArticulo"/>
      </w:pPr>
      <w:r w:rsidRPr="00DD47EB">
        <w:rPr>
          <w:rStyle w:val="TextoNormalNegritaCaracter"/>
        </w:rPr>
        <w:t>Artículo 57.</w:t>
      </w:r>
      <w:r w:rsidRPr="00DD47EB">
        <w:rPr>
          <w:rStyle w:val="TextoNormalCaracter"/>
        </w:rPr>
        <w:t>-</w:t>
      </w:r>
      <w:r>
        <w:t xml:space="preserve"> Sentencias </w:t>
      </w:r>
      <w:hyperlink w:anchor="SENTENCIA_2015_57" w:history="1">
        <w:r w:rsidRPr="00DD47EB">
          <w:rPr>
            <w:rStyle w:val="TextoNormalCaracter"/>
          </w:rPr>
          <w:t>57/2015</w:t>
        </w:r>
      </w:hyperlink>
      <w:r>
        <w:t xml:space="preserve">, ff. 8, 9, 11, 18; </w:t>
      </w:r>
      <w:hyperlink w:anchor="SENTENCIA_2015_92" w:history="1">
        <w:r w:rsidRPr="00DD47EB">
          <w:rPr>
            <w:rStyle w:val="TextoNormalCaracter"/>
          </w:rPr>
          <w:t>92/2015</w:t>
        </w:r>
      </w:hyperlink>
      <w:r>
        <w:t>, ff. 2, 11.</w:t>
      </w:r>
    </w:p>
    <w:p w:rsidR="00DD47EB" w:rsidRDefault="00DD47EB" w:rsidP="00DD47EB">
      <w:pPr>
        <w:pStyle w:val="SangriaFrancesaArticulo"/>
      </w:pPr>
      <w:r w:rsidRPr="00DD47EB">
        <w:rPr>
          <w:rStyle w:val="TextoNormalNegritaCaracter"/>
        </w:rPr>
        <w:t>Artículo 58.</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Artículo 59.</w:t>
      </w:r>
      <w:r w:rsidRPr="00DD47EB">
        <w:rPr>
          <w:rStyle w:val="TextoNormalCaracter"/>
        </w:rPr>
        <w:t>-</w:t>
      </w:r>
      <w:r>
        <w:t xml:space="preserve"> Sentencia </w:t>
      </w:r>
      <w:hyperlink w:anchor="SENTENCIA_2015_57" w:history="1">
        <w:r w:rsidRPr="00DD47EB">
          <w:rPr>
            <w:rStyle w:val="TextoNormalCaracter"/>
          </w:rPr>
          <w:t>57/2015</w:t>
        </w:r>
      </w:hyperlink>
      <w:r>
        <w:t>, ff. 1, 24.</w:t>
      </w:r>
    </w:p>
    <w:p w:rsidR="00DD47EB" w:rsidRDefault="00DD47EB" w:rsidP="00DD47EB">
      <w:pPr>
        <w:pStyle w:val="SangriaFrancesaArticulo"/>
      </w:pPr>
      <w:r w:rsidRPr="00DD47EB">
        <w:rPr>
          <w:rStyle w:val="TextoNormalNegritaCaracter"/>
        </w:rPr>
        <w:t>Artículo 59.1 d).</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SangriaFrancesaArticulo"/>
      </w:pPr>
      <w:r w:rsidRPr="00DD47EB">
        <w:rPr>
          <w:rStyle w:val="TextoNormalNegritaCaracter"/>
        </w:rPr>
        <w:t>Artículo 60.</w:t>
      </w:r>
      <w:r w:rsidRPr="00DD47EB">
        <w:rPr>
          <w:rStyle w:val="TextoNormalCaracter"/>
        </w:rPr>
        <w:t>-</w:t>
      </w:r>
      <w:r>
        <w:t xml:space="preserve"> Sentencia </w:t>
      </w:r>
      <w:hyperlink w:anchor="SENTENCIA_2015_92" w:history="1">
        <w:r w:rsidRPr="00DD47EB">
          <w:rPr>
            <w:rStyle w:val="TextoNormalCaracter"/>
          </w:rPr>
          <w:t>92/2015</w:t>
        </w:r>
      </w:hyperlink>
      <w:r>
        <w:t>, f. 11.</w:t>
      </w:r>
    </w:p>
    <w:p w:rsidR="00DD47EB" w:rsidRDefault="00DD47EB" w:rsidP="00DD47EB">
      <w:pPr>
        <w:pStyle w:val="SangriaFrancesaArticulo"/>
      </w:pPr>
      <w:r w:rsidRPr="00DD47EB">
        <w:rPr>
          <w:rStyle w:val="TextoNormalNegritaCaracter"/>
        </w:rPr>
        <w:t>Artículo 60.2 inciso final.</w:t>
      </w:r>
      <w:r w:rsidRPr="00DD47EB">
        <w:rPr>
          <w:rStyle w:val="TextoNormalCaracter"/>
        </w:rPr>
        <w:t>-</w:t>
      </w:r>
      <w:r>
        <w:t xml:space="preserve"> Sentencia </w:t>
      </w:r>
      <w:hyperlink w:anchor="SENTENCIA_2015_57" w:history="1">
        <w:r w:rsidRPr="00DD47EB">
          <w:rPr>
            <w:rStyle w:val="TextoNormalCaracter"/>
          </w:rPr>
          <w:t>57/2015</w:t>
        </w:r>
      </w:hyperlink>
      <w:r>
        <w:t>, f. 19.</w:t>
      </w:r>
    </w:p>
    <w:p w:rsidR="00DD47EB" w:rsidRDefault="00DD47EB" w:rsidP="00DD47EB">
      <w:pPr>
        <w:pStyle w:val="SangriaFrancesaArticulo"/>
      </w:pPr>
      <w:r w:rsidRPr="00DD47EB">
        <w:rPr>
          <w:rStyle w:val="TextoNormalNegritaCaracter"/>
        </w:rPr>
        <w:t>Artículos 60 y 61.</w:t>
      </w:r>
      <w:r w:rsidRPr="00DD47EB">
        <w:rPr>
          <w:rStyle w:val="TextoNormalCaracter"/>
        </w:rPr>
        <w:t>-</w:t>
      </w:r>
      <w:r>
        <w:t xml:space="preserve"> Sentencia </w:t>
      </w:r>
      <w:hyperlink w:anchor="SENTENCIA_2015_57" w:history="1">
        <w:r w:rsidRPr="00DD47EB">
          <w:rPr>
            <w:rStyle w:val="TextoNormalCaracter"/>
          </w:rPr>
          <w:t>57/2015</w:t>
        </w:r>
      </w:hyperlink>
      <w:r>
        <w:t>, ff. 1, 16.</w:t>
      </w:r>
    </w:p>
    <w:p w:rsidR="00DD47EB" w:rsidRDefault="00DD47EB" w:rsidP="00DD47EB">
      <w:pPr>
        <w:pStyle w:val="SangriaFrancesaArticulo"/>
      </w:pPr>
      <w:r w:rsidRPr="00DD47EB">
        <w:rPr>
          <w:rStyle w:val="TextoNormalNegritaCaracter"/>
        </w:rPr>
        <w:t>Artículo 65.</w:t>
      </w:r>
      <w:r w:rsidRPr="00DD47EB">
        <w:rPr>
          <w:rStyle w:val="TextoNormalCaracter"/>
        </w:rPr>
        <w:t>-</w:t>
      </w:r>
      <w:r>
        <w:t xml:space="preserve"> Sentencia </w:t>
      </w:r>
      <w:hyperlink w:anchor="SENTENCIA_2015_57" w:history="1">
        <w:r w:rsidRPr="00DD47EB">
          <w:rPr>
            <w:rStyle w:val="TextoNormalCaracter"/>
          </w:rPr>
          <w:t>57/2015</w:t>
        </w:r>
      </w:hyperlink>
      <w:r>
        <w:t>, f. 20.</w:t>
      </w:r>
    </w:p>
    <w:p w:rsidR="00DD47EB" w:rsidRDefault="00DD47EB" w:rsidP="00DD47EB">
      <w:pPr>
        <w:pStyle w:val="SangriaFrancesaArticulo"/>
      </w:pPr>
      <w:r w:rsidRPr="00DD47EB">
        <w:rPr>
          <w:rStyle w:val="TextoNormalNegritaCaracter"/>
        </w:rPr>
        <w:t>Artículo 67.</w:t>
      </w:r>
      <w:r w:rsidRPr="00DD47EB">
        <w:rPr>
          <w:rStyle w:val="TextoNormalCaracter"/>
        </w:rPr>
        <w:t>-</w:t>
      </w:r>
      <w:r>
        <w:t xml:space="preserve"> Sentencia </w:t>
      </w:r>
      <w:hyperlink w:anchor="SENTENCIA_2015_57" w:history="1">
        <w:r w:rsidRPr="00DD47EB">
          <w:rPr>
            <w:rStyle w:val="TextoNormalCaracter"/>
          </w:rPr>
          <w:t>57/2015</w:t>
        </w:r>
      </w:hyperlink>
      <w:r>
        <w:t>, f. 16.</w:t>
      </w:r>
    </w:p>
    <w:p w:rsidR="00DD47EB" w:rsidRDefault="00DD47EB" w:rsidP="00DD47EB">
      <w:pPr>
        <w:pStyle w:val="SangriaFrancesaArticulo"/>
      </w:pPr>
      <w:r w:rsidRPr="00DD47EB">
        <w:rPr>
          <w:rStyle w:val="TextoNormalNegritaCaracter"/>
        </w:rPr>
        <w:t>Artículo 74.</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Disposiciones adicionales primera a tercera.</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57" w:history="1">
        <w:r w:rsidRPr="00DD47EB">
          <w:rPr>
            <w:rStyle w:val="TextoNormalCaracter"/>
          </w:rPr>
          <w:t>57/2015</w:t>
        </w:r>
      </w:hyperlink>
      <w:r>
        <w:t>, f. 14.</w:t>
      </w:r>
    </w:p>
    <w:p w:rsidR="00DD47EB" w:rsidRDefault="00DD47EB" w:rsidP="00DD47EB">
      <w:pPr>
        <w:pStyle w:val="SangriaFrancesaArticulo"/>
      </w:pPr>
      <w:r w:rsidRPr="00DD47EB">
        <w:rPr>
          <w:rStyle w:val="TextoNormalNegritaCaracter"/>
        </w:rPr>
        <w:t>Disposición adicional cuarta.</w:t>
      </w:r>
      <w:r w:rsidRPr="00DD47EB">
        <w:rPr>
          <w:rStyle w:val="TextoNormalCaracter"/>
        </w:rPr>
        <w:t>-</w:t>
      </w:r>
      <w:r>
        <w:t xml:space="preserve"> Sentencias </w:t>
      </w:r>
      <w:hyperlink w:anchor="SENTENCIA_2015_57" w:history="1">
        <w:r w:rsidRPr="00DD47EB">
          <w:rPr>
            <w:rStyle w:val="TextoNormalCaracter"/>
          </w:rPr>
          <w:t>57/2015</w:t>
        </w:r>
      </w:hyperlink>
      <w:r>
        <w:t xml:space="preserve">, ff. 8, 11, 13, 14, 21; </w:t>
      </w:r>
      <w:hyperlink w:anchor="SENTENCIA_2015_92" w:history="1">
        <w:r w:rsidRPr="00DD47EB">
          <w:rPr>
            <w:rStyle w:val="TextoNormalCaracter"/>
          </w:rPr>
          <w:t>92/2015</w:t>
        </w:r>
      </w:hyperlink>
      <w:r>
        <w:t>, ff. 2, 3, 5, 6, 12.</w:t>
      </w:r>
    </w:p>
    <w:p w:rsidR="00DD47EB" w:rsidRDefault="00DD47EB" w:rsidP="00DD47EB">
      <w:pPr>
        <w:pStyle w:val="SangriaFrancesaArticulo"/>
      </w:pPr>
      <w:r w:rsidRPr="00DD47EB">
        <w:rPr>
          <w:rStyle w:val="TextoNormalNegritaCaracter"/>
        </w:rPr>
        <w:t>Disposiciones transitorias.</w:t>
      </w:r>
      <w:r w:rsidRPr="00DD47EB">
        <w:rPr>
          <w:rStyle w:val="TextoNormalCaracter"/>
        </w:rPr>
        <w:t>-</w:t>
      </w:r>
      <w:r>
        <w:t xml:space="preserve"> Sentencia </w:t>
      </w:r>
      <w:hyperlink w:anchor="SENTENCIA_2015_57" w:history="1">
        <w:r w:rsidRPr="00DD47EB">
          <w:rPr>
            <w:rStyle w:val="TextoNormalCaracter"/>
          </w:rPr>
          <w:t>57/2015</w:t>
        </w:r>
      </w:hyperlink>
      <w:r>
        <w:t>, f. 1.</w:t>
      </w:r>
    </w:p>
    <w:p w:rsidR="00DD47EB" w:rsidRDefault="00DD47EB" w:rsidP="00DD47EB">
      <w:pPr>
        <w:pStyle w:val="SangriaFrancesaArticulo"/>
      </w:pPr>
      <w:r w:rsidRPr="00DD47EB">
        <w:rPr>
          <w:rStyle w:val="TextoNormalNegritaCaracter"/>
        </w:rPr>
        <w:t>Disposiciones transitorias primera a sexta.</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Disposición transitoria primera, apartado 2</w:t>
      </w:r>
      <w:r>
        <w:t xml:space="preserve"> (redactado por la Ley del Parlamento de Cantabria 8/2013, de 2 de diciembre)</w:t>
      </w:r>
      <w:r w:rsidRPr="00DD47EB">
        <w:rPr>
          <w:rStyle w:val="TextoNormalNegritaCaracter"/>
        </w:rPr>
        <w:t>.</w:t>
      </w:r>
      <w:r w:rsidRPr="00DD47EB">
        <w:rPr>
          <w:rStyle w:val="TextoNormalCaracter"/>
        </w:rPr>
        <w:t>-</w:t>
      </w:r>
      <w:r>
        <w:t xml:space="preserve"> Sentencia </w:t>
      </w:r>
      <w:hyperlink w:anchor="SENTENCIA_2015_92" w:history="1">
        <w:r w:rsidRPr="00DD47EB">
          <w:rPr>
            <w:rStyle w:val="TextoNormalCaracter"/>
          </w:rPr>
          <w:t>92/2015</w:t>
        </w:r>
      </w:hyperlink>
      <w:r>
        <w:t>, f. 5.</w:t>
      </w:r>
    </w:p>
    <w:p w:rsidR="00DD47EB" w:rsidRDefault="00DD47EB" w:rsidP="00DD47EB">
      <w:pPr>
        <w:pStyle w:val="SangriaFrancesaArticulo"/>
      </w:pPr>
      <w:r w:rsidRPr="00DD47EB">
        <w:rPr>
          <w:rStyle w:val="TextoNormalNegritaCaracter"/>
        </w:rPr>
        <w:t>Disposición transitoria primera, apartado segundo</w:t>
      </w:r>
      <w:r>
        <w:t xml:space="preserve"> (redactada por la Ley del Parlamento de Cantabria 8/2013, de 2 de diciembre)</w:t>
      </w:r>
      <w:r w:rsidRPr="00DD47EB">
        <w:rPr>
          <w:rStyle w:val="TextoNormalNegritaCaracter"/>
        </w:rPr>
        <w:t>.</w:t>
      </w:r>
      <w:r w:rsidRPr="00DD47EB">
        <w:rPr>
          <w:rStyle w:val="TextoNormalCaracter"/>
        </w:rPr>
        <w:t>-</w:t>
      </w:r>
      <w:r>
        <w:t xml:space="preserve"> Sentencia </w:t>
      </w:r>
      <w:hyperlink w:anchor="SENTENCIA_2015_57" w:history="1">
        <w:r w:rsidRPr="00DD47EB">
          <w:rPr>
            <w:rStyle w:val="TextoNormalCaracter"/>
          </w:rPr>
          <w:t>57/2015</w:t>
        </w:r>
      </w:hyperlink>
      <w:r>
        <w:t>, f. 2.</w:t>
      </w:r>
    </w:p>
    <w:p w:rsidR="00DD47EB" w:rsidRDefault="00DD47EB" w:rsidP="00DD47EB">
      <w:pPr>
        <w:pStyle w:val="SangriaFrancesaArticulo"/>
      </w:pPr>
      <w:r w:rsidRPr="00DD47EB">
        <w:rPr>
          <w:rStyle w:val="TextoNormalNegritaCaracter"/>
        </w:rPr>
        <w:t>Disposición transitoria tercera</w:t>
      </w:r>
      <w:r>
        <w:t xml:space="preserve"> (redactada por la Ley del Parlamento de Cantabria 8/2013, de 2 de diciembre)</w:t>
      </w:r>
      <w:r w:rsidRPr="00DD47EB">
        <w:rPr>
          <w:rStyle w:val="TextoNormalNegritaCaracter"/>
        </w:rPr>
        <w:t>.</w:t>
      </w:r>
      <w:r w:rsidRPr="00DD47EB">
        <w:rPr>
          <w:rStyle w:val="TextoNormalCaracter"/>
        </w:rPr>
        <w:t>-</w:t>
      </w:r>
      <w:r>
        <w:t xml:space="preserve"> Sentencias </w:t>
      </w:r>
      <w:hyperlink w:anchor="SENTENCIA_2015_57" w:history="1">
        <w:r w:rsidRPr="00DD47EB">
          <w:rPr>
            <w:rStyle w:val="TextoNormalCaracter"/>
          </w:rPr>
          <w:t>57/2015</w:t>
        </w:r>
      </w:hyperlink>
      <w:r>
        <w:t xml:space="preserve">, ff. 2, 22; </w:t>
      </w:r>
      <w:hyperlink w:anchor="SENTENCIA_2015_92" w:history="1">
        <w:r w:rsidRPr="00DD47EB">
          <w:rPr>
            <w:rStyle w:val="TextoNormalCaracter"/>
          </w:rPr>
          <w:t>92/2015</w:t>
        </w:r>
      </w:hyperlink>
      <w:r>
        <w:t>, f. 5.</w:t>
      </w:r>
    </w:p>
    <w:p w:rsidR="00DD47EB" w:rsidRDefault="00DD47EB" w:rsidP="00DD47EB">
      <w:pPr>
        <w:pStyle w:val="SangriaFrancesaArticulo"/>
      </w:pPr>
      <w:r w:rsidRPr="00DD47EB">
        <w:rPr>
          <w:rStyle w:val="TextoNormalNegritaCaracter"/>
        </w:rPr>
        <w:t>Disposición transitoria cuarta</w:t>
      </w:r>
      <w:r>
        <w:t xml:space="preserve"> (redactada por la Ley del Parlamento de Cantabria 8/2013, de 2 de diciembre)</w:t>
      </w:r>
      <w:r w:rsidRPr="00DD47EB">
        <w:rPr>
          <w:rStyle w:val="TextoNormalNegritaCaracter"/>
        </w:rPr>
        <w:t>.</w:t>
      </w:r>
      <w:r w:rsidRPr="00DD47EB">
        <w:rPr>
          <w:rStyle w:val="TextoNormalCaracter"/>
        </w:rPr>
        <w:t>-</w:t>
      </w:r>
      <w:r>
        <w:t xml:space="preserve"> Sentencia </w:t>
      </w:r>
      <w:hyperlink w:anchor="SENTENCIA_2015_57" w:history="1">
        <w:r w:rsidRPr="00DD47EB">
          <w:rPr>
            <w:rStyle w:val="TextoNormalCaracter"/>
          </w:rPr>
          <w:t>57/2015</w:t>
        </w:r>
      </w:hyperlink>
      <w:r>
        <w:t>, ff. 2, 22, 26.</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Sentencia </w:t>
      </w:r>
      <w:hyperlink w:anchor="SENTENCIA_2015_57" w:history="1">
        <w:r w:rsidRPr="00DD47EB">
          <w:rPr>
            <w:rStyle w:val="TextoNormalCaracter"/>
          </w:rPr>
          <w:t>57/2015</w:t>
        </w:r>
      </w:hyperlink>
      <w:r>
        <w:t>, f. 22.</w:t>
      </w:r>
    </w:p>
    <w:p w:rsidR="00DD47EB" w:rsidRDefault="00DD47EB" w:rsidP="00DD47EB">
      <w:pPr>
        <w:pStyle w:val="SangriaFrancesaArticulo"/>
      </w:pPr>
      <w:r w:rsidRPr="00DD47EB">
        <w:rPr>
          <w:rStyle w:val="TextoNormalNegritaCaracter"/>
        </w:rPr>
        <w:t>Disposición transitoria quinta, apartado 2.</w:t>
      </w:r>
      <w:r w:rsidRPr="00DD47EB">
        <w:rPr>
          <w:rStyle w:val="TextoNormalCaracter"/>
        </w:rPr>
        <w:t>-</w:t>
      </w:r>
      <w:r>
        <w:t xml:space="preserve"> Sentencia </w:t>
      </w:r>
      <w:hyperlink w:anchor="SENTENCIA_2015_57" w:history="1">
        <w:r w:rsidRPr="00DD47EB">
          <w:rPr>
            <w:rStyle w:val="TextoNormalCaracter"/>
          </w:rPr>
          <w:t>57/2015</w:t>
        </w:r>
      </w:hyperlink>
      <w:r>
        <w:t>, f. 22.</w:t>
      </w:r>
    </w:p>
    <w:p w:rsidR="00DD47EB" w:rsidRDefault="00DD47EB" w:rsidP="00DD47EB">
      <w:pPr>
        <w:pStyle w:val="SangriaFrancesaArticulo"/>
      </w:pPr>
      <w:r w:rsidRPr="00DD47EB">
        <w:rPr>
          <w:rStyle w:val="TextoNormalNegritaCaracter"/>
        </w:rPr>
        <w:t>Disposición transitoria quinta, apartado 3.</w:t>
      </w:r>
      <w:r w:rsidRPr="00DD47EB">
        <w:rPr>
          <w:rStyle w:val="TextoNormalCaracter"/>
        </w:rPr>
        <w:t>-</w:t>
      </w:r>
      <w:r>
        <w:t xml:space="preserve"> Sentencia </w:t>
      </w:r>
      <w:hyperlink w:anchor="SENTENCIA_2015_57" w:history="1">
        <w:r w:rsidRPr="00DD47EB">
          <w:rPr>
            <w:rStyle w:val="TextoNormalCaracter"/>
          </w:rPr>
          <w:t>57/2015</w:t>
        </w:r>
      </w:hyperlink>
      <w:r>
        <w:t>, f. 22.</w:t>
      </w:r>
    </w:p>
    <w:p w:rsidR="00DD47EB" w:rsidRDefault="00DD47EB" w:rsidP="00DD47EB">
      <w:pPr>
        <w:pStyle w:val="SangriaFrancesaArticulo"/>
      </w:pPr>
      <w:r w:rsidRPr="00DD47EB">
        <w:rPr>
          <w:rStyle w:val="TextoNormalNegritaCaracter"/>
        </w:rPr>
        <w:t>Disposición transitoria octava, apartado 1.</w:t>
      </w:r>
      <w:r w:rsidRPr="00DD47EB">
        <w:rPr>
          <w:rStyle w:val="TextoNormalCaracter"/>
        </w:rPr>
        <w:t>-</w:t>
      </w:r>
      <w:r>
        <w:t xml:space="preserve"> Sentencia </w:t>
      </w:r>
      <w:hyperlink w:anchor="SENTENCIA_2015_57" w:history="1">
        <w:r w:rsidRPr="00DD47EB">
          <w:rPr>
            <w:rStyle w:val="TextoNormalCaracter"/>
          </w:rPr>
          <w:t>57/2015</w:t>
        </w:r>
      </w:hyperlink>
      <w:r>
        <w:t>, f. 20.</w:t>
      </w:r>
    </w:p>
    <w:p w:rsidR="00DD47EB" w:rsidRDefault="00DD47EB" w:rsidP="00DD47EB">
      <w:pPr>
        <w:pStyle w:val="SangriaFrancesaArticulo"/>
      </w:pPr>
      <w:r w:rsidRPr="00DD47EB">
        <w:rPr>
          <w:rStyle w:val="TextoNormalNegritaCaracter"/>
        </w:rPr>
        <w:t>Disposición transitoria octava, apartado 2.</w:t>
      </w:r>
      <w:r w:rsidRPr="00DD47EB">
        <w:rPr>
          <w:rStyle w:val="TextoNormalCaracter"/>
        </w:rPr>
        <w:t>-</w:t>
      </w:r>
      <w:r>
        <w:t xml:space="preserve"> Sentencia </w:t>
      </w:r>
      <w:hyperlink w:anchor="SENTENCIA_2015_57" w:history="1">
        <w:r w:rsidRPr="00DD47EB">
          <w:rPr>
            <w:rStyle w:val="TextoNormalCaracter"/>
          </w:rPr>
          <w:t>57/2015</w:t>
        </w:r>
      </w:hyperlink>
      <w:r>
        <w:t>, ff. 7, 20, 26.</w:t>
      </w:r>
    </w:p>
    <w:p w:rsidR="00DD47EB" w:rsidRDefault="00DD47EB" w:rsidP="00DD47EB">
      <w:pPr>
        <w:pStyle w:val="SangriaFrancesaArticulo"/>
      </w:pPr>
      <w:r w:rsidRPr="00DD47EB">
        <w:rPr>
          <w:rStyle w:val="TextoNormalNegritaCaracter"/>
        </w:rPr>
        <w:t>Disposiciones transitorias décima a duodécima.</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Disposición transitoria duodécima, inciso final.</w:t>
      </w:r>
      <w:r w:rsidRPr="00DD47EB">
        <w:rPr>
          <w:rStyle w:val="TextoNormalCaracter"/>
        </w:rPr>
        <w:t>-</w:t>
      </w:r>
      <w:r>
        <w:t xml:space="preserve"> Sentencia </w:t>
      </w:r>
      <w:hyperlink w:anchor="SENTENCIA_2015_57" w:history="1">
        <w:r w:rsidRPr="00DD47EB">
          <w:rPr>
            <w:rStyle w:val="TextoNormalCaracter"/>
          </w:rPr>
          <w:t>57/2015</w:t>
        </w:r>
      </w:hyperlink>
      <w:r>
        <w:t>, f. 23.</w:t>
      </w:r>
    </w:p>
    <w:p w:rsidR="00DD47EB" w:rsidRDefault="00DD47EB" w:rsidP="00DD47EB">
      <w:pPr>
        <w:pStyle w:val="SangriaFrancesaArticulo"/>
      </w:pPr>
      <w:r w:rsidRPr="00DD47EB">
        <w:rPr>
          <w:rStyle w:val="TextoNormalNegritaCaracter"/>
        </w:rPr>
        <w:t>Disposición derogatoria única, apartado 2.</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57" w:history="1">
        <w:r w:rsidRPr="00DD47EB">
          <w:rPr>
            <w:rStyle w:val="TextoNormalCaracter"/>
          </w:rPr>
          <w:t>57/2015</w:t>
        </w:r>
      </w:hyperlink>
      <w:r>
        <w:t>, ff. 1, 24.</w:t>
      </w:r>
    </w:p>
    <w:p w:rsidR="00DD47EB" w:rsidRDefault="00DD47EB" w:rsidP="00DD47EB">
      <w:pPr>
        <w:pStyle w:val="SangriaFrancesaArticulo"/>
      </w:pPr>
      <w:r w:rsidRPr="00DD47EB">
        <w:rPr>
          <w:rStyle w:val="TextoNormalNegritaCaracter"/>
        </w:rPr>
        <w:t>Disposiciones finales primera a tercera.</w:t>
      </w:r>
      <w:r w:rsidRPr="00DD47EB">
        <w:rPr>
          <w:rStyle w:val="TextoNormalCaracter"/>
        </w:rPr>
        <w:t>-</w:t>
      </w:r>
      <w:r>
        <w:t xml:space="preserve"> Sentencia </w:t>
      </w:r>
      <w:hyperlink w:anchor="SENTENCIA_2015_57" w:history="1">
        <w:r w:rsidRPr="00DD47EB">
          <w:rPr>
            <w:rStyle w:val="TextoNormalCaracter"/>
          </w:rPr>
          <w:t>57/2015</w:t>
        </w:r>
      </w:hyperlink>
      <w:r>
        <w:t>, f. 7.</w:t>
      </w:r>
    </w:p>
    <w:p w:rsidR="00DD47EB" w:rsidRDefault="00DD47EB" w:rsidP="00DD47EB">
      <w:pPr>
        <w:pStyle w:val="SangriaFrancesaArticulo"/>
      </w:pPr>
      <w:r w:rsidRPr="00DD47EB">
        <w:rPr>
          <w:rStyle w:val="TextoNormalNegritaCaracter"/>
        </w:rPr>
        <w:t>Anexo I.</w:t>
      </w:r>
      <w:r w:rsidRPr="00DD47EB">
        <w:rPr>
          <w:rStyle w:val="TextoNormalCaracter"/>
        </w:rPr>
        <w:t>-</w:t>
      </w:r>
      <w:r>
        <w:t xml:space="preserve"> Sentencia </w:t>
      </w:r>
      <w:hyperlink w:anchor="SENTENCIA_2015_57" w:history="1">
        <w:r w:rsidRPr="00DD47EB">
          <w:rPr>
            <w:rStyle w:val="TextoNormalCaracter"/>
          </w:rPr>
          <w:t>57/2015</w:t>
        </w:r>
      </w:hyperlink>
      <w:r>
        <w:t>, ff. 7, 10, 13, 18, 25.</w:t>
      </w:r>
    </w:p>
    <w:p w:rsidR="00DD47EB" w:rsidRDefault="00DD47EB" w:rsidP="00DD47EB">
      <w:pPr>
        <w:pStyle w:val="SangriaFrancesaArticulo"/>
      </w:pPr>
      <w:r w:rsidRPr="00DD47EB">
        <w:rPr>
          <w:rStyle w:val="TextoNormalNegritaCaracter"/>
        </w:rPr>
        <w:t>Anexo III.</w:t>
      </w:r>
      <w:r w:rsidRPr="00DD47EB">
        <w:rPr>
          <w:rStyle w:val="TextoNormalCaracter"/>
        </w:rPr>
        <w:t>-</w:t>
      </w:r>
      <w:r>
        <w:t xml:space="preserve"> Sentencias </w:t>
      </w:r>
      <w:hyperlink w:anchor="SENTENCIA_2015_57" w:history="1">
        <w:r w:rsidRPr="00DD47EB">
          <w:rPr>
            <w:rStyle w:val="TextoNormalCaracter"/>
          </w:rPr>
          <w:t>57/2015</w:t>
        </w:r>
      </w:hyperlink>
      <w:r>
        <w:t xml:space="preserve">, ff. 1, 7 a 10, 18, 25; </w:t>
      </w:r>
      <w:hyperlink w:anchor="SENTENCIA_2015_92" w:history="1">
        <w:r w:rsidRPr="00DD47EB">
          <w:rPr>
            <w:rStyle w:val="TextoNormalCaracter"/>
          </w:rPr>
          <w:t>92/2015</w:t>
        </w:r>
      </w:hyperlink>
      <w:r>
        <w:t>, f. 11.</w:t>
      </w:r>
    </w:p>
    <w:p w:rsidR="00DD47EB" w:rsidRDefault="00DD47EB" w:rsidP="00DD47EB">
      <w:pPr>
        <w:pStyle w:val="SangriaFrancesaArticulo"/>
      </w:pPr>
    </w:p>
    <w:p w:rsidR="00DD47EB" w:rsidRDefault="00DD47EB" w:rsidP="00DD47EB">
      <w:pPr>
        <w:pStyle w:val="TextoNormalNegritaCursivandice"/>
      </w:pPr>
      <w:r>
        <w:t>Ley del Parlamento de Cantabria 2/2011, de 4 de abril. Modifica la Ley 2/2001, de 25 de junio, de ordenación territorial y régimen urbanístico del suelo de Cantabria, en relación con los procedimientos de indemnización patrimonial en materia urbanística</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92" w:history="1">
        <w:r w:rsidRPr="00DD47EB">
          <w:rPr>
            <w:rStyle w:val="TextoNormalCaracter"/>
          </w:rPr>
          <w:t>92/2015</w:t>
        </w:r>
      </w:hyperlink>
      <w:r>
        <w:t>, f. 3.</w:t>
      </w:r>
    </w:p>
    <w:p w:rsidR="00DD47EB" w:rsidRDefault="00DD47EB" w:rsidP="00DD47EB">
      <w:pPr>
        <w:pStyle w:val="SangriaFrancesaArticulo"/>
      </w:pPr>
    </w:p>
    <w:p w:rsidR="00DD47EB" w:rsidRDefault="00DD47EB" w:rsidP="00DD47EB">
      <w:pPr>
        <w:pStyle w:val="TextoNormalNegritaCursivandice"/>
      </w:pPr>
      <w:r>
        <w:t>Ley del Parlamento de Cantabria 5/2012, de 11 de diciembre. Reforma del régimen transitorio en materia de ordenación del territorio y urbanismo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7" w:history="1">
        <w:r w:rsidRPr="00DD47EB">
          <w:rPr>
            <w:rStyle w:val="TextoNormalCaracter"/>
          </w:rPr>
          <w:t>57/2015</w:t>
        </w:r>
      </w:hyperlink>
      <w:r>
        <w:t>, f. 9.</w:t>
      </w:r>
    </w:p>
    <w:p w:rsidR="00DD47EB" w:rsidRDefault="00DD47EB" w:rsidP="00DD47EB">
      <w:pPr>
        <w:pStyle w:val="SangriaFrancesaArticulo"/>
      </w:pPr>
    </w:p>
    <w:p w:rsidR="00DD47EB" w:rsidRDefault="00DD47EB" w:rsidP="00DD47EB">
      <w:pPr>
        <w:pStyle w:val="TextoNormalNegritaCursivandice"/>
      </w:pPr>
      <w:r>
        <w:t>Ley del Parlamento de Cantabria 8/2013, de 2 de diciembre. Modifica la Ley 2/2004, de 27 de septiembre, del plan de ordenación del litoral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57" w:history="1">
        <w:r w:rsidRPr="00DD47EB">
          <w:rPr>
            <w:rStyle w:val="TextoNormalCaracter"/>
          </w:rPr>
          <w:t>57/2015</w:t>
        </w:r>
      </w:hyperlink>
      <w:r>
        <w:t xml:space="preserve">, f. 2; </w:t>
      </w:r>
      <w:hyperlink w:anchor="SENTENCIA_2015_92" w:history="1">
        <w:r w:rsidRPr="00DD47EB">
          <w:rPr>
            <w:rStyle w:val="TextoNormalCaracter"/>
          </w:rPr>
          <w:t>92/2015</w:t>
        </w:r>
      </w:hyperlink>
      <w:r>
        <w:t>, f. 5.</w:t>
      </w:r>
    </w:p>
    <w:p w:rsidR="00DD47EB" w:rsidRDefault="00DD47EB" w:rsidP="00DD47EB">
      <w:pPr>
        <w:pStyle w:val="TextoNormal"/>
      </w:pPr>
    </w:p>
    <w:p w:rsidR="00DD47EB" w:rsidRDefault="00DD47EB" w:rsidP="00DD47EB">
      <w:pPr>
        <w:pStyle w:val="TextoNormalNegritaCentradoSubrayado"/>
        <w:suppressAutoHyphens/>
      </w:pPr>
      <w:r>
        <w:t>J.6.c)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Decreto de la Diputación Regional de Cantabria 60/1993, de 24 de agosto. Regula las autorizaciones de uso en la zona de servidumbre de protección de costas y el procedimiento sancionador</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7" w:history="1">
        <w:r w:rsidRPr="00DD47EB">
          <w:rPr>
            <w:rStyle w:val="TextoNormalCaracter"/>
          </w:rPr>
          <w:t>57/2015</w:t>
        </w:r>
      </w:hyperlink>
      <w:r>
        <w:t>, f. 20.</w:t>
      </w:r>
    </w:p>
    <w:p w:rsidR="00DD47EB" w:rsidRDefault="00DD47EB" w:rsidP="00DD47EB">
      <w:pPr>
        <w:pStyle w:val="SangriaFrancesaArticulo"/>
      </w:pPr>
    </w:p>
    <w:p w:rsidR="00DD47EB" w:rsidRDefault="00DD47EB" w:rsidP="00DD47EB">
      <w:pPr>
        <w:pStyle w:val="TextoNormalNegritaCursivandice"/>
      </w:pPr>
      <w:r>
        <w:t>Decreto del Gobierno de Cantabria 65/2010, de 30 de septiembre. Se aprueban las normas urbanísticas regionales</w:t>
      </w:r>
    </w:p>
    <w:p w:rsidR="00DD47EB" w:rsidRDefault="00DD47EB" w:rsidP="00DD47EB">
      <w:pPr>
        <w:pStyle w:val="SangriaFrancesaArticulo"/>
      </w:pPr>
      <w:r w:rsidRPr="00DD47EB">
        <w:rPr>
          <w:rStyle w:val="TextoNormalNegritaCaracter"/>
        </w:rPr>
        <w:t>Artículo 7.5.</w:t>
      </w:r>
      <w:r w:rsidRPr="00DD47EB">
        <w:rPr>
          <w:rStyle w:val="TextoNormalCaracter"/>
        </w:rPr>
        <w:t>-</w:t>
      </w:r>
      <w:r>
        <w:t xml:space="preserve"> Sentencia </w:t>
      </w:r>
      <w:hyperlink w:anchor="SENTENCIA_2015_57" w:history="1">
        <w:r w:rsidRPr="00DD47EB">
          <w:rPr>
            <w:rStyle w:val="TextoNormalCaracter"/>
          </w:rPr>
          <w:t>57/2015</w:t>
        </w:r>
      </w:hyperlink>
      <w:r>
        <w:t>, f. 15.</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J.7) Castilla-La Mancha</w:t>
      </w:r>
    </w:p>
    <w:p w:rsidR="00DD47EB" w:rsidRDefault="00DD47EB" w:rsidP="00DD47EB">
      <w:pPr>
        <w:pStyle w:val="TextoNormal"/>
      </w:pPr>
    </w:p>
    <w:p w:rsidR="00DD47EB" w:rsidRDefault="00DD47EB" w:rsidP="00DD47EB">
      <w:pPr>
        <w:pStyle w:val="TextoNormalNegritaCentradoSubrayado"/>
        <w:suppressAutoHyphens/>
      </w:pPr>
      <w:r>
        <w:t>J.7.a) Estatuto de Autonomía</w:t>
      </w:r>
    </w:p>
    <w:p w:rsidR="00DD47EB" w:rsidRDefault="00DD47EB" w:rsidP="00DD47EB">
      <w:pPr>
        <w:pStyle w:val="TextoNormalNegritaCentradoSubrayado"/>
      </w:pPr>
    </w:p>
    <w:p w:rsidR="00DD47EB" w:rsidRDefault="00DD47EB" w:rsidP="00DD47EB">
      <w:pPr>
        <w:pStyle w:val="TextoNormalNegritaCursivandice"/>
      </w:pPr>
      <w:r>
        <w:t>Ley Orgánica 2/2014, de 21 de mayo. Reforma del Estatuto de Autonomía de Castilla-La Mancha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5" w:history="1">
        <w:r w:rsidRPr="00DD47EB">
          <w:rPr>
            <w:rStyle w:val="TextoNormalCaracter"/>
          </w:rPr>
          <w:t>15/2015</w:t>
        </w:r>
      </w:hyperlink>
      <w:r>
        <w:t>, ff. 1, 3, 5, 7, 8.</w:t>
      </w:r>
    </w:p>
    <w:p w:rsidR="00DD47EB" w:rsidRDefault="00DD47EB" w:rsidP="00DD47EB">
      <w:pPr>
        <w:pStyle w:val="SangriaFrancesaArticulo"/>
      </w:pPr>
      <w:r w:rsidRPr="00DD47EB">
        <w:rPr>
          <w:rStyle w:val="TextoNormalNegritaCaracter"/>
        </w:rPr>
        <w:t>Artículo 9.2 a).</w:t>
      </w:r>
      <w:r w:rsidRPr="00DD47EB">
        <w:rPr>
          <w:rStyle w:val="TextoNormalCaracter"/>
        </w:rPr>
        <w:t>-</w:t>
      </w:r>
      <w:r>
        <w:t xml:space="preserve"> Sentencia </w:t>
      </w:r>
      <w:hyperlink w:anchor="SENTENCIA_2015_15" w:history="1">
        <w:r w:rsidRPr="00DD47EB">
          <w:rPr>
            <w:rStyle w:val="TextoNormalCaracter"/>
          </w:rPr>
          <w:t>15/2015</w:t>
        </w:r>
      </w:hyperlink>
      <w:r>
        <w:t>, f. 5.</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15" w:history="1">
        <w:r w:rsidRPr="00DD47EB">
          <w:rPr>
            <w:rStyle w:val="TextoNormalCaracter"/>
          </w:rPr>
          <w:t>15/2015</w:t>
        </w:r>
      </w:hyperlink>
      <w:r>
        <w:t>, ff. 1, 5.</w:t>
      </w:r>
    </w:p>
    <w:p w:rsidR="00DD47EB" w:rsidRDefault="00DD47EB" w:rsidP="00DD47EB">
      <w:pPr>
        <w:pStyle w:val="SangriaFrancesaArticulo"/>
      </w:pPr>
      <w:r w:rsidRPr="00DD47EB">
        <w:rPr>
          <w:rStyle w:val="TextoNormalNegritaCaracter"/>
        </w:rPr>
        <w:t>Artículo 10.2.</w:t>
      </w:r>
      <w:r w:rsidRPr="00DD47EB">
        <w:rPr>
          <w:rStyle w:val="TextoNormalCaracter"/>
        </w:rPr>
        <w:t>-</w:t>
      </w:r>
      <w:r>
        <w:t xml:space="preserve"> Sentencia </w:t>
      </w:r>
      <w:hyperlink w:anchor="SENTENCIA_2015_15" w:history="1">
        <w:r w:rsidRPr="00DD47EB">
          <w:rPr>
            <w:rStyle w:val="TextoNormalCaracter"/>
          </w:rPr>
          <w:t>15/2015</w:t>
        </w:r>
      </w:hyperlink>
      <w:r>
        <w:t>, ff. 1, 3, 4, 6 a 8.</w:t>
      </w:r>
    </w:p>
    <w:p w:rsidR="00DD47EB" w:rsidRDefault="00DD47EB" w:rsidP="00DD47EB">
      <w:pPr>
        <w:pStyle w:val="SangriaFrancesaArticulo"/>
      </w:pPr>
      <w:r w:rsidRPr="00DD47EB">
        <w:rPr>
          <w:rStyle w:val="TextoNormalNegritaCaracter"/>
        </w:rPr>
        <w:t>Artículo 10.2 párrafo primero.</w:t>
      </w:r>
      <w:r w:rsidRPr="00DD47EB">
        <w:rPr>
          <w:rStyle w:val="TextoNormalCaracter"/>
        </w:rPr>
        <w:t>-</w:t>
      </w:r>
      <w:r>
        <w:t xml:space="preserve"> Sentencia </w:t>
      </w:r>
      <w:hyperlink w:anchor="SENTENCIA_2015_15" w:history="1">
        <w:r w:rsidRPr="00DD47EB">
          <w:rPr>
            <w:rStyle w:val="TextoNormalCaracter"/>
          </w:rPr>
          <w:t>15/2015</w:t>
        </w:r>
      </w:hyperlink>
      <w:r>
        <w:t>, f. 6.</w:t>
      </w:r>
    </w:p>
    <w:p w:rsidR="00DD47EB" w:rsidRDefault="00DD47EB" w:rsidP="00DD47EB">
      <w:pPr>
        <w:pStyle w:val="TextoNormal"/>
      </w:pPr>
    </w:p>
    <w:p w:rsidR="00DD47EB" w:rsidRDefault="00DD47EB" w:rsidP="00DD47EB">
      <w:pPr>
        <w:pStyle w:val="TextoNormalNegritaCentradoSubrayado"/>
        <w:suppressAutoHyphens/>
      </w:pPr>
      <w:r>
        <w:t>J.7.b)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 las Cortes de Castilla-La Mancha 5/1986, de 23 de diciembre. Electoral de Castilla-La Mancha</w:t>
      </w:r>
    </w:p>
    <w:p w:rsidR="00DD47EB" w:rsidRDefault="00DD47EB" w:rsidP="00DD47EB">
      <w:pPr>
        <w:pStyle w:val="SangriaFrancesaArticulo"/>
      </w:pPr>
      <w:r w:rsidRPr="00DD47EB">
        <w:rPr>
          <w:rStyle w:val="TextoNormalNegritaCaracter"/>
        </w:rPr>
        <w:t>Artículo 16</w:t>
      </w:r>
      <w:r>
        <w:t xml:space="preserve"> (redactado por la Ley de las Cortes de Castilla-La Mancha 4/2014, de 21 de julio)</w:t>
      </w:r>
      <w:r w:rsidRPr="00DD47EB">
        <w:rPr>
          <w:rStyle w:val="TextoNormalNegritaCaracter"/>
        </w:rPr>
        <w:t>.</w:t>
      </w:r>
      <w:r w:rsidRPr="00DD47EB">
        <w:rPr>
          <w:rStyle w:val="TextoNormalCaracter"/>
        </w:rPr>
        <w:t>-</w:t>
      </w:r>
      <w:r>
        <w:t xml:space="preserve"> Sentencia </w:t>
      </w:r>
      <w:hyperlink w:anchor="SENTENCIA_2015_15" w:history="1">
        <w:r w:rsidRPr="00DD47EB">
          <w:rPr>
            <w:rStyle w:val="TextoNormalCaracter"/>
          </w:rPr>
          <w:t>15/2015</w:t>
        </w:r>
      </w:hyperlink>
      <w:r>
        <w:t>, ff. 1, 2, 8.</w:t>
      </w:r>
    </w:p>
    <w:p w:rsidR="00DD47EB" w:rsidRDefault="00DD47EB" w:rsidP="00DD47EB">
      <w:pPr>
        <w:pStyle w:val="SangriaFrancesaArticulo"/>
      </w:pPr>
      <w:r w:rsidRPr="00DD47EB">
        <w:rPr>
          <w:rStyle w:val="TextoNormalNegritaCaracter"/>
        </w:rPr>
        <w:t>Artículo 16.3.</w:t>
      </w:r>
      <w:r w:rsidRPr="00DD47EB">
        <w:rPr>
          <w:rStyle w:val="TextoNormalCaracter"/>
        </w:rPr>
        <w:t>-</w:t>
      </w:r>
      <w:r>
        <w:t xml:space="preserve"> Sentencia </w:t>
      </w:r>
      <w:hyperlink w:anchor="SENTENCIA_2015_15" w:history="1">
        <w:r w:rsidRPr="00DD47EB">
          <w:rPr>
            <w:rStyle w:val="TextoNormalCaracter"/>
          </w:rPr>
          <w:t>15/2015</w:t>
        </w:r>
      </w:hyperlink>
      <w:r>
        <w:t>, f. 2.</w:t>
      </w:r>
    </w:p>
    <w:p w:rsidR="00DD47EB" w:rsidRDefault="00DD47EB" w:rsidP="00DD47EB">
      <w:pPr>
        <w:pStyle w:val="SangriaFrancesaArticulo"/>
      </w:pPr>
      <w:r w:rsidRPr="00DD47EB">
        <w:rPr>
          <w:rStyle w:val="TextoNormalNegritaCaracter"/>
        </w:rPr>
        <w:t>Artículo 17 a).</w:t>
      </w:r>
      <w:r w:rsidRPr="00DD47EB">
        <w:rPr>
          <w:rStyle w:val="TextoNormalCaracter"/>
        </w:rPr>
        <w:t>-</w:t>
      </w:r>
      <w:r>
        <w:t xml:space="preserve"> Sentencia </w:t>
      </w:r>
      <w:hyperlink w:anchor="SENTENCIA_2015_15" w:history="1">
        <w:r w:rsidRPr="00DD47EB">
          <w:rPr>
            <w:rStyle w:val="TextoNormalCaracter"/>
          </w:rPr>
          <w:t>15/2015</w:t>
        </w:r>
      </w:hyperlink>
      <w:r>
        <w:t>, f. 8.</w:t>
      </w:r>
    </w:p>
    <w:p w:rsidR="00DD47EB" w:rsidRDefault="00DD47EB" w:rsidP="00DD47EB">
      <w:pPr>
        <w:pStyle w:val="SangriaFrancesaArticulo"/>
      </w:pPr>
    </w:p>
    <w:p w:rsidR="00DD47EB" w:rsidRDefault="00DD47EB" w:rsidP="00DD47EB">
      <w:pPr>
        <w:pStyle w:val="TextoNormalNegritaCursivandice"/>
      </w:pPr>
      <w:r>
        <w:t>Ley de las Cortes de Castilla-La Mancha 8/1998, de 19 de noviembre. Modificación parcial de la Ley 5/1986, de 23 de diciembre, electoral de Castilla-La Mancha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5" w:history="1">
        <w:r w:rsidRPr="00DD47EB">
          <w:rPr>
            <w:rStyle w:val="TextoNormalCaracter"/>
          </w:rPr>
          <w:t>15/2015</w:t>
        </w:r>
      </w:hyperlink>
      <w:r>
        <w:t>, f. 7.</w:t>
      </w:r>
    </w:p>
    <w:p w:rsidR="00DD47EB" w:rsidRDefault="00DD47EB" w:rsidP="00DD47EB">
      <w:pPr>
        <w:pStyle w:val="SangriaFrancesaArticulo"/>
      </w:pPr>
    </w:p>
    <w:p w:rsidR="00DD47EB" w:rsidRDefault="00DD47EB" w:rsidP="00DD47EB">
      <w:pPr>
        <w:pStyle w:val="TextoNormalNegritaCursivandice"/>
      </w:pPr>
      <w:r>
        <w:t>Ley de las Cortes de Castilla-La Mancha 11/2000, de 26 de diciembre. Impuesto sobre determinadas actividades que inciden en el medio ambiente</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2.1 apartados b), c).</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2.1 b).</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5.1 apartados b), c).</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5.1 b).</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6 apartados b), c).</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6 b).</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p>
    <w:p w:rsidR="00DD47EB" w:rsidRDefault="00DD47EB" w:rsidP="00DD47EB">
      <w:pPr>
        <w:pStyle w:val="TextoNormalNegritaCursivandice"/>
      </w:pPr>
      <w:r>
        <w:t>Ley de las Cortes de Castilla-La Mancha 16/2005, de 29 de diciembre. Impuesto sobre determinadas actividades que inciden en el medio ambiente y del tipo autonómico del impuesto sobre las ventas minoristas de determinados hidrocarburos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2.1 a).</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2.1 apartados b), c).</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5 apartados b), c).</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5 b).</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6 apartados b), c).</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p>
    <w:p w:rsidR="00DD47EB" w:rsidRDefault="00DD47EB" w:rsidP="00DD47EB">
      <w:pPr>
        <w:pStyle w:val="TextoNormalNegritaCursivandice"/>
      </w:pPr>
      <w:r>
        <w:t>Ley de las Cortes de Castilla-La Mancha 12/2007, de 8 de noviembre. Adecuación de la Ley 5/1986, de 23 de diciembre. Electoral de Castilla-La Mancha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5" w:history="1">
        <w:r w:rsidRPr="00DD47EB">
          <w:rPr>
            <w:rStyle w:val="TextoNormalCaracter"/>
          </w:rPr>
          <w:t>15/2015</w:t>
        </w:r>
      </w:hyperlink>
      <w:r>
        <w:t>, f. 7.</w:t>
      </w:r>
    </w:p>
    <w:p w:rsidR="00DD47EB" w:rsidRDefault="00DD47EB" w:rsidP="00DD47EB">
      <w:pPr>
        <w:pStyle w:val="SangriaFrancesaArticulo"/>
      </w:pPr>
    </w:p>
    <w:p w:rsidR="00DD47EB" w:rsidRDefault="00DD47EB" w:rsidP="00DD47EB">
      <w:pPr>
        <w:pStyle w:val="TextoNormalNegritaCursivandice"/>
      </w:pPr>
      <w:r>
        <w:t>Ley de las Cortes de Castilla-La Mancha 4/2012, de 17 de mayo. Adecuación de la Ley 5/1986, de 23 de diciembre, Electoral de Castilla-La Mancha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5" w:history="1">
        <w:r w:rsidRPr="00DD47EB">
          <w:rPr>
            <w:rStyle w:val="TextoNormalCaracter"/>
          </w:rPr>
          <w:t>15/2015</w:t>
        </w:r>
      </w:hyperlink>
      <w:r>
        <w:t>, f. 7.</w:t>
      </w:r>
    </w:p>
    <w:p w:rsidR="00DD47EB" w:rsidRDefault="00DD47EB" w:rsidP="00DD47EB">
      <w:pPr>
        <w:pStyle w:val="SangriaFrancesaArticulo"/>
      </w:pPr>
    </w:p>
    <w:p w:rsidR="00DD47EB" w:rsidRDefault="00DD47EB" w:rsidP="00DD47EB">
      <w:pPr>
        <w:pStyle w:val="TextoNormalNegritaCursivandice"/>
      </w:pPr>
      <w:r>
        <w:t>Ley de las Cortes de Castilla-La Mancha 4/2014, de 21 de julio. Reforma de la Ley 5/1986, de 23 de diciembre, Electoral de Castilla-La Mancha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5" w:history="1">
        <w:r w:rsidRPr="00DD47EB">
          <w:rPr>
            <w:rStyle w:val="TextoNormalCaracter"/>
          </w:rPr>
          <w:t>15/2015</w:t>
        </w:r>
      </w:hyperlink>
      <w:r>
        <w:t>, ff. 1 a 8.</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5" w:history="1">
        <w:r w:rsidRPr="00DD47EB">
          <w:rPr>
            <w:rStyle w:val="TextoNormalCaracter"/>
          </w:rPr>
          <w:t>15/2015</w:t>
        </w:r>
      </w:hyperlink>
      <w:r>
        <w:t>, ff. 1, 4.</w:t>
      </w:r>
    </w:p>
    <w:p w:rsidR="00DD47EB" w:rsidRDefault="00DD47EB" w:rsidP="00DD47EB">
      <w:pPr>
        <w:pStyle w:val="SangriaFrancesaArticulo"/>
      </w:pPr>
      <w:r w:rsidRPr="00DD47EB">
        <w:rPr>
          <w:rStyle w:val="TextoNormalNegritaCaracter"/>
        </w:rPr>
        <w:t>Artículo único.</w:t>
      </w:r>
      <w:r w:rsidRPr="00DD47EB">
        <w:rPr>
          <w:rStyle w:val="TextoNormalCaracter"/>
        </w:rPr>
        <w:t>-</w:t>
      </w:r>
      <w:r>
        <w:t xml:space="preserve"> Sentencia </w:t>
      </w:r>
      <w:hyperlink w:anchor="SENTENCIA_2015_15" w:history="1">
        <w:r w:rsidRPr="00DD47EB">
          <w:rPr>
            <w:rStyle w:val="TextoNormalCaracter"/>
          </w:rPr>
          <w:t>15/2015</w:t>
        </w:r>
      </w:hyperlink>
      <w:r>
        <w:t>, ff. 1, 2.</w:t>
      </w:r>
    </w:p>
    <w:p w:rsidR="00DD47EB" w:rsidRDefault="00DD47EB" w:rsidP="00DD47EB">
      <w:pPr>
        <w:pStyle w:val="SangriaFrancesaArticulo"/>
      </w:pPr>
      <w:r w:rsidRPr="00DD47EB">
        <w:rPr>
          <w:rStyle w:val="TextoNormalNegritaCaracter"/>
        </w:rPr>
        <w:t>Disposición derogatoria.</w:t>
      </w:r>
      <w:r w:rsidRPr="00DD47EB">
        <w:rPr>
          <w:rStyle w:val="TextoNormalCaracter"/>
        </w:rPr>
        <w:t>-</w:t>
      </w:r>
      <w:r>
        <w:t xml:space="preserve"> Sentencia </w:t>
      </w:r>
      <w:hyperlink w:anchor="SENTENCIA_2015_15" w:history="1">
        <w:r w:rsidRPr="00DD47EB">
          <w:rPr>
            <w:rStyle w:val="TextoNormalCaracter"/>
          </w:rPr>
          <w:t>15/2015</w:t>
        </w:r>
      </w:hyperlink>
      <w:r>
        <w:t>, ff. 1, 2.</w:t>
      </w:r>
    </w:p>
    <w:p w:rsidR="00DD47EB" w:rsidRDefault="00DD47EB" w:rsidP="00DD47EB">
      <w:pPr>
        <w:pStyle w:val="SangriaFrancesaArticulo"/>
      </w:pPr>
      <w:r w:rsidRPr="00DD47EB">
        <w:rPr>
          <w:rStyle w:val="TextoNormalNegritaCaracter"/>
        </w:rPr>
        <w:t>Disposición final.</w:t>
      </w:r>
      <w:r w:rsidRPr="00DD47EB">
        <w:rPr>
          <w:rStyle w:val="TextoNormalCaracter"/>
        </w:rPr>
        <w:t>-</w:t>
      </w:r>
      <w:r>
        <w:t xml:space="preserve"> Sentencia </w:t>
      </w:r>
      <w:hyperlink w:anchor="SENTENCIA_2015_15" w:history="1">
        <w:r w:rsidRPr="00DD47EB">
          <w:rPr>
            <w:rStyle w:val="TextoNormalCaracter"/>
          </w:rPr>
          <w:t>15/2015</w:t>
        </w:r>
      </w:hyperlink>
      <w:r>
        <w:t>, ff. 1, 2.</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J.8) Castilla y León</w:t>
      </w:r>
    </w:p>
    <w:p w:rsidR="00DD47EB" w:rsidRDefault="00DD47EB" w:rsidP="00DD47EB">
      <w:pPr>
        <w:pStyle w:val="TextoNormal"/>
      </w:pPr>
    </w:p>
    <w:p w:rsidR="00DD47EB" w:rsidRDefault="00DD47EB" w:rsidP="00DD47EB">
      <w:pPr>
        <w:pStyle w:val="TextoNormalNegritaCentradoSubrayado"/>
        <w:suppressAutoHyphens/>
      </w:pPr>
      <w:r>
        <w:t>J.8.b)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 las Cortes de Castilla y León 8/1991, de 10 de mayo. Espacios naturales de la Comunidad de Castilla y León</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50" w:history="1">
        <w:r w:rsidRPr="00DD47EB">
          <w:rPr>
            <w:rStyle w:val="TextoNormalCaracter"/>
          </w:rPr>
          <w:t>50/2015</w:t>
        </w:r>
      </w:hyperlink>
      <w:r>
        <w:t>, f. 5.</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26.2.</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32.1.</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39.</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p>
    <w:p w:rsidR="00DD47EB" w:rsidRDefault="00DD47EB" w:rsidP="00DD47EB">
      <w:pPr>
        <w:pStyle w:val="TextoNormalNegritaCursivandice"/>
      </w:pPr>
      <w:r>
        <w:t>Ley de las Cortes de Castilla y León 4/2000, de 27 de junio. Declaración del Parque Natural de Fuentes Carrionas y Fuente Cobre-Montaña Palentina (Palencia)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0" w:history="1">
        <w:r w:rsidRPr="00DD47EB">
          <w:rPr>
            <w:rStyle w:val="TextoNormalCaracter"/>
          </w:rPr>
          <w:t>50/2015</w:t>
        </w:r>
      </w:hyperlink>
      <w:r>
        <w:t>, f. 5.</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50" w:history="1">
        <w:r w:rsidRPr="00DD47EB">
          <w:rPr>
            <w:rStyle w:val="TextoNormalCaracter"/>
          </w:rPr>
          <w:t>50/2015</w:t>
        </w:r>
      </w:hyperlink>
      <w:r>
        <w:t>, f. 7.</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 </w:t>
      </w:r>
      <w:hyperlink w:anchor="SENTENCIA_2015_50" w:history="1">
        <w:r w:rsidRPr="00DD47EB">
          <w:rPr>
            <w:rStyle w:val="TextoNormalCaracter"/>
          </w:rPr>
          <w:t>50/2015</w:t>
        </w:r>
      </w:hyperlink>
      <w:r>
        <w:t>, f. 6.</w:t>
      </w:r>
    </w:p>
    <w:p w:rsidR="00DD47EB" w:rsidRDefault="00DD47EB" w:rsidP="00DD47EB">
      <w:pPr>
        <w:pStyle w:val="SangriaFrancesaArticulo"/>
      </w:pPr>
    </w:p>
    <w:p w:rsidR="00DD47EB" w:rsidRDefault="00DD47EB" w:rsidP="00DD47EB">
      <w:pPr>
        <w:pStyle w:val="TextoNormalNegritaCursivandice"/>
      </w:pPr>
      <w:r>
        <w:t>Ley de las Cortes de Castilla y León 1/2010, de 2 de marzo. Declaración del Parque Natural de «Laguna Negra y Circos Glaciares de Urbión» (Soria)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2" w:history="1">
        <w:r w:rsidRPr="00DD47EB">
          <w:rPr>
            <w:rStyle w:val="TextoNormalCaracter"/>
          </w:rPr>
          <w:t>92/2015</w:t>
        </w:r>
      </w:hyperlink>
      <w:r>
        <w:t>, f. 2.</w:t>
      </w:r>
    </w:p>
    <w:p w:rsidR="00DD47EB" w:rsidRDefault="00DD47EB" w:rsidP="00DD47EB">
      <w:pPr>
        <w:pStyle w:val="SangriaFrancesaArticulo"/>
      </w:pPr>
    </w:p>
    <w:p w:rsidR="00DD47EB" w:rsidRDefault="00DD47EB" w:rsidP="00DD47EB">
      <w:pPr>
        <w:pStyle w:val="TextoNormalNegritaCursivandice"/>
      </w:pPr>
      <w:r>
        <w:t>Ley de las Cortes de Castilla y León 5/2010, de 28 de mayo. Modificación de la Ley 4/2000, de 27 de junio, de declaración del Parque Natural de Fuentes Carrionas y Fuente Cobre-Montaña Palentina (Palencia)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0" w:history="1">
        <w:r w:rsidRPr="00DD47EB">
          <w:rPr>
            <w:rStyle w:val="TextoNormalCaracter"/>
          </w:rPr>
          <w:t>50/2015</w:t>
        </w:r>
      </w:hyperlink>
      <w:r>
        <w:t>, ff. 1 a 6, 8, VP.</w:t>
      </w:r>
    </w:p>
    <w:p w:rsidR="00DD47EB" w:rsidRDefault="00DD47EB" w:rsidP="00DD47EB">
      <w:pPr>
        <w:pStyle w:val="SangriaFrancesaArticulo"/>
      </w:pPr>
      <w:r w:rsidRPr="00DD47EB">
        <w:rPr>
          <w:rStyle w:val="TextoNormalNegritaCaracter"/>
        </w:rPr>
        <w:t>Artículo único.</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TextoNormal"/>
      </w:pPr>
    </w:p>
    <w:p w:rsidR="00DD47EB" w:rsidRDefault="00DD47EB" w:rsidP="00DD47EB">
      <w:pPr>
        <w:pStyle w:val="TextoNormalNegritaCentradoSubrayado"/>
        <w:suppressAutoHyphens/>
      </w:pPr>
      <w:r>
        <w:t>J.8.c)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Decreto de la Junta de Castilla y León 140/1998, de 16 de julio. Plan de ordenación de recursos naturales de Fuentes Carrionas y Fuente Cobre-Montaña Palentina</w:t>
      </w:r>
    </w:p>
    <w:p w:rsidR="00DD47EB" w:rsidRDefault="00DD47EB" w:rsidP="00DD47EB">
      <w:pPr>
        <w:pStyle w:val="SangriaFrancesaArticulo"/>
      </w:pPr>
      <w:r w:rsidRPr="00DD47EB">
        <w:rPr>
          <w:rStyle w:val="TextoNormalNegritaCaracter"/>
        </w:rPr>
        <w:t>Artículo 12.4</w:t>
      </w:r>
      <w:r>
        <w:t xml:space="preserve"> (redactado por la Ley de las Cortes de Castilla y León 5/2010, de 28 de mayo)</w:t>
      </w:r>
      <w:r w:rsidRPr="00DD47EB">
        <w:rPr>
          <w:rStyle w:val="TextoNormalNegritaCaracter"/>
        </w:rPr>
        <w:t>.</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17.2</w:t>
      </w:r>
      <w:r>
        <w:t xml:space="preserve"> (redactado por la Ley de las Cortes de Castilla y León 5/2010, de 28 de mayo)</w:t>
      </w:r>
      <w:r w:rsidRPr="00DD47EB">
        <w:rPr>
          <w:rStyle w:val="TextoNormalNegritaCaracter"/>
        </w:rPr>
        <w:t>.</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23.3</w:t>
      </w:r>
      <w:r>
        <w:t xml:space="preserve"> (redactado por la Ley de las Cortes de Castilla y León 5/2010, de 28 de mayo)</w:t>
      </w:r>
      <w:r w:rsidRPr="00DD47EB">
        <w:rPr>
          <w:rStyle w:val="TextoNormalNegritaCaracter"/>
        </w:rPr>
        <w:t>.</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27 c)</w:t>
      </w:r>
      <w:r>
        <w:t xml:space="preserve"> (redactado por la Ley de las Cortes de Castilla y León 5/2010, de 28 de mayo)</w:t>
      </w:r>
      <w:r w:rsidRPr="00DD47EB">
        <w:rPr>
          <w:rStyle w:val="TextoNormalNegritaCaracter"/>
        </w:rPr>
        <w:t>.</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29.4</w:t>
      </w:r>
      <w:r>
        <w:t xml:space="preserve"> (redactado por la Ley de las Cortes de Castilla y León 5/2010, de 28 de mayo)</w:t>
      </w:r>
      <w:r w:rsidRPr="00DD47EB">
        <w:rPr>
          <w:rStyle w:val="TextoNormalNegritaCaracter"/>
        </w:rPr>
        <w:t>.</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47.8.</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Artículo 63.4</w:t>
      </w:r>
      <w:r>
        <w:t xml:space="preserve"> (redactado por la Ley de las Cortes de Castilla y León 5/2010, de 28 de mayo)</w:t>
      </w:r>
      <w:r w:rsidRPr="00DD47EB">
        <w:rPr>
          <w:rStyle w:val="TextoNormalNegritaCaracter"/>
        </w:rPr>
        <w:t>.</w:t>
      </w:r>
      <w:r w:rsidRPr="00DD47EB">
        <w:rPr>
          <w:rStyle w:val="TextoNormalCaracter"/>
        </w:rPr>
        <w:t>-</w:t>
      </w:r>
      <w:r>
        <w:t xml:space="preserve"> Sentencia </w:t>
      </w:r>
      <w:hyperlink w:anchor="SENTENCIA_2015_50" w:history="1">
        <w:r w:rsidRPr="00DD47EB">
          <w:rPr>
            <w:rStyle w:val="TextoNormalCaracter"/>
          </w:rPr>
          <w:t>50/2015</w:t>
        </w:r>
      </w:hyperlink>
      <w:r>
        <w:t>, f. 3.</w:t>
      </w:r>
    </w:p>
    <w:p w:rsidR="00DD47EB" w:rsidRDefault="00DD47EB" w:rsidP="00DD47EB">
      <w:pPr>
        <w:pStyle w:val="SangriaFrancesaArticulo"/>
      </w:pPr>
      <w:r w:rsidRPr="00DD47EB">
        <w:rPr>
          <w:rStyle w:val="TextoNormalNegritaCaracter"/>
        </w:rPr>
        <w:t>Anexo I</w:t>
      </w:r>
      <w:r>
        <w:t xml:space="preserve"> (redactado por la Ley de las Cortes de Castilla y León 5/2010, de 28 de mayo)</w:t>
      </w:r>
      <w:r w:rsidRPr="00DD47EB">
        <w:rPr>
          <w:rStyle w:val="TextoNormalNegritaCaracter"/>
        </w:rPr>
        <w:t>.</w:t>
      </w:r>
      <w:r w:rsidRPr="00DD47EB">
        <w:rPr>
          <w:rStyle w:val="TextoNormalCaracter"/>
        </w:rPr>
        <w:t>-</w:t>
      </w:r>
      <w:r>
        <w:t xml:space="preserve"> Sentencia </w:t>
      </w:r>
      <w:hyperlink w:anchor="SENTENCIA_2015_50" w:history="1">
        <w:r w:rsidRPr="00DD47EB">
          <w:rPr>
            <w:rStyle w:val="TextoNormalCaracter"/>
          </w:rPr>
          <w:t>50/2015</w:t>
        </w:r>
      </w:hyperlink>
      <w:r>
        <w:t>, f. 1.</w:t>
      </w:r>
    </w:p>
    <w:p w:rsidR="00DD47EB" w:rsidRDefault="00DD47EB" w:rsidP="00DD47EB">
      <w:pPr>
        <w:pStyle w:val="SangriaFrancesaArticulo"/>
      </w:pPr>
      <w:r w:rsidRPr="00DD47EB">
        <w:rPr>
          <w:rStyle w:val="TextoNormalNegritaCaracter"/>
        </w:rPr>
        <w:t>Anexo I, articulo 6.</w:t>
      </w:r>
      <w:r w:rsidRPr="00DD47EB">
        <w:rPr>
          <w:rStyle w:val="TextoNormalCaracter"/>
        </w:rPr>
        <w:t>-</w:t>
      </w:r>
      <w:r>
        <w:t xml:space="preserve"> Sentencia </w:t>
      </w:r>
      <w:hyperlink w:anchor="SENTENCIA_2015_50" w:history="1">
        <w:r w:rsidRPr="00DD47EB">
          <w:rPr>
            <w:rStyle w:val="TextoNormalCaracter"/>
          </w:rPr>
          <w:t>50/2015</w:t>
        </w:r>
      </w:hyperlink>
      <w:r>
        <w:t>, f. 7.</w:t>
      </w:r>
    </w:p>
    <w:p w:rsidR="00DD47EB" w:rsidRDefault="00DD47EB" w:rsidP="00DD47EB">
      <w:pPr>
        <w:pStyle w:val="SangriaFrancesaArticulo"/>
      </w:pPr>
    </w:p>
    <w:p w:rsidR="00DD47EB" w:rsidRDefault="00DD47EB" w:rsidP="00DD47EB">
      <w:pPr>
        <w:pStyle w:val="TextoNormalNegritaCursivandice"/>
      </w:pPr>
      <w:r>
        <w:t>ORDEN FYM/366/2012, de 16 de abril. Dispone el cumplimiento en sus propios términos de la Sentencia n.º 20, dictada por la Sala de lo Contencioso Administrativo del Tribunal Superior de Justicia de Castilla y León, con sede en Valladolid, así como de la Sentencia del Tribunal Supremo de 25 de enero de 2012, en lo relativo a las costas judiciales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0" w:history="1">
        <w:r w:rsidRPr="00DD47EB">
          <w:rPr>
            <w:rStyle w:val="TextoNormalCaracter"/>
          </w:rPr>
          <w:t>50/2015</w:t>
        </w:r>
      </w:hyperlink>
      <w:r>
        <w:t>, f. 2.</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J.9) Cataluña</w:t>
      </w:r>
    </w:p>
    <w:p w:rsidR="00DD47EB" w:rsidRDefault="00DD47EB" w:rsidP="00DD47EB">
      <w:pPr>
        <w:pStyle w:val="TextoNormal"/>
      </w:pPr>
    </w:p>
    <w:p w:rsidR="00DD47EB" w:rsidRDefault="00DD47EB" w:rsidP="00DD47EB">
      <w:pPr>
        <w:pStyle w:val="TextoNormalNegritaCentradoSubrayado"/>
        <w:suppressAutoHyphens/>
      </w:pPr>
      <w:r>
        <w:t>J.9.a) Estatuto de Autonomía</w:t>
      </w:r>
    </w:p>
    <w:p w:rsidR="00DD47EB" w:rsidRDefault="00DD47EB" w:rsidP="00DD47EB">
      <w:pPr>
        <w:pStyle w:val="TextoNormalNegritaCentradoSubrayado"/>
      </w:pPr>
    </w:p>
    <w:p w:rsidR="00DD47EB" w:rsidRDefault="00DD47EB" w:rsidP="00DD47EB">
      <w:pPr>
        <w:pStyle w:val="TextoNormalNegritaCursivandice"/>
      </w:pPr>
      <w:r>
        <w:t>Ley Orgánica 6/2006, de 19 de julio. Reforma del Estatuto de Autonomía de Cataluña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1" w:history="1">
        <w:r w:rsidRPr="00DD47EB">
          <w:rPr>
            <w:rStyle w:val="TextoNormalCaracter"/>
          </w:rPr>
          <w:t>31/2015</w:t>
        </w:r>
      </w:hyperlink>
      <w:r>
        <w:t xml:space="preserve">, f. 8; </w:t>
      </w:r>
      <w:hyperlink w:anchor="SENTENCIA_2015_46" w:history="1">
        <w:r w:rsidRPr="00DD47EB">
          <w:rPr>
            <w:rStyle w:val="TextoNormalCaracter"/>
          </w:rPr>
          <w:t>46/2015</w:t>
        </w:r>
      </w:hyperlink>
      <w:r>
        <w:t xml:space="preserve">, f. 3; </w:t>
      </w:r>
      <w:hyperlink w:anchor="SENTENCIA_2015_107" w:history="1">
        <w:r w:rsidRPr="00DD47EB">
          <w:rPr>
            <w:rStyle w:val="TextoNormalCaracter"/>
          </w:rPr>
          <w:t>107/2015</w:t>
        </w:r>
      </w:hyperlink>
      <w:r>
        <w:t>, f. 2.</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32" w:history="1">
        <w:r w:rsidRPr="00DD47EB">
          <w:rPr>
            <w:rStyle w:val="TextoNormalCaracter"/>
          </w:rPr>
          <w:t>32/2015</w:t>
        </w:r>
      </w:hyperlink>
      <w:r>
        <w:t>, f. 1.</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 </w:t>
      </w:r>
      <w:hyperlink w:anchor="SENTENCIA_2015_32" w:history="1">
        <w:r w:rsidRPr="00DD47EB">
          <w:rPr>
            <w:rStyle w:val="TextoNormalCaracter"/>
          </w:rPr>
          <w:t>32/2015</w:t>
        </w:r>
      </w:hyperlink>
      <w:r>
        <w:t>, f. 1.</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107" w:history="1">
        <w:r w:rsidRPr="00DD47EB">
          <w:rPr>
            <w:rStyle w:val="TextoNormalCaracter"/>
          </w:rPr>
          <w:t>107/2015</w:t>
        </w:r>
      </w:hyperlink>
      <w:r>
        <w:t>, f. 3.</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 </w:t>
      </w:r>
      <w:hyperlink w:anchor="SENTENCIA_2015_32" w:history="1">
        <w:r w:rsidRPr="00DD47EB">
          <w:rPr>
            <w:rStyle w:val="TextoNormalCaracter"/>
          </w:rPr>
          <w:t>32/2015</w:t>
        </w:r>
      </w:hyperlink>
      <w:r>
        <w:t>, f. 1.</w:t>
      </w:r>
    </w:p>
    <w:p w:rsidR="00DD47EB" w:rsidRDefault="00DD47EB" w:rsidP="00DD47EB">
      <w:pPr>
        <w:pStyle w:val="SangriaFrancesaArticulo"/>
      </w:pPr>
      <w:r w:rsidRPr="00DD47EB">
        <w:rPr>
          <w:rStyle w:val="TextoNormalNegritaCaracter"/>
        </w:rPr>
        <w:t>Artículo 29.1.</w:t>
      </w:r>
      <w:r w:rsidRPr="00DD47EB">
        <w:rPr>
          <w:rStyle w:val="TextoNormalCaracter"/>
        </w:rPr>
        <w:t>-</w:t>
      </w:r>
      <w:r>
        <w:t xml:space="preserve"> Sentencia </w:t>
      </w:r>
      <w:hyperlink w:anchor="SENTENCIA_2015_31" w:history="1">
        <w:r w:rsidRPr="00DD47EB">
          <w:rPr>
            <w:rStyle w:val="TextoNormalCaracter"/>
          </w:rPr>
          <w:t>31/2015</w:t>
        </w:r>
      </w:hyperlink>
      <w:r>
        <w:t>, f. 2.</w:t>
      </w:r>
    </w:p>
    <w:p w:rsidR="00DD47EB" w:rsidRDefault="00DD47EB" w:rsidP="00DD47EB">
      <w:pPr>
        <w:pStyle w:val="SangriaFrancesaArticulo"/>
      </w:pPr>
      <w:r w:rsidRPr="00DD47EB">
        <w:rPr>
          <w:rStyle w:val="TextoNormalNegritaCaracter"/>
        </w:rPr>
        <w:t>Artículo 29.6.</w:t>
      </w:r>
      <w:r w:rsidRPr="00DD47EB">
        <w:rPr>
          <w:rStyle w:val="TextoNormalCaracter"/>
        </w:rPr>
        <w:t>-</w:t>
      </w:r>
      <w:r>
        <w:t xml:space="preserve"> Sentencias </w:t>
      </w:r>
      <w:hyperlink w:anchor="SENTENCIA_2015_31" w:history="1">
        <w:r w:rsidRPr="00DD47EB">
          <w:rPr>
            <w:rStyle w:val="TextoNormalCaracter"/>
          </w:rPr>
          <w:t>31/2015</w:t>
        </w:r>
      </w:hyperlink>
      <w:r>
        <w:t xml:space="preserve">, ff. 2, 4; </w:t>
      </w:r>
      <w:hyperlink w:anchor="SENTENCIA_2015_138" w:history="1">
        <w:r w:rsidRPr="00DD47EB">
          <w:rPr>
            <w:rStyle w:val="TextoNormalCaracter"/>
          </w:rPr>
          <w:t>138/2015</w:t>
        </w:r>
      </w:hyperlink>
      <w:r>
        <w:t>, f. 3.</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31" w:history="1">
        <w:r w:rsidRPr="00DD47EB">
          <w:rPr>
            <w:rStyle w:val="TextoNormalCaracter"/>
          </w:rPr>
          <w:t>31/2015</w:t>
        </w:r>
      </w:hyperlink>
      <w:r>
        <w:t>, f. 2.</w:t>
      </w:r>
    </w:p>
    <w:p w:rsidR="00DD47EB" w:rsidRDefault="00DD47EB" w:rsidP="00DD47EB">
      <w:pPr>
        <w:pStyle w:val="SangriaFrancesaArticulo"/>
      </w:pPr>
      <w:r w:rsidRPr="00DD47EB">
        <w:rPr>
          <w:rStyle w:val="TextoNormalNegritaCaracter"/>
        </w:rPr>
        <w:t>Artículo 55.1.</w:t>
      </w:r>
      <w:r w:rsidRPr="00DD47EB">
        <w:rPr>
          <w:rStyle w:val="TextoNormalCaracter"/>
        </w:rPr>
        <w:t>-</w:t>
      </w:r>
      <w:r>
        <w:t xml:space="preserve"> Sentencia </w:t>
      </w:r>
      <w:hyperlink w:anchor="SENTENCIA_2015_107" w:history="1">
        <w:r w:rsidRPr="00DD47EB">
          <w:rPr>
            <w:rStyle w:val="TextoNormalCaracter"/>
          </w:rPr>
          <w:t>107/2015</w:t>
        </w:r>
      </w:hyperlink>
      <w:r>
        <w:t>, f. 3.</w:t>
      </w:r>
    </w:p>
    <w:p w:rsidR="00DD47EB" w:rsidRDefault="00DD47EB" w:rsidP="00DD47EB">
      <w:pPr>
        <w:pStyle w:val="SangriaFrancesaArticulo"/>
      </w:pPr>
      <w:r w:rsidRPr="00DD47EB">
        <w:rPr>
          <w:rStyle w:val="TextoNormalNegritaCaracter"/>
        </w:rPr>
        <w:t>Artículo 56.3.</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62.1.</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64.</w:t>
      </w:r>
      <w:r w:rsidRPr="00DD47EB">
        <w:rPr>
          <w:rStyle w:val="TextoNormalCaracter"/>
        </w:rPr>
        <w:t>-</w:t>
      </w:r>
      <w:r>
        <w:t xml:space="preserve"> Sentencia </w:t>
      </w:r>
      <w:hyperlink w:anchor="SENTENCIA_2015_107" w:history="1">
        <w:r w:rsidRPr="00DD47EB">
          <w:rPr>
            <w:rStyle w:val="TextoNormalCaracter"/>
          </w:rPr>
          <w:t>107/2015</w:t>
        </w:r>
      </w:hyperlink>
      <w:r>
        <w:t>, f. 1.</w:t>
      </w:r>
    </w:p>
    <w:p w:rsidR="00DD47EB" w:rsidRDefault="00DD47EB" w:rsidP="00DD47EB">
      <w:pPr>
        <w:pStyle w:val="SangriaFrancesaArticulo"/>
      </w:pPr>
      <w:r w:rsidRPr="00DD47EB">
        <w:rPr>
          <w:rStyle w:val="TextoNormalNegritaCaracter"/>
        </w:rPr>
        <w:t>Artículo 64.1.</w:t>
      </w:r>
      <w:r w:rsidRPr="00DD47EB">
        <w:rPr>
          <w:rStyle w:val="TextoNormalCaracter"/>
        </w:rPr>
        <w:t>-</w:t>
      </w:r>
      <w:r>
        <w:t xml:space="preserve"> Sentencia </w:t>
      </w:r>
      <w:hyperlink w:anchor="SENTENCIA_2015_107" w:history="1">
        <w:r w:rsidRPr="00DD47EB">
          <w:rPr>
            <w:rStyle w:val="TextoNormalCaracter"/>
          </w:rPr>
          <w:t>107/2015</w:t>
        </w:r>
      </w:hyperlink>
      <w:r>
        <w:t>, f. 2.</w:t>
      </w:r>
    </w:p>
    <w:p w:rsidR="00DD47EB" w:rsidRDefault="00DD47EB" w:rsidP="00DD47EB">
      <w:pPr>
        <w:pStyle w:val="SangriaIzquierdaArticulo"/>
      </w:pPr>
      <w:r>
        <w:t xml:space="preserve">Auto </w:t>
      </w:r>
      <w:hyperlink w:anchor="AUTO_2015_67" w:history="1">
        <w:r w:rsidRPr="00DD47EB">
          <w:rPr>
            <w:rStyle w:val="TextoNormalCaracter"/>
          </w:rPr>
          <w:t>67/2015</w:t>
        </w:r>
      </w:hyperlink>
      <w:r>
        <w:t>, VP.</w:t>
      </w:r>
    </w:p>
    <w:p w:rsidR="00DD47EB" w:rsidRDefault="00DD47EB" w:rsidP="00DD47EB">
      <w:pPr>
        <w:pStyle w:val="SangriaFrancesaArticulo"/>
      </w:pPr>
      <w:r w:rsidRPr="00DD47EB">
        <w:rPr>
          <w:rStyle w:val="TextoNormalNegritaCaracter"/>
        </w:rPr>
        <w:t>Artículo 68.1.</w:t>
      </w:r>
      <w:r w:rsidRPr="00DD47EB">
        <w:rPr>
          <w:rStyle w:val="TextoNormalCaracter"/>
        </w:rPr>
        <w:t>-</w:t>
      </w:r>
      <w:r>
        <w:t xml:space="preserve"> Sentencia </w:t>
      </w:r>
      <w:hyperlink w:anchor="SENTENCIA_2015_107" w:history="1">
        <w:r w:rsidRPr="00DD47EB">
          <w:rPr>
            <w:rStyle w:val="TextoNormalCaracter"/>
          </w:rPr>
          <w:t>107/2015</w:t>
        </w:r>
      </w:hyperlink>
      <w:r>
        <w:t>, f. 2.</w:t>
      </w:r>
    </w:p>
    <w:p w:rsidR="00DD47EB" w:rsidRDefault="00DD47EB" w:rsidP="00DD47EB">
      <w:pPr>
        <w:pStyle w:val="SangriaFrancesaArticulo"/>
      </w:pPr>
      <w:r w:rsidRPr="00DD47EB">
        <w:rPr>
          <w:rStyle w:val="TextoNormalNegritaCaracter"/>
        </w:rPr>
        <w:t>Artículo 68.5.</w:t>
      </w:r>
      <w:r w:rsidRPr="00DD47EB">
        <w:rPr>
          <w:rStyle w:val="TextoNormalCaracter"/>
        </w:rPr>
        <w:t>-</w:t>
      </w:r>
      <w:r>
        <w:t xml:space="preserve"> Sentencia </w:t>
      </w:r>
      <w:hyperlink w:anchor="SENTENCIA_2015_31" w:history="1">
        <w:r w:rsidRPr="00DD47EB">
          <w:rPr>
            <w:rStyle w:val="TextoNormalCaracter"/>
          </w:rPr>
          <w:t>31/2015</w:t>
        </w:r>
      </w:hyperlink>
      <w:r>
        <w:t>, ff. 2, 11.</w:t>
      </w:r>
    </w:p>
    <w:p w:rsidR="00DD47EB" w:rsidRDefault="00DD47EB" w:rsidP="00DD47EB">
      <w:pPr>
        <w:pStyle w:val="SangriaFrancesaArticulo"/>
      </w:pPr>
      <w:r w:rsidRPr="00DD47EB">
        <w:rPr>
          <w:rStyle w:val="TextoNormalNegritaCaracter"/>
        </w:rPr>
        <w:t>Artículo 78.</w:t>
      </w:r>
      <w:r w:rsidRPr="00DD47EB">
        <w:rPr>
          <w:rStyle w:val="TextoNormalCaracter"/>
        </w:rPr>
        <w:t>-</w:t>
      </w:r>
      <w:r>
        <w:t xml:space="preserve"> Sentencia </w:t>
      </w:r>
      <w:hyperlink w:anchor="SENTENCIA_2015_46" w:history="1">
        <w:r w:rsidRPr="00DD47EB">
          <w:rPr>
            <w:rStyle w:val="TextoNormalCaracter"/>
          </w:rPr>
          <w:t>46/2015</w:t>
        </w:r>
      </w:hyperlink>
      <w:r>
        <w:t>, ff. 2, 3.</w:t>
      </w:r>
    </w:p>
    <w:p w:rsidR="00DD47EB" w:rsidRDefault="00DD47EB" w:rsidP="00DD47EB">
      <w:pPr>
        <w:pStyle w:val="SangriaFrancesaArticulo"/>
      </w:pPr>
      <w:r w:rsidRPr="00DD47EB">
        <w:rPr>
          <w:rStyle w:val="TextoNormalNegritaCaracter"/>
        </w:rPr>
        <w:t>Artículo 78.1.</w:t>
      </w:r>
      <w:r w:rsidRPr="00DD47EB">
        <w:rPr>
          <w:rStyle w:val="TextoNormalCaracter"/>
        </w:rPr>
        <w:t>-</w:t>
      </w:r>
      <w:r>
        <w:t xml:space="preserve"> Sentencia </w:t>
      </w:r>
      <w:hyperlink w:anchor="SENTENCIA_2015_46" w:history="1">
        <w:r w:rsidRPr="00DD47EB">
          <w:rPr>
            <w:rStyle w:val="TextoNormalCaracter"/>
          </w:rPr>
          <w:t>46/2015</w:t>
        </w:r>
      </w:hyperlink>
      <w:r>
        <w:t>, f. 3.</w:t>
      </w:r>
    </w:p>
    <w:p w:rsidR="00DD47EB" w:rsidRDefault="00DD47EB" w:rsidP="00DD47EB">
      <w:pPr>
        <w:pStyle w:val="SangriaFrancesaArticulo"/>
      </w:pPr>
      <w:r w:rsidRPr="00DD47EB">
        <w:rPr>
          <w:rStyle w:val="TextoNormalNegritaCaracter"/>
        </w:rPr>
        <w:t>Artículo 78.2.</w:t>
      </w:r>
      <w:r w:rsidRPr="00DD47EB">
        <w:rPr>
          <w:rStyle w:val="TextoNormalCaracter"/>
        </w:rPr>
        <w:t>-</w:t>
      </w:r>
      <w:r>
        <w:t xml:space="preserve"> Sentencia </w:t>
      </w:r>
      <w:hyperlink w:anchor="SENTENCIA_2015_46" w:history="1">
        <w:r w:rsidRPr="00DD47EB">
          <w:rPr>
            <w:rStyle w:val="TextoNormalCaracter"/>
          </w:rPr>
          <w:t>46/2015</w:t>
        </w:r>
      </w:hyperlink>
      <w:r>
        <w:t>, ff. 1, 3.</w:t>
      </w:r>
    </w:p>
    <w:p w:rsidR="00DD47EB" w:rsidRDefault="00DD47EB" w:rsidP="00DD47EB">
      <w:pPr>
        <w:pStyle w:val="SangriaFrancesaArticulo"/>
      </w:pPr>
      <w:r w:rsidRPr="00DD47EB">
        <w:rPr>
          <w:rStyle w:val="TextoNormalNegritaCaracter"/>
        </w:rPr>
        <w:t>Artículo 79.4.</w:t>
      </w:r>
      <w:r w:rsidRPr="00DD47EB">
        <w:rPr>
          <w:rStyle w:val="TextoNormalCaracter"/>
        </w:rPr>
        <w:t>-</w:t>
      </w:r>
      <w:r>
        <w:t xml:space="preserve"> Sentencia </w:t>
      </w:r>
      <w:hyperlink w:anchor="SENTENCIA_2015_46" w:history="1">
        <w:r w:rsidRPr="00DD47EB">
          <w:rPr>
            <w:rStyle w:val="TextoNormalCaracter"/>
          </w:rPr>
          <w:t>46/2015</w:t>
        </w:r>
      </w:hyperlink>
      <w:r>
        <w:t>, ff. 5, 6.</w:t>
      </w:r>
    </w:p>
    <w:p w:rsidR="00DD47EB" w:rsidRDefault="00DD47EB" w:rsidP="00DD47EB">
      <w:pPr>
        <w:pStyle w:val="SangriaFrancesaArticulo"/>
      </w:pPr>
      <w:r w:rsidRPr="00DD47EB">
        <w:rPr>
          <w:rStyle w:val="TextoNormalNegritaCaracter"/>
        </w:rPr>
        <w:t>Artículo 116.</w:t>
      </w:r>
      <w:r w:rsidRPr="00DD47EB">
        <w:rPr>
          <w:rStyle w:val="TextoNormalCaracter"/>
        </w:rPr>
        <w:t>-</w:t>
      </w:r>
      <w:r>
        <w:t xml:space="preserve"> Sentencia </w:t>
      </w:r>
      <w:hyperlink w:anchor="SENTENCIA_2015_58" w:history="1">
        <w:r w:rsidRPr="00DD47EB">
          <w:rPr>
            <w:rStyle w:val="TextoNormalCaracter"/>
          </w:rPr>
          <w:t>58/2015</w:t>
        </w:r>
      </w:hyperlink>
      <w:r>
        <w:t>, VP.</w:t>
      </w:r>
    </w:p>
    <w:p w:rsidR="00DD47EB" w:rsidRDefault="00DD47EB" w:rsidP="00DD47EB">
      <w:pPr>
        <w:pStyle w:val="SangriaFrancesaArticulo"/>
      </w:pPr>
      <w:r w:rsidRPr="00DD47EB">
        <w:rPr>
          <w:rStyle w:val="TextoNormalNegritaCaracter"/>
        </w:rPr>
        <w:t>Artículo 116.1.</w:t>
      </w:r>
      <w:r w:rsidRPr="00DD47EB">
        <w:rPr>
          <w:rStyle w:val="TextoNormalCaracter"/>
        </w:rPr>
        <w:t>-</w:t>
      </w:r>
      <w:r>
        <w:t xml:space="preserve"> Sentencia </w:t>
      </w:r>
      <w:hyperlink w:anchor="SENTENCIA_2015_85" w:history="1">
        <w:r w:rsidRPr="00DD47EB">
          <w:rPr>
            <w:rStyle w:val="TextoNormalCaracter"/>
          </w:rPr>
          <w:t>85/2015</w:t>
        </w:r>
      </w:hyperlink>
      <w:r>
        <w:t>, f. 2.</w:t>
      </w:r>
    </w:p>
    <w:p w:rsidR="00DD47EB" w:rsidRDefault="00DD47EB" w:rsidP="00DD47EB">
      <w:pPr>
        <w:pStyle w:val="SangriaFrancesaArticulo"/>
      </w:pPr>
      <w:r w:rsidRPr="00DD47EB">
        <w:rPr>
          <w:rStyle w:val="TextoNormalNegritaCaracter"/>
        </w:rPr>
        <w:t>Artículo 116.1 d).</w:t>
      </w:r>
      <w:r w:rsidRPr="00DD47EB">
        <w:rPr>
          <w:rStyle w:val="TextoNormalCaracter"/>
        </w:rPr>
        <w:t>-</w:t>
      </w:r>
      <w:r>
        <w:t xml:space="preserve"> Sentencia </w:t>
      </w:r>
      <w:hyperlink w:anchor="SENTENCIA_2015_58" w:history="1">
        <w:r w:rsidRPr="00DD47EB">
          <w:rPr>
            <w:rStyle w:val="TextoNormalCaracter"/>
          </w:rPr>
          <w:t>58/2015</w:t>
        </w:r>
      </w:hyperlink>
      <w:r>
        <w:t>, f. 2 VP.</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Sentencias </w:t>
      </w:r>
      <w:hyperlink w:anchor="SENTENCIA_2015_31" w:history="1">
        <w:r w:rsidRPr="00DD47EB">
          <w:rPr>
            <w:rStyle w:val="TextoNormalCaracter"/>
          </w:rPr>
          <w:t>31/2015</w:t>
        </w:r>
      </w:hyperlink>
      <w:r>
        <w:t xml:space="preserve">, ff. 2, 5 a 7, 9, 10; </w:t>
      </w:r>
      <w:hyperlink w:anchor="SENTENCIA_2015_32" w:history="1">
        <w:r w:rsidRPr="00DD47EB">
          <w:rPr>
            <w:rStyle w:val="TextoNormalCaracter"/>
          </w:rPr>
          <w:t>32/2015</w:t>
        </w:r>
      </w:hyperlink>
      <w:r>
        <w:t xml:space="preserve">, f. 1; </w:t>
      </w:r>
      <w:hyperlink w:anchor="SENTENCIA_2015_138" w:history="1">
        <w:r w:rsidRPr="00DD47EB">
          <w:rPr>
            <w:rStyle w:val="TextoNormalCaracter"/>
          </w:rPr>
          <w:t>138/2015</w:t>
        </w:r>
      </w:hyperlink>
      <w:r>
        <w:t>, ff. 1 a 3, 5.</w:t>
      </w:r>
    </w:p>
    <w:p w:rsidR="00DD47EB" w:rsidRDefault="00DD47EB" w:rsidP="00DD47EB">
      <w:pPr>
        <w:pStyle w:val="SangriaFrancesaArticulo"/>
      </w:pPr>
      <w:r w:rsidRPr="00DD47EB">
        <w:rPr>
          <w:rStyle w:val="TextoNormalNegritaCaracter"/>
        </w:rPr>
        <w:t>Artículo 131.3 d).</w:t>
      </w:r>
      <w:r w:rsidRPr="00DD47EB">
        <w:rPr>
          <w:rStyle w:val="TextoNormalCaracter"/>
        </w:rPr>
        <w:t>-</w:t>
      </w:r>
      <w:r>
        <w:t xml:space="preserve"> Sentencia </w:t>
      </w:r>
      <w:hyperlink w:anchor="SENTENCIA_2015_25" w:history="1">
        <w:r w:rsidRPr="00DD47EB">
          <w:rPr>
            <w:rStyle w:val="TextoNormalCaracter"/>
          </w:rPr>
          <w:t>25/2015</w:t>
        </w:r>
      </w:hyperlink>
      <w:r>
        <w:t>, ff. 1, 3, 7, VP II.</w:t>
      </w:r>
    </w:p>
    <w:p w:rsidR="00DD47EB" w:rsidRDefault="00DD47EB" w:rsidP="00DD47EB">
      <w:pPr>
        <w:pStyle w:val="SangriaFrancesaArticulo"/>
      </w:pPr>
      <w:r w:rsidRPr="00DD47EB">
        <w:rPr>
          <w:rStyle w:val="TextoNormalNegritaCaracter"/>
        </w:rPr>
        <w:t>Artículo 160.</w:t>
      </w:r>
      <w:r w:rsidRPr="00DD47EB">
        <w:rPr>
          <w:rStyle w:val="TextoNormalCaracter"/>
        </w:rPr>
        <w:t>-</w:t>
      </w:r>
      <w:r>
        <w:t xml:space="preserve"> Sentencia </w:t>
      </w:r>
      <w:hyperlink w:anchor="SENTENCIA_2015_31" w:history="1">
        <w:r w:rsidRPr="00DD47EB">
          <w:rPr>
            <w:rStyle w:val="TextoNormalCaracter"/>
          </w:rPr>
          <w:t>31/2015</w:t>
        </w:r>
      </w:hyperlink>
      <w:r>
        <w:t>, f. 2.</w:t>
      </w:r>
    </w:p>
    <w:p w:rsidR="00DD47EB" w:rsidRDefault="00DD47EB" w:rsidP="00DD47EB">
      <w:pPr>
        <w:pStyle w:val="SangriaFrancesaArticulo"/>
      </w:pPr>
      <w:r w:rsidRPr="00DD47EB">
        <w:rPr>
          <w:rStyle w:val="TextoNormalNegritaCaracter"/>
        </w:rPr>
        <w:t>Artículo 162.3 b).</w:t>
      </w:r>
      <w:r w:rsidRPr="00DD47EB">
        <w:rPr>
          <w:rStyle w:val="TextoNormalCaracter"/>
        </w:rPr>
        <w:t>-</w:t>
      </w:r>
      <w:r>
        <w:t xml:space="preserve"> Sentencia </w:t>
      </w:r>
      <w:hyperlink w:anchor="SENTENCIA_2015_58" w:history="1">
        <w:r w:rsidRPr="00DD47EB">
          <w:rPr>
            <w:rStyle w:val="TextoNormalCaracter"/>
          </w:rPr>
          <w:t>58/2015</w:t>
        </w:r>
      </w:hyperlink>
      <w:r>
        <w:t>, f. 2 VP.</w:t>
      </w:r>
    </w:p>
    <w:p w:rsidR="00DD47EB" w:rsidRDefault="00DD47EB" w:rsidP="00DD47EB">
      <w:pPr>
        <w:pStyle w:val="SangriaFrancesaArticulo"/>
      </w:pPr>
      <w:r w:rsidRPr="00DD47EB">
        <w:rPr>
          <w:rStyle w:val="TextoNormalNegritaCaracter"/>
        </w:rPr>
        <w:t>Artículo 165.1 a).</w:t>
      </w:r>
      <w:r w:rsidRPr="00DD47EB">
        <w:rPr>
          <w:rStyle w:val="TextoNormalCaracter"/>
        </w:rPr>
        <w:t>-</w:t>
      </w:r>
      <w:r>
        <w:t xml:space="preserve"> Sentencia </w:t>
      </w:r>
      <w:hyperlink w:anchor="SENTENCIA_2015_27" w:history="1">
        <w:r w:rsidRPr="00DD47EB">
          <w:rPr>
            <w:rStyle w:val="TextoNormalCaracter"/>
          </w:rPr>
          <w:t>27/2015</w:t>
        </w:r>
      </w:hyperlink>
      <w:r>
        <w:t>, f. 1.</w:t>
      </w:r>
    </w:p>
    <w:p w:rsidR="00DD47EB" w:rsidRDefault="00DD47EB" w:rsidP="00DD47EB">
      <w:pPr>
        <w:pStyle w:val="SangriaFrancesaArticulo"/>
      </w:pPr>
      <w:r w:rsidRPr="00DD47EB">
        <w:rPr>
          <w:rStyle w:val="TextoNormalNegritaCaracter"/>
        </w:rPr>
        <w:t>Artículo 170.1 b).</w:t>
      </w:r>
      <w:r w:rsidRPr="00DD47EB">
        <w:rPr>
          <w:rStyle w:val="TextoNormalCaracter"/>
        </w:rPr>
        <w:t>-</w:t>
      </w:r>
      <w:r>
        <w:t xml:space="preserve"> Sentencia </w:t>
      </w:r>
      <w:hyperlink w:anchor="SENTENCIA_2015_61" w:history="1">
        <w:r w:rsidRPr="00DD47EB">
          <w:rPr>
            <w:rStyle w:val="TextoNormalCaracter"/>
          </w:rPr>
          <w:t>61/2015</w:t>
        </w:r>
      </w:hyperlink>
      <w:r>
        <w:t>, ff. 1, 2, 5.</w:t>
      </w:r>
    </w:p>
    <w:p w:rsidR="00DD47EB" w:rsidRDefault="00DD47EB" w:rsidP="00DD47EB">
      <w:pPr>
        <w:pStyle w:val="SangriaFrancesaArticulo"/>
      </w:pPr>
      <w:r w:rsidRPr="00DD47EB">
        <w:rPr>
          <w:rStyle w:val="TextoNormalNegritaCaracter"/>
        </w:rPr>
        <w:t>Artículo 170.1 h).</w:t>
      </w:r>
      <w:r w:rsidRPr="00DD47EB">
        <w:rPr>
          <w:rStyle w:val="TextoNormalCaracter"/>
        </w:rPr>
        <w:t>-</w:t>
      </w:r>
      <w:r>
        <w:t xml:space="preserve"> Sentencia </w:t>
      </w:r>
      <w:hyperlink w:anchor="SENTENCIA_2015_27" w:history="1">
        <w:r w:rsidRPr="00DD47EB">
          <w:rPr>
            <w:rStyle w:val="TextoNormalCaracter"/>
          </w:rPr>
          <w:t>27/2015</w:t>
        </w:r>
      </w:hyperlink>
      <w:r>
        <w:t>, f. 1.</w:t>
      </w:r>
    </w:p>
    <w:p w:rsidR="00DD47EB" w:rsidRDefault="00DD47EB" w:rsidP="00DD47EB">
      <w:pPr>
        <w:pStyle w:val="SangriaFrancesaArticulo"/>
      </w:pPr>
      <w:r w:rsidRPr="00DD47EB">
        <w:rPr>
          <w:rStyle w:val="TextoNormalNegritaCaracter"/>
        </w:rPr>
        <w:t>Artículo 172.1 g).</w:t>
      </w:r>
      <w:r w:rsidRPr="00DD47EB">
        <w:rPr>
          <w:rStyle w:val="TextoNormalCaracter"/>
        </w:rPr>
        <w:t>-</w:t>
      </w:r>
      <w:r>
        <w:t xml:space="preserve"> Sentencia </w:t>
      </w:r>
      <w:hyperlink w:anchor="SENTENCIA_2015_25" w:history="1">
        <w:r w:rsidRPr="00DD47EB">
          <w:rPr>
            <w:rStyle w:val="TextoNormalCaracter"/>
          </w:rPr>
          <w:t>25/2015</w:t>
        </w:r>
      </w:hyperlink>
      <w:r>
        <w:t>, ff. 1, 3, 7, VP II.</w:t>
      </w:r>
    </w:p>
    <w:p w:rsidR="00DD47EB" w:rsidRDefault="00DD47EB" w:rsidP="00DD47EB">
      <w:pPr>
        <w:pStyle w:val="SangriaFrancesaArticulo"/>
      </w:pPr>
      <w:r w:rsidRPr="00DD47EB">
        <w:rPr>
          <w:rStyle w:val="TextoNormalNegritaCaracter"/>
        </w:rPr>
        <w:t>Artículo 196.4.</w:t>
      </w:r>
      <w:r w:rsidRPr="00DD47EB">
        <w:rPr>
          <w:rStyle w:val="TextoNormalCaracter"/>
        </w:rPr>
        <w:t>-</w:t>
      </w:r>
      <w:r>
        <w:t xml:space="preserve"> Sentencia </w:t>
      </w:r>
      <w:hyperlink w:anchor="SENTENCIA_2015_46" w:history="1">
        <w:r w:rsidRPr="00DD47EB">
          <w:rPr>
            <w:rStyle w:val="TextoNormalCaracter"/>
          </w:rPr>
          <w:t>46/2015</w:t>
        </w:r>
      </w:hyperlink>
      <w:r>
        <w:t>, ff. 1, 4.</w:t>
      </w:r>
    </w:p>
    <w:p w:rsidR="00DD47EB" w:rsidRDefault="00DD47EB" w:rsidP="00DD47EB">
      <w:pPr>
        <w:pStyle w:val="SangriaFrancesaArticulo"/>
      </w:pPr>
      <w:r w:rsidRPr="00DD47EB">
        <w:rPr>
          <w:rStyle w:val="TextoNormalNegritaCaracter"/>
        </w:rPr>
        <w:t>Artículo 203.5.</w:t>
      </w:r>
      <w:r w:rsidRPr="00DD47EB">
        <w:rPr>
          <w:rStyle w:val="TextoNormalCaracter"/>
        </w:rPr>
        <w:t>-</w:t>
      </w:r>
      <w:r>
        <w:t xml:space="preserve"> Sentencias </w:t>
      </w:r>
      <w:hyperlink w:anchor="SENTENCIA_2015_26" w:history="1">
        <w:r w:rsidRPr="00DD47EB">
          <w:rPr>
            <w:rStyle w:val="TextoNormalCaracter"/>
          </w:rPr>
          <w:t>26/2015</w:t>
        </w:r>
      </w:hyperlink>
      <w:r>
        <w:t xml:space="preserve">, f. 5; </w:t>
      </w:r>
      <w:hyperlink w:anchor="SENTENCIA_2015_59" w:history="1">
        <w:r w:rsidRPr="00DD47EB">
          <w:rPr>
            <w:rStyle w:val="TextoNormalCaracter"/>
          </w:rPr>
          <w:t>59/2015</w:t>
        </w:r>
      </w:hyperlink>
      <w:r>
        <w:t xml:space="preserve">, f. 1; </w:t>
      </w:r>
      <w:hyperlink w:anchor="SENTENCIA_2015_107" w:history="1">
        <w:r w:rsidRPr="00DD47EB">
          <w:rPr>
            <w:rStyle w:val="TextoNormalCaracter"/>
          </w:rPr>
          <w:t>107/2015</w:t>
        </w:r>
      </w:hyperlink>
      <w:r>
        <w:t>, ff. 1 a 3.</w:t>
      </w:r>
    </w:p>
    <w:p w:rsidR="00DD47EB" w:rsidRDefault="00DD47EB" w:rsidP="00DD47EB">
      <w:pPr>
        <w:pStyle w:val="TextoNormal"/>
      </w:pPr>
    </w:p>
    <w:p w:rsidR="00DD47EB" w:rsidRDefault="00DD47EB" w:rsidP="00DD47EB">
      <w:pPr>
        <w:pStyle w:val="TextoNormalNegritaCentradoSubrayado"/>
        <w:suppressAutoHyphens/>
      </w:pPr>
      <w:r>
        <w:t>J.9.b)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del Parlamento de Cataluña 3/1984, de 9 de enero. Medidas de adecuación del ordenamiento urbanístico de Cataluña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7" w:history="1">
        <w:r w:rsidRPr="00DD47EB">
          <w:rPr>
            <w:rStyle w:val="TextoNormalCaracter"/>
          </w:rPr>
          <w:t>57/2015</w:t>
        </w:r>
      </w:hyperlink>
      <w:r>
        <w:t>, f. 10.</w:t>
      </w:r>
    </w:p>
    <w:p w:rsidR="00DD47EB" w:rsidRDefault="00DD47EB" w:rsidP="00DD47EB">
      <w:pPr>
        <w:pStyle w:val="SangriaFrancesaArticulo"/>
      </w:pPr>
    </w:p>
    <w:p w:rsidR="00DD47EB" w:rsidRDefault="00DD47EB" w:rsidP="00DD47EB">
      <w:pPr>
        <w:pStyle w:val="TextoNormalNegritaCursivandice"/>
      </w:pPr>
      <w:r>
        <w:t>Decreto Legislativo de la Generalidad de Cataluña 1/1990, de 12 de julio. Texto refundido de los textos legales vigentes en Cataluña en materia urbanística</w:t>
      </w:r>
    </w:p>
    <w:p w:rsidR="00DD47EB" w:rsidRDefault="00DD47EB" w:rsidP="00DD47EB">
      <w:pPr>
        <w:pStyle w:val="SangriaFrancesaArticulo"/>
      </w:pPr>
      <w:r w:rsidRPr="00DD47EB">
        <w:rPr>
          <w:rStyle w:val="TextoNormalNegritaCaracter"/>
        </w:rPr>
        <w:t>Artículo 50.</w:t>
      </w:r>
      <w:r w:rsidRPr="00DD47EB">
        <w:rPr>
          <w:rStyle w:val="TextoNormalCaracter"/>
        </w:rPr>
        <w:t>-</w:t>
      </w:r>
      <w:r>
        <w:t xml:space="preserve"> Sentencia </w:t>
      </w:r>
      <w:hyperlink w:anchor="SENTENCIA_2015_57" w:history="1">
        <w:r w:rsidRPr="00DD47EB">
          <w:rPr>
            <w:rStyle w:val="TextoNormalCaracter"/>
          </w:rPr>
          <w:t>57/2015</w:t>
        </w:r>
      </w:hyperlink>
      <w:r>
        <w:t>, f. 10.</w:t>
      </w:r>
    </w:p>
    <w:p w:rsidR="00DD47EB" w:rsidRDefault="00DD47EB" w:rsidP="00DD47EB">
      <w:pPr>
        <w:pStyle w:val="SangriaFrancesaArticulo"/>
      </w:pPr>
      <w:r w:rsidRPr="00DD47EB">
        <w:rPr>
          <w:rStyle w:val="TextoNormalNegritaCaracter"/>
        </w:rPr>
        <w:t>Artículo 59.1.</w:t>
      </w:r>
      <w:r w:rsidRPr="00DD47EB">
        <w:rPr>
          <w:rStyle w:val="TextoNormalCaracter"/>
        </w:rPr>
        <w:t>-</w:t>
      </w:r>
      <w:r>
        <w:t xml:space="preserve"> Sentencia </w:t>
      </w:r>
      <w:hyperlink w:anchor="SENTENCIA_2015_57" w:history="1">
        <w:r w:rsidRPr="00DD47EB">
          <w:rPr>
            <w:rStyle w:val="TextoNormalCaracter"/>
          </w:rPr>
          <w:t>57/2015</w:t>
        </w:r>
      </w:hyperlink>
      <w:r>
        <w:t>, f. 10.</w:t>
      </w:r>
    </w:p>
    <w:p w:rsidR="00DD47EB" w:rsidRDefault="00DD47EB" w:rsidP="00DD47EB">
      <w:pPr>
        <w:pStyle w:val="SangriaFrancesaArticulo"/>
      </w:pPr>
    </w:p>
    <w:p w:rsidR="00DD47EB" w:rsidRDefault="00DD47EB" w:rsidP="00DD47EB">
      <w:pPr>
        <w:pStyle w:val="TextoNormalNegritaCursivandice"/>
      </w:pPr>
      <w:r>
        <w:t>Ley del Parlamento de Cataluña 3/1993, de 5 de marzo. Estatuto del consumidor</w:t>
      </w:r>
    </w:p>
    <w:p w:rsidR="00DD47EB" w:rsidRDefault="00DD47EB" w:rsidP="00DD47EB">
      <w:pPr>
        <w:pStyle w:val="SangriaFrancesaArticulo"/>
      </w:pPr>
      <w:r w:rsidRPr="00DD47EB">
        <w:rPr>
          <w:rStyle w:val="TextoNormalNegritaCaracter"/>
        </w:rPr>
        <w:t>Artículo 30.</w:t>
      </w:r>
      <w:r w:rsidRPr="00DD47EB">
        <w:rPr>
          <w:rStyle w:val="TextoNormalCaracter"/>
        </w:rPr>
        <w:t>-</w:t>
      </w:r>
      <w:r>
        <w:t xml:space="preserve"> Sentencia </w:t>
      </w:r>
      <w:hyperlink w:anchor="SENTENCIA_2015_10" w:history="1">
        <w:r w:rsidRPr="00DD47EB">
          <w:rPr>
            <w:rStyle w:val="TextoNormalCaracter"/>
          </w:rPr>
          <w:t>10/2015</w:t>
        </w:r>
      </w:hyperlink>
      <w:r>
        <w:t>, ff. 1, 3.</w:t>
      </w:r>
    </w:p>
    <w:p w:rsidR="00DD47EB" w:rsidRDefault="00DD47EB" w:rsidP="00DD47EB">
      <w:pPr>
        <w:pStyle w:val="SangriaFrancesaArticulo"/>
      </w:pPr>
    </w:p>
    <w:p w:rsidR="00DD47EB" w:rsidRDefault="00DD47EB" w:rsidP="00DD47EB">
      <w:pPr>
        <w:pStyle w:val="TextoNormalNegritaCursivandice"/>
      </w:pPr>
      <w:r>
        <w:t>Ley del Parlamento de Cataluña 8/2004, de 23 de diciembre. Horarios comerciales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7" w:history="1">
        <w:r w:rsidRPr="00DD47EB">
          <w:rPr>
            <w:rStyle w:val="TextoNormalCaracter"/>
          </w:rPr>
          <w:t>67/2015</w:t>
        </w:r>
      </w:hyperlink>
      <w:r>
        <w:t>, f. 3.</w:t>
      </w:r>
    </w:p>
    <w:p w:rsidR="00DD47EB" w:rsidRDefault="00DD47EB" w:rsidP="00DD47EB">
      <w:pPr>
        <w:pStyle w:val="SangriaFrancesaArticulo"/>
      </w:pPr>
      <w:r w:rsidRPr="00DD47EB">
        <w:rPr>
          <w:rStyle w:val="TextoNormalNegritaCaracter"/>
        </w:rPr>
        <w:t>Artículo 1.2 b).</w:t>
      </w:r>
      <w:r w:rsidRPr="00DD47EB">
        <w:rPr>
          <w:rStyle w:val="TextoNormalCaracter"/>
        </w:rPr>
        <w:t>-</w:t>
      </w:r>
      <w:r>
        <w:t xml:space="preserve"> Auto </w:t>
      </w:r>
      <w:hyperlink w:anchor="AUTO_2015_67" w:history="1">
        <w:r w:rsidRPr="00DD47EB">
          <w:rPr>
            <w:rStyle w:val="TextoNormalCaracter"/>
          </w:rPr>
          <w:t>67/2015</w:t>
        </w:r>
      </w:hyperlink>
      <w:r>
        <w:t>, f. 2.</w:t>
      </w:r>
    </w:p>
    <w:p w:rsidR="00DD47EB" w:rsidRDefault="00DD47EB" w:rsidP="00DD47EB">
      <w:pPr>
        <w:pStyle w:val="SangriaFrancesaArticulo"/>
      </w:pPr>
      <w:r w:rsidRPr="00DD47EB">
        <w:rPr>
          <w:rStyle w:val="TextoNormalNegritaCaracter"/>
        </w:rPr>
        <w:t>Artículo 2.1 i).</w:t>
      </w:r>
      <w:r w:rsidRPr="00DD47EB">
        <w:rPr>
          <w:rStyle w:val="TextoNormalCaracter"/>
        </w:rPr>
        <w:t>-</w:t>
      </w:r>
      <w:r>
        <w:t xml:space="preserve"> Auto </w:t>
      </w:r>
      <w:hyperlink w:anchor="AUTO_2015_67" w:history="1">
        <w:r w:rsidRPr="00DD47EB">
          <w:rPr>
            <w:rStyle w:val="TextoNormalCaracter"/>
          </w:rPr>
          <w:t>67/2015</w:t>
        </w:r>
      </w:hyperlink>
      <w:r>
        <w:t>, f. 2.</w:t>
      </w:r>
    </w:p>
    <w:p w:rsidR="00DD47EB" w:rsidRDefault="00DD47EB" w:rsidP="00DD47EB">
      <w:pPr>
        <w:pStyle w:val="SangriaFrancesaArticulo"/>
      </w:pPr>
      <w:r w:rsidRPr="00DD47EB">
        <w:rPr>
          <w:rStyle w:val="TextoNormalNegritaCaracter"/>
        </w:rPr>
        <w:t>Artículo 2.1 j).</w:t>
      </w:r>
      <w:r w:rsidRPr="00DD47EB">
        <w:rPr>
          <w:rStyle w:val="TextoNormalCaracter"/>
        </w:rPr>
        <w:t>-</w:t>
      </w:r>
      <w:r>
        <w:t xml:space="preserve"> Auto </w:t>
      </w:r>
      <w:hyperlink w:anchor="AUTO_2015_67" w:history="1">
        <w:r w:rsidRPr="00DD47EB">
          <w:rPr>
            <w:rStyle w:val="TextoNormalCaracter"/>
          </w:rPr>
          <w:t>67/2015</w:t>
        </w:r>
      </w:hyperlink>
      <w:r>
        <w:t>, f. 2.</w:t>
      </w:r>
    </w:p>
    <w:p w:rsidR="00DD47EB" w:rsidRDefault="00DD47EB" w:rsidP="00DD47EB">
      <w:pPr>
        <w:pStyle w:val="SangriaFrancesaArticulo"/>
      </w:pPr>
    </w:p>
    <w:p w:rsidR="00DD47EB" w:rsidRDefault="00DD47EB" w:rsidP="00DD47EB">
      <w:pPr>
        <w:pStyle w:val="TextoNormalNegritaCursivandice"/>
      </w:pPr>
      <w:r>
        <w:t>Ley del Parlamento de Cataluña 1/2006, de 16 de febrero. Iniciativa legislativa popular</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ff. 3 a 5, VP.</w:t>
      </w:r>
    </w:p>
    <w:p w:rsidR="00DD47EB" w:rsidRDefault="00DD47EB" w:rsidP="00DD47EB">
      <w:pPr>
        <w:pStyle w:val="SangriaFrancesaArticulo"/>
      </w:pPr>
      <w:r w:rsidRPr="00DD47EB">
        <w:rPr>
          <w:rStyle w:val="TextoNormalNegritaCaracter"/>
        </w:rPr>
        <w:t>Capítulo II.</w:t>
      </w:r>
      <w:r w:rsidRPr="00DD47EB">
        <w:rPr>
          <w:rStyle w:val="TextoNormalCaracter"/>
        </w:rPr>
        <w:t>-</w:t>
      </w:r>
      <w:r>
        <w:t xml:space="preserve"> Sentencia </w:t>
      </w:r>
      <w:hyperlink w:anchor="SENTENCIA_2015_19" w:history="1">
        <w:r w:rsidRPr="00DD47EB">
          <w:rPr>
            <w:rStyle w:val="TextoNormalCaracter"/>
          </w:rPr>
          <w:t>19/2015</w:t>
        </w:r>
      </w:hyperlink>
      <w:r>
        <w:t>, ff. 4, 5.</w:t>
      </w:r>
    </w:p>
    <w:p w:rsidR="00DD47EB" w:rsidRDefault="00DD47EB" w:rsidP="00DD47EB">
      <w:pPr>
        <w:pStyle w:val="SangriaFrancesaArticulo"/>
      </w:pPr>
      <w:r w:rsidRPr="00DD47EB">
        <w:rPr>
          <w:rStyle w:val="TextoNormalNegritaCaracter"/>
        </w:rPr>
        <w:t>Capítulo III.</w:t>
      </w:r>
      <w:r w:rsidRPr="00DD47EB">
        <w:rPr>
          <w:rStyle w:val="TextoNormalCaracter"/>
        </w:rPr>
        <w:t>-</w:t>
      </w:r>
      <w:r>
        <w:t xml:space="preserve"> Sentencia </w:t>
      </w:r>
      <w:hyperlink w:anchor="SENTENCIA_2015_19" w:history="1">
        <w:r w:rsidRPr="00DD47EB">
          <w:rPr>
            <w:rStyle w:val="TextoNormalCaracter"/>
          </w:rPr>
          <w:t>19/2015</w:t>
        </w:r>
      </w:hyperlink>
      <w:r>
        <w:t>, f. 4.</w:t>
      </w:r>
    </w:p>
    <w:p w:rsidR="00DD47EB" w:rsidRDefault="00DD47EB" w:rsidP="00DD47EB">
      <w:pPr>
        <w:pStyle w:val="SangriaFrancesaArticulo"/>
      </w:pPr>
      <w:r w:rsidRPr="00DD47EB">
        <w:rPr>
          <w:rStyle w:val="TextoNormalNegritaCaracter"/>
        </w:rPr>
        <w:t>Capítulo IV.</w:t>
      </w:r>
      <w:r w:rsidRPr="00DD47EB">
        <w:rPr>
          <w:rStyle w:val="TextoNormalCaracter"/>
        </w:rPr>
        <w:t>-</w:t>
      </w:r>
      <w:r>
        <w:t xml:space="preserve"> Sentencia </w:t>
      </w:r>
      <w:hyperlink w:anchor="SENTENCIA_2015_19" w:history="1">
        <w:r w:rsidRPr="00DD47EB">
          <w:rPr>
            <w:rStyle w:val="TextoNormalCaracter"/>
          </w:rPr>
          <w:t>19/2015</w:t>
        </w:r>
      </w:hyperlink>
      <w:r>
        <w:t>, f. 4.</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19" w:history="1">
        <w:r w:rsidRPr="00DD47EB">
          <w:rPr>
            <w:rStyle w:val="TextoNormalCaracter"/>
          </w:rPr>
          <w:t>19/2015</w:t>
        </w:r>
      </w:hyperlink>
      <w:r>
        <w:t>, f. 3.</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19" w:history="1">
        <w:r w:rsidRPr="00DD47EB">
          <w:rPr>
            <w:rStyle w:val="TextoNormalCaracter"/>
          </w:rPr>
          <w:t>19/2015</w:t>
        </w:r>
      </w:hyperlink>
      <w:r>
        <w:t>, f. 5, VP.</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 </w:t>
      </w:r>
      <w:hyperlink w:anchor="SENTENCIA_2015_19" w:history="1">
        <w:r w:rsidRPr="00DD47EB">
          <w:rPr>
            <w:rStyle w:val="TextoNormalCaracter"/>
          </w:rPr>
          <w:t>19/2015</w:t>
        </w:r>
      </w:hyperlink>
      <w:r>
        <w:t>, ff. 4, 5, VP.</w:t>
      </w:r>
    </w:p>
    <w:p w:rsidR="00DD47EB" w:rsidRDefault="00DD47EB" w:rsidP="00DD47EB">
      <w:pPr>
        <w:pStyle w:val="SangriaFrancesaArticulo"/>
      </w:pPr>
      <w:r w:rsidRPr="00DD47EB">
        <w:rPr>
          <w:rStyle w:val="TextoNormalNegritaCaracter"/>
        </w:rPr>
        <w:t>Artículo 6.5.</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Sentencia </w:t>
      </w:r>
      <w:hyperlink w:anchor="SENTENCIA_2015_19" w:history="1">
        <w:r w:rsidRPr="00DD47EB">
          <w:rPr>
            <w:rStyle w:val="TextoNormalCaracter"/>
          </w:rPr>
          <w:t>19/2015</w:t>
        </w:r>
      </w:hyperlink>
      <w:r>
        <w:t>, f. 5.</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19" w:history="1">
        <w:r w:rsidRPr="00DD47EB">
          <w:rPr>
            <w:rStyle w:val="TextoNormalCaracter"/>
          </w:rPr>
          <w:t>19/2015</w:t>
        </w:r>
      </w:hyperlink>
      <w:r>
        <w:t>, ff. 3, 4.</w:t>
      </w:r>
    </w:p>
    <w:p w:rsidR="00DD47EB" w:rsidRDefault="00DD47EB" w:rsidP="00DD47EB">
      <w:pPr>
        <w:pStyle w:val="SangriaFrancesaArticulo"/>
      </w:pPr>
      <w:r w:rsidRPr="00DD47EB">
        <w:rPr>
          <w:rStyle w:val="TextoNormalNegritaCaracter"/>
        </w:rPr>
        <w:t>Artículo 12.3.</w:t>
      </w:r>
      <w:r w:rsidRPr="00DD47EB">
        <w:rPr>
          <w:rStyle w:val="TextoNormalCaracter"/>
        </w:rPr>
        <w:t>-</w:t>
      </w:r>
      <w:r>
        <w:t xml:space="preserve"> Sentencia </w:t>
      </w:r>
      <w:hyperlink w:anchor="SENTENCIA_2015_19" w:history="1">
        <w:r w:rsidRPr="00DD47EB">
          <w:rPr>
            <w:rStyle w:val="TextoNormalCaracter"/>
          </w:rPr>
          <w:t>19/2015</w:t>
        </w:r>
      </w:hyperlink>
      <w:r>
        <w:t>, f. 4.</w:t>
      </w:r>
    </w:p>
    <w:p w:rsidR="00DD47EB" w:rsidRDefault="00DD47EB" w:rsidP="00DD47EB">
      <w:pPr>
        <w:pStyle w:val="SangriaFrancesaArticulo"/>
      </w:pPr>
      <w:r w:rsidRPr="00DD47EB">
        <w:rPr>
          <w:rStyle w:val="TextoNormalNegritaCaracter"/>
        </w:rPr>
        <w:t>Artículo 14.1.</w:t>
      </w:r>
      <w:r w:rsidRPr="00DD47EB">
        <w:rPr>
          <w:rStyle w:val="TextoNormalCaracter"/>
        </w:rPr>
        <w:t>-</w:t>
      </w:r>
      <w:r>
        <w:t xml:space="preserve"> Sentencia </w:t>
      </w:r>
      <w:hyperlink w:anchor="SENTENCIA_2015_19" w:history="1">
        <w:r w:rsidRPr="00DD47EB">
          <w:rPr>
            <w:rStyle w:val="TextoNormalCaracter"/>
          </w:rPr>
          <w:t>19/2015</w:t>
        </w:r>
      </w:hyperlink>
      <w:r>
        <w:t>, f. 4.</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19" w:history="1">
        <w:r w:rsidRPr="00DD47EB">
          <w:rPr>
            <w:rStyle w:val="TextoNormalCaracter"/>
          </w:rPr>
          <w:t>19/2015</w:t>
        </w:r>
      </w:hyperlink>
      <w:r>
        <w:t>, f. 6.</w:t>
      </w:r>
    </w:p>
    <w:p w:rsidR="00DD47EB" w:rsidRDefault="00DD47EB" w:rsidP="00DD47EB">
      <w:pPr>
        <w:pStyle w:val="SangriaFrancesaArticulo"/>
      </w:pPr>
      <w:r w:rsidRPr="00DD47EB">
        <w:rPr>
          <w:rStyle w:val="TextoNormalNegritaCaracter"/>
        </w:rPr>
        <w:t>Disposición adicional tercera</w:t>
      </w:r>
      <w:r>
        <w:t xml:space="preserve"> (redactada por la Ley del Parlamento de Cataluña 7/2014, de 25 de junio)</w:t>
      </w:r>
      <w:r w:rsidRPr="00DD47EB">
        <w:rPr>
          <w:rStyle w:val="TextoNormalNegritaCaracter"/>
        </w:rPr>
        <w:t>.</w:t>
      </w:r>
      <w:r w:rsidRPr="00DD47EB">
        <w:rPr>
          <w:rStyle w:val="TextoNormalCaracter"/>
        </w:rPr>
        <w:t>-</w:t>
      </w:r>
      <w:r>
        <w:t xml:space="preserve"> Sentencia </w:t>
      </w:r>
      <w:hyperlink w:anchor="SENTENCIA_2015_19" w:history="1">
        <w:r w:rsidRPr="00DD47EB">
          <w:rPr>
            <w:rStyle w:val="TextoNormalCaracter"/>
          </w:rPr>
          <w:t>19/2015</w:t>
        </w:r>
      </w:hyperlink>
      <w:r>
        <w:t>, f. 5, VP.</w:t>
      </w:r>
    </w:p>
    <w:p w:rsidR="00DD47EB" w:rsidRDefault="00DD47EB" w:rsidP="00DD47EB">
      <w:pPr>
        <w:pStyle w:val="SangriaFrancesaArticulo"/>
      </w:pPr>
      <w:r w:rsidRPr="00DD47EB">
        <w:rPr>
          <w:rStyle w:val="TextoNormalNegritaCaracter"/>
        </w:rPr>
        <w:t>Disposición adicional tercera, apartado 2</w:t>
      </w:r>
      <w:r>
        <w:t xml:space="preserve"> (redactado por la Ley del Parlamento de Cataluña 7/2014, de 25 de junio)</w:t>
      </w:r>
      <w:r w:rsidRPr="00DD47EB">
        <w:rPr>
          <w:rStyle w:val="TextoNormalNegritaCaracter"/>
        </w:rPr>
        <w:t>.</w:t>
      </w:r>
      <w:r w:rsidRPr="00DD47EB">
        <w:rPr>
          <w:rStyle w:val="TextoNormalCaracter"/>
        </w:rPr>
        <w:t>-</w:t>
      </w:r>
      <w:r>
        <w:t xml:space="preserve"> Sentencia </w:t>
      </w:r>
      <w:hyperlink w:anchor="SENTENCIA_2015_19" w:history="1">
        <w:r w:rsidRPr="00DD47EB">
          <w:rPr>
            <w:rStyle w:val="TextoNormalCaracter"/>
          </w:rPr>
          <w:t>19/2015</w:t>
        </w:r>
      </w:hyperlink>
      <w:r>
        <w:t>, f. 5.</w:t>
      </w:r>
    </w:p>
    <w:p w:rsidR="00DD47EB" w:rsidRDefault="00DD47EB" w:rsidP="00DD47EB">
      <w:pPr>
        <w:pStyle w:val="SangriaFrancesaArticulo"/>
      </w:pPr>
      <w:r w:rsidRPr="00DD47EB">
        <w:rPr>
          <w:rStyle w:val="TextoNormalNegritaCaracter"/>
        </w:rPr>
        <w:t>Disposición adicional tercera, apartado 3</w:t>
      </w:r>
      <w:r>
        <w:t xml:space="preserve"> (redactado por la Ley del Parlamento de Cataluña 7/2014, de 25 de junio)</w:t>
      </w:r>
      <w:r w:rsidRPr="00DD47EB">
        <w:rPr>
          <w:rStyle w:val="TextoNormalNegritaCaracter"/>
        </w:rPr>
        <w:t>.</w:t>
      </w:r>
      <w:r w:rsidRPr="00DD47EB">
        <w:rPr>
          <w:rStyle w:val="TextoNormalCaracter"/>
        </w:rPr>
        <w:t>-</w:t>
      </w:r>
      <w:r>
        <w:t xml:space="preserve"> Sentencia </w:t>
      </w:r>
      <w:hyperlink w:anchor="SENTENCIA_2015_19" w:history="1">
        <w:r w:rsidRPr="00DD47EB">
          <w:rPr>
            <w:rStyle w:val="TextoNormalCaracter"/>
          </w:rPr>
          <w:t>19/2015</w:t>
        </w:r>
      </w:hyperlink>
      <w:r>
        <w:t>, f. 5.</w:t>
      </w:r>
    </w:p>
    <w:p w:rsidR="00DD47EB" w:rsidRDefault="00DD47EB" w:rsidP="00DD47EB">
      <w:pPr>
        <w:pStyle w:val="SangriaFrancesaArticulo"/>
      </w:pPr>
    </w:p>
    <w:p w:rsidR="00DD47EB" w:rsidRDefault="00DD47EB" w:rsidP="00DD47EB">
      <w:pPr>
        <w:pStyle w:val="TextoNormalNegritaCursivandice"/>
      </w:pPr>
      <w:r>
        <w:t>Ley del Parlamento de Cataluña 10/2008, de 10 de julio. Código civil de Cataluña, libro cuarto relativo a las sucesiones</w:t>
      </w:r>
    </w:p>
    <w:p w:rsidR="00DD47EB" w:rsidRDefault="00DD47EB" w:rsidP="00DD47EB">
      <w:pPr>
        <w:pStyle w:val="SangriaFrancesaArticulo"/>
      </w:pPr>
      <w:r w:rsidRPr="00DD47EB">
        <w:rPr>
          <w:rStyle w:val="TextoNormalNegritaCaracter"/>
        </w:rPr>
        <w:t>Artículo 451.12.</w:t>
      </w:r>
      <w:r w:rsidRPr="00DD47EB">
        <w:rPr>
          <w:rStyle w:val="TextoNormalCaracter"/>
        </w:rPr>
        <w:t>-</w:t>
      </w:r>
      <w:r>
        <w:t xml:space="preserve"> Auto </w:t>
      </w:r>
      <w:hyperlink w:anchor="AUTO_2015_76" w:history="1">
        <w:r w:rsidRPr="00DD47EB">
          <w:rPr>
            <w:rStyle w:val="TextoNormalCaracter"/>
          </w:rPr>
          <w:t>76/2015</w:t>
        </w:r>
      </w:hyperlink>
      <w:r>
        <w:t>, ff. 1, 4.</w:t>
      </w:r>
    </w:p>
    <w:p w:rsidR="00DD47EB" w:rsidRDefault="00DD47EB" w:rsidP="00DD47EB">
      <w:pPr>
        <w:pStyle w:val="SangriaFrancesaArticulo"/>
      </w:pPr>
      <w:r w:rsidRPr="00DD47EB">
        <w:rPr>
          <w:rStyle w:val="TextoNormalNegritaCaracter"/>
        </w:rPr>
        <w:t>Artículo 451-11.</w:t>
      </w:r>
      <w:r w:rsidRPr="00DD47EB">
        <w:rPr>
          <w:rStyle w:val="TextoNormalCaracter"/>
        </w:rPr>
        <w:t>-</w:t>
      </w:r>
      <w:r>
        <w:t xml:space="preserve"> Auto </w:t>
      </w:r>
      <w:hyperlink w:anchor="AUTO_2015_76" w:history="1">
        <w:r w:rsidRPr="00DD47EB">
          <w:rPr>
            <w:rStyle w:val="TextoNormalCaracter"/>
          </w:rPr>
          <w:t>76/2015</w:t>
        </w:r>
      </w:hyperlink>
      <w:r>
        <w:t>, f. 1.</w:t>
      </w:r>
    </w:p>
    <w:p w:rsidR="00DD47EB" w:rsidRDefault="00DD47EB" w:rsidP="00DD47EB">
      <w:pPr>
        <w:pStyle w:val="SangriaFrancesaArticulo"/>
      </w:pPr>
      <w:r w:rsidRPr="00DD47EB">
        <w:rPr>
          <w:rStyle w:val="TextoNormalNegritaCaracter"/>
        </w:rPr>
        <w:t>Artículo 451-12 párrafo 1.</w:t>
      </w:r>
      <w:r w:rsidRPr="00DD47EB">
        <w:rPr>
          <w:rStyle w:val="TextoNormalCaracter"/>
        </w:rPr>
        <w:t>-</w:t>
      </w:r>
      <w:r>
        <w:t xml:space="preserve"> Auto </w:t>
      </w:r>
      <w:hyperlink w:anchor="AUTO_2015_76" w:history="1">
        <w:r w:rsidRPr="00DD47EB">
          <w:rPr>
            <w:rStyle w:val="TextoNormalCaracter"/>
          </w:rPr>
          <w:t>76/2015</w:t>
        </w:r>
      </w:hyperlink>
      <w:r>
        <w:t>, f. 3, VP.</w:t>
      </w:r>
    </w:p>
    <w:p w:rsidR="00DD47EB" w:rsidRDefault="00DD47EB" w:rsidP="00DD47EB">
      <w:pPr>
        <w:pStyle w:val="SangriaFrancesaArticulo"/>
      </w:pPr>
    </w:p>
    <w:p w:rsidR="00DD47EB" w:rsidRDefault="00DD47EB" w:rsidP="00DD47EB">
      <w:pPr>
        <w:pStyle w:val="TextoNormalNegritaCursivandice"/>
      </w:pPr>
      <w:r>
        <w:t>Ley del Parlamento de Cataluña 20/2009, de 4 de diciembre. Prevención y control ambiental de las actividades</w:t>
      </w:r>
    </w:p>
    <w:p w:rsidR="00DD47EB" w:rsidRDefault="00DD47EB" w:rsidP="00DD47EB">
      <w:pPr>
        <w:pStyle w:val="SangriaFrancesaArticulo"/>
      </w:pPr>
      <w:r w:rsidRPr="00DD47EB">
        <w:rPr>
          <w:rStyle w:val="TextoNormalNegritaCaracter"/>
        </w:rPr>
        <w:t>Anexo I.2 a) epígrafe 2.2</w:t>
      </w:r>
      <w:r>
        <w:t xml:space="preserve"> (redactado por la Ley del Parlamento de Cataluña 3/2015, de 11 de marzo)</w:t>
      </w:r>
      <w:r w:rsidRPr="00DD47EB">
        <w:rPr>
          <w:rStyle w:val="TextoNormalNegritaCaracter"/>
        </w:rPr>
        <w:t>.</w:t>
      </w:r>
      <w:r w:rsidRPr="00DD47EB">
        <w:rPr>
          <w:rStyle w:val="TextoNormalCaracter"/>
        </w:rPr>
        <w:t>-</w:t>
      </w:r>
      <w:r>
        <w:t xml:space="preserve"> Auto </w:t>
      </w:r>
      <w:hyperlink w:anchor="AUTO_2015_63" w:history="1">
        <w:r w:rsidRPr="00DD47EB">
          <w:rPr>
            <w:rStyle w:val="TextoNormalCaracter"/>
          </w:rPr>
          <w:t>63/2015</w:t>
        </w:r>
      </w:hyperlink>
      <w:r>
        <w:t>, f. 3.</w:t>
      </w:r>
    </w:p>
    <w:p w:rsidR="00DD47EB" w:rsidRDefault="00DD47EB" w:rsidP="00DD47EB">
      <w:pPr>
        <w:pStyle w:val="SangriaFrancesaArticulo"/>
      </w:pPr>
    </w:p>
    <w:p w:rsidR="00DD47EB" w:rsidRDefault="00DD47EB" w:rsidP="00DD47EB">
      <w:pPr>
        <w:pStyle w:val="TextoNormalNegritaCursivandice"/>
      </w:pPr>
      <w:r>
        <w:t>Decreto-ley de la Generalitat de Cataluña 1/2009, de 22 de diciembre. Ordenación de los equipamientos comerciales</w:t>
      </w:r>
    </w:p>
    <w:p w:rsidR="00DD47EB" w:rsidRDefault="00DD47EB" w:rsidP="00DD47EB">
      <w:pPr>
        <w:pStyle w:val="SangriaFrancesaArticulo"/>
      </w:pPr>
      <w:r w:rsidRPr="00DD47EB">
        <w:rPr>
          <w:rStyle w:val="TextoNormalNegritaCaracter"/>
        </w:rPr>
        <w:t>Artículo 9.3 b).</w:t>
      </w:r>
      <w:r w:rsidRPr="00DD47EB">
        <w:rPr>
          <w:rStyle w:val="TextoNormalCaracter"/>
        </w:rPr>
        <w:t>-</w:t>
      </w:r>
      <w:r>
        <w:t xml:space="preserve"> Auto </w:t>
      </w:r>
      <w:hyperlink w:anchor="AUTO_2015_63" w:history="1">
        <w:r w:rsidRPr="00DD47EB">
          <w:rPr>
            <w:rStyle w:val="TextoNormalCaracter"/>
          </w:rPr>
          <w:t>63/2015</w:t>
        </w:r>
      </w:hyperlink>
      <w:r>
        <w:t>, f. 4.</w:t>
      </w:r>
    </w:p>
    <w:p w:rsidR="00DD47EB" w:rsidRDefault="00DD47EB" w:rsidP="00DD47EB">
      <w:pPr>
        <w:pStyle w:val="SangriaFrancesaArticulo"/>
      </w:pPr>
      <w:r w:rsidRPr="00DD47EB">
        <w:rPr>
          <w:rStyle w:val="TextoNormalNegritaCaracter"/>
        </w:rPr>
        <w:t>Artículo 9.4 párrafo 2.</w:t>
      </w:r>
      <w:r w:rsidRPr="00DD47EB">
        <w:rPr>
          <w:rStyle w:val="TextoNormalCaracter"/>
        </w:rPr>
        <w:t>-</w:t>
      </w:r>
      <w:r>
        <w:t xml:space="preserve"> Auto </w:t>
      </w:r>
      <w:hyperlink w:anchor="AUTO_2015_63" w:history="1">
        <w:r w:rsidRPr="00DD47EB">
          <w:rPr>
            <w:rStyle w:val="TextoNormalCaracter"/>
          </w:rPr>
          <w:t>63/2015</w:t>
        </w:r>
      </w:hyperlink>
      <w:r>
        <w:t>, f. 4.</w:t>
      </w:r>
    </w:p>
    <w:p w:rsidR="00DD47EB" w:rsidRDefault="00DD47EB" w:rsidP="00DD47EB">
      <w:pPr>
        <w:pStyle w:val="SangriaFrancesaArticulo"/>
      </w:pPr>
    </w:p>
    <w:p w:rsidR="00DD47EB" w:rsidRDefault="00DD47EB" w:rsidP="00DD47EB">
      <w:pPr>
        <w:pStyle w:val="TextoNormalNegritaCursivandice"/>
      </w:pPr>
      <w:r>
        <w:t>Ley del Parlamento de Cataluña 24/2009, de 23 de diciembre. Síndic de Greuges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6" w:history="1">
        <w:r w:rsidRPr="00DD47EB">
          <w:rPr>
            <w:rStyle w:val="TextoNormalCaracter"/>
          </w:rPr>
          <w:t>46/2015</w:t>
        </w:r>
      </w:hyperlink>
      <w:r>
        <w:t>, ff. 1, 4.</w:t>
      </w:r>
    </w:p>
    <w:p w:rsidR="00DD47EB" w:rsidRDefault="00DD47EB" w:rsidP="00DD47EB">
      <w:pPr>
        <w:pStyle w:val="SangriaFrancesaArticulo"/>
      </w:pPr>
      <w:r w:rsidRPr="00DD47EB">
        <w:rPr>
          <w:rStyle w:val="TextoNormalNegritaCaracter"/>
        </w:rPr>
        <w:t>Título VIII.</w:t>
      </w:r>
      <w:r w:rsidRPr="00DD47EB">
        <w:rPr>
          <w:rStyle w:val="TextoNormalCaracter"/>
        </w:rPr>
        <w:t>-</w:t>
      </w:r>
      <w:r>
        <w:t xml:space="preserve"> Sentencia </w:t>
      </w:r>
      <w:hyperlink w:anchor="SENTENCIA_2015_46" w:history="1">
        <w:r w:rsidRPr="00DD47EB">
          <w:rPr>
            <w:rStyle w:val="TextoNormalCaracter"/>
          </w:rPr>
          <w:t>46/2015</w:t>
        </w:r>
      </w:hyperlink>
      <w:r>
        <w:t>, ff. 1, 5.</w:t>
      </w:r>
    </w:p>
    <w:p w:rsidR="00DD47EB" w:rsidRDefault="00DD47EB" w:rsidP="00DD47EB">
      <w:pPr>
        <w:pStyle w:val="SangriaFrancesaArticulo"/>
      </w:pPr>
      <w:r w:rsidRPr="00DD47EB">
        <w:rPr>
          <w:rStyle w:val="TextoNormalNegritaCaracter"/>
        </w:rPr>
        <w:t>Título VIII, capítulo I.</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Título VIII, capítulo II.</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Título VIII, capítulo III.</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Artículo 1 b).</w:t>
      </w:r>
      <w:r w:rsidRPr="00DD47EB">
        <w:rPr>
          <w:rStyle w:val="TextoNormalCaracter"/>
        </w:rPr>
        <w:t>-</w:t>
      </w:r>
      <w:r>
        <w:t xml:space="preserve"> Sentencia </w:t>
      </w:r>
      <w:hyperlink w:anchor="SENTENCIA_2015_46" w:history="1">
        <w:r w:rsidRPr="00DD47EB">
          <w:rPr>
            <w:rStyle w:val="TextoNormalCaracter"/>
          </w:rPr>
          <w:t>46/2015</w:t>
        </w:r>
      </w:hyperlink>
      <w:r>
        <w:t>, ff. 1, 2, 4.</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46" w:history="1">
        <w:r w:rsidRPr="00DD47EB">
          <w:rPr>
            <w:rStyle w:val="TextoNormalCaracter"/>
          </w:rPr>
          <w:t>46/2015</w:t>
        </w:r>
      </w:hyperlink>
      <w:r>
        <w:t>, ff. 1 a 3.</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46" w:history="1">
        <w:r w:rsidRPr="00DD47EB">
          <w:rPr>
            <w:rStyle w:val="TextoNormalCaracter"/>
          </w:rPr>
          <w:t>46/2015</w:t>
        </w:r>
      </w:hyperlink>
      <w:r>
        <w:t>, f. 1.</w:t>
      </w:r>
    </w:p>
    <w:p w:rsidR="00DD47EB" w:rsidRDefault="00DD47EB" w:rsidP="00DD47EB">
      <w:pPr>
        <w:pStyle w:val="SangriaFrancesaArticulo"/>
      </w:pPr>
      <w:r w:rsidRPr="00DD47EB">
        <w:rPr>
          <w:rStyle w:val="TextoNormalNegritaCaracter"/>
        </w:rPr>
        <w:t>Artículo 26 b).</w:t>
      </w:r>
      <w:r w:rsidRPr="00DD47EB">
        <w:rPr>
          <w:rStyle w:val="TextoNormalCaracter"/>
        </w:rPr>
        <w:t>-</w:t>
      </w:r>
      <w:r>
        <w:t xml:space="preserve"> Sentencia </w:t>
      </w:r>
      <w:hyperlink w:anchor="SENTENCIA_2015_46" w:history="1">
        <w:r w:rsidRPr="00DD47EB">
          <w:rPr>
            <w:rStyle w:val="TextoNormalCaracter"/>
          </w:rPr>
          <w:t>46/2015</w:t>
        </w:r>
      </w:hyperlink>
      <w:r>
        <w:t>, f. 1.</w:t>
      </w:r>
    </w:p>
    <w:p w:rsidR="00DD47EB" w:rsidRDefault="00DD47EB" w:rsidP="00DD47EB">
      <w:pPr>
        <w:pStyle w:val="SangriaFrancesaArticulo"/>
      </w:pPr>
      <w:r w:rsidRPr="00DD47EB">
        <w:rPr>
          <w:rStyle w:val="TextoNormalNegritaCaracter"/>
        </w:rPr>
        <w:t>Artículo 26 b) expresión "la administración local".</w:t>
      </w:r>
      <w:r w:rsidRPr="00DD47EB">
        <w:rPr>
          <w:rStyle w:val="TextoNormalCaracter"/>
        </w:rPr>
        <w:t>-</w:t>
      </w:r>
      <w:r>
        <w:t xml:space="preserve"> Sentencia </w:t>
      </w:r>
      <w:hyperlink w:anchor="SENTENCIA_2015_46" w:history="1">
        <w:r w:rsidRPr="00DD47EB">
          <w:rPr>
            <w:rStyle w:val="TextoNormalCaracter"/>
          </w:rPr>
          <w:t>46/2015</w:t>
        </w:r>
      </w:hyperlink>
      <w:r>
        <w:t>, ff. 1 a 3.</w:t>
      </w:r>
    </w:p>
    <w:p w:rsidR="00DD47EB" w:rsidRDefault="00DD47EB" w:rsidP="00DD47EB">
      <w:pPr>
        <w:pStyle w:val="SangriaFrancesaArticulo"/>
      </w:pPr>
      <w:r w:rsidRPr="00DD47EB">
        <w:rPr>
          <w:rStyle w:val="TextoNormalNegritaCaracter"/>
        </w:rPr>
        <w:t>Artículo 26 c).</w:t>
      </w:r>
      <w:r w:rsidRPr="00DD47EB">
        <w:rPr>
          <w:rStyle w:val="TextoNormalCaracter"/>
        </w:rPr>
        <w:t>-</w:t>
      </w:r>
      <w:r>
        <w:t xml:space="preserve"> Sentencia </w:t>
      </w:r>
      <w:hyperlink w:anchor="SENTENCIA_2015_46" w:history="1">
        <w:r w:rsidRPr="00DD47EB">
          <w:rPr>
            <w:rStyle w:val="TextoNormalCaracter"/>
          </w:rPr>
          <w:t>46/2015</w:t>
        </w:r>
      </w:hyperlink>
      <w:r>
        <w:t>, f. 1.</w:t>
      </w:r>
    </w:p>
    <w:p w:rsidR="00DD47EB" w:rsidRDefault="00DD47EB" w:rsidP="00DD47EB">
      <w:pPr>
        <w:pStyle w:val="SangriaFrancesaArticulo"/>
      </w:pPr>
      <w:r w:rsidRPr="00DD47EB">
        <w:rPr>
          <w:rStyle w:val="TextoNormalNegritaCaracter"/>
        </w:rPr>
        <w:t>Artículo 26 c) expresión "o a la administración local".</w:t>
      </w:r>
      <w:r w:rsidRPr="00DD47EB">
        <w:rPr>
          <w:rStyle w:val="TextoNormalCaracter"/>
        </w:rPr>
        <w:t>-</w:t>
      </w:r>
      <w:r>
        <w:t xml:space="preserve"> Sentencia </w:t>
      </w:r>
      <w:hyperlink w:anchor="SENTENCIA_2015_46" w:history="1">
        <w:r w:rsidRPr="00DD47EB">
          <w:rPr>
            <w:rStyle w:val="TextoNormalCaracter"/>
          </w:rPr>
          <w:t>46/2015</w:t>
        </w:r>
      </w:hyperlink>
      <w:r>
        <w:t>, ff. 1 a 3.</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Artículo 64.1.</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68.1.</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68.2.</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Artículos 68 a 77.</w:t>
      </w:r>
      <w:r w:rsidRPr="00DD47EB">
        <w:rPr>
          <w:rStyle w:val="TextoNormalCaracter"/>
        </w:rPr>
        <w:t>-</w:t>
      </w:r>
      <w:r>
        <w:t xml:space="preserve"> Sentencia </w:t>
      </w:r>
      <w:hyperlink w:anchor="SENTENCIA_2015_46" w:history="1">
        <w:r w:rsidRPr="00DD47EB">
          <w:rPr>
            <w:rStyle w:val="TextoNormalCaracter"/>
          </w:rPr>
          <w:t>46/2015</w:t>
        </w:r>
      </w:hyperlink>
      <w:r>
        <w:t>, ff. 1, 2, 4.</w:t>
      </w:r>
    </w:p>
    <w:p w:rsidR="00DD47EB" w:rsidRDefault="00DD47EB" w:rsidP="00DD47EB">
      <w:pPr>
        <w:pStyle w:val="SangriaFrancesaArticulo"/>
      </w:pPr>
      <w:r w:rsidRPr="00DD47EB">
        <w:rPr>
          <w:rStyle w:val="TextoNormalNegritaCaracter"/>
        </w:rPr>
        <w:t>Artículo 69.</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69.1.</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69.2.</w:t>
      </w:r>
      <w:r w:rsidRPr="00DD47EB">
        <w:rPr>
          <w:rStyle w:val="TextoNormalCaracter"/>
        </w:rPr>
        <w:t>-</w:t>
      </w:r>
      <w:r>
        <w:t xml:space="preserve"> Sentencia </w:t>
      </w:r>
      <w:hyperlink w:anchor="SENTENCIA_2015_46" w:history="1">
        <w:r w:rsidRPr="00DD47EB">
          <w:rPr>
            <w:rStyle w:val="TextoNormalCaracter"/>
          </w:rPr>
          <w:t>46/2015</w:t>
        </w:r>
      </w:hyperlink>
      <w:r>
        <w:t>, ff. 4, 6.</w:t>
      </w:r>
    </w:p>
    <w:p w:rsidR="00DD47EB" w:rsidRDefault="00DD47EB" w:rsidP="00DD47EB">
      <w:pPr>
        <w:pStyle w:val="SangriaFrancesaArticulo"/>
      </w:pPr>
      <w:r w:rsidRPr="00DD47EB">
        <w:rPr>
          <w:rStyle w:val="TextoNormalNegritaCaracter"/>
        </w:rPr>
        <w:t>Artículo 70.</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Artículo 71.</w:t>
      </w:r>
      <w:r w:rsidRPr="00DD47EB">
        <w:rPr>
          <w:rStyle w:val="TextoNormalCaracter"/>
        </w:rPr>
        <w:t>-</w:t>
      </w:r>
      <w:r>
        <w:t xml:space="preserve"> Sentencia </w:t>
      </w:r>
      <w:hyperlink w:anchor="SENTENCIA_2015_46" w:history="1">
        <w:r w:rsidRPr="00DD47EB">
          <w:rPr>
            <w:rStyle w:val="TextoNormalCaracter"/>
          </w:rPr>
          <w:t>46/2015</w:t>
        </w:r>
      </w:hyperlink>
      <w:r>
        <w:t>, ff. 5, 6.</w:t>
      </w:r>
    </w:p>
    <w:p w:rsidR="00DD47EB" w:rsidRDefault="00DD47EB" w:rsidP="00DD47EB">
      <w:pPr>
        <w:pStyle w:val="SangriaFrancesaArticulo"/>
      </w:pPr>
      <w:r w:rsidRPr="00DD47EB">
        <w:rPr>
          <w:rStyle w:val="TextoNormalNegritaCaracter"/>
        </w:rPr>
        <w:t>Artículo 71 a).</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71 b).</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71 c).</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71 d).</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72.1.</w:t>
      </w:r>
      <w:r w:rsidRPr="00DD47EB">
        <w:rPr>
          <w:rStyle w:val="TextoNormalCaracter"/>
        </w:rPr>
        <w:t>-</w:t>
      </w:r>
      <w:r>
        <w:t xml:space="preserve"> Sentencia </w:t>
      </w:r>
      <w:hyperlink w:anchor="SENTENCIA_2015_46" w:history="1">
        <w:r w:rsidRPr="00DD47EB">
          <w:rPr>
            <w:rStyle w:val="TextoNormalCaracter"/>
          </w:rPr>
          <w:t>46/2015</w:t>
        </w:r>
      </w:hyperlink>
      <w:r>
        <w:t>, ff. 5, 6.</w:t>
      </w:r>
    </w:p>
    <w:p w:rsidR="00DD47EB" w:rsidRDefault="00DD47EB" w:rsidP="00DD47EB">
      <w:pPr>
        <w:pStyle w:val="SangriaFrancesaArticulo"/>
      </w:pPr>
      <w:r w:rsidRPr="00DD47EB">
        <w:rPr>
          <w:rStyle w:val="TextoNormalNegritaCaracter"/>
        </w:rPr>
        <w:t>Artículo 72.2.</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Artículo 73.</w:t>
      </w:r>
      <w:r w:rsidRPr="00DD47EB">
        <w:rPr>
          <w:rStyle w:val="TextoNormalCaracter"/>
        </w:rPr>
        <w:t>-</w:t>
      </w:r>
      <w:r>
        <w:t xml:space="preserve"> Sentencia </w:t>
      </w:r>
      <w:hyperlink w:anchor="SENTENCIA_2015_46" w:history="1">
        <w:r w:rsidRPr="00DD47EB">
          <w:rPr>
            <w:rStyle w:val="TextoNormalCaracter"/>
          </w:rPr>
          <w:t>46/2015</w:t>
        </w:r>
      </w:hyperlink>
      <w:r>
        <w:t>, f. 5.</w:t>
      </w:r>
    </w:p>
    <w:p w:rsidR="00DD47EB" w:rsidRDefault="00DD47EB" w:rsidP="00DD47EB">
      <w:pPr>
        <w:pStyle w:val="SangriaFrancesaArticulo"/>
      </w:pPr>
      <w:r w:rsidRPr="00DD47EB">
        <w:rPr>
          <w:rStyle w:val="TextoNormalNegritaCaracter"/>
        </w:rPr>
        <w:t>Artículo 73.1.</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73.2.</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74.</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75.</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76.</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76.1.</w:t>
      </w:r>
      <w:r w:rsidRPr="00DD47EB">
        <w:rPr>
          <w:rStyle w:val="TextoNormalCaracter"/>
        </w:rPr>
        <w:t>-</w:t>
      </w:r>
      <w:r>
        <w:t xml:space="preserve"> Sentencia </w:t>
      </w:r>
      <w:hyperlink w:anchor="SENTENCIA_2015_46" w:history="1">
        <w:r w:rsidRPr="00DD47EB">
          <w:rPr>
            <w:rStyle w:val="TextoNormalCaracter"/>
          </w:rPr>
          <w:t>46/2015</w:t>
        </w:r>
      </w:hyperlink>
      <w:r>
        <w:t>, ff. 5, 6.</w:t>
      </w:r>
    </w:p>
    <w:p w:rsidR="00DD47EB" w:rsidRDefault="00DD47EB" w:rsidP="00DD47EB">
      <w:pPr>
        <w:pStyle w:val="SangriaFrancesaArticulo"/>
      </w:pPr>
      <w:r w:rsidRPr="00DD47EB">
        <w:rPr>
          <w:rStyle w:val="TextoNormalNegritaCaracter"/>
        </w:rPr>
        <w:t>Artículo 77.</w:t>
      </w:r>
      <w:r w:rsidRPr="00DD47EB">
        <w:rPr>
          <w:rStyle w:val="TextoNormalCaracter"/>
        </w:rPr>
        <w:t>-</w:t>
      </w:r>
      <w:r>
        <w:t xml:space="preserve"> Sentencia </w:t>
      </w:r>
      <w:hyperlink w:anchor="SENTENCIA_2015_46" w:history="1">
        <w:r w:rsidRPr="00DD47EB">
          <w:rPr>
            <w:rStyle w:val="TextoNormalCaracter"/>
          </w:rPr>
          <w:t>46/2015</w:t>
        </w:r>
      </w:hyperlink>
      <w:r>
        <w:t>, f. 6.</w:t>
      </w:r>
    </w:p>
    <w:p w:rsidR="00DD47EB" w:rsidRDefault="00DD47EB" w:rsidP="00DD47EB">
      <w:pPr>
        <w:pStyle w:val="SangriaFrancesaArticulo"/>
      </w:pPr>
      <w:r w:rsidRPr="00DD47EB">
        <w:rPr>
          <w:rStyle w:val="TextoNormalNegritaCaracter"/>
        </w:rPr>
        <w:t>Artículo 77.1.</w:t>
      </w:r>
      <w:r w:rsidRPr="00DD47EB">
        <w:rPr>
          <w:rStyle w:val="TextoNormalCaracter"/>
        </w:rPr>
        <w:t>-</w:t>
      </w:r>
      <w:r>
        <w:t xml:space="preserve"> Sentencia </w:t>
      </w:r>
      <w:hyperlink w:anchor="SENTENCIA_2015_46" w:history="1">
        <w:r w:rsidRPr="00DD47EB">
          <w:rPr>
            <w:rStyle w:val="TextoNormalCaracter"/>
          </w:rPr>
          <w:t>46/2015</w:t>
        </w:r>
      </w:hyperlink>
      <w:r>
        <w:t>, ff. 5, 6.</w:t>
      </w:r>
    </w:p>
    <w:p w:rsidR="00DD47EB" w:rsidRDefault="00DD47EB" w:rsidP="00DD47EB">
      <w:pPr>
        <w:pStyle w:val="SangriaFrancesaArticulo"/>
      </w:pPr>
      <w:r w:rsidRPr="00DD47EB">
        <w:rPr>
          <w:rStyle w:val="TextoNormalNegritaCaracter"/>
        </w:rPr>
        <w:t>Artículo 77.5 c).</w:t>
      </w:r>
      <w:r w:rsidRPr="00DD47EB">
        <w:rPr>
          <w:rStyle w:val="TextoNormalCaracter"/>
        </w:rPr>
        <w:t>-</w:t>
      </w:r>
      <w:r>
        <w:t xml:space="preserve"> Sentencia </w:t>
      </w:r>
      <w:hyperlink w:anchor="SENTENCIA_2015_46" w:history="1">
        <w:r w:rsidRPr="00DD47EB">
          <w:rPr>
            <w:rStyle w:val="TextoNormalCaracter"/>
          </w:rPr>
          <w:t>46/2015</w:t>
        </w:r>
      </w:hyperlink>
      <w:r>
        <w:t>, ff. 4, 6.</w:t>
      </w:r>
    </w:p>
    <w:p w:rsidR="00DD47EB" w:rsidRDefault="00DD47EB" w:rsidP="00DD47EB">
      <w:pPr>
        <w:pStyle w:val="SangriaFrancesaArticulo"/>
      </w:pPr>
      <w:r w:rsidRPr="00DD47EB">
        <w:rPr>
          <w:rStyle w:val="TextoNormalNegritaCaracter"/>
        </w:rPr>
        <w:t>Artículo 78.</w:t>
      </w:r>
      <w:r w:rsidRPr="00DD47EB">
        <w:rPr>
          <w:rStyle w:val="TextoNormalCaracter"/>
        </w:rPr>
        <w:t>-</w:t>
      </w:r>
      <w:r>
        <w:t xml:space="preserve"> Sentencia </w:t>
      </w:r>
      <w:hyperlink w:anchor="SENTENCIA_2015_46" w:history="1">
        <w:r w:rsidRPr="00DD47EB">
          <w:rPr>
            <w:rStyle w:val="TextoNormalCaracter"/>
          </w:rPr>
          <w:t>46/2015</w:t>
        </w:r>
      </w:hyperlink>
      <w:r>
        <w:t>, ff. 1 a 3.</w:t>
      </w:r>
    </w:p>
    <w:p w:rsidR="00DD47EB" w:rsidRDefault="00DD47EB" w:rsidP="00DD47EB">
      <w:pPr>
        <w:pStyle w:val="SangriaFrancesaArticulo"/>
      </w:pPr>
    </w:p>
    <w:p w:rsidR="00DD47EB" w:rsidRDefault="00DD47EB" w:rsidP="00DD47EB">
      <w:pPr>
        <w:pStyle w:val="TextoNormalNegritaCursivandice"/>
      </w:pPr>
      <w:r>
        <w:t>Ley del Parlamento de Cataluña 4/2010, de 17 de marzo.  Consultas populares por vía de referéndum</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53" w:history="1">
        <w:r w:rsidRPr="00DD47EB">
          <w:rPr>
            <w:rStyle w:val="TextoNormalCaracter"/>
          </w:rPr>
          <w:t>53/2015</w:t>
        </w:r>
      </w:hyperlink>
      <w:r>
        <w:t>, f. 3.</w:t>
      </w:r>
    </w:p>
    <w:p w:rsidR="00DD47EB" w:rsidRDefault="00DD47EB" w:rsidP="00DD47EB">
      <w:pPr>
        <w:pStyle w:val="SangriaFrancesaArticulo"/>
      </w:pPr>
    </w:p>
    <w:p w:rsidR="00DD47EB" w:rsidRDefault="00DD47EB" w:rsidP="00DD47EB">
      <w:pPr>
        <w:pStyle w:val="TextoNormalNegritaCursivandice"/>
      </w:pPr>
      <w:r>
        <w:t>Ley del Parlamento de Cataluña 22/2010, de 20 de julio. Código de consumo de Cataluña</w:t>
      </w:r>
    </w:p>
    <w:p w:rsidR="00DD47EB" w:rsidRDefault="00DD47EB" w:rsidP="00DD47EB">
      <w:pPr>
        <w:pStyle w:val="SangriaFrancesaArticulo"/>
      </w:pPr>
      <w:r w:rsidRPr="00DD47EB">
        <w:rPr>
          <w:rStyle w:val="TextoNormalNegritaCaracter"/>
        </w:rPr>
        <w:t>Artículo 111.2</w:t>
      </w:r>
      <w:r>
        <w:t xml:space="preserve"> (redactado por el Decreto-ley de la Generalidad de Cataluña 6/2013, de 23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111.2 v)</w:t>
      </w:r>
      <w:r>
        <w:t xml:space="preserve"> (redactado por el Decreto-ley de la Generalitat de Cataluña 6/2013, de 23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111.2 v)</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111.2 w)</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w:t>
      </w:r>
      <w:r>
        <w:t xml:space="preserve"> (redactado por el Decreto-ley de la Generalidad de Cataluña 6/2013, de 23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 apartado 6</w:t>
      </w:r>
      <w:r>
        <w:t xml:space="preserve"> (redactado por el Decreto-ley de la Generalidad de Cataluña 6/2013, de 23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252.4.6</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252.4.7</w:t>
      </w:r>
      <w:r>
        <w:t xml:space="preserve"> (redactado por el Decreto-ley de la Generalidad de Cataluña 6/2013, de 23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252.4.7</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252.4.8</w:t>
      </w:r>
      <w:r>
        <w:t xml:space="preserve"> (redactado por el Decreto-ley de la Generalidad de Cataluña 6/2013, de 23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252.4.8</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252.4.9</w:t>
      </w:r>
      <w:r>
        <w:t xml:space="preserve"> (redactado por el Decreto-ley de la Generalidad de Cataluña 6/2013, de 23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252.4.9</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252.4.10</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p>
    <w:p w:rsidR="00DD47EB" w:rsidRDefault="00DD47EB" w:rsidP="00DD47EB">
      <w:pPr>
        <w:pStyle w:val="TextoNormalNegritaCursivandice"/>
      </w:pPr>
      <w:r>
        <w:t>Decreto Legislativo de la Generalidad de Cataluña 1/2010, de 3 de agosto. Texto refundido de la Ley de urbanismo de Cataluña 2010</w:t>
      </w:r>
    </w:p>
    <w:p w:rsidR="00DD47EB" w:rsidRDefault="00DD47EB" w:rsidP="00DD47EB">
      <w:pPr>
        <w:pStyle w:val="SangriaFrancesaArticulo"/>
      </w:pPr>
      <w:r w:rsidRPr="00DD47EB">
        <w:rPr>
          <w:rStyle w:val="TextoNormalNegritaCaracter"/>
        </w:rPr>
        <w:t>Artículo 47.10.</w:t>
      </w:r>
      <w:r w:rsidRPr="00DD47EB">
        <w:rPr>
          <w:rStyle w:val="TextoNormalCaracter"/>
        </w:rPr>
        <w:t>-</w:t>
      </w:r>
      <w:r>
        <w:t xml:space="preserve"> Auto </w:t>
      </w:r>
      <w:hyperlink w:anchor="AUTO_2015_63" w:history="1">
        <w:r w:rsidRPr="00DD47EB">
          <w:rPr>
            <w:rStyle w:val="TextoNormalCaracter"/>
          </w:rPr>
          <w:t>63/2015</w:t>
        </w:r>
      </w:hyperlink>
      <w:r>
        <w:t>, f. 3.</w:t>
      </w:r>
    </w:p>
    <w:p w:rsidR="00DD47EB" w:rsidRDefault="00DD47EB" w:rsidP="00DD47EB">
      <w:pPr>
        <w:pStyle w:val="SangriaFrancesaArticulo"/>
      </w:pPr>
      <w:r w:rsidRPr="00DD47EB">
        <w:rPr>
          <w:rStyle w:val="TextoNormalNegritaCaracter"/>
        </w:rPr>
        <w:t>Artículo 47.10</w:t>
      </w:r>
      <w:r>
        <w:t xml:space="preserve"> (redactado por la Ley del Parlamento de Cataluña 2/2014, de 27 de enero)</w:t>
      </w:r>
      <w:r w:rsidRPr="00DD47EB">
        <w:rPr>
          <w:rStyle w:val="TextoNormalNegritaCaracter"/>
        </w:rPr>
        <w:t>.</w:t>
      </w:r>
      <w:r w:rsidRPr="00DD47EB">
        <w:rPr>
          <w:rStyle w:val="TextoNormalCaracter"/>
        </w:rPr>
        <w:t>-</w:t>
      </w:r>
      <w:r>
        <w:t xml:space="preserve"> Auto </w:t>
      </w:r>
      <w:hyperlink w:anchor="AUTO_2015_63" w:history="1">
        <w:r w:rsidRPr="00DD47EB">
          <w:rPr>
            <w:rStyle w:val="TextoNormalCaracter"/>
          </w:rPr>
          <w:t>63/2015</w:t>
        </w:r>
      </w:hyperlink>
      <w:r>
        <w:t>, ff. 2, 3.</w:t>
      </w:r>
    </w:p>
    <w:p w:rsidR="00DD47EB" w:rsidRDefault="00DD47EB" w:rsidP="00DD47EB">
      <w:pPr>
        <w:pStyle w:val="SangriaFrancesaArticulo"/>
      </w:pPr>
    </w:p>
    <w:p w:rsidR="00DD47EB" w:rsidRDefault="00DD47EB" w:rsidP="00DD47EB">
      <w:pPr>
        <w:pStyle w:val="TextoNormalNegritaCursivandice"/>
      </w:pPr>
      <w:r>
        <w:t>Decreto-ley de la Generalidad de Cataluña 4/2012, de 30 de octubre. Medidas en materia de horarios comerciales y determinadas actividades de promoción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7" w:history="1">
        <w:r w:rsidRPr="00DD47EB">
          <w:rPr>
            <w:rStyle w:val="TextoNormalCaracter"/>
          </w:rPr>
          <w:t>67/2015</w:t>
        </w:r>
      </w:hyperlink>
      <w:r>
        <w:t>, ff. 2, 3, VP.</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Auto </w:t>
      </w:r>
      <w:hyperlink w:anchor="AUTO_2015_67" w:history="1">
        <w:r w:rsidRPr="00DD47EB">
          <w:rPr>
            <w:rStyle w:val="TextoNormalCaracter"/>
          </w:rPr>
          <w:t>67/2015</w:t>
        </w:r>
      </w:hyperlink>
      <w:r>
        <w:t>, f. 2.</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Auto </w:t>
      </w:r>
      <w:hyperlink w:anchor="AUTO_2015_67" w:history="1">
        <w:r w:rsidRPr="00DD47EB">
          <w:rPr>
            <w:rStyle w:val="TextoNormalCaracter"/>
          </w:rPr>
          <w:t>67/2015</w:t>
        </w:r>
      </w:hyperlink>
      <w:r>
        <w:t>, f. 2.</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Auto </w:t>
      </w:r>
      <w:hyperlink w:anchor="AUTO_2015_67" w:history="1">
        <w:r w:rsidRPr="00DD47EB">
          <w:rPr>
            <w:rStyle w:val="TextoNormalCaracter"/>
          </w:rPr>
          <w:t>67/2015</w:t>
        </w:r>
      </w:hyperlink>
      <w:r>
        <w:t>, f. 2.</w:t>
      </w:r>
    </w:p>
    <w:p w:rsidR="00DD47EB" w:rsidRDefault="00DD47EB" w:rsidP="00DD47EB">
      <w:pPr>
        <w:pStyle w:val="SangriaFrancesaArticulo"/>
      </w:pPr>
    </w:p>
    <w:p w:rsidR="00DD47EB" w:rsidRDefault="00DD47EB" w:rsidP="00DD47EB">
      <w:pPr>
        <w:pStyle w:val="TextoNormalNegritaCursivandice"/>
      </w:pPr>
      <w:r>
        <w:t>Decreto-ley de la Generalitat de Cataluña 5/2012, de 18 de diciembre. Impuesto sobre los depósitos en las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26" w:history="1">
        <w:r w:rsidRPr="00DD47EB">
          <w:rPr>
            <w:rStyle w:val="TextoNormalCaracter"/>
          </w:rPr>
          <w:t>26/2015</w:t>
        </w:r>
      </w:hyperlink>
      <w:r>
        <w:t xml:space="preserve">, VP; </w:t>
      </w:r>
      <w:hyperlink w:anchor="SENTENCIA_2015_30" w:history="1">
        <w:r w:rsidRPr="00DD47EB">
          <w:rPr>
            <w:rStyle w:val="TextoNormalCaracter"/>
          </w:rPr>
          <w:t>30/2015</w:t>
        </w:r>
      </w:hyperlink>
      <w:r>
        <w:t xml:space="preserve">, ff. 2, 4, VP; </w:t>
      </w:r>
      <w:hyperlink w:anchor="SENTENCIA_2015_102" w:history="1">
        <w:r w:rsidRPr="00DD47EB">
          <w:rPr>
            <w:rStyle w:val="TextoNormalCaracter"/>
          </w:rPr>
          <w:t>102/2015</w:t>
        </w:r>
      </w:hyperlink>
      <w:r>
        <w:t xml:space="preserve">, f. 2; </w:t>
      </w:r>
      <w:hyperlink w:anchor="SENTENCIA_2015_107" w:history="1">
        <w:r w:rsidRPr="00DD47EB">
          <w:rPr>
            <w:rStyle w:val="TextoNormalCaracter"/>
          </w:rPr>
          <w:t>107/2015</w:t>
        </w:r>
      </w:hyperlink>
      <w:r>
        <w:t xml:space="preserve">, ff. 1 a 3;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107" w:history="1">
        <w:r w:rsidRPr="00DD47EB">
          <w:rPr>
            <w:rStyle w:val="TextoNormalCaracter"/>
          </w:rPr>
          <w:t>107/2015</w:t>
        </w:r>
      </w:hyperlink>
      <w:r>
        <w:t>, f. 1.</w:t>
      </w:r>
    </w:p>
    <w:p w:rsidR="00DD47EB" w:rsidRDefault="00DD47EB" w:rsidP="00DD47EB">
      <w:pPr>
        <w:pStyle w:val="SangriaFrancesaArticulo"/>
      </w:pPr>
    </w:p>
    <w:p w:rsidR="00DD47EB" w:rsidRDefault="00DD47EB" w:rsidP="00DD47EB">
      <w:pPr>
        <w:pStyle w:val="TextoNormalNegritaCursivandice"/>
      </w:pPr>
      <w:r>
        <w:t>Decreto-ley de la Generalitat de Cataluña 6/2013, de 23 de diciembre. Modifica la Ley 22/2010, de 20 de julio, del Código de consumo de Cataluña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1</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2</w:t>
      </w:r>
      <w:r>
        <w:t xml:space="preserve"> (redactado por la Ley del Parlamento de Cataluña 20/2014, de 29 de diciembre)</w:t>
      </w:r>
      <w:r w:rsidRPr="00DD47EB">
        <w:rPr>
          <w:rStyle w:val="TextoNormalNegritaCaracter"/>
        </w:rPr>
        <w:t>.</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Disposición transitoria.</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p>
    <w:p w:rsidR="00DD47EB" w:rsidRDefault="00DD47EB" w:rsidP="00DD47EB">
      <w:pPr>
        <w:pStyle w:val="TextoNormalNegritaCursivandice"/>
      </w:pPr>
      <w:r>
        <w:t>Ley del Parlamento de Cataluña 2/2014, de 27 de enero. Medidas fiscales, administrativas, financieras y del sector público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3" w:history="1">
        <w:r w:rsidRPr="00DD47EB">
          <w:rPr>
            <w:rStyle w:val="TextoNormalCaracter"/>
          </w:rPr>
          <w:t>63/2015</w:t>
        </w:r>
      </w:hyperlink>
      <w:r>
        <w:t>, ff. 2, 3.</w:t>
      </w:r>
    </w:p>
    <w:p w:rsidR="00DD47EB" w:rsidRDefault="00DD47EB" w:rsidP="00DD47EB">
      <w:pPr>
        <w:pStyle w:val="SangriaFrancesaArticulo"/>
      </w:pPr>
      <w:r w:rsidRPr="00DD47EB">
        <w:rPr>
          <w:rStyle w:val="TextoNormalNegritaCaracter"/>
        </w:rPr>
        <w:t>Artículo 167.1.</w:t>
      </w:r>
      <w:r w:rsidRPr="00DD47EB">
        <w:rPr>
          <w:rStyle w:val="TextoNormalCaracter"/>
        </w:rPr>
        <w:t>-</w:t>
      </w:r>
      <w:r>
        <w:t xml:space="preserve"> Auto </w:t>
      </w:r>
      <w:hyperlink w:anchor="AUTO_2015_63" w:history="1">
        <w:r w:rsidRPr="00DD47EB">
          <w:rPr>
            <w:rStyle w:val="TextoNormalCaracter"/>
          </w:rPr>
          <w:t>63/2015</w:t>
        </w:r>
      </w:hyperlink>
      <w:r>
        <w:t>, ff. 1, 2.</w:t>
      </w:r>
    </w:p>
    <w:p w:rsidR="00DD47EB" w:rsidRDefault="00DD47EB" w:rsidP="00DD47EB">
      <w:pPr>
        <w:pStyle w:val="SangriaFrancesaArticulo"/>
      </w:pPr>
      <w:r w:rsidRPr="00DD47EB">
        <w:rPr>
          <w:rStyle w:val="TextoNormalNegritaCaracter"/>
        </w:rPr>
        <w:t>Disposición adicional vigesimoséptima.</w:t>
      </w:r>
      <w:r w:rsidRPr="00DD47EB">
        <w:rPr>
          <w:rStyle w:val="TextoNormalCaracter"/>
        </w:rPr>
        <w:t>-</w:t>
      </w:r>
      <w:r>
        <w:t xml:space="preserve"> Auto </w:t>
      </w:r>
      <w:hyperlink w:anchor="AUTO_2015_63" w:history="1">
        <w:r w:rsidRPr="00DD47EB">
          <w:rPr>
            <w:rStyle w:val="TextoNormalCaracter"/>
          </w:rPr>
          <w:t>63/2015</w:t>
        </w:r>
      </w:hyperlink>
      <w:r>
        <w:t>, f. 4.</w:t>
      </w:r>
    </w:p>
    <w:p w:rsidR="00DD47EB" w:rsidRDefault="00DD47EB" w:rsidP="00DD47EB">
      <w:pPr>
        <w:pStyle w:val="SangriaFrancesaArticulo"/>
      </w:pPr>
      <w:r w:rsidRPr="00DD47EB">
        <w:rPr>
          <w:rStyle w:val="TextoNormalNegritaCaracter"/>
        </w:rPr>
        <w:t>Disposición transitoria quinta.</w:t>
      </w:r>
      <w:r w:rsidRPr="00DD47EB">
        <w:rPr>
          <w:rStyle w:val="TextoNormalCaracter"/>
        </w:rPr>
        <w:t>-</w:t>
      </w:r>
      <w:r>
        <w:t xml:space="preserve"> Auto </w:t>
      </w:r>
      <w:hyperlink w:anchor="AUTO_2015_63" w:history="1">
        <w:r w:rsidRPr="00DD47EB">
          <w:rPr>
            <w:rStyle w:val="TextoNormalCaracter"/>
          </w:rPr>
          <w:t>63/2015</w:t>
        </w:r>
      </w:hyperlink>
      <w:r>
        <w:t>, f. 1.</w:t>
      </w:r>
    </w:p>
    <w:p w:rsidR="00DD47EB" w:rsidRDefault="00DD47EB" w:rsidP="00DD47EB">
      <w:pPr>
        <w:pStyle w:val="SangriaFrancesaArticulo"/>
      </w:pPr>
      <w:r w:rsidRPr="00DD47EB">
        <w:rPr>
          <w:rStyle w:val="TextoNormalNegritaCaracter"/>
        </w:rPr>
        <w:t>Disposición transitoria quinta, apartado 1.</w:t>
      </w:r>
      <w:r w:rsidRPr="00DD47EB">
        <w:rPr>
          <w:rStyle w:val="TextoNormalCaracter"/>
        </w:rPr>
        <w:t>-</w:t>
      </w:r>
      <w:r>
        <w:t xml:space="preserve"> Auto </w:t>
      </w:r>
      <w:hyperlink w:anchor="AUTO_2015_63" w:history="1">
        <w:r w:rsidRPr="00DD47EB">
          <w:rPr>
            <w:rStyle w:val="TextoNormalCaracter"/>
          </w:rPr>
          <w:t>63/2015</w:t>
        </w:r>
      </w:hyperlink>
      <w:r>
        <w:t>, F. 5.</w:t>
      </w:r>
    </w:p>
    <w:p w:rsidR="00DD47EB" w:rsidRDefault="00DD47EB" w:rsidP="00DD47EB">
      <w:pPr>
        <w:pStyle w:val="SangriaFrancesaArticulo"/>
      </w:pPr>
      <w:r w:rsidRPr="00DD47EB">
        <w:rPr>
          <w:rStyle w:val="TextoNormalNegritaCaracter"/>
        </w:rPr>
        <w:t>Disposición transitoria quinta, apartado 2.</w:t>
      </w:r>
      <w:r w:rsidRPr="00DD47EB">
        <w:rPr>
          <w:rStyle w:val="TextoNormalCaracter"/>
        </w:rPr>
        <w:t>-</w:t>
      </w:r>
      <w:r>
        <w:t xml:space="preserve"> Auto </w:t>
      </w:r>
      <w:hyperlink w:anchor="AUTO_2015_63" w:history="1">
        <w:r w:rsidRPr="00DD47EB">
          <w:rPr>
            <w:rStyle w:val="TextoNormalCaracter"/>
          </w:rPr>
          <w:t>63/2015</w:t>
        </w:r>
      </w:hyperlink>
      <w:r>
        <w:t>, f. 5.</w:t>
      </w:r>
    </w:p>
    <w:p w:rsidR="00DD47EB" w:rsidRDefault="00DD47EB" w:rsidP="00DD47EB">
      <w:pPr>
        <w:pStyle w:val="SangriaFrancesaArticulo"/>
      </w:pPr>
      <w:r w:rsidRPr="00DD47EB">
        <w:rPr>
          <w:rStyle w:val="TextoNormalNegritaCaracter"/>
        </w:rPr>
        <w:t>Disposición transitoria quinta, apartado 3.</w:t>
      </w:r>
      <w:r w:rsidRPr="00DD47EB">
        <w:rPr>
          <w:rStyle w:val="TextoNormalCaracter"/>
        </w:rPr>
        <w:t>-</w:t>
      </w:r>
      <w:r>
        <w:t xml:space="preserve"> Auto </w:t>
      </w:r>
      <w:hyperlink w:anchor="AUTO_2015_63" w:history="1">
        <w:r w:rsidRPr="00DD47EB">
          <w:rPr>
            <w:rStyle w:val="TextoNormalCaracter"/>
          </w:rPr>
          <w:t>63/2015</w:t>
        </w:r>
      </w:hyperlink>
      <w:r>
        <w:t>, f. 5.</w:t>
      </w:r>
    </w:p>
    <w:p w:rsidR="00DD47EB" w:rsidRDefault="00DD47EB" w:rsidP="00DD47EB">
      <w:pPr>
        <w:pStyle w:val="SangriaFrancesaArticulo"/>
      </w:pPr>
      <w:r w:rsidRPr="00DD47EB">
        <w:rPr>
          <w:rStyle w:val="TextoNormalNegritaCaracter"/>
        </w:rPr>
        <w:t>Disposición transitoria quinta, apartado 2</w:t>
      </w:r>
      <w:r>
        <w:t xml:space="preserve"> (redactada por la Ley del Parlamento de Cataluña 3/2015, de 11 de marzo)</w:t>
      </w:r>
      <w:r w:rsidRPr="00DD47EB">
        <w:rPr>
          <w:rStyle w:val="TextoNormalNegritaCaracter"/>
        </w:rPr>
        <w:t>.</w:t>
      </w:r>
      <w:r w:rsidRPr="00DD47EB">
        <w:rPr>
          <w:rStyle w:val="TextoNormalCaracter"/>
        </w:rPr>
        <w:t>-</w:t>
      </w:r>
      <w:r>
        <w:t xml:space="preserve"> Auto </w:t>
      </w:r>
      <w:hyperlink w:anchor="AUTO_2015_63" w:history="1">
        <w:r w:rsidRPr="00DD47EB">
          <w:rPr>
            <w:rStyle w:val="TextoNormalCaracter"/>
          </w:rPr>
          <w:t>63/2015</w:t>
        </w:r>
      </w:hyperlink>
      <w:r>
        <w:t>, f. 5.</w:t>
      </w:r>
    </w:p>
    <w:p w:rsidR="00DD47EB" w:rsidRDefault="00DD47EB" w:rsidP="00DD47EB">
      <w:pPr>
        <w:pStyle w:val="SangriaFrancesaArticulo"/>
      </w:pPr>
      <w:r w:rsidRPr="00DD47EB">
        <w:rPr>
          <w:rStyle w:val="TextoNormalNegritaCaracter"/>
        </w:rPr>
        <w:t>Disposición transitoria octava.</w:t>
      </w:r>
      <w:r w:rsidRPr="00DD47EB">
        <w:rPr>
          <w:rStyle w:val="TextoNormalCaracter"/>
        </w:rPr>
        <w:t>-</w:t>
      </w:r>
      <w:r>
        <w:t xml:space="preserve"> Auto </w:t>
      </w:r>
      <w:hyperlink w:anchor="AUTO_2015_63" w:history="1">
        <w:r w:rsidRPr="00DD47EB">
          <w:rPr>
            <w:rStyle w:val="TextoNormalCaracter"/>
          </w:rPr>
          <w:t>63/2015</w:t>
        </w:r>
      </w:hyperlink>
      <w:r>
        <w:t>, ff. 1, 4.</w:t>
      </w:r>
    </w:p>
    <w:p w:rsidR="00DD47EB" w:rsidRDefault="00DD47EB" w:rsidP="00DD47EB">
      <w:pPr>
        <w:pStyle w:val="SangriaFrancesaArticulo"/>
      </w:pPr>
    </w:p>
    <w:p w:rsidR="00DD47EB" w:rsidRDefault="00DD47EB" w:rsidP="00DD47EB">
      <w:pPr>
        <w:pStyle w:val="TextoNormalNegritaCursivandice"/>
      </w:pPr>
      <w:r>
        <w:t>Ley del Parlamento de Cataluña 3/2014, de 19 de febrero. Horarios comerciales y de medidas para determinadas actividades de promoción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7" w:history="1">
        <w:r w:rsidRPr="00DD47EB">
          <w:rPr>
            <w:rStyle w:val="TextoNormalCaracter"/>
          </w:rPr>
          <w:t>67/2015</w:t>
        </w:r>
      </w:hyperlink>
      <w:r>
        <w:t>, ff. 2, 3, VP.</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Auto </w:t>
      </w:r>
      <w:hyperlink w:anchor="AUTO_2015_67" w:history="1">
        <w:r w:rsidRPr="00DD47EB">
          <w:rPr>
            <w:rStyle w:val="TextoNormalCaracter"/>
          </w:rPr>
          <w:t>67/2015</w:t>
        </w:r>
      </w:hyperlink>
      <w:r>
        <w:t>, VP.</w:t>
      </w:r>
    </w:p>
    <w:p w:rsidR="00DD47EB" w:rsidRDefault="00DD47EB" w:rsidP="00DD47EB">
      <w:pPr>
        <w:pStyle w:val="SangriaFrancesaArticulo"/>
      </w:pPr>
      <w:r w:rsidRPr="00DD47EB">
        <w:rPr>
          <w:rStyle w:val="TextoNormalNegritaCaracter"/>
        </w:rPr>
        <w:t>Artículo 1.2 b).</w:t>
      </w:r>
      <w:r w:rsidRPr="00DD47EB">
        <w:rPr>
          <w:rStyle w:val="TextoNormalCaracter"/>
        </w:rPr>
        <w:t>-</w:t>
      </w:r>
      <w:r>
        <w:t xml:space="preserve"> Auto </w:t>
      </w:r>
      <w:hyperlink w:anchor="AUTO_2015_67" w:history="1">
        <w:r w:rsidRPr="00DD47EB">
          <w:rPr>
            <w:rStyle w:val="TextoNormalCaracter"/>
          </w:rPr>
          <w:t>67/2015</w:t>
        </w:r>
      </w:hyperlink>
      <w:r>
        <w:t>, ff. 1, 2, VP.</w:t>
      </w:r>
    </w:p>
    <w:p w:rsidR="00DD47EB" w:rsidRDefault="00DD47EB" w:rsidP="00DD47EB">
      <w:pPr>
        <w:pStyle w:val="SangriaFrancesaArticulo"/>
      </w:pPr>
      <w:r w:rsidRPr="00DD47EB">
        <w:rPr>
          <w:rStyle w:val="TextoNormalNegritaCaracter"/>
        </w:rPr>
        <w:t>Artículo 2 i).</w:t>
      </w:r>
      <w:r w:rsidRPr="00DD47EB">
        <w:rPr>
          <w:rStyle w:val="TextoNormalCaracter"/>
        </w:rPr>
        <w:t>-</w:t>
      </w:r>
      <w:r>
        <w:t xml:space="preserve"> Auto </w:t>
      </w:r>
      <w:hyperlink w:anchor="AUTO_2015_67" w:history="1">
        <w:r w:rsidRPr="00DD47EB">
          <w:rPr>
            <w:rStyle w:val="TextoNormalCaracter"/>
          </w:rPr>
          <w:t>67/2015</w:t>
        </w:r>
      </w:hyperlink>
      <w:r>
        <w:t>, ff. 1, 2, VP.</w:t>
      </w:r>
    </w:p>
    <w:p w:rsidR="00DD47EB" w:rsidRDefault="00DD47EB" w:rsidP="00DD47EB">
      <w:pPr>
        <w:pStyle w:val="SangriaFrancesaArticulo"/>
      </w:pPr>
      <w:r w:rsidRPr="00DD47EB">
        <w:rPr>
          <w:rStyle w:val="TextoNormalNegritaCaracter"/>
        </w:rPr>
        <w:t>Artículo 2 j).</w:t>
      </w:r>
      <w:r w:rsidRPr="00DD47EB">
        <w:rPr>
          <w:rStyle w:val="TextoNormalCaracter"/>
        </w:rPr>
        <w:t>-</w:t>
      </w:r>
      <w:r>
        <w:t xml:space="preserve"> Auto </w:t>
      </w:r>
      <w:hyperlink w:anchor="AUTO_2015_67" w:history="1">
        <w:r w:rsidRPr="00DD47EB">
          <w:rPr>
            <w:rStyle w:val="TextoNormalCaracter"/>
          </w:rPr>
          <w:t>67/2015</w:t>
        </w:r>
      </w:hyperlink>
      <w:r>
        <w:t>, ff. 1, 2, VP.</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Auto </w:t>
      </w:r>
      <w:hyperlink w:anchor="AUTO_2015_67" w:history="1">
        <w:r w:rsidRPr="00DD47EB">
          <w:rPr>
            <w:rStyle w:val="TextoNormalCaracter"/>
          </w:rPr>
          <w:t>67/2015</w:t>
        </w:r>
      </w:hyperlink>
      <w:r>
        <w:t>, ff. 1, 3.</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Auto </w:t>
      </w:r>
      <w:hyperlink w:anchor="AUTO_2015_67" w:history="1">
        <w:r w:rsidRPr="00DD47EB">
          <w:rPr>
            <w:rStyle w:val="TextoNormalCaracter"/>
          </w:rPr>
          <w:t>67/2015</w:t>
        </w:r>
      </w:hyperlink>
      <w:r>
        <w:t>, ff. 1, 3.</w:t>
      </w:r>
    </w:p>
    <w:p w:rsidR="00DD47EB" w:rsidRDefault="00DD47EB" w:rsidP="00DD47EB">
      <w:pPr>
        <w:pStyle w:val="SangriaFrancesaArticulo"/>
      </w:pPr>
      <w:r w:rsidRPr="00DD47EB">
        <w:rPr>
          <w:rStyle w:val="TextoNormalNegritaCaracter"/>
        </w:rPr>
        <w:t>Artículo 16.10.</w:t>
      </w:r>
      <w:r w:rsidRPr="00DD47EB">
        <w:rPr>
          <w:rStyle w:val="TextoNormalCaracter"/>
        </w:rPr>
        <w:t>-</w:t>
      </w:r>
      <w:r>
        <w:t xml:space="preserve"> Auto </w:t>
      </w:r>
      <w:hyperlink w:anchor="AUTO_2015_67" w:history="1">
        <w:r w:rsidRPr="00DD47EB">
          <w:rPr>
            <w:rStyle w:val="TextoNormalCaracter"/>
          </w:rPr>
          <w:t>67/2015</w:t>
        </w:r>
      </w:hyperlink>
      <w:r>
        <w:t>, ff. 1, 2, VP.</w:t>
      </w:r>
    </w:p>
    <w:p w:rsidR="00DD47EB" w:rsidRDefault="00DD47EB" w:rsidP="00DD47EB">
      <w:pPr>
        <w:pStyle w:val="SangriaFrancesaArticulo"/>
      </w:pPr>
    </w:p>
    <w:p w:rsidR="00DD47EB" w:rsidRDefault="00DD47EB" w:rsidP="00DD47EB">
      <w:pPr>
        <w:pStyle w:val="TextoNormalNegritaCursivandice"/>
      </w:pPr>
      <w:r>
        <w:t>Ley del Parlamento de Cataluña 4/2014, de 4 de abril. Impuesto sobre los depósitos en las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0" w:history="1">
        <w:r w:rsidRPr="00DD47EB">
          <w:rPr>
            <w:rStyle w:val="TextoNormalCaracter"/>
          </w:rPr>
          <w:t>30/2015</w:t>
        </w:r>
      </w:hyperlink>
      <w:r>
        <w:t xml:space="preserve">, VP; </w:t>
      </w:r>
      <w:hyperlink w:anchor="SENTENCIA_2015_102" w:history="1">
        <w:r w:rsidRPr="00DD47EB">
          <w:rPr>
            <w:rStyle w:val="TextoNormalCaracter"/>
          </w:rPr>
          <w:t>102/2015</w:t>
        </w:r>
      </w:hyperlink>
      <w:r>
        <w:t>, f. 2.</w:t>
      </w:r>
    </w:p>
    <w:p w:rsidR="00DD47EB" w:rsidRDefault="00DD47EB" w:rsidP="00DD47EB">
      <w:pPr>
        <w:pStyle w:val="SangriaFrancesaArticulo"/>
      </w:pPr>
    </w:p>
    <w:p w:rsidR="00DD47EB" w:rsidRDefault="00DD47EB" w:rsidP="00DD47EB">
      <w:pPr>
        <w:pStyle w:val="TextoNormalNegritaCursivandice"/>
      </w:pPr>
      <w:r>
        <w:t>Ley del Parlamento de Cataluña 4/2014, de 4 de abril. Impuesto sobre los depósitos en las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1" w:history="1">
        <w:r w:rsidRPr="00DD47EB">
          <w:rPr>
            <w:rStyle w:val="TextoNormalCaracter"/>
          </w:rPr>
          <w:t>111/2015</w:t>
        </w:r>
      </w:hyperlink>
      <w:r>
        <w:t>, ff. 1 a 3.</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3.6.</w:t>
      </w:r>
      <w:r w:rsidRPr="00DD47EB">
        <w:rPr>
          <w:rStyle w:val="TextoNormalCaracter"/>
        </w:rPr>
        <w:t>-</w:t>
      </w:r>
      <w:r>
        <w:t xml:space="preserve"> Sentencia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111" w:history="1">
        <w:r w:rsidRPr="00DD47EB">
          <w:rPr>
            <w:rStyle w:val="TextoNormalCaracter"/>
          </w:rPr>
          <w:t>111/2015</w:t>
        </w:r>
      </w:hyperlink>
      <w:r>
        <w:t>, f. 2.</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111" w:history="1">
        <w:r w:rsidRPr="00DD47EB">
          <w:rPr>
            <w:rStyle w:val="TextoNormalCaracter"/>
          </w:rPr>
          <w:t>111/2015</w:t>
        </w:r>
      </w:hyperlink>
      <w:r>
        <w:t>, f. 2.</w:t>
      </w:r>
    </w:p>
    <w:p w:rsidR="00DD47EB" w:rsidRDefault="00DD47EB" w:rsidP="00DD47EB">
      <w:pPr>
        <w:pStyle w:val="SangriaFrancesaArticulo"/>
      </w:pPr>
    </w:p>
    <w:p w:rsidR="00DD47EB" w:rsidRDefault="00DD47EB" w:rsidP="00DD47EB">
      <w:pPr>
        <w:pStyle w:val="TextoNormalNegritaCursivandice"/>
      </w:pPr>
      <w:r>
        <w:t>Ley del Parlamento de Cataluña 7/2014, de 25 de junio. Modifica la Ley 1/2006, de 16 de febrero, de la iniciativa legislativa popular</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f. 5, VP.</w:t>
      </w:r>
    </w:p>
    <w:p w:rsidR="00DD47EB" w:rsidRDefault="00DD47EB" w:rsidP="00DD47EB">
      <w:pPr>
        <w:pStyle w:val="SangriaFrancesaArticulo"/>
      </w:pPr>
    </w:p>
    <w:p w:rsidR="00DD47EB" w:rsidRDefault="00DD47EB" w:rsidP="00DD47EB">
      <w:pPr>
        <w:pStyle w:val="TextoNormalNegritaCursivandice"/>
      </w:pPr>
      <w:r>
        <w:t>Ley del Parlamento de Cataluña 10/2014, de 26 de septiembre. Consultas populares no referendarias y otras formas de participación ciudadana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1" w:history="1">
        <w:r w:rsidRPr="00DD47EB">
          <w:rPr>
            <w:rStyle w:val="TextoNormalCaracter"/>
          </w:rPr>
          <w:t>31/2015</w:t>
        </w:r>
      </w:hyperlink>
      <w:r>
        <w:t xml:space="preserve">, ff. 9 a 11; </w:t>
      </w:r>
      <w:hyperlink w:anchor="SENTENCIA_2015_32" w:history="1">
        <w:r w:rsidRPr="00DD47EB">
          <w:rPr>
            <w:rStyle w:val="TextoNormalCaracter"/>
          </w:rPr>
          <w:t>32/2015</w:t>
        </w:r>
      </w:hyperlink>
      <w:r>
        <w:t>, ff. 1, 3.</w:t>
      </w:r>
    </w:p>
    <w:p w:rsidR="00DD47EB" w:rsidRDefault="00DD47EB" w:rsidP="00DD47EB">
      <w:pPr>
        <w:pStyle w:val="SangriaFrancesaArticulo"/>
      </w:pPr>
      <w:r w:rsidRPr="00DD47EB">
        <w:rPr>
          <w:rStyle w:val="TextoNormalNegritaCaracter"/>
        </w:rPr>
        <w:t>Título II.</w:t>
      </w:r>
      <w:r w:rsidRPr="00DD47EB">
        <w:rPr>
          <w:rStyle w:val="TextoNormalCaracter"/>
        </w:rPr>
        <w:t>-</w:t>
      </w:r>
      <w:r>
        <w:t xml:space="preserve"> Sentencia </w:t>
      </w:r>
      <w:hyperlink w:anchor="SENTENCIA_2015_31" w:history="1">
        <w:r w:rsidRPr="00DD47EB">
          <w:rPr>
            <w:rStyle w:val="TextoNormalCaracter"/>
          </w:rPr>
          <w:t>31/2015</w:t>
        </w:r>
      </w:hyperlink>
      <w:r>
        <w:t>, ff. 7 a 9.</w:t>
      </w:r>
    </w:p>
    <w:p w:rsidR="00DD47EB" w:rsidRDefault="00DD47EB" w:rsidP="00DD47EB">
      <w:pPr>
        <w:pStyle w:val="SangriaFrancesaArticulo"/>
      </w:pPr>
      <w:r w:rsidRPr="00DD47EB">
        <w:rPr>
          <w:rStyle w:val="TextoNormalNegritaCaracter"/>
        </w:rPr>
        <w:t>Título II, capítulo II.</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31" w:history="1">
        <w:r w:rsidRPr="00DD47EB">
          <w:rPr>
            <w:rStyle w:val="TextoNormalCaracter"/>
          </w:rPr>
          <w:t>31/2015</w:t>
        </w:r>
      </w:hyperlink>
      <w:r>
        <w:t>, f. 7.</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31" w:history="1">
        <w:r w:rsidRPr="00DD47EB">
          <w:rPr>
            <w:rStyle w:val="TextoNormalCaracter"/>
          </w:rPr>
          <w:t>31/2015</w:t>
        </w:r>
      </w:hyperlink>
      <w:r>
        <w:t>, ff. 2, 7, 10.</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31" w:history="1">
        <w:r w:rsidRPr="00DD47EB">
          <w:rPr>
            <w:rStyle w:val="TextoNormalCaracter"/>
          </w:rPr>
          <w:t>31/2015</w:t>
        </w:r>
      </w:hyperlink>
      <w:r>
        <w:t>, ff. 7, 9.</w:t>
      </w:r>
    </w:p>
    <w:p w:rsidR="00DD47EB" w:rsidRDefault="00DD47EB" w:rsidP="00DD47EB">
      <w:pPr>
        <w:pStyle w:val="SangriaFrancesaArticulo"/>
      </w:pPr>
      <w:r w:rsidRPr="00DD47EB">
        <w:rPr>
          <w:rStyle w:val="TextoNormalNegritaCaracter"/>
        </w:rPr>
        <w:t>Artículo 3.3 incisos 1 y 2.</w:t>
      </w:r>
      <w:r w:rsidRPr="00DD47EB">
        <w:rPr>
          <w:rStyle w:val="TextoNormalCaracter"/>
        </w:rPr>
        <w:t>-</w:t>
      </w:r>
      <w:r>
        <w:t xml:space="preserve"> Sentencia </w:t>
      </w:r>
      <w:hyperlink w:anchor="SENTENCIA_2015_32" w:history="1">
        <w:r w:rsidRPr="00DD47EB">
          <w:rPr>
            <w:rStyle w:val="TextoNormalCaracter"/>
          </w:rPr>
          <w:t>32/2015</w:t>
        </w:r>
      </w:hyperlink>
      <w:r>
        <w:t>, f. 3.</w:t>
      </w:r>
    </w:p>
    <w:p w:rsidR="00DD47EB" w:rsidRDefault="00DD47EB" w:rsidP="00DD47EB">
      <w:pPr>
        <w:pStyle w:val="SangriaFrancesaArticulo"/>
      </w:pPr>
      <w:r w:rsidRPr="00DD47EB">
        <w:rPr>
          <w:rStyle w:val="TextoNormalNegritaCaracter"/>
        </w:rPr>
        <w:t>Artículos 3 a 39.</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31" w:history="1">
        <w:r w:rsidRPr="00DD47EB">
          <w:rPr>
            <w:rStyle w:val="TextoNormalCaracter"/>
          </w:rPr>
          <w:t>31/2015</w:t>
        </w:r>
      </w:hyperlink>
      <w:r>
        <w:t>, ff. 2, 10.</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31" w:history="1">
        <w:r w:rsidRPr="00DD47EB">
          <w:rPr>
            <w:rStyle w:val="TextoNormalCaracter"/>
          </w:rPr>
          <w:t>31/2015</w:t>
        </w:r>
      </w:hyperlink>
      <w:r>
        <w:t>, ff. 1, 7.</w:t>
      </w:r>
    </w:p>
    <w:p w:rsidR="00DD47EB" w:rsidRDefault="00DD47EB" w:rsidP="00DD47EB">
      <w:pPr>
        <w:pStyle w:val="SangriaFrancesaArticulo"/>
      </w:pPr>
      <w:r w:rsidRPr="00DD47EB">
        <w:rPr>
          <w:rStyle w:val="TextoNormalNegritaCaracter"/>
        </w:rPr>
        <w:t>Artículo 5.1.</w:t>
      </w:r>
      <w:r w:rsidRPr="00DD47EB">
        <w:rPr>
          <w:rStyle w:val="TextoNormalCaracter"/>
        </w:rPr>
        <w:t>-</w:t>
      </w:r>
      <w:r>
        <w:t xml:space="preserve"> Sentencia </w:t>
      </w:r>
      <w:hyperlink w:anchor="SENTENCIA_2015_31" w:history="1">
        <w:r w:rsidRPr="00DD47EB">
          <w:rPr>
            <w:rStyle w:val="TextoNormalCaracter"/>
          </w:rPr>
          <w:t>31/2015</w:t>
        </w:r>
      </w:hyperlink>
      <w:r>
        <w:t>, ff. 8, 9.</w:t>
      </w:r>
    </w:p>
    <w:p w:rsidR="00DD47EB" w:rsidRDefault="00DD47EB" w:rsidP="00DD47EB">
      <w:pPr>
        <w:pStyle w:val="SangriaFrancesaArticulo"/>
      </w:pPr>
      <w:r w:rsidRPr="00DD47EB">
        <w:rPr>
          <w:rStyle w:val="TextoNormalNegritaCaracter"/>
        </w:rPr>
        <w:t>Artículo 5.1 a).</w:t>
      </w:r>
      <w:r w:rsidRPr="00DD47EB">
        <w:rPr>
          <w:rStyle w:val="TextoNormalCaracter"/>
        </w:rPr>
        <w:t>-</w:t>
      </w:r>
      <w:r>
        <w:t xml:space="preserve"> Sentencia </w:t>
      </w:r>
      <w:hyperlink w:anchor="SENTENCIA_2015_31" w:history="1">
        <w:r w:rsidRPr="00DD47EB">
          <w:rPr>
            <w:rStyle w:val="TextoNormalCaracter"/>
          </w:rPr>
          <w:t>31/2015</w:t>
        </w:r>
      </w:hyperlink>
      <w:r>
        <w:t>, ff. 2, 8.</w:t>
      </w:r>
    </w:p>
    <w:p w:rsidR="00DD47EB" w:rsidRDefault="00DD47EB" w:rsidP="00DD47EB">
      <w:pPr>
        <w:pStyle w:val="SangriaFrancesaArticulo"/>
      </w:pPr>
      <w:r w:rsidRPr="00DD47EB">
        <w:rPr>
          <w:rStyle w:val="TextoNormalNegritaCaracter"/>
        </w:rPr>
        <w:t>Artículo 5.1 b).</w:t>
      </w:r>
      <w:r w:rsidRPr="00DD47EB">
        <w:rPr>
          <w:rStyle w:val="TextoNormalCaracter"/>
        </w:rPr>
        <w:t>-</w:t>
      </w:r>
      <w:r>
        <w:t xml:space="preserve"> Sentencia </w:t>
      </w:r>
      <w:hyperlink w:anchor="SENTENCIA_2015_31" w:history="1">
        <w:r w:rsidRPr="00DD47EB">
          <w:rPr>
            <w:rStyle w:val="TextoNormalCaracter"/>
          </w:rPr>
          <w:t>31/2015</w:t>
        </w:r>
      </w:hyperlink>
      <w:r>
        <w:t>, f. 2.</w:t>
      </w:r>
    </w:p>
    <w:p w:rsidR="00DD47EB" w:rsidRDefault="00DD47EB" w:rsidP="00DD47EB">
      <w:pPr>
        <w:pStyle w:val="SangriaFrancesaArticulo"/>
      </w:pPr>
      <w:r w:rsidRPr="00DD47EB">
        <w:rPr>
          <w:rStyle w:val="TextoNormalNegritaCaracter"/>
        </w:rPr>
        <w:t>Artículo 5.1 c).</w:t>
      </w:r>
      <w:r w:rsidRPr="00DD47EB">
        <w:rPr>
          <w:rStyle w:val="TextoNormalCaracter"/>
        </w:rPr>
        <w:t>-</w:t>
      </w:r>
      <w:r>
        <w:t xml:space="preserve"> Sentencia </w:t>
      </w:r>
      <w:hyperlink w:anchor="SENTENCIA_2015_31" w:history="1">
        <w:r w:rsidRPr="00DD47EB">
          <w:rPr>
            <w:rStyle w:val="TextoNormalCaracter"/>
          </w:rPr>
          <w:t>31/2015</w:t>
        </w:r>
      </w:hyperlink>
      <w:r>
        <w:t>, f. 2.</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31" w:history="1">
        <w:r w:rsidRPr="00DD47EB">
          <w:rPr>
            <w:rStyle w:val="TextoNormalCaracter"/>
          </w:rPr>
          <w:t>31/2015</w:t>
        </w:r>
      </w:hyperlink>
      <w:r>
        <w:t>, f. 7.</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31" w:history="1">
        <w:r w:rsidRPr="00DD47EB">
          <w:rPr>
            <w:rStyle w:val="TextoNormalCaracter"/>
          </w:rPr>
          <w:t>31/2015</w:t>
        </w:r>
      </w:hyperlink>
      <w:r>
        <w:t>, ff. 1, 8.</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 </w:t>
      </w:r>
      <w:hyperlink w:anchor="SENTENCIA_2015_31" w:history="1">
        <w:r w:rsidRPr="00DD47EB">
          <w:rPr>
            <w:rStyle w:val="TextoNormalCaracter"/>
          </w:rPr>
          <w:t>31/2015</w:t>
        </w:r>
      </w:hyperlink>
      <w:r>
        <w:t>, f. 11.</w:t>
      </w:r>
    </w:p>
    <w:p w:rsidR="00DD47EB" w:rsidRDefault="00DD47EB" w:rsidP="00DD47EB">
      <w:pPr>
        <w:pStyle w:val="SangriaFrancesaArticulo"/>
      </w:pPr>
      <w:r w:rsidRPr="00DD47EB">
        <w:rPr>
          <w:rStyle w:val="TextoNormalNegritaCaracter"/>
        </w:rPr>
        <w:t>Artículo 6.3.</w:t>
      </w:r>
      <w:r w:rsidRPr="00DD47EB">
        <w:rPr>
          <w:rStyle w:val="TextoNormalCaracter"/>
        </w:rPr>
        <w:t>-</w:t>
      </w:r>
      <w:r>
        <w:t xml:space="preserve"> Sentencia </w:t>
      </w:r>
      <w:hyperlink w:anchor="SENTENCIA_2015_31" w:history="1">
        <w:r w:rsidRPr="00DD47EB">
          <w:rPr>
            <w:rStyle w:val="TextoNormalCaracter"/>
          </w:rPr>
          <w:t>31/2015</w:t>
        </w:r>
      </w:hyperlink>
      <w:r>
        <w:t>, ff. 2, 11.</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31" w:history="1">
        <w:r w:rsidRPr="00DD47EB">
          <w:rPr>
            <w:rStyle w:val="TextoNormalCaracter"/>
          </w:rPr>
          <w:t>31/2015</w:t>
        </w:r>
      </w:hyperlink>
      <w:r>
        <w:t>, ff. 2, 8, 10.</w:t>
      </w:r>
    </w:p>
    <w:p w:rsidR="00DD47EB" w:rsidRDefault="00DD47EB" w:rsidP="00DD47EB">
      <w:pPr>
        <w:pStyle w:val="SangriaFrancesaArticulo"/>
      </w:pPr>
      <w:r w:rsidRPr="00DD47EB">
        <w:rPr>
          <w:rStyle w:val="TextoNormalNegritaCaracter"/>
        </w:rPr>
        <w:t>Artículos 10 a 12.</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Artículos 10 a 29.</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31" w:history="1">
        <w:r w:rsidRPr="00DD47EB">
          <w:rPr>
            <w:rStyle w:val="TextoNormalCaracter"/>
          </w:rPr>
          <w:t>31/2015</w:t>
        </w:r>
      </w:hyperlink>
      <w:r>
        <w:t>, ff. 2, 8, 10.</w:t>
      </w:r>
    </w:p>
    <w:p w:rsidR="00DD47EB" w:rsidRDefault="00DD47EB" w:rsidP="00DD47EB">
      <w:pPr>
        <w:pStyle w:val="SangriaFrancesaArticulo"/>
      </w:pPr>
      <w:r w:rsidRPr="00DD47EB">
        <w:rPr>
          <w:rStyle w:val="TextoNormalNegritaCaracter"/>
        </w:rPr>
        <w:t>Artículo 12.3.</w:t>
      </w:r>
      <w:r w:rsidRPr="00DD47EB">
        <w:rPr>
          <w:rStyle w:val="TextoNormalCaracter"/>
        </w:rPr>
        <w:t>-</w:t>
      </w:r>
      <w:r>
        <w:t xml:space="preserve"> Sentencia </w:t>
      </w:r>
      <w:hyperlink w:anchor="SENTENCIA_2015_31" w:history="1">
        <w:r w:rsidRPr="00DD47EB">
          <w:rPr>
            <w:rStyle w:val="TextoNormalCaracter"/>
          </w:rPr>
          <w:t>31/2015</w:t>
        </w:r>
      </w:hyperlink>
      <w:r>
        <w:t>, ff. 2, 11.</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Artículos 13 a 20.</w:t>
      </w:r>
      <w:r w:rsidRPr="00DD47EB">
        <w:rPr>
          <w:rStyle w:val="TextoNormalCaracter"/>
        </w:rPr>
        <w:t>-</w:t>
      </w:r>
      <w:r>
        <w:t xml:space="preserve"> Sentencia </w:t>
      </w:r>
      <w:hyperlink w:anchor="SENTENCIA_2015_31" w:history="1">
        <w:r w:rsidRPr="00DD47EB">
          <w:rPr>
            <w:rStyle w:val="TextoNormalCaracter"/>
          </w:rPr>
          <w:t>31/2015</w:t>
        </w:r>
      </w:hyperlink>
      <w:r>
        <w:t>, ff. 1, 8.</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16 apartados 4 a 9.</w:t>
      </w:r>
      <w:r w:rsidRPr="00DD47EB">
        <w:rPr>
          <w:rStyle w:val="TextoNormalCaracter"/>
        </w:rPr>
        <w:t>-</w:t>
      </w:r>
      <w:r>
        <w:t xml:space="preserve"> Sentencia </w:t>
      </w:r>
      <w:hyperlink w:anchor="SENTENCIA_2015_31" w:history="1">
        <w:r w:rsidRPr="00DD47EB">
          <w:rPr>
            <w:rStyle w:val="TextoNormalCaracter"/>
          </w:rPr>
          <w:t>31/2015</w:t>
        </w:r>
      </w:hyperlink>
      <w:r>
        <w:t>, f. 9.</w:t>
      </w:r>
    </w:p>
    <w:p w:rsidR="00DD47EB" w:rsidRDefault="00DD47EB" w:rsidP="00DD47EB">
      <w:pPr>
        <w:pStyle w:val="SangriaFrancesaArticulo"/>
      </w:pPr>
      <w:r w:rsidRPr="00DD47EB">
        <w:rPr>
          <w:rStyle w:val="TextoNormalNegritaCaracter"/>
        </w:rPr>
        <w:t>Artículo 16.4.</w:t>
      </w:r>
      <w:r w:rsidRPr="00DD47EB">
        <w:rPr>
          <w:rStyle w:val="TextoNormalCaracter"/>
        </w:rPr>
        <w:t>-</w:t>
      </w:r>
      <w:r>
        <w:t xml:space="preserve"> Sentencia </w:t>
      </w:r>
      <w:hyperlink w:anchor="SENTENCIA_2015_32" w:history="1">
        <w:r w:rsidRPr="00DD47EB">
          <w:rPr>
            <w:rStyle w:val="TextoNormalCaracter"/>
          </w:rPr>
          <w:t>32/2015</w:t>
        </w:r>
      </w:hyperlink>
      <w:r>
        <w:t>, f. 4.</w:t>
      </w:r>
    </w:p>
    <w:p w:rsidR="00DD47EB" w:rsidRDefault="00DD47EB" w:rsidP="00DD47EB">
      <w:pPr>
        <w:pStyle w:val="SangriaFrancesaArticulo"/>
      </w:pPr>
      <w:r w:rsidRPr="00DD47EB">
        <w:rPr>
          <w:rStyle w:val="TextoNormalNegritaCaracter"/>
        </w:rPr>
        <w:t>Artículo 16.5.</w:t>
      </w:r>
      <w:r w:rsidRPr="00DD47EB">
        <w:rPr>
          <w:rStyle w:val="TextoNormalCaracter"/>
        </w:rPr>
        <w:t>-</w:t>
      </w:r>
      <w:r>
        <w:t xml:space="preserve"> Sentencia </w:t>
      </w:r>
      <w:hyperlink w:anchor="SENTENCIA_2015_32" w:history="1">
        <w:r w:rsidRPr="00DD47EB">
          <w:rPr>
            <w:rStyle w:val="TextoNormalCaracter"/>
          </w:rPr>
          <w:t>32/2015</w:t>
        </w:r>
      </w:hyperlink>
      <w:r>
        <w:t>, f. 4.</w:t>
      </w:r>
    </w:p>
    <w:p w:rsidR="00DD47EB" w:rsidRDefault="00DD47EB" w:rsidP="00DD47EB">
      <w:pPr>
        <w:pStyle w:val="SangriaFrancesaArticulo"/>
      </w:pPr>
      <w:r w:rsidRPr="00DD47EB">
        <w:rPr>
          <w:rStyle w:val="TextoNormalNegritaCaracter"/>
        </w:rPr>
        <w:t>Artículo 16.6.</w:t>
      </w:r>
      <w:r w:rsidRPr="00DD47EB">
        <w:rPr>
          <w:rStyle w:val="TextoNormalCaracter"/>
        </w:rPr>
        <w:t>-</w:t>
      </w:r>
      <w:r>
        <w:t xml:space="preserve"> Sentencia </w:t>
      </w:r>
      <w:hyperlink w:anchor="SENTENCIA_2015_32" w:history="1">
        <w:r w:rsidRPr="00DD47EB">
          <w:rPr>
            <w:rStyle w:val="TextoNormalCaracter"/>
          </w:rPr>
          <w:t>32/2015</w:t>
        </w:r>
      </w:hyperlink>
      <w:r>
        <w:t>, f. 4.</w:t>
      </w:r>
    </w:p>
    <w:p w:rsidR="00DD47EB" w:rsidRDefault="00DD47EB" w:rsidP="00DD47EB">
      <w:pPr>
        <w:pStyle w:val="SangriaFrancesaArticulo"/>
      </w:pPr>
      <w:r w:rsidRPr="00DD47EB">
        <w:rPr>
          <w:rStyle w:val="TextoNormalNegritaCaracter"/>
        </w:rPr>
        <w:t>Artículo 16.7.</w:t>
      </w:r>
      <w:r w:rsidRPr="00DD47EB">
        <w:rPr>
          <w:rStyle w:val="TextoNormalCaracter"/>
        </w:rPr>
        <w:t>-</w:t>
      </w:r>
      <w:r>
        <w:t xml:space="preserve"> Sentencia </w:t>
      </w:r>
      <w:hyperlink w:anchor="SENTENCIA_2015_32" w:history="1">
        <w:r w:rsidRPr="00DD47EB">
          <w:rPr>
            <w:rStyle w:val="TextoNormalCaracter"/>
          </w:rPr>
          <w:t>32/2015</w:t>
        </w:r>
      </w:hyperlink>
      <w:r>
        <w:t>, f. 4.</w:t>
      </w:r>
    </w:p>
    <w:p w:rsidR="00DD47EB" w:rsidRDefault="00DD47EB" w:rsidP="00DD47EB">
      <w:pPr>
        <w:pStyle w:val="SangriaFrancesaArticulo"/>
      </w:pPr>
      <w:r w:rsidRPr="00DD47EB">
        <w:rPr>
          <w:rStyle w:val="TextoNormalNegritaCaracter"/>
        </w:rPr>
        <w:t>Artículo 16.8.</w:t>
      </w:r>
      <w:r w:rsidRPr="00DD47EB">
        <w:rPr>
          <w:rStyle w:val="TextoNormalCaracter"/>
        </w:rPr>
        <w:t>-</w:t>
      </w:r>
      <w:r>
        <w:t xml:space="preserve"> Sentencia </w:t>
      </w:r>
      <w:hyperlink w:anchor="SENTENCIA_2015_32" w:history="1">
        <w:r w:rsidRPr="00DD47EB">
          <w:rPr>
            <w:rStyle w:val="TextoNormalCaracter"/>
          </w:rPr>
          <w:t>32/2015</w:t>
        </w:r>
      </w:hyperlink>
      <w:r>
        <w:t>, f. 4.</w:t>
      </w:r>
    </w:p>
    <w:p w:rsidR="00DD47EB" w:rsidRDefault="00DD47EB" w:rsidP="00DD47EB">
      <w:pPr>
        <w:pStyle w:val="SangriaFrancesaArticulo"/>
      </w:pPr>
      <w:r w:rsidRPr="00DD47EB">
        <w:rPr>
          <w:rStyle w:val="TextoNormalNegritaCaracter"/>
        </w:rPr>
        <w:t>Artículo 16.9.</w:t>
      </w:r>
      <w:r w:rsidRPr="00DD47EB">
        <w:rPr>
          <w:rStyle w:val="TextoNormalCaracter"/>
        </w:rPr>
        <w:t>-</w:t>
      </w:r>
      <w:r>
        <w:t xml:space="preserve"> Sentencia </w:t>
      </w:r>
      <w:hyperlink w:anchor="SENTENCIA_2015_32" w:history="1">
        <w:r w:rsidRPr="00DD47EB">
          <w:rPr>
            <w:rStyle w:val="TextoNormalCaracter"/>
          </w:rPr>
          <w:t>32/2015</w:t>
        </w:r>
      </w:hyperlink>
      <w:r>
        <w:t>, f. 4.</w:t>
      </w:r>
    </w:p>
    <w:p w:rsidR="00DD47EB" w:rsidRDefault="00DD47EB" w:rsidP="00DD47EB">
      <w:pPr>
        <w:pStyle w:val="SangriaFrancesaArticulo"/>
      </w:pPr>
      <w:r w:rsidRPr="00DD47EB">
        <w:rPr>
          <w:rStyle w:val="TextoNormalNegritaCaracter"/>
        </w:rPr>
        <w:t>Artículo 16.10.</w:t>
      </w:r>
      <w:r w:rsidRPr="00DD47EB">
        <w:rPr>
          <w:rStyle w:val="TextoNormalCaracter"/>
        </w:rPr>
        <w:t>-</w:t>
      </w:r>
      <w:r>
        <w:t xml:space="preserve"> Sentencia </w:t>
      </w:r>
      <w:hyperlink w:anchor="SENTENCIA_2015_31" w:history="1">
        <w:r w:rsidRPr="00DD47EB">
          <w:rPr>
            <w:rStyle w:val="TextoNormalCaracter"/>
          </w:rPr>
          <w:t>31/2015</w:t>
        </w:r>
      </w:hyperlink>
      <w:r>
        <w:t>, f. 9.</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19.</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20.</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31" w:history="1">
        <w:r w:rsidRPr="00DD47EB">
          <w:rPr>
            <w:rStyle w:val="TextoNormalCaracter"/>
          </w:rPr>
          <w:t>31/2015</w:t>
        </w:r>
      </w:hyperlink>
      <w:r>
        <w:t>, ff. 1, 8.</w:t>
      </w:r>
    </w:p>
    <w:p w:rsidR="00DD47EB" w:rsidRDefault="00DD47EB" w:rsidP="00DD47EB">
      <w:pPr>
        <w:pStyle w:val="SangriaFrancesaArticulo"/>
      </w:pPr>
      <w:r w:rsidRPr="00DD47EB">
        <w:rPr>
          <w:rStyle w:val="TextoNormalNegritaCaracter"/>
        </w:rPr>
        <w:t>Artículo 22.</w:t>
      </w:r>
      <w:r w:rsidRPr="00DD47EB">
        <w:rPr>
          <w:rStyle w:val="TextoNormalCaracter"/>
        </w:rPr>
        <w:t>-</w:t>
      </w:r>
      <w:r>
        <w:t xml:space="preserve"> Sentencia </w:t>
      </w:r>
      <w:hyperlink w:anchor="SENTENCIA_2015_31" w:history="1">
        <w:r w:rsidRPr="00DD47EB">
          <w:rPr>
            <w:rStyle w:val="TextoNormalCaracter"/>
          </w:rPr>
          <w:t>31/2015</w:t>
        </w:r>
      </w:hyperlink>
      <w:r>
        <w:t>, ff. 1, 8.</w:t>
      </w:r>
    </w:p>
    <w:p w:rsidR="00DD47EB" w:rsidRDefault="00DD47EB" w:rsidP="00DD47EB">
      <w:pPr>
        <w:pStyle w:val="SangriaFrancesaArticulo"/>
      </w:pPr>
      <w:r w:rsidRPr="00DD47EB">
        <w:rPr>
          <w:rStyle w:val="TextoNormalNegritaCaracter"/>
        </w:rPr>
        <w:t>Artículo 23.</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Artículos 23 a 28.</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25.</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26.</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27.</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28.</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 </w:t>
      </w:r>
      <w:hyperlink w:anchor="SENTENCIA_2015_31" w:history="1">
        <w:r w:rsidRPr="00DD47EB">
          <w:rPr>
            <w:rStyle w:val="TextoNormalCaracter"/>
          </w:rPr>
          <w:t>31/2015</w:t>
        </w:r>
      </w:hyperlink>
      <w:r>
        <w:t>, ff. 1, 8.</w:t>
      </w:r>
    </w:p>
    <w:p w:rsidR="00DD47EB" w:rsidRDefault="00DD47EB" w:rsidP="00DD47EB">
      <w:pPr>
        <w:pStyle w:val="SangriaFrancesaArticulo"/>
      </w:pPr>
      <w:r w:rsidRPr="00DD47EB">
        <w:rPr>
          <w:rStyle w:val="TextoNormalNegritaCaracter"/>
        </w:rPr>
        <w:t>Artículo 30.</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Artículos 30 a 39.</w:t>
      </w:r>
      <w:r w:rsidRPr="00DD47EB">
        <w:rPr>
          <w:rStyle w:val="TextoNormalCaracter"/>
        </w:rPr>
        <w:t>-</w:t>
      </w:r>
      <w:r>
        <w:t xml:space="preserve"> Sentencia </w:t>
      </w:r>
      <w:hyperlink w:anchor="SENTENCIA_2015_31" w:history="1">
        <w:r w:rsidRPr="00DD47EB">
          <w:rPr>
            <w:rStyle w:val="TextoNormalCaracter"/>
          </w:rPr>
          <w:t>31/2015</w:t>
        </w:r>
      </w:hyperlink>
      <w:r>
        <w:t>, f. 8.</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32.</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34.</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35.</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36.</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37.</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Artículo 38.</w:t>
      </w:r>
      <w:r w:rsidRPr="00DD47EB">
        <w:rPr>
          <w:rStyle w:val="TextoNormalCaracter"/>
        </w:rPr>
        <w:t>-</w:t>
      </w:r>
      <w:r>
        <w:t xml:space="preserve"> Sentencia </w:t>
      </w:r>
      <w:hyperlink w:anchor="SENTENCIA_2015_31" w:history="1">
        <w:r w:rsidRPr="00DD47EB">
          <w:rPr>
            <w:rStyle w:val="TextoNormalCaracter"/>
          </w:rPr>
          <w:t>31/2015</w:t>
        </w:r>
      </w:hyperlink>
      <w:r>
        <w:t>, ff. 1, 2, 10.</w:t>
      </w:r>
    </w:p>
    <w:p w:rsidR="00DD47EB" w:rsidRDefault="00DD47EB" w:rsidP="00DD47EB">
      <w:pPr>
        <w:pStyle w:val="SangriaFrancesaArticulo"/>
      </w:pPr>
      <w:r w:rsidRPr="00DD47EB">
        <w:rPr>
          <w:rStyle w:val="TextoNormalNegritaCaracter"/>
        </w:rPr>
        <w:t>Artículo 39.</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Disposición transitoria primera.</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Disposición transitoria segunda.</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r w:rsidRPr="00DD47EB">
        <w:rPr>
          <w:rStyle w:val="TextoNormalNegritaCaracter"/>
        </w:rPr>
        <w:t>Disposición final primera.</w:t>
      </w:r>
      <w:r w:rsidRPr="00DD47EB">
        <w:rPr>
          <w:rStyle w:val="TextoNormalCaracter"/>
        </w:rPr>
        <w:t>-</w:t>
      </w:r>
      <w:r>
        <w:t xml:space="preserve"> Sentencia </w:t>
      </w:r>
      <w:hyperlink w:anchor="SENTENCIA_2015_31" w:history="1">
        <w:r w:rsidRPr="00DD47EB">
          <w:rPr>
            <w:rStyle w:val="TextoNormalCaracter"/>
          </w:rPr>
          <w:t>31/2015</w:t>
        </w:r>
      </w:hyperlink>
      <w:r>
        <w:t>, f. 1.</w:t>
      </w:r>
    </w:p>
    <w:p w:rsidR="00DD47EB" w:rsidRDefault="00DD47EB" w:rsidP="00DD47EB">
      <w:pPr>
        <w:pStyle w:val="SangriaFrancesaArticulo"/>
      </w:pPr>
    </w:p>
    <w:p w:rsidR="00DD47EB" w:rsidRDefault="00DD47EB" w:rsidP="00DD47EB">
      <w:pPr>
        <w:pStyle w:val="TextoNormalNegritaCursivandice"/>
      </w:pPr>
      <w:r>
        <w:t>Decreto-ley de la Generalitat de Cataluña 7/2014, de 23 de diciembre. Deroga la letra b) del apartado 3 y el segundo párrafo del apartado 4 del artículo 9 del Decreto ley 1/2009, de 22 de diciembre, de ordenación de los equipamientos comerciales</w:t>
      </w:r>
    </w:p>
    <w:p w:rsidR="00DD47EB" w:rsidRDefault="00DD47EB" w:rsidP="00DD47EB">
      <w:pPr>
        <w:pStyle w:val="SangriaFrancesaArticulo"/>
      </w:pPr>
      <w:r w:rsidRPr="00DD47EB">
        <w:rPr>
          <w:rStyle w:val="TextoNormalNegritaCaracter"/>
        </w:rPr>
        <w:t>Artículo único.</w:t>
      </w:r>
      <w:r w:rsidRPr="00DD47EB">
        <w:rPr>
          <w:rStyle w:val="TextoNormalCaracter"/>
        </w:rPr>
        <w:t>-</w:t>
      </w:r>
      <w:r>
        <w:t xml:space="preserve"> Auto </w:t>
      </w:r>
      <w:hyperlink w:anchor="AUTO_2015_63" w:history="1">
        <w:r w:rsidRPr="00DD47EB">
          <w:rPr>
            <w:rStyle w:val="TextoNormalCaracter"/>
          </w:rPr>
          <w:t>63/2015</w:t>
        </w:r>
      </w:hyperlink>
      <w:r>
        <w:t>, f. 4.</w:t>
      </w:r>
    </w:p>
    <w:p w:rsidR="00DD47EB" w:rsidRDefault="00DD47EB" w:rsidP="00DD47EB">
      <w:pPr>
        <w:pStyle w:val="SangriaFrancesaArticulo"/>
      </w:pPr>
    </w:p>
    <w:p w:rsidR="00DD47EB" w:rsidRDefault="00DD47EB" w:rsidP="00DD47EB">
      <w:pPr>
        <w:pStyle w:val="TextoNormalNegritaCursivandice"/>
      </w:pPr>
      <w:r>
        <w:t>Ley del Parlamento de Cataluña 20/2014, de 29 de diciembre. Modifica la Ley 22/2010, de 20 de julio, del Código de consumo de Cataluña, para la mejora de la protección de las personas consumidoras en materia de créditos y préstamos hipotecarios, vulnerabilidad económica y relaciones de consumo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Disposición derogatoria, apartado 1 b).</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Disposición derogatoria, apartado 2.</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Auto </w:t>
      </w:r>
      <w:hyperlink w:anchor="AUTO_2015_23" w:history="1">
        <w:r w:rsidRPr="00DD47EB">
          <w:rPr>
            <w:rStyle w:val="TextoNormalCaracter"/>
          </w:rPr>
          <w:t>23/2015</w:t>
        </w:r>
      </w:hyperlink>
      <w:r>
        <w:t>, f. único.</w:t>
      </w:r>
    </w:p>
    <w:p w:rsidR="00DD47EB" w:rsidRDefault="00DD47EB" w:rsidP="00DD47EB">
      <w:pPr>
        <w:pStyle w:val="SangriaFrancesaArticulo"/>
      </w:pPr>
    </w:p>
    <w:p w:rsidR="00DD47EB" w:rsidRDefault="00DD47EB" w:rsidP="00DD47EB">
      <w:pPr>
        <w:pStyle w:val="TextoNormalNegritaCursivandice"/>
      </w:pPr>
      <w:r>
        <w:t>Ley del Parlamento de Cataluña 3/2015, de 11 de marzo. Medidas fiscales, financieras y administrativas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3" w:history="1">
        <w:r w:rsidRPr="00DD47EB">
          <w:rPr>
            <w:rStyle w:val="TextoNormalCaracter"/>
          </w:rPr>
          <w:t>63/2015</w:t>
        </w:r>
      </w:hyperlink>
      <w:r>
        <w:t>, f. 5.</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Auto </w:t>
      </w:r>
      <w:hyperlink w:anchor="AUTO_2015_63" w:history="1">
        <w:r w:rsidRPr="00DD47EB">
          <w:rPr>
            <w:rStyle w:val="TextoNormalCaracter"/>
          </w:rPr>
          <w:t>63/2015</w:t>
        </w:r>
      </w:hyperlink>
      <w:r>
        <w:t>, f. 3.</w:t>
      </w:r>
    </w:p>
    <w:p w:rsidR="00DD47EB" w:rsidRDefault="00DD47EB" w:rsidP="00DD47EB">
      <w:pPr>
        <w:pStyle w:val="SangriaFrancesaArticulo"/>
      </w:pPr>
      <w:r w:rsidRPr="00DD47EB">
        <w:rPr>
          <w:rStyle w:val="TextoNormalNegritaCaracter"/>
        </w:rPr>
        <w:t>Artículo 80.20.</w:t>
      </w:r>
      <w:r w:rsidRPr="00DD47EB">
        <w:rPr>
          <w:rStyle w:val="TextoNormalCaracter"/>
        </w:rPr>
        <w:t>-</w:t>
      </w:r>
      <w:r>
        <w:t xml:space="preserve"> Auto </w:t>
      </w:r>
      <w:hyperlink w:anchor="AUTO_2015_63" w:history="1">
        <w:r w:rsidRPr="00DD47EB">
          <w:rPr>
            <w:rStyle w:val="TextoNormalCaracter"/>
          </w:rPr>
          <w:t>63/2015</w:t>
        </w:r>
      </w:hyperlink>
      <w:r>
        <w:t>, f. 3.</w:t>
      </w:r>
    </w:p>
    <w:p w:rsidR="00DD47EB" w:rsidRDefault="00DD47EB" w:rsidP="00DD47EB">
      <w:pPr>
        <w:pStyle w:val="SangriaFrancesaArticulo"/>
      </w:pPr>
      <w:r w:rsidRPr="00DD47EB">
        <w:rPr>
          <w:rStyle w:val="TextoNormalNegritaCaracter"/>
        </w:rPr>
        <w:t>Artículo 102.</w:t>
      </w:r>
      <w:r w:rsidRPr="00DD47EB">
        <w:rPr>
          <w:rStyle w:val="TextoNormalCaracter"/>
        </w:rPr>
        <w:t>-</w:t>
      </w:r>
      <w:r>
        <w:t xml:space="preserve"> Auto </w:t>
      </w:r>
      <w:hyperlink w:anchor="AUTO_2015_63" w:history="1">
        <w:r w:rsidRPr="00DD47EB">
          <w:rPr>
            <w:rStyle w:val="TextoNormalCaracter"/>
          </w:rPr>
          <w:t>63/2015</w:t>
        </w:r>
      </w:hyperlink>
      <w:r>
        <w:t>, f. 5.</w:t>
      </w:r>
    </w:p>
    <w:p w:rsidR="00DD47EB" w:rsidRDefault="00DD47EB" w:rsidP="00DD47EB">
      <w:pPr>
        <w:pStyle w:val="TextoNormal"/>
      </w:pPr>
    </w:p>
    <w:p w:rsidR="00DD47EB" w:rsidRDefault="00DD47EB" w:rsidP="00DD47EB">
      <w:pPr>
        <w:pStyle w:val="TextoNormalNegritaCentradoSubrayado"/>
        <w:suppressAutoHyphens/>
      </w:pPr>
      <w:r>
        <w:t>J.9.c)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Decreto de la Generalidad de Cataluña de 11 de octubre de 1978. Regulación de las competencias urbanísticas por los órganos de la Generalidad de Cataluña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7" w:history="1">
        <w:r w:rsidRPr="00DD47EB">
          <w:rPr>
            <w:rStyle w:val="TextoNormalCaracter"/>
          </w:rPr>
          <w:t>57/2015</w:t>
        </w:r>
      </w:hyperlink>
      <w:r>
        <w:t>, f. 10.</w:t>
      </w:r>
    </w:p>
    <w:p w:rsidR="00DD47EB" w:rsidRDefault="00DD47EB" w:rsidP="00DD47EB">
      <w:pPr>
        <w:pStyle w:val="SangriaFrancesaArticulo"/>
      </w:pPr>
    </w:p>
    <w:p w:rsidR="00DD47EB" w:rsidRDefault="00DD47EB" w:rsidP="00DD47EB">
      <w:pPr>
        <w:pStyle w:val="TextoNormalNegritaCursivandice"/>
      </w:pPr>
      <w:r>
        <w:t>Decreto de la Generalitat de Cataluña 129/2014, de 27 de septiembre. Convocatoria de la consulta popular no referendaria sobre el futuro político de Cataluña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32" w:history="1">
        <w:r w:rsidRPr="00DD47EB">
          <w:rPr>
            <w:rStyle w:val="TextoNormalCaracter"/>
          </w:rPr>
          <w:t>32/2015</w:t>
        </w:r>
      </w:hyperlink>
      <w:r>
        <w:t xml:space="preserve">, ff. 1, 3, 4; </w:t>
      </w:r>
      <w:hyperlink w:anchor="SENTENCIA_2015_138" w:history="1">
        <w:r w:rsidRPr="00DD47EB">
          <w:rPr>
            <w:rStyle w:val="TextoNormalCaracter"/>
          </w:rPr>
          <w:t>138/2015</w:t>
        </w:r>
      </w:hyperlink>
      <w:r>
        <w:t>, ff. 1, 2, 4.</w:t>
      </w:r>
    </w:p>
    <w:p w:rsidR="00DD47EB" w:rsidRDefault="00DD47EB" w:rsidP="00DD47EB">
      <w:pPr>
        <w:pStyle w:val="SangriaFrancesaArticulo"/>
      </w:pPr>
      <w:r w:rsidRPr="00DD47EB">
        <w:rPr>
          <w:rStyle w:val="TextoNormalNegritaCaracter"/>
        </w:rPr>
        <w:t>Artículo 4 b).</w:t>
      </w:r>
      <w:r w:rsidRPr="00DD47EB">
        <w:rPr>
          <w:rStyle w:val="TextoNormalCaracter"/>
        </w:rPr>
        <w:t>-</w:t>
      </w:r>
      <w:r>
        <w:t xml:space="preserve"> Sentencia </w:t>
      </w:r>
      <w:hyperlink w:anchor="SENTENCIA_2015_32" w:history="1">
        <w:r w:rsidRPr="00DD47EB">
          <w:rPr>
            <w:rStyle w:val="TextoNormalCaracter"/>
          </w:rPr>
          <w:t>32/2015</w:t>
        </w:r>
      </w:hyperlink>
      <w:r>
        <w:t>, f. 3.</w:t>
      </w:r>
    </w:p>
    <w:p w:rsidR="00DD47EB" w:rsidRDefault="00DD47EB" w:rsidP="00DD47EB">
      <w:pPr>
        <w:pStyle w:val="SangriaFrancesaArticulo"/>
      </w:pPr>
      <w:r w:rsidRPr="00DD47EB">
        <w:rPr>
          <w:rStyle w:val="TextoNormalNegritaCaracter"/>
        </w:rPr>
        <w:t>Artículo 4 c).</w:t>
      </w:r>
      <w:r w:rsidRPr="00DD47EB">
        <w:rPr>
          <w:rStyle w:val="TextoNormalCaracter"/>
        </w:rPr>
        <w:t>-</w:t>
      </w:r>
      <w:r>
        <w:t xml:space="preserve"> Sentencia </w:t>
      </w:r>
      <w:hyperlink w:anchor="SENTENCIA_2015_32" w:history="1">
        <w:r w:rsidRPr="00DD47EB">
          <w:rPr>
            <w:rStyle w:val="TextoNormalCaracter"/>
          </w:rPr>
          <w:t>32/2015</w:t>
        </w:r>
      </w:hyperlink>
      <w:r>
        <w:t>, f. 3.</w:t>
      </w:r>
    </w:p>
    <w:p w:rsidR="00DD47EB" w:rsidRDefault="00DD47EB" w:rsidP="00DD47EB">
      <w:pPr>
        <w:pStyle w:val="TextoNormal"/>
      </w:pPr>
    </w:p>
    <w:p w:rsidR="00DD47EB" w:rsidRDefault="00DD47EB" w:rsidP="00DD47EB">
      <w:pPr>
        <w:pStyle w:val="TextoNormalNegritaCentradoSubrayado"/>
        <w:suppressAutoHyphens/>
      </w:pPr>
      <w:r>
        <w:t>J.9.d) Normas parlamentarias autonómicas</w:t>
      </w:r>
    </w:p>
    <w:p w:rsidR="00DD47EB" w:rsidRDefault="00DD47EB" w:rsidP="00DD47EB">
      <w:pPr>
        <w:pStyle w:val="TextoNormalNegritaCentradoSubrayado"/>
      </w:pPr>
    </w:p>
    <w:p w:rsidR="00DD47EB" w:rsidRDefault="00DD47EB" w:rsidP="00DD47EB">
      <w:pPr>
        <w:pStyle w:val="TextoNormalNegritaCursivandice"/>
      </w:pPr>
      <w:r>
        <w:t>Reglamento del Parlamento de Cataluña. Texto refundido de 15 de octubre de 1987</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ff. 3, 4.</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29.3 a).</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29.3 d).</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29.3 j).</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100.</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100 d).</w:t>
      </w:r>
      <w:r w:rsidRPr="00DD47EB">
        <w:rPr>
          <w:rStyle w:val="TextoNormalCaracter"/>
        </w:rPr>
        <w:t>-</w:t>
      </w:r>
      <w:r>
        <w:t xml:space="preserve"> Sentencia </w:t>
      </w:r>
      <w:hyperlink w:anchor="SENTENCIA_2015_19" w:history="1">
        <w:r w:rsidRPr="00DD47EB">
          <w:rPr>
            <w:rStyle w:val="TextoNormalCaracter"/>
          </w:rPr>
          <w:t>19/2015</w:t>
        </w:r>
      </w:hyperlink>
      <w:r>
        <w:t>, f. 4.</w:t>
      </w:r>
    </w:p>
    <w:p w:rsidR="00DD47EB" w:rsidRDefault="00DD47EB" w:rsidP="00DD47EB">
      <w:pPr>
        <w:pStyle w:val="SangriaFrancesaArticulo"/>
      </w:pPr>
      <w:r w:rsidRPr="00DD47EB">
        <w:rPr>
          <w:rStyle w:val="TextoNormalNegritaCaracter"/>
        </w:rPr>
        <w:t>Artículo 101.3.</w:t>
      </w:r>
      <w:r w:rsidRPr="00DD47EB">
        <w:rPr>
          <w:rStyle w:val="TextoNormalCaracter"/>
        </w:rPr>
        <w:t>-</w:t>
      </w:r>
      <w:r>
        <w:t xml:space="preserve"> Sentencia </w:t>
      </w:r>
      <w:hyperlink w:anchor="SENTENCIA_2015_19" w:history="1">
        <w:r w:rsidRPr="00DD47EB">
          <w:rPr>
            <w:rStyle w:val="TextoNormalCaracter"/>
          </w:rPr>
          <w:t>19/2015</w:t>
        </w:r>
      </w:hyperlink>
      <w:r>
        <w:t>, f. 4.</w:t>
      </w:r>
    </w:p>
    <w:p w:rsidR="00DD47EB" w:rsidRDefault="00DD47EB" w:rsidP="00DD47EB">
      <w:pPr>
        <w:pStyle w:val="SangriaFrancesaArticulo"/>
      </w:pPr>
      <w:r w:rsidRPr="00DD47EB">
        <w:rPr>
          <w:rStyle w:val="TextoNormalNegritaCaracter"/>
        </w:rPr>
        <w:t>Artículo 102.</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SangriaFrancesaArticulo"/>
      </w:pPr>
      <w:r w:rsidRPr="00DD47EB">
        <w:rPr>
          <w:rStyle w:val="TextoNormalNegritaCaracter"/>
        </w:rPr>
        <w:t>Artículo 102.1.</w:t>
      </w:r>
      <w:r w:rsidRPr="00DD47EB">
        <w:rPr>
          <w:rStyle w:val="TextoNormalCaracter"/>
        </w:rPr>
        <w:t>-</w:t>
      </w:r>
      <w:r>
        <w:t xml:space="preserve"> Sentencia </w:t>
      </w:r>
      <w:hyperlink w:anchor="SENTENCIA_2015_19" w:history="1">
        <w:r w:rsidRPr="00DD47EB">
          <w:rPr>
            <w:rStyle w:val="TextoNormalCaracter"/>
          </w:rPr>
          <w:t>19/2015</w:t>
        </w:r>
      </w:hyperlink>
      <w:r>
        <w:t>, f. 4.</w:t>
      </w:r>
    </w:p>
    <w:p w:rsidR="00DD47EB" w:rsidRDefault="00DD47EB" w:rsidP="00DD47EB">
      <w:pPr>
        <w:pStyle w:val="SangriaFrancesaArticulo"/>
      </w:pPr>
      <w:r w:rsidRPr="00DD47EB">
        <w:rPr>
          <w:rStyle w:val="TextoNormalNegritaCaracter"/>
        </w:rPr>
        <w:t>Artículo 102.2.</w:t>
      </w:r>
      <w:r w:rsidRPr="00DD47EB">
        <w:rPr>
          <w:rStyle w:val="TextoNormalCaracter"/>
        </w:rPr>
        <w:t>-</w:t>
      </w:r>
      <w:r>
        <w:t xml:space="preserve"> Sentencia </w:t>
      </w:r>
      <w:hyperlink w:anchor="SENTENCIA_2015_19" w:history="1">
        <w:r w:rsidRPr="00DD47EB">
          <w:rPr>
            <w:rStyle w:val="TextoNormalCaracter"/>
          </w:rPr>
          <w:t>19/2015</w:t>
        </w:r>
      </w:hyperlink>
      <w:r>
        <w:t>, f. 4, VP.</w:t>
      </w:r>
    </w:p>
    <w:p w:rsidR="00DD47EB" w:rsidRDefault="00DD47EB" w:rsidP="00DD47EB">
      <w:pPr>
        <w:pStyle w:val="SangriaFrancesaArticulo"/>
      </w:pPr>
      <w:r w:rsidRPr="00DD47EB">
        <w:rPr>
          <w:rStyle w:val="TextoNormalNegritaCaracter"/>
        </w:rPr>
        <w:t>Artículo 102.3.</w:t>
      </w:r>
      <w:r w:rsidRPr="00DD47EB">
        <w:rPr>
          <w:rStyle w:val="TextoNormalCaracter"/>
        </w:rPr>
        <w:t>-</w:t>
      </w:r>
      <w:r>
        <w:t xml:space="preserve"> Sentencia </w:t>
      </w:r>
      <w:hyperlink w:anchor="SENTENCIA_2015_19" w:history="1">
        <w:r w:rsidRPr="00DD47EB">
          <w:rPr>
            <w:rStyle w:val="TextoNormalCaracter"/>
          </w:rPr>
          <w:t>19/2015</w:t>
        </w:r>
      </w:hyperlink>
      <w:r>
        <w:t>, ff. 3, 5, VP.</w:t>
      </w:r>
    </w:p>
    <w:p w:rsidR="00DD47EB" w:rsidRDefault="00DD47EB" w:rsidP="00DD47EB">
      <w:pPr>
        <w:pStyle w:val="SangriaFrancesaArticulo"/>
      </w:pPr>
    </w:p>
    <w:p w:rsidR="00DD47EB" w:rsidRDefault="00DD47EB" w:rsidP="00DD47EB">
      <w:pPr>
        <w:pStyle w:val="TextoNormalNegritaCursivandice"/>
      </w:pPr>
      <w:r>
        <w:t>Acuerdo de la Mesa del Parlamento de Cataluña de 29 de noviembre de 2011. Admisión a trámite de la iniciativa legislativa popular Per la igualtat d’oportunitats en el sistema educatiu català</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f. 3.</w:t>
      </w:r>
    </w:p>
    <w:p w:rsidR="00DD47EB" w:rsidRDefault="00DD47EB" w:rsidP="00DD47EB">
      <w:pPr>
        <w:pStyle w:val="SangriaFrancesaArticulo"/>
      </w:pPr>
    </w:p>
    <w:p w:rsidR="00DD47EB" w:rsidRDefault="00DD47EB" w:rsidP="00DD47EB">
      <w:pPr>
        <w:pStyle w:val="TextoNormalNegritaCursivandice"/>
      </w:pPr>
      <w:r>
        <w:t>Acuerdo de la Mesa del Parlamento de Cataluña de 20 de marzo de 2012. Desestimación de la reconsideración de la resolución de 20 de marzo de 2012 por la que se acordó dejar sin efecto el acuerdo de 29 de noviembre de 2011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f. 3.</w:t>
      </w:r>
    </w:p>
    <w:p w:rsidR="00DD47EB" w:rsidRDefault="00DD47EB" w:rsidP="00DD47EB">
      <w:pPr>
        <w:pStyle w:val="SangriaFrancesaArticulo"/>
      </w:pPr>
    </w:p>
    <w:p w:rsidR="00DD47EB" w:rsidRDefault="00DD47EB" w:rsidP="00DD47EB">
      <w:pPr>
        <w:pStyle w:val="TextoNormalNegritaCursivandice"/>
      </w:pPr>
      <w:r>
        <w:t>Acuerdo de la Mesa del Parlamento de Cataluña de 27 de marzo de 2012. Desestimación de la reconsideración de la resolución de 20 de marzo de 2012 por la que se acordó dejar sin efecto el acuerdo de 29 de noviembre de 2011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9" w:history="1">
        <w:r w:rsidRPr="00DD47EB">
          <w:rPr>
            <w:rStyle w:val="TextoNormalCaracter"/>
          </w:rPr>
          <w:t>19/2015</w:t>
        </w:r>
      </w:hyperlink>
      <w:r>
        <w:t>, VP.</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J.10) Extremadura</w:t>
      </w:r>
    </w:p>
    <w:p w:rsidR="00DD47EB" w:rsidRDefault="00DD47EB" w:rsidP="00DD47EB">
      <w:pPr>
        <w:pStyle w:val="TextoNormal"/>
      </w:pPr>
    </w:p>
    <w:p w:rsidR="00DD47EB" w:rsidRDefault="00DD47EB" w:rsidP="00DD47EB">
      <w:pPr>
        <w:pStyle w:val="TextoNormalNegritaCentradoSubrayado"/>
        <w:suppressAutoHyphens/>
      </w:pPr>
      <w:r>
        <w:t>J.10.a) Estatuto de Autonomía</w:t>
      </w:r>
    </w:p>
    <w:p w:rsidR="00DD47EB" w:rsidRDefault="00DD47EB" w:rsidP="00DD47EB">
      <w:pPr>
        <w:pStyle w:val="TextoNormalNegritaCentradoSubrayado"/>
      </w:pPr>
    </w:p>
    <w:p w:rsidR="00DD47EB" w:rsidRDefault="00DD47EB" w:rsidP="00DD47EB">
      <w:pPr>
        <w:pStyle w:val="TextoNormalNegritaCursivandice"/>
      </w:pPr>
      <w:r>
        <w:t>Ley Orgánica 1/2011, de 28 de enero. Reforma del Estatuto de Autonomía de la Comunidad Autónoma de Extremadura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36" w:history="1">
        <w:r w:rsidRPr="00DD47EB">
          <w:rPr>
            <w:rStyle w:val="TextoNormalCaracter"/>
          </w:rPr>
          <w:t>136/2015</w:t>
        </w:r>
      </w:hyperlink>
      <w:r>
        <w:t>, f. 1.</w:t>
      </w:r>
    </w:p>
    <w:p w:rsidR="00DD47EB" w:rsidRDefault="00DD47EB" w:rsidP="00DD47EB">
      <w:pPr>
        <w:pStyle w:val="TextoNormal"/>
      </w:pPr>
    </w:p>
    <w:p w:rsidR="00DD47EB" w:rsidRDefault="00DD47EB" w:rsidP="00DD47EB">
      <w:pPr>
        <w:pStyle w:val="TextoNormalNegritaCentradoSubrayado"/>
        <w:suppressAutoHyphens/>
      </w:pPr>
      <w:r>
        <w:t>J.10.b)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 la Asamblea de Extremadura 7/1997, de 29 de mayo. Medidas fiscales sobre la producción y transporte de energía que incidan sobre el medio ambiente</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2" w:history="1">
        <w:r w:rsidRPr="00DD47EB">
          <w:rPr>
            <w:rStyle w:val="TextoNormalCaracter"/>
          </w:rPr>
          <w:t>22/2015</w:t>
        </w:r>
      </w:hyperlink>
      <w:r>
        <w:t>, ff. 1, 3.</w:t>
      </w:r>
    </w:p>
    <w:p w:rsidR="00DD47EB" w:rsidRDefault="00DD47EB" w:rsidP="00DD47EB">
      <w:pPr>
        <w:pStyle w:val="SangriaFrancesaArticulo"/>
      </w:pPr>
      <w:r w:rsidRPr="00DD47EB">
        <w:rPr>
          <w:rStyle w:val="TextoNormalNegritaCaracter"/>
        </w:rPr>
        <w:t>Artículo 2 a).</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2 a)</w:t>
      </w:r>
      <w:r>
        <w:t xml:space="preserve"> (redactado por la Ley de la Asamblea de Extremadura 8/2005, de 27 de diciembre)</w:t>
      </w:r>
      <w:r w:rsidRPr="00DD47EB">
        <w:rPr>
          <w:rStyle w:val="TextoNormalNegritaCaracter"/>
        </w:rPr>
        <w:t>.</w:t>
      </w:r>
      <w:r w:rsidRPr="00DD47EB">
        <w:rPr>
          <w:rStyle w:val="TextoNormalCaracter"/>
        </w:rPr>
        <w:t>-</w:t>
      </w:r>
      <w:r>
        <w:t xml:space="preserve"> Sentencia </w:t>
      </w:r>
      <w:hyperlink w:anchor="SENTENCIA_2015_22" w:history="1">
        <w:r w:rsidRPr="00DD47EB">
          <w:rPr>
            <w:rStyle w:val="TextoNormalCaracter"/>
          </w:rPr>
          <w:t>22/2015</w:t>
        </w:r>
      </w:hyperlink>
      <w:r>
        <w:t>, ff. 1, 2, 5.</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r w:rsidRPr="00DD47EB">
        <w:rPr>
          <w:rStyle w:val="TextoNormalNegritaCaracter"/>
        </w:rPr>
        <w:t>Artículo 6</w:t>
      </w:r>
      <w:r>
        <w:t xml:space="preserve"> (redactada por la Ley de la Asamblea de Extremadura 8/2005, de 27 de diciembre)</w:t>
      </w:r>
      <w:r w:rsidRPr="00DD47EB">
        <w:rPr>
          <w:rStyle w:val="TextoNormalNegritaCaracter"/>
        </w:rPr>
        <w:t>.</w:t>
      </w:r>
      <w:r w:rsidRPr="00DD47EB">
        <w:rPr>
          <w:rStyle w:val="TextoNormalCaracter"/>
        </w:rPr>
        <w:t>-</w:t>
      </w:r>
      <w:r>
        <w:t xml:space="preserve"> Sentencia </w:t>
      </w:r>
      <w:hyperlink w:anchor="SENTENCIA_2015_22" w:history="1">
        <w:r w:rsidRPr="00DD47EB">
          <w:rPr>
            <w:rStyle w:val="TextoNormalCaracter"/>
          </w:rPr>
          <w:t>22/2015</w:t>
        </w:r>
      </w:hyperlink>
      <w:r>
        <w:t>, ff. 1, 2, 5.</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22" w:history="1">
        <w:r w:rsidRPr="00DD47EB">
          <w:rPr>
            <w:rStyle w:val="TextoNormalCaracter"/>
          </w:rPr>
          <w:t>22/2015</w:t>
        </w:r>
      </w:hyperlink>
      <w:r>
        <w:t>, f. 3.</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22" w:history="1">
        <w:r w:rsidRPr="00DD47EB">
          <w:rPr>
            <w:rStyle w:val="TextoNormalCaracter"/>
          </w:rPr>
          <w:t>22/2015</w:t>
        </w:r>
      </w:hyperlink>
      <w:r>
        <w:t>, ff. 3, 4.</w:t>
      </w:r>
    </w:p>
    <w:p w:rsidR="00DD47EB" w:rsidRDefault="00DD47EB" w:rsidP="00DD47EB">
      <w:pPr>
        <w:pStyle w:val="SangriaFrancesaArticulo"/>
      </w:pPr>
      <w:r w:rsidRPr="00DD47EB">
        <w:rPr>
          <w:rStyle w:val="TextoNormalNegritaCaracter"/>
        </w:rPr>
        <w:t>Artículo 8</w:t>
      </w:r>
      <w:r>
        <w:t xml:space="preserve"> (redactado por la Ley de la Asamblea de Extremadura 8/2005, de 27 de diciembre)</w:t>
      </w:r>
      <w:r w:rsidRPr="00DD47EB">
        <w:rPr>
          <w:rStyle w:val="TextoNormalNegritaCaracter"/>
        </w:rPr>
        <w:t>.</w:t>
      </w:r>
      <w:r w:rsidRPr="00DD47EB">
        <w:rPr>
          <w:rStyle w:val="TextoNormalCaracter"/>
        </w:rPr>
        <w:t>-</w:t>
      </w:r>
      <w:r>
        <w:t xml:space="preserve"> Sentencia </w:t>
      </w:r>
      <w:hyperlink w:anchor="SENTENCIA_2015_22" w:history="1">
        <w:r w:rsidRPr="00DD47EB">
          <w:rPr>
            <w:rStyle w:val="TextoNormalCaracter"/>
          </w:rPr>
          <w:t>22/2015</w:t>
        </w:r>
      </w:hyperlink>
      <w:r>
        <w:t>, ff. 1, 2, 5.</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22" w:history="1">
        <w:r w:rsidRPr="00DD47EB">
          <w:rPr>
            <w:rStyle w:val="TextoNormalCaracter"/>
          </w:rPr>
          <w:t>22/2015</w:t>
        </w:r>
      </w:hyperlink>
      <w:r>
        <w:t>, f. 4.</w:t>
      </w:r>
    </w:p>
    <w:p w:rsidR="00DD47EB" w:rsidRDefault="00DD47EB" w:rsidP="00DD47EB">
      <w:pPr>
        <w:pStyle w:val="SangriaFrancesaArticulo"/>
      </w:pPr>
    </w:p>
    <w:p w:rsidR="00DD47EB" w:rsidRDefault="00DD47EB" w:rsidP="00DD47EB">
      <w:pPr>
        <w:pStyle w:val="TextoNormalNegritaCursivandice"/>
      </w:pPr>
      <w:r>
        <w:t>Ley de la Asamblea de Extremadura 14/2001, de 29 de noviembre. Impuesto sobre depósitos de las entidades de crédito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6" w:history="1">
        <w:r w:rsidRPr="00DD47EB">
          <w:rPr>
            <w:rStyle w:val="TextoNormalCaracter"/>
          </w:rPr>
          <w:t>26/2015</w:t>
        </w:r>
      </w:hyperlink>
      <w:r>
        <w:t>, VP.</w:t>
      </w:r>
    </w:p>
    <w:p w:rsidR="00DD47EB" w:rsidRDefault="00DD47EB" w:rsidP="00DD47EB">
      <w:pPr>
        <w:pStyle w:val="SangriaFrancesaArticulo"/>
      </w:pPr>
    </w:p>
    <w:p w:rsidR="00DD47EB" w:rsidRDefault="00DD47EB" w:rsidP="00DD47EB">
      <w:pPr>
        <w:pStyle w:val="TextoNormalNegritaCursivandice"/>
      </w:pPr>
      <w:r>
        <w:t>Ley de la Asamblea de Extremadura 8/2005, de 27 de diciembre. Reforma de tributos propios de la Comunidad Autónoma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2" w:history="1">
        <w:r w:rsidRPr="00DD47EB">
          <w:rPr>
            <w:rStyle w:val="TextoNormalCaracter"/>
          </w:rPr>
          <w:t>22/2015</w:t>
        </w:r>
      </w:hyperlink>
      <w:r>
        <w:t>, ff. 1, 3 a 5.</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22" w:history="1">
        <w:r w:rsidRPr="00DD47EB">
          <w:rPr>
            <w:rStyle w:val="TextoNormalCaracter"/>
          </w:rPr>
          <w:t>22/2015</w:t>
        </w:r>
      </w:hyperlink>
      <w:r>
        <w:t>, f. 3.</w:t>
      </w:r>
    </w:p>
    <w:p w:rsidR="00DD47EB" w:rsidRDefault="00DD47EB" w:rsidP="00DD47EB">
      <w:pPr>
        <w:pStyle w:val="SangriaFrancesaArticulo"/>
      </w:pPr>
    </w:p>
    <w:p w:rsidR="00DD47EB" w:rsidRDefault="00DD47EB" w:rsidP="00DD47EB">
      <w:pPr>
        <w:pStyle w:val="TextoNormalNegritaCursivandice"/>
      </w:pPr>
      <w:r>
        <w:t>Decreto Legislativo de la Junta de Extremadura 2/2006, de 12 de diciembre. Texto refundido de las disposiciones legales de la Comunidad Autónoma de Extremadura en materia de tributos propios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2" w:history="1">
        <w:r w:rsidRPr="00DD47EB">
          <w:rPr>
            <w:rStyle w:val="TextoNormalCaracter"/>
          </w:rPr>
          <w:t>22/2015</w:t>
        </w:r>
      </w:hyperlink>
      <w:r>
        <w:t>, f. 1.</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J.11) Galicia</w:t>
      </w:r>
    </w:p>
    <w:p w:rsidR="00DD47EB" w:rsidRDefault="00DD47EB" w:rsidP="00DD47EB">
      <w:pPr>
        <w:pStyle w:val="TextoNormal"/>
      </w:pPr>
    </w:p>
    <w:p w:rsidR="00DD47EB" w:rsidRDefault="00DD47EB" w:rsidP="00DD47EB">
      <w:pPr>
        <w:pStyle w:val="TextoNormalNegritaCentradoSubrayado"/>
        <w:suppressAutoHyphens/>
      </w:pPr>
      <w:r>
        <w:t>J.11.a) Estatuto de Autonomía</w:t>
      </w:r>
    </w:p>
    <w:p w:rsidR="00DD47EB" w:rsidRDefault="00DD47EB" w:rsidP="00DD47EB">
      <w:pPr>
        <w:pStyle w:val="TextoNormalNegritaCentradoSubrayado"/>
      </w:pPr>
    </w:p>
    <w:p w:rsidR="00DD47EB" w:rsidRDefault="00DD47EB" w:rsidP="00DD47EB">
      <w:pPr>
        <w:pStyle w:val="TextoNormalNegritaCursivandice"/>
      </w:pPr>
      <w:r>
        <w:t>Ley Orgánica 1/1981, de 6 de abril. Estatuto de Autonomía de Galicia</w:t>
      </w:r>
    </w:p>
    <w:p w:rsidR="00DD47EB" w:rsidRDefault="00DD47EB" w:rsidP="00DD47EB">
      <w:pPr>
        <w:pStyle w:val="SangriaFrancesaArticulo"/>
      </w:pPr>
      <w:r w:rsidRPr="00DD47EB">
        <w:rPr>
          <w:rStyle w:val="TextoNormalNegritaCaracter"/>
        </w:rPr>
        <w:t>Artículo 27.30.</w:t>
      </w:r>
      <w:r w:rsidRPr="00DD47EB">
        <w:rPr>
          <w:rStyle w:val="TextoNormalCaracter"/>
        </w:rPr>
        <w:t>-</w:t>
      </w:r>
      <w:r>
        <w:t xml:space="preserve"> Sentencia </w:t>
      </w:r>
      <w:hyperlink w:anchor="SENTENCIA_2015_45" w:history="1">
        <w:r w:rsidRPr="00DD47EB">
          <w:rPr>
            <w:rStyle w:val="TextoNormalCaracter"/>
          </w:rPr>
          <w:t>45/2015</w:t>
        </w:r>
      </w:hyperlink>
      <w:r>
        <w:t>, f. 1.</w:t>
      </w:r>
    </w:p>
    <w:p w:rsidR="00DD47EB" w:rsidRDefault="00DD47EB" w:rsidP="00DD47EB">
      <w:pPr>
        <w:pStyle w:val="SangriaFrancesaArticulo"/>
      </w:pPr>
      <w:r w:rsidRPr="00DD47EB">
        <w:rPr>
          <w:rStyle w:val="TextoNormalNegritaCaracter"/>
        </w:rPr>
        <w:t>Artículo 28.3.</w:t>
      </w:r>
      <w:r w:rsidRPr="00DD47EB">
        <w:rPr>
          <w:rStyle w:val="TextoNormalCaracter"/>
        </w:rPr>
        <w:t>-</w:t>
      </w:r>
      <w:r>
        <w:t xml:space="preserve"> Sentencia </w:t>
      </w:r>
      <w:hyperlink w:anchor="SENTENCIA_2015_45" w:history="1">
        <w:r w:rsidRPr="00DD47EB">
          <w:rPr>
            <w:rStyle w:val="TextoNormalCaracter"/>
          </w:rPr>
          <w:t>45/2015</w:t>
        </w:r>
      </w:hyperlink>
      <w:r>
        <w:t>, f. 1.</w:t>
      </w:r>
    </w:p>
    <w:p w:rsidR="00DD47EB" w:rsidRDefault="00DD47EB" w:rsidP="00DD47EB">
      <w:pPr>
        <w:pStyle w:val="TextoNormal"/>
      </w:pPr>
    </w:p>
    <w:p w:rsidR="00DD47EB" w:rsidRDefault="00DD47EB" w:rsidP="00DD47EB">
      <w:pPr>
        <w:pStyle w:val="TextoNormalNegritaCentradoSubrayado"/>
        <w:suppressAutoHyphens/>
      </w:pPr>
      <w:r>
        <w:t>J.11.b)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del Parlamento de Galicia 9/2002, de 30 de diciembre. Ordenación urbanística y protección del medio rural de Galicia</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5" w:history="1">
        <w:r w:rsidRPr="00DD47EB">
          <w:rPr>
            <w:rStyle w:val="TextoNormalCaracter"/>
          </w:rPr>
          <w:t>5/2015</w:t>
        </w:r>
      </w:hyperlink>
      <w:r>
        <w:t>, ff. 4, 5.</w:t>
      </w:r>
    </w:p>
    <w:p w:rsidR="00DD47EB" w:rsidRDefault="00DD47EB" w:rsidP="00DD47EB">
      <w:pPr>
        <w:pStyle w:val="SangriaFrancesaArticulo"/>
      </w:pPr>
    </w:p>
    <w:p w:rsidR="00DD47EB" w:rsidRDefault="00DD47EB" w:rsidP="00DD47EB">
      <w:pPr>
        <w:pStyle w:val="TextoNormalNegritaCursivandice"/>
      </w:pPr>
      <w:r>
        <w:t>Ley del Parlamento de Galicia 18/2008, de 29 de diciembre. Vivienda de Galicia</w:t>
      </w:r>
    </w:p>
    <w:p w:rsidR="00DD47EB" w:rsidRDefault="00DD47EB" w:rsidP="00DD47EB">
      <w:pPr>
        <w:pStyle w:val="SangriaFrancesaArticulo"/>
      </w:pPr>
      <w:r w:rsidRPr="00DD47EB">
        <w:rPr>
          <w:rStyle w:val="TextoNormalNegritaCaracter"/>
        </w:rPr>
        <w:t>Disposición adicional segunda, apartado 3.</w:t>
      </w:r>
      <w:r w:rsidRPr="00DD47EB">
        <w:rPr>
          <w:rStyle w:val="TextoNormalCaracter"/>
        </w:rPr>
        <w:t>-</w:t>
      </w:r>
      <w:r>
        <w:t xml:space="preserve"> Sentencia </w:t>
      </w:r>
      <w:hyperlink w:anchor="SENTENCIA_2015_5" w:history="1">
        <w:r w:rsidRPr="00DD47EB">
          <w:rPr>
            <w:rStyle w:val="TextoNormalCaracter"/>
          </w:rPr>
          <w:t>5/2015</w:t>
        </w:r>
      </w:hyperlink>
      <w:r>
        <w:t>, f. 6.</w:t>
      </w:r>
    </w:p>
    <w:p w:rsidR="00DD47EB" w:rsidRDefault="00DD47EB" w:rsidP="00DD47EB">
      <w:pPr>
        <w:pStyle w:val="SangriaFrancesaArticulo"/>
      </w:pPr>
    </w:p>
    <w:p w:rsidR="00DD47EB" w:rsidRDefault="00DD47EB" w:rsidP="00DD47EB">
      <w:pPr>
        <w:pStyle w:val="TextoNormalNegritaCursivandice"/>
      </w:pPr>
      <w:r>
        <w:t>Ley del Parlamento de Galicia 12/2010, de 22 de diciembre. Racionalización del gasto en la prestación farmacéutica de la Comunidad Autónoma de Galicia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6" w:history="1">
        <w:r w:rsidRPr="00DD47EB">
          <w:rPr>
            <w:rStyle w:val="TextoNormalCaracter"/>
          </w:rPr>
          <w:t>6/2015</w:t>
        </w:r>
      </w:hyperlink>
      <w:r>
        <w:t>, f. 2.</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6" w:history="1">
        <w:r w:rsidRPr="00DD47EB">
          <w:rPr>
            <w:rStyle w:val="TextoNormalCaracter"/>
          </w:rPr>
          <w:t>6/2015</w:t>
        </w:r>
      </w:hyperlink>
      <w:r>
        <w:t>, VP.</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6" w:history="1">
        <w:r w:rsidRPr="00DD47EB">
          <w:rPr>
            <w:rStyle w:val="TextoNormalCaracter"/>
          </w:rPr>
          <w:t>6/2015</w:t>
        </w:r>
      </w:hyperlink>
      <w:r>
        <w:t>, VP.</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6" w:history="1">
        <w:r w:rsidRPr="00DD47EB">
          <w:rPr>
            <w:rStyle w:val="TextoNormalCaracter"/>
          </w:rPr>
          <w:t>6/2015</w:t>
        </w:r>
      </w:hyperlink>
      <w:r>
        <w:t>, VP.</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6" w:history="1">
        <w:r w:rsidRPr="00DD47EB">
          <w:rPr>
            <w:rStyle w:val="TextoNormalCaracter"/>
          </w:rPr>
          <w:t>6/2015</w:t>
        </w:r>
      </w:hyperlink>
      <w:r>
        <w:t>, VP.</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6" w:history="1">
        <w:r w:rsidRPr="00DD47EB">
          <w:rPr>
            <w:rStyle w:val="TextoNormalCaracter"/>
          </w:rPr>
          <w:t>6/2015</w:t>
        </w:r>
      </w:hyperlink>
      <w:r>
        <w:t>, VP.</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6" w:history="1">
        <w:r w:rsidRPr="00DD47EB">
          <w:rPr>
            <w:rStyle w:val="TextoNormalCaracter"/>
          </w:rPr>
          <w:t>6/2015</w:t>
        </w:r>
      </w:hyperlink>
      <w:r>
        <w:t>, VP.</w:t>
      </w:r>
    </w:p>
    <w:p w:rsidR="00DD47EB" w:rsidRDefault="00DD47EB" w:rsidP="00DD47EB">
      <w:pPr>
        <w:pStyle w:val="TextoNormal"/>
      </w:pPr>
    </w:p>
    <w:p w:rsidR="00DD47EB" w:rsidRDefault="00DD47EB" w:rsidP="00DD47EB">
      <w:pPr>
        <w:pStyle w:val="TextoNormalNegritaCentradoSubrayado"/>
        <w:suppressAutoHyphens/>
      </w:pPr>
      <w:r>
        <w:t>J.11.c)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Resolución de la Junta de Galicia 30 de diciembre de 2010. Acuerdo del Consejo de  la Junta de Galicia, por el que se aprueba el  catálogo priorizado de productos farmacéuticos  de la Comunidad Autónoma de Galicia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6" w:history="1">
        <w:r w:rsidRPr="00DD47EB">
          <w:rPr>
            <w:rStyle w:val="TextoNormalCaracter"/>
          </w:rPr>
          <w:t>6/2015</w:t>
        </w:r>
      </w:hyperlink>
      <w:r>
        <w:t>, f. 1.</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J.12) Madrid</w:t>
      </w:r>
    </w:p>
    <w:p w:rsidR="00DD47EB" w:rsidRDefault="00DD47EB" w:rsidP="00DD47EB">
      <w:pPr>
        <w:pStyle w:val="TextoNormal"/>
      </w:pPr>
    </w:p>
    <w:p w:rsidR="00DD47EB" w:rsidRDefault="00DD47EB" w:rsidP="00DD47EB">
      <w:pPr>
        <w:pStyle w:val="TextoNormalNegritaCentradoSubrayado"/>
        <w:suppressAutoHyphens/>
      </w:pPr>
      <w:r>
        <w:t>J.12.a) Estatuto de Autonomía</w:t>
      </w:r>
    </w:p>
    <w:p w:rsidR="00DD47EB" w:rsidRDefault="00DD47EB" w:rsidP="00DD47EB">
      <w:pPr>
        <w:pStyle w:val="TextoNormalNegritaCentradoSubrayado"/>
      </w:pPr>
    </w:p>
    <w:p w:rsidR="00DD47EB" w:rsidRDefault="00DD47EB" w:rsidP="00DD47EB">
      <w:pPr>
        <w:pStyle w:val="TextoNormalNegritaCursivandice"/>
      </w:pPr>
      <w:r>
        <w:t>Ley Orgánica 3/1983, de 25 de febrero. Estatuto de Autonomía de la Comunidad de Madrid</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84" w:history="1">
        <w:r w:rsidRPr="00DD47EB">
          <w:rPr>
            <w:rStyle w:val="TextoNormalCaracter"/>
          </w:rPr>
          <w:t>84/2015</w:t>
        </w:r>
      </w:hyperlink>
      <w:r>
        <w:t>, f. 4.</w:t>
      </w:r>
    </w:p>
    <w:p w:rsidR="00DD47EB" w:rsidRDefault="00DD47EB" w:rsidP="00DD47EB">
      <w:pPr>
        <w:pStyle w:val="SangriaFrancesaArticulo"/>
      </w:pPr>
      <w:r w:rsidRPr="00DD47EB">
        <w:rPr>
          <w:rStyle w:val="TextoNormalNegritaCaracter"/>
        </w:rPr>
        <w:t>Artículo 15.2.</w:t>
      </w:r>
      <w:r w:rsidRPr="00DD47EB">
        <w:rPr>
          <w:rStyle w:val="TextoNormalCaracter"/>
        </w:rPr>
        <w:t>-</w:t>
      </w:r>
      <w:r>
        <w:t xml:space="preserve"> Sentencia </w:t>
      </w:r>
      <w:hyperlink w:anchor="SENTENCIA_2015_84" w:history="1">
        <w:r w:rsidRPr="00DD47EB">
          <w:rPr>
            <w:rStyle w:val="TextoNormalCaracter"/>
          </w:rPr>
          <w:t>84/2015</w:t>
        </w:r>
      </w:hyperlink>
      <w:r>
        <w:t>, f. 4.</w:t>
      </w:r>
    </w:p>
    <w:p w:rsidR="00DD47EB" w:rsidRDefault="00DD47EB" w:rsidP="00DD47EB">
      <w:pPr>
        <w:pStyle w:val="SangriaFrancesaArticulo"/>
      </w:pPr>
      <w:r w:rsidRPr="00DD47EB">
        <w:rPr>
          <w:rStyle w:val="TextoNormalNegritaCaracter"/>
        </w:rPr>
        <w:t>Artículo 16.2.</w:t>
      </w:r>
      <w:r w:rsidRPr="00DD47EB">
        <w:rPr>
          <w:rStyle w:val="TextoNormalCaracter"/>
        </w:rPr>
        <w:t>-</w:t>
      </w:r>
      <w:r>
        <w:t xml:space="preserve"> Sentencia </w:t>
      </w:r>
      <w:hyperlink w:anchor="SENTENCIA_2015_1" w:history="1">
        <w:r w:rsidRPr="00DD47EB">
          <w:rPr>
            <w:rStyle w:val="TextoNormalCaracter"/>
          </w:rPr>
          <w:t>1/2015</w:t>
        </w:r>
      </w:hyperlink>
      <w:r>
        <w:t>, ff. 4, 7.</w:t>
      </w:r>
    </w:p>
    <w:p w:rsidR="00DD47EB" w:rsidRDefault="00DD47EB" w:rsidP="00DD47EB">
      <w:pPr>
        <w:pStyle w:val="SangriaFrancesaArticulo"/>
      </w:pPr>
      <w:r w:rsidRPr="00DD47EB">
        <w:rPr>
          <w:rStyle w:val="TextoNormalNegritaCaracter"/>
        </w:rPr>
        <w:t>Artículo 26.1.1.1.</w:t>
      </w:r>
      <w:r w:rsidRPr="00DD47EB">
        <w:rPr>
          <w:rStyle w:val="TextoNormalCaracter"/>
        </w:rPr>
        <w:t>-</w:t>
      </w:r>
      <w:r>
        <w:t xml:space="preserve"> Sentencia </w:t>
      </w:r>
      <w:hyperlink w:anchor="SENTENCIA_2015_103" w:history="1">
        <w:r w:rsidRPr="00DD47EB">
          <w:rPr>
            <w:rStyle w:val="TextoNormalCaracter"/>
          </w:rPr>
          <w:t>103/2015</w:t>
        </w:r>
      </w:hyperlink>
      <w:r>
        <w:t>, f. 4.</w:t>
      </w:r>
    </w:p>
    <w:p w:rsidR="00DD47EB" w:rsidRDefault="00DD47EB" w:rsidP="00DD47EB">
      <w:pPr>
        <w:pStyle w:val="SangriaFrancesaArticulo"/>
      </w:pPr>
      <w:r w:rsidRPr="00DD47EB">
        <w:rPr>
          <w:rStyle w:val="TextoNormalNegritaCaracter"/>
        </w:rPr>
        <w:t>Artículo 26.1.5.</w:t>
      </w:r>
      <w:r w:rsidRPr="00DD47EB">
        <w:rPr>
          <w:rStyle w:val="TextoNormalCaracter"/>
        </w:rPr>
        <w:t>-</w:t>
      </w:r>
      <w:r>
        <w:t xml:space="preserve"> Sentencia </w:t>
      </w:r>
      <w:hyperlink w:anchor="SENTENCIA_2015_103" w:history="1">
        <w:r w:rsidRPr="00DD47EB">
          <w:rPr>
            <w:rStyle w:val="TextoNormalCaracter"/>
          </w:rPr>
          <w:t>103/2015</w:t>
        </w:r>
      </w:hyperlink>
      <w:r>
        <w:t>, f. 4.</w:t>
      </w:r>
    </w:p>
    <w:p w:rsidR="00DD47EB" w:rsidRDefault="00DD47EB" w:rsidP="00DD47EB">
      <w:pPr>
        <w:pStyle w:val="SangriaFrancesaArticulo"/>
      </w:pPr>
      <w:r w:rsidRPr="00DD47EB">
        <w:rPr>
          <w:rStyle w:val="TextoNormalNegritaCaracter"/>
        </w:rPr>
        <w:t>Artículo 26.1.8.</w:t>
      </w:r>
      <w:r w:rsidRPr="00DD47EB">
        <w:rPr>
          <w:rStyle w:val="TextoNormalCaracter"/>
        </w:rPr>
        <w:t>-</w:t>
      </w:r>
      <w:r>
        <w:t xml:space="preserve"> Sentencia </w:t>
      </w:r>
      <w:hyperlink w:anchor="SENTENCIA_2015_103" w:history="1">
        <w:r w:rsidRPr="00DD47EB">
          <w:rPr>
            <w:rStyle w:val="TextoNormalCaracter"/>
          </w:rPr>
          <w:t>103/2015</w:t>
        </w:r>
      </w:hyperlink>
      <w:r>
        <w:t>, f. 4.</w:t>
      </w:r>
    </w:p>
    <w:p w:rsidR="00DD47EB" w:rsidRDefault="00DD47EB" w:rsidP="00DD47EB">
      <w:pPr>
        <w:pStyle w:val="SangriaFrancesaArticulo"/>
      </w:pPr>
      <w:r w:rsidRPr="00DD47EB">
        <w:rPr>
          <w:rStyle w:val="TextoNormalNegritaCaracter"/>
        </w:rPr>
        <w:t>Artículo 40.</w:t>
      </w:r>
      <w:r w:rsidRPr="00DD47EB">
        <w:rPr>
          <w:rStyle w:val="TextoNormalCaracter"/>
        </w:rPr>
        <w:t>-</w:t>
      </w:r>
      <w:r>
        <w:t xml:space="preserve"> Sentencia </w:t>
      </w:r>
      <w:hyperlink w:anchor="SENTENCIA_2015_84" w:history="1">
        <w:r w:rsidRPr="00DD47EB">
          <w:rPr>
            <w:rStyle w:val="TextoNormalCaracter"/>
          </w:rPr>
          <w:t>84/2015</w:t>
        </w:r>
      </w:hyperlink>
      <w:r>
        <w:t>, f. 3.</w:t>
      </w:r>
    </w:p>
    <w:p w:rsidR="00DD47EB" w:rsidRDefault="00DD47EB" w:rsidP="00DD47EB">
      <w:pPr>
        <w:pStyle w:val="SangriaFrancesaArticulo"/>
      </w:pPr>
    </w:p>
    <w:p w:rsidR="00DD47EB" w:rsidRDefault="00DD47EB" w:rsidP="00DD47EB">
      <w:pPr>
        <w:pStyle w:val="TextoNormalNegritaCursivandice"/>
      </w:pPr>
      <w:r>
        <w:t>Ley Orgánica 5/1998, de 7 de julio. Reforma de la Ley Orgánica 3/1983, de 25 de febrero, de Estatuto de Autonomía de la Comunidad de Madrid</w:t>
      </w:r>
    </w:p>
    <w:p w:rsidR="00DD47EB" w:rsidRDefault="00DD47EB" w:rsidP="00DD47EB">
      <w:pPr>
        <w:pStyle w:val="SangriaFrancesaArticulo"/>
      </w:pPr>
      <w:r w:rsidRPr="00DD47EB">
        <w:rPr>
          <w:rStyle w:val="TextoNormalNegritaCaracter"/>
        </w:rPr>
        <w:t>Artículo 16.2.</w:t>
      </w:r>
      <w:r w:rsidRPr="00DD47EB">
        <w:rPr>
          <w:rStyle w:val="TextoNormalCaracter"/>
        </w:rPr>
        <w:t>-</w:t>
      </w:r>
      <w:r>
        <w:t xml:space="preserve"> Sentencia </w:t>
      </w:r>
      <w:hyperlink w:anchor="SENTENCIA_2015_23" w:history="1">
        <w:r w:rsidRPr="00DD47EB">
          <w:rPr>
            <w:rStyle w:val="TextoNormalCaracter"/>
          </w:rPr>
          <w:t>23/2015</w:t>
        </w:r>
      </w:hyperlink>
      <w:r>
        <w:t>, ff. 4, 7.</w:t>
      </w:r>
    </w:p>
    <w:p w:rsidR="00DD47EB" w:rsidRDefault="00DD47EB" w:rsidP="00DD47EB">
      <w:pPr>
        <w:pStyle w:val="TextoNormal"/>
      </w:pPr>
    </w:p>
    <w:p w:rsidR="00DD47EB" w:rsidRDefault="00DD47EB" w:rsidP="00DD47EB">
      <w:pPr>
        <w:pStyle w:val="TextoNormalNegritaCentradoSubrayado"/>
        <w:suppressAutoHyphens/>
      </w:pPr>
      <w:r>
        <w:t>J.12.b)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 la Asamblea de Madrid 1/1984, de 19 de enero. Reguladora de la Administración institucional de la Comunidad de Madrid</w:t>
      </w:r>
    </w:p>
    <w:p w:rsidR="00DD47EB" w:rsidRDefault="00DD47EB" w:rsidP="00DD47EB">
      <w:pPr>
        <w:pStyle w:val="SangriaFrancesaArticulo"/>
      </w:pPr>
      <w:r w:rsidRPr="00DD47EB">
        <w:rPr>
          <w:rStyle w:val="TextoNormalNegritaCaracter"/>
        </w:rPr>
        <w:t>Artículo 6 y ss..</w:t>
      </w:r>
      <w:r w:rsidRPr="00DD47EB">
        <w:rPr>
          <w:rStyle w:val="TextoNormalCaracter"/>
        </w:rPr>
        <w:t>-</w:t>
      </w:r>
      <w:r>
        <w:t xml:space="preserve"> Sentencia </w:t>
      </w:r>
      <w:hyperlink w:anchor="SENTENCIA_2015_103" w:history="1">
        <w:r w:rsidRPr="00DD47EB">
          <w:rPr>
            <w:rStyle w:val="TextoNormalCaracter"/>
          </w:rPr>
          <w:t>103/2015</w:t>
        </w:r>
      </w:hyperlink>
      <w:r>
        <w:t>, f. 4.</w:t>
      </w:r>
    </w:p>
    <w:p w:rsidR="00DD47EB" w:rsidRDefault="00DD47EB" w:rsidP="00DD47EB">
      <w:pPr>
        <w:pStyle w:val="SangriaFrancesaArticulo"/>
      </w:pPr>
    </w:p>
    <w:p w:rsidR="00DD47EB" w:rsidRDefault="00DD47EB" w:rsidP="00DD47EB">
      <w:pPr>
        <w:pStyle w:val="TextoNormalNegritaCursivandice"/>
      </w:pPr>
      <w:r>
        <w:t>Ley de la Asamblea de Madrid 17/1984, de 20 de diciembre de 1984, reguladora del abastecimiento y saneamiento de agua en la Comunidad de Madrid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3" w:history="1">
        <w:r w:rsidRPr="00DD47EB">
          <w:rPr>
            <w:rStyle w:val="TextoNormalCaracter"/>
          </w:rPr>
          <w:t>103/2015</w:t>
        </w:r>
      </w:hyperlink>
      <w:r>
        <w:t>, ff. 4, 10.</w:t>
      </w:r>
    </w:p>
    <w:p w:rsidR="00DD47EB" w:rsidRDefault="00DD47EB" w:rsidP="00DD47EB">
      <w:pPr>
        <w:pStyle w:val="SangriaFrancesaArticulo"/>
      </w:pPr>
      <w:r w:rsidRPr="00DD47EB">
        <w:rPr>
          <w:rStyle w:val="TextoNormalNegritaCaracter"/>
        </w:rPr>
        <w:t>Capítulo III.</w:t>
      </w:r>
      <w:r w:rsidRPr="00DD47EB">
        <w:rPr>
          <w:rStyle w:val="TextoNormalCaracter"/>
        </w:rPr>
        <w:t>-</w:t>
      </w:r>
      <w:r>
        <w:t xml:space="preserve"> Sentencia </w:t>
      </w:r>
      <w:hyperlink w:anchor="SENTENCIA_2015_103" w:history="1">
        <w:r w:rsidRPr="00DD47EB">
          <w:rPr>
            <w:rStyle w:val="TextoNormalCaracter"/>
          </w:rPr>
          <w:t>103/2015</w:t>
        </w:r>
      </w:hyperlink>
      <w:r>
        <w:t>, f. 10.</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2.1.</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3.1.</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103" w:history="1">
        <w:r w:rsidRPr="00DD47EB">
          <w:rPr>
            <w:rStyle w:val="TextoNormalCaracter"/>
          </w:rPr>
          <w:t>103/2015</w:t>
        </w:r>
      </w:hyperlink>
      <w:r>
        <w:t>, f. 9.</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 </w:t>
      </w:r>
      <w:hyperlink w:anchor="SENTENCIA_2015_103" w:history="1">
        <w:r w:rsidRPr="00DD47EB">
          <w:rPr>
            <w:rStyle w:val="TextoNormalCaracter"/>
          </w:rPr>
          <w:t>103/2015</w:t>
        </w:r>
      </w:hyperlink>
      <w:r>
        <w:t>, f. 9.</w:t>
      </w:r>
    </w:p>
    <w:p w:rsidR="00DD47EB" w:rsidRDefault="00DD47EB" w:rsidP="00DD47EB">
      <w:pPr>
        <w:pStyle w:val="SangriaFrancesaArticulo"/>
      </w:pPr>
    </w:p>
    <w:p w:rsidR="00DD47EB" w:rsidRDefault="00DD47EB" w:rsidP="00DD47EB">
      <w:pPr>
        <w:pStyle w:val="TextoNormalNegritaCursivandice"/>
      </w:pPr>
      <w:r>
        <w:t>Ley de la Asamblea de Madrid 9/1990, de 8 de noviembre. Reguladora de la Hacienda</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p>
    <w:p w:rsidR="00DD47EB" w:rsidRDefault="00DD47EB" w:rsidP="00DD47EB">
      <w:pPr>
        <w:pStyle w:val="TextoNormalNegritaCursivandice"/>
      </w:pPr>
      <w:r>
        <w:t>Ley de la Asamblea de Madrid 12/2001, de 21 de diciembre. Ordenación sanitaria de la Comunidad de Madrid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84" w:history="1">
        <w:r w:rsidRPr="00DD47EB">
          <w:rPr>
            <w:rStyle w:val="TextoNormalCaracter"/>
          </w:rPr>
          <w:t>84/2015</w:t>
        </w:r>
      </w:hyperlink>
      <w:r>
        <w:t>, f. 7.</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3.3.</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84" w:history="1">
        <w:r w:rsidRPr="00DD47EB">
          <w:rPr>
            <w:rStyle w:val="TextoNormalCaracter"/>
          </w:rPr>
          <w:t>84/2015</w:t>
        </w:r>
      </w:hyperlink>
      <w:r>
        <w:t>, f. 7.</w:t>
      </w:r>
    </w:p>
    <w:p w:rsidR="00DD47EB" w:rsidRDefault="00DD47EB" w:rsidP="00DD47EB">
      <w:pPr>
        <w:pStyle w:val="SangriaFrancesaArticulo"/>
      </w:pPr>
      <w:r w:rsidRPr="00DD47EB">
        <w:rPr>
          <w:rStyle w:val="TextoNormalNegritaCaracter"/>
        </w:rPr>
        <w:t>Artículo 58.</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59.</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68.</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70.</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88.</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r w:rsidRPr="00DD47EB">
        <w:rPr>
          <w:rStyle w:val="TextoNormalNegritaCaracter"/>
        </w:rPr>
        <w:t>Artículo 88.2</w:t>
      </w:r>
      <w:r>
        <w:t xml:space="preserve"> (redactado por la Ley de la Asamblea de Madrid 8/2012, de 28 de diciembre)</w:t>
      </w:r>
      <w:r w:rsidRPr="00DD47EB">
        <w:rPr>
          <w:rStyle w:val="TextoNormalNegritaCaracter"/>
        </w:rPr>
        <w:t>.</w:t>
      </w:r>
      <w:r w:rsidRPr="00DD47EB">
        <w:rPr>
          <w:rStyle w:val="TextoNormalCaracter"/>
        </w:rPr>
        <w:t>-</w:t>
      </w:r>
      <w:r>
        <w:t xml:space="preserve"> Sentencia </w:t>
      </w:r>
      <w:hyperlink w:anchor="SENTENCIA_2015_84" w:history="1">
        <w:r w:rsidRPr="00DD47EB">
          <w:rPr>
            <w:rStyle w:val="TextoNormalCaracter"/>
          </w:rPr>
          <w:t>84/2015</w:t>
        </w:r>
      </w:hyperlink>
      <w:r>
        <w:t>, ff. 1, 6.</w:t>
      </w:r>
    </w:p>
    <w:p w:rsidR="00DD47EB" w:rsidRDefault="00DD47EB" w:rsidP="00DD47EB">
      <w:pPr>
        <w:pStyle w:val="SangriaFrancesaArticulo"/>
      </w:pPr>
    </w:p>
    <w:p w:rsidR="00DD47EB" w:rsidRDefault="00DD47EB" w:rsidP="00DD47EB">
      <w:pPr>
        <w:pStyle w:val="TextoNormalNegritaCursivandice"/>
      </w:pPr>
      <w:r>
        <w:t>Ley de la Asamblea de Madrid 5/2004, de 28 de diciembre. Medidas fiscales y administrativas</w:t>
      </w:r>
    </w:p>
    <w:p w:rsidR="00DD47EB" w:rsidRDefault="00DD47EB" w:rsidP="00DD47EB">
      <w:pPr>
        <w:pStyle w:val="SangriaFrancesaArticulo"/>
      </w:pPr>
      <w:r w:rsidRPr="00DD47EB">
        <w:rPr>
          <w:rStyle w:val="TextoNormalNegritaCaracter"/>
        </w:rPr>
        <w:t>Artículo 4.1.1.</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r w:rsidRPr="00DD47EB">
        <w:rPr>
          <w:rStyle w:val="TextoNormalNegritaCaracter"/>
        </w:rPr>
        <w:t>Artículo 4.1.3.</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p>
    <w:p w:rsidR="00DD47EB" w:rsidRDefault="00DD47EB" w:rsidP="00DD47EB">
      <w:pPr>
        <w:pStyle w:val="TextoNormalNegritaCursivandice"/>
      </w:pPr>
      <w:r>
        <w:t>Ley de la Asamblea de Madrid 7/2005, de 23 de diciembre. Medidas fiscales y administrativas</w:t>
      </w:r>
    </w:p>
    <w:p w:rsidR="00DD47EB" w:rsidRDefault="00DD47EB" w:rsidP="00DD47EB">
      <w:pPr>
        <w:pStyle w:val="SangriaFrancesaArticulo"/>
      </w:pPr>
      <w:r w:rsidRPr="00DD47EB">
        <w:rPr>
          <w:rStyle w:val="TextoNormalNegritaCaracter"/>
        </w:rPr>
        <w:t>Artículo 4.1.3.</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p>
    <w:p w:rsidR="00DD47EB" w:rsidRDefault="00DD47EB" w:rsidP="00DD47EB">
      <w:pPr>
        <w:pStyle w:val="TextoNormalNegritaCursivandice"/>
      </w:pPr>
      <w:r>
        <w:t>Ley de la Asamblea de Madrid 4/2006, de 22 de diciembre. Medidas fiscales y administrativas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p>
    <w:p w:rsidR="00DD47EB" w:rsidRDefault="00DD47EB" w:rsidP="00DD47EB">
      <w:pPr>
        <w:pStyle w:val="TextoNormalNegritaCursivandice"/>
      </w:pPr>
      <w:r>
        <w:t>Ley de la Asamblea de Madrid 7/2007, de 21 de diciembre. Medidas fiscales y administrativas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p>
    <w:p w:rsidR="00DD47EB" w:rsidRDefault="00DD47EB" w:rsidP="00DD47EB">
      <w:pPr>
        <w:pStyle w:val="TextoNormalNegritaCursivandice"/>
      </w:pPr>
      <w:r>
        <w:t>Ley de la Asamblea de Madrid 3/2008, de 29 de diciembre. Medidas fiscales y administrativas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77" w:history="1">
        <w:r w:rsidRPr="00DD47EB">
          <w:rPr>
            <w:rStyle w:val="TextoNormalCaracter"/>
          </w:rPr>
          <w:t>77/2015</w:t>
        </w:r>
      </w:hyperlink>
      <w:r>
        <w:t xml:space="preserve">, f. 2; </w:t>
      </w:r>
      <w:hyperlink w:anchor="SENTENCIA_2015_103" w:history="1">
        <w:r w:rsidRPr="00DD47EB">
          <w:rPr>
            <w:rStyle w:val="TextoNormalCaracter"/>
          </w:rPr>
          <w:t>103/2015</w:t>
        </w:r>
      </w:hyperlink>
      <w:r>
        <w:t>, ff. 5, 10.</w:t>
      </w:r>
    </w:p>
    <w:p w:rsidR="00DD47EB" w:rsidRDefault="00DD47EB" w:rsidP="00DD47EB">
      <w:pPr>
        <w:pStyle w:val="SangriaFrancesaArticulo"/>
      </w:pPr>
      <w:r w:rsidRPr="00DD47EB">
        <w:rPr>
          <w:rStyle w:val="TextoNormalNegritaCaracter"/>
        </w:rPr>
        <w:t>Artículo 4.2.</w:t>
      </w:r>
      <w:r w:rsidRPr="00DD47EB">
        <w:rPr>
          <w:rStyle w:val="TextoNormalCaracter"/>
        </w:rPr>
        <w:t>-</w:t>
      </w:r>
      <w:r>
        <w:t xml:space="preserve"> Sentencia </w:t>
      </w:r>
      <w:hyperlink w:anchor="SENTENCIA_2015_77" w:history="1">
        <w:r w:rsidRPr="00DD47EB">
          <w:rPr>
            <w:rStyle w:val="TextoNormalCaracter"/>
          </w:rPr>
          <w:t>77/2015</w:t>
        </w:r>
      </w:hyperlink>
      <w:r>
        <w:t>, f. 4.</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103" w:history="1">
        <w:r w:rsidRPr="00DD47EB">
          <w:rPr>
            <w:rStyle w:val="TextoNormalCaracter"/>
          </w:rPr>
          <w:t>103/2015</w:t>
        </w:r>
      </w:hyperlink>
      <w:r>
        <w:t>, ff. 4, 7, 10.</w:t>
      </w:r>
    </w:p>
    <w:p w:rsidR="00DD47EB" w:rsidRDefault="00DD47EB" w:rsidP="00DD47EB">
      <w:pPr>
        <w:pStyle w:val="SangriaFrancesaArticulo"/>
      </w:pPr>
      <w:r w:rsidRPr="00DD47EB">
        <w:rPr>
          <w:rStyle w:val="TextoNormalNegritaCaracter"/>
        </w:rPr>
        <w:t>Artículo 16. Dos. 4 b)</w:t>
      </w:r>
      <w:r>
        <w:t xml:space="preserve"> (redactado por la Ley de la Asamblea de Madrid 6/2011)</w:t>
      </w:r>
      <w:r w:rsidRPr="00DD47EB">
        <w:rPr>
          <w:rStyle w:val="TextoNormalNegritaCaracter"/>
        </w:rPr>
        <w:t>.</w:t>
      </w:r>
      <w:r w:rsidRPr="00DD47EB">
        <w:rPr>
          <w:rStyle w:val="TextoNormalCaracter"/>
        </w:rPr>
        <w:t>-</w:t>
      </w:r>
      <w:r>
        <w:t xml:space="preserve"> Sentencia </w:t>
      </w:r>
      <w:hyperlink w:anchor="SENTENCIA_2015_103" w:history="1">
        <w:r w:rsidRPr="00DD47EB">
          <w:rPr>
            <w:rStyle w:val="TextoNormalCaracter"/>
          </w:rPr>
          <w:t>103/2015</w:t>
        </w:r>
      </w:hyperlink>
      <w:r>
        <w:t>, f. 2.</w:t>
      </w:r>
    </w:p>
    <w:p w:rsidR="00DD47EB" w:rsidRDefault="00DD47EB" w:rsidP="00DD47EB">
      <w:pPr>
        <w:pStyle w:val="SangriaFrancesaArticulo"/>
      </w:pPr>
      <w:r w:rsidRPr="00DD47EB">
        <w:rPr>
          <w:rStyle w:val="TextoNormalNegritaCaracter"/>
        </w:rPr>
        <w:t>Artículo 16. Tres.1</w:t>
      </w:r>
      <w:r>
        <w:t xml:space="preserve"> (redactado por la Ley de la Asamblea de Madrid 6/2011)</w:t>
      </w:r>
      <w:r w:rsidRPr="00DD47EB">
        <w:rPr>
          <w:rStyle w:val="TextoNormalNegritaCaracter"/>
        </w:rPr>
        <w:t>.</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r w:rsidRPr="00DD47EB">
        <w:rPr>
          <w:rStyle w:val="TextoNormalNegritaCaracter"/>
        </w:rPr>
        <w:t>Artículo 16. Tres.2</w:t>
      </w:r>
      <w:r>
        <w:t xml:space="preserve"> (redactado por la Ley de la Asamblea de Madrid 6/2011)</w:t>
      </w:r>
      <w:r w:rsidRPr="00DD47EB">
        <w:rPr>
          <w:rStyle w:val="TextoNormalNegritaCaracter"/>
        </w:rPr>
        <w:t>.</w:t>
      </w:r>
      <w:r w:rsidRPr="00DD47EB">
        <w:rPr>
          <w:rStyle w:val="TextoNormalCaracter"/>
        </w:rPr>
        <w:t>-</w:t>
      </w:r>
      <w:r>
        <w:t xml:space="preserve"> Sentencia </w:t>
      </w:r>
      <w:hyperlink w:anchor="SENTENCIA_2015_103" w:history="1">
        <w:r w:rsidRPr="00DD47EB">
          <w:rPr>
            <w:rStyle w:val="TextoNormalCaracter"/>
          </w:rPr>
          <w:t>103/2015</w:t>
        </w:r>
      </w:hyperlink>
      <w:r>
        <w:t>, f. 8.</w:t>
      </w:r>
    </w:p>
    <w:p w:rsidR="00DD47EB" w:rsidRDefault="00DD47EB" w:rsidP="00DD47EB">
      <w:pPr>
        <w:pStyle w:val="SangriaFrancesaArticulo"/>
      </w:pPr>
      <w:r w:rsidRPr="00DD47EB">
        <w:rPr>
          <w:rStyle w:val="TextoNormalNegritaCaracter"/>
        </w:rPr>
        <w:t>Artículo 16.Dos.4 a).</w:t>
      </w:r>
      <w:r w:rsidRPr="00DD47EB">
        <w:rPr>
          <w:rStyle w:val="TextoNormalCaracter"/>
        </w:rPr>
        <w:t>-</w:t>
      </w:r>
      <w:r>
        <w:t xml:space="preserve"> Sentencia </w:t>
      </w:r>
      <w:hyperlink w:anchor="SENTENCIA_2015_103" w:history="1">
        <w:r w:rsidRPr="00DD47EB">
          <w:rPr>
            <w:rStyle w:val="TextoNormalCaracter"/>
          </w:rPr>
          <w:t>103/2015</w:t>
        </w:r>
      </w:hyperlink>
      <w:r>
        <w:t>, f. 4.</w:t>
      </w:r>
    </w:p>
    <w:p w:rsidR="00DD47EB" w:rsidRDefault="00DD47EB" w:rsidP="00DD47EB">
      <w:pPr>
        <w:pStyle w:val="SangriaFrancesaArticulo"/>
      </w:pPr>
    </w:p>
    <w:p w:rsidR="00DD47EB" w:rsidRDefault="00DD47EB" w:rsidP="00DD47EB">
      <w:pPr>
        <w:pStyle w:val="TextoNormalNegritaCursivandice"/>
      </w:pPr>
      <w:r>
        <w:t>Ley de la Asamblea de Madrid 10/2009, de 23 de diciembre. Medidas fiscales y administrativas</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77" w:history="1">
        <w:r w:rsidRPr="00DD47EB">
          <w:rPr>
            <w:rStyle w:val="TextoNormalCaracter"/>
          </w:rPr>
          <w:t>77/2015</w:t>
        </w:r>
      </w:hyperlink>
      <w:r>
        <w:t>, f. 2.</w:t>
      </w:r>
    </w:p>
    <w:p w:rsidR="00DD47EB" w:rsidRDefault="00DD47EB" w:rsidP="00DD47EB">
      <w:pPr>
        <w:pStyle w:val="SangriaFrancesaArticulo"/>
      </w:pPr>
    </w:p>
    <w:p w:rsidR="00DD47EB" w:rsidRDefault="00DD47EB" w:rsidP="00DD47EB">
      <w:pPr>
        <w:pStyle w:val="TextoNormalNegritaCursivandice"/>
      </w:pPr>
      <w:r>
        <w:t>Ley de la Asamblea de Madrid 6/2011, de 28 de diciembre. Medidas fiscales y administrativas</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03" w:history="1">
        <w:r w:rsidRPr="00DD47EB">
          <w:rPr>
            <w:rStyle w:val="TextoNormalCaracter"/>
          </w:rPr>
          <w:t>103/2015</w:t>
        </w:r>
      </w:hyperlink>
      <w:r>
        <w:t>, f. 2.</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103" w:history="1">
        <w:r w:rsidRPr="00DD47EB">
          <w:rPr>
            <w:rStyle w:val="TextoNormalCaracter"/>
          </w:rPr>
          <w:t>103/2015</w:t>
        </w:r>
      </w:hyperlink>
      <w:r>
        <w:t>, ff. 1, 2.</w:t>
      </w:r>
    </w:p>
    <w:p w:rsidR="00DD47EB" w:rsidRDefault="00DD47EB" w:rsidP="00DD47EB">
      <w:pPr>
        <w:pStyle w:val="SangriaFrancesaArticulo"/>
      </w:pPr>
      <w:r w:rsidRPr="00DD47EB">
        <w:rPr>
          <w:rStyle w:val="TextoNormalNegritaCaracter"/>
        </w:rPr>
        <w:t>Artículo 5.1.</w:t>
      </w:r>
      <w:r w:rsidRPr="00DD47EB">
        <w:rPr>
          <w:rStyle w:val="TextoNormalCaracter"/>
        </w:rPr>
        <w:t>-</w:t>
      </w:r>
      <w:r>
        <w:t xml:space="preserve"> Sentencia </w:t>
      </w:r>
      <w:hyperlink w:anchor="SENTENCIA_2015_103" w:history="1">
        <w:r w:rsidRPr="00DD47EB">
          <w:rPr>
            <w:rStyle w:val="TextoNormalCaracter"/>
          </w:rPr>
          <w:t>103/2015</w:t>
        </w:r>
      </w:hyperlink>
      <w:r>
        <w:t>, f. 2.</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103" w:history="1">
        <w:r w:rsidRPr="00DD47EB">
          <w:rPr>
            <w:rStyle w:val="TextoNormalCaracter"/>
          </w:rPr>
          <w:t>103/2015</w:t>
        </w:r>
      </w:hyperlink>
      <w:r>
        <w:t>, ff. 2, 3, 7, 8, 10.</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103" w:history="1">
        <w:r w:rsidRPr="00DD47EB">
          <w:rPr>
            <w:rStyle w:val="TextoNormalCaracter"/>
          </w:rPr>
          <w:t>103/2015</w:t>
        </w:r>
      </w:hyperlink>
      <w:r>
        <w:t>, f. 2.</w:t>
      </w:r>
    </w:p>
    <w:p w:rsidR="00DD47EB" w:rsidRDefault="00DD47EB" w:rsidP="00DD47EB">
      <w:pPr>
        <w:pStyle w:val="SangriaFrancesaArticulo"/>
      </w:pPr>
    </w:p>
    <w:p w:rsidR="00DD47EB" w:rsidRDefault="00DD47EB" w:rsidP="00DD47EB">
      <w:pPr>
        <w:pStyle w:val="TextoNormalNegritaCursivandice"/>
      </w:pPr>
      <w:r>
        <w:t>Ley de la Asamblea de Madrid 8/2012, de 28 de diciembre. Medidas fiscales y administrativas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4" w:history="1">
        <w:r w:rsidRPr="00DD47EB">
          <w:rPr>
            <w:rStyle w:val="TextoNormalCaracter"/>
          </w:rPr>
          <w:t>84/2015</w:t>
        </w:r>
      </w:hyperlink>
      <w:r>
        <w:t>, f. 7.</w:t>
      </w:r>
    </w:p>
    <w:p w:rsidR="00DD47EB" w:rsidRDefault="00DD47EB" w:rsidP="00DD47EB">
      <w:pPr>
        <w:pStyle w:val="SangriaFrancesaArticulo"/>
      </w:pPr>
      <w:r w:rsidRPr="00DD47EB">
        <w:rPr>
          <w:rStyle w:val="TextoNormalNegritaCaracter"/>
        </w:rPr>
        <w:t>Artículo 48.</w:t>
      </w:r>
      <w:r w:rsidRPr="00DD47EB">
        <w:rPr>
          <w:rStyle w:val="TextoNormalCaracter"/>
        </w:rPr>
        <w:t>-</w:t>
      </w:r>
      <w:r>
        <w:t xml:space="preserve"> Auto </w:t>
      </w:r>
      <w:hyperlink w:anchor="AUTO_2015_69" w:history="1">
        <w:r w:rsidRPr="00DD47EB">
          <w:rPr>
            <w:rStyle w:val="TextoNormalCaracter"/>
          </w:rPr>
          <w:t>69/2015</w:t>
        </w:r>
      </w:hyperlink>
      <w:r>
        <w:t>, f. 4.</w:t>
      </w:r>
    </w:p>
    <w:p w:rsidR="00DD47EB" w:rsidRDefault="00DD47EB" w:rsidP="00DD47EB">
      <w:pPr>
        <w:pStyle w:val="SangriaFrancesaArticulo"/>
      </w:pPr>
      <w:r w:rsidRPr="00DD47EB">
        <w:rPr>
          <w:rStyle w:val="TextoNormalNegritaCaracter"/>
        </w:rPr>
        <w:t>Artículo 48.2.</w:t>
      </w:r>
      <w:r w:rsidRPr="00DD47EB">
        <w:rPr>
          <w:rStyle w:val="TextoNormalCaracter"/>
        </w:rPr>
        <w:t>-</w:t>
      </w:r>
      <w:r>
        <w:t xml:space="preserve"> Auto </w:t>
      </w:r>
      <w:hyperlink w:anchor="AUTO_2015_69" w:history="1">
        <w:r w:rsidRPr="00DD47EB">
          <w:rPr>
            <w:rStyle w:val="TextoNormalCaracter"/>
          </w:rPr>
          <w:t>69/2015</w:t>
        </w:r>
      </w:hyperlink>
      <w:r>
        <w:t>, f. 1.</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 </w:t>
      </w:r>
      <w:hyperlink w:anchor="SENTENCIA_2015_84" w:history="1">
        <w:r w:rsidRPr="00DD47EB">
          <w:rPr>
            <w:rStyle w:val="TextoNormalCaracter"/>
          </w:rPr>
          <w:t>84/2015</w:t>
        </w:r>
      </w:hyperlink>
      <w:r>
        <w:t>, ff. 1 a 3, 6 a 8.</w:t>
      </w:r>
    </w:p>
    <w:p w:rsidR="00DD47EB" w:rsidRDefault="00DD47EB" w:rsidP="00DD47EB">
      <w:pPr>
        <w:pStyle w:val="SangriaFrancesaArticulo"/>
      </w:pPr>
      <w:r w:rsidRPr="00DD47EB">
        <w:rPr>
          <w:rStyle w:val="TextoNormalNegritaCaracter"/>
        </w:rPr>
        <w:t>Artículo 62.1.</w:t>
      </w:r>
      <w:r w:rsidRPr="00DD47EB">
        <w:rPr>
          <w:rStyle w:val="TextoNormalCaracter"/>
        </w:rPr>
        <w:t>-</w:t>
      </w:r>
      <w:r>
        <w:t xml:space="preserve"> Sentencia </w:t>
      </w:r>
      <w:hyperlink w:anchor="SENTENCIA_2015_84" w:history="1">
        <w:r w:rsidRPr="00DD47EB">
          <w:rPr>
            <w:rStyle w:val="TextoNormalCaracter"/>
          </w:rPr>
          <w:t>84/2015</w:t>
        </w:r>
      </w:hyperlink>
      <w:r>
        <w:t>, ff. 5, 7.</w:t>
      </w:r>
    </w:p>
    <w:p w:rsidR="00DD47EB" w:rsidRDefault="00DD47EB" w:rsidP="00DD47EB">
      <w:pPr>
        <w:pStyle w:val="SangriaFrancesaArticulo"/>
      </w:pPr>
      <w:r w:rsidRPr="00DD47EB">
        <w:rPr>
          <w:rStyle w:val="TextoNormalNegritaCaracter"/>
        </w:rPr>
        <w:t>Artículo 63.</w:t>
      </w:r>
      <w:r w:rsidRPr="00DD47EB">
        <w:rPr>
          <w:rStyle w:val="TextoNormalCaracter"/>
        </w:rPr>
        <w:t>-</w:t>
      </w:r>
      <w:r>
        <w:t xml:space="preserve"> Sentencia </w:t>
      </w:r>
      <w:hyperlink w:anchor="SENTENCIA_2015_84" w:history="1">
        <w:r w:rsidRPr="00DD47EB">
          <w:rPr>
            <w:rStyle w:val="TextoNormalCaracter"/>
          </w:rPr>
          <w:t>84/2015</w:t>
        </w:r>
      </w:hyperlink>
      <w:r>
        <w:t>, ff. 1 a 3, 6.</w:t>
      </w:r>
    </w:p>
    <w:p w:rsidR="00DD47EB" w:rsidRDefault="00DD47EB" w:rsidP="00DD47EB">
      <w:pPr>
        <w:pStyle w:val="SangriaFrancesaArticulo"/>
      </w:pPr>
    </w:p>
    <w:p w:rsidR="00DD47EB" w:rsidRDefault="00DD47EB" w:rsidP="00DD47EB">
      <w:pPr>
        <w:pStyle w:val="TextoNormalNegritaCursivandice"/>
      </w:pPr>
      <w:r>
        <w:t>Decreto Legislativo del Consejo de Gobierno de la Comunidad de Madrid 1/2010, de 21 de octubre. Texto refundido de las disposiciones legales de la Comunidad de Madrid en materia de tributos cedidos por el Estado</w:t>
      </w:r>
    </w:p>
    <w:p w:rsidR="00DD47EB" w:rsidRDefault="00DD47EB" w:rsidP="00DD47EB">
      <w:pPr>
        <w:pStyle w:val="SangriaFrancesaArticulo"/>
      </w:pPr>
      <w:r w:rsidRPr="00DD47EB">
        <w:rPr>
          <w:rStyle w:val="TextoNormalNegritaCaracter"/>
        </w:rPr>
        <w:t>Artículo 29.</w:t>
      </w:r>
      <w:r w:rsidRPr="00DD47EB">
        <w:rPr>
          <w:rStyle w:val="TextoNormalCaracter"/>
        </w:rPr>
        <w:t>-</w:t>
      </w:r>
      <w:r>
        <w:t xml:space="preserve"> Sentencia </w:t>
      </w:r>
      <w:hyperlink w:anchor="SENTENCIA_2015_77" w:history="1">
        <w:r w:rsidRPr="00DD47EB">
          <w:rPr>
            <w:rStyle w:val="TextoNormalCaracter"/>
          </w:rPr>
          <w:t>77/2015</w:t>
        </w:r>
      </w:hyperlink>
      <w:r>
        <w:t>, ff. 2, 4.</w:t>
      </w:r>
    </w:p>
    <w:p w:rsidR="00DD47EB" w:rsidRDefault="00DD47EB" w:rsidP="00DD47EB">
      <w:pPr>
        <w:pStyle w:val="TextoNormal"/>
      </w:pPr>
    </w:p>
    <w:p w:rsidR="00DD47EB" w:rsidRDefault="00DD47EB" w:rsidP="00DD47EB">
      <w:pPr>
        <w:pStyle w:val="TextoNormalNegritaCentradoSubrayado"/>
        <w:suppressAutoHyphens/>
      </w:pPr>
      <w:r>
        <w:t>J.12.c)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Decreto del Consejo de Gobierno de la Comunidad de Madrid 137/1985, de 20 de diciembre. Aprueba el Reglamento sobre régimen económico y financiero del abastecimiento y saneamiento de agua en la Comunidad de Madrid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3" w:history="1">
        <w:r w:rsidRPr="00DD47EB">
          <w:rPr>
            <w:rStyle w:val="TextoNormalCaracter"/>
          </w:rPr>
          <w:t>103/2015</w:t>
        </w:r>
      </w:hyperlink>
      <w:r>
        <w:t>, f. 10.</w:t>
      </w:r>
    </w:p>
    <w:p w:rsidR="00DD47EB" w:rsidRDefault="00DD47EB" w:rsidP="00DD47EB">
      <w:pPr>
        <w:pStyle w:val="SangriaFrancesaArticulo"/>
      </w:pPr>
    </w:p>
    <w:p w:rsidR="00DD47EB" w:rsidRDefault="00DD47EB" w:rsidP="00DD47EB">
      <w:pPr>
        <w:pStyle w:val="TextoNormalNegritaCursivandice"/>
      </w:pPr>
      <w:r>
        <w:t>Orden de la Consejería de Sanidad de la Comunidad de Madrid 2073/2007, de 12 de septiembre. Unidad Técnica de Control</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4" w:history="1">
        <w:r w:rsidRPr="00DD47EB">
          <w:rPr>
            <w:rStyle w:val="TextoNormalCaracter"/>
          </w:rPr>
          <w:t>84/2015</w:t>
        </w:r>
      </w:hyperlink>
      <w:r>
        <w:t>, f. 1.</w:t>
      </w:r>
    </w:p>
    <w:p w:rsidR="00DD47EB" w:rsidRDefault="00DD47EB" w:rsidP="00DD47EB">
      <w:pPr>
        <w:pStyle w:val="SangriaFrancesaArticulo"/>
      </w:pPr>
    </w:p>
    <w:p w:rsidR="00DD47EB" w:rsidRDefault="00DD47EB" w:rsidP="00DD47EB">
      <w:pPr>
        <w:pStyle w:val="TextoNormalNegritaCursivandice"/>
      </w:pPr>
      <w:r>
        <w:t>Decreto del Consejo de Gobierno de la Comunidad de Madrid 23/2008, de 3 de abril. Establece la estructura orgánica del Servicio madrileño de salud</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SangriaFrancesaArticulo"/>
      </w:pPr>
    </w:p>
    <w:p w:rsidR="00DD47EB" w:rsidRDefault="00DD47EB" w:rsidP="00DD47EB">
      <w:pPr>
        <w:pStyle w:val="TextoNormalNegritaCursivandice"/>
      </w:pPr>
      <w:r>
        <w:t>Orden de la Consejería de Sanidad de la Comunidad de Madrid 199/2013, de 22 de marzo. Aprueba el Plan de Ordenación de Recursos Humanos del Servicio Madrileño de Salud</w:t>
      </w:r>
    </w:p>
    <w:p w:rsidR="00DD47EB" w:rsidRDefault="00DD47EB" w:rsidP="00DD47EB">
      <w:pPr>
        <w:pStyle w:val="SangriaFrancesaArticulo"/>
      </w:pPr>
      <w:r w:rsidRPr="00DD47EB">
        <w:rPr>
          <w:rStyle w:val="TextoNormalNegritaCaracter"/>
        </w:rPr>
        <w:t>Epígrafe 15.</w:t>
      </w:r>
      <w:r w:rsidRPr="00DD47EB">
        <w:rPr>
          <w:rStyle w:val="TextoNormalCaracter"/>
        </w:rPr>
        <w:t>-</w:t>
      </w:r>
      <w:r>
        <w:t xml:space="preserve"> Auto </w:t>
      </w:r>
      <w:hyperlink w:anchor="AUTO_2015_69" w:history="1">
        <w:r w:rsidRPr="00DD47EB">
          <w:rPr>
            <w:rStyle w:val="TextoNormalCaracter"/>
          </w:rPr>
          <w:t>69/2015</w:t>
        </w:r>
      </w:hyperlink>
      <w:r>
        <w:t>, f. 4.</w:t>
      </w:r>
    </w:p>
    <w:p w:rsidR="00DD47EB" w:rsidRDefault="00DD47EB" w:rsidP="00DD47EB">
      <w:pPr>
        <w:pStyle w:val="SangriaFrancesaArticulo"/>
      </w:pPr>
    </w:p>
    <w:p w:rsidR="00DD47EB" w:rsidRDefault="00DD47EB" w:rsidP="00DD47EB">
      <w:pPr>
        <w:pStyle w:val="TextoNormalNegritaCursivandice"/>
      </w:pPr>
      <w:r>
        <w:t>Resolución de la Consejería de Sanidad de la Comunidad de Madrid de 25 de marzo de 2013. Procede a la aplicación del Plan de Ordenación de Recursos Humanos del Servicio Madrileño de Salud en materia de jubilación forzosa y de prolongación y prórroga de la permanencia en el servicio activo del personal estatutario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69" w:history="1">
        <w:r w:rsidRPr="00DD47EB">
          <w:rPr>
            <w:rStyle w:val="TextoNormalCaracter"/>
          </w:rPr>
          <w:t>69/2015</w:t>
        </w:r>
      </w:hyperlink>
      <w:r>
        <w:t>, f. 4.</w:t>
      </w:r>
    </w:p>
    <w:p w:rsidR="00DD47EB" w:rsidRDefault="00DD47EB" w:rsidP="00DD47EB">
      <w:pPr>
        <w:pStyle w:val="SangriaFrancesaArticulo"/>
      </w:pPr>
    </w:p>
    <w:p w:rsidR="00DD47EB" w:rsidRDefault="00DD47EB" w:rsidP="00DD47EB">
      <w:pPr>
        <w:pStyle w:val="TextoNormalNegritaCursivandice"/>
      </w:pPr>
      <w:r>
        <w:t>Decreto del Consejo de Gobierno de la Comunidad de Madrid 23/2014, de 6 de marzo. Establece la estructura orgánica del Servicio Madrileño de Salud</w:t>
      </w:r>
    </w:p>
    <w:p w:rsidR="00DD47EB" w:rsidRDefault="00DD47EB" w:rsidP="00DD47EB">
      <w:pPr>
        <w:pStyle w:val="SangriaFrancesaArticulo"/>
      </w:pPr>
      <w:r w:rsidRPr="00DD47EB">
        <w:rPr>
          <w:rStyle w:val="TextoNormalNegritaCaracter"/>
        </w:rPr>
        <w:t>Disposición adicional primera.</w:t>
      </w:r>
      <w:r w:rsidRPr="00DD47EB">
        <w:rPr>
          <w:rStyle w:val="TextoNormalCaracter"/>
        </w:rPr>
        <w:t>-</w:t>
      </w:r>
      <w:r>
        <w:t xml:space="preserve"> Sentencia </w:t>
      </w:r>
      <w:hyperlink w:anchor="SENTENCIA_2015_84" w:history="1">
        <w:r w:rsidRPr="00DD47EB">
          <w:rPr>
            <w:rStyle w:val="TextoNormalCaracter"/>
          </w:rPr>
          <w:t>84/2015</w:t>
        </w:r>
      </w:hyperlink>
      <w:r>
        <w:t>, f. 5.</w:t>
      </w:r>
    </w:p>
    <w:p w:rsidR="00DD47EB" w:rsidRDefault="00DD47EB" w:rsidP="00DD47EB">
      <w:pPr>
        <w:pStyle w:val="TextoNormal"/>
      </w:pPr>
    </w:p>
    <w:p w:rsidR="00DD47EB" w:rsidRDefault="00DD47EB" w:rsidP="00DD47EB">
      <w:pPr>
        <w:pStyle w:val="TextoNormalNegritaCentradoSubrayado"/>
        <w:suppressAutoHyphens/>
      </w:pPr>
      <w:r>
        <w:t>J.12.d) Normas parlamentarias autonómicas</w:t>
      </w:r>
    </w:p>
    <w:p w:rsidR="00DD47EB" w:rsidRDefault="00DD47EB" w:rsidP="00DD47EB">
      <w:pPr>
        <w:pStyle w:val="TextoNormalNegritaCentradoSubrayado"/>
      </w:pPr>
    </w:p>
    <w:p w:rsidR="00DD47EB" w:rsidRDefault="00DD47EB" w:rsidP="00DD47EB">
      <w:pPr>
        <w:pStyle w:val="TextoNormalNegritaCursivandice"/>
      </w:pPr>
      <w:r>
        <w:t>Reglamento de la Asamblea de Madrid, de 18 de febrero de 1984</w:t>
      </w:r>
    </w:p>
    <w:p w:rsidR="00DD47EB" w:rsidRDefault="00DD47EB" w:rsidP="00DD47EB">
      <w:pPr>
        <w:pStyle w:val="SangriaFrancesaArticulo"/>
      </w:pPr>
      <w:r w:rsidRPr="00DD47EB">
        <w:rPr>
          <w:rStyle w:val="TextoNormalNegritaCaracter"/>
        </w:rPr>
        <w:t>Artículo 18.</w:t>
      </w:r>
      <w:r w:rsidRPr="00DD47EB">
        <w:rPr>
          <w:rStyle w:val="TextoNormalCaracter"/>
        </w:rPr>
        <w:t>-</w:t>
      </w:r>
      <w:r>
        <w:t xml:space="preserve"> Sentencia </w:t>
      </w:r>
      <w:hyperlink w:anchor="SENTENCIA_2015_1" w:history="1">
        <w:r w:rsidRPr="00DD47EB">
          <w:rPr>
            <w:rStyle w:val="TextoNormalCaracter"/>
          </w:rPr>
          <w:t>1/2015</w:t>
        </w:r>
      </w:hyperlink>
      <w:r>
        <w:t>, f. 6.</w:t>
      </w:r>
    </w:p>
    <w:p w:rsidR="00DD47EB" w:rsidRDefault="00DD47EB" w:rsidP="00DD47EB">
      <w:pPr>
        <w:pStyle w:val="SangriaFrancesaArticulo"/>
      </w:pPr>
      <w:r w:rsidRPr="00DD47EB">
        <w:rPr>
          <w:rStyle w:val="TextoNormalNegritaCaracter"/>
        </w:rPr>
        <w:t>Artículo 49.1 c).</w:t>
      </w:r>
      <w:r w:rsidRPr="00DD47EB">
        <w:rPr>
          <w:rStyle w:val="TextoNormalCaracter"/>
        </w:rPr>
        <w:t>-</w:t>
      </w:r>
      <w:r>
        <w:t xml:space="preserve"> Sentencias </w:t>
      </w:r>
      <w:hyperlink w:anchor="SENTENCIA_2015_1" w:history="1">
        <w:r w:rsidRPr="00DD47EB">
          <w:rPr>
            <w:rStyle w:val="TextoNormalCaracter"/>
          </w:rPr>
          <w:t>1/2015</w:t>
        </w:r>
      </w:hyperlink>
      <w:r>
        <w:t xml:space="preserve">, ff. 4, 6, 7; </w:t>
      </w:r>
      <w:hyperlink w:anchor="SENTENCIA_2015_23" w:history="1">
        <w:r w:rsidRPr="00DD47EB">
          <w:rPr>
            <w:rStyle w:val="TextoNormalCaracter"/>
          </w:rPr>
          <w:t>23/2015</w:t>
        </w:r>
      </w:hyperlink>
      <w:r>
        <w:t>, ff. 4 a 6, 8.</w:t>
      </w:r>
    </w:p>
    <w:p w:rsidR="00DD47EB" w:rsidRDefault="00DD47EB" w:rsidP="00DD47EB">
      <w:pPr>
        <w:pStyle w:val="SangriaFrancesaArticulo"/>
      </w:pPr>
      <w:r w:rsidRPr="00DD47EB">
        <w:rPr>
          <w:rStyle w:val="TextoNormalNegritaCaracter"/>
        </w:rPr>
        <w:t>Artículo 70.1 e).</w:t>
      </w:r>
      <w:r w:rsidRPr="00DD47EB">
        <w:rPr>
          <w:rStyle w:val="TextoNormalCaracter"/>
        </w:rPr>
        <w:t>-</w:t>
      </w:r>
      <w:r>
        <w:t xml:space="preserve"> Sentencias </w:t>
      </w:r>
      <w:hyperlink w:anchor="SENTENCIA_2015_1" w:history="1">
        <w:r w:rsidRPr="00DD47EB">
          <w:rPr>
            <w:rStyle w:val="TextoNormalCaracter"/>
          </w:rPr>
          <w:t>1/2015</w:t>
        </w:r>
      </w:hyperlink>
      <w:r>
        <w:t xml:space="preserve">, f. 4; </w:t>
      </w:r>
      <w:hyperlink w:anchor="SENTENCIA_2015_23" w:history="1">
        <w:r w:rsidRPr="00DD47EB">
          <w:rPr>
            <w:rStyle w:val="TextoNormalCaracter"/>
          </w:rPr>
          <w:t>23/2015</w:t>
        </w:r>
      </w:hyperlink>
      <w:r>
        <w:t>, f. 5.</w:t>
      </w:r>
    </w:p>
    <w:p w:rsidR="00DD47EB" w:rsidRDefault="00DD47EB" w:rsidP="00DD47EB">
      <w:pPr>
        <w:pStyle w:val="SangriaFrancesaArticulo"/>
      </w:pPr>
      <w:r w:rsidRPr="00DD47EB">
        <w:rPr>
          <w:rStyle w:val="TextoNormalNegritaCaracter"/>
        </w:rPr>
        <w:t>Artículo 70.2.</w:t>
      </w:r>
      <w:r w:rsidRPr="00DD47EB">
        <w:rPr>
          <w:rStyle w:val="TextoNormalCaracter"/>
        </w:rPr>
        <w:t>-</w:t>
      </w:r>
      <w:r>
        <w:t xml:space="preserve"> Sentencias </w:t>
      </w:r>
      <w:hyperlink w:anchor="SENTENCIA_2015_1" w:history="1">
        <w:r w:rsidRPr="00DD47EB">
          <w:rPr>
            <w:rStyle w:val="TextoNormalCaracter"/>
          </w:rPr>
          <w:t>1/2015</w:t>
        </w:r>
      </w:hyperlink>
      <w:r>
        <w:t xml:space="preserve">, f. 4; </w:t>
      </w:r>
      <w:hyperlink w:anchor="SENTENCIA_2015_23" w:history="1">
        <w:r w:rsidRPr="00DD47EB">
          <w:rPr>
            <w:rStyle w:val="TextoNormalCaracter"/>
          </w:rPr>
          <w:t>23/2015</w:t>
        </w:r>
      </w:hyperlink>
      <w:r>
        <w:t>, ff. 5, 6.</w:t>
      </w:r>
    </w:p>
    <w:p w:rsidR="00DD47EB" w:rsidRDefault="00DD47EB" w:rsidP="00DD47EB">
      <w:pPr>
        <w:pStyle w:val="SangriaFrancesaArticulo"/>
      </w:pPr>
      <w:r w:rsidRPr="00DD47EB">
        <w:rPr>
          <w:rStyle w:val="TextoNormalNegritaCaracter"/>
        </w:rPr>
        <w:t>Artículo 140.1.</w:t>
      </w:r>
      <w:r w:rsidRPr="00DD47EB">
        <w:rPr>
          <w:rStyle w:val="TextoNormalCaracter"/>
        </w:rPr>
        <w:t>-</w:t>
      </w:r>
      <w:r>
        <w:t xml:space="preserve"> Sentencia </w:t>
      </w:r>
      <w:hyperlink w:anchor="SENTENCIA_2015_84" w:history="1">
        <w:r w:rsidRPr="00DD47EB">
          <w:rPr>
            <w:rStyle w:val="TextoNormalCaracter"/>
          </w:rPr>
          <w:t>84/2015</w:t>
        </w:r>
      </w:hyperlink>
      <w:r>
        <w:t>, f. 4.</w:t>
      </w:r>
    </w:p>
    <w:p w:rsidR="00DD47EB" w:rsidRDefault="00DD47EB" w:rsidP="00DD47EB">
      <w:pPr>
        <w:pStyle w:val="SangriaFrancesaArticulo"/>
      </w:pPr>
      <w:r w:rsidRPr="00DD47EB">
        <w:rPr>
          <w:rStyle w:val="TextoNormalNegritaCaracter"/>
        </w:rPr>
        <w:t>Artículo 191.</w:t>
      </w:r>
      <w:r w:rsidRPr="00DD47EB">
        <w:rPr>
          <w:rStyle w:val="TextoNormalCaracter"/>
        </w:rPr>
        <w:t>-</w:t>
      </w:r>
      <w:r>
        <w:t xml:space="preserve"> Sentencias </w:t>
      </w:r>
      <w:hyperlink w:anchor="SENTENCIA_2015_1" w:history="1">
        <w:r w:rsidRPr="00DD47EB">
          <w:rPr>
            <w:rStyle w:val="TextoNormalCaracter"/>
          </w:rPr>
          <w:t>1/2015</w:t>
        </w:r>
      </w:hyperlink>
      <w:r>
        <w:t xml:space="preserve">, f. 6; </w:t>
      </w:r>
      <w:hyperlink w:anchor="SENTENCIA_2015_23" w:history="1">
        <w:r w:rsidRPr="00DD47EB">
          <w:rPr>
            <w:rStyle w:val="TextoNormalCaracter"/>
          </w:rPr>
          <w:t>23/2015</w:t>
        </w:r>
      </w:hyperlink>
      <w:r>
        <w:t>, f. 8.</w:t>
      </w:r>
    </w:p>
    <w:p w:rsidR="00DD47EB" w:rsidRDefault="00DD47EB" w:rsidP="00DD47EB">
      <w:pPr>
        <w:pStyle w:val="SangriaFrancesaArticulo"/>
      </w:pPr>
      <w:r w:rsidRPr="00DD47EB">
        <w:rPr>
          <w:rStyle w:val="TextoNormalNegritaCaracter"/>
        </w:rPr>
        <w:t>Artículo 192.</w:t>
      </w:r>
      <w:r w:rsidRPr="00DD47EB">
        <w:rPr>
          <w:rStyle w:val="TextoNormalCaracter"/>
        </w:rPr>
        <w:t>-</w:t>
      </w:r>
      <w:r>
        <w:t xml:space="preserve"> Sentencias </w:t>
      </w:r>
      <w:hyperlink w:anchor="SENTENCIA_2015_1" w:history="1">
        <w:r w:rsidRPr="00DD47EB">
          <w:rPr>
            <w:rStyle w:val="TextoNormalCaracter"/>
          </w:rPr>
          <w:t>1/2015</w:t>
        </w:r>
      </w:hyperlink>
      <w:r>
        <w:t xml:space="preserve">, f. 6; </w:t>
      </w:r>
      <w:hyperlink w:anchor="SENTENCIA_2015_23" w:history="1">
        <w:r w:rsidRPr="00DD47EB">
          <w:rPr>
            <w:rStyle w:val="TextoNormalCaracter"/>
          </w:rPr>
          <w:t>23/2015</w:t>
        </w:r>
      </w:hyperlink>
      <w:r>
        <w:t>, f. 8.</w:t>
      </w:r>
    </w:p>
    <w:p w:rsidR="00DD47EB" w:rsidRDefault="00DD47EB" w:rsidP="00DD47EB">
      <w:pPr>
        <w:pStyle w:val="SangriaFrancesaArticulo"/>
      </w:pPr>
      <w:r w:rsidRPr="00DD47EB">
        <w:rPr>
          <w:rStyle w:val="TextoNormalNegritaCaracter"/>
        </w:rPr>
        <w:t>Artículo 192.3.</w:t>
      </w:r>
      <w:r w:rsidRPr="00DD47EB">
        <w:rPr>
          <w:rStyle w:val="TextoNormalCaracter"/>
        </w:rPr>
        <w:t>-</w:t>
      </w:r>
      <w:r>
        <w:t xml:space="preserve"> Sentencia </w:t>
      </w:r>
      <w:hyperlink w:anchor="SENTENCIA_2015_23" w:history="1">
        <w:r w:rsidRPr="00DD47EB">
          <w:rPr>
            <w:rStyle w:val="TextoNormalCaracter"/>
          </w:rPr>
          <w:t>23/2015</w:t>
        </w:r>
      </w:hyperlink>
      <w:r>
        <w:t>, f. 8.</w:t>
      </w:r>
    </w:p>
    <w:p w:rsidR="00DD47EB" w:rsidRDefault="00DD47EB" w:rsidP="00DD47EB">
      <w:pPr>
        <w:pStyle w:val="SangriaFrancesaArticulo"/>
      </w:pPr>
      <w:r w:rsidRPr="00DD47EB">
        <w:rPr>
          <w:rStyle w:val="TextoNormalNegritaCaracter"/>
        </w:rPr>
        <w:t>Artículo 192.3 d).</w:t>
      </w:r>
      <w:r w:rsidRPr="00DD47EB">
        <w:rPr>
          <w:rStyle w:val="TextoNormalCaracter"/>
        </w:rPr>
        <w:t>-</w:t>
      </w:r>
      <w:r>
        <w:t xml:space="preserve"> Sentencia </w:t>
      </w:r>
      <w:hyperlink w:anchor="SENTENCIA_2015_23" w:history="1">
        <w:r w:rsidRPr="00DD47EB">
          <w:rPr>
            <w:rStyle w:val="TextoNormalCaracter"/>
          </w:rPr>
          <w:t>23/2015</w:t>
        </w:r>
      </w:hyperlink>
      <w:r>
        <w:t>, f. 8.</w:t>
      </w:r>
    </w:p>
    <w:p w:rsidR="00DD47EB" w:rsidRDefault="00DD47EB" w:rsidP="00DD47EB">
      <w:pPr>
        <w:pStyle w:val="SangriaFrancesaArticulo"/>
      </w:pPr>
      <w:r w:rsidRPr="00DD47EB">
        <w:rPr>
          <w:rStyle w:val="TextoNormalNegritaCaracter"/>
        </w:rPr>
        <w:t>Artículo 205.</w:t>
      </w:r>
      <w:r w:rsidRPr="00DD47EB">
        <w:rPr>
          <w:rStyle w:val="TextoNormalCaracter"/>
        </w:rPr>
        <w:t>-</w:t>
      </w:r>
      <w:r>
        <w:t xml:space="preserve"> Sentencias </w:t>
      </w:r>
      <w:hyperlink w:anchor="SENTENCIA_2015_1" w:history="1">
        <w:r w:rsidRPr="00DD47EB">
          <w:rPr>
            <w:rStyle w:val="TextoNormalCaracter"/>
          </w:rPr>
          <w:t>1/2015</w:t>
        </w:r>
      </w:hyperlink>
      <w:r>
        <w:t xml:space="preserve">, f. 7; </w:t>
      </w:r>
      <w:hyperlink w:anchor="SENTENCIA_2015_23" w:history="1">
        <w:r w:rsidRPr="00DD47EB">
          <w:rPr>
            <w:rStyle w:val="TextoNormalCaracter"/>
          </w:rPr>
          <w:t>23/2015</w:t>
        </w:r>
      </w:hyperlink>
      <w:r>
        <w:t>, f. 7.</w:t>
      </w:r>
    </w:p>
    <w:p w:rsidR="00DD47EB" w:rsidRDefault="00DD47EB" w:rsidP="00DD47EB">
      <w:pPr>
        <w:pStyle w:val="SangriaFrancesaArticulo"/>
      </w:pPr>
      <w:r w:rsidRPr="00DD47EB">
        <w:rPr>
          <w:rStyle w:val="TextoNormalNegritaCaracter"/>
        </w:rPr>
        <w:t>Artículo 206.</w:t>
      </w:r>
      <w:r w:rsidRPr="00DD47EB">
        <w:rPr>
          <w:rStyle w:val="TextoNormalCaracter"/>
        </w:rPr>
        <w:t>-</w:t>
      </w:r>
      <w:r>
        <w:t xml:space="preserve"> Sentencias </w:t>
      </w:r>
      <w:hyperlink w:anchor="SENTENCIA_2015_1" w:history="1">
        <w:r w:rsidRPr="00DD47EB">
          <w:rPr>
            <w:rStyle w:val="TextoNormalCaracter"/>
          </w:rPr>
          <w:t>1/2015</w:t>
        </w:r>
      </w:hyperlink>
      <w:r>
        <w:t xml:space="preserve">, f. 7; </w:t>
      </w:r>
      <w:hyperlink w:anchor="SENTENCIA_2015_23" w:history="1">
        <w:r w:rsidRPr="00DD47EB">
          <w:rPr>
            <w:rStyle w:val="TextoNormalCaracter"/>
          </w:rPr>
          <w:t>23/2015</w:t>
        </w:r>
      </w:hyperlink>
      <w:r>
        <w:t>, f. 7.</w:t>
      </w:r>
    </w:p>
    <w:p w:rsidR="00DD47EB" w:rsidRDefault="00DD47EB" w:rsidP="00DD47EB">
      <w:pPr>
        <w:pStyle w:val="SangriaFrancesaArticulo"/>
      </w:pPr>
      <w:r w:rsidRPr="00DD47EB">
        <w:rPr>
          <w:rStyle w:val="TextoNormalNegritaCaracter"/>
        </w:rPr>
        <w:t>Artículo 208.</w:t>
      </w:r>
      <w:r w:rsidRPr="00DD47EB">
        <w:rPr>
          <w:rStyle w:val="TextoNormalCaracter"/>
        </w:rPr>
        <w:t>-</w:t>
      </w:r>
      <w:r>
        <w:t xml:space="preserve"> Sentencia </w:t>
      </w:r>
      <w:hyperlink w:anchor="SENTENCIA_2015_23" w:history="1">
        <w:r w:rsidRPr="00DD47EB">
          <w:rPr>
            <w:rStyle w:val="TextoNormalCaracter"/>
          </w:rPr>
          <w:t>23/2015</w:t>
        </w:r>
      </w:hyperlink>
      <w:r>
        <w:t>, f. 6.</w:t>
      </w:r>
    </w:p>
    <w:p w:rsidR="00DD47EB" w:rsidRDefault="00DD47EB" w:rsidP="00DD47EB">
      <w:pPr>
        <w:pStyle w:val="SangriaFrancesaArticulo"/>
      </w:pPr>
      <w:r w:rsidRPr="00DD47EB">
        <w:rPr>
          <w:rStyle w:val="TextoNormalNegritaCaracter"/>
        </w:rPr>
        <w:t>Artículo 208.1.</w:t>
      </w:r>
      <w:r w:rsidRPr="00DD47EB">
        <w:rPr>
          <w:rStyle w:val="TextoNormalCaracter"/>
        </w:rPr>
        <w:t>-</w:t>
      </w:r>
      <w:r>
        <w:t xml:space="preserve"> Sentencia </w:t>
      </w:r>
      <w:hyperlink w:anchor="SENTENCIA_2015_23" w:history="1">
        <w:r w:rsidRPr="00DD47EB">
          <w:rPr>
            <w:rStyle w:val="TextoNormalCaracter"/>
          </w:rPr>
          <w:t>23/2015</w:t>
        </w:r>
      </w:hyperlink>
      <w:r>
        <w:t>, f. 6.</w:t>
      </w:r>
    </w:p>
    <w:p w:rsidR="00DD47EB" w:rsidRDefault="00DD47EB" w:rsidP="00DD47EB">
      <w:pPr>
        <w:pStyle w:val="SangriaFrancesaArticulo"/>
      </w:pPr>
      <w:r w:rsidRPr="00DD47EB">
        <w:rPr>
          <w:rStyle w:val="TextoNormalNegritaCaracter"/>
        </w:rPr>
        <w:t>Artículo 211.</w:t>
      </w:r>
      <w:r w:rsidRPr="00DD47EB">
        <w:rPr>
          <w:rStyle w:val="TextoNormalCaracter"/>
        </w:rPr>
        <w:t>-</w:t>
      </w:r>
      <w:r>
        <w:t xml:space="preserve"> Sentencias </w:t>
      </w:r>
      <w:hyperlink w:anchor="SENTENCIA_2015_1" w:history="1">
        <w:r w:rsidRPr="00DD47EB">
          <w:rPr>
            <w:rStyle w:val="TextoNormalCaracter"/>
          </w:rPr>
          <w:t>1/2015</w:t>
        </w:r>
      </w:hyperlink>
      <w:r>
        <w:t xml:space="preserve">, f. 4; </w:t>
      </w:r>
      <w:hyperlink w:anchor="SENTENCIA_2015_23" w:history="1">
        <w:r w:rsidRPr="00DD47EB">
          <w:rPr>
            <w:rStyle w:val="TextoNormalCaracter"/>
          </w:rPr>
          <w:t>23/2015</w:t>
        </w:r>
      </w:hyperlink>
      <w:r>
        <w:t>, f. 5.</w:t>
      </w:r>
    </w:p>
    <w:p w:rsidR="00DD47EB" w:rsidRDefault="00DD47EB" w:rsidP="00DD47EB">
      <w:pPr>
        <w:pStyle w:val="SangriaFrancesaArticulo"/>
      </w:pPr>
      <w:r w:rsidRPr="00DD47EB">
        <w:rPr>
          <w:rStyle w:val="TextoNormalNegritaCaracter"/>
        </w:rPr>
        <w:t>Artículo 211.1.</w:t>
      </w:r>
      <w:r w:rsidRPr="00DD47EB">
        <w:rPr>
          <w:rStyle w:val="TextoNormalCaracter"/>
        </w:rPr>
        <w:t>-</w:t>
      </w:r>
      <w:r>
        <w:t xml:space="preserve"> Sentencia </w:t>
      </w:r>
      <w:hyperlink w:anchor="SENTENCIA_2015_1" w:history="1">
        <w:r w:rsidRPr="00DD47EB">
          <w:rPr>
            <w:rStyle w:val="TextoNormalCaracter"/>
          </w:rPr>
          <w:t>1/2015</w:t>
        </w:r>
      </w:hyperlink>
      <w:r>
        <w:t>, f. 5.</w:t>
      </w:r>
    </w:p>
    <w:p w:rsidR="00DD47EB" w:rsidRDefault="00DD47EB" w:rsidP="00DD47EB">
      <w:pPr>
        <w:pStyle w:val="SangriaFrancesaArticulo"/>
      </w:pPr>
    </w:p>
    <w:p w:rsidR="00DD47EB" w:rsidRDefault="00DD47EB" w:rsidP="00DD47EB">
      <w:pPr>
        <w:pStyle w:val="TextoNormalNegritaCursivandice"/>
      </w:pPr>
      <w:r>
        <w:t>Acuerdos de la Mesa de la Asamblea de Madrid de 6 de mayo y de 3 de junio de 2013. Inadmisión a trámite las preguntas de respuesta oral en Pleno 465/2013 y 466/2013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 w:history="1">
        <w:r w:rsidRPr="00DD47EB">
          <w:rPr>
            <w:rStyle w:val="TextoNormalCaracter"/>
          </w:rPr>
          <w:t>1/2015</w:t>
        </w:r>
      </w:hyperlink>
      <w:r>
        <w:t>, f. 6.</w:t>
      </w:r>
    </w:p>
    <w:p w:rsidR="00DD47EB" w:rsidRDefault="00DD47EB" w:rsidP="00DD47EB">
      <w:pPr>
        <w:pStyle w:val="SangriaFrancesaArticulo"/>
      </w:pPr>
    </w:p>
    <w:p w:rsidR="00DD47EB" w:rsidRDefault="00DD47EB" w:rsidP="00DD47EB">
      <w:pPr>
        <w:pStyle w:val="TextoNormalNegritaCursivandice"/>
      </w:pPr>
      <w:r>
        <w:t>Acuerdos de la Mesa de la Asamblea de Madrid de 13 de mayo y de 10 de junio de 2013. Inadmisión a trámite de la proposición no de ley 63/2013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 w:history="1">
        <w:r w:rsidRPr="00DD47EB">
          <w:rPr>
            <w:rStyle w:val="TextoNormalCaracter"/>
          </w:rPr>
          <w:t>1/2015</w:t>
        </w:r>
      </w:hyperlink>
      <w:r>
        <w:t>, f. 7.</w:t>
      </w:r>
    </w:p>
    <w:p w:rsidR="00DD47EB" w:rsidRDefault="00DD47EB" w:rsidP="00DD47EB">
      <w:pPr>
        <w:pStyle w:val="SangriaFrancesaArticulo"/>
      </w:pPr>
    </w:p>
    <w:p w:rsidR="00DD47EB" w:rsidRDefault="00DD47EB" w:rsidP="00DD47EB">
      <w:pPr>
        <w:pStyle w:val="TextoNormalNegritaCursivandice"/>
      </w:pPr>
      <w:r>
        <w:t>Acuerdos de la Mesa de la Asamblea de Madrid de 17 de junio de 2013 y de 24 de septiembre de 2013. Inadmisión de la proposición no de ley 87-2013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f. 8.</w:t>
      </w:r>
    </w:p>
    <w:p w:rsidR="00DD47EB" w:rsidRDefault="00DD47EB" w:rsidP="00DD47EB">
      <w:pPr>
        <w:pStyle w:val="SangriaFrancesaArticulo"/>
      </w:pPr>
    </w:p>
    <w:p w:rsidR="00DD47EB" w:rsidRDefault="00DD47EB" w:rsidP="00DD47EB">
      <w:pPr>
        <w:pStyle w:val="TextoNormalNegritaCursivandice"/>
      </w:pPr>
      <w:r>
        <w:t>Acuerdos de la Mesa de la Asamblea de Madrid de 17 de junio de 2013 y de 24 de septiembre de 2013. Inadmisión de las comparecencias 767-2013, 768-2013 y 769-2013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f. 8.</w:t>
      </w:r>
    </w:p>
    <w:p w:rsidR="00DD47EB" w:rsidRDefault="00DD47EB" w:rsidP="00DD47EB">
      <w:pPr>
        <w:pStyle w:val="SangriaFrancesaArticulo"/>
      </w:pPr>
    </w:p>
    <w:p w:rsidR="00DD47EB" w:rsidRDefault="00DD47EB" w:rsidP="00DD47EB">
      <w:pPr>
        <w:pStyle w:val="TextoNormalNegritaCursivandice"/>
      </w:pPr>
      <w:r>
        <w:t>Acuerdos de la Mesa de la Asamblea de Madrid de 11 de julio de 2013 y de 30 de septiembre de 2013. Inadmisión de la pregunta de respuesta escrita 1041-2013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f. 8.</w:t>
      </w:r>
    </w:p>
    <w:p w:rsidR="00DD47EB" w:rsidRDefault="00DD47EB" w:rsidP="00DD47EB">
      <w:pPr>
        <w:pStyle w:val="SangriaFrancesaArticulo"/>
      </w:pPr>
    </w:p>
    <w:p w:rsidR="00DD47EB" w:rsidRDefault="00DD47EB" w:rsidP="00DD47EB">
      <w:pPr>
        <w:pStyle w:val="TextoNormalNegritaCursivandice"/>
      </w:pPr>
      <w:r>
        <w:t>Acuerdos de la Mesa de la Asamblea de Madrid de 26 de agosto de 2013 y de 30 de septiembre de 2013. Inadmisión de la comparecencia 895-2013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ff. 6, 8.</w:t>
      </w:r>
    </w:p>
    <w:p w:rsidR="00DD47EB" w:rsidRDefault="00DD47EB" w:rsidP="00DD47EB">
      <w:pPr>
        <w:pStyle w:val="SangriaFrancesaArticulo"/>
      </w:pPr>
    </w:p>
    <w:p w:rsidR="00DD47EB" w:rsidRDefault="00DD47EB" w:rsidP="00DD47EB">
      <w:pPr>
        <w:pStyle w:val="TextoNormalNegritaCursivandice"/>
      </w:pPr>
      <w:r>
        <w:t>Acuerdos de la Mesa de la Asamblea de Madrid de 26 de agosto de 2013 y de 30 de septiembre de 2013. Inadmisión de la comparecencia 925-2013 y desestimación de la reconsideración</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3" w:history="1">
        <w:r w:rsidRPr="00DD47EB">
          <w:rPr>
            <w:rStyle w:val="TextoNormalCaracter"/>
          </w:rPr>
          <w:t>23/2015</w:t>
        </w:r>
      </w:hyperlink>
      <w:r>
        <w:t>, ff. 6, 8.</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J.13) Murcia</w:t>
      </w:r>
    </w:p>
    <w:p w:rsidR="00DD47EB" w:rsidRDefault="00DD47EB" w:rsidP="00DD47EB">
      <w:pPr>
        <w:pStyle w:val="TextoNormal"/>
      </w:pPr>
    </w:p>
    <w:p w:rsidR="00DD47EB" w:rsidRDefault="00DD47EB" w:rsidP="00DD47EB">
      <w:pPr>
        <w:pStyle w:val="TextoNormalNegritaCentradoSubrayado"/>
        <w:suppressAutoHyphens/>
      </w:pPr>
      <w:r>
        <w:t>J.13.b)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 la Asamblea Regional de Murcia 5/2012, de 29 de junio. Ajuste presupuestario y de medidas en materia de función pública</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Auto </w:t>
      </w:r>
      <w:hyperlink w:anchor="AUTO_2015_103" w:history="1">
        <w:r w:rsidRPr="00DD47EB">
          <w:rPr>
            <w:rStyle w:val="TextoNormalCaracter"/>
          </w:rPr>
          <w:t>103/2015</w:t>
        </w:r>
      </w:hyperlink>
      <w:r>
        <w:t>, ff. 1, 3.</w:t>
      </w:r>
    </w:p>
    <w:p w:rsidR="00DD47EB" w:rsidRDefault="00DD47EB" w:rsidP="00DD47EB">
      <w:pPr>
        <w:pStyle w:val="SangriaFrancesaArticulo"/>
      </w:pPr>
      <w:r w:rsidRPr="00DD47EB">
        <w:rPr>
          <w:rStyle w:val="TextoNormalNegritaCaracter"/>
        </w:rPr>
        <w:t>Artículo 12.1.</w:t>
      </w:r>
      <w:r w:rsidRPr="00DD47EB">
        <w:rPr>
          <w:rStyle w:val="TextoNormalCaracter"/>
        </w:rPr>
        <w:t>-</w:t>
      </w:r>
      <w:r>
        <w:t xml:space="preserve"> Auto </w:t>
      </w:r>
      <w:hyperlink w:anchor="AUTO_2015_103" w:history="1">
        <w:r w:rsidRPr="00DD47EB">
          <w:rPr>
            <w:rStyle w:val="TextoNormalCaracter"/>
          </w:rPr>
          <w:t>103/2015</w:t>
        </w:r>
      </w:hyperlink>
      <w:r>
        <w:t>, ff. 1 a 3.</w:t>
      </w:r>
    </w:p>
    <w:p w:rsidR="00DD47EB" w:rsidRDefault="00DD47EB" w:rsidP="00DD47EB">
      <w:pPr>
        <w:pStyle w:val="SangriaFrancesaArticulo"/>
      </w:pPr>
      <w:r w:rsidRPr="00DD47EB">
        <w:rPr>
          <w:rStyle w:val="TextoNormalNegritaCaracter"/>
        </w:rPr>
        <w:t>Artículo 12.2.</w:t>
      </w:r>
      <w:r w:rsidRPr="00DD47EB">
        <w:rPr>
          <w:rStyle w:val="TextoNormalCaracter"/>
        </w:rPr>
        <w:t>-</w:t>
      </w:r>
      <w:r>
        <w:t xml:space="preserve"> Auto </w:t>
      </w:r>
      <w:hyperlink w:anchor="AUTO_2015_103" w:history="1">
        <w:r w:rsidRPr="00DD47EB">
          <w:rPr>
            <w:rStyle w:val="TextoNormalCaracter"/>
          </w:rPr>
          <w:t>103/2015</w:t>
        </w:r>
      </w:hyperlink>
      <w:r>
        <w:t>, f. 1.</w:t>
      </w:r>
    </w:p>
    <w:p w:rsidR="00DD47EB" w:rsidRDefault="00DD47EB" w:rsidP="00DD47EB">
      <w:pPr>
        <w:pStyle w:val="SangriaFrancesaArticulo"/>
      </w:pPr>
    </w:p>
    <w:p w:rsidR="00DD47EB" w:rsidRDefault="00DD47EB" w:rsidP="00DD47EB">
      <w:pPr>
        <w:pStyle w:val="TextoNormalNegritaCursivandice"/>
      </w:pPr>
      <w:r>
        <w:t>Ley de la Asamblea Regional de Murcia 9/2012, de 8 de noviembre. Adaptación de la normativa regional en materia de función pública al Real Decreto-ley 20/2012, de 13 de julio, de medidas para garantizar la estabilidad presupuestaria y de fomento de la competitividad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1" w:history="1">
        <w:r w:rsidRPr="00DD47EB">
          <w:rPr>
            <w:rStyle w:val="TextoNormalCaracter"/>
          </w:rPr>
          <w:t>141/2015</w:t>
        </w:r>
      </w:hyperlink>
      <w:r>
        <w:t>, f. 2.</w:t>
      </w:r>
    </w:p>
    <w:p w:rsidR="00DD47EB" w:rsidRDefault="00DD47EB" w:rsidP="00DD47EB">
      <w:pPr>
        <w:pStyle w:val="SangriaFrancesaArticulo"/>
      </w:pPr>
    </w:p>
    <w:p w:rsidR="00DD47EB" w:rsidRDefault="00DD47EB" w:rsidP="00DD47EB">
      <w:pPr>
        <w:pStyle w:val="TextoNormalNegritaCursivandice"/>
      </w:pPr>
      <w:r>
        <w:t>Ley 13/2014, de 23 de diciembre. Presupuestos Generales de la Comunidad Autónoma de la Región de Murcia para el ejercicio 2015</w:t>
      </w:r>
    </w:p>
    <w:p w:rsidR="00DD47EB" w:rsidRDefault="00DD47EB" w:rsidP="00DD47EB">
      <w:pPr>
        <w:pStyle w:val="SangriaFrancesaArticulo"/>
      </w:pPr>
      <w:r w:rsidRPr="00DD47EB">
        <w:rPr>
          <w:rStyle w:val="TextoNormalNegritaCaracter"/>
        </w:rPr>
        <w:t>Disposición adicional vigesimoséptima.</w:t>
      </w:r>
      <w:r w:rsidRPr="00DD47EB">
        <w:rPr>
          <w:rStyle w:val="TextoNormalCaracter"/>
        </w:rPr>
        <w:t>-</w:t>
      </w:r>
      <w:r>
        <w:t xml:space="preserve"> Sentencia </w:t>
      </w:r>
      <w:hyperlink w:anchor="SENTENCIA_2015_141" w:history="1">
        <w:r w:rsidRPr="00DD47EB">
          <w:rPr>
            <w:rStyle w:val="TextoNormalCaracter"/>
          </w:rPr>
          <w:t>141/2015</w:t>
        </w:r>
      </w:hyperlink>
      <w:r>
        <w:t>, f. 2.</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J.14) Navarra</w:t>
      </w:r>
    </w:p>
    <w:p w:rsidR="00DD47EB" w:rsidRDefault="00DD47EB" w:rsidP="00DD47EB">
      <w:pPr>
        <w:pStyle w:val="TextoNormal"/>
      </w:pPr>
    </w:p>
    <w:p w:rsidR="00DD47EB" w:rsidRDefault="00DD47EB" w:rsidP="00DD47EB">
      <w:pPr>
        <w:pStyle w:val="TextoNormalNegritaCentradoSubrayado"/>
        <w:suppressAutoHyphens/>
      </w:pPr>
      <w:r>
        <w:t>J.14.a) Estatuto de Autonomía</w:t>
      </w:r>
    </w:p>
    <w:p w:rsidR="00DD47EB" w:rsidRDefault="00DD47EB" w:rsidP="00DD47EB">
      <w:pPr>
        <w:pStyle w:val="TextoNormalNegritaCentradoSubrayado"/>
      </w:pPr>
    </w:p>
    <w:p w:rsidR="00DD47EB" w:rsidRDefault="00DD47EB" w:rsidP="00DD47EB">
      <w:pPr>
        <w:pStyle w:val="TextoNormalNegritaCursivandice"/>
      </w:pPr>
      <w:r>
        <w:t>Ley Orgánica 13/1982, de 10 de agosto. Reintegración y amejoramiento del régimen foral de Navarra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8" w:history="1">
        <w:r w:rsidRPr="00DD47EB">
          <w:rPr>
            <w:rStyle w:val="TextoNormalCaracter"/>
          </w:rPr>
          <w:t>108/2015</w:t>
        </w:r>
      </w:hyperlink>
      <w:r>
        <w:t>, f. 3.</w:t>
      </w:r>
    </w:p>
    <w:p w:rsidR="00DD47EB" w:rsidRDefault="00DD47EB" w:rsidP="00DD47EB">
      <w:pPr>
        <w:pStyle w:val="SangriaFrancesaArticulo"/>
      </w:pPr>
      <w:r w:rsidRPr="00DD47EB">
        <w:rPr>
          <w:rStyle w:val="TextoNormalNegritaCaracter"/>
        </w:rPr>
        <w:t>Artículo 44.1.</w:t>
      </w:r>
      <w:r w:rsidRPr="00DD47EB">
        <w:rPr>
          <w:rStyle w:val="TextoNormalCaracter"/>
        </w:rPr>
        <w:t>-</w:t>
      </w:r>
      <w:r>
        <w:t xml:space="preserve"> Sentencias </w:t>
      </w:r>
      <w:hyperlink w:anchor="SENTENCIA_2015_57" w:history="1">
        <w:r w:rsidRPr="00DD47EB">
          <w:rPr>
            <w:rStyle w:val="TextoNormalCaracter"/>
          </w:rPr>
          <w:t>57/2015</w:t>
        </w:r>
      </w:hyperlink>
      <w:r>
        <w:t xml:space="preserve">, f. 17; </w:t>
      </w:r>
      <w:hyperlink w:anchor="SENTENCIA_2015_92" w:history="1">
        <w:r w:rsidRPr="00DD47EB">
          <w:rPr>
            <w:rStyle w:val="TextoNormalCaracter"/>
          </w:rPr>
          <w:t>92/2015</w:t>
        </w:r>
      </w:hyperlink>
      <w:r>
        <w:t>, f. 7.</w:t>
      </w:r>
    </w:p>
    <w:p w:rsidR="00DD47EB" w:rsidRDefault="00DD47EB" w:rsidP="00DD47EB">
      <w:pPr>
        <w:pStyle w:val="SangriaFrancesaArticulo"/>
      </w:pPr>
      <w:r w:rsidRPr="00DD47EB">
        <w:rPr>
          <w:rStyle w:val="TextoNormalNegritaCaracter"/>
        </w:rPr>
        <w:t>Artículo 44.20.</w:t>
      </w:r>
      <w:r w:rsidRPr="00DD47EB">
        <w:rPr>
          <w:rStyle w:val="TextoNormalCaracter"/>
        </w:rPr>
        <w:t>-</w:t>
      </w:r>
      <w:r>
        <w:t xml:space="preserve"> Sentencia </w:t>
      </w:r>
      <w:hyperlink w:anchor="SENTENCIA_2015_14" w:history="1">
        <w:r w:rsidRPr="00DD47EB">
          <w:rPr>
            <w:rStyle w:val="TextoNormalCaracter"/>
          </w:rPr>
          <w:t>14/2015</w:t>
        </w:r>
      </w:hyperlink>
      <w:r>
        <w:t>, ff. 3, 5.</w:t>
      </w:r>
    </w:p>
    <w:p w:rsidR="00DD47EB" w:rsidRDefault="00DD47EB" w:rsidP="00DD47EB">
      <w:pPr>
        <w:pStyle w:val="SangriaFrancesaArticulo"/>
      </w:pPr>
      <w:r w:rsidRPr="00DD47EB">
        <w:rPr>
          <w:rStyle w:val="TextoNormalNegritaCaracter"/>
        </w:rPr>
        <w:t>Artículo 45.</w:t>
      </w:r>
      <w:r w:rsidRPr="00DD47EB">
        <w:rPr>
          <w:rStyle w:val="TextoNormalCaracter"/>
        </w:rPr>
        <w:t>-</w:t>
      </w:r>
      <w:r>
        <w:t xml:space="preserve"> Sentencia </w:t>
      </w:r>
      <w:hyperlink w:anchor="SENTENCIA_2015_94" w:history="1">
        <w:r w:rsidRPr="00DD47EB">
          <w:rPr>
            <w:rStyle w:val="TextoNormalCaracter"/>
          </w:rPr>
          <w:t>94/2015</w:t>
        </w:r>
      </w:hyperlink>
      <w:r>
        <w:t>, f. 3.</w:t>
      </w:r>
    </w:p>
    <w:p w:rsidR="00DD47EB" w:rsidRDefault="00DD47EB" w:rsidP="00DD47EB">
      <w:pPr>
        <w:pStyle w:val="SangriaFrancesaArticulo"/>
      </w:pPr>
      <w:r w:rsidRPr="00DD47EB">
        <w:rPr>
          <w:rStyle w:val="TextoNormalNegritaCaracter"/>
        </w:rPr>
        <w:t>Artículo 49.1 b).</w:t>
      </w:r>
      <w:r w:rsidRPr="00DD47EB">
        <w:rPr>
          <w:rStyle w:val="TextoNormalCaracter"/>
        </w:rPr>
        <w:t>-</w:t>
      </w:r>
      <w:r>
        <w:t xml:space="preserve"> Sentencia </w:t>
      </w:r>
      <w:hyperlink w:anchor="SENTENCIA_2015_94" w:history="1">
        <w:r w:rsidRPr="00DD47EB">
          <w:rPr>
            <w:rStyle w:val="TextoNormalCaracter"/>
          </w:rPr>
          <w:t>94/2015</w:t>
        </w:r>
      </w:hyperlink>
      <w:r>
        <w:t>, f. 3.</w:t>
      </w:r>
    </w:p>
    <w:p w:rsidR="00DD47EB" w:rsidRDefault="00DD47EB" w:rsidP="00DD47EB">
      <w:pPr>
        <w:pStyle w:val="SangriaFrancesaArticulo"/>
      </w:pPr>
      <w:r w:rsidRPr="00DD47EB">
        <w:rPr>
          <w:rStyle w:val="TextoNormalNegritaCaracter"/>
        </w:rPr>
        <w:t>Artículo 56.1.</w:t>
      </w:r>
      <w:r w:rsidRPr="00DD47EB">
        <w:rPr>
          <w:rStyle w:val="TextoNormalCaracter"/>
        </w:rPr>
        <w:t>-</w:t>
      </w:r>
      <w:r>
        <w:t xml:space="preserve"> Sentencia </w:t>
      </w:r>
      <w:hyperlink w:anchor="SENTENCIA_2015_14" w:history="1">
        <w:r w:rsidRPr="00DD47EB">
          <w:rPr>
            <w:rStyle w:val="TextoNormalCaracter"/>
          </w:rPr>
          <w:t>14/2015</w:t>
        </w:r>
      </w:hyperlink>
      <w:r>
        <w:t>, f. 3.</w:t>
      </w:r>
    </w:p>
    <w:p w:rsidR="00DD47EB" w:rsidRDefault="00DD47EB" w:rsidP="00DD47EB">
      <w:pPr>
        <w:pStyle w:val="SangriaFrancesaArticulo"/>
      </w:pPr>
      <w:r w:rsidRPr="00DD47EB">
        <w:rPr>
          <w:rStyle w:val="TextoNormalNegritaCaracter"/>
        </w:rPr>
        <w:t>Artículo 64.</w:t>
      </w:r>
      <w:r w:rsidRPr="00DD47EB">
        <w:rPr>
          <w:rStyle w:val="TextoNormalCaracter"/>
        </w:rPr>
        <w:t>-</w:t>
      </w:r>
      <w:r>
        <w:t xml:space="preserve"> Sentencia </w:t>
      </w:r>
      <w:hyperlink w:anchor="SENTENCIA_2015_94" w:history="1">
        <w:r w:rsidRPr="00DD47EB">
          <w:rPr>
            <w:rStyle w:val="TextoNormalCaracter"/>
          </w:rPr>
          <w:t>94/2015</w:t>
        </w:r>
      </w:hyperlink>
      <w:r>
        <w:t>, f. 3.</w:t>
      </w:r>
    </w:p>
    <w:p w:rsidR="00DD47EB" w:rsidRDefault="00DD47EB" w:rsidP="00DD47EB">
      <w:pPr>
        <w:pStyle w:val="TextoNormal"/>
      </w:pPr>
    </w:p>
    <w:p w:rsidR="00DD47EB" w:rsidRDefault="00DD47EB" w:rsidP="00DD47EB">
      <w:pPr>
        <w:pStyle w:val="TextoNormalNegritaCentradoSubrayado"/>
        <w:suppressAutoHyphens/>
      </w:pPr>
      <w:r>
        <w:t>J.14.b)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Foral 13/2000, de 14 de diciembre. General Tributaria</w:t>
      </w:r>
    </w:p>
    <w:p w:rsidR="00DD47EB" w:rsidRDefault="00DD47EB" w:rsidP="00DD47EB">
      <w:pPr>
        <w:pStyle w:val="SangriaFrancesaArticulo"/>
      </w:pPr>
      <w:r w:rsidRPr="00DD47EB">
        <w:rPr>
          <w:rStyle w:val="TextoNormalNegritaCaracter"/>
        </w:rPr>
        <w:t>Artículo 131.2.</w:t>
      </w:r>
      <w:r w:rsidRPr="00DD47EB">
        <w:rPr>
          <w:rStyle w:val="TextoNormalCaracter"/>
        </w:rPr>
        <w:t>-</w:t>
      </w:r>
      <w:r>
        <w:t xml:space="preserve"> Sentencia </w:t>
      </w:r>
      <w:hyperlink w:anchor="SENTENCIA_2015_54" w:history="1">
        <w:r w:rsidRPr="00DD47EB">
          <w:rPr>
            <w:rStyle w:val="TextoNormalCaracter"/>
          </w:rPr>
          <w:t>54/2015</w:t>
        </w:r>
      </w:hyperlink>
      <w:r>
        <w:t>, f. 6.</w:t>
      </w:r>
    </w:p>
    <w:p w:rsidR="00DD47EB" w:rsidRDefault="00DD47EB" w:rsidP="00DD47EB">
      <w:pPr>
        <w:pStyle w:val="SangriaFrancesaArticulo"/>
      </w:pPr>
    </w:p>
    <w:p w:rsidR="00DD47EB" w:rsidRDefault="00DD47EB" w:rsidP="00DD47EB">
      <w:pPr>
        <w:pStyle w:val="TextoNormalNegritaCursivandice"/>
      </w:pPr>
      <w:r>
        <w:t>Ley Foral del Parlamento de Navarra 28/2012, de 28 de diciembre. Crea, con efectos para el año 2012, un complemento personal transitorio por pérdida de poder adquisitivo</w:t>
      </w:r>
    </w:p>
    <w:p w:rsidR="00DD47EB" w:rsidRDefault="00DD47EB" w:rsidP="00DD47EB">
      <w:pPr>
        <w:pStyle w:val="SangriaFrancesaArticulo"/>
      </w:pPr>
      <w:r w:rsidRPr="00DD47EB">
        <w:rPr>
          <w:rStyle w:val="TextoNormalNegritaCaracter"/>
        </w:rPr>
        <w:t>Artículo único, apartado 2.</w:t>
      </w:r>
      <w:r w:rsidRPr="00DD47EB">
        <w:rPr>
          <w:rStyle w:val="TextoNormalCaracter"/>
        </w:rPr>
        <w:t>-</w:t>
      </w:r>
      <w:r>
        <w:t xml:space="preserve"> Sentencia </w:t>
      </w:r>
      <w:hyperlink w:anchor="SENTENCIA_2015_94" w:history="1">
        <w:r w:rsidRPr="00DD47EB">
          <w:rPr>
            <w:rStyle w:val="TextoNormalCaracter"/>
          </w:rPr>
          <w:t>94/2015</w:t>
        </w:r>
      </w:hyperlink>
      <w:r>
        <w:t>, f. 1.</w:t>
      </w:r>
    </w:p>
    <w:p w:rsidR="00DD47EB" w:rsidRDefault="00DD47EB" w:rsidP="00DD47EB">
      <w:pPr>
        <w:pStyle w:val="SangriaFrancesaArticulo"/>
      </w:pPr>
      <w:r w:rsidRPr="00DD47EB">
        <w:rPr>
          <w:rStyle w:val="TextoNormalNegritaCaracter"/>
        </w:rPr>
        <w:t>Artículo único,apartado 1.</w:t>
      </w:r>
      <w:r w:rsidRPr="00DD47EB">
        <w:rPr>
          <w:rStyle w:val="TextoNormalCaracter"/>
        </w:rPr>
        <w:t>-</w:t>
      </w:r>
      <w:r>
        <w:t xml:space="preserve"> Sentencia </w:t>
      </w:r>
      <w:hyperlink w:anchor="SENTENCIA_2015_94" w:history="1">
        <w:r w:rsidRPr="00DD47EB">
          <w:rPr>
            <w:rStyle w:val="TextoNormalCaracter"/>
          </w:rPr>
          <w:t>94/2015</w:t>
        </w:r>
      </w:hyperlink>
      <w:r>
        <w:t>, f. 1.</w:t>
      </w:r>
    </w:p>
    <w:p w:rsidR="00DD47EB" w:rsidRDefault="00DD47EB" w:rsidP="00DD47EB">
      <w:pPr>
        <w:pStyle w:val="SangriaFrancesaArticulo"/>
      </w:pPr>
    </w:p>
    <w:p w:rsidR="00DD47EB" w:rsidRDefault="00DD47EB" w:rsidP="00DD47EB">
      <w:pPr>
        <w:pStyle w:val="TextoNormalNegritaCursivandice"/>
      </w:pPr>
      <w:r>
        <w:t>Ley Foral del Parlamento de Navarra 25/2013, de 2 de julio. Modifica la Ley Foral 28/2012, de 28 de diciembre, por la que se crea, con efectos para el año 2012, un complemento personal transitorio por pérdida de poder adquisitivo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4" w:history="1">
        <w:r w:rsidRPr="00DD47EB">
          <w:rPr>
            <w:rStyle w:val="TextoNormalCaracter"/>
          </w:rPr>
          <w:t>94/2015</w:t>
        </w:r>
      </w:hyperlink>
      <w:r>
        <w:t>, f. 2.</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94" w:history="1">
        <w:r w:rsidRPr="00DD47EB">
          <w:rPr>
            <w:rStyle w:val="TextoNormalCaracter"/>
          </w:rPr>
          <w:t>94/2015</w:t>
        </w:r>
      </w:hyperlink>
      <w:r>
        <w:t>, f. 1.</w:t>
      </w:r>
    </w:p>
    <w:p w:rsidR="00DD47EB" w:rsidRDefault="00DD47EB" w:rsidP="00DD47EB">
      <w:pPr>
        <w:pStyle w:val="SangriaFrancesaArticulo"/>
      </w:pPr>
      <w:r w:rsidRPr="00DD47EB">
        <w:rPr>
          <w:rStyle w:val="TextoNormalNegritaCaracter"/>
        </w:rPr>
        <w:t>Artículo único.</w:t>
      </w:r>
      <w:r w:rsidRPr="00DD47EB">
        <w:rPr>
          <w:rStyle w:val="TextoNormalCaracter"/>
        </w:rPr>
        <w:t>-</w:t>
      </w:r>
      <w:r>
        <w:t xml:space="preserve"> Sentencia </w:t>
      </w:r>
      <w:hyperlink w:anchor="SENTENCIA_2015_94" w:history="1">
        <w:r w:rsidRPr="00DD47EB">
          <w:rPr>
            <w:rStyle w:val="TextoNormalCaracter"/>
          </w:rPr>
          <w:t>94/2015</w:t>
        </w:r>
      </w:hyperlink>
      <w:r>
        <w:t>, ff. 1, 3 a 6.</w:t>
      </w:r>
    </w:p>
    <w:p w:rsidR="00DD47EB" w:rsidRDefault="00DD47EB" w:rsidP="00DD47EB">
      <w:pPr>
        <w:pStyle w:val="SangriaFrancesaArticulo"/>
      </w:pPr>
      <w:r w:rsidRPr="00DD47EB">
        <w:rPr>
          <w:rStyle w:val="TextoNormalNegritaCaracter"/>
        </w:rPr>
        <w:t>Disposición final.</w:t>
      </w:r>
      <w:r w:rsidRPr="00DD47EB">
        <w:rPr>
          <w:rStyle w:val="TextoNormalCaracter"/>
        </w:rPr>
        <w:t>-</w:t>
      </w:r>
      <w:r>
        <w:t xml:space="preserve"> Sentencia </w:t>
      </w:r>
      <w:hyperlink w:anchor="SENTENCIA_2015_94" w:history="1">
        <w:r w:rsidRPr="00DD47EB">
          <w:rPr>
            <w:rStyle w:val="TextoNormalCaracter"/>
          </w:rPr>
          <w:t>94/2015</w:t>
        </w:r>
      </w:hyperlink>
      <w:r>
        <w:t>, f. 6.</w:t>
      </w:r>
    </w:p>
    <w:p w:rsidR="00DD47EB" w:rsidRDefault="00DD47EB" w:rsidP="00DD47EB">
      <w:pPr>
        <w:pStyle w:val="SangriaFrancesaArticulo"/>
      </w:pPr>
    </w:p>
    <w:p w:rsidR="00DD47EB" w:rsidRDefault="00DD47EB" w:rsidP="00DD47EB">
      <w:pPr>
        <w:pStyle w:val="TextoNormalNegritaCursivandice"/>
      </w:pPr>
      <w:r>
        <w:t>Ley Foral del Parlamento de Navarra 2/2014, de 17 de febrero. Órganos rectores de determinadas fundaciones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 w:history="1">
        <w:r w:rsidRPr="00DD47EB">
          <w:rPr>
            <w:rStyle w:val="TextoNormalCaracter"/>
          </w:rPr>
          <w:t>14/2015</w:t>
        </w:r>
      </w:hyperlink>
      <w:r>
        <w:t>, ff. 1, 3 a 6.</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4" w:history="1">
        <w:r w:rsidRPr="00DD47EB">
          <w:rPr>
            <w:rStyle w:val="TextoNormalCaracter"/>
          </w:rPr>
          <w:t>14/2015</w:t>
        </w:r>
      </w:hyperlink>
      <w:r>
        <w:t>, ff. 3, 5.</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adicional tercera.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adicional cuarta.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adicional quinta.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adicional sexta.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adicional séptima.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transitoria primera.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transitoria tercera.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SangriaFrancesaArticulo"/>
      </w:pPr>
      <w:r w:rsidRPr="00DD47EB">
        <w:rPr>
          <w:rStyle w:val="TextoNormalNegritaCaracter"/>
        </w:rPr>
        <w:t>Disposición transitoria cuarta.</w:t>
      </w:r>
      <w:r w:rsidRPr="00DD47EB">
        <w:rPr>
          <w:rStyle w:val="TextoNormalCaracter"/>
        </w:rPr>
        <w:t>-</w:t>
      </w:r>
      <w:r>
        <w:t xml:space="preserve"> Sentencia </w:t>
      </w:r>
      <w:hyperlink w:anchor="SENTENCIA_2015_14" w:history="1">
        <w:r w:rsidRPr="00DD47EB">
          <w:rPr>
            <w:rStyle w:val="TextoNormalCaracter"/>
          </w:rPr>
          <w:t>14/2015</w:t>
        </w:r>
      </w:hyperlink>
      <w:r>
        <w:t>, f. 5.</w:t>
      </w:r>
    </w:p>
    <w:p w:rsidR="00DD47EB" w:rsidRDefault="00DD47EB" w:rsidP="00DD47EB">
      <w:pPr>
        <w:pStyle w:val="TextoNormal"/>
      </w:pPr>
    </w:p>
    <w:p w:rsidR="00DD47EB" w:rsidRDefault="00DD47EB" w:rsidP="00DD47EB">
      <w:pPr>
        <w:pStyle w:val="TextoNormalNegritaCentradoSubrayado"/>
        <w:suppressAutoHyphens/>
      </w:pPr>
      <w:r>
        <w:t>J.14.c)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Decreto Foral del Gobierno de Navarra 152/2001, de 11 de junio. Se aprueba el Reglamento de la Inspección Tributaria de la Administración de la Comunidad Foral de Navarra</w:t>
      </w:r>
    </w:p>
    <w:p w:rsidR="00DD47EB" w:rsidRDefault="00DD47EB" w:rsidP="00DD47EB">
      <w:pPr>
        <w:pStyle w:val="SangriaFrancesaArticulo"/>
      </w:pPr>
      <w:r w:rsidRPr="00DD47EB">
        <w:rPr>
          <w:rStyle w:val="TextoNormalNegritaCaracter"/>
        </w:rPr>
        <w:t>Artículo 40.4.</w:t>
      </w:r>
      <w:r w:rsidRPr="00DD47EB">
        <w:rPr>
          <w:rStyle w:val="TextoNormalCaracter"/>
        </w:rPr>
        <w:t>-</w:t>
      </w:r>
      <w:r>
        <w:t xml:space="preserve"> Sentencia </w:t>
      </w:r>
      <w:hyperlink w:anchor="SENTENCIA_2015_54" w:history="1">
        <w:r w:rsidRPr="00DD47EB">
          <w:rPr>
            <w:rStyle w:val="TextoNormalCaracter"/>
          </w:rPr>
          <w:t>54/2015</w:t>
        </w:r>
      </w:hyperlink>
      <w:r>
        <w:t>, f. 6.</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J.15) País Vasco</w:t>
      </w:r>
    </w:p>
    <w:p w:rsidR="00DD47EB" w:rsidRDefault="00DD47EB" w:rsidP="00DD47EB">
      <w:pPr>
        <w:pStyle w:val="TextoNormal"/>
      </w:pPr>
    </w:p>
    <w:p w:rsidR="00DD47EB" w:rsidRDefault="00DD47EB" w:rsidP="00DD47EB">
      <w:pPr>
        <w:pStyle w:val="TextoNormalNegritaCentradoSubrayado"/>
        <w:suppressAutoHyphens/>
      </w:pPr>
      <w:r>
        <w:t>J.15.b) Leyes y disposiciones con fuerza de Ley</w:t>
      </w:r>
    </w:p>
    <w:p w:rsidR="00DD47EB" w:rsidRDefault="00DD47EB" w:rsidP="00DD47EB">
      <w:pPr>
        <w:pStyle w:val="TextoNormalNegritaCentradoSubrayado"/>
      </w:pPr>
    </w:p>
    <w:p w:rsidR="00DD47EB" w:rsidRDefault="00DD47EB" w:rsidP="00DD47EB">
      <w:pPr>
        <w:pStyle w:val="TextoNormalNegritaCursivandice"/>
      </w:pPr>
      <w:r>
        <w:t>Ley del Parlamento Vasco 5/1982, de 20 de mayo. Creación del ente público «Radiotelevisión Vasca»</w:t>
      </w:r>
    </w:p>
    <w:p w:rsidR="00DD47EB" w:rsidRDefault="00DD47EB" w:rsidP="00DD47EB">
      <w:pPr>
        <w:pStyle w:val="SangriaFrancesaArticulo"/>
      </w:pPr>
      <w:r w:rsidRPr="00DD47EB">
        <w:rPr>
          <w:rStyle w:val="TextoNormalNegritaCaracter"/>
        </w:rPr>
        <w:t>Artículo 47</w:t>
      </w:r>
      <w:r>
        <w:t xml:space="preserve"> (redactado por la Ley del Parlamento Vasco 8/1998, de 27 de marzo)</w:t>
      </w:r>
      <w:r w:rsidRPr="00DD47EB">
        <w:rPr>
          <w:rStyle w:val="TextoNormalNegritaCaracter"/>
        </w:rPr>
        <w:t>.</w:t>
      </w:r>
      <w:r w:rsidRPr="00DD47EB">
        <w:rPr>
          <w:rStyle w:val="TextoNormalCaracter"/>
        </w:rPr>
        <w:t>-</w:t>
      </w:r>
      <w:r>
        <w:t xml:space="preserve"> Sentencia </w:t>
      </w:r>
      <w:hyperlink w:anchor="SENTENCIA_2015_143" w:history="1">
        <w:r w:rsidRPr="00DD47EB">
          <w:rPr>
            <w:rStyle w:val="TextoNormalCaracter"/>
          </w:rPr>
          <w:t>143/2015</w:t>
        </w:r>
      </w:hyperlink>
      <w:r>
        <w:t>, f. 2.</w:t>
      </w:r>
    </w:p>
    <w:p w:rsidR="00DD47EB" w:rsidRDefault="00DD47EB" w:rsidP="00DD47EB">
      <w:pPr>
        <w:pStyle w:val="SangriaFrancesaArticulo"/>
      </w:pPr>
    </w:p>
    <w:p w:rsidR="00DD47EB" w:rsidRDefault="00DD47EB" w:rsidP="00DD47EB">
      <w:pPr>
        <w:pStyle w:val="TextoNormalNegritaCursivandice"/>
      </w:pPr>
      <w:r>
        <w:t>Ley del Parlamento Vasco 8/1998, de 27 de marzo. Modifica la Ley de creación del Ente Público Radio Televisión Vasca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3" w:history="1">
        <w:r w:rsidRPr="00DD47EB">
          <w:rPr>
            <w:rStyle w:val="TextoNormalCaracter"/>
          </w:rPr>
          <w:t>143/2015</w:t>
        </w:r>
      </w:hyperlink>
      <w:r>
        <w:t>, f. 2.</w:t>
      </w:r>
    </w:p>
    <w:p w:rsidR="00DD47EB" w:rsidRDefault="00DD47EB" w:rsidP="00DD47EB">
      <w:pPr>
        <w:pStyle w:val="SangriaFrancesaArticulo"/>
      </w:pPr>
    </w:p>
    <w:p w:rsidR="00DD47EB" w:rsidRDefault="00DD47EB" w:rsidP="00DD47EB">
      <w:pPr>
        <w:pStyle w:val="TextoNormalNegritaCursivandice"/>
      </w:pPr>
      <w:r>
        <w:t>Ley del Parlamento Vasco 2/2009, de 23 de diciembre. Aprueba los Presupuestos Generales de la Comunidad Autónoma de Euskadi para el ejercicio 2010</w:t>
      </w:r>
    </w:p>
    <w:p w:rsidR="00DD47EB" w:rsidRDefault="00DD47EB" w:rsidP="00DD47EB">
      <w:pPr>
        <w:pStyle w:val="SangriaFrancesaArticulo"/>
      </w:pPr>
      <w:r w:rsidRPr="00DD47EB">
        <w:rPr>
          <w:rStyle w:val="TextoNormalNegritaCaracter"/>
        </w:rPr>
        <w:t>Artículo 23 bis.</w:t>
      </w:r>
      <w:r w:rsidRPr="00DD47EB">
        <w:rPr>
          <w:rStyle w:val="TextoNormalCaracter"/>
        </w:rPr>
        <w:t>-</w:t>
      </w:r>
      <w:r>
        <w:t xml:space="preserve"> Sentencia </w:t>
      </w:r>
      <w:hyperlink w:anchor="SENTENCIA_2015_143" w:history="1">
        <w:r w:rsidRPr="00DD47EB">
          <w:rPr>
            <w:rStyle w:val="TextoNormalCaracter"/>
          </w:rPr>
          <w:t>143/2015</w:t>
        </w:r>
      </w:hyperlink>
      <w:r>
        <w:t>, ff. 1, 4.</w:t>
      </w:r>
    </w:p>
    <w:p w:rsidR="00DD47EB" w:rsidRDefault="00DD47EB" w:rsidP="00DD47EB">
      <w:pPr>
        <w:pStyle w:val="SangriaFrancesaArticulo"/>
      </w:pPr>
      <w:r w:rsidRPr="00DD47EB">
        <w:rPr>
          <w:rStyle w:val="TextoNormalNegritaCaracter"/>
        </w:rPr>
        <w:t>Artículo 23.9</w:t>
      </w:r>
      <w:r>
        <w:t xml:space="preserve"> (redactado por la Ley del Parlamento Vasco 3/2010, de 24 de junio)</w:t>
      </w:r>
      <w:r w:rsidRPr="00DD47EB">
        <w:rPr>
          <w:rStyle w:val="TextoNormalNegritaCaracter"/>
        </w:rPr>
        <w:t>.</w:t>
      </w:r>
      <w:r w:rsidRPr="00DD47EB">
        <w:rPr>
          <w:rStyle w:val="TextoNormalCaracter"/>
        </w:rPr>
        <w:t>-</w:t>
      </w:r>
      <w:r>
        <w:t xml:space="preserve"> Sentencia </w:t>
      </w:r>
      <w:hyperlink w:anchor="SENTENCIA_2015_143" w:history="1">
        <w:r w:rsidRPr="00DD47EB">
          <w:rPr>
            <w:rStyle w:val="TextoNormalCaracter"/>
          </w:rPr>
          <w:t>143/2015</w:t>
        </w:r>
      </w:hyperlink>
      <w:r>
        <w:t>, ff. 1 a 3.</w:t>
      </w:r>
    </w:p>
    <w:p w:rsidR="00DD47EB" w:rsidRDefault="00DD47EB" w:rsidP="00DD47EB">
      <w:pPr>
        <w:pStyle w:val="SangriaFrancesaArticulo"/>
      </w:pPr>
    </w:p>
    <w:p w:rsidR="00DD47EB" w:rsidRDefault="00DD47EB" w:rsidP="00DD47EB">
      <w:pPr>
        <w:pStyle w:val="TextoNormalNegritaCursivandice"/>
      </w:pPr>
      <w:r>
        <w:t>Ley del Parlamento Vasco 3/2010, de 24 de junio. Modifica la Ley por la que se aprueban los Presupuestos Generales de la Comunidad Autónoma de Euskadi para el ejercicio 2010</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3" w:history="1">
        <w:r w:rsidRPr="00DD47EB">
          <w:rPr>
            <w:rStyle w:val="TextoNormalCaracter"/>
          </w:rPr>
          <w:t>143/2015</w:t>
        </w:r>
      </w:hyperlink>
      <w:r>
        <w:t>, ff. 1, 3.</w:t>
      </w:r>
    </w:p>
    <w:p w:rsidR="00DD47EB" w:rsidRDefault="00DD47EB" w:rsidP="00DD47EB">
      <w:pPr>
        <w:pStyle w:val="SangriaFrancesaArticulo"/>
      </w:pPr>
      <w:r w:rsidRPr="00DD47EB">
        <w:rPr>
          <w:rStyle w:val="TextoNormalNegritaCaracter"/>
        </w:rPr>
        <w:t>Artículo único, apartado 1.2.</w:t>
      </w:r>
      <w:r w:rsidRPr="00DD47EB">
        <w:rPr>
          <w:rStyle w:val="TextoNormalCaracter"/>
        </w:rPr>
        <w:t>-</w:t>
      </w:r>
      <w:r>
        <w:t xml:space="preserve"> Sentencia </w:t>
      </w:r>
      <w:hyperlink w:anchor="SENTENCIA_2015_143" w:history="1">
        <w:r w:rsidRPr="00DD47EB">
          <w:rPr>
            <w:rStyle w:val="TextoNormalCaracter"/>
          </w:rPr>
          <w:t>143/2015</w:t>
        </w:r>
      </w:hyperlink>
      <w:r>
        <w:t>, f. 2.</w:t>
      </w:r>
    </w:p>
    <w:p w:rsidR="00DD47EB" w:rsidRDefault="00DD47EB" w:rsidP="00DD47EB">
      <w:pPr>
        <w:pStyle w:val="TextoNormal"/>
      </w:pPr>
    </w:p>
    <w:p w:rsidR="00DD47EB" w:rsidRDefault="00DD47EB" w:rsidP="00DD47EB">
      <w:pPr>
        <w:pStyle w:val="TextoNormalNegritaCentradoSubrayado"/>
        <w:suppressAutoHyphens/>
      </w:pPr>
      <w:r>
        <w:t>J.15.c)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Orden de 3 de julio de 2012, de la Consejera de Educación, Universidades e Investigación. Convocatoria de becas para realizar estudios universitarios y otros estudios superiores en el año académico 2012-2013, y ayudas destinadas a sufragar los gastos de transporte de los estudiantes con discapacidad que en el curso 2012-2013 realicen estudios universitarios y otros estudios superiores en la Comunidad Autónoma del País Vasco</w:t>
      </w:r>
    </w:p>
    <w:p w:rsidR="00DD47EB" w:rsidRDefault="00DD47EB" w:rsidP="00DD47EB">
      <w:pPr>
        <w:pStyle w:val="SangriaFrancesaArticulo"/>
      </w:pPr>
      <w:r w:rsidRPr="00DD47EB">
        <w:rPr>
          <w:rStyle w:val="TextoNormalNegritaCaracter"/>
        </w:rPr>
        <w:t>Anexo I, artículo 1.</w:t>
      </w:r>
      <w:r w:rsidRPr="00DD47EB">
        <w:rPr>
          <w:rStyle w:val="TextoNormalCaracter"/>
        </w:rPr>
        <w:t>-</w:t>
      </w:r>
      <w:r>
        <w:t xml:space="preserve"> Sentencia </w:t>
      </w:r>
      <w:hyperlink w:anchor="SENTENCIA_2015_25" w:history="1">
        <w:r w:rsidRPr="00DD47EB">
          <w:rPr>
            <w:rStyle w:val="TextoNormalCaracter"/>
          </w:rPr>
          <w:t>25/2015</w:t>
        </w:r>
      </w:hyperlink>
      <w:r>
        <w:t>, f. 5.</w:t>
      </w:r>
    </w:p>
    <w:p w:rsidR="00DD47EB" w:rsidRDefault="00DD47EB" w:rsidP="00DD47EB">
      <w:pPr>
        <w:pStyle w:val="TextoNormal"/>
      </w:pPr>
    </w:p>
    <w:p w:rsidR="00DD47EB" w:rsidRDefault="00DD47EB" w:rsidP="00DD47EB">
      <w:pPr>
        <w:pStyle w:val="TextoNormalNegritaCentrado"/>
        <w:suppressAutoHyphens/>
      </w:pPr>
      <w:r w:rsidRPr="00DD47EB">
        <w:rPr>
          <w:rStyle w:val="TextoNormalNegritaCentradoSombreado"/>
        </w:rPr>
        <w:t>J.16) Valencia</w:t>
      </w:r>
    </w:p>
    <w:p w:rsidR="00DD47EB" w:rsidRDefault="00DD47EB" w:rsidP="00DD47EB">
      <w:pPr>
        <w:pStyle w:val="TextoNormal"/>
      </w:pPr>
    </w:p>
    <w:p w:rsidR="00DD47EB" w:rsidRDefault="00DD47EB" w:rsidP="00DD47EB">
      <w:pPr>
        <w:pStyle w:val="TextoNormalNegritaCentradoSubrayado"/>
        <w:suppressAutoHyphens/>
      </w:pPr>
      <w:r>
        <w:t>J.16.a) Estatuto de Autonomía</w:t>
      </w:r>
    </w:p>
    <w:p w:rsidR="00DD47EB" w:rsidRDefault="00DD47EB" w:rsidP="00DD47EB">
      <w:pPr>
        <w:pStyle w:val="TextoNormalNegritaCentradoSubrayado"/>
      </w:pPr>
    </w:p>
    <w:p w:rsidR="00DD47EB" w:rsidRDefault="00DD47EB" w:rsidP="00DD47EB">
      <w:pPr>
        <w:pStyle w:val="TextoNormalNegritaCursivandice"/>
      </w:pPr>
      <w:r>
        <w:t>Ley Orgánica 5/1982, de 1 de julio. Estatuto de Autonomía de la Comunidad Valenciana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8" w:history="1">
        <w:r w:rsidRPr="00DD47EB">
          <w:rPr>
            <w:rStyle w:val="TextoNormalCaracter"/>
          </w:rPr>
          <w:t>108/2015</w:t>
        </w:r>
      </w:hyperlink>
      <w:r>
        <w:t>, f. 3.</w:t>
      </w:r>
    </w:p>
    <w:p w:rsidR="00DD47EB" w:rsidRDefault="00DD47EB" w:rsidP="00DD47EB">
      <w:pPr>
        <w:pStyle w:val="SangriaFrancesaArticulo"/>
      </w:pPr>
      <w:r w:rsidRPr="00DD47EB">
        <w:rPr>
          <w:rStyle w:val="TextoNormalNegritaCaracter"/>
        </w:rPr>
        <w:t>Artículo 44.</w:t>
      </w:r>
      <w:r w:rsidRPr="00DD47EB">
        <w:rPr>
          <w:rStyle w:val="TextoNormalCaracter"/>
        </w:rPr>
        <w:t>-</w:t>
      </w:r>
      <w:r>
        <w:t xml:space="preserve"> Sentencia </w:t>
      </w:r>
      <w:hyperlink w:anchor="SENTENCIA_2015_104" w:history="1">
        <w:r w:rsidRPr="00DD47EB">
          <w:rPr>
            <w:rStyle w:val="TextoNormalCaracter"/>
          </w:rPr>
          <w:t>104/2015</w:t>
        </w:r>
      </w:hyperlink>
      <w:r>
        <w:t>, f. 7.</w:t>
      </w:r>
    </w:p>
    <w:p w:rsidR="00DD47EB" w:rsidRDefault="00DD47EB" w:rsidP="00DD47EB">
      <w:pPr>
        <w:pStyle w:val="SangriaFrancesaArticulo"/>
      </w:pPr>
      <w:r w:rsidRPr="00DD47EB">
        <w:rPr>
          <w:rStyle w:val="TextoNormalNegritaCaracter"/>
        </w:rPr>
        <w:t>Artículo 44.4.</w:t>
      </w:r>
      <w:r w:rsidRPr="00DD47EB">
        <w:rPr>
          <w:rStyle w:val="TextoNormalCaracter"/>
        </w:rPr>
        <w:t>-</w:t>
      </w:r>
      <w:r>
        <w:t xml:space="preserve"> Sentencia </w:t>
      </w:r>
      <w:hyperlink w:anchor="SENTENCIA_2015_104" w:history="1">
        <w:r w:rsidRPr="00DD47EB">
          <w:rPr>
            <w:rStyle w:val="TextoNormalCaracter"/>
          </w:rPr>
          <w:t>104/2015</w:t>
        </w:r>
      </w:hyperlink>
      <w:r>
        <w:t>, ff. 1, 4 a 9.</w:t>
      </w:r>
    </w:p>
    <w:p w:rsidR="00DD47EB" w:rsidRDefault="00DD47EB" w:rsidP="00DD47EB">
      <w:pPr>
        <w:pStyle w:val="TextoNormal"/>
      </w:pPr>
    </w:p>
    <w:p w:rsidR="00DD47EB" w:rsidRDefault="00DD47EB" w:rsidP="00DD47EB">
      <w:pPr>
        <w:pStyle w:val="TextoNormalNegritaCentradoSubrayado"/>
        <w:suppressAutoHyphens/>
      </w:pPr>
      <w:r>
        <w:t>J.16.b) Leyes y disposiciones con fuerza de Ley</w:t>
      </w:r>
    </w:p>
    <w:p w:rsidR="00DD47EB" w:rsidRDefault="00DD47EB" w:rsidP="00DD47EB">
      <w:pPr>
        <w:pStyle w:val="TextoNormalNegritaCentradoSubrayado"/>
      </w:pPr>
    </w:p>
    <w:p w:rsidR="00DD47EB" w:rsidRDefault="00DD47EB" w:rsidP="00DD47EB">
      <w:pPr>
        <w:pStyle w:val="TextoNormalNegritaCursivandice"/>
      </w:pPr>
      <w:r>
        <w:t>Decreto Legislativo de la Generalitat Valenciana, de 26 de junio de 1991. Texto refundido de la Ley de hacienda pública de la Generalidad Valenciana</w:t>
      </w:r>
    </w:p>
    <w:p w:rsidR="00DD47EB" w:rsidRDefault="00DD47EB" w:rsidP="00DD47EB">
      <w:pPr>
        <w:pStyle w:val="SangriaFrancesaArticulo"/>
      </w:pPr>
      <w:r w:rsidRPr="00DD47EB">
        <w:rPr>
          <w:rStyle w:val="TextoNormalNegritaCaracter"/>
        </w:rPr>
        <w:t>Artículo 5.2.</w:t>
      </w:r>
      <w:r w:rsidRPr="00DD47EB">
        <w:rPr>
          <w:rStyle w:val="TextoNormalCaracter"/>
        </w:rPr>
        <w:t>-</w:t>
      </w:r>
      <w:r>
        <w:t xml:space="preserve"> Sentencia </w:t>
      </w:r>
      <w:hyperlink w:anchor="SENTENCIA_2015_104" w:history="1">
        <w:r w:rsidRPr="00DD47EB">
          <w:rPr>
            <w:rStyle w:val="TextoNormalCaracter"/>
          </w:rPr>
          <w:t>104/2015</w:t>
        </w:r>
      </w:hyperlink>
      <w:r>
        <w:t>, VP.</w:t>
      </w:r>
    </w:p>
    <w:p w:rsidR="00DD47EB" w:rsidRDefault="00DD47EB" w:rsidP="00DD47EB">
      <w:pPr>
        <w:pStyle w:val="SangriaFrancesaArticulo"/>
      </w:pPr>
      <w:r w:rsidRPr="00DD47EB">
        <w:rPr>
          <w:rStyle w:val="TextoNormalNegritaCaracter"/>
        </w:rPr>
        <w:t>Artículo 5.3.</w:t>
      </w:r>
      <w:r w:rsidRPr="00DD47EB">
        <w:rPr>
          <w:rStyle w:val="TextoNormalCaracter"/>
        </w:rPr>
        <w:t>-</w:t>
      </w:r>
      <w:r>
        <w:t xml:space="preserve"> Sentencia </w:t>
      </w:r>
      <w:hyperlink w:anchor="SENTENCIA_2015_104" w:history="1">
        <w:r w:rsidRPr="00DD47EB">
          <w:rPr>
            <w:rStyle w:val="TextoNormalCaracter"/>
          </w:rPr>
          <w:t>104/2015</w:t>
        </w:r>
      </w:hyperlink>
      <w:r>
        <w:t>, VP.</w:t>
      </w:r>
    </w:p>
    <w:p w:rsidR="00DD47EB" w:rsidRDefault="00DD47EB" w:rsidP="00DD47EB">
      <w:pPr>
        <w:pStyle w:val="SangriaFrancesaArticulo"/>
      </w:pPr>
    </w:p>
    <w:p w:rsidR="00DD47EB" w:rsidRDefault="00DD47EB" w:rsidP="00DD47EB">
      <w:pPr>
        <w:pStyle w:val="TextoNormalNegritaCursivandice"/>
      </w:pPr>
      <w:r>
        <w:t>Ley de las Cortes Valencianas 13/1997, de 23 de diciembre. Regulación del tramo autonómico del impuesto sobre la renta de las personas físicas y restantes tributos cedidos</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60" w:history="1">
        <w:r w:rsidRPr="00DD47EB">
          <w:rPr>
            <w:rStyle w:val="TextoNormalCaracter"/>
          </w:rPr>
          <w:t>60/2015</w:t>
        </w:r>
      </w:hyperlink>
      <w:r>
        <w:t>, f. 5.</w:t>
      </w:r>
    </w:p>
    <w:p w:rsidR="00DD47EB" w:rsidRDefault="00DD47EB" w:rsidP="00DD47EB">
      <w:pPr>
        <w:pStyle w:val="SangriaFrancesaArticulo"/>
      </w:pPr>
      <w:r w:rsidRPr="00DD47EB">
        <w:rPr>
          <w:rStyle w:val="TextoNormalNegritaCaracter"/>
        </w:rPr>
        <w:t>Artículo 12 bis</w:t>
      </w:r>
      <w:r>
        <w:t xml:space="preserve"> (redactado por  la Ley de las Cortes Valencianas 16/2003, de 17 de diciembre)</w:t>
      </w:r>
      <w:r w:rsidRPr="00DD47EB">
        <w:rPr>
          <w:rStyle w:val="TextoNormalNegritaCaracter"/>
        </w:rPr>
        <w:t>.</w:t>
      </w:r>
      <w:r w:rsidRPr="00DD47EB">
        <w:rPr>
          <w:rStyle w:val="TextoNormalCaracter"/>
        </w:rPr>
        <w:t>-</w:t>
      </w:r>
      <w:r>
        <w:t xml:space="preserve"> Sentencia </w:t>
      </w:r>
      <w:hyperlink w:anchor="SENTENCIA_2015_60" w:history="1">
        <w:r w:rsidRPr="00DD47EB">
          <w:rPr>
            <w:rStyle w:val="TextoNormalCaracter"/>
          </w:rPr>
          <w:t>60/2015</w:t>
        </w:r>
      </w:hyperlink>
      <w:r>
        <w:t>, f. 2.</w:t>
      </w:r>
    </w:p>
    <w:p w:rsidR="00DD47EB" w:rsidRDefault="00DD47EB" w:rsidP="00DD47EB">
      <w:pPr>
        <w:pStyle w:val="SangriaFrancesaArticulo"/>
      </w:pPr>
      <w:r w:rsidRPr="00DD47EB">
        <w:rPr>
          <w:rStyle w:val="TextoNormalNegritaCaracter"/>
        </w:rPr>
        <w:t>Artículo 12 bis a)</w:t>
      </w:r>
      <w:r>
        <w:t xml:space="preserve"> (redactado por el Decreto-ley de la Generalidad Valenciana 4/2013, de 2 agosto)</w:t>
      </w:r>
      <w:r w:rsidRPr="00DD47EB">
        <w:rPr>
          <w:rStyle w:val="TextoNormalNegritaCaracter"/>
        </w:rPr>
        <w:t>.</w:t>
      </w:r>
      <w:r w:rsidRPr="00DD47EB">
        <w:rPr>
          <w:rStyle w:val="TextoNormalCaracter"/>
        </w:rPr>
        <w:t>-</w:t>
      </w:r>
      <w:r>
        <w:t xml:space="preserve"> Sentencia </w:t>
      </w:r>
      <w:hyperlink w:anchor="SENTENCIA_2015_60" w:history="1">
        <w:r w:rsidRPr="00DD47EB">
          <w:rPr>
            <w:rStyle w:val="TextoNormalCaracter"/>
          </w:rPr>
          <w:t>60/2015</w:t>
        </w:r>
      </w:hyperlink>
      <w:r>
        <w:t>, ff. 1, 2.</w:t>
      </w:r>
    </w:p>
    <w:p w:rsidR="00DD47EB" w:rsidRDefault="00DD47EB" w:rsidP="00DD47EB">
      <w:pPr>
        <w:pStyle w:val="SangriaFrancesaArticulo"/>
      </w:pPr>
      <w:r w:rsidRPr="00DD47EB">
        <w:rPr>
          <w:rStyle w:val="TextoNormalNegritaCaracter"/>
        </w:rPr>
        <w:t>Artículo 12 bis a)</w:t>
      </w:r>
      <w:r>
        <w:t xml:space="preserve"> (redactado por la Ley de las Cortes Valencianas 10/2006, de 26 diciembre)</w:t>
      </w:r>
      <w:r w:rsidRPr="00DD47EB">
        <w:rPr>
          <w:rStyle w:val="TextoNormalNegritaCaracter"/>
        </w:rPr>
        <w:t>.</w:t>
      </w:r>
      <w:r w:rsidRPr="00DD47EB">
        <w:rPr>
          <w:rStyle w:val="TextoNormalCaracter"/>
        </w:rPr>
        <w:t>-</w:t>
      </w:r>
      <w:r>
        <w:t xml:space="preserve"> Sentencia </w:t>
      </w:r>
      <w:hyperlink w:anchor="SENTENCIA_2015_60" w:history="1">
        <w:r w:rsidRPr="00DD47EB">
          <w:rPr>
            <w:rStyle w:val="TextoNormalCaracter"/>
          </w:rPr>
          <w:t>60/2015</w:t>
        </w:r>
      </w:hyperlink>
      <w:r>
        <w:t>, ff. 1, 3, 5, 6.</w:t>
      </w:r>
    </w:p>
    <w:p w:rsidR="00DD47EB" w:rsidRDefault="00DD47EB" w:rsidP="00DD47EB">
      <w:pPr>
        <w:pStyle w:val="SangriaFrancesaArticulo"/>
      </w:pPr>
      <w:r w:rsidRPr="00DD47EB">
        <w:rPr>
          <w:rStyle w:val="TextoNormalNegritaCaracter"/>
        </w:rPr>
        <w:t>Artículo 12 bis a)</w:t>
      </w:r>
      <w:r>
        <w:t xml:space="preserve"> (redactado por la Ley de las Cortes Valencianas 7/2014, de 22 de diciembre)</w:t>
      </w:r>
      <w:r w:rsidRPr="00DD47EB">
        <w:rPr>
          <w:rStyle w:val="TextoNormalNegritaCaracter"/>
        </w:rPr>
        <w:t>.</w:t>
      </w:r>
      <w:r w:rsidRPr="00DD47EB">
        <w:rPr>
          <w:rStyle w:val="TextoNormalCaracter"/>
        </w:rPr>
        <w:t>-</w:t>
      </w:r>
      <w:r>
        <w:t xml:space="preserve"> Sentencia </w:t>
      </w:r>
      <w:hyperlink w:anchor="SENTENCIA_2015_60" w:history="1">
        <w:r w:rsidRPr="00DD47EB">
          <w:rPr>
            <w:rStyle w:val="TextoNormalCaracter"/>
          </w:rPr>
          <w:t>60/2015</w:t>
        </w:r>
      </w:hyperlink>
      <w:r>
        <w:t>, f. 1.</w:t>
      </w:r>
    </w:p>
    <w:p w:rsidR="00DD47EB" w:rsidRDefault="00DD47EB" w:rsidP="00DD47EB">
      <w:pPr>
        <w:pStyle w:val="SangriaFrancesaArticulo"/>
      </w:pPr>
    </w:p>
    <w:p w:rsidR="00DD47EB" w:rsidRDefault="00DD47EB" w:rsidP="00DD47EB">
      <w:pPr>
        <w:pStyle w:val="TextoNormalNegritaCursivandice"/>
      </w:pPr>
      <w:r>
        <w:t>Ley de las Cortes Valencianas 16/2003, de 17 de diciembre. Medidas fiscales, de gestión administrativa y financiera, y de organización de la Generalidad Valenciana</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60" w:history="1">
        <w:r w:rsidRPr="00DD47EB">
          <w:rPr>
            <w:rStyle w:val="TextoNormalCaracter"/>
          </w:rPr>
          <w:t>60/2015</w:t>
        </w:r>
      </w:hyperlink>
      <w:r>
        <w:t>, f. 5.</w:t>
      </w:r>
    </w:p>
    <w:p w:rsidR="00DD47EB" w:rsidRDefault="00DD47EB" w:rsidP="00DD47EB">
      <w:pPr>
        <w:pStyle w:val="SangriaFrancesaArticulo"/>
      </w:pPr>
    </w:p>
    <w:p w:rsidR="00DD47EB" w:rsidRDefault="00DD47EB" w:rsidP="00DD47EB">
      <w:pPr>
        <w:pStyle w:val="TextoNormalNegritaCursivandice"/>
      </w:pPr>
      <w:r>
        <w:t>Ley de las Cortes Valencianas 10/2006, de 26 de diciembre. Medidas fiscales, de gestión administrativa y financiera, y de organización de la Generalitat</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60" w:history="1">
        <w:r w:rsidRPr="00DD47EB">
          <w:rPr>
            <w:rStyle w:val="TextoNormalCaracter"/>
          </w:rPr>
          <w:t>60/2015</w:t>
        </w:r>
      </w:hyperlink>
      <w:r>
        <w:t>, f. 5.</w:t>
      </w:r>
    </w:p>
    <w:p w:rsidR="00DD47EB" w:rsidRDefault="00DD47EB" w:rsidP="00DD47EB">
      <w:pPr>
        <w:pStyle w:val="SangriaFrancesaArticulo"/>
      </w:pPr>
      <w:r w:rsidRPr="00DD47EB">
        <w:rPr>
          <w:rStyle w:val="TextoNormalNegritaCaracter"/>
        </w:rPr>
        <w:t>Artículo 16.</w:t>
      </w:r>
      <w:r w:rsidRPr="00DD47EB">
        <w:rPr>
          <w:rStyle w:val="TextoNormalCaracter"/>
        </w:rPr>
        <w:t>-</w:t>
      </w:r>
      <w:r>
        <w:t xml:space="preserve"> Sentencia </w:t>
      </w:r>
      <w:hyperlink w:anchor="SENTENCIA_2015_60" w:history="1">
        <w:r w:rsidRPr="00DD47EB">
          <w:rPr>
            <w:rStyle w:val="TextoNormalCaracter"/>
          </w:rPr>
          <w:t>60/2015</w:t>
        </w:r>
      </w:hyperlink>
      <w:r>
        <w:t>, ff. 1, 6.</w:t>
      </w:r>
    </w:p>
    <w:p w:rsidR="00DD47EB" w:rsidRDefault="00DD47EB" w:rsidP="00DD47EB">
      <w:pPr>
        <w:pStyle w:val="SangriaFrancesaArticulo"/>
      </w:pPr>
    </w:p>
    <w:p w:rsidR="00DD47EB" w:rsidRDefault="00DD47EB" w:rsidP="00DD47EB">
      <w:pPr>
        <w:pStyle w:val="TextoNormalNegritaCursivandice"/>
      </w:pPr>
      <w:r>
        <w:t>Ley de las Cortes Valencianas 15/2007, de 27 de diciembre. Presupuestos de la Generalidad para el ejercicio 2008</w:t>
      </w:r>
    </w:p>
    <w:p w:rsidR="00DD47EB" w:rsidRDefault="00DD47EB" w:rsidP="00DD47EB">
      <w:pPr>
        <w:pStyle w:val="SangriaFrancesaArticulo"/>
      </w:pPr>
      <w:r w:rsidRPr="00DD47EB">
        <w:rPr>
          <w:rStyle w:val="TextoNormalNegritaCaracter"/>
        </w:rPr>
        <w:t>Disposición adicional undécima.</w:t>
      </w:r>
      <w:r w:rsidRPr="00DD47EB">
        <w:rPr>
          <w:rStyle w:val="TextoNormalCaracter"/>
        </w:rPr>
        <w:t>-</w:t>
      </w:r>
      <w:r>
        <w:t xml:space="preserve"> Sentencia </w:t>
      </w:r>
      <w:hyperlink w:anchor="SENTENCIA_2015_108" w:history="1">
        <w:r w:rsidRPr="00DD47EB">
          <w:rPr>
            <w:rStyle w:val="TextoNormalCaracter"/>
          </w:rPr>
          <w:t>108/2015</w:t>
        </w:r>
      </w:hyperlink>
      <w:r>
        <w:t>, f. 3.</w:t>
      </w:r>
    </w:p>
    <w:p w:rsidR="00DD47EB" w:rsidRDefault="00DD47EB" w:rsidP="00DD47EB">
      <w:pPr>
        <w:pStyle w:val="SangriaFrancesaArticulo"/>
      </w:pPr>
    </w:p>
    <w:p w:rsidR="00DD47EB" w:rsidRDefault="00DD47EB" w:rsidP="00DD47EB">
      <w:pPr>
        <w:pStyle w:val="TextoNormalNegritaCursivandice"/>
      </w:pPr>
      <w:r>
        <w:t>Ley de las Cortes Valencianas 10/2011, de 27 de diciembre. Presupuestos de la Generalitat para el ejercicio 2012</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4" w:history="1">
        <w:r w:rsidRPr="00DD47EB">
          <w:rPr>
            <w:rStyle w:val="TextoNormalCaracter"/>
          </w:rPr>
          <w:t>104/2015</w:t>
        </w:r>
      </w:hyperlink>
      <w:r>
        <w:t>, f. 12.</w:t>
      </w:r>
    </w:p>
    <w:p w:rsidR="00DD47EB" w:rsidRDefault="00DD47EB" w:rsidP="00DD47EB">
      <w:pPr>
        <w:pStyle w:val="SangriaFrancesaArticulo"/>
      </w:pPr>
    </w:p>
    <w:p w:rsidR="00DD47EB" w:rsidRDefault="00DD47EB" w:rsidP="00DD47EB">
      <w:pPr>
        <w:pStyle w:val="TextoNormalNegritaCursivandice"/>
      </w:pPr>
      <w:r>
        <w:t>Decreto-ley de la Generalitat Valenciana 1/2012, de 5 de enero. Medidas urgentes para la reducción del déficit en la Comunidad Valenciana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4" w:history="1">
        <w:r w:rsidRPr="00DD47EB">
          <w:rPr>
            <w:rStyle w:val="TextoNormalCaracter"/>
          </w:rPr>
          <w:t>104/2015</w:t>
        </w:r>
      </w:hyperlink>
      <w:r>
        <w:t>, ff. 2, 4 a 13, VP.</w:t>
      </w:r>
    </w:p>
    <w:p w:rsidR="00DD47EB" w:rsidRDefault="00DD47EB" w:rsidP="00DD47EB">
      <w:pPr>
        <w:pStyle w:val="SangriaFrancesaArticulo"/>
      </w:pPr>
      <w:r w:rsidRPr="00DD47EB">
        <w:rPr>
          <w:rStyle w:val="TextoNormalNegritaCaracter"/>
        </w:rPr>
        <w:t>Capítulo I.</w:t>
      </w:r>
      <w:r w:rsidRPr="00DD47EB">
        <w:rPr>
          <w:rStyle w:val="TextoNormalCaracter"/>
        </w:rPr>
        <w:t>-</w:t>
      </w:r>
      <w:r>
        <w:t xml:space="preserve"> Sentencia </w:t>
      </w:r>
      <w:hyperlink w:anchor="SENTENCIA_2015_104" w:history="1">
        <w:r w:rsidRPr="00DD47EB">
          <w:rPr>
            <w:rStyle w:val="TextoNormalCaracter"/>
          </w:rPr>
          <w:t>104/2015</w:t>
        </w:r>
      </w:hyperlink>
      <w:r>
        <w:t>, F. 7.</w:t>
      </w:r>
    </w:p>
    <w:p w:rsidR="00DD47EB" w:rsidRDefault="00DD47EB" w:rsidP="00DD47EB">
      <w:pPr>
        <w:pStyle w:val="SangriaFrancesaArticulo"/>
      </w:pPr>
      <w:r w:rsidRPr="00DD47EB">
        <w:rPr>
          <w:rStyle w:val="TextoNormalNegritaCaracter"/>
        </w:rPr>
        <w:t>Exposición de motivos.</w:t>
      </w:r>
      <w:r w:rsidRPr="00DD47EB">
        <w:rPr>
          <w:rStyle w:val="TextoNormalCaracter"/>
        </w:rPr>
        <w:t>-</w:t>
      </w:r>
      <w:r>
        <w:t xml:space="preserve"> Sentencia </w:t>
      </w:r>
      <w:hyperlink w:anchor="SENTENCIA_2015_104" w:history="1">
        <w:r w:rsidRPr="00DD47EB">
          <w:rPr>
            <w:rStyle w:val="TextoNormalCaracter"/>
          </w:rPr>
          <w:t>104/2015</w:t>
        </w:r>
      </w:hyperlink>
      <w:r>
        <w:t>, ff. 1, 3, 5 a 7.</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Artículos 1 a 15.</w:t>
      </w:r>
      <w:r w:rsidRPr="00DD47EB">
        <w:rPr>
          <w:rStyle w:val="TextoNormalCaracter"/>
        </w:rPr>
        <w:t>-</w:t>
      </w:r>
      <w:r>
        <w:t xml:space="preserve"> Sentencia </w:t>
      </w:r>
      <w:hyperlink w:anchor="SENTENCIA_2015_104" w:history="1">
        <w:r w:rsidRPr="00DD47EB">
          <w:rPr>
            <w:rStyle w:val="TextoNormalCaracter"/>
          </w:rPr>
          <w:t>104/2015</w:t>
        </w:r>
      </w:hyperlink>
      <w:r>
        <w:t>, ff. 1, 3, 7, 9.</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5.</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104" w:history="1">
        <w:r w:rsidRPr="00DD47EB">
          <w:rPr>
            <w:rStyle w:val="TextoNormalCaracter"/>
          </w:rPr>
          <w:t>104/2015</w:t>
        </w:r>
      </w:hyperlink>
      <w:r>
        <w:t>, ff. 2, 12.</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11.</w:t>
      </w:r>
      <w:r w:rsidRPr="00DD47EB">
        <w:rPr>
          <w:rStyle w:val="TextoNormalCaracter"/>
        </w:rPr>
        <w:t>-</w:t>
      </w:r>
      <w:r>
        <w:t xml:space="preserve"> Sentencia </w:t>
      </w:r>
      <w:hyperlink w:anchor="SENTENCIA_2015_104" w:history="1">
        <w:r w:rsidRPr="00DD47EB">
          <w:rPr>
            <w:rStyle w:val="TextoNormalCaracter"/>
          </w:rPr>
          <w:t>104/2015</w:t>
        </w:r>
      </w:hyperlink>
      <w:r>
        <w:t>, ff. 2, 12.</w:t>
      </w:r>
    </w:p>
    <w:p w:rsidR="00DD47EB" w:rsidRDefault="00DD47EB" w:rsidP="00DD47EB">
      <w:pPr>
        <w:pStyle w:val="SangriaFrancesaArticulo"/>
      </w:pPr>
      <w:r w:rsidRPr="00DD47EB">
        <w:rPr>
          <w:rStyle w:val="TextoNormalNegritaCaracter"/>
        </w:rPr>
        <w:t>Artículo 12.</w:t>
      </w:r>
      <w:r w:rsidRPr="00DD47EB">
        <w:rPr>
          <w:rStyle w:val="TextoNormalCaracter"/>
        </w:rPr>
        <w:t>-</w:t>
      </w:r>
      <w:r>
        <w:t xml:space="preserve"> Sentencia </w:t>
      </w:r>
      <w:hyperlink w:anchor="SENTENCIA_2015_104" w:history="1">
        <w:r w:rsidRPr="00DD47EB">
          <w:rPr>
            <w:rStyle w:val="TextoNormalCaracter"/>
          </w:rPr>
          <w:t>104/2015</w:t>
        </w:r>
      </w:hyperlink>
      <w:r>
        <w:t>, ff. 2, 12.</w:t>
      </w:r>
    </w:p>
    <w:p w:rsidR="00DD47EB" w:rsidRDefault="00DD47EB" w:rsidP="00DD47EB">
      <w:pPr>
        <w:pStyle w:val="SangriaFrancesaArticulo"/>
      </w:pPr>
      <w:r w:rsidRPr="00DD47EB">
        <w:rPr>
          <w:rStyle w:val="TextoNormalNegritaCaracter"/>
        </w:rPr>
        <w:t>Artículo 13.</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14.</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r w:rsidRPr="00DD47EB">
        <w:rPr>
          <w:rStyle w:val="TextoNormalNegritaCaracter"/>
        </w:rPr>
        <w:t>Artículo 15.</w:t>
      </w:r>
      <w:r w:rsidRPr="00DD47EB">
        <w:rPr>
          <w:rStyle w:val="TextoNormalCaracter"/>
        </w:rPr>
        <w:t>-</w:t>
      </w:r>
      <w:r>
        <w:t xml:space="preserve"> Sentencia </w:t>
      </w:r>
      <w:hyperlink w:anchor="SENTENCIA_2015_104" w:history="1">
        <w:r w:rsidRPr="00DD47EB">
          <w:rPr>
            <w:rStyle w:val="TextoNormalCaracter"/>
          </w:rPr>
          <w:t>104/2015</w:t>
        </w:r>
      </w:hyperlink>
      <w:r>
        <w:t>, ff. 2, 3, 11.</w:t>
      </w:r>
    </w:p>
    <w:p w:rsidR="00DD47EB" w:rsidRDefault="00DD47EB" w:rsidP="00DD47EB">
      <w:pPr>
        <w:pStyle w:val="SangriaFrancesaArticulo"/>
      </w:pPr>
      <w:r w:rsidRPr="00DD47EB">
        <w:rPr>
          <w:rStyle w:val="TextoNormalNegritaCaracter"/>
        </w:rPr>
        <w:t>Disposición final segunda.</w:t>
      </w:r>
      <w:r w:rsidRPr="00DD47EB">
        <w:rPr>
          <w:rStyle w:val="TextoNormalCaracter"/>
        </w:rPr>
        <w:t>-</w:t>
      </w:r>
      <w:r>
        <w:t xml:space="preserve"> Sentencia </w:t>
      </w:r>
      <w:hyperlink w:anchor="SENTENCIA_2015_104" w:history="1">
        <w:r w:rsidRPr="00DD47EB">
          <w:rPr>
            <w:rStyle w:val="TextoNormalCaracter"/>
          </w:rPr>
          <w:t>104/2015</w:t>
        </w:r>
      </w:hyperlink>
      <w:r>
        <w:t>, f. 10.</w:t>
      </w:r>
    </w:p>
    <w:p w:rsidR="00DD47EB" w:rsidRDefault="00DD47EB" w:rsidP="00DD47EB">
      <w:pPr>
        <w:pStyle w:val="SangriaFrancesaArticulo"/>
      </w:pPr>
      <w:r w:rsidRPr="00DD47EB">
        <w:rPr>
          <w:rStyle w:val="TextoNormalNegritaCaracter"/>
        </w:rPr>
        <w:t>Disposición final tercera.</w:t>
      </w:r>
      <w:r w:rsidRPr="00DD47EB">
        <w:rPr>
          <w:rStyle w:val="TextoNormalCaracter"/>
        </w:rPr>
        <w:t>-</w:t>
      </w:r>
      <w:r>
        <w:t xml:space="preserve"> Sentencia </w:t>
      </w:r>
      <w:hyperlink w:anchor="SENTENCIA_2015_104" w:history="1">
        <w:r w:rsidRPr="00DD47EB">
          <w:rPr>
            <w:rStyle w:val="TextoNormalCaracter"/>
          </w:rPr>
          <w:t>104/2015</w:t>
        </w:r>
      </w:hyperlink>
      <w:r>
        <w:t>, f. 11.</w:t>
      </w:r>
    </w:p>
    <w:p w:rsidR="00DD47EB" w:rsidRDefault="00DD47EB" w:rsidP="00DD47EB">
      <w:pPr>
        <w:pStyle w:val="SangriaFrancesaArticulo"/>
      </w:pPr>
      <w:r w:rsidRPr="00DD47EB">
        <w:rPr>
          <w:rStyle w:val="TextoNormalNegritaCaracter"/>
        </w:rPr>
        <w:t>Anexo I.</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p>
    <w:p w:rsidR="00DD47EB" w:rsidRDefault="00DD47EB" w:rsidP="00DD47EB">
      <w:pPr>
        <w:pStyle w:val="TextoNormalNegritaCursivandice"/>
      </w:pPr>
      <w:r>
        <w:t>Decreto-ley de la Generalitat Valenciana 6/2012, de 28 de septiembre. Desarrollo y aplicación de las disposiciones incluidas en el título I y disposiciones concordantes del Real Decreto-ley 20/2012, de 13 de julio, de medidas para garantizar la estabilidad presupuestaria y de fomento de la competitividad</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4" w:history="1">
        <w:r w:rsidRPr="00DD47EB">
          <w:rPr>
            <w:rStyle w:val="TextoNormalCaracter"/>
          </w:rPr>
          <w:t>104/2015</w:t>
        </w:r>
      </w:hyperlink>
      <w:r>
        <w:t>, f. 3.</w:t>
      </w:r>
    </w:p>
    <w:p w:rsidR="00DD47EB" w:rsidRDefault="00DD47EB" w:rsidP="00DD47EB">
      <w:pPr>
        <w:pStyle w:val="SangriaIzquierdaArticulo"/>
      </w:pPr>
      <w:r>
        <w:t xml:space="preserve">Autos </w:t>
      </w:r>
      <w:hyperlink w:anchor="AUTO_2015_9" w:history="1">
        <w:r w:rsidRPr="00DD47EB">
          <w:rPr>
            <w:rStyle w:val="TextoNormalCaracter"/>
          </w:rPr>
          <w:t>9/2015</w:t>
        </w:r>
      </w:hyperlink>
      <w:r>
        <w:t xml:space="preserve">, f. 4; </w:t>
      </w:r>
      <w:hyperlink w:anchor="AUTO_2015_10" w:history="1">
        <w:r w:rsidRPr="00DD47EB">
          <w:rPr>
            <w:rStyle w:val="TextoNormalCaracter"/>
          </w:rPr>
          <w:t>10/2015</w:t>
        </w:r>
      </w:hyperlink>
      <w:r>
        <w:t>, f. 4.</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Autos </w:t>
      </w:r>
      <w:hyperlink w:anchor="AUTO_2015_9" w:history="1">
        <w:r w:rsidRPr="00DD47EB">
          <w:rPr>
            <w:rStyle w:val="TextoNormalCaracter"/>
          </w:rPr>
          <w:t>9/2015</w:t>
        </w:r>
      </w:hyperlink>
      <w:r>
        <w:t xml:space="preserve">, f. 4; </w:t>
      </w:r>
      <w:hyperlink w:anchor="AUTO_2015_10" w:history="1">
        <w:r w:rsidRPr="00DD47EB">
          <w:rPr>
            <w:rStyle w:val="TextoNormalCaracter"/>
          </w:rPr>
          <w:t>10/2015</w:t>
        </w:r>
      </w:hyperlink>
      <w:r>
        <w:t>, f. 4.</w:t>
      </w:r>
    </w:p>
    <w:p w:rsidR="00DD47EB" w:rsidRDefault="00DD47EB" w:rsidP="00DD47EB">
      <w:pPr>
        <w:pStyle w:val="SangriaFrancesaArticulo"/>
      </w:pPr>
      <w:r w:rsidRPr="00DD47EB">
        <w:rPr>
          <w:rStyle w:val="TextoNormalNegritaCaracter"/>
        </w:rPr>
        <w:t>Disposición adicional segunda.</w:t>
      </w:r>
      <w:r w:rsidRPr="00DD47EB">
        <w:rPr>
          <w:rStyle w:val="TextoNormalCaracter"/>
        </w:rPr>
        <w:t>-</w:t>
      </w:r>
      <w:r>
        <w:t xml:space="preserve"> Autos </w:t>
      </w:r>
      <w:hyperlink w:anchor="AUTO_2015_9" w:history="1">
        <w:r w:rsidRPr="00DD47EB">
          <w:rPr>
            <w:rStyle w:val="TextoNormalCaracter"/>
          </w:rPr>
          <w:t>9/2015</w:t>
        </w:r>
      </w:hyperlink>
      <w:r>
        <w:t xml:space="preserve">, f. 4; </w:t>
      </w:r>
      <w:hyperlink w:anchor="AUTO_2015_10" w:history="1">
        <w:r w:rsidRPr="00DD47EB">
          <w:rPr>
            <w:rStyle w:val="TextoNormalCaracter"/>
          </w:rPr>
          <w:t>10/2015</w:t>
        </w:r>
      </w:hyperlink>
      <w:r>
        <w:t>, f. 4.</w:t>
      </w:r>
    </w:p>
    <w:p w:rsidR="00DD47EB" w:rsidRDefault="00DD47EB" w:rsidP="00DD47EB">
      <w:pPr>
        <w:pStyle w:val="SangriaFrancesaArticulo"/>
      </w:pPr>
      <w:r w:rsidRPr="00DD47EB">
        <w:rPr>
          <w:rStyle w:val="TextoNormalNegritaCaracter"/>
        </w:rPr>
        <w:t>Disposición adicional segunda, apartado 1.</w:t>
      </w:r>
      <w:r w:rsidRPr="00DD47EB">
        <w:rPr>
          <w:rStyle w:val="TextoNormalCaracter"/>
        </w:rPr>
        <w:t>-</w:t>
      </w:r>
      <w:r>
        <w:t xml:space="preserve"> Autos </w:t>
      </w:r>
      <w:hyperlink w:anchor="AUTO_2015_9" w:history="1">
        <w:r w:rsidRPr="00DD47EB">
          <w:rPr>
            <w:rStyle w:val="TextoNormalCaracter"/>
          </w:rPr>
          <w:t>9/2015</w:t>
        </w:r>
      </w:hyperlink>
      <w:r>
        <w:t xml:space="preserve">, f. 4; </w:t>
      </w:r>
      <w:hyperlink w:anchor="AUTO_2015_10" w:history="1">
        <w:r w:rsidRPr="00DD47EB">
          <w:rPr>
            <w:rStyle w:val="TextoNormalCaracter"/>
          </w:rPr>
          <w:t>10/2015</w:t>
        </w:r>
      </w:hyperlink>
      <w:r>
        <w:t>, f. 4.</w:t>
      </w:r>
    </w:p>
    <w:p w:rsidR="00DD47EB" w:rsidRDefault="00DD47EB" w:rsidP="00DD47EB">
      <w:pPr>
        <w:pStyle w:val="SangriaFrancesaArticulo"/>
      </w:pPr>
      <w:r w:rsidRPr="00DD47EB">
        <w:rPr>
          <w:rStyle w:val="TextoNormalNegritaCaracter"/>
        </w:rPr>
        <w:t>Disposición derogatoria única, apartado 1.</w:t>
      </w:r>
      <w:r w:rsidRPr="00DD47EB">
        <w:rPr>
          <w:rStyle w:val="TextoNormalCaracter"/>
        </w:rPr>
        <w:t>-</w:t>
      </w:r>
      <w:r>
        <w:t xml:space="preserve"> Sentencia </w:t>
      </w:r>
      <w:hyperlink w:anchor="SENTENCIA_2015_104" w:history="1">
        <w:r w:rsidRPr="00DD47EB">
          <w:rPr>
            <w:rStyle w:val="TextoNormalCaracter"/>
          </w:rPr>
          <w:t>104/2015</w:t>
        </w:r>
      </w:hyperlink>
      <w:r>
        <w:t>, f. 3.</w:t>
      </w:r>
    </w:p>
    <w:p w:rsidR="00DD47EB" w:rsidRDefault="00DD47EB" w:rsidP="00DD47EB">
      <w:pPr>
        <w:pStyle w:val="SangriaFrancesaArticulo"/>
      </w:pPr>
    </w:p>
    <w:p w:rsidR="00DD47EB" w:rsidRDefault="00DD47EB" w:rsidP="00DD47EB">
      <w:pPr>
        <w:pStyle w:val="TextoNormalNegritaCursivandice"/>
      </w:pPr>
      <w:r>
        <w:t>Decreto-ley de la Generalitat Valenciana 4/2013, de 2 de agosto. Se establecen medidas urgentes para la reducción del déficit público y la lucha contra el fraude fiscal en la Comunitat Valenciana, así como otras medidas en materia de ordenación del juego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60" w:history="1">
        <w:r w:rsidRPr="00DD47EB">
          <w:rPr>
            <w:rStyle w:val="TextoNormalCaracter"/>
          </w:rPr>
          <w:t>60/2015</w:t>
        </w:r>
      </w:hyperlink>
      <w:r>
        <w:t>, ff. 1, 2.</w:t>
      </w:r>
    </w:p>
    <w:p w:rsidR="00DD47EB" w:rsidRDefault="00DD47EB" w:rsidP="00DD47EB">
      <w:pPr>
        <w:pStyle w:val="SangriaFrancesaArticulo"/>
      </w:pPr>
    </w:p>
    <w:p w:rsidR="00DD47EB" w:rsidRDefault="00DD47EB" w:rsidP="00DD47EB">
      <w:pPr>
        <w:pStyle w:val="TextoNormalNegritaCursivandice"/>
      </w:pPr>
      <w:r>
        <w:t>Ley de las Cortes Valencianas 5/2013, de 23 de diciembre. Medidas fiscales, de gestión Administrativa y financiera, y de organización de la Generalitat</w:t>
      </w:r>
    </w:p>
    <w:p w:rsidR="00DD47EB" w:rsidRDefault="00DD47EB" w:rsidP="00DD47EB">
      <w:pPr>
        <w:pStyle w:val="SangriaFrancesaArticulo"/>
      </w:pPr>
      <w:r w:rsidRPr="00DD47EB">
        <w:rPr>
          <w:rStyle w:val="TextoNormalNegritaCaracter"/>
        </w:rPr>
        <w:t>Artículo 161.</w:t>
      </w:r>
      <w:r w:rsidRPr="00DD47EB">
        <w:rPr>
          <w:rStyle w:val="TextoNormalCaracter"/>
        </w:rPr>
        <w:t>-</w:t>
      </w:r>
      <w:r>
        <w:t xml:space="preserve"> Sentencias </w:t>
      </w:r>
      <w:hyperlink w:anchor="SENTENCIA_2015_30" w:history="1">
        <w:r w:rsidRPr="00DD47EB">
          <w:rPr>
            <w:rStyle w:val="TextoNormalCaracter"/>
          </w:rPr>
          <w:t>30/2015</w:t>
        </w:r>
      </w:hyperlink>
      <w:r>
        <w:t xml:space="preserve">, ff. 1, 4, VP; </w:t>
      </w:r>
      <w:hyperlink w:anchor="SENTENCIA_2015_102" w:history="1">
        <w:r w:rsidRPr="00DD47EB">
          <w:rPr>
            <w:rStyle w:val="TextoNormalCaracter"/>
          </w:rPr>
          <w:t>102/2015</w:t>
        </w:r>
      </w:hyperlink>
      <w:r>
        <w:t>, f. 2.</w:t>
      </w:r>
    </w:p>
    <w:p w:rsidR="00DD47EB" w:rsidRDefault="00DD47EB" w:rsidP="00DD47EB">
      <w:pPr>
        <w:pStyle w:val="SangriaFrancesaArticulo"/>
      </w:pPr>
      <w:r w:rsidRPr="00DD47EB">
        <w:rPr>
          <w:rStyle w:val="TextoNormalNegritaCaracter"/>
        </w:rPr>
        <w:t>Disposición final quinta.</w:t>
      </w:r>
      <w:r w:rsidRPr="00DD47EB">
        <w:rPr>
          <w:rStyle w:val="TextoNormalCaracter"/>
        </w:rPr>
        <w:t>-</w:t>
      </w:r>
      <w:r>
        <w:t xml:space="preserve"> Sentencia </w:t>
      </w:r>
      <w:hyperlink w:anchor="SENTENCIA_2015_30" w:history="1">
        <w:r w:rsidRPr="00DD47EB">
          <w:rPr>
            <w:rStyle w:val="TextoNormalCaracter"/>
          </w:rPr>
          <w:t>30/2015</w:t>
        </w:r>
      </w:hyperlink>
      <w:r>
        <w:t>, f. 4.</w:t>
      </w:r>
    </w:p>
    <w:p w:rsidR="00DD47EB" w:rsidRDefault="00DD47EB" w:rsidP="00DD47EB">
      <w:pPr>
        <w:pStyle w:val="SangriaFrancesaArticulo"/>
      </w:pPr>
    </w:p>
    <w:p w:rsidR="00DD47EB" w:rsidRDefault="00DD47EB" w:rsidP="00DD47EB">
      <w:pPr>
        <w:pStyle w:val="TextoNormalNegritaCursivandice"/>
      </w:pPr>
      <w:r>
        <w:t>Ley de las Cortes Valencianas 7/2014, de 22 de diciembre. Medidas Fiscales, de Gestión Administrativa y Financiera, y de Organización de la Generalitat</w:t>
      </w:r>
    </w:p>
    <w:p w:rsidR="00DD47EB" w:rsidRDefault="00DD47EB" w:rsidP="00DD47EB">
      <w:pPr>
        <w:pStyle w:val="SangriaFrancesaArticulo"/>
      </w:pPr>
      <w:r w:rsidRPr="00DD47EB">
        <w:rPr>
          <w:rStyle w:val="TextoNormalNegritaCaracter"/>
        </w:rPr>
        <w:t>Artículo 48.1.</w:t>
      </w:r>
      <w:r w:rsidRPr="00DD47EB">
        <w:rPr>
          <w:rStyle w:val="TextoNormalCaracter"/>
        </w:rPr>
        <w:t>-</w:t>
      </w:r>
      <w:r>
        <w:t xml:space="preserve"> Sentencia </w:t>
      </w:r>
      <w:hyperlink w:anchor="SENTENCIA_2015_60" w:history="1">
        <w:r w:rsidRPr="00DD47EB">
          <w:rPr>
            <w:rStyle w:val="TextoNormalCaracter"/>
          </w:rPr>
          <w:t>60/2015</w:t>
        </w:r>
      </w:hyperlink>
      <w:r>
        <w:t>, ff. 1, 2.</w:t>
      </w:r>
    </w:p>
    <w:p w:rsidR="00DD47EB" w:rsidRDefault="00DD47EB" w:rsidP="00DD47EB">
      <w:pPr>
        <w:pStyle w:val="TextoNormal"/>
      </w:pPr>
    </w:p>
    <w:p w:rsidR="00DD47EB" w:rsidRDefault="00DD47EB" w:rsidP="00DD47EB">
      <w:pPr>
        <w:pStyle w:val="TextoNormalNegritaCentradoSubrayado"/>
        <w:suppressAutoHyphens/>
      </w:pPr>
      <w:r>
        <w:t>J.16.c) Decretos y otras disposiciones reglamentarias</w:t>
      </w:r>
    </w:p>
    <w:p w:rsidR="00DD47EB" w:rsidRDefault="00DD47EB" w:rsidP="00DD47EB">
      <w:pPr>
        <w:pStyle w:val="TextoNormalNegritaCentradoSubrayado"/>
      </w:pPr>
    </w:p>
    <w:p w:rsidR="00DD47EB" w:rsidRDefault="00DD47EB" w:rsidP="00DD47EB">
      <w:pPr>
        <w:pStyle w:val="TextoNormalNegritaCursivandice"/>
      </w:pPr>
      <w:r>
        <w:t>Decreto de la Generalidad Valenciana 157/1993, de 31 de agosto. Regula el componente retributivo relacionado con la formación permanente del profesorado y la realización de otras actividades para la mejora de la calidad de la enseñanza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p>
    <w:p w:rsidR="00DD47EB" w:rsidRDefault="00DD47EB" w:rsidP="00DD47EB">
      <w:pPr>
        <w:pStyle w:val="TextoNormalNegritaCursivandice"/>
      </w:pPr>
      <w:r>
        <w:t>Decreto de la Generalidad Valenciana 74/1999, de 1 de junio. Dispone la aplicación del componente retributivo regulado en el Decreto 157/1993, de 31 de agosto, del Gobierno Valenciano, al personal integrante de la inspección educativa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p>
    <w:p w:rsidR="00DD47EB" w:rsidRDefault="00DD47EB" w:rsidP="00DD47EB">
      <w:pPr>
        <w:pStyle w:val="TextoNormalNegritaCursivandice"/>
      </w:pPr>
      <w:r>
        <w:t>Decreto de la Generalidad Valenciana 175/2006, de 24 de noviembre. Regulan las condiciones de trabajo del personal al servicio de la administración del Consell</w:t>
      </w:r>
    </w:p>
    <w:p w:rsidR="00DD47EB" w:rsidRDefault="00DD47EB" w:rsidP="00DD47EB">
      <w:pPr>
        <w:pStyle w:val="SangriaFrancesaArticulo"/>
      </w:pPr>
      <w:r w:rsidRPr="00DD47EB">
        <w:rPr>
          <w:rStyle w:val="TextoNormalNegritaCaracter"/>
        </w:rPr>
        <w:t>Artículo 7.2.</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SangriaFrancesaArticulo"/>
      </w:pPr>
    </w:p>
    <w:p w:rsidR="00DD47EB" w:rsidRDefault="00DD47EB" w:rsidP="00DD47EB">
      <w:pPr>
        <w:pStyle w:val="TextoNormalNegritaCursivandice"/>
      </w:pPr>
      <w:r>
        <w:t>Decreto de la Generalidad Valenciana 7/2008, de 25 de enero. Regula los permisos y licencias del personal docente no universitario dependiente de la Conselleria de Educación</w:t>
      </w:r>
    </w:p>
    <w:p w:rsidR="00DD47EB" w:rsidRDefault="00DD47EB" w:rsidP="00DD47EB">
      <w:pPr>
        <w:pStyle w:val="SangriaFrancesaArticulo"/>
      </w:pPr>
      <w:r w:rsidRPr="00DD47EB">
        <w:rPr>
          <w:rStyle w:val="TextoNormalNegritaCaracter"/>
        </w:rPr>
        <w:t>Artículo 24.4.</w:t>
      </w:r>
      <w:r w:rsidRPr="00DD47EB">
        <w:rPr>
          <w:rStyle w:val="TextoNormalCaracter"/>
        </w:rPr>
        <w:t>-</w:t>
      </w:r>
      <w:r>
        <w:t xml:space="preserve"> Sentencia </w:t>
      </w:r>
      <w:hyperlink w:anchor="SENTENCIA_2015_104" w:history="1">
        <w:r w:rsidRPr="00DD47EB">
          <w:rPr>
            <w:rStyle w:val="TextoNormalCaracter"/>
          </w:rPr>
          <w:t>104/2015</w:t>
        </w:r>
      </w:hyperlink>
      <w:r>
        <w:t>, f. 2.</w:t>
      </w:r>
    </w:p>
    <w:p w:rsidR="00DD47EB" w:rsidRDefault="00DD47EB" w:rsidP="00DD47EB">
      <w:pPr>
        <w:pStyle w:val="TextoNormal"/>
      </w:pPr>
    </w:p>
    <w:p w:rsidR="00DD47EB" w:rsidRDefault="00DD47EB" w:rsidP="00DD47EB">
      <w:pPr>
        <w:pStyle w:val="SangriaFrancesaArticulo"/>
      </w:pPr>
      <w:bookmarkStart w:id="279" w:name="INDICE22870"/>
    </w:p>
    <w:bookmarkEnd w:id="279"/>
    <w:p w:rsidR="00DD47EB" w:rsidRDefault="00DD47EB" w:rsidP="00DD47EB">
      <w:pPr>
        <w:pStyle w:val="TextoIndiceNivel2"/>
        <w:suppressAutoHyphens/>
      </w:pPr>
      <w:r>
        <w:t>L) Tratados y acuerdos internacionales</w:t>
      </w:r>
    </w:p>
    <w:p w:rsidR="00DD47EB" w:rsidRDefault="00DD47EB" w:rsidP="00DD47EB">
      <w:pPr>
        <w:pStyle w:val="TextoIndiceNivel2"/>
      </w:pPr>
    </w:p>
    <w:p w:rsidR="00DD47EB" w:rsidRDefault="00DD47EB" w:rsidP="00DD47EB">
      <w:pPr>
        <w:pStyle w:val="TextoNormalNegritaCursivandice"/>
      </w:pPr>
      <w:r>
        <w:t>Pacto internacional de derechos civiles y políticos. Nueva York, 16 de diciembre de 1966. Ratificado por Instrumento de 13 de abril de 1977</w:t>
      </w:r>
    </w:p>
    <w:p w:rsidR="00DD47EB" w:rsidRDefault="00DD47EB" w:rsidP="00DD47EB">
      <w:pPr>
        <w:pStyle w:val="SangriaFrancesaArticulo"/>
      </w:pPr>
      <w:r w:rsidRPr="00DD47EB">
        <w:rPr>
          <w:rStyle w:val="TextoNormalNegritaCaracter"/>
        </w:rPr>
        <w:t>Artículo 14.5.</w:t>
      </w:r>
      <w:r w:rsidRPr="00DD47EB">
        <w:rPr>
          <w:rStyle w:val="TextoNormalCaracter"/>
        </w:rPr>
        <w:t>-</w:t>
      </w:r>
      <w:r>
        <w:t xml:space="preserve"> Sentencia </w:t>
      </w:r>
      <w:hyperlink w:anchor="SENTENCIA_2015_55" w:history="1">
        <w:r w:rsidRPr="00DD47EB">
          <w:rPr>
            <w:rStyle w:val="TextoNormalCaracter"/>
          </w:rPr>
          <w:t>55/2015</w:t>
        </w:r>
      </w:hyperlink>
      <w:r>
        <w:t>, f. 4.</w:t>
      </w:r>
    </w:p>
    <w:p w:rsidR="00DD47EB" w:rsidRDefault="00DD47EB" w:rsidP="00DD47EB">
      <w:pPr>
        <w:pStyle w:val="SangriaFrancesaArticulo"/>
      </w:pPr>
    </w:p>
    <w:p w:rsidR="00DD47EB" w:rsidRDefault="00DD47EB" w:rsidP="00DD47EB">
      <w:pPr>
        <w:pStyle w:val="TextoNormalNegritaCursivandice"/>
      </w:pPr>
      <w:r>
        <w:t>Recomendación de la Organización Internacional del Trabajo (núm. 162), de 23 de junio de 1980. Trabajadores de edad</w:t>
      </w:r>
    </w:p>
    <w:p w:rsidR="00DD47EB" w:rsidRDefault="00DD47EB" w:rsidP="00DD47EB">
      <w:pPr>
        <w:pStyle w:val="SangriaFrancesaArticulo"/>
      </w:pPr>
      <w:r w:rsidRPr="00DD47EB">
        <w:rPr>
          <w:rStyle w:val="TextoNormalNegritaCaracter"/>
        </w:rPr>
        <w:t>Apartado IV. 21 a).</w:t>
      </w:r>
      <w:r w:rsidRPr="00DD47EB">
        <w:rPr>
          <w:rStyle w:val="TextoNormalCaracter"/>
        </w:rPr>
        <w:t>-</w:t>
      </w:r>
      <w:r>
        <w:t xml:space="preserve"> Sentencia </w:t>
      </w:r>
      <w:hyperlink w:anchor="SENTENCIA_2015_8" w:history="1">
        <w:r w:rsidRPr="00DD47EB">
          <w:rPr>
            <w:rStyle w:val="TextoNormalCaracter"/>
          </w:rPr>
          <w:t>8/2015</w:t>
        </w:r>
      </w:hyperlink>
      <w:r>
        <w:t>, f. 10.</w:t>
      </w:r>
    </w:p>
    <w:p w:rsidR="00DD47EB" w:rsidRDefault="00DD47EB" w:rsidP="00DD47EB">
      <w:pPr>
        <w:pStyle w:val="SangriaFrancesaArticulo"/>
      </w:pPr>
    </w:p>
    <w:p w:rsidR="00DD47EB" w:rsidRDefault="00DD47EB" w:rsidP="00DD47EB">
      <w:pPr>
        <w:pStyle w:val="TextoNormalNegritaCursivandice"/>
      </w:pPr>
      <w:r>
        <w:t>Convenio de la Organización Internacional del Trabajo (núm. 158), de 22 de junio de 1982. Terminación de la relación de trabajo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Autos </w:t>
      </w:r>
      <w:hyperlink w:anchor="AUTO_2015_33" w:history="1">
        <w:r w:rsidRPr="00DD47EB">
          <w:rPr>
            <w:rStyle w:val="TextoNormalCaracter"/>
          </w:rPr>
          <w:t>33/2015</w:t>
        </w:r>
      </w:hyperlink>
      <w:r>
        <w:t xml:space="preserve">, f. 4; </w:t>
      </w:r>
      <w:hyperlink w:anchor="AUTO_2015_34" w:history="1">
        <w:r w:rsidRPr="00DD47EB">
          <w:rPr>
            <w:rStyle w:val="TextoNormalCaracter"/>
          </w:rPr>
          <w:t>34/2015</w:t>
        </w:r>
      </w:hyperlink>
      <w:r>
        <w:t>, f. 4.</w:t>
      </w:r>
    </w:p>
    <w:p w:rsidR="00DD47EB" w:rsidRDefault="00DD47EB" w:rsidP="00DD47EB">
      <w:pPr>
        <w:pStyle w:val="SangriaFrancesaArticulo"/>
      </w:pPr>
      <w:r w:rsidRPr="00DD47EB">
        <w:rPr>
          <w:rStyle w:val="TextoNormalNegritaCaracter"/>
        </w:rPr>
        <w:t>Artículo 10.</w:t>
      </w:r>
      <w:r w:rsidRPr="00DD47EB">
        <w:rPr>
          <w:rStyle w:val="TextoNormalCaracter"/>
        </w:rPr>
        <w:t>-</w:t>
      </w:r>
      <w:r>
        <w:t xml:space="preserve"> Autos </w:t>
      </w:r>
      <w:hyperlink w:anchor="AUTO_2015_33" w:history="1">
        <w:r w:rsidRPr="00DD47EB">
          <w:rPr>
            <w:rStyle w:val="TextoNormalCaracter"/>
          </w:rPr>
          <w:t>33/2015</w:t>
        </w:r>
      </w:hyperlink>
      <w:r>
        <w:t xml:space="preserve">, f. 5; </w:t>
      </w:r>
      <w:hyperlink w:anchor="AUTO_2015_34" w:history="1">
        <w:r w:rsidRPr="00DD47EB">
          <w:rPr>
            <w:rStyle w:val="TextoNormalCaracter"/>
          </w:rPr>
          <w:t>34/2015</w:t>
        </w:r>
      </w:hyperlink>
      <w:r>
        <w:t xml:space="preserve">; </w:t>
      </w:r>
      <w:hyperlink w:anchor="AUTO_2015_35" w:history="1">
        <w:r w:rsidRPr="00DD47EB">
          <w:rPr>
            <w:rStyle w:val="TextoNormalCaracter"/>
          </w:rPr>
          <w:t>35/2015</w:t>
        </w:r>
      </w:hyperlink>
      <w:r>
        <w:t>, f. 3.</w:t>
      </w:r>
    </w:p>
    <w:p w:rsidR="00DD47EB" w:rsidRDefault="00DD47EB" w:rsidP="00DD47EB">
      <w:pPr>
        <w:pStyle w:val="SangriaFrancesaArticulo"/>
      </w:pPr>
    </w:p>
    <w:p w:rsidR="00DD47EB" w:rsidRDefault="00DD47EB" w:rsidP="00DD47EB">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DD47EB" w:rsidRDefault="00DD47EB" w:rsidP="00DD47EB">
      <w:pPr>
        <w:pStyle w:val="SangriaFrancesaArticulo"/>
      </w:pPr>
      <w:r w:rsidRPr="00DD47EB">
        <w:rPr>
          <w:rStyle w:val="TextoNormalNegritaCaracter"/>
        </w:rPr>
        <w:t>Artículo 8.</w:t>
      </w:r>
      <w:r w:rsidRPr="00DD47EB">
        <w:rPr>
          <w:rStyle w:val="TextoNormalCaracter"/>
        </w:rPr>
        <w:t>-</w:t>
      </w:r>
      <w:r>
        <w:t xml:space="preserve"> Sentencia </w:t>
      </w:r>
      <w:hyperlink w:anchor="SENTENCIA_2015_9" w:history="1">
        <w:r w:rsidRPr="00DD47EB">
          <w:rPr>
            <w:rStyle w:val="TextoNormalCaracter"/>
          </w:rPr>
          <w:t>9/2015</w:t>
        </w:r>
      </w:hyperlink>
      <w:r>
        <w:t>, f. 1.</w:t>
      </w:r>
    </w:p>
    <w:p w:rsidR="00DD47EB" w:rsidRDefault="00DD47EB" w:rsidP="00DD47EB">
      <w:pPr>
        <w:pStyle w:val="SangriaFrancesaArticulo"/>
      </w:pPr>
    </w:p>
    <w:p w:rsidR="00DD47EB" w:rsidRDefault="00DD47EB" w:rsidP="00DD47EB">
      <w:pPr>
        <w:pStyle w:val="TextoNormalNegritaCursivandice"/>
      </w:pPr>
      <w:r>
        <w:t>Convenio de Aarhus, de 25 de junio de 1998. Acceso a la información, la participación del público en la toma de decisiones y el acceso a la justicia en materia de medio ambiente</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ff. 5, 6.</w:t>
      </w:r>
    </w:p>
    <w:p w:rsidR="00DD47EB" w:rsidRDefault="00DD47EB" w:rsidP="00DD47EB">
      <w:pPr>
        <w:pStyle w:val="SangriaFrancesaArticulo"/>
      </w:pPr>
    </w:p>
    <w:p w:rsidR="00DD47EB" w:rsidRDefault="00DD47EB" w:rsidP="00DD47EB">
      <w:pPr>
        <w:pStyle w:val="TextoNormalNegritaCursivandice"/>
      </w:pPr>
      <w:r>
        <w:t>Plan de aplicación de las decisiones de la Cumbre Mundial sobre el desarrollo sostenible, de 4 de septiembre de 2002</w:t>
      </w:r>
    </w:p>
    <w:p w:rsidR="00DD47EB" w:rsidRDefault="00DD47EB" w:rsidP="00DD47EB">
      <w:pPr>
        <w:pStyle w:val="SangriaFrancesaArticulo"/>
      </w:pPr>
      <w:r w:rsidRPr="00DD47EB">
        <w:rPr>
          <w:rStyle w:val="TextoNormalNegritaCaracter"/>
        </w:rPr>
        <w:t>Artículo 24.</w:t>
      </w:r>
      <w:r w:rsidRPr="00DD47EB">
        <w:rPr>
          <w:rStyle w:val="TextoNormalCaracter"/>
        </w:rPr>
        <w:t>-</w:t>
      </w:r>
      <w:r>
        <w:t xml:space="preserve"> Sentencia </w:t>
      </w:r>
      <w:hyperlink w:anchor="SENTENCIA_2015_45" w:history="1">
        <w:r w:rsidRPr="00DD47EB">
          <w:rPr>
            <w:rStyle w:val="TextoNormalCaracter"/>
          </w:rPr>
          <w:t>45/2015</w:t>
        </w:r>
      </w:hyperlink>
      <w:r>
        <w:t>, f. 3.</w:t>
      </w:r>
    </w:p>
    <w:p w:rsidR="00DD47EB" w:rsidRDefault="00DD47EB" w:rsidP="00DD47EB">
      <w:pPr>
        <w:pStyle w:val="SangriaFrancesaArticulo"/>
      </w:pPr>
    </w:p>
    <w:p w:rsidR="00DD47EB" w:rsidRDefault="00DD47EB" w:rsidP="00DD47EB">
      <w:pPr>
        <w:pStyle w:val="TextoNormalNegritaCursivandice"/>
      </w:pPr>
      <w:r>
        <w:t>Protocolo facultativo a la Convención contra la tortura y otros tratos o penas crueles, inhumanos o degradantes, hecho en Nueva York el 18 de diciembre de 2002. Ratificado por Instrumento el 3 de marzo de 2006</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6" w:history="1">
        <w:r w:rsidRPr="00DD47EB">
          <w:rPr>
            <w:rStyle w:val="TextoNormalCaracter"/>
          </w:rPr>
          <w:t>46/2015</w:t>
        </w:r>
      </w:hyperlink>
      <w:r>
        <w:t>, ff. 1, 4, 5.</w:t>
      </w:r>
    </w:p>
    <w:p w:rsidR="00DD47EB" w:rsidRDefault="00DD47EB" w:rsidP="00DD47EB">
      <w:pPr>
        <w:pStyle w:val="SangriaFrancesaArticulo"/>
      </w:pPr>
      <w:r w:rsidRPr="00DD47EB">
        <w:rPr>
          <w:rStyle w:val="TextoNormalNegritaCaracter"/>
        </w:rPr>
        <w:t>Artículo 1.</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2.</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SangriaFrancesaArticulo"/>
      </w:pPr>
      <w:r w:rsidRPr="00DD47EB">
        <w:rPr>
          <w:rStyle w:val="TextoNormalNegritaCaracter"/>
        </w:rPr>
        <w:t>Artículo 17.</w:t>
      </w:r>
      <w:r w:rsidRPr="00DD47EB">
        <w:rPr>
          <w:rStyle w:val="TextoNormalCaracter"/>
        </w:rPr>
        <w:t>-</w:t>
      </w:r>
      <w:r>
        <w:t xml:space="preserve"> Sentencia </w:t>
      </w:r>
      <w:hyperlink w:anchor="SENTENCIA_2015_46" w:history="1">
        <w:r w:rsidRPr="00DD47EB">
          <w:rPr>
            <w:rStyle w:val="TextoNormalCaracter"/>
          </w:rPr>
          <w:t>46/2015</w:t>
        </w:r>
      </w:hyperlink>
      <w:r>
        <w:t>, f. 4.</w:t>
      </w:r>
    </w:p>
    <w:p w:rsidR="00DD47EB" w:rsidRDefault="00DD47EB" w:rsidP="00DD47EB">
      <w:pPr>
        <w:pStyle w:val="TextoNormal"/>
      </w:pPr>
    </w:p>
    <w:p w:rsidR="00DD47EB" w:rsidRDefault="00DD47EB" w:rsidP="00DD47EB">
      <w:pPr>
        <w:pStyle w:val="SangriaFrancesaArticulo"/>
      </w:pPr>
      <w:bookmarkStart w:id="280" w:name="INDICE22871"/>
    </w:p>
    <w:bookmarkEnd w:id="280"/>
    <w:p w:rsidR="00DD47EB" w:rsidRDefault="00DD47EB" w:rsidP="00DD47EB">
      <w:pPr>
        <w:pStyle w:val="TextoIndiceNivel2"/>
        <w:suppressAutoHyphens/>
      </w:pPr>
      <w:r>
        <w:t>M) Unión Europea</w:t>
      </w:r>
    </w:p>
    <w:p w:rsidR="00DD47EB" w:rsidRDefault="00DD47EB" w:rsidP="00DD47EB">
      <w:pPr>
        <w:pStyle w:val="TextoIndiceNivel2"/>
      </w:pPr>
    </w:p>
    <w:p w:rsidR="00DD47EB" w:rsidRDefault="00DD47EB" w:rsidP="00DD47EB">
      <w:pPr>
        <w:pStyle w:val="TextoNormalNegritaCursivandice"/>
      </w:pPr>
      <w:r>
        <w:t>Directiva 79/7/CEE del Consejo, de 19 de diciembre de 1978. Aplicación progresiva del principio de igualdad de trato entre hombres y mujeres en materia de seguridad social</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110" w:history="1">
        <w:r w:rsidRPr="00DD47EB">
          <w:rPr>
            <w:rStyle w:val="TextoNormalCaracter"/>
          </w:rPr>
          <w:t>110/2015</w:t>
        </w:r>
      </w:hyperlink>
      <w:r>
        <w:t>, f. 11.</w:t>
      </w:r>
    </w:p>
    <w:p w:rsidR="00DD47EB" w:rsidRDefault="00DD47EB" w:rsidP="00DD47EB">
      <w:pPr>
        <w:pStyle w:val="SangriaFrancesaArticulo"/>
      </w:pPr>
      <w:r w:rsidRPr="00DD47EB">
        <w:rPr>
          <w:rStyle w:val="TextoNormalNegritaCaracter"/>
        </w:rPr>
        <w:t>Artículo 4.1.</w:t>
      </w:r>
      <w:r w:rsidRPr="00DD47EB">
        <w:rPr>
          <w:rStyle w:val="TextoNormalCaracter"/>
        </w:rPr>
        <w:t>-</w:t>
      </w:r>
      <w:r>
        <w:t xml:space="preserve"> Sentencia </w:t>
      </w:r>
      <w:hyperlink w:anchor="SENTENCIA_2015_110" w:history="1">
        <w:r w:rsidRPr="00DD47EB">
          <w:rPr>
            <w:rStyle w:val="TextoNormalCaracter"/>
          </w:rPr>
          <w:t>110/2015</w:t>
        </w:r>
      </w:hyperlink>
      <w:r>
        <w:t>, f. 11.</w:t>
      </w:r>
    </w:p>
    <w:p w:rsidR="00DD47EB" w:rsidRDefault="00DD47EB" w:rsidP="00DD47EB">
      <w:pPr>
        <w:pStyle w:val="SangriaFrancesaArticulo"/>
      </w:pPr>
    </w:p>
    <w:p w:rsidR="00DD47EB" w:rsidRDefault="00DD47EB" w:rsidP="00DD47EB">
      <w:pPr>
        <w:pStyle w:val="TextoNormalNegritaCursivandice"/>
      </w:pPr>
      <w:r>
        <w:t>Directiva 85/337/CEE del Consejo, de 27 de junio de 1985. Evaluación de las repercusiones de determinados proyectos públicos y privados sobre el medio ambiente</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57" w:history="1">
        <w:r w:rsidRPr="00DD47EB">
          <w:rPr>
            <w:rStyle w:val="TextoNormalCaracter"/>
          </w:rPr>
          <w:t>57/2015</w:t>
        </w:r>
      </w:hyperlink>
      <w:r>
        <w:t>, f. 4.</w:t>
      </w:r>
    </w:p>
    <w:p w:rsidR="00DD47EB" w:rsidRDefault="00DD47EB" w:rsidP="00DD47EB">
      <w:pPr>
        <w:pStyle w:val="SangriaFrancesaArticulo"/>
      </w:pPr>
    </w:p>
    <w:p w:rsidR="00DD47EB" w:rsidRDefault="00DD47EB" w:rsidP="00DD47EB">
      <w:pPr>
        <w:pStyle w:val="TextoNormalNegritaCursivandice"/>
      </w:pPr>
      <w:r>
        <w:t>Directiva 89/105/CEE del Consejo de 21 de diciembre de 1988. Transparencia de las medidas que regulan la fijación de precios de los medicamentos para uso humano y su inclusión en el ámbito de los sistemas nacionales del seguro de enfermedad</w:t>
      </w:r>
    </w:p>
    <w:p w:rsidR="00DD47EB" w:rsidRDefault="00DD47EB" w:rsidP="00DD47EB">
      <w:pPr>
        <w:pStyle w:val="SangriaFrancesaArticulo"/>
      </w:pPr>
      <w:r w:rsidRPr="00DD47EB">
        <w:rPr>
          <w:rStyle w:val="TextoNormalNegritaCaracter"/>
        </w:rPr>
        <w:t>Artículo 4.</w:t>
      </w:r>
      <w:r w:rsidRPr="00DD47EB">
        <w:rPr>
          <w:rStyle w:val="TextoNormalCaracter"/>
        </w:rPr>
        <w:t>-</w:t>
      </w:r>
      <w:r>
        <w:t xml:space="preserve"> Sentencia </w:t>
      </w:r>
      <w:hyperlink w:anchor="SENTENCIA_2015_44" w:history="1">
        <w:r w:rsidRPr="00DD47EB">
          <w:rPr>
            <w:rStyle w:val="TextoNormalCaracter"/>
          </w:rPr>
          <w:t>44/2015</w:t>
        </w:r>
      </w:hyperlink>
      <w:r>
        <w:t>, f. 5.</w:t>
      </w:r>
    </w:p>
    <w:p w:rsidR="00DD47EB" w:rsidRDefault="00DD47EB" w:rsidP="00DD47EB">
      <w:pPr>
        <w:pStyle w:val="SangriaFrancesaArticulo"/>
      </w:pPr>
    </w:p>
    <w:p w:rsidR="00DD47EB" w:rsidRDefault="00DD47EB" w:rsidP="00DD47EB">
      <w:pPr>
        <w:pStyle w:val="TextoNormalNegritaCursivandice"/>
      </w:pPr>
      <w:r>
        <w:t>Tratado de Maastricht, de 7 de febrero de 1992. Tratado de la Unión Europea</w:t>
      </w:r>
    </w:p>
    <w:p w:rsidR="00DD47EB" w:rsidRDefault="00DD47EB" w:rsidP="00DD47EB">
      <w:pPr>
        <w:pStyle w:val="SangriaFrancesaArticulo"/>
      </w:pPr>
      <w:r w:rsidRPr="00DD47EB">
        <w:rPr>
          <w:rStyle w:val="TextoNormalNegritaCaracter"/>
        </w:rPr>
        <w:t>Artículo 43.</w:t>
      </w:r>
      <w:r w:rsidRPr="00DD47EB">
        <w:rPr>
          <w:rStyle w:val="TextoNormalCaracter"/>
        </w:rPr>
        <w:t>-</w:t>
      </w:r>
      <w:r>
        <w:t xml:space="preserve"> Sentencia </w:t>
      </w:r>
      <w:hyperlink w:anchor="SENTENCIA_2015_84" w:history="1">
        <w:r w:rsidRPr="00DD47EB">
          <w:rPr>
            <w:rStyle w:val="TextoNormalCaracter"/>
          </w:rPr>
          <w:t>84/2015</w:t>
        </w:r>
      </w:hyperlink>
      <w:r>
        <w:t>, f. 6.</w:t>
      </w:r>
    </w:p>
    <w:p w:rsidR="00DD47EB" w:rsidRDefault="00DD47EB" w:rsidP="00DD47EB">
      <w:pPr>
        <w:pStyle w:val="SangriaFrancesaArticulo"/>
      </w:pPr>
      <w:r w:rsidRPr="00DD47EB">
        <w:rPr>
          <w:rStyle w:val="TextoNormalNegritaCaracter"/>
        </w:rPr>
        <w:t>Artículo 49.</w:t>
      </w:r>
      <w:r w:rsidRPr="00DD47EB">
        <w:rPr>
          <w:rStyle w:val="TextoNormalCaracter"/>
        </w:rPr>
        <w:t>-</w:t>
      </w:r>
      <w:r>
        <w:t xml:space="preserve"> Sentencia </w:t>
      </w:r>
      <w:hyperlink w:anchor="SENTENCIA_2015_84" w:history="1">
        <w:r w:rsidRPr="00DD47EB">
          <w:rPr>
            <w:rStyle w:val="TextoNormalCaracter"/>
          </w:rPr>
          <w:t>84/2015</w:t>
        </w:r>
      </w:hyperlink>
      <w:r>
        <w:t>, f. 6.</w:t>
      </w:r>
    </w:p>
    <w:p w:rsidR="00DD47EB" w:rsidRDefault="00DD47EB" w:rsidP="00DD47EB">
      <w:pPr>
        <w:pStyle w:val="SangriaFrancesaArticulo"/>
      </w:pPr>
    </w:p>
    <w:p w:rsidR="00DD47EB" w:rsidRDefault="00DD47EB" w:rsidP="00DD47EB">
      <w:pPr>
        <w:pStyle w:val="TextoNormalNegritaCursivandice"/>
      </w:pPr>
      <w:r>
        <w:t>Directiva 92/102/CEE del Consejo, de 27 de noviembre de 1992. Identificación y registro de animales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8" w:history="1">
        <w:r w:rsidRPr="00DD47EB">
          <w:rPr>
            <w:rStyle w:val="TextoNormalCaracter"/>
          </w:rPr>
          <w:t>58/2015</w:t>
        </w:r>
      </w:hyperlink>
      <w:r>
        <w:t>, f. 5.</w:t>
      </w:r>
    </w:p>
    <w:p w:rsidR="00DD47EB" w:rsidRDefault="00DD47EB" w:rsidP="00DD47EB">
      <w:pPr>
        <w:pStyle w:val="SangriaFrancesaArticulo"/>
      </w:pPr>
    </w:p>
    <w:p w:rsidR="00DD47EB" w:rsidRDefault="00DD47EB" w:rsidP="00DD47EB">
      <w:pPr>
        <w:pStyle w:val="TextoNormalNegritaCursivandice"/>
      </w:pPr>
      <w:r>
        <w:t>Directiva 97/11/CE del Consejo, de 3 de marzo de 1997. Modificación de la Directiva 85/337/CEE relativa a la evaluación de las repercusiones de determinados proyectos públicos y privados sobre el medio ambiente</w:t>
      </w:r>
    </w:p>
    <w:p w:rsidR="00DD47EB" w:rsidRDefault="00DD47EB" w:rsidP="00DD47EB">
      <w:pPr>
        <w:pStyle w:val="SangriaFrancesaArticulo"/>
      </w:pPr>
      <w:r w:rsidRPr="00DD47EB">
        <w:rPr>
          <w:rStyle w:val="TextoNormalNegritaCaracter"/>
        </w:rPr>
        <w:t>Preámbulo.</w:t>
      </w:r>
      <w:r w:rsidRPr="00DD47EB">
        <w:rPr>
          <w:rStyle w:val="TextoNormalCaracter"/>
        </w:rPr>
        <w:t>-</w:t>
      </w:r>
      <w:r>
        <w:t xml:space="preserve"> Sentencia </w:t>
      </w:r>
      <w:hyperlink w:anchor="SENTENCIA_2015_57" w:history="1">
        <w:r w:rsidRPr="00DD47EB">
          <w:rPr>
            <w:rStyle w:val="TextoNormalCaracter"/>
          </w:rPr>
          <w:t>57/2015</w:t>
        </w:r>
      </w:hyperlink>
      <w:r>
        <w:t>, f. 4.</w:t>
      </w:r>
    </w:p>
    <w:p w:rsidR="00DD47EB" w:rsidRDefault="00DD47EB" w:rsidP="00DD47EB">
      <w:pPr>
        <w:pStyle w:val="SangriaFrancesaArticulo"/>
      </w:pPr>
    </w:p>
    <w:p w:rsidR="00DD47EB" w:rsidRDefault="00DD47EB" w:rsidP="00DD47EB">
      <w:pPr>
        <w:pStyle w:val="TextoNormalNegritaCursivandice"/>
      </w:pPr>
      <w:r>
        <w:t>Directiva 1999/70/CE del Consejo, de 28 de junio de 1999. Acuerdo marco de la CES, la UNICEF y el CEEP sobre el trabajo de duración determinada</w:t>
      </w:r>
    </w:p>
    <w:p w:rsidR="00DD47EB" w:rsidRDefault="00DD47EB" w:rsidP="00DD47EB">
      <w:pPr>
        <w:pStyle w:val="SangriaFrancesaArticulo"/>
      </w:pPr>
      <w:r w:rsidRPr="00DD47EB">
        <w:rPr>
          <w:rStyle w:val="TextoNormalNegritaCaracter"/>
        </w:rPr>
        <w:t>Cláusula 4.4.</w:t>
      </w:r>
      <w:r w:rsidRPr="00DD47EB">
        <w:rPr>
          <w:rStyle w:val="TextoNormalCaracter"/>
        </w:rPr>
        <w:t>-</w:t>
      </w:r>
      <w:r>
        <w:t xml:space="preserve"> Sentencia </w:t>
      </w:r>
      <w:hyperlink w:anchor="SENTENCIA_2015_99" w:history="1">
        <w:r w:rsidRPr="00DD47EB">
          <w:rPr>
            <w:rStyle w:val="TextoNormalCaracter"/>
          </w:rPr>
          <w:t>99/2015</w:t>
        </w:r>
      </w:hyperlink>
      <w:r>
        <w:t>, ff. 1, 2.</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9" w:history="1">
        <w:r w:rsidRPr="00DD47EB">
          <w:rPr>
            <w:rStyle w:val="TextoNormalCaracter"/>
          </w:rPr>
          <w:t>99/2015</w:t>
        </w:r>
      </w:hyperlink>
      <w:r>
        <w:t>, ff. 1, 4.</w:t>
      </w:r>
    </w:p>
    <w:p w:rsidR="00DD47EB" w:rsidRDefault="00DD47EB" w:rsidP="00DD47EB">
      <w:pPr>
        <w:pStyle w:val="SangriaFrancesaArticulo"/>
      </w:pPr>
    </w:p>
    <w:p w:rsidR="00DD47EB" w:rsidRDefault="00DD47EB" w:rsidP="00DD47EB">
      <w:pPr>
        <w:pStyle w:val="TextoNormalNegritaCursivandice"/>
      </w:pPr>
      <w:r>
        <w:t>Directiva 2001/42/CE del Parlamento Europeo y del Consejo, de 27 de junio de 2001. Evaluación de los efectos de determinados planes y programas en el medio ambiente</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7" w:history="1">
        <w:r w:rsidRPr="00DD47EB">
          <w:rPr>
            <w:rStyle w:val="TextoNormalCaracter"/>
          </w:rPr>
          <w:t>57/2015</w:t>
        </w:r>
      </w:hyperlink>
      <w:r>
        <w:t>, f. 3.</w:t>
      </w:r>
    </w:p>
    <w:p w:rsidR="00DD47EB" w:rsidRDefault="00DD47EB" w:rsidP="00DD47EB">
      <w:pPr>
        <w:pStyle w:val="SangriaFrancesaArticulo"/>
      </w:pPr>
    </w:p>
    <w:p w:rsidR="00DD47EB" w:rsidRDefault="00DD47EB" w:rsidP="00DD47EB">
      <w:pPr>
        <w:pStyle w:val="TextoNormalNegritaCursivandice"/>
      </w:pPr>
      <w:r>
        <w:t>Directiva 2003/124/CE de la Comisión de 22 de diciembre de 2003. Aplicación de la Directiva 2003/6/CE del Parlamento Europeo y del Consejo sobre la definición y revelación pública de la información privilegiada y la definición de manipulación del mercado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2" w:history="1">
        <w:r w:rsidRPr="00DD47EB">
          <w:rPr>
            <w:rStyle w:val="TextoNormalCaracter"/>
          </w:rPr>
          <w:t>2/2015</w:t>
        </w:r>
      </w:hyperlink>
      <w:r>
        <w:t>, f. 9.</w:t>
      </w:r>
    </w:p>
    <w:p w:rsidR="00DD47EB" w:rsidRDefault="00DD47EB" w:rsidP="00DD47EB">
      <w:pPr>
        <w:pStyle w:val="SangriaFrancesaArticulo"/>
      </w:pPr>
    </w:p>
    <w:p w:rsidR="00DD47EB" w:rsidRDefault="00DD47EB" w:rsidP="00DD47EB">
      <w:pPr>
        <w:pStyle w:val="TextoNormalNegritaCursivandice"/>
      </w:pPr>
      <w:r>
        <w:t>Directiva 2004/17/CE del Parlamento Europeo y del Consejo, de 31 de marzo de 2004. Coordinación de los procedimientos de adjudicación de contratos en los sectores del agua, de la energía, de los transportes y de los servicios postales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3" w:history="1">
        <w:r w:rsidRPr="00DD47EB">
          <w:rPr>
            <w:rStyle w:val="TextoNormalCaracter"/>
          </w:rPr>
          <w:t>103/2015</w:t>
        </w:r>
      </w:hyperlink>
      <w:r>
        <w:t>, f. 3.</w:t>
      </w:r>
    </w:p>
    <w:p w:rsidR="00DD47EB" w:rsidRDefault="00DD47EB" w:rsidP="00DD47EB">
      <w:pPr>
        <w:pStyle w:val="SangriaFrancesaArticulo"/>
      </w:pPr>
    </w:p>
    <w:p w:rsidR="00DD47EB" w:rsidRDefault="00DD47EB" w:rsidP="00DD47EB">
      <w:pPr>
        <w:pStyle w:val="TextoNormalNegritaCursivandice"/>
      </w:pPr>
      <w:r>
        <w:t>Directiva 2004/18/CE del Parlamento Europeo y del Consejo, de 31 de marzo de 2004.  Coordinación de los procedimientos de adjudicación de los contratos públicos de obras, de suministro y de servicios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4" w:history="1">
        <w:r w:rsidRPr="00DD47EB">
          <w:rPr>
            <w:rStyle w:val="TextoNormalCaracter"/>
          </w:rPr>
          <w:t>84/2015</w:t>
        </w:r>
      </w:hyperlink>
      <w:r>
        <w:t xml:space="preserve">, f. 6; </w:t>
      </w:r>
      <w:hyperlink w:anchor="SENTENCIA_2015_103" w:history="1">
        <w:r w:rsidRPr="00DD47EB">
          <w:rPr>
            <w:rStyle w:val="TextoNormalCaracter"/>
          </w:rPr>
          <w:t>103/2015</w:t>
        </w:r>
      </w:hyperlink>
      <w:r>
        <w:t>, f. 3.</w:t>
      </w:r>
    </w:p>
    <w:p w:rsidR="00DD47EB" w:rsidRDefault="00DD47EB" w:rsidP="00DD47EB">
      <w:pPr>
        <w:pStyle w:val="SangriaFrancesaArticulo"/>
      </w:pPr>
    </w:p>
    <w:p w:rsidR="00DD47EB" w:rsidRDefault="00DD47EB" w:rsidP="00DD47EB">
      <w:pPr>
        <w:pStyle w:val="TextoNormalNegritaCursivandice"/>
      </w:pPr>
      <w:r>
        <w:t>Directiva 2006/21/CE del Parlamento Europeo y del Consejo, de 15 de marzo de 2006. Gestión de los residuos de industrias extractivas y por la que se modifica la Directiva 2004/35/CE</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45" w:history="1">
        <w:r w:rsidRPr="00DD47EB">
          <w:rPr>
            <w:rStyle w:val="TextoNormalCaracter"/>
          </w:rPr>
          <w:t>45/2015</w:t>
        </w:r>
      </w:hyperlink>
      <w:r>
        <w:t>, ff. 3, 4.</w:t>
      </w:r>
    </w:p>
    <w:p w:rsidR="00DD47EB" w:rsidRDefault="00DD47EB" w:rsidP="00DD47EB">
      <w:pPr>
        <w:pStyle w:val="SangriaFrancesaArticulo"/>
      </w:pPr>
    </w:p>
    <w:p w:rsidR="00DD47EB" w:rsidRDefault="00DD47EB" w:rsidP="00DD47EB">
      <w:pPr>
        <w:pStyle w:val="TextoNormalNegritaCursivandice"/>
      </w:pPr>
      <w:r>
        <w:t>Carta de los derechos fundamentales de la Unión Europea. Estrasburgo, 12 de diciembre de 2007 (versión consolidada)</w:t>
      </w:r>
    </w:p>
    <w:p w:rsidR="00DD47EB" w:rsidRDefault="00DD47EB" w:rsidP="00DD47EB">
      <w:pPr>
        <w:pStyle w:val="SangriaFrancesaArticulo"/>
      </w:pPr>
      <w:r w:rsidRPr="00DD47EB">
        <w:rPr>
          <w:rStyle w:val="TextoNormalNegritaCaracter"/>
        </w:rPr>
        <w:t>Artículo 10.2.</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52.7.</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p>
    <w:p w:rsidR="00DD47EB" w:rsidRDefault="00DD47EB" w:rsidP="00DD47EB">
      <w:pPr>
        <w:pStyle w:val="TextoNormalNegritaCursivandice"/>
      </w:pPr>
      <w:r>
        <w:t>Tratado de Lisboa, de 13 de diciembre de 2007. Tratado de funcionamiento de la Unión Europea</w:t>
      </w:r>
    </w:p>
    <w:p w:rsidR="00DD47EB" w:rsidRDefault="00DD47EB" w:rsidP="00DD47EB">
      <w:pPr>
        <w:pStyle w:val="SangriaFrancesaArticulo"/>
      </w:pPr>
      <w:r w:rsidRPr="00DD47EB">
        <w:rPr>
          <w:rStyle w:val="TextoNormalNegritaCaracter"/>
        </w:rPr>
        <w:t>Artículo 126.</w:t>
      </w:r>
      <w:r w:rsidRPr="00DD47EB">
        <w:rPr>
          <w:rStyle w:val="TextoNormalCaracter"/>
        </w:rPr>
        <w:t>-</w:t>
      </w:r>
      <w:r>
        <w:t xml:space="preserve"> Sentencia </w:t>
      </w:r>
      <w:hyperlink w:anchor="SENTENCIA_2015_81" w:history="1">
        <w:r w:rsidRPr="00DD47EB">
          <w:rPr>
            <w:rStyle w:val="TextoNormalCaracter"/>
          </w:rPr>
          <w:t>81/2015</w:t>
        </w:r>
      </w:hyperlink>
      <w:r>
        <w:t>, f. 4.</w:t>
      </w:r>
    </w:p>
    <w:p w:rsidR="00DD47EB" w:rsidRDefault="00DD47EB" w:rsidP="00DD47EB">
      <w:pPr>
        <w:pStyle w:val="SangriaFrancesaArticulo"/>
      </w:pPr>
      <w:r w:rsidRPr="00DD47EB">
        <w:rPr>
          <w:rStyle w:val="TextoNormalNegritaCaracter"/>
        </w:rPr>
        <w:t>Artículo 267.</w:t>
      </w:r>
      <w:r w:rsidRPr="00DD47EB">
        <w:rPr>
          <w:rStyle w:val="TextoNormalCaracter"/>
        </w:rPr>
        <w:t>-</w:t>
      </w:r>
      <w:r>
        <w:t xml:space="preserve"> Sentencia </w:t>
      </w:r>
      <w:hyperlink w:anchor="SENTENCIA_2015_99" w:history="1">
        <w:r w:rsidRPr="00DD47EB">
          <w:rPr>
            <w:rStyle w:val="TextoNormalCaracter"/>
          </w:rPr>
          <w:t>99/2015</w:t>
        </w:r>
      </w:hyperlink>
      <w:r>
        <w:t>, ff. 1, 2.</w:t>
      </w:r>
    </w:p>
    <w:p w:rsidR="00DD47EB" w:rsidRDefault="00DD47EB" w:rsidP="00DD47EB">
      <w:pPr>
        <w:pStyle w:val="SangriaFrancesaArticulo"/>
      </w:pPr>
    </w:p>
    <w:p w:rsidR="00DD47EB" w:rsidRDefault="00DD47EB" w:rsidP="00DD47EB">
      <w:pPr>
        <w:pStyle w:val="TextoNormalNegritaCursivandice"/>
      </w:pPr>
      <w:r>
        <w:t>Comunicación interpretativa de la Comisión relativa a la aplicación del Derecho comunitario en materia de contratación pública y concesiones a la colaboración público-privada institucionalizada (2008/C 91/02)</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4" w:history="1">
        <w:r w:rsidRPr="00DD47EB">
          <w:rPr>
            <w:rStyle w:val="TextoNormalCaracter"/>
          </w:rPr>
          <w:t>84/2015</w:t>
        </w:r>
      </w:hyperlink>
      <w:r>
        <w:t xml:space="preserve">, f. 6; </w:t>
      </w:r>
      <w:hyperlink w:anchor="SENTENCIA_2015_103" w:history="1">
        <w:r w:rsidRPr="00DD47EB">
          <w:rPr>
            <w:rStyle w:val="TextoNormalCaracter"/>
          </w:rPr>
          <w:t>103/2015</w:t>
        </w:r>
      </w:hyperlink>
      <w:r>
        <w:t>, f. 5.</w:t>
      </w:r>
    </w:p>
    <w:p w:rsidR="00DD47EB" w:rsidRDefault="00DD47EB" w:rsidP="00DD47EB">
      <w:pPr>
        <w:pStyle w:val="SangriaFrancesaArticulo"/>
      </w:pPr>
    </w:p>
    <w:p w:rsidR="00DD47EB" w:rsidRDefault="00DD47EB" w:rsidP="00DD47EB">
      <w:pPr>
        <w:pStyle w:val="TextoNormalNegritaCursivandice"/>
      </w:pPr>
      <w:r>
        <w:t>Directiva 2012/13/UE del Parlamento Europeo y del Consejo, de 22 de mayo de 2012. Derecho a la información en los procesos penales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Auto </w:t>
      </w:r>
      <w:hyperlink w:anchor="AUTO_2015_73" w:history="1">
        <w:r w:rsidRPr="00DD47EB">
          <w:rPr>
            <w:rStyle w:val="TextoNormalCaracter"/>
          </w:rPr>
          <w:t>73/2015</w:t>
        </w:r>
      </w:hyperlink>
      <w:r>
        <w:t>, f. 3.</w:t>
      </w:r>
    </w:p>
    <w:p w:rsidR="00DD47EB" w:rsidRDefault="00DD47EB" w:rsidP="00DD47EB">
      <w:pPr>
        <w:pStyle w:val="SangriaFrancesaArticulo"/>
      </w:pPr>
      <w:r w:rsidRPr="00DD47EB">
        <w:rPr>
          <w:rStyle w:val="TextoNormalNegritaCaracter"/>
        </w:rPr>
        <w:t>Artículo 7.</w:t>
      </w:r>
      <w:r w:rsidRPr="00DD47EB">
        <w:rPr>
          <w:rStyle w:val="TextoNormalCaracter"/>
        </w:rPr>
        <w:t>-</w:t>
      </w:r>
      <w:r>
        <w:t xml:space="preserve"> Auto </w:t>
      </w:r>
      <w:hyperlink w:anchor="AUTO_2015_73" w:history="1">
        <w:r w:rsidRPr="00DD47EB">
          <w:rPr>
            <w:rStyle w:val="TextoNormalCaracter"/>
          </w:rPr>
          <w:t>73/2015</w:t>
        </w:r>
      </w:hyperlink>
      <w:r>
        <w:t>, ff. 1, 4.</w:t>
      </w:r>
    </w:p>
    <w:p w:rsidR="00DD47EB" w:rsidRDefault="00DD47EB" w:rsidP="00DD47EB">
      <w:pPr>
        <w:pStyle w:val="SangriaFrancesaArticulo"/>
      </w:pPr>
    </w:p>
    <w:p w:rsidR="00DD47EB" w:rsidRDefault="00DD47EB" w:rsidP="00DD47EB">
      <w:pPr>
        <w:pStyle w:val="TextoNormalNegritaCursivandice"/>
      </w:pPr>
      <w:r>
        <w:t>Memorando de Entendimiento sobre condiciones de Política Sectorial Financiera, hecho en Bruselas y Madrid el 23 de julio de 2012, y Acuerdo Marco de Asistencia Financiera, hecho en Madrid y Luxemburgo el 24 de julio de 2012</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2" w:history="1">
        <w:r w:rsidRPr="00DD47EB">
          <w:rPr>
            <w:rStyle w:val="TextoNormalCaracter"/>
          </w:rPr>
          <w:t>12/2015</w:t>
        </w:r>
      </w:hyperlink>
      <w:r>
        <w:t xml:space="preserve">, f. 4; </w:t>
      </w:r>
      <w:hyperlink w:anchor="SENTENCIA_2015_93" w:history="1">
        <w:r w:rsidRPr="00DD47EB">
          <w:rPr>
            <w:rStyle w:val="TextoNormalCaracter"/>
          </w:rPr>
          <w:t>93/2015</w:t>
        </w:r>
      </w:hyperlink>
      <w:r>
        <w:t>, VP II.</w:t>
      </w:r>
    </w:p>
    <w:p w:rsidR="00DD47EB" w:rsidRDefault="00DD47EB" w:rsidP="00DD47EB">
      <w:pPr>
        <w:pStyle w:val="SangriaFrancesaArticulo"/>
      </w:pPr>
    </w:p>
    <w:p w:rsidR="00DD47EB" w:rsidRDefault="00DD47EB" w:rsidP="00DD47EB">
      <w:pPr>
        <w:pStyle w:val="TextoNormalNegritaCursivandice"/>
      </w:pPr>
      <w:r>
        <w:t>Directiva 2014/24/UE del Parlamento Europeo y del Consejo, de 26 de febrero de 2014. Contratación pública y por la que se deroga la Directiva 2004/18/CE</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84" w:history="1">
        <w:r w:rsidRPr="00DD47EB">
          <w:rPr>
            <w:rStyle w:val="TextoNormalCaracter"/>
          </w:rPr>
          <w:t>84/2015</w:t>
        </w:r>
      </w:hyperlink>
      <w:r>
        <w:t xml:space="preserve">, f. 6;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Considerando 32.</w:t>
      </w:r>
      <w:r w:rsidRPr="00DD47EB">
        <w:rPr>
          <w:rStyle w:val="TextoNormalCaracter"/>
        </w:rPr>
        <w:t>-</w:t>
      </w:r>
      <w:r>
        <w:t xml:space="preserve"> Sentencia </w:t>
      </w:r>
      <w:hyperlink w:anchor="SENTENCIA_2015_103" w:history="1">
        <w:r w:rsidRPr="00DD47EB">
          <w:rPr>
            <w:rStyle w:val="TextoNormalCaracter"/>
          </w:rPr>
          <w:t>103/2015</w:t>
        </w:r>
      </w:hyperlink>
      <w:r>
        <w:t>, f. 5.</w:t>
      </w:r>
    </w:p>
    <w:p w:rsidR="00DD47EB" w:rsidRDefault="00DD47EB" w:rsidP="00DD47EB">
      <w:pPr>
        <w:pStyle w:val="SangriaFrancesaArticulo"/>
      </w:pPr>
      <w:r w:rsidRPr="00DD47EB">
        <w:rPr>
          <w:rStyle w:val="TextoNormalNegritaCaracter"/>
        </w:rPr>
        <w:t>Artículo 12 c).</w:t>
      </w:r>
      <w:r w:rsidRPr="00DD47EB">
        <w:rPr>
          <w:rStyle w:val="TextoNormalCaracter"/>
        </w:rPr>
        <w:t>-</w:t>
      </w:r>
      <w:r>
        <w:t xml:space="preserve"> Sentencia </w:t>
      </w:r>
      <w:hyperlink w:anchor="SENTENCIA_2015_103" w:history="1">
        <w:r w:rsidRPr="00DD47EB">
          <w:rPr>
            <w:rStyle w:val="TextoNormalCaracter"/>
          </w:rPr>
          <w:t>103/2015</w:t>
        </w:r>
      </w:hyperlink>
      <w:r>
        <w:t>, f. 5.</w:t>
      </w:r>
    </w:p>
    <w:p w:rsidR="00DD47EB" w:rsidRDefault="00DD47EB" w:rsidP="00DD47EB">
      <w:pPr>
        <w:pStyle w:val="SangriaFrancesaArticulo"/>
      </w:pPr>
    </w:p>
    <w:p w:rsidR="00DD47EB" w:rsidRDefault="00DD47EB" w:rsidP="00DD47EB">
      <w:pPr>
        <w:pStyle w:val="TextoNormalNegritaCursivandice"/>
      </w:pPr>
      <w:r>
        <w:t>Directiva 2014/25/UE del Parlamento Europeo y del Consejo, de 26 de febrero de 2014. Contratación por entidades que operan en los sectores del agua, la energía, los transportes y los servicios postales y por la que se deroga la Directiva 2004/17/CE</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03" w:history="1">
        <w:r w:rsidRPr="00DD47EB">
          <w:rPr>
            <w:rStyle w:val="TextoNormalCaracter"/>
          </w:rPr>
          <w:t>103/2015</w:t>
        </w:r>
      </w:hyperlink>
      <w:r>
        <w:t>, f. 5.</w:t>
      </w:r>
    </w:p>
    <w:p w:rsidR="00DD47EB" w:rsidRDefault="00DD47EB" w:rsidP="00DD47EB">
      <w:pPr>
        <w:pStyle w:val="TextoNormal"/>
      </w:pPr>
    </w:p>
    <w:p w:rsidR="00DD47EB" w:rsidRDefault="00DD47EB" w:rsidP="00DD47EB">
      <w:pPr>
        <w:pStyle w:val="SangriaFrancesaArticulo"/>
      </w:pPr>
      <w:bookmarkStart w:id="281" w:name="INDICE27994"/>
    </w:p>
    <w:bookmarkEnd w:id="281"/>
    <w:p w:rsidR="00DD47EB" w:rsidRDefault="00DD47EB" w:rsidP="00DD47EB">
      <w:pPr>
        <w:pStyle w:val="TextoIndiceNivel2"/>
        <w:suppressAutoHyphens/>
      </w:pPr>
      <w:r>
        <w:t>N) Consejo de Europa</w:t>
      </w:r>
    </w:p>
    <w:p w:rsidR="00DD47EB" w:rsidRDefault="00DD47EB" w:rsidP="00DD47EB">
      <w:pPr>
        <w:pStyle w:val="TextoIndiceNivel2"/>
      </w:pPr>
    </w:p>
    <w:p w:rsidR="00DD47EB" w:rsidRDefault="00DD47EB" w:rsidP="00DD47EB">
      <w:pPr>
        <w:pStyle w:val="TextoNormalNegritaCursivandice"/>
      </w:pPr>
      <w:r>
        <w:t>Convenio europeo para la protección de los derechos humanos y de las libertades fundamentales, hecho en Roma el 4 de noviembre de 1950. Ratificado por Instrumento de 26 de septiembre de 1979</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r w:rsidRPr="00DD47EB">
        <w:rPr>
          <w:rStyle w:val="TextoNormalNegritaCaracter"/>
        </w:rPr>
        <w:t>Artículo 6.</w:t>
      </w:r>
      <w:r w:rsidRPr="00DD47EB">
        <w:rPr>
          <w:rStyle w:val="TextoNormalCaracter"/>
        </w:rPr>
        <w:t>-</w:t>
      </w:r>
      <w:r>
        <w:t xml:space="preserve"> Sentencias </w:t>
      </w:r>
      <w:hyperlink w:anchor="SENTENCIA_2015_33" w:history="1">
        <w:r w:rsidRPr="00DD47EB">
          <w:rPr>
            <w:rStyle w:val="TextoNormalCaracter"/>
          </w:rPr>
          <w:t>33/2015</w:t>
        </w:r>
      </w:hyperlink>
      <w:r>
        <w:t xml:space="preserve">, f. 4; </w:t>
      </w:r>
      <w:hyperlink w:anchor="SENTENCIA_2015_54" w:history="1">
        <w:r w:rsidRPr="00DD47EB">
          <w:rPr>
            <w:rStyle w:val="TextoNormalCaracter"/>
          </w:rPr>
          <w:t>54/2015</w:t>
        </w:r>
      </w:hyperlink>
      <w:r>
        <w:t>, f. 7.</w:t>
      </w:r>
    </w:p>
    <w:p w:rsidR="00DD47EB" w:rsidRDefault="00DD47EB" w:rsidP="00DD47EB">
      <w:pPr>
        <w:pStyle w:val="SangriaFrancesaArticulo"/>
      </w:pPr>
      <w:r w:rsidRPr="00DD47EB">
        <w:rPr>
          <w:rStyle w:val="TextoNormalNegritaCaracter"/>
        </w:rPr>
        <w:t>Artículo 6.1.</w:t>
      </w:r>
      <w:r w:rsidRPr="00DD47EB">
        <w:rPr>
          <w:rStyle w:val="TextoNormalCaracter"/>
        </w:rPr>
        <w:t>-</w:t>
      </w:r>
      <w:r>
        <w:t xml:space="preserve"> Sentencias </w:t>
      </w:r>
      <w:hyperlink w:anchor="SENTENCIA_2015_16" w:history="1">
        <w:r w:rsidRPr="00DD47EB">
          <w:rPr>
            <w:rStyle w:val="TextoNormalCaracter"/>
          </w:rPr>
          <w:t>16/2015</w:t>
        </w:r>
      </w:hyperlink>
      <w:r>
        <w:t xml:space="preserve">, f. 2, VP;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ff. 1, 2; </w:t>
      </w:r>
      <w:hyperlink w:anchor="SENTENCIA_2015_54" w:history="1">
        <w:r w:rsidRPr="00DD47EB">
          <w:rPr>
            <w:rStyle w:val="TextoNormalCaracter"/>
          </w:rPr>
          <w:t>54/2015</w:t>
        </w:r>
      </w:hyperlink>
      <w:r>
        <w:t xml:space="preserve">, f. 7;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4" w:history="1">
        <w:r w:rsidRPr="00DD47EB">
          <w:rPr>
            <w:rStyle w:val="TextoNormalCaracter"/>
          </w:rPr>
          <w:t>74/2015</w:t>
        </w:r>
      </w:hyperlink>
      <w:r>
        <w:t xml:space="preserve">, ff. 4, 5;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xml:space="preserve">, f. 2; </w:t>
      </w:r>
      <w:hyperlink w:anchor="SENTENCIA_2015_87" w:history="1">
        <w:r w:rsidRPr="00DD47EB">
          <w:rPr>
            <w:rStyle w:val="TextoNormalCaracter"/>
          </w:rPr>
          <w:t>87/2015</w:t>
        </w:r>
      </w:hyperlink>
      <w:r>
        <w:t xml:space="preserve">, f. 4; </w:t>
      </w:r>
      <w:hyperlink w:anchor="SENTENCIA_2015_88" w:history="1">
        <w:r w:rsidRPr="00DD47EB">
          <w:rPr>
            <w:rStyle w:val="TextoNormalCaracter"/>
          </w:rPr>
          <w:t>88/2015</w:t>
        </w:r>
      </w:hyperlink>
      <w:r>
        <w:t>, f. 3.</w:t>
      </w:r>
    </w:p>
    <w:p w:rsidR="00DD47EB" w:rsidRDefault="00DD47EB" w:rsidP="00DD47EB">
      <w:pPr>
        <w:pStyle w:val="SangriaIzquierdaArticulo"/>
      </w:pPr>
      <w:r>
        <w:t xml:space="preserve">Autos </w:t>
      </w:r>
      <w:hyperlink w:anchor="AUTO_2015_44" w:history="1">
        <w:r w:rsidRPr="00DD47EB">
          <w:rPr>
            <w:rStyle w:val="TextoNormalCaracter"/>
          </w:rPr>
          <w:t>44/2015</w:t>
        </w:r>
      </w:hyperlink>
      <w:r>
        <w:t xml:space="preserve">, f. 1; </w:t>
      </w:r>
      <w:hyperlink w:anchor="AUTO_2015_98" w:history="1">
        <w:r w:rsidRPr="00DD47EB">
          <w:rPr>
            <w:rStyle w:val="TextoNormalCaracter"/>
          </w:rPr>
          <w:t>98/2015</w:t>
        </w:r>
      </w:hyperlink>
      <w:r>
        <w:t>, f. 2.</w:t>
      </w:r>
    </w:p>
    <w:p w:rsidR="00DD47EB" w:rsidRDefault="00DD47EB" w:rsidP="00DD47EB">
      <w:pPr>
        <w:pStyle w:val="SangriaFrancesaArticulo"/>
      </w:pPr>
      <w:r w:rsidRPr="00DD47EB">
        <w:rPr>
          <w:rStyle w:val="TextoNormalNegritaCaracter"/>
        </w:rPr>
        <w:t>Artículo 6.2.</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r w:rsidRPr="00DD47EB">
        <w:rPr>
          <w:rStyle w:val="TextoNormalNegritaCaracter"/>
        </w:rPr>
        <w:t>Artículo 9.</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p>
    <w:p w:rsidR="00DD47EB" w:rsidRDefault="00DD47EB" w:rsidP="00DD47EB">
      <w:pPr>
        <w:pStyle w:val="TextoNormalNegritaCursivandice"/>
      </w:pPr>
      <w:r>
        <w:t>Carta europea de autonomía local, hecha en Estrasburgo, de 15 de octubre de 1985. Ratificada por Instrumento de 20 de enero de 1988</w:t>
      </w:r>
    </w:p>
    <w:p w:rsidR="00DD47EB" w:rsidRDefault="00DD47EB" w:rsidP="00DD47EB">
      <w:pPr>
        <w:pStyle w:val="SangriaFrancesaArticulo"/>
      </w:pPr>
      <w:r w:rsidRPr="00DD47EB">
        <w:rPr>
          <w:rStyle w:val="TextoNormalNegritaCaracter"/>
        </w:rPr>
        <w:t>Artículo 3.</w:t>
      </w:r>
      <w:r w:rsidRPr="00DD47EB">
        <w:rPr>
          <w:rStyle w:val="TextoNormalCaracter"/>
        </w:rPr>
        <w:t>-</w:t>
      </w:r>
      <w:r>
        <w:t xml:space="preserve"> Sentencias </w:t>
      </w:r>
      <w:hyperlink w:anchor="SENTENCIA_2015_57" w:history="1">
        <w:r w:rsidRPr="00DD47EB">
          <w:rPr>
            <w:rStyle w:val="TextoNormalCaracter"/>
          </w:rPr>
          <w:t>57/2015</w:t>
        </w:r>
      </w:hyperlink>
      <w:r>
        <w:t xml:space="preserve">, f. 6; </w:t>
      </w:r>
      <w:hyperlink w:anchor="SENTENCIA_2015_92" w:history="1">
        <w:r w:rsidRPr="00DD47EB">
          <w:rPr>
            <w:rStyle w:val="TextoNormalCaracter"/>
          </w:rPr>
          <w:t>92/2015</w:t>
        </w:r>
      </w:hyperlink>
      <w:r>
        <w:t>, f. 4.</w:t>
      </w:r>
    </w:p>
    <w:p w:rsidR="00DD47EB" w:rsidRDefault="00DD47EB">
      <w:pPr>
        <w:spacing w:after="160" w:line="259" w:lineRule="auto"/>
        <w:rPr>
          <w:rFonts w:ascii="Times New Roman" w:eastAsia="Times New Roman" w:hAnsi="Times New Roman" w:cs="Times New Roman"/>
          <w:sz w:val="24"/>
          <w:szCs w:val="24"/>
          <w:lang w:eastAsia="es-ES"/>
        </w:rPr>
      </w:pPr>
      <w:r>
        <w:br w:type="page"/>
      </w:r>
    </w:p>
    <w:p w:rsidR="00DD47EB" w:rsidRDefault="00DD47EB" w:rsidP="00DD47EB">
      <w:pPr>
        <w:pStyle w:val="SangriaFrancesaArticulo"/>
      </w:pPr>
    </w:p>
    <w:p w:rsidR="00DD47EB" w:rsidRDefault="00DD47EB" w:rsidP="00DD47EB">
      <w:pPr>
        <w:pStyle w:val="TextoNormal"/>
      </w:pPr>
    </w:p>
    <w:p w:rsidR="00DD47EB" w:rsidRDefault="00DD47EB" w:rsidP="00DD47EB">
      <w:pPr>
        <w:pStyle w:val="TextoNormal"/>
      </w:pPr>
    </w:p>
    <w:p w:rsidR="00DD47EB" w:rsidRDefault="00DD47EB" w:rsidP="00DD47EB">
      <w:pPr>
        <w:pStyle w:val="TextoNormal"/>
      </w:pPr>
    </w:p>
    <w:p w:rsidR="00DD47EB" w:rsidRDefault="00DD47EB" w:rsidP="00DD47EB">
      <w:pPr>
        <w:pStyle w:val="Ttulondice"/>
        <w:suppressAutoHyphens/>
      </w:pPr>
      <w:r>
        <w:t>6. ÍNDICE DE RESOLUCIONES JUDICIALES DE OTROS TRIBUNALES CITADAS</w:t>
      </w: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suppressAutoHyphens/>
      </w:pPr>
    </w:p>
    <w:p w:rsidR="00DD47EB" w:rsidRDefault="00DD47EB" w:rsidP="00DD47EB">
      <w:pPr>
        <w:pStyle w:val="TextoNormal"/>
      </w:pPr>
    </w:p>
    <w:p w:rsidR="00DD47EB" w:rsidRDefault="00DD47EB" w:rsidP="00DD47EB">
      <w:pPr>
        <w:pStyle w:val="TextoNormal"/>
      </w:pPr>
      <w:bookmarkStart w:id="282" w:name="INDICE22805"/>
      <w:bookmarkEnd w:id="282"/>
    </w:p>
    <w:p w:rsidR="00DD47EB" w:rsidRDefault="00DD47EB" w:rsidP="00DD47EB">
      <w:pPr>
        <w:pStyle w:val="TextoIndiceNivel2"/>
        <w:suppressAutoHyphens/>
      </w:pPr>
      <w:r>
        <w:t>A) Tribunal Europeo de Derechos Humanos</w:t>
      </w:r>
    </w:p>
    <w:p w:rsidR="00DD47EB" w:rsidRDefault="00DD47EB" w:rsidP="00DD47EB">
      <w:pPr>
        <w:pStyle w:val="TextoIndiceNivel2"/>
      </w:pPr>
    </w:p>
    <w:p w:rsidR="00DD47EB" w:rsidRDefault="00DD47EB" w:rsidP="00DD47EB">
      <w:pPr>
        <w:pStyle w:val="TextoNormalNegritaCursivandice"/>
      </w:pPr>
      <w:r>
        <w:t>Sentencia del Tribunal Europeo de Derechos Humanos de 7 de julio de 1989 (Unión Alimentaria Sanders, S.A. c. España)</w:t>
      </w:r>
    </w:p>
    <w:p w:rsidR="00DD47EB" w:rsidRDefault="00DD47EB" w:rsidP="00DD47EB">
      <w:pPr>
        <w:pStyle w:val="SangriaFrancesaArticulo"/>
      </w:pPr>
      <w:r w:rsidRPr="00DD47EB">
        <w:rPr>
          <w:rStyle w:val="TextoNormalNegritaCaracter"/>
        </w:rPr>
        <w:t>§ 38.</w:t>
      </w:r>
      <w:r w:rsidRPr="00DD47EB">
        <w:rPr>
          <w:rStyle w:val="TextoNormalCaracter"/>
        </w:rPr>
        <w:t>-</w:t>
      </w:r>
      <w:r>
        <w:t xml:space="preserve"> Sentencias </w:t>
      </w:r>
      <w:hyperlink w:anchor="SENTENCIA_2015_74" w:history="1">
        <w:r w:rsidRPr="00DD47EB">
          <w:rPr>
            <w:rStyle w:val="TextoNormalCaracter"/>
          </w:rPr>
          <w:t>74/2015</w:t>
        </w:r>
      </w:hyperlink>
      <w:r>
        <w:t xml:space="preserve">, f. 5; </w:t>
      </w:r>
      <w:hyperlink w:anchor="SENTENCIA_2015_87" w:history="1">
        <w:r w:rsidRPr="00DD47EB">
          <w:rPr>
            <w:rStyle w:val="TextoNormalCaracter"/>
          </w:rPr>
          <w:t>87/2015</w:t>
        </w:r>
      </w:hyperlink>
      <w:r>
        <w:t xml:space="preserve">, f. 4; </w:t>
      </w:r>
      <w:hyperlink w:anchor="SENTENCIA_2015_88" w:history="1">
        <w:r w:rsidRPr="00DD47EB">
          <w:rPr>
            <w:rStyle w:val="TextoNormalCaracter"/>
          </w:rPr>
          <w:t>88/2015</w:t>
        </w:r>
      </w:hyperlink>
      <w:r>
        <w:t>, f. 3.</w:t>
      </w:r>
    </w:p>
    <w:p w:rsidR="00DD47EB" w:rsidRDefault="00DD47EB" w:rsidP="00DD47EB">
      <w:pPr>
        <w:pStyle w:val="SangriaFrancesaArticulo"/>
      </w:pPr>
      <w:r w:rsidRPr="00DD47EB">
        <w:rPr>
          <w:rStyle w:val="TextoNormalNegritaCaracter"/>
        </w:rPr>
        <w:t>§ 42.</w:t>
      </w:r>
      <w:r w:rsidRPr="00DD47EB">
        <w:rPr>
          <w:rStyle w:val="TextoNormalCaracter"/>
        </w:rPr>
        <w:t>-</w:t>
      </w:r>
      <w:r>
        <w:t xml:space="preserve"> Sentencias </w:t>
      </w:r>
      <w:hyperlink w:anchor="SENTENCIA_2015_74" w:history="1">
        <w:r w:rsidRPr="00DD47EB">
          <w:rPr>
            <w:rStyle w:val="TextoNormalCaracter"/>
          </w:rPr>
          <w:t>74/2015</w:t>
        </w:r>
      </w:hyperlink>
      <w:r>
        <w:t xml:space="preserve">, f. 5; </w:t>
      </w:r>
      <w:hyperlink w:anchor="SENTENCIA_2015_87" w:history="1">
        <w:r w:rsidRPr="00DD47EB">
          <w:rPr>
            <w:rStyle w:val="TextoNormalCaracter"/>
          </w:rPr>
          <w:t>87/2015</w:t>
        </w:r>
      </w:hyperlink>
      <w:r>
        <w:t xml:space="preserve">, F. 4; </w:t>
      </w:r>
      <w:hyperlink w:anchor="SENTENCIA_2015_88" w:history="1">
        <w:r w:rsidRPr="00DD47EB">
          <w:rPr>
            <w:rStyle w:val="TextoNormalCaracter"/>
          </w:rPr>
          <w:t>88/2015</w:t>
        </w:r>
      </w:hyperlink>
      <w:r>
        <w:t>, f. 3.</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26 de abril de 1995 (Prager y Oberschlick c. Austria)</w:t>
      </w:r>
    </w:p>
    <w:p w:rsidR="00DD47EB" w:rsidRDefault="00DD47EB" w:rsidP="00DD47EB">
      <w:pPr>
        <w:pStyle w:val="SangriaFrancesaArticulo"/>
      </w:pPr>
      <w:r w:rsidRPr="00DD47EB">
        <w:rPr>
          <w:rStyle w:val="TextoNormalNegritaCaracter"/>
        </w:rPr>
        <w:t>§ 34.</w:t>
      </w:r>
      <w:r w:rsidRPr="00DD47EB">
        <w:rPr>
          <w:rStyle w:val="TextoNormalCaracter"/>
        </w:rPr>
        <w:t>-</w:t>
      </w:r>
      <w:r>
        <w:t xml:space="preserve"> Sentencia </w:t>
      </w:r>
      <w:hyperlink w:anchor="SENTENCIA_2015_65" w:history="1">
        <w:r w:rsidRPr="00DD47EB">
          <w:rPr>
            <w:rStyle w:val="TextoNormalCaracter"/>
          </w:rPr>
          <w:t>65/2015</w:t>
        </w:r>
      </w:hyperlink>
      <w:r>
        <w:t>, f. 4.</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8 de febrero de 1996 (John Murray c. Reino Unido)</w:t>
      </w:r>
    </w:p>
    <w:p w:rsidR="00DD47EB" w:rsidRDefault="00DD47EB" w:rsidP="00DD47EB">
      <w:pPr>
        <w:pStyle w:val="SangriaFrancesaArticulo"/>
      </w:pPr>
      <w:r w:rsidRPr="00DD47EB">
        <w:rPr>
          <w:rStyle w:val="TextoNormalNegritaCaracter"/>
        </w:rPr>
        <w:t>§ 45.</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22 de octubre de 1996 (Stubbings y otros c. Reino Unido)</w:t>
      </w:r>
    </w:p>
    <w:p w:rsidR="00DD47EB" w:rsidRDefault="00DD47EB" w:rsidP="00DD47EB">
      <w:pPr>
        <w:pStyle w:val="SangriaFrancesaArticulo"/>
      </w:pPr>
      <w:r w:rsidRPr="00DD47EB">
        <w:rPr>
          <w:rStyle w:val="TextoNormalNegritaCaracter"/>
        </w:rPr>
        <w:t>§ 46.</w:t>
      </w:r>
      <w:r w:rsidRPr="00DD47EB">
        <w:rPr>
          <w:rStyle w:val="TextoNormalCaracter"/>
        </w:rPr>
        <w:t>-</w:t>
      </w:r>
      <w:r>
        <w:t xml:space="preserve"> Sentencia </w:t>
      </w:r>
      <w:hyperlink w:anchor="SENTENCIA_2015_63" w:history="1">
        <w:r w:rsidRPr="00DD47EB">
          <w:rPr>
            <w:rStyle w:val="TextoNormalCaracter"/>
          </w:rPr>
          <w:t>63/2015</w:t>
        </w:r>
      </w:hyperlink>
      <w:r>
        <w:t>, f. 3.</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17 de diciembre de 1996 (Saunders c. Reino Unido)</w:t>
      </w:r>
    </w:p>
    <w:p w:rsidR="00DD47EB" w:rsidRDefault="00DD47EB" w:rsidP="00DD47EB">
      <w:pPr>
        <w:pStyle w:val="SangriaFrancesaArticulo"/>
      </w:pPr>
      <w:r w:rsidRPr="00DD47EB">
        <w:rPr>
          <w:rStyle w:val="TextoNormalNegritaCaracter"/>
        </w:rPr>
        <w:t>§ 68.</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24 de febrero de 1997 (De Haes y Gijsels c. Bélgica)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20 de octubre de 1997 (Serves c. Francia)</w:t>
      </w:r>
    </w:p>
    <w:p w:rsidR="00DD47EB" w:rsidRDefault="00DD47EB" w:rsidP="00DD47EB">
      <w:pPr>
        <w:pStyle w:val="SangriaFrancesaArticulo"/>
      </w:pPr>
      <w:r w:rsidRPr="00DD47EB">
        <w:rPr>
          <w:rStyle w:val="TextoNormalNegritaCaracter"/>
        </w:rPr>
        <w:t>§ 46.</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19 de diciembre de 1997 (Brualla Gómez de la Torre c. España)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6" w:history="1">
        <w:r w:rsidRPr="00DD47EB">
          <w:rPr>
            <w:rStyle w:val="TextoNormalCaracter"/>
          </w:rPr>
          <w:t>16/2015</w:t>
        </w:r>
      </w:hyperlink>
      <w:r>
        <w:t xml:space="preserve">, f. 2;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25 de mayo de 2000 (Sociedad general de aguas de Barcelona c. España)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6" w:history="1">
        <w:r w:rsidRPr="00DD47EB">
          <w:rPr>
            <w:rStyle w:val="TextoNormalCaracter"/>
          </w:rPr>
          <w:t>16/2015</w:t>
        </w:r>
      </w:hyperlink>
      <w:r>
        <w:t xml:space="preserve">, f. 2;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p>
    <w:p w:rsidR="00DD47EB" w:rsidRDefault="00DD47EB" w:rsidP="00DD47EB">
      <w:pPr>
        <w:pStyle w:val="TextoNormalNegritaCursivandice"/>
      </w:pPr>
      <w:r>
        <w:t>Sentencias del Tribunal Europeo de Derechos Humanos de 19 de septiembre de 2000 (I.J.L. y otros c. Reino Unido)</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21 de diciembre de 2000 (Heaney y McGuinness c. Irlanda)</w:t>
      </w:r>
    </w:p>
    <w:p w:rsidR="00DD47EB" w:rsidRDefault="00DD47EB" w:rsidP="00DD47EB">
      <w:pPr>
        <w:pStyle w:val="SangriaFrancesaArticulo"/>
      </w:pPr>
      <w:r w:rsidRPr="00DD47EB">
        <w:rPr>
          <w:rStyle w:val="TextoNormalNegritaCaracter"/>
        </w:rPr>
        <w:t>§ 40.</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21 de diciembre de 2000 (Quinn c. Irlanda)</w:t>
      </w:r>
    </w:p>
    <w:p w:rsidR="00DD47EB" w:rsidRDefault="00DD47EB" w:rsidP="00DD47EB">
      <w:pPr>
        <w:pStyle w:val="SangriaFrancesaArticulo"/>
      </w:pPr>
      <w:r w:rsidRPr="00DD47EB">
        <w:rPr>
          <w:rStyle w:val="TextoNormalNegritaCaracter"/>
        </w:rPr>
        <w:t>§ 40.</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3 de mayo de 2001 (J.B. c. Suiza)</w:t>
      </w:r>
    </w:p>
    <w:p w:rsidR="00DD47EB" w:rsidRDefault="00DD47EB" w:rsidP="00DD47EB">
      <w:pPr>
        <w:pStyle w:val="SangriaFrancesaArticulo"/>
      </w:pPr>
      <w:r w:rsidRPr="00DD47EB">
        <w:rPr>
          <w:rStyle w:val="TextoNormalNegritaCaracter"/>
        </w:rPr>
        <w:t>§ 64.</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Auto del Tribunal Europeo de Derechos Humanos de 2 de octubre de 2001 (Pichon y Sajous c. Francia)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45" w:history="1">
        <w:r w:rsidRPr="00DD47EB">
          <w:rPr>
            <w:rStyle w:val="TextoNormalCaracter"/>
          </w:rPr>
          <w:t>145/2015</w:t>
        </w:r>
      </w:hyperlink>
      <w:r>
        <w:t>, VP I, VP II.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7 de noviembre de 2003 (Llopis Ruiz c. España)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6" w:history="1">
        <w:r w:rsidRPr="00DD47EB">
          <w:rPr>
            <w:rStyle w:val="TextoNormalCaracter"/>
          </w:rPr>
          <w:t>16/2015</w:t>
        </w:r>
      </w:hyperlink>
      <w:r>
        <w:t xml:space="preserve">, f. 2;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17 de febrero de 2004 (Ipamark c. España)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6" w:history="1">
        <w:r w:rsidRPr="00DD47EB">
          <w:rPr>
            <w:rStyle w:val="TextoNormalCaracter"/>
          </w:rPr>
          <w:t>16/2015</w:t>
        </w:r>
      </w:hyperlink>
      <w:r>
        <w:t xml:space="preserve">, f. 2;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11 de marzo de 2004 (Lenaerts c. Bélgica)</w:t>
      </w:r>
    </w:p>
    <w:p w:rsidR="00DD47EB" w:rsidRDefault="00DD47EB" w:rsidP="00DD47EB">
      <w:pPr>
        <w:pStyle w:val="SangriaFrancesaArticulo"/>
      </w:pPr>
      <w:r w:rsidRPr="00DD47EB">
        <w:rPr>
          <w:rStyle w:val="TextoNormalNegritaCaracter"/>
        </w:rPr>
        <w:t>§ 18.</w:t>
      </w:r>
      <w:r w:rsidRPr="00DD47EB">
        <w:rPr>
          <w:rStyle w:val="TextoNormalCaracter"/>
        </w:rPr>
        <w:t>-</w:t>
      </w:r>
      <w:r>
        <w:t xml:space="preserve"> Sentencias </w:t>
      </w:r>
      <w:hyperlink w:anchor="SENTENCIA_2015_74" w:history="1">
        <w:r w:rsidRPr="00DD47EB">
          <w:rPr>
            <w:rStyle w:val="TextoNormalCaracter"/>
          </w:rPr>
          <w:t>74/2015</w:t>
        </w:r>
      </w:hyperlink>
      <w:r>
        <w:t xml:space="preserve">, f. 5; </w:t>
      </w:r>
      <w:hyperlink w:anchor="SENTENCIA_2015_87" w:history="1">
        <w:r w:rsidRPr="00DD47EB">
          <w:rPr>
            <w:rStyle w:val="TextoNormalCaracter"/>
          </w:rPr>
          <w:t>87/2015</w:t>
        </w:r>
      </w:hyperlink>
      <w:r>
        <w:t xml:space="preserve">, f. 4; </w:t>
      </w:r>
      <w:hyperlink w:anchor="SENTENCIA_2015_88" w:history="1">
        <w:r w:rsidRPr="00DD47EB">
          <w:rPr>
            <w:rStyle w:val="TextoNormalCaracter"/>
          </w:rPr>
          <w:t>88/2015</w:t>
        </w:r>
      </w:hyperlink>
      <w:r>
        <w:t>, f. 3.</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8 de abril de 2004 (Weh c. Austria)</w:t>
      </w:r>
    </w:p>
    <w:p w:rsidR="00DD47EB" w:rsidRDefault="00DD47EB" w:rsidP="00DD47EB">
      <w:pPr>
        <w:pStyle w:val="SangriaFrancesaArticulo"/>
      </w:pPr>
      <w:r w:rsidRPr="00DD47EB">
        <w:rPr>
          <w:rStyle w:val="TextoNormalNegritaCaracter"/>
        </w:rPr>
        <w:t>§ 39.</w:t>
      </w:r>
      <w:r w:rsidRPr="00DD47EB">
        <w:rPr>
          <w:rStyle w:val="TextoNormalCaracter"/>
        </w:rPr>
        <w:t>-</w:t>
      </w:r>
      <w:r>
        <w:t xml:space="preserve"> Sentencia </w:t>
      </w:r>
      <w:hyperlink w:anchor="SENTENCIA_2015_54" w:history="1">
        <w:r w:rsidRPr="00DD47EB">
          <w:rPr>
            <w:rStyle w:val="TextoNormalCaracter"/>
          </w:rPr>
          <w:t>54/2015</w:t>
        </w:r>
      </w:hyperlink>
      <w:r>
        <w:t>, f. 7.</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24 de junio de 2004 (Von Hannover c. Alemania)</w:t>
      </w:r>
    </w:p>
    <w:p w:rsidR="00DD47EB" w:rsidRDefault="00DD47EB" w:rsidP="00DD47EB">
      <w:pPr>
        <w:pStyle w:val="SangriaFrancesaArticulo"/>
      </w:pPr>
      <w:r w:rsidRPr="00DD47EB">
        <w:rPr>
          <w:rStyle w:val="TextoNormalNegritaCaracter"/>
        </w:rPr>
        <w:t>§§ 65, 76.</w:t>
      </w:r>
      <w:r w:rsidRPr="00DD47EB">
        <w:rPr>
          <w:rStyle w:val="TextoNormalCaracter"/>
        </w:rPr>
        <w:t>-</w:t>
      </w:r>
      <w:r>
        <w:t xml:space="preserve"> Sentencia </w:t>
      </w:r>
      <w:hyperlink w:anchor="SENTENCIA_2015_18" w:history="1">
        <w:r w:rsidRPr="00DD47EB">
          <w:rPr>
            <w:rStyle w:val="TextoNormalCaracter"/>
          </w:rPr>
          <w:t>18/2015</w:t>
        </w:r>
      </w:hyperlink>
      <w:r>
        <w:t>.</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25 de enero de 2005 (Puchol Oliver c. España)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Sentencias </w:t>
      </w:r>
      <w:hyperlink w:anchor="SENTENCIA_2015_16" w:history="1">
        <w:r w:rsidRPr="00DD47EB">
          <w:rPr>
            <w:rStyle w:val="TextoNormalCaracter"/>
          </w:rPr>
          <w:t>16/2015</w:t>
        </w:r>
      </w:hyperlink>
      <w:r>
        <w:t xml:space="preserve">, f. 2; </w:t>
      </w:r>
      <w:hyperlink w:anchor="SENTENCIA_2015_34" w:history="1">
        <w:r w:rsidRPr="00DD47EB">
          <w:rPr>
            <w:rStyle w:val="TextoNormalCaracter"/>
          </w:rPr>
          <w:t>34/2015</w:t>
        </w:r>
      </w:hyperlink>
      <w:r>
        <w:t xml:space="preserve">, f. 2; </w:t>
      </w:r>
      <w:hyperlink w:anchor="SENTENCIA_2015_35" w:history="1">
        <w:r w:rsidRPr="00DD47EB">
          <w:rPr>
            <w:rStyle w:val="TextoNormalCaracter"/>
          </w:rPr>
          <w:t>35/2015</w:t>
        </w:r>
      </w:hyperlink>
      <w:r>
        <w:t xml:space="preserve">, f. 2; </w:t>
      </w:r>
      <w:hyperlink w:anchor="SENTENCIA_2015_36" w:history="1">
        <w:r w:rsidRPr="00DD47EB">
          <w:rPr>
            <w:rStyle w:val="TextoNormalCaracter"/>
          </w:rPr>
          <w:t>36/2015</w:t>
        </w:r>
      </w:hyperlink>
      <w:r>
        <w:t xml:space="preserve">, f. 2; </w:t>
      </w:r>
      <w:hyperlink w:anchor="SENTENCIA_2015_40" w:history="1">
        <w:r w:rsidRPr="00DD47EB">
          <w:rPr>
            <w:rStyle w:val="TextoNormalCaracter"/>
          </w:rPr>
          <w:t>40/2015</w:t>
        </w:r>
      </w:hyperlink>
      <w:r>
        <w:t xml:space="preserve">, f. 2; </w:t>
      </w:r>
      <w:hyperlink w:anchor="SENTENCIA_2015_51" w:history="1">
        <w:r w:rsidRPr="00DD47EB">
          <w:rPr>
            <w:rStyle w:val="TextoNormalCaracter"/>
          </w:rPr>
          <w:t>51/2015</w:t>
        </w:r>
      </w:hyperlink>
      <w:r>
        <w:t xml:space="preserve">, f. 2; </w:t>
      </w:r>
      <w:hyperlink w:anchor="SENTENCIA_2015_53" w:history="1">
        <w:r w:rsidRPr="00DD47EB">
          <w:rPr>
            <w:rStyle w:val="TextoNormalCaracter"/>
          </w:rPr>
          <w:t>53/2015</w:t>
        </w:r>
      </w:hyperlink>
      <w:r>
        <w:t xml:space="preserve">, f. 2; </w:t>
      </w:r>
      <w:hyperlink w:anchor="SENTENCIA_2015_67" w:history="1">
        <w:r w:rsidRPr="00DD47EB">
          <w:rPr>
            <w:rStyle w:val="TextoNormalCaracter"/>
          </w:rPr>
          <w:t>67/2015</w:t>
        </w:r>
      </w:hyperlink>
      <w:r>
        <w:t xml:space="preserve">, f. 2; </w:t>
      </w:r>
      <w:hyperlink w:anchor="SENTENCIA_2015_68" w:history="1">
        <w:r w:rsidRPr="00DD47EB">
          <w:rPr>
            <w:rStyle w:val="TextoNormalCaracter"/>
          </w:rPr>
          <w:t>68/2015</w:t>
        </w:r>
      </w:hyperlink>
      <w:r>
        <w:t xml:space="preserve">, f. 2; </w:t>
      </w:r>
      <w:hyperlink w:anchor="SENTENCIA_2015_69" w:history="1">
        <w:r w:rsidRPr="00DD47EB">
          <w:rPr>
            <w:rStyle w:val="TextoNormalCaracter"/>
          </w:rPr>
          <w:t>69/2015</w:t>
        </w:r>
      </w:hyperlink>
      <w:r>
        <w:t xml:space="preserve">, f. 2; </w:t>
      </w:r>
      <w:hyperlink w:anchor="SENTENCIA_2015_71" w:history="1">
        <w:r w:rsidRPr="00DD47EB">
          <w:rPr>
            <w:rStyle w:val="TextoNormalCaracter"/>
          </w:rPr>
          <w:t>71/2015</w:t>
        </w:r>
      </w:hyperlink>
      <w:r>
        <w:t xml:space="preserve">, f. 2; </w:t>
      </w:r>
      <w:hyperlink w:anchor="SENTENCIA_2015_72" w:history="1">
        <w:r w:rsidRPr="00DD47EB">
          <w:rPr>
            <w:rStyle w:val="TextoNormalCaracter"/>
          </w:rPr>
          <w:t>72/2015</w:t>
        </w:r>
      </w:hyperlink>
      <w:r>
        <w:t xml:space="preserve">, f. 2; </w:t>
      </w:r>
      <w:hyperlink w:anchor="SENTENCIA_2015_75" w:history="1">
        <w:r w:rsidRPr="00DD47EB">
          <w:rPr>
            <w:rStyle w:val="TextoNormalCaracter"/>
          </w:rPr>
          <w:t>75/2015</w:t>
        </w:r>
      </w:hyperlink>
      <w:r>
        <w:t xml:space="preserve">, f. 2;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2; </w:t>
      </w:r>
      <w:hyperlink w:anchor="SENTENCIA_2015_80" w:history="1">
        <w:r w:rsidRPr="00DD47EB">
          <w:rPr>
            <w:rStyle w:val="TextoNormalCaracter"/>
          </w:rPr>
          <w:t>80/2015</w:t>
        </w:r>
      </w:hyperlink>
      <w:r>
        <w:t xml:space="preserve">, f. 2; </w:t>
      </w:r>
      <w:hyperlink w:anchor="SENTENCIA_2015_82" w:history="1">
        <w:r w:rsidRPr="00DD47EB">
          <w:rPr>
            <w:rStyle w:val="TextoNormalCaracter"/>
          </w:rPr>
          <w:t>82/2015</w:t>
        </w:r>
      </w:hyperlink>
      <w:r>
        <w:t>, f. 2.</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18 de diciembre de 2008 (Unédic c. Francia)</w:t>
      </w:r>
    </w:p>
    <w:p w:rsidR="00DD47EB" w:rsidRDefault="00DD47EB" w:rsidP="00DD47EB">
      <w:pPr>
        <w:pStyle w:val="SangriaFrancesaArticulo"/>
      </w:pPr>
      <w:r w:rsidRPr="00DD47EB">
        <w:rPr>
          <w:rStyle w:val="TextoNormalNegritaCaracter"/>
        </w:rPr>
        <w:t>§ 74.</w:t>
      </w:r>
      <w:r w:rsidRPr="00DD47EB">
        <w:rPr>
          <w:rStyle w:val="TextoNormalCaracter"/>
        </w:rPr>
        <w:t>-</w:t>
      </w:r>
      <w:r>
        <w:t xml:space="preserve"> Sentencias </w:t>
      </w:r>
      <w:hyperlink w:anchor="SENTENCIA_2015_34" w:history="1">
        <w:r w:rsidRPr="00DD47EB">
          <w:rPr>
            <w:rStyle w:val="TextoNormalCaracter"/>
          </w:rPr>
          <w:t>34/2015</w:t>
        </w:r>
      </w:hyperlink>
      <w:r>
        <w:t xml:space="preserve">, f. 3; </w:t>
      </w:r>
      <w:hyperlink w:anchor="SENTENCIA_2015_35" w:history="1">
        <w:r w:rsidRPr="00DD47EB">
          <w:rPr>
            <w:rStyle w:val="TextoNormalCaracter"/>
          </w:rPr>
          <w:t>35/2015</w:t>
        </w:r>
      </w:hyperlink>
      <w:r>
        <w:t xml:space="preserve">, f. 3; </w:t>
      </w:r>
      <w:hyperlink w:anchor="SENTENCIA_2015_36" w:history="1">
        <w:r w:rsidRPr="00DD47EB">
          <w:rPr>
            <w:rStyle w:val="TextoNormalCaracter"/>
          </w:rPr>
          <w:t>36/2015</w:t>
        </w:r>
      </w:hyperlink>
      <w:r>
        <w:t xml:space="preserve">, f. 3; </w:t>
      </w:r>
      <w:hyperlink w:anchor="SENTENCIA_2015_40" w:history="1">
        <w:r w:rsidRPr="00DD47EB">
          <w:rPr>
            <w:rStyle w:val="TextoNormalCaracter"/>
          </w:rPr>
          <w:t>40/2015</w:t>
        </w:r>
      </w:hyperlink>
      <w:r>
        <w:t xml:space="preserve">, f. 3; </w:t>
      </w:r>
      <w:hyperlink w:anchor="SENTENCIA_2015_53" w:history="1">
        <w:r w:rsidRPr="00DD47EB">
          <w:rPr>
            <w:rStyle w:val="TextoNormalCaracter"/>
          </w:rPr>
          <w:t>53/2015</w:t>
        </w:r>
      </w:hyperlink>
      <w:r>
        <w:t xml:space="preserve">, f. 3; </w:t>
      </w:r>
      <w:hyperlink w:anchor="SENTENCIA_2015_67" w:history="1">
        <w:r w:rsidRPr="00DD47EB">
          <w:rPr>
            <w:rStyle w:val="TextoNormalCaracter"/>
          </w:rPr>
          <w:t>67/2015</w:t>
        </w:r>
      </w:hyperlink>
      <w:r>
        <w:t xml:space="preserve">, f. 3; </w:t>
      </w:r>
      <w:hyperlink w:anchor="SENTENCIA_2015_69" w:history="1">
        <w:r w:rsidRPr="00DD47EB">
          <w:rPr>
            <w:rStyle w:val="TextoNormalCaracter"/>
          </w:rPr>
          <w:t>69/2015</w:t>
        </w:r>
      </w:hyperlink>
      <w:r>
        <w:t xml:space="preserve">, f. 3; </w:t>
      </w:r>
      <w:hyperlink w:anchor="SENTENCIA_2015_70" w:history="1">
        <w:r w:rsidRPr="00DD47EB">
          <w:rPr>
            <w:rStyle w:val="TextoNormalCaracter"/>
          </w:rPr>
          <w:t>70/2015</w:t>
        </w:r>
      </w:hyperlink>
      <w:r>
        <w:t xml:space="preserve">, f. 2; </w:t>
      </w:r>
      <w:hyperlink w:anchor="SENTENCIA_2015_72" w:history="1">
        <w:r w:rsidRPr="00DD47EB">
          <w:rPr>
            <w:rStyle w:val="TextoNormalCaracter"/>
          </w:rPr>
          <w:t>72/2015</w:t>
        </w:r>
      </w:hyperlink>
      <w:r>
        <w:t xml:space="preserve">, f. 3; </w:t>
      </w:r>
      <w:hyperlink w:anchor="SENTENCIA_2015_75" w:history="1">
        <w:r w:rsidRPr="00DD47EB">
          <w:rPr>
            <w:rStyle w:val="TextoNormalCaracter"/>
          </w:rPr>
          <w:t>75/2015</w:t>
        </w:r>
      </w:hyperlink>
      <w:r>
        <w:t xml:space="preserve">, f. 3;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3; </w:t>
      </w:r>
      <w:hyperlink w:anchor="SENTENCIA_2015_80" w:history="1">
        <w:r w:rsidRPr="00DD47EB">
          <w:rPr>
            <w:rStyle w:val="TextoNormalCaracter"/>
          </w:rPr>
          <w:t>80/2015</w:t>
        </w:r>
      </w:hyperlink>
      <w:r>
        <w:t xml:space="preserve">, f. 3; </w:t>
      </w:r>
      <w:hyperlink w:anchor="SENTENCIA_2015_82" w:history="1">
        <w:r w:rsidRPr="00DD47EB">
          <w:rPr>
            <w:rStyle w:val="TextoNormalCaracter"/>
          </w:rPr>
          <w:t>82/2015</w:t>
        </w:r>
      </w:hyperlink>
      <w:r>
        <w:t>, f. 3.</w:t>
      </w:r>
    </w:p>
    <w:p w:rsidR="00DD47EB" w:rsidRDefault="00DD47EB" w:rsidP="00DD47EB">
      <w:pPr>
        <w:pStyle w:val="SangriaFrancesaArticulo"/>
      </w:pPr>
      <w:r w:rsidRPr="00DD47EB">
        <w:rPr>
          <w:rStyle w:val="TextoNormalNegritaCaracter"/>
        </w:rPr>
        <w:t>§ 78.</w:t>
      </w:r>
      <w:r w:rsidRPr="00DD47EB">
        <w:rPr>
          <w:rStyle w:val="TextoNormalCaracter"/>
        </w:rPr>
        <w:t>-</w:t>
      </w:r>
      <w:r>
        <w:t xml:space="preserve"> Sentencia </w:t>
      </w:r>
      <w:hyperlink w:anchor="SENTENCIA_2015_16" w:history="1">
        <w:r w:rsidRPr="00DD47EB">
          <w:rPr>
            <w:rStyle w:val="TextoNormalCaracter"/>
          </w:rPr>
          <w:t>16/2015</w:t>
        </w:r>
      </w:hyperlink>
      <w:r>
        <w:t>, f. 3.</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14 de enero de 2010 (Atanasovski c. ex República Yugoslava de Macedonia)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70" w:history="1">
        <w:r w:rsidRPr="00DD47EB">
          <w:rPr>
            <w:rStyle w:val="TextoNormalCaracter"/>
          </w:rPr>
          <w:t>70/2015</w:t>
        </w:r>
      </w:hyperlink>
      <w:r>
        <w:t>, f. 2.</w:t>
      </w:r>
    </w:p>
    <w:p w:rsidR="00DD47EB" w:rsidRDefault="00DD47EB" w:rsidP="00DD47EB">
      <w:pPr>
        <w:pStyle w:val="SangriaFrancesaArticulo"/>
      </w:pPr>
      <w:r w:rsidRPr="00DD47EB">
        <w:rPr>
          <w:rStyle w:val="TextoNormalNegritaCaracter"/>
        </w:rPr>
        <w:t>§ 38.</w:t>
      </w:r>
      <w:r w:rsidRPr="00DD47EB">
        <w:rPr>
          <w:rStyle w:val="TextoNormalCaracter"/>
        </w:rPr>
        <w:t>-</w:t>
      </w:r>
      <w:r>
        <w:t xml:space="preserve"> Sentencias </w:t>
      </w:r>
      <w:hyperlink w:anchor="SENTENCIA_2015_16" w:history="1">
        <w:r w:rsidRPr="00DD47EB">
          <w:rPr>
            <w:rStyle w:val="TextoNormalCaracter"/>
          </w:rPr>
          <w:t>16/2015</w:t>
        </w:r>
      </w:hyperlink>
      <w:r>
        <w:t xml:space="preserve">, f. 3; </w:t>
      </w:r>
      <w:hyperlink w:anchor="SENTENCIA_2015_34" w:history="1">
        <w:r w:rsidRPr="00DD47EB">
          <w:rPr>
            <w:rStyle w:val="TextoNormalCaracter"/>
          </w:rPr>
          <w:t>34/2015</w:t>
        </w:r>
      </w:hyperlink>
      <w:r>
        <w:t xml:space="preserve">, f. 3; </w:t>
      </w:r>
      <w:hyperlink w:anchor="SENTENCIA_2015_35" w:history="1">
        <w:r w:rsidRPr="00DD47EB">
          <w:rPr>
            <w:rStyle w:val="TextoNormalCaracter"/>
          </w:rPr>
          <w:t>35/2015</w:t>
        </w:r>
      </w:hyperlink>
      <w:r>
        <w:t xml:space="preserve">, f. 3; </w:t>
      </w:r>
      <w:hyperlink w:anchor="SENTENCIA_2015_36" w:history="1">
        <w:r w:rsidRPr="00DD47EB">
          <w:rPr>
            <w:rStyle w:val="TextoNormalCaracter"/>
          </w:rPr>
          <w:t>36/2015</w:t>
        </w:r>
      </w:hyperlink>
      <w:r>
        <w:t xml:space="preserve">, f. 3; </w:t>
      </w:r>
      <w:hyperlink w:anchor="SENTENCIA_2015_40" w:history="1">
        <w:r w:rsidRPr="00DD47EB">
          <w:rPr>
            <w:rStyle w:val="TextoNormalCaracter"/>
          </w:rPr>
          <w:t>40/2015</w:t>
        </w:r>
      </w:hyperlink>
      <w:r>
        <w:t xml:space="preserve">, f. 3; </w:t>
      </w:r>
      <w:hyperlink w:anchor="SENTENCIA_2015_53" w:history="1">
        <w:r w:rsidRPr="00DD47EB">
          <w:rPr>
            <w:rStyle w:val="TextoNormalCaracter"/>
          </w:rPr>
          <w:t>53/2015</w:t>
        </w:r>
      </w:hyperlink>
      <w:r>
        <w:t xml:space="preserve">, f. 3; </w:t>
      </w:r>
      <w:hyperlink w:anchor="SENTENCIA_2015_67" w:history="1">
        <w:r w:rsidRPr="00DD47EB">
          <w:rPr>
            <w:rStyle w:val="TextoNormalCaracter"/>
          </w:rPr>
          <w:t>67/2015</w:t>
        </w:r>
      </w:hyperlink>
      <w:r>
        <w:t xml:space="preserve">, f. 3; </w:t>
      </w:r>
      <w:hyperlink w:anchor="SENTENCIA_2015_69" w:history="1">
        <w:r w:rsidRPr="00DD47EB">
          <w:rPr>
            <w:rStyle w:val="TextoNormalCaracter"/>
          </w:rPr>
          <w:t>69/2015</w:t>
        </w:r>
      </w:hyperlink>
      <w:r>
        <w:t xml:space="preserve">, f. 3; </w:t>
      </w:r>
      <w:hyperlink w:anchor="SENTENCIA_2015_72" w:history="1">
        <w:r w:rsidRPr="00DD47EB">
          <w:rPr>
            <w:rStyle w:val="TextoNormalCaracter"/>
          </w:rPr>
          <w:t>72/2015</w:t>
        </w:r>
      </w:hyperlink>
      <w:r>
        <w:t xml:space="preserve">, f. 3; </w:t>
      </w:r>
      <w:hyperlink w:anchor="SENTENCIA_2015_75" w:history="1">
        <w:r w:rsidRPr="00DD47EB">
          <w:rPr>
            <w:rStyle w:val="TextoNormalCaracter"/>
          </w:rPr>
          <w:t>75/2015</w:t>
        </w:r>
      </w:hyperlink>
      <w:r>
        <w:t xml:space="preserve">, f. 3; </w:t>
      </w:r>
      <w:hyperlink w:anchor="SENTENCIA_2015_76" w:history="1">
        <w:r w:rsidRPr="00DD47EB">
          <w:rPr>
            <w:rStyle w:val="TextoNormalCaracter"/>
          </w:rPr>
          <w:t>76/2015</w:t>
        </w:r>
      </w:hyperlink>
      <w:r>
        <w:t xml:space="preserve">, f. 2; </w:t>
      </w:r>
      <w:hyperlink w:anchor="SENTENCIA_2015_78" w:history="1">
        <w:r w:rsidRPr="00DD47EB">
          <w:rPr>
            <w:rStyle w:val="TextoNormalCaracter"/>
          </w:rPr>
          <w:t>78/2015</w:t>
        </w:r>
      </w:hyperlink>
      <w:r>
        <w:t xml:space="preserve">, f. 3; </w:t>
      </w:r>
      <w:hyperlink w:anchor="SENTENCIA_2015_80" w:history="1">
        <w:r w:rsidRPr="00DD47EB">
          <w:rPr>
            <w:rStyle w:val="TextoNormalCaracter"/>
          </w:rPr>
          <w:t>80/2015</w:t>
        </w:r>
      </w:hyperlink>
      <w:r>
        <w:t xml:space="preserve">, f. 3; </w:t>
      </w:r>
      <w:hyperlink w:anchor="SENTENCIA_2015_82" w:history="1">
        <w:r w:rsidRPr="00DD47EB">
          <w:rPr>
            <w:rStyle w:val="TextoNormalCaracter"/>
          </w:rPr>
          <w:t>82/2015</w:t>
        </w:r>
      </w:hyperlink>
      <w:r>
        <w:t>, f. 3.</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 de junio de 2010 (Gäfgen c. Alemania)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33" w:history="1">
        <w:r w:rsidRPr="00DD47EB">
          <w:rPr>
            <w:rStyle w:val="TextoNormalCaracter"/>
          </w:rPr>
          <w:t>33/2015</w:t>
        </w:r>
      </w:hyperlink>
      <w:r>
        <w:t>, f. 4.</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 de junio de 2010 (Gutiérrez Suárez c. España)</w:t>
      </w:r>
    </w:p>
    <w:p w:rsidR="00DD47EB" w:rsidRDefault="00DD47EB" w:rsidP="00DD47EB">
      <w:pPr>
        <w:pStyle w:val="SangriaFrancesaArticulo"/>
      </w:pPr>
      <w:r w:rsidRPr="00DD47EB">
        <w:rPr>
          <w:rStyle w:val="TextoNormalNegritaCaracter"/>
        </w:rPr>
        <w:t>§ 61.</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15 de marzo de 2011 (Otegi Mondragón c. España)</w:t>
      </w:r>
    </w:p>
    <w:p w:rsidR="00DD47EB" w:rsidRDefault="00DD47EB" w:rsidP="00DD47EB">
      <w:pPr>
        <w:pStyle w:val="SangriaFrancesaArticulo"/>
      </w:pPr>
      <w:r w:rsidRPr="00DD47EB">
        <w:rPr>
          <w:rStyle w:val="TextoNormalNegritaCaracter"/>
        </w:rPr>
        <w:t>§ 54.</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7 de julio de 2011 (Bayatyan c. Armenia)</w:t>
      </w:r>
    </w:p>
    <w:p w:rsidR="00DD47EB" w:rsidRDefault="00DD47EB" w:rsidP="00DD47EB">
      <w:pPr>
        <w:pStyle w:val="SangriaFrancesaArticulo"/>
      </w:pPr>
      <w:r w:rsidRPr="00DD47EB">
        <w:rPr>
          <w:rStyle w:val="TextoNormalNegritaCaracter"/>
        </w:rPr>
        <w:t>§ 110.</w:t>
      </w:r>
      <w:r w:rsidRPr="00DD47EB">
        <w:rPr>
          <w:rStyle w:val="TextoNormalCaracter"/>
        </w:rPr>
        <w:t>-</w:t>
      </w:r>
      <w:r>
        <w:t xml:space="preserve"> Sentencia </w:t>
      </w:r>
      <w:hyperlink w:anchor="SENTENCIA_2015_145" w:history="1">
        <w:r w:rsidRPr="00DD47EB">
          <w:rPr>
            <w:rStyle w:val="TextoNormalCaracter"/>
          </w:rPr>
          <w:t>145/2015</w:t>
        </w:r>
      </w:hyperlink>
      <w:r>
        <w:t>, VP 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7 de febrero de 2012 (Alimuçaj c. Albania)</w:t>
      </w:r>
    </w:p>
    <w:p w:rsidR="00DD47EB" w:rsidRDefault="00DD47EB" w:rsidP="00DD47EB">
      <w:pPr>
        <w:pStyle w:val="SangriaFrancesaArticulo"/>
      </w:pPr>
      <w:r w:rsidRPr="00DD47EB">
        <w:rPr>
          <w:rStyle w:val="TextoNormalNegritaCaracter"/>
        </w:rPr>
        <w:t>§§ 150, 156.</w:t>
      </w:r>
      <w:r w:rsidRPr="00DD47EB">
        <w:rPr>
          <w:rStyle w:val="TextoNormalCaracter"/>
        </w:rPr>
        <w:t>-</w:t>
      </w:r>
      <w:r>
        <w:t xml:space="preserve"> Sentencia </w:t>
      </w:r>
      <w:hyperlink w:anchor="SENTENCIA_2015_16" w:history="1">
        <w:r w:rsidRPr="00DD47EB">
          <w:rPr>
            <w:rStyle w:val="TextoNormalCaracter"/>
          </w:rPr>
          <w:t>16/2015</w:t>
        </w:r>
      </w:hyperlink>
      <w:r>
        <w:t>, VP.</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7 de febrero de 2012 (Von Hannover c. Alemania)</w:t>
      </w:r>
    </w:p>
    <w:p w:rsidR="00DD47EB" w:rsidRDefault="00DD47EB" w:rsidP="00DD47EB">
      <w:pPr>
        <w:pStyle w:val="SangriaFrancesaArticulo"/>
      </w:pPr>
      <w:r w:rsidRPr="00DD47EB">
        <w:rPr>
          <w:rStyle w:val="TextoNormalNegritaCaracter"/>
        </w:rPr>
        <w:t>§ 95.</w:t>
      </w:r>
      <w:r w:rsidRPr="00DD47EB">
        <w:rPr>
          <w:rStyle w:val="TextoNormalCaracter"/>
        </w:rPr>
        <w:t>-</w:t>
      </w:r>
      <w:r>
        <w:t xml:space="preserve"> Sentencia </w:t>
      </w:r>
      <w:hyperlink w:anchor="SENTENCIA_2015_18" w:history="1">
        <w:r w:rsidRPr="00DD47EB">
          <w:rPr>
            <w:rStyle w:val="TextoNormalCaracter"/>
          </w:rPr>
          <w:t>18/2015</w:t>
        </w:r>
      </w:hyperlink>
      <w:r>
        <w:t>, f. 5.</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29 de mayo de 2012 (Tanasoaica c. Rumania)</w:t>
      </w:r>
    </w:p>
    <w:p w:rsidR="00DD47EB" w:rsidRDefault="00DD47EB" w:rsidP="00DD47EB">
      <w:pPr>
        <w:pStyle w:val="SangriaFrancesaArticulo"/>
      </w:pPr>
      <w:r w:rsidRPr="00DD47EB">
        <w:rPr>
          <w:rStyle w:val="TextoNormalNegritaCaracter"/>
        </w:rPr>
        <w:t>§ 56.</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18 de septiembre de 2012 (Falter Zeitschriften (GMBH c. Austria)</w:t>
      </w:r>
    </w:p>
    <w:p w:rsidR="00DD47EB" w:rsidRDefault="00DD47EB" w:rsidP="00DD47EB">
      <w:pPr>
        <w:pStyle w:val="SangriaFrancesaArticulo"/>
      </w:pPr>
      <w:r w:rsidRPr="00DD47EB">
        <w:rPr>
          <w:rStyle w:val="TextoNormalNegritaCaracter"/>
        </w:rPr>
        <w:t>§ 38.</w:t>
      </w:r>
      <w:r w:rsidRPr="00DD47EB">
        <w:rPr>
          <w:rStyle w:val="TextoNormalCaracter"/>
        </w:rPr>
        <w:t>-</w:t>
      </w:r>
      <w:r>
        <w:t xml:space="preserve"> Sentencia </w:t>
      </w:r>
      <w:hyperlink w:anchor="SENTENCIA_2015_65" w:history="1">
        <w:r w:rsidRPr="00DD47EB">
          <w:rPr>
            <w:rStyle w:val="TextoNormalCaracter"/>
          </w:rPr>
          <w:t>65/2015</w:t>
        </w:r>
      </w:hyperlink>
      <w:r>
        <w:t>, f. 4.</w:t>
      </w:r>
    </w:p>
    <w:p w:rsidR="00DD47EB" w:rsidRDefault="00DD47EB" w:rsidP="00DD47EB">
      <w:pPr>
        <w:pStyle w:val="SangriaFrancesaArticulo"/>
      </w:pPr>
      <w:r w:rsidRPr="00DD47EB">
        <w:rPr>
          <w:rStyle w:val="TextoNormalNegritaCaracter"/>
        </w:rPr>
        <w:t>§ 39.</w:t>
      </w:r>
      <w:r w:rsidRPr="00DD47EB">
        <w:rPr>
          <w:rStyle w:val="TextoNormalCaracter"/>
        </w:rPr>
        <w:t>-</w:t>
      </w:r>
      <w:r>
        <w:t xml:space="preserve"> Sentencia </w:t>
      </w:r>
      <w:hyperlink w:anchor="SENTENCIA_2015_65" w:history="1">
        <w:r w:rsidRPr="00DD47EB">
          <w:rPr>
            <w:rStyle w:val="TextoNormalCaracter"/>
          </w:rPr>
          <w:t>65/2015</w:t>
        </w:r>
      </w:hyperlink>
      <w:r>
        <w:t>, f. 4.</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11 de julio de 2013 (Morice c. Francia)</w:t>
      </w:r>
    </w:p>
    <w:p w:rsidR="00DD47EB" w:rsidRDefault="00DD47EB" w:rsidP="00DD47EB">
      <w:pPr>
        <w:pStyle w:val="SangriaFrancesaArticulo"/>
      </w:pPr>
      <w:r w:rsidRPr="00DD47EB">
        <w:rPr>
          <w:rStyle w:val="TextoNormalNegritaCaracter"/>
        </w:rPr>
        <w:t>§ 107.</w:t>
      </w:r>
      <w:r w:rsidRPr="00DD47EB">
        <w:rPr>
          <w:rStyle w:val="TextoNormalCaracter"/>
        </w:rPr>
        <w:t>-</w:t>
      </w:r>
      <w:r>
        <w:t xml:space="preserve"> Sentencia </w:t>
      </w:r>
      <w:hyperlink w:anchor="SENTENCIA_2015_65" w:history="1">
        <w:r w:rsidRPr="00DD47EB">
          <w:rPr>
            <w:rStyle w:val="TextoNormalCaracter"/>
          </w:rPr>
          <w:t>65/2015</w:t>
        </w:r>
      </w:hyperlink>
      <w:r>
        <w:t>, f. 4.</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24 de septiembre de 2013 (Belpietro c. Italia)</w:t>
      </w:r>
    </w:p>
    <w:p w:rsidR="00DD47EB" w:rsidRDefault="00DD47EB" w:rsidP="00DD47EB">
      <w:pPr>
        <w:pStyle w:val="SangriaFrancesaArticulo"/>
      </w:pPr>
      <w:r w:rsidRPr="00DD47EB">
        <w:rPr>
          <w:rStyle w:val="TextoNormalNegritaCaracter"/>
        </w:rPr>
        <w:t>§ 48.</w:t>
      </w:r>
      <w:r w:rsidRPr="00DD47EB">
        <w:rPr>
          <w:rStyle w:val="TextoNormalCaracter"/>
        </w:rPr>
        <w:t>-</w:t>
      </w:r>
      <w:r>
        <w:t xml:space="preserve"> Sentencia </w:t>
      </w:r>
      <w:hyperlink w:anchor="SENTENCIA_2015_65" w:history="1">
        <w:r w:rsidRPr="00DD47EB">
          <w:rPr>
            <w:rStyle w:val="TextoNormalCaracter"/>
          </w:rPr>
          <w:t>65/2015</w:t>
        </w:r>
      </w:hyperlink>
      <w:r>
        <w:t>, f. 3.</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21 de octubre de 2013 (del Río Prada c. España)</w:t>
      </w:r>
    </w:p>
    <w:p w:rsidR="00DD47EB" w:rsidRDefault="00DD47EB" w:rsidP="00DD47EB">
      <w:pPr>
        <w:pStyle w:val="SangriaFrancesaArticulo"/>
      </w:pPr>
      <w:r w:rsidRPr="00DD47EB">
        <w:rPr>
          <w:rStyle w:val="TextoNormalNegritaCaracter"/>
        </w:rPr>
        <w:t>§ 93.</w:t>
      </w:r>
      <w:r w:rsidRPr="00DD47EB">
        <w:rPr>
          <w:rStyle w:val="TextoNormalCaracter"/>
        </w:rPr>
        <w:t>-</w:t>
      </w:r>
      <w:r>
        <w:t xml:space="preserve"> Sentencia </w:t>
      </w:r>
      <w:hyperlink w:anchor="SENTENCIA_2015_16" w:history="1">
        <w:r w:rsidRPr="00DD47EB">
          <w:rPr>
            <w:rStyle w:val="TextoNormalCaracter"/>
          </w:rPr>
          <w:t>16/2015</w:t>
        </w:r>
      </w:hyperlink>
      <w:r>
        <w:t>, VP.</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21 de octubre de 2014 (Murat Mural c. Turquía)</w:t>
      </w:r>
    </w:p>
    <w:p w:rsidR="00DD47EB" w:rsidRDefault="00DD47EB" w:rsidP="00DD47EB">
      <w:pPr>
        <w:pStyle w:val="SangriaFrancesaArticulo"/>
      </w:pPr>
      <w:r w:rsidRPr="00DD47EB">
        <w:rPr>
          <w:rStyle w:val="TextoNormalNegritaCaracter"/>
        </w:rPr>
        <w:t>§ 61.</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4 de noviembre de 2014 (Sociedad Anónima del Ucieza c. España)</w:t>
      </w:r>
    </w:p>
    <w:p w:rsidR="00DD47EB" w:rsidRDefault="00DD47EB" w:rsidP="00DD47EB">
      <w:pPr>
        <w:pStyle w:val="SangriaFrancesaArticulo"/>
      </w:pPr>
      <w:r w:rsidRPr="00DD47EB">
        <w:rPr>
          <w:rStyle w:val="TextoNormalNegritaCaracter"/>
        </w:rPr>
        <w:t>§ 35.</w:t>
      </w:r>
      <w:r w:rsidRPr="00DD47EB">
        <w:rPr>
          <w:rStyle w:val="TextoNormalCaracter"/>
        </w:rPr>
        <w:t>-</w:t>
      </w:r>
      <w:r>
        <w:t xml:space="preserve"> Sentencias </w:t>
      </w:r>
      <w:hyperlink w:anchor="SENTENCIA_2015_7" w:history="1">
        <w:r w:rsidRPr="00DD47EB">
          <w:rPr>
            <w:rStyle w:val="TextoNormalCaracter"/>
          </w:rPr>
          <w:t>7/2015</w:t>
        </w:r>
      </w:hyperlink>
      <w:r>
        <w:t xml:space="preserve">, VP; </w:t>
      </w:r>
      <w:hyperlink w:anchor="SENTENCIA_2015_16" w:history="1">
        <w:r w:rsidRPr="00DD47EB">
          <w:rPr>
            <w:rStyle w:val="TextoNormalCaracter"/>
          </w:rPr>
          <w:t>16/2015</w:t>
        </w:r>
      </w:hyperlink>
      <w:r>
        <w:t>, VP.</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13 de enero de 2015 (Lozowska c. Polonia)</w:t>
      </w:r>
    </w:p>
    <w:p w:rsidR="00DD47EB" w:rsidRDefault="00DD47EB" w:rsidP="00DD47EB">
      <w:pPr>
        <w:pStyle w:val="SangriaFrancesaArticulo"/>
      </w:pPr>
      <w:r w:rsidRPr="00DD47EB">
        <w:rPr>
          <w:rStyle w:val="TextoNormalNegritaCaracter"/>
        </w:rPr>
        <w:t>§ 83.</w:t>
      </w:r>
      <w:r w:rsidRPr="00DD47EB">
        <w:rPr>
          <w:rStyle w:val="TextoNormalCaracter"/>
        </w:rPr>
        <w:t>-</w:t>
      </w:r>
      <w:r>
        <w:t xml:space="preserve"> Sentencia </w:t>
      </w:r>
      <w:hyperlink w:anchor="SENTENCIA_2015_65" w:history="1">
        <w:r w:rsidRPr="00DD47EB">
          <w:rPr>
            <w:rStyle w:val="TextoNormalCaracter"/>
          </w:rPr>
          <w:t>65/2015</w:t>
        </w:r>
      </w:hyperlink>
      <w:r>
        <w:t>, f. 5.</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20 de enero de 2015 (Arribas Antón c. España)</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 w:history="1">
        <w:r w:rsidRPr="00DD47EB">
          <w:rPr>
            <w:rStyle w:val="TextoNormalCaracter"/>
          </w:rPr>
          <w:t>9/2015</w:t>
        </w:r>
      </w:hyperlink>
      <w:r>
        <w:t>, f. 3.</w:t>
      </w:r>
    </w:p>
    <w:p w:rsidR="00DD47EB" w:rsidRDefault="00DD47EB" w:rsidP="00DD47EB">
      <w:pPr>
        <w:pStyle w:val="SangriaFrancesaArticulo"/>
      </w:pPr>
      <w:r w:rsidRPr="00DD47EB">
        <w:rPr>
          <w:rStyle w:val="TextoNormalNegritaCaracter"/>
        </w:rPr>
        <w:t>§ 37.</w:t>
      </w:r>
      <w:r w:rsidRPr="00DD47EB">
        <w:rPr>
          <w:rStyle w:val="TextoNormalCaracter"/>
        </w:rPr>
        <w:t>-</w:t>
      </w:r>
      <w:r>
        <w:t xml:space="preserve"> Sentencia </w:t>
      </w:r>
      <w:hyperlink w:anchor="SENTENCIA_2015_77" w:history="1">
        <w:r w:rsidRPr="00DD47EB">
          <w:rPr>
            <w:rStyle w:val="TextoNormalCaracter"/>
          </w:rPr>
          <w:t>77/2015</w:t>
        </w:r>
      </w:hyperlink>
      <w:r>
        <w:t>, f. 1.</w:t>
      </w:r>
    </w:p>
    <w:p w:rsidR="00DD47EB" w:rsidRDefault="00DD47EB" w:rsidP="00DD47EB">
      <w:pPr>
        <w:pStyle w:val="SangriaFrancesaArticulo"/>
      </w:pPr>
      <w:r w:rsidRPr="00DD47EB">
        <w:rPr>
          <w:rStyle w:val="TextoNormalNegritaCaracter"/>
        </w:rPr>
        <w:t>§ 46.</w:t>
      </w:r>
      <w:r w:rsidRPr="00DD47EB">
        <w:rPr>
          <w:rStyle w:val="TextoNormalCaracter"/>
        </w:rPr>
        <w:t>-</w:t>
      </w:r>
      <w:r>
        <w:t xml:space="preserve"> Sentencias </w:t>
      </w:r>
      <w:hyperlink w:anchor="SENTENCIA_2015_96" w:history="1">
        <w:r w:rsidRPr="00DD47EB">
          <w:rPr>
            <w:rStyle w:val="TextoNormalCaracter"/>
          </w:rPr>
          <w:t>96/2015</w:t>
        </w:r>
      </w:hyperlink>
      <w:r>
        <w:t xml:space="preserve">, f. 1; </w:t>
      </w:r>
      <w:hyperlink w:anchor="SENTENCIA_2015_115" w:history="1">
        <w:r w:rsidRPr="00DD47EB">
          <w:rPr>
            <w:rStyle w:val="TextoNormalCaracter"/>
          </w:rPr>
          <w:t>115/2015</w:t>
        </w:r>
      </w:hyperlink>
      <w:r>
        <w:t>, f. 2.</w:t>
      </w:r>
    </w:p>
    <w:p w:rsidR="00DD47EB" w:rsidRDefault="00DD47EB" w:rsidP="00DD47EB">
      <w:pPr>
        <w:pStyle w:val="SangriaFrancesaArticulo"/>
      </w:pPr>
      <w:r w:rsidRPr="00DD47EB">
        <w:rPr>
          <w:rStyle w:val="TextoNormalNegritaCaracter"/>
        </w:rPr>
        <w:t>§§ 50 a 52.</w:t>
      </w:r>
      <w:r w:rsidRPr="00DD47EB">
        <w:rPr>
          <w:rStyle w:val="TextoNormalCaracter"/>
        </w:rPr>
        <w:t>-</w:t>
      </w:r>
      <w:r>
        <w:t xml:space="preserve"> Autos </w:t>
      </w:r>
      <w:hyperlink w:anchor="AUTO_2015_44" w:history="1">
        <w:r w:rsidRPr="00DD47EB">
          <w:rPr>
            <w:rStyle w:val="TextoNormalCaracter"/>
          </w:rPr>
          <w:t>44/2015</w:t>
        </w:r>
      </w:hyperlink>
      <w:r>
        <w:t xml:space="preserve">; </w:t>
      </w:r>
      <w:hyperlink w:anchor="AUTO_2015_98" w:history="1">
        <w:r w:rsidRPr="00DD47EB">
          <w:rPr>
            <w:rStyle w:val="TextoNormalCaracter"/>
          </w:rPr>
          <w:t>98/2015</w:t>
        </w:r>
      </w:hyperlink>
      <w:r>
        <w:t>, f. 2.</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22 de enero de 2015 (Pinto Pinheiro Marques c. Portugal)</w:t>
      </w:r>
    </w:p>
    <w:p w:rsidR="00DD47EB" w:rsidRDefault="00DD47EB" w:rsidP="00DD47EB">
      <w:pPr>
        <w:pStyle w:val="SangriaFrancesaArticulo"/>
      </w:pPr>
      <w:r w:rsidRPr="00DD47EB">
        <w:rPr>
          <w:rStyle w:val="TextoNormalNegritaCaracter"/>
        </w:rPr>
        <w:t>§ 46.</w:t>
      </w:r>
      <w:r w:rsidRPr="00DD47EB">
        <w:rPr>
          <w:rStyle w:val="TextoNormalCaracter"/>
        </w:rPr>
        <w:t>-</w:t>
      </w:r>
      <w:r>
        <w:t xml:space="preserve"> Sentencia </w:t>
      </w:r>
      <w:hyperlink w:anchor="SENTENCIA_2015_65" w:history="1">
        <w:r w:rsidRPr="00DD47EB">
          <w:rPr>
            <w:rStyle w:val="TextoNormalCaracter"/>
          </w:rPr>
          <w:t>65/2015</w:t>
        </w:r>
      </w:hyperlink>
      <w:r>
        <w:t>, VP II.</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17 de febrero de 2015 (Guseva c. Bulgaria)</w:t>
      </w:r>
    </w:p>
    <w:p w:rsidR="00DD47EB" w:rsidRDefault="00DD47EB" w:rsidP="00DD47EB">
      <w:pPr>
        <w:pStyle w:val="SangriaFrancesaArticulo"/>
      </w:pPr>
      <w:r w:rsidRPr="00DD47EB">
        <w:rPr>
          <w:rStyle w:val="TextoNormalNegritaCaracter"/>
        </w:rPr>
        <w:t>§ 38.</w:t>
      </w:r>
      <w:r w:rsidRPr="00DD47EB">
        <w:rPr>
          <w:rStyle w:val="TextoNormalCaracter"/>
        </w:rPr>
        <w:t>-</w:t>
      </w:r>
      <w:r>
        <w:t xml:space="preserve"> Sentencia </w:t>
      </w:r>
      <w:hyperlink w:anchor="SENTENCIA_2015_65" w:history="1">
        <w:r w:rsidRPr="00DD47EB">
          <w:rPr>
            <w:rStyle w:val="TextoNormalCaracter"/>
          </w:rPr>
          <w:t>65/2015</w:t>
        </w:r>
      </w:hyperlink>
      <w:r>
        <w:t>, f. 4.</w:t>
      </w:r>
    </w:p>
    <w:p w:rsidR="00DD47EB" w:rsidRDefault="00DD47EB" w:rsidP="00DD47EB">
      <w:pPr>
        <w:pStyle w:val="SangriaFrancesaArticulo"/>
      </w:pPr>
    </w:p>
    <w:p w:rsidR="00DD47EB" w:rsidRDefault="00DD47EB" w:rsidP="00DD47EB">
      <w:pPr>
        <w:pStyle w:val="TextoNormalNegritaCursivandice"/>
      </w:pPr>
      <w:r>
        <w:t>Sentencia del Tribunal Europeo de Derechos Humanos de 24 de febrero de 2015 (Haldimann y otros c. Suiza)</w:t>
      </w:r>
    </w:p>
    <w:p w:rsidR="00DD47EB" w:rsidRDefault="00DD47EB" w:rsidP="00DD47EB">
      <w:pPr>
        <w:pStyle w:val="SangriaFrancesaArticulo"/>
      </w:pPr>
      <w:r w:rsidRPr="00DD47EB">
        <w:rPr>
          <w:rStyle w:val="TextoNormalNegritaCaracter"/>
        </w:rPr>
        <w:t>§ 46.</w:t>
      </w:r>
      <w:r w:rsidRPr="00DD47EB">
        <w:rPr>
          <w:rStyle w:val="TextoNormalCaracter"/>
        </w:rPr>
        <w:t>-</w:t>
      </w:r>
      <w:r>
        <w:t xml:space="preserve"> Sentencia </w:t>
      </w:r>
      <w:hyperlink w:anchor="SENTENCIA_2015_65" w:history="1">
        <w:r w:rsidRPr="00DD47EB">
          <w:rPr>
            <w:rStyle w:val="TextoNormalCaracter"/>
          </w:rPr>
          <w:t>65/2015</w:t>
        </w:r>
      </w:hyperlink>
      <w:r>
        <w:t>, f. 3.</w:t>
      </w:r>
    </w:p>
    <w:p w:rsidR="00DD47EB" w:rsidRDefault="00DD47EB" w:rsidP="00DD47EB">
      <w:pPr>
        <w:pStyle w:val="TextoNormal"/>
      </w:pPr>
    </w:p>
    <w:p w:rsidR="00DD47EB" w:rsidRDefault="00DD47EB" w:rsidP="00DD47EB">
      <w:pPr>
        <w:pStyle w:val="SangriaFrancesaArticulo"/>
      </w:pPr>
      <w:bookmarkStart w:id="283" w:name="INDICE22924"/>
    </w:p>
    <w:bookmarkEnd w:id="283"/>
    <w:p w:rsidR="00DD47EB" w:rsidRDefault="00DD47EB" w:rsidP="00DD47EB">
      <w:pPr>
        <w:pStyle w:val="TextoIndiceNivel2"/>
        <w:suppressAutoHyphens/>
      </w:pPr>
      <w:r>
        <w:t>B) Tribunales de Justicia de las Comunidades Europeas y de la Unión Europea</w:t>
      </w:r>
    </w:p>
    <w:p w:rsidR="00DD47EB" w:rsidRDefault="00DD47EB" w:rsidP="00DD47EB">
      <w:pPr>
        <w:pStyle w:val="TextoIndiceNivel2"/>
      </w:pPr>
    </w:p>
    <w:p w:rsidR="00DD47EB" w:rsidRDefault="00DD47EB" w:rsidP="00DD47EB">
      <w:pPr>
        <w:pStyle w:val="TextoNormalNegritaCursivandice"/>
      </w:pPr>
      <w:r>
        <w:t>Sentencia del Tribunal de Justicia de las Comunidades Europeas de 27 de junio de 1990 (Maria Kowalska c. Freie und Hansestadt Hamburg, asunto C-33/89)</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las Comunidades Europeas de 19 de octubre de 1995 (The Queen c. Secretary of State for Health, ex parte Cyril Richardson, asunto C-137/94)</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las Comunidades Europeas de 9 de febrero de 1999 (Nicole Seymour-Smith y Laura Pérez c. Reino Unido, asunto C-167/97)</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las Comunidades Europeas de 6 de abril de 2000 (Birgitte Jørgensen c. Dinamarca, asunto C-226/98)</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las Comunidades Europeas de 11 de septiembre de 2003 (Steinicke, asunto C-77/02)</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13 de abril de 2010 (Bressol y otros, asunto C-73/08)</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22 de diciembre de 2010 (Rosa María Gavieiro Gavieiro y Ana María Iglesias Torres, c. Consellería de Educación e Ordenación Universitaria de la Xunta de Galicia, asuntos 444/09, 456/09)</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9" w:history="1">
        <w:r w:rsidRPr="00DD47EB">
          <w:rPr>
            <w:rStyle w:val="TextoNormalCaracter"/>
          </w:rPr>
          <w:t>99/2015</w:t>
        </w:r>
      </w:hyperlink>
      <w:r>
        <w:t>, f. 2.</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8 de septiembre de 2011 (Francisco Javier Rosado Santana c. Consejería de Justicia y Administración Pública de la Junta de Andalucía, asunto C-177/10)</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99" w:history="1">
        <w:r w:rsidRPr="00DD47EB">
          <w:rPr>
            <w:rStyle w:val="TextoNormalCaracter"/>
          </w:rPr>
          <w:t>99/2015</w:t>
        </w:r>
      </w:hyperlink>
      <w:r>
        <w:t>, ff. 1, 2, 4, 5.</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20 de octubre de 2011 (Brachner, asunto C-123/10)</w:t>
      </w:r>
    </w:p>
    <w:p w:rsidR="00DD47EB" w:rsidRDefault="00DD47EB" w:rsidP="00DD47EB">
      <w:pPr>
        <w:pStyle w:val="SangriaFrancesaArticulo"/>
      </w:pPr>
      <w:r w:rsidRPr="00DD47EB">
        <w:rPr>
          <w:rStyle w:val="TextoNormalNegritaCaracter"/>
        </w:rPr>
        <w:t>§ 56.</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22 de noviembre de 2012 (Elbal Moreno, asunto C-385/11)</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 8.</w:t>
      </w:r>
    </w:p>
    <w:p w:rsidR="00DD47EB" w:rsidRDefault="00DD47EB" w:rsidP="00DD47EB">
      <w:pPr>
        <w:pStyle w:val="SangriaFrancesaArticulo"/>
      </w:pPr>
      <w:r w:rsidRPr="00DD47EB">
        <w:rPr>
          <w:rStyle w:val="TextoNormalNegritaCaracter"/>
        </w:rPr>
        <w:t>§ 29.</w:t>
      </w:r>
      <w:r w:rsidRPr="00DD47EB">
        <w:rPr>
          <w:rStyle w:val="TextoNormalCaracter"/>
        </w:rPr>
        <w:t>-</w:t>
      </w:r>
      <w:r>
        <w:t xml:space="preserve"> Sentencia </w:t>
      </w:r>
      <w:hyperlink w:anchor="SENTENCIA_2015_110" w:history="1">
        <w:r w:rsidRPr="00DD47EB">
          <w:rPr>
            <w:rStyle w:val="TextoNormalCaracter"/>
          </w:rPr>
          <w:t>110/2015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18 de julio de 2013 (Consiglio nazionale dei geologi c. Autorità garante della concorrenza e del mercato y Autorità garante della concorrenza e del mercato contra Consiglio nazionale dei geologi, asunto C-136/2012)</w:t>
      </w:r>
    </w:p>
    <w:p w:rsidR="00DD47EB" w:rsidRDefault="00DD47EB" w:rsidP="00DD47EB">
      <w:pPr>
        <w:pStyle w:val="SangriaFrancesaArticulo"/>
      </w:pPr>
      <w:r w:rsidRPr="00DD47EB">
        <w:rPr>
          <w:rStyle w:val="TextoNormalNegritaCaracter"/>
        </w:rPr>
        <w:t>§§ 28 a 31.</w:t>
      </w:r>
      <w:r w:rsidRPr="00DD47EB">
        <w:rPr>
          <w:rStyle w:val="TextoNormalCaracter"/>
        </w:rPr>
        <w:t>-</w:t>
      </w:r>
      <w:r>
        <w:t xml:space="preserve"> Sentencia </w:t>
      </w:r>
      <w:hyperlink w:anchor="SENTENCIA_2015_99" w:history="1">
        <w:r w:rsidRPr="00DD47EB">
          <w:rPr>
            <w:rStyle w:val="TextoNormalCaracter"/>
          </w:rPr>
          <w:t>99/2015</w:t>
        </w:r>
      </w:hyperlink>
      <w:r>
        <w:t>, f. 2.</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14 de noviembre de 2013 (Belgacom NV contra Interkommunale voor Teledistributie van het Gewest Antwerpen (INTEGAN) y otros)</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84" w:history="1">
        <w:r w:rsidRPr="00DD47EB">
          <w:rPr>
            <w:rStyle w:val="TextoNormalCaracter"/>
          </w:rPr>
          <w:t>84/2015</w:t>
        </w:r>
      </w:hyperlink>
      <w:r>
        <w:t>, f. 6.</w:t>
      </w:r>
    </w:p>
    <w:p w:rsidR="00DD47EB" w:rsidRDefault="00DD47EB" w:rsidP="00DD47EB">
      <w:pPr>
        <w:pStyle w:val="SangriaFrancesaArticulo"/>
      </w:pPr>
    </w:p>
    <w:p w:rsidR="00DD47EB" w:rsidRDefault="00DD47EB" w:rsidP="00DD47EB">
      <w:pPr>
        <w:pStyle w:val="TextoNormalNegritaCursivandice"/>
      </w:pPr>
      <w:r>
        <w:t>Sentencia del Tribunal de Justicia de la Unión Europea de 14 de abril de 2015 (Cachaldora Fernández, asunto C-527/13)</w:t>
      </w:r>
    </w:p>
    <w:p w:rsidR="00DD47EB" w:rsidRDefault="00DD47EB" w:rsidP="00DD47EB">
      <w:pPr>
        <w:pStyle w:val="SangriaFrancesaArticulo"/>
      </w:pPr>
      <w:r w:rsidRPr="00DD47EB">
        <w:rPr>
          <w:rStyle w:val="TextoNormalNegritaCaracter"/>
        </w:rPr>
        <w:t>En general.</w:t>
      </w:r>
      <w:r w:rsidRPr="00DD47EB">
        <w:rPr>
          <w:rStyle w:val="TextoNormalCaracter"/>
        </w:rPr>
        <w:t>-</w:t>
      </w:r>
      <w:r>
        <w:t xml:space="preserve"> Sentencia </w:t>
      </w:r>
      <w:hyperlink w:anchor="SENTENCIA_2015_110" w:history="1">
        <w:r w:rsidRPr="00DD47EB">
          <w:rPr>
            <w:rStyle w:val="TextoNormalCaracter"/>
          </w:rPr>
          <w:t>110/2015</w:t>
        </w:r>
      </w:hyperlink>
      <w:r>
        <w:t>, ff. 8, 11, VP.</w:t>
      </w:r>
    </w:p>
    <w:p w:rsidR="00DD47EB" w:rsidRDefault="00DD47EB" w:rsidP="00DD47EB">
      <w:pPr>
        <w:pStyle w:val="TextoNormal"/>
      </w:pPr>
    </w:p>
    <w:p w:rsidR="00DD47EB" w:rsidRDefault="00DD47EB" w:rsidP="00DD47EB">
      <w:pPr>
        <w:pStyle w:val="SangriaFrancesaArticulo"/>
      </w:pPr>
      <w:bookmarkStart w:id="284" w:name="INDICE22925"/>
    </w:p>
    <w:bookmarkEnd w:id="284"/>
    <w:p w:rsidR="00DD47EB" w:rsidRDefault="00DD47EB" w:rsidP="00DD47EB">
      <w:pPr>
        <w:pStyle w:val="TextoIndiceNivel2"/>
        <w:suppressAutoHyphens/>
      </w:pPr>
      <w:r>
        <w:t>C) Tribunal Supremo</w:t>
      </w:r>
    </w:p>
    <w:p w:rsidR="00DD47EB" w:rsidRDefault="00DD47EB" w:rsidP="00DD47EB">
      <w:pPr>
        <w:pStyle w:val="TextoIndiceNivel2"/>
      </w:pPr>
    </w:p>
    <w:p w:rsidR="00DD47EB" w:rsidRDefault="00DD47EB" w:rsidP="00DD47EB">
      <w:pPr>
        <w:pStyle w:val="TextoNormalNegritaCursivandice"/>
      </w:pPr>
      <w:r>
        <w:t>Auto de la Sección Primera de la Sala de lo Contencioso-Administrativo del Tribunal Supremo de 20 de octubre de 2011 (recurso de casación núm. 5417-2010)</w:t>
      </w:r>
    </w:p>
    <w:p w:rsidR="00DD47EB" w:rsidRDefault="00DD47EB" w:rsidP="00DD47EB">
      <w:pPr>
        <w:pStyle w:val="SangriaFrancesaArticulo"/>
      </w:pPr>
      <w:r>
        <w:t xml:space="preserve">Sentencia </w:t>
      </w:r>
      <w:hyperlink w:anchor="SENTENCIA_2015_139" w:history="1">
        <w:r w:rsidRPr="00DD47EB">
          <w:rPr>
            <w:rStyle w:val="TextoNormalCaracter"/>
          </w:rPr>
          <w:t>139/2015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10 de noviembre de 2011 (recurso de casación núm. 1179-2011)</w:t>
      </w:r>
    </w:p>
    <w:p w:rsidR="00DD47EB" w:rsidRDefault="00DD47EB" w:rsidP="00DD47EB">
      <w:pPr>
        <w:pStyle w:val="SangriaFrancesaArticulo"/>
      </w:pPr>
      <w:r>
        <w:t xml:space="preserve">Sentencia </w:t>
      </w:r>
      <w:hyperlink w:anchor="SENTENCIA_2015_38" w:history="1">
        <w:r w:rsidRPr="00DD47EB">
          <w:rPr>
            <w:rStyle w:val="TextoNormalCaracter"/>
          </w:rPr>
          <w:t>38/2015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10 de noviembre de 2011 (recurso de casación núm. 5162-2010)</w:t>
      </w:r>
    </w:p>
    <w:p w:rsidR="00DD47EB" w:rsidRDefault="00DD47EB" w:rsidP="00DD47EB">
      <w:pPr>
        <w:pStyle w:val="SangriaFrancesaArticulo"/>
      </w:pPr>
      <w:r>
        <w:t xml:space="preserve">Sentencia </w:t>
      </w:r>
      <w:hyperlink w:anchor="SENTENCIA_2015_7" w:history="1">
        <w:r w:rsidRPr="00DD47EB">
          <w:rPr>
            <w:rStyle w:val="TextoNormalCaracter"/>
          </w:rPr>
          <w:t>7/2015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1 de diciembre de 2011 (recurso de casación núm.99-2011)</w:t>
      </w:r>
    </w:p>
    <w:p w:rsidR="00DD47EB" w:rsidRDefault="00DD47EB" w:rsidP="00DD47EB">
      <w:pPr>
        <w:pStyle w:val="SangriaFrancesaArticulo"/>
      </w:pPr>
      <w:r>
        <w:t xml:space="preserve">Sentencia </w:t>
      </w:r>
      <w:hyperlink w:anchor="SENTENCIA_2015_64" w:history="1">
        <w:r w:rsidRPr="00DD47EB">
          <w:rPr>
            <w:rStyle w:val="TextoNormalCaracter"/>
          </w:rPr>
          <w:t>64/2015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15 de diciembre de 2011 (recurso de casación núm. 1542-2011)</w:t>
      </w:r>
    </w:p>
    <w:p w:rsidR="00DD47EB" w:rsidRDefault="00DD47EB" w:rsidP="00DD47EB">
      <w:pPr>
        <w:pStyle w:val="SangriaFrancesaArticulo"/>
      </w:pPr>
      <w:r>
        <w:t xml:space="preserve">Sentencia </w:t>
      </w:r>
      <w:hyperlink w:anchor="SENTENCIA_2015_37" w:history="1">
        <w:r w:rsidRPr="00DD47EB">
          <w:rPr>
            <w:rStyle w:val="TextoNormalCaracter"/>
          </w:rPr>
          <w:t>37/2015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2 de febrero de 2012(recurso de casación 2989/2011)</w:t>
      </w:r>
    </w:p>
    <w:p w:rsidR="00DD47EB" w:rsidRDefault="00DD47EB" w:rsidP="00DD47EB">
      <w:pPr>
        <w:pStyle w:val="SangriaFrancesaArticulo"/>
      </w:pPr>
      <w:r>
        <w:t xml:space="preserve">Sentencia </w:t>
      </w:r>
      <w:hyperlink w:anchor="SENTENCIA_2015_52" w:history="1">
        <w:r w:rsidRPr="00DD47EB">
          <w:rPr>
            <w:rStyle w:val="TextoNormalCaracter"/>
          </w:rPr>
          <w:t>52/2015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9 de febrero de 2012 (recurso de casación núm. 1370-2011)</w:t>
      </w:r>
    </w:p>
    <w:p w:rsidR="00DD47EB" w:rsidRDefault="00DD47EB" w:rsidP="00DD47EB">
      <w:pPr>
        <w:pStyle w:val="SangriaFrancesaArticulo"/>
      </w:pPr>
      <w:r>
        <w:t xml:space="preserve">Sentencia </w:t>
      </w:r>
      <w:hyperlink w:anchor="SENTENCIA_2015_20" w:history="1">
        <w:r w:rsidRPr="00DD47EB">
          <w:rPr>
            <w:rStyle w:val="TextoNormalCaracter"/>
          </w:rPr>
          <w:t>20/2015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22 de marzo de 2012 (recurso de casación núm. 1179-2011)</w:t>
      </w:r>
    </w:p>
    <w:p w:rsidR="00DD47EB" w:rsidRDefault="00DD47EB" w:rsidP="00DD47EB">
      <w:pPr>
        <w:pStyle w:val="SangriaFrancesaArticulo"/>
      </w:pPr>
      <w:r>
        <w:t xml:space="preserve">Sentencia </w:t>
      </w:r>
      <w:hyperlink w:anchor="SENTENCIA_2015_38" w:history="1">
        <w:r w:rsidRPr="00DD47EB">
          <w:rPr>
            <w:rStyle w:val="TextoNormalCaracter"/>
          </w:rPr>
          <w:t>38/2015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22 de marzo de 2012 (recurso de casación núm. 5417-2010)</w:t>
      </w:r>
    </w:p>
    <w:p w:rsidR="00DD47EB" w:rsidRDefault="00DD47EB" w:rsidP="00DD47EB">
      <w:pPr>
        <w:pStyle w:val="SangriaFrancesaArticulo"/>
      </w:pPr>
      <w:r>
        <w:t xml:space="preserve">Sentencia </w:t>
      </w:r>
      <w:hyperlink w:anchor="SENTENCIA_2015_139" w:history="1">
        <w:r w:rsidRPr="00DD47EB">
          <w:rPr>
            <w:rStyle w:val="TextoNormalCaracter"/>
          </w:rPr>
          <w:t>139/2015</w:t>
        </w:r>
      </w:hyperlink>
      <w:r>
        <w:t xml:space="preserve"> (anula).</w:t>
      </w:r>
    </w:p>
    <w:p w:rsidR="00DD47EB" w:rsidRDefault="00DD47EB" w:rsidP="00DD47EB">
      <w:pPr>
        <w:pStyle w:val="SangriaFrancesaArticulo"/>
      </w:pPr>
    </w:p>
    <w:p w:rsidR="00DD47EB" w:rsidRDefault="00DD47EB" w:rsidP="00DD47EB">
      <w:pPr>
        <w:pStyle w:val="TextoNormalNegritaCursivandice"/>
      </w:pPr>
      <w:r>
        <w:t>Sentencia de la Sala de lo Civil del Tribunal Supremo de 18 de abril de 2012 (recurso de casación núm. 800-2009)</w:t>
      </w:r>
    </w:p>
    <w:p w:rsidR="00DD47EB" w:rsidRDefault="00DD47EB" w:rsidP="00DD47EB">
      <w:pPr>
        <w:pStyle w:val="SangriaFrancesaArticulo"/>
      </w:pPr>
      <w:r>
        <w:t xml:space="preserve">Sentencia </w:t>
      </w:r>
      <w:hyperlink w:anchor="SENTENCIA_2015_18" w:history="1">
        <w:r w:rsidRPr="00DD47EB">
          <w:rPr>
            <w:rStyle w:val="TextoNormalCaracter"/>
          </w:rPr>
          <w:t>18/2015</w:t>
        </w:r>
      </w:hyperlink>
      <w:r>
        <w:t xml:space="preserve"> (anula).</w:t>
      </w:r>
    </w:p>
    <w:p w:rsidR="00DD47EB" w:rsidRDefault="00DD47EB" w:rsidP="00DD47EB">
      <w:pPr>
        <w:pStyle w:val="SangriaFrancesaArticulo"/>
      </w:pPr>
    </w:p>
    <w:p w:rsidR="00DD47EB" w:rsidRDefault="00DD47EB" w:rsidP="00DD47EB">
      <w:pPr>
        <w:pStyle w:val="TextoNormalNegritaCursivandice"/>
      </w:pPr>
      <w:r>
        <w:t>Sentencia de la Sección Cuarta de la Sala de lo Contencioso-Administrativo del Tribunal Supremo de 3 de mayo de 2012 (recurso de casación 4397-2010)</w:t>
      </w:r>
    </w:p>
    <w:p w:rsidR="00DD47EB" w:rsidRDefault="00DD47EB" w:rsidP="00DD47EB">
      <w:pPr>
        <w:pStyle w:val="SangriaFrancesaArticulo"/>
      </w:pPr>
      <w:r>
        <w:t xml:space="preserve">Sentencia </w:t>
      </w:r>
      <w:hyperlink w:anchor="SENTENCIA_2015_9" w:history="1">
        <w:r w:rsidRPr="00DD47EB">
          <w:rPr>
            <w:rStyle w:val="TextoNormalCaracter"/>
          </w:rPr>
          <w:t>9/2015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Primera de la Sala de lo Contencioso-Administrativo del Tribunal Supremo de 24 de mayo de 2012 (recurso de casación núm. 99-2011)</w:t>
      </w:r>
    </w:p>
    <w:p w:rsidR="00DD47EB" w:rsidRDefault="00DD47EB" w:rsidP="00DD47EB">
      <w:pPr>
        <w:pStyle w:val="SangriaFrancesaArticulo"/>
      </w:pPr>
      <w:r>
        <w:t xml:space="preserve">Sentencia </w:t>
      </w:r>
      <w:hyperlink w:anchor="SENTENCIA_2015_64" w:history="1">
        <w:r w:rsidRPr="00DD47EB">
          <w:rPr>
            <w:rStyle w:val="TextoNormalCaracter"/>
          </w:rPr>
          <w:t>64/2015</w:t>
        </w:r>
      </w:hyperlink>
      <w:r>
        <w:t xml:space="preserve"> (anula).</w:t>
      </w:r>
    </w:p>
    <w:p w:rsidR="00DD47EB" w:rsidRDefault="00DD47EB" w:rsidP="00DD47EB">
      <w:pPr>
        <w:pStyle w:val="SangriaFrancesaArticulo"/>
      </w:pPr>
    </w:p>
    <w:p w:rsidR="00DD47EB" w:rsidRDefault="00DD47EB" w:rsidP="00DD47EB">
      <w:pPr>
        <w:pStyle w:val="TextoNormalNegritaCursivandice"/>
      </w:pPr>
      <w:r>
        <w:t>Auto de la Sección Cuarta de la Sala de lo Contencioso-Administrativo del Tribunal Supremo de 19 de julio de 2012</w:t>
      </w:r>
    </w:p>
    <w:p w:rsidR="00DD47EB" w:rsidRDefault="00DD47EB" w:rsidP="00DD47EB">
      <w:pPr>
        <w:pStyle w:val="SangriaFrancesaArticulo"/>
      </w:pPr>
      <w:r>
        <w:t xml:space="preserve">Sentencia </w:t>
      </w:r>
      <w:hyperlink w:anchor="SENTENCIA_2015_9" w:history="1">
        <w:r w:rsidRPr="00DD47EB">
          <w:rPr>
            <w:rStyle w:val="TextoNormalCaracter"/>
          </w:rPr>
          <w:t>9/2015</w:t>
        </w:r>
      </w:hyperlink>
      <w:r>
        <w:t xml:space="preserve"> (anula).</w:t>
      </w:r>
    </w:p>
    <w:p w:rsidR="00DD47EB" w:rsidRDefault="00DD47EB">
      <w:pPr>
        <w:spacing w:after="160" w:line="259" w:lineRule="auto"/>
        <w:rPr>
          <w:rFonts w:ascii="Times New Roman" w:eastAsia="Times New Roman" w:hAnsi="Times New Roman" w:cs="Times New Roman"/>
          <w:sz w:val="24"/>
          <w:szCs w:val="24"/>
          <w:lang w:eastAsia="es-ES"/>
        </w:rPr>
      </w:pPr>
      <w:r>
        <w:br w:type="page"/>
      </w:r>
    </w:p>
    <w:p w:rsidR="00DD47EB" w:rsidRDefault="00DD47EB" w:rsidP="00DD47EB">
      <w:pPr>
        <w:pStyle w:val="SangriaFrancesaArticulo"/>
      </w:pPr>
      <w:bookmarkStart w:id="285" w:name="DESCRIPTOR1"/>
      <w:bookmarkStart w:id="286" w:name="DESCRIPTOR2"/>
      <w:bookmarkStart w:id="287" w:name="DESCRIPTOR3"/>
      <w:bookmarkStart w:id="288" w:name="DESCRIPTOR4"/>
      <w:bookmarkStart w:id="289" w:name="DESCRIPTOR5"/>
      <w:bookmarkStart w:id="290" w:name="DESCRIPTOR6"/>
      <w:bookmarkStart w:id="291" w:name="DESCRIPTOR7"/>
      <w:bookmarkStart w:id="292" w:name="DESCRIPTOR8"/>
      <w:bookmarkStart w:id="293" w:name="DESCRIPTOR9"/>
      <w:bookmarkStart w:id="294" w:name="DESCRIPTOR10"/>
      <w:bookmarkStart w:id="295" w:name="DESCRIPTOR11"/>
      <w:bookmarkStart w:id="296" w:name="DESCRIPTOR12"/>
      <w:bookmarkStart w:id="297" w:name="DESCRIPTOR13"/>
      <w:bookmarkStart w:id="298" w:name="DESCRIPTOR14"/>
      <w:bookmarkStart w:id="299" w:name="DESCRIPTOR15"/>
      <w:bookmarkStart w:id="300" w:name="DESCRIPTOR16"/>
      <w:bookmarkStart w:id="301" w:name="DESCRIPTOR17"/>
      <w:bookmarkStart w:id="302" w:name="DESCRIPTOR18"/>
      <w:bookmarkStart w:id="303" w:name="DESCRIPTOR19"/>
      <w:bookmarkStart w:id="304" w:name="DESCRIPTOR20"/>
      <w:bookmarkStart w:id="305" w:name="DESCRIPTOR21"/>
      <w:bookmarkStart w:id="306" w:name="DESCRIPTOR22"/>
      <w:bookmarkStart w:id="307" w:name="DESCRIPTOR23"/>
      <w:bookmarkStart w:id="308" w:name="DESCRIPTOR24"/>
      <w:bookmarkStart w:id="309" w:name="DESCRIPTOR25"/>
      <w:bookmarkStart w:id="310" w:name="DESCRIPTOR26"/>
      <w:bookmarkStart w:id="311" w:name="DESCRIPTOR27"/>
      <w:bookmarkStart w:id="312" w:name="DESCRIPTOR28"/>
      <w:bookmarkStart w:id="313" w:name="DESCRIPTOR29"/>
      <w:bookmarkStart w:id="314" w:name="DESCRIPTOR30"/>
      <w:bookmarkStart w:id="315" w:name="DESCRIPTOR31"/>
      <w:bookmarkStart w:id="316" w:name="DESCRIPTOR32"/>
      <w:bookmarkStart w:id="317" w:name="DESCRIPTOR33"/>
      <w:bookmarkStart w:id="318" w:name="DESCRIPTOR34"/>
      <w:bookmarkStart w:id="319" w:name="DESCRIPTOR35"/>
      <w:bookmarkStart w:id="320" w:name="DESCRIPTOR36"/>
      <w:bookmarkStart w:id="321" w:name="DESCRIPTOR37"/>
      <w:bookmarkStart w:id="322" w:name="DESCRIPTOR38"/>
      <w:bookmarkStart w:id="323" w:name="DESCRIPTOR39"/>
      <w:bookmarkStart w:id="324" w:name="DESCRIPTOR40"/>
      <w:bookmarkStart w:id="325" w:name="DESCRIPTOR41"/>
      <w:bookmarkStart w:id="326" w:name="DESCRIPTOR42"/>
      <w:bookmarkStart w:id="327" w:name="DESCRIPTOR43"/>
      <w:bookmarkStart w:id="328" w:name="DESCRIPTOR44"/>
      <w:bookmarkStart w:id="329" w:name="DESCRIPTOR45"/>
      <w:bookmarkStart w:id="330" w:name="DESCRIPTOR46"/>
      <w:bookmarkStart w:id="331" w:name="DESCRIPTOR47"/>
      <w:bookmarkStart w:id="332" w:name="DESCRIPTOR48"/>
      <w:bookmarkStart w:id="333" w:name="DESCRIPTOR49"/>
      <w:bookmarkStart w:id="334" w:name="DESCRIPTOR50"/>
      <w:bookmarkStart w:id="335" w:name="DESCRIPTOR51"/>
      <w:bookmarkStart w:id="336" w:name="DESCRIPTOR52"/>
      <w:bookmarkStart w:id="337" w:name="DESCRIPTOR53"/>
      <w:bookmarkStart w:id="338" w:name="DESCRIPTOR54"/>
      <w:bookmarkStart w:id="339" w:name="DESCRIPTOR55"/>
      <w:bookmarkStart w:id="340" w:name="DESCRIPTOR56"/>
      <w:bookmarkStart w:id="341" w:name="DESCRIPTOR57"/>
      <w:bookmarkStart w:id="342" w:name="DESCRIPTOR58"/>
      <w:bookmarkStart w:id="343" w:name="DESCRIPTOR59"/>
      <w:bookmarkStart w:id="344" w:name="DESCRIPTOR60"/>
      <w:bookmarkStart w:id="345" w:name="DESCRIPTOR61"/>
      <w:bookmarkStart w:id="346" w:name="DESCRIPTOR62"/>
      <w:bookmarkStart w:id="347" w:name="DESCRIPTOR63"/>
      <w:bookmarkStart w:id="348" w:name="DESCRIPTOR64"/>
      <w:bookmarkStart w:id="349" w:name="DESCRIPTOR65"/>
      <w:bookmarkStart w:id="350" w:name="DESCRIPTOR66"/>
      <w:bookmarkStart w:id="351" w:name="DESCRIPTOR67"/>
      <w:bookmarkStart w:id="352" w:name="DESCRIPTOR68"/>
      <w:bookmarkStart w:id="353" w:name="DESCRIPTOR69"/>
      <w:bookmarkStart w:id="354" w:name="DESCRIPTOR70"/>
      <w:bookmarkStart w:id="355" w:name="DESCRIPTOR71"/>
      <w:bookmarkStart w:id="356" w:name="DESCRIPTOR72"/>
      <w:bookmarkStart w:id="357" w:name="DESCRIPTOR73"/>
      <w:bookmarkStart w:id="358" w:name="DESCRIPTOR74"/>
      <w:bookmarkStart w:id="359" w:name="DESCRIPTOR75"/>
      <w:bookmarkStart w:id="360" w:name="DESCRIPTOR76"/>
      <w:bookmarkStart w:id="361" w:name="DESCRIPTOR77"/>
      <w:bookmarkStart w:id="362" w:name="DESCRIPTOR78"/>
      <w:bookmarkStart w:id="363" w:name="DESCRIPTOR79"/>
      <w:bookmarkStart w:id="364" w:name="DESCRIPTOR80"/>
      <w:bookmarkStart w:id="365" w:name="DESCRIPTOR81"/>
      <w:bookmarkStart w:id="366" w:name="DESCRIPTOR82"/>
      <w:bookmarkStart w:id="367" w:name="DESCRIPTOR83"/>
      <w:bookmarkStart w:id="368" w:name="DESCRIPTOR84"/>
      <w:bookmarkStart w:id="369" w:name="DESCRIPTOR85"/>
      <w:bookmarkStart w:id="370" w:name="DESCRIPTOR86"/>
      <w:bookmarkStart w:id="371" w:name="DESCRIPTOR87"/>
      <w:bookmarkStart w:id="372" w:name="DESCRIPTOR88"/>
      <w:bookmarkStart w:id="373" w:name="DESCRIPTOR89"/>
      <w:bookmarkStart w:id="374" w:name="DESCRIPTOR90"/>
      <w:bookmarkStart w:id="375" w:name="DESCRIPTOR91"/>
      <w:bookmarkStart w:id="376" w:name="DESCRIPTOR92"/>
      <w:bookmarkStart w:id="377" w:name="DESCRIPTOR93"/>
      <w:bookmarkStart w:id="378" w:name="DESCRIPTOR94"/>
      <w:bookmarkStart w:id="379" w:name="DESCRIPTOR95"/>
      <w:bookmarkStart w:id="380" w:name="DESCRIPTOR96"/>
      <w:bookmarkStart w:id="381" w:name="DESCRIPTOR97"/>
      <w:bookmarkStart w:id="382" w:name="DESCRIPTOR98"/>
      <w:bookmarkStart w:id="383" w:name="DESCRIPTOR99"/>
      <w:bookmarkStart w:id="384" w:name="DESCRIPTOR100"/>
      <w:bookmarkStart w:id="385" w:name="DESCRIPTOR101"/>
      <w:bookmarkStart w:id="386" w:name="DESCRIPTOR102"/>
      <w:bookmarkStart w:id="387" w:name="DESCRIPTOR103"/>
      <w:bookmarkStart w:id="388" w:name="DESCRIPTOR104"/>
      <w:bookmarkStart w:id="389" w:name="DESCRIPTOR105"/>
      <w:bookmarkStart w:id="390" w:name="DESCRIPTOR106"/>
      <w:bookmarkStart w:id="391" w:name="DESCRIPTOR107"/>
      <w:bookmarkStart w:id="392" w:name="DESCRIPTOR108"/>
      <w:bookmarkStart w:id="393" w:name="DESCRIPTOR109"/>
      <w:bookmarkStart w:id="394" w:name="DESCRIPTOR110"/>
      <w:bookmarkStart w:id="395" w:name="DESCRIPTOR111"/>
      <w:bookmarkStart w:id="396" w:name="DESCRIPTOR112"/>
      <w:bookmarkStart w:id="397" w:name="DESCRIPTOR113"/>
      <w:bookmarkStart w:id="398" w:name="DESCRIPTOR114"/>
      <w:bookmarkStart w:id="399" w:name="DESCRIPTOR115"/>
      <w:bookmarkStart w:id="400" w:name="DESCRIPTOR116"/>
      <w:bookmarkStart w:id="401" w:name="DESCRIPTOR117"/>
      <w:bookmarkStart w:id="402" w:name="DESCRIPTOR118"/>
      <w:bookmarkStart w:id="403" w:name="DESCRIPTOR119"/>
      <w:bookmarkStart w:id="404" w:name="DESCRIPTOR120"/>
      <w:bookmarkStart w:id="405" w:name="DESCRIPTOR121"/>
      <w:bookmarkStart w:id="406" w:name="DESCRIPTOR122"/>
      <w:bookmarkStart w:id="407" w:name="DESCRIPTOR123"/>
      <w:bookmarkStart w:id="408" w:name="DESCRIPTOR124"/>
      <w:bookmarkStart w:id="409" w:name="DESCRIPTOR125"/>
      <w:bookmarkStart w:id="410" w:name="DESCRIPTOR126"/>
      <w:bookmarkStart w:id="411" w:name="DESCRIPTOR127"/>
      <w:bookmarkStart w:id="412" w:name="DESCRIPTOR128"/>
      <w:bookmarkStart w:id="413" w:name="DESCRIPTOR129"/>
      <w:bookmarkStart w:id="414" w:name="DESCRIPTOR130"/>
      <w:bookmarkStart w:id="415" w:name="DESCRIPTOR131"/>
      <w:bookmarkStart w:id="416" w:name="DESCRIPTOR132"/>
      <w:bookmarkStart w:id="417" w:name="DESCRIPTOR133"/>
      <w:bookmarkStart w:id="418" w:name="DESCRIPTOR134"/>
      <w:bookmarkStart w:id="419" w:name="DESCRIPTOR135"/>
      <w:bookmarkStart w:id="420" w:name="DESCRIPTOR136"/>
      <w:bookmarkStart w:id="421" w:name="DESCRIPTOR137"/>
      <w:bookmarkStart w:id="422" w:name="DESCRIPTOR138"/>
      <w:bookmarkStart w:id="423" w:name="DESCRIPTOR139"/>
      <w:bookmarkStart w:id="424" w:name="DESCRIPTOR140"/>
      <w:bookmarkStart w:id="425" w:name="DESCRIPTOR141"/>
      <w:bookmarkStart w:id="426" w:name="DESCRIPTOR142"/>
      <w:bookmarkStart w:id="427" w:name="DESCRIPTOR143"/>
      <w:bookmarkStart w:id="428" w:name="DESCRIPTOR144"/>
      <w:bookmarkStart w:id="429" w:name="DESCRIPTOR145"/>
      <w:bookmarkStart w:id="430" w:name="DESCRIPTOR146"/>
      <w:bookmarkStart w:id="431" w:name="DESCRIPTOR147"/>
      <w:bookmarkStart w:id="432" w:name="DESCRIPTOR148"/>
      <w:bookmarkStart w:id="433" w:name="DESCRIPTOR149"/>
      <w:bookmarkStart w:id="434" w:name="DESCRIPTOR150"/>
      <w:bookmarkStart w:id="435" w:name="DESCRIPTOR151"/>
      <w:bookmarkStart w:id="436" w:name="DESCRIPTOR152"/>
      <w:bookmarkStart w:id="437" w:name="DESCRIPTOR153"/>
      <w:bookmarkStart w:id="438" w:name="DESCRIPTOR154"/>
      <w:bookmarkStart w:id="439" w:name="DESCRIPTOR155"/>
      <w:bookmarkStart w:id="440" w:name="DESCRIPTOR156"/>
      <w:bookmarkStart w:id="441" w:name="DESCRIPTOR157"/>
      <w:bookmarkStart w:id="442" w:name="DESCRIPTOR158"/>
      <w:bookmarkStart w:id="443" w:name="DESCRIPTOR159"/>
      <w:bookmarkStart w:id="444" w:name="DESCRIPTOR160"/>
      <w:bookmarkStart w:id="445" w:name="DESCRIPTOR161"/>
      <w:bookmarkStart w:id="446" w:name="DESCRIPTOR162"/>
      <w:bookmarkStart w:id="447" w:name="DESCRIPTOR163"/>
      <w:bookmarkStart w:id="448" w:name="DESCRIPTOR164"/>
      <w:bookmarkStart w:id="449" w:name="DESCRIPTOR165"/>
      <w:bookmarkStart w:id="450" w:name="DESCRIPTOR166"/>
      <w:bookmarkStart w:id="451" w:name="DESCRIPTOR167"/>
      <w:bookmarkStart w:id="452" w:name="DESCRIPTOR168"/>
      <w:bookmarkStart w:id="453" w:name="DESCRIPTOR169"/>
      <w:bookmarkStart w:id="454" w:name="DESCRIPTOR170"/>
      <w:bookmarkStart w:id="455" w:name="DESCRIPTOR171"/>
      <w:bookmarkStart w:id="456" w:name="DESCRIPTOR172"/>
      <w:bookmarkStart w:id="457" w:name="DESCRIPTOR173"/>
      <w:bookmarkStart w:id="458" w:name="DESCRIPTOR174"/>
      <w:bookmarkStart w:id="459" w:name="DESCRIPTOR175"/>
      <w:bookmarkStart w:id="460" w:name="DESCRIPTOR176"/>
      <w:bookmarkStart w:id="461" w:name="DESCRIPTOR177"/>
      <w:bookmarkStart w:id="462" w:name="DESCRIPTOR178"/>
      <w:bookmarkStart w:id="463" w:name="DESCRIPTOR179"/>
      <w:bookmarkStart w:id="464" w:name="DESCRIPTOR180"/>
      <w:bookmarkStart w:id="465" w:name="DESCRIPTOR181"/>
      <w:bookmarkStart w:id="466" w:name="DESCRIPTOR182"/>
      <w:bookmarkStart w:id="467" w:name="DESCRIPTOR183"/>
      <w:bookmarkStart w:id="468" w:name="DESCRIPTOR184"/>
      <w:bookmarkStart w:id="469" w:name="DESCRIPTOR185"/>
      <w:bookmarkStart w:id="470" w:name="DESCRIPTOR186"/>
      <w:bookmarkStart w:id="471" w:name="DESCRIPTOR187"/>
      <w:bookmarkStart w:id="472" w:name="DESCRIPTOR188"/>
      <w:bookmarkStart w:id="473" w:name="DESCRIPTOR189"/>
      <w:bookmarkStart w:id="474" w:name="DESCRIPTOR190"/>
      <w:bookmarkStart w:id="475" w:name="DESCRIPTOR191"/>
      <w:bookmarkStart w:id="476" w:name="DESCRIPTOR192"/>
      <w:bookmarkStart w:id="477" w:name="DESCRIPTOR193"/>
      <w:bookmarkStart w:id="478" w:name="DESCRIPTOR194"/>
      <w:bookmarkStart w:id="479" w:name="DESCRIPTOR195"/>
      <w:bookmarkStart w:id="480" w:name="DESCRIPTOR196"/>
      <w:bookmarkStart w:id="481" w:name="DESCRIPTOR197"/>
      <w:bookmarkStart w:id="482" w:name="DESCRIPTOR198"/>
      <w:bookmarkStart w:id="483" w:name="DESCRIPTOR199"/>
      <w:bookmarkStart w:id="484" w:name="DESCRIPTOR200"/>
      <w:bookmarkStart w:id="485" w:name="DESCRIPTOR201"/>
      <w:bookmarkStart w:id="486" w:name="DESCRIPTOR202"/>
      <w:bookmarkStart w:id="487" w:name="DESCRIPTOR203"/>
      <w:bookmarkStart w:id="488" w:name="DESCRIPTOR204"/>
      <w:bookmarkStart w:id="489" w:name="DESCRIPTOR205"/>
      <w:bookmarkStart w:id="490" w:name="DESCRIPTOR206"/>
      <w:bookmarkStart w:id="491" w:name="DESCRIPTOR207"/>
      <w:bookmarkStart w:id="492" w:name="DESCRIPTOR208"/>
      <w:bookmarkStart w:id="493" w:name="DESCRIPTOR209"/>
      <w:bookmarkStart w:id="494" w:name="DESCRIPTOR210"/>
      <w:bookmarkStart w:id="495" w:name="DESCRIPTOR211"/>
      <w:bookmarkStart w:id="496" w:name="DESCRIPTOR212"/>
      <w:bookmarkStart w:id="497" w:name="DESCRIPTOR213"/>
      <w:bookmarkStart w:id="498" w:name="DESCRIPTOR214"/>
      <w:bookmarkStart w:id="499" w:name="DESCRIPTOR215"/>
      <w:bookmarkStart w:id="500" w:name="DESCRIPTOR216"/>
      <w:bookmarkStart w:id="501" w:name="DESCRIPTOR217"/>
      <w:bookmarkStart w:id="502" w:name="DESCRIPTOR218"/>
      <w:bookmarkStart w:id="503" w:name="DESCRIPTOR219"/>
      <w:bookmarkStart w:id="504" w:name="DESCRIPTOR220"/>
      <w:bookmarkStart w:id="505" w:name="DESCRIPTOR221"/>
      <w:bookmarkStart w:id="506" w:name="DESCRIPTOR222"/>
      <w:bookmarkStart w:id="507" w:name="DESCRIPTOR223"/>
      <w:bookmarkStart w:id="508" w:name="DESCRIPTOR224"/>
      <w:bookmarkStart w:id="509" w:name="DESCRIPTOR225"/>
      <w:bookmarkStart w:id="510" w:name="DESCRIPTOR226"/>
      <w:bookmarkStart w:id="511" w:name="DESCRIPTOR227"/>
      <w:bookmarkStart w:id="512" w:name="DESCRIPTOR228"/>
      <w:bookmarkStart w:id="513" w:name="DESCRIPTOR229"/>
      <w:bookmarkStart w:id="514" w:name="DESCRIPTOR230"/>
      <w:bookmarkStart w:id="515" w:name="DESCRIPTOR231"/>
      <w:bookmarkStart w:id="516" w:name="DESCRIPTOR232"/>
      <w:bookmarkStart w:id="517" w:name="DESCRIPTOR233"/>
      <w:bookmarkStart w:id="518" w:name="DESCRIPTOR234"/>
      <w:bookmarkStart w:id="519" w:name="DESCRIPTOR235"/>
      <w:bookmarkStart w:id="520" w:name="DESCRIPTOR236"/>
      <w:bookmarkStart w:id="521" w:name="DESCRIPTOR237"/>
      <w:bookmarkStart w:id="522" w:name="DESCRIPTOR238"/>
      <w:bookmarkStart w:id="523" w:name="DESCRIPTOR239"/>
      <w:bookmarkStart w:id="524" w:name="DESCRIPTOR240"/>
      <w:bookmarkStart w:id="525" w:name="DESCRIPTOR241"/>
      <w:bookmarkStart w:id="526" w:name="DESCRIPTOR242"/>
      <w:bookmarkStart w:id="527" w:name="DESCRIPTOR243"/>
      <w:bookmarkStart w:id="528" w:name="DESCRIPTOR244"/>
      <w:bookmarkStart w:id="529" w:name="DESCRIPTOR245"/>
      <w:bookmarkStart w:id="530" w:name="DESCRIPTOR246"/>
      <w:bookmarkStart w:id="531" w:name="DESCRIPTOR247"/>
      <w:bookmarkStart w:id="532" w:name="DESCRIPTOR248"/>
      <w:bookmarkStart w:id="533" w:name="DESCRIPTOR249"/>
      <w:bookmarkStart w:id="534" w:name="DESCRIPTOR250"/>
      <w:bookmarkStart w:id="535" w:name="DESCRIPTOR251"/>
      <w:bookmarkStart w:id="536" w:name="DESCRIPTOR252"/>
      <w:bookmarkStart w:id="537" w:name="DESCRIPTOR253"/>
      <w:bookmarkStart w:id="538" w:name="DESCRIPTOR254"/>
      <w:bookmarkStart w:id="539" w:name="DESCRIPTOR255"/>
      <w:bookmarkStart w:id="540" w:name="DESCRIPTOR256"/>
      <w:bookmarkStart w:id="541" w:name="DESCRIPTOR257"/>
      <w:bookmarkStart w:id="542" w:name="DESCRIPTOR258"/>
      <w:bookmarkStart w:id="543" w:name="DESCRIPTOR259"/>
      <w:bookmarkStart w:id="544" w:name="DESCRIPTOR260"/>
      <w:bookmarkStart w:id="545" w:name="DESCRIPTOR261"/>
      <w:bookmarkStart w:id="546" w:name="DESCRIPTOR262"/>
      <w:bookmarkStart w:id="547" w:name="DESCRIPTOR263"/>
      <w:bookmarkStart w:id="548" w:name="DESCRIPTOR264"/>
      <w:bookmarkStart w:id="549" w:name="DESCRIPTOR265"/>
      <w:bookmarkStart w:id="550" w:name="DESCRIPTOR266"/>
      <w:bookmarkStart w:id="551" w:name="DESCRIPTOR267"/>
      <w:bookmarkStart w:id="552" w:name="DESCRIPTOR268"/>
      <w:bookmarkStart w:id="553" w:name="DESCRIPTOR269"/>
      <w:bookmarkStart w:id="554" w:name="DESCRIPTOR270"/>
      <w:bookmarkStart w:id="555" w:name="DESCRIPTOR271"/>
      <w:bookmarkStart w:id="556" w:name="DESCRIPTOR272"/>
      <w:bookmarkStart w:id="557" w:name="DESCRIPTOR273"/>
      <w:bookmarkStart w:id="558" w:name="DESCRIPTOR274"/>
      <w:bookmarkStart w:id="559" w:name="DESCRIPTOR275"/>
      <w:bookmarkStart w:id="560" w:name="DESCRIPTOR276"/>
      <w:bookmarkStart w:id="561" w:name="DESCRIPTOR277"/>
      <w:bookmarkStart w:id="562" w:name="DESCRIPTOR278"/>
      <w:bookmarkStart w:id="563" w:name="DESCRIPTOR279"/>
      <w:bookmarkStart w:id="564" w:name="DESCRIPTOR280"/>
      <w:bookmarkStart w:id="565" w:name="DESCRIPTOR281"/>
      <w:bookmarkStart w:id="566" w:name="DESCRIPTOR282"/>
      <w:bookmarkStart w:id="567" w:name="DESCRIPTOR283"/>
      <w:bookmarkStart w:id="568" w:name="DESCRIPTOR284"/>
      <w:bookmarkStart w:id="569" w:name="DESCRIPTOR285"/>
      <w:bookmarkStart w:id="570" w:name="DESCRIPTOR286"/>
      <w:bookmarkStart w:id="571" w:name="DESCRIPTOR287"/>
      <w:bookmarkStart w:id="572" w:name="DESCRIPTOR288"/>
      <w:bookmarkStart w:id="573" w:name="DESCRIPTOR289"/>
      <w:bookmarkStart w:id="574" w:name="DESCRIPTOR290"/>
      <w:bookmarkStart w:id="575" w:name="DESCRIPTOR291"/>
      <w:bookmarkStart w:id="576" w:name="DESCRIPTOR292"/>
      <w:bookmarkStart w:id="577" w:name="DESCRIPTOR293"/>
      <w:bookmarkStart w:id="578" w:name="DESCRIPTOR294"/>
      <w:bookmarkStart w:id="579" w:name="DESCRIPTOR295"/>
      <w:bookmarkStart w:id="580" w:name="DESCRIPTOR296"/>
      <w:bookmarkStart w:id="581" w:name="DESCRIPTOR297"/>
      <w:bookmarkStart w:id="582" w:name="DESCRIPTOR298"/>
      <w:bookmarkStart w:id="583" w:name="DESCRIPTOR299"/>
      <w:bookmarkStart w:id="584" w:name="DESCRIPTOR300"/>
      <w:bookmarkStart w:id="585" w:name="DESCRIPTOR301"/>
      <w:bookmarkStart w:id="586" w:name="DESCRIPTOR302"/>
      <w:bookmarkStart w:id="587" w:name="DESCRIPTOR303"/>
      <w:bookmarkStart w:id="588" w:name="DESCRIPTOR304"/>
      <w:bookmarkStart w:id="589" w:name="DESCRIPTOR305"/>
      <w:bookmarkStart w:id="590" w:name="DESCRIPTOR306"/>
      <w:bookmarkStart w:id="591" w:name="DESCRIPTOR307"/>
      <w:bookmarkStart w:id="592" w:name="DESCRIPTOR308"/>
      <w:bookmarkStart w:id="593" w:name="DESCRIPTOR309"/>
      <w:bookmarkStart w:id="594" w:name="DESCRIPTOR310"/>
      <w:bookmarkStart w:id="595" w:name="DESCRIPTOR311"/>
      <w:bookmarkStart w:id="596" w:name="DESCRIPTOR312"/>
      <w:bookmarkStart w:id="597" w:name="DESCRIPTOR313"/>
      <w:bookmarkStart w:id="598" w:name="DESCRIPTOR314"/>
      <w:bookmarkStart w:id="599" w:name="DESCRIPTOR315"/>
      <w:bookmarkStart w:id="600" w:name="DESCRIPTOR316"/>
      <w:bookmarkStart w:id="601" w:name="DESCRIPTOR317"/>
      <w:bookmarkStart w:id="602" w:name="DESCRIPTOR318"/>
      <w:bookmarkStart w:id="603" w:name="DESCRIPTOR319"/>
      <w:bookmarkStart w:id="604" w:name="DESCRIPTOR320"/>
      <w:bookmarkStart w:id="605" w:name="DESCRIPTOR321"/>
      <w:bookmarkStart w:id="606" w:name="DESCRIPTOR322"/>
      <w:bookmarkStart w:id="607" w:name="DESCRIPTOR323"/>
      <w:bookmarkStart w:id="608" w:name="DESCRIPTOR324"/>
      <w:bookmarkStart w:id="609" w:name="DESCRIPTOR325"/>
      <w:bookmarkStart w:id="610" w:name="DESCRIPTOR326"/>
      <w:bookmarkStart w:id="611" w:name="DESCRIPTOR327"/>
      <w:bookmarkStart w:id="612" w:name="DESCRIPTOR328"/>
      <w:bookmarkStart w:id="613" w:name="DESCRIPTOR329"/>
      <w:bookmarkStart w:id="614" w:name="DESCRIPTOR330"/>
      <w:bookmarkStart w:id="615" w:name="DESCRIPTOR331"/>
      <w:bookmarkStart w:id="616" w:name="DESCRIPTOR332"/>
      <w:bookmarkStart w:id="617" w:name="DESCRIPTOR333"/>
      <w:bookmarkStart w:id="618" w:name="DESCRIPTOR334"/>
      <w:bookmarkStart w:id="619" w:name="DESCRIPTOR335"/>
      <w:bookmarkStart w:id="620" w:name="DESCRIPTOR336"/>
      <w:bookmarkStart w:id="621" w:name="DESCRIPTOR337"/>
      <w:bookmarkStart w:id="622" w:name="DESCRIPTOR338"/>
      <w:bookmarkStart w:id="623" w:name="DESCRIPTOR339"/>
      <w:bookmarkStart w:id="624" w:name="DESCRIPTOR340"/>
      <w:bookmarkStart w:id="625" w:name="DESCRIPTOR341"/>
      <w:bookmarkStart w:id="626" w:name="DESCRIPTOR342"/>
      <w:bookmarkStart w:id="627" w:name="DESCRIPTOR343"/>
      <w:bookmarkStart w:id="628" w:name="DESCRIPTOR344"/>
      <w:bookmarkStart w:id="629" w:name="DESCRIPTOR345"/>
      <w:bookmarkStart w:id="630" w:name="DESCRIPTOR346"/>
      <w:bookmarkStart w:id="631" w:name="DESCRIPTOR347"/>
      <w:bookmarkStart w:id="632" w:name="DESCRIPTOR348"/>
      <w:bookmarkStart w:id="633" w:name="DESCRIPTOR349"/>
      <w:bookmarkStart w:id="634" w:name="DESCRIPTOR350"/>
      <w:bookmarkStart w:id="635" w:name="DESCRIPTOR351"/>
      <w:bookmarkStart w:id="636" w:name="DESCRIPTOR352"/>
      <w:bookmarkStart w:id="637" w:name="DESCRIPTOR353"/>
      <w:bookmarkStart w:id="638" w:name="DESCRIPTOR354"/>
      <w:bookmarkStart w:id="639" w:name="DESCRIPTOR355"/>
      <w:bookmarkStart w:id="640" w:name="DESCRIPTOR356"/>
      <w:bookmarkStart w:id="641" w:name="DESCRIPTOR357"/>
      <w:bookmarkStart w:id="642" w:name="DESCRIPTOR358"/>
      <w:bookmarkStart w:id="643" w:name="DESCRIPTOR359"/>
      <w:bookmarkStart w:id="644" w:name="DESCRIPTOR360"/>
      <w:bookmarkStart w:id="645" w:name="DESCRIPTOR361"/>
      <w:bookmarkStart w:id="646" w:name="DESCRIPTOR362"/>
      <w:bookmarkStart w:id="647" w:name="DESCRIPTOR363"/>
      <w:bookmarkStart w:id="648" w:name="DESCRIPTOR364"/>
      <w:bookmarkStart w:id="649" w:name="DESCRIPTOR365"/>
      <w:bookmarkStart w:id="650" w:name="DESCRIPTOR366"/>
      <w:bookmarkStart w:id="651" w:name="DESCRIPTOR367"/>
      <w:bookmarkStart w:id="652" w:name="DESCRIPTOR368"/>
      <w:bookmarkStart w:id="653" w:name="DESCRIPTOR369"/>
      <w:bookmarkStart w:id="654" w:name="DESCRIPTOR370"/>
      <w:bookmarkStart w:id="655" w:name="DESCRIPTOR371"/>
      <w:bookmarkStart w:id="656" w:name="DESCRIPTOR372"/>
      <w:bookmarkStart w:id="657" w:name="DESCRIPTOR373"/>
      <w:bookmarkStart w:id="658" w:name="DESCRIPTOR374"/>
      <w:bookmarkStart w:id="659" w:name="DESCRIPTOR375"/>
      <w:bookmarkStart w:id="660" w:name="DESCRIPTOR376"/>
      <w:bookmarkStart w:id="661" w:name="DESCRIPTOR377"/>
      <w:bookmarkStart w:id="662" w:name="DESCRIPTOR378"/>
      <w:bookmarkStart w:id="663" w:name="DESCRIPTOR379"/>
      <w:bookmarkStart w:id="664" w:name="DESCRIPTOR380"/>
      <w:bookmarkStart w:id="665" w:name="DESCRIPTOR381"/>
      <w:bookmarkStart w:id="666" w:name="DESCRIPTOR382"/>
      <w:bookmarkStart w:id="667" w:name="DESCRIPTOR383"/>
      <w:bookmarkStart w:id="668" w:name="DESCRIPTOR384"/>
      <w:bookmarkStart w:id="669" w:name="DESCRIPTOR385"/>
      <w:bookmarkStart w:id="670" w:name="DESCRIPTOR386"/>
      <w:bookmarkStart w:id="671" w:name="DESCRIPTOR387"/>
      <w:bookmarkStart w:id="672" w:name="DESCRIPTOR388"/>
      <w:bookmarkStart w:id="673" w:name="DESCRIPTOR389"/>
      <w:bookmarkStart w:id="674" w:name="DESCRIPTOR390"/>
      <w:bookmarkStart w:id="675" w:name="DESCRIPTOR391"/>
      <w:bookmarkStart w:id="676" w:name="DESCRIPTOR392"/>
      <w:bookmarkStart w:id="677" w:name="DESCRIPTOR393"/>
      <w:bookmarkStart w:id="678" w:name="DESCRIPTOR394"/>
      <w:bookmarkStart w:id="679" w:name="DESCRIPTOR395"/>
      <w:bookmarkStart w:id="680" w:name="DESCRIPTOR396"/>
      <w:bookmarkStart w:id="681" w:name="DESCRIPTOR397"/>
      <w:bookmarkStart w:id="682" w:name="DESCRIPTOR398"/>
      <w:bookmarkStart w:id="683" w:name="DESCRIPTOR399"/>
      <w:bookmarkStart w:id="684" w:name="DESCRIPTOR400"/>
      <w:bookmarkStart w:id="685" w:name="DESCRIPTOR401"/>
      <w:bookmarkStart w:id="686" w:name="DESCRIPTOR402"/>
      <w:bookmarkStart w:id="687" w:name="DESCRIPTOR403"/>
      <w:bookmarkStart w:id="688" w:name="DESCRIPTOR404"/>
      <w:bookmarkStart w:id="689" w:name="DESCRIPTOR405"/>
      <w:bookmarkStart w:id="690" w:name="DESCRIPTOR406"/>
      <w:bookmarkStart w:id="691" w:name="DESCRIPTOR407"/>
      <w:bookmarkStart w:id="692" w:name="DESCRIPTOR408"/>
      <w:bookmarkStart w:id="693" w:name="DESCRIPTOR409"/>
      <w:bookmarkStart w:id="694" w:name="DESCRIPTOR410"/>
      <w:bookmarkStart w:id="695" w:name="DESCRIPTOR411"/>
      <w:bookmarkStart w:id="696" w:name="DESCRIPTOR412"/>
      <w:bookmarkStart w:id="697" w:name="DESCRIPTOR413"/>
      <w:bookmarkStart w:id="698" w:name="DESCRIPTOR414"/>
      <w:bookmarkStart w:id="699" w:name="DESCRIPTOR415"/>
      <w:bookmarkStart w:id="700" w:name="DESCRIPTOR416"/>
      <w:bookmarkStart w:id="701" w:name="DESCRIPTOR417"/>
      <w:bookmarkStart w:id="702" w:name="DESCRIPTOR418"/>
      <w:bookmarkStart w:id="703" w:name="DESCRIPTOR419"/>
      <w:bookmarkStart w:id="704" w:name="DESCRIPTOR420"/>
      <w:bookmarkStart w:id="705" w:name="DESCRIPTOR421"/>
      <w:bookmarkStart w:id="706" w:name="DESCRIPTOR422"/>
      <w:bookmarkStart w:id="707" w:name="DESCRIPTOR423"/>
      <w:bookmarkStart w:id="708" w:name="DESCRIPTOR424"/>
      <w:bookmarkStart w:id="709" w:name="DESCRIPTOR425"/>
      <w:bookmarkStart w:id="710" w:name="DESCRIPTOR426"/>
      <w:bookmarkStart w:id="711" w:name="DESCRIPTOR427"/>
      <w:bookmarkStart w:id="712" w:name="DESCRIPTOR428"/>
      <w:bookmarkStart w:id="713" w:name="DESCRIPTOR429"/>
      <w:bookmarkStart w:id="714" w:name="DESCRIPTOR430"/>
      <w:bookmarkStart w:id="715" w:name="DESCRIPTOR431"/>
      <w:bookmarkStart w:id="716" w:name="DESCRIPTOR432"/>
      <w:bookmarkStart w:id="717" w:name="DESCRIPTOR433"/>
      <w:bookmarkStart w:id="718" w:name="DESCRIPTOR434"/>
      <w:bookmarkStart w:id="719" w:name="DESCRIPTOR435"/>
      <w:bookmarkStart w:id="720" w:name="DESCRIPTOR436"/>
      <w:bookmarkStart w:id="721" w:name="DESCRIPTOR437"/>
      <w:bookmarkStart w:id="722" w:name="DESCRIPTOR438"/>
      <w:bookmarkStart w:id="723" w:name="DESCRIPTOR439"/>
      <w:bookmarkStart w:id="724" w:name="DESCRIPTOR440"/>
      <w:bookmarkStart w:id="725" w:name="DESCRIPTOR441"/>
      <w:bookmarkStart w:id="726" w:name="DESCRIPTOR442"/>
      <w:bookmarkStart w:id="727" w:name="DESCRIPTOR443"/>
      <w:bookmarkStart w:id="728" w:name="DESCRIPTOR444"/>
      <w:bookmarkStart w:id="729" w:name="DESCRIPTOR445"/>
      <w:bookmarkStart w:id="730" w:name="DESCRIPTOR446"/>
      <w:bookmarkStart w:id="731" w:name="DESCRIPTOR447"/>
      <w:bookmarkStart w:id="732" w:name="DESCRIPTOR448"/>
      <w:bookmarkStart w:id="733" w:name="DESCRIPTOR449"/>
      <w:bookmarkStart w:id="734" w:name="DESCRIPTOR450"/>
      <w:bookmarkStart w:id="735" w:name="DESCRIPTOR451"/>
      <w:bookmarkStart w:id="736" w:name="DESCRIPTOR452"/>
      <w:bookmarkStart w:id="737" w:name="DESCRIPTOR453"/>
      <w:bookmarkStart w:id="738" w:name="DESCRIPTOR454"/>
      <w:bookmarkStart w:id="739" w:name="DESCRIPTOR455"/>
      <w:bookmarkStart w:id="740" w:name="DESCRIPTOR456"/>
      <w:bookmarkStart w:id="741" w:name="DESCRIPTOR457"/>
      <w:bookmarkStart w:id="742" w:name="DESCRIPTOR458"/>
      <w:bookmarkStart w:id="743" w:name="DESCRIPTOR459"/>
      <w:bookmarkStart w:id="744" w:name="DESCRIPTOR460"/>
      <w:bookmarkStart w:id="745" w:name="DESCRIPTOR461"/>
      <w:bookmarkStart w:id="746" w:name="DESCRIPTOR462"/>
      <w:bookmarkStart w:id="747" w:name="DESCRIPTOR463"/>
      <w:bookmarkStart w:id="748" w:name="DESCRIPTOR464"/>
      <w:bookmarkStart w:id="749" w:name="DESCRIPTOR465"/>
      <w:bookmarkStart w:id="750" w:name="DESCRIPTOR466"/>
      <w:bookmarkStart w:id="751" w:name="DESCRIPTOR467"/>
      <w:bookmarkStart w:id="752" w:name="DESCRIPTOR468"/>
      <w:bookmarkStart w:id="753" w:name="DESCRIPTOR469"/>
      <w:bookmarkStart w:id="754" w:name="DESCRIPTOR470"/>
      <w:bookmarkStart w:id="755" w:name="DESCRIPTOR471"/>
      <w:bookmarkStart w:id="756" w:name="DESCRIPTOR472"/>
      <w:bookmarkStart w:id="757" w:name="DESCRIPTOR473"/>
      <w:bookmarkStart w:id="758" w:name="DESCRIPTOR474"/>
      <w:bookmarkStart w:id="759" w:name="DESCRIPTOR475"/>
      <w:bookmarkStart w:id="760" w:name="DESCRIPTOR476"/>
      <w:bookmarkStart w:id="761" w:name="DESCRIPTOR477"/>
      <w:bookmarkStart w:id="762" w:name="DESCRIPTOR478"/>
      <w:bookmarkStart w:id="763" w:name="DESCRIPTOR479"/>
      <w:bookmarkStart w:id="764" w:name="DESCRIPTOR480"/>
      <w:bookmarkStart w:id="765" w:name="DESCRIPTOR481"/>
      <w:bookmarkStart w:id="766" w:name="DESCRIPTOR482"/>
      <w:bookmarkStart w:id="767" w:name="DESCRIPTOR483"/>
      <w:bookmarkStart w:id="768" w:name="DESCRIPTOR484"/>
      <w:bookmarkStart w:id="769" w:name="DESCRIPTOR485"/>
      <w:bookmarkStart w:id="770" w:name="DESCRIPTOR486"/>
      <w:bookmarkStart w:id="771" w:name="DESCRIPTOR487"/>
      <w:bookmarkStart w:id="772" w:name="DESCRIPTOR488"/>
      <w:bookmarkStart w:id="773" w:name="DESCRIPTOR489"/>
      <w:bookmarkStart w:id="774" w:name="DESCRIPTOR490"/>
      <w:bookmarkStart w:id="775" w:name="DESCRIPTOR491"/>
      <w:bookmarkStart w:id="776" w:name="DESCRIPTOR492"/>
      <w:bookmarkStart w:id="777" w:name="DESCRIPTOR493"/>
      <w:bookmarkStart w:id="778" w:name="DESCRIPTOR494"/>
      <w:bookmarkStart w:id="779" w:name="DESCRIPTOR495"/>
      <w:bookmarkStart w:id="780" w:name="DESCRIPTOR496"/>
      <w:bookmarkStart w:id="781" w:name="DESCRIPTOR497"/>
      <w:bookmarkStart w:id="782" w:name="DESCRIPTOR498"/>
      <w:bookmarkStart w:id="783" w:name="DESCRIPTOR499"/>
      <w:bookmarkStart w:id="784" w:name="DESCRIPTOR500"/>
      <w:bookmarkStart w:id="785" w:name="DESCRIPTOR501"/>
      <w:bookmarkStart w:id="786" w:name="DESCRIPTOR502"/>
      <w:bookmarkStart w:id="787" w:name="DESCRIPTOR503"/>
      <w:bookmarkStart w:id="788" w:name="DESCRIPTOR504"/>
      <w:bookmarkStart w:id="789" w:name="DESCRIPTOR505"/>
      <w:bookmarkStart w:id="790" w:name="DESCRIPTOR506"/>
      <w:bookmarkStart w:id="791" w:name="DESCRIPTOR507"/>
      <w:bookmarkStart w:id="792" w:name="DESCRIPTOR508"/>
      <w:bookmarkStart w:id="793" w:name="DESCRIPTOR509"/>
      <w:bookmarkStart w:id="794" w:name="DESCRIPTOR510"/>
      <w:bookmarkStart w:id="795" w:name="DESCRIPTOR511"/>
      <w:bookmarkStart w:id="796" w:name="DESCRIPTOR512"/>
      <w:bookmarkStart w:id="797" w:name="DESCRIPTOR513"/>
      <w:bookmarkStart w:id="798" w:name="DESCRIPTOR514"/>
      <w:bookmarkStart w:id="799" w:name="DESCRIPTOR515"/>
      <w:bookmarkStart w:id="800" w:name="DESCRIPTOR516"/>
      <w:bookmarkStart w:id="801" w:name="DESCRIPTOR517"/>
      <w:bookmarkStart w:id="802" w:name="DESCRIPTOR518"/>
      <w:bookmarkStart w:id="803" w:name="DESCRIPTOR519"/>
      <w:bookmarkStart w:id="804" w:name="DESCRIPTOR520"/>
      <w:bookmarkStart w:id="805" w:name="DESCRIPTOR521"/>
      <w:bookmarkStart w:id="806" w:name="DESCRIPTOR522"/>
      <w:bookmarkStart w:id="807" w:name="DESCRIPTOR523"/>
      <w:bookmarkStart w:id="808" w:name="DESCRIPTOR524"/>
      <w:bookmarkStart w:id="809" w:name="DESCRIPTOR525"/>
      <w:bookmarkStart w:id="810" w:name="DESCRIPTOR526"/>
      <w:bookmarkStart w:id="811" w:name="DESCRIPTOR527"/>
      <w:bookmarkStart w:id="812" w:name="DESCRIPTOR528"/>
      <w:bookmarkStart w:id="813" w:name="DESCRIPTOR529"/>
      <w:bookmarkStart w:id="814" w:name="DESCRIPTOR530"/>
      <w:bookmarkStart w:id="815" w:name="DESCRIPTOR531"/>
      <w:bookmarkStart w:id="816" w:name="DESCRIPTOR532"/>
      <w:bookmarkStart w:id="817" w:name="DESCRIPTOR533"/>
      <w:bookmarkStart w:id="818" w:name="DESCRIPTOR534"/>
      <w:bookmarkStart w:id="819" w:name="DESCRIPTOR535"/>
      <w:bookmarkStart w:id="820" w:name="DESCRIPTOR536"/>
      <w:bookmarkStart w:id="821" w:name="DESCRIPTOR537"/>
      <w:bookmarkStart w:id="822" w:name="DESCRIPTOR538"/>
      <w:bookmarkStart w:id="823" w:name="DESCRIPTOR539"/>
      <w:bookmarkStart w:id="824" w:name="DESCRIPTOR540"/>
      <w:bookmarkStart w:id="825" w:name="DESCRIPTOR541"/>
      <w:bookmarkStart w:id="826" w:name="DESCRIPTOR542"/>
      <w:bookmarkStart w:id="827" w:name="DESCRIPTOR543"/>
      <w:bookmarkStart w:id="828" w:name="DESCRIPTOR544"/>
      <w:bookmarkStart w:id="829" w:name="DESCRIPTOR545"/>
      <w:bookmarkStart w:id="830" w:name="DESCRIPTOR546"/>
      <w:bookmarkStart w:id="831" w:name="DESCRIPTOR547"/>
      <w:bookmarkStart w:id="832" w:name="DESCRIPTOR548"/>
      <w:bookmarkStart w:id="833" w:name="DESCRIPTOR549"/>
      <w:bookmarkStart w:id="834" w:name="DESCRIPTOR550"/>
      <w:bookmarkStart w:id="835" w:name="DESCRIPTOR551"/>
      <w:bookmarkStart w:id="836" w:name="DESCRIPTOR552"/>
      <w:bookmarkStart w:id="837" w:name="DESCRIPTOR553"/>
      <w:bookmarkStart w:id="838" w:name="DESCRIPTOR554"/>
      <w:bookmarkStart w:id="839" w:name="DESCRIPTOR555"/>
      <w:bookmarkStart w:id="840" w:name="DESCRIPTOR556"/>
      <w:bookmarkStart w:id="841" w:name="DESCRIPTOR557"/>
      <w:bookmarkStart w:id="842" w:name="DESCRIPTOR558"/>
      <w:bookmarkStart w:id="843" w:name="DESCRIPTOR559"/>
      <w:bookmarkStart w:id="844" w:name="DESCRIPTOR560"/>
      <w:bookmarkStart w:id="845" w:name="DESCRIPTOR561"/>
      <w:bookmarkStart w:id="846" w:name="DESCRIPTOR562"/>
      <w:bookmarkStart w:id="847" w:name="DESCRIPTOR563"/>
      <w:bookmarkStart w:id="848" w:name="DESCRIPTOR564"/>
      <w:bookmarkStart w:id="849" w:name="DESCRIPTOR565"/>
      <w:bookmarkStart w:id="850" w:name="DESCRIPTOR566"/>
      <w:bookmarkStart w:id="851" w:name="DESCRIPTOR567"/>
      <w:bookmarkStart w:id="852" w:name="DESCRIPTOR568"/>
      <w:bookmarkStart w:id="853" w:name="DESCRIPTOR569"/>
      <w:bookmarkStart w:id="854" w:name="DESCRIPTOR570"/>
      <w:bookmarkStart w:id="855" w:name="DESCRIPTOR571"/>
      <w:bookmarkStart w:id="856" w:name="DESCRIPTOR572"/>
      <w:bookmarkStart w:id="857" w:name="DESCRIPTOR573"/>
      <w:bookmarkStart w:id="858" w:name="DESCRIPTOR574"/>
      <w:bookmarkStart w:id="859" w:name="DESCRIPTOR575"/>
      <w:bookmarkStart w:id="860" w:name="DESCRIPTOR576"/>
      <w:bookmarkStart w:id="861" w:name="DESCRIPTOR577"/>
      <w:bookmarkStart w:id="862" w:name="DESCRIPTOR578"/>
      <w:bookmarkStart w:id="863" w:name="DESCRIPTOR579"/>
      <w:bookmarkStart w:id="864" w:name="DESCRIPTOR580"/>
      <w:bookmarkStart w:id="865" w:name="DESCRIPTOR581"/>
      <w:bookmarkStart w:id="866" w:name="DESCRIPTOR582"/>
      <w:bookmarkStart w:id="867" w:name="DESCRIPTOR583"/>
      <w:bookmarkStart w:id="868" w:name="DESCRIPTOR584"/>
      <w:bookmarkStart w:id="869" w:name="DESCRIPTOR585"/>
      <w:bookmarkStart w:id="870" w:name="DESCRIPTOR586"/>
      <w:bookmarkStart w:id="871" w:name="DESCRIPTOR587"/>
      <w:bookmarkStart w:id="872" w:name="DESCRIPTOR588"/>
      <w:bookmarkStart w:id="873" w:name="DESCRIPTOR589"/>
      <w:bookmarkStart w:id="874" w:name="DESCRIPTOR590"/>
      <w:bookmarkStart w:id="875" w:name="DESCRIPTOR591"/>
      <w:bookmarkStart w:id="876" w:name="DESCRIPTOR592"/>
      <w:bookmarkStart w:id="877" w:name="DESCRIPTOR593"/>
      <w:bookmarkStart w:id="878" w:name="DESCRIPTOR594"/>
      <w:bookmarkStart w:id="879" w:name="DESCRIPTOR595"/>
      <w:bookmarkStart w:id="880" w:name="DESCRIPTOR596"/>
      <w:bookmarkStart w:id="881" w:name="DESCRIPTOR597"/>
      <w:bookmarkStart w:id="882" w:name="DESCRIPTOR598"/>
      <w:bookmarkStart w:id="883" w:name="DESCRIPTOR599"/>
      <w:bookmarkStart w:id="884" w:name="DESCRIPTOR600"/>
      <w:bookmarkStart w:id="885" w:name="DESCRIPTOR601"/>
      <w:bookmarkStart w:id="886" w:name="DESCRIPTOR602"/>
      <w:bookmarkStart w:id="887" w:name="DESCRIPTOR603"/>
      <w:bookmarkStart w:id="888" w:name="DESCRIPTOR604"/>
      <w:bookmarkStart w:id="889" w:name="DESCRIPTOR605"/>
      <w:bookmarkStart w:id="890" w:name="DESCRIPTOR606"/>
      <w:bookmarkStart w:id="891" w:name="DESCRIPTOR607"/>
      <w:bookmarkStart w:id="892" w:name="DESCRIPTOR608"/>
      <w:bookmarkStart w:id="893" w:name="DESCRIPTOR609"/>
      <w:bookmarkStart w:id="894" w:name="DESCRIPTOR610"/>
      <w:bookmarkStart w:id="895" w:name="DESCRIPTOR611"/>
      <w:bookmarkStart w:id="896" w:name="DESCRIPTOR612"/>
      <w:bookmarkStart w:id="897" w:name="DESCRIPTOR613"/>
      <w:bookmarkStart w:id="898" w:name="DESCRIPTOR614"/>
      <w:bookmarkStart w:id="899" w:name="DESCRIPTOR615"/>
      <w:bookmarkStart w:id="900" w:name="DESCRIPTOR616"/>
      <w:bookmarkStart w:id="901" w:name="DESCRIPTOR617"/>
      <w:bookmarkStart w:id="902" w:name="DESCRIPTOR618"/>
      <w:bookmarkStart w:id="903" w:name="DESCRIPTOR619"/>
      <w:bookmarkStart w:id="904" w:name="DESCRIPTOR620"/>
      <w:bookmarkStart w:id="905" w:name="DESCRIPTOR621"/>
      <w:bookmarkStart w:id="906" w:name="DESCRIPTOR622"/>
      <w:bookmarkStart w:id="907" w:name="DESCRIPTOR623"/>
      <w:bookmarkStart w:id="908" w:name="DESCRIPTOR624"/>
      <w:bookmarkStart w:id="909" w:name="DESCRIPTOR625"/>
      <w:bookmarkStart w:id="910" w:name="DESCRIPTOR626"/>
      <w:bookmarkStart w:id="911" w:name="DESCRIPTOR627"/>
      <w:bookmarkStart w:id="912" w:name="DESCRIPTOR628"/>
      <w:bookmarkStart w:id="913" w:name="DESCRIPTOR629"/>
      <w:bookmarkStart w:id="914" w:name="DESCRIPTOR630"/>
      <w:bookmarkStart w:id="915" w:name="DESCRIPTOR631"/>
      <w:bookmarkStart w:id="916" w:name="DESCRIPTOR632"/>
      <w:bookmarkStart w:id="917" w:name="DESCRIPTOR633"/>
      <w:bookmarkStart w:id="918" w:name="DESCRIPTOR634"/>
      <w:bookmarkStart w:id="919" w:name="DESCRIPTOR635"/>
      <w:bookmarkStart w:id="920" w:name="DESCRIPTOR636"/>
      <w:bookmarkStart w:id="921" w:name="DESCRIPTOR637"/>
      <w:bookmarkStart w:id="922" w:name="DESCRIPTOR638"/>
      <w:bookmarkStart w:id="923" w:name="DESCRIPTOR639"/>
      <w:bookmarkStart w:id="924" w:name="DESCRIPTOR640"/>
      <w:bookmarkStart w:id="925" w:name="DESCRIPTOR641"/>
      <w:bookmarkStart w:id="926" w:name="DESCRIPTOR642"/>
      <w:bookmarkStart w:id="927" w:name="DESCRIPTOR643"/>
      <w:bookmarkStart w:id="928" w:name="DESCRIPTOR644"/>
      <w:bookmarkStart w:id="929" w:name="DESCRIPTOR645"/>
      <w:bookmarkStart w:id="930" w:name="DESCRIPTOR646"/>
      <w:bookmarkStart w:id="931" w:name="DESCRIPTOR647"/>
      <w:bookmarkStart w:id="932" w:name="DESCRIPTOR648"/>
      <w:bookmarkStart w:id="933" w:name="DESCRIPTOR649"/>
      <w:bookmarkStart w:id="934" w:name="DESCRIPTOR650"/>
      <w:bookmarkStart w:id="935" w:name="DESCRIPTOR651"/>
      <w:bookmarkStart w:id="936" w:name="DESCRIPTOR652"/>
      <w:bookmarkStart w:id="937" w:name="DESCRIPTOR653"/>
      <w:bookmarkStart w:id="938" w:name="DESCRIPTOR654"/>
      <w:bookmarkStart w:id="939" w:name="DESCRIPTOR655"/>
      <w:bookmarkStart w:id="940" w:name="DESCRIPTOR656"/>
      <w:bookmarkStart w:id="941" w:name="DESCRIPTOR657"/>
      <w:bookmarkStart w:id="942" w:name="DESCRIPTOR658"/>
      <w:bookmarkStart w:id="943" w:name="DESCRIPTOR659"/>
      <w:bookmarkStart w:id="944" w:name="DESCRIPTOR660"/>
      <w:bookmarkStart w:id="945" w:name="DESCRIPTOR661"/>
      <w:bookmarkStart w:id="946" w:name="DESCRIPTOR662"/>
      <w:bookmarkStart w:id="947" w:name="DESCRIPTOR663"/>
      <w:bookmarkStart w:id="948" w:name="DESCRIPTOR664"/>
      <w:bookmarkStart w:id="949" w:name="DESCRIPTOR665"/>
      <w:bookmarkStart w:id="950" w:name="DESCRIPTOR666"/>
      <w:bookmarkStart w:id="951" w:name="DESCRIPTOR667"/>
      <w:bookmarkStart w:id="952" w:name="DESCRIPTOR668"/>
      <w:bookmarkStart w:id="953" w:name="DESCRIPTOR669"/>
      <w:bookmarkStart w:id="954" w:name="DESCRIPTOR670"/>
      <w:bookmarkStart w:id="955" w:name="DESCRIPTOR671"/>
      <w:bookmarkStart w:id="956" w:name="DESCRIPTOR672"/>
      <w:bookmarkStart w:id="957" w:name="DESCRIPTOR673"/>
      <w:bookmarkStart w:id="958" w:name="DESCRIPTOR674"/>
      <w:bookmarkStart w:id="959" w:name="DESCRIPTOR675"/>
      <w:bookmarkStart w:id="960" w:name="DESCRIPTOR676"/>
      <w:bookmarkStart w:id="961" w:name="DESCRIPTOR677"/>
      <w:bookmarkStart w:id="962" w:name="DESCRIPTOR678"/>
      <w:bookmarkStart w:id="963" w:name="DESCRIPTOR679"/>
      <w:bookmarkStart w:id="964" w:name="DESCRIPTOR680"/>
      <w:bookmarkStart w:id="965" w:name="DESCRIPTOR681"/>
      <w:bookmarkStart w:id="966" w:name="DESCRIPTOR682"/>
      <w:bookmarkStart w:id="967" w:name="DESCRIPTOR683"/>
      <w:bookmarkStart w:id="968" w:name="DESCRIPTOR684"/>
      <w:bookmarkStart w:id="969" w:name="DESCRIPTOR685"/>
      <w:bookmarkStart w:id="970" w:name="DESCRIPTOR686"/>
      <w:bookmarkStart w:id="971" w:name="DESCRIPTOR687"/>
      <w:bookmarkStart w:id="972" w:name="DESCRIPTOR688"/>
      <w:bookmarkStart w:id="973" w:name="DESCRIPTOR689"/>
      <w:bookmarkStart w:id="974" w:name="DESCRIPTOR690"/>
      <w:bookmarkStart w:id="975" w:name="DESCRIPTOR691"/>
      <w:bookmarkStart w:id="976" w:name="DESCRIPTOR692"/>
      <w:bookmarkStart w:id="977" w:name="DESCRIPTOR693"/>
      <w:bookmarkStart w:id="978" w:name="DESCRIPTOR694"/>
      <w:bookmarkStart w:id="979" w:name="DESCRIPTOR695"/>
      <w:bookmarkStart w:id="980" w:name="DESCRIPTOR696"/>
      <w:bookmarkStart w:id="981" w:name="DESCRIPTOR697"/>
      <w:bookmarkStart w:id="982" w:name="DESCRIPTOR698"/>
      <w:bookmarkStart w:id="983" w:name="DESCRIPTOR699"/>
      <w:bookmarkStart w:id="984" w:name="DESCRIPTOR700"/>
      <w:bookmarkStart w:id="985" w:name="DESCRIPTOR701"/>
      <w:bookmarkStart w:id="986" w:name="DESCRIPTOR702"/>
      <w:bookmarkStart w:id="987" w:name="DESCRIPTOR703"/>
      <w:bookmarkStart w:id="988" w:name="DESCRIPTOR704"/>
      <w:bookmarkStart w:id="989" w:name="DESCRIPTOR705"/>
      <w:bookmarkStart w:id="990" w:name="DESCRIPTOR706"/>
      <w:bookmarkStart w:id="991" w:name="DESCRIPTOR707"/>
      <w:bookmarkStart w:id="992" w:name="DESCRIPTOR708"/>
      <w:bookmarkStart w:id="993" w:name="DESCRIPTOR709"/>
      <w:bookmarkStart w:id="994" w:name="DESCRIPTOR710"/>
      <w:bookmarkStart w:id="995" w:name="DESCRIPTOR711"/>
      <w:bookmarkStart w:id="996" w:name="DESCRIPTOR712"/>
      <w:bookmarkStart w:id="997" w:name="DESCRIPTOR713"/>
      <w:bookmarkStart w:id="998" w:name="DESCRIPTOR714"/>
      <w:bookmarkStart w:id="999" w:name="DESCRIPTOR715"/>
      <w:bookmarkStart w:id="1000" w:name="DESCRIPTOR716"/>
      <w:bookmarkStart w:id="1001" w:name="DESCRIPTOR717"/>
      <w:bookmarkStart w:id="1002" w:name="DESCRIPTOR718"/>
      <w:bookmarkStart w:id="1003" w:name="DESCRIPTOR719"/>
      <w:bookmarkStart w:id="1004" w:name="DESCRIPTOR720"/>
      <w:bookmarkStart w:id="1005" w:name="DESCRIPTOR721"/>
      <w:bookmarkStart w:id="1006" w:name="DESCRIPTOR722"/>
      <w:bookmarkStart w:id="1007" w:name="DESCRIPTOR723"/>
      <w:bookmarkStart w:id="1008" w:name="DESCRIPTOR724"/>
      <w:bookmarkStart w:id="1009" w:name="DESCRIPTOR725"/>
      <w:bookmarkStart w:id="1010" w:name="DESCRIPTOR726"/>
      <w:bookmarkStart w:id="1011" w:name="DESCRIPTOR727"/>
      <w:bookmarkStart w:id="1012" w:name="DESCRIPTOR728"/>
      <w:bookmarkStart w:id="1013" w:name="DESCRIPTOR729"/>
      <w:bookmarkStart w:id="1014" w:name="DESCRIPTOR730"/>
      <w:bookmarkStart w:id="1015" w:name="DESCRIPTOR731"/>
      <w:bookmarkStart w:id="1016" w:name="DESCRIPTOR732"/>
      <w:bookmarkStart w:id="1017" w:name="DESCRIPTOR733"/>
      <w:bookmarkStart w:id="1018" w:name="DESCRIPTOR734"/>
      <w:bookmarkStart w:id="1019" w:name="DESCRIPTOR735"/>
      <w:bookmarkStart w:id="1020" w:name="DESCRIPTOR736"/>
      <w:bookmarkStart w:id="1021" w:name="DESCRIPTOR737"/>
      <w:bookmarkStart w:id="1022" w:name="DESCRIPTOR738"/>
      <w:bookmarkStart w:id="1023" w:name="DESCRIPTOR739"/>
      <w:bookmarkStart w:id="1024" w:name="DESCRIPTOR740"/>
      <w:bookmarkStart w:id="1025" w:name="DESCRIPTOR741"/>
      <w:bookmarkStart w:id="1026" w:name="DESCRIPTOR742"/>
      <w:bookmarkStart w:id="1027" w:name="DESCRIPTOR743"/>
      <w:bookmarkStart w:id="1028" w:name="INDICE5ALFABETICO"/>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rsidR="00BB71B4" w:rsidRDefault="00BB71B4" w:rsidP="00BB71B4">
      <w:pPr>
        <w:pStyle w:val="TextoNormal"/>
      </w:pPr>
    </w:p>
    <w:p w:rsidR="00BB71B4" w:rsidRDefault="00BB71B4" w:rsidP="00BB71B4">
      <w:pPr>
        <w:pStyle w:val="TextoNormal"/>
      </w:pPr>
    </w:p>
    <w:p w:rsidR="00BB71B4" w:rsidRDefault="00BB71B4" w:rsidP="00BB71B4">
      <w:pPr>
        <w:pStyle w:val="TextoNormal"/>
      </w:pPr>
    </w:p>
    <w:p w:rsidR="00BB71B4" w:rsidRDefault="00BB71B4" w:rsidP="00BB71B4">
      <w:pPr>
        <w:pStyle w:val="Ttulondice"/>
      </w:pPr>
      <w:r>
        <w:t>7. ÍNDICE ANALÍTICO</w:t>
      </w:r>
    </w:p>
    <w:p w:rsidR="00BB71B4" w:rsidRDefault="00BB71B4" w:rsidP="00BB71B4">
      <w:pPr>
        <w:pStyle w:val="TextoNormal"/>
      </w:pPr>
    </w:p>
    <w:p w:rsidR="00BB71B4" w:rsidRDefault="00BB71B4" w:rsidP="00BB71B4">
      <w:pPr>
        <w:pStyle w:val="Ttulondice"/>
      </w:pPr>
    </w:p>
    <w:p w:rsidR="00BB71B4" w:rsidRDefault="00BB71B4" w:rsidP="00BB71B4">
      <w:pPr>
        <w:pStyle w:val="Ttulondice"/>
      </w:pPr>
    </w:p>
    <w:p w:rsidR="00BB71B4" w:rsidRDefault="00BB71B4" w:rsidP="00BB71B4">
      <w:pPr>
        <w:pStyle w:val="Ttulondice"/>
      </w:pPr>
    </w:p>
    <w:p w:rsidR="00BB71B4" w:rsidRDefault="00BB71B4" w:rsidP="00BB71B4">
      <w:pPr>
        <w:pStyle w:val="Ttulondice"/>
      </w:pPr>
    </w:p>
    <w:p w:rsidR="00BB71B4" w:rsidRDefault="00BB71B4" w:rsidP="00BB71B4">
      <w:pPr>
        <w:pStyle w:val="Ttulondice"/>
      </w:pPr>
    </w:p>
    <w:p w:rsidR="00BB71B4" w:rsidRDefault="00BB71B4" w:rsidP="00BB71B4">
      <w:pPr>
        <w:pStyle w:val="Ttulondice"/>
      </w:pPr>
    </w:p>
    <w:p w:rsidR="00BB71B4" w:rsidRDefault="00BB71B4" w:rsidP="00BB71B4">
      <w:pPr>
        <w:pStyle w:val="Ttulondice"/>
      </w:pPr>
    </w:p>
    <w:p w:rsidR="00BB71B4" w:rsidRDefault="00BB71B4" w:rsidP="00BB71B4">
      <w:pPr>
        <w:pStyle w:val="TextoNormalNegritaCentrado"/>
      </w:pPr>
      <w:r>
        <w:t>A</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029" w:name="DESCRIPTORALFABETICO436"/>
      <w:r w:rsidRPr="00BB71B4">
        <w:rPr>
          <w:rStyle w:val="TextoNormalNegritaCaracter"/>
        </w:rPr>
        <w:t>Abastecimiento de agua</w:t>
      </w:r>
      <w:bookmarkEnd w:id="1029"/>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3 a 5, 7, 9 ,10.</w:t>
      </w:r>
    </w:p>
    <w:p w:rsidR="00BB71B4" w:rsidRPr="00BB71B4" w:rsidRDefault="00BB71B4" w:rsidP="00BB71B4">
      <w:pPr>
        <w:pStyle w:val="TextoNormalSangraFrancesa"/>
        <w:rPr>
          <w:rStyle w:val="TextoNormalCaracter"/>
        </w:rPr>
      </w:pPr>
      <w:bookmarkStart w:id="1030" w:name="DESCRIPTORALFABETICO493"/>
      <w:r w:rsidRPr="00BB71B4">
        <w:rPr>
          <w:rStyle w:val="TextoNormalNegritaCaracter"/>
        </w:rPr>
        <w:t>Aborto</w:t>
      </w:r>
      <w:bookmarkEnd w:id="1030"/>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 4, 5, VP I.</w:t>
      </w:r>
    </w:p>
    <w:p w:rsidR="00BB71B4" w:rsidRPr="00BB71B4" w:rsidRDefault="00BB71B4" w:rsidP="00BB71B4">
      <w:pPr>
        <w:pStyle w:val="TextoNormalSangraFrancesa"/>
        <w:rPr>
          <w:rStyle w:val="TextoNormalCaracter"/>
        </w:rPr>
      </w:pPr>
      <w:bookmarkStart w:id="1031" w:name="DESCRIPTORALFABETICO239"/>
      <w:r w:rsidRPr="00BB71B4">
        <w:rPr>
          <w:rStyle w:val="TextoNormalNegritaCaracter"/>
        </w:rPr>
        <w:t>Abstención de magistrados del Tribunal Constitucional</w:t>
      </w:r>
      <w:bookmarkEnd w:id="1031"/>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Acepta, </w:t>
      </w:r>
      <w:r w:rsidRPr="00BB71B4">
        <w:rPr>
          <w:rStyle w:val="TextoNormalCaracter"/>
        </w:rPr>
        <w:t xml:space="preserve">Autos </w:t>
      </w:r>
      <w:hyperlink w:anchor="AUTO_2015_2" w:history="1">
        <w:r w:rsidRPr="00BB71B4">
          <w:rPr>
            <w:rStyle w:val="TextoNormalCaracter"/>
          </w:rPr>
          <w:t>2/2015</w:t>
        </w:r>
      </w:hyperlink>
      <w:r w:rsidRPr="00BB71B4">
        <w:rPr>
          <w:rStyle w:val="TextoNormalCaracter"/>
        </w:rPr>
        <w:t xml:space="preserve">, f. único; </w:t>
      </w:r>
      <w:hyperlink w:anchor="AUTO_2015_4" w:history="1">
        <w:r w:rsidRPr="00BB71B4">
          <w:rPr>
            <w:rStyle w:val="TextoNormalCaracter"/>
          </w:rPr>
          <w:t>4/2015</w:t>
        </w:r>
      </w:hyperlink>
      <w:r w:rsidRPr="00BB71B4">
        <w:rPr>
          <w:rStyle w:val="TextoNormalCaracter"/>
        </w:rPr>
        <w:t xml:space="preserve">, f. único; </w:t>
      </w:r>
      <w:hyperlink w:anchor="AUTO_2015_5" w:history="1">
        <w:r w:rsidRPr="00BB71B4">
          <w:rPr>
            <w:rStyle w:val="TextoNormalCaracter"/>
          </w:rPr>
          <w:t>5/2015</w:t>
        </w:r>
      </w:hyperlink>
      <w:r w:rsidRPr="00BB71B4">
        <w:rPr>
          <w:rStyle w:val="TextoNormalCaracter"/>
        </w:rPr>
        <w:t xml:space="preserve">, f. único; </w:t>
      </w:r>
      <w:hyperlink w:anchor="AUTO_2015_6" w:history="1">
        <w:r w:rsidRPr="00BB71B4">
          <w:rPr>
            <w:rStyle w:val="TextoNormalCaracter"/>
          </w:rPr>
          <w:t>6/2015</w:t>
        </w:r>
      </w:hyperlink>
      <w:r w:rsidRPr="00BB71B4">
        <w:rPr>
          <w:rStyle w:val="TextoNormalCaracter"/>
        </w:rPr>
        <w:t xml:space="preserve">, f. único; </w:t>
      </w:r>
      <w:hyperlink w:anchor="AUTO_2015_14" w:history="1">
        <w:r w:rsidRPr="00BB71B4">
          <w:rPr>
            <w:rStyle w:val="TextoNormalCaracter"/>
          </w:rPr>
          <w:t>14/2015</w:t>
        </w:r>
      </w:hyperlink>
      <w:r w:rsidRPr="00BB71B4">
        <w:rPr>
          <w:rStyle w:val="TextoNormalCaracter"/>
        </w:rPr>
        <w:t xml:space="preserve">, f. único; </w:t>
      </w:r>
      <w:hyperlink w:anchor="AUTO_2015_15" w:history="1">
        <w:r w:rsidRPr="00BB71B4">
          <w:rPr>
            <w:rStyle w:val="TextoNormalCaracter"/>
          </w:rPr>
          <w:t>15/2015</w:t>
        </w:r>
      </w:hyperlink>
      <w:r w:rsidRPr="00BB71B4">
        <w:rPr>
          <w:rStyle w:val="TextoNormalCaracter"/>
        </w:rPr>
        <w:t xml:space="preserve">, f. único; </w:t>
      </w:r>
      <w:hyperlink w:anchor="AUTO_2015_42" w:history="1">
        <w:r w:rsidRPr="00BB71B4">
          <w:rPr>
            <w:rStyle w:val="TextoNormalCaracter"/>
          </w:rPr>
          <w:t>42/2015</w:t>
        </w:r>
      </w:hyperlink>
      <w:r w:rsidRPr="00BB71B4">
        <w:rPr>
          <w:rStyle w:val="TextoNormalCaracter"/>
        </w:rPr>
        <w:t xml:space="preserve">, f. único; </w:t>
      </w:r>
      <w:hyperlink w:anchor="AUTO_2015_48" w:history="1">
        <w:r w:rsidRPr="00BB71B4">
          <w:rPr>
            <w:rStyle w:val="TextoNormalCaracter"/>
          </w:rPr>
          <w:t>48/2015</w:t>
        </w:r>
      </w:hyperlink>
      <w:r w:rsidRPr="00BB71B4">
        <w:rPr>
          <w:rStyle w:val="TextoNormalCaracter"/>
        </w:rPr>
        <w:t xml:space="preserve">, f. único; </w:t>
      </w:r>
      <w:hyperlink w:anchor="AUTO_2015_64" w:history="1">
        <w:r w:rsidRPr="00BB71B4">
          <w:rPr>
            <w:rStyle w:val="TextoNormalCaracter"/>
          </w:rPr>
          <w:t>64/2015</w:t>
        </w:r>
      </w:hyperlink>
      <w:r w:rsidRPr="00BB71B4">
        <w:rPr>
          <w:rStyle w:val="TextoNormalCaracter"/>
        </w:rPr>
        <w:t xml:space="preserve">, f. único; </w:t>
      </w:r>
      <w:hyperlink w:anchor="AUTO_2015_72" w:history="1">
        <w:r w:rsidRPr="00BB71B4">
          <w:rPr>
            <w:rStyle w:val="TextoNormalCaracter"/>
          </w:rPr>
          <w:t>72/2015</w:t>
        </w:r>
      </w:hyperlink>
      <w:r w:rsidRPr="00BB71B4">
        <w:rPr>
          <w:rStyle w:val="TextoNormalCaracter"/>
        </w:rPr>
        <w:t xml:space="preserve">, f. único; </w:t>
      </w:r>
      <w:hyperlink w:anchor="AUTO_2015_83" w:history="1">
        <w:r w:rsidRPr="00BB71B4">
          <w:rPr>
            <w:rStyle w:val="TextoNormalCaracter"/>
          </w:rPr>
          <w:t>83/2015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032" w:name="DESCRIPTORALFABETICO422"/>
      <w:r w:rsidRPr="00BB71B4">
        <w:rPr>
          <w:rStyle w:val="TextoNormalNegritaCaracter"/>
        </w:rPr>
        <w:t>Acceso a la función pública</w:t>
      </w:r>
      <w:bookmarkEnd w:id="1032"/>
      <w:r w:rsidRPr="00BB71B4">
        <w:rPr>
          <w:rStyle w:val="TextoNormalCaracter"/>
        </w:rPr>
        <w:t xml:space="preserve">, Sentencia </w:t>
      </w:r>
      <w:hyperlink w:anchor="SENTENCIA_2015_81" w:history="1">
        <w:r w:rsidRPr="00BB71B4">
          <w:rPr>
            <w:rStyle w:val="TextoNormalCaracter"/>
          </w:rPr>
          <w:t>81/2015</w:t>
        </w:r>
      </w:hyperlink>
      <w:r w:rsidRPr="00BB71B4">
        <w:rPr>
          <w:rStyle w:val="TextoNormalCaracter"/>
        </w:rPr>
        <w:t>, f. 6.</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99" w:history="1">
        <w:r w:rsidRPr="00BB71B4">
          <w:rPr>
            <w:rStyle w:val="TextoNormalCaracter"/>
          </w:rPr>
          <w:t>99/2015</w:t>
        </w:r>
      </w:hyperlink>
      <w:r w:rsidRPr="00BB71B4">
        <w:rPr>
          <w:rStyle w:val="TextoNormalCaracter"/>
        </w:rPr>
        <w:t>, ff. 2 y 3.</w:t>
      </w:r>
    </w:p>
    <w:p w:rsidR="00BB71B4" w:rsidRPr="00BB71B4" w:rsidRDefault="00BB71B4" w:rsidP="00BB71B4">
      <w:pPr>
        <w:pStyle w:val="TextoNormalSangraFrancesa"/>
        <w:rPr>
          <w:rStyle w:val="TextoNormalCaracter"/>
        </w:rPr>
      </w:pPr>
      <w:bookmarkStart w:id="1033" w:name="DESCRIPTORALFABETICO299"/>
      <w:r w:rsidRPr="00BB71B4">
        <w:rPr>
          <w:rStyle w:val="TextoNormalNegritaCaracter"/>
        </w:rPr>
        <w:t>Aclaración de doctrina constitucional</w:t>
      </w:r>
      <w:bookmarkEnd w:id="1033"/>
      <w:r w:rsidRPr="00BB71B4">
        <w:rPr>
          <w:rStyle w:val="TextoNormalCaracter"/>
        </w:rPr>
        <w:t xml:space="preserve">, Sentencias </w:t>
      </w:r>
      <w:hyperlink w:anchor="SENTENCIA_2015_54" w:history="1">
        <w:r w:rsidRPr="00BB71B4">
          <w:rPr>
            <w:rStyle w:val="TextoNormalCaracter"/>
          </w:rPr>
          <w:t>54/2015</w:t>
        </w:r>
      </w:hyperlink>
      <w:r w:rsidRPr="00BB71B4">
        <w:rPr>
          <w:rStyle w:val="TextoNormalCaracter"/>
        </w:rPr>
        <w:t xml:space="preserve">, f. 4; </w:t>
      </w:r>
      <w:hyperlink w:anchor="SENTENCIA_2015_65" w:history="1">
        <w:r w:rsidRPr="00BB71B4">
          <w:rPr>
            <w:rStyle w:val="TextoNormalCaracter"/>
          </w:rPr>
          <w:t>65/2015</w:t>
        </w:r>
      </w:hyperlink>
      <w:r w:rsidRPr="00BB71B4">
        <w:rPr>
          <w:rStyle w:val="TextoNormalCaracter"/>
        </w:rPr>
        <w:t>, f. 1, VP I.</w:t>
      </w:r>
    </w:p>
    <w:p w:rsidR="00BB71B4" w:rsidRPr="00BB71B4" w:rsidRDefault="00BB71B4" w:rsidP="00BB71B4">
      <w:pPr>
        <w:pStyle w:val="TextoNormalSangraFrancesa"/>
        <w:rPr>
          <w:rStyle w:val="TextoNormalCaracter"/>
        </w:rPr>
      </w:pPr>
      <w:bookmarkStart w:id="1034" w:name="DESCRIPTORALFABETICO701"/>
      <w:r w:rsidRPr="00BB71B4">
        <w:rPr>
          <w:rStyle w:val="TextoNormalNegritaCaracter"/>
        </w:rPr>
        <w:t>Aclaración de sentencia</w:t>
      </w:r>
      <w:bookmarkEnd w:id="1034"/>
      <w:r w:rsidRPr="00BB71B4">
        <w:rPr>
          <w:rStyle w:val="TextoNormalCaracter"/>
        </w:rPr>
        <w:t xml:space="preserve">, Auto </w:t>
      </w:r>
      <w:hyperlink w:anchor="AUTO_2015_55" w:history="1">
        <w:r w:rsidRPr="00BB71B4">
          <w:rPr>
            <w:rStyle w:val="TextoNormalCaracter"/>
          </w:rPr>
          <w:t>55/2015</w:t>
        </w:r>
      </w:hyperlink>
      <w:r w:rsidRPr="00BB71B4">
        <w:rPr>
          <w:rStyle w:val="TextoNormalCaracter"/>
        </w:rPr>
        <w:t>, f. 1, 2.</w:t>
      </w:r>
    </w:p>
    <w:p w:rsidR="00BB71B4" w:rsidRPr="00BB71B4" w:rsidRDefault="00BB71B4" w:rsidP="00BB71B4">
      <w:pPr>
        <w:pStyle w:val="TextoNormalSangraFrancesa"/>
        <w:rPr>
          <w:rStyle w:val="TextoNormalCaracter"/>
        </w:rPr>
      </w:pPr>
      <w:bookmarkStart w:id="1035" w:name="DESCRIPTORALFABETICO306"/>
      <w:r w:rsidRPr="00BB71B4">
        <w:rPr>
          <w:rStyle w:val="TextoNormalNegritaCaracter"/>
        </w:rPr>
        <w:t>Aclaración improcedente</w:t>
      </w:r>
      <w:bookmarkEnd w:id="1035"/>
      <w:r w:rsidRPr="00BB71B4">
        <w:rPr>
          <w:rStyle w:val="TextoNormalCaracter"/>
        </w:rPr>
        <w:t xml:space="preserve">, Auto </w:t>
      </w:r>
      <w:hyperlink w:anchor="AUTO_2015_17" w:history="1">
        <w:r w:rsidRPr="00BB71B4">
          <w:rPr>
            <w:rStyle w:val="TextoNormalCaracter"/>
          </w:rPr>
          <w:t>17/2015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036" w:name="DESCRIPTORALFABETICO98"/>
      <w:r w:rsidRPr="00BB71B4">
        <w:rPr>
          <w:rStyle w:val="TextoNormalNegritaCaracter"/>
        </w:rPr>
        <w:t>Acreditación de representantes electorales</w:t>
      </w:r>
      <w:bookmarkEnd w:id="1036"/>
      <w:r w:rsidRPr="00BB71B4">
        <w:rPr>
          <w:rStyle w:val="TextoNormalCaracter"/>
        </w:rPr>
        <w:t xml:space="preserve">, Auto </w:t>
      </w:r>
      <w:hyperlink w:anchor="AUTO_2015_81" w:history="1">
        <w:r w:rsidRPr="00BB71B4">
          <w:rPr>
            <w:rStyle w:val="TextoNormalCaracter"/>
          </w:rPr>
          <w:t>81/2015</w:t>
        </w:r>
      </w:hyperlink>
      <w:r w:rsidRPr="00BB71B4">
        <w:rPr>
          <w:rStyle w:val="TextoNormalCaracter"/>
        </w:rPr>
        <w:t>, f. 5.</w:t>
      </w:r>
    </w:p>
    <w:p w:rsidR="00BB71B4" w:rsidRPr="00BB71B4" w:rsidRDefault="00BB71B4" w:rsidP="00BB71B4">
      <w:pPr>
        <w:pStyle w:val="TextoNormalSangraFrancesa"/>
        <w:rPr>
          <w:rStyle w:val="TextoNormalCaracter"/>
        </w:rPr>
      </w:pPr>
      <w:bookmarkStart w:id="1037" w:name="DESCRIPTORALFABETICO715"/>
      <w:r w:rsidRPr="00BB71B4">
        <w:rPr>
          <w:rStyle w:val="TextoNormalNegritaCaracter"/>
        </w:rPr>
        <w:t>Acreedores hipotecarios</w:t>
      </w:r>
      <w:bookmarkEnd w:id="1037"/>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17, 18.</w:t>
      </w:r>
    </w:p>
    <w:p w:rsidR="00BB71B4" w:rsidRPr="00BB71B4" w:rsidRDefault="00BB71B4" w:rsidP="00BB71B4">
      <w:pPr>
        <w:pStyle w:val="TextoNormalSangraFrancesa"/>
        <w:rPr>
          <w:rStyle w:val="TextoNormalCaracter"/>
        </w:rPr>
      </w:pPr>
      <w:bookmarkStart w:id="1038" w:name="DESCRIPTORALFABETICO722"/>
      <w:r w:rsidRPr="00BB71B4">
        <w:rPr>
          <w:rStyle w:val="TextoNormalNegritaCaracter"/>
        </w:rPr>
        <w:t>Acta de veredicto</w:t>
      </w:r>
      <w:bookmarkEnd w:id="1038"/>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ff. 3, 5, 6.</w:t>
      </w:r>
    </w:p>
    <w:p w:rsidR="00BB71B4" w:rsidRPr="00BB71B4" w:rsidRDefault="00BB71B4" w:rsidP="00BB71B4">
      <w:pPr>
        <w:pStyle w:val="TextoNormalSangraFrancesa"/>
        <w:rPr>
          <w:rStyle w:val="TextoNormalCaracter"/>
        </w:rPr>
      </w:pPr>
      <w:bookmarkStart w:id="1039" w:name="DESCRIPTORALFABETICO673"/>
      <w:r w:rsidRPr="00BB71B4">
        <w:rPr>
          <w:rStyle w:val="TextoNormalNegritaCaracter"/>
        </w:rPr>
        <w:t>Actividad probatoria</w:t>
      </w:r>
      <w:bookmarkEnd w:id="1039"/>
      <w:r w:rsidRPr="00BB71B4">
        <w:rPr>
          <w:rStyle w:val="TextoNormalCaracter"/>
        </w:rPr>
        <w:t xml:space="preserve">, Sentencia </w:t>
      </w:r>
      <w:hyperlink w:anchor="SENTENCIA_2015_3" w:history="1">
        <w:r w:rsidRPr="00BB71B4">
          <w:rPr>
            <w:rStyle w:val="TextoNormalCaracter"/>
          </w:rPr>
          <w:t>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40" w:name="DESCRIPTORALFABETICO656"/>
      <w:r w:rsidRPr="00BB71B4">
        <w:rPr>
          <w:rStyle w:val="TextoNormalNegritaCaracter"/>
        </w:rPr>
        <w:t>Actuación judicial de oficio</w:t>
      </w:r>
      <w:bookmarkEnd w:id="1040"/>
      <w:r w:rsidRPr="00BB71B4">
        <w:rPr>
          <w:rStyle w:val="TextoNormalCaracter"/>
        </w:rPr>
        <w:t xml:space="preserve">, Sentencia </w:t>
      </w:r>
      <w:hyperlink w:anchor="SENTENCIA_2015_39" w:history="1">
        <w:r w:rsidRPr="00BB71B4">
          <w:rPr>
            <w:rStyle w:val="TextoNormalCaracter"/>
          </w:rPr>
          <w:t>39/2015</w:t>
        </w:r>
      </w:hyperlink>
      <w:r w:rsidRPr="00BB71B4">
        <w:rPr>
          <w:rStyle w:val="TextoNormalCaracter"/>
        </w:rPr>
        <w:t>, f. 6.</w:t>
      </w:r>
    </w:p>
    <w:p w:rsidR="00BB71B4" w:rsidRPr="00BB71B4" w:rsidRDefault="00BB71B4" w:rsidP="00BB71B4">
      <w:pPr>
        <w:pStyle w:val="TextoNormalSangraFrancesa"/>
        <w:rPr>
          <w:rStyle w:val="TextoNormalCaracter"/>
        </w:rPr>
      </w:pPr>
      <w:bookmarkStart w:id="1041" w:name="DESCRIPTORALFABETICO91"/>
      <w:r w:rsidRPr="00BB71B4">
        <w:rPr>
          <w:rStyle w:val="TextoNormalNegritaCaracter"/>
        </w:rPr>
        <w:t>Actuaciones de oficio de las Juntas electorales</w:t>
      </w:r>
      <w:bookmarkEnd w:id="1041"/>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042" w:name="DESCRIPTORALFABETICO655"/>
      <w:r w:rsidRPr="00BB71B4">
        <w:rPr>
          <w:rStyle w:val="TextoNormalNegritaCaracter"/>
        </w:rPr>
        <w:t>Actuaciones judiciales</w:t>
      </w:r>
      <w:bookmarkEnd w:id="1042"/>
      <w:r w:rsidRPr="00BB71B4">
        <w:rPr>
          <w:rStyle w:val="TextoNormalCaracter"/>
        </w:rPr>
        <w:t xml:space="preserve">, Sentencia </w:t>
      </w:r>
      <w:hyperlink w:anchor="SENTENCIA_2015_55" w:history="1">
        <w:r w:rsidRPr="00BB71B4">
          <w:rPr>
            <w:rStyle w:val="TextoNormalCaracter"/>
          </w:rPr>
          <w:t>55/2015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043" w:name="DESCRIPTORALFABETICO613"/>
      <w:r w:rsidRPr="00BB71B4">
        <w:rPr>
          <w:rStyle w:val="TextoNormalNegritaCaracter"/>
        </w:rPr>
        <w:t>Actualización de pensiones</w:t>
      </w:r>
      <w:bookmarkEnd w:id="1043"/>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2, 3, 5, 6, VP; </w:t>
      </w:r>
      <w:hyperlink w:anchor="SENTENCIA_2015_95" w:history="1">
        <w:r w:rsidRPr="00BB71B4">
          <w:rPr>
            <w:rStyle w:val="TextoNormalCaracter"/>
          </w:rPr>
          <w:t>95/2015</w:t>
        </w:r>
      </w:hyperlink>
      <w:r w:rsidRPr="00BB71B4">
        <w:rPr>
          <w:rStyle w:val="TextoNormalCaracter"/>
        </w:rPr>
        <w:t xml:space="preserve">, ff. 1, 4 a 6; </w:t>
      </w:r>
      <w:hyperlink w:anchor="SENTENCIA_2015_109" w:history="1">
        <w:r w:rsidRPr="00BB71B4">
          <w:rPr>
            <w:rStyle w:val="TextoNormalCaracter"/>
          </w:rPr>
          <w:t>109/2015</w:t>
        </w:r>
      </w:hyperlink>
      <w:r w:rsidRPr="00BB71B4">
        <w:rPr>
          <w:rStyle w:val="TextoNormalCaracter"/>
        </w:rPr>
        <w:t xml:space="preserve">, ff. 1, 2; </w:t>
      </w:r>
      <w:hyperlink w:anchor="SENTENCIA_2015_116" w:history="1">
        <w:r w:rsidRPr="00BB71B4">
          <w:rPr>
            <w:rStyle w:val="TextoNormalCaracter"/>
          </w:rPr>
          <w:t>116/2015</w:t>
        </w:r>
      </w:hyperlink>
      <w:r w:rsidRPr="00BB71B4">
        <w:rPr>
          <w:rStyle w:val="TextoNormalCaracter"/>
        </w:rPr>
        <w:t xml:space="preserve">, ff. 1, 2; </w:t>
      </w:r>
      <w:hyperlink w:anchor="SENTENCIA_2015_117" w:history="1">
        <w:r w:rsidRPr="00BB71B4">
          <w:rPr>
            <w:rStyle w:val="TextoNormalCaracter"/>
          </w:rPr>
          <w:t>117/2015</w:t>
        </w:r>
      </w:hyperlink>
      <w:r w:rsidRPr="00BB71B4">
        <w:rPr>
          <w:rStyle w:val="TextoNormalCaracter"/>
        </w:rPr>
        <w:t xml:space="preserve">, ff. 1, 3, 4; </w:t>
      </w:r>
      <w:hyperlink w:anchor="SENTENCIA_2015_118" w:history="1">
        <w:r w:rsidRPr="00BB71B4">
          <w:rPr>
            <w:rStyle w:val="TextoNormalCaracter"/>
          </w:rPr>
          <w:t>118/2015</w:t>
        </w:r>
      </w:hyperlink>
      <w:r w:rsidRPr="00BB71B4">
        <w:rPr>
          <w:rStyle w:val="TextoNormalCaracter"/>
        </w:rPr>
        <w:t xml:space="preserve">, ff. 1, 2; </w:t>
      </w:r>
      <w:hyperlink w:anchor="SENTENCIA_2015_119" w:history="1">
        <w:r w:rsidRPr="00BB71B4">
          <w:rPr>
            <w:rStyle w:val="TextoNormalCaracter"/>
          </w:rPr>
          <w:t>119/2015</w:t>
        </w:r>
      </w:hyperlink>
      <w:r w:rsidRPr="00BB71B4">
        <w:rPr>
          <w:rStyle w:val="TextoNormalCaracter"/>
        </w:rPr>
        <w:t xml:space="preserve">, ff. 1, 2; </w:t>
      </w:r>
      <w:hyperlink w:anchor="SENTENCIA_2015_120" w:history="1">
        <w:r w:rsidRPr="00BB71B4">
          <w:rPr>
            <w:rStyle w:val="TextoNormalCaracter"/>
          </w:rPr>
          <w:t>120/2015</w:t>
        </w:r>
      </w:hyperlink>
      <w:r w:rsidRPr="00BB71B4">
        <w:rPr>
          <w:rStyle w:val="TextoNormalCaracter"/>
        </w:rPr>
        <w:t xml:space="preserve">, ff. 1, 2; </w:t>
      </w:r>
      <w:hyperlink w:anchor="SENTENCIA_2015_121" w:history="1">
        <w:r w:rsidRPr="00BB71B4">
          <w:rPr>
            <w:rStyle w:val="TextoNormalCaracter"/>
          </w:rPr>
          <w:t>121/2015</w:t>
        </w:r>
      </w:hyperlink>
      <w:r w:rsidRPr="00BB71B4">
        <w:rPr>
          <w:rStyle w:val="TextoNormalCaracter"/>
        </w:rPr>
        <w:t xml:space="preserve">, ff. 1, 2; </w:t>
      </w:r>
      <w:hyperlink w:anchor="SENTENCIA_2015_122" w:history="1">
        <w:r w:rsidRPr="00BB71B4">
          <w:rPr>
            <w:rStyle w:val="TextoNormalCaracter"/>
          </w:rPr>
          <w:t>122/2015</w:t>
        </w:r>
      </w:hyperlink>
      <w:r w:rsidRPr="00BB71B4">
        <w:rPr>
          <w:rStyle w:val="TextoNormalCaracter"/>
        </w:rPr>
        <w:t xml:space="preserve">, ff. 1, 2; </w:t>
      </w:r>
      <w:hyperlink w:anchor="SENTENCIA_2015_123" w:history="1">
        <w:r w:rsidRPr="00BB71B4">
          <w:rPr>
            <w:rStyle w:val="TextoNormalCaracter"/>
          </w:rPr>
          <w:t>123/2015</w:t>
        </w:r>
      </w:hyperlink>
      <w:r w:rsidRPr="00BB71B4">
        <w:rPr>
          <w:rStyle w:val="TextoNormalCaracter"/>
        </w:rPr>
        <w:t xml:space="preserve">, ff. 1, 2; </w:t>
      </w:r>
      <w:hyperlink w:anchor="SENTENCIA_2015_125" w:history="1">
        <w:r w:rsidRPr="00BB71B4">
          <w:rPr>
            <w:rStyle w:val="TextoNormalCaracter"/>
          </w:rPr>
          <w:t>125/2015</w:t>
        </w:r>
      </w:hyperlink>
      <w:r w:rsidRPr="00BB71B4">
        <w:rPr>
          <w:rStyle w:val="TextoNormalCaracter"/>
        </w:rPr>
        <w:t xml:space="preserve">, ff. 1, 2; </w:t>
      </w:r>
      <w:hyperlink w:anchor="SENTENCIA_2015_126" w:history="1">
        <w:r w:rsidRPr="00BB71B4">
          <w:rPr>
            <w:rStyle w:val="TextoNormalCaracter"/>
          </w:rPr>
          <w:t>126/2015</w:t>
        </w:r>
      </w:hyperlink>
      <w:r w:rsidRPr="00BB71B4">
        <w:rPr>
          <w:rStyle w:val="TextoNormalCaracter"/>
        </w:rPr>
        <w:t xml:space="preserve">, ff. 1, 2; </w:t>
      </w:r>
      <w:hyperlink w:anchor="SENTENCIA_2015_127" w:history="1">
        <w:r w:rsidRPr="00BB71B4">
          <w:rPr>
            <w:rStyle w:val="TextoNormalCaracter"/>
          </w:rPr>
          <w:t>127/2015</w:t>
        </w:r>
      </w:hyperlink>
      <w:r w:rsidRPr="00BB71B4">
        <w:rPr>
          <w:rStyle w:val="TextoNormalCaracter"/>
        </w:rPr>
        <w:t xml:space="preserve">, ff. 1, 2; </w:t>
      </w:r>
      <w:hyperlink w:anchor="SENTENCIA_2015_128" w:history="1">
        <w:r w:rsidRPr="00BB71B4">
          <w:rPr>
            <w:rStyle w:val="TextoNormalCaracter"/>
          </w:rPr>
          <w:t>128/2015</w:t>
        </w:r>
      </w:hyperlink>
      <w:r w:rsidRPr="00BB71B4">
        <w:rPr>
          <w:rStyle w:val="TextoNormalCaracter"/>
        </w:rPr>
        <w:t xml:space="preserve">, ff. 1, 2; </w:t>
      </w:r>
      <w:hyperlink w:anchor="SENTENCIA_2015_129" w:history="1">
        <w:r w:rsidRPr="00BB71B4">
          <w:rPr>
            <w:rStyle w:val="TextoNormalCaracter"/>
          </w:rPr>
          <w:t>129/2015</w:t>
        </w:r>
      </w:hyperlink>
      <w:r w:rsidRPr="00BB71B4">
        <w:rPr>
          <w:rStyle w:val="TextoNormalCaracter"/>
        </w:rPr>
        <w:t xml:space="preserve">, ff. 1, 2; </w:t>
      </w:r>
      <w:hyperlink w:anchor="SENTENCIA_2015_130" w:history="1">
        <w:r w:rsidRPr="00BB71B4">
          <w:rPr>
            <w:rStyle w:val="TextoNormalCaracter"/>
          </w:rPr>
          <w:t>130/2015</w:t>
        </w:r>
      </w:hyperlink>
      <w:r w:rsidRPr="00BB71B4">
        <w:rPr>
          <w:rStyle w:val="TextoNormalCaracter"/>
        </w:rPr>
        <w:t xml:space="preserve">, ff. 1, 2; </w:t>
      </w:r>
      <w:hyperlink w:anchor="SENTENCIA_2015_131" w:history="1">
        <w:r w:rsidRPr="00BB71B4">
          <w:rPr>
            <w:rStyle w:val="TextoNormalCaracter"/>
          </w:rPr>
          <w:t>131/2015</w:t>
        </w:r>
      </w:hyperlink>
      <w:r w:rsidRPr="00BB71B4">
        <w:rPr>
          <w:rStyle w:val="TextoNormalCaracter"/>
        </w:rPr>
        <w:t xml:space="preserve">, ff. 1, 2; </w:t>
      </w:r>
      <w:hyperlink w:anchor="SENTENCIA_2015_132" w:history="1">
        <w:r w:rsidRPr="00BB71B4">
          <w:rPr>
            <w:rStyle w:val="TextoNormalCaracter"/>
          </w:rPr>
          <w:t>132/2015</w:t>
        </w:r>
      </w:hyperlink>
      <w:r w:rsidRPr="00BB71B4">
        <w:rPr>
          <w:rStyle w:val="TextoNormalCaracter"/>
        </w:rPr>
        <w:t xml:space="preserve">, ff. 1, 2; </w:t>
      </w:r>
      <w:hyperlink w:anchor="SENTENCIA_2015_133" w:history="1">
        <w:r w:rsidRPr="00BB71B4">
          <w:rPr>
            <w:rStyle w:val="TextoNormalCaracter"/>
          </w:rPr>
          <w:t>133/2015</w:t>
        </w:r>
      </w:hyperlink>
      <w:r w:rsidRPr="00BB71B4">
        <w:rPr>
          <w:rStyle w:val="TextoNormalCaracter"/>
        </w:rPr>
        <w:t xml:space="preserve">, ff. 1, 2; </w:t>
      </w:r>
      <w:hyperlink w:anchor="SENTENCIA_2015_134" w:history="1">
        <w:r w:rsidRPr="00BB71B4">
          <w:rPr>
            <w:rStyle w:val="TextoNormalCaracter"/>
          </w:rPr>
          <w:t>134/2015</w:t>
        </w:r>
      </w:hyperlink>
      <w:r w:rsidRPr="00BB71B4">
        <w:rPr>
          <w:rStyle w:val="TextoNormalCaracter"/>
        </w:rPr>
        <w:t xml:space="preserve">, ff. 1, 2; </w:t>
      </w:r>
      <w:hyperlink w:anchor="SENTENCIA_2015_135" w:history="1">
        <w:r w:rsidRPr="00BB71B4">
          <w:rPr>
            <w:rStyle w:val="TextoNormalCaracter"/>
          </w:rPr>
          <w:t>135/2015</w:t>
        </w:r>
      </w:hyperlink>
      <w:r w:rsidRPr="00BB71B4">
        <w:rPr>
          <w:rStyle w:val="TextoNormalCaracter"/>
        </w:rPr>
        <w:t xml:space="preserve">, ff. 1, 2; </w:t>
      </w:r>
      <w:hyperlink w:anchor="SENTENCIA_2015_144" w:history="1">
        <w:r w:rsidRPr="00BB71B4">
          <w:rPr>
            <w:rStyle w:val="TextoNormalCaracter"/>
          </w:rPr>
          <w:t>144/2015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044" w:name="DESCRIPTORALFABETICO345"/>
      <w:r w:rsidRPr="00BB71B4">
        <w:rPr>
          <w:rStyle w:val="TextoNormalNegritaCaracter"/>
        </w:rPr>
        <w:t>Acuerdo de la Mesa inadmitiendo iniciativa legislativa popular</w:t>
      </w:r>
      <w:bookmarkEnd w:id="1044"/>
      <w:r w:rsidRPr="00BB71B4">
        <w:rPr>
          <w:rStyle w:val="TextoNormalCaracter"/>
        </w:rPr>
        <w:t xml:space="preserve">, Sentencia </w:t>
      </w:r>
      <w:hyperlink w:anchor="SENTENCIA_2015_19" w:history="1">
        <w:r w:rsidRPr="00BB71B4">
          <w:rPr>
            <w:rStyle w:val="TextoNormalCaracter"/>
          </w:rPr>
          <w:t>19/2015</w:t>
        </w:r>
      </w:hyperlink>
      <w:r w:rsidRPr="00BB71B4">
        <w:rPr>
          <w:rStyle w:val="TextoNormalCaracter"/>
        </w:rPr>
        <w:t>, ff. 2, 4, 5, VP.</w:t>
      </w:r>
    </w:p>
    <w:p w:rsidR="00BB71B4" w:rsidRPr="00BB71B4" w:rsidRDefault="00BB71B4" w:rsidP="00BB71B4">
      <w:pPr>
        <w:pStyle w:val="TextoNormalSangraFrancesa"/>
        <w:rPr>
          <w:rStyle w:val="TextoNormalCaracter"/>
        </w:rPr>
      </w:pPr>
      <w:bookmarkStart w:id="1045" w:name="DESCRIPTORALFABETICO346"/>
      <w:r w:rsidRPr="00BB71B4">
        <w:rPr>
          <w:rStyle w:val="TextoNormalNegritaCaracter"/>
        </w:rPr>
        <w:t>Acuerdo de la Mesa inadmitiendo iniciativa parlamentaria</w:t>
      </w:r>
      <w:bookmarkEnd w:id="1045"/>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ff. 5 a 7; </w:t>
      </w:r>
      <w:hyperlink w:anchor="SENTENCIA_2015_23" w:history="1">
        <w:r w:rsidRPr="00BB71B4">
          <w:rPr>
            <w:rStyle w:val="TextoNormalCaracter"/>
          </w:rPr>
          <w:t>23/2015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046" w:name="DESCRIPTORALFABETICO347"/>
      <w:r w:rsidRPr="00BB71B4">
        <w:rPr>
          <w:rStyle w:val="TextoNormalNegritaCaracter"/>
        </w:rPr>
        <w:t>Acuerdo de la Mesa inadmitiendo pregunta parlamentaria</w:t>
      </w:r>
      <w:bookmarkEnd w:id="1046"/>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6; </w:t>
      </w:r>
      <w:hyperlink w:anchor="SENTENCIA_2015_23" w:history="1">
        <w:r w:rsidRPr="00BB71B4">
          <w:rPr>
            <w:rStyle w:val="TextoNormalCaracter"/>
          </w:rPr>
          <w:t>23/2015</w:t>
        </w:r>
      </w:hyperlink>
      <w:r w:rsidRPr="00BB71B4">
        <w:rPr>
          <w:rStyle w:val="TextoNormalCaracter"/>
        </w:rPr>
        <w:t>, f. 8.</w:t>
      </w:r>
    </w:p>
    <w:p w:rsidR="00BB71B4" w:rsidRPr="00BB71B4" w:rsidRDefault="00BB71B4" w:rsidP="00BB71B4">
      <w:pPr>
        <w:pStyle w:val="TextoNormalSangraFrancesa"/>
        <w:rPr>
          <w:rStyle w:val="TextoNormalCaracter"/>
        </w:rPr>
      </w:pPr>
      <w:bookmarkStart w:id="1047" w:name="DESCRIPTORALFABETICO348"/>
      <w:r w:rsidRPr="00BB71B4">
        <w:rPr>
          <w:rStyle w:val="TextoNormalNegritaCaracter"/>
        </w:rPr>
        <w:t>Acuerdo de la Mesa inadmitiendo proposición no de ley</w:t>
      </w:r>
      <w:bookmarkEnd w:id="1047"/>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7; </w:t>
      </w:r>
      <w:hyperlink w:anchor="SENTENCIA_2015_23" w:history="1">
        <w:r w:rsidRPr="00BB71B4">
          <w:rPr>
            <w:rStyle w:val="TextoNormalCaracter"/>
          </w:rPr>
          <w:t>23/2015</w:t>
        </w:r>
      </w:hyperlink>
      <w:r w:rsidRPr="00BB71B4">
        <w:rPr>
          <w:rStyle w:val="TextoNormalCaracter"/>
        </w:rPr>
        <w:t>, f. 7.</w:t>
      </w:r>
    </w:p>
    <w:p w:rsidR="00BB71B4" w:rsidRPr="00BB71B4" w:rsidRDefault="00BB71B4" w:rsidP="00BB71B4">
      <w:pPr>
        <w:pStyle w:val="TextoNormalSangraFrancesa"/>
        <w:rPr>
          <w:rStyle w:val="TextoNormalCaracter"/>
        </w:rPr>
      </w:pPr>
      <w:bookmarkStart w:id="1048" w:name="DESCRIPTORALFABETICO349"/>
      <w:r w:rsidRPr="00BB71B4">
        <w:rPr>
          <w:rStyle w:val="TextoNormalNegritaCaracter"/>
        </w:rPr>
        <w:t>Acuerdo de la Mesa inadmitiendo solicitud de comparecencia</w:t>
      </w:r>
      <w:bookmarkEnd w:id="1048"/>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5; </w:t>
      </w:r>
      <w:hyperlink w:anchor="SENTENCIA_2015_23" w:history="1">
        <w:r w:rsidRPr="00BB71B4">
          <w:rPr>
            <w:rStyle w:val="TextoNormalCaracter"/>
          </w:rPr>
          <w:t>23/2015</w:t>
        </w:r>
      </w:hyperlink>
      <w:r w:rsidRPr="00BB71B4">
        <w:rPr>
          <w:rStyle w:val="TextoNormalCaracter"/>
        </w:rPr>
        <w:t>, ff. 5, 6.</w:t>
      </w:r>
    </w:p>
    <w:p w:rsidR="00BB71B4" w:rsidRPr="00BB71B4" w:rsidRDefault="00BB71B4" w:rsidP="00BB71B4">
      <w:pPr>
        <w:pStyle w:val="TextoNormalSangraFrancesa"/>
        <w:rPr>
          <w:rStyle w:val="TextoNormalCaracter"/>
        </w:rPr>
      </w:pPr>
      <w:bookmarkStart w:id="1049" w:name="DESCRIPTORALFABETICO344"/>
      <w:r w:rsidRPr="00BB71B4">
        <w:rPr>
          <w:rStyle w:val="TextoNormalNegritaCaracter"/>
        </w:rPr>
        <w:t>Acuerdos de las mesas parlamentarias</w:t>
      </w:r>
      <w:bookmarkEnd w:id="1049"/>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ff. 4 a 7; </w:t>
      </w:r>
      <w:hyperlink w:anchor="SENTENCIA_2015_19" w:history="1">
        <w:r w:rsidRPr="00BB71B4">
          <w:rPr>
            <w:rStyle w:val="TextoNormalCaracter"/>
          </w:rPr>
          <w:t>19/2015</w:t>
        </w:r>
      </w:hyperlink>
      <w:r w:rsidRPr="00BB71B4">
        <w:rPr>
          <w:rStyle w:val="TextoNormalCaracter"/>
        </w:rPr>
        <w:t xml:space="preserve">, ff. 2, 4, 5, VP; </w:t>
      </w:r>
      <w:hyperlink w:anchor="SENTENCIA_2015_23" w:history="1">
        <w:r w:rsidRPr="00BB71B4">
          <w:rPr>
            <w:rStyle w:val="TextoNormalCaracter"/>
          </w:rPr>
          <w:t>23/2015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050" w:name="DESCRIPTORALFABETICO649"/>
      <w:r w:rsidRPr="00BB71B4">
        <w:rPr>
          <w:rStyle w:val="TextoNormalNegritaCaracter"/>
        </w:rPr>
        <w:t>Acumulación de procesos</w:t>
      </w:r>
      <w:bookmarkEnd w:id="1050"/>
      <w:r w:rsidRPr="00BB71B4">
        <w:rPr>
          <w:rStyle w:val="TextoNormalCaracter"/>
        </w:rPr>
        <w:t xml:space="preserve">, Auto </w:t>
      </w:r>
      <w:hyperlink w:anchor="AUTO_2015_56" w:history="1">
        <w:r w:rsidRPr="00BB71B4">
          <w:rPr>
            <w:rStyle w:val="TextoNormalCaracter"/>
          </w:rPr>
          <w:t>56/2015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051" w:name="DESCRIPTORALFABETICO240"/>
      <w:r w:rsidRPr="00BB71B4">
        <w:rPr>
          <w:rStyle w:val="TextoNormalNegritaCaracter"/>
        </w:rPr>
        <w:t>Acumulación de recursos de amparo</w:t>
      </w:r>
      <w:bookmarkEnd w:id="1051"/>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Procedencia, </w:t>
      </w:r>
      <w:r w:rsidRPr="00BB71B4">
        <w:rPr>
          <w:rStyle w:val="TextoNormalCaracter"/>
        </w:rPr>
        <w:t xml:space="preserve">Auto </w:t>
      </w:r>
      <w:hyperlink w:anchor="AUTO_2015_100" w:history="1">
        <w:r w:rsidRPr="00BB71B4">
          <w:rPr>
            <w:rStyle w:val="TextoNormalCaracter"/>
          </w:rPr>
          <w:t>100/2015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052" w:name="DESCRIPTORALFABETICO241"/>
      <w:r w:rsidRPr="00BB71B4">
        <w:rPr>
          <w:rStyle w:val="TextoNormalNegritaCaracter"/>
        </w:rPr>
        <w:t>Acumulación de recursos de inconstitucionalidad</w:t>
      </w:r>
      <w:bookmarkEnd w:id="1052"/>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Procedencia, </w:t>
      </w:r>
      <w:r w:rsidRPr="00BB71B4">
        <w:rPr>
          <w:rStyle w:val="TextoNormalCaracter"/>
        </w:rPr>
        <w:t xml:space="preserve">Auto </w:t>
      </w:r>
      <w:hyperlink w:anchor="AUTO_2015_68" w:history="1">
        <w:r w:rsidRPr="00BB71B4">
          <w:rPr>
            <w:rStyle w:val="TextoNormalCaracter"/>
          </w:rPr>
          <w:t>68/2015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053" w:name="DESCRIPTORALFABETICO405"/>
      <w:r w:rsidRPr="00BB71B4">
        <w:rPr>
          <w:rStyle w:val="TextoNormalNegritaCaracter"/>
        </w:rPr>
        <w:t>Adjudicación de concesiones administrativas</w:t>
      </w:r>
      <w:bookmarkEnd w:id="1053"/>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054" w:name="DESCRIPTORALFABETICO318"/>
      <w:r w:rsidRPr="00BB71B4">
        <w:rPr>
          <w:rStyle w:val="TextoNormalNegritaCaracter"/>
        </w:rPr>
        <w:t>Administración autonómica</w:t>
      </w:r>
      <w:bookmarkEnd w:id="1054"/>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4, 5, 8, 10.</w:t>
      </w:r>
    </w:p>
    <w:p w:rsidR="00BB71B4" w:rsidRPr="00BB71B4" w:rsidRDefault="00BB71B4" w:rsidP="00BB71B4">
      <w:pPr>
        <w:pStyle w:val="TextoNormalSangraFrancesa"/>
        <w:rPr>
          <w:rStyle w:val="TextoNormalCaracter"/>
        </w:rPr>
      </w:pPr>
      <w:bookmarkStart w:id="1055" w:name="DESCRIPTORALFABETICO297"/>
      <w:r w:rsidRPr="00BB71B4">
        <w:rPr>
          <w:rStyle w:val="TextoNormalNegritaCaracter"/>
        </w:rPr>
        <w:t>Agotamiento de la vía judicial</w:t>
      </w:r>
      <w:bookmarkEnd w:id="1055"/>
      <w:r w:rsidRPr="00BB71B4">
        <w:rPr>
          <w:rStyle w:val="TextoNormalCaracter"/>
        </w:rPr>
        <w:t xml:space="preserve">, Auto </w:t>
      </w:r>
      <w:hyperlink w:anchor="AUTO_2015_65" w:history="1">
        <w:r w:rsidRPr="00BB71B4">
          <w:rPr>
            <w:rStyle w:val="TextoNormalCaracter"/>
          </w:rPr>
          <w:t>65/2015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056" w:name="DESCRIPTORALFABETICO433"/>
      <w:r w:rsidRPr="00BB71B4">
        <w:rPr>
          <w:rStyle w:val="TextoNormalNegritaCaracter"/>
        </w:rPr>
        <w:t>Agricultura</w:t>
      </w:r>
      <w:bookmarkEnd w:id="1056"/>
      <w:r w:rsidRPr="00BB71B4">
        <w:rPr>
          <w:rStyle w:val="TextoNormalCaracter"/>
        </w:rPr>
        <w:t xml:space="preserve">, Sentencia </w:t>
      </w:r>
      <w:hyperlink w:anchor="SENTENCIA_2015_85" w:history="1">
        <w:r w:rsidRPr="00BB71B4">
          <w:rPr>
            <w:rStyle w:val="TextoNormalCaracter"/>
          </w:rPr>
          <w:t>85/2015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057" w:name="DESCRIPTORALFABETICO435"/>
      <w:r w:rsidRPr="00BB71B4">
        <w:rPr>
          <w:rStyle w:val="TextoNormalNegritaCaracter"/>
        </w:rPr>
        <w:t>Aguas</w:t>
      </w:r>
      <w:bookmarkEnd w:id="1057"/>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ff. 2 a 7.</w:t>
      </w:r>
    </w:p>
    <w:p w:rsidR="00BB71B4" w:rsidRPr="00BB71B4" w:rsidRDefault="00BB71B4" w:rsidP="00BB71B4">
      <w:pPr>
        <w:pStyle w:val="TextoNormalSangraFrancesa"/>
        <w:rPr>
          <w:rStyle w:val="TextoNormalCaracter"/>
        </w:rPr>
      </w:pPr>
      <w:bookmarkStart w:id="1058" w:name="DESCRIPTORALFABETICO274"/>
      <w:r w:rsidRPr="00BB71B4">
        <w:rPr>
          <w:rStyle w:val="TextoNormalNegritaCaracter"/>
        </w:rPr>
        <w:t>Alcance de la declaración de inconstitucionalidad</w:t>
      </w:r>
      <w:bookmarkEnd w:id="1058"/>
      <w:r w:rsidRPr="00BB71B4">
        <w:rPr>
          <w:rStyle w:val="TextoNormalCaracter"/>
        </w:rPr>
        <w:t xml:space="preserve">, Sentencia </w:t>
      </w:r>
      <w:hyperlink w:anchor="SENTENCIA_2015_143" w:history="1">
        <w:r w:rsidRPr="00BB71B4">
          <w:rPr>
            <w:rStyle w:val="TextoNormalCaracter"/>
          </w:rPr>
          <w:t>143/2015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59" w:name="DESCRIPTORALFABETICO618"/>
      <w:r w:rsidRPr="00BB71B4">
        <w:rPr>
          <w:rStyle w:val="TextoNormalNegritaCaracter"/>
        </w:rPr>
        <w:t>Alcance de la protección por desempleo</w:t>
      </w:r>
      <w:bookmarkEnd w:id="1059"/>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 6.</w:t>
      </w:r>
    </w:p>
    <w:p w:rsidR="00BB71B4" w:rsidRPr="00BB71B4" w:rsidRDefault="00BB71B4" w:rsidP="00BB71B4">
      <w:pPr>
        <w:pStyle w:val="TextoNormalSangraFrancesa"/>
        <w:rPr>
          <w:rStyle w:val="TextoNormalCaracter"/>
        </w:rPr>
      </w:pPr>
      <w:bookmarkStart w:id="1060" w:name="DESCRIPTORALFABETICO263"/>
      <w:r w:rsidRPr="00BB71B4">
        <w:rPr>
          <w:rStyle w:val="TextoNormalNegritaCaracter"/>
        </w:rPr>
        <w:t>Alcance del fallo en cuestión de inconstitucionalidad</w:t>
      </w:r>
      <w:bookmarkEnd w:id="1060"/>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 5.</w:t>
      </w:r>
    </w:p>
    <w:p w:rsidR="00BB71B4" w:rsidRPr="00BB71B4" w:rsidRDefault="00BB71B4" w:rsidP="00BB71B4">
      <w:pPr>
        <w:pStyle w:val="TextoNormalSangraFrancesa"/>
        <w:rPr>
          <w:rStyle w:val="TextoNormalCaracter"/>
        </w:rPr>
      </w:pPr>
      <w:bookmarkStart w:id="1061" w:name="DESCRIPTORALFABETICO310"/>
      <w:r w:rsidRPr="00BB71B4">
        <w:rPr>
          <w:rStyle w:val="TextoNormalNegritaCaracter"/>
        </w:rPr>
        <w:t>Alcance del fallo en recurso de amparo</w:t>
      </w:r>
      <w:bookmarkEnd w:id="1061"/>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8; </w:t>
      </w:r>
      <w:hyperlink w:anchor="SENTENCIA_2015_18" w:history="1">
        <w:r w:rsidRPr="00BB71B4">
          <w:rPr>
            <w:rStyle w:val="TextoNormalCaracter"/>
          </w:rPr>
          <w:t>18/2015</w:t>
        </w:r>
      </w:hyperlink>
      <w:r w:rsidRPr="00BB71B4">
        <w:rPr>
          <w:rStyle w:val="TextoNormalCaracter"/>
        </w:rPr>
        <w:t xml:space="preserve">, f. 8; </w:t>
      </w:r>
      <w:hyperlink w:anchor="SENTENCIA_2015_19" w:history="1">
        <w:r w:rsidRPr="00BB71B4">
          <w:rPr>
            <w:rStyle w:val="TextoNormalCaracter"/>
          </w:rPr>
          <w:t>19/2015</w:t>
        </w:r>
      </w:hyperlink>
      <w:r w:rsidRPr="00BB71B4">
        <w:rPr>
          <w:rStyle w:val="TextoNormalCaracter"/>
        </w:rPr>
        <w:t xml:space="preserve">, f. 6; </w:t>
      </w:r>
      <w:hyperlink w:anchor="SENTENCIA_2015_23" w:history="1">
        <w:r w:rsidRPr="00BB71B4">
          <w:rPr>
            <w:rStyle w:val="TextoNormalCaracter"/>
          </w:rPr>
          <w:t>23/2015</w:t>
        </w:r>
      </w:hyperlink>
      <w:r w:rsidRPr="00BB71B4">
        <w:rPr>
          <w:rStyle w:val="TextoNormalCaracter"/>
        </w:rPr>
        <w:t xml:space="preserve">, f. 9; </w:t>
      </w:r>
      <w:hyperlink w:anchor="SENTENCIA_2015_87" w:history="1">
        <w:r w:rsidRPr="00BB71B4">
          <w:rPr>
            <w:rStyle w:val="TextoNormalCaracter"/>
          </w:rPr>
          <w:t>87/2015</w:t>
        </w:r>
      </w:hyperlink>
      <w:r w:rsidRPr="00BB71B4">
        <w:rPr>
          <w:rStyle w:val="TextoNormalCaracter"/>
        </w:rPr>
        <w:t xml:space="preserve">, f. 5; </w:t>
      </w:r>
      <w:hyperlink w:anchor="SENTENCIA_2015_88" w:history="1">
        <w:r w:rsidRPr="00BB71B4">
          <w:rPr>
            <w:rStyle w:val="TextoNormalCaracter"/>
          </w:rPr>
          <w:t>88/2015</w:t>
        </w:r>
      </w:hyperlink>
      <w:r w:rsidRPr="00BB71B4">
        <w:rPr>
          <w:rStyle w:val="TextoNormalCaracter"/>
        </w:rPr>
        <w:t>, f. 4.</w:t>
      </w:r>
    </w:p>
    <w:p w:rsidR="00BB71B4" w:rsidRPr="00BB71B4" w:rsidRDefault="00BB71B4" w:rsidP="00BB71B4">
      <w:pPr>
        <w:pStyle w:val="TextoNormalSangraFrancesa"/>
        <w:rPr>
          <w:rStyle w:val="TextoNormalCaracter"/>
        </w:rPr>
      </w:pPr>
      <w:bookmarkStart w:id="1062" w:name="DESCRIPTORALFABETICO2"/>
      <w:r w:rsidRPr="00BB71B4">
        <w:rPr>
          <w:rStyle w:val="TextoNormalNegritaCaracter"/>
        </w:rPr>
        <w:t>Ámbito territorial autonómico</w:t>
      </w:r>
      <w:bookmarkEnd w:id="1062"/>
      <w:r w:rsidRPr="00BB71B4">
        <w:rPr>
          <w:rStyle w:val="TextoNormalCaracter"/>
        </w:rPr>
        <w:t xml:space="preserve">, Sentencia </w:t>
      </w:r>
      <w:hyperlink w:anchor="SENTENCIA_2015_61" w:history="1">
        <w:r w:rsidRPr="00BB71B4">
          <w:rPr>
            <w:rStyle w:val="TextoNormalCaracter"/>
          </w:rPr>
          <w:t>61/2015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063" w:name="DESCRIPTORALFABETICO3"/>
      <w:r w:rsidRPr="00BB71B4">
        <w:rPr>
          <w:rStyle w:val="TextoNormalNegritaCaracter"/>
        </w:rPr>
        <w:t>Ámbito territorial supraautonómico</w:t>
      </w:r>
      <w:bookmarkEnd w:id="1063"/>
      <w:r w:rsidRPr="00BB71B4">
        <w:rPr>
          <w:rStyle w:val="TextoNormalCaracter"/>
        </w:rPr>
        <w:t xml:space="preserve">, Sentencia </w:t>
      </w:r>
      <w:hyperlink w:anchor="SENTENCIA_2015_85" w:history="1">
        <w:r w:rsidRPr="00BB71B4">
          <w:rPr>
            <w:rStyle w:val="TextoNormalCaracter"/>
          </w:rPr>
          <w:t>85/2015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064" w:name="DESCRIPTORALFABETICO611"/>
      <w:r w:rsidRPr="00BB71B4">
        <w:rPr>
          <w:rStyle w:val="TextoNormalNegritaCaracter"/>
        </w:rPr>
        <w:t>Ampliación de prestaciones de la Seguridad Social</w:t>
      </w:r>
      <w:bookmarkEnd w:id="1064"/>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 6.</w:t>
      </w:r>
    </w:p>
    <w:p w:rsidR="00BB71B4" w:rsidRPr="00BB71B4" w:rsidRDefault="00BB71B4" w:rsidP="00BB71B4">
      <w:pPr>
        <w:pStyle w:val="TextoNormalSangraFrancesa"/>
        <w:rPr>
          <w:rStyle w:val="TextoNormalCaracter"/>
        </w:rPr>
      </w:pPr>
      <w:bookmarkStart w:id="1065" w:name="DESCRIPTORALFABETICO697"/>
      <w:r w:rsidRPr="00BB71B4">
        <w:rPr>
          <w:rStyle w:val="TextoNormalNegritaCaracter"/>
        </w:rPr>
        <w:t>Anotación preventiva de demanda de amparo</w:t>
      </w:r>
      <w:bookmarkEnd w:id="1065"/>
      <w:r w:rsidRPr="00BB71B4">
        <w:rPr>
          <w:rStyle w:val="TextoNormalCaracter"/>
        </w:rPr>
        <w:t xml:space="preserve">, Autos </w:t>
      </w:r>
      <w:hyperlink w:anchor="AUTO_2015_59" w:history="1">
        <w:r w:rsidRPr="00BB71B4">
          <w:rPr>
            <w:rStyle w:val="TextoNormalCaracter"/>
          </w:rPr>
          <w:t>59/2015</w:t>
        </w:r>
      </w:hyperlink>
      <w:r w:rsidRPr="00BB71B4">
        <w:rPr>
          <w:rStyle w:val="TextoNormalCaracter"/>
        </w:rPr>
        <w:t xml:space="preserve">, f. 3; </w:t>
      </w:r>
      <w:hyperlink w:anchor="AUTO_2015_95" w:history="1">
        <w:r w:rsidRPr="00BB71B4">
          <w:rPr>
            <w:rStyle w:val="TextoNormalCaracter"/>
          </w:rPr>
          <w:t>95/2015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066" w:name="DESCRIPTORALFABETICO93"/>
      <w:r w:rsidRPr="00BB71B4">
        <w:rPr>
          <w:rStyle w:val="TextoNormalNegritaCaracter"/>
        </w:rPr>
        <w:t>Anulación de proclamación de candidaturas</w:t>
      </w:r>
      <w:bookmarkEnd w:id="1066"/>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1, 2, 4, 5.</w:t>
      </w:r>
    </w:p>
    <w:p w:rsidR="00BB71B4" w:rsidRPr="00BB71B4" w:rsidRDefault="00BB71B4" w:rsidP="00BB71B4">
      <w:pPr>
        <w:pStyle w:val="TextoNormalSangraFrancesa"/>
        <w:rPr>
          <w:rStyle w:val="TextoNormalCaracter"/>
        </w:rPr>
      </w:pPr>
      <w:bookmarkStart w:id="1067" w:name="DESCRIPTORALFABETICO731"/>
      <w:r w:rsidRPr="00BB71B4">
        <w:rPr>
          <w:rStyle w:val="TextoNormalNegritaCaracter"/>
        </w:rPr>
        <w:t>Aragón</w:t>
      </w:r>
      <w:bookmarkEnd w:id="1067"/>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 1.</w:t>
      </w:r>
    </w:p>
    <w:p w:rsidR="00BB71B4" w:rsidRPr="00BB71B4" w:rsidRDefault="00BB71B4" w:rsidP="00BB71B4">
      <w:pPr>
        <w:pStyle w:val="TextoNormalSangraFrancesa"/>
        <w:rPr>
          <w:rStyle w:val="TextoNormalCaracter"/>
        </w:rPr>
      </w:pPr>
      <w:bookmarkStart w:id="1068" w:name="DESCRIPTORALFABETICO371"/>
      <w:r w:rsidRPr="00BB71B4">
        <w:rPr>
          <w:rStyle w:val="TextoNormalNegritaCaracter"/>
        </w:rPr>
        <w:t>Arbitrariedad de la Administración</w:t>
      </w:r>
      <w:bookmarkEnd w:id="1068"/>
      <w:r w:rsidRPr="00BB71B4">
        <w:rPr>
          <w:rStyle w:val="TextoNormalCaracter"/>
        </w:rPr>
        <w:t xml:space="preserve">, Auto </w:t>
      </w:r>
      <w:hyperlink w:anchor="AUTO_2015_111" w:history="1">
        <w:r w:rsidRPr="00BB71B4">
          <w:rPr>
            <w:rStyle w:val="TextoNormalCaracter"/>
          </w:rPr>
          <w:t>111/2015</w:t>
        </w:r>
      </w:hyperlink>
      <w:r w:rsidRPr="00BB71B4">
        <w:rPr>
          <w:rStyle w:val="TextoNormalCaracter"/>
        </w:rPr>
        <w:t>, ff. 1 y 2.</w:t>
      </w:r>
    </w:p>
    <w:p w:rsidR="00BB71B4" w:rsidRPr="00BB71B4" w:rsidRDefault="00BB71B4" w:rsidP="00BB71B4">
      <w:pPr>
        <w:pStyle w:val="TextoNormalSangraFrancesa"/>
        <w:rPr>
          <w:rStyle w:val="TextoNormalCaracter"/>
        </w:rPr>
      </w:pPr>
      <w:bookmarkStart w:id="1069" w:name="DESCRIPTORALFABETICO372"/>
      <w:r w:rsidRPr="00BB71B4">
        <w:rPr>
          <w:rStyle w:val="TextoNormalNegritaCaracter"/>
        </w:rPr>
        <w:t>Arbitrariedad del legislador</w:t>
      </w:r>
      <w:bookmarkEnd w:id="1069"/>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 4.</w:t>
      </w:r>
    </w:p>
    <w:p w:rsidR="00BB71B4" w:rsidRPr="00BB71B4" w:rsidRDefault="00BB71B4" w:rsidP="00BB71B4">
      <w:pPr>
        <w:pStyle w:val="TextoNormalSangraFrancesa"/>
        <w:rPr>
          <w:rStyle w:val="TextoNormalCaracter"/>
        </w:rPr>
      </w:pPr>
      <w:bookmarkStart w:id="1070" w:name="DESCRIPTORALFABETICO51"/>
      <w:r w:rsidRPr="00BB71B4">
        <w:rPr>
          <w:rStyle w:val="TextoNormalNegritaCaracter"/>
        </w:rPr>
        <w:t>Armonización fiscal</w:t>
      </w:r>
      <w:bookmarkEnd w:id="1070"/>
      <w:r w:rsidRPr="00BB71B4">
        <w:rPr>
          <w:rStyle w:val="TextoNormalCaracter"/>
        </w:rPr>
        <w:t xml:space="preserve">, Sentencias </w:t>
      </w:r>
      <w:hyperlink w:anchor="SENTENCIA_2015_26" w:history="1">
        <w:r w:rsidRPr="00BB71B4">
          <w:rPr>
            <w:rStyle w:val="TextoNormalCaracter"/>
          </w:rPr>
          <w:t>26/2015</w:t>
        </w:r>
      </w:hyperlink>
      <w:r w:rsidRPr="00BB71B4">
        <w:rPr>
          <w:rStyle w:val="TextoNormalCaracter"/>
        </w:rPr>
        <w:t xml:space="preserve">, ff. 4, 5, VP; </w:t>
      </w:r>
      <w:hyperlink w:anchor="SENTENCIA_2015_59" w:history="1">
        <w:r w:rsidRPr="00BB71B4">
          <w:rPr>
            <w:rStyle w:val="TextoNormalCaracter"/>
          </w:rPr>
          <w:t>59/2015</w:t>
        </w:r>
      </w:hyperlink>
      <w:r w:rsidRPr="00BB71B4">
        <w:rPr>
          <w:rStyle w:val="TextoNormalCaracter"/>
        </w:rPr>
        <w:t xml:space="preserve">, f. 2; </w:t>
      </w:r>
      <w:hyperlink w:anchor="SENTENCIA_2015_73" w:history="1">
        <w:r w:rsidRPr="00BB71B4">
          <w:rPr>
            <w:rStyle w:val="TextoNormalCaracter"/>
          </w:rPr>
          <w:t>73/2015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71" w:name="DESCRIPTORALFABETICO479"/>
      <w:r w:rsidRPr="00BB71B4">
        <w:rPr>
          <w:rStyle w:val="TextoNormalNegritaCaracter"/>
        </w:rPr>
        <w:t>Arraigo familiar</w:t>
      </w:r>
      <w:bookmarkEnd w:id="1071"/>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072" w:name="DESCRIPTORALFABETICO353"/>
      <w:r w:rsidRPr="00BB71B4">
        <w:rPr>
          <w:rStyle w:val="TextoNormalNegritaCaracter"/>
        </w:rPr>
        <w:t>Asamblea de Madrid</w:t>
      </w:r>
      <w:bookmarkEnd w:id="1072"/>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1; </w:t>
      </w:r>
      <w:hyperlink w:anchor="SENTENCIA_2015_23" w:history="1">
        <w:r w:rsidRPr="00BB71B4">
          <w:rPr>
            <w:rStyle w:val="TextoNormalCaracter"/>
          </w:rPr>
          <w:t>23/2015</w:t>
        </w:r>
      </w:hyperlink>
      <w:r w:rsidRPr="00BB71B4">
        <w:rPr>
          <w:rStyle w:val="TextoNormalCaracter"/>
        </w:rPr>
        <w:t>, f. 1.</w:t>
      </w:r>
    </w:p>
    <w:p w:rsidR="00BB71B4" w:rsidRPr="00BB71B4" w:rsidRDefault="00BB71B4" w:rsidP="00BB71B4">
      <w:pPr>
        <w:pStyle w:val="TextoNormalSangraFrancesa"/>
        <w:rPr>
          <w:rStyle w:val="TextoNormalCaracter"/>
        </w:rPr>
      </w:pPr>
      <w:bookmarkStart w:id="1073" w:name="DESCRIPTORALFABETICO352"/>
      <w:r w:rsidRPr="00BB71B4">
        <w:rPr>
          <w:rStyle w:val="TextoNormalNegritaCaracter"/>
        </w:rPr>
        <w:t>Asambleas legislativas de las Comunidades Autónomas</w:t>
      </w:r>
      <w:bookmarkEnd w:id="1073"/>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1; </w:t>
      </w:r>
      <w:hyperlink w:anchor="SENTENCIA_2015_23" w:history="1">
        <w:r w:rsidRPr="00BB71B4">
          <w:rPr>
            <w:rStyle w:val="TextoNormalCaracter"/>
          </w:rPr>
          <w:t>23/2015</w:t>
        </w:r>
      </w:hyperlink>
      <w:r w:rsidRPr="00BB71B4">
        <w:rPr>
          <w:rStyle w:val="TextoNormalCaracter"/>
        </w:rPr>
        <w:t>, f. 1.</w:t>
      </w:r>
    </w:p>
    <w:p w:rsidR="00BB71B4" w:rsidRPr="00BB71B4" w:rsidRDefault="00BB71B4" w:rsidP="00BB71B4">
      <w:pPr>
        <w:pStyle w:val="TextoNormalSangraFrancesa"/>
        <w:rPr>
          <w:rStyle w:val="TextoNormalCaracter"/>
        </w:rPr>
      </w:pPr>
      <w:bookmarkStart w:id="1074" w:name="DESCRIPTORALFABETICO600"/>
      <w:r w:rsidRPr="00BB71B4">
        <w:rPr>
          <w:rStyle w:val="TextoNormalNegritaCaracter"/>
        </w:rPr>
        <w:t>Atención farmacéutica</w:t>
      </w:r>
      <w:bookmarkEnd w:id="1074"/>
      <w:r w:rsidRPr="00BB71B4">
        <w:rPr>
          <w:rStyle w:val="TextoNormalCaracter"/>
        </w:rPr>
        <w:t xml:space="preserve">, Sentencia </w:t>
      </w:r>
      <w:hyperlink w:anchor="SENTENCIA_2015_6" w:history="1">
        <w:r w:rsidRPr="00BB71B4">
          <w:rPr>
            <w:rStyle w:val="TextoNormalCaracter"/>
          </w:rPr>
          <w:t>6/2015</w:t>
        </w:r>
      </w:hyperlink>
      <w:r w:rsidRPr="00BB71B4">
        <w:rPr>
          <w:rStyle w:val="TextoNormalCaracter"/>
        </w:rPr>
        <w:t>, f. 2.</w:t>
      </w:r>
    </w:p>
    <w:p w:rsidR="00BB71B4" w:rsidRPr="00BB71B4" w:rsidRDefault="00BB71B4" w:rsidP="00BB71B4">
      <w:pPr>
        <w:pStyle w:val="TextoNormalSangraFrancesa"/>
        <w:rPr>
          <w:rStyle w:val="TextoNormalCaracter"/>
        </w:rPr>
      </w:pPr>
      <w:bookmarkStart w:id="1075" w:name="DESCRIPTORALFABETICO264"/>
      <w:r w:rsidRPr="00BB71B4">
        <w:rPr>
          <w:rStyle w:val="TextoNormalNegritaCaracter"/>
        </w:rPr>
        <w:t>Audiencia previa a las partes</w:t>
      </w:r>
      <w:bookmarkEnd w:id="1075"/>
      <w:r w:rsidRPr="00BB71B4">
        <w:rPr>
          <w:rStyle w:val="TextoNormalCaracter"/>
        </w:rPr>
        <w:t xml:space="preserve">, Sentencia </w:t>
      </w:r>
      <w:hyperlink w:anchor="SENTENCIA_2015_4" w:history="1">
        <w:r w:rsidRPr="00BB71B4">
          <w:rPr>
            <w:rStyle w:val="TextoNormalCaracter"/>
          </w:rPr>
          <w:t>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076" w:name="DESCRIPTORALFABETICO300"/>
      <w:r w:rsidRPr="00BB71B4">
        <w:rPr>
          <w:rStyle w:val="TextoNormalNegritaCaracter"/>
        </w:rPr>
        <w:t>Ausencia de doctrina constitucional</w:t>
      </w:r>
      <w:bookmarkEnd w:id="1076"/>
      <w:r w:rsidRPr="00BB71B4">
        <w:rPr>
          <w:rStyle w:val="TextoNormalCaracter"/>
        </w:rPr>
        <w:t xml:space="preserve">, Sentencias </w:t>
      </w:r>
      <w:hyperlink w:anchor="SENTENCIA_2015_9" w:history="1">
        <w:r w:rsidRPr="00BB71B4">
          <w:rPr>
            <w:rStyle w:val="TextoNormalCaracter"/>
          </w:rPr>
          <w:t>9/2015</w:t>
        </w:r>
      </w:hyperlink>
      <w:r w:rsidRPr="00BB71B4">
        <w:rPr>
          <w:rStyle w:val="TextoNormalCaracter"/>
        </w:rPr>
        <w:t xml:space="preserve">, f. 3; </w:t>
      </w:r>
      <w:hyperlink w:anchor="SENTENCIA_2015_77" w:history="1">
        <w:r w:rsidRPr="00BB71B4">
          <w:rPr>
            <w:rStyle w:val="TextoNormalCaracter"/>
          </w:rPr>
          <w:t>77/2015</w:t>
        </w:r>
      </w:hyperlink>
      <w:r w:rsidRPr="00BB71B4">
        <w:rPr>
          <w:rStyle w:val="TextoNormalCaracter"/>
        </w:rPr>
        <w:t xml:space="preserve">, f. 1; </w:t>
      </w:r>
      <w:hyperlink w:anchor="SENTENCIA_2015_89" w:history="1">
        <w:r w:rsidRPr="00BB71B4">
          <w:rPr>
            <w:rStyle w:val="TextoNormalCaracter"/>
          </w:rPr>
          <w:t>89/2015</w:t>
        </w:r>
      </w:hyperlink>
      <w:r w:rsidRPr="00BB71B4">
        <w:rPr>
          <w:rStyle w:val="TextoNormalCaracter"/>
        </w:rPr>
        <w:t xml:space="preserve">, f. 2; </w:t>
      </w:r>
      <w:hyperlink w:anchor="SENTENCIA_2015_145" w:history="1">
        <w:r w:rsidRPr="00BB71B4">
          <w:rPr>
            <w:rStyle w:val="TextoNormalCaracter"/>
          </w:rPr>
          <w:t>145/2015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77" w:name="DESCRIPTORALFABETICO273"/>
      <w:r w:rsidRPr="00BB71B4">
        <w:rPr>
          <w:rStyle w:val="TextoNormalNegritaCaracter"/>
        </w:rPr>
        <w:t>Auto de planteamiento de cuestión de inconstitucionalidad</w:t>
      </w:r>
      <w:bookmarkEnd w:id="1077"/>
      <w:r w:rsidRPr="00BB71B4">
        <w:rPr>
          <w:rStyle w:val="TextoNormalCaracter"/>
        </w:rPr>
        <w:t xml:space="preserve">, Sentencia </w:t>
      </w:r>
      <w:hyperlink w:anchor="SENTENCIA_2015_3" w:history="1">
        <w:r w:rsidRPr="00BB71B4">
          <w:rPr>
            <w:rStyle w:val="TextoNormalCaracter"/>
          </w:rPr>
          <w:t>3/2015</w:t>
        </w:r>
      </w:hyperlink>
      <w:r w:rsidRPr="00BB71B4">
        <w:rPr>
          <w:rStyle w:val="TextoNormalCaracter"/>
        </w:rPr>
        <w:t>, f. 2.</w:t>
      </w:r>
    </w:p>
    <w:p w:rsidR="00BB71B4" w:rsidRPr="00BB71B4" w:rsidRDefault="00BB71B4" w:rsidP="00BB71B4">
      <w:pPr>
        <w:pStyle w:val="TextoNormalSangraFrancesa"/>
        <w:rPr>
          <w:rStyle w:val="TextoNormalCaracter"/>
        </w:rPr>
      </w:pPr>
      <w:bookmarkStart w:id="1078" w:name="DESCRIPTORALFABETICO635"/>
      <w:r w:rsidRPr="00BB71B4">
        <w:rPr>
          <w:rStyle w:val="TextoNormalNegritaCaracter"/>
        </w:rPr>
        <w:t>Autonomía colectiva</w:t>
      </w:r>
      <w:bookmarkEnd w:id="1078"/>
      <w:r w:rsidRPr="00BB71B4">
        <w:rPr>
          <w:rStyle w:val="TextoNormalCaracter"/>
        </w:rPr>
        <w:t xml:space="preserve">, Sentencia </w:t>
      </w:r>
      <w:hyperlink w:anchor="SENTENCIA_2015_140" w:history="1">
        <w:r w:rsidRPr="00BB71B4">
          <w:rPr>
            <w:rStyle w:val="TextoNormalCaracter"/>
          </w:rPr>
          <w:t>140/2015</w:t>
        </w:r>
      </w:hyperlink>
      <w:r w:rsidRPr="00BB71B4">
        <w:rPr>
          <w:rStyle w:val="TextoNormalCaracter"/>
        </w:rPr>
        <w:t>, f. 2 c).</w:t>
      </w:r>
    </w:p>
    <w:p w:rsidR="00BB71B4" w:rsidRPr="00BB71B4" w:rsidRDefault="00BB71B4" w:rsidP="00BB71B4">
      <w:pPr>
        <w:pStyle w:val="TextoNormalSangraFrancesa"/>
        <w:rPr>
          <w:rStyle w:val="TextoNormalCaracter"/>
        </w:rPr>
      </w:pPr>
      <w:bookmarkStart w:id="1079" w:name="DESCRIPTORALFABETICO48"/>
      <w:r w:rsidRPr="00BB71B4">
        <w:rPr>
          <w:rStyle w:val="TextoNormalNegritaCaracter"/>
        </w:rPr>
        <w:t>Autonomía financiera</w:t>
      </w:r>
      <w:bookmarkEnd w:id="1079"/>
      <w:r w:rsidRPr="00BB71B4">
        <w:rPr>
          <w:rStyle w:val="TextoNormalCaracter"/>
        </w:rPr>
        <w:t xml:space="preserve">, Sentencias </w:t>
      </w:r>
      <w:hyperlink w:anchor="SENTENCIA_2015_22" w:history="1">
        <w:r w:rsidRPr="00BB71B4">
          <w:rPr>
            <w:rStyle w:val="TextoNormalCaracter"/>
          </w:rPr>
          <w:t>22/2015</w:t>
        </w:r>
      </w:hyperlink>
      <w:r w:rsidRPr="00BB71B4">
        <w:rPr>
          <w:rStyle w:val="TextoNormalCaracter"/>
        </w:rPr>
        <w:t xml:space="preserve">, f. 2; </w:t>
      </w:r>
      <w:hyperlink w:anchor="SENTENCIA_2015_26" w:history="1">
        <w:r w:rsidRPr="00BB71B4">
          <w:rPr>
            <w:rStyle w:val="TextoNormalCaracter"/>
          </w:rPr>
          <w:t>26/2015</w:t>
        </w:r>
      </w:hyperlink>
      <w:r w:rsidRPr="00BB71B4">
        <w:rPr>
          <w:rStyle w:val="TextoNormalCaracter"/>
        </w:rPr>
        <w:t xml:space="preserve">, ff. 3 a 6; </w:t>
      </w:r>
      <w:hyperlink w:anchor="SENTENCIA_2015_59" w:history="1">
        <w:r w:rsidRPr="00BB71B4">
          <w:rPr>
            <w:rStyle w:val="TextoNormalCaracter"/>
          </w:rPr>
          <w:t>59/2015</w:t>
        </w:r>
      </w:hyperlink>
      <w:r w:rsidRPr="00BB71B4">
        <w:rPr>
          <w:rStyle w:val="TextoNormalCaracter"/>
        </w:rPr>
        <w:t xml:space="preserve">, f. 2; </w:t>
      </w:r>
      <w:hyperlink w:anchor="SENTENCIA_2015_73" w:history="1">
        <w:r w:rsidRPr="00BB71B4">
          <w:rPr>
            <w:rStyle w:val="TextoNormalCaracter"/>
          </w:rPr>
          <w:t>73/2015</w:t>
        </w:r>
      </w:hyperlink>
      <w:r w:rsidRPr="00BB71B4">
        <w:rPr>
          <w:rStyle w:val="TextoNormalCaracter"/>
        </w:rPr>
        <w:t xml:space="preserve">, f. 3; </w:t>
      </w:r>
      <w:hyperlink w:anchor="SENTENCIA_2015_143" w:history="1">
        <w:r w:rsidRPr="00BB71B4">
          <w:rPr>
            <w:rStyle w:val="TextoNormalCaracter"/>
          </w:rPr>
          <w:t>143/2015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80" w:name="DESCRIPTORALFABETICO364"/>
      <w:r w:rsidRPr="00BB71B4">
        <w:rPr>
          <w:rStyle w:val="TextoNormalNegritaCaracter"/>
        </w:rPr>
        <w:t>Autonomía local</w:t>
      </w:r>
      <w:bookmarkEnd w:id="108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 </w:t>
      </w:r>
      <w:hyperlink w:anchor="SENTENCIA_2015_92" w:history="1">
        <w:r w:rsidRPr="00BB71B4">
          <w:rPr>
            <w:rStyle w:val="TextoNormalCaracter"/>
          </w:rPr>
          <w:t>92/2015</w:t>
        </w:r>
      </w:hyperlink>
      <w:r w:rsidRPr="00BB71B4">
        <w:rPr>
          <w:rStyle w:val="TextoNormalCaracter"/>
        </w:rPr>
        <w:t>, f. 4.</w:t>
      </w:r>
    </w:p>
    <w:p w:rsidR="00BB71B4" w:rsidRPr="00BB71B4" w:rsidRDefault="00BB71B4" w:rsidP="00BB71B4">
      <w:pPr>
        <w:pStyle w:val="TextoNormalSangraFrancesa"/>
        <w:rPr>
          <w:rStyle w:val="TextoNormalCaracter"/>
        </w:rPr>
      </w:pPr>
      <w:bookmarkStart w:id="1081" w:name="DESCRIPTORALFABETICO365"/>
      <w:r w:rsidRPr="00BB71B4">
        <w:rPr>
          <w:rStyle w:val="TextoNormalNegritaCaracter"/>
        </w:rPr>
        <w:t>Autonomía municipal</w:t>
      </w:r>
      <w:bookmarkEnd w:id="1081"/>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5 a 8, 10, 12 a 15, 16 c),  17 apartados a) a c), 18 apartados a), b), d) y f), 19, 20, 22 a 24; </w:t>
      </w:r>
      <w:hyperlink w:anchor="SENTENCIA_2015_92" w:history="1">
        <w:r w:rsidRPr="00BB71B4">
          <w:rPr>
            <w:rStyle w:val="TextoNormalCaracter"/>
          </w:rPr>
          <w:t>92/2015</w:t>
        </w:r>
      </w:hyperlink>
      <w:r w:rsidRPr="00BB71B4">
        <w:rPr>
          <w:rStyle w:val="TextoNormalCaracter"/>
        </w:rPr>
        <w:t>, ff. 7, 10.</w:t>
      </w:r>
    </w:p>
    <w:p w:rsidR="00BB71B4" w:rsidRPr="00BB71B4" w:rsidRDefault="00BB71B4" w:rsidP="00BB71B4">
      <w:pPr>
        <w:pStyle w:val="TextoNormalSangraFrancesa"/>
        <w:rPr>
          <w:rStyle w:val="TextoNormalCaracter"/>
        </w:rPr>
      </w:pPr>
      <w:bookmarkStart w:id="1082" w:name="DESCRIPTORALFABETICO363"/>
      <w:r w:rsidRPr="00BB71B4">
        <w:rPr>
          <w:rStyle w:val="TextoNormalNegritaCaracter"/>
        </w:rPr>
        <w:t>Autonomía política</w:t>
      </w:r>
      <w:bookmarkEnd w:id="1082"/>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ff. 3, 5.</w:t>
      </w:r>
    </w:p>
    <w:p w:rsidR="00BB71B4" w:rsidRPr="00BB71B4" w:rsidRDefault="00BB71B4" w:rsidP="00BB71B4">
      <w:pPr>
        <w:pStyle w:val="TextoNormalSangraFrancesa"/>
        <w:rPr>
          <w:rStyle w:val="TextoNormalCaracter"/>
        </w:rPr>
      </w:pPr>
      <w:bookmarkStart w:id="1083" w:name="DESCRIPTORALFABETICO357"/>
      <w:r w:rsidRPr="00BB71B4">
        <w:rPr>
          <w:rStyle w:val="TextoNormalNegritaCaracter"/>
        </w:rPr>
        <w:t>Autonomía reglamentaria</w:t>
      </w:r>
      <w:bookmarkEnd w:id="1083"/>
      <w:r w:rsidRPr="00BB71B4">
        <w:rPr>
          <w:rStyle w:val="TextoNormalCaracter"/>
        </w:rPr>
        <w:t xml:space="preserve">, Sentencia </w:t>
      </w:r>
      <w:hyperlink w:anchor="SENTENCIA_2015_44" w:history="1">
        <w:r w:rsidRPr="00BB71B4">
          <w:rPr>
            <w:rStyle w:val="TextoNormalCaracter"/>
          </w:rPr>
          <w:t>44/2015</w:t>
        </w:r>
      </w:hyperlink>
      <w:r w:rsidRPr="00BB71B4">
        <w:rPr>
          <w:rStyle w:val="TextoNormalCaracter"/>
        </w:rPr>
        <w:t>, f. 3 d).</w:t>
      </w:r>
    </w:p>
    <w:p w:rsidR="00BB71B4" w:rsidRPr="00BB71B4" w:rsidRDefault="00BB71B4" w:rsidP="00BB71B4">
      <w:pPr>
        <w:pStyle w:val="TextoNormalSangraFrancesa"/>
        <w:rPr>
          <w:rStyle w:val="TextoNormalCaracter"/>
        </w:rPr>
      </w:pPr>
      <w:bookmarkStart w:id="1084" w:name="DESCRIPTORALFABETICO404"/>
      <w:r w:rsidRPr="00BB71B4">
        <w:rPr>
          <w:rStyle w:val="TextoNormalNegritaCaracter"/>
        </w:rPr>
        <w:t>Autorización administrativa previa</w:t>
      </w:r>
      <w:bookmarkEnd w:id="1084"/>
      <w:r w:rsidRPr="00BB71B4">
        <w:rPr>
          <w:rStyle w:val="TextoNormalCaracter"/>
        </w:rPr>
        <w:t xml:space="preserve">, Sentencia </w:t>
      </w:r>
      <w:hyperlink w:anchor="SENTENCIA_2015_24" w:history="1">
        <w:r w:rsidRPr="00BB71B4">
          <w:rPr>
            <w:rStyle w:val="TextoNormalCaracter"/>
          </w:rPr>
          <w:t>24/2015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085" w:name="DESCRIPTORALFABETICO601"/>
      <w:r w:rsidRPr="00BB71B4">
        <w:rPr>
          <w:rStyle w:val="TextoNormalNegritaCaracter"/>
        </w:rPr>
        <w:t>Autorización de apertura de farmacia</w:t>
      </w:r>
      <w:bookmarkEnd w:id="1085"/>
      <w:r w:rsidRPr="00BB71B4">
        <w:rPr>
          <w:rStyle w:val="TextoNormalCaracter"/>
        </w:rPr>
        <w:t xml:space="preserve">, Sentencia </w:t>
      </w:r>
      <w:hyperlink w:anchor="SENTENCIA_2015_41" w:history="1">
        <w:r w:rsidRPr="00BB71B4">
          <w:rPr>
            <w:rStyle w:val="TextoNormalCaracter"/>
          </w:rPr>
          <w:t>41/2015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086" w:name="DESCRIPTORALFABETICO139"/>
      <w:r w:rsidRPr="00BB71B4">
        <w:rPr>
          <w:rStyle w:val="TextoNormalNegritaCaracter"/>
        </w:rPr>
        <w:t>Autorización de convocatoria de referéndum</w:t>
      </w:r>
      <w:bookmarkEnd w:id="1086"/>
      <w:r w:rsidRPr="00BB71B4">
        <w:rPr>
          <w:rStyle w:val="TextoNormalCaracter"/>
        </w:rPr>
        <w:t xml:space="preserve">, Sentencias </w:t>
      </w:r>
      <w:hyperlink w:anchor="SENTENCIA_2015_31" w:history="1">
        <w:r w:rsidRPr="00BB71B4">
          <w:rPr>
            <w:rStyle w:val="TextoNormalCaracter"/>
          </w:rPr>
          <w:t>31/2015</w:t>
        </w:r>
      </w:hyperlink>
      <w:r w:rsidRPr="00BB71B4">
        <w:rPr>
          <w:rStyle w:val="TextoNormalCaracter"/>
        </w:rPr>
        <w:t xml:space="preserve">, ff. 5 a 11; </w:t>
      </w:r>
      <w:hyperlink w:anchor="SENTENCIA_2015_32" w:history="1">
        <w:r w:rsidRPr="00BB71B4">
          <w:rPr>
            <w:rStyle w:val="TextoNormalCaracter"/>
          </w:rPr>
          <w:t>32/2015</w:t>
        </w:r>
      </w:hyperlink>
      <w:r w:rsidRPr="00BB71B4">
        <w:rPr>
          <w:rStyle w:val="TextoNormalCaracter"/>
        </w:rPr>
        <w:t xml:space="preserve">, ff. 3, 4; </w:t>
      </w:r>
      <w:hyperlink w:anchor="SENTENCIA_2015_137" w:history="1">
        <w:r w:rsidRPr="00BB71B4">
          <w:rPr>
            <w:rStyle w:val="TextoNormalCaracter"/>
          </w:rPr>
          <w:t>137/2015</w:t>
        </w:r>
      </w:hyperlink>
      <w:r w:rsidRPr="00BB71B4">
        <w:rPr>
          <w:rStyle w:val="TextoNormalCaracter"/>
        </w:rPr>
        <w:t xml:space="preserve">, ff. 4 a 8;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bookmarkStart w:id="1087" w:name="DESCRIPTORALFABETICO488"/>
      <w:r w:rsidRPr="00BB71B4">
        <w:rPr>
          <w:rStyle w:val="TextoNormalNegritaCaracter"/>
        </w:rPr>
        <w:t>Ayudas al estudio</w:t>
      </w:r>
      <w:bookmarkEnd w:id="1087"/>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2, 4.</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B</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088" w:name="DESCRIPTORALFABETICO728"/>
      <w:r w:rsidRPr="00BB71B4">
        <w:rPr>
          <w:rStyle w:val="TextoNormalNegritaCaracter"/>
        </w:rPr>
        <w:t>Banco de España</w:t>
      </w:r>
      <w:bookmarkEnd w:id="1088"/>
      <w:r w:rsidRPr="00BB71B4">
        <w:rPr>
          <w:rStyle w:val="TextoNormalCaracter"/>
        </w:rPr>
        <w:t xml:space="preserve">, Sentencia </w:t>
      </w:r>
      <w:hyperlink w:anchor="SENTENCIA_2015_44" w:history="1">
        <w:r w:rsidRPr="00BB71B4">
          <w:rPr>
            <w:rStyle w:val="TextoNormalCaracter"/>
          </w:rPr>
          <w:t>44/2015</w:t>
        </w:r>
      </w:hyperlink>
      <w:r w:rsidRPr="00BB71B4">
        <w:rPr>
          <w:rStyle w:val="TextoNormalCaracter"/>
        </w:rPr>
        <w:t>, f. 3 g).</w:t>
      </w:r>
    </w:p>
    <w:p w:rsidR="00BB71B4" w:rsidRPr="00BB71B4" w:rsidRDefault="00BB71B4" w:rsidP="00BB71B4">
      <w:pPr>
        <w:pStyle w:val="TextoNormalSangraFrancesa"/>
        <w:rPr>
          <w:rStyle w:val="TextoNormalCaracter"/>
        </w:rPr>
      </w:pPr>
      <w:bookmarkStart w:id="1089" w:name="DESCRIPTORALFABETICO57"/>
      <w:r w:rsidRPr="00BB71B4">
        <w:rPr>
          <w:rStyle w:val="TextoNormalNegritaCaracter"/>
        </w:rPr>
        <w:t>Bases de la planificación económica</w:t>
      </w:r>
      <w:bookmarkEnd w:id="1089"/>
      <w:r w:rsidRPr="00BB71B4">
        <w:rPr>
          <w:rStyle w:val="TextoNormalCaracter"/>
        </w:rPr>
        <w:t xml:space="preserve">, Sentencias </w:t>
      </w:r>
      <w:hyperlink w:anchor="SENTENCIA_2015_85" w:history="1">
        <w:r w:rsidRPr="00BB71B4">
          <w:rPr>
            <w:rStyle w:val="TextoNormalCaracter"/>
          </w:rPr>
          <w:t>85/2015</w:t>
        </w:r>
      </w:hyperlink>
      <w:r w:rsidRPr="00BB71B4">
        <w:rPr>
          <w:rStyle w:val="TextoNormalCaracter"/>
        </w:rPr>
        <w:t xml:space="preserve">, ff. 2, 4; </w:t>
      </w:r>
      <w:hyperlink w:anchor="SENTENCIA_2015_93" w:history="1">
        <w:r w:rsidRPr="00BB71B4">
          <w:rPr>
            <w:rStyle w:val="TextoNormalCaracter"/>
          </w:rPr>
          <w:t>93/2015</w:t>
        </w:r>
      </w:hyperlink>
      <w:r w:rsidRPr="00BB71B4">
        <w:rPr>
          <w:rStyle w:val="TextoNormalCaracter"/>
        </w:rPr>
        <w:t>, ff. 16 a 18, VP I, VP II.</w:t>
      </w:r>
    </w:p>
    <w:p w:rsidR="00BB71B4" w:rsidRPr="00BB71B4" w:rsidRDefault="00BB71B4" w:rsidP="00BB71B4">
      <w:pPr>
        <w:pStyle w:val="TextoNormalSangraFrancesa"/>
        <w:rPr>
          <w:rStyle w:val="TextoNormalCaracter"/>
        </w:rPr>
      </w:pPr>
      <w:bookmarkStart w:id="1090" w:name="DESCRIPTORALFABETICO489"/>
      <w:r w:rsidRPr="00BB71B4">
        <w:rPr>
          <w:rStyle w:val="TextoNormalNegritaCaracter"/>
        </w:rPr>
        <w:t>Becas</w:t>
      </w:r>
      <w:bookmarkEnd w:id="1090"/>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091" w:name="DESCRIPTORALFABETICO72"/>
      <w:r w:rsidRPr="00BB71B4">
        <w:rPr>
          <w:rStyle w:val="TextoNormalNegritaCaracter"/>
        </w:rPr>
        <w:t>Beneficios fiscales</w:t>
      </w:r>
      <w:bookmarkEnd w:id="1091"/>
      <w:r w:rsidRPr="00BB71B4">
        <w:rPr>
          <w:rStyle w:val="TextoNormalCaracter"/>
        </w:rPr>
        <w:t xml:space="preserve">, Sentencia </w:t>
      </w:r>
      <w:hyperlink w:anchor="SENTENCIA_2015_77" w:history="1">
        <w:r w:rsidRPr="00BB71B4">
          <w:rPr>
            <w:rStyle w:val="TextoNormalCaracter"/>
          </w:rPr>
          <w:t>77/2015</w:t>
        </w:r>
      </w:hyperlink>
      <w:r w:rsidRPr="00BB71B4">
        <w:rPr>
          <w:rStyle w:val="TextoNormalCaracter"/>
        </w:rPr>
        <w:t>, ff. 1, 3, 4.</w:t>
      </w:r>
    </w:p>
    <w:p w:rsidR="00BB71B4" w:rsidRPr="00BB71B4" w:rsidRDefault="00BB71B4" w:rsidP="00BB71B4">
      <w:pPr>
        <w:pStyle w:val="TextoNormalSangraFrancesa"/>
        <w:rPr>
          <w:rStyle w:val="TextoNormalCaracter"/>
        </w:rPr>
      </w:pPr>
      <w:bookmarkStart w:id="1092" w:name="DESCRIPTORALFABETICO73"/>
      <w:r w:rsidRPr="00BB71B4">
        <w:rPr>
          <w:rStyle w:val="TextoNormalNegritaCaracter"/>
        </w:rPr>
        <w:t>Beneficios fiscales autorizados por Comunidades Autónomas</w:t>
      </w:r>
      <w:bookmarkEnd w:id="1092"/>
      <w:r w:rsidRPr="00BB71B4">
        <w:rPr>
          <w:rStyle w:val="TextoNormalCaracter"/>
        </w:rPr>
        <w:t xml:space="preserve">, Sentencia </w:t>
      </w:r>
      <w:hyperlink w:anchor="SENTENCIA_2015_60" w:history="1">
        <w:r w:rsidRPr="00BB71B4">
          <w:rPr>
            <w:rStyle w:val="TextoNormalCaracter"/>
          </w:rPr>
          <w:t>60/2015</w:t>
        </w:r>
      </w:hyperlink>
      <w:r w:rsidRPr="00BB71B4">
        <w:rPr>
          <w:rStyle w:val="TextoNormalCaracter"/>
        </w:rPr>
        <w:t>, ff. 3, 5.</w:t>
      </w:r>
    </w:p>
    <w:p w:rsidR="00BB71B4" w:rsidRPr="00BB71B4" w:rsidRDefault="00BB71B4" w:rsidP="00BB71B4">
      <w:pPr>
        <w:pStyle w:val="TextoNormalSangraFrancesa"/>
        <w:rPr>
          <w:rStyle w:val="TextoNormalCaracter"/>
        </w:rPr>
      </w:pPr>
      <w:bookmarkStart w:id="1093" w:name="DESCRIPTORALFABETICO458"/>
      <w:r w:rsidRPr="00BB71B4">
        <w:rPr>
          <w:rStyle w:val="TextoNormalNegritaCaracter"/>
        </w:rPr>
        <w:t>Bienes públicos</w:t>
      </w:r>
      <w:bookmarkEnd w:id="1093"/>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094" w:name="DESCRIPTORALFABETICO1"/>
      <w:r w:rsidRPr="00BB71B4">
        <w:rPr>
          <w:rStyle w:val="TextoNormalNegritaCaracter"/>
        </w:rPr>
        <w:t>Bloque de constitucionalidad</w:t>
      </w:r>
      <w:bookmarkEnd w:id="1094"/>
      <w:r w:rsidRPr="00BB71B4">
        <w:rPr>
          <w:rStyle w:val="TextoNormalCaracter"/>
        </w:rPr>
        <w:t xml:space="preserve">, Sentencia </w:t>
      </w:r>
      <w:hyperlink w:anchor="SENTENCIA_2015_31" w:history="1">
        <w:r w:rsidRPr="00BB71B4">
          <w:rPr>
            <w:rStyle w:val="TextoNormalCaracter"/>
          </w:rPr>
          <w:t>31/2015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95" w:name="DESCRIPTORALFABETICO74"/>
      <w:r w:rsidRPr="00BB71B4">
        <w:rPr>
          <w:rStyle w:val="TextoNormalNegritaCaracter"/>
        </w:rPr>
        <w:t>Bonificaciones tributarias</w:t>
      </w:r>
      <w:bookmarkEnd w:id="1095"/>
      <w:r w:rsidRPr="00BB71B4">
        <w:rPr>
          <w:rStyle w:val="TextoNormalCaracter"/>
        </w:rPr>
        <w:t xml:space="preserve">, Sentencia </w:t>
      </w:r>
      <w:hyperlink w:anchor="SENTENCIA_2015_60" w:history="1">
        <w:r w:rsidRPr="00BB71B4">
          <w:rPr>
            <w:rStyle w:val="TextoNormalCaracter"/>
          </w:rPr>
          <w:t>60/2015</w:t>
        </w:r>
      </w:hyperlink>
      <w:r w:rsidRPr="00BB71B4">
        <w:rPr>
          <w:rStyle w:val="TextoNormalCaracter"/>
        </w:rPr>
        <w:t>, ff. 1 a 3, 5, 6.</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C</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096" w:name="DESCRIPTORALFABETICO440"/>
      <w:r w:rsidRPr="00BB71B4">
        <w:rPr>
          <w:rStyle w:val="TextoNormalNegritaCaracter"/>
        </w:rPr>
        <w:t>Cajas de ahorros</w:t>
      </w:r>
      <w:bookmarkEnd w:id="1096"/>
      <w:r w:rsidRPr="00BB71B4">
        <w:rPr>
          <w:rStyle w:val="TextoNormalCaracter"/>
        </w:rPr>
        <w:t xml:space="preserve">, Sentencias </w:t>
      </w:r>
      <w:hyperlink w:anchor="SENTENCIA_2015_14" w:history="1">
        <w:r w:rsidRPr="00BB71B4">
          <w:rPr>
            <w:rStyle w:val="TextoNormalCaracter"/>
          </w:rPr>
          <w:t>14/2015</w:t>
        </w:r>
      </w:hyperlink>
      <w:r w:rsidRPr="00BB71B4">
        <w:rPr>
          <w:rStyle w:val="TextoNormalCaracter"/>
        </w:rPr>
        <w:t xml:space="preserve">, ff. 1, 3 a 6; </w:t>
      </w:r>
      <w:hyperlink w:anchor="SENTENCIA_2015_47" w:history="1">
        <w:r w:rsidRPr="00BB71B4">
          <w:rPr>
            <w:rStyle w:val="TextoNormalCaracter"/>
          </w:rPr>
          <w:t>47/2015</w:t>
        </w:r>
      </w:hyperlink>
      <w:r w:rsidRPr="00BB71B4">
        <w:rPr>
          <w:rStyle w:val="TextoNormalCaracter"/>
        </w:rPr>
        <w:t>, ff. 2, 6.</w:t>
      </w:r>
    </w:p>
    <w:p w:rsidR="00BB71B4" w:rsidRPr="00BB71B4" w:rsidRDefault="00BB71B4" w:rsidP="00BB71B4">
      <w:pPr>
        <w:pStyle w:val="TextoNormalSangraFrancesa"/>
        <w:rPr>
          <w:rStyle w:val="TextoNormalCaracter"/>
        </w:rPr>
      </w:pPr>
      <w:bookmarkStart w:id="1097" w:name="DESCRIPTORALFABETICO381"/>
      <w:r w:rsidRPr="00BB71B4">
        <w:rPr>
          <w:rStyle w:val="TextoNormalNegritaCaracter"/>
        </w:rPr>
        <w:t>Calificación de la infracción en la fase de aplicación de la sanción</w:t>
      </w:r>
      <w:bookmarkEnd w:id="1097"/>
      <w:r w:rsidRPr="00BB71B4">
        <w:rPr>
          <w:rStyle w:val="TextoNormalCaracter"/>
        </w:rPr>
        <w:t xml:space="preserve">, Sentencia </w:t>
      </w:r>
      <w:hyperlink w:anchor="SENTENCIA_2015_10" w:history="1">
        <w:r w:rsidRPr="00BB71B4">
          <w:rPr>
            <w:rStyle w:val="TextoNormalCaracter"/>
          </w:rPr>
          <w:t>10/2015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98" w:name="DESCRIPTORALFABETICO380"/>
      <w:r w:rsidRPr="00BB71B4">
        <w:rPr>
          <w:rStyle w:val="TextoNormalNegritaCaracter"/>
        </w:rPr>
        <w:t>Calificación jurídica de infracciones administrativas</w:t>
      </w:r>
      <w:bookmarkEnd w:id="1098"/>
      <w:r w:rsidRPr="00BB71B4">
        <w:rPr>
          <w:rStyle w:val="TextoNormalCaracter"/>
        </w:rPr>
        <w:t xml:space="preserve">, Sentencia </w:t>
      </w:r>
      <w:hyperlink w:anchor="SENTENCIA_2015_10" w:history="1">
        <w:r w:rsidRPr="00BB71B4">
          <w:rPr>
            <w:rStyle w:val="TextoNormalCaracter"/>
          </w:rPr>
          <w:t>10/2015</w:t>
        </w:r>
      </w:hyperlink>
      <w:r w:rsidRPr="00BB71B4">
        <w:rPr>
          <w:rStyle w:val="TextoNormalCaracter"/>
        </w:rPr>
        <w:t>, f. 3.</w:t>
      </w:r>
    </w:p>
    <w:p w:rsidR="00BB71B4" w:rsidRPr="00BB71B4" w:rsidRDefault="00BB71B4" w:rsidP="00BB71B4">
      <w:pPr>
        <w:pStyle w:val="TextoNormalSangraFrancesa"/>
        <w:rPr>
          <w:rStyle w:val="TextoNormalCaracter"/>
        </w:rPr>
      </w:pPr>
      <w:bookmarkStart w:id="1099" w:name="DESCRIPTORALFABETICO338"/>
      <w:r w:rsidRPr="00BB71B4">
        <w:rPr>
          <w:rStyle w:val="TextoNormalNegritaCaracter"/>
        </w:rPr>
        <w:t>Calificación y admisión de escritos parlamentarios</w:t>
      </w:r>
      <w:bookmarkEnd w:id="1099"/>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ff. 4 a 7; </w:t>
      </w:r>
      <w:hyperlink w:anchor="SENTENCIA_2015_23" w:history="1">
        <w:r w:rsidRPr="00BB71B4">
          <w:rPr>
            <w:rStyle w:val="TextoNormalCaracter"/>
          </w:rPr>
          <w:t>23/2015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100" w:name="DESCRIPTORALFABETICO732"/>
      <w:r w:rsidRPr="00BB71B4">
        <w:rPr>
          <w:rStyle w:val="TextoNormalNegritaCaracter"/>
        </w:rPr>
        <w:t>Canarias</w:t>
      </w:r>
      <w:bookmarkEnd w:id="1100"/>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 1; </w:t>
      </w:r>
      <w:hyperlink w:anchor="SENTENCIA_2015_106" w:history="1">
        <w:r w:rsidRPr="00BB71B4">
          <w:rPr>
            <w:rStyle w:val="TextoNormalCaracter"/>
          </w:rPr>
          <w:t>106/2015</w:t>
        </w:r>
      </w:hyperlink>
      <w:r w:rsidRPr="00BB71B4">
        <w:rPr>
          <w:rStyle w:val="TextoNormalCaracter"/>
        </w:rPr>
        <w:t xml:space="preserve">, ff. 1 a 3; </w:t>
      </w:r>
      <w:hyperlink w:anchor="SENTENCIA_2015_137" w:history="1">
        <w:r w:rsidRPr="00BB71B4">
          <w:rPr>
            <w:rStyle w:val="TextoNormalCaracter"/>
          </w:rPr>
          <w:t>137/2015</w:t>
        </w:r>
      </w:hyperlink>
      <w:r w:rsidRPr="00BB71B4">
        <w:rPr>
          <w:rStyle w:val="TextoNormalCaracter"/>
        </w:rPr>
        <w:t xml:space="preserve">, f. 1; </w:t>
      </w:r>
      <w:hyperlink w:anchor="SENTENCIA_2015_146" w:history="1">
        <w:r w:rsidRPr="00BB71B4">
          <w:rPr>
            <w:rStyle w:val="TextoNormalCaracter"/>
          </w:rPr>
          <w:t>146/2015</w:t>
        </w:r>
      </w:hyperlink>
      <w:r w:rsidRPr="00BB71B4">
        <w:rPr>
          <w:rStyle w:val="TextoNormalCaracter"/>
        </w:rPr>
        <w:t xml:space="preserve">, f. 1; </w:t>
      </w:r>
      <w:hyperlink w:anchor="SENTENCIA_2015_147" w:history="1">
        <w:r w:rsidRPr="00BB71B4">
          <w:rPr>
            <w:rStyle w:val="TextoNormalCaracter"/>
          </w:rPr>
          <w:t>147/2015</w:t>
        </w:r>
      </w:hyperlink>
      <w:r w:rsidRPr="00BB71B4">
        <w:rPr>
          <w:rStyle w:val="TextoNormalCaracter"/>
        </w:rPr>
        <w:t>, f. 1.</w:t>
      </w:r>
    </w:p>
    <w:p w:rsidR="00BB71B4" w:rsidRPr="00BB71B4" w:rsidRDefault="00BB71B4" w:rsidP="00BB71B4">
      <w:pPr>
        <w:pStyle w:val="TextoNormalSangraFrancesa"/>
        <w:rPr>
          <w:rStyle w:val="TextoNormalCaracter"/>
        </w:rPr>
      </w:pPr>
      <w:bookmarkStart w:id="1101" w:name="DESCRIPTORALFABETICO95"/>
      <w:r w:rsidRPr="00BB71B4">
        <w:rPr>
          <w:rStyle w:val="TextoNormalNegritaCaracter"/>
        </w:rPr>
        <w:t>Candidaturas electorales</w:t>
      </w:r>
      <w:bookmarkEnd w:id="1101"/>
      <w:r w:rsidRPr="00BB71B4">
        <w:rPr>
          <w:rStyle w:val="TextoNormalCaracter"/>
        </w:rPr>
        <w:t xml:space="preserve">, Autos </w:t>
      </w:r>
      <w:hyperlink w:anchor="AUTO_2015_78" w:history="1">
        <w:r w:rsidRPr="00BB71B4">
          <w:rPr>
            <w:rStyle w:val="TextoNormalCaracter"/>
          </w:rPr>
          <w:t>78/2015</w:t>
        </w:r>
      </w:hyperlink>
      <w:r w:rsidRPr="00BB71B4">
        <w:rPr>
          <w:rStyle w:val="TextoNormalCaracter"/>
        </w:rPr>
        <w:t xml:space="preserve">, f. 2; </w:t>
      </w:r>
      <w:hyperlink w:anchor="AUTO_2015_79" w:history="1">
        <w:r w:rsidRPr="00BB71B4">
          <w:rPr>
            <w:rStyle w:val="TextoNormalCaracter"/>
          </w:rPr>
          <w:t>79/2015</w:t>
        </w:r>
      </w:hyperlink>
      <w:r w:rsidRPr="00BB71B4">
        <w:rPr>
          <w:rStyle w:val="TextoNormalCaracter"/>
        </w:rPr>
        <w:t xml:space="preserve">, ff. 2 y 3; </w:t>
      </w:r>
      <w:hyperlink w:anchor="AUTO_2015_80" w:history="1">
        <w:r w:rsidRPr="00BB71B4">
          <w:rPr>
            <w:rStyle w:val="TextoNormalCaracter"/>
          </w:rPr>
          <w:t>80/2015</w:t>
        </w:r>
      </w:hyperlink>
      <w:r w:rsidRPr="00BB71B4">
        <w:rPr>
          <w:rStyle w:val="TextoNormalCaracter"/>
        </w:rPr>
        <w:t xml:space="preserve">, ff. 2 y 3; </w:t>
      </w:r>
      <w:hyperlink w:anchor="AUTO_2015_81" w:history="1">
        <w:r w:rsidRPr="00BB71B4">
          <w:rPr>
            <w:rStyle w:val="TextoNormalCaracter"/>
          </w:rPr>
          <w:t>81/2015</w:t>
        </w:r>
      </w:hyperlink>
      <w:r w:rsidRPr="00BB71B4">
        <w:rPr>
          <w:rStyle w:val="TextoNormalCaracter"/>
        </w:rPr>
        <w:t>, f. 4.</w:t>
      </w:r>
    </w:p>
    <w:p w:rsidR="00BB71B4" w:rsidRPr="00BB71B4" w:rsidRDefault="00BB71B4" w:rsidP="00BB71B4">
      <w:pPr>
        <w:pStyle w:val="TextoNormalSangraFrancesa"/>
        <w:rPr>
          <w:rStyle w:val="TextoNormalCaracter"/>
        </w:rPr>
      </w:pPr>
      <w:bookmarkStart w:id="1102" w:name="DESCRIPTORALFABETICO156"/>
      <w:r w:rsidRPr="00BB71B4">
        <w:rPr>
          <w:rStyle w:val="TextoNormalNegritaCaracter"/>
        </w:rPr>
        <w:t>Canon de motivación</w:t>
      </w:r>
      <w:bookmarkEnd w:id="1102"/>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ff. 3 a 5, 8.</w:t>
      </w:r>
    </w:p>
    <w:p w:rsidR="00BB71B4" w:rsidRPr="00BB71B4" w:rsidRDefault="00BB71B4" w:rsidP="00BB71B4">
      <w:pPr>
        <w:pStyle w:val="TextoNormalSangraFrancesa"/>
        <w:rPr>
          <w:rStyle w:val="TextoNormalCaracter"/>
        </w:rPr>
      </w:pPr>
      <w:bookmarkStart w:id="1103" w:name="DESCRIPTORALFABETICO157"/>
      <w:r w:rsidRPr="00BB71B4">
        <w:rPr>
          <w:rStyle w:val="TextoNormalNegritaCaracter"/>
        </w:rPr>
        <w:t>Canon de motivación reforzado</w:t>
      </w:r>
      <w:bookmarkEnd w:id="1103"/>
      <w:r w:rsidRPr="00BB71B4">
        <w:rPr>
          <w:rStyle w:val="TextoNormalCaracter"/>
        </w:rPr>
        <w:t xml:space="preserve">, Sentencias </w:t>
      </w:r>
      <w:hyperlink w:anchor="SENTENCIA_2015_63" w:history="1">
        <w:r w:rsidRPr="00BB71B4">
          <w:rPr>
            <w:rStyle w:val="TextoNormalCaracter"/>
          </w:rPr>
          <w:t>63/2015</w:t>
        </w:r>
      </w:hyperlink>
      <w:r w:rsidRPr="00BB71B4">
        <w:rPr>
          <w:rStyle w:val="TextoNormalCaracter"/>
        </w:rPr>
        <w:t xml:space="preserve">, ff. 3 a 5; </w:t>
      </w:r>
      <w:hyperlink w:anchor="SENTENCIA_2015_112" w:history="1">
        <w:r w:rsidRPr="00BB71B4">
          <w:rPr>
            <w:rStyle w:val="TextoNormalCaracter"/>
          </w:rPr>
          <w:t>112/2015</w:t>
        </w:r>
      </w:hyperlink>
      <w:r w:rsidRPr="00BB71B4">
        <w:rPr>
          <w:rStyle w:val="TextoNormalCaracter"/>
        </w:rPr>
        <w:t>, f. 5.</w:t>
      </w:r>
    </w:p>
    <w:p w:rsidR="00BB71B4" w:rsidRPr="00BB71B4" w:rsidRDefault="00BB71B4" w:rsidP="00BB71B4">
      <w:pPr>
        <w:pStyle w:val="TextoNormalSangraFrancesa"/>
        <w:rPr>
          <w:rStyle w:val="TextoNormalCaracter"/>
        </w:rPr>
      </w:pPr>
      <w:bookmarkStart w:id="1104" w:name="DESCRIPTORALFABETICO733"/>
      <w:r w:rsidRPr="00BB71B4">
        <w:rPr>
          <w:rStyle w:val="TextoNormalNegritaCaracter"/>
        </w:rPr>
        <w:t>Cantabria</w:t>
      </w:r>
      <w:bookmarkEnd w:id="1104"/>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 1; </w:t>
      </w:r>
      <w:hyperlink w:anchor="SENTENCIA_2015_92" w:history="1">
        <w:r w:rsidRPr="00BB71B4">
          <w:rPr>
            <w:rStyle w:val="TextoNormalCaracter"/>
          </w:rPr>
          <w:t>92/2015</w:t>
        </w:r>
      </w:hyperlink>
      <w:r w:rsidRPr="00BB71B4">
        <w:rPr>
          <w:rStyle w:val="TextoNormalCaracter"/>
        </w:rPr>
        <w:t>, f. 1.</w:t>
      </w:r>
    </w:p>
    <w:p w:rsidR="00BB71B4" w:rsidRPr="00BB71B4" w:rsidRDefault="00BB71B4" w:rsidP="00BB71B4">
      <w:pPr>
        <w:pStyle w:val="TextoNormalSangraFrancesa"/>
        <w:rPr>
          <w:rStyle w:val="TextoNormalCaracter"/>
        </w:rPr>
      </w:pPr>
      <w:bookmarkStart w:id="1105" w:name="DESCRIPTORALFABETICO530"/>
      <w:r w:rsidRPr="00BB71B4">
        <w:rPr>
          <w:rStyle w:val="TextoNormalNegritaCaracter"/>
        </w:rPr>
        <w:t>Carácter excepcional de los decretos-leyes</w:t>
      </w:r>
      <w:bookmarkEnd w:id="1105"/>
      <w:r w:rsidRPr="00BB71B4">
        <w:rPr>
          <w:rStyle w:val="TextoNormalCaracter"/>
        </w:rPr>
        <w:t xml:space="preserve">, Sentencias </w:t>
      </w:r>
      <w:hyperlink w:anchor="SENTENCIA_2015_27" w:history="1">
        <w:r w:rsidRPr="00BB71B4">
          <w:rPr>
            <w:rStyle w:val="TextoNormalCaracter"/>
          </w:rPr>
          <w:t>27/2015</w:t>
        </w:r>
      </w:hyperlink>
      <w:r w:rsidRPr="00BB71B4">
        <w:rPr>
          <w:rStyle w:val="TextoNormalCaracter"/>
        </w:rPr>
        <w:t xml:space="preserve">, ff. 3, 5; </w:t>
      </w:r>
      <w:hyperlink w:anchor="SENTENCIA_2015_81" w:history="1">
        <w:r w:rsidRPr="00BB71B4">
          <w:rPr>
            <w:rStyle w:val="TextoNormalCaracter"/>
          </w:rPr>
          <w:t>81/2015</w:t>
        </w:r>
      </w:hyperlink>
      <w:r w:rsidRPr="00BB71B4">
        <w:rPr>
          <w:rStyle w:val="TextoNormalCaracter"/>
        </w:rPr>
        <w:t xml:space="preserve">, f. 3; </w:t>
      </w:r>
      <w:hyperlink w:anchor="SENTENCIA_2015_104" w:history="1">
        <w:r w:rsidRPr="00BB71B4">
          <w:rPr>
            <w:rStyle w:val="TextoNormalCaracter"/>
          </w:rPr>
          <w:t>104/2015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106" w:name="DESCRIPTORALFABETICO305"/>
      <w:r w:rsidRPr="00BB71B4">
        <w:rPr>
          <w:rStyle w:val="TextoNormalNegritaCaracter"/>
        </w:rPr>
        <w:t>Carencia de especial trascendencia constitucional</w:t>
      </w:r>
      <w:bookmarkEnd w:id="1106"/>
      <w:r w:rsidRPr="00BB71B4">
        <w:rPr>
          <w:rStyle w:val="TextoNormalCaracter"/>
        </w:rPr>
        <w:t xml:space="preserve">, Auto </w:t>
      </w:r>
      <w:hyperlink w:anchor="AUTO_2015_87" w:history="1">
        <w:r w:rsidRPr="00BB71B4">
          <w:rPr>
            <w:rStyle w:val="TextoNormalCaracter"/>
          </w:rPr>
          <w:t>87/2015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107" w:name="DESCRIPTORALFABETICO734"/>
      <w:r w:rsidRPr="00BB71B4">
        <w:rPr>
          <w:rStyle w:val="TextoNormalNegritaCaracter"/>
        </w:rPr>
        <w:t>Castilla y León</w:t>
      </w:r>
      <w:bookmarkEnd w:id="1107"/>
      <w:r w:rsidRPr="00BB71B4">
        <w:rPr>
          <w:rStyle w:val="TextoNormalCaracter"/>
        </w:rPr>
        <w:t xml:space="preserve">, Sentencia </w:t>
      </w:r>
      <w:hyperlink w:anchor="SENTENCIA_2015_50" w:history="1">
        <w:r w:rsidRPr="00BB71B4">
          <w:rPr>
            <w:rStyle w:val="TextoNormalCaracter"/>
          </w:rPr>
          <w:t>50/2015</w:t>
        </w:r>
      </w:hyperlink>
      <w:r w:rsidRPr="00BB71B4">
        <w:rPr>
          <w:rStyle w:val="TextoNormalCaracter"/>
        </w:rPr>
        <w:t>, f. 1.</w:t>
      </w:r>
    </w:p>
    <w:p w:rsidR="00BB71B4" w:rsidRPr="00BB71B4" w:rsidRDefault="00BB71B4" w:rsidP="00BB71B4">
      <w:pPr>
        <w:pStyle w:val="TextoNormalSangraFrancesa"/>
        <w:rPr>
          <w:rStyle w:val="TextoNormalCaracter"/>
        </w:rPr>
      </w:pPr>
      <w:bookmarkStart w:id="1108" w:name="DESCRIPTORALFABETICO735"/>
      <w:r w:rsidRPr="00BB71B4">
        <w:rPr>
          <w:rStyle w:val="TextoNormalNegritaCaracter"/>
        </w:rPr>
        <w:t>Cataluña</w:t>
      </w:r>
      <w:bookmarkEnd w:id="1108"/>
      <w:r w:rsidRPr="00BB71B4">
        <w:rPr>
          <w:rStyle w:val="TextoNormalCaracter"/>
        </w:rPr>
        <w:t xml:space="preserve">, Sentencias </w:t>
      </w:r>
      <w:hyperlink w:anchor="SENTENCIA_2015_9" w:history="1">
        <w:r w:rsidRPr="00BB71B4">
          <w:rPr>
            <w:rStyle w:val="TextoNormalCaracter"/>
          </w:rPr>
          <w:t>9/2015</w:t>
        </w:r>
      </w:hyperlink>
      <w:r w:rsidRPr="00BB71B4">
        <w:rPr>
          <w:rStyle w:val="TextoNormalCaracter"/>
        </w:rPr>
        <w:t xml:space="preserve">, f. 1; </w:t>
      </w:r>
      <w:hyperlink w:anchor="SENTENCIA_2015_25" w:history="1">
        <w:r w:rsidRPr="00BB71B4">
          <w:rPr>
            <w:rStyle w:val="TextoNormalCaracter"/>
          </w:rPr>
          <w:t>25/2015</w:t>
        </w:r>
      </w:hyperlink>
      <w:r w:rsidRPr="00BB71B4">
        <w:rPr>
          <w:rStyle w:val="TextoNormalCaracter"/>
        </w:rPr>
        <w:t xml:space="preserve">, f. 1; </w:t>
      </w:r>
      <w:hyperlink w:anchor="SENTENCIA_2015_31" w:history="1">
        <w:r w:rsidRPr="00BB71B4">
          <w:rPr>
            <w:rStyle w:val="TextoNormalCaracter"/>
          </w:rPr>
          <w:t>31/2015</w:t>
        </w:r>
      </w:hyperlink>
      <w:r w:rsidRPr="00BB71B4">
        <w:rPr>
          <w:rStyle w:val="TextoNormalCaracter"/>
        </w:rPr>
        <w:t xml:space="preserve">, f. 1; </w:t>
      </w:r>
      <w:hyperlink w:anchor="SENTENCIA_2015_32" w:history="1">
        <w:r w:rsidRPr="00BB71B4">
          <w:rPr>
            <w:rStyle w:val="TextoNormalCaracter"/>
          </w:rPr>
          <w:t>32/2015</w:t>
        </w:r>
      </w:hyperlink>
      <w:r w:rsidRPr="00BB71B4">
        <w:rPr>
          <w:rStyle w:val="TextoNormalCaracter"/>
        </w:rPr>
        <w:t xml:space="preserve">, f. 1; </w:t>
      </w:r>
      <w:hyperlink w:anchor="SENTENCIA_2015_46" w:history="1">
        <w:r w:rsidRPr="00BB71B4">
          <w:rPr>
            <w:rStyle w:val="TextoNormalCaracter"/>
          </w:rPr>
          <w:t>46/2015</w:t>
        </w:r>
      </w:hyperlink>
      <w:r w:rsidRPr="00BB71B4">
        <w:rPr>
          <w:rStyle w:val="TextoNormalCaracter"/>
        </w:rPr>
        <w:t xml:space="preserve">, f. 1; </w:t>
      </w:r>
      <w:hyperlink w:anchor="SENTENCIA_2015_58" w:history="1">
        <w:r w:rsidRPr="00BB71B4">
          <w:rPr>
            <w:rStyle w:val="TextoNormalCaracter"/>
          </w:rPr>
          <w:t>58/2015</w:t>
        </w:r>
      </w:hyperlink>
      <w:r w:rsidRPr="00BB71B4">
        <w:rPr>
          <w:rStyle w:val="TextoNormalCaracter"/>
        </w:rPr>
        <w:t xml:space="preserve">, f. 1; </w:t>
      </w:r>
      <w:hyperlink w:anchor="SENTENCIA_2015_61" w:history="1">
        <w:r w:rsidRPr="00BB71B4">
          <w:rPr>
            <w:rStyle w:val="TextoNormalCaracter"/>
          </w:rPr>
          <w:t>61/2015</w:t>
        </w:r>
      </w:hyperlink>
      <w:r w:rsidRPr="00BB71B4">
        <w:rPr>
          <w:rStyle w:val="TextoNormalCaracter"/>
        </w:rPr>
        <w:t xml:space="preserve">, f. 1; </w:t>
      </w:r>
      <w:hyperlink w:anchor="SENTENCIA_2015_111" w:history="1">
        <w:r w:rsidRPr="00BB71B4">
          <w:rPr>
            <w:rStyle w:val="TextoNormalCaracter"/>
          </w:rPr>
          <w:t>111/2015</w:t>
        </w:r>
      </w:hyperlink>
      <w:r w:rsidRPr="00BB71B4">
        <w:rPr>
          <w:rStyle w:val="TextoNormalCaracter"/>
        </w:rPr>
        <w:t xml:space="preserve">, f. 1; </w:t>
      </w:r>
      <w:hyperlink w:anchor="SENTENCIA_2015_138" w:history="1">
        <w:r w:rsidRPr="00BB71B4">
          <w:rPr>
            <w:rStyle w:val="TextoNormalCaracter"/>
          </w:rPr>
          <w:t>138/2015</w:t>
        </w:r>
      </w:hyperlink>
      <w:r w:rsidRPr="00BB71B4">
        <w:rPr>
          <w:rStyle w:val="TextoNormalCaracter"/>
        </w:rPr>
        <w:t>, f. 1.</w:t>
      </w:r>
    </w:p>
    <w:p w:rsidR="00BB71B4" w:rsidRPr="00BB71B4" w:rsidRDefault="00BB71B4" w:rsidP="00BB71B4">
      <w:pPr>
        <w:pStyle w:val="TextoNormalSangraFrancesa"/>
        <w:rPr>
          <w:rStyle w:val="TextoNormalCaracter"/>
        </w:rPr>
      </w:pPr>
      <w:bookmarkStart w:id="1109" w:name="DESCRIPTORALFABETICO426"/>
      <w:r w:rsidRPr="00BB71B4">
        <w:rPr>
          <w:rStyle w:val="TextoNormalNegritaCaracter"/>
        </w:rPr>
        <w:t>Catastro</w:t>
      </w:r>
      <w:bookmarkEnd w:id="1109"/>
      <w:r w:rsidRPr="00BB71B4">
        <w:rPr>
          <w:rStyle w:val="TextoNormalCaracter"/>
        </w:rPr>
        <w:t xml:space="preserve">, Sentencia </w:t>
      </w:r>
      <w:hyperlink w:anchor="SENTENCIA_2015_44" w:history="1">
        <w:r w:rsidRPr="00BB71B4">
          <w:rPr>
            <w:rStyle w:val="TextoNormalCaracter"/>
          </w:rPr>
          <w:t>44/2015</w:t>
        </w:r>
      </w:hyperlink>
      <w:r w:rsidRPr="00BB71B4">
        <w:rPr>
          <w:rStyle w:val="TextoNormalCaracter"/>
        </w:rPr>
        <w:t>, f. 3 f).</w:t>
      </w:r>
    </w:p>
    <w:p w:rsidR="00BB71B4" w:rsidRPr="00BB71B4" w:rsidRDefault="00BB71B4" w:rsidP="00BB71B4">
      <w:pPr>
        <w:pStyle w:val="TextoNormalSangraFrancesa"/>
        <w:rPr>
          <w:rStyle w:val="TextoNormalCaracter"/>
        </w:rPr>
      </w:pPr>
      <w:bookmarkStart w:id="1110" w:name="DESCRIPTORALFABETICO630"/>
      <w:r w:rsidRPr="00BB71B4">
        <w:rPr>
          <w:rStyle w:val="TextoNormalNegritaCaracter"/>
        </w:rPr>
        <w:t>Causas de despido</w:t>
      </w:r>
      <w:bookmarkEnd w:id="1110"/>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7 a), 8 b), 10 b), VP.</w:t>
      </w:r>
    </w:p>
    <w:p w:rsidR="00BB71B4" w:rsidRPr="00BB71B4" w:rsidRDefault="00BB71B4" w:rsidP="00BB71B4">
      <w:pPr>
        <w:pStyle w:val="TextoNormalSangraFrancesa"/>
        <w:rPr>
          <w:rStyle w:val="TextoNormalCaracter"/>
        </w:rPr>
      </w:pPr>
      <w:bookmarkStart w:id="1111" w:name="DESCRIPTORALFABETICO268"/>
      <w:r w:rsidRPr="00BB71B4">
        <w:rPr>
          <w:rStyle w:val="TextoNormalNegritaCaracter"/>
        </w:rPr>
        <w:t>Causas de inadmisión de la cuestión de inconstitucionalidad</w:t>
      </w:r>
      <w:bookmarkEnd w:id="1111"/>
      <w:r w:rsidRPr="00BB71B4">
        <w:rPr>
          <w:rStyle w:val="TextoNormalCaracter"/>
        </w:rPr>
        <w:t xml:space="preserve">, Autos </w:t>
      </w:r>
      <w:hyperlink w:anchor="AUTO_2015_20" w:history="1">
        <w:r w:rsidRPr="00BB71B4">
          <w:rPr>
            <w:rStyle w:val="TextoNormalCaracter"/>
          </w:rPr>
          <w:t>20/2015</w:t>
        </w:r>
      </w:hyperlink>
      <w:r w:rsidRPr="00BB71B4">
        <w:rPr>
          <w:rStyle w:val="TextoNormalCaracter"/>
        </w:rPr>
        <w:t xml:space="preserve">, ff. 1 a 4; </w:t>
      </w:r>
      <w:hyperlink w:anchor="AUTO_2015_22" w:history="1">
        <w:r w:rsidRPr="00BB71B4">
          <w:rPr>
            <w:rStyle w:val="TextoNormalCaracter"/>
          </w:rPr>
          <w:t>22/2015</w:t>
        </w:r>
      </w:hyperlink>
      <w:r w:rsidRPr="00BB71B4">
        <w:rPr>
          <w:rStyle w:val="TextoNormalCaracter"/>
        </w:rPr>
        <w:t>, ff. 1 a 5.</w:t>
      </w:r>
    </w:p>
    <w:p w:rsidR="00BB71B4" w:rsidRPr="00BB71B4" w:rsidRDefault="00BB71B4" w:rsidP="00BB71B4">
      <w:pPr>
        <w:pStyle w:val="TextoNormalSangraFrancesa"/>
        <w:rPr>
          <w:rStyle w:val="TextoNormalCaracter"/>
        </w:rPr>
      </w:pPr>
      <w:bookmarkStart w:id="1112" w:name="DESCRIPTORALFABETICO512"/>
      <w:r w:rsidRPr="00BB71B4">
        <w:rPr>
          <w:rStyle w:val="TextoNormalNegritaCaracter"/>
        </w:rPr>
        <w:t>Censo de edificaciones</w:t>
      </w:r>
      <w:bookmarkEnd w:id="1112"/>
      <w:r w:rsidRPr="00BB71B4">
        <w:rPr>
          <w:rStyle w:val="TextoNormalCaracter"/>
        </w:rPr>
        <w:t xml:space="preserve">, Sentencia </w:t>
      </w:r>
      <w:hyperlink w:anchor="SENTENCIA_2015_5" w:history="1">
        <w:r w:rsidRPr="00BB71B4">
          <w:rPr>
            <w:rStyle w:val="TextoNormalCaracter"/>
          </w:rPr>
          <w:t>5/2015</w:t>
        </w:r>
      </w:hyperlink>
      <w:r w:rsidRPr="00BB71B4">
        <w:rPr>
          <w:rStyle w:val="TextoNormalCaracter"/>
        </w:rPr>
        <w:t>, ff. 5, 6.</w:t>
      </w:r>
    </w:p>
    <w:p w:rsidR="00BB71B4" w:rsidRPr="00BB71B4" w:rsidRDefault="00BB71B4" w:rsidP="00BB71B4">
      <w:pPr>
        <w:pStyle w:val="TextoNormalSangraFrancesa"/>
        <w:rPr>
          <w:rStyle w:val="TextoNormalCaracter"/>
        </w:rPr>
      </w:pPr>
      <w:bookmarkStart w:id="1113" w:name="DESCRIPTORALFABETICO507"/>
      <w:r w:rsidRPr="00BB71B4">
        <w:rPr>
          <w:rStyle w:val="TextoNormalNegritaCaracter"/>
        </w:rPr>
        <w:t>Clasificación del suelo</w:t>
      </w:r>
      <w:bookmarkEnd w:id="1113"/>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 3; </w:t>
      </w:r>
      <w:hyperlink w:anchor="SENTENCIA_2015_56" w:history="1">
        <w:r w:rsidRPr="00BB71B4">
          <w:rPr>
            <w:rStyle w:val="TextoNormalCaracter"/>
          </w:rPr>
          <w:t>56/2015</w:t>
        </w:r>
      </w:hyperlink>
      <w:r w:rsidRPr="00BB71B4">
        <w:rPr>
          <w:rStyle w:val="TextoNormalCaracter"/>
        </w:rPr>
        <w:t xml:space="preserve">, f. 3; </w:t>
      </w:r>
      <w:hyperlink w:anchor="SENTENCIA_2015_57" w:history="1">
        <w:r w:rsidRPr="00BB71B4">
          <w:rPr>
            <w:rStyle w:val="TextoNormalCaracter"/>
          </w:rPr>
          <w:t>57/2015</w:t>
        </w:r>
      </w:hyperlink>
      <w:r w:rsidRPr="00BB71B4">
        <w:rPr>
          <w:rStyle w:val="TextoNormalCaracter"/>
        </w:rPr>
        <w:t xml:space="preserve">, ff. 9, 18 a), d), 23; </w:t>
      </w:r>
      <w:hyperlink w:anchor="SENTENCIA_2015_92" w:history="1">
        <w:r w:rsidRPr="00BB71B4">
          <w:rPr>
            <w:rStyle w:val="TextoNormalCaracter"/>
          </w:rPr>
          <w:t>92/2015</w:t>
        </w:r>
      </w:hyperlink>
      <w:r w:rsidRPr="00BB71B4">
        <w:rPr>
          <w:rStyle w:val="TextoNormalCaracter"/>
        </w:rPr>
        <w:t>, ff. 7 b), 11.</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36" w:history="1">
        <w:r w:rsidRPr="00BB71B4">
          <w:rPr>
            <w:rStyle w:val="TextoNormalCaracter"/>
          </w:rPr>
          <w:t>36/2015</w:t>
        </w:r>
      </w:hyperlink>
      <w:r w:rsidRPr="00BB71B4">
        <w:rPr>
          <w:rStyle w:val="TextoNormalCaracter"/>
        </w:rPr>
        <w:t xml:space="preserve">, f. 3; </w:t>
      </w:r>
      <w:hyperlink w:anchor="AUTO_2015_38" w:history="1">
        <w:r w:rsidRPr="00BB71B4">
          <w:rPr>
            <w:rStyle w:val="TextoNormalCaracter"/>
          </w:rPr>
          <w:t>38/2015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14" w:name="DESCRIPTORALFABETICO109"/>
      <w:r w:rsidRPr="00BB71B4">
        <w:rPr>
          <w:rStyle w:val="TextoNormalNegritaCaracter"/>
        </w:rPr>
        <w:t xml:space="preserve">Cláusula general de igualdad </w:t>
      </w:r>
      <w:r w:rsidRPr="00BB71B4">
        <w:rPr>
          <w:rStyle w:val="TextoNormalNegritaCaracter"/>
          <w:i/>
        </w:rPr>
        <w:t>versus</w:t>
      </w:r>
      <w:r w:rsidRPr="00BB71B4">
        <w:rPr>
          <w:rStyle w:val="TextoNormalNegritaCaracter"/>
        </w:rPr>
        <w:t xml:space="preserve"> prohibiciones de discriminación</w:t>
      </w:r>
      <w:bookmarkEnd w:id="1114"/>
      <w:r w:rsidRPr="00BB71B4">
        <w:rPr>
          <w:rStyle w:val="TextoNormalCaracter"/>
        </w:rPr>
        <w:t xml:space="preserve">, Sentencias </w:t>
      </w:r>
      <w:hyperlink w:anchor="SENTENCIA_2015_41" w:history="1">
        <w:r w:rsidRPr="00BB71B4">
          <w:rPr>
            <w:rStyle w:val="TextoNormalCaracter"/>
          </w:rPr>
          <w:t>41/2015</w:t>
        </w:r>
      </w:hyperlink>
      <w:r w:rsidRPr="00BB71B4">
        <w:rPr>
          <w:rStyle w:val="TextoNormalCaracter"/>
        </w:rPr>
        <w:t xml:space="preserve">, f. 4; </w:t>
      </w:r>
      <w:hyperlink w:anchor="SENTENCIA_2015_66" w:history="1">
        <w:r w:rsidRPr="00BB71B4">
          <w:rPr>
            <w:rStyle w:val="TextoNormalCaracter"/>
          </w:rPr>
          <w:t>66/2015</w:t>
        </w:r>
      </w:hyperlink>
      <w:r w:rsidRPr="00BB71B4">
        <w:rPr>
          <w:rStyle w:val="TextoNormalCaracter"/>
        </w:rPr>
        <w:t xml:space="preserve">, f. 6; </w:t>
      </w:r>
      <w:hyperlink w:anchor="SENTENCIA_2015_77" w:history="1">
        <w:r w:rsidRPr="00BB71B4">
          <w:rPr>
            <w:rStyle w:val="TextoNormalCaracter"/>
          </w:rPr>
          <w:t>77/2015</w:t>
        </w:r>
      </w:hyperlink>
      <w:r w:rsidRPr="00BB71B4">
        <w:rPr>
          <w:rStyle w:val="TextoNormalCaracter"/>
        </w:rPr>
        <w:t>, ff. 3, 4, VP.</w:t>
      </w:r>
    </w:p>
    <w:p w:rsidR="00BB71B4" w:rsidRPr="00BB71B4" w:rsidRDefault="00BB71B4" w:rsidP="00BB71B4">
      <w:pPr>
        <w:pStyle w:val="TextoNormalSangraFrancesa"/>
        <w:rPr>
          <w:rStyle w:val="TextoNormalCaracter"/>
        </w:rPr>
      </w:pPr>
      <w:bookmarkStart w:id="1115" w:name="DESCRIPTORALFABETICO323"/>
      <w:r w:rsidRPr="00BB71B4">
        <w:rPr>
          <w:rStyle w:val="TextoNormalNegritaCaracter"/>
        </w:rPr>
        <w:t>Colaboración entre el Estado y las Comunidades Autónomas</w:t>
      </w:r>
      <w:bookmarkEnd w:id="1115"/>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 6.</w:t>
      </w:r>
    </w:p>
    <w:p w:rsidR="00BB71B4" w:rsidRPr="00BB71B4" w:rsidRDefault="00BB71B4" w:rsidP="00BB71B4">
      <w:pPr>
        <w:pStyle w:val="TextoNormalSangraFrancesa"/>
        <w:rPr>
          <w:rStyle w:val="TextoNormalCaracter"/>
        </w:rPr>
      </w:pPr>
      <w:bookmarkStart w:id="1116" w:name="DESCRIPTORALFABETICO579"/>
      <w:r w:rsidRPr="00BB71B4">
        <w:rPr>
          <w:rStyle w:val="TextoNormalNegritaCaracter"/>
        </w:rPr>
        <w:t>Colegio de farmacéuticos</w:t>
      </w:r>
      <w:bookmarkEnd w:id="1116"/>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 5.</w:t>
      </w:r>
    </w:p>
    <w:p w:rsidR="00BB71B4" w:rsidRPr="00BB71B4" w:rsidRDefault="00BB71B4" w:rsidP="00BB71B4">
      <w:pPr>
        <w:pStyle w:val="TextoNormalSangraFrancesa"/>
        <w:rPr>
          <w:rStyle w:val="TextoNormalCaracter"/>
        </w:rPr>
      </w:pPr>
      <w:bookmarkStart w:id="1117" w:name="DESCRIPTORALFABETICO275"/>
      <w:r w:rsidRPr="00BB71B4">
        <w:rPr>
          <w:rStyle w:val="TextoNormalNegritaCaracter"/>
        </w:rPr>
        <w:t>Colisión con normas básicas</w:t>
      </w:r>
      <w:bookmarkEnd w:id="1117"/>
      <w:r w:rsidRPr="00BB71B4">
        <w:rPr>
          <w:rStyle w:val="TextoNormalCaracter"/>
        </w:rPr>
        <w:t xml:space="preserve">, Sentencia </w:t>
      </w:r>
      <w:hyperlink w:anchor="SENTENCIA_2015_143" w:history="1">
        <w:r w:rsidRPr="00BB71B4">
          <w:rPr>
            <w:rStyle w:val="TextoNormalCaracter"/>
          </w:rPr>
          <w:t>143/2015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118" w:name="DESCRIPTORALFABETICO327"/>
      <w:r w:rsidRPr="00BB71B4">
        <w:rPr>
          <w:rStyle w:val="TextoNormalNegritaCaracter"/>
        </w:rPr>
        <w:t>Comisiones administrativas</w:t>
      </w:r>
      <w:bookmarkEnd w:id="1118"/>
      <w:r w:rsidRPr="00BB71B4">
        <w:rPr>
          <w:rStyle w:val="TextoNormalCaracter"/>
        </w:rPr>
        <w:t xml:space="preserve">, Sentencias </w:t>
      </w:r>
      <w:hyperlink w:anchor="SENTENCIA_2015_12" w:history="1">
        <w:r w:rsidRPr="00BB71B4">
          <w:rPr>
            <w:rStyle w:val="TextoNormalCaracter"/>
          </w:rPr>
          <w:t>12/2015</w:t>
        </w:r>
      </w:hyperlink>
      <w:r w:rsidRPr="00BB71B4">
        <w:rPr>
          <w:rStyle w:val="TextoNormalCaracter"/>
        </w:rPr>
        <w:t xml:space="preserve">, ff. 1, 2, 4, 5; </w:t>
      </w:r>
      <w:hyperlink w:anchor="SENTENCIA_2015_57" w:history="1">
        <w:r w:rsidRPr="00BB71B4">
          <w:rPr>
            <w:rStyle w:val="TextoNormalCaracter"/>
          </w:rPr>
          <w:t>57/2015</w:t>
        </w:r>
      </w:hyperlink>
      <w:r w:rsidRPr="00BB71B4">
        <w:rPr>
          <w:rStyle w:val="TextoNormalCaracter"/>
        </w:rPr>
        <w:t>, ff. 6, 12, 16, 18 f).</w:t>
      </w:r>
    </w:p>
    <w:p w:rsidR="00BB71B4" w:rsidRPr="00BB71B4" w:rsidRDefault="00BB71B4" w:rsidP="00BB71B4">
      <w:pPr>
        <w:pStyle w:val="TextoNormalSangraFrancesa"/>
        <w:rPr>
          <w:rStyle w:val="TextoNormalCaracter"/>
        </w:rPr>
      </w:pPr>
      <w:bookmarkStart w:id="1119" w:name="DESCRIPTORALFABETICO636"/>
      <w:r w:rsidRPr="00BB71B4">
        <w:rPr>
          <w:rStyle w:val="TextoNormalNegritaCaracter"/>
        </w:rPr>
        <w:t>Comisiones consultivas de convenios colectivos</w:t>
      </w:r>
      <w:bookmarkEnd w:id="1119"/>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5 apartados a) y b).</w:t>
      </w:r>
    </w:p>
    <w:p w:rsidR="00BB71B4" w:rsidRPr="00BB71B4" w:rsidRDefault="00BB71B4" w:rsidP="00BB71B4">
      <w:pPr>
        <w:pStyle w:val="TextoNormalSangraFrancesa"/>
        <w:rPr>
          <w:rStyle w:val="TextoNormalCaracter"/>
        </w:rPr>
      </w:pPr>
      <w:bookmarkStart w:id="1120" w:name="DESCRIPTORALFABETICO53"/>
      <w:r w:rsidRPr="00BB71B4">
        <w:rPr>
          <w:rStyle w:val="TextoNormalNegritaCaracter"/>
        </w:rPr>
        <w:t>Compensaciones a las Comunidades Autónomas por tributos estatales</w:t>
      </w:r>
      <w:bookmarkEnd w:id="1120"/>
      <w:r w:rsidRPr="00BB71B4">
        <w:rPr>
          <w:rStyle w:val="TextoNormalCaracter"/>
        </w:rPr>
        <w:t xml:space="preserve">, Sentencias </w:t>
      </w:r>
      <w:hyperlink w:anchor="SENTENCIA_2015_26" w:history="1">
        <w:r w:rsidRPr="00BB71B4">
          <w:rPr>
            <w:rStyle w:val="TextoNormalCaracter"/>
          </w:rPr>
          <w:t>26/2015</w:t>
        </w:r>
      </w:hyperlink>
      <w:r w:rsidRPr="00BB71B4">
        <w:rPr>
          <w:rStyle w:val="TextoNormalCaracter"/>
        </w:rPr>
        <w:t xml:space="preserve">, f. 6; </w:t>
      </w:r>
      <w:hyperlink w:anchor="SENTENCIA_2015_73" w:history="1">
        <w:r w:rsidRPr="00BB71B4">
          <w:rPr>
            <w:rStyle w:val="TextoNormalCaracter"/>
          </w:rPr>
          <w:t>73/2015</w:t>
        </w:r>
      </w:hyperlink>
      <w:r w:rsidRPr="00BB71B4">
        <w:rPr>
          <w:rStyle w:val="TextoNormalCaracter"/>
        </w:rPr>
        <w:t xml:space="preserve">, f. 4; </w:t>
      </w:r>
      <w:hyperlink w:anchor="SENTENCIA_2015_102" w:history="1">
        <w:r w:rsidRPr="00BB71B4">
          <w:rPr>
            <w:rStyle w:val="TextoNormalCaracter"/>
          </w:rPr>
          <w:t>102/2015</w:t>
        </w:r>
      </w:hyperlink>
      <w:r w:rsidRPr="00BB71B4">
        <w:rPr>
          <w:rStyle w:val="TextoNormalCaracter"/>
        </w:rPr>
        <w:t>, ff. 3, 6.</w:t>
      </w:r>
    </w:p>
    <w:p w:rsidR="00BB71B4" w:rsidRPr="00BB71B4" w:rsidRDefault="00BB71B4" w:rsidP="00BB71B4">
      <w:pPr>
        <w:pStyle w:val="TextoNormalSangraFrancesa"/>
        <w:rPr>
          <w:rStyle w:val="TextoNormalCaracter"/>
        </w:rPr>
      </w:pPr>
      <w:bookmarkStart w:id="1121" w:name="DESCRIPTORALFABETICO8"/>
      <w:r w:rsidRPr="00BB71B4">
        <w:rPr>
          <w:rStyle w:val="TextoNormalNegritaCaracter"/>
        </w:rPr>
        <w:t>Competencias autonómicas de desarrollo normativo</w:t>
      </w:r>
      <w:bookmarkEnd w:id="1121"/>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ff. 1, 5.</w:t>
      </w:r>
    </w:p>
    <w:p w:rsidR="00BB71B4" w:rsidRPr="00BB71B4" w:rsidRDefault="00BB71B4" w:rsidP="00BB71B4">
      <w:pPr>
        <w:pStyle w:val="TextoNormalSangraFrancesa"/>
        <w:rPr>
          <w:rStyle w:val="TextoNormalCaracter"/>
        </w:rPr>
      </w:pPr>
      <w:bookmarkStart w:id="1122" w:name="DESCRIPTORALFABETICO7"/>
      <w:r w:rsidRPr="00BB71B4">
        <w:rPr>
          <w:rStyle w:val="TextoNormalNegritaCaracter"/>
        </w:rPr>
        <w:t>Competencias autonómicas de ejecución</w:t>
      </w:r>
      <w:bookmarkEnd w:id="1122"/>
      <w:r w:rsidRPr="00BB71B4">
        <w:rPr>
          <w:rStyle w:val="TextoNormalCaracter"/>
        </w:rPr>
        <w:t xml:space="preserve">, Sentencia </w:t>
      </w:r>
      <w:hyperlink w:anchor="SENTENCIA_2015_61" w:history="1">
        <w:r w:rsidRPr="00BB71B4">
          <w:rPr>
            <w:rStyle w:val="TextoNormalCaracter"/>
          </w:rPr>
          <w:t>61/2015</w:t>
        </w:r>
      </w:hyperlink>
      <w:r w:rsidRPr="00BB71B4">
        <w:rPr>
          <w:rStyle w:val="TextoNormalCaracter"/>
        </w:rPr>
        <w:t>, ff. 2, 4, 5.</w:t>
      </w:r>
    </w:p>
    <w:p w:rsidR="00BB71B4" w:rsidRPr="00BB71B4" w:rsidRDefault="00BB71B4" w:rsidP="00BB71B4">
      <w:pPr>
        <w:pStyle w:val="TextoNormalSangraFrancesa"/>
        <w:rPr>
          <w:rStyle w:val="TextoNormalCaracter"/>
        </w:rPr>
      </w:pPr>
      <w:bookmarkStart w:id="1123" w:name="DESCRIPTORALFABETICO4"/>
      <w:r w:rsidRPr="00BB71B4">
        <w:rPr>
          <w:rStyle w:val="TextoNormalNegritaCaracter"/>
        </w:rPr>
        <w:t>Competencias compartidas</w:t>
      </w:r>
      <w:bookmarkEnd w:id="1123"/>
      <w:r w:rsidRPr="00BB71B4">
        <w:rPr>
          <w:rStyle w:val="TextoNormalCaracter"/>
        </w:rPr>
        <w:t xml:space="preserve">, Sentencia </w:t>
      </w:r>
      <w:hyperlink w:anchor="SENTENCIA_2015_11" w:history="1">
        <w:r w:rsidRPr="00BB71B4">
          <w:rPr>
            <w:rStyle w:val="TextoNormalCaracter"/>
          </w:rPr>
          <w:t>11/2015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124" w:name="DESCRIPTORALFABETICO5"/>
      <w:r w:rsidRPr="00BB71B4">
        <w:rPr>
          <w:rStyle w:val="TextoNormalNegritaCaracter"/>
        </w:rPr>
        <w:t>Competencias de coordinación</w:t>
      </w:r>
      <w:bookmarkEnd w:id="1124"/>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3 a 6.</w:t>
      </w:r>
    </w:p>
    <w:p w:rsidR="00BB71B4" w:rsidRPr="00BB71B4" w:rsidRDefault="00BB71B4" w:rsidP="00BB71B4">
      <w:pPr>
        <w:pStyle w:val="TextoNormalSangraFrancesa"/>
        <w:rPr>
          <w:rStyle w:val="TextoNormalCaracter"/>
        </w:rPr>
      </w:pPr>
      <w:bookmarkStart w:id="1125" w:name="DESCRIPTORALFABETICO6"/>
      <w:r w:rsidRPr="00BB71B4">
        <w:rPr>
          <w:rStyle w:val="TextoNormalNegritaCaracter"/>
        </w:rPr>
        <w:t>Competencias de las Comunidades Autónomas</w:t>
      </w:r>
      <w:bookmarkEnd w:id="1125"/>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5, 6, 10, 13 b), 16 b), 17 c), 18 a), 19 a 21, 23, 24; </w:t>
      </w:r>
      <w:hyperlink w:anchor="SENTENCIA_2015_61" w:history="1">
        <w:r w:rsidRPr="00BB71B4">
          <w:rPr>
            <w:rStyle w:val="TextoNormalCaracter"/>
          </w:rPr>
          <w:t>61/2015</w:t>
        </w:r>
      </w:hyperlink>
      <w:r w:rsidRPr="00BB71B4">
        <w:rPr>
          <w:rStyle w:val="TextoNormalCaracter"/>
        </w:rPr>
        <w:t xml:space="preserve">, ff. 2 a 5; </w:t>
      </w:r>
      <w:hyperlink w:anchor="SENTENCIA_2015_92" w:history="1">
        <w:r w:rsidRPr="00BB71B4">
          <w:rPr>
            <w:rStyle w:val="TextoNormalCaracter"/>
          </w:rPr>
          <w:t>92/2015</w:t>
        </w:r>
      </w:hyperlink>
      <w:r w:rsidRPr="00BB71B4">
        <w:rPr>
          <w:rStyle w:val="TextoNormalCaracter"/>
        </w:rPr>
        <w:t xml:space="preserve">, ff. 4, 7 b), 12; </w:t>
      </w:r>
      <w:hyperlink w:anchor="SENTENCIA_2015_138" w:history="1">
        <w:r w:rsidRPr="00BB71B4">
          <w:rPr>
            <w:rStyle w:val="TextoNormalCaracter"/>
          </w:rPr>
          <w:t>138/2015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126" w:name="DESCRIPTORALFABETICO10"/>
      <w:r w:rsidRPr="00BB71B4">
        <w:rPr>
          <w:rStyle w:val="TextoNormalNegritaCaracter"/>
        </w:rPr>
        <w:t>Competencias de los entes locales</w:t>
      </w:r>
      <w:bookmarkEnd w:id="1126"/>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6, 8, 10, 20; </w:t>
      </w:r>
      <w:hyperlink w:anchor="SENTENCIA_2015_92" w:history="1">
        <w:r w:rsidRPr="00BB71B4">
          <w:rPr>
            <w:rStyle w:val="TextoNormalCaracter"/>
          </w:rPr>
          <w:t>92/2015</w:t>
        </w:r>
      </w:hyperlink>
      <w:r w:rsidRPr="00BB71B4">
        <w:rPr>
          <w:rStyle w:val="TextoNormalCaracter"/>
        </w:rPr>
        <w:t>, f. 4.</w:t>
      </w:r>
    </w:p>
    <w:p w:rsidR="00BB71B4" w:rsidRPr="00BB71B4" w:rsidRDefault="00BB71B4" w:rsidP="00BB71B4">
      <w:pPr>
        <w:pStyle w:val="TextoNormalSangraFrancesa"/>
        <w:rPr>
          <w:rStyle w:val="TextoNormalCaracter"/>
        </w:rPr>
      </w:pPr>
      <w:bookmarkStart w:id="1127" w:name="DESCRIPTORALFABETICO11"/>
      <w:r w:rsidRPr="00BB71B4">
        <w:rPr>
          <w:rStyle w:val="TextoNormalNegritaCaracter"/>
        </w:rPr>
        <w:t>Competencias del Estado</w:t>
      </w:r>
      <w:bookmarkEnd w:id="1127"/>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ff.  4 a 7; </w:t>
      </w:r>
      <w:hyperlink w:anchor="SENTENCIA_2015_11" w:history="1">
        <w:r w:rsidRPr="00BB71B4">
          <w:rPr>
            <w:rStyle w:val="TextoNormalCaracter"/>
          </w:rPr>
          <w:t>11/2015</w:t>
        </w:r>
      </w:hyperlink>
      <w:r w:rsidRPr="00BB71B4">
        <w:rPr>
          <w:rStyle w:val="TextoNormalCaracter"/>
        </w:rPr>
        <w:t xml:space="preserve">, ff. 3, 4; </w:t>
      </w:r>
      <w:hyperlink w:anchor="SENTENCIA_2015_25" w:history="1">
        <w:r w:rsidRPr="00BB71B4">
          <w:rPr>
            <w:rStyle w:val="TextoNormalCaracter"/>
          </w:rPr>
          <w:t>25/2015</w:t>
        </w:r>
      </w:hyperlink>
      <w:r w:rsidRPr="00BB71B4">
        <w:rPr>
          <w:rStyle w:val="TextoNormalCaracter"/>
        </w:rPr>
        <w:t xml:space="preserve">, ff. 4 a 6; </w:t>
      </w:r>
      <w:hyperlink w:anchor="SENTENCIA_2015_61" w:history="1">
        <w:r w:rsidRPr="00BB71B4">
          <w:rPr>
            <w:rStyle w:val="TextoNormalCaracter"/>
          </w:rPr>
          <w:t>61/2015</w:t>
        </w:r>
      </w:hyperlink>
      <w:r w:rsidRPr="00BB71B4">
        <w:rPr>
          <w:rStyle w:val="TextoNormalCaracter"/>
        </w:rPr>
        <w:t xml:space="preserve">, ff. 2 a 5; </w:t>
      </w:r>
      <w:hyperlink w:anchor="SENTENCIA_2015_81" w:history="1">
        <w:r w:rsidRPr="00BB71B4">
          <w:rPr>
            <w:rStyle w:val="TextoNormalCaracter"/>
          </w:rPr>
          <w:t>81/2015</w:t>
        </w:r>
      </w:hyperlink>
      <w:r w:rsidRPr="00BB71B4">
        <w:rPr>
          <w:rStyle w:val="TextoNormalCaracter"/>
        </w:rPr>
        <w:t xml:space="preserve">, f. 1; </w:t>
      </w:r>
      <w:hyperlink w:anchor="SENTENCIA_2015_85" w:history="1">
        <w:r w:rsidRPr="00BB71B4">
          <w:rPr>
            <w:rStyle w:val="TextoNormalCaracter"/>
          </w:rPr>
          <w:t>85/2015</w:t>
        </w:r>
      </w:hyperlink>
      <w:r w:rsidRPr="00BB71B4">
        <w:rPr>
          <w:rStyle w:val="TextoNormalCaracter"/>
        </w:rPr>
        <w:t>, ff. 2 a 5.</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63" w:history="1">
        <w:r w:rsidRPr="00BB71B4">
          <w:rPr>
            <w:rStyle w:val="TextoNormalCaracter"/>
          </w:rPr>
          <w:t>63/2015</w:t>
        </w:r>
      </w:hyperlink>
      <w:r w:rsidRPr="00BB71B4">
        <w:rPr>
          <w:rStyle w:val="TextoNormalCaracter"/>
        </w:rPr>
        <w:t>, f. 2, 3.</w:t>
      </w:r>
    </w:p>
    <w:p w:rsidR="00BB71B4" w:rsidRPr="00BB71B4" w:rsidRDefault="00BB71B4" w:rsidP="00BB71B4">
      <w:pPr>
        <w:pStyle w:val="TextoNormalSangraFrancesa"/>
        <w:rPr>
          <w:rStyle w:val="TextoNormalCaracter"/>
        </w:rPr>
      </w:pPr>
      <w:bookmarkStart w:id="1128" w:name="DESCRIPTORALFABETICO228"/>
      <w:r w:rsidRPr="00BB71B4">
        <w:rPr>
          <w:rStyle w:val="TextoNormalNegritaCaracter"/>
        </w:rPr>
        <w:t>Competencias del Tribunal Constitucional</w:t>
      </w:r>
      <w:bookmarkEnd w:id="1128"/>
      <w:r w:rsidRPr="00BB71B4">
        <w:rPr>
          <w:rStyle w:val="TextoNormalCaracter"/>
        </w:rPr>
        <w:t xml:space="preserve">, Sentencia </w:t>
      </w:r>
      <w:hyperlink w:anchor="SENTENCIA_2015_32" w:history="1">
        <w:r w:rsidRPr="00BB71B4">
          <w:rPr>
            <w:rStyle w:val="TextoNormalCaracter"/>
          </w:rPr>
          <w:t>32/2015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29" w:name="DESCRIPTORALFABETICO9"/>
      <w:r w:rsidRPr="00BB71B4">
        <w:rPr>
          <w:rStyle w:val="TextoNormalNegritaCaracter"/>
        </w:rPr>
        <w:t>Competencias delimitadas por la legislación básica</w:t>
      </w:r>
      <w:bookmarkEnd w:id="1129"/>
      <w:r w:rsidRPr="00BB71B4">
        <w:rPr>
          <w:rStyle w:val="TextoNormalCaracter"/>
        </w:rPr>
        <w:t xml:space="preserve">, Sentencia </w:t>
      </w:r>
      <w:hyperlink w:anchor="SENTENCIA_2015_143" w:history="1">
        <w:r w:rsidRPr="00BB71B4">
          <w:rPr>
            <w:rStyle w:val="TextoNormalCaracter"/>
          </w:rPr>
          <w:t>143/2015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30" w:name="DESCRIPTORALFABETICO18"/>
      <w:r w:rsidRPr="00BB71B4">
        <w:rPr>
          <w:rStyle w:val="TextoNormalNegritaCaracter"/>
        </w:rPr>
        <w:t>Competencias en materia de agricultura</w:t>
      </w:r>
      <w:bookmarkEnd w:id="1130"/>
      <w:r w:rsidRPr="00BB71B4">
        <w:rPr>
          <w:rStyle w:val="TextoNormalCaracter"/>
        </w:rPr>
        <w:t xml:space="preserve">, Sentencias </w:t>
      </w:r>
      <w:hyperlink w:anchor="SENTENCIA_2015_11" w:history="1">
        <w:r w:rsidRPr="00BB71B4">
          <w:rPr>
            <w:rStyle w:val="TextoNormalCaracter"/>
          </w:rPr>
          <w:t>11/2015</w:t>
        </w:r>
      </w:hyperlink>
      <w:r w:rsidRPr="00BB71B4">
        <w:rPr>
          <w:rStyle w:val="TextoNormalCaracter"/>
        </w:rPr>
        <w:t xml:space="preserve">, ff. 1 a 3; </w:t>
      </w:r>
      <w:hyperlink w:anchor="SENTENCIA_2015_85" w:history="1">
        <w:r w:rsidRPr="00BB71B4">
          <w:rPr>
            <w:rStyle w:val="TextoNormalCaracter"/>
          </w:rPr>
          <w:t>85/2015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31" w:name="DESCRIPTORALFABETICO19"/>
      <w:r w:rsidRPr="00BB71B4">
        <w:rPr>
          <w:rStyle w:val="TextoNormalNegritaCaracter"/>
        </w:rPr>
        <w:t>Competencias en materia de aguas</w:t>
      </w:r>
      <w:bookmarkEnd w:id="1131"/>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132" w:name="DESCRIPTORALFABETICO20"/>
      <w:r w:rsidRPr="00BB71B4">
        <w:rPr>
          <w:rStyle w:val="TextoNormalNegritaCaracter"/>
        </w:rPr>
        <w:t>Competencias en materia de becas y ayudas al estudio</w:t>
      </w:r>
      <w:bookmarkEnd w:id="1132"/>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2, 3, 5, VP I, VP II.</w:t>
      </w:r>
    </w:p>
    <w:p w:rsidR="00BB71B4" w:rsidRPr="00BB71B4" w:rsidRDefault="00BB71B4" w:rsidP="00BB71B4">
      <w:pPr>
        <w:pStyle w:val="TextoNormalSangraFrancesa"/>
        <w:rPr>
          <w:rStyle w:val="TextoNormalCaracter"/>
        </w:rPr>
      </w:pPr>
      <w:bookmarkStart w:id="1133" w:name="DESCRIPTORALFABETICO21"/>
      <w:r w:rsidRPr="00BB71B4">
        <w:rPr>
          <w:rStyle w:val="TextoNormalNegritaCaracter"/>
        </w:rPr>
        <w:t>Competencias en materia de cajas de ahorros</w:t>
      </w:r>
      <w:bookmarkEnd w:id="1133"/>
      <w:r w:rsidRPr="00BB71B4">
        <w:rPr>
          <w:rStyle w:val="TextoNormalCaracter"/>
        </w:rPr>
        <w:t xml:space="preserve">, Sentencia </w:t>
      </w:r>
      <w:hyperlink w:anchor="SENTENCIA_2015_47" w:history="1">
        <w:r w:rsidRPr="00BB71B4">
          <w:rPr>
            <w:rStyle w:val="TextoNormalCaracter"/>
          </w:rPr>
          <w:t>47/2015</w:t>
        </w:r>
      </w:hyperlink>
      <w:r w:rsidRPr="00BB71B4">
        <w:rPr>
          <w:rStyle w:val="TextoNormalCaracter"/>
        </w:rPr>
        <w:t>, ff. 1, 6.</w:t>
      </w:r>
    </w:p>
    <w:p w:rsidR="00BB71B4" w:rsidRPr="00BB71B4" w:rsidRDefault="00BB71B4" w:rsidP="00BB71B4">
      <w:pPr>
        <w:pStyle w:val="TextoNormalSangraFrancesa"/>
        <w:rPr>
          <w:rStyle w:val="TextoNormalCaracter"/>
        </w:rPr>
      </w:pPr>
      <w:bookmarkStart w:id="1134" w:name="DESCRIPTORALFABETICO22"/>
      <w:r w:rsidRPr="00BB71B4">
        <w:rPr>
          <w:rStyle w:val="TextoNormalNegritaCaracter"/>
        </w:rPr>
        <w:t>Competencias en materia de contratación administrativa</w:t>
      </w:r>
      <w:bookmarkEnd w:id="1134"/>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3, 5, 9, 10.</w:t>
      </w:r>
    </w:p>
    <w:p w:rsidR="00BB71B4" w:rsidRPr="00BB71B4" w:rsidRDefault="00BB71B4" w:rsidP="00BB71B4">
      <w:pPr>
        <w:pStyle w:val="TextoNormalSangraFrancesa"/>
        <w:rPr>
          <w:rStyle w:val="TextoNormalCaracter"/>
        </w:rPr>
      </w:pPr>
      <w:bookmarkStart w:id="1135" w:name="DESCRIPTORALFABETICO23"/>
      <w:r w:rsidRPr="00BB71B4">
        <w:rPr>
          <w:rStyle w:val="TextoNormalNegritaCaracter"/>
        </w:rPr>
        <w:t>Competencias en materia de educación</w:t>
      </w:r>
      <w:bookmarkEnd w:id="1135"/>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136" w:name="DESCRIPTORALFABETICO24"/>
      <w:r w:rsidRPr="00BB71B4">
        <w:rPr>
          <w:rStyle w:val="TextoNormalNegritaCaracter"/>
        </w:rPr>
        <w:t>Competencias en materia de ganadería</w:t>
      </w:r>
      <w:bookmarkEnd w:id="1136"/>
      <w:r w:rsidRPr="00BB71B4">
        <w:rPr>
          <w:rStyle w:val="TextoNormalCaracter"/>
        </w:rPr>
        <w:t xml:space="preserve">, Sentencias </w:t>
      </w:r>
      <w:hyperlink w:anchor="SENTENCIA_2015_11" w:history="1">
        <w:r w:rsidRPr="00BB71B4">
          <w:rPr>
            <w:rStyle w:val="TextoNormalCaracter"/>
          </w:rPr>
          <w:t>11/2015</w:t>
        </w:r>
      </w:hyperlink>
      <w:r w:rsidRPr="00BB71B4">
        <w:rPr>
          <w:rStyle w:val="TextoNormalCaracter"/>
        </w:rPr>
        <w:t xml:space="preserve">, ff. 1 a 3; </w:t>
      </w:r>
      <w:hyperlink w:anchor="SENTENCIA_2015_58" w:history="1">
        <w:r w:rsidRPr="00BB71B4">
          <w:rPr>
            <w:rStyle w:val="TextoNormalCaracter"/>
          </w:rPr>
          <w:t>58/2015</w:t>
        </w:r>
      </w:hyperlink>
      <w:r w:rsidRPr="00BB71B4">
        <w:rPr>
          <w:rStyle w:val="TextoNormalCaracter"/>
        </w:rPr>
        <w:t xml:space="preserve">, f. 2; </w:t>
      </w:r>
      <w:hyperlink w:anchor="SENTENCIA_2015_85" w:history="1">
        <w:r w:rsidRPr="00BB71B4">
          <w:rPr>
            <w:rStyle w:val="TextoNormalCaracter"/>
          </w:rPr>
          <w:t>85/2015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37" w:name="DESCRIPTORALFABETICO25"/>
      <w:r w:rsidRPr="00BB71B4">
        <w:rPr>
          <w:rStyle w:val="TextoNormalNegritaCaracter"/>
        </w:rPr>
        <w:t>Competencias en materia de legislación civil</w:t>
      </w:r>
      <w:bookmarkEnd w:id="1137"/>
      <w:r w:rsidRPr="00BB71B4">
        <w:rPr>
          <w:rStyle w:val="TextoNormalCaracter"/>
        </w:rPr>
        <w:t xml:space="preserve">, Sentencias </w:t>
      </w:r>
      <w:hyperlink w:anchor="SENTENCIA_2015_11" w:history="1">
        <w:r w:rsidRPr="00BB71B4">
          <w:rPr>
            <w:rStyle w:val="TextoNormalCaracter"/>
          </w:rPr>
          <w:t>11/2015</w:t>
        </w:r>
      </w:hyperlink>
      <w:r w:rsidRPr="00BB71B4">
        <w:rPr>
          <w:rStyle w:val="TextoNormalCaracter"/>
        </w:rPr>
        <w:t xml:space="preserve">, f. 2; </w:t>
      </w:r>
      <w:hyperlink w:anchor="SENTENCIA_2015_93" w:history="1">
        <w:r w:rsidRPr="00BB71B4">
          <w:rPr>
            <w:rStyle w:val="TextoNormalCaracter"/>
          </w:rPr>
          <w:t>93/2015</w:t>
        </w:r>
      </w:hyperlink>
      <w:r w:rsidRPr="00BB71B4">
        <w:rPr>
          <w:rStyle w:val="TextoNormalCaracter"/>
        </w:rPr>
        <w:t>, f. 15.</w:t>
      </w:r>
    </w:p>
    <w:p w:rsidR="00BB71B4" w:rsidRPr="00BB71B4" w:rsidRDefault="00BB71B4" w:rsidP="00BB71B4">
      <w:pPr>
        <w:pStyle w:val="TextoNormalSangraFrancesa"/>
        <w:rPr>
          <w:rStyle w:val="TextoNormalCaracter"/>
        </w:rPr>
      </w:pPr>
      <w:bookmarkStart w:id="1138" w:name="DESCRIPTORALFABETICO26"/>
      <w:r w:rsidRPr="00BB71B4">
        <w:rPr>
          <w:rStyle w:val="TextoNormalNegritaCaracter"/>
        </w:rPr>
        <w:t>Competencias en materia de legislación laboral</w:t>
      </w:r>
      <w:bookmarkEnd w:id="1138"/>
      <w:r w:rsidRPr="00BB71B4">
        <w:rPr>
          <w:rStyle w:val="TextoNormalCaracter"/>
        </w:rPr>
        <w:t xml:space="preserve">, Sentencia </w:t>
      </w:r>
      <w:hyperlink w:anchor="SENTENCIA_2015_61" w:history="1">
        <w:r w:rsidRPr="00BB71B4">
          <w:rPr>
            <w:rStyle w:val="TextoNormalCaracter"/>
          </w:rPr>
          <w:t>61/2015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139" w:name="DESCRIPTORALFABETICO27"/>
      <w:r w:rsidRPr="00BB71B4">
        <w:rPr>
          <w:rStyle w:val="TextoNormalNegritaCaracter"/>
        </w:rPr>
        <w:t>Competencias en materia de legislación procesal</w:t>
      </w:r>
      <w:bookmarkEnd w:id="1139"/>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VP II.</w:t>
      </w:r>
    </w:p>
    <w:p w:rsidR="00BB71B4" w:rsidRPr="00BB71B4" w:rsidRDefault="00BB71B4" w:rsidP="00BB71B4">
      <w:pPr>
        <w:pStyle w:val="TextoNormalSangraFrancesa"/>
        <w:rPr>
          <w:rStyle w:val="TextoNormalCaracter"/>
        </w:rPr>
      </w:pPr>
      <w:bookmarkStart w:id="1140" w:name="DESCRIPTORALFABETICO28"/>
      <w:r w:rsidRPr="00BB71B4">
        <w:rPr>
          <w:rStyle w:val="TextoNormalNegritaCaracter"/>
        </w:rPr>
        <w:t>Competencias en materia de medio ambiente</w:t>
      </w:r>
      <w:bookmarkEnd w:id="1140"/>
      <w:r w:rsidRPr="00BB71B4">
        <w:rPr>
          <w:rStyle w:val="TextoNormalCaracter"/>
        </w:rPr>
        <w:t xml:space="preserve">, Sentencias </w:t>
      </w:r>
      <w:hyperlink w:anchor="SENTENCIA_2015_45" w:history="1">
        <w:r w:rsidRPr="00BB71B4">
          <w:rPr>
            <w:rStyle w:val="TextoNormalCaracter"/>
          </w:rPr>
          <w:t>45/2015</w:t>
        </w:r>
      </w:hyperlink>
      <w:r w:rsidRPr="00BB71B4">
        <w:rPr>
          <w:rStyle w:val="TextoNormalCaracter"/>
        </w:rPr>
        <w:t xml:space="preserve">, ff. 1 a 6; </w:t>
      </w:r>
      <w:hyperlink w:anchor="SENTENCIA_2015_57" w:history="1">
        <w:r w:rsidRPr="00BB71B4">
          <w:rPr>
            <w:rStyle w:val="TextoNormalCaracter"/>
          </w:rPr>
          <w:t>57/2015</w:t>
        </w:r>
      </w:hyperlink>
      <w:r w:rsidRPr="00BB71B4">
        <w:rPr>
          <w:rStyle w:val="TextoNormalCaracter"/>
        </w:rPr>
        <w:t xml:space="preserve">, ff. 1, 3, 4, 6, 8, 13 apartados a) y b), 16 apartados a) y d), 18 a); </w:t>
      </w:r>
      <w:hyperlink w:anchor="SENTENCIA_2015_92" w:history="1">
        <w:r w:rsidRPr="00BB71B4">
          <w:rPr>
            <w:rStyle w:val="TextoNormalCaracter"/>
          </w:rPr>
          <w:t>92/2015</w:t>
        </w:r>
      </w:hyperlink>
      <w:r w:rsidRPr="00BB71B4">
        <w:rPr>
          <w:rStyle w:val="TextoNormalCaracter"/>
        </w:rPr>
        <w:t>, ff. 4, 7 b).</w:t>
      </w:r>
    </w:p>
    <w:p w:rsidR="00BB71B4" w:rsidRPr="00BB71B4" w:rsidRDefault="00BB71B4" w:rsidP="00BB71B4">
      <w:pPr>
        <w:pStyle w:val="TextoNormalSangraFrancesa"/>
        <w:rPr>
          <w:rStyle w:val="TextoNormalCaracter"/>
        </w:rPr>
      </w:pPr>
      <w:bookmarkStart w:id="1141" w:name="DESCRIPTORALFABETICO29"/>
      <w:r w:rsidRPr="00BB71B4">
        <w:rPr>
          <w:rStyle w:val="TextoNormalNegritaCaracter"/>
        </w:rPr>
        <w:t>Competencias en materia de ordenación del crédito</w:t>
      </w:r>
      <w:bookmarkEnd w:id="1141"/>
      <w:r w:rsidRPr="00BB71B4">
        <w:rPr>
          <w:rStyle w:val="TextoNormalCaracter"/>
        </w:rPr>
        <w:t xml:space="preserve">, Sentencia </w:t>
      </w:r>
      <w:hyperlink w:anchor="SENTENCIA_2015_47" w:history="1">
        <w:r w:rsidRPr="00BB71B4">
          <w:rPr>
            <w:rStyle w:val="TextoNormalCaracter"/>
          </w:rPr>
          <w:t>47/2015</w:t>
        </w:r>
      </w:hyperlink>
      <w:r w:rsidRPr="00BB71B4">
        <w:rPr>
          <w:rStyle w:val="TextoNormalCaracter"/>
        </w:rPr>
        <w:t>, ff. 1, 6.</w:t>
      </w:r>
    </w:p>
    <w:p w:rsidR="00BB71B4" w:rsidRPr="00BB71B4" w:rsidRDefault="00BB71B4" w:rsidP="00BB71B4">
      <w:pPr>
        <w:pStyle w:val="TextoNormalSangraFrancesa"/>
        <w:rPr>
          <w:rStyle w:val="TextoNormalCaracter"/>
        </w:rPr>
      </w:pPr>
      <w:bookmarkStart w:id="1142" w:name="DESCRIPTORALFABETICO30"/>
      <w:r w:rsidRPr="00BB71B4">
        <w:rPr>
          <w:rStyle w:val="TextoNormalNegritaCaracter"/>
        </w:rPr>
        <w:t>Competencias en materia de ordenación del territorio</w:t>
      </w:r>
      <w:bookmarkEnd w:id="1142"/>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1, 6, 8, 10, 13, 14, 17 c), 23; </w:t>
      </w:r>
      <w:hyperlink w:anchor="SENTENCIA_2015_92" w:history="1">
        <w:r w:rsidRPr="00BB71B4">
          <w:rPr>
            <w:rStyle w:val="TextoNormalCaracter"/>
          </w:rPr>
          <w:t>92/2015</w:t>
        </w:r>
      </w:hyperlink>
      <w:r w:rsidRPr="00BB71B4">
        <w:rPr>
          <w:rStyle w:val="TextoNormalCaracter"/>
        </w:rPr>
        <w:t>, ff. 4, 7 b), 8.</w:t>
      </w:r>
    </w:p>
    <w:p w:rsidR="00BB71B4" w:rsidRPr="00BB71B4" w:rsidRDefault="00BB71B4" w:rsidP="00BB71B4">
      <w:pPr>
        <w:pStyle w:val="TextoNormalSangraFrancesa"/>
        <w:rPr>
          <w:rStyle w:val="TextoNormalCaracter"/>
        </w:rPr>
      </w:pPr>
      <w:bookmarkStart w:id="1143" w:name="DESCRIPTORALFABETICO31"/>
      <w:r w:rsidRPr="00BB71B4">
        <w:rPr>
          <w:rStyle w:val="TextoNormalNegritaCaracter"/>
        </w:rPr>
        <w:t>Competencias en materia de planificación económica</w:t>
      </w:r>
      <w:bookmarkEnd w:id="1143"/>
      <w:r w:rsidRPr="00BB71B4">
        <w:rPr>
          <w:rStyle w:val="TextoNormalCaracter"/>
        </w:rPr>
        <w:t xml:space="preserve">, Sentencias </w:t>
      </w:r>
      <w:hyperlink w:anchor="SENTENCIA_2015_11" w:history="1">
        <w:r w:rsidRPr="00BB71B4">
          <w:rPr>
            <w:rStyle w:val="TextoNormalCaracter"/>
          </w:rPr>
          <w:t>11/2015</w:t>
        </w:r>
      </w:hyperlink>
      <w:r w:rsidRPr="00BB71B4">
        <w:rPr>
          <w:rStyle w:val="TextoNormalCaracter"/>
        </w:rPr>
        <w:t xml:space="preserve">, ff. 2 a 8; </w:t>
      </w:r>
      <w:hyperlink w:anchor="SENTENCIA_2015_93" w:history="1">
        <w:r w:rsidRPr="00BB71B4">
          <w:rPr>
            <w:rStyle w:val="TextoNormalCaracter"/>
          </w:rPr>
          <w:t>93/2015</w:t>
        </w:r>
      </w:hyperlink>
      <w:r w:rsidRPr="00BB71B4">
        <w:rPr>
          <w:rStyle w:val="TextoNormalCaracter"/>
        </w:rPr>
        <w:t xml:space="preserve">, ff. 16 a 18, VP I, VP II, VP III; </w:t>
      </w:r>
      <w:hyperlink w:anchor="SENTENCIA_2015_94" w:history="1">
        <w:r w:rsidRPr="00BB71B4">
          <w:rPr>
            <w:rStyle w:val="TextoNormalCaracter"/>
          </w:rPr>
          <w:t>94/2015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144" w:name="DESCRIPTORALFABETICO32"/>
      <w:r w:rsidRPr="00BB71B4">
        <w:rPr>
          <w:rStyle w:val="TextoNormalNegritaCaracter"/>
        </w:rPr>
        <w:t>Competencias en materia de productos farmacéuticos</w:t>
      </w:r>
      <w:bookmarkEnd w:id="1144"/>
      <w:r w:rsidRPr="00BB71B4">
        <w:rPr>
          <w:rStyle w:val="TextoNormalCaracter"/>
        </w:rPr>
        <w:t xml:space="preserve">, Sentencia </w:t>
      </w:r>
      <w:hyperlink w:anchor="SENTENCIA_2015_62" w:history="1">
        <w:r w:rsidRPr="00BB71B4">
          <w:rPr>
            <w:rStyle w:val="TextoNormalCaracter"/>
          </w:rPr>
          <w:t>62/2015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45" w:name="DESCRIPTORALFABETICO33"/>
      <w:r w:rsidRPr="00BB71B4">
        <w:rPr>
          <w:rStyle w:val="TextoNormalNegritaCaracter"/>
        </w:rPr>
        <w:t>Competencias en materia de régimen energético</w:t>
      </w:r>
      <w:bookmarkEnd w:id="1145"/>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46" w:name="DESCRIPTORALFABETICO34"/>
      <w:r w:rsidRPr="00BB71B4">
        <w:rPr>
          <w:rStyle w:val="TextoNormalNegritaCaracter"/>
        </w:rPr>
        <w:t>Competencias en materia de régimen financiero</w:t>
      </w:r>
      <w:bookmarkEnd w:id="1146"/>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16, 17.</w:t>
      </w:r>
    </w:p>
    <w:p w:rsidR="00BB71B4" w:rsidRPr="00BB71B4" w:rsidRDefault="00BB71B4" w:rsidP="00BB71B4">
      <w:pPr>
        <w:pStyle w:val="TextoNormalSangraFrancesa"/>
        <w:rPr>
          <w:rStyle w:val="TextoNormalCaracter"/>
        </w:rPr>
      </w:pPr>
      <w:bookmarkStart w:id="1147" w:name="DESCRIPTORALFABETICO35"/>
      <w:r w:rsidRPr="00BB71B4">
        <w:rPr>
          <w:rStyle w:val="TextoNormalNegritaCaracter"/>
        </w:rPr>
        <w:t>Competencias en materia de régimen minero</w:t>
      </w:r>
      <w:bookmarkEnd w:id="1147"/>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148" w:name="DESCRIPTORALFABETICO36"/>
      <w:r w:rsidRPr="00BB71B4">
        <w:rPr>
          <w:rStyle w:val="TextoNormalNegritaCaracter"/>
        </w:rPr>
        <w:t>Competencias en materia de regulación de condiciones básicas de igualdad</w:t>
      </w:r>
      <w:bookmarkEnd w:id="1148"/>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ff. 3, 4; </w:t>
      </w:r>
      <w:hyperlink w:anchor="SENTENCIA_2015_93" w:history="1">
        <w:r w:rsidRPr="00BB71B4">
          <w:rPr>
            <w:rStyle w:val="TextoNormalCaracter"/>
          </w:rPr>
          <w:t>93/2015</w:t>
        </w:r>
      </w:hyperlink>
      <w:r w:rsidRPr="00BB71B4">
        <w:rPr>
          <w:rStyle w:val="TextoNormalCaracter"/>
        </w:rPr>
        <w:t>, f. 15.</w:t>
      </w:r>
    </w:p>
    <w:p w:rsidR="00BB71B4" w:rsidRPr="00BB71B4" w:rsidRDefault="00BB71B4" w:rsidP="00BB71B4">
      <w:pPr>
        <w:pStyle w:val="TextoNormalSangraFrancesa"/>
        <w:rPr>
          <w:rStyle w:val="TextoNormalCaracter"/>
        </w:rPr>
      </w:pPr>
      <w:bookmarkStart w:id="1149" w:name="DESCRIPTORALFABETICO37"/>
      <w:r w:rsidRPr="00BB71B4">
        <w:rPr>
          <w:rStyle w:val="TextoNormalNegritaCaracter"/>
        </w:rPr>
        <w:t>Competencias en materia de relaciones internacionales</w:t>
      </w:r>
      <w:bookmarkEnd w:id="1149"/>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150" w:name="DESCRIPTORALFABETICO38"/>
      <w:r w:rsidRPr="00BB71B4">
        <w:rPr>
          <w:rStyle w:val="TextoNormalNegritaCaracter"/>
        </w:rPr>
        <w:t>Competencias en materia de retribuciones de empleados públicos</w:t>
      </w:r>
      <w:bookmarkEnd w:id="1150"/>
      <w:r w:rsidRPr="00BB71B4">
        <w:rPr>
          <w:rStyle w:val="TextoNormalCaracter"/>
        </w:rPr>
        <w:t xml:space="preserve">, Sentencias </w:t>
      </w:r>
      <w:hyperlink w:anchor="SENTENCIA_2015_94" w:history="1">
        <w:r w:rsidRPr="00BB71B4">
          <w:rPr>
            <w:rStyle w:val="TextoNormalCaracter"/>
          </w:rPr>
          <w:t>94/2015</w:t>
        </w:r>
      </w:hyperlink>
      <w:r w:rsidRPr="00BB71B4">
        <w:rPr>
          <w:rStyle w:val="TextoNormalCaracter"/>
        </w:rPr>
        <w:t xml:space="preserve">, ff. 3 a 5; </w:t>
      </w:r>
      <w:hyperlink w:anchor="SENTENCIA_2015_143" w:history="1">
        <w:r w:rsidRPr="00BB71B4">
          <w:rPr>
            <w:rStyle w:val="TextoNormalCaracter"/>
          </w:rPr>
          <w:t>143/2015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51" w:name="DESCRIPTORALFABETICO39"/>
      <w:r w:rsidRPr="00BB71B4">
        <w:rPr>
          <w:rStyle w:val="TextoNormalNegritaCaracter"/>
        </w:rPr>
        <w:t>Competencias en materia de sanidad</w:t>
      </w:r>
      <w:bookmarkEnd w:id="1151"/>
      <w:r w:rsidRPr="00BB71B4">
        <w:rPr>
          <w:rStyle w:val="TextoNormalCaracter"/>
        </w:rPr>
        <w:t xml:space="preserve">, Sentencias </w:t>
      </w:r>
      <w:hyperlink w:anchor="SENTENCIA_2015_6" w:history="1">
        <w:r w:rsidRPr="00BB71B4">
          <w:rPr>
            <w:rStyle w:val="TextoNormalCaracter"/>
          </w:rPr>
          <w:t>6/2015</w:t>
        </w:r>
      </w:hyperlink>
      <w:r w:rsidRPr="00BB71B4">
        <w:rPr>
          <w:rStyle w:val="TextoNormalCaracter"/>
        </w:rPr>
        <w:t xml:space="preserve">, f. 2 a); </w:t>
      </w:r>
      <w:hyperlink w:anchor="SENTENCIA_2015_58" w:history="1">
        <w:r w:rsidRPr="00BB71B4">
          <w:rPr>
            <w:rStyle w:val="TextoNormalCaracter"/>
          </w:rPr>
          <w:t>58/2015</w:t>
        </w:r>
      </w:hyperlink>
      <w:r w:rsidRPr="00BB71B4">
        <w:rPr>
          <w:rStyle w:val="TextoNormalCaracter"/>
        </w:rPr>
        <w:t xml:space="preserve">, ff. 1 a 6, VP; </w:t>
      </w:r>
      <w:hyperlink w:anchor="SENTENCIA_2015_84" w:history="1">
        <w:r w:rsidRPr="00BB71B4">
          <w:rPr>
            <w:rStyle w:val="TextoNormalCaracter"/>
          </w:rPr>
          <w:t>84/2015</w:t>
        </w:r>
      </w:hyperlink>
      <w:r w:rsidRPr="00BB71B4">
        <w:rPr>
          <w:rStyle w:val="TextoNormalCaracter"/>
        </w:rPr>
        <w:t>, f. 8.</w:t>
      </w:r>
    </w:p>
    <w:p w:rsidR="00BB71B4" w:rsidRPr="00BB71B4" w:rsidRDefault="00BB71B4" w:rsidP="00BB71B4">
      <w:pPr>
        <w:pStyle w:val="TextoNormalSangraFrancesa"/>
        <w:rPr>
          <w:rStyle w:val="TextoNormalCaracter"/>
        </w:rPr>
      </w:pPr>
      <w:bookmarkStart w:id="1152" w:name="DESCRIPTORALFABETICO40"/>
      <w:r w:rsidRPr="00BB71B4">
        <w:rPr>
          <w:rStyle w:val="TextoNormalNegritaCaracter"/>
        </w:rPr>
        <w:t>Competencias en materia de Seguridad Social</w:t>
      </w:r>
      <w:bookmarkEnd w:id="1152"/>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 5; </w:t>
      </w:r>
      <w:hyperlink w:anchor="SENTENCIA_2015_84" w:history="1">
        <w:r w:rsidRPr="00BB71B4">
          <w:rPr>
            <w:rStyle w:val="TextoNormalCaracter"/>
          </w:rPr>
          <w:t>84/2015</w:t>
        </w:r>
      </w:hyperlink>
      <w:r w:rsidRPr="00BB71B4">
        <w:rPr>
          <w:rStyle w:val="TextoNormalCaracter"/>
        </w:rPr>
        <w:t xml:space="preserve">, f. 7; </w:t>
      </w:r>
      <w:hyperlink w:anchor="SENTENCIA_2015_104" w:history="1">
        <w:r w:rsidRPr="00BB71B4">
          <w:rPr>
            <w:rStyle w:val="TextoNormalCaracter"/>
          </w:rPr>
          <w:t>104/2015</w:t>
        </w:r>
      </w:hyperlink>
      <w:r w:rsidRPr="00BB71B4">
        <w:rPr>
          <w:rStyle w:val="TextoNormalCaracter"/>
        </w:rPr>
        <w:t>, f.11, VP.</w:t>
      </w:r>
    </w:p>
    <w:p w:rsidR="00BB71B4" w:rsidRPr="00BB71B4" w:rsidRDefault="00BB71B4" w:rsidP="00BB71B4">
      <w:pPr>
        <w:pStyle w:val="TextoNormalSangraFrancesa"/>
        <w:rPr>
          <w:rStyle w:val="TextoNormalCaracter"/>
        </w:rPr>
      </w:pPr>
      <w:bookmarkStart w:id="1153" w:name="DESCRIPTORALFABETICO41"/>
      <w:r w:rsidRPr="00BB71B4">
        <w:rPr>
          <w:rStyle w:val="TextoNormalNegritaCaracter"/>
        </w:rPr>
        <w:t>Competencias en materia de urbanismo</w:t>
      </w:r>
      <w:bookmarkEnd w:id="1153"/>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ff. 6, 7; </w:t>
      </w:r>
      <w:hyperlink w:anchor="SENTENCIA_2015_57" w:history="1">
        <w:r w:rsidRPr="00BB71B4">
          <w:rPr>
            <w:rStyle w:val="TextoNormalCaracter"/>
          </w:rPr>
          <w:t>57/2015</w:t>
        </w:r>
      </w:hyperlink>
      <w:r w:rsidRPr="00BB71B4">
        <w:rPr>
          <w:rStyle w:val="TextoNormalCaracter"/>
        </w:rPr>
        <w:t xml:space="preserve">, ff. 6, 10, 17 c), 23; </w:t>
      </w:r>
      <w:hyperlink w:anchor="SENTENCIA_2015_92" w:history="1">
        <w:r w:rsidRPr="00BB71B4">
          <w:rPr>
            <w:rStyle w:val="TextoNormalCaracter"/>
          </w:rPr>
          <w:t>92/2015</w:t>
        </w:r>
      </w:hyperlink>
      <w:r w:rsidRPr="00BB71B4">
        <w:rPr>
          <w:rStyle w:val="TextoNormalCaracter"/>
        </w:rPr>
        <w:t>, ff. 4, 7, 8.</w:t>
      </w:r>
    </w:p>
    <w:p w:rsidR="00BB71B4" w:rsidRPr="00BB71B4" w:rsidRDefault="00BB71B4" w:rsidP="00BB71B4">
      <w:pPr>
        <w:pStyle w:val="TextoNormalSangraFrancesa"/>
        <w:rPr>
          <w:rStyle w:val="TextoNormalCaracter"/>
        </w:rPr>
      </w:pPr>
      <w:bookmarkStart w:id="1154" w:name="DESCRIPTORALFABETICO42"/>
      <w:r w:rsidRPr="00BB71B4">
        <w:rPr>
          <w:rStyle w:val="TextoNormalNegritaCaracter"/>
        </w:rPr>
        <w:t>Competencias en materia de vivienda</w:t>
      </w:r>
      <w:bookmarkEnd w:id="1154"/>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17, 18, VP I, VP II, VP III.</w:t>
      </w:r>
    </w:p>
    <w:p w:rsidR="00BB71B4" w:rsidRPr="00BB71B4" w:rsidRDefault="00BB71B4" w:rsidP="00BB71B4">
      <w:pPr>
        <w:pStyle w:val="TextoNormalSangraFrancesa"/>
        <w:rPr>
          <w:rStyle w:val="TextoNormalCaracter"/>
        </w:rPr>
      </w:pPr>
      <w:bookmarkStart w:id="1155" w:name="DESCRIPTORALFABETICO43"/>
      <w:r w:rsidRPr="00BB71B4">
        <w:rPr>
          <w:rStyle w:val="TextoNormalNegritaCaracter"/>
        </w:rPr>
        <w:t>Competencias en materia tributaria</w:t>
      </w:r>
      <w:bookmarkEnd w:id="1155"/>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156" w:name="DESCRIPTORALFABETICO420"/>
      <w:r w:rsidRPr="00BB71B4">
        <w:rPr>
          <w:rStyle w:val="TextoNormalNegritaCaracter"/>
        </w:rPr>
        <w:t>Complementos retributivos</w:t>
      </w:r>
      <w:bookmarkEnd w:id="1156"/>
      <w:r w:rsidRPr="00BB71B4">
        <w:rPr>
          <w:rStyle w:val="TextoNormalCaracter"/>
        </w:rPr>
        <w:t xml:space="preserve">, Sentencias </w:t>
      </w:r>
      <w:hyperlink w:anchor="SENTENCIA_2015_94" w:history="1">
        <w:r w:rsidRPr="00BB71B4">
          <w:rPr>
            <w:rStyle w:val="TextoNormalCaracter"/>
          </w:rPr>
          <w:t>94/2015</w:t>
        </w:r>
      </w:hyperlink>
      <w:r w:rsidRPr="00BB71B4">
        <w:rPr>
          <w:rStyle w:val="TextoNormalCaracter"/>
        </w:rPr>
        <w:t xml:space="preserve">, ff. 3 a 5; </w:t>
      </w:r>
      <w:hyperlink w:anchor="SENTENCIA_2015_104" w:history="1">
        <w:r w:rsidRPr="00BB71B4">
          <w:rPr>
            <w:rStyle w:val="TextoNormalCaracter"/>
          </w:rPr>
          <w:t>104/2015</w:t>
        </w:r>
      </w:hyperlink>
      <w:r w:rsidRPr="00BB71B4">
        <w:rPr>
          <w:rStyle w:val="TextoNormalCaracter"/>
        </w:rPr>
        <w:t>, f. 12.</w:t>
      </w:r>
    </w:p>
    <w:p w:rsidR="00BB71B4" w:rsidRPr="00BB71B4" w:rsidRDefault="00BB71B4" w:rsidP="00BB71B4">
      <w:pPr>
        <w:pStyle w:val="TextoNormalSangraFrancesa"/>
        <w:rPr>
          <w:rStyle w:val="TextoNormalCaracter"/>
        </w:rPr>
      </w:pPr>
      <w:bookmarkStart w:id="1157" w:name="DESCRIPTORALFABETICO644"/>
      <w:r w:rsidRPr="00BB71B4">
        <w:rPr>
          <w:rStyle w:val="TextoNormalNegritaCaracter"/>
        </w:rPr>
        <w:t>Cómputo de antigüedad</w:t>
      </w:r>
      <w:bookmarkEnd w:id="1157"/>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158" w:name="DESCRIPTORALFABETICO736"/>
      <w:r w:rsidRPr="00BB71B4">
        <w:rPr>
          <w:rStyle w:val="TextoNormalNegritaCaracter"/>
        </w:rPr>
        <w:t>Comunidad de Madrid</w:t>
      </w:r>
      <w:bookmarkEnd w:id="1158"/>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 1.</w:t>
      </w:r>
    </w:p>
    <w:p w:rsidR="00BB71B4" w:rsidRPr="00BB71B4" w:rsidRDefault="00BB71B4" w:rsidP="00BB71B4">
      <w:pPr>
        <w:pStyle w:val="TextoNormalSangraFrancesa"/>
        <w:rPr>
          <w:rStyle w:val="TextoNormalCaracter"/>
        </w:rPr>
      </w:pPr>
      <w:bookmarkStart w:id="1159" w:name="DESCRIPTORALFABETICO737"/>
      <w:r w:rsidRPr="00BB71B4">
        <w:rPr>
          <w:rStyle w:val="TextoNormalNegritaCaracter"/>
        </w:rPr>
        <w:t>Comunidad Foral de Navarra</w:t>
      </w:r>
      <w:bookmarkEnd w:id="1159"/>
      <w:r w:rsidRPr="00BB71B4">
        <w:rPr>
          <w:rStyle w:val="TextoNormalCaracter"/>
        </w:rPr>
        <w:t xml:space="preserve">, Sentencias </w:t>
      </w:r>
      <w:hyperlink w:anchor="SENTENCIA_2015_14" w:history="1">
        <w:r w:rsidRPr="00BB71B4">
          <w:rPr>
            <w:rStyle w:val="TextoNormalCaracter"/>
          </w:rPr>
          <w:t>14/2015</w:t>
        </w:r>
      </w:hyperlink>
      <w:r w:rsidRPr="00BB71B4">
        <w:rPr>
          <w:rStyle w:val="TextoNormalCaracter"/>
        </w:rPr>
        <w:t xml:space="preserve">, ff. 1 a 6; </w:t>
      </w:r>
      <w:hyperlink w:anchor="SENTENCIA_2015_81" w:history="1">
        <w:r w:rsidRPr="00BB71B4">
          <w:rPr>
            <w:rStyle w:val="TextoNormalCaracter"/>
          </w:rPr>
          <w:t>81/2015</w:t>
        </w:r>
      </w:hyperlink>
      <w:r w:rsidRPr="00BB71B4">
        <w:rPr>
          <w:rStyle w:val="TextoNormalCaracter"/>
        </w:rPr>
        <w:t xml:space="preserve">, f. 1; </w:t>
      </w:r>
      <w:hyperlink w:anchor="SENTENCIA_2015_94" w:history="1">
        <w:r w:rsidRPr="00BB71B4">
          <w:rPr>
            <w:rStyle w:val="TextoNormalCaracter"/>
          </w:rPr>
          <w:t>94/2015</w:t>
        </w:r>
      </w:hyperlink>
      <w:r w:rsidRPr="00BB71B4">
        <w:rPr>
          <w:rStyle w:val="TextoNormalCaracter"/>
        </w:rPr>
        <w:t>, f. 1.</w:t>
      </w:r>
    </w:p>
    <w:p w:rsidR="00BB71B4" w:rsidRPr="00BB71B4" w:rsidRDefault="00BB71B4" w:rsidP="00BB71B4">
      <w:pPr>
        <w:pStyle w:val="TextoNormalSangraFrancesa"/>
        <w:rPr>
          <w:rStyle w:val="TextoNormalCaracter"/>
        </w:rPr>
      </w:pPr>
      <w:bookmarkStart w:id="1160" w:name="DESCRIPTORALFABETICO738"/>
      <w:r w:rsidRPr="00BB71B4">
        <w:rPr>
          <w:rStyle w:val="TextoNormalNegritaCaracter"/>
        </w:rPr>
        <w:t>Comunidad Valenciana</w:t>
      </w:r>
      <w:bookmarkEnd w:id="1160"/>
      <w:r w:rsidRPr="00BB71B4">
        <w:rPr>
          <w:rStyle w:val="TextoNormalCaracter"/>
        </w:rPr>
        <w:t xml:space="preserve">, Sentencias </w:t>
      </w:r>
      <w:hyperlink w:anchor="SENTENCIA_2015_30" w:history="1">
        <w:r w:rsidRPr="00BB71B4">
          <w:rPr>
            <w:rStyle w:val="TextoNormalCaracter"/>
          </w:rPr>
          <w:t>30/2015</w:t>
        </w:r>
      </w:hyperlink>
      <w:r w:rsidRPr="00BB71B4">
        <w:rPr>
          <w:rStyle w:val="TextoNormalCaracter"/>
        </w:rPr>
        <w:t xml:space="preserve">, f. 1; </w:t>
      </w:r>
      <w:hyperlink w:anchor="SENTENCIA_2015_60" w:history="1">
        <w:r w:rsidRPr="00BB71B4">
          <w:rPr>
            <w:rStyle w:val="TextoNormalCaracter"/>
          </w:rPr>
          <w:t>60/2015</w:t>
        </w:r>
      </w:hyperlink>
      <w:r w:rsidRPr="00BB71B4">
        <w:rPr>
          <w:rStyle w:val="TextoNormalCaracter"/>
        </w:rPr>
        <w:t>, ff. 1, 2, 5, 6.</w:t>
      </w:r>
    </w:p>
    <w:p w:rsidR="00BB71B4" w:rsidRPr="00BB71B4" w:rsidRDefault="00BB71B4" w:rsidP="00BB71B4">
      <w:pPr>
        <w:pStyle w:val="TextoNormalSangraFrancesa"/>
        <w:rPr>
          <w:rStyle w:val="TextoNormalCaracter"/>
        </w:rPr>
      </w:pPr>
      <w:bookmarkStart w:id="1161" w:name="DESCRIPTORALFABETICO399"/>
      <w:r w:rsidRPr="00BB71B4">
        <w:rPr>
          <w:rStyle w:val="TextoNormalNegritaCaracter"/>
        </w:rPr>
        <w:t>Comunidades Autónomas</w:t>
      </w:r>
      <w:bookmarkEnd w:id="1161"/>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62" w:name="DESCRIPTORALFABETICO12"/>
      <w:r w:rsidRPr="00BB71B4">
        <w:rPr>
          <w:rStyle w:val="TextoNormalNegritaCaracter"/>
        </w:rPr>
        <w:t>Concurrencia de competencias sobre el mismo espacio físico</w:t>
      </w:r>
      <w:bookmarkEnd w:id="1162"/>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 4; </w:t>
      </w:r>
      <w:hyperlink w:anchor="SENTENCIA_2015_13" w:history="1">
        <w:r w:rsidRPr="00BB71B4">
          <w:rPr>
            <w:rStyle w:val="TextoNormalCaracter"/>
          </w:rPr>
          <w:t>13/2015</w:t>
        </w:r>
      </w:hyperlink>
      <w:r w:rsidRPr="00BB71B4">
        <w:rPr>
          <w:rStyle w:val="TextoNormalCaracter"/>
        </w:rPr>
        <w:t>, f. 5 a).</w:t>
      </w:r>
    </w:p>
    <w:p w:rsidR="00BB71B4" w:rsidRPr="00BB71B4" w:rsidRDefault="00BB71B4" w:rsidP="00BB71B4">
      <w:pPr>
        <w:pStyle w:val="TextoNormalSangraFrancesa"/>
        <w:rPr>
          <w:rStyle w:val="TextoNormalCaracter"/>
        </w:rPr>
      </w:pPr>
      <w:bookmarkStart w:id="1163" w:name="DESCRIPTORALFABETICO424"/>
      <w:r w:rsidRPr="00BB71B4">
        <w:rPr>
          <w:rStyle w:val="TextoNormalNegritaCaracter"/>
        </w:rPr>
        <w:t>Concurso de méritos</w:t>
      </w:r>
      <w:bookmarkEnd w:id="1163"/>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164" w:name="DESCRIPTORALFABETICO625"/>
      <w:r w:rsidRPr="00BB71B4">
        <w:rPr>
          <w:rStyle w:val="TextoNormalNegritaCaracter"/>
        </w:rPr>
        <w:t>Condiciones de trabajo</w:t>
      </w:r>
      <w:bookmarkEnd w:id="1164"/>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4, 6 b), VP.</w:t>
      </w:r>
    </w:p>
    <w:p w:rsidR="00BB71B4" w:rsidRPr="00BB71B4" w:rsidRDefault="00BB71B4" w:rsidP="00BB71B4">
      <w:pPr>
        <w:pStyle w:val="TextoNormalSangraFrancesa"/>
        <w:rPr>
          <w:rStyle w:val="TextoNormalCaracter"/>
        </w:rPr>
      </w:pPr>
      <w:bookmarkStart w:id="1165" w:name="DESCRIPTORALFABETICO677"/>
      <w:r w:rsidRPr="00BB71B4">
        <w:rPr>
          <w:rStyle w:val="TextoNormalNegritaCaracter"/>
        </w:rPr>
        <w:t>Conexión de antijuridicidad con la vulneración de derechos fundamentales</w:t>
      </w:r>
      <w:bookmarkEnd w:id="1165"/>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ff. 2, 8, 9.</w:t>
      </w:r>
    </w:p>
    <w:p w:rsidR="00BB71B4" w:rsidRPr="00BB71B4" w:rsidRDefault="00BB71B4" w:rsidP="00BB71B4">
      <w:pPr>
        <w:pStyle w:val="TextoNormalSangraFrancesa"/>
        <w:rPr>
          <w:rStyle w:val="TextoNormalCaracter"/>
        </w:rPr>
      </w:pPr>
      <w:bookmarkStart w:id="1166" w:name="DESCRIPTORALFABETICO535"/>
      <w:r w:rsidRPr="00BB71B4">
        <w:rPr>
          <w:rStyle w:val="TextoNormalNegritaCaracter"/>
        </w:rPr>
        <w:t>Conexión de sentido entre la situación de urgencia y las medidas adoptadas</w:t>
      </w:r>
      <w:bookmarkEnd w:id="1166"/>
      <w:r w:rsidRPr="00BB71B4">
        <w:rPr>
          <w:rStyle w:val="TextoNormalCaracter"/>
        </w:rPr>
        <w:t xml:space="preserve">, Sentencias </w:t>
      </w:r>
      <w:hyperlink w:anchor="SENTENCIA_2015_12" w:history="1">
        <w:r w:rsidRPr="00BB71B4">
          <w:rPr>
            <w:rStyle w:val="TextoNormalCaracter"/>
          </w:rPr>
          <w:t>12/2015</w:t>
        </w:r>
      </w:hyperlink>
      <w:r w:rsidRPr="00BB71B4">
        <w:rPr>
          <w:rStyle w:val="TextoNormalCaracter"/>
        </w:rPr>
        <w:t xml:space="preserve">, ff. 1, 3, 5, 6, VP II; </w:t>
      </w:r>
      <w:hyperlink w:anchor="SENTENCIA_2015_28" w:history="1">
        <w:r w:rsidRPr="00BB71B4">
          <w:rPr>
            <w:rStyle w:val="TextoNormalCaracter"/>
          </w:rPr>
          <w:t>28/2015</w:t>
        </w:r>
      </w:hyperlink>
      <w:r w:rsidRPr="00BB71B4">
        <w:rPr>
          <w:rStyle w:val="TextoNormalCaracter"/>
        </w:rPr>
        <w:t xml:space="preserve">, f. 3; </w:t>
      </w:r>
      <w:hyperlink w:anchor="SENTENCIA_2015_48" w:history="1">
        <w:r w:rsidRPr="00BB71B4">
          <w:rPr>
            <w:rStyle w:val="TextoNormalCaracter"/>
          </w:rPr>
          <w:t>48/2015</w:t>
        </w:r>
      </w:hyperlink>
      <w:r w:rsidRPr="00BB71B4">
        <w:rPr>
          <w:rStyle w:val="TextoNormalCaracter"/>
        </w:rPr>
        <w:t xml:space="preserve">, f. 6; </w:t>
      </w:r>
      <w:hyperlink w:anchor="SENTENCIA_2015_81" w:history="1">
        <w:r w:rsidRPr="00BB71B4">
          <w:rPr>
            <w:rStyle w:val="TextoNormalCaracter"/>
          </w:rPr>
          <w:t>81/2015</w:t>
        </w:r>
      </w:hyperlink>
      <w:r w:rsidRPr="00BB71B4">
        <w:rPr>
          <w:rStyle w:val="TextoNormalCaracter"/>
        </w:rPr>
        <w:t xml:space="preserve">, ff. 6, 7; </w:t>
      </w:r>
      <w:hyperlink w:anchor="SENTENCIA_2015_93" w:history="1">
        <w:r w:rsidRPr="00BB71B4">
          <w:rPr>
            <w:rStyle w:val="TextoNormalCaracter"/>
          </w:rPr>
          <w:t>93/2015</w:t>
        </w:r>
      </w:hyperlink>
      <w:r w:rsidRPr="00BB71B4">
        <w:rPr>
          <w:rStyle w:val="TextoNormalCaracter"/>
        </w:rPr>
        <w:t xml:space="preserve">, ff. 7, 10; </w:t>
      </w:r>
      <w:hyperlink w:anchor="SENTENCIA_2015_95" w:history="1">
        <w:r w:rsidRPr="00BB71B4">
          <w:rPr>
            <w:rStyle w:val="TextoNormalCaracter"/>
          </w:rPr>
          <w:t>95/2015</w:t>
        </w:r>
      </w:hyperlink>
      <w:r w:rsidRPr="00BB71B4">
        <w:rPr>
          <w:rStyle w:val="TextoNormalCaracter"/>
        </w:rPr>
        <w:t xml:space="preserve">, ff. 3, 5; </w:t>
      </w:r>
      <w:hyperlink w:anchor="SENTENCIA_2015_104" w:history="1">
        <w:r w:rsidRPr="00BB71B4">
          <w:rPr>
            <w:rStyle w:val="TextoNormalCaracter"/>
          </w:rPr>
          <w:t>104/2015</w:t>
        </w:r>
      </w:hyperlink>
      <w:r w:rsidRPr="00BB71B4">
        <w:rPr>
          <w:rStyle w:val="TextoNormalCaracter"/>
        </w:rPr>
        <w:t xml:space="preserve">, f. 7; </w:t>
      </w:r>
      <w:hyperlink w:anchor="SENTENCIA_2015_105" w:history="1">
        <w:r w:rsidRPr="00BB71B4">
          <w:rPr>
            <w:rStyle w:val="TextoNormalCaracter"/>
          </w:rPr>
          <w:t>105/2015</w:t>
        </w:r>
      </w:hyperlink>
      <w:r w:rsidRPr="00BB71B4">
        <w:rPr>
          <w:rStyle w:val="TextoNormalCaracter"/>
        </w:rPr>
        <w:t xml:space="preserve">, f. 3; </w:t>
      </w:r>
      <w:hyperlink w:anchor="SENTENCIA_2015_106" w:history="1">
        <w:r w:rsidRPr="00BB71B4">
          <w:rPr>
            <w:rStyle w:val="TextoNormalCaracter"/>
          </w:rPr>
          <w:t>106/2015</w:t>
        </w:r>
      </w:hyperlink>
      <w:r w:rsidRPr="00BB71B4">
        <w:rPr>
          <w:rStyle w:val="TextoNormalCaracter"/>
        </w:rPr>
        <w:t xml:space="preserve">, f. 3; </w:t>
      </w:r>
      <w:hyperlink w:anchor="SENTENCIA_2015_136" w:history="1">
        <w:r w:rsidRPr="00BB71B4">
          <w:rPr>
            <w:rStyle w:val="TextoNormalCaracter"/>
          </w:rPr>
          <w:t>136/2015</w:t>
        </w:r>
      </w:hyperlink>
      <w:r w:rsidRPr="00BB71B4">
        <w:rPr>
          <w:rStyle w:val="TextoNormalCaracter"/>
        </w:rPr>
        <w:t>, ff. 3, 6.</w:t>
      </w:r>
    </w:p>
    <w:p w:rsidR="00BB71B4" w:rsidRPr="00BB71B4" w:rsidRDefault="00BB71B4" w:rsidP="00BB71B4">
      <w:pPr>
        <w:pStyle w:val="TextoNormalSangraFrancesa"/>
        <w:rPr>
          <w:rStyle w:val="TextoNormalCaracter"/>
        </w:rPr>
      </w:pPr>
      <w:bookmarkStart w:id="1167" w:name="DESCRIPTORALFABETICO333"/>
      <w:r w:rsidRPr="00BB71B4">
        <w:rPr>
          <w:rStyle w:val="TextoNormalNegritaCaracter"/>
        </w:rPr>
        <w:t>Conexión material entre enmienda e iniciativa legislativa</w:t>
      </w:r>
      <w:bookmarkEnd w:id="1167"/>
      <w:r w:rsidRPr="00BB71B4">
        <w:rPr>
          <w:rStyle w:val="TextoNormalCaracter"/>
        </w:rPr>
        <w:t xml:space="preserve">, Sentencias </w:t>
      </w:r>
      <w:hyperlink w:anchor="SENTENCIA_2015_59" w:history="1">
        <w:r w:rsidRPr="00BB71B4">
          <w:rPr>
            <w:rStyle w:val="TextoNormalCaracter"/>
          </w:rPr>
          <w:t>59/2015</w:t>
        </w:r>
      </w:hyperlink>
      <w:r w:rsidRPr="00BB71B4">
        <w:rPr>
          <w:rStyle w:val="TextoNormalCaracter"/>
        </w:rPr>
        <w:t xml:space="preserve">, ff. 5, 6; </w:t>
      </w:r>
      <w:hyperlink w:anchor="SENTENCIA_2015_73" w:history="1">
        <w:r w:rsidRPr="00BB71B4">
          <w:rPr>
            <w:rStyle w:val="TextoNormalCaracter"/>
          </w:rPr>
          <w:t>73/2015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68" w:name="DESCRIPTORALFABETICO388"/>
      <w:r w:rsidRPr="00BB71B4">
        <w:rPr>
          <w:rStyle w:val="TextoNormalNegritaCaracter"/>
        </w:rPr>
        <w:t>Confianza legítima</w:t>
      </w:r>
      <w:bookmarkEnd w:id="1168"/>
      <w:r w:rsidRPr="00BB71B4">
        <w:rPr>
          <w:rStyle w:val="TextoNormalCaracter"/>
        </w:rPr>
        <w:t xml:space="preserve">, Sentencias </w:t>
      </w:r>
      <w:hyperlink w:anchor="SENTENCIA_2015_7" w:history="1">
        <w:r w:rsidRPr="00BB71B4">
          <w:rPr>
            <w:rStyle w:val="TextoNormalCaracter"/>
          </w:rPr>
          <w:t>7/2015</w:t>
        </w:r>
      </w:hyperlink>
      <w:r w:rsidRPr="00BB71B4">
        <w:rPr>
          <w:rStyle w:val="TextoNormalCaracter"/>
        </w:rPr>
        <w:t xml:space="preserve">, VP; </w:t>
      </w:r>
      <w:hyperlink w:anchor="SENTENCIA_2015_81" w:history="1">
        <w:r w:rsidRPr="00BB71B4">
          <w:rPr>
            <w:rStyle w:val="TextoNormalCaracter"/>
          </w:rPr>
          <w:t>81/2015</w:t>
        </w:r>
      </w:hyperlink>
      <w:r w:rsidRPr="00BB71B4">
        <w:rPr>
          <w:rStyle w:val="TextoNormalCaracter"/>
        </w:rPr>
        <w:t>, f. 8.</w:t>
      </w:r>
    </w:p>
    <w:p w:rsidR="00BB71B4" w:rsidRPr="00BB71B4" w:rsidRDefault="00BB71B4" w:rsidP="00BB71B4">
      <w:pPr>
        <w:pStyle w:val="TextoNormalSangraFrancesa"/>
        <w:rPr>
          <w:rStyle w:val="TextoNormalCaracter"/>
        </w:rPr>
      </w:pPr>
      <w:bookmarkStart w:id="1169" w:name="DESCRIPTORALFABETICO256"/>
      <w:r w:rsidRPr="00BB71B4">
        <w:rPr>
          <w:rStyle w:val="TextoNormalNegritaCaracter"/>
        </w:rPr>
        <w:t>Conflictos en defensa de la autonomía local</w:t>
      </w:r>
      <w:bookmarkEnd w:id="1169"/>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 </w:t>
      </w:r>
      <w:hyperlink w:anchor="SENTENCIA_2015_92" w:history="1">
        <w:r w:rsidRPr="00BB71B4">
          <w:rPr>
            <w:rStyle w:val="TextoNormalCaracter"/>
          </w:rPr>
          <w:t>92/2015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70" w:name="DESCRIPTORALFABETICO259"/>
      <w:r w:rsidRPr="00BB71B4">
        <w:rPr>
          <w:rStyle w:val="TextoNormalNegritaCaracter"/>
        </w:rPr>
        <w:t>Conflictos positivos de competencia</w:t>
      </w:r>
      <w:bookmarkEnd w:id="1170"/>
      <w:r w:rsidRPr="00BB71B4">
        <w:rPr>
          <w:rStyle w:val="TextoNormalCaracter"/>
        </w:rPr>
        <w:t xml:space="preserve">, Sentencia </w:t>
      </w:r>
      <w:hyperlink w:anchor="SENTENCIA_2015_147" w:history="1">
        <w:r w:rsidRPr="00BB71B4">
          <w:rPr>
            <w:rStyle w:val="TextoNormalCaracter"/>
          </w:rPr>
          <w:t>147/2015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71" w:name="DESCRIPTORALFABETICO320"/>
      <w:r w:rsidRPr="00BB71B4">
        <w:rPr>
          <w:rStyle w:val="TextoNormalNegritaCaracter"/>
        </w:rPr>
        <w:t>Consejo Nacional del Agua</w:t>
      </w:r>
      <w:bookmarkEnd w:id="1171"/>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172" w:name="DESCRIPTORALFABETICO570"/>
      <w:r w:rsidRPr="00BB71B4">
        <w:rPr>
          <w:rStyle w:val="TextoNormalNegritaCaracter"/>
        </w:rPr>
        <w:t>Consentimiento</w:t>
      </w:r>
      <w:bookmarkEnd w:id="1172"/>
      <w:r w:rsidRPr="00BB71B4">
        <w:rPr>
          <w:rStyle w:val="TextoNormalCaracter"/>
        </w:rPr>
        <w:t xml:space="preserve">, Sentencias </w:t>
      </w:r>
      <w:hyperlink w:anchor="SENTENCIA_2015_18" w:history="1">
        <w:r w:rsidRPr="00BB71B4">
          <w:rPr>
            <w:rStyle w:val="TextoNormalCaracter"/>
          </w:rPr>
          <w:t>18/2015</w:t>
        </w:r>
      </w:hyperlink>
      <w:r w:rsidRPr="00BB71B4">
        <w:rPr>
          <w:rStyle w:val="TextoNormalCaracter"/>
        </w:rPr>
        <w:t xml:space="preserve">, ff. 4 a 7; </w:t>
      </w:r>
      <w:hyperlink w:anchor="SENTENCIA_2015_54" w:history="1">
        <w:r w:rsidRPr="00BB71B4">
          <w:rPr>
            <w:rStyle w:val="TextoNormalCaracter"/>
          </w:rPr>
          <w:t>54/2015</w:t>
        </w:r>
      </w:hyperlink>
      <w:r w:rsidRPr="00BB71B4">
        <w:rPr>
          <w:rStyle w:val="TextoNormalCaracter"/>
        </w:rPr>
        <w:t>, ff. 4 a 6.</w:t>
      </w:r>
    </w:p>
    <w:p w:rsidR="00BB71B4" w:rsidRPr="00BB71B4" w:rsidRDefault="00BB71B4" w:rsidP="00BB71B4">
      <w:pPr>
        <w:pStyle w:val="TextoNormalSangraFrancesa"/>
        <w:rPr>
          <w:rStyle w:val="TextoNormalCaracter"/>
        </w:rPr>
      </w:pPr>
      <w:bookmarkStart w:id="1173" w:name="DESCRIPTORALFABETICO571"/>
      <w:r w:rsidRPr="00BB71B4">
        <w:rPr>
          <w:rStyle w:val="TextoNormalNegritaCaracter"/>
        </w:rPr>
        <w:t>Consentimiento informado</w:t>
      </w:r>
      <w:bookmarkEnd w:id="1173"/>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174" w:name="DESCRIPTORALFABETICO659"/>
      <w:r w:rsidRPr="00BB71B4">
        <w:rPr>
          <w:rStyle w:val="TextoNormalNegritaCaracter"/>
        </w:rPr>
        <w:t>Consignación del precio en juicio de retracto</w:t>
      </w:r>
      <w:bookmarkEnd w:id="1174"/>
      <w:r w:rsidRPr="00BB71B4">
        <w:rPr>
          <w:rStyle w:val="TextoNormalCaracter"/>
        </w:rPr>
        <w:t xml:space="preserve">, Sentencia </w:t>
      </w:r>
      <w:hyperlink w:anchor="SENTENCIA_2015_115" w:history="1">
        <w:r w:rsidRPr="00BB71B4">
          <w:rPr>
            <w:rStyle w:val="TextoNormalCaracter"/>
          </w:rPr>
          <w:t>115/2015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175" w:name="DESCRIPTORALFABETICO137"/>
      <w:r w:rsidRPr="00BB71B4">
        <w:rPr>
          <w:rStyle w:val="TextoNormalNegritaCaracter"/>
        </w:rPr>
        <w:t>Consultas populares</w:t>
      </w:r>
      <w:bookmarkEnd w:id="1175"/>
      <w:r w:rsidRPr="00BB71B4">
        <w:rPr>
          <w:rStyle w:val="TextoNormalCaracter"/>
        </w:rPr>
        <w:t xml:space="preserve">, Sentencias </w:t>
      </w:r>
      <w:hyperlink w:anchor="SENTENCIA_2015_31" w:history="1">
        <w:r w:rsidRPr="00BB71B4">
          <w:rPr>
            <w:rStyle w:val="TextoNormalCaracter"/>
          </w:rPr>
          <w:t>31/2015</w:t>
        </w:r>
      </w:hyperlink>
      <w:r w:rsidRPr="00BB71B4">
        <w:rPr>
          <w:rStyle w:val="TextoNormalCaracter"/>
        </w:rPr>
        <w:t xml:space="preserve">, ff. 5 a 11; </w:t>
      </w:r>
      <w:hyperlink w:anchor="SENTENCIA_2015_32" w:history="1">
        <w:r w:rsidRPr="00BB71B4">
          <w:rPr>
            <w:rStyle w:val="TextoNormalCaracter"/>
          </w:rPr>
          <w:t>32/2015</w:t>
        </w:r>
      </w:hyperlink>
      <w:r w:rsidRPr="00BB71B4">
        <w:rPr>
          <w:rStyle w:val="TextoNormalCaracter"/>
        </w:rPr>
        <w:t xml:space="preserve">, ff. 3, 4; </w:t>
      </w:r>
      <w:hyperlink w:anchor="SENTENCIA_2015_137" w:history="1">
        <w:r w:rsidRPr="00BB71B4">
          <w:rPr>
            <w:rStyle w:val="TextoNormalCaracter"/>
          </w:rPr>
          <w:t>137/2015</w:t>
        </w:r>
      </w:hyperlink>
      <w:r w:rsidRPr="00BB71B4">
        <w:rPr>
          <w:rStyle w:val="TextoNormalCaracter"/>
        </w:rPr>
        <w:t xml:space="preserve">, ff. 1 a 8; </w:t>
      </w:r>
      <w:hyperlink w:anchor="SENTENCIA_2015_138" w:history="1">
        <w:r w:rsidRPr="00BB71B4">
          <w:rPr>
            <w:rStyle w:val="TextoNormalCaracter"/>
          </w:rPr>
          <w:t>138/2015</w:t>
        </w:r>
      </w:hyperlink>
      <w:r w:rsidRPr="00BB71B4">
        <w:rPr>
          <w:rStyle w:val="TextoNormalCaracter"/>
        </w:rPr>
        <w:t xml:space="preserve">, ff. 2 a 4;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54" w:history="1">
        <w:r w:rsidRPr="00BB71B4">
          <w:rPr>
            <w:rStyle w:val="TextoNormalCaracter"/>
          </w:rPr>
          <w:t>54/2015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176" w:name="DESCRIPTORALFABETICO46"/>
      <w:r w:rsidRPr="00BB71B4">
        <w:rPr>
          <w:rStyle w:val="TextoNormalNegritaCaracter"/>
        </w:rPr>
        <w:t>Contención del gasto público</w:t>
      </w:r>
      <w:bookmarkEnd w:id="1176"/>
      <w:r w:rsidRPr="00BB71B4">
        <w:rPr>
          <w:rStyle w:val="TextoNormalCaracter"/>
        </w:rPr>
        <w:t xml:space="preserve">, Sentencia </w:t>
      </w:r>
      <w:hyperlink w:anchor="SENTENCIA_2015_94" w:history="1">
        <w:r w:rsidRPr="00BB71B4">
          <w:rPr>
            <w:rStyle w:val="TextoNormalCaracter"/>
          </w:rPr>
          <w:t>94/2015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177" w:name="DESCRIPTORALFABETICO200"/>
      <w:r w:rsidRPr="00BB71B4">
        <w:rPr>
          <w:rStyle w:val="TextoNormalNegritaCaracter"/>
        </w:rPr>
        <w:t>Contenido de la libertad de expresión</w:t>
      </w:r>
      <w:bookmarkEnd w:id="1177"/>
      <w:r w:rsidRPr="00BB71B4">
        <w:rPr>
          <w:rStyle w:val="TextoNormalCaracter"/>
        </w:rPr>
        <w:t xml:space="preserve">, Sentencia </w:t>
      </w:r>
      <w:hyperlink w:anchor="SENTENCIA_2015_65" w:history="1">
        <w:r w:rsidRPr="00BB71B4">
          <w:rPr>
            <w:rStyle w:val="TextoNormalCaracter"/>
          </w:rPr>
          <w:t>65/2015</w:t>
        </w:r>
      </w:hyperlink>
      <w:r w:rsidRPr="00BB71B4">
        <w:rPr>
          <w:rStyle w:val="TextoNormalCaracter"/>
        </w:rPr>
        <w:t>, f. 3, VP I, VP II.</w:t>
      </w:r>
    </w:p>
    <w:p w:rsidR="00BB71B4" w:rsidRPr="00BB71B4" w:rsidRDefault="00BB71B4" w:rsidP="00BB71B4">
      <w:pPr>
        <w:pStyle w:val="TextoNormalSangraFrancesa"/>
        <w:rPr>
          <w:rStyle w:val="TextoNormalCaracter"/>
        </w:rPr>
      </w:pPr>
      <w:bookmarkStart w:id="1178" w:name="DESCRIPTORALFABETICO526"/>
      <w:r w:rsidRPr="00BB71B4">
        <w:rPr>
          <w:rStyle w:val="TextoNormalNegritaCaracter"/>
        </w:rPr>
        <w:t>Contenido de los Estatutos de Autonomía</w:t>
      </w:r>
      <w:bookmarkEnd w:id="1178"/>
      <w:r w:rsidRPr="00BB71B4">
        <w:rPr>
          <w:rStyle w:val="TextoNormalCaracter"/>
        </w:rPr>
        <w:t xml:space="preserve">, Sentencias </w:t>
      </w:r>
      <w:hyperlink w:anchor="SENTENCIA_2015_15" w:history="1">
        <w:r w:rsidRPr="00BB71B4">
          <w:rPr>
            <w:rStyle w:val="TextoNormalCaracter"/>
          </w:rPr>
          <w:t>15/2015</w:t>
        </w:r>
      </w:hyperlink>
      <w:r w:rsidRPr="00BB71B4">
        <w:rPr>
          <w:rStyle w:val="TextoNormalCaracter"/>
        </w:rPr>
        <w:t xml:space="preserve">, f. 5; </w:t>
      </w:r>
      <w:hyperlink w:anchor="SENTENCIA_2015_93" w:history="1">
        <w:r w:rsidRPr="00BB71B4">
          <w:rPr>
            <w:rStyle w:val="TextoNormalCaracter"/>
          </w:rPr>
          <w:t>93/2015</w:t>
        </w:r>
      </w:hyperlink>
      <w:r w:rsidRPr="00BB71B4">
        <w:rPr>
          <w:rStyle w:val="TextoNormalCaracter"/>
        </w:rPr>
        <w:t xml:space="preserve">, ff. 3 a 5; </w:t>
      </w:r>
      <w:hyperlink w:anchor="SENTENCIA_2015_107" w:history="1">
        <w:r w:rsidRPr="00BB71B4">
          <w:rPr>
            <w:rStyle w:val="TextoNormalCaracter"/>
          </w:rPr>
          <w:t>107/2015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79" w:name="DESCRIPTORALFABETICO105"/>
      <w:r w:rsidRPr="00BB71B4">
        <w:rPr>
          <w:rStyle w:val="TextoNormalNegritaCaracter"/>
        </w:rPr>
        <w:t>Contenido del derecho a acceder a los cargos públicos</w:t>
      </w:r>
      <w:bookmarkEnd w:id="1179"/>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3; </w:t>
      </w:r>
      <w:hyperlink w:anchor="SENTENCIA_2015_23" w:history="1">
        <w:r w:rsidRPr="00BB71B4">
          <w:rPr>
            <w:rStyle w:val="TextoNormalCaracter"/>
          </w:rPr>
          <w:t>23/2015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80" w:name="DESCRIPTORALFABETICO129"/>
      <w:r w:rsidRPr="00BB71B4">
        <w:rPr>
          <w:rStyle w:val="TextoNormalNegritaCaracter"/>
        </w:rPr>
        <w:t>Contenido del derecho a la negociación colectiva</w:t>
      </w:r>
      <w:bookmarkEnd w:id="1180"/>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ff. 12, 13, VP.</w:t>
      </w:r>
    </w:p>
    <w:p w:rsidR="00BB71B4" w:rsidRPr="00BB71B4" w:rsidRDefault="00BB71B4" w:rsidP="00BB71B4">
      <w:pPr>
        <w:pStyle w:val="TextoNormalSangraFrancesa"/>
        <w:rPr>
          <w:rStyle w:val="TextoNormalCaracter"/>
        </w:rPr>
      </w:pPr>
      <w:bookmarkStart w:id="1181" w:name="DESCRIPTORALFABETICO209"/>
      <w:r w:rsidRPr="00BB71B4">
        <w:rPr>
          <w:rStyle w:val="TextoNormalNegritaCaracter"/>
        </w:rPr>
        <w:t>Contenido del derecho a la objeción de conciencia</w:t>
      </w:r>
      <w:bookmarkEnd w:id="1181"/>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ff. 5, 6, VP I, VP II, VP III.</w:t>
      </w:r>
    </w:p>
    <w:p w:rsidR="00BB71B4" w:rsidRPr="00BB71B4" w:rsidRDefault="00BB71B4" w:rsidP="00BB71B4">
      <w:pPr>
        <w:pStyle w:val="TextoNormalSangraFrancesa"/>
        <w:rPr>
          <w:rStyle w:val="TextoNormalCaracter"/>
        </w:rPr>
      </w:pPr>
      <w:bookmarkStart w:id="1182" w:name="DESCRIPTORALFABETICO134"/>
      <w:r w:rsidRPr="00BB71B4">
        <w:rPr>
          <w:rStyle w:val="TextoNormalNegritaCaracter"/>
        </w:rPr>
        <w:t>Contenido del derecho a la participación en los asuntos públicos</w:t>
      </w:r>
      <w:bookmarkEnd w:id="1182"/>
      <w:r w:rsidRPr="00BB71B4">
        <w:rPr>
          <w:rStyle w:val="TextoNormalCaracter"/>
        </w:rPr>
        <w:t xml:space="preserve">, Sentencias </w:t>
      </w:r>
      <w:hyperlink w:anchor="SENTENCIA_2015_31" w:history="1">
        <w:r w:rsidRPr="00BB71B4">
          <w:rPr>
            <w:rStyle w:val="TextoNormalCaracter"/>
          </w:rPr>
          <w:t>31/2015</w:t>
        </w:r>
      </w:hyperlink>
      <w:r w:rsidRPr="00BB71B4">
        <w:rPr>
          <w:rStyle w:val="TextoNormalCaracter"/>
        </w:rPr>
        <w:t xml:space="preserve">, ff. 5 a 11; </w:t>
      </w:r>
      <w:hyperlink w:anchor="SENTENCIA_2015_32" w:history="1">
        <w:r w:rsidRPr="00BB71B4">
          <w:rPr>
            <w:rStyle w:val="TextoNormalCaracter"/>
          </w:rPr>
          <w:t>32/2015</w:t>
        </w:r>
      </w:hyperlink>
      <w:r w:rsidRPr="00BB71B4">
        <w:rPr>
          <w:rStyle w:val="TextoNormalCaracter"/>
        </w:rPr>
        <w:t xml:space="preserve">, ff. 3, 4; </w:t>
      </w:r>
      <w:hyperlink w:anchor="SENTENCIA_2015_137" w:history="1">
        <w:r w:rsidRPr="00BB71B4">
          <w:rPr>
            <w:rStyle w:val="TextoNormalCaracter"/>
          </w:rPr>
          <w:t>137/2015</w:t>
        </w:r>
      </w:hyperlink>
      <w:r w:rsidRPr="00BB71B4">
        <w:rPr>
          <w:rStyle w:val="TextoNormalCaracter"/>
        </w:rPr>
        <w:t xml:space="preserve">, ff. 7 a 8;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bookmarkStart w:id="1183" w:name="DESCRIPTORALFABETICO143"/>
      <w:r w:rsidRPr="00BB71B4">
        <w:rPr>
          <w:rStyle w:val="TextoNormalNegritaCaracter"/>
        </w:rPr>
        <w:t>Contenido del derecho a la propia imagen</w:t>
      </w:r>
      <w:bookmarkEnd w:id="1183"/>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 4.</w:t>
      </w:r>
    </w:p>
    <w:p w:rsidR="00BB71B4" w:rsidRPr="00BB71B4" w:rsidRDefault="00BB71B4" w:rsidP="00BB71B4">
      <w:pPr>
        <w:pStyle w:val="TextoNormalSangraFrancesa"/>
        <w:rPr>
          <w:rStyle w:val="TextoNormalCaracter"/>
        </w:rPr>
      </w:pPr>
      <w:bookmarkStart w:id="1184" w:name="DESCRIPTORALFABETICO145"/>
      <w:r w:rsidRPr="00BB71B4">
        <w:rPr>
          <w:rStyle w:val="TextoNormalNegritaCaracter"/>
        </w:rPr>
        <w:t>Contenido del derecho a la tutela judicial efectiva</w:t>
      </w:r>
      <w:bookmarkEnd w:id="1184"/>
      <w:r w:rsidRPr="00BB71B4">
        <w:rPr>
          <w:rStyle w:val="TextoNormalCaracter"/>
        </w:rPr>
        <w:t xml:space="preserve">, Sentencias </w:t>
      </w:r>
      <w:hyperlink w:anchor="SENTENCIA_2015_7" w:history="1">
        <w:r w:rsidRPr="00BB71B4">
          <w:rPr>
            <w:rStyle w:val="TextoNormalCaracter"/>
          </w:rPr>
          <w:t>7/2015</w:t>
        </w:r>
      </w:hyperlink>
      <w:r w:rsidRPr="00BB71B4">
        <w:rPr>
          <w:rStyle w:val="TextoNormalCaracter"/>
        </w:rPr>
        <w:t xml:space="preserve">, f. 3; </w:t>
      </w:r>
      <w:hyperlink w:anchor="SENTENCIA_2015_112" w:history="1">
        <w:r w:rsidRPr="00BB71B4">
          <w:rPr>
            <w:rStyle w:val="TextoNormalCaracter"/>
          </w:rPr>
          <w:t>112/2015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185" w:name="DESCRIPTORALFABETICO178"/>
      <w:r w:rsidRPr="00BB71B4">
        <w:rPr>
          <w:rStyle w:val="TextoNormalNegritaCaracter"/>
        </w:rPr>
        <w:t>Contenido del derecho a un proceso sin dilaciones</w:t>
      </w:r>
      <w:bookmarkEnd w:id="1185"/>
      <w:r w:rsidRPr="00BB71B4">
        <w:rPr>
          <w:rStyle w:val="TextoNormalCaracter"/>
        </w:rPr>
        <w:t xml:space="preserve">, Sentencias </w:t>
      </w:r>
      <w:hyperlink w:anchor="SENTENCIA_2015_87" w:history="1">
        <w:r w:rsidRPr="00BB71B4">
          <w:rPr>
            <w:rStyle w:val="TextoNormalCaracter"/>
          </w:rPr>
          <w:t>87/2015</w:t>
        </w:r>
      </w:hyperlink>
      <w:r w:rsidRPr="00BB71B4">
        <w:rPr>
          <w:rStyle w:val="TextoNormalCaracter"/>
        </w:rPr>
        <w:t xml:space="preserve">, ff. 2, 4, 5; </w:t>
      </w:r>
      <w:hyperlink w:anchor="SENTENCIA_2015_88" w:history="1">
        <w:r w:rsidRPr="00BB71B4">
          <w:rPr>
            <w:rStyle w:val="TextoNormalCaracter"/>
          </w:rPr>
          <w:t>88/2015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186" w:name="DESCRIPTORALFABETICO549"/>
      <w:r w:rsidRPr="00BB71B4">
        <w:rPr>
          <w:rStyle w:val="TextoNormalNegritaCaracter"/>
        </w:rPr>
        <w:t>Contenido disponible de las leyes de presupuestos</w:t>
      </w:r>
      <w:bookmarkEnd w:id="1186"/>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3 apartados b), f) y h), 5 e); </w:t>
      </w:r>
      <w:hyperlink w:anchor="SENTENCIA_2015_62" w:history="1">
        <w:r w:rsidRPr="00BB71B4">
          <w:rPr>
            <w:rStyle w:val="TextoNormalCaracter"/>
          </w:rPr>
          <w:t>62/2015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87" w:name="DESCRIPTORALFABETICO189"/>
      <w:r w:rsidRPr="00BB71B4">
        <w:rPr>
          <w:rStyle w:val="TextoNormalNegritaCaracter"/>
        </w:rPr>
        <w:t>Contenido distinto del prestigio profesional</w:t>
      </w:r>
      <w:bookmarkEnd w:id="1187"/>
      <w:r w:rsidRPr="00BB71B4">
        <w:rPr>
          <w:rStyle w:val="TextoNormalCaracter"/>
        </w:rPr>
        <w:t xml:space="preserve">, Sentencia </w:t>
      </w:r>
      <w:hyperlink w:anchor="SENTENCIA_2015_65" w:history="1">
        <w:r w:rsidRPr="00BB71B4">
          <w:rPr>
            <w:rStyle w:val="TextoNormalCaracter"/>
          </w:rPr>
          <w:t>65/2015</w:t>
        </w:r>
      </w:hyperlink>
      <w:r w:rsidRPr="00BB71B4">
        <w:rPr>
          <w:rStyle w:val="TextoNormalCaracter"/>
        </w:rPr>
        <w:t>, ff. 3, 4 c), 5, VP I.</w:t>
      </w:r>
    </w:p>
    <w:p w:rsidR="00BB71B4" w:rsidRPr="00BB71B4" w:rsidRDefault="00BB71B4" w:rsidP="00BB71B4">
      <w:pPr>
        <w:pStyle w:val="TextoNormalSangraFrancesa"/>
        <w:rPr>
          <w:rStyle w:val="TextoNormalCaracter"/>
        </w:rPr>
      </w:pPr>
      <w:bookmarkStart w:id="1188" w:name="DESCRIPTORALFABETICO214"/>
      <w:r w:rsidRPr="00BB71B4">
        <w:rPr>
          <w:rStyle w:val="TextoNormalNegritaCaracter"/>
        </w:rPr>
        <w:t>Contenido esencial de los derechos fundamentales</w:t>
      </w:r>
      <w:bookmarkEnd w:id="1188"/>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 13.</w:t>
      </w:r>
    </w:p>
    <w:p w:rsidR="00BB71B4" w:rsidRPr="00BB71B4" w:rsidRDefault="00BB71B4" w:rsidP="00BB71B4">
      <w:pPr>
        <w:pStyle w:val="TextoNormalSangraFrancesa"/>
        <w:rPr>
          <w:rStyle w:val="TextoNormalCaracter"/>
        </w:rPr>
      </w:pPr>
      <w:bookmarkStart w:id="1189" w:name="DESCRIPTORALFABETICO626"/>
      <w:r w:rsidRPr="00BB71B4">
        <w:rPr>
          <w:rStyle w:val="TextoNormalNegritaCaracter"/>
        </w:rPr>
        <w:t>Contrato de trabajo</w:t>
      </w:r>
      <w:bookmarkEnd w:id="1189"/>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 3 b); </w:t>
      </w:r>
      <w:hyperlink w:anchor="SENTENCIA_2015_140" w:history="1">
        <w:r w:rsidRPr="00BB71B4">
          <w:rPr>
            <w:rStyle w:val="TextoNormalCaracter"/>
          </w:rPr>
          <w:t>140/2015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90" w:name="DESCRIPTORALFABETICO411"/>
      <w:r w:rsidRPr="00BB71B4">
        <w:rPr>
          <w:rStyle w:val="TextoNormalNegritaCaracter"/>
        </w:rPr>
        <w:t>Contratos administrativos</w:t>
      </w:r>
      <w:bookmarkEnd w:id="1190"/>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191" w:name="DESCRIPTORALFABETICO412"/>
      <w:r w:rsidRPr="00BB71B4">
        <w:rPr>
          <w:rStyle w:val="TextoNormalNegritaCaracter"/>
        </w:rPr>
        <w:t>Contratos de las Comunidades Autónomas</w:t>
      </w:r>
      <w:bookmarkEnd w:id="1191"/>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3 a 7.</w:t>
      </w:r>
    </w:p>
    <w:p w:rsidR="00BB71B4" w:rsidRPr="00BB71B4" w:rsidRDefault="00BB71B4" w:rsidP="00BB71B4">
      <w:pPr>
        <w:pStyle w:val="TextoNormalSangraFrancesa"/>
        <w:rPr>
          <w:rStyle w:val="TextoNormalCaracter"/>
        </w:rPr>
      </w:pPr>
      <w:bookmarkStart w:id="1192" w:name="DESCRIPTORALFABETICO410"/>
      <w:r w:rsidRPr="00BB71B4">
        <w:rPr>
          <w:rStyle w:val="TextoNormalNegritaCaracter"/>
        </w:rPr>
        <w:t>Contratos del sector público</w:t>
      </w:r>
      <w:bookmarkEnd w:id="1192"/>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1, 3 a 7.</w:t>
      </w:r>
    </w:p>
    <w:p w:rsidR="00BB71B4" w:rsidRPr="00BB71B4" w:rsidRDefault="00BB71B4" w:rsidP="00BB71B4">
      <w:pPr>
        <w:pStyle w:val="TextoNormalSangraFrancesa"/>
        <w:rPr>
          <w:rStyle w:val="TextoNormalCaracter"/>
        </w:rPr>
      </w:pPr>
      <w:bookmarkStart w:id="1193" w:name="DESCRIPTORALFABETICO226"/>
      <w:r w:rsidRPr="00BB71B4">
        <w:rPr>
          <w:rStyle w:val="TextoNormalNegritaCaracter"/>
        </w:rPr>
        <w:t>Control concreto de constitucionalidad</w:t>
      </w:r>
      <w:bookmarkEnd w:id="1193"/>
      <w:r w:rsidRPr="00BB71B4">
        <w:rPr>
          <w:rStyle w:val="TextoNormalCaracter"/>
        </w:rPr>
        <w:t xml:space="preserve">, Sentencia </w:t>
      </w:r>
      <w:hyperlink w:anchor="SENTENCIA_2015_10" w:history="1">
        <w:r w:rsidRPr="00BB71B4">
          <w:rPr>
            <w:rStyle w:val="TextoNormalCaracter"/>
          </w:rPr>
          <w:t>10/2015</w:t>
        </w:r>
      </w:hyperlink>
      <w:r w:rsidRPr="00BB71B4">
        <w:rPr>
          <w:rStyle w:val="TextoNormalCaracter"/>
        </w:rPr>
        <w:t>, f. 2.</w:t>
      </w:r>
    </w:p>
    <w:p w:rsidR="00BB71B4" w:rsidRPr="00BB71B4" w:rsidRDefault="00BB71B4" w:rsidP="00BB71B4">
      <w:pPr>
        <w:pStyle w:val="TextoNormalSangraFrancesa"/>
        <w:rPr>
          <w:rStyle w:val="TextoNormalCaracter"/>
        </w:rPr>
      </w:pPr>
      <w:bookmarkStart w:id="1194" w:name="DESCRIPTORALFABETICO225"/>
      <w:r w:rsidRPr="00BB71B4">
        <w:rPr>
          <w:rStyle w:val="TextoNormalNegritaCaracter"/>
        </w:rPr>
        <w:t>Control de constitucionalidad de las normas jurídicas</w:t>
      </w:r>
      <w:bookmarkEnd w:id="1194"/>
      <w:r w:rsidRPr="00BB71B4">
        <w:rPr>
          <w:rStyle w:val="TextoNormalCaracter"/>
        </w:rPr>
        <w:t xml:space="preserve">, Sentencias </w:t>
      </w:r>
      <w:hyperlink w:anchor="SENTENCIA_2015_50" w:history="1">
        <w:r w:rsidRPr="00BB71B4">
          <w:rPr>
            <w:rStyle w:val="TextoNormalCaracter"/>
          </w:rPr>
          <w:t>50/2015</w:t>
        </w:r>
      </w:hyperlink>
      <w:r w:rsidRPr="00BB71B4">
        <w:rPr>
          <w:rStyle w:val="TextoNormalCaracter"/>
        </w:rPr>
        <w:t xml:space="preserve">, ff. 2, 5, VP; </w:t>
      </w:r>
      <w:hyperlink w:anchor="SENTENCIA_2015_110" w:history="1">
        <w:r w:rsidRPr="00BB71B4">
          <w:rPr>
            <w:rStyle w:val="TextoNormalCaracter"/>
          </w:rPr>
          <w:t>110/2015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95" w:name="DESCRIPTORALFABETICO227"/>
      <w:r w:rsidRPr="00BB71B4">
        <w:rPr>
          <w:rStyle w:val="TextoNormalNegritaCaracter"/>
        </w:rPr>
        <w:t>Control de constitucionalidad de los decretos-leyes</w:t>
      </w:r>
      <w:bookmarkEnd w:id="1195"/>
      <w:r w:rsidRPr="00BB71B4">
        <w:rPr>
          <w:rStyle w:val="TextoNormalCaracter"/>
        </w:rPr>
        <w:t xml:space="preserve">, Sentencias </w:t>
      </w:r>
      <w:hyperlink w:anchor="SENTENCIA_2015_81" w:history="1">
        <w:r w:rsidRPr="00BB71B4">
          <w:rPr>
            <w:rStyle w:val="TextoNormalCaracter"/>
          </w:rPr>
          <w:t>81/2015</w:t>
        </w:r>
      </w:hyperlink>
      <w:r w:rsidRPr="00BB71B4">
        <w:rPr>
          <w:rStyle w:val="TextoNormalCaracter"/>
        </w:rPr>
        <w:t xml:space="preserve">, ff. 3, 6; </w:t>
      </w:r>
      <w:hyperlink w:anchor="SENTENCIA_2015_104" w:history="1">
        <w:r w:rsidRPr="00BB71B4">
          <w:rPr>
            <w:rStyle w:val="TextoNormalCaracter"/>
          </w:rPr>
          <w:t>104/2015</w:t>
        </w:r>
      </w:hyperlink>
      <w:r w:rsidRPr="00BB71B4">
        <w:rPr>
          <w:rStyle w:val="TextoNormalCaracter"/>
        </w:rPr>
        <w:t>, ff. 1 a 6.</w:t>
      </w:r>
    </w:p>
    <w:p w:rsidR="00BB71B4" w:rsidRPr="00BB71B4" w:rsidRDefault="00BB71B4" w:rsidP="00BB71B4">
      <w:pPr>
        <w:pStyle w:val="TextoNormalSangraFrancesa"/>
        <w:rPr>
          <w:rStyle w:val="TextoNormalCaracter"/>
        </w:rPr>
      </w:pPr>
      <w:bookmarkStart w:id="1196" w:name="DESCRIPTORALFABETICO400"/>
      <w:r w:rsidRPr="00BB71B4">
        <w:rPr>
          <w:rStyle w:val="TextoNormalNegritaCaracter"/>
        </w:rPr>
        <w:t>Control de los entes locales</w:t>
      </w:r>
      <w:bookmarkEnd w:id="1196"/>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 3.</w:t>
      </w:r>
    </w:p>
    <w:p w:rsidR="00BB71B4" w:rsidRPr="00BB71B4" w:rsidRDefault="00BB71B4" w:rsidP="00BB71B4">
      <w:pPr>
        <w:pStyle w:val="TextoNormalSangraFrancesa"/>
        <w:rPr>
          <w:rStyle w:val="TextoNormalCaracter"/>
        </w:rPr>
      </w:pPr>
      <w:bookmarkStart w:id="1197" w:name="DESCRIPTORALFABETICO531"/>
      <w:r w:rsidRPr="00BB71B4">
        <w:rPr>
          <w:rStyle w:val="TextoNormalNegritaCaracter"/>
        </w:rPr>
        <w:t>Convalidación de decretos-leyes</w:t>
      </w:r>
      <w:bookmarkEnd w:id="1197"/>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ff. 1 a 7.</w:t>
      </w:r>
    </w:p>
    <w:p w:rsidR="00BB71B4" w:rsidRPr="00BB71B4" w:rsidRDefault="00BB71B4" w:rsidP="00BB71B4">
      <w:pPr>
        <w:pStyle w:val="TextoNormalSangraFrancesa"/>
        <w:rPr>
          <w:rStyle w:val="TextoNormalCaracter"/>
        </w:rPr>
      </w:pPr>
      <w:bookmarkStart w:id="1198" w:name="DESCRIPTORALFABETICO637"/>
      <w:r w:rsidRPr="00BB71B4">
        <w:rPr>
          <w:rStyle w:val="TextoNormalNegritaCaracter"/>
        </w:rPr>
        <w:t>Convenios colectivos</w:t>
      </w:r>
      <w:bookmarkEnd w:id="1198"/>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4 a), 6, 10 a), VP.</w:t>
      </w:r>
    </w:p>
    <w:p w:rsidR="00BB71B4" w:rsidRPr="00BB71B4" w:rsidRDefault="00BB71B4" w:rsidP="00BB71B4">
      <w:pPr>
        <w:pStyle w:val="TextoNormalSangraFrancesa"/>
        <w:rPr>
          <w:rStyle w:val="TextoNormalCaracter"/>
        </w:rPr>
      </w:pPr>
      <w:bookmarkStart w:id="1199" w:name="DESCRIPTORALFABETICO638"/>
      <w:r w:rsidRPr="00BB71B4">
        <w:rPr>
          <w:rStyle w:val="TextoNormalNegritaCaracter"/>
        </w:rPr>
        <w:t>Convenios colectivos de empresa</w:t>
      </w:r>
      <w:bookmarkEnd w:id="1199"/>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 6.</w:t>
      </w:r>
    </w:p>
    <w:p w:rsidR="00BB71B4" w:rsidRPr="00BB71B4" w:rsidRDefault="00BB71B4" w:rsidP="00BB71B4">
      <w:pPr>
        <w:pStyle w:val="TextoNormalSangraFrancesa"/>
        <w:rPr>
          <w:rStyle w:val="TextoNormalCaracter"/>
        </w:rPr>
      </w:pPr>
      <w:bookmarkStart w:id="1200" w:name="DESCRIPTORALFABETICO639"/>
      <w:r w:rsidRPr="00BB71B4">
        <w:rPr>
          <w:rStyle w:val="TextoNormalNegritaCaracter"/>
        </w:rPr>
        <w:t>Convenios colectivos sectoriales</w:t>
      </w:r>
      <w:bookmarkEnd w:id="1200"/>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 6.</w:t>
      </w:r>
    </w:p>
    <w:p w:rsidR="00BB71B4" w:rsidRPr="00BB71B4" w:rsidRDefault="00BB71B4" w:rsidP="00BB71B4">
      <w:pPr>
        <w:pStyle w:val="TextoNormalSangraFrancesa"/>
        <w:rPr>
          <w:rStyle w:val="TextoNormalCaracter"/>
        </w:rPr>
      </w:pPr>
      <w:bookmarkStart w:id="1201" w:name="DESCRIPTORALFABETICO325"/>
      <w:r w:rsidRPr="00BB71B4">
        <w:rPr>
          <w:rStyle w:val="TextoNormalNegritaCaracter"/>
        </w:rPr>
        <w:t>Cooperación en el ejercicio de competencias compartidas</w:t>
      </w:r>
      <w:bookmarkEnd w:id="1201"/>
      <w:r w:rsidRPr="00BB71B4">
        <w:rPr>
          <w:rStyle w:val="TextoNormalCaracter"/>
        </w:rPr>
        <w:t xml:space="preserve">, Sentencia </w:t>
      </w:r>
      <w:hyperlink w:anchor="SENTENCIA_2015_11" w:history="1">
        <w:r w:rsidRPr="00BB71B4">
          <w:rPr>
            <w:rStyle w:val="TextoNormalCaracter"/>
          </w:rPr>
          <w:t>11/2015</w:t>
        </w:r>
      </w:hyperlink>
      <w:r w:rsidRPr="00BB71B4">
        <w:rPr>
          <w:rStyle w:val="TextoNormalCaracter"/>
        </w:rPr>
        <w:t>, ff. 4 a 8.</w:t>
      </w:r>
    </w:p>
    <w:p w:rsidR="00BB71B4" w:rsidRPr="00BB71B4" w:rsidRDefault="00BB71B4" w:rsidP="00BB71B4">
      <w:pPr>
        <w:pStyle w:val="TextoNormalSangraFrancesa"/>
        <w:rPr>
          <w:rStyle w:val="TextoNormalCaracter"/>
        </w:rPr>
      </w:pPr>
      <w:bookmarkStart w:id="1202" w:name="DESCRIPTORALFABETICO326"/>
      <w:r w:rsidRPr="00BB71B4">
        <w:rPr>
          <w:rStyle w:val="TextoNormalNegritaCaracter"/>
        </w:rPr>
        <w:t>Coordinación entre el Estado y las Comunidades Autónomas</w:t>
      </w:r>
      <w:bookmarkEnd w:id="1202"/>
      <w:r w:rsidRPr="00BB71B4">
        <w:rPr>
          <w:rStyle w:val="TextoNormalCaracter"/>
        </w:rPr>
        <w:t xml:space="preserve">, Sentencias </w:t>
      </w:r>
      <w:hyperlink w:anchor="SENTENCIA_2015_25" w:history="1">
        <w:r w:rsidRPr="00BB71B4">
          <w:rPr>
            <w:rStyle w:val="TextoNormalCaracter"/>
          </w:rPr>
          <w:t>25/2015</w:t>
        </w:r>
      </w:hyperlink>
      <w:r w:rsidRPr="00BB71B4">
        <w:rPr>
          <w:rStyle w:val="TextoNormalCaracter"/>
        </w:rPr>
        <w:t xml:space="preserve">, ff. 3, 5, 6, VP I, VP II; </w:t>
      </w:r>
      <w:hyperlink w:anchor="SENTENCIA_2015_58" w:history="1">
        <w:r w:rsidRPr="00BB71B4">
          <w:rPr>
            <w:rStyle w:val="TextoNormalCaracter"/>
          </w:rPr>
          <w:t>58/2015</w:t>
        </w:r>
      </w:hyperlink>
      <w:r w:rsidRPr="00BB71B4">
        <w:rPr>
          <w:rStyle w:val="TextoNormalCaracter"/>
        </w:rPr>
        <w:t>, ff. 2, 6.</w:t>
      </w:r>
    </w:p>
    <w:p w:rsidR="00BB71B4" w:rsidRPr="00BB71B4" w:rsidRDefault="00BB71B4" w:rsidP="00BB71B4">
      <w:pPr>
        <w:pStyle w:val="TextoNormalSangraFrancesa"/>
        <w:rPr>
          <w:rStyle w:val="TextoNormalCaracter"/>
        </w:rPr>
      </w:pPr>
      <w:bookmarkStart w:id="1203" w:name="DESCRIPTORALFABETICO52"/>
      <w:r w:rsidRPr="00BB71B4">
        <w:rPr>
          <w:rStyle w:val="TextoNormalNegritaCaracter"/>
        </w:rPr>
        <w:t>Coordinación entre haciendas públicas</w:t>
      </w:r>
      <w:bookmarkEnd w:id="1203"/>
      <w:r w:rsidRPr="00BB71B4">
        <w:rPr>
          <w:rStyle w:val="TextoNormalCaracter"/>
        </w:rPr>
        <w:t xml:space="preserve">, Sentencia </w:t>
      </w:r>
      <w:hyperlink w:anchor="SENTENCIA_2015_94" w:history="1">
        <w:r w:rsidRPr="00BB71B4">
          <w:rPr>
            <w:rStyle w:val="TextoNormalCaracter"/>
          </w:rPr>
          <w:t>94/2015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204" w:name="DESCRIPTORALFABETICO354"/>
      <w:r w:rsidRPr="00BB71B4">
        <w:rPr>
          <w:rStyle w:val="TextoNormalNegritaCaracter"/>
        </w:rPr>
        <w:t>Cortes de Castilla-La Mancha</w:t>
      </w:r>
      <w:bookmarkEnd w:id="1204"/>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205" w:name="DESCRIPTORALFABETICO460"/>
      <w:r w:rsidRPr="00BB71B4">
        <w:rPr>
          <w:rStyle w:val="TextoNormalNegritaCaracter"/>
        </w:rPr>
        <w:t>Costas</w:t>
      </w:r>
      <w:bookmarkEnd w:id="1205"/>
      <w:r w:rsidRPr="00BB71B4">
        <w:rPr>
          <w:rStyle w:val="TextoNormalCaracter"/>
        </w:rPr>
        <w:t xml:space="preserve">, Sentencia </w:t>
      </w:r>
      <w:hyperlink w:anchor="SENTENCIA_2015_5" w:history="1">
        <w:r w:rsidRPr="00BB71B4">
          <w:rPr>
            <w:rStyle w:val="TextoNormalCaracter"/>
          </w:rPr>
          <w:t>5/2015</w:t>
        </w:r>
      </w:hyperlink>
      <w:r w:rsidRPr="00BB71B4">
        <w:rPr>
          <w:rStyle w:val="TextoNormalCaracter"/>
        </w:rPr>
        <w:t>, ff. 3 a 7.</w:t>
      </w:r>
    </w:p>
    <w:p w:rsidR="00BB71B4" w:rsidRPr="00BB71B4" w:rsidRDefault="00BB71B4" w:rsidP="00BB71B4">
      <w:pPr>
        <w:pStyle w:val="TextoNormalSangraFrancesa"/>
        <w:rPr>
          <w:rStyle w:val="TextoNormalCaracter"/>
        </w:rPr>
      </w:pPr>
      <w:bookmarkStart w:id="1206" w:name="DESCRIPTORALFABETICO60"/>
      <w:r w:rsidRPr="00BB71B4">
        <w:rPr>
          <w:rStyle w:val="TextoNormalNegritaCaracter"/>
        </w:rPr>
        <w:t>Créditos presupuestarios</w:t>
      </w:r>
      <w:bookmarkEnd w:id="1206"/>
      <w:r w:rsidRPr="00BB71B4">
        <w:rPr>
          <w:rStyle w:val="TextoNormalCaracter"/>
        </w:rPr>
        <w:t xml:space="preserve">, Sentencias </w:t>
      </w:r>
      <w:hyperlink w:anchor="SENTENCIA_2015_19" w:history="1">
        <w:r w:rsidRPr="00BB71B4">
          <w:rPr>
            <w:rStyle w:val="TextoNormalCaracter"/>
          </w:rPr>
          <w:t>19/2015</w:t>
        </w:r>
      </w:hyperlink>
      <w:r w:rsidRPr="00BB71B4">
        <w:rPr>
          <w:rStyle w:val="TextoNormalCaracter"/>
        </w:rPr>
        <w:t xml:space="preserve">, ff. 3, 5; </w:t>
      </w:r>
      <w:hyperlink w:anchor="SENTENCIA_2015_73" w:history="1">
        <w:r w:rsidRPr="00BB71B4">
          <w:rPr>
            <w:rStyle w:val="TextoNormalCaracter"/>
          </w:rPr>
          <w:t>73/2015</w:t>
        </w:r>
      </w:hyperlink>
      <w:r w:rsidRPr="00BB71B4">
        <w:rPr>
          <w:rStyle w:val="TextoNormalCaracter"/>
        </w:rPr>
        <w:t>, f. 4.</w:t>
      </w:r>
    </w:p>
    <w:p w:rsidR="00BB71B4" w:rsidRPr="00BB71B4" w:rsidRDefault="00BB71B4" w:rsidP="00BB71B4">
      <w:pPr>
        <w:pStyle w:val="TextoNormalSangraFrancesa"/>
        <w:rPr>
          <w:rStyle w:val="TextoNormalCaracter"/>
        </w:rPr>
      </w:pPr>
      <w:bookmarkStart w:id="1207" w:name="DESCRIPTORALFABETICO179"/>
      <w:r w:rsidRPr="00BB71B4">
        <w:rPr>
          <w:rStyle w:val="TextoNormalNegritaCaracter"/>
        </w:rPr>
        <w:t>Criterios de apreciación de dilaciones indebidas</w:t>
      </w:r>
      <w:bookmarkEnd w:id="1207"/>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208" w:name="DESCRIPTORALFABETICO14"/>
      <w:r w:rsidRPr="00BB71B4">
        <w:rPr>
          <w:rStyle w:val="TextoNormalNegritaCaracter"/>
        </w:rPr>
        <w:t>Criterios de distribución de competencias</w:t>
      </w:r>
      <w:bookmarkEnd w:id="1208"/>
      <w:r w:rsidRPr="00BB71B4">
        <w:rPr>
          <w:rStyle w:val="TextoNormalCaracter"/>
        </w:rPr>
        <w:t xml:space="preserve">, Sentencia </w:t>
      </w:r>
      <w:hyperlink w:anchor="SENTENCIA_2015_57" w:history="1">
        <w:r w:rsidRPr="00BB71B4">
          <w:rPr>
            <w:rStyle w:val="TextoNormalCaracter"/>
          </w:rPr>
          <w:t>57/2015</w:t>
        </w:r>
      </w:hyperlink>
      <w:r w:rsidRPr="00BB71B4">
        <w:rPr>
          <w:rStyle w:val="TextoNormalCaracter"/>
        </w:rPr>
        <w:t>, ff. 6, 16 b).</w:t>
      </w:r>
    </w:p>
    <w:p w:rsidR="00BB71B4" w:rsidRPr="00BB71B4" w:rsidRDefault="00BB71B4" w:rsidP="00BB71B4">
      <w:pPr>
        <w:pStyle w:val="TextoNormalSangraFrancesa"/>
        <w:rPr>
          <w:rStyle w:val="TextoNormalCaracter"/>
        </w:rPr>
      </w:pPr>
      <w:bookmarkStart w:id="1209" w:name="DESCRIPTORALFABETICO459"/>
      <w:r w:rsidRPr="00BB71B4">
        <w:rPr>
          <w:rStyle w:val="TextoNormalNegritaCaracter"/>
        </w:rPr>
        <w:t>Criterios identificadores de los bienes de dominio público</w:t>
      </w:r>
      <w:bookmarkEnd w:id="1209"/>
      <w:r w:rsidRPr="00BB71B4">
        <w:rPr>
          <w:rStyle w:val="TextoNormalCaracter"/>
        </w:rPr>
        <w:t xml:space="preserve">, Sentencia </w:t>
      </w:r>
      <w:hyperlink w:anchor="SENTENCIA_2015_5" w:history="1">
        <w:r w:rsidRPr="00BB71B4">
          <w:rPr>
            <w:rStyle w:val="TextoNormalCaracter"/>
          </w:rPr>
          <w:t>5/2015</w:t>
        </w:r>
      </w:hyperlink>
      <w:r w:rsidRPr="00BB71B4">
        <w:rPr>
          <w:rStyle w:val="TextoNormalCaracter"/>
        </w:rPr>
        <w:t>, ff.  5, 6.</w:t>
      </w:r>
    </w:p>
    <w:p w:rsidR="00BB71B4" w:rsidRPr="00BB71B4" w:rsidRDefault="00BB71B4" w:rsidP="00BB71B4">
      <w:pPr>
        <w:pStyle w:val="TextoNormalSangraFrancesa"/>
        <w:rPr>
          <w:rStyle w:val="TextoNormalCaracter"/>
        </w:rPr>
      </w:pPr>
      <w:bookmarkStart w:id="1210" w:name="DESCRIPTORALFABETICO517"/>
      <w:r w:rsidRPr="00BB71B4">
        <w:rPr>
          <w:rStyle w:val="TextoNormalNegritaCaracter"/>
        </w:rPr>
        <w:t>Criterios objetivos de valoración urbanística</w:t>
      </w:r>
      <w:bookmarkEnd w:id="1210"/>
      <w:r w:rsidRPr="00BB71B4">
        <w:rPr>
          <w:rStyle w:val="TextoNormalCaracter"/>
        </w:rPr>
        <w:t xml:space="preserve">, Sentencia </w:t>
      </w:r>
      <w:hyperlink w:anchor="SENTENCIA_2015_43" w:history="1">
        <w:r w:rsidRPr="00BB71B4">
          <w:rPr>
            <w:rStyle w:val="TextoNormalCaracter"/>
          </w:rPr>
          <w:t>43/2015</w:t>
        </w:r>
      </w:hyperlink>
      <w:r w:rsidRPr="00BB71B4">
        <w:rPr>
          <w:rStyle w:val="TextoNormalCaracter"/>
        </w:rPr>
        <w:t>, f. 5.</w:t>
      </w:r>
    </w:p>
    <w:p w:rsidR="00BB71B4" w:rsidRPr="00BB71B4" w:rsidRDefault="00BB71B4" w:rsidP="00BB71B4">
      <w:pPr>
        <w:pStyle w:val="TextoNormalSangraFrancesa"/>
        <w:rPr>
          <w:rStyle w:val="TextoNormalCaracter"/>
        </w:rPr>
      </w:pPr>
      <w:bookmarkStart w:id="1211" w:name="DESCRIPTORALFABETICO437"/>
      <w:r w:rsidRPr="00BB71B4">
        <w:rPr>
          <w:rStyle w:val="TextoNormalNegritaCaracter"/>
        </w:rPr>
        <w:t>Cuencas hidrográficas</w:t>
      </w:r>
      <w:bookmarkEnd w:id="1211"/>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212" w:name="DESCRIPTORALFABETICO94"/>
      <w:r w:rsidRPr="00BB71B4">
        <w:rPr>
          <w:rStyle w:val="TextoNormalNegritaCaracter"/>
        </w:rPr>
        <w:t>Cuerpo electoral</w:t>
      </w:r>
      <w:bookmarkEnd w:id="1212"/>
      <w:r w:rsidRPr="00BB71B4">
        <w:rPr>
          <w:rStyle w:val="TextoNormalCaracter"/>
        </w:rPr>
        <w:t xml:space="preserve">, Sentencias </w:t>
      </w:r>
      <w:hyperlink w:anchor="SENTENCIA_2015_31" w:history="1">
        <w:r w:rsidRPr="00BB71B4">
          <w:rPr>
            <w:rStyle w:val="TextoNormalCaracter"/>
          </w:rPr>
          <w:t>31/2015</w:t>
        </w:r>
      </w:hyperlink>
      <w:r w:rsidRPr="00BB71B4">
        <w:rPr>
          <w:rStyle w:val="TextoNormalCaracter"/>
        </w:rPr>
        <w:t xml:space="preserve">, f. 8; </w:t>
      </w:r>
      <w:hyperlink w:anchor="SENTENCIA_2015_32" w:history="1">
        <w:r w:rsidRPr="00BB71B4">
          <w:rPr>
            <w:rStyle w:val="TextoNormalCaracter"/>
          </w:rPr>
          <w:t>32/2015</w:t>
        </w:r>
      </w:hyperlink>
      <w:r w:rsidRPr="00BB71B4">
        <w:rPr>
          <w:rStyle w:val="TextoNormalCaracter"/>
        </w:rPr>
        <w:t xml:space="preserve">, ff. 3, 4; </w:t>
      </w:r>
      <w:hyperlink w:anchor="SENTENCIA_2015_137" w:history="1">
        <w:r w:rsidRPr="00BB71B4">
          <w:rPr>
            <w:rStyle w:val="TextoNormalCaracter"/>
          </w:rPr>
          <w:t>137/2015</w:t>
        </w:r>
      </w:hyperlink>
      <w:r w:rsidRPr="00BB71B4">
        <w:rPr>
          <w:rStyle w:val="TextoNormalCaracter"/>
        </w:rPr>
        <w:t xml:space="preserve">, ff. 4 a 8;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bookmarkStart w:id="1213" w:name="DESCRIPTORALFABETICO414"/>
      <w:r w:rsidRPr="00BB71B4">
        <w:rPr>
          <w:rStyle w:val="TextoNormalNegritaCaracter"/>
        </w:rPr>
        <w:t>Cuerpos de la función pública</w:t>
      </w:r>
      <w:bookmarkEnd w:id="1213"/>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ff. 11 a 13, VP.</w:t>
      </w:r>
    </w:p>
    <w:p w:rsidR="00BB71B4" w:rsidRPr="00BB71B4" w:rsidRDefault="00BB71B4" w:rsidP="00BB71B4">
      <w:pPr>
        <w:pStyle w:val="TextoNormalSangraFrancesa"/>
        <w:rPr>
          <w:rStyle w:val="TextoNormalCaracter"/>
        </w:rPr>
      </w:pPr>
      <w:bookmarkStart w:id="1214" w:name="DESCRIPTORALFABETICO262"/>
      <w:r w:rsidRPr="00BB71B4">
        <w:rPr>
          <w:rStyle w:val="TextoNormalNegritaCaracter"/>
        </w:rPr>
        <w:t>Cuestión de inconstitucionalidad</w:t>
      </w:r>
      <w:bookmarkEnd w:id="1214"/>
      <w:r w:rsidRPr="00BB71B4">
        <w:rPr>
          <w:rStyle w:val="TextoNormalCaracter"/>
        </w:rPr>
        <w:t xml:space="preserve">, Sentencias </w:t>
      </w:r>
      <w:hyperlink w:anchor="SENTENCIA_2015_22" w:history="1">
        <w:r w:rsidRPr="00BB71B4">
          <w:rPr>
            <w:rStyle w:val="TextoNormalCaracter"/>
          </w:rPr>
          <w:t>22/2015</w:t>
        </w:r>
      </w:hyperlink>
      <w:r w:rsidRPr="00BB71B4">
        <w:rPr>
          <w:rStyle w:val="TextoNormalCaracter"/>
        </w:rPr>
        <w:t xml:space="preserve">, f. 1; </w:t>
      </w:r>
      <w:hyperlink w:anchor="SENTENCIA_2015_41" w:history="1">
        <w:r w:rsidRPr="00BB71B4">
          <w:rPr>
            <w:rStyle w:val="TextoNormalCaracter"/>
          </w:rPr>
          <w:t>41/2015</w:t>
        </w:r>
      </w:hyperlink>
      <w:r w:rsidRPr="00BB71B4">
        <w:rPr>
          <w:rStyle w:val="TextoNormalCaracter"/>
        </w:rPr>
        <w:t xml:space="preserve">, ff. 1, 3; </w:t>
      </w:r>
      <w:hyperlink w:anchor="SENTENCIA_2015_114" w:history="1">
        <w:r w:rsidRPr="00BB71B4">
          <w:rPr>
            <w:rStyle w:val="TextoNormalCaracter"/>
          </w:rPr>
          <w:t>114/2015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215" w:name="DESCRIPTORALFABETICO269"/>
      <w:r w:rsidRPr="00BB71B4">
        <w:rPr>
          <w:rStyle w:val="TextoNormalNegritaCaracter"/>
        </w:rPr>
        <w:t>Cuestión de inconstitucionalidad notoriamente infundada</w:t>
      </w:r>
      <w:bookmarkEnd w:id="1215"/>
      <w:r w:rsidRPr="00BB71B4">
        <w:rPr>
          <w:rStyle w:val="TextoNormalCaracter"/>
        </w:rPr>
        <w:t xml:space="preserve">, Autos </w:t>
      </w:r>
      <w:hyperlink w:anchor="AUTO_2015_8" w:history="1">
        <w:r w:rsidRPr="00BB71B4">
          <w:rPr>
            <w:rStyle w:val="TextoNormalCaracter"/>
          </w:rPr>
          <w:t>8/2015</w:t>
        </w:r>
      </w:hyperlink>
      <w:r w:rsidRPr="00BB71B4">
        <w:rPr>
          <w:rStyle w:val="TextoNormalCaracter"/>
        </w:rPr>
        <w:t xml:space="preserve">, f. 3; </w:t>
      </w:r>
      <w:hyperlink w:anchor="AUTO_2015_20" w:history="1">
        <w:r w:rsidRPr="00BB71B4">
          <w:rPr>
            <w:rStyle w:val="TextoNormalCaracter"/>
          </w:rPr>
          <w:t>20/2015</w:t>
        </w:r>
      </w:hyperlink>
      <w:r w:rsidRPr="00BB71B4">
        <w:rPr>
          <w:rStyle w:val="TextoNormalCaracter"/>
        </w:rPr>
        <w:t xml:space="preserve">, f. 5; </w:t>
      </w:r>
      <w:hyperlink w:anchor="AUTO_2015_21" w:history="1">
        <w:r w:rsidRPr="00BB71B4">
          <w:rPr>
            <w:rStyle w:val="TextoNormalCaracter"/>
          </w:rPr>
          <w:t>21/2015</w:t>
        </w:r>
      </w:hyperlink>
      <w:r w:rsidRPr="00BB71B4">
        <w:rPr>
          <w:rStyle w:val="TextoNormalCaracter"/>
        </w:rPr>
        <w:t xml:space="preserve">, ff. 1 a 5; </w:t>
      </w:r>
      <w:hyperlink w:anchor="AUTO_2015_22" w:history="1">
        <w:r w:rsidRPr="00BB71B4">
          <w:rPr>
            <w:rStyle w:val="TextoNormalCaracter"/>
          </w:rPr>
          <w:t>22/2015</w:t>
        </w:r>
      </w:hyperlink>
      <w:r w:rsidRPr="00BB71B4">
        <w:rPr>
          <w:rStyle w:val="TextoNormalCaracter"/>
        </w:rPr>
        <w:t xml:space="preserve">, f. 5; </w:t>
      </w:r>
      <w:hyperlink w:anchor="AUTO_2015_60" w:history="1">
        <w:r w:rsidRPr="00BB71B4">
          <w:rPr>
            <w:rStyle w:val="TextoNormalCaracter"/>
          </w:rPr>
          <w:t>60/2015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216" w:name="DESCRIPTORALFABETICO289"/>
      <w:r w:rsidRPr="00BB71B4">
        <w:rPr>
          <w:rStyle w:val="TextoNormalNegritaCaracter"/>
        </w:rPr>
        <w:t>Cuestión no planteada en el proceso previo</w:t>
      </w:r>
      <w:bookmarkEnd w:id="1216"/>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217" w:name="DESCRIPTORALFABETICO360"/>
      <w:r w:rsidRPr="00BB71B4">
        <w:rPr>
          <w:rStyle w:val="TextoNormalNegritaCaracter"/>
        </w:rPr>
        <w:t>Cuestión prejudicial ante el TJUE</w:t>
      </w:r>
      <w:bookmarkEnd w:id="1217"/>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218" w:name="DESCRIPTORALFABETICO708"/>
      <w:r w:rsidRPr="00BB71B4">
        <w:rPr>
          <w:rStyle w:val="TextoNormalNegritaCaracter"/>
        </w:rPr>
        <w:t>Cumplimiento de requisitos procesales</w:t>
      </w:r>
      <w:bookmarkEnd w:id="1218"/>
      <w:r w:rsidRPr="00BB71B4">
        <w:rPr>
          <w:rStyle w:val="TextoNormalCaracter"/>
        </w:rPr>
        <w:t xml:space="preserve">, Auto </w:t>
      </w:r>
      <w:hyperlink w:anchor="AUTO_2015_52" w:history="1">
        <w:r w:rsidRPr="00BB71B4">
          <w:rPr>
            <w:rStyle w:val="TextoNormalCaracter"/>
          </w:rPr>
          <w:t>52/2015</w:t>
        </w:r>
      </w:hyperlink>
      <w:r w:rsidRPr="00BB71B4">
        <w:rPr>
          <w:rStyle w:val="TextoNormalCaracter"/>
        </w:rPr>
        <w:t>, f. único.</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D</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219" w:name="DESCRIPTORALFABETICO590"/>
      <w:r w:rsidRPr="00BB71B4">
        <w:rPr>
          <w:rStyle w:val="TextoNormalNegritaCaracter"/>
        </w:rPr>
        <w:t>Daños</w:t>
      </w:r>
      <w:bookmarkEnd w:id="1219"/>
      <w:r w:rsidRPr="00BB71B4">
        <w:rPr>
          <w:rStyle w:val="TextoNormalCaracter"/>
        </w:rPr>
        <w:t xml:space="preserve">, Auto </w:t>
      </w:r>
      <w:hyperlink w:anchor="AUTO_2015_8" w:history="1">
        <w:r w:rsidRPr="00BB71B4">
          <w:rPr>
            <w:rStyle w:val="TextoNormalCaracter"/>
          </w:rPr>
          <w:t>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220" w:name="DESCRIPTORALFABETICO341"/>
      <w:r w:rsidRPr="00BB71B4">
        <w:rPr>
          <w:rStyle w:val="TextoNormalNegritaCaracter"/>
        </w:rPr>
        <w:t>Debates parlamentarios</w:t>
      </w:r>
      <w:bookmarkEnd w:id="1220"/>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ff. 5 a 7.</w:t>
      </w:r>
    </w:p>
    <w:p w:rsidR="00BB71B4" w:rsidRPr="00BB71B4" w:rsidRDefault="00BB71B4" w:rsidP="00BB71B4">
      <w:pPr>
        <w:pStyle w:val="TextoNormalSangraFrancesa"/>
        <w:rPr>
          <w:rStyle w:val="TextoNormalCaracter"/>
        </w:rPr>
      </w:pPr>
      <w:bookmarkStart w:id="1221" w:name="DESCRIPTORALFABETICO723"/>
      <w:r w:rsidRPr="00BB71B4">
        <w:rPr>
          <w:rStyle w:val="TextoNormalNegritaCaracter"/>
        </w:rPr>
        <w:t>Declaración autoincriminatoria</w:t>
      </w:r>
      <w:bookmarkEnd w:id="1221"/>
      <w:r w:rsidRPr="00BB71B4">
        <w:rPr>
          <w:rStyle w:val="TextoNormalCaracter"/>
        </w:rPr>
        <w:t xml:space="preserve">, Sentencia </w:t>
      </w:r>
      <w:hyperlink w:anchor="SENTENCIA_2015_33" w:history="1">
        <w:r w:rsidRPr="00BB71B4">
          <w:rPr>
            <w:rStyle w:val="TextoNormalCaracter"/>
          </w:rPr>
          <w:t>33/2015</w:t>
        </w:r>
      </w:hyperlink>
      <w:r w:rsidRPr="00BB71B4">
        <w:rPr>
          <w:rStyle w:val="TextoNormalCaracter"/>
        </w:rPr>
        <w:t>, ff. 4 a 6.</w:t>
      </w:r>
    </w:p>
    <w:p w:rsidR="00BB71B4" w:rsidRPr="00BB71B4" w:rsidRDefault="00BB71B4" w:rsidP="00BB71B4">
      <w:pPr>
        <w:pStyle w:val="TextoNormalSangraFrancesa"/>
        <w:rPr>
          <w:rStyle w:val="TextoNormalCaracter"/>
        </w:rPr>
      </w:pPr>
      <w:bookmarkStart w:id="1222" w:name="DESCRIPTORALFABETICO501"/>
      <w:r w:rsidRPr="00BB71B4">
        <w:rPr>
          <w:rStyle w:val="TextoNormalNegritaCaracter"/>
        </w:rPr>
        <w:t>Declaración de espacio natural protegido</w:t>
      </w:r>
      <w:bookmarkEnd w:id="1222"/>
      <w:r w:rsidRPr="00BB71B4">
        <w:rPr>
          <w:rStyle w:val="TextoNormalCaracter"/>
        </w:rPr>
        <w:t xml:space="preserve">, Sentencia </w:t>
      </w:r>
      <w:hyperlink w:anchor="SENTENCIA_2015_50" w:history="1">
        <w:r w:rsidRPr="00BB71B4">
          <w:rPr>
            <w:rStyle w:val="TextoNormalCaracter"/>
          </w:rPr>
          <w:t>50/2015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223" w:name="DESCRIPTORALFABETICO229"/>
      <w:r w:rsidRPr="00BB71B4">
        <w:rPr>
          <w:rStyle w:val="TextoNormalNegritaCaracter"/>
        </w:rPr>
        <w:t>Declaración de incompetencia del Tribunal Constitucional</w:t>
      </w:r>
      <w:bookmarkEnd w:id="1223"/>
      <w:r w:rsidRPr="00BB71B4">
        <w:rPr>
          <w:rStyle w:val="TextoNormalCaracter"/>
        </w:rPr>
        <w:t xml:space="preserve">, Autos </w:t>
      </w:r>
      <w:hyperlink w:anchor="AUTO_2015_82" w:history="1">
        <w:r w:rsidRPr="00BB71B4">
          <w:rPr>
            <w:rStyle w:val="TextoNormalCaracter"/>
          </w:rPr>
          <w:t>82/2015</w:t>
        </w:r>
      </w:hyperlink>
      <w:r w:rsidRPr="00BB71B4">
        <w:rPr>
          <w:rStyle w:val="TextoNormalCaracter"/>
        </w:rPr>
        <w:t xml:space="preserve">, ff. 1 a 3; </w:t>
      </w:r>
      <w:hyperlink w:anchor="AUTO_2015_86" w:history="1">
        <w:r w:rsidRPr="00BB71B4">
          <w:rPr>
            <w:rStyle w:val="TextoNormalCaracter"/>
          </w:rPr>
          <w:t>86/2015</w:t>
        </w:r>
      </w:hyperlink>
      <w:r w:rsidRPr="00BB71B4">
        <w:rPr>
          <w:rStyle w:val="TextoNormalCaracter"/>
        </w:rPr>
        <w:t xml:space="preserve">, f. único; </w:t>
      </w:r>
      <w:hyperlink w:anchor="AUTO_2015_114" w:history="1">
        <w:r w:rsidRPr="00BB71B4">
          <w:rPr>
            <w:rStyle w:val="TextoNormalCaracter"/>
          </w:rPr>
          <w:t>114/2015</w:t>
        </w:r>
      </w:hyperlink>
      <w:r w:rsidRPr="00BB71B4">
        <w:rPr>
          <w:rStyle w:val="TextoNormalCaracter"/>
        </w:rPr>
        <w:t>, ff. 1 y 2.</w:t>
      </w:r>
    </w:p>
    <w:p w:rsidR="00BB71B4" w:rsidRPr="00BB71B4" w:rsidRDefault="00BB71B4" w:rsidP="00BB71B4">
      <w:pPr>
        <w:pStyle w:val="TextoNormalSangraFrancesa"/>
        <w:rPr>
          <w:rStyle w:val="TextoNormalCaracter"/>
        </w:rPr>
      </w:pPr>
      <w:bookmarkStart w:id="1224" w:name="DESCRIPTORALFABETICO724"/>
      <w:r w:rsidRPr="00BB71B4">
        <w:rPr>
          <w:rStyle w:val="TextoNormalNegritaCaracter"/>
        </w:rPr>
        <w:t>Declaración incriminatoria no ratificada en el juicio oral</w:t>
      </w:r>
      <w:bookmarkEnd w:id="1224"/>
      <w:r w:rsidRPr="00BB71B4">
        <w:rPr>
          <w:rStyle w:val="TextoNormalCaracter"/>
        </w:rPr>
        <w:t xml:space="preserve">, Sentencia </w:t>
      </w:r>
      <w:hyperlink w:anchor="SENTENCIA_2015_33" w:history="1">
        <w:r w:rsidRPr="00BB71B4">
          <w:rPr>
            <w:rStyle w:val="TextoNormalCaracter"/>
          </w:rPr>
          <w:t>33/2015</w:t>
        </w:r>
      </w:hyperlink>
      <w:r w:rsidRPr="00BB71B4">
        <w:rPr>
          <w:rStyle w:val="TextoNormalCaracter"/>
        </w:rPr>
        <w:t>, ff. 4, 5, 6.</w:t>
      </w:r>
    </w:p>
    <w:p w:rsidR="00BB71B4" w:rsidRPr="00BB71B4" w:rsidRDefault="00BB71B4" w:rsidP="00BB71B4">
      <w:pPr>
        <w:pStyle w:val="TextoNormalSangraFrancesa"/>
        <w:rPr>
          <w:rStyle w:val="TextoNormalCaracter"/>
        </w:rPr>
      </w:pPr>
      <w:bookmarkStart w:id="1225" w:name="DESCRIPTORALFABETICO682"/>
      <w:r w:rsidRPr="00BB71B4">
        <w:rPr>
          <w:rStyle w:val="TextoNormalNegritaCaracter"/>
        </w:rPr>
        <w:t>Declaración testifical</w:t>
      </w:r>
      <w:bookmarkEnd w:id="1225"/>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226" w:name="DESCRIPTORALFABETICO553"/>
      <w:r w:rsidRPr="00BB71B4">
        <w:rPr>
          <w:rStyle w:val="TextoNormalNegritaCaracter"/>
        </w:rPr>
        <w:t>Decretos de traspaso de servicios</w:t>
      </w:r>
      <w:bookmarkEnd w:id="1226"/>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2, 7.</w:t>
      </w:r>
    </w:p>
    <w:p w:rsidR="00BB71B4" w:rsidRPr="00BB71B4" w:rsidRDefault="00BB71B4" w:rsidP="00BB71B4">
      <w:pPr>
        <w:pStyle w:val="TextoNormalSangraFrancesa"/>
        <w:rPr>
          <w:rStyle w:val="TextoNormalCaracter"/>
        </w:rPr>
      </w:pPr>
      <w:bookmarkStart w:id="1227" w:name="DESCRIPTORALFABETICO529"/>
      <w:r w:rsidRPr="00BB71B4">
        <w:rPr>
          <w:rStyle w:val="TextoNormalNegritaCaracter"/>
        </w:rPr>
        <w:t>Decretos-leyes</w:t>
      </w:r>
      <w:bookmarkEnd w:id="1227"/>
      <w:r w:rsidRPr="00BB71B4">
        <w:rPr>
          <w:rStyle w:val="TextoNormalCaracter"/>
        </w:rPr>
        <w:t xml:space="preserve">, Sentencias </w:t>
      </w:r>
      <w:hyperlink w:anchor="SENTENCIA_2015_93" w:history="1">
        <w:r w:rsidRPr="00BB71B4">
          <w:rPr>
            <w:rStyle w:val="TextoNormalCaracter"/>
          </w:rPr>
          <w:t>93/2015</w:t>
        </w:r>
      </w:hyperlink>
      <w:r w:rsidRPr="00BB71B4">
        <w:rPr>
          <w:rStyle w:val="TextoNormalCaracter"/>
        </w:rPr>
        <w:t xml:space="preserve">, ff. 13 a 14; </w:t>
      </w:r>
      <w:hyperlink w:anchor="SENTENCIA_2015_104" w:history="1">
        <w:r w:rsidRPr="00BB71B4">
          <w:rPr>
            <w:rStyle w:val="TextoNormalCaracter"/>
          </w:rPr>
          <w:t>104/2015</w:t>
        </w:r>
      </w:hyperlink>
      <w:r w:rsidRPr="00BB71B4">
        <w:rPr>
          <w:rStyle w:val="TextoNormalCaracter"/>
        </w:rPr>
        <w:t>, ff. 1.</w:t>
      </w:r>
    </w:p>
    <w:p w:rsidR="00BB71B4" w:rsidRPr="00BB71B4" w:rsidRDefault="00BB71B4" w:rsidP="00BB71B4">
      <w:pPr>
        <w:pStyle w:val="TextoNormalSangraFrancesa"/>
        <w:rPr>
          <w:rStyle w:val="TextoNormalCaracter"/>
        </w:rPr>
      </w:pPr>
      <w:bookmarkStart w:id="1228" w:name="DESCRIPTORALFABETICO532"/>
      <w:r w:rsidRPr="00BB71B4">
        <w:rPr>
          <w:rStyle w:val="TextoNormalNegritaCaracter"/>
        </w:rPr>
        <w:t>Decretos-leyes autonómicos</w:t>
      </w:r>
      <w:bookmarkEnd w:id="1228"/>
      <w:r w:rsidRPr="00BB71B4">
        <w:rPr>
          <w:rStyle w:val="TextoNormalCaracter"/>
        </w:rPr>
        <w:t xml:space="preserve">, Sentencias </w:t>
      </w:r>
      <w:hyperlink w:anchor="SENTENCIA_2015_93" w:history="1">
        <w:r w:rsidRPr="00BB71B4">
          <w:rPr>
            <w:rStyle w:val="TextoNormalCaracter"/>
          </w:rPr>
          <w:t>93/2015</w:t>
        </w:r>
      </w:hyperlink>
      <w:r w:rsidRPr="00BB71B4">
        <w:rPr>
          <w:rStyle w:val="TextoNormalCaracter"/>
        </w:rPr>
        <w:t xml:space="preserve">, ff. 3 a 12; </w:t>
      </w:r>
      <w:hyperlink w:anchor="SENTENCIA_2015_107" w:history="1">
        <w:r w:rsidRPr="00BB71B4">
          <w:rPr>
            <w:rStyle w:val="TextoNormalCaracter"/>
          </w:rPr>
          <w:t>107/2015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229" w:name="DESCRIPTORALFABETICO181"/>
      <w:r w:rsidRPr="00BB71B4">
        <w:rPr>
          <w:rStyle w:val="TextoNormalNegritaCaracter"/>
        </w:rPr>
        <w:t>Defectos estructurales de la Administración de justicia</w:t>
      </w:r>
      <w:bookmarkEnd w:id="1229"/>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 5.</w:t>
      </w:r>
    </w:p>
    <w:p w:rsidR="00BB71B4" w:rsidRPr="00BB71B4" w:rsidRDefault="00BB71B4" w:rsidP="00BB71B4">
      <w:pPr>
        <w:pStyle w:val="TextoNormalSangraFrancesa"/>
        <w:rPr>
          <w:rStyle w:val="TextoNormalCaracter"/>
        </w:rPr>
      </w:pPr>
      <w:bookmarkStart w:id="1230" w:name="DESCRIPTORALFABETICO447"/>
      <w:r w:rsidRPr="00BB71B4">
        <w:rPr>
          <w:rStyle w:val="TextoNormalNegritaCaracter"/>
        </w:rPr>
        <w:t>Defensa de los consumidores</w:t>
      </w:r>
      <w:bookmarkEnd w:id="1230"/>
      <w:r w:rsidRPr="00BB71B4">
        <w:rPr>
          <w:rStyle w:val="TextoNormalCaracter"/>
        </w:rPr>
        <w:t xml:space="preserve">, Sentencia </w:t>
      </w:r>
      <w:hyperlink w:anchor="SENTENCIA_2015_10" w:history="1">
        <w:r w:rsidRPr="00BB71B4">
          <w:rPr>
            <w:rStyle w:val="TextoNormalCaracter"/>
          </w:rPr>
          <w:t>10/2015</w:t>
        </w:r>
      </w:hyperlink>
      <w:r w:rsidRPr="00BB71B4">
        <w:rPr>
          <w:rStyle w:val="TextoNormalCaracter"/>
        </w:rPr>
        <w:t>, ff. 1, 3.</w:t>
      </w:r>
    </w:p>
    <w:p w:rsidR="00BB71B4" w:rsidRPr="00BB71B4" w:rsidRDefault="00BB71B4" w:rsidP="00BB71B4">
      <w:pPr>
        <w:pStyle w:val="TextoNormalSangraFrancesa"/>
        <w:rPr>
          <w:rStyle w:val="TextoNormalCaracter"/>
        </w:rPr>
      </w:pPr>
      <w:bookmarkStart w:id="1231" w:name="DESCRIPTORALFABETICO316"/>
      <w:r w:rsidRPr="00BB71B4">
        <w:rPr>
          <w:rStyle w:val="TextoNormalNegritaCaracter"/>
        </w:rPr>
        <w:t>Defensor del Pueblo</w:t>
      </w:r>
      <w:bookmarkEnd w:id="1231"/>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ff. 1 a 6.</w:t>
      </w:r>
    </w:p>
    <w:p w:rsidR="00BB71B4" w:rsidRPr="00BB71B4" w:rsidRDefault="00BB71B4" w:rsidP="00BB71B4">
      <w:pPr>
        <w:pStyle w:val="TextoNormalSangraFrancesa"/>
        <w:rPr>
          <w:rStyle w:val="TextoNormalCaracter"/>
        </w:rPr>
      </w:pPr>
      <w:bookmarkStart w:id="1232" w:name="DESCRIPTORALFABETICO61"/>
      <w:r w:rsidRPr="00BB71B4">
        <w:rPr>
          <w:rStyle w:val="TextoNormalNegritaCaracter"/>
        </w:rPr>
        <w:t>Déficit público</w:t>
      </w:r>
      <w:bookmarkEnd w:id="1232"/>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2, 3, VP; </w:t>
      </w:r>
      <w:hyperlink w:anchor="SENTENCIA_2015_95" w:history="1">
        <w:r w:rsidRPr="00BB71B4">
          <w:rPr>
            <w:rStyle w:val="TextoNormalCaracter"/>
          </w:rPr>
          <w:t>95/2015</w:t>
        </w:r>
      </w:hyperlink>
      <w:r w:rsidRPr="00BB71B4">
        <w:rPr>
          <w:rStyle w:val="TextoNormalCaracter"/>
        </w:rPr>
        <w:t xml:space="preserve">, ff. 4, 5; </w:t>
      </w:r>
      <w:hyperlink w:anchor="SENTENCIA_2015_109" w:history="1">
        <w:r w:rsidRPr="00BB71B4">
          <w:rPr>
            <w:rStyle w:val="TextoNormalCaracter"/>
          </w:rPr>
          <w:t>109/2015</w:t>
        </w:r>
      </w:hyperlink>
      <w:r w:rsidRPr="00BB71B4">
        <w:rPr>
          <w:rStyle w:val="TextoNormalCaracter"/>
        </w:rPr>
        <w:t xml:space="preserve">, f. 2; </w:t>
      </w:r>
      <w:hyperlink w:anchor="SENTENCIA_2015_116" w:history="1">
        <w:r w:rsidRPr="00BB71B4">
          <w:rPr>
            <w:rStyle w:val="TextoNormalCaracter"/>
          </w:rPr>
          <w:t>116/2015</w:t>
        </w:r>
      </w:hyperlink>
      <w:r w:rsidRPr="00BB71B4">
        <w:rPr>
          <w:rStyle w:val="TextoNormalCaracter"/>
        </w:rPr>
        <w:t xml:space="preserve">, f. 2; </w:t>
      </w:r>
      <w:hyperlink w:anchor="SENTENCIA_2015_117" w:history="1">
        <w:r w:rsidRPr="00BB71B4">
          <w:rPr>
            <w:rStyle w:val="TextoNormalCaracter"/>
          </w:rPr>
          <w:t>117/2015</w:t>
        </w:r>
      </w:hyperlink>
      <w:r w:rsidRPr="00BB71B4">
        <w:rPr>
          <w:rStyle w:val="TextoNormalCaracter"/>
        </w:rPr>
        <w:t xml:space="preserve">, f. 3; </w:t>
      </w:r>
      <w:hyperlink w:anchor="SENTENCIA_2015_118" w:history="1">
        <w:r w:rsidRPr="00BB71B4">
          <w:rPr>
            <w:rStyle w:val="TextoNormalCaracter"/>
          </w:rPr>
          <w:t>118/2015</w:t>
        </w:r>
      </w:hyperlink>
      <w:r w:rsidRPr="00BB71B4">
        <w:rPr>
          <w:rStyle w:val="TextoNormalCaracter"/>
        </w:rPr>
        <w:t xml:space="preserve">, f. 2; </w:t>
      </w:r>
      <w:hyperlink w:anchor="SENTENCIA_2015_119" w:history="1">
        <w:r w:rsidRPr="00BB71B4">
          <w:rPr>
            <w:rStyle w:val="TextoNormalCaracter"/>
          </w:rPr>
          <w:t>119/2015</w:t>
        </w:r>
      </w:hyperlink>
      <w:r w:rsidRPr="00BB71B4">
        <w:rPr>
          <w:rStyle w:val="TextoNormalCaracter"/>
        </w:rPr>
        <w:t xml:space="preserve">, f. 2; </w:t>
      </w:r>
      <w:hyperlink w:anchor="SENTENCIA_2015_120" w:history="1">
        <w:r w:rsidRPr="00BB71B4">
          <w:rPr>
            <w:rStyle w:val="TextoNormalCaracter"/>
          </w:rPr>
          <w:t>120/2015</w:t>
        </w:r>
      </w:hyperlink>
      <w:r w:rsidRPr="00BB71B4">
        <w:rPr>
          <w:rStyle w:val="TextoNormalCaracter"/>
        </w:rPr>
        <w:t xml:space="preserve">, f. 2; </w:t>
      </w:r>
      <w:hyperlink w:anchor="SENTENCIA_2015_121" w:history="1">
        <w:r w:rsidRPr="00BB71B4">
          <w:rPr>
            <w:rStyle w:val="TextoNormalCaracter"/>
          </w:rPr>
          <w:t>121/2015</w:t>
        </w:r>
      </w:hyperlink>
      <w:r w:rsidRPr="00BB71B4">
        <w:rPr>
          <w:rStyle w:val="TextoNormalCaracter"/>
        </w:rPr>
        <w:t xml:space="preserve">, f. 2; </w:t>
      </w:r>
      <w:hyperlink w:anchor="SENTENCIA_2015_122" w:history="1">
        <w:r w:rsidRPr="00BB71B4">
          <w:rPr>
            <w:rStyle w:val="TextoNormalCaracter"/>
          </w:rPr>
          <w:t>122/2015</w:t>
        </w:r>
      </w:hyperlink>
      <w:r w:rsidRPr="00BB71B4">
        <w:rPr>
          <w:rStyle w:val="TextoNormalCaracter"/>
        </w:rPr>
        <w:t xml:space="preserve">, f. 2; </w:t>
      </w:r>
      <w:hyperlink w:anchor="SENTENCIA_2015_123" w:history="1">
        <w:r w:rsidRPr="00BB71B4">
          <w:rPr>
            <w:rStyle w:val="TextoNormalCaracter"/>
          </w:rPr>
          <w:t>123/2015</w:t>
        </w:r>
      </w:hyperlink>
      <w:r w:rsidRPr="00BB71B4">
        <w:rPr>
          <w:rStyle w:val="TextoNormalCaracter"/>
        </w:rPr>
        <w:t xml:space="preserve">, f. 2; </w:t>
      </w:r>
      <w:hyperlink w:anchor="SENTENCIA_2015_125" w:history="1">
        <w:r w:rsidRPr="00BB71B4">
          <w:rPr>
            <w:rStyle w:val="TextoNormalCaracter"/>
          </w:rPr>
          <w:t>125/2015</w:t>
        </w:r>
      </w:hyperlink>
      <w:r w:rsidRPr="00BB71B4">
        <w:rPr>
          <w:rStyle w:val="TextoNormalCaracter"/>
        </w:rPr>
        <w:t xml:space="preserve">, f. 2; </w:t>
      </w:r>
      <w:hyperlink w:anchor="SENTENCIA_2015_126" w:history="1">
        <w:r w:rsidRPr="00BB71B4">
          <w:rPr>
            <w:rStyle w:val="TextoNormalCaracter"/>
          </w:rPr>
          <w:t>126/2015</w:t>
        </w:r>
      </w:hyperlink>
      <w:r w:rsidRPr="00BB71B4">
        <w:rPr>
          <w:rStyle w:val="TextoNormalCaracter"/>
        </w:rPr>
        <w:t xml:space="preserve">, f. 2; </w:t>
      </w:r>
      <w:hyperlink w:anchor="SENTENCIA_2015_127" w:history="1">
        <w:r w:rsidRPr="00BB71B4">
          <w:rPr>
            <w:rStyle w:val="TextoNormalCaracter"/>
          </w:rPr>
          <w:t>127/2015</w:t>
        </w:r>
      </w:hyperlink>
      <w:r w:rsidRPr="00BB71B4">
        <w:rPr>
          <w:rStyle w:val="TextoNormalCaracter"/>
        </w:rPr>
        <w:t xml:space="preserve">, f. 2; </w:t>
      </w:r>
      <w:hyperlink w:anchor="SENTENCIA_2015_128" w:history="1">
        <w:r w:rsidRPr="00BB71B4">
          <w:rPr>
            <w:rStyle w:val="TextoNormalCaracter"/>
          </w:rPr>
          <w:t>128/2015</w:t>
        </w:r>
      </w:hyperlink>
      <w:r w:rsidRPr="00BB71B4">
        <w:rPr>
          <w:rStyle w:val="TextoNormalCaracter"/>
        </w:rPr>
        <w:t xml:space="preserve">, f. 2; </w:t>
      </w:r>
      <w:hyperlink w:anchor="SENTENCIA_2015_129" w:history="1">
        <w:r w:rsidRPr="00BB71B4">
          <w:rPr>
            <w:rStyle w:val="TextoNormalCaracter"/>
          </w:rPr>
          <w:t>129/2015</w:t>
        </w:r>
      </w:hyperlink>
      <w:r w:rsidRPr="00BB71B4">
        <w:rPr>
          <w:rStyle w:val="TextoNormalCaracter"/>
        </w:rPr>
        <w:t xml:space="preserve">, f. 2; </w:t>
      </w:r>
      <w:hyperlink w:anchor="SENTENCIA_2015_130" w:history="1">
        <w:r w:rsidRPr="00BB71B4">
          <w:rPr>
            <w:rStyle w:val="TextoNormalCaracter"/>
          </w:rPr>
          <w:t>130/2015</w:t>
        </w:r>
      </w:hyperlink>
      <w:r w:rsidRPr="00BB71B4">
        <w:rPr>
          <w:rStyle w:val="TextoNormalCaracter"/>
        </w:rPr>
        <w:t xml:space="preserve">, f. 2; </w:t>
      </w:r>
      <w:hyperlink w:anchor="SENTENCIA_2015_131" w:history="1">
        <w:r w:rsidRPr="00BB71B4">
          <w:rPr>
            <w:rStyle w:val="TextoNormalCaracter"/>
          </w:rPr>
          <w:t>131/2015</w:t>
        </w:r>
      </w:hyperlink>
      <w:r w:rsidRPr="00BB71B4">
        <w:rPr>
          <w:rStyle w:val="TextoNormalCaracter"/>
        </w:rPr>
        <w:t xml:space="preserve">, f. 2; </w:t>
      </w:r>
      <w:hyperlink w:anchor="SENTENCIA_2015_132" w:history="1">
        <w:r w:rsidRPr="00BB71B4">
          <w:rPr>
            <w:rStyle w:val="TextoNormalCaracter"/>
          </w:rPr>
          <w:t>132/2015</w:t>
        </w:r>
      </w:hyperlink>
      <w:r w:rsidRPr="00BB71B4">
        <w:rPr>
          <w:rStyle w:val="TextoNormalCaracter"/>
        </w:rPr>
        <w:t xml:space="preserve">, f. 2; </w:t>
      </w:r>
      <w:hyperlink w:anchor="SENTENCIA_2015_133" w:history="1">
        <w:r w:rsidRPr="00BB71B4">
          <w:rPr>
            <w:rStyle w:val="TextoNormalCaracter"/>
          </w:rPr>
          <w:t>133/2015</w:t>
        </w:r>
      </w:hyperlink>
      <w:r w:rsidRPr="00BB71B4">
        <w:rPr>
          <w:rStyle w:val="TextoNormalCaracter"/>
        </w:rPr>
        <w:t xml:space="preserve">, f. 2; </w:t>
      </w:r>
      <w:hyperlink w:anchor="SENTENCIA_2015_134" w:history="1">
        <w:r w:rsidRPr="00BB71B4">
          <w:rPr>
            <w:rStyle w:val="TextoNormalCaracter"/>
          </w:rPr>
          <w:t>134/2015</w:t>
        </w:r>
      </w:hyperlink>
      <w:r w:rsidRPr="00BB71B4">
        <w:rPr>
          <w:rStyle w:val="TextoNormalCaracter"/>
        </w:rPr>
        <w:t xml:space="preserve">, f. 2; </w:t>
      </w:r>
      <w:hyperlink w:anchor="SENTENCIA_2015_135" w:history="1">
        <w:r w:rsidRPr="00BB71B4">
          <w:rPr>
            <w:rStyle w:val="TextoNormalCaracter"/>
          </w:rPr>
          <w:t>135/2015</w:t>
        </w:r>
      </w:hyperlink>
      <w:r w:rsidRPr="00BB71B4">
        <w:rPr>
          <w:rStyle w:val="TextoNormalCaracter"/>
        </w:rPr>
        <w:t xml:space="preserve">, f. 2; </w:t>
      </w:r>
      <w:hyperlink w:anchor="SENTENCIA_2015_144" w:history="1">
        <w:r w:rsidRPr="00BB71B4">
          <w:rPr>
            <w:rStyle w:val="TextoNormalCaracter"/>
          </w:rPr>
          <w:t>144/2015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233" w:name="DESCRIPTORALFABETICO470"/>
      <w:r w:rsidRPr="00BB71B4">
        <w:rPr>
          <w:rStyle w:val="TextoNormalNegritaCaracter"/>
        </w:rPr>
        <w:t>Déficit tarifario del sistema eléctrico</w:t>
      </w:r>
      <w:bookmarkEnd w:id="1233"/>
      <w:r w:rsidRPr="00BB71B4">
        <w:rPr>
          <w:rStyle w:val="TextoNormalCaracter"/>
        </w:rPr>
        <w:t xml:space="preserve">, Sentencias </w:t>
      </w:r>
      <w:hyperlink w:anchor="SENTENCIA_2015_28" w:history="1">
        <w:r w:rsidRPr="00BB71B4">
          <w:rPr>
            <w:rStyle w:val="TextoNormalCaracter"/>
          </w:rPr>
          <w:t>28/2015</w:t>
        </w:r>
      </w:hyperlink>
      <w:r w:rsidRPr="00BB71B4">
        <w:rPr>
          <w:rStyle w:val="TextoNormalCaracter"/>
        </w:rPr>
        <w:t xml:space="preserve">, f. 3; </w:t>
      </w:r>
      <w:hyperlink w:anchor="SENTENCIA_2015_48" w:history="1">
        <w:r w:rsidRPr="00BB71B4">
          <w:rPr>
            <w:rStyle w:val="TextoNormalCaracter"/>
          </w:rPr>
          <w:t>48/2015</w:t>
        </w:r>
      </w:hyperlink>
      <w:r w:rsidRPr="00BB71B4">
        <w:rPr>
          <w:rStyle w:val="TextoNormalCaracter"/>
        </w:rPr>
        <w:t xml:space="preserve">, ff. 3 a 5; </w:t>
      </w:r>
      <w:hyperlink w:anchor="SENTENCIA_2015_105" w:history="1">
        <w:r w:rsidRPr="00BB71B4">
          <w:rPr>
            <w:rStyle w:val="TextoNormalCaracter"/>
          </w:rPr>
          <w:t>105/2015</w:t>
        </w:r>
      </w:hyperlink>
      <w:r w:rsidRPr="00BB71B4">
        <w:rPr>
          <w:rStyle w:val="TextoNormalCaracter"/>
        </w:rPr>
        <w:t xml:space="preserve">, f. 3; </w:t>
      </w:r>
      <w:hyperlink w:anchor="SENTENCIA_2015_106" w:history="1">
        <w:r w:rsidRPr="00BB71B4">
          <w:rPr>
            <w:rStyle w:val="TextoNormalCaracter"/>
          </w:rPr>
          <w:t>106/2015</w:t>
        </w:r>
      </w:hyperlink>
      <w:r w:rsidRPr="00BB71B4">
        <w:rPr>
          <w:rStyle w:val="TextoNormalCaracter"/>
        </w:rPr>
        <w:t xml:space="preserve">, ff. 2, 3; </w:t>
      </w:r>
      <w:hyperlink w:anchor="SENTENCIA_2015_136" w:history="1">
        <w:r w:rsidRPr="00BB71B4">
          <w:rPr>
            <w:rStyle w:val="TextoNormalCaracter"/>
          </w:rPr>
          <w:t>136/2015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234" w:name="DESCRIPTORALFABETICO456"/>
      <w:r w:rsidRPr="00BB71B4">
        <w:rPr>
          <w:rStyle w:val="TextoNormalNegritaCaracter"/>
        </w:rPr>
        <w:t>Delimitación del derecho de propiedad</w:t>
      </w:r>
      <w:bookmarkEnd w:id="1234"/>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12, 13.</w:t>
      </w:r>
    </w:p>
    <w:p w:rsidR="00BB71B4" w:rsidRPr="00BB71B4" w:rsidRDefault="00BB71B4" w:rsidP="00BB71B4">
      <w:pPr>
        <w:pStyle w:val="TextoNormalSangraFrancesa"/>
        <w:rPr>
          <w:rStyle w:val="TextoNormalCaracter"/>
        </w:rPr>
      </w:pPr>
      <w:bookmarkStart w:id="1235" w:name="DESCRIPTORALFABETICO394"/>
      <w:r w:rsidRPr="00BB71B4">
        <w:rPr>
          <w:rStyle w:val="TextoNormalNegritaCaracter"/>
        </w:rPr>
        <w:t>Democracia directa</w:t>
      </w:r>
      <w:bookmarkEnd w:id="1235"/>
      <w:r w:rsidRPr="00BB71B4">
        <w:rPr>
          <w:rStyle w:val="TextoNormalCaracter"/>
        </w:rPr>
        <w:t xml:space="preserve">, Sentencias </w:t>
      </w:r>
      <w:hyperlink w:anchor="SENTENCIA_2015_19" w:history="1">
        <w:r w:rsidRPr="00BB71B4">
          <w:rPr>
            <w:rStyle w:val="TextoNormalCaracter"/>
          </w:rPr>
          <w:t>19/2015</w:t>
        </w:r>
      </w:hyperlink>
      <w:r w:rsidRPr="00BB71B4">
        <w:rPr>
          <w:rStyle w:val="TextoNormalCaracter"/>
        </w:rPr>
        <w:t xml:space="preserve">, ff. 2, 4; </w:t>
      </w:r>
      <w:hyperlink w:anchor="SENTENCIA_2015_31" w:history="1">
        <w:r w:rsidRPr="00BB71B4">
          <w:rPr>
            <w:rStyle w:val="TextoNormalCaracter"/>
          </w:rPr>
          <w:t>31/2015</w:t>
        </w:r>
      </w:hyperlink>
      <w:r w:rsidRPr="00BB71B4">
        <w:rPr>
          <w:rStyle w:val="TextoNormalCaracter"/>
        </w:rPr>
        <w:t xml:space="preserve">, f. 3; </w:t>
      </w:r>
      <w:hyperlink w:anchor="SENTENCIA_2015_137" w:history="1">
        <w:r w:rsidRPr="00BB71B4">
          <w:rPr>
            <w:rStyle w:val="TextoNormalCaracter"/>
          </w:rPr>
          <w:t>137/2015</w:t>
        </w:r>
      </w:hyperlink>
      <w:r w:rsidRPr="00BB71B4">
        <w:rPr>
          <w:rStyle w:val="TextoNormalCaracter"/>
        </w:rPr>
        <w:t xml:space="preserve">, f. 4;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bookmarkStart w:id="1236" w:name="DESCRIPTORALFABETICO395"/>
      <w:r w:rsidRPr="00BB71B4">
        <w:rPr>
          <w:rStyle w:val="TextoNormalNegritaCaracter"/>
        </w:rPr>
        <w:t>Democracia representativa</w:t>
      </w:r>
      <w:bookmarkEnd w:id="1236"/>
      <w:r w:rsidRPr="00BB71B4">
        <w:rPr>
          <w:rStyle w:val="TextoNormalCaracter"/>
        </w:rPr>
        <w:t xml:space="preserve">, Sentencia </w:t>
      </w:r>
      <w:hyperlink w:anchor="SENTENCIA_2015_19" w:history="1">
        <w:r w:rsidRPr="00BB71B4">
          <w:rPr>
            <w:rStyle w:val="TextoNormalCaracter"/>
          </w:rPr>
          <w:t>19/2015</w:t>
        </w:r>
      </w:hyperlink>
      <w:r w:rsidRPr="00BB71B4">
        <w:rPr>
          <w:rStyle w:val="TextoNormalCaracter"/>
        </w:rPr>
        <w:t>, f. 2, VP.</w:t>
      </w:r>
    </w:p>
    <w:p w:rsidR="00BB71B4" w:rsidRPr="00BB71B4" w:rsidRDefault="00BB71B4" w:rsidP="00BB71B4">
      <w:pPr>
        <w:pStyle w:val="TextoNormalSangraFrancesa"/>
        <w:rPr>
          <w:rStyle w:val="TextoNormalCaracter"/>
        </w:rPr>
      </w:pPr>
      <w:bookmarkStart w:id="1237" w:name="DESCRIPTORALFABETICO594"/>
      <w:r w:rsidRPr="00BB71B4">
        <w:rPr>
          <w:rStyle w:val="TextoNormalNegritaCaracter"/>
        </w:rPr>
        <w:t>Denegación de indulto</w:t>
      </w:r>
      <w:bookmarkEnd w:id="1237"/>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238" w:name="DESCRIPTORALFABETICO694"/>
      <w:r w:rsidRPr="00BB71B4">
        <w:rPr>
          <w:rStyle w:val="TextoNormalNegritaCaracter"/>
        </w:rPr>
        <w:t>Denegación de justicia gratuita</w:t>
      </w:r>
      <w:bookmarkEnd w:id="1238"/>
      <w:r w:rsidRPr="00BB71B4">
        <w:rPr>
          <w:rStyle w:val="TextoNormalCaracter"/>
        </w:rPr>
        <w:t xml:space="preserve">, Sentencia </w:t>
      </w:r>
      <w:hyperlink w:anchor="SENTENCIA_2015_124" w:history="1">
        <w:r w:rsidRPr="00BB71B4">
          <w:rPr>
            <w:rStyle w:val="TextoNormalCaracter"/>
          </w:rPr>
          <w:t>124/2015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239" w:name="DESCRIPTORALFABETICO695"/>
      <w:r w:rsidRPr="00BB71B4">
        <w:rPr>
          <w:rStyle w:val="TextoNormalNegritaCaracter"/>
        </w:rPr>
        <w:t>Denegación de justicia gratuita inmotivada</w:t>
      </w:r>
      <w:bookmarkEnd w:id="1239"/>
      <w:r w:rsidRPr="00BB71B4">
        <w:rPr>
          <w:rStyle w:val="TextoNormalCaracter"/>
        </w:rPr>
        <w:t xml:space="preserve">, Sentencia </w:t>
      </w:r>
      <w:hyperlink w:anchor="SENTENCIA_2015_90" w:history="1">
        <w:r w:rsidRPr="00BB71B4">
          <w:rPr>
            <w:rStyle w:val="TextoNormalCaracter"/>
          </w:rPr>
          <w:t>90/2015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240" w:name="DESCRIPTORALFABETICO361"/>
      <w:r w:rsidRPr="00BB71B4">
        <w:rPr>
          <w:rStyle w:val="TextoNormalNegritaCaracter"/>
        </w:rPr>
        <w:t>Denegación de planteamiento de cuestión prejudicial ante el TJUE</w:t>
      </w:r>
      <w:bookmarkEnd w:id="1240"/>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241" w:name="DESCRIPTORALFABETICO234"/>
      <w:r w:rsidRPr="00BB71B4">
        <w:rPr>
          <w:rStyle w:val="TextoNormalNegritaCaracter"/>
        </w:rPr>
        <w:t>Denegación de suspensión de resoluciones judiciales</w:t>
      </w:r>
      <w:bookmarkEnd w:id="1241"/>
      <w:r w:rsidRPr="00BB71B4">
        <w:rPr>
          <w:rStyle w:val="TextoNormalCaracter"/>
        </w:rPr>
        <w:t xml:space="preserve">, Auto </w:t>
      </w:r>
      <w:hyperlink w:anchor="AUTO_2015_95" w:history="1">
        <w:r w:rsidRPr="00BB71B4">
          <w:rPr>
            <w:rStyle w:val="TextoNormalCaracter"/>
          </w:rPr>
          <w:t>95/2015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242" w:name="DESCRIPTORALFABETICO102"/>
      <w:r w:rsidRPr="00BB71B4">
        <w:rPr>
          <w:rStyle w:val="TextoNormalNegritaCaracter"/>
        </w:rPr>
        <w:t>Derecho a acceder a las funciones públicas</w:t>
      </w:r>
      <w:bookmarkEnd w:id="1242"/>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8" w:history="1">
        <w:r w:rsidRPr="00BB71B4">
          <w:rPr>
            <w:rStyle w:val="TextoNormalCaracter"/>
          </w:rPr>
          <w:t>8/2015</w:t>
        </w:r>
      </w:hyperlink>
      <w:r w:rsidRPr="00BB71B4">
        <w:rPr>
          <w:rStyle w:val="TextoNormalCaracter"/>
        </w:rPr>
        <w:t>, ff. 9 b), 10 c).</w:t>
      </w:r>
    </w:p>
    <w:p w:rsidR="00BB71B4" w:rsidRPr="00BB71B4" w:rsidRDefault="00BB71B4" w:rsidP="00BB71B4">
      <w:pPr>
        <w:pStyle w:val="TextoNormalSangraFrancesa"/>
        <w:rPr>
          <w:rStyle w:val="TextoNormalCaracter"/>
        </w:rPr>
      </w:pPr>
      <w:bookmarkStart w:id="1243" w:name="DESCRIPTORALFABETICO104"/>
      <w:r w:rsidRPr="00BB71B4">
        <w:rPr>
          <w:rStyle w:val="TextoNormalNegritaCaracter"/>
        </w:rPr>
        <w:t>Derecho a acceder a los cargos públicos</w:t>
      </w:r>
      <w:bookmarkEnd w:id="1243"/>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15" w:history="1">
        <w:r w:rsidRPr="00BB71B4">
          <w:rPr>
            <w:rStyle w:val="TextoNormalCaracter"/>
          </w:rPr>
          <w:t>15/2015</w:t>
        </w:r>
      </w:hyperlink>
      <w:r w:rsidRPr="00BB71B4">
        <w:rPr>
          <w:rStyle w:val="TextoNormalCaracter"/>
        </w:rPr>
        <w:t>, ff. 3, 6, 9.</w:t>
      </w:r>
    </w:p>
    <w:p w:rsidR="00BB71B4" w:rsidRPr="00BB71B4" w:rsidRDefault="00BB71B4" w:rsidP="00BB71B4">
      <w:pPr>
        <w:pStyle w:val="TextoNormalSangraFrancesa"/>
        <w:rPr>
          <w:rStyle w:val="TextoNormalCaracter"/>
        </w:rPr>
      </w:pPr>
      <w:bookmarkStart w:id="1244" w:name="DESCRIPTORALFABETICO202"/>
      <w:r w:rsidRPr="00BB71B4">
        <w:rPr>
          <w:rStyle w:val="TextoNormalNegritaCaracter"/>
        </w:rPr>
        <w:t>Derecho a comunicar libremente información</w:t>
      </w:r>
      <w:bookmarkEnd w:id="1244"/>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245" w:name="DESCRIPTORALFABETICO106"/>
      <w:r w:rsidRPr="00BB71B4">
        <w:rPr>
          <w:rStyle w:val="TextoNormalNegritaCaracter"/>
        </w:rPr>
        <w:t>Derecho a ejercer los cargos públicos</w:t>
      </w:r>
      <w:bookmarkEnd w:id="1245"/>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Sentencias </w:t>
      </w:r>
      <w:hyperlink w:anchor="SENTENCIA_2015_1" w:history="1">
        <w:r w:rsidRPr="00BB71B4">
          <w:rPr>
            <w:rStyle w:val="TextoNormalCaracter"/>
          </w:rPr>
          <w:t>1/2015</w:t>
        </w:r>
      </w:hyperlink>
      <w:r w:rsidRPr="00BB71B4">
        <w:rPr>
          <w:rStyle w:val="TextoNormalCaracter"/>
        </w:rPr>
        <w:t xml:space="preserve">, f. 3; </w:t>
      </w:r>
      <w:hyperlink w:anchor="SENTENCIA_2015_23" w:history="1">
        <w:r w:rsidRPr="00BB71B4">
          <w:rPr>
            <w:rStyle w:val="TextoNormalCaracter"/>
          </w:rPr>
          <w:t>23/2015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23" w:history="1">
        <w:r w:rsidRPr="00BB71B4">
          <w:rPr>
            <w:rStyle w:val="TextoNormalCaracter"/>
          </w:rPr>
          <w:t>23/2015</w:t>
        </w:r>
      </w:hyperlink>
      <w:r w:rsidRPr="00BB71B4">
        <w:rPr>
          <w:rStyle w:val="TextoNormalCaracter"/>
        </w:rPr>
        <w:t>, f. 8.</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Sentencias </w:t>
      </w:r>
      <w:hyperlink w:anchor="SENTENCIA_2015_1" w:history="1">
        <w:r w:rsidRPr="00BB71B4">
          <w:rPr>
            <w:rStyle w:val="TextoNormalCaracter"/>
          </w:rPr>
          <w:t>1/2015</w:t>
        </w:r>
      </w:hyperlink>
      <w:r w:rsidRPr="00BB71B4">
        <w:rPr>
          <w:rStyle w:val="TextoNormalCaracter"/>
        </w:rPr>
        <w:t xml:space="preserve">, ff. 5 a 7; </w:t>
      </w:r>
      <w:hyperlink w:anchor="SENTENCIA_2015_23" w:history="1">
        <w:r w:rsidRPr="00BB71B4">
          <w:rPr>
            <w:rStyle w:val="TextoNormalCaracter"/>
          </w:rPr>
          <w:t>23/2015</w:t>
        </w:r>
      </w:hyperlink>
      <w:r w:rsidRPr="00BB71B4">
        <w:rPr>
          <w:rStyle w:val="TextoNormalCaracter"/>
        </w:rPr>
        <w:t>, ff. 5 a 7.</w:t>
      </w:r>
    </w:p>
    <w:p w:rsidR="00BB71B4" w:rsidRPr="00BB71B4" w:rsidRDefault="00BB71B4" w:rsidP="00BB71B4">
      <w:pPr>
        <w:pStyle w:val="TextoNormalSangraFrancesa"/>
        <w:rPr>
          <w:rStyle w:val="TextoNormalCaracter"/>
        </w:rPr>
      </w:pPr>
      <w:bookmarkStart w:id="1246" w:name="DESCRIPTORALFABETICO146"/>
      <w:r w:rsidRPr="00BB71B4">
        <w:rPr>
          <w:rStyle w:val="TextoNormalNegritaCaracter"/>
        </w:rPr>
        <w:t>Derecho a la ejecución de resoluciones judiciales</w:t>
      </w:r>
      <w:bookmarkEnd w:id="1246"/>
      <w:r w:rsidRPr="00BB71B4">
        <w:rPr>
          <w:rStyle w:val="TextoNormalCaracter"/>
        </w:rPr>
        <w:t xml:space="preserve">, Sentencia </w:t>
      </w:r>
      <w:hyperlink w:anchor="SENTENCIA_2015_50" w:history="1">
        <w:r w:rsidRPr="00BB71B4">
          <w:rPr>
            <w:rStyle w:val="TextoNormalCaracter"/>
          </w:rPr>
          <w:t>50/2015</w:t>
        </w:r>
      </w:hyperlink>
      <w:r w:rsidRPr="00BB71B4">
        <w:rPr>
          <w:rStyle w:val="TextoNormalCaracter"/>
        </w:rPr>
        <w:t>, f. 1,7, 8.</w:t>
      </w:r>
    </w:p>
    <w:p w:rsidR="00BB71B4" w:rsidRPr="00BB71B4" w:rsidRDefault="00BB71B4" w:rsidP="00BB71B4">
      <w:pPr>
        <w:pStyle w:val="TextoNormalSangraFrancesa"/>
        <w:rPr>
          <w:rStyle w:val="TextoNormalCaracter"/>
        </w:rPr>
      </w:pPr>
      <w:bookmarkStart w:id="1247" w:name="DESCRIPTORALFABETICO108"/>
      <w:r w:rsidRPr="00BB71B4">
        <w:rPr>
          <w:rStyle w:val="TextoNormalNegritaCaracter"/>
        </w:rPr>
        <w:t>Derecho a la igualdad</w:t>
      </w:r>
      <w:bookmarkEnd w:id="1247"/>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ff. 3 e), 8 c), 9 a), 10 c), VP; </w:t>
      </w:r>
      <w:hyperlink w:anchor="SENTENCIA_2015_60" w:history="1">
        <w:r w:rsidRPr="00BB71B4">
          <w:rPr>
            <w:rStyle w:val="TextoNormalCaracter"/>
          </w:rPr>
          <w:t>60/2015</w:t>
        </w:r>
      </w:hyperlink>
      <w:r w:rsidRPr="00BB71B4">
        <w:rPr>
          <w:rStyle w:val="TextoNormalCaracter"/>
        </w:rPr>
        <w:t xml:space="preserve">, ff. 3 a 5; </w:t>
      </w:r>
      <w:hyperlink w:anchor="SENTENCIA_2015_66" w:history="1">
        <w:r w:rsidRPr="00BB71B4">
          <w:rPr>
            <w:rStyle w:val="TextoNormalCaracter"/>
          </w:rPr>
          <w:t>66/2015</w:t>
        </w:r>
      </w:hyperlink>
      <w:r w:rsidRPr="00BB71B4">
        <w:rPr>
          <w:rStyle w:val="TextoNormalCaracter"/>
        </w:rPr>
        <w:t xml:space="preserve">, ff. 2, 4, 6; </w:t>
      </w:r>
      <w:hyperlink w:anchor="SENTENCIA_2015_140" w:history="1">
        <w:r w:rsidRPr="00BB71B4">
          <w:rPr>
            <w:rStyle w:val="TextoNormalCaracter"/>
          </w:rPr>
          <w:t>140/2015</w:t>
        </w:r>
      </w:hyperlink>
      <w:r w:rsidRPr="00BB71B4">
        <w:rPr>
          <w:rStyle w:val="TextoNormalCaracter"/>
        </w:rPr>
        <w:t>, f. 2 a).</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34" w:history="1">
        <w:r w:rsidRPr="00BB71B4">
          <w:rPr>
            <w:rStyle w:val="TextoNormalCaracter"/>
          </w:rPr>
          <w:t>34/2015</w:t>
        </w:r>
      </w:hyperlink>
      <w:r w:rsidRPr="00BB71B4">
        <w:rPr>
          <w:rStyle w:val="TextoNormalCaracter"/>
        </w:rPr>
        <w:t>, f. 5.</w:t>
      </w:r>
    </w:p>
    <w:p w:rsidR="00BB71B4" w:rsidRPr="00BB71B4" w:rsidRDefault="00BB71B4" w:rsidP="00BB71B4">
      <w:pPr>
        <w:pStyle w:val="TextoNormalSangraFrancesa"/>
        <w:rPr>
          <w:rStyle w:val="TextoNormalCaracter"/>
        </w:rPr>
      </w:pPr>
      <w:bookmarkStart w:id="1248" w:name="DESCRIPTORALFABETICO117"/>
      <w:r w:rsidRPr="00BB71B4">
        <w:rPr>
          <w:rStyle w:val="TextoNormalNegritaCaracter"/>
        </w:rPr>
        <w:t>Derecho a la integridad física y moral</w:t>
      </w:r>
      <w:bookmarkEnd w:id="1248"/>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VP I, VP II.</w:t>
      </w:r>
    </w:p>
    <w:p w:rsidR="00BB71B4" w:rsidRPr="00BB71B4" w:rsidRDefault="00BB71B4" w:rsidP="00BB71B4">
      <w:pPr>
        <w:pStyle w:val="TextoNormalSangraFrancesa"/>
        <w:rPr>
          <w:rStyle w:val="TextoNormalCaracter"/>
        </w:rPr>
      </w:pPr>
      <w:bookmarkStart w:id="1249" w:name="DESCRIPTORALFABETICO118"/>
      <w:r w:rsidRPr="00BB71B4">
        <w:rPr>
          <w:rStyle w:val="TextoNormalNegritaCaracter"/>
        </w:rPr>
        <w:t>Derecho a la intimidad</w:t>
      </w:r>
      <w:bookmarkEnd w:id="1249"/>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Alcance, </w:t>
      </w:r>
      <w:r w:rsidRPr="00BB71B4">
        <w:rPr>
          <w:rStyle w:val="TextoNormalCaracter"/>
        </w:rPr>
        <w:t xml:space="preserve">Sentencia </w:t>
      </w:r>
      <w:hyperlink w:anchor="SENTENCIA_2015_18" w:history="1">
        <w:r w:rsidRPr="00BB71B4">
          <w:rPr>
            <w:rStyle w:val="TextoNormalCaracter"/>
          </w:rPr>
          <w:t>18/2015</w:t>
        </w:r>
      </w:hyperlink>
      <w:r w:rsidRPr="00BB71B4">
        <w:rPr>
          <w:rStyle w:val="TextoNormalCaracter"/>
        </w:rPr>
        <w:t>, f. 5.</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 </w:t>
      </w:r>
      <w:hyperlink w:anchor="SENTENCIA_2015_18" w:history="1">
        <w:r w:rsidRPr="00BB71B4">
          <w:rPr>
            <w:rStyle w:val="TextoNormalCaracter"/>
          </w:rPr>
          <w:t>18/2015</w:t>
        </w:r>
      </w:hyperlink>
      <w:r w:rsidRPr="00BB71B4">
        <w:rPr>
          <w:rStyle w:val="TextoNormalCaracter"/>
        </w:rPr>
        <w:t>, f. 5.</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18" w:history="1">
        <w:r w:rsidRPr="00BB71B4">
          <w:rPr>
            <w:rStyle w:val="TextoNormalCaracter"/>
          </w:rPr>
          <w:t>18/2015</w:t>
        </w:r>
      </w:hyperlink>
      <w:r w:rsidRPr="00BB71B4">
        <w:rPr>
          <w:rStyle w:val="TextoNormalCaracter"/>
        </w:rPr>
        <w:t>, f. 7.</w:t>
      </w:r>
    </w:p>
    <w:p w:rsidR="00BB71B4" w:rsidRPr="00BB71B4" w:rsidRDefault="00BB71B4" w:rsidP="00BB71B4">
      <w:pPr>
        <w:pStyle w:val="TextoNormalSangraFrancesa"/>
        <w:rPr>
          <w:rStyle w:val="TextoNormalCaracter"/>
        </w:rPr>
      </w:pPr>
      <w:bookmarkStart w:id="1250" w:name="DESCRIPTORALFABETICO120"/>
      <w:r w:rsidRPr="00BB71B4">
        <w:rPr>
          <w:rStyle w:val="TextoNormalNegritaCaracter"/>
        </w:rPr>
        <w:t>Derecho a la inviolabilidad del domicilio</w:t>
      </w:r>
      <w:bookmarkEnd w:id="125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54" w:history="1">
        <w:r w:rsidRPr="00BB71B4">
          <w:rPr>
            <w:rStyle w:val="TextoNormalCaracter"/>
          </w:rPr>
          <w:t>54/2015</w:t>
        </w:r>
      </w:hyperlink>
      <w:r w:rsidRPr="00BB71B4">
        <w:rPr>
          <w:rStyle w:val="TextoNormalCaracter"/>
        </w:rPr>
        <w:t>, ff. 4 a 6.</w:t>
      </w:r>
    </w:p>
    <w:p w:rsidR="00BB71B4" w:rsidRPr="00BB71B4" w:rsidRDefault="00BB71B4" w:rsidP="00BB71B4">
      <w:pPr>
        <w:pStyle w:val="TextoNormalSangraFrancesa"/>
        <w:rPr>
          <w:rStyle w:val="TextoNormalCaracter"/>
        </w:rPr>
      </w:pPr>
      <w:bookmarkStart w:id="1251" w:name="DESCRIPTORALFABETICO121"/>
      <w:r w:rsidRPr="00BB71B4">
        <w:rPr>
          <w:rStyle w:val="TextoNormalNegritaCaracter"/>
        </w:rPr>
        <w:t>Derecho a la libertad personal</w:t>
      </w:r>
      <w:bookmarkEnd w:id="1251"/>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Sentencias </w:t>
      </w:r>
      <w:hyperlink w:anchor="SENTENCIA_2015_42" w:history="1">
        <w:r w:rsidRPr="00BB71B4">
          <w:rPr>
            <w:rStyle w:val="TextoNormalCaracter"/>
          </w:rPr>
          <w:t>42/2015</w:t>
        </w:r>
      </w:hyperlink>
      <w:r w:rsidRPr="00BB71B4">
        <w:rPr>
          <w:rStyle w:val="TextoNormalCaracter"/>
        </w:rPr>
        <w:t xml:space="preserve">, ff. 3, 5; </w:t>
      </w:r>
      <w:hyperlink w:anchor="SENTENCIA_2015_63" w:history="1">
        <w:r w:rsidRPr="00BB71B4">
          <w:rPr>
            <w:rStyle w:val="TextoNormalCaracter"/>
          </w:rPr>
          <w:t>63/2015</w:t>
        </w:r>
      </w:hyperlink>
      <w:r w:rsidRPr="00BB71B4">
        <w:rPr>
          <w:rStyle w:val="TextoNormalCaracter"/>
        </w:rPr>
        <w:t>, f. 5.</w:t>
      </w:r>
    </w:p>
    <w:p w:rsidR="00BB71B4" w:rsidRPr="00BB71B4" w:rsidRDefault="00BB71B4" w:rsidP="00BB71B4">
      <w:pPr>
        <w:pStyle w:val="TextoNormalSangraFrancesa"/>
        <w:rPr>
          <w:rStyle w:val="TextoNormalCaracter"/>
        </w:rPr>
      </w:pPr>
      <w:bookmarkStart w:id="1252" w:name="DESCRIPTORALFABETICO128"/>
      <w:r w:rsidRPr="00BB71B4">
        <w:rPr>
          <w:rStyle w:val="TextoNormalNegritaCaracter"/>
        </w:rPr>
        <w:t>Derecho a la negociación colectiva</w:t>
      </w:r>
      <w:bookmarkEnd w:id="1252"/>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ff. 2 apartados a), d) y e), 3 c), 4 a), 5 b), 6 apartados b) y c), 10 a), VP; </w:t>
      </w:r>
      <w:hyperlink w:anchor="SENTENCIA_2015_104" w:history="1">
        <w:r w:rsidRPr="00BB71B4">
          <w:rPr>
            <w:rStyle w:val="TextoNormalCaracter"/>
          </w:rPr>
          <w:t>104/2015</w:t>
        </w:r>
      </w:hyperlink>
      <w:r w:rsidRPr="00BB71B4">
        <w:rPr>
          <w:rStyle w:val="TextoNormalCaracter"/>
        </w:rPr>
        <w:t xml:space="preserve">, ff. 12, 13 , VP; </w:t>
      </w:r>
      <w:hyperlink w:anchor="SENTENCIA_2015_140" w:history="1">
        <w:r w:rsidRPr="00BB71B4">
          <w:rPr>
            <w:rStyle w:val="TextoNormalCaracter"/>
          </w:rPr>
          <w:t>140/2015</w:t>
        </w:r>
      </w:hyperlink>
      <w:r w:rsidRPr="00BB71B4">
        <w:rPr>
          <w:rStyle w:val="TextoNormalCaracter"/>
        </w:rPr>
        <w:t>, f. 2 c).</w:t>
      </w:r>
    </w:p>
    <w:p w:rsidR="00BB71B4" w:rsidRPr="00BB71B4" w:rsidRDefault="00BB71B4" w:rsidP="00BB71B4">
      <w:pPr>
        <w:pStyle w:val="TextoNormalSangraFrancesa"/>
        <w:rPr>
          <w:rStyle w:val="TextoNormalCaracter"/>
        </w:rPr>
      </w:pPr>
      <w:bookmarkStart w:id="1253" w:name="DESCRIPTORALFABETICO130"/>
      <w:r w:rsidRPr="00BB71B4">
        <w:rPr>
          <w:rStyle w:val="TextoNormalNegritaCaracter"/>
        </w:rPr>
        <w:t>Derecho a la negociación colectiva en la función pública</w:t>
      </w:r>
      <w:bookmarkEnd w:id="1253"/>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ff. 12, 13, VP.</w:t>
      </w:r>
    </w:p>
    <w:p w:rsidR="00BB71B4" w:rsidRPr="00BB71B4" w:rsidRDefault="00BB71B4" w:rsidP="00BB71B4">
      <w:pPr>
        <w:pStyle w:val="TextoNormalSangraFrancesa"/>
        <w:rPr>
          <w:rStyle w:val="TextoNormalCaracter"/>
        </w:rPr>
      </w:pPr>
      <w:bookmarkStart w:id="1254" w:name="DESCRIPTORALFABETICO133"/>
      <w:r w:rsidRPr="00BB71B4">
        <w:rPr>
          <w:rStyle w:val="TextoNormalNegritaCaracter"/>
        </w:rPr>
        <w:t>Derecho a la participación en los asuntos públicos</w:t>
      </w:r>
      <w:bookmarkEnd w:id="1254"/>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3; </w:t>
      </w:r>
      <w:hyperlink w:anchor="SENTENCIA_2015_23" w:history="1">
        <w:r w:rsidRPr="00BB71B4">
          <w:rPr>
            <w:rStyle w:val="TextoNormalCaracter"/>
          </w:rPr>
          <w:t>23/2015</w:t>
        </w:r>
      </w:hyperlink>
      <w:r w:rsidRPr="00BB71B4">
        <w:rPr>
          <w:rStyle w:val="TextoNormalCaracter"/>
        </w:rPr>
        <w:t xml:space="preserve">, f. 3; </w:t>
      </w:r>
      <w:hyperlink w:anchor="SENTENCIA_2015_31" w:history="1">
        <w:r w:rsidRPr="00BB71B4">
          <w:rPr>
            <w:rStyle w:val="TextoNormalCaracter"/>
          </w:rPr>
          <w:t>31/2015</w:t>
        </w:r>
      </w:hyperlink>
      <w:r w:rsidRPr="00BB71B4">
        <w:rPr>
          <w:rStyle w:val="TextoNormalCaracter"/>
        </w:rPr>
        <w:t xml:space="preserve">, ff. 7, 8;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Sentencias </w:t>
      </w:r>
      <w:hyperlink w:anchor="SENTENCIA_2015_19" w:history="1">
        <w:r w:rsidRPr="00BB71B4">
          <w:rPr>
            <w:rStyle w:val="TextoNormalCaracter"/>
          </w:rPr>
          <w:t>19/2015</w:t>
        </w:r>
      </w:hyperlink>
      <w:r w:rsidRPr="00BB71B4">
        <w:rPr>
          <w:rStyle w:val="TextoNormalCaracter"/>
        </w:rPr>
        <w:t xml:space="preserve">, f. 2; </w:t>
      </w:r>
      <w:hyperlink w:anchor="SENTENCIA_2015_32" w:history="1">
        <w:r w:rsidRPr="00BB71B4">
          <w:rPr>
            <w:rStyle w:val="TextoNormalCaracter"/>
          </w:rPr>
          <w:t>32/2015</w:t>
        </w:r>
      </w:hyperlink>
      <w:r w:rsidRPr="00BB71B4">
        <w:rPr>
          <w:rStyle w:val="TextoNormalCaracter"/>
        </w:rPr>
        <w:t xml:space="preserve">, ff. 3, 4; </w:t>
      </w:r>
      <w:hyperlink w:anchor="SENTENCIA_2015_137" w:history="1">
        <w:r w:rsidRPr="00BB71B4">
          <w:rPr>
            <w:rStyle w:val="TextoNormalCaracter"/>
          </w:rPr>
          <w:t>137/2015</w:t>
        </w:r>
      </w:hyperlink>
      <w:r w:rsidRPr="00BB71B4">
        <w:rPr>
          <w:rStyle w:val="TextoNormalCaracter"/>
        </w:rPr>
        <w:t>, ff. 4 a 6.</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19" w:history="1">
        <w:r w:rsidRPr="00BB71B4">
          <w:rPr>
            <w:rStyle w:val="TextoNormalCaracter"/>
          </w:rPr>
          <w:t>19/2015</w:t>
        </w:r>
      </w:hyperlink>
      <w:r w:rsidRPr="00BB71B4">
        <w:rPr>
          <w:rStyle w:val="TextoNormalCaracter"/>
        </w:rPr>
        <w:t>, ff. 2 a 6.</w:t>
      </w:r>
    </w:p>
    <w:p w:rsidR="00BB71B4" w:rsidRPr="00BB71B4" w:rsidRDefault="00BB71B4" w:rsidP="00BB71B4">
      <w:pPr>
        <w:pStyle w:val="TextoNormalSangraFrancesa"/>
        <w:rPr>
          <w:rStyle w:val="TextoNormalCaracter"/>
        </w:rPr>
      </w:pPr>
      <w:bookmarkStart w:id="1255" w:name="DESCRIPTORALFABETICO619"/>
      <w:r w:rsidRPr="00BB71B4">
        <w:rPr>
          <w:rStyle w:val="TextoNormalNegritaCaracter"/>
        </w:rPr>
        <w:t>Derecho a la prestación por desempleo</w:t>
      </w:r>
      <w:bookmarkEnd w:id="1255"/>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 6.</w:t>
      </w:r>
    </w:p>
    <w:p w:rsidR="00BB71B4" w:rsidRPr="00BB71B4" w:rsidRDefault="00BB71B4" w:rsidP="00BB71B4">
      <w:pPr>
        <w:pStyle w:val="TextoNormalSangraFrancesa"/>
        <w:rPr>
          <w:rStyle w:val="TextoNormalCaracter"/>
        </w:rPr>
      </w:pPr>
      <w:bookmarkStart w:id="1256" w:name="DESCRIPTORALFABETICO140"/>
      <w:r w:rsidRPr="00BB71B4">
        <w:rPr>
          <w:rStyle w:val="TextoNormalNegritaCaracter"/>
        </w:rPr>
        <w:t>Derecho a la presunción de inocencia</w:t>
      </w:r>
      <w:bookmarkEnd w:id="1256"/>
      <w:r w:rsidRPr="00BB71B4">
        <w:rPr>
          <w:rStyle w:val="TextoNormalCaracter"/>
        </w:rPr>
        <w:t xml:space="preserve">, Sentencias </w:t>
      </w:r>
      <w:hyperlink w:anchor="SENTENCIA_2015_2" w:history="1">
        <w:r w:rsidRPr="00BB71B4">
          <w:rPr>
            <w:rStyle w:val="TextoNormalCaracter"/>
          </w:rPr>
          <w:t>2/2015</w:t>
        </w:r>
      </w:hyperlink>
      <w:r w:rsidRPr="00BB71B4">
        <w:rPr>
          <w:rStyle w:val="TextoNormalCaracter"/>
        </w:rPr>
        <w:t xml:space="preserve">, f. 4; </w:t>
      </w:r>
      <w:hyperlink w:anchor="SENTENCIA_2015_3" w:history="1">
        <w:r w:rsidRPr="00BB71B4">
          <w:rPr>
            <w:rStyle w:val="TextoNormalCaracter"/>
          </w:rPr>
          <w:t>3/2015</w:t>
        </w:r>
      </w:hyperlink>
      <w:r w:rsidRPr="00BB71B4">
        <w:rPr>
          <w:rStyle w:val="TextoNormalCaracter"/>
        </w:rPr>
        <w:t xml:space="preserve">, f. 3; </w:t>
      </w:r>
      <w:hyperlink w:anchor="SENTENCIA_2015_33" w:history="1">
        <w:r w:rsidRPr="00BB71B4">
          <w:rPr>
            <w:rStyle w:val="TextoNormalCaracter"/>
          </w:rPr>
          <w:t>33/2015</w:t>
        </w:r>
      </w:hyperlink>
      <w:r w:rsidRPr="00BB71B4">
        <w:rPr>
          <w:rStyle w:val="TextoNormalCaracter"/>
        </w:rPr>
        <w:t xml:space="preserve">, ff. 4 a 6; </w:t>
      </w:r>
      <w:hyperlink w:anchor="SENTENCIA_2015_54" w:history="1">
        <w:r w:rsidRPr="00BB71B4">
          <w:rPr>
            <w:rStyle w:val="TextoNormalCaracter"/>
          </w:rPr>
          <w:t>54/2015</w:t>
        </w:r>
      </w:hyperlink>
      <w:r w:rsidRPr="00BB71B4">
        <w:rPr>
          <w:rStyle w:val="TextoNormalCaracter"/>
        </w:rPr>
        <w:t>, ff. 7, 9.</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Sentencias </w:t>
      </w:r>
      <w:hyperlink w:anchor="SENTENCIA_2015_2" w:history="1">
        <w:r w:rsidRPr="00BB71B4">
          <w:rPr>
            <w:rStyle w:val="TextoNormalCaracter"/>
          </w:rPr>
          <w:t>2/2015</w:t>
        </w:r>
      </w:hyperlink>
      <w:r w:rsidRPr="00BB71B4">
        <w:rPr>
          <w:rStyle w:val="TextoNormalCaracter"/>
        </w:rPr>
        <w:t xml:space="preserve">, ff. 5, 6; </w:t>
      </w:r>
      <w:hyperlink w:anchor="SENTENCIA_2015_33" w:history="1">
        <w:r w:rsidRPr="00BB71B4">
          <w:rPr>
            <w:rStyle w:val="TextoNormalCaracter"/>
          </w:rPr>
          <w:t>33/2015</w:t>
        </w:r>
      </w:hyperlink>
      <w:r w:rsidRPr="00BB71B4">
        <w:rPr>
          <w:rStyle w:val="TextoNormalCaracter"/>
        </w:rPr>
        <w:t xml:space="preserve">, f. 6; </w:t>
      </w:r>
      <w:hyperlink w:anchor="SENTENCIA_2015_55" w:history="1">
        <w:r w:rsidRPr="00BB71B4">
          <w:rPr>
            <w:rStyle w:val="TextoNormalCaracter"/>
          </w:rPr>
          <w:t>55/2015</w:t>
        </w:r>
      </w:hyperlink>
      <w:r w:rsidRPr="00BB71B4">
        <w:rPr>
          <w:rStyle w:val="TextoNormalCaracter"/>
        </w:rPr>
        <w:t xml:space="preserve">, ff. 2, 4, 5; </w:t>
      </w:r>
      <w:hyperlink w:anchor="SENTENCIA_2015_112" w:history="1">
        <w:r w:rsidRPr="00BB71B4">
          <w:rPr>
            <w:rStyle w:val="TextoNormalCaracter"/>
          </w:rPr>
          <w:t>112/2015</w:t>
        </w:r>
      </w:hyperlink>
      <w:r w:rsidRPr="00BB71B4">
        <w:rPr>
          <w:rStyle w:val="TextoNormalCaracter"/>
        </w:rPr>
        <w:t>, ff. 5, 7.</w:t>
      </w:r>
    </w:p>
    <w:p w:rsidR="00BB71B4" w:rsidRPr="00BB71B4" w:rsidRDefault="00BB71B4" w:rsidP="00BB71B4">
      <w:pPr>
        <w:pStyle w:val="TextoNormalSangraFrancesa"/>
        <w:rPr>
          <w:rStyle w:val="TextoNormalCaracter"/>
        </w:rPr>
      </w:pPr>
      <w:bookmarkStart w:id="1257" w:name="DESCRIPTORALFABETICO142"/>
      <w:r w:rsidRPr="00BB71B4">
        <w:rPr>
          <w:rStyle w:val="TextoNormalNegritaCaracter"/>
        </w:rPr>
        <w:t>Derecho a la propia imagen</w:t>
      </w:r>
      <w:bookmarkEnd w:id="1257"/>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 </w:t>
      </w:r>
      <w:hyperlink w:anchor="SENTENCIA_2015_18" w:history="1">
        <w:r w:rsidRPr="00BB71B4">
          <w:rPr>
            <w:rStyle w:val="TextoNormalCaracter"/>
          </w:rPr>
          <w:t>18/2015</w:t>
        </w:r>
      </w:hyperlink>
      <w:r w:rsidRPr="00BB71B4">
        <w:rPr>
          <w:rStyle w:val="TextoNormalCaracter"/>
        </w:rPr>
        <w:t>, f. 4.</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18" w:history="1">
        <w:r w:rsidRPr="00BB71B4">
          <w:rPr>
            <w:rStyle w:val="TextoNormalCaracter"/>
          </w:rPr>
          <w:t>18/2015</w:t>
        </w:r>
      </w:hyperlink>
      <w:r w:rsidRPr="00BB71B4">
        <w:rPr>
          <w:rStyle w:val="TextoNormalCaracter"/>
        </w:rPr>
        <w:t>, f. 6.</w:t>
      </w:r>
    </w:p>
    <w:p w:rsidR="00BB71B4" w:rsidRPr="00BB71B4" w:rsidRDefault="00BB71B4" w:rsidP="00BB71B4">
      <w:pPr>
        <w:pStyle w:val="TextoNormalSangraFrancesa"/>
        <w:rPr>
          <w:rStyle w:val="TextoNormalCaracter"/>
        </w:rPr>
      </w:pPr>
      <w:bookmarkStart w:id="1258" w:name="DESCRIPTORALFABETICO607"/>
      <w:r w:rsidRPr="00BB71B4">
        <w:rPr>
          <w:rStyle w:val="TextoNormalNegritaCaracter"/>
        </w:rPr>
        <w:t>Derecho a la Seguridad Social</w:t>
      </w:r>
      <w:bookmarkEnd w:id="1258"/>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 7.</w:t>
      </w:r>
    </w:p>
    <w:p w:rsidR="00BB71B4" w:rsidRPr="00BB71B4" w:rsidRDefault="00BB71B4" w:rsidP="00BB71B4">
      <w:pPr>
        <w:pStyle w:val="TextoNormalSangraFrancesa"/>
        <w:rPr>
          <w:rStyle w:val="TextoNormalCaracter"/>
        </w:rPr>
      </w:pPr>
      <w:bookmarkStart w:id="1259" w:name="DESCRIPTORALFABETICO144"/>
      <w:r w:rsidRPr="00BB71B4">
        <w:rPr>
          <w:rStyle w:val="TextoNormalNegritaCaracter"/>
        </w:rPr>
        <w:t>Derecho a la tutela judicial efectiva</w:t>
      </w:r>
      <w:bookmarkEnd w:id="1259"/>
      <w:r w:rsidRPr="00BB71B4">
        <w:rPr>
          <w:rStyle w:val="TextoNormalCaracter"/>
        </w:rPr>
        <w:t xml:space="preserve">, Sentencias </w:t>
      </w:r>
      <w:hyperlink w:anchor="SENTENCIA_2015_2" w:history="1">
        <w:r w:rsidRPr="00BB71B4">
          <w:rPr>
            <w:rStyle w:val="TextoNormalCaracter"/>
          </w:rPr>
          <w:t>2/2015</w:t>
        </w:r>
      </w:hyperlink>
      <w:r w:rsidRPr="00BB71B4">
        <w:rPr>
          <w:rStyle w:val="TextoNormalCaracter"/>
        </w:rPr>
        <w:t xml:space="preserve">, f. 8; </w:t>
      </w:r>
      <w:hyperlink w:anchor="SENTENCIA_2015_7" w:history="1">
        <w:r w:rsidRPr="00BB71B4">
          <w:rPr>
            <w:rStyle w:val="TextoNormalCaracter"/>
          </w:rPr>
          <w:t>7/2015</w:t>
        </w:r>
      </w:hyperlink>
      <w:r w:rsidRPr="00BB71B4">
        <w:rPr>
          <w:rStyle w:val="TextoNormalCaracter"/>
        </w:rPr>
        <w:t xml:space="preserve">, f. 3, VP; </w:t>
      </w:r>
      <w:hyperlink w:anchor="SENTENCIA_2015_63" w:history="1">
        <w:r w:rsidRPr="00BB71B4">
          <w:rPr>
            <w:rStyle w:val="TextoNormalCaracter"/>
          </w:rPr>
          <w:t>63/2015</w:t>
        </w:r>
      </w:hyperlink>
      <w:r w:rsidRPr="00BB71B4">
        <w:rPr>
          <w:rStyle w:val="TextoNormalCaracter"/>
        </w:rPr>
        <w:t xml:space="preserve">, f. 2; </w:t>
      </w:r>
      <w:hyperlink w:anchor="SENTENCIA_2015_99" w:history="1">
        <w:r w:rsidRPr="00BB71B4">
          <w:rPr>
            <w:rStyle w:val="TextoNormalCaracter"/>
          </w:rPr>
          <w:t>99/2015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Sentencias </w:t>
      </w:r>
      <w:hyperlink w:anchor="SENTENCIA_2015_2" w:history="1">
        <w:r w:rsidRPr="00BB71B4">
          <w:rPr>
            <w:rStyle w:val="TextoNormalCaracter"/>
          </w:rPr>
          <w:t>2/2015</w:t>
        </w:r>
      </w:hyperlink>
      <w:r w:rsidRPr="00BB71B4">
        <w:rPr>
          <w:rStyle w:val="TextoNormalCaracter"/>
        </w:rPr>
        <w:t xml:space="preserve">, f. 9; </w:t>
      </w:r>
      <w:hyperlink w:anchor="SENTENCIA_2015_8" w:history="1">
        <w:r w:rsidRPr="00BB71B4">
          <w:rPr>
            <w:rStyle w:val="TextoNormalCaracter"/>
          </w:rPr>
          <w:t>8/2015</w:t>
        </w:r>
      </w:hyperlink>
      <w:r w:rsidRPr="00BB71B4">
        <w:rPr>
          <w:rStyle w:val="TextoNormalCaracter"/>
        </w:rPr>
        <w:t xml:space="preserve">, ff. 3 c), 4 b), 5 c), 7 b); </w:t>
      </w:r>
      <w:hyperlink w:anchor="SENTENCIA_2015_16" w:history="1">
        <w:r w:rsidRPr="00BB71B4">
          <w:rPr>
            <w:rStyle w:val="TextoNormalCaracter"/>
          </w:rPr>
          <w:t>16/2015</w:t>
        </w:r>
      </w:hyperlink>
      <w:r w:rsidRPr="00BB71B4">
        <w:rPr>
          <w:rStyle w:val="TextoNormalCaracter"/>
        </w:rPr>
        <w:t xml:space="preserve">, ff. 2, 3; </w:t>
      </w:r>
      <w:hyperlink w:anchor="SENTENCIA_2015_33" w:history="1">
        <w:r w:rsidRPr="00BB71B4">
          <w:rPr>
            <w:rStyle w:val="TextoNormalCaracter"/>
          </w:rPr>
          <w:t>33/2015</w:t>
        </w:r>
      </w:hyperlink>
      <w:r w:rsidRPr="00BB71B4">
        <w:rPr>
          <w:rStyle w:val="TextoNormalCaracter"/>
        </w:rPr>
        <w:t xml:space="preserve">, f. 3; </w:t>
      </w:r>
      <w:hyperlink w:anchor="SENTENCIA_2015_34" w:history="1">
        <w:r w:rsidRPr="00BB71B4">
          <w:rPr>
            <w:rStyle w:val="TextoNormalCaracter"/>
          </w:rPr>
          <w:t>34/2015</w:t>
        </w:r>
      </w:hyperlink>
      <w:r w:rsidRPr="00BB71B4">
        <w:rPr>
          <w:rStyle w:val="TextoNormalCaracter"/>
        </w:rPr>
        <w:t xml:space="preserve">, ff. 2, 3; </w:t>
      </w:r>
      <w:hyperlink w:anchor="SENTENCIA_2015_35" w:history="1">
        <w:r w:rsidRPr="00BB71B4">
          <w:rPr>
            <w:rStyle w:val="TextoNormalCaracter"/>
          </w:rPr>
          <w:t>35/2015</w:t>
        </w:r>
      </w:hyperlink>
      <w:r w:rsidRPr="00BB71B4">
        <w:rPr>
          <w:rStyle w:val="TextoNormalCaracter"/>
        </w:rPr>
        <w:t xml:space="preserve">, ff. 2, 3; </w:t>
      </w:r>
      <w:hyperlink w:anchor="SENTENCIA_2015_36" w:history="1">
        <w:r w:rsidRPr="00BB71B4">
          <w:rPr>
            <w:rStyle w:val="TextoNormalCaracter"/>
          </w:rPr>
          <w:t>36/2015</w:t>
        </w:r>
      </w:hyperlink>
      <w:r w:rsidRPr="00BB71B4">
        <w:rPr>
          <w:rStyle w:val="TextoNormalCaracter"/>
        </w:rPr>
        <w:t xml:space="preserve">, ff. 2, 3; </w:t>
      </w:r>
      <w:hyperlink w:anchor="SENTENCIA_2015_40" w:history="1">
        <w:r w:rsidRPr="00BB71B4">
          <w:rPr>
            <w:rStyle w:val="TextoNormalCaracter"/>
          </w:rPr>
          <w:t>40/2015</w:t>
        </w:r>
      </w:hyperlink>
      <w:r w:rsidRPr="00BB71B4">
        <w:rPr>
          <w:rStyle w:val="TextoNormalCaracter"/>
        </w:rPr>
        <w:t xml:space="preserve">, ff. 2, 3; </w:t>
      </w:r>
      <w:hyperlink w:anchor="SENTENCIA_2015_51" w:history="1">
        <w:r w:rsidRPr="00BB71B4">
          <w:rPr>
            <w:rStyle w:val="TextoNormalCaracter"/>
          </w:rPr>
          <w:t>51/2015</w:t>
        </w:r>
      </w:hyperlink>
      <w:r w:rsidRPr="00BB71B4">
        <w:rPr>
          <w:rStyle w:val="TextoNormalCaracter"/>
        </w:rPr>
        <w:t xml:space="preserve">, ff. 2, 3; </w:t>
      </w:r>
      <w:hyperlink w:anchor="SENTENCIA_2015_53" w:history="1">
        <w:r w:rsidRPr="00BB71B4">
          <w:rPr>
            <w:rStyle w:val="TextoNormalCaracter"/>
          </w:rPr>
          <w:t>53/2015</w:t>
        </w:r>
      </w:hyperlink>
      <w:r w:rsidRPr="00BB71B4">
        <w:rPr>
          <w:rStyle w:val="TextoNormalCaracter"/>
        </w:rPr>
        <w:t xml:space="preserve">, ff. 2, 3; </w:t>
      </w:r>
      <w:hyperlink w:anchor="SENTENCIA_2015_55" w:history="1">
        <w:r w:rsidRPr="00BB71B4">
          <w:rPr>
            <w:rStyle w:val="TextoNormalCaracter"/>
          </w:rPr>
          <w:t>55/2015</w:t>
        </w:r>
      </w:hyperlink>
      <w:r w:rsidRPr="00BB71B4">
        <w:rPr>
          <w:rStyle w:val="TextoNormalCaracter"/>
        </w:rPr>
        <w:t xml:space="preserve">, f. 5; </w:t>
      </w:r>
      <w:hyperlink w:anchor="SENTENCIA_2015_67" w:history="1">
        <w:r w:rsidRPr="00BB71B4">
          <w:rPr>
            <w:rStyle w:val="TextoNormalCaracter"/>
          </w:rPr>
          <w:t>67/2015</w:t>
        </w:r>
      </w:hyperlink>
      <w:r w:rsidRPr="00BB71B4">
        <w:rPr>
          <w:rStyle w:val="TextoNormalCaracter"/>
        </w:rPr>
        <w:t xml:space="preserve">, ff. 2, 3; </w:t>
      </w:r>
      <w:hyperlink w:anchor="SENTENCIA_2015_68" w:history="1">
        <w:r w:rsidRPr="00BB71B4">
          <w:rPr>
            <w:rStyle w:val="TextoNormalCaracter"/>
          </w:rPr>
          <w:t>68/2015</w:t>
        </w:r>
      </w:hyperlink>
      <w:r w:rsidRPr="00BB71B4">
        <w:rPr>
          <w:rStyle w:val="TextoNormalCaracter"/>
        </w:rPr>
        <w:t xml:space="preserve">, ff. 2, 3; </w:t>
      </w:r>
      <w:hyperlink w:anchor="SENTENCIA_2015_69" w:history="1">
        <w:r w:rsidRPr="00BB71B4">
          <w:rPr>
            <w:rStyle w:val="TextoNormalCaracter"/>
          </w:rPr>
          <w:t>69/2015</w:t>
        </w:r>
      </w:hyperlink>
      <w:r w:rsidRPr="00BB71B4">
        <w:rPr>
          <w:rStyle w:val="TextoNormalCaracter"/>
        </w:rPr>
        <w:t xml:space="preserve">, ff. 2, 3; </w:t>
      </w:r>
      <w:hyperlink w:anchor="SENTENCIA_2015_70" w:history="1">
        <w:r w:rsidRPr="00BB71B4">
          <w:rPr>
            <w:rStyle w:val="TextoNormalCaracter"/>
          </w:rPr>
          <w:t>70/2015</w:t>
        </w:r>
      </w:hyperlink>
      <w:r w:rsidRPr="00BB71B4">
        <w:rPr>
          <w:rStyle w:val="TextoNormalCaracter"/>
        </w:rPr>
        <w:t xml:space="preserve">, ff. 2, 3; </w:t>
      </w:r>
      <w:hyperlink w:anchor="SENTENCIA_2015_71" w:history="1">
        <w:r w:rsidRPr="00BB71B4">
          <w:rPr>
            <w:rStyle w:val="TextoNormalCaracter"/>
          </w:rPr>
          <w:t>71/2015</w:t>
        </w:r>
      </w:hyperlink>
      <w:r w:rsidRPr="00BB71B4">
        <w:rPr>
          <w:rStyle w:val="TextoNormalCaracter"/>
        </w:rPr>
        <w:t xml:space="preserve">, f. 2; </w:t>
      </w:r>
      <w:hyperlink w:anchor="SENTENCIA_2015_72" w:history="1">
        <w:r w:rsidRPr="00BB71B4">
          <w:rPr>
            <w:rStyle w:val="TextoNormalCaracter"/>
          </w:rPr>
          <w:t>72/2015</w:t>
        </w:r>
      </w:hyperlink>
      <w:r w:rsidRPr="00BB71B4">
        <w:rPr>
          <w:rStyle w:val="TextoNormalCaracter"/>
        </w:rPr>
        <w:t xml:space="preserve">, ff. 2, 3; </w:t>
      </w:r>
      <w:hyperlink w:anchor="SENTENCIA_2015_75" w:history="1">
        <w:r w:rsidRPr="00BB71B4">
          <w:rPr>
            <w:rStyle w:val="TextoNormalCaracter"/>
          </w:rPr>
          <w:t>75/2015</w:t>
        </w:r>
      </w:hyperlink>
      <w:r w:rsidRPr="00BB71B4">
        <w:rPr>
          <w:rStyle w:val="TextoNormalCaracter"/>
        </w:rPr>
        <w:t xml:space="preserve">, f. 2; </w:t>
      </w:r>
      <w:hyperlink w:anchor="SENTENCIA_2015_76" w:history="1">
        <w:r w:rsidRPr="00BB71B4">
          <w:rPr>
            <w:rStyle w:val="TextoNormalCaracter"/>
          </w:rPr>
          <w:t>76/2015</w:t>
        </w:r>
      </w:hyperlink>
      <w:r w:rsidRPr="00BB71B4">
        <w:rPr>
          <w:rStyle w:val="TextoNormalCaracter"/>
        </w:rPr>
        <w:t xml:space="preserve">, ff. 2, 3; </w:t>
      </w:r>
      <w:hyperlink w:anchor="SENTENCIA_2015_78" w:history="1">
        <w:r w:rsidRPr="00BB71B4">
          <w:rPr>
            <w:rStyle w:val="TextoNormalCaracter"/>
          </w:rPr>
          <w:t>78/2015</w:t>
        </w:r>
      </w:hyperlink>
      <w:r w:rsidRPr="00BB71B4">
        <w:rPr>
          <w:rStyle w:val="TextoNormalCaracter"/>
        </w:rPr>
        <w:t xml:space="preserve">, f. 2; </w:t>
      </w:r>
      <w:hyperlink w:anchor="SENTENCIA_2015_80" w:history="1">
        <w:r w:rsidRPr="00BB71B4">
          <w:rPr>
            <w:rStyle w:val="TextoNormalCaracter"/>
          </w:rPr>
          <w:t>80/2015</w:t>
        </w:r>
      </w:hyperlink>
      <w:r w:rsidRPr="00BB71B4">
        <w:rPr>
          <w:rStyle w:val="TextoNormalCaracter"/>
        </w:rPr>
        <w:t xml:space="preserve">, ff. 2, 3; </w:t>
      </w:r>
      <w:hyperlink w:anchor="SENTENCIA_2015_82" w:history="1">
        <w:r w:rsidRPr="00BB71B4">
          <w:rPr>
            <w:rStyle w:val="TextoNormalCaracter"/>
          </w:rPr>
          <w:t>82/2015</w:t>
        </w:r>
      </w:hyperlink>
      <w:r w:rsidRPr="00BB71B4">
        <w:rPr>
          <w:rStyle w:val="TextoNormalCaracter"/>
        </w:rPr>
        <w:t xml:space="preserve">, ff. 2, 3; </w:t>
      </w:r>
      <w:hyperlink w:anchor="SENTENCIA_2015_99" w:history="1">
        <w:r w:rsidRPr="00BB71B4">
          <w:rPr>
            <w:rStyle w:val="TextoNormalCaracter"/>
          </w:rPr>
          <w:t>99/2015</w:t>
        </w:r>
      </w:hyperlink>
      <w:r w:rsidRPr="00BB71B4">
        <w:rPr>
          <w:rStyle w:val="TextoNormalCaracter"/>
        </w:rPr>
        <w:t xml:space="preserve">, f. 4; </w:t>
      </w:r>
      <w:hyperlink w:anchor="SENTENCIA_2015_112" w:history="1">
        <w:r w:rsidRPr="00BB71B4">
          <w:rPr>
            <w:rStyle w:val="TextoNormalCaracter"/>
          </w:rPr>
          <w:t>112/2015</w:t>
        </w:r>
      </w:hyperlink>
      <w:r w:rsidRPr="00BB71B4">
        <w:rPr>
          <w:rStyle w:val="TextoNormalCaracter"/>
        </w:rPr>
        <w:t xml:space="preserve">, ff. 6, 8; </w:t>
      </w:r>
      <w:hyperlink w:anchor="SENTENCIA_2015_140" w:history="1">
        <w:r w:rsidRPr="00BB71B4">
          <w:rPr>
            <w:rStyle w:val="TextoNormalCaracter"/>
          </w:rPr>
          <w:t>140/2015</w:t>
        </w:r>
      </w:hyperlink>
      <w:r w:rsidRPr="00BB71B4">
        <w:rPr>
          <w:rStyle w:val="TextoNormalCaracter"/>
        </w:rPr>
        <w:t xml:space="preserve">, f. 2 d); </w:t>
      </w:r>
      <w:hyperlink w:anchor="SENTENCIA_2015_145" w:history="1">
        <w:r w:rsidRPr="00BB71B4">
          <w:rPr>
            <w:rStyle w:val="TextoNormalCaracter"/>
          </w:rPr>
          <w:t>145/2015</w:t>
        </w:r>
      </w:hyperlink>
      <w:r w:rsidRPr="00BB71B4">
        <w:rPr>
          <w:rStyle w:val="TextoNormalCaracter"/>
        </w:rPr>
        <w:t>, f. 1.</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35" w:history="1">
        <w:r w:rsidRPr="00BB71B4">
          <w:rPr>
            <w:rStyle w:val="TextoNormalCaracter"/>
          </w:rPr>
          <w:t>35/2015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Sentencias </w:t>
      </w:r>
      <w:hyperlink w:anchor="SENTENCIA_2015_9" w:history="1">
        <w:r w:rsidRPr="00BB71B4">
          <w:rPr>
            <w:rStyle w:val="TextoNormalCaracter"/>
          </w:rPr>
          <w:t>9/2015</w:t>
        </w:r>
      </w:hyperlink>
      <w:r w:rsidRPr="00BB71B4">
        <w:rPr>
          <w:rStyle w:val="TextoNormalCaracter"/>
        </w:rPr>
        <w:t xml:space="preserve">, ff. 2 a 5; </w:t>
      </w:r>
      <w:hyperlink w:anchor="SENTENCIA_2015_17" w:history="1">
        <w:r w:rsidRPr="00BB71B4">
          <w:rPr>
            <w:rStyle w:val="TextoNormalCaracter"/>
          </w:rPr>
          <w:t>17/2015</w:t>
        </w:r>
      </w:hyperlink>
      <w:r w:rsidRPr="00BB71B4">
        <w:rPr>
          <w:rStyle w:val="TextoNormalCaracter"/>
        </w:rPr>
        <w:t xml:space="preserve">, f. 2; </w:t>
      </w:r>
      <w:hyperlink w:anchor="SENTENCIA_2015_20" w:history="1">
        <w:r w:rsidRPr="00BB71B4">
          <w:rPr>
            <w:rStyle w:val="TextoNormalCaracter"/>
          </w:rPr>
          <w:t>20/2015</w:t>
        </w:r>
      </w:hyperlink>
      <w:r w:rsidRPr="00BB71B4">
        <w:rPr>
          <w:rStyle w:val="TextoNormalCaracter"/>
        </w:rPr>
        <w:t xml:space="preserve">, f. 2; </w:t>
      </w:r>
      <w:hyperlink w:anchor="SENTENCIA_2015_37" w:history="1">
        <w:r w:rsidRPr="00BB71B4">
          <w:rPr>
            <w:rStyle w:val="TextoNormalCaracter"/>
          </w:rPr>
          <w:t>37/2015</w:t>
        </w:r>
      </w:hyperlink>
      <w:r w:rsidRPr="00BB71B4">
        <w:rPr>
          <w:rStyle w:val="TextoNormalCaracter"/>
        </w:rPr>
        <w:t xml:space="preserve">, f. 2; </w:t>
      </w:r>
      <w:hyperlink w:anchor="SENTENCIA_2015_38" w:history="1">
        <w:r w:rsidRPr="00BB71B4">
          <w:rPr>
            <w:rStyle w:val="TextoNormalCaracter"/>
          </w:rPr>
          <w:t>38/2015</w:t>
        </w:r>
      </w:hyperlink>
      <w:r w:rsidRPr="00BB71B4">
        <w:rPr>
          <w:rStyle w:val="TextoNormalCaracter"/>
        </w:rPr>
        <w:t xml:space="preserve">, f. 2; </w:t>
      </w:r>
      <w:hyperlink w:anchor="SENTENCIA_2015_39" w:history="1">
        <w:r w:rsidRPr="00BB71B4">
          <w:rPr>
            <w:rStyle w:val="TextoNormalCaracter"/>
          </w:rPr>
          <w:t>39/2015</w:t>
        </w:r>
      </w:hyperlink>
      <w:r w:rsidRPr="00BB71B4">
        <w:rPr>
          <w:rStyle w:val="TextoNormalCaracter"/>
        </w:rPr>
        <w:t xml:space="preserve">, ff. 4 a 6; </w:t>
      </w:r>
      <w:hyperlink w:anchor="SENTENCIA_2015_52" w:history="1">
        <w:r w:rsidRPr="00BB71B4">
          <w:rPr>
            <w:rStyle w:val="TextoNormalCaracter"/>
          </w:rPr>
          <w:t>52/2015</w:t>
        </w:r>
      </w:hyperlink>
      <w:r w:rsidRPr="00BB71B4">
        <w:rPr>
          <w:rStyle w:val="TextoNormalCaracter"/>
        </w:rPr>
        <w:t xml:space="preserve">, f. 2; </w:t>
      </w:r>
      <w:hyperlink w:anchor="SENTENCIA_2015_64" w:history="1">
        <w:r w:rsidRPr="00BB71B4">
          <w:rPr>
            <w:rStyle w:val="TextoNormalCaracter"/>
          </w:rPr>
          <w:t>64/2015</w:t>
        </w:r>
      </w:hyperlink>
      <w:r w:rsidRPr="00BB71B4">
        <w:rPr>
          <w:rStyle w:val="TextoNormalCaracter"/>
        </w:rPr>
        <w:t xml:space="preserve">, f. 2; </w:t>
      </w:r>
      <w:hyperlink w:anchor="SENTENCIA_2015_89" w:history="1">
        <w:r w:rsidRPr="00BB71B4">
          <w:rPr>
            <w:rStyle w:val="TextoNormalCaracter"/>
          </w:rPr>
          <w:t>89/2015</w:t>
        </w:r>
      </w:hyperlink>
      <w:r w:rsidRPr="00BB71B4">
        <w:rPr>
          <w:rStyle w:val="TextoNormalCaracter"/>
        </w:rPr>
        <w:t xml:space="preserve">, ff. 3, 5, 6; </w:t>
      </w:r>
      <w:hyperlink w:anchor="SENTENCIA_2015_91" w:history="1">
        <w:r w:rsidRPr="00BB71B4">
          <w:rPr>
            <w:rStyle w:val="TextoNormalCaracter"/>
          </w:rPr>
          <w:t>91/2015</w:t>
        </w:r>
      </w:hyperlink>
      <w:r w:rsidRPr="00BB71B4">
        <w:rPr>
          <w:rStyle w:val="TextoNormalCaracter"/>
        </w:rPr>
        <w:t xml:space="preserve">, ff. 1, 3; </w:t>
      </w:r>
      <w:hyperlink w:anchor="SENTENCIA_2015_96" w:history="1">
        <w:r w:rsidRPr="00BB71B4">
          <w:rPr>
            <w:rStyle w:val="TextoNormalCaracter"/>
          </w:rPr>
          <w:t>96/2015</w:t>
        </w:r>
      </w:hyperlink>
      <w:r w:rsidRPr="00BB71B4">
        <w:rPr>
          <w:rStyle w:val="TextoNormalCaracter"/>
        </w:rPr>
        <w:t xml:space="preserve">, f. 3; </w:t>
      </w:r>
      <w:hyperlink w:anchor="SENTENCIA_2015_98" w:history="1">
        <w:r w:rsidRPr="00BB71B4">
          <w:rPr>
            <w:rStyle w:val="TextoNormalCaracter"/>
          </w:rPr>
          <w:t>98/2015</w:t>
        </w:r>
      </w:hyperlink>
      <w:r w:rsidRPr="00BB71B4">
        <w:rPr>
          <w:rStyle w:val="TextoNormalCaracter"/>
        </w:rPr>
        <w:t xml:space="preserve">, f. 4; </w:t>
      </w:r>
      <w:hyperlink w:anchor="SENTENCIA_2015_101" w:history="1">
        <w:r w:rsidRPr="00BB71B4">
          <w:rPr>
            <w:rStyle w:val="TextoNormalCaracter"/>
          </w:rPr>
          <w:t>101/2015</w:t>
        </w:r>
      </w:hyperlink>
      <w:r w:rsidRPr="00BB71B4">
        <w:rPr>
          <w:rStyle w:val="TextoNormalCaracter"/>
        </w:rPr>
        <w:t xml:space="preserve">, f. 3; </w:t>
      </w:r>
      <w:hyperlink w:anchor="SENTENCIA_2015_115" w:history="1">
        <w:r w:rsidRPr="00BB71B4">
          <w:rPr>
            <w:rStyle w:val="TextoNormalCaracter"/>
          </w:rPr>
          <w:t>115/2015</w:t>
        </w:r>
      </w:hyperlink>
      <w:r w:rsidRPr="00BB71B4">
        <w:rPr>
          <w:rStyle w:val="TextoNormalCaracter"/>
        </w:rPr>
        <w:t xml:space="preserve">, f. 4; </w:t>
      </w:r>
      <w:hyperlink w:anchor="SENTENCIA_2015_139" w:history="1">
        <w:r w:rsidRPr="00BB71B4">
          <w:rPr>
            <w:rStyle w:val="TextoNormalCaracter"/>
          </w:rPr>
          <w:t>139/2015</w:t>
        </w:r>
      </w:hyperlink>
      <w:r w:rsidRPr="00BB71B4">
        <w:rPr>
          <w:rStyle w:val="TextoNormalCaracter"/>
        </w:rPr>
        <w:t xml:space="preserve">, f. 2; </w:t>
      </w:r>
      <w:hyperlink w:anchor="SENTENCIA_2015_142" w:history="1">
        <w:r w:rsidRPr="00BB71B4">
          <w:rPr>
            <w:rStyle w:val="TextoNormalCaracter"/>
          </w:rPr>
          <w:t>142/2015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260" w:name="DESCRIPTORALFABETICO165"/>
      <w:r w:rsidRPr="00BB71B4">
        <w:rPr>
          <w:rStyle w:val="TextoNormalNegritaCaracter"/>
        </w:rPr>
        <w:t>Derecho a la tutela judicial sin indefensión</w:t>
      </w:r>
      <w:bookmarkEnd w:id="126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55" w:history="1">
        <w:r w:rsidRPr="00BB71B4">
          <w:rPr>
            <w:rStyle w:val="TextoNormalCaracter"/>
          </w:rPr>
          <w:t>55/2015</w:t>
        </w:r>
      </w:hyperlink>
      <w:r w:rsidRPr="00BB71B4">
        <w:rPr>
          <w:rStyle w:val="TextoNormalCaracter"/>
        </w:rPr>
        <w:t>, f. 3.</w:t>
      </w:r>
    </w:p>
    <w:p w:rsidR="00BB71B4" w:rsidRPr="00BB71B4" w:rsidRDefault="00BB71B4" w:rsidP="00BB71B4">
      <w:pPr>
        <w:pStyle w:val="TextoNormalSangraFrancesa"/>
        <w:rPr>
          <w:rStyle w:val="TextoNormalCaracter"/>
        </w:rPr>
      </w:pPr>
      <w:bookmarkStart w:id="1261" w:name="DESCRIPTORALFABETICO167"/>
      <w:r w:rsidRPr="00BB71B4">
        <w:rPr>
          <w:rStyle w:val="TextoNormalNegritaCaracter"/>
        </w:rPr>
        <w:t>Derecho a la vida</w:t>
      </w:r>
      <w:bookmarkEnd w:id="1261"/>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145" w:history="1">
        <w:r w:rsidRPr="00BB71B4">
          <w:rPr>
            <w:rStyle w:val="TextoNormalCaracter"/>
          </w:rPr>
          <w:t>145/2015</w:t>
        </w:r>
      </w:hyperlink>
      <w:r w:rsidRPr="00BB71B4">
        <w:rPr>
          <w:rStyle w:val="TextoNormalCaracter"/>
        </w:rPr>
        <w:t>, f. 4.</w:t>
      </w:r>
    </w:p>
    <w:p w:rsidR="00BB71B4" w:rsidRPr="00BB71B4" w:rsidRDefault="00BB71B4" w:rsidP="00BB71B4">
      <w:pPr>
        <w:pStyle w:val="TextoNormalSangraFrancesa"/>
        <w:rPr>
          <w:rStyle w:val="TextoNormalCaracter"/>
        </w:rPr>
      </w:pPr>
      <w:bookmarkStart w:id="1262" w:name="DESCRIPTORALFABETICO168"/>
      <w:r w:rsidRPr="00BB71B4">
        <w:rPr>
          <w:rStyle w:val="TextoNormalNegritaCaracter"/>
        </w:rPr>
        <w:t>Derecho a la vivienda</w:t>
      </w:r>
      <w:bookmarkEnd w:id="1262"/>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 12 a 15.</w:t>
      </w:r>
    </w:p>
    <w:p w:rsidR="00BB71B4" w:rsidRPr="00BB71B4" w:rsidRDefault="00BB71B4" w:rsidP="00BB71B4">
      <w:pPr>
        <w:pStyle w:val="TextoNormalSangraFrancesa"/>
        <w:rPr>
          <w:rStyle w:val="TextoNormalCaracter"/>
        </w:rPr>
      </w:pPr>
      <w:bookmarkStart w:id="1263" w:name="DESCRIPTORALFABETICO175"/>
      <w:r w:rsidRPr="00BB71B4">
        <w:rPr>
          <w:rStyle w:val="TextoNormalNegritaCaracter"/>
        </w:rPr>
        <w:t>Derecho a no confesarse culpable</w:t>
      </w:r>
      <w:bookmarkEnd w:id="1263"/>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ff. 4, 7 a 9.</w:t>
      </w:r>
    </w:p>
    <w:p w:rsidR="00BB71B4" w:rsidRPr="00BB71B4" w:rsidRDefault="00BB71B4" w:rsidP="00BB71B4">
      <w:pPr>
        <w:pStyle w:val="TextoNormalSangraFrancesa"/>
        <w:rPr>
          <w:rStyle w:val="TextoNormalCaracter"/>
        </w:rPr>
      </w:pPr>
      <w:bookmarkStart w:id="1264" w:name="DESCRIPTORALFABETICO169"/>
      <w:r w:rsidRPr="00BB71B4">
        <w:rPr>
          <w:rStyle w:val="TextoNormalNegritaCaracter"/>
        </w:rPr>
        <w:t>Derecho a no padecer discriminación</w:t>
      </w:r>
      <w:bookmarkEnd w:id="1264"/>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ff. 2 a 6.</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 </w:t>
      </w:r>
      <w:hyperlink w:anchor="SENTENCIA_2015_77" w:history="1">
        <w:r w:rsidRPr="00BB71B4">
          <w:rPr>
            <w:rStyle w:val="TextoNormalCaracter"/>
          </w:rPr>
          <w:t>77/2015</w:t>
        </w:r>
      </w:hyperlink>
      <w:r w:rsidRPr="00BB71B4">
        <w:rPr>
          <w:rStyle w:val="TextoNormalCaracter"/>
        </w:rPr>
        <w:t>, f. 3.</w:t>
      </w:r>
    </w:p>
    <w:p w:rsidR="00BB71B4" w:rsidRPr="00BB71B4" w:rsidRDefault="00BB71B4" w:rsidP="00BB71B4">
      <w:pPr>
        <w:pStyle w:val="TextoNormalSangraFrancesa"/>
        <w:rPr>
          <w:rStyle w:val="TextoNormalCaracter"/>
        </w:rPr>
      </w:pPr>
      <w:bookmarkStart w:id="1265" w:name="DESCRIPTORALFABETICO334"/>
      <w:r w:rsidRPr="00BB71B4">
        <w:rPr>
          <w:rStyle w:val="TextoNormalNegritaCaracter"/>
        </w:rPr>
        <w:t>Derecho a presentar enmiendas</w:t>
      </w:r>
      <w:bookmarkEnd w:id="1265"/>
      <w:r w:rsidRPr="00BB71B4">
        <w:rPr>
          <w:rStyle w:val="TextoNormalCaracter"/>
        </w:rPr>
        <w:t xml:space="preserve">, Sentencia </w:t>
      </w:r>
      <w:hyperlink w:anchor="SENTENCIA_2015_59" w:history="1">
        <w:r w:rsidRPr="00BB71B4">
          <w:rPr>
            <w:rStyle w:val="TextoNormalCaracter"/>
          </w:rPr>
          <w:t>59/2015</w:t>
        </w:r>
      </w:hyperlink>
      <w:r w:rsidRPr="00BB71B4">
        <w:rPr>
          <w:rStyle w:val="TextoNormalCaracter"/>
        </w:rPr>
        <w:t>, ff. 5, 6.</w:t>
      </w:r>
    </w:p>
    <w:p w:rsidR="00BB71B4" w:rsidRPr="00BB71B4" w:rsidRDefault="00BB71B4" w:rsidP="00BB71B4">
      <w:pPr>
        <w:pStyle w:val="TextoNormalSangraFrancesa"/>
        <w:rPr>
          <w:rStyle w:val="TextoNormalCaracter"/>
        </w:rPr>
      </w:pPr>
      <w:bookmarkStart w:id="1266" w:name="DESCRIPTORALFABETICO176"/>
      <w:r w:rsidRPr="00BB71B4">
        <w:rPr>
          <w:rStyle w:val="TextoNormalNegritaCaracter"/>
        </w:rPr>
        <w:t>Derecho a un juez imparcial</w:t>
      </w:r>
      <w:bookmarkEnd w:id="1266"/>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9" w:history="1">
        <w:r w:rsidRPr="00BB71B4">
          <w:rPr>
            <w:rStyle w:val="TextoNormalCaracter"/>
          </w:rPr>
          <w:t>9/2015</w:t>
        </w:r>
      </w:hyperlink>
      <w:r w:rsidRPr="00BB71B4">
        <w:rPr>
          <w:rStyle w:val="TextoNormalCaracter"/>
        </w:rPr>
        <w:t>, ff. 2, 5.</w:t>
      </w:r>
    </w:p>
    <w:p w:rsidR="00BB71B4" w:rsidRPr="00BB71B4" w:rsidRDefault="00BB71B4" w:rsidP="00BB71B4">
      <w:pPr>
        <w:pStyle w:val="TextoNormalSangraFrancesa"/>
        <w:rPr>
          <w:rStyle w:val="TextoNormalCaracter"/>
        </w:rPr>
      </w:pPr>
      <w:bookmarkStart w:id="1267" w:name="DESCRIPTORALFABETICO174"/>
      <w:r w:rsidRPr="00BB71B4">
        <w:rPr>
          <w:rStyle w:val="TextoNormalNegritaCaracter"/>
        </w:rPr>
        <w:t>Derecho a un proceso con todas las garantías</w:t>
      </w:r>
      <w:bookmarkEnd w:id="1267"/>
      <w:r w:rsidRPr="00BB71B4">
        <w:rPr>
          <w:rStyle w:val="TextoNormalCaracter"/>
        </w:rPr>
        <w:t xml:space="preserve">, Sentencia </w:t>
      </w:r>
      <w:hyperlink w:anchor="SENTENCIA_2015_33" w:history="1">
        <w:r w:rsidRPr="00BB71B4">
          <w:rPr>
            <w:rStyle w:val="TextoNormalCaracter"/>
          </w:rPr>
          <w:t>33/2015</w:t>
        </w:r>
      </w:hyperlink>
      <w:r w:rsidRPr="00BB71B4">
        <w:rPr>
          <w:rStyle w:val="TextoNormalCaracter"/>
        </w:rPr>
        <w:t>, ff. 4 a 6.</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Sentencias </w:t>
      </w:r>
      <w:hyperlink w:anchor="SENTENCIA_2015_33" w:history="1">
        <w:r w:rsidRPr="00BB71B4">
          <w:rPr>
            <w:rStyle w:val="TextoNormalCaracter"/>
          </w:rPr>
          <w:t>33/2015</w:t>
        </w:r>
      </w:hyperlink>
      <w:r w:rsidRPr="00BB71B4">
        <w:rPr>
          <w:rStyle w:val="TextoNormalCaracter"/>
        </w:rPr>
        <w:t xml:space="preserve">, f. 6; </w:t>
      </w:r>
      <w:hyperlink w:anchor="SENTENCIA_2015_99" w:history="1">
        <w:r w:rsidRPr="00BB71B4">
          <w:rPr>
            <w:rStyle w:val="TextoNormalCaracter"/>
          </w:rPr>
          <w:t>99/2015</w:t>
        </w:r>
      </w:hyperlink>
      <w:r w:rsidRPr="00BB71B4">
        <w:rPr>
          <w:rStyle w:val="TextoNormalCaracter"/>
        </w:rPr>
        <w:t>, f. 5.</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54" w:history="1">
        <w:r w:rsidRPr="00BB71B4">
          <w:rPr>
            <w:rStyle w:val="TextoNormalCaracter"/>
          </w:rPr>
          <w:t>54/2015</w:t>
        </w:r>
      </w:hyperlink>
      <w:r w:rsidRPr="00BB71B4">
        <w:rPr>
          <w:rStyle w:val="TextoNormalCaracter"/>
        </w:rPr>
        <w:t>, ff. 7 a 9.</w:t>
      </w:r>
    </w:p>
    <w:p w:rsidR="00BB71B4" w:rsidRPr="00BB71B4" w:rsidRDefault="00BB71B4" w:rsidP="00BB71B4">
      <w:pPr>
        <w:pStyle w:val="TextoNormalSangraFrancesa"/>
        <w:rPr>
          <w:rStyle w:val="TextoNormalCaracter"/>
        </w:rPr>
      </w:pPr>
      <w:bookmarkStart w:id="1268" w:name="DESCRIPTORALFABETICO177"/>
      <w:r w:rsidRPr="00BB71B4">
        <w:rPr>
          <w:rStyle w:val="TextoNormalNegritaCaracter"/>
        </w:rPr>
        <w:t>Derecho a un proceso sin dilaciones indebidas</w:t>
      </w:r>
      <w:bookmarkEnd w:id="1268"/>
      <w:r w:rsidRPr="00BB71B4">
        <w:rPr>
          <w:rStyle w:val="TextoNormalCaracter"/>
        </w:rPr>
        <w:t xml:space="preserve">, Sentencias </w:t>
      </w:r>
      <w:hyperlink w:anchor="SENTENCIA_2015_74" w:history="1">
        <w:r w:rsidRPr="00BB71B4">
          <w:rPr>
            <w:rStyle w:val="TextoNormalCaracter"/>
          </w:rPr>
          <w:t>74/2015</w:t>
        </w:r>
      </w:hyperlink>
      <w:r w:rsidRPr="00BB71B4">
        <w:rPr>
          <w:rStyle w:val="TextoNormalCaracter"/>
        </w:rPr>
        <w:t xml:space="preserve">, ff. 2 a 6; </w:t>
      </w:r>
      <w:hyperlink w:anchor="SENTENCIA_2015_87" w:history="1">
        <w:r w:rsidRPr="00BB71B4">
          <w:rPr>
            <w:rStyle w:val="TextoNormalCaracter"/>
          </w:rPr>
          <w:t>87/2015</w:t>
        </w:r>
      </w:hyperlink>
      <w:r w:rsidRPr="00BB71B4">
        <w:rPr>
          <w:rStyle w:val="TextoNormalCaracter"/>
        </w:rPr>
        <w:t xml:space="preserve">, ff. 1, 2, 4, 5; </w:t>
      </w:r>
      <w:hyperlink w:anchor="SENTENCIA_2015_88" w:history="1">
        <w:r w:rsidRPr="00BB71B4">
          <w:rPr>
            <w:rStyle w:val="TextoNormalCaracter"/>
          </w:rPr>
          <w:t>88/2015</w:t>
        </w:r>
      </w:hyperlink>
      <w:r w:rsidRPr="00BB71B4">
        <w:rPr>
          <w:rStyle w:val="TextoNormalCaracter"/>
        </w:rPr>
        <w:t>, ff. 1, 3, 4.</w:t>
      </w:r>
    </w:p>
    <w:p w:rsidR="00BB71B4" w:rsidRPr="00BB71B4" w:rsidRDefault="00BB71B4" w:rsidP="00BB71B4">
      <w:pPr>
        <w:pStyle w:val="TextoNormalSangraFrancesa"/>
        <w:rPr>
          <w:rStyle w:val="TextoNormalCaracter"/>
        </w:rPr>
      </w:pPr>
      <w:bookmarkStart w:id="1269" w:name="DESCRIPTORALFABETICO188"/>
      <w:r w:rsidRPr="00BB71B4">
        <w:rPr>
          <w:rStyle w:val="TextoNormalNegritaCaracter"/>
        </w:rPr>
        <w:t>Derecho al honor</w:t>
      </w:r>
      <w:bookmarkEnd w:id="1269"/>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65" w:history="1">
        <w:r w:rsidRPr="00BB71B4">
          <w:rPr>
            <w:rStyle w:val="TextoNormalCaracter"/>
          </w:rPr>
          <w:t>65/2015</w:t>
        </w:r>
      </w:hyperlink>
      <w:r w:rsidRPr="00BB71B4">
        <w:rPr>
          <w:rStyle w:val="TextoNormalCaracter"/>
        </w:rPr>
        <w:t>, ff. 1 a 3, 4 c), 5, VP I, VP II.</w:t>
      </w:r>
    </w:p>
    <w:p w:rsidR="00BB71B4" w:rsidRPr="00BB71B4" w:rsidRDefault="00BB71B4" w:rsidP="00BB71B4">
      <w:pPr>
        <w:pStyle w:val="TextoNormalSangraFrancesa"/>
        <w:rPr>
          <w:rStyle w:val="TextoNormalCaracter"/>
        </w:rPr>
      </w:pPr>
      <w:bookmarkStart w:id="1270" w:name="DESCRIPTORALFABETICO184"/>
      <w:r w:rsidRPr="00BB71B4">
        <w:rPr>
          <w:rStyle w:val="TextoNormalNegritaCaracter"/>
        </w:rPr>
        <w:t>Derecho al juez predeterminado por la ley</w:t>
      </w:r>
      <w:bookmarkEnd w:id="127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99" w:history="1">
        <w:r w:rsidRPr="00BB71B4">
          <w:rPr>
            <w:rStyle w:val="TextoNormalCaracter"/>
          </w:rPr>
          <w:t>99/2015</w:t>
        </w:r>
      </w:hyperlink>
      <w:r w:rsidRPr="00BB71B4">
        <w:rPr>
          <w:rStyle w:val="TextoNormalCaracter"/>
        </w:rPr>
        <w:t>, f. 5.</w:t>
      </w:r>
    </w:p>
    <w:p w:rsidR="00BB71B4" w:rsidRPr="00BB71B4" w:rsidRDefault="00BB71B4" w:rsidP="00BB71B4">
      <w:pPr>
        <w:pStyle w:val="TextoNormalSangraFrancesa"/>
        <w:rPr>
          <w:rStyle w:val="TextoNormalCaracter"/>
        </w:rPr>
      </w:pPr>
      <w:bookmarkStart w:id="1271" w:name="DESCRIPTORALFABETICO149"/>
      <w:r w:rsidRPr="00BB71B4">
        <w:rPr>
          <w:rStyle w:val="TextoNormalNegritaCaracter"/>
        </w:rPr>
        <w:t>Derecho al recurso penal</w:t>
      </w:r>
      <w:bookmarkEnd w:id="1271"/>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55" w:history="1">
        <w:r w:rsidRPr="00BB71B4">
          <w:rPr>
            <w:rStyle w:val="TextoNormalCaracter"/>
          </w:rPr>
          <w:t>55/2015</w:t>
        </w:r>
      </w:hyperlink>
      <w:r w:rsidRPr="00BB71B4">
        <w:rPr>
          <w:rStyle w:val="TextoNormalCaracter"/>
        </w:rPr>
        <w:t>, f. 4 b).</w:t>
      </w:r>
    </w:p>
    <w:p w:rsidR="00BB71B4" w:rsidRPr="00BB71B4" w:rsidRDefault="00BB71B4" w:rsidP="00BB71B4">
      <w:pPr>
        <w:pStyle w:val="TextoNormalSangraFrancesa"/>
        <w:rPr>
          <w:rStyle w:val="TextoNormalCaracter"/>
        </w:rPr>
      </w:pPr>
      <w:bookmarkStart w:id="1272" w:name="DESCRIPTORALFABETICO190"/>
      <w:r w:rsidRPr="00BB71B4">
        <w:rPr>
          <w:rStyle w:val="TextoNormalNegritaCaracter"/>
        </w:rPr>
        <w:t>Derecho al trabajo</w:t>
      </w:r>
      <w:bookmarkEnd w:id="1272"/>
      <w:r w:rsidRPr="00BB71B4">
        <w:rPr>
          <w:rStyle w:val="TextoNormalCaracter"/>
        </w:rPr>
        <w:t xml:space="preserve">, Sentencias </w:t>
      </w:r>
      <w:hyperlink w:anchor="SENTENCIA_2015_104" w:history="1">
        <w:r w:rsidRPr="00BB71B4">
          <w:rPr>
            <w:rStyle w:val="TextoNormalCaracter"/>
          </w:rPr>
          <w:t>104/2015</w:t>
        </w:r>
      </w:hyperlink>
      <w:r w:rsidRPr="00BB71B4">
        <w:rPr>
          <w:rStyle w:val="TextoNormalCaracter"/>
        </w:rPr>
        <w:t xml:space="preserve">, f. 8; </w:t>
      </w:r>
      <w:hyperlink w:anchor="SENTENCIA_2015_140" w:history="1">
        <w:r w:rsidRPr="00BB71B4">
          <w:rPr>
            <w:rStyle w:val="TextoNormalCaracter"/>
          </w:rPr>
          <w:t>140/2015</w:t>
        </w:r>
      </w:hyperlink>
      <w:r w:rsidRPr="00BB71B4">
        <w:rPr>
          <w:rStyle w:val="TextoNormalCaracter"/>
        </w:rPr>
        <w:t>, f. 2 b), VP.</w:t>
      </w:r>
    </w:p>
    <w:p w:rsidR="00BB71B4" w:rsidRPr="00BB71B4" w:rsidRDefault="00BB71B4" w:rsidP="00BB71B4">
      <w:pPr>
        <w:pStyle w:val="TextoNormalSangraFrancesa"/>
        <w:rPr>
          <w:rStyle w:val="TextoNormalCaracter"/>
        </w:rPr>
      </w:pPr>
      <w:r w:rsidRPr="00BB71B4">
        <w:rPr>
          <w:rStyle w:val="TextoNormalCursivaCaracter"/>
        </w:rPr>
        <w:t xml:space="preserve">    Contenido, </w:t>
      </w:r>
      <w:r w:rsidRPr="00BB71B4">
        <w:rPr>
          <w:rStyle w:val="TextoNormalCaracter"/>
        </w:rPr>
        <w:t xml:space="preserve">Sentencia </w:t>
      </w:r>
      <w:hyperlink w:anchor="SENTENCIA_2015_8" w:history="1">
        <w:r w:rsidRPr="00BB71B4">
          <w:rPr>
            <w:rStyle w:val="TextoNormalCaracter"/>
          </w:rPr>
          <w:t>8/2015</w:t>
        </w:r>
      </w:hyperlink>
      <w:r w:rsidRPr="00BB71B4">
        <w:rPr>
          <w:rStyle w:val="TextoNormalCaracter"/>
        </w:rPr>
        <w:t>, ff. 3 b), 7 a), 8 b), VP.</w:t>
      </w:r>
    </w:p>
    <w:p w:rsidR="00BB71B4" w:rsidRPr="00BB71B4" w:rsidRDefault="00BB71B4" w:rsidP="00BB71B4">
      <w:pPr>
        <w:pStyle w:val="TextoNormalSangraFrancesa"/>
        <w:rPr>
          <w:rStyle w:val="TextoNormalCaracter"/>
        </w:rPr>
      </w:pPr>
      <w:r w:rsidRPr="00BB71B4">
        <w:rPr>
          <w:rStyle w:val="TextoNormalCursivaCaracter"/>
        </w:rPr>
        <w:t xml:space="preserve">    Límites, </w:t>
      </w:r>
      <w:r w:rsidRPr="00BB71B4">
        <w:rPr>
          <w:rStyle w:val="TextoNormalCaracter"/>
        </w:rPr>
        <w:t xml:space="preserve">Sentencia </w:t>
      </w:r>
      <w:hyperlink w:anchor="SENTENCIA_2015_8" w:history="1">
        <w:r w:rsidRPr="00BB71B4">
          <w:rPr>
            <w:rStyle w:val="TextoNormalCaracter"/>
          </w:rPr>
          <w:t>8/2015</w:t>
        </w:r>
      </w:hyperlink>
      <w:r w:rsidRPr="00BB71B4">
        <w:rPr>
          <w:rStyle w:val="TextoNormalCaracter"/>
        </w:rPr>
        <w:t>, f. 10 a).</w:t>
      </w:r>
    </w:p>
    <w:p w:rsidR="00BB71B4" w:rsidRPr="00BB71B4" w:rsidRDefault="00BB71B4" w:rsidP="00BB71B4">
      <w:pPr>
        <w:pStyle w:val="TextoNormalSangraFrancesa"/>
        <w:rPr>
          <w:rStyle w:val="TextoNormalCaracter"/>
        </w:rPr>
      </w:pPr>
      <w:bookmarkStart w:id="1273" w:name="DESCRIPTORALFABETICO147"/>
      <w:r w:rsidRPr="00BB71B4">
        <w:rPr>
          <w:rStyle w:val="TextoNormalNegritaCaracter"/>
        </w:rPr>
        <w:t>Derecho de acceso a la jurisdicción</w:t>
      </w:r>
      <w:bookmarkEnd w:id="1273"/>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Sentencias </w:t>
      </w:r>
      <w:hyperlink w:anchor="SENTENCIA_2015_8" w:history="1">
        <w:r w:rsidRPr="00BB71B4">
          <w:rPr>
            <w:rStyle w:val="TextoNormalCaracter"/>
          </w:rPr>
          <w:t>8/2015</w:t>
        </w:r>
      </w:hyperlink>
      <w:r w:rsidRPr="00BB71B4">
        <w:rPr>
          <w:rStyle w:val="TextoNormalCaracter"/>
        </w:rPr>
        <w:t xml:space="preserve">, f. 3 c); </w:t>
      </w:r>
      <w:hyperlink w:anchor="SENTENCIA_2015_140" w:history="1">
        <w:r w:rsidRPr="00BB71B4">
          <w:rPr>
            <w:rStyle w:val="TextoNormalCaracter"/>
          </w:rPr>
          <w:t>140/2015</w:t>
        </w:r>
      </w:hyperlink>
      <w:r w:rsidRPr="00BB71B4">
        <w:rPr>
          <w:rStyle w:val="TextoNormalCaracter"/>
        </w:rPr>
        <w:t>, f. 2 d).</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Sentencias </w:t>
      </w:r>
      <w:hyperlink w:anchor="SENTENCIA_2015_39" w:history="1">
        <w:r w:rsidRPr="00BB71B4">
          <w:rPr>
            <w:rStyle w:val="TextoNormalCaracter"/>
          </w:rPr>
          <w:t>39/2015</w:t>
        </w:r>
      </w:hyperlink>
      <w:r w:rsidRPr="00BB71B4">
        <w:rPr>
          <w:rStyle w:val="TextoNormalCaracter"/>
        </w:rPr>
        <w:t xml:space="preserve">, ff. 4 a 6; </w:t>
      </w:r>
      <w:hyperlink w:anchor="SENTENCIA_2015_115" w:history="1">
        <w:r w:rsidRPr="00BB71B4">
          <w:rPr>
            <w:rStyle w:val="TextoNormalCaracter"/>
          </w:rPr>
          <w:t>115/2015</w:t>
        </w:r>
      </w:hyperlink>
      <w:r w:rsidRPr="00BB71B4">
        <w:rPr>
          <w:rStyle w:val="TextoNormalCaracter"/>
        </w:rPr>
        <w:t>, f. 4.</w:t>
      </w:r>
    </w:p>
    <w:p w:rsidR="00BB71B4" w:rsidRPr="00BB71B4" w:rsidRDefault="00BB71B4" w:rsidP="00BB71B4">
      <w:pPr>
        <w:pStyle w:val="TextoNormalSangraFrancesa"/>
        <w:rPr>
          <w:rStyle w:val="TextoNormalCaracter"/>
        </w:rPr>
      </w:pPr>
      <w:bookmarkStart w:id="1274" w:name="DESCRIPTORALFABETICO148"/>
      <w:r w:rsidRPr="00BB71B4">
        <w:rPr>
          <w:rStyle w:val="TextoNormalNegritaCaracter"/>
        </w:rPr>
        <w:t>Derecho de acceso al recurso legal</w:t>
      </w:r>
      <w:bookmarkEnd w:id="1274"/>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Sentencias </w:t>
      </w:r>
      <w:hyperlink w:anchor="SENTENCIA_2015_7" w:history="1">
        <w:r w:rsidRPr="00BB71B4">
          <w:rPr>
            <w:rStyle w:val="TextoNormalCaracter"/>
          </w:rPr>
          <w:t>7/2015</w:t>
        </w:r>
      </w:hyperlink>
      <w:r w:rsidRPr="00BB71B4">
        <w:rPr>
          <w:rStyle w:val="TextoNormalCaracter"/>
        </w:rPr>
        <w:t xml:space="preserve">, f. 2, VP; </w:t>
      </w:r>
      <w:hyperlink w:anchor="SENTENCIA_2015_17" w:history="1">
        <w:r w:rsidRPr="00BB71B4">
          <w:rPr>
            <w:rStyle w:val="TextoNormalCaracter"/>
          </w:rPr>
          <w:t>17/2015</w:t>
        </w:r>
      </w:hyperlink>
      <w:r w:rsidRPr="00BB71B4">
        <w:rPr>
          <w:rStyle w:val="TextoNormalCaracter"/>
        </w:rPr>
        <w:t xml:space="preserve">, f. 2; </w:t>
      </w:r>
      <w:hyperlink w:anchor="SENTENCIA_2015_20" w:history="1">
        <w:r w:rsidRPr="00BB71B4">
          <w:rPr>
            <w:rStyle w:val="TextoNormalCaracter"/>
          </w:rPr>
          <w:t>20/2015</w:t>
        </w:r>
      </w:hyperlink>
      <w:r w:rsidRPr="00BB71B4">
        <w:rPr>
          <w:rStyle w:val="TextoNormalCaracter"/>
        </w:rPr>
        <w:t xml:space="preserve">, f. 2; </w:t>
      </w:r>
      <w:hyperlink w:anchor="SENTENCIA_2015_37" w:history="1">
        <w:r w:rsidRPr="00BB71B4">
          <w:rPr>
            <w:rStyle w:val="TextoNormalCaracter"/>
          </w:rPr>
          <w:t>37/2015</w:t>
        </w:r>
      </w:hyperlink>
      <w:r w:rsidRPr="00BB71B4">
        <w:rPr>
          <w:rStyle w:val="TextoNormalCaracter"/>
        </w:rPr>
        <w:t xml:space="preserve">, f. 2; </w:t>
      </w:r>
      <w:hyperlink w:anchor="SENTENCIA_2015_38" w:history="1">
        <w:r w:rsidRPr="00BB71B4">
          <w:rPr>
            <w:rStyle w:val="TextoNormalCaracter"/>
          </w:rPr>
          <w:t>38/2015</w:t>
        </w:r>
      </w:hyperlink>
      <w:r w:rsidRPr="00BB71B4">
        <w:rPr>
          <w:rStyle w:val="TextoNormalCaracter"/>
        </w:rPr>
        <w:t xml:space="preserve">, f. 2; </w:t>
      </w:r>
      <w:hyperlink w:anchor="SENTENCIA_2015_52" w:history="1">
        <w:r w:rsidRPr="00BB71B4">
          <w:rPr>
            <w:rStyle w:val="TextoNormalCaracter"/>
          </w:rPr>
          <w:t>52/2015</w:t>
        </w:r>
      </w:hyperlink>
      <w:r w:rsidRPr="00BB71B4">
        <w:rPr>
          <w:rStyle w:val="TextoNormalCaracter"/>
        </w:rPr>
        <w:t xml:space="preserve">, f. 2; </w:t>
      </w:r>
      <w:hyperlink w:anchor="SENTENCIA_2015_64" w:history="1">
        <w:r w:rsidRPr="00BB71B4">
          <w:rPr>
            <w:rStyle w:val="TextoNormalCaracter"/>
          </w:rPr>
          <w:t>64/2015</w:t>
        </w:r>
      </w:hyperlink>
      <w:r w:rsidRPr="00BB71B4">
        <w:rPr>
          <w:rStyle w:val="TextoNormalCaracter"/>
        </w:rPr>
        <w:t xml:space="preserve">, f. 2; </w:t>
      </w:r>
      <w:hyperlink w:anchor="SENTENCIA_2015_90" w:history="1">
        <w:r w:rsidRPr="00BB71B4">
          <w:rPr>
            <w:rStyle w:val="TextoNormalCaracter"/>
          </w:rPr>
          <w:t>90/2015</w:t>
        </w:r>
      </w:hyperlink>
      <w:r w:rsidRPr="00BB71B4">
        <w:rPr>
          <w:rStyle w:val="TextoNormalCaracter"/>
        </w:rPr>
        <w:t xml:space="preserve">, f. 4; </w:t>
      </w:r>
      <w:hyperlink w:anchor="SENTENCIA_2015_96" w:history="1">
        <w:r w:rsidRPr="00BB71B4">
          <w:rPr>
            <w:rStyle w:val="TextoNormalCaracter"/>
          </w:rPr>
          <w:t>96/2015</w:t>
        </w:r>
      </w:hyperlink>
      <w:r w:rsidRPr="00BB71B4">
        <w:rPr>
          <w:rStyle w:val="TextoNormalCaracter"/>
        </w:rPr>
        <w:t xml:space="preserve">, ff. 2, 3; </w:t>
      </w:r>
      <w:hyperlink w:anchor="SENTENCIA_2015_124" w:history="1">
        <w:r w:rsidRPr="00BB71B4">
          <w:rPr>
            <w:rStyle w:val="TextoNormalCaracter"/>
          </w:rPr>
          <w:t>124/2015</w:t>
        </w:r>
      </w:hyperlink>
      <w:r w:rsidRPr="00BB71B4">
        <w:rPr>
          <w:rStyle w:val="TextoNormalCaracter"/>
        </w:rPr>
        <w:t xml:space="preserve">, ff. 4, 5; </w:t>
      </w:r>
      <w:hyperlink w:anchor="SENTENCIA_2015_139" w:history="1">
        <w:r w:rsidRPr="00BB71B4">
          <w:rPr>
            <w:rStyle w:val="TextoNormalCaracter"/>
          </w:rPr>
          <w:t>139/2015</w:t>
        </w:r>
      </w:hyperlink>
      <w:r w:rsidRPr="00BB71B4">
        <w:rPr>
          <w:rStyle w:val="TextoNormalCaracter"/>
        </w:rPr>
        <w:t>, f. 2.</w:t>
      </w:r>
    </w:p>
    <w:p w:rsidR="00BB71B4" w:rsidRPr="00BB71B4" w:rsidRDefault="00BB71B4" w:rsidP="00BB71B4">
      <w:pPr>
        <w:pStyle w:val="TextoNormalSangraFrancesa"/>
        <w:rPr>
          <w:rStyle w:val="TextoNormalCaracter"/>
        </w:rPr>
      </w:pPr>
      <w:bookmarkStart w:id="1275" w:name="DESCRIPTORALFABETICO519"/>
      <w:r w:rsidRPr="00BB71B4">
        <w:rPr>
          <w:rStyle w:val="TextoNormalNegritaCaracter"/>
        </w:rPr>
        <w:t>Derecho de la Unión Europea</w:t>
      </w:r>
      <w:bookmarkEnd w:id="1275"/>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276" w:name="DESCRIPTORALFABETICO454"/>
      <w:r w:rsidRPr="00BB71B4">
        <w:rPr>
          <w:rStyle w:val="TextoNormalNegritaCaracter"/>
        </w:rPr>
        <w:t>Derecho de propiedad</w:t>
      </w:r>
      <w:bookmarkEnd w:id="1276"/>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ff. 4, 5; </w:t>
      </w:r>
      <w:hyperlink w:anchor="SENTENCIA_2015_56" w:history="1">
        <w:r w:rsidRPr="00BB71B4">
          <w:rPr>
            <w:rStyle w:val="TextoNormalCaracter"/>
          </w:rPr>
          <w:t>56/2015</w:t>
        </w:r>
      </w:hyperlink>
      <w:r w:rsidRPr="00BB71B4">
        <w:rPr>
          <w:rStyle w:val="TextoNormalCaracter"/>
        </w:rPr>
        <w:t xml:space="preserve">, f. 3; </w:t>
      </w:r>
      <w:hyperlink w:anchor="SENTENCIA_2015_93" w:history="1">
        <w:r w:rsidRPr="00BB71B4">
          <w:rPr>
            <w:rStyle w:val="TextoNormalCaracter"/>
          </w:rPr>
          <w:t>93/2015</w:t>
        </w:r>
      </w:hyperlink>
      <w:r w:rsidRPr="00BB71B4">
        <w:rPr>
          <w:rStyle w:val="TextoNormalCaracter"/>
        </w:rPr>
        <w:t>, ff. 12 a 15.</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8" w:history="1">
        <w:r w:rsidRPr="00BB71B4">
          <w:rPr>
            <w:rStyle w:val="TextoNormalCaracter"/>
          </w:rPr>
          <w:t>8/2015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Sentencias </w:t>
      </w:r>
      <w:hyperlink w:anchor="SENTENCIA_2015_49" w:history="1">
        <w:r w:rsidRPr="00BB71B4">
          <w:rPr>
            <w:rStyle w:val="TextoNormalCaracter"/>
          </w:rPr>
          <w:t>49/2015</w:t>
        </w:r>
      </w:hyperlink>
      <w:r w:rsidRPr="00BB71B4">
        <w:rPr>
          <w:rStyle w:val="TextoNormalCaracter"/>
        </w:rPr>
        <w:t xml:space="preserve">, ff. 4 a 6; </w:t>
      </w:r>
      <w:hyperlink w:anchor="SENTENCIA_2015_118" w:history="1">
        <w:r w:rsidRPr="00BB71B4">
          <w:rPr>
            <w:rStyle w:val="TextoNormalCaracter"/>
          </w:rPr>
          <w:t>118/2015</w:t>
        </w:r>
      </w:hyperlink>
      <w:r w:rsidRPr="00BB71B4">
        <w:rPr>
          <w:rStyle w:val="TextoNormalCaracter"/>
        </w:rPr>
        <w:t xml:space="preserve">, f. 2; </w:t>
      </w:r>
      <w:hyperlink w:anchor="SENTENCIA_2015_121" w:history="1">
        <w:r w:rsidRPr="00BB71B4">
          <w:rPr>
            <w:rStyle w:val="TextoNormalCaracter"/>
          </w:rPr>
          <w:t>121/2015</w:t>
        </w:r>
      </w:hyperlink>
      <w:r w:rsidRPr="00BB71B4">
        <w:rPr>
          <w:rStyle w:val="TextoNormalCaracter"/>
        </w:rPr>
        <w:t xml:space="preserve">, f. 2; </w:t>
      </w:r>
      <w:hyperlink w:anchor="SENTENCIA_2015_122" w:history="1">
        <w:r w:rsidRPr="00BB71B4">
          <w:rPr>
            <w:rStyle w:val="TextoNormalCaracter"/>
          </w:rPr>
          <w:t>122/2015</w:t>
        </w:r>
      </w:hyperlink>
      <w:r w:rsidRPr="00BB71B4">
        <w:rPr>
          <w:rStyle w:val="TextoNormalCaracter"/>
        </w:rPr>
        <w:t xml:space="preserve">, f. 2; </w:t>
      </w:r>
      <w:hyperlink w:anchor="SENTENCIA_2015_123" w:history="1">
        <w:r w:rsidRPr="00BB71B4">
          <w:rPr>
            <w:rStyle w:val="TextoNormalCaracter"/>
          </w:rPr>
          <w:t>123/2015</w:t>
        </w:r>
      </w:hyperlink>
      <w:r w:rsidRPr="00BB71B4">
        <w:rPr>
          <w:rStyle w:val="TextoNormalCaracter"/>
        </w:rPr>
        <w:t xml:space="preserve">, f. 2; </w:t>
      </w:r>
      <w:hyperlink w:anchor="SENTENCIA_2015_128" w:history="1">
        <w:r w:rsidRPr="00BB71B4">
          <w:rPr>
            <w:rStyle w:val="TextoNormalCaracter"/>
          </w:rPr>
          <w:t>128/2015</w:t>
        </w:r>
      </w:hyperlink>
      <w:r w:rsidRPr="00BB71B4">
        <w:rPr>
          <w:rStyle w:val="TextoNormalCaracter"/>
        </w:rPr>
        <w:t xml:space="preserve">, f. 2; </w:t>
      </w:r>
      <w:hyperlink w:anchor="SENTENCIA_2015_130" w:history="1">
        <w:r w:rsidRPr="00BB71B4">
          <w:rPr>
            <w:rStyle w:val="TextoNormalCaracter"/>
          </w:rPr>
          <w:t>130/2015</w:t>
        </w:r>
      </w:hyperlink>
      <w:r w:rsidRPr="00BB71B4">
        <w:rPr>
          <w:rStyle w:val="TextoNormalCaracter"/>
        </w:rPr>
        <w:t xml:space="preserve">, f. 2; </w:t>
      </w:r>
      <w:hyperlink w:anchor="SENTENCIA_2015_132" w:history="1">
        <w:r w:rsidRPr="00BB71B4">
          <w:rPr>
            <w:rStyle w:val="TextoNormalCaracter"/>
          </w:rPr>
          <w:t>132/2015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277" w:name="DESCRIPTORALFABETICO191"/>
      <w:r w:rsidRPr="00BB71B4">
        <w:rPr>
          <w:rStyle w:val="TextoNormalNegritaCaracter"/>
        </w:rPr>
        <w:t>Derecho de reunión y de manifestación</w:t>
      </w:r>
      <w:bookmarkEnd w:id="1277"/>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24" w:history="1">
        <w:r w:rsidRPr="00BB71B4">
          <w:rPr>
            <w:rStyle w:val="TextoNormalCaracter"/>
          </w:rPr>
          <w:t>24/2015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278" w:name="DESCRIPTORALFABETICO587"/>
      <w:r w:rsidRPr="00BB71B4">
        <w:rPr>
          <w:rStyle w:val="TextoNormalNegritaCaracter"/>
        </w:rPr>
        <w:t>Derechos consolidados</w:t>
      </w:r>
      <w:bookmarkEnd w:id="1278"/>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4 a 6, VP; </w:t>
      </w:r>
      <w:hyperlink w:anchor="SENTENCIA_2015_95" w:history="1">
        <w:r w:rsidRPr="00BB71B4">
          <w:rPr>
            <w:rStyle w:val="TextoNormalCaracter"/>
          </w:rPr>
          <w:t>95/2015</w:t>
        </w:r>
      </w:hyperlink>
      <w:r w:rsidRPr="00BB71B4">
        <w:rPr>
          <w:rStyle w:val="TextoNormalCaracter"/>
        </w:rPr>
        <w:t xml:space="preserve">, f. 6; </w:t>
      </w:r>
      <w:hyperlink w:anchor="SENTENCIA_2015_109" w:history="1">
        <w:r w:rsidRPr="00BB71B4">
          <w:rPr>
            <w:rStyle w:val="TextoNormalCaracter"/>
          </w:rPr>
          <w:t>109/2015</w:t>
        </w:r>
      </w:hyperlink>
      <w:r w:rsidRPr="00BB71B4">
        <w:rPr>
          <w:rStyle w:val="TextoNormalCaracter"/>
        </w:rPr>
        <w:t xml:space="preserve">, f. 2; </w:t>
      </w:r>
      <w:hyperlink w:anchor="SENTENCIA_2015_116" w:history="1">
        <w:r w:rsidRPr="00BB71B4">
          <w:rPr>
            <w:rStyle w:val="TextoNormalCaracter"/>
          </w:rPr>
          <w:t>116/2015</w:t>
        </w:r>
      </w:hyperlink>
      <w:r w:rsidRPr="00BB71B4">
        <w:rPr>
          <w:rStyle w:val="TextoNormalCaracter"/>
        </w:rPr>
        <w:t xml:space="preserve">, f. 2; </w:t>
      </w:r>
      <w:hyperlink w:anchor="SENTENCIA_2015_117" w:history="1">
        <w:r w:rsidRPr="00BB71B4">
          <w:rPr>
            <w:rStyle w:val="TextoNormalCaracter"/>
          </w:rPr>
          <w:t>117/2015</w:t>
        </w:r>
      </w:hyperlink>
      <w:r w:rsidRPr="00BB71B4">
        <w:rPr>
          <w:rStyle w:val="TextoNormalCaracter"/>
        </w:rPr>
        <w:t xml:space="preserve">, f. 3; </w:t>
      </w:r>
      <w:hyperlink w:anchor="SENTENCIA_2015_118" w:history="1">
        <w:r w:rsidRPr="00BB71B4">
          <w:rPr>
            <w:rStyle w:val="TextoNormalCaracter"/>
          </w:rPr>
          <w:t>118/2015</w:t>
        </w:r>
      </w:hyperlink>
      <w:r w:rsidRPr="00BB71B4">
        <w:rPr>
          <w:rStyle w:val="TextoNormalCaracter"/>
        </w:rPr>
        <w:t xml:space="preserve">, f. 3; </w:t>
      </w:r>
      <w:hyperlink w:anchor="SENTENCIA_2015_119" w:history="1">
        <w:r w:rsidRPr="00BB71B4">
          <w:rPr>
            <w:rStyle w:val="TextoNormalCaracter"/>
          </w:rPr>
          <w:t>119/2015</w:t>
        </w:r>
      </w:hyperlink>
      <w:r w:rsidRPr="00BB71B4">
        <w:rPr>
          <w:rStyle w:val="TextoNormalCaracter"/>
        </w:rPr>
        <w:t xml:space="preserve">, f. 2; </w:t>
      </w:r>
      <w:hyperlink w:anchor="SENTENCIA_2015_120" w:history="1">
        <w:r w:rsidRPr="00BB71B4">
          <w:rPr>
            <w:rStyle w:val="TextoNormalCaracter"/>
          </w:rPr>
          <w:t>120/2015</w:t>
        </w:r>
      </w:hyperlink>
      <w:r w:rsidRPr="00BB71B4">
        <w:rPr>
          <w:rStyle w:val="TextoNormalCaracter"/>
        </w:rPr>
        <w:t xml:space="preserve">, f. 2; </w:t>
      </w:r>
      <w:hyperlink w:anchor="SENTENCIA_2015_121" w:history="1">
        <w:r w:rsidRPr="00BB71B4">
          <w:rPr>
            <w:rStyle w:val="TextoNormalCaracter"/>
          </w:rPr>
          <w:t>121/2015</w:t>
        </w:r>
      </w:hyperlink>
      <w:r w:rsidRPr="00BB71B4">
        <w:rPr>
          <w:rStyle w:val="TextoNormalCaracter"/>
        </w:rPr>
        <w:t xml:space="preserve">, f. 2; </w:t>
      </w:r>
      <w:hyperlink w:anchor="SENTENCIA_2015_122" w:history="1">
        <w:r w:rsidRPr="00BB71B4">
          <w:rPr>
            <w:rStyle w:val="TextoNormalCaracter"/>
          </w:rPr>
          <w:t>122/2015</w:t>
        </w:r>
      </w:hyperlink>
      <w:r w:rsidRPr="00BB71B4">
        <w:rPr>
          <w:rStyle w:val="TextoNormalCaracter"/>
        </w:rPr>
        <w:t xml:space="preserve">, f. 2; </w:t>
      </w:r>
      <w:hyperlink w:anchor="SENTENCIA_2015_123" w:history="1">
        <w:r w:rsidRPr="00BB71B4">
          <w:rPr>
            <w:rStyle w:val="TextoNormalCaracter"/>
          </w:rPr>
          <w:t>123/2015</w:t>
        </w:r>
      </w:hyperlink>
      <w:r w:rsidRPr="00BB71B4">
        <w:rPr>
          <w:rStyle w:val="TextoNormalCaracter"/>
        </w:rPr>
        <w:t xml:space="preserve">, f. 2; </w:t>
      </w:r>
      <w:hyperlink w:anchor="SENTENCIA_2015_125" w:history="1">
        <w:r w:rsidRPr="00BB71B4">
          <w:rPr>
            <w:rStyle w:val="TextoNormalCaracter"/>
          </w:rPr>
          <w:t>125/2015</w:t>
        </w:r>
      </w:hyperlink>
      <w:r w:rsidRPr="00BB71B4">
        <w:rPr>
          <w:rStyle w:val="TextoNormalCaracter"/>
        </w:rPr>
        <w:t xml:space="preserve">, f. 2; </w:t>
      </w:r>
      <w:hyperlink w:anchor="SENTENCIA_2015_126" w:history="1">
        <w:r w:rsidRPr="00BB71B4">
          <w:rPr>
            <w:rStyle w:val="TextoNormalCaracter"/>
          </w:rPr>
          <w:t>126/2015</w:t>
        </w:r>
      </w:hyperlink>
      <w:r w:rsidRPr="00BB71B4">
        <w:rPr>
          <w:rStyle w:val="TextoNormalCaracter"/>
        </w:rPr>
        <w:t xml:space="preserve">, f. 2; </w:t>
      </w:r>
      <w:hyperlink w:anchor="SENTENCIA_2015_127" w:history="1">
        <w:r w:rsidRPr="00BB71B4">
          <w:rPr>
            <w:rStyle w:val="TextoNormalCaracter"/>
          </w:rPr>
          <w:t>127/2015</w:t>
        </w:r>
      </w:hyperlink>
      <w:r w:rsidRPr="00BB71B4">
        <w:rPr>
          <w:rStyle w:val="TextoNormalCaracter"/>
        </w:rPr>
        <w:t xml:space="preserve">, f. 2; </w:t>
      </w:r>
      <w:hyperlink w:anchor="SENTENCIA_2015_128" w:history="1">
        <w:r w:rsidRPr="00BB71B4">
          <w:rPr>
            <w:rStyle w:val="TextoNormalCaracter"/>
          </w:rPr>
          <w:t>128/2015</w:t>
        </w:r>
      </w:hyperlink>
      <w:r w:rsidRPr="00BB71B4">
        <w:rPr>
          <w:rStyle w:val="TextoNormalCaracter"/>
        </w:rPr>
        <w:t xml:space="preserve">, f. 2; </w:t>
      </w:r>
      <w:hyperlink w:anchor="SENTENCIA_2015_129" w:history="1">
        <w:r w:rsidRPr="00BB71B4">
          <w:rPr>
            <w:rStyle w:val="TextoNormalCaracter"/>
          </w:rPr>
          <w:t>129/2015</w:t>
        </w:r>
      </w:hyperlink>
      <w:r w:rsidRPr="00BB71B4">
        <w:rPr>
          <w:rStyle w:val="TextoNormalCaracter"/>
        </w:rPr>
        <w:t xml:space="preserve">, f. 2; </w:t>
      </w:r>
      <w:hyperlink w:anchor="SENTENCIA_2015_130" w:history="1">
        <w:r w:rsidRPr="00BB71B4">
          <w:rPr>
            <w:rStyle w:val="TextoNormalCaracter"/>
          </w:rPr>
          <w:t>130/2015</w:t>
        </w:r>
      </w:hyperlink>
      <w:r w:rsidRPr="00BB71B4">
        <w:rPr>
          <w:rStyle w:val="TextoNormalCaracter"/>
        </w:rPr>
        <w:t xml:space="preserve">, f. 2; </w:t>
      </w:r>
      <w:hyperlink w:anchor="SENTENCIA_2015_131" w:history="1">
        <w:r w:rsidRPr="00BB71B4">
          <w:rPr>
            <w:rStyle w:val="TextoNormalCaracter"/>
          </w:rPr>
          <w:t>131/2015</w:t>
        </w:r>
      </w:hyperlink>
      <w:r w:rsidRPr="00BB71B4">
        <w:rPr>
          <w:rStyle w:val="TextoNormalCaracter"/>
        </w:rPr>
        <w:t xml:space="preserve">, f. 2; </w:t>
      </w:r>
      <w:hyperlink w:anchor="SENTENCIA_2015_132" w:history="1">
        <w:r w:rsidRPr="00BB71B4">
          <w:rPr>
            <w:rStyle w:val="TextoNormalCaracter"/>
          </w:rPr>
          <w:t>132/2015</w:t>
        </w:r>
      </w:hyperlink>
      <w:r w:rsidRPr="00BB71B4">
        <w:rPr>
          <w:rStyle w:val="TextoNormalCaracter"/>
        </w:rPr>
        <w:t xml:space="preserve">, f. 2; </w:t>
      </w:r>
      <w:hyperlink w:anchor="SENTENCIA_2015_133" w:history="1">
        <w:r w:rsidRPr="00BB71B4">
          <w:rPr>
            <w:rStyle w:val="TextoNormalCaracter"/>
          </w:rPr>
          <w:t>133/2015</w:t>
        </w:r>
      </w:hyperlink>
      <w:r w:rsidRPr="00BB71B4">
        <w:rPr>
          <w:rStyle w:val="TextoNormalCaracter"/>
        </w:rPr>
        <w:t xml:space="preserve">, f. 2; </w:t>
      </w:r>
      <w:hyperlink w:anchor="SENTENCIA_2015_134" w:history="1">
        <w:r w:rsidRPr="00BB71B4">
          <w:rPr>
            <w:rStyle w:val="TextoNormalCaracter"/>
          </w:rPr>
          <w:t>134/2015</w:t>
        </w:r>
      </w:hyperlink>
      <w:r w:rsidRPr="00BB71B4">
        <w:rPr>
          <w:rStyle w:val="TextoNormalCaracter"/>
        </w:rPr>
        <w:t xml:space="preserve">, f. 2; </w:t>
      </w:r>
      <w:hyperlink w:anchor="SENTENCIA_2015_135" w:history="1">
        <w:r w:rsidRPr="00BB71B4">
          <w:rPr>
            <w:rStyle w:val="TextoNormalCaracter"/>
          </w:rPr>
          <w:t>135/2015</w:t>
        </w:r>
      </w:hyperlink>
      <w:r w:rsidRPr="00BB71B4">
        <w:rPr>
          <w:rStyle w:val="TextoNormalCaracter"/>
        </w:rPr>
        <w:t xml:space="preserve">, f. 2; </w:t>
      </w:r>
      <w:hyperlink w:anchor="SENTENCIA_2015_144" w:history="1">
        <w:r w:rsidRPr="00BB71B4">
          <w:rPr>
            <w:rStyle w:val="TextoNormalCaracter"/>
          </w:rPr>
          <w:t>144/2015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279" w:name="DESCRIPTORALFABETICO196"/>
      <w:r w:rsidRPr="00BB71B4">
        <w:rPr>
          <w:rStyle w:val="TextoNormalNegritaCaracter"/>
        </w:rPr>
        <w:t>Derechos de la mujer</w:t>
      </w:r>
      <w:bookmarkEnd w:id="1279"/>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 5, VPI, VP III.</w:t>
      </w:r>
    </w:p>
    <w:p w:rsidR="00BB71B4" w:rsidRPr="00BB71B4" w:rsidRDefault="00BB71B4" w:rsidP="00BB71B4">
      <w:pPr>
        <w:pStyle w:val="TextoNormalSangraFrancesa"/>
        <w:rPr>
          <w:rStyle w:val="TextoNormalCaracter"/>
        </w:rPr>
      </w:pPr>
      <w:bookmarkStart w:id="1280" w:name="DESCRIPTORALFABETICO418"/>
      <w:r w:rsidRPr="00BB71B4">
        <w:rPr>
          <w:rStyle w:val="TextoNormalNegritaCaracter"/>
        </w:rPr>
        <w:t>Derechos y deberes</w:t>
      </w:r>
      <w:bookmarkEnd w:id="1280"/>
      <w:r w:rsidRPr="00BB71B4">
        <w:rPr>
          <w:rStyle w:val="TextoNormalCaracter"/>
        </w:rPr>
        <w:t xml:space="preserve">, Sentencias </w:t>
      </w:r>
      <w:hyperlink w:anchor="SENTENCIA_2015_94" w:history="1">
        <w:r w:rsidRPr="00BB71B4">
          <w:rPr>
            <w:rStyle w:val="TextoNormalCaracter"/>
          </w:rPr>
          <w:t>94/2015</w:t>
        </w:r>
      </w:hyperlink>
      <w:r w:rsidRPr="00BB71B4">
        <w:rPr>
          <w:rStyle w:val="TextoNormalCaracter"/>
        </w:rPr>
        <w:t xml:space="preserve">, ff. 3 a 5; </w:t>
      </w:r>
      <w:hyperlink w:anchor="SENTENCIA_2015_143" w:history="1">
        <w:r w:rsidRPr="00BB71B4">
          <w:rPr>
            <w:rStyle w:val="TextoNormalCaracter"/>
          </w:rPr>
          <w:t>143/2015</w:t>
        </w:r>
      </w:hyperlink>
      <w:r w:rsidRPr="00BB71B4">
        <w:rPr>
          <w:rStyle w:val="TextoNormalCaracter"/>
        </w:rPr>
        <w:t>, ff. 3, 4.</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37" w:history="1">
        <w:r w:rsidRPr="00BB71B4">
          <w:rPr>
            <w:rStyle w:val="TextoNormalCaracter"/>
          </w:rPr>
          <w:t>37/2015</w:t>
        </w:r>
      </w:hyperlink>
      <w:r w:rsidRPr="00BB71B4">
        <w:rPr>
          <w:rStyle w:val="TextoNormalCaracter"/>
        </w:rPr>
        <w:t>, f. 2.</w:t>
      </w:r>
    </w:p>
    <w:p w:rsidR="00BB71B4" w:rsidRPr="00BB71B4" w:rsidRDefault="00BB71B4" w:rsidP="00BB71B4">
      <w:pPr>
        <w:pStyle w:val="TextoNormalSangraFrancesa"/>
        <w:rPr>
          <w:rStyle w:val="TextoNormalCaracter"/>
        </w:rPr>
      </w:pPr>
      <w:bookmarkStart w:id="1281" w:name="DESCRIPTORALFABETICO545"/>
      <w:r w:rsidRPr="00BB71B4">
        <w:rPr>
          <w:rStyle w:val="TextoNormalNegritaCaracter"/>
        </w:rPr>
        <w:t>Desarrollo reglamentario de normas básicas</w:t>
      </w:r>
      <w:bookmarkEnd w:id="1281"/>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 4.</w:t>
      </w:r>
    </w:p>
    <w:p w:rsidR="00BB71B4" w:rsidRPr="00BB71B4" w:rsidRDefault="00BB71B4" w:rsidP="00BB71B4">
      <w:pPr>
        <w:pStyle w:val="TextoNormalSangraFrancesa"/>
        <w:rPr>
          <w:rStyle w:val="TextoNormalCaracter"/>
        </w:rPr>
      </w:pPr>
      <w:bookmarkStart w:id="1282" w:name="DESCRIPTORALFABETICO511"/>
      <w:r w:rsidRPr="00BB71B4">
        <w:rPr>
          <w:rStyle w:val="TextoNormalNegritaCaracter"/>
        </w:rPr>
        <w:t>Desarrollo urbanístico</w:t>
      </w:r>
      <w:bookmarkEnd w:id="1282"/>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15, 17 a) y c), 24; </w:t>
      </w:r>
      <w:hyperlink w:anchor="SENTENCIA_2015_92" w:history="1">
        <w:r w:rsidRPr="00BB71B4">
          <w:rPr>
            <w:rStyle w:val="TextoNormalCaracter"/>
          </w:rPr>
          <w:t>92/2015</w:t>
        </w:r>
      </w:hyperlink>
      <w:r w:rsidRPr="00BB71B4">
        <w:rPr>
          <w:rStyle w:val="TextoNormalCaracter"/>
        </w:rPr>
        <w:t>, ff. 4, 7 a 10.</w:t>
      </w:r>
    </w:p>
    <w:p w:rsidR="00BB71B4" w:rsidRPr="00BB71B4" w:rsidRDefault="00BB71B4" w:rsidP="00BB71B4">
      <w:pPr>
        <w:pStyle w:val="TextoNormalSangraFrancesa"/>
        <w:rPr>
          <w:rStyle w:val="TextoNormalCaracter"/>
        </w:rPr>
      </w:pPr>
      <w:bookmarkStart w:id="1283" w:name="DESCRIPTORALFABETICO705"/>
      <w:r w:rsidRPr="00BB71B4">
        <w:rPr>
          <w:rStyle w:val="TextoNormalNegritaCaracter"/>
        </w:rPr>
        <w:t>Desestimación de recurso de súplica</w:t>
      </w:r>
      <w:bookmarkEnd w:id="1283"/>
      <w:r w:rsidRPr="00BB71B4">
        <w:rPr>
          <w:rStyle w:val="TextoNormalCaracter"/>
        </w:rPr>
        <w:t xml:space="preserve">, Autos </w:t>
      </w:r>
      <w:hyperlink w:anchor="AUTO_2015_26" w:history="1">
        <w:r w:rsidRPr="00BB71B4">
          <w:rPr>
            <w:rStyle w:val="TextoNormalCaracter"/>
          </w:rPr>
          <w:t>26/2015</w:t>
        </w:r>
      </w:hyperlink>
      <w:r w:rsidRPr="00BB71B4">
        <w:rPr>
          <w:rStyle w:val="TextoNormalCaracter"/>
        </w:rPr>
        <w:t xml:space="preserve">, f. único; </w:t>
      </w:r>
      <w:hyperlink w:anchor="AUTO_2015_43" w:history="1">
        <w:r w:rsidRPr="00BB71B4">
          <w:rPr>
            <w:rStyle w:val="TextoNormalCaracter"/>
          </w:rPr>
          <w:t>43/2015</w:t>
        </w:r>
      </w:hyperlink>
      <w:r w:rsidRPr="00BB71B4">
        <w:rPr>
          <w:rStyle w:val="TextoNormalCaracter"/>
        </w:rPr>
        <w:t xml:space="preserve">, f. único; </w:t>
      </w:r>
      <w:hyperlink w:anchor="AUTO_2015_73" w:history="1">
        <w:r w:rsidRPr="00BB71B4">
          <w:rPr>
            <w:rStyle w:val="TextoNormalCaracter"/>
          </w:rPr>
          <w:t>73/2015</w:t>
        </w:r>
      </w:hyperlink>
      <w:r w:rsidRPr="00BB71B4">
        <w:rPr>
          <w:rStyle w:val="TextoNormalCaracter"/>
        </w:rPr>
        <w:t>, f. 4.</w:t>
      </w:r>
    </w:p>
    <w:p w:rsidR="00BB71B4" w:rsidRPr="00BB71B4" w:rsidRDefault="00BB71B4" w:rsidP="00BB71B4">
      <w:pPr>
        <w:pStyle w:val="TextoNormalSangraFrancesa"/>
        <w:rPr>
          <w:rStyle w:val="TextoNormalCaracter"/>
        </w:rPr>
      </w:pPr>
      <w:bookmarkStart w:id="1284" w:name="DESCRIPTORALFABETICO249"/>
      <w:r w:rsidRPr="00BB71B4">
        <w:rPr>
          <w:rStyle w:val="TextoNormalNegritaCaracter"/>
        </w:rPr>
        <w:t>Desestimación de recurso de súplica contra Autos del Tribunal Constitucional</w:t>
      </w:r>
      <w:bookmarkEnd w:id="1284"/>
      <w:r w:rsidRPr="00BB71B4">
        <w:rPr>
          <w:rStyle w:val="TextoNormalCaracter"/>
        </w:rPr>
        <w:t xml:space="preserve">, Auto </w:t>
      </w:r>
      <w:hyperlink w:anchor="AUTO_2015_102" w:history="1">
        <w:r w:rsidRPr="00BB71B4">
          <w:rPr>
            <w:rStyle w:val="TextoNormalCaracter"/>
          </w:rPr>
          <w:t>102/2015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285" w:name="DESCRIPTORALFABETICO253"/>
      <w:r w:rsidRPr="00BB71B4">
        <w:rPr>
          <w:rStyle w:val="TextoNormalNegritaCaracter"/>
        </w:rPr>
        <w:t>Desestimación de recurso de súplica contra providencias de inadmisión del Tribunal Constitucional</w:t>
      </w:r>
      <w:bookmarkEnd w:id="1285"/>
      <w:r w:rsidRPr="00BB71B4">
        <w:rPr>
          <w:rStyle w:val="TextoNormalCaracter"/>
        </w:rPr>
        <w:t xml:space="preserve">, Autos </w:t>
      </w:r>
      <w:hyperlink w:anchor="AUTO_2015_44" w:history="1">
        <w:r w:rsidRPr="00BB71B4">
          <w:rPr>
            <w:rStyle w:val="TextoNormalCaracter"/>
          </w:rPr>
          <w:t>44/2015</w:t>
        </w:r>
      </w:hyperlink>
      <w:r w:rsidRPr="00BB71B4">
        <w:rPr>
          <w:rStyle w:val="TextoNormalCaracter"/>
        </w:rPr>
        <w:t xml:space="preserve">, f. 1 y 2; </w:t>
      </w:r>
      <w:hyperlink w:anchor="AUTO_2015_45" w:history="1">
        <w:r w:rsidRPr="00BB71B4">
          <w:rPr>
            <w:rStyle w:val="TextoNormalCaracter"/>
          </w:rPr>
          <w:t>45/2015</w:t>
        </w:r>
      </w:hyperlink>
      <w:r w:rsidRPr="00BB71B4">
        <w:rPr>
          <w:rStyle w:val="TextoNormalCaracter"/>
        </w:rPr>
        <w:t xml:space="preserve">, f. único; </w:t>
      </w:r>
      <w:hyperlink w:anchor="AUTO_2015_78" w:history="1">
        <w:r w:rsidRPr="00BB71B4">
          <w:rPr>
            <w:rStyle w:val="TextoNormalCaracter"/>
          </w:rPr>
          <w:t>78/2015</w:t>
        </w:r>
      </w:hyperlink>
      <w:r w:rsidRPr="00BB71B4">
        <w:rPr>
          <w:rStyle w:val="TextoNormalCaracter"/>
        </w:rPr>
        <w:t xml:space="preserve">, f. 2; </w:t>
      </w:r>
      <w:hyperlink w:anchor="AUTO_2015_79" w:history="1">
        <w:r w:rsidRPr="00BB71B4">
          <w:rPr>
            <w:rStyle w:val="TextoNormalCaracter"/>
          </w:rPr>
          <w:t>79/2015</w:t>
        </w:r>
      </w:hyperlink>
      <w:r w:rsidRPr="00BB71B4">
        <w:rPr>
          <w:rStyle w:val="TextoNormalCaracter"/>
        </w:rPr>
        <w:t xml:space="preserve">, ff. 2 y 3; </w:t>
      </w:r>
      <w:hyperlink w:anchor="AUTO_2015_80" w:history="1">
        <w:r w:rsidRPr="00BB71B4">
          <w:rPr>
            <w:rStyle w:val="TextoNormalCaracter"/>
          </w:rPr>
          <w:t>80/2015</w:t>
        </w:r>
      </w:hyperlink>
      <w:r w:rsidRPr="00BB71B4">
        <w:rPr>
          <w:rStyle w:val="TextoNormalCaracter"/>
        </w:rPr>
        <w:t xml:space="preserve">, ff. 2 y 3; </w:t>
      </w:r>
      <w:hyperlink w:anchor="AUTO_2015_81" w:history="1">
        <w:r w:rsidRPr="00BB71B4">
          <w:rPr>
            <w:rStyle w:val="TextoNormalCaracter"/>
          </w:rPr>
          <w:t>81/2015</w:t>
        </w:r>
      </w:hyperlink>
      <w:r w:rsidRPr="00BB71B4">
        <w:rPr>
          <w:rStyle w:val="TextoNormalCaracter"/>
        </w:rPr>
        <w:t xml:space="preserve">, ff. 1 a 5; </w:t>
      </w:r>
      <w:hyperlink w:anchor="AUTO_2015_86" w:history="1">
        <w:r w:rsidRPr="00BB71B4">
          <w:rPr>
            <w:rStyle w:val="TextoNormalCaracter"/>
          </w:rPr>
          <w:t>86/2015</w:t>
        </w:r>
      </w:hyperlink>
      <w:r w:rsidRPr="00BB71B4">
        <w:rPr>
          <w:rStyle w:val="TextoNormalCaracter"/>
        </w:rPr>
        <w:t xml:space="preserve">, f. único; </w:t>
      </w:r>
      <w:hyperlink w:anchor="AUTO_2015_87" w:history="1">
        <w:r w:rsidRPr="00BB71B4">
          <w:rPr>
            <w:rStyle w:val="TextoNormalCaracter"/>
          </w:rPr>
          <w:t>87/2015</w:t>
        </w:r>
      </w:hyperlink>
      <w:r w:rsidRPr="00BB71B4">
        <w:rPr>
          <w:rStyle w:val="TextoNormalCaracter"/>
        </w:rPr>
        <w:t xml:space="preserve">, f. único; </w:t>
      </w:r>
      <w:hyperlink w:anchor="AUTO_2015_98" w:history="1">
        <w:r w:rsidRPr="00BB71B4">
          <w:rPr>
            <w:rStyle w:val="TextoNormalCaracter"/>
          </w:rPr>
          <w:t>98/2015</w:t>
        </w:r>
      </w:hyperlink>
      <w:r w:rsidRPr="00BB71B4">
        <w:rPr>
          <w:rStyle w:val="TextoNormalCaracter"/>
        </w:rPr>
        <w:t xml:space="preserve">, ff. 1 a 3; </w:t>
      </w:r>
      <w:hyperlink w:anchor="AUTO_2015_110" w:history="1">
        <w:r w:rsidRPr="00BB71B4">
          <w:rPr>
            <w:rStyle w:val="TextoNormalCaracter"/>
          </w:rPr>
          <w:t>110/2015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286" w:name="DESCRIPTORALFABETICO230"/>
      <w:r w:rsidRPr="00BB71B4">
        <w:rPr>
          <w:rStyle w:val="TextoNormalNegritaCaracter"/>
        </w:rPr>
        <w:t>Desistimiento de la solicitud de suspensión cautelar</w:t>
      </w:r>
      <w:bookmarkEnd w:id="1286"/>
      <w:r w:rsidRPr="00BB71B4">
        <w:rPr>
          <w:rStyle w:val="TextoNormalCaracter"/>
        </w:rPr>
        <w:t xml:space="preserve">, Auto </w:t>
      </w:r>
      <w:hyperlink w:anchor="AUTO_2015_25" w:history="1">
        <w:r w:rsidRPr="00BB71B4">
          <w:rPr>
            <w:rStyle w:val="TextoNormalCaracter"/>
          </w:rPr>
          <w:t>25/2015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287" w:name="DESCRIPTORALFABETICO255"/>
      <w:r w:rsidRPr="00BB71B4">
        <w:rPr>
          <w:rStyle w:val="TextoNormalNegritaCaracter"/>
        </w:rPr>
        <w:t>Desistimiento en el recurso de amparo</w:t>
      </w:r>
      <w:bookmarkEnd w:id="1287"/>
      <w:r w:rsidRPr="00BB71B4">
        <w:rPr>
          <w:rStyle w:val="TextoNormalCaracter"/>
        </w:rPr>
        <w:t xml:space="preserve">, Autos </w:t>
      </w:r>
      <w:hyperlink w:anchor="AUTO_2015_25" w:history="1">
        <w:r w:rsidRPr="00BB71B4">
          <w:rPr>
            <w:rStyle w:val="TextoNormalCaracter"/>
          </w:rPr>
          <w:t>25/2015</w:t>
        </w:r>
      </w:hyperlink>
      <w:r w:rsidRPr="00BB71B4">
        <w:rPr>
          <w:rStyle w:val="TextoNormalCaracter"/>
        </w:rPr>
        <w:t xml:space="preserve">, f. único; </w:t>
      </w:r>
      <w:hyperlink w:anchor="AUTO_2015_58" w:history="1">
        <w:r w:rsidRPr="00BB71B4">
          <w:rPr>
            <w:rStyle w:val="TextoNormalCaracter"/>
          </w:rPr>
          <w:t>58/2015</w:t>
        </w:r>
      </w:hyperlink>
      <w:r w:rsidRPr="00BB71B4">
        <w:rPr>
          <w:rStyle w:val="TextoNormalCaracter"/>
        </w:rPr>
        <w:t>, f. único.</w:t>
      </w:r>
    </w:p>
    <w:p w:rsidR="00BB71B4" w:rsidRPr="00BB71B4" w:rsidRDefault="00BB71B4" w:rsidP="00BB71B4">
      <w:pPr>
        <w:pStyle w:val="TextoNormalSangraFrancesa"/>
        <w:rPr>
          <w:rStyle w:val="TextoNormalCaracter"/>
        </w:rPr>
      </w:pPr>
      <w:r w:rsidRPr="00BB71B4">
        <w:rPr>
          <w:rStyle w:val="TextoNormalCursivaCaracter"/>
        </w:rPr>
        <w:t xml:space="preserve">    Procedencia, </w:t>
      </w:r>
      <w:r w:rsidRPr="00BB71B4">
        <w:rPr>
          <w:rStyle w:val="TextoNormalCaracter"/>
        </w:rPr>
        <w:t xml:space="preserve">Autos </w:t>
      </w:r>
      <w:hyperlink w:anchor="AUTO_2015_1" w:history="1">
        <w:r w:rsidRPr="00BB71B4">
          <w:rPr>
            <w:rStyle w:val="TextoNormalCaracter"/>
          </w:rPr>
          <w:t>1/2015</w:t>
        </w:r>
      </w:hyperlink>
      <w:r w:rsidRPr="00BB71B4">
        <w:rPr>
          <w:rStyle w:val="TextoNormalCaracter"/>
        </w:rPr>
        <w:t xml:space="preserve">, f. único; </w:t>
      </w:r>
      <w:hyperlink w:anchor="AUTO_2015_3" w:history="1">
        <w:r w:rsidRPr="00BB71B4">
          <w:rPr>
            <w:rStyle w:val="TextoNormalCaracter"/>
          </w:rPr>
          <w:t>3/2015</w:t>
        </w:r>
      </w:hyperlink>
      <w:r w:rsidRPr="00BB71B4">
        <w:rPr>
          <w:rStyle w:val="TextoNormalCaracter"/>
        </w:rPr>
        <w:t xml:space="preserve">, f. único; </w:t>
      </w:r>
      <w:hyperlink w:anchor="AUTO_2015_11" w:history="1">
        <w:r w:rsidRPr="00BB71B4">
          <w:rPr>
            <w:rStyle w:val="TextoNormalCaracter"/>
          </w:rPr>
          <w:t>11/2015</w:t>
        </w:r>
      </w:hyperlink>
      <w:r w:rsidRPr="00BB71B4">
        <w:rPr>
          <w:rStyle w:val="TextoNormalCaracter"/>
        </w:rPr>
        <w:t xml:space="preserve">, f. único; </w:t>
      </w:r>
      <w:hyperlink w:anchor="AUTO_2015_12" w:history="1">
        <w:r w:rsidRPr="00BB71B4">
          <w:rPr>
            <w:rStyle w:val="TextoNormalCaracter"/>
          </w:rPr>
          <w:t>12/2015</w:t>
        </w:r>
      </w:hyperlink>
      <w:r w:rsidRPr="00BB71B4">
        <w:rPr>
          <w:rStyle w:val="TextoNormalCaracter"/>
        </w:rPr>
        <w:t xml:space="preserve">, f. único; </w:t>
      </w:r>
      <w:hyperlink w:anchor="AUTO_2015_19" w:history="1">
        <w:r w:rsidRPr="00BB71B4">
          <w:rPr>
            <w:rStyle w:val="TextoNormalCaracter"/>
          </w:rPr>
          <w:t>19/2015</w:t>
        </w:r>
      </w:hyperlink>
      <w:r w:rsidRPr="00BB71B4">
        <w:rPr>
          <w:rStyle w:val="TextoNormalCaracter"/>
        </w:rPr>
        <w:t xml:space="preserve">, f. único; </w:t>
      </w:r>
      <w:hyperlink w:anchor="AUTO_2015_30" w:history="1">
        <w:r w:rsidRPr="00BB71B4">
          <w:rPr>
            <w:rStyle w:val="TextoNormalCaracter"/>
          </w:rPr>
          <w:t>30/2015</w:t>
        </w:r>
      </w:hyperlink>
      <w:r w:rsidRPr="00BB71B4">
        <w:rPr>
          <w:rStyle w:val="TextoNormalCaracter"/>
        </w:rPr>
        <w:t xml:space="preserve">, f. único; </w:t>
      </w:r>
      <w:hyperlink w:anchor="AUTO_2015_39" w:history="1">
        <w:r w:rsidRPr="00BB71B4">
          <w:rPr>
            <w:rStyle w:val="TextoNormalCaracter"/>
          </w:rPr>
          <w:t>39/2015</w:t>
        </w:r>
      </w:hyperlink>
      <w:r w:rsidRPr="00BB71B4">
        <w:rPr>
          <w:rStyle w:val="TextoNormalCaracter"/>
        </w:rPr>
        <w:t xml:space="preserve">, f. único; </w:t>
      </w:r>
      <w:hyperlink w:anchor="AUTO_2015_40" w:history="1">
        <w:r w:rsidRPr="00BB71B4">
          <w:rPr>
            <w:rStyle w:val="TextoNormalCaracter"/>
          </w:rPr>
          <w:t>40/2015</w:t>
        </w:r>
      </w:hyperlink>
      <w:r w:rsidRPr="00BB71B4">
        <w:rPr>
          <w:rStyle w:val="TextoNormalCaracter"/>
        </w:rPr>
        <w:t xml:space="preserve">, f. único; </w:t>
      </w:r>
      <w:hyperlink w:anchor="AUTO_2015_41" w:history="1">
        <w:r w:rsidRPr="00BB71B4">
          <w:rPr>
            <w:rStyle w:val="TextoNormalCaracter"/>
          </w:rPr>
          <w:t>41/2015</w:t>
        </w:r>
      </w:hyperlink>
      <w:r w:rsidRPr="00BB71B4">
        <w:rPr>
          <w:rStyle w:val="TextoNormalCaracter"/>
        </w:rPr>
        <w:t xml:space="preserve">, f. único; </w:t>
      </w:r>
      <w:hyperlink w:anchor="AUTO_2015_46" w:history="1">
        <w:r w:rsidRPr="00BB71B4">
          <w:rPr>
            <w:rStyle w:val="TextoNormalCaracter"/>
          </w:rPr>
          <w:t>46/2015</w:t>
        </w:r>
      </w:hyperlink>
      <w:r w:rsidRPr="00BB71B4">
        <w:rPr>
          <w:rStyle w:val="TextoNormalCaracter"/>
        </w:rPr>
        <w:t xml:space="preserve">, f. único; </w:t>
      </w:r>
      <w:hyperlink w:anchor="AUTO_2015_47" w:history="1">
        <w:r w:rsidRPr="00BB71B4">
          <w:rPr>
            <w:rStyle w:val="TextoNormalCaracter"/>
          </w:rPr>
          <w:t>47/2015</w:t>
        </w:r>
      </w:hyperlink>
      <w:r w:rsidRPr="00BB71B4">
        <w:rPr>
          <w:rStyle w:val="TextoNormalCaracter"/>
        </w:rPr>
        <w:t xml:space="preserve">, f. único; </w:t>
      </w:r>
      <w:hyperlink w:anchor="AUTO_2015_71" w:history="1">
        <w:r w:rsidRPr="00BB71B4">
          <w:rPr>
            <w:rStyle w:val="TextoNormalCaracter"/>
          </w:rPr>
          <w:t>71/2015</w:t>
        </w:r>
      </w:hyperlink>
      <w:r w:rsidRPr="00BB71B4">
        <w:rPr>
          <w:rStyle w:val="TextoNormalCaracter"/>
        </w:rPr>
        <w:t xml:space="preserve">, f. único; </w:t>
      </w:r>
      <w:hyperlink w:anchor="AUTO_2015_75" w:history="1">
        <w:r w:rsidRPr="00BB71B4">
          <w:rPr>
            <w:rStyle w:val="TextoNormalCaracter"/>
          </w:rPr>
          <w:t>75/2015</w:t>
        </w:r>
      </w:hyperlink>
      <w:r w:rsidRPr="00BB71B4">
        <w:rPr>
          <w:rStyle w:val="TextoNormalCaracter"/>
        </w:rPr>
        <w:t xml:space="preserve">, f. único; </w:t>
      </w:r>
      <w:hyperlink w:anchor="AUTO_2015_85" w:history="1">
        <w:r w:rsidRPr="00BB71B4">
          <w:rPr>
            <w:rStyle w:val="TextoNormalCaracter"/>
          </w:rPr>
          <w:t>85/2015</w:t>
        </w:r>
      </w:hyperlink>
      <w:r w:rsidRPr="00BB71B4">
        <w:rPr>
          <w:rStyle w:val="TextoNormalCaracter"/>
        </w:rPr>
        <w:t xml:space="preserve">, f. único; </w:t>
      </w:r>
      <w:hyperlink w:anchor="AUTO_2015_89" w:history="1">
        <w:r w:rsidRPr="00BB71B4">
          <w:rPr>
            <w:rStyle w:val="TextoNormalCaracter"/>
          </w:rPr>
          <w:t>89/2015</w:t>
        </w:r>
      </w:hyperlink>
      <w:r w:rsidRPr="00BB71B4">
        <w:rPr>
          <w:rStyle w:val="TextoNormalCaracter"/>
        </w:rPr>
        <w:t xml:space="preserve">, f. único; </w:t>
      </w:r>
      <w:hyperlink w:anchor="AUTO_2015_91" w:history="1">
        <w:r w:rsidRPr="00BB71B4">
          <w:rPr>
            <w:rStyle w:val="TextoNormalCaracter"/>
          </w:rPr>
          <w:t>91/2015</w:t>
        </w:r>
      </w:hyperlink>
      <w:r w:rsidRPr="00BB71B4">
        <w:rPr>
          <w:rStyle w:val="TextoNormalCaracter"/>
        </w:rPr>
        <w:t xml:space="preserve">, f. único; </w:t>
      </w:r>
      <w:hyperlink w:anchor="AUTO_2015_93" w:history="1">
        <w:r w:rsidRPr="00BB71B4">
          <w:rPr>
            <w:rStyle w:val="TextoNormalCaracter"/>
          </w:rPr>
          <w:t>93/2015</w:t>
        </w:r>
      </w:hyperlink>
      <w:r w:rsidRPr="00BB71B4">
        <w:rPr>
          <w:rStyle w:val="TextoNormalCaracter"/>
        </w:rPr>
        <w:t xml:space="preserve">, f. único; </w:t>
      </w:r>
      <w:hyperlink w:anchor="AUTO_2015_96" w:history="1">
        <w:r w:rsidRPr="00BB71B4">
          <w:rPr>
            <w:rStyle w:val="TextoNormalCaracter"/>
          </w:rPr>
          <w:t>96/2015</w:t>
        </w:r>
      </w:hyperlink>
      <w:r w:rsidRPr="00BB71B4">
        <w:rPr>
          <w:rStyle w:val="TextoNormalCaracter"/>
        </w:rPr>
        <w:t xml:space="preserve">, f. único; </w:t>
      </w:r>
      <w:hyperlink w:anchor="AUTO_2015_104" w:history="1">
        <w:r w:rsidRPr="00BB71B4">
          <w:rPr>
            <w:rStyle w:val="TextoNormalCaracter"/>
          </w:rPr>
          <w:t>104/2015</w:t>
        </w:r>
      </w:hyperlink>
      <w:r w:rsidRPr="00BB71B4">
        <w:rPr>
          <w:rStyle w:val="TextoNormalCaracter"/>
        </w:rPr>
        <w:t xml:space="preserve">, f. único; </w:t>
      </w:r>
      <w:hyperlink w:anchor="AUTO_2015_105" w:history="1">
        <w:r w:rsidRPr="00BB71B4">
          <w:rPr>
            <w:rStyle w:val="TextoNormalCaracter"/>
          </w:rPr>
          <w:t>105/2015</w:t>
        </w:r>
      </w:hyperlink>
      <w:r w:rsidRPr="00BB71B4">
        <w:rPr>
          <w:rStyle w:val="TextoNormalCaracter"/>
        </w:rPr>
        <w:t xml:space="preserve">, f. único; </w:t>
      </w:r>
      <w:hyperlink w:anchor="AUTO_2015_107" w:history="1">
        <w:r w:rsidRPr="00BB71B4">
          <w:rPr>
            <w:rStyle w:val="TextoNormalCaracter"/>
          </w:rPr>
          <w:t>107/2015</w:t>
        </w:r>
      </w:hyperlink>
      <w:r w:rsidRPr="00BB71B4">
        <w:rPr>
          <w:rStyle w:val="TextoNormalCaracter"/>
        </w:rPr>
        <w:t xml:space="preserve">, f. único; </w:t>
      </w:r>
      <w:hyperlink w:anchor="AUTO_2015_113" w:history="1">
        <w:r w:rsidRPr="00BB71B4">
          <w:rPr>
            <w:rStyle w:val="TextoNormalCaracter"/>
          </w:rPr>
          <w:t>113/2015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288" w:name="DESCRIPTORALFABETICO631"/>
      <w:r w:rsidRPr="00BB71B4">
        <w:rPr>
          <w:rStyle w:val="TextoNormalNegritaCaracter"/>
        </w:rPr>
        <w:t>Despido colectivo</w:t>
      </w:r>
      <w:bookmarkEnd w:id="1288"/>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ff. 4 b), 6, 7, VP; </w:t>
      </w:r>
      <w:hyperlink w:anchor="SENTENCIA_2015_66" w:history="1">
        <w:r w:rsidRPr="00BB71B4">
          <w:rPr>
            <w:rStyle w:val="TextoNormalCaracter"/>
          </w:rPr>
          <w:t>66/2015</w:t>
        </w:r>
      </w:hyperlink>
      <w:r w:rsidRPr="00BB71B4">
        <w:rPr>
          <w:rStyle w:val="TextoNormalCaracter"/>
        </w:rPr>
        <w:t>, ff. 2 a 6.</w:t>
      </w:r>
    </w:p>
    <w:p w:rsidR="00BB71B4" w:rsidRPr="00BB71B4" w:rsidRDefault="00BB71B4" w:rsidP="00BB71B4">
      <w:pPr>
        <w:pStyle w:val="TextoNormalSangraFrancesa"/>
        <w:rPr>
          <w:rStyle w:val="TextoNormalCaracter"/>
        </w:rPr>
      </w:pPr>
      <w:bookmarkStart w:id="1289" w:name="DESCRIPTORALFABETICO632"/>
      <w:r w:rsidRPr="00BB71B4">
        <w:rPr>
          <w:rStyle w:val="TextoNormalNegritaCaracter"/>
        </w:rPr>
        <w:t>Despido improcedente</w:t>
      </w:r>
      <w:bookmarkEnd w:id="1289"/>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6, 8, VP.</w:t>
      </w:r>
    </w:p>
    <w:p w:rsidR="00BB71B4" w:rsidRPr="00BB71B4" w:rsidRDefault="00BB71B4" w:rsidP="00BB71B4">
      <w:pPr>
        <w:pStyle w:val="TextoNormalSangraFrancesa"/>
        <w:rPr>
          <w:rStyle w:val="TextoNormalCaracter"/>
        </w:rPr>
      </w:pPr>
      <w:bookmarkStart w:id="1290" w:name="DESCRIPTORALFABETICO662"/>
      <w:r w:rsidRPr="00BB71B4">
        <w:rPr>
          <w:rStyle w:val="TextoNormalNegritaCaracter"/>
        </w:rPr>
        <w:t>Determinación del alcance de la cosa juzgada</w:t>
      </w:r>
      <w:bookmarkEnd w:id="1290"/>
      <w:r w:rsidRPr="00BB71B4">
        <w:rPr>
          <w:rStyle w:val="TextoNormalCaracter"/>
        </w:rPr>
        <w:t xml:space="preserve">, Sentencia </w:t>
      </w:r>
      <w:hyperlink w:anchor="SENTENCIA_2015_7" w:history="1">
        <w:r w:rsidRPr="00BB71B4">
          <w:rPr>
            <w:rStyle w:val="TextoNormalCaracter"/>
          </w:rPr>
          <w:t>7/2015</w:t>
        </w:r>
      </w:hyperlink>
      <w:r w:rsidRPr="00BB71B4">
        <w:rPr>
          <w:rStyle w:val="TextoNormalCaracter"/>
        </w:rPr>
        <w:t>, VP.</w:t>
      </w:r>
    </w:p>
    <w:p w:rsidR="00BB71B4" w:rsidRPr="00BB71B4" w:rsidRDefault="00BB71B4" w:rsidP="00BB71B4">
      <w:pPr>
        <w:pStyle w:val="TextoNormalSangraFrancesa"/>
        <w:rPr>
          <w:rStyle w:val="TextoNormalCaracter"/>
        </w:rPr>
      </w:pPr>
      <w:bookmarkStart w:id="1291" w:name="DESCRIPTORALFABETICO572"/>
      <w:r w:rsidRPr="00BB71B4">
        <w:rPr>
          <w:rStyle w:val="TextoNormalNegritaCaracter"/>
        </w:rPr>
        <w:t>Dignidad de la persona</w:t>
      </w:r>
      <w:bookmarkEnd w:id="1291"/>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 3.</w:t>
      </w:r>
    </w:p>
    <w:p w:rsidR="00BB71B4" w:rsidRPr="00BB71B4" w:rsidRDefault="00BB71B4" w:rsidP="00BB71B4">
      <w:pPr>
        <w:pStyle w:val="TextoNormalSangraFrancesa"/>
        <w:rPr>
          <w:rStyle w:val="TextoNormalCaracter"/>
        </w:rPr>
      </w:pPr>
      <w:bookmarkStart w:id="1292" w:name="DESCRIPTORALFABETICO182"/>
      <w:r w:rsidRPr="00BB71B4">
        <w:rPr>
          <w:rStyle w:val="TextoNormalNegritaCaracter"/>
        </w:rPr>
        <w:t>Dilación no reparable mediante una actuación judicial tardía</w:t>
      </w:r>
      <w:bookmarkEnd w:id="1292"/>
      <w:r w:rsidRPr="00BB71B4">
        <w:rPr>
          <w:rStyle w:val="TextoNormalCaracter"/>
        </w:rPr>
        <w:t xml:space="preserve">, Sentencias </w:t>
      </w:r>
      <w:hyperlink w:anchor="SENTENCIA_2015_74" w:history="1">
        <w:r w:rsidRPr="00BB71B4">
          <w:rPr>
            <w:rStyle w:val="TextoNormalCaracter"/>
          </w:rPr>
          <w:t>74/2015</w:t>
        </w:r>
      </w:hyperlink>
      <w:r w:rsidRPr="00BB71B4">
        <w:rPr>
          <w:rStyle w:val="TextoNormalCaracter"/>
        </w:rPr>
        <w:t xml:space="preserve">, f. 3; </w:t>
      </w:r>
      <w:hyperlink w:anchor="SENTENCIA_2015_87" w:history="1">
        <w:r w:rsidRPr="00BB71B4">
          <w:rPr>
            <w:rStyle w:val="TextoNormalCaracter"/>
          </w:rPr>
          <w:t>87/2015</w:t>
        </w:r>
      </w:hyperlink>
      <w:r w:rsidRPr="00BB71B4">
        <w:rPr>
          <w:rStyle w:val="TextoNormalCaracter"/>
        </w:rPr>
        <w:t xml:space="preserve">, f. 4; </w:t>
      </w:r>
      <w:hyperlink w:anchor="SENTENCIA_2015_88" w:history="1">
        <w:r w:rsidRPr="00BB71B4">
          <w:rPr>
            <w:rStyle w:val="TextoNormalCaracter"/>
          </w:rPr>
          <w:t>88/2015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293" w:name="DESCRIPTORALFABETICO666"/>
      <w:r w:rsidRPr="00BB71B4">
        <w:rPr>
          <w:rStyle w:val="TextoNormalNegritaCaracter"/>
        </w:rPr>
        <w:t>Dilaciones en la celebración de vista</w:t>
      </w:r>
      <w:bookmarkEnd w:id="1293"/>
      <w:r w:rsidRPr="00BB71B4">
        <w:rPr>
          <w:rStyle w:val="TextoNormalCaracter"/>
        </w:rPr>
        <w:t xml:space="preserve">, Sentencias </w:t>
      </w:r>
      <w:hyperlink w:anchor="SENTENCIA_2015_87" w:history="1">
        <w:r w:rsidRPr="00BB71B4">
          <w:rPr>
            <w:rStyle w:val="TextoNormalCaracter"/>
          </w:rPr>
          <w:t>87/2015</w:t>
        </w:r>
      </w:hyperlink>
      <w:r w:rsidRPr="00BB71B4">
        <w:rPr>
          <w:rStyle w:val="TextoNormalCaracter"/>
        </w:rPr>
        <w:t xml:space="preserve">, ff. 1, 2, 5; </w:t>
      </w:r>
      <w:hyperlink w:anchor="SENTENCIA_2015_88" w:history="1">
        <w:r w:rsidRPr="00BB71B4">
          <w:rPr>
            <w:rStyle w:val="TextoNormalCaracter"/>
          </w:rPr>
          <w:t>88/2015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294" w:name="DESCRIPTORALFABETICO665"/>
      <w:r w:rsidRPr="00BB71B4">
        <w:rPr>
          <w:rStyle w:val="TextoNormalNegritaCaracter"/>
        </w:rPr>
        <w:t>Dilaciones indebidas en el procedimiento</w:t>
      </w:r>
      <w:bookmarkEnd w:id="1294"/>
      <w:r w:rsidRPr="00BB71B4">
        <w:rPr>
          <w:rStyle w:val="TextoNormalCaracter"/>
        </w:rPr>
        <w:t xml:space="preserve">, Sentencias </w:t>
      </w:r>
      <w:hyperlink w:anchor="SENTENCIA_2015_87" w:history="1">
        <w:r w:rsidRPr="00BB71B4">
          <w:rPr>
            <w:rStyle w:val="TextoNormalCaracter"/>
          </w:rPr>
          <w:t>87/2015</w:t>
        </w:r>
      </w:hyperlink>
      <w:r w:rsidRPr="00BB71B4">
        <w:rPr>
          <w:rStyle w:val="TextoNormalCaracter"/>
        </w:rPr>
        <w:t xml:space="preserve">, ff. 1, 2, 5; </w:t>
      </w:r>
      <w:hyperlink w:anchor="SENTENCIA_2015_88" w:history="1">
        <w:r w:rsidRPr="00BB71B4">
          <w:rPr>
            <w:rStyle w:val="TextoNormalCaracter"/>
          </w:rPr>
          <w:t>88/2015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295" w:name="DESCRIPTORALFABETICO183"/>
      <w:r w:rsidRPr="00BB71B4">
        <w:rPr>
          <w:rStyle w:val="TextoNormalNegritaCaracter"/>
        </w:rPr>
        <w:t>Dilaciones no imputables al órgano judicial</w:t>
      </w:r>
      <w:bookmarkEnd w:id="1295"/>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 5.</w:t>
      </w:r>
    </w:p>
    <w:p w:rsidR="00BB71B4" w:rsidRPr="00BB71B4" w:rsidRDefault="00BB71B4" w:rsidP="00BB71B4">
      <w:pPr>
        <w:pStyle w:val="TextoNormalSangraFrancesa"/>
        <w:rPr>
          <w:rStyle w:val="TextoNormalCaracter"/>
        </w:rPr>
      </w:pPr>
      <w:bookmarkStart w:id="1296" w:name="DESCRIPTORALFABETICO650"/>
      <w:r w:rsidRPr="00BB71B4">
        <w:rPr>
          <w:rStyle w:val="TextoNormalNegritaCaracter"/>
        </w:rPr>
        <w:t>Diligencia del órgano judicial en la averiguación del domicilio</w:t>
      </w:r>
      <w:bookmarkEnd w:id="1296"/>
      <w:r w:rsidRPr="00BB71B4">
        <w:rPr>
          <w:rStyle w:val="TextoNormalCaracter"/>
        </w:rPr>
        <w:t xml:space="preserve">, Sentencia </w:t>
      </w:r>
      <w:hyperlink w:anchor="SENTENCIA_2015_89" w:history="1">
        <w:r w:rsidRPr="00BB71B4">
          <w:rPr>
            <w:rStyle w:val="TextoNormalCaracter"/>
          </w:rPr>
          <w:t>89/2015</w:t>
        </w:r>
      </w:hyperlink>
      <w:r w:rsidRPr="00BB71B4">
        <w:rPr>
          <w:rStyle w:val="TextoNormalCaracter"/>
        </w:rPr>
        <w:t>, ff. 3 a 6.</w:t>
      </w:r>
    </w:p>
    <w:p w:rsidR="00BB71B4" w:rsidRPr="00BB71B4" w:rsidRDefault="00BB71B4" w:rsidP="00BB71B4">
      <w:pPr>
        <w:pStyle w:val="TextoNormalSangraFrancesa"/>
        <w:rPr>
          <w:rStyle w:val="TextoNormalCaracter"/>
        </w:rPr>
      </w:pPr>
      <w:bookmarkStart w:id="1297" w:name="DESCRIPTORALFABETICO351"/>
      <w:r w:rsidRPr="00BB71B4">
        <w:rPr>
          <w:rStyle w:val="TextoNormalNegritaCaracter"/>
        </w:rPr>
        <w:t>Diputados autonómicos</w:t>
      </w:r>
      <w:bookmarkEnd w:id="1297"/>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1; </w:t>
      </w:r>
      <w:hyperlink w:anchor="SENTENCIA_2015_23" w:history="1">
        <w:r w:rsidRPr="00BB71B4">
          <w:rPr>
            <w:rStyle w:val="TextoNormalCaracter"/>
          </w:rPr>
          <w:t>23/2015</w:t>
        </w:r>
      </w:hyperlink>
      <w:r w:rsidRPr="00BB71B4">
        <w:rPr>
          <w:rStyle w:val="TextoNormalCaracter"/>
        </w:rPr>
        <w:t>, f. 1.</w:t>
      </w:r>
    </w:p>
    <w:p w:rsidR="00BB71B4" w:rsidRPr="00BB71B4" w:rsidRDefault="00BB71B4" w:rsidP="00BB71B4">
      <w:pPr>
        <w:pStyle w:val="TextoNormalSangraFrancesa"/>
        <w:rPr>
          <w:rStyle w:val="TextoNormalCaracter"/>
        </w:rPr>
      </w:pPr>
      <w:bookmarkStart w:id="1298" w:name="DESCRIPTORALFABETICO55"/>
      <w:r w:rsidRPr="00BB71B4">
        <w:rPr>
          <w:rStyle w:val="TextoNormalNegritaCaracter"/>
        </w:rPr>
        <w:t>Dirección de la actividad económica general</w:t>
      </w:r>
      <w:bookmarkEnd w:id="1298"/>
      <w:r w:rsidRPr="00BB71B4">
        <w:rPr>
          <w:rStyle w:val="TextoNormalCaracter"/>
        </w:rPr>
        <w:t xml:space="preserve">, Sentencia </w:t>
      </w:r>
      <w:hyperlink w:anchor="SENTENCIA_2015_146" w:history="1">
        <w:r w:rsidRPr="00BB71B4">
          <w:rPr>
            <w:rStyle w:val="TextoNormalCaracter"/>
          </w:rPr>
          <w:t>146/2015</w:t>
        </w:r>
      </w:hyperlink>
      <w:r w:rsidRPr="00BB71B4">
        <w:rPr>
          <w:rStyle w:val="TextoNormalCaracter"/>
        </w:rPr>
        <w:t>, ff. 1, 3.</w:t>
      </w:r>
    </w:p>
    <w:p w:rsidR="00BB71B4" w:rsidRPr="00BB71B4" w:rsidRDefault="00BB71B4" w:rsidP="00BB71B4">
      <w:pPr>
        <w:pStyle w:val="TextoNormalSangraFrancesa"/>
        <w:rPr>
          <w:rStyle w:val="TextoNormalCaracter"/>
        </w:rPr>
      </w:pPr>
      <w:bookmarkStart w:id="1299" w:name="DESCRIPTORALFABETICO321"/>
      <w:r w:rsidRPr="00BB71B4">
        <w:rPr>
          <w:rStyle w:val="TextoNormalNegritaCaracter"/>
        </w:rPr>
        <w:t>Discrecionalidad administrativa</w:t>
      </w:r>
      <w:bookmarkEnd w:id="1299"/>
      <w:r w:rsidRPr="00BB71B4">
        <w:rPr>
          <w:rStyle w:val="TextoNormalCaracter"/>
        </w:rPr>
        <w:t xml:space="preserve">, Auto </w:t>
      </w:r>
      <w:hyperlink w:anchor="AUTO_2015_8" w:history="1">
        <w:r w:rsidRPr="00BB71B4">
          <w:rPr>
            <w:rStyle w:val="TextoNormalCaracter"/>
          </w:rPr>
          <w:t>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00" w:name="DESCRIPTORALFABETICO170"/>
      <w:r w:rsidRPr="00BB71B4">
        <w:rPr>
          <w:rStyle w:val="TextoNormalNegritaCaracter"/>
        </w:rPr>
        <w:t>Discriminación por circunstancias familiares</w:t>
      </w:r>
      <w:bookmarkEnd w:id="1300"/>
      <w:r w:rsidRPr="00BB71B4">
        <w:rPr>
          <w:rStyle w:val="TextoNormalCaracter"/>
        </w:rPr>
        <w:t xml:space="preserve">, Sentencia </w:t>
      </w:r>
      <w:hyperlink w:anchor="SENTENCIA_2015_77" w:history="1">
        <w:r w:rsidRPr="00BB71B4">
          <w:rPr>
            <w:rStyle w:val="TextoNormalCaracter"/>
          </w:rPr>
          <w:t>77/2015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01" w:name="DESCRIPTORALFABETICO171"/>
      <w:r w:rsidRPr="00BB71B4">
        <w:rPr>
          <w:rStyle w:val="TextoNormalNegritaCaracter"/>
        </w:rPr>
        <w:t>Discriminación por razón de edad</w:t>
      </w:r>
      <w:bookmarkEnd w:id="1301"/>
      <w:r w:rsidRPr="00BB71B4">
        <w:rPr>
          <w:rStyle w:val="TextoNormalCaracter"/>
        </w:rPr>
        <w:t xml:space="preserve">, Sentencias </w:t>
      </w:r>
      <w:hyperlink w:anchor="SENTENCIA_2015_41" w:history="1">
        <w:r w:rsidRPr="00BB71B4">
          <w:rPr>
            <w:rStyle w:val="TextoNormalCaracter"/>
          </w:rPr>
          <w:t>41/2015</w:t>
        </w:r>
      </w:hyperlink>
      <w:r w:rsidRPr="00BB71B4">
        <w:rPr>
          <w:rStyle w:val="TextoNormalCaracter"/>
        </w:rPr>
        <w:t xml:space="preserve">, f. 4; </w:t>
      </w:r>
      <w:hyperlink w:anchor="SENTENCIA_2015_66" w:history="1">
        <w:r w:rsidRPr="00BB71B4">
          <w:rPr>
            <w:rStyle w:val="TextoNormalCaracter"/>
          </w:rPr>
          <w:t>66/2015</w:t>
        </w:r>
      </w:hyperlink>
      <w:r w:rsidRPr="00BB71B4">
        <w:rPr>
          <w:rStyle w:val="TextoNormalCaracter"/>
        </w:rPr>
        <w:t>, ff. 1 a 6.</w:t>
      </w:r>
    </w:p>
    <w:p w:rsidR="00BB71B4" w:rsidRPr="00BB71B4" w:rsidRDefault="00BB71B4" w:rsidP="00BB71B4">
      <w:pPr>
        <w:pStyle w:val="TextoNormalSangraFrancesa"/>
        <w:rPr>
          <w:rStyle w:val="TextoNormalCaracter"/>
        </w:rPr>
      </w:pPr>
      <w:bookmarkStart w:id="1302" w:name="DESCRIPTORALFABETICO172"/>
      <w:r w:rsidRPr="00BB71B4">
        <w:rPr>
          <w:rStyle w:val="TextoNormalNegritaCaracter"/>
        </w:rPr>
        <w:t>Discriminación por razón de sexo</w:t>
      </w:r>
      <w:bookmarkEnd w:id="1302"/>
      <w:r w:rsidRPr="00BB71B4">
        <w:rPr>
          <w:rStyle w:val="TextoNormalCaracter"/>
        </w:rPr>
        <w:t xml:space="preserve">, Sentencia </w:t>
      </w:r>
      <w:hyperlink w:anchor="SENTENCIA_2015_110" w:history="1">
        <w:r w:rsidRPr="00BB71B4">
          <w:rPr>
            <w:rStyle w:val="TextoNormalCaracter"/>
          </w:rPr>
          <w:t>110/2015</w:t>
        </w:r>
      </w:hyperlink>
      <w:r w:rsidRPr="00BB71B4">
        <w:rPr>
          <w:rStyle w:val="TextoNormalCaracter"/>
        </w:rPr>
        <w:t>, ff. 2, 6, 8, 10.</w:t>
      </w:r>
    </w:p>
    <w:p w:rsidR="00BB71B4" w:rsidRPr="00BB71B4" w:rsidRDefault="00BB71B4" w:rsidP="00BB71B4">
      <w:pPr>
        <w:pStyle w:val="TextoNormalSangraFrancesa"/>
        <w:rPr>
          <w:rStyle w:val="TextoNormalCaracter"/>
        </w:rPr>
      </w:pPr>
      <w:bookmarkStart w:id="1303" w:name="DESCRIPTORALFABETICO368"/>
      <w:r w:rsidRPr="00BB71B4">
        <w:rPr>
          <w:rStyle w:val="TextoNormalNegritaCaracter"/>
        </w:rPr>
        <w:t>Discriminación tributaria</w:t>
      </w:r>
      <w:bookmarkEnd w:id="1303"/>
      <w:r w:rsidRPr="00BB71B4">
        <w:rPr>
          <w:rStyle w:val="TextoNormalCaracter"/>
        </w:rPr>
        <w:t xml:space="preserve">, Sentencia </w:t>
      </w:r>
      <w:hyperlink w:anchor="SENTENCIA_2015_77" w:history="1">
        <w:r w:rsidRPr="00BB71B4">
          <w:rPr>
            <w:rStyle w:val="TextoNormalCaracter"/>
          </w:rPr>
          <w:t>77/2015</w:t>
        </w:r>
      </w:hyperlink>
      <w:r w:rsidRPr="00BB71B4">
        <w:rPr>
          <w:rStyle w:val="TextoNormalCaracter"/>
        </w:rPr>
        <w:t>, f. 3, VP.</w:t>
      </w:r>
    </w:p>
    <w:p w:rsidR="00BB71B4" w:rsidRPr="00BB71B4" w:rsidRDefault="00BB71B4" w:rsidP="00BB71B4">
      <w:pPr>
        <w:pStyle w:val="TextoNormalSangraFrancesa"/>
        <w:rPr>
          <w:rStyle w:val="TextoNormalCaracter"/>
        </w:rPr>
      </w:pPr>
      <w:bookmarkStart w:id="1304" w:name="DESCRIPTORALFABETICO597"/>
      <w:r w:rsidRPr="00BB71B4">
        <w:rPr>
          <w:rStyle w:val="TextoNormalNegritaCaracter"/>
        </w:rPr>
        <w:t>Dispositivos anticonceptivos</w:t>
      </w:r>
      <w:bookmarkEnd w:id="1304"/>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305" w:name="DESCRIPTORALFABETICO101"/>
      <w:r w:rsidRPr="00BB71B4">
        <w:rPr>
          <w:rStyle w:val="TextoNormalNegritaCaracter"/>
        </w:rPr>
        <w:t>Distribución de escaños proporcional a la población</w:t>
      </w:r>
      <w:bookmarkEnd w:id="1305"/>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ff. 6 a 8.</w:t>
      </w:r>
    </w:p>
    <w:p w:rsidR="00BB71B4" w:rsidRPr="00BB71B4" w:rsidRDefault="00BB71B4" w:rsidP="00BB71B4">
      <w:pPr>
        <w:pStyle w:val="TextoNormalSangraFrancesa"/>
        <w:rPr>
          <w:rStyle w:val="TextoNormalCaracter"/>
        </w:rPr>
      </w:pPr>
      <w:bookmarkStart w:id="1306" w:name="DESCRIPTORALFABETICO455"/>
      <w:r w:rsidRPr="00BB71B4">
        <w:rPr>
          <w:rStyle w:val="TextoNormalNegritaCaracter"/>
        </w:rPr>
        <w:t>División de cosa común</w:t>
      </w:r>
      <w:bookmarkEnd w:id="1306"/>
      <w:r w:rsidRPr="00BB71B4">
        <w:rPr>
          <w:rStyle w:val="TextoNormalCaracter"/>
        </w:rPr>
        <w:t xml:space="preserve">, Sentencia </w:t>
      </w:r>
      <w:hyperlink w:anchor="SENTENCIA_2015_101" w:history="1">
        <w:r w:rsidRPr="00BB71B4">
          <w:rPr>
            <w:rStyle w:val="TextoNormalCaracter"/>
          </w:rPr>
          <w:t>101/2015</w:t>
        </w:r>
      </w:hyperlink>
      <w:r w:rsidRPr="00BB71B4">
        <w:rPr>
          <w:rStyle w:val="TextoNormalCaracter"/>
        </w:rPr>
        <w:t>, f. 5.</w:t>
      </w:r>
    </w:p>
    <w:p w:rsidR="00BB71B4" w:rsidRPr="00BB71B4" w:rsidRDefault="00BB71B4" w:rsidP="00BB71B4">
      <w:pPr>
        <w:pStyle w:val="TextoNormalSangraFrancesa"/>
        <w:rPr>
          <w:rStyle w:val="TextoNormalCaracter"/>
        </w:rPr>
      </w:pPr>
      <w:bookmarkStart w:id="1307" w:name="DESCRIPTORALFABETICO81"/>
      <w:r w:rsidRPr="00BB71B4">
        <w:rPr>
          <w:rStyle w:val="TextoNormalNegritaCaracter"/>
        </w:rPr>
        <w:t>Doble imposición</w:t>
      </w:r>
      <w:bookmarkEnd w:id="1307"/>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308" w:name="DESCRIPTORALFABETICO150"/>
      <w:r w:rsidRPr="00BB71B4">
        <w:rPr>
          <w:rStyle w:val="TextoNormalNegritaCaracter"/>
        </w:rPr>
        <w:t>Doble instancia penal</w:t>
      </w:r>
      <w:bookmarkEnd w:id="1308"/>
      <w:r w:rsidRPr="00BB71B4">
        <w:rPr>
          <w:rStyle w:val="TextoNormalCaracter"/>
        </w:rPr>
        <w:t xml:space="preserve">, Sentencia </w:t>
      </w:r>
      <w:hyperlink w:anchor="SENTENCIA_2015_55" w:history="1">
        <w:r w:rsidRPr="00BB71B4">
          <w:rPr>
            <w:rStyle w:val="TextoNormalCaracter"/>
          </w:rPr>
          <w:t>55/2015</w:t>
        </w:r>
      </w:hyperlink>
      <w:r w:rsidRPr="00BB71B4">
        <w:rPr>
          <w:rStyle w:val="TextoNormalCaracter"/>
        </w:rPr>
        <w:t>, f. 4 b).</w:t>
      </w:r>
    </w:p>
    <w:p w:rsidR="00BB71B4" w:rsidRPr="00BB71B4" w:rsidRDefault="00BB71B4" w:rsidP="00BB71B4">
      <w:pPr>
        <w:pStyle w:val="TextoNormalSangraFrancesa"/>
        <w:rPr>
          <w:rStyle w:val="TextoNormalCaracter"/>
        </w:rPr>
      </w:pPr>
      <w:bookmarkStart w:id="1309" w:name="DESCRIPTORALFABETICO524"/>
      <w:r w:rsidRPr="00BB71B4">
        <w:rPr>
          <w:rStyle w:val="TextoNormalNegritaCaracter"/>
        </w:rPr>
        <w:t>Doctrina del Tribunal Europeo de Derechos Humanos</w:t>
      </w:r>
      <w:bookmarkEnd w:id="1309"/>
      <w:r w:rsidRPr="00BB71B4">
        <w:rPr>
          <w:rStyle w:val="TextoNormalCaracter"/>
        </w:rPr>
        <w:t xml:space="preserve">, Sentencias </w:t>
      </w:r>
      <w:hyperlink w:anchor="SENTENCIA_2015_16" w:history="1">
        <w:r w:rsidRPr="00BB71B4">
          <w:rPr>
            <w:rStyle w:val="TextoNormalCaracter"/>
          </w:rPr>
          <w:t>16/2015</w:t>
        </w:r>
      </w:hyperlink>
      <w:r w:rsidRPr="00BB71B4">
        <w:rPr>
          <w:rStyle w:val="TextoNormalCaracter"/>
        </w:rPr>
        <w:t xml:space="preserve">, f. 3; </w:t>
      </w:r>
      <w:hyperlink w:anchor="SENTENCIA_2015_18" w:history="1">
        <w:r w:rsidRPr="00BB71B4">
          <w:rPr>
            <w:rStyle w:val="TextoNormalCaracter"/>
          </w:rPr>
          <w:t>18/2015</w:t>
        </w:r>
      </w:hyperlink>
      <w:r w:rsidRPr="00BB71B4">
        <w:rPr>
          <w:rStyle w:val="TextoNormalCaracter"/>
        </w:rPr>
        <w:t xml:space="preserve">, f. 5; </w:t>
      </w:r>
      <w:hyperlink w:anchor="SENTENCIA_2015_33" w:history="1">
        <w:r w:rsidRPr="00BB71B4">
          <w:rPr>
            <w:rStyle w:val="TextoNormalCaracter"/>
          </w:rPr>
          <w:t>33/2015</w:t>
        </w:r>
      </w:hyperlink>
      <w:r w:rsidRPr="00BB71B4">
        <w:rPr>
          <w:rStyle w:val="TextoNormalCaracter"/>
        </w:rPr>
        <w:t xml:space="preserve">, f. 4; </w:t>
      </w:r>
      <w:hyperlink w:anchor="SENTENCIA_2015_34" w:history="1">
        <w:r w:rsidRPr="00BB71B4">
          <w:rPr>
            <w:rStyle w:val="TextoNormalCaracter"/>
          </w:rPr>
          <w:t>34/2015</w:t>
        </w:r>
      </w:hyperlink>
      <w:r w:rsidRPr="00BB71B4">
        <w:rPr>
          <w:rStyle w:val="TextoNormalCaracter"/>
        </w:rPr>
        <w:t xml:space="preserve">, f. 3; </w:t>
      </w:r>
      <w:hyperlink w:anchor="SENTENCIA_2015_35" w:history="1">
        <w:r w:rsidRPr="00BB71B4">
          <w:rPr>
            <w:rStyle w:val="TextoNormalCaracter"/>
          </w:rPr>
          <w:t>35/2015</w:t>
        </w:r>
      </w:hyperlink>
      <w:r w:rsidRPr="00BB71B4">
        <w:rPr>
          <w:rStyle w:val="TextoNormalCaracter"/>
        </w:rPr>
        <w:t xml:space="preserve">, f. 3; </w:t>
      </w:r>
      <w:hyperlink w:anchor="SENTENCIA_2015_36" w:history="1">
        <w:r w:rsidRPr="00BB71B4">
          <w:rPr>
            <w:rStyle w:val="TextoNormalCaracter"/>
          </w:rPr>
          <w:t>36/2015</w:t>
        </w:r>
      </w:hyperlink>
      <w:r w:rsidRPr="00BB71B4">
        <w:rPr>
          <w:rStyle w:val="TextoNormalCaracter"/>
        </w:rPr>
        <w:t xml:space="preserve">, f. 3; </w:t>
      </w:r>
      <w:hyperlink w:anchor="SENTENCIA_2015_40" w:history="1">
        <w:r w:rsidRPr="00BB71B4">
          <w:rPr>
            <w:rStyle w:val="TextoNormalCaracter"/>
          </w:rPr>
          <w:t>40/2015</w:t>
        </w:r>
      </w:hyperlink>
      <w:r w:rsidRPr="00BB71B4">
        <w:rPr>
          <w:rStyle w:val="TextoNormalCaracter"/>
        </w:rPr>
        <w:t xml:space="preserve">, f. 3; </w:t>
      </w:r>
      <w:hyperlink w:anchor="SENTENCIA_2015_51" w:history="1">
        <w:r w:rsidRPr="00BB71B4">
          <w:rPr>
            <w:rStyle w:val="TextoNormalCaracter"/>
          </w:rPr>
          <w:t>51/2015</w:t>
        </w:r>
      </w:hyperlink>
      <w:r w:rsidRPr="00BB71B4">
        <w:rPr>
          <w:rStyle w:val="TextoNormalCaracter"/>
        </w:rPr>
        <w:t xml:space="preserve">, f. 3; </w:t>
      </w:r>
      <w:hyperlink w:anchor="SENTENCIA_2015_53" w:history="1">
        <w:r w:rsidRPr="00BB71B4">
          <w:rPr>
            <w:rStyle w:val="TextoNormalCaracter"/>
          </w:rPr>
          <w:t>53/2015</w:t>
        </w:r>
      </w:hyperlink>
      <w:r w:rsidRPr="00BB71B4">
        <w:rPr>
          <w:rStyle w:val="TextoNormalCaracter"/>
        </w:rPr>
        <w:t xml:space="preserve">, f. 3; </w:t>
      </w:r>
      <w:hyperlink w:anchor="SENTENCIA_2015_54" w:history="1">
        <w:r w:rsidRPr="00BB71B4">
          <w:rPr>
            <w:rStyle w:val="TextoNormalCaracter"/>
          </w:rPr>
          <w:t>54/2015</w:t>
        </w:r>
      </w:hyperlink>
      <w:r w:rsidRPr="00BB71B4">
        <w:rPr>
          <w:rStyle w:val="TextoNormalCaracter"/>
        </w:rPr>
        <w:t xml:space="preserve">, f. 7; </w:t>
      </w:r>
      <w:hyperlink w:anchor="SENTENCIA_2015_67" w:history="1">
        <w:r w:rsidRPr="00BB71B4">
          <w:rPr>
            <w:rStyle w:val="TextoNormalCaracter"/>
          </w:rPr>
          <w:t>67/2015</w:t>
        </w:r>
      </w:hyperlink>
      <w:r w:rsidRPr="00BB71B4">
        <w:rPr>
          <w:rStyle w:val="TextoNormalCaracter"/>
        </w:rPr>
        <w:t xml:space="preserve">, f. 3; </w:t>
      </w:r>
      <w:hyperlink w:anchor="SENTENCIA_2015_68" w:history="1">
        <w:r w:rsidRPr="00BB71B4">
          <w:rPr>
            <w:rStyle w:val="TextoNormalCaracter"/>
          </w:rPr>
          <w:t>68/2015</w:t>
        </w:r>
      </w:hyperlink>
      <w:r w:rsidRPr="00BB71B4">
        <w:rPr>
          <w:rStyle w:val="TextoNormalCaracter"/>
        </w:rPr>
        <w:t xml:space="preserve">, f. 3; </w:t>
      </w:r>
      <w:hyperlink w:anchor="SENTENCIA_2015_69" w:history="1">
        <w:r w:rsidRPr="00BB71B4">
          <w:rPr>
            <w:rStyle w:val="TextoNormalCaracter"/>
          </w:rPr>
          <w:t>69/2015</w:t>
        </w:r>
      </w:hyperlink>
      <w:r w:rsidRPr="00BB71B4">
        <w:rPr>
          <w:rStyle w:val="TextoNormalCaracter"/>
        </w:rPr>
        <w:t xml:space="preserve">, f. 3; </w:t>
      </w:r>
      <w:hyperlink w:anchor="SENTENCIA_2015_70" w:history="1">
        <w:r w:rsidRPr="00BB71B4">
          <w:rPr>
            <w:rStyle w:val="TextoNormalCaracter"/>
          </w:rPr>
          <w:t>70/2015</w:t>
        </w:r>
      </w:hyperlink>
      <w:r w:rsidRPr="00BB71B4">
        <w:rPr>
          <w:rStyle w:val="TextoNormalCaracter"/>
        </w:rPr>
        <w:t xml:space="preserve">, f. 3; </w:t>
      </w:r>
      <w:hyperlink w:anchor="SENTENCIA_2015_71" w:history="1">
        <w:r w:rsidRPr="00BB71B4">
          <w:rPr>
            <w:rStyle w:val="TextoNormalCaracter"/>
          </w:rPr>
          <w:t>71/2015</w:t>
        </w:r>
      </w:hyperlink>
      <w:r w:rsidRPr="00BB71B4">
        <w:rPr>
          <w:rStyle w:val="TextoNormalCaracter"/>
        </w:rPr>
        <w:t xml:space="preserve">, f. 2; </w:t>
      </w:r>
      <w:hyperlink w:anchor="SENTENCIA_2015_72" w:history="1">
        <w:r w:rsidRPr="00BB71B4">
          <w:rPr>
            <w:rStyle w:val="TextoNormalCaracter"/>
          </w:rPr>
          <w:t>72/2015</w:t>
        </w:r>
      </w:hyperlink>
      <w:r w:rsidRPr="00BB71B4">
        <w:rPr>
          <w:rStyle w:val="TextoNormalCaracter"/>
        </w:rPr>
        <w:t xml:space="preserve">, f. 3; </w:t>
      </w:r>
      <w:hyperlink w:anchor="SENTENCIA_2015_75" w:history="1">
        <w:r w:rsidRPr="00BB71B4">
          <w:rPr>
            <w:rStyle w:val="TextoNormalCaracter"/>
          </w:rPr>
          <w:t>75/2015</w:t>
        </w:r>
      </w:hyperlink>
      <w:r w:rsidRPr="00BB71B4">
        <w:rPr>
          <w:rStyle w:val="TextoNormalCaracter"/>
        </w:rPr>
        <w:t xml:space="preserve">, f. 2; </w:t>
      </w:r>
      <w:hyperlink w:anchor="SENTENCIA_2015_76" w:history="1">
        <w:r w:rsidRPr="00BB71B4">
          <w:rPr>
            <w:rStyle w:val="TextoNormalCaracter"/>
          </w:rPr>
          <w:t>76/2015</w:t>
        </w:r>
      </w:hyperlink>
      <w:r w:rsidRPr="00BB71B4">
        <w:rPr>
          <w:rStyle w:val="TextoNormalCaracter"/>
        </w:rPr>
        <w:t xml:space="preserve">, f. 3; </w:t>
      </w:r>
      <w:hyperlink w:anchor="SENTENCIA_2015_78" w:history="1">
        <w:r w:rsidRPr="00BB71B4">
          <w:rPr>
            <w:rStyle w:val="TextoNormalCaracter"/>
          </w:rPr>
          <w:t>78/2015</w:t>
        </w:r>
      </w:hyperlink>
      <w:r w:rsidRPr="00BB71B4">
        <w:rPr>
          <w:rStyle w:val="TextoNormalCaracter"/>
        </w:rPr>
        <w:t xml:space="preserve">, f. 2; </w:t>
      </w:r>
      <w:hyperlink w:anchor="SENTENCIA_2015_80" w:history="1">
        <w:r w:rsidRPr="00BB71B4">
          <w:rPr>
            <w:rStyle w:val="TextoNormalCaracter"/>
          </w:rPr>
          <w:t>80/2015</w:t>
        </w:r>
      </w:hyperlink>
      <w:r w:rsidRPr="00BB71B4">
        <w:rPr>
          <w:rStyle w:val="TextoNormalCaracter"/>
        </w:rPr>
        <w:t xml:space="preserve">, f. 3; </w:t>
      </w:r>
      <w:hyperlink w:anchor="SENTENCIA_2015_82" w:history="1">
        <w:r w:rsidRPr="00BB71B4">
          <w:rPr>
            <w:rStyle w:val="TextoNormalCaracter"/>
          </w:rPr>
          <w:t>82/2015</w:t>
        </w:r>
      </w:hyperlink>
      <w:r w:rsidRPr="00BB71B4">
        <w:rPr>
          <w:rStyle w:val="TextoNormalCaracter"/>
        </w:rPr>
        <w:t xml:space="preserve">, f. 3; </w:t>
      </w:r>
      <w:hyperlink w:anchor="SENTENCIA_2015_87" w:history="1">
        <w:r w:rsidRPr="00BB71B4">
          <w:rPr>
            <w:rStyle w:val="TextoNormalCaracter"/>
          </w:rPr>
          <w:t>87/2015</w:t>
        </w:r>
      </w:hyperlink>
      <w:r w:rsidRPr="00BB71B4">
        <w:rPr>
          <w:rStyle w:val="TextoNormalCaracter"/>
        </w:rPr>
        <w:t xml:space="preserve">, f. 4; </w:t>
      </w:r>
      <w:hyperlink w:anchor="SENTENCIA_2015_88" w:history="1">
        <w:r w:rsidRPr="00BB71B4">
          <w:rPr>
            <w:rStyle w:val="TextoNormalCaracter"/>
          </w:rPr>
          <w:t>88/2015</w:t>
        </w:r>
      </w:hyperlink>
      <w:r w:rsidRPr="00BB71B4">
        <w:rPr>
          <w:rStyle w:val="TextoNormalCaracter"/>
        </w:rPr>
        <w:t xml:space="preserve">, f. 3; </w:t>
      </w:r>
      <w:hyperlink w:anchor="SENTENCIA_2015_145" w:history="1">
        <w:r w:rsidRPr="00BB71B4">
          <w:rPr>
            <w:rStyle w:val="TextoNormalCaracter"/>
          </w:rPr>
          <w:t>145/2015</w:t>
        </w:r>
      </w:hyperlink>
      <w:r w:rsidRPr="00BB71B4">
        <w:rPr>
          <w:rStyle w:val="TextoNormalCaracter"/>
        </w:rPr>
        <w:t>, VP I.</w:t>
      </w:r>
    </w:p>
    <w:p w:rsidR="00BB71B4" w:rsidRPr="00BB71B4" w:rsidRDefault="00BB71B4" w:rsidP="00BB71B4">
      <w:pPr>
        <w:pStyle w:val="TextoNormalSangraFrancesa"/>
        <w:rPr>
          <w:rStyle w:val="TextoNormalCaracter"/>
        </w:rPr>
      </w:pPr>
      <w:bookmarkStart w:id="1310" w:name="DESCRIPTORALFABETICO667"/>
      <w:r w:rsidRPr="00BB71B4">
        <w:rPr>
          <w:rStyle w:val="TextoNormalNegritaCaracter"/>
        </w:rPr>
        <w:t>Documentación judicial</w:t>
      </w:r>
      <w:bookmarkEnd w:id="1310"/>
      <w:r w:rsidRPr="00BB71B4">
        <w:rPr>
          <w:rStyle w:val="TextoNormalCaracter"/>
        </w:rPr>
        <w:t xml:space="preserve">, Sentencia </w:t>
      </w:r>
      <w:hyperlink w:anchor="SENTENCIA_2015_55" w:history="1">
        <w:r w:rsidRPr="00BB71B4">
          <w:rPr>
            <w:rStyle w:val="TextoNormalCaracter"/>
          </w:rPr>
          <w:t>55/2015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311" w:name="DESCRIPTORALFABETICO457"/>
      <w:r w:rsidRPr="00BB71B4">
        <w:rPr>
          <w:rStyle w:val="TextoNormalNegritaCaracter"/>
        </w:rPr>
        <w:t>Dominio público</w:t>
      </w:r>
      <w:bookmarkEnd w:id="1311"/>
      <w:r w:rsidRPr="00BB71B4">
        <w:rPr>
          <w:rStyle w:val="TextoNormalCaracter"/>
        </w:rPr>
        <w:t xml:space="preserve">, Sentencia </w:t>
      </w:r>
      <w:hyperlink w:anchor="SENTENCIA_2015_5" w:history="1">
        <w:r w:rsidRPr="00BB71B4">
          <w:rPr>
            <w:rStyle w:val="TextoNormalCaracter"/>
          </w:rPr>
          <w:t>5/2015</w:t>
        </w:r>
      </w:hyperlink>
      <w:r w:rsidRPr="00BB71B4">
        <w:rPr>
          <w:rStyle w:val="TextoNormalCaracter"/>
        </w:rPr>
        <w:t>, ff. 3, 4, 5.</w:t>
      </w:r>
    </w:p>
    <w:p w:rsidR="00BB71B4" w:rsidRPr="00BB71B4" w:rsidRDefault="00BB71B4" w:rsidP="00BB71B4">
      <w:pPr>
        <w:pStyle w:val="TextoNormalSangraFrancesa"/>
        <w:rPr>
          <w:rStyle w:val="TextoNormalCaracter"/>
        </w:rPr>
      </w:pPr>
      <w:bookmarkStart w:id="1312" w:name="DESCRIPTORALFABETICO462"/>
      <w:r w:rsidRPr="00BB71B4">
        <w:rPr>
          <w:rStyle w:val="TextoNormalNegritaCaracter"/>
        </w:rPr>
        <w:t>Dominio público hidráulico</w:t>
      </w:r>
      <w:bookmarkEnd w:id="1312"/>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ff. 2 a 6.</w:t>
      </w:r>
    </w:p>
    <w:p w:rsidR="00BB71B4" w:rsidRPr="00BB71B4" w:rsidRDefault="00BB71B4" w:rsidP="00BB71B4">
      <w:pPr>
        <w:pStyle w:val="TextoNormalSangraFrancesa"/>
        <w:rPr>
          <w:rStyle w:val="TextoNormalCaracter"/>
        </w:rPr>
      </w:pPr>
      <w:bookmarkStart w:id="1313" w:name="DESCRIPTORALFABETICO180"/>
      <w:r w:rsidRPr="00BB71B4">
        <w:rPr>
          <w:rStyle w:val="TextoNormalNegritaCaracter"/>
        </w:rPr>
        <w:t>Duración desproporcionada del procedimiento</w:t>
      </w:r>
      <w:bookmarkEnd w:id="1313"/>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ff. 4, 5.</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E</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314" w:name="DESCRIPTORALFABETICO608"/>
      <w:r w:rsidRPr="00BB71B4">
        <w:rPr>
          <w:rStyle w:val="TextoNormalNegritaCaracter"/>
        </w:rPr>
        <w:t>Edad de jubilación</w:t>
      </w:r>
      <w:bookmarkEnd w:id="1314"/>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ff. 2, 6.</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103" w:history="1">
        <w:r w:rsidRPr="00BB71B4">
          <w:rPr>
            <w:rStyle w:val="TextoNormalCaracter"/>
          </w:rPr>
          <w:t>103/2015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315" w:name="DESCRIPTORALFABETICO663"/>
      <w:r w:rsidRPr="00BB71B4">
        <w:rPr>
          <w:rStyle w:val="TextoNormalNegritaCaracter"/>
        </w:rPr>
        <w:t>Efectos de cosa juzgada</w:t>
      </w:r>
      <w:bookmarkEnd w:id="1315"/>
      <w:r w:rsidRPr="00BB71B4">
        <w:rPr>
          <w:rStyle w:val="TextoNormalCaracter"/>
        </w:rPr>
        <w:t xml:space="preserve">, Sentencia </w:t>
      </w:r>
      <w:hyperlink w:anchor="SENTENCIA_2015_7" w:history="1">
        <w:r w:rsidRPr="00BB71B4">
          <w:rPr>
            <w:rStyle w:val="TextoNormalCaracter"/>
          </w:rPr>
          <w:t>7/2015</w:t>
        </w:r>
      </w:hyperlink>
      <w:r w:rsidRPr="00BB71B4">
        <w:rPr>
          <w:rStyle w:val="TextoNormalCaracter"/>
        </w:rPr>
        <w:t>, VP.</w:t>
      </w:r>
    </w:p>
    <w:p w:rsidR="00BB71B4" w:rsidRPr="00BB71B4" w:rsidRDefault="00BB71B4" w:rsidP="00BB71B4">
      <w:pPr>
        <w:pStyle w:val="TextoNormalSangraFrancesa"/>
        <w:rPr>
          <w:rStyle w:val="TextoNormalCaracter"/>
        </w:rPr>
      </w:pPr>
      <w:bookmarkStart w:id="1316" w:name="DESCRIPTORALFABETICO308"/>
      <w:r w:rsidRPr="00BB71B4">
        <w:rPr>
          <w:rStyle w:val="TextoNormalNegritaCaracter"/>
        </w:rPr>
        <w:t>Efectos de las sentencias dictadas en procedimientos de inconstitucionalidad</w:t>
      </w:r>
      <w:bookmarkEnd w:id="1316"/>
      <w:r w:rsidRPr="00BB71B4">
        <w:rPr>
          <w:rStyle w:val="TextoNormalCaracter"/>
        </w:rPr>
        <w:t xml:space="preserve">, Sentencia </w:t>
      </w:r>
      <w:hyperlink w:anchor="SENTENCIA_2015_138" w:history="1">
        <w:r w:rsidRPr="00BB71B4">
          <w:rPr>
            <w:rStyle w:val="TextoNormalCaracter"/>
          </w:rPr>
          <w:t>138/2015</w:t>
        </w:r>
      </w:hyperlink>
      <w:r w:rsidRPr="00BB71B4">
        <w:rPr>
          <w:rStyle w:val="TextoNormalCaracter"/>
        </w:rPr>
        <w:t>, f. 5.</w:t>
      </w:r>
    </w:p>
    <w:p w:rsidR="00BB71B4" w:rsidRPr="00BB71B4" w:rsidRDefault="00BB71B4" w:rsidP="00BB71B4">
      <w:pPr>
        <w:pStyle w:val="TextoNormalSangraFrancesa"/>
        <w:rPr>
          <w:rStyle w:val="TextoNormalCaracter"/>
        </w:rPr>
      </w:pPr>
      <w:bookmarkStart w:id="1317" w:name="DESCRIPTORALFABETICO668"/>
      <w:r w:rsidRPr="00BB71B4">
        <w:rPr>
          <w:rStyle w:val="TextoNormalNegritaCaracter"/>
        </w:rPr>
        <w:t>Ejecución de sentencia penal</w:t>
      </w:r>
      <w:bookmarkEnd w:id="1317"/>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318" w:name="DESCRIPTORALFABETICO307"/>
      <w:r w:rsidRPr="00BB71B4">
        <w:rPr>
          <w:rStyle w:val="TextoNormalNegritaCaracter"/>
        </w:rPr>
        <w:t>Ejecución de sentencias del Tribunal Constitucional</w:t>
      </w:r>
      <w:bookmarkEnd w:id="1318"/>
      <w:r w:rsidRPr="00BB71B4">
        <w:rPr>
          <w:rStyle w:val="TextoNormalCaracter"/>
        </w:rPr>
        <w:t xml:space="preserve">, Auto </w:t>
      </w:r>
      <w:hyperlink w:anchor="AUTO_2015_65" w:history="1">
        <w:r w:rsidRPr="00BB71B4">
          <w:rPr>
            <w:rStyle w:val="TextoNormalCaracter"/>
          </w:rPr>
          <w:t>65/2015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319" w:name="DESCRIPTORALFABETICO192"/>
      <w:r w:rsidRPr="00BB71B4">
        <w:rPr>
          <w:rStyle w:val="TextoNormalNegritaCaracter"/>
        </w:rPr>
        <w:t>Ejercicio reiterado del derecho de manifestación</w:t>
      </w:r>
      <w:bookmarkEnd w:id="1319"/>
      <w:r w:rsidRPr="00BB71B4">
        <w:rPr>
          <w:rStyle w:val="TextoNormalCaracter"/>
        </w:rPr>
        <w:t xml:space="preserve">, Sentencia </w:t>
      </w:r>
      <w:hyperlink w:anchor="SENTENCIA_2015_24" w:history="1">
        <w:r w:rsidRPr="00BB71B4">
          <w:rPr>
            <w:rStyle w:val="TextoNormalCaracter"/>
          </w:rPr>
          <w:t>24/2015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320" w:name="DESCRIPTORALFABETICO65"/>
      <w:r w:rsidRPr="00BB71B4">
        <w:rPr>
          <w:rStyle w:val="TextoNormalNegritaCaracter"/>
        </w:rPr>
        <w:t>Elementos del tributo</w:t>
      </w:r>
      <w:bookmarkEnd w:id="1320"/>
      <w:r w:rsidRPr="00BB71B4">
        <w:rPr>
          <w:rStyle w:val="TextoNormalCaracter"/>
        </w:rPr>
        <w:t xml:space="preserve">, Sentencias </w:t>
      </w:r>
      <w:hyperlink w:anchor="SENTENCIA_2015_108" w:history="1">
        <w:r w:rsidRPr="00BB71B4">
          <w:rPr>
            <w:rStyle w:val="TextoNormalCaracter"/>
          </w:rPr>
          <w:t>108/2015</w:t>
        </w:r>
      </w:hyperlink>
      <w:r w:rsidRPr="00BB71B4">
        <w:rPr>
          <w:rStyle w:val="TextoNormalCaracter"/>
        </w:rPr>
        <w:t xml:space="preserve">, ff. 4, 5; </w:t>
      </w:r>
      <w:hyperlink w:anchor="SENTENCIA_2015_111" w:history="1">
        <w:r w:rsidRPr="00BB71B4">
          <w:rPr>
            <w:rStyle w:val="TextoNormalCaracter"/>
          </w:rPr>
          <w:t>111/2015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321" w:name="DESCRIPTORALFABETICO576"/>
      <w:r w:rsidRPr="00BB71B4">
        <w:rPr>
          <w:rStyle w:val="TextoNormalNegritaCaracter"/>
        </w:rPr>
        <w:t>Embarazo</w:t>
      </w:r>
      <w:bookmarkEnd w:id="1321"/>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 4, VP I.</w:t>
      </w:r>
    </w:p>
    <w:p w:rsidR="00BB71B4" w:rsidRPr="00BB71B4" w:rsidRDefault="00BB71B4" w:rsidP="00BB71B4">
      <w:pPr>
        <w:pStyle w:val="TextoNormalSangraFrancesa"/>
        <w:rPr>
          <w:rStyle w:val="TextoNormalCaracter"/>
        </w:rPr>
      </w:pPr>
      <w:bookmarkStart w:id="1322" w:name="DESCRIPTORALFABETICO651"/>
      <w:r w:rsidRPr="00BB71B4">
        <w:rPr>
          <w:rStyle w:val="TextoNormalNegritaCaracter"/>
        </w:rPr>
        <w:t>Emplazamiento edictal sin agotar los medios de comunicación efectiva</w:t>
      </w:r>
      <w:bookmarkEnd w:id="1322"/>
      <w:r w:rsidRPr="00BB71B4">
        <w:rPr>
          <w:rStyle w:val="TextoNormalCaracter"/>
        </w:rPr>
        <w:t xml:space="preserve">, Sentencia </w:t>
      </w:r>
      <w:hyperlink w:anchor="SENTENCIA_2015_89" w:history="1">
        <w:r w:rsidRPr="00BB71B4">
          <w:rPr>
            <w:rStyle w:val="TextoNormalCaracter"/>
          </w:rPr>
          <w:t>89/2015</w:t>
        </w:r>
      </w:hyperlink>
      <w:r w:rsidRPr="00BB71B4">
        <w:rPr>
          <w:rStyle w:val="TextoNormalCaracter"/>
        </w:rPr>
        <w:t>, ff. 3 a 6.</w:t>
      </w:r>
    </w:p>
    <w:p w:rsidR="00BB71B4" w:rsidRPr="00BB71B4" w:rsidRDefault="00BB71B4" w:rsidP="00BB71B4">
      <w:pPr>
        <w:pStyle w:val="TextoNormalSangraFrancesa"/>
        <w:rPr>
          <w:rStyle w:val="TextoNormalCaracter"/>
        </w:rPr>
      </w:pPr>
      <w:bookmarkStart w:id="1323" w:name="DESCRIPTORALFABETICO652"/>
      <w:r w:rsidRPr="00BB71B4">
        <w:rPr>
          <w:rStyle w:val="TextoNormalNegritaCaracter"/>
        </w:rPr>
        <w:t>Emplazamiento en el domicilio del interesado</w:t>
      </w:r>
      <w:bookmarkEnd w:id="1323"/>
      <w:r w:rsidRPr="00BB71B4">
        <w:rPr>
          <w:rStyle w:val="TextoNormalCaracter"/>
        </w:rPr>
        <w:t xml:space="preserve">, Sentencia </w:t>
      </w:r>
      <w:hyperlink w:anchor="SENTENCIA_2015_89" w:history="1">
        <w:r w:rsidRPr="00BB71B4">
          <w:rPr>
            <w:rStyle w:val="TextoNormalCaracter"/>
          </w:rPr>
          <w:t>89/2015</w:t>
        </w:r>
      </w:hyperlink>
      <w:r w:rsidRPr="00BB71B4">
        <w:rPr>
          <w:rStyle w:val="TextoNormalCaracter"/>
        </w:rPr>
        <w:t>, ff. 3 a 6.</w:t>
      </w:r>
    </w:p>
    <w:p w:rsidR="00BB71B4" w:rsidRPr="00BB71B4" w:rsidRDefault="00BB71B4" w:rsidP="00BB71B4">
      <w:pPr>
        <w:pStyle w:val="TextoNormalSangraFrancesa"/>
        <w:rPr>
          <w:rStyle w:val="TextoNormalCaracter"/>
        </w:rPr>
      </w:pPr>
      <w:bookmarkStart w:id="1324" w:name="DESCRIPTORALFABETICO413"/>
      <w:r w:rsidRPr="00BB71B4">
        <w:rPr>
          <w:rStyle w:val="TextoNormalNegritaCaracter"/>
        </w:rPr>
        <w:t>Empleados públicos</w:t>
      </w:r>
      <w:bookmarkEnd w:id="1324"/>
      <w:r w:rsidRPr="00BB71B4">
        <w:rPr>
          <w:rStyle w:val="TextoNormalCaracter"/>
        </w:rPr>
        <w:t xml:space="preserve">, Sentencias </w:t>
      </w:r>
      <w:hyperlink w:anchor="SENTENCIA_2015_81" w:history="1">
        <w:r w:rsidRPr="00BB71B4">
          <w:rPr>
            <w:rStyle w:val="TextoNormalCaracter"/>
          </w:rPr>
          <w:t>81/2015</w:t>
        </w:r>
      </w:hyperlink>
      <w:r w:rsidRPr="00BB71B4">
        <w:rPr>
          <w:rStyle w:val="TextoNormalCaracter"/>
        </w:rPr>
        <w:t xml:space="preserve">, f. 2; </w:t>
      </w:r>
      <w:hyperlink w:anchor="SENTENCIA_2015_94" w:history="1">
        <w:r w:rsidRPr="00BB71B4">
          <w:rPr>
            <w:rStyle w:val="TextoNormalCaracter"/>
          </w:rPr>
          <w:t>94/2015</w:t>
        </w:r>
      </w:hyperlink>
      <w:r w:rsidRPr="00BB71B4">
        <w:rPr>
          <w:rStyle w:val="TextoNormalCaracter"/>
        </w:rPr>
        <w:t xml:space="preserve">, ff. 3, 4; </w:t>
      </w:r>
      <w:hyperlink w:anchor="SENTENCIA_2015_99" w:history="1">
        <w:r w:rsidRPr="00BB71B4">
          <w:rPr>
            <w:rStyle w:val="TextoNormalCaracter"/>
          </w:rPr>
          <w:t>99/2015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325" w:name="DESCRIPTORALFABETICO467"/>
      <w:r w:rsidRPr="00BB71B4">
        <w:rPr>
          <w:rStyle w:val="TextoNormalNegritaCaracter"/>
        </w:rPr>
        <w:t>Energía eléctrica</w:t>
      </w:r>
      <w:bookmarkEnd w:id="1325"/>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26" w:name="DESCRIPTORALFABETICO472"/>
      <w:r w:rsidRPr="00BB71B4">
        <w:rPr>
          <w:rStyle w:val="TextoNormalNegritaCaracter"/>
        </w:rPr>
        <w:t>Energías renovables</w:t>
      </w:r>
      <w:bookmarkEnd w:id="1326"/>
      <w:r w:rsidRPr="00BB71B4">
        <w:rPr>
          <w:rStyle w:val="TextoNormalCaracter"/>
        </w:rPr>
        <w:t xml:space="preserve">, Sentencias </w:t>
      </w:r>
      <w:hyperlink w:anchor="SENTENCIA_2015_48" w:history="1">
        <w:r w:rsidRPr="00BB71B4">
          <w:rPr>
            <w:rStyle w:val="TextoNormalCaracter"/>
          </w:rPr>
          <w:t>48/2015</w:t>
        </w:r>
      </w:hyperlink>
      <w:r w:rsidRPr="00BB71B4">
        <w:rPr>
          <w:rStyle w:val="TextoNormalCaracter"/>
        </w:rPr>
        <w:t xml:space="preserve">, ff. 2, 5, 6; </w:t>
      </w:r>
      <w:hyperlink w:anchor="SENTENCIA_2015_105" w:history="1">
        <w:r w:rsidRPr="00BB71B4">
          <w:rPr>
            <w:rStyle w:val="TextoNormalCaracter"/>
          </w:rPr>
          <w:t>105/2015</w:t>
        </w:r>
      </w:hyperlink>
      <w:r w:rsidRPr="00BB71B4">
        <w:rPr>
          <w:rStyle w:val="TextoNormalCaracter"/>
        </w:rPr>
        <w:t xml:space="preserve">, ff. 1, 3; </w:t>
      </w:r>
      <w:hyperlink w:anchor="SENTENCIA_2015_106" w:history="1">
        <w:r w:rsidRPr="00BB71B4">
          <w:rPr>
            <w:rStyle w:val="TextoNormalCaracter"/>
          </w:rPr>
          <w:t>106/2015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327" w:name="DESCRIPTORALFABETICO335"/>
      <w:r w:rsidRPr="00BB71B4">
        <w:rPr>
          <w:rStyle w:val="TextoNormalNegritaCaracter"/>
        </w:rPr>
        <w:t>Enmiendas en el Senado</w:t>
      </w:r>
      <w:bookmarkEnd w:id="1327"/>
      <w:r w:rsidRPr="00BB71B4">
        <w:rPr>
          <w:rStyle w:val="TextoNormalCaracter"/>
        </w:rPr>
        <w:t xml:space="preserve">, Sentencias </w:t>
      </w:r>
      <w:hyperlink w:anchor="SENTENCIA_2015_59" w:history="1">
        <w:r w:rsidRPr="00BB71B4">
          <w:rPr>
            <w:rStyle w:val="TextoNormalCaracter"/>
          </w:rPr>
          <w:t>59/2015</w:t>
        </w:r>
      </w:hyperlink>
      <w:r w:rsidRPr="00BB71B4">
        <w:rPr>
          <w:rStyle w:val="TextoNormalCaracter"/>
        </w:rPr>
        <w:t xml:space="preserve">, ff. 5, 6; </w:t>
      </w:r>
      <w:hyperlink w:anchor="SENTENCIA_2015_73" w:history="1">
        <w:r w:rsidRPr="00BB71B4">
          <w:rPr>
            <w:rStyle w:val="TextoNormalCaracter"/>
          </w:rPr>
          <w:t>73/2015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28" w:name="DESCRIPTORALFABETICO441"/>
      <w:r w:rsidRPr="00BB71B4">
        <w:rPr>
          <w:rStyle w:val="TextoNormalNegritaCaracter"/>
        </w:rPr>
        <w:t>Entidades de crédito</w:t>
      </w:r>
      <w:bookmarkEnd w:id="1328"/>
      <w:r w:rsidRPr="00BB71B4">
        <w:rPr>
          <w:rStyle w:val="TextoNormalCaracter"/>
        </w:rPr>
        <w:t xml:space="preserve">, Sentencia </w:t>
      </w:r>
      <w:hyperlink w:anchor="SENTENCIA_2015_14" w:history="1">
        <w:r w:rsidRPr="00BB71B4">
          <w:rPr>
            <w:rStyle w:val="TextoNormalCaracter"/>
          </w:rPr>
          <w:t>14/2015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29" w:name="DESCRIPTORALFABETICO660"/>
      <w:r w:rsidRPr="00BB71B4">
        <w:rPr>
          <w:rStyle w:val="TextoNormalNegritaCaracter"/>
        </w:rPr>
        <w:t>Entrada y registro de domicilio</w:t>
      </w:r>
      <w:bookmarkEnd w:id="1329"/>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ff. 5, 7.</w:t>
      </w:r>
    </w:p>
    <w:p w:rsidR="00BB71B4" w:rsidRPr="00BB71B4" w:rsidRDefault="00BB71B4" w:rsidP="00BB71B4">
      <w:pPr>
        <w:pStyle w:val="TextoNormalSangraFrancesa"/>
        <w:rPr>
          <w:rStyle w:val="TextoNormalCaracter"/>
        </w:rPr>
      </w:pPr>
      <w:bookmarkStart w:id="1330" w:name="DESCRIPTORALFABETICO151"/>
      <w:r w:rsidRPr="00BB71B4">
        <w:rPr>
          <w:rStyle w:val="TextoNormalNegritaCaracter"/>
        </w:rPr>
        <w:t>Error patente</w:t>
      </w:r>
      <w:bookmarkEnd w:id="1330"/>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331" w:name="DESCRIPTORALFABETICO500"/>
      <w:r w:rsidRPr="00BB71B4">
        <w:rPr>
          <w:rStyle w:val="TextoNormalNegritaCaracter"/>
        </w:rPr>
        <w:t>Espacios naturales protegidos</w:t>
      </w:r>
      <w:bookmarkEnd w:id="1331"/>
      <w:r w:rsidRPr="00BB71B4">
        <w:rPr>
          <w:rStyle w:val="TextoNormalCaracter"/>
        </w:rPr>
        <w:t xml:space="preserve">, Sentencia </w:t>
      </w:r>
      <w:hyperlink w:anchor="SENTENCIA_2015_57" w:history="1">
        <w:r w:rsidRPr="00BB71B4">
          <w:rPr>
            <w:rStyle w:val="TextoNormalCaracter"/>
          </w:rPr>
          <w:t>57/2015</w:t>
        </w:r>
      </w:hyperlink>
      <w:r w:rsidRPr="00BB71B4">
        <w:rPr>
          <w:rStyle w:val="TextoNormalCaracter"/>
        </w:rPr>
        <w:t>, ff. 1, 15 c), 18 a).</w:t>
      </w:r>
    </w:p>
    <w:p w:rsidR="00BB71B4" w:rsidRPr="00BB71B4" w:rsidRDefault="00BB71B4" w:rsidP="00BB71B4">
      <w:pPr>
        <w:pStyle w:val="TextoNormalSangraFrancesa"/>
        <w:rPr>
          <w:rStyle w:val="TextoNormalCaracter"/>
        </w:rPr>
      </w:pPr>
      <w:bookmarkStart w:id="1332" w:name="DESCRIPTORALFABETICO298"/>
      <w:r w:rsidRPr="00BB71B4">
        <w:rPr>
          <w:rStyle w:val="TextoNormalNegritaCaracter"/>
        </w:rPr>
        <w:t>Especial trascendencia constitucional</w:t>
      </w:r>
      <w:bookmarkEnd w:id="1332"/>
      <w:r w:rsidRPr="00BB71B4">
        <w:rPr>
          <w:rStyle w:val="TextoNormalCaracter"/>
        </w:rPr>
        <w:t xml:space="preserve">, Sentencias </w:t>
      </w:r>
      <w:hyperlink w:anchor="SENTENCIA_2015_9" w:history="1">
        <w:r w:rsidRPr="00BB71B4">
          <w:rPr>
            <w:rStyle w:val="TextoNormalCaracter"/>
          </w:rPr>
          <w:t>9/2015</w:t>
        </w:r>
      </w:hyperlink>
      <w:r w:rsidRPr="00BB71B4">
        <w:rPr>
          <w:rStyle w:val="TextoNormalCaracter"/>
        </w:rPr>
        <w:t xml:space="preserve">, ff. 2, 3; </w:t>
      </w:r>
      <w:hyperlink w:anchor="SENTENCIA_2015_23" w:history="1">
        <w:r w:rsidRPr="00BB71B4">
          <w:rPr>
            <w:rStyle w:val="TextoNormalCaracter"/>
          </w:rPr>
          <w:t>23/2015</w:t>
        </w:r>
      </w:hyperlink>
      <w:r w:rsidRPr="00BB71B4">
        <w:rPr>
          <w:rStyle w:val="TextoNormalCaracter"/>
        </w:rPr>
        <w:t xml:space="preserve">, f. 2; </w:t>
      </w:r>
      <w:hyperlink w:anchor="SENTENCIA_2015_24" w:history="1">
        <w:r w:rsidRPr="00BB71B4">
          <w:rPr>
            <w:rStyle w:val="TextoNormalCaracter"/>
          </w:rPr>
          <w:t>24/2015</w:t>
        </w:r>
      </w:hyperlink>
      <w:r w:rsidRPr="00BB71B4">
        <w:rPr>
          <w:rStyle w:val="TextoNormalCaracter"/>
        </w:rPr>
        <w:t xml:space="preserve">, ff. 2, 4; </w:t>
      </w:r>
      <w:hyperlink w:anchor="SENTENCIA_2015_42" w:history="1">
        <w:r w:rsidRPr="00BB71B4">
          <w:rPr>
            <w:rStyle w:val="TextoNormalCaracter"/>
          </w:rPr>
          <w:t>42/2015</w:t>
        </w:r>
      </w:hyperlink>
      <w:r w:rsidRPr="00BB71B4">
        <w:rPr>
          <w:rStyle w:val="TextoNormalCaracter"/>
        </w:rPr>
        <w:t xml:space="preserve">, f. 2; </w:t>
      </w:r>
      <w:hyperlink w:anchor="SENTENCIA_2015_65" w:history="1">
        <w:r w:rsidRPr="00BB71B4">
          <w:rPr>
            <w:rStyle w:val="TextoNormalCaracter"/>
          </w:rPr>
          <w:t>65/2015</w:t>
        </w:r>
      </w:hyperlink>
      <w:r w:rsidRPr="00BB71B4">
        <w:rPr>
          <w:rStyle w:val="TextoNormalCaracter"/>
        </w:rPr>
        <w:t xml:space="preserve">, f. 1, VP I; </w:t>
      </w:r>
      <w:hyperlink w:anchor="SENTENCIA_2015_74" w:history="1">
        <w:r w:rsidRPr="00BB71B4">
          <w:rPr>
            <w:rStyle w:val="TextoNormalCaracter"/>
          </w:rPr>
          <w:t>74/2015</w:t>
        </w:r>
      </w:hyperlink>
      <w:r w:rsidRPr="00BB71B4">
        <w:rPr>
          <w:rStyle w:val="TextoNormalCaracter"/>
        </w:rPr>
        <w:t xml:space="preserve">, f. 2; </w:t>
      </w:r>
      <w:hyperlink w:anchor="SENTENCIA_2015_86" w:history="1">
        <w:r w:rsidRPr="00BB71B4">
          <w:rPr>
            <w:rStyle w:val="TextoNormalCaracter"/>
          </w:rPr>
          <w:t>86/2015</w:t>
        </w:r>
      </w:hyperlink>
      <w:r w:rsidRPr="00BB71B4">
        <w:rPr>
          <w:rStyle w:val="TextoNormalCaracter"/>
        </w:rPr>
        <w:t xml:space="preserve">, f. 3; </w:t>
      </w:r>
      <w:hyperlink w:anchor="SENTENCIA_2015_87" w:history="1">
        <w:r w:rsidRPr="00BB71B4">
          <w:rPr>
            <w:rStyle w:val="TextoNormalCaracter"/>
          </w:rPr>
          <w:t>87/2015</w:t>
        </w:r>
      </w:hyperlink>
      <w:r w:rsidRPr="00BB71B4">
        <w:rPr>
          <w:rStyle w:val="TextoNormalCaracter"/>
        </w:rPr>
        <w:t xml:space="preserve">, f. 3; </w:t>
      </w:r>
      <w:hyperlink w:anchor="SENTENCIA_2015_88" w:history="1">
        <w:r w:rsidRPr="00BB71B4">
          <w:rPr>
            <w:rStyle w:val="TextoNormalCaracter"/>
          </w:rPr>
          <w:t>88/2015</w:t>
        </w:r>
      </w:hyperlink>
      <w:r w:rsidRPr="00BB71B4">
        <w:rPr>
          <w:rStyle w:val="TextoNormalCaracter"/>
        </w:rPr>
        <w:t xml:space="preserve">, f. 2; </w:t>
      </w:r>
      <w:hyperlink w:anchor="SENTENCIA_2015_89" w:history="1">
        <w:r w:rsidRPr="00BB71B4">
          <w:rPr>
            <w:rStyle w:val="TextoNormalCaracter"/>
          </w:rPr>
          <w:t>89/2015</w:t>
        </w:r>
      </w:hyperlink>
      <w:r w:rsidRPr="00BB71B4">
        <w:rPr>
          <w:rStyle w:val="TextoNormalCaracter"/>
        </w:rPr>
        <w:t xml:space="preserve">, f. 2; </w:t>
      </w:r>
      <w:hyperlink w:anchor="SENTENCIA_2015_145" w:history="1">
        <w:r w:rsidRPr="00BB71B4">
          <w:rPr>
            <w:rStyle w:val="TextoNormalCaracter"/>
          </w:rPr>
          <w:t>145/2015</w:t>
        </w:r>
      </w:hyperlink>
      <w:r w:rsidRPr="00BB71B4">
        <w:rPr>
          <w:rStyle w:val="TextoNormalCaracter"/>
        </w:rPr>
        <w:t>, f.3.</w:t>
      </w:r>
    </w:p>
    <w:p w:rsidR="00BB71B4" w:rsidRPr="00BB71B4" w:rsidRDefault="00BB71B4" w:rsidP="00BB71B4">
      <w:pPr>
        <w:pStyle w:val="TextoNormalSangraFrancesa"/>
        <w:rPr>
          <w:rStyle w:val="TextoNormalCaracter"/>
        </w:rPr>
      </w:pPr>
      <w:bookmarkStart w:id="1333" w:name="DESCRIPTORALFABETICO627"/>
      <w:r w:rsidRPr="00BB71B4">
        <w:rPr>
          <w:rStyle w:val="TextoNormalNegritaCaracter"/>
        </w:rPr>
        <w:t>Estabilidad en el empleo</w:t>
      </w:r>
      <w:bookmarkEnd w:id="1333"/>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3 b), 7 a), 8 b).</w:t>
      </w:r>
    </w:p>
    <w:p w:rsidR="00BB71B4" w:rsidRPr="00BB71B4" w:rsidRDefault="00BB71B4" w:rsidP="00BB71B4">
      <w:pPr>
        <w:pStyle w:val="TextoNormalSangraFrancesa"/>
        <w:rPr>
          <w:rStyle w:val="TextoNormalCaracter"/>
        </w:rPr>
      </w:pPr>
      <w:bookmarkStart w:id="1334" w:name="DESCRIPTORALFABETICO448"/>
      <w:r w:rsidRPr="00BB71B4">
        <w:rPr>
          <w:rStyle w:val="TextoNormalNegritaCaracter"/>
        </w:rPr>
        <w:t>Estaciones de esquí</w:t>
      </w:r>
      <w:bookmarkEnd w:id="1334"/>
      <w:r w:rsidRPr="00BB71B4">
        <w:rPr>
          <w:rStyle w:val="TextoNormalCaracter"/>
        </w:rPr>
        <w:t xml:space="preserve">, Sentencia </w:t>
      </w:r>
      <w:hyperlink w:anchor="SENTENCIA_2015_50" w:history="1">
        <w:r w:rsidRPr="00BB71B4">
          <w:rPr>
            <w:rStyle w:val="TextoNormalCaracter"/>
          </w:rPr>
          <w:t>50/2015</w:t>
        </w:r>
      </w:hyperlink>
      <w:r w:rsidRPr="00BB71B4">
        <w:rPr>
          <w:rStyle w:val="TextoNormalCaracter"/>
        </w:rPr>
        <w:t>, ff. 3, 6, 7.</w:t>
      </w:r>
    </w:p>
    <w:p w:rsidR="00BB71B4" w:rsidRPr="00BB71B4" w:rsidRDefault="00BB71B4" w:rsidP="00BB71B4">
      <w:pPr>
        <w:pStyle w:val="TextoNormalSangraFrancesa"/>
        <w:rPr>
          <w:rStyle w:val="TextoNormalCaracter"/>
        </w:rPr>
      </w:pPr>
      <w:bookmarkStart w:id="1335" w:name="DESCRIPTORALFABETICO525"/>
      <w:r w:rsidRPr="00BB71B4">
        <w:rPr>
          <w:rStyle w:val="TextoNormalNegritaCaracter"/>
        </w:rPr>
        <w:t>Estatutos de Autonomía</w:t>
      </w:r>
      <w:bookmarkEnd w:id="1335"/>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336" w:name="DESCRIPTORALFABETICO254"/>
      <w:r w:rsidRPr="00BB71B4">
        <w:rPr>
          <w:rStyle w:val="TextoNormalNegritaCaracter"/>
        </w:rPr>
        <w:t>Estimación de recurso de súplica contra providencias de inadmisión del Tribunal Constitucional</w:t>
      </w:r>
      <w:bookmarkEnd w:id="1336"/>
      <w:r w:rsidRPr="00BB71B4">
        <w:rPr>
          <w:rStyle w:val="TextoNormalCaracter"/>
        </w:rPr>
        <w:t xml:space="preserve">, Autos </w:t>
      </w:r>
      <w:hyperlink w:anchor="AUTO_2015_18" w:history="1">
        <w:r w:rsidRPr="00BB71B4">
          <w:rPr>
            <w:rStyle w:val="TextoNormalCaracter"/>
          </w:rPr>
          <w:t>18/2015</w:t>
        </w:r>
      </w:hyperlink>
      <w:r w:rsidRPr="00BB71B4">
        <w:rPr>
          <w:rStyle w:val="TextoNormalCaracter"/>
        </w:rPr>
        <w:t xml:space="preserve">, f. único; </w:t>
      </w:r>
      <w:hyperlink w:anchor="AUTO_2015_31" w:history="1">
        <w:r w:rsidRPr="00BB71B4">
          <w:rPr>
            <w:rStyle w:val="TextoNormalCaracter"/>
          </w:rPr>
          <w:t>31/2015</w:t>
        </w:r>
      </w:hyperlink>
      <w:r w:rsidRPr="00BB71B4">
        <w:rPr>
          <w:rStyle w:val="TextoNormalCaracter"/>
        </w:rPr>
        <w:t xml:space="preserve">, ff. 1, 2; </w:t>
      </w:r>
      <w:hyperlink w:anchor="AUTO_2015_49" w:history="1">
        <w:r w:rsidRPr="00BB71B4">
          <w:rPr>
            <w:rStyle w:val="TextoNormalCaracter"/>
          </w:rPr>
          <w:t>49/2015</w:t>
        </w:r>
      </w:hyperlink>
      <w:r w:rsidRPr="00BB71B4">
        <w:rPr>
          <w:rStyle w:val="TextoNormalCaracter"/>
        </w:rPr>
        <w:t xml:space="preserve">, f. único; </w:t>
      </w:r>
      <w:hyperlink w:anchor="AUTO_2015_99" w:history="1">
        <w:r w:rsidRPr="00BB71B4">
          <w:rPr>
            <w:rStyle w:val="TextoNormalCaracter"/>
          </w:rPr>
          <w:t>99/2015</w:t>
        </w:r>
      </w:hyperlink>
      <w:r w:rsidRPr="00BB71B4">
        <w:rPr>
          <w:rStyle w:val="TextoNormalCaracter"/>
        </w:rPr>
        <w:t xml:space="preserve">, ff. 1 a 4; </w:t>
      </w:r>
      <w:hyperlink w:anchor="AUTO_2015_106" w:history="1">
        <w:r w:rsidRPr="00BB71B4">
          <w:rPr>
            <w:rStyle w:val="TextoNormalCaracter"/>
          </w:rPr>
          <w:t>106/2015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337" w:name="DESCRIPTORALFABETICO251"/>
      <w:r w:rsidRPr="00BB71B4">
        <w:rPr>
          <w:rStyle w:val="TextoNormalNegritaCaracter"/>
        </w:rPr>
        <w:t>Estimación e inadmisión de recurso de amparo</w:t>
      </w:r>
      <w:bookmarkEnd w:id="1337"/>
      <w:r w:rsidRPr="00BB71B4">
        <w:rPr>
          <w:rStyle w:val="TextoNormalCaracter"/>
        </w:rPr>
        <w:t xml:space="preserve">, Auto </w:t>
      </w:r>
      <w:hyperlink w:anchor="AUTO_2015_31" w:history="1">
        <w:r w:rsidRPr="00BB71B4">
          <w:rPr>
            <w:rStyle w:val="TextoNormalCaracter"/>
          </w:rPr>
          <w:t>31/2015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338" w:name="DESCRIPTORALFABETICO252"/>
      <w:r w:rsidRPr="00BB71B4">
        <w:rPr>
          <w:rStyle w:val="TextoNormalNegritaCaracter"/>
        </w:rPr>
        <w:t>Estimación y admisión a trámite de recurso de amparo</w:t>
      </w:r>
      <w:bookmarkEnd w:id="1338"/>
      <w:r w:rsidRPr="00BB71B4">
        <w:rPr>
          <w:rStyle w:val="TextoNormalCaracter"/>
        </w:rPr>
        <w:t xml:space="preserve">, Auto </w:t>
      </w:r>
      <w:hyperlink w:anchor="AUTO_2015_18" w:history="1">
        <w:r w:rsidRPr="00BB71B4">
          <w:rPr>
            <w:rStyle w:val="TextoNormalCaracter"/>
          </w:rPr>
          <w:t>18/2015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339" w:name="DESCRIPTORALFABETICO503"/>
      <w:r w:rsidRPr="00BB71B4">
        <w:rPr>
          <w:rStyle w:val="TextoNormalNegritaCaracter"/>
        </w:rPr>
        <w:t>Evaluación de impacto ambiental</w:t>
      </w:r>
      <w:bookmarkEnd w:id="1339"/>
      <w:r w:rsidRPr="00BB71B4">
        <w:rPr>
          <w:rStyle w:val="TextoNormalCaracter"/>
        </w:rPr>
        <w:t xml:space="preserve">, Sentencia </w:t>
      </w:r>
      <w:hyperlink w:anchor="SENTENCIA_2015_57" w:history="1">
        <w:r w:rsidRPr="00BB71B4">
          <w:rPr>
            <w:rStyle w:val="TextoNormalCaracter"/>
          </w:rPr>
          <w:t>57/2015</w:t>
        </w:r>
      </w:hyperlink>
      <w:r w:rsidRPr="00BB71B4">
        <w:rPr>
          <w:rStyle w:val="TextoNormalCaracter"/>
        </w:rPr>
        <w:t>, ff. 3, 4, 8.</w:t>
      </w:r>
    </w:p>
    <w:p w:rsidR="00BB71B4" w:rsidRPr="00BB71B4" w:rsidRDefault="00BB71B4" w:rsidP="00BB71B4">
      <w:pPr>
        <w:pStyle w:val="TextoNormalSangraFrancesa"/>
        <w:rPr>
          <w:rStyle w:val="TextoNormalCaracter"/>
        </w:rPr>
      </w:pPr>
      <w:bookmarkStart w:id="1340" w:name="DESCRIPTORALFABETICO670"/>
      <w:r w:rsidRPr="00BB71B4">
        <w:rPr>
          <w:rStyle w:val="TextoNormalNegritaCaracter"/>
        </w:rPr>
        <w:t>Excepciones procesales</w:t>
      </w:r>
      <w:bookmarkEnd w:id="1340"/>
      <w:r w:rsidRPr="00BB71B4">
        <w:rPr>
          <w:rStyle w:val="TextoNormalCaracter"/>
        </w:rPr>
        <w:t xml:space="preserve">, Sentencia </w:t>
      </w:r>
      <w:hyperlink w:anchor="SENTENCIA_2015_39" w:history="1">
        <w:r w:rsidRPr="00BB71B4">
          <w:rPr>
            <w:rStyle w:val="TextoNormalCaracter"/>
          </w:rPr>
          <w:t>39/2015</w:t>
        </w:r>
      </w:hyperlink>
      <w:r w:rsidRPr="00BB71B4">
        <w:rPr>
          <w:rStyle w:val="TextoNormalCaracter"/>
        </w:rPr>
        <w:t>, ff. 3, 6.</w:t>
      </w:r>
    </w:p>
    <w:p w:rsidR="00BB71B4" w:rsidRPr="00BB71B4" w:rsidRDefault="00BB71B4" w:rsidP="00BB71B4">
      <w:pPr>
        <w:pStyle w:val="TextoNormalSangraFrancesa"/>
        <w:rPr>
          <w:rStyle w:val="TextoNormalCaracter"/>
        </w:rPr>
      </w:pPr>
      <w:bookmarkStart w:id="1341" w:name="DESCRIPTORALFABETICO201"/>
      <w:r w:rsidRPr="00BB71B4">
        <w:rPr>
          <w:rStyle w:val="TextoNormalNegritaCaracter"/>
        </w:rPr>
        <w:t>Exclusión de un derecho al insulto</w:t>
      </w:r>
      <w:bookmarkEnd w:id="1341"/>
      <w:r w:rsidRPr="00BB71B4">
        <w:rPr>
          <w:rStyle w:val="TextoNormalCaracter"/>
        </w:rPr>
        <w:t xml:space="preserve">, Sentencia </w:t>
      </w:r>
      <w:hyperlink w:anchor="SENTENCIA_2015_65" w:history="1">
        <w:r w:rsidRPr="00BB71B4">
          <w:rPr>
            <w:rStyle w:val="TextoNormalCaracter"/>
          </w:rPr>
          <w:t>65/2015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342" w:name="DESCRIPTORALFABETICO282"/>
      <w:r w:rsidRPr="00BB71B4">
        <w:rPr>
          <w:rStyle w:val="TextoNormalNegritaCaracter"/>
        </w:rPr>
        <w:t>Exigencias del juicio de relevancia</w:t>
      </w:r>
      <w:bookmarkEnd w:id="1342"/>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 3; </w:t>
      </w:r>
      <w:hyperlink w:anchor="SENTENCIA_2015_50" w:history="1">
        <w:r w:rsidRPr="00BB71B4">
          <w:rPr>
            <w:rStyle w:val="TextoNormalCaracter"/>
          </w:rPr>
          <w:t>50/2015</w:t>
        </w:r>
      </w:hyperlink>
      <w:r w:rsidRPr="00BB71B4">
        <w:rPr>
          <w:rStyle w:val="TextoNormalCaracter"/>
        </w:rPr>
        <w:t xml:space="preserve">, f. 2; </w:t>
      </w:r>
      <w:hyperlink w:anchor="SENTENCIA_2015_56" w:history="1">
        <w:r w:rsidRPr="00BB71B4">
          <w:rPr>
            <w:rStyle w:val="TextoNormalCaracter"/>
          </w:rPr>
          <w:t>56/2015</w:t>
        </w:r>
      </w:hyperlink>
      <w:r w:rsidRPr="00BB71B4">
        <w:rPr>
          <w:rStyle w:val="TextoNormalCaracter"/>
        </w:rPr>
        <w:t xml:space="preserve">, f. 2; </w:t>
      </w:r>
      <w:hyperlink w:anchor="SENTENCIA_2015_79" w:history="1">
        <w:r w:rsidRPr="00BB71B4">
          <w:rPr>
            <w:rStyle w:val="TextoNormalCaracter"/>
          </w:rPr>
          <w:t>79/2015</w:t>
        </w:r>
      </w:hyperlink>
      <w:r w:rsidRPr="00BB71B4">
        <w:rPr>
          <w:rStyle w:val="TextoNormalCaracter"/>
        </w:rPr>
        <w:t xml:space="preserve">, f. 3; </w:t>
      </w:r>
      <w:hyperlink w:anchor="SENTENCIA_2015_110" w:history="1">
        <w:r w:rsidRPr="00BB71B4">
          <w:rPr>
            <w:rStyle w:val="TextoNormalCaracter"/>
          </w:rPr>
          <w:t>110/2015</w:t>
        </w:r>
      </w:hyperlink>
      <w:r w:rsidRPr="00BB71B4">
        <w:rPr>
          <w:rStyle w:val="TextoNormalCaracter"/>
        </w:rPr>
        <w:t>, ff. 2, 3, 10.</w:t>
      </w:r>
    </w:p>
    <w:p w:rsidR="00BB71B4" w:rsidRPr="00BB71B4" w:rsidRDefault="00BB71B4" w:rsidP="00BB71B4">
      <w:pPr>
        <w:pStyle w:val="TextoNormalSangraFrancesa"/>
        <w:rPr>
          <w:rStyle w:val="TextoNormalCaracter"/>
        </w:rPr>
      </w:pPr>
      <w:bookmarkStart w:id="1343" w:name="DESCRIPTORALFABETICO141"/>
      <w:r w:rsidRPr="00BB71B4">
        <w:rPr>
          <w:rStyle w:val="TextoNormalNegritaCaracter"/>
        </w:rPr>
        <w:t>Exigencias para desvirtuar la presunción de inocencia</w:t>
      </w:r>
      <w:bookmarkEnd w:id="1343"/>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 4.</w:t>
      </w:r>
    </w:p>
    <w:p w:rsidR="00BB71B4" w:rsidRPr="00BB71B4" w:rsidRDefault="00BB71B4" w:rsidP="00BB71B4">
      <w:pPr>
        <w:pStyle w:val="TextoNormalSangraFrancesa"/>
        <w:rPr>
          <w:rStyle w:val="TextoNormalCaracter"/>
        </w:rPr>
      </w:pPr>
      <w:bookmarkStart w:id="1344" w:name="DESCRIPTORALFABETICO588"/>
      <w:r w:rsidRPr="00BB71B4">
        <w:rPr>
          <w:rStyle w:val="TextoNormalNegritaCaracter"/>
        </w:rPr>
        <w:t>Expectativa de derecho</w:t>
      </w:r>
      <w:bookmarkEnd w:id="1344"/>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5, 6, VP; </w:t>
      </w:r>
      <w:hyperlink w:anchor="SENTENCIA_2015_95" w:history="1">
        <w:r w:rsidRPr="00BB71B4">
          <w:rPr>
            <w:rStyle w:val="TextoNormalCaracter"/>
          </w:rPr>
          <w:t>95/2015</w:t>
        </w:r>
      </w:hyperlink>
      <w:r w:rsidRPr="00BB71B4">
        <w:rPr>
          <w:rStyle w:val="TextoNormalCaracter"/>
        </w:rPr>
        <w:t xml:space="preserve">, f. 6; </w:t>
      </w:r>
      <w:hyperlink w:anchor="SENTENCIA_2015_109" w:history="1">
        <w:r w:rsidRPr="00BB71B4">
          <w:rPr>
            <w:rStyle w:val="TextoNormalCaracter"/>
          </w:rPr>
          <w:t>109/2015</w:t>
        </w:r>
      </w:hyperlink>
      <w:r w:rsidRPr="00BB71B4">
        <w:rPr>
          <w:rStyle w:val="TextoNormalCaracter"/>
        </w:rPr>
        <w:t xml:space="preserve">, f. 2; </w:t>
      </w:r>
      <w:hyperlink w:anchor="SENTENCIA_2015_116" w:history="1">
        <w:r w:rsidRPr="00BB71B4">
          <w:rPr>
            <w:rStyle w:val="TextoNormalCaracter"/>
          </w:rPr>
          <w:t>116/2015</w:t>
        </w:r>
      </w:hyperlink>
      <w:r w:rsidRPr="00BB71B4">
        <w:rPr>
          <w:rStyle w:val="TextoNormalCaracter"/>
        </w:rPr>
        <w:t xml:space="preserve">, f. 2; </w:t>
      </w:r>
      <w:hyperlink w:anchor="SENTENCIA_2015_117" w:history="1">
        <w:r w:rsidRPr="00BB71B4">
          <w:rPr>
            <w:rStyle w:val="TextoNormalCaracter"/>
          </w:rPr>
          <w:t>117/2015</w:t>
        </w:r>
      </w:hyperlink>
      <w:r w:rsidRPr="00BB71B4">
        <w:rPr>
          <w:rStyle w:val="TextoNormalCaracter"/>
        </w:rPr>
        <w:t xml:space="preserve">, f. 3; </w:t>
      </w:r>
      <w:hyperlink w:anchor="SENTENCIA_2015_118" w:history="1">
        <w:r w:rsidRPr="00BB71B4">
          <w:rPr>
            <w:rStyle w:val="TextoNormalCaracter"/>
          </w:rPr>
          <w:t>118/2015</w:t>
        </w:r>
      </w:hyperlink>
      <w:r w:rsidRPr="00BB71B4">
        <w:rPr>
          <w:rStyle w:val="TextoNormalCaracter"/>
        </w:rPr>
        <w:t xml:space="preserve">, f. 3; </w:t>
      </w:r>
      <w:hyperlink w:anchor="SENTENCIA_2015_119" w:history="1">
        <w:r w:rsidRPr="00BB71B4">
          <w:rPr>
            <w:rStyle w:val="TextoNormalCaracter"/>
          </w:rPr>
          <w:t>119/2015</w:t>
        </w:r>
      </w:hyperlink>
      <w:r w:rsidRPr="00BB71B4">
        <w:rPr>
          <w:rStyle w:val="TextoNormalCaracter"/>
        </w:rPr>
        <w:t xml:space="preserve">, f. 2; </w:t>
      </w:r>
      <w:hyperlink w:anchor="SENTENCIA_2015_120" w:history="1">
        <w:r w:rsidRPr="00BB71B4">
          <w:rPr>
            <w:rStyle w:val="TextoNormalCaracter"/>
          </w:rPr>
          <w:t>120/2015</w:t>
        </w:r>
      </w:hyperlink>
      <w:r w:rsidRPr="00BB71B4">
        <w:rPr>
          <w:rStyle w:val="TextoNormalCaracter"/>
        </w:rPr>
        <w:t xml:space="preserve">, f. 2; </w:t>
      </w:r>
      <w:hyperlink w:anchor="SENTENCIA_2015_121" w:history="1">
        <w:r w:rsidRPr="00BB71B4">
          <w:rPr>
            <w:rStyle w:val="TextoNormalCaracter"/>
          </w:rPr>
          <w:t>121/2015</w:t>
        </w:r>
      </w:hyperlink>
      <w:r w:rsidRPr="00BB71B4">
        <w:rPr>
          <w:rStyle w:val="TextoNormalCaracter"/>
        </w:rPr>
        <w:t xml:space="preserve">, f. 2; </w:t>
      </w:r>
      <w:hyperlink w:anchor="SENTENCIA_2015_122" w:history="1">
        <w:r w:rsidRPr="00BB71B4">
          <w:rPr>
            <w:rStyle w:val="TextoNormalCaracter"/>
          </w:rPr>
          <w:t>122/2015</w:t>
        </w:r>
      </w:hyperlink>
      <w:r w:rsidRPr="00BB71B4">
        <w:rPr>
          <w:rStyle w:val="TextoNormalCaracter"/>
        </w:rPr>
        <w:t xml:space="preserve">, f. 2; </w:t>
      </w:r>
      <w:hyperlink w:anchor="SENTENCIA_2015_123" w:history="1">
        <w:r w:rsidRPr="00BB71B4">
          <w:rPr>
            <w:rStyle w:val="TextoNormalCaracter"/>
          </w:rPr>
          <w:t>123/2015</w:t>
        </w:r>
      </w:hyperlink>
      <w:r w:rsidRPr="00BB71B4">
        <w:rPr>
          <w:rStyle w:val="TextoNormalCaracter"/>
        </w:rPr>
        <w:t xml:space="preserve">, f. 2; </w:t>
      </w:r>
      <w:hyperlink w:anchor="SENTENCIA_2015_125" w:history="1">
        <w:r w:rsidRPr="00BB71B4">
          <w:rPr>
            <w:rStyle w:val="TextoNormalCaracter"/>
          </w:rPr>
          <w:t>125/2015</w:t>
        </w:r>
      </w:hyperlink>
      <w:r w:rsidRPr="00BB71B4">
        <w:rPr>
          <w:rStyle w:val="TextoNormalCaracter"/>
        </w:rPr>
        <w:t xml:space="preserve">, f. 2; </w:t>
      </w:r>
      <w:hyperlink w:anchor="SENTENCIA_2015_126" w:history="1">
        <w:r w:rsidRPr="00BB71B4">
          <w:rPr>
            <w:rStyle w:val="TextoNormalCaracter"/>
          </w:rPr>
          <w:t>126/2015</w:t>
        </w:r>
      </w:hyperlink>
      <w:r w:rsidRPr="00BB71B4">
        <w:rPr>
          <w:rStyle w:val="TextoNormalCaracter"/>
        </w:rPr>
        <w:t xml:space="preserve">, f. 2; </w:t>
      </w:r>
      <w:hyperlink w:anchor="SENTENCIA_2015_127" w:history="1">
        <w:r w:rsidRPr="00BB71B4">
          <w:rPr>
            <w:rStyle w:val="TextoNormalCaracter"/>
          </w:rPr>
          <w:t>127/2015</w:t>
        </w:r>
      </w:hyperlink>
      <w:r w:rsidRPr="00BB71B4">
        <w:rPr>
          <w:rStyle w:val="TextoNormalCaracter"/>
        </w:rPr>
        <w:t xml:space="preserve">, f. 2; </w:t>
      </w:r>
      <w:hyperlink w:anchor="SENTENCIA_2015_128" w:history="1">
        <w:r w:rsidRPr="00BB71B4">
          <w:rPr>
            <w:rStyle w:val="TextoNormalCaracter"/>
          </w:rPr>
          <w:t>128/2015</w:t>
        </w:r>
      </w:hyperlink>
      <w:r w:rsidRPr="00BB71B4">
        <w:rPr>
          <w:rStyle w:val="TextoNormalCaracter"/>
        </w:rPr>
        <w:t xml:space="preserve">, f. 2; </w:t>
      </w:r>
      <w:hyperlink w:anchor="SENTENCIA_2015_129" w:history="1">
        <w:r w:rsidRPr="00BB71B4">
          <w:rPr>
            <w:rStyle w:val="TextoNormalCaracter"/>
          </w:rPr>
          <w:t>129/2015</w:t>
        </w:r>
      </w:hyperlink>
      <w:r w:rsidRPr="00BB71B4">
        <w:rPr>
          <w:rStyle w:val="TextoNormalCaracter"/>
        </w:rPr>
        <w:t xml:space="preserve">, f. 2; </w:t>
      </w:r>
      <w:hyperlink w:anchor="SENTENCIA_2015_130" w:history="1">
        <w:r w:rsidRPr="00BB71B4">
          <w:rPr>
            <w:rStyle w:val="TextoNormalCaracter"/>
          </w:rPr>
          <w:t>130/2015</w:t>
        </w:r>
      </w:hyperlink>
      <w:r w:rsidRPr="00BB71B4">
        <w:rPr>
          <w:rStyle w:val="TextoNormalCaracter"/>
        </w:rPr>
        <w:t xml:space="preserve">, f. 2; </w:t>
      </w:r>
      <w:hyperlink w:anchor="SENTENCIA_2015_131" w:history="1">
        <w:r w:rsidRPr="00BB71B4">
          <w:rPr>
            <w:rStyle w:val="TextoNormalCaracter"/>
          </w:rPr>
          <w:t>131/2015</w:t>
        </w:r>
      </w:hyperlink>
      <w:r w:rsidRPr="00BB71B4">
        <w:rPr>
          <w:rStyle w:val="TextoNormalCaracter"/>
        </w:rPr>
        <w:t xml:space="preserve">, f. 2; </w:t>
      </w:r>
      <w:hyperlink w:anchor="SENTENCIA_2015_132" w:history="1">
        <w:r w:rsidRPr="00BB71B4">
          <w:rPr>
            <w:rStyle w:val="TextoNormalCaracter"/>
          </w:rPr>
          <w:t>132/2015</w:t>
        </w:r>
      </w:hyperlink>
      <w:r w:rsidRPr="00BB71B4">
        <w:rPr>
          <w:rStyle w:val="TextoNormalCaracter"/>
        </w:rPr>
        <w:t xml:space="preserve">, f. 2; </w:t>
      </w:r>
      <w:hyperlink w:anchor="SENTENCIA_2015_133" w:history="1">
        <w:r w:rsidRPr="00BB71B4">
          <w:rPr>
            <w:rStyle w:val="TextoNormalCaracter"/>
          </w:rPr>
          <w:t>133/2015</w:t>
        </w:r>
      </w:hyperlink>
      <w:r w:rsidRPr="00BB71B4">
        <w:rPr>
          <w:rStyle w:val="TextoNormalCaracter"/>
        </w:rPr>
        <w:t xml:space="preserve">, f. 2; </w:t>
      </w:r>
      <w:hyperlink w:anchor="SENTENCIA_2015_134" w:history="1">
        <w:r w:rsidRPr="00BB71B4">
          <w:rPr>
            <w:rStyle w:val="TextoNormalCaracter"/>
          </w:rPr>
          <w:t>134/2015</w:t>
        </w:r>
      </w:hyperlink>
      <w:r w:rsidRPr="00BB71B4">
        <w:rPr>
          <w:rStyle w:val="TextoNormalCaracter"/>
        </w:rPr>
        <w:t xml:space="preserve">, f. 2; </w:t>
      </w:r>
      <w:hyperlink w:anchor="SENTENCIA_2015_135" w:history="1">
        <w:r w:rsidRPr="00BB71B4">
          <w:rPr>
            <w:rStyle w:val="TextoNormalCaracter"/>
          </w:rPr>
          <w:t>135/2015</w:t>
        </w:r>
      </w:hyperlink>
      <w:r w:rsidRPr="00BB71B4">
        <w:rPr>
          <w:rStyle w:val="TextoNormalCaracter"/>
        </w:rPr>
        <w:t xml:space="preserve">, f. 2; </w:t>
      </w:r>
      <w:hyperlink w:anchor="SENTENCIA_2015_144" w:history="1">
        <w:r w:rsidRPr="00BB71B4">
          <w:rPr>
            <w:rStyle w:val="TextoNormalCaracter"/>
          </w:rPr>
          <w:t>144/2015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345" w:name="DESCRIPTORALFABETICO434"/>
      <w:r w:rsidRPr="00BB71B4">
        <w:rPr>
          <w:rStyle w:val="TextoNormalNegritaCaracter"/>
        </w:rPr>
        <w:t>Explotación agraria de titularidad compartida</w:t>
      </w:r>
      <w:bookmarkEnd w:id="1345"/>
      <w:r w:rsidRPr="00BB71B4">
        <w:rPr>
          <w:rStyle w:val="TextoNormalCaracter"/>
        </w:rPr>
        <w:t xml:space="preserve">, Sentencia </w:t>
      </w:r>
      <w:hyperlink w:anchor="SENTENCIA_2015_11" w:history="1">
        <w:r w:rsidRPr="00BB71B4">
          <w:rPr>
            <w:rStyle w:val="TextoNormalCaracter"/>
          </w:rPr>
          <w:t>11/2015</w:t>
        </w:r>
      </w:hyperlink>
      <w:r w:rsidRPr="00BB71B4">
        <w:rPr>
          <w:rStyle w:val="TextoNormalCaracter"/>
        </w:rPr>
        <w:t>, ff. 3 a 8.</w:t>
      </w:r>
    </w:p>
    <w:p w:rsidR="00BB71B4" w:rsidRPr="00BB71B4" w:rsidRDefault="00BB71B4" w:rsidP="00BB71B4">
      <w:pPr>
        <w:pStyle w:val="TextoNormalSangraFrancesa"/>
        <w:rPr>
          <w:rStyle w:val="TextoNormalCaracter"/>
        </w:rPr>
      </w:pPr>
      <w:bookmarkStart w:id="1346" w:name="DESCRIPTORALFABETICO492"/>
      <w:r w:rsidRPr="00BB71B4">
        <w:rPr>
          <w:rStyle w:val="TextoNormalNegritaCaracter"/>
        </w:rPr>
        <w:t>Explotaciones ganaderas</w:t>
      </w:r>
      <w:bookmarkEnd w:id="1346"/>
      <w:r w:rsidRPr="00BB71B4">
        <w:rPr>
          <w:rStyle w:val="TextoNormalCaracter"/>
        </w:rPr>
        <w:t xml:space="preserve">, Sentencia </w:t>
      </w:r>
      <w:hyperlink w:anchor="SENTENCIA_2015_58" w:history="1">
        <w:r w:rsidRPr="00BB71B4">
          <w:rPr>
            <w:rStyle w:val="TextoNormalCaracter"/>
          </w:rPr>
          <w:t>58/2015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47" w:name="DESCRIPTORALFABETICO475"/>
      <w:r w:rsidRPr="00BB71B4">
        <w:rPr>
          <w:rStyle w:val="TextoNormalNegritaCaracter"/>
        </w:rPr>
        <w:t>Expropiación forzosa</w:t>
      </w:r>
      <w:bookmarkEnd w:id="1347"/>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ff. 1, 2; </w:t>
      </w:r>
      <w:hyperlink w:anchor="SENTENCIA_2015_56" w:history="1">
        <w:r w:rsidRPr="00BB71B4">
          <w:rPr>
            <w:rStyle w:val="TextoNormalCaracter"/>
          </w:rPr>
          <w:t>56/2015</w:t>
        </w:r>
      </w:hyperlink>
      <w:r w:rsidRPr="00BB71B4">
        <w:rPr>
          <w:rStyle w:val="TextoNormalCaracter"/>
        </w:rPr>
        <w:t xml:space="preserve">, ff. 1 a 3; </w:t>
      </w:r>
      <w:hyperlink w:anchor="SENTENCIA_2015_93" w:history="1">
        <w:r w:rsidRPr="00BB71B4">
          <w:rPr>
            <w:rStyle w:val="TextoNormalCaracter"/>
          </w:rPr>
          <w:t>93/2015</w:t>
        </w:r>
      </w:hyperlink>
      <w:r w:rsidRPr="00BB71B4">
        <w:rPr>
          <w:rStyle w:val="TextoNormalCaracter"/>
        </w:rPr>
        <w:t>, ff. 16 a 18, VP II.</w:t>
      </w:r>
    </w:p>
    <w:p w:rsidR="00BB71B4" w:rsidRPr="00BB71B4" w:rsidRDefault="00BB71B4" w:rsidP="00BB71B4">
      <w:pPr>
        <w:pStyle w:val="TextoNormalSangraFrancesa"/>
        <w:rPr>
          <w:rStyle w:val="TextoNormalCaracter"/>
        </w:rPr>
      </w:pPr>
      <w:bookmarkStart w:id="1348" w:name="DESCRIPTORALFABETICO476"/>
      <w:r w:rsidRPr="00BB71B4">
        <w:rPr>
          <w:rStyle w:val="TextoNormalNegritaCaracter"/>
        </w:rPr>
        <w:t>Expropiación legislativa</w:t>
      </w:r>
      <w:bookmarkEnd w:id="1348"/>
      <w:r w:rsidRPr="00BB71B4">
        <w:rPr>
          <w:rStyle w:val="TextoNormalCaracter"/>
        </w:rPr>
        <w:t xml:space="preserve">, Sentencia </w:t>
      </w:r>
      <w:hyperlink w:anchor="SENTENCIA_2015_49" w:history="1">
        <w:r w:rsidRPr="00BB71B4">
          <w:rPr>
            <w:rStyle w:val="TextoNormalCaracter"/>
          </w:rPr>
          <w:t>49/2015</w:t>
        </w:r>
      </w:hyperlink>
      <w:r w:rsidRPr="00BB71B4">
        <w:rPr>
          <w:rStyle w:val="TextoNormalCaracter"/>
        </w:rPr>
        <w:t>, f. 6.</w:t>
      </w:r>
    </w:p>
    <w:p w:rsidR="00BB71B4" w:rsidRPr="00BB71B4" w:rsidRDefault="00BB71B4" w:rsidP="00BB71B4">
      <w:pPr>
        <w:pStyle w:val="TextoNormalSangraFrancesa"/>
        <w:rPr>
          <w:rStyle w:val="TextoNormalCaracter"/>
        </w:rPr>
      </w:pPr>
      <w:bookmarkStart w:id="1349" w:name="DESCRIPTORALFABETICO480"/>
      <w:r w:rsidRPr="00BB71B4">
        <w:rPr>
          <w:rStyle w:val="TextoNormalNegritaCaracter"/>
        </w:rPr>
        <w:t>Expulsión de extranjeros</w:t>
      </w:r>
      <w:bookmarkEnd w:id="1349"/>
      <w:r w:rsidRPr="00BB71B4">
        <w:rPr>
          <w:rStyle w:val="TextoNormalCaracter"/>
        </w:rPr>
        <w:t xml:space="preserve">, Sentencias </w:t>
      </w:r>
      <w:hyperlink w:anchor="SENTENCIA_2015_87" w:history="1">
        <w:r w:rsidRPr="00BB71B4">
          <w:rPr>
            <w:rStyle w:val="TextoNormalCaracter"/>
          </w:rPr>
          <w:t>87/2015</w:t>
        </w:r>
      </w:hyperlink>
      <w:r w:rsidRPr="00BB71B4">
        <w:rPr>
          <w:rStyle w:val="TextoNormalCaracter"/>
        </w:rPr>
        <w:t xml:space="preserve">, ff. 3, 4; </w:t>
      </w:r>
      <w:hyperlink w:anchor="SENTENCIA_2015_88" w:history="1">
        <w:r w:rsidRPr="00BB71B4">
          <w:rPr>
            <w:rStyle w:val="TextoNormalCaracter"/>
          </w:rPr>
          <w:t>88/2015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350" w:name="DESCRIPTORALFABETICO266"/>
      <w:r w:rsidRPr="00BB71B4">
        <w:rPr>
          <w:rStyle w:val="TextoNormalNegritaCaracter"/>
        </w:rPr>
        <w:t>Extinción de cuestión de inconstitucionalidad</w:t>
      </w:r>
      <w:bookmarkEnd w:id="1350"/>
      <w:r w:rsidRPr="00BB71B4">
        <w:rPr>
          <w:rStyle w:val="TextoNormalCaracter"/>
        </w:rPr>
        <w:t xml:space="preserve">, Sentencias </w:t>
      </w:r>
      <w:hyperlink w:anchor="SENTENCIA_2015_97" w:history="1">
        <w:r w:rsidRPr="00BB71B4">
          <w:rPr>
            <w:rStyle w:val="TextoNormalCaracter"/>
          </w:rPr>
          <w:t>97/2015</w:t>
        </w:r>
      </w:hyperlink>
      <w:r w:rsidRPr="00BB71B4">
        <w:rPr>
          <w:rStyle w:val="TextoNormalCaracter"/>
        </w:rPr>
        <w:t xml:space="preserve">, f. 3; </w:t>
      </w:r>
      <w:hyperlink w:anchor="SENTENCIA_2015_100" w:history="1">
        <w:r w:rsidRPr="00BB71B4">
          <w:rPr>
            <w:rStyle w:val="TextoNormalCaracter"/>
          </w:rPr>
          <w:t>100/2015</w:t>
        </w:r>
      </w:hyperlink>
      <w:r w:rsidRPr="00BB71B4">
        <w:rPr>
          <w:rStyle w:val="TextoNormalCaracter"/>
        </w:rPr>
        <w:t xml:space="preserve">, f. 3; </w:t>
      </w:r>
      <w:hyperlink w:anchor="SENTENCIA_2015_141" w:history="1">
        <w:r w:rsidRPr="00BB71B4">
          <w:rPr>
            <w:rStyle w:val="TextoNormalCaracter"/>
          </w:rPr>
          <w:t>141/2015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28" w:history="1">
        <w:r w:rsidRPr="00BB71B4">
          <w:rPr>
            <w:rStyle w:val="TextoNormalCaracter"/>
          </w:rPr>
          <w:t>28/2015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351" w:name="DESCRIPTORALFABETICO628"/>
      <w:r w:rsidRPr="00BB71B4">
        <w:rPr>
          <w:rStyle w:val="TextoNormalNegritaCaracter"/>
        </w:rPr>
        <w:t>Extinción del contrato de trabajo</w:t>
      </w:r>
      <w:bookmarkEnd w:id="1351"/>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ff. 3 apartados b) y e), 7 a), 8 b) y c), 10 a), VP; </w:t>
      </w:r>
      <w:hyperlink w:anchor="SENTENCIA_2015_140" w:history="1">
        <w:r w:rsidRPr="00BB71B4">
          <w:rPr>
            <w:rStyle w:val="TextoNormalCaracter"/>
          </w:rPr>
          <w:t>140/2015</w:t>
        </w:r>
      </w:hyperlink>
      <w:r w:rsidRPr="00BB71B4">
        <w:rPr>
          <w:rStyle w:val="TextoNormalCaracter"/>
        </w:rPr>
        <w:t>, f. 2.</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F</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352" w:name="DESCRIPTORALFABETICO506"/>
      <w:r w:rsidRPr="00BB71B4">
        <w:rPr>
          <w:rStyle w:val="TextoNormalNegritaCaracter"/>
        </w:rPr>
        <w:t>Facultades y deberes urbanísticos de los propietarios del suelo</w:t>
      </w:r>
      <w:bookmarkEnd w:id="1352"/>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 5; </w:t>
      </w:r>
      <w:hyperlink w:anchor="SENTENCIA_2015_56" w:history="1">
        <w:r w:rsidRPr="00BB71B4">
          <w:rPr>
            <w:rStyle w:val="TextoNormalCaracter"/>
          </w:rPr>
          <w:t>56/2015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53" w:name="DESCRIPTORALFABETICO112"/>
      <w:r w:rsidRPr="00BB71B4">
        <w:rPr>
          <w:rStyle w:val="TextoNormalNegritaCaracter"/>
        </w:rPr>
        <w:t>Falta de justificación razonable del tratamiento diferenciado</w:t>
      </w:r>
      <w:bookmarkEnd w:id="1353"/>
      <w:r w:rsidRPr="00BB71B4">
        <w:rPr>
          <w:rStyle w:val="TextoNormalCaracter"/>
        </w:rPr>
        <w:t xml:space="preserve">, Sentencias </w:t>
      </w:r>
      <w:hyperlink w:anchor="SENTENCIA_2015_41" w:history="1">
        <w:r w:rsidRPr="00BB71B4">
          <w:rPr>
            <w:rStyle w:val="TextoNormalCaracter"/>
          </w:rPr>
          <w:t>41/2015</w:t>
        </w:r>
      </w:hyperlink>
      <w:r w:rsidRPr="00BB71B4">
        <w:rPr>
          <w:rStyle w:val="TextoNormalCaracter"/>
        </w:rPr>
        <w:t xml:space="preserve">, f. 4; </w:t>
      </w:r>
      <w:hyperlink w:anchor="SENTENCIA_2015_60" w:history="1">
        <w:r w:rsidRPr="00BB71B4">
          <w:rPr>
            <w:rStyle w:val="TextoNormalCaracter"/>
          </w:rPr>
          <w:t>60/2015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354" w:name="DESCRIPTORALFABETICO158"/>
      <w:r w:rsidRPr="00BB71B4">
        <w:rPr>
          <w:rStyle w:val="TextoNormalNegritaCaracter"/>
        </w:rPr>
        <w:t>Falta de motivación de las resoluciones judiciales</w:t>
      </w:r>
      <w:bookmarkEnd w:id="1354"/>
      <w:r w:rsidRPr="00BB71B4">
        <w:rPr>
          <w:rStyle w:val="TextoNormalCaracter"/>
        </w:rPr>
        <w:t xml:space="preserve">, Sentencias </w:t>
      </w:r>
      <w:hyperlink w:anchor="SENTENCIA_2015_91" w:history="1">
        <w:r w:rsidRPr="00BB71B4">
          <w:rPr>
            <w:rStyle w:val="TextoNormalCaracter"/>
          </w:rPr>
          <w:t>91/2015</w:t>
        </w:r>
      </w:hyperlink>
      <w:r w:rsidRPr="00BB71B4">
        <w:rPr>
          <w:rStyle w:val="TextoNormalCaracter"/>
        </w:rPr>
        <w:t xml:space="preserve">, ff. 2, 3; </w:t>
      </w:r>
      <w:hyperlink w:anchor="SENTENCIA_2015_96" w:history="1">
        <w:r w:rsidRPr="00BB71B4">
          <w:rPr>
            <w:rStyle w:val="TextoNormalCaracter"/>
          </w:rPr>
          <w:t>96/2015</w:t>
        </w:r>
      </w:hyperlink>
      <w:r w:rsidRPr="00BB71B4">
        <w:rPr>
          <w:rStyle w:val="TextoNormalCaracter"/>
        </w:rPr>
        <w:t xml:space="preserve">, f. 2; </w:t>
      </w:r>
      <w:hyperlink w:anchor="SENTENCIA_2015_98" w:history="1">
        <w:r w:rsidRPr="00BB71B4">
          <w:rPr>
            <w:rStyle w:val="TextoNormalCaracter"/>
          </w:rPr>
          <w:t>98/2015</w:t>
        </w:r>
      </w:hyperlink>
      <w:r w:rsidRPr="00BB71B4">
        <w:rPr>
          <w:rStyle w:val="TextoNormalCaracter"/>
        </w:rPr>
        <w:t xml:space="preserve">, ff. 3, 4; </w:t>
      </w:r>
      <w:hyperlink w:anchor="SENTENCIA_2015_142" w:history="1">
        <w:r w:rsidRPr="00BB71B4">
          <w:rPr>
            <w:rStyle w:val="TextoNormalCaracter"/>
          </w:rPr>
          <w:t>142/2015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355" w:name="DESCRIPTORALFABETICO653"/>
      <w:r w:rsidRPr="00BB71B4">
        <w:rPr>
          <w:rStyle w:val="TextoNormalNegritaCaracter"/>
        </w:rPr>
        <w:t>Falta de notificación personal al interesado</w:t>
      </w:r>
      <w:bookmarkEnd w:id="1355"/>
      <w:r w:rsidRPr="00BB71B4">
        <w:rPr>
          <w:rStyle w:val="TextoNormalCaracter"/>
        </w:rPr>
        <w:t xml:space="preserve">, Sentencia </w:t>
      </w:r>
      <w:hyperlink w:anchor="SENTENCIA_2015_89" w:history="1">
        <w:r w:rsidRPr="00BB71B4">
          <w:rPr>
            <w:rStyle w:val="TextoNormalCaracter"/>
          </w:rPr>
          <w:t>89/2015</w:t>
        </w:r>
      </w:hyperlink>
      <w:r w:rsidRPr="00BB71B4">
        <w:rPr>
          <w:rStyle w:val="TextoNormalCaracter"/>
        </w:rPr>
        <w:t>, ff. 3 a 6.</w:t>
      </w:r>
    </w:p>
    <w:p w:rsidR="00BB71B4" w:rsidRPr="00BB71B4" w:rsidRDefault="00BB71B4" w:rsidP="00BB71B4">
      <w:pPr>
        <w:pStyle w:val="TextoNormalSangraFrancesa"/>
        <w:rPr>
          <w:rStyle w:val="TextoNormalCaracter"/>
        </w:rPr>
      </w:pPr>
      <w:bookmarkStart w:id="1356" w:name="DESCRIPTORALFABETICO498"/>
      <w:r w:rsidRPr="00BB71B4">
        <w:rPr>
          <w:rStyle w:val="TextoNormalNegritaCaracter"/>
        </w:rPr>
        <w:t>Faltas penales</w:t>
      </w:r>
      <w:bookmarkEnd w:id="1356"/>
      <w:r w:rsidRPr="00BB71B4">
        <w:rPr>
          <w:rStyle w:val="TextoNormalCaracter"/>
        </w:rPr>
        <w:t xml:space="preserve">, Sentencias </w:t>
      </w:r>
      <w:hyperlink w:anchor="SENTENCIA_2015_3" w:history="1">
        <w:r w:rsidRPr="00BB71B4">
          <w:rPr>
            <w:rStyle w:val="TextoNormalCaracter"/>
          </w:rPr>
          <w:t>3/2015</w:t>
        </w:r>
      </w:hyperlink>
      <w:r w:rsidRPr="00BB71B4">
        <w:rPr>
          <w:rStyle w:val="TextoNormalCaracter"/>
        </w:rPr>
        <w:t xml:space="preserve">, ff. 1, 3; </w:t>
      </w:r>
      <w:hyperlink w:anchor="SENTENCIA_2015_4" w:history="1">
        <w:r w:rsidRPr="00BB71B4">
          <w:rPr>
            <w:rStyle w:val="TextoNormalCaracter"/>
          </w:rPr>
          <w:t>4/2015</w:t>
        </w:r>
      </w:hyperlink>
      <w:r w:rsidRPr="00BB71B4">
        <w:rPr>
          <w:rStyle w:val="TextoNormalCaracter"/>
        </w:rPr>
        <w:t>, f. 1.</w:t>
      </w:r>
    </w:p>
    <w:p w:rsidR="00BB71B4" w:rsidRPr="00BB71B4" w:rsidRDefault="00BB71B4" w:rsidP="00BB71B4">
      <w:pPr>
        <w:pStyle w:val="TextoNormalSangraFrancesa"/>
        <w:rPr>
          <w:rStyle w:val="TextoNormalCaracter"/>
        </w:rPr>
      </w:pPr>
      <w:bookmarkStart w:id="1357" w:name="DESCRIPTORALFABETICO483"/>
      <w:r w:rsidRPr="00BB71B4">
        <w:rPr>
          <w:rStyle w:val="TextoNormalNegritaCaracter"/>
        </w:rPr>
        <w:t>Familia numerosa</w:t>
      </w:r>
      <w:bookmarkEnd w:id="1357"/>
      <w:r w:rsidRPr="00BB71B4">
        <w:rPr>
          <w:rStyle w:val="TextoNormalCaracter"/>
        </w:rPr>
        <w:t xml:space="preserve">, Sentencia </w:t>
      </w:r>
      <w:hyperlink w:anchor="SENTENCIA_2015_77" w:history="1">
        <w:r w:rsidRPr="00BB71B4">
          <w:rPr>
            <w:rStyle w:val="TextoNormalCaracter"/>
          </w:rPr>
          <w:t>77/2015</w:t>
        </w:r>
      </w:hyperlink>
      <w:r w:rsidRPr="00BB71B4">
        <w:rPr>
          <w:rStyle w:val="TextoNormalCaracter"/>
        </w:rPr>
        <w:t>.</w:t>
      </w:r>
    </w:p>
    <w:p w:rsidR="00BB71B4" w:rsidRPr="00BB71B4" w:rsidRDefault="00BB71B4" w:rsidP="00BB71B4">
      <w:pPr>
        <w:pStyle w:val="TextoNormalSangraFrancesa"/>
        <w:rPr>
          <w:rStyle w:val="TextoNormalCaracter"/>
        </w:rPr>
      </w:pPr>
      <w:bookmarkStart w:id="1358" w:name="DESCRIPTORALFABETICO409"/>
      <w:r w:rsidRPr="00BB71B4">
        <w:rPr>
          <w:rStyle w:val="TextoNormalNegritaCaracter"/>
        </w:rPr>
        <w:t>Farmacéuticos</w:t>
      </w:r>
      <w:bookmarkEnd w:id="1358"/>
      <w:r w:rsidRPr="00BB71B4">
        <w:rPr>
          <w:rStyle w:val="TextoNormalCaracter"/>
        </w:rPr>
        <w:t xml:space="preserve">, Sentencias </w:t>
      </w:r>
      <w:hyperlink w:anchor="SENTENCIA_2015_41" w:history="1">
        <w:r w:rsidRPr="00BB71B4">
          <w:rPr>
            <w:rStyle w:val="TextoNormalCaracter"/>
          </w:rPr>
          <w:t>41/2015</w:t>
        </w:r>
      </w:hyperlink>
      <w:r w:rsidRPr="00BB71B4">
        <w:rPr>
          <w:rStyle w:val="TextoNormalCaracter"/>
        </w:rPr>
        <w:t xml:space="preserve">, ff. 1, 4; </w:t>
      </w:r>
      <w:hyperlink w:anchor="SENTENCIA_2015_145" w:history="1">
        <w:r w:rsidRPr="00BB71B4">
          <w:rPr>
            <w:rStyle w:val="TextoNormalCaracter"/>
          </w:rPr>
          <w:t>145/2015</w:t>
        </w:r>
      </w:hyperlink>
      <w:r w:rsidRPr="00BB71B4">
        <w:rPr>
          <w:rStyle w:val="TextoNormalCaracter"/>
        </w:rPr>
        <w:t>, f. 4 a 6, VP I, VP III.</w:t>
      </w:r>
    </w:p>
    <w:p w:rsidR="00BB71B4" w:rsidRPr="00BB71B4" w:rsidRDefault="00BB71B4" w:rsidP="00BB71B4">
      <w:pPr>
        <w:pStyle w:val="TextoNormalSangraFrancesa"/>
        <w:rPr>
          <w:rStyle w:val="TextoNormalCaracter"/>
        </w:rPr>
      </w:pPr>
      <w:bookmarkStart w:id="1359" w:name="DESCRIPTORALFABETICO477"/>
      <w:r w:rsidRPr="00BB71B4">
        <w:rPr>
          <w:rStyle w:val="TextoNormalNegritaCaracter"/>
        </w:rPr>
        <w:t>Fijación del justiprecio</w:t>
      </w:r>
      <w:bookmarkEnd w:id="1359"/>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ff. 4, 5; </w:t>
      </w:r>
      <w:hyperlink w:anchor="SENTENCIA_2015_56" w:history="1">
        <w:r w:rsidRPr="00BB71B4">
          <w:rPr>
            <w:rStyle w:val="TextoNormalCaracter"/>
          </w:rPr>
          <w:t>56/2015</w:t>
        </w:r>
      </w:hyperlink>
      <w:r w:rsidRPr="00BB71B4">
        <w:rPr>
          <w:rStyle w:val="TextoNormalCaracter"/>
        </w:rPr>
        <w:t>, ff. 2,3.</w:t>
      </w:r>
    </w:p>
    <w:p w:rsidR="00BB71B4" w:rsidRPr="00BB71B4" w:rsidRDefault="00BB71B4" w:rsidP="00BB71B4">
      <w:pPr>
        <w:pStyle w:val="TextoNormalSangraFrancesa"/>
        <w:rPr>
          <w:rStyle w:val="TextoNormalCaracter"/>
        </w:rPr>
      </w:pPr>
      <w:bookmarkStart w:id="1360" w:name="DESCRIPTORALFABETICO70"/>
      <w:r w:rsidRPr="00BB71B4">
        <w:rPr>
          <w:rStyle w:val="TextoNormalNegritaCaracter"/>
        </w:rPr>
        <w:t>Finalidad de los tributos</w:t>
      </w:r>
      <w:bookmarkEnd w:id="1360"/>
      <w:r w:rsidRPr="00BB71B4">
        <w:rPr>
          <w:rStyle w:val="TextoNormalCaracter"/>
        </w:rPr>
        <w:t xml:space="preserve">, Sentencias </w:t>
      </w:r>
      <w:hyperlink w:anchor="SENTENCIA_2015_26" w:history="1">
        <w:r w:rsidRPr="00BB71B4">
          <w:rPr>
            <w:rStyle w:val="TextoNormalCaracter"/>
          </w:rPr>
          <w:t>26/2015</w:t>
        </w:r>
      </w:hyperlink>
      <w:r w:rsidRPr="00BB71B4">
        <w:rPr>
          <w:rStyle w:val="TextoNormalCaracter"/>
        </w:rPr>
        <w:t xml:space="preserve">, f. 4, VP; </w:t>
      </w:r>
      <w:hyperlink w:anchor="SENTENCIA_2015_59" w:history="1">
        <w:r w:rsidRPr="00BB71B4">
          <w:rPr>
            <w:rStyle w:val="TextoNormalCaracter"/>
          </w:rPr>
          <w:t>59/2015</w:t>
        </w:r>
      </w:hyperlink>
      <w:r w:rsidRPr="00BB71B4">
        <w:rPr>
          <w:rStyle w:val="TextoNormalCaracter"/>
        </w:rPr>
        <w:t xml:space="preserve">, f. 2; </w:t>
      </w:r>
      <w:hyperlink w:anchor="SENTENCIA_2015_62" w:history="1">
        <w:r w:rsidRPr="00BB71B4">
          <w:rPr>
            <w:rStyle w:val="TextoNormalCaracter"/>
          </w:rPr>
          <w:t>62/2015</w:t>
        </w:r>
      </w:hyperlink>
      <w:r w:rsidRPr="00BB71B4">
        <w:rPr>
          <w:rStyle w:val="TextoNormalCaracter"/>
        </w:rPr>
        <w:t xml:space="preserve">, f. 3 c); </w:t>
      </w:r>
      <w:hyperlink w:anchor="SENTENCIA_2015_73" w:history="1">
        <w:r w:rsidRPr="00BB71B4">
          <w:rPr>
            <w:rStyle w:val="TextoNormalCaracter"/>
          </w:rPr>
          <w:t>73/2015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61" w:name="DESCRIPTORALFABETICO71"/>
      <w:r w:rsidRPr="00BB71B4">
        <w:rPr>
          <w:rStyle w:val="TextoNormalNegritaCaracter"/>
        </w:rPr>
        <w:t>Finalidad extrafiscal del tributo</w:t>
      </w:r>
      <w:bookmarkEnd w:id="1361"/>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362" w:name="DESCRIPTORALFABETICO47"/>
      <w:r w:rsidRPr="00BB71B4">
        <w:rPr>
          <w:rStyle w:val="TextoNormalNegritaCaracter"/>
        </w:rPr>
        <w:t>Financiación autonómica</w:t>
      </w:r>
      <w:bookmarkEnd w:id="1362"/>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363" w:name="DESCRIPTORALFABETICO709"/>
      <w:r w:rsidRPr="00BB71B4">
        <w:rPr>
          <w:rStyle w:val="TextoNormalNegritaCaracter"/>
        </w:rPr>
        <w:t>Firmeza de las resoluciones judiciales</w:t>
      </w:r>
      <w:bookmarkEnd w:id="1363"/>
      <w:r w:rsidRPr="00BB71B4">
        <w:rPr>
          <w:rStyle w:val="TextoNormalCaracter"/>
        </w:rPr>
        <w:t xml:space="preserve">, Sentencia </w:t>
      </w:r>
      <w:hyperlink w:anchor="SENTENCIA_2015_3" w:history="1">
        <w:r w:rsidRPr="00BB71B4">
          <w:rPr>
            <w:rStyle w:val="TextoNormalCaracter"/>
          </w:rPr>
          <w:t>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64" w:name="DESCRIPTORALFABETICO291"/>
      <w:r w:rsidRPr="00BB71B4">
        <w:rPr>
          <w:rStyle w:val="TextoNormalNegritaCaracter"/>
        </w:rPr>
        <w:t>Flexibilidad del requisito de invocación del derecho vulnerado</w:t>
      </w:r>
      <w:bookmarkEnd w:id="1364"/>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365" w:name="DESCRIPTORALFABETICO466"/>
      <w:r w:rsidRPr="00BB71B4">
        <w:rPr>
          <w:rStyle w:val="TextoNormalNegritaCaracter"/>
        </w:rPr>
        <w:t>Fomento del empleo</w:t>
      </w:r>
      <w:bookmarkEnd w:id="1365"/>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 3 b); </w:t>
      </w:r>
      <w:hyperlink w:anchor="SENTENCIA_2015_140" w:history="1">
        <w:r w:rsidRPr="00BB71B4">
          <w:rPr>
            <w:rStyle w:val="TextoNormalCaracter"/>
          </w:rPr>
          <w:t>140/2015</w:t>
        </w:r>
      </w:hyperlink>
      <w:r w:rsidRPr="00BB71B4">
        <w:rPr>
          <w:rStyle w:val="TextoNormalCaracter"/>
        </w:rPr>
        <w:t>, f. 2.</w:t>
      </w:r>
    </w:p>
    <w:p w:rsidR="00BB71B4" w:rsidRPr="00BB71B4" w:rsidRDefault="00BB71B4" w:rsidP="00BB71B4">
      <w:pPr>
        <w:pStyle w:val="TextoNormalSangraFrancesa"/>
        <w:rPr>
          <w:rStyle w:val="TextoNormalCaracter"/>
        </w:rPr>
      </w:pPr>
      <w:bookmarkStart w:id="1366" w:name="DESCRIPTORALFABETICO44"/>
      <w:r w:rsidRPr="00BB71B4">
        <w:rPr>
          <w:rStyle w:val="TextoNormalNegritaCaracter"/>
        </w:rPr>
        <w:t>Fondo de reestructuración ordenada bancaria</w:t>
      </w:r>
      <w:bookmarkEnd w:id="1366"/>
      <w:r w:rsidRPr="00BB71B4">
        <w:rPr>
          <w:rStyle w:val="TextoNormalCaracter"/>
        </w:rPr>
        <w:t xml:space="preserve">, Sentencia </w:t>
      </w:r>
      <w:hyperlink w:anchor="SENTENCIA_2015_47" w:history="1">
        <w:r w:rsidRPr="00BB71B4">
          <w:rPr>
            <w:rStyle w:val="TextoNormalCaracter"/>
          </w:rPr>
          <w:t>47/2015</w:t>
        </w:r>
      </w:hyperlink>
      <w:r w:rsidRPr="00BB71B4">
        <w:rPr>
          <w:rStyle w:val="TextoNormalCaracter"/>
        </w:rPr>
        <w:t>, ff. 4, 6.</w:t>
      </w:r>
    </w:p>
    <w:p w:rsidR="00BB71B4" w:rsidRPr="00BB71B4" w:rsidRDefault="00BB71B4" w:rsidP="00BB71B4">
      <w:pPr>
        <w:pStyle w:val="TextoNormalSangraFrancesa"/>
        <w:rPr>
          <w:rStyle w:val="TextoNormalCaracter"/>
        </w:rPr>
      </w:pPr>
      <w:bookmarkStart w:id="1367" w:name="DESCRIPTORALFABETICO473"/>
      <w:r w:rsidRPr="00BB71B4">
        <w:rPr>
          <w:rStyle w:val="TextoNormalNegritaCaracter"/>
        </w:rPr>
        <w:t>Fracturación hidráulica</w:t>
      </w:r>
      <w:bookmarkEnd w:id="1367"/>
      <w:r w:rsidRPr="00BB71B4">
        <w:rPr>
          <w:rStyle w:val="TextoNormalCaracter"/>
        </w:rPr>
        <w:t xml:space="preserve">, Auto </w:t>
      </w:r>
      <w:hyperlink w:anchor="AUTO_2015_63" w:history="1">
        <w:r w:rsidRPr="00BB71B4">
          <w:rPr>
            <w:rStyle w:val="TextoNormalCaracter"/>
          </w:rPr>
          <w:t>63/2015</w:t>
        </w:r>
      </w:hyperlink>
      <w:r w:rsidRPr="00BB71B4">
        <w:rPr>
          <w:rStyle w:val="TextoNormalCaracter"/>
        </w:rPr>
        <w:t>, f. 2, 3.</w:t>
      </w:r>
    </w:p>
    <w:p w:rsidR="00BB71B4" w:rsidRPr="00BB71B4" w:rsidRDefault="00BB71B4" w:rsidP="00BB71B4">
      <w:pPr>
        <w:pStyle w:val="TextoNormalSangraFrancesa"/>
        <w:rPr>
          <w:rStyle w:val="TextoNormalCaracter"/>
        </w:rPr>
      </w:pPr>
      <w:bookmarkStart w:id="1368" w:name="DESCRIPTORALFABETICO528"/>
      <w:r w:rsidRPr="00BB71B4">
        <w:rPr>
          <w:rStyle w:val="TextoNormalNegritaCaracter"/>
        </w:rPr>
        <w:t>Fuentes del Derecho</w:t>
      </w:r>
      <w:bookmarkEnd w:id="1368"/>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69" w:name="DESCRIPTORALFABETICO527"/>
      <w:r w:rsidRPr="00BB71B4">
        <w:rPr>
          <w:rStyle w:val="TextoNormalNegritaCaracter"/>
        </w:rPr>
        <w:t>Función de los Estatutos de Autonomía</w:t>
      </w:r>
      <w:bookmarkEnd w:id="1369"/>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70" w:name="DESCRIPTORALFABETICO646"/>
      <w:r w:rsidRPr="00BB71B4">
        <w:rPr>
          <w:rStyle w:val="TextoNormalNegritaCaracter"/>
        </w:rPr>
        <w:t>Función social de la vivienda</w:t>
      </w:r>
      <w:bookmarkEnd w:id="1370"/>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 1.</w:t>
      </w:r>
    </w:p>
    <w:p w:rsidR="00BB71B4" w:rsidRPr="00BB71B4" w:rsidRDefault="00BB71B4" w:rsidP="00BB71B4">
      <w:pPr>
        <w:pStyle w:val="TextoNormalSangraFrancesa"/>
        <w:rPr>
          <w:rStyle w:val="TextoNormalCaracter"/>
        </w:rPr>
      </w:pPr>
      <w:bookmarkStart w:id="1371" w:name="DESCRIPTORALFABETICO242"/>
      <w:r w:rsidRPr="00BB71B4">
        <w:rPr>
          <w:rStyle w:val="TextoNormalNegritaCaracter"/>
        </w:rPr>
        <w:t>Funcionamiento anormal en la tramitación de procesos constitucionales</w:t>
      </w:r>
      <w:bookmarkEnd w:id="1371"/>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Deniega, </w:t>
      </w:r>
      <w:r w:rsidRPr="00BB71B4">
        <w:rPr>
          <w:rStyle w:val="TextoNormalCaracter"/>
        </w:rPr>
        <w:t xml:space="preserve">Autos </w:t>
      </w:r>
      <w:hyperlink w:anchor="AUTO_2015_88" w:history="1">
        <w:r w:rsidRPr="00BB71B4">
          <w:rPr>
            <w:rStyle w:val="TextoNormalCaracter"/>
          </w:rPr>
          <w:t>88/2015</w:t>
        </w:r>
      </w:hyperlink>
      <w:r w:rsidRPr="00BB71B4">
        <w:rPr>
          <w:rStyle w:val="TextoNormalCaracter"/>
        </w:rPr>
        <w:t xml:space="preserve">, f. 2; </w:t>
      </w:r>
      <w:hyperlink w:anchor="AUTO_2015_109" w:history="1">
        <w:r w:rsidRPr="00BB71B4">
          <w:rPr>
            <w:rStyle w:val="TextoNormalCaracter"/>
          </w:rPr>
          <w:t>109/2015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372" w:name="DESCRIPTORALFABETICO415"/>
      <w:r w:rsidRPr="00BB71B4">
        <w:rPr>
          <w:rStyle w:val="TextoNormalNegritaCaracter"/>
        </w:rPr>
        <w:t>Funcionarios públicos</w:t>
      </w:r>
      <w:bookmarkEnd w:id="1372"/>
      <w:r w:rsidRPr="00BB71B4">
        <w:rPr>
          <w:rStyle w:val="TextoNormalCaracter"/>
        </w:rPr>
        <w:t xml:space="preserve">, Sentencias </w:t>
      </w:r>
      <w:hyperlink w:anchor="SENTENCIA_2015_81" w:history="1">
        <w:r w:rsidRPr="00BB71B4">
          <w:rPr>
            <w:rStyle w:val="TextoNormalCaracter"/>
          </w:rPr>
          <w:t>81/2015</w:t>
        </w:r>
      </w:hyperlink>
      <w:r w:rsidRPr="00BB71B4">
        <w:rPr>
          <w:rStyle w:val="TextoNormalCaracter"/>
        </w:rPr>
        <w:t xml:space="preserve">, f. 7; </w:t>
      </w:r>
      <w:hyperlink w:anchor="SENTENCIA_2015_94" w:history="1">
        <w:r w:rsidRPr="00BB71B4">
          <w:rPr>
            <w:rStyle w:val="TextoNormalCaracter"/>
          </w:rPr>
          <w:t>94/2015</w:t>
        </w:r>
      </w:hyperlink>
      <w:r w:rsidRPr="00BB71B4">
        <w:rPr>
          <w:rStyle w:val="TextoNormalCaracter"/>
        </w:rPr>
        <w:t xml:space="preserve">, ff. 3, 4; </w:t>
      </w:r>
      <w:hyperlink w:anchor="SENTENCIA_2015_114" w:history="1">
        <w:r w:rsidRPr="00BB71B4">
          <w:rPr>
            <w:rStyle w:val="TextoNormalCaracter"/>
          </w:rPr>
          <w:t>114/2015</w:t>
        </w:r>
      </w:hyperlink>
      <w:r w:rsidRPr="00BB71B4">
        <w:rPr>
          <w:rStyle w:val="TextoNormalCaracter"/>
        </w:rPr>
        <w:t>.</w:t>
      </w:r>
    </w:p>
    <w:p w:rsidR="00BB71B4" w:rsidRPr="00BB71B4" w:rsidRDefault="00BB71B4" w:rsidP="00BB71B4">
      <w:pPr>
        <w:pStyle w:val="TextoNormalSangraFrancesa"/>
        <w:rPr>
          <w:rStyle w:val="TextoNormalCaracter"/>
        </w:rPr>
      </w:pPr>
      <w:bookmarkStart w:id="1373" w:name="DESCRIPTORALFABETICO350"/>
      <w:r w:rsidRPr="00BB71B4">
        <w:rPr>
          <w:rStyle w:val="TextoNormalNegritaCaracter"/>
        </w:rPr>
        <w:t>Funciones de las mesas parlamentarias</w:t>
      </w:r>
      <w:bookmarkEnd w:id="1373"/>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ff. 4 a 7; </w:t>
      </w:r>
      <w:hyperlink w:anchor="SENTENCIA_2015_19" w:history="1">
        <w:r w:rsidRPr="00BB71B4">
          <w:rPr>
            <w:rStyle w:val="TextoNormalCaracter"/>
          </w:rPr>
          <w:t>19/2015</w:t>
        </w:r>
      </w:hyperlink>
      <w:r w:rsidRPr="00BB71B4">
        <w:rPr>
          <w:rStyle w:val="TextoNormalCaracter"/>
        </w:rPr>
        <w:t xml:space="preserve">, ff. 2, 4, 5, VP; </w:t>
      </w:r>
      <w:hyperlink w:anchor="SENTENCIA_2015_23" w:history="1">
        <w:r w:rsidRPr="00BB71B4">
          <w:rPr>
            <w:rStyle w:val="TextoNormalCaracter"/>
          </w:rPr>
          <w:t>23/2015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374" w:name="DESCRIPTORALFABETICO442"/>
      <w:r w:rsidRPr="00BB71B4">
        <w:rPr>
          <w:rStyle w:val="TextoNormalNegritaCaracter"/>
        </w:rPr>
        <w:t>Fundaciones bancarias</w:t>
      </w:r>
      <w:bookmarkEnd w:id="1374"/>
      <w:r w:rsidRPr="00BB71B4">
        <w:rPr>
          <w:rStyle w:val="TextoNormalCaracter"/>
        </w:rPr>
        <w:t xml:space="preserve">, Sentencia </w:t>
      </w:r>
      <w:hyperlink w:anchor="SENTENCIA_2015_14" w:history="1">
        <w:r w:rsidRPr="00BB71B4">
          <w:rPr>
            <w:rStyle w:val="TextoNormalCaracter"/>
          </w:rPr>
          <w:t>14/2015</w:t>
        </w:r>
      </w:hyperlink>
      <w:r w:rsidRPr="00BB71B4">
        <w:rPr>
          <w:rStyle w:val="TextoNormalCaracter"/>
        </w:rPr>
        <w:t>, ff. 1, 3 a 6.</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G</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375" w:name="DESCRIPTORALFABETICO739"/>
      <w:r w:rsidRPr="00BB71B4">
        <w:rPr>
          <w:rStyle w:val="TextoNormalNegritaCaracter"/>
        </w:rPr>
        <w:t>Galicia</w:t>
      </w:r>
      <w:bookmarkEnd w:id="1375"/>
      <w:r w:rsidRPr="00BB71B4">
        <w:rPr>
          <w:rStyle w:val="TextoNormalCaracter"/>
        </w:rPr>
        <w:t xml:space="preserve">, Sentencias </w:t>
      </w:r>
      <w:hyperlink w:anchor="SENTENCIA_2015_6" w:history="1">
        <w:r w:rsidRPr="00BB71B4">
          <w:rPr>
            <w:rStyle w:val="TextoNormalCaracter"/>
          </w:rPr>
          <w:t>6/2015</w:t>
        </w:r>
      </w:hyperlink>
      <w:r w:rsidRPr="00BB71B4">
        <w:rPr>
          <w:rStyle w:val="TextoNormalCaracter"/>
        </w:rPr>
        <w:t xml:space="preserve">, ff. 1, 2 b); </w:t>
      </w:r>
      <w:hyperlink w:anchor="SENTENCIA_2015_45" w:history="1">
        <w:r w:rsidRPr="00BB71B4">
          <w:rPr>
            <w:rStyle w:val="TextoNormalCaracter"/>
          </w:rPr>
          <w:t>45/2015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376" w:name="DESCRIPTORALFABETICO491"/>
      <w:r w:rsidRPr="00BB71B4">
        <w:rPr>
          <w:rStyle w:val="TextoNormalNegritaCaracter"/>
        </w:rPr>
        <w:t>Ganadería</w:t>
      </w:r>
      <w:bookmarkEnd w:id="1376"/>
      <w:r w:rsidRPr="00BB71B4">
        <w:rPr>
          <w:rStyle w:val="TextoNormalCaracter"/>
        </w:rPr>
        <w:t xml:space="preserve">, Sentencia </w:t>
      </w:r>
      <w:hyperlink w:anchor="SENTENCIA_2015_85" w:history="1">
        <w:r w:rsidRPr="00BB71B4">
          <w:rPr>
            <w:rStyle w:val="TextoNormalCaracter"/>
          </w:rPr>
          <w:t>85/2015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377" w:name="DESCRIPTORALFABETICO185"/>
      <w:r w:rsidRPr="00BB71B4">
        <w:rPr>
          <w:rStyle w:val="TextoNormalNegritaCaracter"/>
        </w:rPr>
        <w:t>Garantías procesales</w:t>
      </w:r>
      <w:bookmarkEnd w:id="1377"/>
      <w:r w:rsidRPr="00BB71B4">
        <w:rPr>
          <w:rStyle w:val="TextoNormalCaracter"/>
        </w:rPr>
        <w:t xml:space="preserve">, Sentencia </w:t>
      </w:r>
      <w:hyperlink w:anchor="SENTENCIA_2015_55" w:history="1">
        <w:r w:rsidRPr="00BB71B4">
          <w:rPr>
            <w:rStyle w:val="TextoNormalCaracter"/>
          </w:rPr>
          <w:t>55/2015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378" w:name="DESCRIPTORALFABETICO186"/>
      <w:r w:rsidRPr="00BB71B4">
        <w:rPr>
          <w:rStyle w:val="TextoNormalNegritaCaracter"/>
        </w:rPr>
        <w:t>Garantías procesales en el procedimiento administrativo sancionador</w:t>
      </w:r>
      <w:bookmarkEnd w:id="1378"/>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ff. 7, 9.</w:t>
      </w:r>
    </w:p>
    <w:p w:rsidR="00BB71B4" w:rsidRPr="00BB71B4" w:rsidRDefault="00BB71B4" w:rsidP="00BB71B4">
      <w:pPr>
        <w:pStyle w:val="TextoNormalSangraFrancesa"/>
        <w:rPr>
          <w:rStyle w:val="TextoNormalCaracter"/>
        </w:rPr>
      </w:pPr>
      <w:bookmarkStart w:id="1379" w:name="DESCRIPTORALFABETICO45"/>
      <w:r w:rsidRPr="00BB71B4">
        <w:rPr>
          <w:rStyle w:val="TextoNormalNegritaCaracter"/>
        </w:rPr>
        <w:t>Gasto público</w:t>
      </w:r>
      <w:bookmarkEnd w:id="1379"/>
      <w:r w:rsidRPr="00BB71B4">
        <w:rPr>
          <w:rStyle w:val="TextoNormalCaracter"/>
        </w:rPr>
        <w:t xml:space="preserve">, Sentencia </w:t>
      </w:r>
      <w:hyperlink w:anchor="SENTENCIA_2015_81" w:history="1">
        <w:r w:rsidRPr="00BB71B4">
          <w:rPr>
            <w:rStyle w:val="TextoNormalCaracter"/>
          </w:rPr>
          <w:t>81/2015</w:t>
        </w:r>
      </w:hyperlink>
      <w:r w:rsidRPr="00BB71B4">
        <w:rPr>
          <w:rStyle w:val="TextoNormalCaracter"/>
        </w:rPr>
        <w:t>, f. 8.</w:t>
      </w:r>
    </w:p>
    <w:p w:rsidR="00BB71B4" w:rsidRPr="00BB71B4" w:rsidRDefault="00BB71B4" w:rsidP="00BB71B4">
      <w:pPr>
        <w:pStyle w:val="TextoNormalSangraFrancesa"/>
        <w:rPr>
          <w:rStyle w:val="TextoNormalCaracter"/>
        </w:rPr>
      </w:pPr>
      <w:bookmarkStart w:id="1380" w:name="DESCRIPTORALFABETICO490"/>
      <w:r w:rsidRPr="00BB71B4">
        <w:rPr>
          <w:rStyle w:val="TextoNormalNegritaCaracter"/>
        </w:rPr>
        <w:t>Gestión de subvenciones públicas</w:t>
      </w:r>
      <w:bookmarkEnd w:id="1380"/>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3, 4, VP II.</w:t>
      </w:r>
    </w:p>
    <w:p w:rsidR="00BB71B4" w:rsidRPr="00BB71B4" w:rsidRDefault="00BB71B4" w:rsidP="00BB71B4">
      <w:pPr>
        <w:pStyle w:val="TextoNormalSangraFrancesa"/>
        <w:rPr>
          <w:rStyle w:val="TextoNormalCaracter"/>
        </w:rPr>
      </w:pPr>
      <w:bookmarkStart w:id="1381" w:name="DESCRIPTORALFABETICO430"/>
      <w:r w:rsidRPr="00BB71B4">
        <w:rPr>
          <w:rStyle w:val="TextoNormalNegritaCaracter"/>
        </w:rPr>
        <w:t>Gestión directa de servicios públicos</w:t>
      </w:r>
      <w:bookmarkEnd w:id="1381"/>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382" w:name="DESCRIPTORALFABETICO431"/>
      <w:r w:rsidRPr="00BB71B4">
        <w:rPr>
          <w:rStyle w:val="TextoNormalNegritaCaracter"/>
        </w:rPr>
        <w:t>Gestión indirecta de servicios públicos</w:t>
      </w:r>
      <w:bookmarkEnd w:id="1382"/>
      <w:r w:rsidRPr="00BB71B4">
        <w:rPr>
          <w:rStyle w:val="TextoNormalCaracter"/>
        </w:rPr>
        <w:t xml:space="preserve">, Sentencias </w:t>
      </w:r>
      <w:hyperlink w:anchor="SENTENCIA_2015_84" w:history="1">
        <w:r w:rsidRPr="00BB71B4">
          <w:rPr>
            <w:rStyle w:val="TextoNormalCaracter"/>
          </w:rPr>
          <w:t>84/2015</w:t>
        </w:r>
      </w:hyperlink>
      <w:r w:rsidRPr="00BB71B4">
        <w:rPr>
          <w:rStyle w:val="TextoNormalCaracter"/>
        </w:rPr>
        <w:t xml:space="preserve">, ff. 5 a 8; </w:t>
      </w:r>
      <w:hyperlink w:anchor="SENTENCIA_2015_103" w:history="1">
        <w:r w:rsidRPr="00BB71B4">
          <w:rPr>
            <w:rStyle w:val="TextoNormalCaracter"/>
          </w:rPr>
          <w:t>103/2015</w:t>
        </w:r>
      </w:hyperlink>
      <w:r w:rsidRPr="00BB71B4">
        <w:rPr>
          <w:rStyle w:val="TextoNormalCaracter"/>
        </w:rPr>
        <w:t>, ff. 3, 5.</w:t>
      </w:r>
    </w:p>
    <w:p w:rsidR="00BB71B4" w:rsidRPr="00BB71B4" w:rsidRDefault="00BB71B4" w:rsidP="00BB71B4">
      <w:pPr>
        <w:pStyle w:val="TextoNormalSangraFrancesa"/>
        <w:rPr>
          <w:rStyle w:val="TextoNormalCaracter"/>
        </w:rPr>
      </w:pPr>
      <w:bookmarkStart w:id="1383" w:name="DESCRIPTORALFABETICO720"/>
      <w:r w:rsidRPr="00BB71B4">
        <w:rPr>
          <w:rStyle w:val="TextoNormalNegritaCaracter"/>
        </w:rPr>
        <w:t>Grabación del juicio oral</w:t>
      </w:r>
      <w:bookmarkEnd w:id="1383"/>
      <w:r w:rsidRPr="00BB71B4">
        <w:rPr>
          <w:rStyle w:val="TextoNormalCaracter"/>
        </w:rPr>
        <w:t xml:space="preserve">, Sentencia </w:t>
      </w:r>
      <w:hyperlink w:anchor="SENTENCIA_2015_55" w:history="1">
        <w:r w:rsidRPr="00BB71B4">
          <w:rPr>
            <w:rStyle w:val="TextoNormalCaracter"/>
          </w:rPr>
          <w:t>55/2015</w:t>
        </w:r>
      </w:hyperlink>
      <w:r w:rsidRPr="00BB71B4">
        <w:rPr>
          <w:rStyle w:val="TextoNormalCaracter"/>
        </w:rPr>
        <w:t>, ff. 2, 3.</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H</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384" w:name="DESCRIPTORALFABETICO122"/>
      <w:r w:rsidRPr="00BB71B4">
        <w:rPr>
          <w:rStyle w:val="TextoNormalNegritaCaracter"/>
          <w:i/>
        </w:rPr>
        <w:t>Habeas corpus</w:t>
      </w:r>
      <w:bookmarkEnd w:id="1384"/>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 </w:t>
      </w:r>
      <w:hyperlink w:anchor="SENTENCIA_2015_42" w:history="1">
        <w:r w:rsidRPr="00BB71B4">
          <w:rPr>
            <w:rStyle w:val="TextoNormalCaracter"/>
          </w:rPr>
          <w:t>42/2015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385" w:name="DESCRIPTORALFABETICO67"/>
      <w:r w:rsidRPr="00BB71B4">
        <w:rPr>
          <w:rStyle w:val="TextoNormalNegritaCaracter"/>
        </w:rPr>
        <w:t>Hecho imponible</w:t>
      </w:r>
      <w:bookmarkEnd w:id="1385"/>
      <w:r w:rsidRPr="00BB71B4">
        <w:rPr>
          <w:rStyle w:val="TextoNormalCaracter"/>
        </w:rPr>
        <w:t xml:space="preserve">, Sentencias </w:t>
      </w:r>
      <w:hyperlink w:anchor="SENTENCIA_2015_22" w:history="1">
        <w:r w:rsidRPr="00BB71B4">
          <w:rPr>
            <w:rStyle w:val="TextoNormalCaracter"/>
          </w:rPr>
          <w:t>22/2015</w:t>
        </w:r>
      </w:hyperlink>
      <w:r w:rsidRPr="00BB71B4">
        <w:rPr>
          <w:rStyle w:val="TextoNormalCaracter"/>
        </w:rPr>
        <w:t xml:space="preserve">, f. 2; </w:t>
      </w:r>
      <w:hyperlink w:anchor="SENTENCIA_2015_26" w:history="1">
        <w:r w:rsidRPr="00BB71B4">
          <w:rPr>
            <w:rStyle w:val="TextoNormalCaracter"/>
          </w:rPr>
          <w:t>26/2015</w:t>
        </w:r>
      </w:hyperlink>
      <w:r w:rsidRPr="00BB71B4">
        <w:rPr>
          <w:rStyle w:val="TextoNormalCaracter"/>
        </w:rPr>
        <w:t xml:space="preserve">, ff. 3, 4; </w:t>
      </w:r>
      <w:hyperlink w:anchor="SENTENCIA_2015_30" w:history="1">
        <w:r w:rsidRPr="00BB71B4">
          <w:rPr>
            <w:rStyle w:val="TextoNormalCaracter"/>
          </w:rPr>
          <w:t>30/2015</w:t>
        </w:r>
      </w:hyperlink>
      <w:r w:rsidRPr="00BB71B4">
        <w:rPr>
          <w:rStyle w:val="TextoNormalCaracter"/>
        </w:rPr>
        <w:t xml:space="preserve">, ff. 3, 4, VP; </w:t>
      </w:r>
      <w:hyperlink w:anchor="SENTENCIA_2015_73" w:history="1">
        <w:r w:rsidRPr="00BB71B4">
          <w:rPr>
            <w:rStyle w:val="TextoNormalCaracter"/>
          </w:rPr>
          <w:t>73/2015</w:t>
        </w:r>
      </w:hyperlink>
      <w:r w:rsidRPr="00BB71B4">
        <w:rPr>
          <w:rStyle w:val="TextoNormalCaracter"/>
        </w:rPr>
        <w:t xml:space="preserve">, ff. 3, 4; </w:t>
      </w:r>
      <w:hyperlink w:anchor="SENTENCIA_2015_102" w:history="1">
        <w:r w:rsidRPr="00BB71B4">
          <w:rPr>
            <w:rStyle w:val="TextoNormalCaracter"/>
          </w:rPr>
          <w:t>102/2015</w:t>
        </w:r>
      </w:hyperlink>
      <w:r w:rsidRPr="00BB71B4">
        <w:rPr>
          <w:rStyle w:val="TextoNormalCaracter"/>
        </w:rPr>
        <w:t xml:space="preserve">, ff. 3, 6; </w:t>
      </w:r>
      <w:hyperlink w:anchor="SENTENCIA_2015_108" w:history="1">
        <w:r w:rsidRPr="00BB71B4">
          <w:rPr>
            <w:rStyle w:val="TextoNormalCaracter"/>
          </w:rPr>
          <w:t>108/2015</w:t>
        </w:r>
      </w:hyperlink>
      <w:r w:rsidRPr="00BB71B4">
        <w:rPr>
          <w:rStyle w:val="TextoNormalCaracter"/>
        </w:rPr>
        <w:t xml:space="preserve">, ff. 4, 5; </w:t>
      </w:r>
      <w:hyperlink w:anchor="SENTENCIA_2015_111" w:history="1">
        <w:r w:rsidRPr="00BB71B4">
          <w:rPr>
            <w:rStyle w:val="TextoNormalCaracter"/>
          </w:rPr>
          <w:t>111/2015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386" w:name="DESCRIPTORALFABETICO401"/>
      <w:r w:rsidRPr="00BB71B4">
        <w:rPr>
          <w:rStyle w:val="TextoNormalNegritaCaracter"/>
        </w:rPr>
        <w:t>Hecho insular</w:t>
      </w:r>
      <w:bookmarkEnd w:id="1386"/>
      <w:r w:rsidRPr="00BB71B4">
        <w:rPr>
          <w:rStyle w:val="TextoNormalCaracter"/>
        </w:rPr>
        <w:t xml:space="preserve">, Sentencia </w:t>
      </w:r>
      <w:hyperlink w:anchor="SENTENCIA_2015_106" w:history="1">
        <w:r w:rsidRPr="00BB71B4">
          <w:rPr>
            <w:rStyle w:val="TextoNormalCaracter"/>
          </w:rPr>
          <w:t>106/2015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387" w:name="DESCRIPTORALFABETICO494"/>
      <w:r w:rsidRPr="00BB71B4">
        <w:rPr>
          <w:rStyle w:val="TextoNormalNegritaCaracter"/>
        </w:rPr>
        <w:t>Homicidio</w:t>
      </w:r>
      <w:bookmarkEnd w:id="1387"/>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 6.</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I</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388" w:name="DESCRIPTORALFABETICO453"/>
      <w:r w:rsidRPr="00BB71B4">
        <w:rPr>
          <w:rStyle w:val="TextoNormalNegritaCaracter"/>
        </w:rPr>
        <w:t>Identificación del conductor</w:t>
      </w:r>
      <w:bookmarkEnd w:id="1388"/>
      <w:r w:rsidRPr="00BB71B4">
        <w:rPr>
          <w:rStyle w:val="TextoNormalCaracter"/>
        </w:rPr>
        <w:t xml:space="preserve">, Sentencia </w:t>
      </w:r>
      <w:hyperlink w:anchor="SENTENCIA_2015_21" w:history="1">
        <w:r w:rsidRPr="00BB71B4">
          <w:rPr>
            <w:rStyle w:val="TextoNormalCaracter"/>
          </w:rPr>
          <w:t>21/2015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389" w:name="DESCRIPTORALFABETICO110"/>
      <w:r w:rsidRPr="00BB71B4">
        <w:rPr>
          <w:rStyle w:val="TextoNormalNegritaCaracter"/>
        </w:rPr>
        <w:t>Igualdad ante la ley</w:t>
      </w:r>
      <w:bookmarkEnd w:id="1389"/>
      <w:r w:rsidRPr="00BB71B4">
        <w:rPr>
          <w:rStyle w:val="TextoNormalCaracter"/>
        </w:rPr>
        <w:t xml:space="preserve">, Sentencia </w:t>
      </w:r>
      <w:hyperlink w:anchor="SENTENCIA_2015_77" w:history="1">
        <w:r w:rsidRPr="00BB71B4">
          <w:rPr>
            <w:rStyle w:val="TextoNormalCaracter"/>
          </w:rPr>
          <w:t>77/2015</w:t>
        </w:r>
      </w:hyperlink>
      <w:r w:rsidRPr="00BB71B4">
        <w:rPr>
          <w:rStyle w:val="TextoNormalCaracter"/>
        </w:rPr>
        <w:t>, ff. 3, 4, VP.</w:t>
      </w:r>
    </w:p>
    <w:p w:rsidR="00BB71B4" w:rsidRPr="00BB71B4" w:rsidRDefault="00BB71B4" w:rsidP="00BB71B4">
      <w:pPr>
        <w:pStyle w:val="TextoNormalSangraFrancesa"/>
        <w:rPr>
          <w:rStyle w:val="TextoNormalCaracter"/>
        </w:rPr>
      </w:pPr>
      <w:r w:rsidRPr="00BB71B4">
        <w:rPr>
          <w:rStyle w:val="TextoNormalCursivaCaracter"/>
        </w:rPr>
        <w:t xml:space="preserve">    Respetada, </w:t>
      </w:r>
      <w:r w:rsidRPr="00BB71B4">
        <w:rPr>
          <w:rStyle w:val="TextoNormalCaracter"/>
        </w:rPr>
        <w:t xml:space="preserve">Sentencia </w:t>
      </w:r>
      <w:hyperlink w:anchor="SENTENCIA_2015_8" w:history="1">
        <w:r w:rsidRPr="00BB71B4">
          <w:rPr>
            <w:rStyle w:val="TextoNormalCaracter"/>
          </w:rPr>
          <w:t>8/2015</w:t>
        </w:r>
      </w:hyperlink>
      <w:r w:rsidRPr="00BB71B4">
        <w:rPr>
          <w:rStyle w:val="TextoNormalCaracter"/>
        </w:rPr>
        <w:t>, ff. 3 e), 10 b).</w:t>
      </w:r>
    </w:p>
    <w:p w:rsidR="00BB71B4" w:rsidRPr="00BB71B4" w:rsidRDefault="00BB71B4" w:rsidP="00BB71B4">
      <w:pPr>
        <w:pStyle w:val="TextoNormalSangraFrancesa"/>
        <w:rPr>
          <w:rStyle w:val="TextoNormalCaracter"/>
        </w:rPr>
      </w:pPr>
      <w:bookmarkStart w:id="1390" w:name="DESCRIPTORALFABETICO173"/>
      <w:r w:rsidRPr="00BB71B4">
        <w:rPr>
          <w:rStyle w:val="TextoNormalNegritaCaracter"/>
        </w:rPr>
        <w:t>Igualdad de género</w:t>
      </w:r>
      <w:bookmarkEnd w:id="1390"/>
      <w:r w:rsidRPr="00BB71B4">
        <w:rPr>
          <w:rStyle w:val="TextoNormalCaracter"/>
        </w:rPr>
        <w:t xml:space="preserve">, Sentencia </w:t>
      </w:r>
      <w:hyperlink w:anchor="SENTENCIA_2015_11" w:history="1">
        <w:r w:rsidRPr="00BB71B4">
          <w:rPr>
            <w:rStyle w:val="TextoNormalCaracter"/>
          </w:rPr>
          <w:t>11/2015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391" w:name="DESCRIPTORALFABETICO103"/>
      <w:r w:rsidRPr="00BB71B4">
        <w:rPr>
          <w:rStyle w:val="TextoNormalNegritaCaracter"/>
        </w:rPr>
        <w:t>Igualdad en el acceso a la función pública</w:t>
      </w:r>
      <w:bookmarkEnd w:id="1391"/>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 11, VP.</w:t>
      </w:r>
    </w:p>
    <w:p w:rsidR="00BB71B4" w:rsidRPr="00BB71B4" w:rsidRDefault="00BB71B4" w:rsidP="00BB71B4">
      <w:pPr>
        <w:pStyle w:val="TextoNormalSangraFrancesa"/>
        <w:rPr>
          <w:rStyle w:val="TextoNormalCaracter"/>
        </w:rPr>
      </w:pPr>
      <w:bookmarkStart w:id="1392" w:name="DESCRIPTORALFABETICO111"/>
      <w:r w:rsidRPr="00BB71B4">
        <w:rPr>
          <w:rStyle w:val="TextoNormalNegritaCaracter"/>
        </w:rPr>
        <w:t>Igualdad en la aplicación de la ley</w:t>
      </w:r>
      <w:bookmarkEnd w:id="1392"/>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Vulnerada, </w:t>
      </w:r>
      <w:r w:rsidRPr="00BB71B4">
        <w:rPr>
          <w:rStyle w:val="TextoNormalCaracter"/>
        </w:rPr>
        <w:t xml:space="preserve">Sentencia </w:t>
      </w:r>
      <w:hyperlink w:anchor="SENTENCIA_2015_77" w:history="1">
        <w:r w:rsidRPr="00BB71B4">
          <w:rPr>
            <w:rStyle w:val="TextoNormalCaracter"/>
          </w:rPr>
          <w:t>77/2015</w:t>
        </w:r>
      </w:hyperlink>
      <w:r w:rsidRPr="00BB71B4">
        <w:rPr>
          <w:rStyle w:val="TextoNormalCaracter"/>
        </w:rPr>
        <w:t>, ff. 3, 4, VP.</w:t>
      </w:r>
    </w:p>
    <w:p w:rsidR="00BB71B4" w:rsidRPr="00BB71B4" w:rsidRDefault="00BB71B4" w:rsidP="00BB71B4">
      <w:pPr>
        <w:pStyle w:val="TextoNormalSangraFrancesa"/>
        <w:rPr>
          <w:rStyle w:val="TextoNormalCaracter"/>
        </w:rPr>
      </w:pPr>
      <w:bookmarkStart w:id="1393" w:name="DESCRIPTORALFABETICO367"/>
      <w:r w:rsidRPr="00BB71B4">
        <w:rPr>
          <w:rStyle w:val="TextoNormalNegritaCaracter"/>
        </w:rPr>
        <w:t>Igualdad tributaria</w:t>
      </w:r>
      <w:bookmarkEnd w:id="1393"/>
      <w:r w:rsidRPr="00BB71B4">
        <w:rPr>
          <w:rStyle w:val="TextoNormalCaracter"/>
        </w:rPr>
        <w:t xml:space="preserve">, Sentencias </w:t>
      </w:r>
      <w:hyperlink w:anchor="SENTENCIA_2015_60" w:history="1">
        <w:r w:rsidRPr="00BB71B4">
          <w:rPr>
            <w:rStyle w:val="TextoNormalCaracter"/>
          </w:rPr>
          <w:t>60/2015</w:t>
        </w:r>
      </w:hyperlink>
      <w:r w:rsidRPr="00BB71B4">
        <w:rPr>
          <w:rStyle w:val="TextoNormalCaracter"/>
        </w:rPr>
        <w:t xml:space="preserve">, ff. 3, 4; </w:t>
      </w:r>
      <w:hyperlink w:anchor="SENTENCIA_2015_77" w:history="1">
        <w:r w:rsidRPr="00BB71B4">
          <w:rPr>
            <w:rStyle w:val="TextoNormalCaracter"/>
          </w:rPr>
          <w:t>77/2015</w:t>
        </w:r>
      </w:hyperlink>
      <w:r w:rsidRPr="00BB71B4">
        <w:rPr>
          <w:rStyle w:val="TextoNormalCaracter"/>
        </w:rPr>
        <w:t>, ff. 3, 4, VP.</w:t>
      </w:r>
    </w:p>
    <w:p w:rsidR="00BB71B4" w:rsidRPr="00BB71B4" w:rsidRDefault="00BB71B4" w:rsidP="00BB71B4">
      <w:pPr>
        <w:pStyle w:val="TextoNormalSangraFrancesa"/>
        <w:rPr>
          <w:rStyle w:val="TextoNormalCaracter"/>
        </w:rPr>
      </w:pPr>
      <w:bookmarkStart w:id="1394" w:name="DESCRIPTORALFABETICO369"/>
      <w:r w:rsidRPr="00BB71B4">
        <w:rPr>
          <w:rStyle w:val="TextoNormalNegritaCaracter"/>
        </w:rPr>
        <w:t xml:space="preserve">Igualdad tributaria </w:t>
      </w:r>
      <w:r w:rsidRPr="00BB71B4">
        <w:rPr>
          <w:rStyle w:val="TextoNormalNegritaCaracter"/>
          <w:i/>
        </w:rPr>
        <w:t>versus</w:t>
      </w:r>
      <w:r w:rsidRPr="00BB71B4">
        <w:rPr>
          <w:rStyle w:val="TextoNormalNegritaCaracter"/>
        </w:rPr>
        <w:t xml:space="preserve"> derecho a la igualdad</w:t>
      </w:r>
      <w:bookmarkEnd w:id="1394"/>
      <w:r w:rsidRPr="00BB71B4">
        <w:rPr>
          <w:rStyle w:val="TextoNormalCaracter"/>
        </w:rPr>
        <w:t xml:space="preserve">, Sentencia </w:t>
      </w:r>
      <w:hyperlink w:anchor="SENTENCIA_2015_77" w:history="1">
        <w:r w:rsidRPr="00BB71B4">
          <w:rPr>
            <w:rStyle w:val="TextoNormalCaracter"/>
          </w:rPr>
          <w:t>77/2015</w:t>
        </w:r>
      </w:hyperlink>
      <w:r w:rsidRPr="00BB71B4">
        <w:rPr>
          <w:rStyle w:val="TextoNormalCaracter"/>
        </w:rPr>
        <w:t>, f. 3.</w:t>
      </w:r>
    </w:p>
    <w:p w:rsidR="00BB71B4" w:rsidRPr="00BB71B4" w:rsidRDefault="00BB71B4" w:rsidP="00BB71B4">
      <w:pPr>
        <w:pStyle w:val="TextoNormalSangraFrancesa"/>
        <w:rPr>
          <w:rStyle w:val="TextoNormalCaracter"/>
        </w:rPr>
      </w:pPr>
      <w:bookmarkStart w:id="1395" w:name="DESCRIPTORALFABETICO329"/>
      <w:r w:rsidRPr="00BB71B4">
        <w:rPr>
          <w:rStyle w:val="TextoNormalNegritaCaracter"/>
        </w:rPr>
        <w:t>Imparcialidad judicial</w:t>
      </w:r>
      <w:bookmarkEnd w:id="1395"/>
      <w:r w:rsidRPr="00BB71B4">
        <w:rPr>
          <w:rStyle w:val="TextoNormalCaracter"/>
        </w:rPr>
        <w:t xml:space="preserve">, Sentencia </w:t>
      </w:r>
      <w:hyperlink w:anchor="SENTENCIA_2015_65" w:history="1">
        <w:r w:rsidRPr="00BB71B4">
          <w:rPr>
            <w:rStyle w:val="TextoNormalCaracter"/>
          </w:rPr>
          <w:t>65/2015</w:t>
        </w:r>
      </w:hyperlink>
      <w:r w:rsidRPr="00BB71B4">
        <w:rPr>
          <w:rStyle w:val="TextoNormalCaracter"/>
        </w:rPr>
        <w:t>, ff. 3, 4 c), 5, VP I, VP II.</w:t>
      </w:r>
    </w:p>
    <w:p w:rsidR="00BB71B4" w:rsidRPr="00BB71B4" w:rsidRDefault="00BB71B4" w:rsidP="00BB71B4">
      <w:pPr>
        <w:pStyle w:val="TextoNormalSangraFrancesa"/>
        <w:rPr>
          <w:rStyle w:val="TextoNormalCaracter"/>
        </w:rPr>
      </w:pPr>
      <w:bookmarkStart w:id="1396" w:name="DESCRIPTORALFABETICO82"/>
      <w:r w:rsidRPr="00BB71B4">
        <w:rPr>
          <w:rStyle w:val="TextoNormalNegritaCaracter"/>
        </w:rPr>
        <w:t>Impuesto sobre actividades económicas</w:t>
      </w:r>
      <w:bookmarkEnd w:id="1396"/>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397" w:name="DESCRIPTORALFABETICO83"/>
      <w:r w:rsidRPr="00BB71B4">
        <w:rPr>
          <w:rStyle w:val="TextoNormalNegritaCaracter"/>
        </w:rPr>
        <w:t>Impuesto sobre actividades que incidan en el medio ambiente</w:t>
      </w:r>
      <w:bookmarkEnd w:id="1397"/>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2 a 6.</w:t>
      </w:r>
    </w:p>
    <w:p w:rsidR="00BB71B4" w:rsidRPr="00BB71B4" w:rsidRDefault="00BB71B4" w:rsidP="00BB71B4">
      <w:pPr>
        <w:pStyle w:val="TextoNormalSangraFrancesa"/>
        <w:rPr>
          <w:rStyle w:val="TextoNormalCaracter"/>
        </w:rPr>
      </w:pPr>
      <w:bookmarkStart w:id="1398" w:name="DESCRIPTORALFABETICO84"/>
      <w:r w:rsidRPr="00BB71B4">
        <w:rPr>
          <w:rStyle w:val="TextoNormalNegritaCaracter"/>
        </w:rPr>
        <w:t>Impuesto sobre depósitos en las entidades de crédito</w:t>
      </w:r>
      <w:bookmarkEnd w:id="1398"/>
      <w:r w:rsidRPr="00BB71B4">
        <w:rPr>
          <w:rStyle w:val="TextoNormalCaracter"/>
        </w:rPr>
        <w:t xml:space="preserve">, Sentencias </w:t>
      </w:r>
      <w:hyperlink w:anchor="SENTENCIA_2015_26" w:history="1">
        <w:r w:rsidRPr="00BB71B4">
          <w:rPr>
            <w:rStyle w:val="TextoNormalCaracter"/>
          </w:rPr>
          <w:t>26/2015</w:t>
        </w:r>
      </w:hyperlink>
      <w:r w:rsidRPr="00BB71B4">
        <w:rPr>
          <w:rStyle w:val="TextoNormalCaracter"/>
        </w:rPr>
        <w:t xml:space="preserve">, ff. 3 a 6; </w:t>
      </w:r>
      <w:hyperlink w:anchor="SENTENCIA_2015_30" w:history="1">
        <w:r w:rsidRPr="00BB71B4">
          <w:rPr>
            <w:rStyle w:val="TextoNormalCaracter"/>
          </w:rPr>
          <w:t>30/2015</w:t>
        </w:r>
      </w:hyperlink>
      <w:r w:rsidRPr="00BB71B4">
        <w:rPr>
          <w:rStyle w:val="TextoNormalCaracter"/>
        </w:rPr>
        <w:t xml:space="preserve">, ff. 3, 4, VP; </w:t>
      </w:r>
      <w:hyperlink w:anchor="SENTENCIA_2015_59" w:history="1">
        <w:r w:rsidRPr="00BB71B4">
          <w:rPr>
            <w:rStyle w:val="TextoNormalCaracter"/>
          </w:rPr>
          <w:t>59/2015</w:t>
        </w:r>
      </w:hyperlink>
      <w:r w:rsidRPr="00BB71B4">
        <w:rPr>
          <w:rStyle w:val="TextoNormalCaracter"/>
        </w:rPr>
        <w:t xml:space="preserve">, ff. 1 a 6; </w:t>
      </w:r>
      <w:hyperlink w:anchor="SENTENCIA_2015_73" w:history="1">
        <w:r w:rsidRPr="00BB71B4">
          <w:rPr>
            <w:rStyle w:val="TextoNormalCaracter"/>
          </w:rPr>
          <w:t>73/2015</w:t>
        </w:r>
      </w:hyperlink>
      <w:r w:rsidRPr="00BB71B4">
        <w:rPr>
          <w:rStyle w:val="TextoNormalCaracter"/>
        </w:rPr>
        <w:t xml:space="preserve">, ff. 1 a 4; </w:t>
      </w:r>
      <w:hyperlink w:anchor="SENTENCIA_2015_102" w:history="1">
        <w:r w:rsidRPr="00BB71B4">
          <w:rPr>
            <w:rStyle w:val="TextoNormalCaracter"/>
          </w:rPr>
          <w:t>102/2015</w:t>
        </w:r>
      </w:hyperlink>
      <w:r w:rsidRPr="00BB71B4">
        <w:rPr>
          <w:rStyle w:val="TextoNormalCaracter"/>
        </w:rPr>
        <w:t xml:space="preserve">, ff. 3 a 6; </w:t>
      </w:r>
      <w:hyperlink w:anchor="SENTENCIA_2015_107" w:history="1">
        <w:r w:rsidRPr="00BB71B4">
          <w:rPr>
            <w:rStyle w:val="TextoNormalCaracter"/>
          </w:rPr>
          <w:t>107/2015</w:t>
        </w:r>
      </w:hyperlink>
      <w:r w:rsidRPr="00BB71B4">
        <w:rPr>
          <w:rStyle w:val="TextoNormalCaracter"/>
        </w:rPr>
        <w:t xml:space="preserve">, f. 1; </w:t>
      </w:r>
      <w:hyperlink w:anchor="SENTENCIA_2015_108" w:history="1">
        <w:r w:rsidRPr="00BB71B4">
          <w:rPr>
            <w:rStyle w:val="TextoNormalCaracter"/>
          </w:rPr>
          <w:t>108/2015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399" w:name="DESCRIPTORALFABETICO85"/>
      <w:r w:rsidRPr="00BB71B4">
        <w:rPr>
          <w:rStyle w:val="TextoNormalNegritaCaracter"/>
        </w:rPr>
        <w:t>Impuesto sobre los rendimientos del trabajo personal</w:t>
      </w:r>
      <w:bookmarkEnd w:id="1399"/>
      <w:r w:rsidRPr="00BB71B4">
        <w:rPr>
          <w:rStyle w:val="TextoNormalCaracter"/>
        </w:rPr>
        <w:t xml:space="preserve">, Sentencia </w:t>
      </w:r>
      <w:hyperlink w:anchor="SENTENCIA_2015_111" w:history="1">
        <w:r w:rsidRPr="00BB71B4">
          <w:rPr>
            <w:rStyle w:val="TextoNormalCaracter"/>
          </w:rPr>
          <w:t>111/2015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400" w:name="DESCRIPTORALFABETICO86"/>
      <w:r w:rsidRPr="00BB71B4">
        <w:rPr>
          <w:rStyle w:val="TextoNormalNegritaCaracter"/>
        </w:rPr>
        <w:t>Impuesto sobre sucesiones y donaciones</w:t>
      </w:r>
      <w:bookmarkEnd w:id="1400"/>
      <w:r w:rsidRPr="00BB71B4">
        <w:rPr>
          <w:rStyle w:val="TextoNormalCaracter"/>
        </w:rPr>
        <w:t xml:space="preserve">, Sentencia </w:t>
      </w:r>
      <w:hyperlink w:anchor="SENTENCIA_2015_60" w:history="1">
        <w:r w:rsidRPr="00BB71B4">
          <w:rPr>
            <w:rStyle w:val="TextoNormalCaracter"/>
          </w:rPr>
          <w:t>60/2015</w:t>
        </w:r>
      </w:hyperlink>
      <w:r w:rsidRPr="00BB71B4">
        <w:rPr>
          <w:rStyle w:val="TextoNormalCaracter"/>
        </w:rPr>
        <w:t>, ff. 1 a 3, 5, 6.</w:t>
      </w:r>
    </w:p>
    <w:p w:rsidR="00BB71B4" w:rsidRPr="00BB71B4" w:rsidRDefault="00BB71B4" w:rsidP="00BB71B4">
      <w:pPr>
        <w:pStyle w:val="TextoNormalSangraFrancesa"/>
        <w:rPr>
          <w:rStyle w:val="TextoNormalCaracter"/>
        </w:rPr>
      </w:pPr>
      <w:bookmarkStart w:id="1401" w:name="DESCRIPTORALFABETICO87"/>
      <w:r w:rsidRPr="00BB71B4">
        <w:rPr>
          <w:rStyle w:val="TextoNormalNegritaCaracter"/>
        </w:rPr>
        <w:t>Impuesto sobre transmisiones patrimoniales y actos jurídicos documentados</w:t>
      </w:r>
      <w:bookmarkEnd w:id="1401"/>
      <w:r w:rsidRPr="00BB71B4">
        <w:rPr>
          <w:rStyle w:val="TextoNormalCaracter"/>
        </w:rPr>
        <w:t xml:space="preserve">, Sentencia </w:t>
      </w:r>
      <w:hyperlink w:anchor="SENTENCIA_2015_77" w:history="1">
        <w:r w:rsidRPr="00BB71B4">
          <w:rPr>
            <w:rStyle w:val="TextoNormalCaracter"/>
          </w:rPr>
          <w:t>77/2015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402" w:name="DESCRIPTORALFABETICO123"/>
      <w:r w:rsidRPr="00BB71B4">
        <w:rPr>
          <w:rStyle w:val="TextoNormalNegritaCaracter"/>
        </w:rPr>
        <w:t xml:space="preserve">Inadmisión a trámite de </w:t>
      </w:r>
      <w:r w:rsidRPr="00BB71B4">
        <w:rPr>
          <w:rStyle w:val="TextoNormalNegritaCaracter"/>
          <w:i/>
        </w:rPr>
        <w:t>habeas corpus</w:t>
      </w:r>
      <w:bookmarkEnd w:id="1402"/>
      <w:r w:rsidRPr="00BB71B4">
        <w:rPr>
          <w:rStyle w:val="TextoNormalCaracter"/>
        </w:rPr>
        <w:t xml:space="preserve">, Sentencia </w:t>
      </w:r>
      <w:hyperlink w:anchor="SENTENCIA_2015_42" w:history="1">
        <w:r w:rsidRPr="00BB71B4">
          <w:rPr>
            <w:rStyle w:val="TextoNormalCaracter"/>
          </w:rPr>
          <w:t>42/2015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403" w:name="DESCRIPTORALFABETICO124"/>
      <w:r w:rsidRPr="00BB71B4">
        <w:rPr>
          <w:rStyle w:val="TextoNormalNegritaCaracter"/>
        </w:rPr>
        <w:t>Inadmisión a trámite de habeas corpus por razones de fondo</w:t>
      </w:r>
      <w:bookmarkEnd w:id="1403"/>
      <w:r w:rsidRPr="00BB71B4">
        <w:rPr>
          <w:rStyle w:val="TextoNormalCaracter"/>
        </w:rPr>
        <w:t xml:space="preserve">, Sentencia </w:t>
      </w:r>
      <w:hyperlink w:anchor="SENTENCIA_2015_42" w:history="1">
        <w:r w:rsidRPr="00BB71B4">
          <w:rPr>
            <w:rStyle w:val="TextoNormalCaracter"/>
          </w:rPr>
          <w:t>42/2015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404" w:name="DESCRIPTORALFABETICO257"/>
      <w:r w:rsidRPr="00BB71B4">
        <w:rPr>
          <w:rStyle w:val="TextoNormalNegritaCaracter"/>
        </w:rPr>
        <w:t>Inadmisión de conflictos en defensa de la autonomía local</w:t>
      </w:r>
      <w:bookmarkEnd w:id="1404"/>
      <w:r w:rsidRPr="00BB71B4">
        <w:rPr>
          <w:rStyle w:val="TextoNormalCaracter"/>
        </w:rPr>
        <w:t xml:space="preserve">, Auto </w:t>
      </w:r>
      <w:hyperlink w:anchor="AUTO_2015_70" w:history="1">
        <w:r w:rsidRPr="00BB71B4">
          <w:rPr>
            <w:rStyle w:val="TextoNormalCaracter"/>
          </w:rPr>
          <w:t>70/2015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405" w:name="DESCRIPTORALFABETICO267"/>
      <w:r w:rsidRPr="00BB71B4">
        <w:rPr>
          <w:rStyle w:val="TextoNormalNegritaCaracter"/>
        </w:rPr>
        <w:t>Inadmisión de cuestión de inconstitucionalidad</w:t>
      </w:r>
      <w:bookmarkEnd w:id="1405"/>
      <w:r w:rsidRPr="00BB71B4">
        <w:rPr>
          <w:rStyle w:val="TextoNormalCaracter"/>
        </w:rPr>
        <w:t xml:space="preserve">, Autos </w:t>
      </w:r>
      <w:hyperlink w:anchor="AUTO_2015_33" w:history="1">
        <w:r w:rsidRPr="00BB71B4">
          <w:rPr>
            <w:rStyle w:val="TextoNormalCaracter"/>
          </w:rPr>
          <w:t>33/2015</w:t>
        </w:r>
      </w:hyperlink>
      <w:r w:rsidRPr="00BB71B4">
        <w:rPr>
          <w:rStyle w:val="TextoNormalCaracter"/>
        </w:rPr>
        <w:t xml:space="preserve">, ff. 1 a 6; </w:t>
      </w:r>
      <w:hyperlink w:anchor="AUTO_2015_34" w:history="1">
        <w:r w:rsidRPr="00BB71B4">
          <w:rPr>
            <w:rStyle w:val="TextoNormalCaracter"/>
          </w:rPr>
          <w:t>34/2015</w:t>
        </w:r>
      </w:hyperlink>
      <w:r w:rsidRPr="00BB71B4">
        <w:rPr>
          <w:rStyle w:val="TextoNormalCaracter"/>
        </w:rPr>
        <w:t xml:space="preserve">, f. 6; </w:t>
      </w:r>
      <w:hyperlink w:anchor="AUTO_2015_35" w:history="1">
        <w:r w:rsidRPr="00BB71B4">
          <w:rPr>
            <w:rStyle w:val="TextoNormalCaracter"/>
          </w:rPr>
          <w:t>35/2015</w:t>
        </w:r>
      </w:hyperlink>
      <w:r w:rsidRPr="00BB71B4">
        <w:rPr>
          <w:rStyle w:val="TextoNormalCaracter"/>
        </w:rPr>
        <w:t xml:space="preserve">, ff. 1 a 4; </w:t>
      </w:r>
      <w:hyperlink w:anchor="AUTO_2015_36" w:history="1">
        <w:r w:rsidRPr="00BB71B4">
          <w:rPr>
            <w:rStyle w:val="TextoNormalCaracter"/>
          </w:rPr>
          <w:t>36/2015</w:t>
        </w:r>
      </w:hyperlink>
      <w:r w:rsidRPr="00BB71B4">
        <w:rPr>
          <w:rStyle w:val="TextoNormalCaracter"/>
        </w:rPr>
        <w:t xml:space="preserve">, ff. 1 a 3; </w:t>
      </w:r>
      <w:hyperlink w:anchor="AUTO_2015_37" w:history="1">
        <w:r w:rsidRPr="00BB71B4">
          <w:rPr>
            <w:rStyle w:val="TextoNormalCaracter"/>
          </w:rPr>
          <w:t>37/2015</w:t>
        </w:r>
      </w:hyperlink>
      <w:r w:rsidRPr="00BB71B4">
        <w:rPr>
          <w:rStyle w:val="TextoNormalCaracter"/>
        </w:rPr>
        <w:t xml:space="preserve">, ff. 1 a 4; </w:t>
      </w:r>
      <w:hyperlink w:anchor="AUTO_2015_38" w:history="1">
        <w:r w:rsidRPr="00BB71B4">
          <w:rPr>
            <w:rStyle w:val="TextoNormalCaracter"/>
          </w:rPr>
          <w:t>38/2015</w:t>
        </w:r>
      </w:hyperlink>
      <w:r w:rsidRPr="00BB71B4">
        <w:rPr>
          <w:rStyle w:val="TextoNormalCaracter"/>
        </w:rPr>
        <w:t xml:space="preserve">, f. 3; </w:t>
      </w:r>
      <w:hyperlink w:anchor="AUTO_2015_66" w:history="1">
        <w:r w:rsidRPr="00BB71B4">
          <w:rPr>
            <w:rStyle w:val="TextoNormalCaracter"/>
          </w:rPr>
          <w:t>66/2015</w:t>
        </w:r>
      </w:hyperlink>
      <w:r w:rsidRPr="00BB71B4">
        <w:rPr>
          <w:rStyle w:val="TextoNormalCaracter"/>
        </w:rPr>
        <w:t xml:space="preserve">, f. 3; </w:t>
      </w:r>
      <w:hyperlink w:anchor="AUTO_2015_69" w:history="1">
        <w:r w:rsidRPr="00BB71B4">
          <w:rPr>
            <w:rStyle w:val="TextoNormalCaracter"/>
          </w:rPr>
          <w:t>69/2015</w:t>
        </w:r>
      </w:hyperlink>
      <w:r w:rsidRPr="00BB71B4">
        <w:rPr>
          <w:rStyle w:val="TextoNormalCaracter"/>
        </w:rPr>
        <w:t xml:space="preserve">, ff. 1 a 4; </w:t>
      </w:r>
      <w:hyperlink w:anchor="AUTO_2015_74" w:history="1">
        <w:r w:rsidRPr="00BB71B4">
          <w:rPr>
            <w:rStyle w:val="TextoNormalCaracter"/>
          </w:rPr>
          <w:t>74/2015</w:t>
        </w:r>
      </w:hyperlink>
      <w:r w:rsidRPr="00BB71B4">
        <w:rPr>
          <w:rStyle w:val="TextoNormalCaracter"/>
        </w:rPr>
        <w:t xml:space="preserve">, f. 3; </w:t>
      </w:r>
      <w:hyperlink w:anchor="AUTO_2015_76" w:history="1">
        <w:r w:rsidRPr="00BB71B4">
          <w:rPr>
            <w:rStyle w:val="TextoNormalCaracter"/>
          </w:rPr>
          <w:t>76/2015</w:t>
        </w:r>
      </w:hyperlink>
      <w:r w:rsidRPr="00BB71B4">
        <w:rPr>
          <w:rStyle w:val="TextoNormalCaracter"/>
        </w:rPr>
        <w:t xml:space="preserve">, f. 4; </w:t>
      </w:r>
      <w:hyperlink w:anchor="AUTO_2015_97" w:history="1">
        <w:r w:rsidRPr="00BB71B4">
          <w:rPr>
            <w:rStyle w:val="TextoNormalCaracter"/>
          </w:rPr>
          <w:t>97/2015</w:t>
        </w:r>
      </w:hyperlink>
      <w:r w:rsidRPr="00BB71B4">
        <w:rPr>
          <w:rStyle w:val="TextoNormalCaracter"/>
        </w:rPr>
        <w:t xml:space="preserve">, ff. 1 a 5; </w:t>
      </w:r>
      <w:hyperlink w:anchor="AUTO_2015_101" w:history="1">
        <w:r w:rsidRPr="00BB71B4">
          <w:rPr>
            <w:rStyle w:val="TextoNormalCaracter"/>
          </w:rPr>
          <w:t>101/2015</w:t>
        </w:r>
      </w:hyperlink>
      <w:r w:rsidRPr="00BB71B4">
        <w:rPr>
          <w:rStyle w:val="TextoNormalCaracter"/>
        </w:rPr>
        <w:t xml:space="preserve">, ff. 1 a 4; </w:t>
      </w:r>
      <w:hyperlink w:anchor="AUTO_2015_103" w:history="1">
        <w:r w:rsidRPr="00BB71B4">
          <w:rPr>
            <w:rStyle w:val="TextoNormalCaracter"/>
          </w:rPr>
          <w:t>103/2015</w:t>
        </w:r>
      </w:hyperlink>
      <w:r w:rsidRPr="00BB71B4">
        <w:rPr>
          <w:rStyle w:val="TextoNormalCaracter"/>
        </w:rPr>
        <w:t xml:space="preserve">, ff. 1 a 3; </w:t>
      </w:r>
      <w:hyperlink w:anchor="AUTO_2015_111" w:history="1">
        <w:r w:rsidRPr="00BB71B4">
          <w:rPr>
            <w:rStyle w:val="TextoNormalCaracter"/>
          </w:rPr>
          <w:t>111/2015</w:t>
        </w:r>
      </w:hyperlink>
      <w:r w:rsidRPr="00BB71B4">
        <w:rPr>
          <w:rStyle w:val="TextoNormalCaracter"/>
        </w:rPr>
        <w:t xml:space="preserve">, ff. 1 y 2; </w:t>
      </w:r>
      <w:hyperlink w:anchor="AUTO_2015_112" w:history="1">
        <w:r w:rsidRPr="00BB71B4">
          <w:rPr>
            <w:rStyle w:val="TextoNormalCaracter"/>
          </w:rPr>
          <w:t>112/2015</w:t>
        </w:r>
      </w:hyperlink>
      <w:r w:rsidRPr="00BB71B4">
        <w:rPr>
          <w:rStyle w:val="TextoNormalCaracter"/>
        </w:rPr>
        <w:t>, ff. 1 a 5.</w:t>
      </w:r>
    </w:p>
    <w:p w:rsidR="00BB71B4" w:rsidRPr="00BB71B4" w:rsidRDefault="00BB71B4" w:rsidP="00BB71B4">
      <w:pPr>
        <w:pStyle w:val="TextoNormalSangraFrancesa"/>
        <w:rPr>
          <w:rStyle w:val="TextoNormalCaracter"/>
        </w:rPr>
      </w:pPr>
      <w:bookmarkStart w:id="1406" w:name="DESCRIPTORALFABETICO270"/>
      <w:r w:rsidRPr="00BB71B4">
        <w:rPr>
          <w:rStyle w:val="TextoNormalNegritaCaracter"/>
        </w:rPr>
        <w:t>Inadmisión de cuestión de inconstitucionalidad por falta de requisitos procesales</w:t>
      </w:r>
      <w:bookmarkEnd w:id="1406"/>
      <w:r w:rsidRPr="00BB71B4">
        <w:rPr>
          <w:rStyle w:val="TextoNormalCaracter"/>
        </w:rPr>
        <w:t xml:space="preserve">, Auto </w:t>
      </w:r>
      <w:hyperlink w:anchor="AUTO_2015_84" w:history="1">
        <w:r w:rsidRPr="00BB71B4">
          <w:rPr>
            <w:rStyle w:val="TextoNormalCaracter"/>
          </w:rPr>
          <w:t>84/2015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07" w:name="DESCRIPTORALFABETICO271"/>
      <w:r w:rsidRPr="00BB71B4">
        <w:rPr>
          <w:rStyle w:val="TextoNormalNegritaCaracter"/>
        </w:rPr>
        <w:t>Inadmisión de cuestión de inconstitucionalidad por sentencia</w:t>
      </w:r>
      <w:bookmarkEnd w:id="1407"/>
      <w:r w:rsidRPr="00BB71B4">
        <w:rPr>
          <w:rStyle w:val="TextoNormalCaracter"/>
        </w:rPr>
        <w:t xml:space="preserve">, Sentencia </w:t>
      </w:r>
      <w:hyperlink w:anchor="SENTENCIA_2015_79" w:history="1">
        <w:r w:rsidRPr="00BB71B4">
          <w:rPr>
            <w:rStyle w:val="TextoNormalCaracter"/>
          </w:rPr>
          <w:t>79/2015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08" w:name="DESCRIPTORALFABETICO711"/>
      <w:r w:rsidRPr="00BB71B4">
        <w:rPr>
          <w:rStyle w:val="TextoNormalNegritaCaracter"/>
        </w:rPr>
        <w:t>Inadmisión de demanda civil</w:t>
      </w:r>
      <w:bookmarkEnd w:id="1408"/>
      <w:r w:rsidRPr="00BB71B4">
        <w:rPr>
          <w:rStyle w:val="TextoNormalCaracter"/>
        </w:rPr>
        <w:t xml:space="preserve">, Sentencia </w:t>
      </w:r>
      <w:hyperlink w:anchor="SENTENCIA_2015_115" w:history="1">
        <w:r w:rsidRPr="00BB71B4">
          <w:rPr>
            <w:rStyle w:val="TextoNormalCaracter"/>
          </w:rPr>
          <w:t>115/2015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409" w:name="DESCRIPTORALFABETICO690"/>
      <w:r w:rsidRPr="00BB71B4">
        <w:rPr>
          <w:rStyle w:val="TextoNormalNegritaCaracter"/>
        </w:rPr>
        <w:t>Inadmisión de incidente de nulidad de actuaciones</w:t>
      </w:r>
      <w:bookmarkEnd w:id="1409"/>
      <w:r w:rsidRPr="00BB71B4">
        <w:rPr>
          <w:rStyle w:val="TextoNormalCaracter"/>
        </w:rPr>
        <w:t xml:space="preserve">, Sentencias </w:t>
      </w:r>
      <w:hyperlink w:anchor="SENTENCIA_2015_91" w:history="1">
        <w:r w:rsidRPr="00BB71B4">
          <w:rPr>
            <w:rStyle w:val="TextoNormalCaracter"/>
          </w:rPr>
          <w:t>91/2015</w:t>
        </w:r>
      </w:hyperlink>
      <w:r w:rsidRPr="00BB71B4">
        <w:rPr>
          <w:rStyle w:val="TextoNormalCaracter"/>
        </w:rPr>
        <w:t xml:space="preserve">, ff. 2, 3; </w:t>
      </w:r>
      <w:hyperlink w:anchor="SENTENCIA_2015_96" w:history="1">
        <w:r w:rsidRPr="00BB71B4">
          <w:rPr>
            <w:rStyle w:val="TextoNormalCaracter"/>
          </w:rPr>
          <w:t>96/2015</w:t>
        </w:r>
      </w:hyperlink>
      <w:r w:rsidRPr="00BB71B4">
        <w:rPr>
          <w:rStyle w:val="TextoNormalCaracter"/>
        </w:rPr>
        <w:t xml:space="preserve">, f. 2; </w:t>
      </w:r>
      <w:hyperlink w:anchor="SENTENCIA_2015_98" w:history="1">
        <w:r w:rsidRPr="00BB71B4">
          <w:rPr>
            <w:rStyle w:val="TextoNormalCaracter"/>
          </w:rPr>
          <w:t>98/2015</w:t>
        </w:r>
      </w:hyperlink>
      <w:r w:rsidRPr="00BB71B4">
        <w:rPr>
          <w:rStyle w:val="TextoNormalCaracter"/>
        </w:rPr>
        <w:t xml:space="preserve">, f. 3; </w:t>
      </w:r>
      <w:hyperlink w:anchor="SENTENCIA_2015_101" w:history="1">
        <w:r w:rsidRPr="00BB71B4">
          <w:rPr>
            <w:rStyle w:val="TextoNormalCaracter"/>
          </w:rPr>
          <w:t>101/2015</w:t>
        </w:r>
      </w:hyperlink>
      <w:r w:rsidRPr="00BB71B4">
        <w:rPr>
          <w:rStyle w:val="TextoNormalCaracter"/>
        </w:rPr>
        <w:t xml:space="preserve">, f. 2; </w:t>
      </w:r>
      <w:hyperlink w:anchor="SENTENCIA_2015_142" w:history="1">
        <w:r w:rsidRPr="00BB71B4">
          <w:rPr>
            <w:rStyle w:val="TextoNormalCaracter"/>
          </w:rPr>
          <w:t>142/2015</w:t>
        </w:r>
      </w:hyperlink>
      <w:r w:rsidRPr="00BB71B4">
        <w:rPr>
          <w:rStyle w:val="TextoNormalCaracter"/>
        </w:rPr>
        <w:t>, ff. 2, 3.</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49" w:history="1">
        <w:r w:rsidRPr="00BB71B4">
          <w:rPr>
            <w:rStyle w:val="TextoNormalCaracter"/>
          </w:rPr>
          <w:t>49/2015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410" w:name="DESCRIPTORALFABETICO702"/>
      <w:r w:rsidRPr="00BB71B4">
        <w:rPr>
          <w:rStyle w:val="TextoNormalNegritaCaracter"/>
        </w:rPr>
        <w:t>Inadmisión de recurso de apelación</w:t>
      </w:r>
      <w:bookmarkEnd w:id="1410"/>
      <w:r w:rsidRPr="00BB71B4">
        <w:rPr>
          <w:rStyle w:val="TextoNormalCaracter"/>
        </w:rPr>
        <w:t xml:space="preserve">, Sentencia </w:t>
      </w:r>
      <w:hyperlink w:anchor="SENTENCIA_2015_124" w:history="1">
        <w:r w:rsidRPr="00BB71B4">
          <w:rPr>
            <w:rStyle w:val="TextoNormalCaracter"/>
          </w:rPr>
          <w:t>124/2015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11" w:name="DESCRIPTORALFABETICO703"/>
      <w:r w:rsidRPr="00BB71B4">
        <w:rPr>
          <w:rStyle w:val="TextoNormalNegritaCaracter"/>
        </w:rPr>
        <w:t>Inadmisión de recurso de casación</w:t>
      </w:r>
      <w:bookmarkEnd w:id="1411"/>
      <w:r w:rsidRPr="00BB71B4">
        <w:rPr>
          <w:rStyle w:val="TextoNormalCaracter"/>
        </w:rPr>
        <w:t xml:space="preserve">, Sentencia </w:t>
      </w:r>
      <w:hyperlink w:anchor="SENTENCIA_2015_7" w:history="1">
        <w:r w:rsidRPr="00BB71B4">
          <w:rPr>
            <w:rStyle w:val="TextoNormalCaracter"/>
          </w:rPr>
          <w:t>7/2015</w:t>
        </w:r>
      </w:hyperlink>
      <w:r w:rsidRPr="00BB71B4">
        <w:rPr>
          <w:rStyle w:val="TextoNormalCaracter"/>
        </w:rPr>
        <w:t>, ff. 2 a 4, VP.</w:t>
      </w:r>
    </w:p>
    <w:p w:rsidR="00BB71B4" w:rsidRPr="00BB71B4" w:rsidRDefault="00BB71B4" w:rsidP="00BB71B4">
      <w:pPr>
        <w:pStyle w:val="TextoNormalSangraFrancesa"/>
        <w:rPr>
          <w:rStyle w:val="TextoNormalCaracter"/>
        </w:rPr>
      </w:pPr>
      <w:bookmarkStart w:id="1412" w:name="DESCRIPTORALFABETICO719"/>
      <w:r w:rsidRPr="00BB71B4">
        <w:rPr>
          <w:rStyle w:val="TextoNormalNegritaCaracter"/>
        </w:rPr>
        <w:t>Inadmisión de recurso de casación contencioso-administrativo</w:t>
      </w:r>
      <w:bookmarkEnd w:id="1412"/>
      <w:r w:rsidRPr="00BB71B4">
        <w:rPr>
          <w:rStyle w:val="TextoNormalCaracter"/>
        </w:rPr>
        <w:t xml:space="preserve">, Sentencias </w:t>
      </w:r>
      <w:hyperlink w:anchor="SENTENCIA_2015_16" w:history="1">
        <w:r w:rsidRPr="00BB71B4">
          <w:rPr>
            <w:rStyle w:val="TextoNormalCaracter"/>
          </w:rPr>
          <w:t>16/2015</w:t>
        </w:r>
      </w:hyperlink>
      <w:r w:rsidRPr="00BB71B4">
        <w:rPr>
          <w:rStyle w:val="TextoNormalCaracter"/>
        </w:rPr>
        <w:t xml:space="preserve">, ff. 2, 3; </w:t>
      </w:r>
      <w:hyperlink w:anchor="SENTENCIA_2015_17" w:history="1">
        <w:r w:rsidRPr="00BB71B4">
          <w:rPr>
            <w:rStyle w:val="TextoNormalCaracter"/>
          </w:rPr>
          <w:t>17/2015</w:t>
        </w:r>
      </w:hyperlink>
      <w:r w:rsidRPr="00BB71B4">
        <w:rPr>
          <w:rStyle w:val="TextoNormalCaracter"/>
        </w:rPr>
        <w:t xml:space="preserve">, f. 2; </w:t>
      </w:r>
      <w:hyperlink w:anchor="SENTENCIA_2015_20" w:history="1">
        <w:r w:rsidRPr="00BB71B4">
          <w:rPr>
            <w:rStyle w:val="TextoNormalCaracter"/>
          </w:rPr>
          <w:t>20/2015</w:t>
        </w:r>
      </w:hyperlink>
      <w:r w:rsidRPr="00BB71B4">
        <w:rPr>
          <w:rStyle w:val="TextoNormalCaracter"/>
        </w:rPr>
        <w:t xml:space="preserve">, f. 2; </w:t>
      </w:r>
      <w:hyperlink w:anchor="SENTENCIA_2015_34" w:history="1">
        <w:r w:rsidRPr="00BB71B4">
          <w:rPr>
            <w:rStyle w:val="TextoNormalCaracter"/>
          </w:rPr>
          <w:t>34/2015</w:t>
        </w:r>
      </w:hyperlink>
      <w:r w:rsidRPr="00BB71B4">
        <w:rPr>
          <w:rStyle w:val="TextoNormalCaracter"/>
        </w:rPr>
        <w:t xml:space="preserve">, ff. 2, 3; </w:t>
      </w:r>
      <w:hyperlink w:anchor="SENTENCIA_2015_35" w:history="1">
        <w:r w:rsidRPr="00BB71B4">
          <w:rPr>
            <w:rStyle w:val="TextoNormalCaracter"/>
          </w:rPr>
          <w:t>35/2015</w:t>
        </w:r>
      </w:hyperlink>
      <w:r w:rsidRPr="00BB71B4">
        <w:rPr>
          <w:rStyle w:val="TextoNormalCaracter"/>
        </w:rPr>
        <w:t xml:space="preserve">, ff. 2, 3; </w:t>
      </w:r>
      <w:hyperlink w:anchor="SENTENCIA_2015_36" w:history="1">
        <w:r w:rsidRPr="00BB71B4">
          <w:rPr>
            <w:rStyle w:val="TextoNormalCaracter"/>
          </w:rPr>
          <w:t>36/2015</w:t>
        </w:r>
      </w:hyperlink>
      <w:r w:rsidRPr="00BB71B4">
        <w:rPr>
          <w:rStyle w:val="TextoNormalCaracter"/>
        </w:rPr>
        <w:t xml:space="preserve">, ff. 2, 3; </w:t>
      </w:r>
      <w:hyperlink w:anchor="SENTENCIA_2015_37" w:history="1">
        <w:r w:rsidRPr="00BB71B4">
          <w:rPr>
            <w:rStyle w:val="TextoNormalCaracter"/>
          </w:rPr>
          <w:t>37/2015</w:t>
        </w:r>
      </w:hyperlink>
      <w:r w:rsidRPr="00BB71B4">
        <w:rPr>
          <w:rStyle w:val="TextoNormalCaracter"/>
        </w:rPr>
        <w:t xml:space="preserve">, f. 2; </w:t>
      </w:r>
      <w:hyperlink w:anchor="SENTENCIA_2015_38" w:history="1">
        <w:r w:rsidRPr="00BB71B4">
          <w:rPr>
            <w:rStyle w:val="TextoNormalCaracter"/>
          </w:rPr>
          <w:t>38/2015</w:t>
        </w:r>
      </w:hyperlink>
      <w:r w:rsidRPr="00BB71B4">
        <w:rPr>
          <w:rStyle w:val="TextoNormalCaracter"/>
        </w:rPr>
        <w:t xml:space="preserve">, f. 2; </w:t>
      </w:r>
      <w:hyperlink w:anchor="SENTENCIA_2015_40" w:history="1">
        <w:r w:rsidRPr="00BB71B4">
          <w:rPr>
            <w:rStyle w:val="TextoNormalCaracter"/>
          </w:rPr>
          <w:t>40/2015</w:t>
        </w:r>
      </w:hyperlink>
      <w:r w:rsidRPr="00BB71B4">
        <w:rPr>
          <w:rStyle w:val="TextoNormalCaracter"/>
        </w:rPr>
        <w:t xml:space="preserve">, ff. 2, 3; </w:t>
      </w:r>
      <w:hyperlink w:anchor="SENTENCIA_2015_51" w:history="1">
        <w:r w:rsidRPr="00BB71B4">
          <w:rPr>
            <w:rStyle w:val="TextoNormalCaracter"/>
          </w:rPr>
          <w:t>51/2015</w:t>
        </w:r>
      </w:hyperlink>
      <w:r w:rsidRPr="00BB71B4">
        <w:rPr>
          <w:rStyle w:val="TextoNormalCaracter"/>
        </w:rPr>
        <w:t xml:space="preserve">, ff. 2, 3; </w:t>
      </w:r>
      <w:hyperlink w:anchor="SENTENCIA_2015_52" w:history="1">
        <w:r w:rsidRPr="00BB71B4">
          <w:rPr>
            <w:rStyle w:val="TextoNormalCaracter"/>
          </w:rPr>
          <w:t>52/2015</w:t>
        </w:r>
      </w:hyperlink>
      <w:r w:rsidRPr="00BB71B4">
        <w:rPr>
          <w:rStyle w:val="TextoNormalCaracter"/>
        </w:rPr>
        <w:t xml:space="preserve">, f. 2; </w:t>
      </w:r>
      <w:hyperlink w:anchor="SENTENCIA_2015_53" w:history="1">
        <w:r w:rsidRPr="00BB71B4">
          <w:rPr>
            <w:rStyle w:val="TextoNormalCaracter"/>
          </w:rPr>
          <w:t>53/2015</w:t>
        </w:r>
      </w:hyperlink>
      <w:r w:rsidRPr="00BB71B4">
        <w:rPr>
          <w:rStyle w:val="TextoNormalCaracter"/>
        </w:rPr>
        <w:t xml:space="preserve">, ff. 2, 3; </w:t>
      </w:r>
      <w:hyperlink w:anchor="SENTENCIA_2015_64" w:history="1">
        <w:r w:rsidRPr="00BB71B4">
          <w:rPr>
            <w:rStyle w:val="TextoNormalCaracter"/>
          </w:rPr>
          <w:t>64/2015</w:t>
        </w:r>
      </w:hyperlink>
      <w:r w:rsidRPr="00BB71B4">
        <w:rPr>
          <w:rStyle w:val="TextoNormalCaracter"/>
        </w:rPr>
        <w:t xml:space="preserve">, f. 2; </w:t>
      </w:r>
      <w:hyperlink w:anchor="SENTENCIA_2015_67" w:history="1">
        <w:r w:rsidRPr="00BB71B4">
          <w:rPr>
            <w:rStyle w:val="TextoNormalCaracter"/>
          </w:rPr>
          <w:t>67/2015</w:t>
        </w:r>
      </w:hyperlink>
      <w:r w:rsidRPr="00BB71B4">
        <w:rPr>
          <w:rStyle w:val="TextoNormalCaracter"/>
        </w:rPr>
        <w:t xml:space="preserve">, ff. 2, 3; </w:t>
      </w:r>
      <w:hyperlink w:anchor="SENTENCIA_2015_68" w:history="1">
        <w:r w:rsidRPr="00BB71B4">
          <w:rPr>
            <w:rStyle w:val="TextoNormalCaracter"/>
          </w:rPr>
          <w:t>68/2015</w:t>
        </w:r>
      </w:hyperlink>
      <w:r w:rsidRPr="00BB71B4">
        <w:rPr>
          <w:rStyle w:val="TextoNormalCaracter"/>
        </w:rPr>
        <w:t xml:space="preserve">, ff. 2, 3; </w:t>
      </w:r>
      <w:hyperlink w:anchor="SENTENCIA_2015_69" w:history="1">
        <w:r w:rsidRPr="00BB71B4">
          <w:rPr>
            <w:rStyle w:val="TextoNormalCaracter"/>
          </w:rPr>
          <w:t>69/2015</w:t>
        </w:r>
      </w:hyperlink>
      <w:r w:rsidRPr="00BB71B4">
        <w:rPr>
          <w:rStyle w:val="TextoNormalCaracter"/>
        </w:rPr>
        <w:t xml:space="preserve">, ff. 2, 3; </w:t>
      </w:r>
      <w:hyperlink w:anchor="SENTENCIA_2015_70" w:history="1">
        <w:r w:rsidRPr="00BB71B4">
          <w:rPr>
            <w:rStyle w:val="TextoNormalCaracter"/>
          </w:rPr>
          <w:t>70/2015</w:t>
        </w:r>
      </w:hyperlink>
      <w:r w:rsidRPr="00BB71B4">
        <w:rPr>
          <w:rStyle w:val="TextoNormalCaracter"/>
        </w:rPr>
        <w:t xml:space="preserve">, ff. 2, 3; </w:t>
      </w:r>
      <w:hyperlink w:anchor="SENTENCIA_2015_71" w:history="1">
        <w:r w:rsidRPr="00BB71B4">
          <w:rPr>
            <w:rStyle w:val="TextoNormalCaracter"/>
          </w:rPr>
          <w:t>71/2015</w:t>
        </w:r>
      </w:hyperlink>
      <w:r w:rsidRPr="00BB71B4">
        <w:rPr>
          <w:rStyle w:val="TextoNormalCaracter"/>
        </w:rPr>
        <w:t xml:space="preserve">, f. 2; </w:t>
      </w:r>
      <w:hyperlink w:anchor="SENTENCIA_2015_72" w:history="1">
        <w:r w:rsidRPr="00BB71B4">
          <w:rPr>
            <w:rStyle w:val="TextoNormalCaracter"/>
          </w:rPr>
          <w:t>72/2015</w:t>
        </w:r>
      </w:hyperlink>
      <w:r w:rsidRPr="00BB71B4">
        <w:rPr>
          <w:rStyle w:val="TextoNormalCaracter"/>
        </w:rPr>
        <w:t xml:space="preserve">, ff. 2, 3; </w:t>
      </w:r>
      <w:hyperlink w:anchor="SENTENCIA_2015_75" w:history="1">
        <w:r w:rsidRPr="00BB71B4">
          <w:rPr>
            <w:rStyle w:val="TextoNormalCaracter"/>
          </w:rPr>
          <w:t>75/2015</w:t>
        </w:r>
      </w:hyperlink>
      <w:r w:rsidRPr="00BB71B4">
        <w:rPr>
          <w:rStyle w:val="TextoNormalCaracter"/>
        </w:rPr>
        <w:t xml:space="preserve">, f. 2; </w:t>
      </w:r>
      <w:hyperlink w:anchor="SENTENCIA_2015_76" w:history="1">
        <w:r w:rsidRPr="00BB71B4">
          <w:rPr>
            <w:rStyle w:val="TextoNormalCaracter"/>
          </w:rPr>
          <w:t>76/2015</w:t>
        </w:r>
      </w:hyperlink>
      <w:r w:rsidRPr="00BB71B4">
        <w:rPr>
          <w:rStyle w:val="TextoNormalCaracter"/>
        </w:rPr>
        <w:t xml:space="preserve">, ff. 2, 3; </w:t>
      </w:r>
      <w:hyperlink w:anchor="SENTENCIA_2015_78" w:history="1">
        <w:r w:rsidRPr="00BB71B4">
          <w:rPr>
            <w:rStyle w:val="TextoNormalCaracter"/>
          </w:rPr>
          <w:t>78/2015</w:t>
        </w:r>
      </w:hyperlink>
      <w:r w:rsidRPr="00BB71B4">
        <w:rPr>
          <w:rStyle w:val="TextoNormalCaracter"/>
        </w:rPr>
        <w:t xml:space="preserve">, f. 2; </w:t>
      </w:r>
      <w:hyperlink w:anchor="SENTENCIA_2015_80" w:history="1">
        <w:r w:rsidRPr="00BB71B4">
          <w:rPr>
            <w:rStyle w:val="TextoNormalCaracter"/>
          </w:rPr>
          <w:t>80/2015</w:t>
        </w:r>
      </w:hyperlink>
      <w:r w:rsidRPr="00BB71B4">
        <w:rPr>
          <w:rStyle w:val="TextoNormalCaracter"/>
        </w:rPr>
        <w:t xml:space="preserve">, ff. 2, 3; </w:t>
      </w:r>
      <w:hyperlink w:anchor="SENTENCIA_2015_82" w:history="1">
        <w:r w:rsidRPr="00BB71B4">
          <w:rPr>
            <w:rStyle w:val="TextoNormalCaracter"/>
          </w:rPr>
          <w:t>82/2015</w:t>
        </w:r>
      </w:hyperlink>
      <w:r w:rsidRPr="00BB71B4">
        <w:rPr>
          <w:rStyle w:val="TextoNormalCaracter"/>
        </w:rPr>
        <w:t xml:space="preserve">, ff. 2, 3; </w:t>
      </w:r>
      <w:hyperlink w:anchor="SENTENCIA_2015_139" w:history="1">
        <w:r w:rsidRPr="00BB71B4">
          <w:rPr>
            <w:rStyle w:val="TextoNormalCaracter"/>
          </w:rPr>
          <w:t>139/2015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13" w:name="DESCRIPTORALFABETICO706"/>
      <w:r w:rsidRPr="00BB71B4">
        <w:rPr>
          <w:rStyle w:val="TextoNormalNegritaCaracter"/>
        </w:rPr>
        <w:t>Inadmisión de recurso de súplica</w:t>
      </w:r>
      <w:bookmarkEnd w:id="1413"/>
      <w:r w:rsidRPr="00BB71B4">
        <w:rPr>
          <w:rStyle w:val="TextoNormalCaracter"/>
        </w:rPr>
        <w:t xml:space="preserve">, Auto </w:t>
      </w:r>
      <w:hyperlink w:anchor="AUTO_2015_57" w:history="1">
        <w:r w:rsidRPr="00BB71B4">
          <w:rPr>
            <w:rStyle w:val="TextoNormalCaracter"/>
          </w:rPr>
          <w:t>57/2015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414" w:name="DESCRIPTORALFABETICO700"/>
      <w:r w:rsidRPr="00BB71B4">
        <w:rPr>
          <w:rStyle w:val="TextoNormalNegritaCaracter"/>
        </w:rPr>
        <w:t>Inadmisión por no acreditar el derecho a justicia gratuita</w:t>
      </w:r>
      <w:bookmarkEnd w:id="1414"/>
      <w:r w:rsidRPr="00BB71B4">
        <w:rPr>
          <w:rStyle w:val="TextoNormalCaracter"/>
        </w:rPr>
        <w:t xml:space="preserve">, Sentencias </w:t>
      </w:r>
      <w:hyperlink w:anchor="SENTENCIA_2015_90" w:history="1">
        <w:r w:rsidRPr="00BB71B4">
          <w:rPr>
            <w:rStyle w:val="TextoNormalCaracter"/>
          </w:rPr>
          <w:t>90/2015</w:t>
        </w:r>
      </w:hyperlink>
      <w:r w:rsidRPr="00BB71B4">
        <w:rPr>
          <w:rStyle w:val="TextoNormalCaracter"/>
        </w:rPr>
        <w:t xml:space="preserve">, f. 4; </w:t>
      </w:r>
      <w:hyperlink w:anchor="SENTENCIA_2015_124" w:history="1">
        <w:r w:rsidRPr="00BB71B4">
          <w:rPr>
            <w:rStyle w:val="TextoNormalCaracter"/>
          </w:rPr>
          <w:t>124/2015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415" w:name="DESCRIPTORALFABETICO689"/>
      <w:r w:rsidRPr="00BB71B4">
        <w:rPr>
          <w:rStyle w:val="TextoNormalNegritaCaracter"/>
        </w:rPr>
        <w:t>Incidente de nulidad de actuaciones</w:t>
      </w:r>
      <w:bookmarkEnd w:id="1415"/>
      <w:r w:rsidRPr="00BB71B4">
        <w:rPr>
          <w:rStyle w:val="TextoNormalCaracter"/>
        </w:rPr>
        <w:t xml:space="preserve">, Sentencias </w:t>
      </w:r>
      <w:hyperlink w:anchor="SENTENCIA_2015_96" w:history="1">
        <w:r w:rsidRPr="00BB71B4">
          <w:rPr>
            <w:rStyle w:val="TextoNormalCaracter"/>
          </w:rPr>
          <w:t>96/2015</w:t>
        </w:r>
      </w:hyperlink>
      <w:r w:rsidRPr="00BB71B4">
        <w:rPr>
          <w:rStyle w:val="TextoNormalCaracter"/>
        </w:rPr>
        <w:t xml:space="preserve">, ff. 2, 3; </w:t>
      </w:r>
      <w:hyperlink w:anchor="SENTENCIA_2015_98" w:history="1">
        <w:r w:rsidRPr="00BB71B4">
          <w:rPr>
            <w:rStyle w:val="TextoNormalCaracter"/>
          </w:rPr>
          <w:t>98/2015</w:t>
        </w:r>
      </w:hyperlink>
      <w:r w:rsidRPr="00BB71B4">
        <w:rPr>
          <w:rStyle w:val="TextoNormalCaracter"/>
        </w:rPr>
        <w:t xml:space="preserve">, ff. 2 a 4; </w:t>
      </w:r>
      <w:hyperlink w:anchor="SENTENCIA_2015_101" w:history="1">
        <w:r w:rsidRPr="00BB71B4">
          <w:rPr>
            <w:rStyle w:val="TextoNormalCaracter"/>
          </w:rPr>
          <w:t>101/2015</w:t>
        </w:r>
      </w:hyperlink>
      <w:r w:rsidRPr="00BB71B4">
        <w:rPr>
          <w:rStyle w:val="TextoNormalCaracter"/>
        </w:rPr>
        <w:t>, ff. 2, 3.</w:t>
      </w:r>
    </w:p>
    <w:p w:rsidR="00BB71B4" w:rsidRPr="00BB71B4" w:rsidRDefault="00BB71B4" w:rsidP="00BB71B4">
      <w:pPr>
        <w:pStyle w:val="TextoNormalSangraFrancesa"/>
        <w:rPr>
          <w:rStyle w:val="TextoNormalCaracter"/>
        </w:rPr>
      </w:pPr>
      <w:r w:rsidRPr="00BB71B4">
        <w:rPr>
          <w:rStyle w:val="TextoNormalCursivaCaracter"/>
        </w:rPr>
        <w:t xml:space="preserve">    Alcance, </w:t>
      </w:r>
      <w:r w:rsidRPr="00BB71B4">
        <w:rPr>
          <w:rStyle w:val="TextoNormalCaracter"/>
        </w:rPr>
        <w:t xml:space="preserve">Sentencias </w:t>
      </w:r>
      <w:hyperlink w:anchor="SENTENCIA_2015_91" w:history="1">
        <w:r w:rsidRPr="00BB71B4">
          <w:rPr>
            <w:rStyle w:val="TextoNormalCaracter"/>
          </w:rPr>
          <w:t>91/2015</w:t>
        </w:r>
      </w:hyperlink>
      <w:r w:rsidRPr="00BB71B4">
        <w:rPr>
          <w:rStyle w:val="TextoNormalCaracter"/>
        </w:rPr>
        <w:t xml:space="preserve">, ff. 1 a 3; </w:t>
      </w:r>
      <w:hyperlink w:anchor="SENTENCIA_2015_99" w:history="1">
        <w:r w:rsidRPr="00BB71B4">
          <w:rPr>
            <w:rStyle w:val="TextoNormalCaracter"/>
          </w:rPr>
          <w:t>99/2015</w:t>
        </w:r>
      </w:hyperlink>
      <w:r w:rsidRPr="00BB71B4">
        <w:rPr>
          <w:rStyle w:val="TextoNormalCaracter"/>
        </w:rPr>
        <w:t xml:space="preserve">, f. 2; </w:t>
      </w:r>
      <w:hyperlink w:anchor="SENTENCIA_2015_142" w:history="1">
        <w:r w:rsidRPr="00BB71B4">
          <w:rPr>
            <w:rStyle w:val="TextoNormalCaracter"/>
          </w:rPr>
          <w:t>142/2015</w:t>
        </w:r>
      </w:hyperlink>
      <w:r w:rsidRPr="00BB71B4">
        <w:rPr>
          <w:rStyle w:val="TextoNormalCaracter"/>
        </w:rPr>
        <w:t xml:space="preserve">, ff. 1 a 3; </w:t>
      </w:r>
      <w:hyperlink w:anchor="SENTENCIA_2015_145" w:history="1">
        <w:r w:rsidRPr="00BB71B4">
          <w:rPr>
            <w:rStyle w:val="TextoNormalCaracter"/>
          </w:rPr>
          <w:t>145/2015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16" w:name="DESCRIPTORALFABETICO691"/>
      <w:r w:rsidRPr="00BB71B4">
        <w:rPr>
          <w:rStyle w:val="TextoNormalNegritaCaracter"/>
        </w:rPr>
        <w:t>Incidente de nulidad de actuaciones no exigible</w:t>
      </w:r>
      <w:bookmarkEnd w:id="1416"/>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17" w:name="DESCRIPTORALFABETICO692"/>
      <w:r w:rsidRPr="00BB71B4">
        <w:rPr>
          <w:rStyle w:val="TextoNormalNegritaCaracter"/>
        </w:rPr>
        <w:t>Incidente de rectificación de errores procedente</w:t>
      </w:r>
      <w:bookmarkEnd w:id="1417"/>
      <w:r w:rsidRPr="00BB71B4">
        <w:rPr>
          <w:rStyle w:val="TextoNormalCaracter"/>
        </w:rPr>
        <w:t xml:space="preserve">, Auto </w:t>
      </w:r>
      <w:hyperlink w:anchor="AUTO_2015_77" w:history="1">
        <w:r w:rsidRPr="00BB71B4">
          <w:rPr>
            <w:rStyle w:val="TextoNormalCaracter"/>
          </w:rPr>
          <w:t>77/2015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418" w:name="DESCRIPTORALFABETICO231"/>
      <w:r w:rsidRPr="00BB71B4">
        <w:rPr>
          <w:rStyle w:val="TextoNormalNegritaCaracter"/>
        </w:rPr>
        <w:t>Incidente de suspensión cautelar</w:t>
      </w:r>
      <w:bookmarkEnd w:id="1418"/>
      <w:r w:rsidRPr="00BB71B4">
        <w:rPr>
          <w:rStyle w:val="TextoNormalCaracter"/>
        </w:rPr>
        <w:t xml:space="preserve">, Auto </w:t>
      </w:r>
      <w:hyperlink w:anchor="AUTO_2015_63" w:history="1">
        <w:r w:rsidRPr="00BB71B4">
          <w:rPr>
            <w:rStyle w:val="TextoNormalCaracter"/>
          </w:rPr>
          <w:t>63/2015</w:t>
        </w:r>
      </w:hyperlink>
      <w:r w:rsidRPr="00BB71B4">
        <w:rPr>
          <w:rStyle w:val="TextoNormalCaracter"/>
        </w:rPr>
        <w:t>, f. 2, 4, 5.</w:t>
      </w:r>
    </w:p>
    <w:p w:rsidR="00BB71B4" w:rsidRPr="00BB71B4" w:rsidRDefault="00BB71B4" w:rsidP="00BB71B4">
      <w:pPr>
        <w:pStyle w:val="TextoNormalSangraFrancesa"/>
        <w:rPr>
          <w:rStyle w:val="TextoNormalCaracter"/>
        </w:rPr>
      </w:pPr>
      <w:bookmarkStart w:id="1419" w:name="DESCRIPTORALFABETICO152"/>
      <w:r w:rsidRPr="00BB71B4">
        <w:rPr>
          <w:rStyle w:val="TextoNormalNegritaCaracter"/>
        </w:rPr>
        <w:t>Incongruencia omisiva</w:t>
      </w:r>
      <w:bookmarkEnd w:id="1419"/>
      <w:r w:rsidRPr="00BB71B4">
        <w:rPr>
          <w:rStyle w:val="TextoNormalCaracter"/>
        </w:rPr>
        <w:t xml:space="preserve">, Sentencia </w:t>
      </w:r>
      <w:hyperlink w:anchor="SENTENCIA_2015_39" w:history="1">
        <w:r w:rsidRPr="00BB71B4">
          <w:rPr>
            <w:rStyle w:val="TextoNormalCaracter"/>
          </w:rPr>
          <w:t>39/2015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20" w:name="DESCRIPTORALFABETICO276"/>
      <w:r w:rsidRPr="00BB71B4">
        <w:rPr>
          <w:rStyle w:val="TextoNormalNegritaCaracter"/>
        </w:rPr>
        <w:t>Inconstitucionalidad por conexión</w:t>
      </w:r>
      <w:bookmarkEnd w:id="1420"/>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21" w:name="DESCRIPTORALFABETICO421"/>
      <w:r w:rsidRPr="00BB71B4">
        <w:rPr>
          <w:rStyle w:val="TextoNormalNegritaCaracter"/>
        </w:rPr>
        <w:t>Incremento de retribuciones</w:t>
      </w:r>
      <w:bookmarkEnd w:id="1421"/>
      <w:r w:rsidRPr="00BB71B4">
        <w:rPr>
          <w:rStyle w:val="TextoNormalCaracter"/>
        </w:rPr>
        <w:t xml:space="preserve">, Sentencia </w:t>
      </w:r>
      <w:hyperlink w:anchor="SENTENCIA_2015_94" w:history="1">
        <w:r w:rsidRPr="00BB71B4">
          <w:rPr>
            <w:rStyle w:val="TextoNormalCaracter"/>
          </w:rPr>
          <w:t>94/2015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422" w:name="DESCRIPTORALFABETICO75"/>
      <w:r w:rsidRPr="00BB71B4">
        <w:rPr>
          <w:rStyle w:val="TextoNormalNegritaCaracter"/>
        </w:rPr>
        <w:t>Incumplimiento de obligaciones tributarias</w:t>
      </w:r>
      <w:bookmarkEnd w:id="1422"/>
      <w:r w:rsidRPr="00BB71B4">
        <w:rPr>
          <w:rStyle w:val="TextoNormalCaracter"/>
        </w:rPr>
        <w:t xml:space="preserve">, Sentencia </w:t>
      </w:r>
      <w:hyperlink w:anchor="SENTENCIA_2015_146" w:history="1">
        <w:r w:rsidRPr="00BB71B4">
          <w:rPr>
            <w:rStyle w:val="TextoNormalCaracter"/>
          </w:rPr>
          <w:t>146/2015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23" w:name="DESCRIPTORALFABETICO301"/>
      <w:r w:rsidRPr="00BB71B4">
        <w:rPr>
          <w:rStyle w:val="TextoNormalNegritaCaracter"/>
        </w:rPr>
        <w:t>Incumplimiento generalizado de la doctrina constitucional</w:t>
      </w:r>
      <w:bookmarkEnd w:id="1423"/>
      <w:r w:rsidRPr="00BB71B4">
        <w:rPr>
          <w:rStyle w:val="TextoNormalCaracter"/>
        </w:rPr>
        <w:t xml:space="preserve">, Sentencias </w:t>
      </w:r>
      <w:hyperlink w:anchor="SENTENCIA_2015_42" w:history="1">
        <w:r w:rsidRPr="00BB71B4">
          <w:rPr>
            <w:rStyle w:val="TextoNormalCaracter"/>
          </w:rPr>
          <w:t>42/2015</w:t>
        </w:r>
      </w:hyperlink>
      <w:r w:rsidRPr="00BB71B4">
        <w:rPr>
          <w:rStyle w:val="TextoNormalCaracter"/>
        </w:rPr>
        <w:t xml:space="preserve">, f. 2; </w:t>
      </w:r>
      <w:hyperlink w:anchor="SENTENCIA_2015_74" w:history="1">
        <w:r w:rsidRPr="00BB71B4">
          <w:rPr>
            <w:rStyle w:val="TextoNormalCaracter"/>
          </w:rPr>
          <w:t>74/2015</w:t>
        </w:r>
      </w:hyperlink>
      <w:r w:rsidRPr="00BB71B4">
        <w:rPr>
          <w:rStyle w:val="TextoNormalCaracter"/>
        </w:rPr>
        <w:t xml:space="preserve">, f. 2; </w:t>
      </w:r>
      <w:hyperlink w:anchor="SENTENCIA_2015_86" w:history="1">
        <w:r w:rsidRPr="00BB71B4">
          <w:rPr>
            <w:rStyle w:val="TextoNormalCaracter"/>
          </w:rPr>
          <w:t>86/2015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24" w:name="DESCRIPTORALFABETICO166"/>
      <w:r w:rsidRPr="00BB71B4">
        <w:rPr>
          <w:rStyle w:val="TextoNormalNegritaCaracter"/>
        </w:rPr>
        <w:t>Indefensión material</w:t>
      </w:r>
      <w:bookmarkEnd w:id="1424"/>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25" w:name="DESCRIPTORALFABETICO592"/>
      <w:r w:rsidRPr="00BB71B4">
        <w:rPr>
          <w:rStyle w:val="TextoNormalNegritaCaracter"/>
        </w:rPr>
        <w:t>Indemnización</w:t>
      </w:r>
      <w:bookmarkEnd w:id="1425"/>
      <w:r w:rsidRPr="00BB71B4">
        <w:rPr>
          <w:rStyle w:val="TextoNormalCaracter"/>
        </w:rPr>
        <w:t xml:space="preserve">, Auto </w:t>
      </w:r>
      <w:hyperlink w:anchor="AUTO_2015_8" w:history="1">
        <w:r w:rsidRPr="00BB71B4">
          <w:rPr>
            <w:rStyle w:val="TextoNormalCaracter"/>
          </w:rPr>
          <w:t>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26" w:name="DESCRIPTORALFABETICO428"/>
      <w:r w:rsidRPr="00BB71B4">
        <w:rPr>
          <w:rStyle w:val="TextoNormalNegritaCaracter"/>
        </w:rPr>
        <w:t>Indemnización frente a la Administración</w:t>
      </w:r>
      <w:bookmarkEnd w:id="1426"/>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 5; </w:t>
      </w:r>
      <w:hyperlink w:anchor="SENTENCIA_2015_56" w:history="1">
        <w:r w:rsidRPr="00BB71B4">
          <w:rPr>
            <w:rStyle w:val="TextoNormalCaracter"/>
          </w:rPr>
          <w:t>56/2015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27" w:name="DESCRIPTORALFABETICO633"/>
      <w:r w:rsidRPr="00BB71B4">
        <w:rPr>
          <w:rStyle w:val="TextoNormalNegritaCaracter"/>
        </w:rPr>
        <w:t>Indemnización por despido</w:t>
      </w:r>
      <w:bookmarkEnd w:id="1427"/>
      <w:r w:rsidRPr="00BB71B4">
        <w:rPr>
          <w:rStyle w:val="TextoNormalCaracter"/>
        </w:rPr>
        <w:t xml:space="preserve">, Autos </w:t>
      </w:r>
      <w:hyperlink w:anchor="AUTO_2015_33" w:history="1">
        <w:r w:rsidRPr="00BB71B4">
          <w:rPr>
            <w:rStyle w:val="TextoNormalCaracter"/>
          </w:rPr>
          <w:t>33/2015</w:t>
        </w:r>
      </w:hyperlink>
      <w:r w:rsidRPr="00BB71B4">
        <w:rPr>
          <w:rStyle w:val="TextoNormalCaracter"/>
        </w:rPr>
        <w:t xml:space="preserve">, ff. 1 a 5; </w:t>
      </w:r>
      <w:hyperlink w:anchor="AUTO_2015_34" w:history="1">
        <w:r w:rsidRPr="00BB71B4">
          <w:rPr>
            <w:rStyle w:val="TextoNormalCaracter"/>
          </w:rPr>
          <w:t>34/2015</w:t>
        </w:r>
      </w:hyperlink>
      <w:r w:rsidRPr="00BB71B4">
        <w:rPr>
          <w:rStyle w:val="TextoNormalCaracter"/>
        </w:rPr>
        <w:t xml:space="preserve">, f. 4; </w:t>
      </w:r>
      <w:hyperlink w:anchor="AUTO_2015_35" w:history="1">
        <w:r w:rsidRPr="00BB71B4">
          <w:rPr>
            <w:rStyle w:val="TextoNormalCaracter"/>
          </w:rPr>
          <w:t>35/2015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28" w:name="DESCRIPTORALFABETICO593"/>
      <w:r w:rsidRPr="00BB71B4">
        <w:rPr>
          <w:rStyle w:val="TextoNormalNegritaCaracter"/>
        </w:rPr>
        <w:t>Indulto</w:t>
      </w:r>
      <w:bookmarkEnd w:id="1428"/>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429" w:name="DESCRIPTORALFABETICO678"/>
      <w:r w:rsidRPr="00BB71B4">
        <w:rPr>
          <w:rStyle w:val="TextoNormalNegritaCaracter"/>
        </w:rPr>
        <w:t>Ineficacia probatoria de la prueba ilícita</w:t>
      </w:r>
      <w:bookmarkEnd w:id="1429"/>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ff. 4, 7, 8.</w:t>
      </w:r>
    </w:p>
    <w:p w:rsidR="00BB71B4" w:rsidRPr="00BB71B4" w:rsidRDefault="00BB71B4" w:rsidP="00BB71B4">
      <w:pPr>
        <w:pStyle w:val="TextoNormalSangraFrancesa"/>
        <w:rPr>
          <w:rStyle w:val="TextoNormalCaracter"/>
        </w:rPr>
      </w:pPr>
      <w:bookmarkStart w:id="1430" w:name="DESCRIPTORALFABETICO560"/>
      <w:r w:rsidRPr="00BB71B4">
        <w:rPr>
          <w:rStyle w:val="TextoNormalNegritaCaracter"/>
        </w:rPr>
        <w:t>Inexistencia de reserva reglamentaria</w:t>
      </w:r>
      <w:bookmarkEnd w:id="1430"/>
      <w:r w:rsidRPr="00BB71B4">
        <w:rPr>
          <w:rStyle w:val="TextoNormalCaracter"/>
        </w:rPr>
        <w:t xml:space="preserve">, Sentencias </w:t>
      </w:r>
      <w:hyperlink w:anchor="SENTENCIA_2015_12" w:history="1">
        <w:r w:rsidRPr="00BB71B4">
          <w:rPr>
            <w:rStyle w:val="TextoNormalCaracter"/>
          </w:rPr>
          <w:t>12/2015</w:t>
        </w:r>
      </w:hyperlink>
      <w:r w:rsidRPr="00BB71B4">
        <w:rPr>
          <w:rStyle w:val="TextoNormalCaracter"/>
        </w:rPr>
        <w:t xml:space="preserve">, f. 5, VP I; </w:t>
      </w:r>
      <w:hyperlink w:anchor="SENTENCIA_2015_50" w:history="1">
        <w:r w:rsidRPr="00BB71B4">
          <w:rPr>
            <w:rStyle w:val="TextoNormalCaracter"/>
          </w:rPr>
          <w:t>50/2015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431" w:name="DESCRIPTORALFABETICO684"/>
      <w:r w:rsidRPr="00BB71B4">
        <w:rPr>
          <w:rStyle w:val="TextoNormalNegritaCaracter"/>
        </w:rPr>
        <w:t>Inferencia probatoria</w:t>
      </w:r>
      <w:bookmarkEnd w:id="1431"/>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432" w:name="DESCRIPTORALFABETICO187"/>
      <w:r w:rsidRPr="00BB71B4">
        <w:rPr>
          <w:rStyle w:val="TextoNormalNegritaCaracter"/>
        </w:rPr>
        <w:t>Información de derechos</w:t>
      </w:r>
      <w:bookmarkEnd w:id="1432"/>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 6.</w:t>
      </w:r>
    </w:p>
    <w:p w:rsidR="00BB71B4" w:rsidRPr="00BB71B4" w:rsidRDefault="00BB71B4" w:rsidP="00BB71B4">
      <w:pPr>
        <w:pStyle w:val="TextoNormalSangraFrancesa"/>
        <w:rPr>
          <w:rStyle w:val="TextoNormalCaracter"/>
        </w:rPr>
      </w:pPr>
      <w:bookmarkStart w:id="1433" w:name="DESCRIPTORALFABETICO675"/>
      <w:r w:rsidRPr="00BB71B4">
        <w:rPr>
          <w:rStyle w:val="TextoNormalNegritaCaracter"/>
        </w:rPr>
        <w:t>Informes médicos</w:t>
      </w:r>
      <w:bookmarkEnd w:id="1433"/>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34" w:name="DESCRIPTORALFABETICO641"/>
      <w:r w:rsidRPr="00BB71B4">
        <w:rPr>
          <w:rStyle w:val="TextoNormalNegritaCaracter"/>
        </w:rPr>
        <w:t>Infracciones en materia de empleo</w:t>
      </w:r>
      <w:bookmarkEnd w:id="1434"/>
      <w:r w:rsidRPr="00BB71B4">
        <w:rPr>
          <w:rStyle w:val="TextoNormalCaracter"/>
        </w:rPr>
        <w:t xml:space="preserve">, Sentencia </w:t>
      </w:r>
      <w:hyperlink w:anchor="SENTENCIA_2015_27" w:history="1">
        <w:r w:rsidRPr="00BB71B4">
          <w:rPr>
            <w:rStyle w:val="TextoNormalCaracter"/>
          </w:rPr>
          <w:t>27/2015</w:t>
        </w:r>
      </w:hyperlink>
      <w:r w:rsidRPr="00BB71B4">
        <w:rPr>
          <w:rStyle w:val="TextoNormalCaracter"/>
        </w:rPr>
        <w:t>, ff. 1, 4 a 7.</w:t>
      </w:r>
    </w:p>
    <w:p w:rsidR="00BB71B4" w:rsidRPr="00BB71B4" w:rsidRDefault="00BB71B4" w:rsidP="00BB71B4">
      <w:pPr>
        <w:pStyle w:val="TextoNormalSangraFrancesa"/>
        <w:rPr>
          <w:rStyle w:val="TextoNormalCaracter"/>
        </w:rPr>
      </w:pPr>
      <w:bookmarkStart w:id="1435" w:name="DESCRIPTORALFABETICO449"/>
      <w:r w:rsidRPr="00BB71B4">
        <w:rPr>
          <w:rStyle w:val="TextoNormalNegritaCaracter"/>
        </w:rPr>
        <w:t>Infracciones tributarias</w:t>
      </w:r>
      <w:bookmarkEnd w:id="1435"/>
      <w:r w:rsidRPr="00BB71B4">
        <w:rPr>
          <w:rStyle w:val="TextoNormalCaracter"/>
        </w:rPr>
        <w:t xml:space="preserve">, Sentencia </w:t>
      </w:r>
      <w:hyperlink w:anchor="SENTENCIA_2015_146" w:history="1">
        <w:r w:rsidRPr="00BB71B4">
          <w:rPr>
            <w:rStyle w:val="TextoNormalCaracter"/>
          </w:rPr>
          <w:t>146/2015</w:t>
        </w:r>
      </w:hyperlink>
      <w:r w:rsidRPr="00BB71B4">
        <w:rPr>
          <w:rStyle w:val="TextoNormalCaracter"/>
        </w:rPr>
        <w:t>, ff. 1, 3, 4.</w:t>
      </w:r>
    </w:p>
    <w:p w:rsidR="00BB71B4" w:rsidRPr="00BB71B4" w:rsidRDefault="00BB71B4" w:rsidP="00BB71B4">
      <w:pPr>
        <w:pStyle w:val="TextoNormalSangraFrancesa"/>
        <w:rPr>
          <w:rStyle w:val="TextoNormalCaracter"/>
        </w:rPr>
      </w:pPr>
      <w:bookmarkStart w:id="1436" w:name="DESCRIPTORALFABETICO336"/>
      <w:r w:rsidRPr="00BB71B4">
        <w:rPr>
          <w:rStyle w:val="TextoNormalNegritaCaracter"/>
        </w:rPr>
        <w:t>Iniciativa legislativa</w:t>
      </w:r>
      <w:bookmarkEnd w:id="1436"/>
      <w:r w:rsidRPr="00BB71B4">
        <w:rPr>
          <w:rStyle w:val="TextoNormalCaracter"/>
        </w:rPr>
        <w:t xml:space="preserve">, Sentencia </w:t>
      </w:r>
      <w:hyperlink w:anchor="SENTENCIA_2015_19" w:history="1">
        <w:r w:rsidRPr="00BB71B4">
          <w:rPr>
            <w:rStyle w:val="TextoNormalCaracter"/>
          </w:rPr>
          <w:t>19/2015</w:t>
        </w:r>
      </w:hyperlink>
      <w:r w:rsidRPr="00BB71B4">
        <w:rPr>
          <w:rStyle w:val="TextoNormalCaracter"/>
        </w:rPr>
        <w:t>, ff. 2, 4, 5 VP.</w:t>
      </w:r>
    </w:p>
    <w:p w:rsidR="00BB71B4" w:rsidRPr="00BB71B4" w:rsidRDefault="00BB71B4" w:rsidP="00BB71B4">
      <w:pPr>
        <w:pStyle w:val="TextoNormalSangraFrancesa"/>
        <w:rPr>
          <w:rStyle w:val="TextoNormalCaracter"/>
        </w:rPr>
      </w:pPr>
      <w:bookmarkStart w:id="1437" w:name="DESCRIPTORALFABETICO337"/>
      <w:r w:rsidRPr="00BB71B4">
        <w:rPr>
          <w:rStyle w:val="TextoNormalNegritaCaracter"/>
        </w:rPr>
        <w:t>Iniciativa popular</w:t>
      </w:r>
      <w:bookmarkEnd w:id="1437"/>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Régimen jurídico, </w:t>
      </w:r>
      <w:r w:rsidRPr="00BB71B4">
        <w:rPr>
          <w:rStyle w:val="TextoNormalCaracter"/>
        </w:rPr>
        <w:t xml:space="preserve">Sentencia </w:t>
      </w:r>
      <w:hyperlink w:anchor="SENTENCIA_2015_19" w:history="1">
        <w:r w:rsidRPr="00BB71B4">
          <w:rPr>
            <w:rStyle w:val="TextoNormalCaracter"/>
          </w:rPr>
          <w:t>19/2015</w:t>
        </w:r>
      </w:hyperlink>
      <w:r w:rsidRPr="00BB71B4">
        <w:rPr>
          <w:rStyle w:val="TextoNormalCaracter"/>
        </w:rPr>
        <w:t>, ff. 2, 4, 5, VP.</w:t>
      </w:r>
    </w:p>
    <w:p w:rsidR="00BB71B4" w:rsidRPr="00BB71B4" w:rsidRDefault="00BB71B4" w:rsidP="00BB71B4">
      <w:pPr>
        <w:pStyle w:val="TextoNormalSangraFrancesa"/>
        <w:rPr>
          <w:rStyle w:val="TextoNormalCaracter"/>
        </w:rPr>
      </w:pPr>
      <w:bookmarkStart w:id="1438" w:name="DESCRIPTORALFABETICO495"/>
      <w:r w:rsidRPr="00BB71B4">
        <w:rPr>
          <w:rStyle w:val="TextoNormalNegritaCaracter"/>
        </w:rPr>
        <w:t>Injurias con publicidad</w:t>
      </w:r>
      <w:bookmarkEnd w:id="1438"/>
      <w:r w:rsidRPr="00BB71B4">
        <w:rPr>
          <w:rStyle w:val="TextoNormalCaracter"/>
        </w:rPr>
        <w:t xml:space="preserve">, Sentencia </w:t>
      </w:r>
      <w:hyperlink w:anchor="SENTENCIA_2015_65" w:history="1">
        <w:r w:rsidRPr="00BB71B4">
          <w:rPr>
            <w:rStyle w:val="TextoNormalCaracter"/>
          </w:rPr>
          <w:t>65/2015</w:t>
        </w:r>
      </w:hyperlink>
      <w:r w:rsidRPr="00BB71B4">
        <w:rPr>
          <w:rStyle w:val="TextoNormalCaracter"/>
        </w:rPr>
        <w:t>, ff. 1, 3, 4.</w:t>
      </w:r>
    </w:p>
    <w:p w:rsidR="00BB71B4" w:rsidRPr="00BB71B4" w:rsidRDefault="00BB71B4" w:rsidP="00BB71B4">
      <w:pPr>
        <w:pStyle w:val="TextoNormalSangraFrancesa"/>
        <w:rPr>
          <w:rStyle w:val="TextoNormalCaracter"/>
        </w:rPr>
      </w:pPr>
      <w:bookmarkStart w:id="1439" w:name="DESCRIPTORALFABETICO620"/>
      <w:r w:rsidRPr="00BB71B4">
        <w:rPr>
          <w:rStyle w:val="TextoNormalNegritaCaracter"/>
        </w:rPr>
        <w:t>Inscripción en la Oficina de Empleo</w:t>
      </w:r>
      <w:bookmarkEnd w:id="1439"/>
      <w:r w:rsidRPr="00BB71B4">
        <w:rPr>
          <w:rStyle w:val="TextoNormalCaracter"/>
        </w:rPr>
        <w:t xml:space="preserve">, Sentencia </w:t>
      </w:r>
      <w:hyperlink w:anchor="SENTENCIA_2015_27" w:history="1">
        <w:r w:rsidRPr="00BB71B4">
          <w:rPr>
            <w:rStyle w:val="TextoNormalCaracter"/>
          </w:rPr>
          <w:t>27/2015</w:t>
        </w:r>
      </w:hyperlink>
      <w:r w:rsidRPr="00BB71B4">
        <w:rPr>
          <w:rStyle w:val="TextoNormalCaracter"/>
        </w:rPr>
        <w:t>, ff. 4, 6.</w:t>
      </w:r>
    </w:p>
    <w:p w:rsidR="00BB71B4" w:rsidRPr="00BB71B4" w:rsidRDefault="00BB71B4" w:rsidP="00BB71B4">
      <w:pPr>
        <w:pStyle w:val="TextoNormalSangraFrancesa"/>
        <w:rPr>
          <w:rStyle w:val="TextoNormalCaracter"/>
        </w:rPr>
      </w:pPr>
      <w:bookmarkStart w:id="1440" w:name="DESCRIPTORALFABETICO468"/>
      <w:r w:rsidRPr="00BB71B4">
        <w:rPr>
          <w:rStyle w:val="TextoNormalNegritaCaracter"/>
        </w:rPr>
        <w:t>Instalaciones eléctricas</w:t>
      </w:r>
      <w:bookmarkEnd w:id="1440"/>
      <w:r w:rsidRPr="00BB71B4">
        <w:rPr>
          <w:rStyle w:val="TextoNormalCaracter"/>
        </w:rPr>
        <w:t xml:space="preserve">, Sentencias </w:t>
      </w:r>
      <w:hyperlink w:anchor="SENTENCIA_2015_48" w:history="1">
        <w:r w:rsidRPr="00BB71B4">
          <w:rPr>
            <w:rStyle w:val="TextoNormalCaracter"/>
          </w:rPr>
          <w:t>48/2015</w:t>
        </w:r>
      </w:hyperlink>
      <w:r w:rsidRPr="00BB71B4">
        <w:rPr>
          <w:rStyle w:val="TextoNormalCaracter"/>
        </w:rPr>
        <w:t xml:space="preserve">, ff. 1, 2, 5, 6; </w:t>
      </w:r>
      <w:hyperlink w:anchor="SENTENCIA_2015_105" w:history="1">
        <w:r w:rsidRPr="00BB71B4">
          <w:rPr>
            <w:rStyle w:val="TextoNormalCaracter"/>
          </w:rPr>
          <w:t>105/2015</w:t>
        </w:r>
      </w:hyperlink>
      <w:r w:rsidRPr="00BB71B4">
        <w:rPr>
          <w:rStyle w:val="TextoNormalCaracter"/>
        </w:rPr>
        <w:t xml:space="preserve">, ff. 1, 3; </w:t>
      </w:r>
      <w:hyperlink w:anchor="SENTENCIA_2015_106" w:history="1">
        <w:r w:rsidRPr="00BB71B4">
          <w:rPr>
            <w:rStyle w:val="TextoNormalCaracter"/>
          </w:rPr>
          <w:t>106/2015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441" w:name="DESCRIPTORALFABETICO606"/>
      <w:r w:rsidRPr="00BB71B4">
        <w:rPr>
          <w:rStyle w:val="TextoNormalNegritaCaracter"/>
        </w:rPr>
        <w:t>Integración de lagunas de cotización</w:t>
      </w:r>
      <w:bookmarkEnd w:id="1441"/>
      <w:r w:rsidRPr="00BB71B4">
        <w:rPr>
          <w:rStyle w:val="TextoNormalCaracter"/>
        </w:rPr>
        <w:t xml:space="preserve">, Sentencia </w:t>
      </w:r>
      <w:hyperlink w:anchor="SENTENCIA_2015_110" w:history="1">
        <w:r w:rsidRPr="00BB71B4">
          <w:rPr>
            <w:rStyle w:val="TextoNormalCaracter"/>
          </w:rPr>
          <w:t>110/2015</w:t>
        </w:r>
      </w:hyperlink>
      <w:r w:rsidRPr="00BB71B4">
        <w:rPr>
          <w:rStyle w:val="TextoNormalCaracter"/>
        </w:rPr>
        <w:t>, ff. 3, 4, VP.</w:t>
      </w:r>
    </w:p>
    <w:p w:rsidR="00BB71B4" w:rsidRPr="00BB71B4" w:rsidRDefault="00BB71B4" w:rsidP="00BB71B4">
      <w:pPr>
        <w:pStyle w:val="TextoNormalSangraFrancesa"/>
        <w:rPr>
          <w:rStyle w:val="TextoNormalCaracter"/>
        </w:rPr>
      </w:pPr>
      <w:bookmarkStart w:id="1442" w:name="DESCRIPTORALFABETICO397"/>
      <w:r w:rsidRPr="00BB71B4">
        <w:rPr>
          <w:rStyle w:val="TextoNormalNegritaCaracter"/>
        </w:rPr>
        <w:t>Interés general</w:t>
      </w:r>
      <w:bookmarkEnd w:id="1442"/>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4 a 7.</w:t>
      </w:r>
    </w:p>
    <w:p w:rsidR="00BB71B4" w:rsidRPr="00BB71B4" w:rsidRDefault="00BB71B4" w:rsidP="00BB71B4">
      <w:pPr>
        <w:pStyle w:val="TextoNormalSangraFrancesa"/>
        <w:rPr>
          <w:rStyle w:val="TextoNormalCaracter"/>
        </w:rPr>
      </w:pPr>
      <w:bookmarkStart w:id="1443" w:name="DESCRIPTORALFABETICO555"/>
      <w:r w:rsidRPr="00BB71B4">
        <w:rPr>
          <w:rStyle w:val="TextoNormalNegritaCaracter"/>
        </w:rPr>
        <w:t>Interpretación conforme con la Constitución</w:t>
      </w:r>
      <w:bookmarkEnd w:id="1443"/>
      <w:r w:rsidRPr="00BB71B4">
        <w:rPr>
          <w:rStyle w:val="TextoNormalCaracter"/>
        </w:rPr>
        <w:t xml:space="preserve">, Sentencias </w:t>
      </w:r>
      <w:hyperlink w:anchor="SENTENCIA_2015_3" w:history="1">
        <w:r w:rsidRPr="00BB71B4">
          <w:rPr>
            <w:rStyle w:val="TextoNormalCaracter"/>
          </w:rPr>
          <w:t>3/2015</w:t>
        </w:r>
      </w:hyperlink>
      <w:r w:rsidRPr="00BB71B4">
        <w:rPr>
          <w:rStyle w:val="TextoNormalCaracter"/>
        </w:rPr>
        <w:t xml:space="preserve">, f. 3; </w:t>
      </w:r>
      <w:hyperlink w:anchor="SENTENCIA_2015_14" w:history="1">
        <w:r w:rsidRPr="00BB71B4">
          <w:rPr>
            <w:rStyle w:val="TextoNormalCaracter"/>
          </w:rPr>
          <w:t>14/2015</w:t>
        </w:r>
      </w:hyperlink>
      <w:r w:rsidRPr="00BB71B4">
        <w:rPr>
          <w:rStyle w:val="TextoNormalCaracter"/>
        </w:rPr>
        <w:t>, f. 5.</w:t>
      </w:r>
    </w:p>
    <w:p w:rsidR="00BB71B4" w:rsidRPr="00BB71B4" w:rsidRDefault="00BB71B4" w:rsidP="00BB71B4">
      <w:pPr>
        <w:pStyle w:val="TextoNormalSangraFrancesa"/>
        <w:rPr>
          <w:rStyle w:val="TextoNormalCaracter"/>
        </w:rPr>
      </w:pPr>
      <w:bookmarkStart w:id="1444" w:name="DESCRIPTORALFABETICO554"/>
      <w:r w:rsidRPr="00BB71B4">
        <w:rPr>
          <w:rStyle w:val="TextoNormalNegritaCaracter"/>
        </w:rPr>
        <w:t>Interpretación de las normas jurídicas</w:t>
      </w:r>
      <w:bookmarkEnd w:id="1444"/>
      <w:r w:rsidRPr="00BB71B4">
        <w:rPr>
          <w:rStyle w:val="TextoNormalCaracter"/>
        </w:rPr>
        <w:t xml:space="preserve">, Sentencia </w:t>
      </w:r>
      <w:hyperlink w:anchor="SENTENCIA_2015_146" w:history="1">
        <w:r w:rsidRPr="00BB71B4">
          <w:rPr>
            <w:rStyle w:val="TextoNormalCaracter"/>
          </w:rPr>
          <w:t>146/2015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445" w:name="DESCRIPTORALFABETICO556"/>
      <w:r w:rsidRPr="00BB71B4">
        <w:rPr>
          <w:rStyle w:val="TextoNormalNegritaCaracter"/>
        </w:rPr>
        <w:t>Interpretación de los requisitos procesales</w:t>
      </w:r>
      <w:bookmarkEnd w:id="1445"/>
      <w:r w:rsidRPr="00BB71B4">
        <w:rPr>
          <w:rStyle w:val="TextoNormalCaracter"/>
        </w:rPr>
        <w:t xml:space="preserve">, Sentencias </w:t>
      </w:r>
      <w:hyperlink w:anchor="SENTENCIA_2015_16" w:history="1">
        <w:r w:rsidRPr="00BB71B4">
          <w:rPr>
            <w:rStyle w:val="TextoNormalCaracter"/>
          </w:rPr>
          <w:t>16/2015</w:t>
        </w:r>
      </w:hyperlink>
      <w:r w:rsidRPr="00BB71B4">
        <w:rPr>
          <w:rStyle w:val="TextoNormalCaracter"/>
        </w:rPr>
        <w:t xml:space="preserve">, f. 2; </w:t>
      </w:r>
      <w:hyperlink w:anchor="SENTENCIA_2015_17" w:history="1">
        <w:r w:rsidRPr="00BB71B4">
          <w:rPr>
            <w:rStyle w:val="TextoNormalCaracter"/>
          </w:rPr>
          <w:t>17/2015</w:t>
        </w:r>
      </w:hyperlink>
      <w:r w:rsidRPr="00BB71B4">
        <w:rPr>
          <w:rStyle w:val="TextoNormalCaracter"/>
        </w:rPr>
        <w:t xml:space="preserve">, f. 2; </w:t>
      </w:r>
      <w:hyperlink w:anchor="SENTENCIA_2015_20" w:history="1">
        <w:r w:rsidRPr="00BB71B4">
          <w:rPr>
            <w:rStyle w:val="TextoNormalCaracter"/>
          </w:rPr>
          <w:t>20/2015</w:t>
        </w:r>
      </w:hyperlink>
      <w:r w:rsidRPr="00BB71B4">
        <w:rPr>
          <w:rStyle w:val="TextoNormalCaracter"/>
        </w:rPr>
        <w:t xml:space="preserve">, f. 2; </w:t>
      </w:r>
      <w:hyperlink w:anchor="SENTENCIA_2015_34" w:history="1">
        <w:r w:rsidRPr="00BB71B4">
          <w:rPr>
            <w:rStyle w:val="TextoNormalCaracter"/>
          </w:rPr>
          <w:t>34/2015</w:t>
        </w:r>
      </w:hyperlink>
      <w:r w:rsidRPr="00BB71B4">
        <w:rPr>
          <w:rStyle w:val="TextoNormalCaracter"/>
        </w:rPr>
        <w:t xml:space="preserve">, f. 2; </w:t>
      </w:r>
      <w:hyperlink w:anchor="SENTENCIA_2015_35" w:history="1">
        <w:r w:rsidRPr="00BB71B4">
          <w:rPr>
            <w:rStyle w:val="TextoNormalCaracter"/>
          </w:rPr>
          <w:t>35/2015</w:t>
        </w:r>
      </w:hyperlink>
      <w:r w:rsidRPr="00BB71B4">
        <w:rPr>
          <w:rStyle w:val="TextoNormalCaracter"/>
        </w:rPr>
        <w:t xml:space="preserve">, f. 2; </w:t>
      </w:r>
      <w:hyperlink w:anchor="SENTENCIA_2015_36" w:history="1">
        <w:r w:rsidRPr="00BB71B4">
          <w:rPr>
            <w:rStyle w:val="TextoNormalCaracter"/>
          </w:rPr>
          <w:t>36/2015</w:t>
        </w:r>
      </w:hyperlink>
      <w:r w:rsidRPr="00BB71B4">
        <w:rPr>
          <w:rStyle w:val="TextoNormalCaracter"/>
        </w:rPr>
        <w:t xml:space="preserve">, f. 2; </w:t>
      </w:r>
      <w:hyperlink w:anchor="SENTENCIA_2015_37" w:history="1">
        <w:r w:rsidRPr="00BB71B4">
          <w:rPr>
            <w:rStyle w:val="TextoNormalCaracter"/>
          </w:rPr>
          <w:t>37/2015</w:t>
        </w:r>
      </w:hyperlink>
      <w:r w:rsidRPr="00BB71B4">
        <w:rPr>
          <w:rStyle w:val="TextoNormalCaracter"/>
        </w:rPr>
        <w:t xml:space="preserve">, f. 2; </w:t>
      </w:r>
      <w:hyperlink w:anchor="SENTENCIA_2015_38" w:history="1">
        <w:r w:rsidRPr="00BB71B4">
          <w:rPr>
            <w:rStyle w:val="TextoNormalCaracter"/>
          </w:rPr>
          <w:t>38/2015</w:t>
        </w:r>
      </w:hyperlink>
      <w:r w:rsidRPr="00BB71B4">
        <w:rPr>
          <w:rStyle w:val="TextoNormalCaracter"/>
        </w:rPr>
        <w:t xml:space="preserve">, f. 2; </w:t>
      </w:r>
      <w:hyperlink w:anchor="SENTENCIA_2015_40" w:history="1">
        <w:r w:rsidRPr="00BB71B4">
          <w:rPr>
            <w:rStyle w:val="TextoNormalCaracter"/>
          </w:rPr>
          <w:t>40/2015</w:t>
        </w:r>
      </w:hyperlink>
      <w:r w:rsidRPr="00BB71B4">
        <w:rPr>
          <w:rStyle w:val="TextoNormalCaracter"/>
        </w:rPr>
        <w:t xml:space="preserve">, f. 2; </w:t>
      </w:r>
      <w:hyperlink w:anchor="SENTENCIA_2015_51" w:history="1">
        <w:r w:rsidRPr="00BB71B4">
          <w:rPr>
            <w:rStyle w:val="TextoNormalCaracter"/>
          </w:rPr>
          <w:t>51/2015</w:t>
        </w:r>
      </w:hyperlink>
      <w:r w:rsidRPr="00BB71B4">
        <w:rPr>
          <w:rStyle w:val="TextoNormalCaracter"/>
        </w:rPr>
        <w:t xml:space="preserve">, f. 2; </w:t>
      </w:r>
      <w:hyperlink w:anchor="SENTENCIA_2015_52" w:history="1">
        <w:r w:rsidRPr="00BB71B4">
          <w:rPr>
            <w:rStyle w:val="TextoNormalCaracter"/>
          </w:rPr>
          <w:t>52/2015</w:t>
        </w:r>
      </w:hyperlink>
      <w:r w:rsidRPr="00BB71B4">
        <w:rPr>
          <w:rStyle w:val="TextoNormalCaracter"/>
        </w:rPr>
        <w:t xml:space="preserve">, f. 2; </w:t>
      </w:r>
      <w:hyperlink w:anchor="SENTENCIA_2015_53" w:history="1">
        <w:r w:rsidRPr="00BB71B4">
          <w:rPr>
            <w:rStyle w:val="TextoNormalCaracter"/>
          </w:rPr>
          <w:t>53/2015</w:t>
        </w:r>
      </w:hyperlink>
      <w:r w:rsidRPr="00BB71B4">
        <w:rPr>
          <w:rStyle w:val="TextoNormalCaracter"/>
        </w:rPr>
        <w:t xml:space="preserve">, f. 2; </w:t>
      </w:r>
      <w:hyperlink w:anchor="SENTENCIA_2015_64" w:history="1">
        <w:r w:rsidRPr="00BB71B4">
          <w:rPr>
            <w:rStyle w:val="TextoNormalCaracter"/>
          </w:rPr>
          <w:t>64/2015</w:t>
        </w:r>
      </w:hyperlink>
      <w:r w:rsidRPr="00BB71B4">
        <w:rPr>
          <w:rStyle w:val="TextoNormalCaracter"/>
        </w:rPr>
        <w:t xml:space="preserve">, f. 2; </w:t>
      </w:r>
      <w:hyperlink w:anchor="SENTENCIA_2015_67" w:history="1">
        <w:r w:rsidRPr="00BB71B4">
          <w:rPr>
            <w:rStyle w:val="TextoNormalCaracter"/>
          </w:rPr>
          <w:t>67/2015</w:t>
        </w:r>
      </w:hyperlink>
      <w:r w:rsidRPr="00BB71B4">
        <w:rPr>
          <w:rStyle w:val="TextoNormalCaracter"/>
        </w:rPr>
        <w:t xml:space="preserve">, f. 2; </w:t>
      </w:r>
      <w:hyperlink w:anchor="SENTENCIA_2015_68" w:history="1">
        <w:r w:rsidRPr="00BB71B4">
          <w:rPr>
            <w:rStyle w:val="TextoNormalCaracter"/>
          </w:rPr>
          <w:t>68/2015</w:t>
        </w:r>
      </w:hyperlink>
      <w:r w:rsidRPr="00BB71B4">
        <w:rPr>
          <w:rStyle w:val="TextoNormalCaracter"/>
        </w:rPr>
        <w:t xml:space="preserve">, f. 2; </w:t>
      </w:r>
      <w:hyperlink w:anchor="SENTENCIA_2015_69" w:history="1">
        <w:r w:rsidRPr="00BB71B4">
          <w:rPr>
            <w:rStyle w:val="TextoNormalCaracter"/>
          </w:rPr>
          <w:t>69/2015</w:t>
        </w:r>
      </w:hyperlink>
      <w:r w:rsidRPr="00BB71B4">
        <w:rPr>
          <w:rStyle w:val="TextoNormalCaracter"/>
        </w:rPr>
        <w:t xml:space="preserve">, f. 2; </w:t>
      </w:r>
      <w:hyperlink w:anchor="SENTENCIA_2015_70" w:history="1">
        <w:r w:rsidRPr="00BB71B4">
          <w:rPr>
            <w:rStyle w:val="TextoNormalCaracter"/>
          </w:rPr>
          <w:t>70/2015</w:t>
        </w:r>
      </w:hyperlink>
      <w:r w:rsidRPr="00BB71B4">
        <w:rPr>
          <w:rStyle w:val="TextoNormalCaracter"/>
        </w:rPr>
        <w:t xml:space="preserve">, f. 2; </w:t>
      </w:r>
      <w:hyperlink w:anchor="SENTENCIA_2015_71" w:history="1">
        <w:r w:rsidRPr="00BB71B4">
          <w:rPr>
            <w:rStyle w:val="TextoNormalCaracter"/>
          </w:rPr>
          <w:t>71/2015</w:t>
        </w:r>
      </w:hyperlink>
      <w:r w:rsidRPr="00BB71B4">
        <w:rPr>
          <w:rStyle w:val="TextoNormalCaracter"/>
        </w:rPr>
        <w:t xml:space="preserve">, f. 2; </w:t>
      </w:r>
      <w:hyperlink w:anchor="SENTENCIA_2015_72" w:history="1">
        <w:r w:rsidRPr="00BB71B4">
          <w:rPr>
            <w:rStyle w:val="TextoNormalCaracter"/>
          </w:rPr>
          <w:t>72/2015</w:t>
        </w:r>
      </w:hyperlink>
      <w:r w:rsidRPr="00BB71B4">
        <w:rPr>
          <w:rStyle w:val="TextoNormalCaracter"/>
        </w:rPr>
        <w:t xml:space="preserve">, f. 2; </w:t>
      </w:r>
      <w:hyperlink w:anchor="SENTENCIA_2015_75" w:history="1">
        <w:r w:rsidRPr="00BB71B4">
          <w:rPr>
            <w:rStyle w:val="TextoNormalCaracter"/>
          </w:rPr>
          <w:t>75/2015</w:t>
        </w:r>
      </w:hyperlink>
      <w:r w:rsidRPr="00BB71B4">
        <w:rPr>
          <w:rStyle w:val="TextoNormalCaracter"/>
        </w:rPr>
        <w:t xml:space="preserve">, f. 2; </w:t>
      </w:r>
      <w:hyperlink w:anchor="SENTENCIA_2015_76" w:history="1">
        <w:r w:rsidRPr="00BB71B4">
          <w:rPr>
            <w:rStyle w:val="TextoNormalCaracter"/>
          </w:rPr>
          <w:t>76/2015</w:t>
        </w:r>
      </w:hyperlink>
      <w:r w:rsidRPr="00BB71B4">
        <w:rPr>
          <w:rStyle w:val="TextoNormalCaracter"/>
        </w:rPr>
        <w:t xml:space="preserve">, f. 2; </w:t>
      </w:r>
      <w:hyperlink w:anchor="SENTENCIA_2015_78" w:history="1">
        <w:r w:rsidRPr="00BB71B4">
          <w:rPr>
            <w:rStyle w:val="TextoNormalCaracter"/>
          </w:rPr>
          <w:t>78/2015</w:t>
        </w:r>
      </w:hyperlink>
      <w:r w:rsidRPr="00BB71B4">
        <w:rPr>
          <w:rStyle w:val="TextoNormalCaracter"/>
        </w:rPr>
        <w:t xml:space="preserve">, f. 2; </w:t>
      </w:r>
      <w:hyperlink w:anchor="SENTENCIA_2015_80" w:history="1">
        <w:r w:rsidRPr="00BB71B4">
          <w:rPr>
            <w:rStyle w:val="TextoNormalCaracter"/>
          </w:rPr>
          <w:t>80/2015</w:t>
        </w:r>
      </w:hyperlink>
      <w:r w:rsidRPr="00BB71B4">
        <w:rPr>
          <w:rStyle w:val="TextoNormalCaracter"/>
        </w:rPr>
        <w:t xml:space="preserve">, f. 2; </w:t>
      </w:r>
      <w:hyperlink w:anchor="SENTENCIA_2015_82" w:history="1">
        <w:r w:rsidRPr="00BB71B4">
          <w:rPr>
            <w:rStyle w:val="TextoNormalCaracter"/>
          </w:rPr>
          <w:t>82/2015</w:t>
        </w:r>
      </w:hyperlink>
      <w:r w:rsidRPr="00BB71B4">
        <w:rPr>
          <w:rStyle w:val="TextoNormalCaracter"/>
        </w:rPr>
        <w:t xml:space="preserve">, f. 2; </w:t>
      </w:r>
      <w:hyperlink w:anchor="SENTENCIA_2015_139" w:history="1">
        <w:r w:rsidRPr="00BB71B4">
          <w:rPr>
            <w:rStyle w:val="TextoNormalCaracter"/>
          </w:rPr>
          <w:t>139/2015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46" w:name="DESCRIPTORALFABETICO215"/>
      <w:r w:rsidRPr="00BB71B4">
        <w:rPr>
          <w:rStyle w:val="TextoNormalNegritaCaracter"/>
        </w:rPr>
        <w:t>Interpretación restrictiva de la limitación de derechos fundamentales</w:t>
      </w:r>
      <w:bookmarkEnd w:id="1446"/>
      <w:r w:rsidRPr="00BB71B4">
        <w:rPr>
          <w:rStyle w:val="TextoNormalCaracter"/>
        </w:rPr>
        <w:t xml:space="preserve">, Sentencias </w:t>
      </w:r>
      <w:hyperlink w:anchor="SENTENCIA_2015_90" w:history="1">
        <w:r w:rsidRPr="00BB71B4">
          <w:rPr>
            <w:rStyle w:val="TextoNormalCaracter"/>
          </w:rPr>
          <w:t>90/2015</w:t>
        </w:r>
      </w:hyperlink>
      <w:r w:rsidRPr="00BB71B4">
        <w:rPr>
          <w:rStyle w:val="TextoNormalCaracter"/>
        </w:rPr>
        <w:t xml:space="preserve">, f. 4; </w:t>
      </w:r>
      <w:hyperlink w:anchor="SENTENCIA_2015_124" w:history="1">
        <w:r w:rsidRPr="00BB71B4">
          <w:rPr>
            <w:rStyle w:val="TextoNormalCaracter"/>
          </w:rPr>
          <w:t>124/2015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47" w:name="DESCRIPTORALFABETICO557"/>
      <w:r w:rsidRPr="00BB71B4">
        <w:rPr>
          <w:rStyle w:val="TextoNormalNegritaCaracter"/>
        </w:rPr>
        <w:t>Interpretación rigorista</w:t>
      </w:r>
      <w:bookmarkEnd w:id="1447"/>
      <w:r w:rsidRPr="00BB71B4">
        <w:rPr>
          <w:rStyle w:val="TextoNormalCaracter"/>
        </w:rPr>
        <w:t xml:space="preserve">, Sentencia </w:t>
      </w:r>
      <w:hyperlink w:anchor="SENTENCIA_2015_39" w:history="1">
        <w:r w:rsidRPr="00BB71B4">
          <w:rPr>
            <w:rStyle w:val="TextoNormalCaracter"/>
          </w:rPr>
          <w:t>39/2015</w:t>
        </w:r>
      </w:hyperlink>
      <w:r w:rsidRPr="00BB71B4">
        <w:rPr>
          <w:rStyle w:val="TextoNormalCaracter"/>
        </w:rPr>
        <w:t>, ff. 5, 6.</w:t>
      </w:r>
    </w:p>
    <w:p w:rsidR="00BB71B4" w:rsidRPr="00BB71B4" w:rsidRDefault="00BB71B4" w:rsidP="00BB71B4">
      <w:pPr>
        <w:pStyle w:val="TextoNormalSangraFrancesa"/>
        <w:rPr>
          <w:rStyle w:val="TextoNormalCaracter"/>
        </w:rPr>
      </w:pPr>
      <w:bookmarkStart w:id="1448" w:name="DESCRIPTORALFABETICO566"/>
      <w:r w:rsidRPr="00BB71B4">
        <w:rPr>
          <w:rStyle w:val="TextoNormalNegritaCaracter"/>
        </w:rPr>
        <w:t>Interrupción de la prescripción de la pena</w:t>
      </w:r>
      <w:bookmarkEnd w:id="1448"/>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2, 4, 5.</w:t>
      </w:r>
    </w:p>
    <w:p w:rsidR="00BB71B4" w:rsidRPr="00BB71B4" w:rsidRDefault="00BB71B4" w:rsidP="00BB71B4">
      <w:pPr>
        <w:pStyle w:val="TextoNormalSangraFrancesa"/>
        <w:rPr>
          <w:rStyle w:val="TextoNormalCaracter"/>
        </w:rPr>
      </w:pPr>
      <w:bookmarkStart w:id="1449" w:name="DESCRIPTORALFABETICO58"/>
      <w:r w:rsidRPr="00BB71B4">
        <w:rPr>
          <w:rStyle w:val="TextoNormalNegritaCaracter"/>
        </w:rPr>
        <w:t>Intervención del Estado en la planificación económica</w:t>
      </w:r>
      <w:bookmarkEnd w:id="1449"/>
      <w:r w:rsidRPr="00BB71B4">
        <w:rPr>
          <w:rStyle w:val="TextoNormalCaracter"/>
        </w:rPr>
        <w:t xml:space="preserve">, Sentencias </w:t>
      </w:r>
      <w:hyperlink w:anchor="SENTENCIA_2015_11" w:history="1">
        <w:r w:rsidRPr="00BB71B4">
          <w:rPr>
            <w:rStyle w:val="TextoNormalCaracter"/>
          </w:rPr>
          <w:t>11/2015</w:t>
        </w:r>
      </w:hyperlink>
      <w:r w:rsidRPr="00BB71B4">
        <w:rPr>
          <w:rStyle w:val="TextoNormalCaracter"/>
        </w:rPr>
        <w:t xml:space="preserve">, ff. 2 a 8; </w:t>
      </w:r>
      <w:hyperlink w:anchor="SENTENCIA_2015_85" w:history="1">
        <w:r w:rsidRPr="00BB71B4">
          <w:rPr>
            <w:rStyle w:val="TextoNormalCaracter"/>
          </w:rPr>
          <w:t>85/2015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50" w:name="DESCRIPTORALFABETICO648"/>
      <w:r w:rsidRPr="00BB71B4">
        <w:rPr>
          <w:rStyle w:val="TextoNormalNegritaCaracter"/>
        </w:rPr>
        <w:t>Intervención en la vía judicial previa</w:t>
      </w:r>
      <w:bookmarkEnd w:id="1450"/>
      <w:r w:rsidRPr="00BB71B4">
        <w:rPr>
          <w:rStyle w:val="TextoNormalCaracter"/>
        </w:rPr>
        <w:t xml:space="preserve">, Autos </w:t>
      </w:r>
      <w:hyperlink w:anchor="AUTO_2015_2" w:history="1">
        <w:r w:rsidRPr="00BB71B4">
          <w:rPr>
            <w:rStyle w:val="TextoNormalCaracter"/>
          </w:rPr>
          <w:t>2/2015</w:t>
        </w:r>
      </w:hyperlink>
      <w:r w:rsidRPr="00BB71B4">
        <w:rPr>
          <w:rStyle w:val="TextoNormalCaracter"/>
        </w:rPr>
        <w:t xml:space="preserve">, f. único; </w:t>
      </w:r>
      <w:hyperlink w:anchor="AUTO_2015_4" w:history="1">
        <w:r w:rsidRPr="00BB71B4">
          <w:rPr>
            <w:rStyle w:val="TextoNormalCaracter"/>
          </w:rPr>
          <w:t>4/2015</w:t>
        </w:r>
      </w:hyperlink>
      <w:r w:rsidRPr="00BB71B4">
        <w:rPr>
          <w:rStyle w:val="TextoNormalCaracter"/>
        </w:rPr>
        <w:t xml:space="preserve">, f. único; </w:t>
      </w:r>
      <w:hyperlink w:anchor="AUTO_2015_5" w:history="1">
        <w:r w:rsidRPr="00BB71B4">
          <w:rPr>
            <w:rStyle w:val="TextoNormalCaracter"/>
          </w:rPr>
          <w:t>5/2015</w:t>
        </w:r>
      </w:hyperlink>
      <w:r w:rsidRPr="00BB71B4">
        <w:rPr>
          <w:rStyle w:val="TextoNormalCaracter"/>
        </w:rPr>
        <w:t xml:space="preserve">, f. único; </w:t>
      </w:r>
      <w:hyperlink w:anchor="AUTO_2015_6" w:history="1">
        <w:r w:rsidRPr="00BB71B4">
          <w:rPr>
            <w:rStyle w:val="TextoNormalCaracter"/>
          </w:rPr>
          <w:t>6/2015</w:t>
        </w:r>
      </w:hyperlink>
      <w:r w:rsidRPr="00BB71B4">
        <w:rPr>
          <w:rStyle w:val="TextoNormalCaracter"/>
        </w:rPr>
        <w:t xml:space="preserve">, f. único; </w:t>
      </w:r>
      <w:hyperlink w:anchor="AUTO_2015_14" w:history="1">
        <w:r w:rsidRPr="00BB71B4">
          <w:rPr>
            <w:rStyle w:val="TextoNormalCaracter"/>
          </w:rPr>
          <w:t>14/2015</w:t>
        </w:r>
      </w:hyperlink>
      <w:r w:rsidRPr="00BB71B4">
        <w:rPr>
          <w:rStyle w:val="TextoNormalCaracter"/>
        </w:rPr>
        <w:t xml:space="preserve">, f. único; </w:t>
      </w:r>
      <w:hyperlink w:anchor="AUTO_2015_15" w:history="1">
        <w:r w:rsidRPr="00BB71B4">
          <w:rPr>
            <w:rStyle w:val="TextoNormalCaracter"/>
          </w:rPr>
          <w:t>15/2015</w:t>
        </w:r>
      </w:hyperlink>
      <w:r w:rsidRPr="00BB71B4">
        <w:rPr>
          <w:rStyle w:val="TextoNormalCaracter"/>
        </w:rPr>
        <w:t xml:space="preserve">, f. único; </w:t>
      </w:r>
      <w:hyperlink w:anchor="AUTO_2015_42" w:history="1">
        <w:r w:rsidRPr="00BB71B4">
          <w:rPr>
            <w:rStyle w:val="TextoNormalCaracter"/>
          </w:rPr>
          <w:t>42/2015</w:t>
        </w:r>
      </w:hyperlink>
      <w:r w:rsidRPr="00BB71B4">
        <w:rPr>
          <w:rStyle w:val="TextoNormalCaracter"/>
        </w:rPr>
        <w:t xml:space="preserve">, f. único; </w:t>
      </w:r>
      <w:hyperlink w:anchor="AUTO_2015_48" w:history="1">
        <w:r w:rsidRPr="00BB71B4">
          <w:rPr>
            <w:rStyle w:val="TextoNormalCaracter"/>
          </w:rPr>
          <w:t>48/2015</w:t>
        </w:r>
      </w:hyperlink>
      <w:r w:rsidRPr="00BB71B4">
        <w:rPr>
          <w:rStyle w:val="TextoNormalCaracter"/>
        </w:rPr>
        <w:t xml:space="preserve">, f. único; </w:t>
      </w:r>
      <w:hyperlink w:anchor="AUTO_2015_64" w:history="1">
        <w:r w:rsidRPr="00BB71B4">
          <w:rPr>
            <w:rStyle w:val="TextoNormalCaracter"/>
          </w:rPr>
          <w:t>64/2015</w:t>
        </w:r>
      </w:hyperlink>
      <w:r w:rsidRPr="00BB71B4">
        <w:rPr>
          <w:rStyle w:val="TextoNormalCaracter"/>
        </w:rPr>
        <w:t xml:space="preserve">, f. único; </w:t>
      </w:r>
      <w:hyperlink w:anchor="AUTO_2015_72" w:history="1">
        <w:r w:rsidRPr="00BB71B4">
          <w:rPr>
            <w:rStyle w:val="TextoNormalCaracter"/>
          </w:rPr>
          <w:t>72/2015</w:t>
        </w:r>
      </w:hyperlink>
      <w:r w:rsidRPr="00BB71B4">
        <w:rPr>
          <w:rStyle w:val="TextoNormalCaracter"/>
        </w:rPr>
        <w:t xml:space="preserve">, f. único; </w:t>
      </w:r>
      <w:hyperlink w:anchor="AUTO_2015_83" w:history="1">
        <w:r w:rsidRPr="00BB71B4">
          <w:rPr>
            <w:rStyle w:val="TextoNormalCaracter"/>
          </w:rPr>
          <w:t>83/2015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451" w:name="DESCRIPTORALFABETICO290"/>
      <w:r w:rsidRPr="00BB71B4">
        <w:rPr>
          <w:rStyle w:val="TextoNormalNegritaCaracter"/>
        </w:rPr>
        <w:t>Invocación del derecho vulnerado</w:t>
      </w:r>
      <w:bookmarkEnd w:id="1451"/>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52" w:name="DESCRIPTORALFABETICO153"/>
      <w:r w:rsidRPr="00BB71B4">
        <w:rPr>
          <w:rStyle w:val="TextoNormalNegritaCaracter"/>
        </w:rPr>
        <w:t>Irrazonabilidad de las sentencias</w:t>
      </w:r>
      <w:bookmarkEnd w:id="1452"/>
      <w:r w:rsidRPr="00BB71B4">
        <w:rPr>
          <w:rStyle w:val="TextoNormalCaracter"/>
        </w:rPr>
        <w:t xml:space="preserve">, Sentencia </w:t>
      </w:r>
      <w:hyperlink w:anchor="SENTENCIA_2015_101" w:history="1">
        <w:r w:rsidRPr="00BB71B4">
          <w:rPr>
            <w:rStyle w:val="TextoNormalCaracter"/>
          </w:rPr>
          <w:t>101/2015</w:t>
        </w:r>
      </w:hyperlink>
      <w:r w:rsidRPr="00BB71B4">
        <w:rPr>
          <w:rStyle w:val="TextoNormalCaracter"/>
        </w:rPr>
        <w:t>, ff. 4, 5.</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2" w:history="1">
        <w:r w:rsidRPr="00BB71B4">
          <w:rPr>
            <w:rStyle w:val="TextoNormalCaracter"/>
          </w:rPr>
          <w:t>2/2015</w:t>
        </w:r>
      </w:hyperlink>
      <w:r w:rsidRPr="00BB71B4">
        <w:rPr>
          <w:rStyle w:val="TextoNormalCaracter"/>
        </w:rPr>
        <w:t>, f. 8.</w:t>
      </w:r>
    </w:p>
    <w:p w:rsidR="00BB71B4" w:rsidRPr="00BB71B4" w:rsidRDefault="00BB71B4" w:rsidP="00BB71B4">
      <w:pPr>
        <w:pStyle w:val="TextoNormalSangraFrancesa"/>
        <w:rPr>
          <w:rStyle w:val="TextoNormalCaracter"/>
        </w:rPr>
      </w:pPr>
      <w:bookmarkStart w:id="1453" w:name="DESCRIPTORALFABETICO96"/>
      <w:r w:rsidRPr="00BB71B4">
        <w:rPr>
          <w:rStyle w:val="TextoNormalNegritaCaracter"/>
        </w:rPr>
        <w:t>Irregularidades en las candidaturas electorales</w:t>
      </w:r>
      <w:bookmarkEnd w:id="1453"/>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2, 4, 5.</w:t>
      </w:r>
    </w:p>
    <w:p w:rsidR="00BB71B4" w:rsidRPr="00BB71B4" w:rsidRDefault="00BB71B4" w:rsidP="00BB71B4">
      <w:pPr>
        <w:pStyle w:val="TextoNormalSangraFrancesa"/>
        <w:rPr>
          <w:rStyle w:val="TextoNormalCaracter"/>
        </w:rPr>
      </w:pPr>
      <w:bookmarkStart w:id="1454" w:name="DESCRIPTORALFABETICO99"/>
      <w:r w:rsidRPr="00BB71B4">
        <w:rPr>
          <w:rStyle w:val="TextoNormalNegritaCaracter"/>
        </w:rPr>
        <w:t>Irregularidades subsanables</w:t>
      </w:r>
      <w:bookmarkEnd w:id="1454"/>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455" w:name="DESCRIPTORALFABETICO740"/>
      <w:r w:rsidRPr="00BB71B4">
        <w:rPr>
          <w:rStyle w:val="TextoNormalNegritaCaracter"/>
        </w:rPr>
        <w:t>Islas Baleares</w:t>
      </w:r>
      <w:bookmarkEnd w:id="1455"/>
      <w:r w:rsidRPr="00BB71B4">
        <w:rPr>
          <w:rStyle w:val="TextoNormalCaracter"/>
        </w:rPr>
        <w:t xml:space="preserve">, Sentencia </w:t>
      </w:r>
      <w:hyperlink w:anchor="SENTENCIA_2015_41" w:history="1">
        <w:r w:rsidRPr="00BB71B4">
          <w:rPr>
            <w:rStyle w:val="TextoNormalCaracter"/>
          </w:rPr>
          <w:t>41/2015</w:t>
        </w:r>
      </w:hyperlink>
      <w:r w:rsidRPr="00BB71B4">
        <w:rPr>
          <w:rStyle w:val="TextoNormalCaracter"/>
        </w:rPr>
        <w:t>, f. 1.</w:t>
      </w:r>
    </w:p>
    <w:p w:rsidR="00BB71B4" w:rsidRPr="00BB71B4" w:rsidRDefault="00BB71B4" w:rsidP="00BB71B4">
      <w:pPr>
        <w:pStyle w:val="TextoNormalSangraFrancesa"/>
        <w:rPr>
          <w:rStyle w:val="TextoNormalCaracter"/>
        </w:rPr>
      </w:pPr>
      <w:bookmarkStart w:id="1456" w:name="DESCRIPTORALFABETICO523"/>
      <w:r w:rsidRPr="00BB71B4">
        <w:rPr>
          <w:rStyle w:val="TextoNormalNegritaCaracter"/>
        </w:rPr>
        <w:t>Ius contrahendi</w:t>
      </w:r>
      <w:bookmarkEnd w:id="1456"/>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57" w:name="DESCRIPTORALFABETICO107"/>
      <w:r w:rsidRPr="00BB71B4">
        <w:rPr>
          <w:rStyle w:val="TextoNormalNegritaCaracter"/>
          <w:i/>
        </w:rPr>
        <w:t>Ius in officium</w:t>
      </w:r>
      <w:bookmarkEnd w:id="1457"/>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ff. 3, 5 a 7; </w:t>
      </w:r>
      <w:hyperlink w:anchor="SENTENCIA_2015_23" w:history="1">
        <w:r w:rsidRPr="00BB71B4">
          <w:rPr>
            <w:rStyle w:val="TextoNormalCaracter"/>
          </w:rPr>
          <w:t>23/2015</w:t>
        </w:r>
      </w:hyperlink>
      <w:r w:rsidRPr="00BB71B4">
        <w:rPr>
          <w:rStyle w:val="TextoNormalCaracter"/>
        </w:rPr>
        <w:t>, ff. 3, 5 a 8.</w:t>
      </w:r>
    </w:p>
    <w:p w:rsidR="00BB71B4" w:rsidRPr="00BB71B4" w:rsidRDefault="00BB71B4" w:rsidP="00BB71B4">
      <w:pPr>
        <w:pStyle w:val="TextoNormalSangraFrancesa"/>
        <w:rPr>
          <w:rStyle w:val="TextoNormalCaracter"/>
        </w:rPr>
      </w:pPr>
      <w:bookmarkStart w:id="1458" w:name="DESCRIPTORALFABETICO522"/>
      <w:r w:rsidRPr="00BB71B4">
        <w:rPr>
          <w:rStyle w:val="TextoNormalNegritaCaracter"/>
        </w:rPr>
        <w:t>Ius legationis</w:t>
      </w:r>
      <w:bookmarkEnd w:id="1458"/>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 4.</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J</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459" w:name="DESCRIPTORALFABETICO634"/>
      <w:r w:rsidRPr="00BB71B4">
        <w:rPr>
          <w:rStyle w:val="TextoNormalNegritaCaracter"/>
        </w:rPr>
        <w:t>Jornada laboral a efectos retributivos</w:t>
      </w:r>
      <w:bookmarkEnd w:id="1459"/>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 12.</w:t>
      </w:r>
    </w:p>
    <w:p w:rsidR="00BB71B4" w:rsidRPr="00BB71B4" w:rsidRDefault="00BB71B4" w:rsidP="00BB71B4">
      <w:pPr>
        <w:pStyle w:val="TextoNormalSangraFrancesa"/>
        <w:rPr>
          <w:rStyle w:val="TextoNormalCaracter"/>
        </w:rPr>
      </w:pPr>
      <w:bookmarkStart w:id="1460" w:name="DESCRIPTORALFABETICO609"/>
      <w:r w:rsidRPr="00BB71B4">
        <w:rPr>
          <w:rStyle w:val="TextoNormalNegritaCaracter"/>
        </w:rPr>
        <w:t>Jubilación forzosa</w:t>
      </w:r>
      <w:bookmarkEnd w:id="1460"/>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 10.</w:t>
      </w:r>
    </w:p>
    <w:p w:rsidR="00BB71B4" w:rsidRPr="00BB71B4" w:rsidRDefault="00BB71B4" w:rsidP="00BB71B4">
      <w:pPr>
        <w:pStyle w:val="TextoNormalSangraFrancesa"/>
        <w:rPr>
          <w:rStyle w:val="TextoNormalCaracter"/>
        </w:rPr>
      </w:pPr>
      <w:bookmarkStart w:id="1461" w:name="DESCRIPTORALFABETICO330"/>
      <w:r w:rsidRPr="00BB71B4">
        <w:rPr>
          <w:rStyle w:val="TextoNormalNegritaCaracter"/>
        </w:rPr>
        <w:t>Jueces y magistrados</w:t>
      </w:r>
      <w:bookmarkEnd w:id="1461"/>
      <w:r w:rsidRPr="00BB71B4">
        <w:rPr>
          <w:rStyle w:val="TextoNormalCaracter"/>
        </w:rPr>
        <w:t xml:space="preserve">, Sentencia </w:t>
      </w:r>
      <w:hyperlink w:anchor="SENTENCIA_2015_65" w:history="1">
        <w:r w:rsidRPr="00BB71B4">
          <w:rPr>
            <w:rStyle w:val="TextoNormalCaracter"/>
          </w:rPr>
          <w:t>65/2015</w:t>
        </w:r>
      </w:hyperlink>
      <w:r w:rsidRPr="00BB71B4">
        <w:rPr>
          <w:rStyle w:val="TextoNormalCaracter"/>
        </w:rPr>
        <w:t>, ff. 1 a 3, 4 c), 5, VP I, VP II.</w:t>
      </w:r>
    </w:p>
    <w:p w:rsidR="00BB71B4" w:rsidRPr="00BB71B4" w:rsidRDefault="00BB71B4" w:rsidP="00BB71B4">
      <w:pPr>
        <w:pStyle w:val="TextoNormalSangraFrancesa"/>
        <w:rPr>
          <w:rStyle w:val="TextoNormalCaracter"/>
        </w:rPr>
      </w:pPr>
      <w:bookmarkStart w:id="1462" w:name="DESCRIPTORALFABETICO279"/>
      <w:r w:rsidRPr="00BB71B4">
        <w:rPr>
          <w:rStyle w:val="TextoNormalNegritaCaracter"/>
        </w:rPr>
        <w:t>Juicio de aplicabilidad</w:t>
      </w:r>
      <w:bookmarkEnd w:id="1462"/>
      <w:r w:rsidRPr="00BB71B4">
        <w:rPr>
          <w:rStyle w:val="TextoNormalCaracter"/>
        </w:rPr>
        <w:t xml:space="preserve">, Sentencia </w:t>
      </w:r>
      <w:hyperlink w:anchor="SENTENCIA_2015_79" w:history="1">
        <w:r w:rsidRPr="00BB71B4">
          <w:rPr>
            <w:rStyle w:val="TextoNormalCaracter"/>
          </w:rPr>
          <w:t>79/2015</w:t>
        </w:r>
      </w:hyperlink>
      <w:r w:rsidRPr="00BB71B4">
        <w:rPr>
          <w:rStyle w:val="TextoNormalCaracter"/>
        </w:rPr>
        <w:t>, f. 5.</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35" w:history="1">
        <w:r w:rsidRPr="00BB71B4">
          <w:rPr>
            <w:rStyle w:val="TextoNormalCaracter"/>
          </w:rPr>
          <w:t>35/2015</w:t>
        </w:r>
      </w:hyperlink>
      <w:r w:rsidRPr="00BB71B4">
        <w:rPr>
          <w:rStyle w:val="TextoNormalCaracter"/>
        </w:rPr>
        <w:t xml:space="preserve">, f. 2; </w:t>
      </w:r>
      <w:hyperlink w:anchor="AUTO_2015_61" w:history="1">
        <w:r w:rsidRPr="00BB71B4">
          <w:rPr>
            <w:rStyle w:val="TextoNormalCaracter"/>
          </w:rPr>
          <w:t>61/2015</w:t>
        </w:r>
      </w:hyperlink>
      <w:r w:rsidRPr="00BB71B4">
        <w:rPr>
          <w:rStyle w:val="TextoNormalCaracter"/>
        </w:rPr>
        <w:t xml:space="preserve">, f. 2; </w:t>
      </w:r>
      <w:hyperlink w:anchor="AUTO_2015_62" w:history="1">
        <w:r w:rsidRPr="00BB71B4">
          <w:rPr>
            <w:rStyle w:val="TextoNormalCaracter"/>
          </w:rPr>
          <w:t>62/2015</w:t>
        </w:r>
      </w:hyperlink>
      <w:r w:rsidRPr="00BB71B4">
        <w:rPr>
          <w:rStyle w:val="TextoNormalCaracter"/>
        </w:rPr>
        <w:t xml:space="preserve">, f. 1, 2; </w:t>
      </w:r>
      <w:hyperlink w:anchor="AUTO_2015_76" w:history="1">
        <w:r w:rsidRPr="00BB71B4">
          <w:rPr>
            <w:rStyle w:val="TextoNormalCaracter"/>
          </w:rPr>
          <w:t>76/2015</w:t>
        </w:r>
      </w:hyperlink>
      <w:r w:rsidRPr="00BB71B4">
        <w:rPr>
          <w:rStyle w:val="TextoNormalCaracter"/>
        </w:rPr>
        <w:t xml:space="preserve">, f. 4; </w:t>
      </w:r>
      <w:hyperlink w:anchor="AUTO_2015_84" w:history="1">
        <w:r w:rsidRPr="00BB71B4">
          <w:rPr>
            <w:rStyle w:val="TextoNormalCaracter"/>
          </w:rPr>
          <w:t>84/2015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63" w:name="DESCRIPTORALFABETICO280"/>
      <w:r w:rsidRPr="00BB71B4">
        <w:rPr>
          <w:rStyle w:val="TextoNormalNegritaCaracter"/>
        </w:rPr>
        <w:t>Juicio de aplicabilidad inconsistente</w:t>
      </w:r>
      <w:bookmarkEnd w:id="1463"/>
      <w:r w:rsidRPr="00BB71B4">
        <w:rPr>
          <w:rStyle w:val="TextoNormalCaracter"/>
        </w:rPr>
        <w:t xml:space="preserve">, Auto </w:t>
      </w:r>
      <w:hyperlink w:anchor="AUTO_2015_97" w:history="1">
        <w:r w:rsidRPr="00BB71B4">
          <w:rPr>
            <w:rStyle w:val="TextoNormalCaracter"/>
          </w:rPr>
          <w:t>97/2015</w:t>
        </w:r>
      </w:hyperlink>
      <w:r w:rsidRPr="00BB71B4">
        <w:rPr>
          <w:rStyle w:val="TextoNormalCaracter"/>
        </w:rPr>
        <w:t>, ff. 1 a 5.</w:t>
      </w:r>
    </w:p>
    <w:p w:rsidR="00BB71B4" w:rsidRPr="00BB71B4" w:rsidRDefault="00BB71B4" w:rsidP="00BB71B4">
      <w:pPr>
        <w:pStyle w:val="TextoNormalSangraFrancesa"/>
        <w:rPr>
          <w:rStyle w:val="TextoNormalCaracter"/>
        </w:rPr>
      </w:pPr>
      <w:bookmarkStart w:id="1464" w:name="DESCRIPTORALFABETICO712"/>
      <w:r w:rsidRPr="00BB71B4">
        <w:rPr>
          <w:rStyle w:val="TextoNormalNegritaCaracter"/>
        </w:rPr>
        <w:t>Juicio de desahucio</w:t>
      </w:r>
      <w:bookmarkEnd w:id="1464"/>
      <w:r w:rsidRPr="00BB71B4">
        <w:rPr>
          <w:rStyle w:val="TextoNormalCaracter"/>
        </w:rPr>
        <w:t xml:space="preserve">, Auto </w:t>
      </w:r>
      <w:hyperlink w:anchor="AUTO_2015_98" w:history="1">
        <w:r w:rsidRPr="00BB71B4">
          <w:rPr>
            <w:rStyle w:val="TextoNormalCaracter"/>
          </w:rPr>
          <w:t>98/2015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65" w:name="DESCRIPTORALFABETICO385"/>
      <w:r w:rsidRPr="00BB71B4">
        <w:rPr>
          <w:rStyle w:val="TextoNormalNegritaCaracter"/>
        </w:rPr>
        <w:t>Juicio de razonabilidad</w:t>
      </w:r>
      <w:bookmarkEnd w:id="1465"/>
      <w:r w:rsidRPr="00BB71B4">
        <w:rPr>
          <w:rStyle w:val="TextoNormalCaracter"/>
        </w:rPr>
        <w:t xml:space="preserve">, Sentencias </w:t>
      </w:r>
      <w:hyperlink w:anchor="SENTENCIA_2015_2" w:history="1">
        <w:r w:rsidRPr="00BB71B4">
          <w:rPr>
            <w:rStyle w:val="TextoNormalCaracter"/>
          </w:rPr>
          <w:t>2/2015</w:t>
        </w:r>
      </w:hyperlink>
      <w:r w:rsidRPr="00BB71B4">
        <w:rPr>
          <w:rStyle w:val="TextoNormalCaracter"/>
        </w:rPr>
        <w:t xml:space="preserve">, ff. 4, 5, 8; </w:t>
      </w:r>
      <w:hyperlink w:anchor="SENTENCIA_2015_8" w:history="1">
        <w:r w:rsidRPr="00BB71B4">
          <w:rPr>
            <w:rStyle w:val="TextoNormalCaracter"/>
          </w:rPr>
          <w:t>8/2015</w:t>
        </w:r>
      </w:hyperlink>
      <w:r w:rsidRPr="00BB71B4">
        <w:rPr>
          <w:rStyle w:val="TextoNormalCaracter"/>
        </w:rPr>
        <w:t xml:space="preserve">, ff. 3 b), 4 b), 5 b), 8 b), VP; </w:t>
      </w:r>
      <w:hyperlink w:anchor="SENTENCIA_2015_50" w:history="1">
        <w:r w:rsidRPr="00BB71B4">
          <w:rPr>
            <w:rStyle w:val="TextoNormalCaracter"/>
          </w:rPr>
          <w:t>50/2015</w:t>
        </w:r>
      </w:hyperlink>
      <w:r w:rsidRPr="00BB71B4">
        <w:rPr>
          <w:rStyle w:val="TextoNormalCaracter"/>
        </w:rPr>
        <w:t xml:space="preserve">, f. 5; </w:t>
      </w:r>
      <w:hyperlink w:anchor="SENTENCIA_2015_110" w:history="1">
        <w:r w:rsidRPr="00BB71B4">
          <w:rPr>
            <w:rStyle w:val="TextoNormalCaracter"/>
          </w:rPr>
          <w:t>110/2015</w:t>
        </w:r>
      </w:hyperlink>
      <w:r w:rsidRPr="00BB71B4">
        <w:rPr>
          <w:rStyle w:val="TextoNormalCaracter"/>
        </w:rPr>
        <w:t xml:space="preserve">, f. 5; </w:t>
      </w:r>
      <w:hyperlink w:anchor="SENTENCIA_2015_146" w:history="1">
        <w:r w:rsidRPr="00BB71B4">
          <w:rPr>
            <w:rStyle w:val="TextoNormalCaracter"/>
          </w:rPr>
          <w:t>146/2015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466" w:name="DESCRIPTORALFABETICO281"/>
      <w:r w:rsidRPr="00BB71B4">
        <w:rPr>
          <w:rStyle w:val="TextoNormalNegritaCaracter"/>
        </w:rPr>
        <w:t>Juicio de relevancia</w:t>
      </w:r>
      <w:bookmarkEnd w:id="1466"/>
      <w:r w:rsidRPr="00BB71B4">
        <w:rPr>
          <w:rStyle w:val="TextoNormalCaracter"/>
        </w:rPr>
        <w:t xml:space="preserve">, Sentencia </w:t>
      </w:r>
      <w:hyperlink w:anchor="SENTENCIA_2015_79" w:history="1">
        <w:r w:rsidRPr="00BB71B4">
          <w:rPr>
            <w:rStyle w:val="TextoNormalCaracter"/>
          </w:rPr>
          <w:t>79/2015</w:t>
        </w:r>
      </w:hyperlink>
      <w:r w:rsidRPr="00BB71B4">
        <w:rPr>
          <w:rStyle w:val="TextoNormalCaracter"/>
        </w:rPr>
        <w:t>, ff. 2 a 5.</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9" w:history="1">
        <w:r w:rsidRPr="00BB71B4">
          <w:rPr>
            <w:rStyle w:val="TextoNormalCaracter"/>
          </w:rPr>
          <w:t>9/2015</w:t>
        </w:r>
      </w:hyperlink>
      <w:r w:rsidRPr="00BB71B4">
        <w:rPr>
          <w:rStyle w:val="TextoNormalCaracter"/>
        </w:rPr>
        <w:t xml:space="preserve">, f. 4; </w:t>
      </w:r>
      <w:hyperlink w:anchor="AUTO_2015_10" w:history="1">
        <w:r w:rsidRPr="00BB71B4">
          <w:rPr>
            <w:rStyle w:val="TextoNormalCaracter"/>
          </w:rPr>
          <w:t>10/2015</w:t>
        </w:r>
      </w:hyperlink>
      <w:r w:rsidRPr="00BB71B4">
        <w:rPr>
          <w:rStyle w:val="TextoNormalCaracter"/>
        </w:rPr>
        <w:t xml:space="preserve">, f. 4; </w:t>
      </w:r>
      <w:hyperlink w:anchor="AUTO_2015_35" w:history="1">
        <w:r w:rsidRPr="00BB71B4">
          <w:rPr>
            <w:rStyle w:val="TextoNormalCaracter"/>
          </w:rPr>
          <w:t>35/2015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67" w:name="DESCRIPTORALFABETICO283"/>
      <w:r w:rsidRPr="00BB71B4">
        <w:rPr>
          <w:rStyle w:val="TextoNormalNegritaCaracter"/>
        </w:rPr>
        <w:t>Juicio de relevancia inconsistente</w:t>
      </w:r>
      <w:bookmarkEnd w:id="1467"/>
      <w:r w:rsidRPr="00BB71B4">
        <w:rPr>
          <w:rStyle w:val="TextoNormalCaracter"/>
        </w:rPr>
        <w:t xml:space="preserve">, Sentencias </w:t>
      </w:r>
      <w:hyperlink w:anchor="SENTENCIA_2015_4" w:history="1">
        <w:r w:rsidRPr="00BB71B4">
          <w:rPr>
            <w:rStyle w:val="TextoNormalCaracter"/>
          </w:rPr>
          <w:t>4/2015</w:t>
        </w:r>
      </w:hyperlink>
      <w:r w:rsidRPr="00BB71B4">
        <w:rPr>
          <w:rStyle w:val="TextoNormalCaracter"/>
        </w:rPr>
        <w:t xml:space="preserve">, f. 2; </w:t>
      </w:r>
      <w:hyperlink w:anchor="SENTENCIA_2015_79" w:history="1">
        <w:r w:rsidRPr="00BB71B4">
          <w:rPr>
            <w:rStyle w:val="TextoNormalCaracter"/>
          </w:rPr>
          <w:t>79/2015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68" w:name="DESCRIPTORALFABETICO284"/>
      <w:r w:rsidRPr="00BB71B4">
        <w:rPr>
          <w:rStyle w:val="TextoNormalNegritaCaracter"/>
        </w:rPr>
        <w:t>Juicio de relevancia inexistente</w:t>
      </w:r>
      <w:bookmarkEnd w:id="1468"/>
      <w:r w:rsidRPr="00BB71B4">
        <w:rPr>
          <w:rStyle w:val="TextoNormalCaracter"/>
        </w:rPr>
        <w:t xml:space="preserve">, Autos </w:t>
      </w:r>
      <w:hyperlink w:anchor="AUTO_2015_74" w:history="1">
        <w:r w:rsidRPr="00BB71B4">
          <w:rPr>
            <w:rStyle w:val="TextoNormalCaracter"/>
          </w:rPr>
          <w:t>74/2015</w:t>
        </w:r>
      </w:hyperlink>
      <w:r w:rsidRPr="00BB71B4">
        <w:rPr>
          <w:rStyle w:val="TextoNormalCaracter"/>
        </w:rPr>
        <w:t xml:space="preserve">, f. 3; </w:t>
      </w:r>
      <w:hyperlink w:anchor="AUTO_2015_76" w:history="1">
        <w:r w:rsidRPr="00BB71B4">
          <w:rPr>
            <w:rStyle w:val="TextoNormalCaracter"/>
          </w:rPr>
          <w:t>76/2015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69" w:name="DESCRIPTORALFABETICO285"/>
      <w:r w:rsidRPr="00BB71B4">
        <w:rPr>
          <w:rStyle w:val="TextoNormalNegritaCaracter"/>
        </w:rPr>
        <w:t>Juicio de relevancia suficiente</w:t>
      </w:r>
      <w:bookmarkEnd w:id="1469"/>
      <w:r w:rsidRPr="00BB71B4">
        <w:rPr>
          <w:rStyle w:val="TextoNormalCaracter"/>
        </w:rPr>
        <w:t xml:space="preserve">, Sentencias </w:t>
      </w:r>
      <w:hyperlink w:anchor="SENTENCIA_2015_3" w:history="1">
        <w:r w:rsidRPr="00BB71B4">
          <w:rPr>
            <w:rStyle w:val="TextoNormalCaracter"/>
          </w:rPr>
          <w:t>3/2015</w:t>
        </w:r>
      </w:hyperlink>
      <w:r w:rsidRPr="00BB71B4">
        <w:rPr>
          <w:rStyle w:val="TextoNormalCaracter"/>
        </w:rPr>
        <w:t xml:space="preserve">, f. 2 b); </w:t>
      </w:r>
      <w:hyperlink w:anchor="SENTENCIA_2015_10" w:history="1">
        <w:r w:rsidRPr="00BB71B4">
          <w:rPr>
            <w:rStyle w:val="TextoNormalCaracter"/>
          </w:rPr>
          <w:t>10/2015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70" w:name="DESCRIPTORALFABETICO713"/>
      <w:r w:rsidRPr="00BB71B4">
        <w:rPr>
          <w:rStyle w:val="TextoNormalNegritaCaracter"/>
        </w:rPr>
        <w:t>Juicio de retracto arrendaticio</w:t>
      </w:r>
      <w:bookmarkEnd w:id="1470"/>
      <w:r w:rsidRPr="00BB71B4">
        <w:rPr>
          <w:rStyle w:val="TextoNormalCaracter"/>
        </w:rPr>
        <w:t xml:space="preserve">, Sentencia </w:t>
      </w:r>
      <w:hyperlink w:anchor="SENTENCIA_2015_115" w:history="1">
        <w:r w:rsidRPr="00BB71B4">
          <w:rPr>
            <w:rStyle w:val="TextoNormalCaracter"/>
          </w:rPr>
          <w:t>115/2015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471" w:name="DESCRIPTORALFABETICO721"/>
      <w:r w:rsidRPr="00BB71B4">
        <w:rPr>
          <w:rStyle w:val="TextoNormalNegritaCaracter"/>
        </w:rPr>
        <w:t>Jurado</w:t>
      </w:r>
      <w:bookmarkEnd w:id="1471"/>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ff. 3, 5, 6, 8.</w:t>
      </w:r>
    </w:p>
    <w:p w:rsidR="00BB71B4" w:rsidRPr="00BB71B4" w:rsidRDefault="00BB71B4" w:rsidP="00BB71B4">
      <w:pPr>
        <w:pStyle w:val="TextoNormalSangraFrancesa"/>
        <w:rPr>
          <w:rStyle w:val="TextoNormalCaracter"/>
        </w:rPr>
      </w:pPr>
      <w:bookmarkStart w:id="1472" w:name="DESCRIPTORALFABETICO693"/>
      <w:r w:rsidRPr="00BB71B4">
        <w:rPr>
          <w:rStyle w:val="TextoNormalNegritaCaracter"/>
        </w:rPr>
        <w:t>Justicia gratuita</w:t>
      </w:r>
      <w:bookmarkEnd w:id="1472"/>
      <w:r w:rsidRPr="00BB71B4">
        <w:rPr>
          <w:rStyle w:val="TextoNormalCaracter"/>
        </w:rPr>
        <w:t xml:space="preserve">, Sentencia </w:t>
      </w:r>
      <w:hyperlink w:anchor="SENTENCIA_2015_90" w:history="1">
        <w:r w:rsidRPr="00BB71B4">
          <w:rPr>
            <w:rStyle w:val="TextoNormalCaracter"/>
          </w:rPr>
          <w:t>90/2015</w:t>
        </w:r>
      </w:hyperlink>
      <w:r w:rsidRPr="00BB71B4">
        <w:rPr>
          <w:rStyle w:val="TextoNormalCaracter"/>
        </w:rPr>
        <w:t>, ff. 1 a 4.</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82" w:history="1">
        <w:r w:rsidRPr="00BB71B4">
          <w:rPr>
            <w:rStyle w:val="TextoNormalCaracter"/>
          </w:rPr>
          <w:t>82/2015</w:t>
        </w:r>
      </w:hyperlink>
      <w:r w:rsidRPr="00BB71B4">
        <w:rPr>
          <w:rStyle w:val="TextoNormalCaracter"/>
        </w:rPr>
        <w:t xml:space="preserve">, ff. 1 a 3; </w:t>
      </w:r>
      <w:hyperlink w:anchor="AUTO_2015_114" w:history="1">
        <w:r w:rsidRPr="00BB71B4">
          <w:rPr>
            <w:rStyle w:val="TextoNormalCaracter"/>
          </w:rPr>
          <w:t>114/2015</w:t>
        </w:r>
      </w:hyperlink>
      <w:r w:rsidRPr="00BB71B4">
        <w:rPr>
          <w:rStyle w:val="TextoNormalCaracter"/>
        </w:rPr>
        <w:t>, ff. 1 y 2.</w:t>
      </w:r>
    </w:p>
    <w:p w:rsidR="00BB71B4" w:rsidRPr="00BB71B4" w:rsidRDefault="00BB71B4" w:rsidP="00BB71B4">
      <w:pPr>
        <w:pStyle w:val="TextoNormalSangraFrancesa"/>
        <w:rPr>
          <w:rStyle w:val="TextoNormalCaracter"/>
        </w:rPr>
      </w:pPr>
      <w:r w:rsidRPr="00BB71B4">
        <w:rPr>
          <w:rStyle w:val="TextoNormalCursivaCaracter"/>
        </w:rPr>
        <w:t xml:space="preserve">    Alcance, </w:t>
      </w:r>
      <w:r w:rsidRPr="00BB71B4">
        <w:rPr>
          <w:rStyle w:val="TextoNormalCaracter"/>
        </w:rPr>
        <w:t xml:space="preserve">Sentencia </w:t>
      </w:r>
      <w:hyperlink w:anchor="SENTENCIA_2015_124" w:history="1">
        <w:r w:rsidRPr="00BB71B4">
          <w:rPr>
            <w:rStyle w:val="TextoNormalCaracter"/>
          </w:rPr>
          <w:t>124/2015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473" w:name="DESCRIPTORALFABETICO302"/>
      <w:r w:rsidRPr="00BB71B4">
        <w:rPr>
          <w:rStyle w:val="TextoNormalNegritaCaracter"/>
        </w:rPr>
        <w:t>Justificación de la especial trascendencia constitucional</w:t>
      </w:r>
      <w:bookmarkEnd w:id="1473"/>
      <w:r w:rsidRPr="00BB71B4">
        <w:rPr>
          <w:rStyle w:val="TextoNormalCaracter"/>
        </w:rPr>
        <w:t xml:space="preserve">, Sentencias </w:t>
      </w:r>
      <w:hyperlink w:anchor="SENTENCIA_2015_9" w:history="1">
        <w:r w:rsidRPr="00BB71B4">
          <w:rPr>
            <w:rStyle w:val="TextoNormalCaracter"/>
          </w:rPr>
          <w:t>9/2015</w:t>
        </w:r>
      </w:hyperlink>
      <w:r w:rsidRPr="00BB71B4">
        <w:rPr>
          <w:rStyle w:val="TextoNormalCaracter"/>
        </w:rPr>
        <w:t xml:space="preserve">, ff. 2, 3; </w:t>
      </w:r>
      <w:hyperlink w:anchor="SENTENCIA_2015_21" w:history="1">
        <w:r w:rsidRPr="00BB71B4">
          <w:rPr>
            <w:rStyle w:val="TextoNormalCaracter"/>
          </w:rPr>
          <w:t>21/2015</w:t>
        </w:r>
      </w:hyperlink>
      <w:r w:rsidRPr="00BB71B4">
        <w:rPr>
          <w:rStyle w:val="TextoNormalCaracter"/>
        </w:rPr>
        <w:t xml:space="preserve">, f. 2; </w:t>
      </w:r>
      <w:hyperlink w:anchor="SENTENCIA_2015_96" w:history="1">
        <w:r w:rsidRPr="00BB71B4">
          <w:rPr>
            <w:rStyle w:val="TextoNormalCaracter"/>
          </w:rPr>
          <w:t>96/2015</w:t>
        </w:r>
      </w:hyperlink>
      <w:r w:rsidRPr="00BB71B4">
        <w:rPr>
          <w:rStyle w:val="TextoNormalCaracter"/>
        </w:rPr>
        <w:t xml:space="preserve">, f. 1; </w:t>
      </w:r>
      <w:hyperlink w:anchor="SENTENCIA_2015_98" w:history="1">
        <w:r w:rsidRPr="00BB71B4">
          <w:rPr>
            <w:rStyle w:val="TextoNormalCaracter"/>
          </w:rPr>
          <w:t>98/2015</w:t>
        </w:r>
      </w:hyperlink>
      <w:r w:rsidRPr="00BB71B4">
        <w:rPr>
          <w:rStyle w:val="TextoNormalCaracter"/>
        </w:rPr>
        <w:t xml:space="preserve">, f. 2; </w:t>
      </w:r>
      <w:hyperlink w:anchor="SENTENCIA_2015_101" w:history="1">
        <w:r w:rsidRPr="00BB71B4">
          <w:rPr>
            <w:rStyle w:val="TextoNormalCaracter"/>
          </w:rPr>
          <w:t>101/2015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74" w:name="DESCRIPTORALFABETICO303"/>
      <w:r w:rsidRPr="00BB71B4">
        <w:rPr>
          <w:rStyle w:val="TextoNormalNegritaCaracter"/>
        </w:rPr>
        <w:t>Justificación insuficiente de la especial trascendencia constitucional</w:t>
      </w:r>
      <w:bookmarkEnd w:id="1474"/>
      <w:r w:rsidRPr="00BB71B4">
        <w:rPr>
          <w:rStyle w:val="TextoNormalCaracter"/>
        </w:rPr>
        <w:t xml:space="preserve">, Auto </w:t>
      </w:r>
      <w:hyperlink w:anchor="AUTO_2015_31" w:history="1">
        <w:r w:rsidRPr="00BB71B4">
          <w:rPr>
            <w:rStyle w:val="TextoNormalCaracter"/>
          </w:rPr>
          <w:t>31/2015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75" w:name="DESCRIPTORALFABETICO116"/>
      <w:r w:rsidRPr="00BB71B4">
        <w:rPr>
          <w:rStyle w:val="TextoNormalNegritaCaracter"/>
        </w:rPr>
        <w:t>Justificación razonable del tratamiento legal diferenciado</w:t>
      </w:r>
      <w:bookmarkEnd w:id="1475"/>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 3 e); </w:t>
      </w:r>
      <w:hyperlink w:anchor="SENTENCIA_2015_50" w:history="1">
        <w:r w:rsidRPr="00BB71B4">
          <w:rPr>
            <w:rStyle w:val="TextoNormalCaracter"/>
          </w:rPr>
          <w:t>50/2015</w:t>
        </w:r>
      </w:hyperlink>
      <w:r w:rsidRPr="00BB71B4">
        <w:rPr>
          <w:rStyle w:val="TextoNormalCaracter"/>
        </w:rPr>
        <w:t xml:space="preserve">, ff. 2, 5, VP; </w:t>
      </w:r>
      <w:hyperlink w:anchor="SENTENCIA_2015_110" w:history="1">
        <w:r w:rsidRPr="00BB71B4">
          <w:rPr>
            <w:rStyle w:val="TextoNormalCaracter"/>
          </w:rPr>
          <w:t>110/2015</w:t>
        </w:r>
      </w:hyperlink>
      <w:r w:rsidRPr="00BB71B4">
        <w:rPr>
          <w:rStyle w:val="TextoNormalCaracter"/>
        </w:rPr>
        <w:t>, ff. 4, 5.</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L</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476" w:name="DESCRIPTORALFABETICO669"/>
      <w:r w:rsidRPr="00BB71B4">
        <w:rPr>
          <w:rStyle w:val="TextoNormalNegritaCaracter"/>
        </w:rPr>
        <w:t>Lanzamiento de vivienda</w:t>
      </w:r>
      <w:bookmarkEnd w:id="1476"/>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16 a 18.</w:t>
      </w:r>
    </w:p>
    <w:p w:rsidR="00BB71B4" w:rsidRPr="00BB71B4" w:rsidRDefault="00BB71B4" w:rsidP="00BB71B4">
      <w:pPr>
        <w:pStyle w:val="TextoNormalSangraFrancesa"/>
        <w:rPr>
          <w:rStyle w:val="TextoNormalCaracter"/>
        </w:rPr>
      </w:pPr>
      <w:bookmarkStart w:id="1477" w:name="DESCRIPTORALFABETICO539"/>
      <w:r w:rsidRPr="00BB71B4">
        <w:rPr>
          <w:rStyle w:val="TextoNormalNegritaCaracter"/>
        </w:rPr>
        <w:t>Legislación básica</w:t>
      </w:r>
      <w:bookmarkEnd w:id="1477"/>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 5; </w:t>
      </w:r>
      <w:hyperlink w:anchor="SENTENCIA_2015_6" w:history="1">
        <w:r w:rsidRPr="00BB71B4">
          <w:rPr>
            <w:rStyle w:val="TextoNormalCaracter"/>
          </w:rPr>
          <w:t>6/2015</w:t>
        </w:r>
      </w:hyperlink>
      <w:r w:rsidRPr="00BB71B4">
        <w:rPr>
          <w:rStyle w:val="TextoNormalCaracter"/>
        </w:rPr>
        <w:t xml:space="preserve">, f. 2 b); </w:t>
      </w:r>
      <w:hyperlink w:anchor="SENTENCIA_2015_45" w:history="1">
        <w:r w:rsidRPr="00BB71B4">
          <w:rPr>
            <w:rStyle w:val="TextoNormalCaracter"/>
          </w:rPr>
          <w:t>45/2015</w:t>
        </w:r>
      </w:hyperlink>
      <w:r w:rsidRPr="00BB71B4">
        <w:rPr>
          <w:rStyle w:val="TextoNormalCaracter"/>
        </w:rPr>
        <w:t xml:space="preserve">, ff. 1 a 3; </w:t>
      </w:r>
      <w:hyperlink w:anchor="SENTENCIA_2015_58" w:history="1">
        <w:r w:rsidRPr="00BB71B4">
          <w:rPr>
            <w:rStyle w:val="TextoNormalCaracter"/>
          </w:rPr>
          <w:t>58/2015</w:t>
        </w:r>
      </w:hyperlink>
      <w:r w:rsidRPr="00BB71B4">
        <w:rPr>
          <w:rStyle w:val="TextoNormalCaracter"/>
        </w:rPr>
        <w:t xml:space="preserve">, ff. 2 a 4; </w:t>
      </w:r>
      <w:hyperlink w:anchor="SENTENCIA_2015_84" w:history="1">
        <w:r w:rsidRPr="00BB71B4">
          <w:rPr>
            <w:rStyle w:val="TextoNormalCaracter"/>
          </w:rPr>
          <w:t>84/2015</w:t>
        </w:r>
      </w:hyperlink>
      <w:r w:rsidRPr="00BB71B4">
        <w:rPr>
          <w:rStyle w:val="TextoNormalCaracter"/>
        </w:rPr>
        <w:t xml:space="preserve">, ff. 5, 6, 8; </w:t>
      </w:r>
      <w:hyperlink w:anchor="SENTENCIA_2015_93" w:history="1">
        <w:r w:rsidRPr="00BB71B4">
          <w:rPr>
            <w:rStyle w:val="TextoNormalCaracter"/>
          </w:rPr>
          <w:t>93/2015</w:t>
        </w:r>
      </w:hyperlink>
      <w:r w:rsidRPr="00BB71B4">
        <w:rPr>
          <w:rStyle w:val="TextoNormalCaracter"/>
        </w:rPr>
        <w:t xml:space="preserve">, f. 18, VP I, VP II, VP III; </w:t>
      </w:r>
      <w:hyperlink w:anchor="SENTENCIA_2015_143" w:history="1">
        <w:r w:rsidRPr="00BB71B4">
          <w:rPr>
            <w:rStyle w:val="TextoNormalCaracter"/>
          </w:rPr>
          <w:t>143/2015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478" w:name="DESCRIPTORALFABETICO544"/>
      <w:r w:rsidRPr="00BB71B4">
        <w:rPr>
          <w:rStyle w:val="TextoNormalNegritaCaracter"/>
        </w:rPr>
        <w:t>Legislación de desarrollo</w:t>
      </w:r>
      <w:bookmarkEnd w:id="1478"/>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479" w:name="DESCRIPTORALFABETICO546"/>
      <w:r w:rsidRPr="00BB71B4">
        <w:rPr>
          <w:rStyle w:val="TextoNormalNegritaCaracter"/>
        </w:rPr>
        <w:t>Legislación procesal penal</w:t>
      </w:r>
      <w:bookmarkEnd w:id="1479"/>
      <w:r w:rsidRPr="00BB71B4">
        <w:rPr>
          <w:rStyle w:val="TextoNormalCaracter"/>
        </w:rPr>
        <w:t xml:space="preserve">, Sentencia </w:t>
      </w:r>
      <w:hyperlink w:anchor="SENTENCIA_2015_91" w:history="1">
        <w:r w:rsidRPr="00BB71B4">
          <w:rPr>
            <w:rStyle w:val="TextoNormalCaracter"/>
          </w:rPr>
          <w:t>91/2015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80" w:name="DESCRIPTORALFABETICO342"/>
      <w:r w:rsidRPr="00BB71B4">
        <w:rPr>
          <w:rStyle w:val="TextoNormalNegritaCaracter"/>
        </w:rPr>
        <w:t>Legislatura finalizada</w:t>
      </w:r>
      <w:bookmarkEnd w:id="1480"/>
      <w:r w:rsidRPr="00BB71B4">
        <w:rPr>
          <w:rStyle w:val="TextoNormalCaracter"/>
        </w:rPr>
        <w:t xml:space="preserve">, Sentencia </w:t>
      </w:r>
      <w:hyperlink w:anchor="SENTENCIA_2015_19" w:history="1">
        <w:r w:rsidRPr="00BB71B4">
          <w:rPr>
            <w:rStyle w:val="TextoNormalCaracter"/>
          </w:rPr>
          <w:t>19/2015</w:t>
        </w:r>
      </w:hyperlink>
      <w:r w:rsidRPr="00BB71B4">
        <w:rPr>
          <w:rStyle w:val="TextoNormalCaracter"/>
        </w:rPr>
        <w:t>, f. 6.</w:t>
      </w:r>
    </w:p>
    <w:p w:rsidR="00BB71B4" w:rsidRPr="00BB71B4" w:rsidRDefault="00BB71B4" w:rsidP="00BB71B4">
      <w:pPr>
        <w:pStyle w:val="TextoNormalSangraFrancesa"/>
        <w:rPr>
          <w:rStyle w:val="TextoNormalCaracter"/>
        </w:rPr>
      </w:pPr>
      <w:bookmarkStart w:id="1481" w:name="DESCRIPTORALFABETICO343"/>
      <w:r w:rsidRPr="00BB71B4">
        <w:rPr>
          <w:rStyle w:val="TextoNormalNegritaCaracter"/>
        </w:rPr>
        <w:t>Legislatura no finalizada</w:t>
      </w:r>
      <w:bookmarkEnd w:id="1481"/>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8; </w:t>
      </w:r>
      <w:hyperlink w:anchor="SENTENCIA_2015_23" w:history="1">
        <w:r w:rsidRPr="00BB71B4">
          <w:rPr>
            <w:rStyle w:val="TextoNormalCaracter"/>
          </w:rPr>
          <w:t>23/2015</w:t>
        </w:r>
      </w:hyperlink>
      <w:r w:rsidRPr="00BB71B4">
        <w:rPr>
          <w:rStyle w:val="TextoNormalCaracter"/>
        </w:rPr>
        <w:t>, f. 9.</w:t>
      </w:r>
    </w:p>
    <w:p w:rsidR="00BB71B4" w:rsidRPr="00BB71B4" w:rsidRDefault="00BB71B4" w:rsidP="00BB71B4">
      <w:pPr>
        <w:pStyle w:val="TextoNormalSangraFrancesa"/>
        <w:rPr>
          <w:rStyle w:val="TextoNormalCaracter"/>
        </w:rPr>
      </w:pPr>
      <w:bookmarkStart w:id="1482" w:name="DESCRIPTORALFABETICO547"/>
      <w:r w:rsidRPr="00BB71B4">
        <w:rPr>
          <w:rStyle w:val="TextoNormalNegritaCaracter"/>
        </w:rPr>
        <w:t>Leyes de armonización</w:t>
      </w:r>
      <w:bookmarkEnd w:id="1482"/>
      <w:r w:rsidRPr="00BB71B4">
        <w:rPr>
          <w:rStyle w:val="TextoNormalCaracter"/>
        </w:rPr>
        <w:t xml:space="preserve">, Sentencia </w:t>
      </w:r>
      <w:hyperlink w:anchor="SENTENCIA_2015_26" w:history="1">
        <w:r w:rsidRPr="00BB71B4">
          <w:rPr>
            <w:rStyle w:val="TextoNormalCaracter"/>
          </w:rPr>
          <w:t>26/2015</w:t>
        </w:r>
      </w:hyperlink>
      <w:r w:rsidRPr="00BB71B4">
        <w:rPr>
          <w:rStyle w:val="TextoNormalCaracter"/>
        </w:rPr>
        <w:t>, f. 5.</w:t>
      </w:r>
    </w:p>
    <w:p w:rsidR="00BB71B4" w:rsidRPr="00BB71B4" w:rsidRDefault="00BB71B4" w:rsidP="00BB71B4">
      <w:pPr>
        <w:pStyle w:val="TextoNormalSangraFrancesa"/>
        <w:rPr>
          <w:rStyle w:val="TextoNormalCaracter"/>
        </w:rPr>
      </w:pPr>
      <w:bookmarkStart w:id="1483" w:name="DESCRIPTORALFABETICO548"/>
      <w:r w:rsidRPr="00BB71B4">
        <w:rPr>
          <w:rStyle w:val="TextoNormalNegritaCaracter"/>
        </w:rPr>
        <w:t>Leyes de presupuestos</w:t>
      </w:r>
      <w:bookmarkEnd w:id="1483"/>
      <w:r w:rsidRPr="00BB71B4">
        <w:rPr>
          <w:rStyle w:val="TextoNormalCaracter"/>
        </w:rPr>
        <w:t xml:space="preserve">, Sentencia </w:t>
      </w:r>
      <w:hyperlink w:anchor="SENTENCIA_2015_73" w:history="1">
        <w:r w:rsidRPr="00BB71B4">
          <w:rPr>
            <w:rStyle w:val="TextoNormalCaracter"/>
          </w:rPr>
          <w:t>73/2015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84" w:name="DESCRIPTORALFABETICO550"/>
      <w:r w:rsidRPr="00BB71B4">
        <w:rPr>
          <w:rStyle w:val="TextoNormalNegritaCaracter"/>
        </w:rPr>
        <w:t>Leyes de presupuestos generales del Estado</w:t>
      </w:r>
      <w:bookmarkEnd w:id="1484"/>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1 a 5; </w:t>
      </w:r>
      <w:hyperlink w:anchor="SENTENCIA_2015_62" w:history="1">
        <w:r w:rsidRPr="00BB71B4">
          <w:rPr>
            <w:rStyle w:val="TextoNormalCaracter"/>
          </w:rPr>
          <w:t>62/2015</w:t>
        </w:r>
      </w:hyperlink>
      <w:r w:rsidRPr="00BB71B4">
        <w:rPr>
          <w:rStyle w:val="TextoNormalCaracter"/>
        </w:rPr>
        <w:t xml:space="preserve">, f. 3; </w:t>
      </w:r>
      <w:hyperlink w:anchor="SENTENCIA_2015_94" w:history="1">
        <w:r w:rsidRPr="00BB71B4">
          <w:rPr>
            <w:rStyle w:val="TextoNormalCaracter"/>
          </w:rPr>
          <w:t>94/2015</w:t>
        </w:r>
      </w:hyperlink>
      <w:r w:rsidRPr="00BB71B4">
        <w:rPr>
          <w:rStyle w:val="TextoNormalCaracter"/>
        </w:rPr>
        <w:t xml:space="preserve">, ff. 3 a 5; </w:t>
      </w:r>
      <w:hyperlink w:anchor="SENTENCIA_2015_143" w:history="1">
        <w:r w:rsidRPr="00BB71B4">
          <w:rPr>
            <w:rStyle w:val="TextoNormalCaracter"/>
          </w:rPr>
          <w:t>143/2015</w:t>
        </w:r>
      </w:hyperlink>
      <w:r w:rsidRPr="00BB71B4">
        <w:rPr>
          <w:rStyle w:val="TextoNormalCaracter"/>
        </w:rPr>
        <w:t>, f. 4.</w:t>
      </w:r>
    </w:p>
    <w:p w:rsidR="00BB71B4" w:rsidRPr="00BB71B4" w:rsidRDefault="00BB71B4" w:rsidP="00BB71B4">
      <w:pPr>
        <w:pStyle w:val="TextoNormalSangraFrancesa"/>
        <w:rPr>
          <w:rStyle w:val="TextoNormalCaracter"/>
        </w:rPr>
      </w:pPr>
      <w:bookmarkStart w:id="1485" w:name="DESCRIPTORALFABETICO552"/>
      <w:r w:rsidRPr="00BB71B4">
        <w:rPr>
          <w:rStyle w:val="TextoNormalNegritaCaracter"/>
        </w:rPr>
        <w:t>Leyes singulares</w:t>
      </w:r>
      <w:bookmarkEnd w:id="1485"/>
      <w:r w:rsidRPr="00BB71B4">
        <w:rPr>
          <w:rStyle w:val="TextoNormalCaracter"/>
        </w:rPr>
        <w:t xml:space="preserve">, Sentencia </w:t>
      </w:r>
      <w:hyperlink w:anchor="SENTENCIA_2015_50" w:history="1">
        <w:r w:rsidRPr="00BB71B4">
          <w:rPr>
            <w:rStyle w:val="TextoNormalCaracter"/>
          </w:rPr>
          <w:t>50/2015</w:t>
        </w:r>
      </w:hyperlink>
      <w:r w:rsidRPr="00BB71B4">
        <w:rPr>
          <w:rStyle w:val="TextoNormalCaracter"/>
        </w:rPr>
        <w:t>, ff. 3, 4.</w:t>
      </w:r>
    </w:p>
    <w:p w:rsidR="00BB71B4" w:rsidRPr="00BB71B4" w:rsidRDefault="00BB71B4" w:rsidP="00BB71B4">
      <w:pPr>
        <w:pStyle w:val="TextoNormalSangraFrancesa"/>
        <w:rPr>
          <w:rStyle w:val="TextoNormalCaracter"/>
        </w:rPr>
      </w:pPr>
      <w:r w:rsidRPr="00BB71B4">
        <w:rPr>
          <w:rStyle w:val="TextoNormalCursivaCaracter"/>
        </w:rPr>
        <w:t xml:space="preserve">    Concepto, </w:t>
      </w:r>
      <w:r w:rsidRPr="00BB71B4">
        <w:rPr>
          <w:rStyle w:val="TextoNormalCaracter"/>
        </w:rPr>
        <w:t xml:space="preserve">Sentencia </w:t>
      </w:r>
      <w:hyperlink w:anchor="SENTENCIA_2015_50" w:history="1">
        <w:r w:rsidRPr="00BB71B4">
          <w:rPr>
            <w:rStyle w:val="TextoNormalCaracter"/>
          </w:rPr>
          <w:t>50/2015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86" w:name="DESCRIPTORALFABETICO210"/>
      <w:r w:rsidRPr="00BB71B4">
        <w:rPr>
          <w:rStyle w:val="TextoNormalNegritaCaracter"/>
        </w:rPr>
        <w:t>Libertad de conciencia</w:t>
      </w:r>
      <w:bookmarkEnd w:id="1486"/>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VP II.</w:t>
      </w:r>
    </w:p>
    <w:p w:rsidR="00BB71B4" w:rsidRPr="00BB71B4" w:rsidRDefault="00BB71B4" w:rsidP="00BB71B4">
      <w:pPr>
        <w:pStyle w:val="TextoNormalSangraFrancesa"/>
        <w:rPr>
          <w:rStyle w:val="TextoNormalCaracter"/>
        </w:rPr>
      </w:pPr>
      <w:bookmarkStart w:id="1487" w:name="DESCRIPTORALFABETICO331"/>
      <w:r w:rsidRPr="00BB71B4">
        <w:rPr>
          <w:rStyle w:val="TextoNormalNegritaCaracter"/>
        </w:rPr>
        <w:t>Libertad de configuración del legislador</w:t>
      </w:r>
      <w:bookmarkEnd w:id="1487"/>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ff. 3 b), 4 a), 6, 7 a), 8 b), 9 a), 10 a), VP; </w:t>
      </w:r>
      <w:hyperlink w:anchor="SENTENCIA_2015_26" w:history="1">
        <w:r w:rsidRPr="00BB71B4">
          <w:rPr>
            <w:rStyle w:val="TextoNormalCaracter"/>
          </w:rPr>
          <w:t>26/2015</w:t>
        </w:r>
      </w:hyperlink>
      <w:r w:rsidRPr="00BB71B4">
        <w:rPr>
          <w:rStyle w:val="TextoNormalCaracter"/>
        </w:rPr>
        <w:t xml:space="preserve">, f. 4; </w:t>
      </w:r>
      <w:hyperlink w:anchor="SENTENCIA_2015_43" w:history="1">
        <w:r w:rsidRPr="00BB71B4">
          <w:rPr>
            <w:rStyle w:val="TextoNormalCaracter"/>
          </w:rPr>
          <w:t>43/2015</w:t>
        </w:r>
      </w:hyperlink>
      <w:r w:rsidRPr="00BB71B4">
        <w:rPr>
          <w:rStyle w:val="TextoNormalCaracter"/>
        </w:rPr>
        <w:t xml:space="preserve">, f. 5; </w:t>
      </w:r>
      <w:hyperlink w:anchor="SENTENCIA_2015_102" w:history="1">
        <w:r w:rsidRPr="00BB71B4">
          <w:rPr>
            <w:rStyle w:val="TextoNormalCaracter"/>
          </w:rPr>
          <w:t>102/2015</w:t>
        </w:r>
      </w:hyperlink>
      <w:r w:rsidRPr="00BB71B4">
        <w:rPr>
          <w:rStyle w:val="TextoNormalCaracter"/>
        </w:rPr>
        <w:t>, f. 3.</w:t>
      </w:r>
    </w:p>
    <w:p w:rsidR="00BB71B4" w:rsidRPr="00BB71B4" w:rsidRDefault="00BB71B4" w:rsidP="00BB71B4">
      <w:pPr>
        <w:pStyle w:val="TextoNormalSangraFrancesa"/>
        <w:rPr>
          <w:rStyle w:val="TextoNormalCaracter"/>
        </w:rPr>
      </w:pPr>
      <w:bookmarkStart w:id="1488" w:name="DESCRIPTORALFABETICO197"/>
      <w:r w:rsidRPr="00BB71B4">
        <w:rPr>
          <w:rStyle w:val="TextoNormalNegritaCaracter"/>
        </w:rPr>
        <w:t>Libertad de empresa</w:t>
      </w:r>
      <w:bookmarkEnd w:id="1488"/>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4 a), 7 a).</w:t>
      </w:r>
    </w:p>
    <w:p w:rsidR="00BB71B4" w:rsidRPr="00BB71B4" w:rsidRDefault="00BB71B4" w:rsidP="00BB71B4">
      <w:pPr>
        <w:pStyle w:val="TextoNormalSangraFrancesa"/>
        <w:rPr>
          <w:rStyle w:val="TextoNormalCaracter"/>
        </w:rPr>
      </w:pPr>
      <w:bookmarkStart w:id="1489" w:name="DESCRIPTORALFABETICO199"/>
      <w:r w:rsidRPr="00BB71B4">
        <w:rPr>
          <w:rStyle w:val="TextoNormalNegritaCaracter"/>
        </w:rPr>
        <w:t>Libertad de expresión</w:t>
      </w:r>
      <w:bookmarkEnd w:id="1489"/>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Respetada, </w:t>
      </w:r>
      <w:r w:rsidRPr="00BB71B4">
        <w:rPr>
          <w:rStyle w:val="TextoNormalCaracter"/>
        </w:rPr>
        <w:t xml:space="preserve">Sentencia </w:t>
      </w:r>
      <w:hyperlink w:anchor="SENTENCIA_2015_65" w:history="1">
        <w:r w:rsidRPr="00BB71B4">
          <w:rPr>
            <w:rStyle w:val="TextoNormalCaracter"/>
          </w:rPr>
          <w:t>65/2015</w:t>
        </w:r>
      </w:hyperlink>
      <w:r w:rsidRPr="00BB71B4">
        <w:rPr>
          <w:rStyle w:val="TextoNormalCaracter"/>
        </w:rPr>
        <w:t>, f. 5, VP I, VP II.</w:t>
      </w:r>
    </w:p>
    <w:p w:rsidR="00BB71B4" w:rsidRPr="00BB71B4" w:rsidRDefault="00BB71B4" w:rsidP="00BB71B4">
      <w:pPr>
        <w:pStyle w:val="TextoNormalSangraFrancesa"/>
        <w:rPr>
          <w:rStyle w:val="TextoNormalCaracter"/>
        </w:rPr>
      </w:pPr>
      <w:bookmarkStart w:id="1490" w:name="DESCRIPTORALFABETICO207"/>
      <w:r w:rsidRPr="00BB71B4">
        <w:rPr>
          <w:rStyle w:val="TextoNormalNegritaCaracter"/>
        </w:rPr>
        <w:t>Libertad ideológica</w:t>
      </w:r>
      <w:bookmarkEnd w:id="149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Contenido, </w:t>
      </w:r>
      <w:r w:rsidRPr="00BB71B4">
        <w:rPr>
          <w:rStyle w:val="TextoNormalCaracter"/>
        </w:rPr>
        <w:t xml:space="preserve">Sentencia </w:t>
      </w:r>
      <w:hyperlink w:anchor="SENTENCIA_2015_145" w:history="1">
        <w:r w:rsidRPr="00BB71B4">
          <w:rPr>
            <w:rStyle w:val="TextoNormalCaracter"/>
          </w:rPr>
          <w:t>145/2015</w:t>
        </w:r>
      </w:hyperlink>
      <w:r w:rsidRPr="00BB71B4">
        <w:rPr>
          <w:rStyle w:val="TextoNormalCaracter"/>
        </w:rPr>
        <w:t>, ff. 4 a 6.</w:t>
      </w:r>
    </w:p>
    <w:p w:rsidR="00BB71B4" w:rsidRPr="00BB71B4" w:rsidRDefault="00BB71B4" w:rsidP="00BB71B4">
      <w:pPr>
        <w:pStyle w:val="TextoNormalSangraFrancesa"/>
        <w:rPr>
          <w:rStyle w:val="TextoNormalCaracter"/>
        </w:rPr>
      </w:pPr>
      <w:bookmarkStart w:id="1491" w:name="DESCRIPTORALFABETICO206"/>
      <w:r w:rsidRPr="00BB71B4">
        <w:rPr>
          <w:rStyle w:val="TextoNormalNegritaCaracter"/>
        </w:rPr>
        <w:t>Libertad ideológica, religiosa y de culto</w:t>
      </w:r>
      <w:bookmarkEnd w:id="1491"/>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 4, VP I, VP II.</w:t>
      </w:r>
    </w:p>
    <w:p w:rsidR="00BB71B4" w:rsidRPr="00BB71B4" w:rsidRDefault="00BB71B4" w:rsidP="00BB71B4">
      <w:pPr>
        <w:pStyle w:val="TextoNormalSangraFrancesa"/>
        <w:rPr>
          <w:rStyle w:val="TextoNormalCaracter"/>
        </w:rPr>
      </w:pPr>
      <w:bookmarkStart w:id="1492" w:name="DESCRIPTORALFABETICO213"/>
      <w:r w:rsidRPr="00BB71B4">
        <w:rPr>
          <w:rStyle w:val="TextoNormalNegritaCaracter"/>
        </w:rPr>
        <w:t>Libertad sindical</w:t>
      </w:r>
      <w:bookmarkEnd w:id="1492"/>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Respetada, </w:t>
      </w:r>
      <w:r w:rsidRPr="00BB71B4">
        <w:rPr>
          <w:rStyle w:val="TextoNormalCaracter"/>
        </w:rPr>
        <w:t xml:space="preserve">Sentencia </w:t>
      </w:r>
      <w:hyperlink w:anchor="SENTENCIA_2015_8" w:history="1">
        <w:r w:rsidRPr="00BB71B4">
          <w:rPr>
            <w:rStyle w:val="TextoNormalCaracter"/>
          </w:rPr>
          <w:t>8/2015</w:t>
        </w:r>
      </w:hyperlink>
      <w:r w:rsidRPr="00BB71B4">
        <w:rPr>
          <w:rStyle w:val="TextoNormalCaracter"/>
        </w:rPr>
        <w:t>, ff. 4 a), 5 b), 6 apartados b) y c), 10 apartados a) y b).</w:t>
      </w:r>
    </w:p>
    <w:p w:rsidR="00BB71B4" w:rsidRPr="00BB71B4" w:rsidRDefault="00BB71B4" w:rsidP="00BB71B4">
      <w:pPr>
        <w:pStyle w:val="TextoNormalSangraFrancesa"/>
        <w:rPr>
          <w:rStyle w:val="TextoNormalCaracter"/>
        </w:rPr>
      </w:pPr>
      <w:bookmarkStart w:id="1493" w:name="DESCRIPTORALFABETICO198"/>
      <w:r w:rsidRPr="00BB71B4">
        <w:rPr>
          <w:rStyle w:val="TextoNormalNegritaCaracter"/>
        </w:rPr>
        <w:t>Libre competencia</w:t>
      </w:r>
      <w:bookmarkEnd w:id="1493"/>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 5.</w:t>
      </w:r>
    </w:p>
    <w:p w:rsidR="00BB71B4" w:rsidRPr="00BB71B4" w:rsidRDefault="00BB71B4" w:rsidP="00BB71B4">
      <w:pPr>
        <w:pStyle w:val="TextoNormalSangraFrancesa"/>
        <w:rPr>
          <w:rStyle w:val="TextoNormalCaracter"/>
        </w:rPr>
      </w:pPr>
      <w:bookmarkStart w:id="1494" w:name="DESCRIPTORALFABETICO406"/>
      <w:r w:rsidRPr="00BB71B4">
        <w:rPr>
          <w:rStyle w:val="TextoNormalNegritaCaracter"/>
        </w:rPr>
        <w:t>Licencias urbanísticas</w:t>
      </w:r>
      <w:bookmarkEnd w:id="1494"/>
      <w:r w:rsidRPr="00BB71B4">
        <w:rPr>
          <w:rStyle w:val="TextoNormalCaracter"/>
        </w:rPr>
        <w:t xml:space="preserve">, Sentencia </w:t>
      </w:r>
      <w:hyperlink w:anchor="SENTENCIA_2015_29" w:history="1">
        <w:r w:rsidRPr="00BB71B4">
          <w:rPr>
            <w:rStyle w:val="TextoNormalCaracter"/>
          </w:rPr>
          <w:t>29/2015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495" w:name="DESCRIPTORALFABETICO216"/>
      <w:r w:rsidRPr="00BB71B4">
        <w:rPr>
          <w:rStyle w:val="TextoNormalNegritaCaracter"/>
        </w:rPr>
        <w:t>Limitación de derechos fundamentales</w:t>
      </w:r>
      <w:bookmarkEnd w:id="1495"/>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ff. 8, 10, 11.</w:t>
      </w:r>
    </w:p>
    <w:p w:rsidR="00BB71B4" w:rsidRPr="00BB71B4" w:rsidRDefault="00BB71B4" w:rsidP="00BB71B4">
      <w:pPr>
        <w:pStyle w:val="TextoNormalSangraFrancesa"/>
        <w:rPr>
          <w:rStyle w:val="TextoNormalCaracter"/>
        </w:rPr>
      </w:pPr>
      <w:bookmarkStart w:id="1496" w:name="DESCRIPTORALFABETICO614"/>
      <w:r w:rsidRPr="00BB71B4">
        <w:rPr>
          <w:rStyle w:val="TextoNormalNegritaCaracter"/>
        </w:rPr>
        <w:t>Limitación de la cuantía de las pensiones por leyes de presupuestos</w:t>
      </w:r>
      <w:bookmarkEnd w:id="1496"/>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2, 5, VP; </w:t>
      </w:r>
      <w:hyperlink w:anchor="SENTENCIA_2015_95" w:history="1">
        <w:r w:rsidRPr="00BB71B4">
          <w:rPr>
            <w:rStyle w:val="TextoNormalCaracter"/>
          </w:rPr>
          <w:t>95/2015</w:t>
        </w:r>
      </w:hyperlink>
      <w:r w:rsidRPr="00BB71B4">
        <w:rPr>
          <w:rStyle w:val="TextoNormalCaracter"/>
        </w:rPr>
        <w:t xml:space="preserve">, f. 6; </w:t>
      </w:r>
      <w:hyperlink w:anchor="SENTENCIA_2015_109" w:history="1">
        <w:r w:rsidRPr="00BB71B4">
          <w:rPr>
            <w:rStyle w:val="TextoNormalCaracter"/>
          </w:rPr>
          <w:t>109/2015</w:t>
        </w:r>
      </w:hyperlink>
      <w:r w:rsidRPr="00BB71B4">
        <w:rPr>
          <w:rStyle w:val="TextoNormalCaracter"/>
        </w:rPr>
        <w:t xml:space="preserve">, f. 2; </w:t>
      </w:r>
      <w:hyperlink w:anchor="SENTENCIA_2015_116" w:history="1">
        <w:r w:rsidRPr="00BB71B4">
          <w:rPr>
            <w:rStyle w:val="TextoNormalCaracter"/>
          </w:rPr>
          <w:t>116/2015</w:t>
        </w:r>
      </w:hyperlink>
      <w:r w:rsidRPr="00BB71B4">
        <w:rPr>
          <w:rStyle w:val="TextoNormalCaracter"/>
        </w:rPr>
        <w:t xml:space="preserve">, f. 2; </w:t>
      </w:r>
      <w:hyperlink w:anchor="SENTENCIA_2015_117" w:history="1">
        <w:r w:rsidRPr="00BB71B4">
          <w:rPr>
            <w:rStyle w:val="TextoNormalCaracter"/>
          </w:rPr>
          <w:t>117/2015</w:t>
        </w:r>
      </w:hyperlink>
      <w:r w:rsidRPr="00BB71B4">
        <w:rPr>
          <w:rStyle w:val="TextoNormalCaracter"/>
        </w:rPr>
        <w:t xml:space="preserve">, f. 3; </w:t>
      </w:r>
      <w:hyperlink w:anchor="SENTENCIA_2015_118" w:history="1">
        <w:r w:rsidRPr="00BB71B4">
          <w:rPr>
            <w:rStyle w:val="TextoNormalCaracter"/>
          </w:rPr>
          <w:t>118/2015</w:t>
        </w:r>
      </w:hyperlink>
      <w:r w:rsidRPr="00BB71B4">
        <w:rPr>
          <w:rStyle w:val="TextoNormalCaracter"/>
        </w:rPr>
        <w:t xml:space="preserve">, f. 3; </w:t>
      </w:r>
      <w:hyperlink w:anchor="SENTENCIA_2015_119" w:history="1">
        <w:r w:rsidRPr="00BB71B4">
          <w:rPr>
            <w:rStyle w:val="TextoNormalCaracter"/>
          </w:rPr>
          <w:t>119/2015</w:t>
        </w:r>
      </w:hyperlink>
      <w:r w:rsidRPr="00BB71B4">
        <w:rPr>
          <w:rStyle w:val="TextoNormalCaracter"/>
        </w:rPr>
        <w:t xml:space="preserve">, f. 2; </w:t>
      </w:r>
      <w:hyperlink w:anchor="SENTENCIA_2015_120" w:history="1">
        <w:r w:rsidRPr="00BB71B4">
          <w:rPr>
            <w:rStyle w:val="TextoNormalCaracter"/>
          </w:rPr>
          <w:t>120/2015</w:t>
        </w:r>
      </w:hyperlink>
      <w:r w:rsidRPr="00BB71B4">
        <w:rPr>
          <w:rStyle w:val="TextoNormalCaracter"/>
        </w:rPr>
        <w:t xml:space="preserve">, f. 2; </w:t>
      </w:r>
      <w:hyperlink w:anchor="SENTENCIA_2015_121" w:history="1">
        <w:r w:rsidRPr="00BB71B4">
          <w:rPr>
            <w:rStyle w:val="TextoNormalCaracter"/>
          </w:rPr>
          <w:t>121/2015</w:t>
        </w:r>
      </w:hyperlink>
      <w:r w:rsidRPr="00BB71B4">
        <w:rPr>
          <w:rStyle w:val="TextoNormalCaracter"/>
        </w:rPr>
        <w:t xml:space="preserve">, f. 2; </w:t>
      </w:r>
      <w:hyperlink w:anchor="SENTENCIA_2015_122" w:history="1">
        <w:r w:rsidRPr="00BB71B4">
          <w:rPr>
            <w:rStyle w:val="TextoNormalCaracter"/>
          </w:rPr>
          <w:t>122/2015</w:t>
        </w:r>
      </w:hyperlink>
      <w:r w:rsidRPr="00BB71B4">
        <w:rPr>
          <w:rStyle w:val="TextoNormalCaracter"/>
        </w:rPr>
        <w:t xml:space="preserve">, f. 2; </w:t>
      </w:r>
      <w:hyperlink w:anchor="SENTENCIA_2015_123" w:history="1">
        <w:r w:rsidRPr="00BB71B4">
          <w:rPr>
            <w:rStyle w:val="TextoNormalCaracter"/>
          </w:rPr>
          <w:t>123/2015</w:t>
        </w:r>
      </w:hyperlink>
      <w:r w:rsidRPr="00BB71B4">
        <w:rPr>
          <w:rStyle w:val="TextoNormalCaracter"/>
        </w:rPr>
        <w:t xml:space="preserve">, f. 2; </w:t>
      </w:r>
      <w:hyperlink w:anchor="SENTENCIA_2015_125" w:history="1">
        <w:r w:rsidRPr="00BB71B4">
          <w:rPr>
            <w:rStyle w:val="TextoNormalCaracter"/>
          </w:rPr>
          <w:t>125/2015</w:t>
        </w:r>
      </w:hyperlink>
      <w:r w:rsidRPr="00BB71B4">
        <w:rPr>
          <w:rStyle w:val="TextoNormalCaracter"/>
        </w:rPr>
        <w:t xml:space="preserve">, f. 2; </w:t>
      </w:r>
      <w:hyperlink w:anchor="SENTENCIA_2015_126" w:history="1">
        <w:r w:rsidRPr="00BB71B4">
          <w:rPr>
            <w:rStyle w:val="TextoNormalCaracter"/>
          </w:rPr>
          <w:t>126/2015</w:t>
        </w:r>
      </w:hyperlink>
      <w:r w:rsidRPr="00BB71B4">
        <w:rPr>
          <w:rStyle w:val="TextoNormalCaracter"/>
        </w:rPr>
        <w:t xml:space="preserve">, f. 2; </w:t>
      </w:r>
      <w:hyperlink w:anchor="SENTENCIA_2015_127" w:history="1">
        <w:r w:rsidRPr="00BB71B4">
          <w:rPr>
            <w:rStyle w:val="TextoNormalCaracter"/>
          </w:rPr>
          <w:t>127/2015</w:t>
        </w:r>
      </w:hyperlink>
      <w:r w:rsidRPr="00BB71B4">
        <w:rPr>
          <w:rStyle w:val="TextoNormalCaracter"/>
        </w:rPr>
        <w:t xml:space="preserve">, f. 2; </w:t>
      </w:r>
      <w:hyperlink w:anchor="SENTENCIA_2015_128" w:history="1">
        <w:r w:rsidRPr="00BB71B4">
          <w:rPr>
            <w:rStyle w:val="TextoNormalCaracter"/>
          </w:rPr>
          <w:t>128/2015</w:t>
        </w:r>
      </w:hyperlink>
      <w:r w:rsidRPr="00BB71B4">
        <w:rPr>
          <w:rStyle w:val="TextoNormalCaracter"/>
        </w:rPr>
        <w:t xml:space="preserve">, f. 2; </w:t>
      </w:r>
      <w:hyperlink w:anchor="SENTENCIA_2015_129" w:history="1">
        <w:r w:rsidRPr="00BB71B4">
          <w:rPr>
            <w:rStyle w:val="TextoNormalCaracter"/>
          </w:rPr>
          <w:t>129/2015</w:t>
        </w:r>
      </w:hyperlink>
      <w:r w:rsidRPr="00BB71B4">
        <w:rPr>
          <w:rStyle w:val="TextoNormalCaracter"/>
        </w:rPr>
        <w:t xml:space="preserve">, f. 2; </w:t>
      </w:r>
      <w:hyperlink w:anchor="SENTENCIA_2015_130" w:history="1">
        <w:r w:rsidRPr="00BB71B4">
          <w:rPr>
            <w:rStyle w:val="TextoNormalCaracter"/>
          </w:rPr>
          <w:t>130/2015</w:t>
        </w:r>
      </w:hyperlink>
      <w:r w:rsidRPr="00BB71B4">
        <w:rPr>
          <w:rStyle w:val="TextoNormalCaracter"/>
        </w:rPr>
        <w:t xml:space="preserve">, f. 2; </w:t>
      </w:r>
      <w:hyperlink w:anchor="SENTENCIA_2015_131" w:history="1">
        <w:r w:rsidRPr="00BB71B4">
          <w:rPr>
            <w:rStyle w:val="TextoNormalCaracter"/>
          </w:rPr>
          <w:t>131/2015</w:t>
        </w:r>
      </w:hyperlink>
      <w:r w:rsidRPr="00BB71B4">
        <w:rPr>
          <w:rStyle w:val="TextoNormalCaracter"/>
        </w:rPr>
        <w:t xml:space="preserve">, f. 2; </w:t>
      </w:r>
      <w:hyperlink w:anchor="SENTENCIA_2015_132" w:history="1">
        <w:r w:rsidRPr="00BB71B4">
          <w:rPr>
            <w:rStyle w:val="TextoNormalCaracter"/>
          </w:rPr>
          <w:t>132/2015</w:t>
        </w:r>
      </w:hyperlink>
      <w:r w:rsidRPr="00BB71B4">
        <w:rPr>
          <w:rStyle w:val="TextoNormalCaracter"/>
        </w:rPr>
        <w:t xml:space="preserve">, f. 2; </w:t>
      </w:r>
      <w:hyperlink w:anchor="SENTENCIA_2015_133" w:history="1">
        <w:r w:rsidRPr="00BB71B4">
          <w:rPr>
            <w:rStyle w:val="TextoNormalCaracter"/>
          </w:rPr>
          <w:t>133/2015</w:t>
        </w:r>
      </w:hyperlink>
      <w:r w:rsidRPr="00BB71B4">
        <w:rPr>
          <w:rStyle w:val="TextoNormalCaracter"/>
        </w:rPr>
        <w:t xml:space="preserve">, f. 2; </w:t>
      </w:r>
      <w:hyperlink w:anchor="SENTENCIA_2015_134" w:history="1">
        <w:r w:rsidRPr="00BB71B4">
          <w:rPr>
            <w:rStyle w:val="TextoNormalCaracter"/>
          </w:rPr>
          <w:t>134/2015</w:t>
        </w:r>
      </w:hyperlink>
      <w:r w:rsidRPr="00BB71B4">
        <w:rPr>
          <w:rStyle w:val="TextoNormalCaracter"/>
        </w:rPr>
        <w:t xml:space="preserve">, f. 2; </w:t>
      </w:r>
      <w:hyperlink w:anchor="SENTENCIA_2015_135" w:history="1">
        <w:r w:rsidRPr="00BB71B4">
          <w:rPr>
            <w:rStyle w:val="TextoNormalCaracter"/>
          </w:rPr>
          <w:t>135/2015</w:t>
        </w:r>
      </w:hyperlink>
      <w:r w:rsidRPr="00BB71B4">
        <w:rPr>
          <w:rStyle w:val="TextoNormalCaracter"/>
        </w:rPr>
        <w:t xml:space="preserve">, f. 2; </w:t>
      </w:r>
      <w:hyperlink w:anchor="SENTENCIA_2015_144" w:history="1">
        <w:r w:rsidRPr="00BB71B4">
          <w:rPr>
            <w:rStyle w:val="TextoNormalCaracter"/>
          </w:rPr>
          <w:t>144/2015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497" w:name="DESCRIPTORALFABETICO154"/>
      <w:r w:rsidRPr="00BB71B4">
        <w:rPr>
          <w:rStyle w:val="TextoNormalNegritaCaracter"/>
        </w:rPr>
        <w:t>Limitaciones al ejercicio del derecho a la tutela judicial efectiva</w:t>
      </w:r>
      <w:bookmarkEnd w:id="1497"/>
      <w:r w:rsidRPr="00BB71B4">
        <w:rPr>
          <w:rStyle w:val="TextoNormalCaracter"/>
        </w:rPr>
        <w:t xml:space="preserve">, Sentencias </w:t>
      </w:r>
      <w:hyperlink w:anchor="SENTENCIA_2015_91" w:history="1">
        <w:r w:rsidRPr="00BB71B4">
          <w:rPr>
            <w:rStyle w:val="TextoNormalCaracter"/>
          </w:rPr>
          <w:t>91/2015</w:t>
        </w:r>
      </w:hyperlink>
      <w:r w:rsidRPr="00BB71B4">
        <w:rPr>
          <w:rStyle w:val="TextoNormalCaracter"/>
        </w:rPr>
        <w:t xml:space="preserve">, ff. 2, 3; </w:t>
      </w:r>
      <w:hyperlink w:anchor="SENTENCIA_2015_142" w:history="1">
        <w:r w:rsidRPr="00BB71B4">
          <w:rPr>
            <w:rStyle w:val="TextoNormalCaracter"/>
          </w:rPr>
          <w:t>142/2015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498" w:name="DESCRIPTORALFABETICO533"/>
      <w:r w:rsidRPr="00BB71B4">
        <w:rPr>
          <w:rStyle w:val="TextoNormalNegritaCaracter"/>
        </w:rPr>
        <w:t>Límite material de los decretos-leyes</w:t>
      </w:r>
      <w:bookmarkEnd w:id="1498"/>
      <w:r w:rsidRPr="00BB71B4">
        <w:rPr>
          <w:rStyle w:val="TextoNormalCaracter"/>
        </w:rPr>
        <w:t xml:space="preserve">, Sentencias </w:t>
      </w:r>
      <w:hyperlink w:anchor="SENTENCIA_2015_47" w:history="1">
        <w:r w:rsidRPr="00BB71B4">
          <w:rPr>
            <w:rStyle w:val="TextoNormalCaracter"/>
          </w:rPr>
          <w:t>47/2015</w:t>
        </w:r>
      </w:hyperlink>
      <w:r w:rsidRPr="00BB71B4">
        <w:rPr>
          <w:rStyle w:val="TextoNormalCaracter"/>
        </w:rPr>
        <w:t xml:space="preserve">, ff. 3, 5; </w:t>
      </w:r>
      <w:hyperlink w:anchor="SENTENCIA_2015_48" w:history="1">
        <w:r w:rsidRPr="00BB71B4">
          <w:rPr>
            <w:rStyle w:val="TextoNormalCaracter"/>
          </w:rPr>
          <w:t>48/2015</w:t>
        </w:r>
      </w:hyperlink>
      <w:r w:rsidRPr="00BB71B4">
        <w:rPr>
          <w:rStyle w:val="TextoNormalCaracter"/>
        </w:rPr>
        <w:t xml:space="preserve">, ff. 3 a 5; </w:t>
      </w:r>
      <w:hyperlink w:anchor="SENTENCIA_2015_81" w:history="1">
        <w:r w:rsidRPr="00BB71B4">
          <w:rPr>
            <w:rStyle w:val="TextoNormalCaracter"/>
          </w:rPr>
          <w:t>81/2015</w:t>
        </w:r>
      </w:hyperlink>
      <w:r w:rsidRPr="00BB71B4">
        <w:rPr>
          <w:rStyle w:val="TextoNormalCaracter"/>
        </w:rPr>
        <w:t xml:space="preserve">, f. 3; </w:t>
      </w:r>
      <w:hyperlink w:anchor="SENTENCIA_2015_93" w:history="1">
        <w:r w:rsidRPr="00BB71B4">
          <w:rPr>
            <w:rStyle w:val="TextoNormalCaracter"/>
          </w:rPr>
          <w:t>93/2015</w:t>
        </w:r>
      </w:hyperlink>
      <w:r w:rsidRPr="00BB71B4">
        <w:rPr>
          <w:rStyle w:val="TextoNormalCaracter"/>
        </w:rPr>
        <w:t xml:space="preserve">, ff. 5, 6, 12 a 14; </w:t>
      </w:r>
      <w:hyperlink w:anchor="SENTENCIA_2015_104" w:history="1">
        <w:r w:rsidRPr="00BB71B4">
          <w:rPr>
            <w:rStyle w:val="TextoNormalCaracter"/>
          </w:rPr>
          <w:t>104/2015</w:t>
        </w:r>
      </w:hyperlink>
      <w:r w:rsidRPr="00BB71B4">
        <w:rPr>
          <w:rStyle w:val="TextoNormalCaracter"/>
        </w:rPr>
        <w:t xml:space="preserve">, ff. 3 a 5; </w:t>
      </w:r>
      <w:hyperlink w:anchor="SENTENCIA_2015_105" w:history="1">
        <w:r w:rsidRPr="00BB71B4">
          <w:rPr>
            <w:rStyle w:val="TextoNormalCaracter"/>
          </w:rPr>
          <w:t>105/2015</w:t>
        </w:r>
      </w:hyperlink>
      <w:r w:rsidRPr="00BB71B4">
        <w:rPr>
          <w:rStyle w:val="TextoNormalCaracter"/>
        </w:rPr>
        <w:t xml:space="preserve">, f. 3; </w:t>
      </w:r>
      <w:hyperlink w:anchor="SENTENCIA_2015_106" w:history="1">
        <w:r w:rsidRPr="00BB71B4">
          <w:rPr>
            <w:rStyle w:val="TextoNormalCaracter"/>
          </w:rPr>
          <w:t>106/2015</w:t>
        </w:r>
      </w:hyperlink>
      <w:r w:rsidRPr="00BB71B4">
        <w:rPr>
          <w:rStyle w:val="TextoNormalCaracter"/>
        </w:rPr>
        <w:t xml:space="preserve">, f. 3; </w:t>
      </w:r>
      <w:hyperlink w:anchor="SENTENCIA_2015_107" w:history="1">
        <w:r w:rsidRPr="00BB71B4">
          <w:rPr>
            <w:rStyle w:val="TextoNormalCaracter"/>
          </w:rPr>
          <w:t>107/2015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499" w:name="DESCRIPTORALFABETICO49"/>
      <w:r w:rsidRPr="00BB71B4">
        <w:rPr>
          <w:rStyle w:val="TextoNormalNegritaCaracter"/>
        </w:rPr>
        <w:t>Límites a la autonomía financiera</w:t>
      </w:r>
      <w:bookmarkEnd w:id="1499"/>
      <w:r w:rsidRPr="00BB71B4">
        <w:rPr>
          <w:rStyle w:val="TextoNormalCaracter"/>
        </w:rPr>
        <w:t xml:space="preserve">, Sentencia </w:t>
      </w:r>
      <w:hyperlink w:anchor="SENTENCIA_2015_143" w:history="1">
        <w:r w:rsidRPr="00BB71B4">
          <w:rPr>
            <w:rStyle w:val="TextoNormalCaracter"/>
          </w:rPr>
          <w:t>143/2015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00" w:name="DESCRIPTORALFABETICO77"/>
      <w:r w:rsidRPr="00BB71B4">
        <w:rPr>
          <w:rStyle w:val="TextoNormalNegritaCaracter"/>
        </w:rPr>
        <w:t>Límites a la potestad tributaria autonómica</w:t>
      </w:r>
      <w:bookmarkEnd w:id="1500"/>
      <w:r w:rsidRPr="00BB71B4">
        <w:rPr>
          <w:rStyle w:val="TextoNormalCaracter"/>
        </w:rPr>
        <w:t xml:space="preserve">, Sentencias </w:t>
      </w:r>
      <w:hyperlink w:anchor="SENTENCIA_2015_30" w:history="1">
        <w:r w:rsidRPr="00BB71B4">
          <w:rPr>
            <w:rStyle w:val="TextoNormalCaracter"/>
          </w:rPr>
          <w:t>30/2015</w:t>
        </w:r>
      </w:hyperlink>
      <w:r w:rsidRPr="00BB71B4">
        <w:rPr>
          <w:rStyle w:val="TextoNormalCaracter"/>
        </w:rPr>
        <w:t xml:space="preserve">, f. 3; </w:t>
      </w:r>
      <w:hyperlink w:anchor="SENTENCIA_2015_108" w:history="1">
        <w:r w:rsidRPr="00BB71B4">
          <w:rPr>
            <w:rStyle w:val="TextoNormalCaracter"/>
          </w:rPr>
          <w:t>108/2015</w:t>
        </w:r>
      </w:hyperlink>
      <w:r w:rsidRPr="00BB71B4">
        <w:rPr>
          <w:rStyle w:val="TextoNormalCaracter"/>
        </w:rPr>
        <w:t xml:space="preserve">, ff. 3 a 5; </w:t>
      </w:r>
      <w:hyperlink w:anchor="SENTENCIA_2015_111" w:history="1">
        <w:r w:rsidRPr="00BB71B4">
          <w:rPr>
            <w:rStyle w:val="TextoNormalCaracter"/>
          </w:rPr>
          <w:t>111/2015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501" w:name="DESCRIPTORALFABETICO119"/>
      <w:r w:rsidRPr="00BB71B4">
        <w:rPr>
          <w:rStyle w:val="TextoNormalNegritaCaracter"/>
        </w:rPr>
        <w:t>Límites al derecho a la intimidad</w:t>
      </w:r>
      <w:bookmarkEnd w:id="1501"/>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 5.</w:t>
      </w:r>
    </w:p>
    <w:p w:rsidR="00BB71B4" w:rsidRPr="00BB71B4" w:rsidRDefault="00BB71B4" w:rsidP="00BB71B4">
      <w:pPr>
        <w:pStyle w:val="TextoNormalSangraFrancesa"/>
        <w:rPr>
          <w:rStyle w:val="TextoNormalCaracter"/>
        </w:rPr>
      </w:pPr>
      <w:bookmarkStart w:id="1502" w:name="DESCRIPTORALFABETICO132"/>
      <w:r w:rsidRPr="00BB71B4">
        <w:rPr>
          <w:rStyle w:val="TextoNormalNegritaCaracter"/>
        </w:rPr>
        <w:t>Límites al derecho a la negociación colectiva</w:t>
      </w:r>
      <w:bookmarkEnd w:id="1502"/>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 4 a); </w:t>
      </w:r>
      <w:hyperlink w:anchor="SENTENCIA_2015_140" w:history="1">
        <w:r w:rsidRPr="00BB71B4">
          <w:rPr>
            <w:rStyle w:val="TextoNormalCaracter"/>
          </w:rPr>
          <w:t>140/2015</w:t>
        </w:r>
      </w:hyperlink>
      <w:r w:rsidRPr="00BB71B4">
        <w:rPr>
          <w:rStyle w:val="TextoNormalCaracter"/>
        </w:rPr>
        <w:t>, f. 2 c).</w:t>
      </w:r>
    </w:p>
    <w:p w:rsidR="00BB71B4" w:rsidRPr="00BB71B4" w:rsidRDefault="00BB71B4" w:rsidP="00BB71B4">
      <w:pPr>
        <w:pStyle w:val="TextoNormalSangraFrancesa"/>
        <w:rPr>
          <w:rStyle w:val="TextoNormalCaracter"/>
        </w:rPr>
      </w:pPr>
      <w:bookmarkStart w:id="1503" w:name="DESCRIPTORALFABETICO193"/>
      <w:r w:rsidRPr="00BB71B4">
        <w:rPr>
          <w:rStyle w:val="TextoNormalNegritaCaracter"/>
        </w:rPr>
        <w:t>Límites al derecho de reunión y de manifestación</w:t>
      </w:r>
      <w:bookmarkEnd w:id="1503"/>
      <w:r w:rsidRPr="00BB71B4">
        <w:rPr>
          <w:rStyle w:val="TextoNormalCaracter"/>
        </w:rPr>
        <w:t xml:space="preserve">, Sentencia </w:t>
      </w:r>
      <w:hyperlink w:anchor="SENTENCIA_2015_24" w:history="1">
        <w:r w:rsidRPr="00BB71B4">
          <w:rPr>
            <w:rStyle w:val="TextoNormalCaracter"/>
          </w:rPr>
          <w:t>24/2015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504" w:name="DESCRIPTORALFABETICO551"/>
      <w:r w:rsidRPr="00BB71B4">
        <w:rPr>
          <w:rStyle w:val="TextoNormalNegritaCaracter"/>
        </w:rPr>
        <w:t>Límites materiales de las leyes de presupuestos</w:t>
      </w:r>
      <w:bookmarkEnd w:id="1504"/>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3 apartados d) a g); </w:t>
      </w:r>
      <w:hyperlink w:anchor="SENTENCIA_2015_108" w:history="1">
        <w:r w:rsidRPr="00BB71B4">
          <w:rPr>
            <w:rStyle w:val="TextoNormalCaracter"/>
          </w:rPr>
          <w:t>108/2015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505" w:name="DESCRIPTORALFABETICO461"/>
      <w:r w:rsidRPr="00BB71B4">
        <w:rPr>
          <w:rStyle w:val="TextoNormalNegritaCaracter"/>
        </w:rPr>
        <w:t>Litoral</w:t>
      </w:r>
      <w:bookmarkEnd w:id="1505"/>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1 a 3, 6 a 8, 13, 14, 16 a 21; </w:t>
      </w:r>
      <w:hyperlink w:anchor="SENTENCIA_2015_92" w:history="1">
        <w:r w:rsidRPr="00BB71B4">
          <w:rPr>
            <w:rStyle w:val="TextoNormalCaracter"/>
          </w:rPr>
          <w:t>92/2015</w:t>
        </w:r>
      </w:hyperlink>
      <w:r w:rsidRPr="00BB71B4">
        <w:rPr>
          <w:rStyle w:val="TextoNormalCaracter"/>
        </w:rPr>
        <w:t>, ff. 2, 4, 8, 10.</w:t>
      </w:r>
    </w:p>
    <w:p w:rsidR="00BB71B4" w:rsidRPr="00BB71B4" w:rsidRDefault="00BB71B4" w:rsidP="00BB71B4">
      <w:pPr>
        <w:pStyle w:val="TextoNormalSangraFrancesa"/>
        <w:rPr>
          <w:rStyle w:val="TextoNormalCaracter"/>
        </w:rPr>
      </w:pPr>
      <w:bookmarkStart w:id="1506" w:name="DESCRIPTORALFABETICO499"/>
      <w:r w:rsidRPr="00BB71B4">
        <w:rPr>
          <w:rStyle w:val="TextoNormalNegritaCaracter"/>
        </w:rPr>
        <w:t>Lugares públicos</w:t>
      </w:r>
      <w:bookmarkEnd w:id="1506"/>
      <w:r w:rsidRPr="00BB71B4">
        <w:rPr>
          <w:rStyle w:val="TextoNormalCaracter"/>
        </w:rPr>
        <w:t xml:space="preserve">, Sentencias </w:t>
      </w:r>
      <w:hyperlink w:anchor="SENTENCIA_2015_18" w:history="1">
        <w:r w:rsidRPr="00BB71B4">
          <w:rPr>
            <w:rStyle w:val="TextoNormalCaracter"/>
          </w:rPr>
          <w:t>18/2015</w:t>
        </w:r>
      </w:hyperlink>
      <w:r w:rsidRPr="00BB71B4">
        <w:rPr>
          <w:rStyle w:val="TextoNormalCaracter"/>
        </w:rPr>
        <w:t xml:space="preserve">, ff. 4 a 7; </w:t>
      </w:r>
      <w:hyperlink w:anchor="SENTENCIA_2015_24" w:history="1">
        <w:r w:rsidRPr="00BB71B4">
          <w:rPr>
            <w:rStyle w:val="TextoNormalCaracter"/>
          </w:rPr>
          <w:t>24/2015</w:t>
        </w:r>
      </w:hyperlink>
      <w:r w:rsidRPr="00BB71B4">
        <w:rPr>
          <w:rStyle w:val="TextoNormalCaracter"/>
        </w:rPr>
        <w:t>, ff. 2 a 4.</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M</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507" w:name="DESCRIPTORALFABETICO743"/>
      <w:r w:rsidRPr="00BB71B4">
        <w:rPr>
          <w:rStyle w:val="TextoNormalNegritaCaracter"/>
        </w:rPr>
        <w:t>Madrid</w:t>
      </w:r>
      <w:bookmarkEnd w:id="1507"/>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1 a 5, 9.</w:t>
      </w:r>
    </w:p>
    <w:p w:rsidR="00BB71B4" w:rsidRPr="00BB71B4" w:rsidRDefault="00BB71B4" w:rsidP="00BB71B4">
      <w:pPr>
        <w:pStyle w:val="TextoNormalSangraFrancesa"/>
        <w:rPr>
          <w:rStyle w:val="TextoNormalCaracter"/>
        </w:rPr>
      </w:pPr>
      <w:bookmarkStart w:id="1508" w:name="DESCRIPTORALFABETICO238"/>
      <w:r w:rsidRPr="00BB71B4">
        <w:rPr>
          <w:rStyle w:val="TextoNormalNegritaCaracter"/>
        </w:rPr>
        <w:t>Mantenimiento de la suspensión de disposiciones de las Comunidades Autónomas</w:t>
      </w:r>
      <w:bookmarkEnd w:id="1508"/>
      <w:r w:rsidRPr="00BB71B4">
        <w:rPr>
          <w:rStyle w:val="TextoNormalCaracter"/>
        </w:rPr>
        <w:t xml:space="preserve">, Auto </w:t>
      </w:r>
      <w:hyperlink w:anchor="AUTO_2015_32" w:history="1">
        <w:r w:rsidRPr="00BB71B4">
          <w:rPr>
            <w:rStyle w:val="TextoNormalCaracter"/>
          </w:rPr>
          <w:t>32/2015</w:t>
        </w:r>
      </w:hyperlink>
      <w:r w:rsidRPr="00BB71B4">
        <w:rPr>
          <w:rStyle w:val="TextoNormalCaracter"/>
        </w:rPr>
        <w:t>, f. 7.</w:t>
      </w:r>
    </w:p>
    <w:p w:rsidR="00BB71B4" w:rsidRPr="00BB71B4" w:rsidRDefault="00BB71B4" w:rsidP="00BB71B4">
      <w:pPr>
        <w:pStyle w:val="TextoNormalSangraFrancesa"/>
        <w:rPr>
          <w:rStyle w:val="TextoNormalCaracter"/>
        </w:rPr>
      </w:pPr>
      <w:bookmarkStart w:id="1509" w:name="DESCRIPTORALFABETICO232"/>
      <w:r w:rsidRPr="00BB71B4">
        <w:rPr>
          <w:rStyle w:val="TextoNormalNegritaCaracter"/>
        </w:rPr>
        <w:t>Mantenimiento de la suspensión del acto que origina el amparo</w:t>
      </w:r>
      <w:bookmarkEnd w:id="1509"/>
      <w:r w:rsidRPr="00BB71B4">
        <w:rPr>
          <w:rStyle w:val="TextoNormalCaracter"/>
        </w:rPr>
        <w:t xml:space="preserve">, Auto </w:t>
      </w:r>
      <w:hyperlink w:anchor="AUTO_2015_92" w:history="1">
        <w:r w:rsidRPr="00BB71B4">
          <w:rPr>
            <w:rStyle w:val="TextoNormalCaracter"/>
          </w:rPr>
          <w:t>92/2015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510" w:name="DESCRIPTORALFABETICO68"/>
      <w:r w:rsidRPr="00BB71B4">
        <w:rPr>
          <w:rStyle w:val="TextoNormalNegritaCaracter"/>
        </w:rPr>
        <w:t>Materia imponible</w:t>
      </w:r>
      <w:bookmarkEnd w:id="1510"/>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511" w:name="DESCRIPTORALFABETICO496"/>
      <w:r w:rsidRPr="00BB71B4">
        <w:rPr>
          <w:rStyle w:val="TextoNormalNegritaCaracter"/>
        </w:rPr>
        <w:t>Mecanismos de prevención de la tortura</w:t>
      </w:r>
      <w:bookmarkEnd w:id="1511"/>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ff. 4 a 6.</w:t>
      </w:r>
    </w:p>
    <w:p w:rsidR="00BB71B4" w:rsidRPr="00BB71B4" w:rsidRDefault="00BB71B4" w:rsidP="00BB71B4">
      <w:pPr>
        <w:pStyle w:val="TextoNormalSangraFrancesa"/>
        <w:rPr>
          <w:rStyle w:val="TextoNormalCaracter"/>
        </w:rPr>
      </w:pPr>
      <w:bookmarkStart w:id="1512" w:name="DESCRIPTORALFABETICO604"/>
      <w:r w:rsidRPr="00BB71B4">
        <w:rPr>
          <w:rStyle w:val="TextoNormalNegritaCaracter"/>
        </w:rPr>
        <w:t>Medicamentos</w:t>
      </w:r>
      <w:bookmarkEnd w:id="1512"/>
      <w:r w:rsidRPr="00BB71B4">
        <w:rPr>
          <w:rStyle w:val="TextoNormalCaracter"/>
        </w:rPr>
        <w:t xml:space="preserve">, Sentencia </w:t>
      </w:r>
      <w:hyperlink w:anchor="SENTENCIA_2015_6" w:history="1">
        <w:r w:rsidRPr="00BB71B4">
          <w:rPr>
            <w:rStyle w:val="TextoNormalCaracter"/>
          </w:rPr>
          <w:t>6/2015</w:t>
        </w:r>
      </w:hyperlink>
      <w:r w:rsidRPr="00BB71B4">
        <w:rPr>
          <w:rStyle w:val="TextoNormalCaracter"/>
        </w:rPr>
        <w:t>, ff. 1, 2 b).</w:t>
      </w:r>
    </w:p>
    <w:p w:rsidR="00BB71B4" w:rsidRPr="00BB71B4" w:rsidRDefault="00BB71B4" w:rsidP="00BB71B4">
      <w:pPr>
        <w:pStyle w:val="TextoNormalSangraFrancesa"/>
        <w:rPr>
          <w:rStyle w:val="TextoNormalCaracter"/>
        </w:rPr>
      </w:pPr>
      <w:bookmarkStart w:id="1513" w:name="DESCRIPTORALFABETICO478"/>
      <w:r w:rsidRPr="00BB71B4">
        <w:rPr>
          <w:rStyle w:val="TextoNormalNegritaCaracter"/>
        </w:rPr>
        <w:t>Medidas de carácter expropiatorio</w:t>
      </w:r>
      <w:bookmarkEnd w:id="1513"/>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4 a 6; </w:t>
      </w:r>
      <w:hyperlink w:anchor="SENTENCIA_2015_95" w:history="1">
        <w:r w:rsidRPr="00BB71B4">
          <w:rPr>
            <w:rStyle w:val="TextoNormalCaracter"/>
          </w:rPr>
          <w:t>95/2015</w:t>
        </w:r>
      </w:hyperlink>
      <w:r w:rsidRPr="00BB71B4">
        <w:rPr>
          <w:rStyle w:val="TextoNormalCaracter"/>
        </w:rPr>
        <w:t xml:space="preserve">, f. 2; </w:t>
      </w:r>
      <w:hyperlink w:anchor="SENTENCIA_2015_109" w:history="1">
        <w:r w:rsidRPr="00BB71B4">
          <w:rPr>
            <w:rStyle w:val="TextoNormalCaracter"/>
          </w:rPr>
          <w:t>109/2015</w:t>
        </w:r>
      </w:hyperlink>
      <w:r w:rsidRPr="00BB71B4">
        <w:rPr>
          <w:rStyle w:val="TextoNormalCaracter"/>
        </w:rPr>
        <w:t xml:space="preserve">, f. 2; </w:t>
      </w:r>
      <w:hyperlink w:anchor="SENTENCIA_2015_116" w:history="1">
        <w:r w:rsidRPr="00BB71B4">
          <w:rPr>
            <w:rStyle w:val="TextoNormalCaracter"/>
          </w:rPr>
          <w:t>116/2015</w:t>
        </w:r>
      </w:hyperlink>
      <w:r w:rsidRPr="00BB71B4">
        <w:rPr>
          <w:rStyle w:val="TextoNormalCaracter"/>
        </w:rPr>
        <w:t xml:space="preserve">, f. 2; </w:t>
      </w:r>
      <w:hyperlink w:anchor="SENTENCIA_2015_117" w:history="1">
        <w:r w:rsidRPr="00BB71B4">
          <w:rPr>
            <w:rStyle w:val="TextoNormalCaracter"/>
          </w:rPr>
          <w:t>117/2015</w:t>
        </w:r>
      </w:hyperlink>
      <w:r w:rsidRPr="00BB71B4">
        <w:rPr>
          <w:rStyle w:val="TextoNormalCaracter"/>
        </w:rPr>
        <w:t xml:space="preserve">, f. 2; </w:t>
      </w:r>
      <w:hyperlink w:anchor="SENTENCIA_2015_119" w:history="1">
        <w:r w:rsidRPr="00BB71B4">
          <w:rPr>
            <w:rStyle w:val="TextoNormalCaracter"/>
          </w:rPr>
          <w:t>119/2015</w:t>
        </w:r>
      </w:hyperlink>
      <w:r w:rsidRPr="00BB71B4">
        <w:rPr>
          <w:rStyle w:val="TextoNormalCaracter"/>
        </w:rPr>
        <w:t xml:space="preserve">, f. 2; </w:t>
      </w:r>
      <w:hyperlink w:anchor="SENTENCIA_2015_120" w:history="1">
        <w:r w:rsidRPr="00BB71B4">
          <w:rPr>
            <w:rStyle w:val="TextoNormalCaracter"/>
          </w:rPr>
          <w:t>120/2015</w:t>
        </w:r>
      </w:hyperlink>
      <w:r w:rsidRPr="00BB71B4">
        <w:rPr>
          <w:rStyle w:val="TextoNormalCaracter"/>
        </w:rPr>
        <w:t xml:space="preserve">, f. 2; </w:t>
      </w:r>
      <w:hyperlink w:anchor="SENTENCIA_2015_125" w:history="1">
        <w:r w:rsidRPr="00BB71B4">
          <w:rPr>
            <w:rStyle w:val="TextoNormalCaracter"/>
          </w:rPr>
          <w:t>125/2015</w:t>
        </w:r>
      </w:hyperlink>
      <w:r w:rsidRPr="00BB71B4">
        <w:rPr>
          <w:rStyle w:val="TextoNormalCaracter"/>
        </w:rPr>
        <w:t xml:space="preserve">, f. 2; </w:t>
      </w:r>
      <w:hyperlink w:anchor="SENTENCIA_2015_126" w:history="1">
        <w:r w:rsidRPr="00BB71B4">
          <w:rPr>
            <w:rStyle w:val="TextoNormalCaracter"/>
          </w:rPr>
          <w:t>126/2015</w:t>
        </w:r>
      </w:hyperlink>
      <w:r w:rsidRPr="00BB71B4">
        <w:rPr>
          <w:rStyle w:val="TextoNormalCaracter"/>
        </w:rPr>
        <w:t xml:space="preserve">, f. 2; </w:t>
      </w:r>
      <w:hyperlink w:anchor="SENTENCIA_2015_127" w:history="1">
        <w:r w:rsidRPr="00BB71B4">
          <w:rPr>
            <w:rStyle w:val="TextoNormalCaracter"/>
          </w:rPr>
          <w:t>127/2015</w:t>
        </w:r>
      </w:hyperlink>
      <w:r w:rsidRPr="00BB71B4">
        <w:rPr>
          <w:rStyle w:val="TextoNormalCaracter"/>
        </w:rPr>
        <w:t xml:space="preserve">, f. 2; </w:t>
      </w:r>
      <w:hyperlink w:anchor="SENTENCIA_2015_129" w:history="1">
        <w:r w:rsidRPr="00BB71B4">
          <w:rPr>
            <w:rStyle w:val="TextoNormalCaracter"/>
          </w:rPr>
          <w:t>129/2015</w:t>
        </w:r>
      </w:hyperlink>
      <w:r w:rsidRPr="00BB71B4">
        <w:rPr>
          <w:rStyle w:val="TextoNormalCaracter"/>
        </w:rPr>
        <w:t xml:space="preserve">, f. 2; </w:t>
      </w:r>
      <w:hyperlink w:anchor="SENTENCIA_2015_131" w:history="1">
        <w:r w:rsidRPr="00BB71B4">
          <w:rPr>
            <w:rStyle w:val="TextoNormalCaracter"/>
          </w:rPr>
          <w:t>131/2015</w:t>
        </w:r>
      </w:hyperlink>
      <w:r w:rsidRPr="00BB71B4">
        <w:rPr>
          <w:rStyle w:val="TextoNormalCaracter"/>
        </w:rPr>
        <w:t xml:space="preserve">, f. 2; </w:t>
      </w:r>
      <w:hyperlink w:anchor="SENTENCIA_2015_133" w:history="1">
        <w:r w:rsidRPr="00BB71B4">
          <w:rPr>
            <w:rStyle w:val="TextoNormalCaracter"/>
          </w:rPr>
          <w:t>133/2015</w:t>
        </w:r>
      </w:hyperlink>
      <w:r w:rsidRPr="00BB71B4">
        <w:rPr>
          <w:rStyle w:val="TextoNormalCaracter"/>
        </w:rPr>
        <w:t xml:space="preserve">, f. 2; </w:t>
      </w:r>
      <w:hyperlink w:anchor="SENTENCIA_2015_134" w:history="1">
        <w:r w:rsidRPr="00BB71B4">
          <w:rPr>
            <w:rStyle w:val="TextoNormalCaracter"/>
          </w:rPr>
          <w:t>134/2015</w:t>
        </w:r>
      </w:hyperlink>
      <w:r w:rsidRPr="00BB71B4">
        <w:rPr>
          <w:rStyle w:val="TextoNormalCaracter"/>
        </w:rPr>
        <w:t xml:space="preserve">, f. 2; </w:t>
      </w:r>
      <w:hyperlink w:anchor="SENTENCIA_2015_135" w:history="1">
        <w:r w:rsidRPr="00BB71B4">
          <w:rPr>
            <w:rStyle w:val="TextoNormalCaracter"/>
          </w:rPr>
          <w:t>135/2015</w:t>
        </w:r>
      </w:hyperlink>
      <w:r w:rsidRPr="00BB71B4">
        <w:rPr>
          <w:rStyle w:val="TextoNormalCaracter"/>
        </w:rPr>
        <w:t xml:space="preserve">, f. 2; </w:t>
      </w:r>
      <w:hyperlink w:anchor="SENTENCIA_2015_144" w:history="1">
        <w:r w:rsidRPr="00BB71B4">
          <w:rPr>
            <w:rStyle w:val="TextoNormalCaracter"/>
          </w:rPr>
          <w:t>144/2015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14" w:name="DESCRIPTORALFABETICO574"/>
      <w:r w:rsidRPr="00BB71B4">
        <w:rPr>
          <w:rStyle w:val="TextoNormalNegritaCaracter"/>
        </w:rPr>
        <w:t>Menores</w:t>
      </w:r>
      <w:bookmarkEnd w:id="1514"/>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 1.</w:t>
      </w:r>
    </w:p>
    <w:p w:rsidR="00BB71B4" w:rsidRPr="00BB71B4" w:rsidRDefault="00BB71B4" w:rsidP="00BB71B4">
      <w:pPr>
        <w:pStyle w:val="TextoNormalSangraFrancesa"/>
        <w:rPr>
          <w:rStyle w:val="TextoNormalCaracter"/>
        </w:rPr>
      </w:pPr>
      <w:bookmarkStart w:id="1515" w:name="DESCRIPTORALFABETICO540"/>
      <w:r w:rsidRPr="00BB71B4">
        <w:rPr>
          <w:rStyle w:val="TextoNormalNegritaCaracter"/>
        </w:rPr>
        <w:t>Modificación de la legislación básica</w:t>
      </w:r>
      <w:bookmarkEnd w:id="1515"/>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16" w:name="DESCRIPTORALFABETICO429"/>
      <w:r w:rsidRPr="00BB71B4">
        <w:rPr>
          <w:rStyle w:val="TextoNormalNegritaCaracter"/>
        </w:rPr>
        <w:t>Modos de gestión de servicios públicos</w:t>
      </w:r>
      <w:bookmarkEnd w:id="1516"/>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 5.</w:t>
      </w:r>
    </w:p>
    <w:p w:rsidR="00BB71B4" w:rsidRPr="00BB71B4" w:rsidRDefault="00BB71B4" w:rsidP="00BB71B4">
      <w:pPr>
        <w:pStyle w:val="TextoNormalSangraFrancesa"/>
        <w:rPr>
          <w:rStyle w:val="TextoNormalCaracter"/>
        </w:rPr>
      </w:pPr>
      <w:bookmarkStart w:id="1517" w:name="DESCRIPTORALFABETICO537"/>
      <w:r w:rsidRPr="00BB71B4">
        <w:rPr>
          <w:rStyle w:val="TextoNormalNegritaCaracter"/>
        </w:rPr>
        <w:t>Motivación de la extraordinaria y urgente necesidad</w:t>
      </w:r>
      <w:bookmarkEnd w:id="1517"/>
      <w:r w:rsidRPr="00BB71B4">
        <w:rPr>
          <w:rStyle w:val="TextoNormalCaracter"/>
        </w:rPr>
        <w:t xml:space="preserve">, Sentencias </w:t>
      </w:r>
      <w:hyperlink w:anchor="SENTENCIA_2015_27" w:history="1">
        <w:r w:rsidRPr="00BB71B4">
          <w:rPr>
            <w:rStyle w:val="TextoNormalCaracter"/>
          </w:rPr>
          <w:t>27/2015</w:t>
        </w:r>
      </w:hyperlink>
      <w:r w:rsidRPr="00BB71B4">
        <w:rPr>
          <w:rStyle w:val="TextoNormalCaracter"/>
        </w:rPr>
        <w:t xml:space="preserve">, ff. 4, 5; </w:t>
      </w:r>
      <w:hyperlink w:anchor="SENTENCIA_2015_28" w:history="1">
        <w:r w:rsidRPr="00BB71B4">
          <w:rPr>
            <w:rStyle w:val="TextoNormalCaracter"/>
          </w:rPr>
          <w:t>28/2015</w:t>
        </w:r>
      </w:hyperlink>
      <w:r w:rsidRPr="00BB71B4">
        <w:rPr>
          <w:rStyle w:val="TextoNormalCaracter"/>
        </w:rPr>
        <w:t xml:space="preserve">, f. 3; </w:t>
      </w:r>
      <w:hyperlink w:anchor="SENTENCIA_2015_29" w:history="1">
        <w:r w:rsidRPr="00BB71B4">
          <w:rPr>
            <w:rStyle w:val="TextoNormalCaracter"/>
          </w:rPr>
          <w:t>29/2015</w:t>
        </w:r>
      </w:hyperlink>
      <w:r w:rsidRPr="00BB71B4">
        <w:rPr>
          <w:rStyle w:val="TextoNormalCaracter"/>
        </w:rPr>
        <w:t xml:space="preserve">, ff. 3 a 5; </w:t>
      </w:r>
      <w:hyperlink w:anchor="SENTENCIA_2015_81" w:history="1">
        <w:r w:rsidRPr="00BB71B4">
          <w:rPr>
            <w:rStyle w:val="TextoNormalCaracter"/>
          </w:rPr>
          <w:t>81/2015</w:t>
        </w:r>
      </w:hyperlink>
      <w:r w:rsidRPr="00BB71B4">
        <w:rPr>
          <w:rStyle w:val="TextoNormalCaracter"/>
        </w:rPr>
        <w:t xml:space="preserve">, ff. 3 a 5; </w:t>
      </w:r>
      <w:hyperlink w:anchor="SENTENCIA_2015_93" w:history="1">
        <w:r w:rsidRPr="00BB71B4">
          <w:rPr>
            <w:rStyle w:val="TextoNormalCaracter"/>
          </w:rPr>
          <w:t>93/2015</w:t>
        </w:r>
      </w:hyperlink>
      <w:r w:rsidRPr="00BB71B4">
        <w:rPr>
          <w:rStyle w:val="TextoNormalCaracter"/>
        </w:rPr>
        <w:t xml:space="preserve">, ff. 7 a 9; </w:t>
      </w:r>
      <w:hyperlink w:anchor="SENTENCIA_2015_104" w:history="1">
        <w:r w:rsidRPr="00BB71B4">
          <w:rPr>
            <w:rStyle w:val="TextoNormalCaracter"/>
          </w:rPr>
          <w:t>104/2015</w:t>
        </w:r>
      </w:hyperlink>
      <w:r w:rsidRPr="00BB71B4">
        <w:rPr>
          <w:rStyle w:val="TextoNormalCaracter"/>
        </w:rPr>
        <w:t xml:space="preserve">, ff. 1 a 5; </w:t>
      </w:r>
      <w:hyperlink w:anchor="SENTENCIA_2015_136" w:history="1">
        <w:r w:rsidRPr="00BB71B4">
          <w:rPr>
            <w:rStyle w:val="TextoNormalCaracter"/>
          </w:rPr>
          <w:t>136/2015</w:t>
        </w:r>
      </w:hyperlink>
      <w:r w:rsidRPr="00BB71B4">
        <w:rPr>
          <w:rStyle w:val="TextoNormalCaracter"/>
        </w:rPr>
        <w:t>, ff. 3 a 6.</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101" w:history="1">
        <w:r w:rsidRPr="00BB71B4">
          <w:rPr>
            <w:rStyle w:val="TextoNormalCaracter"/>
          </w:rPr>
          <w:t>101/2015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518" w:name="DESCRIPTORALFABETICO125"/>
      <w:r w:rsidRPr="00BB71B4">
        <w:rPr>
          <w:rStyle w:val="TextoNormalNegritaCaracter"/>
        </w:rPr>
        <w:t xml:space="preserve">Motivación de la inadmisión a trámite de </w:t>
      </w:r>
      <w:r w:rsidRPr="00BB71B4">
        <w:rPr>
          <w:rStyle w:val="TextoNormalNegritaCaracter"/>
          <w:i/>
        </w:rPr>
        <w:t>habeas corpus</w:t>
      </w:r>
      <w:bookmarkEnd w:id="1518"/>
      <w:r w:rsidRPr="00BB71B4">
        <w:rPr>
          <w:rStyle w:val="TextoNormalCaracter"/>
        </w:rPr>
        <w:t xml:space="preserve">, Sentencia </w:t>
      </w:r>
      <w:hyperlink w:anchor="SENTENCIA_2015_42" w:history="1">
        <w:r w:rsidRPr="00BB71B4">
          <w:rPr>
            <w:rStyle w:val="TextoNormalCaracter"/>
          </w:rPr>
          <w:t>42/2015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519" w:name="DESCRIPTORALFABETICO407"/>
      <w:r w:rsidRPr="00BB71B4">
        <w:rPr>
          <w:rStyle w:val="TextoNormalNegritaCaracter"/>
        </w:rPr>
        <w:t>Motivación de las resoluciones administrativas</w:t>
      </w:r>
      <w:bookmarkEnd w:id="1519"/>
      <w:r w:rsidRPr="00BB71B4">
        <w:rPr>
          <w:rStyle w:val="TextoNormalCaracter"/>
        </w:rPr>
        <w:t xml:space="preserve">, Sentencia </w:t>
      </w:r>
      <w:hyperlink w:anchor="SENTENCIA_2015_21" w:history="1">
        <w:r w:rsidRPr="00BB71B4">
          <w:rPr>
            <w:rStyle w:val="TextoNormalCaracter"/>
          </w:rPr>
          <w:t>21/2015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20" w:name="DESCRIPTORALFABETICO155"/>
      <w:r w:rsidRPr="00BB71B4">
        <w:rPr>
          <w:rStyle w:val="TextoNormalNegritaCaracter"/>
        </w:rPr>
        <w:t>Motivación de las resoluciones judiciales</w:t>
      </w:r>
      <w:bookmarkEnd w:id="152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63" w:history="1">
        <w:r w:rsidRPr="00BB71B4">
          <w:rPr>
            <w:rStyle w:val="TextoNormalCaracter"/>
          </w:rPr>
          <w:t>63/2015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521" w:name="DESCRIPTORALFABETICO159"/>
      <w:r w:rsidRPr="00BB71B4">
        <w:rPr>
          <w:rStyle w:val="TextoNormalNegritaCaracter"/>
        </w:rPr>
        <w:t>Motivación de las sentencias</w:t>
      </w:r>
      <w:bookmarkEnd w:id="1521"/>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ff. 3 a 5, 8.</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 </w:t>
      </w:r>
      <w:hyperlink w:anchor="SENTENCIA_2015_55" w:history="1">
        <w:r w:rsidRPr="00BB71B4">
          <w:rPr>
            <w:rStyle w:val="TextoNormalCaracter"/>
          </w:rPr>
          <w:t>55/2015</w:t>
        </w:r>
      </w:hyperlink>
      <w:r w:rsidRPr="00BB71B4">
        <w:rPr>
          <w:rStyle w:val="TextoNormalCaracter"/>
        </w:rPr>
        <w:t>, f. 5.</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101" w:history="1">
        <w:r w:rsidRPr="00BB71B4">
          <w:rPr>
            <w:rStyle w:val="TextoNormalCaracter"/>
          </w:rPr>
          <w:t>101/2015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522" w:name="DESCRIPTORALFABETICO160"/>
      <w:r w:rsidRPr="00BB71B4">
        <w:rPr>
          <w:rStyle w:val="TextoNormalNegritaCaracter"/>
        </w:rPr>
        <w:t>Motivación de las sentencias absolutorias</w:t>
      </w:r>
      <w:bookmarkEnd w:id="1522"/>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ff. 4 a 6, 8.</w:t>
      </w:r>
    </w:p>
    <w:p w:rsidR="00BB71B4" w:rsidRPr="00BB71B4" w:rsidRDefault="00BB71B4" w:rsidP="00BB71B4">
      <w:pPr>
        <w:pStyle w:val="TextoNormalSangraFrancesa"/>
        <w:rPr>
          <w:rStyle w:val="TextoNormalCaracter"/>
        </w:rPr>
      </w:pPr>
      <w:bookmarkStart w:id="1523" w:name="DESCRIPTORALFABETICO161"/>
      <w:r w:rsidRPr="00BB71B4">
        <w:rPr>
          <w:rStyle w:val="TextoNormalNegritaCaracter"/>
        </w:rPr>
        <w:t>Motivación de las sentencias condenatorias</w:t>
      </w:r>
      <w:bookmarkEnd w:id="1523"/>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ff. 4 a 6, 8.</w:t>
      </w:r>
    </w:p>
    <w:p w:rsidR="00BB71B4" w:rsidRPr="00BB71B4" w:rsidRDefault="00BB71B4" w:rsidP="00BB71B4">
      <w:pPr>
        <w:pStyle w:val="TextoNormalSangraFrancesa"/>
        <w:rPr>
          <w:rStyle w:val="TextoNormalCaracter"/>
        </w:rPr>
      </w:pPr>
      <w:bookmarkStart w:id="1524" w:name="DESCRIPTORALFABETICO218"/>
      <w:r w:rsidRPr="00BB71B4">
        <w:rPr>
          <w:rStyle w:val="TextoNormalNegritaCaracter"/>
        </w:rPr>
        <w:t>Motivación de resoluciones restrictivas de derechos fundamentales</w:t>
      </w:r>
      <w:bookmarkEnd w:id="1524"/>
      <w:r w:rsidRPr="00BB71B4">
        <w:rPr>
          <w:rStyle w:val="TextoNormalCaracter"/>
        </w:rPr>
        <w:t xml:space="preserve">, Sentencia </w:t>
      </w:r>
      <w:hyperlink w:anchor="SENTENCIA_2015_24" w:history="1">
        <w:r w:rsidRPr="00BB71B4">
          <w:rPr>
            <w:rStyle w:val="TextoNormalCaracter"/>
          </w:rPr>
          <w:t>24/2015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525" w:name="DESCRIPTORALFABETICO163"/>
      <w:r w:rsidRPr="00BB71B4">
        <w:rPr>
          <w:rStyle w:val="TextoNormalNegritaCaracter"/>
        </w:rPr>
        <w:t>Motivación insuficiente de resoluciones judiciales</w:t>
      </w:r>
      <w:bookmarkEnd w:id="1525"/>
      <w:r w:rsidRPr="00BB71B4">
        <w:rPr>
          <w:rStyle w:val="TextoNormalCaracter"/>
        </w:rPr>
        <w:t xml:space="preserve">, Sentencias </w:t>
      </w:r>
      <w:hyperlink w:anchor="SENTENCIA_2015_91" w:history="1">
        <w:r w:rsidRPr="00BB71B4">
          <w:rPr>
            <w:rStyle w:val="TextoNormalCaracter"/>
          </w:rPr>
          <w:t>91/2015</w:t>
        </w:r>
      </w:hyperlink>
      <w:r w:rsidRPr="00BB71B4">
        <w:rPr>
          <w:rStyle w:val="TextoNormalCaracter"/>
        </w:rPr>
        <w:t xml:space="preserve">, ff. 2, 3; </w:t>
      </w:r>
      <w:hyperlink w:anchor="SENTENCIA_2015_96" w:history="1">
        <w:r w:rsidRPr="00BB71B4">
          <w:rPr>
            <w:rStyle w:val="TextoNormalCaracter"/>
          </w:rPr>
          <w:t>96/2015</w:t>
        </w:r>
      </w:hyperlink>
      <w:r w:rsidRPr="00BB71B4">
        <w:rPr>
          <w:rStyle w:val="TextoNormalCaracter"/>
        </w:rPr>
        <w:t xml:space="preserve">, f. 3; </w:t>
      </w:r>
      <w:hyperlink w:anchor="SENTENCIA_2015_98" w:history="1">
        <w:r w:rsidRPr="00BB71B4">
          <w:rPr>
            <w:rStyle w:val="TextoNormalCaracter"/>
          </w:rPr>
          <w:t>98/2015</w:t>
        </w:r>
      </w:hyperlink>
      <w:r w:rsidRPr="00BB71B4">
        <w:rPr>
          <w:rStyle w:val="TextoNormalCaracter"/>
        </w:rPr>
        <w:t xml:space="preserve">, f. 4; </w:t>
      </w:r>
      <w:hyperlink w:anchor="SENTENCIA_2015_101" w:history="1">
        <w:r w:rsidRPr="00BB71B4">
          <w:rPr>
            <w:rStyle w:val="TextoNormalCaracter"/>
          </w:rPr>
          <w:t>101/2015</w:t>
        </w:r>
      </w:hyperlink>
      <w:r w:rsidRPr="00BB71B4">
        <w:rPr>
          <w:rStyle w:val="TextoNormalCaracter"/>
        </w:rPr>
        <w:t xml:space="preserve">, f. 5; </w:t>
      </w:r>
      <w:hyperlink w:anchor="SENTENCIA_2015_142" w:history="1">
        <w:r w:rsidRPr="00BB71B4">
          <w:rPr>
            <w:rStyle w:val="TextoNormalCaracter"/>
          </w:rPr>
          <w:t>142/2015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526" w:name="DESCRIPTORALFABETICO164"/>
      <w:r w:rsidRPr="00BB71B4">
        <w:rPr>
          <w:rStyle w:val="TextoNormalNegritaCaracter"/>
        </w:rPr>
        <w:t>Motivación suficiente de resoluciones judiciales</w:t>
      </w:r>
      <w:bookmarkEnd w:id="1526"/>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527" w:name="DESCRIPTORALFABETICO162"/>
      <w:r w:rsidRPr="00BB71B4">
        <w:rPr>
          <w:rStyle w:val="TextoNormalNegritaCaracter"/>
        </w:rPr>
        <w:t>Motivación suficiente de sentencias</w:t>
      </w:r>
      <w:bookmarkEnd w:id="1527"/>
      <w:r w:rsidRPr="00BB71B4">
        <w:rPr>
          <w:rStyle w:val="TextoNormalCaracter"/>
        </w:rPr>
        <w:t xml:space="preserve">, Sentencias </w:t>
      </w:r>
      <w:hyperlink w:anchor="SENTENCIA_2015_55" w:history="1">
        <w:r w:rsidRPr="00BB71B4">
          <w:rPr>
            <w:rStyle w:val="TextoNormalCaracter"/>
          </w:rPr>
          <w:t>55/2015</w:t>
        </w:r>
      </w:hyperlink>
      <w:r w:rsidRPr="00BB71B4">
        <w:rPr>
          <w:rStyle w:val="TextoNormalCaracter"/>
        </w:rPr>
        <w:t xml:space="preserve">, f. 5; </w:t>
      </w:r>
      <w:hyperlink w:anchor="SENTENCIA_2015_112" w:history="1">
        <w:r w:rsidRPr="00BB71B4">
          <w:rPr>
            <w:rStyle w:val="TextoNormalCaracter"/>
          </w:rPr>
          <w:t>112/2015</w:t>
        </w:r>
      </w:hyperlink>
      <w:r w:rsidRPr="00BB71B4">
        <w:rPr>
          <w:rStyle w:val="TextoNormalCaracter"/>
        </w:rPr>
        <w:t>, f. 6, 8.</w:t>
      </w:r>
    </w:p>
    <w:p w:rsidR="00BB71B4" w:rsidRPr="00BB71B4" w:rsidRDefault="00BB71B4" w:rsidP="00BB71B4">
      <w:pPr>
        <w:pStyle w:val="TextoNormalSangraFrancesa"/>
        <w:rPr>
          <w:rStyle w:val="TextoNormalCaracter"/>
        </w:rPr>
      </w:pPr>
      <w:bookmarkStart w:id="1528" w:name="DESCRIPTORALFABETICO452"/>
      <w:r w:rsidRPr="00BB71B4">
        <w:rPr>
          <w:rStyle w:val="TextoNormalNegritaCaracter"/>
        </w:rPr>
        <w:t>Multas de tráfico</w:t>
      </w:r>
      <w:bookmarkEnd w:id="1528"/>
      <w:r w:rsidRPr="00BB71B4">
        <w:rPr>
          <w:rStyle w:val="TextoNormalCaracter"/>
        </w:rPr>
        <w:t xml:space="preserve">, Sentencia </w:t>
      </w:r>
      <w:hyperlink w:anchor="SENTENCIA_2015_21" w:history="1">
        <w:r w:rsidRPr="00BB71B4">
          <w:rPr>
            <w:rStyle w:val="TextoNormalCaracter"/>
          </w:rPr>
          <w:t>21/2015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29" w:name="DESCRIPTORALFABETICO402"/>
      <w:r w:rsidRPr="00BB71B4">
        <w:rPr>
          <w:rStyle w:val="TextoNormalNegritaCaracter"/>
        </w:rPr>
        <w:t>Municipios</w:t>
      </w:r>
      <w:bookmarkEnd w:id="1529"/>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5, 6, 8, 10, 13, 15, 17, 18, 20, 21, 23; </w:t>
      </w:r>
      <w:hyperlink w:anchor="SENTENCIA_2015_92" w:history="1">
        <w:r w:rsidRPr="00BB71B4">
          <w:rPr>
            <w:rStyle w:val="TextoNormalCaracter"/>
          </w:rPr>
          <w:t>92/2015</w:t>
        </w:r>
      </w:hyperlink>
      <w:r w:rsidRPr="00BB71B4">
        <w:rPr>
          <w:rStyle w:val="TextoNormalCaracter"/>
        </w:rPr>
        <w:t>, f. 4.</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N</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530" w:name="DESCRIPTORALFABETICO542"/>
      <w:r w:rsidRPr="00BB71B4">
        <w:rPr>
          <w:rStyle w:val="TextoNormalNegritaCaracter"/>
        </w:rPr>
        <w:t>Normas básicas en forma de decreto-ley</w:t>
      </w:r>
      <w:bookmarkEnd w:id="1530"/>
      <w:r w:rsidRPr="00BB71B4">
        <w:rPr>
          <w:rStyle w:val="TextoNormalCaracter"/>
        </w:rPr>
        <w:t xml:space="preserve">, Sentencia </w:t>
      </w:r>
      <w:hyperlink w:anchor="SENTENCIA_2015_143" w:history="1">
        <w:r w:rsidRPr="00BB71B4">
          <w:rPr>
            <w:rStyle w:val="TextoNormalCaracter"/>
          </w:rPr>
          <w:t>143/2015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31" w:name="DESCRIPTORALFABETICO558"/>
      <w:r w:rsidRPr="00BB71B4">
        <w:rPr>
          <w:rStyle w:val="TextoNormalNegritaCaracter"/>
        </w:rPr>
        <w:t>Normas de contenido heterogéneo</w:t>
      </w:r>
      <w:bookmarkEnd w:id="1531"/>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32" w:name="DESCRIPTORALFABETICO654"/>
      <w:r w:rsidRPr="00BB71B4">
        <w:rPr>
          <w:rStyle w:val="TextoNormalNegritaCaracter"/>
        </w:rPr>
        <w:t>Notificación edictal</w:t>
      </w:r>
      <w:bookmarkEnd w:id="1532"/>
      <w:r w:rsidRPr="00BB71B4">
        <w:rPr>
          <w:rStyle w:val="TextoNormalCaracter"/>
        </w:rPr>
        <w:t xml:space="preserve">, Auto </w:t>
      </w:r>
      <w:hyperlink w:anchor="AUTO_2015_86" w:history="1">
        <w:r w:rsidRPr="00BB71B4">
          <w:rPr>
            <w:rStyle w:val="TextoNormalCaracter"/>
          </w:rPr>
          <w:t>86/2015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533" w:name="DESCRIPTORALFABETICO403"/>
      <w:r w:rsidRPr="00BB71B4">
        <w:rPr>
          <w:rStyle w:val="TextoNormalNegritaCaracter"/>
        </w:rPr>
        <w:t>Núcleos de población</w:t>
      </w:r>
      <w:bookmarkEnd w:id="1533"/>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14, 15 a) y b), 17; </w:t>
      </w:r>
      <w:hyperlink w:anchor="SENTENCIA_2015_92" w:history="1">
        <w:r w:rsidRPr="00BB71B4">
          <w:rPr>
            <w:rStyle w:val="TextoNormalCaracter"/>
          </w:rPr>
          <w:t>92/2015</w:t>
        </w:r>
      </w:hyperlink>
      <w:r w:rsidRPr="00BB71B4">
        <w:rPr>
          <w:rStyle w:val="TextoNormalCaracter"/>
        </w:rPr>
        <w:t>, f. 9.</w:t>
      </w:r>
    </w:p>
    <w:p w:rsidR="00BB71B4" w:rsidRPr="00BB71B4" w:rsidRDefault="00BB71B4" w:rsidP="00BB71B4">
      <w:pPr>
        <w:pStyle w:val="TextoNormalSangraFrancesa"/>
        <w:rPr>
          <w:rStyle w:val="TextoNormalCaracter"/>
        </w:rPr>
      </w:pPr>
      <w:bookmarkStart w:id="1534" w:name="DESCRIPTORALFABETICO685"/>
      <w:r w:rsidRPr="00BB71B4">
        <w:rPr>
          <w:rStyle w:val="TextoNormalNegritaCaracter"/>
        </w:rPr>
        <w:t>Nueva valoración de la prueba</w:t>
      </w:r>
      <w:bookmarkEnd w:id="1534"/>
      <w:r w:rsidRPr="00BB71B4">
        <w:rPr>
          <w:rStyle w:val="TextoNormalCaracter"/>
        </w:rPr>
        <w:t xml:space="preserve">, Sentencia </w:t>
      </w:r>
      <w:hyperlink w:anchor="SENTENCIA_2015_33" w:history="1">
        <w:r w:rsidRPr="00BB71B4">
          <w:rPr>
            <w:rStyle w:val="TextoNormalCaracter"/>
          </w:rPr>
          <w:t>33/2015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35" w:name="DESCRIPTORALFABETICO277"/>
      <w:r w:rsidRPr="00BB71B4">
        <w:rPr>
          <w:rStyle w:val="TextoNormalNegritaCaracter"/>
        </w:rPr>
        <w:t>Nulidad de la ley diferida temporalmente</w:t>
      </w:r>
      <w:bookmarkEnd w:id="1535"/>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 5.</w:t>
      </w:r>
    </w:p>
    <w:p w:rsidR="00BB71B4" w:rsidRPr="00BB71B4" w:rsidRDefault="00BB71B4" w:rsidP="00BB71B4">
      <w:pPr>
        <w:pStyle w:val="TextoNormalSangraFrancesa"/>
        <w:rPr>
          <w:rStyle w:val="TextoNormalCaracter"/>
        </w:rPr>
      </w:pPr>
      <w:bookmarkStart w:id="1536" w:name="DESCRIPTORALFABETICO278"/>
      <w:r w:rsidRPr="00BB71B4">
        <w:rPr>
          <w:rStyle w:val="TextoNormalNegritaCaracter"/>
        </w:rPr>
        <w:t>Nulidad de leyes autonómicas</w:t>
      </w:r>
      <w:bookmarkEnd w:id="1536"/>
      <w:r w:rsidRPr="00BB71B4">
        <w:rPr>
          <w:rStyle w:val="TextoNormalCaracter"/>
        </w:rPr>
        <w:t xml:space="preserve">, Sentencias </w:t>
      </w:r>
      <w:hyperlink w:anchor="SENTENCIA_2015_31" w:history="1">
        <w:r w:rsidRPr="00BB71B4">
          <w:rPr>
            <w:rStyle w:val="TextoNormalCaracter"/>
          </w:rPr>
          <w:t>31/2015</w:t>
        </w:r>
      </w:hyperlink>
      <w:r w:rsidRPr="00BB71B4">
        <w:rPr>
          <w:rStyle w:val="TextoNormalCaracter"/>
        </w:rPr>
        <w:t xml:space="preserve">, ff. 10, 11; </w:t>
      </w:r>
      <w:hyperlink w:anchor="SENTENCIA_2015_32" w:history="1">
        <w:r w:rsidRPr="00BB71B4">
          <w:rPr>
            <w:rStyle w:val="TextoNormalCaracter"/>
          </w:rPr>
          <w:t>32/2015</w:t>
        </w:r>
      </w:hyperlink>
      <w:r w:rsidRPr="00BB71B4">
        <w:rPr>
          <w:rStyle w:val="TextoNormalCaracter"/>
        </w:rPr>
        <w:t xml:space="preserve">, f. 4; </w:t>
      </w:r>
      <w:hyperlink w:anchor="SENTENCIA_2015_137" w:history="1">
        <w:r w:rsidRPr="00BB71B4">
          <w:rPr>
            <w:rStyle w:val="TextoNormalCaracter"/>
          </w:rPr>
          <w:t>137/2015</w:t>
        </w:r>
      </w:hyperlink>
      <w:r w:rsidRPr="00BB71B4">
        <w:rPr>
          <w:rStyle w:val="TextoNormalCaracter"/>
        </w:rPr>
        <w:t>, f. 8.</w:t>
      </w:r>
    </w:p>
    <w:p w:rsidR="00BB71B4" w:rsidRPr="00BB71B4" w:rsidRDefault="00BB71B4" w:rsidP="00BB71B4">
      <w:pPr>
        <w:pStyle w:val="TextoNormalSangraFrancesa"/>
        <w:rPr>
          <w:rStyle w:val="TextoNormalCaracter"/>
        </w:rPr>
      </w:pPr>
      <w:bookmarkStart w:id="1537" w:name="DESCRIPTORALFABETICO356"/>
      <w:r w:rsidRPr="00BB71B4">
        <w:rPr>
          <w:rStyle w:val="TextoNormalNegritaCaracter"/>
        </w:rPr>
        <w:t>Número de miembros integrantes de la asamblea parlamentaria</w:t>
      </w:r>
      <w:bookmarkEnd w:id="1537"/>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 5.</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O</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538" w:name="DESCRIPTORALFABETICO208"/>
      <w:r w:rsidRPr="00BB71B4">
        <w:rPr>
          <w:rStyle w:val="TextoNormalNegritaCaracter"/>
        </w:rPr>
        <w:t>Objeción de conciencia</w:t>
      </w:r>
      <w:bookmarkEnd w:id="1538"/>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ff. 3 a 6, VP I, VP II, VP III.</w:t>
      </w:r>
    </w:p>
    <w:p w:rsidR="00BB71B4" w:rsidRPr="00BB71B4" w:rsidRDefault="00BB71B4" w:rsidP="00BB71B4">
      <w:pPr>
        <w:pStyle w:val="TextoNormalSangraFrancesa"/>
        <w:rPr>
          <w:rStyle w:val="TextoNormalCaracter"/>
        </w:rPr>
      </w:pPr>
      <w:bookmarkStart w:id="1539" w:name="DESCRIPTORALFABETICO211"/>
      <w:r w:rsidRPr="00BB71B4">
        <w:rPr>
          <w:rStyle w:val="TextoNormalNegritaCaracter"/>
        </w:rPr>
        <w:t>Objeción de conciencia a la interrupción voluntaria del embarazo</w:t>
      </w:r>
      <w:bookmarkEnd w:id="1539"/>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VPI.</w:t>
      </w:r>
    </w:p>
    <w:p w:rsidR="00BB71B4" w:rsidRPr="00BB71B4" w:rsidRDefault="00BB71B4" w:rsidP="00BB71B4">
      <w:pPr>
        <w:pStyle w:val="TextoNormalSangraFrancesa"/>
        <w:rPr>
          <w:rStyle w:val="TextoNormalCaracter"/>
        </w:rPr>
      </w:pPr>
      <w:bookmarkStart w:id="1540" w:name="DESCRIPTORALFABETICO212"/>
      <w:r w:rsidRPr="00BB71B4">
        <w:rPr>
          <w:rStyle w:val="TextoNormalNegritaCaracter"/>
        </w:rPr>
        <w:t>Objeción de conciencia al servicio militar</w:t>
      </w:r>
      <w:bookmarkEnd w:id="1540"/>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VP I, VP II, VP III.</w:t>
      </w:r>
    </w:p>
    <w:p w:rsidR="00BB71B4" w:rsidRPr="00BB71B4" w:rsidRDefault="00BB71B4" w:rsidP="00BB71B4">
      <w:pPr>
        <w:pStyle w:val="TextoNormalSangraFrancesa"/>
        <w:rPr>
          <w:rStyle w:val="TextoNormalCaracter"/>
        </w:rPr>
      </w:pPr>
      <w:bookmarkStart w:id="1541" w:name="DESCRIPTORALFABETICO261"/>
      <w:r w:rsidRPr="00BB71B4">
        <w:rPr>
          <w:rStyle w:val="TextoNormalNegritaCaracter"/>
        </w:rPr>
        <w:t>Objeto del proceso de impugnación de disposiciones autonómicas</w:t>
      </w:r>
      <w:bookmarkEnd w:id="1541"/>
      <w:r w:rsidRPr="00BB71B4">
        <w:rPr>
          <w:rStyle w:val="TextoNormalCaracter"/>
        </w:rPr>
        <w:t xml:space="preserve">, Sentencias </w:t>
      </w:r>
      <w:hyperlink w:anchor="SENTENCIA_2015_138" w:history="1">
        <w:r w:rsidRPr="00BB71B4">
          <w:rPr>
            <w:rStyle w:val="TextoNormalCaracter"/>
          </w:rPr>
          <w:t>138/2015</w:t>
        </w:r>
      </w:hyperlink>
      <w:r w:rsidRPr="00BB71B4">
        <w:rPr>
          <w:rStyle w:val="TextoNormalCaracter"/>
        </w:rPr>
        <w:t xml:space="preserve">, ff. 1, 2; </w:t>
      </w:r>
      <w:hyperlink w:anchor="SENTENCIA_2015_147" w:history="1">
        <w:r w:rsidRPr="00BB71B4">
          <w:rPr>
            <w:rStyle w:val="TextoNormalCaracter"/>
          </w:rPr>
          <w:t>147/2015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542" w:name="DESCRIPTORALFABETICO716"/>
      <w:r w:rsidRPr="00BB71B4">
        <w:rPr>
          <w:rStyle w:val="TextoNormalNegritaCaracter"/>
        </w:rPr>
        <w:t>Oposición a la ejecución hipotecaria</w:t>
      </w:r>
      <w:bookmarkEnd w:id="1542"/>
      <w:r w:rsidRPr="00BB71B4">
        <w:rPr>
          <w:rStyle w:val="TextoNormalCaracter"/>
        </w:rPr>
        <w:t xml:space="preserve">, Sentencia </w:t>
      </w:r>
      <w:hyperlink w:anchor="SENTENCIA_2015_39" w:history="1">
        <w:r w:rsidRPr="00BB71B4">
          <w:rPr>
            <w:rStyle w:val="TextoNormalCaracter"/>
          </w:rPr>
          <w:t>39/2015</w:t>
        </w:r>
      </w:hyperlink>
      <w:r w:rsidRPr="00BB71B4">
        <w:rPr>
          <w:rStyle w:val="TextoNormalCaracter"/>
        </w:rPr>
        <w:t>, ff. 3, 6, 7.</w:t>
      </w:r>
    </w:p>
    <w:p w:rsidR="00BB71B4" w:rsidRPr="00BB71B4" w:rsidRDefault="00BB71B4" w:rsidP="00BB71B4">
      <w:pPr>
        <w:pStyle w:val="TextoNormalSangraFrancesa"/>
        <w:rPr>
          <w:rStyle w:val="TextoNormalCaracter"/>
        </w:rPr>
      </w:pPr>
      <w:bookmarkStart w:id="1543" w:name="DESCRIPTORALFABETICO398"/>
      <w:r w:rsidRPr="00BB71B4">
        <w:rPr>
          <w:rStyle w:val="TextoNormalNegritaCaracter"/>
        </w:rPr>
        <w:t>Orden público</w:t>
      </w:r>
      <w:bookmarkEnd w:id="1543"/>
      <w:r w:rsidRPr="00BB71B4">
        <w:rPr>
          <w:rStyle w:val="TextoNormalCaracter"/>
        </w:rPr>
        <w:t xml:space="preserve">, Sentencia </w:t>
      </w:r>
      <w:hyperlink w:anchor="SENTENCIA_2015_24" w:history="1">
        <w:r w:rsidRPr="00BB71B4">
          <w:rPr>
            <w:rStyle w:val="TextoNormalCaracter"/>
          </w:rPr>
          <w:t>24/2015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544" w:name="DESCRIPTORALFABETICO54"/>
      <w:r w:rsidRPr="00BB71B4">
        <w:rPr>
          <w:rStyle w:val="TextoNormalNegritaCaracter"/>
        </w:rPr>
        <w:t>Ordenación general de la economía</w:t>
      </w:r>
      <w:bookmarkEnd w:id="1544"/>
      <w:r w:rsidRPr="00BB71B4">
        <w:rPr>
          <w:rStyle w:val="TextoNormalCaracter"/>
        </w:rPr>
        <w:t xml:space="preserve">, Sentencias </w:t>
      </w:r>
      <w:hyperlink w:anchor="SENTENCIA_2015_81" w:history="1">
        <w:r w:rsidRPr="00BB71B4">
          <w:rPr>
            <w:rStyle w:val="TextoNormalCaracter"/>
          </w:rPr>
          <w:t>81/2015</w:t>
        </w:r>
      </w:hyperlink>
      <w:r w:rsidRPr="00BB71B4">
        <w:rPr>
          <w:rStyle w:val="TextoNormalCaracter"/>
        </w:rPr>
        <w:t xml:space="preserve">, ff. 3, 4; </w:t>
      </w:r>
      <w:hyperlink w:anchor="SENTENCIA_2015_85" w:history="1">
        <w:r w:rsidRPr="00BB71B4">
          <w:rPr>
            <w:rStyle w:val="TextoNormalCaracter"/>
          </w:rPr>
          <w:t>85/2015</w:t>
        </w:r>
      </w:hyperlink>
      <w:r w:rsidRPr="00BB71B4">
        <w:rPr>
          <w:rStyle w:val="TextoNormalCaracter"/>
        </w:rPr>
        <w:t xml:space="preserve">, f. 2; </w:t>
      </w:r>
      <w:hyperlink w:anchor="SENTENCIA_2015_93" w:history="1">
        <w:r w:rsidRPr="00BB71B4">
          <w:rPr>
            <w:rStyle w:val="TextoNormalCaracter"/>
          </w:rPr>
          <w:t>93/2015</w:t>
        </w:r>
      </w:hyperlink>
      <w:r w:rsidRPr="00BB71B4">
        <w:rPr>
          <w:rStyle w:val="TextoNormalCaracter"/>
        </w:rPr>
        <w:t>, ff. 16 a 18, VP I, VP II, VP III.</w:t>
      </w:r>
    </w:p>
    <w:p w:rsidR="00BB71B4" w:rsidRPr="00BB71B4" w:rsidRDefault="00BB71B4" w:rsidP="00BB71B4">
      <w:pPr>
        <w:pStyle w:val="TextoNormalSangraFrancesa"/>
        <w:rPr>
          <w:rStyle w:val="TextoNormalCaracter"/>
        </w:rPr>
      </w:pPr>
      <w:r w:rsidRPr="00BB71B4">
        <w:rPr>
          <w:rStyle w:val="TextoNormalCursivaCaracter"/>
        </w:rPr>
        <w:t xml:space="preserve">    Límites, </w:t>
      </w:r>
      <w:r w:rsidRPr="00BB71B4">
        <w:rPr>
          <w:rStyle w:val="TextoNormalCaracter"/>
        </w:rPr>
        <w:t xml:space="preserve">Sentencia </w:t>
      </w:r>
      <w:hyperlink w:anchor="SENTENCIA_2015_58" w:history="1">
        <w:r w:rsidRPr="00BB71B4">
          <w:rPr>
            <w:rStyle w:val="TextoNormalCaracter"/>
          </w:rPr>
          <w:t>58/2015</w:t>
        </w:r>
      </w:hyperlink>
      <w:r w:rsidRPr="00BB71B4">
        <w:rPr>
          <w:rStyle w:val="TextoNormalCaracter"/>
        </w:rPr>
        <w:t>, f. 2, VP.</w:t>
      </w:r>
    </w:p>
    <w:p w:rsidR="00BB71B4" w:rsidRPr="00BB71B4" w:rsidRDefault="00BB71B4" w:rsidP="00BB71B4">
      <w:pPr>
        <w:pStyle w:val="TextoNormalSangraFrancesa"/>
        <w:rPr>
          <w:rStyle w:val="TextoNormalCaracter"/>
        </w:rPr>
      </w:pPr>
      <w:bookmarkStart w:id="1545" w:name="DESCRIPTORALFABETICO319"/>
      <w:r w:rsidRPr="00BB71B4">
        <w:rPr>
          <w:rStyle w:val="TextoNormalNegritaCaracter"/>
        </w:rPr>
        <w:t>Organización de las instituciones de autogobierno</w:t>
      </w:r>
      <w:bookmarkEnd w:id="1545"/>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ff. 2, 3, 5.</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P</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546" w:name="DESCRIPTORALFABETICO642"/>
      <w:r w:rsidRPr="00BB71B4">
        <w:rPr>
          <w:rStyle w:val="TextoNormalNegritaCaracter"/>
        </w:rPr>
        <w:t>Pagas extraordinarias</w:t>
      </w:r>
      <w:bookmarkEnd w:id="1546"/>
      <w:r w:rsidRPr="00BB71B4">
        <w:rPr>
          <w:rStyle w:val="TextoNormalCaracter"/>
        </w:rPr>
        <w:t xml:space="preserve">, Sentencias </w:t>
      </w:r>
      <w:hyperlink w:anchor="SENTENCIA_2015_81" w:history="1">
        <w:r w:rsidRPr="00BB71B4">
          <w:rPr>
            <w:rStyle w:val="TextoNormalCaracter"/>
          </w:rPr>
          <w:t>81/2015</w:t>
        </w:r>
      </w:hyperlink>
      <w:r w:rsidRPr="00BB71B4">
        <w:rPr>
          <w:rStyle w:val="TextoNormalCaracter"/>
        </w:rPr>
        <w:t xml:space="preserve">, f. 1; </w:t>
      </w:r>
      <w:hyperlink w:anchor="SENTENCIA_2015_83" w:history="1">
        <w:r w:rsidRPr="00BB71B4">
          <w:rPr>
            <w:rStyle w:val="TextoNormalCaracter"/>
          </w:rPr>
          <w:t>83/2015</w:t>
        </w:r>
      </w:hyperlink>
      <w:r w:rsidRPr="00BB71B4">
        <w:rPr>
          <w:rStyle w:val="TextoNormalCaracter"/>
        </w:rPr>
        <w:t xml:space="preserve">, ff. 1 a 3; </w:t>
      </w:r>
      <w:hyperlink w:anchor="SENTENCIA_2015_97" w:history="1">
        <w:r w:rsidRPr="00BB71B4">
          <w:rPr>
            <w:rStyle w:val="TextoNormalCaracter"/>
          </w:rPr>
          <w:t>97/2015</w:t>
        </w:r>
      </w:hyperlink>
      <w:r w:rsidRPr="00BB71B4">
        <w:rPr>
          <w:rStyle w:val="TextoNormalCaracter"/>
        </w:rPr>
        <w:t xml:space="preserve">, ff. 1 a 3; </w:t>
      </w:r>
      <w:hyperlink w:anchor="SENTENCIA_2015_100" w:history="1">
        <w:r w:rsidRPr="00BB71B4">
          <w:rPr>
            <w:rStyle w:val="TextoNormalCaracter"/>
          </w:rPr>
          <w:t>100/2015</w:t>
        </w:r>
      </w:hyperlink>
      <w:r w:rsidRPr="00BB71B4">
        <w:rPr>
          <w:rStyle w:val="TextoNormalCaracter"/>
        </w:rPr>
        <w:t xml:space="preserve">, ff. 1 a 3; </w:t>
      </w:r>
      <w:hyperlink w:anchor="SENTENCIA_2015_113" w:history="1">
        <w:r w:rsidRPr="00BB71B4">
          <w:rPr>
            <w:rStyle w:val="TextoNormalCaracter"/>
          </w:rPr>
          <w:t>113/2015</w:t>
        </w:r>
      </w:hyperlink>
      <w:r w:rsidRPr="00BB71B4">
        <w:rPr>
          <w:rStyle w:val="TextoNormalCaracter"/>
        </w:rPr>
        <w:t xml:space="preserve">, ff. 1 a 3; </w:t>
      </w:r>
      <w:hyperlink w:anchor="SENTENCIA_2015_114" w:history="1">
        <w:r w:rsidRPr="00BB71B4">
          <w:rPr>
            <w:rStyle w:val="TextoNormalCaracter"/>
          </w:rPr>
          <w:t>114/2015</w:t>
        </w:r>
      </w:hyperlink>
      <w:r w:rsidRPr="00BB71B4">
        <w:rPr>
          <w:rStyle w:val="TextoNormalCaracter"/>
        </w:rPr>
        <w:t xml:space="preserve">, ff. 1 a 3; </w:t>
      </w:r>
      <w:hyperlink w:anchor="SENTENCIA_2015_141" w:history="1">
        <w:r w:rsidRPr="00BB71B4">
          <w:rPr>
            <w:rStyle w:val="TextoNormalCaracter"/>
          </w:rPr>
          <w:t>141/2015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547" w:name="DESCRIPTORALFABETICO741"/>
      <w:r w:rsidRPr="00BB71B4">
        <w:rPr>
          <w:rStyle w:val="TextoNormalNegritaCaracter"/>
        </w:rPr>
        <w:t>País Vasco</w:t>
      </w:r>
      <w:bookmarkEnd w:id="1547"/>
      <w:r w:rsidRPr="00BB71B4">
        <w:rPr>
          <w:rStyle w:val="TextoNormalCaracter"/>
        </w:rPr>
        <w:t xml:space="preserve">, Sentencia </w:t>
      </w:r>
      <w:hyperlink w:anchor="SENTENCIA_2015_143" w:history="1">
        <w:r w:rsidRPr="00BB71B4">
          <w:rPr>
            <w:rStyle w:val="TextoNormalCaracter"/>
          </w:rPr>
          <w:t>143/2015</w:t>
        </w:r>
      </w:hyperlink>
      <w:r w:rsidRPr="00BB71B4">
        <w:rPr>
          <w:rStyle w:val="TextoNormalCaracter"/>
        </w:rPr>
        <w:t>, f. 1.</w:t>
      </w:r>
    </w:p>
    <w:p w:rsidR="00BB71B4" w:rsidRPr="00BB71B4" w:rsidRDefault="00BB71B4" w:rsidP="00BB71B4">
      <w:pPr>
        <w:pStyle w:val="TextoNormalSangraFrancesa"/>
        <w:rPr>
          <w:rStyle w:val="TextoNormalCaracter"/>
        </w:rPr>
      </w:pPr>
      <w:bookmarkStart w:id="1548" w:name="DESCRIPTORALFABETICO485"/>
      <w:r w:rsidRPr="00BB71B4">
        <w:rPr>
          <w:rStyle w:val="TextoNormalNegritaCaracter"/>
        </w:rPr>
        <w:t>Parientes</w:t>
      </w:r>
      <w:bookmarkEnd w:id="1548"/>
      <w:r w:rsidRPr="00BB71B4">
        <w:rPr>
          <w:rStyle w:val="TextoNormalCaracter"/>
        </w:rPr>
        <w:t xml:space="preserve">, Sentencia </w:t>
      </w:r>
      <w:hyperlink w:anchor="SENTENCIA_2015_60" w:history="1">
        <w:r w:rsidRPr="00BB71B4">
          <w:rPr>
            <w:rStyle w:val="TextoNormalCaracter"/>
          </w:rPr>
          <w:t>60/2015</w:t>
        </w:r>
      </w:hyperlink>
      <w:r w:rsidRPr="00BB71B4">
        <w:rPr>
          <w:rStyle w:val="TextoNormalCaracter"/>
        </w:rPr>
        <w:t>, ff. 2, 3, 5, 6.</w:t>
      </w:r>
    </w:p>
    <w:p w:rsidR="00BB71B4" w:rsidRPr="00BB71B4" w:rsidRDefault="00BB71B4" w:rsidP="00BB71B4">
      <w:pPr>
        <w:pStyle w:val="TextoNormalSangraFrancesa"/>
        <w:rPr>
          <w:rStyle w:val="TextoNormalCaracter"/>
        </w:rPr>
      </w:pPr>
      <w:bookmarkStart w:id="1549" w:name="DESCRIPTORALFABETICO355"/>
      <w:r w:rsidRPr="00BB71B4">
        <w:rPr>
          <w:rStyle w:val="TextoNormalNegritaCaracter"/>
        </w:rPr>
        <w:t>Parlamento de Cataluña</w:t>
      </w:r>
      <w:bookmarkEnd w:id="1549"/>
      <w:r w:rsidRPr="00BB71B4">
        <w:rPr>
          <w:rStyle w:val="TextoNormalCaracter"/>
        </w:rPr>
        <w:t xml:space="preserve">, Sentencia </w:t>
      </w:r>
      <w:hyperlink w:anchor="SENTENCIA_2015_19" w:history="1">
        <w:r w:rsidRPr="00BB71B4">
          <w:rPr>
            <w:rStyle w:val="TextoNormalCaracter"/>
          </w:rPr>
          <w:t>19/2015</w:t>
        </w:r>
      </w:hyperlink>
      <w:r w:rsidRPr="00BB71B4">
        <w:rPr>
          <w:rStyle w:val="TextoNormalCaracter"/>
        </w:rPr>
        <w:t>, f. 1.</w:t>
      </w:r>
    </w:p>
    <w:p w:rsidR="00BB71B4" w:rsidRPr="00BB71B4" w:rsidRDefault="00BB71B4" w:rsidP="00BB71B4">
      <w:pPr>
        <w:pStyle w:val="TextoNormalSangraFrancesa"/>
        <w:rPr>
          <w:rStyle w:val="TextoNormalCaracter"/>
        </w:rPr>
      </w:pPr>
      <w:bookmarkStart w:id="1550" w:name="DESCRIPTORALFABETICO135"/>
      <w:r w:rsidRPr="00BB71B4">
        <w:rPr>
          <w:rStyle w:val="TextoNormalNegritaCaracter"/>
        </w:rPr>
        <w:t>Participación ciudadana</w:t>
      </w:r>
      <w:bookmarkEnd w:id="1550"/>
      <w:r w:rsidRPr="00BB71B4">
        <w:rPr>
          <w:rStyle w:val="TextoNormalCaracter"/>
        </w:rPr>
        <w:t xml:space="preserve">, Sentencias </w:t>
      </w:r>
      <w:hyperlink w:anchor="SENTENCIA_2015_19" w:history="1">
        <w:r w:rsidRPr="00BB71B4">
          <w:rPr>
            <w:rStyle w:val="TextoNormalCaracter"/>
          </w:rPr>
          <w:t>19/2015</w:t>
        </w:r>
      </w:hyperlink>
      <w:r w:rsidRPr="00BB71B4">
        <w:rPr>
          <w:rStyle w:val="TextoNormalCaracter"/>
        </w:rPr>
        <w:t xml:space="preserve">, ff. 2, 4, VP; </w:t>
      </w:r>
      <w:hyperlink w:anchor="SENTENCIA_2015_138" w:history="1">
        <w:r w:rsidRPr="00BB71B4">
          <w:rPr>
            <w:rStyle w:val="TextoNormalCaracter"/>
          </w:rPr>
          <w:t>138/2015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551" w:name="DESCRIPTORALFABETICO513"/>
      <w:r w:rsidRPr="00BB71B4">
        <w:rPr>
          <w:rStyle w:val="TextoNormalNegritaCaracter"/>
        </w:rPr>
        <w:t>Participación de los municipios en el planeamiento urbanístico</w:t>
      </w:r>
      <w:bookmarkEnd w:id="1551"/>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5, 6, 10, 23; </w:t>
      </w:r>
      <w:hyperlink w:anchor="SENTENCIA_2015_92" w:history="1">
        <w:r w:rsidRPr="00BB71B4">
          <w:rPr>
            <w:rStyle w:val="TextoNormalCaracter"/>
          </w:rPr>
          <w:t>92/2015</w:t>
        </w:r>
      </w:hyperlink>
      <w:r w:rsidRPr="00BB71B4">
        <w:rPr>
          <w:rStyle w:val="TextoNormalCaracter"/>
        </w:rPr>
        <w:t>, ff. 4, 11, 12.</w:t>
      </w:r>
    </w:p>
    <w:p w:rsidR="00BB71B4" w:rsidRPr="00BB71B4" w:rsidRDefault="00BB71B4" w:rsidP="00BB71B4">
      <w:pPr>
        <w:pStyle w:val="TextoNormalSangraFrancesa"/>
        <w:rPr>
          <w:rStyle w:val="TextoNormalCaracter"/>
        </w:rPr>
      </w:pPr>
      <w:bookmarkStart w:id="1552" w:name="DESCRIPTORALFABETICO136"/>
      <w:r w:rsidRPr="00BB71B4">
        <w:rPr>
          <w:rStyle w:val="TextoNormalNegritaCaracter"/>
        </w:rPr>
        <w:t>Participación política</w:t>
      </w:r>
      <w:bookmarkEnd w:id="1552"/>
      <w:r w:rsidRPr="00BB71B4">
        <w:rPr>
          <w:rStyle w:val="TextoNormalCaracter"/>
        </w:rPr>
        <w:t xml:space="preserve">, Sentencias </w:t>
      </w:r>
      <w:hyperlink w:anchor="SENTENCIA_2015_19" w:history="1">
        <w:r w:rsidRPr="00BB71B4">
          <w:rPr>
            <w:rStyle w:val="TextoNormalCaracter"/>
          </w:rPr>
          <w:t>19/2015</w:t>
        </w:r>
      </w:hyperlink>
      <w:r w:rsidRPr="00BB71B4">
        <w:rPr>
          <w:rStyle w:val="TextoNormalCaracter"/>
        </w:rPr>
        <w:t xml:space="preserve">, ff. 2, 4, VP; </w:t>
      </w:r>
      <w:hyperlink w:anchor="SENTENCIA_2015_31" w:history="1">
        <w:r w:rsidRPr="00BB71B4">
          <w:rPr>
            <w:rStyle w:val="TextoNormalCaracter"/>
          </w:rPr>
          <w:t>31/2015</w:t>
        </w:r>
      </w:hyperlink>
      <w:r w:rsidRPr="00BB71B4">
        <w:rPr>
          <w:rStyle w:val="TextoNormalCaracter"/>
        </w:rPr>
        <w:t xml:space="preserve">, f. 5; </w:t>
      </w:r>
      <w:hyperlink w:anchor="SENTENCIA_2015_32" w:history="1">
        <w:r w:rsidRPr="00BB71B4">
          <w:rPr>
            <w:rStyle w:val="TextoNormalCaracter"/>
          </w:rPr>
          <w:t>32/2015</w:t>
        </w:r>
      </w:hyperlink>
      <w:r w:rsidRPr="00BB71B4">
        <w:rPr>
          <w:rStyle w:val="TextoNormalCaracter"/>
        </w:rPr>
        <w:t xml:space="preserve">, f. 1; </w:t>
      </w:r>
      <w:hyperlink w:anchor="SENTENCIA_2015_137" w:history="1">
        <w:r w:rsidRPr="00BB71B4">
          <w:rPr>
            <w:rStyle w:val="TextoNormalCaracter"/>
          </w:rPr>
          <w:t>137/2015</w:t>
        </w:r>
      </w:hyperlink>
      <w:r w:rsidRPr="00BB71B4">
        <w:rPr>
          <w:rStyle w:val="TextoNormalCaracter"/>
        </w:rPr>
        <w:t xml:space="preserve">, ff. 4 a 6;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53" w:history="1">
        <w:r w:rsidRPr="00BB71B4">
          <w:rPr>
            <w:rStyle w:val="TextoNormalCaracter"/>
          </w:rPr>
          <w:t>53/2015</w:t>
        </w:r>
      </w:hyperlink>
      <w:r w:rsidRPr="00BB71B4">
        <w:rPr>
          <w:rStyle w:val="TextoNormalCaracter"/>
        </w:rPr>
        <w:t>, f. 3, 4.</w:t>
      </w:r>
    </w:p>
    <w:p w:rsidR="00BB71B4" w:rsidRPr="00BB71B4" w:rsidRDefault="00BB71B4" w:rsidP="00BB71B4">
      <w:pPr>
        <w:pStyle w:val="TextoNormalSangraFrancesa"/>
        <w:rPr>
          <w:rStyle w:val="TextoNormalCaracter"/>
        </w:rPr>
      </w:pPr>
      <w:bookmarkStart w:id="1553" w:name="DESCRIPTORALFABETICO445"/>
      <w:r w:rsidRPr="00BB71B4">
        <w:rPr>
          <w:rStyle w:val="TextoNormalNegritaCaracter"/>
        </w:rPr>
        <w:t>Participaciones preferentes</w:t>
      </w:r>
      <w:bookmarkEnd w:id="1553"/>
      <w:r w:rsidRPr="00BB71B4">
        <w:rPr>
          <w:rStyle w:val="TextoNormalCaracter"/>
        </w:rPr>
        <w:t xml:space="preserve">, Sentencia </w:t>
      </w:r>
      <w:hyperlink w:anchor="SENTENCIA_2015_12" w:history="1">
        <w:r w:rsidRPr="00BB71B4">
          <w:rPr>
            <w:rStyle w:val="TextoNormalCaracter"/>
          </w:rPr>
          <w:t>12/2015</w:t>
        </w:r>
      </w:hyperlink>
      <w:r w:rsidRPr="00BB71B4">
        <w:rPr>
          <w:rStyle w:val="TextoNormalCaracter"/>
        </w:rPr>
        <w:t>, ff. 1, 4, 5.</w:t>
      </w:r>
    </w:p>
    <w:p w:rsidR="00BB71B4" w:rsidRPr="00BB71B4" w:rsidRDefault="00BB71B4" w:rsidP="00BB71B4">
      <w:pPr>
        <w:pStyle w:val="TextoNormalSangraFrancesa"/>
        <w:rPr>
          <w:rStyle w:val="TextoNormalCaracter"/>
        </w:rPr>
      </w:pPr>
      <w:bookmarkStart w:id="1554" w:name="DESCRIPTORALFABETICO446"/>
      <w:r w:rsidRPr="00BB71B4">
        <w:rPr>
          <w:rStyle w:val="TextoNormalNegritaCaracter"/>
        </w:rPr>
        <w:t>Patrimonio histórico</w:t>
      </w:r>
      <w:bookmarkEnd w:id="1554"/>
      <w:r w:rsidRPr="00BB71B4">
        <w:rPr>
          <w:rStyle w:val="TextoNormalCaracter"/>
        </w:rPr>
        <w:t xml:space="preserve">, Auto </w:t>
      </w:r>
      <w:hyperlink w:anchor="AUTO_2015_97" w:history="1">
        <w:r w:rsidRPr="00BB71B4">
          <w:rPr>
            <w:rStyle w:val="TextoNormalCaracter"/>
          </w:rPr>
          <w:t>97/2015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555" w:name="DESCRIPTORALFABETICO564"/>
      <w:r w:rsidRPr="00BB71B4">
        <w:rPr>
          <w:rStyle w:val="TextoNormalNegritaCaracter"/>
        </w:rPr>
        <w:t>Penas privativas de libertad</w:t>
      </w:r>
      <w:bookmarkEnd w:id="1555"/>
      <w:r w:rsidRPr="00BB71B4">
        <w:rPr>
          <w:rStyle w:val="TextoNormalCaracter"/>
        </w:rPr>
        <w:t xml:space="preserve">, Auto </w:t>
      </w:r>
      <w:hyperlink w:anchor="AUTO_2015_92" w:history="1">
        <w:r w:rsidRPr="00BB71B4">
          <w:rPr>
            <w:rStyle w:val="TextoNormalCaracter"/>
          </w:rPr>
          <w:t>92/2015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556" w:name="DESCRIPTORALFABETICO487"/>
      <w:r w:rsidRPr="00BB71B4">
        <w:rPr>
          <w:rStyle w:val="TextoNormalNegritaCaracter"/>
        </w:rPr>
        <w:t>Pensión compensatoria</w:t>
      </w:r>
      <w:bookmarkEnd w:id="1556"/>
      <w:r w:rsidRPr="00BB71B4">
        <w:rPr>
          <w:rStyle w:val="TextoNormalCaracter"/>
        </w:rPr>
        <w:t xml:space="preserve">, Sentencia </w:t>
      </w:r>
      <w:hyperlink w:anchor="SENTENCIA_2015_79" w:history="1">
        <w:r w:rsidRPr="00BB71B4">
          <w:rPr>
            <w:rStyle w:val="TextoNormalCaracter"/>
          </w:rPr>
          <w:t>79/2015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557" w:name="DESCRIPTORALFABETICO612"/>
      <w:r w:rsidRPr="00BB71B4">
        <w:rPr>
          <w:rStyle w:val="TextoNormalNegritaCaracter"/>
        </w:rPr>
        <w:t>Pensiones</w:t>
      </w:r>
      <w:bookmarkEnd w:id="1557"/>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2, 3, 5, VP; </w:t>
      </w:r>
      <w:hyperlink w:anchor="SENTENCIA_2015_95" w:history="1">
        <w:r w:rsidRPr="00BB71B4">
          <w:rPr>
            <w:rStyle w:val="TextoNormalCaracter"/>
          </w:rPr>
          <w:t>95/2015</w:t>
        </w:r>
      </w:hyperlink>
      <w:r w:rsidRPr="00BB71B4">
        <w:rPr>
          <w:rStyle w:val="TextoNormalCaracter"/>
        </w:rPr>
        <w:t xml:space="preserve">, ff. 4 a 6; </w:t>
      </w:r>
      <w:hyperlink w:anchor="SENTENCIA_2015_109" w:history="1">
        <w:r w:rsidRPr="00BB71B4">
          <w:rPr>
            <w:rStyle w:val="TextoNormalCaracter"/>
          </w:rPr>
          <w:t>109/2015</w:t>
        </w:r>
      </w:hyperlink>
      <w:r w:rsidRPr="00BB71B4">
        <w:rPr>
          <w:rStyle w:val="TextoNormalCaracter"/>
        </w:rPr>
        <w:t xml:space="preserve">, ff. 1, 2; </w:t>
      </w:r>
      <w:hyperlink w:anchor="SENTENCIA_2015_116" w:history="1">
        <w:r w:rsidRPr="00BB71B4">
          <w:rPr>
            <w:rStyle w:val="TextoNormalCaracter"/>
          </w:rPr>
          <w:t>116/2015</w:t>
        </w:r>
      </w:hyperlink>
      <w:r w:rsidRPr="00BB71B4">
        <w:rPr>
          <w:rStyle w:val="TextoNormalCaracter"/>
        </w:rPr>
        <w:t xml:space="preserve">, ff. 1, 2; </w:t>
      </w:r>
      <w:hyperlink w:anchor="SENTENCIA_2015_117" w:history="1">
        <w:r w:rsidRPr="00BB71B4">
          <w:rPr>
            <w:rStyle w:val="TextoNormalCaracter"/>
          </w:rPr>
          <w:t>117/2015</w:t>
        </w:r>
      </w:hyperlink>
      <w:r w:rsidRPr="00BB71B4">
        <w:rPr>
          <w:rStyle w:val="TextoNormalCaracter"/>
        </w:rPr>
        <w:t xml:space="preserve">, ff. 1, 3, 4; </w:t>
      </w:r>
      <w:hyperlink w:anchor="SENTENCIA_2015_118" w:history="1">
        <w:r w:rsidRPr="00BB71B4">
          <w:rPr>
            <w:rStyle w:val="TextoNormalCaracter"/>
          </w:rPr>
          <w:t>118/2015</w:t>
        </w:r>
      </w:hyperlink>
      <w:r w:rsidRPr="00BB71B4">
        <w:rPr>
          <w:rStyle w:val="TextoNormalCaracter"/>
        </w:rPr>
        <w:t xml:space="preserve">, ff. 1, 3, 4; </w:t>
      </w:r>
      <w:hyperlink w:anchor="SENTENCIA_2015_119" w:history="1">
        <w:r w:rsidRPr="00BB71B4">
          <w:rPr>
            <w:rStyle w:val="TextoNormalCaracter"/>
          </w:rPr>
          <w:t>119/2015</w:t>
        </w:r>
      </w:hyperlink>
      <w:r w:rsidRPr="00BB71B4">
        <w:rPr>
          <w:rStyle w:val="TextoNormalCaracter"/>
        </w:rPr>
        <w:t xml:space="preserve">, ff. 1, 2; </w:t>
      </w:r>
      <w:hyperlink w:anchor="SENTENCIA_2015_120" w:history="1">
        <w:r w:rsidRPr="00BB71B4">
          <w:rPr>
            <w:rStyle w:val="TextoNormalCaracter"/>
          </w:rPr>
          <w:t>120/2015</w:t>
        </w:r>
      </w:hyperlink>
      <w:r w:rsidRPr="00BB71B4">
        <w:rPr>
          <w:rStyle w:val="TextoNormalCaracter"/>
        </w:rPr>
        <w:t xml:space="preserve">, ff. 1, 2; </w:t>
      </w:r>
      <w:hyperlink w:anchor="SENTENCIA_2015_121" w:history="1">
        <w:r w:rsidRPr="00BB71B4">
          <w:rPr>
            <w:rStyle w:val="TextoNormalCaracter"/>
          </w:rPr>
          <w:t>121/2015</w:t>
        </w:r>
      </w:hyperlink>
      <w:r w:rsidRPr="00BB71B4">
        <w:rPr>
          <w:rStyle w:val="TextoNormalCaracter"/>
        </w:rPr>
        <w:t xml:space="preserve">, ff. 1, 2; </w:t>
      </w:r>
      <w:hyperlink w:anchor="SENTENCIA_2015_122" w:history="1">
        <w:r w:rsidRPr="00BB71B4">
          <w:rPr>
            <w:rStyle w:val="TextoNormalCaracter"/>
          </w:rPr>
          <w:t>122/2015</w:t>
        </w:r>
      </w:hyperlink>
      <w:r w:rsidRPr="00BB71B4">
        <w:rPr>
          <w:rStyle w:val="TextoNormalCaracter"/>
        </w:rPr>
        <w:t xml:space="preserve">, ff. 1, 2; </w:t>
      </w:r>
      <w:hyperlink w:anchor="SENTENCIA_2015_123" w:history="1">
        <w:r w:rsidRPr="00BB71B4">
          <w:rPr>
            <w:rStyle w:val="TextoNormalCaracter"/>
          </w:rPr>
          <w:t>123/2015</w:t>
        </w:r>
      </w:hyperlink>
      <w:r w:rsidRPr="00BB71B4">
        <w:rPr>
          <w:rStyle w:val="TextoNormalCaracter"/>
        </w:rPr>
        <w:t xml:space="preserve">, ff. 1, 2; </w:t>
      </w:r>
      <w:hyperlink w:anchor="SENTENCIA_2015_125" w:history="1">
        <w:r w:rsidRPr="00BB71B4">
          <w:rPr>
            <w:rStyle w:val="TextoNormalCaracter"/>
          </w:rPr>
          <w:t>125/2015</w:t>
        </w:r>
      </w:hyperlink>
      <w:r w:rsidRPr="00BB71B4">
        <w:rPr>
          <w:rStyle w:val="TextoNormalCaracter"/>
        </w:rPr>
        <w:t xml:space="preserve">, ff. 1, 2; </w:t>
      </w:r>
      <w:hyperlink w:anchor="SENTENCIA_2015_126" w:history="1">
        <w:r w:rsidRPr="00BB71B4">
          <w:rPr>
            <w:rStyle w:val="TextoNormalCaracter"/>
          </w:rPr>
          <w:t>126/2015</w:t>
        </w:r>
      </w:hyperlink>
      <w:r w:rsidRPr="00BB71B4">
        <w:rPr>
          <w:rStyle w:val="TextoNormalCaracter"/>
        </w:rPr>
        <w:t xml:space="preserve">, ff. 1, 2; </w:t>
      </w:r>
      <w:hyperlink w:anchor="SENTENCIA_2015_127" w:history="1">
        <w:r w:rsidRPr="00BB71B4">
          <w:rPr>
            <w:rStyle w:val="TextoNormalCaracter"/>
          </w:rPr>
          <w:t>127/2015</w:t>
        </w:r>
      </w:hyperlink>
      <w:r w:rsidRPr="00BB71B4">
        <w:rPr>
          <w:rStyle w:val="TextoNormalCaracter"/>
        </w:rPr>
        <w:t xml:space="preserve">, ff. 1, 2; </w:t>
      </w:r>
      <w:hyperlink w:anchor="SENTENCIA_2015_128" w:history="1">
        <w:r w:rsidRPr="00BB71B4">
          <w:rPr>
            <w:rStyle w:val="TextoNormalCaracter"/>
          </w:rPr>
          <w:t>128/2015</w:t>
        </w:r>
      </w:hyperlink>
      <w:r w:rsidRPr="00BB71B4">
        <w:rPr>
          <w:rStyle w:val="TextoNormalCaracter"/>
        </w:rPr>
        <w:t xml:space="preserve">, ff. 1, 2; </w:t>
      </w:r>
      <w:hyperlink w:anchor="SENTENCIA_2015_129" w:history="1">
        <w:r w:rsidRPr="00BB71B4">
          <w:rPr>
            <w:rStyle w:val="TextoNormalCaracter"/>
          </w:rPr>
          <w:t>129/2015</w:t>
        </w:r>
      </w:hyperlink>
      <w:r w:rsidRPr="00BB71B4">
        <w:rPr>
          <w:rStyle w:val="TextoNormalCaracter"/>
        </w:rPr>
        <w:t xml:space="preserve">, ff. 1, 2; </w:t>
      </w:r>
      <w:hyperlink w:anchor="SENTENCIA_2015_130" w:history="1">
        <w:r w:rsidRPr="00BB71B4">
          <w:rPr>
            <w:rStyle w:val="TextoNormalCaracter"/>
          </w:rPr>
          <w:t>130/2015</w:t>
        </w:r>
      </w:hyperlink>
      <w:r w:rsidRPr="00BB71B4">
        <w:rPr>
          <w:rStyle w:val="TextoNormalCaracter"/>
        </w:rPr>
        <w:t xml:space="preserve">, ff. 1, 2; </w:t>
      </w:r>
      <w:hyperlink w:anchor="SENTENCIA_2015_131" w:history="1">
        <w:r w:rsidRPr="00BB71B4">
          <w:rPr>
            <w:rStyle w:val="TextoNormalCaracter"/>
          </w:rPr>
          <w:t>131/2015</w:t>
        </w:r>
      </w:hyperlink>
      <w:r w:rsidRPr="00BB71B4">
        <w:rPr>
          <w:rStyle w:val="TextoNormalCaracter"/>
        </w:rPr>
        <w:t xml:space="preserve">, ff. 1, 2; </w:t>
      </w:r>
      <w:hyperlink w:anchor="SENTENCIA_2015_132" w:history="1">
        <w:r w:rsidRPr="00BB71B4">
          <w:rPr>
            <w:rStyle w:val="TextoNormalCaracter"/>
          </w:rPr>
          <w:t>132/2015</w:t>
        </w:r>
      </w:hyperlink>
      <w:r w:rsidRPr="00BB71B4">
        <w:rPr>
          <w:rStyle w:val="TextoNormalCaracter"/>
        </w:rPr>
        <w:t xml:space="preserve">, ff. 1, 2; </w:t>
      </w:r>
      <w:hyperlink w:anchor="SENTENCIA_2015_133" w:history="1">
        <w:r w:rsidRPr="00BB71B4">
          <w:rPr>
            <w:rStyle w:val="TextoNormalCaracter"/>
          </w:rPr>
          <w:t>133/2015</w:t>
        </w:r>
      </w:hyperlink>
      <w:r w:rsidRPr="00BB71B4">
        <w:rPr>
          <w:rStyle w:val="TextoNormalCaracter"/>
        </w:rPr>
        <w:t xml:space="preserve">, ff. 1, 2; </w:t>
      </w:r>
      <w:hyperlink w:anchor="SENTENCIA_2015_134" w:history="1">
        <w:r w:rsidRPr="00BB71B4">
          <w:rPr>
            <w:rStyle w:val="TextoNormalCaracter"/>
          </w:rPr>
          <w:t>134/2015</w:t>
        </w:r>
      </w:hyperlink>
      <w:r w:rsidRPr="00BB71B4">
        <w:rPr>
          <w:rStyle w:val="TextoNormalCaracter"/>
        </w:rPr>
        <w:t xml:space="preserve">, ff. 1, 2; </w:t>
      </w:r>
      <w:hyperlink w:anchor="SENTENCIA_2015_135" w:history="1">
        <w:r w:rsidRPr="00BB71B4">
          <w:rPr>
            <w:rStyle w:val="TextoNormalCaracter"/>
          </w:rPr>
          <w:t>135/2015</w:t>
        </w:r>
      </w:hyperlink>
      <w:r w:rsidRPr="00BB71B4">
        <w:rPr>
          <w:rStyle w:val="TextoNormalCaracter"/>
        </w:rPr>
        <w:t xml:space="preserve">, ff. 1, 2; </w:t>
      </w:r>
      <w:hyperlink w:anchor="SENTENCIA_2015_144" w:history="1">
        <w:r w:rsidRPr="00BB71B4">
          <w:rPr>
            <w:rStyle w:val="TextoNormalCaracter"/>
          </w:rPr>
          <w:t>144/2015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558" w:name="DESCRIPTORALFABETICO272"/>
      <w:r w:rsidRPr="00BB71B4">
        <w:rPr>
          <w:rStyle w:val="TextoNormalNegritaCaracter"/>
        </w:rPr>
        <w:t>Pérdida sobrevenida de objeto de la cuestión de inconstitucionalidad</w:t>
      </w:r>
      <w:bookmarkEnd w:id="1558"/>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 4; </w:t>
      </w:r>
      <w:hyperlink w:anchor="SENTENCIA_2015_56" w:history="1">
        <w:r w:rsidRPr="00BB71B4">
          <w:rPr>
            <w:rStyle w:val="TextoNormalCaracter"/>
          </w:rPr>
          <w:t>56/2015</w:t>
        </w:r>
      </w:hyperlink>
      <w:r w:rsidRPr="00BB71B4">
        <w:rPr>
          <w:rStyle w:val="TextoNormalCaracter"/>
        </w:rPr>
        <w:t xml:space="preserve">, f. 3; </w:t>
      </w:r>
      <w:hyperlink w:anchor="SENTENCIA_2015_83" w:history="1">
        <w:r w:rsidRPr="00BB71B4">
          <w:rPr>
            <w:rStyle w:val="TextoNormalCaracter"/>
          </w:rPr>
          <w:t>83/2015</w:t>
        </w:r>
      </w:hyperlink>
      <w:r w:rsidRPr="00BB71B4">
        <w:rPr>
          <w:rStyle w:val="TextoNormalCaracter"/>
        </w:rPr>
        <w:t xml:space="preserve">, f. 3; </w:t>
      </w:r>
      <w:hyperlink w:anchor="SENTENCIA_2015_97" w:history="1">
        <w:r w:rsidRPr="00BB71B4">
          <w:rPr>
            <w:rStyle w:val="TextoNormalCaracter"/>
          </w:rPr>
          <w:t>97/2015</w:t>
        </w:r>
      </w:hyperlink>
      <w:r w:rsidRPr="00BB71B4">
        <w:rPr>
          <w:rStyle w:val="TextoNormalCaracter"/>
        </w:rPr>
        <w:t xml:space="preserve">, f. 3; </w:t>
      </w:r>
      <w:hyperlink w:anchor="SENTENCIA_2015_100" w:history="1">
        <w:r w:rsidRPr="00BB71B4">
          <w:rPr>
            <w:rStyle w:val="TextoNormalCaracter"/>
          </w:rPr>
          <w:t>100/2015</w:t>
        </w:r>
      </w:hyperlink>
      <w:r w:rsidRPr="00BB71B4">
        <w:rPr>
          <w:rStyle w:val="TextoNormalCaracter"/>
        </w:rPr>
        <w:t xml:space="preserve">, f. 3; </w:t>
      </w:r>
      <w:hyperlink w:anchor="SENTENCIA_2015_113" w:history="1">
        <w:r w:rsidRPr="00BB71B4">
          <w:rPr>
            <w:rStyle w:val="TextoNormalCaracter"/>
          </w:rPr>
          <w:t>113/2015</w:t>
        </w:r>
      </w:hyperlink>
      <w:r w:rsidRPr="00BB71B4">
        <w:rPr>
          <w:rStyle w:val="TextoNormalCaracter"/>
        </w:rPr>
        <w:t xml:space="preserve">, f. 3; </w:t>
      </w:r>
      <w:hyperlink w:anchor="SENTENCIA_2015_114" w:history="1">
        <w:r w:rsidRPr="00BB71B4">
          <w:rPr>
            <w:rStyle w:val="TextoNormalCaracter"/>
          </w:rPr>
          <w:t>114/2015</w:t>
        </w:r>
      </w:hyperlink>
      <w:r w:rsidRPr="00BB71B4">
        <w:rPr>
          <w:rStyle w:val="TextoNormalCaracter"/>
        </w:rPr>
        <w:t xml:space="preserve">, f. 3; </w:t>
      </w:r>
      <w:hyperlink w:anchor="SENTENCIA_2015_141" w:history="1">
        <w:r w:rsidRPr="00BB71B4">
          <w:rPr>
            <w:rStyle w:val="TextoNormalCaracter"/>
          </w:rPr>
          <w:t>141/2015</w:t>
        </w:r>
      </w:hyperlink>
      <w:r w:rsidRPr="00BB71B4">
        <w:rPr>
          <w:rStyle w:val="TextoNormalCaracter"/>
        </w:rPr>
        <w:t>, ff. 1 a 3.</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28" w:history="1">
        <w:r w:rsidRPr="00BB71B4">
          <w:rPr>
            <w:rStyle w:val="TextoNormalCaracter"/>
          </w:rPr>
          <w:t>28/2015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559" w:name="DESCRIPTORALFABETICO243"/>
      <w:r w:rsidRPr="00BB71B4">
        <w:rPr>
          <w:rStyle w:val="TextoNormalNegritaCaracter"/>
        </w:rPr>
        <w:t>Pérdida sobrevenida de objeto del proceso constitucional</w:t>
      </w:r>
      <w:bookmarkEnd w:id="1559"/>
      <w:r w:rsidRPr="00BB71B4">
        <w:rPr>
          <w:rStyle w:val="TextoNormalCaracter"/>
        </w:rPr>
        <w:t xml:space="preserve">, Sentencia </w:t>
      </w:r>
      <w:hyperlink w:anchor="SENTENCIA_2015_147" w:history="1">
        <w:r w:rsidRPr="00BB71B4">
          <w:rPr>
            <w:rStyle w:val="TextoNormalCaracter"/>
          </w:rPr>
          <w:t>147/2015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60" w:name="DESCRIPTORALFABETICO293"/>
      <w:r w:rsidRPr="00BB71B4">
        <w:rPr>
          <w:rStyle w:val="TextoNormalNegritaCaracter"/>
        </w:rPr>
        <w:t>Pérdida sobrevenida de objeto del recurso de amparo</w:t>
      </w:r>
      <w:bookmarkEnd w:id="1560"/>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ff. 3, 6.</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13" w:history="1">
        <w:r w:rsidRPr="00BB71B4">
          <w:rPr>
            <w:rStyle w:val="TextoNormalCaracter"/>
          </w:rPr>
          <w:t>13/2015</w:t>
        </w:r>
      </w:hyperlink>
      <w:r w:rsidRPr="00BB71B4">
        <w:rPr>
          <w:rStyle w:val="TextoNormalCaracter"/>
        </w:rPr>
        <w:t xml:space="preserve">, ff. 2, 3; </w:t>
      </w:r>
      <w:hyperlink w:anchor="AUTO_2015_108" w:history="1">
        <w:r w:rsidRPr="00BB71B4">
          <w:rPr>
            <w:rStyle w:val="TextoNormalCaracter"/>
          </w:rPr>
          <w:t>108/2015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561" w:name="DESCRIPTORALFABETICO286"/>
      <w:r w:rsidRPr="00BB71B4">
        <w:rPr>
          <w:rStyle w:val="TextoNormalNegritaCaracter"/>
        </w:rPr>
        <w:t>Pérdida sobrevenida de objeto del recurso de inconstitucionalidad</w:t>
      </w:r>
      <w:bookmarkEnd w:id="1561"/>
      <w:r w:rsidRPr="00BB71B4">
        <w:rPr>
          <w:rStyle w:val="TextoNormalCaracter"/>
        </w:rPr>
        <w:t xml:space="preserve">, Sentencias </w:t>
      </w:r>
      <w:hyperlink w:anchor="SENTENCIA_2015_28" w:history="1">
        <w:r w:rsidRPr="00BB71B4">
          <w:rPr>
            <w:rStyle w:val="TextoNormalCaracter"/>
          </w:rPr>
          <w:t>28/2015</w:t>
        </w:r>
      </w:hyperlink>
      <w:r w:rsidRPr="00BB71B4">
        <w:rPr>
          <w:rStyle w:val="TextoNormalCaracter"/>
        </w:rPr>
        <w:t xml:space="preserve">, f. 2; </w:t>
      </w:r>
      <w:hyperlink w:anchor="SENTENCIA_2015_48" w:history="1">
        <w:r w:rsidRPr="00BB71B4">
          <w:rPr>
            <w:rStyle w:val="TextoNormalCaracter"/>
          </w:rPr>
          <w:t>48/2015</w:t>
        </w:r>
      </w:hyperlink>
      <w:r w:rsidRPr="00BB71B4">
        <w:rPr>
          <w:rStyle w:val="TextoNormalCaracter"/>
        </w:rPr>
        <w:t xml:space="preserve">, f. 2; </w:t>
      </w:r>
      <w:hyperlink w:anchor="SENTENCIA_2015_57" w:history="1">
        <w:r w:rsidRPr="00BB71B4">
          <w:rPr>
            <w:rStyle w:val="TextoNormalCaracter"/>
          </w:rPr>
          <w:t>57/2015</w:t>
        </w:r>
      </w:hyperlink>
      <w:r w:rsidRPr="00BB71B4">
        <w:rPr>
          <w:rStyle w:val="TextoNormalCaracter"/>
        </w:rPr>
        <w:t xml:space="preserve">, f. 22; </w:t>
      </w:r>
      <w:hyperlink w:anchor="SENTENCIA_2015_93" w:history="1">
        <w:r w:rsidRPr="00BB71B4">
          <w:rPr>
            <w:rStyle w:val="TextoNormalCaracter"/>
          </w:rPr>
          <w:t>93/2015</w:t>
        </w:r>
      </w:hyperlink>
      <w:r w:rsidRPr="00BB71B4">
        <w:rPr>
          <w:rStyle w:val="TextoNormalCaracter"/>
        </w:rPr>
        <w:t>, f. 2.</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51" w:history="1">
        <w:r w:rsidRPr="00BB71B4">
          <w:rPr>
            <w:rStyle w:val="TextoNormalCaracter"/>
          </w:rPr>
          <w:t>51/2015</w:t>
        </w:r>
      </w:hyperlink>
      <w:r w:rsidRPr="00BB71B4">
        <w:rPr>
          <w:rStyle w:val="TextoNormalCaracter"/>
        </w:rPr>
        <w:t xml:space="preserve">, f. único; </w:t>
      </w:r>
      <w:hyperlink w:anchor="AUTO_2015_61" w:history="1">
        <w:r w:rsidRPr="00BB71B4">
          <w:rPr>
            <w:rStyle w:val="TextoNormalCaracter"/>
          </w:rPr>
          <w:t>61/2015</w:t>
        </w:r>
      </w:hyperlink>
      <w:r w:rsidRPr="00BB71B4">
        <w:rPr>
          <w:rStyle w:val="TextoNormalCaracter"/>
        </w:rPr>
        <w:t xml:space="preserve">, f. 1, 3 a); </w:t>
      </w:r>
      <w:hyperlink w:anchor="AUTO_2015_62" w:history="1">
        <w:r w:rsidRPr="00BB71B4">
          <w:rPr>
            <w:rStyle w:val="TextoNormalCaracter"/>
          </w:rPr>
          <w:t>62/2015</w:t>
        </w:r>
      </w:hyperlink>
      <w:r w:rsidRPr="00BB71B4">
        <w:rPr>
          <w:rStyle w:val="TextoNormalCaracter"/>
        </w:rPr>
        <w:t xml:space="preserve">, f. 1; </w:t>
      </w:r>
      <w:hyperlink w:anchor="AUTO_2015_63" w:history="1">
        <w:r w:rsidRPr="00BB71B4">
          <w:rPr>
            <w:rStyle w:val="TextoNormalCaracter"/>
          </w:rPr>
          <w:t>63/2015</w:t>
        </w:r>
      </w:hyperlink>
      <w:r w:rsidRPr="00BB71B4">
        <w:rPr>
          <w:rStyle w:val="TextoNormalCaracter"/>
        </w:rPr>
        <w:t>, f. 4.</w:t>
      </w:r>
    </w:p>
    <w:p w:rsidR="00BB71B4" w:rsidRPr="00BB71B4" w:rsidRDefault="00BB71B4" w:rsidP="00BB71B4">
      <w:pPr>
        <w:pStyle w:val="TextoNormalSangraFrancesa"/>
        <w:rPr>
          <w:rStyle w:val="TextoNormalCaracter"/>
        </w:rPr>
      </w:pPr>
      <w:bookmarkStart w:id="1562" w:name="DESCRIPTORALFABETICO244"/>
      <w:r w:rsidRPr="00BB71B4">
        <w:rPr>
          <w:rStyle w:val="TextoNormalNegritaCaracter"/>
        </w:rPr>
        <w:t>Pérdida sobrevenida de objeto por derogación de la norma</w:t>
      </w:r>
      <w:bookmarkEnd w:id="1562"/>
      <w:r w:rsidRPr="00BB71B4">
        <w:rPr>
          <w:rStyle w:val="TextoNormalCaracter"/>
        </w:rPr>
        <w:t xml:space="preserve">, Sentencias </w:t>
      </w:r>
      <w:hyperlink w:anchor="SENTENCIA_2015_93" w:history="1">
        <w:r w:rsidRPr="00BB71B4">
          <w:rPr>
            <w:rStyle w:val="TextoNormalCaracter"/>
          </w:rPr>
          <w:t>93/2015</w:t>
        </w:r>
      </w:hyperlink>
      <w:r w:rsidRPr="00BB71B4">
        <w:rPr>
          <w:rStyle w:val="TextoNormalCaracter"/>
        </w:rPr>
        <w:t xml:space="preserve">, f. 2; </w:t>
      </w:r>
      <w:hyperlink w:anchor="SENTENCIA_2015_105" w:history="1">
        <w:r w:rsidRPr="00BB71B4">
          <w:rPr>
            <w:rStyle w:val="TextoNormalCaracter"/>
          </w:rPr>
          <w:t>105/2015</w:t>
        </w:r>
      </w:hyperlink>
      <w:r w:rsidRPr="00BB71B4">
        <w:rPr>
          <w:rStyle w:val="TextoNormalCaracter"/>
        </w:rPr>
        <w:t xml:space="preserve">, f. 2; </w:t>
      </w:r>
      <w:hyperlink w:anchor="SENTENCIA_2015_106" w:history="1">
        <w:r w:rsidRPr="00BB71B4">
          <w:rPr>
            <w:rStyle w:val="TextoNormalCaracter"/>
          </w:rPr>
          <w:t>106/2015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63" w:name="DESCRIPTORALFABETICO245"/>
      <w:r w:rsidRPr="00BB71B4">
        <w:rPr>
          <w:rStyle w:val="TextoNormalNegritaCaracter"/>
        </w:rPr>
        <w:t>Pérdida sobrevenida de objeto por modificación de la norma</w:t>
      </w:r>
      <w:bookmarkEnd w:id="1563"/>
      <w:r w:rsidRPr="00BB71B4">
        <w:rPr>
          <w:rStyle w:val="TextoNormalCaracter"/>
        </w:rPr>
        <w:t xml:space="preserve">, Sentencias </w:t>
      </w:r>
      <w:hyperlink w:anchor="SENTENCIA_2015_28" w:history="1">
        <w:r w:rsidRPr="00BB71B4">
          <w:rPr>
            <w:rStyle w:val="TextoNormalCaracter"/>
          </w:rPr>
          <w:t>28/2015</w:t>
        </w:r>
      </w:hyperlink>
      <w:r w:rsidRPr="00BB71B4">
        <w:rPr>
          <w:rStyle w:val="TextoNormalCaracter"/>
        </w:rPr>
        <w:t xml:space="preserve">, f. 2; </w:t>
      </w:r>
      <w:hyperlink w:anchor="SENTENCIA_2015_92" w:history="1">
        <w:r w:rsidRPr="00BB71B4">
          <w:rPr>
            <w:rStyle w:val="TextoNormalCaracter"/>
          </w:rPr>
          <w:t>92/2015</w:t>
        </w:r>
      </w:hyperlink>
      <w:r w:rsidRPr="00BB71B4">
        <w:rPr>
          <w:rStyle w:val="TextoNormalCaracter"/>
        </w:rPr>
        <w:t>, ff. 5, 11.</w:t>
      </w:r>
    </w:p>
    <w:p w:rsidR="00BB71B4" w:rsidRPr="00BB71B4" w:rsidRDefault="00BB71B4" w:rsidP="00BB71B4">
      <w:pPr>
        <w:pStyle w:val="TextoNormalSangraFrancesa"/>
        <w:rPr>
          <w:rStyle w:val="TextoNormalCaracter"/>
        </w:rPr>
      </w:pPr>
      <w:bookmarkStart w:id="1564" w:name="DESCRIPTORALFABETICO629"/>
      <w:r w:rsidRPr="00BB71B4">
        <w:rPr>
          <w:rStyle w:val="TextoNormalNegritaCaracter"/>
        </w:rPr>
        <w:t>Período de prueba</w:t>
      </w:r>
      <w:bookmarkEnd w:id="1564"/>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ff. 3 apartados b), c) y e); </w:t>
      </w:r>
      <w:hyperlink w:anchor="SENTENCIA_2015_140" w:history="1">
        <w:r w:rsidRPr="00BB71B4">
          <w:rPr>
            <w:rStyle w:val="TextoNormalCaracter"/>
          </w:rPr>
          <w:t>140/2015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65" w:name="DESCRIPTORALFABETICO482"/>
      <w:r w:rsidRPr="00BB71B4">
        <w:rPr>
          <w:rStyle w:val="TextoNormalNegritaCaracter"/>
        </w:rPr>
        <w:t>Permiso de residencia</w:t>
      </w:r>
      <w:bookmarkEnd w:id="1565"/>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566" w:name="DESCRIPTORALFABETICO294"/>
      <w:r w:rsidRPr="00BB71B4">
        <w:rPr>
          <w:rStyle w:val="TextoNormalNegritaCaracter"/>
        </w:rPr>
        <w:t>Personados no demandantes del amparo</w:t>
      </w:r>
      <w:bookmarkEnd w:id="1566"/>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67" w:name="DESCRIPTORALFABETICO416"/>
      <w:r w:rsidRPr="00BB71B4">
        <w:rPr>
          <w:rStyle w:val="TextoNormalNegritaCaracter"/>
        </w:rPr>
        <w:t>Personal laboral</w:t>
      </w:r>
      <w:bookmarkEnd w:id="1567"/>
      <w:r w:rsidRPr="00BB71B4">
        <w:rPr>
          <w:rStyle w:val="TextoNormalCaracter"/>
        </w:rPr>
        <w:t xml:space="preserve">, Sentencias </w:t>
      </w:r>
      <w:hyperlink w:anchor="SENTENCIA_2015_83" w:history="1">
        <w:r w:rsidRPr="00BB71B4">
          <w:rPr>
            <w:rStyle w:val="TextoNormalCaracter"/>
          </w:rPr>
          <w:t>83/2015</w:t>
        </w:r>
      </w:hyperlink>
      <w:r w:rsidRPr="00BB71B4">
        <w:rPr>
          <w:rStyle w:val="TextoNormalCaracter"/>
        </w:rPr>
        <w:t xml:space="preserve">, ff. 1 a 3; </w:t>
      </w:r>
      <w:hyperlink w:anchor="SENTENCIA_2015_97" w:history="1">
        <w:r w:rsidRPr="00BB71B4">
          <w:rPr>
            <w:rStyle w:val="TextoNormalCaracter"/>
          </w:rPr>
          <w:t>97/2015</w:t>
        </w:r>
      </w:hyperlink>
      <w:r w:rsidRPr="00BB71B4">
        <w:rPr>
          <w:rStyle w:val="TextoNormalCaracter"/>
        </w:rPr>
        <w:t xml:space="preserve">, ff. 1 a 3; </w:t>
      </w:r>
      <w:hyperlink w:anchor="SENTENCIA_2015_100" w:history="1">
        <w:r w:rsidRPr="00BB71B4">
          <w:rPr>
            <w:rStyle w:val="TextoNormalCaracter"/>
          </w:rPr>
          <w:t>100/2015</w:t>
        </w:r>
      </w:hyperlink>
      <w:r w:rsidRPr="00BB71B4">
        <w:rPr>
          <w:rStyle w:val="TextoNormalCaracter"/>
        </w:rPr>
        <w:t xml:space="preserve">, ff. 1 a 3; </w:t>
      </w:r>
      <w:hyperlink w:anchor="SENTENCIA_2015_113" w:history="1">
        <w:r w:rsidRPr="00BB71B4">
          <w:rPr>
            <w:rStyle w:val="TextoNormalCaracter"/>
          </w:rPr>
          <w:t>113/2015</w:t>
        </w:r>
      </w:hyperlink>
      <w:r w:rsidRPr="00BB71B4">
        <w:rPr>
          <w:rStyle w:val="TextoNormalCaracter"/>
        </w:rPr>
        <w:t xml:space="preserve">, ff. 1 a 3; </w:t>
      </w:r>
      <w:hyperlink w:anchor="SENTENCIA_2015_114" w:history="1">
        <w:r w:rsidRPr="00BB71B4">
          <w:rPr>
            <w:rStyle w:val="TextoNormalCaracter"/>
          </w:rPr>
          <w:t>114/2015</w:t>
        </w:r>
      </w:hyperlink>
      <w:r w:rsidRPr="00BB71B4">
        <w:rPr>
          <w:rStyle w:val="TextoNormalCaracter"/>
        </w:rPr>
        <w:t xml:space="preserve">, ff. 1 a 3; </w:t>
      </w:r>
      <w:hyperlink w:anchor="SENTENCIA_2015_141" w:history="1">
        <w:r w:rsidRPr="00BB71B4">
          <w:rPr>
            <w:rStyle w:val="TextoNormalCaracter"/>
          </w:rPr>
          <w:t>141/2015</w:t>
        </w:r>
      </w:hyperlink>
      <w:r w:rsidRPr="00BB71B4">
        <w:rPr>
          <w:rStyle w:val="TextoNormalCaracter"/>
        </w:rPr>
        <w:t xml:space="preserve">, ff. 1 a 3; </w:t>
      </w:r>
      <w:hyperlink w:anchor="SENTENCIA_2015_143" w:history="1">
        <w:r w:rsidRPr="00BB71B4">
          <w:rPr>
            <w:rStyle w:val="TextoNormalCaracter"/>
          </w:rPr>
          <w:t>143/2015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68" w:name="DESCRIPTORALFABETICO577"/>
      <w:r w:rsidRPr="00BB71B4">
        <w:rPr>
          <w:rStyle w:val="TextoNormalNegritaCaracter"/>
        </w:rPr>
        <w:t>Personas con relevancia pública</w:t>
      </w:r>
      <w:bookmarkEnd w:id="1568"/>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4 a 7.</w:t>
      </w:r>
    </w:p>
    <w:p w:rsidR="00BB71B4" w:rsidRPr="00BB71B4" w:rsidRDefault="00BB71B4" w:rsidP="00BB71B4">
      <w:pPr>
        <w:pStyle w:val="TextoNormalSangraFrancesa"/>
        <w:rPr>
          <w:rStyle w:val="TextoNormalCaracter"/>
        </w:rPr>
      </w:pPr>
      <w:bookmarkStart w:id="1569" w:name="DESCRIPTORALFABETICO287"/>
      <w:r w:rsidRPr="00BB71B4">
        <w:rPr>
          <w:rStyle w:val="TextoNormalNegritaCaracter"/>
        </w:rPr>
        <w:t>Pervivencia del objeto del recurso de inconstitucionalidad</w:t>
      </w:r>
      <w:bookmarkEnd w:id="1569"/>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70" w:name="DESCRIPTORALFABETICO246"/>
      <w:r w:rsidRPr="00BB71B4">
        <w:rPr>
          <w:rStyle w:val="TextoNormalNegritaCaracter"/>
        </w:rPr>
        <w:t>Pervivencia del objeto pese a la derogación de la norma</w:t>
      </w:r>
      <w:bookmarkEnd w:id="1570"/>
      <w:r w:rsidRPr="00BB71B4">
        <w:rPr>
          <w:rStyle w:val="TextoNormalCaracter"/>
        </w:rPr>
        <w:t xml:space="preserve">, Sentencias </w:t>
      </w:r>
      <w:hyperlink w:anchor="SENTENCIA_2015_22" w:history="1">
        <w:r w:rsidRPr="00BB71B4">
          <w:rPr>
            <w:rStyle w:val="TextoNormalCaracter"/>
          </w:rPr>
          <w:t>22/2015</w:t>
        </w:r>
      </w:hyperlink>
      <w:r w:rsidRPr="00BB71B4">
        <w:rPr>
          <w:rStyle w:val="TextoNormalCaracter"/>
        </w:rPr>
        <w:t xml:space="preserve">, f. 1; </w:t>
      </w:r>
      <w:hyperlink w:anchor="SENTENCIA_2015_41" w:history="1">
        <w:r w:rsidRPr="00BB71B4">
          <w:rPr>
            <w:rStyle w:val="TextoNormalCaracter"/>
          </w:rPr>
          <w:t>41/2015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71" w:name="DESCRIPTORALFABETICO247"/>
      <w:r w:rsidRPr="00BB71B4">
        <w:rPr>
          <w:rStyle w:val="TextoNormalNegritaCaracter"/>
        </w:rPr>
        <w:t>Pervivencia del objeto pese a la modificación de la norma</w:t>
      </w:r>
      <w:bookmarkEnd w:id="1571"/>
      <w:r w:rsidRPr="00BB71B4">
        <w:rPr>
          <w:rStyle w:val="TextoNormalCaracter"/>
        </w:rPr>
        <w:t xml:space="preserve">, Sentencias </w:t>
      </w:r>
      <w:hyperlink w:anchor="SENTENCIA_2015_22" w:history="1">
        <w:r w:rsidRPr="00BB71B4">
          <w:rPr>
            <w:rStyle w:val="TextoNormalCaracter"/>
          </w:rPr>
          <w:t>22/2015</w:t>
        </w:r>
      </w:hyperlink>
      <w:r w:rsidRPr="00BB71B4">
        <w:rPr>
          <w:rStyle w:val="TextoNormalCaracter"/>
        </w:rPr>
        <w:t xml:space="preserve">, f. 2; </w:t>
      </w:r>
      <w:hyperlink w:anchor="SENTENCIA_2015_44" w:history="1">
        <w:r w:rsidRPr="00BB71B4">
          <w:rPr>
            <w:rStyle w:val="TextoNormalCaracter"/>
          </w:rPr>
          <w:t>44/2015</w:t>
        </w:r>
      </w:hyperlink>
      <w:r w:rsidRPr="00BB71B4">
        <w:rPr>
          <w:rStyle w:val="TextoNormalCaracter"/>
        </w:rPr>
        <w:t xml:space="preserve">, ff. 1, 3 a), 5 a); </w:t>
      </w:r>
      <w:hyperlink w:anchor="SENTENCIA_2015_62" w:history="1">
        <w:r w:rsidRPr="00BB71B4">
          <w:rPr>
            <w:rStyle w:val="TextoNormalCaracter"/>
          </w:rPr>
          <w:t>62/2015</w:t>
        </w:r>
      </w:hyperlink>
      <w:r w:rsidRPr="00BB71B4">
        <w:rPr>
          <w:rStyle w:val="TextoNormalCaracter"/>
        </w:rPr>
        <w:t>, f. 1.</w:t>
      </w:r>
    </w:p>
    <w:p w:rsidR="00BB71B4" w:rsidRPr="00BB71B4" w:rsidRDefault="00BB71B4" w:rsidP="00BB71B4">
      <w:pPr>
        <w:pStyle w:val="TextoNormalSangraFrancesa"/>
        <w:rPr>
          <w:rStyle w:val="TextoNormalCaracter"/>
        </w:rPr>
      </w:pPr>
      <w:bookmarkStart w:id="1572" w:name="DESCRIPTORALFABETICO598"/>
      <w:r w:rsidRPr="00BB71B4">
        <w:rPr>
          <w:rStyle w:val="TextoNormalNegritaCaracter"/>
        </w:rPr>
        <w:t>Píldora del día después</w:t>
      </w:r>
      <w:bookmarkEnd w:id="1572"/>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ff. 1, 5, VP I, VP II, VP III.</w:t>
      </w:r>
    </w:p>
    <w:p w:rsidR="00BB71B4" w:rsidRPr="00BB71B4" w:rsidRDefault="00BB71B4" w:rsidP="00BB71B4">
      <w:pPr>
        <w:pStyle w:val="TextoNormalSangraFrancesa"/>
        <w:rPr>
          <w:rStyle w:val="TextoNormalCaracter"/>
        </w:rPr>
      </w:pPr>
      <w:bookmarkStart w:id="1573" w:name="DESCRIPTORALFABETICO438"/>
      <w:r w:rsidRPr="00BB71B4">
        <w:rPr>
          <w:rStyle w:val="TextoNormalNegritaCaracter"/>
        </w:rPr>
        <w:t>Plan hidrológico nacional</w:t>
      </w:r>
      <w:bookmarkEnd w:id="1573"/>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74" w:name="DESCRIPTORALFABETICO514"/>
      <w:r w:rsidRPr="00BB71B4">
        <w:rPr>
          <w:rStyle w:val="TextoNormalNegritaCaracter"/>
        </w:rPr>
        <w:t>Planeamiento urbanístico general</w:t>
      </w:r>
      <w:bookmarkEnd w:id="1574"/>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1, 8 a 10, 12, 15 d), 17, 18, 20, 22; </w:t>
      </w:r>
      <w:hyperlink w:anchor="SENTENCIA_2015_92" w:history="1">
        <w:r w:rsidRPr="00BB71B4">
          <w:rPr>
            <w:rStyle w:val="TextoNormalCaracter"/>
          </w:rPr>
          <w:t>92/2015</w:t>
        </w:r>
      </w:hyperlink>
      <w:r w:rsidRPr="00BB71B4">
        <w:rPr>
          <w:rStyle w:val="TextoNormalCaracter"/>
        </w:rPr>
        <w:t>, ff. 7, 11.</w:t>
      </w:r>
    </w:p>
    <w:p w:rsidR="00BB71B4" w:rsidRPr="00BB71B4" w:rsidRDefault="00BB71B4" w:rsidP="00BB71B4">
      <w:pPr>
        <w:pStyle w:val="TextoNormalSangraFrancesa"/>
        <w:rPr>
          <w:rStyle w:val="TextoNormalCaracter"/>
        </w:rPr>
      </w:pPr>
      <w:bookmarkStart w:id="1575" w:name="DESCRIPTORALFABETICO56"/>
      <w:r w:rsidRPr="00BB71B4">
        <w:rPr>
          <w:rStyle w:val="TextoNormalNegritaCaracter"/>
        </w:rPr>
        <w:t>Planificación económica</w:t>
      </w:r>
      <w:bookmarkEnd w:id="1575"/>
      <w:r w:rsidRPr="00BB71B4">
        <w:rPr>
          <w:rStyle w:val="TextoNormalCaracter"/>
        </w:rPr>
        <w:t xml:space="preserve">, Sentencias </w:t>
      </w:r>
      <w:hyperlink w:anchor="SENTENCIA_2015_11" w:history="1">
        <w:r w:rsidRPr="00BB71B4">
          <w:rPr>
            <w:rStyle w:val="TextoNormalCaracter"/>
          </w:rPr>
          <w:t>11/2015</w:t>
        </w:r>
      </w:hyperlink>
      <w:r w:rsidRPr="00BB71B4">
        <w:rPr>
          <w:rStyle w:val="TextoNormalCaracter"/>
        </w:rPr>
        <w:t xml:space="preserve">, ff. 2 a 8; </w:t>
      </w:r>
      <w:hyperlink w:anchor="SENTENCIA_2015_93" w:history="1">
        <w:r w:rsidRPr="00BB71B4">
          <w:rPr>
            <w:rStyle w:val="TextoNormalCaracter"/>
          </w:rPr>
          <w:t>93/2015</w:t>
        </w:r>
      </w:hyperlink>
      <w:r w:rsidRPr="00BB71B4">
        <w:rPr>
          <w:rStyle w:val="TextoNormalCaracter"/>
        </w:rPr>
        <w:t>, ff. 16, 17.</w:t>
      </w:r>
    </w:p>
    <w:p w:rsidR="00BB71B4" w:rsidRPr="00BB71B4" w:rsidRDefault="00BB71B4" w:rsidP="00BB71B4">
      <w:pPr>
        <w:pStyle w:val="TextoNormalSangraFrancesa"/>
        <w:rPr>
          <w:rStyle w:val="TextoNormalCaracter"/>
        </w:rPr>
      </w:pPr>
      <w:bookmarkStart w:id="1576" w:name="DESCRIPTORALFABETICO265"/>
      <w:r w:rsidRPr="00BB71B4">
        <w:rPr>
          <w:rStyle w:val="TextoNormalNegritaCaracter"/>
        </w:rPr>
        <w:t>Planteamiento de cuestión interna durante el proceso</w:t>
      </w:r>
      <w:bookmarkEnd w:id="1576"/>
      <w:r w:rsidRPr="00BB71B4">
        <w:rPr>
          <w:rStyle w:val="TextoNormalCaracter"/>
        </w:rPr>
        <w:t xml:space="preserve">, Auto </w:t>
      </w:r>
      <w:hyperlink w:anchor="AUTO_2015_16" w:history="1">
        <w:r w:rsidRPr="00BB71B4">
          <w:rPr>
            <w:rStyle w:val="TextoNormalCaracter"/>
          </w:rPr>
          <w:t>16/2015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577" w:name="DESCRIPTORALFABETICO288"/>
      <w:r w:rsidRPr="00BB71B4">
        <w:rPr>
          <w:rStyle w:val="TextoNormalNegritaCaracter"/>
        </w:rPr>
        <w:t>Plazo de interposición de recurso de inconstitucionalidad</w:t>
      </w:r>
      <w:bookmarkEnd w:id="1577"/>
      <w:r w:rsidRPr="00BB71B4">
        <w:rPr>
          <w:rStyle w:val="TextoNormalCaracter"/>
        </w:rPr>
        <w:t xml:space="preserve">, Sentencias </w:t>
      </w:r>
      <w:hyperlink w:anchor="SENTENCIA_2015_14" w:history="1">
        <w:r w:rsidRPr="00BB71B4">
          <w:rPr>
            <w:rStyle w:val="TextoNormalCaracter"/>
          </w:rPr>
          <w:t>14/2015</w:t>
        </w:r>
      </w:hyperlink>
      <w:r w:rsidRPr="00BB71B4">
        <w:rPr>
          <w:rStyle w:val="TextoNormalCaracter"/>
        </w:rPr>
        <w:t xml:space="preserve">, f. 2; </w:t>
      </w:r>
      <w:hyperlink w:anchor="SENTENCIA_2015_103" w:history="1">
        <w:r w:rsidRPr="00BB71B4">
          <w:rPr>
            <w:rStyle w:val="TextoNormalCaracter"/>
          </w:rPr>
          <w:t>103/2015</w:t>
        </w:r>
      </w:hyperlink>
      <w:r w:rsidRPr="00BB71B4">
        <w:rPr>
          <w:rStyle w:val="TextoNormalCaracter"/>
        </w:rPr>
        <w:t>, f. 2 a.</w:t>
      </w:r>
    </w:p>
    <w:p w:rsidR="00BB71B4" w:rsidRPr="00BB71B4" w:rsidRDefault="00BB71B4" w:rsidP="00BB71B4">
      <w:pPr>
        <w:pStyle w:val="TextoNormalSangraFrancesa"/>
        <w:rPr>
          <w:rStyle w:val="TextoNormalCaracter"/>
        </w:rPr>
      </w:pPr>
      <w:bookmarkStart w:id="1578" w:name="DESCRIPTORALFABETICO567"/>
      <w:r w:rsidRPr="00BB71B4">
        <w:rPr>
          <w:rStyle w:val="TextoNormalNegritaCaracter"/>
        </w:rPr>
        <w:t>Plazo de prescripción de la pena</w:t>
      </w:r>
      <w:bookmarkEnd w:id="1578"/>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579" w:name="DESCRIPTORALFABETICO258"/>
      <w:r w:rsidRPr="00BB71B4">
        <w:rPr>
          <w:rStyle w:val="TextoNormalNegritaCaracter"/>
        </w:rPr>
        <w:t>Plazo para promover conflicto en defensa de la autonomía local</w:t>
      </w:r>
      <w:bookmarkEnd w:id="1579"/>
      <w:r w:rsidRPr="00BB71B4">
        <w:rPr>
          <w:rStyle w:val="TextoNormalCaracter"/>
        </w:rPr>
        <w:t xml:space="preserve">, Sentencia </w:t>
      </w:r>
      <w:hyperlink w:anchor="SENTENCIA_2015_92" w:history="1">
        <w:r w:rsidRPr="00BB71B4">
          <w:rPr>
            <w:rStyle w:val="TextoNormalCaracter"/>
          </w:rPr>
          <w:t>92/2015</w:t>
        </w:r>
      </w:hyperlink>
      <w:r w:rsidRPr="00BB71B4">
        <w:rPr>
          <w:rStyle w:val="TextoNormalCaracter"/>
        </w:rPr>
        <w:t>, f. 2 b).</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70" w:history="1">
        <w:r w:rsidRPr="00BB71B4">
          <w:rPr>
            <w:rStyle w:val="TextoNormalCaracter"/>
          </w:rPr>
          <w:t>70/2015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580" w:name="DESCRIPTORALFABETICO698"/>
      <w:r w:rsidRPr="00BB71B4">
        <w:rPr>
          <w:rStyle w:val="TextoNormalNegritaCaracter"/>
        </w:rPr>
        <w:t>Plazos procesales</w:t>
      </w:r>
      <w:bookmarkEnd w:id="1580"/>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581" w:name="DESCRIPTORALFABETICO396"/>
      <w:r w:rsidRPr="00BB71B4">
        <w:rPr>
          <w:rStyle w:val="TextoNormalNegritaCaracter"/>
        </w:rPr>
        <w:t>Pluralismo político</w:t>
      </w:r>
      <w:bookmarkEnd w:id="1581"/>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ff. 3, 6, 9.</w:t>
      </w:r>
    </w:p>
    <w:p w:rsidR="00BB71B4" w:rsidRPr="00BB71B4" w:rsidRDefault="00BB71B4" w:rsidP="00BB71B4">
      <w:pPr>
        <w:pStyle w:val="TextoNormalSangraFrancesa"/>
        <w:rPr>
          <w:rStyle w:val="TextoNormalCaracter"/>
        </w:rPr>
      </w:pPr>
      <w:bookmarkStart w:id="1582" w:name="DESCRIPTORALFABETICO59"/>
      <w:r w:rsidRPr="00BB71B4">
        <w:rPr>
          <w:rStyle w:val="TextoNormalNegritaCaracter"/>
        </w:rPr>
        <w:t>Política económica</w:t>
      </w:r>
      <w:bookmarkEnd w:id="1582"/>
      <w:r w:rsidRPr="00BB71B4">
        <w:rPr>
          <w:rStyle w:val="TextoNormalCaracter"/>
        </w:rPr>
        <w:t xml:space="preserve">, Sentencia </w:t>
      </w:r>
      <w:hyperlink w:anchor="SENTENCIA_2015_44" w:history="1">
        <w:r w:rsidRPr="00BB71B4">
          <w:rPr>
            <w:rStyle w:val="TextoNormalCaracter"/>
          </w:rPr>
          <w:t>44/2015</w:t>
        </w:r>
      </w:hyperlink>
      <w:r w:rsidRPr="00BB71B4">
        <w:rPr>
          <w:rStyle w:val="TextoNormalCaracter"/>
        </w:rPr>
        <w:t>, ff. 3 apartados b), d) y g), 5 e).</w:t>
      </w:r>
    </w:p>
    <w:p w:rsidR="00BB71B4" w:rsidRPr="00BB71B4" w:rsidRDefault="00BB71B4" w:rsidP="00BB71B4">
      <w:pPr>
        <w:pStyle w:val="TextoNormalSangraFrancesa"/>
        <w:rPr>
          <w:rStyle w:val="TextoNormalCaracter"/>
        </w:rPr>
      </w:pPr>
      <w:bookmarkStart w:id="1583" w:name="DESCRIPTORALFABETICO219"/>
      <w:r w:rsidRPr="00BB71B4">
        <w:rPr>
          <w:rStyle w:val="TextoNormalNegritaCaracter"/>
        </w:rPr>
        <w:t>Ponderación de derechos fundamentales</w:t>
      </w:r>
      <w:bookmarkEnd w:id="1583"/>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3, 4, 5, 6, 7.</w:t>
      </w:r>
    </w:p>
    <w:p w:rsidR="00BB71B4" w:rsidRPr="00BB71B4" w:rsidRDefault="00BB71B4" w:rsidP="00BB71B4">
      <w:pPr>
        <w:pStyle w:val="TextoNormalSangraFrancesa"/>
        <w:rPr>
          <w:rStyle w:val="TextoNormalCaracter"/>
        </w:rPr>
      </w:pPr>
      <w:bookmarkStart w:id="1584" w:name="DESCRIPTORALFABETICO386"/>
      <w:r w:rsidRPr="00BB71B4">
        <w:rPr>
          <w:rStyle w:val="TextoNormalNegritaCaracter"/>
        </w:rPr>
        <w:t>Ponderación de intereses</w:t>
      </w:r>
      <w:bookmarkEnd w:id="1584"/>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 5 b).</w:t>
      </w:r>
    </w:p>
    <w:p w:rsidR="00BB71B4" w:rsidRPr="00BB71B4" w:rsidRDefault="00BB71B4" w:rsidP="00BB71B4">
      <w:pPr>
        <w:pStyle w:val="TextoNormalSangraFrancesa"/>
        <w:rPr>
          <w:rStyle w:val="TextoNormalCaracter"/>
        </w:rPr>
      </w:pPr>
      <w:bookmarkStart w:id="1585" w:name="DESCRIPTORALFABETICO680"/>
      <w:r w:rsidRPr="00BB71B4">
        <w:rPr>
          <w:rStyle w:val="TextoNormalNegritaCaracter"/>
        </w:rPr>
        <w:t>Ponderación de la prueba de descargo</w:t>
      </w:r>
      <w:bookmarkEnd w:id="1585"/>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 5.</w:t>
      </w:r>
    </w:p>
    <w:p w:rsidR="00BB71B4" w:rsidRPr="00BB71B4" w:rsidRDefault="00BB71B4" w:rsidP="00BB71B4">
      <w:pPr>
        <w:pStyle w:val="TextoNormalSangraFrancesa"/>
        <w:rPr>
          <w:rStyle w:val="TextoNormalCaracter"/>
        </w:rPr>
      </w:pPr>
      <w:bookmarkStart w:id="1586" w:name="DESCRIPTORALFABETICO220"/>
      <w:r w:rsidRPr="00BB71B4">
        <w:rPr>
          <w:rStyle w:val="TextoNormalNegritaCaracter"/>
        </w:rPr>
        <w:t>Ponderación entre el derecho a la intimidad y la libertad de información</w:t>
      </w:r>
      <w:bookmarkEnd w:id="1586"/>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5, 7.</w:t>
      </w:r>
    </w:p>
    <w:p w:rsidR="00BB71B4" w:rsidRPr="00BB71B4" w:rsidRDefault="00BB71B4" w:rsidP="00BB71B4">
      <w:pPr>
        <w:pStyle w:val="TextoNormalSangraFrancesa"/>
        <w:rPr>
          <w:rStyle w:val="TextoNormalCaracter"/>
        </w:rPr>
      </w:pPr>
      <w:bookmarkStart w:id="1587" w:name="DESCRIPTORALFABETICO221"/>
      <w:r w:rsidRPr="00BB71B4">
        <w:rPr>
          <w:rStyle w:val="TextoNormalNegritaCaracter"/>
        </w:rPr>
        <w:t>Ponderación entre el derecho a la propia imagen y la libertad de información</w:t>
      </w:r>
      <w:bookmarkEnd w:id="1587"/>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4, 6.</w:t>
      </w:r>
    </w:p>
    <w:p w:rsidR="00BB71B4" w:rsidRPr="00BB71B4" w:rsidRDefault="00BB71B4" w:rsidP="00BB71B4">
      <w:pPr>
        <w:pStyle w:val="TextoNormalSangraFrancesa"/>
        <w:rPr>
          <w:rStyle w:val="TextoNormalCaracter"/>
        </w:rPr>
      </w:pPr>
      <w:bookmarkStart w:id="1588" w:name="DESCRIPTORALFABETICO222"/>
      <w:r w:rsidRPr="00BB71B4">
        <w:rPr>
          <w:rStyle w:val="TextoNormalNegritaCaracter"/>
        </w:rPr>
        <w:t>Ponderación entre el derecho al honor y la libertad de expresión</w:t>
      </w:r>
      <w:bookmarkEnd w:id="1588"/>
      <w:r w:rsidRPr="00BB71B4">
        <w:rPr>
          <w:rStyle w:val="TextoNormalCaracter"/>
        </w:rPr>
        <w:t xml:space="preserve">, Sentencia </w:t>
      </w:r>
      <w:hyperlink w:anchor="SENTENCIA_2015_65" w:history="1">
        <w:r w:rsidRPr="00BB71B4">
          <w:rPr>
            <w:rStyle w:val="TextoNormalCaracter"/>
          </w:rPr>
          <w:t>65/2015</w:t>
        </w:r>
      </w:hyperlink>
      <w:r w:rsidRPr="00BB71B4">
        <w:rPr>
          <w:rStyle w:val="TextoNormalCaracter"/>
        </w:rPr>
        <w:t>, ff. 1, 3, 4, VP I, VP II.</w:t>
      </w:r>
    </w:p>
    <w:p w:rsidR="00BB71B4" w:rsidRPr="00BB71B4" w:rsidRDefault="00BB71B4" w:rsidP="00BB71B4">
      <w:pPr>
        <w:pStyle w:val="TextoNormalSangraFrancesa"/>
        <w:rPr>
          <w:rStyle w:val="TextoNormalCaracter"/>
        </w:rPr>
      </w:pPr>
      <w:bookmarkStart w:id="1589" w:name="DESCRIPTORALFABETICO332"/>
      <w:r w:rsidRPr="00BB71B4">
        <w:rPr>
          <w:rStyle w:val="TextoNormalNegritaCaracter"/>
        </w:rPr>
        <w:t>Potestad legislativa del Estado</w:t>
      </w:r>
      <w:bookmarkEnd w:id="1589"/>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3 apartados c) a h); </w:t>
      </w:r>
      <w:hyperlink w:anchor="SENTENCIA_2015_62" w:history="1">
        <w:r w:rsidRPr="00BB71B4">
          <w:rPr>
            <w:rStyle w:val="TextoNormalCaracter"/>
          </w:rPr>
          <w:t>62/2015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90" w:name="DESCRIPTORALFABETICO322"/>
      <w:r w:rsidRPr="00BB71B4">
        <w:rPr>
          <w:rStyle w:val="TextoNormalNegritaCaracter"/>
        </w:rPr>
        <w:t>Potestad sancionadora</w:t>
      </w:r>
      <w:bookmarkEnd w:id="1590"/>
      <w:r w:rsidRPr="00BB71B4">
        <w:rPr>
          <w:rStyle w:val="TextoNormalCaracter"/>
        </w:rPr>
        <w:t xml:space="preserve">, Sentencia </w:t>
      </w:r>
      <w:hyperlink w:anchor="SENTENCIA_2015_57" w:history="1">
        <w:r w:rsidRPr="00BB71B4">
          <w:rPr>
            <w:rStyle w:val="TextoNormalCaracter"/>
          </w:rPr>
          <w:t>57/2015</w:t>
        </w:r>
      </w:hyperlink>
      <w:r w:rsidRPr="00BB71B4">
        <w:rPr>
          <w:rStyle w:val="TextoNormalCaracter"/>
        </w:rPr>
        <w:t>, f. 20.</w:t>
      </w:r>
    </w:p>
    <w:p w:rsidR="00BB71B4" w:rsidRPr="00BB71B4" w:rsidRDefault="00BB71B4" w:rsidP="00BB71B4">
      <w:pPr>
        <w:pStyle w:val="TextoNormalSangraFrancesa"/>
        <w:rPr>
          <w:rStyle w:val="TextoNormalCaracter"/>
        </w:rPr>
      </w:pPr>
      <w:bookmarkStart w:id="1591" w:name="DESCRIPTORALFABETICO76"/>
      <w:r w:rsidRPr="00BB71B4">
        <w:rPr>
          <w:rStyle w:val="TextoNormalNegritaCaracter"/>
        </w:rPr>
        <w:t>Potestad tributaria</w:t>
      </w:r>
      <w:bookmarkEnd w:id="1591"/>
      <w:r w:rsidRPr="00BB71B4">
        <w:rPr>
          <w:rStyle w:val="TextoNormalCaracter"/>
        </w:rPr>
        <w:t xml:space="preserve">, Sentencias </w:t>
      </w:r>
      <w:hyperlink w:anchor="SENTENCIA_2015_30" w:history="1">
        <w:r w:rsidRPr="00BB71B4">
          <w:rPr>
            <w:rStyle w:val="TextoNormalCaracter"/>
          </w:rPr>
          <w:t>30/2015</w:t>
        </w:r>
      </w:hyperlink>
      <w:r w:rsidRPr="00BB71B4">
        <w:rPr>
          <w:rStyle w:val="TextoNormalCaracter"/>
        </w:rPr>
        <w:t xml:space="preserve">, f. 3; </w:t>
      </w:r>
      <w:hyperlink w:anchor="SENTENCIA_2015_59" w:history="1">
        <w:r w:rsidRPr="00BB71B4">
          <w:rPr>
            <w:rStyle w:val="TextoNormalCaracter"/>
          </w:rPr>
          <w:t>59/2015</w:t>
        </w:r>
      </w:hyperlink>
      <w:r w:rsidRPr="00BB71B4">
        <w:rPr>
          <w:rStyle w:val="TextoNormalCaracter"/>
        </w:rPr>
        <w:t xml:space="preserve">, f. 2; </w:t>
      </w:r>
      <w:hyperlink w:anchor="SENTENCIA_2015_73" w:history="1">
        <w:r w:rsidRPr="00BB71B4">
          <w:rPr>
            <w:rStyle w:val="TextoNormalCaracter"/>
          </w:rPr>
          <w:t>73/2015</w:t>
        </w:r>
      </w:hyperlink>
      <w:r w:rsidRPr="00BB71B4">
        <w:rPr>
          <w:rStyle w:val="TextoNormalCaracter"/>
        </w:rPr>
        <w:t>, ff. 3, 4.</w:t>
      </w:r>
    </w:p>
    <w:p w:rsidR="00BB71B4" w:rsidRPr="00BB71B4" w:rsidRDefault="00BB71B4" w:rsidP="00BB71B4">
      <w:pPr>
        <w:pStyle w:val="TextoNormalSangraFrancesa"/>
        <w:rPr>
          <w:rStyle w:val="TextoNormalCaracter"/>
        </w:rPr>
      </w:pPr>
      <w:r w:rsidRPr="00BB71B4">
        <w:rPr>
          <w:rStyle w:val="TextoNormalCursivaCaracter"/>
        </w:rPr>
        <w:t xml:space="preserve">    Alcance, </w:t>
      </w:r>
      <w:r w:rsidRPr="00BB71B4">
        <w:rPr>
          <w:rStyle w:val="TextoNormalCaracter"/>
        </w:rPr>
        <w:t xml:space="preserve">Sentencia </w:t>
      </w:r>
      <w:hyperlink w:anchor="SENTENCIA_2015_26" w:history="1">
        <w:r w:rsidRPr="00BB71B4">
          <w:rPr>
            <w:rStyle w:val="TextoNormalCaracter"/>
          </w:rPr>
          <w:t>26/2015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592" w:name="DESCRIPTORALFABETICO13"/>
      <w:r w:rsidRPr="00BB71B4">
        <w:rPr>
          <w:rStyle w:val="TextoNormalNegritaCaracter"/>
        </w:rPr>
        <w:t>Potestades ejecutivas</w:t>
      </w:r>
      <w:bookmarkEnd w:id="1592"/>
      <w:r w:rsidRPr="00BB71B4">
        <w:rPr>
          <w:rStyle w:val="TextoNormalCaracter"/>
        </w:rPr>
        <w:t xml:space="preserve">, Sentencia </w:t>
      </w:r>
      <w:hyperlink w:anchor="SENTENCIA_2015_85" w:history="1">
        <w:r w:rsidRPr="00BB71B4">
          <w:rPr>
            <w:rStyle w:val="TextoNormalCaracter"/>
          </w:rPr>
          <w:t>85/2015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593" w:name="DESCRIPTORALFABETICO704"/>
      <w:r w:rsidRPr="00BB71B4">
        <w:rPr>
          <w:rStyle w:val="TextoNormalNegritaCaracter"/>
        </w:rPr>
        <w:t>Preparación de recurso de casación</w:t>
      </w:r>
      <w:bookmarkEnd w:id="1593"/>
      <w:r w:rsidRPr="00BB71B4">
        <w:rPr>
          <w:rStyle w:val="TextoNormalCaracter"/>
        </w:rPr>
        <w:t xml:space="preserve">, Sentencias </w:t>
      </w:r>
      <w:hyperlink w:anchor="SENTENCIA_2015_16" w:history="1">
        <w:r w:rsidRPr="00BB71B4">
          <w:rPr>
            <w:rStyle w:val="TextoNormalCaracter"/>
          </w:rPr>
          <w:t>16/2015</w:t>
        </w:r>
      </w:hyperlink>
      <w:r w:rsidRPr="00BB71B4">
        <w:rPr>
          <w:rStyle w:val="TextoNormalCaracter"/>
        </w:rPr>
        <w:t xml:space="preserve">, ff. 1 a 3; </w:t>
      </w:r>
      <w:hyperlink w:anchor="SENTENCIA_2015_17" w:history="1">
        <w:r w:rsidRPr="00BB71B4">
          <w:rPr>
            <w:rStyle w:val="TextoNormalCaracter"/>
          </w:rPr>
          <w:t>17/2015</w:t>
        </w:r>
      </w:hyperlink>
      <w:r w:rsidRPr="00BB71B4">
        <w:rPr>
          <w:rStyle w:val="TextoNormalCaracter"/>
        </w:rPr>
        <w:t xml:space="preserve">, f. 2; </w:t>
      </w:r>
      <w:hyperlink w:anchor="SENTENCIA_2015_20" w:history="1">
        <w:r w:rsidRPr="00BB71B4">
          <w:rPr>
            <w:rStyle w:val="TextoNormalCaracter"/>
          </w:rPr>
          <w:t>20/2015</w:t>
        </w:r>
      </w:hyperlink>
      <w:r w:rsidRPr="00BB71B4">
        <w:rPr>
          <w:rStyle w:val="TextoNormalCaracter"/>
        </w:rPr>
        <w:t xml:space="preserve">, f. 2; </w:t>
      </w:r>
      <w:hyperlink w:anchor="SENTENCIA_2015_34" w:history="1">
        <w:r w:rsidRPr="00BB71B4">
          <w:rPr>
            <w:rStyle w:val="TextoNormalCaracter"/>
          </w:rPr>
          <w:t>34/2015</w:t>
        </w:r>
      </w:hyperlink>
      <w:r w:rsidRPr="00BB71B4">
        <w:rPr>
          <w:rStyle w:val="TextoNormalCaracter"/>
        </w:rPr>
        <w:t xml:space="preserve">, ff. 1 a 3; </w:t>
      </w:r>
      <w:hyperlink w:anchor="SENTENCIA_2015_35" w:history="1">
        <w:r w:rsidRPr="00BB71B4">
          <w:rPr>
            <w:rStyle w:val="TextoNormalCaracter"/>
          </w:rPr>
          <w:t>35/2015</w:t>
        </w:r>
      </w:hyperlink>
      <w:r w:rsidRPr="00BB71B4">
        <w:rPr>
          <w:rStyle w:val="TextoNormalCaracter"/>
        </w:rPr>
        <w:t xml:space="preserve">, ff. 1 a 3; </w:t>
      </w:r>
      <w:hyperlink w:anchor="SENTENCIA_2015_36" w:history="1">
        <w:r w:rsidRPr="00BB71B4">
          <w:rPr>
            <w:rStyle w:val="TextoNormalCaracter"/>
          </w:rPr>
          <w:t>36/2015</w:t>
        </w:r>
      </w:hyperlink>
      <w:r w:rsidRPr="00BB71B4">
        <w:rPr>
          <w:rStyle w:val="TextoNormalCaracter"/>
        </w:rPr>
        <w:t xml:space="preserve">, ff. 1 a 3; </w:t>
      </w:r>
      <w:hyperlink w:anchor="SENTENCIA_2015_37" w:history="1">
        <w:r w:rsidRPr="00BB71B4">
          <w:rPr>
            <w:rStyle w:val="TextoNormalCaracter"/>
          </w:rPr>
          <w:t>37/2015</w:t>
        </w:r>
      </w:hyperlink>
      <w:r w:rsidRPr="00BB71B4">
        <w:rPr>
          <w:rStyle w:val="TextoNormalCaracter"/>
        </w:rPr>
        <w:t xml:space="preserve">, f. 2; </w:t>
      </w:r>
      <w:hyperlink w:anchor="SENTENCIA_2015_38" w:history="1">
        <w:r w:rsidRPr="00BB71B4">
          <w:rPr>
            <w:rStyle w:val="TextoNormalCaracter"/>
          </w:rPr>
          <w:t>38/2015</w:t>
        </w:r>
      </w:hyperlink>
      <w:r w:rsidRPr="00BB71B4">
        <w:rPr>
          <w:rStyle w:val="TextoNormalCaracter"/>
        </w:rPr>
        <w:t xml:space="preserve">, f. 2; </w:t>
      </w:r>
      <w:hyperlink w:anchor="SENTENCIA_2015_40" w:history="1">
        <w:r w:rsidRPr="00BB71B4">
          <w:rPr>
            <w:rStyle w:val="TextoNormalCaracter"/>
          </w:rPr>
          <w:t>40/2015</w:t>
        </w:r>
      </w:hyperlink>
      <w:r w:rsidRPr="00BB71B4">
        <w:rPr>
          <w:rStyle w:val="TextoNormalCaracter"/>
        </w:rPr>
        <w:t xml:space="preserve">, ff. 1 a 3; </w:t>
      </w:r>
      <w:hyperlink w:anchor="SENTENCIA_2015_51" w:history="1">
        <w:r w:rsidRPr="00BB71B4">
          <w:rPr>
            <w:rStyle w:val="TextoNormalCaracter"/>
          </w:rPr>
          <w:t>51/2015</w:t>
        </w:r>
      </w:hyperlink>
      <w:r w:rsidRPr="00BB71B4">
        <w:rPr>
          <w:rStyle w:val="TextoNormalCaracter"/>
        </w:rPr>
        <w:t xml:space="preserve">, ff. 1 a 3; </w:t>
      </w:r>
      <w:hyperlink w:anchor="SENTENCIA_2015_52" w:history="1">
        <w:r w:rsidRPr="00BB71B4">
          <w:rPr>
            <w:rStyle w:val="TextoNormalCaracter"/>
          </w:rPr>
          <w:t>52/2015</w:t>
        </w:r>
      </w:hyperlink>
      <w:r w:rsidRPr="00BB71B4">
        <w:rPr>
          <w:rStyle w:val="TextoNormalCaracter"/>
        </w:rPr>
        <w:t xml:space="preserve">, f. 2; </w:t>
      </w:r>
      <w:hyperlink w:anchor="SENTENCIA_2015_53" w:history="1">
        <w:r w:rsidRPr="00BB71B4">
          <w:rPr>
            <w:rStyle w:val="TextoNormalCaracter"/>
          </w:rPr>
          <w:t>53/2015</w:t>
        </w:r>
      </w:hyperlink>
      <w:r w:rsidRPr="00BB71B4">
        <w:rPr>
          <w:rStyle w:val="TextoNormalCaracter"/>
        </w:rPr>
        <w:t xml:space="preserve">, ff. 1 a 3; </w:t>
      </w:r>
      <w:hyperlink w:anchor="SENTENCIA_2015_64" w:history="1">
        <w:r w:rsidRPr="00BB71B4">
          <w:rPr>
            <w:rStyle w:val="TextoNormalCaracter"/>
          </w:rPr>
          <w:t>64/2015</w:t>
        </w:r>
      </w:hyperlink>
      <w:r w:rsidRPr="00BB71B4">
        <w:rPr>
          <w:rStyle w:val="TextoNormalCaracter"/>
        </w:rPr>
        <w:t xml:space="preserve">, f. 2; </w:t>
      </w:r>
      <w:hyperlink w:anchor="SENTENCIA_2015_67" w:history="1">
        <w:r w:rsidRPr="00BB71B4">
          <w:rPr>
            <w:rStyle w:val="TextoNormalCaracter"/>
          </w:rPr>
          <w:t>67/2015</w:t>
        </w:r>
      </w:hyperlink>
      <w:r w:rsidRPr="00BB71B4">
        <w:rPr>
          <w:rStyle w:val="TextoNormalCaracter"/>
        </w:rPr>
        <w:t xml:space="preserve">, ff. 1 a 3; </w:t>
      </w:r>
      <w:hyperlink w:anchor="SENTENCIA_2015_68" w:history="1">
        <w:r w:rsidRPr="00BB71B4">
          <w:rPr>
            <w:rStyle w:val="TextoNormalCaracter"/>
          </w:rPr>
          <w:t>68/2015</w:t>
        </w:r>
      </w:hyperlink>
      <w:r w:rsidRPr="00BB71B4">
        <w:rPr>
          <w:rStyle w:val="TextoNormalCaracter"/>
        </w:rPr>
        <w:t xml:space="preserve">, ff. 1 a 3; </w:t>
      </w:r>
      <w:hyperlink w:anchor="SENTENCIA_2015_69" w:history="1">
        <w:r w:rsidRPr="00BB71B4">
          <w:rPr>
            <w:rStyle w:val="TextoNormalCaracter"/>
          </w:rPr>
          <w:t>69/2015</w:t>
        </w:r>
      </w:hyperlink>
      <w:r w:rsidRPr="00BB71B4">
        <w:rPr>
          <w:rStyle w:val="TextoNormalCaracter"/>
        </w:rPr>
        <w:t xml:space="preserve">, ff. 1 a 3; </w:t>
      </w:r>
      <w:hyperlink w:anchor="SENTENCIA_2015_70" w:history="1">
        <w:r w:rsidRPr="00BB71B4">
          <w:rPr>
            <w:rStyle w:val="TextoNormalCaracter"/>
          </w:rPr>
          <w:t>70/2015</w:t>
        </w:r>
      </w:hyperlink>
      <w:r w:rsidRPr="00BB71B4">
        <w:rPr>
          <w:rStyle w:val="TextoNormalCaracter"/>
        </w:rPr>
        <w:t xml:space="preserve">, ff. 1 a 3; </w:t>
      </w:r>
      <w:hyperlink w:anchor="SENTENCIA_2015_71" w:history="1">
        <w:r w:rsidRPr="00BB71B4">
          <w:rPr>
            <w:rStyle w:val="TextoNormalCaracter"/>
          </w:rPr>
          <w:t>71/2015</w:t>
        </w:r>
      </w:hyperlink>
      <w:r w:rsidRPr="00BB71B4">
        <w:rPr>
          <w:rStyle w:val="TextoNormalCaracter"/>
        </w:rPr>
        <w:t xml:space="preserve">, ff. 1 a 2; </w:t>
      </w:r>
      <w:hyperlink w:anchor="SENTENCIA_2015_72" w:history="1">
        <w:r w:rsidRPr="00BB71B4">
          <w:rPr>
            <w:rStyle w:val="TextoNormalCaracter"/>
          </w:rPr>
          <w:t>72/2015</w:t>
        </w:r>
      </w:hyperlink>
      <w:r w:rsidRPr="00BB71B4">
        <w:rPr>
          <w:rStyle w:val="TextoNormalCaracter"/>
        </w:rPr>
        <w:t xml:space="preserve">, ff. 1 a 3; </w:t>
      </w:r>
      <w:hyperlink w:anchor="SENTENCIA_2015_75" w:history="1">
        <w:r w:rsidRPr="00BB71B4">
          <w:rPr>
            <w:rStyle w:val="TextoNormalCaracter"/>
          </w:rPr>
          <w:t>75/2015</w:t>
        </w:r>
      </w:hyperlink>
      <w:r w:rsidRPr="00BB71B4">
        <w:rPr>
          <w:rStyle w:val="TextoNormalCaracter"/>
        </w:rPr>
        <w:t xml:space="preserve">, ff. 1 a 2; </w:t>
      </w:r>
      <w:hyperlink w:anchor="SENTENCIA_2015_76" w:history="1">
        <w:r w:rsidRPr="00BB71B4">
          <w:rPr>
            <w:rStyle w:val="TextoNormalCaracter"/>
          </w:rPr>
          <w:t>76/2015</w:t>
        </w:r>
      </w:hyperlink>
      <w:r w:rsidRPr="00BB71B4">
        <w:rPr>
          <w:rStyle w:val="TextoNormalCaracter"/>
        </w:rPr>
        <w:t xml:space="preserve">, ff. 1 a 3; </w:t>
      </w:r>
      <w:hyperlink w:anchor="SENTENCIA_2015_78" w:history="1">
        <w:r w:rsidRPr="00BB71B4">
          <w:rPr>
            <w:rStyle w:val="TextoNormalCaracter"/>
          </w:rPr>
          <w:t>78/2015</w:t>
        </w:r>
      </w:hyperlink>
      <w:r w:rsidRPr="00BB71B4">
        <w:rPr>
          <w:rStyle w:val="TextoNormalCaracter"/>
        </w:rPr>
        <w:t xml:space="preserve">, ff. 1 a 2; </w:t>
      </w:r>
      <w:hyperlink w:anchor="SENTENCIA_2015_80" w:history="1">
        <w:r w:rsidRPr="00BB71B4">
          <w:rPr>
            <w:rStyle w:val="TextoNormalCaracter"/>
          </w:rPr>
          <w:t>80/2015</w:t>
        </w:r>
      </w:hyperlink>
      <w:r w:rsidRPr="00BB71B4">
        <w:rPr>
          <w:rStyle w:val="TextoNormalCaracter"/>
        </w:rPr>
        <w:t xml:space="preserve">, ff. 1 a 3; </w:t>
      </w:r>
      <w:hyperlink w:anchor="SENTENCIA_2015_82" w:history="1">
        <w:r w:rsidRPr="00BB71B4">
          <w:rPr>
            <w:rStyle w:val="TextoNormalCaracter"/>
          </w:rPr>
          <w:t>82/2015</w:t>
        </w:r>
      </w:hyperlink>
      <w:r w:rsidRPr="00BB71B4">
        <w:rPr>
          <w:rStyle w:val="TextoNormalCaracter"/>
        </w:rPr>
        <w:t xml:space="preserve">, ff. 1 a 3; </w:t>
      </w:r>
      <w:hyperlink w:anchor="SENTENCIA_2015_139" w:history="1">
        <w:r w:rsidRPr="00BB71B4">
          <w:rPr>
            <w:rStyle w:val="TextoNormalCaracter"/>
          </w:rPr>
          <w:t>139/2015</w:t>
        </w:r>
      </w:hyperlink>
      <w:r w:rsidRPr="00BB71B4">
        <w:rPr>
          <w:rStyle w:val="TextoNormalCaracter"/>
        </w:rPr>
        <w:t>, f. 2.</w:t>
      </w:r>
    </w:p>
    <w:p w:rsidR="00BB71B4" w:rsidRPr="00BB71B4" w:rsidRDefault="00BB71B4" w:rsidP="00BB71B4">
      <w:pPr>
        <w:pStyle w:val="TextoNormalSangraFrancesa"/>
        <w:rPr>
          <w:rStyle w:val="TextoNormalCaracter"/>
        </w:rPr>
      </w:pPr>
      <w:bookmarkStart w:id="1594" w:name="DESCRIPTORALFABETICO565"/>
      <w:r w:rsidRPr="00BB71B4">
        <w:rPr>
          <w:rStyle w:val="TextoNormalNegritaCaracter"/>
        </w:rPr>
        <w:t>Prescripción de la pena</w:t>
      </w:r>
      <w:bookmarkEnd w:id="1594"/>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595" w:name="DESCRIPTORALFABETICO599"/>
      <w:r w:rsidRPr="00BB71B4">
        <w:rPr>
          <w:rStyle w:val="TextoNormalNegritaCaracter"/>
        </w:rPr>
        <w:t>Preservativos</w:t>
      </w:r>
      <w:bookmarkEnd w:id="1595"/>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ff. 5, 6, VP I.</w:t>
      </w:r>
    </w:p>
    <w:p w:rsidR="00BB71B4" w:rsidRPr="00BB71B4" w:rsidRDefault="00BB71B4" w:rsidP="00BB71B4">
      <w:pPr>
        <w:pStyle w:val="TextoNormalSangraFrancesa"/>
        <w:rPr>
          <w:rStyle w:val="TextoNormalCaracter"/>
        </w:rPr>
      </w:pPr>
      <w:bookmarkStart w:id="1596" w:name="DESCRIPTORALFABETICO610"/>
      <w:r w:rsidRPr="00BB71B4">
        <w:rPr>
          <w:rStyle w:val="TextoNormalNegritaCaracter"/>
        </w:rPr>
        <w:t>Prestaciones de la Seguridad Social</w:t>
      </w:r>
      <w:bookmarkEnd w:id="1596"/>
      <w:r w:rsidRPr="00BB71B4">
        <w:rPr>
          <w:rStyle w:val="TextoNormalCaracter"/>
        </w:rPr>
        <w:t xml:space="preserve">, Sentencias </w:t>
      </w:r>
      <w:hyperlink w:anchor="SENTENCIA_2015_6" w:history="1">
        <w:r w:rsidRPr="00BB71B4">
          <w:rPr>
            <w:rStyle w:val="TextoNormalCaracter"/>
          </w:rPr>
          <w:t>6/2015</w:t>
        </w:r>
      </w:hyperlink>
      <w:r w:rsidRPr="00BB71B4">
        <w:rPr>
          <w:rStyle w:val="TextoNormalCaracter"/>
        </w:rPr>
        <w:t xml:space="preserve">, f. 2 a); </w:t>
      </w:r>
      <w:hyperlink w:anchor="SENTENCIA_2015_110" w:history="1">
        <w:r w:rsidRPr="00BB71B4">
          <w:rPr>
            <w:rStyle w:val="TextoNormalCaracter"/>
          </w:rPr>
          <w:t>110/2015</w:t>
        </w:r>
      </w:hyperlink>
      <w:r w:rsidRPr="00BB71B4">
        <w:rPr>
          <w:rStyle w:val="TextoNormalCaracter"/>
        </w:rPr>
        <w:t>, ff. 4, 5, 8.</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112" w:history="1">
        <w:r w:rsidRPr="00BB71B4">
          <w:rPr>
            <w:rStyle w:val="TextoNormalCaracter"/>
          </w:rPr>
          <w:t>112/2015</w:t>
        </w:r>
      </w:hyperlink>
      <w:r w:rsidRPr="00BB71B4">
        <w:rPr>
          <w:rStyle w:val="TextoNormalCaracter"/>
        </w:rPr>
        <w:t>, f. 4.</w:t>
      </w:r>
    </w:p>
    <w:p w:rsidR="00BB71B4" w:rsidRPr="00BB71B4" w:rsidRDefault="00BB71B4" w:rsidP="00BB71B4">
      <w:pPr>
        <w:pStyle w:val="TextoNormalSangraFrancesa"/>
        <w:rPr>
          <w:rStyle w:val="TextoNormalCaracter"/>
        </w:rPr>
      </w:pPr>
      <w:bookmarkStart w:id="1597" w:name="DESCRIPTORALFABETICO616"/>
      <w:r w:rsidRPr="00BB71B4">
        <w:rPr>
          <w:rStyle w:val="TextoNormalNegritaCaracter"/>
        </w:rPr>
        <w:t>Prestaciones médico-quirúrgicas</w:t>
      </w:r>
      <w:bookmarkEnd w:id="1597"/>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598" w:name="DESCRIPTORALFABETICO50"/>
      <w:r w:rsidRPr="00BB71B4">
        <w:rPr>
          <w:rStyle w:val="TextoNormalNegritaCaracter"/>
        </w:rPr>
        <w:t>Prestaciones patrimoniales de carácter público</w:t>
      </w:r>
      <w:bookmarkEnd w:id="1598"/>
      <w:r w:rsidRPr="00BB71B4">
        <w:rPr>
          <w:rStyle w:val="TextoNormalCaracter"/>
        </w:rPr>
        <w:t xml:space="preserve">, Sentencia </w:t>
      </w:r>
      <w:hyperlink w:anchor="SENTENCIA_2015_44" w:history="1">
        <w:r w:rsidRPr="00BB71B4">
          <w:rPr>
            <w:rStyle w:val="TextoNormalCaracter"/>
          </w:rPr>
          <w:t>44/2015</w:t>
        </w:r>
      </w:hyperlink>
      <w:r w:rsidRPr="00BB71B4">
        <w:rPr>
          <w:rStyle w:val="TextoNormalCaracter"/>
        </w:rPr>
        <w:t>, f. 5.</w:t>
      </w:r>
    </w:p>
    <w:p w:rsidR="00BB71B4" w:rsidRPr="00BB71B4" w:rsidRDefault="00BB71B4" w:rsidP="00BB71B4">
      <w:pPr>
        <w:pStyle w:val="TextoNormalSangraFrancesa"/>
        <w:rPr>
          <w:rStyle w:val="TextoNormalCaracter"/>
        </w:rPr>
      </w:pPr>
      <w:r w:rsidRPr="00BB71B4">
        <w:rPr>
          <w:rStyle w:val="TextoNormalCursivaCaracter"/>
        </w:rPr>
        <w:t xml:space="preserve">    Concepto, </w:t>
      </w:r>
      <w:r w:rsidRPr="00BB71B4">
        <w:rPr>
          <w:rStyle w:val="TextoNormalCaracter"/>
        </w:rPr>
        <w:t xml:space="preserve">Sentencia </w:t>
      </w:r>
      <w:hyperlink w:anchor="SENTENCIA_2015_62" w:history="1">
        <w:r w:rsidRPr="00BB71B4">
          <w:rPr>
            <w:rStyle w:val="TextoNormalCaracter"/>
          </w:rPr>
          <w:t>62/2015</w:t>
        </w:r>
      </w:hyperlink>
      <w:r w:rsidRPr="00BB71B4">
        <w:rPr>
          <w:rStyle w:val="TextoNormalCaracter"/>
        </w:rPr>
        <w:t>, f. 3.</w:t>
      </w:r>
    </w:p>
    <w:p w:rsidR="00BB71B4" w:rsidRPr="00BB71B4" w:rsidRDefault="00BB71B4" w:rsidP="00BB71B4">
      <w:pPr>
        <w:pStyle w:val="TextoNormalSangraFrancesa"/>
        <w:rPr>
          <w:rStyle w:val="TextoNormalCaracter"/>
        </w:rPr>
      </w:pPr>
      <w:bookmarkStart w:id="1599" w:name="DESCRIPTORALFABETICO617"/>
      <w:r w:rsidRPr="00BB71B4">
        <w:rPr>
          <w:rStyle w:val="TextoNormalNegritaCaracter"/>
        </w:rPr>
        <w:t>Prestaciones por desempleo</w:t>
      </w:r>
      <w:bookmarkEnd w:id="1599"/>
      <w:r w:rsidRPr="00BB71B4">
        <w:rPr>
          <w:rStyle w:val="TextoNormalCaracter"/>
        </w:rPr>
        <w:t xml:space="preserve">, Sentencia </w:t>
      </w:r>
      <w:hyperlink w:anchor="SENTENCIA_2015_27" w:history="1">
        <w:r w:rsidRPr="00BB71B4">
          <w:rPr>
            <w:rStyle w:val="TextoNormalCaracter"/>
          </w:rPr>
          <w:t>27/2015</w:t>
        </w:r>
      </w:hyperlink>
      <w:r w:rsidRPr="00BB71B4">
        <w:rPr>
          <w:rStyle w:val="TextoNormalCaracter"/>
        </w:rPr>
        <w:t>, ff. 1, 4 a 6.</w:t>
      </w:r>
    </w:p>
    <w:p w:rsidR="00BB71B4" w:rsidRPr="00BB71B4" w:rsidRDefault="00BB71B4" w:rsidP="00BB71B4">
      <w:pPr>
        <w:pStyle w:val="TextoNormalSangraFrancesa"/>
        <w:rPr>
          <w:rStyle w:val="TextoNormalCaracter"/>
        </w:rPr>
      </w:pPr>
      <w:bookmarkStart w:id="1600" w:name="DESCRIPTORALFABETICO126"/>
      <w:r w:rsidRPr="00BB71B4">
        <w:rPr>
          <w:rStyle w:val="TextoNormalNegritaCaracter"/>
        </w:rPr>
        <w:t>Presupuesto fáctico de situación de privación de libertad</w:t>
      </w:r>
      <w:bookmarkEnd w:id="1600"/>
      <w:r w:rsidRPr="00BB71B4">
        <w:rPr>
          <w:rStyle w:val="TextoNormalCaracter"/>
        </w:rPr>
        <w:t xml:space="preserve">, Sentencia </w:t>
      </w:r>
      <w:hyperlink w:anchor="SENTENCIA_2015_42" w:history="1">
        <w:r w:rsidRPr="00BB71B4">
          <w:rPr>
            <w:rStyle w:val="TextoNormalCaracter"/>
          </w:rPr>
          <w:t>42/2015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601" w:name="DESCRIPTORALFABETICO534"/>
      <w:r w:rsidRPr="00BB71B4">
        <w:rPr>
          <w:rStyle w:val="TextoNormalNegritaCaracter"/>
        </w:rPr>
        <w:t>Presupuesto habilitante</w:t>
      </w:r>
      <w:bookmarkEnd w:id="1601"/>
      <w:r w:rsidRPr="00BB71B4">
        <w:rPr>
          <w:rStyle w:val="TextoNormalCaracter"/>
        </w:rPr>
        <w:t xml:space="preserve">, Sentencias </w:t>
      </w:r>
      <w:hyperlink w:anchor="SENTENCIA_2015_12" w:history="1">
        <w:r w:rsidRPr="00BB71B4">
          <w:rPr>
            <w:rStyle w:val="TextoNormalCaracter"/>
          </w:rPr>
          <w:t>12/2015</w:t>
        </w:r>
      </w:hyperlink>
      <w:r w:rsidRPr="00BB71B4">
        <w:rPr>
          <w:rStyle w:val="TextoNormalCaracter"/>
        </w:rPr>
        <w:t xml:space="preserve">, ff. 1, 3 a 6, VP I, VP II; </w:t>
      </w:r>
      <w:hyperlink w:anchor="SENTENCIA_2015_27" w:history="1">
        <w:r w:rsidRPr="00BB71B4">
          <w:rPr>
            <w:rStyle w:val="TextoNormalCaracter"/>
          </w:rPr>
          <w:t>27/2015</w:t>
        </w:r>
      </w:hyperlink>
      <w:r w:rsidRPr="00BB71B4">
        <w:rPr>
          <w:rStyle w:val="TextoNormalCaracter"/>
        </w:rPr>
        <w:t xml:space="preserve">, ff. 3, 5, 7; </w:t>
      </w:r>
      <w:hyperlink w:anchor="SENTENCIA_2015_28" w:history="1">
        <w:r w:rsidRPr="00BB71B4">
          <w:rPr>
            <w:rStyle w:val="TextoNormalCaracter"/>
          </w:rPr>
          <w:t>28/2015</w:t>
        </w:r>
      </w:hyperlink>
      <w:r w:rsidRPr="00BB71B4">
        <w:rPr>
          <w:rStyle w:val="TextoNormalCaracter"/>
        </w:rPr>
        <w:t xml:space="preserve">, f. 3; </w:t>
      </w:r>
      <w:hyperlink w:anchor="SENTENCIA_2015_29" w:history="1">
        <w:r w:rsidRPr="00BB71B4">
          <w:rPr>
            <w:rStyle w:val="TextoNormalCaracter"/>
          </w:rPr>
          <w:t>29/2015</w:t>
        </w:r>
      </w:hyperlink>
      <w:r w:rsidRPr="00BB71B4">
        <w:rPr>
          <w:rStyle w:val="TextoNormalCaracter"/>
        </w:rPr>
        <w:t xml:space="preserve">, ff. 3, 5; </w:t>
      </w:r>
      <w:hyperlink w:anchor="SENTENCIA_2015_47" w:history="1">
        <w:r w:rsidRPr="00BB71B4">
          <w:rPr>
            <w:rStyle w:val="TextoNormalCaracter"/>
          </w:rPr>
          <w:t>47/2015</w:t>
        </w:r>
      </w:hyperlink>
      <w:r w:rsidRPr="00BB71B4">
        <w:rPr>
          <w:rStyle w:val="TextoNormalCaracter"/>
        </w:rPr>
        <w:t xml:space="preserve">, ff. 3, 5; </w:t>
      </w:r>
      <w:hyperlink w:anchor="SENTENCIA_2015_48" w:history="1">
        <w:r w:rsidRPr="00BB71B4">
          <w:rPr>
            <w:rStyle w:val="TextoNormalCaracter"/>
          </w:rPr>
          <w:t>48/2015</w:t>
        </w:r>
      </w:hyperlink>
      <w:r w:rsidRPr="00BB71B4">
        <w:rPr>
          <w:rStyle w:val="TextoNormalCaracter"/>
        </w:rPr>
        <w:t xml:space="preserve">, ff. 3, 4; </w:t>
      </w:r>
      <w:hyperlink w:anchor="SENTENCIA_2015_81" w:history="1">
        <w:r w:rsidRPr="00BB71B4">
          <w:rPr>
            <w:rStyle w:val="TextoNormalCaracter"/>
          </w:rPr>
          <w:t>81/2015</w:t>
        </w:r>
      </w:hyperlink>
      <w:r w:rsidRPr="00BB71B4">
        <w:rPr>
          <w:rStyle w:val="TextoNormalCaracter"/>
        </w:rPr>
        <w:t xml:space="preserve">, ff. 3, 5; </w:t>
      </w:r>
      <w:hyperlink w:anchor="SENTENCIA_2015_93" w:history="1">
        <w:r w:rsidRPr="00BB71B4">
          <w:rPr>
            <w:rStyle w:val="TextoNormalCaracter"/>
          </w:rPr>
          <w:t>93/2015</w:t>
        </w:r>
      </w:hyperlink>
      <w:r w:rsidRPr="00BB71B4">
        <w:rPr>
          <w:rStyle w:val="TextoNormalCaracter"/>
        </w:rPr>
        <w:t xml:space="preserve">, ff. 5 a 11; </w:t>
      </w:r>
      <w:hyperlink w:anchor="SENTENCIA_2015_95" w:history="1">
        <w:r w:rsidRPr="00BB71B4">
          <w:rPr>
            <w:rStyle w:val="TextoNormalCaracter"/>
          </w:rPr>
          <w:t>95/2015</w:t>
        </w:r>
      </w:hyperlink>
      <w:r w:rsidRPr="00BB71B4">
        <w:rPr>
          <w:rStyle w:val="TextoNormalCaracter"/>
        </w:rPr>
        <w:t xml:space="preserve">, ff. 3 a 5; </w:t>
      </w:r>
      <w:hyperlink w:anchor="SENTENCIA_2015_105" w:history="1">
        <w:r w:rsidRPr="00BB71B4">
          <w:rPr>
            <w:rStyle w:val="TextoNormalCaracter"/>
          </w:rPr>
          <w:t>105/2015</w:t>
        </w:r>
      </w:hyperlink>
      <w:r w:rsidRPr="00BB71B4">
        <w:rPr>
          <w:rStyle w:val="TextoNormalCaracter"/>
        </w:rPr>
        <w:t xml:space="preserve">, f. 3; </w:t>
      </w:r>
      <w:hyperlink w:anchor="SENTENCIA_2015_106" w:history="1">
        <w:r w:rsidRPr="00BB71B4">
          <w:rPr>
            <w:rStyle w:val="TextoNormalCaracter"/>
          </w:rPr>
          <w:t>106/2015</w:t>
        </w:r>
      </w:hyperlink>
      <w:r w:rsidRPr="00BB71B4">
        <w:rPr>
          <w:rStyle w:val="TextoNormalCaracter"/>
        </w:rPr>
        <w:t xml:space="preserve">, f. 3; </w:t>
      </w:r>
      <w:hyperlink w:anchor="SENTENCIA_2015_136" w:history="1">
        <w:r w:rsidRPr="00BB71B4">
          <w:rPr>
            <w:rStyle w:val="TextoNormalCaracter"/>
          </w:rPr>
          <w:t>136/2015</w:t>
        </w:r>
      </w:hyperlink>
      <w:r w:rsidRPr="00BB71B4">
        <w:rPr>
          <w:rStyle w:val="TextoNormalCaracter"/>
        </w:rPr>
        <w:t>, ff. 3 a 6.</w:t>
      </w:r>
    </w:p>
    <w:p w:rsidR="00BB71B4" w:rsidRPr="00BB71B4" w:rsidRDefault="00BB71B4" w:rsidP="00BB71B4">
      <w:pPr>
        <w:pStyle w:val="TextoNormalSangraFrancesa"/>
        <w:rPr>
          <w:rStyle w:val="TextoNormalCaracter"/>
        </w:rPr>
      </w:pPr>
      <w:bookmarkStart w:id="1602" w:name="DESCRIPTORALFABETICO62"/>
      <w:r w:rsidRPr="00BB71B4">
        <w:rPr>
          <w:rStyle w:val="TextoNormalNegritaCaracter"/>
        </w:rPr>
        <w:t>Previsión de ingresos y gastos</w:t>
      </w:r>
      <w:bookmarkEnd w:id="1602"/>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2, 3; </w:t>
      </w:r>
      <w:hyperlink w:anchor="SENTENCIA_2015_102" w:history="1">
        <w:r w:rsidRPr="00BB71B4">
          <w:rPr>
            <w:rStyle w:val="TextoNormalCaracter"/>
          </w:rPr>
          <w:t>102/2015</w:t>
        </w:r>
      </w:hyperlink>
      <w:r w:rsidRPr="00BB71B4">
        <w:rPr>
          <w:rStyle w:val="TextoNormalCaracter"/>
        </w:rPr>
        <w:t>, ff. 3, 6.</w:t>
      </w:r>
    </w:p>
    <w:p w:rsidR="00BB71B4" w:rsidRPr="00BB71B4" w:rsidRDefault="00BB71B4" w:rsidP="00BB71B4">
      <w:pPr>
        <w:pStyle w:val="TextoNormalSangraFrancesa"/>
        <w:rPr>
          <w:rStyle w:val="TextoNormalCaracter"/>
        </w:rPr>
      </w:pPr>
      <w:bookmarkStart w:id="1603" w:name="DESCRIPTORALFABETICO742"/>
      <w:r w:rsidRPr="00BB71B4">
        <w:rPr>
          <w:rStyle w:val="TextoNormalNegritaCaracter"/>
        </w:rPr>
        <w:t>Principado de Asturias</w:t>
      </w:r>
      <w:bookmarkEnd w:id="1603"/>
      <w:r w:rsidRPr="00BB71B4">
        <w:rPr>
          <w:rStyle w:val="TextoNormalCaracter"/>
        </w:rPr>
        <w:t xml:space="preserve">, Sentencias </w:t>
      </w:r>
      <w:hyperlink w:anchor="SENTENCIA_2015_102" w:history="1">
        <w:r w:rsidRPr="00BB71B4">
          <w:rPr>
            <w:rStyle w:val="TextoNormalCaracter"/>
          </w:rPr>
          <w:t>102/2015</w:t>
        </w:r>
      </w:hyperlink>
      <w:r w:rsidRPr="00BB71B4">
        <w:rPr>
          <w:rStyle w:val="TextoNormalCaracter"/>
        </w:rPr>
        <w:t xml:space="preserve">, f. 1; </w:t>
      </w:r>
      <w:hyperlink w:anchor="SENTENCIA_2015_108" w:history="1">
        <w:r w:rsidRPr="00BB71B4">
          <w:rPr>
            <w:rStyle w:val="TextoNormalCaracter"/>
          </w:rPr>
          <w:t>108/2015</w:t>
        </w:r>
      </w:hyperlink>
      <w:r w:rsidRPr="00BB71B4">
        <w:rPr>
          <w:rStyle w:val="TextoNormalCaracter"/>
        </w:rPr>
        <w:t>, f. 1.</w:t>
      </w:r>
    </w:p>
    <w:p w:rsidR="00BB71B4" w:rsidRPr="00BB71B4" w:rsidRDefault="00BB71B4" w:rsidP="00BB71B4">
      <w:pPr>
        <w:pStyle w:val="TextoNormalSangraFrancesa"/>
        <w:rPr>
          <w:rStyle w:val="TextoNormalCaracter"/>
        </w:rPr>
      </w:pPr>
      <w:bookmarkStart w:id="1604" w:name="DESCRIPTORALFABETICO362"/>
      <w:r w:rsidRPr="00BB71B4">
        <w:rPr>
          <w:rStyle w:val="TextoNormalNegritaCaracter"/>
        </w:rPr>
        <w:t>Principio de autonomía</w:t>
      </w:r>
      <w:bookmarkEnd w:id="1604"/>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 10.</w:t>
      </w:r>
    </w:p>
    <w:p w:rsidR="00BB71B4" w:rsidRPr="00BB71B4" w:rsidRDefault="00BB71B4" w:rsidP="00BB71B4">
      <w:pPr>
        <w:pStyle w:val="TextoNormalSangraFrancesa"/>
        <w:rPr>
          <w:rStyle w:val="TextoNormalCaracter"/>
        </w:rPr>
      </w:pPr>
      <w:bookmarkStart w:id="1605" w:name="DESCRIPTORALFABETICO324"/>
      <w:r w:rsidRPr="00BB71B4">
        <w:rPr>
          <w:rStyle w:val="TextoNormalNegritaCaracter"/>
        </w:rPr>
        <w:t>Principio de cooperación</w:t>
      </w:r>
      <w:bookmarkEnd w:id="1605"/>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 7; </w:t>
      </w:r>
      <w:hyperlink w:anchor="SENTENCIA_2015_13" w:history="1">
        <w:r w:rsidRPr="00BB71B4">
          <w:rPr>
            <w:rStyle w:val="TextoNormalCaracter"/>
          </w:rPr>
          <w:t>13/2015</w:t>
        </w:r>
      </w:hyperlink>
      <w:r w:rsidRPr="00BB71B4">
        <w:rPr>
          <w:rStyle w:val="TextoNormalCaracter"/>
        </w:rPr>
        <w:t>, f. 5.</w:t>
      </w:r>
    </w:p>
    <w:p w:rsidR="00BB71B4" w:rsidRPr="00BB71B4" w:rsidRDefault="00BB71B4" w:rsidP="00BB71B4">
      <w:pPr>
        <w:pStyle w:val="TextoNormalSangraFrancesa"/>
        <w:rPr>
          <w:rStyle w:val="TextoNormalCaracter"/>
        </w:rPr>
      </w:pPr>
      <w:bookmarkStart w:id="1606" w:name="DESCRIPTORALFABETICO699"/>
      <w:r w:rsidRPr="00BB71B4">
        <w:rPr>
          <w:rStyle w:val="TextoNormalNegritaCaracter"/>
        </w:rPr>
        <w:t>Principio de economía procesal</w:t>
      </w:r>
      <w:bookmarkEnd w:id="1606"/>
      <w:r w:rsidRPr="00BB71B4">
        <w:rPr>
          <w:rStyle w:val="TextoNormalCaracter"/>
        </w:rPr>
        <w:t xml:space="preserve">, Sentencia </w:t>
      </w:r>
      <w:hyperlink w:anchor="SENTENCIA_2015_39" w:history="1">
        <w:r w:rsidRPr="00BB71B4">
          <w:rPr>
            <w:rStyle w:val="TextoNormalCaracter"/>
          </w:rPr>
          <w:t>39/2015</w:t>
        </w:r>
      </w:hyperlink>
      <w:r w:rsidRPr="00BB71B4">
        <w:rPr>
          <w:rStyle w:val="TextoNormalCaracter"/>
        </w:rPr>
        <w:t>, ff. 6, 7.</w:t>
      </w:r>
    </w:p>
    <w:p w:rsidR="00BB71B4" w:rsidRPr="00BB71B4" w:rsidRDefault="00BB71B4" w:rsidP="00BB71B4">
      <w:pPr>
        <w:pStyle w:val="TextoNormalSangraFrancesa"/>
        <w:rPr>
          <w:rStyle w:val="TextoNormalCaracter"/>
        </w:rPr>
      </w:pPr>
      <w:bookmarkStart w:id="1607" w:name="DESCRIPTORALFABETICO63"/>
      <w:r w:rsidRPr="00BB71B4">
        <w:rPr>
          <w:rStyle w:val="TextoNormalNegritaCaracter"/>
        </w:rPr>
        <w:t>Principio de estabilidad presupuestaria</w:t>
      </w:r>
      <w:bookmarkEnd w:id="1607"/>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 3 d); </w:t>
      </w:r>
      <w:hyperlink w:anchor="SENTENCIA_2015_81" w:history="1">
        <w:r w:rsidRPr="00BB71B4">
          <w:rPr>
            <w:rStyle w:val="TextoNormalCaracter"/>
          </w:rPr>
          <w:t>81/2015</w:t>
        </w:r>
      </w:hyperlink>
      <w:r w:rsidRPr="00BB71B4">
        <w:rPr>
          <w:rStyle w:val="TextoNormalCaracter"/>
        </w:rPr>
        <w:t xml:space="preserve">, ff. 3, 4, 7; </w:t>
      </w:r>
      <w:hyperlink w:anchor="SENTENCIA_2015_94" w:history="1">
        <w:r w:rsidRPr="00BB71B4">
          <w:rPr>
            <w:rStyle w:val="TextoNormalCaracter"/>
          </w:rPr>
          <w:t>94/2015</w:t>
        </w:r>
      </w:hyperlink>
      <w:r w:rsidRPr="00BB71B4">
        <w:rPr>
          <w:rStyle w:val="TextoNormalCaracter"/>
        </w:rPr>
        <w:t xml:space="preserve">, ff. 3, 4; </w:t>
      </w:r>
      <w:hyperlink w:anchor="SENTENCIA_2015_102" w:history="1">
        <w:r w:rsidRPr="00BB71B4">
          <w:rPr>
            <w:rStyle w:val="TextoNormalCaracter"/>
          </w:rPr>
          <w:t>102/2015</w:t>
        </w:r>
      </w:hyperlink>
      <w:r w:rsidRPr="00BB71B4">
        <w:rPr>
          <w:rStyle w:val="TextoNormalCaracter"/>
        </w:rPr>
        <w:t>, f. 6.</w:t>
      </w:r>
    </w:p>
    <w:p w:rsidR="00BB71B4" w:rsidRPr="00BB71B4" w:rsidRDefault="00BB71B4" w:rsidP="00BB71B4">
      <w:pPr>
        <w:pStyle w:val="TextoNormalSangraFrancesa"/>
        <w:rPr>
          <w:rStyle w:val="TextoNormalCaracter"/>
        </w:rPr>
      </w:pPr>
      <w:bookmarkStart w:id="1608" w:name="DESCRIPTORALFABETICO366"/>
      <w:r w:rsidRPr="00BB71B4">
        <w:rPr>
          <w:rStyle w:val="TextoNormalNegritaCaracter"/>
        </w:rPr>
        <w:t>Principio de igualdad</w:t>
      </w:r>
      <w:bookmarkEnd w:id="1608"/>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 4 b); </w:t>
      </w:r>
      <w:hyperlink w:anchor="SENTENCIA_2015_84" w:history="1">
        <w:r w:rsidRPr="00BB71B4">
          <w:rPr>
            <w:rStyle w:val="TextoNormalCaracter"/>
          </w:rPr>
          <w:t>84/2015</w:t>
        </w:r>
      </w:hyperlink>
      <w:r w:rsidRPr="00BB71B4">
        <w:rPr>
          <w:rStyle w:val="TextoNormalCaracter"/>
        </w:rPr>
        <w:t xml:space="preserve">, ff. 4 a 6; </w:t>
      </w:r>
      <w:hyperlink w:anchor="SENTENCIA_2015_104" w:history="1">
        <w:r w:rsidRPr="00BB71B4">
          <w:rPr>
            <w:rStyle w:val="TextoNormalCaracter"/>
          </w:rPr>
          <w:t>104/2015</w:t>
        </w:r>
      </w:hyperlink>
      <w:r w:rsidRPr="00BB71B4">
        <w:rPr>
          <w:rStyle w:val="TextoNormalCaracter"/>
        </w:rPr>
        <w:t xml:space="preserve">, ff. 9, 13; </w:t>
      </w:r>
      <w:hyperlink w:anchor="SENTENCIA_2015_140" w:history="1">
        <w:r w:rsidRPr="00BB71B4">
          <w:rPr>
            <w:rStyle w:val="TextoNormalCaracter"/>
          </w:rPr>
          <w:t>140/2015</w:t>
        </w:r>
      </w:hyperlink>
      <w:r w:rsidRPr="00BB71B4">
        <w:rPr>
          <w:rStyle w:val="TextoNormalCaracter"/>
        </w:rPr>
        <w:t>, f. 2 a).</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Auto </w:t>
      </w:r>
      <w:hyperlink w:anchor="AUTO_2015_112" w:history="1">
        <w:r w:rsidRPr="00BB71B4">
          <w:rPr>
            <w:rStyle w:val="TextoNormalCaracter"/>
          </w:rPr>
          <w:t>112/2015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09" w:name="DESCRIPTORALFABETICO370"/>
      <w:r w:rsidRPr="00BB71B4">
        <w:rPr>
          <w:rStyle w:val="TextoNormalNegritaCaracter"/>
        </w:rPr>
        <w:t>Principio de interdicción de la arbitrariedad</w:t>
      </w:r>
      <w:bookmarkEnd w:id="1609"/>
      <w:r w:rsidRPr="00BB71B4">
        <w:rPr>
          <w:rStyle w:val="TextoNormalCaracter"/>
        </w:rPr>
        <w:t xml:space="preserve">, Sentencias </w:t>
      </w:r>
      <w:hyperlink w:anchor="SENTENCIA_2015_50" w:history="1">
        <w:r w:rsidRPr="00BB71B4">
          <w:rPr>
            <w:rStyle w:val="TextoNormalCaracter"/>
          </w:rPr>
          <w:t>50/2015</w:t>
        </w:r>
      </w:hyperlink>
      <w:r w:rsidRPr="00BB71B4">
        <w:rPr>
          <w:rStyle w:val="TextoNormalCaracter"/>
        </w:rPr>
        <w:t xml:space="preserve">, ff. 5, 6; </w:t>
      </w:r>
      <w:hyperlink w:anchor="SENTENCIA_2015_102" w:history="1">
        <w:r w:rsidRPr="00BB71B4">
          <w:rPr>
            <w:rStyle w:val="TextoNormalCaracter"/>
          </w:rPr>
          <w:t>102/2015</w:t>
        </w:r>
      </w:hyperlink>
      <w:r w:rsidRPr="00BB71B4">
        <w:rPr>
          <w:rStyle w:val="TextoNormalCaracter"/>
        </w:rPr>
        <w:t xml:space="preserve">, ff. 4, 5; </w:t>
      </w:r>
      <w:hyperlink w:anchor="SENTENCIA_2015_110" w:history="1">
        <w:r w:rsidRPr="00BB71B4">
          <w:rPr>
            <w:rStyle w:val="TextoNormalCaracter"/>
          </w:rPr>
          <w:t>110/2015</w:t>
        </w:r>
      </w:hyperlink>
      <w:r w:rsidRPr="00BB71B4">
        <w:rPr>
          <w:rStyle w:val="TextoNormalCaracter"/>
        </w:rPr>
        <w:t>, ff. 2, 3, 5.</w:t>
      </w:r>
    </w:p>
    <w:p w:rsidR="00BB71B4" w:rsidRPr="00BB71B4" w:rsidRDefault="00BB71B4" w:rsidP="00BB71B4">
      <w:pPr>
        <w:pStyle w:val="TextoNormalSangraFrancesa"/>
        <w:rPr>
          <w:rStyle w:val="TextoNormalCaracter"/>
        </w:rPr>
      </w:pPr>
      <w:r w:rsidRPr="00BB71B4">
        <w:rPr>
          <w:rStyle w:val="TextoNormalCursivaCaracter"/>
        </w:rPr>
        <w:t xml:space="preserve">    Respetado, </w:t>
      </w:r>
      <w:r w:rsidRPr="00BB71B4">
        <w:rPr>
          <w:rStyle w:val="TextoNormalCaracter"/>
        </w:rPr>
        <w:t xml:space="preserve">Sentencias </w:t>
      </w:r>
      <w:hyperlink w:anchor="SENTENCIA_2015_15" w:history="1">
        <w:r w:rsidRPr="00BB71B4">
          <w:rPr>
            <w:rStyle w:val="TextoNormalCaracter"/>
          </w:rPr>
          <w:t>15/2015</w:t>
        </w:r>
      </w:hyperlink>
      <w:r w:rsidRPr="00BB71B4">
        <w:rPr>
          <w:rStyle w:val="TextoNormalCaracter"/>
        </w:rPr>
        <w:t xml:space="preserve">, ff. 3, 4; </w:t>
      </w:r>
      <w:hyperlink w:anchor="SENTENCIA_2015_44" w:history="1">
        <w:r w:rsidRPr="00BB71B4">
          <w:rPr>
            <w:rStyle w:val="TextoNormalCaracter"/>
          </w:rPr>
          <w:t>44/2015</w:t>
        </w:r>
      </w:hyperlink>
      <w:r w:rsidRPr="00BB71B4">
        <w:rPr>
          <w:rStyle w:val="TextoNormalCaracter"/>
        </w:rPr>
        <w:t xml:space="preserve">, ff. 4 b), 5 e); </w:t>
      </w:r>
      <w:hyperlink w:anchor="SENTENCIA_2015_140" w:history="1">
        <w:r w:rsidRPr="00BB71B4">
          <w:rPr>
            <w:rStyle w:val="TextoNormalCaracter"/>
          </w:rPr>
          <w:t>140/2015</w:t>
        </w:r>
      </w:hyperlink>
      <w:r w:rsidRPr="00BB71B4">
        <w:rPr>
          <w:rStyle w:val="TextoNormalCaracter"/>
        </w:rPr>
        <w:t>, f. 2 a).</w:t>
      </w:r>
    </w:p>
    <w:p w:rsidR="00BB71B4" w:rsidRPr="00BB71B4" w:rsidRDefault="00BB71B4" w:rsidP="00BB71B4">
      <w:pPr>
        <w:pStyle w:val="TextoNormalSangraFrancesa"/>
        <w:rPr>
          <w:rStyle w:val="TextoNormalCaracter"/>
        </w:rPr>
      </w:pPr>
      <w:bookmarkStart w:id="1610" w:name="DESCRIPTORALFABETICO373"/>
      <w:r w:rsidRPr="00BB71B4">
        <w:rPr>
          <w:rStyle w:val="TextoNormalNegritaCaracter"/>
        </w:rPr>
        <w:t>Principio de irretroactividad</w:t>
      </w:r>
      <w:bookmarkEnd w:id="1610"/>
      <w:r w:rsidRPr="00BB71B4">
        <w:rPr>
          <w:rStyle w:val="TextoNormalCaracter"/>
        </w:rPr>
        <w:t xml:space="preserve">, Sentencias </w:t>
      </w:r>
      <w:hyperlink w:anchor="SENTENCIA_2015_7" w:history="1">
        <w:r w:rsidRPr="00BB71B4">
          <w:rPr>
            <w:rStyle w:val="TextoNormalCaracter"/>
          </w:rPr>
          <w:t>7/2015</w:t>
        </w:r>
      </w:hyperlink>
      <w:r w:rsidRPr="00BB71B4">
        <w:rPr>
          <w:rStyle w:val="TextoNormalCaracter"/>
        </w:rPr>
        <w:t xml:space="preserve">, VP; </w:t>
      </w:r>
      <w:hyperlink w:anchor="SENTENCIA_2015_49" w:history="1">
        <w:r w:rsidRPr="00BB71B4">
          <w:rPr>
            <w:rStyle w:val="TextoNormalCaracter"/>
          </w:rPr>
          <w:t>49/2015</w:t>
        </w:r>
      </w:hyperlink>
      <w:r w:rsidRPr="00BB71B4">
        <w:rPr>
          <w:rStyle w:val="TextoNormalCaracter"/>
        </w:rPr>
        <w:t xml:space="preserve">, f. 4, VP; </w:t>
      </w:r>
      <w:hyperlink w:anchor="SENTENCIA_2015_83" w:history="1">
        <w:r w:rsidRPr="00BB71B4">
          <w:rPr>
            <w:rStyle w:val="TextoNormalCaracter"/>
          </w:rPr>
          <w:t>83/2015</w:t>
        </w:r>
      </w:hyperlink>
      <w:r w:rsidRPr="00BB71B4">
        <w:rPr>
          <w:rStyle w:val="TextoNormalCaracter"/>
        </w:rPr>
        <w:t xml:space="preserve">, f. 3; </w:t>
      </w:r>
      <w:hyperlink w:anchor="SENTENCIA_2015_95" w:history="1">
        <w:r w:rsidRPr="00BB71B4">
          <w:rPr>
            <w:rStyle w:val="TextoNormalCaracter"/>
          </w:rPr>
          <w:t>95/2015</w:t>
        </w:r>
      </w:hyperlink>
      <w:r w:rsidRPr="00BB71B4">
        <w:rPr>
          <w:rStyle w:val="TextoNormalCaracter"/>
        </w:rPr>
        <w:t xml:space="preserve">, f. 6; </w:t>
      </w:r>
      <w:hyperlink w:anchor="SENTENCIA_2015_97" w:history="1">
        <w:r w:rsidRPr="00BB71B4">
          <w:rPr>
            <w:rStyle w:val="TextoNormalCaracter"/>
          </w:rPr>
          <w:t>97/2015</w:t>
        </w:r>
      </w:hyperlink>
      <w:r w:rsidRPr="00BB71B4">
        <w:rPr>
          <w:rStyle w:val="TextoNormalCaracter"/>
        </w:rPr>
        <w:t xml:space="preserve">, f. 3; </w:t>
      </w:r>
      <w:hyperlink w:anchor="SENTENCIA_2015_100" w:history="1">
        <w:r w:rsidRPr="00BB71B4">
          <w:rPr>
            <w:rStyle w:val="TextoNormalCaracter"/>
          </w:rPr>
          <w:t>100/2015</w:t>
        </w:r>
      </w:hyperlink>
      <w:r w:rsidRPr="00BB71B4">
        <w:rPr>
          <w:rStyle w:val="TextoNormalCaracter"/>
        </w:rPr>
        <w:t xml:space="preserve">, f. 3; </w:t>
      </w:r>
      <w:hyperlink w:anchor="SENTENCIA_2015_102" w:history="1">
        <w:r w:rsidRPr="00BB71B4">
          <w:rPr>
            <w:rStyle w:val="TextoNormalCaracter"/>
          </w:rPr>
          <w:t>102/2015</w:t>
        </w:r>
      </w:hyperlink>
      <w:r w:rsidRPr="00BB71B4">
        <w:rPr>
          <w:rStyle w:val="TextoNormalCaracter"/>
        </w:rPr>
        <w:t xml:space="preserve">, ff. 4, 5; </w:t>
      </w:r>
      <w:hyperlink w:anchor="SENTENCIA_2015_103" w:history="1">
        <w:r w:rsidRPr="00BB71B4">
          <w:rPr>
            <w:rStyle w:val="TextoNormalCaracter"/>
          </w:rPr>
          <w:t>103/2015</w:t>
        </w:r>
      </w:hyperlink>
      <w:r w:rsidRPr="00BB71B4">
        <w:rPr>
          <w:rStyle w:val="TextoNormalCaracter"/>
        </w:rPr>
        <w:t xml:space="preserve">, f. 9; </w:t>
      </w:r>
      <w:hyperlink w:anchor="SENTENCIA_2015_109" w:history="1">
        <w:r w:rsidRPr="00BB71B4">
          <w:rPr>
            <w:rStyle w:val="TextoNormalCaracter"/>
          </w:rPr>
          <w:t>109/2015</w:t>
        </w:r>
      </w:hyperlink>
      <w:r w:rsidRPr="00BB71B4">
        <w:rPr>
          <w:rStyle w:val="TextoNormalCaracter"/>
        </w:rPr>
        <w:t xml:space="preserve">, f. 2; </w:t>
      </w:r>
      <w:hyperlink w:anchor="SENTENCIA_2015_113" w:history="1">
        <w:r w:rsidRPr="00BB71B4">
          <w:rPr>
            <w:rStyle w:val="TextoNormalCaracter"/>
          </w:rPr>
          <w:t>113/2015</w:t>
        </w:r>
      </w:hyperlink>
      <w:r w:rsidRPr="00BB71B4">
        <w:rPr>
          <w:rStyle w:val="TextoNormalCaracter"/>
        </w:rPr>
        <w:t xml:space="preserve">, ff. 2, 3; </w:t>
      </w:r>
      <w:hyperlink w:anchor="SENTENCIA_2015_114" w:history="1">
        <w:r w:rsidRPr="00BB71B4">
          <w:rPr>
            <w:rStyle w:val="TextoNormalCaracter"/>
          </w:rPr>
          <w:t>114/2015</w:t>
        </w:r>
      </w:hyperlink>
      <w:r w:rsidRPr="00BB71B4">
        <w:rPr>
          <w:rStyle w:val="TextoNormalCaracter"/>
        </w:rPr>
        <w:t xml:space="preserve">, ff. 2, 3; </w:t>
      </w:r>
      <w:hyperlink w:anchor="SENTENCIA_2015_116" w:history="1">
        <w:r w:rsidRPr="00BB71B4">
          <w:rPr>
            <w:rStyle w:val="TextoNormalCaracter"/>
          </w:rPr>
          <w:t>116/2015</w:t>
        </w:r>
      </w:hyperlink>
      <w:r w:rsidRPr="00BB71B4">
        <w:rPr>
          <w:rStyle w:val="TextoNormalCaracter"/>
        </w:rPr>
        <w:t xml:space="preserve">, f. 2; </w:t>
      </w:r>
      <w:hyperlink w:anchor="SENTENCIA_2015_117" w:history="1">
        <w:r w:rsidRPr="00BB71B4">
          <w:rPr>
            <w:rStyle w:val="TextoNormalCaracter"/>
          </w:rPr>
          <w:t>117/2015</w:t>
        </w:r>
      </w:hyperlink>
      <w:r w:rsidRPr="00BB71B4">
        <w:rPr>
          <w:rStyle w:val="TextoNormalCaracter"/>
        </w:rPr>
        <w:t xml:space="preserve">, f. 3; </w:t>
      </w:r>
      <w:hyperlink w:anchor="SENTENCIA_2015_118" w:history="1">
        <w:r w:rsidRPr="00BB71B4">
          <w:rPr>
            <w:rStyle w:val="TextoNormalCaracter"/>
          </w:rPr>
          <w:t>118/2015</w:t>
        </w:r>
      </w:hyperlink>
      <w:r w:rsidRPr="00BB71B4">
        <w:rPr>
          <w:rStyle w:val="TextoNormalCaracter"/>
        </w:rPr>
        <w:t xml:space="preserve">, f. 3; </w:t>
      </w:r>
      <w:hyperlink w:anchor="SENTENCIA_2015_119" w:history="1">
        <w:r w:rsidRPr="00BB71B4">
          <w:rPr>
            <w:rStyle w:val="TextoNormalCaracter"/>
          </w:rPr>
          <w:t>119/2015</w:t>
        </w:r>
      </w:hyperlink>
      <w:r w:rsidRPr="00BB71B4">
        <w:rPr>
          <w:rStyle w:val="TextoNormalCaracter"/>
        </w:rPr>
        <w:t xml:space="preserve">, f. 2; </w:t>
      </w:r>
      <w:hyperlink w:anchor="SENTENCIA_2015_120" w:history="1">
        <w:r w:rsidRPr="00BB71B4">
          <w:rPr>
            <w:rStyle w:val="TextoNormalCaracter"/>
          </w:rPr>
          <w:t>120/2015</w:t>
        </w:r>
      </w:hyperlink>
      <w:r w:rsidRPr="00BB71B4">
        <w:rPr>
          <w:rStyle w:val="TextoNormalCaracter"/>
        </w:rPr>
        <w:t xml:space="preserve">, f. 2; </w:t>
      </w:r>
      <w:hyperlink w:anchor="SENTENCIA_2015_121" w:history="1">
        <w:r w:rsidRPr="00BB71B4">
          <w:rPr>
            <w:rStyle w:val="TextoNormalCaracter"/>
          </w:rPr>
          <w:t>121/2015</w:t>
        </w:r>
      </w:hyperlink>
      <w:r w:rsidRPr="00BB71B4">
        <w:rPr>
          <w:rStyle w:val="TextoNormalCaracter"/>
        </w:rPr>
        <w:t xml:space="preserve">, f. 2; </w:t>
      </w:r>
      <w:hyperlink w:anchor="SENTENCIA_2015_122" w:history="1">
        <w:r w:rsidRPr="00BB71B4">
          <w:rPr>
            <w:rStyle w:val="TextoNormalCaracter"/>
          </w:rPr>
          <w:t>122/2015</w:t>
        </w:r>
      </w:hyperlink>
      <w:r w:rsidRPr="00BB71B4">
        <w:rPr>
          <w:rStyle w:val="TextoNormalCaracter"/>
        </w:rPr>
        <w:t xml:space="preserve">, f. 2; </w:t>
      </w:r>
      <w:hyperlink w:anchor="SENTENCIA_2015_123" w:history="1">
        <w:r w:rsidRPr="00BB71B4">
          <w:rPr>
            <w:rStyle w:val="TextoNormalCaracter"/>
          </w:rPr>
          <w:t>123/2015</w:t>
        </w:r>
      </w:hyperlink>
      <w:r w:rsidRPr="00BB71B4">
        <w:rPr>
          <w:rStyle w:val="TextoNormalCaracter"/>
        </w:rPr>
        <w:t xml:space="preserve">, f. 2; </w:t>
      </w:r>
      <w:hyperlink w:anchor="SENTENCIA_2015_125" w:history="1">
        <w:r w:rsidRPr="00BB71B4">
          <w:rPr>
            <w:rStyle w:val="TextoNormalCaracter"/>
          </w:rPr>
          <w:t>125/2015</w:t>
        </w:r>
      </w:hyperlink>
      <w:r w:rsidRPr="00BB71B4">
        <w:rPr>
          <w:rStyle w:val="TextoNormalCaracter"/>
        </w:rPr>
        <w:t xml:space="preserve">, f. 2; </w:t>
      </w:r>
      <w:hyperlink w:anchor="SENTENCIA_2015_126" w:history="1">
        <w:r w:rsidRPr="00BB71B4">
          <w:rPr>
            <w:rStyle w:val="TextoNormalCaracter"/>
          </w:rPr>
          <w:t>126/2015</w:t>
        </w:r>
      </w:hyperlink>
      <w:r w:rsidRPr="00BB71B4">
        <w:rPr>
          <w:rStyle w:val="TextoNormalCaracter"/>
        </w:rPr>
        <w:t xml:space="preserve">, f. 2; </w:t>
      </w:r>
      <w:hyperlink w:anchor="SENTENCIA_2015_127" w:history="1">
        <w:r w:rsidRPr="00BB71B4">
          <w:rPr>
            <w:rStyle w:val="TextoNormalCaracter"/>
          </w:rPr>
          <w:t>127/2015</w:t>
        </w:r>
      </w:hyperlink>
      <w:r w:rsidRPr="00BB71B4">
        <w:rPr>
          <w:rStyle w:val="TextoNormalCaracter"/>
        </w:rPr>
        <w:t xml:space="preserve">, f. 2; </w:t>
      </w:r>
      <w:hyperlink w:anchor="SENTENCIA_2015_128" w:history="1">
        <w:r w:rsidRPr="00BB71B4">
          <w:rPr>
            <w:rStyle w:val="TextoNormalCaracter"/>
          </w:rPr>
          <w:t>128/2015</w:t>
        </w:r>
      </w:hyperlink>
      <w:r w:rsidRPr="00BB71B4">
        <w:rPr>
          <w:rStyle w:val="TextoNormalCaracter"/>
        </w:rPr>
        <w:t xml:space="preserve">, f. 2; </w:t>
      </w:r>
      <w:hyperlink w:anchor="SENTENCIA_2015_129" w:history="1">
        <w:r w:rsidRPr="00BB71B4">
          <w:rPr>
            <w:rStyle w:val="TextoNormalCaracter"/>
          </w:rPr>
          <w:t>129/2015</w:t>
        </w:r>
      </w:hyperlink>
      <w:r w:rsidRPr="00BB71B4">
        <w:rPr>
          <w:rStyle w:val="TextoNormalCaracter"/>
        </w:rPr>
        <w:t xml:space="preserve">, f. 2; </w:t>
      </w:r>
      <w:hyperlink w:anchor="SENTENCIA_2015_130" w:history="1">
        <w:r w:rsidRPr="00BB71B4">
          <w:rPr>
            <w:rStyle w:val="TextoNormalCaracter"/>
          </w:rPr>
          <w:t>130/2015</w:t>
        </w:r>
      </w:hyperlink>
      <w:r w:rsidRPr="00BB71B4">
        <w:rPr>
          <w:rStyle w:val="TextoNormalCaracter"/>
        </w:rPr>
        <w:t xml:space="preserve">, f. 2; </w:t>
      </w:r>
      <w:hyperlink w:anchor="SENTENCIA_2015_131" w:history="1">
        <w:r w:rsidRPr="00BB71B4">
          <w:rPr>
            <w:rStyle w:val="TextoNormalCaracter"/>
          </w:rPr>
          <w:t>131/2015</w:t>
        </w:r>
      </w:hyperlink>
      <w:r w:rsidRPr="00BB71B4">
        <w:rPr>
          <w:rStyle w:val="TextoNormalCaracter"/>
        </w:rPr>
        <w:t xml:space="preserve">, f. 2; </w:t>
      </w:r>
      <w:hyperlink w:anchor="SENTENCIA_2015_132" w:history="1">
        <w:r w:rsidRPr="00BB71B4">
          <w:rPr>
            <w:rStyle w:val="TextoNormalCaracter"/>
          </w:rPr>
          <w:t>132/2015</w:t>
        </w:r>
      </w:hyperlink>
      <w:r w:rsidRPr="00BB71B4">
        <w:rPr>
          <w:rStyle w:val="TextoNormalCaracter"/>
        </w:rPr>
        <w:t xml:space="preserve">, f. 2; </w:t>
      </w:r>
      <w:hyperlink w:anchor="SENTENCIA_2015_133" w:history="1">
        <w:r w:rsidRPr="00BB71B4">
          <w:rPr>
            <w:rStyle w:val="TextoNormalCaracter"/>
          </w:rPr>
          <w:t>133/2015</w:t>
        </w:r>
      </w:hyperlink>
      <w:r w:rsidRPr="00BB71B4">
        <w:rPr>
          <w:rStyle w:val="TextoNormalCaracter"/>
        </w:rPr>
        <w:t xml:space="preserve">, f. 2; </w:t>
      </w:r>
      <w:hyperlink w:anchor="SENTENCIA_2015_134" w:history="1">
        <w:r w:rsidRPr="00BB71B4">
          <w:rPr>
            <w:rStyle w:val="TextoNormalCaracter"/>
          </w:rPr>
          <w:t>134/2015</w:t>
        </w:r>
      </w:hyperlink>
      <w:r w:rsidRPr="00BB71B4">
        <w:rPr>
          <w:rStyle w:val="TextoNormalCaracter"/>
        </w:rPr>
        <w:t xml:space="preserve">, f. 2; </w:t>
      </w:r>
      <w:hyperlink w:anchor="SENTENCIA_2015_135" w:history="1">
        <w:r w:rsidRPr="00BB71B4">
          <w:rPr>
            <w:rStyle w:val="TextoNormalCaracter"/>
          </w:rPr>
          <w:t>135/2015</w:t>
        </w:r>
      </w:hyperlink>
      <w:r w:rsidRPr="00BB71B4">
        <w:rPr>
          <w:rStyle w:val="TextoNormalCaracter"/>
        </w:rPr>
        <w:t xml:space="preserve">, f. 2; </w:t>
      </w:r>
      <w:hyperlink w:anchor="SENTENCIA_2015_141" w:history="1">
        <w:r w:rsidRPr="00BB71B4">
          <w:rPr>
            <w:rStyle w:val="TextoNormalCaracter"/>
          </w:rPr>
          <w:t>141/2015</w:t>
        </w:r>
      </w:hyperlink>
      <w:r w:rsidRPr="00BB71B4">
        <w:rPr>
          <w:rStyle w:val="TextoNormalCaracter"/>
        </w:rPr>
        <w:t xml:space="preserve">, f. 3; </w:t>
      </w:r>
      <w:hyperlink w:anchor="SENTENCIA_2015_144" w:history="1">
        <w:r w:rsidRPr="00BB71B4">
          <w:rPr>
            <w:rStyle w:val="TextoNormalCaracter"/>
          </w:rPr>
          <w:t>144/2015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11" w:name="DESCRIPTORALFABETICO375"/>
      <w:r w:rsidRPr="00BB71B4">
        <w:rPr>
          <w:rStyle w:val="TextoNormalNegritaCaracter"/>
        </w:rPr>
        <w:t>Principio de jerarquía normativa</w:t>
      </w:r>
      <w:bookmarkEnd w:id="1611"/>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 18; </w:t>
      </w:r>
      <w:hyperlink w:anchor="SENTENCIA_2015_92" w:history="1">
        <w:r w:rsidRPr="00BB71B4">
          <w:rPr>
            <w:rStyle w:val="TextoNormalCaracter"/>
          </w:rPr>
          <w:t>92/2015</w:t>
        </w:r>
      </w:hyperlink>
      <w:r w:rsidRPr="00BB71B4">
        <w:rPr>
          <w:rStyle w:val="TextoNormalCaracter"/>
        </w:rPr>
        <w:t>, f. 11 b).</w:t>
      </w:r>
    </w:p>
    <w:p w:rsidR="00BB71B4" w:rsidRPr="00BB71B4" w:rsidRDefault="00BB71B4" w:rsidP="00BB71B4">
      <w:pPr>
        <w:pStyle w:val="TextoNormalSangraFrancesa"/>
        <w:rPr>
          <w:rStyle w:val="TextoNormalCaracter"/>
        </w:rPr>
      </w:pPr>
      <w:bookmarkStart w:id="1612" w:name="DESCRIPTORALFABETICO376"/>
      <w:r w:rsidRPr="00BB71B4">
        <w:rPr>
          <w:rStyle w:val="TextoNormalNegritaCaracter"/>
        </w:rPr>
        <w:t>Principio de lealtad institucional</w:t>
      </w:r>
      <w:bookmarkEnd w:id="1612"/>
      <w:r w:rsidRPr="00BB71B4">
        <w:rPr>
          <w:rStyle w:val="TextoNormalCaracter"/>
        </w:rPr>
        <w:t xml:space="preserve">, Sentencia </w:t>
      </w:r>
      <w:hyperlink w:anchor="SENTENCIA_2015_102" w:history="1">
        <w:r w:rsidRPr="00BB71B4">
          <w:rPr>
            <w:rStyle w:val="TextoNormalCaracter"/>
          </w:rPr>
          <w:t>102/2015</w:t>
        </w:r>
      </w:hyperlink>
      <w:r w:rsidRPr="00BB71B4">
        <w:rPr>
          <w:rStyle w:val="TextoNormalCaracter"/>
        </w:rPr>
        <w:t>, f. 6.</w:t>
      </w:r>
    </w:p>
    <w:p w:rsidR="00BB71B4" w:rsidRPr="00BB71B4" w:rsidRDefault="00BB71B4" w:rsidP="00BB71B4">
      <w:pPr>
        <w:pStyle w:val="TextoNormalSangraFrancesa"/>
        <w:rPr>
          <w:rStyle w:val="TextoNormalCaracter"/>
        </w:rPr>
      </w:pPr>
      <w:bookmarkStart w:id="1613" w:name="DESCRIPTORALFABETICO377"/>
      <w:r w:rsidRPr="00BB71B4">
        <w:rPr>
          <w:rStyle w:val="TextoNormalNegritaCaracter"/>
        </w:rPr>
        <w:t>Principio de legalidad</w:t>
      </w:r>
      <w:bookmarkEnd w:id="1613"/>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 5.</w:t>
      </w:r>
    </w:p>
    <w:p w:rsidR="00BB71B4" w:rsidRPr="00BB71B4" w:rsidRDefault="00BB71B4" w:rsidP="00BB71B4">
      <w:pPr>
        <w:pStyle w:val="TextoNormalSangraFrancesa"/>
        <w:rPr>
          <w:rStyle w:val="TextoNormalCaracter"/>
        </w:rPr>
      </w:pPr>
      <w:bookmarkStart w:id="1614" w:name="DESCRIPTORALFABETICO378"/>
      <w:r w:rsidRPr="00BB71B4">
        <w:rPr>
          <w:rStyle w:val="TextoNormalNegritaCaracter"/>
        </w:rPr>
        <w:t>Principio de legalidad penal</w:t>
      </w:r>
      <w:bookmarkEnd w:id="1614"/>
      <w:r w:rsidRPr="00BB71B4">
        <w:rPr>
          <w:rStyle w:val="TextoNormalCaracter"/>
        </w:rPr>
        <w:t xml:space="preserve">, Sentencias </w:t>
      </w:r>
      <w:hyperlink w:anchor="SENTENCIA_2015_2" w:history="1">
        <w:r w:rsidRPr="00BB71B4">
          <w:rPr>
            <w:rStyle w:val="TextoNormalCaracter"/>
          </w:rPr>
          <w:t>2/2015</w:t>
        </w:r>
      </w:hyperlink>
      <w:r w:rsidRPr="00BB71B4">
        <w:rPr>
          <w:rStyle w:val="TextoNormalCaracter"/>
        </w:rPr>
        <w:t xml:space="preserve">, ff. 8 a 10; </w:t>
      </w:r>
      <w:hyperlink w:anchor="SENTENCIA_2015_3" w:history="1">
        <w:r w:rsidRPr="00BB71B4">
          <w:rPr>
            <w:rStyle w:val="TextoNormalCaracter"/>
          </w:rPr>
          <w:t>3/2015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63" w:history="1">
        <w:r w:rsidRPr="00BB71B4">
          <w:rPr>
            <w:rStyle w:val="TextoNormalCaracter"/>
          </w:rPr>
          <w:t>63/2015</w:t>
        </w:r>
      </w:hyperlink>
      <w:r w:rsidRPr="00BB71B4">
        <w:rPr>
          <w:rStyle w:val="TextoNormalCaracter"/>
        </w:rPr>
        <w:t>, ff. 3, 5.</w:t>
      </w:r>
    </w:p>
    <w:p w:rsidR="00BB71B4" w:rsidRPr="00BB71B4" w:rsidRDefault="00BB71B4" w:rsidP="00BB71B4">
      <w:pPr>
        <w:pStyle w:val="TextoNormalSangraFrancesa"/>
        <w:rPr>
          <w:rStyle w:val="TextoNormalCaracter"/>
        </w:rPr>
      </w:pPr>
      <w:bookmarkStart w:id="1615" w:name="DESCRIPTORALFABETICO379"/>
      <w:r w:rsidRPr="00BB71B4">
        <w:rPr>
          <w:rStyle w:val="TextoNormalNegritaCaracter"/>
        </w:rPr>
        <w:t>Principio de legalidad sancionadora</w:t>
      </w:r>
      <w:bookmarkEnd w:id="1615"/>
      <w:r w:rsidRPr="00BB71B4">
        <w:rPr>
          <w:rStyle w:val="TextoNormalCaracter"/>
        </w:rPr>
        <w:t xml:space="preserve">, Sentencias </w:t>
      </w:r>
      <w:hyperlink w:anchor="SENTENCIA_2015_21" w:history="1">
        <w:r w:rsidRPr="00BB71B4">
          <w:rPr>
            <w:rStyle w:val="TextoNormalCaracter"/>
          </w:rPr>
          <w:t>21/2015</w:t>
        </w:r>
      </w:hyperlink>
      <w:r w:rsidRPr="00BB71B4">
        <w:rPr>
          <w:rStyle w:val="TextoNormalCaracter"/>
        </w:rPr>
        <w:t xml:space="preserve">, f. 3; </w:t>
      </w:r>
      <w:hyperlink w:anchor="SENTENCIA_2015_146" w:history="1">
        <w:r w:rsidRPr="00BB71B4">
          <w:rPr>
            <w:rStyle w:val="TextoNormalCaracter"/>
          </w:rPr>
          <w:t>146/2015</w:t>
        </w:r>
      </w:hyperlink>
      <w:r w:rsidRPr="00BB71B4">
        <w:rPr>
          <w:rStyle w:val="TextoNormalCaracter"/>
        </w:rPr>
        <w:t>, ff. 2, 3.</w:t>
      </w:r>
    </w:p>
    <w:p w:rsidR="00BB71B4" w:rsidRPr="00BB71B4" w:rsidRDefault="00BB71B4" w:rsidP="00BB71B4">
      <w:pPr>
        <w:pStyle w:val="TextoNormalSangraFrancesa"/>
        <w:rPr>
          <w:rStyle w:val="TextoNormalCaracter"/>
        </w:rPr>
      </w:pPr>
      <w:r w:rsidRPr="00BB71B4">
        <w:rPr>
          <w:rStyle w:val="TextoNormalCursivaCaracter"/>
        </w:rPr>
        <w:t xml:space="preserve">    Vulnerado, </w:t>
      </w:r>
      <w:r w:rsidRPr="00BB71B4">
        <w:rPr>
          <w:rStyle w:val="TextoNormalCaracter"/>
        </w:rPr>
        <w:t xml:space="preserve">Sentencia </w:t>
      </w:r>
      <w:hyperlink w:anchor="SENTENCIA_2015_10" w:history="1">
        <w:r w:rsidRPr="00BB71B4">
          <w:rPr>
            <w:rStyle w:val="TextoNormalCaracter"/>
          </w:rPr>
          <w:t>10/2015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16" w:name="DESCRIPTORALFABETICO384"/>
      <w:r w:rsidRPr="00BB71B4">
        <w:rPr>
          <w:rStyle w:val="TextoNormalNegritaCaracter"/>
        </w:rPr>
        <w:t>Principio de proporcionalidad</w:t>
      </w:r>
      <w:bookmarkEnd w:id="1616"/>
      <w:r w:rsidRPr="00BB71B4">
        <w:rPr>
          <w:rStyle w:val="TextoNormalCaracter"/>
        </w:rPr>
        <w:t xml:space="preserve">, Sentencias </w:t>
      </w:r>
      <w:hyperlink w:anchor="SENTENCIA_2015_8" w:history="1">
        <w:r w:rsidRPr="00BB71B4">
          <w:rPr>
            <w:rStyle w:val="TextoNormalCaracter"/>
          </w:rPr>
          <w:t>8/2015</w:t>
        </w:r>
      </w:hyperlink>
      <w:r w:rsidRPr="00BB71B4">
        <w:rPr>
          <w:rStyle w:val="TextoNormalCaracter"/>
        </w:rPr>
        <w:t xml:space="preserve">, ff. 3 b), 4 b), 5 b), 8 c), VP; </w:t>
      </w:r>
      <w:hyperlink w:anchor="SENTENCIA_2015_65" w:history="1">
        <w:r w:rsidRPr="00BB71B4">
          <w:rPr>
            <w:rStyle w:val="TextoNormalCaracter"/>
          </w:rPr>
          <w:t>65/2015</w:t>
        </w:r>
      </w:hyperlink>
      <w:r w:rsidRPr="00BB71B4">
        <w:rPr>
          <w:rStyle w:val="TextoNormalCaracter"/>
        </w:rPr>
        <w:t>, VP II.</w:t>
      </w:r>
    </w:p>
    <w:p w:rsidR="00BB71B4" w:rsidRPr="00BB71B4" w:rsidRDefault="00BB71B4" w:rsidP="00BB71B4">
      <w:pPr>
        <w:pStyle w:val="TextoNormalSangraFrancesa"/>
        <w:rPr>
          <w:rStyle w:val="TextoNormalCaracter"/>
        </w:rPr>
      </w:pPr>
      <w:bookmarkStart w:id="1617" w:name="DESCRIPTORALFABETICO387"/>
      <w:r w:rsidRPr="00BB71B4">
        <w:rPr>
          <w:rStyle w:val="TextoNormalNegritaCaracter"/>
        </w:rPr>
        <w:t>Principio de seguridad jurídica</w:t>
      </w:r>
      <w:bookmarkEnd w:id="1617"/>
      <w:r w:rsidRPr="00BB71B4">
        <w:rPr>
          <w:rStyle w:val="TextoNormalCaracter"/>
        </w:rPr>
        <w:t xml:space="preserve">, Sentencias </w:t>
      </w:r>
      <w:hyperlink w:anchor="SENTENCIA_2015_3" w:history="1">
        <w:r w:rsidRPr="00BB71B4">
          <w:rPr>
            <w:rStyle w:val="TextoNormalCaracter"/>
          </w:rPr>
          <w:t>3/2015</w:t>
        </w:r>
      </w:hyperlink>
      <w:r w:rsidRPr="00BB71B4">
        <w:rPr>
          <w:rStyle w:val="TextoNormalCaracter"/>
        </w:rPr>
        <w:t xml:space="preserve">, f. 3; </w:t>
      </w:r>
      <w:hyperlink w:anchor="SENTENCIA_2015_7" w:history="1">
        <w:r w:rsidRPr="00BB71B4">
          <w:rPr>
            <w:rStyle w:val="TextoNormalCaracter"/>
          </w:rPr>
          <w:t>7/2015</w:t>
        </w:r>
      </w:hyperlink>
      <w:r w:rsidRPr="00BB71B4">
        <w:rPr>
          <w:rStyle w:val="TextoNormalCaracter"/>
        </w:rPr>
        <w:t xml:space="preserve">, f. 1, VP; </w:t>
      </w:r>
      <w:hyperlink w:anchor="SENTENCIA_2015_8" w:history="1">
        <w:r w:rsidRPr="00BB71B4">
          <w:rPr>
            <w:rStyle w:val="TextoNormalCaracter"/>
          </w:rPr>
          <w:t>8/2015</w:t>
        </w:r>
      </w:hyperlink>
      <w:r w:rsidRPr="00BB71B4">
        <w:rPr>
          <w:rStyle w:val="TextoNormalCaracter"/>
        </w:rPr>
        <w:t xml:space="preserve">, f. 7 a); </w:t>
      </w:r>
      <w:hyperlink w:anchor="SENTENCIA_2015_44" w:history="1">
        <w:r w:rsidRPr="00BB71B4">
          <w:rPr>
            <w:rStyle w:val="TextoNormalCaracter"/>
          </w:rPr>
          <w:t>44/2015</w:t>
        </w:r>
      </w:hyperlink>
      <w:r w:rsidRPr="00BB71B4">
        <w:rPr>
          <w:rStyle w:val="TextoNormalCaracter"/>
        </w:rPr>
        <w:t xml:space="preserve">, ff. 3 apartados c) a h); </w:t>
      </w:r>
      <w:hyperlink w:anchor="SENTENCIA_2015_48" w:history="1">
        <w:r w:rsidRPr="00BB71B4">
          <w:rPr>
            <w:rStyle w:val="TextoNormalCaracter"/>
          </w:rPr>
          <w:t>48/2015</w:t>
        </w:r>
      </w:hyperlink>
      <w:r w:rsidRPr="00BB71B4">
        <w:rPr>
          <w:rStyle w:val="TextoNormalCaracter"/>
        </w:rPr>
        <w:t xml:space="preserve">, f. 2; </w:t>
      </w:r>
      <w:hyperlink w:anchor="SENTENCIA_2015_81" w:history="1">
        <w:r w:rsidRPr="00BB71B4">
          <w:rPr>
            <w:rStyle w:val="TextoNormalCaracter"/>
          </w:rPr>
          <w:t>81/2015</w:t>
        </w:r>
      </w:hyperlink>
      <w:r w:rsidRPr="00BB71B4">
        <w:rPr>
          <w:rStyle w:val="TextoNormalCaracter"/>
        </w:rPr>
        <w:t xml:space="preserve">, f. 8; </w:t>
      </w:r>
      <w:hyperlink w:anchor="SENTENCIA_2015_84" w:history="1">
        <w:r w:rsidRPr="00BB71B4">
          <w:rPr>
            <w:rStyle w:val="TextoNormalCaracter"/>
          </w:rPr>
          <w:t>84/2015</w:t>
        </w:r>
      </w:hyperlink>
      <w:r w:rsidRPr="00BB71B4">
        <w:rPr>
          <w:rStyle w:val="TextoNormalCaracter"/>
        </w:rPr>
        <w:t xml:space="preserve">, ff. 3, 6; </w:t>
      </w:r>
      <w:hyperlink w:anchor="SENTENCIA_2015_95" w:history="1">
        <w:r w:rsidRPr="00BB71B4">
          <w:rPr>
            <w:rStyle w:val="TextoNormalCaracter"/>
          </w:rPr>
          <w:t>95/2015</w:t>
        </w:r>
      </w:hyperlink>
      <w:r w:rsidRPr="00BB71B4">
        <w:rPr>
          <w:rStyle w:val="TextoNormalCaracter"/>
        </w:rPr>
        <w:t xml:space="preserve">, VP; </w:t>
      </w:r>
      <w:hyperlink w:anchor="SENTENCIA_2015_102" w:history="1">
        <w:r w:rsidRPr="00BB71B4">
          <w:rPr>
            <w:rStyle w:val="TextoNormalCaracter"/>
          </w:rPr>
          <w:t>102/2015</w:t>
        </w:r>
      </w:hyperlink>
      <w:r w:rsidRPr="00BB71B4">
        <w:rPr>
          <w:rStyle w:val="TextoNormalCaracter"/>
        </w:rPr>
        <w:t xml:space="preserve">, ff. 4, 5; </w:t>
      </w:r>
      <w:hyperlink w:anchor="SENTENCIA_2015_103" w:history="1">
        <w:r w:rsidRPr="00BB71B4">
          <w:rPr>
            <w:rStyle w:val="TextoNormalCaracter"/>
          </w:rPr>
          <w:t>103/2015</w:t>
        </w:r>
      </w:hyperlink>
      <w:r w:rsidRPr="00BB71B4">
        <w:rPr>
          <w:rStyle w:val="TextoNormalCaracter"/>
        </w:rPr>
        <w:t xml:space="preserve">, ff. 3, 9; </w:t>
      </w:r>
      <w:hyperlink w:anchor="SENTENCIA_2015_105" w:history="1">
        <w:r w:rsidRPr="00BB71B4">
          <w:rPr>
            <w:rStyle w:val="TextoNormalCaracter"/>
          </w:rPr>
          <w:t>105/2015</w:t>
        </w:r>
      </w:hyperlink>
      <w:r w:rsidRPr="00BB71B4">
        <w:rPr>
          <w:rStyle w:val="TextoNormalCaracter"/>
        </w:rPr>
        <w:t xml:space="preserve">, ff. 1, 2; </w:t>
      </w:r>
      <w:hyperlink w:anchor="SENTENCIA_2015_106" w:history="1">
        <w:r w:rsidRPr="00BB71B4">
          <w:rPr>
            <w:rStyle w:val="TextoNormalCaracter"/>
          </w:rPr>
          <w:t>106/2015</w:t>
        </w:r>
      </w:hyperlink>
      <w:r w:rsidRPr="00BB71B4">
        <w:rPr>
          <w:rStyle w:val="TextoNormalCaracter"/>
        </w:rPr>
        <w:t xml:space="preserve">, f. 2; </w:t>
      </w:r>
      <w:hyperlink w:anchor="SENTENCIA_2015_109" w:history="1">
        <w:r w:rsidRPr="00BB71B4">
          <w:rPr>
            <w:rStyle w:val="TextoNormalCaracter"/>
          </w:rPr>
          <w:t>109/2015</w:t>
        </w:r>
      </w:hyperlink>
      <w:r w:rsidRPr="00BB71B4">
        <w:rPr>
          <w:rStyle w:val="TextoNormalCaracter"/>
        </w:rPr>
        <w:t xml:space="preserve">, VP; </w:t>
      </w:r>
      <w:hyperlink w:anchor="SENTENCIA_2015_116" w:history="1">
        <w:r w:rsidRPr="00BB71B4">
          <w:rPr>
            <w:rStyle w:val="TextoNormalCaracter"/>
          </w:rPr>
          <w:t>116/2015</w:t>
        </w:r>
      </w:hyperlink>
      <w:r w:rsidRPr="00BB71B4">
        <w:rPr>
          <w:rStyle w:val="TextoNormalCaracter"/>
        </w:rPr>
        <w:t xml:space="preserve">, VP; </w:t>
      </w:r>
      <w:hyperlink w:anchor="SENTENCIA_2015_119" w:history="1">
        <w:r w:rsidRPr="00BB71B4">
          <w:rPr>
            <w:rStyle w:val="TextoNormalCaracter"/>
          </w:rPr>
          <w:t>119/2015</w:t>
        </w:r>
      </w:hyperlink>
      <w:r w:rsidRPr="00BB71B4">
        <w:rPr>
          <w:rStyle w:val="TextoNormalCaracter"/>
        </w:rPr>
        <w:t xml:space="preserve">, VP; </w:t>
      </w:r>
      <w:hyperlink w:anchor="SENTENCIA_2015_120" w:history="1">
        <w:r w:rsidRPr="00BB71B4">
          <w:rPr>
            <w:rStyle w:val="TextoNormalCaracter"/>
          </w:rPr>
          <w:t>120/2015</w:t>
        </w:r>
      </w:hyperlink>
      <w:r w:rsidRPr="00BB71B4">
        <w:rPr>
          <w:rStyle w:val="TextoNormalCaracter"/>
        </w:rPr>
        <w:t xml:space="preserve">, VP; </w:t>
      </w:r>
      <w:hyperlink w:anchor="SENTENCIA_2015_125" w:history="1">
        <w:r w:rsidRPr="00BB71B4">
          <w:rPr>
            <w:rStyle w:val="TextoNormalCaracter"/>
          </w:rPr>
          <w:t>125/2015</w:t>
        </w:r>
      </w:hyperlink>
      <w:r w:rsidRPr="00BB71B4">
        <w:rPr>
          <w:rStyle w:val="TextoNormalCaracter"/>
        </w:rPr>
        <w:t xml:space="preserve">, VP; </w:t>
      </w:r>
      <w:hyperlink w:anchor="SENTENCIA_2015_126" w:history="1">
        <w:r w:rsidRPr="00BB71B4">
          <w:rPr>
            <w:rStyle w:val="TextoNormalCaracter"/>
          </w:rPr>
          <w:t>126/2015</w:t>
        </w:r>
      </w:hyperlink>
      <w:r w:rsidRPr="00BB71B4">
        <w:rPr>
          <w:rStyle w:val="TextoNormalCaracter"/>
        </w:rPr>
        <w:t xml:space="preserve">, VP; </w:t>
      </w:r>
      <w:hyperlink w:anchor="SENTENCIA_2015_127" w:history="1">
        <w:r w:rsidRPr="00BB71B4">
          <w:rPr>
            <w:rStyle w:val="TextoNormalCaracter"/>
          </w:rPr>
          <w:t>127/2015</w:t>
        </w:r>
      </w:hyperlink>
      <w:r w:rsidRPr="00BB71B4">
        <w:rPr>
          <w:rStyle w:val="TextoNormalCaracter"/>
        </w:rPr>
        <w:t xml:space="preserve">, VP; </w:t>
      </w:r>
      <w:hyperlink w:anchor="SENTENCIA_2015_129" w:history="1">
        <w:r w:rsidRPr="00BB71B4">
          <w:rPr>
            <w:rStyle w:val="TextoNormalCaracter"/>
          </w:rPr>
          <w:t>129/2015</w:t>
        </w:r>
      </w:hyperlink>
      <w:r w:rsidRPr="00BB71B4">
        <w:rPr>
          <w:rStyle w:val="TextoNormalCaracter"/>
        </w:rPr>
        <w:t xml:space="preserve">, VP; </w:t>
      </w:r>
      <w:hyperlink w:anchor="SENTENCIA_2015_130" w:history="1">
        <w:r w:rsidRPr="00BB71B4">
          <w:rPr>
            <w:rStyle w:val="TextoNormalCaracter"/>
          </w:rPr>
          <w:t>130/2015</w:t>
        </w:r>
      </w:hyperlink>
      <w:r w:rsidRPr="00BB71B4">
        <w:rPr>
          <w:rStyle w:val="TextoNormalCaracter"/>
        </w:rPr>
        <w:t xml:space="preserve">, VP; </w:t>
      </w:r>
      <w:hyperlink w:anchor="SENTENCIA_2015_131" w:history="1">
        <w:r w:rsidRPr="00BB71B4">
          <w:rPr>
            <w:rStyle w:val="TextoNormalCaracter"/>
          </w:rPr>
          <w:t>131/2015</w:t>
        </w:r>
      </w:hyperlink>
      <w:r w:rsidRPr="00BB71B4">
        <w:rPr>
          <w:rStyle w:val="TextoNormalCaracter"/>
        </w:rPr>
        <w:t xml:space="preserve">, VP; </w:t>
      </w:r>
      <w:hyperlink w:anchor="SENTENCIA_2015_133" w:history="1">
        <w:r w:rsidRPr="00BB71B4">
          <w:rPr>
            <w:rStyle w:val="TextoNormalCaracter"/>
          </w:rPr>
          <w:t>133/2015</w:t>
        </w:r>
      </w:hyperlink>
      <w:r w:rsidRPr="00BB71B4">
        <w:rPr>
          <w:rStyle w:val="TextoNormalCaracter"/>
        </w:rPr>
        <w:t xml:space="preserve">, VP; </w:t>
      </w:r>
      <w:hyperlink w:anchor="SENTENCIA_2015_134" w:history="1">
        <w:r w:rsidRPr="00BB71B4">
          <w:rPr>
            <w:rStyle w:val="TextoNormalCaracter"/>
          </w:rPr>
          <w:t>134/2015</w:t>
        </w:r>
      </w:hyperlink>
      <w:r w:rsidRPr="00BB71B4">
        <w:rPr>
          <w:rStyle w:val="TextoNormalCaracter"/>
        </w:rPr>
        <w:t xml:space="preserve">, VP; </w:t>
      </w:r>
      <w:hyperlink w:anchor="SENTENCIA_2015_135" w:history="1">
        <w:r w:rsidRPr="00BB71B4">
          <w:rPr>
            <w:rStyle w:val="TextoNormalCaracter"/>
          </w:rPr>
          <w:t>135/2015</w:t>
        </w:r>
      </w:hyperlink>
      <w:r w:rsidRPr="00BB71B4">
        <w:rPr>
          <w:rStyle w:val="TextoNormalCaracter"/>
        </w:rPr>
        <w:t xml:space="preserve">, VP; </w:t>
      </w:r>
      <w:hyperlink w:anchor="SENTENCIA_2015_144" w:history="1">
        <w:r w:rsidRPr="00BB71B4">
          <w:rPr>
            <w:rStyle w:val="TextoNormalCaracter"/>
          </w:rPr>
          <w:t>144/2015</w:t>
        </w:r>
      </w:hyperlink>
      <w:r w:rsidRPr="00BB71B4">
        <w:rPr>
          <w:rStyle w:val="TextoNormalCaracter"/>
        </w:rPr>
        <w:t>, VP.</w:t>
      </w:r>
    </w:p>
    <w:p w:rsidR="00BB71B4" w:rsidRPr="00BB71B4" w:rsidRDefault="00BB71B4" w:rsidP="00BB71B4">
      <w:pPr>
        <w:pStyle w:val="TextoNormalSangraFrancesa"/>
        <w:rPr>
          <w:rStyle w:val="TextoNormalCaracter"/>
        </w:rPr>
      </w:pPr>
      <w:bookmarkStart w:id="1618" w:name="DESCRIPTORALFABETICO389"/>
      <w:r w:rsidRPr="00BB71B4">
        <w:rPr>
          <w:rStyle w:val="TextoNormalNegritaCaracter"/>
        </w:rPr>
        <w:t>Principio de solidaridad</w:t>
      </w:r>
      <w:bookmarkEnd w:id="1618"/>
      <w:r w:rsidRPr="00BB71B4">
        <w:rPr>
          <w:rStyle w:val="TextoNormalCaracter"/>
        </w:rPr>
        <w:t xml:space="preserve">, Sentencia </w:t>
      </w:r>
      <w:hyperlink w:anchor="SENTENCIA_2015_49" w:history="1">
        <w:r w:rsidRPr="00BB71B4">
          <w:rPr>
            <w:rStyle w:val="TextoNormalCaracter"/>
          </w:rPr>
          <w:t>49/2015</w:t>
        </w:r>
      </w:hyperlink>
      <w:r w:rsidRPr="00BB71B4">
        <w:rPr>
          <w:rStyle w:val="TextoNormalCaracter"/>
        </w:rPr>
        <w:t>, VP.</w:t>
      </w:r>
    </w:p>
    <w:p w:rsidR="00BB71B4" w:rsidRPr="00BB71B4" w:rsidRDefault="00BB71B4" w:rsidP="00BB71B4">
      <w:pPr>
        <w:pStyle w:val="TextoNormalSangraFrancesa"/>
        <w:rPr>
          <w:rStyle w:val="TextoNormalCaracter"/>
        </w:rPr>
      </w:pPr>
      <w:bookmarkStart w:id="1619" w:name="DESCRIPTORALFABETICO383"/>
      <w:r w:rsidRPr="00BB71B4">
        <w:rPr>
          <w:rStyle w:val="TextoNormalNegritaCaracter"/>
        </w:rPr>
        <w:t>Principio de taxatividad en el ámbito sancionador</w:t>
      </w:r>
      <w:bookmarkEnd w:id="1619"/>
      <w:r w:rsidRPr="00BB71B4">
        <w:rPr>
          <w:rStyle w:val="TextoNormalCaracter"/>
        </w:rPr>
        <w:t xml:space="preserve">, Sentencia </w:t>
      </w:r>
      <w:hyperlink w:anchor="SENTENCIA_2015_10" w:history="1">
        <w:r w:rsidRPr="00BB71B4">
          <w:rPr>
            <w:rStyle w:val="TextoNormalCaracter"/>
          </w:rPr>
          <w:t>10/2015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20" w:name="DESCRIPTORALFABETICO16"/>
      <w:r w:rsidRPr="00BB71B4">
        <w:rPr>
          <w:rStyle w:val="TextoNormalNegritaCaracter"/>
        </w:rPr>
        <w:t>Principio de territorialidad</w:t>
      </w:r>
      <w:bookmarkEnd w:id="1620"/>
      <w:r w:rsidRPr="00BB71B4">
        <w:rPr>
          <w:rStyle w:val="TextoNormalCaracter"/>
        </w:rPr>
        <w:t xml:space="preserve">, Sentencias </w:t>
      </w:r>
      <w:hyperlink w:anchor="SENTENCIA_2015_61" w:history="1">
        <w:r w:rsidRPr="00BB71B4">
          <w:rPr>
            <w:rStyle w:val="TextoNormalCaracter"/>
          </w:rPr>
          <w:t>61/2015</w:t>
        </w:r>
      </w:hyperlink>
      <w:r w:rsidRPr="00BB71B4">
        <w:rPr>
          <w:rStyle w:val="TextoNormalCaracter"/>
        </w:rPr>
        <w:t xml:space="preserve">, ff. 3, 4; </w:t>
      </w:r>
      <w:hyperlink w:anchor="SENTENCIA_2015_85" w:history="1">
        <w:r w:rsidRPr="00BB71B4">
          <w:rPr>
            <w:rStyle w:val="TextoNormalCaracter"/>
          </w:rPr>
          <w:t>85/2015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621" w:name="DESCRIPTORALFABETICO390"/>
      <w:r w:rsidRPr="00BB71B4">
        <w:rPr>
          <w:rStyle w:val="TextoNormalNegritaCaracter"/>
        </w:rPr>
        <w:t>Principio de tipicidad</w:t>
      </w:r>
      <w:bookmarkEnd w:id="1621"/>
      <w:r w:rsidRPr="00BB71B4">
        <w:rPr>
          <w:rStyle w:val="TextoNormalCaracter"/>
        </w:rPr>
        <w:t xml:space="preserve">, Sentencia </w:t>
      </w:r>
      <w:hyperlink w:anchor="SENTENCIA_2015_21" w:history="1">
        <w:r w:rsidRPr="00BB71B4">
          <w:rPr>
            <w:rStyle w:val="TextoNormalCaracter"/>
          </w:rPr>
          <w:t>21/2015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22" w:name="DESCRIPTORALFABETICO392"/>
      <w:r w:rsidRPr="00BB71B4">
        <w:rPr>
          <w:rStyle w:val="TextoNormalNegritaCaracter"/>
        </w:rPr>
        <w:t>Principio democrático</w:t>
      </w:r>
      <w:bookmarkEnd w:id="1622"/>
      <w:r w:rsidRPr="00BB71B4">
        <w:rPr>
          <w:rStyle w:val="TextoNormalCaracter"/>
        </w:rPr>
        <w:t xml:space="preserve">, Sentencias </w:t>
      </w:r>
      <w:hyperlink w:anchor="SENTENCIA_2015_93" w:history="1">
        <w:r w:rsidRPr="00BB71B4">
          <w:rPr>
            <w:rStyle w:val="TextoNormalCaracter"/>
          </w:rPr>
          <w:t>93/2015</w:t>
        </w:r>
      </w:hyperlink>
      <w:r w:rsidRPr="00BB71B4">
        <w:rPr>
          <w:rStyle w:val="TextoNormalCaracter"/>
        </w:rPr>
        <w:t xml:space="preserve">, ff. 4 a 6; </w:t>
      </w:r>
      <w:hyperlink w:anchor="SENTENCIA_2015_107" w:history="1">
        <w:r w:rsidRPr="00BB71B4">
          <w:rPr>
            <w:rStyle w:val="TextoNormalCaracter"/>
          </w:rPr>
          <w:t>107/2015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623" w:name="DESCRIPTORALFABETICO391"/>
      <w:r w:rsidRPr="00BB71B4">
        <w:rPr>
          <w:rStyle w:val="TextoNormalNegritaCaracter"/>
        </w:rPr>
        <w:t>Principio non bis in idem</w:t>
      </w:r>
      <w:bookmarkEnd w:id="1623"/>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 4.</w:t>
      </w:r>
    </w:p>
    <w:p w:rsidR="00BB71B4" w:rsidRPr="00BB71B4" w:rsidRDefault="00BB71B4" w:rsidP="00BB71B4">
      <w:pPr>
        <w:pStyle w:val="TextoNormalSangraFrancesa"/>
        <w:rPr>
          <w:rStyle w:val="TextoNormalCaracter"/>
        </w:rPr>
      </w:pPr>
      <w:bookmarkStart w:id="1624" w:name="DESCRIPTORALFABETICO127"/>
      <w:r w:rsidRPr="00BB71B4">
        <w:rPr>
          <w:rStyle w:val="TextoNormalNegritaCaracter"/>
        </w:rPr>
        <w:t>Privación de libertad</w:t>
      </w:r>
      <w:bookmarkEnd w:id="1624"/>
      <w:r w:rsidRPr="00BB71B4">
        <w:rPr>
          <w:rStyle w:val="TextoNormalCaracter"/>
        </w:rPr>
        <w:t xml:space="preserve">, Sentencia </w:t>
      </w:r>
      <w:hyperlink w:anchor="SENTENCIA_2015_42" w:history="1">
        <w:r w:rsidRPr="00BB71B4">
          <w:rPr>
            <w:rStyle w:val="TextoNormalCaracter"/>
          </w:rPr>
          <w:t>42/2015</w:t>
        </w:r>
      </w:hyperlink>
      <w:r w:rsidRPr="00BB71B4">
        <w:rPr>
          <w:rStyle w:val="TextoNormalCaracter"/>
        </w:rPr>
        <w:t>, ff. 1, 4, 5.</w:t>
      </w:r>
    </w:p>
    <w:p w:rsidR="00BB71B4" w:rsidRPr="00BB71B4" w:rsidRDefault="00BB71B4" w:rsidP="00BB71B4">
      <w:pPr>
        <w:pStyle w:val="TextoNormalSangraFrancesa"/>
        <w:rPr>
          <w:rStyle w:val="TextoNormalCaracter"/>
        </w:rPr>
      </w:pPr>
      <w:bookmarkStart w:id="1625" w:name="DESCRIPTORALFABETICO583"/>
      <w:r w:rsidRPr="00BB71B4">
        <w:rPr>
          <w:rStyle w:val="TextoNormalNegritaCaracter"/>
        </w:rPr>
        <w:t>Procedimiento administrativo</w:t>
      </w:r>
      <w:bookmarkEnd w:id="1625"/>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1, 8.</w:t>
      </w:r>
    </w:p>
    <w:p w:rsidR="00BB71B4" w:rsidRPr="00BB71B4" w:rsidRDefault="00BB71B4" w:rsidP="00BB71B4">
      <w:pPr>
        <w:pStyle w:val="TextoNormalSangraFrancesa"/>
        <w:rPr>
          <w:rStyle w:val="TextoNormalCaracter"/>
        </w:rPr>
      </w:pPr>
      <w:bookmarkStart w:id="1626" w:name="DESCRIPTORALFABETICO450"/>
      <w:r w:rsidRPr="00BB71B4">
        <w:rPr>
          <w:rStyle w:val="TextoNormalNegritaCaracter"/>
        </w:rPr>
        <w:t>Procedimiento administrativo sancionador</w:t>
      </w:r>
      <w:bookmarkEnd w:id="1626"/>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 7.</w:t>
      </w:r>
    </w:p>
    <w:p w:rsidR="00BB71B4" w:rsidRPr="00BB71B4" w:rsidRDefault="00BB71B4" w:rsidP="00BB71B4">
      <w:pPr>
        <w:pStyle w:val="TextoNormalSangraFrancesa"/>
        <w:rPr>
          <w:rStyle w:val="TextoNormalCaracter"/>
        </w:rPr>
      </w:pPr>
      <w:bookmarkStart w:id="1627" w:name="DESCRIPTORALFABETICO393"/>
      <w:r w:rsidRPr="00BB71B4">
        <w:rPr>
          <w:rStyle w:val="TextoNormalNegritaCaracter"/>
        </w:rPr>
        <w:t>Procedimiento de reforma constitucional</w:t>
      </w:r>
      <w:bookmarkEnd w:id="1627"/>
      <w:r w:rsidRPr="00BB71B4">
        <w:rPr>
          <w:rStyle w:val="TextoNormalCaracter"/>
        </w:rPr>
        <w:t xml:space="preserve">, Sentencia </w:t>
      </w:r>
      <w:hyperlink w:anchor="SENTENCIA_2015_31" w:history="1">
        <w:r w:rsidRPr="00BB71B4">
          <w:rPr>
            <w:rStyle w:val="TextoNormalCaracter"/>
          </w:rPr>
          <w:t>31/2015</w:t>
        </w:r>
      </w:hyperlink>
      <w:r w:rsidRPr="00BB71B4">
        <w:rPr>
          <w:rStyle w:val="TextoNormalCaracter"/>
        </w:rPr>
        <w:t>, f. 5.</w:t>
      </w:r>
    </w:p>
    <w:p w:rsidR="00BB71B4" w:rsidRPr="00BB71B4" w:rsidRDefault="00BB71B4" w:rsidP="00BB71B4">
      <w:pPr>
        <w:pStyle w:val="TextoNormalSangraFrancesa"/>
        <w:rPr>
          <w:rStyle w:val="TextoNormalCaracter"/>
        </w:rPr>
      </w:pPr>
      <w:bookmarkStart w:id="1628" w:name="DESCRIPTORALFABETICO718"/>
      <w:r w:rsidRPr="00BB71B4">
        <w:rPr>
          <w:rStyle w:val="TextoNormalNegritaCaracter"/>
        </w:rPr>
        <w:t>Proceso contencioso-electoral</w:t>
      </w:r>
      <w:bookmarkEnd w:id="1628"/>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1 a 3, 5.</w:t>
      </w:r>
    </w:p>
    <w:p w:rsidR="00BB71B4" w:rsidRPr="00BB71B4" w:rsidRDefault="00BB71B4" w:rsidP="00BB71B4">
      <w:pPr>
        <w:pStyle w:val="TextoNormalSangraFrancesa"/>
        <w:rPr>
          <w:rStyle w:val="TextoNormalCaracter"/>
        </w:rPr>
      </w:pPr>
      <w:bookmarkStart w:id="1629" w:name="DESCRIPTORALFABETICO714"/>
      <w:r w:rsidRPr="00BB71B4">
        <w:rPr>
          <w:rStyle w:val="TextoNormalNegritaCaracter"/>
        </w:rPr>
        <w:t>Proceso de ejecución hipotecaria</w:t>
      </w:r>
      <w:bookmarkEnd w:id="1629"/>
      <w:r w:rsidRPr="00BB71B4">
        <w:rPr>
          <w:rStyle w:val="TextoNormalCaracter"/>
        </w:rPr>
        <w:t xml:space="preserve">, Sentencias </w:t>
      </w:r>
      <w:hyperlink w:anchor="SENTENCIA_2015_39" w:history="1">
        <w:r w:rsidRPr="00BB71B4">
          <w:rPr>
            <w:rStyle w:val="TextoNormalCaracter"/>
          </w:rPr>
          <w:t>39/2015</w:t>
        </w:r>
      </w:hyperlink>
      <w:r w:rsidRPr="00BB71B4">
        <w:rPr>
          <w:rStyle w:val="TextoNormalCaracter"/>
        </w:rPr>
        <w:t xml:space="preserve">, ff. 3, 6, 7; </w:t>
      </w:r>
      <w:hyperlink w:anchor="SENTENCIA_2015_89" w:history="1">
        <w:r w:rsidRPr="00BB71B4">
          <w:rPr>
            <w:rStyle w:val="TextoNormalCaracter"/>
          </w:rPr>
          <w:t>89/2015</w:t>
        </w:r>
      </w:hyperlink>
      <w:r w:rsidRPr="00BB71B4">
        <w:rPr>
          <w:rStyle w:val="TextoNormalCaracter"/>
        </w:rPr>
        <w:t xml:space="preserve">, ff. 3 a 6; </w:t>
      </w:r>
      <w:hyperlink w:anchor="SENTENCIA_2015_93" w:history="1">
        <w:r w:rsidRPr="00BB71B4">
          <w:rPr>
            <w:rStyle w:val="TextoNormalCaracter"/>
          </w:rPr>
          <w:t>93/2015</w:t>
        </w:r>
      </w:hyperlink>
      <w:r w:rsidRPr="00BB71B4">
        <w:rPr>
          <w:rStyle w:val="TextoNormalCaracter"/>
        </w:rPr>
        <w:t>, ff. 16 a 18, VP I.</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50" w:history="1">
        <w:r w:rsidRPr="00BB71B4">
          <w:rPr>
            <w:rStyle w:val="TextoNormalCaracter"/>
          </w:rPr>
          <w:t>50/2015</w:t>
        </w:r>
      </w:hyperlink>
      <w:r w:rsidRPr="00BB71B4">
        <w:rPr>
          <w:rStyle w:val="TextoNormalCaracter"/>
        </w:rPr>
        <w:t xml:space="preserve">, f. 2; </w:t>
      </w:r>
      <w:hyperlink w:anchor="AUTO_2015_84" w:history="1">
        <w:r w:rsidRPr="00BB71B4">
          <w:rPr>
            <w:rStyle w:val="TextoNormalCaracter"/>
          </w:rPr>
          <w:t>84/2015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30" w:name="DESCRIPTORALFABETICO260"/>
      <w:r w:rsidRPr="00BB71B4">
        <w:rPr>
          <w:rStyle w:val="TextoNormalNegritaCaracter"/>
        </w:rPr>
        <w:t>Proceso de impugnación de disposiciones autonómicas</w:t>
      </w:r>
      <w:bookmarkEnd w:id="163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Alcance, </w:t>
      </w:r>
      <w:r w:rsidRPr="00BB71B4">
        <w:rPr>
          <w:rStyle w:val="TextoNormalCaracter"/>
        </w:rPr>
        <w:t xml:space="preserve">Sentencias </w:t>
      </w:r>
      <w:hyperlink w:anchor="SENTENCIA_2015_32" w:history="1">
        <w:r w:rsidRPr="00BB71B4">
          <w:rPr>
            <w:rStyle w:val="TextoNormalCaracter"/>
          </w:rPr>
          <w:t>32/2015</w:t>
        </w:r>
      </w:hyperlink>
      <w:r w:rsidRPr="00BB71B4">
        <w:rPr>
          <w:rStyle w:val="TextoNormalCaracter"/>
        </w:rPr>
        <w:t xml:space="preserve">, f. 2; </w:t>
      </w:r>
      <w:hyperlink w:anchor="SENTENCIA_2015_147" w:history="1">
        <w:r w:rsidRPr="00BB71B4">
          <w:rPr>
            <w:rStyle w:val="TextoNormalCaracter"/>
          </w:rPr>
          <w:t>147/2015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31" w:name="DESCRIPTORALFABETICO423"/>
      <w:r w:rsidRPr="00BB71B4">
        <w:rPr>
          <w:rStyle w:val="TextoNormalNegritaCaracter"/>
        </w:rPr>
        <w:t>Procesos selectivos en la función pública</w:t>
      </w:r>
      <w:bookmarkEnd w:id="1631"/>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632" w:name="DESCRIPTORALFABETICO92"/>
      <w:r w:rsidRPr="00BB71B4">
        <w:rPr>
          <w:rStyle w:val="TextoNormalNegritaCaracter"/>
        </w:rPr>
        <w:t>Proclamación de candidaturas electorales</w:t>
      </w:r>
      <w:bookmarkEnd w:id="1632"/>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1, 2, 4, 5.</w:t>
      </w:r>
    </w:p>
    <w:p w:rsidR="00BB71B4" w:rsidRPr="00BB71B4" w:rsidRDefault="00BB71B4" w:rsidP="00BB71B4">
      <w:pPr>
        <w:pStyle w:val="TextoNormalSangraFrancesa"/>
        <w:rPr>
          <w:rStyle w:val="TextoNormalCaracter"/>
        </w:rPr>
      </w:pPr>
      <w:bookmarkStart w:id="1633" w:name="DESCRIPTORALFABETICO603"/>
      <w:r w:rsidRPr="00BB71B4">
        <w:rPr>
          <w:rStyle w:val="TextoNormalNegritaCaracter"/>
        </w:rPr>
        <w:t>Productos farmacéuticos</w:t>
      </w:r>
      <w:bookmarkEnd w:id="1633"/>
      <w:r w:rsidRPr="00BB71B4">
        <w:rPr>
          <w:rStyle w:val="TextoNormalCaracter"/>
        </w:rPr>
        <w:t xml:space="preserve">, Sentencias </w:t>
      </w:r>
      <w:hyperlink w:anchor="SENTENCIA_2015_6" w:history="1">
        <w:r w:rsidRPr="00BB71B4">
          <w:rPr>
            <w:rStyle w:val="TextoNormalCaracter"/>
          </w:rPr>
          <w:t>6/2015</w:t>
        </w:r>
      </w:hyperlink>
      <w:r w:rsidRPr="00BB71B4">
        <w:rPr>
          <w:rStyle w:val="TextoNormalCaracter"/>
        </w:rPr>
        <w:t xml:space="preserve">, f. 2, VP; </w:t>
      </w:r>
      <w:hyperlink w:anchor="SENTENCIA_2015_145" w:history="1">
        <w:r w:rsidRPr="00BB71B4">
          <w:rPr>
            <w:rStyle w:val="TextoNormalCaracter"/>
          </w:rPr>
          <w:t>145/2015</w:t>
        </w:r>
      </w:hyperlink>
      <w:r w:rsidRPr="00BB71B4">
        <w:rPr>
          <w:rStyle w:val="TextoNormalCaracter"/>
        </w:rPr>
        <w:t>, ff. 4 a 6, VP I, VP III.</w:t>
      </w:r>
    </w:p>
    <w:p w:rsidR="00BB71B4" w:rsidRPr="00BB71B4" w:rsidRDefault="00BB71B4" w:rsidP="00BB71B4">
      <w:pPr>
        <w:pStyle w:val="TextoNormalSangraFrancesa"/>
        <w:rPr>
          <w:rStyle w:val="TextoNormalCaracter"/>
        </w:rPr>
      </w:pPr>
      <w:bookmarkStart w:id="1634" w:name="DESCRIPTORALFABETICO78"/>
      <w:r w:rsidRPr="00BB71B4">
        <w:rPr>
          <w:rStyle w:val="TextoNormalNegritaCaracter"/>
        </w:rPr>
        <w:t>Prohibición de establecimiento de tributos mediante leyes presupuestarias</w:t>
      </w:r>
      <w:bookmarkEnd w:id="1634"/>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3 apartados f) y h), 4 a), 5 apartados d) y e); </w:t>
      </w:r>
      <w:hyperlink w:anchor="SENTENCIA_2015_62" w:history="1">
        <w:r w:rsidRPr="00BB71B4">
          <w:rPr>
            <w:rStyle w:val="TextoNormalCaracter"/>
          </w:rPr>
          <w:t>62/2015</w:t>
        </w:r>
      </w:hyperlink>
      <w:r w:rsidRPr="00BB71B4">
        <w:rPr>
          <w:rStyle w:val="TextoNormalCaracter"/>
        </w:rPr>
        <w:t xml:space="preserve">, f. 3; </w:t>
      </w:r>
      <w:hyperlink w:anchor="SENTENCIA_2015_108" w:history="1">
        <w:r w:rsidRPr="00BB71B4">
          <w:rPr>
            <w:rStyle w:val="TextoNormalCaracter"/>
          </w:rPr>
          <w:t>108/2015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35" w:name="DESCRIPTORALFABETICO194"/>
      <w:r w:rsidRPr="00BB71B4">
        <w:rPr>
          <w:rStyle w:val="TextoNormalNegritaCaracter"/>
        </w:rPr>
        <w:t>Prohibición de manifestación</w:t>
      </w:r>
      <w:bookmarkEnd w:id="1635"/>
      <w:r w:rsidRPr="00BB71B4">
        <w:rPr>
          <w:rStyle w:val="TextoNormalCaracter"/>
        </w:rPr>
        <w:t xml:space="preserve">, Sentencia </w:t>
      </w:r>
      <w:hyperlink w:anchor="SENTENCIA_2015_24" w:history="1">
        <w:r w:rsidRPr="00BB71B4">
          <w:rPr>
            <w:rStyle w:val="TextoNormalCaracter"/>
          </w:rPr>
          <w:t>24/2015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636" w:name="DESCRIPTORALFABETICO419"/>
      <w:r w:rsidRPr="00BB71B4">
        <w:rPr>
          <w:rStyle w:val="TextoNormalNegritaCaracter"/>
        </w:rPr>
        <w:t>Promoción interna</w:t>
      </w:r>
      <w:bookmarkEnd w:id="1636"/>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637" w:name="DESCRIPTORALFABETICO217"/>
      <w:r w:rsidRPr="00BB71B4">
        <w:rPr>
          <w:rStyle w:val="TextoNormalNegritaCaracter"/>
        </w:rPr>
        <w:t>Proporcionalidad de las medidas restrictivas de derechos fundamentales</w:t>
      </w:r>
      <w:bookmarkEnd w:id="1637"/>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 4.</w:t>
      </w:r>
    </w:p>
    <w:p w:rsidR="00BB71B4" w:rsidRPr="00BB71B4" w:rsidRDefault="00BB71B4" w:rsidP="00BB71B4">
      <w:pPr>
        <w:pStyle w:val="TextoNormalSangraFrancesa"/>
        <w:rPr>
          <w:rStyle w:val="TextoNormalCaracter"/>
        </w:rPr>
      </w:pPr>
      <w:bookmarkStart w:id="1638" w:name="DESCRIPTORALFABETICO486"/>
      <w:r w:rsidRPr="00BB71B4">
        <w:rPr>
          <w:rStyle w:val="TextoNormalNegritaCaracter"/>
        </w:rPr>
        <w:t>Protección de la familia</w:t>
      </w:r>
      <w:bookmarkEnd w:id="1638"/>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Alcance, </w:t>
      </w:r>
      <w:r w:rsidRPr="00BB71B4">
        <w:rPr>
          <w:rStyle w:val="TextoNormalCaracter"/>
        </w:rPr>
        <w:t xml:space="preserve">Sentencia </w:t>
      </w:r>
      <w:hyperlink w:anchor="SENTENCIA_2015_77" w:history="1">
        <w:r w:rsidRPr="00BB71B4">
          <w:rPr>
            <w:rStyle w:val="TextoNormalCaracter"/>
          </w:rPr>
          <w:t>77/2015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639" w:name="DESCRIPTORALFABETICO502"/>
      <w:r w:rsidRPr="00BB71B4">
        <w:rPr>
          <w:rStyle w:val="TextoNormalNegritaCaracter"/>
        </w:rPr>
        <w:t>Protección del medio ambiente</w:t>
      </w:r>
      <w:bookmarkEnd w:id="1639"/>
      <w:r w:rsidRPr="00BB71B4">
        <w:rPr>
          <w:rStyle w:val="TextoNormalCaracter"/>
        </w:rPr>
        <w:t xml:space="preserve">, Sentencias </w:t>
      </w:r>
      <w:hyperlink w:anchor="SENTENCIA_2015_5" w:history="1">
        <w:r w:rsidRPr="00BB71B4">
          <w:rPr>
            <w:rStyle w:val="TextoNormalCaracter"/>
          </w:rPr>
          <w:t>5/2015</w:t>
        </w:r>
      </w:hyperlink>
      <w:r w:rsidRPr="00BB71B4">
        <w:rPr>
          <w:rStyle w:val="TextoNormalCaracter"/>
        </w:rPr>
        <w:t xml:space="preserve">, ff. 5 a 7; </w:t>
      </w:r>
      <w:hyperlink w:anchor="SENTENCIA_2015_45" w:history="1">
        <w:r w:rsidRPr="00BB71B4">
          <w:rPr>
            <w:rStyle w:val="TextoNormalCaracter"/>
          </w:rPr>
          <w:t>45/2015</w:t>
        </w:r>
      </w:hyperlink>
      <w:r w:rsidRPr="00BB71B4">
        <w:rPr>
          <w:rStyle w:val="TextoNormalCaracter"/>
        </w:rPr>
        <w:t xml:space="preserve">, ff. 1 a 6; </w:t>
      </w:r>
      <w:hyperlink w:anchor="SENTENCIA_2015_57" w:history="1">
        <w:r w:rsidRPr="00BB71B4">
          <w:rPr>
            <w:rStyle w:val="TextoNormalCaracter"/>
          </w:rPr>
          <w:t>57/2015</w:t>
        </w:r>
      </w:hyperlink>
      <w:r w:rsidRPr="00BB71B4">
        <w:rPr>
          <w:rStyle w:val="TextoNormalCaracter"/>
        </w:rPr>
        <w:t xml:space="preserve">, ff. 3, 4, 6, 13; </w:t>
      </w:r>
      <w:hyperlink w:anchor="SENTENCIA_2015_92" w:history="1">
        <w:r w:rsidRPr="00BB71B4">
          <w:rPr>
            <w:rStyle w:val="TextoNormalCaracter"/>
          </w:rPr>
          <w:t>92/2015</w:t>
        </w:r>
      </w:hyperlink>
      <w:r w:rsidRPr="00BB71B4">
        <w:rPr>
          <w:rStyle w:val="TextoNormalCaracter"/>
        </w:rPr>
        <w:t>, ff. 4, 9.</w:t>
      </w:r>
    </w:p>
    <w:p w:rsidR="00BB71B4" w:rsidRPr="00BB71B4" w:rsidRDefault="00BB71B4" w:rsidP="00BB71B4">
      <w:pPr>
        <w:pStyle w:val="TextoNormalSangraFrancesa"/>
        <w:rPr>
          <w:rStyle w:val="TextoNormalCaracter"/>
        </w:rPr>
      </w:pPr>
      <w:bookmarkStart w:id="1640" w:name="DESCRIPTORALFABETICO575"/>
      <w:r w:rsidRPr="00BB71B4">
        <w:rPr>
          <w:rStyle w:val="TextoNormalNegritaCaracter"/>
        </w:rPr>
        <w:t>Protección judicial de la intimidad de los menores</w:t>
      </w:r>
      <w:bookmarkEnd w:id="1640"/>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 1.</w:t>
      </w:r>
    </w:p>
    <w:p w:rsidR="00BB71B4" w:rsidRPr="00BB71B4" w:rsidRDefault="00BB71B4" w:rsidP="00BB71B4">
      <w:pPr>
        <w:pStyle w:val="TextoNormalSangraFrancesa"/>
        <w:rPr>
          <w:rStyle w:val="TextoNormalCaracter"/>
        </w:rPr>
      </w:pPr>
      <w:bookmarkStart w:id="1641" w:name="DESCRIPTORALFABETICO223"/>
      <w:r w:rsidRPr="00BB71B4">
        <w:rPr>
          <w:rStyle w:val="TextoNormalNegritaCaracter"/>
        </w:rPr>
        <w:t>Protección jurisdiccional de los derechos fundamentales</w:t>
      </w:r>
      <w:bookmarkEnd w:id="1641"/>
      <w:r w:rsidRPr="00BB71B4">
        <w:rPr>
          <w:rStyle w:val="TextoNormalCaracter"/>
        </w:rPr>
        <w:t xml:space="preserve">, Sentencias </w:t>
      </w:r>
      <w:hyperlink w:anchor="SENTENCIA_2015_96" w:history="1">
        <w:r w:rsidRPr="00BB71B4">
          <w:rPr>
            <w:rStyle w:val="TextoNormalCaracter"/>
          </w:rPr>
          <w:t>96/2015</w:t>
        </w:r>
      </w:hyperlink>
      <w:r w:rsidRPr="00BB71B4">
        <w:rPr>
          <w:rStyle w:val="TextoNormalCaracter"/>
        </w:rPr>
        <w:t xml:space="preserve">, ff. 2, 3; </w:t>
      </w:r>
      <w:hyperlink w:anchor="SENTENCIA_2015_98" w:history="1">
        <w:r w:rsidRPr="00BB71B4">
          <w:rPr>
            <w:rStyle w:val="TextoNormalCaracter"/>
          </w:rPr>
          <w:t>98/2015</w:t>
        </w:r>
      </w:hyperlink>
      <w:r w:rsidRPr="00BB71B4">
        <w:rPr>
          <w:rStyle w:val="TextoNormalCaracter"/>
        </w:rPr>
        <w:t xml:space="preserve">, ff. 3, 4; </w:t>
      </w:r>
      <w:hyperlink w:anchor="SENTENCIA_2015_101" w:history="1">
        <w:r w:rsidRPr="00BB71B4">
          <w:rPr>
            <w:rStyle w:val="TextoNormalCaracter"/>
          </w:rPr>
          <w:t>101/2015</w:t>
        </w:r>
      </w:hyperlink>
      <w:r w:rsidRPr="00BB71B4">
        <w:rPr>
          <w:rStyle w:val="TextoNormalCaracter"/>
        </w:rPr>
        <w:t>, f. 6.</w:t>
      </w:r>
    </w:p>
    <w:p w:rsidR="00BB71B4" w:rsidRPr="00BB71B4" w:rsidRDefault="00BB71B4" w:rsidP="00BB71B4">
      <w:pPr>
        <w:pStyle w:val="TextoNormalSangraFrancesa"/>
        <w:rPr>
          <w:rStyle w:val="TextoNormalCaracter"/>
        </w:rPr>
      </w:pPr>
      <w:bookmarkStart w:id="1642" w:name="DESCRIPTORALFABETICO586"/>
      <w:r w:rsidRPr="00BB71B4">
        <w:rPr>
          <w:rStyle w:val="TextoNormalNegritaCaracter"/>
        </w:rPr>
        <w:t>Protección social</w:t>
      </w:r>
      <w:bookmarkEnd w:id="1642"/>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 6.</w:t>
      </w:r>
    </w:p>
    <w:p w:rsidR="00BB71B4" w:rsidRPr="00BB71B4" w:rsidRDefault="00BB71B4" w:rsidP="00BB71B4">
      <w:pPr>
        <w:pStyle w:val="TextoNormalSangraFrancesa"/>
        <w:rPr>
          <w:rStyle w:val="TextoNormalCaracter"/>
        </w:rPr>
      </w:pPr>
      <w:bookmarkStart w:id="1643" w:name="DESCRIPTORALFABETICO505"/>
      <w:r w:rsidRPr="00BB71B4">
        <w:rPr>
          <w:rStyle w:val="TextoNormalNegritaCaracter"/>
        </w:rPr>
        <w:t>Proyectos de obras</w:t>
      </w:r>
      <w:bookmarkEnd w:id="1643"/>
      <w:r w:rsidRPr="00BB71B4">
        <w:rPr>
          <w:rStyle w:val="TextoNormalCaracter"/>
        </w:rPr>
        <w:t xml:space="preserve">, Sentencia </w:t>
      </w:r>
      <w:hyperlink w:anchor="SENTENCIA_2015_57" w:history="1">
        <w:r w:rsidRPr="00BB71B4">
          <w:rPr>
            <w:rStyle w:val="TextoNormalCaracter"/>
          </w:rPr>
          <w:t>57/2015</w:t>
        </w:r>
      </w:hyperlink>
      <w:r w:rsidRPr="00BB71B4">
        <w:rPr>
          <w:rStyle w:val="TextoNormalCaracter"/>
        </w:rPr>
        <w:t>, ff. 4, 20.</w:t>
      </w:r>
    </w:p>
    <w:p w:rsidR="00BB71B4" w:rsidRPr="00BB71B4" w:rsidRDefault="00BB71B4" w:rsidP="00BB71B4">
      <w:pPr>
        <w:pStyle w:val="TextoNormalSangraFrancesa"/>
        <w:rPr>
          <w:rStyle w:val="TextoNormalCaracter"/>
        </w:rPr>
      </w:pPr>
      <w:bookmarkStart w:id="1644" w:name="DESCRIPTORALFABETICO725"/>
      <w:r w:rsidRPr="00BB71B4">
        <w:rPr>
          <w:rStyle w:val="TextoNormalNegritaCaracter"/>
        </w:rPr>
        <w:t>Prueba de cargo</w:t>
      </w:r>
      <w:bookmarkEnd w:id="1644"/>
      <w:r w:rsidRPr="00BB71B4">
        <w:rPr>
          <w:rStyle w:val="TextoNormalCaracter"/>
        </w:rPr>
        <w:t xml:space="preserve">, Sentencia </w:t>
      </w:r>
      <w:hyperlink w:anchor="SENTENCIA_2015_55" w:history="1">
        <w:r w:rsidRPr="00BB71B4">
          <w:rPr>
            <w:rStyle w:val="TextoNormalCaracter"/>
          </w:rPr>
          <w:t>55/2015</w:t>
        </w:r>
      </w:hyperlink>
      <w:r w:rsidRPr="00BB71B4">
        <w:rPr>
          <w:rStyle w:val="TextoNormalCaracter"/>
        </w:rPr>
        <w:t>, ff. 3, 4 a), 5.</w:t>
      </w:r>
    </w:p>
    <w:p w:rsidR="00BB71B4" w:rsidRPr="00BB71B4" w:rsidRDefault="00BB71B4" w:rsidP="00BB71B4">
      <w:pPr>
        <w:pStyle w:val="TextoNormalSangraFrancesa"/>
        <w:rPr>
          <w:rStyle w:val="TextoNormalCaracter"/>
        </w:rPr>
      </w:pPr>
      <w:bookmarkStart w:id="1645" w:name="DESCRIPTORALFABETICO676"/>
      <w:r w:rsidRPr="00BB71B4">
        <w:rPr>
          <w:rStyle w:val="TextoNormalNegritaCaracter"/>
        </w:rPr>
        <w:t>Prueba ilícita</w:t>
      </w:r>
      <w:bookmarkEnd w:id="1645"/>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ff. 7, 8, 9.</w:t>
      </w:r>
    </w:p>
    <w:p w:rsidR="00BB71B4" w:rsidRPr="00BB71B4" w:rsidRDefault="00BB71B4" w:rsidP="00BB71B4">
      <w:pPr>
        <w:pStyle w:val="TextoNormalSangraFrancesa"/>
        <w:rPr>
          <w:rStyle w:val="TextoNormalCaracter"/>
        </w:rPr>
      </w:pPr>
      <w:bookmarkStart w:id="1646" w:name="DESCRIPTORALFABETICO679"/>
      <w:r w:rsidRPr="00BB71B4">
        <w:rPr>
          <w:rStyle w:val="TextoNormalNegritaCaracter"/>
        </w:rPr>
        <w:t>Prueba indiciaria</w:t>
      </w:r>
      <w:bookmarkEnd w:id="1646"/>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ff. 4, 7.</w:t>
      </w:r>
    </w:p>
    <w:p w:rsidR="00BB71B4" w:rsidRPr="00BB71B4" w:rsidRDefault="00BB71B4" w:rsidP="00BB71B4">
      <w:pPr>
        <w:pStyle w:val="TextoNormalSangraFrancesa"/>
        <w:rPr>
          <w:rStyle w:val="TextoNormalCaracter"/>
        </w:rPr>
      </w:pPr>
      <w:bookmarkStart w:id="1647" w:name="DESCRIPTORALFABETICO681"/>
      <w:r w:rsidRPr="00BB71B4">
        <w:rPr>
          <w:rStyle w:val="TextoNormalNegritaCaracter"/>
        </w:rPr>
        <w:t>Prueba testifical</w:t>
      </w:r>
      <w:bookmarkEnd w:id="1647"/>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ff. 2, 4.</w:t>
      </w:r>
    </w:p>
    <w:p w:rsidR="00BB71B4" w:rsidRPr="00BB71B4" w:rsidRDefault="00BB71B4" w:rsidP="00BB71B4">
      <w:pPr>
        <w:pStyle w:val="TextoNormalSangraFrancesa"/>
        <w:rPr>
          <w:rStyle w:val="TextoNormalCaracter"/>
        </w:rPr>
      </w:pPr>
      <w:bookmarkStart w:id="1648" w:name="DESCRIPTORALFABETICO203"/>
      <w:r w:rsidRPr="00BB71B4">
        <w:rPr>
          <w:rStyle w:val="TextoNormalNegritaCaracter"/>
        </w:rPr>
        <w:t>Publicación de fotografías privadas sin consentimiento de los interesados</w:t>
      </w:r>
      <w:bookmarkEnd w:id="1648"/>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49" w:name="DESCRIPTORALFABETICO15"/>
      <w:r w:rsidRPr="00BB71B4">
        <w:rPr>
          <w:rStyle w:val="TextoNormalNegritaCaracter"/>
        </w:rPr>
        <w:t>Puntos de conexión para el ejercicio de competencias autonómicas</w:t>
      </w:r>
      <w:bookmarkEnd w:id="1649"/>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4, 5, VP I.</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R</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650" w:name="DESCRIPTORALFABETICO69"/>
      <w:r w:rsidRPr="00BB71B4">
        <w:rPr>
          <w:rStyle w:val="TextoNormalNegritaCaracter"/>
        </w:rPr>
        <w:t>Recargo sobre impuestos estatales</w:t>
      </w:r>
      <w:bookmarkEnd w:id="1650"/>
      <w:r w:rsidRPr="00BB71B4">
        <w:rPr>
          <w:rStyle w:val="TextoNormalCaracter"/>
        </w:rPr>
        <w:t xml:space="preserve">, Sentencia </w:t>
      </w:r>
      <w:hyperlink w:anchor="SENTENCIA_2015_136" w:history="1">
        <w:r w:rsidRPr="00BB71B4">
          <w:rPr>
            <w:rStyle w:val="TextoNormalCaracter"/>
          </w:rPr>
          <w:t>136/2015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651" w:name="DESCRIPTORALFABETICO79"/>
      <w:r w:rsidRPr="00BB71B4">
        <w:rPr>
          <w:rStyle w:val="TextoNormalNegritaCaracter"/>
        </w:rPr>
        <w:t>Recaudación tributaria</w:t>
      </w:r>
      <w:bookmarkEnd w:id="1651"/>
      <w:r w:rsidRPr="00BB71B4">
        <w:rPr>
          <w:rStyle w:val="TextoNormalCaracter"/>
        </w:rPr>
        <w:t xml:space="preserve">, Sentencias </w:t>
      </w:r>
      <w:hyperlink w:anchor="SENTENCIA_2015_26" w:history="1">
        <w:r w:rsidRPr="00BB71B4">
          <w:rPr>
            <w:rStyle w:val="TextoNormalCaracter"/>
          </w:rPr>
          <w:t>26/2015</w:t>
        </w:r>
      </w:hyperlink>
      <w:r w:rsidRPr="00BB71B4">
        <w:rPr>
          <w:rStyle w:val="TextoNormalCaracter"/>
        </w:rPr>
        <w:t xml:space="preserve">, f. 4, VP; </w:t>
      </w:r>
      <w:hyperlink w:anchor="SENTENCIA_2015_59" w:history="1">
        <w:r w:rsidRPr="00BB71B4">
          <w:rPr>
            <w:rStyle w:val="TextoNormalCaracter"/>
          </w:rPr>
          <w:t>59/2015</w:t>
        </w:r>
      </w:hyperlink>
      <w:r w:rsidRPr="00BB71B4">
        <w:rPr>
          <w:rStyle w:val="TextoNormalCaracter"/>
        </w:rPr>
        <w:t xml:space="preserve">, f. 2; </w:t>
      </w:r>
      <w:hyperlink w:anchor="SENTENCIA_2015_102" w:history="1">
        <w:r w:rsidRPr="00BB71B4">
          <w:rPr>
            <w:rStyle w:val="TextoNormalCaracter"/>
          </w:rPr>
          <w:t>102/2015</w:t>
        </w:r>
      </w:hyperlink>
      <w:r w:rsidRPr="00BB71B4">
        <w:rPr>
          <w:rStyle w:val="TextoNormalCaracter"/>
        </w:rPr>
        <w:t>, ff. 3, 6.</w:t>
      </w:r>
    </w:p>
    <w:p w:rsidR="00BB71B4" w:rsidRPr="00BB71B4" w:rsidRDefault="00BB71B4" w:rsidP="00BB71B4">
      <w:pPr>
        <w:pStyle w:val="TextoNormalSangraFrancesa"/>
        <w:rPr>
          <w:rStyle w:val="TextoNormalCaracter"/>
        </w:rPr>
      </w:pPr>
      <w:bookmarkStart w:id="1652" w:name="DESCRIPTORALFABETICO224"/>
      <w:r w:rsidRPr="00BB71B4">
        <w:rPr>
          <w:rStyle w:val="TextoNormalNegritaCaracter"/>
        </w:rPr>
        <w:t>Reconocimiento de derechos fundamentales</w:t>
      </w:r>
      <w:bookmarkEnd w:id="1652"/>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ff. 4 a 6, VP I, VP II.</w:t>
      </w:r>
    </w:p>
    <w:p w:rsidR="00BB71B4" w:rsidRPr="00BB71B4" w:rsidRDefault="00BB71B4" w:rsidP="00BB71B4">
      <w:pPr>
        <w:pStyle w:val="TextoNormalSangraFrancesa"/>
        <w:rPr>
          <w:rStyle w:val="TextoNormalCaracter"/>
        </w:rPr>
      </w:pPr>
      <w:bookmarkStart w:id="1653" w:name="DESCRIPTORALFABETICO295"/>
      <w:r w:rsidRPr="00BB71B4">
        <w:rPr>
          <w:rStyle w:val="TextoNormalNegritaCaracter"/>
        </w:rPr>
        <w:t>Recurso de amparo contra actos parlamentarios</w:t>
      </w:r>
      <w:bookmarkEnd w:id="1653"/>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2; </w:t>
      </w:r>
      <w:hyperlink w:anchor="SENTENCIA_2015_19" w:history="1">
        <w:r w:rsidRPr="00BB71B4">
          <w:rPr>
            <w:rStyle w:val="TextoNormalCaracter"/>
          </w:rPr>
          <w:t>19/2015</w:t>
        </w:r>
      </w:hyperlink>
      <w:r w:rsidRPr="00BB71B4">
        <w:rPr>
          <w:rStyle w:val="TextoNormalCaracter"/>
        </w:rPr>
        <w:t xml:space="preserve">, f. 1; </w:t>
      </w:r>
      <w:hyperlink w:anchor="SENTENCIA_2015_23" w:history="1">
        <w:r w:rsidRPr="00BB71B4">
          <w:rPr>
            <w:rStyle w:val="TextoNormalCaracter"/>
          </w:rPr>
          <w:t>23/2015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54" w:name="DESCRIPTORALFABETICO292"/>
      <w:r w:rsidRPr="00BB71B4">
        <w:rPr>
          <w:rStyle w:val="TextoNormalNegritaCaracter"/>
        </w:rPr>
        <w:t>Recurso de amparo mixto</w:t>
      </w:r>
      <w:bookmarkEnd w:id="1654"/>
      <w:r w:rsidRPr="00BB71B4">
        <w:rPr>
          <w:rStyle w:val="TextoNormalCaracter"/>
        </w:rPr>
        <w:t xml:space="preserve">, Sentencia </w:t>
      </w:r>
      <w:hyperlink w:anchor="SENTENCIA_2015_145" w:history="1">
        <w:r w:rsidRPr="00BB71B4">
          <w:rPr>
            <w:rStyle w:val="TextoNormalCaracter"/>
          </w:rPr>
          <w:t>145/2015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55" w:name="DESCRIPTORALFABETICO726"/>
      <w:r w:rsidRPr="00BB71B4">
        <w:rPr>
          <w:rStyle w:val="TextoNormalNegritaCaracter"/>
        </w:rPr>
        <w:t>Recurso de apelación penal</w:t>
      </w:r>
      <w:bookmarkEnd w:id="1655"/>
      <w:r w:rsidRPr="00BB71B4">
        <w:rPr>
          <w:rStyle w:val="TextoNormalCaracter"/>
        </w:rPr>
        <w:t xml:space="preserve">, Sentencia </w:t>
      </w:r>
      <w:hyperlink w:anchor="SENTENCIA_2015_55" w:history="1">
        <w:r w:rsidRPr="00BB71B4">
          <w:rPr>
            <w:rStyle w:val="TextoNormalCaracter"/>
          </w:rPr>
          <w:t>55/2015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656" w:name="DESCRIPTORALFABETICO250"/>
      <w:r w:rsidRPr="00BB71B4">
        <w:rPr>
          <w:rStyle w:val="TextoNormalNegritaCaracter"/>
        </w:rPr>
        <w:t>Recurso de súplica contra Auto de inadmisión</w:t>
      </w:r>
      <w:bookmarkEnd w:id="1656"/>
      <w:r w:rsidRPr="00BB71B4">
        <w:rPr>
          <w:rStyle w:val="TextoNormalCaracter"/>
        </w:rPr>
        <w:t xml:space="preserve">, Auto </w:t>
      </w:r>
      <w:hyperlink w:anchor="AUTO_2015_24" w:history="1">
        <w:r w:rsidRPr="00BB71B4">
          <w:rPr>
            <w:rStyle w:val="TextoNormalCaracter"/>
          </w:rPr>
          <w:t>24/2015</w:t>
        </w:r>
      </w:hyperlink>
      <w:r w:rsidRPr="00BB71B4">
        <w:rPr>
          <w:rStyle w:val="TextoNormalCaracter"/>
        </w:rPr>
        <w:t>, f. único.</w:t>
      </w:r>
    </w:p>
    <w:p w:rsidR="00BB71B4" w:rsidRPr="00BB71B4" w:rsidRDefault="00BB71B4" w:rsidP="00BB71B4">
      <w:pPr>
        <w:pStyle w:val="TextoNormalSangraFrancesa"/>
        <w:rPr>
          <w:rStyle w:val="TextoNormalCaracter"/>
        </w:rPr>
      </w:pPr>
      <w:bookmarkStart w:id="1657" w:name="DESCRIPTORALFABETICO443"/>
      <w:r w:rsidRPr="00BB71B4">
        <w:rPr>
          <w:rStyle w:val="TextoNormalNegritaCaracter"/>
        </w:rPr>
        <w:t>Reestructuración bancaria</w:t>
      </w:r>
      <w:bookmarkEnd w:id="1657"/>
      <w:r w:rsidRPr="00BB71B4">
        <w:rPr>
          <w:rStyle w:val="TextoNormalCaracter"/>
        </w:rPr>
        <w:t xml:space="preserve">, Sentencia </w:t>
      </w:r>
      <w:hyperlink w:anchor="SENTENCIA_2015_47" w:history="1">
        <w:r w:rsidRPr="00BB71B4">
          <w:rPr>
            <w:rStyle w:val="TextoNormalCaracter"/>
          </w:rPr>
          <w:t>47/2015</w:t>
        </w:r>
      </w:hyperlink>
      <w:r w:rsidRPr="00BB71B4">
        <w:rPr>
          <w:rStyle w:val="TextoNormalCaracter"/>
        </w:rPr>
        <w:t>, ff. 1, 4 a 6.</w:t>
      </w:r>
    </w:p>
    <w:p w:rsidR="00BB71B4" w:rsidRPr="00BB71B4" w:rsidRDefault="00BB71B4" w:rsidP="00BB71B4">
      <w:pPr>
        <w:pStyle w:val="TextoNormalSangraFrancesa"/>
        <w:rPr>
          <w:rStyle w:val="TextoNormalCaracter"/>
        </w:rPr>
      </w:pPr>
      <w:bookmarkStart w:id="1658" w:name="DESCRIPTORALFABETICO138"/>
      <w:r w:rsidRPr="00BB71B4">
        <w:rPr>
          <w:rStyle w:val="TextoNormalNegritaCaracter"/>
        </w:rPr>
        <w:t>Referéndum</w:t>
      </w:r>
      <w:bookmarkEnd w:id="1658"/>
      <w:r w:rsidRPr="00BB71B4">
        <w:rPr>
          <w:rStyle w:val="TextoNormalCaracter"/>
        </w:rPr>
        <w:t xml:space="preserve">, Sentencia </w:t>
      </w:r>
      <w:hyperlink w:anchor="SENTENCIA_2015_138" w:history="1">
        <w:r w:rsidRPr="00BB71B4">
          <w:rPr>
            <w:rStyle w:val="TextoNormalCaracter"/>
          </w:rPr>
          <w:t>138/2015</w:t>
        </w:r>
      </w:hyperlink>
      <w:r w:rsidRPr="00BB71B4">
        <w:rPr>
          <w:rStyle w:val="TextoNormalCaracter"/>
        </w:rPr>
        <w:t>, ff. 3, 4.</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53" w:history="1">
        <w:r w:rsidRPr="00BB71B4">
          <w:rPr>
            <w:rStyle w:val="TextoNormalCaracter"/>
          </w:rPr>
          <w:t>53/2015</w:t>
        </w:r>
      </w:hyperlink>
      <w:r w:rsidRPr="00BB71B4">
        <w:rPr>
          <w:rStyle w:val="TextoNormalCaracter"/>
        </w:rPr>
        <w:t>, f. 3, 4.</w:t>
      </w:r>
    </w:p>
    <w:p w:rsidR="00BB71B4" w:rsidRPr="00BB71B4" w:rsidRDefault="00BB71B4" w:rsidP="00BB71B4">
      <w:pPr>
        <w:pStyle w:val="TextoNormalSangraFrancesa"/>
        <w:rPr>
          <w:rStyle w:val="TextoNormalCaracter"/>
        </w:rPr>
      </w:pPr>
      <w:r w:rsidRPr="00BB71B4">
        <w:rPr>
          <w:rStyle w:val="TextoNormalCursivaCaracter"/>
        </w:rPr>
        <w:t xml:space="preserve">    Naturaleza, </w:t>
      </w:r>
      <w:r w:rsidRPr="00BB71B4">
        <w:rPr>
          <w:rStyle w:val="TextoNormalCaracter"/>
        </w:rPr>
        <w:t xml:space="preserve">Sentencias </w:t>
      </w:r>
      <w:hyperlink w:anchor="SENTENCIA_2015_31" w:history="1">
        <w:r w:rsidRPr="00BB71B4">
          <w:rPr>
            <w:rStyle w:val="TextoNormalCaracter"/>
          </w:rPr>
          <w:t>31/2015</w:t>
        </w:r>
      </w:hyperlink>
      <w:r w:rsidRPr="00BB71B4">
        <w:rPr>
          <w:rStyle w:val="TextoNormalCaracter"/>
        </w:rPr>
        <w:t xml:space="preserve">, ff. 5 a 11; </w:t>
      </w:r>
      <w:hyperlink w:anchor="SENTENCIA_2015_32" w:history="1">
        <w:r w:rsidRPr="00BB71B4">
          <w:rPr>
            <w:rStyle w:val="TextoNormalCaracter"/>
          </w:rPr>
          <w:t>32/2015</w:t>
        </w:r>
      </w:hyperlink>
      <w:r w:rsidRPr="00BB71B4">
        <w:rPr>
          <w:rStyle w:val="TextoNormalCaracter"/>
        </w:rPr>
        <w:t xml:space="preserve">, ff. 3, 4; </w:t>
      </w:r>
      <w:hyperlink w:anchor="SENTENCIA_2015_137" w:history="1">
        <w:r w:rsidRPr="00BB71B4">
          <w:rPr>
            <w:rStyle w:val="TextoNormalCaracter"/>
          </w:rPr>
          <w:t>137/2015</w:t>
        </w:r>
      </w:hyperlink>
      <w:r w:rsidRPr="00BB71B4">
        <w:rPr>
          <w:rStyle w:val="TextoNormalCaracter"/>
        </w:rPr>
        <w:t xml:space="preserve">, ff. 5 a 11; </w:t>
      </w:r>
      <w:hyperlink w:anchor="SENTENCIA_2015_147" w:history="1">
        <w:r w:rsidRPr="00BB71B4">
          <w:rPr>
            <w:rStyle w:val="TextoNormalCaracter"/>
          </w:rPr>
          <w:t>147/2015</w:t>
        </w:r>
      </w:hyperlink>
      <w:r w:rsidRPr="00BB71B4">
        <w:rPr>
          <w:rStyle w:val="TextoNormalCaracter"/>
        </w:rPr>
        <w:t>, f. 4.</w:t>
      </w:r>
    </w:p>
    <w:p w:rsidR="00BB71B4" w:rsidRPr="00BB71B4" w:rsidRDefault="00BB71B4" w:rsidP="00BB71B4">
      <w:pPr>
        <w:pStyle w:val="TextoNormalSangraFrancesa"/>
        <w:rPr>
          <w:rStyle w:val="TextoNormalCaracter"/>
        </w:rPr>
      </w:pPr>
      <w:bookmarkStart w:id="1659" w:name="DESCRIPTORALFABETICO469"/>
      <w:r w:rsidRPr="00BB71B4">
        <w:rPr>
          <w:rStyle w:val="TextoNormalNegritaCaracter"/>
        </w:rPr>
        <w:t>Régimen económico del sector eléctrico</w:t>
      </w:r>
      <w:bookmarkEnd w:id="1659"/>
      <w:r w:rsidRPr="00BB71B4">
        <w:rPr>
          <w:rStyle w:val="TextoNormalCaracter"/>
        </w:rPr>
        <w:t xml:space="preserve">, Sentencias </w:t>
      </w:r>
      <w:hyperlink w:anchor="SENTENCIA_2015_28" w:history="1">
        <w:r w:rsidRPr="00BB71B4">
          <w:rPr>
            <w:rStyle w:val="TextoNormalCaracter"/>
          </w:rPr>
          <w:t>28/2015</w:t>
        </w:r>
      </w:hyperlink>
      <w:r w:rsidRPr="00BB71B4">
        <w:rPr>
          <w:rStyle w:val="TextoNormalCaracter"/>
        </w:rPr>
        <w:t xml:space="preserve">, ff. 1, 3; </w:t>
      </w:r>
      <w:hyperlink w:anchor="SENTENCIA_2015_48" w:history="1">
        <w:r w:rsidRPr="00BB71B4">
          <w:rPr>
            <w:rStyle w:val="TextoNormalCaracter"/>
          </w:rPr>
          <w:t>48/2015</w:t>
        </w:r>
      </w:hyperlink>
      <w:r w:rsidRPr="00BB71B4">
        <w:rPr>
          <w:rStyle w:val="TextoNormalCaracter"/>
        </w:rPr>
        <w:t xml:space="preserve">, ff. 1, 2, 5; </w:t>
      </w:r>
      <w:hyperlink w:anchor="SENTENCIA_2015_105" w:history="1">
        <w:r w:rsidRPr="00BB71B4">
          <w:rPr>
            <w:rStyle w:val="TextoNormalCaracter"/>
          </w:rPr>
          <w:t>105/2015</w:t>
        </w:r>
      </w:hyperlink>
      <w:r w:rsidRPr="00BB71B4">
        <w:rPr>
          <w:rStyle w:val="TextoNormalCaracter"/>
        </w:rPr>
        <w:t xml:space="preserve">, ff. 1, 3; </w:t>
      </w:r>
      <w:hyperlink w:anchor="SENTENCIA_2015_106" w:history="1">
        <w:r w:rsidRPr="00BB71B4">
          <w:rPr>
            <w:rStyle w:val="TextoNormalCaracter"/>
          </w:rPr>
          <w:t>106/2015</w:t>
        </w:r>
      </w:hyperlink>
      <w:r w:rsidRPr="00BB71B4">
        <w:rPr>
          <w:rStyle w:val="TextoNormalCaracter"/>
        </w:rPr>
        <w:t xml:space="preserve">, ff. 1 a 3; </w:t>
      </w:r>
      <w:hyperlink w:anchor="SENTENCIA_2015_136" w:history="1">
        <w:r w:rsidRPr="00BB71B4">
          <w:rPr>
            <w:rStyle w:val="TextoNormalCaracter"/>
          </w:rPr>
          <w:t>136/2015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660" w:name="DESCRIPTORALFABETICO417"/>
      <w:r w:rsidRPr="00BB71B4">
        <w:rPr>
          <w:rStyle w:val="TextoNormalNegritaCaracter"/>
        </w:rPr>
        <w:t>Régimen estatutario</w:t>
      </w:r>
      <w:bookmarkEnd w:id="1660"/>
      <w:r w:rsidRPr="00BB71B4">
        <w:rPr>
          <w:rStyle w:val="TextoNormalCaracter"/>
        </w:rPr>
        <w:t xml:space="preserve">, Sentencia </w:t>
      </w:r>
      <w:hyperlink w:anchor="SENTENCIA_2015_94" w:history="1">
        <w:r w:rsidRPr="00BB71B4">
          <w:rPr>
            <w:rStyle w:val="TextoNormalCaracter"/>
          </w:rPr>
          <w:t>94/2015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61" w:name="DESCRIPTORALFABETICO474"/>
      <w:r w:rsidRPr="00BB71B4">
        <w:rPr>
          <w:rStyle w:val="TextoNormalNegritaCaracter"/>
        </w:rPr>
        <w:t>Régimen minero</w:t>
      </w:r>
      <w:bookmarkEnd w:id="1661"/>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662" w:name="DESCRIPTORALFABETICO425"/>
      <w:r w:rsidRPr="00BB71B4">
        <w:rPr>
          <w:rStyle w:val="TextoNormalNegritaCaracter"/>
        </w:rPr>
        <w:t>Registro público</w:t>
      </w:r>
      <w:bookmarkEnd w:id="1662"/>
      <w:r w:rsidRPr="00BB71B4">
        <w:rPr>
          <w:rStyle w:val="TextoNormalCaracter"/>
        </w:rPr>
        <w:t xml:space="preserve">, Sentencia </w:t>
      </w:r>
      <w:hyperlink w:anchor="SENTENCIA_2015_85" w:history="1">
        <w:r w:rsidRPr="00BB71B4">
          <w:rPr>
            <w:rStyle w:val="TextoNormalCaracter"/>
          </w:rPr>
          <w:t>85/2015</w:t>
        </w:r>
      </w:hyperlink>
      <w:r w:rsidRPr="00BB71B4">
        <w:rPr>
          <w:rStyle w:val="TextoNormalCaracter"/>
        </w:rPr>
        <w:t>, f. 5.</w:t>
      </w:r>
    </w:p>
    <w:p w:rsidR="00BB71B4" w:rsidRPr="00BB71B4" w:rsidRDefault="00BB71B4" w:rsidP="00BB71B4">
      <w:pPr>
        <w:pStyle w:val="TextoNormalSangraFrancesa"/>
        <w:rPr>
          <w:rStyle w:val="TextoNormalCaracter"/>
        </w:rPr>
      </w:pPr>
      <w:bookmarkStart w:id="1663" w:name="DESCRIPTORALFABETICO568"/>
      <w:r w:rsidRPr="00BB71B4">
        <w:rPr>
          <w:rStyle w:val="TextoNormalNegritaCaracter"/>
        </w:rPr>
        <w:t>Reincidencia</w:t>
      </w:r>
      <w:bookmarkEnd w:id="1663"/>
      <w:r w:rsidRPr="00BB71B4">
        <w:rPr>
          <w:rStyle w:val="TextoNormalCaracter"/>
        </w:rPr>
        <w:t xml:space="preserve">, Sentencias </w:t>
      </w:r>
      <w:hyperlink w:anchor="SENTENCIA_2015_3" w:history="1">
        <w:r w:rsidRPr="00BB71B4">
          <w:rPr>
            <w:rStyle w:val="TextoNormalCaracter"/>
          </w:rPr>
          <w:t>3/2015</w:t>
        </w:r>
      </w:hyperlink>
      <w:r w:rsidRPr="00BB71B4">
        <w:rPr>
          <w:rStyle w:val="TextoNormalCaracter"/>
        </w:rPr>
        <w:t xml:space="preserve">, ff. 1, 3; </w:t>
      </w:r>
      <w:hyperlink w:anchor="SENTENCIA_2015_4" w:history="1">
        <w:r w:rsidRPr="00BB71B4">
          <w:rPr>
            <w:rStyle w:val="TextoNormalCaracter"/>
          </w:rPr>
          <w:t>4/2015</w:t>
        </w:r>
      </w:hyperlink>
      <w:r w:rsidRPr="00BB71B4">
        <w:rPr>
          <w:rStyle w:val="TextoNormalCaracter"/>
        </w:rPr>
        <w:t>, f. 1.</w:t>
      </w:r>
    </w:p>
    <w:p w:rsidR="00BB71B4" w:rsidRPr="00BB71B4" w:rsidRDefault="00BB71B4" w:rsidP="00BB71B4">
      <w:pPr>
        <w:pStyle w:val="TextoNormalSangraFrancesa"/>
        <w:rPr>
          <w:rStyle w:val="TextoNormalCaracter"/>
        </w:rPr>
      </w:pPr>
      <w:bookmarkStart w:id="1664" w:name="DESCRIPTORALFABETICO591"/>
      <w:r w:rsidRPr="00BB71B4">
        <w:rPr>
          <w:rStyle w:val="TextoNormalNegritaCaracter"/>
        </w:rPr>
        <w:t>Relación de causalidad</w:t>
      </w:r>
      <w:bookmarkEnd w:id="1664"/>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 4.</w:t>
      </w:r>
    </w:p>
    <w:p w:rsidR="00BB71B4" w:rsidRPr="00BB71B4" w:rsidRDefault="00BB71B4" w:rsidP="00BB71B4">
      <w:pPr>
        <w:pStyle w:val="TextoNormalSangraFrancesa"/>
        <w:rPr>
          <w:rStyle w:val="TextoNormalCaracter"/>
        </w:rPr>
      </w:pPr>
      <w:bookmarkStart w:id="1665" w:name="DESCRIPTORALFABETICO317"/>
      <w:r w:rsidRPr="00BB71B4">
        <w:rPr>
          <w:rStyle w:val="TextoNormalNegritaCaracter"/>
        </w:rPr>
        <w:t>Relaciones del Defensor del Pueblo con figuras análogas autonómicas</w:t>
      </w:r>
      <w:bookmarkEnd w:id="1665"/>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ff. 1 a 6.</w:t>
      </w:r>
    </w:p>
    <w:p w:rsidR="00BB71B4" w:rsidRPr="00BB71B4" w:rsidRDefault="00BB71B4" w:rsidP="00BB71B4">
      <w:pPr>
        <w:pStyle w:val="TextoNormalSangraFrancesa"/>
        <w:rPr>
          <w:rStyle w:val="TextoNormalCaracter"/>
        </w:rPr>
      </w:pPr>
      <w:bookmarkStart w:id="1666" w:name="DESCRIPTORALFABETICO521"/>
      <w:r w:rsidRPr="00BB71B4">
        <w:rPr>
          <w:rStyle w:val="TextoNormalNegritaCaracter"/>
        </w:rPr>
        <w:t>Relaciones internacionales</w:t>
      </w:r>
      <w:bookmarkEnd w:id="1666"/>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 4.</w:t>
      </w:r>
    </w:p>
    <w:p w:rsidR="00BB71B4" w:rsidRPr="00BB71B4" w:rsidRDefault="00BB71B4" w:rsidP="00BB71B4">
      <w:pPr>
        <w:pStyle w:val="TextoNormalSangraFrancesa"/>
        <w:rPr>
          <w:rStyle w:val="TextoNormalCaracter"/>
        </w:rPr>
      </w:pPr>
      <w:bookmarkStart w:id="1667" w:name="DESCRIPTORALFABETICO204"/>
      <w:r w:rsidRPr="00BB71B4">
        <w:rPr>
          <w:rStyle w:val="TextoNormalNegritaCaracter"/>
        </w:rPr>
        <w:t>Relevancia pública de la información</w:t>
      </w:r>
      <w:bookmarkEnd w:id="1667"/>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4 a 7.</w:t>
      </w:r>
    </w:p>
    <w:p w:rsidR="00BB71B4" w:rsidRPr="00BB71B4" w:rsidRDefault="00BB71B4" w:rsidP="00BB71B4">
      <w:pPr>
        <w:pStyle w:val="TextoNormalSangraFrancesa"/>
        <w:rPr>
          <w:rStyle w:val="TextoNormalCaracter"/>
        </w:rPr>
      </w:pPr>
      <w:bookmarkStart w:id="1668" w:name="DESCRIPTORALFABETICO304"/>
      <w:r w:rsidRPr="00BB71B4">
        <w:rPr>
          <w:rStyle w:val="TextoNormalNegritaCaracter"/>
        </w:rPr>
        <w:t>Repercusión política del asunto</w:t>
      </w:r>
      <w:bookmarkEnd w:id="1668"/>
      <w:r w:rsidRPr="00BB71B4">
        <w:rPr>
          <w:rStyle w:val="TextoNormalCaracter"/>
        </w:rPr>
        <w:t xml:space="preserve">, Sentencias </w:t>
      </w:r>
      <w:hyperlink w:anchor="SENTENCIA_2015_1" w:history="1">
        <w:r w:rsidRPr="00BB71B4">
          <w:rPr>
            <w:rStyle w:val="TextoNormalCaracter"/>
          </w:rPr>
          <w:t>1/2015</w:t>
        </w:r>
      </w:hyperlink>
      <w:r w:rsidRPr="00BB71B4">
        <w:rPr>
          <w:rStyle w:val="TextoNormalCaracter"/>
        </w:rPr>
        <w:t xml:space="preserve">, f. 2; </w:t>
      </w:r>
      <w:hyperlink w:anchor="SENTENCIA_2015_23" w:history="1">
        <w:r w:rsidRPr="00BB71B4">
          <w:rPr>
            <w:rStyle w:val="TextoNormalCaracter"/>
          </w:rPr>
          <w:t>23/2015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69" w:name="DESCRIPTORALFABETICO358"/>
      <w:r w:rsidRPr="00BB71B4">
        <w:rPr>
          <w:rStyle w:val="TextoNormalNegritaCaracter"/>
        </w:rPr>
        <w:t>Representación</w:t>
      </w:r>
      <w:bookmarkEnd w:id="1669"/>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ff. 3, 6 a 8.</w:t>
      </w:r>
    </w:p>
    <w:p w:rsidR="00BB71B4" w:rsidRPr="00BB71B4" w:rsidRDefault="00BB71B4" w:rsidP="00BB71B4">
      <w:pPr>
        <w:pStyle w:val="TextoNormalSangraFrancesa"/>
        <w:rPr>
          <w:rStyle w:val="TextoNormalCaracter"/>
        </w:rPr>
      </w:pPr>
      <w:bookmarkStart w:id="1670" w:name="DESCRIPTORALFABETICO640"/>
      <w:r w:rsidRPr="00BB71B4">
        <w:rPr>
          <w:rStyle w:val="TextoNormalNegritaCaracter"/>
        </w:rPr>
        <w:t>Representación de trabajadores y empresarios</w:t>
      </w:r>
      <w:bookmarkEnd w:id="1670"/>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4 a), 6 b), VP.</w:t>
      </w:r>
    </w:p>
    <w:p w:rsidR="00BB71B4" w:rsidRPr="00BB71B4" w:rsidRDefault="00BB71B4" w:rsidP="00BB71B4">
      <w:pPr>
        <w:pStyle w:val="TextoNormalSangraFrancesa"/>
        <w:rPr>
          <w:rStyle w:val="TextoNormalCaracter"/>
        </w:rPr>
      </w:pPr>
      <w:bookmarkStart w:id="1671" w:name="DESCRIPTORALFABETICO359"/>
      <w:r w:rsidRPr="00BB71B4">
        <w:rPr>
          <w:rStyle w:val="TextoNormalNegritaCaracter"/>
        </w:rPr>
        <w:t>Representación proporcional</w:t>
      </w:r>
      <w:bookmarkEnd w:id="1671"/>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Doctrina constitucional, </w:t>
      </w:r>
      <w:r w:rsidRPr="00BB71B4">
        <w:rPr>
          <w:rStyle w:val="TextoNormalCaracter"/>
        </w:rPr>
        <w:t xml:space="preserve">Sentencia </w:t>
      </w:r>
      <w:hyperlink w:anchor="SENTENCIA_2015_15" w:history="1">
        <w:r w:rsidRPr="00BB71B4">
          <w:rPr>
            <w:rStyle w:val="TextoNormalCaracter"/>
          </w:rPr>
          <w:t>15/2015</w:t>
        </w:r>
      </w:hyperlink>
      <w:r w:rsidRPr="00BB71B4">
        <w:rPr>
          <w:rStyle w:val="TextoNormalCaracter"/>
        </w:rPr>
        <w:t>, ff. 3, 6 a 8.</w:t>
      </w:r>
    </w:p>
    <w:p w:rsidR="00BB71B4" w:rsidRPr="00BB71B4" w:rsidRDefault="00BB71B4" w:rsidP="00BB71B4">
      <w:pPr>
        <w:pStyle w:val="TextoNormalSangraFrancesa"/>
        <w:rPr>
          <w:rStyle w:val="TextoNormalCaracter"/>
        </w:rPr>
      </w:pPr>
      <w:bookmarkStart w:id="1672" w:name="DESCRIPTORALFABETICO573"/>
      <w:r w:rsidRPr="00BB71B4">
        <w:rPr>
          <w:rStyle w:val="TextoNormalNegritaCaracter"/>
        </w:rPr>
        <w:t>Requisito de edad</w:t>
      </w:r>
      <w:bookmarkEnd w:id="1672"/>
      <w:r w:rsidRPr="00BB71B4">
        <w:rPr>
          <w:rStyle w:val="TextoNormalCaracter"/>
        </w:rPr>
        <w:t xml:space="preserve">, Sentencia </w:t>
      </w:r>
      <w:hyperlink w:anchor="SENTENCIA_2015_41" w:history="1">
        <w:r w:rsidRPr="00BB71B4">
          <w:rPr>
            <w:rStyle w:val="TextoNormalCaracter"/>
          </w:rPr>
          <w:t>41/2015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673" w:name="DESCRIPTORALFABETICO131"/>
      <w:r w:rsidRPr="00BB71B4">
        <w:rPr>
          <w:rStyle w:val="TextoNormalNegritaCaracter"/>
        </w:rPr>
        <w:t>Requisitos de la negociación colectiva en la función pública</w:t>
      </w:r>
      <w:bookmarkEnd w:id="1673"/>
      <w:r w:rsidRPr="00BB71B4">
        <w:rPr>
          <w:rStyle w:val="TextoNormalCaracter"/>
        </w:rPr>
        <w:t xml:space="preserve">, Sentencia </w:t>
      </w:r>
      <w:hyperlink w:anchor="SENTENCIA_2015_104" w:history="1">
        <w:r w:rsidRPr="00BB71B4">
          <w:rPr>
            <w:rStyle w:val="TextoNormalCaracter"/>
          </w:rPr>
          <w:t>104/2015</w:t>
        </w:r>
      </w:hyperlink>
      <w:r w:rsidRPr="00BB71B4">
        <w:rPr>
          <w:rStyle w:val="TextoNormalCaracter"/>
        </w:rPr>
        <w:t>, ff. 12, 13, VP.</w:t>
      </w:r>
    </w:p>
    <w:p w:rsidR="00BB71B4" w:rsidRPr="00BB71B4" w:rsidRDefault="00BB71B4" w:rsidP="00BB71B4">
      <w:pPr>
        <w:pStyle w:val="TextoNormalSangraFrancesa"/>
        <w:rPr>
          <w:rStyle w:val="TextoNormalCaracter"/>
        </w:rPr>
      </w:pPr>
      <w:bookmarkStart w:id="1674" w:name="DESCRIPTORALFABETICO538"/>
      <w:r w:rsidRPr="00BB71B4">
        <w:rPr>
          <w:rStyle w:val="TextoNormalNegritaCaracter"/>
        </w:rPr>
        <w:t>Requisitos de los decretos-leyes</w:t>
      </w:r>
      <w:bookmarkEnd w:id="1674"/>
      <w:r w:rsidRPr="00BB71B4">
        <w:rPr>
          <w:rStyle w:val="TextoNormalCaracter"/>
        </w:rPr>
        <w:t xml:space="preserve">, Sentencias </w:t>
      </w:r>
      <w:hyperlink w:anchor="SENTENCIA_2015_81" w:history="1">
        <w:r w:rsidRPr="00BB71B4">
          <w:rPr>
            <w:rStyle w:val="TextoNormalCaracter"/>
          </w:rPr>
          <w:t>81/2015</w:t>
        </w:r>
      </w:hyperlink>
      <w:r w:rsidRPr="00BB71B4">
        <w:rPr>
          <w:rStyle w:val="TextoNormalCaracter"/>
        </w:rPr>
        <w:t xml:space="preserve">, ff. 2 a 7; </w:t>
      </w:r>
      <w:hyperlink w:anchor="SENTENCIA_2015_93" w:history="1">
        <w:r w:rsidRPr="00BB71B4">
          <w:rPr>
            <w:rStyle w:val="TextoNormalCaracter"/>
          </w:rPr>
          <w:t>93/2015</w:t>
        </w:r>
      </w:hyperlink>
      <w:r w:rsidRPr="00BB71B4">
        <w:rPr>
          <w:rStyle w:val="TextoNormalCaracter"/>
        </w:rPr>
        <w:t xml:space="preserve">, ff. 4 a 6; </w:t>
      </w:r>
      <w:hyperlink w:anchor="SENTENCIA_2015_104" w:history="1">
        <w:r w:rsidRPr="00BB71B4">
          <w:rPr>
            <w:rStyle w:val="TextoNormalCaracter"/>
          </w:rPr>
          <w:t>104/2015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75" w:name="DESCRIPTORALFABETICO541"/>
      <w:r w:rsidRPr="00BB71B4">
        <w:rPr>
          <w:rStyle w:val="TextoNormalNegritaCaracter"/>
        </w:rPr>
        <w:t>Requisitos formales de la normativa básica</w:t>
      </w:r>
      <w:bookmarkEnd w:id="1675"/>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676" w:name="DESCRIPTORALFABETICO543"/>
      <w:r w:rsidRPr="00BB71B4">
        <w:rPr>
          <w:rStyle w:val="TextoNormalNegritaCaracter"/>
        </w:rPr>
        <w:t>Requisitos materiales de la normativa básica</w:t>
      </w:r>
      <w:bookmarkEnd w:id="1676"/>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ff. 1, 4 a 6.</w:t>
      </w:r>
    </w:p>
    <w:p w:rsidR="00BB71B4" w:rsidRPr="00BB71B4" w:rsidRDefault="00BB71B4" w:rsidP="00BB71B4">
      <w:pPr>
        <w:pStyle w:val="TextoNormalSangraFrancesa"/>
        <w:rPr>
          <w:rStyle w:val="TextoNormalCaracter"/>
        </w:rPr>
      </w:pPr>
      <w:bookmarkStart w:id="1677" w:name="DESCRIPTORALFABETICO707"/>
      <w:r w:rsidRPr="00BB71B4">
        <w:rPr>
          <w:rStyle w:val="TextoNormalNegritaCaracter"/>
        </w:rPr>
        <w:t>Requisitos procesales</w:t>
      </w:r>
      <w:bookmarkEnd w:id="1677"/>
      <w:r w:rsidRPr="00BB71B4">
        <w:rPr>
          <w:rStyle w:val="TextoNormalCaracter"/>
        </w:rPr>
        <w:t xml:space="preserve">, Sentencia </w:t>
      </w:r>
      <w:hyperlink w:anchor="SENTENCIA_2015_7" w:history="1">
        <w:r w:rsidRPr="00BB71B4">
          <w:rPr>
            <w:rStyle w:val="TextoNormalCaracter"/>
          </w:rPr>
          <w:t>7/2015</w:t>
        </w:r>
      </w:hyperlink>
      <w:r w:rsidRPr="00BB71B4">
        <w:rPr>
          <w:rStyle w:val="TextoNormalCaracter"/>
        </w:rPr>
        <w:t>, f. 2, VP.</w:t>
      </w:r>
    </w:p>
    <w:p w:rsidR="00BB71B4" w:rsidRPr="00BB71B4" w:rsidRDefault="00BB71B4" w:rsidP="00BB71B4">
      <w:pPr>
        <w:pStyle w:val="TextoNormalSangraFrancesa"/>
        <w:rPr>
          <w:rStyle w:val="TextoNormalCaracter"/>
        </w:rPr>
      </w:pPr>
      <w:bookmarkStart w:id="1678" w:name="DESCRIPTORALFABETICO559"/>
      <w:r w:rsidRPr="00BB71B4">
        <w:rPr>
          <w:rStyle w:val="TextoNormalNegritaCaracter"/>
        </w:rPr>
        <w:t>Reserva de ley</w:t>
      </w:r>
      <w:bookmarkEnd w:id="1678"/>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ff. 5, 6.</w:t>
      </w:r>
    </w:p>
    <w:p w:rsidR="00BB71B4" w:rsidRPr="00BB71B4" w:rsidRDefault="00BB71B4" w:rsidP="00BB71B4">
      <w:pPr>
        <w:pStyle w:val="TextoNormalSangraFrancesa"/>
        <w:rPr>
          <w:rStyle w:val="TextoNormalCaracter"/>
        </w:rPr>
      </w:pPr>
      <w:bookmarkStart w:id="1679" w:name="DESCRIPTORALFABETICO561"/>
      <w:r w:rsidRPr="00BB71B4">
        <w:rPr>
          <w:rStyle w:val="TextoNormalNegritaCaracter"/>
        </w:rPr>
        <w:t>Reserva de ley orgánica</w:t>
      </w:r>
      <w:bookmarkEnd w:id="1679"/>
      <w:r w:rsidRPr="00BB71B4">
        <w:rPr>
          <w:rStyle w:val="TextoNormalCaracter"/>
        </w:rPr>
        <w:t xml:space="preserve">, Sentencias </w:t>
      </w:r>
      <w:hyperlink w:anchor="SENTENCIA_2015_26" w:history="1">
        <w:r w:rsidRPr="00BB71B4">
          <w:rPr>
            <w:rStyle w:val="TextoNormalCaracter"/>
          </w:rPr>
          <w:t>26/2015</w:t>
        </w:r>
      </w:hyperlink>
      <w:r w:rsidRPr="00BB71B4">
        <w:rPr>
          <w:rStyle w:val="TextoNormalCaracter"/>
        </w:rPr>
        <w:t xml:space="preserve">, f. 5, VP; </w:t>
      </w:r>
      <w:hyperlink w:anchor="SENTENCIA_2015_73" w:history="1">
        <w:r w:rsidRPr="00BB71B4">
          <w:rPr>
            <w:rStyle w:val="TextoNormalCaracter"/>
          </w:rPr>
          <w:t>73/2015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80" w:name="DESCRIPTORALFABETICO562"/>
      <w:r w:rsidRPr="00BB71B4">
        <w:rPr>
          <w:rStyle w:val="TextoNormalNegritaCaracter"/>
        </w:rPr>
        <w:t>Reserva de ley tributaria</w:t>
      </w:r>
      <w:bookmarkEnd w:id="1680"/>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3 apartados f) y h), 4 a), 5 apartados d) y e); </w:t>
      </w:r>
      <w:hyperlink w:anchor="SENTENCIA_2015_62" w:history="1">
        <w:r w:rsidRPr="00BB71B4">
          <w:rPr>
            <w:rStyle w:val="TextoNormalCaracter"/>
          </w:rPr>
          <w:t>62/2015</w:t>
        </w:r>
      </w:hyperlink>
      <w:r w:rsidRPr="00BB71B4">
        <w:rPr>
          <w:rStyle w:val="TextoNormalCaracter"/>
        </w:rPr>
        <w:t xml:space="preserve">, f. 3 a); </w:t>
      </w:r>
      <w:hyperlink w:anchor="SENTENCIA_2015_107" w:history="1">
        <w:r w:rsidRPr="00BB71B4">
          <w:rPr>
            <w:rStyle w:val="TextoNormalCaracter"/>
          </w:rPr>
          <w:t>107/2015</w:t>
        </w:r>
      </w:hyperlink>
      <w:r w:rsidRPr="00BB71B4">
        <w:rPr>
          <w:rStyle w:val="TextoNormalCaracter"/>
        </w:rPr>
        <w:t>, ff. 2, 3.</w:t>
      </w:r>
    </w:p>
    <w:p w:rsidR="00BB71B4" w:rsidRPr="00BB71B4" w:rsidRDefault="00BB71B4" w:rsidP="00BB71B4">
      <w:pPr>
        <w:pStyle w:val="TextoNormalSangraFrancesa"/>
        <w:rPr>
          <w:rStyle w:val="TextoNormalCaracter"/>
        </w:rPr>
      </w:pPr>
      <w:bookmarkStart w:id="1681" w:name="DESCRIPTORALFABETICO589"/>
      <w:r w:rsidRPr="00BB71B4">
        <w:rPr>
          <w:rStyle w:val="TextoNormalNegritaCaracter"/>
        </w:rPr>
        <w:t>Residencia habitual</w:t>
      </w:r>
      <w:bookmarkEnd w:id="1681"/>
      <w:r w:rsidRPr="00BB71B4">
        <w:rPr>
          <w:rStyle w:val="TextoNormalCaracter"/>
        </w:rPr>
        <w:t xml:space="preserve">, Sentencia </w:t>
      </w:r>
      <w:hyperlink w:anchor="SENTENCIA_2015_60" w:history="1">
        <w:r w:rsidRPr="00BB71B4">
          <w:rPr>
            <w:rStyle w:val="TextoNormalCaracter"/>
          </w:rPr>
          <w:t>60/2015</w:t>
        </w:r>
      </w:hyperlink>
      <w:r w:rsidRPr="00BB71B4">
        <w:rPr>
          <w:rStyle w:val="TextoNormalCaracter"/>
        </w:rPr>
        <w:t>, ff. 1 a 3, 6.</w:t>
      </w:r>
    </w:p>
    <w:p w:rsidR="00BB71B4" w:rsidRPr="00BB71B4" w:rsidRDefault="00BB71B4" w:rsidP="00BB71B4">
      <w:pPr>
        <w:pStyle w:val="TextoNormalSangraFrancesa"/>
        <w:rPr>
          <w:rStyle w:val="TextoNormalCaracter"/>
        </w:rPr>
      </w:pPr>
      <w:bookmarkStart w:id="1682" w:name="DESCRIPTORALFABETICO504"/>
      <w:r w:rsidRPr="00BB71B4">
        <w:rPr>
          <w:rStyle w:val="TextoNormalNegritaCaracter"/>
        </w:rPr>
        <w:t>Residuos industriales</w:t>
      </w:r>
      <w:bookmarkEnd w:id="1682"/>
      <w:r w:rsidRPr="00BB71B4">
        <w:rPr>
          <w:rStyle w:val="TextoNormalCaracter"/>
        </w:rPr>
        <w:t xml:space="preserve">, Sentencia </w:t>
      </w:r>
      <w:hyperlink w:anchor="SENTENCIA_2015_45" w:history="1">
        <w:r w:rsidRPr="00BB71B4">
          <w:rPr>
            <w:rStyle w:val="TextoNormalCaracter"/>
          </w:rPr>
          <w:t>45/2015</w:t>
        </w:r>
      </w:hyperlink>
      <w:r w:rsidRPr="00BB71B4">
        <w:rPr>
          <w:rStyle w:val="TextoNormalCaracter"/>
        </w:rPr>
        <w:t>, f. 1.</w:t>
      </w:r>
    </w:p>
    <w:p w:rsidR="00BB71B4" w:rsidRPr="00BB71B4" w:rsidRDefault="00BB71B4" w:rsidP="00BB71B4">
      <w:pPr>
        <w:pStyle w:val="TextoNormalSangraFrancesa"/>
        <w:rPr>
          <w:rStyle w:val="TextoNormalCaracter"/>
        </w:rPr>
      </w:pPr>
      <w:bookmarkStart w:id="1683" w:name="DESCRIPTORALFABETICO408"/>
      <w:r w:rsidRPr="00BB71B4">
        <w:rPr>
          <w:rStyle w:val="TextoNormalNegritaCaracter"/>
        </w:rPr>
        <w:t>Resoluciones administrativas sancionadoras</w:t>
      </w:r>
      <w:bookmarkEnd w:id="1683"/>
      <w:r w:rsidRPr="00BB71B4">
        <w:rPr>
          <w:rStyle w:val="TextoNormalCaracter"/>
        </w:rPr>
        <w:t xml:space="preserve">, Sentencia </w:t>
      </w:r>
      <w:hyperlink w:anchor="SENTENCIA_2015_21" w:history="1">
        <w:r w:rsidRPr="00BB71B4">
          <w:rPr>
            <w:rStyle w:val="TextoNormalCaracter"/>
          </w:rPr>
          <w:t>21/2015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84" w:name="DESCRIPTORALFABETICO427"/>
      <w:r w:rsidRPr="00BB71B4">
        <w:rPr>
          <w:rStyle w:val="TextoNormalNegritaCaracter"/>
        </w:rPr>
        <w:t>Responsabilidad patrimonial de las Administraciones públicas</w:t>
      </w:r>
      <w:bookmarkEnd w:id="1684"/>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85" w:name="DESCRIPTORALFABETICO657"/>
      <w:r w:rsidRPr="00BB71B4">
        <w:rPr>
          <w:rStyle w:val="TextoNormalNegritaCaracter"/>
        </w:rPr>
        <w:t>Retroacción de actuaciones al momento de determinación de la indemnización</w:t>
      </w:r>
      <w:bookmarkEnd w:id="1685"/>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 8.</w:t>
      </w:r>
    </w:p>
    <w:p w:rsidR="00BB71B4" w:rsidRPr="00BB71B4" w:rsidRDefault="00BB71B4" w:rsidP="00BB71B4">
      <w:pPr>
        <w:pStyle w:val="TextoNormalSangraFrancesa"/>
        <w:rPr>
          <w:rStyle w:val="TextoNormalCaracter"/>
        </w:rPr>
      </w:pPr>
      <w:bookmarkStart w:id="1686" w:name="DESCRIPTORALFABETICO658"/>
      <w:r w:rsidRPr="00BB71B4">
        <w:rPr>
          <w:rStyle w:val="TextoNormalNegritaCaracter"/>
        </w:rPr>
        <w:t>Retroacción de actuaciones al momento de dictar sentencia</w:t>
      </w:r>
      <w:bookmarkEnd w:id="1686"/>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 6.</w:t>
      </w:r>
    </w:p>
    <w:p w:rsidR="00BB71B4" w:rsidRPr="00BB71B4" w:rsidRDefault="00BB71B4" w:rsidP="00BB71B4">
      <w:pPr>
        <w:pStyle w:val="TextoNormalSangraFrancesa"/>
        <w:rPr>
          <w:rStyle w:val="TextoNormalCaracter"/>
        </w:rPr>
      </w:pPr>
      <w:bookmarkStart w:id="1687" w:name="DESCRIPTORALFABETICO615"/>
      <w:r w:rsidRPr="00BB71B4">
        <w:rPr>
          <w:rStyle w:val="TextoNormalNegritaCaracter"/>
        </w:rPr>
        <w:t>Revalorización de pensiones</w:t>
      </w:r>
      <w:bookmarkEnd w:id="1687"/>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2, 3, 5, VP; </w:t>
      </w:r>
      <w:hyperlink w:anchor="SENTENCIA_2015_95" w:history="1">
        <w:r w:rsidRPr="00BB71B4">
          <w:rPr>
            <w:rStyle w:val="TextoNormalCaracter"/>
          </w:rPr>
          <w:t>95/2015</w:t>
        </w:r>
      </w:hyperlink>
      <w:r w:rsidRPr="00BB71B4">
        <w:rPr>
          <w:rStyle w:val="TextoNormalCaracter"/>
        </w:rPr>
        <w:t xml:space="preserve">, ff. 4, 6; </w:t>
      </w:r>
      <w:hyperlink w:anchor="SENTENCIA_2015_109" w:history="1">
        <w:r w:rsidRPr="00BB71B4">
          <w:rPr>
            <w:rStyle w:val="TextoNormalCaracter"/>
          </w:rPr>
          <w:t>109/2015</w:t>
        </w:r>
      </w:hyperlink>
      <w:r w:rsidRPr="00BB71B4">
        <w:rPr>
          <w:rStyle w:val="TextoNormalCaracter"/>
        </w:rPr>
        <w:t xml:space="preserve">, ff. 1, 2; </w:t>
      </w:r>
      <w:hyperlink w:anchor="SENTENCIA_2015_116" w:history="1">
        <w:r w:rsidRPr="00BB71B4">
          <w:rPr>
            <w:rStyle w:val="TextoNormalCaracter"/>
          </w:rPr>
          <w:t>116/2015</w:t>
        </w:r>
      </w:hyperlink>
      <w:r w:rsidRPr="00BB71B4">
        <w:rPr>
          <w:rStyle w:val="TextoNormalCaracter"/>
        </w:rPr>
        <w:t xml:space="preserve">, ff. 1, 2; </w:t>
      </w:r>
      <w:hyperlink w:anchor="SENTENCIA_2015_117" w:history="1">
        <w:r w:rsidRPr="00BB71B4">
          <w:rPr>
            <w:rStyle w:val="TextoNormalCaracter"/>
          </w:rPr>
          <w:t>117/2015</w:t>
        </w:r>
      </w:hyperlink>
      <w:r w:rsidRPr="00BB71B4">
        <w:rPr>
          <w:rStyle w:val="TextoNormalCaracter"/>
        </w:rPr>
        <w:t xml:space="preserve">, f. 3; </w:t>
      </w:r>
      <w:hyperlink w:anchor="SENTENCIA_2015_118" w:history="1">
        <w:r w:rsidRPr="00BB71B4">
          <w:rPr>
            <w:rStyle w:val="TextoNormalCaracter"/>
          </w:rPr>
          <w:t>118/2015</w:t>
        </w:r>
      </w:hyperlink>
      <w:r w:rsidRPr="00BB71B4">
        <w:rPr>
          <w:rStyle w:val="TextoNormalCaracter"/>
        </w:rPr>
        <w:t xml:space="preserve">, f. 3; </w:t>
      </w:r>
      <w:hyperlink w:anchor="SENTENCIA_2015_119" w:history="1">
        <w:r w:rsidRPr="00BB71B4">
          <w:rPr>
            <w:rStyle w:val="TextoNormalCaracter"/>
          </w:rPr>
          <w:t>119/2015</w:t>
        </w:r>
      </w:hyperlink>
      <w:r w:rsidRPr="00BB71B4">
        <w:rPr>
          <w:rStyle w:val="TextoNormalCaracter"/>
        </w:rPr>
        <w:t xml:space="preserve">, ff. 1, 2; </w:t>
      </w:r>
      <w:hyperlink w:anchor="SENTENCIA_2015_120" w:history="1">
        <w:r w:rsidRPr="00BB71B4">
          <w:rPr>
            <w:rStyle w:val="TextoNormalCaracter"/>
          </w:rPr>
          <w:t>120/2015</w:t>
        </w:r>
      </w:hyperlink>
      <w:r w:rsidRPr="00BB71B4">
        <w:rPr>
          <w:rStyle w:val="TextoNormalCaracter"/>
        </w:rPr>
        <w:t xml:space="preserve">, ff. 1, 2; </w:t>
      </w:r>
      <w:hyperlink w:anchor="SENTENCIA_2015_121" w:history="1">
        <w:r w:rsidRPr="00BB71B4">
          <w:rPr>
            <w:rStyle w:val="TextoNormalCaracter"/>
          </w:rPr>
          <w:t>121/2015</w:t>
        </w:r>
      </w:hyperlink>
      <w:r w:rsidRPr="00BB71B4">
        <w:rPr>
          <w:rStyle w:val="TextoNormalCaracter"/>
        </w:rPr>
        <w:t xml:space="preserve">, ff. 1, 2; </w:t>
      </w:r>
      <w:hyperlink w:anchor="SENTENCIA_2015_122" w:history="1">
        <w:r w:rsidRPr="00BB71B4">
          <w:rPr>
            <w:rStyle w:val="TextoNormalCaracter"/>
          </w:rPr>
          <w:t>122/2015</w:t>
        </w:r>
      </w:hyperlink>
      <w:r w:rsidRPr="00BB71B4">
        <w:rPr>
          <w:rStyle w:val="TextoNormalCaracter"/>
        </w:rPr>
        <w:t xml:space="preserve">, ff. 1, 2; </w:t>
      </w:r>
      <w:hyperlink w:anchor="SENTENCIA_2015_123" w:history="1">
        <w:r w:rsidRPr="00BB71B4">
          <w:rPr>
            <w:rStyle w:val="TextoNormalCaracter"/>
          </w:rPr>
          <w:t>123/2015</w:t>
        </w:r>
      </w:hyperlink>
      <w:r w:rsidRPr="00BB71B4">
        <w:rPr>
          <w:rStyle w:val="TextoNormalCaracter"/>
        </w:rPr>
        <w:t xml:space="preserve">, ff. 1, 2; </w:t>
      </w:r>
      <w:hyperlink w:anchor="SENTENCIA_2015_125" w:history="1">
        <w:r w:rsidRPr="00BB71B4">
          <w:rPr>
            <w:rStyle w:val="TextoNormalCaracter"/>
          </w:rPr>
          <w:t>125/2015</w:t>
        </w:r>
      </w:hyperlink>
      <w:r w:rsidRPr="00BB71B4">
        <w:rPr>
          <w:rStyle w:val="TextoNormalCaracter"/>
        </w:rPr>
        <w:t xml:space="preserve">, ff. 1, 2; </w:t>
      </w:r>
      <w:hyperlink w:anchor="SENTENCIA_2015_126" w:history="1">
        <w:r w:rsidRPr="00BB71B4">
          <w:rPr>
            <w:rStyle w:val="TextoNormalCaracter"/>
          </w:rPr>
          <w:t>126/2015</w:t>
        </w:r>
      </w:hyperlink>
      <w:r w:rsidRPr="00BB71B4">
        <w:rPr>
          <w:rStyle w:val="TextoNormalCaracter"/>
        </w:rPr>
        <w:t xml:space="preserve">, ff. 1, 2; </w:t>
      </w:r>
      <w:hyperlink w:anchor="SENTENCIA_2015_127" w:history="1">
        <w:r w:rsidRPr="00BB71B4">
          <w:rPr>
            <w:rStyle w:val="TextoNormalCaracter"/>
          </w:rPr>
          <w:t>127/2015</w:t>
        </w:r>
      </w:hyperlink>
      <w:r w:rsidRPr="00BB71B4">
        <w:rPr>
          <w:rStyle w:val="TextoNormalCaracter"/>
        </w:rPr>
        <w:t xml:space="preserve">, ff. 1, 2; </w:t>
      </w:r>
      <w:hyperlink w:anchor="SENTENCIA_2015_128" w:history="1">
        <w:r w:rsidRPr="00BB71B4">
          <w:rPr>
            <w:rStyle w:val="TextoNormalCaracter"/>
          </w:rPr>
          <w:t>128/2015</w:t>
        </w:r>
      </w:hyperlink>
      <w:r w:rsidRPr="00BB71B4">
        <w:rPr>
          <w:rStyle w:val="TextoNormalCaracter"/>
        </w:rPr>
        <w:t xml:space="preserve">, ff. 1, 2; </w:t>
      </w:r>
      <w:hyperlink w:anchor="SENTENCIA_2015_129" w:history="1">
        <w:r w:rsidRPr="00BB71B4">
          <w:rPr>
            <w:rStyle w:val="TextoNormalCaracter"/>
          </w:rPr>
          <w:t>129/2015</w:t>
        </w:r>
      </w:hyperlink>
      <w:r w:rsidRPr="00BB71B4">
        <w:rPr>
          <w:rStyle w:val="TextoNormalCaracter"/>
        </w:rPr>
        <w:t xml:space="preserve">, ff. 1, 2; </w:t>
      </w:r>
      <w:hyperlink w:anchor="SENTENCIA_2015_130" w:history="1">
        <w:r w:rsidRPr="00BB71B4">
          <w:rPr>
            <w:rStyle w:val="TextoNormalCaracter"/>
          </w:rPr>
          <w:t>130/2015</w:t>
        </w:r>
      </w:hyperlink>
      <w:r w:rsidRPr="00BB71B4">
        <w:rPr>
          <w:rStyle w:val="TextoNormalCaracter"/>
        </w:rPr>
        <w:t xml:space="preserve">, ff. 1, 2; </w:t>
      </w:r>
      <w:hyperlink w:anchor="SENTENCIA_2015_131" w:history="1">
        <w:r w:rsidRPr="00BB71B4">
          <w:rPr>
            <w:rStyle w:val="TextoNormalCaracter"/>
          </w:rPr>
          <w:t>131/2015</w:t>
        </w:r>
      </w:hyperlink>
      <w:r w:rsidRPr="00BB71B4">
        <w:rPr>
          <w:rStyle w:val="TextoNormalCaracter"/>
        </w:rPr>
        <w:t xml:space="preserve">, ff. 1, 2; </w:t>
      </w:r>
      <w:hyperlink w:anchor="SENTENCIA_2015_132" w:history="1">
        <w:r w:rsidRPr="00BB71B4">
          <w:rPr>
            <w:rStyle w:val="TextoNormalCaracter"/>
          </w:rPr>
          <w:t>132/2015</w:t>
        </w:r>
      </w:hyperlink>
      <w:r w:rsidRPr="00BB71B4">
        <w:rPr>
          <w:rStyle w:val="TextoNormalCaracter"/>
        </w:rPr>
        <w:t xml:space="preserve">, ff. 1, 2; </w:t>
      </w:r>
      <w:hyperlink w:anchor="SENTENCIA_2015_133" w:history="1">
        <w:r w:rsidRPr="00BB71B4">
          <w:rPr>
            <w:rStyle w:val="TextoNormalCaracter"/>
          </w:rPr>
          <w:t>133/2015</w:t>
        </w:r>
      </w:hyperlink>
      <w:r w:rsidRPr="00BB71B4">
        <w:rPr>
          <w:rStyle w:val="TextoNormalCaracter"/>
        </w:rPr>
        <w:t xml:space="preserve">, ff. 1, 2; </w:t>
      </w:r>
      <w:hyperlink w:anchor="SENTENCIA_2015_134" w:history="1">
        <w:r w:rsidRPr="00BB71B4">
          <w:rPr>
            <w:rStyle w:val="TextoNormalCaracter"/>
          </w:rPr>
          <w:t>134/2015</w:t>
        </w:r>
      </w:hyperlink>
      <w:r w:rsidRPr="00BB71B4">
        <w:rPr>
          <w:rStyle w:val="TextoNormalCaracter"/>
        </w:rPr>
        <w:t xml:space="preserve">, ff. 1, 2; </w:t>
      </w:r>
      <w:hyperlink w:anchor="SENTENCIA_2015_135" w:history="1">
        <w:r w:rsidRPr="00BB71B4">
          <w:rPr>
            <w:rStyle w:val="TextoNormalCaracter"/>
          </w:rPr>
          <w:t>135/2015</w:t>
        </w:r>
      </w:hyperlink>
      <w:r w:rsidRPr="00BB71B4">
        <w:rPr>
          <w:rStyle w:val="TextoNormalCaracter"/>
        </w:rPr>
        <w:t xml:space="preserve">, ff. 1, 2; </w:t>
      </w:r>
      <w:hyperlink w:anchor="SENTENCIA_2015_144" w:history="1">
        <w:r w:rsidRPr="00BB71B4">
          <w:rPr>
            <w:rStyle w:val="TextoNormalCaracter"/>
          </w:rPr>
          <w:t>144/2015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688" w:name="DESCRIPTORALFABETICO727"/>
      <w:r w:rsidRPr="00BB71B4">
        <w:rPr>
          <w:rStyle w:val="TextoNormalNegritaCaracter"/>
        </w:rPr>
        <w:t>Revocación de sentencia absolutoria de un Tribunal de Jurado</w:t>
      </w:r>
      <w:bookmarkEnd w:id="1688"/>
      <w:r w:rsidRPr="00BB71B4">
        <w:rPr>
          <w:rStyle w:val="TextoNormalCaracter"/>
        </w:rPr>
        <w:t xml:space="preserve">, Sentencia </w:t>
      </w:r>
      <w:hyperlink w:anchor="SENTENCIA_2015_112" w:history="1">
        <w:r w:rsidRPr="00BB71B4">
          <w:rPr>
            <w:rStyle w:val="TextoNormalCaracter"/>
          </w:rPr>
          <w:t>112/2015</w:t>
        </w:r>
      </w:hyperlink>
      <w:r w:rsidRPr="00BB71B4">
        <w:rPr>
          <w:rStyle w:val="TextoNormalCaracter"/>
        </w:rPr>
        <w:t>, ff. 3, 5, 6, 8.</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S</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689" w:name="DESCRIPTORALFABETICO643"/>
      <w:r w:rsidRPr="00BB71B4">
        <w:rPr>
          <w:rStyle w:val="TextoNormalNegritaCaracter"/>
        </w:rPr>
        <w:t>Salarios de tramitación</w:t>
      </w:r>
      <w:bookmarkEnd w:id="1689"/>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8 apartados a) a c), VP.</w:t>
      </w:r>
    </w:p>
    <w:p w:rsidR="00BB71B4" w:rsidRPr="00BB71B4" w:rsidRDefault="00BB71B4" w:rsidP="00BB71B4">
      <w:pPr>
        <w:pStyle w:val="TextoNormalSangraFrancesa"/>
        <w:rPr>
          <w:rStyle w:val="TextoNormalCaracter"/>
        </w:rPr>
      </w:pPr>
      <w:bookmarkStart w:id="1690" w:name="DESCRIPTORALFABETICO451"/>
      <w:r w:rsidRPr="00BB71B4">
        <w:rPr>
          <w:rStyle w:val="TextoNormalNegritaCaracter"/>
        </w:rPr>
        <w:t>Sanciones administrativas</w:t>
      </w:r>
      <w:bookmarkEnd w:id="1690"/>
      <w:r w:rsidRPr="00BB71B4">
        <w:rPr>
          <w:rStyle w:val="TextoNormalCaracter"/>
        </w:rPr>
        <w:t xml:space="preserve">, Sentencias </w:t>
      </w:r>
      <w:hyperlink w:anchor="SENTENCIA_2015_10" w:history="1">
        <w:r w:rsidRPr="00BB71B4">
          <w:rPr>
            <w:rStyle w:val="TextoNormalCaracter"/>
          </w:rPr>
          <w:t>10/2015</w:t>
        </w:r>
      </w:hyperlink>
      <w:r w:rsidRPr="00BB71B4">
        <w:rPr>
          <w:rStyle w:val="TextoNormalCaracter"/>
        </w:rPr>
        <w:t xml:space="preserve">, ff. 1, 3; </w:t>
      </w:r>
      <w:hyperlink w:anchor="SENTENCIA_2015_21" w:history="1">
        <w:r w:rsidRPr="00BB71B4">
          <w:rPr>
            <w:rStyle w:val="TextoNormalCaracter"/>
          </w:rPr>
          <w:t>21/2015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91" w:name="DESCRIPTORALFABETICO382"/>
      <w:r w:rsidRPr="00BB71B4">
        <w:rPr>
          <w:rStyle w:val="TextoNormalNegritaCaracter"/>
        </w:rPr>
        <w:t>Sanciones administrativas con cobertura legal</w:t>
      </w:r>
      <w:bookmarkEnd w:id="1691"/>
      <w:r w:rsidRPr="00BB71B4">
        <w:rPr>
          <w:rStyle w:val="TextoNormalCaracter"/>
        </w:rPr>
        <w:t xml:space="preserve">, Sentencia </w:t>
      </w:r>
      <w:hyperlink w:anchor="SENTENCIA_2015_146" w:history="1">
        <w:r w:rsidRPr="00BB71B4">
          <w:rPr>
            <w:rStyle w:val="TextoNormalCaracter"/>
          </w:rPr>
          <w:t>146/2015</w:t>
        </w:r>
      </w:hyperlink>
      <w:r w:rsidRPr="00BB71B4">
        <w:rPr>
          <w:rStyle w:val="TextoNormalCaracter"/>
        </w:rPr>
        <w:t>, ff. 1, 2.</w:t>
      </w:r>
    </w:p>
    <w:p w:rsidR="00BB71B4" w:rsidRPr="00BB71B4" w:rsidRDefault="00BB71B4" w:rsidP="00BB71B4">
      <w:pPr>
        <w:pStyle w:val="TextoNormalSangraFrancesa"/>
        <w:rPr>
          <w:rStyle w:val="TextoNormalCaracter"/>
        </w:rPr>
      </w:pPr>
      <w:bookmarkStart w:id="1692" w:name="DESCRIPTORALFABETICO596"/>
      <w:r w:rsidRPr="00BB71B4">
        <w:rPr>
          <w:rStyle w:val="TextoNormalNegritaCaracter"/>
        </w:rPr>
        <w:t>Sanidad</w:t>
      </w:r>
      <w:bookmarkEnd w:id="1692"/>
      <w:r w:rsidRPr="00BB71B4">
        <w:rPr>
          <w:rStyle w:val="TextoNormalCaracter"/>
        </w:rPr>
        <w:t xml:space="preserve">, Sentencia </w:t>
      </w:r>
      <w:hyperlink w:anchor="SENTENCIA_2015_58" w:history="1">
        <w:r w:rsidRPr="00BB71B4">
          <w:rPr>
            <w:rStyle w:val="TextoNormalCaracter"/>
          </w:rPr>
          <w:t>58/2015</w:t>
        </w:r>
      </w:hyperlink>
      <w:r w:rsidRPr="00BB71B4">
        <w:rPr>
          <w:rStyle w:val="TextoNormalCaracter"/>
        </w:rPr>
        <w:t>, ff. 2 a 6, VP.</w:t>
      </w:r>
    </w:p>
    <w:p w:rsidR="00BB71B4" w:rsidRPr="00BB71B4" w:rsidRDefault="00BB71B4" w:rsidP="00BB71B4">
      <w:pPr>
        <w:pStyle w:val="TextoNormalSangraFrancesa"/>
        <w:rPr>
          <w:rStyle w:val="TextoNormalCaracter"/>
        </w:rPr>
      </w:pPr>
      <w:bookmarkStart w:id="1693" w:name="DESCRIPTORALFABETICO595"/>
      <w:r w:rsidRPr="00BB71B4">
        <w:rPr>
          <w:rStyle w:val="TextoNormalNegritaCaracter"/>
        </w:rPr>
        <w:t>Sanidad animal</w:t>
      </w:r>
      <w:bookmarkEnd w:id="1693"/>
      <w:r w:rsidRPr="00BB71B4">
        <w:rPr>
          <w:rStyle w:val="TextoNormalCaracter"/>
        </w:rPr>
        <w:t xml:space="preserve">, Sentencia </w:t>
      </w:r>
      <w:hyperlink w:anchor="SENTENCIA_2015_58" w:history="1">
        <w:r w:rsidRPr="00BB71B4">
          <w:rPr>
            <w:rStyle w:val="TextoNormalCaracter"/>
          </w:rPr>
          <w:t>58/2015</w:t>
        </w:r>
      </w:hyperlink>
      <w:r w:rsidRPr="00BB71B4">
        <w:rPr>
          <w:rStyle w:val="TextoNormalCaracter"/>
        </w:rPr>
        <w:t>, ff. 2 a 6, VP.</w:t>
      </w:r>
    </w:p>
    <w:p w:rsidR="00BB71B4" w:rsidRPr="00BB71B4" w:rsidRDefault="00BB71B4" w:rsidP="00BB71B4">
      <w:pPr>
        <w:pStyle w:val="TextoNormalSangraFrancesa"/>
        <w:rPr>
          <w:rStyle w:val="TextoNormalCaracter"/>
        </w:rPr>
      </w:pPr>
      <w:bookmarkStart w:id="1694" w:name="DESCRIPTORALFABETICO710"/>
      <w:r w:rsidRPr="00BB71B4">
        <w:rPr>
          <w:rStyle w:val="TextoNormalNegritaCaracter"/>
        </w:rPr>
        <w:t>Satisfacción extraprocesal de la pretensión</w:t>
      </w:r>
      <w:bookmarkEnd w:id="1694"/>
      <w:r w:rsidRPr="00BB71B4">
        <w:rPr>
          <w:rStyle w:val="TextoNormalCaracter"/>
        </w:rPr>
        <w:t xml:space="preserve">, Sentencia </w:t>
      </w:r>
      <w:hyperlink w:anchor="SENTENCIA_2015_83" w:history="1">
        <w:r w:rsidRPr="00BB71B4">
          <w:rPr>
            <w:rStyle w:val="TextoNormalCaracter"/>
          </w:rPr>
          <w:t>83/2015</w:t>
        </w:r>
      </w:hyperlink>
      <w:r w:rsidRPr="00BB71B4">
        <w:rPr>
          <w:rStyle w:val="TextoNormalCaracter"/>
        </w:rPr>
        <w:t>, f. 2.</w:t>
      </w:r>
    </w:p>
    <w:p w:rsidR="00BB71B4" w:rsidRPr="00BB71B4" w:rsidRDefault="00BB71B4" w:rsidP="00BB71B4">
      <w:pPr>
        <w:pStyle w:val="TextoNormalSangraFrancesa"/>
        <w:rPr>
          <w:rStyle w:val="TextoNormalCaracter"/>
        </w:rPr>
      </w:pPr>
      <w:bookmarkStart w:id="1695" w:name="DESCRIPTORALFABETICO248"/>
      <w:r w:rsidRPr="00BB71B4">
        <w:rPr>
          <w:rStyle w:val="TextoNormalNegritaCaracter"/>
        </w:rPr>
        <w:t>Satisfacción extraprocesal de la pretensión constitucional</w:t>
      </w:r>
      <w:bookmarkEnd w:id="1695"/>
      <w:r w:rsidRPr="00BB71B4">
        <w:rPr>
          <w:rStyle w:val="TextoNormalCaracter"/>
        </w:rPr>
        <w:t xml:space="preserve">, Sentencias </w:t>
      </w:r>
      <w:hyperlink w:anchor="SENTENCIA_2015_97" w:history="1">
        <w:r w:rsidRPr="00BB71B4">
          <w:rPr>
            <w:rStyle w:val="TextoNormalCaracter"/>
          </w:rPr>
          <w:t>97/2015</w:t>
        </w:r>
      </w:hyperlink>
      <w:r w:rsidRPr="00BB71B4">
        <w:rPr>
          <w:rStyle w:val="TextoNormalCaracter"/>
        </w:rPr>
        <w:t xml:space="preserve">, f. 3; </w:t>
      </w:r>
      <w:hyperlink w:anchor="SENTENCIA_2015_100" w:history="1">
        <w:r w:rsidRPr="00BB71B4">
          <w:rPr>
            <w:rStyle w:val="TextoNormalCaracter"/>
          </w:rPr>
          <w:t>100/2015</w:t>
        </w:r>
      </w:hyperlink>
      <w:r w:rsidRPr="00BB71B4">
        <w:rPr>
          <w:rStyle w:val="TextoNormalCaracter"/>
        </w:rPr>
        <w:t xml:space="preserve">, f. 3; </w:t>
      </w:r>
      <w:hyperlink w:anchor="SENTENCIA_2015_113" w:history="1">
        <w:r w:rsidRPr="00BB71B4">
          <w:rPr>
            <w:rStyle w:val="TextoNormalCaracter"/>
          </w:rPr>
          <w:t>113/2015</w:t>
        </w:r>
      </w:hyperlink>
      <w:r w:rsidRPr="00BB71B4">
        <w:rPr>
          <w:rStyle w:val="TextoNormalCaracter"/>
        </w:rPr>
        <w:t xml:space="preserve">, f. 3; </w:t>
      </w:r>
      <w:hyperlink w:anchor="SENTENCIA_2015_114" w:history="1">
        <w:r w:rsidRPr="00BB71B4">
          <w:rPr>
            <w:rStyle w:val="TextoNormalCaracter"/>
          </w:rPr>
          <w:t>114/2015</w:t>
        </w:r>
      </w:hyperlink>
      <w:r w:rsidRPr="00BB71B4">
        <w:rPr>
          <w:rStyle w:val="TextoNormalCaracter"/>
        </w:rPr>
        <w:t xml:space="preserve">, f. 3; </w:t>
      </w:r>
      <w:hyperlink w:anchor="SENTENCIA_2015_141" w:history="1">
        <w:r w:rsidRPr="00BB71B4">
          <w:rPr>
            <w:rStyle w:val="TextoNormalCaracter"/>
          </w:rPr>
          <w:t>141/2015</w:t>
        </w:r>
      </w:hyperlink>
      <w:r w:rsidRPr="00BB71B4">
        <w:rPr>
          <w:rStyle w:val="TextoNormalCaracter"/>
        </w:rPr>
        <w:t>, f. 3.</w:t>
      </w:r>
    </w:p>
    <w:p w:rsidR="00BB71B4" w:rsidRPr="00BB71B4" w:rsidRDefault="00BB71B4" w:rsidP="00BB71B4">
      <w:pPr>
        <w:pStyle w:val="TextoNormalSangraFrancesa"/>
        <w:rPr>
          <w:rStyle w:val="TextoNormalCaracter"/>
        </w:rPr>
      </w:pPr>
      <w:bookmarkStart w:id="1696" w:name="DESCRIPTORALFABETICO605"/>
      <w:r w:rsidRPr="00BB71B4">
        <w:rPr>
          <w:rStyle w:val="TextoNormalNegritaCaracter"/>
        </w:rPr>
        <w:t>Seguridad Social</w:t>
      </w:r>
      <w:bookmarkEnd w:id="1696"/>
      <w:r w:rsidRPr="00BB71B4">
        <w:rPr>
          <w:rStyle w:val="TextoNormalCaracter"/>
        </w:rPr>
        <w:t xml:space="preserve">, Sentencias </w:t>
      </w:r>
      <w:hyperlink w:anchor="SENTENCIA_2015_104" w:history="1">
        <w:r w:rsidRPr="00BB71B4">
          <w:rPr>
            <w:rStyle w:val="TextoNormalCaracter"/>
          </w:rPr>
          <w:t>104/2015</w:t>
        </w:r>
      </w:hyperlink>
      <w:r w:rsidRPr="00BB71B4">
        <w:rPr>
          <w:rStyle w:val="TextoNormalCaracter"/>
        </w:rPr>
        <w:t xml:space="preserve">, f. 11, VP; </w:t>
      </w:r>
      <w:hyperlink w:anchor="SENTENCIA_2015_110" w:history="1">
        <w:r w:rsidRPr="00BB71B4">
          <w:rPr>
            <w:rStyle w:val="TextoNormalCaracter"/>
          </w:rPr>
          <w:t>110/2015</w:t>
        </w:r>
      </w:hyperlink>
      <w:r w:rsidRPr="00BB71B4">
        <w:rPr>
          <w:rStyle w:val="TextoNormalCaracter"/>
        </w:rPr>
        <w:t>, ff. 4, 5, 8, 9 , VP.</w:t>
      </w:r>
    </w:p>
    <w:p w:rsidR="00BB71B4" w:rsidRPr="00BB71B4" w:rsidRDefault="00BB71B4" w:rsidP="00BB71B4">
      <w:pPr>
        <w:pStyle w:val="TextoNormalSangraFrancesa"/>
        <w:rPr>
          <w:rStyle w:val="TextoNormalCaracter"/>
        </w:rPr>
      </w:pPr>
      <w:bookmarkStart w:id="1697" w:name="DESCRIPTORALFABETICO520"/>
      <w:r w:rsidRPr="00BB71B4">
        <w:rPr>
          <w:rStyle w:val="TextoNormalNegritaCaracter"/>
        </w:rPr>
        <w:t>Selección e interpretación del Derecho de la Unión Europea por el Juez nacional</w:t>
      </w:r>
      <w:bookmarkEnd w:id="1697"/>
      <w:r w:rsidRPr="00BB71B4">
        <w:rPr>
          <w:rStyle w:val="TextoNormalCaracter"/>
        </w:rPr>
        <w:t xml:space="preserve">, Sentencia </w:t>
      </w:r>
      <w:hyperlink w:anchor="SENTENCIA_2015_99" w:history="1">
        <w:r w:rsidRPr="00BB71B4">
          <w:rPr>
            <w:rStyle w:val="TextoNormalCaracter"/>
          </w:rPr>
          <w:t>99/2015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698" w:name="DESCRIPTORALFABETICO309"/>
      <w:r w:rsidRPr="00BB71B4">
        <w:rPr>
          <w:rStyle w:val="TextoNormalNegritaCaracter"/>
        </w:rPr>
        <w:t>Sentencia de amparo</w:t>
      </w:r>
      <w:bookmarkEnd w:id="1698"/>
      <w:r w:rsidRPr="00BB71B4">
        <w:rPr>
          <w:rStyle w:val="TextoNormalCaracter"/>
        </w:rPr>
        <w:t xml:space="preserve">, Sentencia </w:t>
      </w:r>
      <w:hyperlink w:anchor="SENTENCIA_2015_54" w:history="1">
        <w:r w:rsidRPr="00BB71B4">
          <w:rPr>
            <w:rStyle w:val="TextoNormalCaracter"/>
          </w:rPr>
          <w:t>54/2015</w:t>
        </w:r>
      </w:hyperlink>
      <w:r w:rsidRPr="00BB71B4">
        <w:rPr>
          <w:rStyle w:val="TextoNormalCaracter"/>
        </w:rPr>
        <w:t>, f. 1.</w:t>
      </w:r>
    </w:p>
    <w:p w:rsidR="00BB71B4" w:rsidRPr="00BB71B4" w:rsidRDefault="00BB71B4" w:rsidP="00BB71B4">
      <w:pPr>
        <w:pStyle w:val="TextoNormalSangraFrancesa"/>
        <w:rPr>
          <w:rStyle w:val="TextoNormalCaracter"/>
        </w:rPr>
      </w:pPr>
      <w:bookmarkStart w:id="1699" w:name="DESCRIPTORALFABETICO311"/>
      <w:r w:rsidRPr="00BB71B4">
        <w:rPr>
          <w:rStyle w:val="TextoNormalNegritaCaracter"/>
        </w:rPr>
        <w:t>Sentencia de amparo de carácter declarativo</w:t>
      </w:r>
      <w:bookmarkEnd w:id="1699"/>
      <w:r w:rsidRPr="00BB71B4">
        <w:rPr>
          <w:rStyle w:val="TextoNormalCaracter"/>
        </w:rPr>
        <w:t xml:space="preserve">, Sentencias </w:t>
      </w:r>
      <w:hyperlink w:anchor="SENTENCIA_2015_87" w:history="1">
        <w:r w:rsidRPr="00BB71B4">
          <w:rPr>
            <w:rStyle w:val="TextoNormalCaracter"/>
          </w:rPr>
          <w:t>87/2015</w:t>
        </w:r>
      </w:hyperlink>
      <w:r w:rsidRPr="00BB71B4">
        <w:rPr>
          <w:rStyle w:val="TextoNormalCaracter"/>
        </w:rPr>
        <w:t xml:space="preserve">, f. 5; </w:t>
      </w:r>
      <w:hyperlink w:anchor="SENTENCIA_2015_88" w:history="1">
        <w:r w:rsidRPr="00BB71B4">
          <w:rPr>
            <w:rStyle w:val="TextoNormalCaracter"/>
          </w:rPr>
          <w:t>88/2015</w:t>
        </w:r>
      </w:hyperlink>
      <w:r w:rsidRPr="00BB71B4">
        <w:rPr>
          <w:rStyle w:val="TextoNormalCaracter"/>
        </w:rPr>
        <w:t>, f. 4.</w:t>
      </w:r>
    </w:p>
    <w:p w:rsidR="00BB71B4" w:rsidRPr="00BB71B4" w:rsidRDefault="00BB71B4" w:rsidP="00BB71B4">
      <w:pPr>
        <w:pStyle w:val="TextoNormalSangraFrancesa"/>
        <w:rPr>
          <w:rStyle w:val="TextoNormalCaracter"/>
        </w:rPr>
      </w:pPr>
      <w:bookmarkStart w:id="1700" w:name="DESCRIPTORALFABETICO661"/>
      <w:r w:rsidRPr="00BB71B4">
        <w:rPr>
          <w:rStyle w:val="TextoNormalNegritaCaracter"/>
        </w:rPr>
        <w:t>Señalamiento de vista</w:t>
      </w:r>
      <w:bookmarkEnd w:id="1700"/>
      <w:r w:rsidRPr="00BB71B4">
        <w:rPr>
          <w:rStyle w:val="TextoNormalCaracter"/>
        </w:rPr>
        <w:t xml:space="preserve">, Sentencia </w:t>
      </w:r>
      <w:hyperlink w:anchor="SENTENCIA_2015_74" w:history="1">
        <w:r w:rsidRPr="00BB71B4">
          <w:rPr>
            <w:rStyle w:val="TextoNormalCaracter"/>
          </w:rPr>
          <w:t>74/2015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01" w:name="DESCRIPTORALFABETICO729"/>
      <w:r w:rsidRPr="00BB71B4">
        <w:rPr>
          <w:rStyle w:val="TextoNormalNegritaCaracter"/>
        </w:rPr>
        <w:t>Servicio Público de Empleo Estatal</w:t>
      </w:r>
      <w:bookmarkEnd w:id="1701"/>
      <w:r w:rsidRPr="00BB71B4">
        <w:rPr>
          <w:rStyle w:val="TextoNormalCaracter"/>
        </w:rPr>
        <w:t xml:space="preserve">, Sentencias </w:t>
      </w:r>
      <w:hyperlink w:anchor="SENTENCIA_2015_27" w:history="1">
        <w:r w:rsidRPr="00BB71B4">
          <w:rPr>
            <w:rStyle w:val="TextoNormalCaracter"/>
          </w:rPr>
          <w:t>27/2015</w:t>
        </w:r>
      </w:hyperlink>
      <w:r w:rsidRPr="00BB71B4">
        <w:rPr>
          <w:rStyle w:val="TextoNormalCaracter"/>
        </w:rPr>
        <w:t xml:space="preserve">, f. 6; </w:t>
      </w:r>
      <w:hyperlink w:anchor="SENTENCIA_2015_61" w:history="1">
        <w:r w:rsidRPr="00BB71B4">
          <w:rPr>
            <w:rStyle w:val="TextoNormalCaracter"/>
          </w:rPr>
          <w:t>61/2015</w:t>
        </w:r>
      </w:hyperlink>
      <w:r w:rsidRPr="00BB71B4">
        <w:rPr>
          <w:rStyle w:val="TextoNormalCaracter"/>
        </w:rPr>
        <w:t>, f. 1.</w:t>
      </w:r>
    </w:p>
    <w:p w:rsidR="00BB71B4" w:rsidRPr="00BB71B4" w:rsidRDefault="00BB71B4" w:rsidP="00BB71B4">
      <w:pPr>
        <w:pStyle w:val="TextoNormalSangraFrancesa"/>
        <w:rPr>
          <w:rStyle w:val="TextoNormalCaracter"/>
        </w:rPr>
      </w:pPr>
      <w:bookmarkStart w:id="1702" w:name="DESCRIPTORALFABETICO432"/>
      <w:r w:rsidRPr="00BB71B4">
        <w:rPr>
          <w:rStyle w:val="TextoNormalNegritaCaracter"/>
        </w:rPr>
        <w:t>Servicios públicos de salud</w:t>
      </w:r>
      <w:bookmarkEnd w:id="1702"/>
      <w:r w:rsidRPr="00BB71B4">
        <w:rPr>
          <w:rStyle w:val="TextoNormalCaracter"/>
        </w:rPr>
        <w:t xml:space="preserve">, Sentencia </w:t>
      </w:r>
      <w:hyperlink w:anchor="SENTENCIA_2015_84" w:history="1">
        <w:r w:rsidRPr="00BB71B4">
          <w:rPr>
            <w:rStyle w:val="TextoNormalCaracter"/>
          </w:rPr>
          <w:t>84/2015</w:t>
        </w:r>
      </w:hyperlink>
      <w:r w:rsidRPr="00BB71B4">
        <w:rPr>
          <w:rStyle w:val="TextoNormalCaracter"/>
        </w:rPr>
        <w:t>, ff. 5 a 8.</w:t>
      </w:r>
    </w:p>
    <w:p w:rsidR="00BB71B4" w:rsidRPr="00BB71B4" w:rsidRDefault="00BB71B4" w:rsidP="00BB71B4">
      <w:pPr>
        <w:pStyle w:val="TextoNormalSangraFrancesa"/>
        <w:rPr>
          <w:rStyle w:val="TextoNormalCaracter"/>
        </w:rPr>
      </w:pPr>
      <w:bookmarkStart w:id="1703" w:name="DESCRIPTORALFABETICO585"/>
      <w:r w:rsidRPr="00BB71B4">
        <w:rPr>
          <w:rStyle w:val="TextoNormalNegritaCaracter"/>
        </w:rPr>
        <w:t>Silencio administrativo negativo</w:t>
      </w:r>
      <w:bookmarkEnd w:id="1703"/>
      <w:r w:rsidRPr="00BB71B4">
        <w:rPr>
          <w:rStyle w:val="TextoNormalCaracter"/>
        </w:rPr>
        <w:t xml:space="preserve">, Sentencia </w:t>
      </w:r>
      <w:hyperlink w:anchor="SENTENCIA_2015_29" w:history="1">
        <w:r w:rsidRPr="00BB71B4">
          <w:rPr>
            <w:rStyle w:val="TextoNormalCaracter"/>
          </w:rPr>
          <w:t>29/2015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04" w:name="DESCRIPTORALFABETICO730"/>
      <w:r w:rsidRPr="00BB71B4">
        <w:rPr>
          <w:rStyle w:val="TextoNormalNegritaCaracter"/>
        </w:rPr>
        <w:t>Sindic de Greuges</w:t>
      </w:r>
      <w:bookmarkEnd w:id="1704"/>
      <w:r w:rsidRPr="00BB71B4">
        <w:rPr>
          <w:rStyle w:val="TextoNormalCaracter"/>
        </w:rPr>
        <w:t xml:space="preserve">, Sentencia </w:t>
      </w:r>
      <w:hyperlink w:anchor="SENTENCIA_2015_46" w:history="1">
        <w:r w:rsidRPr="00BB71B4">
          <w:rPr>
            <w:rStyle w:val="TextoNormalCaracter"/>
          </w:rPr>
          <w:t>46/2015</w:t>
        </w:r>
      </w:hyperlink>
      <w:r w:rsidRPr="00BB71B4">
        <w:rPr>
          <w:rStyle w:val="TextoNormalCaracter"/>
        </w:rPr>
        <w:t>, ff. 1 a 6.</w:t>
      </w:r>
    </w:p>
    <w:p w:rsidR="00BB71B4" w:rsidRPr="00BB71B4" w:rsidRDefault="00BB71B4" w:rsidP="00BB71B4">
      <w:pPr>
        <w:pStyle w:val="TextoNormalSangraFrancesa"/>
        <w:rPr>
          <w:rStyle w:val="TextoNormalCaracter"/>
        </w:rPr>
      </w:pPr>
      <w:bookmarkStart w:id="1705" w:name="DESCRIPTORALFABETICO624"/>
      <w:r w:rsidRPr="00BB71B4">
        <w:rPr>
          <w:rStyle w:val="TextoNormalNegritaCaracter"/>
        </w:rPr>
        <w:t>Sindicatos</w:t>
      </w:r>
      <w:bookmarkEnd w:id="1705"/>
      <w:r w:rsidRPr="00BB71B4">
        <w:rPr>
          <w:rStyle w:val="TextoNormalCaracter"/>
        </w:rPr>
        <w:t xml:space="preserve">, Sentencia </w:t>
      </w:r>
      <w:hyperlink w:anchor="SENTENCIA_2015_8" w:history="1">
        <w:r w:rsidRPr="00BB71B4">
          <w:rPr>
            <w:rStyle w:val="TextoNormalCaracter"/>
          </w:rPr>
          <w:t>8/2015</w:t>
        </w:r>
      </w:hyperlink>
      <w:r w:rsidRPr="00BB71B4">
        <w:rPr>
          <w:rStyle w:val="TextoNormalCaracter"/>
        </w:rPr>
        <w:t>, ff. 2 apartados b) y d), VP.</w:t>
      </w:r>
    </w:p>
    <w:p w:rsidR="00BB71B4" w:rsidRPr="00BB71B4" w:rsidRDefault="00BB71B4" w:rsidP="00BB71B4">
      <w:pPr>
        <w:pStyle w:val="TextoNormalSangraFrancesa"/>
        <w:rPr>
          <w:rStyle w:val="TextoNormalCaracter"/>
        </w:rPr>
      </w:pPr>
      <w:bookmarkStart w:id="1706" w:name="DESCRIPTORALFABETICO623"/>
      <w:r w:rsidRPr="00BB71B4">
        <w:rPr>
          <w:rStyle w:val="TextoNormalNegritaCaracter"/>
        </w:rPr>
        <w:t>Sistema de la Seguridad Social</w:t>
      </w:r>
      <w:bookmarkEnd w:id="1706"/>
      <w:r w:rsidRPr="00BB71B4">
        <w:rPr>
          <w:rStyle w:val="TextoNormalCaracter"/>
        </w:rPr>
        <w:t xml:space="preserve">, Sentencias </w:t>
      </w:r>
      <w:hyperlink w:anchor="SENTENCIA_2015_49" w:history="1">
        <w:r w:rsidRPr="00BB71B4">
          <w:rPr>
            <w:rStyle w:val="TextoNormalCaracter"/>
          </w:rPr>
          <w:t>49/2015</w:t>
        </w:r>
      </w:hyperlink>
      <w:r w:rsidRPr="00BB71B4">
        <w:rPr>
          <w:rStyle w:val="TextoNormalCaracter"/>
        </w:rPr>
        <w:t xml:space="preserve">, ff. 2, 3, 5, VP; </w:t>
      </w:r>
      <w:hyperlink w:anchor="SENTENCIA_2015_95" w:history="1">
        <w:r w:rsidRPr="00BB71B4">
          <w:rPr>
            <w:rStyle w:val="TextoNormalCaracter"/>
          </w:rPr>
          <w:t>95/2015</w:t>
        </w:r>
      </w:hyperlink>
      <w:r w:rsidRPr="00BB71B4">
        <w:rPr>
          <w:rStyle w:val="TextoNormalCaracter"/>
        </w:rPr>
        <w:t xml:space="preserve">, f. 4; </w:t>
      </w:r>
      <w:hyperlink w:anchor="SENTENCIA_2015_109" w:history="1">
        <w:r w:rsidRPr="00BB71B4">
          <w:rPr>
            <w:rStyle w:val="TextoNormalCaracter"/>
          </w:rPr>
          <w:t>109/2015</w:t>
        </w:r>
      </w:hyperlink>
      <w:r w:rsidRPr="00BB71B4">
        <w:rPr>
          <w:rStyle w:val="TextoNormalCaracter"/>
        </w:rPr>
        <w:t xml:space="preserve">, f. 2; </w:t>
      </w:r>
      <w:hyperlink w:anchor="SENTENCIA_2015_116" w:history="1">
        <w:r w:rsidRPr="00BB71B4">
          <w:rPr>
            <w:rStyle w:val="TextoNormalCaracter"/>
          </w:rPr>
          <w:t>116/2015</w:t>
        </w:r>
      </w:hyperlink>
      <w:r w:rsidRPr="00BB71B4">
        <w:rPr>
          <w:rStyle w:val="TextoNormalCaracter"/>
        </w:rPr>
        <w:t xml:space="preserve">, ff. 1, 2; </w:t>
      </w:r>
      <w:hyperlink w:anchor="SENTENCIA_2015_117" w:history="1">
        <w:r w:rsidRPr="00BB71B4">
          <w:rPr>
            <w:rStyle w:val="TextoNormalCaracter"/>
          </w:rPr>
          <w:t>117/2015</w:t>
        </w:r>
      </w:hyperlink>
      <w:r w:rsidRPr="00BB71B4">
        <w:rPr>
          <w:rStyle w:val="TextoNormalCaracter"/>
        </w:rPr>
        <w:t xml:space="preserve">, ff. 1, 2; </w:t>
      </w:r>
      <w:hyperlink w:anchor="SENTENCIA_2015_118" w:history="1">
        <w:r w:rsidRPr="00BB71B4">
          <w:rPr>
            <w:rStyle w:val="TextoNormalCaracter"/>
          </w:rPr>
          <w:t>118/2015</w:t>
        </w:r>
      </w:hyperlink>
      <w:r w:rsidRPr="00BB71B4">
        <w:rPr>
          <w:rStyle w:val="TextoNormalCaracter"/>
        </w:rPr>
        <w:t xml:space="preserve">, ff. 1, 2; </w:t>
      </w:r>
      <w:hyperlink w:anchor="SENTENCIA_2015_119" w:history="1">
        <w:r w:rsidRPr="00BB71B4">
          <w:rPr>
            <w:rStyle w:val="TextoNormalCaracter"/>
          </w:rPr>
          <w:t>119/2015</w:t>
        </w:r>
      </w:hyperlink>
      <w:r w:rsidRPr="00BB71B4">
        <w:rPr>
          <w:rStyle w:val="TextoNormalCaracter"/>
        </w:rPr>
        <w:t xml:space="preserve">, f. 2; </w:t>
      </w:r>
      <w:hyperlink w:anchor="SENTENCIA_2015_120" w:history="1">
        <w:r w:rsidRPr="00BB71B4">
          <w:rPr>
            <w:rStyle w:val="TextoNormalCaracter"/>
          </w:rPr>
          <w:t>120/2015</w:t>
        </w:r>
      </w:hyperlink>
      <w:r w:rsidRPr="00BB71B4">
        <w:rPr>
          <w:rStyle w:val="TextoNormalCaracter"/>
        </w:rPr>
        <w:t xml:space="preserve">, f. 2; </w:t>
      </w:r>
      <w:hyperlink w:anchor="SENTENCIA_2015_121" w:history="1">
        <w:r w:rsidRPr="00BB71B4">
          <w:rPr>
            <w:rStyle w:val="TextoNormalCaracter"/>
          </w:rPr>
          <w:t>121/2015</w:t>
        </w:r>
      </w:hyperlink>
      <w:r w:rsidRPr="00BB71B4">
        <w:rPr>
          <w:rStyle w:val="TextoNormalCaracter"/>
        </w:rPr>
        <w:t xml:space="preserve">, f. 2; </w:t>
      </w:r>
      <w:hyperlink w:anchor="SENTENCIA_2015_122" w:history="1">
        <w:r w:rsidRPr="00BB71B4">
          <w:rPr>
            <w:rStyle w:val="TextoNormalCaracter"/>
          </w:rPr>
          <w:t>122/2015</w:t>
        </w:r>
      </w:hyperlink>
      <w:r w:rsidRPr="00BB71B4">
        <w:rPr>
          <w:rStyle w:val="TextoNormalCaracter"/>
        </w:rPr>
        <w:t xml:space="preserve">, f. 2; </w:t>
      </w:r>
      <w:hyperlink w:anchor="SENTENCIA_2015_123" w:history="1">
        <w:r w:rsidRPr="00BB71B4">
          <w:rPr>
            <w:rStyle w:val="TextoNormalCaracter"/>
          </w:rPr>
          <w:t>123/2015</w:t>
        </w:r>
      </w:hyperlink>
      <w:r w:rsidRPr="00BB71B4">
        <w:rPr>
          <w:rStyle w:val="TextoNormalCaracter"/>
        </w:rPr>
        <w:t xml:space="preserve">, f. 2; </w:t>
      </w:r>
      <w:hyperlink w:anchor="SENTENCIA_2015_125" w:history="1">
        <w:r w:rsidRPr="00BB71B4">
          <w:rPr>
            <w:rStyle w:val="TextoNormalCaracter"/>
          </w:rPr>
          <w:t>125/2015</w:t>
        </w:r>
      </w:hyperlink>
      <w:r w:rsidRPr="00BB71B4">
        <w:rPr>
          <w:rStyle w:val="TextoNormalCaracter"/>
        </w:rPr>
        <w:t xml:space="preserve">, f. 2; </w:t>
      </w:r>
      <w:hyperlink w:anchor="SENTENCIA_2015_126" w:history="1">
        <w:r w:rsidRPr="00BB71B4">
          <w:rPr>
            <w:rStyle w:val="TextoNormalCaracter"/>
          </w:rPr>
          <w:t>126/2015</w:t>
        </w:r>
      </w:hyperlink>
      <w:r w:rsidRPr="00BB71B4">
        <w:rPr>
          <w:rStyle w:val="TextoNormalCaracter"/>
        </w:rPr>
        <w:t xml:space="preserve">, f. 2; </w:t>
      </w:r>
      <w:hyperlink w:anchor="SENTENCIA_2015_127" w:history="1">
        <w:r w:rsidRPr="00BB71B4">
          <w:rPr>
            <w:rStyle w:val="TextoNormalCaracter"/>
          </w:rPr>
          <w:t>127/2015</w:t>
        </w:r>
      </w:hyperlink>
      <w:r w:rsidRPr="00BB71B4">
        <w:rPr>
          <w:rStyle w:val="TextoNormalCaracter"/>
        </w:rPr>
        <w:t xml:space="preserve">, f. 2; </w:t>
      </w:r>
      <w:hyperlink w:anchor="SENTENCIA_2015_128" w:history="1">
        <w:r w:rsidRPr="00BB71B4">
          <w:rPr>
            <w:rStyle w:val="TextoNormalCaracter"/>
          </w:rPr>
          <w:t>128/2015</w:t>
        </w:r>
      </w:hyperlink>
      <w:r w:rsidRPr="00BB71B4">
        <w:rPr>
          <w:rStyle w:val="TextoNormalCaracter"/>
        </w:rPr>
        <w:t xml:space="preserve">, f. 2; </w:t>
      </w:r>
      <w:hyperlink w:anchor="SENTENCIA_2015_129" w:history="1">
        <w:r w:rsidRPr="00BB71B4">
          <w:rPr>
            <w:rStyle w:val="TextoNormalCaracter"/>
          </w:rPr>
          <w:t>129/2015</w:t>
        </w:r>
      </w:hyperlink>
      <w:r w:rsidRPr="00BB71B4">
        <w:rPr>
          <w:rStyle w:val="TextoNormalCaracter"/>
        </w:rPr>
        <w:t xml:space="preserve">, f. 2; </w:t>
      </w:r>
      <w:hyperlink w:anchor="SENTENCIA_2015_130" w:history="1">
        <w:r w:rsidRPr="00BB71B4">
          <w:rPr>
            <w:rStyle w:val="TextoNormalCaracter"/>
          </w:rPr>
          <w:t>130/2015</w:t>
        </w:r>
      </w:hyperlink>
      <w:r w:rsidRPr="00BB71B4">
        <w:rPr>
          <w:rStyle w:val="TextoNormalCaracter"/>
        </w:rPr>
        <w:t xml:space="preserve">, f. 2; </w:t>
      </w:r>
      <w:hyperlink w:anchor="SENTENCIA_2015_131" w:history="1">
        <w:r w:rsidRPr="00BB71B4">
          <w:rPr>
            <w:rStyle w:val="TextoNormalCaracter"/>
          </w:rPr>
          <w:t>131/2015</w:t>
        </w:r>
      </w:hyperlink>
      <w:r w:rsidRPr="00BB71B4">
        <w:rPr>
          <w:rStyle w:val="TextoNormalCaracter"/>
        </w:rPr>
        <w:t xml:space="preserve">, f. 2; </w:t>
      </w:r>
      <w:hyperlink w:anchor="SENTENCIA_2015_132" w:history="1">
        <w:r w:rsidRPr="00BB71B4">
          <w:rPr>
            <w:rStyle w:val="TextoNormalCaracter"/>
          </w:rPr>
          <w:t>132/2015</w:t>
        </w:r>
      </w:hyperlink>
      <w:r w:rsidRPr="00BB71B4">
        <w:rPr>
          <w:rStyle w:val="TextoNormalCaracter"/>
        </w:rPr>
        <w:t xml:space="preserve">, f. 2; </w:t>
      </w:r>
      <w:hyperlink w:anchor="SENTENCIA_2015_133" w:history="1">
        <w:r w:rsidRPr="00BB71B4">
          <w:rPr>
            <w:rStyle w:val="TextoNormalCaracter"/>
          </w:rPr>
          <w:t>133/2015</w:t>
        </w:r>
      </w:hyperlink>
      <w:r w:rsidRPr="00BB71B4">
        <w:rPr>
          <w:rStyle w:val="TextoNormalCaracter"/>
        </w:rPr>
        <w:t xml:space="preserve">, f. 2; </w:t>
      </w:r>
      <w:hyperlink w:anchor="SENTENCIA_2015_134" w:history="1">
        <w:r w:rsidRPr="00BB71B4">
          <w:rPr>
            <w:rStyle w:val="TextoNormalCaracter"/>
          </w:rPr>
          <w:t>134/2015</w:t>
        </w:r>
      </w:hyperlink>
      <w:r w:rsidRPr="00BB71B4">
        <w:rPr>
          <w:rStyle w:val="TextoNormalCaracter"/>
        </w:rPr>
        <w:t xml:space="preserve">, f. 2; </w:t>
      </w:r>
      <w:hyperlink w:anchor="SENTENCIA_2015_135" w:history="1">
        <w:r w:rsidRPr="00BB71B4">
          <w:rPr>
            <w:rStyle w:val="TextoNormalCaracter"/>
          </w:rPr>
          <w:t>135/2015</w:t>
        </w:r>
      </w:hyperlink>
      <w:r w:rsidRPr="00BB71B4">
        <w:rPr>
          <w:rStyle w:val="TextoNormalCaracter"/>
        </w:rPr>
        <w:t xml:space="preserve">, f. 2; </w:t>
      </w:r>
      <w:hyperlink w:anchor="SENTENCIA_2015_144" w:history="1">
        <w:r w:rsidRPr="00BB71B4">
          <w:rPr>
            <w:rStyle w:val="TextoNormalCaracter"/>
          </w:rPr>
          <w:t>144/2015</w:t>
        </w:r>
      </w:hyperlink>
      <w:r w:rsidRPr="00BB71B4">
        <w:rPr>
          <w:rStyle w:val="TextoNormalCaracter"/>
        </w:rPr>
        <w:t>, f. 2.</w:t>
      </w:r>
    </w:p>
    <w:p w:rsidR="00BB71B4" w:rsidRPr="00BB71B4" w:rsidRDefault="00BB71B4" w:rsidP="00BB71B4">
      <w:pPr>
        <w:pStyle w:val="TextoNormalSangraFrancesa"/>
        <w:rPr>
          <w:rStyle w:val="TextoNormalCaracter"/>
        </w:rPr>
      </w:pPr>
      <w:bookmarkStart w:id="1707" w:name="DESCRIPTORALFABETICO100"/>
      <w:r w:rsidRPr="00BB71B4">
        <w:rPr>
          <w:rStyle w:val="TextoNormalNegritaCaracter"/>
        </w:rPr>
        <w:t>Sistema electoral</w:t>
      </w:r>
      <w:bookmarkEnd w:id="1707"/>
      <w:r w:rsidRPr="00BB71B4">
        <w:rPr>
          <w:rStyle w:val="TextoNormalCaracter"/>
        </w:rPr>
        <w:t xml:space="preserve">, Sentencia </w:t>
      </w:r>
      <w:hyperlink w:anchor="SENTENCIA_2015_15" w:history="1">
        <w:r w:rsidRPr="00BB71B4">
          <w:rPr>
            <w:rStyle w:val="TextoNormalCaracter"/>
          </w:rPr>
          <w:t>15/2015</w:t>
        </w:r>
      </w:hyperlink>
      <w:r w:rsidRPr="00BB71B4">
        <w:rPr>
          <w:rStyle w:val="TextoNormalCaracter"/>
        </w:rPr>
        <w:t>, ff. 2, 6 a 8.</w:t>
      </w:r>
    </w:p>
    <w:p w:rsidR="00BB71B4" w:rsidRPr="00BB71B4" w:rsidRDefault="00BB71B4" w:rsidP="00BB71B4">
      <w:pPr>
        <w:pStyle w:val="TextoNormalSangraFrancesa"/>
        <w:rPr>
          <w:rStyle w:val="TextoNormalCaracter"/>
        </w:rPr>
      </w:pPr>
      <w:bookmarkStart w:id="1708" w:name="DESCRIPTORALFABETICO64"/>
      <w:r w:rsidRPr="00BB71B4">
        <w:rPr>
          <w:rStyle w:val="TextoNormalNegritaCaracter"/>
        </w:rPr>
        <w:t>Sistema financiero</w:t>
      </w:r>
      <w:bookmarkEnd w:id="1708"/>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16 a 18.</w:t>
      </w:r>
    </w:p>
    <w:p w:rsidR="00BB71B4" w:rsidRPr="00BB71B4" w:rsidRDefault="00BB71B4" w:rsidP="00BB71B4">
      <w:pPr>
        <w:pStyle w:val="TextoNormalSangraFrancesa"/>
        <w:rPr>
          <w:rStyle w:val="TextoNormalCaracter"/>
        </w:rPr>
      </w:pPr>
      <w:bookmarkStart w:id="1709" w:name="DESCRIPTORALFABETICO536"/>
      <w:r w:rsidRPr="00BB71B4">
        <w:rPr>
          <w:rStyle w:val="TextoNormalNegritaCaracter"/>
        </w:rPr>
        <w:t>Situación de extraordinaria y urgente necesidad</w:t>
      </w:r>
      <w:bookmarkEnd w:id="1709"/>
      <w:r w:rsidRPr="00BB71B4">
        <w:rPr>
          <w:rStyle w:val="TextoNormalCaracter"/>
        </w:rPr>
        <w:t xml:space="preserve">, Sentencias </w:t>
      </w:r>
      <w:hyperlink w:anchor="SENTENCIA_2015_12" w:history="1">
        <w:r w:rsidRPr="00BB71B4">
          <w:rPr>
            <w:rStyle w:val="TextoNormalCaracter"/>
          </w:rPr>
          <w:t>12/2015</w:t>
        </w:r>
      </w:hyperlink>
      <w:r w:rsidRPr="00BB71B4">
        <w:rPr>
          <w:rStyle w:val="TextoNormalCaracter"/>
        </w:rPr>
        <w:t xml:space="preserve">, ff. 1, 3 a 6, VP I, VP II; </w:t>
      </w:r>
      <w:hyperlink w:anchor="SENTENCIA_2015_27" w:history="1">
        <w:r w:rsidRPr="00BB71B4">
          <w:rPr>
            <w:rStyle w:val="TextoNormalCaracter"/>
          </w:rPr>
          <w:t>27/2015</w:t>
        </w:r>
      </w:hyperlink>
      <w:r w:rsidRPr="00BB71B4">
        <w:rPr>
          <w:rStyle w:val="TextoNormalCaracter"/>
        </w:rPr>
        <w:t xml:space="preserve">, ff. 3 a 7; </w:t>
      </w:r>
      <w:hyperlink w:anchor="SENTENCIA_2015_28" w:history="1">
        <w:r w:rsidRPr="00BB71B4">
          <w:rPr>
            <w:rStyle w:val="TextoNormalCaracter"/>
          </w:rPr>
          <w:t>28/2015</w:t>
        </w:r>
      </w:hyperlink>
      <w:r w:rsidRPr="00BB71B4">
        <w:rPr>
          <w:rStyle w:val="TextoNormalCaracter"/>
        </w:rPr>
        <w:t xml:space="preserve">, f. 3; </w:t>
      </w:r>
      <w:hyperlink w:anchor="SENTENCIA_2015_29" w:history="1">
        <w:r w:rsidRPr="00BB71B4">
          <w:rPr>
            <w:rStyle w:val="TextoNormalCaracter"/>
          </w:rPr>
          <w:t>29/2015</w:t>
        </w:r>
      </w:hyperlink>
      <w:r w:rsidRPr="00BB71B4">
        <w:rPr>
          <w:rStyle w:val="TextoNormalCaracter"/>
        </w:rPr>
        <w:t xml:space="preserve">, ff. 3, 5; </w:t>
      </w:r>
      <w:hyperlink w:anchor="SENTENCIA_2015_47" w:history="1">
        <w:r w:rsidRPr="00BB71B4">
          <w:rPr>
            <w:rStyle w:val="TextoNormalCaracter"/>
          </w:rPr>
          <w:t>47/2015</w:t>
        </w:r>
      </w:hyperlink>
      <w:r w:rsidRPr="00BB71B4">
        <w:rPr>
          <w:rStyle w:val="TextoNormalCaracter"/>
        </w:rPr>
        <w:t xml:space="preserve">, ff. 3, 5; </w:t>
      </w:r>
      <w:hyperlink w:anchor="SENTENCIA_2015_48" w:history="1">
        <w:r w:rsidRPr="00BB71B4">
          <w:rPr>
            <w:rStyle w:val="TextoNormalCaracter"/>
          </w:rPr>
          <w:t>48/2015</w:t>
        </w:r>
      </w:hyperlink>
      <w:r w:rsidRPr="00BB71B4">
        <w:rPr>
          <w:rStyle w:val="TextoNormalCaracter"/>
        </w:rPr>
        <w:t xml:space="preserve">, ff. 3 a 5; </w:t>
      </w:r>
      <w:hyperlink w:anchor="SENTENCIA_2015_93" w:history="1">
        <w:r w:rsidRPr="00BB71B4">
          <w:rPr>
            <w:rStyle w:val="TextoNormalCaracter"/>
          </w:rPr>
          <w:t>93/2015</w:t>
        </w:r>
      </w:hyperlink>
      <w:r w:rsidRPr="00BB71B4">
        <w:rPr>
          <w:rStyle w:val="TextoNormalCaracter"/>
        </w:rPr>
        <w:t xml:space="preserve">, ff. 5 a 9, 11; </w:t>
      </w:r>
      <w:hyperlink w:anchor="SENTENCIA_2015_95" w:history="1">
        <w:r w:rsidRPr="00BB71B4">
          <w:rPr>
            <w:rStyle w:val="TextoNormalCaracter"/>
          </w:rPr>
          <w:t>95/2015</w:t>
        </w:r>
      </w:hyperlink>
      <w:r w:rsidRPr="00BB71B4">
        <w:rPr>
          <w:rStyle w:val="TextoNormalCaracter"/>
        </w:rPr>
        <w:t xml:space="preserve">, ff. 3, 4; </w:t>
      </w:r>
      <w:hyperlink w:anchor="SENTENCIA_2015_105" w:history="1">
        <w:r w:rsidRPr="00BB71B4">
          <w:rPr>
            <w:rStyle w:val="TextoNormalCaracter"/>
          </w:rPr>
          <w:t>105/2015</w:t>
        </w:r>
      </w:hyperlink>
      <w:r w:rsidRPr="00BB71B4">
        <w:rPr>
          <w:rStyle w:val="TextoNormalCaracter"/>
        </w:rPr>
        <w:t xml:space="preserve">, f. 3; </w:t>
      </w:r>
      <w:hyperlink w:anchor="SENTENCIA_2015_106" w:history="1">
        <w:r w:rsidRPr="00BB71B4">
          <w:rPr>
            <w:rStyle w:val="TextoNormalCaracter"/>
          </w:rPr>
          <w:t>106/2015</w:t>
        </w:r>
      </w:hyperlink>
      <w:r w:rsidRPr="00BB71B4">
        <w:rPr>
          <w:rStyle w:val="TextoNormalCaracter"/>
        </w:rPr>
        <w:t>, f. 3.</w:t>
      </w:r>
    </w:p>
    <w:p w:rsidR="00BB71B4" w:rsidRPr="00BB71B4" w:rsidRDefault="00BB71B4" w:rsidP="00BB71B4">
      <w:pPr>
        <w:pStyle w:val="TextoNormalSangraFrancesa"/>
        <w:rPr>
          <w:rStyle w:val="TextoNormalCaracter"/>
        </w:rPr>
      </w:pPr>
      <w:bookmarkStart w:id="1710" w:name="DESCRIPTORALFABETICO484"/>
      <w:r w:rsidRPr="00BB71B4">
        <w:rPr>
          <w:rStyle w:val="TextoNormalNegritaCaracter"/>
        </w:rPr>
        <w:t>Sociedad de gananciales</w:t>
      </w:r>
      <w:bookmarkEnd w:id="1710"/>
      <w:r w:rsidRPr="00BB71B4">
        <w:rPr>
          <w:rStyle w:val="TextoNormalCaracter"/>
        </w:rPr>
        <w:t xml:space="preserve">, Sentencia </w:t>
      </w:r>
      <w:hyperlink w:anchor="SENTENCIA_2015_101" w:history="1">
        <w:r w:rsidRPr="00BB71B4">
          <w:rPr>
            <w:rStyle w:val="TextoNormalCaracter"/>
          </w:rPr>
          <w:t>101/2015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11" w:name="DESCRIPTORALFABETICO581"/>
      <w:r w:rsidRPr="00BB71B4">
        <w:rPr>
          <w:rStyle w:val="TextoNormalNegritaCaracter"/>
        </w:rPr>
        <w:t>Sociedades de economía mixta</w:t>
      </w:r>
      <w:bookmarkEnd w:id="1711"/>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2 c), 5 a), 7, 10.</w:t>
      </w:r>
    </w:p>
    <w:p w:rsidR="00BB71B4" w:rsidRPr="00BB71B4" w:rsidRDefault="00BB71B4" w:rsidP="00BB71B4">
      <w:pPr>
        <w:pStyle w:val="TextoNormalSangraFrancesa"/>
        <w:rPr>
          <w:rStyle w:val="TextoNormalCaracter"/>
        </w:rPr>
      </w:pPr>
      <w:bookmarkStart w:id="1712" w:name="DESCRIPTORALFABETICO580"/>
      <w:r w:rsidRPr="00BB71B4">
        <w:rPr>
          <w:rStyle w:val="TextoNormalNegritaCaracter"/>
        </w:rPr>
        <w:t>Sociedades mercantiles</w:t>
      </w:r>
      <w:bookmarkEnd w:id="1712"/>
      <w:r w:rsidRPr="00BB71B4">
        <w:rPr>
          <w:rStyle w:val="TextoNormalCaracter"/>
        </w:rPr>
        <w:t xml:space="preserve">, Sentencia </w:t>
      </w:r>
      <w:hyperlink w:anchor="SENTENCIA_2015_103" w:history="1">
        <w:r w:rsidRPr="00BB71B4">
          <w:rPr>
            <w:rStyle w:val="TextoNormalCaracter"/>
          </w:rPr>
          <w:t>103/2015</w:t>
        </w:r>
      </w:hyperlink>
      <w:r w:rsidRPr="00BB71B4">
        <w:rPr>
          <w:rStyle w:val="TextoNormalCaracter"/>
        </w:rPr>
        <w:t>, ff. 2, 4, 5.</w:t>
      </w:r>
    </w:p>
    <w:p w:rsidR="00BB71B4" w:rsidRPr="00BB71B4" w:rsidRDefault="00BB71B4" w:rsidP="00BB71B4">
      <w:pPr>
        <w:pStyle w:val="TextoNormalSangraFrancesa"/>
        <w:rPr>
          <w:rStyle w:val="TextoNormalCaracter"/>
        </w:rPr>
      </w:pPr>
      <w:bookmarkStart w:id="1713" w:name="DESCRIPTORALFABETICO328"/>
      <w:r w:rsidRPr="00BB71B4">
        <w:rPr>
          <w:rStyle w:val="TextoNormalNegritaCaracter"/>
        </w:rPr>
        <w:t>Sociedades mercantiles autonómicas</w:t>
      </w:r>
      <w:bookmarkEnd w:id="1713"/>
      <w:r w:rsidRPr="00BB71B4">
        <w:rPr>
          <w:rStyle w:val="TextoNormalCaracter"/>
        </w:rPr>
        <w:t xml:space="preserve">, Sentencia </w:t>
      </w:r>
      <w:hyperlink w:anchor="SENTENCIA_2015_143" w:history="1">
        <w:r w:rsidRPr="00BB71B4">
          <w:rPr>
            <w:rStyle w:val="TextoNormalCaracter"/>
          </w:rPr>
          <w:t>143/2015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714" w:name="DESCRIPTORALFABETICO89"/>
      <w:r w:rsidRPr="00BB71B4">
        <w:rPr>
          <w:rStyle w:val="TextoNormalNegritaCaracter"/>
        </w:rPr>
        <w:t>Solapamiento de tributos locales y autonómicos</w:t>
      </w:r>
      <w:bookmarkEnd w:id="1714"/>
      <w:r w:rsidRPr="00BB71B4">
        <w:rPr>
          <w:rStyle w:val="TextoNormalCaracter"/>
        </w:rPr>
        <w:t xml:space="preserve">, Sentencia </w:t>
      </w:r>
      <w:hyperlink w:anchor="SENTENCIA_2015_22" w:history="1">
        <w:r w:rsidRPr="00BB71B4">
          <w:rPr>
            <w:rStyle w:val="TextoNormalCaracter"/>
          </w:rPr>
          <w:t>22/2015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715" w:name="DESCRIPTORALFABETICO696"/>
      <w:r w:rsidRPr="00BB71B4">
        <w:rPr>
          <w:rStyle w:val="TextoNormalNegritaCaracter"/>
        </w:rPr>
        <w:t>Solicitud de justicia gratuita en segunda instancia</w:t>
      </w:r>
      <w:bookmarkEnd w:id="1715"/>
      <w:r w:rsidRPr="00BB71B4">
        <w:rPr>
          <w:rStyle w:val="TextoNormalCaracter"/>
        </w:rPr>
        <w:t xml:space="preserve">, Sentencias </w:t>
      </w:r>
      <w:hyperlink w:anchor="SENTENCIA_2015_90" w:history="1">
        <w:r w:rsidRPr="00BB71B4">
          <w:rPr>
            <w:rStyle w:val="TextoNormalCaracter"/>
          </w:rPr>
          <w:t>90/2015</w:t>
        </w:r>
      </w:hyperlink>
      <w:r w:rsidRPr="00BB71B4">
        <w:rPr>
          <w:rStyle w:val="TextoNormalCaracter"/>
        </w:rPr>
        <w:t xml:space="preserve">, ff. 2 a 4; </w:t>
      </w:r>
      <w:hyperlink w:anchor="SENTENCIA_2015_124" w:history="1">
        <w:r w:rsidRPr="00BB71B4">
          <w:rPr>
            <w:rStyle w:val="TextoNormalCaracter"/>
          </w:rPr>
          <w:t>124/2015</w:t>
        </w:r>
      </w:hyperlink>
      <w:r w:rsidRPr="00BB71B4">
        <w:rPr>
          <w:rStyle w:val="TextoNormalCaracter"/>
        </w:rPr>
        <w:t>, f. 4.</w:t>
      </w:r>
    </w:p>
    <w:p w:rsidR="00BB71B4" w:rsidRPr="00BB71B4" w:rsidRDefault="00BB71B4" w:rsidP="00BB71B4">
      <w:pPr>
        <w:pStyle w:val="TextoNormalSangraFrancesa"/>
        <w:rPr>
          <w:rStyle w:val="TextoNormalCaracter"/>
        </w:rPr>
      </w:pPr>
      <w:bookmarkStart w:id="1716" w:name="DESCRIPTORALFABETICO444"/>
      <w:r w:rsidRPr="00BB71B4">
        <w:rPr>
          <w:rStyle w:val="TextoNormalNegritaCaracter"/>
        </w:rPr>
        <w:t>Solvencia patrimonial de las entidades de crédito</w:t>
      </w:r>
      <w:bookmarkEnd w:id="1716"/>
      <w:r w:rsidRPr="00BB71B4">
        <w:rPr>
          <w:rStyle w:val="TextoNormalCaracter"/>
        </w:rPr>
        <w:t xml:space="preserve">, Sentencia </w:t>
      </w:r>
      <w:hyperlink w:anchor="SENTENCIA_2015_47" w:history="1">
        <w:r w:rsidRPr="00BB71B4">
          <w:rPr>
            <w:rStyle w:val="TextoNormalCaracter"/>
          </w:rPr>
          <w:t>47/2015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17" w:name="DESCRIPTORALFABETICO664"/>
      <w:r w:rsidRPr="00BB71B4">
        <w:rPr>
          <w:rStyle w:val="TextoNormalNegritaCaracter"/>
        </w:rPr>
        <w:t>Subsanación de defectos procesales</w:t>
      </w:r>
      <w:bookmarkEnd w:id="1717"/>
      <w:r w:rsidRPr="00BB71B4">
        <w:rPr>
          <w:rStyle w:val="TextoNormalCaracter"/>
        </w:rPr>
        <w:t xml:space="preserve">, Sentencias </w:t>
      </w:r>
      <w:hyperlink w:anchor="SENTENCIA_2015_7" w:history="1">
        <w:r w:rsidRPr="00BB71B4">
          <w:rPr>
            <w:rStyle w:val="TextoNormalCaracter"/>
          </w:rPr>
          <w:t>7/2015</w:t>
        </w:r>
      </w:hyperlink>
      <w:r w:rsidRPr="00BB71B4">
        <w:rPr>
          <w:rStyle w:val="TextoNormalCaracter"/>
        </w:rPr>
        <w:t xml:space="preserve">, VP; </w:t>
      </w:r>
      <w:hyperlink w:anchor="SENTENCIA_2015_16" w:history="1">
        <w:r w:rsidRPr="00BB71B4">
          <w:rPr>
            <w:rStyle w:val="TextoNormalCaracter"/>
          </w:rPr>
          <w:t>16/2015</w:t>
        </w:r>
      </w:hyperlink>
      <w:r w:rsidRPr="00BB71B4">
        <w:rPr>
          <w:rStyle w:val="TextoNormalCaracter"/>
        </w:rPr>
        <w:t xml:space="preserve">, f. 2; </w:t>
      </w:r>
      <w:hyperlink w:anchor="SENTENCIA_2015_17" w:history="1">
        <w:r w:rsidRPr="00BB71B4">
          <w:rPr>
            <w:rStyle w:val="TextoNormalCaracter"/>
          </w:rPr>
          <w:t>17/2015</w:t>
        </w:r>
      </w:hyperlink>
      <w:r w:rsidRPr="00BB71B4">
        <w:rPr>
          <w:rStyle w:val="TextoNormalCaracter"/>
        </w:rPr>
        <w:t xml:space="preserve">, f. 2; </w:t>
      </w:r>
      <w:hyperlink w:anchor="SENTENCIA_2015_20" w:history="1">
        <w:r w:rsidRPr="00BB71B4">
          <w:rPr>
            <w:rStyle w:val="TextoNormalCaracter"/>
          </w:rPr>
          <w:t>20/2015</w:t>
        </w:r>
      </w:hyperlink>
      <w:r w:rsidRPr="00BB71B4">
        <w:rPr>
          <w:rStyle w:val="TextoNormalCaracter"/>
        </w:rPr>
        <w:t xml:space="preserve">, f. 2; </w:t>
      </w:r>
      <w:hyperlink w:anchor="SENTENCIA_2015_34" w:history="1">
        <w:r w:rsidRPr="00BB71B4">
          <w:rPr>
            <w:rStyle w:val="TextoNormalCaracter"/>
          </w:rPr>
          <w:t>34/2015</w:t>
        </w:r>
      </w:hyperlink>
      <w:r w:rsidRPr="00BB71B4">
        <w:rPr>
          <w:rStyle w:val="TextoNormalCaracter"/>
        </w:rPr>
        <w:t xml:space="preserve">, f. 2; </w:t>
      </w:r>
      <w:hyperlink w:anchor="SENTENCIA_2015_35" w:history="1">
        <w:r w:rsidRPr="00BB71B4">
          <w:rPr>
            <w:rStyle w:val="TextoNormalCaracter"/>
          </w:rPr>
          <w:t>35/2015</w:t>
        </w:r>
      </w:hyperlink>
      <w:r w:rsidRPr="00BB71B4">
        <w:rPr>
          <w:rStyle w:val="TextoNormalCaracter"/>
        </w:rPr>
        <w:t xml:space="preserve">, f. 2; </w:t>
      </w:r>
      <w:hyperlink w:anchor="SENTENCIA_2015_36" w:history="1">
        <w:r w:rsidRPr="00BB71B4">
          <w:rPr>
            <w:rStyle w:val="TextoNormalCaracter"/>
          </w:rPr>
          <w:t>36/2015</w:t>
        </w:r>
      </w:hyperlink>
      <w:r w:rsidRPr="00BB71B4">
        <w:rPr>
          <w:rStyle w:val="TextoNormalCaracter"/>
        </w:rPr>
        <w:t xml:space="preserve">, f. 2; </w:t>
      </w:r>
      <w:hyperlink w:anchor="SENTENCIA_2015_37" w:history="1">
        <w:r w:rsidRPr="00BB71B4">
          <w:rPr>
            <w:rStyle w:val="TextoNormalCaracter"/>
          </w:rPr>
          <w:t>37/2015</w:t>
        </w:r>
      </w:hyperlink>
      <w:r w:rsidRPr="00BB71B4">
        <w:rPr>
          <w:rStyle w:val="TextoNormalCaracter"/>
        </w:rPr>
        <w:t xml:space="preserve">, f. 2; </w:t>
      </w:r>
      <w:hyperlink w:anchor="SENTENCIA_2015_38" w:history="1">
        <w:r w:rsidRPr="00BB71B4">
          <w:rPr>
            <w:rStyle w:val="TextoNormalCaracter"/>
          </w:rPr>
          <w:t>38/2015</w:t>
        </w:r>
      </w:hyperlink>
      <w:r w:rsidRPr="00BB71B4">
        <w:rPr>
          <w:rStyle w:val="TextoNormalCaracter"/>
        </w:rPr>
        <w:t xml:space="preserve">, f. 2; </w:t>
      </w:r>
      <w:hyperlink w:anchor="SENTENCIA_2015_40" w:history="1">
        <w:r w:rsidRPr="00BB71B4">
          <w:rPr>
            <w:rStyle w:val="TextoNormalCaracter"/>
          </w:rPr>
          <w:t>40/2015</w:t>
        </w:r>
      </w:hyperlink>
      <w:r w:rsidRPr="00BB71B4">
        <w:rPr>
          <w:rStyle w:val="TextoNormalCaracter"/>
        </w:rPr>
        <w:t xml:space="preserve">, f. 2; </w:t>
      </w:r>
      <w:hyperlink w:anchor="SENTENCIA_2015_51" w:history="1">
        <w:r w:rsidRPr="00BB71B4">
          <w:rPr>
            <w:rStyle w:val="TextoNormalCaracter"/>
          </w:rPr>
          <w:t>51/2015</w:t>
        </w:r>
      </w:hyperlink>
      <w:r w:rsidRPr="00BB71B4">
        <w:rPr>
          <w:rStyle w:val="TextoNormalCaracter"/>
        </w:rPr>
        <w:t xml:space="preserve">, f. 2; </w:t>
      </w:r>
      <w:hyperlink w:anchor="SENTENCIA_2015_52" w:history="1">
        <w:r w:rsidRPr="00BB71B4">
          <w:rPr>
            <w:rStyle w:val="TextoNormalCaracter"/>
          </w:rPr>
          <w:t>52/2015</w:t>
        </w:r>
      </w:hyperlink>
      <w:r w:rsidRPr="00BB71B4">
        <w:rPr>
          <w:rStyle w:val="TextoNormalCaracter"/>
        </w:rPr>
        <w:t xml:space="preserve">, f. 2; </w:t>
      </w:r>
      <w:hyperlink w:anchor="SENTENCIA_2015_53" w:history="1">
        <w:r w:rsidRPr="00BB71B4">
          <w:rPr>
            <w:rStyle w:val="TextoNormalCaracter"/>
          </w:rPr>
          <w:t>53/2015</w:t>
        </w:r>
      </w:hyperlink>
      <w:r w:rsidRPr="00BB71B4">
        <w:rPr>
          <w:rStyle w:val="TextoNormalCaracter"/>
        </w:rPr>
        <w:t xml:space="preserve">, f. 2; </w:t>
      </w:r>
      <w:hyperlink w:anchor="SENTENCIA_2015_64" w:history="1">
        <w:r w:rsidRPr="00BB71B4">
          <w:rPr>
            <w:rStyle w:val="TextoNormalCaracter"/>
          </w:rPr>
          <w:t>64/2015</w:t>
        </w:r>
      </w:hyperlink>
      <w:r w:rsidRPr="00BB71B4">
        <w:rPr>
          <w:rStyle w:val="TextoNormalCaracter"/>
        </w:rPr>
        <w:t xml:space="preserve">, f. 2; </w:t>
      </w:r>
      <w:hyperlink w:anchor="SENTENCIA_2015_67" w:history="1">
        <w:r w:rsidRPr="00BB71B4">
          <w:rPr>
            <w:rStyle w:val="TextoNormalCaracter"/>
          </w:rPr>
          <w:t>67/2015</w:t>
        </w:r>
      </w:hyperlink>
      <w:r w:rsidRPr="00BB71B4">
        <w:rPr>
          <w:rStyle w:val="TextoNormalCaracter"/>
        </w:rPr>
        <w:t xml:space="preserve">, f. 2; </w:t>
      </w:r>
      <w:hyperlink w:anchor="SENTENCIA_2015_68" w:history="1">
        <w:r w:rsidRPr="00BB71B4">
          <w:rPr>
            <w:rStyle w:val="TextoNormalCaracter"/>
          </w:rPr>
          <w:t>68/2015</w:t>
        </w:r>
      </w:hyperlink>
      <w:r w:rsidRPr="00BB71B4">
        <w:rPr>
          <w:rStyle w:val="TextoNormalCaracter"/>
        </w:rPr>
        <w:t xml:space="preserve">, f. 2; </w:t>
      </w:r>
      <w:hyperlink w:anchor="SENTENCIA_2015_69" w:history="1">
        <w:r w:rsidRPr="00BB71B4">
          <w:rPr>
            <w:rStyle w:val="TextoNormalCaracter"/>
          </w:rPr>
          <w:t>69/2015</w:t>
        </w:r>
      </w:hyperlink>
      <w:r w:rsidRPr="00BB71B4">
        <w:rPr>
          <w:rStyle w:val="TextoNormalCaracter"/>
        </w:rPr>
        <w:t xml:space="preserve">, f. 2; </w:t>
      </w:r>
      <w:hyperlink w:anchor="SENTENCIA_2015_70" w:history="1">
        <w:r w:rsidRPr="00BB71B4">
          <w:rPr>
            <w:rStyle w:val="TextoNormalCaracter"/>
          </w:rPr>
          <w:t>70/2015</w:t>
        </w:r>
      </w:hyperlink>
      <w:r w:rsidRPr="00BB71B4">
        <w:rPr>
          <w:rStyle w:val="TextoNormalCaracter"/>
        </w:rPr>
        <w:t xml:space="preserve">, f. 2; </w:t>
      </w:r>
      <w:hyperlink w:anchor="SENTENCIA_2015_71" w:history="1">
        <w:r w:rsidRPr="00BB71B4">
          <w:rPr>
            <w:rStyle w:val="TextoNormalCaracter"/>
          </w:rPr>
          <w:t>71/2015</w:t>
        </w:r>
      </w:hyperlink>
      <w:r w:rsidRPr="00BB71B4">
        <w:rPr>
          <w:rStyle w:val="TextoNormalCaracter"/>
        </w:rPr>
        <w:t xml:space="preserve">, f. 2; </w:t>
      </w:r>
      <w:hyperlink w:anchor="SENTENCIA_2015_72" w:history="1">
        <w:r w:rsidRPr="00BB71B4">
          <w:rPr>
            <w:rStyle w:val="TextoNormalCaracter"/>
          </w:rPr>
          <w:t>72/2015</w:t>
        </w:r>
      </w:hyperlink>
      <w:r w:rsidRPr="00BB71B4">
        <w:rPr>
          <w:rStyle w:val="TextoNormalCaracter"/>
        </w:rPr>
        <w:t xml:space="preserve">, f. 2; </w:t>
      </w:r>
      <w:hyperlink w:anchor="SENTENCIA_2015_75" w:history="1">
        <w:r w:rsidRPr="00BB71B4">
          <w:rPr>
            <w:rStyle w:val="TextoNormalCaracter"/>
          </w:rPr>
          <w:t>75/2015</w:t>
        </w:r>
      </w:hyperlink>
      <w:r w:rsidRPr="00BB71B4">
        <w:rPr>
          <w:rStyle w:val="TextoNormalCaracter"/>
        </w:rPr>
        <w:t xml:space="preserve">, f. 2; </w:t>
      </w:r>
      <w:hyperlink w:anchor="SENTENCIA_2015_76" w:history="1">
        <w:r w:rsidRPr="00BB71B4">
          <w:rPr>
            <w:rStyle w:val="TextoNormalCaracter"/>
          </w:rPr>
          <w:t>76/2015</w:t>
        </w:r>
      </w:hyperlink>
      <w:r w:rsidRPr="00BB71B4">
        <w:rPr>
          <w:rStyle w:val="TextoNormalCaracter"/>
        </w:rPr>
        <w:t xml:space="preserve">, f. 2; </w:t>
      </w:r>
      <w:hyperlink w:anchor="SENTENCIA_2015_78" w:history="1">
        <w:r w:rsidRPr="00BB71B4">
          <w:rPr>
            <w:rStyle w:val="TextoNormalCaracter"/>
          </w:rPr>
          <w:t>78/2015</w:t>
        </w:r>
      </w:hyperlink>
      <w:r w:rsidRPr="00BB71B4">
        <w:rPr>
          <w:rStyle w:val="TextoNormalCaracter"/>
        </w:rPr>
        <w:t xml:space="preserve">, f. 2; </w:t>
      </w:r>
      <w:hyperlink w:anchor="SENTENCIA_2015_80" w:history="1">
        <w:r w:rsidRPr="00BB71B4">
          <w:rPr>
            <w:rStyle w:val="TextoNormalCaracter"/>
          </w:rPr>
          <w:t>80/2015</w:t>
        </w:r>
      </w:hyperlink>
      <w:r w:rsidRPr="00BB71B4">
        <w:rPr>
          <w:rStyle w:val="TextoNormalCaracter"/>
        </w:rPr>
        <w:t xml:space="preserve">, f. 2; </w:t>
      </w:r>
      <w:hyperlink w:anchor="SENTENCIA_2015_82" w:history="1">
        <w:r w:rsidRPr="00BB71B4">
          <w:rPr>
            <w:rStyle w:val="TextoNormalCaracter"/>
          </w:rPr>
          <w:t>82/2015</w:t>
        </w:r>
      </w:hyperlink>
      <w:r w:rsidRPr="00BB71B4">
        <w:rPr>
          <w:rStyle w:val="TextoNormalCaracter"/>
        </w:rPr>
        <w:t xml:space="preserve">, f. 2; </w:t>
      </w:r>
      <w:hyperlink w:anchor="SENTENCIA_2015_139" w:history="1">
        <w:r w:rsidRPr="00BB71B4">
          <w:rPr>
            <w:rStyle w:val="TextoNormalCaracter"/>
          </w:rPr>
          <w:t>139/2015</w:t>
        </w:r>
      </w:hyperlink>
      <w:r w:rsidRPr="00BB71B4">
        <w:rPr>
          <w:rStyle w:val="TextoNormalCaracter"/>
        </w:rPr>
        <w:t>, f. 2.</w:t>
      </w:r>
    </w:p>
    <w:p w:rsidR="00BB71B4" w:rsidRPr="00BB71B4" w:rsidRDefault="00BB71B4" w:rsidP="00BB71B4">
      <w:pPr>
        <w:pStyle w:val="TextoNormalSangraFrancesa"/>
        <w:rPr>
          <w:rStyle w:val="TextoNormalCaracter"/>
        </w:rPr>
      </w:pPr>
      <w:bookmarkStart w:id="1718" w:name="DESCRIPTORALFABETICO97"/>
      <w:r w:rsidRPr="00BB71B4">
        <w:rPr>
          <w:rStyle w:val="TextoNormalNegritaCaracter"/>
        </w:rPr>
        <w:t>Subsanación de irregularidades en las candidaturas electorales</w:t>
      </w:r>
      <w:bookmarkEnd w:id="1718"/>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1 a 5.</w:t>
      </w:r>
    </w:p>
    <w:p w:rsidR="00BB71B4" w:rsidRPr="00BB71B4" w:rsidRDefault="00BB71B4" w:rsidP="00BB71B4">
      <w:pPr>
        <w:pStyle w:val="TextoNormalSangraFrancesa"/>
        <w:rPr>
          <w:rStyle w:val="TextoNormalCaracter"/>
        </w:rPr>
      </w:pPr>
      <w:bookmarkStart w:id="1719" w:name="DESCRIPTORALFABETICO621"/>
      <w:r w:rsidRPr="00BB71B4">
        <w:rPr>
          <w:rStyle w:val="TextoNormalNegritaCaracter"/>
        </w:rPr>
        <w:t>Subsidio de desempleo</w:t>
      </w:r>
      <w:bookmarkEnd w:id="1719"/>
      <w:r w:rsidRPr="00BB71B4">
        <w:rPr>
          <w:rStyle w:val="TextoNormalCaracter"/>
        </w:rPr>
        <w:t xml:space="preserve">, Sentencias </w:t>
      </w:r>
      <w:hyperlink w:anchor="SENTENCIA_2015_27" w:history="1">
        <w:r w:rsidRPr="00BB71B4">
          <w:rPr>
            <w:rStyle w:val="TextoNormalCaracter"/>
          </w:rPr>
          <w:t>27/2015</w:t>
        </w:r>
      </w:hyperlink>
      <w:r w:rsidRPr="00BB71B4">
        <w:rPr>
          <w:rStyle w:val="TextoNormalCaracter"/>
        </w:rPr>
        <w:t xml:space="preserve">, ff. 4, 5; </w:t>
      </w:r>
      <w:hyperlink w:anchor="SENTENCIA_2015_66" w:history="1">
        <w:r w:rsidRPr="00BB71B4">
          <w:rPr>
            <w:rStyle w:val="TextoNormalCaracter"/>
          </w:rPr>
          <w:t>66/2015</w:t>
        </w:r>
      </w:hyperlink>
      <w:r w:rsidRPr="00BB71B4">
        <w:rPr>
          <w:rStyle w:val="TextoNormalCaracter"/>
        </w:rPr>
        <w:t>, f. 6.</w:t>
      </w:r>
    </w:p>
    <w:p w:rsidR="00BB71B4" w:rsidRPr="00BB71B4" w:rsidRDefault="00BB71B4" w:rsidP="00BB71B4">
      <w:pPr>
        <w:pStyle w:val="TextoNormalSangraFrancesa"/>
        <w:rPr>
          <w:rStyle w:val="TextoNormalCaracter"/>
        </w:rPr>
      </w:pPr>
      <w:bookmarkStart w:id="1720" w:name="DESCRIPTORALFABETICO622"/>
      <w:r w:rsidRPr="00BB71B4">
        <w:rPr>
          <w:rStyle w:val="TextoNormalNegritaCaracter"/>
        </w:rPr>
        <w:t>Subsidio de desempleo de mayores de cincuenta y cinco años</w:t>
      </w:r>
      <w:bookmarkEnd w:id="1720"/>
      <w:r w:rsidRPr="00BB71B4">
        <w:rPr>
          <w:rStyle w:val="TextoNormalCaracter"/>
        </w:rPr>
        <w:t xml:space="preserve">, Sentencia </w:t>
      </w:r>
      <w:hyperlink w:anchor="SENTENCIA_2015_66" w:history="1">
        <w:r w:rsidRPr="00BB71B4">
          <w:rPr>
            <w:rStyle w:val="TextoNormalCaracter"/>
          </w:rPr>
          <w:t>66/2015</w:t>
        </w:r>
      </w:hyperlink>
      <w:r w:rsidRPr="00BB71B4">
        <w:rPr>
          <w:rStyle w:val="TextoNormalCaracter"/>
        </w:rPr>
        <w:t>, f. 6.</w:t>
      </w:r>
    </w:p>
    <w:p w:rsidR="00BB71B4" w:rsidRPr="00BB71B4" w:rsidRDefault="00BB71B4" w:rsidP="00BB71B4">
      <w:pPr>
        <w:pStyle w:val="TextoNormalSangraFrancesa"/>
        <w:rPr>
          <w:rStyle w:val="TextoNormalCaracter"/>
        </w:rPr>
      </w:pPr>
      <w:bookmarkStart w:id="1721" w:name="DESCRIPTORALFABETICO674"/>
      <w:r w:rsidRPr="00BB71B4">
        <w:rPr>
          <w:rStyle w:val="TextoNormalNegritaCaracter"/>
        </w:rPr>
        <w:t>Subsunción de hechos probados</w:t>
      </w:r>
      <w:bookmarkEnd w:id="1721"/>
      <w:r w:rsidRPr="00BB71B4">
        <w:rPr>
          <w:rStyle w:val="TextoNormalCaracter"/>
        </w:rPr>
        <w:t xml:space="preserve">, Sentencias </w:t>
      </w:r>
      <w:hyperlink w:anchor="SENTENCIA_2015_2" w:history="1">
        <w:r w:rsidRPr="00BB71B4">
          <w:rPr>
            <w:rStyle w:val="TextoNormalCaracter"/>
          </w:rPr>
          <w:t>2/2015</w:t>
        </w:r>
      </w:hyperlink>
      <w:r w:rsidRPr="00BB71B4">
        <w:rPr>
          <w:rStyle w:val="TextoNormalCaracter"/>
        </w:rPr>
        <w:t xml:space="preserve">, ff. 8, 9; </w:t>
      </w:r>
      <w:hyperlink w:anchor="SENTENCIA_2015_146" w:history="1">
        <w:r w:rsidRPr="00BB71B4">
          <w:rPr>
            <w:rStyle w:val="TextoNormalCaracter"/>
          </w:rPr>
          <w:t>146/2015</w:t>
        </w:r>
      </w:hyperlink>
      <w:r w:rsidRPr="00BB71B4">
        <w:rPr>
          <w:rStyle w:val="TextoNormalCaracter"/>
        </w:rPr>
        <w:t>, ff. 2 a 4.</w:t>
      </w:r>
    </w:p>
    <w:p w:rsidR="00BB71B4" w:rsidRPr="00BB71B4" w:rsidRDefault="00BB71B4" w:rsidP="00BB71B4">
      <w:pPr>
        <w:pStyle w:val="TextoNormalSangraFrancesa"/>
        <w:rPr>
          <w:rStyle w:val="TextoNormalCaracter"/>
        </w:rPr>
      </w:pPr>
      <w:bookmarkStart w:id="1722" w:name="DESCRIPTORALFABETICO508"/>
      <w:r w:rsidRPr="00BB71B4">
        <w:rPr>
          <w:rStyle w:val="TextoNormalNegritaCaracter"/>
        </w:rPr>
        <w:t>Suelo no urbanizable</w:t>
      </w:r>
      <w:bookmarkEnd w:id="1722"/>
      <w:r w:rsidRPr="00BB71B4">
        <w:rPr>
          <w:rStyle w:val="TextoNormalCaracter"/>
        </w:rPr>
        <w:t xml:space="preserve">, Sentencia </w:t>
      </w:r>
      <w:hyperlink w:anchor="SENTENCIA_2015_43" w:history="1">
        <w:r w:rsidRPr="00BB71B4">
          <w:rPr>
            <w:rStyle w:val="TextoNormalCaracter"/>
          </w:rPr>
          <w:t>43/2015</w:t>
        </w:r>
      </w:hyperlink>
      <w:r w:rsidRPr="00BB71B4">
        <w:rPr>
          <w:rStyle w:val="TextoNormalCaracter"/>
        </w:rPr>
        <w:t>, ff. 3 a 5.</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63" w:history="1">
        <w:r w:rsidRPr="00BB71B4">
          <w:rPr>
            <w:rStyle w:val="TextoNormalCaracter"/>
          </w:rPr>
          <w:t>63/2015</w:t>
        </w:r>
      </w:hyperlink>
      <w:r w:rsidRPr="00BB71B4">
        <w:rPr>
          <w:rStyle w:val="TextoNormalCaracter"/>
        </w:rPr>
        <w:t>, f. 2, 3.</w:t>
      </w:r>
    </w:p>
    <w:p w:rsidR="00BB71B4" w:rsidRPr="00BB71B4" w:rsidRDefault="00BB71B4" w:rsidP="00BB71B4">
      <w:pPr>
        <w:pStyle w:val="TextoNormalSangraFrancesa"/>
        <w:rPr>
          <w:rStyle w:val="TextoNormalCaracter"/>
        </w:rPr>
      </w:pPr>
      <w:bookmarkStart w:id="1723" w:name="DESCRIPTORALFABETICO509"/>
      <w:r w:rsidRPr="00BB71B4">
        <w:rPr>
          <w:rStyle w:val="TextoNormalNegritaCaracter"/>
        </w:rPr>
        <w:t>Suelo rural</w:t>
      </w:r>
      <w:bookmarkEnd w:id="1723"/>
      <w:r w:rsidRPr="00BB71B4">
        <w:rPr>
          <w:rStyle w:val="TextoNormalCaracter"/>
        </w:rPr>
        <w:t xml:space="preserve">, Sentencia </w:t>
      </w:r>
      <w:hyperlink w:anchor="SENTENCIA_2015_56" w:history="1">
        <w:r w:rsidRPr="00BB71B4">
          <w:rPr>
            <w:rStyle w:val="TextoNormalCaracter"/>
          </w:rPr>
          <w:t>56/2015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ursivaCaracter"/>
        </w:rPr>
        <w:t xml:space="preserve">    Concepto, </w:t>
      </w:r>
      <w:r w:rsidRPr="00BB71B4">
        <w:rPr>
          <w:rStyle w:val="TextoNormalCaracter"/>
        </w:rPr>
        <w:t xml:space="preserve">Auto </w:t>
      </w:r>
      <w:hyperlink w:anchor="AUTO_2015_8" w:history="1">
        <w:r w:rsidRPr="00BB71B4">
          <w:rPr>
            <w:rStyle w:val="TextoNormalCaracter"/>
          </w:rPr>
          <w:t>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724" w:name="DESCRIPTORALFABETICO510"/>
      <w:r w:rsidRPr="00BB71B4">
        <w:rPr>
          <w:rStyle w:val="TextoNormalNegritaCaracter"/>
        </w:rPr>
        <w:t>Suelo urbanizable</w:t>
      </w:r>
      <w:bookmarkEnd w:id="1724"/>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ff. 3 a 5; </w:t>
      </w:r>
      <w:hyperlink w:anchor="SENTENCIA_2015_56" w:history="1">
        <w:r w:rsidRPr="00BB71B4">
          <w:rPr>
            <w:rStyle w:val="TextoNormalCaracter"/>
          </w:rPr>
          <w:t>56/2015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8" w:history="1">
        <w:r w:rsidRPr="00BB71B4">
          <w:rPr>
            <w:rStyle w:val="TextoNormalCaracter"/>
          </w:rPr>
          <w:t>8/2015</w:t>
        </w:r>
      </w:hyperlink>
      <w:r w:rsidRPr="00BB71B4">
        <w:rPr>
          <w:rStyle w:val="TextoNormalCaracter"/>
        </w:rPr>
        <w:t>, f. 3.</w:t>
      </w:r>
    </w:p>
    <w:p w:rsidR="00BB71B4" w:rsidRPr="00BB71B4" w:rsidRDefault="00BB71B4" w:rsidP="00BB71B4">
      <w:pPr>
        <w:pStyle w:val="TextoNormalSangraFrancesa"/>
        <w:rPr>
          <w:rStyle w:val="TextoNormalCaracter"/>
        </w:rPr>
      </w:pPr>
      <w:bookmarkStart w:id="1725" w:name="DESCRIPTORALFABETICO195"/>
      <w:r w:rsidRPr="00BB71B4">
        <w:rPr>
          <w:rStyle w:val="TextoNormalNegritaCaracter"/>
        </w:rPr>
        <w:t>Sufragio pasivo</w:t>
      </w:r>
      <w:bookmarkEnd w:id="1725"/>
      <w:r w:rsidRPr="00BB71B4">
        <w:rPr>
          <w:rStyle w:val="TextoNormalCaracter"/>
        </w:rPr>
        <w:t xml:space="preserve">, Sentencia </w:t>
      </w:r>
      <w:hyperlink w:anchor="SENTENCIA_2015_86" w:history="1">
        <w:r w:rsidRPr="00BB71B4">
          <w:rPr>
            <w:rStyle w:val="TextoNormalCaracter"/>
          </w:rPr>
          <w:t>86/2015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26" w:name="DESCRIPTORALFABETICO471"/>
      <w:r w:rsidRPr="00BB71B4">
        <w:rPr>
          <w:rStyle w:val="TextoNormalNegritaCaracter"/>
        </w:rPr>
        <w:t>Suministro de energía eléctrica</w:t>
      </w:r>
      <w:bookmarkEnd w:id="1726"/>
      <w:r w:rsidRPr="00BB71B4">
        <w:rPr>
          <w:rStyle w:val="TextoNormalCaracter"/>
        </w:rPr>
        <w:t xml:space="preserve">, Sentencia </w:t>
      </w:r>
      <w:hyperlink w:anchor="SENTENCIA_2015_136" w:history="1">
        <w:r w:rsidRPr="00BB71B4">
          <w:rPr>
            <w:rStyle w:val="TextoNormalCaracter"/>
          </w:rPr>
          <w:t>136/2015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727" w:name="DESCRIPTORALFABETICO481"/>
      <w:r w:rsidRPr="00BB71B4">
        <w:rPr>
          <w:rStyle w:val="TextoNormalNegritaCaracter"/>
        </w:rPr>
        <w:t>Suspensión cautelar de la expulsión</w:t>
      </w:r>
      <w:bookmarkEnd w:id="1727"/>
      <w:r w:rsidRPr="00BB71B4">
        <w:rPr>
          <w:rStyle w:val="TextoNormalCaracter"/>
        </w:rPr>
        <w:t xml:space="preserve">, Auto </w:t>
      </w:r>
      <w:hyperlink w:anchor="AUTO_2015_90" w:history="1">
        <w:r w:rsidRPr="00BB71B4">
          <w:rPr>
            <w:rStyle w:val="TextoNormalCaracter"/>
          </w:rPr>
          <w:t>90/2015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728" w:name="DESCRIPTORALFABETICO233"/>
      <w:r w:rsidRPr="00BB71B4">
        <w:rPr>
          <w:rStyle w:val="TextoNormalNegritaCaracter"/>
        </w:rPr>
        <w:t>Suspensión cautelar de la tramitación del proceso judicial</w:t>
      </w:r>
      <w:bookmarkEnd w:id="1728"/>
      <w:r w:rsidRPr="00BB71B4">
        <w:rPr>
          <w:rStyle w:val="TextoNormalCaracter"/>
        </w:rPr>
        <w:t xml:space="preserve">, Auto </w:t>
      </w:r>
      <w:hyperlink w:anchor="AUTO_2015_7" w:history="1">
        <w:r w:rsidRPr="00BB71B4">
          <w:rPr>
            <w:rStyle w:val="TextoNormalCaracter"/>
          </w:rPr>
          <w:t>7/2015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729" w:name="DESCRIPTORALFABETICO235"/>
      <w:r w:rsidRPr="00BB71B4">
        <w:rPr>
          <w:rStyle w:val="TextoNormalNegritaCaracter"/>
        </w:rPr>
        <w:t>Suspensión cautelar de resoluciones civiles</w:t>
      </w:r>
      <w:bookmarkEnd w:id="1729"/>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No suspende, </w:t>
      </w:r>
      <w:r w:rsidRPr="00BB71B4">
        <w:rPr>
          <w:rStyle w:val="TextoNormalCaracter"/>
        </w:rPr>
        <w:t xml:space="preserve">Autos </w:t>
      </w:r>
      <w:hyperlink w:anchor="AUTO_2015_27" w:history="1">
        <w:r w:rsidRPr="00BB71B4">
          <w:rPr>
            <w:rStyle w:val="TextoNormalCaracter"/>
          </w:rPr>
          <w:t>27/2015</w:t>
        </w:r>
      </w:hyperlink>
      <w:r w:rsidRPr="00BB71B4">
        <w:rPr>
          <w:rStyle w:val="TextoNormalCaracter"/>
        </w:rPr>
        <w:t xml:space="preserve">, f. 3 a 5; </w:t>
      </w:r>
      <w:hyperlink w:anchor="AUTO_2015_29" w:history="1">
        <w:r w:rsidRPr="00BB71B4">
          <w:rPr>
            <w:rStyle w:val="TextoNormalCaracter"/>
          </w:rPr>
          <w:t>29/2015</w:t>
        </w:r>
      </w:hyperlink>
      <w:r w:rsidRPr="00BB71B4">
        <w:rPr>
          <w:rStyle w:val="TextoNormalCaracter"/>
        </w:rPr>
        <w:t>, ff. 1 a 4.</w:t>
      </w:r>
    </w:p>
    <w:p w:rsidR="00BB71B4" w:rsidRPr="00BB71B4" w:rsidRDefault="00BB71B4" w:rsidP="00BB71B4">
      <w:pPr>
        <w:pStyle w:val="TextoNormalSangraFrancesa"/>
        <w:rPr>
          <w:rStyle w:val="TextoNormalCaracter"/>
        </w:rPr>
      </w:pPr>
      <w:bookmarkStart w:id="1730" w:name="DESCRIPTORALFABETICO236"/>
      <w:r w:rsidRPr="00BB71B4">
        <w:rPr>
          <w:rStyle w:val="TextoNormalNegritaCaracter"/>
        </w:rPr>
        <w:t>Suspensión cautelar de sentencias penales</w:t>
      </w:r>
      <w:bookmarkEnd w:id="1730"/>
      <w:r w:rsidRPr="00BB71B4">
        <w:rPr>
          <w:rStyle w:val="TextoNormalCaracter"/>
        </w:rPr>
        <w:t xml:space="preserve">, </w:t>
      </w:r>
    </w:p>
    <w:p w:rsidR="00BB71B4" w:rsidRPr="00BB71B4" w:rsidRDefault="00BB71B4" w:rsidP="00BB71B4">
      <w:pPr>
        <w:pStyle w:val="TextoNormalSangraFrancesa"/>
        <w:rPr>
          <w:rStyle w:val="TextoNormalCaracter"/>
        </w:rPr>
      </w:pPr>
      <w:r w:rsidRPr="00BB71B4">
        <w:rPr>
          <w:rStyle w:val="TextoNormalCursivaCaracter"/>
        </w:rPr>
        <w:t xml:space="preserve">    Suspende, </w:t>
      </w:r>
      <w:r w:rsidRPr="00BB71B4">
        <w:rPr>
          <w:rStyle w:val="TextoNormalCaracter"/>
        </w:rPr>
        <w:t xml:space="preserve">Auto </w:t>
      </w:r>
      <w:hyperlink w:anchor="AUTO_2015_94" w:history="1">
        <w:r w:rsidRPr="00BB71B4">
          <w:rPr>
            <w:rStyle w:val="TextoNormalCaracter"/>
          </w:rPr>
          <w:t>94/2015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731" w:name="DESCRIPTORALFABETICO563"/>
      <w:r w:rsidRPr="00BB71B4">
        <w:rPr>
          <w:rStyle w:val="TextoNormalNegritaCaracter"/>
        </w:rPr>
        <w:t>Suspensión de la ejecución de la pena</w:t>
      </w:r>
      <w:bookmarkEnd w:id="1731"/>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32" w:name="DESCRIPTORALFABETICO717"/>
      <w:r w:rsidRPr="00BB71B4">
        <w:rPr>
          <w:rStyle w:val="TextoNormalNegritaCaracter"/>
        </w:rPr>
        <w:t>Suspensión de la ejecución hipotecaria</w:t>
      </w:r>
      <w:bookmarkEnd w:id="1732"/>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ff. 17, 18.</w:t>
      </w:r>
    </w:p>
    <w:p w:rsidR="00BB71B4" w:rsidRPr="00BB71B4" w:rsidRDefault="00BB71B4" w:rsidP="00BB71B4">
      <w:pPr>
        <w:pStyle w:val="TextoNormalSangraFrancesa"/>
        <w:rPr>
          <w:rStyle w:val="TextoNormalCaracter"/>
        </w:rPr>
      </w:pPr>
      <w:bookmarkStart w:id="1733" w:name="DESCRIPTORALFABETICO237"/>
      <w:r w:rsidRPr="00BB71B4">
        <w:rPr>
          <w:rStyle w:val="TextoNormalNegritaCaracter"/>
        </w:rPr>
        <w:t>Suspensión de la vigencia de las normas jurídicas</w:t>
      </w:r>
      <w:bookmarkEnd w:id="1733"/>
      <w:r w:rsidRPr="00BB71B4">
        <w:rPr>
          <w:rStyle w:val="TextoNormalCaracter"/>
        </w:rPr>
        <w:t xml:space="preserve">, Autos </w:t>
      </w:r>
      <w:hyperlink w:anchor="AUTO_2015_23" w:history="1">
        <w:r w:rsidRPr="00BB71B4">
          <w:rPr>
            <w:rStyle w:val="TextoNormalCaracter"/>
          </w:rPr>
          <w:t>23/2015</w:t>
        </w:r>
      </w:hyperlink>
      <w:r w:rsidRPr="00BB71B4">
        <w:rPr>
          <w:rStyle w:val="TextoNormalCaracter"/>
        </w:rPr>
        <w:t xml:space="preserve">, f. único; </w:t>
      </w:r>
      <w:hyperlink w:anchor="AUTO_2015_67" w:history="1">
        <w:r w:rsidRPr="00BB71B4">
          <w:rPr>
            <w:rStyle w:val="TextoNormalCaracter"/>
          </w:rPr>
          <w:t>67/2015</w:t>
        </w:r>
      </w:hyperlink>
      <w:r w:rsidRPr="00BB71B4">
        <w:rPr>
          <w:rStyle w:val="TextoNormalCaracter"/>
        </w:rPr>
        <w:t>, ff. 1 a 3.</w:t>
      </w:r>
    </w:p>
    <w:p w:rsidR="00BB71B4" w:rsidRPr="00BB71B4" w:rsidRDefault="00BB71B4" w:rsidP="00BB71B4">
      <w:pPr>
        <w:pStyle w:val="TextoNormalSangraFrancesa"/>
        <w:rPr>
          <w:rStyle w:val="TextoNormalCaracter"/>
        </w:rPr>
      </w:pPr>
      <w:bookmarkStart w:id="1734" w:name="DESCRIPTORALFABETICO296"/>
      <w:r w:rsidRPr="00BB71B4">
        <w:rPr>
          <w:rStyle w:val="TextoNormalNegritaCaracter"/>
        </w:rPr>
        <w:t>Suspensión del proceso de amparo</w:t>
      </w:r>
      <w:bookmarkEnd w:id="1734"/>
      <w:r w:rsidRPr="00BB71B4">
        <w:rPr>
          <w:rStyle w:val="TextoNormalCaracter"/>
        </w:rPr>
        <w:t xml:space="preserve">, Auto </w:t>
      </w:r>
      <w:hyperlink w:anchor="AUTO_2015_59" w:history="1">
        <w:r w:rsidRPr="00BB71B4">
          <w:rPr>
            <w:rStyle w:val="TextoNormalCaracter"/>
          </w:rPr>
          <w:t>59/2015</w:t>
        </w:r>
      </w:hyperlink>
      <w:r w:rsidRPr="00BB71B4">
        <w:rPr>
          <w:rStyle w:val="TextoNormalCaracter"/>
        </w:rPr>
        <w:t>, f. 1, 2.</w:t>
      </w:r>
    </w:p>
    <w:p w:rsidR="00BB71B4" w:rsidRPr="00BB71B4" w:rsidRDefault="00BB71B4" w:rsidP="00BB71B4">
      <w:pPr>
        <w:pStyle w:val="TextoNormalSangraFrancesa"/>
        <w:rPr>
          <w:rStyle w:val="TextoNormalCaracter"/>
        </w:rPr>
      </w:pPr>
      <w:bookmarkStart w:id="1735" w:name="DESCRIPTORALFABETICO569"/>
      <w:r w:rsidRPr="00BB71B4">
        <w:rPr>
          <w:rStyle w:val="TextoNormalNegritaCaracter"/>
        </w:rPr>
        <w:t>Sustitución de la pena</w:t>
      </w:r>
      <w:bookmarkEnd w:id="1735"/>
      <w:r w:rsidRPr="00BB71B4">
        <w:rPr>
          <w:rStyle w:val="TextoNormalCaracter"/>
        </w:rPr>
        <w:t xml:space="preserve">, Sentencia </w:t>
      </w:r>
      <w:hyperlink w:anchor="SENTENCIA_2015_63" w:history="1">
        <w:r w:rsidRPr="00BB71B4">
          <w:rPr>
            <w:rStyle w:val="TextoNormalCaracter"/>
          </w:rPr>
          <w:t>63/2015</w:t>
        </w:r>
      </w:hyperlink>
      <w:r w:rsidRPr="00BB71B4">
        <w:rPr>
          <w:rStyle w:val="TextoNormalCaracter"/>
        </w:rPr>
        <w:t>, ff. 4, 5.</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T</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736" w:name="DESCRIPTORALFABETICO463"/>
      <w:r w:rsidRPr="00BB71B4">
        <w:rPr>
          <w:rStyle w:val="TextoNormalNegritaCaracter"/>
        </w:rPr>
        <w:t>Terrenos colindantes al demanio público</w:t>
      </w:r>
      <w:bookmarkEnd w:id="1736"/>
      <w:r w:rsidRPr="00BB71B4">
        <w:rPr>
          <w:rStyle w:val="TextoNormalCaracter"/>
        </w:rPr>
        <w:t xml:space="preserve">, Sentencia </w:t>
      </w:r>
      <w:hyperlink w:anchor="SENTENCIA_2015_5" w:history="1">
        <w:r w:rsidRPr="00BB71B4">
          <w:rPr>
            <w:rStyle w:val="TextoNormalCaracter"/>
          </w:rPr>
          <w:t>5/2015</w:t>
        </w:r>
      </w:hyperlink>
      <w:r w:rsidRPr="00BB71B4">
        <w:rPr>
          <w:rStyle w:val="TextoNormalCaracter"/>
        </w:rPr>
        <w:t>, ff. 3 a 7.</w:t>
      </w:r>
    </w:p>
    <w:p w:rsidR="00BB71B4" w:rsidRPr="00BB71B4" w:rsidRDefault="00BB71B4" w:rsidP="00BB71B4">
      <w:pPr>
        <w:pStyle w:val="TextoNormalSangraFrancesa"/>
        <w:rPr>
          <w:rStyle w:val="TextoNormalCaracter"/>
        </w:rPr>
      </w:pPr>
      <w:bookmarkStart w:id="1737" w:name="DESCRIPTORALFABETICO66"/>
      <w:r w:rsidRPr="00BB71B4">
        <w:rPr>
          <w:rStyle w:val="TextoNormalNegritaCaracter"/>
        </w:rPr>
        <w:t>Tipos de gravamen</w:t>
      </w:r>
      <w:bookmarkEnd w:id="1737"/>
      <w:r w:rsidRPr="00BB71B4">
        <w:rPr>
          <w:rStyle w:val="TextoNormalCaracter"/>
        </w:rPr>
        <w:t xml:space="preserve">, Sentencias </w:t>
      </w:r>
      <w:hyperlink w:anchor="SENTENCIA_2015_26" w:history="1">
        <w:r w:rsidRPr="00BB71B4">
          <w:rPr>
            <w:rStyle w:val="TextoNormalCaracter"/>
          </w:rPr>
          <w:t>26/2015</w:t>
        </w:r>
      </w:hyperlink>
      <w:r w:rsidRPr="00BB71B4">
        <w:rPr>
          <w:rStyle w:val="TextoNormalCaracter"/>
        </w:rPr>
        <w:t xml:space="preserve">, ff. 3, 4, VP; </w:t>
      </w:r>
      <w:hyperlink w:anchor="SENTENCIA_2015_30" w:history="1">
        <w:r w:rsidRPr="00BB71B4">
          <w:rPr>
            <w:rStyle w:val="TextoNormalCaracter"/>
          </w:rPr>
          <w:t>30/2015</w:t>
        </w:r>
      </w:hyperlink>
      <w:r w:rsidRPr="00BB71B4">
        <w:rPr>
          <w:rStyle w:val="TextoNormalCaracter"/>
        </w:rPr>
        <w:t xml:space="preserve">, ff. 2 a 4, VP; </w:t>
      </w:r>
      <w:hyperlink w:anchor="SENTENCIA_2015_59" w:history="1">
        <w:r w:rsidRPr="00BB71B4">
          <w:rPr>
            <w:rStyle w:val="TextoNormalCaracter"/>
          </w:rPr>
          <w:t>59/2015</w:t>
        </w:r>
      </w:hyperlink>
      <w:r w:rsidRPr="00BB71B4">
        <w:rPr>
          <w:rStyle w:val="TextoNormalCaracter"/>
        </w:rPr>
        <w:t xml:space="preserve">, f. 2; </w:t>
      </w:r>
      <w:hyperlink w:anchor="SENTENCIA_2015_73" w:history="1">
        <w:r w:rsidRPr="00BB71B4">
          <w:rPr>
            <w:rStyle w:val="TextoNormalCaracter"/>
          </w:rPr>
          <w:t>73/2015</w:t>
        </w:r>
      </w:hyperlink>
      <w:r w:rsidRPr="00BB71B4">
        <w:rPr>
          <w:rStyle w:val="TextoNormalCaracter"/>
        </w:rPr>
        <w:t xml:space="preserve">, f. 3; </w:t>
      </w:r>
      <w:hyperlink w:anchor="SENTENCIA_2015_102" w:history="1">
        <w:r w:rsidRPr="00BB71B4">
          <w:rPr>
            <w:rStyle w:val="TextoNormalCaracter"/>
          </w:rPr>
          <w:t>102/2015</w:t>
        </w:r>
      </w:hyperlink>
      <w:r w:rsidRPr="00BB71B4">
        <w:rPr>
          <w:rStyle w:val="TextoNormalCaracter"/>
        </w:rPr>
        <w:t>, f. 6.</w:t>
      </w:r>
    </w:p>
    <w:p w:rsidR="00BB71B4" w:rsidRPr="00BB71B4" w:rsidRDefault="00BB71B4" w:rsidP="00BB71B4">
      <w:pPr>
        <w:pStyle w:val="TextoNormalSangraFrancesa"/>
        <w:rPr>
          <w:rStyle w:val="TextoNormalCaracter"/>
        </w:rPr>
      </w:pPr>
      <w:bookmarkStart w:id="1738" w:name="DESCRIPTORALFABETICO374"/>
      <w:r w:rsidRPr="00BB71B4">
        <w:rPr>
          <w:rStyle w:val="TextoNormalNegritaCaracter"/>
        </w:rPr>
        <w:t>Tipos de retroactividad</w:t>
      </w:r>
      <w:bookmarkEnd w:id="1738"/>
      <w:r w:rsidRPr="00BB71B4">
        <w:rPr>
          <w:rStyle w:val="TextoNormalCaracter"/>
        </w:rPr>
        <w:t xml:space="preserve">, Sentencia </w:t>
      </w:r>
      <w:hyperlink w:anchor="SENTENCIA_2015_102" w:history="1">
        <w:r w:rsidRPr="00BB71B4">
          <w:rPr>
            <w:rStyle w:val="TextoNormalCaracter"/>
          </w:rPr>
          <w:t>102/2015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39" w:name="DESCRIPTORALFABETICO602"/>
      <w:r w:rsidRPr="00BB71B4">
        <w:rPr>
          <w:rStyle w:val="TextoNormalNegritaCaracter"/>
        </w:rPr>
        <w:t>Titularidad de oficinas de farmacia</w:t>
      </w:r>
      <w:bookmarkEnd w:id="1739"/>
      <w:r w:rsidRPr="00BB71B4">
        <w:rPr>
          <w:rStyle w:val="TextoNormalCaracter"/>
        </w:rPr>
        <w:t xml:space="preserve">, Sentencia </w:t>
      </w:r>
      <w:hyperlink w:anchor="SENTENCIA_2015_41" w:history="1">
        <w:r w:rsidRPr="00BB71B4">
          <w:rPr>
            <w:rStyle w:val="TextoNormalCaracter"/>
          </w:rPr>
          <w:t>41/2015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740" w:name="DESCRIPTORALFABETICO17"/>
      <w:r w:rsidRPr="00BB71B4">
        <w:rPr>
          <w:rStyle w:val="TextoNormalNegritaCaracter"/>
        </w:rPr>
        <w:t>Títulos competenciales</w:t>
      </w:r>
      <w:bookmarkEnd w:id="1740"/>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2, 7.</w:t>
      </w:r>
    </w:p>
    <w:p w:rsidR="00BB71B4" w:rsidRPr="00BB71B4" w:rsidRDefault="00BB71B4" w:rsidP="00BB71B4">
      <w:pPr>
        <w:pStyle w:val="TextoNormalSangraFrancesa"/>
        <w:rPr>
          <w:rStyle w:val="TextoNormalCaracter"/>
        </w:rPr>
      </w:pPr>
      <w:bookmarkStart w:id="1741" w:name="DESCRIPTORALFABETICO339"/>
      <w:r w:rsidRPr="00BB71B4">
        <w:rPr>
          <w:rStyle w:val="TextoNormalNegritaCaracter"/>
        </w:rPr>
        <w:t>Tramitación de enmiendas</w:t>
      </w:r>
      <w:bookmarkEnd w:id="1741"/>
      <w:r w:rsidRPr="00BB71B4">
        <w:rPr>
          <w:rStyle w:val="TextoNormalCaracter"/>
        </w:rPr>
        <w:t xml:space="preserve">, Sentencias </w:t>
      </w:r>
      <w:hyperlink w:anchor="SENTENCIA_2015_59" w:history="1">
        <w:r w:rsidRPr="00BB71B4">
          <w:rPr>
            <w:rStyle w:val="TextoNormalCaracter"/>
          </w:rPr>
          <w:t>59/2015</w:t>
        </w:r>
      </w:hyperlink>
      <w:r w:rsidRPr="00BB71B4">
        <w:rPr>
          <w:rStyle w:val="TextoNormalCaracter"/>
        </w:rPr>
        <w:t xml:space="preserve">, ff. 5, 6; </w:t>
      </w:r>
      <w:hyperlink w:anchor="SENTENCIA_2015_73" w:history="1">
        <w:r w:rsidRPr="00BB71B4">
          <w:rPr>
            <w:rStyle w:val="TextoNormalCaracter"/>
          </w:rPr>
          <w:t>73/2015</w:t>
        </w:r>
      </w:hyperlink>
      <w:r w:rsidRPr="00BB71B4">
        <w:rPr>
          <w:rStyle w:val="TextoNormalCaracter"/>
        </w:rPr>
        <w:t>, f. 3.</w:t>
      </w:r>
    </w:p>
    <w:p w:rsidR="00BB71B4" w:rsidRPr="00BB71B4" w:rsidRDefault="00BB71B4" w:rsidP="00BB71B4">
      <w:pPr>
        <w:pStyle w:val="TextoNormalSangraFrancesa"/>
        <w:rPr>
          <w:rStyle w:val="TextoNormalCaracter"/>
        </w:rPr>
      </w:pPr>
      <w:bookmarkStart w:id="1742" w:name="DESCRIPTORALFABETICO671"/>
      <w:r w:rsidRPr="00BB71B4">
        <w:rPr>
          <w:rStyle w:val="TextoNormalNegritaCaracter"/>
        </w:rPr>
        <w:t>Trámite de admisión</w:t>
      </w:r>
      <w:bookmarkEnd w:id="1742"/>
      <w:r w:rsidRPr="00BB71B4">
        <w:rPr>
          <w:rStyle w:val="TextoNormalCaracter"/>
        </w:rPr>
        <w:t xml:space="preserve">, Auto </w:t>
      </w:r>
      <w:hyperlink w:anchor="AUTO_2015_8" w:history="1">
        <w:r w:rsidRPr="00BB71B4">
          <w:rPr>
            <w:rStyle w:val="TextoNormalCaracter"/>
          </w:rPr>
          <w:t>8/2015</w:t>
        </w:r>
      </w:hyperlink>
      <w:r w:rsidRPr="00BB71B4">
        <w:rPr>
          <w:rStyle w:val="TextoNormalCaracter"/>
        </w:rPr>
        <w:t>, f. 2.</w:t>
      </w:r>
    </w:p>
    <w:p w:rsidR="00BB71B4" w:rsidRPr="00BB71B4" w:rsidRDefault="00BB71B4" w:rsidP="00BB71B4">
      <w:pPr>
        <w:pStyle w:val="TextoNormalSangraFrancesa"/>
        <w:rPr>
          <w:rStyle w:val="TextoNormalCaracter"/>
        </w:rPr>
      </w:pPr>
      <w:bookmarkStart w:id="1743" w:name="DESCRIPTORALFABETICO672"/>
      <w:r w:rsidRPr="00BB71B4">
        <w:rPr>
          <w:rStyle w:val="TextoNormalNegritaCaracter"/>
        </w:rPr>
        <w:t>Trámite de audiencia</w:t>
      </w:r>
      <w:bookmarkEnd w:id="1743"/>
      <w:r w:rsidRPr="00BB71B4">
        <w:rPr>
          <w:rStyle w:val="TextoNormalCaracter"/>
        </w:rPr>
        <w:t xml:space="preserve">, Sentencia </w:t>
      </w:r>
      <w:hyperlink w:anchor="SENTENCIA_2015_3" w:history="1">
        <w:r w:rsidRPr="00BB71B4">
          <w:rPr>
            <w:rStyle w:val="TextoNormalCaracter"/>
          </w:rPr>
          <w:t>3/2015</w:t>
        </w:r>
      </w:hyperlink>
      <w:r w:rsidRPr="00BB71B4">
        <w:rPr>
          <w:rStyle w:val="TextoNormalCaracter"/>
        </w:rPr>
        <w:t>, f. 2.</w:t>
      </w:r>
    </w:p>
    <w:p w:rsidR="00BB71B4" w:rsidRPr="00BB71B4" w:rsidRDefault="00BB71B4" w:rsidP="00BB71B4">
      <w:pPr>
        <w:pStyle w:val="TextoNormalSangraFrancesa"/>
        <w:rPr>
          <w:rStyle w:val="TextoNormalCaracter"/>
        </w:rPr>
      </w:pPr>
      <w:bookmarkStart w:id="1744" w:name="DESCRIPTORALFABETICO584"/>
      <w:r w:rsidRPr="00BB71B4">
        <w:rPr>
          <w:rStyle w:val="TextoNormalNegritaCaracter"/>
        </w:rPr>
        <w:t>Trámite de información de planes urbanísticos</w:t>
      </w:r>
      <w:bookmarkEnd w:id="1744"/>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5, 6, 8, 10; </w:t>
      </w:r>
      <w:hyperlink w:anchor="SENTENCIA_2015_92" w:history="1">
        <w:r w:rsidRPr="00BB71B4">
          <w:rPr>
            <w:rStyle w:val="TextoNormalCaracter"/>
          </w:rPr>
          <w:t>92/2015</w:t>
        </w:r>
      </w:hyperlink>
      <w:r w:rsidRPr="00BB71B4">
        <w:rPr>
          <w:rStyle w:val="TextoNormalCaracter"/>
        </w:rPr>
        <w:t>, ff, 4, 11 d).</w:t>
      </w:r>
    </w:p>
    <w:p w:rsidR="00BB71B4" w:rsidRPr="00BB71B4" w:rsidRDefault="00BB71B4" w:rsidP="00BB71B4">
      <w:pPr>
        <w:pStyle w:val="TextoNormalSangraFrancesa"/>
        <w:rPr>
          <w:rStyle w:val="TextoNormalCaracter"/>
        </w:rPr>
      </w:pPr>
      <w:bookmarkStart w:id="1745" w:name="DESCRIPTORALFABETICO582"/>
      <w:r w:rsidRPr="00BB71B4">
        <w:rPr>
          <w:rStyle w:val="TextoNormalNegritaCaracter"/>
        </w:rPr>
        <w:t>Transformación de sociedades</w:t>
      </w:r>
      <w:bookmarkEnd w:id="1745"/>
      <w:r w:rsidRPr="00BB71B4">
        <w:rPr>
          <w:rStyle w:val="TextoNormalCaracter"/>
        </w:rPr>
        <w:t xml:space="preserve">, Sentencia </w:t>
      </w:r>
      <w:hyperlink w:anchor="SENTENCIA_2015_14" w:history="1">
        <w:r w:rsidRPr="00BB71B4">
          <w:rPr>
            <w:rStyle w:val="TextoNormalCaracter"/>
          </w:rPr>
          <w:t>14/2015</w:t>
        </w:r>
      </w:hyperlink>
      <w:r w:rsidRPr="00BB71B4">
        <w:rPr>
          <w:rStyle w:val="TextoNormalCaracter"/>
        </w:rPr>
        <w:t>, ff. 5, 6.</w:t>
      </w:r>
    </w:p>
    <w:p w:rsidR="00BB71B4" w:rsidRPr="00BB71B4" w:rsidRDefault="00BB71B4" w:rsidP="00BB71B4">
      <w:pPr>
        <w:pStyle w:val="TextoNormalSangraFrancesa"/>
        <w:rPr>
          <w:rStyle w:val="TextoNormalCaracter"/>
        </w:rPr>
      </w:pPr>
      <w:bookmarkStart w:id="1746" w:name="DESCRIPTORALFABETICO439"/>
      <w:r w:rsidRPr="00BB71B4">
        <w:rPr>
          <w:rStyle w:val="TextoNormalNegritaCaracter"/>
        </w:rPr>
        <w:t>Trasvases entre cuencas</w:t>
      </w:r>
      <w:bookmarkEnd w:id="1746"/>
      <w:r w:rsidRPr="00BB71B4">
        <w:rPr>
          <w:rStyle w:val="TextoNormalCaracter"/>
        </w:rPr>
        <w:t xml:space="preserve">, Sentencia </w:t>
      </w:r>
      <w:hyperlink w:anchor="SENTENCIA_2015_13" w:history="1">
        <w:r w:rsidRPr="00BB71B4">
          <w:rPr>
            <w:rStyle w:val="TextoNormalCaracter"/>
          </w:rPr>
          <w:t>13/2015</w:t>
        </w:r>
      </w:hyperlink>
      <w:r w:rsidRPr="00BB71B4">
        <w:rPr>
          <w:rStyle w:val="TextoNormalCaracter"/>
        </w:rPr>
        <w:t>, ff. 2 a 5.</w:t>
      </w:r>
    </w:p>
    <w:p w:rsidR="00BB71B4" w:rsidRPr="00BB71B4" w:rsidRDefault="00BB71B4" w:rsidP="00BB71B4">
      <w:pPr>
        <w:pStyle w:val="TextoNormalSangraFrancesa"/>
        <w:rPr>
          <w:rStyle w:val="TextoNormalCaracter"/>
        </w:rPr>
      </w:pPr>
      <w:bookmarkStart w:id="1747" w:name="DESCRIPTORALFABETICO114"/>
      <w:r w:rsidRPr="00BB71B4">
        <w:rPr>
          <w:rStyle w:val="TextoNormalNegritaCaracter"/>
        </w:rPr>
        <w:t>Tratamiento diferenciado en prestaciones de la Seguridad Social</w:t>
      </w:r>
      <w:bookmarkEnd w:id="1747"/>
      <w:r w:rsidRPr="00BB71B4">
        <w:rPr>
          <w:rStyle w:val="TextoNormalCaracter"/>
        </w:rPr>
        <w:t xml:space="preserve">, Sentencias </w:t>
      </w:r>
      <w:hyperlink w:anchor="SENTENCIA_2015_84" w:history="1">
        <w:r w:rsidRPr="00BB71B4">
          <w:rPr>
            <w:rStyle w:val="TextoNormalCaracter"/>
          </w:rPr>
          <w:t>84/2015</w:t>
        </w:r>
      </w:hyperlink>
      <w:r w:rsidRPr="00BB71B4">
        <w:rPr>
          <w:rStyle w:val="TextoNormalCaracter"/>
        </w:rPr>
        <w:t xml:space="preserve">, f. 7; </w:t>
      </w:r>
      <w:hyperlink w:anchor="SENTENCIA_2015_110" w:history="1">
        <w:r w:rsidRPr="00BB71B4">
          <w:rPr>
            <w:rStyle w:val="TextoNormalCaracter"/>
          </w:rPr>
          <w:t>110/2015</w:t>
        </w:r>
      </w:hyperlink>
      <w:r w:rsidRPr="00BB71B4">
        <w:rPr>
          <w:rStyle w:val="TextoNormalCaracter"/>
        </w:rPr>
        <w:t>, ff. 4, 5, 6, 11.</w:t>
      </w:r>
    </w:p>
    <w:p w:rsidR="00BB71B4" w:rsidRPr="00BB71B4" w:rsidRDefault="00BB71B4" w:rsidP="00BB71B4">
      <w:pPr>
        <w:pStyle w:val="TextoNormalSangraFrancesa"/>
        <w:rPr>
          <w:rStyle w:val="TextoNormalCaracter"/>
        </w:rPr>
      </w:pPr>
      <w:bookmarkStart w:id="1748" w:name="DESCRIPTORALFABETICO113"/>
      <w:r w:rsidRPr="00BB71B4">
        <w:rPr>
          <w:rStyle w:val="TextoNormalNegritaCaracter"/>
        </w:rPr>
        <w:t>Tratamiento diferenciado entre trabajadores a tiempo parcial y trabajadores a tiempo completo</w:t>
      </w:r>
      <w:bookmarkEnd w:id="1748"/>
      <w:r w:rsidRPr="00BB71B4">
        <w:rPr>
          <w:rStyle w:val="TextoNormalCaracter"/>
        </w:rPr>
        <w:t xml:space="preserve">, Sentencia </w:t>
      </w:r>
      <w:hyperlink w:anchor="SENTENCIA_2015_110" w:history="1">
        <w:r w:rsidRPr="00BB71B4">
          <w:rPr>
            <w:rStyle w:val="TextoNormalCaracter"/>
          </w:rPr>
          <w:t>110/2015</w:t>
        </w:r>
      </w:hyperlink>
      <w:r w:rsidRPr="00BB71B4">
        <w:rPr>
          <w:rStyle w:val="TextoNormalCaracter"/>
        </w:rPr>
        <w:t>, ff. 2 a 11.</w:t>
      </w:r>
    </w:p>
    <w:p w:rsidR="00BB71B4" w:rsidRPr="00BB71B4" w:rsidRDefault="00BB71B4" w:rsidP="00BB71B4">
      <w:pPr>
        <w:pStyle w:val="TextoNormalSangraFrancesa"/>
        <w:rPr>
          <w:rStyle w:val="TextoNormalCaracter"/>
        </w:rPr>
      </w:pPr>
      <w:bookmarkStart w:id="1749" w:name="DESCRIPTORALFABETICO115"/>
      <w:r w:rsidRPr="00BB71B4">
        <w:rPr>
          <w:rStyle w:val="TextoNormalNegritaCaracter"/>
        </w:rPr>
        <w:t>Tratamiento legal diferenciado</w:t>
      </w:r>
      <w:bookmarkEnd w:id="1749"/>
      <w:r w:rsidRPr="00BB71B4">
        <w:rPr>
          <w:rStyle w:val="TextoNormalCaracter"/>
        </w:rPr>
        <w:t xml:space="preserve">, Sentencia </w:t>
      </w:r>
      <w:hyperlink w:anchor="SENTENCIA_2015_60" w:history="1">
        <w:r w:rsidRPr="00BB71B4">
          <w:rPr>
            <w:rStyle w:val="TextoNormalCaracter"/>
          </w:rPr>
          <w:t>60/2015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750" w:name="DESCRIPTORALFABETICO80"/>
      <w:r w:rsidRPr="00BB71B4">
        <w:rPr>
          <w:rStyle w:val="TextoNormalNegritaCaracter"/>
        </w:rPr>
        <w:t>Tributos</w:t>
      </w:r>
      <w:bookmarkEnd w:id="1750"/>
      <w:r w:rsidRPr="00BB71B4">
        <w:rPr>
          <w:rStyle w:val="TextoNormalCaracter"/>
        </w:rPr>
        <w:t xml:space="preserve">, Sentencias </w:t>
      </w:r>
      <w:hyperlink w:anchor="SENTENCIA_2015_22" w:history="1">
        <w:r w:rsidRPr="00BB71B4">
          <w:rPr>
            <w:rStyle w:val="TextoNormalCaracter"/>
          </w:rPr>
          <w:t>22/2015</w:t>
        </w:r>
      </w:hyperlink>
      <w:r w:rsidRPr="00BB71B4">
        <w:rPr>
          <w:rStyle w:val="TextoNormalCaracter"/>
        </w:rPr>
        <w:t xml:space="preserve">, ff. 2, 3; </w:t>
      </w:r>
      <w:hyperlink w:anchor="SENTENCIA_2015_26" w:history="1">
        <w:r w:rsidRPr="00BB71B4">
          <w:rPr>
            <w:rStyle w:val="TextoNormalCaracter"/>
          </w:rPr>
          <w:t>26/2015</w:t>
        </w:r>
      </w:hyperlink>
      <w:r w:rsidRPr="00BB71B4">
        <w:rPr>
          <w:rStyle w:val="TextoNormalCaracter"/>
        </w:rPr>
        <w:t xml:space="preserve">, ff. 3 a 6; </w:t>
      </w:r>
      <w:hyperlink w:anchor="SENTENCIA_2015_59" w:history="1">
        <w:r w:rsidRPr="00BB71B4">
          <w:rPr>
            <w:rStyle w:val="TextoNormalCaracter"/>
          </w:rPr>
          <w:t>59/2015</w:t>
        </w:r>
      </w:hyperlink>
      <w:r w:rsidRPr="00BB71B4">
        <w:rPr>
          <w:rStyle w:val="TextoNormalCaracter"/>
        </w:rPr>
        <w:t xml:space="preserve">, ff. 1 a 6; </w:t>
      </w:r>
      <w:hyperlink w:anchor="SENTENCIA_2015_73" w:history="1">
        <w:r w:rsidRPr="00BB71B4">
          <w:rPr>
            <w:rStyle w:val="TextoNormalCaracter"/>
          </w:rPr>
          <w:t>73/2015</w:t>
        </w:r>
      </w:hyperlink>
      <w:r w:rsidRPr="00BB71B4">
        <w:rPr>
          <w:rStyle w:val="TextoNormalCaracter"/>
        </w:rPr>
        <w:t xml:space="preserve">, ff. 1 a 4; </w:t>
      </w:r>
      <w:hyperlink w:anchor="SENTENCIA_2015_102" w:history="1">
        <w:r w:rsidRPr="00BB71B4">
          <w:rPr>
            <w:rStyle w:val="TextoNormalCaracter"/>
          </w:rPr>
          <w:t>102/2015</w:t>
        </w:r>
      </w:hyperlink>
      <w:r w:rsidRPr="00BB71B4">
        <w:rPr>
          <w:rStyle w:val="TextoNormalCaracter"/>
        </w:rPr>
        <w:t>, ff. 3 a 6.</w:t>
      </w:r>
    </w:p>
    <w:p w:rsidR="00BB71B4" w:rsidRPr="00BB71B4" w:rsidRDefault="00BB71B4" w:rsidP="00BB71B4">
      <w:pPr>
        <w:pStyle w:val="TextoNormalSangraFrancesa"/>
        <w:rPr>
          <w:rStyle w:val="TextoNormalCaracter"/>
        </w:rPr>
      </w:pPr>
      <w:bookmarkStart w:id="1751" w:name="DESCRIPTORALFABETICO88"/>
      <w:r w:rsidRPr="00BB71B4">
        <w:rPr>
          <w:rStyle w:val="TextoNormalNegritaCaracter"/>
        </w:rPr>
        <w:t>Tributos autonómicos</w:t>
      </w:r>
      <w:bookmarkEnd w:id="1751"/>
      <w:r w:rsidRPr="00BB71B4">
        <w:rPr>
          <w:rStyle w:val="TextoNormalCaracter"/>
        </w:rPr>
        <w:t xml:space="preserve">, Sentencias </w:t>
      </w:r>
      <w:hyperlink w:anchor="SENTENCIA_2015_22" w:history="1">
        <w:r w:rsidRPr="00BB71B4">
          <w:rPr>
            <w:rStyle w:val="TextoNormalCaracter"/>
          </w:rPr>
          <w:t>22/2015</w:t>
        </w:r>
      </w:hyperlink>
      <w:r w:rsidRPr="00BB71B4">
        <w:rPr>
          <w:rStyle w:val="TextoNormalCaracter"/>
        </w:rPr>
        <w:t xml:space="preserve">, ff. 2, 3; </w:t>
      </w:r>
      <w:hyperlink w:anchor="SENTENCIA_2015_30" w:history="1">
        <w:r w:rsidRPr="00BB71B4">
          <w:rPr>
            <w:rStyle w:val="TextoNormalCaracter"/>
          </w:rPr>
          <w:t>30/2015</w:t>
        </w:r>
      </w:hyperlink>
      <w:r w:rsidRPr="00BB71B4">
        <w:rPr>
          <w:rStyle w:val="TextoNormalCaracter"/>
        </w:rPr>
        <w:t xml:space="preserve">, ff. 2 a 4; </w:t>
      </w:r>
      <w:hyperlink w:anchor="SENTENCIA_2015_107" w:history="1">
        <w:r w:rsidRPr="00BB71B4">
          <w:rPr>
            <w:rStyle w:val="TextoNormalCaracter"/>
          </w:rPr>
          <w:t>107/2015</w:t>
        </w:r>
      </w:hyperlink>
      <w:r w:rsidRPr="00BB71B4">
        <w:rPr>
          <w:rStyle w:val="TextoNormalCaracter"/>
        </w:rPr>
        <w:t xml:space="preserve">, f. 3; </w:t>
      </w:r>
      <w:hyperlink w:anchor="SENTENCIA_2015_108" w:history="1">
        <w:r w:rsidRPr="00BB71B4">
          <w:rPr>
            <w:rStyle w:val="TextoNormalCaracter"/>
          </w:rPr>
          <w:t>108/2015</w:t>
        </w:r>
      </w:hyperlink>
      <w:r w:rsidRPr="00BB71B4">
        <w:rPr>
          <w:rStyle w:val="TextoNormalCaracter"/>
        </w:rPr>
        <w:t xml:space="preserve">, ff. 3 a 5; </w:t>
      </w:r>
      <w:hyperlink w:anchor="SENTENCIA_2015_111" w:history="1">
        <w:r w:rsidRPr="00BB71B4">
          <w:rPr>
            <w:rStyle w:val="TextoNormalCaracter"/>
          </w:rPr>
          <w:t>111/2015</w:t>
        </w:r>
      </w:hyperlink>
      <w:r w:rsidRPr="00BB71B4">
        <w:rPr>
          <w:rStyle w:val="TextoNormalCaracter"/>
        </w:rPr>
        <w:t xml:space="preserve">, ff. 2, 3; </w:t>
      </w:r>
      <w:hyperlink w:anchor="SENTENCIA_2015_136" w:history="1">
        <w:r w:rsidRPr="00BB71B4">
          <w:rPr>
            <w:rStyle w:val="TextoNormalCaracter"/>
          </w:rPr>
          <w:t>136/2015</w:t>
        </w:r>
      </w:hyperlink>
      <w:r w:rsidRPr="00BB71B4">
        <w:rPr>
          <w:rStyle w:val="TextoNormalCaracter"/>
        </w:rPr>
        <w:t>, ff. 1, 4.</w:t>
      </w:r>
    </w:p>
    <w:p w:rsidR="00BB71B4" w:rsidRPr="00BB71B4" w:rsidRDefault="00BB71B4" w:rsidP="00BB71B4">
      <w:pPr>
        <w:pStyle w:val="TextoNormalSangraFrancesa"/>
        <w:rPr>
          <w:rStyle w:val="TextoNormalCaracter"/>
        </w:rPr>
      </w:pPr>
      <w:bookmarkStart w:id="1752" w:name="DESCRIPTORALFABETICO90"/>
      <w:r w:rsidRPr="00BB71B4">
        <w:rPr>
          <w:rStyle w:val="TextoNormalNegritaCaracter"/>
        </w:rPr>
        <w:t>Tributos cedidos</w:t>
      </w:r>
      <w:bookmarkEnd w:id="1752"/>
      <w:r w:rsidRPr="00BB71B4">
        <w:rPr>
          <w:rStyle w:val="TextoNormalCaracter"/>
        </w:rPr>
        <w:t xml:space="preserve">, Sentencia </w:t>
      </w:r>
      <w:hyperlink w:anchor="SENTENCIA_2015_60" w:history="1">
        <w:r w:rsidRPr="00BB71B4">
          <w:rPr>
            <w:rStyle w:val="TextoNormalCaracter"/>
          </w:rPr>
          <w:t>60/2015</w:t>
        </w:r>
      </w:hyperlink>
      <w:r w:rsidRPr="00BB71B4">
        <w:rPr>
          <w:rStyle w:val="TextoNormalCaracter"/>
        </w:rPr>
        <w:t>, ff. 2, 3, 6.</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U</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753" w:name="DESCRIPTORALFABETICO465"/>
      <w:r w:rsidRPr="00BB71B4">
        <w:rPr>
          <w:rStyle w:val="TextoNormalNegritaCaracter"/>
        </w:rPr>
        <w:t>Universidades</w:t>
      </w:r>
      <w:bookmarkEnd w:id="1753"/>
      <w:r w:rsidRPr="00BB71B4">
        <w:rPr>
          <w:rStyle w:val="TextoNormalCaracter"/>
        </w:rPr>
        <w:t xml:space="preserve">, Sentencia </w:t>
      </w:r>
      <w:hyperlink w:anchor="SENTENCIA_2015_25" w:history="1">
        <w:r w:rsidRPr="00BB71B4">
          <w:rPr>
            <w:rStyle w:val="TextoNormalCaracter"/>
          </w:rPr>
          <w:t>25/2015</w:t>
        </w:r>
      </w:hyperlink>
      <w:r w:rsidRPr="00BB71B4">
        <w:rPr>
          <w:rStyle w:val="TextoNormalCaracter"/>
        </w:rPr>
        <w:t>, ff. 1, 2, VP I.</w:t>
      </w:r>
    </w:p>
    <w:p w:rsidR="00BB71B4" w:rsidRPr="00BB71B4" w:rsidRDefault="00BB71B4" w:rsidP="00BB71B4">
      <w:pPr>
        <w:pStyle w:val="TextoNormalSangraFrancesa"/>
        <w:rPr>
          <w:rStyle w:val="TextoNormalCaracter"/>
        </w:rPr>
      </w:pPr>
      <w:bookmarkStart w:id="1754" w:name="DESCRIPTORALFABETICO497"/>
      <w:r w:rsidRPr="00BB71B4">
        <w:rPr>
          <w:rStyle w:val="TextoNormalNegritaCaracter"/>
        </w:rPr>
        <w:t>Uso de información privilegiada</w:t>
      </w:r>
      <w:bookmarkEnd w:id="1754"/>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ff. 1, 4 a 7.</w:t>
      </w:r>
    </w:p>
    <w:p w:rsidR="00BB71B4" w:rsidRPr="00BB71B4" w:rsidRDefault="00BB71B4" w:rsidP="00BB71B4">
      <w:pPr>
        <w:pStyle w:val="TextoNormalSangraFrancesa"/>
        <w:rPr>
          <w:rStyle w:val="TextoNormalCaracter"/>
        </w:rPr>
      </w:pPr>
      <w:bookmarkStart w:id="1755" w:name="DESCRIPTORALFABETICO515"/>
      <w:r w:rsidRPr="00BB71B4">
        <w:rPr>
          <w:rStyle w:val="TextoNormalNegritaCaracter"/>
        </w:rPr>
        <w:t>Usos del suelo</w:t>
      </w:r>
      <w:bookmarkEnd w:id="1755"/>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1, 8, 9, 13, 16 a 18, 20; </w:t>
      </w:r>
      <w:hyperlink w:anchor="SENTENCIA_2015_92" w:history="1">
        <w:r w:rsidRPr="00BB71B4">
          <w:rPr>
            <w:rStyle w:val="TextoNormalCaracter"/>
          </w:rPr>
          <w:t>92/2015</w:t>
        </w:r>
      </w:hyperlink>
      <w:r w:rsidRPr="00BB71B4">
        <w:rPr>
          <w:rStyle w:val="TextoNormalCaracter"/>
        </w:rPr>
        <w:t>, ff. 8, 10.</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V</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756" w:name="DESCRIPTORALFABETICO686"/>
      <w:r w:rsidRPr="00BB71B4">
        <w:rPr>
          <w:rStyle w:val="TextoNormalNegritaCaracter"/>
        </w:rPr>
        <w:t>Valor probatorio de diligencias policiales</w:t>
      </w:r>
      <w:bookmarkEnd w:id="1756"/>
      <w:r w:rsidRPr="00BB71B4">
        <w:rPr>
          <w:rStyle w:val="TextoNormalCaracter"/>
        </w:rPr>
        <w:t xml:space="preserve">, Sentencia </w:t>
      </w:r>
      <w:hyperlink w:anchor="SENTENCIA_2015_33" w:history="1">
        <w:r w:rsidRPr="00BB71B4">
          <w:rPr>
            <w:rStyle w:val="TextoNormalCaracter"/>
          </w:rPr>
          <w:t>33/2015</w:t>
        </w:r>
      </w:hyperlink>
      <w:r w:rsidRPr="00BB71B4">
        <w:rPr>
          <w:rStyle w:val="TextoNormalCaracter"/>
        </w:rPr>
        <w:t>, ff. 4 a 6.</w:t>
      </w:r>
    </w:p>
    <w:p w:rsidR="00BB71B4" w:rsidRPr="00BB71B4" w:rsidRDefault="00BB71B4" w:rsidP="00BB71B4">
      <w:pPr>
        <w:pStyle w:val="TextoNormalSangraFrancesa"/>
        <w:rPr>
          <w:rStyle w:val="TextoNormalCaracter"/>
        </w:rPr>
      </w:pPr>
      <w:bookmarkStart w:id="1757" w:name="DESCRIPTORALFABETICO518"/>
      <w:r w:rsidRPr="00BB71B4">
        <w:rPr>
          <w:rStyle w:val="TextoNormalNegritaCaracter"/>
        </w:rPr>
        <w:t>Valor real del suelo</w:t>
      </w:r>
      <w:bookmarkEnd w:id="1757"/>
      <w:r w:rsidRPr="00BB71B4">
        <w:rPr>
          <w:rStyle w:val="TextoNormalCaracter"/>
        </w:rPr>
        <w:t xml:space="preserve">, Sentencia </w:t>
      </w:r>
      <w:hyperlink w:anchor="SENTENCIA_2015_43" w:history="1">
        <w:r w:rsidRPr="00BB71B4">
          <w:rPr>
            <w:rStyle w:val="TextoNormalCaracter"/>
          </w:rPr>
          <w:t>43/2015</w:t>
        </w:r>
      </w:hyperlink>
      <w:r w:rsidRPr="00BB71B4">
        <w:rPr>
          <w:rStyle w:val="TextoNormalCaracter"/>
        </w:rPr>
        <w:t>, ff. 3 a 5.</w:t>
      </w:r>
    </w:p>
    <w:p w:rsidR="00BB71B4" w:rsidRPr="00BB71B4" w:rsidRDefault="00BB71B4" w:rsidP="00BB71B4">
      <w:pPr>
        <w:pStyle w:val="TextoNormalSangraFrancesa"/>
        <w:rPr>
          <w:rStyle w:val="TextoNormalCaracter"/>
        </w:rPr>
      </w:pPr>
      <w:bookmarkStart w:id="1758" w:name="DESCRIPTORALFABETICO687"/>
      <w:r w:rsidRPr="00BB71B4">
        <w:rPr>
          <w:rStyle w:val="TextoNormalNegritaCaracter"/>
        </w:rPr>
        <w:t>Valoración conjunta de la prueba</w:t>
      </w:r>
      <w:bookmarkEnd w:id="1758"/>
      <w:r w:rsidRPr="00BB71B4">
        <w:rPr>
          <w:rStyle w:val="TextoNormalCaracter"/>
        </w:rPr>
        <w:t xml:space="preserve">, Sentencia </w:t>
      </w:r>
      <w:hyperlink w:anchor="SENTENCIA_2015_2" w:history="1">
        <w:r w:rsidRPr="00BB71B4">
          <w:rPr>
            <w:rStyle w:val="TextoNormalCaracter"/>
          </w:rPr>
          <w:t>2/2015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59" w:name="DESCRIPTORALFABETICO683"/>
      <w:r w:rsidRPr="00BB71B4">
        <w:rPr>
          <w:rStyle w:val="TextoNormalNegritaCaracter"/>
        </w:rPr>
        <w:t>Valoración de la prueba</w:t>
      </w:r>
      <w:bookmarkEnd w:id="1759"/>
      <w:r w:rsidRPr="00BB71B4">
        <w:rPr>
          <w:rStyle w:val="TextoNormalCaracter"/>
        </w:rPr>
        <w:t xml:space="preserve">, Sentencias </w:t>
      </w:r>
      <w:hyperlink w:anchor="SENTENCIA_2015_2" w:history="1">
        <w:r w:rsidRPr="00BB71B4">
          <w:rPr>
            <w:rStyle w:val="TextoNormalCaracter"/>
          </w:rPr>
          <w:t>2/2015</w:t>
        </w:r>
      </w:hyperlink>
      <w:r w:rsidRPr="00BB71B4">
        <w:rPr>
          <w:rStyle w:val="TextoNormalCaracter"/>
        </w:rPr>
        <w:t xml:space="preserve">, ff. 4 a 9; </w:t>
      </w:r>
      <w:hyperlink w:anchor="SENTENCIA_2015_55" w:history="1">
        <w:r w:rsidRPr="00BB71B4">
          <w:rPr>
            <w:rStyle w:val="TextoNormalCaracter"/>
          </w:rPr>
          <w:t>55/2015</w:t>
        </w:r>
      </w:hyperlink>
      <w:r w:rsidRPr="00BB71B4">
        <w:rPr>
          <w:rStyle w:val="TextoNormalCaracter"/>
        </w:rPr>
        <w:t>, ff. 3, 4 a), 5.</w:t>
      </w:r>
    </w:p>
    <w:p w:rsidR="00BB71B4" w:rsidRPr="00BB71B4" w:rsidRDefault="00BB71B4" w:rsidP="00BB71B4">
      <w:pPr>
        <w:pStyle w:val="TextoNormalSangraFrancesa"/>
        <w:rPr>
          <w:rStyle w:val="TextoNormalCaracter"/>
        </w:rPr>
      </w:pPr>
      <w:bookmarkStart w:id="1760" w:name="DESCRIPTORALFABETICO688"/>
      <w:r w:rsidRPr="00BB71B4">
        <w:rPr>
          <w:rStyle w:val="TextoNormalNegritaCaracter"/>
        </w:rPr>
        <w:t>Valoración de la prueba en casación</w:t>
      </w:r>
      <w:bookmarkEnd w:id="1760"/>
      <w:r w:rsidRPr="00BB71B4">
        <w:rPr>
          <w:rStyle w:val="TextoNormalCaracter"/>
        </w:rPr>
        <w:t xml:space="preserve">, Sentencia </w:t>
      </w:r>
      <w:hyperlink w:anchor="SENTENCIA_2015_9" w:history="1">
        <w:r w:rsidRPr="00BB71B4">
          <w:rPr>
            <w:rStyle w:val="TextoNormalCaracter"/>
          </w:rPr>
          <w:t>9/2015</w:t>
        </w:r>
      </w:hyperlink>
      <w:r w:rsidRPr="00BB71B4">
        <w:rPr>
          <w:rStyle w:val="TextoNormalCaracter"/>
        </w:rPr>
        <w:t>, ff. 3, 4.</w:t>
      </w:r>
    </w:p>
    <w:p w:rsidR="00BB71B4" w:rsidRPr="00BB71B4" w:rsidRDefault="00BB71B4" w:rsidP="00BB71B4">
      <w:pPr>
        <w:pStyle w:val="TextoNormalSangraFrancesa"/>
        <w:rPr>
          <w:rStyle w:val="TextoNormalCaracter"/>
        </w:rPr>
      </w:pPr>
      <w:bookmarkStart w:id="1761" w:name="DESCRIPTORALFABETICO516"/>
      <w:r w:rsidRPr="00BB71B4">
        <w:rPr>
          <w:rStyle w:val="TextoNormalNegritaCaracter"/>
        </w:rPr>
        <w:t>Valoraciones urbanísticas</w:t>
      </w:r>
      <w:bookmarkEnd w:id="1761"/>
      <w:r w:rsidRPr="00BB71B4">
        <w:rPr>
          <w:rStyle w:val="TextoNormalCaracter"/>
        </w:rPr>
        <w:t xml:space="preserve">, Sentencias </w:t>
      </w:r>
      <w:hyperlink w:anchor="SENTENCIA_2015_43" w:history="1">
        <w:r w:rsidRPr="00BB71B4">
          <w:rPr>
            <w:rStyle w:val="TextoNormalCaracter"/>
          </w:rPr>
          <w:t>43/2015</w:t>
        </w:r>
      </w:hyperlink>
      <w:r w:rsidRPr="00BB71B4">
        <w:rPr>
          <w:rStyle w:val="TextoNormalCaracter"/>
        </w:rPr>
        <w:t xml:space="preserve">, ff. 3 a 5; </w:t>
      </w:r>
      <w:hyperlink w:anchor="SENTENCIA_2015_56" w:history="1">
        <w:r w:rsidRPr="00BB71B4">
          <w:rPr>
            <w:rStyle w:val="TextoNormalCaracter"/>
          </w:rPr>
          <w:t>56/2015</w:t>
        </w:r>
      </w:hyperlink>
      <w:r w:rsidRPr="00BB71B4">
        <w:rPr>
          <w:rStyle w:val="TextoNormalCaracter"/>
        </w:rPr>
        <w:t>, f. 3.</w:t>
      </w:r>
    </w:p>
    <w:p w:rsidR="00BB71B4" w:rsidRPr="00BB71B4" w:rsidRDefault="00BB71B4" w:rsidP="00BB71B4">
      <w:pPr>
        <w:pStyle w:val="TextoNormalSangraFrancesa"/>
        <w:rPr>
          <w:rStyle w:val="TextoNormalCaracter"/>
        </w:rPr>
      </w:pPr>
      <w:r w:rsidRPr="00BB71B4">
        <w:rPr>
          <w:rStyle w:val="TextoNormalCaracter"/>
        </w:rPr>
        <w:t xml:space="preserve">    Autos </w:t>
      </w:r>
      <w:hyperlink w:anchor="AUTO_2015_8" w:history="1">
        <w:r w:rsidRPr="00BB71B4">
          <w:rPr>
            <w:rStyle w:val="TextoNormalCaracter"/>
          </w:rPr>
          <w:t>8/2015</w:t>
        </w:r>
      </w:hyperlink>
      <w:r w:rsidRPr="00BB71B4">
        <w:rPr>
          <w:rStyle w:val="TextoNormalCaracter"/>
        </w:rPr>
        <w:t xml:space="preserve">, f. 3; </w:t>
      </w:r>
      <w:hyperlink w:anchor="AUTO_2015_61" w:history="1">
        <w:r w:rsidRPr="00BB71B4">
          <w:rPr>
            <w:rStyle w:val="TextoNormalCaracter"/>
          </w:rPr>
          <w:t>61/2015</w:t>
        </w:r>
      </w:hyperlink>
      <w:r w:rsidRPr="00BB71B4">
        <w:rPr>
          <w:rStyle w:val="TextoNormalCaracter"/>
        </w:rPr>
        <w:t xml:space="preserve">, f. 3 b); </w:t>
      </w:r>
      <w:hyperlink w:anchor="AUTO_2015_62" w:history="1">
        <w:r w:rsidRPr="00BB71B4">
          <w:rPr>
            <w:rStyle w:val="TextoNormalCaracter"/>
          </w:rPr>
          <w:t>62/2015</w:t>
        </w:r>
      </w:hyperlink>
      <w:r w:rsidRPr="00BB71B4">
        <w:rPr>
          <w:rStyle w:val="TextoNormalCaracter"/>
        </w:rPr>
        <w:t>, f. 2.</w:t>
      </w:r>
    </w:p>
    <w:p w:rsidR="00BB71B4" w:rsidRPr="00BB71B4" w:rsidRDefault="00BB71B4" w:rsidP="00BB71B4">
      <w:pPr>
        <w:pStyle w:val="TextoNormalSangraFrancesa"/>
        <w:rPr>
          <w:rStyle w:val="TextoNormalCaracter"/>
        </w:rPr>
      </w:pPr>
      <w:bookmarkStart w:id="1762" w:name="DESCRIPTORALFABETICO205"/>
      <w:r w:rsidRPr="00BB71B4">
        <w:rPr>
          <w:rStyle w:val="TextoNormalNegritaCaracter"/>
        </w:rPr>
        <w:t>Veracidad de la información</w:t>
      </w:r>
      <w:bookmarkEnd w:id="1762"/>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4, 5.</w:t>
      </w:r>
    </w:p>
    <w:p w:rsidR="00BB71B4" w:rsidRPr="00BB71B4" w:rsidRDefault="00BB71B4" w:rsidP="00BB71B4">
      <w:pPr>
        <w:pStyle w:val="TextoNormalSangraFrancesa"/>
        <w:rPr>
          <w:rStyle w:val="TextoNormalCaracter"/>
        </w:rPr>
      </w:pPr>
      <w:bookmarkStart w:id="1763" w:name="DESCRIPTORALFABETICO340"/>
      <w:r w:rsidRPr="00BB71B4">
        <w:rPr>
          <w:rStyle w:val="TextoNormalNegritaCaracter"/>
        </w:rPr>
        <w:t>Vicios en el procedimiento legislativo</w:t>
      </w:r>
      <w:bookmarkEnd w:id="1763"/>
      <w:r w:rsidRPr="00BB71B4">
        <w:rPr>
          <w:rStyle w:val="TextoNormalCaracter"/>
        </w:rPr>
        <w:t xml:space="preserve">, Sentencias </w:t>
      </w:r>
      <w:hyperlink w:anchor="SENTENCIA_2015_44" w:history="1">
        <w:r w:rsidRPr="00BB71B4">
          <w:rPr>
            <w:rStyle w:val="TextoNormalCaracter"/>
          </w:rPr>
          <w:t>44/2015</w:t>
        </w:r>
      </w:hyperlink>
      <w:r w:rsidRPr="00BB71B4">
        <w:rPr>
          <w:rStyle w:val="TextoNormalCaracter"/>
        </w:rPr>
        <w:t xml:space="preserve">, ff. 2, 4 a); </w:t>
      </w:r>
      <w:hyperlink w:anchor="SENTENCIA_2015_84" w:history="1">
        <w:r w:rsidRPr="00BB71B4">
          <w:rPr>
            <w:rStyle w:val="TextoNormalCaracter"/>
          </w:rPr>
          <w:t>84/2015</w:t>
        </w:r>
      </w:hyperlink>
      <w:r w:rsidRPr="00BB71B4">
        <w:rPr>
          <w:rStyle w:val="TextoNormalCaracter"/>
        </w:rPr>
        <w:t>, f. 4.</w:t>
      </w:r>
    </w:p>
    <w:p w:rsidR="00BB71B4" w:rsidRPr="00BB71B4" w:rsidRDefault="00BB71B4" w:rsidP="00BB71B4">
      <w:pPr>
        <w:pStyle w:val="TextoNormalSangraFrancesa"/>
        <w:rPr>
          <w:rStyle w:val="TextoNormalCaracter"/>
        </w:rPr>
      </w:pPr>
      <w:bookmarkStart w:id="1764" w:name="DESCRIPTORALFABETICO578"/>
      <w:r w:rsidRPr="00BB71B4">
        <w:rPr>
          <w:rStyle w:val="TextoNormalNegritaCaracter"/>
        </w:rPr>
        <w:t>Vida privada</w:t>
      </w:r>
      <w:bookmarkEnd w:id="1764"/>
      <w:r w:rsidRPr="00BB71B4">
        <w:rPr>
          <w:rStyle w:val="TextoNormalCaracter"/>
        </w:rPr>
        <w:t xml:space="preserve">, Sentencia </w:t>
      </w:r>
      <w:hyperlink w:anchor="SENTENCIA_2015_18" w:history="1">
        <w:r w:rsidRPr="00BB71B4">
          <w:rPr>
            <w:rStyle w:val="TextoNormalCaracter"/>
          </w:rPr>
          <w:t>18/2015</w:t>
        </w:r>
      </w:hyperlink>
      <w:r w:rsidRPr="00BB71B4">
        <w:rPr>
          <w:rStyle w:val="TextoNormalCaracter"/>
        </w:rPr>
        <w:t>, ff. 5, 7.</w:t>
      </w:r>
    </w:p>
    <w:p w:rsidR="00BB71B4" w:rsidRPr="00BB71B4" w:rsidRDefault="00BB71B4" w:rsidP="00BB71B4">
      <w:pPr>
        <w:pStyle w:val="TextoNormalSangraFrancesa"/>
        <w:rPr>
          <w:rStyle w:val="TextoNormalCaracter"/>
        </w:rPr>
      </w:pPr>
      <w:bookmarkStart w:id="1765" w:name="DESCRIPTORALFABETICO645"/>
      <w:r w:rsidRPr="00BB71B4">
        <w:rPr>
          <w:rStyle w:val="TextoNormalNegritaCaracter"/>
        </w:rPr>
        <w:t>Vivienda</w:t>
      </w:r>
      <w:bookmarkEnd w:id="1765"/>
      <w:r w:rsidRPr="00BB71B4">
        <w:rPr>
          <w:rStyle w:val="TextoNormalCaracter"/>
        </w:rPr>
        <w:t xml:space="preserve">, Sentencia </w:t>
      </w:r>
      <w:hyperlink w:anchor="SENTENCIA_2015_93" w:history="1">
        <w:r w:rsidRPr="00BB71B4">
          <w:rPr>
            <w:rStyle w:val="TextoNormalCaracter"/>
          </w:rPr>
          <w:t>93/2015</w:t>
        </w:r>
      </w:hyperlink>
      <w:r w:rsidRPr="00BB71B4">
        <w:rPr>
          <w:rStyle w:val="TextoNormalCaracter"/>
        </w:rPr>
        <w:t>, f. 1.</w:t>
      </w:r>
    </w:p>
    <w:p w:rsidR="00BB71B4" w:rsidRPr="00BB71B4" w:rsidRDefault="00BB71B4" w:rsidP="00BB71B4">
      <w:pPr>
        <w:pStyle w:val="TextoNormalSangraFrancesa"/>
        <w:rPr>
          <w:rStyle w:val="TextoNormalCaracter"/>
        </w:rPr>
      </w:pPr>
      <w:bookmarkStart w:id="1766" w:name="DESCRIPTORALFABETICO647"/>
      <w:r w:rsidRPr="00BB71B4">
        <w:rPr>
          <w:rStyle w:val="TextoNormalNegritaCaracter"/>
        </w:rPr>
        <w:t>Viviendas de protección oficial</w:t>
      </w:r>
      <w:bookmarkEnd w:id="1766"/>
      <w:r w:rsidRPr="00BB71B4">
        <w:rPr>
          <w:rStyle w:val="TextoNormalCaracter"/>
        </w:rPr>
        <w:t xml:space="preserve">, Sentencias </w:t>
      </w:r>
      <w:hyperlink w:anchor="SENTENCIA_2015_57" w:history="1">
        <w:r w:rsidRPr="00BB71B4">
          <w:rPr>
            <w:rStyle w:val="TextoNormalCaracter"/>
          </w:rPr>
          <w:t>57/2015</w:t>
        </w:r>
      </w:hyperlink>
      <w:r w:rsidRPr="00BB71B4">
        <w:rPr>
          <w:rStyle w:val="TextoNormalCaracter"/>
        </w:rPr>
        <w:t xml:space="preserve">, ff. 17 b), 18 a), 21, 22; </w:t>
      </w:r>
      <w:hyperlink w:anchor="SENTENCIA_2015_92" w:history="1">
        <w:r w:rsidRPr="00BB71B4">
          <w:rPr>
            <w:rStyle w:val="TextoNormalCaracter"/>
          </w:rPr>
          <w:t>92/2015</w:t>
        </w:r>
      </w:hyperlink>
      <w:r w:rsidRPr="00BB71B4">
        <w:rPr>
          <w:rStyle w:val="TextoNormalCaracter"/>
        </w:rPr>
        <w:t>, ff. 7 b), 11, 12.</w:t>
      </w:r>
    </w:p>
    <w:p w:rsidR="00BB71B4" w:rsidRPr="00BB71B4" w:rsidRDefault="00BB71B4" w:rsidP="00BB71B4">
      <w:pPr>
        <w:pStyle w:val="TextoNormalSangraFrancesa"/>
        <w:rPr>
          <w:rStyle w:val="TextoNormalCaracter"/>
        </w:rPr>
      </w:pPr>
      <w:bookmarkStart w:id="1767" w:name="DESCRIPTORALFABETICO312"/>
      <w:r w:rsidRPr="00BB71B4">
        <w:rPr>
          <w:rStyle w:val="TextoNormalNegritaCaracter"/>
        </w:rPr>
        <w:t>Voto particular concurrente</w:t>
      </w:r>
      <w:bookmarkEnd w:id="1767"/>
      <w:r w:rsidRPr="00BB71B4">
        <w:rPr>
          <w:rStyle w:val="TextoNormalCaracter"/>
        </w:rPr>
        <w:t xml:space="preserve">, Sentencias </w:t>
      </w:r>
      <w:hyperlink w:anchor="SENTENCIA_2015_7" w:history="1">
        <w:r w:rsidRPr="00BB71B4">
          <w:rPr>
            <w:rStyle w:val="TextoNormalCaracter"/>
          </w:rPr>
          <w:t>7/2015</w:t>
        </w:r>
      </w:hyperlink>
      <w:r w:rsidRPr="00BB71B4">
        <w:rPr>
          <w:rStyle w:val="TextoNormalCaracter"/>
        </w:rPr>
        <w:t xml:space="preserve">, ff. 2 a 4; </w:t>
      </w:r>
      <w:hyperlink w:anchor="SENTENCIA_2015_17" w:history="1">
        <w:r w:rsidRPr="00BB71B4">
          <w:rPr>
            <w:rStyle w:val="TextoNormalCaracter"/>
          </w:rPr>
          <w:t>17/2015</w:t>
        </w:r>
      </w:hyperlink>
      <w:r w:rsidRPr="00BB71B4">
        <w:rPr>
          <w:rStyle w:val="TextoNormalCaracter"/>
        </w:rPr>
        <w:t xml:space="preserve">; </w:t>
      </w:r>
      <w:hyperlink w:anchor="SENTENCIA_2015_20" w:history="1">
        <w:r w:rsidRPr="00BB71B4">
          <w:rPr>
            <w:rStyle w:val="TextoNormalCaracter"/>
          </w:rPr>
          <w:t>20/2015</w:t>
        </w:r>
      </w:hyperlink>
      <w:r w:rsidRPr="00BB71B4">
        <w:rPr>
          <w:rStyle w:val="TextoNormalCaracter"/>
        </w:rPr>
        <w:t xml:space="preserve">; </w:t>
      </w:r>
      <w:hyperlink w:anchor="SENTENCIA_2015_52" w:history="1">
        <w:r w:rsidRPr="00BB71B4">
          <w:rPr>
            <w:rStyle w:val="TextoNormalCaracter"/>
          </w:rPr>
          <w:t>52/2015</w:t>
        </w:r>
      </w:hyperlink>
      <w:r w:rsidRPr="00BB71B4">
        <w:rPr>
          <w:rStyle w:val="TextoNormalCaracter"/>
        </w:rPr>
        <w:t xml:space="preserve">; </w:t>
      </w:r>
      <w:hyperlink w:anchor="SENTENCIA_2015_64" w:history="1">
        <w:r w:rsidRPr="00BB71B4">
          <w:rPr>
            <w:rStyle w:val="TextoNormalCaracter"/>
          </w:rPr>
          <w:t>64/2015</w:t>
        </w:r>
      </w:hyperlink>
      <w:r w:rsidRPr="00BB71B4">
        <w:rPr>
          <w:rStyle w:val="TextoNormalCaracter"/>
        </w:rPr>
        <w:t xml:space="preserve">; </w:t>
      </w:r>
      <w:hyperlink w:anchor="SENTENCIA_2015_139" w:history="1">
        <w:r w:rsidRPr="00BB71B4">
          <w:rPr>
            <w:rStyle w:val="TextoNormalCaracter"/>
          </w:rPr>
          <w:t>139/2015</w:t>
        </w:r>
      </w:hyperlink>
      <w:r w:rsidRPr="00BB71B4">
        <w:rPr>
          <w:rStyle w:val="TextoNormalCaracter"/>
        </w:rPr>
        <w:t>.</w:t>
      </w:r>
    </w:p>
    <w:p w:rsidR="00BB71B4" w:rsidRPr="00BB71B4" w:rsidRDefault="00BB71B4" w:rsidP="00BB71B4">
      <w:pPr>
        <w:pStyle w:val="TextoNormalSangraFrancesa"/>
        <w:rPr>
          <w:rStyle w:val="TextoNormalCaracter"/>
        </w:rPr>
      </w:pPr>
      <w:bookmarkStart w:id="1768" w:name="DESCRIPTORALFABETICO313"/>
      <w:r w:rsidRPr="00BB71B4">
        <w:rPr>
          <w:rStyle w:val="TextoNormalNegritaCaracter"/>
        </w:rPr>
        <w:t>Voto particular, formulado uno</w:t>
      </w:r>
      <w:bookmarkEnd w:id="1768"/>
      <w:r w:rsidRPr="00BB71B4">
        <w:rPr>
          <w:rStyle w:val="TextoNormalCaracter"/>
        </w:rPr>
        <w:t xml:space="preserve">, Sentencias </w:t>
      </w:r>
      <w:hyperlink w:anchor="SENTENCIA_2015_6" w:history="1">
        <w:r w:rsidRPr="00BB71B4">
          <w:rPr>
            <w:rStyle w:val="TextoNormalCaracter"/>
          </w:rPr>
          <w:t>6/2015</w:t>
        </w:r>
      </w:hyperlink>
      <w:r w:rsidRPr="00BB71B4">
        <w:rPr>
          <w:rStyle w:val="TextoNormalCaracter"/>
        </w:rPr>
        <w:t xml:space="preserve">; </w:t>
      </w:r>
      <w:hyperlink w:anchor="SENTENCIA_2015_8" w:history="1">
        <w:r w:rsidRPr="00BB71B4">
          <w:rPr>
            <w:rStyle w:val="TextoNormalCaracter"/>
          </w:rPr>
          <w:t>8/2015</w:t>
        </w:r>
      </w:hyperlink>
      <w:r w:rsidRPr="00BB71B4">
        <w:rPr>
          <w:rStyle w:val="TextoNormalCaracter"/>
        </w:rPr>
        <w:t xml:space="preserve">; </w:t>
      </w:r>
      <w:hyperlink w:anchor="SENTENCIA_2015_16" w:history="1">
        <w:r w:rsidRPr="00BB71B4">
          <w:rPr>
            <w:rStyle w:val="TextoNormalCaracter"/>
          </w:rPr>
          <w:t>16/2015</w:t>
        </w:r>
      </w:hyperlink>
      <w:r w:rsidRPr="00BB71B4">
        <w:rPr>
          <w:rStyle w:val="TextoNormalCaracter"/>
        </w:rPr>
        <w:t xml:space="preserve">; </w:t>
      </w:r>
      <w:hyperlink w:anchor="SENTENCIA_2015_19" w:history="1">
        <w:r w:rsidRPr="00BB71B4">
          <w:rPr>
            <w:rStyle w:val="TextoNormalCaracter"/>
          </w:rPr>
          <w:t>19/2015</w:t>
        </w:r>
      </w:hyperlink>
      <w:r w:rsidRPr="00BB71B4">
        <w:rPr>
          <w:rStyle w:val="TextoNormalCaracter"/>
        </w:rPr>
        <w:t xml:space="preserve">; </w:t>
      </w:r>
      <w:hyperlink w:anchor="SENTENCIA_2015_26" w:history="1">
        <w:r w:rsidRPr="00BB71B4">
          <w:rPr>
            <w:rStyle w:val="TextoNormalCaracter"/>
          </w:rPr>
          <w:t>26/2015</w:t>
        </w:r>
      </w:hyperlink>
      <w:r w:rsidRPr="00BB71B4">
        <w:rPr>
          <w:rStyle w:val="TextoNormalCaracter"/>
        </w:rPr>
        <w:t xml:space="preserve">; </w:t>
      </w:r>
      <w:hyperlink w:anchor="SENTENCIA_2015_30" w:history="1">
        <w:r w:rsidRPr="00BB71B4">
          <w:rPr>
            <w:rStyle w:val="TextoNormalCaracter"/>
          </w:rPr>
          <w:t>30/2015</w:t>
        </w:r>
      </w:hyperlink>
      <w:r w:rsidRPr="00BB71B4">
        <w:rPr>
          <w:rStyle w:val="TextoNormalCaracter"/>
        </w:rPr>
        <w:t xml:space="preserve">; </w:t>
      </w:r>
      <w:hyperlink w:anchor="SENTENCIA_2015_34" w:history="1">
        <w:r w:rsidRPr="00BB71B4">
          <w:rPr>
            <w:rStyle w:val="TextoNormalCaracter"/>
          </w:rPr>
          <w:t>34/2015</w:t>
        </w:r>
      </w:hyperlink>
      <w:r w:rsidRPr="00BB71B4">
        <w:rPr>
          <w:rStyle w:val="TextoNormalCaracter"/>
        </w:rPr>
        <w:t xml:space="preserve">; </w:t>
      </w:r>
      <w:hyperlink w:anchor="SENTENCIA_2015_35" w:history="1">
        <w:r w:rsidRPr="00BB71B4">
          <w:rPr>
            <w:rStyle w:val="TextoNormalCaracter"/>
          </w:rPr>
          <w:t>35/2015</w:t>
        </w:r>
      </w:hyperlink>
      <w:r w:rsidRPr="00BB71B4">
        <w:rPr>
          <w:rStyle w:val="TextoNormalCaracter"/>
        </w:rPr>
        <w:t xml:space="preserve">; </w:t>
      </w:r>
      <w:hyperlink w:anchor="SENTENCIA_2015_36" w:history="1">
        <w:r w:rsidRPr="00BB71B4">
          <w:rPr>
            <w:rStyle w:val="TextoNormalCaracter"/>
          </w:rPr>
          <w:t>36/2015</w:t>
        </w:r>
      </w:hyperlink>
      <w:r w:rsidRPr="00BB71B4">
        <w:rPr>
          <w:rStyle w:val="TextoNormalCaracter"/>
        </w:rPr>
        <w:t xml:space="preserve">; </w:t>
      </w:r>
      <w:hyperlink w:anchor="SENTENCIA_2015_37" w:history="1">
        <w:r w:rsidRPr="00BB71B4">
          <w:rPr>
            <w:rStyle w:val="TextoNormalCaracter"/>
          </w:rPr>
          <w:t>37/2015</w:t>
        </w:r>
      </w:hyperlink>
      <w:r w:rsidRPr="00BB71B4">
        <w:rPr>
          <w:rStyle w:val="TextoNormalCaracter"/>
        </w:rPr>
        <w:t xml:space="preserve">; </w:t>
      </w:r>
      <w:hyperlink w:anchor="SENTENCIA_2015_40" w:history="1">
        <w:r w:rsidRPr="00BB71B4">
          <w:rPr>
            <w:rStyle w:val="TextoNormalCaracter"/>
          </w:rPr>
          <w:t>40/2015</w:t>
        </w:r>
      </w:hyperlink>
      <w:r w:rsidRPr="00BB71B4">
        <w:rPr>
          <w:rStyle w:val="TextoNormalCaracter"/>
        </w:rPr>
        <w:t xml:space="preserve">; </w:t>
      </w:r>
      <w:hyperlink w:anchor="SENTENCIA_2015_48" w:history="1">
        <w:r w:rsidRPr="00BB71B4">
          <w:rPr>
            <w:rStyle w:val="TextoNormalCaracter"/>
          </w:rPr>
          <w:t>48/2015</w:t>
        </w:r>
      </w:hyperlink>
      <w:r w:rsidRPr="00BB71B4">
        <w:rPr>
          <w:rStyle w:val="TextoNormalCaracter"/>
        </w:rPr>
        <w:t xml:space="preserve">; </w:t>
      </w:r>
      <w:hyperlink w:anchor="SENTENCIA_2015_49" w:history="1">
        <w:r w:rsidRPr="00BB71B4">
          <w:rPr>
            <w:rStyle w:val="TextoNormalCaracter"/>
          </w:rPr>
          <w:t>49/2015</w:t>
        </w:r>
      </w:hyperlink>
      <w:r w:rsidRPr="00BB71B4">
        <w:rPr>
          <w:rStyle w:val="TextoNormalCaracter"/>
        </w:rPr>
        <w:t xml:space="preserve">; </w:t>
      </w:r>
      <w:hyperlink w:anchor="SENTENCIA_2015_50" w:history="1">
        <w:r w:rsidRPr="00BB71B4">
          <w:rPr>
            <w:rStyle w:val="TextoNormalCaracter"/>
          </w:rPr>
          <w:t>50/2015</w:t>
        </w:r>
      </w:hyperlink>
      <w:r w:rsidRPr="00BB71B4">
        <w:rPr>
          <w:rStyle w:val="TextoNormalCaracter"/>
        </w:rPr>
        <w:t xml:space="preserve">, VP; </w:t>
      </w:r>
      <w:hyperlink w:anchor="SENTENCIA_2015_53" w:history="1">
        <w:r w:rsidRPr="00BB71B4">
          <w:rPr>
            <w:rStyle w:val="TextoNormalCaracter"/>
          </w:rPr>
          <w:t>53/2015</w:t>
        </w:r>
      </w:hyperlink>
      <w:r w:rsidRPr="00BB71B4">
        <w:rPr>
          <w:rStyle w:val="TextoNormalCaracter"/>
        </w:rPr>
        <w:t xml:space="preserve">; </w:t>
      </w:r>
      <w:hyperlink w:anchor="SENTENCIA_2015_58" w:history="1">
        <w:r w:rsidRPr="00BB71B4">
          <w:rPr>
            <w:rStyle w:val="TextoNormalCaracter"/>
          </w:rPr>
          <w:t>58/2015</w:t>
        </w:r>
      </w:hyperlink>
      <w:r w:rsidRPr="00BB71B4">
        <w:rPr>
          <w:rStyle w:val="TextoNormalCaracter"/>
        </w:rPr>
        <w:t xml:space="preserve">; </w:t>
      </w:r>
      <w:hyperlink w:anchor="SENTENCIA_2015_59" w:history="1">
        <w:r w:rsidRPr="00BB71B4">
          <w:rPr>
            <w:rStyle w:val="TextoNormalCaracter"/>
          </w:rPr>
          <w:t>59/2015</w:t>
        </w:r>
      </w:hyperlink>
      <w:r w:rsidRPr="00BB71B4">
        <w:rPr>
          <w:rStyle w:val="TextoNormalCaracter"/>
        </w:rPr>
        <w:t xml:space="preserve">; </w:t>
      </w:r>
      <w:hyperlink w:anchor="SENTENCIA_2015_63" w:history="1">
        <w:r w:rsidRPr="00BB71B4">
          <w:rPr>
            <w:rStyle w:val="TextoNormalCaracter"/>
          </w:rPr>
          <w:t>63/2015</w:t>
        </w:r>
      </w:hyperlink>
      <w:r w:rsidRPr="00BB71B4">
        <w:rPr>
          <w:rStyle w:val="TextoNormalCaracter"/>
        </w:rPr>
        <w:t xml:space="preserve">; </w:t>
      </w:r>
      <w:hyperlink w:anchor="SENTENCIA_2015_67" w:history="1">
        <w:r w:rsidRPr="00BB71B4">
          <w:rPr>
            <w:rStyle w:val="TextoNormalCaracter"/>
          </w:rPr>
          <w:t>67/2015</w:t>
        </w:r>
      </w:hyperlink>
      <w:r w:rsidRPr="00BB71B4">
        <w:rPr>
          <w:rStyle w:val="TextoNormalCaracter"/>
        </w:rPr>
        <w:t xml:space="preserve">; </w:t>
      </w:r>
      <w:hyperlink w:anchor="SENTENCIA_2015_68" w:history="1">
        <w:r w:rsidRPr="00BB71B4">
          <w:rPr>
            <w:rStyle w:val="TextoNormalCaracter"/>
          </w:rPr>
          <w:t>68/2015</w:t>
        </w:r>
      </w:hyperlink>
      <w:r w:rsidRPr="00BB71B4">
        <w:rPr>
          <w:rStyle w:val="TextoNormalCaracter"/>
        </w:rPr>
        <w:t xml:space="preserve">; </w:t>
      </w:r>
      <w:hyperlink w:anchor="SENTENCIA_2015_69" w:history="1">
        <w:r w:rsidRPr="00BB71B4">
          <w:rPr>
            <w:rStyle w:val="TextoNormalCaracter"/>
          </w:rPr>
          <w:t>69/2015</w:t>
        </w:r>
      </w:hyperlink>
      <w:r w:rsidRPr="00BB71B4">
        <w:rPr>
          <w:rStyle w:val="TextoNormalCaracter"/>
        </w:rPr>
        <w:t xml:space="preserve">; </w:t>
      </w:r>
      <w:hyperlink w:anchor="SENTENCIA_2015_71" w:history="1">
        <w:r w:rsidRPr="00BB71B4">
          <w:rPr>
            <w:rStyle w:val="TextoNormalCaracter"/>
          </w:rPr>
          <w:t>71/2015</w:t>
        </w:r>
      </w:hyperlink>
      <w:r w:rsidRPr="00BB71B4">
        <w:rPr>
          <w:rStyle w:val="TextoNormalCaracter"/>
        </w:rPr>
        <w:t xml:space="preserve">; </w:t>
      </w:r>
      <w:hyperlink w:anchor="SENTENCIA_2015_73" w:history="1">
        <w:r w:rsidRPr="00BB71B4">
          <w:rPr>
            <w:rStyle w:val="TextoNormalCaracter"/>
          </w:rPr>
          <w:t>73/2015</w:t>
        </w:r>
      </w:hyperlink>
      <w:r w:rsidRPr="00BB71B4">
        <w:rPr>
          <w:rStyle w:val="TextoNormalCaracter"/>
        </w:rPr>
        <w:t xml:space="preserve">; </w:t>
      </w:r>
      <w:hyperlink w:anchor="SENTENCIA_2015_75" w:history="1">
        <w:r w:rsidRPr="00BB71B4">
          <w:rPr>
            <w:rStyle w:val="TextoNormalCaracter"/>
          </w:rPr>
          <w:t>75/2015</w:t>
        </w:r>
      </w:hyperlink>
      <w:r w:rsidRPr="00BB71B4">
        <w:rPr>
          <w:rStyle w:val="TextoNormalCaracter"/>
        </w:rPr>
        <w:t xml:space="preserve">; </w:t>
      </w:r>
      <w:hyperlink w:anchor="SENTENCIA_2015_77" w:history="1">
        <w:r w:rsidRPr="00BB71B4">
          <w:rPr>
            <w:rStyle w:val="TextoNormalCaracter"/>
          </w:rPr>
          <w:t>77/2015</w:t>
        </w:r>
      </w:hyperlink>
      <w:r w:rsidRPr="00BB71B4">
        <w:rPr>
          <w:rStyle w:val="TextoNormalCaracter"/>
        </w:rPr>
        <w:t xml:space="preserve">; </w:t>
      </w:r>
      <w:hyperlink w:anchor="SENTENCIA_2015_78" w:history="1">
        <w:r w:rsidRPr="00BB71B4">
          <w:rPr>
            <w:rStyle w:val="TextoNormalCaracter"/>
          </w:rPr>
          <w:t>78/2015</w:t>
        </w:r>
      </w:hyperlink>
      <w:r w:rsidRPr="00BB71B4">
        <w:rPr>
          <w:rStyle w:val="TextoNormalCaracter"/>
        </w:rPr>
        <w:t xml:space="preserve">; </w:t>
      </w:r>
      <w:hyperlink w:anchor="SENTENCIA_2015_95" w:history="1">
        <w:r w:rsidRPr="00BB71B4">
          <w:rPr>
            <w:rStyle w:val="TextoNormalCaracter"/>
          </w:rPr>
          <w:t>95/2015</w:t>
        </w:r>
      </w:hyperlink>
      <w:r w:rsidRPr="00BB71B4">
        <w:rPr>
          <w:rStyle w:val="TextoNormalCaracter"/>
        </w:rPr>
        <w:t xml:space="preserve">; </w:t>
      </w:r>
      <w:hyperlink w:anchor="SENTENCIA_2015_109" w:history="1">
        <w:r w:rsidRPr="00BB71B4">
          <w:rPr>
            <w:rStyle w:val="TextoNormalCaracter"/>
          </w:rPr>
          <w:t>109/2015</w:t>
        </w:r>
      </w:hyperlink>
      <w:r w:rsidRPr="00BB71B4">
        <w:rPr>
          <w:rStyle w:val="TextoNormalCaracter"/>
        </w:rPr>
        <w:t xml:space="preserve">; </w:t>
      </w:r>
      <w:hyperlink w:anchor="SENTENCIA_2015_110" w:history="1">
        <w:r w:rsidRPr="00BB71B4">
          <w:rPr>
            <w:rStyle w:val="TextoNormalCaracter"/>
          </w:rPr>
          <w:t>110/2015</w:t>
        </w:r>
      </w:hyperlink>
      <w:r w:rsidRPr="00BB71B4">
        <w:rPr>
          <w:rStyle w:val="TextoNormalCaracter"/>
        </w:rPr>
        <w:t xml:space="preserve">, VP; </w:t>
      </w:r>
      <w:hyperlink w:anchor="SENTENCIA_2015_116" w:history="1">
        <w:r w:rsidRPr="00BB71B4">
          <w:rPr>
            <w:rStyle w:val="TextoNormalCaracter"/>
          </w:rPr>
          <w:t>116/2015</w:t>
        </w:r>
      </w:hyperlink>
      <w:r w:rsidRPr="00BB71B4">
        <w:rPr>
          <w:rStyle w:val="TextoNormalCaracter"/>
        </w:rPr>
        <w:t xml:space="preserve">, f. 2; </w:t>
      </w:r>
      <w:hyperlink w:anchor="SENTENCIA_2015_119" w:history="1">
        <w:r w:rsidRPr="00BB71B4">
          <w:rPr>
            <w:rStyle w:val="TextoNormalCaracter"/>
          </w:rPr>
          <w:t>119/2015</w:t>
        </w:r>
      </w:hyperlink>
      <w:r w:rsidRPr="00BB71B4">
        <w:rPr>
          <w:rStyle w:val="TextoNormalCaracter"/>
        </w:rPr>
        <w:t xml:space="preserve">; </w:t>
      </w:r>
      <w:hyperlink w:anchor="SENTENCIA_2015_120" w:history="1">
        <w:r w:rsidRPr="00BB71B4">
          <w:rPr>
            <w:rStyle w:val="TextoNormalCaracter"/>
          </w:rPr>
          <w:t>120/2015</w:t>
        </w:r>
      </w:hyperlink>
      <w:r w:rsidRPr="00BB71B4">
        <w:rPr>
          <w:rStyle w:val="TextoNormalCaracter"/>
        </w:rPr>
        <w:t xml:space="preserve">; </w:t>
      </w:r>
      <w:hyperlink w:anchor="SENTENCIA_2015_125" w:history="1">
        <w:r w:rsidRPr="00BB71B4">
          <w:rPr>
            <w:rStyle w:val="TextoNormalCaracter"/>
          </w:rPr>
          <w:t>125/2015</w:t>
        </w:r>
      </w:hyperlink>
      <w:r w:rsidRPr="00BB71B4">
        <w:rPr>
          <w:rStyle w:val="TextoNormalCaracter"/>
        </w:rPr>
        <w:t xml:space="preserve">; </w:t>
      </w:r>
      <w:hyperlink w:anchor="SENTENCIA_2015_126" w:history="1">
        <w:r w:rsidRPr="00BB71B4">
          <w:rPr>
            <w:rStyle w:val="TextoNormalCaracter"/>
          </w:rPr>
          <w:t>126/2015</w:t>
        </w:r>
      </w:hyperlink>
      <w:r w:rsidRPr="00BB71B4">
        <w:rPr>
          <w:rStyle w:val="TextoNormalCaracter"/>
        </w:rPr>
        <w:t xml:space="preserve">; </w:t>
      </w:r>
      <w:hyperlink w:anchor="SENTENCIA_2015_127" w:history="1">
        <w:r w:rsidRPr="00BB71B4">
          <w:rPr>
            <w:rStyle w:val="TextoNormalCaracter"/>
          </w:rPr>
          <w:t>127/2015</w:t>
        </w:r>
      </w:hyperlink>
      <w:r w:rsidRPr="00BB71B4">
        <w:rPr>
          <w:rStyle w:val="TextoNormalCaracter"/>
        </w:rPr>
        <w:t xml:space="preserve">; </w:t>
      </w:r>
      <w:hyperlink w:anchor="SENTENCIA_2015_129" w:history="1">
        <w:r w:rsidRPr="00BB71B4">
          <w:rPr>
            <w:rStyle w:val="TextoNormalCaracter"/>
          </w:rPr>
          <w:t>129/2015</w:t>
        </w:r>
      </w:hyperlink>
      <w:r w:rsidRPr="00BB71B4">
        <w:rPr>
          <w:rStyle w:val="TextoNormalCaracter"/>
        </w:rPr>
        <w:t xml:space="preserve">; </w:t>
      </w:r>
      <w:hyperlink w:anchor="SENTENCIA_2015_130" w:history="1">
        <w:r w:rsidRPr="00BB71B4">
          <w:rPr>
            <w:rStyle w:val="TextoNormalCaracter"/>
          </w:rPr>
          <w:t>130/2015</w:t>
        </w:r>
      </w:hyperlink>
      <w:r w:rsidRPr="00BB71B4">
        <w:rPr>
          <w:rStyle w:val="TextoNormalCaracter"/>
        </w:rPr>
        <w:t xml:space="preserve">; </w:t>
      </w:r>
      <w:hyperlink w:anchor="SENTENCIA_2015_131" w:history="1">
        <w:r w:rsidRPr="00BB71B4">
          <w:rPr>
            <w:rStyle w:val="TextoNormalCaracter"/>
          </w:rPr>
          <w:t>131/2015</w:t>
        </w:r>
      </w:hyperlink>
      <w:r w:rsidRPr="00BB71B4">
        <w:rPr>
          <w:rStyle w:val="TextoNormalCaracter"/>
        </w:rPr>
        <w:t xml:space="preserve">; </w:t>
      </w:r>
      <w:hyperlink w:anchor="SENTENCIA_2015_133" w:history="1">
        <w:r w:rsidRPr="00BB71B4">
          <w:rPr>
            <w:rStyle w:val="TextoNormalCaracter"/>
          </w:rPr>
          <w:t>133/2015</w:t>
        </w:r>
      </w:hyperlink>
      <w:r w:rsidRPr="00BB71B4">
        <w:rPr>
          <w:rStyle w:val="TextoNormalCaracter"/>
        </w:rPr>
        <w:t xml:space="preserve">; </w:t>
      </w:r>
      <w:hyperlink w:anchor="SENTENCIA_2015_134" w:history="1">
        <w:r w:rsidRPr="00BB71B4">
          <w:rPr>
            <w:rStyle w:val="TextoNormalCaracter"/>
          </w:rPr>
          <w:t>134/2015</w:t>
        </w:r>
      </w:hyperlink>
      <w:r w:rsidRPr="00BB71B4">
        <w:rPr>
          <w:rStyle w:val="TextoNormalCaracter"/>
        </w:rPr>
        <w:t xml:space="preserve">; </w:t>
      </w:r>
      <w:hyperlink w:anchor="SENTENCIA_2015_135" w:history="1">
        <w:r w:rsidRPr="00BB71B4">
          <w:rPr>
            <w:rStyle w:val="TextoNormalCaracter"/>
          </w:rPr>
          <w:t>135/2015</w:t>
        </w:r>
      </w:hyperlink>
      <w:r w:rsidRPr="00BB71B4">
        <w:rPr>
          <w:rStyle w:val="TextoNormalCaracter"/>
        </w:rPr>
        <w:t xml:space="preserve">; </w:t>
      </w:r>
      <w:hyperlink w:anchor="SENTENCIA_2015_140" w:history="1">
        <w:r w:rsidRPr="00BB71B4">
          <w:rPr>
            <w:rStyle w:val="TextoNormalCaracter"/>
          </w:rPr>
          <w:t>140/2015</w:t>
        </w:r>
      </w:hyperlink>
      <w:r w:rsidRPr="00BB71B4">
        <w:rPr>
          <w:rStyle w:val="TextoNormalCaracter"/>
        </w:rPr>
        <w:t xml:space="preserve">; </w:t>
      </w:r>
      <w:hyperlink w:anchor="SENTENCIA_2015_144" w:history="1">
        <w:r w:rsidRPr="00BB71B4">
          <w:rPr>
            <w:rStyle w:val="TextoNormalCaracter"/>
          </w:rPr>
          <w:t>144/2015</w:t>
        </w:r>
      </w:hyperlink>
      <w:r w:rsidRPr="00BB71B4">
        <w:rPr>
          <w:rStyle w:val="TextoNormalCaracter"/>
        </w:rPr>
        <w:t>.</w:t>
      </w:r>
    </w:p>
    <w:p w:rsidR="00BB71B4" w:rsidRPr="00BB71B4" w:rsidRDefault="00BB71B4" w:rsidP="00BB71B4">
      <w:pPr>
        <w:pStyle w:val="TextoNormalSangraFrancesa"/>
        <w:rPr>
          <w:rStyle w:val="TextoNormalCaracter"/>
        </w:rPr>
      </w:pPr>
      <w:r w:rsidRPr="00BB71B4">
        <w:rPr>
          <w:rStyle w:val="TextoNormalCaracter"/>
        </w:rPr>
        <w:t xml:space="preserve">    Auto </w:t>
      </w:r>
      <w:hyperlink w:anchor="AUTO_2015_67" w:history="1">
        <w:r w:rsidRPr="00BB71B4">
          <w:rPr>
            <w:rStyle w:val="TextoNormalCaracter"/>
          </w:rPr>
          <w:t>67/2015</w:t>
        </w:r>
      </w:hyperlink>
      <w:r w:rsidRPr="00BB71B4">
        <w:rPr>
          <w:rStyle w:val="TextoNormalCaracter"/>
        </w:rPr>
        <w:t>.</w:t>
      </w:r>
    </w:p>
    <w:p w:rsidR="00BB71B4" w:rsidRPr="00BB71B4" w:rsidRDefault="00BB71B4" w:rsidP="00BB71B4">
      <w:pPr>
        <w:pStyle w:val="TextoNormalSangraFrancesa"/>
        <w:rPr>
          <w:rStyle w:val="TextoNormalCaracter"/>
        </w:rPr>
      </w:pPr>
      <w:bookmarkStart w:id="1769" w:name="DESCRIPTORALFABETICO314"/>
      <w:r w:rsidRPr="00BB71B4">
        <w:rPr>
          <w:rStyle w:val="TextoNormalNegritaCaracter"/>
        </w:rPr>
        <w:t xml:space="preserve">Votos particulares, formulados dos </w:t>
      </w:r>
      <w:bookmarkEnd w:id="1769"/>
      <w:r w:rsidRPr="00BB71B4">
        <w:rPr>
          <w:rStyle w:val="TextoNormalCaracter"/>
        </w:rPr>
        <w:t xml:space="preserve">, Sentencias </w:t>
      </w:r>
      <w:hyperlink w:anchor="SENTENCIA_2015_12" w:history="1">
        <w:r w:rsidRPr="00BB71B4">
          <w:rPr>
            <w:rStyle w:val="TextoNormalCaracter"/>
          </w:rPr>
          <w:t>12/2015</w:t>
        </w:r>
      </w:hyperlink>
      <w:r w:rsidRPr="00BB71B4">
        <w:rPr>
          <w:rStyle w:val="TextoNormalCaracter"/>
        </w:rPr>
        <w:t xml:space="preserve">; </w:t>
      </w:r>
      <w:hyperlink w:anchor="SENTENCIA_2015_25" w:history="1">
        <w:r w:rsidRPr="00BB71B4">
          <w:rPr>
            <w:rStyle w:val="TextoNormalCaracter"/>
          </w:rPr>
          <w:t>25/2015</w:t>
        </w:r>
      </w:hyperlink>
      <w:r w:rsidRPr="00BB71B4">
        <w:rPr>
          <w:rStyle w:val="TextoNormalCaracter"/>
        </w:rPr>
        <w:t xml:space="preserve">; </w:t>
      </w:r>
      <w:hyperlink w:anchor="SENTENCIA_2015_65" w:history="1">
        <w:r w:rsidRPr="00BB71B4">
          <w:rPr>
            <w:rStyle w:val="TextoNormalCaracter"/>
          </w:rPr>
          <w:t>65/2015</w:t>
        </w:r>
      </w:hyperlink>
      <w:r w:rsidRPr="00BB71B4">
        <w:rPr>
          <w:rStyle w:val="TextoNormalCaracter"/>
        </w:rPr>
        <w:t xml:space="preserve">; </w:t>
      </w:r>
      <w:hyperlink w:anchor="SENTENCIA_2015_70" w:history="1">
        <w:r w:rsidRPr="00BB71B4">
          <w:rPr>
            <w:rStyle w:val="TextoNormalCaracter"/>
          </w:rPr>
          <w:t>70/2015</w:t>
        </w:r>
      </w:hyperlink>
      <w:r w:rsidRPr="00BB71B4">
        <w:rPr>
          <w:rStyle w:val="TextoNormalCaracter"/>
        </w:rPr>
        <w:t>.</w:t>
      </w:r>
    </w:p>
    <w:p w:rsidR="00BB71B4" w:rsidRPr="00BB71B4" w:rsidRDefault="00BB71B4" w:rsidP="00BB71B4">
      <w:pPr>
        <w:pStyle w:val="TextoNormalSangraFrancesa"/>
        <w:rPr>
          <w:rStyle w:val="TextoNormalCaracter"/>
        </w:rPr>
      </w:pPr>
      <w:bookmarkStart w:id="1770" w:name="DESCRIPTORALFABETICO315"/>
      <w:r w:rsidRPr="00BB71B4">
        <w:rPr>
          <w:rStyle w:val="TextoNormalNegritaCaracter"/>
        </w:rPr>
        <w:t>Votos particulares, formulados tres</w:t>
      </w:r>
      <w:bookmarkEnd w:id="1770"/>
      <w:r w:rsidRPr="00BB71B4">
        <w:rPr>
          <w:rStyle w:val="TextoNormalCaracter"/>
        </w:rPr>
        <w:t xml:space="preserve">, Sentencias </w:t>
      </w:r>
      <w:hyperlink w:anchor="SENTENCIA_2015_93" w:history="1">
        <w:r w:rsidRPr="00BB71B4">
          <w:rPr>
            <w:rStyle w:val="TextoNormalCaracter"/>
          </w:rPr>
          <w:t>93/2015</w:t>
        </w:r>
      </w:hyperlink>
      <w:r w:rsidRPr="00BB71B4">
        <w:rPr>
          <w:rStyle w:val="TextoNormalCaracter"/>
        </w:rPr>
        <w:t xml:space="preserve">; </w:t>
      </w:r>
      <w:hyperlink w:anchor="SENTENCIA_2015_145" w:history="1">
        <w:r w:rsidRPr="00BB71B4">
          <w:rPr>
            <w:rStyle w:val="TextoNormalCaracter"/>
          </w:rPr>
          <w:t>145/2015</w:t>
        </w:r>
      </w:hyperlink>
      <w:r w:rsidRPr="00BB71B4">
        <w:rPr>
          <w:rStyle w:val="TextoNormalCaracter"/>
        </w:rPr>
        <w:t>.</w:t>
      </w:r>
    </w:p>
    <w:p w:rsidR="00BB71B4" w:rsidRDefault="00BB71B4" w:rsidP="00BB71B4">
      <w:pPr>
        <w:pStyle w:val="TextoNormalSangraFrancesa"/>
      </w:pPr>
    </w:p>
    <w:p w:rsidR="00BB71B4" w:rsidRDefault="00BB71B4" w:rsidP="00BB71B4">
      <w:pPr>
        <w:pStyle w:val="TextoNormalSangraFrancesa"/>
      </w:pPr>
    </w:p>
    <w:p w:rsidR="00BB71B4" w:rsidRDefault="00BB71B4" w:rsidP="00BB71B4">
      <w:pPr>
        <w:pStyle w:val="TextoNormalNegritaCentrado"/>
      </w:pPr>
      <w:r>
        <w:t>Z</w:t>
      </w:r>
    </w:p>
    <w:p w:rsidR="00BB71B4" w:rsidRDefault="00BB71B4" w:rsidP="00BB71B4">
      <w:pPr>
        <w:pStyle w:val="TextoNormalNegritaCentrado"/>
      </w:pPr>
    </w:p>
    <w:p w:rsidR="00BB71B4" w:rsidRPr="00BB71B4" w:rsidRDefault="00BB71B4" w:rsidP="00BB71B4">
      <w:pPr>
        <w:pStyle w:val="TextoNormalSangraFrancesa"/>
        <w:rPr>
          <w:rStyle w:val="TextoNormalCaracter"/>
        </w:rPr>
      </w:pPr>
      <w:bookmarkStart w:id="1771" w:name="DESCRIPTORALFABETICO464"/>
      <w:r w:rsidRPr="00BB71B4">
        <w:rPr>
          <w:rStyle w:val="TextoNormalNegritaCaracter"/>
        </w:rPr>
        <w:t>Zona marítimo terrestre</w:t>
      </w:r>
      <w:bookmarkEnd w:id="1771"/>
      <w:r w:rsidRPr="00BB71B4">
        <w:rPr>
          <w:rStyle w:val="TextoNormalCaracter"/>
        </w:rPr>
        <w:t xml:space="preserve">, Sentencia </w:t>
      </w:r>
      <w:hyperlink w:anchor="SENTENCIA_2015_5" w:history="1">
        <w:r w:rsidRPr="00BB71B4">
          <w:rPr>
            <w:rStyle w:val="TextoNormalCaracter"/>
          </w:rPr>
          <w:t>5/2015</w:t>
        </w:r>
      </w:hyperlink>
      <w:r w:rsidRPr="00BB71B4">
        <w:rPr>
          <w:rStyle w:val="TextoNormalCaracter"/>
        </w:rPr>
        <w:t>, ff. 2, 4.</w:t>
      </w:r>
    </w:p>
    <w:p w:rsidR="00BB71B4" w:rsidRDefault="00BB71B4">
      <w:pPr>
        <w:spacing w:after="160" w:line="259" w:lineRule="auto"/>
        <w:rPr>
          <w:rFonts w:ascii="Times New Roman" w:eastAsia="Times New Roman" w:hAnsi="Times New Roman" w:cs="Times New Roman"/>
          <w:sz w:val="24"/>
          <w:szCs w:val="24"/>
          <w:lang w:eastAsia="es-ES"/>
        </w:rPr>
      </w:pPr>
      <w:r>
        <w:br w:type="page"/>
      </w:r>
    </w:p>
    <w:p w:rsidR="00BB71B4" w:rsidRDefault="00BB71B4" w:rsidP="00BB71B4">
      <w:pPr>
        <w:pStyle w:val="TextoNormalSangraFrancesa"/>
      </w:pPr>
    </w:p>
    <w:p w:rsidR="00852C5E" w:rsidRDefault="00852C5E" w:rsidP="00852C5E">
      <w:pPr>
        <w:pStyle w:val="TextoNormalSangraFrancesa"/>
      </w:pPr>
    </w:p>
    <w:p w:rsidR="00852C5E" w:rsidRDefault="00852C5E" w:rsidP="00852C5E">
      <w:pPr>
        <w:pStyle w:val="TextoNormalSangraFrancesa"/>
      </w:pPr>
    </w:p>
    <w:p w:rsidR="00852C5E" w:rsidRDefault="00852C5E" w:rsidP="00852C5E">
      <w:pPr>
        <w:pStyle w:val="TextoNormalSangraFrancesa"/>
      </w:pPr>
    </w:p>
    <w:p w:rsidR="00852C5E" w:rsidRDefault="00852C5E" w:rsidP="00852C5E">
      <w:pPr>
        <w:pStyle w:val="TextoNormalSangraFrancesa"/>
      </w:pPr>
    </w:p>
    <w:p w:rsidR="00852C5E" w:rsidRDefault="00852C5E" w:rsidP="00852C5E">
      <w:pPr>
        <w:pStyle w:val="TextoNormalSangraFrancesa"/>
      </w:pPr>
    </w:p>
    <w:p w:rsidR="00852C5E" w:rsidRDefault="00852C5E" w:rsidP="00852C5E">
      <w:pPr>
        <w:pStyle w:val="TextoNormalSangraFrancesa"/>
      </w:pPr>
    </w:p>
    <w:p w:rsidR="00852C5E" w:rsidRDefault="00852C5E" w:rsidP="00852C5E">
      <w:pPr>
        <w:pStyle w:val="TextoNormalSangraFrancesa"/>
      </w:pPr>
    </w:p>
    <w:p w:rsidR="00852C5E" w:rsidRDefault="00852C5E" w:rsidP="00852C5E">
      <w:pPr>
        <w:pStyle w:val="Ttulondice"/>
      </w:pPr>
      <w:bookmarkStart w:id="1772" w:name="ACRONIMOS"/>
      <w:r>
        <w:t>8. ABREVIATURAS Y ACRÓNIMOS</w:t>
      </w:r>
    </w:p>
    <w:bookmarkEnd w:id="1772"/>
    <w:p w:rsidR="00852C5E" w:rsidRDefault="00852C5E" w:rsidP="00852C5E">
      <w:pPr>
        <w:pStyle w:val="Ttulondice"/>
      </w:pPr>
    </w:p>
    <w:p w:rsidR="00852C5E" w:rsidRDefault="00852C5E" w:rsidP="00852C5E">
      <w:pPr>
        <w:pStyle w:val="Ttulondice"/>
      </w:pPr>
    </w:p>
    <w:p w:rsidR="00852C5E" w:rsidRDefault="00852C5E" w:rsidP="00852C5E">
      <w:pPr>
        <w:pStyle w:val="Ttulondice"/>
      </w:pPr>
    </w:p>
    <w:p w:rsidR="00852C5E" w:rsidRDefault="00852C5E" w:rsidP="00852C5E">
      <w:pPr>
        <w:pStyle w:val="Ttulondice"/>
      </w:pPr>
    </w:p>
    <w:p w:rsidR="00852C5E" w:rsidRDefault="00852C5E" w:rsidP="00852C5E">
      <w:pPr>
        <w:pStyle w:val="TextoAbreviaturas"/>
      </w:pPr>
      <w:r>
        <w:t>§</w:t>
      </w:r>
      <w:r>
        <w:tab/>
        <w:t>Parágrafo (usual en SSTEDH)</w:t>
      </w:r>
    </w:p>
    <w:p w:rsidR="00852C5E" w:rsidRDefault="00852C5E" w:rsidP="00852C5E">
      <w:pPr>
        <w:pStyle w:val="TextoAbreviaturas"/>
      </w:pPr>
      <w:r>
        <w:t>AEAT</w:t>
      </w:r>
      <w:r>
        <w:tab/>
        <w:t>Agencia estatal de la administración tributaria</w:t>
      </w:r>
    </w:p>
    <w:p w:rsidR="00852C5E" w:rsidRDefault="00852C5E" w:rsidP="00852C5E">
      <w:pPr>
        <w:pStyle w:val="TextoAbreviaturas"/>
      </w:pPr>
      <w:r>
        <w:t>AENA</w:t>
      </w:r>
      <w:r>
        <w:tab/>
        <w:t>Aeropuertos Españoles y Navegación Aérea</w:t>
      </w:r>
    </w:p>
    <w:p w:rsidR="00852C5E" w:rsidRDefault="00852C5E" w:rsidP="00852C5E">
      <w:pPr>
        <w:pStyle w:val="TextoAbreviaturas"/>
      </w:pPr>
      <w:r>
        <w:t>ATC</w:t>
      </w:r>
      <w:r>
        <w:tab/>
        <w:t>Auto del Tribunal Constitucional</w:t>
      </w:r>
    </w:p>
    <w:p w:rsidR="00852C5E" w:rsidRDefault="00852C5E" w:rsidP="00852C5E">
      <w:pPr>
        <w:pStyle w:val="TextoAbreviaturas"/>
      </w:pPr>
      <w:r>
        <w:t>ATS</w:t>
      </w:r>
      <w:r>
        <w:tab/>
        <w:t>Auto del Tribunal Supremo</w:t>
      </w:r>
    </w:p>
    <w:p w:rsidR="00852C5E" w:rsidRDefault="00852C5E" w:rsidP="00852C5E">
      <w:pPr>
        <w:pStyle w:val="TextoAbreviaturas"/>
      </w:pPr>
      <w:r>
        <w:t>BOCM</w:t>
      </w:r>
      <w:r>
        <w:tab/>
        <w:t>Boletín Oficial de la Comunidad de Madrid</w:t>
      </w:r>
    </w:p>
    <w:p w:rsidR="00852C5E" w:rsidRDefault="00852C5E" w:rsidP="00852C5E">
      <w:pPr>
        <w:pStyle w:val="TextoAbreviaturas"/>
      </w:pPr>
      <w:r>
        <w:t>BOE</w:t>
      </w:r>
      <w:r>
        <w:tab/>
        <w:t>Boletín Oficial del Estado</w:t>
      </w:r>
    </w:p>
    <w:p w:rsidR="00852C5E" w:rsidRDefault="00852C5E" w:rsidP="00852C5E">
      <w:pPr>
        <w:pStyle w:val="TextoAbreviaturas"/>
      </w:pPr>
      <w:r>
        <w:t>BOPA</w:t>
      </w:r>
      <w:r>
        <w:tab/>
        <w:t>Boletín Oficial del Principado de Asturias</w:t>
      </w:r>
    </w:p>
    <w:p w:rsidR="00852C5E" w:rsidRDefault="00852C5E" w:rsidP="00852C5E">
      <w:pPr>
        <w:pStyle w:val="TextoAbreviaturas"/>
      </w:pPr>
      <w:r>
        <w:t>CC</w:t>
      </w:r>
      <w:r>
        <w:tab/>
        <w:t>Código civil</w:t>
      </w:r>
    </w:p>
    <w:p w:rsidR="00852C5E" w:rsidRDefault="00852C5E" w:rsidP="00852C5E">
      <w:pPr>
        <w:pStyle w:val="TextoAbreviaturas"/>
      </w:pPr>
      <w:r>
        <w:t>CCOO</w:t>
      </w:r>
      <w:r>
        <w:tab/>
        <w:t>Comisiones Obreras</w:t>
      </w:r>
    </w:p>
    <w:p w:rsidR="00852C5E" w:rsidRDefault="00852C5E" w:rsidP="00852C5E">
      <w:pPr>
        <w:pStyle w:val="TextoAbreviaturas"/>
      </w:pPr>
      <w:r>
        <w:t>CE</w:t>
      </w:r>
      <w:r>
        <w:tab/>
        <w:t>Constitución española</w:t>
      </w:r>
    </w:p>
    <w:p w:rsidR="00852C5E" w:rsidRDefault="00852C5E" w:rsidP="00852C5E">
      <w:pPr>
        <w:pStyle w:val="TextoAbreviaturas"/>
      </w:pPr>
      <w:r>
        <w:t>CEDH</w:t>
      </w:r>
      <w:r>
        <w:tab/>
        <w:t>Convenio europeo para la protección de los derechos humanos y de las libertades fundamentales</w:t>
      </w:r>
    </w:p>
    <w:p w:rsidR="00852C5E" w:rsidRDefault="00852C5E" w:rsidP="00852C5E">
      <w:pPr>
        <w:pStyle w:val="TextoAbreviaturas"/>
      </w:pPr>
      <w:r>
        <w:t>CEE</w:t>
      </w:r>
      <w:r>
        <w:tab/>
        <w:t>Comunidad Económica Europea</w:t>
      </w:r>
    </w:p>
    <w:p w:rsidR="00852C5E" w:rsidRDefault="00852C5E" w:rsidP="00852C5E">
      <w:pPr>
        <w:pStyle w:val="TextoAbreviaturas"/>
      </w:pPr>
      <w:r>
        <w:t>CES</w:t>
      </w:r>
      <w:r>
        <w:tab/>
        <w:t>Consejo Económico y Social</w:t>
      </w:r>
    </w:p>
    <w:p w:rsidR="00852C5E" w:rsidRDefault="00852C5E" w:rsidP="00852C5E">
      <w:pPr>
        <w:pStyle w:val="TextoAbreviaturas"/>
      </w:pPr>
      <w:r>
        <w:t>CGT</w:t>
      </w:r>
      <w:r>
        <w:tab/>
        <w:t>Confederación General de Trabajadores</w:t>
      </w:r>
    </w:p>
    <w:p w:rsidR="00852C5E" w:rsidRDefault="00852C5E" w:rsidP="00852C5E">
      <w:pPr>
        <w:pStyle w:val="TextoAbreviaturas"/>
      </w:pPr>
      <w:r>
        <w:t>CIG</w:t>
      </w:r>
      <w:r>
        <w:tab/>
        <w:t>Confederación intersindical gallega</w:t>
      </w:r>
    </w:p>
    <w:p w:rsidR="00852C5E" w:rsidRDefault="00852C5E" w:rsidP="00852C5E">
      <w:pPr>
        <w:pStyle w:val="TextoAbreviaturas"/>
      </w:pPr>
      <w:r>
        <w:t>CP</w:t>
      </w:r>
      <w:r>
        <w:tab/>
        <w:t>Código penal</w:t>
      </w:r>
    </w:p>
    <w:p w:rsidR="00852C5E" w:rsidRDefault="00852C5E" w:rsidP="00852C5E">
      <w:pPr>
        <w:pStyle w:val="TextoAbreviaturas"/>
      </w:pPr>
      <w:r>
        <w:t>CSIF</w:t>
      </w:r>
      <w:r>
        <w:tab/>
        <w:t>Confederación Sindical Independiente de Funcionarios</w:t>
      </w:r>
    </w:p>
    <w:p w:rsidR="00852C5E" w:rsidRDefault="00852C5E" w:rsidP="00852C5E">
      <w:pPr>
        <w:pStyle w:val="TextoAbreviaturas"/>
      </w:pPr>
      <w:r>
        <w:t>DOGC</w:t>
      </w:r>
      <w:r>
        <w:tab/>
        <w:t>Diario Oficial de la Generalidad de Cataluña</w:t>
      </w:r>
    </w:p>
    <w:p w:rsidR="00852C5E" w:rsidRDefault="00852C5E" w:rsidP="00852C5E">
      <w:pPr>
        <w:pStyle w:val="TextoAbreviaturas"/>
      </w:pPr>
      <w:r>
        <w:t>EAAr</w:t>
      </w:r>
      <w:r>
        <w:tab/>
        <w:t>Estatuto de Autonomía de Aragón</w:t>
      </w:r>
    </w:p>
    <w:p w:rsidR="00852C5E" w:rsidRDefault="00852C5E" w:rsidP="00852C5E">
      <w:pPr>
        <w:pStyle w:val="TextoAbreviaturas"/>
      </w:pPr>
      <w:r>
        <w:t>EAC</w:t>
      </w:r>
      <w:r>
        <w:tab/>
        <w:t>Estatuto de Autonomía de Cataluña</w:t>
      </w:r>
    </w:p>
    <w:p w:rsidR="00852C5E" w:rsidRDefault="00852C5E" w:rsidP="00852C5E">
      <w:pPr>
        <w:pStyle w:val="TextoAbreviaturas"/>
      </w:pPr>
      <w:r>
        <w:t>EACan</w:t>
      </w:r>
      <w:r>
        <w:tab/>
        <w:t>Estatuto de Autonomía de Canarias</w:t>
      </w:r>
    </w:p>
    <w:p w:rsidR="00852C5E" w:rsidRDefault="00852C5E" w:rsidP="00852C5E">
      <w:pPr>
        <w:pStyle w:val="TextoAbreviaturas"/>
      </w:pPr>
      <w:r>
        <w:t>EACM</w:t>
      </w:r>
      <w:r>
        <w:tab/>
        <w:t>Estatuto de Autonomía de Castilla-La Mancha</w:t>
      </w:r>
    </w:p>
    <w:p w:rsidR="00852C5E" w:rsidRDefault="00852C5E" w:rsidP="00852C5E">
      <w:pPr>
        <w:pStyle w:val="TextoAbreviaturas"/>
      </w:pPr>
      <w:r>
        <w:t>EAG</w:t>
      </w:r>
      <w:r>
        <w:tab/>
        <w:t>Estatuto de Autonomía para Galicia</w:t>
      </w:r>
    </w:p>
    <w:p w:rsidR="00852C5E" w:rsidRDefault="00852C5E" w:rsidP="00852C5E">
      <w:pPr>
        <w:pStyle w:val="TextoAbreviaturas"/>
      </w:pPr>
      <w:r>
        <w:t>EAIB</w:t>
      </w:r>
      <w:r>
        <w:tab/>
        <w:t>Estatuto de Autonomía de las Illes Balears</w:t>
      </w:r>
    </w:p>
    <w:p w:rsidR="00852C5E" w:rsidRDefault="00852C5E" w:rsidP="00852C5E">
      <w:pPr>
        <w:pStyle w:val="TextoAbreviaturas"/>
      </w:pPr>
      <w:r>
        <w:t>EAM</w:t>
      </w:r>
      <w:r>
        <w:tab/>
        <w:t>Estatuto de Autonomía de la Comunidad de Madrid</w:t>
      </w:r>
    </w:p>
    <w:p w:rsidR="00852C5E" w:rsidRDefault="00852C5E" w:rsidP="00852C5E">
      <w:pPr>
        <w:pStyle w:val="TextoAbreviaturas"/>
      </w:pPr>
      <w:r>
        <w:t>EAV</w:t>
      </w:r>
      <w:r>
        <w:tab/>
        <w:t>Estatuto de Autonomía para la Comunidad Valenciana</w:t>
      </w:r>
    </w:p>
    <w:p w:rsidR="00852C5E" w:rsidRDefault="00852C5E" w:rsidP="00852C5E">
      <w:pPr>
        <w:pStyle w:val="TextoAbreviaturas"/>
      </w:pPr>
      <w:r>
        <w:t>FED</w:t>
      </w:r>
      <w:r>
        <w:tab/>
        <w:t>Fondo Europeo de Desarrollo</w:t>
      </w:r>
    </w:p>
    <w:p w:rsidR="00852C5E" w:rsidRDefault="00852C5E" w:rsidP="00852C5E">
      <w:pPr>
        <w:pStyle w:val="TextoAbreviaturas"/>
      </w:pPr>
      <w:r>
        <w:t>FJ</w:t>
      </w:r>
      <w:r>
        <w:tab/>
        <w:t>Fundamento jurídico</w:t>
      </w:r>
    </w:p>
    <w:p w:rsidR="00852C5E" w:rsidRDefault="00852C5E" w:rsidP="00852C5E">
      <w:pPr>
        <w:pStyle w:val="TextoAbreviaturas"/>
      </w:pPr>
      <w:r>
        <w:t>FROB</w:t>
      </w:r>
      <w:r>
        <w:tab/>
        <w:t>Fondo de reestructuración ordenada bancaria</w:t>
      </w:r>
    </w:p>
    <w:p w:rsidR="00852C5E" w:rsidRDefault="00852C5E" w:rsidP="00852C5E">
      <w:pPr>
        <w:pStyle w:val="TextoAbreviaturas"/>
      </w:pPr>
      <w:r>
        <w:t>IAE</w:t>
      </w:r>
      <w:r>
        <w:tab/>
        <w:t>Impuesto sobre actividades económicas</w:t>
      </w:r>
    </w:p>
    <w:p w:rsidR="00852C5E" w:rsidRDefault="00852C5E" w:rsidP="00852C5E">
      <w:pPr>
        <w:pStyle w:val="TextoAbreviaturas"/>
      </w:pPr>
      <w:r>
        <w:t>INEM</w:t>
      </w:r>
      <w:r>
        <w:tab/>
        <w:t>Instituto Nacional de Empleo</w:t>
      </w:r>
    </w:p>
    <w:p w:rsidR="00852C5E" w:rsidRDefault="00852C5E" w:rsidP="00852C5E">
      <w:pPr>
        <w:pStyle w:val="TextoAbreviaturas"/>
      </w:pPr>
      <w:r>
        <w:t>INSALUD</w:t>
      </w:r>
      <w:r>
        <w:tab/>
        <w:t>Instituto Nacional de la Salud</w:t>
      </w:r>
    </w:p>
    <w:p w:rsidR="00852C5E" w:rsidRDefault="00852C5E" w:rsidP="00852C5E">
      <w:pPr>
        <w:pStyle w:val="TextoAbreviaturas"/>
      </w:pPr>
      <w:r>
        <w:t>INSS</w:t>
      </w:r>
      <w:r>
        <w:tab/>
        <w:t>Instituto Nacional de la Seguridad Social</w:t>
      </w:r>
    </w:p>
    <w:p w:rsidR="00852C5E" w:rsidRDefault="00852C5E" w:rsidP="00852C5E">
      <w:pPr>
        <w:pStyle w:val="TextoAbreviaturas"/>
      </w:pPr>
      <w:r>
        <w:t>IPC</w:t>
      </w:r>
      <w:r>
        <w:tab/>
        <w:t>Índice de precios al consumo</w:t>
      </w:r>
    </w:p>
    <w:p w:rsidR="00852C5E" w:rsidRDefault="00852C5E" w:rsidP="00852C5E">
      <w:pPr>
        <w:pStyle w:val="TextoAbreviaturas"/>
      </w:pPr>
      <w:r>
        <w:t>IRPF</w:t>
      </w:r>
      <w:r>
        <w:tab/>
        <w:t>Impuesto sobre la renta de las personas físicas</w:t>
      </w:r>
    </w:p>
    <w:p w:rsidR="00852C5E" w:rsidRDefault="00852C5E" w:rsidP="00852C5E">
      <w:pPr>
        <w:pStyle w:val="TextoAbreviaturas"/>
      </w:pPr>
      <w:r>
        <w:t>IVA</w:t>
      </w:r>
      <w:r>
        <w:tab/>
        <w:t>Impuesto sobre el valor añadido</w:t>
      </w:r>
    </w:p>
    <w:p w:rsidR="00852C5E" w:rsidRDefault="00852C5E" w:rsidP="00852C5E">
      <w:pPr>
        <w:pStyle w:val="TextoAbreviaturas"/>
      </w:pPr>
      <w:r>
        <w:t>LA</w:t>
      </w:r>
      <w:r>
        <w:tab/>
        <w:t>Ley de aguas</w:t>
      </w:r>
    </w:p>
    <w:p w:rsidR="00852C5E" w:rsidRDefault="00852C5E" w:rsidP="00852C5E">
      <w:pPr>
        <w:pStyle w:val="TextoAbreviaturas"/>
      </w:pPr>
      <w:r>
        <w:t>LAB</w:t>
      </w:r>
      <w:r>
        <w:tab/>
        <w:t>Langile Abertzaleen Batzordeak (Sindicato)</w:t>
      </w:r>
    </w:p>
    <w:p w:rsidR="00852C5E" w:rsidRDefault="00852C5E" w:rsidP="00852C5E">
      <w:pPr>
        <w:pStyle w:val="TextoAbreviaturas"/>
      </w:pPr>
      <w:r>
        <w:t>LAJG</w:t>
      </w:r>
      <w:r>
        <w:tab/>
        <w:t>Ley de asistencia jurídica gratuita</w:t>
      </w:r>
    </w:p>
    <w:p w:rsidR="00852C5E" w:rsidRDefault="00852C5E" w:rsidP="00852C5E">
      <w:pPr>
        <w:pStyle w:val="TextoAbreviaturas"/>
      </w:pPr>
      <w:r>
        <w:t>LBRL</w:t>
      </w:r>
      <w:r>
        <w:tab/>
        <w:t>Ley reguladora de las bases de régimen local</w:t>
      </w:r>
    </w:p>
    <w:p w:rsidR="00852C5E" w:rsidRDefault="00852C5E" w:rsidP="00852C5E">
      <w:pPr>
        <w:pStyle w:val="TextoAbreviaturas"/>
      </w:pPr>
      <w:r>
        <w:t>LC</w:t>
      </w:r>
      <w:r>
        <w:tab/>
        <w:t>Ley de costas</w:t>
      </w:r>
    </w:p>
    <w:p w:rsidR="00852C5E" w:rsidRDefault="00852C5E" w:rsidP="00852C5E">
      <w:pPr>
        <w:pStyle w:val="TextoAbreviaturas"/>
      </w:pPr>
      <w:r>
        <w:t>LCU</w:t>
      </w:r>
      <w:r>
        <w:tab/>
        <w:t>Ley general para la defensa de los consumidores y usuarios</w:t>
      </w:r>
    </w:p>
    <w:p w:rsidR="00852C5E" w:rsidRDefault="00852C5E" w:rsidP="00852C5E">
      <w:pPr>
        <w:pStyle w:val="TextoAbreviaturas"/>
      </w:pPr>
      <w:r>
        <w:t>LEC</w:t>
      </w:r>
      <w:r>
        <w:tab/>
        <w:t>Ley de enjuiciamiento civil</w:t>
      </w:r>
    </w:p>
    <w:p w:rsidR="00852C5E" w:rsidRDefault="00852C5E" w:rsidP="00852C5E">
      <w:pPr>
        <w:pStyle w:val="TextoAbreviaturas"/>
      </w:pPr>
      <w:r>
        <w:t>LECrim</w:t>
      </w:r>
      <w:r>
        <w:tab/>
        <w:t>Ley de enjuiciamiento criminal</w:t>
      </w:r>
    </w:p>
    <w:p w:rsidR="00852C5E" w:rsidRDefault="00852C5E" w:rsidP="00852C5E">
      <w:pPr>
        <w:pStyle w:val="TextoAbreviaturas"/>
      </w:pPr>
      <w:r>
        <w:t>LEEP</w:t>
      </w:r>
      <w:r>
        <w:tab/>
        <w:t>Ley del estatuto básico del empleado público</w:t>
      </w:r>
    </w:p>
    <w:p w:rsidR="00852C5E" w:rsidRDefault="00852C5E" w:rsidP="00852C5E">
      <w:pPr>
        <w:pStyle w:val="TextoAbreviaturas"/>
      </w:pPr>
      <w:r>
        <w:t>LEF</w:t>
      </w:r>
      <w:r>
        <w:tab/>
        <w:t>Ley de expropiación forzosa</w:t>
      </w:r>
    </w:p>
    <w:p w:rsidR="00852C5E" w:rsidRDefault="00852C5E" w:rsidP="00852C5E">
      <w:pPr>
        <w:pStyle w:val="TextoAbreviaturas"/>
      </w:pPr>
      <w:r>
        <w:t>LET</w:t>
      </w:r>
      <w:r>
        <w:tab/>
        <w:t>Ley del estatuto de los trabajadores</w:t>
      </w:r>
    </w:p>
    <w:p w:rsidR="00852C5E" w:rsidRDefault="00852C5E" w:rsidP="00852C5E">
      <w:pPr>
        <w:pStyle w:val="TextoAbreviaturas"/>
      </w:pPr>
      <w:r>
        <w:t>LGP</w:t>
      </w:r>
      <w:r>
        <w:tab/>
        <w:t>Ley general presupuestaria</w:t>
      </w:r>
    </w:p>
    <w:p w:rsidR="00852C5E" w:rsidRDefault="00852C5E" w:rsidP="00852C5E">
      <w:pPr>
        <w:pStyle w:val="TextoAbreviaturas"/>
      </w:pPr>
      <w:r>
        <w:t>LGSS</w:t>
      </w:r>
      <w:r>
        <w:tab/>
        <w:t>Ley general de la Seguridad Social</w:t>
      </w:r>
    </w:p>
    <w:p w:rsidR="00852C5E" w:rsidRDefault="00852C5E" w:rsidP="00852C5E">
      <w:pPr>
        <w:pStyle w:val="TextoAbreviaturas"/>
      </w:pPr>
      <w:r>
        <w:t>LGT</w:t>
      </w:r>
      <w:r>
        <w:tab/>
        <w:t>Ley general tributaria</w:t>
      </w:r>
    </w:p>
    <w:p w:rsidR="00852C5E" w:rsidRDefault="00852C5E" w:rsidP="00852C5E">
      <w:pPr>
        <w:pStyle w:val="TextoAbreviaturas"/>
      </w:pPr>
      <w:r>
        <w:t>LISD</w:t>
      </w:r>
      <w:r>
        <w:tab/>
        <w:t>Ley del impuesto sobre sucesiones y donaciones</w:t>
      </w:r>
    </w:p>
    <w:p w:rsidR="00852C5E" w:rsidRDefault="00852C5E" w:rsidP="00852C5E">
      <w:pPr>
        <w:pStyle w:val="TextoAbreviaturas"/>
      </w:pPr>
      <w:r>
        <w:t>LJCA</w:t>
      </w:r>
      <w:r>
        <w:tab/>
        <w:t>Ley reguladora de la jurisdicción contencioso-administrativa</w:t>
      </w:r>
    </w:p>
    <w:p w:rsidR="00852C5E" w:rsidRDefault="00852C5E" w:rsidP="00852C5E">
      <w:pPr>
        <w:pStyle w:val="TextoAbreviaturas"/>
      </w:pPr>
      <w:r>
        <w:t>LJS</w:t>
      </w:r>
      <w:r>
        <w:tab/>
        <w:t>Ley reguladora de la jurisdicción social</w:t>
      </w:r>
    </w:p>
    <w:p w:rsidR="00852C5E" w:rsidRDefault="00852C5E" w:rsidP="00852C5E">
      <w:pPr>
        <w:pStyle w:val="TextoAbreviaturas"/>
      </w:pPr>
      <w:r>
        <w:t>LM</w:t>
      </w:r>
      <w:r>
        <w:tab/>
        <w:t>Ley del medicamento</w:t>
      </w:r>
    </w:p>
    <w:p w:rsidR="00852C5E" w:rsidRDefault="00852C5E" w:rsidP="00852C5E">
      <w:pPr>
        <w:pStyle w:val="TextoAbreviaturas"/>
      </w:pPr>
      <w:r>
        <w:t>LOFCA</w:t>
      </w:r>
      <w:r>
        <w:tab/>
        <w:t>Ley Orgánica de financiación de las Comunidades Autónomas</w:t>
      </w:r>
    </w:p>
    <w:p w:rsidR="00852C5E" w:rsidRDefault="00852C5E" w:rsidP="00852C5E">
      <w:pPr>
        <w:pStyle w:val="TextoAbreviaturas"/>
      </w:pPr>
      <w:r>
        <w:t>LOHC</w:t>
      </w:r>
      <w:r>
        <w:tab/>
        <w:t>Ley Orgánica de regulación del procedimiento de</w:t>
      </w:r>
      <w:r w:rsidRPr="00852C5E">
        <w:rPr>
          <w:rStyle w:val="TextoNormalCursivaCaracter"/>
        </w:rPr>
        <w:t xml:space="preserve"> habeas corpus</w:t>
      </w:r>
    </w:p>
    <w:p w:rsidR="00852C5E" w:rsidRDefault="00852C5E" w:rsidP="00852C5E">
      <w:pPr>
        <w:pStyle w:val="TextoAbreviaturas"/>
      </w:pPr>
      <w:r>
        <w:t>LOPJ</w:t>
      </w:r>
      <w:r>
        <w:tab/>
        <w:t>Ley Orgánica del Poder Judicial</w:t>
      </w:r>
    </w:p>
    <w:p w:rsidR="00852C5E" w:rsidRDefault="00852C5E" w:rsidP="00852C5E">
      <w:pPr>
        <w:pStyle w:val="TextoAbreviaturas"/>
      </w:pPr>
      <w:r>
        <w:t>LORAFNA</w:t>
      </w:r>
      <w:r>
        <w:tab/>
        <w:t>Ley Orgánica de reintegración y amejoramiento del régimen foral de Navarra</w:t>
      </w:r>
    </w:p>
    <w:p w:rsidR="00852C5E" w:rsidRDefault="00852C5E" w:rsidP="00852C5E">
      <w:pPr>
        <w:pStyle w:val="TextoAbreviaturas"/>
      </w:pPr>
      <w:r>
        <w:t>LOREG</w:t>
      </w:r>
      <w:r>
        <w:tab/>
        <w:t>Ley Orgánica del régimen electoral general</w:t>
      </w:r>
    </w:p>
    <w:p w:rsidR="00852C5E" w:rsidRDefault="00852C5E" w:rsidP="00852C5E">
      <w:pPr>
        <w:pStyle w:val="TextoAbreviaturas"/>
      </w:pPr>
      <w:r>
        <w:t>LOTC</w:t>
      </w:r>
      <w:r>
        <w:tab/>
        <w:t>Ley Orgánica del Tribunal Constitucional</w:t>
      </w:r>
    </w:p>
    <w:p w:rsidR="00852C5E" w:rsidRDefault="00852C5E" w:rsidP="00852C5E">
      <w:pPr>
        <w:pStyle w:val="TextoAbreviaturas"/>
      </w:pPr>
      <w:r>
        <w:t>LOTJ</w:t>
      </w:r>
      <w:r>
        <w:tab/>
        <w:t>Ley Orgánica del Tribunal del Jurado</w:t>
      </w:r>
    </w:p>
    <w:p w:rsidR="00852C5E" w:rsidRDefault="00852C5E" w:rsidP="00852C5E">
      <w:pPr>
        <w:pStyle w:val="TextoAbreviaturas"/>
      </w:pPr>
      <w:r>
        <w:t>LPA</w:t>
      </w:r>
      <w:r>
        <w:tab/>
        <w:t>Ley de procedimiento administrativo</w:t>
      </w:r>
    </w:p>
    <w:p w:rsidR="00852C5E" w:rsidRDefault="00852C5E" w:rsidP="00852C5E">
      <w:pPr>
        <w:pStyle w:val="TextoAbreviaturas"/>
      </w:pPr>
      <w:r>
        <w:t>LPC</w:t>
      </w:r>
      <w:r>
        <w:tab/>
        <w:t>Ley de régimen jurídico de las Administraciones públicas y del procedimiento administrativo común</w:t>
      </w:r>
    </w:p>
    <w:p w:rsidR="00852C5E" w:rsidRDefault="00852C5E" w:rsidP="00852C5E">
      <w:pPr>
        <w:pStyle w:val="TextoAbreviaturas"/>
      </w:pPr>
      <w:r>
        <w:t>LPGE</w:t>
      </w:r>
      <w:r>
        <w:tab/>
        <w:t>Ley de Presupuestos Generales del Estado</w:t>
      </w:r>
    </w:p>
    <w:p w:rsidR="00852C5E" w:rsidRDefault="00852C5E" w:rsidP="00852C5E">
      <w:pPr>
        <w:pStyle w:val="TextoAbreviaturas"/>
      </w:pPr>
      <w:r>
        <w:t>LS</w:t>
      </w:r>
      <w:r>
        <w:tab/>
        <w:t>Ley sobre régimen del suelo y ordenación urbana</w:t>
      </w:r>
    </w:p>
    <w:p w:rsidR="00852C5E" w:rsidRDefault="00852C5E" w:rsidP="00852C5E">
      <w:pPr>
        <w:pStyle w:val="TextoAbreviaturas"/>
      </w:pPr>
      <w:r>
        <w:t>LSV</w:t>
      </w:r>
      <w:r>
        <w:tab/>
        <w:t>Ley sobre tráfico, circulación de vehículos a motor y seguridad vial</w:t>
      </w:r>
    </w:p>
    <w:p w:rsidR="00852C5E" w:rsidRDefault="00852C5E" w:rsidP="00852C5E">
      <w:pPr>
        <w:pStyle w:val="TextoAbreviaturas"/>
      </w:pPr>
      <w:r>
        <w:t>OIT</w:t>
      </w:r>
      <w:r>
        <w:tab/>
        <w:t>Organización Internacional del Trabajo</w:t>
      </w:r>
    </w:p>
    <w:p w:rsidR="00852C5E" w:rsidRDefault="00852C5E" w:rsidP="00852C5E">
      <w:pPr>
        <w:pStyle w:val="TextoAbreviaturas"/>
      </w:pPr>
      <w:r>
        <w:t>PIB</w:t>
      </w:r>
      <w:r>
        <w:tab/>
        <w:t>Producto interior bruto</w:t>
      </w:r>
    </w:p>
    <w:p w:rsidR="00852C5E" w:rsidRDefault="00852C5E" w:rsidP="00852C5E">
      <w:pPr>
        <w:pStyle w:val="TextoAbreviaturas"/>
      </w:pPr>
      <w:r>
        <w:t>PP</w:t>
      </w:r>
      <w:r>
        <w:tab/>
        <w:t>Partido Popular</w:t>
      </w:r>
    </w:p>
    <w:p w:rsidR="00852C5E" w:rsidRDefault="00852C5E" w:rsidP="00852C5E">
      <w:pPr>
        <w:pStyle w:val="TextoAbreviaturas"/>
      </w:pPr>
      <w:r>
        <w:t>PSOE</w:t>
      </w:r>
      <w:r>
        <w:tab/>
        <w:t>Partido Socialista Obrero Español</w:t>
      </w:r>
    </w:p>
    <w:p w:rsidR="00852C5E" w:rsidRDefault="00852C5E" w:rsidP="00852C5E">
      <w:pPr>
        <w:pStyle w:val="TextoAbreviaturas"/>
      </w:pPr>
      <w:r>
        <w:t>RAM</w:t>
      </w:r>
      <w:r>
        <w:tab/>
        <w:t>Reglamento de la Asamblea de Madrid</w:t>
      </w:r>
    </w:p>
    <w:p w:rsidR="00852C5E" w:rsidRDefault="00852C5E" w:rsidP="00852C5E">
      <w:pPr>
        <w:pStyle w:val="TextoAbreviaturas"/>
      </w:pPr>
      <w:r>
        <w:t>RCD</w:t>
      </w:r>
      <w:r>
        <w:tab/>
        <w:t>Reglamento del Congreso de los Diputados</w:t>
      </w:r>
    </w:p>
    <w:p w:rsidR="00852C5E" w:rsidRDefault="00852C5E" w:rsidP="00852C5E">
      <w:pPr>
        <w:pStyle w:val="TextoAbreviaturas"/>
      </w:pPr>
      <w:r>
        <w:t>RP</w:t>
      </w:r>
      <w:r>
        <w:tab/>
        <w:t>Reglamento penitenciario</w:t>
      </w:r>
    </w:p>
    <w:p w:rsidR="00852C5E" w:rsidRDefault="00852C5E" w:rsidP="00852C5E">
      <w:pPr>
        <w:pStyle w:val="TextoAbreviaturas"/>
      </w:pPr>
      <w:r>
        <w:t>RPC</w:t>
      </w:r>
      <w:r>
        <w:tab/>
        <w:t>Reglamento del Parlamento de Cataluña</w:t>
      </w:r>
    </w:p>
    <w:p w:rsidR="00852C5E" w:rsidRDefault="00852C5E" w:rsidP="00852C5E">
      <w:pPr>
        <w:pStyle w:val="TextoAbreviaturas"/>
      </w:pPr>
      <w:r>
        <w:t>RS</w:t>
      </w:r>
      <w:r>
        <w:tab/>
        <w:t>Reglamento del Senado</w:t>
      </w:r>
    </w:p>
    <w:p w:rsidR="00852C5E" w:rsidRDefault="00852C5E" w:rsidP="00852C5E">
      <w:pPr>
        <w:pStyle w:val="TextoAbreviaturas"/>
      </w:pPr>
      <w:r>
        <w:t>RTVE</w:t>
      </w:r>
      <w:r>
        <w:tab/>
        <w:t>Radio Televisión Española</w:t>
      </w:r>
    </w:p>
    <w:p w:rsidR="00852C5E" w:rsidRDefault="00852C5E" w:rsidP="00852C5E">
      <w:pPr>
        <w:pStyle w:val="TextoAbreviaturas"/>
      </w:pPr>
      <w:r>
        <w:t>SAREB</w:t>
      </w:r>
      <w:r>
        <w:tab/>
        <w:t>Sociedad de gestión de activos procedentes de la reestructuración bancaria</w:t>
      </w:r>
    </w:p>
    <w:p w:rsidR="00852C5E" w:rsidRDefault="00852C5E" w:rsidP="00852C5E">
      <w:pPr>
        <w:pStyle w:val="TextoAbreviaturas"/>
      </w:pPr>
      <w:r>
        <w:t>SEPE</w:t>
      </w:r>
      <w:r>
        <w:tab/>
        <w:t>Servicio público de Empleo Estatal</w:t>
      </w:r>
    </w:p>
    <w:p w:rsidR="00852C5E" w:rsidRDefault="00852C5E" w:rsidP="00852C5E">
      <w:pPr>
        <w:pStyle w:val="TextoAbreviaturas"/>
      </w:pPr>
      <w:r>
        <w:t>SSTJUE</w:t>
      </w:r>
      <w:r>
        <w:tab/>
        <w:t>Sentencias del Tribunal de Justicia de la Unión Europea</w:t>
      </w:r>
    </w:p>
    <w:p w:rsidR="00852C5E" w:rsidRDefault="00852C5E" w:rsidP="00852C5E">
      <w:pPr>
        <w:pStyle w:val="TextoAbreviaturas"/>
      </w:pPr>
      <w:r>
        <w:t>STC</w:t>
      </w:r>
      <w:r>
        <w:tab/>
        <w:t>Sentencia del Tribunal Constitucional</w:t>
      </w:r>
    </w:p>
    <w:p w:rsidR="00852C5E" w:rsidRDefault="00852C5E" w:rsidP="00852C5E">
      <w:pPr>
        <w:pStyle w:val="TextoAbreviaturas"/>
      </w:pPr>
      <w:r>
        <w:t>SSTC</w:t>
      </w:r>
      <w:r>
        <w:tab/>
        <w:t>Sentencias del Tribunal Constitucional</w:t>
      </w:r>
    </w:p>
    <w:p w:rsidR="00852C5E" w:rsidRDefault="00852C5E" w:rsidP="00852C5E">
      <w:pPr>
        <w:pStyle w:val="TextoAbreviaturas"/>
      </w:pPr>
      <w:r>
        <w:t>STEDH</w:t>
      </w:r>
      <w:r>
        <w:tab/>
        <w:t>Sentencia del Tribunal Europeo de Derechos Humanos</w:t>
      </w:r>
    </w:p>
    <w:p w:rsidR="00852C5E" w:rsidRDefault="00852C5E" w:rsidP="00852C5E">
      <w:pPr>
        <w:pStyle w:val="TextoAbreviaturas"/>
      </w:pPr>
      <w:r>
        <w:t>SSTEDH</w:t>
      </w:r>
      <w:r>
        <w:tab/>
        <w:t>Sentencias del Tribunal Europeo de Derechos Humanos</w:t>
      </w:r>
    </w:p>
    <w:p w:rsidR="00852C5E" w:rsidRDefault="00852C5E" w:rsidP="00852C5E">
      <w:pPr>
        <w:pStyle w:val="TextoAbreviaturas"/>
      </w:pPr>
      <w:r>
        <w:t>STJCE</w:t>
      </w:r>
      <w:r>
        <w:tab/>
        <w:t>Sentencia del Tribunal de Justicia de las Comunidades Europeas</w:t>
      </w:r>
    </w:p>
    <w:p w:rsidR="00852C5E" w:rsidRDefault="00852C5E" w:rsidP="00852C5E">
      <w:pPr>
        <w:pStyle w:val="TextoAbreviaturas"/>
      </w:pPr>
      <w:r>
        <w:t>SSTJCE</w:t>
      </w:r>
      <w:r>
        <w:tab/>
        <w:t>Sentencias del Tribunal de Justicia de las Comunidades Europeas</w:t>
      </w:r>
    </w:p>
    <w:p w:rsidR="00852C5E" w:rsidRDefault="00852C5E" w:rsidP="00852C5E">
      <w:pPr>
        <w:pStyle w:val="TextoAbreviaturas"/>
      </w:pPr>
      <w:r>
        <w:t>STJUE</w:t>
      </w:r>
      <w:r>
        <w:tab/>
        <w:t>Sentencia del Tribunal de Justicia de la Unión Europea</w:t>
      </w:r>
    </w:p>
    <w:p w:rsidR="00852C5E" w:rsidRDefault="00852C5E" w:rsidP="00852C5E">
      <w:pPr>
        <w:pStyle w:val="TextoAbreviaturas"/>
      </w:pPr>
      <w:r>
        <w:t>STS</w:t>
      </w:r>
      <w:r>
        <w:tab/>
        <w:t>Sentencia del Tribunal Supremo</w:t>
      </w:r>
    </w:p>
    <w:p w:rsidR="00852C5E" w:rsidRDefault="00852C5E" w:rsidP="00852C5E">
      <w:pPr>
        <w:pStyle w:val="TextoAbreviaturas"/>
      </w:pPr>
      <w:r>
        <w:t>SSTS</w:t>
      </w:r>
      <w:r>
        <w:tab/>
        <w:t>Sentencias del Tribunal Supremo</w:t>
      </w:r>
    </w:p>
    <w:p w:rsidR="00852C5E" w:rsidRDefault="00852C5E" w:rsidP="00852C5E">
      <w:pPr>
        <w:pStyle w:val="TextoAbreviaturas"/>
      </w:pPr>
      <w:r>
        <w:t>UGT</w:t>
      </w:r>
      <w:r>
        <w:tab/>
        <w:t>Unión General de Trabajadores</w:t>
      </w:r>
    </w:p>
    <w:p w:rsidR="00852C5E" w:rsidRDefault="00852C5E" w:rsidP="00852C5E">
      <w:pPr>
        <w:pStyle w:val="TextoAbreviaturas"/>
      </w:pPr>
      <w:r>
        <w:t>USO</w:t>
      </w:r>
      <w:r>
        <w:tab/>
        <w:t>Unión Sindical Obrera</w:t>
      </w:r>
    </w:p>
    <w:p w:rsidR="00852C5E" w:rsidRDefault="00852C5E" w:rsidP="00852C5E">
      <w:pPr>
        <w:pStyle w:val="TextoAbreviaturas"/>
      </w:pPr>
    </w:p>
    <w:sectPr w:rsidR="00852C5E" w:rsidSect="00FD0DC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7EB" w:rsidRDefault="00DD47EB" w:rsidP="0085709A">
      <w:pPr>
        <w:spacing w:after="0" w:line="240" w:lineRule="auto"/>
      </w:pPr>
      <w:r>
        <w:separator/>
      </w:r>
    </w:p>
  </w:endnote>
  <w:endnote w:type="continuationSeparator" w:id="0">
    <w:p w:rsidR="00DD47EB" w:rsidRDefault="00DD47EB" w:rsidP="0085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DC7" w:rsidRDefault="00FD0DC7" w:rsidP="00FD0DC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sidR="00AA6B4A">
      <w:rPr>
        <w:rStyle w:val="Nmerodepgina"/>
      </w:rPr>
      <w:fldChar w:fldCharType="separate"/>
    </w:r>
    <w:r w:rsidR="00AA6B4A">
      <w:rPr>
        <w:rStyle w:val="Nmerodepgina"/>
        <w:noProof/>
      </w:rPr>
      <w:t>3219</w:t>
    </w:r>
    <w:r>
      <w:rPr>
        <w:rStyle w:val="Nmerodepgina"/>
      </w:rPr>
      <w:fldChar w:fldCharType="end"/>
    </w:r>
  </w:p>
  <w:p w:rsidR="00DD47EB" w:rsidRDefault="00DD47EB" w:rsidP="00FD0DC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DC7" w:rsidRDefault="00FD0DC7" w:rsidP="00FD0DC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A6B4A">
      <w:rPr>
        <w:rStyle w:val="Nmerodepgina"/>
        <w:noProof/>
      </w:rPr>
      <w:t>3221</w:t>
    </w:r>
    <w:r>
      <w:rPr>
        <w:rStyle w:val="Nmerodepgina"/>
      </w:rPr>
      <w:fldChar w:fldCharType="end"/>
    </w:r>
  </w:p>
  <w:p w:rsidR="00DD47EB" w:rsidRDefault="00DD47EB" w:rsidP="00FD0DC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7EB" w:rsidRDefault="00DD47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7EB" w:rsidRDefault="00DD47EB" w:rsidP="0085709A">
      <w:pPr>
        <w:spacing w:after="0" w:line="240" w:lineRule="auto"/>
      </w:pPr>
      <w:r>
        <w:separator/>
      </w:r>
    </w:p>
  </w:footnote>
  <w:footnote w:type="continuationSeparator" w:id="0">
    <w:p w:rsidR="00DD47EB" w:rsidRDefault="00DD47EB" w:rsidP="008570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7EB" w:rsidRDefault="00DD47E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7EB" w:rsidRDefault="00FD0DC7" w:rsidP="00FD0DC7">
    <w:pPr>
      <w:pStyle w:val="Cabecera"/>
    </w:pPr>
    <w:r>
      <w:t>JURISPRUDENCIA CONSTITUCIONAL - Tomo: enero a junio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7EB" w:rsidRDefault="00DD47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FE"/>
    <w:rsid w:val="00711BFE"/>
    <w:rsid w:val="00852C5E"/>
    <w:rsid w:val="0085709A"/>
    <w:rsid w:val="00A860DC"/>
    <w:rsid w:val="00AA6B4A"/>
    <w:rsid w:val="00B85568"/>
    <w:rsid w:val="00BB71B4"/>
    <w:rsid w:val="00DD47EB"/>
    <w:rsid w:val="00FD0D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0BF2D5-C7BC-4A6F-82AB-EB3F9778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BFE"/>
    <w:pPr>
      <w:spacing w:after="200" w:line="276" w:lineRule="auto"/>
    </w:pPr>
  </w:style>
  <w:style w:type="paragraph" w:styleId="Ttulo1">
    <w:name w:val="heading 1"/>
    <w:basedOn w:val="Normal"/>
    <w:next w:val="Normal"/>
    <w:link w:val="Ttulo1Car"/>
    <w:uiPriority w:val="9"/>
    <w:rsid w:val="00711BFE"/>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711BFE"/>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711BFE"/>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711BF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711BF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711BF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711BFE"/>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711BFE"/>
  </w:style>
  <w:style w:type="character" w:customStyle="1" w:styleId="Ttulo1Car">
    <w:name w:val="Título 1 Car"/>
    <w:basedOn w:val="Fuentedeprrafopredeter"/>
    <w:link w:val="Ttulo1"/>
    <w:uiPriority w:val="9"/>
    <w:rsid w:val="00711BFE"/>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711BFE"/>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711BFE"/>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711BF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11BF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711BF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711BFE"/>
    <w:pPr>
      <w:spacing w:after="0" w:line="240" w:lineRule="auto"/>
    </w:pPr>
  </w:style>
  <w:style w:type="paragraph" w:styleId="Textocomentario">
    <w:name w:val="annotation text"/>
    <w:basedOn w:val="Normal"/>
    <w:link w:val="TextocomentarioCar"/>
    <w:uiPriority w:val="99"/>
    <w:semiHidden/>
    <w:rsid w:val="00711BF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711BFE"/>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711BF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711BF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711BF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711BFE"/>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711BFE"/>
    <w:rPr>
      <w:rFonts w:ascii="Times New Roman" w:hAnsi="Times New Roman"/>
      <w:i w:val="0"/>
      <w:sz w:val="24"/>
    </w:rPr>
  </w:style>
  <w:style w:type="character" w:customStyle="1" w:styleId="TtuloBOECar">
    <w:name w:val="Título BOE Car"/>
    <w:basedOn w:val="Fuentedeprrafopredeter"/>
    <w:link w:val="TtuloBOE"/>
    <w:rsid w:val="00711BFE"/>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711BFE"/>
    <w:rPr>
      <w:rFonts w:ascii="Times New Roman" w:hAnsi="Times New Roman"/>
      <w:i/>
      <w:sz w:val="24"/>
    </w:rPr>
  </w:style>
  <w:style w:type="paragraph" w:customStyle="1" w:styleId="Extracto">
    <w:name w:val="Extracto"/>
    <w:basedOn w:val="Normal"/>
    <w:link w:val="ExtractoCar"/>
    <w:qFormat/>
    <w:rsid w:val="00711BF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711BFE"/>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711BF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711BF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711BFE"/>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711BFE"/>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711BF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711BFE"/>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711BF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711BFE"/>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711BF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711BFE"/>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711BFE"/>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711BF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711BFE"/>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711BFE"/>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711BF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711BFE"/>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711BF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711BF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711BFE"/>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711BF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711BF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711BFE"/>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711BF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711BFE"/>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711BF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711BFE"/>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711BF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711BF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711BFE"/>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711BFE"/>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711BFE"/>
  </w:style>
  <w:style w:type="paragraph" w:customStyle="1" w:styleId="SntesisAnaltica">
    <w:name w:val="Síntesis Analítica"/>
    <w:basedOn w:val="ParrafoNormal"/>
    <w:link w:val="SntesisAnalticaCar"/>
    <w:qFormat/>
    <w:rsid w:val="00711BFE"/>
    <w:rPr>
      <w:i/>
    </w:rPr>
  </w:style>
  <w:style w:type="character" w:customStyle="1" w:styleId="ParrafoNormalCar">
    <w:name w:val="Parrafo Normal Car"/>
    <w:basedOn w:val="Fuentedeprrafopredeter"/>
    <w:link w:val="ParrafoNormal"/>
    <w:rsid w:val="00711BFE"/>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711BFE"/>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711BFE"/>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711BF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711BFE"/>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711BF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711BF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11BF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711BFE"/>
    <w:rPr>
      <w:rFonts w:ascii="Tahoma" w:eastAsia="Times New Roman" w:hAnsi="Tahoma" w:cs="Tahoma"/>
      <w:sz w:val="16"/>
      <w:szCs w:val="16"/>
      <w:lang w:eastAsia="es-ES"/>
    </w:rPr>
  </w:style>
  <w:style w:type="paragraph" w:customStyle="1" w:styleId="Portada1">
    <w:name w:val="Portada 1"/>
    <w:basedOn w:val="Normal"/>
    <w:link w:val="Portada1Car"/>
    <w:qFormat/>
    <w:rsid w:val="00711BF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711BF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711BFE"/>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711BF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711BFE"/>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711BFE"/>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711BF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711BFE"/>
    <w:rPr>
      <w:rFonts w:ascii="Times New Roman" w:hAnsi="Times New Roman"/>
      <w:sz w:val="24"/>
    </w:rPr>
  </w:style>
  <w:style w:type="paragraph" w:customStyle="1" w:styleId="Prueba">
    <w:name w:val="Prueba"/>
    <w:basedOn w:val="Normal"/>
    <w:link w:val="PruebaCar"/>
    <w:qFormat/>
    <w:rsid w:val="00711BF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711BFE"/>
    <w:rPr>
      <w:rFonts w:ascii="Times New Roman" w:hAnsi="Times New Roman" w:cs="Times New Roman"/>
      <w:sz w:val="24"/>
      <w:szCs w:val="24"/>
    </w:rPr>
  </w:style>
  <w:style w:type="paragraph" w:customStyle="1" w:styleId="Paginas">
    <w:name w:val="Paginas"/>
    <w:basedOn w:val="Prueba"/>
    <w:link w:val="PaginasCar"/>
    <w:qFormat/>
    <w:rsid w:val="00711BFE"/>
  </w:style>
  <w:style w:type="character" w:customStyle="1" w:styleId="PaginasCar">
    <w:name w:val="Paginas Car"/>
    <w:basedOn w:val="PruebaCar"/>
    <w:link w:val="Paginas"/>
    <w:rsid w:val="00711BFE"/>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711BFE"/>
    <w:pPr>
      <w:ind w:left="568" w:hanging="284"/>
    </w:pPr>
  </w:style>
  <w:style w:type="paragraph" w:customStyle="1" w:styleId="SangriaIzquierdaArticulo">
    <w:name w:val="Sangria Izquierda Articulo"/>
    <w:basedOn w:val="SangriaFrancesaArticulo"/>
    <w:link w:val="SangriaIzquierdaArticuloCar"/>
    <w:qFormat/>
    <w:rsid w:val="00711BFE"/>
    <w:pPr>
      <w:ind w:firstLine="0"/>
    </w:pPr>
  </w:style>
  <w:style w:type="character" w:customStyle="1" w:styleId="SangriaFrancesaArticuloCar">
    <w:name w:val="Sangria Francesa Articulo Car"/>
    <w:basedOn w:val="ParrafoNormalCar"/>
    <w:link w:val="SangriaFrancesaArticulo"/>
    <w:rsid w:val="00711BFE"/>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711BFE"/>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711BFE"/>
    <w:pPr>
      <w:tabs>
        <w:tab w:val="left" w:pos="1134"/>
      </w:tabs>
      <w:ind w:left="-567"/>
    </w:pPr>
  </w:style>
  <w:style w:type="character" w:customStyle="1" w:styleId="DescriptoresJerarquicoNegritaCar">
    <w:name w:val="Descriptores Jerarquico Negrita Car"/>
    <w:basedOn w:val="TextoNormalNegritaCar"/>
    <w:link w:val="DescriptoresJerarquicoNegrita"/>
    <w:rsid w:val="00711BFE"/>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711BF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711BFE"/>
    <w:rPr>
      <w:rFonts w:ascii="Times New Roman" w:hAnsi="Times New Roman"/>
      <w:b/>
      <w:i/>
      <w:sz w:val="24"/>
    </w:rPr>
  </w:style>
  <w:style w:type="paragraph" w:customStyle="1" w:styleId="EntradandiceSumario">
    <w:name w:val="Entrada Índice Sumario"/>
    <w:basedOn w:val="EntradandiceSentencia"/>
    <w:qFormat/>
    <w:rsid w:val="00711BFE"/>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711BF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711BF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711BFE"/>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711BF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711BFE"/>
    <w:rPr>
      <w:rFonts w:ascii="Times New Roman" w:hAnsi="Times New Roman"/>
      <w:i w:val="0"/>
      <w:color w:val="A7599E"/>
      <w:sz w:val="24"/>
    </w:rPr>
  </w:style>
  <w:style w:type="paragraph" w:customStyle="1" w:styleId="CabeceraGaceta">
    <w:name w:val="Cabecera Gaceta"/>
    <w:next w:val="Normal"/>
    <w:link w:val="CabeceraGacetaCar"/>
    <w:qFormat/>
    <w:rsid w:val="00711BFE"/>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711BFE"/>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711BFE"/>
    <w:pPr>
      <w:spacing w:after="1800"/>
    </w:pPr>
  </w:style>
  <w:style w:type="character" w:styleId="nfasis">
    <w:name w:val="Emphasis"/>
    <w:basedOn w:val="Fuentedeprrafopredeter"/>
    <w:uiPriority w:val="20"/>
    <w:qFormat/>
    <w:rsid w:val="00711BFE"/>
    <w:rPr>
      <w:i/>
      <w:iCs/>
    </w:rPr>
  </w:style>
  <w:style w:type="character" w:styleId="Hipervnculo">
    <w:name w:val="Hyperlink"/>
    <w:basedOn w:val="Fuentedeprrafopredeter"/>
    <w:uiPriority w:val="99"/>
    <w:unhideWhenUsed/>
    <w:rsid w:val="00711BFE"/>
    <w:rPr>
      <w:b w:val="0"/>
      <w:color w:val="000000" w:themeColor="text1"/>
      <w:u w:val="none"/>
    </w:rPr>
  </w:style>
  <w:style w:type="paragraph" w:customStyle="1" w:styleId="SntesisDescriptivaConSeparacion">
    <w:name w:val="Síntesis Descriptiva Con Separacion"/>
    <w:basedOn w:val="SntesisDescriptiva"/>
    <w:qFormat/>
    <w:rsid w:val="00711BFE"/>
    <w:pPr>
      <w:spacing w:after="600"/>
    </w:pPr>
  </w:style>
  <w:style w:type="paragraph" w:customStyle="1" w:styleId="SntesisAnalticaConSeparacin">
    <w:name w:val="Síntesis Analítica Con Separación"/>
    <w:basedOn w:val="SntesisAnaltica"/>
    <w:qFormat/>
    <w:rsid w:val="00711BFE"/>
    <w:pPr>
      <w:spacing w:after="600"/>
    </w:pPr>
  </w:style>
  <w:style w:type="paragraph" w:customStyle="1" w:styleId="TtuloListado">
    <w:name w:val="Título Listado"/>
    <w:basedOn w:val="TextoNormal"/>
    <w:qFormat/>
    <w:rsid w:val="00711BFE"/>
    <w:pPr>
      <w:spacing w:line="360" w:lineRule="auto"/>
      <w:jc w:val="center"/>
    </w:pPr>
    <w:rPr>
      <w:b/>
      <w:u w:val="single"/>
    </w:rPr>
  </w:style>
  <w:style w:type="paragraph" w:customStyle="1" w:styleId="TextoNormalCentradoCursiva">
    <w:name w:val="Texto Normal Centrado Cursiva"/>
    <w:basedOn w:val="TextoNormalCentrado"/>
    <w:qFormat/>
    <w:rsid w:val="00711BFE"/>
    <w:rPr>
      <w:i/>
    </w:rPr>
  </w:style>
  <w:style w:type="paragraph" w:customStyle="1" w:styleId="TextoConBorde">
    <w:name w:val="Texto Con Borde"/>
    <w:qFormat/>
    <w:rsid w:val="00711BFE"/>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711BFE"/>
    <w:rPr>
      <w:sz w:val="148"/>
    </w:rPr>
  </w:style>
  <w:style w:type="paragraph" w:customStyle="1" w:styleId="TextoNormalNegritaCentradoSubrayado">
    <w:name w:val="Texto Normal Negrita Centrado Subrayado"/>
    <w:basedOn w:val="TextoNormalNegritaCentrado"/>
    <w:qFormat/>
    <w:rsid w:val="00711BFE"/>
    <w:rPr>
      <w:sz w:val="28"/>
      <w:u w:val="single"/>
    </w:rPr>
  </w:style>
  <w:style w:type="paragraph" w:customStyle="1" w:styleId="TextoIndiceNivel2">
    <w:name w:val="TextoIndice Nivel2"/>
    <w:basedOn w:val="TextoNormalNegritaCentrado"/>
    <w:qFormat/>
    <w:rsid w:val="00711BFE"/>
    <w:rPr>
      <w:sz w:val="36"/>
    </w:rPr>
  </w:style>
  <w:style w:type="character" w:customStyle="1" w:styleId="TextoNormalNegritaCentradoSombreado">
    <w:name w:val="Texto Normal Negrita Centrado Sombreado"/>
    <w:basedOn w:val="TextoNormalNegritaCaracter"/>
    <w:uiPriority w:val="1"/>
    <w:qFormat/>
    <w:rsid w:val="00711BFE"/>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711BFE"/>
    <w:rPr>
      <w:sz w:val="26"/>
    </w:rPr>
  </w:style>
  <w:style w:type="character" w:customStyle="1" w:styleId="ndiceJerrquicoDescriptor">
    <w:name w:val="Índice Jerárquico Descriptor"/>
    <w:basedOn w:val="TextoNormalCar"/>
    <w:uiPriority w:val="1"/>
    <w:qFormat/>
    <w:rsid w:val="00711BFE"/>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711BFE"/>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711BFE"/>
    <w:pPr>
      <w:ind w:left="0"/>
    </w:pPr>
    <w:rPr>
      <w:sz w:val="28"/>
    </w:rPr>
  </w:style>
  <w:style w:type="character" w:styleId="Hipervnculovisitado">
    <w:name w:val="FollowedHyperlink"/>
    <w:basedOn w:val="Fuentedeprrafopredeter"/>
    <w:uiPriority w:val="99"/>
    <w:semiHidden/>
    <w:unhideWhenUsed/>
    <w:rsid w:val="00711BFE"/>
    <w:rPr>
      <w:color w:val="auto"/>
      <w:u w:val="none"/>
    </w:rPr>
  </w:style>
  <w:style w:type="paragraph" w:customStyle="1" w:styleId="EntradandiceSumarioNivel2">
    <w:name w:val="Entrada Índice Sumario Nivel2"/>
    <w:basedOn w:val="EntradandiceSumario"/>
    <w:qFormat/>
    <w:rsid w:val="00711BFE"/>
    <w:pPr>
      <w:spacing w:line="240" w:lineRule="exact"/>
      <w:ind w:firstLine="113"/>
    </w:pPr>
    <w:rPr>
      <w:sz w:val="23"/>
    </w:rPr>
  </w:style>
  <w:style w:type="paragraph" w:customStyle="1" w:styleId="TtuloSumariondices">
    <w:name w:val="Título Sumario Índices"/>
    <w:basedOn w:val="TextoNormal"/>
    <w:qFormat/>
    <w:rsid w:val="00711BFE"/>
    <w:pPr>
      <w:ind w:firstLine="0"/>
      <w:jc w:val="center"/>
    </w:pPr>
    <w:rPr>
      <w:sz w:val="32"/>
    </w:rPr>
  </w:style>
  <w:style w:type="paragraph" w:styleId="Cierre">
    <w:name w:val="Closing"/>
    <w:basedOn w:val="Normal"/>
    <w:link w:val="CierreCar"/>
    <w:uiPriority w:val="99"/>
    <w:unhideWhenUsed/>
    <w:rsid w:val="00711BFE"/>
    <w:pPr>
      <w:spacing w:after="0" w:line="240" w:lineRule="auto"/>
      <w:ind w:left="4252"/>
    </w:pPr>
  </w:style>
  <w:style w:type="character" w:customStyle="1" w:styleId="CierreCar">
    <w:name w:val="Cierre Car"/>
    <w:basedOn w:val="Fuentedeprrafopredeter"/>
    <w:link w:val="Cierre"/>
    <w:uiPriority w:val="99"/>
    <w:rsid w:val="00711BFE"/>
  </w:style>
  <w:style w:type="paragraph" w:styleId="Cita">
    <w:name w:val="Quote"/>
    <w:basedOn w:val="Normal"/>
    <w:next w:val="Normal"/>
    <w:link w:val="CitaCar"/>
    <w:uiPriority w:val="29"/>
    <w:qFormat/>
    <w:rsid w:val="00711BF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711BFE"/>
    <w:rPr>
      <w:i/>
      <w:iCs/>
      <w:color w:val="404040" w:themeColor="text1" w:themeTint="BF"/>
    </w:rPr>
  </w:style>
  <w:style w:type="paragraph" w:customStyle="1" w:styleId="Cabecera">
    <w:name w:val="Cabecera"/>
    <w:link w:val="CabeceraCar"/>
    <w:qFormat/>
    <w:rsid w:val="00711BFE"/>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711BFE"/>
    <w:rPr>
      <w:rFonts w:ascii="Arial" w:hAnsi="Arial"/>
      <w:b/>
      <w:iCs/>
      <w:color w:val="538135"/>
      <w:sz w:val="20"/>
    </w:rPr>
  </w:style>
  <w:style w:type="paragraph" w:customStyle="1" w:styleId="TtuloSumarioResoluciones">
    <w:name w:val="Título Sumario Resoluciones"/>
    <w:basedOn w:val="TextoNormal"/>
    <w:link w:val="TtuloSumarioResolucionesCar"/>
    <w:qFormat/>
    <w:rsid w:val="00711BF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711BFE"/>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711BFE"/>
    <w:rPr>
      <w:rFonts w:ascii="Times New Roman" w:hAnsi="Times New Roman"/>
      <w:b/>
      <w:color w:val="538135"/>
      <w:sz w:val="32"/>
    </w:rPr>
  </w:style>
  <w:style w:type="paragraph" w:customStyle="1" w:styleId="Portada3">
    <w:name w:val="Portada 3"/>
    <w:basedOn w:val="NormalWeb"/>
    <w:link w:val="Portada3Car"/>
    <w:qFormat/>
    <w:rsid w:val="00711BFE"/>
    <w:pPr>
      <w:jc w:val="center"/>
    </w:pPr>
  </w:style>
  <w:style w:type="paragraph" w:styleId="NormalWeb">
    <w:name w:val="Normal (Web)"/>
    <w:basedOn w:val="Normal"/>
    <w:link w:val="NormalWebCar"/>
    <w:uiPriority w:val="99"/>
    <w:semiHidden/>
    <w:unhideWhenUsed/>
    <w:rsid w:val="00711BFE"/>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711BFE"/>
    <w:rPr>
      <w:rFonts w:ascii="Times New Roman" w:hAnsi="Times New Roman" w:cs="Times New Roman"/>
      <w:sz w:val="24"/>
      <w:szCs w:val="24"/>
    </w:rPr>
  </w:style>
  <w:style w:type="character" w:customStyle="1" w:styleId="Portada3Car">
    <w:name w:val="Portada 3 Car"/>
    <w:basedOn w:val="NormalWebCar"/>
    <w:link w:val="Portada3"/>
    <w:rsid w:val="00711BFE"/>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711BFE"/>
    <w:pPr>
      <w:spacing w:before="240"/>
    </w:pPr>
  </w:style>
  <w:style w:type="character" w:customStyle="1" w:styleId="EntradandiceAutoContenidoEspecificoCar">
    <w:name w:val="Entrada Índice Auto Contenido Especifico Car"/>
    <w:basedOn w:val="EntradaSumarioCar"/>
    <w:link w:val="EntradandiceAutoContenidoEspecifico"/>
    <w:rsid w:val="00711BFE"/>
    <w:rPr>
      <w:rFonts w:ascii="Times New Roman" w:hAnsi="Times New Roman"/>
      <w:sz w:val="24"/>
    </w:rPr>
  </w:style>
  <w:style w:type="paragraph" w:styleId="Encabezado">
    <w:name w:val="header"/>
    <w:basedOn w:val="Normal"/>
    <w:link w:val="EncabezadoCar"/>
    <w:uiPriority w:val="99"/>
    <w:unhideWhenUsed/>
    <w:rsid w:val="008570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709A"/>
  </w:style>
  <w:style w:type="paragraph" w:styleId="Piedepgina">
    <w:name w:val="footer"/>
    <w:basedOn w:val="Normal"/>
    <w:link w:val="PiedepginaCar"/>
    <w:uiPriority w:val="99"/>
    <w:unhideWhenUsed/>
    <w:rsid w:val="008570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709A"/>
  </w:style>
  <w:style w:type="character" w:styleId="Nmerodepgina">
    <w:name w:val="page number"/>
    <w:basedOn w:val="Fuentedeprrafopredeter"/>
    <w:uiPriority w:val="99"/>
    <w:semiHidden/>
    <w:unhideWhenUsed/>
    <w:rsid w:val="00FD0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54800178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1554800178Resolucion.dotx</Template>
  <TotalTime>58</TotalTime>
  <Pages>66</Pages>
  <Words>1693332</Words>
  <Characters>8873063</Characters>
  <Application>Microsoft Office Word</Application>
  <DocSecurity>0</DocSecurity>
  <Lines>150390</Lines>
  <Paragraphs>27445</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10538950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96</dc:title>
  <dc:subject>Tomo 96</dc:subject>
  <dc:creator>Tribunal Constitucional</dc:creator>
  <cp:keywords/>
  <dc:description>Tomo 96</dc:description>
  <cp:lastModifiedBy>GARCÍA MARTIN, Vanesa</cp:lastModifiedBy>
  <cp:revision>8</cp:revision>
  <cp:lastPrinted>2019-04-09T09:51:00Z</cp:lastPrinted>
  <dcterms:created xsi:type="dcterms:W3CDTF">2019-04-09T08:56:00Z</dcterms:created>
  <dcterms:modified xsi:type="dcterms:W3CDTF">2019-04-09T09:54:00Z</dcterms:modified>
</cp:coreProperties>
</file>